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2.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38D8E" w14:textId="466BBA06" w:rsidR="00E00F11" w:rsidRPr="00351B7D" w:rsidRDefault="00E00F11" w:rsidP="00E00F11">
      <w:pPr>
        <w:pStyle w:val="1"/>
        <w:rPr>
          <w:rFonts w:asciiTheme="minorBidi" w:hAnsiTheme="minorBidi"/>
          <w:color w:val="auto"/>
          <w:rtl/>
        </w:rPr>
      </w:pPr>
      <w:r w:rsidRPr="00351B7D">
        <w:rPr>
          <w:rFonts w:asciiTheme="minorBidi" w:hAnsiTheme="minorBidi"/>
          <w:rtl/>
        </w:rPr>
        <w:t xml:space="preserve">סימן סו: כמה דיני כתובה, ובו י"ג סעיפים. </w:t>
      </w:r>
    </w:p>
    <w:p w14:paraId="77E28FCC" w14:textId="7CE72463" w:rsidR="00E00F11" w:rsidRPr="00E00F11" w:rsidRDefault="00E00F11" w:rsidP="000F64D0">
      <w:pPr>
        <w:pStyle w:val="2"/>
        <w:rPr>
          <w:rtl/>
        </w:rPr>
      </w:pPr>
      <w:r w:rsidRPr="00351B7D">
        <w:rPr>
          <w:rtl/>
        </w:rPr>
        <w:t xml:space="preserve">סעיף א: </w:t>
      </w:r>
      <w:r w:rsidR="00CE2C8D">
        <w:rPr>
          <w:rFonts w:hint="cs"/>
          <w:rtl/>
        </w:rPr>
        <w:t>זמן כתיבת הכתובה</w:t>
      </w:r>
      <w:r w:rsidRPr="00351B7D">
        <w:rPr>
          <w:rtl/>
        </w:rPr>
        <w:t>.</w:t>
      </w:r>
    </w:p>
    <w:p w14:paraId="5B3FA08D" w14:textId="274E00BF" w:rsidR="00973C57" w:rsidRPr="00351B7D" w:rsidRDefault="00973C57" w:rsidP="00973C57">
      <w:pPr>
        <w:rPr>
          <w:rFonts w:asciiTheme="minorBidi" w:hAnsiTheme="minorBidi"/>
        </w:rPr>
      </w:pPr>
      <w:r w:rsidRPr="00351B7D">
        <w:rPr>
          <w:rFonts w:asciiTheme="minorBidi" w:hAnsiTheme="minorBidi"/>
          <w:b/>
          <w:bCs/>
          <w:rtl/>
        </w:rPr>
        <w:t>מסכתות קטנות מסכת כלה פ"א ה"א:</w:t>
      </w:r>
      <w:r w:rsidRPr="00351B7D">
        <w:rPr>
          <w:rFonts w:asciiTheme="minorBidi" w:hAnsiTheme="minorBidi"/>
          <w:rtl/>
        </w:rPr>
        <w:t xml:space="preserve"> כלה בלא ברכה אסורה לבעלה כנדה, מה נדה שלא טבלה אסורה לבעלה, אף כלה בלא ברכה אסורה לבעלה.</w:t>
      </w:r>
      <w:r w:rsidR="00A10A08">
        <w:rPr>
          <w:rFonts w:asciiTheme="minorBidi" w:hAnsiTheme="minorBidi" w:hint="cs"/>
          <w:rtl/>
        </w:rPr>
        <w:t xml:space="preserve"> </w:t>
      </w:r>
    </w:p>
    <w:p w14:paraId="6D0BEE7D" w14:textId="77777777" w:rsidR="006D22F9" w:rsidRPr="00351B7D" w:rsidRDefault="006D22F9" w:rsidP="006D22F9">
      <w:pPr>
        <w:rPr>
          <w:rFonts w:asciiTheme="minorBidi" w:hAnsiTheme="minorBidi"/>
          <w:rtl/>
        </w:rPr>
      </w:pPr>
      <w:r w:rsidRPr="00351B7D">
        <w:rPr>
          <w:rFonts w:asciiTheme="minorBidi" w:hAnsiTheme="minorBidi"/>
          <w:b/>
          <w:bCs/>
          <w:rtl/>
        </w:rPr>
        <w:t xml:space="preserve">בבא בתרא </w:t>
      </w:r>
      <w:r>
        <w:rPr>
          <w:rFonts w:asciiTheme="minorBidi" w:hAnsiTheme="minorBidi" w:hint="cs"/>
          <w:b/>
          <w:bCs/>
          <w:sz w:val="16"/>
          <w:szCs w:val="16"/>
          <w:rtl/>
        </w:rPr>
        <w:t xml:space="preserve">(פ' גט פשוט) </w:t>
      </w:r>
      <w:r w:rsidRPr="00351B7D">
        <w:rPr>
          <w:rFonts w:asciiTheme="minorBidi" w:hAnsiTheme="minorBidi"/>
          <w:b/>
          <w:bCs/>
          <w:rtl/>
        </w:rPr>
        <w:t xml:space="preserve">קסז ע"א: </w:t>
      </w:r>
      <w:r w:rsidRPr="00351B7D">
        <w:rPr>
          <w:rFonts w:asciiTheme="minorBidi" w:hAnsiTheme="minorBidi"/>
          <w:u w:val="double"/>
          <w:rtl/>
        </w:rPr>
        <w:t>מתני':</w:t>
      </w:r>
      <w:r w:rsidRPr="00351B7D">
        <w:rPr>
          <w:rFonts w:asciiTheme="minorBidi" w:hAnsiTheme="minorBidi"/>
          <w:rtl/>
        </w:rPr>
        <w:t xml:space="preserve"> כותבין גט לאיש אף על פי שאין אשתו עמו.... והבעל נותן שכר. </w:t>
      </w:r>
    </w:p>
    <w:p w14:paraId="7DC91E34" w14:textId="77777777" w:rsidR="006D22F9" w:rsidRPr="00FC233F" w:rsidRDefault="006D22F9" w:rsidP="006D22F9">
      <w:pPr>
        <w:rPr>
          <w:rFonts w:asciiTheme="minorBidi" w:hAnsiTheme="minorBidi"/>
          <w:rtl/>
        </w:rPr>
      </w:pPr>
      <w:r w:rsidRPr="00351B7D">
        <w:rPr>
          <w:rFonts w:asciiTheme="minorBidi" w:hAnsiTheme="minorBidi"/>
          <w:b/>
          <w:bCs/>
          <w:rtl/>
        </w:rPr>
        <w:t xml:space="preserve">כתובות </w:t>
      </w:r>
      <w:r>
        <w:rPr>
          <w:rFonts w:asciiTheme="minorBidi" w:hAnsiTheme="minorBidi" w:hint="cs"/>
          <w:b/>
          <w:bCs/>
          <w:sz w:val="16"/>
          <w:szCs w:val="16"/>
          <w:rtl/>
        </w:rPr>
        <w:t xml:space="preserve">(פ"ק) </w:t>
      </w:r>
      <w:r w:rsidRPr="00351B7D">
        <w:rPr>
          <w:rFonts w:asciiTheme="minorBidi" w:hAnsiTheme="minorBidi"/>
          <w:b/>
          <w:bCs/>
          <w:rtl/>
        </w:rPr>
        <w:t xml:space="preserve">יא ע"א: </w:t>
      </w:r>
      <w:r w:rsidRPr="00351B7D">
        <w:rPr>
          <w:rFonts w:asciiTheme="minorBidi" w:hAnsiTheme="minorBidi"/>
          <w:rtl/>
        </w:rPr>
        <w:t>כתובה - היינו טעמא, שלא תהא קלה בעיניו להוציאה.</w:t>
      </w:r>
      <w:r w:rsidRPr="00351B7D">
        <w:rPr>
          <w:rFonts w:asciiTheme="minorBidi" w:hAnsiTheme="minorBidi"/>
          <w:sz w:val="16"/>
          <w:szCs w:val="16"/>
          <w:rtl/>
        </w:rPr>
        <w:t xml:space="preserve"> </w:t>
      </w:r>
    </w:p>
    <w:p w14:paraId="32FF19DD" w14:textId="2AFD1506" w:rsidR="00973C57" w:rsidRPr="00351B7D" w:rsidRDefault="00973C57" w:rsidP="00973C57">
      <w:pPr>
        <w:rPr>
          <w:rFonts w:asciiTheme="minorBidi" w:hAnsiTheme="minorBidi"/>
          <w:color w:val="000000"/>
          <w:sz w:val="16"/>
          <w:szCs w:val="16"/>
          <w:rtl/>
        </w:rPr>
      </w:pPr>
      <w:r w:rsidRPr="00351B7D">
        <w:rPr>
          <w:rFonts w:asciiTheme="minorBidi" w:hAnsiTheme="minorBidi"/>
          <w:b/>
          <w:bCs/>
          <w:rtl/>
        </w:rPr>
        <w:t xml:space="preserve">כתובות </w:t>
      </w:r>
      <w:r w:rsidR="001E4FC2">
        <w:rPr>
          <w:rFonts w:asciiTheme="minorBidi" w:hAnsiTheme="minorBidi" w:hint="cs"/>
          <w:b/>
          <w:bCs/>
          <w:sz w:val="16"/>
          <w:szCs w:val="16"/>
          <w:rtl/>
        </w:rPr>
        <w:t xml:space="preserve">(פ"ק) </w:t>
      </w:r>
      <w:r w:rsidRPr="00351B7D">
        <w:rPr>
          <w:rFonts w:asciiTheme="minorBidi" w:hAnsiTheme="minorBidi"/>
          <w:b/>
          <w:bCs/>
          <w:rtl/>
        </w:rPr>
        <w:t>ז</w:t>
      </w:r>
      <w:r w:rsidR="0031167B">
        <w:rPr>
          <w:rStyle w:val="a7"/>
          <w:rFonts w:asciiTheme="minorBidi" w:hAnsiTheme="minorBidi"/>
          <w:b/>
          <w:bCs/>
          <w:rtl/>
        </w:rPr>
        <w:footnoteReference w:id="1"/>
      </w:r>
      <w:r w:rsidRPr="00351B7D">
        <w:rPr>
          <w:rFonts w:asciiTheme="minorBidi" w:hAnsiTheme="minorBidi"/>
          <w:b/>
          <w:bCs/>
          <w:rtl/>
        </w:rPr>
        <w:t xml:space="preserve"> ע"א:</w:t>
      </w:r>
      <w:r w:rsidRPr="00351B7D">
        <w:rPr>
          <w:rFonts w:asciiTheme="minorBidi" w:hAnsiTheme="minorBidi"/>
          <w:rtl/>
        </w:rPr>
        <w:t xml:space="preserve"> רבי אמי שרא למיבעל בתחלה בשבת, אמרי ליה רבנן: והא לא כתיבא כתובתה! אמר להו: אתפסוה מטלטלין</w:t>
      </w:r>
      <w:r w:rsidRPr="00351B7D">
        <w:rPr>
          <w:rStyle w:val="a7"/>
          <w:rFonts w:asciiTheme="minorBidi" w:hAnsiTheme="minorBidi"/>
          <w:rtl/>
        </w:rPr>
        <w:footnoteReference w:id="2"/>
      </w:r>
      <w:r w:rsidRPr="00351B7D">
        <w:rPr>
          <w:rFonts w:asciiTheme="minorBidi" w:hAnsiTheme="minorBidi"/>
          <w:rtl/>
        </w:rPr>
        <w:t>.</w:t>
      </w:r>
    </w:p>
    <w:p w14:paraId="48E4028B" w14:textId="77777777" w:rsidR="004F6968" w:rsidRPr="00E74B68" w:rsidRDefault="004F6968" w:rsidP="004F6968">
      <w:pPr>
        <w:rPr>
          <w:rFonts w:asciiTheme="minorBidi" w:hAnsiTheme="minorBidi"/>
          <w:rtl/>
        </w:rPr>
      </w:pPr>
      <w:r w:rsidRPr="00E74B68">
        <w:rPr>
          <w:rFonts w:asciiTheme="minorBidi" w:hAnsiTheme="minorBidi" w:cs="Arial" w:hint="cs"/>
          <w:b/>
          <w:bCs/>
          <w:rtl/>
        </w:rPr>
        <w:t>בבא בתרא</w:t>
      </w:r>
      <w:r>
        <w:rPr>
          <w:rFonts w:asciiTheme="minorBidi" w:hAnsiTheme="minorBidi" w:cs="Arial" w:hint="cs"/>
          <w:b/>
          <w:bCs/>
          <w:sz w:val="16"/>
          <w:szCs w:val="16"/>
          <w:rtl/>
        </w:rPr>
        <w:t xml:space="preserve"> (פ' חזקת הבתים)</w:t>
      </w:r>
      <w:r w:rsidRPr="00E74B68">
        <w:rPr>
          <w:rFonts w:asciiTheme="minorBidi" w:hAnsiTheme="minorBidi" w:cs="Arial" w:hint="cs"/>
          <w:b/>
          <w:bCs/>
          <w:rtl/>
        </w:rPr>
        <w:t xml:space="preserve"> מ ע"א: </w:t>
      </w:r>
      <w:r w:rsidRPr="00E74B68">
        <w:rPr>
          <w:rFonts w:asciiTheme="minorBidi" w:hAnsiTheme="minorBidi" w:cs="Arial"/>
          <w:rtl/>
        </w:rPr>
        <w:t>קנין בפני שנים, ואינו צריך לומר כתוב</w:t>
      </w:r>
      <w:r>
        <w:rPr>
          <w:rFonts w:asciiTheme="minorBidi" w:hAnsiTheme="minorBidi" w:cs="Arial" w:hint="cs"/>
          <w:rtl/>
        </w:rPr>
        <w:t>...</w:t>
      </w:r>
      <w:r w:rsidRPr="00E74B68">
        <w:rPr>
          <w:rFonts w:asciiTheme="minorBidi" w:hAnsiTheme="minorBidi" w:cs="Arial"/>
          <w:rtl/>
        </w:rPr>
        <w:t xml:space="preserve"> </w:t>
      </w:r>
      <w:r w:rsidRPr="00A06896">
        <w:rPr>
          <w:rFonts w:asciiTheme="minorBidi" w:hAnsiTheme="minorBidi" w:cs="Arial"/>
          <w:u w:val="single"/>
          <w:rtl/>
        </w:rPr>
        <w:t>אמר רבא</w:t>
      </w:r>
      <w:r w:rsidRPr="00E74B68">
        <w:rPr>
          <w:rFonts w:asciiTheme="minorBidi" w:hAnsiTheme="minorBidi" w:cs="Arial"/>
          <w:rtl/>
        </w:rPr>
        <w:t>: אי קשיא לי - הא קשיא לי, האי קנין היכי דמי? אי כמעשה בית דין דמי, ליבעי תלתא! אי לא כמעשה בית דין דמי, אמאי אינו צריך לומר כתובו? בתר דבעי הדר פשטא, לעולם לאו כמעשה בית דין דמי, והכא טעמא מאי דאינו צריך לומר כתובו? משום דסתם קנין לכתיבה עומד.</w:t>
      </w:r>
    </w:p>
    <w:p w14:paraId="2653488A" w14:textId="77777777" w:rsidR="006D22F9" w:rsidRPr="00351B7D" w:rsidRDefault="006D22F9" w:rsidP="006D22F9">
      <w:pPr>
        <w:rPr>
          <w:rFonts w:asciiTheme="minorBidi" w:hAnsiTheme="minorBidi"/>
          <w:rtl/>
        </w:rPr>
      </w:pPr>
      <w:r w:rsidRPr="00351B7D">
        <w:rPr>
          <w:rFonts w:asciiTheme="minorBidi" w:hAnsiTheme="minorBidi"/>
          <w:b/>
          <w:bCs/>
          <w:rtl/>
        </w:rPr>
        <w:t xml:space="preserve">כתובות </w:t>
      </w:r>
      <w:r>
        <w:rPr>
          <w:rFonts w:asciiTheme="minorBidi" w:hAnsiTheme="minorBidi" w:hint="cs"/>
          <w:b/>
          <w:bCs/>
          <w:sz w:val="16"/>
          <w:szCs w:val="16"/>
          <w:rtl/>
        </w:rPr>
        <w:t xml:space="preserve">(פ' אף על פי) </w:t>
      </w:r>
      <w:r w:rsidRPr="00351B7D">
        <w:rPr>
          <w:rFonts w:asciiTheme="minorBidi" w:hAnsiTheme="minorBidi"/>
          <w:b/>
          <w:bCs/>
          <w:rtl/>
        </w:rPr>
        <w:t>נו ע"ב:</w:t>
      </w:r>
      <w:r w:rsidRPr="00351B7D">
        <w:rPr>
          <w:rFonts w:asciiTheme="minorBidi" w:hAnsiTheme="minorBidi"/>
          <w:rtl/>
        </w:rPr>
        <w:t xml:space="preserve"> </w:t>
      </w:r>
      <w:r w:rsidRPr="00BE675E">
        <w:rPr>
          <w:rFonts w:asciiTheme="minorBidi" w:hAnsiTheme="minorBidi" w:cs="Arial"/>
          <w:rtl/>
        </w:rPr>
        <w:t xml:space="preserve">ורמינהי: </w:t>
      </w:r>
      <w:r w:rsidRPr="00351B7D">
        <w:rPr>
          <w:rFonts w:asciiTheme="minorBidi" w:hAnsiTheme="minorBidi"/>
          <w:rtl/>
        </w:rPr>
        <w:t>אין עושין כתובת אשה מטלטלין</w:t>
      </w:r>
      <w:r w:rsidRPr="00351B7D">
        <w:rPr>
          <w:rStyle w:val="a7"/>
          <w:rFonts w:asciiTheme="minorBidi" w:hAnsiTheme="minorBidi"/>
          <w:rtl/>
        </w:rPr>
        <w:footnoteReference w:id="3"/>
      </w:r>
      <w:r w:rsidRPr="00351B7D">
        <w:rPr>
          <w:rFonts w:asciiTheme="minorBidi" w:hAnsiTheme="minorBidi"/>
          <w:rtl/>
        </w:rPr>
        <w:t xml:space="preserve"> מפני תיקון העולם</w:t>
      </w:r>
      <w:r w:rsidRPr="00351B7D">
        <w:rPr>
          <w:rStyle w:val="a7"/>
          <w:rFonts w:asciiTheme="minorBidi" w:hAnsiTheme="minorBidi"/>
          <w:rtl/>
        </w:rPr>
        <w:footnoteReference w:id="4"/>
      </w:r>
      <w:r>
        <w:rPr>
          <w:rFonts w:asciiTheme="minorBidi" w:hAnsiTheme="minorBidi" w:hint="cs"/>
          <w:rtl/>
        </w:rPr>
        <w:t>.</w:t>
      </w:r>
      <w:r w:rsidRPr="00351B7D">
        <w:rPr>
          <w:rFonts w:asciiTheme="minorBidi" w:hAnsiTheme="minorBidi"/>
          <w:rtl/>
        </w:rPr>
        <w:t xml:space="preserve"> במה דברים אמורים בשלא קבל עליו אחריות</w:t>
      </w:r>
      <w:r w:rsidRPr="00351B7D">
        <w:rPr>
          <w:rStyle w:val="a7"/>
          <w:rFonts w:asciiTheme="minorBidi" w:hAnsiTheme="minorBidi"/>
          <w:rtl/>
        </w:rPr>
        <w:footnoteReference w:id="5"/>
      </w:r>
      <w:r w:rsidRPr="00351B7D">
        <w:rPr>
          <w:rFonts w:asciiTheme="minorBidi" w:hAnsiTheme="minorBidi"/>
          <w:rtl/>
        </w:rPr>
        <w:t>, אבל קבל עליו אחריות עושין</w:t>
      </w:r>
      <w:r>
        <w:rPr>
          <w:rFonts w:asciiTheme="minorBidi" w:hAnsiTheme="minorBidi" w:hint="cs"/>
          <w:rtl/>
        </w:rPr>
        <w:t>.</w:t>
      </w:r>
      <w:r w:rsidRPr="00351B7D">
        <w:rPr>
          <w:rFonts w:asciiTheme="minorBidi" w:hAnsiTheme="minorBidi"/>
          <w:rtl/>
        </w:rPr>
        <w:t xml:space="preserve"> ואתא רבי יוסי למימר, כי קיבל עליו אחריות אמאי עושין? והלא אין קצובין</w:t>
      </w:r>
      <w:r w:rsidRPr="00351B7D">
        <w:rPr>
          <w:rStyle w:val="a7"/>
          <w:rFonts w:asciiTheme="minorBidi" w:hAnsiTheme="minorBidi"/>
          <w:rtl/>
        </w:rPr>
        <w:footnoteReference w:id="6"/>
      </w:r>
      <w:r w:rsidRPr="00351B7D">
        <w:rPr>
          <w:rFonts w:asciiTheme="minorBidi" w:hAnsiTheme="minorBidi"/>
          <w:rtl/>
        </w:rPr>
        <w:t xml:space="preserve"> ופוחתין.</w:t>
      </w:r>
    </w:p>
    <w:p w14:paraId="4AEA9774" w14:textId="04420193" w:rsidR="00DF3F5C" w:rsidRPr="00351B7D" w:rsidRDefault="00DF3F5C" w:rsidP="00DF3F5C">
      <w:pPr>
        <w:rPr>
          <w:rFonts w:asciiTheme="minorBidi" w:hAnsiTheme="minorBidi"/>
          <w:u w:val="single"/>
          <w:rtl/>
        </w:rPr>
      </w:pPr>
      <w:r>
        <w:rPr>
          <w:rFonts w:asciiTheme="minorBidi" w:hAnsiTheme="minorBidi" w:hint="cs"/>
          <w:u w:val="single"/>
          <w:rtl/>
        </w:rPr>
        <w:t>יח</w:t>
      </w:r>
      <w:r w:rsidR="004F6968">
        <w:rPr>
          <w:rFonts w:asciiTheme="minorBidi" w:hAnsiTheme="minorBidi" w:hint="cs"/>
          <w:u w:val="single"/>
          <w:rtl/>
        </w:rPr>
        <w:t>ו</w:t>
      </w:r>
      <w:r>
        <w:rPr>
          <w:rFonts w:asciiTheme="minorBidi" w:hAnsiTheme="minorBidi" w:hint="cs"/>
          <w:u w:val="single"/>
          <w:rtl/>
        </w:rPr>
        <w:t>ד עם הכלה קודם שכתב לה כתובה</w:t>
      </w:r>
      <w:r w:rsidRPr="00351B7D">
        <w:rPr>
          <w:rFonts w:asciiTheme="minorBidi" w:hAnsiTheme="minorBidi"/>
          <w:u w:val="single"/>
          <w:rtl/>
        </w:rPr>
        <w:t>:</w:t>
      </w:r>
    </w:p>
    <w:p w14:paraId="24C11FF9" w14:textId="526F74AE" w:rsidR="00DF3F5C" w:rsidRDefault="00DF3F5C" w:rsidP="00DF3F5C">
      <w:pPr>
        <w:pStyle w:val="ab"/>
        <w:numPr>
          <w:ilvl w:val="0"/>
          <w:numId w:val="8"/>
        </w:numPr>
        <w:rPr>
          <w:rFonts w:asciiTheme="minorBidi" w:hAnsiTheme="minorBidi"/>
        </w:rPr>
      </w:pPr>
      <w:r w:rsidRPr="00351B7D">
        <w:rPr>
          <w:rFonts w:asciiTheme="minorBidi" w:hAnsiTheme="minorBidi"/>
          <w:rtl/>
        </w:rPr>
        <w:t>בהעי"ט</w:t>
      </w:r>
      <w:r>
        <w:rPr>
          <w:rStyle w:val="a7"/>
          <w:rFonts w:asciiTheme="minorBidi" w:hAnsiTheme="minorBidi"/>
          <w:rtl/>
        </w:rPr>
        <w:footnoteReference w:id="7"/>
      </w:r>
      <w:r w:rsidRPr="00351B7D">
        <w:rPr>
          <w:rFonts w:asciiTheme="minorBidi" w:hAnsiTheme="minorBidi"/>
          <w:rtl/>
        </w:rPr>
        <w:t xml:space="preserve"> </w:t>
      </w:r>
      <w:r w:rsidRPr="00351B7D">
        <w:rPr>
          <w:rFonts w:asciiTheme="minorBidi" w:hAnsiTheme="minorBidi"/>
          <w:sz w:val="16"/>
          <w:szCs w:val="16"/>
          <w:rtl/>
        </w:rPr>
        <w:t xml:space="preserve">(ח"ב ברכת חתנים ח"ג סד ע"א) </w:t>
      </w:r>
      <w:r w:rsidRPr="00351B7D">
        <w:rPr>
          <w:rFonts w:asciiTheme="minorBidi" w:hAnsiTheme="minorBidi"/>
          <w:rtl/>
        </w:rPr>
        <w:t xml:space="preserve">וטור- </w:t>
      </w:r>
      <w:r w:rsidRPr="009225CA">
        <w:rPr>
          <w:rFonts w:asciiTheme="minorBidi" w:hAnsiTheme="minorBidi" w:cs="Arial"/>
          <w:rtl/>
        </w:rPr>
        <w:t>אסור להתייחד עם הכלה קודם שיכתוב לה כתובה</w:t>
      </w:r>
      <w:r w:rsidR="00290E1D" w:rsidRPr="00290E1D">
        <w:rPr>
          <w:rtl/>
        </w:rPr>
        <w:t xml:space="preserve"> </w:t>
      </w:r>
      <w:r w:rsidR="00290E1D" w:rsidRPr="00290E1D">
        <w:rPr>
          <w:rFonts w:asciiTheme="minorBidi" w:hAnsiTheme="minorBidi" w:cs="Arial"/>
          <w:rtl/>
        </w:rPr>
        <w:t>והבעל נותן שכר הסופר</w:t>
      </w:r>
      <w:r w:rsidR="00290E1D">
        <w:rPr>
          <w:rFonts w:asciiTheme="minorBidi" w:hAnsiTheme="minorBidi" w:cs="Arial" w:hint="cs"/>
          <w:rtl/>
        </w:rPr>
        <w:t>,</w:t>
      </w:r>
      <w:r w:rsidR="000A2FCC" w:rsidRPr="000A2FCC">
        <w:rPr>
          <w:rtl/>
        </w:rPr>
        <w:t xml:space="preserve"> </w:t>
      </w:r>
      <w:r w:rsidR="000A2FCC" w:rsidRPr="000A2FCC">
        <w:rPr>
          <w:rFonts w:asciiTheme="minorBidi" w:hAnsiTheme="minorBidi" w:cs="Arial"/>
          <w:rtl/>
        </w:rPr>
        <w:t>שחכמים תקנו כתובה לאשה כדי שלא תהא קלה בעיניו להוציאה</w:t>
      </w:r>
      <w:r w:rsidR="00F64EBE">
        <w:rPr>
          <w:rStyle w:val="a7"/>
          <w:rFonts w:asciiTheme="minorBidi" w:hAnsiTheme="minorBidi" w:cs="Arial"/>
          <w:rtl/>
        </w:rPr>
        <w:footnoteReference w:id="8"/>
      </w:r>
      <w:r w:rsidR="000A2FCC">
        <w:rPr>
          <w:rFonts w:asciiTheme="minorBidi" w:hAnsiTheme="minorBidi" w:cs="Arial" w:hint="cs"/>
          <w:rtl/>
        </w:rPr>
        <w:t>.</w:t>
      </w:r>
      <w:r w:rsidR="000A2FCC" w:rsidRPr="000A2FCC">
        <w:rPr>
          <w:rFonts w:asciiTheme="minorBidi" w:hAnsiTheme="minorBidi" w:cs="Arial"/>
          <w:rtl/>
        </w:rPr>
        <w:t xml:space="preserve"> ואפילו אם ירצה לייחד לה כתובתה במעות או בשאר מטלטלין </w:t>
      </w:r>
      <w:r w:rsidR="001E4FC2">
        <w:rPr>
          <w:rFonts w:asciiTheme="minorBidi" w:hAnsiTheme="minorBidi" w:cs="Arial" w:hint="cs"/>
          <w:rtl/>
        </w:rPr>
        <w:t xml:space="preserve">- </w:t>
      </w:r>
      <w:r w:rsidR="000A2FCC" w:rsidRPr="000A2FCC">
        <w:rPr>
          <w:rFonts w:asciiTheme="minorBidi" w:hAnsiTheme="minorBidi" w:cs="Arial"/>
          <w:rtl/>
        </w:rPr>
        <w:t>אין שומעין לו</w:t>
      </w:r>
      <w:r w:rsidR="001E4FC2">
        <w:rPr>
          <w:rFonts w:asciiTheme="minorBidi" w:hAnsiTheme="minorBidi" w:cs="Arial" w:hint="cs"/>
          <w:rtl/>
        </w:rPr>
        <w:t>,</w:t>
      </w:r>
      <w:r w:rsidR="000A2FCC" w:rsidRPr="000A2FCC">
        <w:rPr>
          <w:rFonts w:asciiTheme="minorBidi" w:hAnsiTheme="minorBidi" w:cs="Arial"/>
          <w:rtl/>
        </w:rPr>
        <w:t xml:space="preserve"> אלא צריך שיכתוב לה שטר על עצמו בדמי הכתובה ויהיו כל נכסיו משועבדים לה</w:t>
      </w:r>
      <w:r w:rsidR="00313AB2">
        <w:rPr>
          <w:rFonts w:asciiTheme="minorBidi" w:hAnsiTheme="minorBidi" w:cs="Arial" w:hint="cs"/>
          <w:rtl/>
        </w:rPr>
        <w:t>...</w:t>
      </w:r>
      <w:r w:rsidR="00313AB2" w:rsidRPr="00313AB2">
        <w:rPr>
          <w:rFonts w:asciiTheme="minorBidi" w:hAnsiTheme="minorBidi" w:cs="Arial"/>
          <w:rtl/>
        </w:rPr>
        <w:t xml:space="preserve"> </w:t>
      </w:r>
      <w:r w:rsidR="00313AB2" w:rsidRPr="00962537">
        <w:rPr>
          <w:rFonts w:asciiTheme="minorBidi" w:hAnsiTheme="minorBidi" w:cs="Arial"/>
          <w:rtl/>
        </w:rPr>
        <w:t>ומיהו אם אינו יכול לכתוב לה כתובה כגון בשבת או ששכח לכותבה יכול ליחד לה מטלטלין בשבילה כדי שיבעול ויכתוב לה מיד אח"כ</w:t>
      </w:r>
      <w:r w:rsidR="00313AB2">
        <w:rPr>
          <w:rFonts w:asciiTheme="minorBidi" w:hAnsiTheme="minorBidi" w:cs="Arial" w:hint="cs"/>
          <w:rtl/>
        </w:rPr>
        <w:t>.</w:t>
      </w:r>
      <w:r w:rsidR="00313AB2" w:rsidRPr="00962537">
        <w:rPr>
          <w:rFonts w:asciiTheme="minorBidi" w:hAnsiTheme="minorBidi" w:cs="Arial"/>
          <w:rtl/>
        </w:rPr>
        <w:t xml:space="preserve"> וכתב הרמב"ם וכן אם העידו עליו עדים וקנו ממנו שהוא חייב לה מאתים או ק' זהובים ה"ז מותר עד שיהא לו פנאי לכתוב</w:t>
      </w:r>
      <w:r>
        <w:rPr>
          <w:rFonts w:asciiTheme="minorBidi" w:hAnsiTheme="minorBidi" w:cs="Arial" w:hint="cs"/>
          <w:sz w:val="16"/>
          <w:szCs w:val="16"/>
          <w:rtl/>
        </w:rPr>
        <w:t xml:space="preserve"> (ל' הטור)</w:t>
      </w:r>
      <w:r>
        <w:rPr>
          <w:rFonts w:asciiTheme="minorBidi" w:hAnsiTheme="minorBidi" w:cs="Arial" w:hint="cs"/>
          <w:rtl/>
        </w:rPr>
        <w:t>.</w:t>
      </w:r>
      <w:r w:rsidRPr="00351B7D">
        <w:rPr>
          <w:rFonts w:asciiTheme="minorBidi" w:hAnsiTheme="minorBidi"/>
          <w:color w:val="E36C0A" w:themeColor="accent6" w:themeShade="BF"/>
          <w:rtl/>
        </w:rPr>
        <w:t xml:space="preserve"> (וכ"פ בשו"ע</w:t>
      </w:r>
      <w:r w:rsidR="00DD4FE5">
        <w:rPr>
          <w:rFonts w:asciiTheme="minorBidi" w:hAnsiTheme="minorBidi" w:hint="cs"/>
          <w:color w:val="E36C0A" w:themeColor="accent6" w:themeShade="BF"/>
          <w:sz w:val="16"/>
          <w:szCs w:val="16"/>
          <w:rtl/>
        </w:rPr>
        <w:t xml:space="preserve"> </w:t>
      </w:r>
      <w:r w:rsidR="00DD4FE5" w:rsidRPr="00DD4FE5">
        <w:rPr>
          <w:rFonts w:asciiTheme="minorBidi" w:hAnsiTheme="minorBidi" w:hint="cs"/>
          <w:sz w:val="16"/>
          <w:szCs w:val="16"/>
          <w:rtl/>
        </w:rPr>
        <w:t>[</w:t>
      </w:r>
      <w:r w:rsidR="00DD4FE5">
        <w:rPr>
          <w:rFonts w:asciiTheme="minorBidi" w:hAnsiTheme="minorBidi" w:hint="cs"/>
          <w:sz w:val="16"/>
          <w:szCs w:val="16"/>
          <w:rtl/>
        </w:rPr>
        <w:t>כאן ובסע' ב</w:t>
      </w:r>
      <w:r w:rsidR="00DD4FE5" w:rsidRPr="00DD4FE5">
        <w:rPr>
          <w:rFonts w:asciiTheme="minorBidi" w:hAnsiTheme="minorBidi" w:hint="cs"/>
          <w:sz w:val="16"/>
          <w:szCs w:val="16"/>
          <w:rtl/>
        </w:rPr>
        <w:t>]</w:t>
      </w:r>
      <w:r w:rsidRPr="00351B7D">
        <w:rPr>
          <w:rFonts w:asciiTheme="minorBidi" w:hAnsiTheme="minorBidi"/>
          <w:color w:val="E36C0A" w:themeColor="accent6" w:themeShade="BF"/>
          <w:rtl/>
        </w:rPr>
        <w:t>)</w:t>
      </w:r>
    </w:p>
    <w:p w14:paraId="2475043E" w14:textId="1234E658" w:rsidR="00311215" w:rsidRDefault="00311215" w:rsidP="00DF3F5C">
      <w:pPr>
        <w:pStyle w:val="ab"/>
        <w:numPr>
          <w:ilvl w:val="0"/>
          <w:numId w:val="8"/>
        </w:numPr>
        <w:rPr>
          <w:rFonts w:asciiTheme="minorBidi" w:hAnsiTheme="minorBidi"/>
        </w:rPr>
      </w:pPr>
      <w:r>
        <w:rPr>
          <w:rFonts w:asciiTheme="minorBidi" w:hAnsiTheme="minorBidi" w:cs="Arial" w:hint="cs"/>
          <w:rtl/>
        </w:rPr>
        <w:t xml:space="preserve">רמב"ם </w:t>
      </w:r>
      <w:r w:rsidRPr="0043321E">
        <w:rPr>
          <w:rFonts w:asciiTheme="minorBidi" w:hAnsiTheme="minorBidi" w:cs="Arial" w:hint="cs"/>
          <w:sz w:val="16"/>
          <w:szCs w:val="16"/>
          <w:rtl/>
        </w:rPr>
        <w:t>(פ"י מאישות ה"ז</w:t>
      </w:r>
      <w:r>
        <w:rPr>
          <w:rFonts w:asciiTheme="minorBidi" w:hAnsiTheme="minorBidi" w:cs="Arial" w:hint="cs"/>
          <w:sz w:val="16"/>
          <w:szCs w:val="16"/>
          <w:rtl/>
        </w:rPr>
        <w:t xml:space="preserve"> וה"ט</w:t>
      </w:r>
      <w:r w:rsidRPr="0043321E">
        <w:rPr>
          <w:rFonts w:asciiTheme="minorBidi" w:hAnsiTheme="minorBidi" w:cs="Arial" w:hint="cs"/>
          <w:sz w:val="16"/>
          <w:szCs w:val="16"/>
          <w:rtl/>
        </w:rPr>
        <w:t>)</w:t>
      </w:r>
      <w:r>
        <w:rPr>
          <w:rFonts w:asciiTheme="minorBidi" w:hAnsiTheme="minorBidi" w:hint="cs"/>
          <w:rtl/>
        </w:rPr>
        <w:t xml:space="preserve">- </w:t>
      </w:r>
      <w:r w:rsidRPr="00357E93">
        <w:rPr>
          <w:rFonts w:asciiTheme="minorBidi" w:hAnsiTheme="minorBidi" w:cs="Arial"/>
          <w:rtl/>
        </w:rPr>
        <w:t>וצריך</w:t>
      </w:r>
      <w:r w:rsidR="00122C13" w:rsidRPr="00271D08">
        <w:rPr>
          <w:rStyle w:val="a7"/>
          <w:rFonts w:asciiTheme="minorBidi" w:hAnsiTheme="minorBidi" w:cs="Arial"/>
          <w:rtl/>
        </w:rPr>
        <w:footnoteReference w:id="9"/>
      </w:r>
      <w:r w:rsidRPr="00357E93">
        <w:rPr>
          <w:rFonts w:asciiTheme="minorBidi" w:hAnsiTheme="minorBidi" w:cs="Arial"/>
          <w:rtl/>
        </w:rPr>
        <w:t xml:space="preserve"> לכתוב כתובה קודם כניסה לחופה ואחר כך יהיה מותר באשתו</w:t>
      </w:r>
      <w:r w:rsidR="00122C13">
        <w:rPr>
          <w:rFonts w:asciiTheme="minorBidi" w:hAnsiTheme="minorBidi" w:cs="Arial" w:hint="cs"/>
          <w:rtl/>
        </w:rPr>
        <w:t>...</w:t>
      </w:r>
      <w:r w:rsidR="00122C13">
        <w:rPr>
          <w:rFonts w:asciiTheme="minorBidi" w:hAnsiTheme="minorBidi" w:cs="Arial" w:hint="cs"/>
          <w:sz w:val="14"/>
          <w:szCs w:val="14"/>
          <w:rtl/>
        </w:rPr>
        <w:t xml:space="preserve"> (ה"ט)</w:t>
      </w:r>
      <w:r w:rsidR="00122C13" w:rsidRPr="001923E3">
        <w:rPr>
          <w:rFonts w:asciiTheme="minorBidi" w:hAnsiTheme="minorBidi" w:cs="Arial"/>
          <w:rtl/>
        </w:rPr>
        <w:t xml:space="preserve"> אחד הכותב את הכתובה בשטר</w:t>
      </w:r>
      <w:r w:rsidR="00122C13">
        <w:rPr>
          <w:rFonts w:asciiTheme="minorBidi" w:hAnsiTheme="minorBidi" w:cs="Arial" w:hint="cs"/>
          <w:rtl/>
        </w:rPr>
        <w:t>,</w:t>
      </w:r>
      <w:r w:rsidR="00122C13" w:rsidRPr="001923E3">
        <w:rPr>
          <w:rFonts w:asciiTheme="minorBidi" w:hAnsiTheme="minorBidi" w:cs="Arial"/>
          <w:rtl/>
        </w:rPr>
        <w:t xml:space="preserve"> ואחד</w:t>
      </w:r>
      <w:r w:rsidR="00122C13" w:rsidRPr="00351B7D">
        <w:rPr>
          <w:rStyle w:val="a7"/>
          <w:rFonts w:asciiTheme="minorBidi" w:hAnsiTheme="minorBidi"/>
          <w:rtl/>
        </w:rPr>
        <w:footnoteReference w:id="10"/>
      </w:r>
      <w:r w:rsidR="00122C13" w:rsidRPr="001923E3">
        <w:rPr>
          <w:rFonts w:asciiTheme="minorBidi" w:hAnsiTheme="minorBidi" w:cs="Arial"/>
          <w:rtl/>
        </w:rPr>
        <w:t xml:space="preserve"> שהעידו עליו עדים וקנו ממנו שהוא חייב לה מאה או מאתים </w:t>
      </w:r>
      <w:r w:rsidR="00122C13">
        <w:rPr>
          <w:rFonts w:asciiTheme="minorBidi" w:hAnsiTheme="minorBidi" w:cs="Arial" w:hint="cs"/>
          <w:rtl/>
        </w:rPr>
        <w:t xml:space="preserve">- </w:t>
      </w:r>
      <w:r w:rsidR="00122C13" w:rsidRPr="001923E3">
        <w:rPr>
          <w:rFonts w:asciiTheme="minorBidi" w:hAnsiTheme="minorBidi" w:cs="Arial"/>
          <w:rtl/>
        </w:rPr>
        <w:t>הרי זה מותר</w:t>
      </w:r>
      <w:r w:rsidR="00122C13">
        <w:rPr>
          <w:rFonts w:asciiTheme="minorBidi" w:hAnsiTheme="minorBidi" w:cs="Arial" w:hint="cs"/>
          <w:rtl/>
        </w:rPr>
        <w:t>.</w:t>
      </w:r>
      <w:r w:rsidR="00122C13" w:rsidRPr="001923E3">
        <w:rPr>
          <w:rFonts w:asciiTheme="minorBidi" w:hAnsiTheme="minorBidi" w:cs="Arial"/>
          <w:rtl/>
        </w:rPr>
        <w:t xml:space="preserve"> וכן אם נתן לה מטלטלין כנגד כתובתה הרי זה מותר לבעול</w:t>
      </w:r>
      <w:r w:rsidR="00A91736">
        <w:rPr>
          <w:rStyle w:val="a7"/>
          <w:rFonts w:asciiTheme="minorBidi" w:hAnsiTheme="minorBidi" w:cs="Arial"/>
          <w:rtl/>
        </w:rPr>
        <w:footnoteReference w:id="11"/>
      </w:r>
      <w:r w:rsidR="00122C13" w:rsidRPr="001923E3">
        <w:rPr>
          <w:rFonts w:asciiTheme="minorBidi" w:hAnsiTheme="minorBidi" w:cs="Arial"/>
          <w:rtl/>
        </w:rPr>
        <w:t xml:space="preserve"> עד שיהיה לו פנאי לכתוב</w:t>
      </w:r>
      <w:r w:rsidR="00122C13">
        <w:rPr>
          <w:rStyle w:val="a7"/>
          <w:rFonts w:asciiTheme="minorBidi" w:hAnsiTheme="minorBidi" w:cs="Arial"/>
          <w:rtl/>
        </w:rPr>
        <w:footnoteReference w:id="12"/>
      </w:r>
      <w:r w:rsidR="00122C13" w:rsidRPr="001923E3">
        <w:rPr>
          <w:rFonts w:asciiTheme="minorBidi" w:hAnsiTheme="minorBidi" w:cs="Arial"/>
          <w:rtl/>
        </w:rPr>
        <w:t>.</w:t>
      </w:r>
      <w:r w:rsidR="00122C13">
        <w:rPr>
          <w:rFonts w:asciiTheme="minorBidi" w:hAnsiTheme="minorBidi" w:cs="Arial" w:hint="cs"/>
          <w:rtl/>
        </w:rPr>
        <w:t xml:space="preserve"> </w:t>
      </w:r>
    </w:p>
    <w:p w14:paraId="7CAD89D3" w14:textId="7E8E0976" w:rsidR="00DF3F5C" w:rsidRPr="006B564B" w:rsidRDefault="00DF3F5C" w:rsidP="00DF3F5C">
      <w:pPr>
        <w:pStyle w:val="ab"/>
        <w:numPr>
          <w:ilvl w:val="0"/>
          <w:numId w:val="8"/>
        </w:numPr>
        <w:rPr>
          <w:rFonts w:asciiTheme="minorBidi" w:hAnsiTheme="minorBidi"/>
          <w:rtl/>
        </w:rPr>
      </w:pPr>
      <w:r w:rsidRPr="00351B7D">
        <w:rPr>
          <w:rFonts w:asciiTheme="minorBidi" w:hAnsiTheme="minorBidi"/>
          <w:rtl/>
        </w:rPr>
        <w:lastRenderedPageBreak/>
        <w:t xml:space="preserve">ר"ן </w:t>
      </w:r>
      <w:r w:rsidRPr="00351B7D">
        <w:rPr>
          <w:rFonts w:asciiTheme="minorBidi" w:hAnsiTheme="minorBidi"/>
          <w:sz w:val="16"/>
          <w:szCs w:val="16"/>
          <w:rtl/>
        </w:rPr>
        <w:t>(כתובות א. ד"ה או)</w:t>
      </w:r>
      <w:r w:rsidRPr="00351B7D">
        <w:rPr>
          <w:rFonts w:asciiTheme="minorBidi" w:hAnsiTheme="minorBidi"/>
          <w:rtl/>
        </w:rPr>
        <w:t xml:space="preserve">- </w:t>
      </w:r>
      <w:r w:rsidRPr="006B564B">
        <w:rPr>
          <w:rFonts w:asciiTheme="minorBidi" w:hAnsiTheme="minorBidi" w:cs="Arial"/>
          <w:rtl/>
        </w:rPr>
        <w:t>והרב בעל העיטור הוסיף ואמר שאין מכניסין אותה לחופה עד שיכתוב כתובה שקודם לכן אסורה לבעלה וכן דעת הר</w:t>
      </w:r>
      <w:r>
        <w:rPr>
          <w:rFonts w:asciiTheme="minorBidi" w:hAnsiTheme="minorBidi" w:cs="Arial" w:hint="cs"/>
          <w:rtl/>
        </w:rPr>
        <w:t>מב"ם</w:t>
      </w:r>
      <w:r w:rsidR="00311215">
        <w:rPr>
          <w:rStyle w:val="a7"/>
          <w:rFonts w:asciiTheme="minorBidi" w:hAnsiTheme="minorBidi" w:cs="Arial"/>
          <w:rtl/>
        </w:rPr>
        <w:footnoteReference w:id="13"/>
      </w:r>
      <w:r>
        <w:rPr>
          <w:rFonts w:asciiTheme="minorBidi" w:hAnsiTheme="minorBidi" w:cs="Arial" w:hint="cs"/>
          <w:rtl/>
        </w:rPr>
        <w:t>...</w:t>
      </w:r>
      <w:r w:rsidRPr="006B564B">
        <w:rPr>
          <w:rFonts w:asciiTheme="minorBidi" w:hAnsiTheme="minorBidi" w:cs="Arial"/>
          <w:rtl/>
        </w:rPr>
        <w:t xml:space="preserve"> והא ודאי לא נהירא מדאמרינן לקמן </w:t>
      </w:r>
      <w:r>
        <w:rPr>
          <w:rFonts w:asciiTheme="minorBidi" w:hAnsiTheme="minorBidi" w:cs="Arial" w:hint="cs"/>
          <w:rtl/>
        </w:rPr>
        <w:t>(</w:t>
      </w:r>
      <w:r w:rsidRPr="006B564B">
        <w:rPr>
          <w:rFonts w:asciiTheme="minorBidi" w:hAnsiTheme="minorBidi" w:cs="Arial"/>
          <w:rtl/>
        </w:rPr>
        <w:t>ז</w:t>
      </w:r>
      <w:r>
        <w:rPr>
          <w:rFonts w:asciiTheme="minorBidi" w:hAnsiTheme="minorBidi" w:cs="Arial" w:hint="cs"/>
          <w:rtl/>
        </w:rPr>
        <w:t>.)</w:t>
      </w:r>
      <w:r w:rsidRPr="006B564B">
        <w:rPr>
          <w:rFonts w:asciiTheme="minorBidi" w:hAnsiTheme="minorBidi" w:cs="Arial"/>
          <w:rtl/>
        </w:rPr>
        <w:t xml:space="preserve"> רבי אמי שרי למבעל בתחלה בשבת אמרו ליה רבנן והא לא איכתיבה כתובה אמר להו אתפשוה מטלטלי</w:t>
      </w:r>
      <w:r>
        <w:rPr>
          <w:rFonts w:asciiTheme="minorBidi" w:hAnsiTheme="minorBidi" w:cs="Arial" w:hint="cs"/>
          <w:rtl/>
        </w:rPr>
        <w:t>,</w:t>
      </w:r>
      <w:r w:rsidRPr="006B564B">
        <w:rPr>
          <w:rFonts w:asciiTheme="minorBidi" w:hAnsiTheme="minorBidi" w:cs="Arial"/>
          <w:rtl/>
        </w:rPr>
        <w:t xml:space="preserve"> ובודאי ביום רביעי כנסה דלא עבר אתקנתא דרבנן</w:t>
      </w:r>
      <w:r>
        <w:rPr>
          <w:rFonts w:asciiTheme="minorBidi" w:hAnsiTheme="minorBidi" w:cs="Arial" w:hint="cs"/>
          <w:rtl/>
        </w:rPr>
        <w:t>,</w:t>
      </w:r>
      <w:r w:rsidRPr="006B564B">
        <w:rPr>
          <w:rFonts w:asciiTheme="minorBidi" w:hAnsiTheme="minorBidi" w:cs="Arial"/>
          <w:rtl/>
        </w:rPr>
        <w:t xml:space="preserve"> אלמא שרי לכנסה בלא כתובה</w:t>
      </w:r>
      <w:r>
        <w:rPr>
          <w:rFonts w:asciiTheme="minorBidi" w:hAnsiTheme="minorBidi" w:cs="Arial" w:hint="cs"/>
          <w:rtl/>
        </w:rPr>
        <w:t>,</w:t>
      </w:r>
      <w:r w:rsidRPr="006B564B">
        <w:rPr>
          <w:rFonts w:asciiTheme="minorBidi" w:hAnsiTheme="minorBidi" w:cs="Arial"/>
          <w:rtl/>
        </w:rPr>
        <w:t xml:space="preserve"> וכן בדין שלא מצינו שתהא אסורה להתיחד בלא כתובה</w:t>
      </w:r>
      <w:r>
        <w:rPr>
          <w:rFonts w:asciiTheme="minorBidi" w:hAnsiTheme="minorBidi" w:cs="Arial" w:hint="cs"/>
          <w:rtl/>
        </w:rPr>
        <w:t>.</w:t>
      </w:r>
      <w:r w:rsidRPr="006B564B">
        <w:rPr>
          <w:rFonts w:asciiTheme="minorBidi" w:hAnsiTheme="minorBidi" w:cs="Arial"/>
          <w:rtl/>
        </w:rPr>
        <w:t xml:space="preserve"> וטעמא דמילתא משום דאיסורא דביאה בלא כתובה מדרבנן בעלמא הוא</w:t>
      </w:r>
      <w:r>
        <w:rPr>
          <w:rFonts w:asciiTheme="minorBidi" w:hAnsiTheme="minorBidi" w:cs="Arial" w:hint="cs"/>
          <w:rtl/>
        </w:rPr>
        <w:t>.</w:t>
      </w:r>
      <w:r w:rsidRPr="006B564B">
        <w:rPr>
          <w:rFonts w:asciiTheme="minorBidi" w:hAnsiTheme="minorBidi" w:cs="Arial"/>
          <w:rtl/>
        </w:rPr>
        <w:t xml:space="preserve"> ועוד שהיא לא תשמע לו מפני שהיא יודעת שהיא קלה בעיניו להוציאה</w:t>
      </w:r>
      <w:r>
        <w:rPr>
          <w:rFonts w:asciiTheme="minorBidi" w:hAnsiTheme="minorBidi" w:cs="Arial" w:hint="cs"/>
          <w:rtl/>
        </w:rPr>
        <w:t>...</w:t>
      </w:r>
      <w:r w:rsidRPr="006B564B">
        <w:rPr>
          <w:rFonts w:asciiTheme="minorBidi" w:hAnsiTheme="minorBidi" w:cs="Arial"/>
          <w:rtl/>
        </w:rPr>
        <w:t xml:space="preserve"> הילכך אפילו אם תמצא לומר דחופה היינו יחוד כיון דלא מתסרא ביחוד בלא כתובה שרי לכנסה לחופה</w:t>
      </w:r>
      <w:r w:rsidRPr="006B564B">
        <w:rPr>
          <w:rFonts w:asciiTheme="minorBidi" w:hAnsiTheme="minorBidi"/>
          <w:rtl/>
        </w:rPr>
        <w:t>.</w:t>
      </w:r>
      <w:r w:rsidR="001F5696">
        <w:rPr>
          <w:rFonts w:asciiTheme="minorBidi" w:hAnsiTheme="minorBidi" w:hint="cs"/>
          <w:rtl/>
        </w:rPr>
        <w:t xml:space="preserve"> </w:t>
      </w:r>
    </w:p>
    <w:p w14:paraId="4353E64B" w14:textId="77777777" w:rsidR="00D52B9F" w:rsidRPr="00351B7D" w:rsidRDefault="00D52B9F" w:rsidP="00D52B9F">
      <w:pPr>
        <w:pStyle w:val="ab"/>
        <w:numPr>
          <w:ilvl w:val="0"/>
          <w:numId w:val="8"/>
        </w:numPr>
        <w:rPr>
          <w:rFonts w:asciiTheme="minorBidi" w:hAnsiTheme="minorBidi"/>
        </w:rPr>
      </w:pPr>
      <w:r w:rsidRPr="00351B7D">
        <w:rPr>
          <w:rFonts w:asciiTheme="minorBidi" w:hAnsiTheme="minorBidi"/>
          <w:rtl/>
        </w:rPr>
        <w:t>סמ"ג</w:t>
      </w:r>
      <w:r>
        <w:rPr>
          <w:rFonts w:asciiTheme="minorBidi" w:hAnsiTheme="minorBidi" w:hint="cs"/>
          <w:sz w:val="16"/>
          <w:szCs w:val="16"/>
          <w:rtl/>
        </w:rPr>
        <w:t xml:space="preserve"> (עשין מח)</w:t>
      </w:r>
      <w:r w:rsidRPr="00351B7D">
        <w:rPr>
          <w:rFonts w:asciiTheme="minorBidi" w:hAnsiTheme="minorBidi"/>
          <w:rtl/>
        </w:rPr>
        <w:t>- אחד הכותב כתובה בשטר, ואחד שהעידו עליו עדים וקנו ממנו שהוא חייב לה מאה או מאתים במקום שאין כותבין</w:t>
      </w:r>
      <w:r w:rsidRPr="00351B7D">
        <w:rPr>
          <w:rStyle w:val="a7"/>
          <w:rFonts w:asciiTheme="minorBidi" w:hAnsiTheme="minorBidi"/>
          <w:rtl/>
        </w:rPr>
        <w:footnoteReference w:id="14"/>
      </w:r>
      <w:r>
        <w:rPr>
          <w:rFonts w:asciiTheme="minorBidi" w:hAnsiTheme="minorBidi" w:hint="cs"/>
          <w:rtl/>
        </w:rPr>
        <w:t>,</w:t>
      </w:r>
      <w:r w:rsidRPr="00351B7D">
        <w:rPr>
          <w:rFonts w:asciiTheme="minorBidi" w:hAnsiTheme="minorBidi"/>
          <w:rtl/>
        </w:rPr>
        <w:t xml:space="preserve"> וכן אם נתן לה מטלטלין כנגד כתובתה אף במקום שכותבין</w:t>
      </w:r>
      <w:r>
        <w:rPr>
          <w:rFonts w:asciiTheme="minorBidi" w:hAnsiTheme="minorBidi" w:hint="cs"/>
          <w:rtl/>
        </w:rPr>
        <w:t xml:space="preserve"> -</w:t>
      </w:r>
      <w:r w:rsidRPr="00351B7D">
        <w:rPr>
          <w:rFonts w:asciiTheme="minorBidi" w:hAnsiTheme="minorBidi"/>
          <w:rtl/>
        </w:rPr>
        <w:t xml:space="preserve"> הרי זה מותר לבעול עד שיהא לו פנאי לכתוב כדאי' בפ"ק דכתובות</w:t>
      </w:r>
      <w:r w:rsidRPr="00351B7D">
        <w:rPr>
          <w:rFonts w:asciiTheme="minorBidi" w:hAnsiTheme="minorBidi"/>
          <w:sz w:val="16"/>
          <w:szCs w:val="16"/>
          <w:rtl/>
        </w:rPr>
        <w:t xml:space="preserve"> (ז.)</w:t>
      </w:r>
      <w:r>
        <w:rPr>
          <w:rFonts w:asciiTheme="minorBidi" w:hAnsiTheme="minorBidi" w:hint="cs"/>
          <w:rtl/>
        </w:rPr>
        <w:t xml:space="preserve">, </w:t>
      </w:r>
      <w:r w:rsidRPr="00351B7D">
        <w:rPr>
          <w:rFonts w:asciiTheme="minorBidi" w:hAnsiTheme="minorBidi"/>
          <w:rtl/>
        </w:rPr>
        <w:t>רק שיקבל עליו אחריות אם יאבדו או יזולו.</w:t>
      </w:r>
      <w:r>
        <w:rPr>
          <w:rFonts w:asciiTheme="minorBidi" w:hAnsiTheme="minorBidi" w:hint="cs"/>
          <w:rtl/>
        </w:rPr>
        <w:t xml:space="preserve"> </w:t>
      </w:r>
      <w:r w:rsidRPr="00351B7D">
        <w:rPr>
          <w:rFonts w:asciiTheme="minorBidi" w:hAnsiTheme="minorBidi"/>
          <w:rtl/>
        </w:rPr>
        <w:t>(וכ"פ הב"ח</w:t>
      </w:r>
      <w:r w:rsidRPr="00351B7D">
        <w:rPr>
          <w:rStyle w:val="a7"/>
          <w:rFonts w:asciiTheme="minorBidi" w:hAnsiTheme="minorBidi"/>
          <w:rtl/>
        </w:rPr>
        <w:footnoteReference w:id="15"/>
      </w:r>
      <w:r w:rsidRPr="00351B7D">
        <w:rPr>
          <w:rFonts w:asciiTheme="minorBidi" w:hAnsiTheme="minorBidi"/>
          <w:rtl/>
        </w:rPr>
        <w:t>)</w:t>
      </w:r>
    </w:p>
    <w:p w14:paraId="5BC82508" w14:textId="77777777" w:rsidR="00313AB2" w:rsidRPr="00C717D7" w:rsidRDefault="00313AB2" w:rsidP="00313AB2">
      <w:pPr>
        <w:pStyle w:val="ab"/>
        <w:numPr>
          <w:ilvl w:val="0"/>
          <w:numId w:val="8"/>
        </w:numPr>
        <w:rPr>
          <w:rFonts w:asciiTheme="minorBidi" w:hAnsiTheme="minorBidi"/>
        </w:rPr>
      </w:pPr>
      <w:r w:rsidRPr="00351B7D">
        <w:rPr>
          <w:rFonts w:asciiTheme="minorBidi" w:hAnsiTheme="minorBidi"/>
          <w:rtl/>
        </w:rPr>
        <w:t>מהרי"ק</w:t>
      </w:r>
      <w:r>
        <w:rPr>
          <w:rFonts w:asciiTheme="minorBidi" w:hAnsiTheme="minorBidi" w:hint="cs"/>
          <w:sz w:val="16"/>
          <w:szCs w:val="16"/>
          <w:rtl/>
        </w:rPr>
        <w:t xml:space="preserve"> (שורש סד)</w:t>
      </w:r>
      <w:r w:rsidRPr="00351B7D">
        <w:rPr>
          <w:rFonts w:asciiTheme="minorBidi" w:hAnsiTheme="minorBidi"/>
          <w:rtl/>
        </w:rPr>
        <w:t>-</w:t>
      </w:r>
      <w:r w:rsidRPr="00A35E80">
        <w:rPr>
          <w:rFonts w:asciiTheme="minorBidi" w:hAnsiTheme="minorBidi" w:cs="Arial"/>
          <w:rtl/>
        </w:rPr>
        <w:t xml:space="preserve"> אשר שאלת אם אחד מקבל קנין על הכתובה ועדיין לא חתמו העדים האם מותר לשהות אצל אשתו או לא</w:t>
      </w:r>
      <w:r>
        <w:rPr>
          <w:rFonts w:asciiTheme="minorBidi" w:hAnsiTheme="minorBidi" w:cs="Arial" w:hint="cs"/>
          <w:rtl/>
        </w:rPr>
        <w:t>.</w:t>
      </w:r>
      <w:r w:rsidRPr="00A35E80">
        <w:rPr>
          <w:rFonts w:asciiTheme="minorBidi" w:hAnsiTheme="minorBidi" w:cs="Arial"/>
          <w:rtl/>
        </w:rPr>
        <w:t xml:space="preserve"> לע"ד נ"ל דאין להתיר אלא ע"י הדחק</w:t>
      </w:r>
      <w:r>
        <w:rPr>
          <w:rFonts w:asciiTheme="minorBidi" w:hAnsiTheme="minorBidi" w:cs="Arial" w:hint="cs"/>
          <w:rtl/>
        </w:rPr>
        <w:t>,</w:t>
      </w:r>
      <w:r w:rsidRPr="00A35E80">
        <w:rPr>
          <w:rFonts w:asciiTheme="minorBidi" w:hAnsiTheme="minorBidi" w:cs="Arial"/>
          <w:rtl/>
        </w:rPr>
        <w:t xml:space="preserve"> כגון בשבת או רוצה לכנוס אחר ששכח </w:t>
      </w:r>
      <w:r>
        <w:rPr>
          <w:rFonts w:asciiTheme="minorBidi" w:hAnsiTheme="minorBidi" w:cs="Arial" w:hint="cs"/>
          <w:rtl/>
        </w:rPr>
        <w:t xml:space="preserve">- </w:t>
      </w:r>
      <w:r w:rsidRPr="00A35E80">
        <w:rPr>
          <w:rFonts w:asciiTheme="minorBidi" w:hAnsiTheme="minorBidi" w:cs="Arial"/>
          <w:rtl/>
        </w:rPr>
        <w:t>אז מותר לפי שעה ויכתוב לה תיכף אח"כ</w:t>
      </w:r>
      <w:r>
        <w:rPr>
          <w:rFonts w:asciiTheme="minorBidi" w:hAnsiTheme="minorBidi" w:cs="Arial" w:hint="cs"/>
          <w:rtl/>
        </w:rPr>
        <w:t>.</w:t>
      </w:r>
      <w:r w:rsidRPr="00A35E80">
        <w:rPr>
          <w:rFonts w:asciiTheme="minorBidi" w:hAnsiTheme="minorBidi" w:cs="Arial"/>
          <w:rtl/>
        </w:rPr>
        <w:t xml:space="preserve"> אבל לסמוך לכתחלה על עידי הקנין</w:t>
      </w:r>
      <w:r>
        <w:rPr>
          <w:rFonts w:asciiTheme="minorBidi" w:hAnsiTheme="minorBidi" w:cs="Arial" w:hint="cs"/>
          <w:rtl/>
        </w:rPr>
        <w:t>,</w:t>
      </w:r>
      <w:r w:rsidRPr="00A35E80">
        <w:rPr>
          <w:rFonts w:asciiTheme="minorBidi" w:hAnsiTheme="minorBidi" w:cs="Arial"/>
          <w:rtl/>
        </w:rPr>
        <w:t xml:space="preserve"> פשיטא שאין לעשות</w:t>
      </w:r>
      <w:r>
        <w:rPr>
          <w:rStyle w:val="a7"/>
          <w:rFonts w:asciiTheme="minorBidi" w:hAnsiTheme="minorBidi" w:cs="Arial"/>
          <w:rtl/>
        </w:rPr>
        <w:footnoteReference w:id="16"/>
      </w:r>
      <w:r>
        <w:rPr>
          <w:rFonts w:asciiTheme="minorBidi" w:hAnsiTheme="minorBidi" w:cs="Arial" w:hint="cs"/>
          <w:rtl/>
        </w:rPr>
        <w:t>.</w:t>
      </w:r>
      <w:r w:rsidRPr="00C717D7">
        <w:rPr>
          <w:rFonts w:asciiTheme="minorBidi" w:hAnsiTheme="minorBidi"/>
          <w:color w:val="00B0F0"/>
          <w:rtl/>
        </w:rPr>
        <w:t xml:space="preserve"> (וכ"פ הרמ"א)</w:t>
      </w:r>
    </w:p>
    <w:p w14:paraId="2FDD9522" w14:textId="77777777" w:rsidR="006D22F9" w:rsidRPr="003242FD" w:rsidRDefault="006D22F9" w:rsidP="006D22F9">
      <w:pPr>
        <w:ind w:left="360"/>
        <w:rPr>
          <w:rFonts w:asciiTheme="minorBidi" w:hAnsiTheme="minorBidi"/>
          <w:u w:val="dotted"/>
          <w:rtl/>
        </w:rPr>
      </w:pPr>
      <w:r>
        <w:rPr>
          <w:rFonts w:asciiTheme="minorBidi" w:hAnsiTheme="minorBidi" w:hint="cs"/>
          <w:u w:val="dotted"/>
          <w:rtl/>
        </w:rPr>
        <w:t xml:space="preserve">כשמתפיס אותה מטלטלין - </w:t>
      </w:r>
      <w:r w:rsidRPr="003242FD">
        <w:rPr>
          <w:rFonts w:asciiTheme="minorBidi" w:hAnsiTheme="minorBidi"/>
          <w:u w:val="dotted"/>
          <w:rtl/>
        </w:rPr>
        <w:t>האם צריך לקבל עלי</w:t>
      </w:r>
      <w:r>
        <w:rPr>
          <w:rFonts w:asciiTheme="minorBidi" w:hAnsiTheme="minorBidi" w:hint="cs"/>
          <w:u w:val="dotted"/>
          <w:rtl/>
        </w:rPr>
        <w:t>ו</w:t>
      </w:r>
      <w:r w:rsidRPr="003242FD">
        <w:rPr>
          <w:rFonts w:asciiTheme="minorBidi" w:hAnsiTheme="minorBidi"/>
          <w:u w:val="dotted"/>
          <w:rtl/>
        </w:rPr>
        <w:t xml:space="preserve"> אחריות</w:t>
      </w:r>
      <w:r>
        <w:rPr>
          <w:rFonts w:asciiTheme="minorBidi" w:hAnsiTheme="minorBidi" w:hint="cs"/>
          <w:u w:val="dotted"/>
          <w:rtl/>
        </w:rPr>
        <w:t xml:space="preserve"> על המטלטלין</w:t>
      </w:r>
      <w:r w:rsidRPr="003242FD">
        <w:rPr>
          <w:rFonts w:asciiTheme="minorBidi" w:hAnsiTheme="minorBidi"/>
          <w:u w:val="dotted"/>
          <w:rtl/>
        </w:rPr>
        <w:t>:</w:t>
      </w:r>
    </w:p>
    <w:p w14:paraId="62AF14EA" w14:textId="77777777" w:rsidR="006D22F9" w:rsidRPr="006E7F9C" w:rsidRDefault="006D22F9" w:rsidP="006D22F9">
      <w:pPr>
        <w:pStyle w:val="ab"/>
        <w:numPr>
          <w:ilvl w:val="0"/>
          <w:numId w:val="14"/>
        </w:numPr>
        <w:rPr>
          <w:rFonts w:asciiTheme="minorBidi" w:hAnsiTheme="minorBidi"/>
        </w:rPr>
      </w:pPr>
      <w:r w:rsidRPr="00351B7D">
        <w:rPr>
          <w:rFonts w:asciiTheme="minorBidi" w:hAnsiTheme="minorBidi"/>
          <w:rtl/>
        </w:rPr>
        <w:t xml:space="preserve">תוס' </w:t>
      </w:r>
      <w:r w:rsidRPr="00351B7D">
        <w:rPr>
          <w:rFonts w:asciiTheme="minorBidi" w:hAnsiTheme="minorBidi"/>
          <w:sz w:val="16"/>
          <w:szCs w:val="16"/>
          <w:rtl/>
        </w:rPr>
        <w:t>(נו: ד"ה אין עושין)</w:t>
      </w:r>
      <w:r w:rsidRPr="00351B7D">
        <w:rPr>
          <w:rFonts w:asciiTheme="minorBidi" w:hAnsiTheme="minorBidi"/>
          <w:rtl/>
        </w:rPr>
        <w:t xml:space="preserve"> וסמ"ג</w:t>
      </w:r>
      <w:r w:rsidRPr="00351B7D">
        <w:rPr>
          <w:rFonts w:asciiTheme="minorBidi" w:hAnsiTheme="minorBidi"/>
          <w:sz w:val="16"/>
          <w:szCs w:val="16"/>
          <w:rtl/>
        </w:rPr>
        <w:t xml:space="preserve"> (עשין מח)</w:t>
      </w:r>
      <w:r w:rsidRPr="00351B7D">
        <w:rPr>
          <w:rFonts w:asciiTheme="minorBidi" w:hAnsiTheme="minorBidi"/>
          <w:rtl/>
        </w:rPr>
        <w:t xml:space="preserve">- </w:t>
      </w:r>
      <w:r w:rsidRPr="00394062">
        <w:rPr>
          <w:rFonts w:asciiTheme="minorBidi" w:hAnsiTheme="minorBidi" w:cs="Arial"/>
          <w:rtl/>
        </w:rPr>
        <w:t xml:space="preserve">הא דאמרינן בפ"ק (ז.) אמר להו אתפסוה מטלטלי </w:t>
      </w:r>
      <w:r>
        <w:rPr>
          <w:rFonts w:asciiTheme="minorBidi" w:hAnsiTheme="minorBidi" w:cs="Arial" w:hint="cs"/>
          <w:rtl/>
        </w:rPr>
        <w:t xml:space="preserve">- </w:t>
      </w:r>
      <w:r w:rsidRPr="00394062">
        <w:rPr>
          <w:rFonts w:asciiTheme="minorBidi" w:hAnsiTheme="minorBidi" w:cs="Arial"/>
          <w:rtl/>
        </w:rPr>
        <w:t>כשקבל עליו אחריות אם יאבדו או יזולו</w:t>
      </w:r>
      <w:r w:rsidRPr="00351B7D">
        <w:rPr>
          <w:rStyle w:val="a7"/>
          <w:rFonts w:asciiTheme="minorBidi" w:hAnsiTheme="minorBidi"/>
          <w:rtl/>
        </w:rPr>
        <w:footnoteReference w:id="17"/>
      </w:r>
      <w:r>
        <w:rPr>
          <w:rFonts w:asciiTheme="minorBidi" w:hAnsiTheme="minorBidi" w:cs="Arial" w:hint="cs"/>
          <w:sz w:val="16"/>
          <w:szCs w:val="16"/>
          <w:rtl/>
        </w:rPr>
        <w:t xml:space="preserve"> (ל' התוס')</w:t>
      </w:r>
      <w:r>
        <w:rPr>
          <w:rFonts w:asciiTheme="minorBidi" w:hAnsiTheme="minorBidi" w:cs="Arial" w:hint="cs"/>
          <w:rtl/>
        </w:rPr>
        <w:t>.</w:t>
      </w:r>
      <w:r w:rsidRPr="00394062">
        <w:rPr>
          <w:rFonts w:asciiTheme="minorBidi" w:hAnsiTheme="minorBidi" w:cs="Arial"/>
          <w:rtl/>
        </w:rPr>
        <w:t xml:space="preserve"> </w:t>
      </w:r>
      <w:r w:rsidRPr="006E7F9C">
        <w:rPr>
          <w:rFonts w:asciiTheme="minorBidi" w:hAnsiTheme="minorBidi"/>
          <w:color w:val="E36C0A" w:themeColor="accent6" w:themeShade="BF"/>
          <w:rtl/>
        </w:rPr>
        <w:t>(וכ"פ בשו"ע)</w:t>
      </w:r>
    </w:p>
    <w:p w14:paraId="71C22D7F" w14:textId="77777777" w:rsidR="006D22F9" w:rsidRPr="00351B7D" w:rsidRDefault="006D22F9" w:rsidP="006D22F9">
      <w:pPr>
        <w:pStyle w:val="ab"/>
        <w:numPr>
          <w:ilvl w:val="0"/>
          <w:numId w:val="14"/>
        </w:numPr>
        <w:rPr>
          <w:rFonts w:asciiTheme="minorBidi" w:hAnsiTheme="minorBidi"/>
          <w:rtl/>
        </w:rPr>
      </w:pPr>
      <w:r w:rsidRPr="00351B7D">
        <w:rPr>
          <w:rFonts w:asciiTheme="minorBidi" w:hAnsiTheme="minorBidi"/>
          <w:rtl/>
        </w:rPr>
        <w:t xml:space="preserve">רי"ף רמב"ם </w:t>
      </w:r>
      <w:r>
        <w:rPr>
          <w:rFonts w:asciiTheme="minorBidi" w:hAnsiTheme="minorBidi" w:hint="cs"/>
          <w:rtl/>
        </w:rPr>
        <w:t>ו</w:t>
      </w:r>
      <w:r w:rsidRPr="00351B7D">
        <w:rPr>
          <w:rFonts w:asciiTheme="minorBidi" w:hAnsiTheme="minorBidi"/>
          <w:rtl/>
        </w:rPr>
        <w:t>רא"ש</w:t>
      </w:r>
      <w:r w:rsidRPr="00351B7D">
        <w:rPr>
          <w:rStyle w:val="a7"/>
          <w:rFonts w:asciiTheme="minorBidi" w:hAnsiTheme="minorBidi"/>
          <w:rtl/>
        </w:rPr>
        <w:footnoteReference w:id="18"/>
      </w:r>
      <w:r w:rsidRPr="00351B7D">
        <w:rPr>
          <w:rFonts w:asciiTheme="minorBidi" w:hAnsiTheme="minorBidi"/>
          <w:rtl/>
        </w:rPr>
        <w:t>- מזה שהשמיטו סוגיא זו</w:t>
      </w:r>
      <w:r w:rsidRPr="00351B7D">
        <w:rPr>
          <w:rFonts w:asciiTheme="minorBidi" w:hAnsiTheme="minorBidi"/>
          <w:sz w:val="16"/>
          <w:szCs w:val="16"/>
          <w:rtl/>
        </w:rPr>
        <w:t xml:space="preserve"> (שבדף נו:)</w:t>
      </w:r>
      <w:r w:rsidRPr="00351B7D">
        <w:rPr>
          <w:rFonts w:asciiTheme="minorBidi" w:hAnsiTheme="minorBidi"/>
          <w:rtl/>
        </w:rPr>
        <w:t>, ומזה שכתבו על עובדא דרבי אמי הנ"ל דלפי שעה מהני התפסת מטלטלין, משמע דס"ל דא"צ לקבל אחריות</w:t>
      </w:r>
      <w:r>
        <w:rPr>
          <w:rFonts w:asciiTheme="minorBidi" w:hAnsiTheme="minorBidi" w:hint="cs"/>
          <w:rtl/>
        </w:rPr>
        <w:t xml:space="preserve"> אם יזולו</w:t>
      </w:r>
      <w:r w:rsidRPr="00351B7D">
        <w:rPr>
          <w:rStyle w:val="a7"/>
          <w:rFonts w:asciiTheme="minorBidi" w:hAnsiTheme="minorBidi"/>
          <w:rtl/>
        </w:rPr>
        <w:footnoteReference w:id="19"/>
      </w:r>
      <w:r w:rsidRPr="00351B7D">
        <w:rPr>
          <w:rFonts w:asciiTheme="minorBidi" w:hAnsiTheme="minorBidi"/>
          <w:rtl/>
        </w:rPr>
        <w:t>, כת"ק דלא חייש דלמא פחתי.</w:t>
      </w:r>
    </w:p>
    <w:p w14:paraId="0E09FA8B" w14:textId="5035A3F1" w:rsidR="00973C57" w:rsidRPr="00351B7D" w:rsidRDefault="00A9796C" w:rsidP="00973C57">
      <w:pPr>
        <w:rPr>
          <w:rFonts w:asciiTheme="minorBidi" w:hAnsiTheme="minorBidi"/>
          <w:u w:val="single"/>
          <w:rtl/>
        </w:rPr>
      </w:pPr>
      <w:r>
        <w:rPr>
          <w:rFonts w:asciiTheme="minorBidi" w:hAnsiTheme="minorBidi" w:hint="cs"/>
          <w:u w:val="single"/>
          <w:rtl/>
        </w:rPr>
        <w:t xml:space="preserve">האם אפשר לכתוב בכתובה את הזמן של היום אע"ג שהחופה </w:t>
      </w:r>
      <w:r>
        <w:rPr>
          <w:rFonts w:asciiTheme="minorBidi" w:hAnsiTheme="minorBidi" w:hint="cs"/>
          <w:sz w:val="16"/>
          <w:szCs w:val="16"/>
          <w:u w:val="single"/>
          <w:rtl/>
        </w:rPr>
        <w:t>(ש</w:t>
      </w:r>
      <w:r w:rsidR="00145832">
        <w:rPr>
          <w:rFonts w:asciiTheme="minorBidi" w:hAnsiTheme="minorBidi" w:hint="cs"/>
          <w:sz w:val="16"/>
          <w:szCs w:val="16"/>
          <w:u w:val="single"/>
          <w:rtl/>
        </w:rPr>
        <w:t>בה נעשה הקניין והחתימה</w:t>
      </w:r>
      <w:r>
        <w:rPr>
          <w:rFonts w:asciiTheme="minorBidi" w:hAnsiTheme="minorBidi" w:hint="cs"/>
          <w:sz w:val="16"/>
          <w:szCs w:val="16"/>
          <w:u w:val="single"/>
          <w:rtl/>
        </w:rPr>
        <w:t>)</w:t>
      </w:r>
      <w:r>
        <w:rPr>
          <w:rFonts w:asciiTheme="minorBidi" w:hAnsiTheme="minorBidi" w:hint="cs"/>
          <w:u w:val="single"/>
          <w:rtl/>
        </w:rPr>
        <w:t xml:space="preserve"> רק למחרת</w:t>
      </w:r>
      <w:r w:rsidR="00266A60">
        <w:rPr>
          <w:rFonts w:asciiTheme="minorBidi" w:hAnsiTheme="minorBidi" w:hint="cs"/>
          <w:u w:val="single"/>
          <w:rtl/>
        </w:rPr>
        <w:t>:</w:t>
      </w:r>
      <w:r w:rsidR="00973C57" w:rsidRPr="00351B7D">
        <w:rPr>
          <w:rFonts w:asciiTheme="minorBidi" w:hAnsiTheme="minorBidi"/>
          <w:u w:val="single"/>
          <w:rtl/>
        </w:rPr>
        <w:t xml:space="preserve"> </w:t>
      </w:r>
    </w:p>
    <w:p w14:paraId="2FDD5E52" w14:textId="5CDA6194" w:rsidR="00973C57" w:rsidRDefault="00973C57" w:rsidP="007F6D84">
      <w:pPr>
        <w:pStyle w:val="ab"/>
        <w:numPr>
          <w:ilvl w:val="0"/>
          <w:numId w:val="9"/>
        </w:numPr>
        <w:rPr>
          <w:rFonts w:asciiTheme="minorBidi" w:hAnsiTheme="minorBidi"/>
        </w:rPr>
      </w:pPr>
      <w:r w:rsidRPr="00351B7D">
        <w:rPr>
          <w:rFonts w:asciiTheme="minorBidi" w:hAnsiTheme="minorBidi"/>
          <w:rtl/>
        </w:rPr>
        <w:t>ראבי"ה</w:t>
      </w:r>
      <w:r w:rsidRPr="00351B7D">
        <w:rPr>
          <w:rFonts w:asciiTheme="minorBidi" w:hAnsiTheme="minorBidi"/>
          <w:sz w:val="16"/>
          <w:szCs w:val="16"/>
          <w:rtl/>
        </w:rPr>
        <w:t xml:space="preserve"> (סי' תתקיט)</w:t>
      </w:r>
      <w:r w:rsidRPr="00351B7D">
        <w:rPr>
          <w:rFonts w:asciiTheme="minorBidi" w:hAnsiTheme="minorBidi"/>
          <w:rtl/>
        </w:rPr>
        <w:t xml:space="preserve"> רשב"א</w:t>
      </w:r>
      <w:r w:rsidRPr="00351B7D">
        <w:rPr>
          <w:rFonts w:asciiTheme="minorBidi" w:hAnsiTheme="minorBidi"/>
          <w:sz w:val="16"/>
          <w:szCs w:val="16"/>
          <w:rtl/>
        </w:rPr>
        <w:t xml:space="preserve"> (גיטין יח. ד"ה מה מעשה)</w:t>
      </w:r>
      <w:r w:rsidR="00784FD9" w:rsidRPr="00784FD9">
        <w:rPr>
          <w:rFonts w:asciiTheme="minorBidi" w:hAnsiTheme="minorBidi"/>
          <w:rtl/>
        </w:rPr>
        <w:t xml:space="preserve"> </w:t>
      </w:r>
      <w:r w:rsidR="00784FD9" w:rsidRPr="00351B7D">
        <w:rPr>
          <w:rFonts w:asciiTheme="minorBidi" w:hAnsiTheme="minorBidi"/>
          <w:rtl/>
        </w:rPr>
        <w:t xml:space="preserve">מרדכי </w:t>
      </w:r>
      <w:r w:rsidR="00784FD9" w:rsidRPr="00351B7D">
        <w:rPr>
          <w:rFonts w:asciiTheme="minorBidi" w:hAnsiTheme="minorBidi"/>
          <w:sz w:val="16"/>
          <w:szCs w:val="16"/>
          <w:rtl/>
        </w:rPr>
        <w:t xml:space="preserve">(גיטין סי' שלז) </w:t>
      </w:r>
      <w:r w:rsidR="00784FD9">
        <w:rPr>
          <w:rFonts w:asciiTheme="minorBidi" w:hAnsiTheme="minorBidi" w:hint="cs"/>
          <w:rtl/>
        </w:rPr>
        <w:t>ו</w:t>
      </w:r>
      <w:r w:rsidR="00784FD9" w:rsidRPr="00351B7D">
        <w:rPr>
          <w:rFonts w:asciiTheme="minorBidi" w:hAnsiTheme="minorBidi"/>
          <w:rtl/>
        </w:rPr>
        <w:t xml:space="preserve">ר"ן </w:t>
      </w:r>
      <w:r w:rsidR="00784FD9" w:rsidRPr="00351B7D">
        <w:rPr>
          <w:rFonts w:asciiTheme="minorBidi" w:hAnsiTheme="minorBidi"/>
          <w:sz w:val="16"/>
          <w:szCs w:val="16"/>
          <w:rtl/>
        </w:rPr>
        <w:t>(ח: ד"ה כתובה)</w:t>
      </w:r>
      <w:r w:rsidRPr="00351B7D">
        <w:rPr>
          <w:rFonts w:asciiTheme="minorBidi" w:hAnsiTheme="minorBidi"/>
          <w:rtl/>
        </w:rPr>
        <w:t>- אם הקדים הכתיבה והזמן ביום</w:t>
      </w:r>
      <w:r w:rsidR="0088220B">
        <w:rPr>
          <w:rFonts w:asciiTheme="minorBidi" w:hAnsiTheme="minorBidi" w:hint="cs"/>
          <w:rtl/>
        </w:rPr>
        <w:t>,</w:t>
      </w:r>
      <w:r w:rsidRPr="00351B7D">
        <w:rPr>
          <w:rFonts w:asciiTheme="minorBidi" w:hAnsiTheme="minorBidi"/>
          <w:rtl/>
        </w:rPr>
        <w:t xml:space="preserve"> ונעשה הקנין בלילה </w:t>
      </w:r>
      <w:r w:rsidR="00144681">
        <w:rPr>
          <w:rFonts w:asciiTheme="minorBidi" w:hAnsiTheme="minorBidi" w:hint="cs"/>
          <w:rtl/>
        </w:rPr>
        <w:t xml:space="preserve">- </w:t>
      </w:r>
      <w:r w:rsidRPr="00351B7D">
        <w:rPr>
          <w:rFonts w:asciiTheme="minorBidi" w:hAnsiTheme="minorBidi"/>
          <w:rtl/>
        </w:rPr>
        <w:t>כשר</w:t>
      </w:r>
      <w:r w:rsidR="00144681">
        <w:rPr>
          <w:rFonts w:asciiTheme="minorBidi" w:hAnsiTheme="minorBidi" w:hint="cs"/>
          <w:rtl/>
        </w:rPr>
        <w:t>,</w:t>
      </w:r>
      <w:r w:rsidRPr="00351B7D">
        <w:rPr>
          <w:rFonts w:asciiTheme="minorBidi" w:hAnsiTheme="minorBidi"/>
          <w:rtl/>
        </w:rPr>
        <w:t xml:space="preserve"> כדאמרינן פ"ב דגיטין </w:t>
      </w:r>
      <w:r w:rsidRPr="00351B7D">
        <w:rPr>
          <w:rFonts w:asciiTheme="minorBidi" w:hAnsiTheme="minorBidi"/>
          <w:sz w:val="16"/>
          <w:szCs w:val="16"/>
          <w:rtl/>
        </w:rPr>
        <w:t xml:space="preserve">(יח.) </w:t>
      </w:r>
      <w:r w:rsidRPr="00351B7D">
        <w:rPr>
          <w:rFonts w:asciiTheme="minorBidi" w:hAnsiTheme="minorBidi"/>
          <w:rtl/>
        </w:rPr>
        <w:t>כתובה כמעשה ב"ד דמיא ונכתבת ביום ונחתמת בלילה</w:t>
      </w:r>
      <w:r w:rsidRPr="00351B7D">
        <w:rPr>
          <w:rStyle w:val="a7"/>
          <w:rFonts w:asciiTheme="minorBidi" w:hAnsiTheme="minorBidi"/>
          <w:rtl/>
        </w:rPr>
        <w:footnoteReference w:id="20"/>
      </w:r>
      <w:r w:rsidR="001C120D">
        <w:rPr>
          <w:rFonts w:asciiTheme="minorBidi" w:hAnsiTheme="minorBidi" w:hint="cs"/>
          <w:sz w:val="16"/>
          <w:szCs w:val="16"/>
          <w:rtl/>
        </w:rPr>
        <w:t xml:space="preserve"> (ל' הב"י בשם ראבי"ה)</w:t>
      </w:r>
      <w:r w:rsidRPr="00351B7D">
        <w:rPr>
          <w:rFonts w:asciiTheme="minorBidi" w:hAnsiTheme="minorBidi"/>
          <w:rtl/>
        </w:rPr>
        <w:t>.</w:t>
      </w:r>
      <w:r w:rsidRPr="007F6D84">
        <w:rPr>
          <w:rFonts w:asciiTheme="minorBidi" w:hAnsiTheme="minorBidi"/>
          <w:rtl/>
        </w:rPr>
        <w:t xml:space="preserve"> </w:t>
      </w:r>
    </w:p>
    <w:p w14:paraId="31C2DEA0" w14:textId="3CA87558" w:rsidR="007F6D84" w:rsidRPr="007F6D84" w:rsidRDefault="007F6D84" w:rsidP="007F6D84">
      <w:pPr>
        <w:ind w:left="360"/>
        <w:rPr>
          <w:rFonts w:asciiTheme="minorBidi" w:hAnsiTheme="minorBidi"/>
          <w:u w:val="dotted"/>
          <w:rtl/>
        </w:rPr>
      </w:pPr>
      <w:r w:rsidRPr="007F6D84">
        <w:rPr>
          <w:rFonts w:asciiTheme="minorBidi" w:hAnsiTheme="minorBidi" w:hint="cs"/>
          <w:u w:val="dotted"/>
          <w:rtl/>
        </w:rPr>
        <w:t>האם הדין כן אף כשכותב לה תוספת:</w:t>
      </w:r>
    </w:p>
    <w:p w14:paraId="1E2B9845" w14:textId="1876F193" w:rsidR="00184464" w:rsidRPr="00351B7D" w:rsidRDefault="00184464" w:rsidP="00184464">
      <w:pPr>
        <w:pStyle w:val="ab"/>
        <w:numPr>
          <w:ilvl w:val="0"/>
          <w:numId w:val="13"/>
        </w:numPr>
        <w:rPr>
          <w:rFonts w:asciiTheme="minorBidi" w:hAnsiTheme="minorBidi"/>
        </w:rPr>
      </w:pPr>
      <w:r w:rsidRPr="00351B7D">
        <w:rPr>
          <w:rFonts w:asciiTheme="minorBidi" w:hAnsiTheme="minorBidi"/>
          <w:rtl/>
        </w:rPr>
        <w:t xml:space="preserve">תוס' </w:t>
      </w:r>
      <w:r w:rsidRPr="00351B7D">
        <w:rPr>
          <w:rFonts w:asciiTheme="minorBidi" w:hAnsiTheme="minorBidi"/>
          <w:sz w:val="16"/>
          <w:szCs w:val="16"/>
          <w:rtl/>
        </w:rPr>
        <w:t>(גיטין יח. ד"ה אף)</w:t>
      </w:r>
      <w:r>
        <w:rPr>
          <w:rFonts w:asciiTheme="minorBidi" w:hAnsiTheme="minorBidi" w:hint="cs"/>
          <w:rtl/>
        </w:rPr>
        <w:t xml:space="preserve"> ורשב"א</w:t>
      </w:r>
      <w:r w:rsidR="008A77C8">
        <w:rPr>
          <w:rStyle w:val="a7"/>
          <w:rFonts w:asciiTheme="minorBidi" w:hAnsiTheme="minorBidi"/>
          <w:rtl/>
        </w:rPr>
        <w:footnoteReference w:id="21"/>
      </w:r>
      <w:r>
        <w:rPr>
          <w:rFonts w:asciiTheme="minorBidi" w:hAnsiTheme="minorBidi" w:hint="cs"/>
          <w:rtl/>
        </w:rPr>
        <w:t xml:space="preserve"> </w:t>
      </w:r>
      <w:r>
        <w:rPr>
          <w:rFonts w:asciiTheme="minorBidi" w:hAnsiTheme="minorBidi" w:hint="cs"/>
          <w:sz w:val="16"/>
          <w:szCs w:val="16"/>
          <w:rtl/>
        </w:rPr>
        <w:t>(שם)</w:t>
      </w:r>
      <w:r w:rsidRPr="00351B7D">
        <w:rPr>
          <w:rFonts w:asciiTheme="minorBidi" w:hAnsiTheme="minorBidi"/>
          <w:rtl/>
        </w:rPr>
        <w:t xml:space="preserve">- יש מקומות שנוהגין לכתוב הכתובה בערב שבת ולחותמה במוצאי שבת </w:t>
      </w:r>
      <w:r>
        <w:rPr>
          <w:rFonts w:asciiTheme="minorBidi" w:hAnsiTheme="minorBidi" w:hint="cs"/>
          <w:rtl/>
        </w:rPr>
        <w:t xml:space="preserve">- </w:t>
      </w:r>
      <w:r w:rsidRPr="00351B7D">
        <w:rPr>
          <w:rFonts w:asciiTheme="minorBidi" w:hAnsiTheme="minorBidi"/>
          <w:rtl/>
        </w:rPr>
        <w:t>ואין נכון לעשות כן משום תוספת, דדילמא לית ליה קלא</w:t>
      </w:r>
      <w:r>
        <w:rPr>
          <w:rFonts w:asciiTheme="minorBidi" w:hAnsiTheme="minorBidi" w:hint="cs"/>
          <w:rtl/>
        </w:rPr>
        <w:t>.</w:t>
      </w:r>
      <w:r w:rsidRPr="00351B7D">
        <w:rPr>
          <w:rFonts w:asciiTheme="minorBidi" w:hAnsiTheme="minorBidi"/>
          <w:rtl/>
        </w:rPr>
        <w:t xml:space="preserve"> ומיהו היכא דקנו מיניה ליכא למיחש מידי</w:t>
      </w:r>
      <w:r>
        <w:rPr>
          <w:rFonts w:asciiTheme="minorBidi" w:hAnsiTheme="minorBidi" w:hint="cs"/>
          <w:rtl/>
        </w:rPr>
        <w:t>,</w:t>
      </w:r>
      <w:r w:rsidRPr="00351B7D">
        <w:rPr>
          <w:rFonts w:asciiTheme="minorBidi" w:hAnsiTheme="minorBidi"/>
          <w:rtl/>
        </w:rPr>
        <w:t xml:space="preserve"> כדאמרינן אי ידעיתו יומא דאקניתו ביה כתובו יומא דאקניתו ביה</w:t>
      </w:r>
      <w:r>
        <w:rPr>
          <w:rFonts w:asciiTheme="minorBidi" w:hAnsiTheme="minorBidi" w:hint="cs"/>
          <w:sz w:val="16"/>
          <w:szCs w:val="16"/>
          <w:rtl/>
        </w:rPr>
        <w:t xml:space="preserve"> (ל' התוס')</w:t>
      </w:r>
      <w:r w:rsidRPr="00351B7D">
        <w:rPr>
          <w:rFonts w:asciiTheme="minorBidi" w:hAnsiTheme="minorBidi"/>
          <w:rtl/>
        </w:rPr>
        <w:t xml:space="preserve">. </w:t>
      </w:r>
    </w:p>
    <w:p w14:paraId="5A782FA0" w14:textId="1130496A" w:rsidR="00973C57" w:rsidRPr="00351B7D" w:rsidRDefault="00973C57" w:rsidP="00CE6A2B">
      <w:pPr>
        <w:pStyle w:val="ab"/>
        <w:numPr>
          <w:ilvl w:val="0"/>
          <w:numId w:val="13"/>
        </w:numPr>
        <w:rPr>
          <w:rFonts w:asciiTheme="minorBidi" w:hAnsiTheme="minorBidi"/>
        </w:rPr>
      </w:pPr>
      <w:r w:rsidRPr="00351B7D">
        <w:rPr>
          <w:rFonts w:asciiTheme="minorBidi" w:hAnsiTheme="minorBidi"/>
          <w:rtl/>
        </w:rPr>
        <w:lastRenderedPageBreak/>
        <w:t xml:space="preserve">הג"א </w:t>
      </w:r>
      <w:r w:rsidRPr="00351B7D">
        <w:rPr>
          <w:rFonts w:asciiTheme="minorBidi" w:hAnsiTheme="minorBidi"/>
          <w:sz w:val="16"/>
          <w:szCs w:val="16"/>
          <w:rtl/>
        </w:rPr>
        <w:t>(גיטין פ"ב סי' ז)</w:t>
      </w:r>
      <w:r w:rsidRPr="00351B7D">
        <w:rPr>
          <w:rFonts w:asciiTheme="minorBidi" w:hAnsiTheme="minorBidi"/>
          <w:rtl/>
        </w:rPr>
        <w:t xml:space="preserve">- נהגו לכתוב בערב שבת ולחתום במוצאי שבת משום דקלא אית ליה משעת הכתיבה אפילו לענין תוספת, מיהו טוב לקבל קנין מיד. </w:t>
      </w:r>
    </w:p>
    <w:p w14:paraId="474FB139" w14:textId="273E0D74" w:rsidR="00973C57" w:rsidRPr="00B1151A" w:rsidRDefault="00FA18FF" w:rsidP="00B1151A">
      <w:pPr>
        <w:rPr>
          <w:rFonts w:asciiTheme="minorBidi" w:hAnsiTheme="minorBidi"/>
          <w:u w:val="single"/>
        </w:rPr>
      </w:pPr>
      <w:r w:rsidRPr="00B1151A">
        <w:rPr>
          <w:rFonts w:asciiTheme="minorBidi" w:hAnsiTheme="minorBidi" w:hint="cs"/>
          <w:u w:val="single"/>
          <w:rtl/>
        </w:rPr>
        <w:t>כת</w:t>
      </w:r>
      <w:r w:rsidR="00193F08">
        <w:rPr>
          <w:rFonts w:asciiTheme="minorBidi" w:hAnsiTheme="minorBidi" w:hint="cs"/>
          <w:u w:val="single"/>
          <w:rtl/>
        </w:rPr>
        <w:t>יבת מקום החופה אע"ג שעכשיו הם עומדים וכותבים את הכתובה במקום אחר:</w:t>
      </w:r>
    </w:p>
    <w:p w14:paraId="574EBD62" w14:textId="34DF40E6" w:rsidR="00973C57" w:rsidRPr="00AA75D8" w:rsidRDefault="00B744FD" w:rsidP="00AA75D8">
      <w:pPr>
        <w:pStyle w:val="ab"/>
        <w:numPr>
          <w:ilvl w:val="0"/>
          <w:numId w:val="13"/>
        </w:numPr>
        <w:rPr>
          <w:rFonts w:asciiTheme="minorBidi" w:hAnsiTheme="minorBidi"/>
        </w:rPr>
      </w:pPr>
      <w:r>
        <w:rPr>
          <w:rFonts w:asciiTheme="minorBidi" w:hAnsiTheme="minorBidi" w:cs="Arial" w:hint="cs"/>
          <w:rtl/>
        </w:rPr>
        <w:t>סמ"ג</w:t>
      </w:r>
      <w:r w:rsidR="00AA75D8">
        <w:rPr>
          <w:rStyle w:val="a7"/>
          <w:rFonts w:asciiTheme="minorBidi" w:hAnsiTheme="minorBidi" w:cs="Arial"/>
          <w:rtl/>
        </w:rPr>
        <w:footnoteReference w:id="22"/>
      </w:r>
      <w:r>
        <w:rPr>
          <w:rFonts w:asciiTheme="minorBidi" w:hAnsiTheme="minorBidi" w:cs="Arial" w:hint="cs"/>
          <w:rtl/>
        </w:rPr>
        <w:t xml:space="preserve"> </w:t>
      </w:r>
      <w:r>
        <w:rPr>
          <w:rFonts w:asciiTheme="minorBidi" w:hAnsiTheme="minorBidi" w:cs="Arial" w:hint="cs"/>
          <w:sz w:val="16"/>
          <w:szCs w:val="16"/>
          <w:rtl/>
        </w:rPr>
        <w:t>(עשין נ)</w:t>
      </w:r>
      <w:r>
        <w:rPr>
          <w:rFonts w:asciiTheme="minorBidi" w:hAnsiTheme="minorBidi" w:cs="Arial" w:hint="cs"/>
          <w:rtl/>
        </w:rPr>
        <w:t xml:space="preserve"> והגה"מ </w:t>
      </w:r>
      <w:r>
        <w:rPr>
          <w:rFonts w:asciiTheme="minorBidi" w:hAnsiTheme="minorBidi" w:cs="Arial" w:hint="cs"/>
          <w:sz w:val="16"/>
          <w:szCs w:val="16"/>
          <w:rtl/>
        </w:rPr>
        <w:t>(פ"י מהל' אישות ה"ז)</w:t>
      </w:r>
      <w:r>
        <w:rPr>
          <w:rFonts w:asciiTheme="minorBidi" w:hAnsiTheme="minorBidi" w:cs="Arial" w:hint="cs"/>
          <w:rtl/>
        </w:rPr>
        <w:t>-</w:t>
      </w:r>
      <w:r w:rsidRPr="008B08C5">
        <w:rPr>
          <w:rFonts w:asciiTheme="minorBidi" w:hAnsiTheme="minorBidi" w:cs="Arial"/>
          <w:rtl/>
        </w:rPr>
        <w:t xml:space="preserve"> </w:t>
      </w:r>
      <w:r w:rsidR="00973C57" w:rsidRPr="00AA75D8">
        <w:rPr>
          <w:rFonts w:asciiTheme="minorBidi" w:hAnsiTheme="minorBidi"/>
          <w:rtl/>
        </w:rPr>
        <w:t xml:space="preserve">נהגו החזנים לכתוב כתובה וכותבין 'בכאן מקום שילכו למחר לעשות נישואין ושיחתמו שם העדים', ואמת הדבר כי בריש פרק אחד דיני ממונות </w:t>
      </w:r>
      <w:r w:rsidR="00973C57" w:rsidRPr="00AA75D8">
        <w:rPr>
          <w:rFonts w:asciiTheme="minorBidi" w:hAnsiTheme="minorBidi"/>
          <w:sz w:val="16"/>
          <w:szCs w:val="16"/>
          <w:rtl/>
        </w:rPr>
        <w:t xml:space="preserve">(סנהדרין לב.) </w:t>
      </w:r>
      <w:r w:rsidR="00973C57" w:rsidRPr="00AA75D8">
        <w:rPr>
          <w:rFonts w:asciiTheme="minorBidi" w:hAnsiTheme="minorBidi"/>
          <w:rtl/>
        </w:rPr>
        <w:t xml:space="preserve">משמע דכשר, מ"מ קשה בעיני רבינו יצחק לעשות כן לכתחלה מדאמר להו רב לספרי </w:t>
      </w:r>
      <w:r w:rsidR="00973C57" w:rsidRPr="00AA75D8">
        <w:rPr>
          <w:rFonts w:asciiTheme="minorBidi" w:hAnsiTheme="minorBidi"/>
          <w:sz w:val="16"/>
          <w:szCs w:val="16"/>
          <w:rtl/>
        </w:rPr>
        <w:t xml:space="preserve">(גיטין פ., ב"ב קעב.) </w:t>
      </w:r>
      <w:r w:rsidR="00973C57" w:rsidRPr="00AA75D8">
        <w:rPr>
          <w:rFonts w:asciiTheme="minorBidi" w:hAnsiTheme="minorBidi"/>
          <w:rtl/>
        </w:rPr>
        <w:t>כי יתביתו בהיני כתובו בהיני אף על גב דמימסרן לכו מילי בשילי</w:t>
      </w:r>
      <w:r w:rsidR="00AA75D8">
        <w:rPr>
          <w:rFonts w:asciiTheme="minorBidi" w:hAnsiTheme="minorBidi" w:hint="cs"/>
          <w:rtl/>
        </w:rPr>
        <w:t xml:space="preserve"> </w:t>
      </w:r>
      <w:r w:rsidR="00AA75D8">
        <w:rPr>
          <w:rFonts w:asciiTheme="minorBidi" w:hAnsiTheme="minorBidi" w:cs="Arial" w:hint="cs"/>
          <w:sz w:val="16"/>
          <w:szCs w:val="16"/>
          <w:rtl/>
        </w:rPr>
        <w:t>(ל' הגה"מ)</w:t>
      </w:r>
      <w:r w:rsidR="00973C57" w:rsidRPr="00AA75D8">
        <w:rPr>
          <w:rFonts w:asciiTheme="minorBidi" w:hAnsiTheme="minorBidi"/>
          <w:rtl/>
        </w:rPr>
        <w:t>.</w:t>
      </w:r>
      <w:r w:rsidR="00145832">
        <w:rPr>
          <w:rFonts w:asciiTheme="minorBidi" w:hAnsiTheme="minorBidi" w:hint="cs"/>
          <w:rtl/>
        </w:rPr>
        <w:t xml:space="preserve"> </w:t>
      </w:r>
      <w:r w:rsidR="00973C57" w:rsidRPr="00AA75D8">
        <w:rPr>
          <w:rFonts w:asciiTheme="minorBidi" w:hAnsiTheme="minorBidi"/>
          <w:rtl/>
        </w:rPr>
        <w:t xml:space="preserve"> </w:t>
      </w:r>
    </w:p>
    <w:p w14:paraId="465FD9FD" w14:textId="31AFAF9E" w:rsidR="00973C57" w:rsidRPr="00351B7D" w:rsidRDefault="00973C57" w:rsidP="00973C57">
      <w:pPr>
        <w:rPr>
          <w:rFonts w:asciiTheme="minorBidi" w:hAnsiTheme="minorBidi"/>
          <w:rtl/>
        </w:rPr>
      </w:pPr>
      <w:r w:rsidRPr="00351B7D">
        <w:rPr>
          <w:rFonts w:asciiTheme="minorBidi" w:hAnsiTheme="minorBidi"/>
          <w:b/>
          <w:bCs/>
          <w:rtl/>
        </w:rPr>
        <w:t>כתובות</w:t>
      </w:r>
      <w:r w:rsidR="001709FA">
        <w:rPr>
          <w:rFonts w:asciiTheme="minorBidi" w:hAnsiTheme="minorBidi" w:hint="cs"/>
          <w:b/>
          <w:bCs/>
          <w:sz w:val="16"/>
          <w:szCs w:val="16"/>
          <w:rtl/>
        </w:rPr>
        <w:t xml:space="preserve"> (פ' האשה שנפלו)</w:t>
      </w:r>
      <w:r w:rsidRPr="00351B7D">
        <w:rPr>
          <w:rFonts w:asciiTheme="minorBidi" w:hAnsiTheme="minorBidi"/>
          <w:b/>
          <w:bCs/>
          <w:rtl/>
        </w:rPr>
        <w:t xml:space="preserve"> פ ע"ב:</w:t>
      </w:r>
      <w:r w:rsidRPr="00351B7D">
        <w:rPr>
          <w:rFonts w:asciiTheme="minorBidi" w:hAnsiTheme="minorBidi"/>
          <w:rtl/>
        </w:rPr>
        <w:t xml:space="preserve"> </w:t>
      </w:r>
      <w:r w:rsidRPr="00351B7D">
        <w:rPr>
          <w:rFonts w:asciiTheme="minorBidi" w:hAnsiTheme="minorBidi"/>
          <w:u w:val="double"/>
          <w:rtl/>
        </w:rPr>
        <w:t>מתני':</w:t>
      </w:r>
      <w:r w:rsidRPr="00351B7D">
        <w:rPr>
          <w:rFonts w:asciiTheme="minorBidi" w:hAnsiTheme="minorBidi"/>
          <w:rtl/>
        </w:rPr>
        <w:t xml:space="preserve"> שומרת יבם... כנסה, הרי היא כאשתו לכל דבר... לא יאמר לה הרי כתובתיך מונחת על השלחן, אלא כל נכסיו אחראין לכתובתה. וכן לא יאמר אדם לאשתו הרי כתובתיך מונחת על השלחן, אלא כל נכסיו אחראין לכתובתה. </w:t>
      </w:r>
      <w:r w:rsidR="00D359E2">
        <w:rPr>
          <w:rFonts w:asciiTheme="minorBidi" w:hAnsiTheme="minorBidi" w:hint="cs"/>
          <w:rtl/>
        </w:rPr>
        <w:t xml:space="preserve">   </w:t>
      </w:r>
      <w:r w:rsidRPr="00351B7D">
        <w:rPr>
          <w:rFonts w:asciiTheme="minorBidi" w:hAnsiTheme="minorBidi"/>
          <w:rtl/>
        </w:rPr>
        <w:t xml:space="preserve">   </w:t>
      </w:r>
      <w:r w:rsidRPr="00351B7D">
        <w:rPr>
          <w:rFonts w:asciiTheme="minorBidi" w:hAnsiTheme="minorBidi"/>
          <w:u w:val="double"/>
          <w:rtl/>
        </w:rPr>
        <w:t>גמ'</w:t>
      </w:r>
      <w:r w:rsidRPr="00973C57">
        <w:rPr>
          <w:rFonts w:asciiTheme="minorBidi" w:hAnsiTheme="minorBidi"/>
          <w:sz w:val="14"/>
          <w:szCs w:val="14"/>
          <w:u w:val="double"/>
          <w:rtl/>
        </w:rPr>
        <w:t>(פב:)</w:t>
      </w:r>
      <w:r w:rsidRPr="00351B7D">
        <w:rPr>
          <w:rFonts w:asciiTheme="minorBidi" w:hAnsiTheme="minorBidi"/>
          <w:u w:val="double"/>
          <w:rtl/>
        </w:rPr>
        <w:t>:</w:t>
      </w:r>
      <w:r w:rsidRPr="00351B7D">
        <w:rPr>
          <w:rFonts w:asciiTheme="minorBidi" w:hAnsiTheme="minorBidi"/>
          <w:rtl/>
        </w:rPr>
        <w:t xml:space="preserve">  מאי וכן</w:t>
      </w:r>
      <w:r w:rsidRPr="00351B7D">
        <w:rPr>
          <w:rStyle w:val="a7"/>
          <w:rFonts w:asciiTheme="minorBidi" w:hAnsiTheme="minorBidi"/>
          <w:rtl/>
        </w:rPr>
        <w:footnoteReference w:id="23"/>
      </w:r>
      <w:r w:rsidRPr="00351B7D">
        <w:rPr>
          <w:rFonts w:asciiTheme="minorBidi" w:hAnsiTheme="minorBidi"/>
          <w:rtl/>
        </w:rPr>
        <w:t>? מהו דתימא, התם הוא</w:t>
      </w:r>
      <w:r w:rsidRPr="00351B7D">
        <w:rPr>
          <w:rStyle w:val="a7"/>
          <w:rFonts w:asciiTheme="minorBidi" w:hAnsiTheme="minorBidi"/>
          <w:rtl/>
        </w:rPr>
        <w:footnoteReference w:id="24"/>
      </w:r>
      <w:r w:rsidR="00210586">
        <w:rPr>
          <w:rFonts w:asciiTheme="minorBidi" w:hAnsiTheme="minorBidi" w:hint="cs"/>
          <w:rtl/>
        </w:rPr>
        <w:t>,</w:t>
      </w:r>
      <w:r w:rsidRPr="00351B7D">
        <w:rPr>
          <w:rFonts w:asciiTheme="minorBidi" w:hAnsiTheme="minorBidi"/>
          <w:rtl/>
        </w:rPr>
        <w:t xml:space="preserve"> דלא כתב לה</w:t>
      </w:r>
      <w:r w:rsidRPr="00351B7D">
        <w:rPr>
          <w:rStyle w:val="a7"/>
          <w:rFonts w:asciiTheme="minorBidi" w:hAnsiTheme="minorBidi"/>
          <w:rtl/>
        </w:rPr>
        <w:footnoteReference w:id="25"/>
      </w:r>
      <w:r w:rsidRPr="00351B7D">
        <w:rPr>
          <w:rFonts w:asciiTheme="minorBidi" w:hAnsiTheme="minorBidi"/>
          <w:rtl/>
        </w:rPr>
        <w:t xml:space="preserve"> דקנאי</w:t>
      </w:r>
      <w:r w:rsidRPr="00351B7D">
        <w:rPr>
          <w:rStyle w:val="a7"/>
          <w:rFonts w:asciiTheme="minorBidi" w:hAnsiTheme="minorBidi"/>
          <w:rtl/>
        </w:rPr>
        <w:footnoteReference w:id="26"/>
      </w:r>
      <w:r w:rsidRPr="00351B7D">
        <w:rPr>
          <w:rFonts w:asciiTheme="minorBidi" w:hAnsiTheme="minorBidi"/>
          <w:rtl/>
        </w:rPr>
        <w:t xml:space="preserve"> ודקנינא</w:t>
      </w:r>
      <w:r w:rsidRPr="00351B7D">
        <w:rPr>
          <w:rStyle w:val="a7"/>
          <w:rFonts w:asciiTheme="minorBidi" w:hAnsiTheme="minorBidi"/>
          <w:rtl/>
        </w:rPr>
        <w:footnoteReference w:id="27"/>
      </w:r>
      <w:r w:rsidRPr="00351B7D">
        <w:rPr>
          <w:rFonts w:asciiTheme="minorBidi" w:hAnsiTheme="minorBidi"/>
          <w:rtl/>
        </w:rPr>
        <w:t>, אבל הכא דכתב לה דקנאי ודקנינא - אימא סמכה דעתה, קמ"ל.</w:t>
      </w:r>
    </w:p>
    <w:p w14:paraId="663AA7CF" w14:textId="77777777" w:rsidR="00973C57" w:rsidRPr="00351B7D" w:rsidRDefault="00973C57" w:rsidP="00973C57">
      <w:pPr>
        <w:rPr>
          <w:rFonts w:asciiTheme="minorBidi" w:hAnsiTheme="minorBidi"/>
          <w:u w:val="single"/>
          <w:rtl/>
        </w:rPr>
      </w:pPr>
      <w:r w:rsidRPr="00351B7D">
        <w:rPr>
          <w:rFonts w:asciiTheme="minorBidi" w:hAnsiTheme="minorBidi"/>
          <w:u w:val="single"/>
          <w:rtl/>
        </w:rPr>
        <w:t>מי שנתן ערב קבלן לאשתו בעד כתובתה והתנה עמה שיהא הוא פטור, האם היא מותרת לבעלה:</w:t>
      </w:r>
    </w:p>
    <w:p w14:paraId="7344956D" w14:textId="712E160E" w:rsidR="00973C57" w:rsidRDefault="00973C57" w:rsidP="004B3214">
      <w:pPr>
        <w:pStyle w:val="ab"/>
        <w:numPr>
          <w:ilvl w:val="0"/>
          <w:numId w:val="10"/>
        </w:numPr>
        <w:rPr>
          <w:rFonts w:asciiTheme="minorBidi" w:hAnsiTheme="minorBidi"/>
        </w:rPr>
      </w:pPr>
      <w:r w:rsidRPr="00351B7D">
        <w:rPr>
          <w:rFonts w:asciiTheme="minorBidi" w:hAnsiTheme="minorBidi"/>
          <w:rtl/>
        </w:rPr>
        <w:t>רשב"א</w:t>
      </w:r>
      <w:r w:rsidRPr="00351B7D">
        <w:rPr>
          <w:rFonts w:asciiTheme="minorBidi" w:hAnsiTheme="minorBidi"/>
          <w:sz w:val="16"/>
          <w:szCs w:val="16"/>
          <w:rtl/>
        </w:rPr>
        <w:t xml:space="preserve"> (ח"ב סי' נח)</w:t>
      </w:r>
      <w:r w:rsidRPr="00351B7D">
        <w:rPr>
          <w:rFonts w:asciiTheme="minorBidi" w:hAnsiTheme="minorBidi"/>
          <w:rtl/>
        </w:rPr>
        <w:t xml:space="preserve">- </w:t>
      </w:r>
      <w:r w:rsidR="004B3214" w:rsidRPr="004B3214">
        <w:rPr>
          <w:rFonts w:asciiTheme="minorBidi" w:hAnsiTheme="minorBidi" w:cs="Arial"/>
          <w:rtl/>
        </w:rPr>
        <w:t>עוד שאלתם</w:t>
      </w:r>
      <w:r w:rsidR="004B3214">
        <w:rPr>
          <w:rFonts w:asciiTheme="minorBidi" w:hAnsiTheme="minorBidi" w:cs="Arial" w:hint="cs"/>
          <w:rtl/>
        </w:rPr>
        <w:t>:</w:t>
      </w:r>
      <w:r w:rsidR="004B3214" w:rsidRPr="004B3214">
        <w:rPr>
          <w:rFonts w:asciiTheme="minorBidi" w:hAnsiTheme="minorBidi" w:cs="Arial"/>
          <w:rtl/>
        </w:rPr>
        <w:t xml:space="preserve"> מי שנתן לאשתו קבלן לאשתו בכתובתה </w:t>
      </w:r>
      <w:r w:rsidR="004427C1">
        <w:rPr>
          <w:rFonts w:asciiTheme="minorBidi" w:hAnsiTheme="minorBidi" w:cs="Arial" w:hint="cs"/>
          <w:rtl/>
        </w:rPr>
        <w:t>ו</w:t>
      </w:r>
      <w:r w:rsidR="004B3214" w:rsidRPr="004B3214">
        <w:rPr>
          <w:rFonts w:asciiTheme="minorBidi" w:hAnsiTheme="minorBidi" w:cs="Arial"/>
          <w:rtl/>
        </w:rPr>
        <w:t>התנה עמה בפירוש שיהיה הוא פטור מכל וכל</w:t>
      </w:r>
      <w:r w:rsidR="004427C1">
        <w:rPr>
          <w:rFonts w:asciiTheme="minorBidi" w:hAnsiTheme="minorBidi" w:cs="Arial" w:hint="cs"/>
          <w:rtl/>
        </w:rPr>
        <w:t>,</w:t>
      </w:r>
      <w:r w:rsidR="004B3214" w:rsidRPr="004B3214">
        <w:rPr>
          <w:rFonts w:asciiTheme="minorBidi" w:hAnsiTheme="minorBidi" w:cs="Arial"/>
          <w:rtl/>
        </w:rPr>
        <w:t xml:space="preserve"> ולא יהיה שעבודה אלא על הקבלן</w:t>
      </w:r>
      <w:r w:rsidR="004427C1">
        <w:rPr>
          <w:rFonts w:asciiTheme="minorBidi" w:hAnsiTheme="minorBidi" w:cs="Arial" w:hint="cs"/>
          <w:rtl/>
        </w:rPr>
        <w:t>,</w:t>
      </w:r>
      <w:r w:rsidR="004B3214" w:rsidRPr="004B3214">
        <w:rPr>
          <w:rFonts w:asciiTheme="minorBidi" w:hAnsiTheme="minorBidi" w:cs="Arial"/>
          <w:rtl/>
        </w:rPr>
        <w:t xml:space="preserve"> אם היא מותרת לו כמי שיש לה עליו כתובה או לא, ואם יש חלוק בין שנתחייב הבעל לקבלן ושעבד עצמו לו או שיהיה הבעל פטור מן הקבלן אם תגבה אשתו ממנה</w:t>
      </w:r>
      <w:r w:rsidR="004B3214">
        <w:rPr>
          <w:rFonts w:asciiTheme="minorBidi" w:hAnsiTheme="minorBidi" w:cs="Arial" w:hint="cs"/>
          <w:rtl/>
        </w:rPr>
        <w:t>.</w:t>
      </w:r>
      <w:r w:rsidR="002D025F">
        <w:rPr>
          <w:rFonts w:asciiTheme="minorBidi" w:hAnsiTheme="minorBidi" w:cs="Arial" w:hint="cs"/>
          <w:rtl/>
        </w:rPr>
        <w:t xml:space="preserve">      </w:t>
      </w:r>
      <w:r w:rsidR="004B3214" w:rsidRPr="004B3214">
        <w:rPr>
          <w:rFonts w:asciiTheme="minorBidi" w:hAnsiTheme="minorBidi" w:cs="Arial"/>
          <w:rtl/>
        </w:rPr>
        <w:t>תשובה</w:t>
      </w:r>
      <w:r w:rsidR="004B3214">
        <w:rPr>
          <w:rFonts w:asciiTheme="minorBidi" w:hAnsiTheme="minorBidi" w:cs="Arial" w:hint="cs"/>
          <w:rtl/>
        </w:rPr>
        <w:t>:</w:t>
      </w:r>
      <w:r w:rsidR="004B3214" w:rsidRPr="004B3214">
        <w:rPr>
          <w:rFonts w:asciiTheme="minorBidi" w:hAnsiTheme="minorBidi" w:cs="Arial"/>
          <w:rtl/>
        </w:rPr>
        <w:t xml:space="preserve"> כל שאין לה על הבעל כלום אלא על הקבלן הרי זו כאלו נשאת לראובן וכתב לה שמעון כתובה</w:t>
      </w:r>
      <w:r w:rsidR="004427C1">
        <w:rPr>
          <w:rFonts w:asciiTheme="minorBidi" w:hAnsiTheme="minorBidi" w:cs="Arial" w:hint="cs"/>
          <w:rtl/>
        </w:rPr>
        <w:t>,</w:t>
      </w:r>
      <w:r w:rsidR="004B3214" w:rsidRPr="004B3214">
        <w:rPr>
          <w:rFonts w:asciiTheme="minorBidi" w:hAnsiTheme="minorBidi" w:cs="Arial"/>
          <w:rtl/>
        </w:rPr>
        <w:t xml:space="preserve"> ולא מצינו אשה לאחד וכתובתה על אחרים. ואינו דומה למי שעשה קבלן לכתובת אשתו</w:t>
      </w:r>
      <w:r w:rsidR="00585E60">
        <w:rPr>
          <w:rFonts w:asciiTheme="minorBidi" w:hAnsiTheme="minorBidi" w:cs="Arial" w:hint="cs"/>
          <w:rtl/>
        </w:rPr>
        <w:t>,</w:t>
      </w:r>
      <w:r w:rsidR="004B3214" w:rsidRPr="004B3214">
        <w:rPr>
          <w:rFonts w:asciiTheme="minorBidi" w:hAnsiTheme="minorBidi" w:cs="Arial"/>
          <w:rtl/>
        </w:rPr>
        <w:t xml:space="preserve"> שאין לו</w:t>
      </w:r>
      <w:r w:rsidR="004427C1">
        <w:rPr>
          <w:rFonts w:asciiTheme="minorBidi" w:hAnsiTheme="minorBidi" w:cs="Arial" w:hint="cs"/>
          <w:rtl/>
        </w:rPr>
        <w:t>,</w:t>
      </w:r>
      <w:r w:rsidR="004B3214" w:rsidRPr="004B3214">
        <w:rPr>
          <w:rFonts w:asciiTheme="minorBidi" w:hAnsiTheme="minorBidi" w:cs="Arial"/>
          <w:rtl/>
        </w:rPr>
        <w:t xml:space="preserve"> לפי דמ"מ כתובתה על הבעל</w:t>
      </w:r>
      <w:r w:rsidR="00A91621">
        <w:rPr>
          <w:rFonts w:asciiTheme="minorBidi" w:hAnsiTheme="minorBidi" w:cs="Arial" w:hint="cs"/>
          <w:rtl/>
        </w:rPr>
        <w:t>,</w:t>
      </w:r>
      <w:r w:rsidR="004B3214" w:rsidRPr="004B3214">
        <w:rPr>
          <w:rFonts w:asciiTheme="minorBidi" w:hAnsiTheme="minorBidi" w:cs="Arial"/>
          <w:rtl/>
        </w:rPr>
        <w:t xml:space="preserve"> ואם אין לו עכשיו יהא לו לאחר זמן. אבל זו שאין לה על הבעל כלום הרי היא כיושבת תחתיו בלא כתובה. וכ"ש בשאין לקבלן על הבעל כלום דאסור לעשות כן דהויא קלה בעיניו להוציאה. ואפילו מניח לה כתובתה על השלחן אסרו שלא יעשה כן</w:t>
      </w:r>
      <w:r w:rsidR="00A91621">
        <w:rPr>
          <w:rFonts w:asciiTheme="minorBidi" w:hAnsiTheme="minorBidi" w:cs="Arial" w:hint="cs"/>
          <w:rtl/>
        </w:rPr>
        <w:t>,</w:t>
      </w:r>
      <w:r w:rsidR="004B3214" w:rsidRPr="004B3214">
        <w:rPr>
          <w:rFonts w:asciiTheme="minorBidi" w:hAnsiTheme="minorBidi" w:cs="Arial"/>
          <w:rtl/>
        </w:rPr>
        <w:t xml:space="preserve"> כדי שלא יאמר לה טלי כתובתיך וצאי. וכ"ש זו שכיון שיהיה לו כעס עמה יאמר לה טלי כתובתיך וגיטך וצאי. ואף ר' יהודה לא התיר במוחלת אלא בכותב לה מאתיים והיא כותבת לו התקבלתי מנה. אבל זו אפילו ר' יהודה נראה שהוא עושה כל בעילותיה זנות</w:t>
      </w:r>
      <w:r w:rsidR="00A91621">
        <w:rPr>
          <w:rFonts w:asciiTheme="minorBidi" w:hAnsiTheme="minorBidi" w:cs="Arial" w:hint="cs"/>
          <w:rtl/>
        </w:rPr>
        <w:t>,</w:t>
      </w:r>
      <w:r w:rsidR="004B3214" w:rsidRPr="004B3214">
        <w:rPr>
          <w:rFonts w:asciiTheme="minorBidi" w:hAnsiTheme="minorBidi" w:cs="Arial"/>
          <w:rtl/>
        </w:rPr>
        <w:t xml:space="preserve"> וכ"ש לר"מ וקיימא לן כותיה בגזרותיו</w:t>
      </w:r>
      <w:r w:rsidRPr="004B3214">
        <w:rPr>
          <w:rFonts w:asciiTheme="minorBidi" w:hAnsiTheme="minorBidi"/>
          <w:rtl/>
        </w:rPr>
        <w:t>.</w:t>
      </w:r>
    </w:p>
    <w:p w14:paraId="494B7272" w14:textId="09F89483" w:rsidR="00973C57" w:rsidRPr="00351B7D" w:rsidRDefault="00973C57" w:rsidP="00973C57">
      <w:pPr>
        <w:rPr>
          <w:rFonts w:asciiTheme="minorBidi" w:hAnsiTheme="minorBidi"/>
          <w:rtl/>
        </w:rPr>
      </w:pPr>
      <w:r w:rsidRPr="00351B7D">
        <w:rPr>
          <w:rFonts w:asciiTheme="minorBidi" w:hAnsiTheme="minorBidi"/>
          <w:u w:val="single"/>
          <w:rtl/>
        </w:rPr>
        <w:t>כתב לה כתובה בקידושי טעות, האם צריך לכתוב לה כתובה חדשה כשמקדשה שנית:</w:t>
      </w:r>
      <w:r w:rsidRPr="00351B7D">
        <w:rPr>
          <w:rFonts w:asciiTheme="minorBidi" w:hAnsiTheme="minorBidi"/>
          <w:rtl/>
        </w:rPr>
        <w:t xml:space="preserve"> </w:t>
      </w:r>
      <w:r w:rsidRPr="00351B7D">
        <w:rPr>
          <w:rFonts w:asciiTheme="minorBidi" w:hAnsiTheme="minorBidi"/>
          <w:sz w:val="16"/>
          <w:szCs w:val="16"/>
          <w:rtl/>
        </w:rPr>
        <w:t xml:space="preserve">(דרכ"מ אות ח) </w:t>
      </w:r>
    </w:p>
    <w:p w14:paraId="6E72696F" w14:textId="2458CEE9" w:rsidR="00973C57" w:rsidRPr="00351B7D" w:rsidRDefault="00973C57" w:rsidP="00CE6A2B">
      <w:pPr>
        <w:pStyle w:val="ab"/>
        <w:numPr>
          <w:ilvl w:val="0"/>
          <w:numId w:val="11"/>
        </w:numPr>
        <w:rPr>
          <w:rFonts w:asciiTheme="minorBidi" w:hAnsiTheme="minorBidi"/>
          <w:u w:val="single"/>
          <w:rtl/>
        </w:rPr>
      </w:pPr>
      <w:r w:rsidRPr="00351B7D">
        <w:rPr>
          <w:rFonts w:asciiTheme="minorBidi" w:hAnsiTheme="minorBidi"/>
          <w:rtl/>
        </w:rPr>
        <w:t>הג</w:t>
      </w:r>
      <w:r w:rsidR="00C45782">
        <w:rPr>
          <w:rFonts w:asciiTheme="minorBidi" w:hAnsiTheme="minorBidi" w:hint="cs"/>
          <w:rtl/>
        </w:rPr>
        <w:t xml:space="preserve">מ"ר </w:t>
      </w:r>
      <w:r w:rsidRPr="00351B7D">
        <w:rPr>
          <w:rFonts w:asciiTheme="minorBidi" w:hAnsiTheme="minorBidi"/>
          <w:sz w:val="16"/>
          <w:szCs w:val="16"/>
          <w:rtl/>
        </w:rPr>
        <w:t xml:space="preserve">(קידושין סי' תקמה) </w:t>
      </w:r>
      <w:r w:rsidRPr="00351B7D">
        <w:rPr>
          <w:rFonts w:asciiTheme="minorBidi" w:hAnsiTheme="minorBidi"/>
          <w:rtl/>
        </w:rPr>
        <w:t>ומהרי"ו</w:t>
      </w:r>
      <w:r w:rsidRPr="00351B7D">
        <w:rPr>
          <w:rFonts w:asciiTheme="minorBidi" w:hAnsiTheme="minorBidi"/>
          <w:sz w:val="16"/>
          <w:szCs w:val="16"/>
          <w:rtl/>
        </w:rPr>
        <w:t xml:space="preserve"> (בשו"ת סי' ז)</w:t>
      </w:r>
      <w:r w:rsidRPr="00351B7D">
        <w:rPr>
          <w:rFonts w:asciiTheme="minorBidi" w:hAnsiTheme="minorBidi"/>
          <w:rtl/>
        </w:rPr>
        <w:t>- אם כתב לה כתובה בקידושי טעות</w:t>
      </w:r>
      <w:r w:rsidR="00BF4DD5">
        <w:rPr>
          <w:rFonts w:asciiTheme="minorBidi" w:hAnsiTheme="minorBidi" w:hint="cs"/>
          <w:rtl/>
        </w:rPr>
        <w:t>,</w:t>
      </w:r>
      <w:r w:rsidRPr="00351B7D">
        <w:rPr>
          <w:rFonts w:asciiTheme="minorBidi" w:hAnsiTheme="minorBidi"/>
          <w:rtl/>
        </w:rPr>
        <w:t xml:space="preserve"> אע"פ שחזר אח"כ וקדשה שנית אפילו הכי כתובה הראשונה קיימת</w:t>
      </w:r>
      <w:r w:rsidR="00F95698">
        <w:rPr>
          <w:rFonts w:asciiTheme="minorBidi" w:hAnsiTheme="minorBidi" w:hint="cs"/>
          <w:sz w:val="16"/>
          <w:szCs w:val="16"/>
          <w:rtl/>
        </w:rPr>
        <w:t xml:space="preserve"> (ל' הדרכ"מ)</w:t>
      </w:r>
      <w:r w:rsidRPr="00351B7D">
        <w:rPr>
          <w:rFonts w:asciiTheme="minorBidi" w:hAnsiTheme="minorBidi"/>
          <w:rtl/>
        </w:rPr>
        <w:t>.</w:t>
      </w:r>
    </w:p>
    <w:p w14:paraId="620355C3" w14:textId="77777777" w:rsidR="000F16EB" w:rsidRPr="00351B7D" w:rsidRDefault="000F16EB" w:rsidP="000F16EB">
      <w:pPr>
        <w:rPr>
          <w:rFonts w:asciiTheme="minorBidi" w:hAnsiTheme="minorBidi"/>
          <w:u w:val="single"/>
          <w:rtl/>
        </w:rPr>
      </w:pPr>
      <w:r w:rsidRPr="00351B7D">
        <w:rPr>
          <w:rFonts w:asciiTheme="minorBidi" w:hAnsiTheme="minorBidi"/>
          <w:u w:val="single"/>
          <w:rtl/>
        </w:rPr>
        <w:t xml:space="preserve">חתימת העדים על הכתובה קודם </w:t>
      </w:r>
      <w:r>
        <w:rPr>
          <w:rFonts w:asciiTheme="minorBidi" w:hAnsiTheme="minorBidi" w:hint="cs"/>
          <w:u w:val="single"/>
          <w:rtl/>
        </w:rPr>
        <w:t>הברכה והקנין</w:t>
      </w:r>
      <w:r w:rsidRPr="00351B7D">
        <w:rPr>
          <w:rFonts w:asciiTheme="minorBidi" w:hAnsiTheme="minorBidi"/>
          <w:u w:val="single"/>
          <w:rtl/>
        </w:rPr>
        <w:t>:</w:t>
      </w:r>
      <w:r w:rsidRPr="00351B7D">
        <w:rPr>
          <w:rFonts w:asciiTheme="minorBidi" w:hAnsiTheme="minorBidi"/>
          <w:rtl/>
        </w:rPr>
        <w:t xml:space="preserve"> </w:t>
      </w:r>
      <w:r w:rsidRPr="00351B7D">
        <w:rPr>
          <w:rFonts w:asciiTheme="minorBidi" w:hAnsiTheme="minorBidi"/>
          <w:sz w:val="16"/>
          <w:szCs w:val="16"/>
          <w:rtl/>
        </w:rPr>
        <w:t>(דרכ"מ אות ג)</w:t>
      </w:r>
    </w:p>
    <w:p w14:paraId="34FDFE2B" w14:textId="46C3FE8C" w:rsidR="000F16EB" w:rsidRPr="00351B7D" w:rsidRDefault="000F16EB" w:rsidP="000F16EB">
      <w:pPr>
        <w:pStyle w:val="ab"/>
        <w:numPr>
          <w:ilvl w:val="0"/>
          <w:numId w:val="13"/>
        </w:numPr>
        <w:rPr>
          <w:rFonts w:asciiTheme="minorBidi" w:hAnsiTheme="minorBidi"/>
          <w:rtl/>
        </w:rPr>
      </w:pPr>
      <w:r w:rsidRPr="00351B7D">
        <w:rPr>
          <w:rFonts w:asciiTheme="minorBidi" w:hAnsiTheme="minorBidi"/>
          <w:rtl/>
        </w:rPr>
        <w:t xml:space="preserve">מרדכי </w:t>
      </w:r>
      <w:r w:rsidRPr="00351B7D">
        <w:rPr>
          <w:rFonts w:asciiTheme="minorBidi" w:hAnsiTheme="minorBidi"/>
          <w:sz w:val="16"/>
          <w:szCs w:val="16"/>
          <w:rtl/>
        </w:rPr>
        <w:t>(גיטין סי' שמב)</w:t>
      </w:r>
      <w:r w:rsidRPr="00351B7D">
        <w:rPr>
          <w:rFonts w:asciiTheme="minorBidi" w:hAnsiTheme="minorBidi"/>
          <w:rtl/>
        </w:rPr>
        <w:t>- סמכו חכמי הקהל לחתום הכתובה קודם הברכה</w:t>
      </w:r>
      <w:r w:rsidR="00757F80">
        <w:rPr>
          <w:rFonts w:asciiTheme="minorBidi" w:hAnsiTheme="minorBidi" w:hint="cs"/>
          <w:sz w:val="16"/>
          <w:szCs w:val="16"/>
          <w:rtl/>
        </w:rPr>
        <w:t xml:space="preserve"> {שאחריה נעשה הקנין על הכתובה}</w:t>
      </w:r>
      <w:r w:rsidRPr="00351B7D">
        <w:rPr>
          <w:rFonts w:asciiTheme="minorBidi" w:hAnsiTheme="minorBidi"/>
          <w:rtl/>
        </w:rPr>
        <w:t xml:space="preserve"> דאיכא אימתא דציבורא לשקר, וגם העדים חותמים קודם הברכה, וליכא משום מיחזי כשיקרא כיון דעסוקים באותו ענין</w:t>
      </w:r>
      <w:r>
        <w:rPr>
          <w:rFonts w:asciiTheme="minorBidi" w:hAnsiTheme="minorBidi" w:hint="cs"/>
          <w:rtl/>
        </w:rPr>
        <w:t>.</w:t>
      </w:r>
      <w:r w:rsidRPr="00351B7D">
        <w:rPr>
          <w:rFonts w:asciiTheme="minorBidi" w:hAnsiTheme="minorBidi"/>
          <w:rtl/>
        </w:rPr>
        <w:t xml:space="preserve"> ויש מקומות שאין חותמין עד אחר הברכה שכבר הקנין נעשה בפניהם</w:t>
      </w:r>
      <w:r w:rsidRPr="00351B7D">
        <w:rPr>
          <w:rStyle w:val="a7"/>
          <w:rFonts w:asciiTheme="minorBidi" w:hAnsiTheme="minorBidi"/>
          <w:rtl/>
        </w:rPr>
        <w:footnoteReference w:id="28"/>
      </w:r>
      <w:r w:rsidRPr="00351B7D">
        <w:rPr>
          <w:rFonts w:asciiTheme="minorBidi" w:hAnsiTheme="minorBidi"/>
          <w:rtl/>
        </w:rPr>
        <w:t>.</w:t>
      </w:r>
    </w:p>
    <w:p w14:paraId="0F0C99C8" w14:textId="77777777" w:rsidR="000F16EB" w:rsidRPr="00351B7D" w:rsidRDefault="000F16EB" w:rsidP="000F16EB">
      <w:pPr>
        <w:rPr>
          <w:rFonts w:asciiTheme="minorBidi" w:hAnsiTheme="minorBidi"/>
          <w:sz w:val="16"/>
          <w:szCs w:val="16"/>
          <w:rtl/>
        </w:rPr>
      </w:pPr>
      <w:r w:rsidRPr="00351B7D">
        <w:rPr>
          <w:rFonts w:asciiTheme="minorBidi" w:hAnsiTheme="minorBidi"/>
          <w:u w:val="single"/>
          <w:rtl/>
        </w:rPr>
        <w:lastRenderedPageBreak/>
        <w:t>עדים שחתמו על כתובה שקראו תחת החופה אע"פ שלא שמעו את הקריאה:</w:t>
      </w:r>
      <w:r w:rsidRPr="00351B7D">
        <w:rPr>
          <w:rFonts w:asciiTheme="minorBidi" w:hAnsiTheme="minorBidi"/>
          <w:rtl/>
        </w:rPr>
        <w:t xml:space="preserve"> </w:t>
      </w:r>
      <w:r w:rsidRPr="00351B7D">
        <w:rPr>
          <w:rFonts w:asciiTheme="minorBidi" w:hAnsiTheme="minorBidi"/>
          <w:sz w:val="16"/>
          <w:szCs w:val="16"/>
          <w:rtl/>
        </w:rPr>
        <w:t xml:space="preserve">(דרכ"מ אות ג) </w:t>
      </w:r>
    </w:p>
    <w:p w14:paraId="71743F2E" w14:textId="77777777" w:rsidR="000F16EB" w:rsidRPr="00351B7D" w:rsidRDefault="000F16EB" w:rsidP="000F16EB">
      <w:pPr>
        <w:pStyle w:val="ab"/>
        <w:numPr>
          <w:ilvl w:val="0"/>
          <w:numId w:val="12"/>
        </w:numPr>
        <w:rPr>
          <w:rFonts w:asciiTheme="minorBidi" w:hAnsiTheme="minorBidi"/>
        </w:rPr>
      </w:pPr>
      <w:r w:rsidRPr="00351B7D">
        <w:rPr>
          <w:rFonts w:asciiTheme="minorBidi" w:hAnsiTheme="minorBidi"/>
          <w:rtl/>
        </w:rPr>
        <w:t xml:space="preserve">או"ז </w:t>
      </w:r>
      <w:r w:rsidRPr="00351B7D">
        <w:rPr>
          <w:rFonts w:asciiTheme="minorBidi" w:hAnsiTheme="minorBidi"/>
          <w:sz w:val="16"/>
          <w:szCs w:val="16"/>
          <w:rtl/>
        </w:rPr>
        <w:t>(הג"א סי' יב אות ג)</w:t>
      </w:r>
      <w:r w:rsidRPr="00351B7D">
        <w:rPr>
          <w:rFonts w:asciiTheme="minorBidi" w:hAnsiTheme="minorBidi"/>
          <w:rtl/>
        </w:rPr>
        <w:t>- בכתובות שלנו חותמין העדים אע"פ שלא שמעו הקריאה</w:t>
      </w:r>
      <w:r w:rsidRPr="00351B7D">
        <w:rPr>
          <w:rStyle w:val="a7"/>
          <w:rFonts w:asciiTheme="minorBidi" w:hAnsiTheme="minorBidi"/>
          <w:rtl/>
        </w:rPr>
        <w:footnoteReference w:id="29"/>
      </w:r>
      <w:r w:rsidRPr="00351B7D">
        <w:rPr>
          <w:rFonts w:asciiTheme="minorBidi" w:hAnsiTheme="minorBidi"/>
          <w:rtl/>
        </w:rPr>
        <w:t xml:space="preserve">, וטעמא משום שקראוה חכמי הקהל ואיכא אימתא דצבורא לשקר ולחזור בקנין וגם לקרות שקר טפי, מדרב נחמן דקרו קמיה וחתים משום אימתא. </w:t>
      </w:r>
    </w:p>
    <w:p w14:paraId="3643C85A" w14:textId="77777777" w:rsidR="00973C57" w:rsidRPr="00351B7D" w:rsidRDefault="00973C57" w:rsidP="00973C5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169F671" w14:textId="1DE8944D" w:rsidR="00973C57" w:rsidRPr="00351B7D" w:rsidRDefault="00973C57" w:rsidP="00973C57">
      <w:pPr>
        <w:rPr>
          <w:rFonts w:asciiTheme="minorBidi" w:hAnsiTheme="minorBidi"/>
          <w:color w:val="000000"/>
          <w:sz w:val="18"/>
          <w:szCs w:val="18"/>
          <w:rtl/>
        </w:rPr>
      </w:pPr>
      <w:r w:rsidRPr="00351B7D">
        <w:rPr>
          <w:rFonts w:asciiTheme="minorBidi" w:hAnsiTheme="minorBidi"/>
          <w:rtl/>
        </w:rPr>
        <w:t>אסור להתייחד עם הכלה קודם שיכתוב לה כתובה</w:t>
      </w:r>
      <w:r w:rsidR="00CA556A">
        <w:rPr>
          <w:rFonts w:asciiTheme="minorBidi" w:hAnsiTheme="minorBidi" w:hint="cs"/>
          <w:rtl/>
        </w:rPr>
        <w:t>.</w:t>
      </w:r>
      <w:r w:rsidRPr="00351B7D">
        <w:rPr>
          <w:rFonts w:asciiTheme="minorBidi" w:hAnsiTheme="minorBidi"/>
          <w:color w:val="000000"/>
          <w:sz w:val="16"/>
          <w:szCs w:val="16"/>
          <w:rtl/>
        </w:rPr>
        <w:t xml:space="preserve"> </w:t>
      </w:r>
      <w:r w:rsidR="00CA556A">
        <w:rPr>
          <w:rFonts w:asciiTheme="minorBidi" w:hAnsiTheme="minorBidi" w:hint="cs"/>
          <w:color w:val="000000"/>
          <w:sz w:val="18"/>
          <w:szCs w:val="18"/>
          <w:rtl/>
        </w:rPr>
        <w:t xml:space="preserve">[הגה] </w:t>
      </w:r>
      <w:r w:rsidRPr="00351B7D">
        <w:rPr>
          <w:rFonts w:asciiTheme="minorBidi" w:hAnsiTheme="minorBidi"/>
          <w:color w:val="000000"/>
          <w:sz w:val="18"/>
          <w:szCs w:val="18"/>
          <w:rtl/>
        </w:rPr>
        <w:t>ויש מקילין ומתירין להתייחד בלא כתובה</w:t>
      </w:r>
      <w:r w:rsidRPr="00351B7D">
        <w:rPr>
          <w:rStyle w:val="a7"/>
          <w:rFonts w:asciiTheme="minorBidi" w:hAnsiTheme="minorBidi"/>
          <w:color w:val="000000"/>
          <w:sz w:val="18"/>
          <w:szCs w:val="18"/>
          <w:rtl/>
        </w:rPr>
        <w:footnoteReference w:id="30"/>
      </w:r>
      <w:r w:rsidRPr="00351B7D">
        <w:rPr>
          <w:rFonts w:asciiTheme="minorBidi" w:hAnsiTheme="minorBidi"/>
          <w:color w:val="000000"/>
          <w:sz w:val="18"/>
          <w:szCs w:val="18"/>
          <w:rtl/>
        </w:rPr>
        <w:t xml:space="preserve"> ובלבד שלא יבעול</w:t>
      </w:r>
      <w:r w:rsidRPr="00351B7D">
        <w:rPr>
          <w:rStyle w:val="a7"/>
          <w:rFonts w:asciiTheme="minorBidi" w:hAnsiTheme="minorBidi"/>
          <w:color w:val="000000"/>
          <w:sz w:val="18"/>
          <w:szCs w:val="18"/>
          <w:rtl/>
        </w:rPr>
        <w:footnoteReference w:id="31"/>
      </w:r>
      <w:r w:rsidRPr="00351B7D">
        <w:rPr>
          <w:rFonts w:asciiTheme="minorBidi" w:hAnsiTheme="minorBidi"/>
          <w:color w:val="000000"/>
          <w:sz w:val="18"/>
          <w:szCs w:val="18"/>
          <w:rtl/>
        </w:rPr>
        <w:t xml:space="preserve"> (הר"ן)</w:t>
      </w:r>
      <w:r w:rsidR="00CA556A">
        <w:rPr>
          <w:rFonts w:asciiTheme="minorBidi" w:hAnsiTheme="minorBidi" w:hint="cs"/>
          <w:color w:val="000000"/>
          <w:sz w:val="18"/>
          <w:szCs w:val="18"/>
          <w:rtl/>
        </w:rPr>
        <w:t>.</w:t>
      </w:r>
      <w:r w:rsidRPr="00351B7D">
        <w:rPr>
          <w:rFonts w:asciiTheme="minorBidi" w:hAnsiTheme="minorBidi"/>
          <w:color w:val="000000"/>
          <w:sz w:val="24"/>
          <w:szCs w:val="24"/>
          <w:rtl/>
        </w:rPr>
        <w:t xml:space="preserve"> </w:t>
      </w:r>
      <w:r w:rsidRPr="00351B7D">
        <w:rPr>
          <w:rFonts w:asciiTheme="minorBidi" w:hAnsiTheme="minorBidi"/>
          <w:rtl/>
        </w:rPr>
        <w:t>והבעל נותן שכר הסופר</w:t>
      </w:r>
      <w:r w:rsidRPr="00351B7D">
        <w:rPr>
          <w:rStyle w:val="a7"/>
          <w:rFonts w:asciiTheme="minorBidi" w:hAnsiTheme="minorBidi"/>
          <w:color w:val="000000"/>
          <w:rtl/>
        </w:rPr>
        <w:footnoteReference w:id="32"/>
      </w:r>
      <w:r w:rsidRPr="00351B7D">
        <w:rPr>
          <w:rFonts w:asciiTheme="minorBidi" w:hAnsiTheme="minorBidi"/>
          <w:rtl/>
        </w:rPr>
        <w:t>. ואפילו אם ירצה לייחד לה כתובה במעות</w:t>
      </w:r>
      <w:r w:rsidRPr="00351B7D">
        <w:rPr>
          <w:rStyle w:val="a7"/>
          <w:rFonts w:asciiTheme="minorBidi" w:hAnsiTheme="minorBidi"/>
          <w:color w:val="000000"/>
          <w:rtl/>
        </w:rPr>
        <w:footnoteReference w:id="33"/>
      </w:r>
      <w:r w:rsidRPr="00351B7D">
        <w:rPr>
          <w:rFonts w:asciiTheme="minorBidi" w:hAnsiTheme="minorBidi"/>
          <w:rtl/>
        </w:rPr>
        <w:t xml:space="preserve"> או בשאר מטלטלין אין שומעין לו</w:t>
      </w:r>
      <w:r w:rsidRPr="00351B7D">
        <w:rPr>
          <w:rStyle w:val="a7"/>
          <w:rFonts w:asciiTheme="minorBidi" w:hAnsiTheme="minorBidi"/>
          <w:color w:val="000000"/>
          <w:rtl/>
        </w:rPr>
        <w:footnoteReference w:id="34"/>
      </w:r>
      <w:r w:rsidR="001C10CC">
        <w:rPr>
          <w:rFonts w:asciiTheme="minorBidi" w:hAnsiTheme="minorBidi" w:hint="cs"/>
          <w:rtl/>
        </w:rPr>
        <w:t>,</w:t>
      </w:r>
      <w:r w:rsidRPr="00351B7D">
        <w:rPr>
          <w:rFonts w:asciiTheme="minorBidi" w:hAnsiTheme="minorBidi"/>
          <w:rtl/>
        </w:rPr>
        <w:t xml:space="preserve"> אלא צריך שיכתוב לה שטר על עצמו בדמי הכתובה ויהיו כל נכסיו משועבדים לה</w:t>
      </w:r>
      <w:r w:rsidR="001C10CC">
        <w:rPr>
          <w:rFonts w:asciiTheme="minorBidi" w:hAnsiTheme="minorBidi" w:hint="cs"/>
          <w:rtl/>
        </w:rPr>
        <w:t>,</w:t>
      </w:r>
      <w:r w:rsidRPr="00351B7D">
        <w:rPr>
          <w:rFonts w:asciiTheme="minorBidi" w:hAnsiTheme="minorBidi"/>
          <w:rtl/>
        </w:rPr>
        <w:t xml:space="preserve"> או שיעידו עליו עדים ויקנו מידו מה שהוא חייב לה מנה או מאתים.</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וי</w:t>
      </w:r>
      <w:r w:rsidRPr="001C10CC">
        <w:rPr>
          <w:rFonts w:asciiTheme="minorBidi" w:hAnsiTheme="minorBidi"/>
          <w:color w:val="000000"/>
          <w:sz w:val="18"/>
          <w:szCs w:val="18"/>
          <w:rtl/>
        </w:rPr>
        <w:t>"א דאין לסמוך אעדים רק בשעת הדחק ומיד שיש לו פנאי לכתוב צריך לכתוב</w:t>
      </w:r>
      <w:r w:rsidR="00FC047B">
        <w:rPr>
          <w:rFonts w:asciiTheme="minorBidi" w:hAnsiTheme="minorBidi" w:hint="cs"/>
          <w:color w:val="000000"/>
          <w:sz w:val="18"/>
          <w:szCs w:val="18"/>
          <w:rtl/>
        </w:rPr>
        <w:t>,</w:t>
      </w:r>
      <w:r w:rsidRPr="001C10CC">
        <w:rPr>
          <w:rFonts w:asciiTheme="minorBidi" w:hAnsiTheme="minorBidi"/>
          <w:color w:val="000000"/>
          <w:sz w:val="18"/>
          <w:szCs w:val="18"/>
          <w:rtl/>
        </w:rPr>
        <w:t xml:space="preserve"> כל שכן שאין לסמוך עלייהו לכתחלה (מהרי"ק)</w:t>
      </w:r>
      <w:r w:rsidR="00FC047B">
        <w:rPr>
          <w:rFonts w:asciiTheme="minorBidi" w:hAnsiTheme="minorBidi" w:hint="cs"/>
          <w:color w:val="000000"/>
          <w:sz w:val="18"/>
          <w:szCs w:val="18"/>
          <w:rtl/>
        </w:rPr>
        <w:t>.</w:t>
      </w:r>
      <w:r w:rsidRPr="001C10CC">
        <w:rPr>
          <w:rFonts w:asciiTheme="minorBidi" w:hAnsiTheme="minorBidi"/>
          <w:color w:val="000000"/>
          <w:sz w:val="18"/>
          <w:szCs w:val="18"/>
          <w:rtl/>
        </w:rPr>
        <w:t xml:space="preserve"> וכן ראוי להורות</w:t>
      </w:r>
      <w:r w:rsidRPr="001C10CC">
        <w:rPr>
          <w:rStyle w:val="a7"/>
          <w:rFonts w:asciiTheme="minorBidi" w:hAnsiTheme="minorBidi"/>
          <w:color w:val="000000"/>
          <w:sz w:val="18"/>
          <w:szCs w:val="18"/>
          <w:rtl/>
        </w:rPr>
        <w:footnoteReference w:id="35"/>
      </w:r>
      <w:r w:rsidRPr="001C10CC">
        <w:rPr>
          <w:rFonts w:asciiTheme="minorBidi" w:hAnsiTheme="minorBidi"/>
          <w:color w:val="000000"/>
          <w:sz w:val="18"/>
          <w:szCs w:val="18"/>
          <w:rtl/>
        </w:rPr>
        <w:t>. העמיד לה ערב קבלן בעד כתובה והתנה שהוא יהא פטור ממנה</w:t>
      </w:r>
      <w:r w:rsidR="0057157A">
        <w:rPr>
          <w:rFonts w:asciiTheme="minorBidi" w:hAnsiTheme="minorBidi" w:hint="cs"/>
          <w:color w:val="000000"/>
          <w:sz w:val="18"/>
          <w:szCs w:val="18"/>
          <w:rtl/>
        </w:rPr>
        <w:t>,</w:t>
      </w:r>
      <w:r w:rsidRPr="001C10CC">
        <w:rPr>
          <w:rFonts w:asciiTheme="minorBidi" w:hAnsiTheme="minorBidi"/>
          <w:color w:val="000000"/>
          <w:sz w:val="18"/>
          <w:szCs w:val="18"/>
          <w:rtl/>
        </w:rPr>
        <w:t xml:space="preserve"> אסור עד שיהא שעבודה עליו</w:t>
      </w:r>
      <w:r w:rsidR="0057157A">
        <w:rPr>
          <w:rFonts w:asciiTheme="minorBidi" w:hAnsiTheme="minorBidi" w:hint="cs"/>
          <w:color w:val="000000"/>
          <w:sz w:val="18"/>
          <w:szCs w:val="18"/>
          <w:rtl/>
        </w:rPr>
        <w:t>,</w:t>
      </w:r>
      <w:r w:rsidRPr="001C10CC">
        <w:rPr>
          <w:rFonts w:asciiTheme="minorBidi" w:hAnsiTheme="minorBidi"/>
          <w:color w:val="000000"/>
          <w:sz w:val="18"/>
          <w:szCs w:val="18"/>
          <w:rtl/>
        </w:rPr>
        <w:t xml:space="preserve"> שלא תהא קלה בעיניו להוציאה</w:t>
      </w:r>
      <w:r w:rsidRPr="001C10CC">
        <w:rPr>
          <w:rStyle w:val="a7"/>
          <w:rFonts w:asciiTheme="minorBidi" w:hAnsiTheme="minorBidi"/>
          <w:color w:val="000000"/>
          <w:sz w:val="18"/>
          <w:szCs w:val="18"/>
          <w:rtl/>
        </w:rPr>
        <w:footnoteReference w:id="36"/>
      </w:r>
      <w:r w:rsidRPr="001C10CC">
        <w:rPr>
          <w:rFonts w:asciiTheme="minorBidi" w:hAnsiTheme="minorBidi"/>
          <w:color w:val="000000"/>
          <w:sz w:val="18"/>
          <w:szCs w:val="18"/>
          <w:rtl/>
        </w:rPr>
        <w:t xml:space="preserve"> (</w:t>
      </w:r>
      <w:r w:rsidR="0057157A">
        <w:rPr>
          <w:rFonts w:asciiTheme="minorBidi" w:hAnsiTheme="minorBidi" w:hint="cs"/>
          <w:color w:val="000000"/>
          <w:sz w:val="18"/>
          <w:szCs w:val="18"/>
          <w:rtl/>
        </w:rPr>
        <w:t>רשב"</w:t>
      </w:r>
      <w:r w:rsidRPr="001C10CC">
        <w:rPr>
          <w:rFonts w:asciiTheme="minorBidi" w:hAnsiTheme="minorBidi"/>
          <w:color w:val="000000"/>
          <w:sz w:val="18"/>
          <w:szCs w:val="18"/>
          <w:rtl/>
        </w:rPr>
        <w:t>א). עיין בחושן המשפט סימן ס' אם יוכל לשעבד עצמו בכתובתה בנכסים שלא באו לעולם. ואין לעדים לחתום הכתובה אלא לאחר שקיבל החתן קנין לפניהם (סבר</w:t>
      </w:r>
      <w:r w:rsidR="00A7784A">
        <w:rPr>
          <w:rFonts w:asciiTheme="minorBidi" w:hAnsiTheme="minorBidi" w:hint="cs"/>
          <w:color w:val="000000"/>
          <w:sz w:val="18"/>
          <w:szCs w:val="18"/>
          <w:rtl/>
        </w:rPr>
        <w:t>א ב' במרדכי)</w:t>
      </w:r>
      <w:r w:rsidRPr="001C10CC">
        <w:rPr>
          <w:rFonts w:asciiTheme="minorBidi" w:hAnsiTheme="minorBidi"/>
          <w:color w:val="000000"/>
          <w:sz w:val="18"/>
          <w:szCs w:val="18"/>
          <w:rtl/>
        </w:rPr>
        <w:t>, ויש מקומות שמקילין בזה (</w:t>
      </w:r>
      <w:r w:rsidR="00A7784A" w:rsidRPr="001C10CC">
        <w:rPr>
          <w:rFonts w:asciiTheme="minorBidi" w:hAnsiTheme="minorBidi"/>
          <w:color w:val="000000"/>
          <w:sz w:val="18"/>
          <w:szCs w:val="18"/>
          <w:rtl/>
        </w:rPr>
        <w:t>סבר</w:t>
      </w:r>
      <w:r w:rsidR="00A7784A">
        <w:rPr>
          <w:rFonts w:asciiTheme="minorBidi" w:hAnsiTheme="minorBidi" w:hint="cs"/>
          <w:color w:val="000000"/>
          <w:sz w:val="18"/>
          <w:szCs w:val="18"/>
          <w:rtl/>
        </w:rPr>
        <w:t>א א' במרדכי</w:t>
      </w:r>
      <w:r w:rsidRPr="001C10CC">
        <w:rPr>
          <w:rFonts w:asciiTheme="minorBidi" w:hAnsiTheme="minorBidi"/>
          <w:color w:val="000000"/>
          <w:sz w:val="18"/>
          <w:szCs w:val="18"/>
          <w:rtl/>
        </w:rPr>
        <w:t>). וכן שיש עדים חותמים על הכתובות שקראו תחת החופה אע</w:t>
      </w:r>
      <w:r w:rsidR="00A7784A">
        <w:rPr>
          <w:rFonts w:asciiTheme="minorBidi" w:hAnsiTheme="minorBidi" w:hint="cs"/>
          <w:color w:val="000000"/>
          <w:sz w:val="18"/>
          <w:szCs w:val="18"/>
          <w:rtl/>
        </w:rPr>
        <w:t>"</w:t>
      </w:r>
      <w:r w:rsidRPr="001C10CC">
        <w:rPr>
          <w:rFonts w:asciiTheme="minorBidi" w:hAnsiTheme="minorBidi"/>
          <w:color w:val="000000"/>
          <w:sz w:val="18"/>
          <w:szCs w:val="18"/>
          <w:rtl/>
        </w:rPr>
        <w:t>פ שהם לא שמעו הקריאה</w:t>
      </w:r>
      <w:r w:rsidR="00A7784A">
        <w:rPr>
          <w:rFonts w:asciiTheme="minorBidi" w:hAnsiTheme="minorBidi" w:hint="cs"/>
          <w:color w:val="000000"/>
          <w:sz w:val="18"/>
          <w:szCs w:val="18"/>
          <w:rtl/>
        </w:rPr>
        <w:t>,</w:t>
      </w:r>
      <w:r w:rsidRPr="001C10CC">
        <w:rPr>
          <w:rFonts w:asciiTheme="minorBidi" w:hAnsiTheme="minorBidi"/>
          <w:color w:val="000000"/>
          <w:sz w:val="18"/>
          <w:szCs w:val="18"/>
          <w:rtl/>
        </w:rPr>
        <w:t xml:space="preserve"> אע</w:t>
      </w:r>
      <w:r w:rsidR="00A7784A">
        <w:rPr>
          <w:rFonts w:asciiTheme="minorBidi" w:hAnsiTheme="minorBidi" w:hint="cs"/>
          <w:color w:val="000000"/>
          <w:sz w:val="18"/>
          <w:szCs w:val="18"/>
          <w:rtl/>
        </w:rPr>
        <w:t>"</w:t>
      </w:r>
      <w:r w:rsidRPr="001C10CC">
        <w:rPr>
          <w:rFonts w:asciiTheme="minorBidi" w:hAnsiTheme="minorBidi"/>
          <w:color w:val="000000"/>
          <w:sz w:val="18"/>
          <w:szCs w:val="18"/>
          <w:rtl/>
        </w:rPr>
        <w:t>פ דלא שפיר עבדי אין לשנות מנהגן שלא להוציא לעז על כתובות הראשונות (או"ז).</w:t>
      </w:r>
      <w:r w:rsidRPr="00351B7D">
        <w:rPr>
          <w:rFonts w:asciiTheme="minorBidi" w:hAnsiTheme="minorBidi"/>
          <w:color w:val="000000"/>
          <w:sz w:val="18"/>
          <w:szCs w:val="18"/>
          <w:rtl/>
        </w:rPr>
        <w:t xml:space="preserve">  </w:t>
      </w:r>
    </w:p>
    <w:p w14:paraId="39202D69" w14:textId="28CF48FF" w:rsidR="00973C57" w:rsidRPr="00351B7D" w:rsidRDefault="00973C57" w:rsidP="00973C57">
      <w:pPr>
        <w:rPr>
          <w:rFonts w:asciiTheme="minorBidi" w:hAnsiTheme="minorBidi"/>
          <w:color w:val="000000"/>
          <w:sz w:val="16"/>
          <w:szCs w:val="16"/>
          <w:rtl/>
        </w:rPr>
      </w:pPr>
      <w:r w:rsidRPr="00351B7D">
        <w:rPr>
          <w:rFonts w:asciiTheme="minorBidi" w:hAnsiTheme="minorBidi"/>
          <w:u w:val="single"/>
          <w:rtl/>
        </w:rPr>
        <w:t>האם מותר לחתן ולכלה להתייחד כשה</w:t>
      </w:r>
      <w:r w:rsidR="00A7784A">
        <w:rPr>
          <w:rFonts w:asciiTheme="minorBidi" w:hAnsiTheme="minorBidi" w:hint="cs"/>
          <w:u w:val="single"/>
          <w:rtl/>
        </w:rPr>
        <w:t>סופר מחזיק את ה</w:t>
      </w:r>
      <w:r w:rsidRPr="00351B7D">
        <w:rPr>
          <w:rFonts w:asciiTheme="minorBidi" w:hAnsiTheme="minorBidi"/>
          <w:u w:val="single"/>
          <w:rtl/>
        </w:rPr>
        <w:t xml:space="preserve">כתובה </w:t>
      </w:r>
      <w:r w:rsidR="00A7784A">
        <w:rPr>
          <w:rFonts w:asciiTheme="minorBidi" w:hAnsiTheme="minorBidi" w:hint="cs"/>
          <w:u w:val="single"/>
          <w:rtl/>
        </w:rPr>
        <w:t>עד שיפרעו לו את שכרו</w:t>
      </w:r>
      <w:r w:rsidRPr="00351B7D">
        <w:rPr>
          <w:rFonts w:asciiTheme="minorBidi" w:hAnsiTheme="minorBidi"/>
          <w:color w:val="000000"/>
          <w:u w:val="single"/>
          <w:rtl/>
        </w:rPr>
        <w:t>:</w:t>
      </w:r>
      <w:r w:rsidRPr="00351B7D">
        <w:rPr>
          <w:rFonts w:asciiTheme="minorBidi" w:hAnsiTheme="minorBidi"/>
          <w:color w:val="000000"/>
          <w:rtl/>
        </w:rPr>
        <w:t xml:space="preserve"> </w:t>
      </w:r>
      <w:r w:rsidRPr="00351B7D">
        <w:rPr>
          <w:rFonts w:asciiTheme="minorBidi" w:hAnsiTheme="minorBidi"/>
          <w:color w:val="000000"/>
          <w:sz w:val="16"/>
          <w:szCs w:val="16"/>
          <w:rtl/>
        </w:rPr>
        <w:t xml:space="preserve">(דרכ"מ [אות ו] </w:t>
      </w:r>
      <w:r w:rsidR="002C7B32">
        <w:rPr>
          <w:rFonts w:asciiTheme="minorBidi" w:hAnsiTheme="minorBidi" w:hint="cs"/>
          <w:color w:val="000000"/>
          <w:sz w:val="16"/>
          <w:szCs w:val="16"/>
          <w:rtl/>
        </w:rPr>
        <w:t>ו</w:t>
      </w:r>
      <w:r w:rsidRPr="00351B7D">
        <w:rPr>
          <w:rFonts w:asciiTheme="minorBidi" w:hAnsiTheme="minorBidi"/>
          <w:color w:val="000000"/>
          <w:sz w:val="16"/>
          <w:szCs w:val="16"/>
          <w:rtl/>
        </w:rPr>
        <w:t>כנה"ג [הגה"ט אות ו])</w:t>
      </w:r>
    </w:p>
    <w:p w14:paraId="227ADF40" w14:textId="77777777" w:rsidR="00973C57" w:rsidRPr="00351B7D" w:rsidRDefault="00973C57" w:rsidP="00CE6A2B">
      <w:pPr>
        <w:pStyle w:val="ab"/>
        <w:numPr>
          <w:ilvl w:val="0"/>
          <w:numId w:val="11"/>
        </w:numPr>
        <w:rPr>
          <w:rFonts w:asciiTheme="minorBidi" w:hAnsiTheme="minorBidi"/>
        </w:rPr>
      </w:pPr>
      <w:r w:rsidRPr="00351B7D">
        <w:rPr>
          <w:rFonts w:asciiTheme="minorBidi" w:hAnsiTheme="minorBidi"/>
          <w:rtl/>
        </w:rPr>
        <w:t xml:space="preserve">מהרי"ל </w:t>
      </w:r>
      <w:r w:rsidRPr="00351B7D">
        <w:rPr>
          <w:rFonts w:asciiTheme="minorBidi" w:hAnsiTheme="minorBidi"/>
          <w:sz w:val="16"/>
          <w:szCs w:val="16"/>
          <w:rtl/>
        </w:rPr>
        <w:t>(הל' נשואין אות יג)</w:t>
      </w:r>
      <w:r w:rsidRPr="00351B7D">
        <w:rPr>
          <w:rFonts w:asciiTheme="minorBidi" w:hAnsiTheme="minorBidi"/>
          <w:rtl/>
        </w:rPr>
        <w:t>- אסור לשהות אצלה הואיל ואין הכתובה בידה.</w:t>
      </w:r>
    </w:p>
    <w:p w14:paraId="5ED36660" w14:textId="77777777" w:rsidR="00973C57" w:rsidRPr="00351B7D" w:rsidRDefault="00973C57" w:rsidP="00CE6A2B">
      <w:pPr>
        <w:pStyle w:val="ab"/>
        <w:numPr>
          <w:ilvl w:val="0"/>
          <w:numId w:val="11"/>
        </w:numPr>
        <w:rPr>
          <w:rFonts w:asciiTheme="minorBidi" w:hAnsiTheme="minorBidi"/>
        </w:rPr>
      </w:pPr>
      <w:r w:rsidRPr="00351B7D">
        <w:rPr>
          <w:rFonts w:asciiTheme="minorBidi" w:hAnsiTheme="minorBidi"/>
          <w:rtl/>
        </w:rPr>
        <w:t xml:space="preserve">ט"ז </w:t>
      </w:r>
      <w:r w:rsidRPr="00351B7D">
        <w:rPr>
          <w:rFonts w:asciiTheme="minorBidi" w:hAnsiTheme="minorBidi"/>
          <w:sz w:val="16"/>
          <w:szCs w:val="16"/>
          <w:rtl/>
        </w:rPr>
        <w:t>(סע' ה סק"ג</w:t>
      </w:r>
      <w:r w:rsidRPr="00351B7D">
        <w:rPr>
          <w:rFonts w:asciiTheme="minorBidi" w:hAnsiTheme="minorBidi"/>
          <w:sz w:val="16"/>
          <w:szCs w:val="16"/>
          <w:vertAlign w:val="superscript"/>
          <w:rtl/>
        </w:rPr>
        <w:t>3</w:t>
      </w:r>
      <w:r w:rsidRPr="00351B7D">
        <w:rPr>
          <w:rFonts w:asciiTheme="minorBidi" w:hAnsiTheme="minorBidi"/>
          <w:sz w:val="16"/>
          <w:szCs w:val="16"/>
          <w:rtl/>
        </w:rPr>
        <w:t xml:space="preserve"> מכת"י)</w:t>
      </w:r>
      <w:r w:rsidRPr="00351B7D">
        <w:rPr>
          <w:rFonts w:asciiTheme="minorBidi" w:hAnsiTheme="minorBidi"/>
          <w:rtl/>
        </w:rPr>
        <w:t xml:space="preserve"> והר"א ששון </w:t>
      </w:r>
      <w:r w:rsidRPr="00351B7D">
        <w:rPr>
          <w:rFonts w:asciiTheme="minorBidi" w:hAnsiTheme="minorBidi"/>
          <w:sz w:val="16"/>
          <w:szCs w:val="16"/>
          <w:rtl/>
        </w:rPr>
        <w:t>(סי' קיט)</w:t>
      </w:r>
      <w:r w:rsidRPr="00351B7D">
        <w:rPr>
          <w:rFonts w:asciiTheme="minorBidi" w:hAnsiTheme="minorBidi"/>
          <w:rtl/>
        </w:rPr>
        <w:t xml:space="preserve">- מותר להתייחד. </w:t>
      </w:r>
    </w:p>
    <w:p w14:paraId="6F0B5FB1" w14:textId="77777777" w:rsidR="00973C57" w:rsidRPr="00351B7D" w:rsidRDefault="00973C57" w:rsidP="00973C57">
      <w:pPr>
        <w:rPr>
          <w:rFonts w:asciiTheme="minorBidi" w:hAnsiTheme="minorBidi"/>
          <w:color w:val="000000"/>
          <w:rtl/>
        </w:rPr>
      </w:pPr>
    </w:p>
    <w:p w14:paraId="2262FBF1" w14:textId="77777777" w:rsidR="00973C57" w:rsidRDefault="00973C57" w:rsidP="000F64D0">
      <w:pPr>
        <w:pStyle w:val="2"/>
        <w:rPr>
          <w:rtl/>
        </w:rPr>
      </w:pPr>
      <w:r w:rsidRPr="00351B7D">
        <w:rPr>
          <w:rtl/>
        </w:rPr>
        <w:t>סעיף ב: התפסת מטלטלין.</w:t>
      </w:r>
    </w:p>
    <w:p w14:paraId="42A6B8FD" w14:textId="0CE23ED9" w:rsidR="006D22F9" w:rsidRPr="006D22F9" w:rsidRDefault="006D22F9" w:rsidP="006D22F9">
      <w:pPr>
        <w:rPr>
          <w:rtl/>
        </w:rPr>
      </w:pPr>
      <w:r>
        <w:rPr>
          <w:rFonts w:hint="cs"/>
          <w:rtl/>
        </w:rPr>
        <w:t>עיין במקורות בסעיף א.</w:t>
      </w:r>
    </w:p>
    <w:p w14:paraId="465D6FC6" w14:textId="77777777" w:rsidR="00973C57" w:rsidRPr="00351B7D" w:rsidRDefault="00973C57" w:rsidP="00973C5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995E117" w14:textId="3E797EC6" w:rsidR="00973C57" w:rsidRPr="00351B7D" w:rsidRDefault="00973C57" w:rsidP="00973C57">
      <w:pPr>
        <w:rPr>
          <w:rFonts w:asciiTheme="minorBidi" w:hAnsiTheme="minorBidi"/>
          <w:color w:val="000000"/>
          <w:sz w:val="18"/>
          <w:szCs w:val="18"/>
          <w:rtl/>
        </w:rPr>
      </w:pPr>
      <w:r w:rsidRPr="00351B7D">
        <w:rPr>
          <w:rFonts w:asciiTheme="minorBidi" w:hAnsiTheme="minorBidi"/>
          <w:rtl/>
        </w:rPr>
        <w:t>אם אינו יכול לכתוב לה כתובה כגון בשבת או ששכח</w:t>
      </w:r>
      <w:r w:rsidRPr="00351B7D">
        <w:rPr>
          <w:rStyle w:val="a7"/>
          <w:rFonts w:asciiTheme="minorBidi" w:hAnsiTheme="minorBidi"/>
          <w:color w:val="000000"/>
          <w:rtl/>
        </w:rPr>
        <w:footnoteReference w:id="37"/>
      </w:r>
      <w:r w:rsidRPr="00351B7D">
        <w:rPr>
          <w:rFonts w:asciiTheme="minorBidi" w:hAnsiTheme="minorBidi"/>
          <w:rtl/>
        </w:rPr>
        <w:t xml:space="preserve"> לכתבה</w:t>
      </w:r>
      <w:r w:rsidR="00E06789">
        <w:rPr>
          <w:rFonts w:asciiTheme="minorBidi" w:hAnsiTheme="minorBidi" w:hint="cs"/>
          <w:rtl/>
        </w:rPr>
        <w:t>,</w:t>
      </w:r>
      <w:r w:rsidRPr="00351B7D">
        <w:rPr>
          <w:rFonts w:asciiTheme="minorBidi" w:hAnsiTheme="minorBidi"/>
          <w:rtl/>
        </w:rPr>
        <w:t xml:space="preserve"> יכול ליתן לה מטלטלין כנגד כתובתה</w:t>
      </w:r>
      <w:r w:rsidRPr="00351B7D">
        <w:rPr>
          <w:rStyle w:val="a7"/>
          <w:rFonts w:asciiTheme="minorBidi" w:hAnsiTheme="minorBidi"/>
          <w:color w:val="000000"/>
          <w:rtl/>
        </w:rPr>
        <w:footnoteReference w:id="38"/>
      </w:r>
      <w:r w:rsidR="00E06789">
        <w:rPr>
          <w:rFonts w:asciiTheme="minorBidi" w:hAnsiTheme="minorBidi" w:hint="cs"/>
          <w:rtl/>
        </w:rPr>
        <w:t>,</w:t>
      </w:r>
      <w:r w:rsidRPr="00351B7D">
        <w:rPr>
          <w:rFonts w:asciiTheme="minorBidi" w:hAnsiTheme="minorBidi"/>
          <w:rtl/>
        </w:rPr>
        <w:t xml:space="preserve"> ויקבל עליו אחריות אם יאבדו או יוזלו</w:t>
      </w:r>
      <w:r w:rsidR="00E06789">
        <w:rPr>
          <w:rFonts w:asciiTheme="minorBidi" w:hAnsiTheme="minorBidi" w:hint="cs"/>
          <w:rtl/>
        </w:rPr>
        <w:t>,</w:t>
      </w:r>
      <w:r w:rsidRPr="00351B7D">
        <w:rPr>
          <w:rFonts w:asciiTheme="minorBidi" w:hAnsiTheme="minorBidi"/>
          <w:rtl/>
        </w:rPr>
        <w:t xml:space="preserve"> ואז מותר לבעול עד שיהיה לו פנאי לכתוב</w:t>
      </w:r>
      <w:r w:rsidR="00E06789">
        <w:rPr>
          <w:rFonts w:asciiTheme="minorBidi" w:hAnsiTheme="minorBidi" w:hint="cs"/>
          <w:rtl/>
        </w:rPr>
        <w:t>.</w:t>
      </w:r>
      <w:r w:rsidRPr="00351B7D">
        <w:rPr>
          <w:rFonts w:asciiTheme="minorBidi" w:hAnsiTheme="minorBidi"/>
          <w:color w:val="000000"/>
          <w:sz w:val="16"/>
          <w:szCs w:val="16"/>
          <w:rtl/>
        </w:rPr>
        <w:t xml:space="preserve"> </w:t>
      </w:r>
      <w:r w:rsidR="00E06789">
        <w:rPr>
          <w:rFonts w:asciiTheme="minorBidi" w:hAnsiTheme="minorBidi" w:hint="cs"/>
          <w:color w:val="000000"/>
          <w:sz w:val="18"/>
          <w:szCs w:val="18"/>
          <w:rtl/>
        </w:rPr>
        <w:t xml:space="preserve">[הגה] </w:t>
      </w:r>
      <w:r w:rsidRPr="00351B7D">
        <w:rPr>
          <w:rFonts w:asciiTheme="minorBidi" w:hAnsiTheme="minorBidi"/>
          <w:color w:val="000000"/>
          <w:sz w:val="18"/>
          <w:szCs w:val="18"/>
          <w:rtl/>
        </w:rPr>
        <w:t>ואז כותב לה מיד (טור).</w:t>
      </w:r>
    </w:p>
    <w:p w14:paraId="55E8EC59" w14:textId="77777777" w:rsidR="00973C57" w:rsidRPr="00351B7D" w:rsidRDefault="00973C57" w:rsidP="00973C57">
      <w:pPr>
        <w:rPr>
          <w:rFonts w:asciiTheme="minorBidi" w:hAnsiTheme="minorBidi"/>
          <w:color w:val="000000"/>
          <w:sz w:val="16"/>
          <w:szCs w:val="16"/>
          <w:rtl/>
        </w:rPr>
      </w:pPr>
      <w:r w:rsidRPr="00351B7D">
        <w:rPr>
          <w:rFonts w:asciiTheme="minorBidi" w:hAnsiTheme="minorBidi"/>
          <w:color w:val="000000"/>
          <w:sz w:val="18"/>
          <w:szCs w:val="18"/>
          <w:rtl/>
        </w:rPr>
        <w:t xml:space="preserve"> </w:t>
      </w:r>
    </w:p>
    <w:p w14:paraId="63BFE6A0" w14:textId="3A2B797C" w:rsidR="00973C57" w:rsidRPr="00351B7D" w:rsidRDefault="00973C57" w:rsidP="000F64D0">
      <w:pPr>
        <w:pStyle w:val="2"/>
        <w:rPr>
          <w:rtl/>
        </w:rPr>
      </w:pPr>
      <w:r w:rsidRPr="00351B7D">
        <w:rPr>
          <w:rtl/>
        </w:rPr>
        <w:lastRenderedPageBreak/>
        <w:t>סעיף ג:</w:t>
      </w:r>
      <w:r w:rsidR="00A72A70">
        <w:rPr>
          <w:rFonts w:hint="cs"/>
          <w:rtl/>
        </w:rPr>
        <w:t xml:space="preserve"> </w:t>
      </w:r>
      <w:r w:rsidRPr="00351B7D">
        <w:rPr>
          <w:rtl/>
        </w:rPr>
        <w:t xml:space="preserve">אשה </w:t>
      </w:r>
      <w:r w:rsidR="00510AFF">
        <w:rPr>
          <w:rFonts w:hint="cs"/>
          <w:rtl/>
        </w:rPr>
        <w:t xml:space="preserve">שאיבדה/מחלה </w:t>
      </w:r>
      <w:r w:rsidRPr="00351B7D">
        <w:rPr>
          <w:rtl/>
        </w:rPr>
        <w:t>כתוב</w:t>
      </w:r>
      <w:r w:rsidR="00510AFF">
        <w:rPr>
          <w:rFonts w:hint="cs"/>
          <w:rtl/>
        </w:rPr>
        <w:t>ת</w:t>
      </w:r>
      <w:r w:rsidRPr="00351B7D">
        <w:rPr>
          <w:rtl/>
        </w:rPr>
        <w:t xml:space="preserve">ה. </w:t>
      </w:r>
    </w:p>
    <w:p w14:paraId="3021055B" w14:textId="00FDC3F9" w:rsidR="00382C33" w:rsidRDefault="00973C57" w:rsidP="00973C57">
      <w:pPr>
        <w:rPr>
          <w:rFonts w:asciiTheme="minorBidi" w:hAnsiTheme="minorBidi"/>
          <w:rtl/>
        </w:rPr>
      </w:pPr>
      <w:r w:rsidRPr="00351B7D">
        <w:rPr>
          <w:rFonts w:asciiTheme="minorBidi" w:hAnsiTheme="minorBidi"/>
          <w:b/>
          <w:bCs/>
          <w:rtl/>
        </w:rPr>
        <w:t>כתובות</w:t>
      </w:r>
      <w:r w:rsidR="00796E3B">
        <w:rPr>
          <w:rFonts w:asciiTheme="minorBidi" w:hAnsiTheme="minorBidi" w:hint="cs"/>
          <w:b/>
          <w:bCs/>
          <w:sz w:val="16"/>
          <w:szCs w:val="16"/>
          <w:rtl/>
        </w:rPr>
        <w:t xml:space="preserve"> (ר"פ אף על פי)</w:t>
      </w:r>
      <w:r w:rsidRPr="00351B7D">
        <w:rPr>
          <w:rFonts w:asciiTheme="minorBidi" w:hAnsiTheme="minorBidi"/>
          <w:b/>
          <w:bCs/>
          <w:rtl/>
        </w:rPr>
        <w:t xml:space="preserve"> נד</w:t>
      </w:r>
      <w:r w:rsidR="005917A4">
        <w:rPr>
          <w:rStyle w:val="a7"/>
          <w:rFonts w:asciiTheme="minorBidi" w:hAnsiTheme="minorBidi"/>
          <w:b/>
          <w:bCs/>
          <w:rtl/>
        </w:rPr>
        <w:footnoteReference w:id="39"/>
      </w:r>
      <w:r w:rsidRPr="00351B7D">
        <w:rPr>
          <w:rFonts w:asciiTheme="minorBidi" w:hAnsiTheme="minorBidi"/>
          <w:b/>
          <w:bCs/>
          <w:rtl/>
        </w:rPr>
        <w:t xml:space="preserve"> ע"ב:</w:t>
      </w:r>
      <w:r w:rsidRPr="00351B7D">
        <w:rPr>
          <w:rFonts w:asciiTheme="minorBidi" w:hAnsiTheme="minorBidi"/>
          <w:rtl/>
        </w:rPr>
        <w:t xml:space="preserve"> </w:t>
      </w:r>
      <w:r w:rsidRPr="00351B7D">
        <w:rPr>
          <w:rFonts w:asciiTheme="minorBidi" w:hAnsiTheme="minorBidi"/>
          <w:u w:val="double"/>
          <w:rtl/>
        </w:rPr>
        <w:t>מתני'</w:t>
      </w:r>
      <w:r w:rsidRPr="00796E3B">
        <w:rPr>
          <w:rFonts w:asciiTheme="minorBidi" w:hAnsiTheme="minorBidi"/>
          <w:rtl/>
        </w:rPr>
        <w:t>:</w:t>
      </w:r>
      <w:r w:rsidR="00796E3B" w:rsidRPr="00796E3B">
        <w:rPr>
          <w:rFonts w:asciiTheme="minorBidi" w:hAnsiTheme="minorBidi" w:hint="cs"/>
          <w:rtl/>
        </w:rPr>
        <w:t>...</w:t>
      </w:r>
      <w:r w:rsidRPr="00351B7D">
        <w:rPr>
          <w:rFonts w:asciiTheme="minorBidi" w:hAnsiTheme="minorBidi"/>
          <w:rtl/>
        </w:rPr>
        <w:t xml:space="preserve"> </w:t>
      </w:r>
      <w:r w:rsidRPr="00351B7D">
        <w:rPr>
          <w:rFonts w:asciiTheme="minorBidi" w:hAnsiTheme="minorBidi"/>
          <w:u w:val="single"/>
          <w:rtl/>
        </w:rPr>
        <w:t>רבי יהודה אומר</w:t>
      </w:r>
      <w:r w:rsidRPr="00351B7D">
        <w:rPr>
          <w:rFonts w:asciiTheme="minorBidi" w:hAnsiTheme="minorBidi"/>
          <w:rtl/>
        </w:rPr>
        <w:t>: אם רצה כותב לבתולה שטר של מאתים</w:t>
      </w:r>
      <w:r w:rsidR="00625B73">
        <w:rPr>
          <w:rFonts w:asciiTheme="minorBidi" w:hAnsiTheme="minorBidi" w:hint="cs"/>
          <w:rtl/>
        </w:rPr>
        <w:t>,</w:t>
      </w:r>
      <w:r w:rsidRPr="00351B7D">
        <w:rPr>
          <w:rFonts w:asciiTheme="minorBidi" w:hAnsiTheme="minorBidi"/>
          <w:rtl/>
        </w:rPr>
        <w:t xml:space="preserve"> והיא כותבת</w:t>
      </w:r>
      <w:r w:rsidRPr="00351B7D">
        <w:rPr>
          <w:rStyle w:val="a7"/>
          <w:rFonts w:asciiTheme="minorBidi" w:hAnsiTheme="minorBidi"/>
          <w:rtl/>
        </w:rPr>
        <w:footnoteReference w:id="40"/>
      </w:r>
      <w:r w:rsidRPr="00351B7D">
        <w:rPr>
          <w:rFonts w:asciiTheme="minorBidi" w:hAnsiTheme="minorBidi"/>
          <w:rtl/>
        </w:rPr>
        <w:t xml:space="preserve"> התקבלתי ממך מנה</w:t>
      </w:r>
      <w:r w:rsidR="00625B73">
        <w:rPr>
          <w:rFonts w:asciiTheme="minorBidi" w:hAnsiTheme="minorBidi" w:hint="cs"/>
          <w:rtl/>
        </w:rPr>
        <w:t>.</w:t>
      </w:r>
      <w:r w:rsidRPr="00351B7D">
        <w:rPr>
          <w:rFonts w:asciiTheme="minorBidi" w:hAnsiTheme="minorBidi"/>
          <w:rtl/>
        </w:rPr>
        <w:t xml:space="preserve"> ולאלמנה מנה</w:t>
      </w:r>
      <w:r w:rsidR="00625B73">
        <w:rPr>
          <w:rFonts w:asciiTheme="minorBidi" w:hAnsiTheme="minorBidi" w:hint="cs"/>
          <w:rtl/>
        </w:rPr>
        <w:t xml:space="preserve">, </w:t>
      </w:r>
      <w:r w:rsidRPr="00351B7D">
        <w:rPr>
          <w:rFonts w:asciiTheme="minorBidi" w:hAnsiTheme="minorBidi"/>
          <w:rtl/>
        </w:rPr>
        <w:t xml:space="preserve">והיא כותבת התקבלתי ממך חמשים זוז. </w:t>
      </w:r>
      <w:r w:rsidRPr="00351B7D">
        <w:rPr>
          <w:rFonts w:asciiTheme="minorBidi" w:hAnsiTheme="minorBidi"/>
          <w:u w:val="single"/>
          <w:rtl/>
        </w:rPr>
        <w:t>רבי מאיר אומר:</w:t>
      </w:r>
      <w:r w:rsidRPr="00351B7D">
        <w:rPr>
          <w:rFonts w:asciiTheme="minorBidi" w:hAnsiTheme="minorBidi"/>
          <w:rtl/>
        </w:rPr>
        <w:t xml:space="preserve"> כל הפוחת לבתולה ממאתים, ולאלמנה ממנה הרי זו בעילת זנות. </w:t>
      </w:r>
      <w:r w:rsidR="00BD70B7">
        <w:rPr>
          <w:rFonts w:asciiTheme="minorBidi" w:hAnsiTheme="minorBidi" w:hint="cs"/>
          <w:rtl/>
        </w:rPr>
        <w:t xml:space="preserve"> </w:t>
      </w:r>
      <w:r w:rsidRPr="00351B7D">
        <w:rPr>
          <w:rFonts w:asciiTheme="minorBidi" w:hAnsiTheme="minorBidi"/>
          <w:rtl/>
        </w:rPr>
        <w:t xml:space="preserve">    </w:t>
      </w:r>
      <w:r w:rsidRPr="00351B7D">
        <w:rPr>
          <w:rFonts w:asciiTheme="minorBidi" w:hAnsiTheme="minorBidi"/>
          <w:u w:val="double"/>
          <w:rtl/>
        </w:rPr>
        <w:t>גמ'</w:t>
      </w:r>
      <w:r w:rsidRPr="00382C33">
        <w:rPr>
          <w:rFonts w:asciiTheme="minorBidi" w:hAnsiTheme="minorBidi"/>
          <w:sz w:val="14"/>
          <w:szCs w:val="14"/>
          <w:u w:val="double"/>
          <w:rtl/>
        </w:rPr>
        <w:t>(נו:)</w:t>
      </w:r>
      <w:r w:rsidRPr="00351B7D">
        <w:rPr>
          <w:rFonts w:asciiTheme="minorBidi" w:hAnsiTheme="minorBidi"/>
          <w:u w:val="double"/>
          <w:rtl/>
        </w:rPr>
        <w:t>:</w:t>
      </w:r>
      <w:r w:rsidRPr="00351B7D">
        <w:rPr>
          <w:rFonts w:asciiTheme="minorBidi" w:hAnsiTheme="minorBidi"/>
          <w:rtl/>
        </w:rPr>
        <w:t xml:space="preserve"> אחתיה דרמי בר חמא הות נסיבא לרב אויא, אירכס כתובתה</w:t>
      </w:r>
      <w:r w:rsidRPr="00351B7D">
        <w:rPr>
          <w:rStyle w:val="a7"/>
          <w:rFonts w:asciiTheme="minorBidi" w:hAnsiTheme="minorBidi"/>
          <w:rtl/>
        </w:rPr>
        <w:footnoteReference w:id="41"/>
      </w:r>
      <w:r w:rsidRPr="00351B7D">
        <w:rPr>
          <w:rFonts w:asciiTheme="minorBidi" w:hAnsiTheme="minorBidi"/>
          <w:rtl/>
        </w:rPr>
        <w:t xml:space="preserve">, אתו לקמיה דרב יוסף, </w:t>
      </w:r>
      <w:r w:rsidRPr="00351B7D">
        <w:rPr>
          <w:rFonts w:asciiTheme="minorBidi" w:hAnsiTheme="minorBidi"/>
          <w:u w:val="single"/>
          <w:rtl/>
        </w:rPr>
        <w:t>אמר להו</w:t>
      </w:r>
      <w:r w:rsidRPr="00351B7D">
        <w:rPr>
          <w:rFonts w:asciiTheme="minorBidi" w:hAnsiTheme="minorBidi"/>
          <w:rtl/>
        </w:rPr>
        <w:t>: הכי אמר רב יהודה אמר שמואל: זו דברי ר' מאיר</w:t>
      </w:r>
      <w:r w:rsidRPr="00351B7D">
        <w:rPr>
          <w:rStyle w:val="a7"/>
          <w:rFonts w:asciiTheme="minorBidi" w:hAnsiTheme="minorBidi"/>
          <w:rtl/>
        </w:rPr>
        <w:footnoteReference w:id="42"/>
      </w:r>
      <w:r w:rsidRPr="00351B7D">
        <w:rPr>
          <w:rFonts w:asciiTheme="minorBidi" w:hAnsiTheme="minorBidi"/>
          <w:rtl/>
        </w:rPr>
        <w:t>, אבל חכמים אומרים משהא אדם את אשתו שתים ושלש שנים בלא כתובה</w:t>
      </w:r>
      <w:r w:rsidRPr="00351B7D">
        <w:rPr>
          <w:rStyle w:val="a7"/>
          <w:rFonts w:asciiTheme="minorBidi" w:hAnsiTheme="minorBidi"/>
          <w:rtl/>
        </w:rPr>
        <w:footnoteReference w:id="43"/>
      </w:r>
      <w:r w:rsidRPr="00351B7D">
        <w:rPr>
          <w:rFonts w:asciiTheme="minorBidi" w:hAnsiTheme="minorBidi"/>
          <w:rtl/>
        </w:rPr>
        <w:t xml:space="preserve">. </w:t>
      </w:r>
      <w:r w:rsidRPr="00351B7D">
        <w:rPr>
          <w:rFonts w:asciiTheme="minorBidi" w:hAnsiTheme="minorBidi"/>
          <w:u w:val="single"/>
          <w:rtl/>
        </w:rPr>
        <w:t>אמר ליה אביי</w:t>
      </w:r>
      <w:r w:rsidR="00402252">
        <w:rPr>
          <w:rFonts w:asciiTheme="minorBidi" w:hAnsiTheme="minorBidi" w:hint="cs"/>
          <w:rtl/>
        </w:rPr>
        <w:t>:</w:t>
      </w:r>
      <w:r w:rsidRPr="00351B7D">
        <w:rPr>
          <w:rFonts w:asciiTheme="minorBidi" w:hAnsiTheme="minorBidi"/>
          <w:rtl/>
        </w:rPr>
        <w:t xml:space="preserve"> והא אמר רב נחמן אמר שמואל: הלכה כרבי מאיר בגזירותיו</w:t>
      </w:r>
      <w:r w:rsidRPr="00351B7D">
        <w:rPr>
          <w:rStyle w:val="a7"/>
          <w:rFonts w:asciiTheme="minorBidi" w:hAnsiTheme="minorBidi"/>
          <w:rtl/>
        </w:rPr>
        <w:footnoteReference w:id="44"/>
      </w:r>
      <w:r w:rsidRPr="00351B7D">
        <w:rPr>
          <w:rFonts w:asciiTheme="minorBidi" w:hAnsiTheme="minorBidi"/>
          <w:rtl/>
        </w:rPr>
        <w:t>! אי הכי זיל כתוב לה</w:t>
      </w:r>
      <w:r w:rsidRPr="00351B7D">
        <w:rPr>
          <w:rStyle w:val="a7"/>
          <w:rFonts w:asciiTheme="minorBidi" w:hAnsiTheme="minorBidi"/>
          <w:rtl/>
        </w:rPr>
        <w:footnoteReference w:id="45"/>
      </w:r>
      <w:r w:rsidRPr="00351B7D">
        <w:rPr>
          <w:rFonts w:asciiTheme="minorBidi" w:hAnsiTheme="minorBidi"/>
          <w:rtl/>
        </w:rPr>
        <w:t>.</w:t>
      </w:r>
    </w:p>
    <w:p w14:paraId="13D50AF2" w14:textId="4A0988F3" w:rsidR="00ED63F8" w:rsidRPr="00351B7D" w:rsidRDefault="00ED63F8" w:rsidP="00ED63F8">
      <w:pPr>
        <w:rPr>
          <w:rFonts w:asciiTheme="minorBidi" w:hAnsiTheme="minorBidi"/>
          <w:rtl/>
        </w:rPr>
      </w:pPr>
      <w:r w:rsidRPr="00351B7D">
        <w:rPr>
          <w:rFonts w:asciiTheme="minorBidi" w:hAnsiTheme="minorBidi"/>
          <w:b/>
          <w:bCs/>
          <w:rtl/>
        </w:rPr>
        <w:t xml:space="preserve">בבא קמא </w:t>
      </w:r>
      <w:r w:rsidR="003040E6">
        <w:rPr>
          <w:rFonts w:asciiTheme="minorBidi" w:hAnsiTheme="minorBidi" w:hint="cs"/>
          <w:b/>
          <w:bCs/>
          <w:sz w:val="16"/>
          <w:szCs w:val="16"/>
          <w:rtl/>
        </w:rPr>
        <w:t>(פ' החובל)</w:t>
      </w:r>
      <w:r w:rsidR="003040E6">
        <w:rPr>
          <w:rFonts w:asciiTheme="minorBidi" w:hAnsiTheme="minorBidi" w:hint="cs"/>
          <w:b/>
          <w:bCs/>
          <w:rtl/>
        </w:rPr>
        <w:t xml:space="preserve"> </w:t>
      </w:r>
      <w:r w:rsidRPr="00351B7D">
        <w:rPr>
          <w:rFonts w:asciiTheme="minorBidi" w:hAnsiTheme="minorBidi"/>
          <w:b/>
          <w:bCs/>
          <w:rtl/>
        </w:rPr>
        <w:t>פט</w:t>
      </w:r>
      <w:r w:rsidR="00723C6E">
        <w:rPr>
          <w:rStyle w:val="a7"/>
          <w:rFonts w:asciiTheme="minorBidi" w:hAnsiTheme="minorBidi"/>
          <w:b/>
          <w:bCs/>
          <w:rtl/>
        </w:rPr>
        <w:footnoteReference w:id="46"/>
      </w:r>
      <w:r w:rsidRPr="00351B7D">
        <w:rPr>
          <w:rFonts w:asciiTheme="minorBidi" w:hAnsiTheme="minorBidi"/>
          <w:b/>
          <w:bCs/>
          <w:rtl/>
        </w:rPr>
        <w:t xml:space="preserve"> ע"א: </w:t>
      </w:r>
      <w:r w:rsidRPr="00351B7D">
        <w:rPr>
          <w:rFonts w:asciiTheme="minorBidi" w:hAnsiTheme="minorBidi"/>
          <w:rtl/>
        </w:rPr>
        <w:t>העבד והאשה פגיעתן רעה, החובל בהן</w:t>
      </w:r>
      <w:r w:rsidR="003040E6">
        <w:rPr>
          <w:rFonts w:asciiTheme="minorBidi" w:hAnsiTheme="minorBidi" w:hint="cs"/>
          <w:rtl/>
        </w:rPr>
        <w:t xml:space="preserve"> </w:t>
      </w:r>
      <w:r w:rsidRPr="00351B7D">
        <w:rPr>
          <w:rFonts w:asciiTheme="minorBidi" w:hAnsiTheme="minorBidi"/>
          <w:rtl/>
        </w:rPr>
        <w:t>- חייב, והם שחבלו באחרים</w:t>
      </w:r>
      <w:r w:rsidR="003040E6">
        <w:rPr>
          <w:rFonts w:asciiTheme="minorBidi" w:hAnsiTheme="minorBidi" w:hint="cs"/>
          <w:rtl/>
        </w:rPr>
        <w:t xml:space="preserve"> </w:t>
      </w:r>
      <w:r w:rsidRPr="00351B7D">
        <w:rPr>
          <w:rFonts w:asciiTheme="minorBidi" w:hAnsiTheme="minorBidi"/>
          <w:rtl/>
        </w:rPr>
        <w:t>- פטורין... ותזבין כתובתה בטובת הנאה</w:t>
      </w:r>
      <w:r w:rsidRPr="00351B7D">
        <w:rPr>
          <w:rStyle w:val="a7"/>
          <w:rFonts w:asciiTheme="minorBidi" w:hAnsiTheme="minorBidi"/>
          <w:rtl/>
        </w:rPr>
        <w:footnoteReference w:id="47"/>
      </w:r>
      <w:r w:rsidRPr="00351B7D">
        <w:rPr>
          <w:rFonts w:asciiTheme="minorBidi" w:hAnsiTheme="minorBidi"/>
          <w:rtl/>
        </w:rPr>
        <w:t xml:space="preserve"> ותתן ליה! הא מני? רבי מאיר היא, דאמר: אסור לו לאדם שישהא את אשתו אפילו שעה אחת בלא כתובה</w:t>
      </w:r>
      <w:r w:rsidR="003040E6">
        <w:rPr>
          <w:rFonts w:asciiTheme="minorBidi" w:hAnsiTheme="minorBidi" w:hint="cs"/>
          <w:rtl/>
        </w:rPr>
        <w:t>,</w:t>
      </w:r>
      <w:r w:rsidRPr="00351B7D">
        <w:rPr>
          <w:rFonts w:asciiTheme="minorBidi" w:hAnsiTheme="minorBidi"/>
          <w:rtl/>
        </w:rPr>
        <w:t xml:space="preserve"> וטעמא מאי כדי שלא תהא קלה בעיניו להוציאה</w:t>
      </w:r>
      <w:r w:rsidR="00164904">
        <w:rPr>
          <w:rFonts w:asciiTheme="minorBidi" w:hAnsiTheme="minorBidi" w:hint="cs"/>
          <w:rtl/>
        </w:rPr>
        <w:t>,</w:t>
      </w:r>
      <w:r w:rsidRPr="00351B7D">
        <w:rPr>
          <w:rFonts w:asciiTheme="minorBidi" w:hAnsiTheme="minorBidi"/>
          <w:rtl/>
        </w:rPr>
        <w:t xml:space="preserve"> הכא לא מגרש לה</w:t>
      </w:r>
      <w:r w:rsidR="000A369A">
        <w:rPr>
          <w:rFonts w:asciiTheme="minorBidi" w:hAnsiTheme="minorBidi" w:hint="cs"/>
          <w:rtl/>
        </w:rPr>
        <w:t>,</w:t>
      </w:r>
      <w:r w:rsidRPr="00351B7D">
        <w:rPr>
          <w:rFonts w:asciiTheme="minorBidi" w:hAnsiTheme="minorBidi"/>
          <w:rtl/>
        </w:rPr>
        <w:t xml:space="preserve"> דאי מגרש לה אתו הנך דזבני גבו לה לכתובתה מיניה.</w:t>
      </w:r>
      <w:r w:rsidRPr="00351B7D">
        <w:rPr>
          <w:rFonts w:asciiTheme="minorBidi" w:hAnsiTheme="minorBidi"/>
          <w:color w:val="000000"/>
          <w:sz w:val="16"/>
          <w:szCs w:val="16"/>
          <w:rtl/>
        </w:rPr>
        <w:t xml:space="preserve"> </w:t>
      </w:r>
    </w:p>
    <w:p w14:paraId="7F519669" w14:textId="0B2217C2" w:rsidR="00382C33" w:rsidRPr="00A72A70" w:rsidRDefault="00A72A70" w:rsidP="00973C57">
      <w:pPr>
        <w:rPr>
          <w:rFonts w:asciiTheme="minorBidi" w:hAnsiTheme="minorBidi"/>
          <w:u w:val="single"/>
          <w:rtl/>
        </w:rPr>
      </w:pPr>
      <w:r w:rsidRPr="00A72A70">
        <w:rPr>
          <w:rFonts w:asciiTheme="minorBidi" w:hAnsiTheme="minorBidi"/>
          <w:u w:val="single"/>
          <w:rtl/>
        </w:rPr>
        <w:t xml:space="preserve">אשה </w:t>
      </w:r>
      <w:r w:rsidRPr="00A72A70">
        <w:rPr>
          <w:rFonts w:asciiTheme="minorBidi" w:hAnsiTheme="minorBidi" w:hint="cs"/>
          <w:u w:val="single"/>
          <w:rtl/>
        </w:rPr>
        <w:t>שאיבדה</w:t>
      </w:r>
      <w:r w:rsidR="00ED7351">
        <w:rPr>
          <w:rFonts w:asciiTheme="minorBidi" w:hAnsiTheme="minorBidi" w:hint="cs"/>
          <w:u w:val="single"/>
          <w:rtl/>
        </w:rPr>
        <w:t>/מחלה/מכרה</w:t>
      </w:r>
      <w:r w:rsidRPr="00A72A70">
        <w:rPr>
          <w:rFonts w:asciiTheme="minorBidi" w:hAnsiTheme="minorBidi" w:hint="cs"/>
          <w:u w:val="single"/>
          <w:rtl/>
        </w:rPr>
        <w:t xml:space="preserve"> </w:t>
      </w:r>
      <w:r w:rsidRPr="00A72A70">
        <w:rPr>
          <w:rFonts w:asciiTheme="minorBidi" w:hAnsiTheme="minorBidi"/>
          <w:u w:val="single"/>
          <w:rtl/>
        </w:rPr>
        <w:t>כתוב</w:t>
      </w:r>
      <w:r w:rsidRPr="00A72A70">
        <w:rPr>
          <w:rFonts w:asciiTheme="minorBidi" w:hAnsiTheme="minorBidi" w:hint="cs"/>
          <w:u w:val="single"/>
          <w:rtl/>
        </w:rPr>
        <w:t>ת</w:t>
      </w:r>
      <w:r w:rsidRPr="00A72A70">
        <w:rPr>
          <w:rFonts w:asciiTheme="minorBidi" w:hAnsiTheme="minorBidi"/>
          <w:u w:val="single"/>
          <w:rtl/>
        </w:rPr>
        <w:t>ה</w:t>
      </w:r>
      <w:r w:rsidR="00ED7351">
        <w:rPr>
          <w:rFonts w:asciiTheme="minorBidi" w:hAnsiTheme="minorBidi" w:hint="cs"/>
          <w:u w:val="single"/>
          <w:rtl/>
        </w:rPr>
        <w:t>:</w:t>
      </w:r>
      <w:r w:rsidR="00ED63F8">
        <w:rPr>
          <w:rFonts w:asciiTheme="minorBidi" w:hAnsiTheme="minorBidi" w:hint="cs"/>
          <w:u w:val="single"/>
          <w:rtl/>
        </w:rPr>
        <w:t xml:space="preserve"> </w:t>
      </w:r>
    </w:p>
    <w:p w14:paraId="1055E60D" w14:textId="50D9431F" w:rsidR="008C67EC" w:rsidRPr="008C67EC" w:rsidRDefault="008C67EC" w:rsidP="009000E3">
      <w:pPr>
        <w:pStyle w:val="ab"/>
        <w:numPr>
          <w:ilvl w:val="0"/>
          <w:numId w:val="76"/>
        </w:numPr>
        <w:rPr>
          <w:rFonts w:asciiTheme="minorBidi" w:hAnsiTheme="minorBidi"/>
        </w:rPr>
      </w:pPr>
      <w:r>
        <w:rPr>
          <w:rFonts w:asciiTheme="minorBidi" w:hAnsiTheme="minorBidi" w:cs="Arial" w:hint="cs"/>
          <w:rtl/>
        </w:rPr>
        <w:t xml:space="preserve">רמב"ם </w:t>
      </w:r>
      <w:r>
        <w:rPr>
          <w:rFonts w:asciiTheme="minorBidi" w:hAnsiTheme="minorBidi" w:cs="Arial" w:hint="cs"/>
          <w:sz w:val="16"/>
          <w:szCs w:val="16"/>
          <w:rtl/>
        </w:rPr>
        <w:t>(פ"י מהל' אישות ה"י)</w:t>
      </w:r>
      <w:r w:rsidR="00350AD0">
        <w:rPr>
          <w:rFonts w:asciiTheme="minorBidi" w:hAnsiTheme="minorBidi" w:cs="Arial" w:hint="cs"/>
          <w:rtl/>
        </w:rPr>
        <w:t xml:space="preserve"> וטור</w:t>
      </w:r>
      <w:r>
        <w:rPr>
          <w:rFonts w:asciiTheme="minorBidi" w:hAnsiTheme="minorBidi" w:cs="Arial" w:hint="cs"/>
          <w:rtl/>
        </w:rPr>
        <w:t xml:space="preserve">- </w:t>
      </w:r>
      <w:r w:rsidRPr="008C67EC">
        <w:rPr>
          <w:rFonts w:asciiTheme="minorBidi" w:hAnsiTheme="minorBidi" w:cs="Arial"/>
          <w:rtl/>
        </w:rPr>
        <w:t>הכונס את האשה ולא כתב לה כתובה, או שכתב ואבד שטר הכתובה, או שמחלה כתובתה לבעלה, או שמכרה לו כתובתה, חוזר וכותב לה עיקר כתובה אם רצה לקיימה, לפי שאסור לו לאדם לשהות עם אשתו אפילו שעה אחת בלא כתובה</w:t>
      </w:r>
      <w:r w:rsidR="00ED7351">
        <w:rPr>
          <w:rFonts w:asciiTheme="minorBidi" w:hAnsiTheme="minorBidi" w:cs="Arial" w:hint="cs"/>
          <w:rtl/>
        </w:rPr>
        <w:t>.</w:t>
      </w:r>
      <w:r w:rsidR="00ED7351" w:rsidRPr="00ED7351">
        <w:rPr>
          <w:rtl/>
        </w:rPr>
        <w:t xml:space="preserve"> </w:t>
      </w:r>
      <w:r w:rsidR="00ED7351" w:rsidRPr="00ED7351">
        <w:rPr>
          <w:rFonts w:asciiTheme="minorBidi" w:hAnsiTheme="minorBidi" w:cs="Arial"/>
          <w:rtl/>
        </w:rPr>
        <w:t xml:space="preserve">אבל המוכרת כתובתה לאחרים בטובת הנאה </w:t>
      </w:r>
      <w:r w:rsidR="00ED7351">
        <w:rPr>
          <w:rFonts w:asciiTheme="minorBidi" w:hAnsiTheme="minorBidi" w:cs="Arial" w:hint="cs"/>
          <w:rtl/>
        </w:rPr>
        <w:t xml:space="preserve">- </w:t>
      </w:r>
      <w:r w:rsidR="00ED7351" w:rsidRPr="00ED7351">
        <w:rPr>
          <w:rFonts w:asciiTheme="minorBidi" w:hAnsiTheme="minorBidi" w:cs="Arial"/>
          <w:rtl/>
        </w:rPr>
        <w:t>אינו צריך לכתוב לה כתובה אחרת, שלא תקנו כתובה אלא כדי שלא תהיה קלה בעיניו להוציאה, ואם הוציא זה משלם כתובתה ללוקח כדרך שהיה משלם לה אם לא מכרה</w:t>
      </w:r>
      <w:r w:rsidR="00350AD0">
        <w:rPr>
          <w:rFonts w:asciiTheme="minorBidi" w:hAnsiTheme="minorBidi" w:cs="Arial" w:hint="cs"/>
          <w:sz w:val="16"/>
          <w:szCs w:val="16"/>
          <w:rtl/>
        </w:rPr>
        <w:t xml:space="preserve"> (ל' הרמב"ם)</w:t>
      </w:r>
      <w:r w:rsidRPr="008C67EC">
        <w:rPr>
          <w:rFonts w:asciiTheme="minorBidi" w:hAnsiTheme="minorBidi" w:cs="Arial"/>
          <w:rtl/>
        </w:rPr>
        <w:t>.</w:t>
      </w:r>
      <w:r w:rsidR="007F1644" w:rsidRPr="007F1644">
        <w:rPr>
          <w:rFonts w:asciiTheme="minorBidi" w:hAnsiTheme="minorBidi"/>
          <w:color w:val="E36C0A" w:themeColor="accent6" w:themeShade="BF"/>
          <w:rtl/>
        </w:rPr>
        <w:t xml:space="preserve"> </w:t>
      </w:r>
      <w:r w:rsidR="007F1644" w:rsidRPr="006E7F9C">
        <w:rPr>
          <w:rFonts w:asciiTheme="minorBidi" w:hAnsiTheme="minorBidi"/>
          <w:color w:val="E36C0A" w:themeColor="accent6" w:themeShade="BF"/>
          <w:rtl/>
        </w:rPr>
        <w:t>(וכ"פ בשו"ע</w:t>
      </w:r>
      <w:r w:rsidR="007F1644">
        <w:rPr>
          <w:rFonts w:asciiTheme="minorBidi" w:hAnsiTheme="minorBidi" w:hint="cs"/>
          <w:color w:val="E36C0A" w:themeColor="accent6" w:themeShade="BF"/>
          <w:sz w:val="16"/>
          <w:szCs w:val="16"/>
          <w:rtl/>
        </w:rPr>
        <w:t xml:space="preserve"> </w:t>
      </w:r>
      <w:r w:rsidR="007F1644" w:rsidRPr="007F1644">
        <w:rPr>
          <w:rFonts w:asciiTheme="minorBidi" w:hAnsiTheme="minorBidi" w:hint="cs"/>
          <w:color w:val="000000" w:themeColor="text1"/>
          <w:sz w:val="16"/>
          <w:szCs w:val="16"/>
          <w:rtl/>
        </w:rPr>
        <w:t>[</w:t>
      </w:r>
      <w:r w:rsidR="00F412D9">
        <w:rPr>
          <w:rFonts w:asciiTheme="minorBidi" w:hAnsiTheme="minorBidi" w:hint="cs"/>
          <w:color w:val="000000" w:themeColor="text1"/>
          <w:sz w:val="16"/>
          <w:szCs w:val="16"/>
          <w:rtl/>
        </w:rPr>
        <w:t>כאן ובסע' ה</w:t>
      </w:r>
      <w:r w:rsidR="007F1644" w:rsidRPr="007F1644">
        <w:rPr>
          <w:rFonts w:asciiTheme="minorBidi" w:hAnsiTheme="minorBidi" w:hint="cs"/>
          <w:color w:val="000000" w:themeColor="text1"/>
          <w:sz w:val="16"/>
          <w:szCs w:val="16"/>
          <w:rtl/>
        </w:rPr>
        <w:t>]</w:t>
      </w:r>
      <w:r w:rsidR="007F1644" w:rsidRPr="006E7F9C">
        <w:rPr>
          <w:rFonts w:asciiTheme="minorBidi" w:hAnsiTheme="minorBidi"/>
          <w:color w:val="E36C0A" w:themeColor="accent6" w:themeShade="BF"/>
          <w:rtl/>
        </w:rPr>
        <w:t>)</w:t>
      </w:r>
      <w:r w:rsidRPr="008C67EC">
        <w:rPr>
          <w:rFonts w:asciiTheme="minorBidi" w:hAnsiTheme="minorBidi" w:cs="Arial"/>
          <w:rtl/>
        </w:rPr>
        <w:t xml:space="preserve"> </w:t>
      </w:r>
    </w:p>
    <w:p w14:paraId="7352A74D" w14:textId="2690A51F" w:rsidR="00350AD0" w:rsidRPr="00350AD0" w:rsidRDefault="00FF2E71" w:rsidP="00350AD0">
      <w:pPr>
        <w:ind w:left="360"/>
        <w:rPr>
          <w:rFonts w:asciiTheme="minorBidi" w:hAnsiTheme="minorBidi"/>
          <w:u w:val="dotted"/>
        </w:rPr>
      </w:pPr>
      <w:r>
        <w:rPr>
          <w:rFonts w:asciiTheme="minorBidi" w:hAnsiTheme="minorBidi" w:hint="cs"/>
          <w:u w:val="dotted"/>
          <w:rtl/>
        </w:rPr>
        <w:t xml:space="preserve">כשצריך לכתוב לה כתובה חדשה - </w:t>
      </w:r>
      <w:r w:rsidR="00350AD0" w:rsidRPr="00350AD0">
        <w:rPr>
          <w:rFonts w:asciiTheme="minorBidi" w:hAnsiTheme="minorBidi" w:hint="cs"/>
          <w:u w:val="dotted"/>
          <w:rtl/>
        </w:rPr>
        <w:t>איזה זמן כותב בכתובה:</w:t>
      </w:r>
    </w:p>
    <w:p w14:paraId="5D0B640C" w14:textId="529D19E6" w:rsidR="007A03CD" w:rsidRPr="005712F5" w:rsidRDefault="004E53B0" w:rsidP="009000E3">
      <w:pPr>
        <w:pStyle w:val="ab"/>
        <w:numPr>
          <w:ilvl w:val="0"/>
          <w:numId w:val="76"/>
        </w:numPr>
        <w:rPr>
          <w:rFonts w:asciiTheme="minorBidi" w:hAnsiTheme="minorBidi"/>
        </w:rPr>
      </w:pPr>
      <w:r>
        <w:rPr>
          <w:rFonts w:asciiTheme="minorBidi" w:hAnsiTheme="minorBidi" w:cs="Arial" w:hint="cs"/>
          <w:rtl/>
        </w:rPr>
        <w:t xml:space="preserve">בהעי"ט </w:t>
      </w:r>
      <w:r w:rsidRPr="004E53B0">
        <w:rPr>
          <w:rFonts w:asciiTheme="minorBidi" w:hAnsiTheme="minorBidi" w:cs="Arial"/>
          <w:sz w:val="16"/>
          <w:szCs w:val="16"/>
          <w:rtl/>
        </w:rPr>
        <w:t>(אות כ כתובות)</w:t>
      </w:r>
      <w:r>
        <w:rPr>
          <w:rFonts w:asciiTheme="minorBidi" w:hAnsiTheme="minorBidi" w:cs="Arial" w:hint="cs"/>
          <w:rtl/>
        </w:rPr>
        <w:t>-</w:t>
      </w:r>
      <w:r w:rsidRPr="004E53B0">
        <w:rPr>
          <w:rFonts w:asciiTheme="minorBidi" w:hAnsiTheme="minorBidi" w:cs="Arial"/>
          <w:rtl/>
        </w:rPr>
        <w:t xml:space="preserve"> </w:t>
      </w:r>
      <w:r w:rsidR="00B054B4" w:rsidRPr="00B054B4">
        <w:rPr>
          <w:rFonts w:asciiTheme="minorBidi" w:hAnsiTheme="minorBidi" w:cs="Arial"/>
          <w:rtl/>
        </w:rPr>
        <w:t>וכתובה דמירכסא איכא מ"ד כתבי' זמן מהשתא כדכתב בשטרא דמירכסא</w:t>
      </w:r>
      <w:r w:rsidR="00A567F1">
        <w:rPr>
          <w:rFonts w:asciiTheme="minorBidi" w:hAnsiTheme="minorBidi" w:cs="Arial" w:hint="cs"/>
          <w:rtl/>
        </w:rPr>
        <w:t>,</w:t>
      </w:r>
      <w:r w:rsidR="00B054B4" w:rsidRPr="00B054B4">
        <w:rPr>
          <w:rFonts w:asciiTheme="minorBidi" w:hAnsiTheme="minorBidi" w:cs="Arial"/>
          <w:rtl/>
        </w:rPr>
        <w:t xml:space="preserve"> דילמא גירשה ואתפסה צררי והשתא מהדר לה ואתי למיטרף לקוחות שלא כדין</w:t>
      </w:r>
      <w:r w:rsidR="00A567F1">
        <w:rPr>
          <w:rFonts w:asciiTheme="minorBidi" w:hAnsiTheme="minorBidi" w:cs="Arial" w:hint="cs"/>
          <w:rtl/>
        </w:rPr>
        <w:t>.</w:t>
      </w:r>
      <w:r w:rsidR="00B054B4" w:rsidRPr="00B054B4">
        <w:rPr>
          <w:rFonts w:asciiTheme="minorBidi" w:hAnsiTheme="minorBidi" w:cs="Arial"/>
          <w:rtl/>
        </w:rPr>
        <w:t xml:space="preserve"> ואיכא מ"ד כיון דאיכא סהדי דאיתתיה הות</w:t>
      </w:r>
      <w:r w:rsidR="00627A42">
        <w:rPr>
          <w:rFonts w:asciiTheme="minorBidi" w:hAnsiTheme="minorBidi" w:cs="Arial" w:hint="cs"/>
          <w:rtl/>
        </w:rPr>
        <w:t>,</w:t>
      </w:r>
      <w:r w:rsidR="00B054B4" w:rsidRPr="00B054B4">
        <w:rPr>
          <w:rFonts w:asciiTheme="minorBidi" w:hAnsiTheme="minorBidi" w:cs="Arial"/>
          <w:rtl/>
        </w:rPr>
        <w:t xml:space="preserve"> וידיעא לסהדי זימנא קדמאה</w:t>
      </w:r>
      <w:r w:rsidR="00627A42">
        <w:rPr>
          <w:rFonts w:asciiTheme="minorBidi" w:hAnsiTheme="minorBidi" w:cs="Arial" w:hint="cs"/>
          <w:rtl/>
        </w:rPr>
        <w:t>,</w:t>
      </w:r>
      <w:r w:rsidR="00B054B4" w:rsidRPr="00B054B4">
        <w:rPr>
          <w:rFonts w:asciiTheme="minorBidi" w:hAnsiTheme="minorBidi" w:cs="Arial"/>
          <w:rtl/>
        </w:rPr>
        <w:t xml:space="preserve"> כתבי מההוא זימנא</w:t>
      </w:r>
      <w:r w:rsidR="00627A42">
        <w:rPr>
          <w:rFonts w:asciiTheme="minorBidi" w:hAnsiTheme="minorBidi" w:cs="Arial" w:hint="cs"/>
          <w:rtl/>
        </w:rPr>
        <w:t>.</w:t>
      </w:r>
      <w:r w:rsidR="00B054B4" w:rsidRPr="00B054B4">
        <w:rPr>
          <w:rFonts w:asciiTheme="minorBidi" w:hAnsiTheme="minorBidi" w:cs="Arial"/>
          <w:rtl/>
        </w:rPr>
        <w:t xml:space="preserve"> ומסתבר' הכי</w:t>
      </w:r>
      <w:r w:rsidR="00627A42">
        <w:rPr>
          <w:rFonts w:asciiTheme="minorBidi" w:hAnsiTheme="minorBidi" w:cs="Arial" w:hint="cs"/>
          <w:rtl/>
        </w:rPr>
        <w:t>,</w:t>
      </w:r>
      <w:r w:rsidR="00B054B4" w:rsidRPr="00B054B4">
        <w:rPr>
          <w:rFonts w:asciiTheme="minorBidi" w:hAnsiTheme="minorBidi" w:cs="Arial"/>
          <w:rtl/>
        </w:rPr>
        <w:t xml:space="preserve"> דאי ידיעא זימנא לסהדי </w:t>
      </w:r>
      <w:r w:rsidR="00627A42">
        <w:rPr>
          <w:rFonts w:asciiTheme="minorBidi" w:hAnsiTheme="minorBidi" w:cs="Arial" w:hint="cs"/>
          <w:rtl/>
        </w:rPr>
        <w:t xml:space="preserve">- </w:t>
      </w:r>
      <w:r w:rsidR="00B054B4" w:rsidRPr="00B054B4">
        <w:rPr>
          <w:rFonts w:asciiTheme="minorBidi" w:hAnsiTheme="minorBidi" w:cs="Arial"/>
          <w:rtl/>
        </w:rPr>
        <w:t>כתבי ההוא זימנא</w:t>
      </w:r>
      <w:r w:rsidR="00627A42">
        <w:rPr>
          <w:rFonts w:asciiTheme="minorBidi" w:hAnsiTheme="minorBidi" w:cs="Arial" w:hint="cs"/>
          <w:rtl/>
        </w:rPr>
        <w:t>.</w:t>
      </w:r>
      <w:r w:rsidR="00B054B4" w:rsidRPr="00B054B4">
        <w:rPr>
          <w:rFonts w:asciiTheme="minorBidi" w:hAnsiTheme="minorBidi" w:cs="Arial"/>
          <w:rtl/>
        </w:rPr>
        <w:t xml:space="preserve"> ואי לא </w:t>
      </w:r>
      <w:r w:rsidR="00D06284">
        <w:rPr>
          <w:rFonts w:asciiTheme="minorBidi" w:hAnsiTheme="minorBidi" w:cs="Arial" w:hint="cs"/>
          <w:rtl/>
        </w:rPr>
        <w:t xml:space="preserve">- </w:t>
      </w:r>
      <w:r w:rsidR="00B054B4" w:rsidRPr="00B054B4">
        <w:rPr>
          <w:rFonts w:asciiTheme="minorBidi" w:hAnsiTheme="minorBidi" w:cs="Arial"/>
          <w:rtl/>
        </w:rPr>
        <w:t>מחזי כשקרא</w:t>
      </w:r>
      <w:r w:rsidR="00A2527D">
        <w:rPr>
          <w:rStyle w:val="a7"/>
          <w:rFonts w:asciiTheme="minorBidi" w:hAnsiTheme="minorBidi" w:cs="Arial"/>
          <w:rtl/>
        </w:rPr>
        <w:footnoteReference w:id="48"/>
      </w:r>
      <w:r w:rsidR="00D06284">
        <w:rPr>
          <w:rFonts w:asciiTheme="minorBidi" w:hAnsiTheme="minorBidi" w:cs="Arial" w:hint="cs"/>
          <w:rtl/>
        </w:rPr>
        <w:t>.</w:t>
      </w:r>
      <w:r w:rsidR="00B054B4" w:rsidRPr="00B054B4">
        <w:rPr>
          <w:rFonts w:asciiTheme="minorBidi" w:hAnsiTheme="minorBidi" w:cs="Arial"/>
          <w:rtl/>
        </w:rPr>
        <w:t xml:space="preserve"> ואיתשיל קמי רבינו אלפס בענין מוחלת כתובתה</w:t>
      </w:r>
      <w:r w:rsidR="00D06284">
        <w:rPr>
          <w:rFonts w:asciiTheme="minorBidi" w:hAnsiTheme="minorBidi" w:cs="Arial" w:hint="cs"/>
          <w:rtl/>
        </w:rPr>
        <w:t>,</w:t>
      </w:r>
      <w:r w:rsidR="00B054B4" w:rsidRPr="00B054B4">
        <w:rPr>
          <w:rFonts w:asciiTheme="minorBidi" w:hAnsiTheme="minorBidi" w:cs="Arial"/>
          <w:rtl/>
        </w:rPr>
        <w:t xml:space="preserve"> ושדר</w:t>
      </w:r>
      <w:r w:rsidR="00D06284">
        <w:rPr>
          <w:rFonts w:asciiTheme="minorBidi" w:hAnsiTheme="minorBidi" w:cs="Arial" w:hint="cs"/>
          <w:rtl/>
        </w:rPr>
        <w:t>:</w:t>
      </w:r>
      <w:r w:rsidR="00B054B4" w:rsidRPr="00B054B4">
        <w:rPr>
          <w:rFonts w:asciiTheme="minorBidi" w:hAnsiTheme="minorBidi" w:cs="Arial"/>
          <w:rtl/>
        </w:rPr>
        <w:t xml:space="preserve"> מוחלת שדיברו חכמים אינה ביושבת תחתיו</w:t>
      </w:r>
      <w:r w:rsidR="00D06284">
        <w:rPr>
          <w:rFonts w:asciiTheme="minorBidi" w:hAnsiTheme="minorBidi" w:cs="Arial" w:hint="cs"/>
          <w:rtl/>
        </w:rPr>
        <w:t>,</w:t>
      </w:r>
      <w:r w:rsidR="00B054B4" w:rsidRPr="00B054B4">
        <w:rPr>
          <w:rFonts w:asciiTheme="minorBidi" w:hAnsiTheme="minorBidi" w:cs="Arial"/>
          <w:rtl/>
        </w:rPr>
        <w:t xml:space="preserve"> דאסור לאדם להשהות את אשתו בלא כתובה</w:t>
      </w:r>
      <w:r w:rsidR="00D06284">
        <w:rPr>
          <w:rFonts w:asciiTheme="minorBidi" w:hAnsiTheme="minorBidi" w:cs="Arial" w:hint="cs"/>
          <w:rtl/>
        </w:rPr>
        <w:t>,</w:t>
      </w:r>
      <w:r w:rsidR="00B054B4" w:rsidRPr="00B054B4">
        <w:rPr>
          <w:rFonts w:asciiTheme="minorBidi" w:hAnsiTheme="minorBidi" w:cs="Arial"/>
          <w:rtl/>
        </w:rPr>
        <w:t xml:space="preserve"> אלא כשמת או לאחר מותו מחלה ליורשיו</w:t>
      </w:r>
      <w:r w:rsidR="00D06284">
        <w:rPr>
          <w:rFonts w:asciiTheme="minorBidi" w:hAnsiTheme="minorBidi" w:cs="Arial" w:hint="cs"/>
          <w:rtl/>
        </w:rPr>
        <w:t>,</w:t>
      </w:r>
      <w:r w:rsidR="00B054B4" w:rsidRPr="00B054B4">
        <w:rPr>
          <w:rFonts w:asciiTheme="minorBidi" w:hAnsiTheme="minorBidi" w:cs="Arial"/>
          <w:rtl/>
        </w:rPr>
        <w:t xml:space="preserve"> אבל אם מחלה לבעלה יש לו לשייר מותר כתובה</w:t>
      </w:r>
      <w:r w:rsidR="00D06284">
        <w:rPr>
          <w:rFonts w:asciiTheme="minorBidi" w:hAnsiTheme="minorBidi" w:cs="Arial" w:hint="cs"/>
          <w:rtl/>
        </w:rPr>
        <w:t>.</w:t>
      </w:r>
      <w:r w:rsidR="00B054B4" w:rsidRPr="00B054B4">
        <w:rPr>
          <w:rFonts w:asciiTheme="minorBidi" w:hAnsiTheme="minorBidi" w:cs="Arial"/>
          <w:rtl/>
        </w:rPr>
        <w:t xml:space="preserve"> ואם מחלה כשהיא תחתיו</w:t>
      </w:r>
      <w:r w:rsidR="00D06284">
        <w:rPr>
          <w:rFonts w:asciiTheme="minorBidi" w:hAnsiTheme="minorBidi" w:cs="Arial" w:hint="cs"/>
          <w:rtl/>
        </w:rPr>
        <w:t>,</w:t>
      </w:r>
      <w:r w:rsidR="00B054B4" w:rsidRPr="00B054B4">
        <w:rPr>
          <w:rFonts w:asciiTheme="minorBidi" w:hAnsiTheme="minorBidi" w:cs="Arial"/>
          <w:rtl/>
        </w:rPr>
        <w:t xml:space="preserve"> כותב לה אחרת מאותו זמן אבל לא מזמן ראשון</w:t>
      </w:r>
      <w:r w:rsidR="00050965">
        <w:rPr>
          <w:rFonts w:asciiTheme="minorBidi" w:hAnsiTheme="minorBidi" w:cs="Arial" w:hint="cs"/>
          <w:rtl/>
        </w:rPr>
        <w:t>.</w:t>
      </w:r>
      <w:r w:rsidR="00D06284" w:rsidRPr="00D06284">
        <w:rPr>
          <w:rFonts w:asciiTheme="minorBidi" w:hAnsiTheme="minorBidi"/>
          <w:color w:val="E36C0A" w:themeColor="accent6" w:themeShade="BF"/>
          <w:rtl/>
        </w:rPr>
        <w:t xml:space="preserve"> </w:t>
      </w:r>
      <w:r w:rsidR="00D06284" w:rsidRPr="006E7F9C">
        <w:rPr>
          <w:rFonts w:asciiTheme="minorBidi" w:hAnsiTheme="minorBidi"/>
          <w:color w:val="E36C0A" w:themeColor="accent6" w:themeShade="BF"/>
          <w:rtl/>
        </w:rPr>
        <w:t>(וכ"פ בשו"ע</w:t>
      </w:r>
      <w:r w:rsidR="00D06284">
        <w:rPr>
          <w:rFonts w:asciiTheme="minorBidi" w:hAnsiTheme="minorBidi" w:hint="cs"/>
          <w:color w:val="E36C0A" w:themeColor="accent6" w:themeShade="BF"/>
          <w:sz w:val="16"/>
          <w:szCs w:val="16"/>
          <w:rtl/>
        </w:rPr>
        <w:t xml:space="preserve"> </w:t>
      </w:r>
      <w:r w:rsidR="00D06284" w:rsidRPr="007F1644">
        <w:rPr>
          <w:rFonts w:asciiTheme="minorBidi" w:hAnsiTheme="minorBidi" w:hint="cs"/>
          <w:color w:val="000000" w:themeColor="text1"/>
          <w:sz w:val="16"/>
          <w:szCs w:val="16"/>
          <w:rtl/>
        </w:rPr>
        <w:t>[</w:t>
      </w:r>
      <w:r w:rsidR="00D06284">
        <w:rPr>
          <w:rFonts w:asciiTheme="minorBidi" w:hAnsiTheme="minorBidi" w:hint="cs"/>
          <w:color w:val="000000" w:themeColor="text1"/>
          <w:sz w:val="16"/>
          <w:szCs w:val="16"/>
          <w:rtl/>
        </w:rPr>
        <w:t>בסע' ד</w:t>
      </w:r>
      <w:r w:rsidR="00D06284" w:rsidRPr="007F1644">
        <w:rPr>
          <w:rFonts w:asciiTheme="minorBidi" w:hAnsiTheme="minorBidi" w:hint="cs"/>
          <w:color w:val="000000" w:themeColor="text1"/>
          <w:sz w:val="16"/>
          <w:szCs w:val="16"/>
          <w:rtl/>
        </w:rPr>
        <w:t>]</w:t>
      </w:r>
      <w:r w:rsidR="00D06284" w:rsidRPr="006E7F9C">
        <w:rPr>
          <w:rFonts w:asciiTheme="minorBidi" w:hAnsiTheme="minorBidi"/>
          <w:color w:val="E36C0A" w:themeColor="accent6" w:themeShade="BF"/>
          <w:rtl/>
        </w:rPr>
        <w:t>)</w:t>
      </w:r>
      <w:r w:rsidR="00382C33" w:rsidRPr="00382C33">
        <w:rPr>
          <w:rFonts w:asciiTheme="minorBidi" w:hAnsiTheme="minorBidi" w:cs="Arial"/>
          <w:rtl/>
        </w:rPr>
        <w:t xml:space="preserve"> </w:t>
      </w:r>
    </w:p>
    <w:p w14:paraId="6127B98C" w14:textId="5A06A8EC" w:rsidR="001475D2" w:rsidRPr="00351B7D" w:rsidRDefault="001475D2" w:rsidP="001475D2">
      <w:pPr>
        <w:rPr>
          <w:rFonts w:asciiTheme="minorBidi" w:hAnsiTheme="minorBidi"/>
          <w:u w:val="single"/>
          <w:rtl/>
        </w:rPr>
      </w:pPr>
      <w:r>
        <w:rPr>
          <w:rFonts w:asciiTheme="minorBidi" w:hAnsiTheme="minorBidi" w:hint="cs"/>
          <w:u w:val="single"/>
          <w:rtl/>
        </w:rPr>
        <w:t xml:space="preserve">כיצד </w:t>
      </w:r>
      <w:r w:rsidR="007D4910">
        <w:rPr>
          <w:rFonts w:asciiTheme="minorBidi" w:hAnsiTheme="minorBidi" w:hint="cs"/>
          <w:u w:val="single"/>
          <w:rtl/>
        </w:rPr>
        <w:t>אשה מוחלת כתובתה</w:t>
      </w:r>
      <w:r w:rsidRPr="00351B7D">
        <w:rPr>
          <w:rFonts w:asciiTheme="minorBidi" w:hAnsiTheme="minorBidi"/>
          <w:u w:val="single"/>
          <w:rtl/>
        </w:rPr>
        <w:t>:</w:t>
      </w:r>
    </w:p>
    <w:p w14:paraId="4C062845" w14:textId="6A3EA8C4" w:rsidR="001475D2" w:rsidRPr="00351B7D" w:rsidRDefault="001475D2" w:rsidP="001475D2">
      <w:pPr>
        <w:pStyle w:val="ab"/>
        <w:numPr>
          <w:ilvl w:val="0"/>
          <w:numId w:val="16"/>
        </w:numPr>
        <w:rPr>
          <w:rFonts w:asciiTheme="minorBidi" w:hAnsiTheme="minorBidi"/>
        </w:rPr>
      </w:pPr>
      <w:r w:rsidRPr="00351B7D">
        <w:rPr>
          <w:rFonts w:asciiTheme="minorBidi" w:hAnsiTheme="minorBidi"/>
          <w:rtl/>
        </w:rPr>
        <w:t xml:space="preserve">רמב"ם </w:t>
      </w:r>
      <w:r w:rsidRPr="00351B7D">
        <w:rPr>
          <w:rFonts w:asciiTheme="minorBidi" w:hAnsiTheme="minorBidi"/>
          <w:sz w:val="16"/>
          <w:szCs w:val="16"/>
          <w:rtl/>
        </w:rPr>
        <w:t>(פי"ז מה"א הי"ט)</w:t>
      </w:r>
      <w:r w:rsidR="00AC652E">
        <w:rPr>
          <w:rFonts w:asciiTheme="minorBidi" w:hAnsiTheme="minorBidi" w:hint="cs"/>
          <w:rtl/>
        </w:rPr>
        <w:t xml:space="preserve"> וטור</w:t>
      </w:r>
      <w:r w:rsidR="00AC652E">
        <w:rPr>
          <w:rFonts w:asciiTheme="minorBidi" w:hAnsiTheme="minorBidi" w:hint="cs"/>
          <w:sz w:val="16"/>
          <w:szCs w:val="16"/>
          <w:rtl/>
        </w:rPr>
        <w:t xml:space="preserve"> (סי' קה </w:t>
      </w:r>
      <w:r w:rsidR="000B4809">
        <w:rPr>
          <w:rFonts w:asciiTheme="minorBidi" w:hAnsiTheme="minorBidi" w:hint="cs"/>
          <w:sz w:val="16"/>
          <w:szCs w:val="16"/>
          <w:rtl/>
        </w:rPr>
        <w:t>ס"ה</w:t>
      </w:r>
      <w:r w:rsidR="00AC652E">
        <w:rPr>
          <w:rFonts w:asciiTheme="minorBidi" w:hAnsiTheme="minorBidi" w:hint="cs"/>
          <w:sz w:val="16"/>
          <w:szCs w:val="16"/>
          <w:rtl/>
        </w:rPr>
        <w:t>)</w:t>
      </w:r>
      <w:r w:rsidRPr="00351B7D">
        <w:rPr>
          <w:rFonts w:asciiTheme="minorBidi" w:hAnsiTheme="minorBidi"/>
          <w:rtl/>
        </w:rPr>
        <w:t xml:space="preserve">- </w:t>
      </w:r>
      <w:r w:rsidR="00F12FCB" w:rsidRPr="00F12FCB">
        <w:rPr>
          <w:rFonts w:asciiTheme="minorBidi" w:hAnsiTheme="minorBidi" w:cs="Arial"/>
          <w:rtl/>
        </w:rPr>
        <w:t>המוחלת כתובתה לבעלה איבדה כל תנאי כתובתה ואפילו מזונות אין לה עליו, ומוחלת כתובתה אינה צריכה קנין ולא עדים</w:t>
      </w:r>
      <w:r w:rsidR="0010757A">
        <w:rPr>
          <w:rFonts w:asciiTheme="minorBidi" w:hAnsiTheme="minorBidi" w:cs="Arial" w:hint="cs"/>
          <w:rtl/>
        </w:rPr>
        <w:t>,</w:t>
      </w:r>
      <w:r w:rsidR="00F12FCB" w:rsidRPr="00F12FCB">
        <w:rPr>
          <w:rFonts w:asciiTheme="minorBidi" w:hAnsiTheme="minorBidi" w:cs="Arial"/>
          <w:rtl/>
        </w:rPr>
        <w:t xml:space="preserve"> כשאר המוחלים שאינן צריכין לא עדים ולא קנין אלא בדברים בלבד, והוא שיהיו דברים שהדעת סומכת עליהן ולא יהיו דברי שחוק והתול או דברי תימה אלא בדעת נכונה</w:t>
      </w:r>
      <w:r w:rsidR="000B4809">
        <w:rPr>
          <w:rFonts w:asciiTheme="minorBidi" w:hAnsiTheme="minorBidi" w:cs="Arial" w:hint="cs"/>
          <w:sz w:val="16"/>
          <w:szCs w:val="16"/>
          <w:rtl/>
        </w:rPr>
        <w:t xml:space="preserve"> (ל' הרמב"ם)</w:t>
      </w:r>
      <w:r w:rsidR="00F12FCB" w:rsidRPr="00F12FCB">
        <w:rPr>
          <w:rFonts w:asciiTheme="minorBidi" w:hAnsiTheme="minorBidi" w:cs="Arial"/>
          <w:rtl/>
        </w:rPr>
        <w:t>.</w:t>
      </w:r>
      <w:r w:rsidR="00AC652E" w:rsidRPr="00AC652E">
        <w:rPr>
          <w:rFonts w:asciiTheme="minorBidi" w:hAnsiTheme="minorBidi"/>
          <w:color w:val="E36C0A" w:themeColor="accent6" w:themeShade="BF"/>
          <w:rtl/>
        </w:rPr>
        <w:t xml:space="preserve"> </w:t>
      </w:r>
      <w:r w:rsidR="00AC652E" w:rsidRPr="00351B7D">
        <w:rPr>
          <w:rFonts w:asciiTheme="minorBidi" w:hAnsiTheme="minorBidi"/>
          <w:color w:val="E36C0A" w:themeColor="accent6" w:themeShade="BF"/>
          <w:rtl/>
        </w:rPr>
        <w:t>(וכ"</w:t>
      </w:r>
      <w:r w:rsidR="00AC652E">
        <w:rPr>
          <w:rFonts w:asciiTheme="minorBidi" w:hAnsiTheme="minorBidi" w:hint="cs"/>
          <w:color w:val="E36C0A" w:themeColor="accent6" w:themeShade="BF"/>
          <w:rtl/>
        </w:rPr>
        <w:t>פ</w:t>
      </w:r>
      <w:r w:rsidR="00AC652E" w:rsidRPr="00351B7D">
        <w:rPr>
          <w:rFonts w:asciiTheme="minorBidi" w:hAnsiTheme="minorBidi"/>
          <w:color w:val="E36C0A" w:themeColor="accent6" w:themeShade="BF"/>
          <w:rtl/>
        </w:rPr>
        <w:t xml:space="preserve"> בשו"ע</w:t>
      </w:r>
      <w:r w:rsidR="00AC652E">
        <w:rPr>
          <w:rFonts w:asciiTheme="minorBidi" w:hAnsiTheme="minorBidi" w:hint="cs"/>
          <w:color w:val="E36C0A" w:themeColor="accent6" w:themeShade="BF"/>
          <w:sz w:val="16"/>
          <w:szCs w:val="16"/>
          <w:rtl/>
        </w:rPr>
        <w:t xml:space="preserve"> </w:t>
      </w:r>
      <w:r w:rsidR="00AC652E" w:rsidRPr="00AC652E">
        <w:rPr>
          <w:rFonts w:asciiTheme="minorBidi" w:hAnsiTheme="minorBidi" w:hint="cs"/>
          <w:color w:val="000000" w:themeColor="text1"/>
          <w:sz w:val="16"/>
          <w:szCs w:val="16"/>
          <w:rtl/>
        </w:rPr>
        <w:t>[</w:t>
      </w:r>
      <w:r w:rsidR="00AC652E">
        <w:rPr>
          <w:rFonts w:asciiTheme="minorBidi" w:hAnsiTheme="minorBidi" w:hint="cs"/>
          <w:color w:val="000000" w:themeColor="text1"/>
          <w:sz w:val="16"/>
          <w:szCs w:val="16"/>
          <w:rtl/>
        </w:rPr>
        <w:t>סי' קה ס"ה</w:t>
      </w:r>
      <w:r w:rsidR="00AC652E" w:rsidRPr="00AC652E">
        <w:rPr>
          <w:rFonts w:asciiTheme="minorBidi" w:hAnsiTheme="minorBidi" w:hint="cs"/>
          <w:color w:val="000000" w:themeColor="text1"/>
          <w:sz w:val="16"/>
          <w:szCs w:val="16"/>
          <w:rtl/>
        </w:rPr>
        <w:t>]</w:t>
      </w:r>
      <w:r w:rsidR="00AC652E" w:rsidRPr="00351B7D">
        <w:rPr>
          <w:rFonts w:asciiTheme="minorBidi" w:hAnsiTheme="minorBidi"/>
          <w:color w:val="E36C0A" w:themeColor="accent6" w:themeShade="BF"/>
          <w:rtl/>
        </w:rPr>
        <w:t>)</w:t>
      </w:r>
      <w:r w:rsidR="00F12FCB" w:rsidRPr="00F12FCB">
        <w:rPr>
          <w:rFonts w:asciiTheme="minorBidi" w:hAnsiTheme="minorBidi" w:cs="Arial"/>
          <w:rtl/>
        </w:rPr>
        <w:t xml:space="preserve"> </w:t>
      </w:r>
    </w:p>
    <w:p w14:paraId="2343B4F0" w14:textId="268D5ABA" w:rsidR="001475D2" w:rsidRPr="00351B7D" w:rsidRDefault="001475D2" w:rsidP="001475D2">
      <w:pPr>
        <w:pStyle w:val="ab"/>
        <w:numPr>
          <w:ilvl w:val="0"/>
          <w:numId w:val="16"/>
        </w:numPr>
        <w:rPr>
          <w:rFonts w:asciiTheme="minorBidi" w:hAnsiTheme="minorBidi"/>
          <w:rtl/>
        </w:rPr>
      </w:pPr>
      <w:r w:rsidRPr="00351B7D">
        <w:rPr>
          <w:rFonts w:asciiTheme="minorBidi" w:hAnsiTheme="minorBidi"/>
          <w:rtl/>
        </w:rPr>
        <w:t>מרדכי</w:t>
      </w:r>
      <w:r w:rsidR="0010757A" w:rsidRPr="00351B7D">
        <w:rPr>
          <w:rStyle w:val="a7"/>
          <w:rFonts w:asciiTheme="minorBidi" w:hAnsiTheme="minorBidi"/>
          <w:rtl/>
        </w:rPr>
        <w:footnoteReference w:id="49"/>
      </w:r>
      <w:r w:rsidRPr="00351B7D">
        <w:rPr>
          <w:rFonts w:asciiTheme="minorBidi" w:hAnsiTheme="minorBidi"/>
          <w:rtl/>
        </w:rPr>
        <w:t xml:space="preserve"> </w:t>
      </w:r>
      <w:r w:rsidRPr="00351B7D">
        <w:rPr>
          <w:rFonts w:asciiTheme="minorBidi" w:hAnsiTheme="minorBidi"/>
          <w:sz w:val="16"/>
          <w:szCs w:val="16"/>
          <w:rtl/>
        </w:rPr>
        <w:t>(ב"ק סי' צג)</w:t>
      </w:r>
      <w:r w:rsidRPr="00351B7D">
        <w:rPr>
          <w:rFonts w:asciiTheme="minorBidi" w:hAnsiTheme="minorBidi"/>
          <w:rtl/>
        </w:rPr>
        <w:t xml:space="preserve"> וטור</w:t>
      </w:r>
      <w:r w:rsidR="000B4809">
        <w:rPr>
          <w:rFonts w:asciiTheme="minorBidi" w:hAnsiTheme="minorBidi" w:hint="cs"/>
          <w:sz w:val="16"/>
          <w:szCs w:val="16"/>
          <w:rtl/>
        </w:rPr>
        <w:t xml:space="preserve"> (כאן)</w:t>
      </w:r>
      <w:r w:rsidRPr="00351B7D">
        <w:rPr>
          <w:rFonts w:asciiTheme="minorBidi" w:hAnsiTheme="minorBidi"/>
          <w:rtl/>
        </w:rPr>
        <w:t xml:space="preserve">- </w:t>
      </w:r>
      <w:r w:rsidRPr="00351B7D">
        <w:rPr>
          <w:rFonts w:asciiTheme="minorBidi" w:hAnsiTheme="minorBidi"/>
          <w:color w:val="000000"/>
          <w:rtl/>
        </w:rPr>
        <w:t xml:space="preserve">מחלה </w:t>
      </w:r>
      <w:r w:rsidRPr="00F12FCB">
        <w:rPr>
          <w:rFonts w:asciiTheme="minorBidi" w:hAnsiTheme="minorBidi"/>
          <w:color w:val="000000"/>
          <w:rtl/>
        </w:rPr>
        <w:t>לו עליה שכתבה לו התקבלתי</w:t>
      </w:r>
      <w:r w:rsidRPr="00351B7D">
        <w:rPr>
          <w:rFonts w:asciiTheme="minorBidi" w:hAnsiTheme="minorBidi"/>
          <w:color w:val="000000"/>
          <w:rtl/>
        </w:rPr>
        <w:t xml:space="preserve"> כתובתי </w:t>
      </w:r>
      <w:r w:rsidRPr="00351B7D">
        <w:rPr>
          <w:rFonts w:asciiTheme="minorBidi" w:hAnsiTheme="minorBidi"/>
          <w:sz w:val="16"/>
          <w:szCs w:val="16"/>
          <w:rtl/>
        </w:rPr>
        <w:t>(ל' הטור)</w:t>
      </w:r>
      <w:r w:rsidRPr="00351B7D">
        <w:rPr>
          <w:rStyle w:val="a7"/>
          <w:rFonts w:asciiTheme="minorBidi" w:hAnsiTheme="minorBidi"/>
          <w:rtl/>
        </w:rPr>
        <w:footnoteReference w:id="50"/>
      </w:r>
      <w:r w:rsidRPr="00351B7D">
        <w:rPr>
          <w:rFonts w:asciiTheme="minorBidi" w:hAnsiTheme="minorBidi"/>
          <w:rtl/>
        </w:rPr>
        <w:t>.</w:t>
      </w:r>
      <w:r w:rsidRPr="00351B7D">
        <w:rPr>
          <w:rFonts w:asciiTheme="minorBidi" w:hAnsiTheme="minorBidi"/>
          <w:color w:val="E36C0A" w:themeColor="accent6" w:themeShade="BF"/>
          <w:rtl/>
        </w:rPr>
        <w:t xml:space="preserve"> (וכ"</w:t>
      </w:r>
      <w:r w:rsidR="005D5266">
        <w:rPr>
          <w:rFonts w:asciiTheme="minorBidi" w:hAnsiTheme="minorBidi" w:hint="cs"/>
          <w:color w:val="E36C0A" w:themeColor="accent6" w:themeShade="BF"/>
          <w:rtl/>
        </w:rPr>
        <w:t>כ</w:t>
      </w:r>
      <w:r w:rsidRPr="00351B7D">
        <w:rPr>
          <w:rFonts w:asciiTheme="minorBidi" w:hAnsiTheme="minorBidi"/>
          <w:color w:val="E36C0A" w:themeColor="accent6" w:themeShade="BF"/>
          <w:rtl/>
        </w:rPr>
        <w:t xml:space="preserve"> בשו"ע</w:t>
      </w:r>
      <w:r w:rsidR="005D5266" w:rsidRPr="005D5266">
        <w:rPr>
          <w:rFonts w:asciiTheme="minorBidi" w:hAnsiTheme="minorBidi" w:hint="cs"/>
          <w:sz w:val="16"/>
          <w:szCs w:val="16"/>
          <w:rtl/>
        </w:rPr>
        <w:t xml:space="preserve"> </w:t>
      </w:r>
      <w:r w:rsidR="005D5266">
        <w:rPr>
          <w:rFonts w:asciiTheme="minorBidi" w:hAnsiTheme="minorBidi" w:hint="cs"/>
          <w:sz w:val="16"/>
          <w:szCs w:val="16"/>
          <w:rtl/>
        </w:rPr>
        <w:t>[כאן]</w:t>
      </w:r>
      <w:r w:rsidRPr="00351B7D">
        <w:rPr>
          <w:rFonts w:asciiTheme="minorBidi" w:hAnsiTheme="minorBidi"/>
          <w:color w:val="E36C0A" w:themeColor="accent6" w:themeShade="BF"/>
          <w:rtl/>
        </w:rPr>
        <w:t>)</w:t>
      </w:r>
      <w:r w:rsidR="00FE07DB">
        <w:rPr>
          <w:rFonts w:asciiTheme="minorBidi" w:hAnsiTheme="minorBidi" w:hint="cs"/>
          <w:color w:val="00B0F0"/>
          <w:rtl/>
        </w:rPr>
        <w:t xml:space="preserve"> </w:t>
      </w:r>
      <w:r w:rsidR="00FE07DB" w:rsidRPr="00FE07DB">
        <w:rPr>
          <w:rFonts w:asciiTheme="minorBidi" w:hAnsiTheme="minorBidi" w:hint="cs"/>
          <w:color w:val="00B0F0"/>
          <w:rtl/>
        </w:rPr>
        <w:t>(וכ"פ הרמ"א)</w:t>
      </w:r>
    </w:p>
    <w:p w14:paraId="095ADB84" w14:textId="57F1429F" w:rsidR="00973C57" w:rsidRPr="00351B7D" w:rsidRDefault="003D02C0" w:rsidP="00973C57">
      <w:pPr>
        <w:rPr>
          <w:rFonts w:asciiTheme="minorBidi" w:hAnsiTheme="minorBidi"/>
          <w:rtl/>
        </w:rPr>
      </w:pPr>
      <w:r>
        <w:rPr>
          <w:rFonts w:asciiTheme="minorBidi" w:hAnsiTheme="minorBidi" w:hint="cs"/>
          <w:u w:val="single"/>
          <w:rtl/>
        </w:rPr>
        <w:lastRenderedPageBreak/>
        <w:t xml:space="preserve">משפחות שגלו ממקומותם </w:t>
      </w:r>
      <w:r w:rsidR="00567F4A">
        <w:rPr>
          <w:rFonts w:asciiTheme="minorBidi" w:hAnsiTheme="minorBidi" w:hint="cs"/>
          <w:u w:val="single"/>
          <w:rtl/>
        </w:rPr>
        <w:t>או שכבשו</w:t>
      </w:r>
      <w:r w:rsidR="001475D2">
        <w:rPr>
          <w:rFonts w:asciiTheme="minorBidi" w:hAnsiTheme="minorBidi" w:hint="cs"/>
          <w:u w:val="single"/>
          <w:rtl/>
        </w:rPr>
        <w:t xml:space="preserve"> את עירם וכדו'</w:t>
      </w:r>
      <w:r w:rsidR="00567F4A">
        <w:rPr>
          <w:rFonts w:asciiTheme="minorBidi" w:hAnsiTheme="minorBidi" w:hint="cs"/>
          <w:u w:val="single"/>
          <w:rtl/>
        </w:rPr>
        <w:t xml:space="preserve"> ולא מוצאים את הכתובה - האם צריכים לכתוב חדשה</w:t>
      </w:r>
      <w:r w:rsidR="00973C57" w:rsidRPr="00351B7D">
        <w:rPr>
          <w:rFonts w:asciiTheme="minorBidi" w:hAnsiTheme="minorBidi"/>
          <w:u w:val="single"/>
          <w:rtl/>
        </w:rPr>
        <w:t>:</w:t>
      </w:r>
      <w:r w:rsidR="00973C57" w:rsidRPr="00351B7D">
        <w:rPr>
          <w:rFonts w:asciiTheme="minorBidi" w:hAnsiTheme="minorBidi"/>
          <w:rtl/>
        </w:rPr>
        <w:t xml:space="preserve"> </w:t>
      </w:r>
    </w:p>
    <w:p w14:paraId="63D021FF" w14:textId="77777777" w:rsidR="00567F4A" w:rsidRPr="00351B7D" w:rsidRDefault="00567F4A" w:rsidP="00567F4A">
      <w:pPr>
        <w:pStyle w:val="ab"/>
        <w:numPr>
          <w:ilvl w:val="0"/>
          <w:numId w:val="15"/>
        </w:numPr>
        <w:rPr>
          <w:rFonts w:asciiTheme="minorBidi" w:hAnsiTheme="minorBidi"/>
        </w:rPr>
      </w:pPr>
      <w:r w:rsidRPr="00351B7D">
        <w:rPr>
          <w:rFonts w:asciiTheme="minorBidi" w:hAnsiTheme="minorBidi"/>
          <w:rtl/>
        </w:rPr>
        <w:t>רשב"א</w:t>
      </w:r>
      <w:r>
        <w:rPr>
          <w:rFonts w:asciiTheme="minorBidi" w:hAnsiTheme="minorBidi" w:hint="cs"/>
          <w:sz w:val="16"/>
          <w:szCs w:val="16"/>
          <w:rtl/>
        </w:rPr>
        <w:t xml:space="preserve"> (ח"א סי תרלד)</w:t>
      </w:r>
      <w:r w:rsidRPr="00351B7D">
        <w:rPr>
          <w:rFonts w:asciiTheme="minorBidi" w:hAnsiTheme="minorBidi"/>
          <w:rtl/>
        </w:rPr>
        <w:t>- בענין הגולים צריך כל אחד לחדש כתובה ואפי' לא תפס כתובה לסטים מזויין ושמא ימצאוה למחר.</w:t>
      </w:r>
    </w:p>
    <w:p w14:paraId="42B521EE" w14:textId="77777777" w:rsidR="00567F4A" w:rsidRPr="00351B7D" w:rsidRDefault="00567F4A" w:rsidP="00567F4A">
      <w:pPr>
        <w:pStyle w:val="ab"/>
        <w:numPr>
          <w:ilvl w:val="0"/>
          <w:numId w:val="15"/>
        </w:numPr>
        <w:rPr>
          <w:rFonts w:asciiTheme="minorBidi" w:hAnsiTheme="minorBidi"/>
          <w:rtl/>
        </w:rPr>
      </w:pPr>
      <w:r w:rsidRPr="00351B7D">
        <w:rPr>
          <w:rFonts w:asciiTheme="minorBidi" w:hAnsiTheme="minorBidi"/>
          <w:rtl/>
        </w:rPr>
        <w:t xml:space="preserve">מהרי"ק </w:t>
      </w:r>
      <w:r w:rsidRPr="00351B7D">
        <w:rPr>
          <w:rFonts w:asciiTheme="minorBidi" w:hAnsiTheme="minorBidi"/>
          <w:sz w:val="16"/>
          <w:szCs w:val="16"/>
          <w:rtl/>
        </w:rPr>
        <w:t>(בשו"ת סי' קטז)</w:t>
      </w:r>
      <w:r w:rsidRPr="00351B7D">
        <w:rPr>
          <w:rFonts w:asciiTheme="minorBidi" w:hAnsiTheme="minorBidi"/>
          <w:rtl/>
        </w:rPr>
        <w:t>- כרקום שכבש העיר הכתובות בחזקת אבודות וצריך לכתוב לאשתו אחרת אע"ג דיש לומר שמא יחזירו להם כתובתן</w:t>
      </w:r>
      <w:r>
        <w:rPr>
          <w:rStyle w:val="a7"/>
          <w:rFonts w:asciiTheme="minorBidi" w:hAnsiTheme="minorBidi"/>
          <w:rtl/>
        </w:rPr>
        <w:footnoteReference w:id="51"/>
      </w:r>
      <w:r w:rsidRPr="00351B7D">
        <w:rPr>
          <w:rFonts w:asciiTheme="minorBidi" w:hAnsiTheme="minorBidi"/>
          <w:rtl/>
        </w:rPr>
        <w:t>.</w:t>
      </w:r>
    </w:p>
    <w:p w14:paraId="6E2D5656" w14:textId="151F4A12" w:rsidR="00567F4A" w:rsidRPr="00364FAE" w:rsidRDefault="00567F4A" w:rsidP="00567F4A">
      <w:pPr>
        <w:ind w:left="360"/>
        <w:rPr>
          <w:rFonts w:asciiTheme="minorBidi" w:hAnsiTheme="minorBidi"/>
          <w:u w:val="dotted"/>
        </w:rPr>
      </w:pPr>
      <w:r w:rsidRPr="00364FAE">
        <w:rPr>
          <w:rFonts w:asciiTheme="minorBidi" w:hAnsiTheme="minorBidi" w:hint="cs"/>
          <w:u w:val="dotted"/>
          <w:rtl/>
        </w:rPr>
        <w:t>ומה הדין אם לא יודעים כמה היה כתוב בכתובה:</w:t>
      </w:r>
    </w:p>
    <w:p w14:paraId="7DA40974" w14:textId="6A0C1FD0" w:rsidR="00973C57" w:rsidRPr="00351B7D" w:rsidRDefault="00973C57" w:rsidP="00CE6A2B">
      <w:pPr>
        <w:pStyle w:val="ab"/>
        <w:numPr>
          <w:ilvl w:val="0"/>
          <w:numId w:val="15"/>
        </w:numPr>
        <w:rPr>
          <w:rFonts w:asciiTheme="minorBidi" w:hAnsiTheme="minorBidi"/>
        </w:rPr>
      </w:pPr>
      <w:r w:rsidRPr="00351B7D">
        <w:rPr>
          <w:rFonts w:asciiTheme="minorBidi" w:hAnsiTheme="minorBidi"/>
          <w:rtl/>
        </w:rPr>
        <w:t>תשובות הגאונים</w:t>
      </w:r>
      <w:r w:rsidR="004969AF" w:rsidRPr="004969AF">
        <w:rPr>
          <w:rFonts w:asciiTheme="minorBidi" w:hAnsiTheme="minorBidi"/>
          <w:rtl/>
        </w:rPr>
        <w:t xml:space="preserve"> </w:t>
      </w:r>
      <w:r w:rsidR="004969AF" w:rsidRPr="004969AF">
        <w:rPr>
          <w:rFonts w:asciiTheme="minorBidi" w:hAnsiTheme="minorBidi" w:hint="cs"/>
          <w:sz w:val="16"/>
          <w:szCs w:val="16"/>
          <w:rtl/>
        </w:rPr>
        <w:t>(</w:t>
      </w:r>
      <w:r w:rsidR="004969AF" w:rsidRPr="004969AF">
        <w:rPr>
          <w:rFonts w:asciiTheme="minorBidi" w:hAnsiTheme="minorBidi"/>
          <w:sz w:val="16"/>
          <w:szCs w:val="16"/>
          <w:rtl/>
        </w:rPr>
        <w:t>שערי צדק ח"ד שער ד סי' טז</w:t>
      </w:r>
      <w:r w:rsidR="004969AF" w:rsidRPr="004969AF">
        <w:rPr>
          <w:rFonts w:asciiTheme="minorBidi" w:hAnsiTheme="minorBidi" w:hint="cs"/>
          <w:sz w:val="16"/>
          <w:szCs w:val="16"/>
          <w:rtl/>
        </w:rPr>
        <w:t>)</w:t>
      </w:r>
      <w:r w:rsidRPr="00351B7D">
        <w:rPr>
          <w:rFonts w:asciiTheme="minorBidi" w:hAnsiTheme="minorBidi"/>
          <w:rtl/>
        </w:rPr>
        <w:t>- עיר שכבשוה גוים ואבדו כתובותיהן, אילו כתובה אחת או שתים או שלש לבד אבדו</w:t>
      </w:r>
      <w:r w:rsidR="004969AF">
        <w:rPr>
          <w:rFonts w:asciiTheme="minorBidi" w:hAnsiTheme="minorBidi" w:hint="cs"/>
          <w:rtl/>
        </w:rPr>
        <w:t>,</w:t>
      </w:r>
      <w:r w:rsidRPr="00351B7D">
        <w:rPr>
          <w:rFonts w:asciiTheme="minorBidi" w:hAnsiTheme="minorBidi"/>
          <w:rtl/>
        </w:rPr>
        <w:t xml:space="preserve"> מוציאין ארבע או חמש מכתובות קרובותיה ונותנים לה כפחותה שבהם</w:t>
      </w:r>
      <w:r w:rsidR="004969AF">
        <w:rPr>
          <w:rFonts w:asciiTheme="minorBidi" w:hAnsiTheme="minorBidi" w:hint="cs"/>
          <w:rtl/>
        </w:rPr>
        <w:t>.</w:t>
      </w:r>
      <w:r w:rsidRPr="00351B7D">
        <w:rPr>
          <w:rFonts w:asciiTheme="minorBidi" w:hAnsiTheme="minorBidi"/>
          <w:rtl/>
        </w:rPr>
        <w:t xml:space="preserve"> עכשיו שמאורע זה אירע לכל בני המדינה כך היא תקנת הדבר</w:t>
      </w:r>
      <w:r w:rsidR="004969AF">
        <w:rPr>
          <w:rFonts w:asciiTheme="minorBidi" w:hAnsiTheme="minorBidi" w:hint="cs"/>
          <w:rtl/>
        </w:rPr>
        <w:t>,</w:t>
      </w:r>
      <w:r w:rsidRPr="00351B7D">
        <w:rPr>
          <w:rFonts w:asciiTheme="minorBidi" w:hAnsiTheme="minorBidi"/>
          <w:rtl/>
        </w:rPr>
        <w:t xml:space="preserve"> שיסכימו זקני המדינה ויחוקו חוק לפי מה שהיו יודעים מנהג מדינתם העשיר לפי עשרו והעני לפי עניו והבינוניים לפי מה שהם</w:t>
      </w:r>
      <w:r w:rsidR="003D02C0">
        <w:rPr>
          <w:rFonts w:asciiTheme="minorBidi" w:hAnsiTheme="minorBidi" w:hint="cs"/>
          <w:rtl/>
        </w:rPr>
        <w:t>,</w:t>
      </w:r>
      <w:r w:rsidRPr="00351B7D">
        <w:rPr>
          <w:rFonts w:asciiTheme="minorBidi" w:hAnsiTheme="minorBidi"/>
          <w:rtl/>
        </w:rPr>
        <w:t xml:space="preserve"> ויחדש כל אחד כתובה לפי החוק שיחוקו</w:t>
      </w:r>
      <w:r w:rsidR="003D02C0">
        <w:rPr>
          <w:rFonts w:asciiTheme="minorBidi" w:hAnsiTheme="minorBidi" w:hint="cs"/>
          <w:rtl/>
        </w:rPr>
        <w:t>.</w:t>
      </w:r>
      <w:r w:rsidRPr="00351B7D">
        <w:rPr>
          <w:rFonts w:asciiTheme="minorBidi" w:hAnsiTheme="minorBidi"/>
          <w:rtl/>
        </w:rPr>
        <w:t xml:space="preserve"> ומי שמת בעלה ועדיין לא גבתה כתובה</w:t>
      </w:r>
      <w:r w:rsidR="003D02C0">
        <w:rPr>
          <w:rFonts w:asciiTheme="minorBidi" w:hAnsiTheme="minorBidi" w:hint="cs"/>
          <w:rtl/>
        </w:rPr>
        <w:t>,</w:t>
      </w:r>
      <w:r w:rsidRPr="00351B7D">
        <w:rPr>
          <w:rFonts w:asciiTheme="minorBidi" w:hAnsiTheme="minorBidi"/>
          <w:rtl/>
        </w:rPr>
        <w:t xml:space="preserve"> יחוקו לפי מה שיראו ויגזרו הזקנים עליהם גזירה</w:t>
      </w:r>
      <w:r w:rsidR="003D02C0">
        <w:rPr>
          <w:rFonts w:asciiTheme="minorBidi" w:hAnsiTheme="minorBidi" w:hint="cs"/>
          <w:rtl/>
        </w:rPr>
        <w:t>.</w:t>
      </w:r>
      <w:r w:rsidRPr="00351B7D">
        <w:rPr>
          <w:rFonts w:asciiTheme="minorBidi" w:hAnsiTheme="minorBidi"/>
          <w:rtl/>
        </w:rPr>
        <w:t xml:space="preserve"> וכל אשר לא יקבל ינדוהו ויחרימוהו. </w:t>
      </w:r>
    </w:p>
    <w:p w14:paraId="130A825A" w14:textId="77777777" w:rsidR="00973C57" w:rsidRPr="00351B7D" w:rsidRDefault="00973C57" w:rsidP="00973C5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5377557" w14:textId="110A6F43" w:rsidR="00973C57" w:rsidRPr="00351B7D" w:rsidRDefault="00973C57" w:rsidP="00973C57">
      <w:pPr>
        <w:rPr>
          <w:rFonts w:asciiTheme="minorBidi" w:hAnsiTheme="minorBidi"/>
          <w:color w:val="000000"/>
          <w:sz w:val="16"/>
          <w:szCs w:val="16"/>
          <w:rtl/>
        </w:rPr>
      </w:pPr>
      <w:r w:rsidRPr="00351B7D">
        <w:rPr>
          <w:rFonts w:asciiTheme="minorBidi" w:hAnsiTheme="minorBidi"/>
          <w:rtl/>
        </w:rPr>
        <w:t>אם כתב לה כתובה ונאבדה</w:t>
      </w:r>
      <w:r w:rsidR="007F1644">
        <w:rPr>
          <w:rFonts w:asciiTheme="minorBidi" w:hAnsiTheme="minorBidi" w:hint="cs"/>
          <w:rtl/>
        </w:rPr>
        <w:t>,</w:t>
      </w:r>
      <w:r w:rsidRPr="00351B7D">
        <w:rPr>
          <w:rFonts w:asciiTheme="minorBidi" w:hAnsiTheme="minorBidi"/>
          <w:rtl/>
        </w:rPr>
        <w:t xml:space="preserve"> או שמחלה לו</w:t>
      </w:r>
      <w:r w:rsidRPr="00351B7D">
        <w:rPr>
          <w:rFonts w:asciiTheme="minorBidi" w:hAnsiTheme="minorBidi"/>
          <w:color w:val="000000"/>
          <w:sz w:val="16"/>
          <w:szCs w:val="16"/>
          <w:rtl/>
        </w:rPr>
        <w:t xml:space="preserve"> </w:t>
      </w:r>
      <w:r w:rsidR="0010757A">
        <w:rPr>
          <w:rFonts w:asciiTheme="minorBidi" w:hAnsiTheme="minorBidi" w:hint="cs"/>
          <w:color w:val="000000"/>
          <w:sz w:val="18"/>
          <w:szCs w:val="18"/>
          <w:rtl/>
        </w:rPr>
        <w:t xml:space="preserve">[הגה] </w:t>
      </w:r>
      <w:r w:rsidRPr="00351B7D">
        <w:rPr>
          <w:rFonts w:asciiTheme="minorBidi" w:hAnsiTheme="minorBidi"/>
          <w:color w:val="000000"/>
          <w:sz w:val="18"/>
          <w:szCs w:val="18"/>
          <w:rtl/>
        </w:rPr>
        <w:t>ודוקא</w:t>
      </w:r>
      <w:r w:rsidRPr="00351B7D">
        <w:rPr>
          <w:rFonts w:asciiTheme="minorBidi" w:hAnsiTheme="minorBidi"/>
          <w:rtl/>
        </w:rPr>
        <w:t xml:space="preserve"> שכתבה לו התקבלתי כתובתי</w:t>
      </w:r>
      <w:r w:rsidR="007F1644">
        <w:rPr>
          <w:rFonts w:asciiTheme="minorBidi" w:hAnsiTheme="minorBidi" w:hint="cs"/>
          <w:rtl/>
        </w:rPr>
        <w:t>,</w:t>
      </w:r>
      <w:r w:rsidRPr="00351B7D">
        <w:rPr>
          <w:rFonts w:asciiTheme="minorBidi" w:hAnsiTheme="minorBidi"/>
          <w:rtl/>
        </w:rPr>
        <w:t xml:space="preserve"> צריך לכתוב אחרת בעיקר הכתובה</w:t>
      </w:r>
      <w:r w:rsidRPr="00351B7D">
        <w:rPr>
          <w:rStyle w:val="a7"/>
          <w:rFonts w:asciiTheme="minorBidi" w:hAnsiTheme="minorBidi"/>
          <w:color w:val="000000"/>
          <w:rtl/>
        </w:rPr>
        <w:footnoteReference w:id="52"/>
      </w:r>
      <w:r w:rsidR="007F1644">
        <w:rPr>
          <w:rFonts w:asciiTheme="minorBidi" w:hAnsiTheme="minorBidi" w:hint="cs"/>
          <w:rtl/>
        </w:rPr>
        <w:t>,</w:t>
      </w:r>
      <w:r w:rsidRPr="00351B7D">
        <w:rPr>
          <w:rFonts w:asciiTheme="minorBidi" w:hAnsiTheme="minorBidi"/>
          <w:rtl/>
        </w:rPr>
        <w:t xml:space="preserve"> שאסור לאדם לדור עם אשתו שעה אחת בלא כתובה.</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עיר שכבשוהו כרכום</w:t>
      </w:r>
      <w:r w:rsidR="00FE07DB">
        <w:rPr>
          <w:rFonts w:asciiTheme="minorBidi" w:hAnsiTheme="minorBidi" w:hint="cs"/>
          <w:color w:val="000000"/>
          <w:sz w:val="18"/>
          <w:szCs w:val="18"/>
          <w:rtl/>
        </w:rPr>
        <w:t>,</w:t>
      </w:r>
      <w:r w:rsidRPr="00351B7D">
        <w:rPr>
          <w:rFonts w:asciiTheme="minorBidi" w:hAnsiTheme="minorBidi"/>
          <w:color w:val="000000"/>
          <w:sz w:val="18"/>
          <w:szCs w:val="18"/>
          <w:rtl/>
        </w:rPr>
        <w:t xml:space="preserve"> או שגלו מן העיר</w:t>
      </w:r>
      <w:r w:rsidR="00FE07DB">
        <w:rPr>
          <w:rFonts w:asciiTheme="minorBidi" w:hAnsiTheme="minorBidi" w:hint="cs"/>
          <w:color w:val="000000"/>
          <w:sz w:val="18"/>
          <w:szCs w:val="18"/>
          <w:rtl/>
        </w:rPr>
        <w:t>,</w:t>
      </w:r>
      <w:r w:rsidRPr="00351B7D">
        <w:rPr>
          <w:rFonts w:asciiTheme="minorBidi" w:hAnsiTheme="minorBidi"/>
          <w:color w:val="000000"/>
          <w:sz w:val="18"/>
          <w:szCs w:val="18"/>
          <w:rtl/>
        </w:rPr>
        <w:t xml:space="preserve"> ואבדו הנשים הכתובות שלהם</w:t>
      </w:r>
      <w:r w:rsidR="00FE07DB">
        <w:rPr>
          <w:rFonts w:asciiTheme="minorBidi" w:hAnsiTheme="minorBidi" w:hint="cs"/>
          <w:color w:val="000000"/>
          <w:sz w:val="18"/>
          <w:szCs w:val="18"/>
          <w:rtl/>
        </w:rPr>
        <w:t>,</w:t>
      </w:r>
      <w:r w:rsidRPr="00351B7D">
        <w:rPr>
          <w:rFonts w:asciiTheme="minorBidi" w:hAnsiTheme="minorBidi"/>
          <w:color w:val="000000"/>
          <w:sz w:val="18"/>
          <w:szCs w:val="18"/>
          <w:rtl/>
        </w:rPr>
        <w:t xml:space="preserve"> צריכים לחדש נשותיהם כתובתיהם אע"פ שיש לומר שמא ימצאו אח"כ כתובותיהם או יחזרו להם</w:t>
      </w:r>
      <w:r w:rsidR="00FE07DB">
        <w:rPr>
          <w:rFonts w:asciiTheme="minorBidi" w:hAnsiTheme="minorBidi" w:hint="cs"/>
          <w:color w:val="000000"/>
          <w:sz w:val="18"/>
          <w:szCs w:val="18"/>
          <w:rtl/>
        </w:rPr>
        <w:t>,</w:t>
      </w:r>
      <w:r w:rsidRPr="00351B7D">
        <w:rPr>
          <w:rFonts w:asciiTheme="minorBidi" w:hAnsiTheme="minorBidi"/>
          <w:color w:val="000000"/>
          <w:sz w:val="18"/>
          <w:szCs w:val="18"/>
          <w:rtl/>
        </w:rPr>
        <w:t xml:space="preserve"> מ"מ מאחר שהכתובות בחזקת אבודות צריכים כתובות אחרות</w:t>
      </w:r>
      <w:r w:rsidRPr="00351B7D">
        <w:rPr>
          <w:rStyle w:val="a7"/>
          <w:rFonts w:asciiTheme="minorBidi" w:hAnsiTheme="minorBidi"/>
          <w:color w:val="000000"/>
          <w:sz w:val="18"/>
          <w:szCs w:val="18"/>
          <w:rtl/>
        </w:rPr>
        <w:footnoteReference w:id="53"/>
      </w:r>
      <w:r w:rsidR="00FE07DB">
        <w:rPr>
          <w:rFonts w:asciiTheme="minorBidi" w:hAnsiTheme="minorBidi" w:hint="cs"/>
          <w:color w:val="000000"/>
          <w:sz w:val="18"/>
          <w:szCs w:val="18"/>
          <w:rtl/>
        </w:rPr>
        <w:t xml:space="preserve"> (רשב"א</w:t>
      </w:r>
      <w:r w:rsidR="00364FAE">
        <w:rPr>
          <w:rFonts w:asciiTheme="minorBidi" w:hAnsiTheme="minorBidi" w:hint="cs"/>
          <w:color w:val="000000"/>
          <w:sz w:val="18"/>
          <w:szCs w:val="18"/>
          <w:rtl/>
        </w:rPr>
        <w:t xml:space="preserve"> ומהרי"ק</w:t>
      </w:r>
      <w:r w:rsidR="00FE07DB">
        <w:rPr>
          <w:rFonts w:asciiTheme="minorBidi" w:hAnsiTheme="minorBidi" w:hint="cs"/>
          <w:color w:val="000000"/>
          <w:sz w:val="18"/>
          <w:szCs w:val="18"/>
          <w:rtl/>
        </w:rPr>
        <w:t>).</w:t>
      </w:r>
      <w:r w:rsidRPr="00351B7D">
        <w:rPr>
          <w:rFonts w:asciiTheme="minorBidi" w:hAnsiTheme="minorBidi"/>
          <w:color w:val="000000"/>
          <w:sz w:val="18"/>
          <w:szCs w:val="18"/>
          <w:rtl/>
        </w:rPr>
        <w:t xml:space="preserve"> ואם אינו ידוע סך הכתובות</w:t>
      </w:r>
      <w:r w:rsidR="00FE07DB">
        <w:rPr>
          <w:rFonts w:asciiTheme="minorBidi" w:hAnsiTheme="minorBidi" w:hint="cs"/>
          <w:color w:val="000000"/>
          <w:sz w:val="18"/>
          <w:szCs w:val="18"/>
          <w:rtl/>
        </w:rPr>
        <w:t>,</w:t>
      </w:r>
      <w:r w:rsidRPr="00351B7D">
        <w:rPr>
          <w:rFonts w:asciiTheme="minorBidi" w:hAnsiTheme="minorBidi"/>
          <w:color w:val="000000"/>
          <w:sz w:val="18"/>
          <w:szCs w:val="18"/>
          <w:rtl/>
        </w:rPr>
        <w:t xml:space="preserve"> אם ישארו קצתן אזלינן בתרייהו, ואם לאו דנין על פי זקני העיר ולפי המנהג העשיר לפי עשרו</w:t>
      </w:r>
      <w:r w:rsidRPr="00351B7D">
        <w:rPr>
          <w:rStyle w:val="a7"/>
          <w:rFonts w:asciiTheme="minorBidi" w:hAnsiTheme="minorBidi"/>
          <w:color w:val="000000"/>
          <w:sz w:val="18"/>
          <w:szCs w:val="18"/>
          <w:rtl/>
        </w:rPr>
        <w:footnoteReference w:id="54"/>
      </w:r>
      <w:r w:rsidRPr="00351B7D">
        <w:rPr>
          <w:rFonts w:asciiTheme="minorBidi" w:hAnsiTheme="minorBidi"/>
          <w:color w:val="000000"/>
          <w:sz w:val="18"/>
          <w:szCs w:val="18"/>
          <w:rtl/>
        </w:rPr>
        <w:t xml:space="preserve"> והעני לפי עניו </w:t>
      </w:r>
      <w:r w:rsidRPr="00FE07DB">
        <w:rPr>
          <w:rFonts w:asciiTheme="minorBidi" w:hAnsiTheme="minorBidi"/>
          <w:color w:val="000000"/>
          <w:sz w:val="18"/>
          <w:szCs w:val="18"/>
          <w:rtl/>
        </w:rPr>
        <w:t>(גאונים)</w:t>
      </w:r>
      <w:r w:rsidRPr="00351B7D">
        <w:rPr>
          <w:rFonts w:asciiTheme="minorBidi" w:hAnsiTheme="minorBidi"/>
          <w:color w:val="000000"/>
          <w:sz w:val="18"/>
          <w:szCs w:val="18"/>
          <w:rtl/>
        </w:rPr>
        <w:t xml:space="preserve">. וכשנאבדה הכתובה ובא לכתוב לה כתובה אחרת צריך לכתוב לה כתובה גדולה כראשונה </w:t>
      </w:r>
      <w:r w:rsidRPr="00FE07DB">
        <w:rPr>
          <w:rFonts w:asciiTheme="minorBidi" w:hAnsiTheme="minorBidi"/>
          <w:color w:val="000000"/>
          <w:sz w:val="18"/>
          <w:szCs w:val="18"/>
          <w:rtl/>
        </w:rPr>
        <w:t>(מהרי"ק)</w:t>
      </w:r>
      <w:r w:rsidRPr="00351B7D">
        <w:rPr>
          <w:rFonts w:asciiTheme="minorBidi" w:hAnsiTheme="minorBidi"/>
          <w:color w:val="000000"/>
          <w:sz w:val="18"/>
          <w:szCs w:val="18"/>
          <w:rtl/>
        </w:rPr>
        <w:t>. ועיין לקמן סי' קע"ז</w:t>
      </w:r>
      <w:r w:rsidRPr="00351B7D">
        <w:rPr>
          <w:rStyle w:val="a7"/>
          <w:rFonts w:asciiTheme="minorBidi" w:hAnsiTheme="minorBidi"/>
          <w:color w:val="000000"/>
          <w:sz w:val="18"/>
          <w:szCs w:val="18"/>
          <w:rtl/>
        </w:rPr>
        <w:footnoteReference w:id="55"/>
      </w:r>
      <w:r w:rsidRPr="00351B7D">
        <w:rPr>
          <w:rFonts w:asciiTheme="minorBidi" w:hAnsiTheme="minorBidi"/>
          <w:color w:val="000000"/>
          <w:sz w:val="18"/>
          <w:szCs w:val="18"/>
          <w:rtl/>
        </w:rPr>
        <w:t xml:space="preserve"> דבמקום שאין מגרשין רק מרצון האשה אין צריך לכתוב כתובה, א"כ בזמן הזה במדינות אלו שאין מגרשין בעל כרחה של אשה משום חרם רבינו גרשום</w:t>
      </w:r>
      <w:r w:rsidR="00FE07DB">
        <w:rPr>
          <w:rFonts w:asciiTheme="minorBidi" w:hAnsiTheme="minorBidi" w:hint="cs"/>
          <w:color w:val="000000"/>
          <w:sz w:val="18"/>
          <w:szCs w:val="18"/>
          <w:rtl/>
        </w:rPr>
        <w:t>,</w:t>
      </w:r>
      <w:r w:rsidRPr="00351B7D">
        <w:rPr>
          <w:rFonts w:asciiTheme="minorBidi" w:hAnsiTheme="minorBidi"/>
          <w:color w:val="000000"/>
          <w:sz w:val="18"/>
          <w:szCs w:val="18"/>
          <w:rtl/>
        </w:rPr>
        <w:t xml:space="preserve"> וכמו שיתבאר לקמן סימן קי"ט</w:t>
      </w:r>
      <w:r w:rsidR="00FE07DB">
        <w:rPr>
          <w:rFonts w:asciiTheme="minorBidi" w:hAnsiTheme="minorBidi" w:hint="cs"/>
          <w:color w:val="000000"/>
          <w:sz w:val="18"/>
          <w:szCs w:val="18"/>
          <w:rtl/>
        </w:rPr>
        <w:t>,</w:t>
      </w:r>
      <w:r w:rsidRPr="00351B7D">
        <w:rPr>
          <w:rFonts w:asciiTheme="minorBidi" w:hAnsiTheme="minorBidi"/>
          <w:color w:val="000000"/>
          <w:sz w:val="18"/>
          <w:szCs w:val="18"/>
          <w:rtl/>
        </w:rPr>
        <w:t xml:space="preserve"> היה אפשר להקל בכתיבת הכתובה</w:t>
      </w:r>
      <w:r w:rsidR="00FE07DB">
        <w:rPr>
          <w:rFonts w:asciiTheme="minorBidi" w:hAnsiTheme="minorBidi" w:hint="cs"/>
          <w:color w:val="000000"/>
          <w:sz w:val="18"/>
          <w:szCs w:val="18"/>
          <w:rtl/>
        </w:rPr>
        <w:t>.</w:t>
      </w:r>
      <w:r w:rsidRPr="00351B7D">
        <w:rPr>
          <w:rFonts w:asciiTheme="minorBidi" w:hAnsiTheme="minorBidi"/>
          <w:color w:val="000000"/>
          <w:sz w:val="18"/>
          <w:szCs w:val="18"/>
          <w:rtl/>
        </w:rPr>
        <w:t xml:space="preserve"> אבל אין המנהג כן ואין לשנות </w:t>
      </w:r>
      <w:r w:rsidRPr="00FE07DB">
        <w:rPr>
          <w:rFonts w:asciiTheme="minorBidi" w:hAnsiTheme="minorBidi"/>
          <w:color w:val="000000"/>
          <w:sz w:val="18"/>
          <w:szCs w:val="18"/>
          <w:rtl/>
        </w:rPr>
        <w:t>(ד"ע)</w:t>
      </w:r>
      <w:r w:rsidRPr="00351B7D">
        <w:rPr>
          <w:rFonts w:asciiTheme="minorBidi" w:hAnsiTheme="minorBidi"/>
          <w:color w:val="000000"/>
          <w:sz w:val="18"/>
          <w:szCs w:val="18"/>
          <w:rtl/>
        </w:rPr>
        <w:t xml:space="preserve">. </w:t>
      </w:r>
    </w:p>
    <w:p w14:paraId="0B9D43E4" w14:textId="77777777" w:rsidR="00973C57" w:rsidRPr="00351B7D" w:rsidRDefault="00973C57" w:rsidP="00973C57">
      <w:pPr>
        <w:rPr>
          <w:rFonts w:asciiTheme="minorBidi" w:hAnsiTheme="minorBidi"/>
          <w:sz w:val="16"/>
          <w:szCs w:val="16"/>
          <w:rtl/>
        </w:rPr>
      </w:pPr>
      <w:r w:rsidRPr="00351B7D">
        <w:rPr>
          <w:rFonts w:asciiTheme="minorBidi" w:hAnsiTheme="minorBidi"/>
          <w:u w:val="single"/>
          <w:rtl/>
        </w:rPr>
        <w:t>כתובה שנאבדה, וכתב חדשה והפחית את הסכום, והאשה לא מיחתה, ונמצאה הכתובה הראשונה:</w:t>
      </w:r>
      <w:r w:rsidRPr="00351B7D">
        <w:rPr>
          <w:rFonts w:asciiTheme="minorBidi" w:hAnsiTheme="minorBidi"/>
          <w:rtl/>
        </w:rPr>
        <w:t xml:space="preserve"> </w:t>
      </w:r>
      <w:r w:rsidRPr="00351B7D">
        <w:rPr>
          <w:rFonts w:asciiTheme="minorBidi" w:hAnsiTheme="minorBidi"/>
          <w:sz w:val="16"/>
          <w:szCs w:val="16"/>
          <w:rtl/>
        </w:rPr>
        <w:t>(פת"ש סק"ג)</w:t>
      </w:r>
    </w:p>
    <w:p w14:paraId="2B424348" w14:textId="2FE37BBE" w:rsidR="00973C57" w:rsidRPr="00351B7D" w:rsidRDefault="00973C57" w:rsidP="009000E3">
      <w:pPr>
        <w:pStyle w:val="ab"/>
        <w:numPr>
          <w:ilvl w:val="0"/>
          <w:numId w:val="17"/>
        </w:numPr>
        <w:rPr>
          <w:rFonts w:asciiTheme="minorBidi" w:hAnsiTheme="minorBidi"/>
          <w:rtl/>
        </w:rPr>
      </w:pPr>
      <w:r w:rsidRPr="00351B7D">
        <w:rPr>
          <w:rFonts w:asciiTheme="minorBidi" w:hAnsiTheme="minorBidi"/>
          <w:rtl/>
        </w:rPr>
        <w:t>שו"ת מוצל מאש</w:t>
      </w:r>
      <w:r w:rsidRPr="00351B7D">
        <w:rPr>
          <w:rFonts w:asciiTheme="minorBidi" w:hAnsiTheme="minorBidi"/>
          <w:sz w:val="16"/>
          <w:szCs w:val="16"/>
          <w:rtl/>
        </w:rPr>
        <w:t xml:space="preserve"> (סי' כא)</w:t>
      </w:r>
      <w:r w:rsidRPr="00351B7D">
        <w:rPr>
          <w:rFonts w:asciiTheme="minorBidi" w:hAnsiTheme="minorBidi"/>
          <w:rtl/>
        </w:rPr>
        <w:t>- מי שאבדה שטר כתובתה וכתב לה בעלה כתובה אחרת</w:t>
      </w:r>
      <w:r w:rsidR="00407B2A">
        <w:rPr>
          <w:rFonts w:asciiTheme="minorBidi" w:hAnsiTheme="minorBidi" w:hint="cs"/>
          <w:rtl/>
        </w:rPr>
        <w:t>,</w:t>
      </w:r>
      <w:r w:rsidRPr="00351B7D">
        <w:rPr>
          <w:rFonts w:asciiTheme="minorBidi" w:hAnsiTheme="minorBidi"/>
          <w:rtl/>
        </w:rPr>
        <w:t xml:space="preserve"> והכתובה הראשונה היתה עשרת אלפים לבנים</w:t>
      </w:r>
      <w:r w:rsidR="00407B2A">
        <w:rPr>
          <w:rFonts w:asciiTheme="minorBidi" w:hAnsiTheme="minorBidi" w:hint="cs"/>
          <w:rtl/>
        </w:rPr>
        <w:t>,</w:t>
      </w:r>
      <w:r w:rsidRPr="00351B7D">
        <w:rPr>
          <w:rFonts w:asciiTheme="minorBidi" w:hAnsiTheme="minorBidi"/>
          <w:rtl/>
        </w:rPr>
        <w:t xml:space="preserve"> ועכשיו כתב לה חמשת אלפים</w:t>
      </w:r>
      <w:r w:rsidR="00407B2A">
        <w:rPr>
          <w:rFonts w:asciiTheme="minorBidi" w:hAnsiTheme="minorBidi" w:hint="cs"/>
          <w:rtl/>
        </w:rPr>
        <w:t>,</w:t>
      </w:r>
      <w:r w:rsidRPr="00351B7D">
        <w:rPr>
          <w:rFonts w:asciiTheme="minorBidi" w:hAnsiTheme="minorBidi"/>
          <w:rtl/>
        </w:rPr>
        <w:t xml:space="preserve"> ולא מיחתה האשה ולא קפדה כלל</w:t>
      </w:r>
      <w:r w:rsidR="00407B2A">
        <w:rPr>
          <w:rFonts w:asciiTheme="minorBidi" w:hAnsiTheme="minorBidi" w:hint="cs"/>
          <w:rtl/>
        </w:rPr>
        <w:t>.</w:t>
      </w:r>
      <w:r w:rsidRPr="00351B7D">
        <w:rPr>
          <w:rFonts w:asciiTheme="minorBidi" w:hAnsiTheme="minorBidi"/>
          <w:rtl/>
        </w:rPr>
        <w:t xml:space="preserve"> אם אח"כ תמצא הכתובה הראשונה ותתגרש או תתאלמן</w:t>
      </w:r>
      <w:r w:rsidR="00407B2A">
        <w:rPr>
          <w:rFonts w:asciiTheme="minorBidi" w:hAnsiTheme="minorBidi" w:hint="cs"/>
          <w:rtl/>
        </w:rPr>
        <w:t>,</w:t>
      </w:r>
      <w:r w:rsidRPr="00351B7D">
        <w:rPr>
          <w:rFonts w:asciiTheme="minorBidi" w:hAnsiTheme="minorBidi"/>
          <w:rtl/>
        </w:rPr>
        <w:t xml:space="preserve"> אם נאמר שכתובה הראשונה כבר נמחל שעבודה</w:t>
      </w:r>
      <w:r w:rsidR="00407B2A">
        <w:rPr>
          <w:rFonts w:asciiTheme="minorBidi" w:hAnsiTheme="minorBidi" w:hint="cs"/>
          <w:rtl/>
        </w:rPr>
        <w:t>,</w:t>
      </w:r>
      <w:r w:rsidRPr="00351B7D">
        <w:rPr>
          <w:rFonts w:asciiTheme="minorBidi" w:hAnsiTheme="minorBidi"/>
          <w:rtl/>
        </w:rPr>
        <w:t xml:space="preserve"> או נאמר דכיון שהיתה בטעות שחשבה שהיא אבודה אבל עכשיו שנמצאת עדיין שעבוד החוב הראשון קיים. </w:t>
      </w:r>
      <w:r w:rsidR="00407B2A">
        <w:rPr>
          <w:rFonts w:asciiTheme="minorBidi" w:hAnsiTheme="minorBidi" w:hint="cs"/>
          <w:rtl/>
        </w:rPr>
        <w:t xml:space="preserve">נראה </w:t>
      </w:r>
      <w:r w:rsidRPr="00351B7D">
        <w:rPr>
          <w:rFonts w:asciiTheme="minorBidi" w:hAnsiTheme="minorBidi"/>
          <w:rtl/>
        </w:rPr>
        <w:t>דאם בכתובה השניה אינו כתוב כלל בשביל נדוניא או תוספת אלא סתם כתב לה ה' אלפים לבנים מפני שאמרו חז"ל אסור לשהות עם אשתו שעה א' בלא כתובה</w:t>
      </w:r>
      <w:r w:rsidR="00BB2E8F">
        <w:rPr>
          <w:rFonts w:asciiTheme="minorBidi" w:hAnsiTheme="minorBidi" w:hint="cs"/>
          <w:rtl/>
        </w:rPr>
        <w:t>,</w:t>
      </w:r>
      <w:r w:rsidRPr="00351B7D">
        <w:rPr>
          <w:rFonts w:asciiTheme="minorBidi" w:hAnsiTheme="minorBidi"/>
          <w:rtl/>
        </w:rPr>
        <w:t xml:space="preserve"> לא מבעיא אם נמצאת אח"כ כתובה הא' דמעולם לא נמחל רק שעבוד המנה או מאתים הראשונים ועתה הרי פירש שבעבור האיסור עשה לה כתובה וזה אינו רק למנה ומאתים שזהו האיסור דוקא</w:t>
      </w:r>
      <w:r w:rsidR="00BB2E8F">
        <w:rPr>
          <w:rFonts w:asciiTheme="minorBidi" w:hAnsiTheme="minorBidi" w:hint="cs"/>
          <w:rtl/>
        </w:rPr>
        <w:t>.</w:t>
      </w:r>
      <w:r w:rsidRPr="00351B7D">
        <w:rPr>
          <w:rFonts w:asciiTheme="minorBidi" w:hAnsiTheme="minorBidi"/>
          <w:rtl/>
        </w:rPr>
        <w:t xml:space="preserve"> אבל נדוניא ושאר דברים שהם מלוה וחוב גמור עליו לא נמחל השעבוד בשביל שכתב כתובה אחרת בעבור המנה ומאתים</w:t>
      </w:r>
      <w:r w:rsidR="00BB2E8F">
        <w:rPr>
          <w:rFonts w:asciiTheme="minorBidi" w:hAnsiTheme="minorBidi" w:hint="cs"/>
          <w:rtl/>
        </w:rPr>
        <w:t>.</w:t>
      </w:r>
      <w:r w:rsidRPr="00351B7D">
        <w:rPr>
          <w:rFonts w:asciiTheme="minorBidi" w:hAnsiTheme="minorBidi"/>
          <w:rtl/>
        </w:rPr>
        <w:t xml:space="preserve"> ומה שכתב חמשת אלפים אע</w:t>
      </w:r>
      <w:r w:rsidR="00BB2E8F">
        <w:rPr>
          <w:rFonts w:asciiTheme="minorBidi" w:hAnsiTheme="minorBidi" w:hint="cs"/>
          <w:rtl/>
        </w:rPr>
        <w:t>"</w:t>
      </w:r>
      <w:r w:rsidRPr="00351B7D">
        <w:rPr>
          <w:rFonts w:asciiTheme="minorBidi" w:hAnsiTheme="minorBidi"/>
          <w:rtl/>
        </w:rPr>
        <w:t>ג שהי' מספיק המנה ומאתים יש לנו לומר שהוסיף לה</w:t>
      </w:r>
      <w:r w:rsidR="00BB2E8F">
        <w:rPr>
          <w:rFonts w:asciiTheme="minorBidi" w:hAnsiTheme="minorBidi" w:hint="cs"/>
          <w:rtl/>
        </w:rPr>
        <w:t>,</w:t>
      </w:r>
      <w:r w:rsidRPr="00351B7D">
        <w:rPr>
          <w:rFonts w:asciiTheme="minorBidi" w:hAnsiTheme="minorBidi"/>
          <w:rtl/>
        </w:rPr>
        <w:t xml:space="preserve"> כמ"ש ז"ל אם רצה להוסיף כו'</w:t>
      </w:r>
      <w:r w:rsidR="00BB2E8F">
        <w:rPr>
          <w:rFonts w:asciiTheme="minorBidi" w:hAnsiTheme="minorBidi" w:hint="cs"/>
          <w:rtl/>
        </w:rPr>
        <w:t>.</w:t>
      </w:r>
      <w:r w:rsidRPr="00351B7D">
        <w:rPr>
          <w:rFonts w:asciiTheme="minorBidi" w:hAnsiTheme="minorBidi"/>
          <w:rtl/>
        </w:rPr>
        <w:t xml:space="preserve"> ואפילו שהכתובה הראשונה לא נמצאת כלל אם אין הכחשה ביניהם רק שהבעל טוען שכיון שנכתב כתוב' אחרת נמחל שעבוד' לאו כל כמיני', אבל אם הזכיר בתוך הכתובה החדשה שבשביל נדוניא ותוספת כתב לה זה והיא ידעה זה וקבילת </w:t>
      </w:r>
      <w:r w:rsidR="00BB2E8F">
        <w:rPr>
          <w:rFonts w:asciiTheme="minorBidi" w:hAnsiTheme="minorBidi" w:hint="cs"/>
          <w:rtl/>
        </w:rPr>
        <w:t xml:space="preserve">- </w:t>
      </w:r>
      <w:r w:rsidRPr="00351B7D">
        <w:rPr>
          <w:rFonts w:asciiTheme="minorBidi" w:hAnsiTheme="minorBidi"/>
          <w:rtl/>
        </w:rPr>
        <w:t>הא ודאי דבטלה לה כתובה הראשונה ואפילו נמצאת חספא בעלמא הוא.</w:t>
      </w:r>
    </w:p>
    <w:p w14:paraId="4FA921B9" w14:textId="77777777" w:rsidR="00973C57" w:rsidRPr="00351B7D" w:rsidRDefault="00973C57" w:rsidP="00973C57">
      <w:pPr>
        <w:rPr>
          <w:rFonts w:asciiTheme="minorBidi" w:hAnsiTheme="minorBidi"/>
          <w:color w:val="000000"/>
          <w:rtl/>
        </w:rPr>
      </w:pPr>
    </w:p>
    <w:p w14:paraId="267FA3F1" w14:textId="43C95B1C" w:rsidR="00973C57" w:rsidRDefault="00973C57" w:rsidP="000F64D0">
      <w:pPr>
        <w:pStyle w:val="2"/>
        <w:rPr>
          <w:rtl/>
        </w:rPr>
      </w:pPr>
      <w:r w:rsidRPr="00351B7D">
        <w:rPr>
          <w:rtl/>
        </w:rPr>
        <w:t>סעיף ד: איזה תאריך כותבים בכתובה החדשה.</w:t>
      </w:r>
    </w:p>
    <w:p w14:paraId="1EB91DDC" w14:textId="259D04FC" w:rsidR="00ED63F8" w:rsidRPr="00ED63F8" w:rsidRDefault="00ED63F8" w:rsidP="00ED63F8">
      <w:pPr>
        <w:rPr>
          <w:rtl/>
        </w:rPr>
      </w:pPr>
      <w:r>
        <w:rPr>
          <w:rFonts w:hint="cs"/>
          <w:rtl/>
        </w:rPr>
        <w:t>עיין במקורות בסעיף ג.</w:t>
      </w:r>
    </w:p>
    <w:p w14:paraId="09C11BBC" w14:textId="77777777" w:rsidR="00973C57" w:rsidRPr="00351B7D" w:rsidRDefault="00973C57" w:rsidP="00973C5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051C434" w14:textId="058DB439" w:rsidR="00973C57" w:rsidRPr="00351B7D" w:rsidRDefault="00973C57" w:rsidP="00973C57">
      <w:pPr>
        <w:rPr>
          <w:rFonts w:asciiTheme="minorBidi" w:hAnsiTheme="minorBidi"/>
          <w:color w:val="000000"/>
          <w:sz w:val="16"/>
          <w:szCs w:val="16"/>
          <w:rtl/>
        </w:rPr>
      </w:pPr>
      <w:r w:rsidRPr="00351B7D">
        <w:rPr>
          <w:rFonts w:asciiTheme="minorBidi" w:hAnsiTheme="minorBidi"/>
          <w:rtl/>
        </w:rPr>
        <w:t>בנאבדה</w:t>
      </w:r>
      <w:r w:rsidR="00F412D9">
        <w:rPr>
          <w:rFonts w:asciiTheme="minorBidi" w:hAnsiTheme="minorBidi" w:hint="cs"/>
          <w:rtl/>
        </w:rPr>
        <w:t>,</w:t>
      </w:r>
      <w:r w:rsidRPr="00351B7D">
        <w:rPr>
          <w:rFonts w:asciiTheme="minorBidi" w:hAnsiTheme="minorBidi"/>
          <w:rtl/>
        </w:rPr>
        <w:t xml:space="preserve"> אי ידעי סהדי זמנא קמא</w:t>
      </w:r>
      <w:r w:rsidR="00F412D9">
        <w:rPr>
          <w:rFonts w:asciiTheme="minorBidi" w:hAnsiTheme="minorBidi" w:hint="cs"/>
          <w:rtl/>
        </w:rPr>
        <w:t>,</w:t>
      </w:r>
      <w:r w:rsidRPr="00351B7D">
        <w:rPr>
          <w:rFonts w:asciiTheme="minorBidi" w:hAnsiTheme="minorBidi"/>
          <w:rtl/>
        </w:rPr>
        <w:t xml:space="preserve"> כתבי ההוא זמנא</w:t>
      </w:r>
      <w:r w:rsidR="00F412D9">
        <w:rPr>
          <w:rFonts w:asciiTheme="minorBidi" w:hAnsiTheme="minorBidi" w:hint="cs"/>
          <w:rtl/>
        </w:rPr>
        <w:t>.</w:t>
      </w:r>
      <w:r w:rsidRPr="00351B7D">
        <w:rPr>
          <w:rFonts w:asciiTheme="minorBidi" w:hAnsiTheme="minorBidi"/>
          <w:rtl/>
        </w:rPr>
        <w:t xml:space="preserve"> ואי לא ידעי</w:t>
      </w:r>
      <w:r w:rsidR="00F412D9">
        <w:rPr>
          <w:rFonts w:asciiTheme="minorBidi" w:hAnsiTheme="minorBidi" w:hint="cs"/>
          <w:rtl/>
        </w:rPr>
        <w:t>,</w:t>
      </w:r>
      <w:r w:rsidRPr="00351B7D">
        <w:rPr>
          <w:rFonts w:asciiTheme="minorBidi" w:hAnsiTheme="minorBidi"/>
          <w:rtl/>
        </w:rPr>
        <w:t xml:space="preserve"> כתבי מהשתא</w:t>
      </w:r>
      <w:r w:rsidR="00F412D9">
        <w:rPr>
          <w:rFonts w:asciiTheme="minorBidi" w:hAnsiTheme="minorBidi" w:hint="cs"/>
          <w:rtl/>
        </w:rPr>
        <w:t>.</w:t>
      </w:r>
      <w:r w:rsidRPr="00351B7D">
        <w:rPr>
          <w:rFonts w:asciiTheme="minorBidi" w:hAnsiTheme="minorBidi"/>
          <w:rtl/>
        </w:rPr>
        <w:t xml:space="preserve"> ובמוחלת אין כותבין אלא מזמן של עכשיו</w:t>
      </w:r>
      <w:r w:rsidRPr="00351B7D">
        <w:rPr>
          <w:rStyle w:val="a7"/>
          <w:rFonts w:asciiTheme="minorBidi" w:hAnsiTheme="minorBidi"/>
          <w:color w:val="000000"/>
          <w:rtl/>
        </w:rPr>
        <w:footnoteReference w:id="56"/>
      </w:r>
      <w:r w:rsidRPr="00351B7D">
        <w:rPr>
          <w:rFonts w:asciiTheme="minorBidi" w:hAnsiTheme="minorBidi"/>
          <w:color w:val="000000"/>
          <w:rtl/>
        </w:rPr>
        <w:t>.</w:t>
      </w:r>
    </w:p>
    <w:p w14:paraId="6BE0CE9D" w14:textId="77777777" w:rsidR="00973C57" w:rsidRPr="00351B7D" w:rsidRDefault="00973C57" w:rsidP="00973C57">
      <w:pPr>
        <w:rPr>
          <w:rFonts w:asciiTheme="minorBidi" w:hAnsiTheme="minorBidi"/>
          <w:color w:val="000000"/>
          <w:rtl/>
        </w:rPr>
      </w:pPr>
    </w:p>
    <w:p w14:paraId="2A634111" w14:textId="6A3D220F" w:rsidR="00973C57" w:rsidRDefault="00973C57" w:rsidP="000F64D0">
      <w:pPr>
        <w:pStyle w:val="2"/>
        <w:rPr>
          <w:rtl/>
        </w:rPr>
      </w:pPr>
      <w:r w:rsidRPr="00351B7D">
        <w:rPr>
          <w:rtl/>
        </w:rPr>
        <w:t>סעיף ה: מכרה כתובתה לבעלה/לאחר.</w:t>
      </w:r>
    </w:p>
    <w:p w14:paraId="46509A67" w14:textId="65BAA142" w:rsidR="00ED63F8" w:rsidRPr="00ED63F8" w:rsidRDefault="00ED63F8" w:rsidP="00ED63F8">
      <w:pPr>
        <w:rPr>
          <w:rtl/>
        </w:rPr>
      </w:pPr>
      <w:r>
        <w:rPr>
          <w:rFonts w:hint="cs"/>
          <w:rtl/>
        </w:rPr>
        <w:t>עיין במקורות בסעיף ג.</w:t>
      </w:r>
    </w:p>
    <w:p w14:paraId="43C923C0" w14:textId="77777777" w:rsidR="00973C57" w:rsidRPr="00351B7D" w:rsidRDefault="00973C57" w:rsidP="00973C5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66D5372" w14:textId="1C3F31EC" w:rsidR="00973C57" w:rsidRPr="00351B7D" w:rsidRDefault="00973C57" w:rsidP="00973C57">
      <w:pPr>
        <w:rPr>
          <w:rFonts w:asciiTheme="minorBidi" w:hAnsiTheme="minorBidi"/>
          <w:rtl/>
        </w:rPr>
      </w:pPr>
      <w:r w:rsidRPr="00351B7D">
        <w:rPr>
          <w:rFonts w:asciiTheme="minorBidi" w:hAnsiTheme="minorBidi"/>
          <w:rtl/>
        </w:rPr>
        <w:t>אם מכרה כתובתה לבעלה</w:t>
      </w:r>
      <w:r w:rsidRPr="00351B7D">
        <w:rPr>
          <w:rStyle w:val="a7"/>
          <w:rFonts w:asciiTheme="minorBidi" w:hAnsiTheme="minorBidi"/>
          <w:color w:val="000000"/>
          <w:rtl/>
        </w:rPr>
        <w:footnoteReference w:id="57"/>
      </w:r>
      <w:r w:rsidRPr="00351B7D">
        <w:rPr>
          <w:rFonts w:asciiTheme="minorBidi" w:hAnsiTheme="minorBidi"/>
          <w:rtl/>
        </w:rPr>
        <w:t xml:space="preserve"> צריך לכתוב לה כתובה אחרת</w:t>
      </w:r>
      <w:r w:rsidR="00ED63F8">
        <w:rPr>
          <w:rFonts w:asciiTheme="minorBidi" w:hAnsiTheme="minorBidi" w:hint="cs"/>
          <w:rtl/>
        </w:rPr>
        <w:t>.</w:t>
      </w:r>
      <w:r w:rsidRPr="00351B7D">
        <w:rPr>
          <w:rFonts w:asciiTheme="minorBidi" w:hAnsiTheme="minorBidi"/>
          <w:rtl/>
        </w:rPr>
        <w:t xml:space="preserve"> אבל אם מכרה כתובתה לאחר</w:t>
      </w:r>
      <w:r w:rsidRPr="00351B7D">
        <w:rPr>
          <w:rStyle w:val="a7"/>
          <w:rFonts w:asciiTheme="minorBidi" w:hAnsiTheme="minorBidi"/>
          <w:color w:val="000000"/>
          <w:rtl/>
        </w:rPr>
        <w:footnoteReference w:id="58"/>
      </w:r>
      <w:r w:rsidRPr="00351B7D">
        <w:rPr>
          <w:rFonts w:asciiTheme="minorBidi" w:hAnsiTheme="minorBidi"/>
          <w:rtl/>
        </w:rPr>
        <w:t xml:space="preserve"> אין צריך לכתוב לה כתובה אחרת. </w:t>
      </w:r>
    </w:p>
    <w:p w14:paraId="7B26F5F5" w14:textId="77777777" w:rsidR="00973C57" w:rsidRPr="00351B7D" w:rsidRDefault="00973C57" w:rsidP="00973C57">
      <w:pPr>
        <w:rPr>
          <w:rFonts w:asciiTheme="minorBidi" w:hAnsiTheme="minorBidi"/>
          <w:rtl/>
        </w:rPr>
      </w:pPr>
    </w:p>
    <w:p w14:paraId="20B6A507" w14:textId="77777777" w:rsidR="00973C57" w:rsidRPr="00351B7D" w:rsidRDefault="00973C57" w:rsidP="000F64D0">
      <w:pPr>
        <w:pStyle w:val="2"/>
        <w:rPr>
          <w:rtl/>
        </w:rPr>
      </w:pPr>
      <w:r w:rsidRPr="00351B7D">
        <w:rPr>
          <w:rtl/>
        </w:rPr>
        <w:t>סעיף ו: מקור דין כתובה ושיעורה.</w:t>
      </w:r>
    </w:p>
    <w:p w14:paraId="19E5BC1C" w14:textId="65D7548E" w:rsidR="00973C57" w:rsidRPr="00351B7D" w:rsidRDefault="00973C57" w:rsidP="00973C57">
      <w:pPr>
        <w:rPr>
          <w:rFonts w:asciiTheme="minorBidi" w:hAnsiTheme="minorBidi"/>
          <w:rtl/>
        </w:rPr>
      </w:pPr>
      <w:r w:rsidRPr="00351B7D">
        <w:rPr>
          <w:rFonts w:asciiTheme="minorBidi" w:hAnsiTheme="minorBidi"/>
          <w:b/>
          <w:bCs/>
          <w:rtl/>
        </w:rPr>
        <w:t xml:space="preserve">כתובות </w:t>
      </w:r>
      <w:r w:rsidR="007E1AF6">
        <w:rPr>
          <w:rFonts w:asciiTheme="minorBidi" w:hAnsiTheme="minorBidi" w:hint="cs"/>
          <w:b/>
          <w:bCs/>
          <w:sz w:val="16"/>
          <w:szCs w:val="16"/>
          <w:rtl/>
        </w:rPr>
        <w:t xml:space="preserve">(פ' נערה שנתפתתה) </w:t>
      </w:r>
      <w:r w:rsidRPr="00351B7D">
        <w:rPr>
          <w:rFonts w:asciiTheme="minorBidi" w:hAnsiTheme="minorBidi"/>
          <w:b/>
          <w:bCs/>
          <w:rtl/>
        </w:rPr>
        <w:t xml:space="preserve">נא ע"א: </w:t>
      </w:r>
      <w:r w:rsidRPr="00351B7D">
        <w:rPr>
          <w:rFonts w:asciiTheme="minorBidi" w:hAnsiTheme="minorBidi"/>
          <w:u w:val="double"/>
          <w:rtl/>
        </w:rPr>
        <w:t>מתני':</w:t>
      </w:r>
      <w:r w:rsidRPr="00351B7D">
        <w:rPr>
          <w:rFonts w:asciiTheme="minorBidi" w:hAnsiTheme="minorBidi"/>
          <w:rtl/>
        </w:rPr>
        <w:t xml:space="preserve"> לא כתב לה כתובה</w:t>
      </w:r>
      <w:r w:rsidR="00BB2E8F">
        <w:rPr>
          <w:rFonts w:asciiTheme="minorBidi" w:hAnsiTheme="minorBidi" w:hint="cs"/>
          <w:rtl/>
        </w:rPr>
        <w:t xml:space="preserve"> </w:t>
      </w:r>
      <w:r w:rsidRPr="00351B7D">
        <w:rPr>
          <w:rFonts w:asciiTheme="minorBidi" w:hAnsiTheme="minorBidi"/>
          <w:rtl/>
        </w:rPr>
        <w:t>- בתולה גובה מאתים ואלמנה מנה, מפני שהוא תנאי בית דין...</w:t>
      </w:r>
    </w:p>
    <w:p w14:paraId="1D6E4B5A" w14:textId="155A4082" w:rsidR="00973C57" w:rsidRPr="00351B7D" w:rsidRDefault="00973C57" w:rsidP="00973C57">
      <w:pPr>
        <w:rPr>
          <w:rFonts w:asciiTheme="minorBidi" w:hAnsiTheme="minorBidi"/>
          <w:rtl/>
        </w:rPr>
      </w:pPr>
      <w:r w:rsidRPr="00351B7D">
        <w:rPr>
          <w:rFonts w:asciiTheme="minorBidi" w:hAnsiTheme="minorBidi"/>
          <w:b/>
          <w:bCs/>
          <w:rtl/>
        </w:rPr>
        <w:t xml:space="preserve">כתובות </w:t>
      </w:r>
      <w:r w:rsidR="00106503">
        <w:rPr>
          <w:rFonts w:asciiTheme="minorBidi" w:hAnsiTheme="minorBidi" w:hint="cs"/>
          <w:b/>
          <w:bCs/>
          <w:sz w:val="16"/>
          <w:szCs w:val="16"/>
          <w:rtl/>
        </w:rPr>
        <w:t xml:space="preserve">(פ"ק) </w:t>
      </w:r>
      <w:r w:rsidRPr="00351B7D">
        <w:rPr>
          <w:rFonts w:asciiTheme="minorBidi" w:hAnsiTheme="minorBidi"/>
          <w:b/>
          <w:bCs/>
          <w:rtl/>
        </w:rPr>
        <w:t xml:space="preserve">י ע"א: </w:t>
      </w:r>
      <w:r w:rsidRPr="00351B7D">
        <w:rPr>
          <w:rFonts w:asciiTheme="minorBidi" w:hAnsiTheme="minorBidi"/>
          <w:u w:val="single"/>
          <w:rtl/>
        </w:rPr>
        <w:t>אמר רב נחמן אמר שמואל משום רבי שמעון בן אלעזר</w:t>
      </w:r>
      <w:r w:rsidRPr="00351B7D">
        <w:rPr>
          <w:rFonts w:asciiTheme="minorBidi" w:hAnsiTheme="minorBidi"/>
          <w:rtl/>
        </w:rPr>
        <w:t>: חכמים תקנו להם לבנות ישראל לבתולה מאתים, ולאלמנה מנה.... והתניא: כסף ישקול כמוהר הבתולות - שיהא זה כמוהר הבתולות ומוהר הבתולות כזה... מכאן סמכו חכמים לכתובת אשה מן התורה</w:t>
      </w:r>
      <w:r w:rsidR="00106503">
        <w:rPr>
          <w:rFonts w:asciiTheme="minorBidi" w:hAnsiTheme="minorBidi" w:hint="cs"/>
          <w:rtl/>
        </w:rPr>
        <w:t>.</w:t>
      </w:r>
      <w:r w:rsidRPr="00351B7D">
        <w:rPr>
          <w:rFonts w:asciiTheme="minorBidi" w:hAnsiTheme="minorBidi"/>
          <w:rtl/>
        </w:rPr>
        <w:t xml:space="preserve"> כתובת אלמנה - אינה מדברי תורה אלא מדברי סופרים, שרבן שמעון בן גמליאל אומר: כתובת אלמנה - אינה מדברי תורה אלא מדברי סופרים.</w:t>
      </w:r>
    </w:p>
    <w:p w14:paraId="2B4D729F" w14:textId="619CF95A" w:rsidR="00973C57" w:rsidRPr="00351B7D" w:rsidRDefault="00973C57" w:rsidP="00973C57">
      <w:pPr>
        <w:rPr>
          <w:rFonts w:asciiTheme="minorBidi" w:hAnsiTheme="minorBidi"/>
          <w:rtl/>
        </w:rPr>
      </w:pPr>
      <w:r w:rsidRPr="00351B7D">
        <w:rPr>
          <w:rFonts w:asciiTheme="minorBidi" w:hAnsiTheme="minorBidi"/>
          <w:b/>
          <w:bCs/>
          <w:rtl/>
        </w:rPr>
        <w:t xml:space="preserve">יבמות </w:t>
      </w:r>
      <w:r w:rsidR="00486C07">
        <w:rPr>
          <w:rFonts w:asciiTheme="minorBidi" w:hAnsiTheme="minorBidi" w:hint="cs"/>
          <w:b/>
          <w:bCs/>
          <w:sz w:val="16"/>
          <w:szCs w:val="16"/>
          <w:rtl/>
        </w:rPr>
        <w:t>(פ' האשה רבה)</w:t>
      </w:r>
      <w:r w:rsidR="00486C07">
        <w:rPr>
          <w:rFonts w:asciiTheme="minorBidi" w:hAnsiTheme="minorBidi" w:hint="cs"/>
          <w:b/>
          <w:bCs/>
          <w:rtl/>
        </w:rPr>
        <w:t xml:space="preserve"> </w:t>
      </w:r>
      <w:r w:rsidRPr="00351B7D">
        <w:rPr>
          <w:rFonts w:asciiTheme="minorBidi" w:hAnsiTheme="minorBidi"/>
          <w:b/>
          <w:bCs/>
          <w:rtl/>
        </w:rPr>
        <w:t>פט ע"א:</w:t>
      </w:r>
      <w:r w:rsidRPr="00351B7D">
        <w:rPr>
          <w:rFonts w:asciiTheme="minorBidi" w:hAnsiTheme="minorBidi"/>
          <w:rtl/>
        </w:rPr>
        <w:t xml:space="preserve"> מאי טעמא תקינו לה רבנן כתובה? כדי שלא תהא קלה בעיניו להוציאה.</w:t>
      </w:r>
    </w:p>
    <w:p w14:paraId="5532F6B5" w14:textId="3781ED2A" w:rsidR="00973C57" w:rsidRPr="00351B7D" w:rsidRDefault="00973C57" w:rsidP="00973C57">
      <w:pPr>
        <w:rPr>
          <w:rFonts w:asciiTheme="minorBidi" w:hAnsiTheme="minorBidi"/>
          <w:rtl/>
        </w:rPr>
      </w:pPr>
      <w:r w:rsidRPr="00351B7D">
        <w:rPr>
          <w:rFonts w:asciiTheme="minorBidi" w:hAnsiTheme="minorBidi"/>
          <w:b/>
          <w:bCs/>
          <w:rtl/>
        </w:rPr>
        <w:t>כתובות</w:t>
      </w:r>
      <w:r w:rsidR="00236986">
        <w:rPr>
          <w:rFonts w:asciiTheme="minorBidi" w:hAnsiTheme="minorBidi" w:hint="cs"/>
          <w:b/>
          <w:bCs/>
          <w:rtl/>
        </w:rPr>
        <w:t xml:space="preserve"> </w:t>
      </w:r>
      <w:r w:rsidR="00236986">
        <w:rPr>
          <w:rFonts w:asciiTheme="minorBidi" w:hAnsiTheme="minorBidi" w:hint="cs"/>
          <w:b/>
          <w:bCs/>
          <w:sz w:val="16"/>
          <w:szCs w:val="16"/>
          <w:rtl/>
        </w:rPr>
        <w:t>(פ' בתרא)</w:t>
      </w:r>
      <w:r w:rsidRPr="00351B7D">
        <w:rPr>
          <w:rFonts w:asciiTheme="minorBidi" w:hAnsiTheme="minorBidi"/>
          <w:b/>
          <w:bCs/>
          <w:rtl/>
        </w:rPr>
        <w:t xml:space="preserve"> קי ע"ב:</w:t>
      </w:r>
      <w:r w:rsidRPr="00351B7D">
        <w:rPr>
          <w:rFonts w:asciiTheme="minorBidi" w:hAnsiTheme="minorBidi"/>
          <w:rtl/>
        </w:rPr>
        <w:t xml:space="preserve"> </w:t>
      </w:r>
      <w:r w:rsidRPr="00351B7D">
        <w:rPr>
          <w:rFonts w:asciiTheme="minorBidi" w:hAnsiTheme="minorBidi"/>
          <w:u w:val="double"/>
          <w:rtl/>
        </w:rPr>
        <w:t>מתני'</w:t>
      </w:r>
      <w:r w:rsidR="00236986">
        <w:rPr>
          <w:rFonts w:asciiTheme="minorBidi" w:hAnsiTheme="minorBidi" w:hint="cs"/>
          <w:rtl/>
        </w:rPr>
        <w:t xml:space="preserve">: </w:t>
      </w:r>
      <w:r w:rsidRPr="00351B7D">
        <w:rPr>
          <w:rFonts w:asciiTheme="minorBidi" w:hAnsiTheme="minorBidi"/>
          <w:rtl/>
        </w:rPr>
        <w:t>הכל מעלין לארץ ישראל</w:t>
      </w:r>
      <w:r w:rsidR="00EB31A7">
        <w:rPr>
          <w:rFonts w:asciiTheme="minorBidi" w:hAnsiTheme="minorBidi" w:hint="cs"/>
          <w:rtl/>
        </w:rPr>
        <w:t>,</w:t>
      </w:r>
      <w:r w:rsidRPr="00351B7D">
        <w:rPr>
          <w:rFonts w:asciiTheme="minorBidi" w:hAnsiTheme="minorBidi"/>
          <w:rtl/>
        </w:rPr>
        <w:t xml:space="preserve"> ואין הכל מוציאין... נשא אשה בא"י וגרשה בקפוטקיא</w:t>
      </w:r>
      <w:r w:rsidR="00EB31A7">
        <w:rPr>
          <w:rFonts w:asciiTheme="minorBidi" w:hAnsiTheme="minorBidi" w:hint="cs"/>
          <w:rtl/>
        </w:rPr>
        <w:t xml:space="preserve"> </w:t>
      </w:r>
      <w:r w:rsidRPr="00351B7D">
        <w:rPr>
          <w:rFonts w:asciiTheme="minorBidi" w:hAnsiTheme="minorBidi"/>
          <w:rtl/>
        </w:rPr>
        <w:t>- נותן לה ממעות ארץ ישראל. נשא אשה בקפוטקיא וגרשה בארץ ישראל</w:t>
      </w:r>
      <w:r w:rsidR="00EB31A7">
        <w:rPr>
          <w:rFonts w:asciiTheme="minorBidi" w:hAnsiTheme="minorBidi" w:hint="cs"/>
          <w:rtl/>
        </w:rPr>
        <w:t xml:space="preserve"> </w:t>
      </w:r>
      <w:r w:rsidRPr="00351B7D">
        <w:rPr>
          <w:rFonts w:asciiTheme="minorBidi" w:hAnsiTheme="minorBidi"/>
          <w:rtl/>
        </w:rPr>
        <w:t>- נותן לה ממעות ארץ ישראל</w:t>
      </w:r>
      <w:r w:rsidR="00EB31A7">
        <w:rPr>
          <w:rFonts w:asciiTheme="minorBidi" w:hAnsiTheme="minorBidi" w:hint="cs"/>
          <w:rtl/>
        </w:rPr>
        <w:t>.</w:t>
      </w:r>
      <w:r w:rsidRPr="00351B7D">
        <w:rPr>
          <w:rFonts w:asciiTheme="minorBidi" w:hAnsiTheme="minorBidi"/>
          <w:rtl/>
        </w:rPr>
        <w:t xml:space="preserve"> </w:t>
      </w:r>
      <w:r w:rsidRPr="00EB31A7">
        <w:rPr>
          <w:rFonts w:asciiTheme="minorBidi" w:hAnsiTheme="minorBidi"/>
          <w:u w:val="single"/>
          <w:rtl/>
        </w:rPr>
        <w:t>רבן שמעון בן גמליאל אומר</w:t>
      </w:r>
      <w:r w:rsidR="00EB31A7">
        <w:rPr>
          <w:rFonts w:asciiTheme="minorBidi" w:hAnsiTheme="minorBidi" w:hint="cs"/>
          <w:rtl/>
        </w:rPr>
        <w:t>:</w:t>
      </w:r>
      <w:r w:rsidRPr="00351B7D">
        <w:rPr>
          <w:rFonts w:asciiTheme="minorBidi" w:hAnsiTheme="minorBidi"/>
          <w:rtl/>
        </w:rPr>
        <w:t xml:space="preserve"> נותן לה ממעות קפוטקיא. </w:t>
      </w:r>
      <w:r w:rsidR="00EB31A7">
        <w:rPr>
          <w:rFonts w:asciiTheme="minorBidi" w:hAnsiTheme="minorBidi" w:hint="cs"/>
          <w:rtl/>
        </w:rPr>
        <w:t xml:space="preserve">   </w:t>
      </w:r>
      <w:r w:rsidR="00AA63AA">
        <w:rPr>
          <w:rFonts w:asciiTheme="minorBidi" w:hAnsiTheme="minorBidi" w:hint="cs"/>
          <w:rtl/>
        </w:rPr>
        <w:t xml:space="preserve"> </w:t>
      </w:r>
      <w:r w:rsidRPr="00351B7D">
        <w:rPr>
          <w:rFonts w:asciiTheme="minorBidi" w:hAnsiTheme="minorBidi"/>
          <w:rtl/>
        </w:rPr>
        <w:t xml:space="preserve"> </w:t>
      </w:r>
      <w:r w:rsidRPr="00351B7D">
        <w:rPr>
          <w:rFonts w:asciiTheme="minorBidi" w:hAnsiTheme="minorBidi"/>
          <w:u w:val="double"/>
          <w:rtl/>
        </w:rPr>
        <w:t>גמ'</w:t>
      </w:r>
      <w:r w:rsidR="00236986">
        <w:rPr>
          <w:rFonts w:asciiTheme="minorBidi" w:hAnsiTheme="minorBidi" w:hint="cs"/>
          <w:rtl/>
        </w:rPr>
        <w:t>:</w:t>
      </w:r>
      <w:r w:rsidRPr="00351B7D">
        <w:rPr>
          <w:rFonts w:asciiTheme="minorBidi" w:hAnsiTheme="minorBidi"/>
          <w:rtl/>
        </w:rPr>
        <w:t xml:space="preserve"> רבן שמעון בן גמליאל אומר נותן לה ממעות קפוטקיא. קסבר כתובה דאורייתא.</w:t>
      </w:r>
    </w:p>
    <w:p w14:paraId="1F2F5965" w14:textId="77777777" w:rsidR="00973C57" w:rsidRPr="00351B7D" w:rsidRDefault="00973C57" w:rsidP="00973C57">
      <w:pPr>
        <w:rPr>
          <w:rFonts w:asciiTheme="minorBidi" w:hAnsiTheme="minorBidi"/>
          <w:u w:val="single"/>
          <w:rtl/>
        </w:rPr>
      </w:pPr>
      <w:r w:rsidRPr="00351B7D">
        <w:rPr>
          <w:rFonts w:asciiTheme="minorBidi" w:hAnsiTheme="minorBidi"/>
          <w:u w:val="single"/>
          <w:rtl/>
        </w:rPr>
        <w:t>כתובת בתולה</w:t>
      </w:r>
      <w:r w:rsidRPr="00351B7D">
        <w:rPr>
          <w:rStyle w:val="a7"/>
          <w:rFonts w:asciiTheme="minorBidi" w:hAnsiTheme="minorBidi"/>
          <w:u w:val="single"/>
          <w:rtl/>
        </w:rPr>
        <w:footnoteReference w:id="59"/>
      </w:r>
      <w:r w:rsidRPr="00351B7D">
        <w:rPr>
          <w:rFonts w:asciiTheme="minorBidi" w:hAnsiTheme="minorBidi"/>
          <w:u w:val="single"/>
          <w:rtl/>
        </w:rPr>
        <w:t>- מדאורייתא או מדרבנן:</w:t>
      </w:r>
    </w:p>
    <w:p w14:paraId="768530C9" w14:textId="7236D6DF" w:rsidR="00973C57" w:rsidRPr="00351B7D" w:rsidRDefault="00446093" w:rsidP="009000E3">
      <w:pPr>
        <w:pStyle w:val="ab"/>
        <w:numPr>
          <w:ilvl w:val="0"/>
          <w:numId w:val="17"/>
        </w:numPr>
        <w:rPr>
          <w:rFonts w:asciiTheme="minorBidi" w:hAnsiTheme="minorBidi"/>
          <w:rtl/>
        </w:rPr>
      </w:pPr>
      <w:r w:rsidRPr="00351B7D">
        <w:rPr>
          <w:rFonts w:asciiTheme="minorBidi" w:hAnsiTheme="minorBidi"/>
          <w:rtl/>
        </w:rPr>
        <w:t>ר"ת</w:t>
      </w:r>
      <w:r w:rsidR="00A338DD">
        <w:rPr>
          <w:rStyle w:val="a7"/>
          <w:rFonts w:asciiTheme="minorBidi" w:hAnsiTheme="minorBidi"/>
          <w:rtl/>
        </w:rPr>
        <w:footnoteReference w:id="60"/>
      </w:r>
      <w:r w:rsidRPr="00351B7D">
        <w:rPr>
          <w:rFonts w:asciiTheme="minorBidi" w:hAnsiTheme="minorBidi"/>
          <w:rtl/>
        </w:rPr>
        <w:t xml:space="preserve"> </w:t>
      </w:r>
      <w:r w:rsidRPr="00351B7D">
        <w:rPr>
          <w:rFonts w:asciiTheme="minorBidi" w:hAnsiTheme="minorBidi"/>
          <w:sz w:val="16"/>
          <w:szCs w:val="16"/>
          <w:rtl/>
        </w:rPr>
        <w:t>(</w:t>
      </w:r>
      <w:r>
        <w:rPr>
          <w:rFonts w:asciiTheme="minorBidi" w:hAnsiTheme="minorBidi" w:hint="cs"/>
          <w:sz w:val="16"/>
          <w:szCs w:val="16"/>
          <w:rtl/>
        </w:rPr>
        <w:t>ב</w:t>
      </w:r>
      <w:r w:rsidRPr="00351B7D">
        <w:rPr>
          <w:rFonts w:asciiTheme="minorBidi" w:hAnsiTheme="minorBidi"/>
          <w:sz w:val="16"/>
          <w:szCs w:val="16"/>
          <w:rtl/>
        </w:rPr>
        <w:t xml:space="preserve">תוס' כתובות י. ד"ה אמר) </w:t>
      </w:r>
      <w:r w:rsidRPr="00351B7D">
        <w:rPr>
          <w:rFonts w:asciiTheme="minorBidi" w:hAnsiTheme="minorBidi"/>
          <w:rtl/>
        </w:rPr>
        <w:t>ר"י</w:t>
      </w:r>
      <w:r w:rsidRPr="00351B7D">
        <w:rPr>
          <w:rFonts w:asciiTheme="minorBidi" w:hAnsiTheme="minorBidi"/>
          <w:sz w:val="16"/>
          <w:szCs w:val="16"/>
          <w:rtl/>
        </w:rPr>
        <w:t xml:space="preserve"> (</w:t>
      </w:r>
      <w:r>
        <w:rPr>
          <w:rFonts w:asciiTheme="minorBidi" w:hAnsiTheme="minorBidi" w:hint="cs"/>
          <w:sz w:val="16"/>
          <w:szCs w:val="16"/>
          <w:rtl/>
        </w:rPr>
        <w:t>ב</w:t>
      </w:r>
      <w:r w:rsidRPr="00351B7D">
        <w:rPr>
          <w:rFonts w:asciiTheme="minorBidi" w:hAnsiTheme="minorBidi"/>
          <w:sz w:val="16"/>
          <w:szCs w:val="16"/>
          <w:rtl/>
        </w:rPr>
        <w:t>תוס' יבמות פט. ד"ה מאי)</w:t>
      </w:r>
      <w:r w:rsidRPr="00351B7D">
        <w:rPr>
          <w:rFonts w:asciiTheme="minorBidi" w:hAnsiTheme="minorBidi"/>
          <w:rtl/>
        </w:rPr>
        <w:t xml:space="preserve"> ומהר"ם</w:t>
      </w:r>
      <w:r w:rsidRPr="00351B7D">
        <w:rPr>
          <w:rFonts w:asciiTheme="minorBidi" w:hAnsiTheme="minorBidi"/>
          <w:sz w:val="16"/>
          <w:szCs w:val="16"/>
          <w:rtl/>
        </w:rPr>
        <w:t xml:space="preserve"> (</w:t>
      </w:r>
      <w:r>
        <w:rPr>
          <w:rFonts w:asciiTheme="minorBidi" w:hAnsiTheme="minorBidi" w:hint="cs"/>
          <w:sz w:val="16"/>
          <w:szCs w:val="16"/>
          <w:rtl/>
        </w:rPr>
        <w:t xml:space="preserve">כ"כ בשמו </w:t>
      </w:r>
      <w:r w:rsidRPr="00351B7D">
        <w:rPr>
          <w:rFonts w:asciiTheme="minorBidi" w:hAnsiTheme="minorBidi"/>
          <w:sz w:val="16"/>
          <w:szCs w:val="16"/>
          <w:rtl/>
        </w:rPr>
        <w:t>הגה"מ [פ"י מה"א אות ה])</w:t>
      </w:r>
      <w:r w:rsidR="00973C57" w:rsidRPr="00351B7D">
        <w:rPr>
          <w:rFonts w:asciiTheme="minorBidi" w:hAnsiTheme="minorBidi"/>
          <w:rtl/>
        </w:rPr>
        <w:t>- מדאורייתא</w:t>
      </w:r>
      <w:r w:rsidR="00973C57" w:rsidRPr="00351B7D">
        <w:rPr>
          <w:rStyle w:val="a7"/>
          <w:rFonts w:asciiTheme="minorBidi" w:hAnsiTheme="minorBidi"/>
          <w:rtl/>
        </w:rPr>
        <w:footnoteReference w:id="61"/>
      </w:r>
      <w:r w:rsidR="00973C57" w:rsidRPr="00351B7D">
        <w:rPr>
          <w:rFonts w:asciiTheme="minorBidi" w:hAnsiTheme="minorBidi"/>
          <w:rtl/>
        </w:rPr>
        <w:t>.</w:t>
      </w:r>
    </w:p>
    <w:p w14:paraId="6EAD7897" w14:textId="7119935E" w:rsidR="00973C57" w:rsidRPr="00351B7D" w:rsidRDefault="00973C57" w:rsidP="009000E3">
      <w:pPr>
        <w:pStyle w:val="ab"/>
        <w:numPr>
          <w:ilvl w:val="0"/>
          <w:numId w:val="17"/>
        </w:numPr>
        <w:rPr>
          <w:rFonts w:asciiTheme="minorBidi" w:hAnsiTheme="minorBidi"/>
        </w:rPr>
      </w:pPr>
      <w:r w:rsidRPr="00351B7D">
        <w:rPr>
          <w:rFonts w:asciiTheme="minorBidi" w:hAnsiTheme="minorBidi"/>
          <w:rtl/>
        </w:rPr>
        <w:t>גאונים ר"ח</w:t>
      </w:r>
      <w:r w:rsidRPr="00351B7D">
        <w:rPr>
          <w:rStyle w:val="a7"/>
          <w:rFonts w:asciiTheme="minorBidi" w:hAnsiTheme="minorBidi"/>
          <w:rtl/>
        </w:rPr>
        <w:footnoteReference w:id="62"/>
      </w:r>
      <w:r w:rsidRPr="00351B7D">
        <w:rPr>
          <w:rFonts w:asciiTheme="minorBidi" w:hAnsiTheme="minorBidi"/>
          <w:rtl/>
        </w:rPr>
        <w:t xml:space="preserve"> רי"ף רמב"ם רמב"ן</w:t>
      </w:r>
      <w:r w:rsidR="007231D7">
        <w:rPr>
          <w:rStyle w:val="a7"/>
          <w:rFonts w:asciiTheme="minorBidi" w:hAnsiTheme="minorBidi"/>
          <w:rtl/>
        </w:rPr>
        <w:footnoteReference w:id="63"/>
      </w:r>
      <w:r w:rsidRPr="00351B7D">
        <w:rPr>
          <w:rFonts w:asciiTheme="minorBidi" w:hAnsiTheme="minorBidi"/>
          <w:rtl/>
        </w:rPr>
        <w:t xml:space="preserve"> רא"ש ור"ן</w:t>
      </w:r>
      <w:r w:rsidRPr="00351B7D">
        <w:rPr>
          <w:rStyle w:val="a7"/>
          <w:rFonts w:asciiTheme="minorBidi" w:hAnsiTheme="minorBidi"/>
          <w:rtl/>
        </w:rPr>
        <w:footnoteReference w:id="64"/>
      </w:r>
      <w:r w:rsidRPr="00351B7D">
        <w:rPr>
          <w:rFonts w:asciiTheme="minorBidi" w:hAnsiTheme="minorBidi"/>
          <w:rtl/>
        </w:rPr>
        <w:t xml:space="preserve">- תקנת חכמים. </w:t>
      </w:r>
      <w:r w:rsidRPr="00351B7D">
        <w:rPr>
          <w:rFonts w:asciiTheme="minorBidi" w:hAnsiTheme="minorBidi"/>
          <w:color w:val="E36C0A" w:themeColor="accent6" w:themeShade="BF"/>
          <w:rtl/>
        </w:rPr>
        <w:t>(וכ"פ בשו"ע)</w:t>
      </w:r>
      <w:r w:rsidRPr="00351B7D">
        <w:rPr>
          <w:rFonts w:asciiTheme="minorBidi" w:hAnsiTheme="minorBidi"/>
          <w:rtl/>
        </w:rPr>
        <w:t xml:space="preserve"> (וכ"פ בדרכמ</w:t>
      </w:r>
      <w:r w:rsidR="00581D3D">
        <w:rPr>
          <w:rFonts w:asciiTheme="minorBidi" w:hAnsiTheme="minorBidi" w:hint="cs"/>
          <w:rtl/>
        </w:rPr>
        <w:t>"א</w:t>
      </w:r>
      <w:r w:rsidRPr="00351B7D">
        <w:rPr>
          <w:rFonts w:asciiTheme="minorBidi" w:hAnsiTheme="minorBidi"/>
          <w:sz w:val="16"/>
          <w:szCs w:val="16"/>
          <w:rtl/>
        </w:rPr>
        <w:t xml:space="preserve"> [אות ו</w:t>
      </w:r>
      <w:r w:rsidRPr="00351B7D">
        <w:rPr>
          <w:rFonts w:asciiTheme="minorBidi" w:hAnsiTheme="minorBidi"/>
          <w:sz w:val="14"/>
          <w:szCs w:val="14"/>
          <w:rtl/>
        </w:rPr>
        <w:t>(ב)</w:t>
      </w:r>
      <w:r w:rsidRPr="00351B7D">
        <w:rPr>
          <w:rFonts w:asciiTheme="minorBidi" w:hAnsiTheme="minorBidi"/>
          <w:sz w:val="16"/>
          <w:szCs w:val="16"/>
          <w:rtl/>
        </w:rPr>
        <w:t>]</w:t>
      </w:r>
      <w:r w:rsidRPr="00351B7D">
        <w:rPr>
          <w:rFonts w:asciiTheme="minorBidi" w:hAnsiTheme="minorBidi"/>
          <w:rtl/>
        </w:rPr>
        <w:t>)</w:t>
      </w:r>
    </w:p>
    <w:p w14:paraId="0FF83683" w14:textId="28D9AC29" w:rsidR="00973C57" w:rsidRPr="00351B7D" w:rsidRDefault="00973C57" w:rsidP="00973C57">
      <w:pPr>
        <w:ind w:left="360"/>
        <w:rPr>
          <w:rFonts w:asciiTheme="minorBidi" w:hAnsiTheme="minorBidi"/>
          <w:u w:val="dotted"/>
        </w:rPr>
      </w:pPr>
      <w:r w:rsidRPr="00351B7D">
        <w:rPr>
          <w:rFonts w:asciiTheme="minorBidi" w:hAnsiTheme="minorBidi"/>
          <w:u w:val="dotted"/>
          <w:rtl/>
        </w:rPr>
        <w:lastRenderedPageBreak/>
        <w:t xml:space="preserve">באיזה כסף </w:t>
      </w:r>
      <w:r w:rsidR="005437AF">
        <w:rPr>
          <w:rFonts w:asciiTheme="minorBidi" w:hAnsiTheme="minorBidi" w:hint="cs"/>
          <w:u w:val="dotted"/>
          <w:rtl/>
        </w:rPr>
        <w:t>מחשבים</w:t>
      </w:r>
      <w:r w:rsidRPr="00351B7D">
        <w:rPr>
          <w:rFonts w:asciiTheme="minorBidi" w:hAnsiTheme="minorBidi"/>
          <w:u w:val="dotted"/>
          <w:rtl/>
        </w:rPr>
        <w:t xml:space="preserve"> </w:t>
      </w:r>
      <w:r w:rsidR="005437AF">
        <w:rPr>
          <w:rFonts w:asciiTheme="minorBidi" w:hAnsiTheme="minorBidi" w:hint="cs"/>
          <w:u w:val="dotted"/>
          <w:rtl/>
        </w:rPr>
        <w:t>את</w:t>
      </w:r>
      <w:r w:rsidRPr="00351B7D">
        <w:rPr>
          <w:rFonts w:asciiTheme="minorBidi" w:hAnsiTheme="minorBidi"/>
          <w:u w:val="dotted"/>
          <w:rtl/>
        </w:rPr>
        <w:t xml:space="preserve"> סכום </w:t>
      </w:r>
      <w:r w:rsidR="005437AF">
        <w:rPr>
          <w:rFonts w:asciiTheme="minorBidi" w:hAnsiTheme="minorBidi" w:hint="cs"/>
          <w:u w:val="dotted"/>
          <w:rtl/>
        </w:rPr>
        <w:t>ה</w:t>
      </w:r>
      <w:r w:rsidRPr="00351B7D">
        <w:rPr>
          <w:rFonts w:asciiTheme="minorBidi" w:hAnsiTheme="minorBidi"/>
          <w:u w:val="dotted"/>
          <w:rtl/>
        </w:rPr>
        <w:t xml:space="preserve">כתובה </w:t>
      </w:r>
      <w:r w:rsidRPr="00351B7D">
        <w:rPr>
          <w:rFonts w:asciiTheme="minorBidi" w:hAnsiTheme="minorBidi"/>
          <w:sz w:val="16"/>
          <w:szCs w:val="16"/>
          <w:u w:val="dotted"/>
          <w:rtl/>
        </w:rPr>
        <w:t>(כסף צורי או כסף מדינה)</w:t>
      </w:r>
      <w:r w:rsidRPr="00351B7D">
        <w:rPr>
          <w:rFonts w:asciiTheme="minorBidi" w:hAnsiTheme="minorBidi"/>
          <w:u w:val="dotted"/>
          <w:rtl/>
        </w:rPr>
        <w:t>:</w:t>
      </w:r>
    </w:p>
    <w:p w14:paraId="40500A98" w14:textId="2DE45DD9" w:rsidR="00973C57" w:rsidRPr="00351B7D" w:rsidRDefault="00973C57" w:rsidP="009000E3">
      <w:pPr>
        <w:pStyle w:val="ab"/>
        <w:numPr>
          <w:ilvl w:val="0"/>
          <w:numId w:val="17"/>
        </w:numPr>
        <w:rPr>
          <w:rFonts w:asciiTheme="minorBidi" w:hAnsiTheme="minorBidi"/>
        </w:rPr>
      </w:pPr>
      <w:r w:rsidRPr="00351B7D">
        <w:rPr>
          <w:rFonts w:asciiTheme="minorBidi" w:hAnsiTheme="minorBidi"/>
          <w:rtl/>
        </w:rPr>
        <w:t>רמב"ם</w:t>
      </w:r>
      <w:r w:rsidR="008A1E90">
        <w:rPr>
          <w:rStyle w:val="a7"/>
          <w:rFonts w:asciiTheme="minorBidi" w:hAnsiTheme="minorBidi"/>
          <w:rtl/>
        </w:rPr>
        <w:footnoteReference w:id="65"/>
      </w:r>
      <w:r w:rsidRPr="00351B7D">
        <w:rPr>
          <w:rFonts w:asciiTheme="minorBidi" w:hAnsiTheme="minorBidi"/>
          <w:rtl/>
        </w:rPr>
        <w:t xml:space="preserve"> </w:t>
      </w:r>
      <w:r w:rsidRPr="00351B7D">
        <w:rPr>
          <w:rFonts w:asciiTheme="minorBidi" w:hAnsiTheme="minorBidi"/>
          <w:sz w:val="16"/>
          <w:szCs w:val="16"/>
          <w:rtl/>
        </w:rPr>
        <w:t>(פ"י מה"א ה"ח)</w:t>
      </w:r>
      <w:r w:rsidRPr="00351B7D">
        <w:rPr>
          <w:rFonts w:asciiTheme="minorBidi" w:hAnsiTheme="minorBidi"/>
          <w:rtl/>
        </w:rPr>
        <w:t xml:space="preserve"> ורמב"ן</w:t>
      </w:r>
      <w:r w:rsidRPr="00351B7D">
        <w:rPr>
          <w:rFonts w:asciiTheme="minorBidi" w:hAnsiTheme="minorBidi"/>
          <w:sz w:val="16"/>
          <w:szCs w:val="16"/>
          <w:rtl/>
        </w:rPr>
        <w:t xml:space="preserve"> (כתובות קי: ד"ה נשא)</w:t>
      </w:r>
      <w:r w:rsidRPr="00351B7D">
        <w:rPr>
          <w:rFonts w:asciiTheme="minorBidi" w:hAnsiTheme="minorBidi"/>
          <w:rtl/>
        </w:rPr>
        <w:t xml:space="preserve">- מכסף מדינה </w:t>
      </w:r>
      <w:r w:rsidRPr="00351B7D">
        <w:rPr>
          <w:rFonts w:asciiTheme="minorBidi" w:hAnsiTheme="minorBidi"/>
          <w:sz w:val="16"/>
          <w:szCs w:val="16"/>
          <w:rtl/>
        </w:rPr>
        <w:t>(שהוא שבעה חלקים נחושת ואחד כסף</w:t>
      </w:r>
      <w:r w:rsidRPr="00CA1A65">
        <w:rPr>
          <w:rStyle w:val="a7"/>
          <w:rFonts w:asciiTheme="minorBidi" w:hAnsiTheme="minorBidi"/>
          <w:sz w:val="16"/>
          <w:szCs w:val="16"/>
          <w:rtl/>
        </w:rPr>
        <w:footnoteReference w:id="66"/>
      </w:r>
      <w:r w:rsidRPr="00351B7D">
        <w:rPr>
          <w:rFonts w:asciiTheme="minorBidi" w:hAnsiTheme="minorBidi"/>
          <w:sz w:val="16"/>
          <w:szCs w:val="16"/>
          <w:rtl/>
        </w:rPr>
        <w:t>)</w:t>
      </w:r>
      <w:r w:rsidRPr="00351B7D">
        <w:rPr>
          <w:rFonts w:asciiTheme="minorBidi" w:hAnsiTheme="minorBidi"/>
          <w:rtl/>
        </w:rPr>
        <w:t xml:space="preserve">. </w:t>
      </w:r>
      <w:r w:rsidRPr="00351B7D">
        <w:rPr>
          <w:rFonts w:asciiTheme="minorBidi" w:hAnsiTheme="minorBidi"/>
          <w:color w:val="E36C0A" w:themeColor="accent6" w:themeShade="BF"/>
          <w:rtl/>
        </w:rPr>
        <w:t>(וכ"פ בשו"ע)</w:t>
      </w:r>
    </w:p>
    <w:p w14:paraId="59B33C3D" w14:textId="7A42EF8D" w:rsidR="00973C57" w:rsidRPr="00351B7D" w:rsidRDefault="00166C02" w:rsidP="009000E3">
      <w:pPr>
        <w:pStyle w:val="ab"/>
        <w:numPr>
          <w:ilvl w:val="0"/>
          <w:numId w:val="17"/>
        </w:numPr>
        <w:rPr>
          <w:rFonts w:asciiTheme="minorBidi" w:hAnsiTheme="minorBidi"/>
        </w:rPr>
      </w:pPr>
      <w:r w:rsidRPr="00351B7D">
        <w:rPr>
          <w:rFonts w:asciiTheme="minorBidi" w:hAnsiTheme="minorBidi"/>
          <w:rtl/>
        </w:rPr>
        <w:t xml:space="preserve">ר"י </w:t>
      </w:r>
      <w:r w:rsidRPr="00351B7D">
        <w:rPr>
          <w:rFonts w:asciiTheme="minorBidi" w:hAnsiTheme="minorBidi"/>
          <w:sz w:val="16"/>
          <w:szCs w:val="16"/>
          <w:rtl/>
        </w:rPr>
        <w:t xml:space="preserve">(הובא בתוס') </w:t>
      </w:r>
      <w:r w:rsidRPr="00351B7D">
        <w:rPr>
          <w:rFonts w:asciiTheme="minorBidi" w:hAnsiTheme="minorBidi"/>
          <w:rtl/>
        </w:rPr>
        <w:t>תוס'</w:t>
      </w:r>
      <w:r w:rsidRPr="00351B7D">
        <w:rPr>
          <w:rFonts w:asciiTheme="minorBidi" w:hAnsiTheme="minorBidi"/>
          <w:sz w:val="16"/>
          <w:szCs w:val="16"/>
          <w:rtl/>
        </w:rPr>
        <w:t xml:space="preserve"> (ב"ק לו: ד"ה ושל דבריהם, ובבכורות נא. דיבור ראשון)</w:t>
      </w:r>
      <w:r w:rsidRPr="00351B7D">
        <w:rPr>
          <w:rFonts w:asciiTheme="minorBidi" w:hAnsiTheme="minorBidi"/>
          <w:rtl/>
        </w:rPr>
        <w:t xml:space="preserve"> והגמ"ר</w:t>
      </w:r>
      <w:r w:rsidRPr="00351B7D">
        <w:rPr>
          <w:rFonts w:asciiTheme="minorBidi" w:hAnsiTheme="minorBidi"/>
          <w:sz w:val="16"/>
          <w:szCs w:val="16"/>
          <w:rtl/>
        </w:rPr>
        <w:t xml:space="preserve"> (כתובות סי' שיב וסי' קלו)</w:t>
      </w:r>
      <w:r w:rsidR="00973C57" w:rsidRPr="00351B7D">
        <w:rPr>
          <w:rFonts w:asciiTheme="minorBidi" w:hAnsiTheme="minorBidi"/>
          <w:rtl/>
        </w:rPr>
        <w:t>- מאתים זוז של צורי, בין למ"ד כתובת אשה דרבנן ובין למ"ד דאורייתא</w:t>
      </w:r>
      <w:r w:rsidR="00973C57" w:rsidRPr="00351B7D">
        <w:rPr>
          <w:rStyle w:val="a7"/>
          <w:rFonts w:asciiTheme="minorBidi" w:hAnsiTheme="minorBidi"/>
          <w:rtl/>
        </w:rPr>
        <w:footnoteReference w:id="67"/>
      </w:r>
      <w:r>
        <w:rPr>
          <w:rFonts w:asciiTheme="minorBidi" w:hAnsiTheme="minorBidi" w:hint="cs"/>
          <w:rtl/>
        </w:rPr>
        <w:t>.</w:t>
      </w:r>
      <w:r w:rsidR="00973C57" w:rsidRPr="00351B7D">
        <w:rPr>
          <w:rFonts w:asciiTheme="minorBidi" w:hAnsiTheme="minorBidi"/>
          <w:rtl/>
        </w:rPr>
        <w:t xml:space="preserve"> ואפילו כתובת אלמנה שהיא דרבנן לכו"ע</w:t>
      </w:r>
      <w:r>
        <w:rPr>
          <w:rFonts w:asciiTheme="minorBidi" w:hAnsiTheme="minorBidi" w:hint="cs"/>
          <w:rtl/>
        </w:rPr>
        <w:t xml:space="preserve"> -</w:t>
      </w:r>
      <w:r w:rsidR="00973C57" w:rsidRPr="00351B7D">
        <w:rPr>
          <w:rFonts w:asciiTheme="minorBidi" w:hAnsiTheme="minorBidi"/>
          <w:rtl/>
        </w:rPr>
        <w:t xml:space="preserve"> הוי מנה צורי</w:t>
      </w:r>
      <w:r>
        <w:rPr>
          <w:rStyle w:val="a7"/>
          <w:rFonts w:asciiTheme="minorBidi" w:hAnsiTheme="minorBidi"/>
          <w:rtl/>
        </w:rPr>
        <w:footnoteReference w:id="68"/>
      </w:r>
      <w:r w:rsidR="00973C57" w:rsidRPr="00351B7D">
        <w:rPr>
          <w:rFonts w:asciiTheme="minorBidi" w:hAnsiTheme="minorBidi"/>
          <w:rtl/>
        </w:rPr>
        <w:t xml:space="preserve">. </w:t>
      </w:r>
    </w:p>
    <w:p w14:paraId="4C1AD3E4" w14:textId="16C76DAA" w:rsidR="00973C57" w:rsidRDefault="00973C57" w:rsidP="009000E3">
      <w:pPr>
        <w:pStyle w:val="ab"/>
        <w:numPr>
          <w:ilvl w:val="0"/>
          <w:numId w:val="17"/>
        </w:numPr>
        <w:rPr>
          <w:rFonts w:asciiTheme="minorBidi" w:hAnsiTheme="minorBidi"/>
        </w:rPr>
      </w:pPr>
      <w:r w:rsidRPr="00351B7D">
        <w:rPr>
          <w:rFonts w:asciiTheme="minorBidi" w:hAnsiTheme="minorBidi"/>
          <w:rtl/>
        </w:rPr>
        <w:t>רא"ש</w:t>
      </w:r>
      <w:r w:rsidR="007D4BE6" w:rsidRPr="007D4BE6">
        <w:rPr>
          <w:rFonts w:asciiTheme="minorBidi" w:hAnsiTheme="minorBidi"/>
          <w:sz w:val="16"/>
          <w:szCs w:val="16"/>
          <w:rtl/>
        </w:rPr>
        <w:t xml:space="preserve"> </w:t>
      </w:r>
      <w:r w:rsidR="007D4BE6">
        <w:rPr>
          <w:rFonts w:asciiTheme="minorBidi" w:hAnsiTheme="minorBidi" w:hint="cs"/>
          <w:sz w:val="16"/>
          <w:szCs w:val="16"/>
          <w:rtl/>
        </w:rPr>
        <w:t>(</w:t>
      </w:r>
      <w:r w:rsidR="007D4BE6" w:rsidRPr="007D4BE6">
        <w:rPr>
          <w:rFonts w:asciiTheme="minorBidi" w:hAnsiTheme="minorBidi"/>
          <w:sz w:val="16"/>
          <w:szCs w:val="16"/>
          <w:rtl/>
        </w:rPr>
        <w:t>כתובות פ"א סי' יט</w:t>
      </w:r>
      <w:r w:rsidR="007D4BE6">
        <w:rPr>
          <w:rFonts w:asciiTheme="minorBidi" w:hAnsiTheme="minorBidi" w:hint="cs"/>
          <w:sz w:val="16"/>
          <w:szCs w:val="16"/>
          <w:rtl/>
        </w:rPr>
        <w:t>)</w:t>
      </w:r>
      <w:r w:rsidR="007D4BE6">
        <w:rPr>
          <w:rFonts w:asciiTheme="minorBidi" w:hAnsiTheme="minorBidi" w:hint="cs"/>
          <w:rtl/>
        </w:rPr>
        <w:t xml:space="preserve">- </w:t>
      </w:r>
      <w:r w:rsidRPr="00351B7D">
        <w:rPr>
          <w:rStyle w:val="a7"/>
          <w:rFonts w:asciiTheme="minorBidi" w:hAnsiTheme="minorBidi"/>
          <w:rtl/>
        </w:rPr>
        <w:footnoteReference w:id="69"/>
      </w:r>
      <w:r w:rsidR="002C5850" w:rsidRPr="002C5850">
        <w:rPr>
          <w:rFonts w:asciiTheme="minorBidi" w:hAnsiTheme="minorBidi" w:cs="Arial"/>
          <w:rtl/>
        </w:rPr>
        <w:t>ר"ח פירש דקיימא לן כרב נחמן דאמר כתובת אשה דרבנן וכל הגאונים הסכימו דכתובת אשה דרבנן וגובין לה נ' כסף סלע מדינה שמינית של סלע צורי</w:t>
      </w:r>
      <w:r w:rsidR="002C5850">
        <w:rPr>
          <w:rFonts w:asciiTheme="minorBidi" w:hAnsiTheme="minorBidi" w:cs="Arial" w:hint="cs"/>
          <w:rtl/>
        </w:rPr>
        <w:t>.</w:t>
      </w:r>
      <w:r w:rsidR="002C5850" w:rsidRPr="002C5850">
        <w:rPr>
          <w:rFonts w:asciiTheme="minorBidi" w:hAnsiTheme="minorBidi" w:cs="Arial"/>
          <w:rtl/>
        </w:rPr>
        <w:t xml:space="preserve"> </w:t>
      </w:r>
      <w:r w:rsidR="002C5850">
        <w:rPr>
          <w:rFonts w:asciiTheme="minorBidi" w:hAnsiTheme="minorBidi" w:hint="cs"/>
          <w:rtl/>
        </w:rPr>
        <w:t>ו</w:t>
      </w:r>
      <w:r w:rsidRPr="00351B7D">
        <w:rPr>
          <w:rFonts w:asciiTheme="minorBidi" w:hAnsiTheme="minorBidi"/>
          <w:rtl/>
        </w:rPr>
        <w:t>ראיתי מפרשים דאפילו הרגילו לכתוב דחזו ליכי מדאו' מודו דכתובת אשה דרבנן, וחכמים תקנו נ' כסף מדאו', פי' משקלם האמור בתורה, משום שלא תהא קלה בעיניו להוציאה, ואסמכוה אקרא דכמוהר הבתולות</w:t>
      </w:r>
      <w:r w:rsidRPr="00351B7D">
        <w:rPr>
          <w:rStyle w:val="a7"/>
          <w:rFonts w:asciiTheme="minorBidi" w:hAnsiTheme="minorBidi"/>
          <w:rtl/>
        </w:rPr>
        <w:footnoteReference w:id="70"/>
      </w:r>
      <w:r w:rsidRPr="00351B7D">
        <w:rPr>
          <w:rFonts w:asciiTheme="minorBidi" w:hAnsiTheme="minorBidi"/>
          <w:rtl/>
        </w:rPr>
        <w:t>, משום הכי נהיגי למיכתב דחזו ליכי מדאורייתא שלא יטעה אדם לומר כיון דמדרבנן היא לא תגבה אלא נ' סלע מדינה, ודברים של טעם הם</w:t>
      </w:r>
      <w:r w:rsidR="007D4BE6">
        <w:rPr>
          <w:rFonts w:asciiTheme="minorBidi" w:hAnsiTheme="minorBidi" w:hint="cs"/>
          <w:rtl/>
        </w:rPr>
        <w:t>.</w:t>
      </w:r>
      <w:r w:rsidRPr="00351B7D">
        <w:rPr>
          <w:rFonts w:asciiTheme="minorBidi" w:hAnsiTheme="minorBidi"/>
          <w:rtl/>
        </w:rPr>
        <w:t xml:space="preserve"> והכותב כסף זוזי מאתן דחזו ליכי לא הפסיד. </w:t>
      </w:r>
      <w:r w:rsidRPr="00351B7D">
        <w:rPr>
          <w:rFonts w:asciiTheme="minorBidi" w:hAnsiTheme="minorBidi"/>
          <w:color w:val="00B0F0"/>
          <w:rtl/>
        </w:rPr>
        <w:t>(וכ"פ הרמ"א)</w:t>
      </w:r>
    </w:p>
    <w:p w14:paraId="7BC6C734" w14:textId="2CA8C7AB" w:rsidR="00C43EBA" w:rsidRPr="00351B7D" w:rsidRDefault="00C43EBA" w:rsidP="009000E3">
      <w:pPr>
        <w:pStyle w:val="ab"/>
        <w:numPr>
          <w:ilvl w:val="1"/>
          <w:numId w:val="17"/>
        </w:numPr>
        <w:rPr>
          <w:rFonts w:asciiTheme="minorBidi" w:hAnsiTheme="minorBidi"/>
        </w:rPr>
      </w:pPr>
      <w:r>
        <w:rPr>
          <w:rFonts w:asciiTheme="minorBidi" w:hAnsiTheme="minorBidi" w:cs="Arial" w:hint="cs"/>
          <w:rtl/>
        </w:rPr>
        <w:t xml:space="preserve">ב"י- </w:t>
      </w:r>
      <w:r w:rsidRPr="00C43EBA">
        <w:rPr>
          <w:rFonts w:asciiTheme="minorBidi" w:hAnsiTheme="minorBidi" w:cs="Arial"/>
          <w:rtl/>
        </w:rPr>
        <w:t xml:space="preserve">והשתא כיון דהרי"ף והרמב"ם והר"ן ור"מ וכל הגאונים סוברים דכתובה דרבנן ומשערין אותה בכסף מדינה לא שבקינן כל הני רבוותא משום ר"ת והרא"ש וכל שכן להוציא ממון. ומיהו אם כתוב בכתובה </w:t>
      </w:r>
      <w:r>
        <w:rPr>
          <w:rFonts w:asciiTheme="minorBidi" w:hAnsiTheme="minorBidi" w:cs="Arial" w:hint="cs"/>
          <w:rtl/>
        </w:rPr>
        <w:t>"</w:t>
      </w:r>
      <w:r w:rsidRPr="00C43EBA">
        <w:rPr>
          <w:rFonts w:asciiTheme="minorBidi" w:hAnsiTheme="minorBidi" w:cs="Arial"/>
          <w:rtl/>
        </w:rPr>
        <w:t>זוזי מאתן או ק' מכסף צרוף</w:t>
      </w:r>
      <w:r>
        <w:rPr>
          <w:rFonts w:asciiTheme="minorBidi" w:hAnsiTheme="minorBidi" w:cs="Arial" w:hint="cs"/>
          <w:rtl/>
        </w:rPr>
        <w:t>"</w:t>
      </w:r>
      <w:r w:rsidRPr="00C43EBA">
        <w:rPr>
          <w:rFonts w:asciiTheme="minorBidi" w:hAnsiTheme="minorBidi" w:cs="Arial"/>
          <w:rtl/>
        </w:rPr>
        <w:t xml:space="preserve"> בהא ודאי גובה הבתולה ש' דרה"ם והאלמנה ק"ן דרה"ם הכל מכסף צרוף</w:t>
      </w:r>
      <w:r w:rsidR="00F04E0D">
        <w:rPr>
          <w:rFonts w:asciiTheme="minorBidi" w:hAnsiTheme="minorBidi" w:cs="Arial" w:hint="cs"/>
          <w:rtl/>
        </w:rPr>
        <w:t>,</w:t>
      </w:r>
      <w:r w:rsidRPr="00C43EBA">
        <w:rPr>
          <w:rFonts w:asciiTheme="minorBidi" w:hAnsiTheme="minorBidi" w:cs="Arial"/>
          <w:rtl/>
        </w:rPr>
        <w:t xml:space="preserve"> וכמבואר בדברי הה</w:t>
      </w:r>
      <w:r w:rsidR="00F04E0D">
        <w:rPr>
          <w:rFonts w:asciiTheme="minorBidi" w:hAnsiTheme="minorBidi" w:cs="Arial" w:hint="cs"/>
          <w:rtl/>
        </w:rPr>
        <w:t>"</w:t>
      </w:r>
      <w:r w:rsidRPr="00C43EBA">
        <w:rPr>
          <w:rFonts w:asciiTheme="minorBidi" w:hAnsiTheme="minorBidi" w:cs="Arial"/>
          <w:rtl/>
        </w:rPr>
        <w:t>מ (שם ה"ח). ומיהו היכא שלא הזכיר כסף צרוף וכתב זוזי מאתן דחזו ליכי מדאורייתא איכא לספוקי אי מגבינן לה מכסף צרוף וכדכתב הרא"ש (שם)</w:t>
      </w:r>
      <w:r w:rsidR="00F04E0D">
        <w:rPr>
          <w:rFonts w:asciiTheme="minorBidi" w:hAnsiTheme="minorBidi" w:cs="Arial" w:hint="cs"/>
          <w:rtl/>
        </w:rPr>
        <w:t>.</w:t>
      </w:r>
      <w:r w:rsidRPr="00C43EBA">
        <w:rPr>
          <w:rFonts w:asciiTheme="minorBidi" w:hAnsiTheme="minorBidi" w:cs="Arial"/>
          <w:rtl/>
        </w:rPr>
        <w:t xml:space="preserve"> והדעת נוטה דלא מגבינן לה אלא כסף מדינה דיד בעל השטר על התחתונה</w:t>
      </w:r>
      <w:r w:rsidR="004B10CE">
        <w:rPr>
          <w:rStyle w:val="a7"/>
          <w:rFonts w:asciiTheme="minorBidi" w:hAnsiTheme="minorBidi" w:cs="Arial"/>
          <w:rtl/>
        </w:rPr>
        <w:footnoteReference w:id="71"/>
      </w:r>
      <w:r w:rsidR="00F04E0D">
        <w:rPr>
          <w:rFonts w:asciiTheme="minorBidi" w:hAnsiTheme="minorBidi" w:hint="cs"/>
          <w:rtl/>
        </w:rPr>
        <w:t>.</w:t>
      </w:r>
    </w:p>
    <w:p w14:paraId="71DC885D" w14:textId="4257A664" w:rsidR="00973C57" w:rsidRPr="004B10CE" w:rsidRDefault="00973C57" w:rsidP="004B10CE">
      <w:pPr>
        <w:ind w:left="360"/>
        <w:rPr>
          <w:rFonts w:asciiTheme="minorBidi" w:hAnsiTheme="minorBidi"/>
          <w:u w:val="dotted"/>
        </w:rPr>
      </w:pPr>
      <w:r w:rsidRPr="004B10CE">
        <w:rPr>
          <w:rFonts w:asciiTheme="minorBidi" w:hAnsiTheme="minorBidi"/>
          <w:u w:val="dotted"/>
          <w:rtl/>
        </w:rPr>
        <w:t>לר"ת וסיעתו</w:t>
      </w:r>
      <w:r w:rsidR="00B03095" w:rsidRPr="004B10CE">
        <w:rPr>
          <w:rFonts w:asciiTheme="minorBidi" w:hAnsiTheme="minorBidi" w:hint="cs"/>
          <w:u w:val="dotted"/>
          <w:rtl/>
        </w:rPr>
        <w:t xml:space="preserve"> </w:t>
      </w:r>
      <w:r w:rsidRPr="004B10CE">
        <w:rPr>
          <w:rFonts w:asciiTheme="minorBidi" w:hAnsiTheme="minorBidi"/>
          <w:u w:val="dotted"/>
          <w:rtl/>
        </w:rPr>
        <w:t xml:space="preserve">- מה </w:t>
      </w:r>
      <w:r w:rsidR="004B10CE">
        <w:rPr>
          <w:rFonts w:asciiTheme="minorBidi" w:hAnsiTheme="minorBidi" w:hint="cs"/>
          <w:u w:val="dotted"/>
          <w:rtl/>
        </w:rPr>
        <w:t>ה</w:t>
      </w:r>
      <w:r w:rsidRPr="004B10CE">
        <w:rPr>
          <w:rFonts w:asciiTheme="minorBidi" w:hAnsiTheme="minorBidi"/>
          <w:u w:val="dotted"/>
          <w:rtl/>
        </w:rPr>
        <w:t xml:space="preserve">דין </w:t>
      </w:r>
      <w:r w:rsidR="004B10CE">
        <w:rPr>
          <w:rFonts w:asciiTheme="minorBidi" w:hAnsiTheme="minorBidi" w:hint="cs"/>
          <w:u w:val="dotted"/>
          <w:rtl/>
        </w:rPr>
        <w:t xml:space="preserve">אם </w:t>
      </w:r>
      <w:r w:rsidRPr="004B10CE">
        <w:rPr>
          <w:rFonts w:asciiTheme="minorBidi" w:hAnsiTheme="minorBidi"/>
          <w:u w:val="dotted"/>
          <w:rtl/>
        </w:rPr>
        <w:t>כתב</w:t>
      </w:r>
      <w:r w:rsidR="004B10CE">
        <w:rPr>
          <w:rFonts w:asciiTheme="minorBidi" w:hAnsiTheme="minorBidi" w:hint="cs"/>
          <w:u w:val="dotted"/>
          <w:rtl/>
        </w:rPr>
        <w:t>ו</w:t>
      </w:r>
      <w:r w:rsidRPr="004B10CE">
        <w:rPr>
          <w:rFonts w:asciiTheme="minorBidi" w:hAnsiTheme="minorBidi"/>
          <w:u w:val="dotted"/>
          <w:rtl/>
        </w:rPr>
        <w:t xml:space="preserve"> ב</w:t>
      </w:r>
      <w:r w:rsidR="004B10CE">
        <w:rPr>
          <w:rFonts w:asciiTheme="minorBidi" w:hAnsiTheme="minorBidi" w:hint="cs"/>
          <w:u w:val="dotted"/>
          <w:rtl/>
        </w:rPr>
        <w:t>כתוב</w:t>
      </w:r>
      <w:r w:rsidRPr="004B10CE">
        <w:rPr>
          <w:rFonts w:asciiTheme="minorBidi" w:hAnsiTheme="minorBidi"/>
          <w:u w:val="dotted"/>
          <w:rtl/>
        </w:rPr>
        <w:t xml:space="preserve">ה "דחזי ליכי מדרבנן": </w:t>
      </w:r>
    </w:p>
    <w:p w14:paraId="7BDB8F8C" w14:textId="10977EAA" w:rsidR="00522C4A" w:rsidRPr="001C17FA" w:rsidRDefault="00973C57" w:rsidP="009000E3">
      <w:pPr>
        <w:pStyle w:val="ab"/>
        <w:numPr>
          <w:ilvl w:val="0"/>
          <w:numId w:val="17"/>
        </w:numPr>
        <w:rPr>
          <w:rFonts w:asciiTheme="minorBidi" w:hAnsiTheme="minorBidi"/>
          <w:rtl/>
        </w:rPr>
      </w:pPr>
      <w:r w:rsidRPr="00351B7D">
        <w:rPr>
          <w:rFonts w:asciiTheme="minorBidi" w:hAnsiTheme="minorBidi"/>
          <w:rtl/>
        </w:rPr>
        <w:t xml:space="preserve">הגה"מ </w:t>
      </w:r>
      <w:r w:rsidRPr="00351B7D">
        <w:rPr>
          <w:rFonts w:asciiTheme="minorBidi" w:hAnsiTheme="minorBidi"/>
          <w:sz w:val="16"/>
          <w:szCs w:val="16"/>
          <w:rtl/>
        </w:rPr>
        <w:t>(פ"י מה"א אות ו, הביאו הדרכ"מ [אות יא**])</w:t>
      </w:r>
      <w:r w:rsidRPr="00351B7D">
        <w:rPr>
          <w:rFonts w:asciiTheme="minorBidi" w:hAnsiTheme="minorBidi"/>
          <w:rtl/>
        </w:rPr>
        <w:t>- הר"מ פסל כתובה שכתוב בה זוזי מאתן דחזו ליכי מדרבנן דה"ל מזויף מתוכו</w:t>
      </w:r>
      <w:r w:rsidR="001C17FA">
        <w:rPr>
          <w:rFonts w:asciiTheme="minorBidi" w:hAnsiTheme="minorBidi" w:hint="cs"/>
          <w:rtl/>
        </w:rPr>
        <w:t>,</w:t>
      </w:r>
      <w:r w:rsidRPr="00351B7D">
        <w:rPr>
          <w:rFonts w:asciiTheme="minorBidi" w:hAnsiTheme="minorBidi"/>
          <w:rtl/>
        </w:rPr>
        <w:t xml:space="preserve"> ולכן נראה דטוב לכתוב סתם דחזו ליכי</w:t>
      </w:r>
      <w:r w:rsidR="001C17FA">
        <w:rPr>
          <w:rStyle w:val="a7"/>
          <w:rFonts w:asciiTheme="minorBidi" w:hAnsiTheme="minorBidi"/>
          <w:rtl/>
        </w:rPr>
        <w:footnoteReference w:id="72"/>
      </w:r>
      <w:r w:rsidR="00522C4A" w:rsidRPr="001C17FA">
        <w:rPr>
          <w:rFonts w:asciiTheme="minorBidi" w:hAnsiTheme="minorBidi" w:hint="cs"/>
          <w:rtl/>
        </w:rPr>
        <w:t>.</w:t>
      </w:r>
    </w:p>
    <w:p w14:paraId="1F3B76BB" w14:textId="5D53C273" w:rsidR="00973C57" w:rsidRPr="00351B7D" w:rsidRDefault="004008ED" w:rsidP="00973C57">
      <w:pPr>
        <w:rPr>
          <w:rFonts w:asciiTheme="minorBidi" w:hAnsiTheme="minorBidi"/>
          <w:u w:val="single"/>
        </w:rPr>
      </w:pPr>
      <w:r>
        <w:rPr>
          <w:rFonts w:asciiTheme="minorBidi" w:hAnsiTheme="minorBidi" w:hint="cs"/>
          <w:u w:val="single"/>
          <w:rtl/>
        </w:rPr>
        <w:t>גב</w:t>
      </w:r>
      <w:r w:rsidR="007C681E">
        <w:rPr>
          <w:rFonts w:asciiTheme="minorBidi" w:hAnsiTheme="minorBidi" w:hint="cs"/>
          <w:u w:val="single"/>
          <w:rtl/>
        </w:rPr>
        <w:t>יי</w:t>
      </w:r>
      <w:r>
        <w:rPr>
          <w:rFonts w:asciiTheme="minorBidi" w:hAnsiTheme="minorBidi" w:hint="cs"/>
          <w:u w:val="single"/>
          <w:rtl/>
        </w:rPr>
        <w:t xml:space="preserve">ת עיקר הכתובה </w:t>
      </w:r>
      <w:r w:rsidR="007C681E">
        <w:rPr>
          <w:rFonts w:asciiTheme="minorBidi" w:hAnsiTheme="minorBidi" w:hint="cs"/>
          <w:u w:val="single"/>
          <w:rtl/>
        </w:rPr>
        <w:t>כשהוא מיעוט ביחס לתוספת שכתב לה</w:t>
      </w:r>
      <w:r w:rsidR="00597DE0">
        <w:rPr>
          <w:rFonts w:asciiTheme="minorBidi" w:hAnsiTheme="minorBidi" w:hint="cs"/>
          <w:u w:val="single"/>
          <w:rtl/>
        </w:rPr>
        <w:t>:</w:t>
      </w:r>
    </w:p>
    <w:p w14:paraId="73222005" w14:textId="7B3E6649" w:rsidR="00316065" w:rsidRPr="001814D5" w:rsidRDefault="00973C57" w:rsidP="001814D5">
      <w:pPr>
        <w:pStyle w:val="ab"/>
        <w:numPr>
          <w:ilvl w:val="0"/>
          <w:numId w:val="17"/>
        </w:numPr>
        <w:rPr>
          <w:rFonts w:asciiTheme="minorBidi" w:hAnsiTheme="minorBidi"/>
          <w:rtl/>
        </w:rPr>
      </w:pPr>
      <w:r w:rsidRPr="00351B7D">
        <w:rPr>
          <w:rFonts w:asciiTheme="minorBidi" w:hAnsiTheme="minorBidi"/>
          <w:rtl/>
        </w:rPr>
        <w:t>רשב"א</w:t>
      </w:r>
      <w:r w:rsidRPr="00351B7D">
        <w:rPr>
          <w:rFonts w:asciiTheme="minorBidi" w:hAnsiTheme="minorBidi"/>
          <w:sz w:val="16"/>
          <w:szCs w:val="16"/>
          <w:rtl/>
        </w:rPr>
        <w:t xml:space="preserve"> (ח"א סי' אלף יא, הביאו הא"ח [ח"ב הל' כתובות סי' יז])</w:t>
      </w:r>
      <w:r w:rsidRPr="00351B7D">
        <w:rPr>
          <w:rFonts w:asciiTheme="minorBidi" w:hAnsiTheme="minorBidi"/>
          <w:rtl/>
        </w:rPr>
        <w:t>- כבר ידעת שגביית הכתובות אינה נגבית כשאר חובות. ויש שאינן מקפידות לדקדק עם היורשין וכל שכן במקום שבניה יורשין בעלה. ויש מקפידות ומדקדקות על הכל</w:t>
      </w:r>
      <w:r w:rsidR="00885AE4">
        <w:rPr>
          <w:rFonts w:asciiTheme="minorBidi" w:hAnsiTheme="minorBidi" w:hint="cs"/>
          <w:rtl/>
        </w:rPr>
        <w:t>,</w:t>
      </w:r>
      <w:r w:rsidR="00146A18">
        <w:rPr>
          <w:rFonts w:asciiTheme="minorBidi" w:hAnsiTheme="minorBidi" w:hint="cs"/>
          <w:rtl/>
        </w:rPr>
        <w:t xml:space="preserve"> </w:t>
      </w:r>
      <w:r w:rsidRPr="00351B7D">
        <w:rPr>
          <w:rFonts w:asciiTheme="minorBidi" w:hAnsiTheme="minorBidi"/>
          <w:rtl/>
        </w:rPr>
        <w:lastRenderedPageBreak/>
        <w:t>א</w:t>
      </w:r>
      <w:r w:rsidR="00291248">
        <w:rPr>
          <w:rFonts w:asciiTheme="minorBidi" w:hAnsiTheme="minorBidi" w:hint="cs"/>
          <w:rtl/>
        </w:rPr>
        <w:t>ף</w:t>
      </w:r>
      <w:r w:rsidRPr="00351B7D">
        <w:rPr>
          <w:rFonts w:asciiTheme="minorBidi" w:hAnsiTheme="minorBidi"/>
          <w:rtl/>
        </w:rPr>
        <w:t xml:space="preserve"> במתנה לחוד</w:t>
      </w:r>
      <w:r w:rsidR="00885AE4">
        <w:rPr>
          <w:rFonts w:asciiTheme="minorBidi" w:hAnsiTheme="minorBidi" w:hint="cs"/>
          <w:rtl/>
        </w:rPr>
        <w:t xml:space="preserve"> -</w:t>
      </w:r>
      <w:r w:rsidRPr="00351B7D">
        <w:rPr>
          <w:rFonts w:asciiTheme="minorBidi" w:hAnsiTheme="minorBidi"/>
          <w:rtl/>
        </w:rPr>
        <w:t xml:space="preserve"> אני אומר שנגבית</w:t>
      </w:r>
      <w:r w:rsidR="001814D5">
        <w:rPr>
          <w:rStyle w:val="a7"/>
          <w:rFonts w:asciiTheme="minorBidi" w:hAnsiTheme="minorBidi"/>
          <w:rtl/>
        </w:rPr>
        <w:footnoteReference w:id="73"/>
      </w:r>
      <w:r w:rsidRPr="00351B7D">
        <w:rPr>
          <w:rFonts w:asciiTheme="minorBidi" w:hAnsiTheme="minorBidi"/>
          <w:rtl/>
        </w:rPr>
        <w:t>. וכבר היה המעשה בעיר ודנו לה בית דין</w:t>
      </w:r>
      <w:r w:rsidR="00746A81">
        <w:rPr>
          <w:rFonts w:asciiTheme="minorBidi" w:hAnsiTheme="minorBidi" w:hint="cs"/>
          <w:rtl/>
        </w:rPr>
        <w:t>,</w:t>
      </w:r>
      <w:r w:rsidRPr="00351B7D">
        <w:rPr>
          <w:rFonts w:asciiTheme="minorBidi" w:hAnsiTheme="minorBidi"/>
          <w:rtl/>
        </w:rPr>
        <w:t xml:space="preserve"> ואחד מן הדיינים היה מורי החכם רבי יצחק בר' אברהם ז"ל. ויש שאינן מקפידות ומניחות ליורשין. וכן ראיתי בהיותי בגירונד"ה למורי החכ"ם הרמב"ן ז"ל ולחכם רבי יונה ז"ל וכעין מעשה שלכם.</w:t>
      </w:r>
    </w:p>
    <w:p w14:paraId="71193CCC" w14:textId="77777777" w:rsidR="00973C57" w:rsidRPr="00351B7D" w:rsidRDefault="00973C57" w:rsidP="00973C5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03E4C8D" w14:textId="03DF9769" w:rsidR="00973C57" w:rsidRPr="00351B7D" w:rsidRDefault="00973C57" w:rsidP="00973C57">
      <w:pPr>
        <w:rPr>
          <w:rFonts w:asciiTheme="minorBidi" w:hAnsiTheme="minorBidi"/>
          <w:color w:val="000000"/>
          <w:sz w:val="16"/>
          <w:szCs w:val="16"/>
          <w:rtl/>
        </w:rPr>
      </w:pPr>
      <w:r w:rsidRPr="00351B7D">
        <w:rPr>
          <w:rFonts w:asciiTheme="minorBidi" w:hAnsiTheme="minorBidi"/>
          <w:rtl/>
        </w:rPr>
        <w:t xml:space="preserve">כמה שיעור הכתובה, לבתולה </w:t>
      </w:r>
      <w:r w:rsidR="00E11903">
        <w:rPr>
          <w:rFonts w:asciiTheme="minorBidi" w:hAnsiTheme="minorBidi" w:hint="cs"/>
          <w:rtl/>
        </w:rPr>
        <w:t>מאתים</w:t>
      </w:r>
      <w:r w:rsidRPr="00351B7D">
        <w:rPr>
          <w:rFonts w:asciiTheme="minorBidi" w:hAnsiTheme="minorBidi"/>
          <w:rtl/>
        </w:rPr>
        <w:t>, ולאלמנה מנה, ושל זו וזו כסף מדינה</w:t>
      </w:r>
      <w:r w:rsidR="00E11903">
        <w:rPr>
          <w:rFonts w:asciiTheme="minorBidi" w:hAnsiTheme="minorBidi" w:hint="cs"/>
          <w:rtl/>
        </w:rPr>
        <w:t>.</w:t>
      </w:r>
      <w:r w:rsidRPr="00351B7D">
        <w:rPr>
          <w:rFonts w:asciiTheme="minorBidi" w:hAnsiTheme="minorBidi"/>
          <w:rtl/>
        </w:rPr>
        <w:t xml:space="preserve"> נמצא כתובות בתולה הם שלשים ושבעה דרהם וחצי כסף צרוף</w:t>
      </w:r>
      <w:r w:rsidR="00E11903">
        <w:rPr>
          <w:rFonts w:asciiTheme="minorBidi" w:hAnsiTheme="minorBidi" w:hint="cs"/>
          <w:rtl/>
        </w:rPr>
        <w:t>.</w:t>
      </w:r>
      <w:r w:rsidRPr="00351B7D">
        <w:rPr>
          <w:rFonts w:asciiTheme="minorBidi" w:hAnsiTheme="minorBidi"/>
          <w:rtl/>
        </w:rPr>
        <w:t xml:space="preserve"> וכתובת אלמנה מחציתם</w:t>
      </w:r>
      <w:r w:rsidR="00E11903">
        <w:rPr>
          <w:rFonts w:asciiTheme="minorBidi" w:hAnsiTheme="minorBidi" w:hint="cs"/>
          <w:rtl/>
        </w:rPr>
        <w:t>,</w:t>
      </w:r>
      <w:r w:rsidRPr="00351B7D">
        <w:rPr>
          <w:rFonts w:asciiTheme="minorBidi" w:hAnsiTheme="minorBidi"/>
          <w:rtl/>
        </w:rPr>
        <w:t xml:space="preserve"> שהם י"ח דרהם ושלשה רביעים כסף צרוף.</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 xml:space="preserve">הגה: עיין ביו"ד סי' רצ"ד וסימן ש"ה ערך המטבע שנקראת דרהם. וכל זה לדעת קצת הפוסקים שסבירא להו שכתובות בתולה אינה רק זוזי דרבנן (רי"ף רמב"ם </w:t>
      </w:r>
      <w:r w:rsidR="00E11903">
        <w:rPr>
          <w:rFonts w:asciiTheme="minorBidi" w:hAnsiTheme="minorBidi" w:hint="cs"/>
          <w:color w:val="000000"/>
          <w:sz w:val="18"/>
          <w:szCs w:val="18"/>
          <w:rtl/>
        </w:rPr>
        <w:t>ו</w:t>
      </w:r>
      <w:r w:rsidRPr="00351B7D">
        <w:rPr>
          <w:rFonts w:asciiTheme="minorBidi" w:hAnsiTheme="minorBidi"/>
          <w:color w:val="000000"/>
          <w:sz w:val="18"/>
          <w:szCs w:val="18"/>
          <w:rtl/>
        </w:rPr>
        <w:t>ר"ן), שמאתים של בתולה עולין ששה סלעים ורביע</w:t>
      </w:r>
      <w:r w:rsidR="00116D92">
        <w:rPr>
          <w:rFonts w:asciiTheme="minorBidi" w:hAnsiTheme="minorBidi" w:hint="cs"/>
          <w:color w:val="000000"/>
          <w:sz w:val="18"/>
          <w:szCs w:val="18"/>
          <w:rtl/>
        </w:rPr>
        <w:t>.</w:t>
      </w:r>
      <w:r w:rsidRPr="00351B7D">
        <w:rPr>
          <w:rFonts w:asciiTheme="minorBidi" w:hAnsiTheme="minorBidi"/>
          <w:color w:val="000000"/>
          <w:sz w:val="18"/>
          <w:szCs w:val="18"/>
          <w:rtl/>
        </w:rPr>
        <w:t xml:space="preserve"> ויש מי שמשער כתובת בתולה עשרה זהובים ואלמנה חמשה זהובים</w:t>
      </w:r>
      <w:r w:rsidRPr="00351B7D">
        <w:rPr>
          <w:rStyle w:val="a7"/>
          <w:rFonts w:asciiTheme="minorBidi" w:hAnsiTheme="minorBidi"/>
          <w:color w:val="000000"/>
          <w:sz w:val="18"/>
          <w:szCs w:val="18"/>
          <w:rtl/>
        </w:rPr>
        <w:footnoteReference w:id="74"/>
      </w:r>
      <w:r w:rsidRPr="00351B7D">
        <w:rPr>
          <w:rFonts w:asciiTheme="minorBidi" w:hAnsiTheme="minorBidi"/>
          <w:color w:val="000000"/>
          <w:sz w:val="18"/>
          <w:szCs w:val="18"/>
          <w:rtl/>
        </w:rPr>
        <w:t xml:space="preserve"> (מהרי"ל בשם אגודה). אבל לדעת יש פוסקים מאתים של בתולה ומנה של אלמנה משערים בזוזי דאורייתא</w:t>
      </w:r>
      <w:r w:rsidRPr="00351B7D">
        <w:rPr>
          <w:rStyle w:val="a7"/>
          <w:rFonts w:asciiTheme="minorBidi" w:hAnsiTheme="minorBidi"/>
          <w:color w:val="000000"/>
          <w:sz w:val="18"/>
          <w:szCs w:val="18"/>
          <w:rtl/>
        </w:rPr>
        <w:footnoteReference w:id="75"/>
      </w:r>
      <w:r w:rsidR="00116D92">
        <w:rPr>
          <w:rFonts w:asciiTheme="minorBidi" w:hAnsiTheme="minorBidi" w:hint="cs"/>
          <w:color w:val="000000"/>
          <w:sz w:val="18"/>
          <w:szCs w:val="18"/>
          <w:rtl/>
        </w:rPr>
        <w:t>,</w:t>
      </w:r>
      <w:r w:rsidRPr="00351B7D">
        <w:rPr>
          <w:rFonts w:asciiTheme="minorBidi" w:hAnsiTheme="minorBidi"/>
          <w:color w:val="000000"/>
          <w:sz w:val="18"/>
          <w:szCs w:val="18"/>
          <w:rtl/>
        </w:rPr>
        <w:t xml:space="preserve"> והוא שמונה פעמים יותר</w:t>
      </w:r>
      <w:r w:rsidR="001B5455">
        <w:rPr>
          <w:rFonts w:asciiTheme="minorBidi" w:hAnsiTheme="minorBidi" w:hint="cs"/>
          <w:color w:val="000000"/>
          <w:sz w:val="18"/>
          <w:szCs w:val="18"/>
          <w:rtl/>
        </w:rPr>
        <w:t>,</w:t>
      </w:r>
      <w:r w:rsidRPr="00351B7D">
        <w:rPr>
          <w:rFonts w:asciiTheme="minorBidi" w:hAnsiTheme="minorBidi"/>
          <w:color w:val="000000"/>
          <w:sz w:val="18"/>
          <w:szCs w:val="18"/>
          <w:rtl/>
        </w:rPr>
        <w:t xml:space="preserve"> וכתבו דלכן נהגו לכתוב בכתובה דחזו ליכי מדאורייתא (ר</w:t>
      </w:r>
      <w:r w:rsidR="001B5455">
        <w:rPr>
          <w:rFonts w:asciiTheme="minorBidi" w:hAnsiTheme="minorBidi" w:hint="cs"/>
          <w:color w:val="000000"/>
          <w:sz w:val="18"/>
          <w:szCs w:val="18"/>
          <w:rtl/>
        </w:rPr>
        <w:t>א"ש</w:t>
      </w:r>
      <w:r w:rsidRPr="00351B7D">
        <w:rPr>
          <w:rStyle w:val="a7"/>
          <w:rFonts w:asciiTheme="minorBidi" w:hAnsiTheme="minorBidi"/>
          <w:color w:val="000000"/>
          <w:sz w:val="18"/>
          <w:szCs w:val="18"/>
          <w:rtl/>
        </w:rPr>
        <w:footnoteReference w:id="76"/>
      </w:r>
      <w:r w:rsidRPr="00351B7D">
        <w:rPr>
          <w:rFonts w:asciiTheme="minorBidi" w:hAnsiTheme="minorBidi"/>
          <w:color w:val="000000"/>
          <w:sz w:val="18"/>
          <w:szCs w:val="18"/>
          <w:rtl/>
        </w:rPr>
        <w:t>)</w:t>
      </w:r>
      <w:r w:rsidR="00116D92">
        <w:rPr>
          <w:rFonts w:asciiTheme="minorBidi" w:hAnsiTheme="minorBidi" w:hint="cs"/>
          <w:color w:val="000000"/>
          <w:sz w:val="18"/>
          <w:szCs w:val="18"/>
          <w:rtl/>
        </w:rPr>
        <w:t>.</w:t>
      </w:r>
      <w:r w:rsidRPr="00351B7D">
        <w:rPr>
          <w:rFonts w:asciiTheme="minorBidi" w:hAnsiTheme="minorBidi"/>
          <w:color w:val="000000"/>
          <w:sz w:val="18"/>
          <w:szCs w:val="18"/>
          <w:rtl/>
        </w:rPr>
        <w:t xml:space="preserve"> וי"א דכותבין דחזי ליכי סתמא (הגה"מ)</w:t>
      </w:r>
      <w:r w:rsidR="00116D92">
        <w:rPr>
          <w:rFonts w:asciiTheme="minorBidi" w:hAnsiTheme="minorBidi" w:hint="cs"/>
          <w:color w:val="000000"/>
          <w:sz w:val="18"/>
          <w:szCs w:val="18"/>
          <w:rtl/>
        </w:rPr>
        <w:t>.</w:t>
      </w:r>
      <w:r w:rsidRPr="00351B7D">
        <w:rPr>
          <w:rFonts w:asciiTheme="minorBidi" w:hAnsiTheme="minorBidi"/>
          <w:color w:val="000000"/>
          <w:sz w:val="18"/>
          <w:szCs w:val="18"/>
          <w:rtl/>
        </w:rPr>
        <w:t xml:space="preserve"> והמנהג לכתוב לבתולה דחזי ליכי מדאורייתא</w:t>
      </w:r>
      <w:r w:rsidRPr="00351B7D">
        <w:rPr>
          <w:rStyle w:val="a7"/>
          <w:rFonts w:asciiTheme="minorBidi" w:hAnsiTheme="minorBidi"/>
          <w:color w:val="000000"/>
          <w:sz w:val="18"/>
          <w:szCs w:val="18"/>
          <w:rtl/>
        </w:rPr>
        <w:footnoteReference w:id="77"/>
      </w:r>
      <w:r w:rsidRPr="00351B7D">
        <w:rPr>
          <w:rFonts w:asciiTheme="minorBidi" w:hAnsiTheme="minorBidi"/>
          <w:color w:val="000000"/>
          <w:sz w:val="18"/>
          <w:szCs w:val="18"/>
          <w:rtl/>
        </w:rPr>
        <w:t>, אבל לא לאלמנה</w:t>
      </w:r>
      <w:r w:rsidR="00116D92">
        <w:rPr>
          <w:rFonts w:asciiTheme="minorBidi" w:hAnsiTheme="minorBidi" w:hint="cs"/>
          <w:color w:val="000000"/>
          <w:sz w:val="18"/>
          <w:szCs w:val="18"/>
          <w:rtl/>
        </w:rPr>
        <w:t>.</w:t>
      </w:r>
      <w:r w:rsidRPr="00351B7D">
        <w:rPr>
          <w:rFonts w:asciiTheme="minorBidi" w:hAnsiTheme="minorBidi"/>
          <w:color w:val="000000"/>
          <w:sz w:val="18"/>
          <w:szCs w:val="18"/>
          <w:rtl/>
        </w:rPr>
        <w:t xml:space="preserve"> וכל זה במקום שאין מנהג, אבל במקום שיש מנהג מה שגובין הולכין אחר המנהג וכמו שיתבאר לקמן.</w:t>
      </w:r>
      <w:r w:rsidRPr="00351B7D">
        <w:rPr>
          <w:rFonts w:asciiTheme="minorBidi" w:hAnsiTheme="minorBidi"/>
          <w:color w:val="000000"/>
          <w:sz w:val="16"/>
          <w:szCs w:val="16"/>
          <w:rtl/>
        </w:rPr>
        <w:t xml:space="preserve"> </w:t>
      </w:r>
    </w:p>
    <w:p w14:paraId="210BB389" w14:textId="57E4E6E7" w:rsidR="00973C57" w:rsidRPr="00351B7D" w:rsidRDefault="00973C57" w:rsidP="00973C57">
      <w:pPr>
        <w:rPr>
          <w:rFonts w:asciiTheme="minorBidi" w:hAnsiTheme="minorBidi"/>
          <w:u w:val="single"/>
          <w:rtl/>
        </w:rPr>
      </w:pPr>
      <w:r w:rsidRPr="00351B7D">
        <w:rPr>
          <w:rFonts w:asciiTheme="minorBidi" w:hAnsiTheme="minorBidi"/>
          <w:u w:val="single"/>
          <w:rtl/>
        </w:rPr>
        <w:t>אם השתנ</w:t>
      </w:r>
      <w:r w:rsidR="00580417">
        <w:rPr>
          <w:rFonts w:asciiTheme="minorBidi" w:hAnsiTheme="minorBidi" w:hint="cs"/>
          <w:u w:val="single"/>
          <w:rtl/>
        </w:rPr>
        <w:t>ה</w:t>
      </w:r>
      <w:r w:rsidRPr="00351B7D">
        <w:rPr>
          <w:rFonts w:asciiTheme="minorBidi" w:hAnsiTheme="minorBidi"/>
          <w:u w:val="single"/>
          <w:rtl/>
        </w:rPr>
        <w:t xml:space="preserve"> </w:t>
      </w:r>
      <w:r w:rsidR="00580417">
        <w:rPr>
          <w:rFonts w:asciiTheme="minorBidi" w:hAnsiTheme="minorBidi" w:hint="cs"/>
          <w:u w:val="single"/>
          <w:rtl/>
        </w:rPr>
        <w:t xml:space="preserve">ערך </w:t>
      </w:r>
      <w:r w:rsidRPr="00351B7D">
        <w:rPr>
          <w:rFonts w:asciiTheme="minorBidi" w:hAnsiTheme="minorBidi"/>
          <w:u w:val="single"/>
          <w:rtl/>
        </w:rPr>
        <w:t>המטבעות, האם נותן לה מהמטבע הישנה או החדשה:</w:t>
      </w:r>
    </w:p>
    <w:p w14:paraId="58F3616A" w14:textId="1849E605" w:rsidR="00973C57" w:rsidRPr="00116D92" w:rsidRDefault="00973C57" w:rsidP="009000E3">
      <w:pPr>
        <w:pStyle w:val="ab"/>
        <w:numPr>
          <w:ilvl w:val="0"/>
          <w:numId w:val="17"/>
        </w:numPr>
        <w:rPr>
          <w:rFonts w:asciiTheme="minorBidi" w:hAnsiTheme="minorBidi"/>
          <w:rtl/>
        </w:rPr>
      </w:pPr>
      <w:r w:rsidRPr="00351B7D">
        <w:rPr>
          <w:rFonts w:asciiTheme="minorBidi" w:hAnsiTheme="minorBidi"/>
          <w:rtl/>
        </w:rPr>
        <w:t xml:space="preserve">ט"ז </w:t>
      </w:r>
      <w:r w:rsidRPr="00351B7D">
        <w:rPr>
          <w:rFonts w:asciiTheme="minorBidi" w:hAnsiTheme="minorBidi"/>
          <w:sz w:val="16"/>
          <w:szCs w:val="16"/>
          <w:rtl/>
        </w:rPr>
        <w:t xml:space="preserve">(סק"ו) </w:t>
      </w:r>
      <w:r w:rsidRPr="00351B7D">
        <w:rPr>
          <w:rFonts w:asciiTheme="minorBidi" w:hAnsiTheme="minorBidi"/>
          <w:rtl/>
        </w:rPr>
        <w:t xml:space="preserve">וב"ש </w:t>
      </w:r>
      <w:r w:rsidRPr="00351B7D">
        <w:rPr>
          <w:rFonts w:asciiTheme="minorBidi" w:hAnsiTheme="minorBidi"/>
          <w:sz w:val="16"/>
          <w:szCs w:val="16"/>
          <w:rtl/>
        </w:rPr>
        <w:t>(סקט"ו)</w:t>
      </w:r>
      <w:r w:rsidRPr="00351B7D">
        <w:rPr>
          <w:rFonts w:asciiTheme="minorBidi" w:hAnsiTheme="minorBidi"/>
          <w:rtl/>
        </w:rPr>
        <w:t>- אם בעת הכתיבה הכתובה היה מעות קלים ואח"כ הוסיפו על המטבע דקיי"ל בהלואה אם לאו משום ריבית היה צריך לשלם ממטבע שניה</w:t>
      </w:r>
      <w:r w:rsidR="006D44DB">
        <w:rPr>
          <w:rFonts w:asciiTheme="minorBidi" w:hAnsiTheme="minorBidi" w:hint="cs"/>
          <w:rtl/>
        </w:rPr>
        <w:t>,</w:t>
      </w:r>
      <w:r w:rsidRPr="00351B7D">
        <w:rPr>
          <w:rFonts w:asciiTheme="minorBidi" w:hAnsiTheme="minorBidi"/>
          <w:rtl/>
        </w:rPr>
        <w:t xml:space="preserve"> אלא משום איסור ריבית אינו משלם מטבע חדשה אם הוסיפו יותר מחומש, אע"ג דקי"ל אם נעשה הלואה במקום אחד והוציאה השטר חוב במקום אחר הולכים אחר השיעבוד, ולענין הוספה אין הולכים אחר השיעבוד משום אם נשתנה המטבע, אז בזמן פרעון אין שם </w:t>
      </w:r>
      <w:r w:rsidRPr="00116D92">
        <w:rPr>
          <w:rFonts w:asciiTheme="minorBidi" w:hAnsiTheme="minorBidi"/>
          <w:rtl/>
        </w:rPr>
        <w:t>מאה זהובים שחייבים לו על סך מן המטבע הראשונה, אבל בשני מקומות יש שם ק' זהובים דהא במקום אחר יש עליהם שם זה</w:t>
      </w:r>
      <w:r w:rsidR="006D44DB">
        <w:rPr>
          <w:rFonts w:asciiTheme="minorBidi" w:hAnsiTheme="minorBidi" w:hint="cs"/>
          <w:rtl/>
        </w:rPr>
        <w:t>.</w:t>
      </w:r>
      <w:r w:rsidRPr="00116D92">
        <w:rPr>
          <w:rFonts w:asciiTheme="minorBidi" w:hAnsiTheme="minorBidi"/>
          <w:rtl/>
        </w:rPr>
        <w:t xml:space="preserve"> וא"כ בסך כתובה דליכא הלואה ולא שייך רבית לכן צריך לשלם מטבע שניה</w:t>
      </w:r>
      <w:r w:rsidR="006D44DB">
        <w:rPr>
          <w:rFonts w:asciiTheme="minorBidi" w:hAnsiTheme="minorBidi" w:hint="cs"/>
          <w:rtl/>
        </w:rPr>
        <w:t>.</w:t>
      </w:r>
      <w:r w:rsidRPr="00116D92">
        <w:rPr>
          <w:rFonts w:asciiTheme="minorBidi" w:hAnsiTheme="minorBidi"/>
          <w:rtl/>
        </w:rPr>
        <w:t xml:space="preserve"> אבל בסך נדוניא שהיא חוב יתן מטבע הראשונה, אע"ג דמוסיפים שליש לא חיישין לרבית דשאני הוספת שליש שחייבו אותו חכמים להוסיף תיכף אף אם לא תטיב בעיניו ויגרשנה מיד אף דלא נשא ונתן במעות מ"מ חל עליו חובת תוספות שליש ע"פ תקנת חז"ל, כמ"ש מהרי"ק סימן פ"א שתוספת שליש אינו הרצון של בעל אלא מצות חכמים הוא עליו תיכף</w:t>
      </w:r>
      <w:r w:rsidR="006D44DB">
        <w:rPr>
          <w:rFonts w:asciiTheme="minorBidi" w:hAnsiTheme="minorBidi" w:hint="cs"/>
          <w:rtl/>
        </w:rPr>
        <w:t>.</w:t>
      </w:r>
      <w:r w:rsidRPr="00116D92">
        <w:rPr>
          <w:rFonts w:asciiTheme="minorBidi" w:hAnsiTheme="minorBidi"/>
          <w:rtl/>
        </w:rPr>
        <w:t xml:space="preserve"> נמצא לפי זה שהתוספת לא התירו בו ריבית אלא משום שאם מגרשה אפילו תיכף חל עליו התוספות</w:t>
      </w:r>
      <w:r w:rsidR="002E2475">
        <w:rPr>
          <w:rFonts w:asciiTheme="minorBidi" w:hAnsiTheme="minorBidi" w:hint="cs"/>
          <w:rtl/>
        </w:rPr>
        <w:t>,</w:t>
      </w:r>
      <w:r w:rsidRPr="00116D92">
        <w:rPr>
          <w:rFonts w:asciiTheme="minorBidi" w:hAnsiTheme="minorBidi"/>
          <w:rtl/>
        </w:rPr>
        <w:t xml:space="preserve"> משא"כ בענין שיתן לה ממטבע חדשה ודאי אין חיוב עליו לומר אם גירשה תכף אחר הנישואין ודאי לא היה צריך ליתן כ"א מטבע הישנה</w:t>
      </w:r>
      <w:r w:rsidR="002E2475">
        <w:rPr>
          <w:rFonts w:asciiTheme="minorBidi" w:hAnsiTheme="minorBidi" w:hint="cs"/>
          <w:rtl/>
        </w:rPr>
        <w:t>.</w:t>
      </w:r>
      <w:r w:rsidRPr="00116D92">
        <w:rPr>
          <w:rFonts w:asciiTheme="minorBidi" w:hAnsiTheme="minorBidi"/>
          <w:rtl/>
        </w:rPr>
        <w:t xml:space="preserve"> שהרי אף לא היה שם כי אם מטבע הישנה רק אח"כ נתהווה שינוי מטבע אין חילוק בין אם זמן רב אחר הנשואין או יום או יומים מ"מ לא שייך לומר תיכף חל עליו חיוב זה, א"כ הוי ככל שאר הלואה.</w:t>
      </w:r>
    </w:p>
    <w:p w14:paraId="0BED06C3" w14:textId="4A28A164" w:rsidR="00973C57" w:rsidRPr="00351B7D" w:rsidRDefault="005D6DEE" w:rsidP="00973C57">
      <w:pPr>
        <w:rPr>
          <w:rFonts w:asciiTheme="minorBidi" w:hAnsiTheme="minorBidi"/>
          <w:color w:val="000000"/>
          <w:rtl/>
        </w:rPr>
      </w:pPr>
      <w:r>
        <w:rPr>
          <w:rFonts w:asciiTheme="minorBidi" w:hAnsiTheme="minorBidi" w:hint="cs"/>
          <w:u w:val="single"/>
          <w:rtl/>
        </w:rPr>
        <w:t xml:space="preserve">אנס בתולה ונשא אותה - כמה </w:t>
      </w:r>
      <w:r w:rsidR="00973C57" w:rsidRPr="00351B7D">
        <w:rPr>
          <w:rFonts w:asciiTheme="minorBidi" w:hAnsiTheme="minorBidi"/>
          <w:u w:val="single"/>
          <w:rtl/>
        </w:rPr>
        <w:t>כתובת</w:t>
      </w:r>
      <w:r>
        <w:rPr>
          <w:rFonts w:asciiTheme="minorBidi" w:hAnsiTheme="minorBidi" w:hint="cs"/>
          <w:u w:val="single"/>
          <w:rtl/>
        </w:rPr>
        <w:t>ה</w:t>
      </w:r>
      <w:r w:rsidR="00973C57" w:rsidRPr="00351B7D">
        <w:rPr>
          <w:rFonts w:asciiTheme="minorBidi" w:hAnsiTheme="minorBidi"/>
          <w:u w:val="single"/>
          <w:rtl/>
        </w:rPr>
        <w:t>:</w:t>
      </w:r>
      <w:r w:rsidR="00973C57" w:rsidRPr="00351B7D">
        <w:rPr>
          <w:rFonts w:asciiTheme="minorBidi" w:hAnsiTheme="minorBidi"/>
          <w:color w:val="000000"/>
          <w:rtl/>
        </w:rPr>
        <w:t xml:space="preserve"> </w:t>
      </w:r>
      <w:r w:rsidR="00973C57" w:rsidRPr="00351B7D">
        <w:rPr>
          <w:rFonts w:asciiTheme="minorBidi" w:hAnsiTheme="minorBidi"/>
          <w:color w:val="000000"/>
          <w:sz w:val="16"/>
          <w:szCs w:val="16"/>
          <w:rtl/>
        </w:rPr>
        <w:t>(באה"ט סקי"א)</w:t>
      </w:r>
    </w:p>
    <w:p w14:paraId="1F2925DB" w14:textId="48C688A8" w:rsidR="00973C57" w:rsidRPr="00351B7D" w:rsidRDefault="00973C57" w:rsidP="009000E3">
      <w:pPr>
        <w:pStyle w:val="ab"/>
        <w:numPr>
          <w:ilvl w:val="0"/>
          <w:numId w:val="17"/>
        </w:numPr>
        <w:rPr>
          <w:rFonts w:asciiTheme="minorBidi" w:hAnsiTheme="minorBidi"/>
          <w:color w:val="000000"/>
        </w:rPr>
      </w:pPr>
      <w:r w:rsidRPr="00351B7D">
        <w:rPr>
          <w:rFonts w:asciiTheme="minorBidi" w:hAnsiTheme="minorBidi"/>
          <w:rtl/>
        </w:rPr>
        <w:t>מהר"ם מינץ</w:t>
      </w:r>
      <w:r w:rsidRPr="00351B7D">
        <w:rPr>
          <w:rFonts w:asciiTheme="minorBidi" w:hAnsiTheme="minorBidi"/>
          <w:color w:val="000000"/>
          <w:sz w:val="16"/>
          <w:szCs w:val="16"/>
          <w:rtl/>
        </w:rPr>
        <w:t xml:space="preserve"> (סי' קט)</w:t>
      </w:r>
      <w:r w:rsidRPr="00351B7D">
        <w:rPr>
          <w:rFonts w:asciiTheme="minorBidi" w:hAnsiTheme="minorBidi"/>
          <w:rtl/>
        </w:rPr>
        <w:t>- מי שאנס בתולה ונישאת לו אין לה כתובה ממנו אלא מנ</w:t>
      </w:r>
      <w:r w:rsidR="003D7B2E">
        <w:rPr>
          <w:rFonts w:asciiTheme="minorBidi" w:hAnsiTheme="minorBidi" w:hint="cs"/>
          <w:rtl/>
        </w:rPr>
        <w:t>ה</w:t>
      </w:r>
      <w:r w:rsidR="003D7B2E">
        <w:rPr>
          <w:rStyle w:val="a7"/>
          <w:rFonts w:asciiTheme="minorBidi" w:hAnsiTheme="minorBidi"/>
          <w:rtl/>
        </w:rPr>
        <w:footnoteReference w:id="78"/>
      </w:r>
      <w:r w:rsidRPr="00351B7D">
        <w:rPr>
          <w:rFonts w:asciiTheme="minorBidi" w:hAnsiTheme="minorBidi"/>
          <w:color w:val="000000"/>
          <w:rtl/>
        </w:rPr>
        <w:t>.</w:t>
      </w:r>
    </w:p>
    <w:p w14:paraId="089E132F" w14:textId="246FB962" w:rsidR="00973C57" w:rsidRPr="00351B7D" w:rsidRDefault="000E2604" w:rsidP="000E2604">
      <w:pPr>
        <w:ind w:left="360"/>
        <w:rPr>
          <w:rFonts w:asciiTheme="minorBidi" w:hAnsiTheme="minorBidi"/>
          <w:color w:val="000000"/>
          <w:rtl/>
        </w:rPr>
      </w:pPr>
      <w:r w:rsidRPr="000E2604">
        <w:rPr>
          <w:rFonts w:asciiTheme="minorBidi" w:hAnsiTheme="minorBidi" w:hint="cs"/>
          <w:u w:val="dotted"/>
          <w:rtl/>
        </w:rPr>
        <w:t>ומה הדין אם בא עליה מרצונה:</w:t>
      </w:r>
      <w:r w:rsidR="00973C57" w:rsidRPr="00351B7D">
        <w:rPr>
          <w:rFonts w:asciiTheme="minorBidi" w:hAnsiTheme="minorBidi"/>
          <w:color w:val="000000"/>
          <w:rtl/>
        </w:rPr>
        <w:t xml:space="preserve"> </w:t>
      </w:r>
      <w:r w:rsidR="00973C57" w:rsidRPr="00351B7D">
        <w:rPr>
          <w:rFonts w:asciiTheme="minorBidi" w:hAnsiTheme="minorBidi"/>
          <w:color w:val="000000"/>
          <w:sz w:val="16"/>
          <w:szCs w:val="16"/>
          <w:rtl/>
        </w:rPr>
        <w:t>(פת"ש סק"ה)</w:t>
      </w:r>
    </w:p>
    <w:p w14:paraId="3352B6A2" w14:textId="40421423" w:rsidR="00973C57" w:rsidRPr="00351B7D" w:rsidRDefault="003D7B2E" w:rsidP="009000E3">
      <w:pPr>
        <w:pStyle w:val="ab"/>
        <w:numPr>
          <w:ilvl w:val="0"/>
          <w:numId w:val="17"/>
        </w:numPr>
        <w:rPr>
          <w:rFonts w:asciiTheme="minorBidi" w:hAnsiTheme="minorBidi"/>
        </w:rPr>
      </w:pPr>
      <w:r w:rsidRPr="00351B7D">
        <w:rPr>
          <w:rFonts w:asciiTheme="minorBidi" w:hAnsiTheme="minorBidi"/>
          <w:color w:val="000000"/>
          <w:rtl/>
        </w:rPr>
        <w:t>דגמ"ר</w:t>
      </w:r>
      <w:r w:rsidRPr="00351B7D">
        <w:rPr>
          <w:rFonts w:asciiTheme="minorBidi" w:hAnsiTheme="minorBidi"/>
          <w:color w:val="000000"/>
          <w:sz w:val="16"/>
          <w:szCs w:val="16"/>
          <w:rtl/>
        </w:rPr>
        <w:t xml:space="preserve"> (וכ"כ בספרו נו"ב תניינא סי' לג)</w:t>
      </w:r>
      <w:r w:rsidRPr="00351B7D">
        <w:rPr>
          <w:rFonts w:asciiTheme="minorBidi" w:hAnsiTheme="minorBidi"/>
          <w:color w:val="000000"/>
          <w:rtl/>
        </w:rPr>
        <w:t xml:space="preserve"> וחת"ס</w:t>
      </w:r>
      <w:r w:rsidRPr="00351B7D">
        <w:rPr>
          <w:rFonts w:asciiTheme="minorBidi" w:hAnsiTheme="minorBidi"/>
          <w:color w:val="000000"/>
          <w:sz w:val="16"/>
          <w:szCs w:val="16"/>
          <w:rtl/>
        </w:rPr>
        <w:t xml:space="preserve"> (ס"ס קלג)</w:t>
      </w:r>
      <w:r w:rsidR="00973C57" w:rsidRPr="00351B7D">
        <w:rPr>
          <w:rFonts w:asciiTheme="minorBidi" w:hAnsiTheme="minorBidi"/>
          <w:rtl/>
        </w:rPr>
        <w:t>- המפותה... כותב לה כתובה כשאר הבתולות</w:t>
      </w:r>
      <w:r w:rsidR="00973C57" w:rsidRPr="00351B7D">
        <w:rPr>
          <w:rFonts w:asciiTheme="minorBidi" w:hAnsiTheme="minorBidi"/>
          <w:sz w:val="16"/>
          <w:szCs w:val="16"/>
          <w:rtl/>
        </w:rPr>
        <w:t xml:space="preserve"> (ל' הרמב"ם הל' נערה פ"א ה"ג)</w:t>
      </w:r>
      <w:r w:rsidR="00973C57" w:rsidRPr="00351B7D">
        <w:rPr>
          <w:rFonts w:asciiTheme="minorBidi" w:hAnsiTheme="minorBidi"/>
          <w:rtl/>
        </w:rPr>
        <w:t>, אבל כל זה כשהיתה נערה, אבל בוגרת שנתפתתה ודאי גם לרמב"ם וטור אין כתובתה אלא מנה אף שנשאה הבועל עצמו</w:t>
      </w:r>
      <w:r w:rsidR="003522BE">
        <w:rPr>
          <w:rFonts w:asciiTheme="minorBidi" w:hAnsiTheme="minorBidi" w:hint="cs"/>
          <w:sz w:val="16"/>
          <w:szCs w:val="16"/>
          <w:rtl/>
        </w:rPr>
        <w:t xml:space="preserve"> (ל' הדגמ"ר)</w:t>
      </w:r>
      <w:r w:rsidR="00973C57" w:rsidRPr="00351B7D">
        <w:rPr>
          <w:rFonts w:asciiTheme="minorBidi" w:hAnsiTheme="minorBidi"/>
          <w:rtl/>
        </w:rPr>
        <w:t>.</w:t>
      </w:r>
      <w:r>
        <w:rPr>
          <w:rFonts w:asciiTheme="minorBidi" w:hAnsiTheme="minorBidi" w:hint="cs"/>
          <w:rtl/>
        </w:rPr>
        <w:t xml:space="preserve"> </w:t>
      </w:r>
    </w:p>
    <w:p w14:paraId="07354669" w14:textId="669259C6" w:rsidR="00973C57" w:rsidRPr="00351B7D" w:rsidRDefault="00973C57" w:rsidP="00973C57">
      <w:pPr>
        <w:rPr>
          <w:rFonts w:asciiTheme="minorBidi" w:hAnsiTheme="minorBidi"/>
          <w:color w:val="000000"/>
          <w:u w:val="single"/>
          <w:rtl/>
        </w:rPr>
      </w:pPr>
      <w:r w:rsidRPr="00351B7D">
        <w:rPr>
          <w:rFonts w:asciiTheme="minorBidi" w:hAnsiTheme="minorBidi"/>
          <w:u w:val="single"/>
          <w:rtl/>
        </w:rPr>
        <w:t>כלה שילדה מעט זמן לאחר חופתה מחמת שנתעברה מהחתן לפני הנישואין</w:t>
      </w:r>
      <w:r w:rsidR="001B273A">
        <w:rPr>
          <w:rFonts w:asciiTheme="minorBidi" w:hAnsiTheme="minorBidi" w:hint="cs"/>
          <w:u w:val="single"/>
          <w:rtl/>
        </w:rPr>
        <w:t>, ונתכב לה בכתובה מאתים</w:t>
      </w:r>
      <w:r w:rsidRPr="00351B7D">
        <w:rPr>
          <w:rFonts w:asciiTheme="minorBidi" w:hAnsiTheme="minorBidi"/>
          <w:u w:val="single"/>
          <w:rtl/>
        </w:rPr>
        <w:t>:</w:t>
      </w:r>
      <w:r w:rsidR="00116D92">
        <w:rPr>
          <w:rFonts w:asciiTheme="minorBidi" w:hAnsiTheme="minorBidi" w:hint="cs"/>
          <w:color w:val="000000"/>
          <w:sz w:val="16"/>
          <w:szCs w:val="16"/>
          <w:rtl/>
        </w:rPr>
        <w:t xml:space="preserve"> </w:t>
      </w:r>
      <w:r w:rsidRPr="00351B7D">
        <w:rPr>
          <w:rFonts w:asciiTheme="minorBidi" w:hAnsiTheme="minorBidi"/>
          <w:color w:val="000000"/>
          <w:sz w:val="16"/>
          <w:szCs w:val="16"/>
          <w:rtl/>
        </w:rPr>
        <w:t>(פת"ש סק"ה)</w:t>
      </w:r>
    </w:p>
    <w:p w14:paraId="21DAF0A7" w14:textId="65F076A8" w:rsidR="00973C57" w:rsidRDefault="00973C57" w:rsidP="009000E3">
      <w:pPr>
        <w:pStyle w:val="ab"/>
        <w:numPr>
          <w:ilvl w:val="0"/>
          <w:numId w:val="17"/>
        </w:numPr>
        <w:rPr>
          <w:rFonts w:asciiTheme="minorBidi" w:hAnsiTheme="minorBidi"/>
        </w:rPr>
      </w:pPr>
      <w:r w:rsidRPr="00351B7D">
        <w:rPr>
          <w:rFonts w:asciiTheme="minorBidi" w:hAnsiTheme="minorBidi"/>
          <w:color w:val="000000"/>
          <w:rtl/>
        </w:rPr>
        <w:lastRenderedPageBreak/>
        <w:t xml:space="preserve">חת"ס </w:t>
      </w:r>
      <w:r w:rsidRPr="00351B7D">
        <w:rPr>
          <w:rFonts w:asciiTheme="minorBidi" w:hAnsiTheme="minorBidi"/>
          <w:color w:val="000000"/>
          <w:sz w:val="16"/>
          <w:szCs w:val="16"/>
          <w:rtl/>
        </w:rPr>
        <w:t>(סי' קכה)</w:t>
      </w:r>
      <w:r w:rsidRPr="00351B7D">
        <w:rPr>
          <w:rFonts w:asciiTheme="minorBidi" w:hAnsiTheme="minorBidi"/>
          <w:rtl/>
        </w:rPr>
        <w:t>- אודות אחת שילדה אחר החתונה בקרוב</w:t>
      </w:r>
      <w:r w:rsidR="003522BE">
        <w:rPr>
          <w:rFonts w:asciiTheme="minorBidi" w:hAnsiTheme="minorBidi" w:hint="cs"/>
          <w:rtl/>
        </w:rPr>
        <w:t>,</w:t>
      </w:r>
      <w:r w:rsidRPr="00351B7D">
        <w:rPr>
          <w:rFonts w:asciiTheme="minorBidi" w:hAnsiTheme="minorBidi"/>
          <w:rtl/>
        </w:rPr>
        <w:t xml:space="preserve"> והוא והיא מודים שממנו נתעברה באופן שאין ספק משום מינקת חבירו</w:t>
      </w:r>
      <w:r w:rsidR="003522BE">
        <w:rPr>
          <w:rFonts w:asciiTheme="minorBidi" w:hAnsiTheme="minorBidi" w:hint="cs"/>
          <w:rtl/>
        </w:rPr>
        <w:t>.</w:t>
      </w:r>
      <w:r w:rsidRPr="00351B7D">
        <w:rPr>
          <w:rFonts w:asciiTheme="minorBidi" w:hAnsiTheme="minorBidi"/>
          <w:rtl/>
        </w:rPr>
        <w:t xml:space="preserve"> ונתעורר רב א' על שנכתב בכתובה מאתים כבתולה, ובס' דגמ"ר כתב דאם היא בוגרת אין לה אלא מנה, וא"כ אפשר הכתובה פסולה</w:t>
      </w:r>
      <w:r w:rsidR="003522BE">
        <w:rPr>
          <w:rFonts w:asciiTheme="minorBidi" w:hAnsiTheme="minorBidi" w:hint="cs"/>
          <w:rtl/>
        </w:rPr>
        <w:t>.</w:t>
      </w:r>
      <w:r w:rsidRPr="00351B7D">
        <w:rPr>
          <w:rFonts w:asciiTheme="minorBidi" w:hAnsiTheme="minorBidi"/>
          <w:rtl/>
        </w:rPr>
        <w:t xml:space="preserve"> אמת נכון הדבר אע"ג דתנן ר"פ אף על פי</w:t>
      </w:r>
      <w:r w:rsidRPr="00351B7D">
        <w:rPr>
          <w:rFonts w:asciiTheme="minorBidi" w:hAnsiTheme="minorBidi"/>
          <w:color w:val="000000"/>
          <w:sz w:val="16"/>
          <w:szCs w:val="16"/>
          <w:rtl/>
        </w:rPr>
        <w:t xml:space="preserve"> (כתובות נד:)</w:t>
      </w:r>
      <w:r w:rsidRPr="00351B7D">
        <w:rPr>
          <w:rFonts w:asciiTheme="minorBidi" w:hAnsiTheme="minorBidi"/>
          <w:rtl/>
        </w:rPr>
        <w:t xml:space="preserve"> שאם רצה להוסיף מוסיף ודעת הר"ן שם שיכול לכלול התוספות בסכום א' עם הכתובה בסתם ולא כמרדכי, מ"מ מודה הר"ן דלא מצי למכתב דחזי ליכי מדאורייתא כו', וגם הא ודאי שדברי דגמ"ר הנ"ל נכונים מאד דבוגרת שאין לה קנס ובשגם כי בעילה ראשונה מחלה מדעתה גם הרמב"ם מודה דאין לה אלא מנה, ומ"מ בנ"ד אין שום חשש</w:t>
      </w:r>
      <w:r w:rsidR="006A61C8">
        <w:rPr>
          <w:rFonts w:asciiTheme="minorBidi" w:hAnsiTheme="minorBidi" w:hint="cs"/>
          <w:rtl/>
        </w:rPr>
        <w:t>,</w:t>
      </w:r>
      <w:r w:rsidRPr="00351B7D">
        <w:rPr>
          <w:rFonts w:asciiTheme="minorBidi" w:hAnsiTheme="minorBidi"/>
          <w:rtl/>
        </w:rPr>
        <w:t xml:space="preserve"> דנ"ל דכל זה במפתה בוגרת דעלמא ונשאה אח"כ</w:t>
      </w:r>
      <w:r w:rsidR="006A61C8">
        <w:rPr>
          <w:rFonts w:asciiTheme="minorBidi" w:hAnsiTheme="minorBidi" w:hint="cs"/>
          <w:rtl/>
        </w:rPr>
        <w:t>,</w:t>
      </w:r>
      <w:r w:rsidRPr="00351B7D">
        <w:rPr>
          <w:rFonts w:asciiTheme="minorBidi" w:hAnsiTheme="minorBidi"/>
          <w:rtl/>
        </w:rPr>
        <w:t xml:space="preserve"> אבל במשודכת שלו וכבר נכתב ביניהם תנאים בחרם וקנס כנהוג שלבה סמוך ובטוח שתנשא לו ואדעתא דהכי אפקרה נפשה לגבי דידיה שהוא ישאנה ויהיה כתובתה ממנו מאתים כמוהר הבתולות בודאי לא מחלה אלא אדעתא דהכי כו'</w:t>
      </w:r>
      <w:r w:rsidR="006A61C8">
        <w:rPr>
          <w:rFonts w:asciiTheme="minorBidi" w:hAnsiTheme="minorBidi" w:hint="cs"/>
          <w:rtl/>
        </w:rPr>
        <w:t>.</w:t>
      </w:r>
      <w:r w:rsidRPr="00351B7D">
        <w:rPr>
          <w:rFonts w:asciiTheme="minorBidi" w:hAnsiTheme="minorBidi"/>
          <w:rtl/>
        </w:rPr>
        <w:t xml:space="preserve"> ואפי' אם יתעקש אדם לומר שאם הבועל הזה אינו רוצה לכתוב מאתים לא נוכל לכופו, אבל עכ"פ אם כתב לה מאתים דחזי ליכי איך ניקום ונאמר דלא חזי לה ממנו כי בודאי חזי וראוי ומחוייב לכתוב כן. </w:t>
      </w:r>
    </w:p>
    <w:p w14:paraId="3BA9B630" w14:textId="77777777" w:rsidR="00A93EB7" w:rsidRPr="00A93EB7" w:rsidRDefault="00A93EB7" w:rsidP="00A93EB7">
      <w:pPr>
        <w:rPr>
          <w:rFonts w:asciiTheme="minorBidi" w:hAnsiTheme="minorBidi"/>
          <w:rtl/>
        </w:rPr>
      </w:pPr>
    </w:p>
    <w:p w14:paraId="5EC901F1" w14:textId="77777777" w:rsidR="00973C57" w:rsidRPr="00351B7D" w:rsidRDefault="00973C57" w:rsidP="000F64D0">
      <w:pPr>
        <w:pStyle w:val="2"/>
        <w:rPr>
          <w:rtl/>
        </w:rPr>
      </w:pPr>
      <w:r w:rsidRPr="00351B7D">
        <w:rPr>
          <w:rtl/>
        </w:rPr>
        <w:t>סעיף ז: תוספת כתובה.</w:t>
      </w:r>
    </w:p>
    <w:p w14:paraId="605C5B35" w14:textId="77CE50F1" w:rsidR="00973C57" w:rsidRPr="00351B7D" w:rsidRDefault="00973C57" w:rsidP="00973C57">
      <w:pPr>
        <w:rPr>
          <w:rFonts w:asciiTheme="minorBidi" w:hAnsiTheme="minorBidi"/>
          <w:rtl/>
        </w:rPr>
      </w:pPr>
      <w:r w:rsidRPr="00351B7D">
        <w:rPr>
          <w:rFonts w:asciiTheme="minorBidi" w:hAnsiTheme="minorBidi"/>
          <w:b/>
          <w:bCs/>
          <w:rtl/>
        </w:rPr>
        <w:t xml:space="preserve">כתובות </w:t>
      </w:r>
      <w:r w:rsidR="001B273A">
        <w:rPr>
          <w:rFonts w:asciiTheme="minorBidi" w:hAnsiTheme="minorBidi" w:hint="cs"/>
          <w:b/>
          <w:bCs/>
          <w:sz w:val="16"/>
          <w:szCs w:val="16"/>
          <w:rtl/>
        </w:rPr>
        <w:t xml:space="preserve">(ר"פ אף על פי) </w:t>
      </w:r>
      <w:r w:rsidRPr="00351B7D">
        <w:rPr>
          <w:rFonts w:asciiTheme="minorBidi" w:hAnsiTheme="minorBidi"/>
          <w:b/>
          <w:bCs/>
          <w:rtl/>
        </w:rPr>
        <w:t>נד ע"ב:</w:t>
      </w:r>
      <w:r w:rsidRPr="00351B7D">
        <w:rPr>
          <w:rFonts w:asciiTheme="minorBidi" w:hAnsiTheme="minorBidi"/>
          <w:rtl/>
        </w:rPr>
        <w:t xml:space="preserve"> </w:t>
      </w:r>
      <w:r w:rsidRPr="00351B7D">
        <w:rPr>
          <w:rFonts w:asciiTheme="minorBidi" w:hAnsiTheme="minorBidi"/>
          <w:u w:val="double"/>
          <w:rtl/>
        </w:rPr>
        <w:t>מתני'</w:t>
      </w:r>
      <w:r w:rsidR="001B273A">
        <w:rPr>
          <w:rFonts w:asciiTheme="minorBidi" w:hAnsiTheme="minorBidi" w:hint="cs"/>
          <w:rtl/>
        </w:rPr>
        <w:t>:</w:t>
      </w:r>
      <w:r w:rsidRPr="00351B7D">
        <w:rPr>
          <w:rFonts w:asciiTheme="minorBidi" w:hAnsiTheme="minorBidi"/>
          <w:rtl/>
        </w:rPr>
        <w:t xml:space="preserve"> אף על פי שאמרו בתולה גובה מאתים ואלמנה מנה, אם רצה להוסיף אפי' מאה מנה יוסיף...</w:t>
      </w:r>
      <w:r w:rsidR="001B273A">
        <w:rPr>
          <w:rFonts w:asciiTheme="minorBidi" w:hAnsiTheme="minorBidi" w:hint="cs"/>
          <w:rtl/>
        </w:rPr>
        <w:t xml:space="preserve">     </w:t>
      </w:r>
      <w:r w:rsidRPr="00351B7D">
        <w:rPr>
          <w:rFonts w:asciiTheme="minorBidi" w:hAnsiTheme="minorBidi"/>
          <w:rtl/>
        </w:rPr>
        <w:t xml:space="preserve"> </w:t>
      </w:r>
      <w:r w:rsidRPr="00351B7D">
        <w:rPr>
          <w:rFonts w:asciiTheme="minorBidi" w:hAnsiTheme="minorBidi"/>
          <w:u w:val="double"/>
          <w:rtl/>
        </w:rPr>
        <w:t>גמ'</w:t>
      </w:r>
      <w:r w:rsidR="001B273A">
        <w:rPr>
          <w:rFonts w:asciiTheme="minorBidi" w:hAnsiTheme="minorBidi" w:hint="cs"/>
          <w:rtl/>
        </w:rPr>
        <w:t>:</w:t>
      </w:r>
      <w:r w:rsidRPr="00351B7D">
        <w:rPr>
          <w:rFonts w:asciiTheme="minorBidi" w:hAnsiTheme="minorBidi"/>
          <w:rtl/>
        </w:rPr>
        <w:t xml:space="preserve"> פשיטא! מהו דתימא קיצותא</w:t>
      </w:r>
      <w:r w:rsidRPr="00351B7D">
        <w:rPr>
          <w:rStyle w:val="a7"/>
          <w:rFonts w:asciiTheme="minorBidi" w:hAnsiTheme="minorBidi"/>
          <w:rtl/>
        </w:rPr>
        <w:footnoteReference w:id="79"/>
      </w:r>
      <w:r w:rsidRPr="00351B7D">
        <w:rPr>
          <w:rFonts w:asciiTheme="minorBidi" w:hAnsiTheme="minorBidi"/>
          <w:rtl/>
        </w:rPr>
        <w:t xml:space="preserve"> עבדו רבנן, שלא לבייש את מי שאין לו, קמ"ל. </w:t>
      </w:r>
    </w:p>
    <w:p w14:paraId="5223E63B" w14:textId="4443E1E5" w:rsidR="00973C57" w:rsidRPr="00C627AE" w:rsidRDefault="00973C57" w:rsidP="00973C57">
      <w:pPr>
        <w:rPr>
          <w:rFonts w:asciiTheme="minorBidi" w:hAnsiTheme="minorBidi"/>
          <w:sz w:val="16"/>
          <w:szCs w:val="16"/>
          <w:rtl/>
        </w:rPr>
      </w:pPr>
      <w:r w:rsidRPr="00351B7D">
        <w:rPr>
          <w:rFonts w:asciiTheme="minorBidi" w:hAnsiTheme="minorBidi"/>
          <w:b/>
          <w:bCs/>
          <w:rtl/>
        </w:rPr>
        <w:t xml:space="preserve">כתובות </w:t>
      </w:r>
      <w:r w:rsidR="001B273A">
        <w:rPr>
          <w:rFonts w:asciiTheme="minorBidi" w:hAnsiTheme="minorBidi" w:hint="cs"/>
          <w:b/>
          <w:bCs/>
          <w:sz w:val="16"/>
          <w:szCs w:val="16"/>
          <w:rtl/>
        </w:rPr>
        <w:t xml:space="preserve">(פ"ק) </w:t>
      </w:r>
      <w:r w:rsidRPr="00351B7D">
        <w:rPr>
          <w:rFonts w:asciiTheme="minorBidi" w:hAnsiTheme="minorBidi"/>
          <w:b/>
          <w:bCs/>
          <w:rtl/>
        </w:rPr>
        <w:t>יב</w:t>
      </w:r>
      <w:r w:rsidR="008A45CE">
        <w:rPr>
          <w:rStyle w:val="a7"/>
          <w:rFonts w:asciiTheme="minorBidi" w:hAnsiTheme="minorBidi"/>
          <w:b/>
          <w:bCs/>
          <w:rtl/>
        </w:rPr>
        <w:footnoteReference w:id="80"/>
      </w:r>
      <w:r w:rsidRPr="00351B7D">
        <w:rPr>
          <w:rFonts w:asciiTheme="minorBidi" w:hAnsiTheme="minorBidi"/>
          <w:b/>
          <w:bCs/>
          <w:rtl/>
        </w:rPr>
        <w:t xml:space="preserve"> ע"א:</w:t>
      </w:r>
      <w:r w:rsidRPr="00351B7D">
        <w:rPr>
          <w:rFonts w:asciiTheme="minorBidi" w:hAnsiTheme="minorBidi"/>
          <w:rtl/>
        </w:rPr>
        <w:t xml:space="preserve"> </w:t>
      </w:r>
      <w:r w:rsidRPr="00351B7D">
        <w:rPr>
          <w:rFonts w:asciiTheme="minorBidi" w:hAnsiTheme="minorBidi"/>
          <w:u w:val="double"/>
          <w:rtl/>
        </w:rPr>
        <w:t>מתני'</w:t>
      </w:r>
      <w:r w:rsidR="001B273A">
        <w:rPr>
          <w:rFonts w:asciiTheme="minorBidi" w:hAnsiTheme="minorBidi" w:hint="cs"/>
          <w:rtl/>
        </w:rPr>
        <w:t>:</w:t>
      </w:r>
      <w:r w:rsidRPr="00351B7D">
        <w:rPr>
          <w:rFonts w:asciiTheme="minorBidi" w:hAnsiTheme="minorBidi"/>
          <w:rtl/>
        </w:rPr>
        <w:t xml:space="preserve"> בית דין של כהנים היו גובין לבתולה</w:t>
      </w:r>
      <w:r w:rsidRPr="00351B7D">
        <w:rPr>
          <w:rStyle w:val="a7"/>
          <w:rFonts w:asciiTheme="minorBidi" w:hAnsiTheme="minorBidi"/>
          <w:rtl/>
        </w:rPr>
        <w:footnoteReference w:id="81"/>
      </w:r>
      <w:r w:rsidRPr="00351B7D">
        <w:rPr>
          <w:rFonts w:asciiTheme="minorBidi" w:hAnsiTheme="minorBidi"/>
          <w:rtl/>
        </w:rPr>
        <w:t xml:space="preserve"> ארבע מאות זוז, ולא מיחו בידם חכמים. </w:t>
      </w:r>
      <w:r w:rsidR="001B273A">
        <w:rPr>
          <w:rFonts w:asciiTheme="minorBidi" w:hAnsiTheme="minorBidi" w:hint="cs"/>
          <w:rtl/>
        </w:rPr>
        <w:t xml:space="preserve">     </w:t>
      </w:r>
      <w:r w:rsidRPr="00351B7D">
        <w:rPr>
          <w:rFonts w:asciiTheme="minorBidi" w:hAnsiTheme="minorBidi"/>
          <w:rtl/>
        </w:rPr>
        <w:t xml:space="preserve"> </w:t>
      </w:r>
      <w:r w:rsidRPr="00351B7D">
        <w:rPr>
          <w:rFonts w:asciiTheme="minorBidi" w:hAnsiTheme="minorBidi"/>
          <w:u w:val="double"/>
          <w:rtl/>
        </w:rPr>
        <w:t>גמ'</w:t>
      </w:r>
      <w:r w:rsidRPr="001B273A">
        <w:rPr>
          <w:rFonts w:asciiTheme="minorBidi" w:hAnsiTheme="minorBidi"/>
          <w:sz w:val="14"/>
          <w:szCs w:val="14"/>
          <w:u w:val="double"/>
          <w:rtl/>
        </w:rPr>
        <w:t>(יב:)</w:t>
      </w:r>
      <w:r w:rsidRPr="00351B7D">
        <w:rPr>
          <w:rFonts w:asciiTheme="minorBidi" w:hAnsiTheme="minorBidi"/>
          <w:u w:val="double"/>
          <w:rtl/>
        </w:rPr>
        <w:t>:</w:t>
      </w:r>
      <w:r w:rsidRPr="00351B7D">
        <w:rPr>
          <w:rFonts w:asciiTheme="minorBidi" w:hAnsiTheme="minorBidi"/>
          <w:rtl/>
        </w:rPr>
        <w:t xml:space="preserve"> </w:t>
      </w:r>
      <w:r w:rsidRPr="00351B7D">
        <w:rPr>
          <w:rFonts w:asciiTheme="minorBidi" w:hAnsiTheme="minorBidi"/>
          <w:u w:val="single"/>
          <w:rtl/>
        </w:rPr>
        <w:t>אמר רב יהודה אמר שמואל</w:t>
      </w:r>
      <w:r w:rsidRPr="00351B7D">
        <w:rPr>
          <w:rFonts w:asciiTheme="minorBidi" w:hAnsiTheme="minorBidi"/>
          <w:rtl/>
        </w:rPr>
        <w:t>: לא ב"ד של כהנים בלבד אמרו, אלא אפי' משפחות המיוחסות בישראל, אם רצו לעשות כדרך שהכהנים עושין - עושין.</w:t>
      </w:r>
      <w:r w:rsidR="00C627AE">
        <w:rPr>
          <w:rFonts w:asciiTheme="minorBidi" w:hAnsiTheme="minorBidi" w:hint="cs"/>
          <w:sz w:val="16"/>
          <w:szCs w:val="16"/>
          <w:rtl/>
        </w:rPr>
        <w:t xml:space="preserve"> (ולכאורה קשה, שהרי </w:t>
      </w:r>
      <w:r w:rsidR="00A2268C">
        <w:rPr>
          <w:rFonts w:asciiTheme="minorBidi" w:hAnsiTheme="minorBidi" w:hint="cs"/>
          <w:sz w:val="16"/>
          <w:szCs w:val="16"/>
          <w:rtl/>
        </w:rPr>
        <w:t>תנן בר"פ אף על פי (נד:) דכל מי שרוצה להוסיף יוסיף</w:t>
      </w:r>
      <w:r w:rsidR="00AE7BE3">
        <w:rPr>
          <w:rFonts w:asciiTheme="minorBidi" w:hAnsiTheme="minorBidi" w:hint="cs"/>
          <w:sz w:val="16"/>
          <w:szCs w:val="16"/>
          <w:rtl/>
        </w:rPr>
        <w:t xml:space="preserve">. אלא כתבו התוס' </w:t>
      </w:r>
      <w:r w:rsidR="00AE7BE3">
        <w:rPr>
          <w:rFonts w:asciiTheme="minorBidi" w:hAnsiTheme="minorBidi" w:cs="Arial" w:hint="cs"/>
          <w:sz w:val="16"/>
          <w:szCs w:val="16"/>
          <w:rtl/>
        </w:rPr>
        <w:t>(יב: ד"ה ב"ד) ד</w:t>
      </w:r>
      <w:r w:rsidR="00AE7BE3" w:rsidRPr="00AE7BE3">
        <w:rPr>
          <w:rFonts w:asciiTheme="minorBidi" w:hAnsiTheme="minorBidi" w:cs="Arial"/>
          <w:sz w:val="16"/>
          <w:szCs w:val="16"/>
          <w:rtl/>
        </w:rPr>
        <w:t>לא מיחו בידם חכמים אע</w:t>
      </w:r>
      <w:r w:rsidR="00AE7BE3">
        <w:rPr>
          <w:rFonts w:asciiTheme="minorBidi" w:hAnsiTheme="minorBidi" w:cs="Arial" w:hint="cs"/>
          <w:sz w:val="16"/>
          <w:szCs w:val="16"/>
          <w:rtl/>
        </w:rPr>
        <w:t>"</w:t>
      </w:r>
      <w:r w:rsidR="00AE7BE3" w:rsidRPr="00AE7BE3">
        <w:rPr>
          <w:rFonts w:asciiTheme="minorBidi" w:hAnsiTheme="minorBidi" w:cs="Arial"/>
          <w:sz w:val="16"/>
          <w:szCs w:val="16"/>
          <w:rtl/>
        </w:rPr>
        <w:t>פ שלא כתב בלשון תוספת אלא ארבע מאות דחזו ליכי</w:t>
      </w:r>
      <w:r w:rsidR="00AE7BE3">
        <w:rPr>
          <w:rFonts w:asciiTheme="minorBidi" w:hAnsiTheme="minorBidi" w:cs="Arial" w:hint="cs"/>
          <w:sz w:val="16"/>
          <w:szCs w:val="16"/>
          <w:rtl/>
        </w:rPr>
        <w:t>,</w:t>
      </w:r>
      <w:r w:rsidR="00AE7BE3" w:rsidRPr="00AE7BE3">
        <w:rPr>
          <w:rFonts w:asciiTheme="minorBidi" w:hAnsiTheme="minorBidi" w:cs="Arial"/>
          <w:sz w:val="16"/>
          <w:szCs w:val="16"/>
          <w:rtl/>
        </w:rPr>
        <w:t xml:space="preserve"> וקס"ד דלא תגבה</w:t>
      </w:r>
      <w:r w:rsidR="00AE7BE3">
        <w:rPr>
          <w:rFonts w:asciiTheme="minorBidi" w:hAnsiTheme="minorBidi" w:cs="Arial" w:hint="cs"/>
          <w:sz w:val="16"/>
          <w:szCs w:val="16"/>
          <w:rtl/>
        </w:rPr>
        <w:t>,</w:t>
      </w:r>
      <w:r w:rsidR="00AE7BE3" w:rsidRPr="00AE7BE3">
        <w:rPr>
          <w:rFonts w:asciiTheme="minorBidi" w:hAnsiTheme="minorBidi" w:cs="Arial"/>
          <w:sz w:val="16"/>
          <w:szCs w:val="16"/>
          <w:rtl/>
        </w:rPr>
        <w:t xml:space="preserve"> דלא חזו</w:t>
      </w:r>
      <w:r w:rsidR="00AE7BE3">
        <w:rPr>
          <w:rFonts w:asciiTheme="minorBidi" w:hAnsiTheme="minorBidi" w:cs="Arial" w:hint="cs"/>
          <w:sz w:val="16"/>
          <w:szCs w:val="16"/>
          <w:rtl/>
        </w:rPr>
        <w:t>,</w:t>
      </w:r>
      <w:r w:rsidR="00AE7BE3" w:rsidRPr="00AE7BE3">
        <w:rPr>
          <w:rFonts w:asciiTheme="minorBidi" w:hAnsiTheme="minorBidi" w:cs="Arial"/>
          <w:sz w:val="16"/>
          <w:szCs w:val="16"/>
          <w:rtl/>
        </w:rPr>
        <w:t xml:space="preserve"> ובלשון תוספת לא כתב</w:t>
      </w:r>
      <w:r w:rsidR="00AE7BE3">
        <w:rPr>
          <w:rFonts w:asciiTheme="minorBidi" w:hAnsiTheme="minorBidi" w:cs="Arial" w:hint="cs"/>
          <w:sz w:val="16"/>
          <w:szCs w:val="16"/>
          <w:rtl/>
        </w:rPr>
        <w:t>,</w:t>
      </w:r>
      <w:r w:rsidR="00AE7BE3" w:rsidRPr="00AE7BE3">
        <w:rPr>
          <w:rFonts w:asciiTheme="minorBidi" w:hAnsiTheme="minorBidi" w:cs="Arial"/>
          <w:sz w:val="16"/>
          <w:szCs w:val="16"/>
          <w:rtl/>
        </w:rPr>
        <w:t xml:space="preserve"> קמ</w:t>
      </w:r>
      <w:r w:rsidR="00AE7BE3">
        <w:rPr>
          <w:rFonts w:asciiTheme="minorBidi" w:hAnsiTheme="minorBidi" w:cs="Arial" w:hint="cs"/>
          <w:sz w:val="16"/>
          <w:szCs w:val="16"/>
          <w:rtl/>
        </w:rPr>
        <w:t>"</w:t>
      </w:r>
      <w:r w:rsidR="00AE7BE3" w:rsidRPr="00AE7BE3">
        <w:rPr>
          <w:rFonts w:asciiTheme="minorBidi" w:hAnsiTheme="minorBidi" w:cs="Arial"/>
          <w:sz w:val="16"/>
          <w:szCs w:val="16"/>
          <w:rtl/>
        </w:rPr>
        <w:t>ל דמנהג טוב מאד הוא וראוי להיות בכהונה ובמשפחות המיוחסות ושייך בהו למימר דחזו ליכי</w:t>
      </w:r>
      <w:r w:rsidR="00AE7BE3">
        <w:rPr>
          <w:rFonts w:asciiTheme="minorBidi" w:hAnsiTheme="minorBidi" w:cs="Arial" w:hint="cs"/>
          <w:sz w:val="16"/>
          <w:szCs w:val="16"/>
          <w:rtl/>
        </w:rPr>
        <w:t>,</w:t>
      </w:r>
      <w:r w:rsidR="00AE7BE3" w:rsidRPr="00AE7BE3">
        <w:rPr>
          <w:rFonts w:asciiTheme="minorBidi" w:hAnsiTheme="minorBidi" w:cs="Arial"/>
          <w:sz w:val="16"/>
          <w:szCs w:val="16"/>
          <w:rtl/>
        </w:rPr>
        <w:t xml:space="preserve"> ואפי' לא כתב לה כתובה גובה ארבע מאות בתנאי ב"ד כמו בבנות ישראל מאתים דתקנה גמורה היא.</w:t>
      </w:r>
      <w:r w:rsidR="00AE7BE3">
        <w:rPr>
          <w:rFonts w:asciiTheme="minorBidi" w:hAnsiTheme="minorBidi" w:hint="cs"/>
          <w:sz w:val="16"/>
          <w:szCs w:val="16"/>
          <w:rtl/>
        </w:rPr>
        <w:t xml:space="preserve"> עכ"ל התוס'.</w:t>
      </w:r>
      <w:r w:rsidR="00AE7BE3" w:rsidRPr="00AE7BE3">
        <w:rPr>
          <w:rFonts w:asciiTheme="minorBidi" w:hAnsiTheme="minorBidi" w:hint="cs"/>
          <w:sz w:val="16"/>
          <w:szCs w:val="16"/>
          <w:rtl/>
        </w:rPr>
        <w:t xml:space="preserve"> ו</w:t>
      </w:r>
      <w:r w:rsidR="00AE7BE3">
        <w:rPr>
          <w:rFonts w:asciiTheme="minorBidi" w:hAnsiTheme="minorBidi" w:hint="cs"/>
          <w:sz w:val="16"/>
          <w:szCs w:val="16"/>
          <w:rtl/>
        </w:rPr>
        <w:t>כ"כ ה</w:t>
      </w:r>
      <w:r w:rsidR="00AE7BE3" w:rsidRPr="00AE7BE3">
        <w:rPr>
          <w:rFonts w:asciiTheme="minorBidi" w:hAnsiTheme="minorBidi"/>
          <w:sz w:val="16"/>
          <w:szCs w:val="16"/>
          <w:rtl/>
        </w:rPr>
        <w:t>מרדכי</w:t>
      </w:r>
      <w:r w:rsidR="003C0530" w:rsidRPr="00AE7BE3">
        <w:rPr>
          <w:rStyle w:val="a7"/>
          <w:rFonts w:asciiTheme="minorBidi" w:hAnsiTheme="minorBidi"/>
          <w:sz w:val="16"/>
          <w:szCs w:val="16"/>
          <w:rtl/>
        </w:rPr>
        <w:footnoteReference w:id="82"/>
      </w:r>
      <w:r w:rsidR="00AE7BE3" w:rsidRPr="00AE7BE3">
        <w:rPr>
          <w:rFonts w:asciiTheme="minorBidi" w:hAnsiTheme="minorBidi"/>
          <w:sz w:val="16"/>
          <w:szCs w:val="16"/>
          <w:rtl/>
        </w:rPr>
        <w:t xml:space="preserve"> (כתובות סי' קלו)</w:t>
      </w:r>
      <w:r w:rsidR="00AE7BE3">
        <w:rPr>
          <w:rFonts w:asciiTheme="minorBidi" w:hAnsiTheme="minorBidi" w:hint="cs"/>
          <w:sz w:val="16"/>
          <w:szCs w:val="16"/>
          <w:rtl/>
        </w:rPr>
        <w:t>)</w:t>
      </w:r>
    </w:p>
    <w:p w14:paraId="6B55FEEA" w14:textId="33D48147" w:rsidR="00973C57" w:rsidRPr="00351B7D" w:rsidRDefault="00973C57" w:rsidP="00973C57">
      <w:pPr>
        <w:rPr>
          <w:rFonts w:asciiTheme="minorBidi" w:hAnsiTheme="minorBidi"/>
          <w:u w:val="single"/>
          <w:rtl/>
        </w:rPr>
      </w:pPr>
      <w:r w:rsidRPr="00351B7D">
        <w:rPr>
          <w:rFonts w:asciiTheme="minorBidi" w:hAnsiTheme="minorBidi"/>
          <w:u w:val="single"/>
          <w:rtl/>
        </w:rPr>
        <w:t>האם יכול לכתוב בכתובה</w:t>
      </w:r>
      <w:r w:rsidR="00FB701D">
        <w:rPr>
          <w:rFonts w:asciiTheme="minorBidi" w:hAnsiTheme="minorBidi" w:hint="cs"/>
          <w:u w:val="single"/>
          <w:rtl/>
        </w:rPr>
        <w:t xml:space="preserve"> של משפחה רגילה</w:t>
      </w:r>
      <w:r w:rsidRPr="00351B7D">
        <w:rPr>
          <w:rFonts w:asciiTheme="minorBidi" w:hAnsiTheme="minorBidi"/>
          <w:sz w:val="16"/>
          <w:szCs w:val="16"/>
          <w:u w:val="single"/>
          <w:rtl/>
        </w:rPr>
        <w:t xml:space="preserve"> (שאינ</w:t>
      </w:r>
      <w:r w:rsidR="00FB701D">
        <w:rPr>
          <w:rFonts w:asciiTheme="minorBidi" w:hAnsiTheme="minorBidi" w:hint="cs"/>
          <w:sz w:val="16"/>
          <w:szCs w:val="16"/>
          <w:u w:val="single"/>
          <w:rtl/>
        </w:rPr>
        <w:t>ם</w:t>
      </w:r>
      <w:r w:rsidRPr="00351B7D">
        <w:rPr>
          <w:rFonts w:asciiTheme="minorBidi" w:hAnsiTheme="minorBidi"/>
          <w:sz w:val="16"/>
          <w:szCs w:val="16"/>
          <w:u w:val="single"/>
          <w:rtl/>
        </w:rPr>
        <w:t xml:space="preserve"> מיוחס</w:t>
      </w:r>
      <w:r w:rsidR="00FB701D">
        <w:rPr>
          <w:rFonts w:asciiTheme="minorBidi" w:hAnsiTheme="minorBidi" w:hint="cs"/>
          <w:sz w:val="16"/>
          <w:szCs w:val="16"/>
          <w:u w:val="single"/>
          <w:rtl/>
        </w:rPr>
        <w:t>ים/כהנים</w:t>
      </w:r>
      <w:r w:rsidRPr="00351B7D">
        <w:rPr>
          <w:rFonts w:asciiTheme="minorBidi" w:hAnsiTheme="minorBidi"/>
          <w:sz w:val="16"/>
          <w:szCs w:val="16"/>
          <w:u w:val="single"/>
          <w:rtl/>
        </w:rPr>
        <w:t>)</w:t>
      </w:r>
      <w:r w:rsidRPr="00351B7D">
        <w:rPr>
          <w:rFonts w:asciiTheme="minorBidi" w:hAnsiTheme="minorBidi"/>
          <w:u w:val="single"/>
          <w:rtl/>
        </w:rPr>
        <w:t xml:space="preserve"> סכום </w:t>
      </w:r>
      <w:r w:rsidR="0058636E">
        <w:rPr>
          <w:rFonts w:asciiTheme="minorBidi" w:hAnsiTheme="minorBidi" w:hint="cs"/>
          <w:u w:val="single"/>
          <w:rtl/>
        </w:rPr>
        <w:t xml:space="preserve">אחד </w:t>
      </w:r>
      <w:r w:rsidR="00FB701D">
        <w:rPr>
          <w:rFonts w:asciiTheme="minorBidi" w:hAnsiTheme="minorBidi" w:hint="cs"/>
          <w:u w:val="single"/>
          <w:rtl/>
        </w:rPr>
        <w:t>ש</w:t>
      </w:r>
      <w:r w:rsidRPr="00351B7D">
        <w:rPr>
          <w:rFonts w:asciiTheme="minorBidi" w:hAnsiTheme="minorBidi"/>
          <w:u w:val="single"/>
          <w:rtl/>
        </w:rPr>
        <w:t xml:space="preserve">כולל </w:t>
      </w:r>
      <w:r w:rsidR="00FB701D">
        <w:rPr>
          <w:rFonts w:asciiTheme="minorBidi" w:hAnsiTheme="minorBidi" w:hint="cs"/>
          <w:u w:val="single"/>
          <w:rtl/>
        </w:rPr>
        <w:t>בתוכו</w:t>
      </w:r>
      <w:r w:rsidRPr="00351B7D">
        <w:rPr>
          <w:rFonts w:asciiTheme="minorBidi" w:hAnsiTheme="minorBidi"/>
          <w:u w:val="single"/>
          <w:rtl/>
        </w:rPr>
        <w:t xml:space="preserve"> עיקר </w:t>
      </w:r>
      <w:r w:rsidR="0058636E">
        <w:rPr>
          <w:rFonts w:asciiTheme="minorBidi" w:hAnsiTheme="minorBidi" w:hint="cs"/>
          <w:u w:val="single"/>
          <w:rtl/>
        </w:rPr>
        <w:t>ו</w:t>
      </w:r>
      <w:r w:rsidRPr="00351B7D">
        <w:rPr>
          <w:rFonts w:asciiTheme="minorBidi" w:hAnsiTheme="minorBidi"/>
          <w:u w:val="single"/>
          <w:rtl/>
        </w:rPr>
        <w:t>תוספת:</w:t>
      </w:r>
    </w:p>
    <w:p w14:paraId="103A9081" w14:textId="77777777" w:rsidR="004D43EB" w:rsidRPr="00351B7D" w:rsidRDefault="004D43EB" w:rsidP="004D43EB">
      <w:pPr>
        <w:pStyle w:val="ab"/>
        <w:numPr>
          <w:ilvl w:val="0"/>
          <w:numId w:val="17"/>
        </w:numPr>
        <w:rPr>
          <w:rFonts w:asciiTheme="minorBidi" w:hAnsiTheme="minorBidi"/>
        </w:rPr>
      </w:pPr>
      <w:r>
        <w:rPr>
          <w:rFonts w:asciiTheme="minorBidi" w:hAnsiTheme="minorBidi" w:hint="cs"/>
          <w:rtl/>
        </w:rPr>
        <w:t xml:space="preserve">תוס' </w:t>
      </w:r>
      <w:r>
        <w:rPr>
          <w:rFonts w:asciiTheme="minorBidi" w:hAnsiTheme="minorBidi" w:hint="cs"/>
          <w:sz w:val="16"/>
          <w:szCs w:val="16"/>
          <w:rtl/>
        </w:rPr>
        <w:t>(יב: ד"ה ב"ד)</w:t>
      </w:r>
      <w:r>
        <w:rPr>
          <w:rFonts w:asciiTheme="minorBidi" w:hAnsiTheme="minorBidi" w:hint="cs"/>
          <w:rtl/>
        </w:rPr>
        <w:t xml:space="preserve"> ו</w:t>
      </w:r>
      <w:r w:rsidRPr="00351B7D">
        <w:rPr>
          <w:rFonts w:asciiTheme="minorBidi" w:hAnsiTheme="minorBidi"/>
          <w:rtl/>
        </w:rPr>
        <w:t xml:space="preserve">מרדכי </w:t>
      </w:r>
      <w:r w:rsidRPr="00351B7D">
        <w:rPr>
          <w:rFonts w:asciiTheme="minorBidi" w:hAnsiTheme="minorBidi"/>
          <w:sz w:val="16"/>
          <w:szCs w:val="16"/>
          <w:rtl/>
        </w:rPr>
        <w:t>(כתובות סי' קלו, כ"כ הדרכ"מ</w:t>
      </w:r>
      <w:r w:rsidRPr="00351B7D">
        <w:rPr>
          <w:rFonts w:asciiTheme="minorBidi" w:hAnsiTheme="minorBidi"/>
          <w:sz w:val="14"/>
          <w:szCs w:val="14"/>
          <w:rtl/>
        </w:rPr>
        <w:t xml:space="preserve"> </w:t>
      </w:r>
      <w:r w:rsidRPr="008F68D4">
        <w:rPr>
          <w:rFonts w:asciiTheme="minorBidi" w:hAnsiTheme="minorBidi"/>
          <w:sz w:val="16"/>
          <w:szCs w:val="16"/>
          <w:rtl/>
        </w:rPr>
        <w:t>[אות ט]</w:t>
      </w:r>
      <w:r w:rsidRPr="00351B7D">
        <w:rPr>
          <w:rFonts w:asciiTheme="minorBidi" w:hAnsiTheme="minorBidi"/>
          <w:sz w:val="16"/>
          <w:szCs w:val="16"/>
          <w:rtl/>
        </w:rPr>
        <w:t xml:space="preserve"> בשמו)</w:t>
      </w:r>
      <w:r w:rsidRPr="00351B7D">
        <w:rPr>
          <w:rFonts w:asciiTheme="minorBidi" w:hAnsiTheme="minorBidi"/>
          <w:rtl/>
        </w:rPr>
        <w:t xml:space="preserve">- </w:t>
      </w:r>
      <w:r w:rsidRPr="00F07AF1">
        <w:rPr>
          <w:rFonts w:asciiTheme="minorBidi" w:hAnsiTheme="minorBidi" w:cs="Arial"/>
          <w:rtl/>
        </w:rPr>
        <w:t>אסור לעשות כן אלא במשפחה שמנהגה כך</w:t>
      </w:r>
      <w:r>
        <w:rPr>
          <w:rFonts w:asciiTheme="minorBidi" w:hAnsiTheme="minorBidi" w:cs="Arial" w:hint="cs"/>
          <w:rtl/>
        </w:rPr>
        <w:t>,</w:t>
      </w:r>
      <w:r w:rsidRPr="00F07AF1">
        <w:rPr>
          <w:rFonts w:asciiTheme="minorBidi" w:hAnsiTheme="minorBidi" w:cs="Arial"/>
          <w:rtl/>
        </w:rPr>
        <w:t xml:space="preserve"> אבל באחרים צריך לכתוב מנה או מאתים ואחר כך להוסיף מה שירצה</w:t>
      </w:r>
      <w:r>
        <w:rPr>
          <w:rStyle w:val="a7"/>
          <w:rFonts w:asciiTheme="minorBidi" w:hAnsiTheme="minorBidi" w:cs="Arial"/>
          <w:rtl/>
        </w:rPr>
        <w:footnoteReference w:id="83"/>
      </w:r>
      <w:r>
        <w:rPr>
          <w:rFonts w:asciiTheme="minorBidi" w:hAnsiTheme="minorBidi" w:cs="Arial" w:hint="cs"/>
          <w:sz w:val="16"/>
          <w:szCs w:val="16"/>
          <w:rtl/>
        </w:rPr>
        <w:t xml:space="preserve"> (ל' הדרכ"מ בשם המרדכי)</w:t>
      </w:r>
      <w:r w:rsidRPr="00351B7D">
        <w:rPr>
          <w:rFonts w:asciiTheme="minorBidi" w:hAnsiTheme="minorBidi"/>
          <w:rtl/>
        </w:rPr>
        <w:t>.</w:t>
      </w:r>
      <w:r w:rsidRPr="00AD0D2C">
        <w:rPr>
          <w:rFonts w:asciiTheme="minorBidi" w:hAnsiTheme="minorBidi"/>
          <w:color w:val="00B0F0"/>
          <w:rtl/>
        </w:rPr>
        <w:t xml:space="preserve"> </w:t>
      </w:r>
      <w:r w:rsidRPr="00351B7D">
        <w:rPr>
          <w:rFonts w:asciiTheme="minorBidi" w:hAnsiTheme="minorBidi"/>
          <w:color w:val="00B0F0"/>
          <w:rtl/>
        </w:rPr>
        <w:t>(וכ"</w:t>
      </w:r>
      <w:r>
        <w:rPr>
          <w:rFonts w:asciiTheme="minorBidi" w:hAnsiTheme="minorBidi" w:hint="cs"/>
          <w:color w:val="00B0F0"/>
          <w:rtl/>
        </w:rPr>
        <w:t>כ</w:t>
      </w:r>
      <w:r w:rsidRPr="00351B7D">
        <w:rPr>
          <w:rFonts w:asciiTheme="minorBidi" w:hAnsiTheme="minorBidi"/>
          <w:color w:val="00B0F0"/>
          <w:rtl/>
        </w:rPr>
        <w:t xml:space="preserve"> הרמ"א) </w:t>
      </w:r>
    </w:p>
    <w:p w14:paraId="5D214E11" w14:textId="1CFA3669" w:rsidR="00973C57" w:rsidRPr="00351B7D" w:rsidRDefault="00973C57" w:rsidP="009000E3">
      <w:pPr>
        <w:pStyle w:val="ab"/>
        <w:numPr>
          <w:ilvl w:val="0"/>
          <w:numId w:val="17"/>
        </w:numPr>
        <w:rPr>
          <w:rFonts w:asciiTheme="minorBidi" w:hAnsiTheme="minorBidi"/>
          <w:rtl/>
        </w:rPr>
      </w:pPr>
      <w:r w:rsidRPr="00351B7D">
        <w:rPr>
          <w:rFonts w:asciiTheme="minorBidi" w:hAnsiTheme="minorBidi"/>
          <w:rtl/>
        </w:rPr>
        <w:t>גאונים רמב"ן ריטב"א ר"ן וריב"ש</w:t>
      </w:r>
      <w:r w:rsidRPr="00351B7D">
        <w:rPr>
          <w:rStyle w:val="a7"/>
          <w:rFonts w:asciiTheme="minorBidi" w:hAnsiTheme="minorBidi"/>
          <w:rtl/>
        </w:rPr>
        <w:footnoteReference w:id="84"/>
      </w:r>
      <w:r w:rsidRPr="00351B7D">
        <w:rPr>
          <w:rFonts w:asciiTheme="minorBidi" w:hAnsiTheme="minorBidi"/>
          <w:rtl/>
        </w:rPr>
        <w:t>- מהא</w:t>
      </w:r>
      <w:r w:rsidRPr="00351B7D">
        <w:rPr>
          <w:rFonts w:asciiTheme="minorBidi" w:hAnsiTheme="minorBidi"/>
          <w:sz w:val="16"/>
          <w:szCs w:val="16"/>
          <w:rtl/>
        </w:rPr>
        <w:t xml:space="preserve"> </w:t>
      </w:r>
      <w:r w:rsidR="003C0530" w:rsidRPr="003C0530">
        <w:rPr>
          <w:rFonts w:asciiTheme="minorBidi" w:hAnsiTheme="minorBidi" w:hint="cs"/>
          <w:sz w:val="16"/>
          <w:szCs w:val="16"/>
          <w:rtl/>
        </w:rPr>
        <w:t>{</w:t>
      </w:r>
      <w:r w:rsidRPr="003C0530">
        <w:rPr>
          <w:rFonts w:asciiTheme="minorBidi" w:hAnsiTheme="minorBidi"/>
          <w:sz w:val="16"/>
          <w:szCs w:val="16"/>
          <w:rtl/>
        </w:rPr>
        <w:t>מכתובות נד:</w:t>
      </w:r>
      <w:r w:rsidR="003C0530">
        <w:rPr>
          <w:rFonts w:asciiTheme="minorBidi" w:hAnsiTheme="minorBidi" w:hint="cs"/>
          <w:sz w:val="16"/>
          <w:szCs w:val="16"/>
          <w:rtl/>
        </w:rPr>
        <w:t>}</w:t>
      </w:r>
      <w:r w:rsidRPr="00351B7D">
        <w:rPr>
          <w:rFonts w:asciiTheme="minorBidi" w:hAnsiTheme="minorBidi"/>
          <w:rtl/>
        </w:rPr>
        <w:t xml:space="preserve"> שמעינן דמצי למיכתב סתמא ויהיבנא ליכי מוהר בתולייכי כך וכך, ואם איתא דלא שרי אלא במפרש עיקר כתובה והדר מוסיף כך וכך היכי תיסק אדעתין דליתסר ומאי כיסופא איכא בהכי</w:t>
      </w:r>
      <w:r w:rsidR="0058636E">
        <w:rPr>
          <w:rFonts w:asciiTheme="minorBidi" w:hAnsiTheme="minorBidi" w:hint="cs"/>
          <w:rtl/>
        </w:rPr>
        <w:t>,</w:t>
      </w:r>
      <w:r w:rsidRPr="00351B7D">
        <w:rPr>
          <w:rFonts w:asciiTheme="minorBidi" w:hAnsiTheme="minorBidi"/>
          <w:rtl/>
        </w:rPr>
        <w:t xml:space="preserve"> וכי אילו בעי למיתב מדיליה מי לא מצי יהיב</w:t>
      </w:r>
      <w:r w:rsidR="0058636E">
        <w:rPr>
          <w:rFonts w:asciiTheme="minorBidi" w:hAnsiTheme="minorBidi" w:hint="cs"/>
          <w:rtl/>
        </w:rPr>
        <w:t>.</w:t>
      </w:r>
      <w:r w:rsidRPr="00351B7D">
        <w:rPr>
          <w:rFonts w:asciiTheme="minorBidi" w:hAnsiTheme="minorBidi"/>
          <w:rtl/>
        </w:rPr>
        <w:t xml:space="preserve"> אלא ודאי במיכתב סתמא עסקינן</w:t>
      </w:r>
      <w:r w:rsidR="00D15C50">
        <w:rPr>
          <w:rFonts w:asciiTheme="minorBidi" w:hAnsiTheme="minorBidi" w:hint="cs"/>
          <w:rtl/>
        </w:rPr>
        <w:t>,</w:t>
      </w:r>
      <w:r w:rsidRPr="00351B7D">
        <w:rPr>
          <w:rFonts w:asciiTheme="minorBidi" w:hAnsiTheme="minorBidi"/>
          <w:rtl/>
        </w:rPr>
        <w:t xml:space="preserve"> דבהכי מצי סלקא דעתין למיחש אכיסופא כיון שלזו כותבין מוהר אחד ולזו מוהר אחר</w:t>
      </w:r>
      <w:r w:rsidR="00D15C50">
        <w:rPr>
          <w:rFonts w:asciiTheme="minorBidi" w:hAnsiTheme="minorBidi" w:hint="cs"/>
          <w:rtl/>
        </w:rPr>
        <w:t>,</w:t>
      </w:r>
      <w:r w:rsidRPr="00351B7D">
        <w:rPr>
          <w:rFonts w:asciiTheme="minorBidi" w:hAnsiTheme="minorBidi"/>
          <w:rtl/>
        </w:rPr>
        <w:t xml:space="preserve"> ואפ"ה בכה"ג מסקינן דשרי</w:t>
      </w:r>
      <w:r w:rsidRPr="00351B7D">
        <w:rPr>
          <w:rFonts w:asciiTheme="minorBidi" w:hAnsiTheme="minorBidi"/>
          <w:sz w:val="14"/>
          <w:szCs w:val="14"/>
          <w:rtl/>
        </w:rPr>
        <w:t xml:space="preserve"> </w:t>
      </w:r>
      <w:r w:rsidRPr="003C0530">
        <w:rPr>
          <w:rFonts w:asciiTheme="minorBidi" w:hAnsiTheme="minorBidi"/>
          <w:sz w:val="16"/>
          <w:szCs w:val="16"/>
          <w:rtl/>
        </w:rPr>
        <w:t>(ל' הר"ן)</w:t>
      </w:r>
      <w:r w:rsidRPr="00351B7D">
        <w:rPr>
          <w:rFonts w:asciiTheme="minorBidi" w:hAnsiTheme="minorBidi"/>
          <w:rtl/>
        </w:rPr>
        <w:t>.</w:t>
      </w:r>
    </w:p>
    <w:p w14:paraId="24234D7C" w14:textId="067D1A61" w:rsidR="00973C57" w:rsidRPr="00351B7D" w:rsidRDefault="00CF38C8" w:rsidP="00973C57">
      <w:pPr>
        <w:rPr>
          <w:rFonts w:asciiTheme="minorBidi" w:hAnsiTheme="minorBidi"/>
          <w:color w:val="000000"/>
          <w:sz w:val="16"/>
          <w:szCs w:val="16"/>
        </w:rPr>
      </w:pPr>
      <w:r>
        <w:rPr>
          <w:rFonts w:asciiTheme="minorBidi" w:hAnsiTheme="minorBidi" w:hint="cs"/>
          <w:u w:val="single"/>
          <w:rtl/>
        </w:rPr>
        <w:t xml:space="preserve">הכותב לאשתו תוספת לאחר שפירש את סכום עיקר הכתובה - </w:t>
      </w:r>
      <w:r w:rsidR="00973C57" w:rsidRPr="00351B7D">
        <w:rPr>
          <w:rFonts w:asciiTheme="minorBidi" w:hAnsiTheme="minorBidi"/>
          <w:u w:val="single"/>
          <w:rtl/>
        </w:rPr>
        <w:t xml:space="preserve">האם </w:t>
      </w:r>
      <w:r>
        <w:rPr>
          <w:rFonts w:asciiTheme="minorBidi" w:hAnsiTheme="minorBidi" w:hint="cs"/>
          <w:u w:val="single"/>
          <w:rtl/>
        </w:rPr>
        <w:t>התוספת כוללת את העיקר</w:t>
      </w:r>
      <w:r w:rsidR="00973C57" w:rsidRPr="00351B7D">
        <w:rPr>
          <w:rFonts w:asciiTheme="minorBidi" w:hAnsiTheme="minorBidi"/>
          <w:u w:val="single"/>
          <w:rtl/>
        </w:rPr>
        <w:t>:</w:t>
      </w:r>
      <w:r w:rsidR="00973C57" w:rsidRPr="00351B7D">
        <w:rPr>
          <w:rFonts w:asciiTheme="minorBidi" w:hAnsiTheme="minorBidi"/>
          <w:color w:val="000000"/>
          <w:sz w:val="16"/>
          <w:szCs w:val="16"/>
          <w:rtl/>
        </w:rPr>
        <w:t xml:space="preserve"> </w:t>
      </w:r>
    </w:p>
    <w:p w14:paraId="796050CE" w14:textId="21E016CB" w:rsidR="00973C57" w:rsidRPr="00351B7D" w:rsidRDefault="00973C57" w:rsidP="009000E3">
      <w:pPr>
        <w:pStyle w:val="ab"/>
        <w:numPr>
          <w:ilvl w:val="0"/>
          <w:numId w:val="17"/>
        </w:numPr>
        <w:rPr>
          <w:rFonts w:asciiTheme="minorBidi" w:hAnsiTheme="minorBidi"/>
          <w:rtl/>
        </w:rPr>
      </w:pPr>
      <w:r w:rsidRPr="00351B7D">
        <w:rPr>
          <w:rFonts w:asciiTheme="minorBidi" w:hAnsiTheme="minorBidi"/>
          <w:rtl/>
        </w:rPr>
        <w:t>ריב"ש</w:t>
      </w:r>
      <w:r w:rsidRPr="00351B7D">
        <w:rPr>
          <w:rFonts w:asciiTheme="minorBidi" w:hAnsiTheme="minorBidi"/>
          <w:sz w:val="16"/>
          <w:szCs w:val="16"/>
          <w:rtl/>
        </w:rPr>
        <w:t xml:space="preserve"> (סי' סה)</w:t>
      </w:r>
      <w:r w:rsidRPr="00351B7D">
        <w:rPr>
          <w:rFonts w:asciiTheme="minorBidi" w:hAnsiTheme="minorBidi"/>
          <w:rtl/>
        </w:rPr>
        <w:t>- דבר ברור שאין עיקר הכתובה שהוא מנה ומאתים בכלל התוספת אא"כ כלל התוספת עם עיקר הכתובה כגון שכתב 'ויהיבנא ליכי מוהר בתולייכי כסף זוזי אלף' שאז כלל עיקר הכתובה עם התוספת, וזהו ששנינו בפרק אף על פי (נד:) אם רצה להוסיף אפילו מאה מנה מוסיף</w:t>
      </w:r>
      <w:r w:rsidR="00CB5B07">
        <w:rPr>
          <w:rFonts w:asciiTheme="minorBidi" w:hAnsiTheme="minorBidi" w:hint="cs"/>
          <w:rtl/>
        </w:rPr>
        <w:t>.</w:t>
      </w:r>
      <w:r w:rsidRPr="00351B7D">
        <w:rPr>
          <w:rFonts w:asciiTheme="minorBidi" w:hAnsiTheme="minorBidi"/>
          <w:rtl/>
        </w:rPr>
        <w:t xml:space="preserve"> ולכן הדבר מבואר שאם כתב ויהיבנא ליכי מוהרייכי כסף זוזי מאה או מאתים דחזו ליכי, ומצד אחר כתב לה והוסיף לה מדיליה כך וכך </w:t>
      </w:r>
      <w:r w:rsidR="00CF38C8">
        <w:rPr>
          <w:rFonts w:asciiTheme="minorBidi" w:hAnsiTheme="minorBidi" w:hint="cs"/>
          <w:rtl/>
        </w:rPr>
        <w:t xml:space="preserve">- </w:t>
      </w:r>
      <w:r w:rsidRPr="00351B7D">
        <w:rPr>
          <w:rFonts w:asciiTheme="minorBidi" w:hAnsiTheme="minorBidi"/>
          <w:rtl/>
        </w:rPr>
        <w:t>גובה עיקר וגובה תוספת</w:t>
      </w:r>
      <w:r w:rsidR="00CF38C8">
        <w:rPr>
          <w:rFonts w:asciiTheme="minorBidi" w:hAnsiTheme="minorBidi" w:hint="cs"/>
          <w:rtl/>
        </w:rPr>
        <w:t>.</w:t>
      </w:r>
      <w:r w:rsidRPr="00351B7D">
        <w:rPr>
          <w:rFonts w:asciiTheme="minorBidi" w:hAnsiTheme="minorBidi"/>
          <w:rtl/>
        </w:rPr>
        <w:t xml:space="preserve"> גם יש מקומות שכותבים בביאור והוסיף לה מדיליה תוספת על עיקר כתובתה כך וכך</w:t>
      </w:r>
      <w:r w:rsidR="00CF38C8">
        <w:rPr>
          <w:rFonts w:asciiTheme="minorBidi" w:hAnsiTheme="minorBidi" w:hint="cs"/>
          <w:rtl/>
        </w:rPr>
        <w:t>.</w:t>
      </w:r>
      <w:r w:rsidRPr="00351B7D">
        <w:rPr>
          <w:rFonts w:asciiTheme="minorBidi" w:hAnsiTheme="minorBidi"/>
          <w:rtl/>
        </w:rPr>
        <w:t xml:space="preserve"> ואם יש ב"ד שאין מגבין עיקר כתובה בכיוצא בזה טעות הוא בידם, ואע"פ שלפעמים בהיות הנדוניא גדולה אין האשה חוששת בגביית העיקר למיעוטו, אם תקפיד עליו מגבין לה.</w:t>
      </w:r>
      <w:r w:rsidRPr="00351B7D">
        <w:rPr>
          <w:rFonts w:asciiTheme="minorBidi" w:hAnsiTheme="minorBidi"/>
          <w:color w:val="00B0F0"/>
          <w:rtl/>
        </w:rPr>
        <w:t xml:space="preserve"> (וכ"פ הרמ"א)</w:t>
      </w:r>
    </w:p>
    <w:p w14:paraId="7F08E8F7" w14:textId="77777777" w:rsidR="00973C57" w:rsidRPr="00351B7D" w:rsidRDefault="00973C57" w:rsidP="00973C5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13DE4EEF" w14:textId="519179ED" w:rsidR="00973C57" w:rsidRPr="00CF38C8" w:rsidRDefault="00973C57" w:rsidP="00973C57">
      <w:pPr>
        <w:rPr>
          <w:rFonts w:asciiTheme="minorBidi" w:hAnsiTheme="minorBidi"/>
          <w:color w:val="000000"/>
          <w:sz w:val="18"/>
          <w:szCs w:val="18"/>
          <w:rtl/>
        </w:rPr>
      </w:pPr>
      <w:r w:rsidRPr="00351B7D">
        <w:rPr>
          <w:rFonts w:asciiTheme="minorBidi" w:hAnsiTheme="minorBidi"/>
          <w:rtl/>
        </w:rPr>
        <w:t>אם ירצה להוסיף על זה</w:t>
      </w:r>
      <w:r w:rsidR="00CF38C8">
        <w:rPr>
          <w:rFonts w:asciiTheme="minorBidi" w:hAnsiTheme="minorBidi" w:hint="cs"/>
          <w:rtl/>
        </w:rPr>
        <w:t>,</w:t>
      </w:r>
      <w:r w:rsidRPr="00351B7D">
        <w:rPr>
          <w:rFonts w:asciiTheme="minorBidi" w:hAnsiTheme="minorBidi"/>
          <w:rtl/>
        </w:rPr>
        <w:t xml:space="preserve"> מוסיף</w:t>
      </w:r>
      <w:r w:rsidR="00CF38C8">
        <w:rPr>
          <w:rFonts w:asciiTheme="minorBidi" w:hAnsiTheme="minorBidi" w:hint="cs"/>
          <w:rtl/>
        </w:rPr>
        <w:t>.</w:t>
      </w:r>
      <w:r w:rsidRPr="00351B7D">
        <w:rPr>
          <w:rFonts w:asciiTheme="minorBidi" w:hAnsiTheme="minorBidi"/>
          <w:rtl/>
        </w:rPr>
        <w:t xml:space="preserve"> וזה התוספות שמוסיף יש דברים שדינו בהם כעיקר הכתובה</w:t>
      </w:r>
      <w:r w:rsidR="001814D5">
        <w:rPr>
          <w:rFonts w:asciiTheme="minorBidi" w:hAnsiTheme="minorBidi" w:hint="cs"/>
          <w:rtl/>
        </w:rPr>
        <w:t>,</w:t>
      </w:r>
      <w:r w:rsidRPr="00351B7D">
        <w:rPr>
          <w:rFonts w:asciiTheme="minorBidi" w:hAnsiTheme="minorBidi"/>
          <w:rtl/>
        </w:rPr>
        <w:t xml:space="preserve"> ויש דברים שהוא חלוק בהם מעיקר הכתובה כדלקמן.</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 xml:space="preserve">הגה: ואין צריך </w:t>
      </w:r>
      <w:r w:rsidRPr="00CF38C8">
        <w:rPr>
          <w:rFonts w:asciiTheme="minorBidi" w:hAnsiTheme="minorBidi"/>
          <w:color w:val="000000"/>
          <w:sz w:val="18"/>
          <w:szCs w:val="18"/>
          <w:rtl/>
        </w:rPr>
        <w:t>לפרש עיקר הכתובה בפני עצמה והתוספת בפני עצמו אלא כולל הכל ביחד אם ירצה (ר"ן המ"מ וריב"ש), ויש חולקים וסבירא להו דצריך לכתוב הכתובה כמנהג המדינה בפני עצמה והתוספת בפני עצמו</w:t>
      </w:r>
      <w:r w:rsidR="00AD0D2C">
        <w:rPr>
          <w:rFonts w:asciiTheme="minorBidi" w:hAnsiTheme="minorBidi" w:hint="cs"/>
          <w:color w:val="000000"/>
          <w:sz w:val="18"/>
          <w:szCs w:val="18"/>
          <w:rtl/>
        </w:rPr>
        <w:t xml:space="preserve"> (תוס' ומרדכי).</w:t>
      </w:r>
      <w:r w:rsidRPr="00CF38C8">
        <w:rPr>
          <w:rFonts w:asciiTheme="minorBidi" w:hAnsiTheme="minorBidi"/>
          <w:color w:val="000000"/>
          <w:sz w:val="18"/>
          <w:szCs w:val="18"/>
          <w:rtl/>
        </w:rPr>
        <w:t xml:space="preserve"> וכן נוהגין. ואם יש משפחה שכולן נוהגים בתוספת אין צריך לכתוב כל אחד בפני עצמו (</w:t>
      </w:r>
      <w:r w:rsidR="00AD0D2C">
        <w:rPr>
          <w:rFonts w:asciiTheme="minorBidi" w:hAnsiTheme="minorBidi" w:hint="cs"/>
          <w:color w:val="000000"/>
          <w:sz w:val="18"/>
          <w:szCs w:val="18"/>
          <w:rtl/>
        </w:rPr>
        <w:t>תוס' ומרדכי</w:t>
      </w:r>
      <w:r w:rsidRPr="00CF38C8">
        <w:rPr>
          <w:rFonts w:asciiTheme="minorBidi" w:hAnsiTheme="minorBidi"/>
          <w:color w:val="000000"/>
          <w:sz w:val="18"/>
          <w:szCs w:val="18"/>
          <w:rtl/>
        </w:rPr>
        <w:t>). כתובה שכתב בה: ודין נדוניא דהנעלת ליה מאה דינרין והוסיף לה מן דיליה כך וכך, אין עיקר כתובה בכלל</w:t>
      </w:r>
      <w:r w:rsidRPr="00CF38C8">
        <w:rPr>
          <w:rStyle w:val="a7"/>
          <w:rFonts w:asciiTheme="minorBidi" w:hAnsiTheme="minorBidi"/>
          <w:color w:val="000000"/>
          <w:sz w:val="18"/>
          <w:szCs w:val="18"/>
          <w:rtl/>
        </w:rPr>
        <w:footnoteReference w:id="85"/>
      </w:r>
      <w:r w:rsidR="00AD0D2C">
        <w:rPr>
          <w:rFonts w:asciiTheme="minorBidi" w:hAnsiTheme="minorBidi" w:hint="cs"/>
          <w:color w:val="000000"/>
          <w:sz w:val="18"/>
          <w:szCs w:val="18"/>
          <w:rtl/>
        </w:rPr>
        <w:t>,</w:t>
      </w:r>
      <w:r w:rsidRPr="00CF38C8">
        <w:rPr>
          <w:rFonts w:asciiTheme="minorBidi" w:hAnsiTheme="minorBidi"/>
          <w:color w:val="000000"/>
          <w:sz w:val="18"/>
          <w:szCs w:val="18"/>
          <w:rtl/>
        </w:rPr>
        <w:t xml:space="preserve"> וצריך לשלם לה בפני עצמו עד שיהיו כתוב: ויהיבנא ליכי מוהר בתוליכי כסף זוזי אלף</w:t>
      </w:r>
      <w:r w:rsidRPr="00CF38C8">
        <w:rPr>
          <w:rStyle w:val="a7"/>
          <w:rFonts w:asciiTheme="minorBidi" w:hAnsiTheme="minorBidi"/>
          <w:color w:val="000000"/>
          <w:sz w:val="18"/>
          <w:szCs w:val="18"/>
          <w:rtl/>
        </w:rPr>
        <w:footnoteReference w:id="86"/>
      </w:r>
      <w:r w:rsidRPr="00CF38C8">
        <w:rPr>
          <w:rFonts w:asciiTheme="minorBidi" w:hAnsiTheme="minorBidi"/>
          <w:color w:val="000000"/>
          <w:sz w:val="18"/>
          <w:szCs w:val="18"/>
          <w:rtl/>
        </w:rPr>
        <w:t xml:space="preserve">, דאז העיקר כתובה בכלל (ריב"ש). </w:t>
      </w:r>
    </w:p>
    <w:p w14:paraId="5286DC66" w14:textId="77777777" w:rsidR="00973C57" w:rsidRPr="00351B7D" w:rsidRDefault="00973C57" w:rsidP="00973C57">
      <w:pPr>
        <w:rPr>
          <w:rFonts w:asciiTheme="minorBidi" w:hAnsiTheme="minorBidi"/>
          <w:color w:val="000000"/>
          <w:rtl/>
        </w:rPr>
      </w:pPr>
    </w:p>
    <w:p w14:paraId="1AC20A07" w14:textId="77777777" w:rsidR="00973C57" w:rsidRPr="00351B7D" w:rsidRDefault="00973C57" w:rsidP="000F64D0">
      <w:pPr>
        <w:pStyle w:val="2"/>
        <w:rPr>
          <w:rtl/>
        </w:rPr>
      </w:pPr>
      <w:r w:rsidRPr="00351B7D">
        <w:rPr>
          <w:rtl/>
        </w:rPr>
        <w:t>סעיף ח: קנין בתוספת כתובה.</w:t>
      </w:r>
    </w:p>
    <w:p w14:paraId="21076146" w14:textId="0CF2D130" w:rsidR="00973C57" w:rsidRPr="00351B7D" w:rsidRDefault="00973C57" w:rsidP="00973C57">
      <w:pPr>
        <w:rPr>
          <w:rFonts w:asciiTheme="minorBidi" w:hAnsiTheme="minorBidi"/>
          <w:rtl/>
        </w:rPr>
      </w:pPr>
      <w:r w:rsidRPr="00351B7D">
        <w:rPr>
          <w:rFonts w:asciiTheme="minorBidi" w:hAnsiTheme="minorBidi"/>
          <w:b/>
          <w:bCs/>
          <w:rtl/>
        </w:rPr>
        <w:t xml:space="preserve">כתובות </w:t>
      </w:r>
      <w:r w:rsidR="008335D0">
        <w:rPr>
          <w:rFonts w:asciiTheme="minorBidi" w:hAnsiTheme="minorBidi" w:hint="cs"/>
          <w:b/>
          <w:bCs/>
          <w:sz w:val="16"/>
          <w:szCs w:val="16"/>
          <w:rtl/>
        </w:rPr>
        <w:t xml:space="preserve">(ר"פ הנושא) </w:t>
      </w:r>
      <w:r w:rsidRPr="00351B7D">
        <w:rPr>
          <w:rFonts w:asciiTheme="minorBidi" w:hAnsiTheme="minorBidi"/>
          <w:b/>
          <w:bCs/>
          <w:rtl/>
        </w:rPr>
        <w:t>קב</w:t>
      </w:r>
      <w:r w:rsidR="00DA7DB6">
        <w:rPr>
          <w:rStyle w:val="a7"/>
          <w:rFonts w:asciiTheme="minorBidi" w:hAnsiTheme="minorBidi"/>
          <w:b/>
          <w:bCs/>
          <w:rtl/>
        </w:rPr>
        <w:footnoteReference w:id="87"/>
      </w:r>
      <w:r w:rsidRPr="00351B7D">
        <w:rPr>
          <w:rFonts w:asciiTheme="minorBidi" w:hAnsiTheme="minorBidi"/>
          <w:b/>
          <w:bCs/>
          <w:rtl/>
        </w:rPr>
        <w:t xml:space="preserve"> ע"א: </w:t>
      </w:r>
      <w:r w:rsidRPr="00351B7D">
        <w:rPr>
          <w:rFonts w:asciiTheme="minorBidi" w:hAnsiTheme="minorBidi"/>
          <w:u w:val="single"/>
          <w:rtl/>
        </w:rPr>
        <w:t>דאמר רב גידל אמר רב:</w:t>
      </w:r>
      <w:r w:rsidRPr="00351B7D">
        <w:rPr>
          <w:rFonts w:asciiTheme="minorBidi" w:hAnsiTheme="minorBidi"/>
          <w:rtl/>
        </w:rPr>
        <w:t xml:space="preserve"> כמה אתה נותן לבנך? כך וכך, וכמה אתה נותן לבתך? כך וכך, עמדו וקידשו - קנו, הן הן הדברים הנקנין באמירה</w:t>
      </w:r>
      <w:r w:rsidRPr="00351B7D">
        <w:rPr>
          <w:rStyle w:val="a7"/>
          <w:rFonts w:asciiTheme="minorBidi" w:hAnsiTheme="minorBidi"/>
          <w:rtl/>
        </w:rPr>
        <w:footnoteReference w:id="88"/>
      </w:r>
      <w:r w:rsidRPr="00351B7D">
        <w:rPr>
          <w:rFonts w:asciiTheme="minorBidi" w:hAnsiTheme="minorBidi"/>
          <w:rtl/>
        </w:rPr>
        <w:t xml:space="preserve">. </w:t>
      </w:r>
    </w:p>
    <w:p w14:paraId="332B6CC8" w14:textId="667DAAD7" w:rsidR="00973C57" w:rsidRDefault="00973C57" w:rsidP="00973C57">
      <w:pPr>
        <w:rPr>
          <w:rFonts w:asciiTheme="minorBidi" w:hAnsiTheme="minorBidi"/>
          <w:rtl/>
        </w:rPr>
      </w:pPr>
      <w:r w:rsidRPr="00351B7D">
        <w:rPr>
          <w:rFonts w:asciiTheme="minorBidi" w:hAnsiTheme="minorBidi"/>
          <w:b/>
          <w:bCs/>
          <w:rtl/>
        </w:rPr>
        <w:t>ירושלמי</w:t>
      </w:r>
      <w:r w:rsidR="00052E92">
        <w:rPr>
          <w:rFonts w:asciiTheme="minorBidi" w:hAnsiTheme="minorBidi" w:hint="cs"/>
          <w:b/>
          <w:bCs/>
          <w:rtl/>
        </w:rPr>
        <w:t xml:space="preserve"> </w:t>
      </w:r>
      <w:r w:rsidRPr="00351B7D">
        <w:rPr>
          <w:rFonts w:asciiTheme="minorBidi" w:hAnsiTheme="minorBidi"/>
          <w:b/>
          <w:bCs/>
          <w:rtl/>
        </w:rPr>
        <w:t>כתובות פ"ה ה"א:</w:t>
      </w:r>
      <w:r w:rsidRPr="00351B7D">
        <w:rPr>
          <w:rFonts w:asciiTheme="minorBidi" w:hAnsiTheme="minorBidi"/>
          <w:rtl/>
        </w:rPr>
        <w:t xml:space="preserve"> רוצה הוא ליתן כמה ולא תחזור בה</w:t>
      </w:r>
      <w:r w:rsidR="009138A3">
        <w:rPr>
          <w:rFonts w:asciiTheme="minorBidi" w:hAnsiTheme="minorBidi" w:hint="cs"/>
          <w:rtl/>
        </w:rPr>
        <w:t>.</w:t>
      </w:r>
      <w:r w:rsidRPr="00351B7D">
        <w:rPr>
          <w:rFonts w:asciiTheme="minorBidi" w:hAnsiTheme="minorBidi"/>
          <w:rtl/>
        </w:rPr>
        <w:t xml:space="preserve"> ויכולה היא? לא כן תני</w:t>
      </w:r>
      <w:r w:rsidR="009138A3">
        <w:rPr>
          <w:rFonts w:asciiTheme="minorBidi" w:hAnsiTheme="minorBidi" w:hint="cs"/>
          <w:rtl/>
        </w:rPr>
        <w:t>:</w:t>
      </w:r>
      <w:r w:rsidRPr="00351B7D">
        <w:rPr>
          <w:rFonts w:asciiTheme="minorBidi" w:hAnsiTheme="minorBidi"/>
          <w:rtl/>
        </w:rPr>
        <w:t xml:space="preserve"> האיש אינו מוציא אלא לרצונו! </w:t>
      </w:r>
      <w:r w:rsidRPr="00351B7D">
        <w:rPr>
          <w:rFonts w:asciiTheme="minorBidi" w:hAnsiTheme="minorBidi"/>
          <w:u w:val="single"/>
          <w:rtl/>
        </w:rPr>
        <w:t>אמר רבי אבין</w:t>
      </w:r>
      <w:r w:rsidR="00052E92">
        <w:rPr>
          <w:rFonts w:asciiTheme="minorBidi" w:hAnsiTheme="minorBidi" w:hint="cs"/>
          <w:rtl/>
        </w:rPr>
        <w:t>:</w:t>
      </w:r>
      <w:r w:rsidRPr="00351B7D">
        <w:rPr>
          <w:rFonts w:asciiTheme="minorBidi" w:hAnsiTheme="minorBidi"/>
          <w:rtl/>
        </w:rPr>
        <w:t xml:space="preserve"> מעיקא היא ליה</w:t>
      </w:r>
      <w:r w:rsidR="00052E92">
        <w:rPr>
          <w:rFonts w:asciiTheme="minorBidi" w:hAnsiTheme="minorBidi" w:hint="cs"/>
          <w:rtl/>
        </w:rPr>
        <w:t xml:space="preserve"> </w:t>
      </w:r>
      <w:r w:rsidRPr="00351B7D">
        <w:rPr>
          <w:rFonts w:asciiTheme="minorBidi" w:hAnsiTheme="minorBidi"/>
          <w:rtl/>
        </w:rPr>
        <w:t>- הוא משבק לה</w:t>
      </w:r>
      <w:r w:rsidR="009138A3">
        <w:rPr>
          <w:rFonts w:asciiTheme="minorBidi" w:hAnsiTheme="minorBidi" w:hint="cs"/>
          <w:rtl/>
        </w:rPr>
        <w:t>.</w:t>
      </w:r>
      <w:r w:rsidRPr="00351B7D">
        <w:rPr>
          <w:rFonts w:asciiTheme="minorBidi" w:hAnsiTheme="minorBidi"/>
          <w:rtl/>
        </w:rPr>
        <w:t xml:space="preserve"> תני כשם שהבעל פוסק כך האב פוסק</w:t>
      </w:r>
      <w:r w:rsidR="009138A3">
        <w:rPr>
          <w:rFonts w:asciiTheme="minorBidi" w:hAnsiTheme="minorBidi" w:hint="cs"/>
          <w:rtl/>
        </w:rPr>
        <w:t>,</w:t>
      </w:r>
      <w:r w:rsidRPr="00351B7D">
        <w:rPr>
          <w:rFonts w:asciiTheme="minorBidi" w:hAnsiTheme="minorBidi"/>
          <w:rtl/>
        </w:rPr>
        <w:t xml:space="preserve"> אלא שהבעל מזכה בכתב</w:t>
      </w:r>
      <w:r w:rsidR="009138A3">
        <w:rPr>
          <w:rFonts w:asciiTheme="minorBidi" w:hAnsiTheme="minorBidi" w:hint="cs"/>
          <w:rtl/>
        </w:rPr>
        <w:t>,</w:t>
      </w:r>
      <w:r w:rsidRPr="00351B7D">
        <w:rPr>
          <w:rFonts w:asciiTheme="minorBidi" w:hAnsiTheme="minorBidi"/>
          <w:rtl/>
        </w:rPr>
        <w:t xml:space="preserve"> והאב אינו מזכה אלא בדברים</w:t>
      </w:r>
      <w:r w:rsidR="00490C67">
        <w:rPr>
          <w:rFonts w:asciiTheme="minorBidi" w:hAnsiTheme="minorBidi" w:hint="cs"/>
          <w:rtl/>
        </w:rPr>
        <w:t>,</w:t>
      </w:r>
      <w:r w:rsidRPr="00351B7D">
        <w:rPr>
          <w:rFonts w:asciiTheme="minorBidi" w:hAnsiTheme="minorBidi"/>
          <w:rtl/>
        </w:rPr>
        <w:t xml:space="preserve"> ובלבד דברים שהן נקנין באמירה, היך עבידא... </w:t>
      </w:r>
      <w:r w:rsidRPr="00351B7D">
        <w:rPr>
          <w:rFonts w:asciiTheme="minorBidi" w:hAnsiTheme="minorBidi"/>
          <w:u w:val="single"/>
          <w:rtl/>
        </w:rPr>
        <w:t>ר' בא בר חייה בשם ר' יוחנן:</w:t>
      </w:r>
      <w:r w:rsidRPr="00351B7D">
        <w:rPr>
          <w:rFonts w:asciiTheme="minorBidi" w:hAnsiTheme="minorBidi"/>
          <w:rtl/>
        </w:rPr>
        <w:t xml:space="preserve"> כמה אתה נותן לבנך? כך וכך, כמה אתה נותן לבתך? כך וכך, כיון שקידשה זכת הבת בין הבנות והבן בין הבנים</w:t>
      </w:r>
      <w:r w:rsidR="00490C67">
        <w:rPr>
          <w:rFonts w:asciiTheme="minorBidi" w:hAnsiTheme="minorBidi" w:hint="cs"/>
          <w:rtl/>
        </w:rPr>
        <w:t>,</w:t>
      </w:r>
      <w:r w:rsidRPr="00351B7D">
        <w:rPr>
          <w:rFonts w:asciiTheme="minorBidi" w:hAnsiTheme="minorBidi"/>
          <w:rtl/>
        </w:rPr>
        <w:t xml:space="preserve"> ובלבד מן הנישואין הראשונים.</w:t>
      </w:r>
    </w:p>
    <w:p w14:paraId="7E0FED44" w14:textId="70A88E0B" w:rsidR="005B2EA0" w:rsidRPr="007564E4" w:rsidRDefault="00821BD0" w:rsidP="00973C57">
      <w:pPr>
        <w:rPr>
          <w:rFonts w:asciiTheme="minorBidi" w:hAnsiTheme="minorBidi"/>
          <w:u w:val="single"/>
          <w:rtl/>
        </w:rPr>
      </w:pPr>
      <w:r w:rsidRPr="007564E4">
        <w:rPr>
          <w:rFonts w:asciiTheme="minorBidi" w:hAnsiTheme="minorBidi" w:hint="cs"/>
          <w:u w:val="single"/>
          <w:rtl/>
        </w:rPr>
        <w:t>המתחייב לאשתו</w:t>
      </w:r>
      <w:r w:rsidR="00515D8A">
        <w:rPr>
          <w:rFonts w:asciiTheme="minorBidi" w:hAnsiTheme="minorBidi" w:hint="cs"/>
          <w:u w:val="single"/>
          <w:rtl/>
        </w:rPr>
        <w:t xml:space="preserve"> תוספת</w:t>
      </w:r>
      <w:r w:rsidRPr="007564E4">
        <w:rPr>
          <w:rFonts w:asciiTheme="minorBidi" w:hAnsiTheme="minorBidi" w:hint="cs"/>
          <w:u w:val="single"/>
          <w:rtl/>
        </w:rPr>
        <w:t xml:space="preserve"> ממו</w:t>
      </w:r>
      <w:r w:rsidR="00515D8A">
        <w:rPr>
          <w:rFonts w:asciiTheme="minorBidi" w:hAnsiTheme="minorBidi" w:hint="cs"/>
          <w:u w:val="single"/>
          <w:rtl/>
        </w:rPr>
        <w:t>ן</w:t>
      </w:r>
      <w:r w:rsidRPr="007564E4">
        <w:rPr>
          <w:rFonts w:asciiTheme="minorBidi" w:hAnsiTheme="minorBidi" w:hint="cs"/>
          <w:u w:val="single"/>
          <w:rtl/>
        </w:rPr>
        <w:t xml:space="preserve"> בשעת הנישואין - האם צריך קנין</w:t>
      </w:r>
      <w:r w:rsidR="007564E4" w:rsidRPr="007564E4">
        <w:rPr>
          <w:rFonts w:asciiTheme="minorBidi" w:hAnsiTheme="minorBidi" w:hint="cs"/>
          <w:u w:val="single"/>
          <w:rtl/>
        </w:rPr>
        <w:t xml:space="preserve"> כדי שלא יוכל לחזור בו:</w:t>
      </w:r>
    </w:p>
    <w:p w14:paraId="00D5C967" w14:textId="1F5FED26" w:rsidR="00C26C27" w:rsidRPr="00C26C27" w:rsidRDefault="000D1C6C" w:rsidP="009000E3">
      <w:pPr>
        <w:pStyle w:val="ab"/>
        <w:numPr>
          <w:ilvl w:val="0"/>
          <w:numId w:val="17"/>
        </w:numPr>
        <w:rPr>
          <w:rFonts w:asciiTheme="minorBidi" w:hAnsiTheme="minorBidi"/>
        </w:rPr>
      </w:pPr>
      <w:r w:rsidRPr="00351B7D">
        <w:rPr>
          <w:rFonts w:asciiTheme="minorBidi" w:hAnsiTheme="minorBidi"/>
          <w:rtl/>
        </w:rPr>
        <w:t>רמב"ם</w:t>
      </w:r>
      <w:r w:rsidRPr="00351B7D">
        <w:rPr>
          <w:rStyle w:val="a7"/>
          <w:rFonts w:asciiTheme="minorBidi" w:hAnsiTheme="minorBidi"/>
          <w:rtl/>
        </w:rPr>
        <w:footnoteReference w:id="89"/>
      </w:r>
      <w:r w:rsidRPr="00351B7D">
        <w:rPr>
          <w:rFonts w:asciiTheme="minorBidi" w:hAnsiTheme="minorBidi"/>
          <w:sz w:val="16"/>
          <w:szCs w:val="16"/>
          <w:rtl/>
        </w:rPr>
        <w:t xml:space="preserve"> (הל' מכירה פי"א הי"ז)</w:t>
      </w:r>
      <w:r w:rsidRPr="00351B7D">
        <w:rPr>
          <w:rFonts w:asciiTheme="minorBidi" w:hAnsiTheme="minorBidi"/>
          <w:rtl/>
        </w:rPr>
        <w:t xml:space="preserve"> ריטב"א </w:t>
      </w:r>
      <w:r w:rsidRPr="00351B7D">
        <w:rPr>
          <w:rFonts w:asciiTheme="minorBidi" w:hAnsiTheme="minorBidi"/>
          <w:sz w:val="16"/>
          <w:szCs w:val="16"/>
          <w:rtl/>
        </w:rPr>
        <w:t>(כתובות נד: ד"ה מן הנישואין)</w:t>
      </w:r>
      <w:r>
        <w:rPr>
          <w:rFonts w:asciiTheme="minorBidi" w:hAnsiTheme="minorBidi" w:cs="Arial" w:hint="cs"/>
          <w:rtl/>
        </w:rPr>
        <w:t xml:space="preserve"> ו</w:t>
      </w:r>
      <w:r w:rsidR="00A96B82" w:rsidRPr="002F0840">
        <w:rPr>
          <w:rFonts w:asciiTheme="minorBidi" w:hAnsiTheme="minorBidi" w:cs="Arial" w:hint="cs"/>
          <w:rtl/>
        </w:rPr>
        <w:t xml:space="preserve">טור- </w:t>
      </w:r>
      <w:r w:rsidR="00910208" w:rsidRPr="002F0840">
        <w:rPr>
          <w:rFonts w:asciiTheme="minorBidi" w:hAnsiTheme="minorBidi" w:cs="Arial"/>
          <w:rtl/>
        </w:rPr>
        <w:t>כתב רב האי שא</w:t>
      </w:r>
      <w:r w:rsidR="00E15D27" w:rsidRPr="002F0840">
        <w:rPr>
          <w:rFonts w:asciiTheme="minorBidi" w:hAnsiTheme="minorBidi" w:cs="Arial" w:hint="cs"/>
          <w:rtl/>
        </w:rPr>
        <w:t>ין צריך</w:t>
      </w:r>
      <w:r w:rsidR="00910208" w:rsidRPr="002F0840">
        <w:rPr>
          <w:rFonts w:asciiTheme="minorBidi" w:hAnsiTheme="minorBidi" w:cs="Arial"/>
          <w:rtl/>
        </w:rPr>
        <w:t xml:space="preserve"> קנין בשעת נשואין במה שנתן לה</w:t>
      </w:r>
      <w:r w:rsidR="00E15D27" w:rsidRPr="002F0840">
        <w:rPr>
          <w:rFonts w:asciiTheme="minorBidi" w:hAnsiTheme="minorBidi" w:cs="Arial" w:hint="cs"/>
          <w:rtl/>
        </w:rPr>
        <w:t>,</w:t>
      </w:r>
      <w:r w:rsidR="00910208" w:rsidRPr="002F0840">
        <w:rPr>
          <w:rFonts w:asciiTheme="minorBidi" w:hAnsiTheme="minorBidi" w:cs="Arial"/>
          <w:rtl/>
        </w:rPr>
        <w:t xml:space="preserve"> דתנאי כתובה ככתובה דמי</w:t>
      </w:r>
      <w:r w:rsidR="00E15D27" w:rsidRPr="002F0840">
        <w:rPr>
          <w:rFonts w:asciiTheme="minorBidi" w:hAnsiTheme="minorBidi" w:cs="Arial" w:hint="cs"/>
          <w:rtl/>
        </w:rPr>
        <w:t>,</w:t>
      </w:r>
      <w:r w:rsidR="00910208" w:rsidRPr="002F0840">
        <w:rPr>
          <w:rFonts w:asciiTheme="minorBidi" w:hAnsiTheme="minorBidi" w:cs="Arial"/>
          <w:rtl/>
        </w:rPr>
        <w:t xml:space="preserve"> כי היכי דבשעת קדושין לא בעי קנין מדרב גידל</w:t>
      </w:r>
      <w:r>
        <w:rPr>
          <w:rFonts w:asciiTheme="minorBidi" w:hAnsiTheme="minorBidi" w:cs="Arial" w:hint="cs"/>
          <w:sz w:val="16"/>
          <w:szCs w:val="16"/>
          <w:rtl/>
        </w:rPr>
        <w:t xml:space="preserve"> (ל' הטור)</w:t>
      </w:r>
      <w:r w:rsidR="00E15D27" w:rsidRPr="002F0840">
        <w:rPr>
          <w:rFonts w:asciiTheme="minorBidi" w:hAnsiTheme="minorBidi" w:cs="Arial" w:hint="cs"/>
          <w:rtl/>
        </w:rPr>
        <w:t>.</w:t>
      </w:r>
      <w:r w:rsidRPr="000D1C6C">
        <w:rPr>
          <w:rFonts w:asciiTheme="minorBidi" w:hAnsiTheme="minorBidi"/>
          <w:color w:val="E36C0A" w:themeColor="accent6" w:themeShade="BF"/>
          <w:rtl/>
        </w:rPr>
        <w:t xml:space="preserve"> </w:t>
      </w:r>
      <w:r w:rsidRPr="00351B7D">
        <w:rPr>
          <w:rFonts w:asciiTheme="minorBidi" w:hAnsiTheme="minorBidi"/>
          <w:color w:val="E36C0A" w:themeColor="accent6" w:themeShade="BF"/>
          <w:rtl/>
        </w:rPr>
        <w:t>(וכ"</w:t>
      </w:r>
      <w:r w:rsidR="00687C13">
        <w:rPr>
          <w:rFonts w:asciiTheme="minorBidi" w:hAnsiTheme="minorBidi" w:hint="cs"/>
          <w:color w:val="E36C0A" w:themeColor="accent6" w:themeShade="BF"/>
          <w:rtl/>
        </w:rPr>
        <w:t>כ</w:t>
      </w:r>
      <w:r w:rsidRPr="00351B7D">
        <w:rPr>
          <w:rFonts w:asciiTheme="minorBidi" w:hAnsiTheme="minorBidi"/>
          <w:color w:val="E36C0A" w:themeColor="accent6" w:themeShade="BF"/>
          <w:rtl/>
        </w:rPr>
        <w:t xml:space="preserve"> בשו"ע)</w:t>
      </w:r>
    </w:p>
    <w:p w14:paraId="7AEE7275" w14:textId="00BD7BC6" w:rsidR="002F5305" w:rsidRPr="002F0840" w:rsidRDefault="00EB2A9B" w:rsidP="009000E3">
      <w:pPr>
        <w:pStyle w:val="ab"/>
        <w:numPr>
          <w:ilvl w:val="0"/>
          <w:numId w:val="17"/>
        </w:numPr>
        <w:rPr>
          <w:rFonts w:asciiTheme="minorBidi" w:hAnsiTheme="minorBidi"/>
          <w:rtl/>
        </w:rPr>
      </w:pPr>
      <w:r w:rsidRPr="00351B7D">
        <w:rPr>
          <w:rFonts w:asciiTheme="minorBidi" w:hAnsiTheme="minorBidi"/>
          <w:rtl/>
        </w:rPr>
        <w:t xml:space="preserve">מרדכי </w:t>
      </w:r>
      <w:r w:rsidRPr="00351B7D">
        <w:rPr>
          <w:rFonts w:asciiTheme="minorBidi" w:hAnsiTheme="minorBidi"/>
          <w:sz w:val="16"/>
          <w:szCs w:val="16"/>
          <w:rtl/>
        </w:rPr>
        <w:t>(סי' רסג</w:t>
      </w:r>
      <w:r>
        <w:rPr>
          <w:rFonts w:asciiTheme="minorBidi" w:hAnsiTheme="minorBidi" w:hint="cs"/>
          <w:sz w:val="16"/>
          <w:szCs w:val="16"/>
          <w:rtl/>
        </w:rPr>
        <w:t>,</w:t>
      </w:r>
      <w:r w:rsidRPr="00351B7D">
        <w:rPr>
          <w:rFonts w:asciiTheme="minorBidi" w:hAnsiTheme="minorBidi"/>
          <w:sz w:val="16"/>
          <w:szCs w:val="16"/>
          <w:rtl/>
        </w:rPr>
        <w:t xml:space="preserve"> </w:t>
      </w:r>
      <w:r>
        <w:rPr>
          <w:rFonts w:asciiTheme="minorBidi" w:hAnsiTheme="minorBidi" w:hint="cs"/>
          <w:sz w:val="16"/>
          <w:szCs w:val="16"/>
          <w:rtl/>
        </w:rPr>
        <w:t xml:space="preserve">כ"כ בשמו </w:t>
      </w:r>
      <w:r w:rsidRPr="00EB2A9B">
        <w:rPr>
          <w:rFonts w:asciiTheme="minorBidi" w:hAnsiTheme="minorBidi"/>
          <w:sz w:val="16"/>
          <w:szCs w:val="16"/>
          <w:rtl/>
        </w:rPr>
        <w:t xml:space="preserve">הדרכ"מ </w:t>
      </w:r>
      <w:r>
        <w:rPr>
          <w:rFonts w:asciiTheme="minorBidi" w:hAnsiTheme="minorBidi" w:hint="cs"/>
          <w:sz w:val="16"/>
          <w:szCs w:val="16"/>
          <w:rtl/>
        </w:rPr>
        <w:t>[</w:t>
      </w:r>
      <w:r w:rsidRPr="00EB2A9B">
        <w:rPr>
          <w:rFonts w:asciiTheme="minorBidi" w:hAnsiTheme="minorBidi"/>
          <w:sz w:val="16"/>
          <w:szCs w:val="16"/>
          <w:rtl/>
        </w:rPr>
        <w:t>סי' נא אות א*]</w:t>
      </w:r>
      <w:r w:rsidRPr="00351B7D">
        <w:rPr>
          <w:rFonts w:asciiTheme="minorBidi" w:hAnsiTheme="minorBidi"/>
          <w:sz w:val="16"/>
          <w:szCs w:val="16"/>
          <w:rtl/>
        </w:rPr>
        <w:t>)</w:t>
      </w:r>
      <w:r>
        <w:rPr>
          <w:rFonts w:asciiTheme="minorBidi" w:hAnsiTheme="minorBidi" w:cs="Arial" w:hint="cs"/>
          <w:rtl/>
        </w:rPr>
        <w:t xml:space="preserve"> ו</w:t>
      </w:r>
      <w:r w:rsidR="002F5305" w:rsidRPr="002F0840">
        <w:rPr>
          <w:rFonts w:asciiTheme="minorBidi" w:hAnsiTheme="minorBidi" w:cs="Arial"/>
          <w:rtl/>
        </w:rPr>
        <w:t xml:space="preserve">ר"ן </w:t>
      </w:r>
      <w:r w:rsidR="002F5305" w:rsidRPr="002F5305">
        <w:rPr>
          <w:rFonts w:asciiTheme="minorBidi" w:hAnsiTheme="minorBidi" w:cs="Arial"/>
          <w:sz w:val="16"/>
          <w:szCs w:val="16"/>
          <w:rtl/>
        </w:rPr>
        <w:t>(כא: ד"ה שלא)</w:t>
      </w:r>
      <w:r w:rsidR="002F5305">
        <w:rPr>
          <w:rFonts w:asciiTheme="minorBidi" w:hAnsiTheme="minorBidi" w:cs="Arial" w:hint="cs"/>
          <w:rtl/>
        </w:rPr>
        <w:t>-</w:t>
      </w:r>
      <w:r w:rsidR="002F5305" w:rsidRPr="002F0840">
        <w:rPr>
          <w:rFonts w:asciiTheme="minorBidi" w:hAnsiTheme="minorBidi" w:cs="Arial"/>
          <w:rtl/>
        </w:rPr>
        <w:t xml:space="preserve"> אמרינן בירושלמי (שם ריש ה"א) שהמוסיף לאשתו אפילו לאחר שכנסה </w:t>
      </w:r>
      <w:r w:rsidR="002F5305">
        <w:rPr>
          <w:rFonts w:asciiTheme="minorBidi" w:hAnsiTheme="minorBidi" w:cs="Arial" w:hint="cs"/>
          <w:rtl/>
        </w:rPr>
        <w:t xml:space="preserve">- </w:t>
      </w:r>
      <w:r w:rsidR="002F5305" w:rsidRPr="002F0840">
        <w:rPr>
          <w:rFonts w:asciiTheme="minorBidi" w:hAnsiTheme="minorBidi" w:cs="Arial"/>
          <w:rtl/>
        </w:rPr>
        <w:t>באמירה בעלמא סגי ולא צריך למיקניא מיניה דומיא דמאי דאמר רב גידל עמדו וקידשו קנו הם הם הדברים הנקנין באמירה (שם קב.)</w:t>
      </w:r>
      <w:r w:rsidR="002F5305">
        <w:rPr>
          <w:rFonts w:asciiTheme="minorBidi" w:hAnsiTheme="minorBidi" w:cs="Arial" w:hint="cs"/>
          <w:rtl/>
        </w:rPr>
        <w:t>.</w:t>
      </w:r>
      <w:r w:rsidR="002F5305" w:rsidRPr="002F0840">
        <w:rPr>
          <w:rFonts w:asciiTheme="minorBidi" w:hAnsiTheme="minorBidi" w:cs="Arial"/>
          <w:rtl/>
        </w:rPr>
        <w:t xml:space="preserve"> ופירשו טעמא התם משום דרוצה הוא ליתן כמה שלא תחזור בה</w:t>
      </w:r>
      <w:r w:rsidR="002F5305">
        <w:rPr>
          <w:rFonts w:asciiTheme="minorBidi" w:hAnsiTheme="minorBidi" w:cs="Arial" w:hint="cs"/>
          <w:rtl/>
        </w:rPr>
        <w:t>.</w:t>
      </w:r>
      <w:r w:rsidR="002F5305" w:rsidRPr="002F0840">
        <w:rPr>
          <w:rFonts w:asciiTheme="minorBidi" w:hAnsiTheme="minorBidi" w:cs="Arial"/>
          <w:rtl/>
        </w:rPr>
        <w:t xml:space="preserve"> ומקשינן ויכולה היא</w:t>
      </w:r>
      <w:r w:rsidR="002F5305">
        <w:rPr>
          <w:rFonts w:asciiTheme="minorBidi" w:hAnsiTheme="minorBidi" w:cs="Arial" w:hint="cs"/>
          <w:rtl/>
        </w:rPr>
        <w:t>?.</w:t>
      </w:r>
      <w:r w:rsidR="002F5305" w:rsidRPr="002F0840">
        <w:rPr>
          <w:rFonts w:asciiTheme="minorBidi" w:hAnsiTheme="minorBidi" w:cs="Arial"/>
          <w:rtl/>
        </w:rPr>
        <w:t xml:space="preserve"> ומפרקינן מעיקה ליה ומשבק לה</w:t>
      </w:r>
      <w:r w:rsidR="002F5305">
        <w:rPr>
          <w:rFonts w:asciiTheme="minorBidi" w:hAnsiTheme="minorBidi" w:cs="Arial" w:hint="cs"/>
          <w:rtl/>
        </w:rPr>
        <w:t>.</w:t>
      </w:r>
      <w:r w:rsidR="002F5305" w:rsidRPr="002F0840">
        <w:rPr>
          <w:rFonts w:asciiTheme="minorBidi" w:hAnsiTheme="minorBidi" w:cs="Arial"/>
          <w:rtl/>
        </w:rPr>
        <w:t xml:space="preserve"> וצריך עיון משום דלא אשכחן כולי האי בגמרא דילן</w:t>
      </w:r>
      <w:r w:rsidR="002F5305">
        <w:rPr>
          <w:rFonts w:asciiTheme="minorBidi" w:hAnsiTheme="minorBidi" w:cs="Arial" w:hint="cs"/>
          <w:rtl/>
        </w:rPr>
        <w:t>,</w:t>
      </w:r>
      <w:r w:rsidR="002F5305" w:rsidRPr="002F0840">
        <w:rPr>
          <w:rFonts w:asciiTheme="minorBidi" w:hAnsiTheme="minorBidi" w:cs="Arial"/>
          <w:rtl/>
        </w:rPr>
        <w:t xml:space="preserve"> אדרבה בגמרא (נה.) משמע דלית לן האי סברא כמו שאכתוב לפנינו (כב: סוד"ה אמר)</w:t>
      </w:r>
      <w:r w:rsidR="00F809C9">
        <w:rPr>
          <w:rFonts w:asciiTheme="minorBidi" w:hAnsiTheme="minorBidi" w:cs="Arial" w:hint="cs"/>
          <w:sz w:val="16"/>
          <w:szCs w:val="16"/>
          <w:rtl/>
        </w:rPr>
        <w:t xml:space="preserve"> (ל' הר"ן)</w:t>
      </w:r>
      <w:r w:rsidR="002F5305">
        <w:rPr>
          <w:rFonts w:asciiTheme="minorBidi" w:hAnsiTheme="minorBidi" w:cs="Arial" w:hint="cs"/>
          <w:rtl/>
        </w:rPr>
        <w:t>.</w:t>
      </w:r>
    </w:p>
    <w:p w14:paraId="0963DC06" w14:textId="059DAA7F" w:rsidR="002F0840" w:rsidRPr="00C26C27" w:rsidRDefault="00C26C27" w:rsidP="00C26C27">
      <w:pPr>
        <w:rPr>
          <w:rFonts w:asciiTheme="minorBidi" w:hAnsiTheme="minorBidi"/>
          <w:u w:val="single"/>
        </w:rPr>
      </w:pPr>
      <w:r w:rsidRPr="00C26C27">
        <w:rPr>
          <w:rFonts w:asciiTheme="minorBidi" w:hAnsiTheme="minorBidi" w:cs="Arial" w:hint="cs"/>
          <w:u w:val="single"/>
          <w:rtl/>
        </w:rPr>
        <w:t xml:space="preserve">הכותב תוספת כתובה לארוסתו בשעת הקידושין, וגרשה </w:t>
      </w:r>
      <w:r w:rsidR="003F070A">
        <w:rPr>
          <w:rFonts w:asciiTheme="minorBidi" w:hAnsiTheme="minorBidi" w:cs="Arial" w:hint="cs"/>
          <w:u w:val="single"/>
          <w:rtl/>
        </w:rPr>
        <w:t>בעודה ארוסה</w:t>
      </w:r>
      <w:r w:rsidRPr="00C26C27">
        <w:rPr>
          <w:rFonts w:asciiTheme="minorBidi" w:hAnsiTheme="minorBidi" w:cs="Arial" w:hint="cs"/>
          <w:u w:val="single"/>
          <w:rtl/>
        </w:rPr>
        <w:t>:</w:t>
      </w:r>
      <w:r w:rsidR="00910208" w:rsidRPr="00C26C27">
        <w:rPr>
          <w:rFonts w:asciiTheme="minorBidi" w:hAnsiTheme="minorBidi" w:cs="Arial"/>
          <w:u w:val="single"/>
          <w:rtl/>
        </w:rPr>
        <w:t xml:space="preserve"> </w:t>
      </w:r>
    </w:p>
    <w:p w14:paraId="4B71DC3C" w14:textId="2E81FE7C" w:rsidR="00910208" w:rsidRDefault="002F0840" w:rsidP="009000E3">
      <w:pPr>
        <w:pStyle w:val="ab"/>
        <w:numPr>
          <w:ilvl w:val="0"/>
          <w:numId w:val="17"/>
        </w:numPr>
        <w:rPr>
          <w:rFonts w:asciiTheme="minorBidi" w:hAnsiTheme="minorBidi"/>
        </w:rPr>
      </w:pPr>
      <w:r>
        <w:rPr>
          <w:rFonts w:asciiTheme="minorBidi" w:hAnsiTheme="minorBidi" w:cs="Arial" w:hint="cs"/>
          <w:rtl/>
        </w:rPr>
        <w:t xml:space="preserve">טור- </w:t>
      </w:r>
      <w:r w:rsidR="00910208" w:rsidRPr="002F0840">
        <w:rPr>
          <w:rFonts w:asciiTheme="minorBidi" w:hAnsiTheme="minorBidi" w:cs="Arial"/>
          <w:rtl/>
        </w:rPr>
        <w:t>וכתב בעל העיטור ואי כתב לה בשעת קידושין ומגרש</w:t>
      </w:r>
      <w:r w:rsidR="00DC1965" w:rsidRPr="00351B7D">
        <w:rPr>
          <w:rStyle w:val="a7"/>
          <w:rFonts w:asciiTheme="minorBidi" w:hAnsiTheme="minorBidi"/>
          <w:rtl/>
        </w:rPr>
        <w:footnoteReference w:id="90"/>
      </w:r>
      <w:r w:rsidR="00910208" w:rsidRPr="002F0840">
        <w:rPr>
          <w:rFonts w:asciiTheme="minorBidi" w:hAnsiTheme="minorBidi" w:cs="Arial"/>
          <w:rtl/>
        </w:rPr>
        <w:t xml:space="preserve"> לה</w:t>
      </w:r>
      <w:r w:rsidR="00E15D27" w:rsidRPr="002F0840">
        <w:rPr>
          <w:rFonts w:asciiTheme="minorBidi" w:hAnsiTheme="minorBidi" w:cs="Arial" w:hint="cs"/>
          <w:rtl/>
        </w:rPr>
        <w:t xml:space="preserve"> -</w:t>
      </w:r>
      <w:r w:rsidR="00910208" w:rsidRPr="002F0840">
        <w:rPr>
          <w:rFonts w:asciiTheme="minorBidi" w:hAnsiTheme="minorBidi" w:cs="Arial"/>
          <w:rtl/>
        </w:rPr>
        <w:t xml:space="preserve"> גביא</w:t>
      </w:r>
      <w:r w:rsidR="00E15D27" w:rsidRPr="002F0840">
        <w:rPr>
          <w:rFonts w:asciiTheme="minorBidi" w:hAnsiTheme="minorBidi" w:cs="Arial" w:hint="cs"/>
          <w:rtl/>
        </w:rPr>
        <w:t>,</w:t>
      </w:r>
      <w:r w:rsidR="00910208" w:rsidRPr="002F0840">
        <w:rPr>
          <w:rFonts w:asciiTheme="minorBidi" w:hAnsiTheme="minorBidi" w:cs="Arial"/>
          <w:rtl/>
        </w:rPr>
        <w:t xml:space="preserve"> ולא אמרינן אדעתא למשקל ומיפק מיניה לא אקני לה</w:t>
      </w:r>
      <w:r w:rsidR="00E15D27" w:rsidRPr="002F0840">
        <w:rPr>
          <w:rFonts w:asciiTheme="minorBidi" w:hAnsiTheme="minorBidi" w:cs="Arial" w:hint="cs"/>
          <w:rtl/>
        </w:rPr>
        <w:t>.</w:t>
      </w:r>
      <w:r w:rsidR="00910208" w:rsidRPr="002F0840">
        <w:rPr>
          <w:rFonts w:asciiTheme="minorBidi" w:hAnsiTheme="minorBidi" w:cs="Arial"/>
          <w:rtl/>
        </w:rPr>
        <w:t xml:space="preserve"> וכן שדר רב שר שלום גאון</w:t>
      </w:r>
      <w:r w:rsidR="00A96B82" w:rsidRPr="002F0840">
        <w:rPr>
          <w:rFonts w:asciiTheme="minorBidi" w:hAnsiTheme="minorBidi" w:cs="Arial" w:hint="cs"/>
          <w:rtl/>
        </w:rPr>
        <w:t>,</w:t>
      </w:r>
      <w:r w:rsidR="00910208" w:rsidRPr="002F0840">
        <w:rPr>
          <w:rFonts w:asciiTheme="minorBidi" w:hAnsiTheme="minorBidi" w:cs="Arial"/>
          <w:rtl/>
        </w:rPr>
        <w:t xml:space="preserve"> והסכימו עליה כל בני מתיבתא</w:t>
      </w:r>
      <w:r w:rsidR="00866757">
        <w:rPr>
          <w:rStyle w:val="a7"/>
          <w:rFonts w:asciiTheme="minorBidi" w:hAnsiTheme="minorBidi"/>
          <w:rtl/>
        </w:rPr>
        <w:footnoteReference w:id="91"/>
      </w:r>
      <w:r w:rsidR="00E15D27" w:rsidRPr="002F0840">
        <w:rPr>
          <w:rFonts w:asciiTheme="minorBidi" w:hAnsiTheme="minorBidi" w:hint="cs"/>
          <w:rtl/>
        </w:rPr>
        <w:t>.</w:t>
      </w:r>
    </w:p>
    <w:p w14:paraId="37AE01A9" w14:textId="77777777" w:rsidR="00973C57" w:rsidRPr="00351B7D" w:rsidRDefault="00973C57" w:rsidP="00973C5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2982878A" w14:textId="756DC209" w:rsidR="00973C57" w:rsidRPr="00351B7D" w:rsidRDefault="00973C57" w:rsidP="00973C57">
      <w:pPr>
        <w:rPr>
          <w:rFonts w:asciiTheme="minorBidi" w:hAnsiTheme="minorBidi"/>
          <w:color w:val="000000"/>
          <w:rtl/>
        </w:rPr>
      </w:pPr>
      <w:r w:rsidRPr="00351B7D">
        <w:rPr>
          <w:rFonts w:asciiTheme="minorBidi" w:hAnsiTheme="minorBidi"/>
          <w:rtl/>
        </w:rPr>
        <w:t>יש מי שאומר שאין צריך קנין בשעת הנשואין כמה שנותן לה</w:t>
      </w:r>
      <w:r w:rsidR="00A96B82">
        <w:rPr>
          <w:rFonts w:asciiTheme="minorBidi" w:hAnsiTheme="minorBidi" w:hint="cs"/>
          <w:rtl/>
        </w:rPr>
        <w:t>.</w:t>
      </w:r>
      <w:r w:rsidRPr="00351B7D">
        <w:rPr>
          <w:rFonts w:asciiTheme="minorBidi" w:hAnsiTheme="minorBidi"/>
          <w:color w:val="000000"/>
          <w:sz w:val="16"/>
          <w:szCs w:val="16"/>
          <w:rtl/>
        </w:rPr>
        <w:t xml:space="preserve"> </w:t>
      </w:r>
      <w:r w:rsidR="00A96B82">
        <w:rPr>
          <w:rFonts w:asciiTheme="minorBidi" w:hAnsiTheme="minorBidi" w:hint="cs"/>
          <w:color w:val="000000"/>
          <w:sz w:val="18"/>
          <w:szCs w:val="18"/>
          <w:rtl/>
        </w:rPr>
        <w:t xml:space="preserve">[הגה] </w:t>
      </w:r>
      <w:r w:rsidRPr="00351B7D">
        <w:rPr>
          <w:rFonts w:asciiTheme="minorBidi" w:hAnsiTheme="minorBidi"/>
          <w:color w:val="000000"/>
          <w:sz w:val="18"/>
          <w:szCs w:val="18"/>
          <w:rtl/>
        </w:rPr>
        <w:t>ויש חולקין</w:t>
      </w:r>
      <w:r w:rsidRPr="00351B7D">
        <w:rPr>
          <w:rStyle w:val="a7"/>
          <w:rFonts w:asciiTheme="minorBidi" w:hAnsiTheme="minorBidi"/>
          <w:color w:val="000000"/>
          <w:sz w:val="18"/>
          <w:szCs w:val="18"/>
          <w:rtl/>
        </w:rPr>
        <w:footnoteReference w:id="92"/>
      </w:r>
      <w:r w:rsidRPr="00351B7D">
        <w:rPr>
          <w:rFonts w:asciiTheme="minorBidi" w:hAnsiTheme="minorBidi"/>
          <w:color w:val="000000"/>
          <w:sz w:val="18"/>
          <w:szCs w:val="18"/>
          <w:rtl/>
        </w:rPr>
        <w:t>.</w:t>
      </w:r>
      <w:r w:rsidRPr="00351B7D">
        <w:rPr>
          <w:rFonts w:asciiTheme="minorBidi" w:hAnsiTheme="minorBidi"/>
          <w:color w:val="000000"/>
          <w:sz w:val="16"/>
          <w:szCs w:val="16"/>
          <w:rtl/>
        </w:rPr>
        <w:t xml:space="preserve"> </w:t>
      </w:r>
    </w:p>
    <w:p w14:paraId="0F967621" w14:textId="5CB61260" w:rsidR="00973C57" w:rsidRPr="00351B7D" w:rsidRDefault="00973C57" w:rsidP="00973C57">
      <w:pPr>
        <w:rPr>
          <w:rFonts w:asciiTheme="minorBidi" w:hAnsiTheme="minorBidi"/>
          <w:color w:val="000000"/>
          <w:sz w:val="16"/>
          <w:szCs w:val="16"/>
          <w:rtl/>
        </w:rPr>
      </w:pPr>
      <w:r w:rsidRPr="00351B7D">
        <w:rPr>
          <w:rFonts w:asciiTheme="minorBidi" w:hAnsiTheme="minorBidi"/>
          <w:u w:val="single"/>
          <w:rtl/>
        </w:rPr>
        <w:t>שטר שידוכין מול שטר כתובה:</w:t>
      </w:r>
      <w:r w:rsidRPr="00351B7D">
        <w:rPr>
          <w:rFonts w:asciiTheme="minorBidi" w:hAnsiTheme="minorBidi"/>
          <w:color w:val="000000"/>
          <w:sz w:val="16"/>
          <w:szCs w:val="16"/>
          <w:rtl/>
        </w:rPr>
        <w:t xml:space="preserve"> (ערך לחם סע' ח)</w:t>
      </w:r>
    </w:p>
    <w:p w14:paraId="1A3E7DEC" w14:textId="7C972AB0" w:rsidR="00973C57" w:rsidRPr="00351B7D" w:rsidRDefault="00973C57" w:rsidP="009000E3">
      <w:pPr>
        <w:pStyle w:val="ab"/>
        <w:numPr>
          <w:ilvl w:val="0"/>
          <w:numId w:val="19"/>
        </w:numPr>
        <w:rPr>
          <w:rFonts w:asciiTheme="minorBidi" w:hAnsiTheme="minorBidi"/>
          <w:rtl/>
        </w:rPr>
      </w:pPr>
      <w:r w:rsidRPr="00351B7D">
        <w:rPr>
          <w:rFonts w:asciiTheme="minorBidi" w:hAnsiTheme="minorBidi"/>
          <w:rtl/>
        </w:rPr>
        <w:t>רדב"ז</w:t>
      </w:r>
      <w:r w:rsidRPr="00351B7D">
        <w:rPr>
          <w:rFonts w:asciiTheme="minorBidi" w:hAnsiTheme="minorBidi"/>
          <w:sz w:val="16"/>
          <w:szCs w:val="16"/>
          <w:rtl/>
        </w:rPr>
        <w:t xml:space="preserve"> (ח"ד סי' ג)</w:t>
      </w:r>
      <w:r w:rsidRPr="00351B7D">
        <w:rPr>
          <w:rFonts w:asciiTheme="minorBidi" w:hAnsiTheme="minorBidi"/>
          <w:rtl/>
        </w:rPr>
        <w:t xml:space="preserve">- היכא דאיכה סתירה משטר שידוכין לשטר כתובה </w:t>
      </w:r>
      <w:r w:rsidR="0038037E">
        <w:rPr>
          <w:rFonts w:asciiTheme="minorBidi" w:hAnsiTheme="minorBidi" w:hint="cs"/>
          <w:rtl/>
        </w:rPr>
        <w:t xml:space="preserve">- </w:t>
      </w:r>
      <w:r w:rsidRPr="00351B7D">
        <w:rPr>
          <w:rFonts w:asciiTheme="minorBidi" w:hAnsiTheme="minorBidi"/>
          <w:rtl/>
        </w:rPr>
        <w:t>אזלינן בתר שטר כתובה</w:t>
      </w:r>
      <w:r w:rsidR="00DB6747">
        <w:rPr>
          <w:rFonts w:asciiTheme="minorBidi" w:hAnsiTheme="minorBidi" w:hint="cs"/>
          <w:rtl/>
        </w:rPr>
        <w:t>.</w:t>
      </w:r>
      <w:r w:rsidRPr="00351B7D">
        <w:rPr>
          <w:rFonts w:asciiTheme="minorBidi" w:hAnsiTheme="minorBidi"/>
          <w:rtl/>
        </w:rPr>
        <w:t xml:space="preserve"> ואם יכולים להשוותם</w:t>
      </w:r>
      <w:r w:rsidR="00DB6747">
        <w:rPr>
          <w:rFonts w:asciiTheme="minorBidi" w:hAnsiTheme="minorBidi" w:hint="cs"/>
          <w:rtl/>
        </w:rPr>
        <w:t>,</w:t>
      </w:r>
      <w:r w:rsidRPr="00351B7D">
        <w:rPr>
          <w:rFonts w:asciiTheme="minorBidi" w:hAnsiTheme="minorBidi"/>
          <w:rtl/>
        </w:rPr>
        <w:t xml:space="preserve"> אמרינן שסמך על שטר השידוכין</w:t>
      </w:r>
      <w:r w:rsidRPr="00351B7D">
        <w:rPr>
          <w:rStyle w:val="a7"/>
          <w:rFonts w:asciiTheme="minorBidi" w:hAnsiTheme="minorBidi"/>
          <w:rtl/>
        </w:rPr>
        <w:footnoteReference w:id="93"/>
      </w:r>
      <w:r w:rsidRPr="00351B7D">
        <w:rPr>
          <w:rFonts w:asciiTheme="minorBidi" w:hAnsiTheme="minorBidi"/>
          <w:rtl/>
        </w:rPr>
        <w:t>.</w:t>
      </w:r>
    </w:p>
    <w:p w14:paraId="6A718778" w14:textId="77777777" w:rsidR="00973C57" w:rsidRPr="00351B7D" w:rsidRDefault="00973C57" w:rsidP="00973C57">
      <w:pPr>
        <w:rPr>
          <w:rFonts w:asciiTheme="minorBidi" w:hAnsiTheme="minorBidi"/>
          <w:color w:val="000000"/>
          <w:rtl/>
        </w:rPr>
      </w:pPr>
    </w:p>
    <w:p w14:paraId="20670467" w14:textId="77777777" w:rsidR="00973C57" w:rsidRPr="00351B7D" w:rsidRDefault="00973C57" w:rsidP="000F64D0">
      <w:pPr>
        <w:pStyle w:val="2"/>
        <w:rPr>
          <w:rtl/>
        </w:rPr>
      </w:pPr>
      <w:r w:rsidRPr="00351B7D">
        <w:rPr>
          <w:rtl/>
        </w:rPr>
        <w:t>סעיף ט: אין לה כתובה כפי הראוי לה.</w:t>
      </w:r>
    </w:p>
    <w:p w14:paraId="2B2095EC" w14:textId="0A6EE516" w:rsidR="00973C57" w:rsidRPr="00201581" w:rsidRDefault="00973C57" w:rsidP="00973C57">
      <w:pPr>
        <w:rPr>
          <w:rFonts w:asciiTheme="minorBidi" w:hAnsiTheme="minorBidi"/>
          <w:sz w:val="16"/>
          <w:szCs w:val="16"/>
          <w:rtl/>
        </w:rPr>
      </w:pPr>
      <w:r w:rsidRPr="00351B7D">
        <w:rPr>
          <w:rFonts w:asciiTheme="minorBidi" w:hAnsiTheme="minorBidi"/>
          <w:b/>
          <w:bCs/>
          <w:rtl/>
        </w:rPr>
        <w:t>כתובות</w:t>
      </w:r>
      <w:r w:rsidR="0038037E">
        <w:rPr>
          <w:rFonts w:asciiTheme="minorBidi" w:hAnsiTheme="minorBidi" w:hint="cs"/>
          <w:b/>
          <w:bCs/>
          <w:sz w:val="16"/>
          <w:szCs w:val="16"/>
          <w:rtl/>
        </w:rPr>
        <w:t xml:space="preserve"> (ר"פ אף על פי)</w:t>
      </w:r>
      <w:r w:rsidRPr="00351B7D">
        <w:rPr>
          <w:rFonts w:asciiTheme="minorBidi" w:hAnsiTheme="minorBidi"/>
          <w:b/>
          <w:bCs/>
          <w:rtl/>
        </w:rPr>
        <w:t xml:space="preserve"> נד ע"ב:</w:t>
      </w:r>
      <w:r w:rsidRPr="00351B7D">
        <w:rPr>
          <w:rFonts w:asciiTheme="minorBidi" w:hAnsiTheme="minorBidi"/>
          <w:rtl/>
        </w:rPr>
        <w:t xml:space="preserve"> </w:t>
      </w:r>
      <w:r w:rsidRPr="00351B7D">
        <w:rPr>
          <w:rFonts w:asciiTheme="minorBidi" w:hAnsiTheme="minorBidi"/>
          <w:u w:val="double"/>
          <w:rtl/>
        </w:rPr>
        <w:t>מתני'</w:t>
      </w:r>
      <w:r w:rsidR="0038037E">
        <w:rPr>
          <w:rFonts w:asciiTheme="minorBidi" w:hAnsiTheme="minorBidi" w:hint="cs"/>
          <w:rtl/>
        </w:rPr>
        <w:t>:...</w:t>
      </w:r>
      <w:r w:rsidRPr="00351B7D">
        <w:rPr>
          <w:rFonts w:asciiTheme="minorBidi" w:hAnsiTheme="minorBidi"/>
          <w:rtl/>
        </w:rPr>
        <w:t xml:space="preserve"> </w:t>
      </w:r>
      <w:r w:rsidRPr="00351B7D">
        <w:rPr>
          <w:rFonts w:asciiTheme="minorBidi" w:hAnsiTheme="minorBidi"/>
          <w:u w:val="single"/>
          <w:rtl/>
        </w:rPr>
        <w:t>רבי יהודה אומר</w:t>
      </w:r>
      <w:r w:rsidRPr="00351B7D">
        <w:rPr>
          <w:rFonts w:asciiTheme="minorBidi" w:hAnsiTheme="minorBidi"/>
          <w:rtl/>
        </w:rPr>
        <w:t>: אם רצה כותב לבתולה שטר של מאתים והיא כותבת</w:t>
      </w:r>
      <w:r w:rsidRPr="00351B7D">
        <w:rPr>
          <w:rStyle w:val="a7"/>
          <w:rFonts w:asciiTheme="minorBidi" w:hAnsiTheme="minorBidi"/>
          <w:rtl/>
        </w:rPr>
        <w:footnoteReference w:id="94"/>
      </w:r>
      <w:r w:rsidRPr="00351B7D">
        <w:rPr>
          <w:rFonts w:asciiTheme="minorBidi" w:hAnsiTheme="minorBidi"/>
          <w:rtl/>
        </w:rPr>
        <w:t xml:space="preserve"> התקבלתי ממך מנה, ולאלמנה מנה והיא כותבת התקבלתי ממך חמשים זוז. </w:t>
      </w:r>
      <w:r w:rsidRPr="00351B7D">
        <w:rPr>
          <w:rFonts w:asciiTheme="minorBidi" w:hAnsiTheme="minorBidi"/>
          <w:u w:val="single"/>
          <w:rtl/>
        </w:rPr>
        <w:t>רבי מאיר אומר:</w:t>
      </w:r>
      <w:r w:rsidRPr="00351B7D">
        <w:rPr>
          <w:rFonts w:asciiTheme="minorBidi" w:hAnsiTheme="minorBidi"/>
          <w:rtl/>
        </w:rPr>
        <w:t xml:space="preserve"> כל הפוחת לבתולה ממאתים, ולאלמנה ממנה</w:t>
      </w:r>
      <w:r w:rsidR="00166FE7">
        <w:rPr>
          <w:rFonts w:asciiTheme="minorBidi" w:hAnsiTheme="minorBidi" w:hint="cs"/>
          <w:rtl/>
        </w:rPr>
        <w:t xml:space="preserve"> </w:t>
      </w:r>
      <w:r w:rsidRPr="00351B7D">
        <w:rPr>
          <w:rFonts w:asciiTheme="minorBidi" w:hAnsiTheme="minorBidi"/>
          <w:rtl/>
        </w:rPr>
        <w:t xml:space="preserve">- הרי זו בעילת זנות.   </w:t>
      </w:r>
      <w:r w:rsidR="0038037E">
        <w:rPr>
          <w:rFonts w:asciiTheme="minorBidi" w:hAnsiTheme="minorBidi" w:hint="cs"/>
          <w:rtl/>
        </w:rPr>
        <w:t xml:space="preserve"> </w:t>
      </w:r>
      <w:r w:rsidRPr="00351B7D">
        <w:rPr>
          <w:rFonts w:asciiTheme="minorBidi" w:hAnsiTheme="minorBidi"/>
          <w:rtl/>
        </w:rPr>
        <w:t xml:space="preserve">  </w:t>
      </w:r>
      <w:r w:rsidRPr="00351B7D">
        <w:rPr>
          <w:rFonts w:asciiTheme="minorBidi" w:hAnsiTheme="minorBidi"/>
          <w:u w:val="double"/>
          <w:rtl/>
        </w:rPr>
        <w:t>גמ'</w:t>
      </w:r>
      <w:r w:rsidRPr="0038037E">
        <w:rPr>
          <w:rFonts w:asciiTheme="minorBidi" w:hAnsiTheme="minorBidi"/>
          <w:sz w:val="14"/>
          <w:szCs w:val="14"/>
          <w:u w:val="double"/>
          <w:rtl/>
        </w:rPr>
        <w:t>(נו.)</w:t>
      </w:r>
      <w:r w:rsidRPr="00351B7D">
        <w:rPr>
          <w:rFonts w:asciiTheme="minorBidi" w:hAnsiTheme="minorBidi"/>
          <w:u w:val="double"/>
          <w:rtl/>
        </w:rPr>
        <w:t>:</w:t>
      </w:r>
      <w:r w:rsidRPr="00351B7D">
        <w:rPr>
          <w:rFonts w:asciiTheme="minorBidi" w:hAnsiTheme="minorBidi"/>
          <w:rtl/>
        </w:rPr>
        <w:t xml:space="preserve"> רבי יהודה אומר: רצה כותב לבתולה וכו'.... טעמא דכתבה ליה, אבל על פה</w:t>
      </w:r>
      <w:r w:rsidRPr="00351B7D">
        <w:rPr>
          <w:rStyle w:val="a7"/>
          <w:rFonts w:asciiTheme="minorBidi" w:hAnsiTheme="minorBidi"/>
          <w:rtl/>
        </w:rPr>
        <w:footnoteReference w:id="95"/>
      </w:r>
      <w:r w:rsidRPr="00351B7D">
        <w:rPr>
          <w:rFonts w:asciiTheme="minorBidi" w:hAnsiTheme="minorBidi"/>
          <w:rtl/>
        </w:rPr>
        <w:t xml:space="preserve"> לא, אמאי? דבר שבממון הוא ושמעינן ליה לר' יהודה דאמר דבר שבממון תנאו קיים, דתניא: האומר לאשה הרי את מקודשת לי על מנת שאין ליך עלי שאר כסות ועונה - הרי זו מקודשת ותנאו בטל, דברי רבי מאיר, ר' יהודה אומר: בדבר שבממון</w:t>
      </w:r>
      <w:r w:rsidRPr="00351B7D">
        <w:rPr>
          <w:rStyle w:val="a7"/>
          <w:rFonts w:asciiTheme="minorBidi" w:hAnsiTheme="minorBidi"/>
          <w:rtl/>
        </w:rPr>
        <w:footnoteReference w:id="96"/>
      </w:r>
      <w:r w:rsidRPr="00351B7D">
        <w:rPr>
          <w:rFonts w:asciiTheme="minorBidi" w:hAnsiTheme="minorBidi"/>
          <w:rtl/>
        </w:rPr>
        <w:t xml:space="preserve"> תנאו קיים! </w:t>
      </w:r>
      <w:r w:rsidRPr="00351B7D">
        <w:rPr>
          <w:rFonts w:asciiTheme="minorBidi" w:hAnsiTheme="minorBidi"/>
          <w:u w:val="single"/>
          <w:rtl/>
        </w:rPr>
        <w:t>קסבר רבי יהודה</w:t>
      </w:r>
      <w:r w:rsidRPr="00351B7D">
        <w:rPr>
          <w:rFonts w:asciiTheme="minorBidi" w:hAnsiTheme="minorBidi"/>
          <w:rtl/>
        </w:rPr>
        <w:t>: כתובה דרבנן וחכמים עשו חיזוק לדבריהם יותר משל תורה</w:t>
      </w:r>
      <w:r w:rsidRPr="00351B7D">
        <w:rPr>
          <w:rStyle w:val="a7"/>
          <w:rFonts w:asciiTheme="minorBidi" w:hAnsiTheme="minorBidi"/>
          <w:rtl/>
        </w:rPr>
        <w:footnoteReference w:id="97"/>
      </w:r>
      <w:r w:rsidRPr="00351B7D">
        <w:rPr>
          <w:rFonts w:asciiTheme="minorBidi" w:hAnsiTheme="minorBidi"/>
          <w:rtl/>
        </w:rPr>
        <w:t xml:space="preserve">...  </w:t>
      </w:r>
      <w:r w:rsidRPr="00E9645A">
        <w:rPr>
          <w:rFonts w:asciiTheme="minorBidi" w:hAnsiTheme="minorBidi"/>
          <w:sz w:val="14"/>
          <w:szCs w:val="14"/>
          <w:rtl/>
        </w:rPr>
        <w:t>(נו:)</w:t>
      </w:r>
      <w:r w:rsidRPr="00351B7D">
        <w:rPr>
          <w:rFonts w:asciiTheme="minorBidi" w:hAnsiTheme="minorBidi"/>
          <w:rtl/>
        </w:rPr>
        <w:t xml:space="preserve"> ר' מאיר אומר: כל הפוחת וכו'. כל הפוחת אפי' בתנאה</w:t>
      </w:r>
      <w:r w:rsidRPr="00351B7D">
        <w:rPr>
          <w:rStyle w:val="a7"/>
          <w:rFonts w:asciiTheme="minorBidi" w:hAnsiTheme="minorBidi"/>
          <w:rtl/>
        </w:rPr>
        <w:footnoteReference w:id="98"/>
      </w:r>
      <w:r w:rsidRPr="00351B7D">
        <w:rPr>
          <w:rFonts w:asciiTheme="minorBidi" w:hAnsiTheme="minorBidi"/>
          <w:rtl/>
        </w:rPr>
        <w:t>, אלמא קסבר תנאו בטל</w:t>
      </w:r>
      <w:r w:rsidRPr="00351B7D">
        <w:rPr>
          <w:rStyle w:val="a7"/>
          <w:rFonts w:asciiTheme="minorBidi" w:hAnsiTheme="minorBidi"/>
          <w:rtl/>
        </w:rPr>
        <w:footnoteReference w:id="99"/>
      </w:r>
      <w:r w:rsidRPr="00351B7D">
        <w:rPr>
          <w:rFonts w:asciiTheme="minorBidi" w:hAnsiTheme="minorBidi"/>
          <w:rtl/>
        </w:rPr>
        <w:t xml:space="preserve"> ואית לה, וכיון דאמר לה לית ליך אלא מנה לא סמכא דעתה</w:t>
      </w:r>
      <w:r w:rsidRPr="00351B7D">
        <w:rPr>
          <w:rStyle w:val="a7"/>
          <w:rFonts w:asciiTheme="minorBidi" w:hAnsiTheme="minorBidi"/>
          <w:rtl/>
        </w:rPr>
        <w:footnoteReference w:id="100"/>
      </w:r>
      <w:r w:rsidRPr="00351B7D">
        <w:rPr>
          <w:rFonts w:asciiTheme="minorBidi" w:hAnsiTheme="minorBidi"/>
          <w:rtl/>
        </w:rPr>
        <w:t xml:space="preserve"> והויא לה בעילתו בעילת זנות; והא שמעינן ליה לרבי מאיר דאמר: כל המתנה על מה שכתוב בתורה תנאו בטל, הא בדרבנן תנאו קיים! </w:t>
      </w:r>
      <w:r w:rsidRPr="00351B7D">
        <w:rPr>
          <w:rFonts w:asciiTheme="minorBidi" w:hAnsiTheme="minorBidi"/>
          <w:u w:val="single"/>
          <w:rtl/>
        </w:rPr>
        <w:t>קסבר ר' מאיר</w:t>
      </w:r>
      <w:r w:rsidRPr="00351B7D">
        <w:rPr>
          <w:rFonts w:asciiTheme="minorBidi" w:hAnsiTheme="minorBidi"/>
          <w:rtl/>
        </w:rPr>
        <w:t>: כתובה דאורייתא.</w:t>
      </w:r>
      <w:r w:rsidR="00201581">
        <w:rPr>
          <w:rFonts w:asciiTheme="minorBidi" w:hAnsiTheme="minorBidi" w:hint="cs"/>
          <w:rtl/>
        </w:rPr>
        <w:t xml:space="preserve"> </w:t>
      </w:r>
      <w:r w:rsidR="00201581">
        <w:rPr>
          <w:rFonts w:asciiTheme="minorBidi" w:hAnsiTheme="minorBidi" w:hint="cs"/>
          <w:sz w:val="16"/>
          <w:szCs w:val="16"/>
          <w:rtl/>
        </w:rPr>
        <w:t>(</w:t>
      </w:r>
      <w:r w:rsidR="00201581" w:rsidRPr="00201581">
        <w:rPr>
          <w:rFonts w:asciiTheme="minorBidi" w:hAnsiTheme="minorBidi"/>
          <w:sz w:val="16"/>
          <w:szCs w:val="16"/>
          <w:rtl/>
        </w:rPr>
        <w:t>ומשמע דכי קיי</w:t>
      </w:r>
      <w:r w:rsidR="00201581" w:rsidRPr="00201581">
        <w:rPr>
          <w:rFonts w:asciiTheme="minorBidi" w:hAnsiTheme="minorBidi" w:hint="cs"/>
          <w:sz w:val="16"/>
          <w:szCs w:val="16"/>
          <w:rtl/>
        </w:rPr>
        <w:t>"</w:t>
      </w:r>
      <w:r w:rsidR="00201581" w:rsidRPr="00201581">
        <w:rPr>
          <w:rFonts w:asciiTheme="minorBidi" w:hAnsiTheme="minorBidi"/>
          <w:sz w:val="16"/>
          <w:szCs w:val="16"/>
          <w:rtl/>
        </w:rPr>
        <w:t>ל כרבי מאיר הני מילי במאי דקאמר דהפוחת לבתולה מק"ק וכו' בעילתו בעילת זנות, אבל במאי דקאמר תנאו בטל לא קיי"ל כוותיה</w:t>
      </w:r>
      <w:r w:rsidR="00201581" w:rsidRPr="00201581">
        <w:rPr>
          <w:rFonts w:asciiTheme="minorBidi" w:hAnsiTheme="minorBidi" w:hint="cs"/>
          <w:sz w:val="16"/>
          <w:szCs w:val="16"/>
          <w:rtl/>
        </w:rPr>
        <w:t>,</w:t>
      </w:r>
      <w:r w:rsidR="00201581" w:rsidRPr="00201581">
        <w:rPr>
          <w:rFonts w:asciiTheme="minorBidi" w:hAnsiTheme="minorBidi"/>
          <w:sz w:val="16"/>
          <w:szCs w:val="16"/>
          <w:rtl/>
        </w:rPr>
        <w:t xml:space="preserve"> דע"כ לא אמר רבי מאיר תנאו בטל אלא משום דסבירא ליה כתובה דאורייתא ומתנה על מה שכתוב בתורה תנאו בטל</w:t>
      </w:r>
      <w:r w:rsidR="00201581" w:rsidRPr="00201581">
        <w:rPr>
          <w:rFonts w:asciiTheme="minorBidi" w:hAnsiTheme="minorBidi" w:hint="cs"/>
          <w:sz w:val="16"/>
          <w:szCs w:val="16"/>
          <w:rtl/>
        </w:rPr>
        <w:t>,</w:t>
      </w:r>
      <w:r w:rsidR="00201581" w:rsidRPr="00201581">
        <w:rPr>
          <w:rFonts w:asciiTheme="minorBidi" w:hAnsiTheme="minorBidi"/>
          <w:sz w:val="16"/>
          <w:szCs w:val="16"/>
          <w:rtl/>
        </w:rPr>
        <w:t xml:space="preserve"> אבל לדידן דאית לן דכתובה דרבנן ואפילו בשל תורה נמי בדבר שבממון תנאו קיים</w:t>
      </w:r>
      <w:r w:rsidR="00201581" w:rsidRPr="00201581">
        <w:rPr>
          <w:rFonts w:asciiTheme="minorBidi" w:hAnsiTheme="minorBidi" w:hint="cs"/>
          <w:sz w:val="16"/>
          <w:szCs w:val="16"/>
          <w:rtl/>
        </w:rPr>
        <w:t xml:space="preserve"> </w:t>
      </w:r>
      <w:r w:rsidR="00201581" w:rsidRPr="00201581">
        <w:rPr>
          <w:rFonts w:asciiTheme="minorBidi" w:hAnsiTheme="minorBidi"/>
          <w:sz w:val="16"/>
          <w:szCs w:val="16"/>
          <w:rtl/>
        </w:rPr>
        <w:t>- הכא ודאי תנאו קיים אלא שאינו רשאי לקיימה בלא כתובה, דאע"ג דסבר רבי יהודה דחכמים עשו חיזוק לדבריהם יותר משל תורה ותנאו בטל כדאיתא בגמרא (נו.)</w:t>
      </w:r>
      <w:r w:rsidR="00201581" w:rsidRPr="00201581">
        <w:rPr>
          <w:rFonts w:asciiTheme="minorBidi" w:hAnsiTheme="minorBidi" w:hint="cs"/>
          <w:sz w:val="16"/>
          <w:szCs w:val="16"/>
          <w:rtl/>
        </w:rPr>
        <w:t>,</w:t>
      </w:r>
      <w:r w:rsidR="00201581" w:rsidRPr="00201581">
        <w:rPr>
          <w:rFonts w:asciiTheme="minorBidi" w:hAnsiTheme="minorBidi"/>
          <w:sz w:val="16"/>
          <w:szCs w:val="16"/>
          <w:rtl/>
        </w:rPr>
        <w:t xml:space="preserve"> הא איכא רבי יוסי (שם:) דפליג עליה</w:t>
      </w:r>
      <w:r w:rsidR="00201581" w:rsidRPr="00201581">
        <w:rPr>
          <w:rFonts w:asciiTheme="minorBidi" w:hAnsiTheme="minorBidi" w:hint="cs"/>
          <w:sz w:val="16"/>
          <w:szCs w:val="16"/>
          <w:rtl/>
        </w:rPr>
        <w:t>,</w:t>
      </w:r>
      <w:r w:rsidR="00201581" w:rsidRPr="00201581">
        <w:rPr>
          <w:rFonts w:asciiTheme="minorBidi" w:hAnsiTheme="minorBidi"/>
          <w:sz w:val="16"/>
          <w:szCs w:val="16"/>
          <w:rtl/>
        </w:rPr>
        <w:t xml:space="preserve"> ורבי יהודה ורבי יוסי הלכה כרבי יוסי.</w:t>
      </w:r>
      <w:r w:rsidR="00201581" w:rsidRPr="00201581">
        <w:rPr>
          <w:rFonts w:hint="cs"/>
          <w:sz w:val="16"/>
          <w:szCs w:val="16"/>
          <w:rtl/>
        </w:rPr>
        <w:t xml:space="preserve"> </w:t>
      </w:r>
      <w:r w:rsidR="00201581" w:rsidRPr="00201581">
        <w:rPr>
          <w:rFonts w:cs="Arial"/>
          <w:sz w:val="16"/>
          <w:szCs w:val="16"/>
          <w:rtl/>
        </w:rPr>
        <w:t>אבל הרמב"ם כתב בפי"ב מהלכות אישות (ה"ח) דתנאו בטל</w:t>
      </w:r>
      <w:r w:rsidR="00AA3388">
        <w:rPr>
          <w:rFonts w:cs="Arial" w:hint="cs"/>
          <w:sz w:val="16"/>
          <w:szCs w:val="16"/>
          <w:rtl/>
        </w:rPr>
        <w:t>,</w:t>
      </w:r>
      <w:r w:rsidR="00201581" w:rsidRPr="00201581">
        <w:rPr>
          <w:rFonts w:cs="Arial"/>
          <w:sz w:val="16"/>
          <w:szCs w:val="16"/>
          <w:rtl/>
        </w:rPr>
        <w:t xml:space="preserve"> ואפילו כתבה לו שנתקבלה מהם כך וכך והיא לא נתקבלה תנאו בטל</w:t>
      </w:r>
      <w:r w:rsidR="00D8650B">
        <w:rPr>
          <w:rFonts w:cs="Arial" w:hint="cs"/>
          <w:sz w:val="16"/>
          <w:szCs w:val="16"/>
          <w:rtl/>
        </w:rPr>
        <w:t>.</w:t>
      </w:r>
      <w:r w:rsidR="00201581" w:rsidRPr="00201581">
        <w:rPr>
          <w:rFonts w:cs="Arial"/>
          <w:sz w:val="16"/>
          <w:szCs w:val="16"/>
          <w:rtl/>
        </w:rPr>
        <w:t xml:space="preserve"> משמע דסבירא ליה ז"ל דהלכתא כוותיה ולא מטעמיה</w:t>
      </w:r>
      <w:r w:rsidR="00AA3388">
        <w:rPr>
          <w:rFonts w:cs="Arial" w:hint="cs"/>
          <w:sz w:val="16"/>
          <w:szCs w:val="16"/>
          <w:rtl/>
        </w:rPr>
        <w:t>,</w:t>
      </w:r>
      <w:r w:rsidR="00201581" w:rsidRPr="00201581">
        <w:rPr>
          <w:rFonts w:cs="Arial"/>
          <w:sz w:val="16"/>
          <w:szCs w:val="16"/>
          <w:rtl/>
        </w:rPr>
        <w:t xml:space="preserve"> אלא משום דכתובה דרבנן וחכמים עשו חיזוק לדבריהם יותר משל תורה</w:t>
      </w:r>
      <w:r w:rsidR="00D8650B">
        <w:rPr>
          <w:rFonts w:cs="Arial" w:hint="cs"/>
          <w:sz w:val="16"/>
          <w:szCs w:val="16"/>
          <w:rtl/>
        </w:rPr>
        <w:t>.</w:t>
      </w:r>
      <w:r w:rsidR="00201581" w:rsidRPr="00201581">
        <w:rPr>
          <w:rFonts w:cs="Arial"/>
          <w:sz w:val="16"/>
          <w:szCs w:val="16"/>
          <w:rtl/>
        </w:rPr>
        <w:t xml:space="preserve"> הילכך כל שהוא רוצה לקיימה </w:t>
      </w:r>
      <w:r w:rsidR="00D8650B">
        <w:rPr>
          <w:rFonts w:cs="Arial" w:hint="cs"/>
          <w:sz w:val="16"/>
          <w:szCs w:val="16"/>
          <w:rtl/>
        </w:rPr>
        <w:t xml:space="preserve">- </w:t>
      </w:r>
      <w:r w:rsidR="00201581" w:rsidRPr="00201581">
        <w:rPr>
          <w:rFonts w:cs="Arial"/>
          <w:sz w:val="16"/>
          <w:szCs w:val="16"/>
          <w:rtl/>
        </w:rPr>
        <w:t>תנאו בטל ואפילו הכי הויא בעילתו בעילת זנות משום דלא סמכה דעתה</w:t>
      </w:r>
      <w:r w:rsidR="00D8650B">
        <w:rPr>
          <w:rFonts w:cs="Arial" w:hint="cs"/>
          <w:sz w:val="16"/>
          <w:szCs w:val="16"/>
          <w:rtl/>
        </w:rPr>
        <w:t>.</w:t>
      </w:r>
      <w:r w:rsidR="00201581" w:rsidRPr="00201581">
        <w:rPr>
          <w:rFonts w:cs="Arial"/>
          <w:sz w:val="16"/>
          <w:szCs w:val="16"/>
          <w:rtl/>
        </w:rPr>
        <w:t xml:space="preserve"> ומיהו אם לא רצה לקיימה </w:t>
      </w:r>
      <w:r w:rsidR="00D8650B">
        <w:rPr>
          <w:rFonts w:cs="Arial" w:hint="cs"/>
          <w:sz w:val="16"/>
          <w:szCs w:val="16"/>
          <w:rtl/>
        </w:rPr>
        <w:t xml:space="preserve">- </w:t>
      </w:r>
      <w:r w:rsidR="00201581" w:rsidRPr="00201581">
        <w:rPr>
          <w:rFonts w:cs="Arial"/>
          <w:sz w:val="16"/>
          <w:szCs w:val="16"/>
          <w:rtl/>
        </w:rPr>
        <w:t>תנאו קיים</w:t>
      </w:r>
      <w:r w:rsidR="00D8650B">
        <w:rPr>
          <w:rFonts w:cs="Arial" w:hint="cs"/>
          <w:sz w:val="16"/>
          <w:szCs w:val="16"/>
          <w:rtl/>
        </w:rPr>
        <w:t>,</w:t>
      </w:r>
      <w:r w:rsidR="00201581" w:rsidRPr="00201581">
        <w:rPr>
          <w:rFonts w:cs="Arial"/>
          <w:sz w:val="16"/>
          <w:szCs w:val="16"/>
          <w:rtl/>
        </w:rPr>
        <w:t xml:space="preserve"> דהא שקלינן וטרינן לעיל (נג.) מוחלת כתובתה לבעלה אם יש לה תנאי דכתובת בנין דיכרין אלמא בשלא רצה לקיימה יכולה למחול</w:t>
      </w:r>
      <w:r w:rsidR="00201581">
        <w:rPr>
          <w:rFonts w:cs="Arial" w:hint="cs"/>
          <w:sz w:val="16"/>
          <w:szCs w:val="16"/>
          <w:rtl/>
        </w:rPr>
        <w:t>, ר"ן (</w:t>
      </w:r>
      <w:r w:rsidR="00C064B0">
        <w:rPr>
          <w:rFonts w:cs="Arial" w:hint="cs"/>
          <w:sz w:val="16"/>
          <w:szCs w:val="16"/>
          <w:rtl/>
        </w:rPr>
        <w:t>כג. דיבור ראשון</w:t>
      </w:r>
      <w:r w:rsidR="00201581">
        <w:rPr>
          <w:rFonts w:cs="Arial" w:hint="cs"/>
          <w:sz w:val="16"/>
          <w:szCs w:val="16"/>
          <w:rtl/>
        </w:rPr>
        <w:t>)</w:t>
      </w:r>
      <w:r w:rsidR="00201581">
        <w:rPr>
          <w:rFonts w:asciiTheme="minorBidi" w:hAnsiTheme="minorBidi" w:hint="cs"/>
          <w:sz w:val="16"/>
          <w:szCs w:val="16"/>
          <w:rtl/>
        </w:rPr>
        <w:t>)</w:t>
      </w:r>
    </w:p>
    <w:p w14:paraId="1C24428C" w14:textId="0BED03BE" w:rsidR="00973C57" w:rsidRPr="00351B7D" w:rsidRDefault="00973C57" w:rsidP="00973C57">
      <w:pPr>
        <w:rPr>
          <w:rFonts w:asciiTheme="minorBidi" w:hAnsiTheme="minorBidi"/>
          <w:u w:val="single"/>
        </w:rPr>
      </w:pPr>
      <w:r w:rsidRPr="00351B7D">
        <w:rPr>
          <w:rFonts w:asciiTheme="minorBidi" w:hAnsiTheme="minorBidi"/>
          <w:u w:val="single"/>
          <w:rtl/>
        </w:rPr>
        <w:t xml:space="preserve">אין לה כתובה כפי הראוי לה: </w:t>
      </w:r>
    </w:p>
    <w:p w14:paraId="3619B719" w14:textId="5B3A24A4" w:rsidR="00973C57" w:rsidRPr="00351B7D" w:rsidRDefault="00973C57" w:rsidP="00CE6A2B">
      <w:pPr>
        <w:pStyle w:val="ab"/>
        <w:numPr>
          <w:ilvl w:val="0"/>
          <w:numId w:val="16"/>
        </w:numPr>
        <w:rPr>
          <w:rFonts w:asciiTheme="minorBidi" w:hAnsiTheme="minorBidi"/>
        </w:rPr>
      </w:pPr>
      <w:r w:rsidRPr="00351B7D">
        <w:rPr>
          <w:rFonts w:asciiTheme="minorBidi" w:hAnsiTheme="minorBidi"/>
          <w:rtl/>
        </w:rPr>
        <w:t xml:space="preserve">רמב"ם </w:t>
      </w:r>
      <w:r w:rsidRPr="00351B7D">
        <w:rPr>
          <w:rFonts w:asciiTheme="minorBidi" w:hAnsiTheme="minorBidi"/>
          <w:sz w:val="16"/>
          <w:szCs w:val="16"/>
          <w:rtl/>
        </w:rPr>
        <w:t>(פי"ב מה"א ה"ח)</w:t>
      </w:r>
      <w:r w:rsidRPr="00351B7D">
        <w:rPr>
          <w:rFonts w:asciiTheme="minorBidi" w:hAnsiTheme="minorBidi"/>
          <w:rtl/>
        </w:rPr>
        <w:t>- התנה עמה לפחות מעיקר כתובה, או שכתב לה מאתים או מאה עיקר כתובה וכתבה לו שנתקבלה מהן כך וכך והיא לא נתקבלה</w:t>
      </w:r>
      <w:r w:rsidR="007D6DC5">
        <w:rPr>
          <w:rFonts w:asciiTheme="minorBidi" w:hAnsiTheme="minorBidi" w:hint="cs"/>
          <w:rtl/>
        </w:rPr>
        <w:t xml:space="preserve"> -</w:t>
      </w:r>
      <w:r w:rsidRPr="00351B7D">
        <w:rPr>
          <w:rFonts w:asciiTheme="minorBidi" w:hAnsiTheme="minorBidi"/>
          <w:rtl/>
        </w:rPr>
        <w:t xml:space="preserve"> תנאו בטל, שכל הפוחת לבתולה ממאתים ולאלמנה ממנה הרי זו בעילת זנות.</w:t>
      </w:r>
    </w:p>
    <w:p w14:paraId="13920371" w14:textId="71FFB89E" w:rsidR="00973C57" w:rsidRPr="00CE1519" w:rsidRDefault="00973C57" w:rsidP="00CE1519">
      <w:pPr>
        <w:pStyle w:val="ab"/>
        <w:numPr>
          <w:ilvl w:val="0"/>
          <w:numId w:val="16"/>
        </w:numPr>
        <w:rPr>
          <w:rFonts w:asciiTheme="minorBidi" w:hAnsiTheme="minorBidi"/>
        </w:rPr>
      </w:pPr>
      <w:r w:rsidRPr="00351B7D">
        <w:rPr>
          <w:rFonts w:asciiTheme="minorBidi" w:hAnsiTheme="minorBidi"/>
          <w:rtl/>
        </w:rPr>
        <w:lastRenderedPageBreak/>
        <w:t>רא"ש</w:t>
      </w:r>
      <w:r w:rsidR="003B6AC2">
        <w:rPr>
          <w:rStyle w:val="a7"/>
          <w:rFonts w:asciiTheme="minorBidi" w:hAnsiTheme="minorBidi"/>
          <w:rtl/>
        </w:rPr>
        <w:footnoteReference w:id="101"/>
      </w:r>
      <w:r w:rsidRPr="00351B7D">
        <w:rPr>
          <w:rFonts w:asciiTheme="minorBidi" w:hAnsiTheme="minorBidi"/>
          <w:rtl/>
        </w:rPr>
        <w:t xml:space="preserve"> </w:t>
      </w:r>
      <w:r w:rsidRPr="00351B7D">
        <w:rPr>
          <w:rFonts w:asciiTheme="minorBidi" w:hAnsiTheme="minorBidi"/>
          <w:sz w:val="16"/>
          <w:szCs w:val="16"/>
          <w:rtl/>
        </w:rPr>
        <w:t>(פ"ה סי' ז)</w:t>
      </w:r>
      <w:r w:rsidR="00CE1519">
        <w:rPr>
          <w:rFonts w:asciiTheme="minorBidi" w:hAnsiTheme="minorBidi" w:hint="cs"/>
          <w:rtl/>
        </w:rPr>
        <w:t xml:space="preserve"> </w:t>
      </w:r>
      <w:r w:rsidR="00C064B0">
        <w:rPr>
          <w:rFonts w:asciiTheme="minorBidi" w:hAnsiTheme="minorBidi" w:hint="cs"/>
          <w:rtl/>
        </w:rPr>
        <w:t>ו</w:t>
      </w:r>
      <w:r w:rsidR="00CE1519" w:rsidRPr="00CE1519">
        <w:rPr>
          <w:rFonts w:asciiTheme="minorBidi" w:hAnsiTheme="minorBidi" w:hint="cs"/>
          <w:rtl/>
        </w:rPr>
        <w:t>טור</w:t>
      </w:r>
      <w:r w:rsidR="000E0360" w:rsidRPr="00CE1519">
        <w:rPr>
          <w:rFonts w:asciiTheme="minorBidi" w:hAnsiTheme="minorBidi" w:hint="cs"/>
          <w:rtl/>
        </w:rPr>
        <w:t xml:space="preserve">- </w:t>
      </w:r>
      <w:r w:rsidR="000E0360" w:rsidRPr="00CE1519">
        <w:rPr>
          <w:rFonts w:asciiTheme="minorBidi" w:hAnsiTheme="minorBidi" w:cs="Arial"/>
          <w:rtl/>
        </w:rPr>
        <w:t>וכל הפוחת משיעור הכתובה</w:t>
      </w:r>
      <w:r w:rsidR="00727462" w:rsidRPr="00CE1519">
        <w:rPr>
          <w:rFonts w:asciiTheme="minorBidi" w:hAnsiTheme="minorBidi" w:cs="Arial" w:hint="cs"/>
          <w:rtl/>
        </w:rPr>
        <w:t>,</w:t>
      </w:r>
      <w:r w:rsidR="000E0360" w:rsidRPr="00CE1519">
        <w:rPr>
          <w:rFonts w:asciiTheme="minorBidi" w:hAnsiTheme="minorBidi" w:cs="Arial"/>
          <w:rtl/>
        </w:rPr>
        <w:t xml:space="preserve"> בעילתו בעילת זנות</w:t>
      </w:r>
      <w:r w:rsidR="00727462" w:rsidRPr="00CE1519">
        <w:rPr>
          <w:rFonts w:asciiTheme="minorBidi" w:hAnsiTheme="minorBidi" w:cs="Arial" w:hint="cs"/>
          <w:rtl/>
        </w:rPr>
        <w:t>.</w:t>
      </w:r>
      <w:r w:rsidR="000E0360" w:rsidRPr="00CE1519">
        <w:rPr>
          <w:rFonts w:asciiTheme="minorBidi" w:hAnsiTheme="minorBidi" w:cs="Arial"/>
          <w:rtl/>
        </w:rPr>
        <w:t xml:space="preserve"> לא מיבעיא אם כתבה לו אח"כ התקבלתי ממך הכתובה או מקצתה דאז אין לה כתובה כיון שמחלה</w:t>
      </w:r>
      <w:r w:rsidR="003B6AC2" w:rsidRPr="00CE1519">
        <w:rPr>
          <w:rFonts w:asciiTheme="minorBidi" w:hAnsiTheme="minorBidi" w:cs="Arial" w:hint="cs"/>
          <w:sz w:val="16"/>
          <w:szCs w:val="16"/>
          <w:rtl/>
        </w:rPr>
        <w:t xml:space="preserve"> {ותנאו קיים}</w:t>
      </w:r>
      <w:r w:rsidR="000E0360" w:rsidRPr="00CE1519">
        <w:rPr>
          <w:rFonts w:asciiTheme="minorBidi" w:hAnsiTheme="minorBidi" w:cs="Arial"/>
          <w:rtl/>
        </w:rPr>
        <w:t xml:space="preserve"> דפשיטא דהויא בעילת זנות</w:t>
      </w:r>
      <w:r w:rsidR="009E5390" w:rsidRPr="00CE1519">
        <w:rPr>
          <w:rFonts w:asciiTheme="minorBidi" w:hAnsiTheme="minorBidi" w:cs="Arial" w:hint="cs"/>
          <w:rtl/>
        </w:rPr>
        <w:t>,</w:t>
      </w:r>
      <w:r w:rsidR="000E0360" w:rsidRPr="00CE1519">
        <w:rPr>
          <w:rFonts w:asciiTheme="minorBidi" w:hAnsiTheme="minorBidi" w:cs="Arial"/>
          <w:rtl/>
        </w:rPr>
        <w:t xml:space="preserve"> אלא אפי' התנה בשעת קדושין שלא יהא לה כתובה או שפיחת משיעורה אע</w:t>
      </w:r>
      <w:r w:rsidR="009E5390" w:rsidRPr="00CE1519">
        <w:rPr>
          <w:rFonts w:asciiTheme="minorBidi" w:hAnsiTheme="minorBidi" w:cs="Arial" w:hint="cs"/>
          <w:rtl/>
        </w:rPr>
        <w:t>"</w:t>
      </w:r>
      <w:r w:rsidR="000E0360" w:rsidRPr="00CE1519">
        <w:rPr>
          <w:rFonts w:asciiTheme="minorBidi" w:hAnsiTheme="minorBidi" w:cs="Arial"/>
          <w:rtl/>
        </w:rPr>
        <w:t>פ שתנאו בטל ויש לה כתובה משלם אפ"ה בעילתו בעילת זנות היא</w:t>
      </w:r>
      <w:r w:rsidR="009E5390" w:rsidRPr="00CE1519">
        <w:rPr>
          <w:rFonts w:asciiTheme="minorBidi" w:hAnsiTheme="minorBidi" w:cs="Arial" w:hint="cs"/>
          <w:rtl/>
        </w:rPr>
        <w:t>,</w:t>
      </w:r>
      <w:r w:rsidR="000E0360" w:rsidRPr="00CE1519">
        <w:rPr>
          <w:rFonts w:asciiTheme="minorBidi" w:hAnsiTheme="minorBidi" w:cs="Arial"/>
          <w:rtl/>
        </w:rPr>
        <w:t xml:space="preserve"> כיון שהיא סבורה שאין לה ולא סמכה דעתה</w:t>
      </w:r>
      <w:r w:rsidR="00CE1519">
        <w:rPr>
          <w:rFonts w:asciiTheme="minorBidi" w:hAnsiTheme="minorBidi" w:cs="Arial" w:hint="cs"/>
          <w:sz w:val="16"/>
          <w:szCs w:val="16"/>
          <w:rtl/>
        </w:rPr>
        <w:t xml:space="preserve"> (ל' הטור)</w:t>
      </w:r>
      <w:r w:rsidR="000E0360" w:rsidRPr="00CE1519">
        <w:rPr>
          <w:rFonts w:asciiTheme="minorBidi" w:hAnsiTheme="minorBidi" w:cs="Arial" w:hint="cs"/>
          <w:rtl/>
        </w:rPr>
        <w:t>.</w:t>
      </w:r>
      <w:r w:rsidRPr="00CE1519">
        <w:rPr>
          <w:rFonts w:asciiTheme="minorBidi" w:hAnsiTheme="minorBidi"/>
          <w:rtl/>
        </w:rPr>
        <w:t xml:space="preserve"> </w:t>
      </w:r>
    </w:p>
    <w:p w14:paraId="00C03727" w14:textId="77777777" w:rsidR="00973C57" w:rsidRPr="00351B7D" w:rsidRDefault="00973C57" w:rsidP="00973C5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910782E" w14:textId="7A5A87EC" w:rsidR="00973C57" w:rsidRPr="00351B7D" w:rsidRDefault="00973C57" w:rsidP="00973C57">
      <w:pPr>
        <w:rPr>
          <w:rFonts w:asciiTheme="minorBidi" w:hAnsiTheme="minorBidi"/>
          <w:rtl/>
        </w:rPr>
      </w:pPr>
      <w:r w:rsidRPr="00351B7D">
        <w:rPr>
          <w:rFonts w:asciiTheme="minorBidi" w:hAnsiTheme="minorBidi"/>
          <w:rtl/>
        </w:rPr>
        <w:t>כל הפוחת משיעור הכתובה בעילתו בעילת זנות</w:t>
      </w:r>
      <w:r w:rsidR="00E45228">
        <w:rPr>
          <w:rFonts w:asciiTheme="minorBidi" w:hAnsiTheme="minorBidi" w:hint="cs"/>
          <w:rtl/>
        </w:rPr>
        <w:t>.</w:t>
      </w:r>
      <w:r w:rsidRPr="00351B7D">
        <w:rPr>
          <w:rFonts w:asciiTheme="minorBidi" w:hAnsiTheme="minorBidi"/>
          <w:rtl/>
        </w:rPr>
        <w:t xml:space="preserve"> לא מבעיא אם כתבה לו אחר כך התקבלתי ממך הכתובה או מקצתה</w:t>
      </w:r>
      <w:r w:rsidR="00E45228">
        <w:rPr>
          <w:rFonts w:asciiTheme="minorBidi" w:hAnsiTheme="minorBidi" w:hint="cs"/>
          <w:rtl/>
        </w:rPr>
        <w:t>,</w:t>
      </w:r>
      <w:r w:rsidRPr="00351B7D">
        <w:rPr>
          <w:rFonts w:asciiTheme="minorBidi" w:hAnsiTheme="minorBidi"/>
          <w:rtl/>
        </w:rPr>
        <w:t xml:space="preserve"> דאז אין לה לדעת קצת פוסקים</w:t>
      </w:r>
      <w:r w:rsidR="00403F76">
        <w:rPr>
          <w:rStyle w:val="a7"/>
          <w:rFonts w:asciiTheme="minorBidi" w:hAnsiTheme="minorBidi"/>
          <w:rtl/>
        </w:rPr>
        <w:footnoteReference w:id="102"/>
      </w:r>
      <w:r w:rsidRPr="00351B7D">
        <w:rPr>
          <w:rFonts w:asciiTheme="minorBidi" w:hAnsiTheme="minorBidi"/>
          <w:rtl/>
        </w:rPr>
        <w:t>, אלא אפילו התנה בשעת קדושין שלא יהא לה כתובה או שפיחת לה משיעורה אף על פי שתנאו בטל ויש לה כתובה משלם אפילו הכי בעילתו בעילת זנות</w:t>
      </w:r>
      <w:r w:rsidR="00303E35">
        <w:rPr>
          <w:rFonts w:asciiTheme="minorBidi" w:hAnsiTheme="minorBidi" w:hint="cs"/>
          <w:rtl/>
        </w:rPr>
        <w:t>,</w:t>
      </w:r>
      <w:r w:rsidRPr="00351B7D">
        <w:rPr>
          <w:rFonts w:asciiTheme="minorBidi" w:hAnsiTheme="minorBidi"/>
          <w:rtl/>
        </w:rPr>
        <w:t xml:space="preserve"> כיון שהיא סבורה שאין לה לא סמכה דעתה. </w:t>
      </w:r>
    </w:p>
    <w:p w14:paraId="37DF7293" w14:textId="77777777" w:rsidR="00973C57" w:rsidRPr="00351B7D" w:rsidRDefault="00973C57" w:rsidP="00973C57">
      <w:pPr>
        <w:rPr>
          <w:rFonts w:asciiTheme="minorBidi" w:hAnsiTheme="minorBidi"/>
          <w:rtl/>
        </w:rPr>
      </w:pPr>
    </w:p>
    <w:p w14:paraId="123B4BFE" w14:textId="2C6F5DF1" w:rsidR="00973C57" w:rsidRPr="00351B7D" w:rsidRDefault="00973C57" w:rsidP="000F64D0">
      <w:pPr>
        <w:pStyle w:val="2"/>
        <w:rPr>
          <w:rtl/>
        </w:rPr>
      </w:pPr>
      <w:r w:rsidRPr="00351B7D">
        <w:rPr>
          <w:rtl/>
        </w:rPr>
        <w:t xml:space="preserve">סעיף י: </w:t>
      </w:r>
      <w:r w:rsidR="0027567C">
        <w:rPr>
          <w:rFonts w:hint="cs"/>
          <w:rtl/>
        </w:rPr>
        <w:t xml:space="preserve">משפחה </w:t>
      </w:r>
      <w:r w:rsidR="00D40188">
        <w:rPr>
          <w:rFonts w:hint="cs"/>
          <w:rtl/>
        </w:rPr>
        <w:t>שנוהגים בה לכתוב כתובה גדולה</w:t>
      </w:r>
      <w:r w:rsidRPr="00351B7D">
        <w:rPr>
          <w:rtl/>
        </w:rPr>
        <w:t>.</w:t>
      </w:r>
    </w:p>
    <w:p w14:paraId="775F24AB" w14:textId="43E12AB5" w:rsidR="002A1F66" w:rsidRDefault="002A1F66" w:rsidP="002A1F66">
      <w:pPr>
        <w:rPr>
          <w:rFonts w:asciiTheme="minorBidi" w:hAnsiTheme="minorBidi"/>
          <w:sz w:val="16"/>
          <w:szCs w:val="16"/>
          <w:rtl/>
        </w:rPr>
      </w:pPr>
      <w:r w:rsidRPr="00351B7D">
        <w:rPr>
          <w:rFonts w:asciiTheme="minorBidi" w:hAnsiTheme="minorBidi"/>
          <w:b/>
          <w:bCs/>
          <w:rtl/>
        </w:rPr>
        <w:t xml:space="preserve">כתובות </w:t>
      </w:r>
      <w:r>
        <w:rPr>
          <w:rFonts w:asciiTheme="minorBidi" w:hAnsiTheme="minorBidi" w:hint="cs"/>
          <w:b/>
          <w:bCs/>
          <w:sz w:val="16"/>
          <w:szCs w:val="16"/>
          <w:rtl/>
        </w:rPr>
        <w:t xml:space="preserve">(פ"ק) </w:t>
      </w:r>
      <w:r w:rsidRPr="00351B7D">
        <w:rPr>
          <w:rFonts w:asciiTheme="minorBidi" w:hAnsiTheme="minorBidi"/>
          <w:b/>
          <w:bCs/>
          <w:rtl/>
        </w:rPr>
        <w:t>יב</w:t>
      </w:r>
      <w:r w:rsidR="00097AD6">
        <w:rPr>
          <w:rStyle w:val="a7"/>
          <w:rFonts w:asciiTheme="minorBidi" w:hAnsiTheme="minorBidi"/>
          <w:b/>
          <w:bCs/>
          <w:rtl/>
        </w:rPr>
        <w:footnoteReference w:id="103"/>
      </w:r>
      <w:r w:rsidRPr="00351B7D">
        <w:rPr>
          <w:rFonts w:asciiTheme="minorBidi" w:hAnsiTheme="minorBidi"/>
          <w:b/>
          <w:bCs/>
          <w:rtl/>
        </w:rPr>
        <w:t xml:space="preserve"> ע"א:</w:t>
      </w:r>
      <w:r w:rsidRPr="00351B7D">
        <w:rPr>
          <w:rFonts w:asciiTheme="minorBidi" w:hAnsiTheme="minorBidi"/>
          <w:rtl/>
        </w:rPr>
        <w:t xml:space="preserve"> </w:t>
      </w:r>
      <w:r w:rsidRPr="00351B7D">
        <w:rPr>
          <w:rFonts w:asciiTheme="minorBidi" w:hAnsiTheme="minorBidi"/>
          <w:u w:val="double"/>
          <w:rtl/>
        </w:rPr>
        <w:t>מתני'</w:t>
      </w:r>
      <w:r>
        <w:rPr>
          <w:rFonts w:asciiTheme="minorBidi" w:hAnsiTheme="minorBidi" w:hint="cs"/>
          <w:rtl/>
        </w:rPr>
        <w:t>:</w:t>
      </w:r>
      <w:r w:rsidRPr="00351B7D">
        <w:rPr>
          <w:rFonts w:asciiTheme="minorBidi" w:hAnsiTheme="minorBidi"/>
          <w:rtl/>
        </w:rPr>
        <w:t xml:space="preserve"> בית דין של כהנים היו גובין לבתולה</w:t>
      </w:r>
      <w:r w:rsidRPr="00351B7D">
        <w:rPr>
          <w:rStyle w:val="a7"/>
          <w:rFonts w:asciiTheme="minorBidi" w:hAnsiTheme="minorBidi"/>
          <w:rtl/>
        </w:rPr>
        <w:footnoteReference w:id="104"/>
      </w:r>
      <w:r w:rsidRPr="00351B7D">
        <w:rPr>
          <w:rFonts w:asciiTheme="minorBidi" w:hAnsiTheme="minorBidi"/>
          <w:rtl/>
        </w:rPr>
        <w:t xml:space="preserve"> ארבע מאות זוז, ולא מיחו בידם חכמים. </w:t>
      </w:r>
      <w:r>
        <w:rPr>
          <w:rFonts w:asciiTheme="minorBidi" w:hAnsiTheme="minorBidi" w:hint="cs"/>
          <w:rtl/>
        </w:rPr>
        <w:t xml:space="preserve">     </w:t>
      </w:r>
      <w:r w:rsidRPr="00351B7D">
        <w:rPr>
          <w:rFonts w:asciiTheme="minorBidi" w:hAnsiTheme="minorBidi"/>
          <w:rtl/>
        </w:rPr>
        <w:t xml:space="preserve"> </w:t>
      </w:r>
      <w:r w:rsidRPr="00351B7D">
        <w:rPr>
          <w:rFonts w:asciiTheme="minorBidi" w:hAnsiTheme="minorBidi"/>
          <w:u w:val="double"/>
          <w:rtl/>
        </w:rPr>
        <w:t>גמ'</w:t>
      </w:r>
      <w:r w:rsidRPr="001B273A">
        <w:rPr>
          <w:rFonts w:asciiTheme="minorBidi" w:hAnsiTheme="minorBidi"/>
          <w:sz w:val="14"/>
          <w:szCs w:val="14"/>
          <w:u w:val="double"/>
          <w:rtl/>
        </w:rPr>
        <w:t>(יב:)</w:t>
      </w:r>
      <w:r w:rsidRPr="00351B7D">
        <w:rPr>
          <w:rFonts w:asciiTheme="minorBidi" w:hAnsiTheme="minorBidi"/>
          <w:u w:val="double"/>
          <w:rtl/>
        </w:rPr>
        <w:t>:</w:t>
      </w:r>
      <w:r w:rsidRPr="00351B7D">
        <w:rPr>
          <w:rFonts w:asciiTheme="minorBidi" w:hAnsiTheme="minorBidi"/>
          <w:rtl/>
        </w:rPr>
        <w:t xml:space="preserve"> </w:t>
      </w:r>
      <w:r w:rsidRPr="00351B7D">
        <w:rPr>
          <w:rFonts w:asciiTheme="minorBidi" w:hAnsiTheme="minorBidi"/>
          <w:u w:val="single"/>
          <w:rtl/>
        </w:rPr>
        <w:t>אמר רב יהודה אמר שמואל</w:t>
      </w:r>
      <w:r w:rsidRPr="00351B7D">
        <w:rPr>
          <w:rFonts w:asciiTheme="minorBidi" w:hAnsiTheme="minorBidi"/>
          <w:rtl/>
        </w:rPr>
        <w:t>: לא ב"ד של כהנים בלבד אמרו, אלא אפי' משפחות המיוחסות בישראל, אם רצו לעשות כדרך שהכהנים עושין - עושין.</w:t>
      </w:r>
      <w:r>
        <w:rPr>
          <w:rFonts w:asciiTheme="minorBidi" w:hAnsiTheme="minorBidi" w:hint="cs"/>
          <w:sz w:val="16"/>
          <w:szCs w:val="16"/>
          <w:rtl/>
        </w:rPr>
        <w:t xml:space="preserve"> (ולכאורה קשה, שהרי תנן בר"פ אף על פי (נד:) דכל מי שרוצה להוסיף יוסיף. אלא כתבו התוס' </w:t>
      </w:r>
      <w:r>
        <w:rPr>
          <w:rFonts w:asciiTheme="minorBidi" w:hAnsiTheme="minorBidi" w:cs="Arial" w:hint="cs"/>
          <w:sz w:val="16"/>
          <w:szCs w:val="16"/>
          <w:rtl/>
        </w:rPr>
        <w:t>(יב: ד"ה ב"ד) ד</w:t>
      </w:r>
      <w:r w:rsidRPr="00AE7BE3">
        <w:rPr>
          <w:rFonts w:asciiTheme="minorBidi" w:hAnsiTheme="minorBidi" w:cs="Arial"/>
          <w:sz w:val="16"/>
          <w:szCs w:val="16"/>
          <w:rtl/>
        </w:rPr>
        <w:t>לא מיחו בידם חכמים אע</w:t>
      </w:r>
      <w:r>
        <w:rPr>
          <w:rFonts w:asciiTheme="minorBidi" w:hAnsiTheme="minorBidi" w:cs="Arial" w:hint="cs"/>
          <w:sz w:val="16"/>
          <w:szCs w:val="16"/>
          <w:rtl/>
        </w:rPr>
        <w:t>"</w:t>
      </w:r>
      <w:r w:rsidRPr="00AE7BE3">
        <w:rPr>
          <w:rFonts w:asciiTheme="minorBidi" w:hAnsiTheme="minorBidi" w:cs="Arial"/>
          <w:sz w:val="16"/>
          <w:szCs w:val="16"/>
          <w:rtl/>
        </w:rPr>
        <w:t>פ שלא כתב בלשון תוספת אלא ארבע מאות דחזו ליכי</w:t>
      </w:r>
      <w:r>
        <w:rPr>
          <w:rFonts w:asciiTheme="minorBidi" w:hAnsiTheme="minorBidi" w:cs="Arial" w:hint="cs"/>
          <w:sz w:val="16"/>
          <w:szCs w:val="16"/>
          <w:rtl/>
        </w:rPr>
        <w:t>,</w:t>
      </w:r>
      <w:r w:rsidRPr="00AE7BE3">
        <w:rPr>
          <w:rFonts w:asciiTheme="minorBidi" w:hAnsiTheme="minorBidi" w:cs="Arial"/>
          <w:sz w:val="16"/>
          <w:szCs w:val="16"/>
          <w:rtl/>
        </w:rPr>
        <w:t xml:space="preserve"> וקס"ד דלא תגבה</w:t>
      </w:r>
      <w:r>
        <w:rPr>
          <w:rFonts w:asciiTheme="minorBidi" w:hAnsiTheme="minorBidi" w:cs="Arial" w:hint="cs"/>
          <w:sz w:val="16"/>
          <w:szCs w:val="16"/>
          <w:rtl/>
        </w:rPr>
        <w:t>,</w:t>
      </w:r>
      <w:r w:rsidRPr="00AE7BE3">
        <w:rPr>
          <w:rFonts w:asciiTheme="minorBidi" w:hAnsiTheme="minorBidi" w:cs="Arial"/>
          <w:sz w:val="16"/>
          <w:szCs w:val="16"/>
          <w:rtl/>
        </w:rPr>
        <w:t xml:space="preserve"> דלא חזו</w:t>
      </w:r>
      <w:r>
        <w:rPr>
          <w:rFonts w:asciiTheme="minorBidi" w:hAnsiTheme="minorBidi" w:cs="Arial" w:hint="cs"/>
          <w:sz w:val="16"/>
          <w:szCs w:val="16"/>
          <w:rtl/>
        </w:rPr>
        <w:t>,</w:t>
      </w:r>
      <w:r w:rsidRPr="00AE7BE3">
        <w:rPr>
          <w:rFonts w:asciiTheme="minorBidi" w:hAnsiTheme="minorBidi" w:cs="Arial"/>
          <w:sz w:val="16"/>
          <w:szCs w:val="16"/>
          <w:rtl/>
        </w:rPr>
        <w:t xml:space="preserve"> ובלשון תוספת לא כתב</w:t>
      </w:r>
      <w:r>
        <w:rPr>
          <w:rFonts w:asciiTheme="minorBidi" w:hAnsiTheme="minorBidi" w:cs="Arial" w:hint="cs"/>
          <w:sz w:val="16"/>
          <w:szCs w:val="16"/>
          <w:rtl/>
        </w:rPr>
        <w:t>,</w:t>
      </w:r>
      <w:r w:rsidRPr="00AE7BE3">
        <w:rPr>
          <w:rFonts w:asciiTheme="minorBidi" w:hAnsiTheme="minorBidi" w:cs="Arial"/>
          <w:sz w:val="16"/>
          <w:szCs w:val="16"/>
          <w:rtl/>
        </w:rPr>
        <w:t xml:space="preserve"> קמ</w:t>
      </w:r>
      <w:r>
        <w:rPr>
          <w:rFonts w:asciiTheme="minorBidi" w:hAnsiTheme="minorBidi" w:cs="Arial" w:hint="cs"/>
          <w:sz w:val="16"/>
          <w:szCs w:val="16"/>
          <w:rtl/>
        </w:rPr>
        <w:t>"</w:t>
      </w:r>
      <w:r w:rsidRPr="00AE7BE3">
        <w:rPr>
          <w:rFonts w:asciiTheme="minorBidi" w:hAnsiTheme="minorBidi" w:cs="Arial"/>
          <w:sz w:val="16"/>
          <w:szCs w:val="16"/>
          <w:rtl/>
        </w:rPr>
        <w:t>ל דמנהג טוב מאד הוא וראוי להיות בכהונה ובמשפחות המיוחסות</w:t>
      </w:r>
      <w:r w:rsidR="008F1D59">
        <w:rPr>
          <w:rFonts w:asciiTheme="minorBidi" w:hAnsiTheme="minorBidi" w:cs="Arial" w:hint="cs"/>
          <w:sz w:val="16"/>
          <w:szCs w:val="16"/>
          <w:rtl/>
        </w:rPr>
        <w:t>,</w:t>
      </w:r>
      <w:r w:rsidRPr="00AE7BE3">
        <w:rPr>
          <w:rFonts w:asciiTheme="minorBidi" w:hAnsiTheme="minorBidi" w:cs="Arial"/>
          <w:sz w:val="16"/>
          <w:szCs w:val="16"/>
          <w:rtl/>
        </w:rPr>
        <w:t xml:space="preserve"> ושייך בהו למימר דחזו ליכי</w:t>
      </w:r>
      <w:r>
        <w:rPr>
          <w:rFonts w:asciiTheme="minorBidi" w:hAnsiTheme="minorBidi" w:cs="Arial" w:hint="cs"/>
          <w:sz w:val="16"/>
          <w:szCs w:val="16"/>
          <w:rtl/>
        </w:rPr>
        <w:t>,</w:t>
      </w:r>
      <w:r w:rsidRPr="00AE7BE3">
        <w:rPr>
          <w:rFonts w:asciiTheme="minorBidi" w:hAnsiTheme="minorBidi" w:cs="Arial"/>
          <w:sz w:val="16"/>
          <w:szCs w:val="16"/>
          <w:rtl/>
        </w:rPr>
        <w:t xml:space="preserve"> ואפי' לא כתב לה כתובה גובה ארבע מאות בתנאי ב"ד כמו בבנות ישראל מאתים דתקנה גמורה היא.</w:t>
      </w:r>
      <w:r>
        <w:rPr>
          <w:rFonts w:asciiTheme="minorBidi" w:hAnsiTheme="minorBidi" w:hint="cs"/>
          <w:sz w:val="16"/>
          <w:szCs w:val="16"/>
          <w:rtl/>
        </w:rPr>
        <w:t xml:space="preserve"> עכ"ל התוס'.</w:t>
      </w:r>
      <w:r w:rsidRPr="00AE7BE3">
        <w:rPr>
          <w:rFonts w:asciiTheme="minorBidi" w:hAnsiTheme="minorBidi" w:hint="cs"/>
          <w:sz w:val="16"/>
          <w:szCs w:val="16"/>
          <w:rtl/>
        </w:rPr>
        <w:t xml:space="preserve"> ו</w:t>
      </w:r>
      <w:r>
        <w:rPr>
          <w:rFonts w:asciiTheme="minorBidi" w:hAnsiTheme="minorBidi" w:hint="cs"/>
          <w:sz w:val="16"/>
          <w:szCs w:val="16"/>
          <w:rtl/>
        </w:rPr>
        <w:t>כ"כ ה</w:t>
      </w:r>
      <w:r w:rsidRPr="00AE7BE3">
        <w:rPr>
          <w:rFonts w:asciiTheme="minorBidi" w:hAnsiTheme="minorBidi"/>
          <w:sz w:val="16"/>
          <w:szCs w:val="16"/>
          <w:rtl/>
        </w:rPr>
        <w:t>מרדכי (כתובות סי' קלו)</w:t>
      </w:r>
      <w:r w:rsidR="00E01167">
        <w:rPr>
          <w:rFonts w:asciiTheme="minorBidi" w:hAnsiTheme="minorBidi" w:hint="cs"/>
          <w:sz w:val="16"/>
          <w:szCs w:val="16"/>
          <w:rtl/>
        </w:rPr>
        <w:t>.</w:t>
      </w:r>
      <w:r w:rsidR="00E01167" w:rsidRPr="00E01167">
        <w:rPr>
          <w:rFonts w:asciiTheme="minorBidi" w:hAnsiTheme="minorBidi"/>
          <w:color w:val="000000"/>
          <w:sz w:val="16"/>
          <w:szCs w:val="16"/>
          <w:rtl/>
        </w:rPr>
        <w:t xml:space="preserve"> </w:t>
      </w:r>
      <w:r w:rsidR="00E01167" w:rsidRPr="00351B7D">
        <w:rPr>
          <w:rFonts w:asciiTheme="minorBidi" w:hAnsiTheme="minorBidi"/>
          <w:color w:val="000000"/>
          <w:sz w:val="16"/>
          <w:szCs w:val="16"/>
          <w:rtl/>
        </w:rPr>
        <w:t>וכ</w:t>
      </w:r>
      <w:r w:rsidR="00E01167">
        <w:rPr>
          <w:rFonts w:asciiTheme="minorBidi" w:hAnsiTheme="minorBidi" w:hint="cs"/>
          <w:color w:val="000000"/>
          <w:sz w:val="16"/>
          <w:szCs w:val="16"/>
          <w:rtl/>
        </w:rPr>
        <w:t>"כ</w:t>
      </w:r>
      <w:r w:rsidR="00E01167" w:rsidRPr="00351B7D">
        <w:rPr>
          <w:rFonts w:asciiTheme="minorBidi" w:hAnsiTheme="minorBidi"/>
          <w:color w:val="000000"/>
          <w:sz w:val="16"/>
          <w:szCs w:val="16"/>
          <w:rtl/>
        </w:rPr>
        <w:t xml:space="preserve"> הר"ן (ד: דיבור ראשון) </w:t>
      </w:r>
      <w:r w:rsidR="00E01167">
        <w:rPr>
          <w:rFonts w:asciiTheme="minorBidi" w:hAnsiTheme="minorBidi" w:hint="cs"/>
          <w:color w:val="000000"/>
          <w:sz w:val="16"/>
          <w:szCs w:val="16"/>
          <w:rtl/>
        </w:rPr>
        <w:t>ד</w:t>
      </w:r>
      <w:r w:rsidR="00E01167" w:rsidRPr="00351B7D">
        <w:rPr>
          <w:rFonts w:asciiTheme="minorBidi" w:hAnsiTheme="minorBidi"/>
          <w:color w:val="000000"/>
          <w:sz w:val="16"/>
          <w:szCs w:val="16"/>
          <w:rtl/>
        </w:rPr>
        <w:t>אם בא אדם ונשא בתולה סתם מאותה משפחה חייב ליתן לה ת'</w:t>
      </w:r>
      <w:r w:rsidR="00E01167">
        <w:rPr>
          <w:rFonts w:asciiTheme="minorBidi" w:hAnsiTheme="minorBidi" w:hint="cs"/>
          <w:color w:val="000000"/>
          <w:sz w:val="16"/>
          <w:szCs w:val="16"/>
          <w:rtl/>
        </w:rPr>
        <w:t>.</w:t>
      </w:r>
      <w:r w:rsidR="00E01167" w:rsidRPr="00E01167">
        <w:rPr>
          <w:rFonts w:asciiTheme="minorBidi" w:hAnsiTheme="minorBidi"/>
          <w:color w:val="000000"/>
          <w:sz w:val="16"/>
          <w:szCs w:val="16"/>
          <w:rtl/>
        </w:rPr>
        <w:t xml:space="preserve"> </w:t>
      </w:r>
      <w:r w:rsidR="00E01167" w:rsidRPr="00351B7D">
        <w:rPr>
          <w:rFonts w:asciiTheme="minorBidi" w:hAnsiTheme="minorBidi"/>
          <w:color w:val="000000"/>
          <w:sz w:val="16"/>
          <w:szCs w:val="16"/>
          <w:rtl/>
        </w:rPr>
        <w:t>וכ' התוס' (יבמות סה: ד"ה כי) מה שכותבים נדוניא גדולה לכבוד הכלה נראה לי דהוי כעין תוספת</w:t>
      </w:r>
      <w:r w:rsidR="00E01167" w:rsidRPr="00351B7D">
        <w:rPr>
          <w:rStyle w:val="a7"/>
          <w:rFonts w:asciiTheme="minorBidi" w:hAnsiTheme="minorBidi"/>
          <w:sz w:val="16"/>
          <w:szCs w:val="16"/>
          <w:rtl/>
        </w:rPr>
        <w:footnoteReference w:id="105"/>
      </w:r>
      <w:r>
        <w:rPr>
          <w:rFonts w:asciiTheme="minorBidi" w:hAnsiTheme="minorBidi" w:hint="cs"/>
          <w:sz w:val="16"/>
          <w:szCs w:val="16"/>
          <w:rtl/>
        </w:rPr>
        <w:t>)</w:t>
      </w:r>
    </w:p>
    <w:p w14:paraId="66F7FB2E" w14:textId="0E1BE8D2" w:rsidR="00B16B46" w:rsidRPr="00D40188" w:rsidRDefault="00D40188" w:rsidP="00B16B46">
      <w:pPr>
        <w:rPr>
          <w:u w:val="single"/>
        </w:rPr>
      </w:pPr>
      <w:r w:rsidRPr="00D40188">
        <w:rPr>
          <w:rFonts w:asciiTheme="minorBidi" w:hAnsiTheme="minorBidi" w:hint="cs"/>
          <w:u w:val="single"/>
          <w:rtl/>
        </w:rPr>
        <w:t>משפחה שנוהגים בה לכתוב כתובה גדולה</w:t>
      </w:r>
      <w:r w:rsidRPr="00D40188">
        <w:rPr>
          <w:rFonts w:hint="cs"/>
          <w:u w:val="single"/>
          <w:rtl/>
        </w:rPr>
        <w:t>:</w:t>
      </w:r>
    </w:p>
    <w:p w14:paraId="4D2F1B03" w14:textId="3F0DDB09" w:rsidR="00B16B46" w:rsidRPr="00C627AE" w:rsidRDefault="008F1D59" w:rsidP="009000E3">
      <w:pPr>
        <w:pStyle w:val="ab"/>
        <w:numPr>
          <w:ilvl w:val="0"/>
          <w:numId w:val="77"/>
        </w:numPr>
        <w:rPr>
          <w:rtl/>
        </w:rPr>
      </w:pPr>
      <w:r>
        <w:rPr>
          <w:rFonts w:cs="Arial" w:hint="cs"/>
          <w:rtl/>
        </w:rPr>
        <w:t xml:space="preserve">תוס' </w:t>
      </w:r>
      <w:r>
        <w:rPr>
          <w:rFonts w:cs="Arial" w:hint="cs"/>
          <w:sz w:val="16"/>
          <w:szCs w:val="16"/>
          <w:rtl/>
        </w:rPr>
        <w:t>(יב: ד"ה ב"ד)</w:t>
      </w:r>
      <w:r>
        <w:rPr>
          <w:rFonts w:cs="Arial" w:hint="cs"/>
          <w:rtl/>
        </w:rPr>
        <w:t xml:space="preserve"> </w:t>
      </w:r>
      <w:r w:rsidR="00284EA3">
        <w:rPr>
          <w:rFonts w:cs="Arial" w:hint="cs"/>
          <w:rtl/>
        </w:rPr>
        <w:t xml:space="preserve">מרדכי </w:t>
      </w:r>
      <w:r w:rsidR="00284EA3">
        <w:rPr>
          <w:rFonts w:cs="Arial" w:hint="cs"/>
          <w:sz w:val="16"/>
          <w:szCs w:val="16"/>
          <w:rtl/>
        </w:rPr>
        <w:t xml:space="preserve">(סי' קלו וסי' רלד) </w:t>
      </w:r>
      <w:r w:rsidR="000D7F1B">
        <w:rPr>
          <w:rFonts w:cs="Arial" w:hint="cs"/>
          <w:rtl/>
        </w:rPr>
        <w:t xml:space="preserve">רא"ש </w:t>
      </w:r>
      <w:r w:rsidR="000D7F1B">
        <w:rPr>
          <w:rFonts w:cs="Arial" w:hint="cs"/>
          <w:sz w:val="16"/>
          <w:szCs w:val="16"/>
          <w:rtl/>
        </w:rPr>
        <w:t>(פ"א סי' כו</w:t>
      </w:r>
      <w:r>
        <w:rPr>
          <w:rFonts w:cs="Arial" w:hint="cs"/>
          <w:sz w:val="16"/>
          <w:szCs w:val="16"/>
          <w:rtl/>
        </w:rPr>
        <w:t>, ובתשו' כלל לו ס"ס ה</w:t>
      </w:r>
      <w:r w:rsidR="000D7F1B">
        <w:rPr>
          <w:rFonts w:cs="Arial" w:hint="cs"/>
          <w:sz w:val="16"/>
          <w:szCs w:val="16"/>
          <w:rtl/>
        </w:rPr>
        <w:t>)</w:t>
      </w:r>
      <w:r w:rsidR="000D7F1B">
        <w:rPr>
          <w:rFonts w:cs="Arial" w:hint="cs"/>
          <w:rtl/>
        </w:rPr>
        <w:t xml:space="preserve"> ו</w:t>
      </w:r>
      <w:r w:rsidR="00B16B46" w:rsidRPr="00B16B46">
        <w:rPr>
          <w:rFonts w:cs="Arial" w:hint="cs"/>
          <w:rtl/>
        </w:rPr>
        <w:t xml:space="preserve">טור- </w:t>
      </w:r>
      <w:r w:rsidR="00B16B46" w:rsidRPr="00B16B46">
        <w:rPr>
          <w:rFonts w:cs="Arial"/>
          <w:rtl/>
        </w:rPr>
        <w:t xml:space="preserve">אם יש משפחה שנוהגין לכתוב בכתובתה יותר משיעור חכמים </w:t>
      </w:r>
      <w:r w:rsidR="001B664E">
        <w:rPr>
          <w:rFonts w:cs="Arial" w:hint="cs"/>
          <w:rtl/>
        </w:rPr>
        <w:t xml:space="preserve">- </w:t>
      </w:r>
      <w:r w:rsidR="00B16B46" w:rsidRPr="00B16B46">
        <w:rPr>
          <w:rFonts w:cs="Arial"/>
          <w:rtl/>
        </w:rPr>
        <w:t>אין למחות בידם</w:t>
      </w:r>
      <w:r w:rsidR="001B664E">
        <w:rPr>
          <w:rFonts w:cs="Arial" w:hint="cs"/>
          <w:rtl/>
        </w:rPr>
        <w:t>.</w:t>
      </w:r>
      <w:r w:rsidR="00B16B46" w:rsidRPr="00B16B46">
        <w:rPr>
          <w:rFonts w:cs="Arial"/>
          <w:rtl/>
        </w:rPr>
        <w:t xml:space="preserve"> ולא עוד אלא אפילו אחד מבני המשפחה ההיא שלא כתב כתובה לאשתו</w:t>
      </w:r>
      <w:r w:rsidR="0027567C">
        <w:rPr>
          <w:rFonts w:cs="Arial" w:hint="cs"/>
          <w:rtl/>
        </w:rPr>
        <w:t>,</w:t>
      </w:r>
      <w:r w:rsidR="001B664E">
        <w:rPr>
          <w:rFonts w:cs="Arial" w:hint="cs"/>
          <w:rtl/>
        </w:rPr>
        <w:t xml:space="preserve"> </w:t>
      </w:r>
      <w:r w:rsidR="00B16B46" w:rsidRPr="00B16B46">
        <w:rPr>
          <w:rFonts w:cs="Arial"/>
          <w:rtl/>
        </w:rPr>
        <w:t>מגבינן לה בתנאי ב"ד לפי מה שרגילים לכתוב</w:t>
      </w:r>
      <w:r w:rsidR="001B664E">
        <w:rPr>
          <w:rFonts w:cs="Arial" w:hint="cs"/>
          <w:rtl/>
        </w:rPr>
        <w:t>.</w:t>
      </w:r>
      <w:r w:rsidR="00B16B46" w:rsidRPr="00B16B46">
        <w:rPr>
          <w:rFonts w:cs="Arial"/>
          <w:rtl/>
        </w:rPr>
        <w:t xml:space="preserve"> לפיכך אשה שאבדה כתובתה</w:t>
      </w:r>
      <w:r w:rsidR="001B664E">
        <w:rPr>
          <w:rFonts w:cs="Arial" w:hint="cs"/>
          <w:rtl/>
        </w:rPr>
        <w:t>,</w:t>
      </w:r>
      <w:r w:rsidR="00B16B46" w:rsidRPr="00B16B46">
        <w:rPr>
          <w:rFonts w:cs="Arial"/>
          <w:rtl/>
        </w:rPr>
        <w:t xml:space="preserve"> ידקדקו בכתובות קרובותיה</w:t>
      </w:r>
      <w:r w:rsidR="001B664E">
        <w:rPr>
          <w:rFonts w:cs="Arial" w:hint="cs"/>
          <w:rtl/>
        </w:rPr>
        <w:t>,</w:t>
      </w:r>
      <w:r w:rsidR="00B16B46" w:rsidRPr="00B16B46">
        <w:rPr>
          <w:rFonts w:cs="Arial"/>
          <w:rtl/>
        </w:rPr>
        <w:t xml:space="preserve"> כפי שנהגו לכתוב בני המשפחה כותבין לה</w:t>
      </w:r>
      <w:r w:rsidR="001B664E">
        <w:rPr>
          <w:rFonts w:cs="Arial" w:hint="cs"/>
          <w:rtl/>
        </w:rPr>
        <w:t>.</w:t>
      </w:r>
      <w:r w:rsidR="00B16B46" w:rsidRPr="00B16B46">
        <w:rPr>
          <w:rFonts w:cs="Arial"/>
          <w:rtl/>
        </w:rPr>
        <w:t xml:space="preserve"> ואם כתובות נשי משפחתו יתרות מכתובות בני משפחתה</w:t>
      </w:r>
      <w:r w:rsidR="0027567C">
        <w:rPr>
          <w:rFonts w:cs="Arial" w:hint="cs"/>
          <w:rtl/>
        </w:rPr>
        <w:t>,</w:t>
      </w:r>
      <w:r w:rsidR="001B664E">
        <w:rPr>
          <w:rFonts w:cs="Arial" w:hint="cs"/>
          <w:rtl/>
        </w:rPr>
        <w:t xml:space="preserve"> </w:t>
      </w:r>
      <w:r w:rsidR="00B16B46" w:rsidRPr="00B16B46">
        <w:rPr>
          <w:rFonts w:cs="Arial"/>
          <w:rtl/>
        </w:rPr>
        <w:t>עולה עמו ואינה יורדת עמו</w:t>
      </w:r>
      <w:r w:rsidR="000D7F1B">
        <w:rPr>
          <w:rFonts w:hint="cs"/>
          <w:sz w:val="16"/>
          <w:szCs w:val="16"/>
          <w:rtl/>
        </w:rPr>
        <w:t xml:space="preserve"> (ל' הטור)</w:t>
      </w:r>
      <w:r w:rsidR="00B16B46">
        <w:rPr>
          <w:rFonts w:hint="cs"/>
          <w:rtl/>
        </w:rPr>
        <w:t>.</w:t>
      </w:r>
      <w:r w:rsidRPr="008F1D59">
        <w:rPr>
          <w:rFonts w:asciiTheme="minorBidi" w:hAnsiTheme="minorBidi" w:hint="cs"/>
          <w:color w:val="E36C0A" w:themeColor="accent6" w:themeShade="BF"/>
          <w:rtl/>
        </w:rPr>
        <w:t xml:space="preserve"> </w:t>
      </w:r>
      <w:r w:rsidRPr="00303E35">
        <w:rPr>
          <w:rFonts w:asciiTheme="minorBidi" w:hAnsiTheme="minorBidi" w:hint="cs"/>
          <w:color w:val="E36C0A" w:themeColor="accent6" w:themeShade="BF"/>
          <w:rtl/>
        </w:rPr>
        <w:t>(וכ"כ בשו"ע)</w:t>
      </w:r>
    </w:p>
    <w:p w14:paraId="14F18977" w14:textId="77777777" w:rsidR="00973C57" w:rsidRPr="00351B7D" w:rsidRDefault="00973C57" w:rsidP="00973C5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13345D8" w14:textId="13CEC37A" w:rsidR="00973C57" w:rsidRPr="00351B7D" w:rsidRDefault="00973C57" w:rsidP="00973C57">
      <w:pPr>
        <w:rPr>
          <w:rFonts w:asciiTheme="minorBidi" w:hAnsiTheme="minorBidi"/>
          <w:rtl/>
        </w:rPr>
      </w:pPr>
      <w:r w:rsidRPr="00351B7D">
        <w:rPr>
          <w:rFonts w:asciiTheme="minorBidi" w:hAnsiTheme="minorBidi"/>
          <w:rtl/>
        </w:rPr>
        <w:t>אם יש משפחות שנוהגים לכתוב בכתובתן יותר משיעור חכמים</w:t>
      </w:r>
      <w:r w:rsidR="001B3F40">
        <w:rPr>
          <w:rFonts w:asciiTheme="minorBidi" w:hAnsiTheme="minorBidi" w:hint="cs"/>
          <w:rtl/>
        </w:rPr>
        <w:t>,</w:t>
      </w:r>
      <w:r w:rsidRPr="00351B7D">
        <w:rPr>
          <w:rFonts w:asciiTheme="minorBidi" w:hAnsiTheme="minorBidi"/>
          <w:rtl/>
        </w:rPr>
        <w:t xml:space="preserve"> אין למחות בידם</w:t>
      </w:r>
      <w:r w:rsidR="001B3F40">
        <w:rPr>
          <w:rFonts w:asciiTheme="minorBidi" w:hAnsiTheme="minorBidi" w:hint="cs"/>
          <w:rtl/>
        </w:rPr>
        <w:t>.</w:t>
      </w:r>
      <w:r w:rsidRPr="00351B7D">
        <w:rPr>
          <w:rFonts w:asciiTheme="minorBidi" w:hAnsiTheme="minorBidi"/>
          <w:rtl/>
        </w:rPr>
        <w:t xml:space="preserve"> ולא עוד אלא אפילו אחד מבני המשפחה ההיא שלא כתב כתובה לאשתו</w:t>
      </w:r>
      <w:r w:rsidR="001B3F40">
        <w:rPr>
          <w:rFonts w:asciiTheme="minorBidi" w:hAnsiTheme="minorBidi" w:hint="cs"/>
          <w:rtl/>
        </w:rPr>
        <w:t>,</w:t>
      </w:r>
      <w:r w:rsidRPr="00351B7D">
        <w:rPr>
          <w:rFonts w:asciiTheme="minorBidi" w:hAnsiTheme="minorBidi"/>
          <w:rtl/>
        </w:rPr>
        <w:t xml:space="preserve"> מגבינן לה בתנאי בית דין לפי מה שרגילין לכתוב. לפיכך אשה שאבדה כתובתה ידקדקו בכתובות קרובותיה</w:t>
      </w:r>
      <w:r w:rsidR="001B3F40">
        <w:rPr>
          <w:rFonts w:asciiTheme="minorBidi" w:hAnsiTheme="minorBidi" w:hint="cs"/>
          <w:rtl/>
        </w:rPr>
        <w:t>,</w:t>
      </w:r>
      <w:r w:rsidRPr="00351B7D">
        <w:rPr>
          <w:rFonts w:asciiTheme="minorBidi" w:hAnsiTheme="minorBidi"/>
          <w:rtl/>
        </w:rPr>
        <w:t xml:space="preserve"> כפי מה שנהגו לכתוב בני המשפחה כותבין לה</w:t>
      </w:r>
      <w:r w:rsidR="000D7F1B">
        <w:rPr>
          <w:rFonts w:asciiTheme="minorBidi" w:hAnsiTheme="minorBidi" w:hint="cs"/>
          <w:rtl/>
        </w:rPr>
        <w:t>.</w:t>
      </w:r>
      <w:r w:rsidRPr="00351B7D">
        <w:rPr>
          <w:rFonts w:asciiTheme="minorBidi" w:hAnsiTheme="minorBidi"/>
          <w:color w:val="000000"/>
          <w:sz w:val="16"/>
          <w:szCs w:val="16"/>
          <w:rtl/>
        </w:rPr>
        <w:t xml:space="preserve"> </w:t>
      </w:r>
      <w:r w:rsidR="000D7F1B">
        <w:rPr>
          <w:rFonts w:asciiTheme="minorBidi" w:hAnsiTheme="minorBidi" w:hint="cs"/>
          <w:color w:val="000000"/>
          <w:sz w:val="18"/>
          <w:szCs w:val="18"/>
          <w:rtl/>
        </w:rPr>
        <w:t xml:space="preserve">[הגה] </w:t>
      </w:r>
      <w:r w:rsidRPr="00351B7D">
        <w:rPr>
          <w:rFonts w:asciiTheme="minorBidi" w:hAnsiTheme="minorBidi"/>
          <w:color w:val="000000"/>
          <w:sz w:val="18"/>
          <w:szCs w:val="18"/>
          <w:rtl/>
        </w:rPr>
        <w:t>ואפילו כתב לה דחזו ליכי</w:t>
      </w:r>
      <w:r w:rsidR="000D7F1B">
        <w:rPr>
          <w:rFonts w:asciiTheme="minorBidi" w:hAnsiTheme="minorBidi" w:hint="cs"/>
          <w:color w:val="000000"/>
          <w:sz w:val="18"/>
          <w:szCs w:val="18"/>
          <w:rtl/>
        </w:rPr>
        <w:t>,</w:t>
      </w:r>
      <w:r w:rsidRPr="00351B7D">
        <w:rPr>
          <w:rFonts w:asciiTheme="minorBidi" w:hAnsiTheme="minorBidi"/>
          <w:color w:val="000000"/>
          <w:sz w:val="18"/>
          <w:szCs w:val="18"/>
          <w:rtl/>
        </w:rPr>
        <w:t xml:space="preserve"> אפילו הכי גביא כמנהג משפחתה</w:t>
      </w:r>
      <w:r w:rsidRPr="00351B7D">
        <w:rPr>
          <w:rStyle w:val="a7"/>
          <w:rFonts w:asciiTheme="minorBidi" w:hAnsiTheme="minorBidi"/>
          <w:color w:val="000000"/>
          <w:sz w:val="18"/>
          <w:szCs w:val="18"/>
          <w:rtl/>
        </w:rPr>
        <w:footnoteReference w:id="106"/>
      </w:r>
      <w:r w:rsidR="008F1D59">
        <w:rPr>
          <w:rFonts w:asciiTheme="minorBidi" w:hAnsiTheme="minorBidi" w:hint="cs"/>
          <w:color w:val="000000"/>
          <w:sz w:val="18"/>
          <w:szCs w:val="18"/>
          <w:rtl/>
        </w:rPr>
        <w:t>(תוס'</w:t>
      </w:r>
      <w:r w:rsidRPr="00351B7D">
        <w:rPr>
          <w:rFonts w:asciiTheme="minorBidi" w:hAnsiTheme="minorBidi"/>
          <w:color w:val="000000"/>
          <w:sz w:val="18"/>
          <w:szCs w:val="18"/>
          <w:rtl/>
        </w:rPr>
        <w:t>)</w:t>
      </w:r>
      <w:r w:rsidR="008F1D59">
        <w:rPr>
          <w:rFonts w:asciiTheme="minorBidi" w:hAnsiTheme="minorBidi" w:hint="cs"/>
          <w:color w:val="000000"/>
          <w:sz w:val="18"/>
          <w:szCs w:val="18"/>
          <w:rtl/>
        </w:rPr>
        <w:t>.</w:t>
      </w:r>
      <w:r w:rsidRPr="00351B7D">
        <w:rPr>
          <w:rFonts w:asciiTheme="minorBidi" w:hAnsiTheme="minorBidi"/>
          <w:rtl/>
        </w:rPr>
        <w:t xml:space="preserve"> ואם כתובת נשי משפחתו יתירות מכתובות נשי משפחתה</w:t>
      </w:r>
      <w:r w:rsidR="008F1D59">
        <w:rPr>
          <w:rFonts w:asciiTheme="minorBidi" w:hAnsiTheme="minorBidi" w:hint="cs"/>
          <w:rtl/>
        </w:rPr>
        <w:t>,</w:t>
      </w:r>
      <w:r w:rsidRPr="00351B7D">
        <w:rPr>
          <w:rFonts w:asciiTheme="minorBidi" w:hAnsiTheme="minorBidi"/>
          <w:rtl/>
        </w:rPr>
        <w:t xml:space="preserve"> עולה עמו ואינו יורדת. </w:t>
      </w:r>
    </w:p>
    <w:p w14:paraId="770B1800" w14:textId="77777777" w:rsidR="00973C57" w:rsidRPr="00351B7D" w:rsidRDefault="00973C57" w:rsidP="00973C57">
      <w:pPr>
        <w:rPr>
          <w:rFonts w:asciiTheme="minorBidi" w:hAnsiTheme="minorBidi"/>
          <w:rtl/>
        </w:rPr>
      </w:pPr>
    </w:p>
    <w:p w14:paraId="7FA4C277" w14:textId="77777777" w:rsidR="00973C57" w:rsidRPr="00351B7D" w:rsidRDefault="00973C57" w:rsidP="000F64D0">
      <w:pPr>
        <w:pStyle w:val="2"/>
        <w:rPr>
          <w:rtl/>
        </w:rPr>
      </w:pPr>
      <w:r w:rsidRPr="00351B7D">
        <w:rPr>
          <w:rtl/>
        </w:rPr>
        <w:lastRenderedPageBreak/>
        <w:t>סעיף יא: הנושא אשה סתם כמה כתובתה, וכמה הנדוניא שהיא מכניסה.</w:t>
      </w:r>
    </w:p>
    <w:p w14:paraId="6EC542D8" w14:textId="4FFD9A09" w:rsidR="00973C57" w:rsidRDefault="00973C57" w:rsidP="00973C57">
      <w:pPr>
        <w:rPr>
          <w:rFonts w:asciiTheme="minorBidi" w:hAnsiTheme="minorBidi"/>
          <w:rtl/>
        </w:rPr>
      </w:pPr>
      <w:r w:rsidRPr="00351B7D">
        <w:rPr>
          <w:rFonts w:asciiTheme="minorBidi" w:hAnsiTheme="minorBidi"/>
          <w:b/>
          <w:bCs/>
          <w:rtl/>
        </w:rPr>
        <w:t xml:space="preserve">כתובות </w:t>
      </w:r>
      <w:r w:rsidR="00D936CE">
        <w:rPr>
          <w:rFonts w:asciiTheme="minorBidi" w:hAnsiTheme="minorBidi" w:hint="cs"/>
          <w:b/>
          <w:bCs/>
          <w:sz w:val="16"/>
          <w:szCs w:val="16"/>
          <w:rtl/>
        </w:rPr>
        <w:t>(פ' מציאת האשה)</w:t>
      </w:r>
      <w:r w:rsidR="00D936CE">
        <w:rPr>
          <w:rFonts w:asciiTheme="minorBidi" w:hAnsiTheme="minorBidi" w:hint="cs"/>
          <w:b/>
          <w:bCs/>
          <w:rtl/>
        </w:rPr>
        <w:t xml:space="preserve"> </w:t>
      </w:r>
      <w:r w:rsidRPr="00351B7D">
        <w:rPr>
          <w:rFonts w:asciiTheme="minorBidi" w:hAnsiTheme="minorBidi"/>
          <w:b/>
          <w:bCs/>
          <w:rtl/>
        </w:rPr>
        <w:t xml:space="preserve">סו ע"א: </w:t>
      </w:r>
      <w:r w:rsidRPr="00351B7D">
        <w:rPr>
          <w:rFonts w:asciiTheme="minorBidi" w:hAnsiTheme="minorBidi"/>
          <w:u w:val="double"/>
          <w:rtl/>
        </w:rPr>
        <w:t>מתני'</w:t>
      </w:r>
      <w:r w:rsidRPr="00351B7D">
        <w:rPr>
          <w:rFonts w:asciiTheme="minorBidi" w:hAnsiTheme="minorBidi"/>
          <w:rtl/>
        </w:rPr>
        <w:t>:</w:t>
      </w:r>
      <w:r w:rsidRPr="00351B7D">
        <w:rPr>
          <w:rStyle w:val="a7"/>
          <w:rFonts w:asciiTheme="minorBidi" w:hAnsiTheme="minorBidi"/>
          <w:rtl/>
        </w:rPr>
        <w:footnoteReference w:id="107"/>
      </w:r>
      <w:r w:rsidRPr="00351B7D">
        <w:rPr>
          <w:rFonts w:asciiTheme="minorBidi" w:hAnsiTheme="minorBidi"/>
          <w:rtl/>
        </w:rPr>
        <w:t>פסקה להכניס לו אלף דינר</w:t>
      </w:r>
      <w:r w:rsidRPr="00351B7D">
        <w:rPr>
          <w:rStyle w:val="a7"/>
          <w:rFonts w:asciiTheme="minorBidi" w:hAnsiTheme="minorBidi"/>
          <w:rtl/>
        </w:rPr>
        <w:footnoteReference w:id="108"/>
      </w:r>
      <w:r w:rsidRPr="00351B7D">
        <w:rPr>
          <w:rFonts w:asciiTheme="minorBidi" w:hAnsiTheme="minorBidi"/>
          <w:rtl/>
        </w:rPr>
        <w:t xml:space="preserve"> - הוא פוסק כנגדן חמש עשרה מנה</w:t>
      </w:r>
      <w:r w:rsidRPr="00351B7D">
        <w:rPr>
          <w:rStyle w:val="a7"/>
          <w:rFonts w:asciiTheme="minorBidi" w:hAnsiTheme="minorBidi"/>
          <w:rtl/>
        </w:rPr>
        <w:footnoteReference w:id="109"/>
      </w:r>
      <w:r w:rsidRPr="00351B7D">
        <w:rPr>
          <w:rFonts w:asciiTheme="minorBidi" w:hAnsiTheme="minorBidi"/>
          <w:rtl/>
        </w:rPr>
        <w:t>. וכנגד השום</w:t>
      </w:r>
      <w:r w:rsidRPr="00351B7D">
        <w:rPr>
          <w:rStyle w:val="a7"/>
          <w:rFonts w:asciiTheme="minorBidi" w:hAnsiTheme="minorBidi"/>
          <w:rtl/>
        </w:rPr>
        <w:footnoteReference w:id="110"/>
      </w:r>
      <w:r w:rsidRPr="00351B7D">
        <w:rPr>
          <w:rFonts w:asciiTheme="minorBidi" w:hAnsiTheme="minorBidi"/>
          <w:rtl/>
        </w:rPr>
        <w:t xml:space="preserve"> - הוא פוסק פחות חומש</w:t>
      </w:r>
      <w:r w:rsidRPr="00351B7D">
        <w:rPr>
          <w:rStyle w:val="a7"/>
          <w:rFonts w:asciiTheme="minorBidi" w:hAnsiTheme="minorBidi"/>
          <w:rtl/>
        </w:rPr>
        <w:footnoteReference w:id="111"/>
      </w:r>
      <w:r w:rsidRPr="00351B7D">
        <w:rPr>
          <w:rFonts w:asciiTheme="minorBidi" w:hAnsiTheme="minorBidi"/>
          <w:rtl/>
        </w:rPr>
        <w:t>. שום במנה ושוה מנה</w:t>
      </w:r>
      <w:r w:rsidRPr="00351B7D">
        <w:rPr>
          <w:rStyle w:val="a7"/>
          <w:rFonts w:asciiTheme="minorBidi" w:hAnsiTheme="minorBidi"/>
          <w:rtl/>
        </w:rPr>
        <w:footnoteReference w:id="112"/>
      </w:r>
      <w:r w:rsidRPr="00351B7D">
        <w:rPr>
          <w:rFonts w:asciiTheme="minorBidi" w:hAnsiTheme="minorBidi"/>
          <w:rtl/>
        </w:rPr>
        <w:t xml:space="preserve"> - אין לו אלא מנה</w:t>
      </w:r>
      <w:r w:rsidRPr="00351B7D">
        <w:rPr>
          <w:rStyle w:val="a7"/>
          <w:rFonts w:asciiTheme="minorBidi" w:hAnsiTheme="minorBidi"/>
          <w:rtl/>
        </w:rPr>
        <w:footnoteReference w:id="113"/>
      </w:r>
      <w:r w:rsidRPr="00351B7D">
        <w:rPr>
          <w:rFonts w:asciiTheme="minorBidi" w:hAnsiTheme="minorBidi"/>
          <w:rtl/>
        </w:rPr>
        <w:t>. שום במנה</w:t>
      </w:r>
      <w:r w:rsidRPr="00351B7D">
        <w:rPr>
          <w:rStyle w:val="a7"/>
          <w:rFonts w:asciiTheme="minorBidi" w:hAnsiTheme="minorBidi"/>
          <w:rtl/>
        </w:rPr>
        <w:footnoteReference w:id="114"/>
      </w:r>
      <w:r w:rsidRPr="00351B7D">
        <w:rPr>
          <w:rFonts w:asciiTheme="minorBidi" w:hAnsiTheme="minorBidi"/>
          <w:rtl/>
        </w:rPr>
        <w:t xml:space="preserve"> - היא נותנת שלשים ואחד סלע ודינר</w:t>
      </w:r>
      <w:r w:rsidRPr="00351B7D">
        <w:rPr>
          <w:rStyle w:val="a7"/>
          <w:rFonts w:asciiTheme="minorBidi" w:hAnsiTheme="minorBidi"/>
          <w:rtl/>
        </w:rPr>
        <w:footnoteReference w:id="115"/>
      </w:r>
      <w:r w:rsidRPr="00351B7D">
        <w:rPr>
          <w:rFonts w:asciiTheme="minorBidi" w:hAnsiTheme="minorBidi"/>
          <w:rtl/>
        </w:rPr>
        <w:t>, ובארבע מאות</w:t>
      </w:r>
      <w:r w:rsidRPr="00351B7D">
        <w:rPr>
          <w:rStyle w:val="a7"/>
          <w:rFonts w:asciiTheme="minorBidi" w:hAnsiTheme="minorBidi"/>
          <w:rtl/>
        </w:rPr>
        <w:footnoteReference w:id="116"/>
      </w:r>
      <w:r w:rsidRPr="00351B7D">
        <w:rPr>
          <w:rFonts w:asciiTheme="minorBidi" w:hAnsiTheme="minorBidi"/>
          <w:rtl/>
        </w:rPr>
        <w:t xml:space="preserve"> - היא נותנת חמש מאות. מה שחתן פוסק - הוא פוסק פחות חומש</w:t>
      </w:r>
      <w:r w:rsidRPr="00351B7D">
        <w:rPr>
          <w:rStyle w:val="a7"/>
          <w:rFonts w:asciiTheme="minorBidi" w:hAnsiTheme="minorBidi"/>
          <w:rtl/>
        </w:rPr>
        <w:footnoteReference w:id="117"/>
      </w:r>
      <w:r w:rsidRPr="00351B7D">
        <w:rPr>
          <w:rFonts w:asciiTheme="minorBidi" w:hAnsiTheme="minorBidi"/>
          <w:rtl/>
        </w:rPr>
        <w:t>.</w:t>
      </w:r>
    </w:p>
    <w:p w14:paraId="22306A88" w14:textId="3EC37A0E" w:rsidR="005200D7" w:rsidRDefault="0076496B" w:rsidP="00711412">
      <w:pPr>
        <w:rPr>
          <w:rFonts w:asciiTheme="minorBidi" w:hAnsiTheme="minorBidi"/>
          <w:rtl/>
        </w:rPr>
      </w:pPr>
      <w:r w:rsidRPr="00351B7D">
        <w:rPr>
          <w:rFonts w:asciiTheme="minorBidi" w:hAnsiTheme="minorBidi"/>
          <w:b/>
          <w:bCs/>
          <w:rtl/>
        </w:rPr>
        <w:t xml:space="preserve">כתובות </w:t>
      </w:r>
      <w:r>
        <w:rPr>
          <w:rFonts w:asciiTheme="minorBidi" w:hAnsiTheme="minorBidi" w:hint="cs"/>
          <w:b/>
          <w:bCs/>
          <w:sz w:val="16"/>
          <w:szCs w:val="16"/>
          <w:rtl/>
        </w:rPr>
        <w:t>(פ' מציאת האשה)</w:t>
      </w:r>
      <w:r>
        <w:rPr>
          <w:rFonts w:asciiTheme="minorBidi" w:hAnsiTheme="minorBidi" w:hint="cs"/>
          <w:b/>
          <w:bCs/>
          <w:rtl/>
        </w:rPr>
        <w:t xml:space="preserve"> </w:t>
      </w:r>
      <w:r w:rsidRPr="00351B7D">
        <w:rPr>
          <w:rFonts w:asciiTheme="minorBidi" w:hAnsiTheme="minorBidi"/>
          <w:b/>
          <w:bCs/>
          <w:rtl/>
        </w:rPr>
        <w:t>סו ע"</w:t>
      </w:r>
      <w:r>
        <w:rPr>
          <w:rFonts w:asciiTheme="minorBidi" w:hAnsiTheme="minorBidi" w:hint="cs"/>
          <w:b/>
          <w:bCs/>
          <w:rtl/>
        </w:rPr>
        <w:t>ב</w:t>
      </w:r>
      <w:r w:rsidRPr="00351B7D">
        <w:rPr>
          <w:rFonts w:asciiTheme="minorBidi" w:hAnsiTheme="minorBidi"/>
          <w:b/>
          <w:bCs/>
          <w:rtl/>
        </w:rPr>
        <w:t xml:space="preserve">: </w:t>
      </w:r>
      <w:r w:rsidRPr="00351B7D">
        <w:rPr>
          <w:rFonts w:asciiTheme="minorBidi" w:hAnsiTheme="minorBidi"/>
          <w:u w:val="double"/>
          <w:rtl/>
        </w:rPr>
        <w:t>מתני'</w:t>
      </w:r>
      <w:r w:rsidRPr="00351B7D">
        <w:rPr>
          <w:rFonts w:asciiTheme="minorBidi" w:hAnsiTheme="minorBidi"/>
          <w:rtl/>
        </w:rPr>
        <w:t>:</w:t>
      </w:r>
      <w:r w:rsidRPr="0076496B">
        <w:rPr>
          <w:rFonts w:asciiTheme="minorBidi" w:hAnsiTheme="minorBidi" w:cs="Arial"/>
          <w:rtl/>
        </w:rPr>
        <w:t xml:space="preserve"> פסקה להכניס לו כספים</w:t>
      </w:r>
      <w:r w:rsidR="007B6E86" w:rsidRPr="00351B7D">
        <w:rPr>
          <w:rStyle w:val="a7"/>
          <w:rFonts w:asciiTheme="minorBidi" w:hAnsiTheme="minorBidi"/>
          <w:rtl/>
        </w:rPr>
        <w:footnoteReference w:id="118"/>
      </w:r>
      <w:r w:rsidRPr="0076496B">
        <w:rPr>
          <w:rFonts w:asciiTheme="minorBidi" w:hAnsiTheme="minorBidi" w:cs="Arial"/>
          <w:rtl/>
        </w:rPr>
        <w:t xml:space="preserve"> - סלעה נעשה ששה דינרין</w:t>
      </w:r>
      <w:r w:rsidR="000E7E98">
        <w:rPr>
          <w:rStyle w:val="a7"/>
          <w:rFonts w:asciiTheme="minorBidi" w:hAnsiTheme="minorBidi" w:cs="Arial"/>
          <w:rtl/>
        </w:rPr>
        <w:footnoteReference w:id="119"/>
      </w:r>
      <w:r w:rsidRPr="0076496B">
        <w:rPr>
          <w:rFonts w:asciiTheme="minorBidi" w:hAnsiTheme="minorBidi" w:cs="Arial"/>
          <w:rtl/>
        </w:rPr>
        <w:t>. החתן מקבל עליו עשרה דינרים לקופה לכל מנה ומנה</w:t>
      </w:r>
      <w:r w:rsidR="00315209">
        <w:rPr>
          <w:rStyle w:val="a7"/>
          <w:rFonts w:asciiTheme="minorBidi" w:hAnsiTheme="minorBidi" w:cs="Arial"/>
          <w:rtl/>
        </w:rPr>
        <w:footnoteReference w:id="120"/>
      </w:r>
      <w:r>
        <w:rPr>
          <w:rFonts w:asciiTheme="minorBidi" w:hAnsiTheme="minorBidi" w:cs="Arial" w:hint="cs"/>
          <w:rtl/>
        </w:rPr>
        <w:t>.</w:t>
      </w:r>
      <w:r w:rsidRPr="0076496B">
        <w:rPr>
          <w:rFonts w:asciiTheme="minorBidi" w:hAnsiTheme="minorBidi" w:cs="Arial"/>
          <w:rtl/>
        </w:rPr>
        <w:t xml:space="preserve"> </w:t>
      </w:r>
      <w:r w:rsidRPr="0076496B">
        <w:rPr>
          <w:rFonts w:asciiTheme="minorBidi" w:hAnsiTheme="minorBidi" w:cs="Arial"/>
          <w:u w:val="single"/>
          <w:rtl/>
        </w:rPr>
        <w:t>רבן שמעון בן גמליאל אומר</w:t>
      </w:r>
      <w:r w:rsidRPr="0076496B">
        <w:rPr>
          <w:rFonts w:asciiTheme="minorBidi" w:hAnsiTheme="minorBidi" w:cs="Arial"/>
          <w:rtl/>
        </w:rPr>
        <w:t>: הכל כמנהג המדינה</w:t>
      </w:r>
      <w:r w:rsidR="004807FF">
        <w:rPr>
          <w:rStyle w:val="a7"/>
          <w:rFonts w:asciiTheme="minorBidi" w:hAnsiTheme="minorBidi" w:cs="Arial"/>
          <w:rtl/>
        </w:rPr>
        <w:footnoteReference w:id="121"/>
      </w:r>
      <w:r w:rsidRPr="0076496B">
        <w:rPr>
          <w:rFonts w:asciiTheme="minorBidi" w:hAnsiTheme="minorBidi" w:cs="Arial"/>
          <w:rtl/>
        </w:rPr>
        <w:t>.</w:t>
      </w:r>
      <w:r w:rsidR="00331A84">
        <w:rPr>
          <w:rFonts w:asciiTheme="minorBidi" w:hAnsiTheme="minorBidi" w:hint="cs"/>
          <w:rtl/>
        </w:rPr>
        <w:t xml:space="preserve">      </w:t>
      </w:r>
      <w:r w:rsidR="00331A84" w:rsidRPr="00331A84">
        <w:rPr>
          <w:rFonts w:asciiTheme="minorBidi" w:hAnsiTheme="minorBidi" w:hint="cs"/>
          <w:u w:val="double"/>
          <w:rtl/>
        </w:rPr>
        <w:t>גמ'</w:t>
      </w:r>
      <w:r w:rsidR="00331A84">
        <w:rPr>
          <w:rFonts w:asciiTheme="minorBidi" w:hAnsiTheme="minorBidi" w:hint="cs"/>
          <w:rtl/>
        </w:rPr>
        <w:t>:</w:t>
      </w:r>
      <w:r w:rsidR="00331A84" w:rsidRPr="00331A84">
        <w:rPr>
          <w:rFonts w:asciiTheme="minorBidi" w:hAnsiTheme="minorBidi" w:cs="Arial"/>
          <w:rtl/>
        </w:rPr>
        <w:t xml:space="preserve"> היינו פוסק כנגדם חמשה עשר מנה! תנא עסקא רבה ותנא עסקא זוטא; וצריכא, דאי תנא עסקא רבה, דנפיש רווחא, אבל עסקא זוטא דזוטר רווחא - אימא לא, צריכא; ואי אשמעינן עסקא זוטא, דזוטר זיונא, אבל עסקא רבה דנפיש זיונא - אימא לא, צריכא. </w:t>
      </w:r>
      <w:r w:rsidR="00331A84">
        <w:rPr>
          <w:rFonts w:asciiTheme="minorBidi" w:hAnsiTheme="minorBidi" w:hint="cs"/>
          <w:rtl/>
        </w:rPr>
        <w:t xml:space="preserve">    </w:t>
      </w:r>
      <w:r w:rsidR="00331A84" w:rsidRPr="00331A84">
        <w:rPr>
          <w:rFonts w:asciiTheme="minorBidi" w:hAnsiTheme="minorBidi" w:cs="Arial"/>
          <w:rtl/>
        </w:rPr>
        <w:t xml:space="preserve">החתן מקבל עליו עשרה דינר לקופה. מאי קופה? </w:t>
      </w:r>
      <w:r w:rsidR="00331A84" w:rsidRPr="00331A84">
        <w:rPr>
          <w:rFonts w:asciiTheme="minorBidi" w:hAnsiTheme="minorBidi" w:cs="Arial"/>
          <w:u w:val="single"/>
          <w:rtl/>
        </w:rPr>
        <w:t>אמר רב אשי</w:t>
      </w:r>
      <w:r w:rsidR="00331A84" w:rsidRPr="00331A84">
        <w:rPr>
          <w:rFonts w:asciiTheme="minorBidi" w:hAnsiTheme="minorBidi" w:cs="Arial"/>
          <w:rtl/>
        </w:rPr>
        <w:t xml:space="preserve">: קופה של בשמים. </w:t>
      </w:r>
      <w:r w:rsidR="00331A84" w:rsidRPr="00331A84">
        <w:rPr>
          <w:rFonts w:asciiTheme="minorBidi" w:hAnsiTheme="minorBidi" w:cs="Arial"/>
          <w:u w:val="single"/>
          <w:rtl/>
        </w:rPr>
        <w:t>ואמר רב אשי</w:t>
      </w:r>
      <w:r w:rsidR="00331A84" w:rsidRPr="00331A84">
        <w:rPr>
          <w:rFonts w:asciiTheme="minorBidi" w:hAnsiTheme="minorBidi" w:cs="Arial"/>
          <w:rtl/>
        </w:rPr>
        <w:t>: לא נאמרו דברים הללו אלא בירושלים. בעי רב אשי: במנה הנישום או במנה המתקבל? את"ל מנה המתקבל, יום ראשון או כל יום ויום? את"ל כל יום ויום, שבת ראשונה או כל שבת ושבת? את"ל כל שבת ושבת, חדש ראשון או כל חדש וחדש? את"ל כל חדש וחדש, שנה ראשונה או כל שנה ושנה? תיקו.</w:t>
      </w:r>
      <w:r w:rsidR="00711412">
        <w:rPr>
          <w:rFonts w:asciiTheme="minorBidi" w:hAnsiTheme="minorBidi" w:hint="cs"/>
          <w:rtl/>
        </w:rPr>
        <w:t>..</w:t>
      </w:r>
      <w:r w:rsidR="00711412">
        <w:rPr>
          <w:rFonts w:asciiTheme="minorBidi" w:hAnsiTheme="minorBidi" w:hint="cs"/>
          <w:sz w:val="14"/>
          <w:szCs w:val="14"/>
          <w:rtl/>
        </w:rPr>
        <w:t xml:space="preserve"> (סז.)</w:t>
      </w:r>
      <w:r w:rsidR="00711412">
        <w:rPr>
          <w:rFonts w:asciiTheme="minorBidi" w:hAnsiTheme="minorBidi" w:hint="cs"/>
          <w:rtl/>
        </w:rPr>
        <w:t xml:space="preserve"> </w:t>
      </w:r>
      <w:r w:rsidR="005200D7" w:rsidRPr="00711412">
        <w:rPr>
          <w:rFonts w:asciiTheme="minorBidi" w:hAnsiTheme="minorBidi" w:cs="Arial"/>
          <w:u w:val="single"/>
          <w:rtl/>
        </w:rPr>
        <w:t>אמר רבי ינאי</w:t>
      </w:r>
      <w:r w:rsidR="005200D7" w:rsidRPr="005200D7">
        <w:rPr>
          <w:rFonts w:asciiTheme="minorBidi" w:hAnsiTheme="minorBidi" w:cs="Arial"/>
          <w:rtl/>
        </w:rPr>
        <w:t>: בשמים של אנטוכיא - הרי הן ככספים.</w:t>
      </w:r>
      <w:r w:rsidR="00B813F5" w:rsidRPr="00B813F5">
        <w:rPr>
          <w:rtl/>
        </w:rPr>
        <w:t xml:space="preserve"> </w:t>
      </w:r>
      <w:r w:rsidR="00B813F5" w:rsidRPr="00B813F5">
        <w:rPr>
          <w:rFonts w:asciiTheme="minorBidi" w:hAnsiTheme="minorBidi" w:cs="Arial" w:hint="cs"/>
          <w:sz w:val="16"/>
          <w:szCs w:val="16"/>
          <w:rtl/>
        </w:rPr>
        <w:t>(</w:t>
      </w:r>
      <w:r w:rsidR="00B813F5" w:rsidRPr="00B813F5">
        <w:rPr>
          <w:rFonts w:asciiTheme="minorBidi" w:hAnsiTheme="minorBidi" w:cs="Arial"/>
          <w:sz w:val="16"/>
          <w:szCs w:val="16"/>
          <w:rtl/>
        </w:rPr>
        <w:t xml:space="preserve">וכתב הריב"ש </w:t>
      </w:r>
      <w:r w:rsidR="00B813F5">
        <w:rPr>
          <w:rFonts w:asciiTheme="minorBidi" w:hAnsiTheme="minorBidi" w:cs="Arial" w:hint="cs"/>
          <w:sz w:val="16"/>
          <w:szCs w:val="16"/>
          <w:rtl/>
        </w:rPr>
        <w:t>(</w:t>
      </w:r>
      <w:r w:rsidR="00B813F5" w:rsidRPr="00B813F5">
        <w:rPr>
          <w:rFonts w:asciiTheme="minorBidi" w:hAnsiTheme="minorBidi" w:cs="Arial"/>
          <w:sz w:val="16"/>
          <w:szCs w:val="16"/>
          <w:rtl/>
        </w:rPr>
        <w:t>סי</w:t>
      </w:r>
      <w:r w:rsidR="00B813F5">
        <w:rPr>
          <w:rFonts w:asciiTheme="minorBidi" w:hAnsiTheme="minorBidi" w:cs="Arial" w:hint="cs"/>
          <w:sz w:val="16"/>
          <w:szCs w:val="16"/>
          <w:rtl/>
        </w:rPr>
        <w:t>'</w:t>
      </w:r>
      <w:r w:rsidR="00B813F5" w:rsidRPr="00B813F5">
        <w:rPr>
          <w:rFonts w:asciiTheme="minorBidi" w:hAnsiTheme="minorBidi" w:cs="Arial"/>
          <w:sz w:val="16"/>
          <w:szCs w:val="16"/>
          <w:rtl/>
        </w:rPr>
        <w:t xml:space="preserve"> ק</w:t>
      </w:r>
      <w:r w:rsidR="00B813F5">
        <w:rPr>
          <w:rFonts w:asciiTheme="minorBidi" w:hAnsiTheme="minorBidi" w:cs="Arial" w:hint="cs"/>
          <w:sz w:val="16"/>
          <w:szCs w:val="16"/>
          <w:rtl/>
        </w:rPr>
        <w:t>נ)</w:t>
      </w:r>
      <w:r w:rsidR="00B813F5" w:rsidRPr="00B813F5">
        <w:rPr>
          <w:rFonts w:asciiTheme="minorBidi" w:hAnsiTheme="minorBidi" w:cs="Arial"/>
          <w:sz w:val="16"/>
          <w:szCs w:val="16"/>
          <w:rtl/>
        </w:rPr>
        <w:t xml:space="preserve"> שהוא הדין לכל מיני סחורה שיוסיף שליש ונושא ונותן בהם</w:t>
      </w:r>
      <w:r w:rsidR="0054365D">
        <w:rPr>
          <w:rFonts w:asciiTheme="minorBidi" w:hAnsiTheme="minorBidi" w:cs="Arial" w:hint="cs"/>
          <w:sz w:val="16"/>
          <w:szCs w:val="16"/>
          <w:rtl/>
        </w:rPr>
        <w:t>.</w:t>
      </w:r>
      <w:r w:rsidR="00924083">
        <w:rPr>
          <w:rFonts w:asciiTheme="minorBidi" w:hAnsiTheme="minorBidi" w:cs="Arial" w:hint="cs"/>
          <w:sz w:val="16"/>
          <w:szCs w:val="16"/>
          <w:rtl/>
        </w:rPr>
        <w:t>..</w:t>
      </w:r>
      <w:r w:rsidR="00924083" w:rsidRPr="0054365D">
        <w:rPr>
          <w:rFonts w:asciiTheme="minorBidi" w:hAnsiTheme="minorBidi" w:cs="Arial"/>
          <w:sz w:val="16"/>
          <w:szCs w:val="16"/>
          <w:rtl/>
        </w:rPr>
        <w:t xml:space="preserve"> </w:t>
      </w:r>
      <w:r w:rsidR="00E3544C">
        <w:rPr>
          <w:rFonts w:asciiTheme="minorBidi" w:hAnsiTheme="minorBidi" w:cs="Arial" w:hint="cs"/>
          <w:sz w:val="16"/>
          <w:szCs w:val="16"/>
          <w:rtl/>
        </w:rPr>
        <w:t>[עכ"ל]</w:t>
      </w:r>
      <w:r w:rsidR="00B813F5">
        <w:rPr>
          <w:rFonts w:asciiTheme="minorBidi" w:hAnsiTheme="minorBidi" w:cs="Arial" w:hint="cs"/>
          <w:sz w:val="16"/>
          <w:szCs w:val="16"/>
          <w:rtl/>
        </w:rPr>
        <w:t>, ב"י)</w:t>
      </w:r>
    </w:p>
    <w:p w14:paraId="6E0B9A0C" w14:textId="77777777" w:rsidR="009E51CE" w:rsidRDefault="009E51CE" w:rsidP="00973C57">
      <w:pPr>
        <w:rPr>
          <w:rFonts w:asciiTheme="minorBidi" w:hAnsiTheme="minorBidi"/>
          <w:u w:val="single"/>
          <w:rtl/>
        </w:rPr>
      </w:pPr>
      <w:r w:rsidRPr="00351B7D">
        <w:rPr>
          <w:rFonts w:asciiTheme="minorBidi" w:hAnsiTheme="minorBidi"/>
          <w:b/>
          <w:bCs/>
          <w:rtl/>
        </w:rPr>
        <w:t xml:space="preserve">בבא מציעא </w:t>
      </w:r>
      <w:r>
        <w:rPr>
          <w:rFonts w:asciiTheme="minorBidi" w:hAnsiTheme="minorBidi" w:hint="cs"/>
          <w:b/>
          <w:bCs/>
          <w:sz w:val="16"/>
          <w:szCs w:val="16"/>
          <w:rtl/>
        </w:rPr>
        <w:t xml:space="preserve">(פ' המקבל שדה מחבירו) </w:t>
      </w:r>
      <w:r w:rsidRPr="00351B7D">
        <w:rPr>
          <w:rFonts w:asciiTheme="minorBidi" w:hAnsiTheme="minorBidi"/>
          <w:b/>
          <w:bCs/>
          <w:rtl/>
        </w:rPr>
        <w:t xml:space="preserve">קד ע"ב: </w:t>
      </w:r>
      <w:r w:rsidRPr="00351B7D">
        <w:rPr>
          <w:rFonts w:asciiTheme="minorBidi" w:hAnsiTheme="minorBidi"/>
          <w:rtl/>
        </w:rPr>
        <w:t xml:space="preserve">דתניא, </w:t>
      </w:r>
      <w:r w:rsidRPr="00351B7D">
        <w:rPr>
          <w:rFonts w:asciiTheme="minorBidi" w:hAnsiTheme="minorBidi"/>
          <w:u w:val="single"/>
          <w:rtl/>
        </w:rPr>
        <w:t>רבי יוסי אומר:</w:t>
      </w:r>
      <w:r w:rsidRPr="00351B7D">
        <w:rPr>
          <w:rFonts w:asciiTheme="minorBidi" w:hAnsiTheme="minorBidi"/>
          <w:rtl/>
        </w:rPr>
        <w:t xml:space="preserve"> מקום שנהגו לעשות כתובה מלוה</w:t>
      </w:r>
      <w:r w:rsidRPr="00351B7D">
        <w:rPr>
          <w:rStyle w:val="a7"/>
          <w:rFonts w:asciiTheme="minorBidi" w:hAnsiTheme="minorBidi"/>
          <w:rtl/>
        </w:rPr>
        <w:footnoteReference w:id="122"/>
      </w:r>
      <w:r w:rsidRPr="00351B7D">
        <w:rPr>
          <w:rFonts w:asciiTheme="minorBidi" w:hAnsiTheme="minorBidi"/>
          <w:rtl/>
        </w:rPr>
        <w:t>- גובה מלוה</w:t>
      </w:r>
      <w:r w:rsidRPr="00351B7D">
        <w:rPr>
          <w:rStyle w:val="a7"/>
          <w:rFonts w:asciiTheme="minorBidi" w:hAnsiTheme="minorBidi"/>
          <w:rtl/>
        </w:rPr>
        <w:footnoteReference w:id="123"/>
      </w:r>
      <w:r w:rsidRPr="00351B7D">
        <w:rPr>
          <w:rFonts w:asciiTheme="minorBidi" w:hAnsiTheme="minorBidi"/>
          <w:rtl/>
        </w:rPr>
        <w:t>, לכפול</w:t>
      </w:r>
      <w:r w:rsidRPr="00351B7D">
        <w:rPr>
          <w:rStyle w:val="a7"/>
          <w:rFonts w:asciiTheme="minorBidi" w:hAnsiTheme="minorBidi"/>
          <w:rtl/>
        </w:rPr>
        <w:footnoteReference w:id="124"/>
      </w:r>
      <w:r w:rsidRPr="00351B7D">
        <w:rPr>
          <w:rFonts w:asciiTheme="minorBidi" w:hAnsiTheme="minorBidi"/>
          <w:rtl/>
        </w:rPr>
        <w:t>- גובה מחצה</w:t>
      </w:r>
      <w:r w:rsidRPr="00351B7D">
        <w:rPr>
          <w:rStyle w:val="a7"/>
          <w:rFonts w:asciiTheme="minorBidi" w:hAnsiTheme="minorBidi"/>
          <w:rtl/>
        </w:rPr>
        <w:footnoteReference w:id="125"/>
      </w:r>
      <w:r w:rsidRPr="00351B7D">
        <w:rPr>
          <w:rFonts w:asciiTheme="minorBidi" w:hAnsiTheme="minorBidi"/>
          <w:rtl/>
        </w:rPr>
        <w:t xml:space="preserve">. </w:t>
      </w:r>
    </w:p>
    <w:p w14:paraId="6A9CBEF6" w14:textId="553BB13F" w:rsidR="002C45A9" w:rsidRPr="00793B87" w:rsidRDefault="00793B87" w:rsidP="00973C57">
      <w:pPr>
        <w:rPr>
          <w:rFonts w:asciiTheme="minorBidi" w:hAnsiTheme="minorBidi"/>
          <w:u w:val="single"/>
          <w:rtl/>
        </w:rPr>
      </w:pPr>
      <w:r w:rsidRPr="00793B87">
        <w:rPr>
          <w:rFonts w:asciiTheme="minorBidi" w:hAnsiTheme="minorBidi" w:hint="cs"/>
          <w:u w:val="single"/>
          <w:rtl/>
        </w:rPr>
        <w:t>מהי נדוניא:</w:t>
      </w:r>
    </w:p>
    <w:p w14:paraId="15FE628B" w14:textId="19945605" w:rsidR="00793B87" w:rsidRPr="00793B87" w:rsidRDefault="002C45A9" w:rsidP="009000E3">
      <w:pPr>
        <w:pStyle w:val="ab"/>
        <w:numPr>
          <w:ilvl w:val="0"/>
          <w:numId w:val="77"/>
        </w:numPr>
        <w:rPr>
          <w:rFonts w:asciiTheme="minorBidi" w:hAnsiTheme="minorBidi"/>
        </w:rPr>
      </w:pPr>
      <w:r w:rsidRPr="002C45A9">
        <w:rPr>
          <w:rFonts w:asciiTheme="minorBidi" w:hAnsiTheme="minorBidi" w:cs="Arial" w:hint="cs"/>
          <w:rtl/>
        </w:rPr>
        <w:t xml:space="preserve">טור- </w:t>
      </w:r>
      <w:r w:rsidRPr="002C45A9">
        <w:rPr>
          <w:rFonts w:asciiTheme="minorBidi" w:hAnsiTheme="minorBidi" w:cs="Arial"/>
          <w:rtl/>
        </w:rPr>
        <w:t>אם האשה מכנסת לו מעות או בגדים ומקבלן עליו וכתב אותם בכתובה</w:t>
      </w:r>
      <w:r w:rsidR="00FB7130">
        <w:rPr>
          <w:rFonts w:asciiTheme="minorBidi" w:hAnsiTheme="minorBidi" w:cs="Arial" w:hint="cs"/>
          <w:rtl/>
        </w:rPr>
        <w:t>,</w:t>
      </w:r>
      <w:r w:rsidRPr="002C45A9">
        <w:rPr>
          <w:rFonts w:asciiTheme="minorBidi" w:hAnsiTheme="minorBidi" w:cs="Arial"/>
          <w:rtl/>
        </w:rPr>
        <w:t xml:space="preserve"> דינן כשאר הכתובה</w:t>
      </w:r>
      <w:r w:rsidR="00814BDB">
        <w:rPr>
          <w:rStyle w:val="a7"/>
          <w:rFonts w:asciiTheme="minorBidi" w:hAnsiTheme="minorBidi" w:cs="Arial"/>
          <w:rtl/>
        </w:rPr>
        <w:footnoteReference w:id="126"/>
      </w:r>
      <w:r w:rsidRPr="002C45A9">
        <w:rPr>
          <w:rFonts w:asciiTheme="minorBidi" w:hAnsiTheme="minorBidi" w:cs="Arial"/>
          <w:rtl/>
        </w:rPr>
        <w:t xml:space="preserve"> ונגבית עמה</w:t>
      </w:r>
      <w:r w:rsidR="00FB7130">
        <w:rPr>
          <w:rFonts w:asciiTheme="minorBidi" w:hAnsiTheme="minorBidi" w:cs="Arial" w:hint="cs"/>
          <w:rtl/>
        </w:rPr>
        <w:t>,</w:t>
      </w:r>
      <w:r w:rsidRPr="002C45A9">
        <w:rPr>
          <w:rFonts w:asciiTheme="minorBidi" w:hAnsiTheme="minorBidi" w:cs="Arial"/>
          <w:rtl/>
        </w:rPr>
        <w:t xml:space="preserve"> וזה נקרא נדוניא</w:t>
      </w:r>
      <w:r w:rsidR="00FB7130">
        <w:rPr>
          <w:rFonts w:asciiTheme="minorBidi" w:hAnsiTheme="minorBidi" w:cs="Arial" w:hint="cs"/>
          <w:rtl/>
        </w:rPr>
        <w:t>.</w:t>
      </w:r>
      <w:r w:rsidR="0029753E" w:rsidRPr="0029753E">
        <w:rPr>
          <w:rFonts w:asciiTheme="minorBidi" w:hAnsiTheme="minorBidi" w:hint="cs"/>
          <w:color w:val="00B0F0"/>
          <w:rtl/>
        </w:rPr>
        <w:t xml:space="preserve"> </w:t>
      </w:r>
      <w:r w:rsidR="0029753E" w:rsidRPr="00785934">
        <w:rPr>
          <w:rFonts w:asciiTheme="minorBidi" w:hAnsiTheme="minorBidi" w:hint="cs"/>
          <w:color w:val="00B0F0"/>
          <w:rtl/>
        </w:rPr>
        <w:t>(וכ"פ הרמ"א)</w:t>
      </w:r>
    </w:p>
    <w:p w14:paraId="7B697552" w14:textId="0B0172B3" w:rsidR="00793B87" w:rsidRPr="00E95A7A" w:rsidRDefault="00793B87" w:rsidP="00793B87">
      <w:pPr>
        <w:ind w:left="360"/>
        <w:rPr>
          <w:rFonts w:asciiTheme="minorBidi" w:hAnsiTheme="minorBidi"/>
          <w:u w:val="dotted"/>
        </w:rPr>
      </w:pPr>
      <w:r w:rsidRPr="00E95A7A">
        <w:rPr>
          <w:rFonts w:asciiTheme="minorBidi" w:hAnsiTheme="minorBidi" w:cs="Arial" w:hint="cs"/>
          <w:u w:val="dotted"/>
          <w:rtl/>
        </w:rPr>
        <w:t xml:space="preserve">כיצד שמין </w:t>
      </w:r>
      <w:r w:rsidR="00E95A7A" w:rsidRPr="00E95A7A">
        <w:rPr>
          <w:rFonts w:asciiTheme="minorBidi" w:hAnsiTheme="minorBidi" w:cs="Arial" w:hint="cs"/>
          <w:u w:val="dotted"/>
          <w:rtl/>
        </w:rPr>
        <w:t>את הנדוניא:</w:t>
      </w:r>
      <w:r w:rsidR="002C45A9" w:rsidRPr="00E95A7A">
        <w:rPr>
          <w:rFonts w:asciiTheme="minorBidi" w:hAnsiTheme="minorBidi" w:cs="Arial"/>
          <w:u w:val="dotted"/>
          <w:rtl/>
        </w:rPr>
        <w:t xml:space="preserve"> </w:t>
      </w:r>
    </w:p>
    <w:p w14:paraId="5DB2980E" w14:textId="4666C97C" w:rsidR="002C45A9" w:rsidRPr="00B75DD0" w:rsidRDefault="00E95A7A" w:rsidP="009000E3">
      <w:pPr>
        <w:pStyle w:val="ab"/>
        <w:numPr>
          <w:ilvl w:val="0"/>
          <w:numId w:val="77"/>
        </w:numPr>
        <w:rPr>
          <w:rFonts w:asciiTheme="minorBidi" w:hAnsiTheme="minorBidi"/>
          <w:rtl/>
        </w:rPr>
      </w:pPr>
      <w:r>
        <w:rPr>
          <w:rFonts w:asciiTheme="minorBidi" w:hAnsiTheme="minorBidi" w:cs="Arial" w:hint="cs"/>
          <w:rtl/>
        </w:rPr>
        <w:t xml:space="preserve">טור- </w:t>
      </w:r>
      <w:r w:rsidR="002C45A9" w:rsidRPr="002C45A9">
        <w:rPr>
          <w:rFonts w:asciiTheme="minorBidi" w:hAnsiTheme="minorBidi" w:cs="Arial"/>
          <w:rtl/>
        </w:rPr>
        <w:t>יש מקומות שנוהגין כשכותבין סכום הנדוניא שמכנסת לו</w:t>
      </w:r>
      <w:r w:rsidR="00FB7130">
        <w:rPr>
          <w:rFonts w:asciiTheme="minorBidi" w:hAnsiTheme="minorBidi" w:cs="Arial" w:hint="cs"/>
          <w:rtl/>
        </w:rPr>
        <w:t>.</w:t>
      </w:r>
      <w:r w:rsidR="002C45A9" w:rsidRPr="002C45A9">
        <w:rPr>
          <w:rFonts w:asciiTheme="minorBidi" w:hAnsiTheme="minorBidi" w:cs="Arial"/>
          <w:rtl/>
        </w:rPr>
        <w:t xml:space="preserve"> אם מכנסת לו מטבע היוצא בהוצאה או מיני סחורות שרגילין לסחור בהן</w:t>
      </w:r>
      <w:r w:rsidR="00FB7130">
        <w:rPr>
          <w:rFonts w:asciiTheme="minorBidi" w:hAnsiTheme="minorBidi" w:cs="Arial" w:hint="cs"/>
          <w:rtl/>
        </w:rPr>
        <w:t>,</w:t>
      </w:r>
      <w:r w:rsidR="002C45A9" w:rsidRPr="002C45A9">
        <w:rPr>
          <w:rFonts w:asciiTheme="minorBidi" w:hAnsiTheme="minorBidi" w:cs="Arial"/>
          <w:rtl/>
        </w:rPr>
        <w:t xml:space="preserve"> שמוסיפין שליש על מה שהכניסה</w:t>
      </w:r>
      <w:r w:rsidR="00FB7130">
        <w:rPr>
          <w:rFonts w:asciiTheme="minorBidi" w:hAnsiTheme="minorBidi" w:cs="Arial" w:hint="cs"/>
          <w:rtl/>
        </w:rPr>
        <w:t>.</w:t>
      </w:r>
      <w:r w:rsidR="002C45A9" w:rsidRPr="002C45A9">
        <w:rPr>
          <w:rFonts w:asciiTheme="minorBidi" w:hAnsiTheme="minorBidi" w:cs="Arial"/>
          <w:rtl/>
        </w:rPr>
        <w:t xml:space="preserve"> כגון אם מכנסת לו אלף</w:t>
      </w:r>
      <w:r w:rsidR="00FB7130">
        <w:rPr>
          <w:rFonts w:asciiTheme="minorBidi" w:hAnsiTheme="minorBidi" w:cs="Arial" w:hint="cs"/>
          <w:rtl/>
        </w:rPr>
        <w:t>,</w:t>
      </w:r>
      <w:r w:rsidR="002C45A9" w:rsidRPr="002C45A9">
        <w:rPr>
          <w:rFonts w:asciiTheme="minorBidi" w:hAnsiTheme="minorBidi" w:cs="Arial"/>
          <w:rtl/>
        </w:rPr>
        <w:t xml:space="preserve"> כותבין עליו אלף וחמש מאות</w:t>
      </w:r>
      <w:r w:rsidR="00FB7130">
        <w:rPr>
          <w:rFonts w:asciiTheme="minorBidi" w:hAnsiTheme="minorBidi" w:cs="Arial" w:hint="cs"/>
          <w:rtl/>
        </w:rPr>
        <w:t>.</w:t>
      </w:r>
      <w:r w:rsidR="002C45A9" w:rsidRPr="002C45A9">
        <w:rPr>
          <w:rFonts w:asciiTheme="minorBidi" w:hAnsiTheme="minorBidi" w:cs="Arial"/>
          <w:rtl/>
        </w:rPr>
        <w:t xml:space="preserve"> ואם מכנסת לו בגדים הנשומים</w:t>
      </w:r>
      <w:r w:rsidR="00FB7130">
        <w:rPr>
          <w:rFonts w:asciiTheme="minorBidi" w:hAnsiTheme="minorBidi" w:cs="Arial" w:hint="cs"/>
          <w:rtl/>
        </w:rPr>
        <w:t>,</w:t>
      </w:r>
      <w:r w:rsidR="002C45A9" w:rsidRPr="002C45A9">
        <w:rPr>
          <w:rFonts w:asciiTheme="minorBidi" w:hAnsiTheme="minorBidi" w:cs="Arial"/>
          <w:rtl/>
        </w:rPr>
        <w:t xml:space="preserve"> מקבלם בחומש פחות ממה ששמו אותם</w:t>
      </w:r>
      <w:r w:rsidR="00686874">
        <w:rPr>
          <w:rFonts w:asciiTheme="minorBidi" w:hAnsiTheme="minorBidi" w:cs="Arial" w:hint="cs"/>
          <w:rtl/>
        </w:rPr>
        <w:t>,</w:t>
      </w:r>
      <w:r w:rsidR="002C45A9" w:rsidRPr="002C45A9">
        <w:rPr>
          <w:rFonts w:asciiTheme="minorBidi" w:hAnsiTheme="minorBidi" w:cs="Arial"/>
          <w:rtl/>
        </w:rPr>
        <w:t xml:space="preserve"> לפי שרגילים להוסיף החומש בשומתן</w:t>
      </w:r>
      <w:r w:rsidR="00686874">
        <w:rPr>
          <w:rFonts w:asciiTheme="minorBidi" w:hAnsiTheme="minorBidi" w:cs="Arial" w:hint="cs"/>
          <w:rtl/>
        </w:rPr>
        <w:t>.</w:t>
      </w:r>
      <w:r w:rsidR="002C45A9" w:rsidRPr="002C45A9">
        <w:rPr>
          <w:rFonts w:asciiTheme="minorBidi" w:hAnsiTheme="minorBidi" w:cs="Arial"/>
          <w:rtl/>
        </w:rPr>
        <w:t xml:space="preserve"> ויש מקומות שרגילין לכתוב כתובה יותר ממה שמכנסת לו</w:t>
      </w:r>
      <w:r w:rsidR="00686874">
        <w:rPr>
          <w:rFonts w:asciiTheme="minorBidi" w:hAnsiTheme="minorBidi" w:cs="Arial" w:hint="cs"/>
          <w:rtl/>
        </w:rPr>
        <w:t>,</w:t>
      </w:r>
      <w:r w:rsidR="002C45A9" w:rsidRPr="002C45A9">
        <w:rPr>
          <w:rFonts w:asciiTheme="minorBidi" w:hAnsiTheme="minorBidi" w:cs="Arial"/>
          <w:rtl/>
        </w:rPr>
        <w:t xml:space="preserve"> שאם מכנסת לו אלף כותבין </w:t>
      </w:r>
      <w:r w:rsidR="002C45A9" w:rsidRPr="002C45A9">
        <w:rPr>
          <w:rFonts w:asciiTheme="minorBidi" w:hAnsiTheme="minorBidi" w:cs="Arial"/>
          <w:rtl/>
        </w:rPr>
        <w:lastRenderedPageBreak/>
        <w:t>אלף ות"ק</w:t>
      </w:r>
      <w:r w:rsidR="00686874">
        <w:rPr>
          <w:rFonts w:asciiTheme="minorBidi" w:hAnsiTheme="minorBidi" w:cs="Arial" w:hint="cs"/>
          <w:rtl/>
        </w:rPr>
        <w:t>.</w:t>
      </w:r>
      <w:r w:rsidR="002C45A9" w:rsidRPr="002C45A9">
        <w:rPr>
          <w:rFonts w:asciiTheme="minorBidi" w:hAnsiTheme="minorBidi" w:cs="Arial"/>
          <w:rtl/>
        </w:rPr>
        <w:t xml:space="preserve"> לפיכך לעולם תגבה אותה כפי המנהג</w:t>
      </w:r>
      <w:r w:rsidR="00686874">
        <w:rPr>
          <w:rFonts w:asciiTheme="minorBidi" w:hAnsiTheme="minorBidi" w:cs="Arial" w:hint="cs"/>
          <w:rtl/>
        </w:rPr>
        <w:t>,</w:t>
      </w:r>
      <w:r w:rsidR="002C45A9" w:rsidRPr="002C45A9">
        <w:rPr>
          <w:rFonts w:asciiTheme="minorBidi" w:hAnsiTheme="minorBidi" w:cs="Arial"/>
          <w:rtl/>
        </w:rPr>
        <w:t xml:space="preserve"> אם ידוע שמוסיפין וכותבין אלף ות"ק כשמכנסת אלף לא תגבה אלא אלף</w:t>
      </w:r>
      <w:r w:rsidR="00740ED5">
        <w:rPr>
          <w:rStyle w:val="a7"/>
          <w:rFonts w:asciiTheme="minorBidi" w:hAnsiTheme="minorBidi" w:cs="Arial"/>
          <w:rtl/>
        </w:rPr>
        <w:footnoteReference w:id="127"/>
      </w:r>
      <w:r w:rsidR="00686874">
        <w:rPr>
          <w:rFonts w:asciiTheme="minorBidi" w:hAnsiTheme="minorBidi" w:cs="Arial" w:hint="cs"/>
          <w:rtl/>
        </w:rPr>
        <w:t>,</w:t>
      </w:r>
      <w:r w:rsidR="002C45A9" w:rsidRPr="002C45A9">
        <w:rPr>
          <w:rFonts w:asciiTheme="minorBidi" w:hAnsiTheme="minorBidi" w:cs="Arial"/>
          <w:rtl/>
        </w:rPr>
        <w:t xml:space="preserve"> ואם ידוע שפוחתין וכותבין אלף כשמכנסת לו אלף ות"ק</w:t>
      </w:r>
      <w:r w:rsidR="00686874">
        <w:rPr>
          <w:rFonts w:asciiTheme="minorBidi" w:hAnsiTheme="minorBidi" w:cs="Arial" w:hint="cs"/>
          <w:rtl/>
        </w:rPr>
        <w:t>,</w:t>
      </w:r>
      <w:r w:rsidR="002C45A9" w:rsidRPr="002C45A9">
        <w:rPr>
          <w:rFonts w:asciiTheme="minorBidi" w:hAnsiTheme="minorBidi" w:cs="Arial"/>
          <w:rtl/>
        </w:rPr>
        <w:t xml:space="preserve"> תגבה אלף ות"ק</w:t>
      </w:r>
      <w:r w:rsidR="00686874">
        <w:rPr>
          <w:rFonts w:asciiTheme="minorBidi" w:hAnsiTheme="minorBidi" w:cs="Arial" w:hint="cs"/>
          <w:rtl/>
        </w:rPr>
        <w:t>.</w:t>
      </w:r>
      <w:r w:rsidR="002C45A9" w:rsidRPr="002C45A9">
        <w:rPr>
          <w:rFonts w:asciiTheme="minorBidi" w:hAnsiTheme="minorBidi" w:cs="Arial"/>
          <w:rtl/>
        </w:rPr>
        <w:t xml:space="preserve"> ואם אין מנהג להוסיף בשומת הבגדים</w:t>
      </w:r>
      <w:r w:rsidR="00793B87">
        <w:rPr>
          <w:rFonts w:asciiTheme="minorBidi" w:hAnsiTheme="minorBidi" w:cs="Arial" w:hint="cs"/>
          <w:rtl/>
        </w:rPr>
        <w:t>,</w:t>
      </w:r>
      <w:r w:rsidR="002C45A9" w:rsidRPr="002C45A9">
        <w:rPr>
          <w:rFonts w:asciiTheme="minorBidi" w:hAnsiTheme="minorBidi" w:cs="Arial"/>
          <w:rtl/>
        </w:rPr>
        <w:t xml:space="preserve"> תגבה כפי מה ששמו אותם</w:t>
      </w:r>
      <w:r w:rsidR="00793B87">
        <w:rPr>
          <w:rFonts w:asciiTheme="minorBidi" w:hAnsiTheme="minorBidi" w:cs="Arial" w:hint="cs"/>
          <w:rtl/>
        </w:rPr>
        <w:t>.</w:t>
      </w:r>
      <w:r w:rsidR="002C45A9" w:rsidRPr="002C45A9">
        <w:rPr>
          <w:rFonts w:asciiTheme="minorBidi" w:hAnsiTheme="minorBidi" w:cs="Arial"/>
          <w:rtl/>
        </w:rPr>
        <w:t xml:space="preserve"> </w:t>
      </w:r>
      <w:r w:rsidR="002C45A9" w:rsidRPr="00B75DD0">
        <w:rPr>
          <w:rFonts w:asciiTheme="minorBidi" w:hAnsiTheme="minorBidi" w:cs="Arial"/>
          <w:rtl/>
        </w:rPr>
        <w:t>ל</w:t>
      </w:r>
      <w:r w:rsidR="00B75DD0">
        <w:rPr>
          <w:rFonts w:asciiTheme="minorBidi" w:hAnsiTheme="minorBidi" w:cs="Arial" w:hint="cs"/>
          <w:rtl/>
        </w:rPr>
        <w:t>שון</w:t>
      </w:r>
      <w:r w:rsidR="002C45A9" w:rsidRPr="00B75DD0">
        <w:rPr>
          <w:rFonts w:asciiTheme="minorBidi" w:hAnsiTheme="minorBidi" w:cs="Arial"/>
          <w:rtl/>
        </w:rPr>
        <w:t xml:space="preserve"> הרמב"ם</w:t>
      </w:r>
      <w:r w:rsidR="00D44F08">
        <w:rPr>
          <w:rFonts w:asciiTheme="minorBidi" w:hAnsiTheme="minorBidi" w:cs="Arial" w:hint="cs"/>
          <w:sz w:val="16"/>
          <w:szCs w:val="16"/>
          <w:rtl/>
        </w:rPr>
        <w:t xml:space="preserve"> (פכ"ג מהל' אישות הי"א-יב)</w:t>
      </w:r>
      <w:r w:rsidR="00B75DD0">
        <w:rPr>
          <w:rFonts w:asciiTheme="minorBidi" w:hAnsiTheme="minorBidi" w:cs="Arial" w:hint="cs"/>
          <w:rtl/>
        </w:rPr>
        <w:t>:</w:t>
      </w:r>
      <w:r w:rsidR="002C45A9" w:rsidRPr="00B75DD0">
        <w:rPr>
          <w:rFonts w:asciiTheme="minorBidi" w:hAnsiTheme="minorBidi" w:cs="Arial"/>
          <w:rtl/>
        </w:rPr>
        <w:t xml:space="preserve"> הנושא סתם כותב לפי המנהג</w:t>
      </w:r>
      <w:r w:rsidR="00F5775E">
        <w:rPr>
          <w:rFonts w:asciiTheme="minorBidi" w:hAnsiTheme="minorBidi" w:cs="Arial" w:hint="cs"/>
          <w:rtl/>
        </w:rPr>
        <w:t>,</w:t>
      </w:r>
      <w:r w:rsidR="002C45A9" w:rsidRPr="00B75DD0">
        <w:rPr>
          <w:rFonts w:asciiTheme="minorBidi" w:hAnsiTheme="minorBidi" w:cs="Arial"/>
          <w:rtl/>
        </w:rPr>
        <w:t xml:space="preserve"> וכן היא שפסקה להכניס נותנת כפי מנהג המדינה</w:t>
      </w:r>
      <w:r w:rsidR="00F5775E">
        <w:rPr>
          <w:rFonts w:asciiTheme="minorBidi" w:hAnsiTheme="minorBidi" w:cs="Arial" w:hint="cs"/>
          <w:rtl/>
        </w:rPr>
        <w:t>,</w:t>
      </w:r>
      <w:r w:rsidR="002C45A9" w:rsidRPr="00B75DD0">
        <w:rPr>
          <w:rFonts w:asciiTheme="minorBidi" w:hAnsiTheme="minorBidi" w:cs="Arial"/>
          <w:rtl/>
        </w:rPr>
        <w:t xml:space="preserve"> וכשבאת לגבות כתובתה מגבין לה מה שבכתובתה לפי מנהג המדינה</w:t>
      </w:r>
      <w:r w:rsidR="00F5775E">
        <w:rPr>
          <w:rFonts w:asciiTheme="minorBidi" w:hAnsiTheme="minorBidi" w:cs="Arial" w:hint="cs"/>
          <w:rtl/>
        </w:rPr>
        <w:t>.</w:t>
      </w:r>
      <w:r w:rsidR="002C45A9" w:rsidRPr="00B75DD0">
        <w:rPr>
          <w:rFonts w:asciiTheme="minorBidi" w:hAnsiTheme="minorBidi" w:cs="Arial"/>
          <w:rtl/>
        </w:rPr>
        <w:t xml:space="preserve"> ובכל הדברים האלו וכיוצא בהן מנהג המדינה עיקר ועל פיו דנין</w:t>
      </w:r>
      <w:r w:rsidR="00F5775E">
        <w:rPr>
          <w:rFonts w:asciiTheme="minorBidi" w:hAnsiTheme="minorBidi" w:cs="Arial" w:hint="cs"/>
          <w:rtl/>
        </w:rPr>
        <w:t>,</w:t>
      </w:r>
      <w:r w:rsidR="002C45A9" w:rsidRPr="00B75DD0">
        <w:rPr>
          <w:rFonts w:asciiTheme="minorBidi" w:hAnsiTheme="minorBidi" w:cs="Arial"/>
          <w:rtl/>
        </w:rPr>
        <w:t xml:space="preserve"> והוא שיהיה אותו המנהג פשוט בכל המדינה</w:t>
      </w:r>
      <w:r w:rsidR="00B75DD0">
        <w:rPr>
          <w:rFonts w:asciiTheme="minorBidi" w:hAnsiTheme="minorBidi" w:cs="Arial" w:hint="cs"/>
          <w:rtl/>
        </w:rPr>
        <w:t>.</w:t>
      </w:r>
      <w:r w:rsidR="002C45A9" w:rsidRPr="00B75DD0">
        <w:rPr>
          <w:rFonts w:asciiTheme="minorBidi" w:hAnsiTheme="minorBidi" w:cs="Arial"/>
          <w:rtl/>
        </w:rPr>
        <w:t xml:space="preserve"> ע"כ</w:t>
      </w:r>
      <w:r w:rsidR="00C01616">
        <w:rPr>
          <w:rFonts w:asciiTheme="minorBidi" w:hAnsiTheme="minorBidi" w:cs="Arial" w:hint="cs"/>
          <w:rtl/>
        </w:rPr>
        <w:t xml:space="preserve"> </w:t>
      </w:r>
      <w:r w:rsidR="00C01616" w:rsidRPr="00C01616">
        <w:rPr>
          <w:rFonts w:asciiTheme="minorBidi" w:hAnsiTheme="minorBidi" w:cs="Arial" w:hint="cs"/>
          <w:color w:val="E36C0A" w:themeColor="accent6" w:themeShade="BF"/>
          <w:sz w:val="16"/>
          <w:szCs w:val="16"/>
          <w:rtl/>
        </w:rPr>
        <w:t>(וכ"פ בשו"ע)</w:t>
      </w:r>
      <w:r w:rsidR="00B75DD0">
        <w:rPr>
          <w:rFonts w:asciiTheme="minorBidi" w:hAnsiTheme="minorBidi" w:cs="Arial" w:hint="cs"/>
          <w:rtl/>
        </w:rPr>
        <w:t>.</w:t>
      </w:r>
      <w:r w:rsidR="002C45A9" w:rsidRPr="00B75DD0">
        <w:rPr>
          <w:rFonts w:asciiTheme="minorBidi" w:hAnsiTheme="minorBidi" w:cs="Arial"/>
          <w:rtl/>
        </w:rPr>
        <w:t xml:space="preserve"> ועכשיו נוהגין</w:t>
      </w:r>
      <w:r w:rsidR="005A66B8">
        <w:rPr>
          <w:rStyle w:val="a7"/>
          <w:rFonts w:asciiTheme="minorBidi" w:hAnsiTheme="minorBidi" w:cs="Arial"/>
          <w:rtl/>
        </w:rPr>
        <w:footnoteReference w:id="128"/>
      </w:r>
      <w:r w:rsidR="002C45A9" w:rsidRPr="00B75DD0">
        <w:rPr>
          <w:rFonts w:asciiTheme="minorBidi" w:hAnsiTheme="minorBidi" w:cs="Arial"/>
          <w:rtl/>
        </w:rPr>
        <w:t xml:space="preserve"> לכתוב בכל הכתובות בשוה תוספת ונדוניא אפילו לא הכניסה כלום</w:t>
      </w:r>
      <w:r w:rsidR="000B67A3">
        <w:rPr>
          <w:rFonts w:asciiTheme="minorBidi" w:hAnsiTheme="minorBidi" w:cs="Arial" w:hint="cs"/>
          <w:rtl/>
        </w:rPr>
        <w:t>,</w:t>
      </w:r>
      <w:r w:rsidR="002C45A9" w:rsidRPr="00B75DD0">
        <w:rPr>
          <w:rFonts w:asciiTheme="minorBidi" w:hAnsiTheme="minorBidi" w:cs="Arial"/>
          <w:rtl/>
        </w:rPr>
        <w:t xml:space="preserve"> ומגבין אותה לפי תקנת הנישואין</w:t>
      </w:r>
      <w:r w:rsidR="00B75DD0" w:rsidRPr="00B75DD0">
        <w:rPr>
          <w:rFonts w:asciiTheme="minorBidi" w:hAnsiTheme="minorBidi" w:cs="Arial" w:hint="cs"/>
          <w:rtl/>
        </w:rPr>
        <w:t>.</w:t>
      </w:r>
    </w:p>
    <w:p w14:paraId="20A23CCD" w14:textId="1C7B4E45" w:rsidR="00973C57" w:rsidRPr="00E3544C" w:rsidRDefault="00973C57" w:rsidP="00E3544C">
      <w:pPr>
        <w:ind w:left="360"/>
        <w:rPr>
          <w:rFonts w:asciiTheme="minorBidi" w:hAnsiTheme="minorBidi"/>
          <w:u w:val="dotted"/>
          <w:rtl/>
        </w:rPr>
      </w:pPr>
      <w:r w:rsidRPr="00E3544C">
        <w:rPr>
          <w:rFonts w:asciiTheme="minorBidi" w:hAnsiTheme="minorBidi"/>
          <w:u w:val="dotted"/>
          <w:rtl/>
        </w:rPr>
        <w:t>האם מוסיף שליש גם על נכסי מלוג</w:t>
      </w:r>
      <w:r w:rsidRPr="00E3544C">
        <w:rPr>
          <w:rStyle w:val="a7"/>
          <w:rFonts w:asciiTheme="minorBidi" w:hAnsiTheme="minorBidi"/>
          <w:u w:val="dotted"/>
          <w:rtl/>
        </w:rPr>
        <w:footnoteReference w:id="129"/>
      </w:r>
      <w:r w:rsidR="00E3544C">
        <w:rPr>
          <w:rFonts w:asciiTheme="minorBidi" w:hAnsiTheme="minorBidi" w:hint="cs"/>
          <w:u w:val="dotted"/>
          <w:rtl/>
        </w:rPr>
        <w:t xml:space="preserve"> שהכניסה לו</w:t>
      </w:r>
      <w:r w:rsidRPr="00E3544C">
        <w:rPr>
          <w:rFonts w:asciiTheme="minorBidi" w:hAnsiTheme="minorBidi"/>
          <w:u w:val="dotted"/>
          <w:rtl/>
        </w:rPr>
        <w:t>:</w:t>
      </w:r>
    </w:p>
    <w:p w14:paraId="0B034058" w14:textId="4F516893" w:rsidR="00973C57" w:rsidRPr="00351B7D" w:rsidRDefault="00973C57" w:rsidP="009000E3">
      <w:pPr>
        <w:pStyle w:val="ab"/>
        <w:numPr>
          <w:ilvl w:val="0"/>
          <w:numId w:val="17"/>
        </w:numPr>
        <w:rPr>
          <w:rFonts w:asciiTheme="minorBidi" w:hAnsiTheme="minorBidi"/>
          <w:rtl/>
        </w:rPr>
      </w:pPr>
      <w:r w:rsidRPr="00351B7D">
        <w:rPr>
          <w:rFonts w:asciiTheme="minorBidi" w:hAnsiTheme="minorBidi"/>
          <w:rtl/>
        </w:rPr>
        <w:t xml:space="preserve">ריב"ש </w:t>
      </w:r>
      <w:r w:rsidRPr="00351B7D">
        <w:rPr>
          <w:rFonts w:asciiTheme="minorBidi" w:hAnsiTheme="minorBidi"/>
          <w:sz w:val="16"/>
          <w:szCs w:val="16"/>
          <w:rtl/>
        </w:rPr>
        <w:t>(סי' קנ)</w:t>
      </w:r>
      <w:r w:rsidRPr="00351B7D">
        <w:rPr>
          <w:rFonts w:asciiTheme="minorBidi" w:hAnsiTheme="minorBidi"/>
          <w:rtl/>
        </w:rPr>
        <w:t>- כל זה אינו בנכסי מלוג</w:t>
      </w:r>
      <w:r w:rsidR="007C0C70">
        <w:rPr>
          <w:rFonts w:asciiTheme="minorBidi" w:hAnsiTheme="minorBidi" w:hint="cs"/>
          <w:rtl/>
        </w:rPr>
        <w:t>,</w:t>
      </w:r>
      <w:r w:rsidRPr="00351B7D">
        <w:rPr>
          <w:rFonts w:asciiTheme="minorBidi" w:hAnsiTheme="minorBidi"/>
          <w:rtl/>
        </w:rPr>
        <w:t xml:space="preserve"> אלא ילקח בהם קרקע והוא אוכל פירות</w:t>
      </w:r>
      <w:r w:rsidR="007C0C70">
        <w:rPr>
          <w:rFonts w:asciiTheme="minorBidi" w:hAnsiTheme="minorBidi" w:hint="cs"/>
          <w:rtl/>
        </w:rPr>
        <w:t>...</w:t>
      </w:r>
      <w:r w:rsidRPr="00351B7D">
        <w:rPr>
          <w:rFonts w:asciiTheme="minorBidi" w:hAnsiTheme="minorBidi"/>
          <w:rtl/>
        </w:rPr>
        <w:t xml:space="preserve"> והרמב"ם לא הביא דינים אלו של תוספת שליש ופחת חומש בפכ"ג </w:t>
      </w:r>
      <w:r w:rsidRPr="00351B7D">
        <w:rPr>
          <w:rFonts w:asciiTheme="minorBidi" w:hAnsiTheme="minorBidi"/>
          <w:sz w:val="16"/>
          <w:szCs w:val="16"/>
          <w:rtl/>
        </w:rPr>
        <w:t xml:space="preserve">(הי"ב) </w:t>
      </w:r>
      <w:r w:rsidRPr="00351B7D">
        <w:rPr>
          <w:rFonts w:asciiTheme="minorBidi" w:hAnsiTheme="minorBidi"/>
          <w:rtl/>
        </w:rPr>
        <w:t>אלא הניח הכל למנהג המדינה לפי שפסק כרשב"ג דאמר במתניתין</w:t>
      </w:r>
      <w:r w:rsidRPr="00351B7D">
        <w:rPr>
          <w:rFonts w:asciiTheme="minorBidi" w:hAnsiTheme="minorBidi"/>
          <w:sz w:val="16"/>
          <w:szCs w:val="16"/>
          <w:rtl/>
        </w:rPr>
        <w:t xml:space="preserve"> (סו:) </w:t>
      </w:r>
      <w:r w:rsidRPr="00351B7D">
        <w:rPr>
          <w:rFonts w:asciiTheme="minorBidi" w:hAnsiTheme="minorBidi"/>
          <w:rtl/>
        </w:rPr>
        <w:t>הכל כמנהג המדינה, ומ"מ בעיר חדשה שאין בה מנהג הולכים אחר דין השנוי במשנה, ואם כן דהכניסה כספים ומיני סחורה הרי הבעל יכול לישא וליתן בהם כרצונו, משא"כ בנכסי מלוג.</w:t>
      </w:r>
      <w:r w:rsidR="007C0C70">
        <w:rPr>
          <w:rFonts w:asciiTheme="minorBidi" w:hAnsiTheme="minorBidi" w:hint="cs"/>
          <w:rtl/>
        </w:rPr>
        <w:t>..</w:t>
      </w:r>
      <w:r w:rsidRPr="00351B7D">
        <w:rPr>
          <w:rFonts w:asciiTheme="minorBidi" w:hAnsiTheme="minorBidi"/>
          <w:rtl/>
        </w:rPr>
        <w:t xml:space="preserve"> ויפה כחו של בעל, שאם לא ירצה לקבל אחריות ולהניח אותן הנכסים ברשותה כדין נכסי מלוג אין מי שיכוף אותו לקבל אחריותם עליו</w:t>
      </w:r>
      <w:r w:rsidR="001D599E">
        <w:rPr>
          <w:rFonts w:asciiTheme="minorBidi" w:hAnsiTheme="minorBidi" w:hint="cs"/>
          <w:rtl/>
        </w:rPr>
        <w:t>,</w:t>
      </w:r>
      <w:r w:rsidRPr="00351B7D">
        <w:rPr>
          <w:rFonts w:asciiTheme="minorBidi" w:hAnsiTheme="minorBidi"/>
          <w:rtl/>
        </w:rPr>
        <w:t xml:space="preserve"> ואם יראה שיש לו תועלת שהנכסים עתידים להשביח כגון גדיים שיעשו תיישים יקבלם כמו ששוים עכשיו והשבח שלו.</w:t>
      </w:r>
      <w:r w:rsidR="0029753E">
        <w:rPr>
          <w:rFonts w:asciiTheme="minorBidi" w:hAnsiTheme="minorBidi" w:hint="cs"/>
          <w:rtl/>
        </w:rPr>
        <w:t xml:space="preserve"> </w:t>
      </w:r>
      <w:r w:rsidR="0029753E" w:rsidRPr="00785934">
        <w:rPr>
          <w:rFonts w:asciiTheme="minorBidi" w:hAnsiTheme="minorBidi" w:hint="cs"/>
          <w:color w:val="00B0F0"/>
          <w:rtl/>
        </w:rPr>
        <w:t>(וכ"פ הרמ"א)</w:t>
      </w:r>
    </w:p>
    <w:p w14:paraId="039F420F" w14:textId="555F7452" w:rsidR="00973C57" w:rsidRPr="00351B7D" w:rsidRDefault="003A43FF" w:rsidP="00973C57">
      <w:pPr>
        <w:rPr>
          <w:rFonts w:asciiTheme="minorBidi" w:hAnsiTheme="minorBidi"/>
          <w:rtl/>
        </w:rPr>
      </w:pPr>
      <w:r>
        <w:rPr>
          <w:rFonts w:asciiTheme="minorBidi" w:hAnsiTheme="minorBidi" w:hint="cs"/>
          <w:u w:val="single"/>
          <w:rtl/>
        </w:rPr>
        <w:t>אדם</w:t>
      </w:r>
      <w:r w:rsidR="00973C57" w:rsidRPr="00351B7D">
        <w:rPr>
          <w:rFonts w:asciiTheme="minorBidi" w:hAnsiTheme="minorBidi"/>
          <w:u w:val="single"/>
          <w:rtl/>
        </w:rPr>
        <w:t xml:space="preserve"> </w:t>
      </w:r>
      <w:r>
        <w:rPr>
          <w:rFonts w:asciiTheme="minorBidi" w:hAnsiTheme="minorBidi" w:hint="cs"/>
          <w:u w:val="single"/>
          <w:rtl/>
        </w:rPr>
        <w:t>ש</w:t>
      </w:r>
      <w:r w:rsidR="00973C57" w:rsidRPr="00351B7D">
        <w:rPr>
          <w:rFonts w:asciiTheme="minorBidi" w:hAnsiTheme="minorBidi"/>
          <w:u w:val="single"/>
          <w:rtl/>
        </w:rPr>
        <w:t xml:space="preserve">רוצה לכתוב הכתובה </w:t>
      </w:r>
      <w:r>
        <w:rPr>
          <w:rFonts w:asciiTheme="minorBidi" w:hAnsiTheme="minorBidi" w:hint="cs"/>
          <w:u w:val="single"/>
          <w:rtl/>
        </w:rPr>
        <w:t xml:space="preserve">שלא </w:t>
      </w:r>
      <w:r w:rsidR="00973C57" w:rsidRPr="00351B7D">
        <w:rPr>
          <w:rFonts w:asciiTheme="minorBidi" w:hAnsiTheme="minorBidi"/>
          <w:u w:val="single"/>
          <w:rtl/>
        </w:rPr>
        <w:t>כפי המנהג:</w:t>
      </w:r>
      <w:r w:rsidR="00973C57" w:rsidRPr="00351B7D">
        <w:rPr>
          <w:rFonts w:asciiTheme="minorBidi" w:hAnsiTheme="minorBidi"/>
          <w:rtl/>
        </w:rPr>
        <w:t xml:space="preserve"> </w:t>
      </w:r>
      <w:r w:rsidR="00973C57" w:rsidRPr="00351B7D">
        <w:rPr>
          <w:rFonts w:asciiTheme="minorBidi" w:hAnsiTheme="minorBidi"/>
          <w:sz w:val="16"/>
          <w:szCs w:val="16"/>
          <w:rtl/>
        </w:rPr>
        <w:t>(דרכ"מ אות טו)</w:t>
      </w:r>
      <w:r w:rsidR="00973C57" w:rsidRPr="00351B7D">
        <w:rPr>
          <w:rFonts w:asciiTheme="minorBidi" w:hAnsiTheme="minorBidi"/>
          <w:rtl/>
        </w:rPr>
        <w:t xml:space="preserve"> </w:t>
      </w:r>
    </w:p>
    <w:p w14:paraId="0FB5FA6A" w14:textId="3B994915" w:rsidR="00973C57" w:rsidRPr="00351B7D" w:rsidRDefault="00973C57" w:rsidP="009000E3">
      <w:pPr>
        <w:pStyle w:val="ab"/>
        <w:numPr>
          <w:ilvl w:val="0"/>
          <w:numId w:val="18"/>
        </w:numPr>
        <w:rPr>
          <w:rFonts w:asciiTheme="minorBidi" w:hAnsiTheme="minorBidi"/>
          <w:rtl/>
        </w:rPr>
      </w:pPr>
      <w:r w:rsidRPr="00351B7D">
        <w:rPr>
          <w:rFonts w:asciiTheme="minorBidi" w:hAnsiTheme="minorBidi"/>
          <w:rtl/>
        </w:rPr>
        <w:t xml:space="preserve">מהרי"ל </w:t>
      </w:r>
      <w:r w:rsidRPr="00351B7D">
        <w:rPr>
          <w:rFonts w:asciiTheme="minorBidi" w:hAnsiTheme="minorBidi"/>
          <w:sz w:val="16"/>
          <w:szCs w:val="16"/>
          <w:rtl/>
        </w:rPr>
        <w:t>(סי' ע"ו)</w:t>
      </w:r>
      <w:r w:rsidRPr="00351B7D">
        <w:rPr>
          <w:rFonts w:asciiTheme="minorBidi" w:hAnsiTheme="minorBidi"/>
          <w:rtl/>
        </w:rPr>
        <w:t>- הרשות בידו</w:t>
      </w:r>
      <w:r w:rsidR="005106FD">
        <w:rPr>
          <w:rFonts w:asciiTheme="minorBidi" w:hAnsiTheme="minorBidi" w:hint="cs"/>
          <w:rtl/>
        </w:rPr>
        <w:t>,</w:t>
      </w:r>
      <w:r w:rsidRPr="00351B7D">
        <w:rPr>
          <w:rFonts w:asciiTheme="minorBidi" w:hAnsiTheme="minorBidi"/>
          <w:rtl/>
        </w:rPr>
        <w:t xml:space="preserve"> רק שיכתוב בשטר שכבר קבלה על כתובתה מה שלא כתב לה</w:t>
      </w:r>
      <w:r w:rsidRPr="00351B7D">
        <w:rPr>
          <w:rStyle w:val="a7"/>
          <w:rFonts w:asciiTheme="minorBidi" w:hAnsiTheme="minorBidi"/>
          <w:rtl/>
        </w:rPr>
        <w:footnoteReference w:id="130"/>
      </w:r>
      <w:r w:rsidRPr="00351B7D">
        <w:rPr>
          <w:rFonts w:asciiTheme="minorBidi" w:hAnsiTheme="minorBidi"/>
          <w:rtl/>
        </w:rPr>
        <w:t>.</w:t>
      </w:r>
      <w:r w:rsidR="00785934">
        <w:rPr>
          <w:rFonts w:asciiTheme="minorBidi" w:hAnsiTheme="minorBidi" w:hint="cs"/>
          <w:rtl/>
        </w:rPr>
        <w:t xml:space="preserve"> </w:t>
      </w:r>
      <w:r w:rsidR="00785934" w:rsidRPr="00785934">
        <w:rPr>
          <w:rFonts w:asciiTheme="minorBidi" w:hAnsiTheme="minorBidi" w:hint="cs"/>
          <w:color w:val="00B0F0"/>
          <w:rtl/>
        </w:rPr>
        <w:t>(וכ"פ הרמ"א)</w:t>
      </w:r>
    </w:p>
    <w:p w14:paraId="53547A7D" w14:textId="5B0167EE" w:rsidR="00973C57" w:rsidRPr="00351B7D" w:rsidRDefault="00973C57" w:rsidP="00973C57">
      <w:pPr>
        <w:rPr>
          <w:rFonts w:asciiTheme="minorBidi" w:hAnsiTheme="minorBidi"/>
          <w:u w:val="single"/>
          <w:rtl/>
        </w:rPr>
      </w:pPr>
      <w:r w:rsidRPr="00351B7D">
        <w:rPr>
          <w:rFonts w:asciiTheme="minorBidi" w:hAnsiTheme="minorBidi"/>
          <w:u w:val="single"/>
          <w:rtl/>
        </w:rPr>
        <w:t>נדוניא</w:t>
      </w:r>
      <w:r w:rsidR="00367B52">
        <w:rPr>
          <w:rFonts w:asciiTheme="minorBidi" w:hAnsiTheme="minorBidi" w:hint="cs"/>
          <w:u w:val="single"/>
          <w:rtl/>
        </w:rPr>
        <w:t xml:space="preserve"> שהתחייב בה הבעל אגב קרקע -</w:t>
      </w:r>
      <w:r w:rsidRPr="00351B7D">
        <w:rPr>
          <w:rFonts w:asciiTheme="minorBidi" w:hAnsiTheme="minorBidi"/>
          <w:u w:val="single"/>
          <w:rtl/>
        </w:rPr>
        <w:t xml:space="preserve"> האם היא כשטר חוב:</w:t>
      </w:r>
    </w:p>
    <w:p w14:paraId="6AEC0046" w14:textId="321674B8" w:rsidR="00973C57" w:rsidRPr="00351B7D" w:rsidRDefault="00973C57" w:rsidP="009000E3">
      <w:pPr>
        <w:pStyle w:val="ab"/>
        <w:numPr>
          <w:ilvl w:val="0"/>
          <w:numId w:val="18"/>
        </w:numPr>
        <w:rPr>
          <w:rFonts w:asciiTheme="minorBidi" w:hAnsiTheme="minorBidi"/>
          <w:rtl/>
        </w:rPr>
      </w:pPr>
      <w:r w:rsidRPr="00351B7D">
        <w:rPr>
          <w:rFonts w:asciiTheme="minorBidi" w:hAnsiTheme="minorBidi"/>
          <w:rtl/>
        </w:rPr>
        <w:t xml:space="preserve">רא"ש </w:t>
      </w:r>
      <w:r w:rsidRPr="00351B7D">
        <w:rPr>
          <w:rFonts w:asciiTheme="minorBidi" w:hAnsiTheme="minorBidi"/>
          <w:sz w:val="16"/>
          <w:szCs w:val="16"/>
          <w:rtl/>
        </w:rPr>
        <w:t>(כלל לו סי' ח)</w:t>
      </w:r>
      <w:r w:rsidRPr="00351B7D">
        <w:rPr>
          <w:rFonts w:asciiTheme="minorBidi" w:hAnsiTheme="minorBidi"/>
          <w:rtl/>
        </w:rPr>
        <w:t xml:space="preserve">- </w:t>
      </w:r>
      <w:r w:rsidRPr="00351B7D">
        <w:rPr>
          <w:rFonts w:asciiTheme="minorBidi" w:hAnsiTheme="minorBidi"/>
          <w:color w:val="000000"/>
          <w:rtl/>
        </w:rPr>
        <w:t xml:space="preserve">ששאלת שנוהגין לכתוב למטה מן הכתובה </w:t>
      </w:r>
      <w:r w:rsidR="002F2301">
        <w:rPr>
          <w:rFonts w:asciiTheme="minorBidi" w:hAnsiTheme="minorBidi" w:hint="cs"/>
          <w:color w:val="000000"/>
          <w:rtl/>
        </w:rPr>
        <w:t>"</w:t>
      </w:r>
      <w:r w:rsidRPr="00351B7D">
        <w:rPr>
          <w:rFonts w:asciiTheme="minorBidi" w:hAnsiTheme="minorBidi"/>
          <w:color w:val="000000"/>
          <w:rtl/>
        </w:rPr>
        <w:t>שטר שפלוני החתן נותן לפלונית כך וכך ממון מנכסיו אגב ד"א קרקע באחריות עליו ועל כל נכסיו</w:t>
      </w:r>
      <w:r w:rsidR="002F2301">
        <w:rPr>
          <w:rFonts w:asciiTheme="minorBidi" w:hAnsiTheme="minorBidi" w:hint="cs"/>
          <w:color w:val="000000"/>
          <w:rtl/>
        </w:rPr>
        <w:t>",</w:t>
      </w:r>
      <w:r w:rsidRPr="00351B7D">
        <w:rPr>
          <w:rFonts w:asciiTheme="minorBidi" w:hAnsiTheme="minorBidi"/>
          <w:color w:val="000000"/>
          <w:rtl/>
        </w:rPr>
        <w:t xml:space="preserve"> אם נדונית מתנה זו כדין שטר חוב כיון דאית בה אחריות. לא ידעתי במה נסתפקת</w:t>
      </w:r>
      <w:r w:rsidR="00367B52">
        <w:rPr>
          <w:rFonts w:asciiTheme="minorBidi" w:hAnsiTheme="minorBidi" w:hint="cs"/>
          <w:color w:val="000000"/>
          <w:rtl/>
        </w:rPr>
        <w:t>,</w:t>
      </w:r>
      <w:r w:rsidRPr="00351B7D">
        <w:rPr>
          <w:rFonts w:asciiTheme="minorBidi" w:hAnsiTheme="minorBidi"/>
          <w:color w:val="000000"/>
          <w:rtl/>
        </w:rPr>
        <w:t xml:space="preserve"> למה לא יהא כשאר כל שטר חוב לגבות ממשעבדי</w:t>
      </w:r>
      <w:r w:rsidR="00367B52">
        <w:rPr>
          <w:rFonts w:asciiTheme="minorBidi" w:hAnsiTheme="minorBidi" w:hint="cs"/>
          <w:color w:val="000000"/>
          <w:rtl/>
        </w:rPr>
        <w:t>.</w:t>
      </w:r>
      <w:r w:rsidRPr="00351B7D">
        <w:rPr>
          <w:rFonts w:asciiTheme="minorBidi" w:hAnsiTheme="minorBidi"/>
          <w:color w:val="000000"/>
          <w:rtl/>
        </w:rPr>
        <w:t xml:space="preserve"> אמנם צריך לדקדק בלשון שרגילין לכתוב</w:t>
      </w:r>
      <w:r w:rsidR="00367B52">
        <w:rPr>
          <w:rFonts w:asciiTheme="minorBidi" w:hAnsiTheme="minorBidi" w:hint="cs"/>
          <w:color w:val="000000"/>
          <w:rtl/>
        </w:rPr>
        <w:t>,</w:t>
      </w:r>
      <w:r w:rsidRPr="00351B7D">
        <w:rPr>
          <w:rFonts w:asciiTheme="minorBidi" w:hAnsiTheme="minorBidi"/>
          <w:color w:val="000000"/>
          <w:rtl/>
        </w:rPr>
        <w:t xml:space="preserve"> אם כותבין</w:t>
      </w:r>
      <w:r w:rsidR="00367B52">
        <w:rPr>
          <w:rFonts w:asciiTheme="minorBidi" w:hAnsiTheme="minorBidi" w:hint="cs"/>
          <w:color w:val="000000"/>
          <w:rtl/>
        </w:rPr>
        <w:t>:</w:t>
      </w:r>
      <w:r w:rsidRPr="00351B7D">
        <w:rPr>
          <w:rFonts w:asciiTheme="minorBidi" w:hAnsiTheme="minorBidi"/>
          <w:color w:val="000000"/>
          <w:rtl/>
        </w:rPr>
        <w:t xml:space="preserve"> </w:t>
      </w:r>
      <w:r w:rsidR="00367B52">
        <w:rPr>
          <w:rFonts w:asciiTheme="minorBidi" w:hAnsiTheme="minorBidi" w:hint="cs"/>
          <w:color w:val="000000"/>
          <w:rtl/>
        </w:rPr>
        <w:t>"</w:t>
      </w:r>
      <w:r w:rsidRPr="00351B7D">
        <w:rPr>
          <w:rFonts w:asciiTheme="minorBidi" w:hAnsiTheme="minorBidi"/>
          <w:color w:val="000000"/>
          <w:rtl/>
        </w:rPr>
        <w:t>אני נותן לפלונית כך וכך מעות אגב קרקע</w:t>
      </w:r>
      <w:r w:rsidR="00367B52">
        <w:rPr>
          <w:rFonts w:asciiTheme="minorBidi" w:hAnsiTheme="minorBidi" w:hint="cs"/>
          <w:color w:val="000000"/>
          <w:rtl/>
        </w:rPr>
        <w:t>",</w:t>
      </w:r>
      <w:r w:rsidRPr="00351B7D">
        <w:rPr>
          <w:rFonts w:asciiTheme="minorBidi" w:hAnsiTheme="minorBidi"/>
          <w:color w:val="000000"/>
          <w:rtl/>
        </w:rPr>
        <w:t xml:space="preserve"> קונה. ואם בקנין חליפין בלא אגב מטבע</w:t>
      </w:r>
      <w:r w:rsidR="00367B52">
        <w:rPr>
          <w:rFonts w:asciiTheme="minorBidi" w:hAnsiTheme="minorBidi" w:hint="cs"/>
          <w:color w:val="000000"/>
          <w:rtl/>
        </w:rPr>
        <w:t>,</w:t>
      </w:r>
      <w:r w:rsidRPr="00351B7D">
        <w:rPr>
          <w:rFonts w:asciiTheme="minorBidi" w:hAnsiTheme="minorBidi"/>
          <w:color w:val="000000"/>
          <w:rtl/>
        </w:rPr>
        <w:t xml:space="preserve"> אינו נקנה בחליפין. ואם כותבין</w:t>
      </w:r>
      <w:r w:rsidR="00367B52">
        <w:rPr>
          <w:rFonts w:asciiTheme="minorBidi" w:hAnsiTheme="minorBidi" w:hint="cs"/>
          <w:color w:val="000000"/>
          <w:rtl/>
        </w:rPr>
        <w:t>:</w:t>
      </w:r>
      <w:r w:rsidRPr="00351B7D">
        <w:rPr>
          <w:rFonts w:asciiTheme="minorBidi" w:hAnsiTheme="minorBidi"/>
          <w:color w:val="000000"/>
          <w:rtl/>
        </w:rPr>
        <w:t xml:space="preserve"> </w:t>
      </w:r>
      <w:r w:rsidR="00367B52">
        <w:rPr>
          <w:rFonts w:asciiTheme="minorBidi" w:hAnsiTheme="minorBidi" w:hint="cs"/>
          <w:color w:val="000000"/>
          <w:rtl/>
        </w:rPr>
        <w:t>"</w:t>
      </w:r>
      <w:r w:rsidRPr="00351B7D">
        <w:rPr>
          <w:rFonts w:asciiTheme="minorBidi" w:hAnsiTheme="minorBidi"/>
          <w:color w:val="000000"/>
          <w:rtl/>
        </w:rPr>
        <w:t>חייב אני לה מנה בשטר</w:t>
      </w:r>
      <w:r w:rsidR="00367B52">
        <w:rPr>
          <w:rFonts w:asciiTheme="minorBidi" w:hAnsiTheme="minorBidi" w:hint="cs"/>
          <w:color w:val="000000"/>
          <w:rtl/>
        </w:rPr>
        <w:t>",</w:t>
      </w:r>
      <w:r w:rsidRPr="00351B7D">
        <w:rPr>
          <w:rFonts w:asciiTheme="minorBidi" w:hAnsiTheme="minorBidi"/>
          <w:color w:val="000000"/>
          <w:rtl/>
        </w:rPr>
        <w:t xml:space="preserve"> קונה, כדאיתא בריש פרק הנושא (קא:). אבל רואה אני בשאלתך שנותן לה אגב ארבע אמות קרקע</w:t>
      </w:r>
      <w:r w:rsidR="00367B52">
        <w:rPr>
          <w:rFonts w:asciiTheme="minorBidi" w:hAnsiTheme="minorBidi" w:hint="cs"/>
          <w:color w:val="000000"/>
          <w:rtl/>
        </w:rPr>
        <w:t>,</w:t>
      </w:r>
      <w:r w:rsidRPr="00351B7D">
        <w:rPr>
          <w:rFonts w:asciiTheme="minorBidi" w:hAnsiTheme="minorBidi"/>
          <w:color w:val="000000"/>
          <w:rtl/>
        </w:rPr>
        <w:t xml:space="preserve"> ואם כן אז היא קונה אפי' לא היה לו המטבע באותה שעה הרי הודה שהיה לו</w:t>
      </w:r>
      <w:r w:rsidR="00367B52">
        <w:rPr>
          <w:rFonts w:asciiTheme="minorBidi" w:hAnsiTheme="minorBidi" w:hint="cs"/>
          <w:color w:val="000000"/>
          <w:rtl/>
        </w:rPr>
        <w:t>,</w:t>
      </w:r>
      <w:r w:rsidRPr="00351B7D">
        <w:rPr>
          <w:rFonts w:asciiTheme="minorBidi" w:hAnsiTheme="minorBidi"/>
          <w:color w:val="000000"/>
          <w:rtl/>
        </w:rPr>
        <w:t xml:space="preserve"> והודאת בעל דין כמאה עדים.</w:t>
      </w:r>
      <w:r w:rsidRPr="00351B7D">
        <w:rPr>
          <w:rFonts w:asciiTheme="minorBidi" w:hAnsiTheme="minorBidi"/>
          <w:sz w:val="16"/>
          <w:szCs w:val="16"/>
          <w:rtl/>
        </w:rPr>
        <w:t xml:space="preserve"> </w:t>
      </w:r>
    </w:p>
    <w:p w14:paraId="7AD368B9" w14:textId="5A476E7C" w:rsidR="00973C57" w:rsidRPr="00351B7D" w:rsidRDefault="008D37ED" w:rsidP="00973C57">
      <w:pPr>
        <w:rPr>
          <w:rFonts w:asciiTheme="minorBidi" w:hAnsiTheme="minorBidi"/>
          <w:u w:val="single"/>
        </w:rPr>
      </w:pPr>
      <w:r>
        <w:rPr>
          <w:rFonts w:asciiTheme="minorBidi" w:hAnsiTheme="minorBidi" w:hint="cs"/>
          <w:u w:val="single"/>
          <w:rtl/>
        </w:rPr>
        <w:t>מי שנתן לבתו מעות ב</w:t>
      </w:r>
      <w:r w:rsidR="00973C57" w:rsidRPr="00351B7D">
        <w:rPr>
          <w:rFonts w:asciiTheme="minorBidi" w:hAnsiTheme="minorBidi"/>
          <w:u w:val="single"/>
          <w:rtl/>
        </w:rPr>
        <w:t>נדוניא</w:t>
      </w:r>
      <w:r>
        <w:rPr>
          <w:rFonts w:asciiTheme="minorBidi" w:hAnsiTheme="minorBidi" w:hint="cs"/>
          <w:u w:val="single"/>
          <w:rtl/>
        </w:rPr>
        <w:t xml:space="preserve">, וייחד לכך שטרי חוב - האם </w:t>
      </w:r>
      <w:r w:rsidR="00085151">
        <w:rPr>
          <w:rFonts w:asciiTheme="minorBidi" w:hAnsiTheme="minorBidi" w:hint="cs"/>
          <w:u w:val="single"/>
          <w:rtl/>
        </w:rPr>
        <w:t xml:space="preserve">נחשב </w:t>
      </w:r>
      <w:r w:rsidR="00EF62A5">
        <w:rPr>
          <w:rFonts w:asciiTheme="minorBidi" w:hAnsiTheme="minorBidi" w:hint="cs"/>
          <w:u w:val="single"/>
          <w:rtl/>
        </w:rPr>
        <w:t xml:space="preserve">לחתן </w:t>
      </w:r>
      <w:r w:rsidR="00085151">
        <w:rPr>
          <w:rFonts w:asciiTheme="minorBidi" w:hAnsiTheme="minorBidi" w:hint="cs"/>
          <w:u w:val="single"/>
          <w:rtl/>
        </w:rPr>
        <w:t xml:space="preserve">כאילו </w:t>
      </w:r>
      <w:r w:rsidR="00EF62A5">
        <w:rPr>
          <w:rFonts w:asciiTheme="minorBidi" w:hAnsiTheme="minorBidi" w:hint="cs"/>
          <w:u w:val="single"/>
          <w:rtl/>
        </w:rPr>
        <w:t xml:space="preserve">כבר </w:t>
      </w:r>
      <w:r w:rsidR="00085151">
        <w:rPr>
          <w:rFonts w:asciiTheme="minorBidi" w:hAnsiTheme="minorBidi" w:hint="cs"/>
          <w:u w:val="single"/>
          <w:rtl/>
        </w:rPr>
        <w:t>קיבל כסף</w:t>
      </w:r>
      <w:r w:rsidR="00973C57" w:rsidRPr="00351B7D">
        <w:rPr>
          <w:rFonts w:asciiTheme="minorBidi" w:hAnsiTheme="minorBidi"/>
          <w:u w:val="single"/>
          <w:rtl/>
        </w:rPr>
        <w:t xml:space="preserve">: </w:t>
      </w:r>
    </w:p>
    <w:p w14:paraId="1B65859C" w14:textId="1A84C319" w:rsidR="00973C57" w:rsidRPr="00351B7D" w:rsidRDefault="00973C57" w:rsidP="009000E3">
      <w:pPr>
        <w:pStyle w:val="ab"/>
        <w:numPr>
          <w:ilvl w:val="0"/>
          <w:numId w:val="18"/>
        </w:numPr>
        <w:rPr>
          <w:rFonts w:asciiTheme="minorBidi" w:hAnsiTheme="minorBidi"/>
          <w:rtl/>
        </w:rPr>
      </w:pPr>
      <w:r w:rsidRPr="00351B7D">
        <w:rPr>
          <w:rFonts w:asciiTheme="minorBidi" w:hAnsiTheme="minorBidi"/>
          <w:rtl/>
        </w:rPr>
        <w:t>רשב"א</w:t>
      </w:r>
      <w:r w:rsidRPr="00351B7D">
        <w:rPr>
          <w:rFonts w:asciiTheme="minorBidi" w:hAnsiTheme="minorBidi"/>
          <w:sz w:val="16"/>
          <w:szCs w:val="16"/>
          <w:rtl/>
        </w:rPr>
        <w:t xml:space="preserve"> (ח"א סי' תתקפט)</w:t>
      </w:r>
      <w:r w:rsidRPr="00351B7D">
        <w:rPr>
          <w:rFonts w:asciiTheme="minorBidi" w:hAnsiTheme="minorBidi"/>
          <w:rtl/>
        </w:rPr>
        <w:t xml:space="preserve">- </w:t>
      </w:r>
      <w:r w:rsidRPr="00351B7D">
        <w:rPr>
          <w:rFonts w:asciiTheme="minorBidi" w:hAnsiTheme="minorBidi"/>
          <w:color w:val="000000"/>
          <w:rtl/>
        </w:rPr>
        <w:t>אחד שנתן מעות בנדוניא לבתו ויחד לו חובות, ואמר לחתנו שכל פרעון שיצא מהם שיקבלם בפרעון נדוניתה</w:t>
      </w:r>
      <w:r w:rsidR="00166F5D">
        <w:rPr>
          <w:rFonts w:asciiTheme="minorBidi" w:hAnsiTheme="minorBidi" w:hint="cs"/>
          <w:color w:val="000000"/>
          <w:rtl/>
        </w:rPr>
        <w:t>,</w:t>
      </w:r>
      <w:r w:rsidRPr="00351B7D">
        <w:rPr>
          <w:rFonts w:asciiTheme="minorBidi" w:hAnsiTheme="minorBidi"/>
          <w:color w:val="000000"/>
          <w:rtl/>
        </w:rPr>
        <w:t xml:space="preserve"> ובחוב אחד שהיה בו זקפן במלוה</w:t>
      </w:r>
      <w:r w:rsidRPr="00351B7D">
        <w:rPr>
          <w:rFonts w:asciiTheme="minorBidi" w:hAnsiTheme="minorBidi"/>
          <w:rtl/>
        </w:rPr>
        <w:t>. זקפו במלוה כפרעון דמי וברשותיה קיימי החובות ואפילו נפסדו</w:t>
      </w:r>
      <w:r w:rsidR="00166F5D">
        <w:rPr>
          <w:rFonts w:asciiTheme="minorBidi" w:hAnsiTheme="minorBidi" w:hint="cs"/>
          <w:rtl/>
        </w:rPr>
        <w:t>,</w:t>
      </w:r>
      <w:r w:rsidRPr="00351B7D">
        <w:rPr>
          <w:rFonts w:asciiTheme="minorBidi" w:hAnsiTheme="minorBidi"/>
          <w:rtl/>
        </w:rPr>
        <w:t xml:space="preserve"> כי כבר נפרע החוב הראשון, אלא שעכשיו כותב שטר אחר וכמלוה אחרת דמי</w:t>
      </w:r>
      <w:r w:rsidR="00166F5D">
        <w:rPr>
          <w:rFonts w:asciiTheme="minorBidi" w:hAnsiTheme="minorBidi" w:hint="cs"/>
          <w:rtl/>
        </w:rPr>
        <w:t>...</w:t>
      </w:r>
      <w:r w:rsidRPr="00351B7D">
        <w:rPr>
          <w:rFonts w:asciiTheme="minorBidi" w:hAnsiTheme="minorBidi"/>
          <w:rtl/>
        </w:rPr>
        <w:t xml:space="preserve"> ומיהו אם התנאי ביניהם שלא לקבל אלא מעות בעין, לא. ואלו מתנין כשמייחדין החובות</w:t>
      </w:r>
      <w:r w:rsidR="001520E4">
        <w:rPr>
          <w:rFonts w:asciiTheme="minorBidi" w:hAnsiTheme="minorBidi" w:hint="cs"/>
          <w:rtl/>
        </w:rPr>
        <w:t>:</w:t>
      </w:r>
      <w:r w:rsidRPr="00351B7D">
        <w:rPr>
          <w:rFonts w:asciiTheme="minorBidi" w:hAnsiTheme="minorBidi"/>
          <w:rtl/>
        </w:rPr>
        <w:t xml:space="preserve"> אם לא יפרע מכאן ועד יום פלוני הריני מוסיף על כל ליט' ד' פשיטי' בחדש, מותר, ואין כאן רבית</w:t>
      </w:r>
      <w:r w:rsidR="001520E4">
        <w:rPr>
          <w:rFonts w:asciiTheme="minorBidi" w:hAnsiTheme="minorBidi" w:hint="cs"/>
          <w:rtl/>
        </w:rPr>
        <w:t>,</w:t>
      </w:r>
      <w:r w:rsidRPr="00351B7D">
        <w:rPr>
          <w:rFonts w:asciiTheme="minorBidi" w:hAnsiTheme="minorBidi"/>
          <w:rtl/>
        </w:rPr>
        <w:t xml:space="preserve"> כי זה כתוספת על נדוניא ואין זה אגר נטר לי</w:t>
      </w:r>
      <w:r w:rsidR="001520E4">
        <w:rPr>
          <w:rFonts w:asciiTheme="minorBidi" w:hAnsiTheme="minorBidi" w:hint="cs"/>
          <w:rtl/>
        </w:rPr>
        <w:t>.</w:t>
      </w:r>
      <w:r w:rsidRPr="00351B7D">
        <w:rPr>
          <w:rFonts w:asciiTheme="minorBidi" w:hAnsiTheme="minorBidi"/>
          <w:rtl/>
        </w:rPr>
        <w:t xml:space="preserve"> למה זה דומה</w:t>
      </w:r>
      <w:r w:rsidR="001520E4">
        <w:rPr>
          <w:rFonts w:asciiTheme="minorBidi" w:hAnsiTheme="minorBidi" w:hint="cs"/>
          <w:rtl/>
        </w:rPr>
        <w:t>,</w:t>
      </w:r>
      <w:r w:rsidRPr="00351B7D">
        <w:rPr>
          <w:rFonts w:asciiTheme="minorBidi" w:hAnsiTheme="minorBidi"/>
          <w:rtl/>
        </w:rPr>
        <w:t xml:space="preserve"> לנותן מתנה לחברו ואמר אני נותן לו כך וכך לזמן פלוני, עוד אני מוסיף לו כך וכך. ודוקא בשהתנה קודם שנשאת</w:t>
      </w:r>
      <w:r w:rsidR="001520E4">
        <w:rPr>
          <w:rFonts w:asciiTheme="minorBidi" w:hAnsiTheme="minorBidi" w:hint="cs"/>
          <w:rtl/>
        </w:rPr>
        <w:t>,</w:t>
      </w:r>
      <w:r w:rsidRPr="00351B7D">
        <w:rPr>
          <w:rFonts w:asciiTheme="minorBidi" w:hAnsiTheme="minorBidi"/>
          <w:rtl/>
        </w:rPr>
        <w:t xml:space="preserve"> אבל אחר כך לא. </w:t>
      </w:r>
    </w:p>
    <w:p w14:paraId="20C363A7" w14:textId="77777777" w:rsidR="00973C57" w:rsidRPr="00351B7D" w:rsidRDefault="00973C57" w:rsidP="00973C57">
      <w:pPr>
        <w:rPr>
          <w:rFonts w:asciiTheme="minorBidi" w:hAnsiTheme="minorBidi"/>
          <w:u w:val="single"/>
          <w:rtl/>
        </w:rPr>
      </w:pPr>
      <w:r w:rsidRPr="00351B7D">
        <w:rPr>
          <w:rFonts w:asciiTheme="minorBidi" w:hAnsiTheme="minorBidi"/>
          <w:u w:val="single"/>
          <w:rtl/>
        </w:rPr>
        <w:lastRenderedPageBreak/>
        <w:t>איזה שם כותב גר בכתובה:</w:t>
      </w:r>
    </w:p>
    <w:p w14:paraId="02D2B711" w14:textId="7D8AE8EE" w:rsidR="00973C57" w:rsidRPr="00351B7D" w:rsidRDefault="00973C57" w:rsidP="009000E3">
      <w:pPr>
        <w:pStyle w:val="ab"/>
        <w:numPr>
          <w:ilvl w:val="0"/>
          <w:numId w:val="18"/>
        </w:numPr>
        <w:rPr>
          <w:rFonts w:asciiTheme="minorBidi" w:hAnsiTheme="minorBidi"/>
          <w:rtl/>
        </w:rPr>
      </w:pPr>
      <w:r w:rsidRPr="00351B7D">
        <w:rPr>
          <w:rFonts w:asciiTheme="minorBidi" w:hAnsiTheme="minorBidi"/>
          <w:rtl/>
        </w:rPr>
        <w:t xml:space="preserve">רא"ש </w:t>
      </w:r>
      <w:r w:rsidRPr="00351B7D">
        <w:rPr>
          <w:rFonts w:asciiTheme="minorBidi" w:hAnsiTheme="minorBidi"/>
          <w:sz w:val="16"/>
          <w:szCs w:val="16"/>
          <w:rtl/>
        </w:rPr>
        <w:t>(כלל ט"ו סי' ד)</w:t>
      </w:r>
      <w:r w:rsidRPr="00351B7D">
        <w:rPr>
          <w:rFonts w:asciiTheme="minorBidi" w:hAnsiTheme="minorBidi"/>
          <w:rtl/>
        </w:rPr>
        <w:t>- ששאלתם על גר שנתגדל ביניכם ורוצה ליקח אשה אם יוכל לקרות לעצמו אי זה שם שירצה כגון פלוני בן פלוני ולכתבו בכתובה. אותה כתוב</w:t>
      </w:r>
      <w:r w:rsidR="00573085">
        <w:rPr>
          <w:rFonts w:asciiTheme="minorBidi" w:hAnsiTheme="minorBidi" w:hint="cs"/>
          <w:rtl/>
        </w:rPr>
        <w:t>ּ</w:t>
      </w:r>
      <w:r w:rsidRPr="00351B7D">
        <w:rPr>
          <w:rFonts w:asciiTheme="minorBidi" w:hAnsiTheme="minorBidi"/>
          <w:rtl/>
        </w:rPr>
        <w:t>ה אינה כתוב</w:t>
      </w:r>
      <w:r w:rsidR="00573085">
        <w:rPr>
          <w:rFonts w:asciiTheme="minorBidi" w:hAnsiTheme="minorBidi" w:hint="cs"/>
          <w:rtl/>
        </w:rPr>
        <w:t>ּ</w:t>
      </w:r>
      <w:r w:rsidRPr="00351B7D">
        <w:rPr>
          <w:rFonts w:asciiTheme="minorBidi" w:hAnsiTheme="minorBidi"/>
          <w:rtl/>
        </w:rPr>
        <w:t>ה כיון שלא הוחזק בעיר באותו שם עד היום הזה</w:t>
      </w:r>
      <w:r w:rsidR="00573085">
        <w:rPr>
          <w:rFonts w:asciiTheme="minorBidi" w:hAnsiTheme="minorBidi" w:hint="cs"/>
          <w:rtl/>
        </w:rPr>
        <w:t>,</w:t>
      </w:r>
      <w:r w:rsidRPr="00351B7D">
        <w:rPr>
          <w:rFonts w:asciiTheme="minorBidi" w:hAnsiTheme="minorBidi"/>
          <w:rtl/>
        </w:rPr>
        <w:t xml:space="preserve"> ונמצא משהה את אשתו בלא כתובה</w:t>
      </w:r>
      <w:r w:rsidR="00183211">
        <w:rPr>
          <w:rFonts w:asciiTheme="minorBidi" w:hAnsiTheme="minorBidi" w:hint="cs"/>
          <w:rtl/>
        </w:rPr>
        <w:t>,</w:t>
      </w:r>
      <w:r w:rsidRPr="00351B7D">
        <w:rPr>
          <w:rFonts w:asciiTheme="minorBidi" w:hAnsiTheme="minorBidi"/>
          <w:rtl/>
        </w:rPr>
        <w:t xml:space="preserve"> דכתובה זו כמאן דליתא דמיא ואין לחתום עליה</w:t>
      </w:r>
      <w:r w:rsidR="00183211">
        <w:rPr>
          <w:rFonts w:asciiTheme="minorBidi" w:hAnsiTheme="minorBidi" w:hint="cs"/>
          <w:rtl/>
        </w:rPr>
        <w:t>.</w:t>
      </w:r>
      <w:r w:rsidRPr="00351B7D">
        <w:rPr>
          <w:rFonts w:asciiTheme="minorBidi" w:hAnsiTheme="minorBidi"/>
          <w:rtl/>
        </w:rPr>
        <w:t xml:space="preserve"> אלא כך נוהגים לכתוב בכתובות של גרים 'פלוני בן אברהם', ושמו המובהק כותבין, ואב המון גוים הוא אבי כולם. </w:t>
      </w:r>
    </w:p>
    <w:p w14:paraId="68C5BFE5" w14:textId="77777777" w:rsidR="00973C57" w:rsidRPr="00351B7D" w:rsidRDefault="00973C57" w:rsidP="00973C57">
      <w:pPr>
        <w:rPr>
          <w:rFonts w:asciiTheme="minorBidi" w:hAnsiTheme="minorBidi"/>
          <w:u w:val="single"/>
          <w:rtl/>
        </w:rPr>
      </w:pPr>
      <w:r w:rsidRPr="00351B7D">
        <w:rPr>
          <w:rFonts w:asciiTheme="minorBidi" w:hAnsiTheme="minorBidi"/>
          <w:u w:val="single"/>
          <w:rtl/>
        </w:rPr>
        <w:t>האם זה שנהגו לכתוב בכתובות 'אפילו מגלימא דאכתפאי' הוא דוקא או שופרא דשטרא:</w:t>
      </w:r>
    </w:p>
    <w:p w14:paraId="055FA14B" w14:textId="7B1E4E93" w:rsidR="00973C57" w:rsidRPr="00351B7D" w:rsidRDefault="00973C57" w:rsidP="009000E3">
      <w:pPr>
        <w:pStyle w:val="ab"/>
        <w:numPr>
          <w:ilvl w:val="0"/>
          <w:numId w:val="17"/>
        </w:numPr>
        <w:rPr>
          <w:rFonts w:asciiTheme="minorBidi" w:hAnsiTheme="minorBidi"/>
          <w:rtl/>
        </w:rPr>
      </w:pPr>
      <w:r w:rsidRPr="00351B7D">
        <w:rPr>
          <w:rFonts w:asciiTheme="minorBidi" w:hAnsiTheme="minorBidi"/>
          <w:rtl/>
        </w:rPr>
        <w:t xml:space="preserve">רשב"א </w:t>
      </w:r>
      <w:r w:rsidRPr="00351B7D">
        <w:rPr>
          <w:rFonts w:asciiTheme="minorBidi" w:hAnsiTheme="minorBidi"/>
          <w:sz w:val="16"/>
          <w:szCs w:val="16"/>
          <w:rtl/>
        </w:rPr>
        <w:t>(</w:t>
      </w:r>
      <w:r w:rsidR="00183211">
        <w:rPr>
          <w:rFonts w:asciiTheme="minorBidi" w:hAnsiTheme="minorBidi" w:hint="cs"/>
          <w:sz w:val="16"/>
          <w:szCs w:val="16"/>
          <w:rtl/>
        </w:rPr>
        <w:t>עי' ב</w:t>
      </w:r>
      <w:r w:rsidRPr="00351B7D">
        <w:rPr>
          <w:rFonts w:asciiTheme="minorBidi" w:hAnsiTheme="minorBidi"/>
          <w:sz w:val="16"/>
          <w:szCs w:val="16"/>
          <w:rtl/>
        </w:rPr>
        <w:t>ח"א סי' תתא)</w:t>
      </w:r>
      <w:r w:rsidRPr="00351B7D">
        <w:rPr>
          <w:rFonts w:asciiTheme="minorBidi" w:hAnsiTheme="minorBidi"/>
          <w:rtl/>
        </w:rPr>
        <w:t>- אם אינו מנהג וזה כתב</w:t>
      </w:r>
      <w:r w:rsidR="00183211">
        <w:rPr>
          <w:rFonts w:asciiTheme="minorBidi" w:hAnsiTheme="minorBidi" w:hint="cs"/>
          <w:rtl/>
        </w:rPr>
        <w:t xml:space="preserve"> </w:t>
      </w:r>
      <w:r w:rsidRPr="00351B7D">
        <w:rPr>
          <w:rFonts w:asciiTheme="minorBidi" w:hAnsiTheme="minorBidi"/>
          <w:rtl/>
        </w:rPr>
        <w:t>- קרוב הוא בעיני שזה שכתב מה שלא הורגלו אחרים בדוקא כתב</w:t>
      </w:r>
      <w:r w:rsidR="00183211">
        <w:rPr>
          <w:rFonts w:asciiTheme="minorBidi" w:hAnsiTheme="minorBidi" w:hint="cs"/>
          <w:rtl/>
        </w:rPr>
        <w:t>,</w:t>
      </w:r>
      <w:r w:rsidRPr="00351B7D">
        <w:rPr>
          <w:rFonts w:asciiTheme="minorBidi" w:hAnsiTheme="minorBidi"/>
          <w:rtl/>
        </w:rPr>
        <w:t xml:space="preserve"> ואומרים לו פשוט ותגבה לה</w:t>
      </w:r>
      <w:r w:rsidR="00183211">
        <w:rPr>
          <w:rFonts w:asciiTheme="minorBidi" w:hAnsiTheme="minorBidi" w:hint="cs"/>
          <w:rtl/>
        </w:rPr>
        <w:t>.</w:t>
      </w:r>
      <w:r w:rsidRPr="00351B7D">
        <w:rPr>
          <w:rFonts w:asciiTheme="minorBidi" w:hAnsiTheme="minorBidi"/>
          <w:rtl/>
        </w:rPr>
        <w:t xml:space="preserve"> אבל כיון שהורגלו הכל לכתוב כן מסתברא דשופרא דשטרא הוא</w:t>
      </w:r>
      <w:r w:rsidR="006F688E">
        <w:rPr>
          <w:rFonts w:asciiTheme="minorBidi" w:hAnsiTheme="minorBidi" w:hint="cs"/>
          <w:rtl/>
        </w:rPr>
        <w:t>,</w:t>
      </w:r>
      <w:r w:rsidRPr="00351B7D">
        <w:rPr>
          <w:rFonts w:asciiTheme="minorBidi" w:hAnsiTheme="minorBidi"/>
          <w:rtl/>
        </w:rPr>
        <w:t xml:space="preserve"> </w:t>
      </w:r>
      <w:r w:rsidR="006F688E">
        <w:rPr>
          <w:rFonts w:asciiTheme="minorBidi" w:hAnsiTheme="minorBidi" w:hint="cs"/>
          <w:rtl/>
        </w:rPr>
        <w:t>ש</w:t>
      </w:r>
      <w:r w:rsidRPr="00351B7D">
        <w:rPr>
          <w:rFonts w:asciiTheme="minorBidi" w:hAnsiTheme="minorBidi"/>
          <w:rtl/>
        </w:rPr>
        <w:t>אינו בדעת שיכתבו בדוקא ויפשיטום ערומים. וגלימא שאמרת מהו, כל בגד עליון שאדם מתכסה בו קרוי גלימא מלשון ויגלום אדרתו, ועכשיו אין קורין גלימא אלא לקאפ"ה שאמרת</w:t>
      </w:r>
      <w:r w:rsidR="006F688E">
        <w:rPr>
          <w:rFonts w:asciiTheme="minorBidi" w:hAnsiTheme="minorBidi" w:hint="cs"/>
          <w:rtl/>
        </w:rPr>
        <w:t>.</w:t>
      </w:r>
      <w:r w:rsidRPr="00351B7D">
        <w:rPr>
          <w:rFonts w:asciiTheme="minorBidi" w:hAnsiTheme="minorBidi"/>
          <w:rtl/>
        </w:rPr>
        <w:t xml:space="preserve"> וכל שבממון הולכין אחר לשון בני אדם שבאותו מקום.</w:t>
      </w:r>
    </w:p>
    <w:p w14:paraId="40BB7058" w14:textId="21820B8A" w:rsidR="00973C57" w:rsidRPr="00351B7D" w:rsidRDefault="00973C57" w:rsidP="00973C57">
      <w:pPr>
        <w:rPr>
          <w:rFonts w:asciiTheme="minorBidi" w:hAnsiTheme="minorBidi"/>
          <w:u w:val="single"/>
          <w:rtl/>
        </w:rPr>
      </w:pPr>
      <w:r w:rsidRPr="00351B7D">
        <w:rPr>
          <w:rFonts w:asciiTheme="minorBidi" w:hAnsiTheme="minorBidi"/>
          <w:u w:val="single"/>
          <w:rtl/>
        </w:rPr>
        <w:t xml:space="preserve">בעל </w:t>
      </w:r>
      <w:r w:rsidR="005D50EC">
        <w:rPr>
          <w:rFonts w:asciiTheme="minorBidi" w:hAnsiTheme="minorBidi" w:hint="cs"/>
          <w:u w:val="single"/>
          <w:rtl/>
        </w:rPr>
        <w:t xml:space="preserve">שכתב </w:t>
      </w:r>
      <w:r w:rsidRPr="00351B7D">
        <w:rPr>
          <w:rFonts w:asciiTheme="minorBidi" w:hAnsiTheme="minorBidi"/>
          <w:u w:val="single"/>
          <w:rtl/>
        </w:rPr>
        <w:t>לאש</w:t>
      </w:r>
      <w:r w:rsidR="005D50EC">
        <w:rPr>
          <w:rFonts w:asciiTheme="minorBidi" w:hAnsiTheme="minorBidi" w:hint="cs"/>
          <w:u w:val="single"/>
          <w:rtl/>
        </w:rPr>
        <w:t>תו מתנה בשעת נישואין -</w:t>
      </w:r>
      <w:r w:rsidRPr="00351B7D">
        <w:rPr>
          <w:rFonts w:asciiTheme="minorBidi" w:hAnsiTheme="minorBidi"/>
          <w:u w:val="single"/>
          <w:rtl/>
        </w:rPr>
        <w:t xml:space="preserve"> האם היא זוכה בה מעכשיו</w:t>
      </w:r>
      <w:r w:rsidR="005D50EC">
        <w:rPr>
          <w:rFonts w:asciiTheme="minorBidi" w:hAnsiTheme="minorBidi" w:hint="cs"/>
          <w:u w:val="single"/>
          <w:rtl/>
        </w:rPr>
        <w:t xml:space="preserve"> או לכ</w:t>
      </w:r>
      <w:r w:rsidR="0006519A">
        <w:rPr>
          <w:rFonts w:asciiTheme="minorBidi" w:hAnsiTheme="minorBidi" w:hint="cs"/>
          <w:u w:val="single"/>
          <w:rtl/>
        </w:rPr>
        <w:t>שתצא/תתאלמן</w:t>
      </w:r>
      <w:r w:rsidRPr="00351B7D">
        <w:rPr>
          <w:rFonts w:asciiTheme="minorBidi" w:hAnsiTheme="minorBidi"/>
          <w:u w:val="single"/>
          <w:rtl/>
        </w:rPr>
        <w:t>:</w:t>
      </w:r>
    </w:p>
    <w:p w14:paraId="71D1BF5A" w14:textId="7FE8157C" w:rsidR="00973C57" w:rsidRPr="00351B7D" w:rsidRDefault="00973C57" w:rsidP="009000E3">
      <w:pPr>
        <w:pStyle w:val="ab"/>
        <w:numPr>
          <w:ilvl w:val="0"/>
          <w:numId w:val="17"/>
        </w:numPr>
        <w:rPr>
          <w:rFonts w:asciiTheme="minorBidi" w:hAnsiTheme="minorBidi"/>
        </w:rPr>
      </w:pPr>
      <w:r w:rsidRPr="00351B7D">
        <w:rPr>
          <w:rFonts w:asciiTheme="minorBidi" w:hAnsiTheme="minorBidi"/>
          <w:rtl/>
        </w:rPr>
        <w:t>רשב"א</w:t>
      </w:r>
      <w:r w:rsidR="00684551">
        <w:rPr>
          <w:rFonts w:asciiTheme="minorBidi" w:hAnsiTheme="minorBidi" w:hint="cs"/>
          <w:sz w:val="16"/>
          <w:szCs w:val="16"/>
          <w:rtl/>
        </w:rPr>
        <w:t xml:space="preserve"> (החדשות סי' קעב)</w:t>
      </w:r>
      <w:r w:rsidRPr="00351B7D">
        <w:rPr>
          <w:rFonts w:asciiTheme="minorBidi" w:hAnsiTheme="minorBidi"/>
          <w:rtl/>
        </w:rPr>
        <w:t>- שאלת</w:t>
      </w:r>
      <w:r w:rsidR="005D50EC">
        <w:rPr>
          <w:rFonts w:asciiTheme="minorBidi" w:hAnsiTheme="minorBidi" w:hint="cs"/>
          <w:rtl/>
        </w:rPr>
        <w:t>:</w:t>
      </w:r>
      <w:r w:rsidRPr="00351B7D">
        <w:rPr>
          <w:rFonts w:asciiTheme="minorBidi" w:hAnsiTheme="minorBidi"/>
          <w:rtl/>
        </w:rPr>
        <w:t xml:space="preserve"> מתנה לחוד שאדם כותב לאשתו וכותבין לה ד' אמות קרקע ואגבן נתתי לך כך וכך זהובים</w:t>
      </w:r>
      <w:r w:rsidR="005D50EC">
        <w:rPr>
          <w:rFonts w:asciiTheme="minorBidi" w:hAnsiTheme="minorBidi" w:hint="cs"/>
          <w:rtl/>
        </w:rPr>
        <w:t>,</w:t>
      </w:r>
      <w:r w:rsidRPr="00351B7D">
        <w:rPr>
          <w:rFonts w:asciiTheme="minorBidi" w:hAnsiTheme="minorBidi"/>
          <w:rtl/>
        </w:rPr>
        <w:t xml:space="preserve"> ומעכשיו תלך ותזכה ותחזיק בהם</w:t>
      </w:r>
      <w:r w:rsidR="005D50EC">
        <w:rPr>
          <w:rFonts w:asciiTheme="minorBidi" w:hAnsiTheme="minorBidi" w:hint="cs"/>
          <w:rtl/>
        </w:rPr>
        <w:t>.</w:t>
      </w:r>
      <w:r w:rsidRPr="00351B7D">
        <w:rPr>
          <w:rFonts w:asciiTheme="minorBidi" w:hAnsiTheme="minorBidi"/>
          <w:rtl/>
        </w:rPr>
        <w:t xml:space="preserve"> ואמרת שמצאת בשם הרב [אלברצלוני] דכל מתנה שאדם כותב לאשתו בשעת נישואין אפילו כתב לה כל מיני ייפויין הרי היא ככתובה שאינה נגבית בעודה תחתיו. תשובה</w:t>
      </w:r>
      <w:r w:rsidR="005D50EC">
        <w:rPr>
          <w:rFonts w:asciiTheme="minorBidi" w:hAnsiTheme="minorBidi" w:hint="cs"/>
          <w:rtl/>
        </w:rPr>
        <w:t>:</w:t>
      </w:r>
      <w:r w:rsidRPr="00351B7D">
        <w:rPr>
          <w:rFonts w:asciiTheme="minorBidi" w:hAnsiTheme="minorBidi"/>
          <w:rtl/>
        </w:rPr>
        <w:t xml:space="preserve"> אומר אני על זה אטו ה"ר יצחק [אלברצלוני] חתום עליה וכמו שאמרו ביבמות </w:t>
      </w:r>
      <w:r w:rsidRPr="00351B7D">
        <w:rPr>
          <w:rFonts w:asciiTheme="minorBidi" w:hAnsiTheme="minorBidi"/>
          <w:sz w:val="16"/>
          <w:szCs w:val="16"/>
          <w:rtl/>
        </w:rPr>
        <w:t xml:space="preserve">(כב.) </w:t>
      </w:r>
      <w:r w:rsidRPr="00351B7D">
        <w:rPr>
          <w:rFonts w:asciiTheme="minorBidi" w:hAnsiTheme="minorBidi"/>
          <w:rtl/>
        </w:rPr>
        <w:t>על כיוצא בזה, ואני אומר חס ליה לרב שלא כתב כן מעולם שכל תנאי שבממון תנאו קיים</w:t>
      </w:r>
      <w:r w:rsidR="0006519A">
        <w:rPr>
          <w:rFonts w:asciiTheme="minorBidi" w:hAnsiTheme="minorBidi" w:hint="cs"/>
          <w:rtl/>
        </w:rPr>
        <w:t>,</w:t>
      </w:r>
      <w:r w:rsidRPr="00351B7D">
        <w:rPr>
          <w:rFonts w:asciiTheme="minorBidi" w:hAnsiTheme="minorBidi"/>
          <w:rtl/>
        </w:rPr>
        <w:t xml:space="preserve"> ואם נתן לה על מנת שתגבה מעכשיו ותתן לאחרים </w:t>
      </w:r>
      <w:r w:rsidR="0006519A">
        <w:rPr>
          <w:rFonts w:asciiTheme="minorBidi" w:hAnsiTheme="minorBidi" w:hint="cs"/>
          <w:rtl/>
        </w:rPr>
        <w:t xml:space="preserve">- </w:t>
      </w:r>
      <w:r w:rsidRPr="00351B7D">
        <w:rPr>
          <w:rFonts w:asciiTheme="minorBidi" w:hAnsiTheme="minorBidi"/>
          <w:rtl/>
        </w:rPr>
        <w:t>מתנתו ותנאו קיימין</w:t>
      </w:r>
      <w:r w:rsidR="0006519A">
        <w:rPr>
          <w:rFonts w:asciiTheme="minorBidi" w:hAnsiTheme="minorBidi" w:hint="cs"/>
          <w:rtl/>
        </w:rPr>
        <w:t>.</w:t>
      </w:r>
      <w:r w:rsidRPr="00351B7D">
        <w:rPr>
          <w:rFonts w:asciiTheme="minorBidi" w:hAnsiTheme="minorBidi"/>
          <w:rtl/>
        </w:rPr>
        <w:t xml:space="preserve"> ואחר כתב בשמו, ואינו</w:t>
      </w:r>
      <w:r w:rsidR="0006519A">
        <w:rPr>
          <w:rFonts w:asciiTheme="minorBidi" w:hAnsiTheme="minorBidi" w:hint="cs"/>
          <w:rtl/>
        </w:rPr>
        <w:t>.</w:t>
      </w:r>
      <w:r w:rsidRPr="00351B7D">
        <w:rPr>
          <w:rFonts w:asciiTheme="minorBidi" w:hAnsiTheme="minorBidi"/>
          <w:rtl/>
        </w:rPr>
        <w:t xml:space="preserve"> ואלא מיהו הכל לפי מנהג המקומות שכל מה שאדם כותב לאשה בכתובתה וכל מה שאדם מתנה עם חתנו להכניס עם בתו הכל לפי המנהג, כי יש מקומות שמתנין וכותבין בדוקא ועושים אותו כמלוה, ולשם האב נותן הכל כפי מה שהתנה, וכן האשה גובה כל מה שכתב לה בעלה</w:t>
      </w:r>
      <w:r w:rsidR="0006519A">
        <w:rPr>
          <w:rFonts w:asciiTheme="minorBidi" w:hAnsiTheme="minorBidi" w:hint="cs"/>
          <w:rtl/>
        </w:rPr>
        <w:t>.</w:t>
      </w:r>
      <w:r w:rsidRPr="00351B7D">
        <w:rPr>
          <w:rFonts w:asciiTheme="minorBidi" w:hAnsiTheme="minorBidi"/>
          <w:rtl/>
        </w:rPr>
        <w:t xml:space="preserve"> ויש מקומות שכותבין לכבוד בעלמא ואין נגבין</w:t>
      </w:r>
      <w:r w:rsidR="0006519A">
        <w:rPr>
          <w:rFonts w:asciiTheme="minorBidi" w:hAnsiTheme="minorBidi" w:hint="cs"/>
          <w:rtl/>
        </w:rPr>
        <w:t>.</w:t>
      </w:r>
      <w:r w:rsidRPr="00351B7D">
        <w:rPr>
          <w:rFonts w:asciiTheme="minorBidi" w:hAnsiTheme="minorBidi"/>
          <w:rtl/>
        </w:rPr>
        <w:t xml:space="preserve"> אלא לפי המנהג וכמו שאמרו בר"פ המקבל </w:t>
      </w:r>
      <w:r w:rsidRPr="00351B7D">
        <w:rPr>
          <w:rFonts w:asciiTheme="minorBidi" w:hAnsiTheme="minorBidi"/>
          <w:sz w:val="16"/>
          <w:szCs w:val="16"/>
          <w:rtl/>
        </w:rPr>
        <w:t>(קד:)</w:t>
      </w:r>
      <w:r w:rsidRPr="00351B7D">
        <w:rPr>
          <w:rFonts w:asciiTheme="minorBidi" w:hAnsiTheme="minorBidi"/>
          <w:rtl/>
        </w:rPr>
        <w:t>.</w:t>
      </w:r>
    </w:p>
    <w:p w14:paraId="16A6C24E" w14:textId="77777777" w:rsidR="00973C57" w:rsidRPr="00351B7D" w:rsidRDefault="00973C57" w:rsidP="00973C57">
      <w:pPr>
        <w:rPr>
          <w:rFonts w:asciiTheme="minorBidi" w:hAnsiTheme="minorBidi"/>
        </w:rPr>
      </w:pPr>
      <w:r w:rsidRPr="00351B7D">
        <w:rPr>
          <w:rFonts w:asciiTheme="minorBidi" w:hAnsiTheme="minorBidi"/>
          <w:u w:val="single"/>
          <w:rtl/>
        </w:rPr>
        <w:t>אב שהשיא בתו והבעל כתב לה מתנה והתנה עם האב שלא תגבה אשתו המתנה בחייו רק לאחר מותו:</w:t>
      </w:r>
      <w:r w:rsidRPr="00351B7D">
        <w:rPr>
          <w:rFonts w:asciiTheme="minorBidi" w:hAnsiTheme="minorBidi"/>
          <w:sz w:val="16"/>
          <w:szCs w:val="16"/>
          <w:rtl/>
        </w:rPr>
        <w:t xml:space="preserve"> (דרכ"מ אות יז**)</w:t>
      </w:r>
    </w:p>
    <w:p w14:paraId="1678DF50" w14:textId="10F69005" w:rsidR="00973C57" w:rsidRPr="00351B7D" w:rsidRDefault="00973C57" w:rsidP="009000E3">
      <w:pPr>
        <w:pStyle w:val="ab"/>
        <w:numPr>
          <w:ilvl w:val="0"/>
          <w:numId w:val="17"/>
        </w:numPr>
        <w:rPr>
          <w:rFonts w:asciiTheme="minorBidi" w:hAnsiTheme="minorBidi"/>
          <w:rtl/>
        </w:rPr>
      </w:pPr>
      <w:r w:rsidRPr="00351B7D">
        <w:rPr>
          <w:rFonts w:asciiTheme="minorBidi" w:hAnsiTheme="minorBidi"/>
          <w:rtl/>
        </w:rPr>
        <w:t xml:space="preserve">ריב"ש </w:t>
      </w:r>
      <w:r w:rsidRPr="00351B7D">
        <w:rPr>
          <w:rFonts w:asciiTheme="minorBidi" w:hAnsiTheme="minorBidi"/>
          <w:sz w:val="16"/>
          <w:szCs w:val="16"/>
          <w:rtl/>
        </w:rPr>
        <w:t>(סי' קב ד"ה ולענין)</w:t>
      </w:r>
      <w:r w:rsidRPr="00351B7D">
        <w:rPr>
          <w:rFonts w:asciiTheme="minorBidi" w:hAnsiTheme="minorBidi"/>
          <w:rtl/>
        </w:rPr>
        <w:t>- יש לאב להתנות עליה בכל מה שירצה הואיל והוא השיאה</w:t>
      </w:r>
      <w:r w:rsidR="008A429D">
        <w:rPr>
          <w:rFonts w:asciiTheme="minorBidi" w:hAnsiTheme="minorBidi" w:hint="cs"/>
          <w:rtl/>
        </w:rPr>
        <w:t>.</w:t>
      </w:r>
      <w:r w:rsidRPr="00351B7D">
        <w:rPr>
          <w:rFonts w:asciiTheme="minorBidi" w:hAnsiTheme="minorBidi"/>
          <w:rtl/>
        </w:rPr>
        <w:t xml:space="preserve"> אבל אם המתנה נכתבה תחלה בסתם ואחר התנה הבעל עם האב, לא מהני, דלאחר שנשאת אין לאב רשות עליה.</w:t>
      </w:r>
    </w:p>
    <w:p w14:paraId="361BC3A6" w14:textId="4734ACCA" w:rsidR="00973C57" w:rsidRPr="00351B7D" w:rsidRDefault="004B1CB7" w:rsidP="00973C57">
      <w:pPr>
        <w:rPr>
          <w:rFonts w:asciiTheme="minorBidi" w:hAnsiTheme="minorBidi"/>
          <w:u w:val="single"/>
          <w:rtl/>
        </w:rPr>
      </w:pPr>
      <w:r>
        <w:rPr>
          <w:rFonts w:asciiTheme="minorBidi" w:hAnsiTheme="minorBidi" w:hint="cs"/>
          <w:u w:val="single"/>
          <w:rtl/>
        </w:rPr>
        <w:t>נוסח</w:t>
      </w:r>
      <w:r w:rsidR="00973C57" w:rsidRPr="00351B7D">
        <w:rPr>
          <w:rFonts w:asciiTheme="minorBidi" w:hAnsiTheme="minorBidi"/>
          <w:u w:val="single"/>
          <w:rtl/>
        </w:rPr>
        <w:t xml:space="preserve"> הכתובה:</w:t>
      </w:r>
    </w:p>
    <w:p w14:paraId="622D8AFF" w14:textId="77777777" w:rsidR="00973C57" w:rsidRPr="00351B7D" w:rsidRDefault="00973C57" w:rsidP="009000E3">
      <w:pPr>
        <w:pStyle w:val="ab"/>
        <w:numPr>
          <w:ilvl w:val="0"/>
          <w:numId w:val="17"/>
        </w:numPr>
        <w:rPr>
          <w:rFonts w:asciiTheme="minorBidi" w:hAnsiTheme="minorBidi"/>
          <w:rtl/>
        </w:rPr>
      </w:pPr>
      <w:r w:rsidRPr="00351B7D">
        <w:rPr>
          <w:rFonts w:asciiTheme="minorBidi" w:hAnsiTheme="minorBidi"/>
          <w:rtl/>
        </w:rPr>
        <w:t>רמב"ם</w:t>
      </w:r>
      <w:r w:rsidRPr="00351B7D">
        <w:rPr>
          <w:rFonts w:asciiTheme="minorBidi" w:hAnsiTheme="minorBidi"/>
          <w:sz w:val="16"/>
          <w:szCs w:val="16"/>
          <w:rtl/>
        </w:rPr>
        <w:t xml:space="preserve"> (הל' יבום פ"ד הל"ג)</w:t>
      </w:r>
      <w:r w:rsidRPr="00351B7D">
        <w:rPr>
          <w:rFonts w:asciiTheme="minorBidi" w:hAnsiTheme="minorBidi"/>
          <w:rtl/>
        </w:rPr>
        <w:t>- ביום פלוני וכו' איך פלוני בן פלוני אמר לפלונית בת פלוני בתולתא כלתא הוי לי לאנתו כדת משה וישראל ואנא במימרא דשמיא אפלח ואוקיר ואסובר ואיזון ואפרנס ואכסי יתיכי כהלכת גוברין יהודאין דמוקרין ומסוברין וזנין ומפרנסין ומכסין ית נשיהון בקושטא ויהיבנא ליכי מוהר בתוליכי כסף זוזי מאתן דאינון מזוזי כספא עשרין וחמשה דחזו ליכי ומזונייכי וכסותייכי וסיפוקייכי ומיעל עליכי כאורח כל ארעא וצביאת פלונית דא והות ליה לאנתו לפלוני דנא ורצה והוסיף לה תוספת על עיקר כתובתה עד משלם כך וכך ודא נדוניא דהנעלת ליה כך וכך הכל נתקבל חתן זה ובא לידו ונעשה ברשותו וזקף הכל על עצמו במלוה ורשו וכך אמר לנא פלוני חתנא דנא אחריות כתובה דא כולה עיקר ונדוניא ותוספת עם שאר תנאי כתובה קבלית עלי ועל ירתי בתראי ועל כל שפר ארג נכסין וקנינין דאית לי תחות כל שמיא דקנאי ודעתיד אנא למקני ממקרקעי וממטלטלי אגב מקרקעי כולהון יהון אחראין וערבאין לכתובה דא כולה עיקר ונדוניא ותוספת לאתפרעא מנהון בחיי ובתר מותי ואפילו מגלימא דעל כתפאי וקנינן מפלוני דא מכל מאי דכתיב ומפרש לעיל קנין שלם דלא כאסמכתא ודלא כטופסי דשטרי אלא כחוזק וכחומר כל שטרי כתובות הנוהגות בישראל וכהוגן וכתיקון רבותינו ז"ל וחתמנו על שטר כתובה זו בזמן הנזכר לעיל והכל בריר ושריר וקיים.</w:t>
      </w:r>
    </w:p>
    <w:p w14:paraId="083A54B9" w14:textId="77777777" w:rsidR="00973C57" w:rsidRPr="00351B7D" w:rsidRDefault="00973C57" w:rsidP="00973C57">
      <w:pPr>
        <w:rPr>
          <w:rFonts w:asciiTheme="minorBidi" w:hAnsiTheme="minorBidi"/>
          <w:u w:val="single"/>
          <w:rtl/>
        </w:rPr>
      </w:pPr>
      <w:r w:rsidRPr="00351B7D">
        <w:rPr>
          <w:rFonts w:asciiTheme="minorBidi" w:hAnsiTheme="minorBidi"/>
          <w:u w:val="single"/>
          <w:rtl/>
        </w:rPr>
        <w:t>נוסח כתובה דאירכסא:</w:t>
      </w:r>
    </w:p>
    <w:p w14:paraId="40D0E8E4" w14:textId="77777777" w:rsidR="00973C57" w:rsidRPr="00351B7D" w:rsidRDefault="00973C57" w:rsidP="009000E3">
      <w:pPr>
        <w:pStyle w:val="ab"/>
        <w:numPr>
          <w:ilvl w:val="0"/>
          <w:numId w:val="17"/>
        </w:numPr>
        <w:rPr>
          <w:rFonts w:asciiTheme="minorBidi" w:hAnsiTheme="minorBidi"/>
        </w:rPr>
      </w:pPr>
      <w:r w:rsidRPr="00351B7D">
        <w:rPr>
          <w:rFonts w:asciiTheme="minorBidi" w:hAnsiTheme="minorBidi"/>
          <w:rtl/>
        </w:rPr>
        <w:t>רי"ו</w:t>
      </w:r>
      <w:r w:rsidRPr="00351B7D">
        <w:rPr>
          <w:rFonts w:asciiTheme="minorBidi" w:hAnsiTheme="minorBidi"/>
          <w:sz w:val="16"/>
          <w:szCs w:val="16"/>
          <w:rtl/>
        </w:rPr>
        <w:t xml:space="preserve"> (נכ"ב ח"ב)</w:t>
      </w:r>
      <w:r w:rsidRPr="00351B7D">
        <w:rPr>
          <w:rFonts w:asciiTheme="minorBidi" w:hAnsiTheme="minorBidi"/>
          <w:rtl/>
        </w:rPr>
        <w:t xml:space="preserve">- מה דהות קדמנא בכך וכך לשבת וכו' למנין שאנו מונין וכו' איך פב"פ אתא קדמנא ואמר לנא פב"פ הות נסיבא לי לאינתו מקדמת דנא וכדו אירכסא כתובתה דהוה כתיבא לה מההוא יומא דאינסיבא כהלכת בנת ישראל דמתנסבן לגוברין יהודאין בקידושין ובכתובה ואמרי רבנן דאסיר לאשתהויי אינתתא בלא כתובה ואפילו שעה חדא כתובו לה כתובה אחריתא בחריקא דכתובתה ובכן כתיבנא לה השתא כתובה </w:t>
      </w:r>
      <w:r w:rsidRPr="00351B7D">
        <w:rPr>
          <w:rFonts w:asciiTheme="minorBidi" w:hAnsiTheme="minorBidi"/>
          <w:rtl/>
        </w:rPr>
        <w:lastRenderedPageBreak/>
        <w:t>דאחילופי כתובה קמייתא איך פלוני בן פלוני אמר להדא פלוני בן פלוני הוי לי לאינתו כדת משה וישראל וכו'</w:t>
      </w:r>
      <w:r w:rsidRPr="00351B7D">
        <w:rPr>
          <w:rStyle w:val="a7"/>
          <w:rFonts w:asciiTheme="minorBidi" w:hAnsiTheme="minorBidi"/>
          <w:rtl/>
        </w:rPr>
        <w:footnoteReference w:id="131"/>
      </w:r>
      <w:r w:rsidRPr="00351B7D">
        <w:rPr>
          <w:rFonts w:asciiTheme="minorBidi" w:hAnsiTheme="minorBidi"/>
          <w:rtl/>
        </w:rPr>
        <w:t>.</w:t>
      </w:r>
    </w:p>
    <w:p w14:paraId="138711EF" w14:textId="77777777" w:rsidR="00973C57" w:rsidRPr="00351B7D" w:rsidRDefault="00973C57" w:rsidP="00973C5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FC7B832" w14:textId="234B3219" w:rsidR="00973C57" w:rsidRPr="00351B7D" w:rsidRDefault="00973C57" w:rsidP="00973C57">
      <w:pPr>
        <w:rPr>
          <w:rFonts w:asciiTheme="minorBidi" w:hAnsiTheme="minorBidi"/>
          <w:color w:val="000000"/>
          <w:sz w:val="16"/>
          <w:szCs w:val="16"/>
          <w:rtl/>
        </w:rPr>
      </w:pPr>
      <w:r w:rsidRPr="00351B7D">
        <w:rPr>
          <w:rFonts w:asciiTheme="minorBidi" w:hAnsiTheme="minorBidi"/>
          <w:rtl/>
        </w:rPr>
        <w:t>הנושא אשה סתם כותב לפי המנהג, וכן היא שפסקה להכניס נותנת כפי מנהג המדינה.</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ומה שהאשה מכנסת לבעלה הן מעות הן בגדים</w:t>
      </w:r>
      <w:r w:rsidRPr="00351B7D">
        <w:rPr>
          <w:rStyle w:val="a7"/>
          <w:rFonts w:asciiTheme="minorBidi" w:hAnsiTheme="minorBidi"/>
          <w:color w:val="000000"/>
          <w:sz w:val="18"/>
          <w:szCs w:val="18"/>
          <w:rtl/>
        </w:rPr>
        <w:footnoteReference w:id="132"/>
      </w:r>
      <w:r w:rsidRPr="00351B7D">
        <w:rPr>
          <w:rFonts w:asciiTheme="minorBidi" w:hAnsiTheme="minorBidi"/>
          <w:color w:val="000000"/>
          <w:sz w:val="18"/>
          <w:szCs w:val="18"/>
          <w:rtl/>
        </w:rPr>
        <w:t xml:space="preserve"> ומקבלן עליו והן באחריותו נקרא נדוניא בכל מקום</w:t>
      </w:r>
      <w:r w:rsidR="00C41972">
        <w:rPr>
          <w:rFonts w:asciiTheme="minorBidi" w:hAnsiTheme="minorBidi" w:hint="cs"/>
          <w:color w:val="000000"/>
          <w:sz w:val="18"/>
          <w:szCs w:val="18"/>
          <w:rtl/>
        </w:rPr>
        <w:t>,</w:t>
      </w:r>
      <w:r w:rsidRPr="00351B7D">
        <w:rPr>
          <w:rFonts w:asciiTheme="minorBidi" w:hAnsiTheme="minorBidi"/>
          <w:color w:val="000000"/>
          <w:sz w:val="18"/>
          <w:szCs w:val="18"/>
          <w:rtl/>
        </w:rPr>
        <w:t xml:space="preserve"> ואינה נגבית אלא עם הכתובה</w:t>
      </w:r>
      <w:r w:rsidR="00C41972">
        <w:rPr>
          <w:rFonts w:asciiTheme="minorBidi" w:hAnsiTheme="minorBidi" w:hint="cs"/>
          <w:color w:val="000000"/>
          <w:sz w:val="18"/>
          <w:szCs w:val="18"/>
          <w:rtl/>
        </w:rPr>
        <w:t>.</w:t>
      </w:r>
      <w:r w:rsidRPr="00351B7D">
        <w:rPr>
          <w:rFonts w:asciiTheme="minorBidi" w:hAnsiTheme="minorBidi"/>
          <w:color w:val="000000"/>
          <w:sz w:val="18"/>
          <w:szCs w:val="18"/>
          <w:rtl/>
        </w:rPr>
        <w:t xml:space="preserve"> אבל לשאר דברים אין דינו ככתובה וכמו שיתבאר לקמן. ויש מקומות שהחתן מוסיף לה בנדונייתא וכותב יותר ממה שקבל</w:t>
      </w:r>
      <w:r w:rsidR="00EC0354">
        <w:rPr>
          <w:rFonts w:asciiTheme="minorBidi" w:hAnsiTheme="minorBidi" w:hint="cs"/>
          <w:color w:val="000000"/>
          <w:sz w:val="18"/>
          <w:szCs w:val="18"/>
          <w:rtl/>
        </w:rPr>
        <w:t>,</w:t>
      </w:r>
      <w:r w:rsidRPr="00351B7D">
        <w:rPr>
          <w:rFonts w:asciiTheme="minorBidi" w:hAnsiTheme="minorBidi"/>
          <w:color w:val="000000"/>
          <w:sz w:val="18"/>
          <w:szCs w:val="18"/>
          <w:rtl/>
        </w:rPr>
        <w:t xml:space="preserve"> והולכין בזה אחר המנהג</w:t>
      </w:r>
      <w:r w:rsidRPr="00351B7D">
        <w:rPr>
          <w:rStyle w:val="a7"/>
          <w:rFonts w:asciiTheme="minorBidi" w:hAnsiTheme="minorBidi"/>
          <w:color w:val="000000"/>
          <w:sz w:val="18"/>
          <w:szCs w:val="18"/>
          <w:rtl/>
        </w:rPr>
        <w:footnoteReference w:id="133"/>
      </w:r>
      <w:r w:rsidRPr="00351B7D">
        <w:rPr>
          <w:rFonts w:asciiTheme="minorBidi" w:hAnsiTheme="minorBidi"/>
          <w:color w:val="000000"/>
          <w:sz w:val="18"/>
          <w:szCs w:val="18"/>
          <w:rtl/>
        </w:rPr>
        <w:t xml:space="preserve"> </w:t>
      </w:r>
      <w:r w:rsidRPr="00EC0354">
        <w:rPr>
          <w:rFonts w:asciiTheme="minorBidi" w:hAnsiTheme="minorBidi"/>
          <w:color w:val="000000"/>
          <w:sz w:val="18"/>
          <w:szCs w:val="18"/>
          <w:rtl/>
        </w:rPr>
        <w:t>(טור)</w:t>
      </w:r>
      <w:r w:rsidRPr="00351B7D">
        <w:rPr>
          <w:rFonts w:asciiTheme="minorBidi" w:hAnsiTheme="minorBidi"/>
          <w:color w:val="000000"/>
          <w:sz w:val="18"/>
          <w:szCs w:val="18"/>
          <w:rtl/>
        </w:rPr>
        <w:t xml:space="preserve">. ומן הסתם אחריות הנדוניא עליו </w:t>
      </w:r>
      <w:r w:rsidRPr="00351B7D">
        <w:rPr>
          <w:rStyle w:val="a7"/>
          <w:rFonts w:asciiTheme="minorBidi" w:hAnsiTheme="minorBidi"/>
          <w:color w:val="000000"/>
          <w:sz w:val="18"/>
          <w:szCs w:val="18"/>
          <w:rtl/>
        </w:rPr>
        <w:footnoteReference w:id="134"/>
      </w:r>
      <w:r w:rsidRPr="00351B7D">
        <w:rPr>
          <w:rFonts w:asciiTheme="minorBidi" w:hAnsiTheme="minorBidi"/>
          <w:color w:val="000000"/>
          <w:sz w:val="18"/>
          <w:szCs w:val="18"/>
          <w:rtl/>
        </w:rPr>
        <w:t>כנכסי צאן ברזל אבל אם ירצה להניח לה ברשותה</w:t>
      </w:r>
      <w:r w:rsidRPr="00351B7D">
        <w:rPr>
          <w:rStyle w:val="a7"/>
          <w:rFonts w:asciiTheme="minorBidi" w:hAnsiTheme="minorBidi"/>
          <w:color w:val="000000"/>
          <w:sz w:val="18"/>
          <w:szCs w:val="18"/>
          <w:rtl/>
        </w:rPr>
        <w:footnoteReference w:id="135"/>
      </w:r>
      <w:r w:rsidRPr="00351B7D">
        <w:rPr>
          <w:rFonts w:asciiTheme="minorBidi" w:hAnsiTheme="minorBidi"/>
          <w:color w:val="000000"/>
          <w:sz w:val="18"/>
          <w:szCs w:val="18"/>
          <w:rtl/>
        </w:rPr>
        <w:t xml:space="preserve"> ושלא לקבל אחריות עליהם הרשות בידו</w:t>
      </w:r>
      <w:r w:rsidR="00EC0354">
        <w:rPr>
          <w:rFonts w:asciiTheme="minorBidi" w:hAnsiTheme="minorBidi" w:hint="cs"/>
          <w:color w:val="000000"/>
          <w:sz w:val="18"/>
          <w:szCs w:val="18"/>
          <w:rtl/>
        </w:rPr>
        <w:t xml:space="preserve"> (ריב"ש)</w:t>
      </w:r>
      <w:r w:rsidRPr="00351B7D">
        <w:rPr>
          <w:rFonts w:asciiTheme="minorBidi" w:hAnsiTheme="minorBidi"/>
          <w:color w:val="000000"/>
          <w:sz w:val="18"/>
          <w:szCs w:val="18"/>
          <w:rtl/>
        </w:rPr>
        <w:t>. וע"ל ריש סי' צ"ג וק' עוד מאלו הדינים. כשהאב קיים ומשיא בתו כותבים: ודין הנדוניא דהנעלת ליה מבי אביה</w:t>
      </w:r>
      <w:r w:rsidR="00CA7162">
        <w:rPr>
          <w:rFonts w:asciiTheme="minorBidi" w:hAnsiTheme="minorBidi" w:hint="cs"/>
          <w:color w:val="000000"/>
          <w:sz w:val="18"/>
          <w:szCs w:val="18"/>
          <w:rtl/>
        </w:rPr>
        <w:t>.</w:t>
      </w:r>
      <w:r w:rsidRPr="00351B7D">
        <w:rPr>
          <w:rFonts w:asciiTheme="minorBidi" w:hAnsiTheme="minorBidi"/>
          <w:color w:val="000000"/>
          <w:sz w:val="18"/>
          <w:szCs w:val="18"/>
          <w:rtl/>
        </w:rPr>
        <w:t xml:space="preserve"> וכשאין האב קיים כותבין: מבי נשא </w:t>
      </w:r>
      <w:r w:rsidRPr="00351B7D">
        <w:rPr>
          <w:rFonts w:asciiTheme="minorBidi" w:hAnsiTheme="minorBidi"/>
          <w:color w:val="000000"/>
          <w:sz w:val="16"/>
          <w:szCs w:val="16"/>
          <w:rtl/>
        </w:rPr>
        <w:t>(מרדכי פרק ב"מ בשם ר"ת)</w:t>
      </w:r>
      <w:r w:rsidRPr="00351B7D">
        <w:rPr>
          <w:rFonts w:asciiTheme="minorBidi" w:hAnsiTheme="minorBidi"/>
          <w:color w:val="000000"/>
          <w:sz w:val="18"/>
          <w:szCs w:val="18"/>
          <w:rtl/>
        </w:rPr>
        <w:t xml:space="preserve">, מיהו אם שינה לית לן בה </w:t>
      </w:r>
      <w:r w:rsidRPr="00351B7D">
        <w:rPr>
          <w:rFonts w:asciiTheme="minorBidi" w:hAnsiTheme="minorBidi"/>
          <w:color w:val="000000"/>
          <w:sz w:val="16"/>
          <w:szCs w:val="16"/>
          <w:rtl/>
        </w:rPr>
        <w:t>(תשו' ר"ש משנץ)</w:t>
      </w:r>
      <w:r w:rsidRPr="00351B7D">
        <w:rPr>
          <w:rFonts w:asciiTheme="minorBidi" w:hAnsiTheme="minorBidi"/>
          <w:color w:val="000000"/>
          <w:sz w:val="18"/>
          <w:szCs w:val="18"/>
          <w:rtl/>
        </w:rPr>
        <w:t>. בכתובת גרושה כותבין: מתרכתא כדי שידעו שהיא גרושה ואסורה לכהנים</w:t>
      </w:r>
      <w:r w:rsidRPr="00351B7D">
        <w:rPr>
          <w:rStyle w:val="a7"/>
          <w:rFonts w:asciiTheme="minorBidi" w:hAnsiTheme="minorBidi"/>
          <w:color w:val="000000"/>
          <w:sz w:val="18"/>
          <w:szCs w:val="18"/>
          <w:rtl/>
        </w:rPr>
        <w:footnoteReference w:id="136"/>
      </w:r>
      <w:r w:rsidRPr="00351B7D">
        <w:rPr>
          <w:rFonts w:asciiTheme="minorBidi" w:hAnsiTheme="minorBidi"/>
          <w:color w:val="000000"/>
          <w:sz w:val="18"/>
          <w:szCs w:val="18"/>
          <w:rtl/>
        </w:rPr>
        <w:t xml:space="preserve"> </w:t>
      </w:r>
      <w:r w:rsidRPr="00351B7D">
        <w:rPr>
          <w:rFonts w:asciiTheme="minorBidi" w:hAnsiTheme="minorBidi"/>
          <w:color w:val="000000"/>
          <w:sz w:val="16"/>
          <w:szCs w:val="16"/>
          <w:rtl/>
        </w:rPr>
        <w:t>(פסקי מהרא"י סימן נ')</w:t>
      </w:r>
      <w:r w:rsidRPr="00351B7D">
        <w:rPr>
          <w:rFonts w:asciiTheme="minorBidi" w:hAnsiTheme="minorBidi"/>
          <w:color w:val="000000"/>
          <w:sz w:val="18"/>
          <w:szCs w:val="18"/>
          <w:rtl/>
        </w:rPr>
        <w:t>.</w:t>
      </w:r>
      <w:r w:rsidRPr="00351B7D">
        <w:rPr>
          <w:rFonts w:asciiTheme="minorBidi" w:hAnsiTheme="minorBidi"/>
          <w:rtl/>
        </w:rPr>
        <w:t xml:space="preserve"> וכשבאה לגבות כתובתה מגבין לה מה שבכתובתה לפי מנהג המדינה.</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ואם היא אומרת שהוסיף לה יותר מן המנהג צריכה להביא ראייה לדבריה, אבל אם יש בידה שטר כתובה שאינו מקוים או שאחד מן העדים הוא פסול אע</w:t>
      </w:r>
      <w:r w:rsidR="00382095">
        <w:rPr>
          <w:rFonts w:asciiTheme="minorBidi" w:hAnsiTheme="minorBidi" w:hint="cs"/>
          <w:color w:val="000000"/>
          <w:sz w:val="18"/>
          <w:szCs w:val="18"/>
          <w:rtl/>
        </w:rPr>
        <w:t>"</w:t>
      </w:r>
      <w:r w:rsidRPr="00351B7D">
        <w:rPr>
          <w:rFonts w:asciiTheme="minorBidi" w:hAnsiTheme="minorBidi"/>
          <w:color w:val="000000"/>
          <w:sz w:val="18"/>
          <w:szCs w:val="18"/>
          <w:rtl/>
        </w:rPr>
        <w:t>פ שמראה התנאים</w:t>
      </w:r>
      <w:r w:rsidRPr="00351B7D">
        <w:rPr>
          <w:rStyle w:val="a7"/>
          <w:rFonts w:asciiTheme="minorBidi" w:hAnsiTheme="minorBidi"/>
          <w:color w:val="000000"/>
          <w:sz w:val="18"/>
          <w:szCs w:val="18"/>
          <w:rtl/>
        </w:rPr>
        <w:footnoteReference w:id="137"/>
      </w:r>
      <w:r w:rsidRPr="00351B7D">
        <w:rPr>
          <w:rFonts w:asciiTheme="minorBidi" w:hAnsiTheme="minorBidi"/>
          <w:color w:val="000000"/>
          <w:sz w:val="18"/>
          <w:szCs w:val="18"/>
          <w:rtl/>
        </w:rPr>
        <w:t xml:space="preserve"> שביניהם שהוצרך להוסיף לה אינה גובאת </w:t>
      </w:r>
      <w:r w:rsidRPr="00382095">
        <w:rPr>
          <w:rFonts w:asciiTheme="minorBidi" w:hAnsiTheme="minorBidi"/>
          <w:color w:val="000000"/>
          <w:sz w:val="18"/>
          <w:szCs w:val="18"/>
          <w:rtl/>
        </w:rPr>
        <w:t>אלא כמנהג (</w:t>
      </w:r>
      <w:r w:rsidR="00382095" w:rsidRPr="00382095">
        <w:rPr>
          <w:rFonts w:asciiTheme="minorBidi" w:hAnsiTheme="minorBidi" w:hint="cs"/>
          <w:color w:val="000000"/>
          <w:sz w:val="18"/>
          <w:szCs w:val="18"/>
          <w:rtl/>
        </w:rPr>
        <w:t>תרוה"ד</w:t>
      </w:r>
      <w:r w:rsidRPr="00382095">
        <w:rPr>
          <w:rFonts w:asciiTheme="minorBidi" w:hAnsiTheme="minorBidi"/>
          <w:color w:val="000000"/>
          <w:sz w:val="18"/>
          <w:szCs w:val="18"/>
          <w:rtl/>
        </w:rPr>
        <w:t xml:space="preserve"> סי</w:t>
      </w:r>
      <w:r w:rsidR="00382095" w:rsidRPr="00382095">
        <w:rPr>
          <w:rFonts w:asciiTheme="minorBidi" w:hAnsiTheme="minorBidi" w:hint="cs"/>
          <w:color w:val="000000"/>
          <w:sz w:val="18"/>
          <w:szCs w:val="18"/>
          <w:rtl/>
        </w:rPr>
        <w:t>'</w:t>
      </w:r>
      <w:r w:rsidRPr="00382095">
        <w:rPr>
          <w:rFonts w:asciiTheme="minorBidi" w:hAnsiTheme="minorBidi"/>
          <w:color w:val="000000"/>
          <w:sz w:val="18"/>
          <w:szCs w:val="18"/>
          <w:rtl/>
        </w:rPr>
        <w:t xml:space="preserve"> פט). וע"ל סי' ק' סעיף</w:t>
      </w:r>
      <w:r w:rsidRPr="00351B7D">
        <w:rPr>
          <w:rFonts w:asciiTheme="minorBidi" w:hAnsiTheme="minorBidi"/>
          <w:color w:val="000000"/>
          <w:sz w:val="18"/>
          <w:szCs w:val="18"/>
          <w:rtl/>
        </w:rPr>
        <w:t xml:space="preserve"> ה'.</w:t>
      </w:r>
      <w:r w:rsidRPr="00351B7D">
        <w:rPr>
          <w:rFonts w:asciiTheme="minorBidi" w:hAnsiTheme="minorBidi"/>
          <w:rtl/>
        </w:rPr>
        <w:t xml:space="preserve"> ובכל אלו הדברים וכיוצא בהן מנהג המדינה הוא עיקר ועל פיו דנין והוא שיהיה אותו המנהג פשוט בכל המדינה.</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 xml:space="preserve">הגה: מיהו אם רוצה להתנות ולפחות לאשתו מן המנהג הרשות בידו </w:t>
      </w:r>
      <w:r w:rsidRPr="00382095">
        <w:rPr>
          <w:rFonts w:asciiTheme="minorBidi" w:hAnsiTheme="minorBidi"/>
          <w:color w:val="000000"/>
          <w:sz w:val="18"/>
          <w:szCs w:val="18"/>
          <w:rtl/>
        </w:rPr>
        <w:t>(מהרי"ל)</w:t>
      </w:r>
      <w:r w:rsidRPr="00351B7D">
        <w:rPr>
          <w:rFonts w:asciiTheme="minorBidi" w:hAnsiTheme="minorBidi"/>
          <w:color w:val="000000"/>
          <w:sz w:val="18"/>
          <w:szCs w:val="18"/>
          <w:rtl/>
        </w:rPr>
        <w:t xml:space="preserve">, ובלבד שלא יפחות ממה שתקנו רבנן. ונראה לי דוקא שהתנה כן בשעה שעשה השידוכים אבל אם עשו שידוכים סתם ושעבדו עצמן בקנסות צריך לכתוב לפי המנהג ולא יוכל לשנות </w:t>
      </w:r>
      <w:r w:rsidRPr="00382095">
        <w:rPr>
          <w:rFonts w:asciiTheme="minorBidi" w:hAnsiTheme="minorBidi"/>
          <w:color w:val="000000"/>
          <w:sz w:val="18"/>
          <w:szCs w:val="18"/>
          <w:rtl/>
        </w:rPr>
        <w:t>(ד</w:t>
      </w:r>
      <w:r w:rsidR="00382095">
        <w:rPr>
          <w:rFonts w:asciiTheme="minorBidi" w:hAnsiTheme="minorBidi" w:hint="cs"/>
          <w:color w:val="000000"/>
          <w:sz w:val="18"/>
          <w:szCs w:val="18"/>
          <w:rtl/>
        </w:rPr>
        <w:t>"ע</w:t>
      </w:r>
      <w:r w:rsidRPr="00382095">
        <w:rPr>
          <w:rFonts w:asciiTheme="minorBidi" w:hAnsiTheme="minorBidi"/>
          <w:color w:val="000000"/>
          <w:sz w:val="18"/>
          <w:szCs w:val="18"/>
          <w:rtl/>
        </w:rPr>
        <w:t>)</w:t>
      </w:r>
      <w:r w:rsidRPr="00351B7D">
        <w:rPr>
          <w:rFonts w:asciiTheme="minorBidi" w:hAnsiTheme="minorBidi"/>
          <w:color w:val="000000"/>
          <w:sz w:val="18"/>
          <w:szCs w:val="18"/>
          <w:rtl/>
        </w:rPr>
        <w:t>. ויש מקומות שנוהגים לכתוב כל הכתובות בשוה אפילו לא הכניסה לו כלום</w:t>
      </w:r>
      <w:r w:rsidR="00780114">
        <w:rPr>
          <w:rFonts w:asciiTheme="minorBidi" w:hAnsiTheme="minorBidi" w:hint="cs"/>
          <w:color w:val="000000"/>
          <w:sz w:val="18"/>
          <w:szCs w:val="18"/>
          <w:rtl/>
        </w:rPr>
        <w:t>.</w:t>
      </w:r>
      <w:r w:rsidRPr="00351B7D">
        <w:rPr>
          <w:rFonts w:asciiTheme="minorBidi" w:hAnsiTheme="minorBidi"/>
          <w:color w:val="000000"/>
          <w:sz w:val="18"/>
          <w:szCs w:val="18"/>
          <w:rtl/>
        </w:rPr>
        <w:t xml:space="preserve"> ואם ירצה מוסיף לה</w:t>
      </w:r>
      <w:r w:rsidRPr="00351B7D">
        <w:rPr>
          <w:rStyle w:val="a7"/>
          <w:rFonts w:asciiTheme="minorBidi" w:hAnsiTheme="minorBidi"/>
          <w:color w:val="000000"/>
          <w:sz w:val="18"/>
          <w:szCs w:val="18"/>
          <w:rtl/>
        </w:rPr>
        <w:footnoteReference w:id="138"/>
      </w:r>
      <w:r w:rsidR="009A001F">
        <w:rPr>
          <w:rFonts w:asciiTheme="minorBidi" w:hAnsiTheme="minorBidi" w:hint="cs"/>
          <w:color w:val="000000"/>
          <w:sz w:val="18"/>
          <w:szCs w:val="18"/>
          <w:rtl/>
        </w:rPr>
        <w:t>.</w:t>
      </w:r>
      <w:r w:rsidRPr="00351B7D">
        <w:rPr>
          <w:rFonts w:asciiTheme="minorBidi" w:hAnsiTheme="minorBidi"/>
          <w:color w:val="000000"/>
          <w:sz w:val="18"/>
          <w:szCs w:val="18"/>
          <w:rtl/>
        </w:rPr>
        <w:t xml:space="preserve"> ואם ירצה לפחות לה</w:t>
      </w:r>
      <w:r w:rsidR="00780114">
        <w:rPr>
          <w:rFonts w:asciiTheme="minorBidi" w:hAnsiTheme="minorBidi" w:hint="cs"/>
          <w:color w:val="000000"/>
          <w:sz w:val="18"/>
          <w:szCs w:val="18"/>
          <w:rtl/>
        </w:rPr>
        <w:t>,</w:t>
      </w:r>
      <w:r w:rsidRPr="00351B7D">
        <w:rPr>
          <w:rFonts w:asciiTheme="minorBidi" w:hAnsiTheme="minorBidi"/>
          <w:color w:val="000000"/>
          <w:sz w:val="18"/>
          <w:szCs w:val="18"/>
          <w:rtl/>
        </w:rPr>
        <w:t xml:space="preserve"> היא כותבת לו: כך וכך קבלתי על כתובתי</w:t>
      </w:r>
      <w:r w:rsidR="00382095">
        <w:rPr>
          <w:rFonts w:asciiTheme="minorBidi" w:hAnsiTheme="minorBidi" w:hint="cs"/>
          <w:color w:val="000000"/>
          <w:sz w:val="18"/>
          <w:szCs w:val="18"/>
          <w:rtl/>
        </w:rPr>
        <w:t>.</w:t>
      </w:r>
      <w:r w:rsidRPr="00351B7D">
        <w:rPr>
          <w:rFonts w:asciiTheme="minorBidi" w:hAnsiTheme="minorBidi"/>
          <w:color w:val="000000"/>
          <w:sz w:val="18"/>
          <w:szCs w:val="18"/>
          <w:rtl/>
        </w:rPr>
        <w:t xml:space="preserve"> וכן נוהגין במדינות אלו.</w:t>
      </w:r>
      <w:r w:rsidRPr="00351B7D">
        <w:rPr>
          <w:rFonts w:asciiTheme="minorBidi" w:hAnsiTheme="minorBidi"/>
          <w:color w:val="000000"/>
          <w:sz w:val="16"/>
          <w:szCs w:val="16"/>
          <w:rtl/>
        </w:rPr>
        <w:t xml:space="preserve">  </w:t>
      </w:r>
    </w:p>
    <w:p w14:paraId="6BF21CBF" w14:textId="7BF3DC86" w:rsidR="00973C57" w:rsidRPr="00351B7D" w:rsidRDefault="00973C57" w:rsidP="00973C57">
      <w:pPr>
        <w:rPr>
          <w:rFonts w:asciiTheme="minorBidi" w:hAnsiTheme="minorBidi"/>
          <w:color w:val="000000"/>
          <w:u w:val="single"/>
          <w:rtl/>
        </w:rPr>
      </w:pPr>
      <w:r w:rsidRPr="00351B7D">
        <w:rPr>
          <w:rFonts w:asciiTheme="minorBidi" w:hAnsiTheme="minorBidi"/>
          <w:u w:val="single"/>
          <w:rtl/>
        </w:rPr>
        <w:t>כתובה של גרושה שלא נכתב בה "מתרכתא":</w:t>
      </w:r>
      <w:r w:rsidRPr="00351B7D">
        <w:rPr>
          <w:rFonts w:asciiTheme="minorBidi" w:hAnsiTheme="minorBidi"/>
          <w:color w:val="000000"/>
          <w:rtl/>
        </w:rPr>
        <w:t xml:space="preserve"> </w:t>
      </w:r>
      <w:r w:rsidRPr="00351B7D">
        <w:rPr>
          <w:rFonts w:asciiTheme="minorBidi" w:hAnsiTheme="minorBidi"/>
          <w:color w:val="000000"/>
          <w:sz w:val="16"/>
          <w:szCs w:val="16"/>
          <w:rtl/>
        </w:rPr>
        <w:t>(פת"ש סק"ח)</w:t>
      </w:r>
    </w:p>
    <w:p w14:paraId="5EEE90C0" w14:textId="746967FB" w:rsidR="004676EF" w:rsidRPr="004676EF" w:rsidRDefault="00C43214" w:rsidP="009000E3">
      <w:pPr>
        <w:pStyle w:val="ab"/>
        <w:numPr>
          <w:ilvl w:val="0"/>
          <w:numId w:val="17"/>
        </w:numPr>
        <w:rPr>
          <w:rFonts w:asciiTheme="minorBidi" w:hAnsiTheme="minorBidi"/>
        </w:rPr>
      </w:pPr>
      <w:r w:rsidRPr="00C43214">
        <w:rPr>
          <w:rFonts w:asciiTheme="minorBidi" w:hAnsiTheme="minorBidi" w:cs="Arial"/>
          <w:rtl/>
        </w:rPr>
        <w:t>תשב"ץ</w:t>
      </w:r>
      <w:r w:rsidRPr="00C43214">
        <w:rPr>
          <w:rFonts w:asciiTheme="minorBidi" w:hAnsiTheme="minorBidi" w:cs="Arial"/>
          <w:sz w:val="16"/>
          <w:szCs w:val="16"/>
          <w:rtl/>
        </w:rPr>
        <w:t xml:space="preserve"> </w:t>
      </w:r>
      <w:r w:rsidRPr="00C43214">
        <w:rPr>
          <w:rFonts w:asciiTheme="minorBidi" w:hAnsiTheme="minorBidi" w:cs="Arial" w:hint="cs"/>
          <w:sz w:val="16"/>
          <w:szCs w:val="16"/>
          <w:rtl/>
        </w:rPr>
        <w:t>(</w:t>
      </w:r>
      <w:r w:rsidRPr="00C43214">
        <w:rPr>
          <w:rFonts w:asciiTheme="minorBidi" w:hAnsiTheme="minorBidi" w:cs="Arial"/>
          <w:sz w:val="16"/>
          <w:szCs w:val="16"/>
          <w:rtl/>
        </w:rPr>
        <w:t>ח"ב סי' קפג</w:t>
      </w:r>
      <w:r w:rsidRPr="00C43214">
        <w:rPr>
          <w:rFonts w:asciiTheme="minorBidi" w:hAnsiTheme="minorBidi" w:cs="Arial" w:hint="cs"/>
          <w:sz w:val="16"/>
          <w:szCs w:val="16"/>
          <w:rtl/>
        </w:rPr>
        <w:t>)</w:t>
      </w:r>
      <w:r>
        <w:rPr>
          <w:rFonts w:asciiTheme="minorBidi" w:hAnsiTheme="minorBidi" w:cs="Arial" w:hint="cs"/>
          <w:rtl/>
        </w:rPr>
        <w:t>-</w:t>
      </w:r>
      <w:r w:rsidRPr="00C43214">
        <w:rPr>
          <w:rFonts w:asciiTheme="minorBidi" w:hAnsiTheme="minorBidi" w:cs="Arial"/>
          <w:rtl/>
        </w:rPr>
        <w:t xml:space="preserve"> </w:t>
      </w:r>
      <w:r w:rsidR="004676EF" w:rsidRPr="004676EF">
        <w:rPr>
          <w:rFonts w:asciiTheme="minorBidi" w:hAnsiTheme="minorBidi" w:cs="Arial"/>
          <w:rtl/>
        </w:rPr>
        <w:t xml:space="preserve">באמת שהרמב"ם ז"ל </w:t>
      </w:r>
      <w:r w:rsidR="004676EF" w:rsidRPr="00C43214">
        <w:rPr>
          <w:rFonts w:asciiTheme="minorBidi" w:hAnsiTheme="minorBidi" w:cs="Arial"/>
          <w:rtl/>
        </w:rPr>
        <w:t>(פ"ד מהל</w:t>
      </w:r>
      <w:r w:rsidR="004676EF">
        <w:rPr>
          <w:rFonts w:asciiTheme="minorBidi" w:hAnsiTheme="minorBidi" w:cs="Arial" w:hint="cs"/>
          <w:rtl/>
        </w:rPr>
        <w:t>'</w:t>
      </w:r>
      <w:r w:rsidR="004676EF" w:rsidRPr="00C43214">
        <w:rPr>
          <w:rFonts w:asciiTheme="minorBidi" w:hAnsiTheme="minorBidi" w:cs="Arial"/>
          <w:rtl/>
        </w:rPr>
        <w:t xml:space="preserve"> יבום הל"ג)</w:t>
      </w:r>
      <w:r w:rsidR="004676EF">
        <w:rPr>
          <w:rFonts w:asciiTheme="minorBidi" w:hAnsiTheme="minorBidi" w:cs="Arial" w:hint="cs"/>
          <w:rtl/>
        </w:rPr>
        <w:t xml:space="preserve"> </w:t>
      </w:r>
      <w:r w:rsidR="004676EF" w:rsidRPr="004676EF">
        <w:rPr>
          <w:rFonts w:asciiTheme="minorBidi" w:hAnsiTheme="minorBidi" w:cs="Arial"/>
          <w:rtl/>
        </w:rPr>
        <w:t>כת' שכותבין בכתוב' גרושה פלונית הגרושה כדי שלא יכשל בה כהן</w:t>
      </w:r>
      <w:r w:rsidR="004676EF">
        <w:rPr>
          <w:rFonts w:asciiTheme="minorBidi" w:hAnsiTheme="minorBidi" w:cs="Arial" w:hint="cs"/>
          <w:rtl/>
        </w:rPr>
        <w:t>,</w:t>
      </w:r>
      <w:r w:rsidR="004676EF" w:rsidRPr="004676EF">
        <w:rPr>
          <w:rFonts w:asciiTheme="minorBidi" w:hAnsiTheme="minorBidi" w:cs="Arial"/>
          <w:rtl/>
        </w:rPr>
        <w:t xml:space="preserve"> אבל לא מצאתי כן בשום מקום מהתלמוד</w:t>
      </w:r>
      <w:r w:rsidR="004676EF">
        <w:rPr>
          <w:rFonts w:asciiTheme="minorBidi" w:hAnsiTheme="minorBidi" w:cs="Arial" w:hint="cs"/>
          <w:rtl/>
        </w:rPr>
        <w:t>,</w:t>
      </w:r>
      <w:r w:rsidR="004676EF" w:rsidRPr="004676EF">
        <w:rPr>
          <w:rFonts w:asciiTheme="minorBidi" w:hAnsiTheme="minorBidi" w:cs="Arial"/>
          <w:rtl/>
        </w:rPr>
        <w:t xml:space="preserve"> גם באלמנה כתב שצריך לכתוב לה שהיא אלמנה ולא נהגו כן אפילו במקום שנהגו לכתוב גרושה</w:t>
      </w:r>
      <w:r w:rsidR="004676EF">
        <w:rPr>
          <w:rFonts w:asciiTheme="minorBidi" w:hAnsiTheme="minorBidi" w:cs="Arial" w:hint="cs"/>
          <w:rtl/>
        </w:rPr>
        <w:t>.</w:t>
      </w:r>
      <w:r w:rsidR="004676EF" w:rsidRPr="004676EF">
        <w:rPr>
          <w:rFonts w:asciiTheme="minorBidi" w:hAnsiTheme="minorBidi" w:cs="Arial"/>
          <w:rtl/>
        </w:rPr>
        <w:t xml:space="preserve"> ובכאן לא הנהגתי כן מפני ב' דברים</w:t>
      </w:r>
      <w:r w:rsidR="004676EF">
        <w:rPr>
          <w:rFonts w:asciiTheme="minorBidi" w:hAnsiTheme="minorBidi" w:cs="Arial" w:hint="cs"/>
          <w:rtl/>
        </w:rPr>
        <w:t>:</w:t>
      </w:r>
      <w:r w:rsidR="004676EF" w:rsidRPr="004676EF">
        <w:rPr>
          <w:rFonts w:asciiTheme="minorBidi" w:hAnsiTheme="minorBidi" w:cs="Arial"/>
          <w:rtl/>
        </w:rPr>
        <w:t xml:space="preserve"> האחד</w:t>
      </w:r>
      <w:r w:rsidR="004676EF">
        <w:rPr>
          <w:rFonts w:asciiTheme="minorBidi" w:hAnsiTheme="minorBidi" w:cs="Arial" w:hint="cs"/>
          <w:rtl/>
        </w:rPr>
        <w:t>,</w:t>
      </w:r>
      <w:r w:rsidR="004676EF" w:rsidRPr="004676EF">
        <w:rPr>
          <w:rFonts w:asciiTheme="minorBidi" w:hAnsiTheme="minorBidi" w:cs="Arial"/>
          <w:rtl/>
        </w:rPr>
        <w:t xml:space="preserve"> כדי שלא תתגנה על בעלה</w:t>
      </w:r>
      <w:r w:rsidR="004676EF">
        <w:rPr>
          <w:rFonts w:asciiTheme="minorBidi" w:hAnsiTheme="minorBidi" w:cs="Arial" w:hint="cs"/>
          <w:rtl/>
        </w:rPr>
        <w:t>...</w:t>
      </w:r>
      <w:r w:rsidR="004676EF" w:rsidRPr="004676EF">
        <w:rPr>
          <w:rFonts w:asciiTheme="minorBidi" w:hAnsiTheme="minorBidi" w:cs="Arial"/>
          <w:rtl/>
        </w:rPr>
        <w:t xml:space="preserve"> והשני</w:t>
      </w:r>
      <w:r w:rsidR="004676EF">
        <w:rPr>
          <w:rFonts w:asciiTheme="minorBidi" w:hAnsiTheme="minorBidi" w:cs="Arial" w:hint="cs"/>
          <w:rtl/>
        </w:rPr>
        <w:t>,</w:t>
      </w:r>
      <w:r w:rsidR="004676EF" w:rsidRPr="004676EF">
        <w:rPr>
          <w:rFonts w:asciiTheme="minorBidi" w:hAnsiTheme="minorBidi" w:cs="Arial"/>
          <w:rtl/>
        </w:rPr>
        <w:t xml:space="preserve"> שאין לעשו' להם סימן גרוש' שאם תתאלמן מזה וניחוש שלא ישאנה כהן. שאם יארע כן הנושא אות' אם יבדוק בכתוב' זו</w:t>
      </w:r>
      <w:r w:rsidR="0077514E">
        <w:rPr>
          <w:rFonts w:asciiTheme="minorBidi" w:hAnsiTheme="minorBidi" w:cs="Arial" w:hint="cs"/>
          <w:rtl/>
        </w:rPr>
        <w:t>,</w:t>
      </w:r>
      <w:r w:rsidR="004676EF" w:rsidRPr="004676EF">
        <w:rPr>
          <w:rFonts w:asciiTheme="minorBidi" w:hAnsiTheme="minorBidi" w:cs="Arial"/>
          <w:rtl/>
        </w:rPr>
        <w:t xml:space="preserve"> ורוא' שאין לה אלא מאה יחקור עליה אם היא גרושה או אלמנה. </w:t>
      </w:r>
    </w:p>
    <w:p w14:paraId="4245A946" w14:textId="336D222E" w:rsidR="00973C57" w:rsidRPr="00351B7D" w:rsidRDefault="00973C57" w:rsidP="009000E3">
      <w:pPr>
        <w:pStyle w:val="ab"/>
        <w:numPr>
          <w:ilvl w:val="0"/>
          <w:numId w:val="17"/>
        </w:numPr>
        <w:rPr>
          <w:rFonts w:asciiTheme="minorBidi" w:hAnsiTheme="minorBidi"/>
        </w:rPr>
      </w:pPr>
      <w:r w:rsidRPr="00351B7D">
        <w:rPr>
          <w:rFonts w:asciiTheme="minorBidi" w:hAnsiTheme="minorBidi"/>
          <w:rtl/>
        </w:rPr>
        <w:t>חת"ס</w:t>
      </w:r>
      <w:r w:rsidRPr="00351B7D">
        <w:rPr>
          <w:rFonts w:asciiTheme="minorBidi" w:hAnsiTheme="minorBidi"/>
          <w:color w:val="000000"/>
          <w:sz w:val="16"/>
          <w:szCs w:val="16"/>
          <w:rtl/>
        </w:rPr>
        <w:t xml:space="preserve"> (סי' קל)</w:t>
      </w:r>
      <w:r w:rsidRPr="00351B7D">
        <w:rPr>
          <w:rFonts w:asciiTheme="minorBidi" w:hAnsiTheme="minorBidi"/>
          <w:rtl/>
        </w:rPr>
        <w:t>- צריך כתובה אחרת או להתפיס מטלטלין ולכתוב כתובה אחרת אחר החופה</w:t>
      </w:r>
      <w:r w:rsidRPr="00351B7D">
        <w:rPr>
          <w:rStyle w:val="a7"/>
          <w:rFonts w:asciiTheme="minorBidi" w:hAnsiTheme="minorBidi"/>
          <w:rtl/>
        </w:rPr>
        <w:footnoteReference w:id="139"/>
      </w:r>
      <w:r w:rsidRPr="00351B7D">
        <w:rPr>
          <w:rFonts w:asciiTheme="minorBidi" w:hAnsiTheme="minorBidi"/>
          <w:rtl/>
        </w:rPr>
        <w:t>.</w:t>
      </w:r>
    </w:p>
    <w:p w14:paraId="74A24F60" w14:textId="0302A4A8" w:rsidR="00973C57" w:rsidRPr="00351B7D" w:rsidRDefault="00973C57" w:rsidP="00973C57">
      <w:pPr>
        <w:rPr>
          <w:rFonts w:asciiTheme="minorBidi" w:hAnsiTheme="minorBidi"/>
          <w:color w:val="000000"/>
          <w:u w:val="single"/>
          <w:rtl/>
        </w:rPr>
      </w:pPr>
      <w:r w:rsidRPr="00351B7D">
        <w:rPr>
          <w:rFonts w:asciiTheme="minorBidi" w:hAnsiTheme="minorBidi"/>
          <w:u w:val="single"/>
          <w:rtl/>
        </w:rPr>
        <w:t>האם כותבין "בעולתא" בכתובת בעולה:</w:t>
      </w:r>
      <w:r w:rsidRPr="00351B7D">
        <w:rPr>
          <w:rFonts w:asciiTheme="minorBidi" w:hAnsiTheme="minorBidi"/>
          <w:color w:val="000000"/>
          <w:rtl/>
        </w:rPr>
        <w:t xml:space="preserve"> </w:t>
      </w:r>
      <w:r w:rsidRPr="00351B7D">
        <w:rPr>
          <w:rFonts w:asciiTheme="minorBidi" w:hAnsiTheme="minorBidi"/>
          <w:color w:val="000000"/>
          <w:sz w:val="16"/>
          <w:szCs w:val="16"/>
          <w:rtl/>
        </w:rPr>
        <w:t>(פת"ש סק"ח)</w:t>
      </w:r>
    </w:p>
    <w:p w14:paraId="11CC1A93" w14:textId="77777777" w:rsidR="00973C57" w:rsidRPr="00351B7D" w:rsidRDefault="00973C57" w:rsidP="009000E3">
      <w:pPr>
        <w:pStyle w:val="ab"/>
        <w:numPr>
          <w:ilvl w:val="0"/>
          <w:numId w:val="17"/>
        </w:numPr>
        <w:rPr>
          <w:rFonts w:asciiTheme="minorBidi" w:hAnsiTheme="minorBidi"/>
          <w:rtl/>
        </w:rPr>
      </w:pPr>
      <w:r w:rsidRPr="00351B7D">
        <w:rPr>
          <w:rFonts w:asciiTheme="minorBidi" w:hAnsiTheme="minorBidi"/>
          <w:rtl/>
        </w:rPr>
        <w:t>ב"ש</w:t>
      </w:r>
      <w:r w:rsidRPr="00351B7D">
        <w:rPr>
          <w:rFonts w:asciiTheme="minorBidi" w:hAnsiTheme="minorBidi"/>
          <w:sz w:val="16"/>
          <w:szCs w:val="16"/>
          <w:rtl/>
        </w:rPr>
        <w:t xml:space="preserve"> (סקכ"ה)</w:t>
      </w:r>
      <w:r w:rsidRPr="00351B7D">
        <w:rPr>
          <w:rFonts w:asciiTheme="minorBidi" w:hAnsiTheme="minorBidi"/>
          <w:rtl/>
        </w:rPr>
        <w:t>- צריך לכתוב בשביל הכהנים.</w:t>
      </w:r>
    </w:p>
    <w:p w14:paraId="5E244740" w14:textId="77777777" w:rsidR="00973C57" w:rsidRPr="00351B7D" w:rsidRDefault="00973C57" w:rsidP="009000E3">
      <w:pPr>
        <w:pStyle w:val="ab"/>
        <w:numPr>
          <w:ilvl w:val="0"/>
          <w:numId w:val="17"/>
        </w:numPr>
        <w:rPr>
          <w:rFonts w:asciiTheme="minorBidi" w:hAnsiTheme="minorBidi"/>
          <w:rtl/>
        </w:rPr>
      </w:pPr>
      <w:r w:rsidRPr="00351B7D">
        <w:rPr>
          <w:rFonts w:asciiTheme="minorBidi" w:hAnsiTheme="minorBidi"/>
          <w:rtl/>
        </w:rPr>
        <w:t>נחלת שבעה</w:t>
      </w:r>
      <w:r w:rsidRPr="00351B7D">
        <w:rPr>
          <w:rFonts w:asciiTheme="minorBidi" w:hAnsiTheme="minorBidi"/>
          <w:color w:val="000000"/>
          <w:sz w:val="16"/>
          <w:szCs w:val="16"/>
          <w:rtl/>
        </w:rPr>
        <w:t xml:space="preserve"> (סי' יב סע' טו אות ג)</w:t>
      </w:r>
      <w:r w:rsidRPr="00351B7D">
        <w:rPr>
          <w:rFonts w:asciiTheme="minorBidi" w:hAnsiTheme="minorBidi"/>
          <w:rtl/>
        </w:rPr>
        <w:t xml:space="preserve"> ובית מאיר- לא כותבים בעולתא</w:t>
      </w:r>
      <w:r w:rsidRPr="00351B7D">
        <w:rPr>
          <w:rStyle w:val="a7"/>
          <w:rFonts w:asciiTheme="minorBidi" w:hAnsiTheme="minorBidi"/>
          <w:color w:val="000000"/>
          <w:rtl/>
        </w:rPr>
        <w:footnoteReference w:id="140"/>
      </w:r>
      <w:r w:rsidRPr="00351B7D">
        <w:rPr>
          <w:rFonts w:asciiTheme="minorBidi" w:hAnsiTheme="minorBidi"/>
          <w:color w:val="000000"/>
          <w:rtl/>
        </w:rPr>
        <w:t xml:space="preserve">. </w:t>
      </w:r>
    </w:p>
    <w:p w14:paraId="30CE57E3" w14:textId="350714C7" w:rsidR="00973C57" w:rsidRPr="00351B7D" w:rsidRDefault="00973C57" w:rsidP="00973C57">
      <w:pPr>
        <w:rPr>
          <w:rFonts w:asciiTheme="minorBidi" w:hAnsiTheme="minorBidi"/>
          <w:color w:val="000000"/>
          <w:sz w:val="16"/>
          <w:szCs w:val="16"/>
          <w:rtl/>
        </w:rPr>
      </w:pPr>
      <w:r w:rsidRPr="00351B7D">
        <w:rPr>
          <w:rFonts w:asciiTheme="minorBidi" w:hAnsiTheme="minorBidi"/>
          <w:u w:val="single"/>
          <w:rtl/>
        </w:rPr>
        <w:t>גיורת שנשאת ונתגרשה ועתה באה לינשא, מה כתובים בכתובה:</w:t>
      </w:r>
      <w:r w:rsidRPr="00351B7D">
        <w:rPr>
          <w:rFonts w:asciiTheme="minorBidi" w:hAnsiTheme="minorBidi"/>
          <w:color w:val="000000"/>
          <w:rtl/>
        </w:rPr>
        <w:t xml:space="preserve"> </w:t>
      </w:r>
      <w:r w:rsidRPr="00351B7D">
        <w:rPr>
          <w:rFonts w:asciiTheme="minorBidi" w:hAnsiTheme="minorBidi"/>
          <w:color w:val="000000"/>
          <w:sz w:val="16"/>
          <w:szCs w:val="16"/>
          <w:rtl/>
        </w:rPr>
        <w:t xml:space="preserve">(פת"ש סק"ח) </w:t>
      </w:r>
    </w:p>
    <w:p w14:paraId="770E800B" w14:textId="48A61BE0" w:rsidR="00973C57" w:rsidRPr="00351B7D" w:rsidRDefault="00973C57" w:rsidP="009000E3">
      <w:pPr>
        <w:pStyle w:val="ab"/>
        <w:numPr>
          <w:ilvl w:val="0"/>
          <w:numId w:val="17"/>
        </w:numPr>
        <w:rPr>
          <w:rFonts w:asciiTheme="minorBidi" w:hAnsiTheme="minorBidi"/>
          <w:rtl/>
        </w:rPr>
      </w:pPr>
      <w:r w:rsidRPr="00351B7D">
        <w:rPr>
          <w:rFonts w:asciiTheme="minorBidi" w:hAnsiTheme="minorBidi"/>
          <w:color w:val="000000"/>
          <w:rtl/>
        </w:rPr>
        <w:t xml:space="preserve">רדב"ז </w:t>
      </w:r>
      <w:r w:rsidRPr="00351B7D">
        <w:rPr>
          <w:rFonts w:asciiTheme="minorBidi" w:hAnsiTheme="minorBidi"/>
          <w:color w:val="000000"/>
          <w:sz w:val="16"/>
          <w:szCs w:val="16"/>
          <w:rtl/>
        </w:rPr>
        <w:t>(ח"א סי' ק"פ)</w:t>
      </w:r>
      <w:r w:rsidRPr="00351B7D">
        <w:rPr>
          <w:rFonts w:asciiTheme="minorBidi" w:hAnsiTheme="minorBidi"/>
          <w:rtl/>
        </w:rPr>
        <w:t xml:space="preserve">- לכאורה אין קפידא בדבר כיון דשתיהן אסורות לכהונה, אבל כד מעיינת שפיר תשכח דראוי לכתוב הגיורת שלא תשתכח שם גירות מעליה דלמחר יגרש אותה זה ותנשא לגר ובתו פסולה לכהונה דקיי"ל כראב"י כו' </w:t>
      </w:r>
      <w:r w:rsidRPr="00351B7D">
        <w:rPr>
          <w:rFonts w:asciiTheme="minorBidi" w:hAnsiTheme="minorBidi"/>
          <w:sz w:val="16"/>
          <w:szCs w:val="16"/>
          <w:rtl/>
        </w:rPr>
        <w:t xml:space="preserve">(ר"ל לכתחילה בבא לימלך מורין לו כן עי' בקדושין </w:t>
      </w:r>
      <w:r w:rsidR="0077514E">
        <w:rPr>
          <w:rFonts w:asciiTheme="minorBidi" w:hAnsiTheme="minorBidi" w:hint="cs"/>
          <w:sz w:val="16"/>
          <w:szCs w:val="16"/>
          <w:rtl/>
        </w:rPr>
        <w:t>(עח:),</w:t>
      </w:r>
      <w:r w:rsidRPr="00351B7D">
        <w:rPr>
          <w:rFonts w:asciiTheme="minorBidi" w:hAnsiTheme="minorBidi"/>
          <w:sz w:val="16"/>
          <w:szCs w:val="16"/>
          <w:rtl/>
        </w:rPr>
        <w:t xml:space="preserve"> וע"ל סי' ז סכ"א)</w:t>
      </w:r>
      <w:r w:rsidR="0077514E">
        <w:rPr>
          <w:rFonts w:asciiTheme="minorBidi" w:hAnsiTheme="minorBidi" w:hint="cs"/>
          <w:rtl/>
        </w:rPr>
        <w:t xml:space="preserve">. </w:t>
      </w:r>
      <w:r w:rsidRPr="00351B7D">
        <w:rPr>
          <w:rFonts w:asciiTheme="minorBidi" w:hAnsiTheme="minorBidi"/>
          <w:rtl/>
        </w:rPr>
        <w:t>ותו איכא נפקותא לענין להנשא לקרוביה מצד האב דלא גזרו בגר בשאר האב כלל</w:t>
      </w:r>
      <w:r w:rsidR="005603D0">
        <w:rPr>
          <w:rFonts w:asciiTheme="minorBidi" w:hAnsiTheme="minorBidi" w:hint="cs"/>
          <w:rtl/>
        </w:rPr>
        <w:t>,</w:t>
      </w:r>
      <w:r w:rsidRPr="00351B7D">
        <w:rPr>
          <w:rFonts w:asciiTheme="minorBidi" w:hAnsiTheme="minorBidi"/>
          <w:rtl/>
        </w:rPr>
        <w:t xml:space="preserve"> ואפי' בשאר האם איכא נפקותא דאין איסור אלא מדרבנן</w:t>
      </w:r>
      <w:r w:rsidR="005603D0">
        <w:rPr>
          <w:rFonts w:asciiTheme="minorBidi" w:hAnsiTheme="minorBidi" w:hint="cs"/>
          <w:rtl/>
        </w:rPr>
        <w:t>.</w:t>
      </w:r>
      <w:r w:rsidRPr="00351B7D">
        <w:rPr>
          <w:rFonts w:asciiTheme="minorBidi" w:hAnsiTheme="minorBidi"/>
          <w:rtl/>
        </w:rPr>
        <w:t xml:space="preserve"> הלכך לעולם היה צריך לכתוב לה הגיורת כדי שלא נשכח יחוסה</w:t>
      </w:r>
      <w:r w:rsidR="005603D0">
        <w:rPr>
          <w:rFonts w:asciiTheme="minorBidi" w:hAnsiTheme="minorBidi" w:hint="cs"/>
          <w:rtl/>
        </w:rPr>
        <w:t>.</w:t>
      </w:r>
      <w:r w:rsidRPr="00351B7D">
        <w:rPr>
          <w:rFonts w:asciiTheme="minorBidi" w:hAnsiTheme="minorBidi"/>
          <w:rtl/>
        </w:rPr>
        <w:t xml:space="preserve"> וא"צ לכתוב גרושה דבכלל גיורת שאסורה לכהונה היא. וכן גרושה ואלמנה צריך לכתוב הגרושה.</w:t>
      </w:r>
    </w:p>
    <w:p w14:paraId="02532B5F" w14:textId="77777777" w:rsidR="00973C57" w:rsidRPr="00351B7D" w:rsidRDefault="00973C57" w:rsidP="00973C57">
      <w:pPr>
        <w:rPr>
          <w:rFonts w:asciiTheme="minorBidi" w:hAnsiTheme="minorBidi"/>
          <w:color w:val="000000"/>
          <w:rtl/>
        </w:rPr>
      </w:pPr>
    </w:p>
    <w:p w14:paraId="4BB39B46" w14:textId="77777777" w:rsidR="00973C57" w:rsidRPr="00351B7D" w:rsidRDefault="00973C57" w:rsidP="000F64D0">
      <w:pPr>
        <w:pStyle w:val="2"/>
        <w:rPr>
          <w:rtl/>
        </w:rPr>
      </w:pPr>
      <w:r w:rsidRPr="00351B7D">
        <w:rPr>
          <w:rtl/>
        </w:rPr>
        <w:t>סעיף יב: נשא אשה ממקום אחר ע"מ לדור במקומו.</w:t>
      </w:r>
    </w:p>
    <w:p w14:paraId="4458BC60" w14:textId="1472DA1E" w:rsidR="00973C57" w:rsidRDefault="00973C57" w:rsidP="00973C57">
      <w:pPr>
        <w:rPr>
          <w:rFonts w:asciiTheme="minorBidi" w:hAnsiTheme="minorBidi"/>
          <w:rtl/>
        </w:rPr>
      </w:pPr>
      <w:r w:rsidRPr="00351B7D">
        <w:rPr>
          <w:rFonts w:asciiTheme="minorBidi" w:hAnsiTheme="minorBidi"/>
          <w:b/>
          <w:bCs/>
          <w:rtl/>
        </w:rPr>
        <w:t xml:space="preserve">כתובות </w:t>
      </w:r>
      <w:r w:rsidR="00BC4921">
        <w:rPr>
          <w:rFonts w:asciiTheme="minorBidi" w:hAnsiTheme="minorBidi" w:hint="cs"/>
          <w:b/>
          <w:bCs/>
          <w:sz w:val="16"/>
          <w:szCs w:val="16"/>
          <w:rtl/>
        </w:rPr>
        <w:t>(פ' נערה שנתפתתה)</w:t>
      </w:r>
      <w:r w:rsidR="00BC4921">
        <w:rPr>
          <w:rFonts w:asciiTheme="minorBidi" w:hAnsiTheme="minorBidi" w:hint="cs"/>
          <w:b/>
          <w:bCs/>
          <w:rtl/>
        </w:rPr>
        <w:t xml:space="preserve"> </w:t>
      </w:r>
      <w:r w:rsidRPr="00351B7D">
        <w:rPr>
          <w:rFonts w:asciiTheme="minorBidi" w:hAnsiTheme="minorBidi"/>
          <w:b/>
          <w:bCs/>
          <w:rtl/>
        </w:rPr>
        <w:t xml:space="preserve">נד ע"א: </w:t>
      </w:r>
      <w:r w:rsidRPr="00351B7D">
        <w:rPr>
          <w:rFonts w:asciiTheme="minorBidi" w:hAnsiTheme="minorBidi"/>
          <w:rtl/>
        </w:rPr>
        <w:t xml:space="preserve">ההיא בת מחוזא דהות נסיבא לנהרדעא, אתו לקמיה דרב נחמן, שמעה לקלה דבת מחוזא היא, </w:t>
      </w:r>
      <w:r w:rsidRPr="00BC4921">
        <w:rPr>
          <w:rFonts w:asciiTheme="minorBidi" w:hAnsiTheme="minorBidi"/>
          <w:u w:val="single"/>
          <w:rtl/>
        </w:rPr>
        <w:t>אמר להו</w:t>
      </w:r>
      <w:r w:rsidRPr="00351B7D">
        <w:rPr>
          <w:rFonts w:asciiTheme="minorBidi" w:hAnsiTheme="minorBidi"/>
          <w:rtl/>
        </w:rPr>
        <w:t xml:space="preserve">: בבל וכל פרוודהא נהוג כרב. </w:t>
      </w:r>
      <w:r w:rsidRPr="00BC4921">
        <w:rPr>
          <w:rFonts w:asciiTheme="minorBidi" w:hAnsiTheme="minorBidi"/>
          <w:u w:val="single"/>
          <w:rtl/>
        </w:rPr>
        <w:t>אמרו ליה</w:t>
      </w:r>
      <w:r w:rsidRPr="00351B7D">
        <w:rPr>
          <w:rFonts w:asciiTheme="minorBidi" w:hAnsiTheme="minorBidi"/>
          <w:rtl/>
        </w:rPr>
        <w:t xml:space="preserve">: והא לנהרדעא נסיבא! </w:t>
      </w:r>
      <w:r w:rsidRPr="00E839DC">
        <w:rPr>
          <w:rFonts w:asciiTheme="minorBidi" w:hAnsiTheme="minorBidi"/>
          <w:u w:val="single"/>
          <w:rtl/>
        </w:rPr>
        <w:t>אמר להו</w:t>
      </w:r>
      <w:r w:rsidRPr="00351B7D">
        <w:rPr>
          <w:rFonts w:asciiTheme="minorBidi" w:hAnsiTheme="minorBidi"/>
          <w:rtl/>
        </w:rPr>
        <w:t xml:space="preserve">: אי הכי, נהרדעא וכל פרוודהא נהוג כשמואל. </w:t>
      </w:r>
    </w:p>
    <w:p w14:paraId="5F64AB08" w14:textId="77777777" w:rsidR="00314ADD" w:rsidRDefault="00314ADD" w:rsidP="00973C57">
      <w:pPr>
        <w:rPr>
          <w:rFonts w:asciiTheme="minorBidi" w:hAnsiTheme="minorBidi" w:cs="Arial"/>
          <w:rtl/>
        </w:rPr>
      </w:pPr>
      <w:r w:rsidRPr="00314ADD">
        <w:rPr>
          <w:rFonts w:asciiTheme="minorBidi" w:hAnsiTheme="minorBidi"/>
          <w:u w:val="single"/>
          <w:rtl/>
        </w:rPr>
        <w:t>נשא אשה ממקום אחר ע"מ לדור במקומו</w:t>
      </w:r>
      <w:r w:rsidRPr="00314ADD">
        <w:rPr>
          <w:rFonts w:asciiTheme="minorBidi" w:hAnsiTheme="minorBidi" w:cs="Arial"/>
          <w:u w:val="single"/>
          <w:rtl/>
        </w:rPr>
        <w:t xml:space="preserve"> </w:t>
      </w:r>
      <w:r w:rsidRPr="00314ADD">
        <w:rPr>
          <w:rFonts w:asciiTheme="minorBidi" w:hAnsiTheme="minorBidi" w:cs="Arial" w:hint="cs"/>
          <w:u w:val="single"/>
          <w:rtl/>
        </w:rPr>
        <w:t>- כמנהג איזה מקום הולכים:</w:t>
      </w:r>
    </w:p>
    <w:p w14:paraId="39F2CCE7" w14:textId="382335E5" w:rsidR="00314ADD" w:rsidRPr="00314ADD" w:rsidRDefault="00314ADD" w:rsidP="009000E3">
      <w:pPr>
        <w:pStyle w:val="ab"/>
        <w:numPr>
          <w:ilvl w:val="0"/>
          <w:numId w:val="17"/>
        </w:numPr>
        <w:rPr>
          <w:rFonts w:asciiTheme="minorBidi" w:hAnsiTheme="minorBidi"/>
          <w:rtl/>
        </w:rPr>
      </w:pPr>
      <w:r w:rsidRPr="00314ADD">
        <w:rPr>
          <w:rFonts w:asciiTheme="minorBidi" w:hAnsiTheme="minorBidi" w:cs="Arial"/>
          <w:rtl/>
        </w:rPr>
        <w:t xml:space="preserve">ריטב"א </w:t>
      </w:r>
      <w:r w:rsidRPr="00314ADD">
        <w:rPr>
          <w:rFonts w:asciiTheme="minorBidi" w:hAnsiTheme="minorBidi" w:cs="Arial"/>
          <w:sz w:val="16"/>
          <w:szCs w:val="16"/>
          <w:rtl/>
        </w:rPr>
        <w:t>(שם ד"ה אתמר רב אמר)</w:t>
      </w:r>
      <w:r>
        <w:rPr>
          <w:rFonts w:asciiTheme="minorBidi" w:hAnsiTheme="minorBidi" w:cs="Arial" w:hint="cs"/>
          <w:rtl/>
        </w:rPr>
        <w:t>-</w:t>
      </w:r>
      <w:r w:rsidRPr="00314ADD">
        <w:rPr>
          <w:rFonts w:asciiTheme="minorBidi" w:hAnsiTheme="minorBidi" w:cs="Arial"/>
          <w:rtl/>
        </w:rPr>
        <w:t xml:space="preserve"> ש"מ מאן דנסיב איתתא מדוכתא אחריתי אדעתא דתידור עמיה בדוכתיה </w:t>
      </w:r>
      <w:r>
        <w:rPr>
          <w:rFonts w:asciiTheme="minorBidi" w:hAnsiTheme="minorBidi" w:cs="Arial" w:hint="cs"/>
          <w:rtl/>
        </w:rPr>
        <w:t xml:space="preserve">- </w:t>
      </w:r>
      <w:r w:rsidRPr="00314ADD">
        <w:rPr>
          <w:rFonts w:asciiTheme="minorBidi" w:hAnsiTheme="minorBidi" w:cs="Arial"/>
          <w:rtl/>
        </w:rPr>
        <w:t>הולכים אחר מנהג מקומו שבאה לשם</w:t>
      </w:r>
      <w:r>
        <w:rPr>
          <w:rFonts w:asciiTheme="minorBidi" w:hAnsiTheme="minorBidi" w:hint="cs"/>
          <w:rtl/>
        </w:rPr>
        <w:t>.</w:t>
      </w:r>
      <w:r w:rsidR="00785934" w:rsidRPr="00785934">
        <w:rPr>
          <w:rFonts w:asciiTheme="minorBidi" w:hAnsiTheme="minorBidi" w:cs="Arial" w:hint="cs"/>
          <w:color w:val="E36C0A" w:themeColor="accent6" w:themeShade="BF"/>
          <w:sz w:val="16"/>
          <w:szCs w:val="16"/>
          <w:rtl/>
        </w:rPr>
        <w:t xml:space="preserve"> </w:t>
      </w:r>
      <w:r w:rsidR="00785934" w:rsidRPr="00785934">
        <w:rPr>
          <w:rFonts w:asciiTheme="minorBidi" w:hAnsiTheme="minorBidi" w:cs="Arial" w:hint="cs"/>
          <w:color w:val="E36C0A" w:themeColor="accent6" w:themeShade="BF"/>
          <w:rtl/>
        </w:rPr>
        <w:t>(וכ"פ בשו"ע)</w:t>
      </w:r>
    </w:p>
    <w:p w14:paraId="1B3F8798" w14:textId="77777777" w:rsidR="00973C57" w:rsidRPr="00351B7D" w:rsidRDefault="00973C57" w:rsidP="00973C57">
      <w:pPr>
        <w:rPr>
          <w:rFonts w:asciiTheme="minorBidi" w:hAnsiTheme="minorBidi"/>
          <w:u w:val="single"/>
          <w:rtl/>
        </w:rPr>
      </w:pPr>
      <w:r w:rsidRPr="00351B7D">
        <w:rPr>
          <w:rFonts w:asciiTheme="minorBidi" w:hAnsiTheme="minorBidi"/>
          <w:u w:val="single"/>
          <w:rtl/>
        </w:rPr>
        <w:t>היא מעיר א' והוא מעיר א' ונישאו בעיר אחרת ושם כתבו הכתובה ולא כתבו בה שום תנאי, כמנהג אי זה מקום ינהגו:</w:t>
      </w:r>
    </w:p>
    <w:p w14:paraId="6F418817" w14:textId="39B72A14" w:rsidR="00973C57" w:rsidRPr="00351B7D" w:rsidRDefault="00973C57" w:rsidP="009000E3">
      <w:pPr>
        <w:pStyle w:val="ab"/>
        <w:numPr>
          <w:ilvl w:val="0"/>
          <w:numId w:val="17"/>
        </w:numPr>
        <w:rPr>
          <w:rFonts w:asciiTheme="minorBidi" w:hAnsiTheme="minorBidi"/>
          <w:rtl/>
        </w:rPr>
      </w:pPr>
      <w:r w:rsidRPr="00351B7D">
        <w:rPr>
          <w:rFonts w:asciiTheme="minorBidi" w:hAnsiTheme="minorBidi"/>
          <w:rtl/>
        </w:rPr>
        <w:t xml:space="preserve">רשב"א </w:t>
      </w:r>
      <w:r w:rsidRPr="00351B7D">
        <w:rPr>
          <w:rFonts w:asciiTheme="minorBidi" w:hAnsiTheme="minorBidi"/>
          <w:sz w:val="16"/>
          <w:szCs w:val="16"/>
          <w:rtl/>
        </w:rPr>
        <w:t>(ח"א סי' תרסב, ח"ג סי' תלג)</w:t>
      </w:r>
      <w:r w:rsidRPr="00351B7D">
        <w:rPr>
          <w:rFonts w:asciiTheme="minorBidi" w:hAnsiTheme="minorBidi"/>
          <w:rtl/>
        </w:rPr>
        <w:t xml:space="preserve">- אם על דעת לדור במקום שנשאה כנסה </w:t>
      </w:r>
      <w:r w:rsidR="00314ADD">
        <w:rPr>
          <w:rFonts w:asciiTheme="minorBidi" w:hAnsiTheme="minorBidi" w:hint="cs"/>
          <w:rtl/>
        </w:rPr>
        <w:t xml:space="preserve">- </w:t>
      </w:r>
      <w:r w:rsidRPr="00351B7D">
        <w:rPr>
          <w:rFonts w:asciiTheme="minorBidi" w:hAnsiTheme="minorBidi"/>
          <w:rtl/>
        </w:rPr>
        <w:t>על דעת תנאי אותו מקום נשאה, ואפילו דרכם לכתוב שם 'בכל המנהג והתנאי' וזה לא כתב, שכל הנושא על דעת מנהג המקום הוא נושא</w:t>
      </w:r>
      <w:r w:rsidR="00785934">
        <w:rPr>
          <w:rFonts w:asciiTheme="minorBidi" w:hAnsiTheme="minorBidi" w:hint="cs"/>
          <w:rtl/>
        </w:rPr>
        <w:t>.</w:t>
      </w:r>
      <w:r w:rsidRPr="00351B7D">
        <w:rPr>
          <w:rFonts w:asciiTheme="minorBidi" w:hAnsiTheme="minorBidi"/>
          <w:rtl/>
        </w:rPr>
        <w:t xml:space="preserve"> ואם דעתם לדור במקום שדעתם לקבוע שם, ומן הסתם כמנהג מקומו, שיכול להוציאה מעירה לעירו כדאיתא בתוספתא</w:t>
      </w:r>
      <w:r w:rsidRPr="00351B7D">
        <w:rPr>
          <w:rFonts w:asciiTheme="minorBidi" w:hAnsiTheme="minorBidi"/>
          <w:sz w:val="16"/>
          <w:szCs w:val="16"/>
          <w:rtl/>
        </w:rPr>
        <w:t xml:space="preserve"> (כתובות פי"ב הי"א)</w:t>
      </w:r>
      <w:r w:rsidRPr="00351B7D">
        <w:rPr>
          <w:rFonts w:asciiTheme="minorBidi" w:hAnsiTheme="minorBidi"/>
          <w:rtl/>
        </w:rPr>
        <w:t xml:space="preserve">, וכיון שכן </w:t>
      </w:r>
      <w:r w:rsidR="00785934">
        <w:rPr>
          <w:rFonts w:asciiTheme="minorBidi" w:hAnsiTheme="minorBidi" w:hint="cs"/>
          <w:rtl/>
        </w:rPr>
        <w:t xml:space="preserve">- </w:t>
      </w:r>
      <w:r w:rsidRPr="00351B7D">
        <w:rPr>
          <w:rFonts w:asciiTheme="minorBidi" w:hAnsiTheme="minorBidi"/>
          <w:rtl/>
        </w:rPr>
        <w:t xml:space="preserve">הרי הוא נושא על דעת תנאי מקומו שהוא מוציאה שם. </w:t>
      </w:r>
    </w:p>
    <w:p w14:paraId="400ECB33" w14:textId="77777777" w:rsidR="00973C57" w:rsidRPr="00351B7D" w:rsidRDefault="00973C57" w:rsidP="00973C5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2962C49" w14:textId="6BC2688E" w:rsidR="00973C57" w:rsidRPr="00351B7D" w:rsidRDefault="00973C57" w:rsidP="00973C57">
      <w:pPr>
        <w:rPr>
          <w:rFonts w:asciiTheme="minorBidi" w:hAnsiTheme="minorBidi"/>
          <w:color w:val="000000"/>
          <w:rtl/>
        </w:rPr>
      </w:pPr>
      <w:r w:rsidRPr="00351B7D">
        <w:rPr>
          <w:rFonts w:asciiTheme="minorBidi" w:hAnsiTheme="minorBidi"/>
          <w:rtl/>
        </w:rPr>
        <w:t>נשא אשה ממקום אחר על דעת שתדור עמו במקומו הולכים אחר</w:t>
      </w:r>
      <w:r w:rsidRPr="00351B7D">
        <w:rPr>
          <w:rFonts w:asciiTheme="minorBidi" w:hAnsiTheme="minorBidi"/>
          <w:color w:val="000000"/>
          <w:sz w:val="16"/>
          <w:szCs w:val="16"/>
          <w:rtl/>
        </w:rPr>
        <w:t xml:space="preserve"> </w:t>
      </w:r>
      <w:r w:rsidR="00E839DC">
        <w:rPr>
          <w:rFonts w:asciiTheme="minorBidi" w:hAnsiTheme="minorBidi" w:hint="cs"/>
          <w:color w:val="000000"/>
          <w:sz w:val="18"/>
          <w:szCs w:val="18"/>
          <w:rtl/>
        </w:rPr>
        <w:t xml:space="preserve">[הגה] </w:t>
      </w:r>
      <w:r w:rsidRPr="00351B7D">
        <w:rPr>
          <w:rFonts w:asciiTheme="minorBidi" w:hAnsiTheme="minorBidi"/>
          <w:color w:val="000000"/>
          <w:sz w:val="18"/>
          <w:szCs w:val="18"/>
          <w:rtl/>
        </w:rPr>
        <w:t>מנהג</w:t>
      </w:r>
      <w:r w:rsidRPr="00351B7D">
        <w:rPr>
          <w:rFonts w:asciiTheme="minorBidi" w:hAnsiTheme="minorBidi"/>
          <w:rtl/>
        </w:rPr>
        <w:t xml:space="preserve"> מקומו</w:t>
      </w:r>
      <w:r w:rsidRPr="00351B7D">
        <w:rPr>
          <w:rStyle w:val="a7"/>
          <w:rFonts w:asciiTheme="minorBidi" w:hAnsiTheme="minorBidi"/>
          <w:color w:val="000000"/>
          <w:rtl/>
        </w:rPr>
        <w:footnoteReference w:id="141"/>
      </w:r>
      <w:r w:rsidRPr="00351B7D">
        <w:rPr>
          <w:rFonts w:asciiTheme="minorBidi" w:hAnsiTheme="minorBidi"/>
          <w:color w:val="000000"/>
          <w:rtl/>
        </w:rPr>
        <w:t xml:space="preserve">. </w:t>
      </w:r>
    </w:p>
    <w:p w14:paraId="262DAE4F" w14:textId="77777777" w:rsidR="00973C57" w:rsidRPr="00351B7D" w:rsidRDefault="00973C57" w:rsidP="00973C57">
      <w:pPr>
        <w:rPr>
          <w:rFonts w:asciiTheme="minorBidi" w:hAnsiTheme="minorBidi"/>
          <w:color w:val="000000"/>
          <w:rtl/>
        </w:rPr>
      </w:pPr>
    </w:p>
    <w:p w14:paraId="4184D29C" w14:textId="5A40207D" w:rsidR="00973C57" w:rsidRDefault="00973C57" w:rsidP="000F64D0">
      <w:pPr>
        <w:pStyle w:val="2"/>
        <w:rPr>
          <w:rtl/>
        </w:rPr>
      </w:pPr>
      <w:r w:rsidRPr="00351B7D">
        <w:rPr>
          <w:rtl/>
        </w:rPr>
        <w:t xml:space="preserve">סעיף יג: חתימת עד שאינו יודע לקרוא. </w:t>
      </w:r>
    </w:p>
    <w:p w14:paraId="692B4E93" w14:textId="40D35496" w:rsidR="006C30EA" w:rsidRPr="006C30EA" w:rsidRDefault="006C30EA" w:rsidP="006C30EA">
      <w:pPr>
        <w:rPr>
          <w:rtl/>
        </w:rPr>
      </w:pPr>
      <w:r w:rsidRPr="00351B7D">
        <w:rPr>
          <w:rFonts w:asciiTheme="minorBidi" w:hAnsiTheme="minorBidi"/>
          <w:b/>
          <w:bCs/>
          <w:rtl/>
        </w:rPr>
        <w:t>גיטין</w:t>
      </w:r>
      <w:r>
        <w:rPr>
          <w:rFonts w:asciiTheme="minorBidi" w:hAnsiTheme="minorBidi" w:hint="cs"/>
          <w:b/>
          <w:bCs/>
          <w:sz w:val="16"/>
          <w:szCs w:val="16"/>
          <w:rtl/>
        </w:rPr>
        <w:t xml:space="preserve"> (פ"ק)</w:t>
      </w:r>
      <w:r w:rsidRPr="00351B7D">
        <w:rPr>
          <w:rFonts w:asciiTheme="minorBidi" w:hAnsiTheme="minorBidi"/>
          <w:b/>
          <w:bCs/>
          <w:rtl/>
        </w:rPr>
        <w:t xml:space="preserve"> ט</w:t>
      </w:r>
      <w:r w:rsidR="006528D0">
        <w:rPr>
          <w:rStyle w:val="a7"/>
          <w:rFonts w:asciiTheme="minorBidi" w:hAnsiTheme="minorBidi"/>
          <w:b/>
          <w:bCs/>
          <w:rtl/>
        </w:rPr>
        <w:footnoteReference w:id="142"/>
      </w:r>
      <w:r w:rsidRPr="00351B7D">
        <w:rPr>
          <w:rFonts w:asciiTheme="minorBidi" w:hAnsiTheme="minorBidi"/>
          <w:b/>
          <w:bCs/>
          <w:rtl/>
        </w:rPr>
        <w:t xml:space="preserve"> ע"</w:t>
      </w:r>
      <w:r>
        <w:rPr>
          <w:rFonts w:asciiTheme="minorBidi" w:hAnsiTheme="minorBidi" w:hint="cs"/>
          <w:b/>
          <w:bCs/>
          <w:rtl/>
        </w:rPr>
        <w:t>ב</w:t>
      </w:r>
      <w:r w:rsidRPr="00351B7D">
        <w:rPr>
          <w:rFonts w:asciiTheme="minorBidi" w:hAnsiTheme="minorBidi"/>
          <w:b/>
          <w:bCs/>
          <w:rtl/>
        </w:rPr>
        <w:t>:</w:t>
      </w:r>
      <w:r>
        <w:rPr>
          <w:rFonts w:cs="Arial" w:hint="cs"/>
          <w:rtl/>
        </w:rPr>
        <w:t xml:space="preserve"> </w:t>
      </w:r>
      <w:r w:rsidRPr="006C30EA">
        <w:rPr>
          <w:rFonts w:cs="Arial"/>
          <w:rtl/>
        </w:rPr>
        <w:t>והכי קתני: עדים שאין יודעין לקרות - קורין לפניהם וחותמין, ושאין יודעין לחתום - מקרעין להם</w:t>
      </w:r>
      <w:r w:rsidR="00280527">
        <w:rPr>
          <w:rStyle w:val="a7"/>
          <w:rFonts w:cs="Arial"/>
          <w:rtl/>
        </w:rPr>
        <w:footnoteReference w:id="143"/>
      </w:r>
      <w:r w:rsidRPr="006C30EA">
        <w:rPr>
          <w:rFonts w:cs="Arial"/>
          <w:rtl/>
        </w:rPr>
        <w:t>.</w:t>
      </w:r>
    </w:p>
    <w:p w14:paraId="1F907035" w14:textId="5EB44C6A" w:rsidR="00973C57" w:rsidRPr="00351B7D" w:rsidRDefault="00973C57" w:rsidP="00280527">
      <w:pPr>
        <w:rPr>
          <w:rFonts w:asciiTheme="minorBidi" w:hAnsiTheme="minorBidi"/>
          <w:rtl/>
        </w:rPr>
      </w:pPr>
      <w:r w:rsidRPr="00351B7D">
        <w:rPr>
          <w:rFonts w:asciiTheme="minorBidi" w:hAnsiTheme="minorBidi"/>
          <w:b/>
          <w:bCs/>
          <w:rtl/>
        </w:rPr>
        <w:t>גיטין</w:t>
      </w:r>
      <w:r w:rsidR="006C30EA">
        <w:rPr>
          <w:rFonts w:asciiTheme="minorBidi" w:hAnsiTheme="minorBidi" w:hint="cs"/>
          <w:b/>
          <w:bCs/>
          <w:sz w:val="16"/>
          <w:szCs w:val="16"/>
          <w:rtl/>
        </w:rPr>
        <w:t xml:space="preserve"> (פ"</w:t>
      </w:r>
      <w:r w:rsidR="00280527">
        <w:rPr>
          <w:rFonts w:asciiTheme="minorBidi" w:hAnsiTheme="minorBidi" w:hint="cs"/>
          <w:b/>
          <w:bCs/>
          <w:sz w:val="16"/>
          <w:szCs w:val="16"/>
          <w:rtl/>
        </w:rPr>
        <w:t>ב</w:t>
      </w:r>
      <w:r w:rsidR="006C30EA">
        <w:rPr>
          <w:rFonts w:asciiTheme="minorBidi" w:hAnsiTheme="minorBidi" w:hint="cs"/>
          <w:b/>
          <w:bCs/>
          <w:sz w:val="16"/>
          <w:szCs w:val="16"/>
          <w:rtl/>
        </w:rPr>
        <w:t>)</w:t>
      </w:r>
      <w:r w:rsidRPr="00351B7D">
        <w:rPr>
          <w:rFonts w:asciiTheme="minorBidi" w:hAnsiTheme="minorBidi"/>
          <w:b/>
          <w:bCs/>
          <w:rtl/>
        </w:rPr>
        <w:t xml:space="preserve"> יט</w:t>
      </w:r>
      <w:r w:rsidR="006528D0">
        <w:rPr>
          <w:rStyle w:val="a7"/>
          <w:rFonts w:asciiTheme="minorBidi" w:hAnsiTheme="minorBidi"/>
          <w:b/>
          <w:bCs/>
          <w:rtl/>
        </w:rPr>
        <w:footnoteReference w:id="144"/>
      </w:r>
      <w:r w:rsidRPr="00351B7D">
        <w:rPr>
          <w:rFonts w:asciiTheme="minorBidi" w:hAnsiTheme="minorBidi"/>
          <w:b/>
          <w:bCs/>
          <w:rtl/>
        </w:rPr>
        <w:t xml:space="preserve"> ע"</w:t>
      </w:r>
      <w:r w:rsidR="00D52E3B">
        <w:rPr>
          <w:rFonts w:asciiTheme="minorBidi" w:hAnsiTheme="minorBidi" w:hint="cs"/>
          <w:b/>
          <w:bCs/>
          <w:rtl/>
        </w:rPr>
        <w:t>ב</w:t>
      </w:r>
      <w:r w:rsidRPr="00351B7D">
        <w:rPr>
          <w:rFonts w:asciiTheme="minorBidi" w:hAnsiTheme="minorBidi"/>
          <w:b/>
          <w:bCs/>
          <w:rtl/>
        </w:rPr>
        <w:t xml:space="preserve">: </w:t>
      </w:r>
      <w:r w:rsidRPr="00351B7D">
        <w:rPr>
          <w:rFonts w:asciiTheme="minorBidi" w:hAnsiTheme="minorBidi"/>
          <w:rtl/>
        </w:rPr>
        <w:t xml:space="preserve">עדים שאין יודעין לקרות - קורין לפניהם וחותמים, ושאין יודעין לחתום כו', </w:t>
      </w:r>
      <w:r w:rsidRPr="00351B7D">
        <w:rPr>
          <w:rFonts w:asciiTheme="minorBidi" w:hAnsiTheme="minorBidi"/>
          <w:u w:val="single"/>
          <w:rtl/>
        </w:rPr>
        <w:t>אמר ר"ש בן גמליאל</w:t>
      </w:r>
      <w:r w:rsidRPr="00351B7D">
        <w:rPr>
          <w:rFonts w:asciiTheme="minorBidi" w:hAnsiTheme="minorBidi"/>
          <w:rtl/>
        </w:rPr>
        <w:t xml:space="preserve">: במה דברים אמורים - בגיטי נשים, אבל שחרורי עבדים ושאר כל השטרות, אם יודעין לקרות ולחתום - חותמין, ואם לאו - אין חותמין. </w:t>
      </w:r>
      <w:r w:rsidRPr="00351B7D">
        <w:rPr>
          <w:rFonts w:asciiTheme="minorBidi" w:hAnsiTheme="minorBidi"/>
          <w:u w:val="single"/>
          <w:rtl/>
        </w:rPr>
        <w:t>א"ר אלעזר</w:t>
      </w:r>
      <w:r w:rsidRPr="00351B7D">
        <w:rPr>
          <w:rFonts w:asciiTheme="minorBidi" w:hAnsiTheme="minorBidi"/>
          <w:rtl/>
        </w:rPr>
        <w:t xml:space="preserve">: מ"ט דרבן שמעון בן גמליאל? שלא יהו בנות ישראל עגונות. </w:t>
      </w:r>
      <w:r w:rsidRPr="00351B7D">
        <w:rPr>
          <w:rFonts w:asciiTheme="minorBidi" w:hAnsiTheme="minorBidi"/>
          <w:u w:val="single"/>
          <w:rtl/>
        </w:rPr>
        <w:t>אמר רבא</w:t>
      </w:r>
      <w:r w:rsidR="00280527">
        <w:rPr>
          <w:rFonts w:asciiTheme="minorBidi" w:hAnsiTheme="minorBidi" w:hint="cs"/>
          <w:rtl/>
        </w:rPr>
        <w:t xml:space="preserve">: </w:t>
      </w:r>
      <w:r w:rsidRPr="00351B7D">
        <w:rPr>
          <w:rFonts w:asciiTheme="minorBidi" w:hAnsiTheme="minorBidi"/>
          <w:rtl/>
        </w:rPr>
        <w:t xml:space="preserve">הלכה כרשב"ג. </w:t>
      </w:r>
    </w:p>
    <w:p w14:paraId="032D6A50" w14:textId="518F194F" w:rsidR="00973C57" w:rsidRPr="00351B7D" w:rsidRDefault="00973C57" w:rsidP="00973C57">
      <w:pPr>
        <w:rPr>
          <w:rFonts w:asciiTheme="minorBidi" w:hAnsiTheme="minorBidi"/>
          <w:u w:val="single"/>
          <w:rtl/>
        </w:rPr>
      </w:pPr>
      <w:r w:rsidRPr="00351B7D">
        <w:rPr>
          <w:rFonts w:asciiTheme="minorBidi" w:hAnsiTheme="minorBidi"/>
          <w:u w:val="single"/>
          <w:rtl/>
        </w:rPr>
        <w:t>עד שאינו יודע לקרו</w:t>
      </w:r>
      <w:r w:rsidR="00280527">
        <w:rPr>
          <w:rFonts w:asciiTheme="minorBidi" w:hAnsiTheme="minorBidi" w:hint="cs"/>
          <w:u w:val="single"/>
          <w:rtl/>
        </w:rPr>
        <w:t>א - האם יכול לח</w:t>
      </w:r>
      <w:r w:rsidR="00FC3492">
        <w:rPr>
          <w:rFonts w:asciiTheme="minorBidi" w:hAnsiTheme="minorBidi" w:hint="cs"/>
          <w:u w:val="single"/>
          <w:rtl/>
        </w:rPr>
        <w:t>תום בכתובה</w:t>
      </w:r>
      <w:r w:rsidRPr="00351B7D">
        <w:rPr>
          <w:rFonts w:asciiTheme="minorBidi" w:hAnsiTheme="minorBidi"/>
          <w:u w:val="single"/>
          <w:rtl/>
        </w:rPr>
        <w:t>:</w:t>
      </w:r>
    </w:p>
    <w:p w14:paraId="0054365D" w14:textId="2A446A69" w:rsidR="00973C57" w:rsidRPr="00351B7D" w:rsidRDefault="00973C57" w:rsidP="009000E3">
      <w:pPr>
        <w:pStyle w:val="ab"/>
        <w:numPr>
          <w:ilvl w:val="0"/>
          <w:numId w:val="17"/>
        </w:numPr>
        <w:rPr>
          <w:rFonts w:asciiTheme="minorBidi" w:hAnsiTheme="minorBidi"/>
          <w:rtl/>
        </w:rPr>
      </w:pPr>
      <w:r w:rsidRPr="00351B7D">
        <w:rPr>
          <w:rFonts w:asciiTheme="minorBidi" w:hAnsiTheme="minorBidi"/>
          <w:rtl/>
        </w:rPr>
        <w:t xml:space="preserve">רא"ש </w:t>
      </w:r>
      <w:r w:rsidRPr="00351B7D">
        <w:rPr>
          <w:rFonts w:asciiTheme="minorBidi" w:hAnsiTheme="minorBidi"/>
          <w:sz w:val="16"/>
          <w:szCs w:val="16"/>
          <w:rtl/>
        </w:rPr>
        <w:t>(כלל לו סי' א)</w:t>
      </w:r>
      <w:r w:rsidRPr="00351B7D">
        <w:rPr>
          <w:rFonts w:asciiTheme="minorBidi" w:hAnsiTheme="minorBidi"/>
          <w:rtl/>
        </w:rPr>
        <w:t>- דבר זה תלוי במנהג כי יש מקומות שרגילין לחתום בכתובה לכבוד ושני עדים חותמין בראש השיטה ועל פיהם מקיימים הכתובה</w:t>
      </w:r>
      <w:r w:rsidR="00280527">
        <w:rPr>
          <w:rFonts w:asciiTheme="minorBidi" w:hAnsiTheme="minorBidi" w:hint="cs"/>
          <w:rtl/>
        </w:rPr>
        <w:t>,</w:t>
      </w:r>
      <w:r w:rsidRPr="00351B7D">
        <w:rPr>
          <w:rFonts w:asciiTheme="minorBidi" w:hAnsiTheme="minorBidi"/>
          <w:rtl/>
        </w:rPr>
        <w:t xml:space="preserve"> ובאותו מקום יכולין לחתום אע</w:t>
      </w:r>
      <w:r w:rsidR="00280527">
        <w:rPr>
          <w:rFonts w:asciiTheme="minorBidi" w:hAnsiTheme="minorBidi" w:hint="cs"/>
          <w:rtl/>
        </w:rPr>
        <w:t>"</w:t>
      </w:r>
      <w:r w:rsidRPr="00351B7D">
        <w:rPr>
          <w:rFonts w:asciiTheme="minorBidi" w:hAnsiTheme="minorBidi"/>
          <w:rtl/>
        </w:rPr>
        <w:t>פ שאינן יודעים לקרות</w:t>
      </w:r>
      <w:r w:rsidR="00280527">
        <w:rPr>
          <w:rFonts w:asciiTheme="minorBidi" w:hAnsiTheme="minorBidi" w:hint="cs"/>
          <w:rtl/>
        </w:rPr>
        <w:t>.</w:t>
      </w:r>
      <w:r w:rsidRPr="00351B7D">
        <w:rPr>
          <w:rFonts w:asciiTheme="minorBidi" w:hAnsiTheme="minorBidi"/>
          <w:rtl/>
        </w:rPr>
        <w:t xml:space="preserve"> אבל במקום שאין רגילין לחתום בכתובה אלא הראוי להעיד </w:t>
      </w:r>
      <w:r w:rsidR="00280527">
        <w:rPr>
          <w:rFonts w:asciiTheme="minorBidi" w:hAnsiTheme="minorBidi" w:hint="cs"/>
          <w:rtl/>
        </w:rPr>
        <w:t xml:space="preserve">- </w:t>
      </w:r>
      <w:r w:rsidRPr="00351B7D">
        <w:rPr>
          <w:rFonts w:asciiTheme="minorBidi" w:hAnsiTheme="minorBidi"/>
          <w:rtl/>
        </w:rPr>
        <w:t xml:space="preserve">לא יחתום מי שאינו יודע לקרות. </w:t>
      </w:r>
      <w:r w:rsidRPr="00351B7D">
        <w:rPr>
          <w:rFonts w:asciiTheme="minorBidi" w:hAnsiTheme="minorBidi"/>
          <w:color w:val="E36C0A" w:themeColor="accent6" w:themeShade="BF"/>
          <w:rtl/>
        </w:rPr>
        <w:t>(וכ"פ בשו"ע)</w:t>
      </w:r>
    </w:p>
    <w:p w14:paraId="39B64336" w14:textId="2A8D104B" w:rsidR="00973C57" w:rsidRPr="00351B7D" w:rsidRDefault="00973C57" w:rsidP="00973C57">
      <w:pPr>
        <w:rPr>
          <w:rFonts w:asciiTheme="minorBidi" w:hAnsiTheme="minorBidi"/>
          <w:u w:val="single"/>
          <w:rtl/>
        </w:rPr>
      </w:pPr>
      <w:r w:rsidRPr="00351B7D">
        <w:rPr>
          <w:rFonts w:asciiTheme="minorBidi" w:hAnsiTheme="minorBidi"/>
          <w:u w:val="single"/>
          <w:rtl/>
        </w:rPr>
        <w:t>עם הארץ שבא לגרש את אשתו</w:t>
      </w:r>
      <w:r w:rsidR="000B2A45">
        <w:rPr>
          <w:rFonts w:asciiTheme="minorBidi" w:hAnsiTheme="minorBidi" w:hint="cs"/>
          <w:u w:val="single"/>
          <w:rtl/>
        </w:rPr>
        <w:t>,</w:t>
      </w:r>
      <w:r w:rsidRPr="00351B7D">
        <w:rPr>
          <w:rFonts w:asciiTheme="minorBidi" w:hAnsiTheme="minorBidi"/>
          <w:u w:val="single"/>
          <w:rtl/>
        </w:rPr>
        <w:t xml:space="preserve"> ואמרו לו ב"ד שיפרע לה כתובתה</w:t>
      </w:r>
      <w:r w:rsidR="000B2A45">
        <w:rPr>
          <w:rFonts w:asciiTheme="minorBidi" w:hAnsiTheme="minorBidi" w:hint="cs"/>
          <w:u w:val="single"/>
          <w:rtl/>
        </w:rPr>
        <w:t>,</w:t>
      </w:r>
      <w:r w:rsidRPr="00351B7D">
        <w:rPr>
          <w:rFonts w:asciiTheme="minorBidi" w:hAnsiTheme="minorBidi"/>
          <w:u w:val="single"/>
          <w:rtl/>
        </w:rPr>
        <w:t xml:space="preserve"> ואמר שלא הבי</w:t>
      </w:r>
      <w:r w:rsidR="000B2A45">
        <w:rPr>
          <w:rFonts w:asciiTheme="minorBidi" w:hAnsiTheme="minorBidi" w:hint="cs"/>
          <w:u w:val="single"/>
          <w:rtl/>
        </w:rPr>
        <w:t>ן את הכתוב ב</w:t>
      </w:r>
      <w:r w:rsidRPr="00351B7D">
        <w:rPr>
          <w:rFonts w:asciiTheme="minorBidi" w:hAnsiTheme="minorBidi"/>
          <w:u w:val="single"/>
          <w:rtl/>
        </w:rPr>
        <w:t>כתובה:</w:t>
      </w:r>
    </w:p>
    <w:p w14:paraId="6AB2444F" w14:textId="45F3F509" w:rsidR="00973C57" w:rsidRPr="007E63C7" w:rsidRDefault="00973C57" w:rsidP="009000E3">
      <w:pPr>
        <w:pStyle w:val="ab"/>
        <w:numPr>
          <w:ilvl w:val="0"/>
          <w:numId w:val="17"/>
        </w:numPr>
        <w:rPr>
          <w:rFonts w:asciiTheme="minorBidi" w:hAnsiTheme="minorBidi"/>
        </w:rPr>
      </w:pPr>
      <w:r w:rsidRPr="00351B7D">
        <w:rPr>
          <w:rFonts w:asciiTheme="minorBidi" w:hAnsiTheme="minorBidi"/>
          <w:rtl/>
        </w:rPr>
        <w:t xml:space="preserve">רשב"א </w:t>
      </w:r>
      <w:r w:rsidRPr="00351B7D">
        <w:rPr>
          <w:rFonts w:asciiTheme="minorBidi" w:hAnsiTheme="minorBidi"/>
          <w:sz w:val="16"/>
          <w:szCs w:val="16"/>
          <w:rtl/>
        </w:rPr>
        <w:t>(ח"א סי' תרכט)</w:t>
      </w:r>
      <w:r w:rsidRPr="00351B7D">
        <w:rPr>
          <w:rFonts w:asciiTheme="minorBidi" w:hAnsiTheme="minorBidi"/>
          <w:rtl/>
        </w:rPr>
        <w:t xml:space="preserve">- </w:t>
      </w:r>
      <w:r w:rsidR="007E63C7" w:rsidRPr="007E63C7">
        <w:rPr>
          <w:rFonts w:asciiTheme="minorBidi" w:hAnsiTheme="minorBidi" w:cs="Arial"/>
          <w:rtl/>
        </w:rPr>
        <w:t>נשאל ביהודי עם הארץ שבא לגרש את אשתו</w:t>
      </w:r>
      <w:r w:rsidR="007E63C7">
        <w:rPr>
          <w:rFonts w:asciiTheme="minorBidi" w:hAnsiTheme="minorBidi" w:cs="Arial" w:hint="cs"/>
          <w:rtl/>
        </w:rPr>
        <w:t>,</w:t>
      </w:r>
      <w:r w:rsidR="007E63C7" w:rsidRPr="007E63C7">
        <w:rPr>
          <w:rFonts w:asciiTheme="minorBidi" w:hAnsiTheme="minorBidi" w:cs="Arial"/>
          <w:rtl/>
        </w:rPr>
        <w:t xml:space="preserve"> ואמרו לו בית דין שיפרע לה כתובתה. ואמר שלא הבין כשקרא החזן הכתובה והמתנ'</w:t>
      </w:r>
      <w:r w:rsidR="007E63C7">
        <w:rPr>
          <w:rFonts w:asciiTheme="minorBidi" w:hAnsiTheme="minorBidi" w:cs="Arial" w:hint="cs"/>
          <w:rtl/>
        </w:rPr>
        <w:t>,</w:t>
      </w:r>
      <w:r w:rsidR="007E63C7" w:rsidRPr="007E63C7">
        <w:rPr>
          <w:rFonts w:asciiTheme="minorBidi" w:hAnsiTheme="minorBidi" w:cs="Arial"/>
          <w:rtl/>
        </w:rPr>
        <w:t xml:space="preserve"> ולא הבין התנאי. ואמר כי שאלו את פי הרב רבי מאיר ז"ל </w:t>
      </w:r>
      <w:r w:rsidR="007E63C7">
        <w:rPr>
          <w:rFonts w:asciiTheme="minorBidi" w:hAnsiTheme="minorBidi" w:cs="Arial" w:hint="cs"/>
          <w:rtl/>
        </w:rPr>
        <w:t xml:space="preserve">    </w:t>
      </w:r>
      <w:r w:rsidR="007E63C7" w:rsidRPr="007E63C7">
        <w:rPr>
          <w:rFonts w:asciiTheme="minorBidi" w:hAnsiTheme="minorBidi" w:cs="Arial"/>
          <w:rtl/>
        </w:rPr>
        <w:t>והשיב דשומעין לו. והוא אומר דאין שומעין לו</w:t>
      </w:r>
      <w:r w:rsidR="007E63C7">
        <w:rPr>
          <w:rFonts w:asciiTheme="minorBidi" w:hAnsiTheme="minorBidi" w:cs="Arial" w:hint="cs"/>
          <w:rtl/>
        </w:rPr>
        <w:t>,</w:t>
      </w:r>
      <w:r w:rsidR="007E63C7" w:rsidRPr="007E63C7">
        <w:rPr>
          <w:rFonts w:asciiTheme="minorBidi" w:hAnsiTheme="minorBidi" w:cs="Arial"/>
          <w:rtl/>
        </w:rPr>
        <w:t xml:space="preserve"> דחזקה שהעידו עדים בעל פה ועל פיו חתמו בו. ואם אין אתה </w:t>
      </w:r>
      <w:r w:rsidR="007E63C7" w:rsidRPr="007E63C7">
        <w:rPr>
          <w:rFonts w:asciiTheme="minorBidi" w:hAnsiTheme="minorBidi" w:cs="Arial"/>
          <w:rtl/>
        </w:rPr>
        <w:lastRenderedPageBreak/>
        <w:t>אומר כן לא הנחת חיוב לעמי הארץ ולא על הנשים דכולן יטענו כן. ואין אלו אלא דברי תמה. אבל מה אעשה שכבר הורה זקן יושב בישיבה חכם עם איש שיבה</w:t>
      </w:r>
      <w:r w:rsidRPr="00351B7D">
        <w:rPr>
          <w:rStyle w:val="a7"/>
          <w:rFonts w:asciiTheme="minorBidi" w:hAnsiTheme="minorBidi"/>
          <w:rtl/>
        </w:rPr>
        <w:footnoteReference w:id="145"/>
      </w:r>
      <w:r w:rsidRPr="007E63C7">
        <w:rPr>
          <w:rFonts w:asciiTheme="minorBidi" w:hAnsiTheme="minorBidi"/>
          <w:rtl/>
        </w:rPr>
        <w:t>.</w:t>
      </w:r>
      <w:r w:rsidR="00802849">
        <w:rPr>
          <w:rFonts w:asciiTheme="minorBidi" w:hAnsiTheme="minorBidi" w:hint="cs"/>
          <w:rtl/>
        </w:rPr>
        <w:t xml:space="preserve"> </w:t>
      </w:r>
      <w:r w:rsidR="00802849" w:rsidRPr="00785934">
        <w:rPr>
          <w:rFonts w:asciiTheme="minorBidi" w:hAnsiTheme="minorBidi" w:hint="cs"/>
          <w:color w:val="00B0F0"/>
          <w:rtl/>
        </w:rPr>
        <w:t>(וכ"פ הרמ"א)</w:t>
      </w:r>
    </w:p>
    <w:p w14:paraId="53F379E4" w14:textId="2F6844BD" w:rsidR="00973C57" w:rsidRPr="00351B7D" w:rsidRDefault="003508DD" w:rsidP="00973C57">
      <w:pPr>
        <w:rPr>
          <w:rFonts w:asciiTheme="minorBidi" w:hAnsiTheme="minorBidi"/>
          <w:u w:val="single"/>
        </w:rPr>
      </w:pPr>
      <w:r>
        <w:rPr>
          <w:rFonts w:asciiTheme="minorBidi" w:hAnsiTheme="minorBidi" w:hint="cs"/>
          <w:u w:val="single"/>
          <w:rtl/>
        </w:rPr>
        <w:t>הנהגה</w:t>
      </w:r>
      <w:r w:rsidR="000B4F8A">
        <w:rPr>
          <w:rFonts w:asciiTheme="minorBidi" w:hAnsiTheme="minorBidi" w:hint="cs"/>
          <w:u w:val="single"/>
          <w:rtl/>
        </w:rPr>
        <w:t xml:space="preserve"> </w:t>
      </w:r>
      <w:r>
        <w:rPr>
          <w:rFonts w:asciiTheme="minorBidi" w:hAnsiTheme="minorBidi" w:hint="cs"/>
          <w:u w:val="single"/>
          <w:rtl/>
        </w:rPr>
        <w:t xml:space="preserve">לגבי </w:t>
      </w:r>
      <w:r w:rsidR="00973C57" w:rsidRPr="00351B7D">
        <w:rPr>
          <w:rFonts w:asciiTheme="minorBidi" w:hAnsiTheme="minorBidi"/>
          <w:u w:val="single"/>
          <w:rtl/>
        </w:rPr>
        <w:t>ממון שחמיו נותן</w:t>
      </w:r>
      <w:r>
        <w:rPr>
          <w:rFonts w:asciiTheme="minorBidi" w:hAnsiTheme="minorBidi" w:hint="cs"/>
          <w:u w:val="single"/>
          <w:rtl/>
        </w:rPr>
        <w:t>/יתן</w:t>
      </w:r>
      <w:r w:rsidR="00973C57" w:rsidRPr="00351B7D">
        <w:rPr>
          <w:rFonts w:asciiTheme="minorBidi" w:hAnsiTheme="minorBidi"/>
          <w:u w:val="single"/>
          <w:rtl/>
        </w:rPr>
        <w:t xml:space="preserve"> לו בעבור בתו:</w:t>
      </w:r>
    </w:p>
    <w:p w14:paraId="3E980EF2" w14:textId="6B763CB5" w:rsidR="00973C57" w:rsidRPr="00351B7D" w:rsidRDefault="00973C57" w:rsidP="009000E3">
      <w:pPr>
        <w:pStyle w:val="ab"/>
        <w:numPr>
          <w:ilvl w:val="0"/>
          <w:numId w:val="17"/>
        </w:numPr>
        <w:rPr>
          <w:rFonts w:asciiTheme="minorBidi" w:hAnsiTheme="minorBidi"/>
        </w:rPr>
      </w:pPr>
      <w:r w:rsidRPr="00351B7D">
        <w:rPr>
          <w:rFonts w:asciiTheme="minorBidi" w:hAnsiTheme="minorBidi"/>
          <w:rtl/>
        </w:rPr>
        <w:t>א"ח</w:t>
      </w:r>
      <w:r w:rsidR="00A24731" w:rsidRPr="00A24731">
        <w:rPr>
          <w:rFonts w:asciiTheme="minorBidi" w:hAnsiTheme="minorBidi"/>
          <w:rtl/>
        </w:rPr>
        <w:t xml:space="preserve"> </w:t>
      </w:r>
      <w:r w:rsidR="00A24731">
        <w:rPr>
          <w:rFonts w:asciiTheme="minorBidi" w:hAnsiTheme="minorBidi" w:hint="cs"/>
          <w:sz w:val="16"/>
          <w:szCs w:val="16"/>
          <w:rtl/>
        </w:rPr>
        <w:t>(</w:t>
      </w:r>
      <w:r w:rsidR="00A24731" w:rsidRPr="00A24731">
        <w:rPr>
          <w:rFonts w:asciiTheme="minorBidi" w:hAnsiTheme="minorBidi"/>
          <w:sz w:val="16"/>
          <w:szCs w:val="16"/>
          <w:rtl/>
        </w:rPr>
        <w:t>ח"ב הל' כתובות סי' ג</w:t>
      </w:r>
      <w:r w:rsidR="00A24731" w:rsidRPr="00A24731">
        <w:rPr>
          <w:rFonts w:asciiTheme="minorBidi" w:hAnsiTheme="minorBidi" w:hint="cs"/>
          <w:sz w:val="16"/>
          <w:szCs w:val="16"/>
          <w:rtl/>
        </w:rPr>
        <w:t>)</w:t>
      </w:r>
      <w:r w:rsidRPr="00351B7D">
        <w:rPr>
          <w:rFonts w:asciiTheme="minorBidi" w:hAnsiTheme="minorBidi"/>
          <w:rtl/>
        </w:rPr>
        <w:t xml:space="preserve"> בשם הראב"ד- נהגו שלא ליתן אדם לבתו ממון גדול, ומי שהוא מקפיד ומתקוטט בעבור נכסי אשתו אינו מצליח ואין זיווגן עולה יפה, אלא מה שיתן לו חמיו או חמותו יקח בעין יפה, כי הממון שאדם לוקח עם אשתו אינו ממון של יושר, תדע שהרי ארז"ל</w:t>
      </w:r>
      <w:r w:rsidRPr="00351B7D">
        <w:rPr>
          <w:rFonts w:asciiTheme="minorBidi" w:hAnsiTheme="minorBidi"/>
          <w:sz w:val="16"/>
          <w:szCs w:val="16"/>
          <w:rtl/>
        </w:rPr>
        <w:t xml:space="preserve"> (ערובין סד.)</w:t>
      </w:r>
      <w:r w:rsidRPr="00351B7D">
        <w:rPr>
          <w:rFonts w:asciiTheme="minorBidi" w:hAnsiTheme="minorBidi"/>
          <w:rtl/>
        </w:rPr>
        <w:t xml:space="preserve"> הרוצה שיתקיימו נכסי אשתו יעשה מהם מצות, וראוי לכל איש דעת שלא יעגן עצמו ולא לבת זוגו מפני ממון רב</w:t>
      </w:r>
      <w:r w:rsidR="0088441C">
        <w:rPr>
          <w:rFonts w:asciiTheme="minorBidi" w:hAnsiTheme="minorBidi" w:hint="cs"/>
          <w:rtl/>
        </w:rPr>
        <w:t>,</w:t>
      </w:r>
      <w:r w:rsidRPr="00351B7D">
        <w:rPr>
          <w:rFonts w:asciiTheme="minorBidi" w:hAnsiTheme="minorBidi"/>
          <w:rtl/>
        </w:rPr>
        <w:t xml:space="preserve"> שהממון ההוא לא יצליח מפני העיגון ומפני הרהור עבירה</w:t>
      </w:r>
      <w:r w:rsidR="003508DD">
        <w:rPr>
          <w:rFonts w:asciiTheme="minorBidi" w:hAnsiTheme="minorBidi" w:hint="cs"/>
          <w:rtl/>
        </w:rPr>
        <w:t>,</w:t>
      </w:r>
      <w:r w:rsidRPr="00351B7D">
        <w:rPr>
          <w:rFonts w:asciiTheme="minorBidi" w:hAnsiTheme="minorBidi"/>
          <w:rtl/>
        </w:rPr>
        <w:t xml:space="preserve"> ורבים נכשלים בעבירות כשאינם נושאים אשה במהרה</w:t>
      </w:r>
      <w:r w:rsidR="003508DD">
        <w:rPr>
          <w:rFonts w:asciiTheme="minorBidi" w:hAnsiTheme="minorBidi" w:hint="cs"/>
          <w:rtl/>
        </w:rPr>
        <w:t>,</w:t>
      </w:r>
      <w:r w:rsidRPr="00351B7D">
        <w:rPr>
          <w:rFonts w:asciiTheme="minorBidi" w:hAnsiTheme="minorBidi"/>
          <w:rtl/>
        </w:rPr>
        <w:t xml:space="preserve"> ועליהם נאמר כל הנושא אשה לשם ממון וכו'.</w:t>
      </w:r>
    </w:p>
    <w:p w14:paraId="6A824210" w14:textId="69035B4A" w:rsidR="00973C57" w:rsidRPr="00351B7D" w:rsidRDefault="00973C57" w:rsidP="00973C57">
      <w:pPr>
        <w:rPr>
          <w:rFonts w:asciiTheme="minorBidi" w:hAnsiTheme="minorBidi"/>
        </w:rPr>
      </w:pPr>
      <w:r w:rsidRPr="00351B7D">
        <w:rPr>
          <w:rFonts w:asciiTheme="minorBidi" w:hAnsiTheme="minorBidi"/>
          <w:b/>
          <w:bCs/>
          <w:rtl/>
        </w:rPr>
        <w:t xml:space="preserve">בבא בתרא </w:t>
      </w:r>
      <w:r w:rsidR="00591345">
        <w:rPr>
          <w:rFonts w:asciiTheme="minorBidi" w:hAnsiTheme="minorBidi" w:hint="cs"/>
          <w:b/>
          <w:bCs/>
          <w:sz w:val="16"/>
          <w:szCs w:val="16"/>
          <w:rtl/>
        </w:rPr>
        <w:t>(פ' בתרא)</w:t>
      </w:r>
      <w:r w:rsidR="00591345">
        <w:rPr>
          <w:rFonts w:asciiTheme="minorBidi" w:hAnsiTheme="minorBidi" w:hint="cs"/>
          <w:b/>
          <w:bCs/>
          <w:rtl/>
        </w:rPr>
        <w:t xml:space="preserve"> </w:t>
      </w:r>
      <w:r w:rsidRPr="00351B7D">
        <w:rPr>
          <w:rFonts w:asciiTheme="minorBidi" w:hAnsiTheme="minorBidi"/>
          <w:b/>
          <w:bCs/>
          <w:rtl/>
        </w:rPr>
        <w:t xml:space="preserve">קעו ע"א: </w:t>
      </w:r>
      <w:r w:rsidRPr="00351B7D">
        <w:rPr>
          <w:rFonts w:asciiTheme="minorBidi" w:hAnsiTheme="minorBidi"/>
          <w:rtl/>
        </w:rPr>
        <w:t>עדים החתומין על שאילת שלום בגט</w:t>
      </w:r>
      <w:r w:rsidRPr="00351B7D">
        <w:rPr>
          <w:rStyle w:val="a7"/>
          <w:rFonts w:asciiTheme="minorBidi" w:hAnsiTheme="minorBidi"/>
          <w:rtl/>
        </w:rPr>
        <w:footnoteReference w:id="146"/>
      </w:r>
      <w:r w:rsidRPr="00351B7D">
        <w:rPr>
          <w:rFonts w:asciiTheme="minorBidi" w:hAnsiTheme="minorBidi"/>
          <w:rtl/>
        </w:rPr>
        <w:t xml:space="preserve"> - פסול, חיישינן שמא על שאילת שלום חתמו.</w:t>
      </w:r>
    </w:p>
    <w:p w14:paraId="222D4C16" w14:textId="584E3433" w:rsidR="00973C57" w:rsidRPr="00351B7D" w:rsidRDefault="00973C57" w:rsidP="00973C57">
      <w:pPr>
        <w:rPr>
          <w:rFonts w:asciiTheme="minorBidi" w:hAnsiTheme="minorBidi"/>
          <w:rtl/>
        </w:rPr>
      </w:pPr>
      <w:r w:rsidRPr="00351B7D">
        <w:rPr>
          <w:rFonts w:asciiTheme="minorBidi" w:hAnsiTheme="minorBidi"/>
          <w:u w:val="single"/>
          <w:rtl/>
        </w:rPr>
        <w:t>כתובה שהחתן היה חתום תחלה והעדים חתומים תחתיו:</w:t>
      </w:r>
      <w:r w:rsidRPr="00351B7D">
        <w:rPr>
          <w:rFonts w:asciiTheme="minorBidi" w:hAnsiTheme="minorBidi"/>
          <w:rtl/>
        </w:rPr>
        <w:t xml:space="preserve"> </w:t>
      </w:r>
      <w:r w:rsidRPr="00351B7D">
        <w:rPr>
          <w:rFonts w:asciiTheme="minorBidi" w:hAnsiTheme="minorBidi"/>
          <w:sz w:val="16"/>
          <w:szCs w:val="16"/>
          <w:rtl/>
        </w:rPr>
        <w:t>(דרכ"מ אות כ)</w:t>
      </w:r>
      <w:r w:rsidRPr="00351B7D">
        <w:rPr>
          <w:rFonts w:asciiTheme="minorBidi" w:hAnsiTheme="minorBidi"/>
          <w:rtl/>
        </w:rPr>
        <w:t xml:space="preserve"> </w:t>
      </w:r>
    </w:p>
    <w:p w14:paraId="5F7423CD" w14:textId="54792101" w:rsidR="00B241FC" w:rsidRPr="00B241FC" w:rsidRDefault="00973C57" w:rsidP="009000E3">
      <w:pPr>
        <w:pStyle w:val="ab"/>
        <w:numPr>
          <w:ilvl w:val="0"/>
          <w:numId w:val="17"/>
        </w:numPr>
        <w:rPr>
          <w:rFonts w:asciiTheme="minorBidi" w:hAnsiTheme="minorBidi"/>
        </w:rPr>
      </w:pPr>
      <w:r w:rsidRPr="00351B7D">
        <w:rPr>
          <w:rFonts w:asciiTheme="minorBidi" w:hAnsiTheme="minorBidi"/>
          <w:rtl/>
        </w:rPr>
        <w:t xml:space="preserve">מרדכי </w:t>
      </w:r>
      <w:r w:rsidRPr="00351B7D">
        <w:rPr>
          <w:rFonts w:asciiTheme="minorBidi" w:hAnsiTheme="minorBidi"/>
          <w:sz w:val="16"/>
          <w:szCs w:val="16"/>
          <w:rtl/>
        </w:rPr>
        <w:t>(ב"ב סי' תרמב)</w:t>
      </w:r>
      <w:r w:rsidRPr="00351B7D">
        <w:rPr>
          <w:rFonts w:asciiTheme="minorBidi" w:hAnsiTheme="minorBidi"/>
          <w:rtl/>
        </w:rPr>
        <w:t xml:space="preserve">- </w:t>
      </w:r>
      <w:r w:rsidR="00B241FC" w:rsidRPr="00B241FC">
        <w:rPr>
          <w:rFonts w:asciiTheme="minorBidi" w:hAnsiTheme="minorBidi" w:cs="Arial"/>
          <w:rtl/>
        </w:rPr>
        <w:t>שמא על שאלת שלום חתמו</w:t>
      </w:r>
      <w:r w:rsidR="00B241FC">
        <w:rPr>
          <w:rFonts w:asciiTheme="minorBidi" w:hAnsiTheme="minorBidi" w:cs="Arial" w:hint="cs"/>
          <w:rtl/>
        </w:rPr>
        <w:t>,</w:t>
      </w:r>
      <w:r w:rsidR="00B241FC" w:rsidRPr="00B241FC">
        <w:rPr>
          <w:rFonts w:asciiTheme="minorBidi" w:hAnsiTheme="minorBidi" w:cs="Arial"/>
          <w:rtl/>
        </w:rPr>
        <w:t xml:space="preserve"> מכאן דקדק הרב רבי חזקיה לפסול כתובה שהחתן היה חתום תחלה והעדים חתומים תחתיו</w:t>
      </w:r>
      <w:r w:rsidR="00B241FC">
        <w:rPr>
          <w:rFonts w:asciiTheme="minorBidi" w:hAnsiTheme="minorBidi" w:cs="Arial" w:hint="cs"/>
          <w:rtl/>
        </w:rPr>
        <w:t>,</w:t>
      </w:r>
      <w:r w:rsidR="00B241FC" w:rsidRPr="00B241FC">
        <w:rPr>
          <w:rFonts w:asciiTheme="minorBidi" w:hAnsiTheme="minorBidi" w:cs="Arial"/>
          <w:rtl/>
        </w:rPr>
        <w:t xml:space="preserve"> דכי היכי דאמרינן הכא על שאלת שלום חתמו ולא אעיקר הגט של מעלה ה"נ נימא לא חתמו אלא שפלוני הוא החתן. ואני דקדקתי מכאן שהכתובה כשרה</w:t>
      </w:r>
      <w:r w:rsidR="00B241FC">
        <w:rPr>
          <w:rFonts w:asciiTheme="minorBidi" w:hAnsiTheme="minorBidi" w:cs="Arial" w:hint="cs"/>
          <w:rtl/>
        </w:rPr>
        <w:t>,</w:t>
      </w:r>
      <w:r w:rsidR="00B241FC" w:rsidRPr="00B241FC">
        <w:rPr>
          <w:rFonts w:asciiTheme="minorBidi" w:hAnsiTheme="minorBidi" w:cs="Arial"/>
          <w:rtl/>
        </w:rPr>
        <w:t xml:space="preserve"> דהא אמרי' </w:t>
      </w:r>
      <w:r w:rsidR="004074BB">
        <w:rPr>
          <w:rFonts w:asciiTheme="minorBidi" w:hAnsiTheme="minorBidi" w:cs="Arial" w:hint="cs"/>
          <w:rtl/>
        </w:rPr>
        <w:t>(</w:t>
      </w:r>
      <w:r w:rsidR="00E04F92">
        <w:rPr>
          <w:rFonts w:asciiTheme="minorBidi" w:hAnsiTheme="minorBidi" w:cs="Arial" w:hint="cs"/>
          <w:rtl/>
        </w:rPr>
        <w:t xml:space="preserve">ב"ב קעה:) </w:t>
      </w:r>
      <w:r w:rsidR="00B241FC" w:rsidRPr="00B241FC">
        <w:rPr>
          <w:rFonts w:asciiTheme="minorBidi" w:hAnsiTheme="minorBidi" w:cs="Arial"/>
          <w:rtl/>
        </w:rPr>
        <w:t>קודם חיתום שטרות היכא דכתב פלוני ערב אינו גובה מן הערב אלא מבני חורין</w:t>
      </w:r>
      <w:r w:rsidR="00B241FC">
        <w:rPr>
          <w:rFonts w:asciiTheme="minorBidi" w:hAnsiTheme="minorBidi" w:cs="Arial" w:hint="cs"/>
          <w:rtl/>
        </w:rPr>
        <w:t>,</w:t>
      </w:r>
      <w:r w:rsidR="00B241FC" w:rsidRPr="00B241FC">
        <w:rPr>
          <w:rFonts w:asciiTheme="minorBidi" w:hAnsiTheme="minorBidi" w:cs="Arial"/>
          <w:rtl/>
        </w:rPr>
        <w:t xml:space="preserve"> דחתימת העדים לא קיימי עליה אלא אעיקר השטר שלפני פניו</w:t>
      </w:r>
      <w:r w:rsidR="00B241FC">
        <w:rPr>
          <w:rFonts w:asciiTheme="minorBidi" w:hAnsiTheme="minorBidi" w:cs="Arial" w:hint="cs"/>
          <w:rtl/>
        </w:rPr>
        <w:t>.</w:t>
      </w:r>
      <w:r w:rsidR="00B241FC" w:rsidRPr="00B241FC">
        <w:rPr>
          <w:rFonts w:asciiTheme="minorBidi" w:hAnsiTheme="minorBidi" w:cs="Arial"/>
          <w:rtl/>
        </w:rPr>
        <w:t xml:space="preserve"> ה"נ נימא דהעדים נמי לא מסהדי שהוא חתן</w:t>
      </w:r>
      <w:r w:rsidR="00367B11">
        <w:rPr>
          <w:rFonts w:asciiTheme="minorBidi" w:hAnsiTheme="minorBidi" w:cs="Arial" w:hint="cs"/>
          <w:rtl/>
        </w:rPr>
        <w:t>,</w:t>
      </w:r>
      <w:r w:rsidR="00B241FC" w:rsidRPr="00B241FC">
        <w:rPr>
          <w:rFonts w:asciiTheme="minorBidi" w:hAnsiTheme="minorBidi" w:cs="Arial"/>
          <w:rtl/>
        </w:rPr>
        <w:t xml:space="preserve"> אלא אעיקר כתובה מסהדי</w:t>
      </w:r>
      <w:r w:rsidR="00367B11">
        <w:rPr>
          <w:rFonts w:asciiTheme="minorBidi" w:hAnsiTheme="minorBidi" w:cs="Arial" w:hint="cs"/>
          <w:rtl/>
        </w:rPr>
        <w:t>.</w:t>
      </w:r>
      <w:r w:rsidR="00B241FC" w:rsidRPr="00B241FC">
        <w:rPr>
          <w:rFonts w:asciiTheme="minorBidi" w:hAnsiTheme="minorBidi" w:cs="Arial"/>
          <w:rtl/>
        </w:rPr>
        <w:t xml:space="preserve"> והא דאמר הכא שמא על שאלת שלום חתמו ולא אעיקרא דגט</w:t>
      </w:r>
      <w:r w:rsidR="00367B11">
        <w:rPr>
          <w:rFonts w:asciiTheme="minorBidi" w:hAnsiTheme="minorBidi" w:cs="Arial" w:hint="cs"/>
          <w:rtl/>
        </w:rPr>
        <w:t>,</w:t>
      </w:r>
      <w:r w:rsidR="00B241FC" w:rsidRPr="00B241FC">
        <w:rPr>
          <w:rFonts w:asciiTheme="minorBidi" w:hAnsiTheme="minorBidi" w:cs="Arial"/>
          <w:rtl/>
        </w:rPr>
        <w:t xml:space="preserve"> טעמא משום דכתיב בתוך הגט קודם שיטה אחרונה שאלו בשלומה להכי חיישינן דלמא אשאלת שלום חתמו</w:t>
      </w:r>
      <w:r w:rsidR="00367B11">
        <w:rPr>
          <w:rFonts w:asciiTheme="minorBidi" w:hAnsiTheme="minorBidi" w:cs="Arial" w:hint="cs"/>
          <w:rtl/>
        </w:rPr>
        <w:t>.</w:t>
      </w:r>
      <w:r w:rsidR="00B241FC" w:rsidRPr="00B241FC">
        <w:rPr>
          <w:rFonts w:asciiTheme="minorBidi" w:hAnsiTheme="minorBidi" w:cs="Arial"/>
          <w:rtl/>
        </w:rPr>
        <w:t xml:space="preserve"> אבל פלוני ערב שהוא כתוב אחר סיום כל השטר וכן פלוני ב"פ חתן שכתוב אחר סיום כל הכתובה </w:t>
      </w:r>
      <w:r w:rsidR="00C74307">
        <w:rPr>
          <w:rFonts w:asciiTheme="minorBidi" w:hAnsiTheme="minorBidi" w:cs="Arial" w:hint="cs"/>
          <w:rtl/>
        </w:rPr>
        <w:t xml:space="preserve">- </w:t>
      </w:r>
      <w:r w:rsidR="00B241FC" w:rsidRPr="00B241FC">
        <w:rPr>
          <w:rFonts w:asciiTheme="minorBidi" w:hAnsiTheme="minorBidi" w:cs="Arial"/>
          <w:rtl/>
        </w:rPr>
        <w:t>ודאי לא קיימי עדים עלייהו אלא אעיקר שטרא</w:t>
      </w:r>
      <w:r w:rsidR="00C74307">
        <w:rPr>
          <w:rFonts w:asciiTheme="minorBidi" w:hAnsiTheme="minorBidi" w:cs="Arial" w:hint="cs"/>
          <w:rtl/>
        </w:rPr>
        <w:t>.</w:t>
      </w:r>
      <w:r w:rsidR="00B241FC" w:rsidRPr="00B241FC">
        <w:rPr>
          <w:rFonts w:asciiTheme="minorBidi" w:hAnsiTheme="minorBidi" w:cs="Arial"/>
          <w:rtl/>
        </w:rPr>
        <w:t xml:space="preserve"> אי נמי יש לומר מסתמא קא מסהדי סהדי אעיקר השטר שנכתב בשם הלוה שהוא חייב יותר מן הערב</w:t>
      </w:r>
      <w:r w:rsidR="00C74307">
        <w:rPr>
          <w:rFonts w:asciiTheme="minorBidi" w:hAnsiTheme="minorBidi" w:cs="Arial" w:hint="cs"/>
          <w:rtl/>
        </w:rPr>
        <w:t>,</w:t>
      </w:r>
      <w:r w:rsidR="00B241FC" w:rsidRPr="00B241FC">
        <w:rPr>
          <w:rFonts w:asciiTheme="minorBidi" w:hAnsiTheme="minorBidi" w:cs="Arial"/>
          <w:rtl/>
        </w:rPr>
        <w:t xml:space="preserve"> דאין סברא דקיימי אערב ולא אלוה דהא לא יתבע מן הערב תחלה</w:t>
      </w:r>
      <w:r w:rsidR="00C74307">
        <w:rPr>
          <w:rFonts w:asciiTheme="minorBidi" w:hAnsiTheme="minorBidi" w:cs="Arial" w:hint="cs"/>
          <w:rtl/>
        </w:rPr>
        <w:t>.</w:t>
      </w:r>
      <w:r w:rsidR="00B241FC" w:rsidRPr="00B241FC">
        <w:rPr>
          <w:rFonts w:asciiTheme="minorBidi" w:hAnsiTheme="minorBidi" w:cs="Arial"/>
          <w:rtl/>
        </w:rPr>
        <w:t xml:space="preserve"> וכן גבי כתובה דכיון דחייב לה כתובה ואפילו לא כתב לה מסתמא אכתובה קיימי</w:t>
      </w:r>
      <w:r w:rsidR="00C74307">
        <w:rPr>
          <w:rFonts w:asciiTheme="minorBidi" w:hAnsiTheme="minorBidi" w:cs="Arial" w:hint="cs"/>
          <w:rtl/>
        </w:rPr>
        <w:t>.</w:t>
      </w:r>
      <w:r w:rsidR="00B241FC" w:rsidRPr="00B241FC">
        <w:rPr>
          <w:rFonts w:asciiTheme="minorBidi" w:hAnsiTheme="minorBidi" w:cs="Arial"/>
          <w:rtl/>
        </w:rPr>
        <w:t xml:space="preserve"> אבל גבי גט איכא למימר דילמא אשאלת שלום חתימי משום דאשה לאו לגירושין עומדת</w:t>
      </w:r>
      <w:r w:rsidR="00C74307">
        <w:rPr>
          <w:rFonts w:asciiTheme="minorBidi" w:hAnsiTheme="minorBidi" w:cs="Arial" w:hint="cs"/>
          <w:rtl/>
        </w:rPr>
        <w:t>.</w:t>
      </w:r>
      <w:r w:rsidR="00B241FC" w:rsidRPr="00B241FC">
        <w:rPr>
          <w:rFonts w:asciiTheme="minorBidi" w:hAnsiTheme="minorBidi" w:cs="Arial"/>
          <w:rtl/>
        </w:rPr>
        <w:t xml:space="preserve"> ועוד משום חומרא דא"א</w:t>
      </w:r>
      <w:r w:rsidR="00802849">
        <w:rPr>
          <w:rFonts w:asciiTheme="minorBidi" w:hAnsiTheme="minorBidi" w:cs="Arial" w:hint="cs"/>
          <w:rtl/>
        </w:rPr>
        <w:t>.</w:t>
      </w:r>
      <w:r w:rsidR="00B241FC" w:rsidRPr="00B241FC">
        <w:rPr>
          <w:rFonts w:asciiTheme="minorBidi" w:hAnsiTheme="minorBidi" w:cs="Arial"/>
          <w:rtl/>
        </w:rPr>
        <w:t xml:space="preserve"> וטעם ראשון נראה יותר</w:t>
      </w:r>
      <w:r w:rsidR="00802849">
        <w:rPr>
          <w:rFonts w:asciiTheme="minorBidi" w:hAnsiTheme="minorBidi" w:cs="Arial" w:hint="cs"/>
          <w:rtl/>
        </w:rPr>
        <w:t>.</w:t>
      </w:r>
      <w:r w:rsidR="00B241FC" w:rsidRPr="00B241FC">
        <w:rPr>
          <w:rFonts w:asciiTheme="minorBidi" w:hAnsiTheme="minorBidi" w:cs="Arial"/>
          <w:rtl/>
        </w:rPr>
        <w:t xml:space="preserve"> ועוד ראיה מדאמרינן לעיל מילהו בקרובים כשר כמו שאפרש בע"ה</w:t>
      </w:r>
      <w:r w:rsidR="00802849">
        <w:rPr>
          <w:rFonts w:asciiTheme="minorBidi" w:hAnsiTheme="minorBidi" w:cs="Arial" w:hint="cs"/>
          <w:rtl/>
        </w:rPr>
        <w:t>.</w:t>
      </w:r>
    </w:p>
    <w:p w14:paraId="5A13E5BE" w14:textId="77777777" w:rsidR="00973C57" w:rsidRPr="00351B7D" w:rsidRDefault="00973C57" w:rsidP="00973C5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86185CF" w14:textId="48BB3013" w:rsidR="00973C57" w:rsidRPr="00351B7D" w:rsidRDefault="00973C57" w:rsidP="00973C57">
      <w:pPr>
        <w:rPr>
          <w:rFonts w:asciiTheme="minorBidi" w:hAnsiTheme="minorBidi"/>
          <w:color w:val="000000"/>
          <w:rtl/>
        </w:rPr>
      </w:pPr>
      <w:r w:rsidRPr="00351B7D">
        <w:rPr>
          <w:rFonts w:asciiTheme="minorBidi" w:hAnsiTheme="minorBidi"/>
          <w:rtl/>
        </w:rPr>
        <w:t>במקום שאין רגילים לחתום</w:t>
      </w:r>
      <w:r w:rsidRPr="00351B7D">
        <w:rPr>
          <w:rStyle w:val="a7"/>
          <w:rFonts w:asciiTheme="minorBidi" w:hAnsiTheme="minorBidi"/>
          <w:color w:val="000000"/>
          <w:rtl/>
        </w:rPr>
        <w:footnoteReference w:id="147"/>
      </w:r>
      <w:r w:rsidRPr="00351B7D">
        <w:rPr>
          <w:rFonts w:asciiTheme="minorBidi" w:hAnsiTheme="minorBidi"/>
          <w:rtl/>
        </w:rPr>
        <w:t xml:space="preserve"> בכתובה אלא הראויים להעיד</w:t>
      </w:r>
      <w:r w:rsidR="00802849">
        <w:rPr>
          <w:rFonts w:asciiTheme="minorBidi" w:hAnsiTheme="minorBidi" w:hint="cs"/>
          <w:rtl/>
        </w:rPr>
        <w:t>,</w:t>
      </w:r>
      <w:r w:rsidRPr="00351B7D">
        <w:rPr>
          <w:rFonts w:asciiTheme="minorBidi" w:hAnsiTheme="minorBidi"/>
          <w:rtl/>
        </w:rPr>
        <w:t xml:space="preserve"> לא יחתום מי שאינו יודע לקרות.</w:t>
      </w:r>
      <w:r w:rsidRPr="00351B7D">
        <w:rPr>
          <w:rFonts w:asciiTheme="minorBidi" w:hAnsiTheme="minorBidi"/>
          <w:color w:val="000000"/>
          <w:sz w:val="16"/>
          <w:szCs w:val="16"/>
          <w:rtl/>
        </w:rPr>
        <w:t xml:space="preserve"> </w:t>
      </w:r>
      <w:r w:rsidRPr="00351B7D">
        <w:rPr>
          <w:rFonts w:asciiTheme="minorBidi" w:hAnsiTheme="minorBidi"/>
          <w:color w:val="000000"/>
          <w:sz w:val="18"/>
          <w:szCs w:val="18"/>
          <w:rtl/>
        </w:rPr>
        <w:t>הגה: ולכן עם הארץ שבא לגרש</w:t>
      </w:r>
      <w:r w:rsidRPr="00351B7D">
        <w:rPr>
          <w:rStyle w:val="a7"/>
          <w:rFonts w:asciiTheme="minorBidi" w:hAnsiTheme="minorBidi"/>
          <w:color w:val="000000"/>
          <w:sz w:val="18"/>
          <w:szCs w:val="18"/>
          <w:rtl/>
        </w:rPr>
        <w:footnoteReference w:id="148"/>
      </w:r>
      <w:r w:rsidRPr="00351B7D">
        <w:rPr>
          <w:rFonts w:asciiTheme="minorBidi" w:hAnsiTheme="minorBidi"/>
          <w:color w:val="000000"/>
          <w:sz w:val="18"/>
          <w:szCs w:val="18"/>
          <w:rtl/>
        </w:rPr>
        <w:t xml:space="preserve"> ואמר אח"כ שלא הבין מה שהיה כתוב בתנאים או בכתובתה</w:t>
      </w:r>
      <w:r w:rsidRPr="00351B7D">
        <w:rPr>
          <w:rStyle w:val="a7"/>
          <w:rFonts w:asciiTheme="minorBidi" w:hAnsiTheme="minorBidi"/>
          <w:sz w:val="18"/>
          <w:szCs w:val="18"/>
          <w:rtl/>
        </w:rPr>
        <w:footnoteReference w:id="149"/>
      </w:r>
      <w:r w:rsidR="00802849">
        <w:rPr>
          <w:rFonts w:asciiTheme="minorBidi" w:hAnsiTheme="minorBidi" w:hint="cs"/>
          <w:color w:val="000000"/>
          <w:sz w:val="18"/>
          <w:szCs w:val="18"/>
          <w:rtl/>
        </w:rPr>
        <w:t>,</w:t>
      </w:r>
      <w:r w:rsidRPr="00351B7D">
        <w:rPr>
          <w:rFonts w:asciiTheme="minorBidi" w:hAnsiTheme="minorBidi"/>
          <w:color w:val="000000"/>
          <w:sz w:val="18"/>
          <w:szCs w:val="18"/>
          <w:rtl/>
        </w:rPr>
        <w:t xml:space="preserve"> אינו נאמן</w:t>
      </w:r>
      <w:r w:rsidR="00802849">
        <w:rPr>
          <w:rFonts w:asciiTheme="minorBidi" w:hAnsiTheme="minorBidi" w:hint="cs"/>
          <w:color w:val="000000"/>
          <w:sz w:val="18"/>
          <w:szCs w:val="18"/>
          <w:rtl/>
        </w:rPr>
        <w:t>,</w:t>
      </w:r>
      <w:r w:rsidRPr="00351B7D">
        <w:rPr>
          <w:rFonts w:asciiTheme="minorBidi" w:hAnsiTheme="minorBidi"/>
          <w:color w:val="000000"/>
          <w:sz w:val="18"/>
          <w:szCs w:val="18"/>
          <w:rtl/>
        </w:rPr>
        <w:t xml:space="preserve"> דודאי העדים לא חתמו מה שלא העידו בפניו תחלה על פה (רשב"א).</w:t>
      </w:r>
    </w:p>
    <w:p w14:paraId="770FF969" w14:textId="3AE01AB8" w:rsidR="00973C57" w:rsidRDefault="00973C57" w:rsidP="00973C57">
      <w:pPr>
        <w:rPr>
          <w:rtl/>
        </w:rPr>
      </w:pPr>
    </w:p>
    <w:p w14:paraId="426DDC23" w14:textId="0BA2F5A6" w:rsidR="00973C57" w:rsidRDefault="00973C57" w:rsidP="00973C57">
      <w:pPr>
        <w:rPr>
          <w:rtl/>
        </w:rPr>
      </w:pPr>
    </w:p>
    <w:p w14:paraId="05B686FF" w14:textId="4665A620" w:rsidR="00973C57" w:rsidRDefault="00973C57" w:rsidP="00973C57">
      <w:pPr>
        <w:rPr>
          <w:rtl/>
        </w:rPr>
      </w:pPr>
    </w:p>
    <w:p w14:paraId="242ED042" w14:textId="77777777" w:rsidR="00973C57" w:rsidRDefault="00973C57" w:rsidP="00973C57">
      <w:pPr>
        <w:pStyle w:val="1"/>
        <w:rPr>
          <w:rtl/>
        </w:rPr>
        <w:sectPr w:rsidR="00973C57" w:rsidSect="00A347B3">
          <w:headerReference w:type="default" r:id="rId8"/>
          <w:footerReference w:type="default" r:id="rId9"/>
          <w:footnotePr>
            <w:numRestart w:val="eachSect"/>
          </w:footnotePr>
          <w:pgSz w:w="11906" w:h="16838"/>
          <w:pgMar w:top="720" w:right="1134" w:bottom="720" w:left="1134" w:header="0" w:footer="0" w:gutter="0"/>
          <w:cols w:space="720"/>
          <w:bidi/>
          <w:rtlGutter/>
          <w:docGrid w:linePitch="360"/>
        </w:sectPr>
      </w:pPr>
    </w:p>
    <w:p w14:paraId="42F9C51E" w14:textId="399BAC53" w:rsidR="00973C57" w:rsidRDefault="00973C57" w:rsidP="00973C57">
      <w:pPr>
        <w:pStyle w:val="1"/>
        <w:rPr>
          <w:rtl/>
        </w:rPr>
      </w:pPr>
      <w:r>
        <w:rPr>
          <w:rFonts w:hint="cs"/>
          <w:rtl/>
        </w:rPr>
        <w:lastRenderedPageBreak/>
        <w:t xml:space="preserve">סימן סז: </w:t>
      </w:r>
      <w:r>
        <w:rPr>
          <w:rtl/>
        </w:rPr>
        <w:t xml:space="preserve">דין כתובת אלמנה, וחרש שוטה וקטן היא או הוא, וגר שנתגייר, ובו י"א סעיפים. </w:t>
      </w:r>
    </w:p>
    <w:p w14:paraId="030BF7FA" w14:textId="5EE513BF" w:rsidR="00973C57" w:rsidRDefault="00973C57" w:rsidP="000F64D0">
      <w:pPr>
        <w:pStyle w:val="2"/>
        <w:rPr>
          <w:rtl/>
        </w:rPr>
      </w:pPr>
      <w:r>
        <w:rPr>
          <w:rtl/>
        </w:rPr>
        <w:t>סעיף א</w:t>
      </w:r>
      <w:r w:rsidR="002B17E2">
        <w:rPr>
          <w:rFonts w:hint="cs"/>
          <w:rtl/>
        </w:rPr>
        <w:t xml:space="preserve">: </w:t>
      </w:r>
      <w:r w:rsidR="00D31DFC">
        <w:rPr>
          <w:rFonts w:hint="cs"/>
          <w:rtl/>
        </w:rPr>
        <w:t>בתולה</w:t>
      </w:r>
      <w:r w:rsidR="00DD6CEB">
        <w:rPr>
          <w:rFonts w:hint="cs"/>
          <w:rtl/>
        </w:rPr>
        <w:t xml:space="preserve"> שנתאלמנה/נתגרשה/נחלצה מן האירוסין</w:t>
      </w:r>
      <w:r w:rsidR="00D31DFC">
        <w:rPr>
          <w:rFonts w:hint="cs"/>
          <w:rtl/>
        </w:rPr>
        <w:t>.</w:t>
      </w:r>
    </w:p>
    <w:p w14:paraId="3053A36D" w14:textId="54F55FA4" w:rsidR="008902C4" w:rsidRDefault="003E0959" w:rsidP="008902C4">
      <w:pPr>
        <w:rPr>
          <w:rtl/>
        </w:rPr>
      </w:pPr>
      <w:r w:rsidRPr="003E0959">
        <w:rPr>
          <w:rFonts w:cs="Arial" w:hint="cs"/>
          <w:b/>
          <w:bCs/>
          <w:rtl/>
        </w:rPr>
        <w:t xml:space="preserve">כתובות </w:t>
      </w:r>
      <w:r w:rsidRPr="003E0959">
        <w:rPr>
          <w:rFonts w:cs="Arial" w:hint="cs"/>
          <w:b/>
          <w:bCs/>
          <w:sz w:val="16"/>
          <w:szCs w:val="16"/>
          <w:rtl/>
        </w:rPr>
        <w:t>(פ"ק)</w:t>
      </w:r>
      <w:r w:rsidRPr="003E0959">
        <w:rPr>
          <w:rFonts w:cs="Arial" w:hint="cs"/>
          <w:b/>
          <w:bCs/>
          <w:rtl/>
        </w:rPr>
        <w:t xml:space="preserve"> י ע"ב: </w:t>
      </w:r>
      <w:r w:rsidR="007852BE" w:rsidRPr="003E0959">
        <w:rPr>
          <w:rFonts w:cs="Arial"/>
          <w:u w:val="double"/>
          <w:rtl/>
        </w:rPr>
        <w:t>מתני'</w:t>
      </w:r>
      <w:r>
        <w:rPr>
          <w:rFonts w:cs="Arial" w:hint="cs"/>
          <w:rtl/>
        </w:rPr>
        <w:t>:</w:t>
      </w:r>
      <w:r w:rsidR="007852BE" w:rsidRPr="007852BE">
        <w:rPr>
          <w:rFonts w:cs="Arial"/>
          <w:rtl/>
        </w:rPr>
        <w:t xml:space="preserve"> בתולה - כתובתה מאתים, ואלמנה - מנה. בתולה אלמנה, גרושה, וחלוצה, מן האירוסין - כתובתן מאתים, ויש להן טענת בתולים.</w:t>
      </w:r>
    </w:p>
    <w:p w14:paraId="64630086" w14:textId="0552430B" w:rsidR="009A384B" w:rsidRPr="00DD6CEB" w:rsidRDefault="00DD6CEB" w:rsidP="008902C4">
      <w:pPr>
        <w:rPr>
          <w:u w:val="single"/>
          <w:rtl/>
        </w:rPr>
      </w:pPr>
      <w:r w:rsidRPr="00DD6CEB">
        <w:rPr>
          <w:rFonts w:hint="cs"/>
          <w:u w:val="single"/>
          <w:rtl/>
        </w:rPr>
        <w:t>כתובת בתולה שנתאלמנה/נתגרשה/נחלצה מן האירוסין:</w:t>
      </w:r>
    </w:p>
    <w:p w14:paraId="75DF7CC9" w14:textId="33A3200F" w:rsidR="00801635" w:rsidRPr="00801635" w:rsidRDefault="00D31DFC" w:rsidP="009000E3">
      <w:pPr>
        <w:pStyle w:val="ab"/>
        <w:numPr>
          <w:ilvl w:val="0"/>
          <w:numId w:val="17"/>
        </w:numPr>
      </w:pPr>
      <w:r>
        <w:rPr>
          <w:rFonts w:hint="cs"/>
          <w:rtl/>
        </w:rPr>
        <w:t xml:space="preserve">רמב"ם </w:t>
      </w:r>
      <w:r>
        <w:rPr>
          <w:rFonts w:hint="cs"/>
          <w:sz w:val="16"/>
          <w:szCs w:val="16"/>
          <w:rtl/>
        </w:rPr>
        <w:t>(פ"י מהל' אישות ה"א וה"ח)</w:t>
      </w:r>
      <w:r>
        <w:rPr>
          <w:rFonts w:hint="cs"/>
          <w:rtl/>
        </w:rPr>
        <w:t xml:space="preserve"> ו</w:t>
      </w:r>
      <w:r w:rsidR="005B7F07">
        <w:rPr>
          <w:rFonts w:hint="cs"/>
          <w:rtl/>
        </w:rPr>
        <w:t xml:space="preserve">טור- </w:t>
      </w:r>
      <w:r w:rsidR="005B7F07" w:rsidRPr="005B7F07">
        <w:rPr>
          <w:rFonts w:cs="Arial"/>
          <w:rtl/>
        </w:rPr>
        <w:t xml:space="preserve">בתולה שנתאלמנה או נתגרשה או נחלצה מן האירוסין וניסת </w:t>
      </w:r>
      <w:r w:rsidR="008902C4">
        <w:rPr>
          <w:rFonts w:cs="Arial" w:hint="cs"/>
          <w:rtl/>
        </w:rPr>
        <w:t xml:space="preserve">- </w:t>
      </w:r>
      <w:r w:rsidR="005B7F07" w:rsidRPr="005B7F07">
        <w:rPr>
          <w:rFonts w:cs="Arial"/>
          <w:rtl/>
        </w:rPr>
        <w:t>כתובתה מאתים</w:t>
      </w:r>
      <w:r>
        <w:rPr>
          <w:rFonts w:cs="Arial" w:hint="cs"/>
          <w:sz w:val="16"/>
          <w:szCs w:val="16"/>
          <w:rtl/>
        </w:rPr>
        <w:t xml:space="preserve"> (ל' הטור)</w:t>
      </w:r>
      <w:r w:rsidR="00801635">
        <w:rPr>
          <w:rFonts w:cs="Arial" w:hint="cs"/>
          <w:rtl/>
        </w:rPr>
        <w:t>.</w:t>
      </w:r>
      <w:r w:rsidR="005B7F07" w:rsidRPr="005B7F07">
        <w:rPr>
          <w:rFonts w:cs="Arial"/>
          <w:rtl/>
        </w:rPr>
        <w:t xml:space="preserve"> </w:t>
      </w:r>
      <w:r w:rsidR="007C1D96" w:rsidRPr="00351B7D">
        <w:rPr>
          <w:rFonts w:asciiTheme="minorBidi" w:hAnsiTheme="minorBidi"/>
          <w:color w:val="E36C0A" w:themeColor="accent6" w:themeShade="BF"/>
          <w:rtl/>
        </w:rPr>
        <w:t>(וכ"פ בשו"ע)</w:t>
      </w:r>
    </w:p>
    <w:p w14:paraId="69002E7C" w14:textId="77777777" w:rsidR="005B7F07" w:rsidRPr="005B7F07" w:rsidRDefault="005B7F07" w:rsidP="005B7F07">
      <w:pPr>
        <w:rPr>
          <w:rFonts w:asciiTheme="minorBidi" w:hAnsiTheme="minorBidi"/>
          <w:b/>
          <w:bCs/>
          <w:color w:val="000000"/>
          <w:sz w:val="28"/>
          <w:szCs w:val="28"/>
          <w:u w:val="single"/>
          <w:rtl/>
        </w:rPr>
      </w:pPr>
      <w:r w:rsidRPr="005B7F07">
        <w:rPr>
          <w:rFonts w:asciiTheme="minorBidi" w:hAnsiTheme="minorBidi"/>
          <w:b/>
          <w:bCs/>
          <w:color w:val="000000"/>
          <w:sz w:val="28"/>
          <w:szCs w:val="28"/>
          <w:u w:val="single"/>
          <w:rtl/>
        </w:rPr>
        <w:t>שו"ע:</w:t>
      </w:r>
    </w:p>
    <w:p w14:paraId="7D34F0C2" w14:textId="0937E14A" w:rsidR="00973C57" w:rsidRDefault="00973C57" w:rsidP="00973C57">
      <w:pPr>
        <w:rPr>
          <w:rtl/>
        </w:rPr>
      </w:pPr>
      <w:r>
        <w:rPr>
          <w:rFonts w:cs="Arial"/>
          <w:rtl/>
        </w:rPr>
        <w:t xml:space="preserve">בתולה שנתאלמנה או נתגרשה או נחלצה מן האירוסין, ונשאת, כתובתה מאתים ויש לה טענת בתולים. </w:t>
      </w:r>
    </w:p>
    <w:p w14:paraId="3FCA8363" w14:textId="77777777" w:rsidR="009A384B" w:rsidRDefault="009A384B" w:rsidP="00973C57">
      <w:pPr>
        <w:rPr>
          <w:rtl/>
        </w:rPr>
      </w:pPr>
    </w:p>
    <w:p w14:paraId="7305327E" w14:textId="3CF6B0B0" w:rsidR="00973C57" w:rsidRDefault="00973C57" w:rsidP="000F64D0">
      <w:pPr>
        <w:pStyle w:val="2"/>
        <w:rPr>
          <w:rtl/>
        </w:rPr>
      </w:pPr>
      <w:r>
        <w:rPr>
          <w:rtl/>
        </w:rPr>
        <w:t>סעיף ב</w:t>
      </w:r>
      <w:r w:rsidR="007C1D96">
        <w:rPr>
          <w:rFonts w:hint="cs"/>
          <w:rtl/>
        </w:rPr>
        <w:t xml:space="preserve">: </w:t>
      </w:r>
      <w:r w:rsidR="002450F0">
        <w:rPr>
          <w:rFonts w:hint="cs"/>
          <w:rtl/>
        </w:rPr>
        <w:t>בתולה שנתאלמנה/נתגרשה/נחלצה מן הנישואין.</w:t>
      </w:r>
    </w:p>
    <w:p w14:paraId="3A867E92" w14:textId="523AA4AB" w:rsidR="001F2DBC" w:rsidRDefault="001F2DBC" w:rsidP="001F2DBC">
      <w:pPr>
        <w:rPr>
          <w:rFonts w:cs="Arial"/>
          <w:rtl/>
        </w:rPr>
      </w:pPr>
      <w:r w:rsidRPr="003E0959">
        <w:rPr>
          <w:rFonts w:cs="Arial" w:hint="cs"/>
          <w:b/>
          <w:bCs/>
          <w:rtl/>
        </w:rPr>
        <w:t xml:space="preserve">כתובות </w:t>
      </w:r>
      <w:r w:rsidRPr="003E0959">
        <w:rPr>
          <w:rFonts w:cs="Arial" w:hint="cs"/>
          <w:b/>
          <w:bCs/>
          <w:sz w:val="16"/>
          <w:szCs w:val="16"/>
          <w:rtl/>
        </w:rPr>
        <w:t>(פ"ק)</w:t>
      </w:r>
      <w:r w:rsidRPr="003E0959">
        <w:rPr>
          <w:rFonts w:cs="Arial" w:hint="cs"/>
          <w:b/>
          <w:bCs/>
          <w:rtl/>
        </w:rPr>
        <w:t xml:space="preserve"> י</w:t>
      </w:r>
      <w:r>
        <w:rPr>
          <w:rFonts w:cs="Arial" w:hint="cs"/>
          <w:b/>
          <w:bCs/>
          <w:rtl/>
        </w:rPr>
        <w:t>א</w:t>
      </w:r>
      <w:r w:rsidRPr="003E0959">
        <w:rPr>
          <w:rFonts w:cs="Arial" w:hint="cs"/>
          <w:b/>
          <w:bCs/>
          <w:rtl/>
        </w:rPr>
        <w:t xml:space="preserve"> ע"</w:t>
      </w:r>
      <w:r>
        <w:rPr>
          <w:rFonts w:cs="Arial" w:hint="cs"/>
          <w:b/>
          <w:bCs/>
          <w:rtl/>
        </w:rPr>
        <w:t>א</w:t>
      </w:r>
      <w:r w:rsidRPr="003E0959">
        <w:rPr>
          <w:rFonts w:cs="Arial" w:hint="cs"/>
          <w:b/>
          <w:bCs/>
          <w:rtl/>
        </w:rPr>
        <w:t xml:space="preserve">: </w:t>
      </w:r>
      <w:r w:rsidRPr="003E0959">
        <w:rPr>
          <w:rFonts w:cs="Arial"/>
          <w:u w:val="double"/>
          <w:rtl/>
        </w:rPr>
        <w:t>מתני'</w:t>
      </w:r>
      <w:r>
        <w:rPr>
          <w:rFonts w:cs="Arial" w:hint="cs"/>
          <w:rtl/>
        </w:rPr>
        <w:t>:...</w:t>
      </w:r>
      <w:r w:rsidRPr="00E27DEA">
        <w:rPr>
          <w:rtl/>
        </w:rPr>
        <w:t xml:space="preserve"> </w:t>
      </w:r>
      <w:r w:rsidRPr="00E27DEA">
        <w:rPr>
          <w:rFonts w:cs="Arial"/>
          <w:rtl/>
        </w:rPr>
        <w:t>בתולה אלמנה, גרושה, וחלוצה, מן הנישואין - כתובתן מנה,</w:t>
      </w:r>
      <w:r w:rsidRPr="00E27DEA">
        <w:rPr>
          <w:rtl/>
        </w:rPr>
        <w:t xml:space="preserve"> </w:t>
      </w:r>
      <w:r>
        <w:rPr>
          <w:rFonts w:cs="Arial" w:hint="cs"/>
          <w:sz w:val="14"/>
          <w:szCs w:val="14"/>
          <w:rtl/>
        </w:rPr>
        <w:t xml:space="preserve">(יא:) </w:t>
      </w:r>
      <w:r w:rsidRPr="00E27DEA">
        <w:rPr>
          <w:rFonts w:cs="Arial"/>
          <w:rtl/>
        </w:rPr>
        <w:t>ואין להן טענת בתולים.</w:t>
      </w:r>
      <w:r>
        <w:rPr>
          <w:rFonts w:cs="Arial" w:hint="cs"/>
          <w:rtl/>
        </w:rPr>
        <w:t>..</w:t>
      </w:r>
      <w:r w:rsidRPr="00E27DEA">
        <w:rPr>
          <w:rFonts w:cs="Arial"/>
          <w:rtl/>
        </w:rPr>
        <w:t xml:space="preserve"> </w:t>
      </w:r>
      <w:r>
        <w:rPr>
          <w:rFonts w:cs="Arial" w:hint="cs"/>
          <w:rtl/>
        </w:rPr>
        <w:t xml:space="preserve">     </w:t>
      </w:r>
      <w:r>
        <w:rPr>
          <w:rFonts w:cs="Arial" w:hint="cs"/>
          <w:u w:val="double"/>
          <w:rtl/>
        </w:rPr>
        <w:t>גמ</w:t>
      </w:r>
      <w:r w:rsidRPr="003E0959">
        <w:rPr>
          <w:rFonts w:cs="Arial"/>
          <w:u w:val="double"/>
          <w:rtl/>
        </w:rPr>
        <w:t>'</w:t>
      </w:r>
      <w:r>
        <w:rPr>
          <w:rFonts w:cs="Arial" w:hint="cs"/>
          <w:sz w:val="14"/>
          <w:szCs w:val="14"/>
          <w:u w:val="double"/>
          <w:rtl/>
        </w:rPr>
        <w:t>(יב.)</w:t>
      </w:r>
      <w:r>
        <w:rPr>
          <w:rFonts w:cs="Arial" w:hint="cs"/>
          <w:u w:val="double"/>
          <w:rtl/>
        </w:rPr>
        <w:t>:</w:t>
      </w:r>
      <w:r w:rsidRPr="003E21DC">
        <w:rPr>
          <w:rtl/>
        </w:rPr>
        <w:t xml:space="preserve"> </w:t>
      </w:r>
      <w:r w:rsidRPr="003E21DC">
        <w:rPr>
          <w:rFonts w:cs="Arial"/>
          <w:rtl/>
        </w:rPr>
        <w:t>בתולה מן הנישואין היכי משכחת לה? כגון שנכנסה לחופה ולא נבעלה</w:t>
      </w:r>
      <w:r>
        <w:rPr>
          <w:rFonts w:cs="Arial" w:hint="cs"/>
          <w:rtl/>
        </w:rPr>
        <w:t>.</w:t>
      </w:r>
      <w:r w:rsidRPr="00E27DEA">
        <w:rPr>
          <w:rFonts w:cs="Arial"/>
          <w:rtl/>
        </w:rPr>
        <w:t xml:space="preserve"> </w:t>
      </w:r>
    </w:p>
    <w:p w14:paraId="54B28C44" w14:textId="77777777" w:rsidR="001F2DBC" w:rsidRDefault="001F2DBC" w:rsidP="001F2DBC">
      <w:pPr>
        <w:rPr>
          <w:rFonts w:cs="Arial"/>
          <w:rtl/>
        </w:rPr>
      </w:pPr>
      <w:r w:rsidRPr="003E0959">
        <w:rPr>
          <w:rFonts w:cs="Arial" w:hint="cs"/>
          <w:b/>
          <w:bCs/>
          <w:rtl/>
        </w:rPr>
        <w:t xml:space="preserve">כתובות </w:t>
      </w:r>
      <w:r w:rsidRPr="003E0959">
        <w:rPr>
          <w:rFonts w:cs="Arial" w:hint="cs"/>
          <w:b/>
          <w:bCs/>
          <w:sz w:val="16"/>
          <w:szCs w:val="16"/>
          <w:rtl/>
        </w:rPr>
        <w:t>(פ"ק)</w:t>
      </w:r>
      <w:r w:rsidRPr="003E0959">
        <w:rPr>
          <w:rFonts w:cs="Arial" w:hint="cs"/>
          <w:b/>
          <w:bCs/>
          <w:rtl/>
        </w:rPr>
        <w:t xml:space="preserve"> י</w:t>
      </w:r>
      <w:r>
        <w:rPr>
          <w:rFonts w:cs="Arial" w:hint="cs"/>
          <w:b/>
          <w:bCs/>
          <w:rtl/>
        </w:rPr>
        <w:t>א</w:t>
      </w:r>
      <w:r w:rsidRPr="003E0959">
        <w:rPr>
          <w:rFonts w:cs="Arial" w:hint="cs"/>
          <w:b/>
          <w:bCs/>
          <w:rtl/>
        </w:rPr>
        <w:t xml:space="preserve"> ע"</w:t>
      </w:r>
      <w:r>
        <w:rPr>
          <w:rFonts w:cs="Arial" w:hint="cs"/>
          <w:b/>
          <w:bCs/>
          <w:rtl/>
        </w:rPr>
        <w:t>ב</w:t>
      </w:r>
      <w:r w:rsidRPr="003E0959">
        <w:rPr>
          <w:rFonts w:cs="Arial" w:hint="cs"/>
          <w:b/>
          <w:bCs/>
          <w:rtl/>
        </w:rPr>
        <w:t>:</w:t>
      </w:r>
      <w:r>
        <w:rPr>
          <w:rFonts w:cs="Arial" w:hint="cs"/>
          <w:rtl/>
        </w:rPr>
        <w:t xml:space="preserve"> </w:t>
      </w:r>
      <w:r w:rsidRPr="005708FD">
        <w:rPr>
          <w:rFonts w:cs="Arial"/>
          <w:rtl/>
        </w:rPr>
        <w:t xml:space="preserve">ת"ר: כנסה ראשון לשום נישואין, ויש לה עדים שלא נסתרה, אי נמי נסתרה ולא שהתה כדי ביאה - אין השני יכול לטעון טענת בתולים, שהרי כנסה ראשון. </w:t>
      </w:r>
    </w:p>
    <w:p w14:paraId="632B94EB" w14:textId="53D0406B" w:rsidR="007C1D96" w:rsidRPr="002450F0" w:rsidRDefault="002450F0" w:rsidP="007C1D96">
      <w:pPr>
        <w:rPr>
          <w:u w:val="single"/>
          <w:rtl/>
        </w:rPr>
      </w:pPr>
      <w:r w:rsidRPr="002450F0">
        <w:rPr>
          <w:rFonts w:hint="cs"/>
          <w:u w:val="single"/>
          <w:rtl/>
        </w:rPr>
        <w:t>כתובת בתולה שנתאלמנה/נתגרשה/נחלצה מן הנישואין:</w:t>
      </w:r>
    </w:p>
    <w:p w14:paraId="7492E5E2" w14:textId="2C09ED7A" w:rsidR="00801635" w:rsidRPr="00323BAE" w:rsidRDefault="00801635" w:rsidP="009000E3">
      <w:pPr>
        <w:pStyle w:val="ab"/>
        <w:numPr>
          <w:ilvl w:val="0"/>
          <w:numId w:val="17"/>
        </w:numPr>
      </w:pPr>
      <w:r>
        <w:rPr>
          <w:rFonts w:hint="cs"/>
          <w:rtl/>
        </w:rPr>
        <w:t>טור-</w:t>
      </w:r>
      <w:r>
        <w:rPr>
          <w:rFonts w:cs="Arial" w:hint="cs"/>
          <w:rtl/>
        </w:rPr>
        <w:t xml:space="preserve"> </w:t>
      </w:r>
      <w:r w:rsidRPr="005B7F07">
        <w:rPr>
          <w:rFonts w:cs="Arial"/>
          <w:rtl/>
        </w:rPr>
        <w:t>נתאלמנה או נתגרשה או נחלצה מן הנישואין</w:t>
      </w:r>
      <w:r w:rsidR="007C1D96">
        <w:rPr>
          <w:rFonts w:cs="Arial" w:hint="cs"/>
          <w:rtl/>
        </w:rPr>
        <w:t>,</w:t>
      </w:r>
      <w:r w:rsidRPr="005B7F07">
        <w:rPr>
          <w:rFonts w:cs="Arial"/>
          <w:rtl/>
        </w:rPr>
        <w:t xml:space="preserve"> כגון שנכנסה לחופה</w:t>
      </w:r>
      <w:r w:rsidR="007C1D96">
        <w:rPr>
          <w:rFonts w:cs="Arial" w:hint="cs"/>
          <w:rtl/>
        </w:rPr>
        <w:t xml:space="preserve"> -</w:t>
      </w:r>
      <w:r w:rsidRPr="005B7F07">
        <w:rPr>
          <w:rFonts w:cs="Arial"/>
          <w:rtl/>
        </w:rPr>
        <w:t xml:space="preserve"> כתובתה מנה</w:t>
      </w:r>
      <w:r w:rsidR="007C1D96">
        <w:rPr>
          <w:rFonts w:cs="Arial" w:hint="cs"/>
          <w:rtl/>
        </w:rPr>
        <w:t>,</w:t>
      </w:r>
      <w:r w:rsidRPr="005B7F07">
        <w:rPr>
          <w:rFonts w:cs="Arial"/>
          <w:rtl/>
        </w:rPr>
        <w:t xml:space="preserve"> דמשנכנסה לחופה היא בחזקת בעולה ואין לה אלא מנה</w:t>
      </w:r>
      <w:r w:rsidR="002450F0">
        <w:rPr>
          <w:rFonts w:cs="Arial" w:hint="cs"/>
          <w:rtl/>
        </w:rPr>
        <w:t>.</w:t>
      </w:r>
      <w:r w:rsidRPr="005B7F07">
        <w:rPr>
          <w:rFonts w:cs="Arial"/>
          <w:rtl/>
        </w:rPr>
        <w:t xml:space="preserve"> אפילו יש לה עדים שלא נסתרה עם הראשון אנו אומרים שבחזקת בעולה כונסה</w:t>
      </w:r>
      <w:r w:rsidR="002450F0">
        <w:rPr>
          <w:rFonts w:cs="Arial" w:hint="cs"/>
          <w:rtl/>
        </w:rPr>
        <w:t>,</w:t>
      </w:r>
      <w:r w:rsidRPr="005B7F07">
        <w:rPr>
          <w:rFonts w:cs="Arial"/>
          <w:rtl/>
        </w:rPr>
        <w:t xml:space="preserve"> ולפיכך אין עליה טענת בתולים</w:t>
      </w:r>
      <w:r>
        <w:rPr>
          <w:rFonts w:cs="Arial" w:hint="cs"/>
          <w:rtl/>
        </w:rPr>
        <w:t>.</w:t>
      </w:r>
      <w:r w:rsidRPr="005B7F07">
        <w:rPr>
          <w:rFonts w:cs="Arial"/>
          <w:rtl/>
        </w:rPr>
        <w:t xml:space="preserve"> </w:t>
      </w:r>
      <w:r w:rsidR="001F2DBC" w:rsidRPr="00351B7D">
        <w:rPr>
          <w:rFonts w:asciiTheme="minorBidi" w:hAnsiTheme="minorBidi"/>
          <w:color w:val="E36C0A" w:themeColor="accent6" w:themeShade="BF"/>
          <w:rtl/>
        </w:rPr>
        <w:t>(וכ"פ בשו"ע)</w:t>
      </w:r>
    </w:p>
    <w:p w14:paraId="69778FBB" w14:textId="77777777" w:rsidR="005B7F07" w:rsidRPr="00351B7D" w:rsidRDefault="005B7F07" w:rsidP="005B7F0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96F11D2" w14:textId="60BBF5C0" w:rsidR="00973C57" w:rsidRDefault="00973C57" w:rsidP="00973C57">
      <w:pPr>
        <w:rPr>
          <w:rFonts w:cs="Arial"/>
          <w:rtl/>
        </w:rPr>
      </w:pPr>
      <w:r>
        <w:rPr>
          <w:rFonts w:cs="Arial"/>
          <w:rtl/>
        </w:rPr>
        <w:t xml:space="preserve">נתאלמנה או נתגרשה או נחלצה מן הנשואין, כגון שנכנסה לחופה, הרי היא בחזקת בעולה ואין לה אלא מנה ואין עליה טענת בתולים, אפילו יש לה עדים שלא נסתרה עם הראשון. </w:t>
      </w:r>
    </w:p>
    <w:p w14:paraId="25CFB9EB" w14:textId="77777777" w:rsidR="001F2DBC" w:rsidRDefault="001F2DBC" w:rsidP="00973C57">
      <w:pPr>
        <w:rPr>
          <w:rtl/>
        </w:rPr>
      </w:pPr>
    </w:p>
    <w:p w14:paraId="250B7D7B" w14:textId="0AF3FCE0" w:rsidR="00973C57" w:rsidRDefault="00973C57" w:rsidP="000F64D0">
      <w:pPr>
        <w:pStyle w:val="2"/>
        <w:rPr>
          <w:rtl/>
        </w:rPr>
      </w:pPr>
      <w:r>
        <w:rPr>
          <w:rtl/>
        </w:rPr>
        <w:t>סעיף ג</w:t>
      </w:r>
      <w:r w:rsidR="001F2DBC">
        <w:rPr>
          <w:rFonts w:hint="cs"/>
          <w:rtl/>
        </w:rPr>
        <w:t xml:space="preserve">: </w:t>
      </w:r>
      <w:r w:rsidR="007F79FB">
        <w:rPr>
          <w:rFonts w:hint="cs"/>
          <w:rtl/>
        </w:rPr>
        <w:t>גיורת</w:t>
      </w:r>
      <w:r w:rsidR="00773230">
        <w:rPr>
          <w:rFonts w:hint="cs"/>
          <w:rtl/>
        </w:rPr>
        <w:t xml:space="preserve"> שנתגיירה, </w:t>
      </w:r>
      <w:r w:rsidR="007F79FB">
        <w:rPr>
          <w:rFonts w:hint="cs"/>
          <w:rtl/>
        </w:rPr>
        <w:t>שפחה</w:t>
      </w:r>
      <w:r w:rsidR="00773230">
        <w:rPr>
          <w:rFonts w:hint="cs"/>
          <w:rtl/>
        </w:rPr>
        <w:t xml:space="preserve"> שנשתחררה, שבויה שנפדתה.</w:t>
      </w:r>
    </w:p>
    <w:p w14:paraId="280EC118" w14:textId="6F2C9BFF" w:rsidR="00096263" w:rsidRDefault="00F55E2C" w:rsidP="00096263">
      <w:pPr>
        <w:rPr>
          <w:rtl/>
        </w:rPr>
      </w:pPr>
      <w:r w:rsidRPr="003E0959">
        <w:rPr>
          <w:rFonts w:cs="Arial" w:hint="cs"/>
          <w:b/>
          <w:bCs/>
          <w:rtl/>
        </w:rPr>
        <w:t xml:space="preserve">כתובות </w:t>
      </w:r>
      <w:r w:rsidRPr="003E0959">
        <w:rPr>
          <w:rFonts w:cs="Arial" w:hint="cs"/>
          <w:b/>
          <w:bCs/>
          <w:sz w:val="16"/>
          <w:szCs w:val="16"/>
          <w:rtl/>
        </w:rPr>
        <w:t>(פ"ק)</w:t>
      </w:r>
      <w:r w:rsidRPr="003E0959">
        <w:rPr>
          <w:rFonts w:cs="Arial" w:hint="cs"/>
          <w:b/>
          <w:bCs/>
          <w:rtl/>
        </w:rPr>
        <w:t xml:space="preserve"> י</w:t>
      </w:r>
      <w:r>
        <w:rPr>
          <w:rFonts w:cs="Arial" w:hint="cs"/>
          <w:b/>
          <w:bCs/>
          <w:rtl/>
        </w:rPr>
        <w:t>א</w:t>
      </w:r>
      <w:r w:rsidRPr="003E0959">
        <w:rPr>
          <w:rFonts w:cs="Arial" w:hint="cs"/>
          <w:b/>
          <w:bCs/>
          <w:rtl/>
        </w:rPr>
        <w:t xml:space="preserve"> ע"</w:t>
      </w:r>
      <w:r>
        <w:rPr>
          <w:rFonts w:cs="Arial" w:hint="cs"/>
          <w:b/>
          <w:bCs/>
          <w:rtl/>
        </w:rPr>
        <w:t>ב</w:t>
      </w:r>
      <w:r w:rsidRPr="003E0959">
        <w:rPr>
          <w:rFonts w:cs="Arial" w:hint="cs"/>
          <w:b/>
          <w:bCs/>
          <w:rtl/>
        </w:rPr>
        <w:t xml:space="preserve">: </w:t>
      </w:r>
      <w:r w:rsidRPr="003E0959">
        <w:rPr>
          <w:rFonts w:cs="Arial"/>
          <w:u w:val="double"/>
          <w:rtl/>
        </w:rPr>
        <w:t>מתני'</w:t>
      </w:r>
      <w:r>
        <w:rPr>
          <w:rFonts w:cs="Arial" w:hint="cs"/>
          <w:rtl/>
        </w:rPr>
        <w:t xml:space="preserve">:... </w:t>
      </w:r>
      <w:r w:rsidRPr="00F55E2C">
        <w:rPr>
          <w:rFonts w:cs="Arial"/>
          <w:rtl/>
        </w:rPr>
        <w:t>הגיורת, והשבויה, והשפחה, שנפדו ושנתגיירו ושנשתחררו יתירות על בנות שלש שנים ויום אחד - כתובתן מנה, ואין להן טענת בתולין.</w:t>
      </w:r>
    </w:p>
    <w:p w14:paraId="1D6983F8" w14:textId="05B78CB0" w:rsidR="00F55E2C" w:rsidRPr="00773230" w:rsidRDefault="00773230" w:rsidP="00096263">
      <w:pPr>
        <w:rPr>
          <w:u w:val="single"/>
          <w:rtl/>
        </w:rPr>
      </w:pPr>
      <w:r w:rsidRPr="00773230">
        <w:rPr>
          <w:rFonts w:hint="cs"/>
          <w:u w:val="single"/>
          <w:rtl/>
        </w:rPr>
        <w:t>כתובת גיורת שנתגיירה, שפחה שנשתחררה, שבויה שנפדתה:</w:t>
      </w:r>
    </w:p>
    <w:p w14:paraId="1F0CC629" w14:textId="19AB0275" w:rsidR="00F55E2C" w:rsidRPr="00E8183F" w:rsidRDefault="00323BAE" w:rsidP="009000E3">
      <w:pPr>
        <w:pStyle w:val="ab"/>
        <w:numPr>
          <w:ilvl w:val="0"/>
          <w:numId w:val="17"/>
        </w:numPr>
        <w:rPr>
          <w:rtl/>
        </w:rPr>
      </w:pPr>
      <w:r>
        <w:rPr>
          <w:rFonts w:hint="cs"/>
          <w:rtl/>
        </w:rPr>
        <w:t>טור-</w:t>
      </w:r>
      <w:r>
        <w:rPr>
          <w:rFonts w:cs="Arial" w:hint="cs"/>
          <w:rtl/>
        </w:rPr>
        <w:t xml:space="preserve"> </w:t>
      </w:r>
      <w:r w:rsidRPr="005B7F07">
        <w:rPr>
          <w:rFonts w:cs="Arial"/>
          <w:rtl/>
        </w:rPr>
        <w:t>הגיורת והשבויה והשפחה שנתגיירו ושנפדו ושנשתחררו</w:t>
      </w:r>
      <w:r w:rsidR="00096263">
        <w:rPr>
          <w:rFonts w:cs="Arial" w:hint="cs"/>
          <w:rtl/>
        </w:rPr>
        <w:t>,</w:t>
      </w:r>
      <w:r w:rsidRPr="005B7F07">
        <w:rPr>
          <w:rFonts w:cs="Arial"/>
          <w:rtl/>
        </w:rPr>
        <w:t xml:space="preserve"> פחות מבת ג' שנים ויום אחד </w:t>
      </w:r>
      <w:r w:rsidR="00096263">
        <w:rPr>
          <w:rFonts w:cs="Arial" w:hint="cs"/>
          <w:rtl/>
        </w:rPr>
        <w:t xml:space="preserve">- </w:t>
      </w:r>
      <w:r w:rsidRPr="005B7F07">
        <w:rPr>
          <w:rFonts w:cs="Arial"/>
          <w:rtl/>
        </w:rPr>
        <w:t>כתובתן מאתים</w:t>
      </w:r>
      <w:r w:rsidR="00096263">
        <w:rPr>
          <w:rFonts w:cs="Arial" w:hint="cs"/>
          <w:rtl/>
        </w:rPr>
        <w:t>.</w:t>
      </w:r>
      <w:r w:rsidRPr="005B7F07">
        <w:rPr>
          <w:rFonts w:cs="Arial"/>
          <w:rtl/>
        </w:rPr>
        <w:t xml:space="preserve"> ומבת ג' שנים ויום אחד ומעלה </w:t>
      </w:r>
      <w:r w:rsidR="00096263">
        <w:rPr>
          <w:rFonts w:cs="Arial" w:hint="cs"/>
          <w:rtl/>
        </w:rPr>
        <w:t xml:space="preserve">- </w:t>
      </w:r>
      <w:r w:rsidRPr="005B7F07">
        <w:rPr>
          <w:rFonts w:cs="Arial"/>
          <w:rtl/>
        </w:rPr>
        <w:t>כתובתן מנה</w:t>
      </w:r>
      <w:r>
        <w:rPr>
          <w:rFonts w:cs="Arial" w:hint="cs"/>
          <w:rtl/>
        </w:rPr>
        <w:t>.</w:t>
      </w:r>
      <w:r w:rsidR="00F62849" w:rsidRPr="005B7F07">
        <w:rPr>
          <w:rFonts w:cs="Arial"/>
          <w:rtl/>
        </w:rPr>
        <w:t xml:space="preserve"> </w:t>
      </w:r>
      <w:r w:rsidR="00F62849" w:rsidRPr="00351B7D">
        <w:rPr>
          <w:rFonts w:asciiTheme="minorBidi" w:hAnsiTheme="minorBidi"/>
          <w:color w:val="E36C0A" w:themeColor="accent6" w:themeShade="BF"/>
          <w:rtl/>
        </w:rPr>
        <w:t>(וכ"פ בשו"ע)</w:t>
      </w:r>
      <w:r w:rsidRPr="005B7F07">
        <w:rPr>
          <w:rFonts w:cs="Arial"/>
          <w:rtl/>
        </w:rPr>
        <w:t xml:space="preserve"> </w:t>
      </w:r>
    </w:p>
    <w:p w14:paraId="2AD1D6F8" w14:textId="77777777" w:rsidR="005B7F07" w:rsidRPr="00351B7D" w:rsidRDefault="005B7F07" w:rsidP="005B7F0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9DEF6A3" w14:textId="6CC96129" w:rsidR="00F62849" w:rsidRDefault="00973C57" w:rsidP="00973C57">
      <w:pPr>
        <w:rPr>
          <w:rFonts w:cs="Arial"/>
          <w:rtl/>
        </w:rPr>
      </w:pPr>
      <w:r>
        <w:rPr>
          <w:rFonts w:cs="Arial"/>
          <w:rtl/>
        </w:rPr>
        <w:t xml:space="preserve">הגיורת, והשבויה, והשפחה, שנפדו ושנתגיירו ושנשתחררו פחות מבת ג' שנים ויום אחד, כתובתה </w:t>
      </w:r>
      <w:r w:rsidR="00F62849">
        <w:rPr>
          <w:rFonts w:cs="Arial" w:hint="cs"/>
          <w:rtl/>
        </w:rPr>
        <w:t>מאתים</w:t>
      </w:r>
      <w:r>
        <w:rPr>
          <w:rFonts w:cs="Arial"/>
          <w:rtl/>
        </w:rPr>
        <w:t xml:space="preserve"> ויש לה טענת בתולים</w:t>
      </w:r>
      <w:r w:rsidR="00F62849">
        <w:rPr>
          <w:rFonts w:cs="Arial" w:hint="cs"/>
          <w:rtl/>
        </w:rPr>
        <w:t>.</w:t>
      </w:r>
      <w:r>
        <w:rPr>
          <w:rFonts w:cs="Arial"/>
          <w:rtl/>
        </w:rPr>
        <w:t xml:space="preserve"> מבת ג' שנים ויום א</w:t>
      </w:r>
      <w:r w:rsidR="00F62849">
        <w:rPr>
          <w:rFonts w:cs="Arial" w:hint="cs"/>
          <w:rtl/>
        </w:rPr>
        <w:t>חד</w:t>
      </w:r>
      <w:r>
        <w:rPr>
          <w:rFonts w:cs="Arial"/>
          <w:rtl/>
        </w:rPr>
        <w:t xml:space="preserve"> ומעלה, כתובתן מנה ואין לה טענת בתולים.</w:t>
      </w:r>
    </w:p>
    <w:p w14:paraId="44D9A981" w14:textId="508A0497" w:rsidR="00973C57" w:rsidRDefault="00973C57" w:rsidP="00973C57">
      <w:pPr>
        <w:rPr>
          <w:rtl/>
        </w:rPr>
      </w:pPr>
      <w:r>
        <w:rPr>
          <w:rFonts w:cs="Arial"/>
          <w:rtl/>
        </w:rPr>
        <w:lastRenderedPageBreak/>
        <w:t xml:space="preserve"> </w:t>
      </w:r>
    </w:p>
    <w:p w14:paraId="6D48A130" w14:textId="6896CCDB" w:rsidR="00973C57" w:rsidRDefault="00973C57" w:rsidP="000F64D0">
      <w:pPr>
        <w:pStyle w:val="2"/>
        <w:rPr>
          <w:rtl/>
        </w:rPr>
      </w:pPr>
      <w:r>
        <w:rPr>
          <w:rtl/>
        </w:rPr>
        <w:t>סעיף ד</w:t>
      </w:r>
      <w:r w:rsidR="00F62849">
        <w:rPr>
          <w:rFonts w:hint="cs"/>
          <w:rtl/>
        </w:rPr>
        <w:t>:</w:t>
      </w:r>
      <w:r w:rsidR="0086079E">
        <w:rPr>
          <w:rFonts w:hint="cs"/>
          <w:rtl/>
        </w:rPr>
        <w:t xml:space="preserve"> קטנה מבת ג' שנים</w:t>
      </w:r>
      <w:r w:rsidR="00A60939">
        <w:rPr>
          <w:rFonts w:hint="cs"/>
          <w:rtl/>
        </w:rPr>
        <w:t xml:space="preserve"> שנבעלה. גדולה שנבעלה ע"י קטן מבן ט' שנים.</w:t>
      </w:r>
    </w:p>
    <w:p w14:paraId="2BE29835" w14:textId="3EC4F607" w:rsidR="009E10BF" w:rsidRPr="009E10BF" w:rsidRDefault="009E10BF" w:rsidP="009E10BF">
      <w:pPr>
        <w:rPr>
          <w:rFonts w:cs="Arial"/>
          <w:sz w:val="16"/>
          <w:szCs w:val="16"/>
          <w:rtl/>
        </w:rPr>
      </w:pPr>
      <w:r w:rsidRPr="003E0959">
        <w:rPr>
          <w:rFonts w:cs="Arial" w:hint="cs"/>
          <w:b/>
          <w:bCs/>
          <w:rtl/>
        </w:rPr>
        <w:t xml:space="preserve">כתובות </w:t>
      </w:r>
      <w:r w:rsidRPr="003E0959">
        <w:rPr>
          <w:rFonts w:cs="Arial" w:hint="cs"/>
          <w:b/>
          <w:bCs/>
          <w:sz w:val="16"/>
          <w:szCs w:val="16"/>
          <w:rtl/>
        </w:rPr>
        <w:t>(פ"ק)</w:t>
      </w:r>
      <w:r w:rsidRPr="003E0959">
        <w:rPr>
          <w:rFonts w:cs="Arial" w:hint="cs"/>
          <w:b/>
          <w:bCs/>
          <w:rtl/>
        </w:rPr>
        <w:t xml:space="preserve"> י</w:t>
      </w:r>
      <w:r>
        <w:rPr>
          <w:rFonts w:cs="Arial" w:hint="cs"/>
          <w:b/>
          <w:bCs/>
          <w:rtl/>
        </w:rPr>
        <w:t>א</w:t>
      </w:r>
      <w:r w:rsidRPr="003E0959">
        <w:rPr>
          <w:rFonts w:cs="Arial" w:hint="cs"/>
          <w:b/>
          <w:bCs/>
          <w:rtl/>
        </w:rPr>
        <w:t xml:space="preserve"> ע"</w:t>
      </w:r>
      <w:r>
        <w:rPr>
          <w:rFonts w:cs="Arial" w:hint="cs"/>
          <w:b/>
          <w:bCs/>
          <w:rtl/>
        </w:rPr>
        <w:t>א</w:t>
      </w:r>
      <w:r w:rsidRPr="003E0959">
        <w:rPr>
          <w:rFonts w:cs="Arial" w:hint="cs"/>
          <w:b/>
          <w:bCs/>
          <w:rtl/>
        </w:rPr>
        <w:t xml:space="preserve">: </w:t>
      </w:r>
      <w:r w:rsidRPr="003E0959">
        <w:rPr>
          <w:rFonts w:cs="Arial"/>
          <w:u w:val="double"/>
          <w:rtl/>
        </w:rPr>
        <w:t>מתני'</w:t>
      </w:r>
      <w:r>
        <w:rPr>
          <w:rFonts w:cs="Arial" w:hint="cs"/>
          <w:rtl/>
        </w:rPr>
        <w:t>:</w:t>
      </w:r>
      <w:r w:rsidRPr="001370F3">
        <w:rPr>
          <w:rFonts w:cs="Arial"/>
          <w:rtl/>
        </w:rPr>
        <w:t xml:space="preserve"> הגדול שבא על הקטנה, וקטן שבא על הגדולה, ומוכת עץ - כתובתן מאתים, </w:t>
      </w:r>
      <w:r w:rsidRPr="001370F3">
        <w:rPr>
          <w:rFonts w:cs="Arial"/>
          <w:u w:val="single"/>
          <w:rtl/>
        </w:rPr>
        <w:t>דברי רבי מאיר</w:t>
      </w:r>
      <w:r w:rsidRPr="001370F3">
        <w:rPr>
          <w:rFonts w:cs="Arial"/>
          <w:rtl/>
        </w:rPr>
        <w:t xml:space="preserve">; </w:t>
      </w:r>
      <w:r w:rsidRPr="001370F3">
        <w:rPr>
          <w:rFonts w:cs="Arial"/>
          <w:u w:val="single"/>
          <w:rtl/>
        </w:rPr>
        <w:t>וחכ"א</w:t>
      </w:r>
      <w:r w:rsidRPr="001370F3">
        <w:rPr>
          <w:rFonts w:cs="Arial"/>
          <w:rtl/>
        </w:rPr>
        <w:t>: מוכת עץ - כתובתה מנה.</w:t>
      </w:r>
      <w:r>
        <w:rPr>
          <w:rFonts w:hint="cs"/>
          <w:rtl/>
        </w:rPr>
        <w:t xml:space="preserve">     </w:t>
      </w:r>
      <w:r w:rsidRPr="00A86787">
        <w:rPr>
          <w:rtl/>
        </w:rPr>
        <w:t xml:space="preserve"> </w:t>
      </w:r>
      <w:r w:rsidRPr="00A86787">
        <w:rPr>
          <w:rFonts w:cs="Arial"/>
          <w:u w:val="double"/>
          <w:rtl/>
        </w:rPr>
        <w:t>גמ'</w:t>
      </w:r>
      <w:r w:rsidR="005869CC" w:rsidRPr="005869CC">
        <w:rPr>
          <w:rFonts w:cs="Arial" w:hint="cs"/>
          <w:sz w:val="14"/>
          <w:szCs w:val="14"/>
          <w:u w:val="double"/>
          <w:rtl/>
        </w:rPr>
        <w:t>(</w:t>
      </w:r>
      <w:r w:rsidR="005869CC">
        <w:rPr>
          <w:rFonts w:cs="Arial" w:hint="cs"/>
          <w:sz w:val="14"/>
          <w:szCs w:val="14"/>
          <w:u w:val="double"/>
          <w:rtl/>
        </w:rPr>
        <w:t>יא:</w:t>
      </w:r>
      <w:r w:rsidR="005869CC" w:rsidRPr="005869CC">
        <w:rPr>
          <w:rFonts w:cs="Arial" w:hint="cs"/>
          <w:sz w:val="14"/>
          <w:szCs w:val="14"/>
          <w:u w:val="double"/>
          <w:rtl/>
        </w:rPr>
        <w:t>)</w:t>
      </w:r>
      <w:r w:rsidR="005869CC">
        <w:rPr>
          <w:rFonts w:cs="Arial" w:hint="cs"/>
          <w:u w:val="double"/>
          <w:rtl/>
        </w:rPr>
        <w:t>:</w:t>
      </w:r>
      <w:r w:rsidRPr="00A86787">
        <w:rPr>
          <w:rFonts w:cs="Arial"/>
          <w:rtl/>
        </w:rPr>
        <w:t xml:space="preserve"> </w:t>
      </w:r>
      <w:r w:rsidRPr="00A86787">
        <w:rPr>
          <w:rFonts w:cs="Arial"/>
          <w:u w:val="single"/>
          <w:rtl/>
        </w:rPr>
        <w:t>אמר רב יהודה אמר רב</w:t>
      </w:r>
      <w:r w:rsidRPr="00A86787">
        <w:rPr>
          <w:rFonts w:cs="Arial"/>
          <w:rtl/>
        </w:rPr>
        <w:t>: קטן הבא על הגדולה - עשאה מוכת עץ</w:t>
      </w:r>
      <w:r>
        <w:rPr>
          <w:rStyle w:val="a7"/>
          <w:rFonts w:cs="Arial"/>
          <w:rtl/>
        </w:rPr>
        <w:footnoteReference w:id="150"/>
      </w:r>
      <w:r>
        <w:rPr>
          <w:rFonts w:cs="Arial" w:hint="cs"/>
          <w:rtl/>
        </w:rPr>
        <w:t>.</w:t>
      </w:r>
      <w:r w:rsidRPr="00A86787">
        <w:rPr>
          <w:rFonts w:cs="Arial"/>
          <w:rtl/>
        </w:rPr>
        <w:t xml:space="preserve"> </w:t>
      </w:r>
      <w:r w:rsidRPr="00A86787">
        <w:rPr>
          <w:rFonts w:cs="Arial"/>
          <w:u w:val="single"/>
          <w:rtl/>
        </w:rPr>
        <w:t>כי אמריתה קמיה דשמואל, אמר</w:t>
      </w:r>
      <w:r w:rsidRPr="00A86787">
        <w:rPr>
          <w:rFonts w:cs="Arial"/>
          <w:rtl/>
        </w:rPr>
        <w:t>: אין מוכת עץ בבשר</w:t>
      </w:r>
      <w:r>
        <w:rPr>
          <w:rStyle w:val="a7"/>
          <w:rFonts w:cs="Arial"/>
          <w:rtl/>
        </w:rPr>
        <w:footnoteReference w:id="151"/>
      </w:r>
      <w:r w:rsidRPr="00A86787">
        <w:rPr>
          <w:rFonts w:cs="Arial"/>
          <w:rtl/>
        </w:rPr>
        <w:t>.</w:t>
      </w:r>
      <w:r>
        <w:rPr>
          <w:rFonts w:cs="Arial" w:hint="cs"/>
          <w:rtl/>
        </w:rPr>
        <w:t xml:space="preserve"> </w:t>
      </w:r>
      <w:r>
        <w:rPr>
          <w:rFonts w:cs="Arial" w:hint="cs"/>
          <w:sz w:val="16"/>
          <w:szCs w:val="16"/>
          <w:rtl/>
        </w:rPr>
        <w:t xml:space="preserve">(וכתבו התוס' (ד"ה ושמואל אמר) דשמואל </w:t>
      </w:r>
      <w:r w:rsidRPr="009E10BF">
        <w:rPr>
          <w:rFonts w:cs="Arial"/>
          <w:sz w:val="16"/>
          <w:szCs w:val="16"/>
          <w:rtl/>
        </w:rPr>
        <w:t>בלא השיר בתולין איירי</w:t>
      </w:r>
      <w:r>
        <w:rPr>
          <w:rFonts w:cs="Arial" w:hint="cs"/>
          <w:sz w:val="16"/>
          <w:szCs w:val="16"/>
          <w:rtl/>
        </w:rPr>
        <w:t>,</w:t>
      </w:r>
      <w:r w:rsidRPr="009E10BF">
        <w:rPr>
          <w:rFonts w:cs="Arial"/>
          <w:sz w:val="16"/>
          <w:szCs w:val="16"/>
          <w:rtl/>
        </w:rPr>
        <w:t xml:space="preserve"> דאי בהשיר למה יש לה להיות פחותה ממוכת עץ</w:t>
      </w:r>
      <w:r>
        <w:rPr>
          <w:rFonts w:cs="Arial" w:hint="cs"/>
          <w:sz w:val="16"/>
          <w:szCs w:val="16"/>
          <w:rtl/>
        </w:rPr>
        <w:t>. עכ"ל. וכ"כ הרא"ש (סי' כד))</w:t>
      </w:r>
    </w:p>
    <w:p w14:paraId="58252597" w14:textId="619CEB3F" w:rsidR="00F62849" w:rsidRPr="00A60939" w:rsidRDefault="005F3F37" w:rsidP="00F62849">
      <w:pPr>
        <w:rPr>
          <w:u w:val="single"/>
          <w:rtl/>
        </w:rPr>
      </w:pPr>
      <w:r>
        <w:rPr>
          <w:rFonts w:hint="cs"/>
          <w:u w:val="single"/>
          <w:rtl/>
        </w:rPr>
        <w:t xml:space="preserve">כתובת </w:t>
      </w:r>
      <w:r w:rsidR="00A60939" w:rsidRPr="00A60939">
        <w:rPr>
          <w:rFonts w:hint="cs"/>
          <w:u w:val="single"/>
          <w:rtl/>
        </w:rPr>
        <w:t>קטנה מבת ג' שנים שנבעלה</w:t>
      </w:r>
      <w:r>
        <w:rPr>
          <w:rFonts w:hint="cs"/>
          <w:u w:val="single"/>
          <w:rtl/>
        </w:rPr>
        <w:t>, או</w:t>
      </w:r>
      <w:r w:rsidR="00A60939" w:rsidRPr="00A60939">
        <w:rPr>
          <w:rFonts w:hint="cs"/>
          <w:u w:val="single"/>
          <w:rtl/>
        </w:rPr>
        <w:t xml:space="preserve"> גדולה שנבעלה ע"י קטן מבן ט' שנים:</w:t>
      </w:r>
    </w:p>
    <w:p w14:paraId="0364D7FF" w14:textId="3BC63AA7" w:rsidR="00323BAE" w:rsidRPr="00911C29" w:rsidRDefault="00323BAE" w:rsidP="009000E3">
      <w:pPr>
        <w:pStyle w:val="ab"/>
        <w:numPr>
          <w:ilvl w:val="0"/>
          <w:numId w:val="17"/>
        </w:numPr>
      </w:pPr>
      <w:r>
        <w:rPr>
          <w:rFonts w:hint="cs"/>
          <w:rtl/>
        </w:rPr>
        <w:t>טור-</w:t>
      </w:r>
      <w:r>
        <w:rPr>
          <w:rFonts w:cs="Arial" w:hint="cs"/>
          <w:rtl/>
        </w:rPr>
        <w:t xml:space="preserve"> </w:t>
      </w:r>
      <w:r w:rsidRPr="005B7F07">
        <w:rPr>
          <w:rFonts w:cs="Arial"/>
          <w:rtl/>
        </w:rPr>
        <w:t>קטנה מבת שלש שנים ויום אחד ולמטה שנבעלה</w:t>
      </w:r>
      <w:r w:rsidR="003230E1">
        <w:rPr>
          <w:rFonts w:cs="Arial" w:hint="cs"/>
          <w:rtl/>
        </w:rPr>
        <w:t>,</w:t>
      </w:r>
      <w:r w:rsidRPr="005B7F07">
        <w:rPr>
          <w:rFonts w:cs="Arial"/>
          <w:rtl/>
        </w:rPr>
        <w:t xml:space="preserve"> אפילו בא עליה גדול </w:t>
      </w:r>
      <w:r w:rsidR="003230E1">
        <w:rPr>
          <w:rFonts w:cs="Arial" w:hint="cs"/>
          <w:rtl/>
        </w:rPr>
        <w:t xml:space="preserve">- </w:t>
      </w:r>
      <w:r w:rsidRPr="005B7F07">
        <w:rPr>
          <w:rFonts w:cs="Arial"/>
          <w:rtl/>
        </w:rPr>
        <w:t>כתובתה מאתים</w:t>
      </w:r>
      <w:r w:rsidR="003230E1">
        <w:rPr>
          <w:rFonts w:cs="Arial" w:hint="cs"/>
          <w:rtl/>
        </w:rPr>
        <w:t>.</w:t>
      </w:r>
      <w:r w:rsidRPr="005B7F07">
        <w:rPr>
          <w:rFonts w:cs="Arial"/>
          <w:rtl/>
        </w:rPr>
        <w:t xml:space="preserve"> וקטן בן ט' שנים ויום אחד ולמטה שבא על הגדולה ונשאת </w:t>
      </w:r>
      <w:r w:rsidR="003230E1">
        <w:rPr>
          <w:rFonts w:cs="Arial" w:hint="cs"/>
          <w:rtl/>
        </w:rPr>
        <w:t xml:space="preserve">- </w:t>
      </w:r>
      <w:r w:rsidRPr="005B7F07">
        <w:rPr>
          <w:rFonts w:cs="Arial"/>
          <w:rtl/>
        </w:rPr>
        <w:t xml:space="preserve">כתובתה </w:t>
      </w:r>
      <w:r w:rsidR="003230E1">
        <w:rPr>
          <w:rFonts w:cs="Arial" w:hint="cs"/>
          <w:rtl/>
        </w:rPr>
        <w:t>מאתים</w:t>
      </w:r>
      <w:r w:rsidR="0086079E">
        <w:rPr>
          <w:rFonts w:cs="Arial" w:hint="cs"/>
          <w:rtl/>
        </w:rPr>
        <w:t>,</w:t>
      </w:r>
      <w:r w:rsidRPr="005B7F07">
        <w:rPr>
          <w:rFonts w:cs="Arial"/>
          <w:rtl/>
        </w:rPr>
        <w:t xml:space="preserve"> שאין ביאתו ביאה עד שיהא בן ט' שנים ויום אחד</w:t>
      </w:r>
      <w:r w:rsidR="0086079E">
        <w:rPr>
          <w:rFonts w:cs="Arial" w:hint="cs"/>
          <w:rtl/>
        </w:rPr>
        <w:t>.</w:t>
      </w:r>
      <w:r w:rsidRPr="005B7F07">
        <w:rPr>
          <w:rFonts w:cs="Arial"/>
          <w:rtl/>
        </w:rPr>
        <w:t xml:space="preserve"> ודוקא שלא השיר בתוליה</w:t>
      </w:r>
      <w:r w:rsidR="0086079E">
        <w:rPr>
          <w:rFonts w:cs="Arial" w:hint="cs"/>
          <w:rtl/>
        </w:rPr>
        <w:t>,</w:t>
      </w:r>
      <w:r w:rsidRPr="005B7F07">
        <w:rPr>
          <w:rFonts w:cs="Arial"/>
          <w:rtl/>
        </w:rPr>
        <w:t xml:space="preserve"> אבל אם השיר בתוליה אין לה אלא מנה</w:t>
      </w:r>
      <w:r>
        <w:rPr>
          <w:rFonts w:cs="Arial" w:hint="cs"/>
          <w:rtl/>
        </w:rPr>
        <w:t>.</w:t>
      </w:r>
      <w:r w:rsidRPr="005B7F07">
        <w:rPr>
          <w:rFonts w:cs="Arial"/>
          <w:rtl/>
        </w:rPr>
        <w:t xml:space="preserve"> </w:t>
      </w:r>
      <w:r w:rsidR="009E10BF" w:rsidRPr="00351B7D">
        <w:rPr>
          <w:rFonts w:asciiTheme="minorBidi" w:hAnsiTheme="minorBidi"/>
          <w:color w:val="E36C0A" w:themeColor="accent6" w:themeShade="BF"/>
          <w:rtl/>
        </w:rPr>
        <w:t>(וכ"פ בשו"ע)</w:t>
      </w:r>
      <w:r w:rsidR="00324E5B">
        <w:rPr>
          <w:rFonts w:hint="cs"/>
          <w:rtl/>
        </w:rPr>
        <w:t xml:space="preserve"> </w:t>
      </w:r>
    </w:p>
    <w:p w14:paraId="4F30C05C" w14:textId="77777777" w:rsidR="005B7F07" w:rsidRPr="00351B7D" w:rsidRDefault="005B7F07" w:rsidP="005B7F0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4CDD798" w14:textId="2D3FEE48" w:rsidR="009E10BF" w:rsidRDefault="00973C57" w:rsidP="00973C57">
      <w:pPr>
        <w:rPr>
          <w:rFonts w:cs="Arial"/>
          <w:rtl/>
        </w:rPr>
      </w:pPr>
      <w:r>
        <w:rPr>
          <w:rFonts w:cs="Arial"/>
          <w:rtl/>
        </w:rPr>
        <w:t>קטנה פחותה מבת ג' שנים ויום אחד שנבעלה, אפילו בא עליה גדול, כתובת</w:t>
      </w:r>
      <w:r w:rsidR="009E10BF">
        <w:rPr>
          <w:rFonts w:cs="Arial" w:hint="cs"/>
          <w:rtl/>
        </w:rPr>
        <w:t>ה מאתים.</w:t>
      </w:r>
      <w:r>
        <w:rPr>
          <w:rFonts w:cs="Arial"/>
          <w:rtl/>
        </w:rPr>
        <w:t xml:space="preserve"> וקטן פחות מבן ט' ויום אחד שבא על הגדולה, כתובתה</w:t>
      </w:r>
      <w:r w:rsidR="009E10BF">
        <w:rPr>
          <w:rFonts w:cs="Arial" w:hint="cs"/>
          <w:rtl/>
        </w:rPr>
        <w:t xml:space="preserve"> מאתים. </w:t>
      </w:r>
      <w:r>
        <w:rPr>
          <w:rFonts w:cs="Arial"/>
          <w:rtl/>
        </w:rPr>
        <w:t>ודוקא שלא הסיר בתוליה, אבל אם הסיר בתוליה אין לה אלא מנה.</w:t>
      </w:r>
    </w:p>
    <w:p w14:paraId="165C9AC9" w14:textId="187D951A" w:rsidR="00973C57" w:rsidRDefault="00973C57" w:rsidP="00973C57">
      <w:pPr>
        <w:rPr>
          <w:rtl/>
        </w:rPr>
      </w:pPr>
      <w:r>
        <w:rPr>
          <w:rFonts w:cs="Arial"/>
          <w:rtl/>
        </w:rPr>
        <w:t xml:space="preserve"> </w:t>
      </w:r>
    </w:p>
    <w:p w14:paraId="79AADDAB" w14:textId="3A3D5D7C" w:rsidR="00973C57" w:rsidRDefault="00973C57" w:rsidP="000F64D0">
      <w:pPr>
        <w:pStyle w:val="2"/>
        <w:rPr>
          <w:rtl/>
        </w:rPr>
      </w:pPr>
      <w:r>
        <w:rPr>
          <w:rtl/>
        </w:rPr>
        <w:t>סעיף ה</w:t>
      </w:r>
      <w:r w:rsidR="009E10BF">
        <w:rPr>
          <w:rFonts w:hint="cs"/>
          <w:rtl/>
        </w:rPr>
        <w:t xml:space="preserve">: </w:t>
      </w:r>
      <w:r w:rsidR="005F3F37">
        <w:rPr>
          <w:rFonts w:hint="cs"/>
          <w:rtl/>
        </w:rPr>
        <w:t>מוכת עץ.</w:t>
      </w:r>
    </w:p>
    <w:p w14:paraId="5F38259A" w14:textId="6C0B32DB" w:rsidR="00B2734D" w:rsidRDefault="00B2734D" w:rsidP="00B2734D">
      <w:pPr>
        <w:rPr>
          <w:rtl/>
        </w:rPr>
      </w:pPr>
      <w:r w:rsidRPr="003E0959">
        <w:rPr>
          <w:rFonts w:cs="Arial" w:hint="cs"/>
          <w:b/>
          <w:bCs/>
          <w:rtl/>
        </w:rPr>
        <w:t xml:space="preserve">כתובות </w:t>
      </w:r>
      <w:r w:rsidRPr="003E0959">
        <w:rPr>
          <w:rFonts w:cs="Arial" w:hint="cs"/>
          <w:b/>
          <w:bCs/>
          <w:sz w:val="16"/>
          <w:szCs w:val="16"/>
          <w:rtl/>
        </w:rPr>
        <w:t>(פ"ק)</w:t>
      </w:r>
      <w:r w:rsidRPr="003E0959">
        <w:rPr>
          <w:rFonts w:cs="Arial" w:hint="cs"/>
          <w:b/>
          <w:bCs/>
          <w:rtl/>
        </w:rPr>
        <w:t xml:space="preserve"> י</w:t>
      </w:r>
      <w:r>
        <w:rPr>
          <w:rFonts w:cs="Arial" w:hint="cs"/>
          <w:b/>
          <w:bCs/>
          <w:rtl/>
        </w:rPr>
        <w:t>א</w:t>
      </w:r>
      <w:r w:rsidRPr="003E0959">
        <w:rPr>
          <w:rFonts w:cs="Arial" w:hint="cs"/>
          <w:b/>
          <w:bCs/>
          <w:rtl/>
        </w:rPr>
        <w:t xml:space="preserve"> ע"</w:t>
      </w:r>
      <w:r>
        <w:rPr>
          <w:rFonts w:cs="Arial" w:hint="cs"/>
          <w:b/>
          <w:bCs/>
          <w:rtl/>
        </w:rPr>
        <w:t>א</w:t>
      </w:r>
      <w:r w:rsidRPr="003E0959">
        <w:rPr>
          <w:rFonts w:cs="Arial" w:hint="cs"/>
          <w:b/>
          <w:bCs/>
          <w:rtl/>
        </w:rPr>
        <w:t xml:space="preserve">: </w:t>
      </w:r>
      <w:r w:rsidRPr="003E0959">
        <w:rPr>
          <w:rFonts w:cs="Arial"/>
          <w:u w:val="double"/>
          <w:rtl/>
        </w:rPr>
        <w:t>מתני'</w:t>
      </w:r>
      <w:r>
        <w:rPr>
          <w:rFonts w:cs="Arial" w:hint="cs"/>
          <w:rtl/>
        </w:rPr>
        <w:t>:</w:t>
      </w:r>
      <w:r w:rsidRPr="001370F3">
        <w:rPr>
          <w:rFonts w:cs="Arial"/>
          <w:rtl/>
        </w:rPr>
        <w:t xml:space="preserve"> הגדול שבא על הקטנה, וקטן שבא על הגדולה, ומוכת עץ - כתובתן מאתים, </w:t>
      </w:r>
      <w:r w:rsidRPr="001370F3">
        <w:rPr>
          <w:rFonts w:cs="Arial"/>
          <w:u w:val="single"/>
          <w:rtl/>
        </w:rPr>
        <w:t>דברי רבי מאיר</w:t>
      </w:r>
      <w:r w:rsidRPr="001370F3">
        <w:rPr>
          <w:rFonts w:cs="Arial"/>
          <w:rtl/>
        </w:rPr>
        <w:t xml:space="preserve">; </w:t>
      </w:r>
      <w:r w:rsidRPr="001370F3">
        <w:rPr>
          <w:rFonts w:cs="Arial"/>
          <w:u w:val="single"/>
          <w:rtl/>
        </w:rPr>
        <w:t>וחכ"א</w:t>
      </w:r>
      <w:r w:rsidRPr="001370F3">
        <w:rPr>
          <w:rFonts w:cs="Arial"/>
          <w:rtl/>
        </w:rPr>
        <w:t>: מוכת עץ - כתובתה מנה</w:t>
      </w:r>
      <w:r>
        <w:rPr>
          <w:rStyle w:val="a7"/>
          <w:rFonts w:cs="Arial"/>
          <w:rtl/>
        </w:rPr>
        <w:footnoteReference w:id="152"/>
      </w:r>
      <w:r w:rsidRPr="001370F3">
        <w:rPr>
          <w:rFonts w:cs="Arial"/>
          <w:rtl/>
        </w:rPr>
        <w:t>.</w:t>
      </w:r>
      <w:r>
        <w:rPr>
          <w:rFonts w:hint="cs"/>
          <w:rtl/>
        </w:rPr>
        <w:t xml:space="preserve">     </w:t>
      </w:r>
      <w:r w:rsidRPr="00A86787">
        <w:rPr>
          <w:rtl/>
        </w:rPr>
        <w:t xml:space="preserve"> </w:t>
      </w:r>
      <w:r w:rsidRPr="00A86787">
        <w:rPr>
          <w:rFonts w:cs="Arial"/>
          <w:u w:val="double"/>
          <w:rtl/>
        </w:rPr>
        <w:t>גמ'</w:t>
      </w:r>
      <w:r w:rsidR="00825474">
        <w:rPr>
          <w:rFonts w:cs="Arial" w:hint="cs"/>
          <w:sz w:val="14"/>
          <w:szCs w:val="14"/>
          <w:u w:val="double"/>
          <w:rtl/>
        </w:rPr>
        <w:t>(יא:)</w:t>
      </w:r>
      <w:r w:rsidR="00825474">
        <w:rPr>
          <w:rFonts w:cs="Arial" w:hint="cs"/>
          <w:u w:val="double"/>
          <w:rtl/>
        </w:rPr>
        <w:t>:</w:t>
      </w:r>
      <w:r w:rsidR="00825474" w:rsidRPr="00825474">
        <w:rPr>
          <w:rtl/>
        </w:rPr>
        <w:t xml:space="preserve"> </w:t>
      </w:r>
      <w:r w:rsidR="001A50BB" w:rsidRPr="001A50BB">
        <w:rPr>
          <w:rFonts w:cs="Arial" w:hint="cs"/>
          <w:u w:val="single"/>
          <w:rtl/>
        </w:rPr>
        <w:t xml:space="preserve">אלא </w:t>
      </w:r>
      <w:r w:rsidR="00825474" w:rsidRPr="001A50BB">
        <w:rPr>
          <w:rFonts w:cs="Arial"/>
          <w:u w:val="single"/>
          <w:rtl/>
        </w:rPr>
        <w:t>אמר רבא</w:t>
      </w:r>
      <w:r w:rsidR="00825474" w:rsidRPr="00825474">
        <w:rPr>
          <w:rFonts w:cs="Arial"/>
          <w:rtl/>
        </w:rPr>
        <w:t>: בין הכיר בה ובין לא הכיר בה - לר"מ מאתים, לרבנן, הכיר בה - מנה, לא הכיר בה - ולא כלום. והדר ביה רבא</w:t>
      </w:r>
      <w:r w:rsidR="00427EA2">
        <w:rPr>
          <w:rStyle w:val="a7"/>
          <w:rtl/>
        </w:rPr>
        <w:footnoteReference w:id="153"/>
      </w:r>
      <w:r w:rsidR="00427EA2">
        <w:rPr>
          <w:rFonts w:hint="cs"/>
          <w:rtl/>
        </w:rPr>
        <w:t>...</w:t>
      </w:r>
      <w:r w:rsidR="00B343FB">
        <w:rPr>
          <w:rFonts w:cs="Arial" w:hint="cs"/>
          <w:sz w:val="16"/>
          <w:szCs w:val="16"/>
          <w:rtl/>
        </w:rPr>
        <w:t xml:space="preserve"> (</w:t>
      </w:r>
      <w:r w:rsidR="00B343FB" w:rsidRPr="000444EA">
        <w:rPr>
          <w:rFonts w:cs="Arial"/>
          <w:sz w:val="16"/>
          <w:szCs w:val="16"/>
          <w:rtl/>
        </w:rPr>
        <w:t>וכתבו הרי"ף (ד.) והרא"ש (שם) וכן הלכתא דהדר ביה מההיא קמייתא דאמר הכיר בה ק' לא הכיר בה ולא כלום</w:t>
      </w:r>
      <w:r w:rsidR="00B343FB" w:rsidRPr="000444EA">
        <w:rPr>
          <w:rFonts w:cs="Arial" w:hint="cs"/>
          <w:sz w:val="16"/>
          <w:szCs w:val="16"/>
          <w:rtl/>
        </w:rPr>
        <w:t>.</w:t>
      </w:r>
      <w:r w:rsidR="00B343FB" w:rsidRPr="000444EA">
        <w:rPr>
          <w:rFonts w:cs="Arial"/>
          <w:sz w:val="16"/>
          <w:szCs w:val="16"/>
          <w:rtl/>
        </w:rPr>
        <w:t xml:space="preserve"> אבל כנסה בחזקת בתולה ונמצאת בעולה </w:t>
      </w:r>
      <w:r w:rsidR="00B343FB" w:rsidRPr="000444EA">
        <w:rPr>
          <w:rFonts w:cs="Arial" w:hint="cs"/>
          <w:sz w:val="16"/>
          <w:szCs w:val="16"/>
          <w:rtl/>
        </w:rPr>
        <w:t xml:space="preserve">- </w:t>
      </w:r>
      <w:r w:rsidR="00B343FB" w:rsidRPr="000444EA">
        <w:rPr>
          <w:rFonts w:cs="Arial"/>
          <w:sz w:val="16"/>
          <w:szCs w:val="16"/>
          <w:rtl/>
        </w:rPr>
        <w:t>אין לה כלום</w:t>
      </w:r>
      <w:r w:rsidR="00B343FB" w:rsidRPr="000444EA">
        <w:rPr>
          <w:rFonts w:cs="Arial" w:hint="cs"/>
          <w:sz w:val="16"/>
          <w:szCs w:val="16"/>
          <w:rtl/>
        </w:rPr>
        <w:t>,</w:t>
      </w:r>
      <w:r w:rsidR="00B343FB" w:rsidRPr="000444EA">
        <w:rPr>
          <w:rFonts w:cs="Arial"/>
          <w:sz w:val="16"/>
          <w:szCs w:val="16"/>
          <w:rtl/>
        </w:rPr>
        <w:t xml:space="preserve"> דתנן (יב:) הנושא את האשה ולא מצא לה בתולים היא אומרת משאירסתני נאנסתי ונסתחפה שדך והוא אומר לא כי אלא עד שלא אירסתיך והיה מקחי מקח טעות ואמר רב</w:t>
      </w:r>
      <w:r w:rsidR="00B343FB" w:rsidRPr="000444EA">
        <w:rPr>
          <w:rFonts w:cs="Arial" w:hint="cs"/>
          <w:sz w:val="16"/>
          <w:szCs w:val="16"/>
          <w:rtl/>
        </w:rPr>
        <w:t>א (יא:)</w:t>
      </w:r>
      <w:r w:rsidR="00B343FB" w:rsidRPr="000444EA">
        <w:rPr>
          <w:rFonts w:cs="Arial"/>
          <w:sz w:val="16"/>
          <w:szCs w:val="16"/>
          <w:rtl/>
        </w:rPr>
        <w:t xml:space="preserve"> מקח טעות לגמרי משמע</w:t>
      </w:r>
      <w:r w:rsidR="00B343FB" w:rsidRPr="000444EA">
        <w:rPr>
          <w:rFonts w:cs="Arial" w:hint="cs"/>
          <w:sz w:val="16"/>
          <w:szCs w:val="16"/>
          <w:rtl/>
        </w:rPr>
        <w:t>,</w:t>
      </w:r>
      <w:r w:rsidR="00B343FB" w:rsidRPr="000444EA">
        <w:rPr>
          <w:rFonts w:cs="Arial"/>
          <w:sz w:val="16"/>
          <w:szCs w:val="16"/>
          <w:rtl/>
        </w:rPr>
        <w:t xml:space="preserve"> דלית לה כלום</w:t>
      </w:r>
      <w:r w:rsidR="00B343FB" w:rsidRPr="000444EA">
        <w:rPr>
          <w:rFonts w:cs="Arial" w:hint="cs"/>
          <w:sz w:val="16"/>
          <w:szCs w:val="16"/>
          <w:rtl/>
        </w:rPr>
        <w:t>,</w:t>
      </w:r>
      <w:r w:rsidR="00B343FB" w:rsidRPr="000444EA">
        <w:rPr>
          <w:rFonts w:cs="Arial"/>
          <w:sz w:val="16"/>
          <w:szCs w:val="16"/>
          <w:rtl/>
        </w:rPr>
        <w:t xml:space="preserve"> וכן הלכה עכ"ל</w:t>
      </w:r>
      <w:r w:rsidR="00B343FB">
        <w:rPr>
          <w:rFonts w:cs="Arial" w:hint="cs"/>
          <w:sz w:val="16"/>
          <w:szCs w:val="16"/>
          <w:rtl/>
        </w:rPr>
        <w:t>, ב"י)</w:t>
      </w:r>
    </w:p>
    <w:p w14:paraId="064EC087" w14:textId="1722681C" w:rsidR="001F4A3A" w:rsidRPr="00B2734D" w:rsidRDefault="001F4A3A" w:rsidP="00B2734D">
      <w:pPr>
        <w:rPr>
          <w:rtl/>
        </w:rPr>
      </w:pPr>
      <w:r w:rsidRPr="003E0959">
        <w:rPr>
          <w:rFonts w:cs="Arial" w:hint="cs"/>
          <w:b/>
          <w:bCs/>
          <w:rtl/>
        </w:rPr>
        <w:t xml:space="preserve">כתובות </w:t>
      </w:r>
      <w:r w:rsidRPr="003E0959">
        <w:rPr>
          <w:rFonts w:cs="Arial" w:hint="cs"/>
          <w:b/>
          <w:bCs/>
          <w:sz w:val="16"/>
          <w:szCs w:val="16"/>
          <w:rtl/>
        </w:rPr>
        <w:t>(פ"ק)</w:t>
      </w:r>
      <w:r w:rsidRPr="003E0959">
        <w:rPr>
          <w:rFonts w:cs="Arial" w:hint="cs"/>
          <w:b/>
          <w:bCs/>
          <w:rtl/>
        </w:rPr>
        <w:t xml:space="preserve"> י</w:t>
      </w:r>
      <w:r>
        <w:rPr>
          <w:rFonts w:cs="Arial" w:hint="cs"/>
          <w:b/>
          <w:bCs/>
          <w:rtl/>
        </w:rPr>
        <w:t>ב</w:t>
      </w:r>
      <w:r w:rsidRPr="003E0959">
        <w:rPr>
          <w:rFonts w:cs="Arial" w:hint="cs"/>
          <w:b/>
          <w:bCs/>
          <w:rtl/>
        </w:rPr>
        <w:t xml:space="preserve"> ע"</w:t>
      </w:r>
      <w:r>
        <w:rPr>
          <w:rFonts w:cs="Arial" w:hint="cs"/>
          <w:b/>
          <w:bCs/>
          <w:rtl/>
        </w:rPr>
        <w:t>ב</w:t>
      </w:r>
      <w:r w:rsidRPr="003E0959">
        <w:rPr>
          <w:rFonts w:cs="Arial" w:hint="cs"/>
          <w:b/>
          <w:bCs/>
          <w:rtl/>
        </w:rPr>
        <w:t xml:space="preserve">: </w:t>
      </w:r>
      <w:r w:rsidRPr="003E0959">
        <w:rPr>
          <w:rFonts w:cs="Arial"/>
          <w:u w:val="double"/>
          <w:rtl/>
        </w:rPr>
        <w:t>מתני'</w:t>
      </w:r>
      <w:r>
        <w:rPr>
          <w:rFonts w:cs="Arial" w:hint="cs"/>
          <w:rtl/>
        </w:rPr>
        <w:t>:</w:t>
      </w:r>
      <w:r w:rsidRPr="001F4A3A">
        <w:rPr>
          <w:rFonts w:cs="Arial"/>
          <w:rtl/>
        </w:rPr>
        <w:t xml:space="preserve"> הנושא את האשה ולא מצא לה בתולים, היא אומרת משארסתני נאנסתי ונסתחפה שדהו, והוא אומר לא כי, אלא עד שלא ארסתיך והיה מקחי מקח טעות</w:t>
      </w:r>
      <w:r>
        <w:rPr>
          <w:rFonts w:cs="Arial" w:hint="cs"/>
          <w:rtl/>
        </w:rPr>
        <w:t>.</w:t>
      </w:r>
      <w:r w:rsidRPr="001F4A3A">
        <w:rPr>
          <w:rFonts w:cs="Arial"/>
          <w:rtl/>
        </w:rPr>
        <w:t xml:space="preserve"> </w:t>
      </w:r>
      <w:r w:rsidRPr="001F4A3A">
        <w:rPr>
          <w:rFonts w:cs="Arial"/>
          <w:u w:val="single"/>
          <w:rtl/>
        </w:rPr>
        <w:t>רבן גמליאל ורבי אליעזר אומרים</w:t>
      </w:r>
      <w:r w:rsidRPr="001F4A3A">
        <w:rPr>
          <w:rFonts w:cs="Arial"/>
          <w:rtl/>
        </w:rPr>
        <w:t>: נאמנת</w:t>
      </w:r>
      <w:r>
        <w:rPr>
          <w:rFonts w:hint="cs"/>
          <w:rtl/>
        </w:rPr>
        <w:t>...</w:t>
      </w:r>
    </w:p>
    <w:p w14:paraId="7303481F" w14:textId="2F1409C1" w:rsidR="009E10BF" w:rsidRPr="005F3F37" w:rsidRDefault="005F3F37" w:rsidP="009E10BF">
      <w:pPr>
        <w:rPr>
          <w:u w:val="single"/>
          <w:rtl/>
        </w:rPr>
      </w:pPr>
      <w:r w:rsidRPr="005F3F37">
        <w:rPr>
          <w:rFonts w:hint="cs"/>
          <w:u w:val="single"/>
          <w:rtl/>
        </w:rPr>
        <w:t>כתובת מוכת עץ:</w:t>
      </w:r>
    </w:p>
    <w:p w14:paraId="33C0637C" w14:textId="3CDC7544" w:rsidR="00911C29" w:rsidRPr="00911C29" w:rsidRDefault="00911C29" w:rsidP="009000E3">
      <w:pPr>
        <w:pStyle w:val="ab"/>
        <w:numPr>
          <w:ilvl w:val="0"/>
          <w:numId w:val="17"/>
        </w:numPr>
      </w:pPr>
      <w:r>
        <w:rPr>
          <w:rFonts w:hint="cs"/>
          <w:rtl/>
        </w:rPr>
        <w:t>טור-</w:t>
      </w:r>
      <w:r>
        <w:rPr>
          <w:rFonts w:cs="Arial" w:hint="cs"/>
          <w:rtl/>
        </w:rPr>
        <w:t xml:space="preserve"> </w:t>
      </w:r>
      <w:r w:rsidRPr="005B7F07">
        <w:rPr>
          <w:rFonts w:cs="Arial"/>
          <w:rtl/>
        </w:rPr>
        <w:t>מוכת עץ כתובתה מנה</w:t>
      </w:r>
      <w:r w:rsidR="005F3F37">
        <w:rPr>
          <w:rFonts w:cs="Arial" w:hint="cs"/>
          <w:rtl/>
        </w:rPr>
        <w:t>.</w:t>
      </w:r>
      <w:r w:rsidRPr="005B7F07">
        <w:rPr>
          <w:rFonts w:cs="Arial"/>
          <w:rtl/>
        </w:rPr>
        <w:t xml:space="preserve"> ואפילו לא הכיר בה וכנסה ע"מ שהיא בתולה ונמצאת מוכת עץ</w:t>
      </w:r>
      <w:r w:rsidR="005F3F37">
        <w:rPr>
          <w:rFonts w:cs="Arial" w:hint="cs"/>
          <w:rtl/>
        </w:rPr>
        <w:t xml:space="preserve"> -</w:t>
      </w:r>
      <w:r w:rsidRPr="005B7F07">
        <w:rPr>
          <w:rFonts w:cs="Arial"/>
          <w:rtl/>
        </w:rPr>
        <w:t xml:space="preserve"> יש לה מנה</w:t>
      </w:r>
      <w:r w:rsidR="005F3F37">
        <w:rPr>
          <w:rFonts w:cs="Arial" w:hint="cs"/>
          <w:rtl/>
        </w:rPr>
        <w:t>.</w:t>
      </w:r>
      <w:r w:rsidRPr="005B7F07">
        <w:rPr>
          <w:rFonts w:cs="Arial"/>
          <w:rtl/>
        </w:rPr>
        <w:t xml:space="preserve"> אבל כנסה על דעת שהיא בתולה ונמצאת בעולה </w:t>
      </w:r>
      <w:r w:rsidR="005F3F37">
        <w:rPr>
          <w:rFonts w:cs="Arial" w:hint="cs"/>
          <w:rtl/>
        </w:rPr>
        <w:t xml:space="preserve">- </w:t>
      </w:r>
      <w:r w:rsidRPr="005B7F07">
        <w:rPr>
          <w:rFonts w:cs="Arial"/>
          <w:rtl/>
        </w:rPr>
        <w:t>אפי' מנה אין לה</w:t>
      </w:r>
      <w:r w:rsidR="00F34EFA">
        <w:rPr>
          <w:rStyle w:val="a7"/>
          <w:rFonts w:cs="Arial"/>
          <w:rtl/>
        </w:rPr>
        <w:footnoteReference w:id="154"/>
      </w:r>
      <w:r>
        <w:rPr>
          <w:rFonts w:cs="Arial" w:hint="cs"/>
          <w:rtl/>
        </w:rPr>
        <w:t>.</w:t>
      </w:r>
      <w:r w:rsidRPr="005B7F07">
        <w:rPr>
          <w:rFonts w:cs="Arial"/>
          <w:rtl/>
        </w:rPr>
        <w:t xml:space="preserve"> </w:t>
      </w:r>
      <w:r w:rsidR="00B343FB" w:rsidRPr="00351B7D">
        <w:rPr>
          <w:rFonts w:asciiTheme="minorBidi" w:hAnsiTheme="minorBidi"/>
          <w:color w:val="E36C0A" w:themeColor="accent6" w:themeShade="BF"/>
          <w:rtl/>
        </w:rPr>
        <w:t>(וכ"פ בשו"ע)</w:t>
      </w:r>
    </w:p>
    <w:p w14:paraId="1C506237" w14:textId="77777777" w:rsidR="005B7F07" w:rsidRPr="00351B7D" w:rsidRDefault="005B7F07" w:rsidP="005B7F0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B06E25B" w14:textId="708B96A1" w:rsidR="00973C57" w:rsidRDefault="00973C57" w:rsidP="00973C57">
      <w:pPr>
        <w:rPr>
          <w:rFonts w:cs="Arial"/>
          <w:rtl/>
        </w:rPr>
      </w:pPr>
      <w:r>
        <w:rPr>
          <w:rFonts w:cs="Arial"/>
          <w:rtl/>
        </w:rPr>
        <w:t>מוכת עץ, כתובתה מנה, ואפילו לא הכיר בה וכנסה ע</w:t>
      </w:r>
      <w:r w:rsidR="00B343FB">
        <w:rPr>
          <w:rFonts w:cs="Arial" w:hint="cs"/>
          <w:rtl/>
        </w:rPr>
        <w:t xml:space="preserve">ל מנת </w:t>
      </w:r>
      <w:r>
        <w:rPr>
          <w:rFonts w:cs="Arial"/>
          <w:rtl/>
        </w:rPr>
        <w:t>שהיא בתולה שלימה</w:t>
      </w:r>
      <w:r w:rsidR="00B343FB">
        <w:rPr>
          <w:rFonts w:cs="Arial" w:hint="cs"/>
          <w:rtl/>
        </w:rPr>
        <w:t>.</w:t>
      </w:r>
      <w:r>
        <w:rPr>
          <w:rFonts w:cs="Arial"/>
          <w:rtl/>
        </w:rPr>
        <w:t xml:space="preserve"> אבל כנסה בחזקת בתולה, ונמצאת בעולה, אפילו מנה אין לה. </w:t>
      </w:r>
    </w:p>
    <w:p w14:paraId="361E9207" w14:textId="77777777" w:rsidR="00B343FB" w:rsidRDefault="00B343FB" w:rsidP="00973C57">
      <w:pPr>
        <w:rPr>
          <w:rtl/>
        </w:rPr>
      </w:pPr>
    </w:p>
    <w:p w14:paraId="41028F96" w14:textId="5B08AE64" w:rsidR="00A74A47" w:rsidRPr="00BB50D9" w:rsidRDefault="00973C57" w:rsidP="000F64D0">
      <w:pPr>
        <w:pStyle w:val="2"/>
        <w:rPr>
          <w:rtl/>
        </w:rPr>
      </w:pPr>
      <w:r>
        <w:rPr>
          <w:rtl/>
        </w:rPr>
        <w:t>סעיף ו</w:t>
      </w:r>
      <w:r w:rsidR="00B343FB">
        <w:rPr>
          <w:rFonts w:hint="cs"/>
          <w:rtl/>
        </w:rPr>
        <w:t>:</w:t>
      </w:r>
      <w:r w:rsidR="00C45228">
        <w:rPr>
          <w:rFonts w:hint="cs"/>
          <w:rtl/>
        </w:rPr>
        <w:t xml:space="preserve"> בתולה בוגרת</w:t>
      </w:r>
      <w:r w:rsidR="00060575">
        <w:rPr>
          <w:rFonts w:hint="cs"/>
          <w:rtl/>
        </w:rPr>
        <w:t>/</w:t>
      </w:r>
      <w:r w:rsidR="00C45228">
        <w:rPr>
          <w:rFonts w:hint="cs"/>
          <w:rtl/>
        </w:rPr>
        <w:t>סומא</w:t>
      </w:r>
      <w:r w:rsidR="00060575">
        <w:rPr>
          <w:rFonts w:hint="cs"/>
          <w:rtl/>
        </w:rPr>
        <w:t>/</w:t>
      </w:r>
      <w:r w:rsidR="009A220A">
        <w:rPr>
          <w:rFonts w:hint="cs"/>
          <w:rtl/>
        </w:rPr>
        <w:t>איילונית.</w:t>
      </w:r>
    </w:p>
    <w:p w14:paraId="5E9F5A33" w14:textId="07E31478" w:rsidR="00DD6FE6" w:rsidRDefault="00A74A47" w:rsidP="003110CA">
      <w:pPr>
        <w:rPr>
          <w:rFonts w:cs="Arial"/>
          <w:rtl/>
        </w:rPr>
      </w:pPr>
      <w:r w:rsidRPr="003E0959">
        <w:rPr>
          <w:rFonts w:cs="Arial" w:hint="cs"/>
          <w:b/>
          <w:bCs/>
          <w:rtl/>
        </w:rPr>
        <w:t xml:space="preserve">כתובות </w:t>
      </w:r>
      <w:r w:rsidRPr="003E0959">
        <w:rPr>
          <w:rFonts w:cs="Arial" w:hint="cs"/>
          <w:b/>
          <w:bCs/>
          <w:sz w:val="16"/>
          <w:szCs w:val="16"/>
          <w:rtl/>
        </w:rPr>
        <w:t>(פ"ק)</w:t>
      </w:r>
      <w:r w:rsidRPr="003E0959">
        <w:rPr>
          <w:rFonts w:cs="Arial" w:hint="cs"/>
          <w:b/>
          <w:bCs/>
          <w:rtl/>
        </w:rPr>
        <w:t xml:space="preserve"> י</w:t>
      </w:r>
      <w:r>
        <w:rPr>
          <w:rFonts w:cs="Arial" w:hint="cs"/>
          <w:b/>
          <w:bCs/>
          <w:rtl/>
        </w:rPr>
        <w:t>א</w:t>
      </w:r>
      <w:r w:rsidRPr="003E0959">
        <w:rPr>
          <w:rFonts w:cs="Arial" w:hint="cs"/>
          <w:b/>
          <w:bCs/>
          <w:rtl/>
        </w:rPr>
        <w:t xml:space="preserve"> ע"</w:t>
      </w:r>
      <w:r>
        <w:rPr>
          <w:rFonts w:cs="Arial" w:hint="cs"/>
          <w:b/>
          <w:bCs/>
          <w:rtl/>
        </w:rPr>
        <w:t>א</w:t>
      </w:r>
      <w:r w:rsidRPr="003E0959">
        <w:rPr>
          <w:rFonts w:cs="Arial" w:hint="cs"/>
          <w:b/>
          <w:bCs/>
          <w:rtl/>
        </w:rPr>
        <w:t xml:space="preserve">: </w:t>
      </w:r>
      <w:r w:rsidRPr="003E0959">
        <w:rPr>
          <w:rFonts w:cs="Arial"/>
          <w:u w:val="double"/>
          <w:rtl/>
        </w:rPr>
        <w:t>מתני'</w:t>
      </w:r>
      <w:r>
        <w:rPr>
          <w:rFonts w:cs="Arial" w:hint="cs"/>
          <w:rtl/>
        </w:rPr>
        <w:t>:</w:t>
      </w:r>
      <w:r w:rsidR="003110CA">
        <w:rPr>
          <w:rFonts w:cs="Arial" w:hint="cs"/>
          <w:rtl/>
        </w:rPr>
        <w:t>...</w:t>
      </w:r>
      <w:r w:rsidRPr="001370F3">
        <w:rPr>
          <w:rFonts w:cs="Arial"/>
          <w:rtl/>
        </w:rPr>
        <w:t xml:space="preserve"> מוכת עץ - כתובתן מאתים, </w:t>
      </w:r>
      <w:r w:rsidRPr="001370F3">
        <w:rPr>
          <w:rFonts w:cs="Arial"/>
          <w:u w:val="single"/>
          <w:rtl/>
        </w:rPr>
        <w:t>דברי רבי מאיר</w:t>
      </w:r>
      <w:r w:rsidRPr="001370F3">
        <w:rPr>
          <w:rFonts w:cs="Arial"/>
          <w:rtl/>
        </w:rPr>
        <w:t xml:space="preserve">; </w:t>
      </w:r>
      <w:r w:rsidRPr="001370F3">
        <w:rPr>
          <w:rFonts w:cs="Arial"/>
          <w:u w:val="single"/>
          <w:rtl/>
        </w:rPr>
        <w:t>וחכ"א</w:t>
      </w:r>
      <w:r w:rsidRPr="001370F3">
        <w:rPr>
          <w:rFonts w:cs="Arial"/>
          <w:rtl/>
        </w:rPr>
        <w:t>: מוכת עץ - כתובתה מנה</w:t>
      </w:r>
      <w:r>
        <w:rPr>
          <w:rStyle w:val="a7"/>
          <w:rFonts w:cs="Arial"/>
          <w:rtl/>
        </w:rPr>
        <w:footnoteReference w:id="155"/>
      </w:r>
      <w:r w:rsidRPr="001370F3">
        <w:rPr>
          <w:rFonts w:cs="Arial"/>
          <w:rtl/>
        </w:rPr>
        <w:t>.</w:t>
      </w:r>
      <w:r>
        <w:rPr>
          <w:rFonts w:hint="cs"/>
          <w:rtl/>
        </w:rPr>
        <w:t xml:space="preserve">     </w:t>
      </w:r>
      <w:r w:rsidRPr="00A86787">
        <w:rPr>
          <w:rtl/>
        </w:rPr>
        <w:t xml:space="preserve"> </w:t>
      </w:r>
      <w:r w:rsidRPr="00A86787">
        <w:rPr>
          <w:rFonts w:cs="Arial"/>
          <w:u w:val="double"/>
          <w:rtl/>
        </w:rPr>
        <w:t>גמ'</w:t>
      </w:r>
      <w:r>
        <w:rPr>
          <w:rFonts w:cs="Arial" w:hint="cs"/>
          <w:sz w:val="14"/>
          <w:szCs w:val="14"/>
          <w:u w:val="double"/>
          <w:rtl/>
        </w:rPr>
        <w:t>(יא:)</w:t>
      </w:r>
      <w:r>
        <w:rPr>
          <w:rFonts w:cs="Arial" w:hint="cs"/>
          <w:u w:val="double"/>
          <w:rtl/>
        </w:rPr>
        <w:t>:</w:t>
      </w:r>
      <w:r w:rsidRPr="00825474">
        <w:rPr>
          <w:rtl/>
        </w:rPr>
        <w:t xml:space="preserve"> </w:t>
      </w:r>
      <w:r w:rsidRPr="003110CA">
        <w:rPr>
          <w:rFonts w:cs="Arial"/>
          <w:u w:val="single"/>
          <w:rtl/>
        </w:rPr>
        <w:t>אמר רמי בר חמא</w:t>
      </w:r>
      <w:r w:rsidRPr="00A74A47">
        <w:rPr>
          <w:rFonts w:cs="Arial"/>
          <w:rtl/>
        </w:rPr>
        <w:t xml:space="preserve">: מחלוקת - כשהכיר בה, דר"מ מדמי לה לבוגרת, ורבנן מדמו לה לבעולה, אבל לא הכיר בה </w:t>
      </w:r>
      <w:r w:rsidRPr="00A74A47">
        <w:rPr>
          <w:rFonts w:cs="Arial"/>
          <w:rtl/>
        </w:rPr>
        <w:lastRenderedPageBreak/>
        <w:t xml:space="preserve">- דברי הכל ולא כלום. ור"מ אמאי מדמי לה לבוגרת? נדמייה לבעולה! בעולה איתעביד בה מעשה בידי אדם, הא לא איתעביד בה מעשה בידי אדם. ורבנן, אדמדמו לה לבעולה, נדמייה לבוגרת! בוגרת לא איתעביד בה מעשה כלל, הא איתעביד בה מעשה. </w:t>
      </w:r>
      <w:r w:rsidR="003110CA" w:rsidRPr="003110CA">
        <w:rPr>
          <w:rFonts w:cs="Arial" w:hint="cs"/>
          <w:sz w:val="16"/>
          <w:szCs w:val="16"/>
          <w:rtl/>
        </w:rPr>
        <w:t>(</w:t>
      </w:r>
      <w:r w:rsidR="00E8183F" w:rsidRPr="003110CA">
        <w:rPr>
          <w:rFonts w:cs="Arial"/>
          <w:sz w:val="16"/>
          <w:szCs w:val="16"/>
          <w:rtl/>
        </w:rPr>
        <w:t>וקמ"ל דאע"ג דבוגרת כלו בתוליה כמו שיתבאר בסימן שאחר זה (קב.) אפילו הכי כתובתה ק"ק</w:t>
      </w:r>
      <w:r w:rsidR="003110CA">
        <w:rPr>
          <w:rFonts w:cs="Arial" w:hint="cs"/>
          <w:sz w:val="16"/>
          <w:szCs w:val="16"/>
          <w:rtl/>
        </w:rPr>
        <w:t>, ב"י)</w:t>
      </w:r>
    </w:p>
    <w:p w14:paraId="4E7A347D" w14:textId="30DD9DC0" w:rsidR="00E8183F" w:rsidRPr="004B0300" w:rsidRDefault="00142609" w:rsidP="004B0300">
      <w:pPr>
        <w:rPr>
          <w:rFonts w:cs="Arial"/>
          <w:rtl/>
        </w:rPr>
      </w:pPr>
      <w:r w:rsidRPr="003E0959">
        <w:rPr>
          <w:rFonts w:cs="Arial" w:hint="cs"/>
          <w:b/>
          <w:bCs/>
          <w:rtl/>
        </w:rPr>
        <w:t xml:space="preserve">כתובות </w:t>
      </w:r>
      <w:r w:rsidRPr="003E0959">
        <w:rPr>
          <w:rFonts w:cs="Arial" w:hint="cs"/>
          <w:b/>
          <w:bCs/>
          <w:sz w:val="16"/>
          <w:szCs w:val="16"/>
          <w:rtl/>
        </w:rPr>
        <w:t>(פ"ק)</w:t>
      </w:r>
      <w:r w:rsidRPr="003E0959">
        <w:rPr>
          <w:rFonts w:cs="Arial" w:hint="cs"/>
          <w:b/>
          <w:bCs/>
          <w:rtl/>
        </w:rPr>
        <w:t xml:space="preserve"> </w:t>
      </w:r>
      <w:r>
        <w:rPr>
          <w:rFonts w:cs="Arial" w:hint="cs"/>
          <w:b/>
          <w:bCs/>
          <w:rtl/>
        </w:rPr>
        <w:t>לו</w:t>
      </w:r>
      <w:r w:rsidRPr="003E0959">
        <w:rPr>
          <w:rFonts w:cs="Arial" w:hint="cs"/>
          <w:b/>
          <w:bCs/>
          <w:rtl/>
        </w:rPr>
        <w:t xml:space="preserve"> ע"</w:t>
      </w:r>
      <w:r>
        <w:rPr>
          <w:rFonts w:cs="Arial" w:hint="cs"/>
          <w:b/>
          <w:bCs/>
          <w:rtl/>
        </w:rPr>
        <w:t>א</w:t>
      </w:r>
      <w:r w:rsidRPr="003E0959">
        <w:rPr>
          <w:rFonts w:cs="Arial" w:hint="cs"/>
          <w:b/>
          <w:bCs/>
          <w:rtl/>
        </w:rPr>
        <w:t>:</w:t>
      </w:r>
      <w:r>
        <w:rPr>
          <w:rFonts w:cs="Arial" w:hint="cs"/>
          <w:rtl/>
        </w:rPr>
        <w:t xml:space="preserve"> </w:t>
      </w:r>
      <w:r w:rsidRPr="00142609">
        <w:rPr>
          <w:rFonts w:cs="Arial"/>
          <w:rtl/>
        </w:rPr>
        <w:t>ורמינהי:</w:t>
      </w:r>
      <w:r w:rsidR="002B4683">
        <w:rPr>
          <w:rFonts w:cs="Arial" w:hint="cs"/>
          <w:rtl/>
        </w:rPr>
        <w:t>...</w:t>
      </w:r>
      <w:r w:rsidRPr="00142609">
        <w:rPr>
          <w:rFonts w:cs="Arial"/>
          <w:rtl/>
        </w:rPr>
        <w:t xml:space="preserve"> הסומא ואיילונית - יש להן טענת בתולים, </w:t>
      </w:r>
      <w:r w:rsidR="002B4683" w:rsidRPr="002B4683">
        <w:rPr>
          <w:rFonts w:cs="Arial"/>
          <w:u w:val="single"/>
          <w:rtl/>
        </w:rPr>
        <w:t>סומכוס אומר משום ר"מ</w:t>
      </w:r>
      <w:r w:rsidR="002B4683" w:rsidRPr="002B4683">
        <w:rPr>
          <w:rFonts w:cs="Arial"/>
          <w:rtl/>
        </w:rPr>
        <w:t>: סומא אין לה טענת בתולים</w:t>
      </w:r>
      <w:r w:rsidR="004B0300">
        <w:rPr>
          <w:rFonts w:cs="Arial" w:hint="cs"/>
          <w:rtl/>
        </w:rPr>
        <w:t>..</w:t>
      </w:r>
      <w:r w:rsidR="002B4683">
        <w:rPr>
          <w:rFonts w:cs="Arial" w:hint="cs"/>
          <w:rtl/>
        </w:rPr>
        <w:t>.</w:t>
      </w:r>
      <w:r w:rsidR="004B0300" w:rsidRPr="004B0300">
        <w:rPr>
          <w:rtl/>
        </w:rPr>
        <w:t xml:space="preserve"> </w:t>
      </w:r>
      <w:r w:rsidR="004B0300" w:rsidRPr="004B0300">
        <w:rPr>
          <w:rFonts w:hint="cs"/>
          <w:sz w:val="14"/>
          <w:szCs w:val="14"/>
          <w:rtl/>
        </w:rPr>
        <w:t>(</w:t>
      </w:r>
      <w:r w:rsidR="004B0300">
        <w:rPr>
          <w:rFonts w:hint="cs"/>
          <w:sz w:val="14"/>
          <w:szCs w:val="14"/>
          <w:rtl/>
        </w:rPr>
        <w:t>לו:</w:t>
      </w:r>
      <w:r w:rsidR="004B0300" w:rsidRPr="004B0300">
        <w:rPr>
          <w:rFonts w:hint="cs"/>
          <w:sz w:val="14"/>
          <w:szCs w:val="14"/>
          <w:rtl/>
        </w:rPr>
        <w:t>)</w:t>
      </w:r>
      <w:r w:rsidR="004B0300">
        <w:rPr>
          <w:rFonts w:cs="Arial" w:hint="cs"/>
          <w:rtl/>
        </w:rPr>
        <w:t xml:space="preserve"> </w:t>
      </w:r>
      <w:r w:rsidR="004B0300" w:rsidRPr="004B0300">
        <w:rPr>
          <w:rFonts w:cs="Arial"/>
          <w:rtl/>
        </w:rPr>
        <w:t xml:space="preserve">מ"ט דסומכוס? </w:t>
      </w:r>
      <w:r w:rsidR="004B0300" w:rsidRPr="004B0300">
        <w:rPr>
          <w:rFonts w:cs="Arial"/>
          <w:u w:val="single"/>
          <w:rtl/>
        </w:rPr>
        <w:t>א"ר זירא</w:t>
      </w:r>
      <w:r w:rsidR="004B0300" w:rsidRPr="004B0300">
        <w:rPr>
          <w:rFonts w:cs="Arial"/>
          <w:rtl/>
        </w:rPr>
        <w:t>: מפני שנחבטת על גבי קרקע. כולהו נמי חבוטי מיחבטי! כולהו רואות ומראות לאמן, זו אינה רואה ואינה מראה לאמה.</w:t>
      </w:r>
      <w:r w:rsidR="004B0300">
        <w:rPr>
          <w:rFonts w:cs="Arial" w:hint="cs"/>
          <w:rtl/>
        </w:rPr>
        <w:t xml:space="preserve"> </w:t>
      </w:r>
      <w:r w:rsidR="004B0300" w:rsidRPr="004B0300">
        <w:rPr>
          <w:rFonts w:cs="Arial" w:hint="cs"/>
          <w:sz w:val="16"/>
          <w:szCs w:val="16"/>
          <w:rtl/>
        </w:rPr>
        <w:t>(</w:t>
      </w:r>
      <w:r w:rsidR="00E8183F" w:rsidRPr="004B0300">
        <w:rPr>
          <w:rFonts w:cs="Arial"/>
          <w:sz w:val="16"/>
          <w:szCs w:val="16"/>
          <w:rtl/>
        </w:rPr>
        <w:t>וידוע דכל שיש לה טענת בתולים כתובתה ק"ק</w:t>
      </w:r>
      <w:r w:rsidR="004B0300">
        <w:rPr>
          <w:rFonts w:cs="Arial" w:hint="cs"/>
          <w:sz w:val="16"/>
          <w:szCs w:val="16"/>
          <w:rtl/>
        </w:rPr>
        <w:t>.</w:t>
      </w:r>
      <w:r w:rsidR="00E8183F" w:rsidRPr="004B0300">
        <w:rPr>
          <w:rFonts w:cs="Arial"/>
          <w:sz w:val="16"/>
          <w:szCs w:val="16"/>
          <w:rtl/>
        </w:rPr>
        <w:t xml:space="preserve"> ואיצטריך לאשמועינן דסומא יש לה טענת בתולים לאפוקי מרבי מאיר דאמר דאין לה טענת בתולים וטעמיה מפורש שם בגמרא (לו:)</w:t>
      </w:r>
      <w:r w:rsidR="004B0300" w:rsidRPr="004B0300">
        <w:rPr>
          <w:rFonts w:cs="Arial" w:hint="cs"/>
          <w:sz w:val="16"/>
          <w:szCs w:val="16"/>
          <w:rtl/>
        </w:rPr>
        <w:t>,</w:t>
      </w:r>
      <w:r w:rsidR="00E8183F" w:rsidRPr="004B0300">
        <w:rPr>
          <w:rFonts w:cs="Arial"/>
          <w:sz w:val="16"/>
          <w:szCs w:val="16"/>
          <w:rtl/>
        </w:rPr>
        <w:t xml:space="preserve"> ולא קיי"ל כוותיה. וכתב הה</w:t>
      </w:r>
      <w:r w:rsidR="004B0300" w:rsidRPr="004B0300">
        <w:rPr>
          <w:rFonts w:cs="Arial" w:hint="cs"/>
          <w:sz w:val="16"/>
          <w:szCs w:val="16"/>
          <w:rtl/>
        </w:rPr>
        <w:t>"</w:t>
      </w:r>
      <w:r w:rsidR="00E8183F" w:rsidRPr="004B0300">
        <w:rPr>
          <w:rFonts w:cs="Arial"/>
          <w:sz w:val="16"/>
          <w:szCs w:val="16"/>
          <w:rtl/>
        </w:rPr>
        <w:t>מ בפי"א מה' אישות (ה"ד) דהאי אילונית ר"ל בשהכיר בה</w:t>
      </w:r>
      <w:r w:rsidR="004B0300" w:rsidRPr="004B0300">
        <w:rPr>
          <w:rFonts w:cs="Arial" w:hint="cs"/>
          <w:sz w:val="16"/>
          <w:szCs w:val="16"/>
          <w:rtl/>
        </w:rPr>
        <w:t>,</w:t>
      </w:r>
      <w:r w:rsidR="00E8183F" w:rsidRPr="004B0300">
        <w:rPr>
          <w:rFonts w:cs="Arial"/>
          <w:sz w:val="16"/>
          <w:szCs w:val="16"/>
          <w:rtl/>
        </w:rPr>
        <w:t xml:space="preserve"> דאם לא הכיר בה הרי היא מקח טעות</w:t>
      </w:r>
      <w:r w:rsidR="004B0300" w:rsidRPr="004B0300">
        <w:rPr>
          <w:rFonts w:cs="Arial" w:hint="cs"/>
          <w:sz w:val="16"/>
          <w:szCs w:val="16"/>
          <w:rtl/>
        </w:rPr>
        <w:t>, ב"י</w:t>
      </w:r>
      <w:r w:rsidR="00BB50D9">
        <w:rPr>
          <w:rFonts w:cs="Arial" w:hint="cs"/>
          <w:sz w:val="16"/>
          <w:szCs w:val="16"/>
          <w:rtl/>
        </w:rPr>
        <w:t xml:space="preserve">. </w:t>
      </w:r>
      <w:r w:rsidR="00BB50D9" w:rsidRPr="00BB50D9">
        <w:rPr>
          <w:rFonts w:cs="Arial" w:hint="cs"/>
          <w:color w:val="E36C0A" w:themeColor="accent6" w:themeShade="BF"/>
          <w:sz w:val="16"/>
          <w:szCs w:val="16"/>
          <w:rtl/>
        </w:rPr>
        <w:t>(וכ"פ בשו"ע)</w:t>
      </w:r>
      <w:r w:rsidR="004B0300" w:rsidRPr="004B0300">
        <w:rPr>
          <w:rFonts w:cs="Arial" w:hint="cs"/>
          <w:sz w:val="16"/>
          <w:szCs w:val="16"/>
          <w:rtl/>
        </w:rPr>
        <w:t>)</w:t>
      </w:r>
    </w:p>
    <w:p w14:paraId="7E6A6A1D" w14:textId="27E3B335" w:rsidR="00BB50D9" w:rsidRPr="009A220A" w:rsidRDefault="00BB50D9" w:rsidP="00BB50D9">
      <w:pPr>
        <w:rPr>
          <w:u w:val="single"/>
          <w:rtl/>
        </w:rPr>
      </w:pPr>
      <w:r>
        <w:rPr>
          <w:rFonts w:hint="cs"/>
          <w:u w:val="single"/>
          <w:rtl/>
        </w:rPr>
        <w:t xml:space="preserve">כתובת </w:t>
      </w:r>
      <w:r w:rsidRPr="009A220A">
        <w:rPr>
          <w:rFonts w:hint="cs"/>
          <w:u w:val="single"/>
          <w:rtl/>
        </w:rPr>
        <w:t>בתולה בוגרת</w:t>
      </w:r>
      <w:r w:rsidR="00060575">
        <w:rPr>
          <w:rFonts w:hint="cs"/>
          <w:u w:val="single"/>
          <w:rtl/>
        </w:rPr>
        <w:t>/</w:t>
      </w:r>
      <w:r w:rsidRPr="009A220A">
        <w:rPr>
          <w:rFonts w:hint="cs"/>
          <w:u w:val="single"/>
          <w:rtl/>
        </w:rPr>
        <w:t>סומא</w:t>
      </w:r>
      <w:r w:rsidR="00060575">
        <w:rPr>
          <w:rFonts w:hint="cs"/>
          <w:u w:val="single"/>
          <w:rtl/>
        </w:rPr>
        <w:t>/</w:t>
      </w:r>
      <w:r w:rsidRPr="009A220A">
        <w:rPr>
          <w:rFonts w:hint="cs"/>
          <w:u w:val="single"/>
          <w:rtl/>
        </w:rPr>
        <w:t>איילונית:</w:t>
      </w:r>
    </w:p>
    <w:p w14:paraId="5375E1C8" w14:textId="41BB95DD" w:rsidR="00BB50D9" w:rsidRPr="00911C29" w:rsidRDefault="00BB50D9" w:rsidP="009000E3">
      <w:pPr>
        <w:pStyle w:val="ab"/>
        <w:numPr>
          <w:ilvl w:val="0"/>
          <w:numId w:val="17"/>
        </w:numPr>
      </w:pPr>
      <w:r>
        <w:rPr>
          <w:rFonts w:hint="cs"/>
          <w:rtl/>
        </w:rPr>
        <w:t>טור-</w:t>
      </w:r>
      <w:r>
        <w:rPr>
          <w:rFonts w:cs="Arial" w:hint="cs"/>
          <w:rtl/>
        </w:rPr>
        <w:t xml:space="preserve"> </w:t>
      </w:r>
      <w:r w:rsidRPr="005B7F07">
        <w:rPr>
          <w:rFonts w:cs="Arial"/>
          <w:rtl/>
        </w:rPr>
        <w:t>בתולה שהיא בוגרת או סומא או אילונית</w:t>
      </w:r>
      <w:r>
        <w:rPr>
          <w:rFonts w:cs="Arial" w:hint="cs"/>
          <w:rtl/>
        </w:rPr>
        <w:t xml:space="preserve"> -</w:t>
      </w:r>
      <w:r w:rsidRPr="005B7F07">
        <w:rPr>
          <w:rFonts w:cs="Arial"/>
          <w:rtl/>
        </w:rPr>
        <w:t xml:space="preserve"> כתובתה </w:t>
      </w:r>
      <w:r>
        <w:rPr>
          <w:rFonts w:cs="Arial" w:hint="cs"/>
          <w:rtl/>
        </w:rPr>
        <w:t>מאתים.</w:t>
      </w:r>
      <w:r w:rsidRPr="005B7F07">
        <w:rPr>
          <w:rFonts w:cs="Arial"/>
          <w:rtl/>
        </w:rPr>
        <w:t xml:space="preserve"> </w:t>
      </w:r>
      <w:r w:rsidRPr="00351B7D">
        <w:rPr>
          <w:rFonts w:asciiTheme="minorBidi" w:hAnsiTheme="minorBidi"/>
          <w:color w:val="E36C0A" w:themeColor="accent6" w:themeShade="BF"/>
          <w:rtl/>
        </w:rPr>
        <w:t>(וכ"פ בשו"ע)</w:t>
      </w:r>
    </w:p>
    <w:p w14:paraId="52D494D2" w14:textId="77777777" w:rsidR="005B7F07" w:rsidRPr="00351B7D" w:rsidRDefault="005B7F07" w:rsidP="005B7F0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A3717D2" w14:textId="591602B9" w:rsidR="00BB50D9" w:rsidRDefault="00973C57" w:rsidP="00973C57">
      <w:pPr>
        <w:rPr>
          <w:rFonts w:cs="Arial"/>
          <w:rtl/>
        </w:rPr>
      </w:pPr>
      <w:r>
        <w:rPr>
          <w:rFonts w:cs="Arial"/>
          <w:rtl/>
        </w:rPr>
        <w:t>בתולה שהיא בוגרת</w:t>
      </w:r>
      <w:r w:rsidR="00C822D4">
        <w:rPr>
          <w:rFonts w:cs="Arial" w:hint="cs"/>
          <w:rtl/>
        </w:rPr>
        <w:t>,</w:t>
      </w:r>
      <w:r>
        <w:rPr>
          <w:rFonts w:cs="Arial"/>
          <w:rtl/>
        </w:rPr>
        <w:t xml:space="preserve"> או סומא, כתובתה מאתים</w:t>
      </w:r>
      <w:r w:rsidR="00BB50D9">
        <w:rPr>
          <w:rFonts w:cs="Arial" w:hint="cs"/>
          <w:rtl/>
        </w:rPr>
        <w:t>.</w:t>
      </w:r>
      <w:r>
        <w:rPr>
          <w:rFonts w:cs="Arial"/>
          <w:rtl/>
        </w:rPr>
        <w:t xml:space="preserve"> וכן אילונית, אם הכיר בה, כתובתה מאתים.</w:t>
      </w:r>
    </w:p>
    <w:p w14:paraId="5CE24DF3" w14:textId="69C94A5F" w:rsidR="00973C57" w:rsidRDefault="00973C57" w:rsidP="00973C57">
      <w:pPr>
        <w:rPr>
          <w:rtl/>
        </w:rPr>
      </w:pPr>
      <w:r>
        <w:rPr>
          <w:rFonts w:cs="Arial"/>
          <w:rtl/>
        </w:rPr>
        <w:t xml:space="preserve"> </w:t>
      </w:r>
    </w:p>
    <w:p w14:paraId="70D55325" w14:textId="65D9A53B" w:rsidR="00973C57" w:rsidRDefault="00973C57" w:rsidP="000F64D0">
      <w:pPr>
        <w:pStyle w:val="2"/>
        <w:rPr>
          <w:rtl/>
        </w:rPr>
      </w:pPr>
      <w:r>
        <w:rPr>
          <w:rtl/>
        </w:rPr>
        <w:t>סעיף ז</w:t>
      </w:r>
      <w:r w:rsidR="00BB50D9">
        <w:rPr>
          <w:rFonts w:hint="cs"/>
          <w:rtl/>
        </w:rPr>
        <w:t>: חרשת, שוטה.</w:t>
      </w:r>
    </w:p>
    <w:p w14:paraId="6A80D32D" w14:textId="47C8599A" w:rsidR="00E567EF" w:rsidRPr="00E567EF" w:rsidRDefault="001550BB" w:rsidP="001550BB">
      <w:pPr>
        <w:rPr>
          <w:rtl/>
        </w:rPr>
      </w:pPr>
      <w:r w:rsidRPr="00E567EF">
        <w:rPr>
          <w:rFonts w:cs="Arial" w:hint="cs"/>
          <w:b/>
          <w:bCs/>
          <w:rtl/>
        </w:rPr>
        <w:t xml:space="preserve">יבמות </w:t>
      </w:r>
      <w:r w:rsidRPr="00E567EF">
        <w:rPr>
          <w:rFonts w:cs="Arial" w:hint="cs"/>
          <w:b/>
          <w:bCs/>
          <w:sz w:val="16"/>
          <w:szCs w:val="16"/>
          <w:rtl/>
        </w:rPr>
        <w:t>(ר"פ חרש)</w:t>
      </w:r>
      <w:r w:rsidRPr="00E567EF">
        <w:rPr>
          <w:rFonts w:cs="Arial" w:hint="cs"/>
          <w:b/>
          <w:bCs/>
          <w:rtl/>
        </w:rPr>
        <w:t xml:space="preserve"> קי</w:t>
      </w:r>
      <w:r>
        <w:rPr>
          <w:rFonts w:cs="Arial" w:hint="cs"/>
          <w:b/>
          <w:bCs/>
          <w:rtl/>
        </w:rPr>
        <w:t>ב</w:t>
      </w:r>
      <w:r w:rsidR="006C1EDE">
        <w:rPr>
          <w:rStyle w:val="a7"/>
          <w:rFonts w:cs="Arial"/>
          <w:b/>
          <w:bCs/>
          <w:rtl/>
        </w:rPr>
        <w:footnoteReference w:id="156"/>
      </w:r>
      <w:r w:rsidRPr="00E567EF">
        <w:rPr>
          <w:rFonts w:cs="Arial" w:hint="cs"/>
          <w:b/>
          <w:bCs/>
          <w:rtl/>
        </w:rPr>
        <w:t xml:space="preserve"> ע"</w:t>
      </w:r>
      <w:r>
        <w:rPr>
          <w:rFonts w:cs="Arial" w:hint="cs"/>
          <w:b/>
          <w:bCs/>
          <w:rtl/>
        </w:rPr>
        <w:t>ב</w:t>
      </w:r>
      <w:r w:rsidRPr="00E567EF">
        <w:rPr>
          <w:rFonts w:cs="Arial" w:hint="cs"/>
          <w:b/>
          <w:bCs/>
          <w:rtl/>
        </w:rPr>
        <w:t>:</w:t>
      </w:r>
      <w:r>
        <w:rPr>
          <w:rFonts w:cs="Arial" w:hint="cs"/>
          <w:rtl/>
        </w:rPr>
        <w:t xml:space="preserve"> </w:t>
      </w:r>
      <w:r w:rsidRPr="001550BB">
        <w:rPr>
          <w:rFonts w:cs="Arial"/>
          <w:u w:val="single"/>
          <w:rtl/>
        </w:rPr>
        <w:t>אמר רמי בר חמא</w:t>
      </w:r>
      <w:r w:rsidRPr="001550BB">
        <w:rPr>
          <w:rFonts w:cs="Arial"/>
          <w:rtl/>
        </w:rPr>
        <w:t>: מאי שנא חרש וחרשת דתקינו להו רבנן נשואין, ומ"ש דשוטה ושוטה דלא תקינו להו רבנן נשואין? דתניא: שוטה וקטן שנשאו נשים ומתו - נשותיהן פטורות מן החליצה ומן היבום! חרש וחרשת דקיימא תקנתא דרבנן - תקינו להו רבנן נשואין, שוטה ושוטה דלא קיימא תקנתא דרבנן, דאין אדם דר עם נחש בכפיפה אחת - לא תקינו רבנן נשואין.</w:t>
      </w:r>
      <w:r>
        <w:rPr>
          <w:rFonts w:cs="Arial" w:hint="cs"/>
          <w:rtl/>
        </w:rPr>
        <w:t xml:space="preserve">.. </w:t>
      </w:r>
      <w:r>
        <w:rPr>
          <w:rFonts w:cs="Arial" w:hint="cs"/>
          <w:sz w:val="14"/>
          <w:szCs w:val="14"/>
          <w:rtl/>
        </w:rPr>
        <w:t xml:space="preserve">(קיג.) </w:t>
      </w:r>
      <w:r w:rsidR="00E567EF" w:rsidRPr="00E567EF">
        <w:rPr>
          <w:rFonts w:cs="Arial"/>
          <w:rtl/>
        </w:rPr>
        <w:t>ומאי שנא קטנה דאית לה כתובה, ומאי שנא חרשת דלית לה כתובה? דא"כ, מימנעי ולא נסבי לה.</w:t>
      </w:r>
      <w:r w:rsidR="000276FD">
        <w:rPr>
          <w:rFonts w:cs="Arial" w:hint="cs"/>
          <w:rtl/>
        </w:rPr>
        <w:t>..</w:t>
      </w:r>
      <w:r w:rsidR="000276FD" w:rsidRPr="000276FD">
        <w:rPr>
          <w:rtl/>
        </w:rPr>
        <w:t xml:space="preserve"> </w:t>
      </w:r>
      <w:r w:rsidR="000276FD" w:rsidRPr="000276FD">
        <w:rPr>
          <w:rFonts w:cs="Arial"/>
          <w:rtl/>
        </w:rPr>
        <w:t>וחרשת מנלן דלית לה כתובה? דתניא: חרש ושוטה שנשאו פקחות, אף על פי שנתפקח החרש ונשתפה השוטה - אין להם עליהם כלום, רצו לקיימן - יש להם כתובה; ופקח שנשא חרשת או שוטה, אפי' כתב לה מאה מנה - כתובתה קיימת, מפני שרצה לזוק בנכסיו; טעמא דרצה, הא לא רצה אין לה, דא"כ, מימנעי ולא נסבי לה.</w:t>
      </w:r>
    </w:p>
    <w:p w14:paraId="4E44C621" w14:textId="54092225" w:rsidR="00BB50D9" w:rsidRPr="00BB50D9" w:rsidRDefault="00BB50D9" w:rsidP="00BB50D9">
      <w:pPr>
        <w:rPr>
          <w:u w:val="single"/>
          <w:rtl/>
        </w:rPr>
      </w:pPr>
      <w:r w:rsidRPr="00BB50D9">
        <w:rPr>
          <w:rFonts w:hint="cs"/>
          <w:u w:val="single"/>
          <w:rtl/>
        </w:rPr>
        <w:t>כתובת חרשת/שוטה:</w:t>
      </w:r>
    </w:p>
    <w:p w14:paraId="7D3670E4" w14:textId="5359E3C8" w:rsidR="00B844FD" w:rsidRDefault="00D157B8" w:rsidP="009000E3">
      <w:pPr>
        <w:pStyle w:val="ab"/>
        <w:numPr>
          <w:ilvl w:val="0"/>
          <w:numId w:val="17"/>
        </w:numPr>
        <w:rPr>
          <w:rtl/>
        </w:rPr>
      </w:pPr>
      <w:r>
        <w:rPr>
          <w:rFonts w:cs="Arial" w:hint="cs"/>
          <w:rtl/>
        </w:rPr>
        <w:t xml:space="preserve">רמב"ם </w:t>
      </w:r>
      <w:r>
        <w:rPr>
          <w:rFonts w:cs="Arial" w:hint="cs"/>
          <w:sz w:val="16"/>
          <w:szCs w:val="16"/>
          <w:rtl/>
        </w:rPr>
        <w:t>(פי"א מהל' אישות ה"ד)</w:t>
      </w:r>
      <w:r w:rsidR="00917B18">
        <w:rPr>
          <w:rFonts w:cs="Arial" w:hint="cs"/>
          <w:rtl/>
        </w:rPr>
        <w:t xml:space="preserve"> וטור</w:t>
      </w:r>
      <w:r>
        <w:rPr>
          <w:rFonts w:cs="Arial" w:hint="cs"/>
          <w:rtl/>
        </w:rPr>
        <w:t xml:space="preserve">- </w:t>
      </w:r>
      <w:r w:rsidR="00B844FD">
        <w:rPr>
          <w:rFonts w:cs="Arial"/>
          <w:rtl/>
        </w:rPr>
        <w:t>החרשת והשוטה לא תיקנו להן חכמים כתובה, השוטה לא תיקנו לה נישואין כלל</w:t>
      </w:r>
      <w:r>
        <w:rPr>
          <w:rFonts w:cs="Arial" w:hint="cs"/>
          <w:rtl/>
        </w:rPr>
        <w:t>.</w:t>
      </w:r>
      <w:r w:rsidR="00B844FD">
        <w:rPr>
          <w:rFonts w:cs="Arial"/>
          <w:rtl/>
        </w:rPr>
        <w:t xml:space="preserve"> והחרשת אע</w:t>
      </w:r>
      <w:r>
        <w:rPr>
          <w:rFonts w:cs="Arial" w:hint="cs"/>
          <w:rtl/>
        </w:rPr>
        <w:t>"</w:t>
      </w:r>
      <w:r w:rsidR="00B844FD">
        <w:rPr>
          <w:rFonts w:cs="Arial"/>
          <w:rtl/>
        </w:rPr>
        <w:t>פ שיש לה נישואין מדבריהם לא תיקנו לה כתובה כדי שלא ימנעו מלשאת אותה</w:t>
      </w:r>
      <w:r>
        <w:rPr>
          <w:rFonts w:cs="Arial" w:hint="cs"/>
          <w:rtl/>
        </w:rPr>
        <w:t>.</w:t>
      </w:r>
      <w:r w:rsidR="00B844FD">
        <w:rPr>
          <w:rFonts w:cs="Arial"/>
          <w:rtl/>
        </w:rPr>
        <w:t xml:space="preserve"> וכשם שאין לה כתובה כך אין לה מזונות ולא תנאי מתנאי כתובה</w:t>
      </w:r>
      <w:r w:rsidR="00B844FD">
        <w:rPr>
          <w:rFonts w:cs="Arial" w:hint="cs"/>
          <w:rtl/>
        </w:rPr>
        <w:t>.</w:t>
      </w:r>
      <w:r w:rsidR="00B844FD">
        <w:rPr>
          <w:rFonts w:cs="Arial"/>
          <w:rtl/>
        </w:rPr>
        <w:t xml:space="preserve"> ואם כנס החרשת ונתפקחה</w:t>
      </w:r>
      <w:r w:rsidR="00E63CE2">
        <w:rPr>
          <w:rStyle w:val="a7"/>
          <w:rFonts w:cs="Arial"/>
          <w:rtl/>
        </w:rPr>
        <w:footnoteReference w:id="157"/>
      </w:r>
      <w:r w:rsidR="002C1203">
        <w:rPr>
          <w:rFonts w:cs="Arial" w:hint="cs"/>
          <w:rtl/>
        </w:rPr>
        <w:t xml:space="preserve"> -</w:t>
      </w:r>
      <w:r w:rsidR="00B844FD">
        <w:rPr>
          <w:rFonts w:cs="Arial"/>
          <w:rtl/>
        </w:rPr>
        <w:t xml:space="preserve"> יש לה כתובה</w:t>
      </w:r>
      <w:r w:rsidR="00E63CE2">
        <w:rPr>
          <w:rStyle w:val="a7"/>
          <w:rFonts w:cs="Arial"/>
          <w:rtl/>
        </w:rPr>
        <w:footnoteReference w:id="158"/>
      </w:r>
      <w:r w:rsidR="00B844FD">
        <w:rPr>
          <w:rFonts w:cs="Arial"/>
          <w:rtl/>
        </w:rPr>
        <w:t xml:space="preserve"> ותנאי כתובה וכתובתה מאה. </w:t>
      </w:r>
      <w:r w:rsidR="00917B18" w:rsidRPr="00351B7D">
        <w:rPr>
          <w:rFonts w:asciiTheme="minorBidi" w:hAnsiTheme="minorBidi"/>
          <w:color w:val="E36C0A" w:themeColor="accent6" w:themeShade="BF"/>
          <w:rtl/>
        </w:rPr>
        <w:t>(וכ"פ בשו"ע</w:t>
      </w:r>
      <w:r w:rsidR="004A2493">
        <w:rPr>
          <w:rFonts w:asciiTheme="minorBidi" w:hAnsiTheme="minorBidi" w:hint="cs"/>
          <w:color w:val="E36C0A" w:themeColor="accent6" w:themeShade="BF"/>
          <w:sz w:val="16"/>
          <w:szCs w:val="16"/>
          <w:rtl/>
        </w:rPr>
        <w:t xml:space="preserve"> </w:t>
      </w:r>
      <w:r w:rsidR="004A2493" w:rsidRPr="004A2493">
        <w:rPr>
          <w:rFonts w:asciiTheme="minorBidi" w:hAnsiTheme="minorBidi" w:hint="cs"/>
          <w:color w:val="000000" w:themeColor="text1"/>
          <w:sz w:val="16"/>
          <w:szCs w:val="16"/>
          <w:rtl/>
        </w:rPr>
        <w:t>[</w:t>
      </w:r>
      <w:r w:rsidR="004A2493">
        <w:rPr>
          <w:rFonts w:asciiTheme="minorBidi" w:hAnsiTheme="minorBidi" w:hint="cs"/>
          <w:color w:val="000000" w:themeColor="text1"/>
          <w:sz w:val="16"/>
          <w:szCs w:val="16"/>
          <w:rtl/>
        </w:rPr>
        <w:t>כאן ובסע' ח</w:t>
      </w:r>
      <w:r w:rsidR="004A2493" w:rsidRPr="004A2493">
        <w:rPr>
          <w:rFonts w:asciiTheme="minorBidi" w:hAnsiTheme="minorBidi" w:hint="cs"/>
          <w:color w:val="000000" w:themeColor="text1"/>
          <w:sz w:val="16"/>
          <w:szCs w:val="16"/>
          <w:rtl/>
        </w:rPr>
        <w:t>]</w:t>
      </w:r>
      <w:r w:rsidR="00917B18" w:rsidRPr="00351B7D">
        <w:rPr>
          <w:rFonts w:asciiTheme="minorBidi" w:hAnsiTheme="minorBidi"/>
          <w:color w:val="E36C0A" w:themeColor="accent6" w:themeShade="BF"/>
          <w:rtl/>
        </w:rPr>
        <w:t>)</w:t>
      </w:r>
    </w:p>
    <w:p w14:paraId="4392A8FC" w14:textId="7247789B" w:rsidR="008900FF" w:rsidRPr="008900FF" w:rsidRDefault="008900FF" w:rsidP="008900FF">
      <w:pPr>
        <w:ind w:left="360"/>
        <w:rPr>
          <w:u w:val="dotted"/>
        </w:rPr>
      </w:pPr>
      <w:r w:rsidRPr="008900FF">
        <w:rPr>
          <w:rFonts w:hint="cs"/>
          <w:u w:val="dotted"/>
          <w:rtl/>
        </w:rPr>
        <w:t>ומה הדין אם הפקח שנשא אותה כתב לה אעפ"כ:</w:t>
      </w:r>
    </w:p>
    <w:p w14:paraId="47B9EB77" w14:textId="3F11D577" w:rsidR="00893577" w:rsidRDefault="00D157B8" w:rsidP="009000E3">
      <w:pPr>
        <w:pStyle w:val="ab"/>
        <w:numPr>
          <w:ilvl w:val="0"/>
          <w:numId w:val="17"/>
        </w:numPr>
        <w:rPr>
          <w:rtl/>
        </w:rPr>
      </w:pPr>
      <w:r>
        <w:rPr>
          <w:rFonts w:cs="Arial" w:hint="cs"/>
          <w:rtl/>
        </w:rPr>
        <w:t xml:space="preserve">רמב"ם </w:t>
      </w:r>
      <w:r>
        <w:rPr>
          <w:rFonts w:cs="Arial" w:hint="cs"/>
          <w:sz w:val="16"/>
          <w:szCs w:val="16"/>
          <w:rtl/>
        </w:rPr>
        <w:t>(פי"א מהל' אישות ה"ד)</w:t>
      </w:r>
      <w:r w:rsidR="00917B18">
        <w:rPr>
          <w:rFonts w:cs="Arial" w:hint="cs"/>
          <w:rtl/>
        </w:rPr>
        <w:t xml:space="preserve"> וטור</w:t>
      </w:r>
      <w:r w:rsidR="008900FF" w:rsidRPr="00917B18">
        <w:rPr>
          <w:rFonts w:cs="Arial" w:hint="cs"/>
          <w:rtl/>
        </w:rPr>
        <w:t xml:space="preserve">- </w:t>
      </w:r>
      <w:r w:rsidR="00911C29" w:rsidRPr="00917B18">
        <w:rPr>
          <w:rFonts w:cs="Arial"/>
          <w:rtl/>
        </w:rPr>
        <w:t xml:space="preserve">ואם נשאו לפקח וכתב לה כתובה </w:t>
      </w:r>
      <w:r w:rsidR="00A103D0" w:rsidRPr="00917B18">
        <w:rPr>
          <w:rFonts w:cs="Arial" w:hint="cs"/>
          <w:rtl/>
        </w:rPr>
        <w:t xml:space="preserve">- </w:t>
      </w:r>
      <w:r w:rsidR="00911C29" w:rsidRPr="00917B18">
        <w:rPr>
          <w:rFonts w:cs="Arial"/>
          <w:rtl/>
        </w:rPr>
        <w:t>יש לה מה שכתב לה</w:t>
      </w:r>
      <w:r w:rsidR="00A103D0" w:rsidRPr="00917B18">
        <w:rPr>
          <w:rFonts w:cs="Arial" w:hint="cs"/>
          <w:rtl/>
        </w:rPr>
        <w:t>,</w:t>
      </w:r>
      <w:r w:rsidR="00911C29" w:rsidRPr="00917B18">
        <w:rPr>
          <w:rFonts w:cs="Arial"/>
          <w:rtl/>
        </w:rPr>
        <w:t xml:space="preserve"> מפני שהפסיד על עצמו ורוצה ליזוק בנכסיו</w:t>
      </w:r>
      <w:r w:rsidR="00A103D0" w:rsidRPr="00917B18">
        <w:rPr>
          <w:rFonts w:cs="Arial" w:hint="cs"/>
          <w:rtl/>
        </w:rPr>
        <w:t>.</w:t>
      </w:r>
      <w:r w:rsidR="00911C29" w:rsidRPr="00917B18">
        <w:rPr>
          <w:rFonts w:cs="Arial"/>
          <w:rtl/>
        </w:rPr>
        <w:t xml:space="preserve"> אבל אם לא כתב לה</w:t>
      </w:r>
      <w:r w:rsidR="00A103D0" w:rsidRPr="00917B18">
        <w:rPr>
          <w:rFonts w:cs="Arial" w:hint="cs"/>
          <w:rtl/>
        </w:rPr>
        <w:t xml:space="preserve"> -</w:t>
      </w:r>
      <w:r w:rsidR="00911C29" w:rsidRPr="00917B18">
        <w:rPr>
          <w:rFonts w:cs="Arial"/>
          <w:rtl/>
        </w:rPr>
        <w:t xml:space="preserve"> אין לה כלום</w:t>
      </w:r>
      <w:r w:rsidR="00917B18">
        <w:rPr>
          <w:rFonts w:cs="Arial" w:hint="cs"/>
          <w:sz w:val="16"/>
          <w:szCs w:val="16"/>
          <w:rtl/>
        </w:rPr>
        <w:t xml:space="preserve"> (ל' הטור)</w:t>
      </w:r>
      <w:r w:rsidR="00A103D0" w:rsidRPr="00917B18">
        <w:rPr>
          <w:rFonts w:cs="Arial" w:hint="cs"/>
          <w:rtl/>
        </w:rPr>
        <w:t>.</w:t>
      </w:r>
      <w:r w:rsidR="00917B18" w:rsidRPr="00917B18">
        <w:rPr>
          <w:rFonts w:asciiTheme="minorBidi" w:hAnsiTheme="minorBidi"/>
          <w:color w:val="E36C0A" w:themeColor="accent6" w:themeShade="BF"/>
          <w:rtl/>
        </w:rPr>
        <w:t xml:space="preserve"> </w:t>
      </w:r>
      <w:r w:rsidR="00917B18" w:rsidRPr="00351B7D">
        <w:rPr>
          <w:rFonts w:asciiTheme="minorBidi" w:hAnsiTheme="minorBidi"/>
          <w:color w:val="E36C0A" w:themeColor="accent6" w:themeShade="BF"/>
          <w:rtl/>
        </w:rPr>
        <w:t>(וכ"פ בשו"ע</w:t>
      </w:r>
      <w:r w:rsidR="004A2493">
        <w:rPr>
          <w:rFonts w:asciiTheme="minorBidi" w:hAnsiTheme="minorBidi" w:hint="cs"/>
          <w:color w:val="E36C0A" w:themeColor="accent6" w:themeShade="BF"/>
          <w:rtl/>
        </w:rPr>
        <w:t xml:space="preserve"> </w:t>
      </w:r>
      <w:r w:rsidR="004A2493" w:rsidRPr="004A2493">
        <w:rPr>
          <w:rFonts w:asciiTheme="minorBidi" w:hAnsiTheme="minorBidi" w:hint="cs"/>
          <w:color w:val="000000" w:themeColor="text1"/>
          <w:sz w:val="16"/>
          <w:szCs w:val="16"/>
          <w:rtl/>
        </w:rPr>
        <w:t>[</w:t>
      </w:r>
      <w:r w:rsidR="004A2493">
        <w:rPr>
          <w:rFonts w:asciiTheme="minorBidi" w:hAnsiTheme="minorBidi" w:hint="cs"/>
          <w:color w:val="000000" w:themeColor="text1"/>
          <w:sz w:val="16"/>
          <w:szCs w:val="16"/>
          <w:rtl/>
        </w:rPr>
        <w:t>בסע' ט</w:t>
      </w:r>
      <w:r w:rsidR="004A2493" w:rsidRPr="004A2493">
        <w:rPr>
          <w:rFonts w:asciiTheme="minorBidi" w:hAnsiTheme="minorBidi" w:hint="cs"/>
          <w:color w:val="000000" w:themeColor="text1"/>
          <w:sz w:val="16"/>
          <w:szCs w:val="16"/>
          <w:rtl/>
        </w:rPr>
        <w:t>]</w:t>
      </w:r>
      <w:r w:rsidR="00917B18" w:rsidRPr="00351B7D">
        <w:rPr>
          <w:rFonts w:asciiTheme="minorBidi" w:hAnsiTheme="minorBidi"/>
          <w:color w:val="E36C0A" w:themeColor="accent6" w:themeShade="BF"/>
          <w:rtl/>
        </w:rPr>
        <w:t>)</w:t>
      </w:r>
      <w:r w:rsidR="00911C29" w:rsidRPr="00917B18">
        <w:rPr>
          <w:rFonts w:cs="Arial"/>
          <w:rtl/>
        </w:rPr>
        <w:t xml:space="preserve"> </w:t>
      </w:r>
    </w:p>
    <w:p w14:paraId="405E2903" w14:textId="77777777" w:rsidR="005B7F07" w:rsidRPr="00351B7D" w:rsidRDefault="005B7F07" w:rsidP="005B7F0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2E3938C" w14:textId="16D1F4DC" w:rsidR="00973C57" w:rsidRDefault="00973C57" w:rsidP="00973C57">
      <w:pPr>
        <w:rPr>
          <w:rtl/>
        </w:rPr>
      </w:pPr>
      <w:r>
        <w:rPr>
          <w:rFonts w:cs="Arial"/>
          <w:rtl/>
        </w:rPr>
        <w:t xml:space="preserve">השוטה, לא תקנו לה נשואין כלל. </w:t>
      </w:r>
    </w:p>
    <w:p w14:paraId="0F03783D" w14:textId="77777777" w:rsidR="006C1EDE" w:rsidRDefault="006C1EDE" w:rsidP="00973C57">
      <w:pPr>
        <w:rPr>
          <w:rtl/>
        </w:rPr>
      </w:pPr>
    </w:p>
    <w:p w14:paraId="2FA04B49" w14:textId="2D54961A" w:rsidR="00973C57" w:rsidRDefault="00973C57" w:rsidP="000F64D0">
      <w:pPr>
        <w:pStyle w:val="2"/>
        <w:rPr>
          <w:rtl/>
        </w:rPr>
      </w:pPr>
      <w:r>
        <w:rPr>
          <w:rtl/>
        </w:rPr>
        <w:lastRenderedPageBreak/>
        <w:t>סעיף ח</w:t>
      </w:r>
      <w:r w:rsidR="00F34EF7">
        <w:rPr>
          <w:rFonts w:hint="cs"/>
          <w:rtl/>
        </w:rPr>
        <w:t>: חרשת.</w:t>
      </w:r>
    </w:p>
    <w:p w14:paraId="210F2635" w14:textId="6D65F42B" w:rsidR="00F34EF7" w:rsidRPr="00F34EF7" w:rsidRDefault="004A2493" w:rsidP="00F34EF7">
      <w:pPr>
        <w:rPr>
          <w:rtl/>
        </w:rPr>
      </w:pPr>
      <w:r>
        <w:rPr>
          <w:rFonts w:hint="cs"/>
          <w:rtl/>
        </w:rPr>
        <w:t>עיין במקורות בסעיף ז.</w:t>
      </w:r>
    </w:p>
    <w:p w14:paraId="77582111" w14:textId="77777777" w:rsidR="005B7F07" w:rsidRPr="00351B7D" w:rsidRDefault="005B7F07" w:rsidP="005B7F0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374F8CD" w14:textId="3E9A1911" w:rsidR="00973C57" w:rsidRDefault="00973C57" w:rsidP="00973C57">
      <w:pPr>
        <w:rPr>
          <w:rFonts w:cs="Arial"/>
          <w:rtl/>
        </w:rPr>
      </w:pPr>
      <w:r>
        <w:rPr>
          <w:rFonts w:cs="Arial"/>
          <w:rtl/>
        </w:rPr>
        <w:t>החרשת, אף על פי שיש לה נשואין מדבריהם, לא תקנו לה כתובה</w:t>
      </w:r>
      <w:r w:rsidR="001910BD">
        <w:rPr>
          <w:rStyle w:val="a7"/>
          <w:rFonts w:cs="Arial"/>
          <w:rtl/>
        </w:rPr>
        <w:footnoteReference w:id="159"/>
      </w:r>
      <w:r>
        <w:rPr>
          <w:rFonts w:cs="Arial"/>
          <w:rtl/>
        </w:rPr>
        <w:t xml:space="preserve"> ולא מזונות ולא תנאי מתנאי כתובה</w:t>
      </w:r>
      <w:r w:rsidR="00DC7451">
        <w:rPr>
          <w:rFonts w:cs="Arial" w:hint="cs"/>
          <w:rtl/>
        </w:rPr>
        <w:t>.</w:t>
      </w:r>
      <w:r>
        <w:rPr>
          <w:rFonts w:cs="Arial"/>
          <w:rtl/>
        </w:rPr>
        <w:t xml:space="preserve"> ואם כנס החרשת ונתפקחה, או שוטה ונשתפית, יש לה כתובה ותנאי כתובה, וכתובתה מנה. </w:t>
      </w:r>
    </w:p>
    <w:p w14:paraId="376C7792" w14:textId="77777777" w:rsidR="00DC7451" w:rsidRDefault="00DC7451" w:rsidP="00973C57">
      <w:pPr>
        <w:rPr>
          <w:rtl/>
        </w:rPr>
      </w:pPr>
    </w:p>
    <w:p w14:paraId="29799CAD" w14:textId="566A48BF" w:rsidR="00973C57" w:rsidRDefault="00973C57" w:rsidP="000F64D0">
      <w:pPr>
        <w:pStyle w:val="2"/>
        <w:rPr>
          <w:rtl/>
        </w:rPr>
      </w:pPr>
      <w:r>
        <w:rPr>
          <w:rtl/>
        </w:rPr>
        <w:t>סעיף ט</w:t>
      </w:r>
      <w:r w:rsidR="00F34EF7">
        <w:rPr>
          <w:rFonts w:hint="cs"/>
          <w:rtl/>
        </w:rPr>
        <w:t>: נשא חרשת/שוטה וכתב לה מנה.</w:t>
      </w:r>
    </w:p>
    <w:p w14:paraId="4675B95A" w14:textId="0FD6C4A1" w:rsidR="00F34EF7" w:rsidRPr="00F34EF7" w:rsidRDefault="004A2493" w:rsidP="00F34EF7">
      <w:pPr>
        <w:rPr>
          <w:rtl/>
        </w:rPr>
      </w:pPr>
      <w:r>
        <w:rPr>
          <w:rFonts w:hint="cs"/>
          <w:rtl/>
        </w:rPr>
        <w:t>עיין במקורות בסעיף ז.</w:t>
      </w:r>
    </w:p>
    <w:p w14:paraId="0AF9863C" w14:textId="77777777" w:rsidR="005B7F07" w:rsidRPr="00351B7D" w:rsidRDefault="005B7F07" w:rsidP="005B7F0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97C6846" w14:textId="4AF4C35C" w:rsidR="00973C57" w:rsidRDefault="00973C57" w:rsidP="00973C57">
      <w:pPr>
        <w:rPr>
          <w:rFonts w:cs="Arial"/>
          <w:rtl/>
        </w:rPr>
      </w:pPr>
      <w:r>
        <w:rPr>
          <w:rFonts w:cs="Arial"/>
          <w:rtl/>
        </w:rPr>
        <w:t xml:space="preserve">נשא חרשת או שוטה, וכתב לה מאה מנה, כתובתה קיימת מפני שרצה להזיק נכסיו. </w:t>
      </w:r>
    </w:p>
    <w:p w14:paraId="2AF77132" w14:textId="77777777" w:rsidR="00F34EF7" w:rsidRDefault="00F34EF7" w:rsidP="00973C57">
      <w:pPr>
        <w:rPr>
          <w:rtl/>
        </w:rPr>
      </w:pPr>
    </w:p>
    <w:p w14:paraId="74B90D95" w14:textId="2347CEFB" w:rsidR="00973C57" w:rsidRDefault="00973C57" w:rsidP="000F64D0">
      <w:pPr>
        <w:pStyle w:val="2"/>
        <w:rPr>
          <w:rtl/>
        </w:rPr>
      </w:pPr>
      <w:r>
        <w:rPr>
          <w:rtl/>
        </w:rPr>
        <w:t>סעיף י</w:t>
      </w:r>
      <w:r w:rsidR="00F34EF7">
        <w:rPr>
          <w:rFonts w:hint="cs"/>
          <w:rtl/>
        </w:rPr>
        <w:t>:</w:t>
      </w:r>
      <w:r w:rsidR="003F6438" w:rsidRPr="003F6438">
        <w:rPr>
          <w:rtl/>
        </w:rPr>
        <w:t xml:space="preserve"> </w:t>
      </w:r>
      <w:r w:rsidR="003F6438">
        <w:rPr>
          <w:rFonts w:hint="cs"/>
          <w:rtl/>
        </w:rPr>
        <w:t>אשה פקחת שנשאת לחרש/שוטה.</w:t>
      </w:r>
    </w:p>
    <w:p w14:paraId="04F08B6E" w14:textId="1B21BF99" w:rsidR="00C553DF" w:rsidRDefault="00C553DF" w:rsidP="0092019E">
      <w:pPr>
        <w:rPr>
          <w:rFonts w:cs="Arial"/>
          <w:rtl/>
        </w:rPr>
      </w:pPr>
      <w:r w:rsidRPr="00E567EF">
        <w:rPr>
          <w:rFonts w:cs="Arial" w:hint="cs"/>
          <w:b/>
          <w:bCs/>
          <w:rtl/>
        </w:rPr>
        <w:t xml:space="preserve">יבמות </w:t>
      </w:r>
      <w:r w:rsidRPr="00E567EF">
        <w:rPr>
          <w:rFonts w:cs="Arial" w:hint="cs"/>
          <w:b/>
          <w:bCs/>
          <w:sz w:val="16"/>
          <w:szCs w:val="16"/>
          <w:rtl/>
        </w:rPr>
        <w:t>(ר"פ חרש)</w:t>
      </w:r>
      <w:r w:rsidRPr="00E567EF">
        <w:rPr>
          <w:rFonts w:cs="Arial" w:hint="cs"/>
          <w:b/>
          <w:bCs/>
          <w:rtl/>
        </w:rPr>
        <w:t xml:space="preserve"> קי</w:t>
      </w:r>
      <w:r>
        <w:rPr>
          <w:rFonts w:cs="Arial" w:hint="cs"/>
          <w:b/>
          <w:bCs/>
          <w:rtl/>
        </w:rPr>
        <w:t>ב</w:t>
      </w:r>
      <w:r w:rsidRPr="00E567EF">
        <w:rPr>
          <w:rFonts w:cs="Arial" w:hint="cs"/>
          <w:b/>
          <w:bCs/>
          <w:rtl/>
        </w:rPr>
        <w:t xml:space="preserve"> ע"</w:t>
      </w:r>
      <w:r>
        <w:rPr>
          <w:rFonts w:cs="Arial" w:hint="cs"/>
          <w:b/>
          <w:bCs/>
          <w:rtl/>
        </w:rPr>
        <w:t>ב</w:t>
      </w:r>
      <w:r w:rsidRPr="00E567EF">
        <w:rPr>
          <w:rFonts w:cs="Arial" w:hint="cs"/>
          <w:b/>
          <w:bCs/>
          <w:rtl/>
        </w:rPr>
        <w:t>:</w:t>
      </w:r>
      <w:r>
        <w:rPr>
          <w:rFonts w:cs="Arial" w:hint="cs"/>
          <w:rtl/>
        </w:rPr>
        <w:t xml:space="preserve"> </w:t>
      </w:r>
      <w:r w:rsidRPr="001550BB">
        <w:rPr>
          <w:rFonts w:cs="Arial"/>
          <w:u w:val="single"/>
          <w:rtl/>
        </w:rPr>
        <w:t>אמר רמי בר חמא</w:t>
      </w:r>
      <w:r w:rsidRPr="001550BB">
        <w:rPr>
          <w:rFonts w:cs="Arial"/>
          <w:rtl/>
        </w:rPr>
        <w:t>: מאי שנא חרש וחרשת דתקינו להו רבנן נשואין, ומ"ש דשוטה ושוטה דלא תקינו להו רבנן נשואין? דתניא: שוטה וקטן שנשאו נשים ומתו - נשותיהן פטורות מן החליצה ומן היבום! חרש וחרשת דקיימא תקנתא דרבנן - תקינו להו רבנן נשואין, שוטה ושוטה דלא קיימא תקנתא דרבנן, דאין אדם דר עם נחש בכפיפה אחת - לא תקינו רבנן נשואין</w:t>
      </w:r>
      <w:r>
        <w:rPr>
          <w:rFonts w:cs="Arial" w:hint="cs"/>
          <w:rtl/>
        </w:rPr>
        <w:t>.</w:t>
      </w:r>
    </w:p>
    <w:p w14:paraId="4EB92BE2" w14:textId="0B6D8E16" w:rsidR="0092019E" w:rsidRPr="00E567EF" w:rsidRDefault="0092019E" w:rsidP="0092019E">
      <w:pPr>
        <w:rPr>
          <w:rtl/>
        </w:rPr>
      </w:pPr>
      <w:r w:rsidRPr="00E567EF">
        <w:rPr>
          <w:rFonts w:cs="Arial" w:hint="cs"/>
          <w:b/>
          <w:bCs/>
          <w:rtl/>
        </w:rPr>
        <w:t xml:space="preserve">יבמות </w:t>
      </w:r>
      <w:r w:rsidRPr="00E567EF">
        <w:rPr>
          <w:rFonts w:cs="Arial" w:hint="cs"/>
          <w:b/>
          <w:bCs/>
          <w:sz w:val="16"/>
          <w:szCs w:val="16"/>
          <w:rtl/>
        </w:rPr>
        <w:t>(ר"פ חרש)</w:t>
      </w:r>
      <w:r w:rsidRPr="00E567EF">
        <w:rPr>
          <w:rFonts w:cs="Arial" w:hint="cs"/>
          <w:b/>
          <w:bCs/>
          <w:rtl/>
        </w:rPr>
        <w:t xml:space="preserve"> קי</w:t>
      </w:r>
      <w:r>
        <w:rPr>
          <w:rFonts w:cs="Arial" w:hint="cs"/>
          <w:b/>
          <w:bCs/>
          <w:rtl/>
        </w:rPr>
        <w:t>ג</w:t>
      </w:r>
      <w:r w:rsidRPr="00E567EF">
        <w:rPr>
          <w:rFonts w:cs="Arial" w:hint="cs"/>
          <w:b/>
          <w:bCs/>
          <w:rtl/>
        </w:rPr>
        <w:t xml:space="preserve"> ע"</w:t>
      </w:r>
      <w:r>
        <w:rPr>
          <w:rFonts w:cs="Arial" w:hint="cs"/>
          <w:b/>
          <w:bCs/>
          <w:rtl/>
        </w:rPr>
        <w:t>א</w:t>
      </w:r>
      <w:r w:rsidRPr="00E567EF">
        <w:rPr>
          <w:rFonts w:cs="Arial" w:hint="cs"/>
          <w:b/>
          <w:bCs/>
          <w:rtl/>
        </w:rPr>
        <w:t>:</w:t>
      </w:r>
      <w:r w:rsidRPr="000276FD">
        <w:rPr>
          <w:rFonts w:cs="Arial"/>
          <w:rtl/>
        </w:rPr>
        <w:t xml:space="preserve"> דתניא: חרש ושוטה שנשאו פקחות, אף על פי שנתפקח החרש ונשתפה השוטה - אין להם עליהם כלום, רצו לקיימן - יש להם כתובה; ופקח שנשא חרשת או שוטה, אפי' כתב לה מאה מנה - כתובתה קיימת, מפני שרצה לזוק בנכסיו; טעמא דרצה, הא לא רצה אין לה, דא"כ, מימנעי ולא נסבי לה.</w:t>
      </w:r>
      <w:r w:rsidR="006101A1">
        <w:rPr>
          <w:rFonts w:cs="Arial" w:hint="cs"/>
          <w:rtl/>
        </w:rPr>
        <w:t>..</w:t>
      </w:r>
      <w:r w:rsidR="006101A1" w:rsidRPr="006101A1">
        <w:rPr>
          <w:rtl/>
        </w:rPr>
        <w:t xml:space="preserve"> </w:t>
      </w:r>
      <w:r w:rsidR="006101A1" w:rsidRPr="006101A1">
        <w:rPr>
          <w:rFonts w:cs="Arial"/>
          <w:rtl/>
        </w:rPr>
        <w:t xml:space="preserve">ההוא חרש דהוה בשבבותיה דרב מלכיו, אנסביה איתתא וכתב לה ארבע מאה זוזי מנכסיה; </w:t>
      </w:r>
      <w:r w:rsidR="006101A1" w:rsidRPr="006101A1">
        <w:rPr>
          <w:rFonts w:cs="Arial"/>
          <w:u w:val="single"/>
          <w:rtl/>
        </w:rPr>
        <w:t>אמר רבא</w:t>
      </w:r>
      <w:r w:rsidR="006101A1" w:rsidRPr="006101A1">
        <w:rPr>
          <w:rFonts w:cs="Arial"/>
          <w:rtl/>
        </w:rPr>
        <w:t>: מאן חכים כרב מלכיו, דגברא רבה הוא, קסבר: אילו רצה שפחה לשמשו, מי לא זבנינן ליה? כ"ש הכא דאיכא תרתי.</w:t>
      </w:r>
    </w:p>
    <w:p w14:paraId="5EAE0E5F" w14:textId="748C4F08" w:rsidR="00F34EF7" w:rsidRPr="003F6438" w:rsidRDefault="003F6438" w:rsidP="00F34EF7">
      <w:pPr>
        <w:rPr>
          <w:u w:val="single"/>
          <w:rtl/>
        </w:rPr>
      </w:pPr>
      <w:r w:rsidRPr="003F6438">
        <w:rPr>
          <w:rFonts w:cs="Arial"/>
          <w:u w:val="single"/>
          <w:rtl/>
        </w:rPr>
        <w:t>חרש או שוטה שנשאו נשים פקחות</w:t>
      </w:r>
      <w:r w:rsidRPr="003F6438">
        <w:rPr>
          <w:rFonts w:hint="cs"/>
          <w:u w:val="single"/>
          <w:rtl/>
        </w:rPr>
        <w:t>:</w:t>
      </w:r>
    </w:p>
    <w:p w14:paraId="59662024" w14:textId="3C9E7728" w:rsidR="00911C29" w:rsidRPr="00911C29" w:rsidRDefault="00E55052" w:rsidP="009000E3">
      <w:pPr>
        <w:pStyle w:val="ab"/>
        <w:numPr>
          <w:ilvl w:val="0"/>
          <w:numId w:val="17"/>
        </w:numPr>
      </w:pPr>
      <w:r>
        <w:rPr>
          <w:rFonts w:cs="Arial" w:hint="cs"/>
          <w:rtl/>
        </w:rPr>
        <w:t xml:space="preserve">רמב"ם </w:t>
      </w:r>
      <w:r>
        <w:rPr>
          <w:rFonts w:cs="Arial" w:hint="cs"/>
          <w:sz w:val="16"/>
          <w:szCs w:val="16"/>
          <w:rtl/>
        </w:rPr>
        <w:t>(פי"א מהל' אישות ה"ו)</w:t>
      </w:r>
      <w:r>
        <w:rPr>
          <w:rFonts w:cs="Arial" w:hint="cs"/>
          <w:rtl/>
        </w:rPr>
        <w:t xml:space="preserve"> וטור- </w:t>
      </w:r>
      <w:r w:rsidRPr="00E55052">
        <w:rPr>
          <w:rFonts w:cs="Arial"/>
          <w:rtl/>
        </w:rPr>
        <w:t>חרש או שוטה שנשאו נשים פקחות</w:t>
      </w:r>
      <w:r>
        <w:rPr>
          <w:rFonts w:cs="Arial" w:hint="cs"/>
          <w:rtl/>
        </w:rPr>
        <w:t>,</w:t>
      </w:r>
      <w:r w:rsidRPr="00E55052">
        <w:rPr>
          <w:rFonts w:cs="Arial"/>
          <w:rtl/>
        </w:rPr>
        <w:t xml:space="preserve"> אע</w:t>
      </w:r>
      <w:r>
        <w:rPr>
          <w:rFonts w:cs="Arial" w:hint="cs"/>
          <w:rtl/>
        </w:rPr>
        <w:t>"</w:t>
      </w:r>
      <w:r w:rsidRPr="00E55052">
        <w:rPr>
          <w:rFonts w:cs="Arial"/>
          <w:rtl/>
        </w:rPr>
        <w:t xml:space="preserve">פ שנתפקח החרש ונשתפה השוטה </w:t>
      </w:r>
      <w:r>
        <w:rPr>
          <w:rFonts w:cs="Arial" w:hint="cs"/>
          <w:rtl/>
        </w:rPr>
        <w:t xml:space="preserve">- </w:t>
      </w:r>
      <w:r w:rsidRPr="00E55052">
        <w:rPr>
          <w:rFonts w:cs="Arial"/>
          <w:rtl/>
        </w:rPr>
        <w:t>אין לנשיהם עליהם כלום</w:t>
      </w:r>
      <w:r w:rsidR="009B5359">
        <w:rPr>
          <w:rStyle w:val="a7"/>
          <w:rFonts w:cs="Arial"/>
          <w:rtl/>
        </w:rPr>
        <w:footnoteReference w:id="160"/>
      </w:r>
      <w:r>
        <w:rPr>
          <w:rFonts w:cs="Arial" w:hint="cs"/>
          <w:rtl/>
        </w:rPr>
        <w:t>.</w:t>
      </w:r>
      <w:r w:rsidRPr="00E55052">
        <w:rPr>
          <w:rFonts w:cs="Arial"/>
          <w:rtl/>
        </w:rPr>
        <w:t xml:space="preserve"> רצו לקיימן אחר שהבריאו</w:t>
      </w:r>
      <w:r>
        <w:rPr>
          <w:rFonts w:cs="Arial" w:hint="cs"/>
          <w:rtl/>
        </w:rPr>
        <w:t xml:space="preserve"> -</w:t>
      </w:r>
      <w:r w:rsidRPr="00E55052">
        <w:rPr>
          <w:rFonts w:cs="Arial"/>
          <w:rtl/>
        </w:rPr>
        <w:t xml:space="preserve"> יש להן כתובה מאה, ואם בית דין</w:t>
      </w:r>
      <w:r w:rsidR="009B5359">
        <w:rPr>
          <w:rStyle w:val="a7"/>
          <w:rFonts w:cs="Arial"/>
          <w:rtl/>
        </w:rPr>
        <w:footnoteReference w:id="161"/>
      </w:r>
      <w:r w:rsidRPr="00E55052">
        <w:rPr>
          <w:rFonts w:cs="Arial"/>
          <w:rtl/>
        </w:rPr>
        <w:t xml:space="preserve"> הם שהשיאו החרש וכתבו לה כתובה על נכסיו </w:t>
      </w:r>
      <w:r w:rsidR="009B5359">
        <w:rPr>
          <w:rFonts w:cs="Arial" w:hint="cs"/>
          <w:rtl/>
        </w:rPr>
        <w:t xml:space="preserve">- </w:t>
      </w:r>
      <w:r w:rsidRPr="00E55052">
        <w:rPr>
          <w:rFonts w:cs="Arial"/>
          <w:rtl/>
        </w:rPr>
        <w:t>נוטלת כל מה שכתבו לה בית דין</w:t>
      </w:r>
      <w:r w:rsidR="009B5359">
        <w:rPr>
          <w:rFonts w:cs="Arial" w:hint="cs"/>
          <w:rtl/>
        </w:rPr>
        <w:t>.</w:t>
      </w:r>
      <w:r w:rsidRPr="00E55052">
        <w:rPr>
          <w:rFonts w:cs="Arial"/>
          <w:rtl/>
        </w:rPr>
        <w:t xml:space="preserve"> אבל השוטה אין בית דין משיאין אותו, במקום שאין תקנת חכמים עומדת לא תיקנו לו נישואין.</w:t>
      </w:r>
      <w:r w:rsidR="00187615" w:rsidRPr="00187615">
        <w:rPr>
          <w:rFonts w:asciiTheme="minorBidi" w:hAnsiTheme="minorBidi"/>
          <w:color w:val="E36C0A" w:themeColor="accent6" w:themeShade="BF"/>
          <w:rtl/>
        </w:rPr>
        <w:t xml:space="preserve"> </w:t>
      </w:r>
      <w:r w:rsidR="00187615" w:rsidRPr="00351B7D">
        <w:rPr>
          <w:rFonts w:asciiTheme="minorBidi" w:hAnsiTheme="minorBidi"/>
          <w:color w:val="E36C0A" w:themeColor="accent6" w:themeShade="BF"/>
          <w:rtl/>
        </w:rPr>
        <w:t>(וכ"פ בשו"ע</w:t>
      </w:r>
      <w:r w:rsidR="00187615">
        <w:rPr>
          <w:rFonts w:asciiTheme="minorBidi" w:hAnsiTheme="minorBidi" w:hint="cs"/>
          <w:color w:val="E36C0A" w:themeColor="accent6" w:themeShade="BF"/>
          <w:rtl/>
        </w:rPr>
        <w:t>)</w:t>
      </w:r>
      <w:r w:rsidRPr="00E55052">
        <w:rPr>
          <w:rFonts w:cs="Arial"/>
          <w:rtl/>
        </w:rPr>
        <w:t xml:space="preserve"> </w:t>
      </w:r>
      <w:r w:rsidR="00911C29" w:rsidRPr="005B7F07">
        <w:rPr>
          <w:rFonts w:cs="Arial"/>
          <w:rtl/>
        </w:rPr>
        <w:t xml:space="preserve"> </w:t>
      </w:r>
    </w:p>
    <w:p w14:paraId="615394FC" w14:textId="77777777" w:rsidR="00C553DF" w:rsidRDefault="00466DC1" w:rsidP="00893577">
      <w:pPr>
        <w:rPr>
          <w:rFonts w:cs="Arial"/>
          <w:rtl/>
        </w:rPr>
      </w:pPr>
      <w:r w:rsidRPr="00C553DF">
        <w:rPr>
          <w:rFonts w:cs="Arial" w:hint="cs"/>
          <w:u w:val="single"/>
          <w:rtl/>
        </w:rPr>
        <w:t>האם בית דין יכול לפסוק נדוניא ליתומה מנכסיה</w:t>
      </w:r>
      <w:r w:rsidR="00C553DF" w:rsidRPr="00C553DF">
        <w:rPr>
          <w:rFonts w:cs="Arial" w:hint="cs"/>
          <w:u w:val="single"/>
          <w:rtl/>
        </w:rPr>
        <w:t>:</w:t>
      </w:r>
    </w:p>
    <w:p w14:paraId="4372A8A4" w14:textId="00BD24FE" w:rsidR="00893577" w:rsidRDefault="00893577" w:rsidP="009000E3">
      <w:pPr>
        <w:pStyle w:val="ab"/>
        <w:numPr>
          <w:ilvl w:val="0"/>
          <w:numId w:val="17"/>
        </w:numPr>
        <w:rPr>
          <w:rtl/>
        </w:rPr>
      </w:pPr>
      <w:r w:rsidRPr="00C553DF">
        <w:rPr>
          <w:rFonts w:cs="Arial"/>
          <w:rtl/>
        </w:rPr>
        <w:lastRenderedPageBreak/>
        <w:t>נמוק</w:t>
      </w:r>
      <w:r w:rsidR="002754F9" w:rsidRPr="00C553DF">
        <w:rPr>
          <w:rFonts w:cs="Arial" w:hint="cs"/>
          <w:rtl/>
        </w:rPr>
        <w:t>"</w:t>
      </w:r>
      <w:r w:rsidRPr="00C553DF">
        <w:rPr>
          <w:rFonts w:cs="Arial"/>
          <w:rtl/>
        </w:rPr>
        <w:t xml:space="preserve">י </w:t>
      </w:r>
      <w:r w:rsidR="00C553DF" w:rsidRPr="00C553DF">
        <w:rPr>
          <w:rFonts w:cs="Arial" w:hint="cs"/>
          <w:sz w:val="16"/>
          <w:szCs w:val="16"/>
          <w:rtl/>
        </w:rPr>
        <w:t>(</w:t>
      </w:r>
      <w:r w:rsidR="00C553DF" w:rsidRPr="00C553DF">
        <w:rPr>
          <w:rFonts w:cs="Arial"/>
          <w:sz w:val="16"/>
          <w:szCs w:val="16"/>
          <w:rtl/>
        </w:rPr>
        <w:t>יבמות מא: דיבור ראשון</w:t>
      </w:r>
      <w:r w:rsidRPr="00C553DF">
        <w:rPr>
          <w:rFonts w:cs="Arial"/>
          <w:sz w:val="16"/>
          <w:szCs w:val="16"/>
          <w:rtl/>
        </w:rPr>
        <w:t xml:space="preserve">) </w:t>
      </w:r>
      <w:r w:rsidRPr="00C553DF">
        <w:rPr>
          <w:rFonts w:cs="Arial"/>
          <w:rtl/>
        </w:rPr>
        <w:t>בשם הריטב"א</w:t>
      </w:r>
      <w:r w:rsidRPr="00C553DF">
        <w:rPr>
          <w:rFonts w:cs="Arial"/>
          <w:sz w:val="16"/>
          <w:szCs w:val="16"/>
          <w:rtl/>
        </w:rPr>
        <w:t xml:space="preserve"> (שם ד"ה אלו)</w:t>
      </w:r>
      <w:r w:rsidR="00C553DF" w:rsidRPr="00C553DF">
        <w:rPr>
          <w:rFonts w:cs="Arial" w:hint="cs"/>
          <w:rtl/>
        </w:rPr>
        <w:t>-</w:t>
      </w:r>
      <w:r w:rsidRPr="00C553DF">
        <w:rPr>
          <w:rFonts w:cs="Arial"/>
          <w:rtl/>
        </w:rPr>
        <w:t xml:space="preserve"> ומכאן</w:t>
      </w:r>
      <w:r w:rsidR="00C553DF">
        <w:rPr>
          <w:rStyle w:val="a7"/>
          <w:rFonts w:cs="Arial"/>
          <w:rtl/>
        </w:rPr>
        <w:footnoteReference w:id="162"/>
      </w:r>
      <w:r w:rsidRPr="00C553DF">
        <w:rPr>
          <w:rFonts w:cs="Arial"/>
          <w:rtl/>
        </w:rPr>
        <w:t xml:space="preserve"> אתה דן ליתומה קטנה שיש רשות לבית דין לפסוק על נכסיה נדוניא הראויה לה לינשא לבעל ההגון לה</w:t>
      </w:r>
      <w:r w:rsidR="009B5359" w:rsidRPr="00C553DF">
        <w:rPr>
          <w:rFonts w:cs="Arial" w:hint="cs"/>
          <w:rtl/>
        </w:rPr>
        <w:t>,</w:t>
      </w:r>
      <w:r w:rsidRPr="00C553DF">
        <w:rPr>
          <w:rFonts w:cs="Arial"/>
          <w:rtl/>
        </w:rPr>
        <w:t xml:space="preserve"> ולא עוד אלא שיכולים לקיים על נכסיה שאם תמאן שתפסיד נדונייתה</w:t>
      </w:r>
      <w:r w:rsidR="00CC4984" w:rsidRPr="00C553DF">
        <w:rPr>
          <w:rFonts w:cs="Arial" w:hint="cs"/>
          <w:rtl/>
        </w:rPr>
        <w:t>,</w:t>
      </w:r>
      <w:r w:rsidRPr="00C553DF">
        <w:rPr>
          <w:rFonts w:cs="Arial"/>
          <w:rtl/>
        </w:rPr>
        <w:t xml:space="preserve"> דכל שהוא לתקנתה ותועלתה יש להם רשות בנכסיה</w:t>
      </w:r>
      <w:r w:rsidR="00CC4984" w:rsidRPr="00C553DF">
        <w:rPr>
          <w:rFonts w:cs="Arial" w:hint="cs"/>
          <w:rtl/>
        </w:rPr>
        <w:t>.</w:t>
      </w:r>
      <w:r w:rsidRPr="00C553DF">
        <w:rPr>
          <w:rFonts w:cs="Arial"/>
          <w:rtl/>
        </w:rPr>
        <w:t xml:space="preserve"> אבל קטן ושוטה שאין להם נישואין </w:t>
      </w:r>
      <w:r w:rsidR="00CC4984" w:rsidRPr="00C553DF">
        <w:rPr>
          <w:rFonts w:cs="Arial" w:hint="cs"/>
          <w:rtl/>
        </w:rPr>
        <w:t xml:space="preserve">- </w:t>
      </w:r>
      <w:r w:rsidRPr="00C553DF">
        <w:rPr>
          <w:rFonts w:cs="Arial"/>
          <w:rtl/>
        </w:rPr>
        <w:t>אין להם רשות בכך</w:t>
      </w:r>
      <w:r w:rsidR="00CC4984" w:rsidRPr="00C553DF">
        <w:rPr>
          <w:rFonts w:cs="Arial" w:hint="cs"/>
          <w:rtl/>
        </w:rPr>
        <w:t>,</w:t>
      </w:r>
      <w:r w:rsidRPr="00C553DF">
        <w:rPr>
          <w:rFonts w:cs="Arial"/>
          <w:rtl/>
        </w:rPr>
        <w:t xml:space="preserve"> דנישואין אין כאן כתובה אין כאן</w:t>
      </w:r>
      <w:r w:rsidR="002754F9" w:rsidRPr="00C553DF">
        <w:rPr>
          <w:rFonts w:cs="Arial" w:hint="cs"/>
          <w:rtl/>
        </w:rPr>
        <w:t>.</w:t>
      </w:r>
    </w:p>
    <w:p w14:paraId="219F656B" w14:textId="77777777" w:rsidR="005B7F07" w:rsidRPr="00351B7D" w:rsidRDefault="005B7F07" w:rsidP="005B7F0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D14DCF1" w14:textId="77777777" w:rsidR="00580449" w:rsidRDefault="00973C57" w:rsidP="00973C57">
      <w:pPr>
        <w:rPr>
          <w:rFonts w:cs="Arial"/>
          <w:rtl/>
        </w:rPr>
      </w:pPr>
      <w:r>
        <w:rPr>
          <w:rFonts w:cs="Arial"/>
          <w:rtl/>
        </w:rPr>
        <w:t>חרש או שוטה שנשאו נשים, אף על פי שנתפקח החרש ונשתפה השוטה, אין לנשיהם עליהם כלום</w:t>
      </w:r>
      <w:r w:rsidR="00580449">
        <w:rPr>
          <w:rFonts w:cs="Arial" w:hint="cs"/>
          <w:rtl/>
        </w:rPr>
        <w:t>.</w:t>
      </w:r>
      <w:r>
        <w:rPr>
          <w:rFonts w:cs="Arial"/>
          <w:rtl/>
        </w:rPr>
        <w:t xml:space="preserve"> רצו לקיימה אחר שהבריאו, יש להן כתובה, וכתובתן מנה. ואם ב</w:t>
      </w:r>
      <w:r w:rsidR="00580449">
        <w:rPr>
          <w:rFonts w:cs="Arial" w:hint="cs"/>
          <w:rtl/>
        </w:rPr>
        <w:t>ית דין</w:t>
      </w:r>
      <w:r>
        <w:rPr>
          <w:rFonts w:cs="Arial"/>
          <w:rtl/>
        </w:rPr>
        <w:t xml:space="preserve"> הם שהשיאו החרש וכתבו לה כתובה על נכסיו, נוטלת כל מה שכתבו לה ב</w:t>
      </w:r>
      <w:r w:rsidR="00580449">
        <w:rPr>
          <w:rFonts w:cs="Arial" w:hint="cs"/>
          <w:rtl/>
        </w:rPr>
        <w:t>ית דין.</w:t>
      </w:r>
      <w:r>
        <w:rPr>
          <w:rFonts w:cs="Arial"/>
          <w:rtl/>
        </w:rPr>
        <w:t xml:space="preserve"> אבל השוטה, אין ב</w:t>
      </w:r>
      <w:r w:rsidR="00580449">
        <w:rPr>
          <w:rFonts w:cs="Arial" w:hint="cs"/>
          <w:rtl/>
        </w:rPr>
        <w:t>ית דין</w:t>
      </w:r>
      <w:r>
        <w:rPr>
          <w:rFonts w:cs="Arial"/>
          <w:rtl/>
        </w:rPr>
        <w:t xml:space="preserve"> משיאין אותו.</w:t>
      </w:r>
    </w:p>
    <w:p w14:paraId="7A4B0A42" w14:textId="4D25C574" w:rsidR="00973C57" w:rsidRDefault="00973C57" w:rsidP="00973C57">
      <w:pPr>
        <w:rPr>
          <w:rtl/>
        </w:rPr>
      </w:pPr>
      <w:r>
        <w:rPr>
          <w:rFonts w:cs="Arial"/>
          <w:rtl/>
        </w:rPr>
        <w:t xml:space="preserve"> </w:t>
      </w:r>
    </w:p>
    <w:p w14:paraId="2BD56D01" w14:textId="2725FA98" w:rsidR="00973C57" w:rsidRDefault="00973C57" w:rsidP="000F64D0">
      <w:pPr>
        <w:pStyle w:val="2"/>
        <w:rPr>
          <w:rtl/>
        </w:rPr>
      </w:pPr>
      <w:r>
        <w:rPr>
          <w:rtl/>
        </w:rPr>
        <w:t>סעיף יא</w:t>
      </w:r>
      <w:r w:rsidR="009F595E">
        <w:rPr>
          <w:rFonts w:hint="cs"/>
          <w:rtl/>
        </w:rPr>
        <w:t>: אשת קטן/גר.</w:t>
      </w:r>
    </w:p>
    <w:p w14:paraId="0311D80E" w14:textId="01A1CD2B" w:rsidR="003F6438" w:rsidRDefault="003F6438" w:rsidP="003F6438">
      <w:pPr>
        <w:rPr>
          <w:rFonts w:cs="Arial"/>
          <w:rtl/>
        </w:rPr>
      </w:pPr>
      <w:r w:rsidRPr="00E567EF">
        <w:rPr>
          <w:rFonts w:cs="Arial" w:hint="cs"/>
          <w:b/>
          <w:bCs/>
          <w:rtl/>
        </w:rPr>
        <w:t xml:space="preserve">יבמות </w:t>
      </w:r>
      <w:r w:rsidRPr="00E567EF">
        <w:rPr>
          <w:rFonts w:cs="Arial" w:hint="cs"/>
          <w:b/>
          <w:bCs/>
          <w:sz w:val="16"/>
          <w:szCs w:val="16"/>
          <w:rtl/>
        </w:rPr>
        <w:t>(ר"פ חרש)</w:t>
      </w:r>
      <w:r w:rsidRPr="00E567EF">
        <w:rPr>
          <w:rFonts w:cs="Arial" w:hint="cs"/>
          <w:b/>
          <w:bCs/>
          <w:rtl/>
        </w:rPr>
        <w:t xml:space="preserve"> קי</w:t>
      </w:r>
      <w:r>
        <w:rPr>
          <w:rFonts w:cs="Arial" w:hint="cs"/>
          <w:b/>
          <w:bCs/>
          <w:rtl/>
        </w:rPr>
        <w:t>ב</w:t>
      </w:r>
      <w:r w:rsidRPr="00E567EF">
        <w:rPr>
          <w:rFonts w:cs="Arial" w:hint="cs"/>
          <w:b/>
          <w:bCs/>
          <w:rtl/>
        </w:rPr>
        <w:t xml:space="preserve"> ע"</w:t>
      </w:r>
      <w:r>
        <w:rPr>
          <w:rFonts w:cs="Arial" w:hint="cs"/>
          <w:b/>
          <w:bCs/>
          <w:rtl/>
        </w:rPr>
        <w:t>ב</w:t>
      </w:r>
      <w:r w:rsidRPr="00E567EF">
        <w:rPr>
          <w:rFonts w:cs="Arial" w:hint="cs"/>
          <w:b/>
          <w:bCs/>
          <w:rtl/>
        </w:rPr>
        <w:t>:</w:t>
      </w:r>
      <w:r>
        <w:rPr>
          <w:rFonts w:cs="Arial" w:hint="cs"/>
          <w:rtl/>
        </w:rPr>
        <w:t xml:space="preserve"> </w:t>
      </w:r>
      <w:r w:rsidRPr="00354273">
        <w:rPr>
          <w:rFonts w:cs="Arial"/>
          <w:rtl/>
        </w:rPr>
        <w:t>ומאי שנא קטן דלא תקינו רבנן נשואין, וחרש תקינו ליה רבנן נשואין? חרש דלא אתי לכלל נשואין - תקינו רבנן נשואין, קטן דאתי לכלל נשואין - לא תקינו רבנן נשואין.</w:t>
      </w:r>
      <w:r>
        <w:rPr>
          <w:rFonts w:cs="Arial" w:hint="cs"/>
          <w:rtl/>
        </w:rPr>
        <w:t xml:space="preserve"> </w:t>
      </w:r>
      <w:r w:rsidR="00401876" w:rsidRPr="00401876">
        <w:rPr>
          <w:rFonts w:cs="Arial"/>
          <w:rtl/>
        </w:rPr>
        <w:t>והרי קטנה דאתיא לכלל נשואין, ותקינו רבנן נשואין! התם שלא ינהגו בה מנהג הפקר</w:t>
      </w:r>
      <w:r w:rsidR="00401876">
        <w:rPr>
          <w:rFonts w:cs="Arial" w:hint="cs"/>
          <w:rtl/>
        </w:rPr>
        <w:t>.</w:t>
      </w:r>
      <w:r w:rsidRPr="00354273">
        <w:rPr>
          <w:rFonts w:cs="Arial"/>
          <w:rtl/>
        </w:rPr>
        <w:t xml:space="preserve"> </w:t>
      </w:r>
    </w:p>
    <w:p w14:paraId="3748975B" w14:textId="5EA576C4" w:rsidR="004D1324" w:rsidRPr="004D1324" w:rsidRDefault="004D1324" w:rsidP="003F6438">
      <w:pPr>
        <w:rPr>
          <w:rFonts w:cs="Arial"/>
          <w:u w:val="single"/>
          <w:rtl/>
        </w:rPr>
      </w:pPr>
      <w:r w:rsidRPr="004D1324">
        <w:rPr>
          <w:rFonts w:cs="Arial" w:hint="cs"/>
          <w:u w:val="single"/>
          <w:rtl/>
        </w:rPr>
        <w:t>נישואי קטן/קטנה:</w:t>
      </w:r>
    </w:p>
    <w:p w14:paraId="05F040D7" w14:textId="6DEA5E77" w:rsidR="004D1324" w:rsidRDefault="004D1324" w:rsidP="009000E3">
      <w:pPr>
        <w:pStyle w:val="ab"/>
        <w:numPr>
          <w:ilvl w:val="0"/>
          <w:numId w:val="17"/>
        </w:numPr>
        <w:rPr>
          <w:rFonts w:cs="Arial"/>
        </w:rPr>
      </w:pPr>
      <w:r w:rsidRPr="004D1324">
        <w:rPr>
          <w:rFonts w:cs="Arial" w:hint="cs"/>
          <w:rtl/>
        </w:rPr>
        <w:t xml:space="preserve">רמב"ם </w:t>
      </w:r>
      <w:r w:rsidRPr="004D1324">
        <w:rPr>
          <w:rFonts w:cs="Arial" w:hint="cs"/>
          <w:sz w:val="16"/>
          <w:szCs w:val="16"/>
          <w:rtl/>
        </w:rPr>
        <w:t>(פי"א מהל' אישות ה"ו)</w:t>
      </w:r>
      <w:r w:rsidRPr="004D1324">
        <w:rPr>
          <w:rFonts w:cs="Arial" w:hint="cs"/>
          <w:rtl/>
        </w:rPr>
        <w:t xml:space="preserve">- </w:t>
      </w:r>
      <w:r w:rsidRPr="004D1324">
        <w:rPr>
          <w:rFonts w:cs="Arial"/>
          <w:rtl/>
        </w:rPr>
        <w:t>קטן לא תיקנו לו חכמים נישואין</w:t>
      </w:r>
      <w:r w:rsidR="00F91613">
        <w:rPr>
          <w:rFonts w:cs="Arial" w:hint="cs"/>
          <w:rtl/>
        </w:rPr>
        <w:t>,</w:t>
      </w:r>
      <w:r w:rsidRPr="004D1324">
        <w:rPr>
          <w:rFonts w:cs="Arial"/>
          <w:rtl/>
        </w:rPr>
        <w:t xml:space="preserve"> הואיל וסופו לבוא לידי נישואין גמורין</w:t>
      </w:r>
      <w:r w:rsidR="00F91613">
        <w:rPr>
          <w:rFonts w:cs="Arial" w:hint="cs"/>
          <w:rtl/>
        </w:rPr>
        <w:t>.</w:t>
      </w:r>
      <w:r w:rsidRPr="004D1324">
        <w:rPr>
          <w:rFonts w:cs="Arial"/>
          <w:rtl/>
        </w:rPr>
        <w:t xml:space="preserve"> ומפני מה תיקנו נישואין לקטנה ואע</w:t>
      </w:r>
      <w:r w:rsidR="00F91613">
        <w:rPr>
          <w:rFonts w:cs="Arial" w:hint="cs"/>
          <w:rtl/>
        </w:rPr>
        <w:t>"</w:t>
      </w:r>
      <w:r w:rsidRPr="004D1324">
        <w:rPr>
          <w:rFonts w:cs="Arial"/>
          <w:rtl/>
        </w:rPr>
        <w:t>פ שהיא באה לידי נישואין גמורין, כדי שלא ינהגו בה מנהג הפקר</w:t>
      </w:r>
      <w:r w:rsidR="00F91613">
        <w:rPr>
          <w:rFonts w:cs="Arial" w:hint="cs"/>
          <w:rtl/>
        </w:rPr>
        <w:t>.</w:t>
      </w:r>
      <w:r w:rsidRPr="004D1324">
        <w:rPr>
          <w:rFonts w:cs="Arial"/>
          <w:rtl/>
        </w:rPr>
        <w:t xml:space="preserve"> ואין משיאין את הקטן עד שבודקין אותו ויודע שהביא סימנין.</w:t>
      </w:r>
      <w:r w:rsidR="00187615" w:rsidRPr="00187615">
        <w:rPr>
          <w:rFonts w:asciiTheme="minorBidi" w:hAnsiTheme="minorBidi"/>
          <w:color w:val="E36C0A" w:themeColor="accent6" w:themeShade="BF"/>
          <w:rtl/>
        </w:rPr>
        <w:t xml:space="preserve"> </w:t>
      </w:r>
      <w:r w:rsidR="00187615" w:rsidRPr="00351B7D">
        <w:rPr>
          <w:rFonts w:asciiTheme="minorBidi" w:hAnsiTheme="minorBidi"/>
          <w:color w:val="E36C0A" w:themeColor="accent6" w:themeShade="BF"/>
          <w:rtl/>
        </w:rPr>
        <w:t>(וכ"פ בשו"ע</w:t>
      </w:r>
      <w:r w:rsidR="00187615">
        <w:rPr>
          <w:rFonts w:asciiTheme="minorBidi" w:hAnsiTheme="minorBidi" w:hint="cs"/>
          <w:color w:val="E36C0A" w:themeColor="accent6" w:themeShade="BF"/>
          <w:rtl/>
        </w:rPr>
        <w:t>)</w:t>
      </w:r>
    </w:p>
    <w:p w14:paraId="30A7078F" w14:textId="23937EFF" w:rsidR="002463AF" w:rsidRPr="002463AF" w:rsidRDefault="002463AF" w:rsidP="002463AF">
      <w:pPr>
        <w:rPr>
          <w:rFonts w:cs="Arial"/>
          <w:rtl/>
        </w:rPr>
      </w:pPr>
      <w:r w:rsidRPr="003E0959">
        <w:rPr>
          <w:rFonts w:cs="Arial" w:hint="cs"/>
          <w:b/>
          <w:bCs/>
          <w:rtl/>
        </w:rPr>
        <w:t xml:space="preserve">כתובות </w:t>
      </w:r>
      <w:r w:rsidRPr="003E0959">
        <w:rPr>
          <w:rFonts w:cs="Arial" w:hint="cs"/>
          <w:b/>
          <w:bCs/>
          <w:sz w:val="16"/>
          <w:szCs w:val="16"/>
          <w:rtl/>
        </w:rPr>
        <w:t>(פ</w:t>
      </w:r>
      <w:r>
        <w:rPr>
          <w:rFonts w:cs="Arial" w:hint="cs"/>
          <w:b/>
          <w:bCs/>
          <w:sz w:val="16"/>
          <w:szCs w:val="16"/>
          <w:rtl/>
        </w:rPr>
        <w:t>' הכותב</w:t>
      </w:r>
      <w:r w:rsidRPr="003E0959">
        <w:rPr>
          <w:rFonts w:cs="Arial" w:hint="cs"/>
          <w:b/>
          <w:bCs/>
          <w:sz w:val="16"/>
          <w:szCs w:val="16"/>
          <w:rtl/>
        </w:rPr>
        <w:t>)</w:t>
      </w:r>
      <w:r w:rsidRPr="003E0959">
        <w:rPr>
          <w:rFonts w:cs="Arial" w:hint="cs"/>
          <w:b/>
          <w:bCs/>
          <w:rtl/>
        </w:rPr>
        <w:t xml:space="preserve"> </w:t>
      </w:r>
      <w:r>
        <w:rPr>
          <w:rFonts w:cs="Arial" w:hint="cs"/>
          <w:b/>
          <w:bCs/>
          <w:rtl/>
        </w:rPr>
        <w:t>צ</w:t>
      </w:r>
      <w:r w:rsidRPr="003E0959">
        <w:rPr>
          <w:rFonts w:cs="Arial" w:hint="cs"/>
          <w:b/>
          <w:bCs/>
          <w:rtl/>
        </w:rPr>
        <w:t xml:space="preserve"> ע"</w:t>
      </w:r>
      <w:r>
        <w:rPr>
          <w:rFonts w:cs="Arial" w:hint="cs"/>
          <w:b/>
          <w:bCs/>
          <w:rtl/>
        </w:rPr>
        <w:t>א</w:t>
      </w:r>
      <w:r w:rsidRPr="003E0959">
        <w:rPr>
          <w:rFonts w:cs="Arial" w:hint="cs"/>
          <w:b/>
          <w:bCs/>
          <w:rtl/>
        </w:rPr>
        <w:t xml:space="preserve">: </w:t>
      </w:r>
      <w:r w:rsidRPr="003E0959">
        <w:rPr>
          <w:rFonts w:cs="Arial"/>
          <w:u w:val="double"/>
          <w:rtl/>
        </w:rPr>
        <w:t>מתני'</w:t>
      </w:r>
      <w:r>
        <w:rPr>
          <w:rFonts w:cs="Arial" w:hint="cs"/>
          <w:rtl/>
        </w:rPr>
        <w:t>:</w:t>
      </w:r>
      <w:r w:rsidRPr="002463AF">
        <w:rPr>
          <w:rFonts w:cs="Arial"/>
          <w:rtl/>
        </w:rPr>
        <w:t xml:space="preserve"> קטן שהשיאו אביו - כתובתה קיימת</w:t>
      </w:r>
      <w:r w:rsidR="00C46C18">
        <w:rPr>
          <w:rStyle w:val="a7"/>
          <w:rFonts w:cs="Arial"/>
          <w:rtl/>
        </w:rPr>
        <w:footnoteReference w:id="163"/>
      </w:r>
      <w:r w:rsidRPr="002463AF">
        <w:rPr>
          <w:rFonts w:cs="Arial"/>
          <w:rtl/>
        </w:rPr>
        <w:t>, שע"מ כן קיימה</w:t>
      </w:r>
      <w:r>
        <w:rPr>
          <w:rFonts w:cs="Arial" w:hint="cs"/>
          <w:rtl/>
        </w:rPr>
        <w:t>.</w:t>
      </w:r>
      <w:r w:rsidRPr="002463AF">
        <w:rPr>
          <w:rFonts w:cs="Arial"/>
          <w:rtl/>
        </w:rPr>
        <w:t xml:space="preserve"> גר שנתגיירה אשתו עמו - כתובתה קיימת, שעל מנת כן קיימה. </w:t>
      </w:r>
      <w:r>
        <w:rPr>
          <w:rFonts w:cs="Arial" w:hint="cs"/>
          <w:rtl/>
        </w:rPr>
        <w:t xml:space="preserve">      </w:t>
      </w:r>
      <w:r w:rsidRPr="002463AF">
        <w:rPr>
          <w:rFonts w:cs="Arial"/>
          <w:u w:val="double"/>
          <w:rtl/>
        </w:rPr>
        <w:t>גמ'</w:t>
      </w:r>
      <w:r>
        <w:rPr>
          <w:rFonts w:cs="Arial" w:hint="cs"/>
          <w:rtl/>
        </w:rPr>
        <w:t>:</w:t>
      </w:r>
      <w:r w:rsidRPr="002463AF">
        <w:rPr>
          <w:rFonts w:cs="Arial"/>
          <w:rtl/>
        </w:rPr>
        <w:t xml:space="preserve"> </w:t>
      </w:r>
      <w:r w:rsidRPr="002463AF">
        <w:rPr>
          <w:rFonts w:cs="Arial"/>
          <w:u w:val="single"/>
          <w:rtl/>
        </w:rPr>
        <w:t>אמר רב הונא</w:t>
      </w:r>
      <w:r w:rsidRPr="002463AF">
        <w:rPr>
          <w:rFonts w:cs="Arial"/>
          <w:rtl/>
        </w:rPr>
        <w:t>: לא שנו אלא מנה מאתים</w:t>
      </w:r>
      <w:r w:rsidR="00282945">
        <w:rPr>
          <w:rStyle w:val="a7"/>
          <w:rFonts w:cs="Arial"/>
          <w:rtl/>
        </w:rPr>
        <w:footnoteReference w:id="164"/>
      </w:r>
      <w:r w:rsidRPr="002463AF">
        <w:rPr>
          <w:rFonts w:cs="Arial"/>
          <w:rtl/>
        </w:rPr>
        <w:t>, אבל תוספת אין לה</w:t>
      </w:r>
      <w:r>
        <w:rPr>
          <w:rFonts w:cs="Arial" w:hint="cs"/>
          <w:rtl/>
        </w:rPr>
        <w:t>.</w:t>
      </w:r>
      <w:r w:rsidRPr="002463AF">
        <w:rPr>
          <w:rFonts w:cs="Arial"/>
          <w:rtl/>
        </w:rPr>
        <w:t xml:space="preserve"> </w:t>
      </w:r>
      <w:r w:rsidRPr="002463AF">
        <w:rPr>
          <w:rFonts w:cs="Arial"/>
          <w:u w:val="single"/>
          <w:rtl/>
        </w:rPr>
        <w:t>ורב יהודה אמר</w:t>
      </w:r>
      <w:r w:rsidRPr="002463AF">
        <w:rPr>
          <w:rFonts w:cs="Arial"/>
          <w:rtl/>
        </w:rPr>
        <w:t>: אפי' תוספת יש לה.</w:t>
      </w:r>
      <w:r w:rsidR="00833FCB" w:rsidRPr="00833FCB">
        <w:rPr>
          <w:rtl/>
        </w:rPr>
        <w:t xml:space="preserve"> </w:t>
      </w:r>
      <w:r w:rsidR="00833FCB" w:rsidRPr="00833FCB">
        <w:rPr>
          <w:rFonts w:cs="Arial"/>
          <w:rtl/>
        </w:rPr>
        <w:t>מיתיבי: חידשו</w:t>
      </w:r>
      <w:r w:rsidR="00282945">
        <w:rPr>
          <w:rStyle w:val="a7"/>
          <w:rFonts w:cs="Arial"/>
          <w:rtl/>
        </w:rPr>
        <w:footnoteReference w:id="165"/>
      </w:r>
      <w:r w:rsidR="00833FCB" w:rsidRPr="00833FCB">
        <w:rPr>
          <w:rFonts w:cs="Arial"/>
          <w:rtl/>
        </w:rPr>
        <w:t xml:space="preserve"> - נוטלת מה שחידשו; חידשו אין, לא חידשו לא! אימא: אף מה שחידשו. והא לא תני הכי: חידשו - נוטלת מה שחידשו, לא חידשו - בתולה גובה מאתים ואלמנה מנה</w:t>
      </w:r>
      <w:r w:rsidR="00F26BD9">
        <w:rPr>
          <w:rFonts w:cs="Arial" w:hint="cs"/>
          <w:rtl/>
        </w:rPr>
        <w:t>.</w:t>
      </w:r>
      <w:r w:rsidR="00833FCB" w:rsidRPr="00833FCB">
        <w:rPr>
          <w:rFonts w:cs="Arial"/>
          <w:rtl/>
        </w:rPr>
        <w:t xml:space="preserve"> תיובתא דרב יהודה! רב יהודה מתניתין אטעיתיה, הוא סבר: כתובתה קיימת אכולה מילתא קאי, ולא היא, אעיקר כתובה קאי.</w:t>
      </w:r>
      <w:r w:rsidR="002B322E" w:rsidRPr="002B322E">
        <w:rPr>
          <w:rFonts w:cs="Arial" w:hint="cs"/>
          <w:sz w:val="16"/>
          <w:szCs w:val="16"/>
          <w:rtl/>
        </w:rPr>
        <w:t xml:space="preserve"> (</w:t>
      </w:r>
      <w:r w:rsidR="002B322E" w:rsidRPr="002B322E">
        <w:rPr>
          <w:rFonts w:cs="Arial"/>
          <w:sz w:val="16"/>
          <w:szCs w:val="16"/>
          <w:rtl/>
        </w:rPr>
        <w:t>וכתבו התוספות לא שנו אלא מנה ומאתים וכו' ואם תאמר אם כן מאי קמ"ל מתניתין שעל מנת כן קיימה</w:t>
      </w:r>
      <w:r w:rsidR="002B322E" w:rsidRPr="002B322E">
        <w:rPr>
          <w:rFonts w:cs="Arial" w:hint="cs"/>
          <w:sz w:val="16"/>
          <w:szCs w:val="16"/>
          <w:rtl/>
        </w:rPr>
        <w:t>,</w:t>
      </w:r>
      <w:r w:rsidR="002B322E" w:rsidRPr="002B322E">
        <w:rPr>
          <w:rFonts w:cs="Arial"/>
          <w:sz w:val="16"/>
          <w:szCs w:val="16"/>
          <w:rtl/>
        </w:rPr>
        <w:t xml:space="preserve"> אפילו לא כתב לה מעולם יש לה כתובה</w:t>
      </w:r>
      <w:r w:rsidR="002B322E" w:rsidRPr="002B322E">
        <w:rPr>
          <w:rFonts w:cs="Arial" w:hint="cs"/>
          <w:sz w:val="16"/>
          <w:szCs w:val="16"/>
          <w:rtl/>
        </w:rPr>
        <w:t>.</w:t>
      </w:r>
      <w:r w:rsidR="002B322E" w:rsidRPr="002B322E">
        <w:rPr>
          <w:rFonts w:cs="Arial"/>
          <w:sz w:val="16"/>
          <w:szCs w:val="16"/>
          <w:rtl/>
        </w:rPr>
        <w:t xml:space="preserve"> וליכא למימר דטרפה ממשעבדי</w:t>
      </w:r>
      <w:r w:rsidR="002B322E" w:rsidRPr="002B322E">
        <w:rPr>
          <w:rFonts w:cs="Arial" w:hint="cs"/>
          <w:sz w:val="16"/>
          <w:szCs w:val="16"/>
          <w:rtl/>
        </w:rPr>
        <w:t>,</w:t>
      </w:r>
      <w:r w:rsidR="002B322E" w:rsidRPr="002B322E">
        <w:rPr>
          <w:rFonts w:cs="Arial"/>
          <w:sz w:val="16"/>
          <w:szCs w:val="16"/>
          <w:rtl/>
        </w:rPr>
        <w:t xml:space="preserve"> דהא על כרחך לא גביא ממשעבדי דהא מוקדם הוא ואתי למיטרף לקוחות מה שמכר קודם שנתגייר ואפוטרופוס קודם שהגדיל</w:t>
      </w:r>
      <w:r w:rsidR="002B322E" w:rsidRPr="002B322E">
        <w:rPr>
          <w:rFonts w:cs="Arial" w:hint="cs"/>
          <w:sz w:val="16"/>
          <w:szCs w:val="16"/>
          <w:rtl/>
        </w:rPr>
        <w:t>.</w:t>
      </w:r>
      <w:r w:rsidR="002B322E" w:rsidRPr="002B322E">
        <w:rPr>
          <w:rFonts w:cs="Arial"/>
          <w:sz w:val="16"/>
          <w:szCs w:val="16"/>
          <w:rtl/>
        </w:rPr>
        <w:t xml:space="preserve"> וי"ל דאשמועינן היכא דנשאה בתולה אע</w:t>
      </w:r>
      <w:r w:rsidR="002B322E" w:rsidRPr="002B322E">
        <w:rPr>
          <w:rFonts w:cs="Arial" w:hint="cs"/>
          <w:sz w:val="16"/>
          <w:szCs w:val="16"/>
          <w:rtl/>
        </w:rPr>
        <w:t>"</w:t>
      </w:r>
      <w:r w:rsidR="002B322E" w:rsidRPr="002B322E">
        <w:rPr>
          <w:rFonts w:cs="Arial"/>
          <w:sz w:val="16"/>
          <w:szCs w:val="16"/>
          <w:rtl/>
        </w:rPr>
        <w:t>ג דכשגדל או נתגייר כבר היא בעולה אפילו הכי יש לה כתובה ק"ק</w:t>
      </w:r>
      <w:r w:rsidR="002B322E" w:rsidRPr="002B322E">
        <w:rPr>
          <w:rFonts w:cs="Arial" w:hint="cs"/>
          <w:sz w:val="16"/>
          <w:szCs w:val="16"/>
          <w:rtl/>
        </w:rPr>
        <w:t>,</w:t>
      </w:r>
      <w:r w:rsidR="002B322E" w:rsidRPr="002B322E">
        <w:rPr>
          <w:rFonts w:cs="Arial"/>
          <w:sz w:val="16"/>
          <w:szCs w:val="16"/>
          <w:rtl/>
        </w:rPr>
        <w:t xml:space="preserve"> שע"מ כן קיימה שיהא עכשיו כתחלת נישואין עכ"ל</w:t>
      </w:r>
      <w:r w:rsidR="002B322E" w:rsidRPr="002B322E">
        <w:rPr>
          <w:rFonts w:cs="Arial" w:hint="cs"/>
          <w:sz w:val="16"/>
          <w:szCs w:val="16"/>
          <w:rtl/>
        </w:rPr>
        <w:t>.</w:t>
      </w:r>
      <w:r w:rsidR="002B322E" w:rsidRPr="002B322E">
        <w:rPr>
          <w:rFonts w:cs="Arial"/>
          <w:sz w:val="16"/>
          <w:szCs w:val="16"/>
          <w:rtl/>
        </w:rPr>
        <w:t xml:space="preserve"> וכן נראה מדברי הרא"ש (סי' לב) דבין קטן והגדיל</w:t>
      </w:r>
      <w:r w:rsidR="002B322E" w:rsidRPr="002B322E">
        <w:rPr>
          <w:rFonts w:cs="Arial" w:hint="cs"/>
          <w:sz w:val="16"/>
          <w:szCs w:val="16"/>
          <w:rtl/>
        </w:rPr>
        <w:t>,</w:t>
      </w:r>
      <w:r w:rsidR="002B322E" w:rsidRPr="002B322E">
        <w:rPr>
          <w:rFonts w:cs="Arial"/>
          <w:sz w:val="16"/>
          <w:szCs w:val="16"/>
          <w:rtl/>
        </w:rPr>
        <w:t xml:space="preserve"> בין גוי ונתגייר </w:t>
      </w:r>
      <w:r w:rsidR="002B322E" w:rsidRPr="002B322E">
        <w:rPr>
          <w:rFonts w:cs="Arial" w:hint="cs"/>
          <w:sz w:val="16"/>
          <w:szCs w:val="16"/>
          <w:rtl/>
        </w:rPr>
        <w:t xml:space="preserve">- </w:t>
      </w:r>
      <w:r w:rsidR="002B322E" w:rsidRPr="002B322E">
        <w:rPr>
          <w:rFonts w:cs="Arial"/>
          <w:sz w:val="16"/>
          <w:szCs w:val="16"/>
          <w:rtl/>
        </w:rPr>
        <w:t>בתולה גובה ק"ק</w:t>
      </w:r>
      <w:r w:rsidR="002B322E" w:rsidRPr="002B322E">
        <w:rPr>
          <w:rFonts w:cs="Arial" w:hint="cs"/>
          <w:sz w:val="16"/>
          <w:szCs w:val="16"/>
          <w:rtl/>
        </w:rPr>
        <w:t>.</w:t>
      </w:r>
      <w:r w:rsidR="002B322E" w:rsidRPr="002B322E">
        <w:rPr>
          <w:rFonts w:cs="Arial"/>
          <w:sz w:val="16"/>
          <w:szCs w:val="16"/>
          <w:rtl/>
        </w:rPr>
        <w:t xml:space="preserve"> וכן נראה מדברי רבינו</w:t>
      </w:r>
      <w:r w:rsidR="002B322E" w:rsidRPr="002B322E">
        <w:rPr>
          <w:rFonts w:cs="Arial" w:hint="cs"/>
          <w:sz w:val="16"/>
          <w:szCs w:val="16"/>
          <w:rtl/>
        </w:rPr>
        <w:t>.</w:t>
      </w:r>
      <w:r w:rsidR="002B322E" w:rsidRPr="002B322E">
        <w:rPr>
          <w:rFonts w:cs="Arial"/>
          <w:sz w:val="16"/>
          <w:szCs w:val="16"/>
          <w:rtl/>
        </w:rPr>
        <w:t xml:space="preserve"> </w:t>
      </w:r>
      <w:r w:rsidR="002B322E" w:rsidRPr="002B322E">
        <w:rPr>
          <w:rFonts w:cs="Arial" w:hint="cs"/>
          <w:sz w:val="16"/>
          <w:szCs w:val="16"/>
          <w:rtl/>
        </w:rPr>
        <w:t>אבל הרמב"ם...</w:t>
      </w:r>
      <w:r w:rsidR="002B322E">
        <w:rPr>
          <w:rFonts w:cs="Arial" w:hint="cs"/>
          <w:sz w:val="14"/>
          <w:szCs w:val="14"/>
          <w:rtl/>
        </w:rPr>
        <w:t xml:space="preserve"> {עי' בסמוך בדבריו}</w:t>
      </w:r>
      <w:r w:rsidR="002B322E" w:rsidRPr="002B322E">
        <w:rPr>
          <w:rFonts w:cs="Arial" w:hint="cs"/>
          <w:sz w:val="16"/>
          <w:szCs w:val="16"/>
          <w:rtl/>
        </w:rPr>
        <w:t>, ב"י)</w:t>
      </w:r>
    </w:p>
    <w:p w14:paraId="60AA5F2B" w14:textId="2889FB8A" w:rsidR="003F6438" w:rsidRPr="00F91613" w:rsidRDefault="00F91613" w:rsidP="003F6438">
      <w:pPr>
        <w:rPr>
          <w:u w:val="single"/>
          <w:rtl/>
        </w:rPr>
      </w:pPr>
      <w:r w:rsidRPr="00F91613">
        <w:rPr>
          <w:rFonts w:hint="cs"/>
          <w:u w:val="single"/>
          <w:rtl/>
        </w:rPr>
        <w:t>כתובת אשת קטן</w:t>
      </w:r>
      <w:r w:rsidR="009F595E">
        <w:rPr>
          <w:rFonts w:hint="cs"/>
          <w:u w:val="single"/>
          <w:rtl/>
        </w:rPr>
        <w:t>/גר</w:t>
      </w:r>
      <w:r w:rsidRPr="00F91613">
        <w:rPr>
          <w:rFonts w:hint="cs"/>
          <w:u w:val="single"/>
          <w:rtl/>
        </w:rPr>
        <w:t>:</w:t>
      </w:r>
    </w:p>
    <w:p w14:paraId="41A518C5" w14:textId="2160C8F2" w:rsidR="00911C29" w:rsidRDefault="005355B5" w:rsidP="009000E3">
      <w:pPr>
        <w:pStyle w:val="ab"/>
        <w:numPr>
          <w:ilvl w:val="0"/>
          <w:numId w:val="17"/>
        </w:numPr>
      </w:pPr>
      <w:r>
        <w:rPr>
          <w:rFonts w:cs="Arial" w:hint="cs"/>
          <w:rtl/>
        </w:rPr>
        <w:t xml:space="preserve">תוס' </w:t>
      </w:r>
      <w:r w:rsidR="00411AF4">
        <w:rPr>
          <w:rFonts w:cs="Arial" w:hint="cs"/>
          <w:sz w:val="16"/>
          <w:szCs w:val="16"/>
          <w:rtl/>
        </w:rPr>
        <w:t>(צ. ד"ה לא שנו)</w:t>
      </w:r>
      <w:r w:rsidR="00411AF4">
        <w:rPr>
          <w:rFonts w:cs="Arial" w:hint="cs"/>
          <w:rtl/>
        </w:rPr>
        <w:t xml:space="preserve"> </w:t>
      </w:r>
      <w:r>
        <w:rPr>
          <w:rFonts w:cs="Arial" w:hint="cs"/>
          <w:rtl/>
        </w:rPr>
        <w:t xml:space="preserve">רא"ש </w:t>
      </w:r>
      <w:r w:rsidR="00411AF4">
        <w:rPr>
          <w:rFonts w:cs="Arial" w:hint="cs"/>
          <w:sz w:val="16"/>
          <w:szCs w:val="16"/>
          <w:rtl/>
        </w:rPr>
        <w:t xml:space="preserve">(סי' לב) </w:t>
      </w:r>
      <w:r>
        <w:rPr>
          <w:rFonts w:cs="Arial" w:hint="cs"/>
          <w:rtl/>
        </w:rPr>
        <w:t>ו</w:t>
      </w:r>
      <w:r w:rsidR="00911C29">
        <w:rPr>
          <w:rFonts w:cs="Arial" w:hint="cs"/>
          <w:rtl/>
        </w:rPr>
        <w:t xml:space="preserve">טור- </w:t>
      </w:r>
      <w:r w:rsidR="00911C29" w:rsidRPr="005B7F07">
        <w:rPr>
          <w:rFonts w:cs="Arial"/>
          <w:rtl/>
        </w:rPr>
        <w:t xml:space="preserve">קטן אפילו מבן ט' שנים ומעלה שהשיאו אביו </w:t>
      </w:r>
      <w:r w:rsidR="005A0A59">
        <w:rPr>
          <w:rFonts w:cs="Arial" w:hint="cs"/>
          <w:rtl/>
        </w:rPr>
        <w:t xml:space="preserve">- </w:t>
      </w:r>
      <w:r w:rsidR="00911C29" w:rsidRPr="005B7F07">
        <w:rPr>
          <w:rFonts w:cs="Arial"/>
          <w:rtl/>
        </w:rPr>
        <w:t>אין לה כתובה</w:t>
      </w:r>
      <w:r w:rsidR="005A0A59">
        <w:rPr>
          <w:rFonts w:cs="Arial" w:hint="cs"/>
          <w:rtl/>
        </w:rPr>
        <w:t>.</w:t>
      </w:r>
      <w:r w:rsidR="00911C29" w:rsidRPr="005B7F07">
        <w:rPr>
          <w:rFonts w:cs="Arial"/>
          <w:rtl/>
        </w:rPr>
        <w:t xml:space="preserve"> ואם הגדיל וקיימה</w:t>
      </w:r>
      <w:r w:rsidR="00C45F5F">
        <w:rPr>
          <w:rStyle w:val="a7"/>
          <w:rFonts w:cs="Arial"/>
          <w:rtl/>
        </w:rPr>
        <w:footnoteReference w:id="166"/>
      </w:r>
      <w:r w:rsidR="00911C29" w:rsidRPr="005B7F07">
        <w:rPr>
          <w:rFonts w:cs="Arial"/>
          <w:rtl/>
        </w:rPr>
        <w:t xml:space="preserve"> </w:t>
      </w:r>
      <w:r w:rsidR="005A0A59">
        <w:rPr>
          <w:rFonts w:cs="Arial" w:hint="cs"/>
          <w:rtl/>
        </w:rPr>
        <w:t xml:space="preserve">- </w:t>
      </w:r>
      <w:r w:rsidR="00911C29" w:rsidRPr="005B7F07">
        <w:rPr>
          <w:rFonts w:cs="Arial"/>
          <w:rtl/>
        </w:rPr>
        <w:t>יש לה עיקר כתובתה</w:t>
      </w:r>
      <w:r w:rsidR="005A0A59">
        <w:rPr>
          <w:rFonts w:cs="Arial" w:hint="cs"/>
          <w:rtl/>
        </w:rPr>
        <w:t>,</w:t>
      </w:r>
      <w:r w:rsidR="00911C29" w:rsidRPr="005B7F07">
        <w:rPr>
          <w:rFonts w:cs="Arial"/>
          <w:rtl/>
        </w:rPr>
        <w:t xml:space="preserve"> ר' לבתולה</w:t>
      </w:r>
      <w:r w:rsidR="00911C29">
        <w:rPr>
          <w:rStyle w:val="a7"/>
          <w:rFonts w:cs="Arial"/>
          <w:rtl/>
        </w:rPr>
        <w:footnoteReference w:id="167"/>
      </w:r>
      <w:r w:rsidR="00911C29" w:rsidRPr="005B7F07">
        <w:rPr>
          <w:rFonts w:cs="Arial"/>
          <w:rtl/>
        </w:rPr>
        <w:t xml:space="preserve"> ק' לאלמנה</w:t>
      </w:r>
      <w:r w:rsidR="005A0A59">
        <w:rPr>
          <w:rFonts w:cs="Arial" w:hint="cs"/>
          <w:rtl/>
        </w:rPr>
        <w:t>,</w:t>
      </w:r>
      <w:r w:rsidR="00911C29" w:rsidRPr="005B7F07">
        <w:rPr>
          <w:rFonts w:cs="Arial"/>
          <w:rtl/>
        </w:rPr>
        <w:t xml:space="preserve"> אבל מה שהוסיף בקטנותו </w:t>
      </w:r>
      <w:r w:rsidR="005A0A59">
        <w:rPr>
          <w:rFonts w:cs="Arial" w:hint="cs"/>
          <w:rtl/>
        </w:rPr>
        <w:t xml:space="preserve">- </w:t>
      </w:r>
      <w:r w:rsidR="00911C29" w:rsidRPr="005B7F07">
        <w:rPr>
          <w:rFonts w:cs="Arial"/>
          <w:rtl/>
        </w:rPr>
        <w:t>אין לה</w:t>
      </w:r>
      <w:r w:rsidR="005A0A59">
        <w:rPr>
          <w:rFonts w:cs="Arial" w:hint="cs"/>
          <w:rtl/>
        </w:rPr>
        <w:t>.</w:t>
      </w:r>
      <w:r w:rsidR="00911C29" w:rsidRPr="005B7F07">
        <w:rPr>
          <w:rFonts w:cs="Arial"/>
          <w:rtl/>
        </w:rPr>
        <w:t xml:space="preserve"> ואפילו העיקר אינה גובה מכח שטר הכתובה אלא מתנאי ב"ד</w:t>
      </w:r>
      <w:r w:rsidR="005A0A59">
        <w:rPr>
          <w:rFonts w:cs="Arial" w:hint="cs"/>
          <w:rtl/>
        </w:rPr>
        <w:t>,</w:t>
      </w:r>
      <w:r w:rsidR="00911C29" w:rsidRPr="005B7F07">
        <w:rPr>
          <w:rFonts w:cs="Arial"/>
          <w:rtl/>
        </w:rPr>
        <w:t xml:space="preserve"> לפיכך אינה גובה אלא מבני חרי ולא ממשעבדי שנמכרו בקטנותו</w:t>
      </w:r>
      <w:r w:rsidR="005A0A59">
        <w:rPr>
          <w:rFonts w:cs="Arial" w:hint="cs"/>
          <w:rtl/>
        </w:rPr>
        <w:t>.</w:t>
      </w:r>
      <w:r w:rsidR="00911C29" w:rsidRPr="005B7F07">
        <w:rPr>
          <w:rFonts w:cs="Arial"/>
          <w:rtl/>
        </w:rPr>
        <w:t xml:space="preserve"> וכן הדין בגר שנתגיירה אשתו עמו</w:t>
      </w:r>
      <w:r w:rsidR="00411AF4">
        <w:rPr>
          <w:rFonts w:cs="Arial" w:hint="cs"/>
          <w:sz w:val="16"/>
          <w:szCs w:val="16"/>
          <w:rtl/>
        </w:rPr>
        <w:t xml:space="preserve"> (ל' הטור)</w:t>
      </w:r>
      <w:r w:rsidR="005A0A59">
        <w:rPr>
          <w:rFonts w:cs="Arial" w:hint="cs"/>
          <w:rtl/>
        </w:rPr>
        <w:t>.</w:t>
      </w:r>
    </w:p>
    <w:p w14:paraId="0FE61084" w14:textId="0D0061F8" w:rsidR="00515A1C" w:rsidRPr="002B322E" w:rsidRDefault="00CC0655" w:rsidP="009000E3">
      <w:pPr>
        <w:pStyle w:val="ab"/>
        <w:numPr>
          <w:ilvl w:val="0"/>
          <w:numId w:val="17"/>
        </w:numPr>
        <w:rPr>
          <w:rtl/>
        </w:rPr>
      </w:pPr>
      <w:r>
        <w:rPr>
          <w:rFonts w:cs="Arial" w:hint="cs"/>
          <w:rtl/>
        </w:rPr>
        <w:t xml:space="preserve">רמב"ם </w:t>
      </w:r>
      <w:r>
        <w:rPr>
          <w:rFonts w:cs="Arial" w:hint="cs"/>
          <w:sz w:val="16"/>
          <w:szCs w:val="16"/>
          <w:rtl/>
        </w:rPr>
        <w:t>(פי"א מהל' אישות ה"ז)</w:t>
      </w:r>
      <w:r>
        <w:rPr>
          <w:rFonts w:cs="Arial" w:hint="cs"/>
          <w:rtl/>
        </w:rPr>
        <w:t xml:space="preserve">- </w:t>
      </w:r>
      <w:r w:rsidRPr="00CC0655">
        <w:rPr>
          <w:rFonts w:cs="Arial"/>
          <w:rtl/>
        </w:rPr>
        <w:t xml:space="preserve">קטן אפילו בן תשע שנים ויום אחד שנשא אשה </w:t>
      </w:r>
      <w:r w:rsidR="002B322E">
        <w:rPr>
          <w:rFonts w:cs="Arial" w:hint="cs"/>
          <w:rtl/>
        </w:rPr>
        <w:t xml:space="preserve">- </w:t>
      </w:r>
      <w:r w:rsidRPr="00CC0655">
        <w:rPr>
          <w:rFonts w:cs="Arial"/>
          <w:rtl/>
        </w:rPr>
        <w:t>אין לה כתובה</w:t>
      </w:r>
      <w:r w:rsidR="002B322E">
        <w:rPr>
          <w:rFonts w:cs="Arial" w:hint="cs"/>
          <w:rtl/>
        </w:rPr>
        <w:t>.</w:t>
      </w:r>
      <w:r w:rsidRPr="00CC0655">
        <w:rPr>
          <w:rFonts w:cs="Arial"/>
          <w:rtl/>
        </w:rPr>
        <w:t xml:space="preserve"> ואם הגדיל וקיימה אחר שהגדיל </w:t>
      </w:r>
      <w:r w:rsidR="002B322E">
        <w:rPr>
          <w:rFonts w:cs="Arial" w:hint="cs"/>
          <w:rtl/>
        </w:rPr>
        <w:t xml:space="preserve">- </w:t>
      </w:r>
      <w:r w:rsidRPr="00CC0655">
        <w:rPr>
          <w:rFonts w:cs="Arial"/>
          <w:rtl/>
        </w:rPr>
        <w:t>יש לה עיקר כתובה</w:t>
      </w:r>
      <w:r w:rsidR="002B322E">
        <w:rPr>
          <w:rFonts w:cs="Arial" w:hint="cs"/>
          <w:rtl/>
        </w:rPr>
        <w:t>,</w:t>
      </w:r>
      <w:r w:rsidRPr="00CC0655">
        <w:rPr>
          <w:rFonts w:cs="Arial"/>
          <w:rtl/>
        </w:rPr>
        <w:t xml:space="preserve"> וכן גר שנתגייר הוא ואשתו כתובתה מנה</w:t>
      </w:r>
      <w:r w:rsidR="00857671">
        <w:rPr>
          <w:rStyle w:val="a7"/>
          <w:rFonts w:cs="Arial"/>
          <w:rtl/>
        </w:rPr>
        <w:footnoteReference w:id="168"/>
      </w:r>
      <w:r w:rsidR="00857671">
        <w:rPr>
          <w:rFonts w:cs="Arial" w:hint="cs"/>
          <w:rtl/>
        </w:rPr>
        <w:t>,</w:t>
      </w:r>
      <w:r w:rsidRPr="00CC0655">
        <w:rPr>
          <w:rFonts w:cs="Arial"/>
          <w:rtl/>
        </w:rPr>
        <w:t xml:space="preserve"> שעל מנת כן קיימה.</w:t>
      </w:r>
      <w:r w:rsidR="00187615">
        <w:rPr>
          <w:rFonts w:hint="cs"/>
          <w:rtl/>
        </w:rPr>
        <w:t xml:space="preserve"> </w:t>
      </w:r>
      <w:r w:rsidR="00187615" w:rsidRPr="00351B7D">
        <w:rPr>
          <w:rFonts w:asciiTheme="minorBidi" w:hAnsiTheme="minorBidi"/>
          <w:color w:val="E36C0A" w:themeColor="accent6" w:themeShade="BF"/>
          <w:rtl/>
        </w:rPr>
        <w:t>(וכ"פ בשו"ע</w:t>
      </w:r>
      <w:r w:rsidR="00187615">
        <w:rPr>
          <w:rFonts w:asciiTheme="minorBidi" w:hAnsiTheme="minorBidi" w:hint="cs"/>
          <w:color w:val="E36C0A" w:themeColor="accent6" w:themeShade="BF"/>
          <w:rtl/>
        </w:rPr>
        <w:t>)</w:t>
      </w:r>
    </w:p>
    <w:p w14:paraId="7B02877E" w14:textId="77777777" w:rsidR="005B7F07" w:rsidRPr="00351B7D" w:rsidRDefault="005B7F07" w:rsidP="005B7F0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44A2EA06" w14:textId="1200898E" w:rsidR="00973C57" w:rsidRDefault="00973C57" w:rsidP="00973C57">
      <w:pPr>
        <w:rPr>
          <w:rFonts w:cs="Arial"/>
          <w:rtl/>
        </w:rPr>
      </w:pPr>
      <w:r>
        <w:rPr>
          <w:rFonts w:cs="Arial"/>
          <w:rtl/>
        </w:rPr>
        <w:t>קטן, אפילו מבן ט' שנים ומעלה, שהשיאו אביו, אין לה כתובה</w:t>
      </w:r>
      <w:r w:rsidR="00857671">
        <w:rPr>
          <w:rFonts w:cs="Arial" w:hint="cs"/>
          <w:rtl/>
        </w:rPr>
        <w:t>.</w:t>
      </w:r>
      <w:r>
        <w:rPr>
          <w:rFonts w:cs="Arial"/>
          <w:rtl/>
        </w:rPr>
        <w:t xml:space="preserve"> ואם בא עליה אחר שהגדיל, יש לה עיקר כתובה</w:t>
      </w:r>
      <w:r w:rsidR="009F595E">
        <w:rPr>
          <w:rStyle w:val="a7"/>
          <w:rFonts w:cs="Arial"/>
          <w:rtl/>
        </w:rPr>
        <w:footnoteReference w:id="169"/>
      </w:r>
      <w:r>
        <w:rPr>
          <w:rFonts w:cs="Arial"/>
          <w:rtl/>
        </w:rPr>
        <w:t>, מאתים לבתולה, מנה לאלמנה</w:t>
      </w:r>
      <w:r w:rsidR="00857671">
        <w:rPr>
          <w:rFonts w:cs="Arial" w:hint="cs"/>
          <w:rtl/>
        </w:rPr>
        <w:t>.</w:t>
      </w:r>
      <w:r>
        <w:rPr>
          <w:rFonts w:cs="Arial"/>
          <w:rtl/>
        </w:rPr>
        <w:t xml:space="preserve"> אבל תוספת שכתב לה בקטנותו, אין לה</w:t>
      </w:r>
      <w:r w:rsidR="00857671">
        <w:rPr>
          <w:rFonts w:cs="Arial" w:hint="cs"/>
          <w:rtl/>
        </w:rPr>
        <w:t>.</w:t>
      </w:r>
      <w:r>
        <w:rPr>
          <w:rFonts w:cs="Arial"/>
          <w:rtl/>
        </w:rPr>
        <w:t xml:space="preserve"> </w:t>
      </w:r>
      <w:r w:rsidR="00857671" w:rsidRPr="00857671">
        <w:rPr>
          <w:rFonts w:cs="Arial" w:hint="cs"/>
          <w:sz w:val="18"/>
          <w:szCs w:val="18"/>
          <w:rtl/>
        </w:rPr>
        <w:t xml:space="preserve">[הגה] </w:t>
      </w:r>
      <w:r w:rsidRPr="00857671">
        <w:rPr>
          <w:rFonts w:cs="Arial"/>
          <w:sz w:val="18"/>
          <w:szCs w:val="18"/>
          <w:rtl/>
        </w:rPr>
        <w:t>ואפילו השיאה ב"ד</w:t>
      </w:r>
      <w:r w:rsidR="00857671">
        <w:rPr>
          <w:rFonts w:cs="Arial" w:hint="cs"/>
          <w:sz w:val="18"/>
          <w:szCs w:val="18"/>
          <w:rtl/>
        </w:rPr>
        <w:t>.</w:t>
      </w:r>
      <w:r>
        <w:rPr>
          <w:rFonts w:cs="Arial"/>
          <w:rtl/>
        </w:rPr>
        <w:t xml:space="preserve"> ואפילו העיקר אינו גובה מכח שטר הכתובה, אלא מתנאי בית דין. לפיכך אינו גובה אלא מבני חרי, ולא ממשעבדי שנמכרו בקטנותו. וכן הדין בגר שנתגיירה אשתו עמו, ואין ביניהם אלא שבזו אין כתובתה אלא מנה</w:t>
      </w:r>
      <w:r w:rsidR="00F83BD5">
        <w:rPr>
          <w:rStyle w:val="a7"/>
          <w:rFonts w:cs="Arial"/>
          <w:rtl/>
        </w:rPr>
        <w:footnoteReference w:id="170"/>
      </w:r>
      <w:r>
        <w:rPr>
          <w:rFonts w:cs="Arial"/>
          <w:rtl/>
        </w:rPr>
        <w:t xml:space="preserve"> לדעת הרמב"ם.</w:t>
      </w:r>
    </w:p>
    <w:p w14:paraId="608587D7" w14:textId="384998F6" w:rsidR="002766C5" w:rsidRDefault="002766C5" w:rsidP="00973C57">
      <w:pPr>
        <w:rPr>
          <w:rtl/>
        </w:rPr>
      </w:pPr>
    </w:p>
    <w:p w14:paraId="5C33F042" w14:textId="4F950079" w:rsidR="00973C57" w:rsidRDefault="00973C57" w:rsidP="00973C57">
      <w:pPr>
        <w:rPr>
          <w:rtl/>
        </w:rPr>
      </w:pPr>
    </w:p>
    <w:p w14:paraId="78EB3252" w14:textId="77777777" w:rsidR="00973C57" w:rsidRDefault="00973C57" w:rsidP="00973C57">
      <w:pPr>
        <w:pStyle w:val="1"/>
        <w:rPr>
          <w:rtl/>
        </w:rPr>
        <w:sectPr w:rsidR="00973C57" w:rsidSect="00A347B3">
          <w:headerReference w:type="default" r:id="rId10"/>
          <w:footnotePr>
            <w:numRestart w:val="eachSect"/>
          </w:footnotePr>
          <w:pgSz w:w="11906" w:h="16838"/>
          <w:pgMar w:top="720" w:right="1134" w:bottom="720" w:left="1134" w:header="0" w:footer="0" w:gutter="0"/>
          <w:cols w:space="720"/>
          <w:bidi/>
          <w:rtlGutter/>
          <w:docGrid w:linePitch="360"/>
        </w:sectPr>
      </w:pPr>
    </w:p>
    <w:p w14:paraId="49D996D5" w14:textId="32F8413B" w:rsidR="00973C57" w:rsidRDefault="00973C57" w:rsidP="00973C57">
      <w:pPr>
        <w:pStyle w:val="1"/>
        <w:rPr>
          <w:rtl/>
        </w:rPr>
      </w:pPr>
      <w:r>
        <w:rPr>
          <w:rFonts w:hint="cs"/>
          <w:rtl/>
        </w:rPr>
        <w:lastRenderedPageBreak/>
        <w:t xml:space="preserve">סימן סח: </w:t>
      </w:r>
      <w:r>
        <w:rPr>
          <w:rtl/>
        </w:rPr>
        <w:t xml:space="preserve">כיצד טענת בתולים, ומתי נאסרת ומפסדת כתובתה, ובו י' סעיפים. </w:t>
      </w:r>
    </w:p>
    <w:p w14:paraId="3B7C555A" w14:textId="133C62A5" w:rsidR="00973C57" w:rsidRDefault="00973C57" w:rsidP="000F64D0">
      <w:pPr>
        <w:pStyle w:val="2"/>
        <w:rPr>
          <w:rtl/>
        </w:rPr>
      </w:pPr>
      <w:r>
        <w:rPr>
          <w:rtl/>
        </w:rPr>
        <w:t>סעיף א</w:t>
      </w:r>
      <w:r w:rsidR="009F595E">
        <w:rPr>
          <w:rFonts w:hint="cs"/>
          <w:rtl/>
        </w:rPr>
        <w:t>:</w:t>
      </w:r>
      <w:r w:rsidR="00A35DBC">
        <w:rPr>
          <w:rFonts w:hint="cs"/>
          <w:rtl/>
        </w:rPr>
        <w:t xml:space="preserve"> למי יש טענת בתולים.</w:t>
      </w:r>
    </w:p>
    <w:p w14:paraId="597A2B0E" w14:textId="55F2FDCD" w:rsidR="0064130B" w:rsidRPr="0064130B" w:rsidRDefault="0064130B" w:rsidP="0064130B">
      <w:pPr>
        <w:rPr>
          <w:rtl/>
        </w:rPr>
      </w:pPr>
      <w:r w:rsidRPr="000C62DC">
        <w:rPr>
          <w:rFonts w:cs="Arial" w:hint="cs"/>
          <w:b/>
          <w:bCs/>
          <w:rtl/>
        </w:rPr>
        <w:t>כתובות</w:t>
      </w:r>
      <w:r>
        <w:rPr>
          <w:rFonts w:cs="Arial" w:hint="cs"/>
          <w:b/>
          <w:bCs/>
          <w:sz w:val="16"/>
          <w:szCs w:val="16"/>
          <w:rtl/>
        </w:rPr>
        <w:t xml:space="preserve"> (פ"ק)</w:t>
      </w:r>
      <w:r w:rsidRPr="000C62DC">
        <w:rPr>
          <w:rFonts w:cs="Arial" w:hint="cs"/>
          <w:b/>
          <w:bCs/>
          <w:rtl/>
        </w:rPr>
        <w:t xml:space="preserve"> י ע"</w:t>
      </w:r>
      <w:r>
        <w:rPr>
          <w:rFonts w:cs="Arial" w:hint="cs"/>
          <w:b/>
          <w:bCs/>
          <w:rtl/>
        </w:rPr>
        <w:t>ב</w:t>
      </w:r>
      <w:r w:rsidRPr="000C62DC">
        <w:rPr>
          <w:rFonts w:cs="Arial" w:hint="cs"/>
          <w:b/>
          <w:bCs/>
          <w:rtl/>
        </w:rPr>
        <w:t xml:space="preserve">: </w:t>
      </w:r>
      <w:r w:rsidRPr="000D52FA">
        <w:rPr>
          <w:rFonts w:cs="Arial"/>
          <w:u w:val="double"/>
          <w:rtl/>
        </w:rPr>
        <w:t>מתני'</w:t>
      </w:r>
      <w:r>
        <w:rPr>
          <w:rFonts w:cs="Arial" w:hint="cs"/>
          <w:rtl/>
        </w:rPr>
        <w:t>:</w:t>
      </w:r>
      <w:r w:rsidRPr="0064130B">
        <w:rPr>
          <w:rFonts w:cs="Arial"/>
          <w:rtl/>
        </w:rPr>
        <w:t xml:space="preserve"> בתולה - כתובתה מאתים, ואלמנה - מנה. בתולה אלמנה, גרושה, וחלוצה, מן האירוסין - כתובתן מאתים, ויש להן טענת בתולים.</w:t>
      </w:r>
    </w:p>
    <w:p w14:paraId="3B515605" w14:textId="55732BFB" w:rsidR="00E6096D" w:rsidRPr="00E6096D" w:rsidRDefault="00E6096D" w:rsidP="00E6096D">
      <w:pPr>
        <w:rPr>
          <w:u w:val="single"/>
          <w:rtl/>
        </w:rPr>
      </w:pPr>
      <w:r w:rsidRPr="00E6096D">
        <w:rPr>
          <w:rFonts w:hint="cs"/>
          <w:u w:val="single"/>
          <w:rtl/>
        </w:rPr>
        <w:t>מי יכול לטעו</w:t>
      </w:r>
      <w:r>
        <w:rPr>
          <w:rFonts w:hint="cs"/>
          <w:u w:val="single"/>
          <w:rtl/>
        </w:rPr>
        <w:t>ן</w:t>
      </w:r>
      <w:r w:rsidRPr="00E6096D">
        <w:rPr>
          <w:rFonts w:hint="cs"/>
          <w:u w:val="single"/>
          <w:rtl/>
        </w:rPr>
        <w:t xml:space="preserve"> טענת בטולים:</w:t>
      </w:r>
    </w:p>
    <w:p w14:paraId="2D3253CF" w14:textId="1A05F03C" w:rsidR="00187A60" w:rsidRPr="00187A60" w:rsidRDefault="00187A60" w:rsidP="009000E3">
      <w:pPr>
        <w:pStyle w:val="ab"/>
        <w:numPr>
          <w:ilvl w:val="0"/>
          <w:numId w:val="78"/>
        </w:numPr>
      </w:pPr>
      <w:r>
        <w:rPr>
          <w:rFonts w:hint="cs"/>
          <w:rtl/>
        </w:rPr>
        <w:t xml:space="preserve">רמב"ם </w:t>
      </w:r>
      <w:r>
        <w:rPr>
          <w:rFonts w:hint="cs"/>
          <w:sz w:val="16"/>
          <w:szCs w:val="16"/>
          <w:rtl/>
        </w:rPr>
        <w:t xml:space="preserve">(פי"א מהל' אישות ה"ח) </w:t>
      </w:r>
      <w:r>
        <w:rPr>
          <w:rFonts w:hint="cs"/>
          <w:rtl/>
        </w:rPr>
        <w:t>ו</w:t>
      </w:r>
      <w:r w:rsidR="00E02C7F">
        <w:rPr>
          <w:rFonts w:hint="cs"/>
          <w:rtl/>
        </w:rPr>
        <w:t xml:space="preserve">טור- </w:t>
      </w:r>
      <w:r w:rsidR="00E02C7F" w:rsidRPr="00E02C7F">
        <w:rPr>
          <w:rFonts w:cs="Arial"/>
          <w:rtl/>
        </w:rPr>
        <w:t>כל בתולה שכתובתה מאתים</w:t>
      </w:r>
      <w:r w:rsidR="000F332C">
        <w:rPr>
          <w:rFonts w:cs="Arial" w:hint="cs"/>
          <w:rtl/>
        </w:rPr>
        <w:t>,</w:t>
      </w:r>
      <w:r w:rsidR="00E02C7F" w:rsidRPr="00E02C7F">
        <w:rPr>
          <w:rFonts w:cs="Arial"/>
          <w:rtl/>
        </w:rPr>
        <w:t xml:space="preserve"> יש לה טענת בתולים</w:t>
      </w:r>
      <w:r w:rsidR="000F332C">
        <w:rPr>
          <w:rFonts w:cs="Arial" w:hint="cs"/>
          <w:rtl/>
        </w:rPr>
        <w:t>.</w:t>
      </w:r>
      <w:r w:rsidR="00E02C7F" w:rsidRPr="00E02C7F">
        <w:rPr>
          <w:rFonts w:cs="Arial"/>
          <w:rtl/>
        </w:rPr>
        <w:t xml:space="preserve"> וכל שכתובתה מנה או שלא תקנו לה כתובה</w:t>
      </w:r>
      <w:r w:rsidR="000F332C">
        <w:rPr>
          <w:rFonts w:cs="Arial" w:hint="cs"/>
          <w:rtl/>
        </w:rPr>
        <w:t>,</w:t>
      </w:r>
      <w:r w:rsidR="00E02C7F" w:rsidRPr="00E02C7F">
        <w:rPr>
          <w:rFonts w:cs="Arial"/>
          <w:rtl/>
        </w:rPr>
        <w:t xml:space="preserve"> אין לה טענת בתולים</w:t>
      </w:r>
      <w:r>
        <w:rPr>
          <w:rFonts w:cs="Arial" w:hint="cs"/>
          <w:sz w:val="16"/>
          <w:szCs w:val="16"/>
          <w:rtl/>
        </w:rPr>
        <w:t xml:space="preserve"> (ל' הטור)</w:t>
      </w:r>
      <w:r w:rsidR="000F332C">
        <w:rPr>
          <w:rFonts w:cs="Arial" w:hint="cs"/>
          <w:rtl/>
        </w:rPr>
        <w:t>.</w:t>
      </w:r>
      <w:r w:rsidR="00E02C7F" w:rsidRPr="00E02C7F">
        <w:rPr>
          <w:rFonts w:cs="Arial"/>
          <w:rtl/>
        </w:rPr>
        <w:t xml:space="preserve"> </w:t>
      </w:r>
      <w:r w:rsidR="00566CE4" w:rsidRPr="00351B7D">
        <w:rPr>
          <w:rFonts w:asciiTheme="minorBidi" w:hAnsiTheme="minorBidi"/>
          <w:color w:val="E36C0A" w:themeColor="accent6" w:themeShade="BF"/>
          <w:rtl/>
        </w:rPr>
        <w:t>(וכ"פ בשו"ע</w:t>
      </w:r>
      <w:r w:rsidR="00566CE4">
        <w:rPr>
          <w:rFonts w:asciiTheme="minorBidi" w:hAnsiTheme="minorBidi" w:hint="cs"/>
          <w:color w:val="E36C0A" w:themeColor="accent6" w:themeShade="BF"/>
          <w:rtl/>
        </w:rPr>
        <w:t>)</w:t>
      </w:r>
    </w:p>
    <w:p w14:paraId="2D33FF5E" w14:textId="45A31CF0" w:rsidR="00F16591" w:rsidRPr="000C62DC" w:rsidRDefault="00F16591" w:rsidP="00F16591">
      <w:pPr>
        <w:rPr>
          <w:rtl/>
        </w:rPr>
      </w:pPr>
      <w:r w:rsidRPr="00F16591">
        <w:rPr>
          <w:rFonts w:cs="Arial" w:hint="cs"/>
          <w:b/>
          <w:bCs/>
          <w:rtl/>
        </w:rPr>
        <w:t>כתובות</w:t>
      </w:r>
      <w:r w:rsidRPr="00F16591">
        <w:rPr>
          <w:rFonts w:cs="Arial" w:hint="cs"/>
          <w:b/>
          <w:bCs/>
          <w:sz w:val="16"/>
          <w:szCs w:val="16"/>
          <w:rtl/>
        </w:rPr>
        <w:t xml:space="preserve"> (פ"ק)</w:t>
      </w:r>
      <w:r w:rsidRPr="00F16591">
        <w:rPr>
          <w:rFonts w:cs="Arial" w:hint="cs"/>
          <w:b/>
          <w:bCs/>
          <w:rtl/>
        </w:rPr>
        <w:t xml:space="preserve"> יב ע"א: </w:t>
      </w:r>
      <w:r w:rsidRPr="00F16591">
        <w:rPr>
          <w:rFonts w:cs="Arial"/>
          <w:u w:val="double"/>
          <w:rtl/>
        </w:rPr>
        <w:t>מתני'</w:t>
      </w:r>
      <w:r w:rsidRPr="00F16591">
        <w:rPr>
          <w:rFonts w:cs="Arial" w:hint="cs"/>
          <w:rtl/>
        </w:rPr>
        <w:t>:</w:t>
      </w:r>
      <w:r w:rsidRPr="00F16591">
        <w:rPr>
          <w:rFonts w:cs="Arial"/>
          <w:rtl/>
        </w:rPr>
        <w:t xml:space="preserve"> האוכל אצל חמיו ביהודה שלא בעדים - אינו יכול לטעון טענת בתולים, מפני שמתייחד עמה.</w:t>
      </w:r>
      <w:r w:rsidR="001A1F5F">
        <w:rPr>
          <w:rFonts w:hint="cs"/>
          <w:rtl/>
        </w:rPr>
        <w:t xml:space="preserve">      </w:t>
      </w:r>
      <w:r w:rsidR="001A1F5F" w:rsidRPr="001A1F5F">
        <w:rPr>
          <w:rtl/>
        </w:rPr>
        <w:t xml:space="preserve"> </w:t>
      </w:r>
      <w:r w:rsidR="001A1F5F" w:rsidRPr="001A1F5F">
        <w:rPr>
          <w:rFonts w:cs="Arial"/>
          <w:u w:val="double"/>
          <w:rtl/>
        </w:rPr>
        <w:t>גמ'</w:t>
      </w:r>
      <w:r w:rsidR="001A1F5F">
        <w:rPr>
          <w:rFonts w:cs="Arial" w:hint="cs"/>
          <w:rtl/>
        </w:rPr>
        <w:t>:</w:t>
      </w:r>
      <w:r w:rsidR="001A1F5F" w:rsidRPr="001A1F5F">
        <w:rPr>
          <w:rFonts w:cs="Arial"/>
          <w:rtl/>
        </w:rPr>
        <w:t xml:space="preserve"> מדקתני האוכל, מכלל דאיכא דוכתא ביהודה נמי דלא אכיל, </w:t>
      </w:r>
      <w:r w:rsidR="001A1F5F" w:rsidRPr="00E03580">
        <w:rPr>
          <w:rFonts w:cs="Arial"/>
          <w:u w:val="single"/>
          <w:rtl/>
        </w:rPr>
        <w:t>אמר אביי</w:t>
      </w:r>
      <w:r w:rsidR="001A1F5F" w:rsidRPr="001A1F5F">
        <w:rPr>
          <w:rFonts w:cs="Arial"/>
          <w:rtl/>
        </w:rPr>
        <w:t>: ש"מ, ביהודה נמי מקומות מקומות יש</w:t>
      </w:r>
      <w:r w:rsidR="0045340D">
        <w:rPr>
          <w:rStyle w:val="a7"/>
          <w:rFonts w:cs="Arial"/>
          <w:rtl/>
        </w:rPr>
        <w:footnoteReference w:id="171"/>
      </w:r>
      <w:r w:rsidR="001A1F5F" w:rsidRPr="001A1F5F">
        <w:rPr>
          <w:rFonts w:cs="Arial"/>
          <w:rtl/>
        </w:rPr>
        <w:t>; כדתניא</w:t>
      </w:r>
      <w:r w:rsidR="0045340D">
        <w:rPr>
          <w:rStyle w:val="a7"/>
          <w:rFonts w:cs="Arial"/>
          <w:rtl/>
        </w:rPr>
        <w:footnoteReference w:id="172"/>
      </w:r>
      <w:r w:rsidR="001A1F5F" w:rsidRPr="001A1F5F">
        <w:rPr>
          <w:rFonts w:cs="Arial"/>
          <w:rtl/>
        </w:rPr>
        <w:t>, א"ר יהודה: ביהודה, בראשונה היו מייחדין את החתן ואת הכלה שעה אחת קודם כניסתן לחופה, כדי שיהא לבו גס בה, ובגליל לא היו עושין כן; ביהודה, בראשונה היו מעמידין להם שני שושבינין אחד לו ואחד לה, כדי למשמש</w:t>
      </w:r>
      <w:r w:rsidR="0045340D">
        <w:rPr>
          <w:rStyle w:val="a7"/>
          <w:rFonts w:cs="Arial"/>
          <w:rtl/>
        </w:rPr>
        <w:footnoteReference w:id="173"/>
      </w:r>
      <w:r w:rsidR="001A1F5F" w:rsidRPr="001A1F5F">
        <w:rPr>
          <w:rFonts w:cs="Arial"/>
          <w:rtl/>
        </w:rPr>
        <w:t xml:space="preserve"> את החתן ואת הכלה בשעת כניסתן לחופה, ובגליל לא היו עושין כן; ביהודה, בראשונה היו שושבינין ישנים בבית שחתן וכלה ישנים בה, ובגליל לא היו עושין כן; וכל שלא נהג כמנהג הזה, אינו יכול לטעון טענת בתולים. אהייא? אילימא ארישא</w:t>
      </w:r>
      <w:r w:rsidR="00A84D2A">
        <w:rPr>
          <w:rStyle w:val="a7"/>
          <w:rFonts w:cs="Arial"/>
          <w:rtl/>
        </w:rPr>
        <w:footnoteReference w:id="174"/>
      </w:r>
      <w:r w:rsidR="001A1F5F" w:rsidRPr="001A1F5F">
        <w:rPr>
          <w:rFonts w:cs="Arial"/>
          <w:rtl/>
        </w:rPr>
        <w:t>, כל שנהג מיבעי ליה</w:t>
      </w:r>
      <w:r w:rsidR="00E86AA7">
        <w:rPr>
          <w:rStyle w:val="a7"/>
          <w:rFonts w:cs="Arial"/>
          <w:rtl/>
        </w:rPr>
        <w:footnoteReference w:id="175"/>
      </w:r>
      <w:r w:rsidR="001A1F5F" w:rsidRPr="001A1F5F">
        <w:rPr>
          <w:rFonts w:cs="Arial"/>
          <w:rtl/>
        </w:rPr>
        <w:t>! אלא אסיפא</w:t>
      </w:r>
      <w:r w:rsidR="00E86AA7">
        <w:rPr>
          <w:rStyle w:val="a7"/>
          <w:rFonts w:cs="Arial"/>
          <w:rtl/>
        </w:rPr>
        <w:footnoteReference w:id="176"/>
      </w:r>
      <w:r w:rsidR="001A1F5F" w:rsidRPr="001A1F5F">
        <w:rPr>
          <w:rFonts w:cs="Arial"/>
          <w:rtl/>
        </w:rPr>
        <w:t>, כל שלא מושמש מיבעי ליה</w:t>
      </w:r>
      <w:r w:rsidR="00E86AA7">
        <w:rPr>
          <w:rStyle w:val="a7"/>
          <w:rFonts w:cs="Arial"/>
          <w:rtl/>
        </w:rPr>
        <w:footnoteReference w:id="177"/>
      </w:r>
      <w:r w:rsidR="001A1F5F" w:rsidRPr="001A1F5F">
        <w:rPr>
          <w:rFonts w:cs="Arial"/>
          <w:rtl/>
        </w:rPr>
        <w:t xml:space="preserve">! </w:t>
      </w:r>
      <w:r w:rsidR="001A1F5F" w:rsidRPr="00580297">
        <w:rPr>
          <w:rFonts w:cs="Arial"/>
          <w:u w:val="single"/>
          <w:rtl/>
        </w:rPr>
        <w:t>אמר אביי</w:t>
      </w:r>
      <w:r w:rsidR="001A1F5F" w:rsidRPr="001A1F5F">
        <w:rPr>
          <w:rFonts w:cs="Arial"/>
          <w:rtl/>
        </w:rPr>
        <w:t xml:space="preserve">: לעולם ארישא, ותני: כל שנהג. </w:t>
      </w:r>
      <w:r w:rsidR="001A1F5F" w:rsidRPr="00580297">
        <w:rPr>
          <w:rFonts w:cs="Arial"/>
          <w:u w:val="single"/>
          <w:rtl/>
        </w:rPr>
        <w:t>אמר ליה רבא</w:t>
      </w:r>
      <w:r w:rsidR="001A1F5F" w:rsidRPr="001A1F5F">
        <w:rPr>
          <w:rFonts w:cs="Arial"/>
          <w:rtl/>
        </w:rPr>
        <w:t xml:space="preserve">: והא כל שלא נהג קתני! </w:t>
      </w:r>
      <w:r w:rsidR="001A1F5F" w:rsidRPr="00580297">
        <w:rPr>
          <w:rFonts w:cs="Arial"/>
          <w:u w:val="single"/>
          <w:rtl/>
        </w:rPr>
        <w:t>אלא אמר רבא</w:t>
      </w:r>
      <w:r w:rsidR="00580297">
        <w:rPr>
          <w:rStyle w:val="a7"/>
          <w:rFonts w:cs="Arial"/>
          <w:rtl/>
        </w:rPr>
        <w:footnoteReference w:id="178"/>
      </w:r>
      <w:r w:rsidR="00580297">
        <w:rPr>
          <w:rFonts w:cs="Arial" w:hint="cs"/>
          <w:rtl/>
        </w:rPr>
        <w:t>:</w:t>
      </w:r>
      <w:r w:rsidR="001A1F5F" w:rsidRPr="001A1F5F">
        <w:rPr>
          <w:rFonts w:cs="Arial"/>
          <w:rtl/>
        </w:rPr>
        <w:t xml:space="preserve"> הכי קאמר: כל שלא נהג מנהג גליל בגליל אלא מנהג יהודה בגליל, אינו יכול לטעון טענת בתולים. </w:t>
      </w:r>
      <w:r w:rsidR="001A1F5F" w:rsidRPr="00580297">
        <w:rPr>
          <w:rFonts w:cs="Arial"/>
          <w:u w:val="single"/>
          <w:rtl/>
        </w:rPr>
        <w:t>רב אשי אמר</w:t>
      </w:r>
      <w:r w:rsidR="001A1F5F" w:rsidRPr="001A1F5F">
        <w:rPr>
          <w:rFonts w:cs="Arial"/>
          <w:rtl/>
        </w:rPr>
        <w:t>: לעולם אסיפא, ותני: כל שלא מושמש.</w:t>
      </w:r>
    </w:p>
    <w:p w14:paraId="7AA73F44" w14:textId="6054F6D5" w:rsidR="00187A60" w:rsidRPr="00187A60" w:rsidRDefault="00187A60" w:rsidP="00187A60">
      <w:pPr>
        <w:rPr>
          <w:u w:val="single"/>
        </w:rPr>
      </w:pPr>
      <w:r w:rsidRPr="00187A60">
        <w:rPr>
          <w:rFonts w:hint="cs"/>
          <w:u w:val="single"/>
          <w:rtl/>
        </w:rPr>
        <w:t>המתייחד עם ארוסתו - האם יש לו טענת בתולים:</w:t>
      </w:r>
    </w:p>
    <w:p w14:paraId="25B38E1B" w14:textId="6B4638BD" w:rsidR="00F81BB2" w:rsidRPr="00F81BB2" w:rsidRDefault="00187A60" w:rsidP="009000E3">
      <w:pPr>
        <w:pStyle w:val="ab"/>
        <w:numPr>
          <w:ilvl w:val="0"/>
          <w:numId w:val="78"/>
        </w:numPr>
      </w:pPr>
      <w:r>
        <w:rPr>
          <w:rFonts w:cs="Arial" w:hint="cs"/>
          <w:rtl/>
        </w:rPr>
        <w:t xml:space="preserve">טור- </w:t>
      </w:r>
      <w:r w:rsidR="00E02C7F" w:rsidRPr="00E02C7F">
        <w:rPr>
          <w:rFonts w:cs="Arial"/>
          <w:rtl/>
        </w:rPr>
        <w:t>כל המתייחד עם ארוסתו קודם נישואין</w:t>
      </w:r>
      <w:r w:rsidR="000F332C">
        <w:rPr>
          <w:rFonts w:cs="Arial" w:hint="cs"/>
          <w:rtl/>
        </w:rPr>
        <w:t>,</w:t>
      </w:r>
      <w:r w:rsidR="00E02C7F" w:rsidRPr="00E02C7F">
        <w:rPr>
          <w:rFonts w:cs="Arial"/>
          <w:rtl/>
        </w:rPr>
        <w:t xml:space="preserve"> אין לו טענת בתולים</w:t>
      </w:r>
      <w:r w:rsidR="000F332C">
        <w:rPr>
          <w:rFonts w:cs="Arial" w:hint="cs"/>
          <w:rtl/>
        </w:rPr>
        <w:t>.</w:t>
      </w:r>
      <w:r w:rsidR="00E02C7F" w:rsidRPr="00E02C7F">
        <w:rPr>
          <w:rFonts w:cs="Arial"/>
          <w:rtl/>
        </w:rPr>
        <w:t xml:space="preserve"> </w:t>
      </w:r>
      <w:r w:rsidR="00144EF3" w:rsidRPr="00351B7D">
        <w:rPr>
          <w:rFonts w:asciiTheme="minorBidi" w:hAnsiTheme="minorBidi"/>
          <w:color w:val="E36C0A" w:themeColor="accent6" w:themeShade="BF"/>
          <w:rtl/>
        </w:rPr>
        <w:t>(וכ"פ בשו"ע</w:t>
      </w:r>
      <w:r w:rsidR="00144EF3">
        <w:rPr>
          <w:rFonts w:asciiTheme="minorBidi" w:hAnsiTheme="minorBidi" w:hint="cs"/>
          <w:color w:val="E36C0A" w:themeColor="accent6" w:themeShade="BF"/>
          <w:rtl/>
        </w:rPr>
        <w:t>)</w:t>
      </w:r>
    </w:p>
    <w:p w14:paraId="1BCD7297" w14:textId="5629EF2B" w:rsidR="00F81BB2" w:rsidRPr="00F81BB2" w:rsidRDefault="00F81BB2" w:rsidP="00F81BB2">
      <w:pPr>
        <w:ind w:left="360"/>
        <w:rPr>
          <w:u w:val="dotted"/>
        </w:rPr>
      </w:pPr>
      <w:r w:rsidRPr="00F81BB2">
        <w:rPr>
          <w:rFonts w:hint="cs"/>
          <w:u w:val="dotted"/>
          <w:rtl/>
        </w:rPr>
        <w:t>האם צריך להעמיד להם עדים שיבדקו שהם לא מרמים:</w:t>
      </w:r>
    </w:p>
    <w:p w14:paraId="7D16A625" w14:textId="3E38D6F6" w:rsidR="002F7F5F" w:rsidRPr="009F595E" w:rsidRDefault="00F81BB2" w:rsidP="009000E3">
      <w:pPr>
        <w:pStyle w:val="ab"/>
        <w:numPr>
          <w:ilvl w:val="0"/>
          <w:numId w:val="78"/>
        </w:numPr>
        <w:rPr>
          <w:rtl/>
        </w:rPr>
      </w:pPr>
      <w:r>
        <w:rPr>
          <w:rFonts w:cs="Arial" w:hint="cs"/>
          <w:rtl/>
        </w:rPr>
        <w:t xml:space="preserve">טור- </w:t>
      </w:r>
      <w:r w:rsidR="00E02C7F" w:rsidRPr="00E02C7F">
        <w:rPr>
          <w:rFonts w:cs="Arial"/>
          <w:rtl/>
        </w:rPr>
        <w:t>אבל בכל מקום שאין מתייחדין יש טענת בתולים</w:t>
      </w:r>
      <w:r w:rsidR="00566CE4">
        <w:rPr>
          <w:rFonts w:cs="Arial" w:hint="cs"/>
          <w:rtl/>
        </w:rPr>
        <w:t>,</w:t>
      </w:r>
      <w:r w:rsidR="00E02C7F" w:rsidRPr="00E02C7F">
        <w:rPr>
          <w:rFonts w:cs="Arial"/>
          <w:rtl/>
        </w:rPr>
        <w:t xml:space="preserve"> אפילו אין מעמידין להם עדים למשמש שלא ינהגו מנהג רמאות</w:t>
      </w:r>
      <w:r w:rsidR="00E6096D">
        <w:rPr>
          <w:rFonts w:cs="Arial" w:hint="cs"/>
          <w:rtl/>
        </w:rPr>
        <w:t>.</w:t>
      </w:r>
      <w:r w:rsidR="00E02C7F" w:rsidRPr="00E02C7F">
        <w:rPr>
          <w:rFonts w:cs="Arial"/>
          <w:rtl/>
        </w:rPr>
        <w:t xml:space="preserve"> בד"א שאין מנהג המקום להעמיד עדים</w:t>
      </w:r>
      <w:r w:rsidR="00E6096D">
        <w:rPr>
          <w:rFonts w:cs="Arial" w:hint="cs"/>
          <w:rtl/>
        </w:rPr>
        <w:t>,</w:t>
      </w:r>
      <w:r w:rsidR="00E02C7F" w:rsidRPr="00E02C7F">
        <w:rPr>
          <w:rFonts w:cs="Arial"/>
          <w:rtl/>
        </w:rPr>
        <w:t xml:space="preserve"> אבל אם מנהג המקום להעמיד עדים ואירע הדבר שלא העמידו עדים</w:t>
      </w:r>
      <w:r w:rsidR="00E6096D">
        <w:rPr>
          <w:rFonts w:cs="Arial" w:hint="cs"/>
          <w:rtl/>
        </w:rPr>
        <w:t>,</w:t>
      </w:r>
      <w:r w:rsidR="00E02C7F" w:rsidRPr="00E02C7F">
        <w:rPr>
          <w:rFonts w:cs="Arial"/>
          <w:rtl/>
        </w:rPr>
        <w:t xml:space="preserve"> אז אינו יכול לטעון</w:t>
      </w:r>
      <w:r w:rsidR="00580297">
        <w:rPr>
          <w:rStyle w:val="a7"/>
          <w:rFonts w:cs="Arial"/>
          <w:rtl/>
        </w:rPr>
        <w:footnoteReference w:id="179"/>
      </w:r>
      <w:r w:rsidR="00E6096D">
        <w:rPr>
          <w:rFonts w:cs="Arial" w:hint="cs"/>
          <w:rtl/>
        </w:rPr>
        <w:t>.</w:t>
      </w:r>
      <w:r w:rsidR="00C84841">
        <w:rPr>
          <w:rFonts w:asciiTheme="minorBidi" w:hAnsiTheme="minorBidi" w:hint="cs"/>
          <w:color w:val="E36C0A" w:themeColor="accent6" w:themeShade="BF"/>
          <w:rtl/>
        </w:rPr>
        <w:t xml:space="preserve"> </w:t>
      </w:r>
      <w:r w:rsidR="00C84841" w:rsidRPr="00351B7D">
        <w:rPr>
          <w:rFonts w:asciiTheme="minorBidi" w:hAnsiTheme="minorBidi"/>
          <w:color w:val="E36C0A" w:themeColor="accent6" w:themeShade="BF"/>
          <w:rtl/>
        </w:rPr>
        <w:t>(וכ"פ בשו"ע</w:t>
      </w:r>
      <w:r w:rsidR="00C84841">
        <w:rPr>
          <w:rFonts w:asciiTheme="minorBidi" w:hAnsiTheme="minorBidi" w:hint="cs"/>
          <w:color w:val="E36C0A" w:themeColor="accent6" w:themeShade="BF"/>
          <w:rtl/>
        </w:rPr>
        <w:t xml:space="preserve"> </w:t>
      </w:r>
      <w:r w:rsidR="00C84841" w:rsidRPr="004A2493">
        <w:rPr>
          <w:rFonts w:asciiTheme="minorBidi" w:hAnsiTheme="minorBidi" w:hint="cs"/>
          <w:color w:val="000000" w:themeColor="text1"/>
          <w:sz w:val="16"/>
          <w:szCs w:val="16"/>
          <w:rtl/>
        </w:rPr>
        <w:t>[</w:t>
      </w:r>
      <w:r w:rsidR="00C84841">
        <w:rPr>
          <w:rFonts w:asciiTheme="minorBidi" w:hAnsiTheme="minorBidi" w:hint="cs"/>
          <w:color w:val="000000" w:themeColor="text1"/>
          <w:sz w:val="16"/>
          <w:szCs w:val="16"/>
          <w:rtl/>
        </w:rPr>
        <w:t>בסע' הבא</w:t>
      </w:r>
      <w:r w:rsidR="00C84841" w:rsidRPr="004A2493">
        <w:rPr>
          <w:rFonts w:asciiTheme="minorBidi" w:hAnsiTheme="minorBidi" w:hint="cs"/>
          <w:color w:val="000000" w:themeColor="text1"/>
          <w:sz w:val="16"/>
          <w:szCs w:val="16"/>
          <w:rtl/>
        </w:rPr>
        <w:t>]</w:t>
      </w:r>
      <w:r w:rsidR="00C84841" w:rsidRPr="00351B7D">
        <w:rPr>
          <w:rFonts w:asciiTheme="minorBidi" w:hAnsiTheme="minorBidi"/>
          <w:color w:val="E36C0A" w:themeColor="accent6" w:themeShade="BF"/>
          <w:rtl/>
        </w:rPr>
        <w:t>)</w:t>
      </w:r>
    </w:p>
    <w:p w14:paraId="2B14F3DF" w14:textId="77777777" w:rsidR="005B7F07" w:rsidRPr="00351B7D" w:rsidRDefault="005B7F07" w:rsidP="005B7F0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BE32DB8" w14:textId="1C99C068" w:rsidR="00973C57" w:rsidRDefault="00973C57" w:rsidP="00973C57">
      <w:pPr>
        <w:rPr>
          <w:rtl/>
        </w:rPr>
      </w:pPr>
      <w:r>
        <w:rPr>
          <w:rFonts w:cs="Arial"/>
          <w:rtl/>
        </w:rPr>
        <w:t xml:space="preserve">כל בתולה שכתובתה </w:t>
      </w:r>
      <w:r w:rsidR="00566CE4">
        <w:rPr>
          <w:rFonts w:cs="Arial" w:hint="cs"/>
          <w:rtl/>
        </w:rPr>
        <w:t>מאתים</w:t>
      </w:r>
      <w:r>
        <w:rPr>
          <w:rFonts w:cs="Arial"/>
          <w:rtl/>
        </w:rPr>
        <w:t xml:space="preserve"> יש לה טענת בתולים. וכל שכתובתה מנה, או שלא תקנו לה כתובה, אין לה טענת בתולים. וכל המתייחד עם ארוסתו קודם נשואין, אין לה טענת בתולים. </w:t>
      </w:r>
    </w:p>
    <w:p w14:paraId="1440AB6C" w14:textId="77777777" w:rsidR="00580297" w:rsidRDefault="00580297" w:rsidP="00973C57">
      <w:pPr>
        <w:rPr>
          <w:rtl/>
        </w:rPr>
      </w:pPr>
    </w:p>
    <w:p w14:paraId="455DC562" w14:textId="63FFCA95" w:rsidR="00973C57" w:rsidRDefault="00973C57" w:rsidP="000F64D0">
      <w:pPr>
        <w:pStyle w:val="2"/>
        <w:rPr>
          <w:rtl/>
        </w:rPr>
      </w:pPr>
      <w:r>
        <w:rPr>
          <w:rtl/>
        </w:rPr>
        <w:lastRenderedPageBreak/>
        <w:t>סעיף ב</w:t>
      </w:r>
      <w:r w:rsidR="000569FF">
        <w:rPr>
          <w:rFonts w:hint="cs"/>
          <w:rtl/>
        </w:rPr>
        <w:t xml:space="preserve">: מקום </w:t>
      </w:r>
      <w:r w:rsidR="005D2800">
        <w:rPr>
          <w:rFonts w:hint="cs"/>
          <w:rtl/>
        </w:rPr>
        <w:t xml:space="preserve">שנוהגים להעמיד עדים לבדוק </w:t>
      </w:r>
      <w:r w:rsidR="00C84841">
        <w:rPr>
          <w:rFonts w:hint="cs"/>
          <w:rtl/>
        </w:rPr>
        <w:t>ש</w:t>
      </w:r>
      <w:r w:rsidR="005D2800">
        <w:rPr>
          <w:rFonts w:hint="cs"/>
          <w:rtl/>
        </w:rPr>
        <w:t xml:space="preserve">החתן והכלה </w:t>
      </w:r>
      <w:r w:rsidR="00C84841">
        <w:rPr>
          <w:rFonts w:hint="cs"/>
          <w:rtl/>
        </w:rPr>
        <w:t xml:space="preserve">לא מרמים </w:t>
      </w:r>
      <w:r w:rsidR="005D2800">
        <w:rPr>
          <w:rFonts w:hint="cs"/>
          <w:rtl/>
        </w:rPr>
        <w:t>לפני הביאה.</w:t>
      </w:r>
    </w:p>
    <w:p w14:paraId="1986C652" w14:textId="4DC0B685" w:rsidR="000569FF" w:rsidRPr="000569FF" w:rsidRDefault="000569FF" w:rsidP="000569FF">
      <w:pPr>
        <w:rPr>
          <w:rtl/>
        </w:rPr>
      </w:pPr>
      <w:r>
        <w:rPr>
          <w:rFonts w:hint="cs"/>
          <w:rtl/>
        </w:rPr>
        <w:t>עיין במקורות בסעיף א.</w:t>
      </w:r>
    </w:p>
    <w:p w14:paraId="5DDC78AB" w14:textId="77777777" w:rsidR="005B7F07" w:rsidRPr="00351B7D" w:rsidRDefault="005B7F07" w:rsidP="005B7F0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19C0EE5" w14:textId="77777777" w:rsidR="00C84841" w:rsidRDefault="00973C57" w:rsidP="00973C57">
      <w:pPr>
        <w:rPr>
          <w:rFonts w:cs="Arial"/>
          <w:rtl/>
        </w:rPr>
      </w:pPr>
      <w:r>
        <w:rPr>
          <w:rFonts w:cs="Arial"/>
          <w:rtl/>
        </w:rPr>
        <w:t>אם מנהג המקום להעמיד עדים למשמש שלא ינהגו מנהג רמאות, ואירע הדבר שלא העמידו עדים, אינו יכול לטעון טענת בתולים.</w:t>
      </w:r>
    </w:p>
    <w:p w14:paraId="396A1CC4" w14:textId="670B8FE4" w:rsidR="00973C57" w:rsidRDefault="00973C57" w:rsidP="00973C57">
      <w:pPr>
        <w:rPr>
          <w:rFonts w:cs="Arial"/>
          <w:rtl/>
        </w:rPr>
      </w:pPr>
      <w:r>
        <w:rPr>
          <w:rFonts w:cs="Arial"/>
          <w:rtl/>
        </w:rPr>
        <w:t xml:space="preserve"> </w:t>
      </w:r>
    </w:p>
    <w:p w14:paraId="36DE4EB7" w14:textId="2C15FBE5" w:rsidR="00973C57" w:rsidRDefault="00973C57" w:rsidP="000F64D0">
      <w:pPr>
        <w:pStyle w:val="2"/>
        <w:rPr>
          <w:rtl/>
        </w:rPr>
      </w:pPr>
      <w:r>
        <w:rPr>
          <w:rtl/>
        </w:rPr>
        <w:t>סעיף ג</w:t>
      </w:r>
      <w:r w:rsidR="00144EF3">
        <w:rPr>
          <w:rFonts w:hint="cs"/>
          <w:rtl/>
        </w:rPr>
        <w:t>:</w:t>
      </w:r>
      <w:r w:rsidR="00247F0D">
        <w:rPr>
          <w:rFonts w:hint="cs"/>
          <w:rtl/>
        </w:rPr>
        <w:t xml:space="preserve"> מהי טענת בתולים.</w:t>
      </w:r>
    </w:p>
    <w:p w14:paraId="3A6B13C6" w14:textId="77777777" w:rsidR="00A05F63" w:rsidRPr="00151264" w:rsidRDefault="00A05F63" w:rsidP="00A05F63">
      <w:pPr>
        <w:rPr>
          <w:rFonts w:cs="Arial"/>
          <w:rtl/>
        </w:rPr>
      </w:pPr>
      <w:r w:rsidRPr="00EA1E02">
        <w:rPr>
          <w:rFonts w:cs="Arial" w:hint="cs"/>
          <w:b/>
          <w:bCs/>
          <w:rtl/>
        </w:rPr>
        <w:t xml:space="preserve">כתובות </w:t>
      </w:r>
      <w:r w:rsidRPr="00EA1E02">
        <w:rPr>
          <w:rFonts w:cs="Arial" w:hint="cs"/>
          <w:b/>
          <w:bCs/>
          <w:sz w:val="16"/>
          <w:szCs w:val="16"/>
          <w:rtl/>
        </w:rPr>
        <w:t>(פ' אלו נערות)</w:t>
      </w:r>
      <w:r w:rsidRPr="00EA1E02">
        <w:rPr>
          <w:rFonts w:cs="Arial" w:hint="cs"/>
          <w:b/>
          <w:bCs/>
          <w:rtl/>
        </w:rPr>
        <w:t xml:space="preserve"> לו ע"א: </w:t>
      </w:r>
      <w:r w:rsidRPr="00967A7A">
        <w:rPr>
          <w:rFonts w:cs="Arial"/>
          <w:rtl/>
        </w:rPr>
        <w:t>ורמינהי:</w:t>
      </w:r>
      <w:r>
        <w:rPr>
          <w:rFonts w:cs="Arial" w:hint="cs"/>
          <w:rtl/>
        </w:rPr>
        <w:t>...</w:t>
      </w:r>
      <w:r w:rsidRPr="005610C4">
        <w:rPr>
          <w:rtl/>
        </w:rPr>
        <w:t xml:space="preserve"> </w:t>
      </w:r>
      <w:r w:rsidRPr="005610C4">
        <w:rPr>
          <w:rFonts w:cs="Arial"/>
          <w:rtl/>
        </w:rPr>
        <w:t>והבוגרת אין לה טענת בתולים. והאמר רב: בוגרת נותנין לה לילה הראשון</w:t>
      </w:r>
      <w:r>
        <w:rPr>
          <w:rStyle w:val="a7"/>
          <w:rFonts w:cs="Arial"/>
          <w:rtl/>
        </w:rPr>
        <w:footnoteReference w:id="180"/>
      </w:r>
      <w:r w:rsidRPr="005610C4">
        <w:rPr>
          <w:rFonts w:cs="Arial"/>
          <w:rtl/>
        </w:rPr>
        <w:t>!</w:t>
      </w:r>
      <w:r>
        <w:rPr>
          <w:rFonts w:hint="cs"/>
          <w:sz w:val="14"/>
          <w:szCs w:val="14"/>
          <w:rtl/>
        </w:rPr>
        <w:t xml:space="preserve"> (לו:)</w:t>
      </w:r>
      <w:r w:rsidRPr="005610C4">
        <w:rPr>
          <w:rtl/>
        </w:rPr>
        <w:t xml:space="preserve"> </w:t>
      </w:r>
      <w:r w:rsidRPr="005610C4">
        <w:rPr>
          <w:rFonts w:cs="Arial"/>
          <w:rtl/>
        </w:rPr>
        <w:t>אי דקא טעין טענת דמים הכי נמי, הכא במאי עסקינן - דקטעין טענת פתח פתוח</w:t>
      </w:r>
      <w:r>
        <w:rPr>
          <w:rStyle w:val="a7"/>
          <w:rFonts w:cs="Arial"/>
          <w:rtl/>
        </w:rPr>
        <w:footnoteReference w:id="181"/>
      </w:r>
      <w:r w:rsidRPr="005610C4">
        <w:rPr>
          <w:rFonts w:cs="Arial"/>
          <w:rtl/>
        </w:rPr>
        <w:t>.</w:t>
      </w:r>
      <w:r>
        <w:rPr>
          <w:rFonts w:cs="Arial" w:hint="cs"/>
          <w:rtl/>
        </w:rPr>
        <w:t xml:space="preserve"> </w:t>
      </w:r>
      <w:r w:rsidRPr="00151264">
        <w:rPr>
          <w:rFonts w:cs="Arial" w:hint="cs"/>
          <w:sz w:val="16"/>
          <w:szCs w:val="16"/>
          <w:rtl/>
        </w:rPr>
        <w:t>(</w:t>
      </w:r>
      <w:r w:rsidRPr="00151264">
        <w:rPr>
          <w:rFonts w:cs="Arial"/>
          <w:sz w:val="16"/>
          <w:szCs w:val="16"/>
          <w:rtl/>
        </w:rPr>
        <w:t>ואע</w:t>
      </w:r>
      <w:r w:rsidRPr="00151264">
        <w:rPr>
          <w:rFonts w:cs="Arial" w:hint="cs"/>
          <w:sz w:val="16"/>
          <w:szCs w:val="16"/>
          <w:rtl/>
        </w:rPr>
        <w:t>"</w:t>
      </w:r>
      <w:r w:rsidRPr="00151264">
        <w:rPr>
          <w:rFonts w:cs="Arial"/>
          <w:sz w:val="16"/>
          <w:szCs w:val="16"/>
          <w:rtl/>
        </w:rPr>
        <w:t xml:space="preserve">פ שהרי"ף גורס איפכא </w:t>
      </w:r>
      <w:r>
        <w:rPr>
          <w:rFonts w:cs="Arial" w:hint="cs"/>
          <w:sz w:val="16"/>
          <w:szCs w:val="16"/>
          <w:rtl/>
        </w:rPr>
        <w:t>"</w:t>
      </w:r>
      <w:r w:rsidRPr="00151264">
        <w:rPr>
          <w:rFonts w:cs="Arial"/>
          <w:sz w:val="16"/>
          <w:szCs w:val="16"/>
          <w:rtl/>
        </w:rPr>
        <w:t>אי דקא טעין טענת פתח פתוח הכי נמי הכא במאי עסקינן דקא טעין טענת דמים</w:t>
      </w:r>
      <w:r>
        <w:rPr>
          <w:rFonts w:cs="Arial" w:hint="cs"/>
          <w:sz w:val="16"/>
          <w:szCs w:val="16"/>
          <w:rtl/>
        </w:rPr>
        <w:t>",</w:t>
      </w:r>
      <w:r w:rsidRPr="00151264">
        <w:rPr>
          <w:rFonts w:cs="Arial"/>
          <w:sz w:val="16"/>
          <w:szCs w:val="16"/>
          <w:rtl/>
        </w:rPr>
        <w:t xml:space="preserve"> כמבואר בדבריו פ"ק דכתובות (ד.)</w:t>
      </w:r>
      <w:r>
        <w:rPr>
          <w:rFonts w:cs="Arial" w:hint="cs"/>
          <w:sz w:val="16"/>
          <w:szCs w:val="16"/>
          <w:rtl/>
        </w:rPr>
        <w:t>,</w:t>
      </w:r>
      <w:r w:rsidRPr="00151264">
        <w:rPr>
          <w:rFonts w:cs="Arial"/>
          <w:sz w:val="16"/>
          <w:szCs w:val="16"/>
          <w:rtl/>
        </w:rPr>
        <w:t xml:space="preserve"> כבר כתבו הרא"ש (פ"א סי' כא) והר"ן (ד. ד"ה גרסי' בפרק) והה</w:t>
      </w:r>
      <w:r w:rsidRPr="00151264">
        <w:rPr>
          <w:rFonts w:cs="Arial" w:hint="cs"/>
          <w:sz w:val="16"/>
          <w:szCs w:val="16"/>
          <w:rtl/>
        </w:rPr>
        <w:t>"</w:t>
      </w:r>
      <w:r w:rsidRPr="00151264">
        <w:rPr>
          <w:rFonts w:cs="Arial"/>
          <w:sz w:val="16"/>
          <w:szCs w:val="16"/>
          <w:rtl/>
        </w:rPr>
        <w:t>מ (פי"א הי"ב) שהרמב"ן (לו: ד"ה ה"ג) הכריע כגירסת רש"י מכח הירושלמי (פ"א ה"א)</w:t>
      </w:r>
      <w:r w:rsidRPr="00151264">
        <w:rPr>
          <w:rFonts w:cs="Arial" w:hint="cs"/>
          <w:sz w:val="16"/>
          <w:szCs w:val="16"/>
          <w:rtl/>
        </w:rPr>
        <w:t>.</w:t>
      </w:r>
      <w:r w:rsidRPr="00151264">
        <w:rPr>
          <w:rFonts w:cs="Arial"/>
          <w:sz w:val="16"/>
          <w:szCs w:val="16"/>
          <w:rtl/>
        </w:rPr>
        <w:t xml:space="preserve"> וגם הרמב"ם כתב בפי"א מהלכות אישות (הי"ג) יש גאונים שהורו שהבוגרת אין לה טענת דמים ויש לה טענת פתח פתוח ואין דרך התלמוד מראה דבר זה וטעות היה בנוסחאות שלהם וכבר בדקתי על ספרים רבים וקדמונים ומצאתי שהדבר כמו שביארנו שאין לבוגרת אלא טענת דמים בלבד עכ"ל</w:t>
      </w:r>
      <w:r w:rsidRPr="00151264">
        <w:rPr>
          <w:rFonts w:cs="Arial" w:hint="cs"/>
          <w:sz w:val="16"/>
          <w:szCs w:val="16"/>
          <w:rtl/>
        </w:rPr>
        <w:t>, ב"י)</w:t>
      </w:r>
    </w:p>
    <w:p w14:paraId="76531921" w14:textId="4CAF6B5B" w:rsidR="00144EF3" w:rsidRPr="00247F0D" w:rsidRDefault="00247F0D" w:rsidP="00144EF3">
      <w:pPr>
        <w:rPr>
          <w:u w:val="single"/>
          <w:rtl/>
        </w:rPr>
      </w:pPr>
      <w:r w:rsidRPr="00247F0D">
        <w:rPr>
          <w:rFonts w:hint="cs"/>
          <w:u w:val="single"/>
          <w:rtl/>
        </w:rPr>
        <w:t>מהי טענת בתולים:</w:t>
      </w:r>
    </w:p>
    <w:p w14:paraId="20307726" w14:textId="69FD5741" w:rsidR="00893E04" w:rsidRPr="00DA4087" w:rsidRDefault="00893E04" w:rsidP="009000E3">
      <w:pPr>
        <w:pStyle w:val="ab"/>
        <w:numPr>
          <w:ilvl w:val="0"/>
          <w:numId w:val="78"/>
        </w:numPr>
      </w:pPr>
      <w:r>
        <w:rPr>
          <w:rFonts w:hint="cs"/>
          <w:rtl/>
        </w:rPr>
        <w:t>טור-</w:t>
      </w:r>
      <w:r>
        <w:rPr>
          <w:rFonts w:cs="Arial" w:hint="cs"/>
          <w:rtl/>
        </w:rPr>
        <w:t xml:space="preserve"> </w:t>
      </w:r>
      <w:r w:rsidRPr="00E02C7F">
        <w:rPr>
          <w:rFonts w:cs="Arial"/>
          <w:rtl/>
        </w:rPr>
        <w:t>מה היא טענת בתולים</w:t>
      </w:r>
      <w:r w:rsidR="00144EF3">
        <w:rPr>
          <w:rFonts w:cs="Arial" w:hint="cs"/>
          <w:rtl/>
        </w:rPr>
        <w:t>,</w:t>
      </w:r>
      <w:r w:rsidRPr="00E02C7F">
        <w:rPr>
          <w:rFonts w:cs="Arial"/>
          <w:rtl/>
        </w:rPr>
        <w:t xml:space="preserve"> שנושא אשה בחזקת בתולה ואומר לא מצאתיה בתולה</w:t>
      </w:r>
      <w:r w:rsidR="00247F0D">
        <w:rPr>
          <w:rFonts w:cs="Arial" w:hint="cs"/>
          <w:rtl/>
        </w:rPr>
        <w:t>.</w:t>
      </w:r>
      <w:r w:rsidRPr="00E02C7F">
        <w:rPr>
          <w:rFonts w:cs="Arial"/>
          <w:rtl/>
        </w:rPr>
        <w:t xml:space="preserve"> ושני סימנים יש לה לבתולה</w:t>
      </w:r>
      <w:r w:rsidR="00247F0D">
        <w:rPr>
          <w:rFonts w:cs="Arial" w:hint="cs"/>
          <w:rtl/>
        </w:rPr>
        <w:t>:</w:t>
      </w:r>
      <w:r w:rsidRPr="00E02C7F">
        <w:rPr>
          <w:rFonts w:cs="Arial"/>
          <w:rtl/>
        </w:rPr>
        <w:t xml:space="preserve"> האחד</w:t>
      </w:r>
      <w:r w:rsidR="00247F0D">
        <w:rPr>
          <w:rFonts w:cs="Arial" w:hint="cs"/>
          <w:rtl/>
        </w:rPr>
        <w:t>,</w:t>
      </w:r>
      <w:r w:rsidRPr="00E02C7F">
        <w:rPr>
          <w:rFonts w:cs="Arial"/>
          <w:rtl/>
        </w:rPr>
        <w:t xml:space="preserve"> שהדם שותת ממנה בסוף ביאה ראשונה בשעת תשמיש</w:t>
      </w:r>
      <w:r w:rsidR="00247F0D">
        <w:rPr>
          <w:rFonts w:cs="Arial" w:hint="cs"/>
          <w:rtl/>
        </w:rPr>
        <w:t>.</w:t>
      </w:r>
      <w:r w:rsidRPr="00E02C7F">
        <w:rPr>
          <w:rFonts w:cs="Arial"/>
          <w:rtl/>
        </w:rPr>
        <w:t xml:space="preserve"> והשניה</w:t>
      </w:r>
      <w:r w:rsidR="00247F0D">
        <w:rPr>
          <w:rFonts w:cs="Arial" w:hint="cs"/>
          <w:rtl/>
        </w:rPr>
        <w:t>,</w:t>
      </w:r>
      <w:r w:rsidRPr="00E02C7F">
        <w:rPr>
          <w:rFonts w:cs="Arial"/>
          <w:rtl/>
        </w:rPr>
        <w:t xml:space="preserve"> שימצא דוחק בביאה ראשונה בשעת תשמיש</w:t>
      </w:r>
      <w:r w:rsidR="00247F0D">
        <w:rPr>
          <w:rFonts w:cs="Arial" w:hint="cs"/>
          <w:rtl/>
        </w:rPr>
        <w:t>.</w:t>
      </w:r>
      <w:r w:rsidRPr="00E02C7F">
        <w:rPr>
          <w:rFonts w:cs="Arial"/>
          <w:rtl/>
        </w:rPr>
        <w:t xml:space="preserve"> וכשאינו מוצא דוחק זהו שנקרא פתח פתוח</w:t>
      </w:r>
      <w:r w:rsidR="00247F0D">
        <w:rPr>
          <w:rFonts w:cs="Arial" w:hint="cs"/>
          <w:rtl/>
        </w:rPr>
        <w:t>.</w:t>
      </w:r>
      <w:r w:rsidRPr="00E02C7F">
        <w:rPr>
          <w:rFonts w:cs="Arial"/>
          <w:rtl/>
        </w:rPr>
        <w:t xml:space="preserve"> וטענת דמים ישנה בין בקטנה בין בגדולה</w:t>
      </w:r>
      <w:r w:rsidR="00247F0D">
        <w:rPr>
          <w:rFonts w:cs="Arial" w:hint="cs"/>
          <w:rtl/>
        </w:rPr>
        <w:t>,</w:t>
      </w:r>
      <w:r w:rsidRPr="00E02C7F">
        <w:rPr>
          <w:rFonts w:cs="Arial"/>
          <w:rtl/>
        </w:rPr>
        <w:t xml:space="preserve"> שכל בתולה יש לה דמים</w:t>
      </w:r>
      <w:r w:rsidR="00247F0D">
        <w:rPr>
          <w:rFonts w:cs="Arial" w:hint="cs"/>
          <w:rtl/>
        </w:rPr>
        <w:t>,</w:t>
      </w:r>
      <w:r w:rsidRPr="00E02C7F">
        <w:rPr>
          <w:rFonts w:cs="Arial"/>
          <w:rtl/>
        </w:rPr>
        <w:t xml:space="preserve"> בין קטנה בין נערה או גדולה</w:t>
      </w:r>
      <w:r w:rsidR="005E6376">
        <w:rPr>
          <w:rFonts w:cs="Arial" w:hint="cs"/>
          <w:rtl/>
        </w:rPr>
        <w:t>...</w:t>
      </w:r>
      <w:r w:rsidR="005E6376" w:rsidRPr="005E6376">
        <w:rPr>
          <w:rFonts w:cs="Arial"/>
          <w:rtl/>
        </w:rPr>
        <w:t xml:space="preserve"> </w:t>
      </w:r>
      <w:r w:rsidR="005E6376" w:rsidRPr="00E02C7F">
        <w:rPr>
          <w:rFonts w:cs="Arial"/>
          <w:rtl/>
        </w:rPr>
        <w:t>ויש שאין לה טענת פתח פתוח</w:t>
      </w:r>
      <w:r w:rsidR="005E6376">
        <w:rPr>
          <w:rFonts w:cs="Arial" w:hint="cs"/>
          <w:rtl/>
        </w:rPr>
        <w:t>,</w:t>
      </w:r>
      <w:r w:rsidR="005E6376" w:rsidRPr="00E02C7F">
        <w:rPr>
          <w:rFonts w:cs="Arial"/>
          <w:rtl/>
        </w:rPr>
        <w:t xml:space="preserve"> כגון בוגרת שמתוך שהיא גדולה נתרפו איבריה</w:t>
      </w:r>
      <w:r w:rsidR="005E6376">
        <w:rPr>
          <w:rFonts w:cs="Arial" w:hint="cs"/>
          <w:rtl/>
        </w:rPr>
        <w:t>.</w:t>
      </w:r>
      <w:r w:rsidR="005E6376" w:rsidRPr="00E02C7F">
        <w:rPr>
          <w:rFonts w:cs="Arial"/>
          <w:rtl/>
        </w:rPr>
        <w:t xml:space="preserve"> לפיכך אם בא ואמר פתח פתוח מצאתי אם היא בוגרת </w:t>
      </w:r>
      <w:r w:rsidR="005E6376">
        <w:rPr>
          <w:rFonts w:cs="Arial" w:hint="cs"/>
          <w:rtl/>
        </w:rPr>
        <w:t xml:space="preserve">- </w:t>
      </w:r>
      <w:r w:rsidR="005E6376" w:rsidRPr="00E02C7F">
        <w:rPr>
          <w:rFonts w:cs="Arial"/>
          <w:rtl/>
        </w:rPr>
        <w:t>אין טענתו טענה</w:t>
      </w:r>
      <w:r>
        <w:rPr>
          <w:rFonts w:cs="Arial" w:hint="cs"/>
          <w:rtl/>
        </w:rPr>
        <w:t>.</w:t>
      </w:r>
      <w:r w:rsidRPr="00E02C7F">
        <w:rPr>
          <w:rFonts w:cs="Arial"/>
          <w:rtl/>
        </w:rPr>
        <w:t xml:space="preserve"> </w:t>
      </w:r>
      <w:r w:rsidR="00A05F63" w:rsidRPr="00351B7D">
        <w:rPr>
          <w:rFonts w:asciiTheme="minorBidi" w:hAnsiTheme="minorBidi"/>
          <w:color w:val="E36C0A" w:themeColor="accent6" w:themeShade="BF"/>
          <w:rtl/>
        </w:rPr>
        <w:t>(וכ"פ בשו"ע</w:t>
      </w:r>
      <w:r w:rsidR="00A05F63">
        <w:rPr>
          <w:rFonts w:asciiTheme="minorBidi" w:hAnsiTheme="minorBidi" w:hint="cs"/>
          <w:color w:val="E36C0A" w:themeColor="accent6" w:themeShade="BF"/>
          <w:rtl/>
        </w:rPr>
        <w:t>)</w:t>
      </w:r>
    </w:p>
    <w:p w14:paraId="6E0E1CF9" w14:textId="77777777" w:rsidR="005B7F07" w:rsidRPr="00351B7D" w:rsidRDefault="005B7F07" w:rsidP="005B7F0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97E8F36" w14:textId="6637DEBB" w:rsidR="00973C57" w:rsidRDefault="00247F0D" w:rsidP="00973C57">
      <w:pPr>
        <w:rPr>
          <w:rtl/>
        </w:rPr>
      </w:pPr>
      <w:r>
        <w:rPr>
          <w:rFonts w:cs="Arial" w:hint="cs"/>
          <w:rtl/>
        </w:rPr>
        <w:t>שני</w:t>
      </w:r>
      <w:r w:rsidR="00973C57">
        <w:rPr>
          <w:rFonts w:cs="Arial"/>
          <w:rtl/>
        </w:rPr>
        <w:t xml:space="preserve"> סימנים יש לבתולה, האחד דמים שותתים ממנה בסוף ביאה ראשונה, והשני דוחק שנמצא בה בביאה ראשונה בשעת תשמיש. טענת דמים ישנה בין בקטנה בין בגדולה, אבל טענת פתח פתוח אינה טענה בבוגרת. </w:t>
      </w:r>
    </w:p>
    <w:p w14:paraId="6F35551F" w14:textId="77777777" w:rsidR="00247F0D" w:rsidRDefault="00247F0D" w:rsidP="00973C57">
      <w:pPr>
        <w:rPr>
          <w:rtl/>
        </w:rPr>
      </w:pPr>
    </w:p>
    <w:p w14:paraId="5748BE18" w14:textId="3EDF511D" w:rsidR="00973C57" w:rsidRDefault="00973C57" w:rsidP="000F64D0">
      <w:pPr>
        <w:pStyle w:val="2"/>
        <w:rPr>
          <w:rtl/>
        </w:rPr>
      </w:pPr>
      <w:r>
        <w:rPr>
          <w:rtl/>
        </w:rPr>
        <w:t>סעיף ד</w:t>
      </w:r>
      <w:r w:rsidR="002F7F5F">
        <w:rPr>
          <w:rFonts w:hint="cs"/>
          <w:rtl/>
        </w:rPr>
        <w:t>:</w:t>
      </w:r>
      <w:r w:rsidR="0084180A" w:rsidRPr="0084180A">
        <w:rPr>
          <w:rFonts w:hint="cs"/>
          <w:rtl/>
        </w:rPr>
        <w:t xml:space="preserve"> </w:t>
      </w:r>
      <w:r w:rsidR="0084180A">
        <w:rPr>
          <w:rFonts w:hint="cs"/>
          <w:rtl/>
        </w:rPr>
        <w:t>האומר "לא מצאתי לה דם בתולים".</w:t>
      </w:r>
    </w:p>
    <w:p w14:paraId="7B684261" w14:textId="3B4807AC" w:rsidR="00CD363B" w:rsidRDefault="00E95AAD" w:rsidP="00CD363B">
      <w:pPr>
        <w:rPr>
          <w:rtl/>
        </w:rPr>
      </w:pPr>
      <w:r w:rsidRPr="00EA1E02">
        <w:rPr>
          <w:rFonts w:cs="Arial" w:hint="cs"/>
          <w:b/>
          <w:bCs/>
          <w:rtl/>
        </w:rPr>
        <w:t xml:space="preserve">כתובות </w:t>
      </w:r>
      <w:r w:rsidRPr="00EA1E02">
        <w:rPr>
          <w:rFonts w:cs="Arial" w:hint="cs"/>
          <w:b/>
          <w:bCs/>
          <w:sz w:val="16"/>
          <w:szCs w:val="16"/>
          <w:rtl/>
        </w:rPr>
        <w:t>(</w:t>
      </w:r>
      <w:r>
        <w:rPr>
          <w:rFonts w:cs="Arial" w:hint="cs"/>
          <w:b/>
          <w:bCs/>
          <w:sz w:val="16"/>
          <w:szCs w:val="16"/>
          <w:rtl/>
        </w:rPr>
        <w:t>פ"ק</w:t>
      </w:r>
      <w:r w:rsidRPr="00EA1E02">
        <w:rPr>
          <w:rFonts w:cs="Arial" w:hint="cs"/>
          <w:b/>
          <w:bCs/>
          <w:sz w:val="16"/>
          <w:szCs w:val="16"/>
          <w:rtl/>
        </w:rPr>
        <w:t>)</w:t>
      </w:r>
      <w:r w:rsidRPr="00EA1E02">
        <w:rPr>
          <w:rFonts w:cs="Arial" w:hint="cs"/>
          <w:b/>
          <w:bCs/>
          <w:rtl/>
        </w:rPr>
        <w:t xml:space="preserve"> </w:t>
      </w:r>
      <w:r>
        <w:rPr>
          <w:rFonts w:cs="Arial" w:hint="cs"/>
          <w:b/>
          <w:bCs/>
          <w:rtl/>
        </w:rPr>
        <w:t>י</w:t>
      </w:r>
      <w:r w:rsidRPr="00EA1E02">
        <w:rPr>
          <w:rFonts w:cs="Arial" w:hint="cs"/>
          <w:b/>
          <w:bCs/>
          <w:rtl/>
        </w:rPr>
        <w:t xml:space="preserve"> ע"</w:t>
      </w:r>
      <w:r>
        <w:rPr>
          <w:rFonts w:cs="Arial" w:hint="cs"/>
          <w:b/>
          <w:bCs/>
          <w:rtl/>
        </w:rPr>
        <w:t>ב</w:t>
      </w:r>
      <w:r w:rsidRPr="00EA1E02">
        <w:rPr>
          <w:rFonts w:cs="Arial" w:hint="cs"/>
          <w:b/>
          <w:bCs/>
          <w:rtl/>
        </w:rPr>
        <w:t>:</w:t>
      </w:r>
      <w:r>
        <w:rPr>
          <w:rFonts w:cs="Arial" w:hint="cs"/>
          <w:rtl/>
        </w:rPr>
        <w:t xml:space="preserve"> </w:t>
      </w:r>
      <w:r w:rsidRPr="00E95AAD">
        <w:rPr>
          <w:rFonts w:cs="Arial"/>
          <w:rtl/>
        </w:rPr>
        <w:t>ההוא דאתא לקמיה דרבן גמליאל ב"ר, אמר ליה: רבי, בעלתי ולא מצאתי דם, אמרה ליה: רבי, עדיין בתולה אני. אמר להן: הביאו לי שתי שפחות, אחת בתולה ואחת בעולה, הביאו לו והושיבן על פי חבית של יין, בעולה ריחה נודף</w:t>
      </w:r>
      <w:r w:rsidR="00D158F8">
        <w:rPr>
          <w:rStyle w:val="a7"/>
          <w:rFonts w:cs="Arial"/>
          <w:rtl/>
        </w:rPr>
        <w:footnoteReference w:id="182"/>
      </w:r>
      <w:r w:rsidRPr="00E95AAD">
        <w:rPr>
          <w:rFonts w:cs="Arial"/>
          <w:rtl/>
        </w:rPr>
        <w:t>, בתולה אין ריחה נודף, אף זו הושיבה ולא היה ריחה נודף, אמר לו: לך זכה במקחך. ונבדוק מעיקרא בגווה! גמרא הוה שמיע ליה</w:t>
      </w:r>
      <w:r w:rsidR="0081243F">
        <w:rPr>
          <w:rStyle w:val="a7"/>
          <w:rFonts w:cs="Arial"/>
          <w:rtl/>
        </w:rPr>
        <w:footnoteReference w:id="183"/>
      </w:r>
      <w:r w:rsidRPr="00E95AAD">
        <w:rPr>
          <w:rFonts w:cs="Arial"/>
          <w:rtl/>
        </w:rPr>
        <w:t>, מעשה לא הוה חזי, וסבר, דלמא לא קים ליה בגווה דמלתא שפיר, ולאו אורח ארעא לזלזולי בבנות ישראל.</w:t>
      </w:r>
      <w:r w:rsidR="000C6A72" w:rsidRPr="000C6A72">
        <w:rPr>
          <w:rFonts w:cs="Arial"/>
          <w:sz w:val="16"/>
          <w:szCs w:val="16"/>
          <w:rtl/>
        </w:rPr>
        <w:t xml:space="preserve"> </w:t>
      </w:r>
      <w:r w:rsidR="000C6A72">
        <w:rPr>
          <w:rFonts w:cs="Arial" w:hint="cs"/>
          <w:sz w:val="16"/>
          <w:szCs w:val="16"/>
          <w:rtl/>
        </w:rPr>
        <w:t>(</w:t>
      </w:r>
      <w:r w:rsidR="000C6A72" w:rsidRPr="000C6A72">
        <w:rPr>
          <w:rFonts w:cs="Arial"/>
          <w:sz w:val="16"/>
          <w:szCs w:val="16"/>
          <w:rtl/>
        </w:rPr>
        <w:t>וכתבו הרי"ף (ג:) והרא"ש (סי' כא) עובדא זו</w:t>
      </w:r>
      <w:r w:rsidR="000C6A72">
        <w:rPr>
          <w:rFonts w:cs="Arial" w:hint="cs"/>
          <w:sz w:val="16"/>
          <w:szCs w:val="16"/>
          <w:rtl/>
        </w:rPr>
        <w:t>, ב"י)</w:t>
      </w:r>
    </w:p>
    <w:p w14:paraId="093AC05A" w14:textId="660C0A00" w:rsidR="0084180A" w:rsidRPr="0084180A" w:rsidRDefault="0084180A" w:rsidP="00CD363B">
      <w:pPr>
        <w:rPr>
          <w:u w:val="single"/>
          <w:rtl/>
        </w:rPr>
      </w:pPr>
      <w:r w:rsidRPr="0084180A">
        <w:rPr>
          <w:rFonts w:hint="cs"/>
          <w:u w:val="single"/>
          <w:rtl/>
        </w:rPr>
        <w:t>האומר "לא מצאתי לה דם בתולים":</w:t>
      </w:r>
    </w:p>
    <w:p w14:paraId="07DC8FDC" w14:textId="6917C419" w:rsidR="00C04FDA" w:rsidRPr="00C04FDA" w:rsidRDefault="00DA4087" w:rsidP="009000E3">
      <w:pPr>
        <w:pStyle w:val="ab"/>
        <w:numPr>
          <w:ilvl w:val="0"/>
          <w:numId w:val="78"/>
        </w:numPr>
      </w:pPr>
      <w:r>
        <w:rPr>
          <w:rFonts w:hint="cs"/>
          <w:rtl/>
        </w:rPr>
        <w:t>טור-</w:t>
      </w:r>
      <w:r>
        <w:rPr>
          <w:rFonts w:cs="Arial" w:hint="cs"/>
          <w:rtl/>
        </w:rPr>
        <w:t xml:space="preserve"> </w:t>
      </w:r>
      <w:r w:rsidRPr="00E02C7F">
        <w:rPr>
          <w:rFonts w:cs="Arial"/>
          <w:rtl/>
        </w:rPr>
        <w:t>לפיכך אם בא ואמר לא מצאתי דם</w:t>
      </w:r>
      <w:r w:rsidR="00A05F63">
        <w:rPr>
          <w:rFonts w:cs="Arial" w:hint="cs"/>
          <w:rtl/>
        </w:rPr>
        <w:t>,</w:t>
      </w:r>
      <w:r w:rsidRPr="00E02C7F">
        <w:rPr>
          <w:rFonts w:cs="Arial"/>
          <w:rtl/>
        </w:rPr>
        <w:t xml:space="preserve"> אם תאמר עדיין בתולה אני </w:t>
      </w:r>
      <w:r w:rsidR="00B43404">
        <w:rPr>
          <w:rFonts w:cs="Arial" w:hint="cs"/>
          <w:rtl/>
        </w:rPr>
        <w:t xml:space="preserve">- </w:t>
      </w:r>
      <w:r w:rsidRPr="00E02C7F">
        <w:rPr>
          <w:rFonts w:cs="Arial"/>
          <w:rtl/>
        </w:rPr>
        <w:t>בודקין אותה</w:t>
      </w:r>
      <w:r w:rsidR="00B43404">
        <w:rPr>
          <w:rFonts w:cs="Arial" w:hint="cs"/>
          <w:rtl/>
        </w:rPr>
        <w:t>,</w:t>
      </w:r>
      <w:r w:rsidRPr="00E02C7F">
        <w:rPr>
          <w:rFonts w:cs="Arial"/>
          <w:rtl/>
        </w:rPr>
        <w:t xml:space="preserve"> שמושיבין אותה על פי חבית של יין</w:t>
      </w:r>
      <w:r w:rsidR="00B43404">
        <w:rPr>
          <w:rFonts w:cs="Arial" w:hint="cs"/>
          <w:rtl/>
        </w:rPr>
        <w:t>,</w:t>
      </w:r>
      <w:r w:rsidRPr="00E02C7F">
        <w:rPr>
          <w:rFonts w:cs="Arial"/>
          <w:rtl/>
        </w:rPr>
        <w:t xml:space="preserve"> אם היא בתולה </w:t>
      </w:r>
      <w:r w:rsidR="000C6A72">
        <w:rPr>
          <w:rFonts w:cs="Arial" w:hint="cs"/>
          <w:rtl/>
        </w:rPr>
        <w:t xml:space="preserve">- </w:t>
      </w:r>
      <w:r w:rsidRPr="00E02C7F">
        <w:rPr>
          <w:rFonts w:cs="Arial"/>
          <w:rtl/>
        </w:rPr>
        <w:t>אין ריחה נודף</w:t>
      </w:r>
      <w:r w:rsidR="000C6A72">
        <w:rPr>
          <w:rFonts w:cs="Arial" w:hint="cs"/>
          <w:rtl/>
        </w:rPr>
        <w:t>.</w:t>
      </w:r>
      <w:r w:rsidRPr="00E02C7F">
        <w:rPr>
          <w:rFonts w:cs="Arial"/>
          <w:rtl/>
        </w:rPr>
        <w:t xml:space="preserve"> ואם היא בעולה </w:t>
      </w:r>
      <w:r w:rsidR="000C6A72">
        <w:rPr>
          <w:rFonts w:cs="Arial" w:hint="cs"/>
          <w:rtl/>
        </w:rPr>
        <w:t xml:space="preserve">- </w:t>
      </w:r>
      <w:r w:rsidRPr="00E02C7F">
        <w:rPr>
          <w:rFonts w:cs="Arial"/>
          <w:rtl/>
        </w:rPr>
        <w:t>ריחה נודף</w:t>
      </w:r>
      <w:r w:rsidR="00B43404">
        <w:rPr>
          <w:rFonts w:cs="Arial" w:hint="cs"/>
          <w:rtl/>
        </w:rPr>
        <w:t>.</w:t>
      </w:r>
      <w:r w:rsidRPr="00E02C7F">
        <w:rPr>
          <w:rFonts w:cs="Arial"/>
          <w:rtl/>
        </w:rPr>
        <w:t xml:space="preserve"> והרמ"ה כתב שאין לבדוק בבנות </w:t>
      </w:r>
      <w:r w:rsidRPr="00E02C7F">
        <w:rPr>
          <w:rFonts w:cs="Arial"/>
          <w:rtl/>
        </w:rPr>
        <w:lastRenderedPageBreak/>
        <w:t>ישראל תחלה</w:t>
      </w:r>
      <w:r w:rsidR="00B43404">
        <w:rPr>
          <w:rFonts w:cs="Arial" w:hint="cs"/>
          <w:rtl/>
        </w:rPr>
        <w:t>,</w:t>
      </w:r>
      <w:r w:rsidRPr="00E02C7F">
        <w:rPr>
          <w:rFonts w:cs="Arial"/>
          <w:rtl/>
        </w:rPr>
        <w:t xml:space="preserve"> אלא בתחילה בודקין בשתי שפחות בתולה ובעולה</w:t>
      </w:r>
      <w:r w:rsidR="00B43404">
        <w:rPr>
          <w:rFonts w:cs="Arial" w:hint="cs"/>
          <w:rtl/>
        </w:rPr>
        <w:t>,</w:t>
      </w:r>
      <w:r w:rsidRPr="00E02C7F">
        <w:rPr>
          <w:rFonts w:cs="Arial"/>
          <w:rtl/>
        </w:rPr>
        <w:t xml:space="preserve"> אי סלקא מילתא על בורייה עבדינן מעשה בבנות ישראל</w:t>
      </w:r>
      <w:r w:rsidR="00CD363B">
        <w:rPr>
          <w:rFonts w:cs="Arial" w:hint="cs"/>
          <w:rtl/>
        </w:rPr>
        <w:t>,</w:t>
      </w:r>
      <w:r w:rsidRPr="00E02C7F">
        <w:rPr>
          <w:rFonts w:cs="Arial"/>
          <w:rtl/>
        </w:rPr>
        <w:t xml:space="preserve"> או חוזר ובועל בפני עדים</w:t>
      </w:r>
      <w:r>
        <w:rPr>
          <w:rFonts w:cs="Arial" w:hint="cs"/>
          <w:rtl/>
        </w:rPr>
        <w:t>.</w:t>
      </w:r>
      <w:r w:rsidR="00D63C4C">
        <w:rPr>
          <w:rFonts w:hint="cs"/>
          <w:rtl/>
        </w:rPr>
        <w:t xml:space="preserve"> </w:t>
      </w:r>
    </w:p>
    <w:p w14:paraId="4A0C1278" w14:textId="48B6FBC4" w:rsidR="002F7F5F" w:rsidRDefault="00C04FDA" w:rsidP="009000E3">
      <w:pPr>
        <w:pStyle w:val="ab"/>
        <w:numPr>
          <w:ilvl w:val="0"/>
          <w:numId w:val="78"/>
        </w:numPr>
        <w:rPr>
          <w:rtl/>
        </w:rPr>
      </w:pPr>
      <w:r>
        <w:rPr>
          <w:rFonts w:cs="Arial" w:hint="cs"/>
          <w:rtl/>
        </w:rPr>
        <w:t xml:space="preserve">רמב"ם </w:t>
      </w:r>
      <w:r>
        <w:rPr>
          <w:rFonts w:cs="Arial" w:hint="cs"/>
          <w:sz w:val="16"/>
          <w:szCs w:val="16"/>
          <w:rtl/>
        </w:rPr>
        <w:t>(פי"א מהל' אישות הי"ב)</w:t>
      </w:r>
      <w:r>
        <w:rPr>
          <w:rFonts w:cs="Arial" w:hint="cs"/>
          <w:rtl/>
        </w:rPr>
        <w:t xml:space="preserve">- </w:t>
      </w:r>
      <w:r w:rsidRPr="00C04FDA">
        <w:rPr>
          <w:rFonts w:cs="Arial"/>
          <w:rtl/>
        </w:rPr>
        <w:t>טען ואמר לא מצאתיה בתולה</w:t>
      </w:r>
      <w:r>
        <w:rPr>
          <w:rFonts w:cs="Arial" w:hint="cs"/>
          <w:rtl/>
        </w:rPr>
        <w:t>,</w:t>
      </w:r>
      <w:r w:rsidRPr="00C04FDA">
        <w:rPr>
          <w:rFonts w:cs="Arial"/>
          <w:rtl/>
        </w:rPr>
        <w:t xml:space="preserve"> והיא אומרת לא בא עלי ועדיין בתולה אני, בודקין אותה</w:t>
      </w:r>
      <w:r w:rsidR="0033521B">
        <w:rPr>
          <w:rStyle w:val="a7"/>
          <w:rFonts w:cs="Arial"/>
          <w:rtl/>
        </w:rPr>
        <w:footnoteReference w:id="184"/>
      </w:r>
      <w:r w:rsidR="0033521B">
        <w:rPr>
          <w:rFonts w:cs="Arial" w:hint="cs"/>
          <w:rtl/>
        </w:rPr>
        <w:t>,</w:t>
      </w:r>
      <w:r w:rsidRPr="00C04FDA">
        <w:rPr>
          <w:rFonts w:cs="Arial"/>
          <w:rtl/>
        </w:rPr>
        <w:t xml:space="preserve"> או חוזר ובועל בפני עדים</w:t>
      </w:r>
      <w:r w:rsidR="0033521B">
        <w:rPr>
          <w:rStyle w:val="a7"/>
          <w:rFonts w:cs="Arial"/>
          <w:rtl/>
        </w:rPr>
        <w:footnoteReference w:id="185"/>
      </w:r>
      <w:r w:rsidRPr="00C04FDA">
        <w:rPr>
          <w:rFonts w:cs="Arial"/>
          <w:rtl/>
        </w:rPr>
        <w:t>.</w:t>
      </w:r>
      <w:r w:rsidR="00DA4087" w:rsidRPr="00E02C7F">
        <w:rPr>
          <w:rFonts w:cs="Arial"/>
          <w:rtl/>
        </w:rPr>
        <w:t xml:space="preserve"> </w:t>
      </w:r>
      <w:r w:rsidR="00D63C4C" w:rsidRPr="00351B7D">
        <w:rPr>
          <w:rFonts w:asciiTheme="minorBidi" w:hAnsiTheme="minorBidi"/>
          <w:color w:val="E36C0A" w:themeColor="accent6" w:themeShade="BF"/>
          <w:rtl/>
        </w:rPr>
        <w:t>(וכ"פ בשו"ע</w:t>
      </w:r>
      <w:r w:rsidR="00D63C4C">
        <w:rPr>
          <w:rFonts w:asciiTheme="minorBidi" w:hAnsiTheme="minorBidi" w:hint="cs"/>
          <w:color w:val="E36C0A" w:themeColor="accent6" w:themeShade="BF"/>
          <w:rtl/>
        </w:rPr>
        <w:t>)</w:t>
      </w:r>
    </w:p>
    <w:p w14:paraId="2E7A6908" w14:textId="77777777" w:rsidR="005B7F07" w:rsidRPr="00351B7D" w:rsidRDefault="005B7F07" w:rsidP="005B7F0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CB17065" w14:textId="23FAB3A3" w:rsidR="00973C57" w:rsidRDefault="00973C57" w:rsidP="00973C57">
      <w:pPr>
        <w:rPr>
          <w:rtl/>
        </w:rPr>
      </w:pPr>
      <w:r>
        <w:rPr>
          <w:rFonts w:cs="Arial"/>
          <w:rtl/>
        </w:rPr>
        <w:t xml:space="preserve">טען ואמר: לא מצאתיה בתולה, והיא אומרת: לא בא עלי ועדיין אני בתולה, בודקין אותה </w:t>
      </w:r>
      <w:r w:rsidR="00CD363B" w:rsidRPr="00CD363B">
        <w:rPr>
          <w:rFonts w:cs="Arial" w:hint="cs"/>
          <w:sz w:val="18"/>
          <w:szCs w:val="18"/>
          <w:rtl/>
        </w:rPr>
        <w:t xml:space="preserve">[הגה] </w:t>
      </w:r>
      <w:r w:rsidRPr="00CD363B">
        <w:rPr>
          <w:rFonts w:cs="Arial"/>
          <w:sz w:val="18"/>
          <w:szCs w:val="18"/>
          <w:rtl/>
        </w:rPr>
        <w:t>ע"פ חבית של יין (טור)</w:t>
      </w:r>
      <w:r>
        <w:rPr>
          <w:rFonts w:cs="Arial"/>
          <w:rtl/>
        </w:rPr>
        <w:t xml:space="preserve">, או מתייחד עמה בפני עדים וחוזר ובועל. </w:t>
      </w:r>
    </w:p>
    <w:p w14:paraId="63CA497B" w14:textId="77777777" w:rsidR="00CD363B" w:rsidRDefault="00CD363B" w:rsidP="00973C57">
      <w:pPr>
        <w:rPr>
          <w:rtl/>
        </w:rPr>
      </w:pPr>
    </w:p>
    <w:p w14:paraId="5E3185B7" w14:textId="0F354FC4" w:rsidR="00973C57" w:rsidRDefault="00973C57" w:rsidP="000F64D0">
      <w:pPr>
        <w:pStyle w:val="2"/>
        <w:rPr>
          <w:rtl/>
        </w:rPr>
      </w:pPr>
      <w:r>
        <w:rPr>
          <w:rtl/>
        </w:rPr>
        <w:t>סעיף ה</w:t>
      </w:r>
      <w:r w:rsidR="00A754F3">
        <w:rPr>
          <w:rFonts w:hint="cs"/>
          <w:rtl/>
        </w:rPr>
        <w:t>:</w:t>
      </w:r>
      <w:r w:rsidR="00447DFF">
        <w:rPr>
          <w:rFonts w:hint="cs"/>
          <w:rtl/>
        </w:rPr>
        <w:t xml:space="preserve"> </w:t>
      </w:r>
      <w:r w:rsidR="00964B24">
        <w:rPr>
          <w:rFonts w:hint="cs"/>
          <w:rtl/>
        </w:rPr>
        <w:t>לא מצא דם מחמת סיבה שאפשר לתלות בה.</w:t>
      </w:r>
    </w:p>
    <w:p w14:paraId="6338EFE4" w14:textId="77777777" w:rsidR="00EE24E4" w:rsidRDefault="00EE24E4" w:rsidP="00EE24E4">
      <w:pPr>
        <w:rPr>
          <w:rFonts w:cs="Arial"/>
          <w:rtl/>
        </w:rPr>
      </w:pPr>
      <w:r w:rsidRPr="00EA1E02">
        <w:rPr>
          <w:rFonts w:cs="Arial" w:hint="cs"/>
          <w:b/>
          <w:bCs/>
          <w:rtl/>
        </w:rPr>
        <w:t xml:space="preserve">כתובות </w:t>
      </w:r>
      <w:r w:rsidRPr="00EA1E02">
        <w:rPr>
          <w:rFonts w:cs="Arial" w:hint="cs"/>
          <w:b/>
          <w:bCs/>
          <w:sz w:val="16"/>
          <w:szCs w:val="16"/>
          <w:rtl/>
        </w:rPr>
        <w:t>(</w:t>
      </w:r>
      <w:r>
        <w:rPr>
          <w:rFonts w:cs="Arial" w:hint="cs"/>
          <w:b/>
          <w:bCs/>
          <w:sz w:val="16"/>
          <w:szCs w:val="16"/>
          <w:rtl/>
        </w:rPr>
        <w:t>פ"ק</w:t>
      </w:r>
      <w:r w:rsidRPr="00EA1E02">
        <w:rPr>
          <w:rFonts w:cs="Arial" w:hint="cs"/>
          <w:b/>
          <w:bCs/>
          <w:sz w:val="16"/>
          <w:szCs w:val="16"/>
          <w:rtl/>
        </w:rPr>
        <w:t>)</w:t>
      </w:r>
      <w:r w:rsidRPr="00EA1E02">
        <w:rPr>
          <w:rFonts w:cs="Arial" w:hint="cs"/>
          <w:b/>
          <w:bCs/>
          <w:rtl/>
        </w:rPr>
        <w:t xml:space="preserve"> </w:t>
      </w:r>
      <w:r>
        <w:rPr>
          <w:rFonts w:cs="Arial" w:hint="cs"/>
          <w:b/>
          <w:bCs/>
          <w:rtl/>
        </w:rPr>
        <w:t>י</w:t>
      </w:r>
      <w:r w:rsidRPr="00EA1E02">
        <w:rPr>
          <w:rFonts w:cs="Arial" w:hint="cs"/>
          <w:b/>
          <w:bCs/>
          <w:rtl/>
        </w:rPr>
        <w:t xml:space="preserve"> ע"</w:t>
      </w:r>
      <w:r>
        <w:rPr>
          <w:rFonts w:cs="Arial" w:hint="cs"/>
          <w:b/>
          <w:bCs/>
          <w:rtl/>
        </w:rPr>
        <w:t>ב</w:t>
      </w:r>
      <w:r w:rsidRPr="00EA1E02">
        <w:rPr>
          <w:rFonts w:cs="Arial" w:hint="cs"/>
          <w:b/>
          <w:bCs/>
          <w:rtl/>
        </w:rPr>
        <w:t>:</w:t>
      </w:r>
      <w:r>
        <w:rPr>
          <w:rFonts w:cs="Arial" w:hint="cs"/>
          <w:rtl/>
        </w:rPr>
        <w:t xml:space="preserve"> </w:t>
      </w:r>
      <w:r w:rsidRPr="00E95AAD">
        <w:rPr>
          <w:rFonts w:cs="Arial"/>
          <w:rtl/>
        </w:rPr>
        <w:t>ה</w:t>
      </w:r>
      <w:r w:rsidRPr="00A22714">
        <w:rPr>
          <w:rFonts w:cs="Arial"/>
          <w:rtl/>
        </w:rPr>
        <w:t xml:space="preserve">הוא דאתא לקמיה דרבן גמליאל הזקן, אמר לו: רבי, בעלתי ולא מצאתי דם, אמרה לו: רבי, ממשפחת דורקטי אני, שאין להן לא דם נדה ולא דם בתולים. בדק רבן גמליאל בקרובותיה ומצא כדבריה, אמר לו: לך זכה במקחך, אשריך שזכית למשפחת דורקטי. מאי דורקטי? דור קטוע. אמר רבי חנינא: תנחומים של הבל ניחמו רבן גמליאל לאותו האיש, דתני רבי חייא: כשם שהשאור יפה לעיסה, כך דמים יפים לאשה; ותנא משום רבי מאיר: כל אשה שדמיה מרובין - בניה מרובים. אתמר, רבי ירמיה בר אבא אמר: זכה במקחך אמר ליה, ורבי יוסי בר אבין אמר: נתחייב במקחך אמר ליה. בשלמא למאן דאמר נתחייב, היינו דרבי חנינא; אלא למאן דאמר זכה, מאי זכותא? דלא אתי לידי ספק נדה. ההוא דאתא לקמיה דרבי, אמר ליה: רבי, בעלתי ולא מצאתי דם, אמרה לו: רבי, עדיין בתולה הייתי, ושני בצורת הוה. ראה רבי שפניהם שחורים, צוה עליהן והכניסום למרחץ והאכילום והשקום והכניסום לחדר, בעל ומצא דם, אמר לו: לך זכה במקחך. קרי רבי עליהם: צפד עורם על עצמם יבש היה כעץ. </w:t>
      </w:r>
    </w:p>
    <w:p w14:paraId="430CF5A7" w14:textId="0895BD27" w:rsidR="00EE24E4" w:rsidRPr="00964B24" w:rsidRDefault="00964B24" w:rsidP="00EE24E4">
      <w:pPr>
        <w:rPr>
          <w:u w:val="single"/>
          <w:rtl/>
        </w:rPr>
      </w:pPr>
      <w:r w:rsidRPr="00964B24">
        <w:rPr>
          <w:rFonts w:hint="cs"/>
          <w:u w:val="single"/>
          <w:rtl/>
        </w:rPr>
        <w:t>לא מצא דם מחמת סיבה שאפשר לתלות בה:</w:t>
      </w:r>
    </w:p>
    <w:p w14:paraId="496CF90D" w14:textId="46363D69" w:rsidR="00EE24E4" w:rsidRPr="00DA4087" w:rsidRDefault="00964B24" w:rsidP="009000E3">
      <w:pPr>
        <w:pStyle w:val="ab"/>
        <w:numPr>
          <w:ilvl w:val="0"/>
          <w:numId w:val="78"/>
        </w:numPr>
      </w:pPr>
      <w:r>
        <w:rPr>
          <w:rFonts w:cs="Arial" w:hint="cs"/>
          <w:rtl/>
        </w:rPr>
        <w:t xml:space="preserve">רמב"ם </w:t>
      </w:r>
      <w:r>
        <w:rPr>
          <w:rFonts w:cs="Arial" w:hint="cs"/>
          <w:sz w:val="16"/>
          <w:szCs w:val="16"/>
          <w:rtl/>
        </w:rPr>
        <w:t>(פי"א מהל' אישות הי"ב)</w:t>
      </w:r>
      <w:r w:rsidR="00F53530">
        <w:rPr>
          <w:rFonts w:cs="Arial" w:hint="cs"/>
          <w:rtl/>
        </w:rPr>
        <w:t xml:space="preserve"> וטור</w:t>
      </w:r>
      <w:r>
        <w:rPr>
          <w:rFonts w:cs="Arial" w:hint="cs"/>
          <w:rtl/>
        </w:rPr>
        <w:t xml:space="preserve">- </w:t>
      </w:r>
      <w:r w:rsidR="00EE24E4" w:rsidRPr="00EE24E4">
        <w:rPr>
          <w:rFonts w:cs="Arial"/>
          <w:rtl/>
        </w:rPr>
        <w:t>אמרה בא עלי ובתולה מצאני ככל הבתולות ושקר הוא טוען, שואלין אותו ואומרין לו מה היה הדבר עד שאמרת שאינה בתולה, אם אמר מפני שלא מצאתי דם</w:t>
      </w:r>
      <w:r w:rsidR="00460CAE">
        <w:rPr>
          <w:rFonts w:cs="Arial" w:hint="cs"/>
          <w:rtl/>
        </w:rPr>
        <w:t>,</w:t>
      </w:r>
      <w:r w:rsidR="00EE24E4" w:rsidRPr="00EE24E4">
        <w:rPr>
          <w:rFonts w:cs="Arial"/>
          <w:rtl/>
        </w:rPr>
        <w:t xml:space="preserve"> בודקין במשפחתה שמא אין להם דם כלל</w:t>
      </w:r>
      <w:r w:rsidR="00460CAE">
        <w:rPr>
          <w:rFonts w:cs="Arial" w:hint="cs"/>
          <w:rtl/>
        </w:rPr>
        <w:t>,</w:t>
      </w:r>
      <w:r w:rsidR="00EE24E4" w:rsidRPr="00EE24E4">
        <w:rPr>
          <w:rFonts w:cs="Arial"/>
          <w:rtl/>
        </w:rPr>
        <w:t xml:space="preserve"> לא דם נדה ולא דם בתולים</w:t>
      </w:r>
      <w:r w:rsidR="00460CAE">
        <w:rPr>
          <w:rFonts w:cs="Arial" w:hint="cs"/>
          <w:rtl/>
        </w:rPr>
        <w:t>,</w:t>
      </w:r>
      <w:r w:rsidR="00EE24E4" w:rsidRPr="00EE24E4">
        <w:rPr>
          <w:rFonts w:cs="Arial"/>
          <w:rtl/>
        </w:rPr>
        <w:t xml:space="preserve"> אם נמצאו כולן כן </w:t>
      </w:r>
      <w:r w:rsidR="00460CAE">
        <w:rPr>
          <w:rFonts w:cs="Arial" w:hint="cs"/>
          <w:rtl/>
        </w:rPr>
        <w:t xml:space="preserve">- </w:t>
      </w:r>
      <w:r w:rsidR="00EE24E4" w:rsidRPr="00EE24E4">
        <w:rPr>
          <w:rFonts w:cs="Arial"/>
          <w:rtl/>
        </w:rPr>
        <w:t>הרי זו בחזקתה</w:t>
      </w:r>
      <w:r w:rsidR="00460CAE">
        <w:rPr>
          <w:rFonts w:cs="Arial" w:hint="cs"/>
          <w:rtl/>
        </w:rPr>
        <w:t>.</w:t>
      </w:r>
      <w:r w:rsidR="00EE24E4" w:rsidRPr="00EE24E4">
        <w:rPr>
          <w:rFonts w:cs="Arial"/>
          <w:rtl/>
        </w:rPr>
        <w:t xml:space="preserve"> לא נמצאו בני משפחתה כן</w:t>
      </w:r>
      <w:r w:rsidR="00460CAE">
        <w:rPr>
          <w:rFonts w:cs="Arial" w:hint="cs"/>
          <w:rtl/>
        </w:rPr>
        <w:t>,</w:t>
      </w:r>
      <w:r w:rsidR="00EE24E4" w:rsidRPr="00EE24E4">
        <w:rPr>
          <w:rFonts w:cs="Arial"/>
          <w:rtl/>
        </w:rPr>
        <w:t xml:space="preserve"> בודקין אותה שמא חולי גדול יש בה שיבש לחלוחית האיברים</w:t>
      </w:r>
      <w:r w:rsidR="00460CAE">
        <w:rPr>
          <w:rFonts w:cs="Arial" w:hint="cs"/>
          <w:rtl/>
        </w:rPr>
        <w:t>,</w:t>
      </w:r>
      <w:r w:rsidR="00EE24E4" w:rsidRPr="00EE24E4">
        <w:rPr>
          <w:rFonts w:cs="Arial"/>
          <w:rtl/>
        </w:rPr>
        <w:t xml:space="preserve"> או שמא היתה מתענה ברעב, ומרטבין אותה ומאכילין אותה ומשקין אותה עד שתבריא ותבעל שנייה ונראה אם תוציא דם אם לאו</w:t>
      </w:r>
      <w:r w:rsidR="00460CAE">
        <w:rPr>
          <w:rFonts w:cs="Arial" w:hint="cs"/>
          <w:rtl/>
        </w:rPr>
        <w:t>.</w:t>
      </w:r>
      <w:r w:rsidR="00EE24E4" w:rsidRPr="00EE24E4">
        <w:rPr>
          <w:rFonts w:cs="Arial"/>
          <w:rtl/>
        </w:rPr>
        <w:t xml:space="preserve"> ואם אין שם חולי ולא רעב ולא כיוצא בו </w:t>
      </w:r>
      <w:r w:rsidR="00460CAE">
        <w:rPr>
          <w:rFonts w:cs="Arial" w:hint="cs"/>
          <w:rtl/>
        </w:rPr>
        <w:t xml:space="preserve">- </w:t>
      </w:r>
      <w:r w:rsidR="00EE24E4" w:rsidRPr="00EE24E4">
        <w:rPr>
          <w:rFonts w:cs="Arial"/>
          <w:rtl/>
        </w:rPr>
        <w:t>הרי זו טענת בתולים, ואע</w:t>
      </w:r>
      <w:r w:rsidR="00460CAE">
        <w:rPr>
          <w:rFonts w:cs="Arial" w:hint="cs"/>
          <w:rtl/>
        </w:rPr>
        <w:t>"</w:t>
      </w:r>
      <w:r w:rsidR="00EE24E4" w:rsidRPr="00EE24E4">
        <w:rPr>
          <w:rFonts w:cs="Arial"/>
          <w:rtl/>
        </w:rPr>
        <w:t>פ שמצא דוחק בעת התשמיש הואיל ולא יצא דם אין כאן בתולים, שכל בתולה יש לה דם בין קטנה בין נערה בין בוגרת</w:t>
      </w:r>
      <w:r w:rsidR="00F53530">
        <w:rPr>
          <w:rStyle w:val="a7"/>
          <w:rFonts w:cs="Arial"/>
          <w:rtl/>
        </w:rPr>
        <w:footnoteReference w:id="186"/>
      </w:r>
      <w:r w:rsidR="00EE24E4" w:rsidRPr="00EE24E4">
        <w:rPr>
          <w:rFonts w:cs="Arial"/>
          <w:rtl/>
        </w:rPr>
        <w:t xml:space="preserve"> אלא מפני החולי כמו שביארנו.</w:t>
      </w:r>
      <w:r w:rsidR="006E0C49" w:rsidRPr="006E0C49">
        <w:rPr>
          <w:rFonts w:asciiTheme="minorBidi" w:hAnsiTheme="minorBidi"/>
          <w:color w:val="E36C0A" w:themeColor="accent6" w:themeShade="BF"/>
          <w:rtl/>
        </w:rPr>
        <w:t xml:space="preserve"> </w:t>
      </w:r>
      <w:r w:rsidR="006E0C49" w:rsidRPr="00351B7D">
        <w:rPr>
          <w:rFonts w:asciiTheme="minorBidi" w:hAnsiTheme="minorBidi"/>
          <w:color w:val="E36C0A" w:themeColor="accent6" w:themeShade="BF"/>
          <w:rtl/>
        </w:rPr>
        <w:t>(וכ"פ בשו"ע</w:t>
      </w:r>
      <w:r w:rsidR="006E0C49">
        <w:rPr>
          <w:rFonts w:asciiTheme="minorBidi" w:hAnsiTheme="minorBidi" w:hint="cs"/>
          <w:color w:val="E36C0A" w:themeColor="accent6" w:themeShade="BF"/>
          <w:rtl/>
        </w:rPr>
        <w:t>)</w:t>
      </w:r>
    </w:p>
    <w:p w14:paraId="291C1307" w14:textId="77777777" w:rsidR="005B7F07" w:rsidRPr="00351B7D" w:rsidRDefault="005B7F07" w:rsidP="005B7F0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6BE3AC2" w14:textId="4AF10D13" w:rsidR="007D5950" w:rsidRDefault="00973C57" w:rsidP="00F53530">
      <w:pPr>
        <w:rPr>
          <w:rtl/>
        </w:rPr>
      </w:pPr>
      <w:r>
        <w:rPr>
          <w:rFonts w:cs="Arial"/>
          <w:rtl/>
        </w:rPr>
        <w:t>טען טענת דמים, אם היתה ממשפחת דורקטי, הרי זו בחזקתה</w:t>
      </w:r>
      <w:r w:rsidR="00447DFF">
        <w:rPr>
          <w:rFonts w:cs="Arial" w:hint="cs"/>
          <w:rtl/>
        </w:rPr>
        <w:t>.</w:t>
      </w:r>
      <w:r>
        <w:rPr>
          <w:rFonts w:cs="Arial"/>
          <w:rtl/>
        </w:rPr>
        <w:t xml:space="preserve"> ואם לאו, בודקים אותה שמא חולי גדול יש בה שיבש לחלוחית האיברים, או שהיתה מתענית ברעב, ומכניסין אותה למרחץ ומרטיבין אותה ומאכילין ומשקין אותה עד שתבעל שנית ונראה אם תוציא דם. ואם אין שם חולי ולא רעב וכיוצא בו, הרי זו טענה. </w:t>
      </w:r>
    </w:p>
    <w:p w14:paraId="1DF994A6" w14:textId="77777777" w:rsidR="00447DFF" w:rsidRDefault="00447DFF" w:rsidP="00973C57">
      <w:pPr>
        <w:rPr>
          <w:rtl/>
        </w:rPr>
      </w:pPr>
    </w:p>
    <w:p w14:paraId="3633284B" w14:textId="069751DD" w:rsidR="00973C57" w:rsidRDefault="00973C57" w:rsidP="000F64D0">
      <w:pPr>
        <w:pStyle w:val="2"/>
        <w:rPr>
          <w:rtl/>
        </w:rPr>
      </w:pPr>
      <w:r>
        <w:rPr>
          <w:rtl/>
        </w:rPr>
        <w:t>סעיף ו</w:t>
      </w:r>
      <w:r w:rsidR="00A754F3">
        <w:rPr>
          <w:rFonts w:hint="cs"/>
          <w:rtl/>
        </w:rPr>
        <w:t>:</w:t>
      </w:r>
      <w:r w:rsidR="00F53530">
        <w:rPr>
          <w:rFonts w:hint="cs"/>
          <w:rtl/>
        </w:rPr>
        <w:t xml:space="preserve"> טענת פתח פתוח.</w:t>
      </w:r>
    </w:p>
    <w:p w14:paraId="237DEBC2" w14:textId="6274C877" w:rsidR="00865257" w:rsidRDefault="00865257" w:rsidP="00865257">
      <w:pPr>
        <w:rPr>
          <w:rFonts w:cs="Arial"/>
          <w:rtl/>
        </w:rPr>
      </w:pPr>
      <w:r w:rsidRPr="00EA1E02">
        <w:rPr>
          <w:rFonts w:cs="Arial" w:hint="cs"/>
          <w:b/>
          <w:bCs/>
          <w:rtl/>
        </w:rPr>
        <w:t xml:space="preserve">כתובות </w:t>
      </w:r>
      <w:r w:rsidRPr="00EA1E02">
        <w:rPr>
          <w:rFonts w:cs="Arial" w:hint="cs"/>
          <w:b/>
          <w:bCs/>
          <w:sz w:val="16"/>
          <w:szCs w:val="16"/>
          <w:rtl/>
        </w:rPr>
        <w:t>(</w:t>
      </w:r>
      <w:r>
        <w:rPr>
          <w:rFonts w:cs="Arial" w:hint="cs"/>
          <w:b/>
          <w:bCs/>
          <w:sz w:val="16"/>
          <w:szCs w:val="16"/>
          <w:rtl/>
        </w:rPr>
        <w:t>פ"ק</w:t>
      </w:r>
      <w:r w:rsidRPr="00EA1E02">
        <w:rPr>
          <w:rFonts w:cs="Arial" w:hint="cs"/>
          <w:b/>
          <w:bCs/>
          <w:sz w:val="16"/>
          <w:szCs w:val="16"/>
          <w:rtl/>
        </w:rPr>
        <w:t>)</w:t>
      </w:r>
      <w:r w:rsidRPr="00EA1E02">
        <w:rPr>
          <w:rFonts w:cs="Arial" w:hint="cs"/>
          <w:b/>
          <w:bCs/>
          <w:rtl/>
        </w:rPr>
        <w:t xml:space="preserve"> </w:t>
      </w:r>
      <w:r>
        <w:rPr>
          <w:rFonts w:cs="Arial" w:hint="cs"/>
          <w:b/>
          <w:bCs/>
          <w:rtl/>
        </w:rPr>
        <w:t>י</w:t>
      </w:r>
      <w:r w:rsidRPr="00EA1E02">
        <w:rPr>
          <w:rFonts w:cs="Arial" w:hint="cs"/>
          <w:b/>
          <w:bCs/>
          <w:rtl/>
        </w:rPr>
        <w:t xml:space="preserve"> ע"</w:t>
      </w:r>
      <w:r>
        <w:rPr>
          <w:rFonts w:cs="Arial" w:hint="cs"/>
          <w:b/>
          <w:bCs/>
          <w:rtl/>
        </w:rPr>
        <w:t>א</w:t>
      </w:r>
      <w:r w:rsidRPr="00EA1E02">
        <w:rPr>
          <w:rFonts w:cs="Arial" w:hint="cs"/>
          <w:b/>
          <w:bCs/>
          <w:rtl/>
        </w:rPr>
        <w:t>:</w:t>
      </w:r>
      <w:r>
        <w:rPr>
          <w:rFonts w:cs="Arial" w:hint="cs"/>
          <w:rtl/>
        </w:rPr>
        <w:t xml:space="preserve"> </w:t>
      </w:r>
      <w:r w:rsidRPr="00F91124">
        <w:rPr>
          <w:rFonts w:cs="Arial"/>
          <w:rtl/>
        </w:rPr>
        <w:t>ההוא דאתא לקמיה דרבן גמליאל, אמר ליה: פתח פתוח מצאתי, אמר ליה: שמא הטיתה? אמשול לך משל, למה הדבר דומה? לאדם שהיה מהלך באישון לילה ואפילה, היטה</w:t>
      </w:r>
      <w:r>
        <w:rPr>
          <w:rStyle w:val="a7"/>
          <w:rFonts w:cs="Arial"/>
          <w:rtl/>
        </w:rPr>
        <w:footnoteReference w:id="187"/>
      </w:r>
      <w:r w:rsidRPr="00F91124">
        <w:rPr>
          <w:rFonts w:cs="Arial"/>
          <w:rtl/>
        </w:rPr>
        <w:t xml:space="preserve"> מצאו פתוח, לא היטה מצאו </w:t>
      </w:r>
      <w:r w:rsidRPr="00F91124">
        <w:rPr>
          <w:rFonts w:cs="Arial"/>
          <w:rtl/>
        </w:rPr>
        <w:lastRenderedPageBreak/>
        <w:t xml:space="preserve">נעול. </w:t>
      </w:r>
      <w:r w:rsidRPr="00AB5109">
        <w:rPr>
          <w:rFonts w:cs="Arial"/>
          <w:u w:val="dotted"/>
          <w:rtl/>
        </w:rPr>
        <w:t>איכא דאמרי</w:t>
      </w:r>
      <w:r>
        <w:rPr>
          <w:rStyle w:val="a7"/>
          <w:rFonts w:cs="Arial"/>
          <w:u w:val="dotted"/>
          <w:rtl/>
        </w:rPr>
        <w:footnoteReference w:id="188"/>
      </w:r>
      <w:r w:rsidRPr="00F91124">
        <w:rPr>
          <w:rFonts w:cs="Arial"/>
          <w:rtl/>
        </w:rPr>
        <w:t>, הכי אמר ליה: שמא במזיד הטיתה, ועקרת לדשא ועברא? אמשול לך משל, למה הדבר דומה? לאדם שהוא מהלך באישון לילה ואפילה, היטה במזיד</w:t>
      </w:r>
      <w:r>
        <w:rPr>
          <w:rStyle w:val="a7"/>
          <w:rFonts w:cs="Arial"/>
          <w:rtl/>
        </w:rPr>
        <w:footnoteReference w:id="189"/>
      </w:r>
      <w:r w:rsidRPr="00F91124">
        <w:rPr>
          <w:rFonts w:cs="Arial"/>
          <w:rtl/>
        </w:rPr>
        <w:t xml:space="preserve"> מצאו פתוח, לא היטה במזיד מצאו נעול. </w:t>
      </w:r>
    </w:p>
    <w:p w14:paraId="762C48F3" w14:textId="00CD0C43" w:rsidR="00F53530" w:rsidRPr="00F53530" w:rsidRDefault="00F53530" w:rsidP="00F53530">
      <w:pPr>
        <w:rPr>
          <w:u w:val="single"/>
          <w:rtl/>
        </w:rPr>
      </w:pPr>
      <w:r w:rsidRPr="00F53530">
        <w:rPr>
          <w:rFonts w:hint="cs"/>
          <w:u w:val="single"/>
          <w:rtl/>
        </w:rPr>
        <w:t>טענת פתח פתוח:</w:t>
      </w:r>
    </w:p>
    <w:p w14:paraId="51376E65" w14:textId="60128992" w:rsidR="00B430BE" w:rsidRPr="00B430BE" w:rsidRDefault="00430D6F" w:rsidP="009000E3">
      <w:pPr>
        <w:pStyle w:val="ab"/>
        <w:numPr>
          <w:ilvl w:val="0"/>
          <w:numId w:val="78"/>
        </w:numPr>
      </w:pPr>
      <w:r>
        <w:rPr>
          <w:rFonts w:cs="Arial" w:hint="cs"/>
          <w:rtl/>
        </w:rPr>
        <w:t xml:space="preserve">רמב"ם </w:t>
      </w:r>
      <w:r>
        <w:rPr>
          <w:rFonts w:cs="Arial" w:hint="cs"/>
          <w:sz w:val="16"/>
          <w:szCs w:val="16"/>
          <w:rtl/>
        </w:rPr>
        <w:t>(פי"א מהל' אישות הי"ב)</w:t>
      </w:r>
      <w:r>
        <w:rPr>
          <w:rFonts w:cs="Arial" w:hint="cs"/>
          <w:rtl/>
        </w:rPr>
        <w:t xml:space="preserve"> ו</w:t>
      </w:r>
      <w:r w:rsidR="00F53530">
        <w:rPr>
          <w:rFonts w:cs="Arial" w:hint="cs"/>
          <w:rtl/>
        </w:rPr>
        <w:t xml:space="preserve">טור- </w:t>
      </w:r>
      <w:r w:rsidR="00F53530" w:rsidRPr="00E02C7F">
        <w:rPr>
          <w:rFonts w:cs="Arial"/>
          <w:rtl/>
        </w:rPr>
        <w:t xml:space="preserve">אם בא ואמר פתח פתוח מצאתי אם היא בוגרת </w:t>
      </w:r>
      <w:r w:rsidR="00AC459A">
        <w:rPr>
          <w:rFonts w:cs="Arial" w:hint="cs"/>
          <w:rtl/>
        </w:rPr>
        <w:t xml:space="preserve">- </w:t>
      </w:r>
      <w:r w:rsidR="00F53530" w:rsidRPr="00E02C7F">
        <w:rPr>
          <w:rFonts w:cs="Arial"/>
          <w:rtl/>
        </w:rPr>
        <w:t>אין טענתו טענה</w:t>
      </w:r>
      <w:r w:rsidR="00F53530">
        <w:rPr>
          <w:rFonts w:cs="Arial" w:hint="cs"/>
          <w:rtl/>
        </w:rPr>
        <w:t>.</w:t>
      </w:r>
      <w:r w:rsidR="00DA4087" w:rsidRPr="00AC459A">
        <w:rPr>
          <w:rFonts w:cs="Arial" w:hint="cs"/>
          <w:rtl/>
        </w:rPr>
        <w:t xml:space="preserve"> </w:t>
      </w:r>
      <w:r w:rsidR="00DA4087" w:rsidRPr="00AC459A">
        <w:rPr>
          <w:rFonts w:cs="Arial"/>
          <w:rtl/>
        </w:rPr>
        <w:t>ואם אינה בוגרת שואלין אותו שמא הטית ומתוך כך נראה לך כפתוח</w:t>
      </w:r>
      <w:r w:rsidR="00B176BE">
        <w:rPr>
          <w:rFonts w:cs="Arial" w:hint="cs"/>
          <w:rtl/>
        </w:rPr>
        <w:t>,</w:t>
      </w:r>
      <w:r w:rsidR="00DA4087" w:rsidRPr="00AC459A">
        <w:rPr>
          <w:rFonts w:cs="Arial"/>
          <w:rtl/>
        </w:rPr>
        <w:t xml:space="preserve"> או שמא לא בעלת בנחת אלא בכח ומתוך כך לא הרגשת בדוחק ונראה לך כפתוח</w:t>
      </w:r>
      <w:r w:rsidR="00B176BE">
        <w:rPr>
          <w:rFonts w:cs="Arial" w:hint="cs"/>
          <w:rtl/>
        </w:rPr>
        <w:t>.</w:t>
      </w:r>
      <w:r w:rsidR="00DA4087" w:rsidRPr="00AC459A">
        <w:rPr>
          <w:rFonts w:cs="Arial"/>
          <w:rtl/>
        </w:rPr>
        <w:t xml:space="preserve"> ואם אומר לא כי ודאי פתח פתוח מצאתי </w:t>
      </w:r>
      <w:r w:rsidR="00B176BE">
        <w:rPr>
          <w:rFonts w:cs="Arial" w:hint="cs"/>
          <w:rtl/>
        </w:rPr>
        <w:t xml:space="preserve">- </w:t>
      </w:r>
      <w:r w:rsidR="00DA4087" w:rsidRPr="00AC459A">
        <w:rPr>
          <w:rFonts w:cs="Arial"/>
          <w:rtl/>
        </w:rPr>
        <w:t>הרי זה טענת בתולים לכל בתולה שלא בגרה</w:t>
      </w:r>
      <w:r w:rsidR="00BE535B">
        <w:rPr>
          <w:rFonts w:cs="Arial" w:hint="cs"/>
          <w:rtl/>
        </w:rPr>
        <w:t>,</w:t>
      </w:r>
      <w:r w:rsidR="00DA4087" w:rsidRPr="00AC459A">
        <w:rPr>
          <w:rFonts w:cs="Arial"/>
          <w:rtl/>
        </w:rPr>
        <w:t xml:space="preserve"> בין קטנה בין גדולה בין בריאה בין חולה</w:t>
      </w:r>
      <w:r w:rsidR="007C1584">
        <w:rPr>
          <w:rFonts w:cs="Arial" w:hint="cs"/>
          <w:sz w:val="16"/>
          <w:szCs w:val="16"/>
          <w:rtl/>
        </w:rPr>
        <w:t xml:space="preserve"> (ל' הטור)</w:t>
      </w:r>
      <w:r w:rsidR="00B430BE">
        <w:rPr>
          <w:rFonts w:cs="Arial" w:hint="cs"/>
          <w:rtl/>
        </w:rPr>
        <w:t>.</w:t>
      </w:r>
      <w:r w:rsidR="006E0C49" w:rsidRPr="006E0C49">
        <w:rPr>
          <w:rFonts w:asciiTheme="minorBidi" w:hAnsiTheme="minorBidi"/>
          <w:color w:val="E36C0A" w:themeColor="accent6" w:themeShade="BF"/>
          <w:rtl/>
        </w:rPr>
        <w:t xml:space="preserve"> </w:t>
      </w:r>
      <w:r w:rsidR="006E0C49" w:rsidRPr="00351B7D">
        <w:rPr>
          <w:rFonts w:asciiTheme="minorBidi" w:hAnsiTheme="minorBidi"/>
          <w:color w:val="E36C0A" w:themeColor="accent6" w:themeShade="BF"/>
          <w:rtl/>
        </w:rPr>
        <w:t>(וכ"פ בשו"ע</w:t>
      </w:r>
      <w:r w:rsidR="006E0C49">
        <w:rPr>
          <w:rFonts w:asciiTheme="minorBidi" w:hAnsiTheme="minorBidi" w:hint="cs"/>
          <w:color w:val="E36C0A" w:themeColor="accent6" w:themeShade="BF"/>
          <w:rtl/>
        </w:rPr>
        <w:t>)</w:t>
      </w:r>
    </w:p>
    <w:p w14:paraId="27F511BB" w14:textId="764E3D50" w:rsidR="00B430BE" w:rsidRPr="0088657A" w:rsidRDefault="00B430BE" w:rsidP="00B430BE">
      <w:pPr>
        <w:ind w:left="360"/>
        <w:rPr>
          <w:u w:val="dotted"/>
        </w:rPr>
      </w:pPr>
      <w:r w:rsidRPr="0088657A">
        <w:rPr>
          <w:rFonts w:cs="Arial" w:hint="cs"/>
          <w:u w:val="dotted"/>
          <w:rtl/>
        </w:rPr>
        <w:t xml:space="preserve">ומה הדין אם </w:t>
      </w:r>
      <w:r w:rsidR="0088657A" w:rsidRPr="0088657A">
        <w:rPr>
          <w:rFonts w:cs="Arial" w:hint="cs"/>
          <w:u w:val="dotted"/>
          <w:rtl/>
        </w:rPr>
        <w:t>מצא דם:</w:t>
      </w:r>
      <w:r w:rsidR="00DA4087" w:rsidRPr="0088657A">
        <w:rPr>
          <w:rFonts w:cs="Arial"/>
          <w:u w:val="dotted"/>
          <w:rtl/>
        </w:rPr>
        <w:t xml:space="preserve"> </w:t>
      </w:r>
    </w:p>
    <w:p w14:paraId="08C5E37A" w14:textId="492D10DA" w:rsidR="0073628B" w:rsidRPr="0073628B" w:rsidRDefault="00B430BE" w:rsidP="009000E3">
      <w:pPr>
        <w:pStyle w:val="ab"/>
        <w:numPr>
          <w:ilvl w:val="0"/>
          <w:numId w:val="78"/>
        </w:numPr>
      </w:pPr>
      <w:r>
        <w:rPr>
          <w:rFonts w:cs="Arial" w:hint="cs"/>
          <w:rtl/>
        </w:rPr>
        <w:t xml:space="preserve">רמב"ם </w:t>
      </w:r>
      <w:r>
        <w:rPr>
          <w:rFonts w:cs="Arial" w:hint="cs"/>
          <w:sz w:val="16"/>
          <w:szCs w:val="16"/>
          <w:rtl/>
        </w:rPr>
        <w:t>(פי"א מהל' אישות הי"ב)</w:t>
      </w:r>
      <w:r>
        <w:rPr>
          <w:rFonts w:cs="Arial" w:hint="cs"/>
          <w:rtl/>
        </w:rPr>
        <w:t xml:space="preserve"> ו</w:t>
      </w:r>
      <w:r w:rsidR="00AA272D">
        <w:rPr>
          <w:rFonts w:cs="Arial" w:hint="cs"/>
          <w:rtl/>
        </w:rPr>
        <w:t>טור</w:t>
      </w:r>
      <w:r>
        <w:rPr>
          <w:rFonts w:cs="Arial" w:hint="cs"/>
          <w:rtl/>
        </w:rPr>
        <w:t xml:space="preserve">- </w:t>
      </w:r>
      <w:r w:rsidR="00DA4087" w:rsidRPr="00AC459A">
        <w:rPr>
          <w:rFonts w:cs="Arial"/>
          <w:rtl/>
        </w:rPr>
        <w:t>כל נערה פתחה סתום אע</w:t>
      </w:r>
      <w:r w:rsidR="00BE535B">
        <w:rPr>
          <w:rFonts w:cs="Arial" w:hint="cs"/>
          <w:rtl/>
        </w:rPr>
        <w:t>"</w:t>
      </w:r>
      <w:r w:rsidR="00DA4087" w:rsidRPr="00AC459A">
        <w:rPr>
          <w:rFonts w:cs="Arial"/>
          <w:rtl/>
        </w:rPr>
        <w:t>פ שמצא דם</w:t>
      </w:r>
      <w:r>
        <w:rPr>
          <w:rFonts w:cs="Arial" w:hint="cs"/>
          <w:rtl/>
        </w:rPr>
        <w:t>,</w:t>
      </w:r>
      <w:r w:rsidR="00DA4087" w:rsidRPr="00AC459A">
        <w:rPr>
          <w:rFonts w:cs="Arial"/>
          <w:rtl/>
        </w:rPr>
        <w:t xml:space="preserve"> הואיל ולא מצא פתח סתום </w:t>
      </w:r>
      <w:r w:rsidR="00BE535B">
        <w:rPr>
          <w:rFonts w:cs="Arial" w:hint="cs"/>
          <w:rtl/>
        </w:rPr>
        <w:t xml:space="preserve">- </w:t>
      </w:r>
      <w:r w:rsidR="00DA4087" w:rsidRPr="00AC459A">
        <w:rPr>
          <w:rFonts w:cs="Arial"/>
          <w:rtl/>
        </w:rPr>
        <w:t>אין כאן בתולים</w:t>
      </w:r>
      <w:r w:rsidR="00B42497">
        <w:rPr>
          <w:rStyle w:val="a7"/>
          <w:rFonts w:cs="Arial"/>
          <w:rtl/>
        </w:rPr>
        <w:footnoteReference w:id="190"/>
      </w:r>
      <w:r>
        <w:rPr>
          <w:rFonts w:cs="Arial" w:hint="cs"/>
          <w:sz w:val="16"/>
          <w:szCs w:val="16"/>
          <w:rtl/>
        </w:rPr>
        <w:t xml:space="preserve"> (ל' הטור)</w:t>
      </w:r>
      <w:r w:rsidR="00BE535B">
        <w:rPr>
          <w:rFonts w:cs="Arial" w:hint="cs"/>
          <w:rtl/>
        </w:rPr>
        <w:t>.</w:t>
      </w:r>
      <w:r w:rsidR="00DA4087" w:rsidRPr="00AC459A">
        <w:rPr>
          <w:rFonts w:cs="Arial"/>
          <w:rtl/>
        </w:rPr>
        <w:t xml:space="preserve"> </w:t>
      </w:r>
    </w:p>
    <w:p w14:paraId="725A96A1" w14:textId="27570DA1" w:rsidR="00865257" w:rsidRPr="00865257" w:rsidRDefault="00781CEF" w:rsidP="009000E3">
      <w:pPr>
        <w:pStyle w:val="ab"/>
        <w:numPr>
          <w:ilvl w:val="0"/>
          <w:numId w:val="78"/>
        </w:numPr>
      </w:pPr>
      <w:r>
        <w:rPr>
          <w:rFonts w:cs="Arial" w:hint="cs"/>
          <w:rtl/>
        </w:rPr>
        <w:t xml:space="preserve">רש"י </w:t>
      </w:r>
      <w:r>
        <w:rPr>
          <w:rFonts w:cs="Arial" w:hint="cs"/>
          <w:sz w:val="16"/>
          <w:szCs w:val="16"/>
          <w:rtl/>
        </w:rPr>
        <w:t>(</w:t>
      </w:r>
      <w:r w:rsidR="00171142">
        <w:rPr>
          <w:rFonts w:cs="Arial" w:hint="cs"/>
          <w:sz w:val="16"/>
          <w:szCs w:val="16"/>
          <w:rtl/>
        </w:rPr>
        <w:t>ט. ד"ה האומר)</w:t>
      </w:r>
      <w:r w:rsidR="00171142">
        <w:rPr>
          <w:rFonts w:cs="Arial" w:hint="cs"/>
          <w:rtl/>
        </w:rPr>
        <w:t xml:space="preserve"> </w:t>
      </w:r>
      <w:r w:rsidR="00A41522">
        <w:rPr>
          <w:rFonts w:cs="Arial" w:hint="cs"/>
          <w:rtl/>
        </w:rPr>
        <w:t>ו</w:t>
      </w:r>
      <w:r w:rsidR="00DA4087" w:rsidRPr="00AC459A">
        <w:rPr>
          <w:rFonts w:cs="Arial"/>
          <w:rtl/>
        </w:rPr>
        <w:t xml:space="preserve">ר"י </w:t>
      </w:r>
      <w:r w:rsidR="00B430BE">
        <w:rPr>
          <w:rFonts w:cs="Arial" w:hint="cs"/>
          <w:sz w:val="16"/>
          <w:szCs w:val="16"/>
          <w:rtl/>
        </w:rPr>
        <w:t>(כ"כ הטור בשמו)</w:t>
      </w:r>
      <w:r w:rsidR="00B430BE">
        <w:rPr>
          <w:rFonts w:cs="Arial" w:hint="cs"/>
          <w:rtl/>
        </w:rPr>
        <w:t>-</w:t>
      </w:r>
      <w:r w:rsidR="00DA4087" w:rsidRPr="00AC459A">
        <w:rPr>
          <w:rFonts w:cs="Arial"/>
          <w:rtl/>
        </w:rPr>
        <w:t xml:space="preserve"> כיון שמצא דם אינו יכול לטעון טענת פתח פתוח</w:t>
      </w:r>
      <w:r w:rsidR="00171142">
        <w:rPr>
          <w:rFonts w:cs="Arial" w:hint="cs"/>
          <w:sz w:val="16"/>
          <w:szCs w:val="16"/>
          <w:rtl/>
        </w:rPr>
        <w:t xml:space="preserve"> (ל' הטור בשם ר"י)</w:t>
      </w:r>
      <w:r w:rsidR="00BE535B">
        <w:rPr>
          <w:rFonts w:cs="Arial" w:hint="cs"/>
          <w:rtl/>
        </w:rPr>
        <w:t>.</w:t>
      </w:r>
      <w:r w:rsidR="00FF3D58" w:rsidRPr="00FF3D58">
        <w:rPr>
          <w:rFonts w:asciiTheme="minorBidi" w:hAnsiTheme="minorBidi"/>
          <w:color w:val="E36C0A" w:themeColor="accent6" w:themeShade="BF"/>
          <w:rtl/>
        </w:rPr>
        <w:t xml:space="preserve"> </w:t>
      </w:r>
      <w:r w:rsidR="00FF3D58" w:rsidRPr="00351B7D">
        <w:rPr>
          <w:rFonts w:asciiTheme="minorBidi" w:hAnsiTheme="minorBidi"/>
          <w:color w:val="E36C0A" w:themeColor="accent6" w:themeShade="BF"/>
          <w:rtl/>
        </w:rPr>
        <w:t>(וכ"</w:t>
      </w:r>
      <w:r w:rsidR="00732B09">
        <w:rPr>
          <w:rFonts w:asciiTheme="minorBidi" w:hAnsiTheme="minorBidi" w:hint="cs"/>
          <w:color w:val="E36C0A" w:themeColor="accent6" w:themeShade="BF"/>
          <w:rtl/>
        </w:rPr>
        <w:t>כ</w:t>
      </w:r>
      <w:r w:rsidR="00FF3D58" w:rsidRPr="00351B7D">
        <w:rPr>
          <w:rFonts w:asciiTheme="minorBidi" w:hAnsiTheme="minorBidi"/>
          <w:color w:val="E36C0A" w:themeColor="accent6" w:themeShade="BF"/>
          <w:rtl/>
        </w:rPr>
        <w:t xml:space="preserve"> בשו"ע</w:t>
      </w:r>
      <w:r w:rsidR="00FF3D58">
        <w:rPr>
          <w:rFonts w:asciiTheme="minorBidi" w:hAnsiTheme="minorBidi" w:hint="cs"/>
          <w:color w:val="E36C0A" w:themeColor="accent6" w:themeShade="BF"/>
          <w:rtl/>
        </w:rPr>
        <w:t>)</w:t>
      </w:r>
    </w:p>
    <w:p w14:paraId="0F249413" w14:textId="37BAC817" w:rsidR="00E74D86" w:rsidRDefault="007B69C7" w:rsidP="00865257">
      <w:pPr>
        <w:rPr>
          <w:rFonts w:cs="Arial"/>
          <w:rtl/>
        </w:rPr>
      </w:pPr>
      <w:r w:rsidRPr="00EA1E02">
        <w:rPr>
          <w:rFonts w:cs="Arial" w:hint="cs"/>
          <w:b/>
          <w:bCs/>
          <w:rtl/>
        </w:rPr>
        <w:t xml:space="preserve">כתובות </w:t>
      </w:r>
      <w:r w:rsidRPr="00EA1E02">
        <w:rPr>
          <w:rFonts w:cs="Arial" w:hint="cs"/>
          <w:b/>
          <w:bCs/>
          <w:sz w:val="16"/>
          <w:szCs w:val="16"/>
          <w:rtl/>
        </w:rPr>
        <w:t>(</w:t>
      </w:r>
      <w:r>
        <w:rPr>
          <w:rFonts w:cs="Arial" w:hint="cs"/>
          <w:b/>
          <w:bCs/>
          <w:sz w:val="16"/>
          <w:szCs w:val="16"/>
          <w:rtl/>
        </w:rPr>
        <w:t>פ"ק</w:t>
      </w:r>
      <w:r w:rsidRPr="00EA1E02">
        <w:rPr>
          <w:rFonts w:cs="Arial" w:hint="cs"/>
          <w:b/>
          <w:bCs/>
          <w:sz w:val="16"/>
          <w:szCs w:val="16"/>
          <w:rtl/>
        </w:rPr>
        <w:t>)</w:t>
      </w:r>
      <w:r w:rsidRPr="00EA1E02">
        <w:rPr>
          <w:rFonts w:cs="Arial" w:hint="cs"/>
          <w:b/>
          <w:bCs/>
          <w:rtl/>
        </w:rPr>
        <w:t xml:space="preserve"> </w:t>
      </w:r>
      <w:r>
        <w:rPr>
          <w:rFonts w:cs="Arial" w:hint="cs"/>
          <w:b/>
          <w:bCs/>
          <w:rtl/>
        </w:rPr>
        <w:t>י</w:t>
      </w:r>
      <w:r w:rsidRPr="00EA1E02">
        <w:rPr>
          <w:rFonts w:cs="Arial" w:hint="cs"/>
          <w:b/>
          <w:bCs/>
          <w:rtl/>
        </w:rPr>
        <w:t xml:space="preserve"> ע"</w:t>
      </w:r>
      <w:r>
        <w:rPr>
          <w:rFonts w:cs="Arial" w:hint="cs"/>
          <w:b/>
          <w:bCs/>
          <w:rtl/>
        </w:rPr>
        <w:t>א</w:t>
      </w:r>
      <w:r w:rsidRPr="00EA1E02">
        <w:rPr>
          <w:rFonts w:cs="Arial" w:hint="cs"/>
          <w:b/>
          <w:bCs/>
          <w:rtl/>
        </w:rPr>
        <w:t>:</w:t>
      </w:r>
      <w:r>
        <w:rPr>
          <w:rFonts w:cs="Arial" w:hint="cs"/>
          <w:rtl/>
        </w:rPr>
        <w:t xml:space="preserve"> </w:t>
      </w:r>
      <w:r w:rsidRPr="00AE353E">
        <w:rPr>
          <w:rFonts w:cs="Arial"/>
          <w:rtl/>
        </w:rPr>
        <w:t>ההוא דאתא לקמיה דרב נחמן, אמר ליה: פתח פתוח מצאתי, אמר ליה רב נחמן: אסבוהו כופרי</w:t>
      </w:r>
      <w:r>
        <w:rPr>
          <w:rStyle w:val="a7"/>
          <w:rFonts w:cs="Arial"/>
          <w:rtl/>
        </w:rPr>
        <w:footnoteReference w:id="191"/>
      </w:r>
      <w:r w:rsidRPr="00AE353E">
        <w:rPr>
          <w:rFonts w:cs="Arial"/>
          <w:rtl/>
        </w:rPr>
        <w:t>, מברכתא חביטא ליה</w:t>
      </w:r>
      <w:r>
        <w:rPr>
          <w:rStyle w:val="a7"/>
          <w:rFonts w:cs="Arial"/>
          <w:rtl/>
        </w:rPr>
        <w:footnoteReference w:id="192"/>
      </w:r>
      <w:r w:rsidRPr="00AE353E">
        <w:rPr>
          <w:rFonts w:cs="Arial"/>
          <w:rtl/>
        </w:rPr>
        <w:t xml:space="preserve">. והא רב נחמן הוא דאמר: מהימן! מהימן, ומסבינן ליה כופרי. </w:t>
      </w:r>
      <w:r w:rsidRPr="00E74D86">
        <w:rPr>
          <w:rFonts w:cs="Arial"/>
          <w:u w:val="single"/>
          <w:rtl/>
        </w:rPr>
        <w:t>רב אחאי משני</w:t>
      </w:r>
      <w:r w:rsidRPr="00AE353E">
        <w:rPr>
          <w:rFonts w:cs="Arial"/>
          <w:rtl/>
        </w:rPr>
        <w:t>: כאן בבחור</w:t>
      </w:r>
      <w:r>
        <w:rPr>
          <w:rStyle w:val="a7"/>
          <w:rFonts w:cs="Arial"/>
          <w:rtl/>
        </w:rPr>
        <w:footnoteReference w:id="193"/>
      </w:r>
      <w:r w:rsidRPr="00AE353E">
        <w:rPr>
          <w:rFonts w:cs="Arial"/>
          <w:rtl/>
        </w:rPr>
        <w:t>, כאן בנשוי.</w:t>
      </w:r>
    </w:p>
    <w:p w14:paraId="139AF732" w14:textId="4E133A85" w:rsidR="002241DE" w:rsidRPr="002241DE" w:rsidRDefault="002241DE" w:rsidP="00865257">
      <w:pPr>
        <w:rPr>
          <w:rFonts w:cs="Arial"/>
          <w:u w:val="single"/>
          <w:rtl/>
        </w:rPr>
      </w:pPr>
      <w:r w:rsidRPr="002241DE">
        <w:rPr>
          <w:rFonts w:cs="Arial" w:hint="cs"/>
          <w:u w:val="single"/>
          <w:rtl/>
        </w:rPr>
        <w:t xml:space="preserve">כיצד יש לפרש את הסתירה לכאורה בדרבי רב נחמן </w:t>
      </w:r>
      <w:r w:rsidRPr="002241DE">
        <w:rPr>
          <w:rFonts w:cs="Arial" w:hint="cs"/>
          <w:sz w:val="16"/>
          <w:szCs w:val="16"/>
          <w:u w:val="single"/>
          <w:rtl/>
        </w:rPr>
        <w:t>(שמצד אחד אמר להלקותו, ומצד שני אמר שנאמן)</w:t>
      </w:r>
      <w:r w:rsidRPr="002241DE">
        <w:rPr>
          <w:rFonts w:cs="Arial" w:hint="cs"/>
          <w:u w:val="single"/>
          <w:rtl/>
        </w:rPr>
        <w:t>:</w:t>
      </w:r>
    </w:p>
    <w:p w14:paraId="3A5D7B12" w14:textId="551768DD" w:rsidR="00E74D86" w:rsidRDefault="002241DE" w:rsidP="009000E3">
      <w:pPr>
        <w:pStyle w:val="ab"/>
        <w:numPr>
          <w:ilvl w:val="0"/>
          <w:numId w:val="79"/>
        </w:numPr>
        <w:rPr>
          <w:rFonts w:cs="Arial"/>
        </w:rPr>
      </w:pPr>
      <w:r>
        <w:rPr>
          <w:rFonts w:cs="Arial" w:hint="cs"/>
          <w:rtl/>
        </w:rPr>
        <w:t>יש מפרשים</w:t>
      </w:r>
      <w:r w:rsidR="00FE4410">
        <w:rPr>
          <w:rFonts w:cs="Arial" w:hint="cs"/>
          <w:sz w:val="16"/>
          <w:szCs w:val="16"/>
          <w:rtl/>
        </w:rPr>
        <w:t xml:space="preserve"> (פירושא קמא שהביא הרא"ש [סי' כ])</w:t>
      </w:r>
      <w:r>
        <w:rPr>
          <w:rFonts w:cs="Arial" w:hint="cs"/>
          <w:rtl/>
        </w:rPr>
        <w:t xml:space="preserve">- </w:t>
      </w:r>
      <w:r w:rsidR="00757134" w:rsidRPr="00757134">
        <w:rPr>
          <w:rFonts w:cs="Arial"/>
          <w:rtl/>
        </w:rPr>
        <w:t xml:space="preserve">המקשה הבין דברי רב נחמן דהכי קאמר להו </w:t>
      </w:r>
      <w:r w:rsidR="00E74D86" w:rsidRPr="00E74D86">
        <w:rPr>
          <w:rFonts w:cs="Arial"/>
          <w:rtl/>
        </w:rPr>
        <w:t>הלקוהו לפי שמוציא שם רע על בנות ישראל שהרי משקר</w:t>
      </w:r>
      <w:r w:rsidR="00E74D86" w:rsidRPr="00E74D86">
        <w:rPr>
          <w:rFonts w:cs="Arial" w:hint="cs"/>
          <w:rtl/>
        </w:rPr>
        <w:t>,</w:t>
      </w:r>
      <w:r w:rsidR="00E74D86" w:rsidRPr="00E74D86">
        <w:rPr>
          <w:rFonts w:cs="Arial"/>
          <w:rtl/>
        </w:rPr>
        <w:t xml:space="preserve"> וכי הזונות חבוטות לפניו שהוא בקי בפתח פתוח</w:t>
      </w:r>
      <w:r w:rsidR="00E74D86" w:rsidRPr="00E74D86">
        <w:rPr>
          <w:rFonts w:cs="Arial" w:hint="cs"/>
          <w:rtl/>
        </w:rPr>
        <w:t>,</w:t>
      </w:r>
      <w:r w:rsidR="00E74D86" w:rsidRPr="00E74D86">
        <w:rPr>
          <w:rFonts w:cs="Arial"/>
          <w:rtl/>
        </w:rPr>
        <w:t xml:space="preserve"> הילכך לא מהימן</w:t>
      </w:r>
      <w:r w:rsidR="00E74D86" w:rsidRPr="00E74D86">
        <w:rPr>
          <w:rFonts w:cs="Arial" w:hint="cs"/>
          <w:rtl/>
        </w:rPr>
        <w:t>.</w:t>
      </w:r>
      <w:r w:rsidR="00E74D86" w:rsidRPr="00E74D86">
        <w:rPr>
          <w:rFonts w:cs="Arial"/>
          <w:rtl/>
        </w:rPr>
        <w:t xml:space="preserve"> ופריך והא רב נחמן הוא דאמר מהימן</w:t>
      </w:r>
      <w:r w:rsidR="00E74D86" w:rsidRPr="00E74D86">
        <w:rPr>
          <w:rFonts w:cs="Arial" w:hint="cs"/>
          <w:rtl/>
        </w:rPr>
        <w:t>,</w:t>
      </w:r>
      <w:r w:rsidR="00E74D86" w:rsidRPr="00E74D86">
        <w:rPr>
          <w:rFonts w:cs="Arial"/>
          <w:rtl/>
        </w:rPr>
        <w:t xml:space="preserve"> ומשני מהימן ומסבינן ליה כופרי</w:t>
      </w:r>
      <w:r w:rsidR="00E74D86" w:rsidRPr="00E74D86">
        <w:rPr>
          <w:rFonts w:cs="Arial" w:hint="cs"/>
          <w:rtl/>
        </w:rPr>
        <w:t>,</w:t>
      </w:r>
      <w:r w:rsidR="00E74D86" w:rsidRPr="00E74D86">
        <w:rPr>
          <w:rFonts w:cs="Arial"/>
          <w:rtl/>
        </w:rPr>
        <w:t xml:space="preserve"> והא דמסבינן ליה כופרי לאו משום דלא מהימן</w:t>
      </w:r>
      <w:r w:rsidR="00E74D86" w:rsidRPr="00E74D86">
        <w:rPr>
          <w:rFonts w:cs="Arial" w:hint="cs"/>
          <w:rtl/>
        </w:rPr>
        <w:t>,</w:t>
      </w:r>
      <w:r w:rsidR="00E74D86" w:rsidRPr="00E74D86">
        <w:rPr>
          <w:rFonts w:cs="Arial"/>
          <w:rtl/>
        </w:rPr>
        <w:t xml:space="preserve"> אלא שראוי להלקותו לפי שחשוד על העריות</w:t>
      </w:r>
      <w:r w:rsidR="00E74D86" w:rsidRPr="00E74D86">
        <w:rPr>
          <w:rFonts w:cs="Arial" w:hint="cs"/>
          <w:rtl/>
        </w:rPr>
        <w:t>.</w:t>
      </w:r>
      <w:r w:rsidR="00E74D86" w:rsidRPr="00E74D86">
        <w:rPr>
          <w:rFonts w:cs="Arial"/>
          <w:rtl/>
        </w:rPr>
        <w:t xml:space="preserve"> ורב אחא משני כדסבר מעיקרא דלא מהימן ואיירי בבחור</w:t>
      </w:r>
      <w:r w:rsidR="00FE4410">
        <w:rPr>
          <w:rFonts w:cs="Arial" w:hint="cs"/>
          <w:sz w:val="16"/>
          <w:szCs w:val="16"/>
          <w:rtl/>
        </w:rPr>
        <w:t xml:space="preserve"> (ל' הרא"ש)</w:t>
      </w:r>
      <w:r w:rsidR="00E74D86" w:rsidRPr="00E74D86">
        <w:rPr>
          <w:rFonts w:cs="Arial"/>
          <w:rtl/>
        </w:rPr>
        <w:t xml:space="preserve">. </w:t>
      </w:r>
    </w:p>
    <w:p w14:paraId="57CF8BAA" w14:textId="6A2DE74C" w:rsidR="00E74D86" w:rsidRDefault="00E74D86" w:rsidP="009000E3">
      <w:pPr>
        <w:pStyle w:val="ab"/>
        <w:numPr>
          <w:ilvl w:val="0"/>
          <w:numId w:val="79"/>
        </w:numPr>
        <w:rPr>
          <w:rFonts w:cs="Arial"/>
        </w:rPr>
      </w:pPr>
      <w:r w:rsidRPr="00E74D86">
        <w:rPr>
          <w:rFonts w:cs="Arial"/>
          <w:rtl/>
        </w:rPr>
        <w:t>יש מפרשים</w:t>
      </w:r>
      <w:r w:rsidR="00FE4410">
        <w:rPr>
          <w:rFonts w:cs="Arial" w:hint="cs"/>
          <w:rtl/>
        </w:rPr>
        <w:t xml:space="preserve"> </w:t>
      </w:r>
      <w:r w:rsidR="00FE4410">
        <w:rPr>
          <w:rFonts w:cs="Arial" w:hint="cs"/>
          <w:sz w:val="16"/>
          <w:szCs w:val="16"/>
          <w:rtl/>
        </w:rPr>
        <w:t>(פירושא בתרא שהביא הרא"ש [שם])</w:t>
      </w:r>
      <w:r w:rsidR="002241DE">
        <w:rPr>
          <w:rFonts w:cs="Arial" w:hint="cs"/>
          <w:rtl/>
        </w:rPr>
        <w:t>-</w:t>
      </w:r>
      <w:r w:rsidRPr="00E74D86">
        <w:rPr>
          <w:rFonts w:cs="Arial"/>
          <w:rtl/>
        </w:rPr>
        <w:t xml:space="preserve"> אסבוה כופרי אע</w:t>
      </w:r>
      <w:r w:rsidRPr="00E74D86">
        <w:rPr>
          <w:rFonts w:cs="Arial" w:hint="cs"/>
          <w:rtl/>
        </w:rPr>
        <w:t>"</w:t>
      </w:r>
      <w:r w:rsidRPr="00E74D86">
        <w:rPr>
          <w:rFonts w:cs="Arial"/>
          <w:rtl/>
        </w:rPr>
        <w:t>פ שהוא נאמן חשוד על העריות מיהא הוי</w:t>
      </w:r>
      <w:r w:rsidRPr="00E74D86">
        <w:rPr>
          <w:rFonts w:cs="Arial" w:hint="cs"/>
          <w:rtl/>
        </w:rPr>
        <w:t>,</w:t>
      </w:r>
      <w:r w:rsidRPr="00E74D86">
        <w:rPr>
          <w:rFonts w:cs="Arial"/>
          <w:rtl/>
        </w:rPr>
        <w:t xml:space="preserve"> והא רב נחמן הוא דאמר מהימן ולא אמר שיש להלקותו</w:t>
      </w:r>
      <w:r w:rsidRPr="00E74D86">
        <w:rPr>
          <w:rFonts w:cs="Arial" w:hint="cs"/>
          <w:rtl/>
        </w:rPr>
        <w:t>,</w:t>
      </w:r>
      <w:r w:rsidRPr="00E74D86">
        <w:rPr>
          <w:rFonts w:cs="Arial"/>
          <w:rtl/>
        </w:rPr>
        <w:t xml:space="preserve"> ומשני מהימן ומסבינן ליה כופרי ורב נחמן לא איירי במלקות</w:t>
      </w:r>
      <w:r w:rsidRPr="00E74D86">
        <w:rPr>
          <w:rFonts w:cs="Arial" w:hint="cs"/>
          <w:rtl/>
        </w:rPr>
        <w:t>.</w:t>
      </w:r>
      <w:r w:rsidRPr="00E74D86">
        <w:rPr>
          <w:rFonts w:cs="Arial"/>
          <w:rtl/>
        </w:rPr>
        <w:t xml:space="preserve"> רב אחא אמר</w:t>
      </w:r>
      <w:r w:rsidRPr="00E74D86">
        <w:rPr>
          <w:rFonts w:cs="Arial" w:hint="cs"/>
          <w:rtl/>
        </w:rPr>
        <w:t>:</w:t>
      </w:r>
      <w:r w:rsidRPr="00E74D86">
        <w:rPr>
          <w:rFonts w:cs="Arial"/>
          <w:rtl/>
        </w:rPr>
        <w:t xml:space="preserve"> לעולם הא דאמר רב נחמן נאמן היינו בלא מלקות ובנשוי</w:t>
      </w:r>
      <w:r w:rsidRPr="00E74D86">
        <w:rPr>
          <w:rFonts w:cs="Arial" w:hint="cs"/>
          <w:rtl/>
        </w:rPr>
        <w:t>,</w:t>
      </w:r>
      <w:r w:rsidRPr="00E74D86">
        <w:rPr>
          <w:rFonts w:cs="Arial"/>
          <w:rtl/>
        </w:rPr>
        <w:t xml:space="preserve"> אבל בחור מהימן ומלקינן ליה</w:t>
      </w:r>
      <w:r w:rsidR="00FE4410">
        <w:rPr>
          <w:rFonts w:cs="Arial" w:hint="cs"/>
          <w:sz w:val="16"/>
          <w:szCs w:val="16"/>
          <w:rtl/>
        </w:rPr>
        <w:t xml:space="preserve"> (ל' הרא"ש)</w:t>
      </w:r>
      <w:r w:rsidRPr="00E74D86">
        <w:rPr>
          <w:rFonts w:cs="Arial"/>
          <w:rtl/>
        </w:rPr>
        <w:t xml:space="preserve">. </w:t>
      </w:r>
    </w:p>
    <w:p w14:paraId="6354D08B" w14:textId="540779B6" w:rsidR="00FE4410" w:rsidRPr="00FE4410" w:rsidRDefault="00FE4410" w:rsidP="00FE4410">
      <w:pPr>
        <w:ind w:left="360"/>
        <w:rPr>
          <w:rFonts w:cs="Arial"/>
          <w:u w:val="dotted"/>
        </w:rPr>
      </w:pPr>
      <w:r w:rsidRPr="00FE4410">
        <w:rPr>
          <w:rFonts w:cs="Arial" w:hint="cs"/>
          <w:u w:val="dotted"/>
          <w:rtl/>
        </w:rPr>
        <w:t>כיצד יש לפסוק למעשה</w:t>
      </w:r>
      <w:r w:rsidR="000B5B00">
        <w:rPr>
          <w:rFonts w:cs="Arial" w:hint="cs"/>
          <w:u w:val="dotted"/>
          <w:rtl/>
        </w:rPr>
        <w:t xml:space="preserve"> </w:t>
      </w:r>
      <w:r>
        <w:rPr>
          <w:rFonts w:cs="Arial" w:hint="cs"/>
          <w:sz w:val="16"/>
          <w:szCs w:val="16"/>
          <w:u w:val="dotted"/>
          <w:rtl/>
        </w:rPr>
        <w:t>(האם בחור נאמן)</w:t>
      </w:r>
      <w:r w:rsidRPr="00FE4410">
        <w:rPr>
          <w:rFonts w:cs="Arial" w:hint="cs"/>
          <w:u w:val="dotted"/>
          <w:rtl/>
        </w:rPr>
        <w:t>:</w:t>
      </w:r>
    </w:p>
    <w:p w14:paraId="70779C79" w14:textId="6F60EA55" w:rsidR="002241DE" w:rsidRPr="00FE4410" w:rsidRDefault="00FE4410" w:rsidP="009000E3">
      <w:pPr>
        <w:pStyle w:val="ab"/>
        <w:numPr>
          <w:ilvl w:val="0"/>
          <w:numId w:val="79"/>
        </w:numPr>
        <w:rPr>
          <w:rFonts w:cs="Arial"/>
        </w:rPr>
      </w:pPr>
      <w:r w:rsidRPr="00E74D86">
        <w:rPr>
          <w:rFonts w:cs="Arial"/>
          <w:rtl/>
        </w:rPr>
        <w:t xml:space="preserve">רא"ש </w:t>
      </w:r>
      <w:r w:rsidRPr="00FE4410">
        <w:rPr>
          <w:rFonts w:cs="Arial"/>
          <w:sz w:val="16"/>
          <w:szCs w:val="16"/>
          <w:rtl/>
        </w:rPr>
        <w:t>(סי' כ)</w:t>
      </w:r>
      <w:r w:rsidR="000B5B00" w:rsidRPr="000B5B00">
        <w:rPr>
          <w:rFonts w:cs="Arial" w:hint="cs"/>
          <w:rtl/>
        </w:rPr>
        <w:t xml:space="preserve"> </w:t>
      </w:r>
      <w:r w:rsidR="000B5B00">
        <w:rPr>
          <w:rFonts w:cs="Arial" w:hint="cs"/>
          <w:rtl/>
        </w:rPr>
        <w:t>ו</w:t>
      </w:r>
      <w:r w:rsidR="000B5B00" w:rsidRPr="00BF55D2">
        <w:rPr>
          <w:rFonts w:cs="Arial" w:hint="cs"/>
          <w:rtl/>
        </w:rPr>
        <w:t>טור</w:t>
      </w:r>
      <w:r w:rsidR="000B5B00">
        <w:rPr>
          <w:rStyle w:val="a7"/>
          <w:rFonts w:cs="Arial"/>
          <w:rtl/>
        </w:rPr>
        <w:footnoteReference w:id="194"/>
      </w:r>
      <w:r w:rsidRPr="00E74D86">
        <w:rPr>
          <w:rFonts w:cs="Arial" w:hint="cs"/>
          <w:rtl/>
        </w:rPr>
        <w:t>-</w:t>
      </w:r>
      <w:r w:rsidRPr="00E74D86">
        <w:rPr>
          <w:rFonts w:cs="Arial"/>
          <w:rtl/>
        </w:rPr>
        <w:t xml:space="preserve"> </w:t>
      </w:r>
      <w:r w:rsidR="00E74D86" w:rsidRPr="00FE4410">
        <w:rPr>
          <w:rFonts w:cs="Arial"/>
          <w:rtl/>
        </w:rPr>
        <w:t>הרי"ף (ג:) כתב בחור לא גמיר</w:t>
      </w:r>
      <w:r w:rsidR="00E74D86" w:rsidRPr="00FE4410">
        <w:rPr>
          <w:rFonts w:cs="Arial" w:hint="cs"/>
          <w:rtl/>
        </w:rPr>
        <w:t>,</w:t>
      </w:r>
      <w:r w:rsidR="00E74D86" w:rsidRPr="00FE4410">
        <w:rPr>
          <w:rFonts w:cs="Arial"/>
          <w:rtl/>
        </w:rPr>
        <w:t xml:space="preserve"> נשוי גמיר</w:t>
      </w:r>
      <w:r w:rsidR="00E74D86" w:rsidRPr="00FE4410">
        <w:rPr>
          <w:rFonts w:cs="Arial" w:hint="cs"/>
          <w:rtl/>
        </w:rPr>
        <w:t>.</w:t>
      </w:r>
      <w:r w:rsidR="00E74D86" w:rsidRPr="00FE4410">
        <w:rPr>
          <w:rFonts w:cs="Arial"/>
          <w:rtl/>
        </w:rPr>
        <w:t xml:space="preserve"> והיינו כפירושא קמא</w:t>
      </w:r>
      <w:r w:rsidR="00E74D86" w:rsidRPr="00FE4410">
        <w:rPr>
          <w:rFonts w:cs="Arial" w:hint="cs"/>
          <w:rtl/>
        </w:rPr>
        <w:t>.</w:t>
      </w:r>
      <w:r w:rsidR="00E74D86" w:rsidRPr="00FE4410">
        <w:rPr>
          <w:rFonts w:cs="Arial"/>
          <w:rtl/>
        </w:rPr>
        <w:t xml:space="preserve"> וכן מסתבר דרב נחמן צום להלקותו משום דלא קים ליה והוא מוציא שם רע על בנות ישראל</w:t>
      </w:r>
      <w:r w:rsidR="00E74D86" w:rsidRPr="00FE4410">
        <w:rPr>
          <w:rFonts w:cs="Arial" w:hint="cs"/>
          <w:rtl/>
        </w:rPr>
        <w:t>,</w:t>
      </w:r>
      <w:r w:rsidR="00E74D86" w:rsidRPr="00FE4410">
        <w:rPr>
          <w:rFonts w:cs="Arial"/>
          <w:rtl/>
        </w:rPr>
        <w:t xml:space="preserve"> אבל לא מיקרי חשוד על העריות להלקותו דשמא קים ליה מתוך השמועה</w:t>
      </w:r>
      <w:r w:rsidR="00E74D86" w:rsidRPr="00FE4410">
        <w:rPr>
          <w:rFonts w:cs="Arial" w:hint="cs"/>
          <w:rtl/>
        </w:rPr>
        <w:t>,</w:t>
      </w:r>
      <w:r w:rsidR="00E74D86" w:rsidRPr="00FE4410">
        <w:rPr>
          <w:rFonts w:cs="Arial"/>
          <w:rtl/>
        </w:rPr>
        <w:t xml:space="preserve"> וכן פירש רש"י</w:t>
      </w:r>
      <w:r w:rsidR="000B5B00">
        <w:rPr>
          <w:rFonts w:cs="Arial" w:hint="cs"/>
          <w:sz w:val="16"/>
          <w:szCs w:val="16"/>
          <w:rtl/>
        </w:rPr>
        <w:t xml:space="preserve"> (ל' הרא"ש)</w:t>
      </w:r>
      <w:r w:rsidR="00E74D86" w:rsidRPr="00FE4410">
        <w:rPr>
          <w:rFonts w:cs="Arial"/>
          <w:rtl/>
        </w:rPr>
        <w:t xml:space="preserve">. </w:t>
      </w:r>
      <w:r w:rsidR="006E0C49" w:rsidRPr="006E0C49">
        <w:rPr>
          <w:rFonts w:cs="Arial" w:hint="cs"/>
          <w:color w:val="00B0F0"/>
          <w:rtl/>
        </w:rPr>
        <w:t>(וכ"כ הרמ"א)</w:t>
      </w:r>
    </w:p>
    <w:p w14:paraId="78E1E8F7" w14:textId="31309578" w:rsidR="00E74D86" w:rsidRPr="00E74D86" w:rsidRDefault="00757134" w:rsidP="009000E3">
      <w:pPr>
        <w:pStyle w:val="ab"/>
        <w:numPr>
          <w:ilvl w:val="0"/>
          <w:numId w:val="79"/>
        </w:numPr>
        <w:rPr>
          <w:rFonts w:cs="Arial"/>
          <w:rtl/>
        </w:rPr>
      </w:pPr>
      <w:r>
        <w:rPr>
          <w:rFonts w:cs="Arial" w:hint="cs"/>
          <w:rtl/>
        </w:rPr>
        <w:t xml:space="preserve">ב"י- </w:t>
      </w:r>
      <w:r w:rsidR="00E74D86" w:rsidRPr="00E74D86">
        <w:rPr>
          <w:rFonts w:cs="Arial"/>
          <w:rtl/>
        </w:rPr>
        <w:t xml:space="preserve">הרמב"ם סתם דבריו </w:t>
      </w:r>
      <w:r w:rsidR="00A70744">
        <w:rPr>
          <w:rFonts w:cs="Arial" w:hint="cs"/>
          <w:rtl/>
        </w:rPr>
        <w:t>(</w:t>
      </w:r>
      <w:r w:rsidR="00E74D86" w:rsidRPr="00E74D86">
        <w:rPr>
          <w:rFonts w:cs="Arial"/>
          <w:rtl/>
        </w:rPr>
        <w:t>בפי"א מהל</w:t>
      </w:r>
      <w:r w:rsidR="00A70744">
        <w:rPr>
          <w:rFonts w:cs="Arial" w:hint="cs"/>
          <w:rtl/>
        </w:rPr>
        <w:t>'</w:t>
      </w:r>
      <w:r w:rsidR="00E74D86" w:rsidRPr="00E74D86">
        <w:rPr>
          <w:rFonts w:cs="Arial"/>
          <w:rtl/>
        </w:rPr>
        <w:t xml:space="preserve"> אישות</w:t>
      </w:r>
      <w:r w:rsidR="00A70744">
        <w:rPr>
          <w:rFonts w:cs="Arial" w:hint="cs"/>
          <w:rtl/>
        </w:rPr>
        <w:t>)</w:t>
      </w:r>
      <w:r w:rsidR="00E74D86" w:rsidRPr="00E74D86">
        <w:rPr>
          <w:rFonts w:cs="Arial"/>
          <w:rtl/>
        </w:rPr>
        <w:t xml:space="preserve"> ולא חילק בין בחור לנשוי</w:t>
      </w:r>
      <w:r w:rsidR="00E74D86" w:rsidRPr="00E74D86">
        <w:rPr>
          <w:rFonts w:cs="Arial" w:hint="cs"/>
          <w:rtl/>
        </w:rPr>
        <w:t>,</w:t>
      </w:r>
      <w:r w:rsidR="00E74D86" w:rsidRPr="00E74D86">
        <w:rPr>
          <w:rFonts w:cs="Arial"/>
          <w:rtl/>
        </w:rPr>
        <w:t xml:space="preserve"> נראה שהוא תופס עיקר כשינוייא קמא דלא מפליג בין בחור לנשוי</w:t>
      </w:r>
      <w:r w:rsidR="00E74D86" w:rsidRPr="00E74D86">
        <w:rPr>
          <w:rFonts w:cs="Arial" w:hint="cs"/>
          <w:rtl/>
        </w:rPr>
        <w:t>.</w:t>
      </w:r>
      <w:r w:rsidR="00E74D86" w:rsidRPr="00E74D86">
        <w:rPr>
          <w:rFonts w:cs="Arial"/>
          <w:rtl/>
        </w:rPr>
        <w:t xml:space="preserve"> אי נמי כשינוייא בתרא אלא שהוא מפרש כפירוש שני דבחור נמי מהימן אלא דמסבינן ליה כופרי</w:t>
      </w:r>
      <w:r>
        <w:rPr>
          <w:rFonts w:cs="Arial" w:hint="cs"/>
          <w:rtl/>
        </w:rPr>
        <w:t>.</w:t>
      </w:r>
    </w:p>
    <w:p w14:paraId="0E01EB50" w14:textId="093F5DFE" w:rsidR="0073628B" w:rsidRPr="0073628B" w:rsidRDefault="00865257" w:rsidP="00865257">
      <w:r w:rsidRPr="00EA1E02">
        <w:rPr>
          <w:rFonts w:cs="Arial" w:hint="cs"/>
          <w:b/>
          <w:bCs/>
          <w:rtl/>
        </w:rPr>
        <w:t xml:space="preserve">כתובות </w:t>
      </w:r>
      <w:r w:rsidRPr="00EA1E02">
        <w:rPr>
          <w:rFonts w:cs="Arial" w:hint="cs"/>
          <w:b/>
          <w:bCs/>
          <w:sz w:val="16"/>
          <w:szCs w:val="16"/>
          <w:rtl/>
        </w:rPr>
        <w:t>(פ' אלו נערות)</w:t>
      </w:r>
      <w:r w:rsidRPr="00EA1E02">
        <w:rPr>
          <w:rFonts w:cs="Arial" w:hint="cs"/>
          <w:b/>
          <w:bCs/>
          <w:rtl/>
        </w:rPr>
        <w:t xml:space="preserve"> לו ע"א:</w:t>
      </w:r>
      <w:r w:rsidR="006C0AD2" w:rsidRPr="006C0AD2">
        <w:rPr>
          <w:rtl/>
        </w:rPr>
        <w:t xml:space="preserve"> </w:t>
      </w:r>
      <w:r w:rsidR="000D6B36">
        <w:rPr>
          <w:rFonts w:hint="cs"/>
          <w:rtl/>
        </w:rPr>
        <w:t xml:space="preserve">ורמינהי:... </w:t>
      </w:r>
      <w:r w:rsidR="006C0AD2" w:rsidRPr="006C0AD2">
        <w:rPr>
          <w:rFonts w:cs="Arial"/>
          <w:rtl/>
        </w:rPr>
        <w:t>החרשת, והשוטה, והבוגרת, ומוכת עץ - אין להן טענת בתולים</w:t>
      </w:r>
      <w:r w:rsidR="006C0AD2">
        <w:rPr>
          <w:rFonts w:cs="Arial" w:hint="cs"/>
          <w:rtl/>
        </w:rPr>
        <w:t>.</w:t>
      </w:r>
      <w:r w:rsidR="00DA4087" w:rsidRPr="00865257">
        <w:rPr>
          <w:rFonts w:cs="Arial"/>
          <w:rtl/>
        </w:rPr>
        <w:t xml:space="preserve"> </w:t>
      </w:r>
    </w:p>
    <w:p w14:paraId="60774936" w14:textId="5603A892" w:rsidR="00B42497" w:rsidRPr="00865257" w:rsidRDefault="00865257" w:rsidP="00B42497">
      <w:pPr>
        <w:rPr>
          <w:u w:val="single"/>
        </w:rPr>
      </w:pPr>
      <w:r w:rsidRPr="00865257">
        <w:rPr>
          <w:rFonts w:hint="cs"/>
          <w:u w:val="single"/>
          <w:rtl/>
        </w:rPr>
        <w:t>טענת בתולים אצל חרשת/שוטה:</w:t>
      </w:r>
    </w:p>
    <w:p w14:paraId="1708DD63" w14:textId="49AF5210" w:rsidR="00E018B6" w:rsidRDefault="0073628B" w:rsidP="009000E3">
      <w:pPr>
        <w:pStyle w:val="ab"/>
        <w:numPr>
          <w:ilvl w:val="0"/>
          <w:numId w:val="78"/>
        </w:numPr>
      </w:pPr>
      <w:r>
        <w:rPr>
          <w:rFonts w:cs="Arial" w:hint="cs"/>
          <w:rtl/>
        </w:rPr>
        <w:lastRenderedPageBreak/>
        <w:t xml:space="preserve">טור- </w:t>
      </w:r>
      <w:r w:rsidR="00DA4087" w:rsidRPr="00AC459A">
        <w:rPr>
          <w:rFonts w:cs="Arial"/>
          <w:rtl/>
        </w:rPr>
        <w:t>חרשת ושוטה ומוכת עץ אין להן טענת בתולים כלל</w:t>
      </w:r>
      <w:r w:rsidR="00DA4087" w:rsidRPr="00AC459A">
        <w:rPr>
          <w:rFonts w:cs="Arial" w:hint="cs"/>
          <w:rtl/>
        </w:rPr>
        <w:t>.</w:t>
      </w:r>
      <w:r w:rsidR="00DA4087" w:rsidRPr="00AC459A">
        <w:rPr>
          <w:rFonts w:cs="Arial"/>
          <w:rtl/>
        </w:rPr>
        <w:t xml:space="preserve"> </w:t>
      </w:r>
    </w:p>
    <w:p w14:paraId="3512B315" w14:textId="77777777" w:rsidR="005B7F07" w:rsidRPr="00351B7D" w:rsidRDefault="005B7F07" w:rsidP="005B7F0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64CE28E" w14:textId="119B11F9" w:rsidR="00D348C0" w:rsidRDefault="00973C57" w:rsidP="00973C57">
      <w:pPr>
        <w:rPr>
          <w:rFonts w:cs="Arial"/>
          <w:rtl/>
        </w:rPr>
      </w:pPr>
      <w:r>
        <w:rPr>
          <w:rFonts w:cs="Arial"/>
          <w:rtl/>
        </w:rPr>
        <w:t xml:space="preserve">טען טענת פתח פתוח, אומרים לו: </w:t>
      </w:r>
      <w:r w:rsidRPr="009F5787">
        <w:rPr>
          <w:rFonts w:cs="Arial"/>
          <w:sz w:val="18"/>
          <w:szCs w:val="18"/>
          <w:rtl/>
        </w:rPr>
        <w:t xml:space="preserve">(שמא) </w:t>
      </w:r>
      <w:r>
        <w:rPr>
          <w:rFonts w:cs="Arial"/>
          <w:rtl/>
        </w:rPr>
        <w:t>הטית או לא בעלת בנחת ולפיכך לא הרגשת בדוחק. אם אמר: לא כי, אלא פתח פתוח מצאתי, הרי זו טענה אם לא בגרה עדיין. וי</w:t>
      </w:r>
      <w:r w:rsidR="00741212">
        <w:rPr>
          <w:rFonts w:cs="Arial" w:hint="cs"/>
          <w:rtl/>
        </w:rPr>
        <w:t>ש אומרים</w:t>
      </w:r>
      <w:r>
        <w:rPr>
          <w:rFonts w:cs="Arial"/>
          <w:rtl/>
        </w:rPr>
        <w:t xml:space="preserve"> שאפילו לא בגרה אינו יכול לטעון טענת פתח פתוח אם מצא דם. </w:t>
      </w:r>
      <w:r w:rsidR="00BF55D2" w:rsidRPr="00BF55D2">
        <w:rPr>
          <w:rFonts w:cs="Arial" w:hint="cs"/>
          <w:sz w:val="18"/>
          <w:szCs w:val="18"/>
          <w:rtl/>
        </w:rPr>
        <w:t xml:space="preserve">[הגה] </w:t>
      </w:r>
      <w:r w:rsidRPr="00BF55D2">
        <w:rPr>
          <w:rFonts w:cs="Arial"/>
          <w:sz w:val="18"/>
          <w:szCs w:val="18"/>
          <w:rtl/>
        </w:rPr>
        <w:t>י"א דטענת פתח פתוח לא יוכל לטעון רק נשוי, אבל בחור לא, ואדרבה מלקין אותו כשטוען כך, דמאחר שלא היה נשוי מתחלה אינו בקי בכך (</w:t>
      </w:r>
      <w:r w:rsidR="0054724A">
        <w:rPr>
          <w:rFonts w:cs="Arial" w:hint="cs"/>
          <w:sz w:val="18"/>
          <w:szCs w:val="18"/>
          <w:rtl/>
        </w:rPr>
        <w:t>רי"ף רא"ש ו</w:t>
      </w:r>
      <w:r w:rsidRPr="00BF55D2">
        <w:rPr>
          <w:rFonts w:cs="Arial"/>
          <w:sz w:val="18"/>
          <w:szCs w:val="18"/>
          <w:rtl/>
        </w:rPr>
        <w:t>טור).</w:t>
      </w:r>
    </w:p>
    <w:p w14:paraId="639D9139" w14:textId="16B04F66" w:rsidR="00973C57" w:rsidRDefault="00973C57" w:rsidP="00973C57">
      <w:pPr>
        <w:rPr>
          <w:rtl/>
        </w:rPr>
      </w:pPr>
      <w:r>
        <w:rPr>
          <w:rFonts w:cs="Arial"/>
          <w:rtl/>
        </w:rPr>
        <w:t xml:space="preserve"> </w:t>
      </w:r>
    </w:p>
    <w:p w14:paraId="2ED91897" w14:textId="07EC6FF5" w:rsidR="00973C57" w:rsidRDefault="00973C57" w:rsidP="000F64D0">
      <w:pPr>
        <w:pStyle w:val="2"/>
        <w:rPr>
          <w:rtl/>
        </w:rPr>
      </w:pPr>
      <w:r>
        <w:rPr>
          <w:rtl/>
        </w:rPr>
        <w:t>סעיף ז</w:t>
      </w:r>
      <w:r w:rsidR="00466467">
        <w:rPr>
          <w:rFonts w:hint="cs"/>
          <w:rtl/>
        </w:rPr>
        <w:t>:</w:t>
      </w:r>
      <w:r w:rsidR="00D17836">
        <w:rPr>
          <w:rFonts w:hint="cs"/>
          <w:rtl/>
        </w:rPr>
        <w:t xml:space="preserve"> </w:t>
      </w:r>
      <w:r w:rsidR="00825994">
        <w:rPr>
          <w:rFonts w:hint="cs"/>
          <w:rtl/>
        </w:rPr>
        <w:t>אשתו נאסרת עליו אחרי טענת בתולים.</w:t>
      </w:r>
    </w:p>
    <w:p w14:paraId="712A9D7E" w14:textId="7A087FEF" w:rsidR="00171142" w:rsidRDefault="00171142" w:rsidP="00171142">
      <w:pPr>
        <w:rPr>
          <w:rFonts w:cs="Arial"/>
          <w:rtl/>
        </w:rPr>
      </w:pPr>
      <w:r w:rsidRPr="00EA1E02">
        <w:rPr>
          <w:rFonts w:cs="Arial" w:hint="cs"/>
          <w:b/>
          <w:bCs/>
          <w:rtl/>
        </w:rPr>
        <w:t xml:space="preserve">כתובות </w:t>
      </w:r>
      <w:r w:rsidRPr="00EA1E02">
        <w:rPr>
          <w:rFonts w:cs="Arial" w:hint="cs"/>
          <w:b/>
          <w:bCs/>
          <w:sz w:val="16"/>
          <w:szCs w:val="16"/>
          <w:rtl/>
        </w:rPr>
        <w:t>(</w:t>
      </w:r>
      <w:r>
        <w:rPr>
          <w:rFonts w:cs="Arial" w:hint="cs"/>
          <w:b/>
          <w:bCs/>
          <w:sz w:val="16"/>
          <w:szCs w:val="16"/>
          <w:rtl/>
        </w:rPr>
        <w:t>פ"ק</w:t>
      </w:r>
      <w:r w:rsidRPr="00EA1E02">
        <w:rPr>
          <w:rFonts w:cs="Arial" w:hint="cs"/>
          <w:b/>
          <w:bCs/>
          <w:sz w:val="16"/>
          <w:szCs w:val="16"/>
          <w:rtl/>
        </w:rPr>
        <w:t>)</w:t>
      </w:r>
      <w:r w:rsidRPr="00EA1E02">
        <w:rPr>
          <w:rFonts w:cs="Arial" w:hint="cs"/>
          <w:b/>
          <w:bCs/>
          <w:rtl/>
        </w:rPr>
        <w:t xml:space="preserve"> </w:t>
      </w:r>
      <w:r>
        <w:rPr>
          <w:rFonts w:cs="Arial" w:hint="cs"/>
          <w:b/>
          <w:bCs/>
          <w:rtl/>
        </w:rPr>
        <w:t>ח</w:t>
      </w:r>
      <w:r w:rsidRPr="00EA1E02">
        <w:rPr>
          <w:rFonts w:cs="Arial" w:hint="cs"/>
          <w:b/>
          <w:bCs/>
          <w:rtl/>
        </w:rPr>
        <w:t xml:space="preserve"> ע"</w:t>
      </w:r>
      <w:r>
        <w:rPr>
          <w:rFonts w:cs="Arial" w:hint="cs"/>
          <w:b/>
          <w:bCs/>
          <w:rtl/>
        </w:rPr>
        <w:t>ב</w:t>
      </w:r>
      <w:r w:rsidRPr="00EA1E02">
        <w:rPr>
          <w:rFonts w:cs="Arial" w:hint="cs"/>
          <w:b/>
          <w:bCs/>
          <w:rtl/>
        </w:rPr>
        <w:t>:</w:t>
      </w:r>
      <w:r>
        <w:rPr>
          <w:rFonts w:cs="Arial" w:hint="cs"/>
          <w:rtl/>
        </w:rPr>
        <w:t xml:space="preserve"> </w:t>
      </w:r>
      <w:r w:rsidRPr="000C0D8E">
        <w:rPr>
          <w:rFonts w:cs="Arial"/>
          <w:u w:val="single"/>
          <w:rtl/>
        </w:rPr>
        <w:t>אמר רבי אלעזר</w:t>
      </w:r>
      <w:r w:rsidRPr="00CA59BF">
        <w:rPr>
          <w:rFonts w:cs="Arial"/>
          <w:rtl/>
        </w:rPr>
        <w:t>:</w:t>
      </w:r>
      <w:r>
        <w:rPr>
          <w:rFonts w:cs="Arial" w:hint="cs"/>
          <w:sz w:val="14"/>
          <w:szCs w:val="14"/>
          <w:rtl/>
        </w:rPr>
        <w:t xml:space="preserve"> (ט.) </w:t>
      </w:r>
      <w:r w:rsidRPr="000C0D8E">
        <w:rPr>
          <w:rFonts w:cs="Arial"/>
          <w:rtl/>
        </w:rPr>
        <w:t>האומר פתח פתוח מצאתי</w:t>
      </w:r>
      <w:r>
        <w:rPr>
          <w:rStyle w:val="a7"/>
          <w:rFonts w:cs="Arial"/>
          <w:rtl/>
        </w:rPr>
        <w:footnoteReference w:id="195"/>
      </w:r>
      <w:r w:rsidRPr="000C0D8E">
        <w:rPr>
          <w:rFonts w:cs="Arial"/>
          <w:rtl/>
        </w:rPr>
        <w:t xml:space="preserve"> - נאמן לאוסרה עליו</w:t>
      </w:r>
      <w:r>
        <w:rPr>
          <w:rStyle w:val="a7"/>
          <w:rFonts w:cs="Arial"/>
          <w:rtl/>
        </w:rPr>
        <w:footnoteReference w:id="196"/>
      </w:r>
      <w:r w:rsidRPr="000C0D8E">
        <w:rPr>
          <w:rFonts w:cs="Arial"/>
          <w:rtl/>
        </w:rPr>
        <w:t>. ואמאי</w:t>
      </w:r>
      <w:r>
        <w:rPr>
          <w:rStyle w:val="a7"/>
          <w:rFonts w:cs="Arial"/>
          <w:rtl/>
        </w:rPr>
        <w:footnoteReference w:id="197"/>
      </w:r>
      <w:r w:rsidRPr="000C0D8E">
        <w:rPr>
          <w:rFonts w:cs="Arial"/>
          <w:rtl/>
        </w:rPr>
        <w:t>? ספק ספיקא הוא, ספק תחתיו</w:t>
      </w:r>
      <w:r>
        <w:rPr>
          <w:rStyle w:val="a7"/>
          <w:rFonts w:cs="Arial"/>
          <w:rtl/>
        </w:rPr>
        <w:footnoteReference w:id="198"/>
      </w:r>
      <w:r w:rsidRPr="000C0D8E">
        <w:rPr>
          <w:rFonts w:cs="Arial"/>
          <w:rtl/>
        </w:rPr>
        <w:t xml:space="preserve"> ספק אין תחתיו</w:t>
      </w:r>
      <w:r>
        <w:rPr>
          <w:rStyle w:val="a7"/>
          <w:rFonts w:cs="Arial"/>
          <w:rtl/>
        </w:rPr>
        <w:footnoteReference w:id="199"/>
      </w:r>
      <w:r w:rsidRPr="000C0D8E">
        <w:rPr>
          <w:rFonts w:cs="Arial"/>
          <w:rtl/>
        </w:rPr>
        <w:t>, ואם תמצא לומר תחתיו, ספק באונס</w:t>
      </w:r>
      <w:r>
        <w:rPr>
          <w:rStyle w:val="a7"/>
          <w:rFonts w:cs="Arial"/>
          <w:rtl/>
        </w:rPr>
        <w:footnoteReference w:id="200"/>
      </w:r>
      <w:r w:rsidRPr="000C0D8E">
        <w:rPr>
          <w:rFonts w:cs="Arial"/>
          <w:rtl/>
        </w:rPr>
        <w:t xml:space="preserve"> ספק ברצון! לא צריכא, באשת כהן</w:t>
      </w:r>
      <w:r>
        <w:rPr>
          <w:rStyle w:val="a7"/>
          <w:rFonts w:cs="Arial"/>
          <w:rtl/>
        </w:rPr>
        <w:footnoteReference w:id="201"/>
      </w:r>
      <w:r w:rsidRPr="000C0D8E">
        <w:rPr>
          <w:rFonts w:cs="Arial"/>
          <w:rtl/>
        </w:rPr>
        <w:t>. ואיבעית אימא: באשת ישראל, וכגון דקביל בה אבוה קידושין פחותה מבת ג' שנים</w:t>
      </w:r>
      <w:r>
        <w:rPr>
          <w:rStyle w:val="a7"/>
          <w:rFonts w:cs="Arial"/>
          <w:rtl/>
        </w:rPr>
        <w:footnoteReference w:id="202"/>
      </w:r>
      <w:r w:rsidRPr="000C0D8E">
        <w:rPr>
          <w:rFonts w:cs="Arial"/>
          <w:rtl/>
        </w:rPr>
        <w:t xml:space="preserve"> ויום אחד. </w:t>
      </w:r>
      <w:r w:rsidRPr="006E6941">
        <w:rPr>
          <w:rFonts w:cs="Arial" w:hint="cs"/>
          <w:sz w:val="16"/>
          <w:szCs w:val="16"/>
          <w:rtl/>
        </w:rPr>
        <w:t>(</w:t>
      </w:r>
      <w:r w:rsidRPr="006E6941">
        <w:rPr>
          <w:rFonts w:cs="Arial"/>
          <w:sz w:val="16"/>
          <w:szCs w:val="16"/>
          <w:rtl/>
        </w:rPr>
        <w:t>וכתב הרי"ף (ג.) גבי אשת כהן דליכא אלא חד ספיקא</w:t>
      </w:r>
      <w:r w:rsidRPr="006E6941">
        <w:rPr>
          <w:rFonts w:cs="Arial" w:hint="cs"/>
          <w:sz w:val="16"/>
          <w:szCs w:val="16"/>
          <w:rtl/>
        </w:rPr>
        <w:t>,</w:t>
      </w:r>
      <w:r w:rsidRPr="006E6941">
        <w:rPr>
          <w:rFonts w:cs="Arial"/>
          <w:sz w:val="16"/>
          <w:szCs w:val="16"/>
          <w:rtl/>
        </w:rPr>
        <w:t xml:space="preserve"> ספק תחתיו ספק אין תחתיו</w:t>
      </w:r>
      <w:r w:rsidRPr="006E6941">
        <w:rPr>
          <w:rFonts w:cs="Arial" w:hint="cs"/>
          <w:sz w:val="16"/>
          <w:szCs w:val="16"/>
          <w:rtl/>
        </w:rPr>
        <w:t>,</w:t>
      </w:r>
      <w:r w:rsidRPr="006E6941">
        <w:rPr>
          <w:rFonts w:cs="Arial"/>
          <w:sz w:val="16"/>
          <w:szCs w:val="16"/>
          <w:rtl/>
        </w:rPr>
        <w:t xml:space="preserve"> ולא מצית אמרת אם תמצא לומר תחתיו ספק מוכת עץ ספק דרוסת איש</w:t>
      </w:r>
      <w:r w:rsidRPr="006E6941">
        <w:rPr>
          <w:rFonts w:cs="Arial" w:hint="cs"/>
          <w:sz w:val="16"/>
          <w:szCs w:val="16"/>
          <w:rtl/>
        </w:rPr>
        <w:t>,</w:t>
      </w:r>
      <w:r w:rsidRPr="006E6941">
        <w:rPr>
          <w:rFonts w:cs="Arial"/>
          <w:sz w:val="16"/>
          <w:szCs w:val="16"/>
          <w:rtl/>
        </w:rPr>
        <w:t xml:space="preserve"> דמוכת עץ פתחה סתום. וכתב הר"ן (שם ד"ה והני) דאין זה מעיקר נוסחת ההלכות ולא נהיר</w:t>
      </w:r>
      <w:r w:rsidRPr="006E6941">
        <w:rPr>
          <w:rFonts w:cs="Arial" w:hint="cs"/>
          <w:sz w:val="16"/>
          <w:szCs w:val="16"/>
          <w:rtl/>
        </w:rPr>
        <w:t>,</w:t>
      </w:r>
      <w:r w:rsidRPr="006E6941">
        <w:rPr>
          <w:rFonts w:cs="Arial"/>
          <w:sz w:val="16"/>
          <w:szCs w:val="16"/>
          <w:rtl/>
        </w:rPr>
        <w:t xml:space="preserve"> דבגמרא (ט:) אמרינן אף אנן נמי תנינא וכו'</w:t>
      </w:r>
      <w:r w:rsidRPr="006E6941">
        <w:rPr>
          <w:rFonts w:cs="Arial" w:hint="cs"/>
          <w:sz w:val="16"/>
          <w:szCs w:val="16"/>
          <w:rtl/>
        </w:rPr>
        <w:t>,</w:t>
      </w:r>
      <w:r w:rsidRPr="006E6941">
        <w:rPr>
          <w:rFonts w:cs="Arial"/>
          <w:sz w:val="16"/>
          <w:szCs w:val="16"/>
          <w:rtl/>
        </w:rPr>
        <w:t xml:space="preserve"> ועוד דבירושלמי (שם פ"א סוף ה"ז) אמרינן שהפתח פתוח בין בעץ בין באדם</w:t>
      </w:r>
      <w:r w:rsidRPr="006E6941">
        <w:rPr>
          <w:rFonts w:cs="Arial" w:hint="cs"/>
          <w:sz w:val="16"/>
          <w:szCs w:val="16"/>
          <w:rtl/>
        </w:rPr>
        <w:t>.</w:t>
      </w:r>
      <w:r w:rsidRPr="006E6941">
        <w:rPr>
          <w:rFonts w:cs="Arial"/>
          <w:sz w:val="16"/>
          <w:szCs w:val="16"/>
          <w:rtl/>
        </w:rPr>
        <w:t xml:space="preserve"> אלא יש לומר דמוכת עץ מילתא דלא שכיחא ולא חיישינן לה</w:t>
      </w:r>
      <w:r w:rsidRPr="006E6941">
        <w:rPr>
          <w:rFonts w:cs="Arial" w:hint="cs"/>
          <w:sz w:val="16"/>
          <w:szCs w:val="16"/>
          <w:rtl/>
        </w:rPr>
        <w:t>,</w:t>
      </w:r>
      <w:r w:rsidRPr="006E6941">
        <w:rPr>
          <w:rFonts w:cs="Arial"/>
          <w:sz w:val="16"/>
          <w:szCs w:val="16"/>
          <w:rtl/>
        </w:rPr>
        <w:t xml:space="preserve"> והכי איתא בירושלמי (פ"ב סוף ה"א). וכן כתב הה</w:t>
      </w:r>
      <w:r>
        <w:rPr>
          <w:rFonts w:cs="Arial" w:hint="cs"/>
          <w:sz w:val="16"/>
          <w:szCs w:val="16"/>
          <w:rtl/>
        </w:rPr>
        <w:t>"</w:t>
      </w:r>
      <w:r w:rsidRPr="006E6941">
        <w:rPr>
          <w:rFonts w:cs="Arial"/>
          <w:sz w:val="16"/>
          <w:szCs w:val="16"/>
          <w:rtl/>
        </w:rPr>
        <w:t>מ בפי"ח מהל</w:t>
      </w:r>
      <w:r>
        <w:rPr>
          <w:rFonts w:cs="Arial" w:hint="cs"/>
          <w:sz w:val="16"/>
          <w:szCs w:val="16"/>
          <w:rtl/>
        </w:rPr>
        <w:t>'</w:t>
      </w:r>
      <w:r w:rsidRPr="006E6941">
        <w:rPr>
          <w:rFonts w:cs="Arial"/>
          <w:sz w:val="16"/>
          <w:szCs w:val="16"/>
          <w:rtl/>
        </w:rPr>
        <w:t xml:space="preserve"> אי</w:t>
      </w:r>
      <w:r>
        <w:rPr>
          <w:rFonts w:cs="Arial" w:hint="cs"/>
          <w:sz w:val="16"/>
          <w:szCs w:val="16"/>
          <w:rtl/>
        </w:rPr>
        <w:t>"</w:t>
      </w:r>
      <w:r w:rsidRPr="006E6941">
        <w:rPr>
          <w:rFonts w:cs="Arial"/>
          <w:sz w:val="16"/>
          <w:szCs w:val="16"/>
          <w:rtl/>
        </w:rPr>
        <w:t>ב (ה"י) בשם המפרשים</w:t>
      </w:r>
      <w:r>
        <w:rPr>
          <w:rFonts w:cs="Arial" w:hint="cs"/>
          <w:sz w:val="16"/>
          <w:szCs w:val="16"/>
          <w:rtl/>
        </w:rPr>
        <w:t>, ב"י)</w:t>
      </w:r>
    </w:p>
    <w:p w14:paraId="0C1B5C07" w14:textId="33CBFB92" w:rsidR="00760F11" w:rsidRPr="00D17836" w:rsidRDefault="00D17836" w:rsidP="00760F11">
      <w:pPr>
        <w:rPr>
          <w:u w:val="single"/>
          <w:rtl/>
        </w:rPr>
      </w:pPr>
      <w:r w:rsidRPr="00D17836">
        <w:rPr>
          <w:rFonts w:hint="cs"/>
          <w:u w:val="single"/>
          <w:rtl/>
        </w:rPr>
        <w:t>הטוען טענת בתולים - האם אשתו נאסרת עליו:</w:t>
      </w:r>
    </w:p>
    <w:p w14:paraId="48C485E2" w14:textId="2CEF4F30" w:rsidR="00261D58" w:rsidRDefault="008748ED" w:rsidP="009000E3">
      <w:pPr>
        <w:pStyle w:val="ab"/>
        <w:numPr>
          <w:ilvl w:val="0"/>
          <w:numId w:val="78"/>
        </w:numPr>
      </w:pPr>
      <w:r>
        <w:rPr>
          <w:rFonts w:cs="Arial" w:hint="cs"/>
          <w:rtl/>
        </w:rPr>
        <w:t xml:space="preserve">רמב"ם </w:t>
      </w:r>
      <w:r>
        <w:rPr>
          <w:rFonts w:cs="Arial" w:hint="cs"/>
          <w:sz w:val="16"/>
          <w:szCs w:val="16"/>
          <w:rtl/>
        </w:rPr>
        <w:t>(פי"ח אי"ב ה"י)</w:t>
      </w:r>
      <w:r>
        <w:rPr>
          <w:rFonts w:cs="Arial" w:hint="cs"/>
          <w:rtl/>
        </w:rPr>
        <w:t xml:space="preserve"> ו</w:t>
      </w:r>
      <w:r w:rsidR="00DA4087">
        <w:rPr>
          <w:rFonts w:cs="Arial" w:hint="cs"/>
          <w:rtl/>
        </w:rPr>
        <w:t xml:space="preserve">טור- </w:t>
      </w:r>
      <w:r w:rsidR="00DA4087" w:rsidRPr="00E02C7F">
        <w:rPr>
          <w:rFonts w:cs="Arial"/>
          <w:rtl/>
        </w:rPr>
        <w:t>וכשטוען טענת בתולים</w:t>
      </w:r>
      <w:r w:rsidR="00246C56">
        <w:rPr>
          <w:rFonts w:cs="Arial" w:hint="cs"/>
          <w:rtl/>
        </w:rPr>
        <w:t>,</w:t>
      </w:r>
      <w:r w:rsidR="00DA4087" w:rsidRPr="00E02C7F">
        <w:rPr>
          <w:rFonts w:cs="Arial"/>
          <w:rtl/>
        </w:rPr>
        <w:t xml:space="preserve"> אם הוא כהן שאשתו אסורה עליו אפילו באונס</w:t>
      </w:r>
      <w:r w:rsidR="00246C56">
        <w:rPr>
          <w:rFonts w:cs="Arial" w:hint="cs"/>
          <w:rtl/>
        </w:rPr>
        <w:t>,</w:t>
      </w:r>
      <w:r w:rsidR="00DA4087" w:rsidRPr="00E02C7F">
        <w:rPr>
          <w:rFonts w:cs="Arial"/>
          <w:rtl/>
        </w:rPr>
        <w:t xml:space="preserve"> או אם הוא ישראל וקבל בה אביה קידושין פחות מג' שנים ויום אחד שודאי היה תחתיו </w:t>
      </w:r>
      <w:r w:rsidR="00246C56">
        <w:rPr>
          <w:rFonts w:cs="Arial" w:hint="cs"/>
          <w:rtl/>
        </w:rPr>
        <w:t xml:space="preserve">- </w:t>
      </w:r>
      <w:r w:rsidR="00DA4087" w:rsidRPr="00E02C7F">
        <w:rPr>
          <w:rFonts w:cs="Arial"/>
          <w:rtl/>
        </w:rPr>
        <w:t>אסורה עליו</w:t>
      </w:r>
      <w:r w:rsidR="007F446C">
        <w:rPr>
          <w:rStyle w:val="a7"/>
          <w:rFonts w:cs="Arial"/>
          <w:rtl/>
        </w:rPr>
        <w:footnoteReference w:id="203"/>
      </w:r>
      <w:r w:rsidR="00246C56">
        <w:rPr>
          <w:rFonts w:cs="Arial" w:hint="cs"/>
          <w:rtl/>
        </w:rPr>
        <w:t>,</w:t>
      </w:r>
      <w:r w:rsidR="00DA4087" w:rsidRPr="00E02C7F">
        <w:rPr>
          <w:rFonts w:cs="Arial"/>
          <w:rtl/>
        </w:rPr>
        <w:t xml:space="preserve"> שאין כאן אלא חדא ספיקא שמא באונס היה או ברצון</w:t>
      </w:r>
      <w:r w:rsidR="00246C56">
        <w:rPr>
          <w:rFonts w:cs="Arial" w:hint="cs"/>
          <w:rtl/>
        </w:rPr>
        <w:t>,</w:t>
      </w:r>
      <w:r w:rsidR="00DA4087" w:rsidRPr="00E02C7F">
        <w:rPr>
          <w:rFonts w:cs="Arial"/>
          <w:rtl/>
        </w:rPr>
        <w:t xml:space="preserve"> ובחדא ספיקא הולכין להחמיר כשל תורה</w:t>
      </w:r>
      <w:r w:rsidR="0000138F">
        <w:rPr>
          <w:rFonts w:cs="Arial" w:hint="cs"/>
          <w:rtl/>
        </w:rPr>
        <w:t>.</w:t>
      </w:r>
      <w:r w:rsidR="00DA4087" w:rsidRPr="00E02C7F">
        <w:rPr>
          <w:rFonts w:cs="Arial"/>
          <w:rtl/>
        </w:rPr>
        <w:t xml:space="preserve"> ואפי' נתיחדה עמו תחלה אסורה לו</w:t>
      </w:r>
      <w:r w:rsidR="0000138F">
        <w:rPr>
          <w:rFonts w:cs="Arial" w:hint="cs"/>
          <w:rtl/>
        </w:rPr>
        <w:t>,</w:t>
      </w:r>
      <w:r w:rsidR="00DA4087" w:rsidRPr="00E02C7F">
        <w:rPr>
          <w:rFonts w:cs="Arial"/>
          <w:rtl/>
        </w:rPr>
        <w:t xml:space="preserve"> כיון שאומר שברי לו שלא בא עליה הרי שויתה לנפשיה חתיכה דאיסורא</w:t>
      </w:r>
      <w:r w:rsidR="009955CA">
        <w:rPr>
          <w:rFonts w:cs="Arial" w:hint="cs"/>
          <w:rtl/>
        </w:rPr>
        <w:t>.</w:t>
      </w:r>
      <w:r w:rsidR="00DA4087" w:rsidRPr="00E02C7F">
        <w:rPr>
          <w:rFonts w:cs="Arial"/>
          <w:rtl/>
        </w:rPr>
        <w:t xml:space="preserve"> אבל בישראל וקבל בה אביה קידושין יתירה מבת ג' שנים ומעלה </w:t>
      </w:r>
      <w:r w:rsidR="009955CA">
        <w:rPr>
          <w:rFonts w:cs="Arial" w:hint="cs"/>
          <w:rtl/>
        </w:rPr>
        <w:t xml:space="preserve">- </w:t>
      </w:r>
      <w:r w:rsidR="00DA4087" w:rsidRPr="00E02C7F">
        <w:rPr>
          <w:rFonts w:cs="Arial"/>
          <w:rtl/>
        </w:rPr>
        <w:t>אינה אסורה עליו</w:t>
      </w:r>
      <w:r w:rsidR="009955CA">
        <w:rPr>
          <w:rFonts w:cs="Arial" w:hint="cs"/>
          <w:rtl/>
        </w:rPr>
        <w:t>,</w:t>
      </w:r>
      <w:r w:rsidR="00DA4087" w:rsidRPr="00E02C7F">
        <w:rPr>
          <w:rFonts w:cs="Arial"/>
          <w:rtl/>
        </w:rPr>
        <w:t xml:space="preserve"> דהוי ליה ספק ספיקא שמא לא היתה תחתיו ושמא אנוסה היתה</w:t>
      </w:r>
      <w:r w:rsidR="009955CA">
        <w:rPr>
          <w:rFonts w:cs="Arial" w:hint="cs"/>
          <w:rtl/>
        </w:rPr>
        <w:t>.</w:t>
      </w:r>
      <w:r w:rsidR="00DA4087" w:rsidRPr="00E02C7F">
        <w:rPr>
          <w:rFonts w:cs="Arial"/>
          <w:rtl/>
        </w:rPr>
        <w:t xml:space="preserve"> </w:t>
      </w:r>
      <w:r w:rsidR="00AC55EA" w:rsidRPr="00351B7D">
        <w:rPr>
          <w:rFonts w:asciiTheme="minorBidi" w:hAnsiTheme="minorBidi"/>
          <w:color w:val="E36C0A" w:themeColor="accent6" w:themeShade="BF"/>
          <w:rtl/>
        </w:rPr>
        <w:t>(וכ"פ בשו"ע</w:t>
      </w:r>
      <w:r w:rsidR="00AC55EA">
        <w:rPr>
          <w:rFonts w:asciiTheme="minorBidi" w:hAnsiTheme="minorBidi" w:hint="cs"/>
          <w:color w:val="E36C0A" w:themeColor="accent6" w:themeShade="BF"/>
          <w:rtl/>
        </w:rPr>
        <w:t>)</w:t>
      </w:r>
    </w:p>
    <w:p w14:paraId="36FE86DB" w14:textId="6A7E636F" w:rsidR="00AA272D" w:rsidRPr="00CE005F" w:rsidRDefault="00CE005F" w:rsidP="00AA272D">
      <w:pPr>
        <w:ind w:left="360"/>
        <w:rPr>
          <w:u w:val="dotted"/>
        </w:rPr>
      </w:pPr>
      <w:r w:rsidRPr="00CE005F">
        <w:rPr>
          <w:rFonts w:hint="cs"/>
          <w:u w:val="dotted"/>
          <w:rtl/>
        </w:rPr>
        <w:t>האם טענת פתח פתוח אוסרת אותה עליו גם כאשר מצא דם:</w:t>
      </w:r>
      <w:r w:rsidR="00AA272D" w:rsidRPr="00CE005F">
        <w:rPr>
          <w:rFonts w:hint="cs"/>
          <w:u w:val="dotted"/>
          <w:rtl/>
        </w:rPr>
        <w:t xml:space="preserve"> </w:t>
      </w:r>
    </w:p>
    <w:p w14:paraId="5A1AFBA3" w14:textId="77777777" w:rsidR="00940CE3" w:rsidRPr="0073628B" w:rsidRDefault="00940CE3" w:rsidP="009000E3">
      <w:pPr>
        <w:pStyle w:val="ab"/>
        <w:numPr>
          <w:ilvl w:val="0"/>
          <w:numId w:val="78"/>
        </w:numPr>
      </w:pPr>
      <w:r>
        <w:rPr>
          <w:rFonts w:cs="Arial" w:hint="cs"/>
          <w:rtl/>
        </w:rPr>
        <w:t xml:space="preserve">רמב"ם </w:t>
      </w:r>
      <w:r>
        <w:rPr>
          <w:rFonts w:cs="Arial" w:hint="cs"/>
          <w:sz w:val="16"/>
          <w:szCs w:val="16"/>
          <w:rtl/>
        </w:rPr>
        <w:t>(פי"א מהל' אישות הי"ב)</w:t>
      </w:r>
      <w:r>
        <w:rPr>
          <w:rFonts w:cs="Arial" w:hint="cs"/>
          <w:rtl/>
        </w:rPr>
        <w:t xml:space="preserve"> וטור- </w:t>
      </w:r>
      <w:r w:rsidRPr="00AC459A">
        <w:rPr>
          <w:rFonts w:cs="Arial"/>
          <w:rtl/>
        </w:rPr>
        <w:t>כל נערה פתחה סתום אע</w:t>
      </w:r>
      <w:r>
        <w:rPr>
          <w:rFonts w:cs="Arial" w:hint="cs"/>
          <w:rtl/>
        </w:rPr>
        <w:t>"</w:t>
      </w:r>
      <w:r w:rsidRPr="00AC459A">
        <w:rPr>
          <w:rFonts w:cs="Arial"/>
          <w:rtl/>
        </w:rPr>
        <w:t>פ שמצא דם</w:t>
      </w:r>
      <w:r>
        <w:rPr>
          <w:rFonts w:cs="Arial" w:hint="cs"/>
          <w:rtl/>
        </w:rPr>
        <w:t>,</w:t>
      </w:r>
      <w:r w:rsidRPr="00AC459A">
        <w:rPr>
          <w:rFonts w:cs="Arial"/>
          <w:rtl/>
        </w:rPr>
        <w:t xml:space="preserve"> הואיל ולא מצא פתח סתום </w:t>
      </w:r>
      <w:r>
        <w:rPr>
          <w:rFonts w:cs="Arial" w:hint="cs"/>
          <w:rtl/>
        </w:rPr>
        <w:t xml:space="preserve">- </w:t>
      </w:r>
      <w:r w:rsidRPr="00AC459A">
        <w:rPr>
          <w:rFonts w:cs="Arial"/>
          <w:rtl/>
        </w:rPr>
        <w:t>אין כאן בתולים</w:t>
      </w:r>
      <w:r>
        <w:rPr>
          <w:rStyle w:val="a7"/>
          <w:rFonts w:cs="Arial"/>
          <w:rtl/>
        </w:rPr>
        <w:footnoteReference w:id="204"/>
      </w:r>
      <w:r>
        <w:rPr>
          <w:rFonts w:cs="Arial" w:hint="cs"/>
          <w:sz w:val="16"/>
          <w:szCs w:val="16"/>
          <w:rtl/>
        </w:rPr>
        <w:t xml:space="preserve"> (ל' הטור)</w:t>
      </w:r>
      <w:r>
        <w:rPr>
          <w:rFonts w:cs="Arial" w:hint="cs"/>
          <w:rtl/>
        </w:rPr>
        <w:t>.</w:t>
      </w:r>
      <w:r w:rsidRPr="00AC459A">
        <w:rPr>
          <w:rFonts w:cs="Arial"/>
          <w:rtl/>
        </w:rPr>
        <w:t xml:space="preserve"> </w:t>
      </w:r>
    </w:p>
    <w:p w14:paraId="7BDE517D" w14:textId="480B8124" w:rsidR="008D77DD" w:rsidRDefault="00940CE3" w:rsidP="009000E3">
      <w:pPr>
        <w:pStyle w:val="ab"/>
        <w:numPr>
          <w:ilvl w:val="0"/>
          <w:numId w:val="78"/>
        </w:numPr>
        <w:rPr>
          <w:rtl/>
        </w:rPr>
      </w:pPr>
      <w:r>
        <w:rPr>
          <w:rFonts w:cs="Arial" w:hint="cs"/>
          <w:rtl/>
        </w:rPr>
        <w:t xml:space="preserve">רש"י </w:t>
      </w:r>
      <w:r>
        <w:rPr>
          <w:rFonts w:cs="Arial" w:hint="cs"/>
          <w:sz w:val="16"/>
          <w:szCs w:val="16"/>
          <w:rtl/>
        </w:rPr>
        <w:t>(ט. ד"ה האומר)</w:t>
      </w:r>
      <w:r>
        <w:rPr>
          <w:rFonts w:cs="Arial" w:hint="cs"/>
          <w:rtl/>
        </w:rPr>
        <w:t xml:space="preserve"> </w:t>
      </w:r>
      <w:r w:rsidR="00A41522">
        <w:rPr>
          <w:rFonts w:cs="Arial" w:hint="cs"/>
          <w:rtl/>
        </w:rPr>
        <w:t>ו</w:t>
      </w:r>
      <w:r w:rsidRPr="00AC459A">
        <w:rPr>
          <w:rFonts w:cs="Arial"/>
          <w:rtl/>
        </w:rPr>
        <w:t xml:space="preserve">ר"י </w:t>
      </w:r>
      <w:r>
        <w:rPr>
          <w:rFonts w:cs="Arial" w:hint="cs"/>
          <w:sz w:val="16"/>
          <w:szCs w:val="16"/>
          <w:rtl/>
        </w:rPr>
        <w:t>(כ"כ הטור בשמו)</w:t>
      </w:r>
      <w:r>
        <w:rPr>
          <w:rFonts w:cs="Arial" w:hint="cs"/>
          <w:rtl/>
        </w:rPr>
        <w:t>-</w:t>
      </w:r>
      <w:r w:rsidRPr="00AC459A">
        <w:rPr>
          <w:rFonts w:cs="Arial"/>
          <w:rtl/>
        </w:rPr>
        <w:t xml:space="preserve"> כיון שמצא דם אינו יכול לטעון טענת פתח פתוח</w:t>
      </w:r>
      <w:r>
        <w:rPr>
          <w:rFonts w:cs="Arial" w:hint="cs"/>
          <w:sz w:val="16"/>
          <w:szCs w:val="16"/>
          <w:rtl/>
        </w:rPr>
        <w:t xml:space="preserve"> (ל' הטור בשם ר"י)</w:t>
      </w:r>
      <w:r w:rsidR="00444F62">
        <w:rPr>
          <w:rStyle w:val="a7"/>
          <w:rFonts w:cs="Arial"/>
          <w:rtl/>
        </w:rPr>
        <w:footnoteReference w:id="205"/>
      </w:r>
      <w:r w:rsidR="00444F62">
        <w:rPr>
          <w:rFonts w:cs="Arial" w:hint="cs"/>
          <w:rtl/>
        </w:rPr>
        <w:t>.</w:t>
      </w:r>
      <w:r w:rsidR="00732B09" w:rsidRPr="00732B09">
        <w:rPr>
          <w:rFonts w:asciiTheme="minorBidi" w:hAnsiTheme="minorBidi"/>
          <w:color w:val="E36C0A" w:themeColor="accent6" w:themeShade="BF"/>
          <w:rtl/>
        </w:rPr>
        <w:t xml:space="preserve"> </w:t>
      </w:r>
      <w:r w:rsidR="00732B09" w:rsidRPr="00351B7D">
        <w:rPr>
          <w:rFonts w:asciiTheme="minorBidi" w:hAnsiTheme="minorBidi"/>
          <w:color w:val="E36C0A" w:themeColor="accent6" w:themeShade="BF"/>
          <w:rtl/>
        </w:rPr>
        <w:t>(וכ"</w:t>
      </w:r>
      <w:r w:rsidR="00732B09">
        <w:rPr>
          <w:rFonts w:asciiTheme="minorBidi" w:hAnsiTheme="minorBidi" w:hint="cs"/>
          <w:color w:val="E36C0A" w:themeColor="accent6" w:themeShade="BF"/>
          <w:rtl/>
        </w:rPr>
        <w:t>כ</w:t>
      </w:r>
      <w:r w:rsidR="00732B09" w:rsidRPr="00351B7D">
        <w:rPr>
          <w:rFonts w:asciiTheme="minorBidi" w:hAnsiTheme="minorBidi"/>
          <w:color w:val="E36C0A" w:themeColor="accent6" w:themeShade="BF"/>
          <w:rtl/>
        </w:rPr>
        <w:t xml:space="preserve"> בשו"ע</w:t>
      </w:r>
      <w:r w:rsidR="00732B09">
        <w:rPr>
          <w:rFonts w:asciiTheme="minorBidi" w:hAnsiTheme="minorBidi" w:hint="cs"/>
          <w:color w:val="E36C0A" w:themeColor="accent6" w:themeShade="BF"/>
          <w:sz w:val="16"/>
          <w:szCs w:val="16"/>
          <w:rtl/>
        </w:rPr>
        <w:t xml:space="preserve"> </w:t>
      </w:r>
      <w:r w:rsidR="00732B09" w:rsidRPr="00732B09">
        <w:rPr>
          <w:rFonts w:asciiTheme="minorBidi" w:hAnsiTheme="minorBidi" w:hint="cs"/>
          <w:color w:val="000000" w:themeColor="text1"/>
          <w:sz w:val="16"/>
          <w:szCs w:val="16"/>
          <w:rtl/>
        </w:rPr>
        <w:t>[</w:t>
      </w:r>
      <w:r w:rsidR="00732B09">
        <w:rPr>
          <w:rFonts w:asciiTheme="minorBidi" w:hAnsiTheme="minorBidi" w:hint="cs"/>
          <w:color w:val="000000" w:themeColor="text1"/>
          <w:sz w:val="16"/>
          <w:szCs w:val="16"/>
          <w:rtl/>
        </w:rPr>
        <w:t>בסע' ו</w:t>
      </w:r>
      <w:r w:rsidR="00732B09" w:rsidRPr="00732B09">
        <w:rPr>
          <w:rFonts w:asciiTheme="minorBidi" w:hAnsiTheme="minorBidi" w:hint="cs"/>
          <w:color w:val="000000" w:themeColor="text1"/>
          <w:sz w:val="16"/>
          <w:szCs w:val="16"/>
          <w:rtl/>
        </w:rPr>
        <w:t>]</w:t>
      </w:r>
      <w:r w:rsidR="00732B09">
        <w:rPr>
          <w:rFonts w:asciiTheme="minorBidi" w:hAnsiTheme="minorBidi" w:hint="cs"/>
          <w:color w:val="E36C0A" w:themeColor="accent6" w:themeShade="BF"/>
          <w:rtl/>
        </w:rPr>
        <w:t>)</w:t>
      </w:r>
    </w:p>
    <w:p w14:paraId="7DF19375" w14:textId="7ADBDB45" w:rsidR="008D77DD" w:rsidRPr="004D71BD" w:rsidRDefault="008D77DD" w:rsidP="004D71BD">
      <w:pPr>
        <w:rPr>
          <w:rFonts w:cs="Arial"/>
        </w:rPr>
      </w:pPr>
      <w:r w:rsidRPr="00EA1E02">
        <w:rPr>
          <w:rFonts w:cs="Arial" w:hint="cs"/>
          <w:b/>
          <w:bCs/>
          <w:rtl/>
        </w:rPr>
        <w:lastRenderedPageBreak/>
        <w:t xml:space="preserve">כתובות </w:t>
      </w:r>
      <w:r w:rsidRPr="00EA1E02">
        <w:rPr>
          <w:rFonts w:cs="Arial" w:hint="cs"/>
          <w:b/>
          <w:bCs/>
          <w:sz w:val="16"/>
          <w:szCs w:val="16"/>
          <w:rtl/>
        </w:rPr>
        <w:t>(</w:t>
      </w:r>
      <w:r>
        <w:rPr>
          <w:rFonts w:cs="Arial" w:hint="cs"/>
          <w:b/>
          <w:bCs/>
          <w:sz w:val="16"/>
          <w:szCs w:val="16"/>
          <w:rtl/>
        </w:rPr>
        <w:t>פ"ק</w:t>
      </w:r>
      <w:r w:rsidRPr="00EA1E02">
        <w:rPr>
          <w:rFonts w:cs="Arial" w:hint="cs"/>
          <w:b/>
          <w:bCs/>
          <w:sz w:val="16"/>
          <w:szCs w:val="16"/>
          <w:rtl/>
        </w:rPr>
        <w:t>)</w:t>
      </w:r>
      <w:r w:rsidRPr="00EA1E02">
        <w:rPr>
          <w:rFonts w:cs="Arial" w:hint="cs"/>
          <w:b/>
          <w:bCs/>
          <w:rtl/>
        </w:rPr>
        <w:t xml:space="preserve"> </w:t>
      </w:r>
      <w:r>
        <w:rPr>
          <w:rFonts w:cs="Arial" w:hint="cs"/>
          <w:b/>
          <w:bCs/>
          <w:rtl/>
        </w:rPr>
        <w:t>יב</w:t>
      </w:r>
      <w:r w:rsidR="00F86C7E">
        <w:rPr>
          <w:rStyle w:val="a7"/>
          <w:rFonts w:cs="Arial"/>
          <w:b/>
          <w:bCs/>
          <w:rtl/>
        </w:rPr>
        <w:footnoteReference w:id="206"/>
      </w:r>
      <w:r w:rsidRPr="00EA1E02">
        <w:rPr>
          <w:rFonts w:cs="Arial" w:hint="cs"/>
          <w:b/>
          <w:bCs/>
          <w:rtl/>
        </w:rPr>
        <w:t xml:space="preserve"> ע"</w:t>
      </w:r>
      <w:r>
        <w:rPr>
          <w:rFonts w:cs="Arial" w:hint="cs"/>
          <w:b/>
          <w:bCs/>
          <w:rtl/>
        </w:rPr>
        <w:t>ב</w:t>
      </w:r>
      <w:r w:rsidRPr="00EA1E02">
        <w:rPr>
          <w:rFonts w:cs="Arial" w:hint="cs"/>
          <w:b/>
          <w:bCs/>
          <w:rtl/>
        </w:rPr>
        <w:t>:</w:t>
      </w:r>
      <w:r>
        <w:rPr>
          <w:rFonts w:cs="Arial" w:hint="cs"/>
          <w:rtl/>
        </w:rPr>
        <w:t xml:space="preserve"> </w:t>
      </w:r>
      <w:r w:rsidRPr="008D77DD">
        <w:rPr>
          <w:rFonts w:cs="Arial"/>
          <w:u w:val="double"/>
          <w:rtl/>
        </w:rPr>
        <w:t>מתני'</w:t>
      </w:r>
      <w:r>
        <w:rPr>
          <w:rFonts w:cs="Arial" w:hint="cs"/>
          <w:rtl/>
        </w:rPr>
        <w:t>:</w:t>
      </w:r>
      <w:r>
        <w:rPr>
          <w:rFonts w:cs="Arial"/>
          <w:rtl/>
        </w:rPr>
        <w:t xml:space="preserve"> הנושא את האשה ולא מצא לה בתולים, היא אומרת משארסתני נאנסתי ונסתחפה שדהו, והוא אומר לא כי, אלא עד שלא ארסתיך והיה מקחי מקח טעות, </w:t>
      </w:r>
      <w:r w:rsidRPr="008D77DD">
        <w:rPr>
          <w:rFonts w:cs="Arial"/>
          <w:u w:val="single"/>
          <w:rtl/>
        </w:rPr>
        <w:t>רבן גמליאל ורבי אליעזר אומרים</w:t>
      </w:r>
      <w:r>
        <w:rPr>
          <w:rFonts w:cs="Arial"/>
          <w:rtl/>
        </w:rPr>
        <w:t xml:space="preserve">: נאמנת; </w:t>
      </w:r>
      <w:r w:rsidRPr="008D77DD">
        <w:rPr>
          <w:rFonts w:cs="Arial"/>
          <w:u w:val="single"/>
          <w:rtl/>
        </w:rPr>
        <w:t>רבי יהושע אומר</w:t>
      </w:r>
      <w:r>
        <w:rPr>
          <w:rFonts w:cs="Arial"/>
          <w:rtl/>
        </w:rPr>
        <w:t xml:space="preserve">: לא מפיה אנו חיין, אלא הרי זו בחזקת בעולה עד שלא תתארס, והטעתו, עד שתביא ראיה לדבריה. </w:t>
      </w:r>
      <w:r>
        <w:rPr>
          <w:rFonts w:hint="cs"/>
          <w:rtl/>
        </w:rPr>
        <w:t xml:space="preserve">     </w:t>
      </w:r>
      <w:r w:rsidRPr="008D77DD">
        <w:rPr>
          <w:rFonts w:cs="Arial"/>
          <w:u w:val="double"/>
          <w:rtl/>
        </w:rPr>
        <w:t>גמ'</w:t>
      </w:r>
      <w:r>
        <w:rPr>
          <w:rFonts w:cs="Arial" w:hint="cs"/>
          <w:rtl/>
        </w:rPr>
        <w:t>:</w:t>
      </w:r>
      <w:r>
        <w:rPr>
          <w:rFonts w:cs="Arial"/>
          <w:rtl/>
        </w:rPr>
        <w:t xml:space="preserve"> אתמר: מנה לי בידך, והלה אומר איני יודע, </w:t>
      </w:r>
      <w:r w:rsidRPr="004D71BD">
        <w:rPr>
          <w:rFonts w:cs="Arial"/>
          <w:u w:val="single"/>
          <w:rtl/>
        </w:rPr>
        <w:t>רב יהודה ורב הונא אמרי</w:t>
      </w:r>
      <w:r>
        <w:rPr>
          <w:rFonts w:cs="Arial"/>
          <w:rtl/>
        </w:rPr>
        <w:t xml:space="preserve">: חייב, </w:t>
      </w:r>
      <w:r w:rsidRPr="004D71BD">
        <w:rPr>
          <w:rFonts w:cs="Arial"/>
          <w:u w:val="single"/>
          <w:rtl/>
        </w:rPr>
        <w:t>ורב נחמן ורבי יוחנן אמרי</w:t>
      </w:r>
      <w:r>
        <w:rPr>
          <w:rFonts w:cs="Arial"/>
          <w:rtl/>
        </w:rPr>
        <w:t xml:space="preserve">: פטור. רב הונא ורב יהודה אמרי חייב, ברי ושמא - ברי עדיף; רב נחמן ורבי יוחנן אמרי פטור, אוקי ממונא בחזקת מריה. </w:t>
      </w:r>
      <w:r w:rsidRPr="004D71BD">
        <w:rPr>
          <w:rFonts w:cs="Arial"/>
          <w:u w:val="single"/>
          <w:rtl/>
        </w:rPr>
        <w:t>א"ל אביי לרב יוסף</w:t>
      </w:r>
      <w:r>
        <w:rPr>
          <w:rFonts w:cs="Arial"/>
          <w:rtl/>
        </w:rPr>
        <w:t xml:space="preserve">: הא דרב הונא ורב יהודה - דשמואל היא; דתנן: היתה מעוברת, ואמרו לה מה טיבו של עובר זה? מאיש פלוני וכהן הוא, </w:t>
      </w:r>
      <w:r w:rsidRPr="004D71BD">
        <w:rPr>
          <w:rFonts w:cs="Arial"/>
          <w:u w:val="single"/>
          <w:rtl/>
        </w:rPr>
        <w:t>רבן גמליאל ורבי אליעזר אומרים</w:t>
      </w:r>
      <w:r>
        <w:rPr>
          <w:rFonts w:cs="Arial"/>
          <w:rtl/>
        </w:rPr>
        <w:t>: נאמנת</w:t>
      </w:r>
      <w:r w:rsidR="004D71BD">
        <w:rPr>
          <w:rFonts w:cs="Arial" w:hint="cs"/>
          <w:rtl/>
        </w:rPr>
        <w:t>.</w:t>
      </w:r>
      <w:r>
        <w:rPr>
          <w:rFonts w:cs="Arial"/>
          <w:rtl/>
        </w:rPr>
        <w:t xml:space="preserve"> </w:t>
      </w:r>
      <w:r w:rsidRPr="004D71BD">
        <w:rPr>
          <w:rFonts w:cs="Arial"/>
          <w:u w:val="single"/>
          <w:rtl/>
        </w:rPr>
        <w:t>ואמר רב יהודה אמר שמואל</w:t>
      </w:r>
      <w:r>
        <w:rPr>
          <w:rFonts w:cs="Arial"/>
          <w:rtl/>
        </w:rPr>
        <w:t>: הלכה כרבן גמליאל</w:t>
      </w:r>
      <w:r w:rsidR="007040DE">
        <w:rPr>
          <w:rFonts w:cs="Arial" w:hint="cs"/>
          <w:rtl/>
        </w:rPr>
        <w:t>.</w:t>
      </w:r>
      <w:r>
        <w:rPr>
          <w:rFonts w:cs="Arial"/>
          <w:rtl/>
        </w:rPr>
        <w:t xml:space="preserve"> </w:t>
      </w:r>
      <w:r w:rsidRPr="004D71BD">
        <w:rPr>
          <w:rFonts w:cs="Arial"/>
          <w:u w:val="single"/>
          <w:rtl/>
        </w:rPr>
        <w:t>ואמר ליה רב שמואל בר יהודה לרב יהודה</w:t>
      </w:r>
      <w:r>
        <w:rPr>
          <w:rFonts w:cs="Arial"/>
          <w:rtl/>
        </w:rPr>
        <w:t>: שיננא! אמרת לן משמיה דשמואל: הלכה כרבן גמליאל אף בראשונה; מאי אף בראשונה? אף על גב דאיכא למימר אוקי ממונא בחזקת מריה, אמר רבן גמליאל ברי עדיף. לימא, רב יהודה ורב הונא דאמרי כר"ג, ורב נחמן ורבי יוחנן דאמרי כרבי יהושע! אמר לך רב נחמן: אנא דאמרי אפילו כרבן גמליאל, עד כאן לא קאמר ר"ג התם - אלא דאיכא מגו, אבל הכא מאי מגו איכא? אי נמי, עד כאן לא קאמר רבן גמליאל התם - אלא דאמרינן אוקמה אחזקה, אבל הכא מאי חזקה אית ליה להאי? הכי נמי מסתברא כדקא משנינן, דרב נחמן הוא דאמר כר"ג,</w:t>
      </w:r>
      <w:r w:rsidR="00D44133" w:rsidRPr="00D44133">
        <w:rPr>
          <w:rtl/>
        </w:rPr>
        <w:t xml:space="preserve"> </w:t>
      </w:r>
      <w:r w:rsidR="00D44133">
        <w:rPr>
          <w:rFonts w:cs="Arial" w:hint="cs"/>
          <w:sz w:val="14"/>
          <w:szCs w:val="14"/>
          <w:rtl/>
        </w:rPr>
        <w:t xml:space="preserve">(יג.) </w:t>
      </w:r>
      <w:r w:rsidR="00D44133" w:rsidRPr="00D44133">
        <w:rPr>
          <w:rFonts w:cs="Arial"/>
          <w:rtl/>
        </w:rPr>
        <w:t>דאם כן קשיא הלכתא אהלכתא, דקיימא לן: הלכתא כרב נחמן בדיני, ובהא אמר רב יהודה אמר שמואל: הלכה כרבן גמליאל! אלא לאו ש"מ כדמשנינן, ש"מ.</w:t>
      </w:r>
    </w:p>
    <w:p w14:paraId="35C6BE0F" w14:textId="33CA6209" w:rsidR="00AA272D" w:rsidRPr="000B173F" w:rsidRDefault="000B173F" w:rsidP="000B173F">
      <w:pPr>
        <w:rPr>
          <w:rFonts w:cs="Arial"/>
          <w:u w:val="single"/>
          <w:rtl/>
        </w:rPr>
      </w:pPr>
      <w:r w:rsidRPr="000B173F">
        <w:rPr>
          <w:rFonts w:cs="Arial" w:hint="cs"/>
          <w:u w:val="single"/>
          <w:rtl/>
        </w:rPr>
        <w:t>אשה שמודה שאינה בתו</w:t>
      </w:r>
      <w:r>
        <w:rPr>
          <w:rFonts w:cs="Arial" w:hint="cs"/>
          <w:u w:val="single"/>
          <w:rtl/>
        </w:rPr>
        <w:t>ל</w:t>
      </w:r>
      <w:r w:rsidRPr="000B173F">
        <w:rPr>
          <w:rFonts w:cs="Arial" w:hint="cs"/>
          <w:u w:val="single"/>
          <w:rtl/>
        </w:rPr>
        <w:t>ה אבל טוענת בברי שנאנסה</w:t>
      </w:r>
      <w:r w:rsidR="00376FC2">
        <w:rPr>
          <w:rFonts w:cs="Arial" w:hint="cs"/>
          <w:u w:val="single"/>
          <w:rtl/>
        </w:rPr>
        <w:t xml:space="preserve"> תחתיו</w:t>
      </w:r>
      <w:r w:rsidR="001165F7">
        <w:rPr>
          <w:rFonts w:cs="Arial" w:hint="cs"/>
          <w:u w:val="single"/>
          <w:rtl/>
        </w:rPr>
        <w:t xml:space="preserve"> - האם נאסרת עליו</w:t>
      </w:r>
      <w:r w:rsidRPr="000B173F">
        <w:rPr>
          <w:rFonts w:cs="Arial" w:hint="cs"/>
          <w:u w:val="single"/>
          <w:rtl/>
        </w:rPr>
        <w:t>:</w:t>
      </w:r>
      <w:r w:rsidR="00AA272D" w:rsidRPr="000B173F">
        <w:rPr>
          <w:rFonts w:cs="Arial"/>
          <w:u w:val="single"/>
          <w:rtl/>
        </w:rPr>
        <w:t xml:space="preserve"> </w:t>
      </w:r>
    </w:p>
    <w:p w14:paraId="57100C30" w14:textId="056F83D6" w:rsidR="00463C6F" w:rsidRDefault="00C11B89" w:rsidP="009000E3">
      <w:pPr>
        <w:pStyle w:val="ab"/>
        <w:numPr>
          <w:ilvl w:val="0"/>
          <w:numId w:val="78"/>
        </w:numPr>
      </w:pPr>
      <w:r w:rsidRPr="00D01491">
        <w:rPr>
          <w:rFonts w:cs="Arial"/>
          <w:rtl/>
        </w:rPr>
        <w:t xml:space="preserve">רמב"ן </w:t>
      </w:r>
      <w:r w:rsidRPr="005D5AA7">
        <w:rPr>
          <w:rFonts w:cs="Arial"/>
          <w:sz w:val="16"/>
          <w:szCs w:val="16"/>
          <w:rtl/>
        </w:rPr>
        <w:t>(ט: ד"ה ואיכא דקשיא)</w:t>
      </w:r>
      <w:r w:rsidRPr="00D01491">
        <w:rPr>
          <w:rFonts w:cs="Arial"/>
          <w:rtl/>
        </w:rPr>
        <w:t xml:space="preserve"> </w:t>
      </w:r>
      <w:r w:rsidR="007B36E2" w:rsidRPr="00E02C7F">
        <w:rPr>
          <w:rFonts w:cs="Arial"/>
          <w:rtl/>
        </w:rPr>
        <w:t>ה"ר יונה</w:t>
      </w:r>
      <w:r w:rsidR="007B36E2">
        <w:rPr>
          <w:rFonts w:cs="Arial" w:hint="cs"/>
          <w:sz w:val="16"/>
          <w:szCs w:val="16"/>
          <w:rtl/>
        </w:rPr>
        <w:t xml:space="preserve"> (כ"כ הרא"ש [סי' יח] והטור בשמו)</w:t>
      </w:r>
      <w:r w:rsidR="007B36E2">
        <w:rPr>
          <w:rFonts w:cs="Arial" w:hint="cs"/>
          <w:rtl/>
        </w:rPr>
        <w:t xml:space="preserve"> </w:t>
      </w:r>
      <w:r w:rsidRPr="00D01491">
        <w:rPr>
          <w:rFonts w:cs="Arial"/>
          <w:rtl/>
        </w:rPr>
        <w:t xml:space="preserve">רשב"א </w:t>
      </w:r>
      <w:r w:rsidRPr="005D5AA7">
        <w:rPr>
          <w:rFonts w:cs="Arial"/>
          <w:sz w:val="16"/>
          <w:szCs w:val="16"/>
          <w:rtl/>
        </w:rPr>
        <w:t>(ט. ד"ה והא דר' אלעזר)</w:t>
      </w:r>
      <w:r>
        <w:rPr>
          <w:rFonts w:cs="Arial" w:hint="cs"/>
          <w:rtl/>
        </w:rPr>
        <w:t xml:space="preserve"> </w:t>
      </w:r>
      <w:r w:rsidR="00757A81">
        <w:rPr>
          <w:rFonts w:cs="Arial" w:hint="cs"/>
          <w:rtl/>
        </w:rPr>
        <w:t>ו</w:t>
      </w:r>
      <w:r w:rsidR="00757A81" w:rsidRPr="00D01491">
        <w:rPr>
          <w:rFonts w:cs="Arial"/>
          <w:rtl/>
        </w:rPr>
        <w:t xml:space="preserve">ר"ן </w:t>
      </w:r>
      <w:r w:rsidR="00757A81" w:rsidRPr="00757A81">
        <w:rPr>
          <w:rFonts w:cs="Arial"/>
          <w:sz w:val="16"/>
          <w:szCs w:val="16"/>
          <w:rtl/>
        </w:rPr>
        <w:t>(ג. ד"ה אי)</w:t>
      </w:r>
      <w:r w:rsidR="006022F5">
        <w:rPr>
          <w:rFonts w:cs="Arial" w:hint="cs"/>
          <w:rtl/>
        </w:rPr>
        <w:t>-</w:t>
      </w:r>
      <w:r w:rsidR="00DA4087" w:rsidRPr="00E02C7F">
        <w:rPr>
          <w:rFonts w:cs="Arial"/>
          <w:rtl/>
        </w:rPr>
        <w:t xml:space="preserve"> הא דנאמן לאוסרה עליו דווקא במכחישתו ואומרת שהיתה בתולה או שותקת</w:t>
      </w:r>
      <w:r w:rsidR="00444F62">
        <w:rPr>
          <w:rFonts w:cs="Arial" w:hint="cs"/>
          <w:rtl/>
        </w:rPr>
        <w:t>,</w:t>
      </w:r>
      <w:r w:rsidR="00DA4087" w:rsidRPr="00E02C7F">
        <w:rPr>
          <w:rFonts w:cs="Arial"/>
          <w:rtl/>
        </w:rPr>
        <w:t xml:space="preserve"> אבל אם אומרת אמת הדבר שלא מצאתני בתולה אבל נאנסתי תחתיך</w:t>
      </w:r>
      <w:r w:rsidR="00444F62">
        <w:rPr>
          <w:rFonts w:cs="Arial" w:hint="cs"/>
          <w:rtl/>
        </w:rPr>
        <w:t>,</w:t>
      </w:r>
      <w:r w:rsidR="00DA4087" w:rsidRPr="00E02C7F">
        <w:rPr>
          <w:rFonts w:cs="Arial"/>
          <w:rtl/>
        </w:rPr>
        <w:t xml:space="preserve"> אם ישראל הוא </w:t>
      </w:r>
      <w:r w:rsidR="006022F5">
        <w:rPr>
          <w:rFonts w:cs="Arial" w:hint="cs"/>
          <w:rtl/>
        </w:rPr>
        <w:t xml:space="preserve">- </w:t>
      </w:r>
      <w:r w:rsidR="00DA4087" w:rsidRPr="00E02C7F">
        <w:rPr>
          <w:rFonts w:cs="Arial"/>
          <w:rtl/>
        </w:rPr>
        <w:t>מותרת לו</w:t>
      </w:r>
      <w:r w:rsidR="006022F5">
        <w:rPr>
          <w:rFonts w:cs="Arial" w:hint="cs"/>
          <w:rtl/>
        </w:rPr>
        <w:t>,</w:t>
      </w:r>
      <w:r w:rsidR="00DA4087" w:rsidRPr="00E02C7F">
        <w:rPr>
          <w:rFonts w:cs="Arial"/>
          <w:rtl/>
        </w:rPr>
        <w:t xml:space="preserve"> מפני שהיא טוענת טענת ברי והוא טוען טענת שמא</w:t>
      </w:r>
      <w:r w:rsidR="006022F5">
        <w:rPr>
          <w:rFonts w:cs="Arial" w:hint="cs"/>
          <w:rtl/>
        </w:rPr>
        <w:t>,</w:t>
      </w:r>
      <w:r w:rsidR="00DA4087" w:rsidRPr="00E02C7F">
        <w:rPr>
          <w:rFonts w:cs="Arial"/>
          <w:rtl/>
        </w:rPr>
        <w:t xml:space="preserve"> שאינו יודע אם באונס אם ברצון</w:t>
      </w:r>
      <w:r w:rsidR="00444F62">
        <w:rPr>
          <w:rFonts w:cs="Arial" w:hint="cs"/>
          <w:rtl/>
        </w:rPr>
        <w:t>,</w:t>
      </w:r>
      <w:r w:rsidR="00DA4087" w:rsidRPr="00E02C7F">
        <w:rPr>
          <w:rFonts w:cs="Arial"/>
          <w:rtl/>
        </w:rPr>
        <w:t xml:space="preserve"> וברי ושמא</w:t>
      </w:r>
      <w:r w:rsidR="00444F62">
        <w:rPr>
          <w:rFonts w:cs="Arial" w:hint="cs"/>
          <w:rtl/>
        </w:rPr>
        <w:t xml:space="preserve"> -</w:t>
      </w:r>
      <w:r w:rsidR="00DA4087" w:rsidRPr="00E02C7F">
        <w:rPr>
          <w:rFonts w:cs="Arial"/>
          <w:rtl/>
        </w:rPr>
        <w:t xml:space="preserve"> ברי עדיף</w:t>
      </w:r>
      <w:r w:rsidR="00C71BC5">
        <w:rPr>
          <w:rStyle w:val="a7"/>
          <w:rFonts w:cs="Arial"/>
          <w:rtl/>
        </w:rPr>
        <w:footnoteReference w:id="207"/>
      </w:r>
      <w:r w:rsidR="0035755A">
        <w:rPr>
          <w:rFonts w:cs="Arial" w:hint="cs"/>
          <w:sz w:val="16"/>
          <w:szCs w:val="16"/>
          <w:rtl/>
        </w:rPr>
        <w:t xml:space="preserve"> (ל' הטור</w:t>
      </w:r>
      <w:r w:rsidR="007B36E2">
        <w:rPr>
          <w:rFonts w:cs="Arial" w:hint="cs"/>
          <w:sz w:val="16"/>
          <w:szCs w:val="16"/>
          <w:rtl/>
        </w:rPr>
        <w:t xml:space="preserve"> בשם ה"ר יונה</w:t>
      </w:r>
      <w:r w:rsidR="0035755A">
        <w:rPr>
          <w:rFonts w:cs="Arial" w:hint="cs"/>
          <w:sz w:val="16"/>
          <w:szCs w:val="16"/>
          <w:rtl/>
        </w:rPr>
        <w:t>)</w:t>
      </w:r>
      <w:r w:rsidR="00DA4087">
        <w:rPr>
          <w:rFonts w:cs="Arial" w:hint="cs"/>
          <w:rtl/>
        </w:rPr>
        <w:t>.</w:t>
      </w:r>
      <w:r w:rsidR="00AC55EA" w:rsidRPr="00AC55EA">
        <w:rPr>
          <w:rFonts w:hint="cs"/>
          <w:color w:val="00B0F0"/>
          <w:rtl/>
        </w:rPr>
        <w:t xml:space="preserve"> (וכ"כ הרמ"א)</w:t>
      </w:r>
    </w:p>
    <w:p w14:paraId="2BD7BDD0" w14:textId="1C88D32A" w:rsidR="005D5AA7" w:rsidRPr="00463C6F" w:rsidRDefault="005D5AA7" w:rsidP="009000E3">
      <w:pPr>
        <w:pStyle w:val="ab"/>
        <w:numPr>
          <w:ilvl w:val="0"/>
          <w:numId w:val="78"/>
        </w:numPr>
      </w:pPr>
      <w:r>
        <w:rPr>
          <w:rFonts w:cs="Arial" w:hint="cs"/>
          <w:rtl/>
        </w:rPr>
        <w:t>רמב"ם</w:t>
      </w:r>
      <w:r>
        <w:rPr>
          <w:rFonts w:cs="Arial" w:hint="cs"/>
          <w:sz w:val="16"/>
          <w:szCs w:val="16"/>
          <w:rtl/>
        </w:rPr>
        <w:t xml:space="preserve"> (לב' הה"מ</w:t>
      </w:r>
      <w:r>
        <w:rPr>
          <w:rStyle w:val="a7"/>
          <w:rFonts w:cs="Arial"/>
          <w:sz w:val="16"/>
          <w:szCs w:val="16"/>
          <w:rtl/>
        </w:rPr>
        <w:footnoteReference w:id="208"/>
      </w:r>
      <w:r>
        <w:rPr>
          <w:rFonts w:cs="Arial" w:hint="cs"/>
          <w:sz w:val="16"/>
          <w:szCs w:val="16"/>
          <w:rtl/>
        </w:rPr>
        <w:t xml:space="preserve"> [פי"ח מאי"ב ה"י])</w:t>
      </w:r>
      <w:r>
        <w:rPr>
          <w:rFonts w:cs="Arial" w:hint="cs"/>
          <w:rtl/>
        </w:rPr>
        <w:t xml:space="preserve">- </w:t>
      </w:r>
      <w:r w:rsidRPr="00D01491">
        <w:rPr>
          <w:rFonts w:cs="Arial"/>
          <w:rtl/>
        </w:rPr>
        <w:t>לענין איסורא בכה"ג דליכא אלא חד ספיקא אסורה היא ואין משגיחין על דבריה</w:t>
      </w:r>
      <w:r>
        <w:rPr>
          <w:rFonts w:hint="cs"/>
          <w:rtl/>
        </w:rPr>
        <w:t>.</w:t>
      </w:r>
    </w:p>
    <w:p w14:paraId="46AC0D03" w14:textId="51B7D082" w:rsidR="00D200B4" w:rsidRDefault="00D200B4" w:rsidP="00D200B4">
      <w:pPr>
        <w:rPr>
          <w:rtl/>
        </w:rPr>
      </w:pPr>
      <w:r w:rsidRPr="00D200B4">
        <w:rPr>
          <w:rFonts w:cs="Arial" w:hint="cs"/>
          <w:b/>
          <w:bCs/>
          <w:rtl/>
        </w:rPr>
        <w:t xml:space="preserve">יבמות </w:t>
      </w:r>
      <w:r>
        <w:rPr>
          <w:rFonts w:cs="Arial" w:hint="cs"/>
          <w:b/>
          <w:bCs/>
          <w:sz w:val="16"/>
          <w:szCs w:val="16"/>
          <w:rtl/>
        </w:rPr>
        <w:t xml:space="preserve">(פ' </w:t>
      </w:r>
      <w:r w:rsidR="002F7957">
        <w:rPr>
          <w:rFonts w:cs="Arial" w:hint="cs"/>
          <w:b/>
          <w:bCs/>
          <w:sz w:val="16"/>
          <w:szCs w:val="16"/>
          <w:rtl/>
        </w:rPr>
        <w:t>ארבעה אחין</w:t>
      </w:r>
      <w:r>
        <w:rPr>
          <w:rFonts w:cs="Arial" w:hint="cs"/>
          <w:b/>
          <w:bCs/>
          <w:sz w:val="16"/>
          <w:szCs w:val="16"/>
          <w:rtl/>
        </w:rPr>
        <w:t xml:space="preserve">) </w:t>
      </w:r>
      <w:r w:rsidRPr="00D200B4">
        <w:rPr>
          <w:rFonts w:cs="Arial" w:hint="cs"/>
          <w:b/>
          <w:bCs/>
          <w:rtl/>
        </w:rPr>
        <w:t xml:space="preserve">לג ע"ב: </w:t>
      </w:r>
      <w:r w:rsidRPr="00D200B4">
        <w:rPr>
          <w:rFonts w:cs="Arial"/>
          <w:rtl/>
        </w:rPr>
        <w:t>פיתוי קטנה אונס נינהו, ואונס בישראל מישרא שרי.</w:t>
      </w:r>
    </w:p>
    <w:p w14:paraId="13C6F16F" w14:textId="4EF807D7" w:rsidR="00A848BD" w:rsidRPr="00DA4087" w:rsidRDefault="00A848BD" w:rsidP="00D200B4">
      <w:r w:rsidRPr="00A848BD">
        <w:rPr>
          <w:rFonts w:cs="Arial" w:hint="cs"/>
          <w:b/>
          <w:bCs/>
          <w:rtl/>
        </w:rPr>
        <w:t xml:space="preserve">ירושלמי סוטה פ"ב ה"א: </w:t>
      </w:r>
      <w:r w:rsidRPr="00A848BD">
        <w:rPr>
          <w:rFonts w:cs="Arial"/>
          <w:u w:val="single"/>
          <w:rtl/>
        </w:rPr>
        <w:t>דמר ר' זעירא רבי יסא בשם ר' יוחנן</w:t>
      </w:r>
      <w:r>
        <w:rPr>
          <w:rFonts w:cs="Arial" w:hint="cs"/>
          <w:rtl/>
        </w:rPr>
        <w:t>:</w:t>
      </w:r>
      <w:r w:rsidRPr="00A848BD">
        <w:rPr>
          <w:rFonts w:cs="Arial"/>
          <w:rtl/>
        </w:rPr>
        <w:t xml:space="preserve"> קטנה שזינתה אין לה רצון להיאסר על בעלה</w:t>
      </w:r>
      <w:r>
        <w:rPr>
          <w:rFonts w:hint="cs"/>
          <w:rtl/>
        </w:rPr>
        <w:t>.</w:t>
      </w:r>
    </w:p>
    <w:p w14:paraId="2393C08A" w14:textId="4C3F4161" w:rsidR="008E7E93" w:rsidRPr="00807F45" w:rsidRDefault="0004182F" w:rsidP="008E7E93">
      <w:pPr>
        <w:rPr>
          <w:u w:val="single"/>
        </w:rPr>
      </w:pPr>
      <w:r w:rsidRPr="00807F45">
        <w:rPr>
          <w:rFonts w:hint="cs"/>
          <w:u w:val="single"/>
          <w:rtl/>
        </w:rPr>
        <w:t>ישראל</w:t>
      </w:r>
      <w:r w:rsidR="008E7E93" w:rsidRPr="00807F45">
        <w:rPr>
          <w:rFonts w:hint="cs"/>
          <w:u w:val="single"/>
          <w:rtl/>
        </w:rPr>
        <w:t xml:space="preserve"> ש</w:t>
      </w:r>
      <w:r w:rsidR="00DB1F11" w:rsidRPr="00807F45">
        <w:rPr>
          <w:rFonts w:hint="cs"/>
          <w:u w:val="single"/>
          <w:rtl/>
        </w:rPr>
        <w:t xml:space="preserve">קידש </w:t>
      </w:r>
      <w:r w:rsidR="008469EC" w:rsidRPr="00807F45">
        <w:rPr>
          <w:rFonts w:hint="cs"/>
          <w:u w:val="single"/>
          <w:rtl/>
        </w:rPr>
        <w:t xml:space="preserve">תינוקת </w:t>
      </w:r>
      <w:r w:rsidR="00F963EC">
        <w:rPr>
          <w:rFonts w:hint="cs"/>
          <w:sz w:val="16"/>
          <w:szCs w:val="16"/>
          <w:u w:val="single"/>
          <w:rtl/>
        </w:rPr>
        <w:t>(</w:t>
      </w:r>
      <w:r w:rsidR="008469EC" w:rsidRPr="00F963EC">
        <w:rPr>
          <w:rFonts w:hint="cs"/>
          <w:sz w:val="16"/>
          <w:szCs w:val="16"/>
          <w:u w:val="single"/>
          <w:rtl/>
        </w:rPr>
        <w:t>פחות מג' שנים</w:t>
      </w:r>
      <w:r w:rsidR="00F963EC">
        <w:rPr>
          <w:rFonts w:hint="cs"/>
          <w:sz w:val="16"/>
          <w:szCs w:val="16"/>
          <w:u w:val="single"/>
          <w:rtl/>
        </w:rPr>
        <w:t>)</w:t>
      </w:r>
      <w:r w:rsidR="008469EC" w:rsidRPr="00807F45">
        <w:rPr>
          <w:rFonts w:hint="cs"/>
          <w:u w:val="single"/>
          <w:rtl/>
        </w:rPr>
        <w:t>, ו</w:t>
      </w:r>
      <w:r w:rsidR="008E7E93" w:rsidRPr="00807F45">
        <w:rPr>
          <w:rFonts w:hint="cs"/>
          <w:u w:val="single"/>
          <w:rtl/>
        </w:rPr>
        <w:t>נשא</w:t>
      </w:r>
      <w:r w:rsidR="008469EC" w:rsidRPr="00807F45">
        <w:rPr>
          <w:rFonts w:hint="cs"/>
          <w:u w:val="single"/>
          <w:rtl/>
        </w:rPr>
        <w:t xml:space="preserve"> אותה כשהיא</w:t>
      </w:r>
      <w:r w:rsidR="008E7E93" w:rsidRPr="00807F45">
        <w:rPr>
          <w:rFonts w:hint="cs"/>
          <w:u w:val="single"/>
          <w:rtl/>
        </w:rPr>
        <w:t xml:space="preserve"> קטנה</w:t>
      </w:r>
      <w:r w:rsidR="00807F45">
        <w:rPr>
          <w:rFonts w:hint="cs"/>
          <w:sz w:val="16"/>
          <w:szCs w:val="16"/>
          <w:u w:val="single"/>
          <w:rtl/>
        </w:rPr>
        <w:t xml:space="preserve"> (פחות מי"ב שנים)</w:t>
      </w:r>
      <w:r w:rsidR="008469EC" w:rsidRPr="00807F45">
        <w:rPr>
          <w:rFonts w:hint="cs"/>
          <w:u w:val="single"/>
          <w:rtl/>
        </w:rPr>
        <w:t>, ו</w:t>
      </w:r>
      <w:r w:rsidR="00807F45" w:rsidRPr="00807F45">
        <w:rPr>
          <w:rFonts w:hint="cs"/>
          <w:u w:val="single"/>
          <w:rtl/>
        </w:rPr>
        <w:t>טען פתח פתוח מצאתי:</w:t>
      </w:r>
      <w:r w:rsidR="008E7E93" w:rsidRPr="00807F45">
        <w:rPr>
          <w:rFonts w:hint="cs"/>
          <w:u w:val="single"/>
          <w:rtl/>
        </w:rPr>
        <w:t xml:space="preserve"> </w:t>
      </w:r>
    </w:p>
    <w:p w14:paraId="4406E1C3" w14:textId="1FEBB196" w:rsidR="008363C4" w:rsidRDefault="008363C4" w:rsidP="009000E3">
      <w:pPr>
        <w:pStyle w:val="ab"/>
        <w:numPr>
          <w:ilvl w:val="0"/>
          <w:numId w:val="78"/>
        </w:numPr>
        <w:rPr>
          <w:rtl/>
        </w:rPr>
      </w:pPr>
      <w:r>
        <w:rPr>
          <w:rFonts w:cs="Arial" w:hint="cs"/>
          <w:rtl/>
        </w:rPr>
        <w:t xml:space="preserve">רמב"ם </w:t>
      </w:r>
      <w:r>
        <w:rPr>
          <w:rFonts w:cs="Arial" w:hint="cs"/>
          <w:sz w:val="16"/>
          <w:szCs w:val="16"/>
          <w:rtl/>
        </w:rPr>
        <w:t>(פ"ב מהל' סוטה ה"ד, וכן בפ"ג מהל' אי"ב ה"ב)</w:t>
      </w:r>
      <w:r>
        <w:rPr>
          <w:rFonts w:cs="Arial" w:hint="cs"/>
          <w:rtl/>
        </w:rPr>
        <w:t xml:space="preserve">- </w:t>
      </w:r>
      <w:r w:rsidRPr="00FF74A3">
        <w:rPr>
          <w:rFonts w:cs="Arial"/>
          <w:rtl/>
        </w:rPr>
        <w:t xml:space="preserve">קטנה שהשיאה אביה אם זינת ברצונה </w:t>
      </w:r>
      <w:r w:rsidR="007F446C">
        <w:rPr>
          <w:rFonts w:cs="Arial" w:hint="cs"/>
          <w:rtl/>
        </w:rPr>
        <w:t xml:space="preserve">- </w:t>
      </w:r>
      <w:r w:rsidRPr="00FF74A3">
        <w:rPr>
          <w:rFonts w:cs="Arial"/>
          <w:rtl/>
        </w:rPr>
        <w:t>נאסרה על בעלה</w:t>
      </w:r>
      <w:r>
        <w:rPr>
          <w:rStyle w:val="a7"/>
          <w:rtl/>
        </w:rPr>
        <w:footnoteReference w:id="209"/>
      </w:r>
      <w:r>
        <w:rPr>
          <w:rFonts w:hint="cs"/>
          <w:rtl/>
        </w:rPr>
        <w:t>.</w:t>
      </w:r>
    </w:p>
    <w:p w14:paraId="23C46994" w14:textId="72C7B2AE" w:rsidR="008E7E93" w:rsidRDefault="00FA4D36" w:rsidP="009000E3">
      <w:pPr>
        <w:pStyle w:val="ab"/>
        <w:numPr>
          <w:ilvl w:val="0"/>
          <w:numId w:val="78"/>
        </w:numPr>
      </w:pPr>
      <w:r>
        <w:rPr>
          <w:rFonts w:cs="Arial" w:hint="cs"/>
          <w:rtl/>
        </w:rPr>
        <w:t xml:space="preserve">רש"י </w:t>
      </w:r>
      <w:r>
        <w:rPr>
          <w:rFonts w:cs="Arial" w:hint="cs"/>
          <w:sz w:val="16"/>
          <w:szCs w:val="16"/>
          <w:rtl/>
        </w:rPr>
        <w:t>(ט. ד"ה פחותה)</w:t>
      </w:r>
      <w:r>
        <w:rPr>
          <w:rFonts w:cs="Arial" w:hint="cs"/>
          <w:rtl/>
        </w:rPr>
        <w:t xml:space="preserve"> </w:t>
      </w:r>
      <w:r w:rsidR="009E3D29">
        <w:rPr>
          <w:rFonts w:cs="Arial" w:hint="cs"/>
          <w:rtl/>
        </w:rPr>
        <w:t xml:space="preserve">ראב"ד </w:t>
      </w:r>
      <w:r w:rsidR="009E3D29">
        <w:rPr>
          <w:rFonts w:cs="Arial" w:hint="cs"/>
          <w:sz w:val="16"/>
          <w:szCs w:val="16"/>
          <w:rtl/>
        </w:rPr>
        <w:t>(בהשגות שם ושם)</w:t>
      </w:r>
      <w:r w:rsidR="009E3D29" w:rsidRPr="009E3D29">
        <w:rPr>
          <w:rFonts w:cs="Arial"/>
          <w:sz w:val="16"/>
          <w:szCs w:val="16"/>
          <w:rtl/>
        </w:rPr>
        <w:t xml:space="preserve"> </w:t>
      </w:r>
      <w:r w:rsidR="008363C4">
        <w:rPr>
          <w:rFonts w:cs="Arial" w:hint="cs"/>
          <w:rtl/>
        </w:rPr>
        <w:t>ו</w:t>
      </w:r>
      <w:r w:rsidR="009E3D29">
        <w:rPr>
          <w:rFonts w:cs="Arial" w:hint="cs"/>
          <w:rtl/>
        </w:rPr>
        <w:t xml:space="preserve">ר"ן </w:t>
      </w:r>
      <w:r w:rsidR="009E3D29" w:rsidRPr="009E3D29">
        <w:rPr>
          <w:rFonts w:cs="Arial"/>
          <w:sz w:val="16"/>
          <w:szCs w:val="16"/>
          <w:rtl/>
        </w:rPr>
        <w:t>(שם ד"ה אי)</w:t>
      </w:r>
      <w:r w:rsidR="009E3D29">
        <w:rPr>
          <w:rFonts w:cs="Arial" w:hint="cs"/>
          <w:rtl/>
        </w:rPr>
        <w:t xml:space="preserve">- </w:t>
      </w:r>
      <w:r w:rsidR="009E3D29" w:rsidRPr="009E3D29">
        <w:rPr>
          <w:rFonts w:cs="Arial"/>
          <w:rtl/>
        </w:rPr>
        <w:t>פיתוי קטנה אונס הוא</w:t>
      </w:r>
      <w:r w:rsidR="009E3D29">
        <w:rPr>
          <w:rFonts w:cs="Arial" w:hint="cs"/>
          <w:rtl/>
        </w:rPr>
        <w:t>.</w:t>
      </w:r>
      <w:r w:rsidR="009E3D29" w:rsidRPr="009E3D29">
        <w:rPr>
          <w:rFonts w:cs="Arial"/>
          <w:rtl/>
        </w:rPr>
        <w:t xml:space="preserve"> </w:t>
      </w:r>
      <w:r w:rsidR="00AC55EA" w:rsidRPr="00AC55EA">
        <w:rPr>
          <w:rFonts w:hint="cs"/>
          <w:color w:val="00B0F0"/>
          <w:rtl/>
        </w:rPr>
        <w:t>(וכ"כ הרמ"א)</w:t>
      </w:r>
    </w:p>
    <w:p w14:paraId="296D07AB" w14:textId="77777777" w:rsidR="005B7F07" w:rsidRPr="00351B7D" w:rsidRDefault="005B7F07" w:rsidP="005B7F0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0FE14C8" w14:textId="3B5F20A0" w:rsidR="00D348C0" w:rsidRDefault="00973C57" w:rsidP="006A60FC">
      <w:pPr>
        <w:rPr>
          <w:rtl/>
        </w:rPr>
      </w:pPr>
      <w:r>
        <w:rPr>
          <w:rFonts w:cs="Arial"/>
          <w:rtl/>
        </w:rPr>
        <w:t>כשאמרו שטענתו על הבתולים טענה, אם הוא כהן הרי היא אסורה עליו</w:t>
      </w:r>
      <w:r w:rsidR="008E7E66">
        <w:rPr>
          <w:rStyle w:val="a7"/>
          <w:rFonts w:cs="Arial"/>
          <w:rtl/>
        </w:rPr>
        <w:footnoteReference w:id="210"/>
      </w:r>
      <w:r>
        <w:rPr>
          <w:rFonts w:cs="Arial"/>
          <w:rtl/>
        </w:rPr>
        <w:t>, ואם היא אשת ישראל מותרת לו, א</w:t>
      </w:r>
      <w:r w:rsidR="00134090">
        <w:rPr>
          <w:rFonts w:cs="Arial" w:hint="cs"/>
          <w:rtl/>
        </w:rPr>
        <w:t>לא אם כן</w:t>
      </w:r>
      <w:r>
        <w:rPr>
          <w:rFonts w:cs="Arial"/>
          <w:rtl/>
        </w:rPr>
        <w:t xml:space="preserve"> קבל בה אביה קדושין פחות מג' שנים ויום אחד. </w:t>
      </w:r>
      <w:r w:rsidRPr="00FA1643">
        <w:rPr>
          <w:rFonts w:cs="Arial"/>
          <w:sz w:val="18"/>
          <w:szCs w:val="18"/>
          <w:rtl/>
        </w:rPr>
        <w:t>הגה: וי"א הא דנאסרה באשת ישראל, דוקא כשאינה מתרצת עצמה, אבל אמרה: נאנסתי, נאמנת (</w:t>
      </w:r>
      <w:r w:rsidR="00AC55EA">
        <w:rPr>
          <w:rFonts w:cs="Arial" w:hint="cs"/>
          <w:sz w:val="18"/>
          <w:szCs w:val="18"/>
          <w:rtl/>
        </w:rPr>
        <w:t>ה"ר יונה</w:t>
      </w:r>
      <w:r w:rsidRPr="00FA1643">
        <w:rPr>
          <w:rFonts w:cs="Arial"/>
          <w:sz w:val="18"/>
          <w:szCs w:val="18"/>
          <w:rtl/>
        </w:rPr>
        <w:t>). וי"א עוד דדוקא שהיא גדולה לפנינו, אבל אם היא עדיין קטנה, אינה נאסרת (</w:t>
      </w:r>
      <w:r w:rsidR="00AC55EA">
        <w:rPr>
          <w:rFonts w:cs="Arial" w:hint="cs"/>
          <w:sz w:val="18"/>
          <w:szCs w:val="18"/>
          <w:rtl/>
        </w:rPr>
        <w:t>רש"י ור"ן</w:t>
      </w:r>
      <w:r w:rsidRPr="00FA1643">
        <w:rPr>
          <w:rFonts w:cs="Arial"/>
          <w:sz w:val="18"/>
          <w:szCs w:val="18"/>
          <w:rtl/>
        </w:rPr>
        <w:t>). וע"ל סימן קע"ח סעיף ג'.</w:t>
      </w:r>
      <w:r>
        <w:rPr>
          <w:rFonts w:cs="Arial"/>
          <w:rtl/>
        </w:rPr>
        <w:t xml:space="preserve"> </w:t>
      </w:r>
    </w:p>
    <w:p w14:paraId="59D28964" w14:textId="77777777" w:rsidR="002B6F3F" w:rsidRDefault="002B6F3F" w:rsidP="00D348C0">
      <w:pPr>
        <w:rPr>
          <w:rFonts w:cs="Arial"/>
          <w:rtl/>
        </w:rPr>
      </w:pPr>
      <w:r w:rsidRPr="002B6F3F">
        <w:rPr>
          <w:rFonts w:cs="Arial" w:hint="cs"/>
          <w:u w:val="single"/>
          <w:rtl/>
        </w:rPr>
        <w:lastRenderedPageBreak/>
        <w:t xml:space="preserve">כשאשתו </w:t>
      </w:r>
      <w:r w:rsidR="00D348C0" w:rsidRPr="002B6F3F">
        <w:rPr>
          <w:rFonts w:cs="Arial"/>
          <w:u w:val="single"/>
          <w:rtl/>
        </w:rPr>
        <w:t>אסורה עליו</w:t>
      </w:r>
      <w:r w:rsidRPr="002B6F3F">
        <w:rPr>
          <w:rFonts w:cs="Arial" w:hint="cs"/>
          <w:u w:val="single"/>
          <w:rtl/>
        </w:rPr>
        <w:t xml:space="preserve"> בגלל טענת פתח פתוח - האם בית דין כופין אותו להוציא:</w:t>
      </w:r>
      <w:r w:rsidR="00D348C0">
        <w:rPr>
          <w:rFonts w:cs="Arial"/>
          <w:rtl/>
        </w:rPr>
        <w:t xml:space="preserve"> </w:t>
      </w:r>
    </w:p>
    <w:p w14:paraId="5E702ACD" w14:textId="1AEC599D" w:rsidR="00D348C0" w:rsidRPr="002B6F3F" w:rsidRDefault="002B6F3F" w:rsidP="009000E3">
      <w:pPr>
        <w:pStyle w:val="ab"/>
        <w:numPr>
          <w:ilvl w:val="0"/>
          <w:numId w:val="80"/>
        </w:numPr>
        <w:rPr>
          <w:rFonts w:cs="Arial"/>
          <w:rtl/>
        </w:rPr>
      </w:pPr>
      <w:r w:rsidRPr="002B6F3F">
        <w:rPr>
          <w:rFonts w:cs="Arial" w:hint="cs"/>
          <w:rtl/>
        </w:rPr>
        <w:t xml:space="preserve">פת"ש </w:t>
      </w:r>
      <w:r w:rsidRPr="002B6F3F">
        <w:rPr>
          <w:rFonts w:cs="Arial" w:hint="cs"/>
          <w:sz w:val="16"/>
          <w:szCs w:val="16"/>
          <w:rtl/>
        </w:rPr>
        <w:t>(סק"</w:t>
      </w:r>
      <w:r w:rsidRPr="002B6F3F">
        <w:rPr>
          <w:rFonts w:cs="Arial"/>
          <w:sz w:val="16"/>
          <w:szCs w:val="16"/>
          <w:rtl/>
        </w:rPr>
        <w:t>ד)</w:t>
      </w:r>
      <w:r w:rsidRPr="002B6F3F">
        <w:rPr>
          <w:rFonts w:cs="Arial" w:hint="cs"/>
          <w:rtl/>
        </w:rPr>
        <w:t xml:space="preserve">- </w:t>
      </w:r>
      <w:r w:rsidR="00D348C0" w:rsidRPr="002B6F3F">
        <w:rPr>
          <w:rFonts w:cs="Arial"/>
          <w:rtl/>
        </w:rPr>
        <w:t xml:space="preserve">עיין בת' מהריב"ל </w:t>
      </w:r>
      <w:r>
        <w:rPr>
          <w:rFonts w:cs="Arial" w:hint="cs"/>
          <w:rtl/>
        </w:rPr>
        <w:t>(</w:t>
      </w:r>
      <w:r w:rsidR="00D348C0" w:rsidRPr="002B6F3F">
        <w:rPr>
          <w:rFonts w:cs="Arial"/>
          <w:rtl/>
        </w:rPr>
        <w:t>ח"ב סי' ו</w:t>
      </w:r>
      <w:r>
        <w:rPr>
          <w:rFonts w:cs="Arial" w:hint="cs"/>
          <w:rtl/>
        </w:rPr>
        <w:t>)</w:t>
      </w:r>
      <w:r w:rsidR="00D348C0" w:rsidRPr="002B6F3F">
        <w:rPr>
          <w:rFonts w:cs="Arial"/>
          <w:rtl/>
        </w:rPr>
        <w:t xml:space="preserve"> דפשיטא ליה כיון דאמרו בגמ' דפתח פתוח כשני עדים דמי א"כ ב"ד כופין להוציא ע"ש</w:t>
      </w:r>
      <w:r>
        <w:rPr>
          <w:rFonts w:cs="Arial" w:hint="cs"/>
          <w:rtl/>
        </w:rPr>
        <w:t>.</w:t>
      </w:r>
      <w:r w:rsidR="00D348C0" w:rsidRPr="002B6F3F">
        <w:rPr>
          <w:rFonts w:cs="Arial"/>
          <w:rtl/>
        </w:rPr>
        <w:t xml:space="preserve"> אך בתשו' מהר"י הלוי אחיו של הט"ז </w:t>
      </w:r>
      <w:r>
        <w:rPr>
          <w:rFonts w:cs="Arial" w:hint="cs"/>
          <w:rtl/>
        </w:rPr>
        <w:t>(</w:t>
      </w:r>
      <w:r w:rsidR="00D348C0" w:rsidRPr="002B6F3F">
        <w:rPr>
          <w:rFonts w:cs="Arial"/>
          <w:rtl/>
        </w:rPr>
        <w:t>סי' לט</w:t>
      </w:r>
      <w:r>
        <w:rPr>
          <w:rFonts w:cs="Arial" w:hint="cs"/>
          <w:rtl/>
        </w:rPr>
        <w:t>)</w:t>
      </w:r>
      <w:r w:rsidR="00D348C0" w:rsidRPr="002B6F3F">
        <w:rPr>
          <w:rFonts w:cs="Arial"/>
          <w:rtl/>
        </w:rPr>
        <w:t xml:space="preserve"> כתב דהפי' בגמ' נאמן לאוסרה עליו היינו דאמרינן ליה דאסורה לו בלצאת י</w:t>
      </w:r>
      <w:r>
        <w:rPr>
          <w:rFonts w:cs="Arial" w:hint="cs"/>
          <w:rtl/>
        </w:rPr>
        <w:t>די שמים,</w:t>
      </w:r>
      <w:r w:rsidR="00D348C0" w:rsidRPr="002B6F3F">
        <w:rPr>
          <w:rFonts w:cs="Arial"/>
          <w:rtl/>
        </w:rPr>
        <w:t xml:space="preserve"> אבל אין ב"ד כופין אותו והא דאמרו פ</w:t>
      </w:r>
      <w:r w:rsidR="0045151D">
        <w:rPr>
          <w:rFonts w:cs="Arial" w:hint="cs"/>
          <w:rtl/>
        </w:rPr>
        <w:t>תח פתוח</w:t>
      </w:r>
      <w:r w:rsidR="00D348C0" w:rsidRPr="002B6F3F">
        <w:rPr>
          <w:rFonts w:cs="Arial"/>
          <w:rtl/>
        </w:rPr>
        <w:t xml:space="preserve"> כשני עדים דמי היינו דחובה עליו לגרש לצ</w:t>
      </w:r>
      <w:r w:rsidR="0045151D">
        <w:rPr>
          <w:rFonts w:cs="Arial" w:hint="cs"/>
          <w:rtl/>
        </w:rPr>
        <w:t>את ידי שמים.</w:t>
      </w:r>
      <w:r w:rsidR="00D348C0" w:rsidRPr="002B6F3F">
        <w:rPr>
          <w:rFonts w:cs="Arial"/>
          <w:rtl/>
        </w:rPr>
        <w:t xml:space="preserve"> ולענין חומר האיסור הוי כב' עדים אבל לא לענין כפיות ב"ד ע"ש</w:t>
      </w:r>
      <w:r>
        <w:rPr>
          <w:rFonts w:cs="Arial" w:hint="cs"/>
          <w:rtl/>
        </w:rPr>
        <w:t>.</w:t>
      </w:r>
      <w:r w:rsidR="00D348C0" w:rsidRPr="002B6F3F">
        <w:rPr>
          <w:rFonts w:cs="Arial"/>
          <w:rtl/>
        </w:rPr>
        <w:t xml:space="preserve"> ועיין בתשו' ברית אברהם </w:t>
      </w:r>
      <w:r>
        <w:rPr>
          <w:rFonts w:cs="Arial" w:hint="cs"/>
          <w:rtl/>
        </w:rPr>
        <w:t>(</w:t>
      </w:r>
      <w:r w:rsidR="00D348C0" w:rsidRPr="002B6F3F">
        <w:rPr>
          <w:rFonts w:cs="Arial"/>
          <w:rtl/>
        </w:rPr>
        <w:t>סי' פו אות א"ב</w:t>
      </w:r>
      <w:r>
        <w:rPr>
          <w:rFonts w:cs="Arial" w:hint="cs"/>
          <w:rtl/>
        </w:rPr>
        <w:t>)</w:t>
      </w:r>
      <w:r w:rsidR="00D348C0" w:rsidRPr="002B6F3F">
        <w:rPr>
          <w:rFonts w:cs="Arial"/>
          <w:rtl/>
        </w:rPr>
        <w:t xml:space="preserve"> מ"ש בזה ומבואר שם שמסכים לדברי מהריב"ל דב"ד כופין אותו להוציא ע"ש</w:t>
      </w:r>
      <w:r>
        <w:rPr>
          <w:rFonts w:cs="Arial" w:hint="cs"/>
          <w:rtl/>
        </w:rPr>
        <w:t>.</w:t>
      </w:r>
      <w:r w:rsidR="00D348C0" w:rsidRPr="002B6F3F">
        <w:rPr>
          <w:rFonts w:cs="Arial"/>
          <w:rtl/>
        </w:rPr>
        <w:t xml:space="preserve"> ועמש"ל סי' קט"ו ס"ז סקל"ז</w:t>
      </w:r>
      <w:r w:rsidR="00191F03" w:rsidRPr="002B6F3F">
        <w:rPr>
          <w:rFonts w:cs="Arial" w:hint="cs"/>
          <w:rtl/>
        </w:rPr>
        <w:t>.</w:t>
      </w:r>
    </w:p>
    <w:p w14:paraId="19A9CC1E" w14:textId="7FD4C1A8" w:rsidR="007E3F04" w:rsidRDefault="007E3F04" w:rsidP="00D348C0">
      <w:pPr>
        <w:rPr>
          <w:rFonts w:cs="Arial"/>
          <w:rtl/>
        </w:rPr>
      </w:pPr>
      <w:r w:rsidRPr="002B6F3F">
        <w:rPr>
          <w:rFonts w:cs="Arial" w:hint="cs"/>
          <w:u w:val="single"/>
          <w:rtl/>
        </w:rPr>
        <w:t xml:space="preserve">כשאשתו </w:t>
      </w:r>
      <w:r w:rsidRPr="002B6F3F">
        <w:rPr>
          <w:rFonts w:cs="Arial"/>
          <w:u w:val="single"/>
          <w:rtl/>
        </w:rPr>
        <w:t>אסורה עליו</w:t>
      </w:r>
      <w:r w:rsidRPr="002B6F3F">
        <w:rPr>
          <w:rFonts w:cs="Arial" w:hint="cs"/>
          <w:u w:val="single"/>
          <w:rtl/>
        </w:rPr>
        <w:t xml:space="preserve"> בגלל טענת פתח פתוח - האם </w:t>
      </w:r>
      <w:r w:rsidR="00D175D6">
        <w:rPr>
          <w:rFonts w:cs="Arial" w:hint="cs"/>
          <w:u w:val="single"/>
          <w:rtl/>
        </w:rPr>
        <w:t>היא מותרת לכהן אחר או ליבם:</w:t>
      </w:r>
      <w:r>
        <w:rPr>
          <w:rFonts w:cs="Arial"/>
          <w:rtl/>
        </w:rPr>
        <w:t xml:space="preserve"> </w:t>
      </w:r>
    </w:p>
    <w:p w14:paraId="1026D4EA" w14:textId="58D38693" w:rsidR="00D348C0" w:rsidRDefault="00D175D6" w:rsidP="009000E3">
      <w:pPr>
        <w:pStyle w:val="ab"/>
        <w:numPr>
          <w:ilvl w:val="0"/>
          <w:numId w:val="80"/>
        </w:numPr>
        <w:rPr>
          <w:rtl/>
        </w:rPr>
      </w:pPr>
      <w:r w:rsidRPr="00D175D6">
        <w:rPr>
          <w:rFonts w:cs="Arial" w:hint="cs"/>
          <w:rtl/>
        </w:rPr>
        <w:t xml:space="preserve">פת"ש </w:t>
      </w:r>
      <w:r w:rsidR="00D348C0" w:rsidRPr="00D175D6">
        <w:rPr>
          <w:rFonts w:cs="Arial"/>
          <w:sz w:val="16"/>
          <w:szCs w:val="16"/>
          <w:rtl/>
        </w:rPr>
        <w:t>(</w:t>
      </w:r>
      <w:r w:rsidRPr="00D175D6">
        <w:rPr>
          <w:rFonts w:cs="Arial" w:hint="cs"/>
          <w:sz w:val="16"/>
          <w:szCs w:val="16"/>
          <w:rtl/>
        </w:rPr>
        <w:t>סק"</w:t>
      </w:r>
      <w:r w:rsidR="00D348C0" w:rsidRPr="00D175D6">
        <w:rPr>
          <w:rFonts w:cs="Arial"/>
          <w:sz w:val="16"/>
          <w:szCs w:val="16"/>
          <w:rtl/>
        </w:rPr>
        <w:t>ה)</w:t>
      </w:r>
      <w:r w:rsidRPr="00D175D6">
        <w:rPr>
          <w:rFonts w:cs="Arial" w:hint="cs"/>
          <w:rtl/>
        </w:rPr>
        <w:t>-</w:t>
      </w:r>
      <w:r w:rsidR="00D348C0" w:rsidRPr="00D175D6">
        <w:rPr>
          <w:rFonts w:cs="Arial"/>
          <w:rtl/>
        </w:rPr>
        <w:t xml:space="preserve"> עיין בס' פני יהושע </w:t>
      </w:r>
      <w:r>
        <w:rPr>
          <w:rFonts w:cs="Arial" w:hint="cs"/>
          <w:rtl/>
        </w:rPr>
        <w:t>(</w:t>
      </w:r>
      <w:r w:rsidR="00D348C0" w:rsidRPr="00D175D6">
        <w:rPr>
          <w:rFonts w:cs="Arial"/>
          <w:rtl/>
        </w:rPr>
        <w:t>כתובות שם</w:t>
      </w:r>
      <w:r>
        <w:rPr>
          <w:rFonts w:cs="Arial" w:hint="cs"/>
          <w:rtl/>
        </w:rPr>
        <w:t>)</w:t>
      </w:r>
      <w:r w:rsidR="00D348C0" w:rsidRPr="00D175D6">
        <w:rPr>
          <w:rFonts w:cs="Arial"/>
          <w:rtl/>
        </w:rPr>
        <w:t xml:space="preserve"> שכ' דפשוט דהיא מותרת לכהן אחר דרק על עצמו שוויא חד"א ע"ש</w:t>
      </w:r>
      <w:r>
        <w:rPr>
          <w:rFonts w:cs="Arial" w:hint="cs"/>
          <w:rtl/>
        </w:rPr>
        <w:t>.</w:t>
      </w:r>
      <w:r w:rsidR="00D348C0" w:rsidRPr="00D175D6">
        <w:rPr>
          <w:rFonts w:cs="Arial"/>
          <w:rtl/>
        </w:rPr>
        <w:t xml:space="preserve"> ובק"א </w:t>
      </w:r>
      <w:r>
        <w:rPr>
          <w:rFonts w:cs="Arial" w:hint="cs"/>
          <w:rtl/>
        </w:rPr>
        <w:t>(</w:t>
      </w:r>
      <w:r w:rsidR="00D348C0" w:rsidRPr="00D175D6">
        <w:rPr>
          <w:rFonts w:cs="Arial"/>
          <w:rtl/>
        </w:rPr>
        <w:t>שם סי' כד</w:t>
      </w:r>
      <w:r>
        <w:rPr>
          <w:rFonts w:cs="Arial" w:hint="cs"/>
          <w:rtl/>
        </w:rPr>
        <w:t>)</w:t>
      </w:r>
      <w:r w:rsidR="00D348C0" w:rsidRPr="00D175D6">
        <w:rPr>
          <w:rFonts w:cs="Arial"/>
          <w:rtl/>
        </w:rPr>
        <w:t xml:space="preserve"> הניח זה בצ"ע לדינא ע"ש. ועיין בת' נו"ב </w:t>
      </w:r>
      <w:r>
        <w:rPr>
          <w:rFonts w:cs="Arial" w:hint="cs"/>
          <w:rtl/>
        </w:rPr>
        <w:t>(</w:t>
      </w:r>
      <w:r w:rsidR="00D348C0" w:rsidRPr="00D175D6">
        <w:rPr>
          <w:rFonts w:cs="Arial"/>
          <w:rtl/>
        </w:rPr>
        <w:t>תניינא סי' יד</w:t>
      </w:r>
      <w:r>
        <w:rPr>
          <w:rFonts w:cs="Arial" w:hint="cs"/>
          <w:rtl/>
        </w:rPr>
        <w:t>,</w:t>
      </w:r>
      <w:r w:rsidR="00D348C0" w:rsidRPr="00D175D6">
        <w:rPr>
          <w:rFonts w:cs="Arial"/>
          <w:rtl/>
        </w:rPr>
        <w:t xml:space="preserve"> יובא לקמן סק</w:t>
      </w:r>
      <w:r>
        <w:rPr>
          <w:rFonts w:cs="Arial" w:hint="cs"/>
          <w:rtl/>
        </w:rPr>
        <w:t>"</w:t>
      </w:r>
      <w:r w:rsidR="00D348C0" w:rsidRPr="00D175D6">
        <w:rPr>
          <w:rFonts w:cs="Arial"/>
          <w:rtl/>
        </w:rPr>
        <w:t>ח</w:t>
      </w:r>
      <w:r>
        <w:rPr>
          <w:rFonts w:cs="Arial" w:hint="cs"/>
          <w:rtl/>
        </w:rPr>
        <w:t>).</w:t>
      </w:r>
      <w:r w:rsidR="00D348C0" w:rsidRPr="00D175D6">
        <w:rPr>
          <w:rFonts w:cs="Arial"/>
          <w:rtl/>
        </w:rPr>
        <w:t xml:space="preserve"> ועיין בשו"ת תשו' מאהבה </w:t>
      </w:r>
      <w:r>
        <w:rPr>
          <w:rFonts w:cs="Arial" w:hint="cs"/>
          <w:rtl/>
        </w:rPr>
        <w:t>(</w:t>
      </w:r>
      <w:r w:rsidR="00D348C0" w:rsidRPr="00D175D6">
        <w:rPr>
          <w:rFonts w:cs="Arial"/>
          <w:rtl/>
        </w:rPr>
        <w:t>ח"א סי' קנו</w:t>
      </w:r>
      <w:r>
        <w:rPr>
          <w:rFonts w:cs="Arial" w:hint="cs"/>
          <w:rtl/>
        </w:rPr>
        <w:t>)</w:t>
      </w:r>
      <w:r w:rsidR="00D348C0" w:rsidRPr="00D175D6">
        <w:rPr>
          <w:rFonts w:cs="Arial"/>
          <w:rtl/>
        </w:rPr>
        <w:t xml:space="preserve"> שנסתפק אם היא מותרת ליבם ע"פ מה דאיתא בסוטה </w:t>
      </w:r>
      <w:r>
        <w:rPr>
          <w:rFonts w:cs="Arial" w:hint="cs"/>
          <w:rtl/>
        </w:rPr>
        <w:t>(</w:t>
      </w:r>
      <w:r w:rsidR="00D348C0" w:rsidRPr="00D175D6">
        <w:rPr>
          <w:rFonts w:cs="Arial"/>
          <w:rtl/>
        </w:rPr>
        <w:t>ה</w:t>
      </w:r>
      <w:r>
        <w:rPr>
          <w:rFonts w:cs="Arial" w:hint="cs"/>
          <w:rtl/>
        </w:rPr>
        <w:t>:)</w:t>
      </w:r>
      <w:r w:rsidR="00D348C0" w:rsidRPr="00D175D6">
        <w:rPr>
          <w:rFonts w:cs="Arial"/>
          <w:rtl/>
        </w:rPr>
        <w:t xml:space="preserve"> הטעם דסוטה אסורה ליבם מי נימא כיון שהיתה אסורה לאחיו אסורה גם ליבם שבא מחמתו</w:t>
      </w:r>
      <w:r>
        <w:rPr>
          <w:rFonts w:cs="Arial" w:hint="cs"/>
          <w:rtl/>
        </w:rPr>
        <w:t>,</w:t>
      </w:r>
      <w:r w:rsidR="00D348C0" w:rsidRPr="00D175D6">
        <w:rPr>
          <w:rFonts w:cs="Arial"/>
          <w:rtl/>
        </w:rPr>
        <w:t xml:space="preserve"> או דילמא יש לחלק בין סוטה דאסורה לבעל מדאו' לשויא חד"א אע</w:t>
      </w:r>
      <w:r>
        <w:rPr>
          <w:rFonts w:cs="Arial" w:hint="cs"/>
          <w:rtl/>
        </w:rPr>
        <w:t>"</w:t>
      </w:r>
      <w:r w:rsidR="00D348C0" w:rsidRPr="00D175D6">
        <w:rPr>
          <w:rFonts w:cs="Arial"/>
          <w:rtl/>
        </w:rPr>
        <w:t>ג דהוא נמי דאו' מ"מ אחרי שהיא מותרת לכהן אחר אפשר דמותרת אף ליבם דיכול לומר מה לי ולטענתו ע"ש</w:t>
      </w:r>
      <w:r>
        <w:rPr>
          <w:rFonts w:cs="Arial" w:hint="cs"/>
          <w:rtl/>
        </w:rPr>
        <w:t>.</w:t>
      </w:r>
    </w:p>
    <w:p w14:paraId="54DC31BA" w14:textId="6465CAAD" w:rsidR="00D348C0" w:rsidRDefault="00D348C0" w:rsidP="00D348C0">
      <w:pPr>
        <w:rPr>
          <w:rtl/>
        </w:rPr>
      </w:pPr>
    </w:p>
    <w:p w14:paraId="31869185" w14:textId="31E77363" w:rsidR="00973C57" w:rsidRDefault="00973C57" w:rsidP="000F64D0">
      <w:pPr>
        <w:pStyle w:val="2"/>
        <w:rPr>
          <w:rtl/>
        </w:rPr>
      </w:pPr>
      <w:r>
        <w:rPr>
          <w:rtl/>
        </w:rPr>
        <w:t>סעיף ח</w:t>
      </w:r>
      <w:r w:rsidR="006A470C">
        <w:rPr>
          <w:rFonts w:hint="cs"/>
          <w:rtl/>
        </w:rPr>
        <w:t>:</w:t>
      </w:r>
      <w:r w:rsidR="004732DA">
        <w:rPr>
          <w:rFonts w:hint="cs"/>
          <w:rtl/>
        </w:rPr>
        <w:t xml:space="preserve"> </w:t>
      </w:r>
      <w:r w:rsidR="00EB239E">
        <w:rPr>
          <w:rFonts w:hint="cs"/>
          <w:rtl/>
        </w:rPr>
        <w:t>הבעל נאמן להפסידה בטענת בתולים</w:t>
      </w:r>
      <w:r w:rsidR="001905BA">
        <w:rPr>
          <w:rFonts w:hint="cs"/>
          <w:rtl/>
        </w:rPr>
        <w:t>.</w:t>
      </w:r>
    </w:p>
    <w:p w14:paraId="67CD1C21" w14:textId="2F03DAAA" w:rsidR="00115F49" w:rsidRPr="003B52ED" w:rsidRDefault="00115F49" w:rsidP="00115F49">
      <w:pPr>
        <w:rPr>
          <w:rtl/>
        </w:rPr>
      </w:pPr>
      <w:r w:rsidRPr="00EA1E02">
        <w:rPr>
          <w:rFonts w:cs="Arial" w:hint="cs"/>
          <w:b/>
          <w:bCs/>
          <w:rtl/>
        </w:rPr>
        <w:t xml:space="preserve">כתובות </w:t>
      </w:r>
      <w:r w:rsidRPr="00EA1E02">
        <w:rPr>
          <w:rFonts w:cs="Arial" w:hint="cs"/>
          <w:b/>
          <w:bCs/>
          <w:sz w:val="16"/>
          <w:szCs w:val="16"/>
          <w:rtl/>
        </w:rPr>
        <w:t>(</w:t>
      </w:r>
      <w:r>
        <w:rPr>
          <w:rFonts w:cs="Arial" w:hint="cs"/>
          <w:b/>
          <w:bCs/>
          <w:sz w:val="16"/>
          <w:szCs w:val="16"/>
          <w:rtl/>
        </w:rPr>
        <w:t>פ"ק</w:t>
      </w:r>
      <w:r w:rsidRPr="00EA1E02">
        <w:rPr>
          <w:rFonts w:cs="Arial" w:hint="cs"/>
          <w:b/>
          <w:bCs/>
          <w:sz w:val="16"/>
          <w:szCs w:val="16"/>
          <w:rtl/>
        </w:rPr>
        <w:t>)</w:t>
      </w:r>
      <w:r w:rsidRPr="00EA1E02">
        <w:rPr>
          <w:rFonts w:cs="Arial" w:hint="cs"/>
          <w:b/>
          <w:bCs/>
          <w:rtl/>
        </w:rPr>
        <w:t xml:space="preserve"> </w:t>
      </w:r>
      <w:r>
        <w:rPr>
          <w:rFonts w:cs="Arial" w:hint="cs"/>
          <w:b/>
          <w:bCs/>
          <w:rtl/>
        </w:rPr>
        <w:t>ט</w:t>
      </w:r>
      <w:r w:rsidRPr="00EA1E02">
        <w:rPr>
          <w:rFonts w:cs="Arial" w:hint="cs"/>
          <w:b/>
          <w:bCs/>
          <w:rtl/>
        </w:rPr>
        <w:t xml:space="preserve"> ע"</w:t>
      </w:r>
      <w:r>
        <w:rPr>
          <w:rFonts w:cs="Arial" w:hint="cs"/>
          <w:b/>
          <w:bCs/>
          <w:rtl/>
        </w:rPr>
        <w:t>ב</w:t>
      </w:r>
      <w:r w:rsidRPr="00EA1E02">
        <w:rPr>
          <w:rFonts w:cs="Arial" w:hint="cs"/>
          <w:b/>
          <w:bCs/>
          <w:rtl/>
        </w:rPr>
        <w:t>:</w:t>
      </w:r>
      <w:r>
        <w:rPr>
          <w:rFonts w:cs="Arial" w:hint="cs"/>
          <w:rtl/>
        </w:rPr>
        <w:t xml:space="preserve"> </w:t>
      </w:r>
      <w:r w:rsidRPr="0047518F">
        <w:rPr>
          <w:rFonts w:cs="Arial"/>
          <w:u w:val="single"/>
          <w:rtl/>
        </w:rPr>
        <w:t>אמר רב יהודה אמר שמואל</w:t>
      </w:r>
      <w:r w:rsidRPr="0047518F">
        <w:rPr>
          <w:rFonts w:cs="Arial"/>
          <w:rtl/>
        </w:rPr>
        <w:t>: האומר פתח פתוח מצאתי - נאמן להפסידה כתובתה</w:t>
      </w:r>
      <w:r>
        <w:rPr>
          <w:rStyle w:val="a7"/>
          <w:rFonts w:cs="Arial"/>
          <w:rtl/>
        </w:rPr>
        <w:footnoteReference w:id="211"/>
      </w:r>
      <w:r w:rsidRPr="0047518F">
        <w:rPr>
          <w:rFonts w:cs="Arial"/>
          <w:rtl/>
        </w:rPr>
        <w:t>.</w:t>
      </w:r>
      <w:r>
        <w:rPr>
          <w:rFonts w:cs="Arial" w:hint="cs"/>
          <w:rtl/>
        </w:rPr>
        <w:t>..</w:t>
      </w:r>
      <w:r>
        <w:rPr>
          <w:rFonts w:cs="Arial" w:hint="cs"/>
          <w:sz w:val="14"/>
          <w:szCs w:val="14"/>
          <w:rtl/>
        </w:rPr>
        <w:t xml:space="preserve"> (י.)</w:t>
      </w:r>
      <w:r w:rsidRPr="0047518F">
        <w:rPr>
          <w:rFonts w:cs="Arial"/>
          <w:rtl/>
        </w:rPr>
        <w:t xml:space="preserve"> </w:t>
      </w:r>
      <w:r w:rsidRPr="004020FA">
        <w:rPr>
          <w:rFonts w:cs="Arial"/>
          <w:u w:val="single"/>
          <w:rtl/>
        </w:rPr>
        <w:t>איתמר אמר רב נחמן אמר שמואל משום רבי שמעון בן אלעזר</w:t>
      </w:r>
      <w:r w:rsidRPr="003B52ED">
        <w:rPr>
          <w:rFonts w:cs="Arial"/>
          <w:rtl/>
        </w:rPr>
        <w:t>: חכמים תקנו</w:t>
      </w:r>
      <w:r>
        <w:rPr>
          <w:rStyle w:val="a7"/>
          <w:rFonts w:cs="Arial"/>
          <w:rtl/>
        </w:rPr>
        <w:footnoteReference w:id="212"/>
      </w:r>
      <w:r w:rsidRPr="003B52ED">
        <w:rPr>
          <w:rFonts w:cs="Arial"/>
          <w:rtl/>
        </w:rPr>
        <w:t xml:space="preserve"> להם לבנות ישראל לבתולה מאתים, ולאלמנה מנה, והם האמינוהו שאם אמר פתח פתוח מצאתי - נאמן. א"כ</w:t>
      </w:r>
      <w:r>
        <w:rPr>
          <w:rStyle w:val="a7"/>
          <w:rFonts w:cs="Arial"/>
          <w:rtl/>
        </w:rPr>
        <w:footnoteReference w:id="213"/>
      </w:r>
      <w:r w:rsidRPr="003B52ED">
        <w:rPr>
          <w:rFonts w:cs="Arial"/>
          <w:rtl/>
        </w:rPr>
        <w:t>, מה הועילו חכמים בתקנתם</w:t>
      </w:r>
      <w:r>
        <w:rPr>
          <w:rStyle w:val="a7"/>
          <w:rFonts w:cs="Arial"/>
          <w:rtl/>
        </w:rPr>
        <w:footnoteReference w:id="214"/>
      </w:r>
      <w:r w:rsidRPr="003B52ED">
        <w:rPr>
          <w:rFonts w:cs="Arial"/>
          <w:rtl/>
        </w:rPr>
        <w:t xml:space="preserve">? </w:t>
      </w:r>
      <w:r w:rsidRPr="004020FA">
        <w:rPr>
          <w:rFonts w:cs="Arial"/>
          <w:u w:val="single"/>
          <w:rtl/>
        </w:rPr>
        <w:t>אמר רבא</w:t>
      </w:r>
      <w:r w:rsidRPr="003B52ED">
        <w:rPr>
          <w:rFonts w:cs="Arial"/>
          <w:rtl/>
        </w:rPr>
        <w:t>: חזקה אין אדם טורח בסעודה ומפסידה</w:t>
      </w:r>
      <w:r>
        <w:rPr>
          <w:rStyle w:val="a7"/>
          <w:rFonts w:cs="Arial"/>
          <w:rtl/>
        </w:rPr>
        <w:footnoteReference w:id="215"/>
      </w:r>
      <w:r w:rsidRPr="003B52ED">
        <w:rPr>
          <w:rFonts w:cs="Arial"/>
          <w:rtl/>
        </w:rPr>
        <w:t>.</w:t>
      </w:r>
      <w:r w:rsidR="00806789" w:rsidRPr="00806789">
        <w:rPr>
          <w:rFonts w:cs="Arial"/>
          <w:rtl/>
        </w:rPr>
        <w:t xml:space="preserve"> </w:t>
      </w:r>
      <w:r w:rsidR="00806789" w:rsidRPr="00806789">
        <w:rPr>
          <w:rFonts w:cs="Arial" w:hint="cs"/>
          <w:sz w:val="16"/>
          <w:szCs w:val="16"/>
          <w:rtl/>
        </w:rPr>
        <w:t>(</w:t>
      </w:r>
      <w:r w:rsidR="00806789">
        <w:rPr>
          <w:rFonts w:cs="Arial" w:hint="cs"/>
          <w:sz w:val="16"/>
          <w:szCs w:val="16"/>
          <w:rtl/>
        </w:rPr>
        <w:t>וכתב הטור</w:t>
      </w:r>
      <w:r w:rsidR="00B359A0">
        <w:rPr>
          <w:rFonts w:cs="Arial" w:hint="cs"/>
          <w:sz w:val="16"/>
          <w:szCs w:val="16"/>
          <w:rtl/>
        </w:rPr>
        <w:t>:</w:t>
      </w:r>
      <w:r w:rsidR="00806789">
        <w:rPr>
          <w:rFonts w:cs="Arial" w:hint="cs"/>
          <w:sz w:val="16"/>
          <w:szCs w:val="16"/>
          <w:rtl/>
        </w:rPr>
        <w:t xml:space="preserve"> </w:t>
      </w:r>
      <w:r w:rsidR="00806789" w:rsidRPr="00806789">
        <w:rPr>
          <w:rFonts w:cs="Arial"/>
          <w:sz w:val="16"/>
          <w:szCs w:val="16"/>
          <w:rtl/>
        </w:rPr>
        <w:t>ולענין להפסידה כתובתה אין חילוק בין אשת כהן לאשת ישראל</w:t>
      </w:r>
      <w:r w:rsidR="00806789" w:rsidRPr="00806789">
        <w:rPr>
          <w:rFonts w:cs="Arial" w:hint="cs"/>
          <w:sz w:val="16"/>
          <w:szCs w:val="16"/>
          <w:rtl/>
        </w:rPr>
        <w:t>,</w:t>
      </w:r>
      <w:r w:rsidR="00806789" w:rsidRPr="00806789">
        <w:rPr>
          <w:rFonts w:cs="Arial"/>
          <w:sz w:val="16"/>
          <w:szCs w:val="16"/>
          <w:rtl/>
        </w:rPr>
        <w:t xml:space="preserve"> וכן אם קבל בה אביה קידושין קטנה או גדולה</w:t>
      </w:r>
      <w:r w:rsidR="00806789" w:rsidRPr="00806789">
        <w:rPr>
          <w:rFonts w:cs="Arial" w:hint="cs"/>
          <w:sz w:val="16"/>
          <w:szCs w:val="16"/>
          <w:rtl/>
        </w:rPr>
        <w:t>,</w:t>
      </w:r>
      <w:r w:rsidR="00806789" w:rsidRPr="00806789">
        <w:rPr>
          <w:rFonts w:cs="Arial"/>
          <w:sz w:val="16"/>
          <w:szCs w:val="16"/>
          <w:rtl/>
        </w:rPr>
        <w:t xml:space="preserve"> אלא בכל ענין האמינוהו חכמים</w:t>
      </w:r>
      <w:r w:rsidR="00806789" w:rsidRPr="00806789">
        <w:rPr>
          <w:rFonts w:cs="Arial" w:hint="cs"/>
          <w:sz w:val="16"/>
          <w:szCs w:val="16"/>
          <w:rtl/>
        </w:rPr>
        <w:t>,</w:t>
      </w:r>
      <w:r w:rsidR="00806789" w:rsidRPr="00806789">
        <w:rPr>
          <w:rFonts w:cs="Arial"/>
          <w:sz w:val="16"/>
          <w:szCs w:val="16"/>
          <w:rtl/>
        </w:rPr>
        <w:t xml:space="preserve"> דחזקה אין אדם טורח בסעודה ומפסידה</w:t>
      </w:r>
      <w:r w:rsidR="00B359A0">
        <w:rPr>
          <w:rFonts w:cs="Arial" w:hint="cs"/>
          <w:sz w:val="16"/>
          <w:szCs w:val="16"/>
          <w:rtl/>
        </w:rPr>
        <w:t>)</w:t>
      </w:r>
    </w:p>
    <w:p w14:paraId="072E00BF" w14:textId="404EEB51" w:rsidR="00037B5C" w:rsidRPr="00225041" w:rsidRDefault="00D5536F" w:rsidP="00037B5C">
      <w:pPr>
        <w:rPr>
          <w:u w:val="single"/>
          <w:rtl/>
        </w:rPr>
      </w:pPr>
      <w:r>
        <w:rPr>
          <w:rFonts w:cs="Arial" w:hint="cs"/>
          <w:u w:val="single"/>
          <w:rtl/>
        </w:rPr>
        <w:t>נאמנות הבעל בטענת בתולים</w:t>
      </w:r>
      <w:r w:rsidR="000E6244">
        <w:rPr>
          <w:rFonts w:cs="Arial" w:hint="cs"/>
          <w:u w:val="single"/>
          <w:rtl/>
        </w:rPr>
        <w:t xml:space="preserve"> - </w:t>
      </w:r>
      <w:r w:rsidR="00225041" w:rsidRPr="00225041">
        <w:rPr>
          <w:rFonts w:cs="Arial"/>
          <w:u w:val="single"/>
          <w:rtl/>
        </w:rPr>
        <w:t>חזקה שאין אדם טורח בסעודה ומפסידה</w:t>
      </w:r>
      <w:r w:rsidR="00225041" w:rsidRPr="00225041">
        <w:rPr>
          <w:rFonts w:hint="cs"/>
          <w:u w:val="single"/>
          <w:rtl/>
        </w:rPr>
        <w:t>:</w:t>
      </w:r>
    </w:p>
    <w:p w14:paraId="285C4AF4" w14:textId="57E88CD8" w:rsidR="00037B5C" w:rsidRPr="00037B5C" w:rsidRDefault="00037B5C" w:rsidP="009000E3">
      <w:pPr>
        <w:pStyle w:val="ab"/>
        <w:numPr>
          <w:ilvl w:val="0"/>
          <w:numId w:val="80"/>
        </w:numPr>
        <w:rPr>
          <w:rtl/>
        </w:rPr>
      </w:pPr>
      <w:r w:rsidRPr="00037B5C">
        <w:rPr>
          <w:rFonts w:cs="Arial" w:hint="cs"/>
          <w:rtl/>
        </w:rPr>
        <w:t xml:space="preserve">רמב"ם </w:t>
      </w:r>
      <w:r w:rsidRPr="00037B5C">
        <w:rPr>
          <w:rFonts w:cs="Arial" w:hint="cs"/>
          <w:sz w:val="16"/>
          <w:szCs w:val="16"/>
          <w:rtl/>
        </w:rPr>
        <w:t>(פי"א מהל' אישות הט"ז)</w:t>
      </w:r>
      <w:r w:rsidRPr="00037B5C">
        <w:rPr>
          <w:rFonts w:cs="Arial" w:hint="cs"/>
          <w:rtl/>
        </w:rPr>
        <w:t xml:space="preserve">- </w:t>
      </w:r>
      <w:r w:rsidRPr="00037B5C">
        <w:rPr>
          <w:rFonts w:cs="Arial"/>
          <w:rtl/>
        </w:rPr>
        <w:t>חכמים הם שתיקנו עיקר כתובה לאשה והם התקינו ואמרו שכל הטוען טענת בתולים והאשה מכחשת אותו</w:t>
      </w:r>
      <w:r w:rsidR="00225041">
        <w:rPr>
          <w:rFonts w:cs="Arial" w:hint="cs"/>
          <w:rtl/>
        </w:rPr>
        <w:t xml:space="preserve"> -</w:t>
      </w:r>
      <w:r w:rsidRPr="00037B5C">
        <w:rPr>
          <w:rFonts w:cs="Arial"/>
          <w:rtl/>
        </w:rPr>
        <w:t xml:space="preserve"> נאמן, ועליה להביא ראיה</w:t>
      </w:r>
      <w:r w:rsidRPr="00037B5C">
        <w:rPr>
          <w:rFonts w:cs="Arial" w:hint="cs"/>
          <w:rtl/>
        </w:rPr>
        <w:t>,</w:t>
      </w:r>
      <w:r w:rsidRPr="00037B5C">
        <w:rPr>
          <w:rFonts w:cs="Arial"/>
          <w:rtl/>
        </w:rPr>
        <w:t xml:space="preserve"> לא על האיש, שחזקה היא שאין אדם טורח</w:t>
      </w:r>
      <w:r w:rsidR="003571EC">
        <w:rPr>
          <w:rStyle w:val="a7"/>
          <w:rFonts w:cs="Arial"/>
          <w:rtl/>
        </w:rPr>
        <w:footnoteReference w:id="216"/>
      </w:r>
      <w:r w:rsidRPr="00037B5C">
        <w:rPr>
          <w:rFonts w:cs="Arial"/>
          <w:rtl/>
        </w:rPr>
        <w:t xml:space="preserve"> בסעודה ומפסידה והופך שמחתו אבל.</w:t>
      </w:r>
    </w:p>
    <w:p w14:paraId="3D102C6E" w14:textId="2EA6555F" w:rsidR="006E0923" w:rsidRPr="000E6244" w:rsidRDefault="004732DA" w:rsidP="000E6244">
      <w:pPr>
        <w:ind w:left="360"/>
        <w:rPr>
          <w:u w:val="dotted"/>
          <w:rtl/>
        </w:rPr>
      </w:pPr>
      <w:r w:rsidRPr="000E6244">
        <w:rPr>
          <w:rFonts w:hint="cs"/>
          <w:u w:val="dotted"/>
          <w:rtl/>
        </w:rPr>
        <w:t>מה נאמן להפסידה, עיקר כתובה או גם תוספת:</w:t>
      </w:r>
    </w:p>
    <w:p w14:paraId="30327977" w14:textId="30C595CA" w:rsidR="00084B0B" w:rsidRDefault="00084B0B" w:rsidP="009000E3">
      <w:pPr>
        <w:pStyle w:val="ab"/>
        <w:numPr>
          <w:ilvl w:val="0"/>
          <w:numId w:val="78"/>
        </w:numPr>
      </w:pPr>
      <w:r>
        <w:rPr>
          <w:rFonts w:cs="Arial"/>
          <w:rtl/>
        </w:rPr>
        <w:t xml:space="preserve">רי"ף </w:t>
      </w:r>
      <w:r w:rsidRPr="00084B0B">
        <w:rPr>
          <w:rFonts w:cs="Arial"/>
          <w:sz w:val="16"/>
          <w:szCs w:val="16"/>
          <w:rtl/>
        </w:rPr>
        <w:t>(ג:)</w:t>
      </w:r>
      <w:r>
        <w:rPr>
          <w:rFonts w:cs="Arial" w:hint="cs"/>
          <w:rtl/>
        </w:rPr>
        <w:t xml:space="preserve"> </w:t>
      </w:r>
      <w:r w:rsidR="00671E9F">
        <w:rPr>
          <w:rFonts w:cs="Arial" w:hint="cs"/>
          <w:rtl/>
        </w:rPr>
        <w:t xml:space="preserve">רמב"ם </w:t>
      </w:r>
      <w:r w:rsidR="00671E9F">
        <w:rPr>
          <w:rFonts w:cs="Arial" w:hint="cs"/>
          <w:sz w:val="16"/>
          <w:szCs w:val="16"/>
          <w:rtl/>
        </w:rPr>
        <w:t>(פי"א מהל' אישות הט"ז)</w:t>
      </w:r>
      <w:r w:rsidR="00671E9F">
        <w:rPr>
          <w:rFonts w:cs="Arial" w:hint="cs"/>
          <w:rtl/>
        </w:rPr>
        <w:t xml:space="preserve"> </w:t>
      </w:r>
      <w:r w:rsidR="00022F6D">
        <w:rPr>
          <w:rFonts w:cs="Arial" w:hint="cs"/>
          <w:rtl/>
        </w:rPr>
        <w:t xml:space="preserve">רא"ש </w:t>
      </w:r>
      <w:r w:rsidR="000A162A">
        <w:rPr>
          <w:rFonts w:cs="Arial" w:hint="cs"/>
          <w:sz w:val="16"/>
          <w:szCs w:val="16"/>
          <w:rtl/>
        </w:rPr>
        <w:t>(פ"א סי' יח)</w:t>
      </w:r>
      <w:r w:rsidR="000A162A">
        <w:rPr>
          <w:rFonts w:cs="Arial" w:hint="cs"/>
          <w:rtl/>
        </w:rPr>
        <w:t xml:space="preserve"> </w:t>
      </w:r>
      <w:r>
        <w:rPr>
          <w:rFonts w:cs="Arial" w:hint="cs"/>
          <w:rtl/>
        </w:rPr>
        <w:t>ו</w:t>
      </w:r>
      <w:r w:rsidR="00DA4087">
        <w:rPr>
          <w:rFonts w:cs="Arial" w:hint="cs"/>
          <w:rtl/>
        </w:rPr>
        <w:t xml:space="preserve">טור- </w:t>
      </w:r>
      <w:r w:rsidR="00022F6D" w:rsidRPr="00022F6D">
        <w:rPr>
          <w:rFonts w:cs="Arial"/>
          <w:rtl/>
        </w:rPr>
        <w:t>וחזינן לגאון דקאמר הנ"מ לענין מנה ומאתים אבל לענין תוספת לא מהימן</w:t>
      </w:r>
      <w:r w:rsidR="00720C52">
        <w:rPr>
          <w:rFonts w:cs="Arial" w:hint="cs"/>
          <w:rtl/>
        </w:rPr>
        <w:t>,</w:t>
      </w:r>
      <w:r w:rsidR="00022F6D" w:rsidRPr="00022F6D">
        <w:rPr>
          <w:rFonts w:cs="Arial"/>
          <w:rtl/>
        </w:rPr>
        <w:t xml:space="preserve"> ומימרא וטעמא דמסתבר הוא</w:t>
      </w:r>
      <w:r w:rsidR="00F3720B">
        <w:rPr>
          <w:rFonts w:cs="Arial" w:hint="cs"/>
          <w:rtl/>
        </w:rPr>
        <w:t>,</w:t>
      </w:r>
      <w:r w:rsidR="00022F6D" w:rsidRPr="00022F6D">
        <w:rPr>
          <w:rFonts w:cs="Arial"/>
          <w:rtl/>
        </w:rPr>
        <w:t xml:space="preserve"> דלא תקינו רבנן אלא מנה ומאתים</w:t>
      </w:r>
      <w:r w:rsidR="00F3720B">
        <w:rPr>
          <w:rFonts w:cs="Arial" w:hint="cs"/>
          <w:rtl/>
        </w:rPr>
        <w:t>,</w:t>
      </w:r>
      <w:r w:rsidR="00022F6D" w:rsidRPr="00022F6D">
        <w:rPr>
          <w:rFonts w:cs="Arial"/>
          <w:rtl/>
        </w:rPr>
        <w:t xml:space="preserve"> אבל תוספת איהו כתב אנפשיה הילכך לא מהימן</w:t>
      </w:r>
      <w:r w:rsidR="00872842">
        <w:rPr>
          <w:rStyle w:val="a7"/>
          <w:rFonts w:cs="Arial"/>
          <w:rtl/>
        </w:rPr>
        <w:footnoteReference w:id="217"/>
      </w:r>
      <w:r w:rsidR="00022F6D">
        <w:rPr>
          <w:rFonts w:cs="Arial" w:hint="cs"/>
          <w:sz w:val="16"/>
          <w:szCs w:val="16"/>
          <w:rtl/>
        </w:rPr>
        <w:t xml:space="preserve"> (ל' הרי"ף והרא"ש)</w:t>
      </w:r>
      <w:r w:rsidR="00022F6D" w:rsidRPr="00022F6D">
        <w:rPr>
          <w:rFonts w:cs="Arial"/>
          <w:rtl/>
        </w:rPr>
        <w:t>.</w:t>
      </w:r>
      <w:r w:rsidR="00F31E40" w:rsidRPr="00F31E40">
        <w:rPr>
          <w:rFonts w:asciiTheme="minorBidi" w:hAnsiTheme="minorBidi"/>
          <w:color w:val="E36C0A" w:themeColor="accent6" w:themeShade="BF"/>
          <w:rtl/>
        </w:rPr>
        <w:t xml:space="preserve"> </w:t>
      </w:r>
      <w:r w:rsidR="00F31E40" w:rsidRPr="00351B7D">
        <w:rPr>
          <w:rFonts w:asciiTheme="minorBidi" w:hAnsiTheme="minorBidi"/>
          <w:color w:val="E36C0A" w:themeColor="accent6" w:themeShade="BF"/>
          <w:rtl/>
        </w:rPr>
        <w:t>(וכ"פ בשו"ע</w:t>
      </w:r>
      <w:r w:rsidR="00F31E40">
        <w:rPr>
          <w:rFonts w:asciiTheme="minorBidi" w:hAnsiTheme="minorBidi" w:hint="cs"/>
          <w:color w:val="E36C0A" w:themeColor="accent6" w:themeShade="BF"/>
          <w:rtl/>
        </w:rPr>
        <w:t>)</w:t>
      </w:r>
    </w:p>
    <w:p w14:paraId="012F406F" w14:textId="225DCF72" w:rsidR="00D2017C" w:rsidRPr="00084B0B" w:rsidRDefault="00D2017C" w:rsidP="009000E3">
      <w:pPr>
        <w:pStyle w:val="ab"/>
        <w:numPr>
          <w:ilvl w:val="0"/>
          <w:numId w:val="78"/>
        </w:numPr>
      </w:pPr>
      <w:r>
        <w:rPr>
          <w:rFonts w:cs="Arial" w:hint="cs"/>
          <w:rtl/>
        </w:rPr>
        <w:lastRenderedPageBreak/>
        <w:t xml:space="preserve">רשב"ם </w:t>
      </w:r>
      <w:r>
        <w:rPr>
          <w:rFonts w:cs="Arial" w:hint="cs"/>
          <w:sz w:val="16"/>
          <w:szCs w:val="16"/>
          <w:rtl/>
        </w:rPr>
        <w:t>(כ"כ המרדכי [כתובות סי' קלה])</w:t>
      </w:r>
      <w:r>
        <w:rPr>
          <w:rFonts w:cs="Arial" w:hint="cs"/>
          <w:rtl/>
        </w:rPr>
        <w:t xml:space="preserve">- </w:t>
      </w:r>
      <w:r w:rsidRPr="00D2017C">
        <w:rPr>
          <w:rFonts w:cs="Arial"/>
          <w:rtl/>
        </w:rPr>
        <w:t>ומה דתקינו רבנן אמרי' חזקה</w:t>
      </w:r>
      <w:r>
        <w:rPr>
          <w:rFonts w:cs="Arial" w:hint="cs"/>
          <w:rtl/>
        </w:rPr>
        <w:t>,</w:t>
      </w:r>
      <w:r w:rsidRPr="00D2017C">
        <w:rPr>
          <w:rFonts w:cs="Arial"/>
          <w:rtl/>
        </w:rPr>
        <w:t xml:space="preserve"> מה דיהיב לא כ</w:t>
      </w:r>
      <w:r>
        <w:rPr>
          <w:rFonts w:cs="Arial" w:hint="cs"/>
          <w:rtl/>
        </w:rPr>
        <w:t xml:space="preserve">ל שכן, </w:t>
      </w:r>
      <w:r w:rsidRPr="00D2017C">
        <w:rPr>
          <w:rFonts w:cs="Arial"/>
          <w:rtl/>
        </w:rPr>
        <w:t>דהא משום חזקה אין אדם טורח בסעודה ומפסידה מהימנינן ליה דודאי פתח פתוח מצא וכמו שהטעתו דמי</w:t>
      </w:r>
      <w:r>
        <w:rPr>
          <w:rFonts w:hint="cs"/>
          <w:rtl/>
        </w:rPr>
        <w:t>.</w:t>
      </w:r>
    </w:p>
    <w:p w14:paraId="4A2527DB" w14:textId="0857B1AF" w:rsidR="00EB239E" w:rsidRPr="004020FA" w:rsidRDefault="00EB239E" w:rsidP="009000E3">
      <w:pPr>
        <w:pStyle w:val="ab"/>
        <w:numPr>
          <w:ilvl w:val="0"/>
          <w:numId w:val="78"/>
        </w:numPr>
      </w:pPr>
      <w:r>
        <w:rPr>
          <w:rFonts w:cs="Arial" w:hint="cs"/>
          <w:rtl/>
        </w:rPr>
        <w:t xml:space="preserve">רשב"א </w:t>
      </w:r>
      <w:r>
        <w:rPr>
          <w:rFonts w:cs="Arial" w:hint="cs"/>
          <w:sz w:val="16"/>
          <w:szCs w:val="16"/>
          <w:rtl/>
        </w:rPr>
        <w:t>(כ"כ בשמו הה"מ [</w:t>
      </w:r>
      <w:r w:rsidRPr="00B87292">
        <w:rPr>
          <w:rFonts w:cs="Arial"/>
          <w:sz w:val="16"/>
          <w:szCs w:val="16"/>
          <w:rtl/>
        </w:rPr>
        <w:t>פי"א מהל</w:t>
      </w:r>
      <w:r w:rsidRPr="00B87292">
        <w:rPr>
          <w:rFonts w:cs="Arial" w:hint="cs"/>
          <w:sz w:val="16"/>
          <w:szCs w:val="16"/>
          <w:rtl/>
        </w:rPr>
        <w:t>'</w:t>
      </w:r>
      <w:r w:rsidRPr="00B87292">
        <w:rPr>
          <w:rFonts w:cs="Arial"/>
          <w:sz w:val="16"/>
          <w:szCs w:val="16"/>
          <w:rtl/>
        </w:rPr>
        <w:t xml:space="preserve"> אישות הט"ז</w:t>
      </w:r>
      <w:r>
        <w:rPr>
          <w:rFonts w:cs="Arial" w:hint="cs"/>
          <w:sz w:val="16"/>
          <w:szCs w:val="16"/>
          <w:rtl/>
        </w:rPr>
        <w:t>]</w:t>
      </w:r>
      <w:r w:rsidRPr="00B87292">
        <w:rPr>
          <w:rFonts w:cs="Arial"/>
          <w:sz w:val="16"/>
          <w:szCs w:val="16"/>
          <w:rtl/>
        </w:rPr>
        <w:t>)</w:t>
      </w:r>
      <w:r>
        <w:rPr>
          <w:rFonts w:cs="Arial" w:hint="cs"/>
          <w:rtl/>
        </w:rPr>
        <w:t>-</w:t>
      </w:r>
      <w:r w:rsidRPr="00B87292">
        <w:rPr>
          <w:rFonts w:cs="Arial"/>
          <w:rtl/>
        </w:rPr>
        <w:t xml:space="preserve"> אין זה אלא בטוען פתח פתוח שאינה טענה ברורה</w:t>
      </w:r>
      <w:r w:rsidRPr="00B87292">
        <w:rPr>
          <w:rFonts w:cs="Arial" w:hint="cs"/>
          <w:rtl/>
        </w:rPr>
        <w:t xml:space="preserve"> </w:t>
      </w:r>
      <w:r w:rsidRPr="00B87292">
        <w:rPr>
          <w:rFonts w:cs="Arial"/>
          <w:rtl/>
        </w:rPr>
        <w:t>כל כך</w:t>
      </w:r>
      <w:r w:rsidRPr="00B87292">
        <w:rPr>
          <w:rFonts w:cs="Arial" w:hint="cs"/>
          <w:rtl/>
        </w:rPr>
        <w:t>,</w:t>
      </w:r>
      <w:r w:rsidRPr="00B87292">
        <w:rPr>
          <w:rFonts w:cs="Arial"/>
          <w:rtl/>
        </w:rPr>
        <w:t xml:space="preserve"> אבל בטוען טענת שלא מצא דם נאמן אפילו להפסידה תוספת אע</w:t>
      </w:r>
      <w:r w:rsidRPr="00B87292">
        <w:rPr>
          <w:rFonts w:cs="Arial" w:hint="cs"/>
          <w:rtl/>
        </w:rPr>
        <w:t>"</w:t>
      </w:r>
      <w:r w:rsidRPr="00B87292">
        <w:rPr>
          <w:rFonts w:cs="Arial"/>
          <w:rtl/>
        </w:rPr>
        <w:t>פ שהיא מכחשת ואומרת מצא ואבד</w:t>
      </w:r>
      <w:r w:rsidR="00D5536F">
        <w:rPr>
          <w:rStyle w:val="a7"/>
          <w:rFonts w:cs="Arial"/>
          <w:rtl/>
        </w:rPr>
        <w:footnoteReference w:id="218"/>
      </w:r>
      <w:r>
        <w:rPr>
          <w:rFonts w:cs="Arial" w:hint="cs"/>
          <w:rtl/>
        </w:rPr>
        <w:t>.</w:t>
      </w:r>
    </w:p>
    <w:p w14:paraId="578E3AC4" w14:textId="2D71B070" w:rsidR="000F7A38" w:rsidRPr="000F7A38" w:rsidRDefault="00D2017C" w:rsidP="000F7A38">
      <w:pPr>
        <w:ind w:left="360"/>
        <w:rPr>
          <w:u w:val="dotted"/>
        </w:rPr>
      </w:pPr>
      <w:r>
        <w:rPr>
          <w:rFonts w:cs="Arial" w:hint="cs"/>
          <w:u w:val="dotted"/>
          <w:rtl/>
        </w:rPr>
        <w:t xml:space="preserve">לרי"ף וסיעתו - </w:t>
      </w:r>
      <w:r w:rsidR="00084B0B" w:rsidRPr="000F7A38">
        <w:rPr>
          <w:rFonts w:cs="Arial" w:hint="cs"/>
          <w:u w:val="dotted"/>
          <w:rtl/>
        </w:rPr>
        <w:t>מה הדין אם יש לו ראיה ברורה</w:t>
      </w:r>
      <w:r w:rsidR="00CA3F97">
        <w:rPr>
          <w:rFonts w:cs="Arial" w:hint="cs"/>
          <w:u w:val="dotted"/>
          <w:rtl/>
        </w:rPr>
        <w:t>, והאם יכול להשביעה לפני שהיא נוטלת את התוספת</w:t>
      </w:r>
      <w:r w:rsidR="00671E9F">
        <w:rPr>
          <w:rFonts w:cs="Arial" w:hint="cs"/>
          <w:u w:val="dotted"/>
          <w:rtl/>
        </w:rPr>
        <w:t>:</w:t>
      </w:r>
    </w:p>
    <w:p w14:paraId="44CE9F4E" w14:textId="7C1EA882" w:rsidR="009D6758" w:rsidRDefault="009D6758" w:rsidP="009000E3">
      <w:pPr>
        <w:pStyle w:val="ab"/>
        <w:numPr>
          <w:ilvl w:val="0"/>
          <w:numId w:val="78"/>
        </w:numPr>
      </w:pPr>
      <w:r>
        <w:rPr>
          <w:rFonts w:cs="Arial" w:hint="cs"/>
          <w:rtl/>
        </w:rPr>
        <w:t xml:space="preserve">רמב"ם </w:t>
      </w:r>
      <w:r>
        <w:rPr>
          <w:rFonts w:cs="Arial" w:hint="cs"/>
          <w:sz w:val="16"/>
          <w:szCs w:val="16"/>
          <w:rtl/>
        </w:rPr>
        <w:t>(פי"א מהל' אישות הט"ז</w:t>
      </w:r>
      <w:r w:rsidR="00032AC2">
        <w:rPr>
          <w:rFonts w:cs="Arial" w:hint="cs"/>
          <w:sz w:val="16"/>
          <w:szCs w:val="16"/>
          <w:rtl/>
        </w:rPr>
        <w:t>, וכ"כ הטור בשמו</w:t>
      </w:r>
      <w:r>
        <w:rPr>
          <w:rFonts w:cs="Arial" w:hint="cs"/>
          <w:sz w:val="16"/>
          <w:szCs w:val="16"/>
          <w:rtl/>
        </w:rPr>
        <w:t>)</w:t>
      </w:r>
      <w:r>
        <w:rPr>
          <w:rFonts w:cs="Arial" w:hint="cs"/>
          <w:rtl/>
        </w:rPr>
        <w:t xml:space="preserve">- </w:t>
      </w:r>
      <w:r w:rsidRPr="009D6758">
        <w:rPr>
          <w:rFonts w:cs="Arial"/>
          <w:rtl/>
        </w:rPr>
        <w:t>הורו כל הגאונים שזה שאמרו חכמים שהוא נאמן אם הכחישתו, להפסידה עיקר הכתובה, אבל התוספת יש לה, אלא אם כן נודע בראיה ברורה שהיתה בעולה או שהודת לו שהיא בעולה קודם שתתארס והטעתו</w:t>
      </w:r>
      <w:r w:rsidR="00CA3F97">
        <w:rPr>
          <w:rFonts w:cs="Arial" w:hint="cs"/>
          <w:rtl/>
        </w:rPr>
        <w:t>.</w:t>
      </w:r>
      <w:r w:rsidRPr="009D6758">
        <w:rPr>
          <w:rFonts w:cs="Arial"/>
          <w:rtl/>
        </w:rPr>
        <w:t xml:space="preserve"> לפיכך יש לו להשביעה בנקיטת חפץ כדין כל הנשבעין ונוטלין</w:t>
      </w:r>
      <w:r w:rsidR="00C41C83">
        <w:rPr>
          <w:rStyle w:val="a7"/>
          <w:rFonts w:cs="Arial"/>
          <w:rtl/>
        </w:rPr>
        <w:footnoteReference w:id="219"/>
      </w:r>
      <w:r w:rsidRPr="009D6758">
        <w:rPr>
          <w:rFonts w:cs="Arial"/>
          <w:rtl/>
        </w:rPr>
        <w:t xml:space="preserve"> ואחר כך תגבה התוספת</w:t>
      </w:r>
      <w:r w:rsidR="00CA3F97">
        <w:rPr>
          <w:rFonts w:cs="Arial" w:hint="cs"/>
          <w:rtl/>
        </w:rPr>
        <w:t>.</w:t>
      </w:r>
      <w:r w:rsidRPr="009D6758">
        <w:rPr>
          <w:rFonts w:cs="Arial"/>
          <w:rtl/>
        </w:rPr>
        <w:t xml:space="preserve"> ואין לה להשביעו שלא מצאה בתולה ואחר כך תפסיד עיקר כתובה</w:t>
      </w:r>
      <w:r w:rsidR="00CA3F97">
        <w:rPr>
          <w:rFonts w:cs="Arial" w:hint="cs"/>
          <w:rtl/>
        </w:rPr>
        <w:t>,</w:t>
      </w:r>
      <w:r w:rsidRPr="009D6758">
        <w:rPr>
          <w:rFonts w:cs="Arial"/>
          <w:rtl/>
        </w:rPr>
        <w:t xml:space="preserve"> שחזקה היא שאין אדם טורח בסעודה ומפסידה, ויש לה להחרים סתם על מי שטוען עליה שקר. </w:t>
      </w:r>
      <w:r w:rsidR="00F31E40" w:rsidRPr="00351B7D">
        <w:rPr>
          <w:rFonts w:asciiTheme="minorBidi" w:hAnsiTheme="minorBidi"/>
          <w:color w:val="E36C0A" w:themeColor="accent6" w:themeShade="BF"/>
          <w:rtl/>
        </w:rPr>
        <w:t>(וכ"פ בשו"ע</w:t>
      </w:r>
      <w:r w:rsidR="00F31E40">
        <w:rPr>
          <w:rFonts w:asciiTheme="minorBidi" w:hAnsiTheme="minorBidi" w:hint="cs"/>
          <w:color w:val="E36C0A" w:themeColor="accent6" w:themeShade="BF"/>
          <w:rtl/>
        </w:rPr>
        <w:t>)</w:t>
      </w:r>
    </w:p>
    <w:p w14:paraId="723925EF" w14:textId="54AEDD95" w:rsidR="00C46A17" w:rsidRPr="0043302F" w:rsidRDefault="00C46A17" w:rsidP="00C46A17">
      <w:pPr>
        <w:ind w:left="360"/>
        <w:rPr>
          <w:u w:val="dotted"/>
        </w:rPr>
      </w:pPr>
      <w:r w:rsidRPr="0043302F">
        <w:rPr>
          <w:rFonts w:hint="cs"/>
          <w:u w:val="dotted"/>
          <w:rtl/>
        </w:rPr>
        <w:t xml:space="preserve">האם נאמן להפסידה </w:t>
      </w:r>
      <w:r w:rsidR="0043302F">
        <w:rPr>
          <w:rFonts w:hint="cs"/>
          <w:u w:val="dotted"/>
          <w:rtl/>
        </w:rPr>
        <w:t xml:space="preserve">בטענת פתח פתוח </w:t>
      </w:r>
      <w:r w:rsidRPr="0043302F">
        <w:rPr>
          <w:rFonts w:hint="cs"/>
          <w:u w:val="dotted"/>
          <w:rtl/>
        </w:rPr>
        <w:t xml:space="preserve">אף </w:t>
      </w:r>
      <w:r w:rsidR="0043302F" w:rsidRPr="0043302F">
        <w:rPr>
          <w:rFonts w:hint="cs"/>
          <w:u w:val="dotted"/>
          <w:rtl/>
        </w:rPr>
        <w:t>כשמצא דם:</w:t>
      </w:r>
    </w:p>
    <w:p w14:paraId="3F3381C8" w14:textId="3481F920" w:rsidR="00C46A17" w:rsidRDefault="00C46A17" w:rsidP="009000E3">
      <w:pPr>
        <w:pStyle w:val="ab"/>
        <w:numPr>
          <w:ilvl w:val="0"/>
          <w:numId w:val="78"/>
        </w:numPr>
      </w:pPr>
      <w:r w:rsidRPr="00C46A17">
        <w:rPr>
          <w:rFonts w:cs="Arial"/>
          <w:rtl/>
        </w:rPr>
        <w:t>ר"ן</w:t>
      </w:r>
      <w:r w:rsidRPr="0043302F">
        <w:rPr>
          <w:rFonts w:cs="Arial"/>
          <w:sz w:val="16"/>
          <w:szCs w:val="16"/>
          <w:rtl/>
        </w:rPr>
        <w:t xml:space="preserve"> (</w:t>
      </w:r>
      <w:r w:rsidR="0043302F">
        <w:rPr>
          <w:rFonts w:cs="Arial" w:hint="cs"/>
          <w:sz w:val="16"/>
          <w:szCs w:val="16"/>
          <w:rtl/>
        </w:rPr>
        <w:t>ג:</w:t>
      </w:r>
      <w:r w:rsidRPr="0043302F">
        <w:rPr>
          <w:rFonts w:cs="Arial"/>
          <w:sz w:val="16"/>
          <w:szCs w:val="16"/>
          <w:rtl/>
        </w:rPr>
        <w:t>)</w:t>
      </w:r>
      <w:r w:rsidR="0043302F">
        <w:rPr>
          <w:rFonts w:cs="Arial" w:hint="cs"/>
          <w:rtl/>
        </w:rPr>
        <w:t>-</w:t>
      </w:r>
      <w:r w:rsidRPr="00C46A17">
        <w:rPr>
          <w:rFonts w:cs="Arial"/>
          <w:rtl/>
        </w:rPr>
        <w:t xml:space="preserve"> הא דנאמן להפסידה כתובתה משמע דדוקא בשלא מצא דם</w:t>
      </w:r>
      <w:r w:rsidRPr="00C46A17">
        <w:rPr>
          <w:rFonts w:cs="Arial" w:hint="cs"/>
          <w:rtl/>
        </w:rPr>
        <w:t>,</w:t>
      </w:r>
      <w:r w:rsidRPr="00C46A17">
        <w:rPr>
          <w:rFonts w:cs="Arial"/>
          <w:rtl/>
        </w:rPr>
        <w:t xml:space="preserve"> אבל מצא דם אפילו אמר פתח פתוח מצאתי </w:t>
      </w:r>
      <w:r w:rsidR="0043302F">
        <w:rPr>
          <w:rFonts w:cs="Arial" w:hint="cs"/>
          <w:rtl/>
        </w:rPr>
        <w:t xml:space="preserve">- </w:t>
      </w:r>
      <w:r w:rsidRPr="00C46A17">
        <w:rPr>
          <w:rFonts w:cs="Arial"/>
          <w:rtl/>
        </w:rPr>
        <w:t>אינה מפסדת כתובתה</w:t>
      </w:r>
      <w:r w:rsidR="0043302F">
        <w:rPr>
          <w:rFonts w:cs="Arial" w:hint="cs"/>
          <w:rtl/>
        </w:rPr>
        <w:t>.</w:t>
      </w:r>
      <w:r w:rsidRPr="00C46A17">
        <w:rPr>
          <w:rFonts w:cs="Arial"/>
          <w:rtl/>
        </w:rPr>
        <w:t xml:space="preserve"> דהא אמרינן בירושלמי (פ"א סוף ה"א) דאם היא אומרת דם בתולים והוא אומר דם צפור הורע כחו וכו'</w:t>
      </w:r>
      <w:r w:rsidR="0043302F">
        <w:rPr>
          <w:rFonts w:cs="Arial" w:hint="cs"/>
          <w:rtl/>
        </w:rPr>
        <w:t>,</w:t>
      </w:r>
      <w:r w:rsidRPr="00C46A17">
        <w:rPr>
          <w:rFonts w:cs="Arial"/>
          <w:rtl/>
        </w:rPr>
        <w:t xml:space="preserve"> ואם היה יכול לטעון טענת פתח פתוח ולתלות הדם בדם אחר כשהוא טוען בבריא שהוא דם צפור ואינו יודע בפתח פתוח אמאי אינו נאמן</w:t>
      </w:r>
      <w:r w:rsidR="00C75B37">
        <w:rPr>
          <w:rFonts w:cs="Arial" w:hint="cs"/>
          <w:rtl/>
        </w:rPr>
        <w:t>,</w:t>
      </w:r>
      <w:r w:rsidRPr="00C46A17">
        <w:rPr>
          <w:rFonts w:cs="Arial"/>
          <w:rtl/>
        </w:rPr>
        <w:t xml:space="preserve"> אדרבה היה לנו להאמינו שהיא טענה יותר בריאה מפתח פתוח</w:t>
      </w:r>
      <w:r w:rsidR="00C75B37">
        <w:rPr>
          <w:rFonts w:cs="Arial" w:hint="cs"/>
          <w:rtl/>
        </w:rPr>
        <w:t>.</w:t>
      </w:r>
      <w:r w:rsidRPr="00C46A17">
        <w:rPr>
          <w:rFonts w:cs="Arial"/>
          <w:rtl/>
        </w:rPr>
        <w:t xml:space="preserve"> אלא ודאי להפסידה כתובתה אינו נאמן</w:t>
      </w:r>
      <w:r w:rsidR="00C75B37">
        <w:rPr>
          <w:rFonts w:cs="Arial" w:hint="cs"/>
          <w:rtl/>
        </w:rPr>
        <w:t>,</w:t>
      </w:r>
      <w:r w:rsidRPr="00C46A17">
        <w:rPr>
          <w:rFonts w:cs="Arial"/>
          <w:rtl/>
        </w:rPr>
        <w:t xml:space="preserve"> אלא לאסרה עליו נראה דנאמן וכמו שכתבתי למעלה (ג. ד"ה האומר)</w:t>
      </w:r>
      <w:r w:rsidR="00C75B37">
        <w:rPr>
          <w:rFonts w:cs="Arial" w:hint="cs"/>
          <w:rtl/>
        </w:rPr>
        <w:t>,</w:t>
      </w:r>
      <w:r w:rsidRPr="00C46A17">
        <w:rPr>
          <w:rFonts w:cs="Arial"/>
          <w:rtl/>
        </w:rPr>
        <w:t xml:space="preserve"> וכן דעת הרמב"ן ז"ל (ט. ד"ה ואית דבעי)</w:t>
      </w:r>
      <w:r w:rsidR="00C75B37">
        <w:rPr>
          <w:rFonts w:cs="Arial" w:hint="cs"/>
          <w:rtl/>
        </w:rPr>
        <w:t>.</w:t>
      </w:r>
      <w:r w:rsidRPr="00C46A17">
        <w:rPr>
          <w:rFonts w:cs="Arial"/>
          <w:rtl/>
        </w:rPr>
        <w:t xml:space="preserve"> אבל הרמב"ם כתב בפרק י"א מהלכות אישות (הי"ב) שאף על פי שיצא הדם הואיל ומצא פתח פתוח נאמן להפסידה כתובתה</w:t>
      </w:r>
      <w:r w:rsidRPr="00C46A17">
        <w:rPr>
          <w:rFonts w:cs="Arial" w:hint="cs"/>
          <w:rtl/>
        </w:rPr>
        <w:t>.</w:t>
      </w:r>
    </w:p>
    <w:p w14:paraId="56CBF932" w14:textId="77777777" w:rsidR="005B7F07" w:rsidRPr="00351B7D" w:rsidRDefault="005B7F07" w:rsidP="005B7F0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2896666" w14:textId="3EB62AC5" w:rsidR="00973C57" w:rsidRDefault="00973C57" w:rsidP="00973C57">
      <w:pPr>
        <w:rPr>
          <w:rFonts w:cs="Arial"/>
          <w:rtl/>
        </w:rPr>
      </w:pPr>
      <w:r>
        <w:rPr>
          <w:rFonts w:cs="Arial"/>
          <w:rtl/>
        </w:rPr>
        <w:t>אף כשאמרו שטענתו על הבתולים טענה, אינה מפסדת אלא עיקר כתובה, אבל התוספת יש לה, א</w:t>
      </w:r>
      <w:r w:rsidR="006E0923">
        <w:rPr>
          <w:rFonts w:cs="Arial" w:hint="cs"/>
          <w:rtl/>
        </w:rPr>
        <w:t>לא אם כן</w:t>
      </w:r>
      <w:r>
        <w:rPr>
          <w:rFonts w:cs="Arial"/>
          <w:rtl/>
        </w:rPr>
        <w:t xml:space="preserve"> נודע בראיה ברורה שהיתה בעולה, או שהודית לו שהיא בעולה קודם שתתארס, והטעתו. לפיכך יש לו להשביעה בנקיטת חפץ, כדין כל הנשבעים ונוטלים, ואח</w:t>
      </w:r>
      <w:r w:rsidR="006E0923">
        <w:rPr>
          <w:rFonts w:cs="Arial" w:hint="cs"/>
          <w:rtl/>
        </w:rPr>
        <w:t>ר כך</w:t>
      </w:r>
      <w:r>
        <w:rPr>
          <w:rFonts w:cs="Arial"/>
          <w:rtl/>
        </w:rPr>
        <w:t xml:space="preserve"> תגבה התוספת. ויש לה להחרים סתם על מי שטען עליה שקר. </w:t>
      </w:r>
    </w:p>
    <w:p w14:paraId="036F705E" w14:textId="77777777" w:rsidR="006E0923" w:rsidRDefault="006E0923" w:rsidP="00973C57">
      <w:pPr>
        <w:rPr>
          <w:rtl/>
        </w:rPr>
      </w:pPr>
    </w:p>
    <w:p w14:paraId="3C2A0AAE" w14:textId="080AAA34" w:rsidR="00973C57" w:rsidRDefault="00973C57" w:rsidP="000F64D0">
      <w:pPr>
        <w:pStyle w:val="2"/>
        <w:rPr>
          <w:rtl/>
        </w:rPr>
      </w:pPr>
      <w:r>
        <w:rPr>
          <w:rtl/>
        </w:rPr>
        <w:t>סעיף ט</w:t>
      </w:r>
      <w:r w:rsidR="006A470C">
        <w:rPr>
          <w:rFonts w:hint="cs"/>
          <w:rtl/>
        </w:rPr>
        <w:t>:</w:t>
      </w:r>
      <w:r w:rsidR="00923849">
        <w:rPr>
          <w:rFonts w:hint="cs"/>
          <w:rtl/>
        </w:rPr>
        <w:t xml:space="preserve"> </w:t>
      </w:r>
      <w:r w:rsidR="001101BD">
        <w:rPr>
          <w:rFonts w:hint="cs"/>
          <w:rtl/>
        </w:rPr>
        <w:t xml:space="preserve">נאמנות הבעל כשאשתו </w:t>
      </w:r>
      <w:r w:rsidR="00923849">
        <w:rPr>
          <w:rFonts w:hint="cs"/>
          <w:rtl/>
        </w:rPr>
        <w:t>אומרת תחתיו נאנסתי או מוכת עץ אני.</w:t>
      </w:r>
    </w:p>
    <w:p w14:paraId="636E613B" w14:textId="2B53599F" w:rsidR="00D73805" w:rsidRDefault="00D73805" w:rsidP="00D73805">
      <w:pPr>
        <w:rPr>
          <w:rFonts w:cs="Arial"/>
          <w:rtl/>
        </w:rPr>
      </w:pPr>
      <w:r w:rsidRPr="00EA1E02">
        <w:rPr>
          <w:rFonts w:cs="Arial" w:hint="cs"/>
          <w:b/>
          <w:bCs/>
          <w:rtl/>
        </w:rPr>
        <w:t xml:space="preserve">כתובות </w:t>
      </w:r>
      <w:r w:rsidRPr="00EA1E02">
        <w:rPr>
          <w:rFonts w:cs="Arial" w:hint="cs"/>
          <w:b/>
          <w:bCs/>
          <w:sz w:val="16"/>
          <w:szCs w:val="16"/>
          <w:rtl/>
        </w:rPr>
        <w:t>(</w:t>
      </w:r>
      <w:r>
        <w:rPr>
          <w:rFonts w:cs="Arial" w:hint="cs"/>
          <w:b/>
          <w:bCs/>
          <w:sz w:val="16"/>
          <w:szCs w:val="16"/>
          <w:rtl/>
        </w:rPr>
        <w:t>פ"ק</w:t>
      </w:r>
      <w:r w:rsidRPr="00EA1E02">
        <w:rPr>
          <w:rFonts w:cs="Arial" w:hint="cs"/>
          <w:b/>
          <w:bCs/>
          <w:sz w:val="16"/>
          <w:szCs w:val="16"/>
          <w:rtl/>
        </w:rPr>
        <w:t>)</w:t>
      </w:r>
      <w:r w:rsidRPr="00EA1E02">
        <w:rPr>
          <w:rFonts w:cs="Arial" w:hint="cs"/>
          <w:b/>
          <w:bCs/>
          <w:rtl/>
        </w:rPr>
        <w:t xml:space="preserve"> </w:t>
      </w:r>
      <w:r>
        <w:rPr>
          <w:rFonts w:cs="Arial" w:hint="cs"/>
          <w:b/>
          <w:bCs/>
          <w:rtl/>
        </w:rPr>
        <w:t>יב</w:t>
      </w:r>
      <w:r w:rsidRPr="00EA1E02">
        <w:rPr>
          <w:rFonts w:cs="Arial" w:hint="cs"/>
          <w:b/>
          <w:bCs/>
          <w:rtl/>
        </w:rPr>
        <w:t xml:space="preserve"> ע"</w:t>
      </w:r>
      <w:r>
        <w:rPr>
          <w:rFonts w:cs="Arial" w:hint="cs"/>
          <w:b/>
          <w:bCs/>
          <w:rtl/>
        </w:rPr>
        <w:t>ב</w:t>
      </w:r>
      <w:r w:rsidRPr="00EA1E02">
        <w:rPr>
          <w:rFonts w:cs="Arial" w:hint="cs"/>
          <w:b/>
          <w:bCs/>
          <w:rtl/>
        </w:rPr>
        <w:t>:</w:t>
      </w:r>
      <w:r>
        <w:rPr>
          <w:rFonts w:cs="Arial" w:hint="cs"/>
          <w:rtl/>
        </w:rPr>
        <w:t xml:space="preserve"> </w:t>
      </w:r>
      <w:r w:rsidRPr="008D77DD">
        <w:rPr>
          <w:rFonts w:cs="Arial"/>
          <w:u w:val="double"/>
          <w:rtl/>
        </w:rPr>
        <w:t>מתני'</w:t>
      </w:r>
      <w:r>
        <w:rPr>
          <w:rFonts w:cs="Arial" w:hint="cs"/>
          <w:rtl/>
        </w:rPr>
        <w:t>:</w:t>
      </w:r>
      <w:r>
        <w:rPr>
          <w:rFonts w:cs="Arial"/>
          <w:rtl/>
        </w:rPr>
        <w:t xml:space="preserve"> הנושא את האשה ולא מצא לה בתולים, היא אומרת משארסתני נאנסתי ונסתחפה שדהו, והוא אומר לא כי, אלא עד שלא ארסתיך והיה מקחי מקח טעות, </w:t>
      </w:r>
      <w:r w:rsidRPr="008D77DD">
        <w:rPr>
          <w:rFonts w:cs="Arial"/>
          <w:u w:val="single"/>
          <w:rtl/>
        </w:rPr>
        <w:t>רבן גמליאל ורבי אליעזר אומרים</w:t>
      </w:r>
      <w:r>
        <w:rPr>
          <w:rFonts w:cs="Arial"/>
          <w:rtl/>
        </w:rPr>
        <w:t xml:space="preserve">: נאמנת; </w:t>
      </w:r>
      <w:r w:rsidRPr="008D77DD">
        <w:rPr>
          <w:rFonts w:cs="Arial"/>
          <w:u w:val="single"/>
          <w:rtl/>
        </w:rPr>
        <w:t>רבי יהושע אומר</w:t>
      </w:r>
      <w:r>
        <w:rPr>
          <w:rFonts w:cs="Arial"/>
          <w:rtl/>
        </w:rPr>
        <w:t xml:space="preserve">: לא מפיה אנו חיין, אלא הרי זו בחזקת בעולה עד שלא תתארס, והטעתו, עד שתביא ראיה לדבריה. </w:t>
      </w:r>
      <w:r>
        <w:rPr>
          <w:rFonts w:hint="cs"/>
          <w:rtl/>
        </w:rPr>
        <w:t xml:space="preserve">     </w:t>
      </w:r>
      <w:r w:rsidRPr="008D77DD">
        <w:rPr>
          <w:rFonts w:cs="Arial"/>
          <w:u w:val="double"/>
          <w:rtl/>
        </w:rPr>
        <w:t>גמ'</w:t>
      </w:r>
      <w:r>
        <w:rPr>
          <w:rFonts w:cs="Arial" w:hint="cs"/>
          <w:rtl/>
        </w:rPr>
        <w:t>:</w:t>
      </w:r>
      <w:r>
        <w:rPr>
          <w:rFonts w:cs="Arial"/>
          <w:rtl/>
        </w:rPr>
        <w:t xml:space="preserve"> אתמר: מנה לי בידך, והלה אומר איני יודע, </w:t>
      </w:r>
      <w:r w:rsidRPr="004D71BD">
        <w:rPr>
          <w:rFonts w:cs="Arial"/>
          <w:u w:val="single"/>
          <w:rtl/>
        </w:rPr>
        <w:t>רב יהודה ורב הונא אמרי</w:t>
      </w:r>
      <w:r>
        <w:rPr>
          <w:rFonts w:cs="Arial"/>
          <w:rtl/>
        </w:rPr>
        <w:t xml:space="preserve">: חייב, </w:t>
      </w:r>
      <w:r w:rsidRPr="004D71BD">
        <w:rPr>
          <w:rFonts w:cs="Arial"/>
          <w:u w:val="single"/>
          <w:rtl/>
        </w:rPr>
        <w:t>ורב נחמן ורבי יוחנן אמרי</w:t>
      </w:r>
      <w:r>
        <w:rPr>
          <w:rFonts w:cs="Arial"/>
          <w:rtl/>
        </w:rPr>
        <w:t xml:space="preserve">: פטור. רב הונא ורב יהודה אמרי חייב, ברי ושמא - ברי עדיף; רב נחמן ורבי יוחנן אמרי פטור, אוקי ממונא בחזקת מריה. </w:t>
      </w:r>
      <w:r w:rsidRPr="004D71BD">
        <w:rPr>
          <w:rFonts w:cs="Arial"/>
          <w:u w:val="single"/>
          <w:rtl/>
        </w:rPr>
        <w:t>א"ל אביי לרב יוסף</w:t>
      </w:r>
      <w:r>
        <w:rPr>
          <w:rFonts w:cs="Arial"/>
          <w:rtl/>
        </w:rPr>
        <w:t xml:space="preserve">: הא דרב הונא ורב יהודה - דשמואל היא; דתנן: היתה מעוברת, ואמרו לה מה טיבו של עובר זה? מאיש פלוני וכהן הוא, </w:t>
      </w:r>
      <w:r w:rsidRPr="004D71BD">
        <w:rPr>
          <w:rFonts w:cs="Arial"/>
          <w:u w:val="single"/>
          <w:rtl/>
        </w:rPr>
        <w:t>רבן גמליאל ורבי אליעזר אומרים</w:t>
      </w:r>
      <w:r>
        <w:rPr>
          <w:rFonts w:cs="Arial"/>
          <w:rtl/>
        </w:rPr>
        <w:t>: נאמנת</w:t>
      </w:r>
      <w:r>
        <w:rPr>
          <w:rFonts w:cs="Arial" w:hint="cs"/>
          <w:rtl/>
        </w:rPr>
        <w:t>.</w:t>
      </w:r>
      <w:r>
        <w:rPr>
          <w:rFonts w:cs="Arial"/>
          <w:rtl/>
        </w:rPr>
        <w:t xml:space="preserve"> </w:t>
      </w:r>
      <w:r w:rsidRPr="004D71BD">
        <w:rPr>
          <w:rFonts w:cs="Arial"/>
          <w:u w:val="single"/>
          <w:rtl/>
        </w:rPr>
        <w:t>ואמר רב יהודה אמר שמואל</w:t>
      </w:r>
      <w:r>
        <w:rPr>
          <w:rFonts w:cs="Arial"/>
          <w:rtl/>
        </w:rPr>
        <w:t>: הלכה כרבן גמליאל</w:t>
      </w:r>
      <w:r>
        <w:rPr>
          <w:rFonts w:cs="Arial" w:hint="cs"/>
          <w:rtl/>
        </w:rPr>
        <w:t>.</w:t>
      </w:r>
      <w:r>
        <w:rPr>
          <w:rFonts w:cs="Arial"/>
          <w:rtl/>
        </w:rPr>
        <w:t xml:space="preserve"> </w:t>
      </w:r>
      <w:r w:rsidRPr="004D71BD">
        <w:rPr>
          <w:rFonts w:cs="Arial"/>
          <w:u w:val="single"/>
          <w:rtl/>
        </w:rPr>
        <w:t>ואמר ליה רב שמואל בר יהודה לרב יהודה</w:t>
      </w:r>
      <w:r>
        <w:rPr>
          <w:rFonts w:cs="Arial"/>
          <w:rtl/>
        </w:rPr>
        <w:t xml:space="preserve">: שיננא! אמרת לן משמיה דשמואל: הלכה כרבן גמליאל אף בראשונה; מאי אף בראשונה? אף על גב דאיכא למימר אוקי ממונא בחזקת מריה, אמר רבן גמליאל ברי עדיף. לימא, רב יהודה ורב הונא דאמרי כר"ג, ורב נחמן ורבי יוחנן דאמרי כרבי יהושע! אמר לך רב נחמן: אנא דאמרי אפילו כרבן גמליאל, עד כאן לא קאמר ר"ג התם - אלא דאיכא מגו, אבל הכא מאי מגו איכא? אי נמי, עד כאן לא קאמר רבן גמליאל התם - אלא דאמרינן אוקמה אחזקה, אבל הכא מאי חזקה אית ליה להאי? הכי נמי מסתברא כדקא משנינן, דרב נחמן הוא דאמר </w:t>
      </w:r>
      <w:r>
        <w:rPr>
          <w:rFonts w:cs="Arial"/>
          <w:rtl/>
        </w:rPr>
        <w:lastRenderedPageBreak/>
        <w:t>כר"ג,</w:t>
      </w:r>
      <w:r w:rsidRPr="00D44133">
        <w:rPr>
          <w:rtl/>
        </w:rPr>
        <w:t xml:space="preserve"> </w:t>
      </w:r>
      <w:r>
        <w:rPr>
          <w:rFonts w:cs="Arial" w:hint="cs"/>
          <w:sz w:val="14"/>
          <w:szCs w:val="14"/>
          <w:rtl/>
        </w:rPr>
        <w:t xml:space="preserve">(יג.) </w:t>
      </w:r>
      <w:r w:rsidRPr="00D44133">
        <w:rPr>
          <w:rFonts w:cs="Arial"/>
          <w:rtl/>
        </w:rPr>
        <w:t>דאם כן קשיא הלכתא אהלכתא, דקיימא לן: הלכתא כרב נחמן בדיני, ובהא אמר רב יהודה אמר שמואל: הלכה כרבן גמליאל! אלא לאו ש"מ כדמשנינן, ש"מ.</w:t>
      </w:r>
    </w:p>
    <w:p w14:paraId="37A1FB55" w14:textId="731D851D" w:rsidR="00A23C86" w:rsidRPr="004D71BD" w:rsidRDefault="00A23C86" w:rsidP="00D73805">
      <w:pPr>
        <w:rPr>
          <w:rFonts w:cs="Arial"/>
        </w:rPr>
      </w:pPr>
      <w:r w:rsidRPr="00EA1E02">
        <w:rPr>
          <w:rFonts w:cs="Arial" w:hint="cs"/>
          <w:b/>
          <w:bCs/>
          <w:rtl/>
        </w:rPr>
        <w:t xml:space="preserve">כתובות </w:t>
      </w:r>
      <w:r w:rsidRPr="00EA1E02">
        <w:rPr>
          <w:rFonts w:cs="Arial" w:hint="cs"/>
          <w:b/>
          <w:bCs/>
          <w:sz w:val="16"/>
          <w:szCs w:val="16"/>
          <w:rtl/>
        </w:rPr>
        <w:t>(</w:t>
      </w:r>
      <w:r>
        <w:rPr>
          <w:rFonts w:cs="Arial" w:hint="cs"/>
          <w:b/>
          <w:bCs/>
          <w:sz w:val="16"/>
          <w:szCs w:val="16"/>
          <w:rtl/>
        </w:rPr>
        <w:t>פ"ק</w:t>
      </w:r>
      <w:r w:rsidRPr="00EA1E02">
        <w:rPr>
          <w:rFonts w:cs="Arial" w:hint="cs"/>
          <w:b/>
          <w:bCs/>
          <w:sz w:val="16"/>
          <w:szCs w:val="16"/>
          <w:rtl/>
        </w:rPr>
        <w:t>)</w:t>
      </w:r>
      <w:r w:rsidRPr="00EA1E02">
        <w:rPr>
          <w:rFonts w:cs="Arial" w:hint="cs"/>
          <w:b/>
          <w:bCs/>
          <w:rtl/>
        </w:rPr>
        <w:t xml:space="preserve"> </w:t>
      </w:r>
      <w:r>
        <w:rPr>
          <w:rFonts w:cs="Arial" w:hint="cs"/>
          <w:b/>
          <w:bCs/>
          <w:rtl/>
        </w:rPr>
        <w:t>יג</w:t>
      </w:r>
      <w:r w:rsidRPr="00EA1E02">
        <w:rPr>
          <w:rFonts w:cs="Arial" w:hint="cs"/>
          <w:b/>
          <w:bCs/>
          <w:rtl/>
        </w:rPr>
        <w:t xml:space="preserve"> ע"</w:t>
      </w:r>
      <w:r>
        <w:rPr>
          <w:rFonts w:cs="Arial" w:hint="cs"/>
          <w:b/>
          <w:bCs/>
          <w:rtl/>
        </w:rPr>
        <w:t>א</w:t>
      </w:r>
      <w:r w:rsidRPr="00EA1E02">
        <w:rPr>
          <w:rFonts w:cs="Arial" w:hint="cs"/>
          <w:b/>
          <w:bCs/>
          <w:rtl/>
        </w:rPr>
        <w:t>:</w:t>
      </w:r>
      <w:r>
        <w:rPr>
          <w:rFonts w:cs="Arial" w:hint="cs"/>
          <w:rtl/>
        </w:rPr>
        <w:t xml:space="preserve"> </w:t>
      </w:r>
      <w:r w:rsidRPr="008D77DD">
        <w:rPr>
          <w:rFonts w:cs="Arial"/>
          <w:u w:val="double"/>
          <w:rtl/>
        </w:rPr>
        <w:t>מתני'</w:t>
      </w:r>
      <w:r>
        <w:rPr>
          <w:rFonts w:cs="Arial" w:hint="cs"/>
          <w:rtl/>
        </w:rPr>
        <w:t>:</w:t>
      </w:r>
      <w:r>
        <w:rPr>
          <w:rFonts w:cs="Arial"/>
          <w:rtl/>
        </w:rPr>
        <w:t xml:space="preserve"> </w:t>
      </w:r>
      <w:r w:rsidRPr="00A23C86">
        <w:rPr>
          <w:rFonts w:cs="Arial"/>
          <w:rtl/>
        </w:rPr>
        <w:t xml:space="preserve">היא אומרת מוכת עץ אני, והוא אומר לא כי, אלא דרוסת איש את, </w:t>
      </w:r>
      <w:r w:rsidRPr="00A23C86">
        <w:rPr>
          <w:rFonts w:cs="Arial"/>
          <w:u w:val="single"/>
          <w:rtl/>
        </w:rPr>
        <w:t>רבן גמליאל ורבי אליעזר אומרים</w:t>
      </w:r>
      <w:r w:rsidRPr="00A23C86">
        <w:rPr>
          <w:rFonts w:cs="Arial"/>
          <w:rtl/>
        </w:rPr>
        <w:t>: נאמנת</w:t>
      </w:r>
      <w:r>
        <w:rPr>
          <w:rFonts w:cs="Arial" w:hint="cs"/>
          <w:rtl/>
        </w:rPr>
        <w:t>.</w:t>
      </w:r>
      <w:r w:rsidRPr="00A23C86">
        <w:rPr>
          <w:rFonts w:cs="Arial"/>
          <w:rtl/>
        </w:rPr>
        <w:t xml:space="preserve"> </w:t>
      </w:r>
      <w:r w:rsidRPr="00A23C86">
        <w:rPr>
          <w:rFonts w:cs="Arial"/>
          <w:u w:val="single"/>
          <w:rtl/>
        </w:rPr>
        <w:t>ורבי יהושע אומר</w:t>
      </w:r>
      <w:r w:rsidRPr="00A23C86">
        <w:rPr>
          <w:rFonts w:cs="Arial"/>
          <w:rtl/>
        </w:rPr>
        <w:t>: לא מפיה אנו חיין, אלא הרי זו בחזקת דרוסת איש, עד שתביא ראיה לדבריה.</w:t>
      </w:r>
      <w:r w:rsidR="00C46A17" w:rsidRPr="00C46A17">
        <w:rPr>
          <w:rFonts w:cs="Arial"/>
          <w:sz w:val="16"/>
          <w:szCs w:val="16"/>
          <w:rtl/>
        </w:rPr>
        <w:t xml:space="preserve"> </w:t>
      </w:r>
      <w:r w:rsidR="00C46A17">
        <w:rPr>
          <w:rFonts w:cs="Arial" w:hint="cs"/>
          <w:sz w:val="16"/>
          <w:szCs w:val="16"/>
          <w:rtl/>
        </w:rPr>
        <w:t>(</w:t>
      </w:r>
      <w:r w:rsidR="00C46A17" w:rsidRPr="00C46A17">
        <w:rPr>
          <w:rFonts w:cs="Arial"/>
          <w:sz w:val="16"/>
          <w:szCs w:val="16"/>
          <w:rtl/>
        </w:rPr>
        <w:t>והלכה כרבן גמליאל ורבי אליעזר</w:t>
      </w:r>
      <w:r w:rsidR="00C46A17">
        <w:rPr>
          <w:rFonts w:cs="Arial" w:hint="cs"/>
          <w:sz w:val="16"/>
          <w:szCs w:val="16"/>
          <w:rtl/>
        </w:rPr>
        <w:t>, ב"י)</w:t>
      </w:r>
    </w:p>
    <w:p w14:paraId="699F0A92" w14:textId="6D1B143D" w:rsidR="005E5198" w:rsidRDefault="00B359A0" w:rsidP="00D73805">
      <w:pPr>
        <w:rPr>
          <w:rFonts w:cs="Arial"/>
          <w:u w:val="single"/>
          <w:rtl/>
        </w:rPr>
      </w:pPr>
      <w:r>
        <w:rPr>
          <w:rFonts w:cs="Arial" w:hint="cs"/>
          <w:u w:val="single"/>
          <w:rtl/>
        </w:rPr>
        <w:t xml:space="preserve">האם הבעל נאמן </w:t>
      </w:r>
      <w:r w:rsidR="00A12D68">
        <w:rPr>
          <w:rFonts w:cs="Arial" w:hint="cs"/>
          <w:u w:val="single"/>
          <w:rtl/>
        </w:rPr>
        <w:t>להפס</w:t>
      </w:r>
      <w:r>
        <w:rPr>
          <w:rFonts w:cs="Arial" w:hint="cs"/>
          <w:u w:val="single"/>
          <w:rtl/>
        </w:rPr>
        <w:t>י</w:t>
      </w:r>
      <w:r w:rsidR="00A12D68">
        <w:rPr>
          <w:rFonts w:cs="Arial" w:hint="cs"/>
          <w:u w:val="single"/>
          <w:rtl/>
        </w:rPr>
        <w:t xml:space="preserve">דה כתובתה כשהיא </w:t>
      </w:r>
      <w:r w:rsidR="00D73805" w:rsidRPr="000B173F">
        <w:rPr>
          <w:rFonts w:cs="Arial" w:hint="cs"/>
          <w:u w:val="single"/>
          <w:rtl/>
        </w:rPr>
        <w:t>מודה שאינה בתו</w:t>
      </w:r>
      <w:r w:rsidR="00D73805">
        <w:rPr>
          <w:rFonts w:cs="Arial" w:hint="cs"/>
          <w:u w:val="single"/>
          <w:rtl/>
        </w:rPr>
        <w:t>ל</w:t>
      </w:r>
      <w:r w:rsidR="00D73805" w:rsidRPr="000B173F">
        <w:rPr>
          <w:rFonts w:cs="Arial" w:hint="cs"/>
          <w:u w:val="single"/>
          <w:rtl/>
        </w:rPr>
        <w:t>ה אבל טוענת</w:t>
      </w:r>
      <w:r w:rsidR="005E5198">
        <w:rPr>
          <w:rFonts w:cs="Arial" w:hint="cs"/>
          <w:u w:val="single"/>
          <w:rtl/>
        </w:rPr>
        <w:t xml:space="preserve"> שהיא:</w:t>
      </w:r>
    </w:p>
    <w:p w14:paraId="1C95025B" w14:textId="41A1D412" w:rsidR="00D73805" w:rsidRPr="005E5198" w:rsidRDefault="005E5198" w:rsidP="005E5198">
      <w:pPr>
        <w:ind w:left="360"/>
        <w:rPr>
          <w:rFonts w:cs="Arial"/>
          <w:u w:val="dotted"/>
          <w:rtl/>
        </w:rPr>
      </w:pPr>
      <w:r w:rsidRPr="005E5198">
        <w:rPr>
          <w:rFonts w:cs="Arial" w:hint="cs"/>
          <w:u w:val="dotted"/>
          <w:rtl/>
        </w:rPr>
        <w:t>נאנסה תחתיו:</w:t>
      </w:r>
      <w:r w:rsidR="00D73805" w:rsidRPr="005E5198">
        <w:rPr>
          <w:rFonts w:cs="Arial"/>
          <w:u w:val="dotted"/>
          <w:rtl/>
        </w:rPr>
        <w:t xml:space="preserve"> </w:t>
      </w:r>
    </w:p>
    <w:p w14:paraId="080942ED" w14:textId="57F129BC" w:rsidR="00A12D68" w:rsidRPr="00A12D68" w:rsidRDefault="00A12D68" w:rsidP="009000E3">
      <w:pPr>
        <w:pStyle w:val="ab"/>
        <w:numPr>
          <w:ilvl w:val="0"/>
          <w:numId w:val="78"/>
        </w:numPr>
      </w:pPr>
      <w:r>
        <w:rPr>
          <w:rFonts w:cs="Arial" w:hint="cs"/>
          <w:rtl/>
        </w:rPr>
        <w:t xml:space="preserve">רמב"ם </w:t>
      </w:r>
      <w:r>
        <w:rPr>
          <w:rFonts w:cs="Arial" w:hint="cs"/>
          <w:sz w:val="16"/>
          <w:szCs w:val="16"/>
          <w:rtl/>
        </w:rPr>
        <w:t>(פי"א מהל' אישות הי"א)</w:t>
      </w:r>
      <w:r>
        <w:rPr>
          <w:rFonts w:cs="Arial" w:hint="cs"/>
          <w:rtl/>
        </w:rPr>
        <w:t xml:space="preserve"> </w:t>
      </w:r>
      <w:r w:rsidR="00806789">
        <w:rPr>
          <w:rFonts w:cs="Arial" w:hint="cs"/>
          <w:rtl/>
        </w:rPr>
        <w:t xml:space="preserve">רא"ש </w:t>
      </w:r>
      <w:r w:rsidR="00806789">
        <w:rPr>
          <w:rFonts w:cs="Arial" w:hint="cs"/>
          <w:sz w:val="16"/>
          <w:szCs w:val="16"/>
          <w:rtl/>
        </w:rPr>
        <w:t>(סי' יח)</w:t>
      </w:r>
      <w:r w:rsidR="00806789">
        <w:rPr>
          <w:rFonts w:cs="Arial" w:hint="cs"/>
          <w:rtl/>
        </w:rPr>
        <w:t xml:space="preserve"> ו</w:t>
      </w:r>
      <w:r>
        <w:rPr>
          <w:rFonts w:cs="Arial" w:hint="cs"/>
          <w:rtl/>
        </w:rPr>
        <w:t xml:space="preserve">טור- </w:t>
      </w:r>
      <w:r w:rsidRPr="00A12D68">
        <w:rPr>
          <w:rFonts w:cs="Arial"/>
          <w:rtl/>
        </w:rPr>
        <w:t xml:space="preserve">אמרה היא אמת אמר שלא מצאני בתולה ואיש בא עלי באונס אחר שנתארסתי לו </w:t>
      </w:r>
      <w:r>
        <w:rPr>
          <w:rFonts w:cs="Arial" w:hint="cs"/>
          <w:rtl/>
        </w:rPr>
        <w:t xml:space="preserve">- </w:t>
      </w:r>
      <w:r w:rsidRPr="00A12D68">
        <w:rPr>
          <w:rFonts w:cs="Arial"/>
          <w:rtl/>
        </w:rPr>
        <w:t>הרי זו נאמנת וכתובתה מאתים כמו שהיתה</w:t>
      </w:r>
      <w:r w:rsidR="00806789">
        <w:rPr>
          <w:rStyle w:val="a7"/>
          <w:rFonts w:cs="Arial"/>
          <w:rtl/>
        </w:rPr>
        <w:footnoteReference w:id="220"/>
      </w:r>
      <w:r>
        <w:rPr>
          <w:rFonts w:cs="Arial" w:hint="cs"/>
          <w:rtl/>
        </w:rPr>
        <w:t>.</w:t>
      </w:r>
      <w:r w:rsidRPr="00A12D68">
        <w:rPr>
          <w:rFonts w:cs="Arial"/>
          <w:rtl/>
        </w:rPr>
        <w:t xml:space="preserve"> ואם טען ואמר שמא עד שלא ארסתיך נאנסת ומקחי מקח טעות</w:t>
      </w:r>
      <w:r>
        <w:rPr>
          <w:rFonts w:cs="Arial" w:hint="cs"/>
          <w:rtl/>
        </w:rPr>
        <w:t>,</w:t>
      </w:r>
      <w:r w:rsidRPr="00A12D68">
        <w:rPr>
          <w:rFonts w:cs="Arial"/>
          <w:rtl/>
        </w:rPr>
        <w:t xml:space="preserve"> או אחר שארסתיך נבעלת ברצונך</w:t>
      </w:r>
      <w:r>
        <w:rPr>
          <w:rFonts w:cs="Arial" w:hint="cs"/>
          <w:rtl/>
        </w:rPr>
        <w:t xml:space="preserve"> -</w:t>
      </w:r>
      <w:r w:rsidRPr="00A12D68">
        <w:rPr>
          <w:rFonts w:cs="Arial"/>
          <w:rtl/>
        </w:rPr>
        <w:t xml:space="preserve"> הרי זה מחרים</w:t>
      </w:r>
      <w:r w:rsidR="00B359A0">
        <w:rPr>
          <w:rStyle w:val="a7"/>
          <w:rFonts w:cs="Arial"/>
          <w:rtl/>
        </w:rPr>
        <w:footnoteReference w:id="221"/>
      </w:r>
      <w:r w:rsidRPr="00A12D68">
        <w:rPr>
          <w:rFonts w:cs="Arial"/>
          <w:rtl/>
        </w:rPr>
        <w:t xml:space="preserve"> סתם על מי שטוען שקר כדי לחייבני ממון שאיני חייב בו</w:t>
      </w:r>
      <w:r>
        <w:rPr>
          <w:rFonts w:cs="Arial" w:hint="cs"/>
          <w:sz w:val="16"/>
          <w:szCs w:val="16"/>
          <w:rtl/>
        </w:rPr>
        <w:t xml:space="preserve"> (ל' הרמב"ם)</w:t>
      </w:r>
      <w:r w:rsidRPr="00A12D68">
        <w:rPr>
          <w:rFonts w:cs="Arial"/>
          <w:rtl/>
        </w:rPr>
        <w:t xml:space="preserve">. </w:t>
      </w:r>
      <w:r w:rsidR="00B359A0" w:rsidRPr="00351B7D">
        <w:rPr>
          <w:rFonts w:asciiTheme="minorBidi" w:hAnsiTheme="minorBidi"/>
          <w:color w:val="E36C0A" w:themeColor="accent6" w:themeShade="BF"/>
          <w:rtl/>
        </w:rPr>
        <w:t>(וכ"פ בשו"ע</w:t>
      </w:r>
      <w:r w:rsidR="00B359A0">
        <w:rPr>
          <w:rFonts w:asciiTheme="minorBidi" w:hAnsiTheme="minorBidi" w:hint="cs"/>
          <w:color w:val="E36C0A" w:themeColor="accent6" w:themeShade="BF"/>
          <w:rtl/>
        </w:rPr>
        <w:t>)</w:t>
      </w:r>
    </w:p>
    <w:p w14:paraId="1B1134B1" w14:textId="27E2F014" w:rsidR="00557145" w:rsidRPr="00557145" w:rsidRDefault="00557145" w:rsidP="00557145">
      <w:pPr>
        <w:ind w:left="360"/>
        <w:rPr>
          <w:u w:val="dotted"/>
        </w:rPr>
      </w:pPr>
      <w:r w:rsidRPr="00557145">
        <w:rPr>
          <w:rFonts w:hint="cs"/>
          <w:u w:val="dotted"/>
          <w:rtl/>
        </w:rPr>
        <w:t>מוכת עץ</w:t>
      </w:r>
      <w:r w:rsidR="005E5198">
        <w:rPr>
          <w:rFonts w:hint="cs"/>
          <w:u w:val="dotted"/>
          <w:rtl/>
        </w:rPr>
        <w:t>:</w:t>
      </w:r>
    </w:p>
    <w:p w14:paraId="73F244AA" w14:textId="57F129F7" w:rsidR="008C3712" w:rsidRDefault="008C3712" w:rsidP="009000E3">
      <w:pPr>
        <w:pStyle w:val="ab"/>
        <w:numPr>
          <w:ilvl w:val="0"/>
          <w:numId w:val="78"/>
        </w:numPr>
        <w:rPr>
          <w:rFonts w:cs="Arial"/>
        </w:rPr>
      </w:pPr>
      <w:r>
        <w:rPr>
          <w:rFonts w:cs="Arial" w:hint="cs"/>
          <w:rtl/>
        </w:rPr>
        <w:t xml:space="preserve">רמב"ם </w:t>
      </w:r>
      <w:r>
        <w:rPr>
          <w:rFonts w:cs="Arial" w:hint="cs"/>
          <w:sz w:val="16"/>
          <w:szCs w:val="16"/>
          <w:rtl/>
        </w:rPr>
        <w:t>(פי"א מהל' אישות ה"י)</w:t>
      </w:r>
      <w:r>
        <w:rPr>
          <w:rFonts w:cs="Arial" w:hint="cs"/>
          <w:rtl/>
        </w:rPr>
        <w:t xml:space="preserve"> ו</w:t>
      </w:r>
      <w:r w:rsidR="00557145">
        <w:rPr>
          <w:rFonts w:cs="Arial" w:hint="cs"/>
          <w:rtl/>
        </w:rPr>
        <w:t xml:space="preserve">טור- </w:t>
      </w:r>
      <w:r w:rsidRPr="008C3712">
        <w:rPr>
          <w:rFonts w:cs="Arial"/>
          <w:rtl/>
        </w:rPr>
        <w:t xml:space="preserve">הנושא בתולה שכתובתה מאתים וטען ואמר לא מצאתיה בתולה, שואלין אותה אם אמרה אמת הוא לא מצאני בתולה מפני שנפלתי והכני עץ או קרקע והלכו בתולי </w:t>
      </w:r>
      <w:r w:rsidR="004539CF">
        <w:rPr>
          <w:rFonts w:cs="Arial" w:hint="cs"/>
          <w:rtl/>
        </w:rPr>
        <w:t xml:space="preserve">- </w:t>
      </w:r>
      <w:r w:rsidRPr="008C3712">
        <w:rPr>
          <w:rFonts w:cs="Arial"/>
          <w:rtl/>
        </w:rPr>
        <w:t>הרי זו נאמנת ותחזור כתובתה למנה, אף על פי שהוא טוען ואומר שמא איש בא עליך ואין ליך כלום אין משגיחין בטענתו, ויש לו להחרים סתם שלא בא עליה איש שאין הדבר ודאי לו</w:t>
      </w:r>
      <w:r w:rsidR="00A12D68">
        <w:rPr>
          <w:rFonts w:cs="Arial" w:hint="cs"/>
          <w:sz w:val="16"/>
          <w:szCs w:val="16"/>
          <w:rtl/>
        </w:rPr>
        <w:t xml:space="preserve"> (ל' הרמב"ם)</w:t>
      </w:r>
      <w:r w:rsidRPr="008C3712">
        <w:rPr>
          <w:rFonts w:cs="Arial"/>
          <w:rtl/>
        </w:rPr>
        <w:t xml:space="preserve">. </w:t>
      </w:r>
      <w:r w:rsidR="00B359A0" w:rsidRPr="00351B7D">
        <w:rPr>
          <w:rFonts w:asciiTheme="minorBidi" w:hAnsiTheme="minorBidi"/>
          <w:color w:val="E36C0A" w:themeColor="accent6" w:themeShade="BF"/>
          <w:rtl/>
        </w:rPr>
        <w:t>(וכ"פ בשו"ע</w:t>
      </w:r>
      <w:r w:rsidR="00B359A0">
        <w:rPr>
          <w:rFonts w:asciiTheme="minorBidi" w:hAnsiTheme="minorBidi" w:hint="cs"/>
          <w:color w:val="E36C0A" w:themeColor="accent6" w:themeShade="BF"/>
          <w:rtl/>
        </w:rPr>
        <w:t>)</w:t>
      </w:r>
    </w:p>
    <w:p w14:paraId="1B0A0B92" w14:textId="77777777" w:rsidR="00471EC1" w:rsidRPr="00032AC2" w:rsidRDefault="00471EC1" w:rsidP="00471EC1">
      <w:pPr>
        <w:rPr>
          <w:u w:val="single"/>
        </w:rPr>
      </w:pPr>
      <w:r w:rsidRPr="00032AC2">
        <w:rPr>
          <w:rFonts w:hint="cs"/>
          <w:u w:val="single"/>
          <w:rtl/>
        </w:rPr>
        <w:t xml:space="preserve">הרוצה לקיים את אשתו למרות שטען </w:t>
      </w:r>
      <w:r>
        <w:rPr>
          <w:rFonts w:hint="cs"/>
          <w:u w:val="single"/>
          <w:rtl/>
        </w:rPr>
        <w:t>טענת בתולים והפסידה כתובתה</w:t>
      </w:r>
      <w:r w:rsidRPr="00032AC2">
        <w:rPr>
          <w:rFonts w:hint="cs"/>
          <w:u w:val="single"/>
          <w:rtl/>
        </w:rPr>
        <w:t>:</w:t>
      </w:r>
    </w:p>
    <w:p w14:paraId="0AF3E91C" w14:textId="01E63EEA" w:rsidR="005D646B" w:rsidRPr="005D646B" w:rsidRDefault="00471EC1" w:rsidP="009000E3">
      <w:pPr>
        <w:pStyle w:val="ab"/>
        <w:numPr>
          <w:ilvl w:val="0"/>
          <w:numId w:val="78"/>
        </w:numPr>
        <w:rPr>
          <w:rtl/>
        </w:rPr>
      </w:pPr>
      <w:r>
        <w:rPr>
          <w:rFonts w:cs="Arial" w:hint="cs"/>
          <w:rtl/>
        </w:rPr>
        <w:t xml:space="preserve">רמב"ם </w:t>
      </w:r>
      <w:r>
        <w:rPr>
          <w:rFonts w:cs="Arial" w:hint="cs"/>
          <w:sz w:val="16"/>
          <w:szCs w:val="16"/>
          <w:rtl/>
        </w:rPr>
        <w:t>(פי"א מהל' אישות הי"ז, וכ"כ הטור בשמו)</w:t>
      </w:r>
      <w:r>
        <w:rPr>
          <w:rFonts w:cs="Arial" w:hint="cs"/>
          <w:rtl/>
        </w:rPr>
        <w:t xml:space="preserve">- </w:t>
      </w:r>
      <w:r w:rsidRPr="00032AC2">
        <w:rPr>
          <w:rFonts w:cs="Arial"/>
          <w:rtl/>
        </w:rPr>
        <w:t>הרי שרצה לקיימה</w:t>
      </w:r>
      <w:r w:rsidR="005D646B">
        <w:rPr>
          <w:rStyle w:val="a7"/>
          <w:rFonts w:cs="Arial"/>
          <w:rtl/>
        </w:rPr>
        <w:footnoteReference w:id="222"/>
      </w:r>
      <w:r w:rsidRPr="00032AC2">
        <w:rPr>
          <w:rFonts w:cs="Arial"/>
          <w:rtl/>
        </w:rPr>
        <w:t xml:space="preserve"> אחר שהפסידה עיקר כתובתה</w:t>
      </w:r>
      <w:r>
        <w:rPr>
          <w:rFonts w:cs="Arial" w:hint="cs"/>
          <w:rtl/>
        </w:rPr>
        <w:t>,</w:t>
      </w:r>
      <w:r w:rsidRPr="00032AC2">
        <w:rPr>
          <w:rFonts w:cs="Arial"/>
          <w:rtl/>
        </w:rPr>
        <w:t xml:space="preserve"> חוזר וכותב לה מאה, לפי שאסור לאדם לשהות עם אשתו שעה אחת בלא כתובה כמו שביארנו. </w:t>
      </w:r>
      <w:r w:rsidRPr="00471EC1">
        <w:rPr>
          <w:rFonts w:cs="Arial" w:hint="cs"/>
          <w:color w:val="00B0F0"/>
          <w:rtl/>
        </w:rPr>
        <w:t>(וכ"פ הרמ"א)</w:t>
      </w:r>
    </w:p>
    <w:p w14:paraId="6A23D757" w14:textId="77777777" w:rsidR="005B7F07" w:rsidRPr="00351B7D" w:rsidRDefault="005B7F07" w:rsidP="005B7F0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78BEFB2" w14:textId="6E31D7BE" w:rsidR="000569FF" w:rsidRDefault="00973C57" w:rsidP="00973C57">
      <w:pPr>
        <w:rPr>
          <w:rFonts w:cs="Arial"/>
          <w:rtl/>
        </w:rPr>
      </w:pPr>
      <w:r>
        <w:rPr>
          <w:rFonts w:cs="Arial"/>
          <w:rtl/>
        </w:rPr>
        <w:t>כשטען שלא מצאה בתולה, אם אמרה: מוכת עץ אני, נאמנת, ותחזור כתובתה למנה</w:t>
      </w:r>
      <w:r w:rsidR="00B359A0">
        <w:rPr>
          <w:rFonts w:cs="Arial" w:hint="cs"/>
          <w:rtl/>
        </w:rPr>
        <w:t>,</w:t>
      </w:r>
      <w:r>
        <w:rPr>
          <w:rFonts w:cs="Arial"/>
          <w:rtl/>
        </w:rPr>
        <w:t xml:space="preserve"> ויש לו להחרים סתם, שלא בא עליה איש. ואם אמרה: משארסתני נאנסתי, הרי זו נאמנת וכתובתה </w:t>
      </w:r>
      <w:r w:rsidR="0047518F">
        <w:rPr>
          <w:rFonts w:cs="Arial" w:hint="cs"/>
          <w:rtl/>
        </w:rPr>
        <w:t>מאתים</w:t>
      </w:r>
      <w:r>
        <w:rPr>
          <w:rFonts w:cs="Arial"/>
          <w:rtl/>
        </w:rPr>
        <w:t xml:space="preserve"> כמו שהיתה. ואם טען: שמא עד שלא אירסתיך נאנסת, או שמא אחר שארסתיך, נבעלת ברצונך, הרי זו מחרים סתם על מי שטוען שקר כדי לחייבו ממון. </w:t>
      </w:r>
      <w:r w:rsidR="006E0923">
        <w:rPr>
          <w:rFonts w:cs="Arial" w:hint="cs"/>
          <w:sz w:val="18"/>
          <w:szCs w:val="18"/>
          <w:rtl/>
        </w:rPr>
        <w:t xml:space="preserve">[הגה] </w:t>
      </w:r>
      <w:r w:rsidRPr="006E0923">
        <w:rPr>
          <w:rFonts w:cs="Arial"/>
          <w:sz w:val="18"/>
          <w:szCs w:val="18"/>
          <w:rtl/>
        </w:rPr>
        <w:t>כל מי שטוען טענת בתולים וטענתו טענה, אם רוצה לקיימה אח"כ כותב לה כתובה מנה (</w:t>
      </w:r>
      <w:r w:rsidR="00B359A0">
        <w:rPr>
          <w:rFonts w:cs="Arial" w:hint="cs"/>
          <w:sz w:val="18"/>
          <w:szCs w:val="18"/>
          <w:rtl/>
        </w:rPr>
        <w:t>רמב"ם ו</w:t>
      </w:r>
      <w:r w:rsidRPr="006E0923">
        <w:rPr>
          <w:rFonts w:cs="Arial"/>
          <w:sz w:val="18"/>
          <w:szCs w:val="18"/>
          <w:rtl/>
        </w:rPr>
        <w:t>טור).</w:t>
      </w:r>
    </w:p>
    <w:p w14:paraId="33E894D2" w14:textId="49879D72" w:rsidR="00973C57" w:rsidRDefault="00973C57" w:rsidP="000569FF">
      <w:pPr>
        <w:rPr>
          <w:rtl/>
        </w:rPr>
      </w:pPr>
    </w:p>
    <w:p w14:paraId="7CA20D6F" w14:textId="57D7AEC9" w:rsidR="00973C57" w:rsidRDefault="00973C57" w:rsidP="000F64D0">
      <w:pPr>
        <w:pStyle w:val="2"/>
        <w:rPr>
          <w:rtl/>
        </w:rPr>
      </w:pPr>
      <w:r>
        <w:rPr>
          <w:rtl/>
        </w:rPr>
        <w:t>סעיף י</w:t>
      </w:r>
      <w:r w:rsidR="00E018B6">
        <w:rPr>
          <w:rFonts w:hint="cs"/>
          <w:rtl/>
        </w:rPr>
        <w:t>:</w:t>
      </w:r>
      <w:r w:rsidR="006E0923">
        <w:rPr>
          <w:rFonts w:hint="cs"/>
          <w:rtl/>
        </w:rPr>
        <w:t xml:space="preserve"> עד מתי יכול לטעון טענת בתולים.</w:t>
      </w:r>
    </w:p>
    <w:p w14:paraId="08593B73" w14:textId="41DDB9C8" w:rsidR="00027305" w:rsidRDefault="00027305" w:rsidP="00027305">
      <w:pPr>
        <w:rPr>
          <w:rtl/>
        </w:rPr>
      </w:pPr>
      <w:r w:rsidRPr="00027305">
        <w:rPr>
          <w:rFonts w:cs="Arial" w:hint="cs"/>
          <w:b/>
          <w:bCs/>
          <w:rtl/>
        </w:rPr>
        <w:t xml:space="preserve">יבמות </w:t>
      </w:r>
      <w:r>
        <w:rPr>
          <w:rFonts w:cs="Arial" w:hint="cs"/>
          <w:b/>
          <w:bCs/>
          <w:sz w:val="16"/>
          <w:szCs w:val="16"/>
          <w:rtl/>
        </w:rPr>
        <w:t xml:space="preserve">(פ' בית שמאי) </w:t>
      </w:r>
      <w:r w:rsidRPr="00027305">
        <w:rPr>
          <w:rFonts w:cs="Arial" w:hint="cs"/>
          <w:b/>
          <w:bCs/>
          <w:rtl/>
        </w:rPr>
        <w:t xml:space="preserve">קיא ע"ב: </w:t>
      </w:r>
      <w:r w:rsidR="00002B35" w:rsidRPr="00002B35">
        <w:rPr>
          <w:rFonts w:cs="Arial" w:hint="cs"/>
          <w:u w:val="double"/>
          <w:rtl/>
        </w:rPr>
        <w:t>מתני'</w:t>
      </w:r>
      <w:r w:rsidR="00002B35">
        <w:rPr>
          <w:rFonts w:cs="Arial" w:hint="cs"/>
          <w:rtl/>
        </w:rPr>
        <w:t xml:space="preserve">:... </w:t>
      </w:r>
      <w:r w:rsidR="00002B35" w:rsidRPr="00002B35">
        <w:rPr>
          <w:rFonts w:cs="Arial"/>
          <w:rtl/>
        </w:rPr>
        <w:t>היבמה שאמרה בתוך שלשים יום לא נבעלתי - כופין אותו שיחלוץ לה</w:t>
      </w:r>
      <w:r w:rsidR="00002B35">
        <w:rPr>
          <w:rFonts w:cs="Arial" w:hint="cs"/>
          <w:rtl/>
        </w:rPr>
        <w:t xml:space="preserve">...      </w:t>
      </w:r>
      <w:r w:rsidR="00002B35" w:rsidRPr="00002B35">
        <w:rPr>
          <w:rFonts w:cs="Arial" w:hint="cs"/>
          <w:u w:val="double"/>
          <w:rtl/>
        </w:rPr>
        <w:t>גמ'</w:t>
      </w:r>
      <w:r w:rsidR="00002B35">
        <w:rPr>
          <w:rFonts w:cs="Arial" w:hint="cs"/>
          <w:rtl/>
        </w:rPr>
        <w:t>:</w:t>
      </w:r>
      <w:r w:rsidR="00002B35" w:rsidRPr="00002B35">
        <w:rPr>
          <w:rFonts w:cs="Arial"/>
          <w:rtl/>
        </w:rPr>
        <w:t xml:space="preserve"> </w:t>
      </w:r>
      <w:r w:rsidR="007B36E9" w:rsidRPr="007B36E9">
        <w:rPr>
          <w:rFonts w:cs="Arial"/>
          <w:rtl/>
        </w:rPr>
        <w:t xml:space="preserve">יבמה שאמרה בתוך שלשים יום וכו'. מאן תנא דעד תלתין יומין מוקים איניש אנפשיה? </w:t>
      </w:r>
      <w:r w:rsidR="007B36E9" w:rsidRPr="007B36E9">
        <w:rPr>
          <w:rFonts w:cs="Arial"/>
          <w:u w:val="single"/>
          <w:rtl/>
        </w:rPr>
        <w:t>אמר רבי יוחנן</w:t>
      </w:r>
      <w:r w:rsidR="007B36E9" w:rsidRPr="007B36E9">
        <w:rPr>
          <w:rFonts w:cs="Arial"/>
          <w:rtl/>
        </w:rPr>
        <w:t xml:space="preserve">: רבי מאיר היא; </w:t>
      </w:r>
      <w:r w:rsidRPr="00027305">
        <w:rPr>
          <w:rFonts w:cs="Arial"/>
          <w:rtl/>
        </w:rPr>
        <w:t xml:space="preserve">דתניא: טענת בתולים - כל שלשים יום, </w:t>
      </w:r>
      <w:r w:rsidRPr="007B36E9">
        <w:rPr>
          <w:rFonts w:cs="Arial"/>
          <w:u w:val="single"/>
          <w:rtl/>
        </w:rPr>
        <w:t>דברי רבי מאיר</w:t>
      </w:r>
      <w:r w:rsidRPr="00027305">
        <w:rPr>
          <w:rFonts w:cs="Arial"/>
          <w:rtl/>
        </w:rPr>
        <w:t xml:space="preserve">; </w:t>
      </w:r>
      <w:r w:rsidRPr="007B36E9">
        <w:rPr>
          <w:rFonts w:cs="Arial"/>
          <w:u w:val="single"/>
          <w:rtl/>
        </w:rPr>
        <w:t>רבי יוסי אומר</w:t>
      </w:r>
      <w:r w:rsidRPr="00027305">
        <w:rPr>
          <w:rFonts w:cs="Arial"/>
          <w:rtl/>
        </w:rPr>
        <w:t>: נסתרה - לאלתר, לא נסתרה - אף לאחר כמה שנים.</w:t>
      </w:r>
      <w:r w:rsidR="003E5042" w:rsidRPr="003E5042">
        <w:rPr>
          <w:rFonts w:cs="Arial"/>
          <w:sz w:val="16"/>
          <w:szCs w:val="16"/>
          <w:rtl/>
        </w:rPr>
        <w:t xml:space="preserve"> </w:t>
      </w:r>
      <w:r w:rsidR="003E5042">
        <w:rPr>
          <w:rFonts w:cs="Arial" w:hint="cs"/>
          <w:sz w:val="16"/>
          <w:szCs w:val="16"/>
          <w:rtl/>
        </w:rPr>
        <w:t>(</w:t>
      </w:r>
      <w:r w:rsidR="003E5042" w:rsidRPr="003E5042">
        <w:rPr>
          <w:rFonts w:cs="Arial"/>
          <w:sz w:val="16"/>
          <w:szCs w:val="16"/>
          <w:rtl/>
        </w:rPr>
        <w:t>וידוע דהלכה כרבי יוסי</w:t>
      </w:r>
      <w:r w:rsidR="003E5042">
        <w:rPr>
          <w:rFonts w:cs="Arial" w:hint="cs"/>
          <w:sz w:val="16"/>
          <w:szCs w:val="16"/>
          <w:rtl/>
        </w:rPr>
        <w:t>, ב"י</w:t>
      </w:r>
      <w:r w:rsidR="007F0766">
        <w:rPr>
          <w:rFonts w:cs="Arial" w:hint="cs"/>
          <w:sz w:val="16"/>
          <w:szCs w:val="16"/>
          <w:rtl/>
        </w:rPr>
        <w:t xml:space="preserve">. </w:t>
      </w:r>
      <w:r w:rsidR="007F0766" w:rsidRPr="007F0766">
        <w:rPr>
          <w:rFonts w:cs="Arial" w:hint="cs"/>
          <w:sz w:val="16"/>
          <w:szCs w:val="16"/>
          <w:rtl/>
        </w:rPr>
        <w:t>ו</w:t>
      </w:r>
      <w:r w:rsidR="007F0766" w:rsidRPr="007F0766">
        <w:rPr>
          <w:rFonts w:cs="Arial"/>
          <w:sz w:val="16"/>
          <w:szCs w:val="16"/>
          <w:rtl/>
        </w:rPr>
        <w:t>כתב הרא"ש (סי' יח)</w:t>
      </w:r>
      <w:r w:rsidR="007F0766" w:rsidRPr="007F0766">
        <w:rPr>
          <w:rFonts w:cs="Arial" w:hint="cs"/>
          <w:sz w:val="16"/>
          <w:szCs w:val="16"/>
          <w:rtl/>
        </w:rPr>
        <w:t xml:space="preserve"> דכאן מיירי ד</w:t>
      </w:r>
      <w:r w:rsidR="007F0766" w:rsidRPr="007F0766">
        <w:rPr>
          <w:rFonts w:cs="Arial"/>
          <w:sz w:val="16"/>
          <w:szCs w:val="16"/>
          <w:rtl/>
        </w:rPr>
        <w:t>אמר לא בעלתי מיד אלא אחר שלשה ימים או ארבעה בעלתי ולא מצאתי בתולים</w:t>
      </w:r>
      <w:r w:rsidR="007F0766" w:rsidRPr="007F0766">
        <w:rPr>
          <w:rFonts w:cs="Arial" w:hint="cs"/>
          <w:sz w:val="16"/>
          <w:szCs w:val="16"/>
          <w:rtl/>
        </w:rPr>
        <w:t xml:space="preserve"> ובהכי אמר רבי יוסי</w:t>
      </w:r>
      <w:r w:rsidR="007F0766" w:rsidRPr="007F0766">
        <w:rPr>
          <w:rFonts w:cs="Arial"/>
          <w:sz w:val="16"/>
          <w:szCs w:val="16"/>
          <w:rtl/>
        </w:rPr>
        <w:t xml:space="preserve"> </w:t>
      </w:r>
      <w:r w:rsidR="007F0766" w:rsidRPr="007F0766">
        <w:rPr>
          <w:rFonts w:cs="Arial" w:hint="cs"/>
          <w:sz w:val="16"/>
          <w:szCs w:val="16"/>
          <w:rtl/>
        </w:rPr>
        <w:t>ד</w:t>
      </w:r>
      <w:r w:rsidR="007F0766" w:rsidRPr="007F0766">
        <w:rPr>
          <w:rFonts w:cs="Arial"/>
          <w:sz w:val="16"/>
          <w:szCs w:val="16"/>
          <w:rtl/>
        </w:rPr>
        <w:t>לא מהימן</w:t>
      </w:r>
      <w:r w:rsidR="007F0766" w:rsidRPr="007F0766">
        <w:rPr>
          <w:rFonts w:cs="Arial" w:hint="cs"/>
          <w:sz w:val="16"/>
          <w:szCs w:val="16"/>
          <w:rtl/>
        </w:rPr>
        <w:t>,</w:t>
      </w:r>
      <w:r w:rsidR="007F0766" w:rsidRPr="007F0766">
        <w:rPr>
          <w:rFonts w:cs="Arial"/>
          <w:sz w:val="16"/>
          <w:szCs w:val="16"/>
          <w:rtl/>
        </w:rPr>
        <w:t xml:space="preserve"> </w:t>
      </w:r>
      <w:r w:rsidR="007F0766" w:rsidRPr="007F0766">
        <w:rPr>
          <w:rFonts w:cs="Arial" w:hint="cs"/>
          <w:sz w:val="16"/>
          <w:szCs w:val="16"/>
          <w:rtl/>
        </w:rPr>
        <w:t>אבל מכאן שמעינן ד</w:t>
      </w:r>
      <w:r w:rsidR="007F0766" w:rsidRPr="007F0766">
        <w:rPr>
          <w:rFonts w:cs="Arial"/>
          <w:sz w:val="16"/>
          <w:szCs w:val="16"/>
          <w:rtl/>
        </w:rPr>
        <w:t>כ"ש אם בעל ולא ערער ואחר זמן ערער דלא מהימן</w:t>
      </w:r>
      <w:r w:rsidR="007F0766" w:rsidRPr="007F0766">
        <w:rPr>
          <w:rFonts w:cs="Arial" w:hint="cs"/>
          <w:sz w:val="16"/>
          <w:szCs w:val="16"/>
          <w:rtl/>
        </w:rPr>
        <w:t>,</w:t>
      </w:r>
      <w:r w:rsidR="007F0766" w:rsidRPr="007F0766">
        <w:rPr>
          <w:rFonts w:cs="Arial"/>
          <w:sz w:val="16"/>
          <w:szCs w:val="16"/>
          <w:rtl/>
        </w:rPr>
        <w:t xml:space="preserve"> דהא דלא מהימן כשאמר לא בעלתי מיד אלא לאחר זמן היינו משום דאמרינן דלא מוקי איניש אנפשיה ושקורי משקר אלא בעל ומצא בתולים ואחר כך נהפך לבו לשנאותה ואמר שלא בעל עד עתה כדי שיאמינו לו</w:t>
      </w:r>
      <w:r w:rsidR="003E5042">
        <w:rPr>
          <w:rFonts w:cs="Arial" w:hint="cs"/>
          <w:sz w:val="16"/>
          <w:szCs w:val="16"/>
          <w:rtl/>
        </w:rPr>
        <w:t>)</w:t>
      </w:r>
    </w:p>
    <w:p w14:paraId="397CE5FA" w14:textId="2A0C9ADB" w:rsidR="00F52204" w:rsidRPr="00027305" w:rsidRDefault="007B36E9" w:rsidP="00027305">
      <w:pPr>
        <w:rPr>
          <w:rtl/>
        </w:rPr>
      </w:pPr>
      <w:r w:rsidRPr="007B36E9">
        <w:rPr>
          <w:rFonts w:cs="Arial" w:hint="cs"/>
          <w:b/>
          <w:bCs/>
          <w:rtl/>
        </w:rPr>
        <w:t>ירושלמי כתובות פ"א ה"ד:</w:t>
      </w:r>
      <w:r>
        <w:rPr>
          <w:rFonts w:cs="Arial" w:hint="cs"/>
          <w:rtl/>
        </w:rPr>
        <w:t xml:space="preserve"> </w:t>
      </w:r>
      <w:r w:rsidR="00F52204" w:rsidRPr="00F52204">
        <w:rPr>
          <w:rFonts w:cs="Arial"/>
          <w:rtl/>
        </w:rPr>
        <w:t xml:space="preserve">תני טענת בתולים עד שלשים יום </w:t>
      </w:r>
      <w:r w:rsidR="00F52204" w:rsidRPr="007B36E9">
        <w:rPr>
          <w:rFonts w:cs="Arial"/>
          <w:u w:val="single"/>
          <w:rtl/>
        </w:rPr>
        <w:t>דברי ר' מאיר</w:t>
      </w:r>
      <w:r>
        <w:rPr>
          <w:rFonts w:cs="Arial" w:hint="cs"/>
          <w:rtl/>
        </w:rPr>
        <w:t>,</w:t>
      </w:r>
      <w:r w:rsidR="00F52204" w:rsidRPr="00F52204">
        <w:rPr>
          <w:rFonts w:cs="Arial"/>
          <w:rtl/>
        </w:rPr>
        <w:t xml:space="preserve"> </w:t>
      </w:r>
      <w:r w:rsidR="00F52204" w:rsidRPr="007B36E9">
        <w:rPr>
          <w:rFonts w:cs="Arial"/>
          <w:u w:val="single"/>
          <w:rtl/>
        </w:rPr>
        <w:t>וחכמים אומרים</w:t>
      </w:r>
      <w:r>
        <w:rPr>
          <w:rFonts w:cs="Arial" w:hint="cs"/>
          <w:rtl/>
        </w:rPr>
        <w:t>:</w:t>
      </w:r>
      <w:r w:rsidR="00F52204" w:rsidRPr="00F52204">
        <w:rPr>
          <w:rFonts w:cs="Arial"/>
          <w:rtl/>
        </w:rPr>
        <w:t xml:space="preserve"> מיד</w:t>
      </w:r>
      <w:r>
        <w:rPr>
          <w:rFonts w:cs="Arial" w:hint="cs"/>
          <w:rtl/>
        </w:rPr>
        <w:t>.</w:t>
      </w:r>
      <w:r w:rsidR="00F52204" w:rsidRPr="00F52204">
        <w:rPr>
          <w:rFonts w:cs="Arial"/>
          <w:rtl/>
        </w:rPr>
        <w:t xml:space="preserve"> מה אנן קיימין</w:t>
      </w:r>
      <w:r>
        <w:rPr>
          <w:rFonts w:cs="Arial" w:hint="cs"/>
          <w:rtl/>
        </w:rPr>
        <w:t>,</w:t>
      </w:r>
      <w:r w:rsidR="00F52204" w:rsidRPr="00F52204">
        <w:rPr>
          <w:rFonts w:cs="Arial"/>
          <w:rtl/>
        </w:rPr>
        <w:t xml:space="preserve"> אם בשבעל </w:t>
      </w:r>
      <w:r>
        <w:rPr>
          <w:rFonts w:cs="Arial" w:hint="cs"/>
          <w:rtl/>
        </w:rPr>
        <w:t xml:space="preserve">- </w:t>
      </w:r>
      <w:r w:rsidR="00F52204" w:rsidRPr="00F52204">
        <w:rPr>
          <w:rFonts w:cs="Arial"/>
          <w:rtl/>
        </w:rPr>
        <w:t>מיד</w:t>
      </w:r>
      <w:r>
        <w:rPr>
          <w:rFonts w:cs="Arial" w:hint="cs"/>
          <w:rtl/>
        </w:rPr>
        <w:t>,</w:t>
      </w:r>
      <w:r w:rsidR="00F52204" w:rsidRPr="00F52204">
        <w:rPr>
          <w:rFonts w:cs="Arial"/>
          <w:rtl/>
        </w:rPr>
        <w:t xml:space="preserve"> אם בשלא בעל </w:t>
      </w:r>
      <w:r>
        <w:rPr>
          <w:rFonts w:cs="Arial" w:hint="cs"/>
          <w:rtl/>
        </w:rPr>
        <w:t xml:space="preserve">- </w:t>
      </w:r>
      <w:r w:rsidR="00F52204" w:rsidRPr="00F52204">
        <w:rPr>
          <w:rFonts w:cs="Arial"/>
          <w:rtl/>
        </w:rPr>
        <w:t>אפילו לאחר מיכן</w:t>
      </w:r>
      <w:r>
        <w:rPr>
          <w:rFonts w:cs="Arial" w:hint="cs"/>
          <w:rtl/>
        </w:rPr>
        <w:t>,</w:t>
      </w:r>
      <w:r w:rsidR="00F52204" w:rsidRPr="00F52204">
        <w:rPr>
          <w:rFonts w:cs="Arial"/>
          <w:rtl/>
        </w:rPr>
        <w:t xml:space="preserve"> עד כמה</w:t>
      </w:r>
      <w:r>
        <w:rPr>
          <w:rFonts w:cs="Arial" w:hint="cs"/>
          <w:rtl/>
        </w:rPr>
        <w:t>?</w:t>
      </w:r>
      <w:r w:rsidR="00F52204" w:rsidRPr="00F52204">
        <w:rPr>
          <w:rFonts w:cs="Arial"/>
          <w:rtl/>
        </w:rPr>
        <w:t xml:space="preserve"> אלא כן אנן קיימין</w:t>
      </w:r>
      <w:r>
        <w:rPr>
          <w:rFonts w:cs="Arial" w:hint="cs"/>
          <w:rtl/>
        </w:rPr>
        <w:t>,</w:t>
      </w:r>
      <w:r w:rsidR="00F52204" w:rsidRPr="00F52204">
        <w:rPr>
          <w:rFonts w:cs="Arial"/>
          <w:rtl/>
        </w:rPr>
        <w:t xml:space="preserve"> בסתם רבי מאיר אומר חזקה אדם מעמיד עצמו שלשים יום</w:t>
      </w:r>
      <w:r>
        <w:rPr>
          <w:rFonts w:cs="Arial" w:hint="cs"/>
          <w:rtl/>
        </w:rPr>
        <w:t>,</w:t>
      </w:r>
      <w:r w:rsidR="00F52204" w:rsidRPr="00F52204">
        <w:rPr>
          <w:rFonts w:cs="Arial"/>
          <w:rtl/>
        </w:rPr>
        <w:t xml:space="preserve"> ורבנין אמר אפילו יום אחד אין אדם מעמיד את עצמו</w:t>
      </w:r>
      <w:r>
        <w:rPr>
          <w:rFonts w:hint="cs"/>
          <w:rtl/>
        </w:rPr>
        <w:t>.</w:t>
      </w:r>
    </w:p>
    <w:p w14:paraId="2DD3E802" w14:textId="6747ED14" w:rsidR="006E0923" w:rsidRPr="006E0923" w:rsidRDefault="006E0923" w:rsidP="006E0923">
      <w:pPr>
        <w:rPr>
          <w:u w:val="single"/>
          <w:rtl/>
        </w:rPr>
      </w:pPr>
      <w:r w:rsidRPr="006E0923">
        <w:rPr>
          <w:rFonts w:hint="cs"/>
          <w:u w:val="single"/>
          <w:rtl/>
        </w:rPr>
        <w:t>עד מתי יכול לטעון טענת בתולים:</w:t>
      </w:r>
    </w:p>
    <w:p w14:paraId="58DE178A" w14:textId="436311DF" w:rsidR="001377AB" w:rsidRDefault="00622FE1" w:rsidP="009000E3">
      <w:pPr>
        <w:pStyle w:val="ab"/>
        <w:numPr>
          <w:ilvl w:val="0"/>
          <w:numId w:val="78"/>
        </w:numPr>
      </w:pPr>
      <w:r>
        <w:rPr>
          <w:rFonts w:cs="Arial" w:hint="cs"/>
          <w:rtl/>
        </w:rPr>
        <w:lastRenderedPageBreak/>
        <w:t xml:space="preserve">רא"ש </w:t>
      </w:r>
      <w:r>
        <w:rPr>
          <w:rFonts w:cs="Arial" w:hint="cs"/>
          <w:sz w:val="16"/>
          <w:szCs w:val="16"/>
          <w:rtl/>
        </w:rPr>
        <w:t>(סי' יח, ובתשו' כלל לז סי' ב)</w:t>
      </w:r>
      <w:r>
        <w:rPr>
          <w:rFonts w:cs="Arial" w:hint="cs"/>
          <w:rtl/>
        </w:rPr>
        <w:t xml:space="preserve"> ו</w:t>
      </w:r>
      <w:r w:rsidR="001377AB">
        <w:rPr>
          <w:rFonts w:cs="Arial" w:hint="cs"/>
          <w:rtl/>
        </w:rPr>
        <w:t xml:space="preserve">טור- </w:t>
      </w:r>
      <w:r w:rsidR="001377AB" w:rsidRPr="00E02C7F">
        <w:rPr>
          <w:rFonts w:cs="Arial"/>
          <w:rtl/>
        </w:rPr>
        <w:t>אין טענת בתולים אלא כשטוען מיד אחר שנסתרה עמו</w:t>
      </w:r>
      <w:r w:rsidR="007F0766">
        <w:rPr>
          <w:rFonts w:cs="Arial" w:hint="cs"/>
          <w:rtl/>
        </w:rPr>
        <w:t>.</w:t>
      </w:r>
      <w:r w:rsidR="001377AB" w:rsidRPr="00E02C7F">
        <w:rPr>
          <w:rFonts w:cs="Arial"/>
          <w:rtl/>
        </w:rPr>
        <w:t xml:space="preserve"> אבל אם אינו מערער מיד</w:t>
      </w:r>
      <w:r w:rsidR="00834802">
        <w:rPr>
          <w:rFonts w:cs="Arial" w:hint="cs"/>
          <w:rtl/>
        </w:rPr>
        <w:t>,</w:t>
      </w:r>
      <w:r w:rsidR="001377AB" w:rsidRPr="00E02C7F">
        <w:rPr>
          <w:rFonts w:cs="Arial"/>
          <w:rtl/>
        </w:rPr>
        <w:t xml:space="preserve"> בין אם טוען בעלתי מיד ולא מצאתיה בתולה</w:t>
      </w:r>
      <w:r w:rsidR="00834802">
        <w:rPr>
          <w:rFonts w:cs="Arial" w:hint="cs"/>
          <w:rtl/>
        </w:rPr>
        <w:t>,</w:t>
      </w:r>
      <w:r w:rsidR="001377AB" w:rsidRPr="00E02C7F">
        <w:rPr>
          <w:rFonts w:cs="Arial"/>
          <w:rtl/>
        </w:rPr>
        <w:t xml:space="preserve"> או אם טוען לא בעלתי עד עתה ולא מצאתיה בתולה </w:t>
      </w:r>
      <w:r w:rsidR="00834802">
        <w:rPr>
          <w:rFonts w:cs="Arial" w:hint="cs"/>
          <w:rtl/>
        </w:rPr>
        <w:t xml:space="preserve">- </w:t>
      </w:r>
      <w:r w:rsidR="001377AB" w:rsidRPr="00E02C7F">
        <w:rPr>
          <w:rFonts w:cs="Arial"/>
          <w:rtl/>
        </w:rPr>
        <w:t>אינו נאמן</w:t>
      </w:r>
      <w:r w:rsidR="00834802">
        <w:rPr>
          <w:rFonts w:cs="Arial" w:hint="cs"/>
          <w:rtl/>
        </w:rPr>
        <w:t>.</w:t>
      </w:r>
      <w:r w:rsidR="001377AB" w:rsidRPr="00E02C7F">
        <w:rPr>
          <w:rFonts w:cs="Arial"/>
          <w:rtl/>
        </w:rPr>
        <w:t xml:space="preserve"> בד"א שב"ד מצוי לו כל שעה</w:t>
      </w:r>
      <w:r w:rsidR="00834802">
        <w:rPr>
          <w:rFonts w:cs="Arial" w:hint="cs"/>
          <w:rtl/>
        </w:rPr>
        <w:t>,</w:t>
      </w:r>
      <w:r w:rsidR="001377AB" w:rsidRPr="00E02C7F">
        <w:rPr>
          <w:rFonts w:cs="Arial"/>
          <w:rtl/>
        </w:rPr>
        <w:t xml:space="preserve"> אבל אינו מצוי וטוען בב"ד הראשון שמצא שבעל מיד ולא מצא בתולים </w:t>
      </w:r>
      <w:r w:rsidR="00834802">
        <w:rPr>
          <w:rFonts w:cs="Arial" w:hint="cs"/>
          <w:rtl/>
        </w:rPr>
        <w:t xml:space="preserve">- </w:t>
      </w:r>
      <w:r w:rsidR="001377AB" w:rsidRPr="00E02C7F">
        <w:rPr>
          <w:rFonts w:cs="Arial"/>
          <w:rtl/>
        </w:rPr>
        <w:t>נאמן</w:t>
      </w:r>
      <w:r w:rsidR="002D3245">
        <w:rPr>
          <w:rStyle w:val="a7"/>
          <w:rFonts w:cs="Arial"/>
          <w:rtl/>
        </w:rPr>
        <w:footnoteReference w:id="223"/>
      </w:r>
      <w:r>
        <w:rPr>
          <w:rFonts w:cs="Arial" w:hint="cs"/>
          <w:sz w:val="16"/>
          <w:szCs w:val="16"/>
          <w:rtl/>
        </w:rPr>
        <w:t xml:space="preserve"> (ל' הטור)</w:t>
      </w:r>
      <w:r w:rsidR="00834802">
        <w:rPr>
          <w:rFonts w:cs="Arial" w:hint="cs"/>
          <w:rtl/>
        </w:rPr>
        <w:t>.</w:t>
      </w:r>
      <w:r w:rsidR="001377AB" w:rsidRPr="00E02C7F">
        <w:rPr>
          <w:rFonts w:cs="Arial"/>
          <w:rtl/>
        </w:rPr>
        <w:t xml:space="preserve"> </w:t>
      </w:r>
    </w:p>
    <w:p w14:paraId="11EDFA2B" w14:textId="6CD3143B" w:rsidR="005A0BF2" w:rsidRDefault="005A0BF2" w:rsidP="009000E3">
      <w:pPr>
        <w:pStyle w:val="ab"/>
        <w:numPr>
          <w:ilvl w:val="0"/>
          <w:numId w:val="78"/>
        </w:numPr>
      </w:pPr>
      <w:r>
        <w:rPr>
          <w:rFonts w:cs="Arial" w:hint="cs"/>
          <w:rtl/>
        </w:rPr>
        <w:t xml:space="preserve">רמב"ם </w:t>
      </w:r>
      <w:r>
        <w:rPr>
          <w:rFonts w:cs="Arial" w:hint="cs"/>
          <w:sz w:val="16"/>
          <w:szCs w:val="16"/>
          <w:rtl/>
        </w:rPr>
        <w:t>(פי"א מהל' אישות הט"ו)</w:t>
      </w:r>
      <w:r>
        <w:rPr>
          <w:rFonts w:cs="Arial" w:hint="cs"/>
          <w:rtl/>
        </w:rPr>
        <w:t xml:space="preserve">- </w:t>
      </w:r>
      <w:r w:rsidRPr="005A0BF2">
        <w:rPr>
          <w:rFonts w:cs="Arial"/>
          <w:rtl/>
        </w:rPr>
        <w:t>ועד מתי יש לו לטעון טענת בתולים, אם נסתרה מיד, ואם לא נסתרה אפילו לאחר שלשים יום.</w:t>
      </w:r>
      <w:r w:rsidR="007F0766" w:rsidRPr="007F0766">
        <w:rPr>
          <w:rFonts w:asciiTheme="minorBidi" w:hAnsiTheme="minorBidi"/>
          <w:color w:val="E36C0A" w:themeColor="accent6" w:themeShade="BF"/>
          <w:rtl/>
        </w:rPr>
        <w:t xml:space="preserve"> </w:t>
      </w:r>
      <w:r w:rsidR="007F0766" w:rsidRPr="00351B7D">
        <w:rPr>
          <w:rFonts w:asciiTheme="minorBidi" w:hAnsiTheme="minorBidi"/>
          <w:color w:val="E36C0A" w:themeColor="accent6" w:themeShade="BF"/>
          <w:rtl/>
        </w:rPr>
        <w:t>(וכ"פ בשו"ע</w:t>
      </w:r>
      <w:r w:rsidR="007F0766">
        <w:rPr>
          <w:rFonts w:asciiTheme="minorBidi" w:hAnsiTheme="minorBidi" w:hint="cs"/>
          <w:color w:val="E36C0A" w:themeColor="accent6" w:themeShade="BF"/>
          <w:rtl/>
        </w:rPr>
        <w:t>)</w:t>
      </w:r>
    </w:p>
    <w:p w14:paraId="7C091F2F" w14:textId="77777777" w:rsidR="005B7F07" w:rsidRPr="00351B7D" w:rsidRDefault="005B7F07" w:rsidP="005B7F07">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23FFC66" w14:textId="152048D5" w:rsidR="00973C57" w:rsidRDefault="00973C57" w:rsidP="00973C57">
      <w:pPr>
        <w:rPr>
          <w:rtl/>
        </w:rPr>
      </w:pPr>
      <w:r>
        <w:rPr>
          <w:rFonts w:cs="Arial"/>
          <w:rtl/>
        </w:rPr>
        <w:t xml:space="preserve">עד מתי יש לו לטעון טענת בתולים, אם נסתרה </w:t>
      </w:r>
      <w:r w:rsidRPr="003E5042">
        <w:rPr>
          <w:rFonts w:cs="Arial"/>
          <w:sz w:val="18"/>
          <w:szCs w:val="18"/>
          <w:rtl/>
        </w:rPr>
        <w:t xml:space="preserve">(עמו) </w:t>
      </w:r>
      <w:r>
        <w:rPr>
          <w:rFonts w:cs="Arial"/>
          <w:rtl/>
        </w:rPr>
        <w:t>מיד</w:t>
      </w:r>
      <w:r w:rsidR="006E0923">
        <w:rPr>
          <w:rFonts w:cs="Arial" w:hint="cs"/>
          <w:rtl/>
        </w:rPr>
        <w:t>.</w:t>
      </w:r>
      <w:r>
        <w:rPr>
          <w:rFonts w:cs="Arial"/>
          <w:rtl/>
        </w:rPr>
        <w:t xml:space="preserve"> אם לא נסתרה, אפילו לאחר שלשים יום.</w:t>
      </w:r>
    </w:p>
    <w:p w14:paraId="3145DA8B" w14:textId="5FDDC37C" w:rsidR="00973C57" w:rsidRDefault="00973C57" w:rsidP="00973C57">
      <w:pPr>
        <w:rPr>
          <w:rtl/>
        </w:rPr>
      </w:pPr>
    </w:p>
    <w:p w14:paraId="59A166B4" w14:textId="1FEDEE7F" w:rsidR="00973C57" w:rsidRDefault="00973C57" w:rsidP="00973C57">
      <w:pPr>
        <w:rPr>
          <w:rtl/>
        </w:rPr>
      </w:pPr>
    </w:p>
    <w:p w14:paraId="170066B2" w14:textId="77777777" w:rsidR="00973C57" w:rsidRDefault="00973C57" w:rsidP="00973C57">
      <w:pPr>
        <w:pStyle w:val="1"/>
        <w:rPr>
          <w:rtl/>
        </w:rPr>
        <w:sectPr w:rsidR="00973C57" w:rsidSect="00A347B3">
          <w:headerReference w:type="default" r:id="rId11"/>
          <w:footnotePr>
            <w:numRestart w:val="eachSect"/>
          </w:footnotePr>
          <w:pgSz w:w="11906" w:h="16838"/>
          <w:pgMar w:top="720" w:right="1134" w:bottom="720" w:left="1134" w:header="0" w:footer="0" w:gutter="0"/>
          <w:cols w:space="720"/>
          <w:bidi/>
          <w:rtlGutter/>
          <w:docGrid w:linePitch="360"/>
        </w:sectPr>
      </w:pPr>
    </w:p>
    <w:p w14:paraId="738AF662" w14:textId="71F67556" w:rsidR="00973C57" w:rsidRDefault="00973C57" w:rsidP="00973C57">
      <w:pPr>
        <w:pStyle w:val="1"/>
        <w:rPr>
          <w:rtl/>
        </w:rPr>
      </w:pPr>
      <w:r>
        <w:rPr>
          <w:rFonts w:hint="cs"/>
          <w:rtl/>
        </w:rPr>
        <w:lastRenderedPageBreak/>
        <w:t xml:space="preserve">סימן סט: </w:t>
      </w:r>
      <w:r>
        <w:rPr>
          <w:rtl/>
        </w:rPr>
        <w:t xml:space="preserve">במה מתחייב האדם לאשתו ובניו, ובו ז' סעיפים. </w:t>
      </w:r>
    </w:p>
    <w:p w14:paraId="351B0A82" w14:textId="3AED89CC" w:rsidR="00973C57" w:rsidRDefault="00973C57" w:rsidP="000F64D0">
      <w:pPr>
        <w:pStyle w:val="2"/>
        <w:rPr>
          <w:rtl/>
        </w:rPr>
      </w:pPr>
      <w:r>
        <w:rPr>
          <w:rtl/>
        </w:rPr>
        <w:t>סעיף א</w:t>
      </w:r>
      <w:r w:rsidR="00471D63">
        <w:rPr>
          <w:rFonts w:hint="cs"/>
          <w:rtl/>
        </w:rPr>
        <w:t>: כשאדם נושא אשה הוא מתחייב וזוכה במספר דברים.</w:t>
      </w:r>
    </w:p>
    <w:p w14:paraId="45CC28DB" w14:textId="76F4C0C0" w:rsidR="00571B26" w:rsidRPr="00571B26" w:rsidRDefault="00571B26" w:rsidP="00571B26">
      <w:pPr>
        <w:rPr>
          <w:rtl/>
        </w:rPr>
      </w:pPr>
      <w:r>
        <w:rPr>
          <w:rFonts w:cs="Arial" w:hint="cs"/>
          <w:b/>
          <w:bCs/>
          <w:rtl/>
        </w:rPr>
        <w:t xml:space="preserve">שמות </w:t>
      </w:r>
      <w:r>
        <w:rPr>
          <w:rFonts w:cs="Arial" w:hint="cs"/>
          <w:b/>
          <w:bCs/>
          <w:sz w:val="16"/>
          <w:szCs w:val="16"/>
          <w:rtl/>
        </w:rPr>
        <w:t xml:space="preserve">(פרשת משפטים) </w:t>
      </w:r>
      <w:r>
        <w:rPr>
          <w:rFonts w:cs="Arial" w:hint="cs"/>
          <w:b/>
          <w:bCs/>
          <w:rtl/>
        </w:rPr>
        <w:t>פרק כא פסוק י:</w:t>
      </w:r>
      <w:r w:rsidRPr="00571B26">
        <w:rPr>
          <w:rFonts w:cs="Arial"/>
          <w:rtl/>
        </w:rPr>
        <w:t xml:space="preserve"> אִם־אַחֶ֖רֶת יִֽקַּֽח־ל֑וֹ שְׁאֵרָ֛הּ כְּסוּתָ֥הּ וְעֹנָתָ֖הּ לֹ֥א יִגְרָֽע</w:t>
      </w:r>
      <w:r>
        <w:rPr>
          <w:rFonts w:cs="Arial" w:hint="cs"/>
          <w:rtl/>
        </w:rPr>
        <w:t>.</w:t>
      </w:r>
    </w:p>
    <w:p w14:paraId="1DA1FF73" w14:textId="5A9F82FA" w:rsidR="009919C0" w:rsidRDefault="009919C0" w:rsidP="009919C0">
      <w:pPr>
        <w:rPr>
          <w:rFonts w:cs="Arial"/>
          <w:rtl/>
        </w:rPr>
      </w:pPr>
      <w:r w:rsidRPr="00AB0AB9">
        <w:rPr>
          <w:rFonts w:cs="Arial" w:hint="cs"/>
          <w:b/>
          <w:bCs/>
          <w:rtl/>
        </w:rPr>
        <w:t>כתובות</w:t>
      </w:r>
      <w:r>
        <w:rPr>
          <w:rFonts w:cs="Arial" w:hint="cs"/>
          <w:b/>
          <w:bCs/>
          <w:rtl/>
        </w:rPr>
        <w:t xml:space="preserve"> </w:t>
      </w:r>
      <w:r>
        <w:rPr>
          <w:rFonts w:cs="Arial" w:hint="cs"/>
          <w:b/>
          <w:bCs/>
          <w:sz w:val="16"/>
          <w:szCs w:val="16"/>
          <w:rtl/>
        </w:rPr>
        <w:t>(פ' נערה שנתפתתה)</w:t>
      </w:r>
      <w:r w:rsidRPr="00AB0AB9">
        <w:rPr>
          <w:rFonts w:cs="Arial" w:hint="cs"/>
          <w:b/>
          <w:bCs/>
          <w:rtl/>
        </w:rPr>
        <w:t xml:space="preserve"> מ</w:t>
      </w:r>
      <w:r>
        <w:rPr>
          <w:rFonts w:cs="Arial" w:hint="cs"/>
          <w:b/>
          <w:bCs/>
          <w:rtl/>
        </w:rPr>
        <w:t>ו</w:t>
      </w:r>
      <w:r w:rsidRPr="00AB0AB9">
        <w:rPr>
          <w:rFonts w:cs="Arial" w:hint="cs"/>
          <w:b/>
          <w:bCs/>
          <w:rtl/>
        </w:rPr>
        <w:t xml:space="preserve"> ע"ב: </w:t>
      </w:r>
      <w:r w:rsidRPr="00AB0AB9">
        <w:rPr>
          <w:rFonts w:cs="Arial"/>
          <w:u w:val="double"/>
          <w:rtl/>
        </w:rPr>
        <w:t>מתני'</w:t>
      </w:r>
      <w:r>
        <w:rPr>
          <w:rFonts w:cs="Arial" w:hint="cs"/>
          <w:rtl/>
        </w:rPr>
        <w:t>:...</w:t>
      </w:r>
      <w:r w:rsidRPr="00AB0AB9">
        <w:rPr>
          <w:rFonts w:cs="Arial"/>
          <w:rtl/>
        </w:rPr>
        <w:t xml:space="preserve"> נשאת, יתר עליו הבעל שאוכל פירות בחייה, וחייב במזונותיה, ובפרקונה, וקבורתה</w:t>
      </w:r>
      <w:r>
        <w:rPr>
          <w:rFonts w:cs="Arial" w:hint="cs"/>
          <w:rtl/>
        </w:rPr>
        <w:t>.</w:t>
      </w:r>
      <w:r w:rsidRPr="00AB0AB9">
        <w:rPr>
          <w:rFonts w:cs="Arial"/>
          <w:rtl/>
        </w:rPr>
        <w:t xml:space="preserve"> </w:t>
      </w:r>
      <w:r w:rsidRPr="00AB0AB9">
        <w:rPr>
          <w:rFonts w:cs="Arial"/>
          <w:u w:val="single"/>
          <w:rtl/>
        </w:rPr>
        <w:t>רבי יהודה אומר</w:t>
      </w:r>
      <w:r w:rsidRPr="00AB0AB9">
        <w:rPr>
          <w:rFonts w:cs="Arial"/>
          <w:rtl/>
        </w:rPr>
        <w:t>: אפי' עני שבישראל לא יפחות משני חלילין ומקוננת</w:t>
      </w:r>
      <w:r>
        <w:rPr>
          <w:rFonts w:cs="Arial" w:hint="cs"/>
          <w:rtl/>
        </w:rPr>
        <w:t xml:space="preserve">.      </w:t>
      </w:r>
      <w:r w:rsidRPr="00AB0AB9">
        <w:rPr>
          <w:rFonts w:cs="Arial" w:hint="cs"/>
          <w:u w:val="double"/>
          <w:rtl/>
        </w:rPr>
        <w:t>גמ'</w:t>
      </w:r>
      <w:r w:rsidRPr="00AB0AB9">
        <w:rPr>
          <w:rFonts w:cs="Arial" w:hint="cs"/>
          <w:sz w:val="14"/>
          <w:szCs w:val="14"/>
          <w:u w:val="double"/>
          <w:rtl/>
        </w:rPr>
        <w:t>(מז:)</w:t>
      </w:r>
      <w:r w:rsidRPr="00AB0AB9">
        <w:rPr>
          <w:rFonts w:cs="Arial" w:hint="cs"/>
          <w:u w:val="double"/>
          <w:rtl/>
        </w:rPr>
        <w:t>:</w:t>
      </w:r>
      <w:r w:rsidRPr="00AB0AB9">
        <w:rPr>
          <w:rFonts w:cs="Arial"/>
          <w:rtl/>
        </w:rPr>
        <w:t xml:space="preserve"> חייב במזונותיה וכו'.</w:t>
      </w:r>
      <w:r w:rsidR="00641D7E">
        <w:rPr>
          <w:rFonts w:cs="Arial" w:hint="cs"/>
          <w:rtl/>
        </w:rPr>
        <w:t>..</w:t>
      </w:r>
      <w:r w:rsidRPr="00AB0AB9">
        <w:rPr>
          <w:rFonts w:cs="Arial"/>
          <w:rtl/>
        </w:rPr>
        <w:t xml:space="preserve"> </w:t>
      </w:r>
      <w:r w:rsidRPr="009919C0">
        <w:rPr>
          <w:rFonts w:cs="Arial"/>
          <w:u w:val="single"/>
          <w:rtl/>
        </w:rPr>
        <w:t>אמר רבא</w:t>
      </w:r>
      <w:r w:rsidRPr="00AB0AB9">
        <w:rPr>
          <w:rFonts w:cs="Arial"/>
          <w:rtl/>
        </w:rPr>
        <w:t>: האי תנא סבר מזונות מדאורייתא, דתניא: שארה - אלו מזונות, וכן הוא אומר: ואשר אכלו שאר עמי</w:t>
      </w:r>
      <w:r>
        <w:rPr>
          <w:rFonts w:cs="Arial" w:hint="cs"/>
          <w:rtl/>
        </w:rPr>
        <w:t>.</w:t>
      </w:r>
      <w:r w:rsidRPr="00AB0AB9">
        <w:rPr>
          <w:rFonts w:cs="Arial"/>
          <w:rtl/>
        </w:rPr>
        <w:t xml:space="preserve"> כסותה </w:t>
      </w:r>
      <w:r>
        <w:rPr>
          <w:rFonts w:cs="Arial" w:hint="cs"/>
          <w:rtl/>
        </w:rPr>
        <w:t>-</w:t>
      </w:r>
      <w:r w:rsidRPr="00AB0AB9">
        <w:rPr>
          <w:rFonts w:cs="Arial"/>
          <w:rtl/>
        </w:rPr>
        <w:t xml:space="preserve"> כמשמעו</w:t>
      </w:r>
      <w:r>
        <w:rPr>
          <w:rFonts w:cs="Arial" w:hint="cs"/>
          <w:rtl/>
        </w:rPr>
        <w:t>.</w:t>
      </w:r>
      <w:r w:rsidRPr="00AB0AB9">
        <w:rPr>
          <w:rFonts w:cs="Arial"/>
          <w:rtl/>
        </w:rPr>
        <w:t xml:space="preserve"> עונתה - זו עונה האמורה בתורה, וכן הוא אומר: אם תענה את בנותי. </w:t>
      </w:r>
      <w:r w:rsidRPr="009919C0">
        <w:rPr>
          <w:rFonts w:cs="Arial"/>
          <w:u w:val="single"/>
          <w:rtl/>
        </w:rPr>
        <w:t>רבי אלעזר אומר</w:t>
      </w:r>
      <w:r w:rsidRPr="00AB0AB9">
        <w:rPr>
          <w:rFonts w:cs="Arial"/>
          <w:rtl/>
        </w:rPr>
        <w:t>: שארה - זו עונה, וכן הוא אומר: איש איש אל כל שאר בשרו לא תקרבו לגלות ערוה</w:t>
      </w:r>
      <w:r w:rsidR="00577A45">
        <w:rPr>
          <w:rFonts w:cs="Arial" w:hint="cs"/>
          <w:rtl/>
        </w:rPr>
        <w:t>.</w:t>
      </w:r>
      <w:r w:rsidRPr="00AB0AB9">
        <w:rPr>
          <w:rFonts w:cs="Arial"/>
          <w:rtl/>
        </w:rPr>
        <w:t xml:space="preserve"> כסותה </w:t>
      </w:r>
      <w:r>
        <w:rPr>
          <w:rFonts w:cs="Arial" w:hint="cs"/>
          <w:rtl/>
        </w:rPr>
        <w:t>-</w:t>
      </w:r>
      <w:r w:rsidRPr="00AB0AB9">
        <w:rPr>
          <w:rFonts w:cs="Arial"/>
          <w:rtl/>
        </w:rPr>
        <w:t xml:space="preserve"> כמשמעו</w:t>
      </w:r>
      <w:r>
        <w:rPr>
          <w:rFonts w:cs="Arial" w:hint="cs"/>
          <w:rtl/>
        </w:rPr>
        <w:t>.</w:t>
      </w:r>
      <w:r w:rsidRPr="00AB0AB9">
        <w:rPr>
          <w:rFonts w:cs="Arial"/>
          <w:rtl/>
        </w:rPr>
        <w:t xml:space="preserve"> עונתה - אלו מזונות, וכן הוא אומר: ויענך וירעיבך. </w:t>
      </w:r>
    </w:p>
    <w:p w14:paraId="33A80A11" w14:textId="4C45086C" w:rsidR="00F42A20" w:rsidRDefault="00F42A20" w:rsidP="009919C0">
      <w:pPr>
        <w:rPr>
          <w:rFonts w:cs="Arial"/>
          <w:rtl/>
        </w:rPr>
      </w:pPr>
      <w:r w:rsidRPr="00AB0AB9">
        <w:rPr>
          <w:rFonts w:cs="Arial" w:hint="cs"/>
          <w:b/>
          <w:bCs/>
          <w:rtl/>
        </w:rPr>
        <w:t>כתובות</w:t>
      </w:r>
      <w:r>
        <w:rPr>
          <w:rFonts w:cs="Arial" w:hint="cs"/>
          <w:b/>
          <w:bCs/>
          <w:rtl/>
        </w:rPr>
        <w:t xml:space="preserve"> </w:t>
      </w:r>
      <w:r>
        <w:rPr>
          <w:rFonts w:cs="Arial" w:hint="cs"/>
          <w:b/>
          <w:bCs/>
          <w:sz w:val="16"/>
          <w:szCs w:val="16"/>
          <w:rtl/>
        </w:rPr>
        <w:t>(פ' נערה שנתפתתה)</w:t>
      </w:r>
      <w:r w:rsidRPr="00AB0AB9">
        <w:rPr>
          <w:rFonts w:cs="Arial" w:hint="cs"/>
          <w:b/>
          <w:bCs/>
          <w:rtl/>
        </w:rPr>
        <w:t xml:space="preserve"> </w:t>
      </w:r>
      <w:r>
        <w:rPr>
          <w:rFonts w:cs="Arial" w:hint="cs"/>
          <w:b/>
          <w:bCs/>
          <w:rtl/>
        </w:rPr>
        <w:t>נא</w:t>
      </w:r>
      <w:r w:rsidRPr="00AB0AB9">
        <w:rPr>
          <w:rFonts w:cs="Arial" w:hint="cs"/>
          <w:b/>
          <w:bCs/>
          <w:rtl/>
        </w:rPr>
        <w:t xml:space="preserve"> ע"</w:t>
      </w:r>
      <w:r>
        <w:rPr>
          <w:rFonts w:cs="Arial" w:hint="cs"/>
          <w:b/>
          <w:bCs/>
          <w:rtl/>
        </w:rPr>
        <w:t>א</w:t>
      </w:r>
      <w:r w:rsidRPr="00AB0AB9">
        <w:rPr>
          <w:rFonts w:cs="Arial" w:hint="cs"/>
          <w:b/>
          <w:bCs/>
          <w:rtl/>
        </w:rPr>
        <w:t xml:space="preserve">: </w:t>
      </w:r>
      <w:r w:rsidRPr="00AB0AB9">
        <w:rPr>
          <w:rFonts w:cs="Arial"/>
          <w:u w:val="double"/>
          <w:rtl/>
        </w:rPr>
        <w:t>מתני'</w:t>
      </w:r>
      <w:r>
        <w:rPr>
          <w:rFonts w:cs="Arial" w:hint="cs"/>
          <w:rtl/>
        </w:rPr>
        <w:t>:</w:t>
      </w:r>
      <w:r w:rsidRPr="00F42A20">
        <w:rPr>
          <w:rFonts w:cs="Arial"/>
          <w:rtl/>
        </w:rPr>
        <w:t xml:space="preserve"> לא כתב לה כתובה - בתולה גובה מאתים ואלמנה מנה, מפני שהוא תנאי בית דין. כתב לה שדה שוה מנה תחת מאתים זוז, ולא כתב לה כל נכסים דאית לי אחראין לכתובתיך - חייב, שהוא תנאי בית דין. לא כתב לה אם תשתבאי אפרקינך ואותבינך לי לאינתו, ובכהנת אהדרינך למדינתך - חייב, שהוא תנאי בית דין. נשבית - חייב לפדותה, ואם אמר הרי גיטה וכתובתה ותפדה את עצמה - אינו רשאי. לקתה - חייב לרפאותה, אמר הרי גיטה וכתובתה תרפא את עצמה - רשאי.</w:t>
      </w:r>
    </w:p>
    <w:p w14:paraId="09BA3519" w14:textId="5B2B4DAB" w:rsidR="00A931CA" w:rsidRPr="003212DE" w:rsidRDefault="003212DE" w:rsidP="00A931CA">
      <w:pPr>
        <w:rPr>
          <w:u w:val="single"/>
          <w:rtl/>
        </w:rPr>
      </w:pPr>
      <w:r w:rsidRPr="003212DE">
        <w:rPr>
          <w:rFonts w:hint="cs"/>
          <w:u w:val="single"/>
          <w:rtl/>
        </w:rPr>
        <w:t>חובות וזכויות של אדם שנושא אשה:</w:t>
      </w:r>
    </w:p>
    <w:p w14:paraId="308F3B4C" w14:textId="57D5943B" w:rsidR="003212DE" w:rsidRPr="003212DE" w:rsidRDefault="00B52903" w:rsidP="009000E3">
      <w:pPr>
        <w:pStyle w:val="ab"/>
        <w:numPr>
          <w:ilvl w:val="0"/>
          <w:numId w:val="20"/>
        </w:numPr>
      </w:pPr>
      <w:r>
        <w:rPr>
          <w:rFonts w:cs="Arial"/>
          <w:rtl/>
        </w:rPr>
        <w:t xml:space="preserve">רמב"ם </w:t>
      </w:r>
      <w:r w:rsidRPr="00B52903">
        <w:rPr>
          <w:rFonts w:cs="Arial" w:hint="cs"/>
          <w:sz w:val="16"/>
          <w:szCs w:val="16"/>
          <w:rtl/>
        </w:rPr>
        <w:t>(</w:t>
      </w:r>
      <w:r w:rsidRPr="00B52903">
        <w:rPr>
          <w:rFonts w:cs="Arial"/>
          <w:sz w:val="16"/>
          <w:szCs w:val="16"/>
          <w:rtl/>
        </w:rPr>
        <w:t>פי"ב מאישות ה</w:t>
      </w:r>
      <w:r w:rsidR="00571B26">
        <w:rPr>
          <w:rFonts w:cs="Arial" w:hint="cs"/>
          <w:sz w:val="16"/>
          <w:szCs w:val="16"/>
          <w:rtl/>
        </w:rPr>
        <w:t>"</w:t>
      </w:r>
      <w:r w:rsidRPr="00B52903">
        <w:rPr>
          <w:rFonts w:cs="Arial"/>
          <w:sz w:val="16"/>
          <w:szCs w:val="16"/>
          <w:rtl/>
        </w:rPr>
        <w:t>א)</w:t>
      </w:r>
      <w:r>
        <w:rPr>
          <w:rFonts w:cs="Arial" w:hint="cs"/>
          <w:rtl/>
        </w:rPr>
        <w:t xml:space="preserve"> ו</w:t>
      </w:r>
      <w:r w:rsidR="00A931CA" w:rsidRPr="00A931CA">
        <w:rPr>
          <w:rFonts w:cs="Arial" w:hint="cs"/>
          <w:rtl/>
        </w:rPr>
        <w:t xml:space="preserve">טור- </w:t>
      </w:r>
      <w:r w:rsidR="003212DE" w:rsidRPr="003212DE">
        <w:rPr>
          <w:rFonts w:cs="Arial"/>
          <w:rtl/>
        </w:rPr>
        <w:t>כשנושא אדם אשה בין בתולה בין בעולה בין גדולה בין קטנה אחת בת ישראל ואחת הגיורת או המשוחררת יתחייב לה בעשרה דברים ויזכה בארבעה דברים</w:t>
      </w:r>
      <w:r w:rsidR="00571B26">
        <w:rPr>
          <w:rFonts w:cs="Arial" w:hint="cs"/>
          <w:sz w:val="16"/>
          <w:szCs w:val="16"/>
          <w:rtl/>
        </w:rPr>
        <w:t xml:space="preserve"> (ל' הרמב"ם)</w:t>
      </w:r>
      <w:r w:rsidR="00D11D44">
        <w:rPr>
          <w:rFonts w:cs="Arial" w:hint="cs"/>
          <w:rtl/>
        </w:rPr>
        <w:t>.</w:t>
      </w:r>
      <w:r w:rsidR="00A931CA" w:rsidRPr="00A931CA">
        <w:rPr>
          <w:rFonts w:cs="Arial"/>
          <w:rtl/>
        </w:rPr>
        <w:t xml:space="preserve"> </w:t>
      </w:r>
      <w:r w:rsidR="009E49FF" w:rsidRPr="009E49FF">
        <w:rPr>
          <w:rFonts w:hint="cs"/>
          <w:color w:val="E36C0A" w:themeColor="accent6" w:themeShade="BF"/>
          <w:rtl/>
        </w:rPr>
        <w:t>(וכ"פ בשו"ע</w:t>
      </w:r>
      <w:r w:rsidR="002225B2">
        <w:rPr>
          <w:rFonts w:hint="cs"/>
          <w:color w:val="000000" w:themeColor="text1"/>
          <w:sz w:val="16"/>
          <w:szCs w:val="16"/>
          <w:rtl/>
        </w:rPr>
        <w:t xml:space="preserve"> </w:t>
      </w:r>
      <w:r w:rsidR="002225B2" w:rsidRPr="009E49FF">
        <w:rPr>
          <w:rFonts w:hint="cs"/>
          <w:color w:val="000000" w:themeColor="text1"/>
          <w:sz w:val="16"/>
          <w:szCs w:val="16"/>
          <w:rtl/>
        </w:rPr>
        <w:t xml:space="preserve">[בסע' </w:t>
      </w:r>
      <w:r w:rsidR="002225B2">
        <w:rPr>
          <w:rFonts w:hint="cs"/>
          <w:color w:val="000000" w:themeColor="text1"/>
          <w:sz w:val="16"/>
          <w:szCs w:val="16"/>
          <w:rtl/>
        </w:rPr>
        <w:t>א-ג</w:t>
      </w:r>
      <w:r w:rsidR="002225B2" w:rsidRPr="009E49FF">
        <w:rPr>
          <w:rFonts w:hint="cs"/>
          <w:color w:val="000000" w:themeColor="text1"/>
          <w:sz w:val="16"/>
          <w:szCs w:val="16"/>
          <w:rtl/>
        </w:rPr>
        <w:t>]</w:t>
      </w:r>
      <w:r w:rsidR="009E49FF" w:rsidRPr="009E49FF">
        <w:rPr>
          <w:rFonts w:hint="cs"/>
          <w:color w:val="E36C0A" w:themeColor="accent6" w:themeShade="BF"/>
          <w:rtl/>
        </w:rPr>
        <w:t>)</w:t>
      </w:r>
    </w:p>
    <w:p w14:paraId="6BDCB90A" w14:textId="7C223832" w:rsidR="003212DE" w:rsidRPr="003212DE" w:rsidRDefault="003212DE" w:rsidP="003212DE">
      <w:pPr>
        <w:ind w:left="360"/>
        <w:rPr>
          <w:u w:val="dotted"/>
        </w:rPr>
      </w:pPr>
      <w:r w:rsidRPr="003212DE">
        <w:rPr>
          <w:rFonts w:hint="cs"/>
          <w:u w:val="dotted"/>
          <w:rtl/>
        </w:rPr>
        <w:t>במה חייב מן התורה:</w:t>
      </w:r>
    </w:p>
    <w:p w14:paraId="64259CDA" w14:textId="486116A7" w:rsidR="003212DE" w:rsidRDefault="003212DE" w:rsidP="009000E3">
      <w:pPr>
        <w:pStyle w:val="ab"/>
        <w:numPr>
          <w:ilvl w:val="0"/>
          <w:numId w:val="20"/>
        </w:numPr>
      </w:pPr>
      <w:r>
        <w:rPr>
          <w:rFonts w:cs="Arial"/>
          <w:rtl/>
        </w:rPr>
        <w:t xml:space="preserve">רמב"ם </w:t>
      </w:r>
      <w:r w:rsidRPr="00B52903">
        <w:rPr>
          <w:rFonts w:cs="Arial" w:hint="cs"/>
          <w:sz w:val="16"/>
          <w:szCs w:val="16"/>
          <w:rtl/>
        </w:rPr>
        <w:t>(</w:t>
      </w:r>
      <w:r w:rsidRPr="00B52903">
        <w:rPr>
          <w:rFonts w:cs="Arial"/>
          <w:sz w:val="16"/>
          <w:szCs w:val="16"/>
          <w:rtl/>
        </w:rPr>
        <w:t>פי"ב מאישות ה</w:t>
      </w:r>
      <w:r w:rsidR="00571B26">
        <w:rPr>
          <w:rFonts w:cs="Arial" w:hint="cs"/>
          <w:sz w:val="16"/>
          <w:szCs w:val="16"/>
          <w:rtl/>
        </w:rPr>
        <w:t>"ב</w:t>
      </w:r>
      <w:r w:rsidRPr="00B52903">
        <w:rPr>
          <w:rFonts w:cs="Arial"/>
          <w:sz w:val="16"/>
          <w:szCs w:val="16"/>
          <w:rtl/>
        </w:rPr>
        <w:t>)</w:t>
      </w:r>
      <w:r>
        <w:rPr>
          <w:rFonts w:cs="Arial" w:hint="cs"/>
          <w:rtl/>
        </w:rPr>
        <w:t xml:space="preserve"> </w:t>
      </w:r>
      <w:r w:rsidR="009C7BAE">
        <w:rPr>
          <w:rFonts w:cs="Arial" w:hint="cs"/>
          <w:rtl/>
        </w:rPr>
        <w:t xml:space="preserve">רשב"א </w:t>
      </w:r>
      <w:r w:rsidR="009C7BAE">
        <w:rPr>
          <w:rFonts w:cs="Arial" w:hint="cs"/>
          <w:sz w:val="16"/>
          <w:szCs w:val="16"/>
          <w:rtl/>
        </w:rPr>
        <w:t>(כ"כ הה"מ [שם] בשמו)</w:t>
      </w:r>
      <w:r w:rsidR="009C7BAE">
        <w:rPr>
          <w:rFonts w:cs="Arial" w:hint="cs"/>
          <w:rtl/>
        </w:rPr>
        <w:t xml:space="preserve"> </w:t>
      </w:r>
      <w:r>
        <w:rPr>
          <w:rFonts w:cs="Arial" w:hint="cs"/>
          <w:rtl/>
        </w:rPr>
        <w:t>ו</w:t>
      </w:r>
      <w:r w:rsidRPr="00A931CA">
        <w:rPr>
          <w:rFonts w:cs="Arial" w:hint="cs"/>
          <w:rtl/>
        </w:rPr>
        <w:t xml:space="preserve">טור- </w:t>
      </w:r>
      <w:r w:rsidR="00571B26" w:rsidRPr="00571B26">
        <w:rPr>
          <w:rFonts w:cs="Arial"/>
          <w:rtl/>
        </w:rPr>
        <w:t>והעשרה</w:t>
      </w:r>
      <w:r w:rsidR="00571B26">
        <w:rPr>
          <w:rFonts w:cs="Arial" w:hint="cs"/>
          <w:rtl/>
        </w:rPr>
        <w:t>,</w:t>
      </w:r>
      <w:r w:rsidR="00571B26" w:rsidRPr="00571B26">
        <w:rPr>
          <w:rFonts w:cs="Arial"/>
          <w:rtl/>
        </w:rPr>
        <w:t xml:space="preserve"> שלשה מהן מן התורה</w:t>
      </w:r>
      <w:r w:rsidR="00571B26">
        <w:rPr>
          <w:rFonts w:cs="Arial" w:hint="cs"/>
          <w:rtl/>
        </w:rPr>
        <w:t>,</w:t>
      </w:r>
      <w:r w:rsidR="00571B26" w:rsidRPr="00571B26">
        <w:rPr>
          <w:rFonts w:cs="Arial"/>
          <w:rtl/>
        </w:rPr>
        <w:t xml:space="preserve"> ואלו הן</w:t>
      </w:r>
      <w:r w:rsidR="00571B26">
        <w:rPr>
          <w:rFonts w:cs="Arial" w:hint="cs"/>
          <w:rtl/>
        </w:rPr>
        <w:t>:</w:t>
      </w:r>
      <w:r w:rsidR="00571B26" w:rsidRPr="00571B26">
        <w:rPr>
          <w:rFonts w:cs="Arial"/>
          <w:rtl/>
        </w:rPr>
        <w:t xml:space="preserve"> שארה כסותה ועונתה</w:t>
      </w:r>
      <w:r w:rsidR="00571B26">
        <w:rPr>
          <w:rFonts w:cs="Arial" w:hint="cs"/>
          <w:rtl/>
        </w:rPr>
        <w:t>.</w:t>
      </w:r>
      <w:r w:rsidR="00571B26" w:rsidRPr="00571B26">
        <w:rPr>
          <w:rFonts w:cs="Arial"/>
          <w:rtl/>
        </w:rPr>
        <w:t xml:space="preserve"> שארה אלו מזונותיה, כסותה כמשמעה, עונתה לבא עליה כדרך כל הארץ</w:t>
      </w:r>
      <w:r w:rsidR="00571B26">
        <w:rPr>
          <w:rStyle w:val="a7"/>
          <w:rFonts w:cs="Arial"/>
          <w:rtl/>
        </w:rPr>
        <w:footnoteReference w:id="224"/>
      </w:r>
      <w:r w:rsidR="00571B26">
        <w:rPr>
          <w:rFonts w:cs="Arial" w:hint="cs"/>
          <w:sz w:val="16"/>
          <w:szCs w:val="16"/>
          <w:rtl/>
        </w:rPr>
        <w:t xml:space="preserve"> (ל' הרמב"ם)</w:t>
      </w:r>
      <w:r w:rsidR="00571B26">
        <w:rPr>
          <w:rFonts w:cs="Arial" w:hint="cs"/>
          <w:rtl/>
        </w:rPr>
        <w:t>.</w:t>
      </w:r>
      <w:r w:rsidR="009E49FF" w:rsidRPr="009E49FF">
        <w:rPr>
          <w:rFonts w:hint="cs"/>
          <w:color w:val="E36C0A" w:themeColor="accent6" w:themeShade="BF"/>
          <w:rtl/>
        </w:rPr>
        <w:t xml:space="preserve"> </w:t>
      </w:r>
      <w:r w:rsidR="00571B26" w:rsidRPr="00571B26">
        <w:rPr>
          <w:rFonts w:cs="Arial"/>
          <w:rtl/>
        </w:rPr>
        <w:t xml:space="preserve"> </w:t>
      </w:r>
    </w:p>
    <w:p w14:paraId="0C36B0B7" w14:textId="48ACA50F" w:rsidR="009C7BAE" w:rsidRDefault="00571B26" w:rsidP="009000E3">
      <w:pPr>
        <w:pStyle w:val="ab"/>
        <w:numPr>
          <w:ilvl w:val="0"/>
          <w:numId w:val="20"/>
        </w:numPr>
      </w:pPr>
      <w:r>
        <w:rPr>
          <w:rFonts w:cs="Arial"/>
          <w:rtl/>
        </w:rPr>
        <w:t xml:space="preserve">רמב"ן </w:t>
      </w:r>
      <w:r>
        <w:rPr>
          <w:rFonts w:cs="Arial" w:hint="cs"/>
          <w:sz w:val="16"/>
          <w:szCs w:val="16"/>
          <w:rtl/>
        </w:rPr>
        <w:t>(כ"כ הה"מ [שם] בשמו)</w:t>
      </w:r>
      <w:r>
        <w:rPr>
          <w:rFonts w:cs="Arial" w:hint="cs"/>
          <w:rtl/>
        </w:rPr>
        <w:t xml:space="preserve">- </w:t>
      </w:r>
      <w:r w:rsidR="009C7BAE">
        <w:rPr>
          <w:rFonts w:cs="Arial" w:hint="cs"/>
          <w:rtl/>
        </w:rPr>
        <w:t>עונה בלבד, אבל ב</w:t>
      </w:r>
      <w:r>
        <w:rPr>
          <w:rFonts w:cs="Arial"/>
          <w:rtl/>
        </w:rPr>
        <w:t xml:space="preserve">מזונות ומלבושי האשה </w:t>
      </w:r>
      <w:r w:rsidR="009C7BAE">
        <w:rPr>
          <w:rFonts w:cs="Arial" w:hint="cs"/>
          <w:rtl/>
        </w:rPr>
        <w:t xml:space="preserve">חייב </w:t>
      </w:r>
      <w:r>
        <w:rPr>
          <w:rFonts w:cs="Arial"/>
          <w:rtl/>
        </w:rPr>
        <w:t>מדבריהם</w:t>
      </w:r>
      <w:r w:rsidR="009C7BAE">
        <w:rPr>
          <w:rStyle w:val="a7"/>
          <w:rFonts w:cs="Arial"/>
          <w:rtl/>
        </w:rPr>
        <w:footnoteReference w:id="225"/>
      </w:r>
      <w:r w:rsidR="009C7BAE">
        <w:rPr>
          <w:rFonts w:cs="Arial" w:hint="cs"/>
          <w:rtl/>
        </w:rPr>
        <w:t>.</w:t>
      </w:r>
      <w:r>
        <w:rPr>
          <w:rFonts w:cs="Arial"/>
          <w:rtl/>
        </w:rPr>
        <w:t xml:space="preserve"> </w:t>
      </w:r>
    </w:p>
    <w:p w14:paraId="4A4037D7" w14:textId="6640B91F" w:rsidR="00571B26" w:rsidRPr="003212DE" w:rsidRDefault="009C7BAE" w:rsidP="009000E3">
      <w:pPr>
        <w:pStyle w:val="ab"/>
        <w:numPr>
          <w:ilvl w:val="0"/>
          <w:numId w:val="20"/>
        </w:numPr>
      </w:pPr>
      <w:r>
        <w:rPr>
          <w:rFonts w:hint="cs"/>
          <w:rtl/>
        </w:rPr>
        <w:t xml:space="preserve">ר"ן </w:t>
      </w:r>
      <w:r w:rsidRPr="009C7BAE">
        <w:rPr>
          <w:rFonts w:cs="Arial" w:hint="cs"/>
          <w:sz w:val="16"/>
          <w:szCs w:val="16"/>
          <w:rtl/>
        </w:rPr>
        <w:t>(</w:t>
      </w:r>
      <w:r w:rsidRPr="009C7BAE">
        <w:rPr>
          <w:rFonts w:cs="Arial"/>
          <w:sz w:val="16"/>
          <w:szCs w:val="16"/>
          <w:rtl/>
        </w:rPr>
        <w:t>פ</w:t>
      </w:r>
      <w:r w:rsidRPr="009C7BAE">
        <w:rPr>
          <w:rFonts w:cs="Arial" w:hint="cs"/>
          <w:sz w:val="16"/>
          <w:szCs w:val="16"/>
          <w:rtl/>
        </w:rPr>
        <w:t>'</w:t>
      </w:r>
      <w:r w:rsidRPr="009C7BAE">
        <w:rPr>
          <w:rFonts w:cs="Arial"/>
          <w:sz w:val="16"/>
          <w:szCs w:val="16"/>
          <w:rtl/>
        </w:rPr>
        <w:t xml:space="preserve"> נערה יז. ד"ה ובגמ' איכא</w:t>
      </w:r>
      <w:r w:rsidRPr="009C7BAE">
        <w:rPr>
          <w:rFonts w:cs="Arial" w:hint="cs"/>
          <w:sz w:val="16"/>
          <w:szCs w:val="16"/>
          <w:rtl/>
        </w:rPr>
        <w:t>, כ"כ בשמו הדרכ"מ [אות א*])</w:t>
      </w:r>
      <w:r>
        <w:rPr>
          <w:rFonts w:cs="Arial" w:hint="cs"/>
          <w:rtl/>
        </w:rPr>
        <w:t>- בכסותה ועונתה, אבל במזונות חייב מדבריהם</w:t>
      </w:r>
      <w:r w:rsidR="003B5CAE">
        <w:rPr>
          <w:rStyle w:val="a7"/>
          <w:rFonts w:cs="Arial"/>
          <w:rtl/>
        </w:rPr>
        <w:footnoteReference w:id="226"/>
      </w:r>
      <w:r>
        <w:rPr>
          <w:rFonts w:cs="Arial" w:hint="cs"/>
          <w:rtl/>
        </w:rPr>
        <w:t>.</w:t>
      </w:r>
    </w:p>
    <w:p w14:paraId="0B83B8D5" w14:textId="0DB5EC0F" w:rsidR="003212DE" w:rsidRPr="003212DE" w:rsidRDefault="003212DE" w:rsidP="003212DE">
      <w:pPr>
        <w:ind w:left="360"/>
        <w:rPr>
          <w:u w:val="dotted"/>
        </w:rPr>
      </w:pPr>
      <w:r w:rsidRPr="003212DE">
        <w:rPr>
          <w:rFonts w:hint="cs"/>
          <w:u w:val="dotted"/>
          <w:rtl/>
        </w:rPr>
        <w:t>במה חייב מדברי סופרים:</w:t>
      </w:r>
    </w:p>
    <w:p w14:paraId="3886B86F" w14:textId="34CD26A1" w:rsidR="00571B26" w:rsidRPr="00571B26" w:rsidRDefault="003212DE" w:rsidP="009000E3">
      <w:pPr>
        <w:pStyle w:val="ab"/>
        <w:numPr>
          <w:ilvl w:val="0"/>
          <w:numId w:val="20"/>
        </w:numPr>
      </w:pPr>
      <w:r>
        <w:rPr>
          <w:rFonts w:cs="Arial"/>
          <w:rtl/>
        </w:rPr>
        <w:t xml:space="preserve">רמב"ם </w:t>
      </w:r>
      <w:r w:rsidRPr="00B52903">
        <w:rPr>
          <w:rFonts w:cs="Arial" w:hint="cs"/>
          <w:sz w:val="16"/>
          <w:szCs w:val="16"/>
          <w:rtl/>
        </w:rPr>
        <w:t>(</w:t>
      </w:r>
      <w:r w:rsidRPr="00B52903">
        <w:rPr>
          <w:rFonts w:cs="Arial"/>
          <w:sz w:val="16"/>
          <w:szCs w:val="16"/>
          <w:rtl/>
        </w:rPr>
        <w:t>פי"ב מאישות ה</w:t>
      </w:r>
      <w:r w:rsidR="00571B26">
        <w:rPr>
          <w:rFonts w:cs="Arial" w:hint="cs"/>
          <w:sz w:val="16"/>
          <w:szCs w:val="16"/>
          <w:rtl/>
        </w:rPr>
        <w:t>"ב</w:t>
      </w:r>
      <w:r w:rsidRPr="00B52903">
        <w:rPr>
          <w:rFonts w:cs="Arial"/>
          <w:sz w:val="16"/>
          <w:szCs w:val="16"/>
          <w:rtl/>
        </w:rPr>
        <w:t>)</w:t>
      </w:r>
      <w:r>
        <w:rPr>
          <w:rFonts w:cs="Arial" w:hint="cs"/>
          <w:rtl/>
        </w:rPr>
        <w:t xml:space="preserve"> ו</w:t>
      </w:r>
      <w:r w:rsidRPr="00A931CA">
        <w:rPr>
          <w:rFonts w:cs="Arial" w:hint="cs"/>
          <w:rtl/>
        </w:rPr>
        <w:t xml:space="preserve">טור- </w:t>
      </w:r>
      <w:r w:rsidR="003B5CAE" w:rsidRPr="003B5CAE">
        <w:rPr>
          <w:rFonts w:cs="Arial"/>
          <w:rtl/>
        </w:rPr>
        <w:t>והשבעה</w:t>
      </w:r>
      <w:r w:rsidR="003B5CAE">
        <w:rPr>
          <w:rFonts w:cs="Arial" w:hint="cs"/>
          <w:rtl/>
        </w:rPr>
        <w:t>,</w:t>
      </w:r>
      <w:r w:rsidR="003B5CAE" w:rsidRPr="003B5CAE">
        <w:rPr>
          <w:rFonts w:cs="Arial"/>
          <w:rtl/>
        </w:rPr>
        <w:t xml:space="preserve"> מדברי סופרים</w:t>
      </w:r>
      <w:r w:rsidR="003B5CAE">
        <w:rPr>
          <w:rFonts w:cs="Arial" w:hint="cs"/>
          <w:rtl/>
        </w:rPr>
        <w:t>,</w:t>
      </w:r>
      <w:r w:rsidR="003B5CAE" w:rsidRPr="003B5CAE">
        <w:rPr>
          <w:rFonts w:cs="Arial"/>
          <w:rtl/>
        </w:rPr>
        <w:t xml:space="preserve"> וכולן תנאי בית דין הם</w:t>
      </w:r>
      <w:r w:rsidR="003B5CAE">
        <w:rPr>
          <w:rFonts w:cs="Arial" w:hint="cs"/>
          <w:rtl/>
        </w:rPr>
        <w:t>.</w:t>
      </w:r>
      <w:r w:rsidR="003B5CAE" w:rsidRPr="003B5CAE">
        <w:rPr>
          <w:rFonts w:cs="Arial"/>
          <w:rtl/>
        </w:rPr>
        <w:t xml:space="preserve"> האחד מהם עיקר כתובה, והשאר הם הנקראין תנאי כתובה</w:t>
      </w:r>
      <w:r w:rsidR="003B5CAE">
        <w:rPr>
          <w:rFonts w:cs="Arial" w:hint="cs"/>
          <w:rtl/>
        </w:rPr>
        <w:t>,</w:t>
      </w:r>
      <w:r w:rsidR="003B5CAE" w:rsidRPr="003B5CAE">
        <w:rPr>
          <w:rFonts w:cs="Arial"/>
          <w:rtl/>
        </w:rPr>
        <w:t xml:space="preserve"> ואלו הן, לרפאותה אם חלתה, ולפדותה אם נשבית, ולקברה כשתמות, ולהיות נזונת מנכסיו ויושבת בביתו אחר מותו כל זמן אלמנותה, ולהיות בנותיה ממנו ניזונות מנכסיו אחרי מותו עד שיתארסו, ולהיות בניה הזכרים ממנו יורשין כתובתה יתר על חלקם בירושה שעם אחיהם</w:t>
      </w:r>
      <w:r w:rsidR="003B5CAE">
        <w:rPr>
          <w:rFonts w:cs="Arial" w:hint="cs"/>
          <w:sz w:val="16"/>
          <w:szCs w:val="16"/>
          <w:rtl/>
        </w:rPr>
        <w:t xml:space="preserve"> (ל' הרמב"ם)</w:t>
      </w:r>
      <w:r w:rsidR="00D11D44">
        <w:rPr>
          <w:rFonts w:cs="Arial" w:hint="cs"/>
          <w:rtl/>
        </w:rPr>
        <w:t>.</w:t>
      </w:r>
      <w:r w:rsidR="009E49FF" w:rsidRPr="009E49FF">
        <w:rPr>
          <w:rFonts w:hint="cs"/>
          <w:color w:val="E36C0A" w:themeColor="accent6" w:themeShade="BF"/>
          <w:rtl/>
        </w:rPr>
        <w:t xml:space="preserve"> </w:t>
      </w:r>
    </w:p>
    <w:p w14:paraId="7292E2B7" w14:textId="05DA11F7" w:rsidR="00571B26" w:rsidRPr="00571B26" w:rsidRDefault="00571B26" w:rsidP="00571B26">
      <w:pPr>
        <w:ind w:left="360"/>
        <w:rPr>
          <w:u w:val="dotted"/>
        </w:rPr>
      </w:pPr>
      <w:r w:rsidRPr="00571B26">
        <w:rPr>
          <w:rFonts w:hint="cs"/>
          <w:u w:val="dotted"/>
          <w:rtl/>
        </w:rPr>
        <w:t>במה ז</w:t>
      </w:r>
      <w:r w:rsidR="00577A45">
        <w:rPr>
          <w:rFonts w:hint="cs"/>
          <w:u w:val="dotted"/>
          <w:rtl/>
        </w:rPr>
        <w:t>וכה הוא</w:t>
      </w:r>
      <w:r w:rsidRPr="00571B26">
        <w:rPr>
          <w:rFonts w:hint="cs"/>
          <w:u w:val="dotted"/>
          <w:rtl/>
        </w:rPr>
        <w:t xml:space="preserve"> מדברי סופרים:</w:t>
      </w:r>
    </w:p>
    <w:p w14:paraId="560966D8" w14:textId="37A48E13" w:rsidR="00F42A20" w:rsidRPr="00F42A20" w:rsidRDefault="00571B26" w:rsidP="009000E3">
      <w:pPr>
        <w:pStyle w:val="ab"/>
        <w:numPr>
          <w:ilvl w:val="0"/>
          <w:numId w:val="20"/>
        </w:numPr>
      </w:pPr>
      <w:r>
        <w:rPr>
          <w:rFonts w:cs="Arial"/>
          <w:rtl/>
        </w:rPr>
        <w:t xml:space="preserve">רמב"ם </w:t>
      </w:r>
      <w:r w:rsidRPr="00B52903">
        <w:rPr>
          <w:rFonts w:cs="Arial" w:hint="cs"/>
          <w:sz w:val="16"/>
          <w:szCs w:val="16"/>
          <w:rtl/>
        </w:rPr>
        <w:t>(</w:t>
      </w:r>
      <w:r w:rsidRPr="00B52903">
        <w:rPr>
          <w:rFonts w:cs="Arial"/>
          <w:sz w:val="16"/>
          <w:szCs w:val="16"/>
          <w:rtl/>
        </w:rPr>
        <w:t>פי"ב מאישות ה</w:t>
      </w:r>
      <w:r>
        <w:rPr>
          <w:rFonts w:cs="Arial" w:hint="cs"/>
          <w:sz w:val="16"/>
          <w:szCs w:val="16"/>
          <w:rtl/>
        </w:rPr>
        <w:t>"ג</w:t>
      </w:r>
      <w:r w:rsidRPr="00B52903">
        <w:rPr>
          <w:rFonts w:cs="Arial"/>
          <w:sz w:val="16"/>
          <w:szCs w:val="16"/>
          <w:rtl/>
        </w:rPr>
        <w:t>)</w:t>
      </w:r>
      <w:r>
        <w:rPr>
          <w:rFonts w:cs="Arial" w:hint="cs"/>
          <w:rtl/>
        </w:rPr>
        <w:t xml:space="preserve"> ו</w:t>
      </w:r>
      <w:r w:rsidRPr="00A931CA">
        <w:rPr>
          <w:rFonts w:cs="Arial" w:hint="cs"/>
          <w:rtl/>
        </w:rPr>
        <w:t xml:space="preserve">טור- </w:t>
      </w:r>
      <w:r w:rsidR="00F42A20" w:rsidRPr="00F42A20">
        <w:rPr>
          <w:rFonts w:cs="Arial"/>
          <w:rtl/>
        </w:rPr>
        <w:t>והארבעה שזוכה בהן כולם מדברי סופרים, ואלו הן, להיות מעשה ידיה שלו, ולהיות מציאתה שלו, ושיהיה אוכל כל פירות נכסיה בחייה, ואם מתה בחייו יירשנה, והוא קודם לכל אדם בירושה</w:t>
      </w:r>
      <w:r w:rsidR="00F42A20">
        <w:rPr>
          <w:rFonts w:cs="Arial" w:hint="cs"/>
          <w:sz w:val="16"/>
          <w:szCs w:val="16"/>
          <w:rtl/>
        </w:rPr>
        <w:t xml:space="preserve"> (ל' הרמב"ם)</w:t>
      </w:r>
      <w:r w:rsidR="00F42A20" w:rsidRPr="00F42A20">
        <w:rPr>
          <w:rFonts w:cs="Arial"/>
          <w:rtl/>
        </w:rPr>
        <w:t xml:space="preserve">. </w:t>
      </w:r>
    </w:p>
    <w:p w14:paraId="431EC5B6" w14:textId="3C159110" w:rsidR="00F42A20" w:rsidRDefault="00F42A20" w:rsidP="009000E3">
      <w:pPr>
        <w:pStyle w:val="ab"/>
        <w:numPr>
          <w:ilvl w:val="0"/>
          <w:numId w:val="20"/>
        </w:numPr>
      </w:pPr>
      <w:r w:rsidRPr="00F42A20">
        <w:rPr>
          <w:rFonts w:cs="Arial"/>
          <w:rtl/>
        </w:rPr>
        <w:t>ראב"ד</w:t>
      </w:r>
      <w:r>
        <w:rPr>
          <w:rFonts w:cs="Arial" w:hint="cs"/>
          <w:rtl/>
        </w:rPr>
        <w:t xml:space="preserve"> </w:t>
      </w:r>
      <w:r>
        <w:rPr>
          <w:rFonts w:cs="Arial" w:hint="cs"/>
          <w:sz w:val="16"/>
          <w:szCs w:val="16"/>
          <w:rtl/>
        </w:rPr>
        <w:t>(בהשגות שם)</w:t>
      </w:r>
      <w:r>
        <w:rPr>
          <w:rFonts w:cs="Arial" w:hint="cs"/>
          <w:rtl/>
        </w:rPr>
        <w:t>-</w:t>
      </w:r>
      <w:r w:rsidRPr="00F42A20">
        <w:rPr>
          <w:rFonts w:cs="Arial"/>
          <w:rtl/>
        </w:rPr>
        <w:t xml:space="preserve"> אומר אני ירושת הבעל דבר תורה</w:t>
      </w:r>
      <w:r w:rsidR="00D11D44">
        <w:rPr>
          <w:rFonts w:cs="Arial" w:hint="cs"/>
          <w:rtl/>
        </w:rPr>
        <w:t>.</w:t>
      </w:r>
      <w:r w:rsidR="00A931CA" w:rsidRPr="00A931CA">
        <w:rPr>
          <w:rFonts w:cs="Arial"/>
          <w:rtl/>
        </w:rPr>
        <w:t xml:space="preserve"> </w:t>
      </w:r>
    </w:p>
    <w:p w14:paraId="5695AFAE" w14:textId="25D2888E" w:rsidR="001F65C3" w:rsidRPr="00B40894" w:rsidRDefault="001F65C3" w:rsidP="00B40894">
      <w:pPr>
        <w:ind w:left="360"/>
        <w:rPr>
          <w:rFonts w:cs="Arial"/>
          <w:u w:val="dotted"/>
          <w:rtl/>
        </w:rPr>
      </w:pPr>
      <w:r w:rsidRPr="00B40894">
        <w:rPr>
          <w:rFonts w:cs="Arial" w:hint="cs"/>
          <w:u w:val="dotted"/>
          <w:rtl/>
        </w:rPr>
        <w:t xml:space="preserve">מה הדין אם כל הדברים הנ"ל </w:t>
      </w:r>
      <w:r w:rsidRPr="00B40894">
        <w:rPr>
          <w:rFonts w:cs="Arial" w:hint="cs"/>
          <w:sz w:val="16"/>
          <w:szCs w:val="16"/>
          <w:u w:val="dotted"/>
          <w:rtl/>
        </w:rPr>
        <w:t>(י' שחייב וד' שזוכה)</w:t>
      </w:r>
      <w:r w:rsidRPr="00B40894">
        <w:rPr>
          <w:rFonts w:cs="Arial" w:hint="cs"/>
          <w:u w:val="dotted"/>
          <w:rtl/>
        </w:rPr>
        <w:t xml:space="preserve"> לא נכתבו בכתובה:</w:t>
      </w:r>
    </w:p>
    <w:p w14:paraId="47818046" w14:textId="5583E947" w:rsidR="001F65C3" w:rsidRPr="001F65C3" w:rsidRDefault="001F65C3" w:rsidP="009000E3">
      <w:pPr>
        <w:pStyle w:val="ab"/>
        <w:numPr>
          <w:ilvl w:val="0"/>
          <w:numId w:val="20"/>
        </w:numPr>
      </w:pPr>
      <w:r>
        <w:rPr>
          <w:rFonts w:cs="Arial"/>
          <w:rtl/>
        </w:rPr>
        <w:lastRenderedPageBreak/>
        <w:t xml:space="preserve">רמב"ם </w:t>
      </w:r>
      <w:r w:rsidRPr="00B52903">
        <w:rPr>
          <w:rFonts w:cs="Arial" w:hint="cs"/>
          <w:sz w:val="16"/>
          <w:szCs w:val="16"/>
          <w:rtl/>
        </w:rPr>
        <w:t>(</w:t>
      </w:r>
      <w:r w:rsidRPr="00B52903">
        <w:rPr>
          <w:rFonts w:cs="Arial"/>
          <w:sz w:val="16"/>
          <w:szCs w:val="16"/>
          <w:rtl/>
        </w:rPr>
        <w:t>פי"ב מאישות ה</w:t>
      </w:r>
      <w:r>
        <w:rPr>
          <w:rFonts w:cs="Arial" w:hint="cs"/>
          <w:sz w:val="16"/>
          <w:szCs w:val="16"/>
          <w:rtl/>
        </w:rPr>
        <w:t>"ה</w:t>
      </w:r>
      <w:r w:rsidRPr="00B52903">
        <w:rPr>
          <w:rFonts w:cs="Arial"/>
          <w:sz w:val="16"/>
          <w:szCs w:val="16"/>
          <w:rtl/>
        </w:rPr>
        <w:t>)</w:t>
      </w:r>
      <w:r>
        <w:rPr>
          <w:rFonts w:cs="Arial" w:hint="cs"/>
          <w:rtl/>
        </w:rPr>
        <w:t xml:space="preserve"> ו</w:t>
      </w:r>
      <w:r w:rsidRPr="00A931CA">
        <w:rPr>
          <w:rFonts w:cs="Arial" w:hint="cs"/>
          <w:rtl/>
        </w:rPr>
        <w:t>טור-</w:t>
      </w:r>
      <w:r>
        <w:rPr>
          <w:rFonts w:cs="Arial" w:hint="cs"/>
          <w:rtl/>
        </w:rPr>
        <w:t xml:space="preserve"> </w:t>
      </w:r>
      <w:r w:rsidRPr="001F65C3">
        <w:rPr>
          <w:rFonts w:cs="Arial"/>
          <w:rtl/>
        </w:rPr>
        <w:t>כל הדברים האלו אע</w:t>
      </w:r>
      <w:r w:rsidR="003E4380">
        <w:rPr>
          <w:rFonts w:cs="Arial" w:hint="cs"/>
          <w:rtl/>
        </w:rPr>
        <w:t>"</w:t>
      </w:r>
      <w:r w:rsidRPr="001F65C3">
        <w:rPr>
          <w:rFonts w:cs="Arial"/>
          <w:rtl/>
        </w:rPr>
        <w:t>פ שלא נכתבו בשטר הכתובה ואפילו לא כתבו כתובה אלא נשא סתם כיון שנשאה זכה בארבעה דברים שלו וזכת האשה בעשרה דברים שלה ואינן צריכין לפרש</w:t>
      </w:r>
      <w:r w:rsidRPr="001F65C3">
        <w:rPr>
          <w:rFonts w:cs="Arial" w:hint="cs"/>
          <w:rtl/>
        </w:rPr>
        <w:t>.</w:t>
      </w:r>
      <w:r w:rsidR="009E49FF" w:rsidRPr="009E49FF">
        <w:rPr>
          <w:rFonts w:hint="cs"/>
          <w:color w:val="E36C0A" w:themeColor="accent6" w:themeShade="BF"/>
          <w:rtl/>
        </w:rPr>
        <w:t xml:space="preserve"> (וכ"פ בשו"ע)</w:t>
      </w:r>
    </w:p>
    <w:p w14:paraId="1E61430D" w14:textId="61332193" w:rsidR="00284CDB" w:rsidRDefault="00284CDB" w:rsidP="00284CDB">
      <w:pPr>
        <w:rPr>
          <w:rFonts w:cs="Arial"/>
          <w:rtl/>
        </w:rPr>
      </w:pPr>
      <w:r w:rsidRPr="00101F41">
        <w:rPr>
          <w:rFonts w:cs="Arial" w:hint="cs"/>
          <w:u w:val="single"/>
          <w:rtl/>
        </w:rPr>
        <w:t xml:space="preserve">אשה שאמרה איני ניזונת ואיני עושה </w:t>
      </w:r>
      <w:r w:rsidR="00F97626">
        <w:rPr>
          <w:rFonts w:cs="Arial"/>
          <w:u w:val="single"/>
          <w:rtl/>
        </w:rPr>
        <w:t>-</w:t>
      </w:r>
      <w:r w:rsidRPr="00101F41">
        <w:rPr>
          <w:rFonts w:cs="Arial" w:hint="cs"/>
          <w:u w:val="single"/>
          <w:rtl/>
        </w:rPr>
        <w:t xml:space="preserve"> האם פטורה גם ממלאכות הבית:</w:t>
      </w:r>
    </w:p>
    <w:p w14:paraId="14560F09" w14:textId="77777777" w:rsidR="00284CDB" w:rsidRDefault="00284CDB" w:rsidP="009000E3">
      <w:pPr>
        <w:pStyle w:val="ab"/>
        <w:numPr>
          <w:ilvl w:val="0"/>
          <w:numId w:val="21"/>
        </w:numPr>
        <w:rPr>
          <w:rFonts w:cs="Arial"/>
        </w:rPr>
      </w:pPr>
      <w:r w:rsidRPr="00101F41">
        <w:rPr>
          <w:rFonts w:cs="Arial" w:hint="cs"/>
          <w:rtl/>
        </w:rPr>
        <w:t xml:space="preserve">הה"מ </w:t>
      </w:r>
      <w:r w:rsidRPr="00101F41">
        <w:rPr>
          <w:rFonts w:cs="Arial" w:hint="cs"/>
          <w:sz w:val="16"/>
          <w:szCs w:val="16"/>
          <w:rtl/>
        </w:rPr>
        <w:t>(פי"ב מאישות ה"ד)</w:t>
      </w:r>
      <w:r w:rsidRPr="00101F41">
        <w:rPr>
          <w:rFonts w:cs="Arial" w:hint="cs"/>
          <w:rtl/>
        </w:rPr>
        <w:t xml:space="preserve">- </w:t>
      </w:r>
      <w:r w:rsidRPr="00101F41">
        <w:rPr>
          <w:rFonts w:cs="Arial"/>
          <w:rtl/>
        </w:rPr>
        <w:t>כתבו מן המפרשים שלא אמרו אלא שיכולה להפקיע את עצמה בטווה בצמר ושאינה לצורך הבית אבל טוחנת ואופה ומבשלת ועושה כל צרכי הבית כמו אם היתה נזונת ולזה הסכים הרשב"א בפרק אף על פי (שם)</w:t>
      </w:r>
      <w:r>
        <w:rPr>
          <w:rStyle w:val="a7"/>
          <w:rFonts w:cs="Arial"/>
          <w:rtl/>
        </w:rPr>
        <w:footnoteReference w:id="227"/>
      </w:r>
      <w:r w:rsidRPr="00101F41">
        <w:rPr>
          <w:rFonts w:cs="Arial"/>
          <w:rtl/>
        </w:rPr>
        <w:t>.</w:t>
      </w:r>
    </w:p>
    <w:p w14:paraId="41E5F3F4" w14:textId="77777777" w:rsidR="00471D63" w:rsidRDefault="00471D63" w:rsidP="00471D63">
      <w:pPr>
        <w:rPr>
          <w:rFonts w:cs="Arial"/>
          <w:rtl/>
        </w:rPr>
      </w:pPr>
      <w:r w:rsidRPr="003024E5">
        <w:rPr>
          <w:rFonts w:asciiTheme="minorBidi" w:hAnsiTheme="minorBidi"/>
          <w:b/>
          <w:bCs/>
          <w:color w:val="000000"/>
          <w:sz w:val="28"/>
          <w:szCs w:val="28"/>
          <w:u w:val="single"/>
          <w:rtl/>
        </w:rPr>
        <w:t>שו"ע:</w:t>
      </w:r>
    </w:p>
    <w:p w14:paraId="696EEF45" w14:textId="2DCCB77A" w:rsidR="00973C57" w:rsidRDefault="00973C57" w:rsidP="00973C57">
      <w:pPr>
        <w:rPr>
          <w:rtl/>
        </w:rPr>
      </w:pPr>
      <w:r>
        <w:rPr>
          <w:rFonts w:cs="Arial"/>
          <w:rtl/>
        </w:rPr>
        <w:t xml:space="preserve">כשנושא אדם אשה מתחייב לה בעשרה דברים, וזכה בה בד' דברים, אפילו לא נכתבו. </w:t>
      </w:r>
    </w:p>
    <w:p w14:paraId="21A78303" w14:textId="77777777" w:rsidR="00471D63" w:rsidRDefault="00471D63" w:rsidP="00973C57">
      <w:pPr>
        <w:rPr>
          <w:rtl/>
        </w:rPr>
      </w:pPr>
    </w:p>
    <w:p w14:paraId="5FDE264C" w14:textId="635D198F" w:rsidR="00973C57" w:rsidRDefault="00973C57" w:rsidP="000F64D0">
      <w:pPr>
        <w:pStyle w:val="2"/>
        <w:rPr>
          <w:rtl/>
        </w:rPr>
      </w:pPr>
      <w:r>
        <w:rPr>
          <w:rtl/>
        </w:rPr>
        <w:t>סעיף ב</w:t>
      </w:r>
      <w:r w:rsidR="00D06DCA">
        <w:rPr>
          <w:rFonts w:hint="cs"/>
          <w:rtl/>
        </w:rPr>
        <w:t>:</w:t>
      </w:r>
      <w:r w:rsidR="009E49FF">
        <w:rPr>
          <w:rFonts w:hint="cs"/>
          <w:rtl/>
        </w:rPr>
        <w:t xml:space="preserve"> עשרה דברים שמתחייב בהם אדם שנושא אשה.</w:t>
      </w:r>
    </w:p>
    <w:p w14:paraId="1D983BCA" w14:textId="05AA67F5" w:rsidR="00D06DCA" w:rsidRPr="00D06DCA" w:rsidRDefault="009E49FF" w:rsidP="00D06DCA">
      <w:pPr>
        <w:rPr>
          <w:rtl/>
        </w:rPr>
      </w:pPr>
      <w:r>
        <w:rPr>
          <w:rFonts w:hint="cs"/>
          <w:rtl/>
        </w:rPr>
        <w:t>עיין במקורות בסעיף א'.</w:t>
      </w:r>
      <w:r w:rsidRPr="009E49FF">
        <w:rPr>
          <w:rFonts w:hint="cs"/>
          <w:color w:val="E36C0A" w:themeColor="accent6" w:themeShade="BF"/>
          <w:rtl/>
        </w:rPr>
        <w:t xml:space="preserve"> </w:t>
      </w:r>
    </w:p>
    <w:p w14:paraId="69C4E72F" w14:textId="77777777" w:rsidR="00471D63" w:rsidRDefault="00471D63" w:rsidP="00471D63">
      <w:pPr>
        <w:rPr>
          <w:rFonts w:cs="Arial"/>
          <w:rtl/>
        </w:rPr>
      </w:pPr>
      <w:r w:rsidRPr="003024E5">
        <w:rPr>
          <w:rFonts w:asciiTheme="minorBidi" w:hAnsiTheme="minorBidi"/>
          <w:b/>
          <w:bCs/>
          <w:color w:val="000000"/>
          <w:sz w:val="28"/>
          <w:szCs w:val="28"/>
          <w:u w:val="single"/>
          <w:rtl/>
        </w:rPr>
        <w:t>שו"ע:</w:t>
      </w:r>
    </w:p>
    <w:p w14:paraId="68701197" w14:textId="743A79D7" w:rsidR="00973C57" w:rsidRDefault="00973C57" w:rsidP="00973C57">
      <w:pPr>
        <w:rPr>
          <w:rtl/>
        </w:rPr>
      </w:pPr>
      <w:r>
        <w:rPr>
          <w:rFonts w:cs="Arial"/>
          <w:rtl/>
        </w:rPr>
        <w:t xml:space="preserve">אלו הן העשרה דברים: מזונותיה, וכסותה, ועונתה, ועיקר כתובתה, ורפואתה, ולפדותה אם נשבית, וקבורתה, ולהיות ניזונת מנכסיו ויושבת בביתו אחר מותו כל זמן אלמנותה, ולהיות בנותיו ניזונות אחר מותו עד שיתארסו, ולהיות בניה הזכרים ממנו יורשים כתובתה יותר על חלקם בירושה שעם אחיהם. </w:t>
      </w:r>
    </w:p>
    <w:p w14:paraId="0261158F" w14:textId="77777777" w:rsidR="00D06DCA" w:rsidRDefault="00D06DCA" w:rsidP="00973C57">
      <w:pPr>
        <w:rPr>
          <w:rtl/>
        </w:rPr>
      </w:pPr>
    </w:p>
    <w:p w14:paraId="2E5FC1D9" w14:textId="0743DC0D" w:rsidR="00973C57" w:rsidRDefault="00973C57" w:rsidP="000F64D0">
      <w:pPr>
        <w:pStyle w:val="2"/>
        <w:rPr>
          <w:rtl/>
        </w:rPr>
      </w:pPr>
      <w:r>
        <w:rPr>
          <w:rtl/>
        </w:rPr>
        <w:t>סעיף ג</w:t>
      </w:r>
      <w:r w:rsidR="00D06DCA">
        <w:rPr>
          <w:rFonts w:hint="cs"/>
          <w:rtl/>
        </w:rPr>
        <w:t>:</w:t>
      </w:r>
      <w:r w:rsidR="009E49FF">
        <w:rPr>
          <w:rFonts w:hint="cs"/>
          <w:rtl/>
        </w:rPr>
        <w:t xml:space="preserve"> ארבעה דברים שזוכה בהם אדם שנושא אשה.</w:t>
      </w:r>
    </w:p>
    <w:p w14:paraId="20A370A7" w14:textId="6C57EBE4" w:rsidR="00D06DCA" w:rsidRPr="00D06DCA" w:rsidRDefault="006E6202" w:rsidP="006E6202">
      <w:pPr>
        <w:rPr>
          <w:rtl/>
        </w:rPr>
      </w:pPr>
      <w:r>
        <w:rPr>
          <w:rFonts w:hint="cs"/>
          <w:rtl/>
        </w:rPr>
        <w:t>עיין במקורות בסעיף א'.</w:t>
      </w:r>
      <w:r w:rsidRPr="009E49FF">
        <w:rPr>
          <w:rFonts w:hint="cs"/>
          <w:color w:val="E36C0A" w:themeColor="accent6" w:themeShade="BF"/>
          <w:rtl/>
        </w:rPr>
        <w:t xml:space="preserve"> </w:t>
      </w:r>
    </w:p>
    <w:p w14:paraId="06AB03FE" w14:textId="77777777" w:rsidR="00471D63" w:rsidRDefault="00471D63" w:rsidP="00471D63">
      <w:pPr>
        <w:rPr>
          <w:rFonts w:cs="Arial"/>
          <w:rtl/>
        </w:rPr>
      </w:pPr>
      <w:r w:rsidRPr="003024E5">
        <w:rPr>
          <w:rFonts w:asciiTheme="minorBidi" w:hAnsiTheme="minorBidi"/>
          <w:b/>
          <w:bCs/>
          <w:color w:val="000000"/>
          <w:sz w:val="28"/>
          <w:szCs w:val="28"/>
          <w:u w:val="single"/>
          <w:rtl/>
        </w:rPr>
        <w:t>שו"ע:</w:t>
      </w:r>
    </w:p>
    <w:p w14:paraId="2A9C5C34" w14:textId="39257DED" w:rsidR="00973C57" w:rsidRDefault="00973C57" w:rsidP="00973C57">
      <w:pPr>
        <w:rPr>
          <w:rtl/>
        </w:rPr>
      </w:pPr>
      <w:r>
        <w:rPr>
          <w:rFonts w:cs="Arial"/>
          <w:rtl/>
        </w:rPr>
        <w:t xml:space="preserve">אלו הם הארבע: מעשה ידיה, ומציאתה, ופירותיה, וירושתה. </w:t>
      </w:r>
    </w:p>
    <w:p w14:paraId="6E5CBCF8" w14:textId="77777777" w:rsidR="00D06DCA" w:rsidRDefault="00D06DCA" w:rsidP="00973C57">
      <w:pPr>
        <w:rPr>
          <w:rtl/>
        </w:rPr>
      </w:pPr>
    </w:p>
    <w:p w14:paraId="4B89FD79" w14:textId="571C1675" w:rsidR="00973C57" w:rsidRDefault="00973C57" w:rsidP="000F64D0">
      <w:pPr>
        <w:pStyle w:val="2"/>
        <w:rPr>
          <w:rtl/>
        </w:rPr>
      </w:pPr>
      <w:r>
        <w:rPr>
          <w:rtl/>
        </w:rPr>
        <w:t>סעיף ד</w:t>
      </w:r>
      <w:r w:rsidR="00D06DCA">
        <w:rPr>
          <w:rFonts w:hint="cs"/>
          <w:rtl/>
        </w:rPr>
        <w:t>:</w:t>
      </w:r>
      <w:r w:rsidR="0024756B">
        <w:rPr>
          <w:rFonts w:hint="cs"/>
          <w:rtl/>
        </w:rPr>
        <w:t xml:space="preserve"> תנאי כתובה. והאומרת איני ניזונת ואיני עושה.</w:t>
      </w:r>
    </w:p>
    <w:p w14:paraId="50972C63" w14:textId="77777777" w:rsidR="006E6202" w:rsidRDefault="006E6202" w:rsidP="006E6202">
      <w:pPr>
        <w:rPr>
          <w:rFonts w:cs="Arial"/>
          <w:b/>
          <w:bCs/>
          <w:rtl/>
        </w:rPr>
      </w:pPr>
      <w:r w:rsidRPr="00AB0AB9">
        <w:rPr>
          <w:rFonts w:cs="Arial" w:hint="cs"/>
          <w:b/>
          <w:bCs/>
          <w:rtl/>
        </w:rPr>
        <w:t>כתובות</w:t>
      </w:r>
      <w:r>
        <w:rPr>
          <w:rFonts w:cs="Arial" w:hint="cs"/>
          <w:b/>
          <w:bCs/>
          <w:rtl/>
        </w:rPr>
        <w:t xml:space="preserve"> </w:t>
      </w:r>
      <w:r>
        <w:rPr>
          <w:rFonts w:cs="Arial" w:hint="cs"/>
          <w:b/>
          <w:bCs/>
          <w:sz w:val="16"/>
          <w:szCs w:val="16"/>
          <w:rtl/>
        </w:rPr>
        <w:t>(פ' נערה שנתפתתה)</w:t>
      </w:r>
      <w:r w:rsidRPr="00AB0AB9">
        <w:rPr>
          <w:rFonts w:cs="Arial" w:hint="cs"/>
          <w:b/>
          <w:bCs/>
          <w:rtl/>
        </w:rPr>
        <w:t xml:space="preserve"> מ</w:t>
      </w:r>
      <w:r>
        <w:rPr>
          <w:rFonts w:cs="Arial" w:hint="cs"/>
          <w:b/>
          <w:bCs/>
          <w:rtl/>
        </w:rPr>
        <w:t>ו</w:t>
      </w:r>
      <w:r w:rsidRPr="00AB0AB9">
        <w:rPr>
          <w:rFonts w:cs="Arial" w:hint="cs"/>
          <w:b/>
          <w:bCs/>
          <w:rtl/>
        </w:rPr>
        <w:t xml:space="preserve"> ע"ב: </w:t>
      </w:r>
      <w:r w:rsidRPr="00AB0AB9">
        <w:rPr>
          <w:rFonts w:cs="Arial"/>
          <w:u w:val="double"/>
          <w:rtl/>
        </w:rPr>
        <w:t>מתני'</w:t>
      </w:r>
      <w:r>
        <w:rPr>
          <w:rFonts w:cs="Arial" w:hint="cs"/>
          <w:rtl/>
        </w:rPr>
        <w:t>:...</w:t>
      </w:r>
      <w:r w:rsidRPr="00AB0AB9">
        <w:rPr>
          <w:rFonts w:cs="Arial"/>
          <w:rtl/>
        </w:rPr>
        <w:t xml:space="preserve"> נשאת, יתר עליו הבעל שאוכל פירות בחייה, וחייב במזונותיה, ובפרקונה, וקבורתה</w:t>
      </w:r>
      <w:r>
        <w:rPr>
          <w:rFonts w:cs="Arial" w:hint="cs"/>
          <w:rtl/>
        </w:rPr>
        <w:t>.</w:t>
      </w:r>
      <w:r w:rsidRPr="00AB0AB9">
        <w:rPr>
          <w:rFonts w:cs="Arial"/>
          <w:rtl/>
        </w:rPr>
        <w:t xml:space="preserve"> </w:t>
      </w:r>
      <w:r w:rsidRPr="00AB0AB9">
        <w:rPr>
          <w:rFonts w:cs="Arial"/>
          <w:u w:val="single"/>
          <w:rtl/>
        </w:rPr>
        <w:t>רבי יהודה אומר</w:t>
      </w:r>
      <w:r w:rsidRPr="00AB0AB9">
        <w:rPr>
          <w:rFonts w:cs="Arial"/>
          <w:rtl/>
        </w:rPr>
        <w:t>: אפי' עני שבישראל לא יפחות משני חלילין ומקוננת</w:t>
      </w:r>
      <w:r>
        <w:rPr>
          <w:rFonts w:cs="Arial" w:hint="cs"/>
          <w:rtl/>
        </w:rPr>
        <w:t xml:space="preserve">.      </w:t>
      </w:r>
      <w:r w:rsidRPr="00AB0AB9">
        <w:rPr>
          <w:rFonts w:cs="Arial" w:hint="cs"/>
          <w:u w:val="double"/>
          <w:rtl/>
        </w:rPr>
        <w:t>גמ'</w:t>
      </w:r>
      <w:r w:rsidRPr="00AB0AB9">
        <w:rPr>
          <w:rFonts w:cs="Arial" w:hint="cs"/>
          <w:sz w:val="14"/>
          <w:szCs w:val="14"/>
          <w:u w:val="double"/>
          <w:rtl/>
        </w:rPr>
        <w:t>(מז:)</w:t>
      </w:r>
      <w:r w:rsidRPr="00AB0AB9">
        <w:rPr>
          <w:rFonts w:cs="Arial" w:hint="cs"/>
          <w:u w:val="double"/>
          <w:rtl/>
        </w:rPr>
        <w:t>:</w:t>
      </w:r>
      <w:r w:rsidRPr="00AB0AB9">
        <w:rPr>
          <w:rFonts w:cs="Arial"/>
          <w:rtl/>
        </w:rPr>
        <w:t xml:space="preserve"> חייב במזונותיה וכו'. תנו רבנן:</w:t>
      </w:r>
      <w:r>
        <w:rPr>
          <w:rFonts w:cs="Arial" w:hint="cs"/>
          <w:rtl/>
        </w:rPr>
        <w:t>...</w:t>
      </w:r>
      <w:r w:rsidRPr="00AB0AB9">
        <w:rPr>
          <w:rFonts w:cs="Arial"/>
          <w:rtl/>
        </w:rPr>
        <w:t xml:space="preserve"> תיקנו מזונותיה תחת מעשה ידיה, ופירקונה תחת פירות</w:t>
      </w:r>
      <w:r>
        <w:rPr>
          <w:rStyle w:val="a7"/>
          <w:rFonts w:cs="Arial"/>
          <w:rtl/>
        </w:rPr>
        <w:footnoteReference w:id="228"/>
      </w:r>
      <w:r w:rsidRPr="00AB0AB9">
        <w:rPr>
          <w:rFonts w:cs="Arial"/>
          <w:rtl/>
        </w:rPr>
        <w:t>, וקבורתה תחת כתובתה</w:t>
      </w:r>
      <w:r>
        <w:rPr>
          <w:rStyle w:val="a7"/>
          <w:rFonts w:cs="Arial"/>
          <w:rtl/>
        </w:rPr>
        <w:footnoteReference w:id="229"/>
      </w:r>
      <w:r w:rsidRPr="00AB0AB9">
        <w:rPr>
          <w:rFonts w:cs="Arial"/>
          <w:rtl/>
        </w:rPr>
        <w:t>, לפיכך בעל אוכל פירות. מאי לפיכך? מהו דתימא מיכל לא נכלינהו אנוחי ננחינהו, דאם כן מימנע ולא פריק, קמ"ל דהא עדיפא, זימנין דלא מלו</w:t>
      </w:r>
      <w:r>
        <w:rPr>
          <w:rStyle w:val="a7"/>
          <w:rFonts w:cs="Arial"/>
          <w:rtl/>
        </w:rPr>
        <w:footnoteReference w:id="230"/>
      </w:r>
      <w:r w:rsidRPr="00AB0AB9">
        <w:rPr>
          <w:rFonts w:cs="Arial"/>
          <w:rtl/>
        </w:rPr>
        <w:t xml:space="preserve"> ופריק לה מדידיה. ואיפוך אנא</w:t>
      </w:r>
      <w:r>
        <w:rPr>
          <w:rStyle w:val="a7"/>
          <w:rFonts w:cs="Arial"/>
          <w:rtl/>
        </w:rPr>
        <w:footnoteReference w:id="231"/>
      </w:r>
      <w:r w:rsidRPr="00AB0AB9">
        <w:rPr>
          <w:rFonts w:cs="Arial"/>
          <w:rtl/>
        </w:rPr>
        <w:t xml:space="preserve">! </w:t>
      </w:r>
      <w:r w:rsidRPr="009919C0">
        <w:rPr>
          <w:rFonts w:cs="Arial"/>
          <w:u w:val="single"/>
          <w:rtl/>
        </w:rPr>
        <w:t>אמר אביי</w:t>
      </w:r>
      <w:r w:rsidRPr="00AB0AB9">
        <w:rPr>
          <w:rFonts w:cs="Arial"/>
          <w:rtl/>
        </w:rPr>
        <w:t>: תיקנו מצוי למצוי, ושאינו מצוי לשאינו מצוי</w:t>
      </w:r>
      <w:r>
        <w:rPr>
          <w:rStyle w:val="a7"/>
          <w:rFonts w:cs="Arial"/>
          <w:rtl/>
        </w:rPr>
        <w:footnoteReference w:id="232"/>
      </w:r>
      <w:r w:rsidRPr="00AB0AB9">
        <w:rPr>
          <w:rFonts w:cs="Arial"/>
          <w:rtl/>
        </w:rPr>
        <w:t xml:space="preserve">. </w:t>
      </w:r>
    </w:p>
    <w:p w14:paraId="528EB29F" w14:textId="64946F4A" w:rsidR="006E6202" w:rsidRPr="008D739C" w:rsidRDefault="006E6202" w:rsidP="006E6202">
      <w:pPr>
        <w:rPr>
          <w:rFonts w:cs="Arial"/>
          <w:rtl/>
        </w:rPr>
      </w:pPr>
      <w:r w:rsidRPr="008D739C">
        <w:rPr>
          <w:rFonts w:cs="Arial" w:hint="cs"/>
          <w:b/>
          <w:bCs/>
          <w:rtl/>
        </w:rPr>
        <w:t xml:space="preserve">כתובות </w:t>
      </w:r>
      <w:r w:rsidRPr="008D739C">
        <w:rPr>
          <w:rFonts w:cs="Arial" w:hint="cs"/>
          <w:b/>
          <w:bCs/>
          <w:sz w:val="16"/>
          <w:szCs w:val="16"/>
          <w:rtl/>
        </w:rPr>
        <w:t>(פ' אף על פי)</w:t>
      </w:r>
      <w:r w:rsidRPr="008D739C">
        <w:rPr>
          <w:rFonts w:cs="Arial" w:hint="cs"/>
          <w:b/>
          <w:bCs/>
          <w:rtl/>
        </w:rPr>
        <w:t xml:space="preserve"> נח</w:t>
      </w:r>
      <w:r w:rsidR="00E61902">
        <w:rPr>
          <w:rStyle w:val="a7"/>
          <w:rFonts w:cs="Arial"/>
          <w:b/>
          <w:bCs/>
          <w:rtl/>
        </w:rPr>
        <w:footnoteReference w:id="233"/>
      </w:r>
      <w:r w:rsidRPr="008D739C">
        <w:rPr>
          <w:rFonts w:cs="Arial" w:hint="cs"/>
          <w:b/>
          <w:bCs/>
          <w:rtl/>
        </w:rPr>
        <w:t xml:space="preserve"> ע"ב: </w:t>
      </w:r>
      <w:r w:rsidRPr="008D739C">
        <w:rPr>
          <w:rFonts w:cs="Arial"/>
          <w:u w:val="single"/>
          <w:rtl/>
        </w:rPr>
        <w:t>אמר רב הונא אמר רב</w:t>
      </w:r>
      <w:r w:rsidRPr="008D739C">
        <w:rPr>
          <w:rFonts w:cs="Arial"/>
          <w:rtl/>
        </w:rPr>
        <w:t xml:space="preserve">: יכולה אשה לומר לבעלה איני ניזונת ואיני עושה. קסבר: כי תקינו רבנן - מזוני עיקר, ומעשה ידיה משום איבה, וכי אמרה איני ניזונת ואיני עושה - הרשות בידה. </w:t>
      </w:r>
    </w:p>
    <w:p w14:paraId="476763BD" w14:textId="4C3BA1D6" w:rsidR="006E6202" w:rsidRPr="008D739C" w:rsidRDefault="006E6202" w:rsidP="006E6202">
      <w:pPr>
        <w:rPr>
          <w:u w:val="single"/>
        </w:rPr>
      </w:pPr>
      <w:r>
        <w:rPr>
          <w:rFonts w:hint="cs"/>
          <w:u w:val="single"/>
          <w:rtl/>
        </w:rPr>
        <w:lastRenderedPageBreak/>
        <w:t xml:space="preserve">עוד </w:t>
      </w:r>
      <w:r w:rsidRPr="008D739C">
        <w:rPr>
          <w:rFonts w:hint="cs"/>
          <w:u w:val="single"/>
          <w:rtl/>
        </w:rPr>
        <w:t>תקנו חכמים ב</w:t>
      </w:r>
      <w:r>
        <w:rPr>
          <w:rFonts w:hint="cs"/>
          <w:u w:val="single"/>
          <w:rtl/>
        </w:rPr>
        <w:t>ת</w:t>
      </w:r>
      <w:r w:rsidRPr="008D739C">
        <w:rPr>
          <w:rFonts w:hint="cs"/>
          <w:u w:val="single"/>
          <w:rtl/>
        </w:rPr>
        <w:t>נאי כתובה:</w:t>
      </w:r>
    </w:p>
    <w:p w14:paraId="646A2BAA" w14:textId="4D2DAB11" w:rsidR="006E6202" w:rsidRDefault="006E6202" w:rsidP="009000E3">
      <w:pPr>
        <w:pStyle w:val="ab"/>
        <w:numPr>
          <w:ilvl w:val="0"/>
          <w:numId w:val="20"/>
        </w:numPr>
      </w:pPr>
      <w:r>
        <w:rPr>
          <w:rFonts w:cs="Arial"/>
          <w:rtl/>
        </w:rPr>
        <w:t xml:space="preserve">רמב"ם </w:t>
      </w:r>
      <w:r w:rsidRPr="00B52903">
        <w:rPr>
          <w:rFonts w:cs="Arial" w:hint="cs"/>
          <w:sz w:val="16"/>
          <w:szCs w:val="16"/>
          <w:rtl/>
        </w:rPr>
        <w:t>(</w:t>
      </w:r>
      <w:r w:rsidRPr="00B52903">
        <w:rPr>
          <w:rFonts w:cs="Arial"/>
          <w:sz w:val="16"/>
          <w:szCs w:val="16"/>
          <w:rtl/>
        </w:rPr>
        <w:t>פי"ב מאישות ה</w:t>
      </w:r>
      <w:r>
        <w:rPr>
          <w:rFonts w:cs="Arial" w:hint="cs"/>
          <w:sz w:val="16"/>
          <w:szCs w:val="16"/>
          <w:rtl/>
        </w:rPr>
        <w:t>"ד</w:t>
      </w:r>
      <w:r w:rsidRPr="00B52903">
        <w:rPr>
          <w:rFonts w:cs="Arial"/>
          <w:sz w:val="16"/>
          <w:szCs w:val="16"/>
          <w:rtl/>
        </w:rPr>
        <w:t>)</w:t>
      </w:r>
      <w:r>
        <w:rPr>
          <w:rFonts w:cs="Arial" w:hint="cs"/>
          <w:rtl/>
        </w:rPr>
        <w:t xml:space="preserve"> ו</w:t>
      </w:r>
      <w:r w:rsidRPr="00A931CA">
        <w:rPr>
          <w:rFonts w:cs="Arial" w:hint="cs"/>
          <w:rtl/>
        </w:rPr>
        <w:t>טור-</w:t>
      </w:r>
      <w:r>
        <w:rPr>
          <w:rFonts w:cs="Arial" w:hint="cs"/>
          <w:rtl/>
        </w:rPr>
        <w:t xml:space="preserve"> </w:t>
      </w:r>
      <w:r w:rsidRPr="008D739C">
        <w:rPr>
          <w:rFonts w:cs="Arial"/>
          <w:rtl/>
        </w:rPr>
        <w:t>ועוד תקנו חכמים שיהיו מעשה ידי האשה כנגד מזונותיה, ופדיונה כנגד אכילת פירות נכסיה, וקבורתה כנגד ירושתו לכתובתה</w:t>
      </w:r>
      <w:r w:rsidRPr="008D739C">
        <w:rPr>
          <w:rFonts w:cs="Arial" w:hint="cs"/>
          <w:rtl/>
        </w:rPr>
        <w:t>.</w:t>
      </w:r>
      <w:r w:rsidRPr="008D739C">
        <w:rPr>
          <w:rFonts w:cs="Arial"/>
          <w:rtl/>
        </w:rPr>
        <w:t xml:space="preserve"> לפיכך אם אמרה האשה איני ניזונת ואיני עושה </w:t>
      </w:r>
      <w:r w:rsidRPr="008D739C">
        <w:rPr>
          <w:rFonts w:cs="Arial" w:hint="cs"/>
          <w:rtl/>
        </w:rPr>
        <w:t xml:space="preserve">- </w:t>
      </w:r>
      <w:r w:rsidRPr="008D739C">
        <w:rPr>
          <w:rFonts w:cs="Arial"/>
          <w:rtl/>
        </w:rPr>
        <w:t xml:space="preserve">שומעין לה ואין כופין אותה, אבל אם אמר הבעל איני זנך ואיני נוטל כלום ממעשה ידיך </w:t>
      </w:r>
      <w:r w:rsidRPr="008D739C">
        <w:rPr>
          <w:rFonts w:cs="Arial" w:hint="cs"/>
          <w:rtl/>
        </w:rPr>
        <w:t xml:space="preserve">- </w:t>
      </w:r>
      <w:r w:rsidRPr="008D739C">
        <w:rPr>
          <w:rFonts w:cs="Arial"/>
          <w:rtl/>
        </w:rPr>
        <w:t>אין שומעין לו</w:t>
      </w:r>
      <w:r>
        <w:rPr>
          <w:rStyle w:val="a7"/>
          <w:rFonts w:cs="Arial"/>
          <w:rtl/>
        </w:rPr>
        <w:footnoteReference w:id="234"/>
      </w:r>
      <w:r w:rsidRPr="008D739C">
        <w:rPr>
          <w:rFonts w:cs="Arial"/>
          <w:rtl/>
        </w:rPr>
        <w:t xml:space="preserve"> שמא לא יספיק לה מעשה ידיה במזונותיה</w:t>
      </w:r>
      <w:r w:rsidRPr="008D739C">
        <w:rPr>
          <w:rFonts w:cs="Arial" w:hint="cs"/>
          <w:rtl/>
        </w:rPr>
        <w:t>.</w:t>
      </w:r>
      <w:r w:rsidRPr="008D739C">
        <w:rPr>
          <w:rFonts w:cs="Arial"/>
          <w:rtl/>
        </w:rPr>
        <w:t xml:space="preserve"> ומפני תקנה זו יחשבו המזונות מתנאי הכתובה</w:t>
      </w:r>
      <w:r>
        <w:rPr>
          <w:rFonts w:cs="Arial" w:hint="cs"/>
          <w:sz w:val="16"/>
          <w:szCs w:val="16"/>
          <w:rtl/>
        </w:rPr>
        <w:t xml:space="preserve"> (ל' הרמב"ם)</w:t>
      </w:r>
      <w:r>
        <w:rPr>
          <w:rFonts w:hint="cs"/>
          <w:rtl/>
        </w:rPr>
        <w:t>.</w:t>
      </w:r>
      <w:r w:rsidRPr="00F42A20">
        <w:rPr>
          <w:rFonts w:cs="Arial"/>
          <w:rtl/>
        </w:rPr>
        <w:t xml:space="preserve"> </w:t>
      </w:r>
      <w:r w:rsidRPr="009E49FF">
        <w:rPr>
          <w:rFonts w:hint="cs"/>
          <w:color w:val="E36C0A" w:themeColor="accent6" w:themeShade="BF"/>
          <w:rtl/>
        </w:rPr>
        <w:t>(וכ"פ בשו"ע)</w:t>
      </w:r>
    </w:p>
    <w:p w14:paraId="581A0913" w14:textId="77777777" w:rsidR="006E6202" w:rsidRPr="00641D7E" w:rsidRDefault="006E6202" w:rsidP="006E6202">
      <w:pPr>
        <w:ind w:left="360"/>
        <w:rPr>
          <w:u w:val="dotted"/>
        </w:rPr>
      </w:pPr>
      <w:r w:rsidRPr="00641D7E">
        <w:rPr>
          <w:rFonts w:hint="cs"/>
          <w:u w:val="dotted"/>
          <w:rtl/>
        </w:rPr>
        <w:t>הא</w:t>
      </w:r>
      <w:r>
        <w:rPr>
          <w:rFonts w:hint="cs"/>
          <w:u w:val="dotted"/>
          <w:rtl/>
        </w:rPr>
        <w:t>ם אשה יכולה לומר</w:t>
      </w:r>
      <w:r w:rsidRPr="00641D7E">
        <w:rPr>
          <w:rFonts w:hint="cs"/>
          <w:u w:val="dotted"/>
          <w:rtl/>
        </w:rPr>
        <w:t xml:space="preserve"> </w:t>
      </w:r>
      <w:r w:rsidRPr="00641D7E">
        <w:rPr>
          <w:rFonts w:cs="Arial" w:hint="cs"/>
          <w:u w:val="dotted"/>
          <w:rtl/>
        </w:rPr>
        <w:t>'</w:t>
      </w:r>
      <w:r w:rsidRPr="00641D7E">
        <w:rPr>
          <w:rFonts w:cs="Arial"/>
          <w:u w:val="dotted"/>
          <w:rtl/>
        </w:rPr>
        <w:t>איני נותנת לך פירות</w:t>
      </w:r>
      <w:r>
        <w:rPr>
          <w:rFonts w:cs="Arial" w:hint="cs"/>
          <w:u w:val="dotted"/>
          <w:rtl/>
        </w:rPr>
        <w:t>/כתובה</w:t>
      </w:r>
      <w:r w:rsidRPr="00641D7E">
        <w:rPr>
          <w:rFonts w:cs="Arial"/>
          <w:u w:val="dotted"/>
          <w:rtl/>
        </w:rPr>
        <w:t xml:space="preserve"> ואיני חפ</w:t>
      </w:r>
      <w:r>
        <w:rPr>
          <w:rFonts w:cs="Arial" w:hint="cs"/>
          <w:u w:val="dotted"/>
          <w:rtl/>
        </w:rPr>
        <w:t>צה</w:t>
      </w:r>
      <w:r w:rsidRPr="00641D7E">
        <w:rPr>
          <w:rFonts w:cs="Arial"/>
          <w:u w:val="dotted"/>
          <w:rtl/>
        </w:rPr>
        <w:t xml:space="preserve"> שתפדני</w:t>
      </w:r>
      <w:r>
        <w:rPr>
          <w:rFonts w:cs="Arial" w:hint="cs"/>
          <w:u w:val="dotted"/>
          <w:rtl/>
        </w:rPr>
        <w:t>/תקברני מנכסיך</w:t>
      </w:r>
      <w:r w:rsidRPr="00641D7E">
        <w:rPr>
          <w:rFonts w:hint="cs"/>
          <w:u w:val="dotted"/>
          <w:rtl/>
        </w:rPr>
        <w:t>':</w:t>
      </w:r>
    </w:p>
    <w:p w14:paraId="79DB0274" w14:textId="0B1ED52D" w:rsidR="006E6202" w:rsidRDefault="006E6202" w:rsidP="009000E3">
      <w:pPr>
        <w:pStyle w:val="ab"/>
        <w:numPr>
          <w:ilvl w:val="0"/>
          <w:numId w:val="20"/>
        </w:numPr>
      </w:pPr>
      <w:r>
        <w:rPr>
          <w:rFonts w:cs="Arial" w:hint="cs"/>
          <w:rtl/>
        </w:rPr>
        <w:t xml:space="preserve">טור- </w:t>
      </w:r>
      <w:r w:rsidRPr="00A931CA">
        <w:rPr>
          <w:rFonts w:cs="Arial"/>
          <w:rtl/>
        </w:rPr>
        <w:t>אפי' היא אומרת איני נותנת לך פירות ואיני חפץ שתפדני אם אשבה</w:t>
      </w:r>
      <w:r>
        <w:rPr>
          <w:rFonts w:cs="Arial" w:hint="cs"/>
          <w:rtl/>
        </w:rPr>
        <w:t xml:space="preserve"> -</w:t>
      </w:r>
      <w:r w:rsidRPr="00A931CA">
        <w:rPr>
          <w:rFonts w:cs="Arial"/>
          <w:rtl/>
        </w:rPr>
        <w:t xml:space="preserve"> אין שומעין לה</w:t>
      </w:r>
      <w:r>
        <w:rPr>
          <w:rFonts w:cs="Arial" w:hint="cs"/>
          <w:rtl/>
        </w:rPr>
        <w:t>,</w:t>
      </w:r>
      <w:r w:rsidRPr="00A931CA">
        <w:rPr>
          <w:rFonts w:cs="Arial"/>
          <w:rtl/>
        </w:rPr>
        <w:t xml:space="preserve"> כדי שלא תתערב בין ה</w:t>
      </w:r>
      <w:r>
        <w:rPr>
          <w:rFonts w:cs="Arial" w:hint="cs"/>
          <w:rtl/>
        </w:rPr>
        <w:t>גוי</w:t>
      </w:r>
      <w:r w:rsidRPr="00A931CA">
        <w:rPr>
          <w:rFonts w:cs="Arial"/>
          <w:rtl/>
        </w:rPr>
        <w:t>ם</w:t>
      </w:r>
      <w:r>
        <w:rPr>
          <w:rFonts w:cs="Arial" w:hint="cs"/>
          <w:rtl/>
        </w:rPr>
        <w:t>.</w:t>
      </w:r>
      <w:r w:rsidRPr="00A931CA">
        <w:rPr>
          <w:rFonts w:cs="Arial"/>
          <w:rtl/>
        </w:rPr>
        <w:t xml:space="preserve"> </w:t>
      </w:r>
      <w:r w:rsidRPr="009E49FF">
        <w:rPr>
          <w:rFonts w:hint="cs"/>
          <w:color w:val="E36C0A" w:themeColor="accent6" w:themeShade="BF"/>
          <w:rtl/>
        </w:rPr>
        <w:t>(וכ"פ בשו"ע</w:t>
      </w:r>
      <w:r>
        <w:rPr>
          <w:rFonts w:hint="cs"/>
          <w:color w:val="E36C0A" w:themeColor="accent6" w:themeShade="BF"/>
          <w:sz w:val="16"/>
          <w:szCs w:val="16"/>
          <w:rtl/>
        </w:rPr>
        <w:t xml:space="preserve"> </w:t>
      </w:r>
      <w:r w:rsidRPr="009E49FF">
        <w:rPr>
          <w:rFonts w:hint="cs"/>
          <w:color w:val="000000" w:themeColor="text1"/>
          <w:sz w:val="16"/>
          <w:szCs w:val="16"/>
          <w:rtl/>
        </w:rPr>
        <w:t xml:space="preserve">[בסע' </w:t>
      </w:r>
      <w:r>
        <w:rPr>
          <w:rFonts w:hint="cs"/>
          <w:color w:val="000000" w:themeColor="text1"/>
          <w:sz w:val="16"/>
          <w:szCs w:val="16"/>
          <w:rtl/>
        </w:rPr>
        <w:t>ה</w:t>
      </w:r>
      <w:r w:rsidRPr="009E49FF">
        <w:rPr>
          <w:rFonts w:hint="cs"/>
          <w:color w:val="000000" w:themeColor="text1"/>
          <w:sz w:val="16"/>
          <w:szCs w:val="16"/>
          <w:rtl/>
        </w:rPr>
        <w:t>]</w:t>
      </w:r>
      <w:r w:rsidRPr="009E49FF">
        <w:rPr>
          <w:rFonts w:hint="cs"/>
          <w:color w:val="E36C0A" w:themeColor="accent6" w:themeShade="BF"/>
          <w:rtl/>
        </w:rPr>
        <w:t>)</w:t>
      </w:r>
    </w:p>
    <w:p w14:paraId="61FA1333" w14:textId="414A6011" w:rsidR="006E6202" w:rsidRDefault="006E6202" w:rsidP="009000E3">
      <w:pPr>
        <w:pStyle w:val="ab"/>
        <w:numPr>
          <w:ilvl w:val="0"/>
          <w:numId w:val="20"/>
        </w:numPr>
      </w:pPr>
      <w:r>
        <w:rPr>
          <w:rFonts w:cs="Arial"/>
          <w:rtl/>
        </w:rPr>
        <w:t>תוס</w:t>
      </w:r>
      <w:r>
        <w:rPr>
          <w:rFonts w:cs="Arial" w:hint="cs"/>
          <w:rtl/>
        </w:rPr>
        <w:t>' רמב"ן רשב"א הה"מ ור"ן</w:t>
      </w:r>
      <w:r>
        <w:rPr>
          <w:rStyle w:val="a7"/>
          <w:rFonts w:cs="Arial"/>
          <w:rtl/>
        </w:rPr>
        <w:footnoteReference w:id="235"/>
      </w:r>
      <w:r>
        <w:rPr>
          <w:rFonts w:cs="Arial" w:hint="cs"/>
          <w:rtl/>
        </w:rPr>
        <w:t xml:space="preserve">- </w:t>
      </w:r>
      <w:r>
        <w:rPr>
          <w:rFonts w:cs="Arial"/>
          <w:rtl/>
        </w:rPr>
        <w:t>דע שבפרקונה וקבורתה אין הבעל יכול להנצל מחיובם</w:t>
      </w:r>
      <w:r>
        <w:rPr>
          <w:rFonts w:cs="Arial" w:hint="cs"/>
          <w:rtl/>
        </w:rPr>
        <w:t>,</w:t>
      </w:r>
      <w:r>
        <w:rPr>
          <w:rFonts w:cs="Arial"/>
          <w:rtl/>
        </w:rPr>
        <w:t xml:space="preserve"> ואפילו יניח לה פירותיה וכתובתה</w:t>
      </w:r>
      <w:r>
        <w:rPr>
          <w:rFonts w:cs="Arial" w:hint="cs"/>
          <w:rtl/>
        </w:rPr>
        <w:t>.</w:t>
      </w:r>
      <w:r>
        <w:rPr>
          <w:rFonts w:cs="Arial"/>
          <w:rtl/>
        </w:rPr>
        <w:t xml:space="preserve"> וכן היא אינה יכולה להפקיע ממנו זכות פירות וכתובה אפילו תאמר איני נפדית ואיני נקברת מנכסיו</w:t>
      </w:r>
      <w:r>
        <w:rPr>
          <w:rFonts w:cs="Arial" w:hint="cs"/>
          <w:rtl/>
        </w:rPr>
        <w:t>.</w:t>
      </w:r>
      <w:r>
        <w:rPr>
          <w:rFonts w:hint="cs"/>
          <w:rtl/>
        </w:rPr>
        <w:t xml:space="preserve"> </w:t>
      </w:r>
      <w:r w:rsidRPr="006E6202">
        <w:rPr>
          <w:rFonts w:hint="cs"/>
          <w:color w:val="00B0F0"/>
          <w:rtl/>
        </w:rPr>
        <w:t>(וכ"פ הרמ"א</w:t>
      </w:r>
      <w:r>
        <w:rPr>
          <w:rFonts w:hint="cs"/>
          <w:color w:val="E36C0A" w:themeColor="accent6" w:themeShade="BF"/>
          <w:sz w:val="16"/>
          <w:szCs w:val="16"/>
          <w:rtl/>
        </w:rPr>
        <w:t xml:space="preserve"> </w:t>
      </w:r>
      <w:r w:rsidRPr="009E49FF">
        <w:rPr>
          <w:rFonts w:hint="cs"/>
          <w:color w:val="000000" w:themeColor="text1"/>
          <w:sz w:val="16"/>
          <w:szCs w:val="16"/>
          <w:rtl/>
        </w:rPr>
        <w:t xml:space="preserve">[בסע' </w:t>
      </w:r>
      <w:r>
        <w:rPr>
          <w:rFonts w:hint="cs"/>
          <w:color w:val="000000" w:themeColor="text1"/>
          <w:sz w:val="16"/>
          <w:szCs w:val="16"/>
          <w:rtl/>
        </w:rPr>
        <w:t>ה</w:t>
      </w:r>
      <w:r w:rsidRPr="009E49FF">
        <w:rPr>
          <w:rFonts w:hint="cs"/>
          <w:color w:val="000000" w:themeColor="text1"/>
          <w:sz w:val="16"/>
          <w:szCs w:val="16"/>
          <w:rtl/>
        </w:rPr>
        <w:t>]</w:t>
      </w:r>
      <w:r w:rsidRPr="006E6202">
        <w:rPr>
          <w:rFonts w:hint="cs"/>
          <w:color w:val="00B0F0"/>
          <w:rtl/>
        </w:rPr>
        <w:t>)</w:t>
      </w:r>
    </w:p>
    <w:p w14:paraId="2C34F515" w14:textId="77777777" w:rsidR="00471D63" w:rsidRDefault="00471D63" w:rsidP="00471D63">
      <w:pPr>
        <w:rPr>
          <w:rFonts w:cs="Arial"/>
          <w:rtl/>
        </w:rPr>
      </w:pPr>
      <w:r w:rsidRPr="003024E5">
        <w:rPr>
          <w:rFonts w:asciiTheme="minorBidi" w:hAnsiTheme="minorBidi"/>
          <w:b/>
          <w:bCs/>
          <w:color w:val="000000"/>
          <w:sz w:val="28"/>
          <w:szCs w:val="28"/>
          <w:u w:val="single"/>
          <w:rtl/>
        </w:rPr>
        <w:t>שו"ע:</w:t>
      </w:r>
    </w:p>
    <w:p w14:paraId="07CDE8D9" w14:textId="6525209D" w:rsidR="00973C57" w:rsidRDefault="00973C57" w:rsidP="00973C57">
      <w:pPr>
        <w:rPr>
          <w:rFonts w:cs="Arial"/>
          <w:rtl/>
        </w:rPr>
      </w:pPr>
      <w:r>
        <w:rPr>
          <w:rFonts w:cs="Arial"/>
          <w:rtl/>
        </w:rPr>
        <w:t xml:space="preserve">מעשה ידיה כנגד מזונותיה. לפיכך אם אמרה: איני ניזונית ואיני עושה, שומעין לה. </w:t>
      </w:r>
      <w:r w:rsidRPr="00D06DCA">
        <w:rPr>
          <w:rFonts w:cs="Arial"/>
          <w:sz w:val="18"/>
          <w:szCs w:val="18"/>
          <w:rtl/>
        </w:rPr>
        <w:t>הגה: וע"ל סימן פ'. י"א דכל אשה האומרת: איני ניזונית ואיני עושה, נתבטלה התקנה, ואינה יכולה לחזור בה ולומר: אני ניזונית ואני עושה (ב"י בשם הר"ן שכ"כ בשם הרמ"ה). ויש חולקים (רי</w:t>
      </w:r>
      <w:r w:rsidR="006E6202">
        <w:rPr>
          <w:rFonts w:cs="Arial" w:hint="cs"/>
          <w:sz w:val="18"/>
          <w:szCs w:val="18"/>
          <w:rtl/>
        </w:rPr>
        <w:t>"ו</w:t>
      </w:r>
      <w:r w:rsidRPr="00D06DCA">
        <w:rPr>
          <w:rFonts w:cs="Arial"/>
          <w:sz w:val="18"/>
          <w:szCs w:val="18"/>
          <w:rtl/>
        </w:rPr>
        <w:t xml:space="preserve"> נכ"ג). וכל שאינה ניזונית, אין לה כסות, דהוא בכלל המזונות (שם בהר"ן). </w:t>
      </w:r>
      <w:r>
        <w:rPr>
          <w:rFonts w:cs="Arial"/>
          <w:rtl/>
        </w:rPr>
        <w:t xml:space="preserve">אבל הבעל שאמר: איני זנך ואיני נוטל מעשה ידיך, אין שומעין לו. </w:t>
      </w:r>
      <w:r w:rsidR="006E6202">
        <w:rPr>
          <w:rFonts w:cs="Arial" w:hint="cs"/>
          <w:sz w:val="18"/>
          <w:szCs w:val="18"/>
          <w:rtl/>
        </w:rPr>
        <w:t xml:space="preserve">[הגה] </w:t>
      </w:r>
      <w:r w:rsidRPr="00D06DCA">
        <w:rPr>
          <w:rFonts w:cs="Arial"/>
          <w:sz w:val="18"/>
          <w:szCs w:val="18"/>
          <w:rtl/>
        </w:rPr>
        <w:t>אבל יוכל לומר: צאי מעשה ידיך במזונותיך, ומה שאינו מספיק אשלים לך (הר"ן פרק הדר).</w:t>
      </w:r>
      <w:r>
        <w:rPr>
          <w:rFonts w:cs="Arial"/>
          <w:rtl/>
        </w:rPr>
        <w:t xml:space="preserve"> </w:t>
      </w:r>
    </w:p>
    <w:p w14:paraId="26EA58BB" w14:textId="77777777" w:rsidR="00D06DCA" w:rsidRDefault="00D06DCA" w:rsidP="00973C57">
      <w:pPr>
        <w:rPr>
          <w:rtl/>
        </w:rPr>
      </w:pPr>
    </w:p>
    <w:p w14:paraId="016A70CD" w14:textId="7366A502" w:rsidR="00973C57" w:rsidRDefault="00973C57" w:rsidP="000F64D0">
      <w:pPr>
        <w:pStyle w:val="2"/>
        <w:rPr>
          <w:rtl/>
        </w:rPr>
      </w:pPr>
      <w:r>
        <w:rPr>
          <w:rtl/>
        </w:rPr>
        <w:t>סעיף ה</w:t>
      </w:r>
      <w:r w:rsidR="00D06DCA">
        <w:rPr>
          <w:rFonts w:hint="cs"/>
          <w:rtl/>
        </w:rPr>
        <w:t>:</w:t>
      </w:r>
      <w:r w:rsidR="006E6202">
        <w:rPr>
          <w:rFonts w:hint="cs"/>
          <w:rtl/>
        </w:rPr>
        <w:t xml:space="preserve"> אשה שאומרת 'איני נותנת פירות ואל תפדני'.</w:t>
      </w:r>
    </w:p>
    <w:p w14:paraId="72E6014F" w14:textId="72E0E212" w:rsidR="00D06DCA" w:rsidRPr="00D06DCA" w:rsidRDefault="006E6202" w:rsidP="00D06DCA">
      <w:pPr>
        <w:rPr>
          <w:rtl/>
        </w:rPr>
      </w:pPr>
      <w:r>
        <w:rPr>
          <w:rFonts w:hint="cs"/>
          <w:rtl/>
        </w:rPr>
        <w:t>עיין במקורות בסעיף ד'.</w:t>
      </w:r>
    </w:p>
    <w:p w14:paraId="03F369F8" w14:textId="77777777" w:rsidR="00471D63" w:rsidRDefault="00471D63" w:rsidP="00471D63">
      <w:pPr>
        <w:rPr>
          <w:rFonts w:cs="Arial"/>
          <w:rtl/>
        </w:rPr>
      </w:pPr>
      <w:r w:rsidRPr="003024E5">
        <w:rPr>
          <w:rFonts w:asciiTheme="minorBidi" w:hAnsiTheme="minorBidi"/>
          <w:b/>
          <w:bCs/>
          <w:color w:val="000000"/>
          <w:sz w:val="28"/>
          <w:szCs w:val="28"/>
          <w:u w:val="single"/>
          <w:rtl/>
        </w:rPr>
        <w:t>שו"ע:</w:t>
      </w:r>
    </w:p>
    <w:p w14:paraId="6B762324" w14:textId="6753B719" w:rsidR="00973C57" w:rsidRDefault="00973C57" w:rsidP="00973C57">
      <w:pPr>
        <w:rPr>
          <w:rtl/>
        </w:rPr>
      </w:pPr>
      <w:r>
        <w:rPr>
          <w:rFonts w:cs="Arial"/>
          <w:rtl/>
        </w:rPr>
        <w:t>אם היא אומרת: איני נותנת לך פירות ואיני חפצה שתפדני אם אשבה, אין שומעין לה, כדי שלא תתערב בין ה</w:t>
      </w:r>
      <w:r w:rsidR="006E6202">
        <w:rPr>
          <w:rFonts w:cs="Arial" w:hint="cs"/>
          <w:rtl/>
        </w:rPr>
        <w:t>גוים</w:t>
      </w:r>
      <w:r>
        <w:rPr>
          <w:rFonts w:cs="Arial"/>
          <w:rtl/>
        </w:rPr>
        <w:t xml:space="preserve">. </w:t>
      </w:r>
      <w:r w:rsidR="006E6202">
        <w:rPr>
          <w:rFonts w:cs="Arial" w:hint="cs"/>
          <w:sz w:val="18"/>
          <w:szCs w:val="18"/>
          <w:rtl/>
        </w:rPr>
        <w:t xml:space="preserve">[הגה] </w:t>
      </w:r>
      <w:r w:rsidRPr="006E6202">
        <w:rPr>
          <w:rFonts w:cs="Arial"/>
          <w:sz w:val="18"/>
          <w:szCs w:val="18"/>
          <w:rtl/>
        </w:rPr>
        <w:t xml:space="preserve">וכן בירושה וקבורה, אין אחד מהם יכול לומר: איני קובר ואיני יורש, אלא קובר ויורש (ר"ן). </w:t>
      </w:r>
    </w:p>
    <w:p w14:paraId="1AE866F5" w14:textId="77777777" w:rsidR="006E6202" w:rsidRDefault="006E6202" w:rsidP="00973C57">
      <w:pPr>
        <w:rPr>
          <w:rtl/>
        </w:rPr>
      </w:pPr>
    </w:p>
    <w:p w14:paraId="2E2EFE89" w14:textId="2759AE7E" w:rsidR="00973C57" w:rsidRDefault="00973C57" w:rsidP="000F64D0">
      <w:pPr>
        <w:pStyle w:val="2"/>
        <w:rPr>
          <w:rtl/>
        </w:rPr>
      </w:pPr>
      <w:r>
        <w:rPr>
          <w:rtl/>
        </w:rPr>
        <w:t>סעיף ו</w:t>
      </w:r>
      <w:r w:rsidR="0024756B">
        <w:rPr>
          <w:rFonts w:hint="cs"/>
          <w:rtl/>
        </w:rPr>
        <w:t>:</w:t>
      </w:r>
      <w:r w:rsidR="00D70827">
        <w:rPr>
          <w:rFonts w:hint="cs"/>
          <w:rtl/>
        </w:rPr>
        <w:t xml:space="preserve"> התנה עמה </w:t>
      </w:r>
      <w:r w:rsidR="002225B2">
        <w:rPr>
          <w:rFonts w:hint="cs"/>
          <w:rtl/>
        </w:rPr>
        <w:t>שלא יתחייב בדברים שחייבוהו חז"ל, וכן אשה שהתנת עם בעלה כך.</w:t>
      </w:r>
    </w:p>
    <w:p w14:paraId="0E561585" w14:textId="77777777" w:rsidR="0024756B" w:rsidRPr="00BB6FDC" w:rsidRDefault="0024756B" w:rsidP="0024756B">
      <w:pPr>
        <w:rPr>
          <w:rFonts w:cs="Arial"/>
          <w:rtl/>
        </w:rPr>
      </w:pPr>
      <w:r w:rsidRPr="00BB6FDC">
        <w:rPr>
          <w:rFonts w:cs="Arial" w:hint="cs"/>
          <w:b/>
          <w:bCs/>
          <w:rtl/>
        </w:rPr>
        <w:t xml:space="preserve">כתובות </w:t>
      </w:r>
      <w:r w:rsidRPr="00BB6FDC">
        <w:rPr>
          <w:rFonts w:cs="Arial" w:hint="cs"/>
          <w:b/>
          <w:bCs/>
          <w:sz w:val="16"/>
          <w:szCs w:val="16"/>
          <w:rtl/>
        </w:rPr>
        <w:t>(ר"פ אף על פי)</w:t>
      </w:r>
      <w:r w:rsidRPr="00BB6FDC">
        <w:rPr>
          <w:rFonts w:cs="Arial" w:hint="cs"/>
          <w:b/>
          <w:bCs/>
          <w:rtl/>
        </w:rPr>
        <w:t xml:space="preserve"> נד ע"ב:</w:t>
      </w:r>
      <w:r w:rsidRPr="00BB6FDC">
        <w:rPr>
          <w:rFonts w:cs="Arial" w:hint="cs"/>
          <w:rtl/>
        </w:rPr>
        <w:t xml:space="preserve"> </w:t>
      </w:r>
      <w:r w:rsidRPr="00BB6FDC">
        <w:rPr>
          <w:rFonts w:cs="Arial" w:hint="cs"/>
          <w:u w:val="double"/>
          <w:rtl/>
        </w:rPr>
        <w:t>מתני'</w:t>
      </w:r>
      <w:r w:rsidRPr="00BB6FDC">
        <w:rPr>
          <w:rFonts w:cs="Arial" w:hint="cs"/>
          <w:rtl/>
        </w:rPr>
        <w:t xml:space="preserve">:... </w:t>
      </w:r>
      <w:r w:rsidRPr="00BB6FDC">
        <w:rPr>
          <w:rFonts w:cs="Arial"/>
          <w:u w:val="single"/>
          <w:rtl/>
        </w:rPr>
        <w:t>רבי יהודה אומר</w:t>
      </w:r>
      <w:r w:rsidRPr="00BB6FDC">
        <w:rPr>
          <w:rFonts w:cs="Arial"/>
          <w:rtl/>
        </w:rPr>
        <w:t>: אם רצה, כותב לבתולה שטר של מאתים והיא כותבת התקבלתי ממך מנה, ולאלמנה מנה והיא כותבת התקבלתי ממך חמשים זוז</w:t>
      </w:r>
      <w:r w:rsidRPr="00BB6FDC">
        <w:rPr>
          <w:rFonts w:cs="Arial" w:hint="cs"/>
          <w:rtl/>
        </w:rPr>
        <w:t>.</w:t>
      </w:r>
      <w:r w:rsidRPr="00BB6FDC">
        <w:rPr>
          <w:rFonts w:cs="Arial"/>
          <w:rtl/>
        </w:rPr>
        <w:t xml:space="preserve"> </w:t>
      </w:r>
      <w:r w:rsidRPr="00BB6FDC">
        <w:rPr>
          <w:rFonts w:cs="Arial"/>
          <w:u w:val="single"/>
          <w:rtl/>
        </w:rPr>
        <w:t>רבי מאיר אומר</w:t>
      </w:r>
      <w:r w:rsidRPr="00BB6FDC">
        <w:rPr>
          <w:rFonts w:cs="Arial"/>
          <w:rtl/>
        </w:rPr>
        <w:t>: כל הפוחת לבתולה ממאתים, ולאלמנה ממנה - הרי זו בעילת זנות.</w:t>
      </w:r>
      <w:r w:rsidRPr="00BB6FDC">
        <w:rPr>
          <w:rFonts w:cs="Arial" w:hint="cs"/>
          <w:rtl/>
        </w:rPr>
        <w:t xml:space="preserve">     </w:t>
      </w:r>
      <w:r w:rsidRPr="00BB6FDC">
        <w:rPr>
          <w:rFonts w:cs="Arial" w:hint="cs"/>
          <w:u w:val="double"/>
          <w:rtl/>
        </w:rPr>
        <w:t>גמ'</w:t>
      </w:r>
      <w:r w:rsidRPr="00BB6FDC">
        <w:rPr>
          <w:rFonts w:cs="Arial" w:hint="cs"/>
          <w:sz w:val="14"/>
          <w:szCs w:val="14"/>
          <w:u w:val="double"/>
          <w:rtl/>
        </w:rPr>
        <w:t>(נו:)</w:t>
      </w:r>
      <w:r w:rsidRPr="00BB6FDC">
        <w:rPr>
          <w:rFonts w:cs="Arial" w:hint="cs"/>
          <w:u w:val="double"/>
          <w:rtl/>
        </w:rPr>
        <w:t>:</w:t>
      </w:r>
      <w:r w:rsidRPr="00BB6FDC">
        <w:rPr>
          <w:rFonts w:cs="Arial" w:hint="cs"/>
          <w:rtl/>
        </w:rPr>
        <w:t xml:space="preserve"> </w:t>
      </w:r>
      <w:r w:rsidRPr="00BB6FDC">
        <w:rPr>
          <w:rFonts w:cs="Arial"/>
          <w:rtl/>
        </w:rPr>
        <w:t>ר' מאיר אומר: כל הפוחת וכו'. כל הפוחת אפי' בתנאה, אלמא קסבר: תנאו בטל ואית לה, וכיון דאמר לה לית ליך אלא מנה לא סמכא דעתה, והויא לה בעילתו בעילת זנות; והא שמעינן ליה לרבי מאיר דאמר: כל המתנה על מה שכתוב בתורה תנאו בטל, הא בדרבנן תנאו קיים! קסבר ר' מאיר: כתובה דאורייתא.</w:t>
      </w:r>
    </w:p>
    <w:p w14:paraId="17843575" w14:textId="77777777" w:rsidR="0024756B" w:rsidRPr="00BB6FDC" w:rsidRDefault="0024756B" w:rsidP="0024756B">
      <w:pPr>
        <w:rPr>
          <w:rFonts w:cs="Arial"/>
        </w:rPr>
      </w:pPr>
      <w:r w:rsidRPr="00BB6FDC">
        <w:rPr>
          <w:rFonts w:cs="Arial" w:hint="cs"/>
          <w:b/>
          <w:bCs/>
          <w:rtl/>
        </w:rPr>
        <w:t xml:space="preserve">כתובות </w:t>
      </w:r>
      <w:r w:rsidRPr="00BB6FDC">
        <w:rPr>
          <w:rFonts w:cs="Arial" w:hint="cs"/>
          <w:b/>
          <w:bCs/>
          <w:sz w:val="16"/>
          <w:szCs w:val="16"/>
          <w:rtl/>
        </w:rPr>
        <w:t>(פ' אף על פי)</w:t>
      </w:r>
      <w:r w:rsidRPr="00BB6FDC">
        <w:rPr>
          <w:rFonts w:cs="Arial" w:hint="cs"/>
          <w:b/>
          <w:bCs/>
          <w:rtl/>
        </w:rPr>
        <w:t xml:space="preserve"> נו ע"א:</w:t>
      </w:r>
      <w:r w:rsidRPr="00BB6FDC">
        <w:rPr>
          <w:rFonts w:cs="Arial" w:hint="cs"/>
          <w:rtl/>
        </w:rPr>
        <w:t xml:space="preserve"> </w:t>
      </w:r>
      <w:r w:rsidRPr="00BB6FDC">
        <w:rPr>
          <w:rFonts w:cs="Arial"/>
          <w:rtl/>
        </w:rPr>
        <w:t xml:space="preserve">ושמעינן ליה לר' יהודה דאמר: דבר שבממון תנאו קיים! דתניא: האומר לאשה הרי את מקודשת לי על מנת שאין ליך עלי שאר כסות ועונה - הרי זו מקודשת ותנאו בטל, </w:t>
      </w:r>
      <w:r w:rsidRPr="00BB6FDC">
        <w:rPr>
          <w:rFonts w:cs="Arial"/>
          <w:u w:val="single"/>
          <w:rtl/>
        </w:rPr>
        <w:t>דברי רבי מאיר</w:t>
      </w:r>
      <w:r w:rsidRPr="00BB6FDC">
        <w:rPr>
          <w:rFonts w:cs="Arial"/>
          <w:rtl/>
        </w:rPr>
        <w:t xml:space="preserve">, </w:t>
      </w:r>
      <w:r w:rsidRPr="00BB6FDC">
        <w:rPr>
          <w:rFonts w:cs="Arial"/>
          <w:u w:val="single"/>
          <w:rtl/>
        </w:rPr>
        <w:t>ר' יהודה אומר</w:t>
      </w:r>
      <w:r w:rsidRPr="00BB6FDC">
        <w:rPr>
          <w:rFonts w:cs="Arial"/>
          <w:rtl/>
        </w:rPr>
        <w:t xml:space="preserve">: בדבר שבממון תנאו קיים! קסבר רבי יהודה: כתובה דרבנן, וחכמים עשו חיזוק לדבריהם יותר משל תורה. </w:t>
      </w:r>
    </w:p>
    <w:p w14:paraId="46038E70" w14:textId="77777777" w:rsidR="0024756B" w:rsidRPr="00B40894" w:rsidRDefault="0024756B" w:rsidP="0024756B">
      <w:pPr>
        <w:rPr>
          <w:u w:val="single"/>
        </w:rPr>
      </w:pPr>
      <w:r w:rsidRPr="00B40894">
        <w:rPr>
          <w:rFonts w:cs="Arial"/>
          <w:u w:val="single"/>
          <w:rtl/>
        </w:rPr>
        <w:t xml:space="preserve">בעל </w:t>
      </w:r>
      <w:r w:rsidRPr="00B40894">
        <w:rPr>
          <w:rFonts w:cs="Arial" w:hint="cs"/>
          <w:u w:val="single"/>
          <w:rtl/>
        </w:rPr>
        <w:t xml:space="preserve">שהתנה </w:t>
      </w:r>
      <w:r w:rsidRPr="00B40894">
        <w:rPr>
          <w:rFonts w:cs="Arial"/>
          <w:u w:val="single"/>
          <w:rtl/>
        </w:rPr>
        <w:t>כשנשאה שלא יתחייב בדברים שהוא חייב</w:t>
      </w:r>
      <w:r w:rsidRPr="00B40894">
        <w:rPr>
          <w:rFonts w:cs="Arial" w:hint="cs"/>
          <w:u w:val="single"/>
          <w:rtl/>
        </w:rPr>
        <w:t>,</w:t>
      </w:r>
      <w:r w:rsidRPr="00B40894">
        <w:rPr>
          <w:rFonts w:cs="Arial"/>
          <w:u w:val="single"/>
          <w:rtl/>
        </w:rPr>
        <w:t xml:space="preserve"> או </w:t>
      </w:r>
      <w:r w:rsidRPr="00B40894">
        <w:rPr>
          <w:rFonts w:cs="Arial" w:hint="cs"/>
          <w:u w:val="single"/>
          <w:rtl/>
        </w:rPr>
        <w:t xml:space="preserve">שהאשה </w:t>
      </w:r>
      <w:r w:rsidRPr="00B40894">
        <w:rPr>
          <w:rFonts w:cs="Arial"/>
          <w:u w:val="single"/>
          <w:rtl/>
        </w:rPr>
        <w:t>התנית שלא יזכה הבעל בדברים שיש לו לזכות</w:t>
      </w:r>
      <w:r w:rsidRPr="00B40894">
        <w:rPr>
          <w:rFonts w:cs="Arial" w:hint="cs"/>
          <w:u w:val="single"/>
          <w:rtl/>
        </w:rPr>
        <w:t>:</w:t>
      </w:r>
    </w:p>
    <w:p w14:paraId="66325D78" w14:textId="670A3D64" w:rsidR="0024756B" w:rsidRPr="00C24AFC" w:rsidRDefault="0024756B" w:rsidP="00C24AFC">
      <w:pPr>
        <w:pStyle w:val="ab"/>
        <w:numPr>
          <w:ilvl w:val="0"/>
          <w:numId w:val="20"/>
        </w:numPr>
        <w:rPr>
          <w:rFonts w:cs="Arial"/>
          <w:rtl/>
        </w:rPr>
      </w:pPr>
      <w:r>
        <w:rPr>
          <w:rFonts w:cs="Arial"/>
          <w:rtl/>
        </w:rPr>
        <w:t xml:space="preserve">רמב"ם </w:t>
      </w:r>
      <w:r w:rsidRPr="00B52903">
        <w:rPr>
          <w:rFonts w:cs="Arial" w:hint="cs"/>
          <w:sz w:val="16"/>
          <w:szCs w:val="16"/>
          <w:rtl/>
        </w:rPr>
        <w:t>(</w:t>
      </w:r>
      <w:r w:rsidRPr="00B52903">
        <w:rPr>
          <w:rFonts w:cs="Arial"/>
          <w:sz w:val="16"/>
          <w:szCs w:val="16"/>
          <w:rtl/>
        </w:rPr>
        <w:t>פי"ב מאישות ה</w:t>
      </w:r>
      <w:r>
        <w:rPr>
          <w:rFonts w:cs="Arial" w:hint="cs"/>
          <w:sz w:val="16"/>
          <w:szCs w:val="16"/>
          <w:rtl/>
        </w:rPr>
        <w:t>"ו-ט</w:t>
      </w:r>
      <w:r w:rsidRPr="00B52903">
        <w:rPr>
          <w:rFonts w:cs="Arial"/>
          <w:sz w:val="16"/>
          <w:szCs w:val="16"/>
          <w:rtl/>
        </w:rPr>
        <w:t>)</w:t>
      </w:r>
      <w:r>
        <w:rPr>
          <w:rFonts w:cs="Arial" w:hint="cs"/>
          <w:rtl/>
        </w:rPr>
        <w:t xml:space="preserve"> ו</w:t>
      </w:r>
      <w:r w:rsidRPr="00A931CA">
        <w:rPr>
          <w:rFonts w:cs="Arial" w:hint="cs"/>
          <w:rtl/>
        </w:rPr>
        <w:t>טור-</w:t>
      </w:r>
      <w:r>
        <w:rPr>
          <w:rFonts w:cs="Arial" w:hint="cs"/>
          <w:rtl/>
        </w:rPr>
        <w:t xml:space="preserve"> </w:t>
      </w:r>
      <w:r w:rsidRPr="00F65A00">
        <w:rPr>
          <w:rFonts w:cs="Arial"/>
          <w:rtl/>
        </w:rPr>
        <w:t>התנה הבעל שלא יתחייב באחד מן הדברים שהוא חייב בהן</w:t>
      </w:r>
      <w:r>
        <w:rPr>
          <w:rFonts w:cs="Arial" w:hint="cs"/>
          <w:rtl/>
        </w:rPr>
        <w:t>,</w:t>
      </w:r>
      <w:r w:rsidRPr="00F65A00">
        <w:rPr>
          <w:rFonts w:cs="Arial"/>
          <w:rtl/>
        </w:rPr>
        <w:t xml:space="preserve"> או שהתנת האשה שלא יזכה הבעל באחד מן הדברים שהוא זוכה בהם </w:t>
      </w:r>
      <w:r>
        <w:rPr>
          <w:rFonts w:cs="Arial" w:hint="cs"/>
          <w:rtl/>
        </w:rPr>
        <w:t xml:space="preserve">- </w:t>
      </w:r>
      <w:r w:rsidRPr="00F65A00">
        <w:rPr>
          <w:rFonts w:cs="Arial"/>
          <w:rtl/>
        </w:rPr>
        <w:t>התנאי קיים</w:t>
      </w:r>
      <w:r>
        <w:rPr>
          <w:rStyle w:val="a7"/>
          <w:rFonts w:cs="Arial"/>
          <w:rtl/>
        </w:rPr>
        <w:footnoteReference w:id="236"/>
      </w:r>
      <w:r w:rsidRPr="00F65A00">
        <w:rPr>
          <w:rFonts w:cs="Arial"/>
          <w:rtl/>
        </w:rPr>
        <w:t xml:space="preserve"> חוץ משלשה דברים שאין התנאי </w:t>
      </w:r>
      <w:r w:rsidRPr="00F65A00">
        <w:rPr>
          <w:rFonts w:cs="Arial"/>
          <w:rtl/>
        </w:rPr>
        <w:lastRenderedPageBreak/>
        <w:t>מועיל בהן, וכל המתנה עליהן תנאו בטל ואלו הן</w:t>
      </w:r>
      <w:r>
        <w:rPr>
          <w:rFonts w:cs="Arial" w:hint="cs"/>
          <w:rtl/>
        </w:rPr>
        <w:t>:</w:t>
      </w:r>
      <w:r w:rsidRPr="00F65A00">
        <w:rPr>
          <w:rFonts w:cs="Arial"/>
          <w:rtl/>
        </w:rPr>
        <w:t xml:space="preserve"> עונתה</w:t>
      </w:r>
      <w:r>
        <w:rPr>
          <w:rFonts w:cs="Arial" w:hint="cs"/>
          <w:rtl/>
        </w:rPr>
        <w:t>,</w:t>
      </w:r>
      <w:r w:rsidRPr="00F65A00">
        <w:rPr>
          <w:rFonts w:cs="Arial"/>
          <w:rtl/>
        </w:rPr>
        <w:t xml:space="preserve"> ועיקר כתובתה</w:t>
      </w:r>
      <w:r>
        <w:rPr>
          <w:rFonts w:cs="Arial" w:hint="cs"/>
          <w:rtl/>
        </w:rPr>
        <w:t>,</w:t>
      </w:r>
      <w:r w:rsidRPr="00F65A00">
        <w:rPr>
          <w:rFonts w:cs="Arial"/>
          <w:rtl/>
        </w:rPr>
        <w:t xml:space="preserve"> וירושתה. </w:t>
      </w:r>
      <w:r w:rsidRPr="00866602">
        <w:rPr>
          <w:rFonts w:cs="Arial"/>
          <w:rtl/>
        </w:rPr>
        <w:t>כיצד</w:t>
      </w:r>
      <w:r>
        <w:rPr>
          <w:rFonts w:cs="Arial" w:hint="cs"/>
          <w:rtl/>
        </w:rPr>
        <w:t>,</w:t>
      </w:r>
      <w:r w:rsidRPr="00866602">
        <w:rPr>
          <w:rFonts w:cs="Arial"/>
          <w:rtl/>
        </w:rPr>
        <w:t xml:space="preserve"> התנה עם האשה שאין לה עליו עונה </w:t>
      </w:r>
      <w:r w:rsidRPr="00866602">
        <w:rPr>
          <w:rFonts w:cs="Arial" w:hint="cs"/>
          <w:rtl/>
        </w:rPr>
        <w:t xml:space="preserve">- </w:t>
      </w:r>
      <w:r w:rsidRPr="00866602">
        <w:rPr>
          <w:rFonts w:cs="Arial"/>
          <w:rtl/>
        </w:rPr>
        <w:t>תנאו בטל</w:t>
      </w:r>
      <w:r w:rsidRPr="00866602">
        <w:rPr>
          <w:rFonts w:cs="Arial" w:hint="cs"/>
          <w:rtl/>
        </w:rPr>
        <w:t>,</w:t>
      </w:r>
      <w:r w:rsidRPr="00866602">
        <w:rPr>
          <w:rFonts w:cs="Arial"/>
          <w:rtl/>
        </w:rPr>
        <w:t xml:space="preserve"> וחייב בעונתה</w:t>
      </w:r>
      <w:r w:rsidRPr="00866602">
        <w:rPr>
          <w:rFonts w:cs="Arial" w:hint="cs"/>
          <w:rtl/>
        </w:rPr>
        <w:t>,</w:t>
      </w:r>
      <w:r w:rsidRPr="00866602">
        <w:rPr>
          <w:rFonts w:cs="Arial"/>
          <w:rtl/>
        </w:rPr>
        <w:t xml:space="preserve"> שהרי התנה על מה שכתוב בתורה ואינו תנאי ממון</w:t>
      </w:r>
      <w:r>
        <w:rPr>
          <w:rStyle w:val="a7"/>
          <w:rFonts w:cs="Arial"/>
          <w:rtl/>
        </w:rPr>
        <w:footnoteReference w:id="237"/>
      </w:r>
      <w:r w:rsidRPr="00866602">
        <w:rPr>
          <w:rFonts w:cs="Arial"/>
          <w:rtl/>
        </w:rPr>
        <w:t>. התנה עמה לפחות מעיקר כתובה</w:t>
      </w:r>
      <w:r w:rsidRPr="00866602">
        <w:rPr>
          <w:rFonts w:cs="Arial" w:hint="cs"/>
          <w:rtl/>
        </w:rPr>
        <w:t>,</w:t>
      </w:r>
      <w:r w:rsidRPr="00866602">
        <w:rPr>
          <w:rFonts w:cs="Arial"/>
          <w:rtl/>
        </w:rPr>
        <w:t xml:space="preserve"> או שכתב לה מאתים או מאה עיקר כתובה וכתבה לו שנתקבלה מהן כך וכך והיא לא נתקבלה </w:t>
      </w:r>
      <w:r w:rsidRPr="00866602">
        <w:rPr>
          <w:rFonts w:cs="Arial" w:hint="cs"/>
          <w:rtl/>
        </w:rPr>
        <w:t xml:space="preserve">- </w:t>
      </w:r>
      <w:r w:rsidRPr="00866602">
        <w:rPr>
          <w:rFonts w:cs="Arial"/>
          <w:rtl/>
        </w:rPr>
        <w:t>תנאו בטל</w:t>
      </w:r>
      <w:r w:rsidRPr="00866602">
        <w:rPr>
          <w:rFonts w:cs="Arial" w:hint="cs"/>
          <w:rtl/>
        </w:rPr>
        <w:t>,</w:t>
      </w:r>
      <w:r w:rsidRPr="00866602">
        <w:rPr>
          <w:rFonts w:cs="Arial"/>
          <w:rtl/>
        </w:rPr>
        <w:t xml:space="preserve"> שכל הפוחת לבתולה ממאתים ולאלמנה ממנה הרי זו בעילת זנות</w:t>
      </w:r>
      <w:r>
        <w:rPr>
          <w:rStyle w:val="a7"/>
          <w:rFonts w:cs="Arial"/>
          <w:rtl/>
        </w:rPr>
        <w:footnoteReference w:id="238"/>
      </w:r>
      <w:r w:rsidRPr="00866602">
        <w:rPr>
          <w:rFonts w:cs="Arial"/>
          <w:rtl/>
        </w:rPr>
        <w:t xml:space="preserve">. התנת עמו אחר שנשאה שלא יירשנה </w:t>
      </w:r>
      <w:r w:rsidRPr="00866602">
        <w:rPr>
          <w:rFonts w:cs="Arial" w:hint="cs"/>
          <w:rtl/>
        </w:rPr>
        <w:t xml:space="preserve">- </w:t>
      </w:r>
      <w:r w:rsidRPr="00866602">
        <w:rPr>
          <w:rFonts w:cs="Arial"/>
          <w:rtl/>
        </w:rPr>
        <w:t>תנאה בטל</w:t>
      </w:r>
      <w:r w:rsidRPr="00866602">
        <w:rPr>
          <w:rFonts w:cs="Arial" w:hint="cs"/>
          <w:rtl/>
        </w:rPr>
        <w:t>,</w:t>
      </w:r>
      <w:r w:rsidRPr="00866602">
        <w:rPr>
          <w:rFonts w:cs="Arial"/>
          <w:rtl/>
        </w:rPr>
        <w:t xml:space="preserve"> ואף על פי שירושת הבעל מדברי סופרים עשו חיזוק לדבריהם כשל תורה, וכל תנאי שבירושה בטל אע</w:t>
      </w:r>
      <w:r w:rsidR="00C24AFC">
        <w:rPr>
          <w:rFonts w:cs="Arial" w:hint="cs"/>
          <w:rtl/>
        </w:rPr>
        <w:t>"</w:t>
      </w:r>
      <w:r w:rsidRPr="00866602">
        <w:rPr>
          <w:rFonts w:cs="Arial"/>
          <w:rtl/>
        </w:rPr>
        <w:t>פ שהוא ממון שנ</w:t>
      </w:r>
      <w:r w:rsidRPr="00866602">
        <w:rPr>
          <w:rFonts w:cs="Arial" w:hint="cs"/>
          <w:rtl/>
        </w:rPr>
        <w:t>אמר</w:t>
      </w:r>
      <w:r w:rsidRPr="00866602">
        <w:rPr>
          <w:rFonts w:cs="Arial"/>
          <w:rtl/>
        </w:rPr>
        <w:t xml:space="preserve"> בה </w:t>
      </w:r>
      <w:r w:rsidRPr="00866602">
        <w:rPr>
          <w:rFonts w:cs="Arial" w:hint="cs"/>
          <w:sz w:val="16"/>
          <w:szCs w:val="16"/>
          <w:rtl/>
        </w:rPr>
        <w:t>(</w:t>
      </w:r>
      <w:r w:rsidRPr="00866602">
        <w:rPr>
          <w:rFonts w:cs="Arial"/>
          <w:sz w:val="16"/>
          <w:szCs w:val="16"/>
          <w:rtl/>
        </w:rPr>
        <w:t>במדבר כז</w:t>
      </w:r>
      <w:r w:rsidRPr="00866602">
        <w:rPr>
          <w:rFonts w:cs="Arial" w:hint="cs"/>
          <w:sz w:val="16"/>
          <w:szCs w:val="16"/>
          <w:rtl/>
        </w:rPr>
        <w:t xml:space="preserve"> יא)</w:t>
      </w:r>
      <w:r w:rsidRPr="00866602">
        <w:rPr>
          <w:rFonts w:cs="Arial" w:hint="cs"/>
          <w:rtl/>
        </w:rPr>
        <w:t xml:space="preserve"> </w:t>
      </w:r>
      <w:r w:rsidRPr="00866602">
        <w:rPr>
          <w:rFonts w:cs="Arial"/>
          <w:rtl/>
        </w:rPr>
        <w:t>לחקת משפט</w:t>
      </w:r>
      <w:r w:rsidR="00C24AFC">
        <w:rPr>
          <w:rStyle w:val="a7"/>
          <w:rFonts w:cs="Arial"/>
          <w:rtl/>
        </w:rPr>
        <w:footnoteReference w:id="239"/>
      </w:r>
      <w:r w:rsidRPr="00866602">
        <w:rPr>
          <w:rFonts w:cs="Arial" w:hint="cs"/>
          <w:rtl/>
        </w:rPr>
        <w:t>.</w:t>
      </w:r>
      <w:r w:rsidRPr="00866602">
        <w:rPr>
          <w:rFonts w:cs="Arial"/>
          <w:rtl/>
        </w:rPr>
        <w:t xml:space="preserve"> ובשאר הדברים תנאו קיים, כגון שהתנה עמה שאין לה שאר וכסות, על מנת שלא יאכל פירות נכסיה, וכל כיוצא בזה תנאו קיים</w:t>
      </w:r>
      <w:r>
        <w:rPr>
          <w:rFonts w:cs="Arial" w:hint="cs"/>
          <w:sz w:val="16"/>
          <w:szCs w:val="16"/>
          <w:rtl/>
        </w:rPr>
        <w:t xml:space="preserve"> (ל' הרמב"ם)</w:t>
      </w:r>
      <w:r w:rsidRPr="00866602">
        <w:rPr>
          <w:rFonts w:cs="Arial"/>
          <w:rtl/>
        </w:rPr>
        <w:t xml:space="preserve">. </w:t>
      </w:r>
      <w:r w:rsidR="00D70827" w:rsidRPr="00D70827">
        <w:rPr>
          <w:rFonts w:cs="Arial" w:hint="cs"/>
          <w:color w:val="E36C0A" w:themeColor="accent6" w:themeShade="BF"/>
          <w:rtl/>
        </w:rPr>
        <w:t>(וכ"פ בשו"ע)</w:t>
      </w:r>
    </w:p>
    <w:p w14:paraId="3A91BC59" w14:textId="77777777" w:rsidR="00471D63" w:rsidRDefault="00471D63" w:rsidP="00471D63">
      <w:pPr>
        <w:rPr>
          <w:rFonts w:cs="Arial"/>
          <w:rtl/>
        </w:rPr>
      </w:pPr>
      <w:r w:rsidRPr="003024E5">
        <w:rPr>
          <w:rFonts w:asciiTheme="minorBidi" w:hAnsiTheme="minorBidi"/>
          <w:b/>
          <w:bCs/>
          <w:color w:val="000000"/>
          <w:sz w:val="28"/>
          <w:szCs w:val="28"/>
          <w:u w:val="single"/>
          <w:rtl/>
        </w:rPr>
        <w:t>שו"ע:</w:t>
      </w:r>
    </w:p>
    <w:p w14:paraId="36883888" w14:textId="77777777" w:rsidR="0024756B" w:rsidRDefault="00973C57" w:rsidP="00973C57">
      <w:pPr>
        <w:rPr>
          <w:rFonts w:cs="Arial"/>
          <w:rtl/>
        </w:rPr>
      </w:pPr>
      <w:r>
        <w:rPr>
          <w:rFonts w:cs="Arial"/>
          <w:rtl/>
        </w:rPr>
        <w:t>התנה הבעל שלא יתחייב באחד מהדברים שהוא חייב בהם, או שהתנית האשה שלא יזכה הבעל באחד מהדברים שהוא זוכה בהם, התנאי קיים, חוץ מג' דברים שאין התנאי מועיל בהם, ואלו הם: עונתה, ועיקר כתובתה, וירושתה.</w:t>
      </w:r>
    </w:p>
    <w:p w14:paraId="5BE7A6B5" w14:textId="0ABE0310" w:rsidR="00973C57" w:rsidRDefault="00973C57" w:rsidP="00973C57">
      <w:pPr>
        <w:rPr>
          <w:rtl/>
        </w:rPr>
      </w:pPr>
      <w:r>
        <w:rPr>
          <w:rFonts w:cs="Arial"/>
          <w:rtl/>
        </w:rPr>
        <w:t xml:space="preserve"> </w:t>
      </w:r>
    </w:p>
    <w:p w14:paraId="60F35EE5" w14:textId="58C39BE2" w:rsidR="00973C57" w:rsidRDefault="00973C57" w:rsidP="000F64D0">
      <w:pPr>
        <w:pStyle w:val="2"/>
        <w:rPr>
          <w:rtl/>
        </w:rPr>
      </w:pPr>
      <w:r>
        <w:rPr>
          <w:rtl/>
        </w:rPr>
        <w:t>סעיף ז</w:t>
      </w:r>
      <w:r w:rsidR="0024756B">
        <w:rPr>
          <w:rFonts w:hint="cs"/>
          <w:rtl/>
        </w:rPr>
        <w:t>:</w:t>
      </w:r>
      <w:r w:rsidR="00D70827">
        <w:rPr>
          <w:rFonts w:hint="cs"/>
          <w:rtl/>
        </w:rPr>
        <w:t xml:space="preserve"> התנה עמה להסתלק מירושתה בין אירוסין לנישואין.</w:t>
      </w:r>
    </w:p>
    <w:p w14:paraId="684E0BB3" w14:textId="77777777" w:rsidR="0024756B" w:rsidRDefault="0024756B" w:rsidP="0024756B">
      <w:pPr>
        <w:rPr>
          <w:rFonts w:cs="Arial"/>
          <w:rtl/>
        </w:rPr>
      </w:pPr>
      <w:r>
        <w:rPr>
          <w:rFonts w:cs="Arial" w:hint="cs"/>
          <w:b/>
          <w:bCs/>
          <w:rtl/>
        </w:rPr>
        <w:t>כתובות</w:t>
      </w:r>
      <w:r w:rsidRPr="0031604C">
        <w:rPr>
          <w:rFonts w:cs="Arial" w:hint="cs"/>
          <w:b/>
          <w:bCs/>
          <w:sz w:val="16"/>
          <w:szCs w:val="16"/>
          <w:rtl/>
        </w:rPr>
        <w:t xml:space="preserve"> (ר"פ הכותב) </w:t>
      </w:r>
      <w:r>
        <w:rPr>
          <w:rFonts w:cs="Arial" w:hint="cs"/>
          <w:b/>
          <w:bCs/>
          <w:rtl/>
        </w:rPr>
        <w:t>פג ע"א:</w:t>
      </w:r>
      <w:r>
        <w:rPr>
          <w:rFonts w:cs="Arial" w:hint="cs"/>
          <w:rtl/>
        </w:rPr>
        <w:t xml:space="preserve"> </w:t>
      </w:r>
      <w:r w:rsidRPr="0031604C">
        <w:rPr>
          <w:rFonts w:cs="Arial"/>
          <w:u w:val="double"/>
          <w:rtl/>
        </w:rPr>
        <w:t>מתני'</w:t>
      </w:r>
      <w:r>
        <w:rPr>
          <w:rFonts w:cs="Arial" w:hint="cs"/>
          <w:rtl/>
        </w:rPr>
        <w:t>:...</w:t>
      </w:r>
      <w:r w:rsidRPr="0031604C">
        <w:rPr>
          <w:rFonts w:cs="Arial"/>
          <w:rtl/>
        </w:rPr>
        <w:t xml:space="preserve"> כתב לה דין ודברים אין לי בנכסיך ובפירותיהן ובפירי פירותיהן בחייך ובמותך - אינו אוכל פירות בחייה, ואם מתה - אינו יורשה</w:t>
      </w:r>
      <w:r>
        <w:rPr>
          <w:rFonts w:cs="Arial" w:hint="cs"/>
          <w:rtl/>
        </w:rPr>
        <w:t>.</w:t>
      </w:r>
      <w:r w:rsidRPr="0031604C">
        <w:rPr>
          <w:rFonts w:cs="Arial"/>
          <w:rtl/>
        </w:rPr>
        <w:t xml:space="preserve"> </w:t>
      </w:r>
      <w:r w:rsidRPr="0031604C">
        <w:rPr>
          <w:rFonts w:cs="Arial"/>
          <w:u w:val="single"/>
          <w:rtl/>
        </w:rPr>
        <w:t>רשב"ג אומר</w:t>
      </w:r>
      <w:r w:rsidRPr="0031604C">
        <w:rPr>
          <w:rFonts w:cs="Arial"/>
          <w:rtl/>
        </w:rPr>
        <w:t xml:space="preserve">: אם מתה - יירשנה, מפני שמתנה על מה שכתוב בתורה, וכל המתנה על מה שכתוב בתורה - תנאו בטל. </w:t>
      </w:r>
      <w:r>
        <w:rPr>
          <w:rFonts w:cs="Arial" w:hint="cs"/>
          <w:rtl/>
        </w:rPr>
        <w:t xml:space="preserve">      </w:t>
      </w:r>
      <w:r w:rsidRPr="0031604C">
        <w:rPr>
          <w:rFonts w:cs="Arial"/>
          <w:u w:val="double"/>
          <w:rtl/>
        </w:rPr>
        <w:t>גמ'</w:t>
      </w:r>
      <w:r>
        <w:rPr>
          <w:rFonts w:cs="Arial" w:hint="cs"/>
          <w:rtl/>
        </w:rPr>
        <w:t>:</w:t>
      </w:r>
      <w:r w:rsidRPr="0031604C">
        <w:rPr>
          <w:rFonts w:cs="Arial"/>
          <w:rtl/>
        </w:rPr>
        <w:t xml:space="preserve"> </w:t>
      </w:r>
      <w:r w:rsidRPr="0031604C">
        <w:rPr>
          <w:rFonts w:cs="Arial"/>
          <w:u w:val="single"/>
          <w:rtl/>
        </w:rPr>
        <w:t>תני רבי חייא</w:t>
      </w:r>
      <w:r w:rsidRPr="0031604C">
        <w:rPr>
          <w:rFonts w:cs="Arial"/>
          <w:rtl/>
        </w:rPr>
        <w:t>: האומר לאשתו</w:t>
      </w:r>
      <w:r>
        <w:rPr>
          <w:rStyle w:val="a7"/>
          <w:rFonts w:cs="Arial"/>
          <w:rtl/>
        </w:rPr>
        <w:footnoteReference w:id="240"/>
      </w:r>
      <w:r w:rsidRPr="0031604C">
        <w:rPr>
          <w:rFonts w:cs="Arial"/>
          <w:rtl/>
        </w:rPr>
        <w:t>. וכי כתב לה הכי מאי הוי</w:t>
      </w:r>
      <w:r>
        <w:rPr>
          <w:rStyle w:val="a7"/>
          <w:rFonts w:cs="Arial"/>
          <w:rtl/>
        </w:rPr>
        <w:footnoteReference w:id="241"/>
      </w:r>
      <w:r w:rsidRPr="0031604C">
        <w:rPr>
          <w:rFonts w:cs="Arial"/>
          <w:rtl/>
        </w:rPr>
        <w:t>? והתניא: האומר לחבירו</w:t>
      </w:r>
      <w:r>
        <w:rPr>
          <w:rStyle w:val="a7"/>
          <w:rFonts w:cs="Arial"/>
          <w:rtl/>
        </w:rPr>
        <w:footnoteReference w:id="242"/>
      </w:r>
      <w:r w:rsidRPr="0031604C">
        <w:rPr>
          <w:rFonts w:cs="Arial"/>
          <w:rtl/>
        </w:rPr>
        <w:t xml:space="preserve"> דין ודברים אין לי על שדה זו, ואין לי עסק בה, וידי מסולקת הימנה - לא אמר כלום</w:t>
      </w:r>
      <w:r>
        <w:rPr>
          <w:rStyle w:val="a7"/>
          <w:rFonts w:cs="Arial"/>
          <w:rtl/>
        </w:rPr>
        <w:footnoteReference w:id="243"/>
      </w:r>
      <w:r w:rsidRPr="0031604C">
        <w:rPr>
          <w:rFonts w:cs="Arial"/>
          <w:rtl/>
        </w:rPr>
        <w:t xml:space="preserve">! </w:t>
      </w:r>
      <w:r w:rsidRPr="0031604C">
        <w:rPr>
          <w:rFonts w:cs="Arial"/>
          <w:u w:val="single"/>
          <w:rtl/>
        </w:rPr>
        <w:t>אמרי דבי רבי ינאי</w:t>
      </w:r>
      <w:r w:rsidRPr="0031604C">
        <w:rPr>
          <w:rFonts w:cs="Arial"/>
          <w:rtl/>
        </w:rPr>
        <w:t>: בכותב לה ועודה ארוסה</w:t>
      </w:r>
      <w:r>
        <w:rPr>
          <w:rStyle w:val="a7"/>
          <w:rFonts w:cs="Arial"/>
          <w:rtl/>
        </w:rPr>
        <w:footnoteReference w:id="244"/>
      </w:r>
      <w:r>
        <w:rPr>
          <w:rFonts w:cs="Arial" w:hint="cs"/>
          <w:rtl/>
        </w:rPr>
        <w:t>.</w:t>
      </w:r>
      <w:r w:rsidRPr="0031604C">
        <w:rPr>
          <w:rFonts w:cs="Arial"/>
          <w:rtl/>
        </w:rPr>
        <w:t xml:space="preserve"> כדרב כהנא, דאמר רב כהנא: נחלה הבאה לאדם ממקום אחר</w:t>
      </w:r>
      <w:r>
        <w:rPr>
          <w:rStyle w:val="a7"/>
          <w:rFonts w:cs="Arial"/>
          <w:rtl/>
        </w:rPr>
        <w:footnoteReference w:id="245"/>
      </w:r>
      <w:r w:rsidRPr="0031604C">
        <w:rPr>
          <w:rFonts w:cs="Arial"/>
          <w:rtl/>
        </w:rPr>
        <w:t>, אדם מתנה עליה שלא יירשנה</w:t>
      </w:r>
      <w:r>
        <w:rPr>
          <w:rFonts w:cs="Arial" w:hint="cs"/>
          <w:rtl/>
        </w:rPr>
        <w:t>...</w:t>
      </w:r>
      <w:r>
        <w:rPr>
          <w:rFonts w:cs="Arial" w:hint="cs"/>
          <w:sz w:val="14"/>
          <w:szCs w:val="14"/>
          <w:rtl/>
        </w:rPr>
        <w:t xml:space="preserve"> (פג:)</w:t>
      </w:r>
      <w:r w:rsidRPr="0031604C">
        <w:rPr>
          <w:rFonts w:cs="Arial"/>
          <w:rtl/>
        </w:rPr>
        <w:t xml:space="preserve"> </w:t>
      </w:r>
      <w:r w:rsidRPr="00DA7271">
        <w:rPr>
          <w:rFonts w:cs="Arial"/>
          <w:rtl/>
        </w:rPr>
        <w:t xml:space="preserve">רבן שמעון בן גמליאל אומר כו'. </w:t>
      </w:r>
      <w:r w:rsidRPr="00DA7271">
        <w:rPr>
          <w:rFonts w:cs="Arial"/>
          <w:u w:val="single"/>
          <w:rtl/>
        </w:rPr>
        <w:t>אמר רב</w:t>
      </w:r>
      <w:r w:rsidRPr="00DA7271">
        <w:rPr>
          <w:rFonts w:cs="Arial"/>
          <w:rtl/>
        </w:rPr>
        <w:t>: הלכה כרבן שמעון בן גמליאל ולא מטעמיה.</w:t>
      </w:r>
    </w:p>
    <w:p w14:paraId="1523C14C" w14:textId="77777777" w:rsidR="0024756B" w:rsidRDefault="0024756B" w:rsidP="0024756B">
      <w:pPr>
        <w:rPr>
          <w:rFonts w:cs="Arial"/>
          <w:rtl/>
        </w:rPr>
      </w:pPr>
      <w:r w:rsidRPr="00DB4558">
        <w:rPr>
          <w:rFonts w:cs="Arial" w:hint="cs"/>
          <w:b/>
          <w:bCs/>
          <w:rtl/>
        </w:rPr>
        <w:lastRenderedPageBreak/>
        <w:t>ירושלמי כתובות פ"ט ה"א:</w:t>
      </w:r>
      <w:r>
        <w:rPr>
          <w:rFonts w:cs="Arial" w:hint="cs"/>
          <w:rtl/>
        </w:rPr>
        <w:t xml:space="preserve"> </w:t>
      </w:r>
      <w:r w:rsidRPr="00DB4558">
        <w:rPr>
          <w:rFonts w:cs="Arial"/>
          <w:u w:val="single"/>
          <w:rtl/>
        </w:rPr>
        <w:t>רבי ירמיה בשם רב</w:t>
      </w:r>
      <w:r>
        <w:rPr>
          <w:rFonts w:cs="Arial" w:hint="cs"/>
          <w:rtl/>
        </w:rPr>
        <w:t>:</w:t>
      </w:r>
      <w:r w:rsidRPr="00DB4558">
        <w:rPr>
          <w:rFonts w:cs="Arial"/>
          <w:rtl/>
        </w:rPr>
        <w:t xml:space="preserve"> הלכה כר"ש בן גמליאל</w:t>
      </w:r>
      <w:r>
        <w:rPr>
          <w:rFonts w:cs="Arial" w:hint="cs"/>
          <w:rtl/>
        </w:rPr>
        <w:t>,</w:t>
      </w:r>
      <w:r w:rsidRPr="00DB4558">
        <w:rPr>
          <w:rFonts w:cs="Arial"/>
          <w:rtl/>
        </w:rPr>
        <w:t xml:space="preserve"> אבל לא לעניין דברים</w:t>
      </w:r>
      <w:r>
        <w:rPr>
          <w:rFonts w:cs="Arial" w:hint="cs"/>
          <w:rtl/>
        </w:rPr>
        <w:t>.</w:t>
      </w:r>
      <w:r w:rsidRPr="00DB4558">
        <w:rPr>
          <w:rFonts w:cs="Arial"/>
          <w:rtl/>
        </w:rPr>
        <w:t xml:space="preserve"> הלכה כרבן שמעון בן גמליאל דאמר אם מתה יורשה</w:t>
      </w:r>
      <w:r>
        <w:rPr>
          <w:rFonts w:cs="Arial" w:hint="cs"/>
          <w:rtl/>
        </w:rPr>
        <w:t>,</w:t>
      </w:r>
      <w:r w:rsidRPr="00DB4558">
        <w:rPr>
          <w:rFonts w:cs="Arial"/>
          <w:rtl/>
        </w:rPr>
        <w:t xml:space="preserve"> אבל דברים שהתנה על מה שכתוב בתורה וכל המתנה על הכתוב בתורה תנאו בטל</w:t>
      </w:r>
      <w:r>
        <w:rPr>
          <w:rFonts w:cs="Arial" w:hint="cs"/>
          <w:rtl/>
        </w:rPr>
        <w:t xml:space="preserve"> -</w:t>
      </w:r>
      <w:r w:rsidRPr="00DB4558">
        <w:rPr>
          <w:rFonts w:cs="Arial"/>
          <w:rtl/>
        </w:rPr>
        <w:t xml:space="preserve"> בתנאי גוף אבל בתנאי ממון תנאו קיים</w:t>
      </w:r>
      <w:r>
        <w:rPr>
          <w:rFonts w:cs="Arial" w:hint="cs"/>
          <w:rtl/>
        </w:rPr>
        <w:t>,</w:t>
      </w:r>
      <w:r w:rsidRPr="00DB4558">
        <w:rPr>
          <w:rFonts w:cs="Arial"/>
          <w:rtl/>
        </w:rPr>
        <w:t xml:space="preserve"> וזה תנאי ממון הוא</w:t>
      </w:r>
      <w:r>
        <w:rPr>
          <w:rFonts w:cs="Arial" w:hint="cs"/>
          <w:rtl/>
        </w:rPr>
        <w:t>.</w:t>
      </w:r>
      <w:r w:rsidRPr="00DB4558">
        <w:rPr>
          <w:rFonts w:cs="Arial"/>
          <w:rtl/>
        </w:rPr>
        <w:t xml:space="preserve"> ולמה אמרו תנאו בטל</w:t>
      </w:r>
      <w:r>
        <w:rPr>
          <w:rFonts w:cs="Arial" w:hint="cs"/>
          <w:rtl/>
        </w:rPr>
        <w:t>?</w:t>
      </w:r>
      <w:r w:rsidRPr="00DB4558">
        <w:rPr>
          <w:rFonts w:cs="Arial"/>
          <w:rtl/>
        </w:rPr>
        <w:t xml:space="preserve"> שבסוף הוא זכה בהן</w:t>
      </w:r>
      <w:r>
        <w:rPr>
          <w:rStyle w:val="a7"/>
          <w:rFonts w:cs="Arial"/>
          <w:rtl/>
        </w:rPr>
        <w:footnoteReference w:id="246"/>
      </w:r>
      <w:r>
        <w:rPr>
          <w:rFonts w:cs="Arial" w:hint="cs"/>
          <w:rtl/>
        </w:rPr>
        <w:t>...</w:t>
      </w:r>
      <w:r w:rsidRPr="00DB4558">
        <w:rPr>
          <w:rFonts w:cs="Arial"/>
          <w:rtl/>
        </w:rPr>
        <w:t xml:space="preserve"> </w:t>
      </w:r>
      <w:r w:rsidRPr="00DB4558">
        <w:rPr>
          <w:rFonts w:cs="Arial"/>
          <w:u w:val="single"/>
          <w:rtl/>
        </w:rPr>
        <w:t>אמר ר' יוסי</w:t>
      </w:r>
      <w:r>
        <w:rPr>
          <w:rFonts w:cs="Arial" w:hint="cs"/>
          <w:rtl/>
        </w:rPr>
        <w:t>:</w:t>
      </w:r>
      <w:r w:rsidRPr="00F93A12">
        <w:rPr>
          <w:rFonts w:cs="Arial"/>
          <w:rtl/>
        </w:rPr>
        <w:t xml:space="preserve"> ואילין דכתבין </w:t>
      </w:r>
      <w:r>
        <w:rPr>
          <w:rFonts w:cs="Arial" w:hint="cs"/>
          <w:rtl/>
        </w:rPr>
        <w:t>'</w:t>
      </w:r>
      <w:r w:rsidRPr="00F93A12">
        <w:rPr>
          <w:rFonts w:cs="Arial"/>
          <w:rtl/>
        </w:rPr>
        <w:t>אין מיתת דלא בנין</w:t>
      </w:r>
      <w:r>
        <w:rPr>
          <w:rFonts w:cs="Arial" w:hint="cs"/>
          <w:rtl/>
        </w:rPr>
        <w:t>,</w:t>
      </w:r>
      <w:r w:rsidRPr="00F93A12">
        <w:rPr>
          <w:rFonts w:cs="Arial"/>
          <w:rtl/>
        </w:rPr>
        <w:t xml:space="preserve"> יהא מדלה חזר לבית אביה</w:t>
      </w:r>
      <w:r>
        <w:rPr>
          <w:rFonts w:cs="Arial" w:hint="cs"/>
          <w:rtl/>
        </w:rPr>
        <w:t>'</w:t>
      </w:r>
      <w:r w:rsidRPr="00F93A12">
        <w:rPr>
          <w:rFonts w:cs="Arial"/>
          <w:rtl/>
        </w:rPr>
        <w:t xml:space="preserve"> </w:t>
      </w:r>
      <w:r>
        <w:rPr>
          <w:rFonts w:cs="Arial" w:hint="cs"/>
          <w:rtl/>
        </w:rPr>
        <w:t xml:space="preserve">- </w:t>
      </w:r>
      <w:r w:rsidRPr="00F93A12">
        <w:rPr>
          <w:rFonts w:cs="Arial"/>
          <w:rtl/>
        </w:rPr>
        <w:t>תנאי ממון הוא ותנאו קיים</w:t>
      </w:r>
      <w:r>
        <w:rPr>
          <w:rFonts w:cs="Arial" w:hint="cs"/>
          <w:rtl/>
        </w:rPr>
        <w:t>.</w:t>
      </w:r>
    </w:p>
    <w:p w14:paraId="17BB5056" w14:textId="77777777" w:rsidR="0024756B" w:rsidRPr="00D06DCA" w:rsidRDefault="0024756B" w:rsidP="0024756B">
      <w:pPr>
        <w:rPr>
          <w:rFonts w:cs="Arial"/>
          <w:u w:val="single"/>
          <w:rtl/>
        </w:rPr>
      </w:pPr>
      <w:r>
        <w:rPr>
          <w:rFonts w:cs="Arial" w:hint="cs"/>
          <w:u w:val="single"/>
          <w:rtl/>
        </w:rPr>
        <w:t>בעל ש</w:t>
      </w:r>
      <w:r w:rsidRPr="00D06DCA">
        <w:rPr>
          <w:rFonts w:cs="Arial"/>
          <w:u w:val="single"/>
          <w:rtl/>
        </w:rPr>
        <w:t>התנה ע</w:t>
      </w:r>
      <w:r>
        <w:rPr>
          <w:rFonts w:cs="Arial" w:hint="cs"/>
          <w:u w:val="single"/>
          <w:rtl/>
        </w:rPr>
        <w:t>ם אשתו</w:t>
      </w:r>
      <w:r w:rsidRPr="00D06DCA">
        <w:rPr>
          <w:rFonts w:cs="Arial"/>
          <w:u w:val="single"/>
          <w:rtl/>
        </w:rPr>
        <w:t xml:space="preserve"> שלא יירשנה</w:t>
      </w:r>
      <w:r w:rsidRPr="00D06DCA">
        <w:rPr>
          <w:rFonts w:cs="Arial" w:hint="cs"/>
          <w:u w:val="single"/>
          <w:rtl/>
        </w:rPr>
        <w:t>:</w:t>
      </w:r>
    </w:p>
    <w:p w14:paraId="0805B0E9" w14:textId="77777777" w:rsidR="0024756B" w:rsidRPr="0067455C" w:rsidRDefault="0024756B" w:rsidP="009000E3">
      <w:pPr>
        <w:pStyle w:val="ab"/>
        <w:numPr>
          <w:ilvl w:val="0"/>
          <w:numId w:val="23"/>
        </w:numPr>
        <w:rPr>
          <w:rFonts w:cs="Arial"/>
          <w:rtl/>
        </w:rPr>
      </w:pPr>
      <w:r>
        <w:rPr>
          <w:rFonts w:cs="Arial" w:hint="cs"/>
          <w:rtl/>
        </w:rPr>
        <w:t>רי"ף רמב"ם רמב"ן רשב"א רא"ש ור"ן</w:t>
      </w:r>
      <w:r>
        <w:rPr>
          <w:rStyle w:val="a7"/>
          <w:rFonts w:cs="Arial"/>
          <w:rtl/>
        </w:rPr>
        <w:footnoteReference w:id="247"/>
      </w:r>
      <w:r>
        <w:rPr>
          <w:rFonts w:cs="Arial" w:hint="cs"/>
          <w:rtl/>
        </w:rPr>
        <w:t xml:space="preserve">- </w:t>
      </w:r>
      <w:r w:rsidRPr="00F93A12">
        <w:rPr>
          <w:rFonts w:cs="Arial"/>
          <w:rtl/>
        </w:rPr>
        <w:t xml:space="preserve">התנה עמה שלא יירשנה </w:t>
      </w:r>
      <w:r>
        <w:rPr>
          <w:rFonts w:cs="Arial" w:hint="cs"/>
          <w:rtl/>
        </w:rPr>
        <w:t xml:space="preserve">- </w:t>
      </w:r>
      <w:r w:rsidRPr="00F93A12">
        <w:rPr>
          <w:rFonts w:cs="Arial"/>
          <w:rtl/>
        </w:rPr>
        <w:t>הרי זה לא יירשנה</w:t>
      </w:r>
      <w:r>
        <w:rPr>
          <w:rFonts w:cs="Arial" w:hint="cs"/>
          <w:rtl/>
        </w:rPr>
        <w:t>,</w:t>
      </w:r>
      <w:r w:rsidRPr="00F93A12">
        <w:rPr>
          <w:rFonts w:cs="Arial"/>
          <w:rtl/>
        </w:rPr>
        <w:t xml:space="preserve"> אבל אוכל פירות בחייה</w:t>
      </w:r>
      <w:r>
        <w:rPr>
          <w:rFonts w:cs="Arial" w:hint="cs"/>
          <w:rtl/>
        </w:rPr>
        <w:t>.</w:t>
      </w:r>
      <w:r w:rsidRPr="00F93A12">
        <w:rPr>
          <w:rFonts w:cs="Arial"/>
          <w:rtl/>
        </w:rPr>
        <w:t xml:space="preserve"> וכן אם התנה עמה שיירש מקצת נכסים</w:t>
      </w:r>
      <w:r>
        <w:rPr>
          <w:rFonts w:cs="Arial" w:hint="cs"/>
          <w:rtl/>
        </w:rPr>
        <w:t>,</w:t>
      </w:r>
      <w:r w:rsidRPr="00F93A12">
        <w:rPr>
          <w:rFonts w:cs="Arial"/>
          <w:rtl/>
        </w:rPr>
        <w:t xml:space="preserve"> וכן אם התנה עמה שאם מתה בלא בנים יחזרו נכסים לבית אביה </w:t>
      </w:r>
      <w:r>
        <w:rPr>
          <w:rFonts w:cs="Arial" w:hint="cs"/>
          <w:rtl/>
        </w:rPr>
        <w:t xml:space="preserve">- </w:t>
      </w:r>
      <w:r w:rsidRPr="00F93A12">
        <w:rPr>
          <w:rFonts w:cs="Arial"/>
          <w:rtl/>
        </w:rPr>
        <w:t>הכל קיים</w:t>
      </w:r>
      <w:r>
        <w:rPr>
          <w:rFonts w:cs="Arial" w:hint="cs"/>
          <w:rtl/>
        </w:rPr>
        <w:t>.</w:t>
      </w:r>
      <w:r w:rsidRPr="00F93A12">
        <w:rPr>
          <w:rFonts w:cs="Arial"/>
          <w:rtl/>
        </w:rPr>
        <w:t xml:space="preserve"> במה דברים אמורים שהתנה עמה קודם שתנשא</w:t>
      </w:r>
      <w:r>
        <w:rPr>
          <w:rFonts w:cs="Arial" w:hint="cs"/>
          <w:rtl/>
        </w:rPr>
        <w:t>,</w:t>
      </w:r>
      <w:r w:rsidRPr="00F93A12">
        <w:rPr>
          <w:rFonts w:cs="Arial"/>
          <w:rtl/>
        </w:rPr>
        <w:t xml:space="preserve"> שהנחלה הבאה לו לאדם שלא ממשפחתו מתנה עליה שלא יירשנה קודם שתהא ראויה לו</w:t>
      </w:r>
      <w:r>
        <w:rPr>
          <w:rFonts w:cs="Arial" w:hint="cs"/>
          <w:rtl/>
        </w:rPr>
        <w:t>,</w:t>
      </w:r>
      <w:r w:rsidRPr="00F93A12">
        <w:rPr>
          <w:rFonts w:cs="Arial"/>
          <w:rtl/>
        </w:rPr>
        <w:t xml:space="preserve"> אבל אם התנה עמה אחר שנשאת </w:t>
      </w:r>
      <w:r>
        <w:rPr>
          <w:rFonts w:cs="Arial" w:hint="cs"/>
          <w:rtl/>
        </w:rPr>
        <w:t xml:space="preserve">- </w:t>
      </w:r>
      <w:r w:rsidRPr="00F93A12">
        <w:rPr>
          <w:rFonts w:cs="Arial"/>
          <w:rtl/>
        </w:rPr>
        <w:t xml:space="preserve">תנאו בטל ויירשנה כמו שביארנו </w:t>
      </w:r>
      <w:r w:rsidRPr="00B46535">
        <w:rPr>
          <w:rFonts w:cs="Arial"/>
          <w:sz w:val="16"/>
          <w:szCs w:val="16"/>
          <w:rtl/>
        </w:rPr>
        <w:t>(</w:t>
      </w:r>
      <w:r>
        <w:rPr>
          <w:rFonts w:cs="Arial" w:hint="cs"/>
          <w:sz w:val="16"/>
          <w:szCs w:val="16"/>
          <w:rtl/>
        </w:rPr>
        <w:t>ב</w:t>
      </w:r>
      <w:r w:rsidRPr="00B46535">
        <w:rPr>
          <w:rFonts w:cs="Arial"/>
          <w:sz w:val="16"/>
          <w:szCs w:val="16"/>
          <w:rtl/>
        </w:rPr>
        <w:t>פי"ב ה"ט)</w:t>
      </w:r>
      <w:r>
        <w:rPr>
          <w:rFonts w:cs="Arial" w:hint="cs"/>
          <w:rtl/>
        </w:rPr>
        <w:t>.</w:t>
      </w:r>
      <w:r w:rsidRPr="00F93A12">
        <w:rPr>
          <w:rFonts w:cs="Arial"/>
          <w:rtl/>
        </w:rPr>
        <w:t xml:space="preserve"> התנה עמה אחר נישואין שלא יהיה לו דין ודברים בנכסיה ולא בפירי פירותיה עד עולם בחייה ובמותה </w:t>
      </w:r>
      <w:r>
        <w:rPr>
          <w:rFonts w:cs="Arial" w:hint="cs"/>
          <w:rtl/>
        </w:rPr>
        <w:t xml:space="preserve">- </w:t>
      </w:r>
      <w:r w:rsidRPr="00F93A12">
        <w:rPr>
          <w:rFonts w:cs="Arial"/>
          <w:rtl/>
        </w:rPr>
        <w:t>הרי זה אינו אוכל פירות כלל</w:t>
      </w:r>
      <w:r>
        <w:rPr>
          <w:rFonts w:cs="Arial" w:hint="cs"/>
          <w:rtl/>
        </w:rPr>
        <w:t>,</w:t>
      </w:r>
      <w:r w:rsidRPr="00F93A12">
        <w:rPr>
          <w:rFonts w:cs="Arial"/>
          <w:rtl/>
        </w:rPr>
        <w:t xml:space="preserve"> אבל אם מתה </w:t>
      </w:r>
      <w:r>
        <w:rPr>
          <w:rFonts w:cs="Arial" w:hint="cs"/>
          <w:rtl/>
        </w:rPr>
        <w:t xml:space="preserve">- </w:t>
      </w:r>
      <w:r w:rsidRPr="00F93A12">
        <w:rPr>
          <w:rFonts w:cs="Arial"/>
          <w:rtl/>
        </w:rPr>
        <w:t>יירשנה כמו שביארנו</w:t>
      </w:r>
      <w:r>
        <w:rPr>
          <w:rFonts w:cs="Arial" w:hint="cs"/>
          <w:sz w:val="16"/>
          <w:szCs w:val="16"/>
          <w:rtl/>
        </w:rPr>
        <w:t xml:space="preserve"> (ל' הרמב"ם)</w:t>
      </w:r>
      <w:r>
        <w:rPr>
          <w:rStyle w:val="a7"/>
          <w:rFonts w:cs="Arial"/>
          <w:rtl/>
        </w:rPr>
        <w:footnoteReference w:id="248"/>
      </w:r>
      <w:r w:rsidRPr="0067455C">
        <w:rPr>
          <w:rFonts w:cs="Arial" w:hint="cs"/>
          <w:rtl/>
        </w:rPr>
        <w:t>.</w:t>
      </w:r>
    </w:p>
    <w:p w14:paraId="5D60A0ED" w14:textId="039FC936" w:rsidR="0024756B" w:rsidRPr="00FB2DB8" w:rsidRDefault="0024756B" w:rsidP="009000E3">
      <w:pPr>
        <w:pStyle w:val="ab"/>
        <w:numPr>
          <w:ilvl w:val="0"/>
          <w:numId w:val="23"/>
        </w:numPr>
        <w:rPr>
          <w:rFonts w:cs="Arial"/>
          <w:rtl/>
        </w:rPr>
      </w:pPr>
      <w:r>
        <w:rPr>
          <w:rFonts w:cs="Arial" w:hint="cs"/>
          <w:rtl/>
        </w:rPr>
        <w:t xml:space="preserve">בה"ג </w:t>
      </w:r>
      <w:r>
        <w:rPr>
          <w:rFonts w:cs="Arial" w:hint="cs"/>
          <w:sz w:val="16"/>
          <w:szCs w:val="16"/>
          <w:rtl/>
        </w:rPr>
        <w:t xml:space="preserve"> (כ"כ הרא"ש [שם] בשמו)</w:t>
      </w:r>
      <w:r>
        <w:rPr>
          <w:rFonts w:cs="Arial" w:hint="cs"/>
          <w:rtl/>
        </w:rPr>
        <w:t xml:space="preserve"> ר"ח </w:t>
      </w:r>
      <w:r>
        <w:rPr>
          <w:rFonts w:cs="Arial" w:hint="cs"/>
          <w:sz w:val="16"/>
          <w:szCs w:val="16"/>
          <w:rtl/>
        </w:rPr>
        <w:t>(כ"כ הרא"ש [שם] בשמו)</w:t>
      </w:r>
      <w:r>
        <w:rPr>
          <w:rFonts w:cs="Arial" w:hint="cs"/>
          <w:rtl/>
        </w:rPr>
        <w:t xml:space="preserve"> </w:t>
      </w:r>
      <w:r w:rsidR="00F91D4F">
        <w:rPr>
          <w:rFonts w:cs="Arial" w:hint="cs"/>
          <w:rtl/>
        </w:rPr>
        <w:t>ו</w:t>
      </w:r>
      <w:r>
        <w:rPr>
          <w:rFonts w:cs="Arial" w:hint="cs"/>
          <w:rtl/>
        </w:rPr>
        <w:t xml:space="preserve">ר"י </w:t>
      </w:r>
      <w:r>
        <w:rPr>
          <w:rFonts w:cs="Arial" w:hint="cs"/>
          <w:sz w:val="16"/>
          <w:szCs w:val="16"/>
          <w:rtl/>
        </w:rPr>
        <w:t>(כ"כ הרא"ש [שם] בשמו)</w:t>
      </w:r>
      <w:r>
        <w:rPr>
          <w:rFonts w:cs="Arial" w:hint="cs"/>
          <w:rtl/>
        </w:rPr>
        <w:t>- הלכה כרשב"ג</w:t>
      </w:r>
      <w:r>
        <w:rPr>
          <w:rStyle w:val="a7"/>
          <w:rFonts w:cs="Arial"/>
          <w:rtl/>
        </w:rPr>
        <w:footnoteReference w:id="249"/>
      </w:r>
      <w:r>
        <w:rPr>
          <w:rFonts w:cs="Arial" w:hint="cs"/>
          <w:rtl/>
        </w:rPr>
        <w:t>.</w:t>
      </w:r>
      <w:r w:rsidRPr="00AD30D1">
        <w:rPr>
          <w:rFonts w:cs="Arial"/>
          <w:rtl/>
        </w:rPr>
        <w:t xml:space="preserve"> </w:t>
      </w:r>
    </w:p>
    <w:p w14:paraId="7C587359" w14:textId="5A8AAD66" w:rsidR="0024756B" w:rsidRDefault="0024756B" w:rsidP="009000E3">
      <w:pPr>
        <w:pStyle w:val="ab"/>
        <w:numPr>
          <w:ilvl w:val="0"/>
          <w:numId w:val="22"/>
        </w:numPr>
        <w:rPr>
          <w:rFonts w:cs="Arial"/>
        </w:rPr>
      </w:pPr>
      <w:r w:rsidRPr="00F93A12">
        <w:rPr>
          <w:rFonts w:cs="Arial" w:hint="cs"/>
          <w:rtl/>
        </w:rPr>
        <w:t xml:space="preserve">ב"י- </w:t>
      </w:r>
      <w:r w:rsidRPr="00F93A12">
        <w:rPr>
          <w:rFonts w:cs="Arial"/>
          <w:rtl/>
        </w:rPr>
        <w:t>והשתא כיון דהרי"ף והרמב"ם והרא"ש והרמב"ן והרשב"א ז"ל הסכימו שאם קודם נישואין מתנה עמה שלא יירשנה תנאו קיים</w:t>
      </w:r>
      <w:r w:rsidRPr="00F93A12">
        <w:rPr>
          <w:rFonts w:cs="Arial" w:hint="cs"/>
          <w:rtl/>
        </w:rPr>
        <w:t xml:space="preserve"> -</w:t>
      </w:r>
      <w:r w:rsidRPr="00F93A12">
        <w:rPr>
          <w:rFonts w:cs="Arial"/>
          <w:rtl/>
        </w:rPr>
        <w:t xml:space="preserve"> פשיטא דהכי נקטינן</w:t>
      </w:r>
      <w:r>
        <w:rPr>
          <w:rStyle w:val="a7"/>
          <w:rFonts w:cs="Arial"/>
          <w:rtl/>
        </w:rPr>
        <w:footnoteReference w:id="250"/>
      </w:r>
      <w:r w:rsidRPr="00F93A12">
        <w:rPr>
          <w:rFonts w:cs="Arial" w:hint="cs"/>
          <w:rtl/>
        </w:rPr>
        <w:t>.</w:t>
      </w:r>
      <w:r w:rsidRPr="00D70827">
        <w:rPr>
          <w:rFonts w:cs="Arial"/>
          <w:color w:val="E36C0A" w:themeColor="accent6" w:themeShade="BF"/>
          <w:rtl/>
        </w:rPr>
        <w:t xml:space="preserve"> </w:t>
      </w:r>
      <w:r w:rsidR="00D70827" w:rsidRPr="00D70827">
        <w:rPr>
          <w:rFonts w:cs="Arial" w:hint="cs"/>
          <w:color w:val="E36C0A" w:themeColor="accent6" w:themeShade="BF"/>
          <w:rtl/>
        </w:rPr>
        <w:t>(וכ"פ בשו"ע)</w:t>
      </w:r>
    </w:p>
    <w:p w14:paraId="14050EFB" w14:textId="4C1A8B73" w:rsidR="00D70827" w:rsidRDefault="00D70827" w:rsidP="00D70827">
      <w:pPr>
        <w:rPr>
          <w:rFonts w:cs="Arial"/>
          <w:rtl/>
        </w:rPr>
      </w:pPr>
      <w:r w:rsidRPr="00D70827">
        <w:rPr>
          <w:rFonts w:cs="Arial" w:hint="cs"/>
          <w:b/>
          <w:bCs/>
          <w:rtl/>
        </w:rPr>
        <w:t xml:space="preserve">תנא דבי אליהו רבה פרשה יב: </w:t>
      </w:r>
      <w:r>
        <w:rPr>
          <w:rFonts w:cs="Arial" w:hint="cs"/>
          <w:rtl/>
        </w:rPr>
        <w:t xml:space="preserve"> </w:t>
      </w:r>
      <w:r w:rsidRPr="00D70827">
        <w:rPr>
          <w:rFonts w:cs="Arial"/>
          <w:rtl/>
        </w:rPr>
        <w:t>ושכרה של יעל אשת חבר הקיני שעשתה רצון בעלה לפיכך באתה תשועה גדולה על ידה.</w:t>
      </w:r>
    </w:p>
    <w:p w14:paraId="316491D8" w14:textId="23F6C561" w:rsidR="00D70827" w:rsidRPr="00D70827" w:rsidRDefault="00D70827" w:rsidP="00D70827">
      <w:pPr>
        <w:rPr>
          <w:rFonts w:cs="Arial"/>
        </w:rPr>
      </w:pPr>
      <w:r w:rsidRPr="00D70827">
        <w:rPr>
          <w:rFonts w:cs="Arial" w:hint="cs"/>
          <w:b/>
          <w:bCs/>
          <w:rtl/>
        </w:rPr>
        <w:t>ילקו</w:t>
      </w:r>
      <w:r>
        <w:rPr>
          <w:rFonts w:cs="Arial" w:hint="cs"/>
          <w:b/>
          <w:bCs/>
          <w:rtl/>
        </w:rPr>
        <w:t xml:space="preserve">ט </w:t>
      </w:r>
      <w:r w:rsidRPr="00D70827">
        <w:rPr>
          <w:rFonts w:cs="Arial" w:hint="cs"/>
          <w:b/>
          <w:bCs/>
          <w:rtl/>
        </w:rPr>
        <w:t>ש</w:t>
      </w:r>
      <w:r>
        <w:rPr>
          <w:rFonts w:cs="Arial" w:hint="cs"/>
          <w:b/>
          <w:bCs/>
          <w:rtl/>
        </w:rPr>
        <w:t>מעוני</w:t>
      </w:r>
      <w:r w:rsidRPr="00D70827">
        <w:rPr>
          <w:rFonts w:cs="Arial" w:hint="cs"/>
          <w:b/>
          <w:bCs/>
          <w:rtl/>
        </w:rPr>
        <w:t xml:space="preserve"> שופטים רמז מב: </w:t>
      </w:r>
      <w:r w:rsidRPr="00D70827">
        <w:rPr>
          <w:rFonts w:cs="Arial"/>
          <w:rtl/>
        </w:rPr>
        <w:t>וכי מה טיבה של יעל שבאת תשועה גדולה על ידה אמרו אשה כשרה היתה ועושה רצון בעלה מכאן אמרו אין לך אשה כשרה בנשים אלא אשה שהיא עושה רצון בעלה</w:t>
      </w:r>
      <w:r>
        <w:rPr>
          <w:rFonts w:cs="Arial" w:hint="cs"/>
          <w:rtl/>
        </w:rPr>
        <w:t>.</w:t>
      </w:r>
      <w:r w:rsidRPr="00D70827">
        <w:rPr>
          <w:rFonts w:cs="Arial" w:hint="cs"/>
          <w:sz w:val="16"/>
          <w:szCs w:val="16"/>
          <w:rtl/>
        </w:rPr>
        <w:t xml:space="preserve"> </w:t>
      </w:r>
      <w:r>
        <w:rPr>
          <w:rFonts w:cs="Arial" w:hint="cs"/>
          <w:sz w:val="16"/>
          <w:szCs w:val="16"/>
          <w:rtl/>
        </w:rPr>
        <w:t>(</w:t>
      </w:r>
      <w:r w:rsidRPr="00D70827">
        <w:rPr>
          <w:rFonts w:cs="Arial" w:hint="cs"/>
          <w:sz w:val="16"/>
          <w:szCs w:val="16"/>
          <w:rtl/>
        </w:rPr>
        <w:t>וכ"כ הגה"מ (</w:t>
      </w:r>
      <w:r w:rsidRPr="00D70827">
        <w:rPr>
          <w:rFonts w:cs="Arial"/>
          <w:sz w:val="16"/>
          <w:szCs w:val="16"/>
          <w:rtl/>
        </w:rPr>
        <w:t>פט"ו</w:t>
      </w:r>
      <w:r w:rsidRPr="00D70827">
        <w:rPr>
          <w:rFonts w:cs="Arial" w:hint="cs"/>
          <w:sz w:val="16"/>
          <w:szCs w:val="16"/>
          <w:rtl/>
        </w:rPr>
        <w:t xml:space="preserve"> </w:t>
      </w:r>
      <w:r w:rsidRPr="00D70827">
        <w:rPr>
          <w:rFonts w:cs="Arial"/>
          <w:sz w:val="16"/>
          <w:szCs w:val="16"/>
          <w:rtl/>
        </w:rPr>
        <w:t>אות ס)</w:t>
      </w:r>
      <w:r w:rsidRPr="00D70827">
        <w:rPr>
          <w:rFonts w:cs="Arial" w:hint="cs"/>
          <w:sz w:val="16"/>
          <w:szCs w:val="16"/>
          <w:rtl/>
        </w:rPr>
        <w:t>, והביאו הדרכ"מ (אות ד)</w:t>
      </w:r>
      <w:r>
        <w:rPr>
          <w:rFonts w:cs="Arial" w:hint="cs"/>
          <w:sz w:val="16"/>
          <w:szCs w:val="16"/>
          <w:rtl/>
        </w:rPr>
        <w:t>.</w:t>
      </w:r>
      <w:r w:rsidRPr="00D70827">
        <w:rPr>
          <w:rFonts w:cs="Arial" w:hint="cs"/>
          <w:sz w:val="16"/>
          <w:szCs w:val="16"/>
          <w:rtl/>
        </w:rPr>
        <w:t xml:space="preserve"> </w:t>
      </w:r>
      <w:r w:rsidRPr="00D70827">
        <w:rPr>
          <w:rFonts w:cs="Arial" w:hint="cs"/>
          <w:color w:val="00B0F0"/>
          <w:sz w:val="16"/>
          <w:szCs w:val="16"/>
          <w:rtl/>
        </w:rPr>
        <w:t>וכ"כ בהג</w:t>
      </w:r>
      <w:r w:rsidR="00F91D4F">
        <w:rPr>
          <w:rFonts w:cs="Arial" w:hint="cs"/>
          <w:color w:val="00B0F0"/>
          <w:sz w:val="16"/>
          <w:szCs w:val="16"/>
          <w:rtl/>
        </w:rPr>
        <w:t>"</w:t>
      </w:r>
      <w:r w:rsidRPr="00D70827">
        <w:rPr>
          <w:rFonts w:cs="Arial" w:hint="cs"/>
          <w:color w:val="00B0F0"/>
          <w:sz w:val="16"/>
          <w:szCs w:val="16"/>
          <w:rtl/>
        </w:rPr>
        <w:t>ה</w:t>
      </w:r>
      <w:r w:rsidRPr="00D70827">
        <w:rPr>
          <w:rFonts w:cs="Arial" w:hint="cs"/>
          <w:sz w:val="16"/>
          <w:szCs w:val="16"/>
          <w:rtl/>
        </w:rPr>
        <w:t>)</w:t>
      </w:r>
    </w:p>
    <w:p w14:paraId="3404E353" w14:textId="77777777" w:rsidR="00471D63" w:rsidRDefault="00471D63" w:rsidP="00471D63">
      <w:pPr>
        <w:rPr>
          <w:rFonts w:cs="Arial"/>
          <w:rtl/>
        </w:rPr>
      </w:pPr>
      <w:r w:rsidRPr="003024E5">
        <w:rPr>
          <w:rFonts w:asciiTheme="minorBidi" w:hAnsiTheme="minorBidi"/>
          <w:b/>
          <w:bCs/>
          <w:color w:val="000000"/>
          <w:sz w:val="28"/>
          <w:szCs w:val="28"/>
          <w:u w:val="single"/>
          <w:rtl/>
        </w:rPr>
        <w:t>שו"ע:</w:t>
      </w:r>
    </w:p>
    <w:p w14:paraId="05E32F38" w14:textId="0A4986AA" w:rsidR="00973C57" w:rsidRDefault="00973C57" w:rsidP="00973C57">
      <w:pPr>
        <w:rPr>
          <w:rtl/>
        </w:rPr>
      </w:pPr>
      <w:r>
        <w:rPr>
          <w:rFonts w:cs="Arial"/>
          <w:rtl/>
        </w:rPr>
        <w:t xml:space="preserve">זה שאמרנו שאין תנאי מועיל להסתלק מירושתה, היינו במתנה עמה אחר שנשאה או קודם שאירסה, אבל במתנה עמה בעודה ארוסה, מהני. </w:t>
      </w:r>
      <w:r w:rsidR="0024756B">
        <w:rPr>
          <w:rFonts w:cs="Arial" w:hint="cs"/>
          <w:sz w:val="18"/>
          <w:szCs w:val="18"/>
          <w:rtl/>
        </w:rPr>
        <w:t xml:space="preserve">[הגה] </w:t>
      </w:r>
      <w:r w:rsidRPr="0024756B">
        <w:rPr>
          <w:rFonts w:cs="Arial"/>
          <w:sz w:val="18"/>
          <w:szCs w:val="18"/>
          <w:rtl/>
        </w:rPr>
        <w:t>וע"ל סימן צ"ב. אמרו רז"ל: אין לך כשרה בנשים אלא אשה שעושה רצון בעלה (הגה</w:t>
      </w:r>
      <w:r w:rsidR="00F91D4F">
        <w:rPr>
          <w:rFonts w:cs="Arial" w:hint="cs"/>
          <w:sz w:val="18"/>
          <w:szCs w:val="18"/>
          <w:rtl/>
        </w:rPr>
        <w:t>"מ</w:t>
      </w:r>
      <w:r w:rsidRPr="0024756B">
        <w:rPr>
          <w:rFonts w:cs="Arial"/>
          <w:sz w:val="18"/>
          <w:szCs w:val="18"/>
          <w:rtl/>
        </w:rPr>
        <w:t xml:space="preserve"> בשם תנ</w:t>
      </w:r>
      <w:r w:rsidR="00F91D4F">
        <w:rPr>
          <w:rFonts w:cs="Arial" w:hint="cs"/>
          <w:sz w:val="18"/>
          <w:szCs w:val="18"/>
          <w:rtl/>
        </w:rPr>
        <w:t>ד"א</w:t>
      </w:r>
      <w:r w:rsidRPr="0024756B">
        <w:rPr>
          <w:rFonts w:cs="Arial"/>
          <w:sz w:val="18"/>
          <w:szCs w:val="18"/>
          <w:rtl/>
        </w:rPr>
        <w:t>).</w:t>
      </w:r>
    </w:p>
    <w:p w14:paraId="6C7BD0D7" w14:textId="77777777" w:rsidR="00973C57" w:rsidRDefault="00973C57" w:rsidP="00971CA9">
      <w:pPr>
        <w:pStyle w:val="1"/>
        <w:rPr>
          <w:rtl/>
        </w:rPr>
        <w:sectPr w:rsidR="00973C57" w:rsidSect="00A347B3">
          <w:headerReference w:type="default" r:id="rId12"/>
          <w:footnotePr>
            <w:numRestart w:val="eachSect"/>
          </w:footnotePr>
          <w:pgSz w:w="11906" w:h="16838"/>
          <w:pgMar w:top="720" w:right="1134" w:bottom="720" w:left="1134" w:header="0" w:footer="0" w:gutter="0"/>
          <w:cols w:space="720"/>
          <w:bidi/>
          <w:rtlGutter/>
          <w:docGrid w:linePitch="360"/>
        </w:sectPr>
      </w:pPr>
    </w:p>
    <w:p w14:paraId="69739CD1" w14:textId="3932C9FD" w:rsidR="00971CA9" w:rsidRDefault="00971CA9" w:rsidP="00971CA9">
      <w:pPr>
        <w:pStyle w:val="1"/>
        <w:rPr>
          <w:rtl/>
        </w:rPr>
      </w:pPr>
      <w:r>
        <w:rPr>
          <w:rFonts w:hint="cs"/>
          <w:rtl/>
        </w:rPr>
        <w:lastRenderedPageBreak/>
        <w:t xml:space="preserve">סימן ע: </w:t>
      </w:r>
      <w:r>
        <w:rPr>
          <w:rtl/>
        </w:rPr>
        <w:t xml:space="preserve">דין חיוב מזונות אשתו ואם חייב להשכיר עצמו, ובו י"ב סעיפים. </w:t>
      </w:r>
    </w:p>
    <w:p w14:paraId="1353E5A1" w14:textId="0A01BDF7" w:rsidR="00971CA9" w:rsidRDefault="00971CA9" w:rsidP="000F64D0">
      <w:pPr>
        <w:pStyle w:val="2"/>
        <w:rPr>
          <w:rtl/>
        </w:rPr>
      </w:pPr>
      <w:r>
        <w:rPr>
          <w:rtl/>
        </w:rPr>
        <w:t>סעיף א</w:t>
      </w:r>
      <w:r w:rsidR="00D6322E">
        <w:rPr>
          <w:rFonts w:hint="cs"/>
          <w:rtl/>
        </w:rPr>
        <w:t>:</w:t>
      </w:r>
      <w:r w:rsidR="00F32736">
        <w:rPr>
          <w:rFonts w:hint="cs"/>
          <w:rtl/>
        </w:rPr>
        <w:t xml:space="preserve"> חיוב מזונות אשתו.</w:t>
      </w:r>
    </w:p>
    <w:p w14:paraId="2F4C46BD" w14:textId="402CFF0E" w:rsidR="009C1E95" w:rsidRDefault="009C1E95" w:rsidP="009C1E95">
      <w:pPr>
        <w:rPr>
          <w:rFonts w:cs="Arial"/>
          <w:rtl/>
        </w:rPr>
      </w:pPr>
      <w:r w:rsidRPr="006C3CF4">
        <w:rPr>
          <w:rFonts w:cs="Arial" w:hint="cs"/>
          <w:b/>
          <w:bCs/>
          <w:rtl/>
        </w:rPr>
        <w:t>כתובות</w:t>
      </w:r>
      <w:r w:rsidR="00803720">
        <w:rPr>
          <w:rFonts w:cs="Arial" w:hint="cs"/>
          <w:b/>
          <w:bCs/>
          <w:rtl/>
        </w:rPr>
        <w:t xml:space="preserve"> </w:t>
      </w:r>
      <w:r w:rsidR="00803720">
        <w:rPr>
          <w:rFonts w:cs="Arial" w:hint="cs"/>
          <w:b/>
          <w:bCs/>
          <w:sz w:val="16"/>
          <w:szCs w:val="16"/>
          <w:rtl/>
        </w:rPr>
        <w:t>(ר"פ המדיר)</w:t>
      </w:r>
      <w:r w:rsidRPr="006C3CF4">
        <w:rPr>
          <w:rFonts w:cs="Arial" w:hint="cs"/>
          <w:b/>
          <w:bCs/>
          <w:rtl/>
        </w:rPr>
        <w:t xml:space="preserve"> ע ע"</w:t>
      </w:r>
      <w:r>
        <w:rPr>
          <w:rFonts w:cs="Arial" w:hint="cs"/>
          <w:b/>
          <w:bCs/>
          <w:rtl/>
        </w:rPr>
        <w:t>א</w:t>
      </w:r>
      <w:r w:rsidRPr="006C3CF4">
        <w:rPr>
          <w:rFonts w:cs="Arial" w:hint="cs"/>
          <w:b/>
          <w:bCs/>
          <w:rtl/>
        </w:rPr>
        <w:t xml:space="preserve">: </w:t>
      </w:r>
      <w:r w:rsidR="005D047B" w:rsidRPr="005D047B">
        <w:rPr>
          <w:rFonts w:cs="Arial"/>
          <w:u w:val="double"/>
          <w:rtl/>
        </w:rPr>
        <w:t>מתני'</w:t>
      </w:r>
      <w:r w:rsidR="005D047B">
        <w:rPr>
          <w:rFonts w:cs="Arial" w:hint="cs"/>
          <w:rtl/>
        </w:rPr>
        <w:t>:</w:t>
      </w:r>
      <w:r w:rsidR="005D047B" w:rsidRPr="005D047B">
        <w:rPr>
          <w:rFonts w:cs="Arial"/>
          <w:rtl/>
        </w:rPr>
        <w:t xml:space="preserve"> המדיר את אשתו מליהנות לו, עד ל' יום - יעמיד פרנס, יתר מיכן - יוציא ויתן כתובה</w:t>
      </w:r>
      <w:r w:rsidR="005D047B">
        <w:rPr>
          <w:rFonts w:cs="Arial" w:hint="cs"/>
          <w:rtl/>
        </w:rPr>
        <w:t>...</w:t>
      </w:r>
      <w:r w:rsidR="005D047B" w:rsidRPr="005D047B">
        <w:rPr>
          <w:rFonts w:cs="Arial"/>
          <w:rtl/>
        </w:rPr>
        <w:t xml:space="preserve"> </w:t>
      </w:r>
      <w:r w:rsidR="005D047B">
        <w:rPr>
          <w:rFonts w:cs="Arial" w:hint="cs"/>
          <w:rtl/>
        </w:rPr>
        <w:t xml:space="preserve">    </w:t>
      </w:r>
      <w:r w:rsidR="005D047B" w:rsidRPr="005D047B">
        <w:rPr>
          <w:rFonts w:cs="Arial" w:hint="cs"/>
          <w:u w:val="double"/>
          <w:rtl/>
        </w:rPr>
        <w:t>גמ'</w:t>
      </w:r>
      <w:r w:rsidR="005D047B">
        <w:rPr>
          <w:rFonts w:cs="Arial" w:hint="cs"/>
          <w:rtl/>
        </w:rPr>
        <w:t xml:space="preserve">: </w:t>
      </w:r>
      <w:r w:rsidRPr="009C1E95">
        <w:rPr>
          <w:rFonts w:cs="Arial"/>
          <w:rtl/>
        </w:rPr>
        <w:t>וכיון דמשועבד לה היכי מצי מדיר לה? כל כמיניה דמפקע לה לשיעבודה? והתנן: קונם שאיני עושה לפיך - אינו צריך להפר; אלמא כיון דמשעבדא ליה לאו כל כמינה דמפקע ליה לשיעבודיה, הכא נמי כיון דמשועבד לה לאו כל כמיניה דמפקע לה לשיעבודה! אלא, מתוך שיכול לומר לה צאי מעשה ידיך במזונותיך,</w:t>
      </w:r>
      <w:r>
        <w:rPr>
          <w:rFonts w:cs="Arial" w:hint="cs"/>
          <w:rtl/>
        </w:rPr>
        <w:t xml:space="preserve"> </w:t>
      </w:r>
      <w:r>
        <w:rPr>
          <w:rFonts w:cs="Arial" w:hint="cs"/>
          <w:sz w:val="14"/>
          <w:szCs w:val="14"/>
          <w:rtl/>
        </w:rPr>
        <w:t>(ע:)</w:t>
      </w:r>
      <w:r w:rsidRPr="009C1E95">
        <w:rPr>
          <w:rtl/>
        </w:rPr>
        <w:t xml:space="preserve"> </w:t>
      </w:r>
      <w:r w:rsidRPr="009C1E95">
        <w:rPr>
          <w:rFonts w:cs="Arial"/>
          <w:rtl/>
        </w:rPr>
        <w:t>נעשה כאומר לה צאי מעשה ידיך במזונותיך. ואם איתא להא דרב הונא אמר רב, דא"ר הונא אמר רב: יכולה אשה שתאמר לבעלה איני ניזונת ואיני עושה, קונם שאני עושה לפיך</w:t>
      </w:r>
      <w:r w:rsidR="00B06F2D">
        <w:rPr>
          <w:rFonts w:cs="Arial" w:hint="cs"/>
          <w:rtl/>
        </w:rPr>
        <w:t>,</w:t>
      </w:r>
      <w:r w:rsidRPr="009C1E95">
        <w:rPr>
          <w:rFonts w:cs="Arial"/>
          <w:rtl/>
        </w:rPr>
        <w:t xml:space="preserve"> אמאי אינו צריך להפר? לימא: מתוך שיכולה לומר איני ניזונת ואיני עושה, נעשה כמי שאומרת לו איני ניזונת ואיני עושה: אלא, לא תימא נעשה - אלא באומר לה צאי מעשה ידיך במזונותיך. אי הכי, פרנס למה לה? בדלא ספקה. אי בדלא ספקה, הדר קושיין לדוכתיה! </w:t>
      </w:r>
      <w:r w:rsidRPr="009C1E95">
        <w:rPr>
          <w:rFonts w:cs="Arial"/>
          <w:u w:val="single"/>
          <w:rtl/>
        </w:rPr>
        <w:t>א"ר אשי</w:t>
      </w:r>
      <w:r w:rsidRPr="006C3CF4">
        <w:rPr>
          <w:rFonts w:cs="Arial"/>
          <w:rtl/>
        </w:rPr>
        <w:t xml:space="preserve">: במספקת לדברים גדולים, ואינה מספקת לדברים קטנים. הני דברים קטנים היכי דמי? אי דרגילה בהו, הא רגילה בהו! ואי לא רגילה בהו, פרנס למה לה? לא צריכא, דרגילה בבית נשא וקא מגלגלא בהדיה, דאמרה ליה: עד האידנא דלא אדרתן גלגילנא בהדך, השתא דאדרתן לא מצינא דאיגלגל בהדך. </w:t>
      </w:r>
      <w:r w:rsidR="005D047B" w:rsidRPr="005D047B">
        <w:rPr>
          <w:rFonts w:cs="Arial"/>
          <w:rtl/>
        </w:rPr>
        <w:t>ומאי שנא עד ל' יום? עד ל' יום לא שמעי בה אינשי ולא זילא בה מילתא, טפי - שמעי בה אינשי וזילא בה מילתא.</w:t>
      </w:r>
    </w:p>
    <w:p w14:paraId="717C458D" w14:textId="2205232E" w:rsidR="00513959" w:rsidRDefault="00513959" w:rsidP="00513959">
      <w:pPr>
        <w:rPr>
          <w:rFonts w:cs="Arial"/>
          <w:rtl/>
        </w:rPr>
      </w:pPr>
      <w:r w:rsidRPr="006C3CF4">
        <w:rPr>
          <w:rFonts w:cs="Arial" w:hint="cs"/>
          <w:b/>
          <w:bCs/>
          <w:rtl/>
        </w:rPr>
        <w:t xml:space="preserve">כתובות </w:t>
      </w:r>
      <w:r w:rsidR="00803720">
        <w:rPr>
          <w:rFonts w:cs="Arial" w:hint="cs"/>
          <w:b/>
          <w:bCs/>
          <w:sz w:val="16"/>
          <w:szCs w:val="16"/>
          <w:rtl/>
        </w:rPr>
        <w:t xml:space="preserve">(ס"פ אף על פי) </w:t>
      </w:r>
      <w:r w:rsidRPr="006C3CF4">
        <w:rPr>
          <w:rFonts w:cs="Arial" w:hint="cs"/>
          <w:b/>
          <w:bCs/>
          <w:rtl/>
        </w:rPr>
        <w:t>סד</w:t>
      </w:r>
      <w:r w:rsidR="00813202">
        <w:rPr>
          <w:rStyle w:val="a7"/>
          <w:rFonts w:cs="Arial"/>
          <w:b/>
          <w:bCs/>
          <w:rtl/>
        </w:rPr>
        <w:footnoteReference w:id="251"/>
      </w:r>
      <w:r w:rsidRPr="006C3CF4">
        <w:rPr>
          <w:rFonts w:cs="Arial" w:hint="cs"/>
          <w:b/>
          <w:bCs/>
          <w:rtl/>
        </w:rPr>
        <w:t xml:space="preserve"> ע"ב: </w:t>
      </w:r>
      <w:r w:rsidRPr="00E36B8D">
        <w:rPr>
          <w:rFonts w:cs="Arial"/>
          <w:u w:val="double"/>
          <w:rtl/>
        </w:rPr>
        <w:t>מתני'</w:t>
      </w:r>
      <w:r w:rsidR="00E36B8D">
        <w:rPr>
          <w:rFonts w:cs="Arial" w:hint="cs"/>
          <w:rtl/>
        </w:rPr>
        <w:t>:</w:t>
      </w:r>
      <w:r w:rsidRPr="006C3CF4">
        <w:rPr>
          <w:rFonts w:cs="Arial"/>
          <w:rtl/>
        </w:rPr>
        <w:t xml:space="preserve"> המשרה את אשתו על ידי שליש - לא יפחות לה משני קבין חטין או מארבעה קבין שעורין. </w:t>
      </w:r>
      <w:r w:rsidRPr="00B06F2D">
        <w:rPr>
          <w:rFonts w:cs="Arial"/>
          <w:u w:val="single"/>
          <w:rtl/>
        </w:rPr>
        <w:t>אמר רבי יוסי</w:t>
      </w:r>
      <w:r w:rsidRPr="006C3CF4">
        <w:rPr>
          <w:rFonts w:cs="Arial"/>
          <w:rtl/>
        </w:rPr>
        <w:t>: לא פסק לה שעורין אלא ר' ישמעאל, שהיה סמוך לאדום. ונותן לה חצי קב קיטנית וחצי לוג שמן וקב גרוגרות או מנה דבילה, ואם אין לו - פוסק לעומתן פירות ממקום אחר</w:t>
      </w:r>
      <w:r w:rsidR="00B06F2D">
        <w:rPr>
          <w:rFonts w:cs="Arial" w:hint="cs"/>
          <w:rtl/>
        </w:rPr>
        <w:t>.</w:t>
      </w:r>
      <w:r w:rsidRPr="006C3CF4">
        <w:rPr>
          <w:rFonts w:cs="Arial"/>
          <w:rtl/>
        </w:rPr>
        <w:t xml:space="preserve"> ונותן לה מטה מפץ ומחצלת, ונותן לה כפה לראשה וחגור למתניה, ומנעלים ממועד למועד, וכלים של חמשים זוז משנה לשנה. ואין נותנין לה לא חדשים בימות החמה ולא שחקים בימות הגשמים, אלא נותן לה כלים של חמשים זוז בימות הגשמים, והיא מתכסה בבלאותיהן בימות החמה, והשחקים שלה. נותן לה מעה כסף לצורכה</w:t>
      </w:r>
      <w:r w:rsidR="00E36B8D">
        <w:rPr>
          <w:rStyle w:val="a7"/>
          <w:rFonts w:cs="Arial"/>
          <w:rtl/>
        </w:rPr>
        <w:footnoteReference w:id="252"/>
      </w:r>
      <w:r w:rsidRPr="006C3CF4">
        <w:rPr>
          <w:rFonts w:cs="Arial"/>
          <w:rtl/>
        </w:rPr>
        <w:t>. ואוכלת עמו מלילי שבת ללילי שבת</w:t>
      </w:r>
      <w:r w:rsidR="00E36B8D">
        <w:rPr>
          <w:rStyle w:val="a7"/>
          <w:rFonts w:cs="Arial"/>
          <w:rtl/>
        </w:rPr>
        <w:footnoteReference w:id="253"/>
      </w:r>
      <w:r w:rsidRPr="006C3CF4">
        <w:rPr>
          <w:rFonts w:cs="Arial"/>
          <w:rtl/>
        </w:rPr>
        <w:t>. ואם אין נותן לה מעה כסף לצורכה - מעשה ידיה שלה. ומה היא עושה לו? משקל חמש סלעים שתי ביהודה שהן עשר סלעים בגליל, או משקל עשר סלעים ערב ביהודה שהן עשרים סלעים בגליל. ואם היתה מניקה - פוחתין לה ממעשה ידיה ומוסיפין לה על מזונותיה. במה דברים אמורים - בעני שבישראל, אבל במכובד הכל לפי כבודו.</w:t>
      </w:r>
      <w:r>
        <w:rPr>
          <w:rFonts w:cs="Arial" w:hint="cs"/>
          <w:rtl/>
        </w:rPr>
        <w:t xml:space="preserve">..  </w:t>
      </w:r>
      <w:r w:rsidR="009D4C34">
        <w:rPr>
          <w:rFonts w:cs="Arial" w:hint="cs"/>
          <w:rtl/>
        </w:rPr>
        <w:t xml:space="preserve">  </w:t>
      </w:r>
      <w:r>
        <w:rPr>
          <w:rFonts w:cs="Arial" w:hint="cs"/>
          <w:rtl/>
        </w:rPr>
        <w:t xml:space="preserve">  </w:t>
      </w:r>
      <w:r w:rsidRPr="009D4C34">
        <w:rPr>
          <w:rFonts w:cs="Arial" w:hint="cs"/>
          <w:u w:val="double"/>
          <w:rtl/>
        </w:rPr>
        <w:t>גמ'</w:t>
      </w:r>
      <w:r w:rsidR="009D4C34" w:rsidRPr="009D4C34">
        <w:rPr>
          <w:rFonts w:cs="Arial" w:hint="cs"/>
          <w:u w:val="double"/>
          <w:rtl/>
        </w:rPr>
        <w:t>:</w:t>
      </w:r>
      <w:r w:rsidR="009D4C34" w:rsidRPr="009D4C34">
        <w:rPr>
          <w:rFonts w:cs="Arial"/>
          <w:rtl/>
        </w:rPr>
        <w:t xml:space="preserve"> </w:t>
      </w:r>
      <w:r w:rsidR="009D4C34" w:rsidRPr="00A04194">
        <w:rPr>
          <w:rFonts w:cs="Arial"/>
          <w:rtl/>
        </w:rPr>
        <w:t xml:space="preserve">ונותן לה חצי קב קיטנית. ואילו יין לא קתני, מסייע ליה לר' אלעזר, </w:t>
      </w:r>
      <w:r w:rsidR="009D4C34" w:rsidRPr="009D4C34">
        <w:rPr>
          <w:rFonts w:cs="Arial"/>
          <w:u w:val="single"/>
          <w:rtl/>
        </w:rPr>
        <w:t>דאמר ר' אלעזר</w:t>
      </w:r>
      <w:r w:rsidR="009D4C34" w:rsidRPr="00A04194">
        <w:rPr>
          <w:rFonts w:cs="Arial"/>
          <w:rtl/>
        </w:rPr>
        <w:t>:</w:t>
      </w:r>
      <w:r w:rsidR="009D4C34">
        <w:rPr>
          <w:rFonts w:cs="Arial" w:hint="cs"/>
          <w:rtl/>
        </w:rPr>
        <w:t xml:space="preserve"> </w:t>
      </w:r>
      <w:r w:rsidR="009D4C34">
        <w:rPr>
          <w:rFonts w:cs="Arial" w:hint="cs"/>
          <w:sz w:val="14"/>
          <w:szCs w:val="14"/>
          <w:rtl/>
        </w:rPr>
        <w:t>(סה.)</w:t>
      </w:r>
      <w:r w:rsidR="009D4C34">
        <w:rPr>
          <w:rFonts w:cs="Arial" w:hint="cs"/>
          <w:rtl/>
        </w:rPr>
        <w:t xml:space="preserve"> </w:t>
      </w:r>
      <w:r w:rsidR="009D4C34" w:rsidRPr="00365BA7">
        <w:rPr>
          <w:rFonts w:cs="Arial"/>
          <w:rtl/>
        </w:rPr>
        <w:t>אין פוסקין יינות לאשה</w:t>
      </w:r>
      <w:r w:rsidR="009D4C34">
        <w:rPr>
          <w:rFonts w:cs="Arial" w:hint="cs"/>
          <w:rtl/>
        </w:rPr>
        <w:t>.</w:t>
      </w:r>
      <w:r w:rsidR="009D4C34" w:rsidRPr="00365BA7">
        <w:rPr>
          <w:rFonts w:cs="Arial"/>
          <w:rtl/>
        </w:rPr>
        <w:t xml:space="preserve"> ואם תאמר: אלכה אחרי מאהבי נותני לחמי ומימי צמרי ופשתי שמני ושקויי! דברים שהאשה משתוקקת עליהן, ומאי נינהו? תכשיטין. </w:t>
      </w:r>
      <w:r w:rsidR="009D4C34" w:rsidRPr="009D4C34">
        <w:rPr>
          <w:rFonts w:cs="Arial"/>
          <w:u w:val="single"/>
          <w:rtl/>
        </w:rPr>
        <w:t>דרש רבי יהודה איש כפר נביריא, ואמרי לה</w:t>
      </w:r>
      <w:r w:rsidR="009D4C34" w:rsidRPr="009D4C34">
        <w:rPr>
          <w:rFonts w:cs="Arial" w:hint="cs"/>
          <w:u w:val="single"/>
          <w:rtl/>
        </w:rPr>
        <w:t>,</w:t>
      </w:r>
      <w:r w:rsidR="009D4C34" w:rsidRPr="009D4C34">
        <w:rPr>
          <w:rFonts w:cs="Arial"/>
          <w:u w:val="single"/>
          <w:rtl/>
        </w:rPr>
        <w:t xml:space="preserve"> איש כפר נפור חיל</w:t>
      </w:r>
      <w:r w:rsidR="009D4C34" w:rsidRPr="00365BA7">
        <w:rPr>
          <w:rFonts w:cs="Arial"/>
          <w:rtl/>
        </w:rPr>
        <w:t xml:space="preserve">: מנין שאין פוסקין יינות לאשה? שנאמר: ותקם חנה אחרי אכלה בשילה ואחרי שתה, שתה - ולא שתת. אלא מעתה, אכלה - ולא אכל הכי נמי! אנן מדשני קרא בדבוריה קאמרינן, מכדי בגוה קא עסיק ואתי, מאי טעמא שני? ש"מ, שתה - ולא שתת. מיתיבי: רגילה - נותנין לה! רגילה שאני, </w:t>
      </w:r>
      <w:r w:rsidR="009D4C34" w:rsidRPr="009D4C34">
        <w:rPr>
          <w:rFonts w:cs="Arial"/>
          <w:u w:val="single"/>
          <w:rtl/>
        </w:rPr>
        <w:t>דאמר רב חיננא בר כהנא אמר שמואל</w:t>
      </w:r>
      <w:r w:rsidR="009D4C34" w:rsidRPr="00365BA7">
        <w:rPr>
          <w:rFonts w:cs="Arial"/>
          <w:rtl/>
        </w:rPr>
        <w:t xml:space="preserve">: רגילה - נותנין לה כוס אחד, שאינה רגילה - נותנין לה שני כוסות. מאי קאמר? </w:t>
      </w:r>
      <w:r w:rsidR="009D4C34" w:rsidRPr="009D4C34">
        <w:rPr>
          <w:rFonts w:cs="Arial"/>
          <w:u w:val="single"/>
          <w:rtl/>
        </w:rPr>
        <w:t>אמר אביי</w:t>
      </w:r>
      <w:r w:rsidR="009D4C34">
        <w:rPr>
          <w:rFonts w:cs="Arial" w:hint="cs"/>
          <w:rtl/>
        </w:rPr>
        <w:t>:</w:t>
      </w:r>
      <w:r w:rsidR="009D4C34" w:rsidRPr="00365BA7">
        <w:rPr>
          <w:rFonts w:cs="Arial"/>
          <w:rtl/>
        </w:rPr>
        <w:t xml:space="preserve"> הכי קאמר</w:t>
      </w:r>
      <w:r w:rsidR="009D4C34">
        <w:rPr>
          <w:rFonts w:cs="Arial" w:hint="cs"/>
          <w:rtl/>
        </w:rPr>
        <w:t>,</w:t>
      </w:r>
      <w:r w:rsidR="009D4C34" w:rsidRPr="00365BA7">
        <w:rPr>
          <w:rFonts w:cs="Arial"/>
          <w:rtl/>
        </w:rPr>
        <w:t xml:space="preserve"> רגילה בפני בעלה שני כוסות, שלא בפני בעלה - נותנין לה כוס אחד, אינה רגילה בפני בעלה אלא כוס אחד, שלא בפני בעלה - אין נותנין לה כל עיקר. ואי בעית אימא: רגילה - נותנין לה לציקי קדירה, דא"ר אבהו א"ר יוחנן: מעשה בכלתו של נקדימון בן גוריון, שפסקו לה חכמים סאתים יין לציקי קדרה מערב שבת לע"ש, אמרה להן: כך תפסקו לבנותיכם. תנא: שומרת יבם היתה, ולא ענו אחריה אמן. תנא: כוס אחד יפה לאשה, שנים - ניוול הוא, שלשה - תובעת בפה, ארבעה - אפילו חמור תובעת בשוק ואינה מקפדת. </w:t>
      </w:r>
      <w:r w:rsidR="009D4C34" w:rsidRPr="009D4C34">
        <w:rPr>
          <w:rFonts w:cs="Arial"/>
          <w:u w:val="single"/>
          <w:rtl/>
        </w:rPr>
        <w:t>אמר רבא</w:t>
      </w:r>
      <w:r w:rsidR="009D4C34" w:rsidRPr="00365BA7">
        <w:rPr>
          <w:rFonts w:cs="Arial"/>
          <w:rtl/>
        </w:rPr>
        <w:t xml:space="preserve">: לא שנו אלא שאין בעלה עמה, אבל בעלה עמה לית לן בה. והא חנה דבעלה עמה הואי! אכסנאי שאני, </w:t>
      </w:r>
      <w:r w:rsidR="009D4C34" w:rsidRPr="009D4C34">
        <w:rPr>
          <w:rFonts w:cs="Arial"/>
          <w:u w:val="single"/>
          <w:rtl/>
        </w:rPr>
        <w:t>דאמר רב הונא</w:t>
      </w:r>
      <w:r w:rsidR="009D4C34" w:rsidRPr="00365BA7">
        <w:rPr>
          <w:rFonts w:cs="Arial"/>
          <w:rtl/>
        </w:rPr>
        <w:t>: מנין לאכסנאי שאסור בתשמיש המטה? שנאמר: וישכימו בבקר וישתחוו לפני ה' וישובו ויבאו אל ביתם הרמתה וידע אלקנה את חנה אשתו ויזכרה ה', השתא אין, מעיקרא לא. חומא דביתהו דאביי אתאי לקמיה דרבא, אמרה ליה: פסוק לי מזוני, פסק לה. פסוק לי חמרא, א"ל: ידענא ביה בנחמני דלא הוה שתי חמרא, אמרה ליה: חיי דמר, דהוי משקי ליה בשופרזי כי האי.</w:t>
      </w:r>
      <w:r w:rsidR="00A6347B">
        <w:rPr>
          <w:rFonts w:cs="Arial" w:hint="cs"/>
          <w:rtl/>
        </w:rPr>
        <w:t>..</w:t>
      </w:r>
      <w:r w:rsidR="009D4C34" w:rsidRPr="00365BA7">
        <w:rPr>
          <w:rFonts w:cs="Arial"/>
          <w:rtl/>
        </w:rPr>
        <w:t xml:space="preserve"> דביתהו דרב יוסף בריה דרבא אתאי לקמיה דרב נחמיה בריה דרב יוסף, אמרה ליה: פסוק לי מזוני, פסק לה. פסוק לי חמרא, פסק לה, אמר לה: ידענא בהו בבני מחוזא דשתו חמרא. דביתהו דרב יוסף בריה דרב מנשיא מדויל אתאי לקמיה דרב יוסף, א"ל: פסוק לי מזוני, פסק לה. פסוק לי חמרא, פסק לה</w:t>
      </w:r>
      <w:r w:rsidR="009D4C34">
        <w:rPr>
          <w:rFonts w:cs="Arial" w:hint="cs"/>
          <w:rtl/>
        </w:rPr>
        <w:t>..</w:t>
      </w:r>
      <w:r w:rsidR="009D4C34" w:rsidRPr="00365BA7">
        <w:rPr>
          <w:rFonts w:cs="Arial"/>
          <w:rtl/>
        </w:rPr>
        <w:t>.</w:t>
      </w:r>
      <w:r>
        <w:rPr>
          <w:rFonts w:cs="Arial" w:hint="cs"/>
          <w:sz w:val="14"/>
          <w:szCs w:val="14"/>
          <w:rtl/>
        </w:rPr>
        <w:t xml:space="preserve"> (סה:)</w:t>
      </w:r>
      <w:r w:rsidRPr="00A04194">
        <w:rPr>
          <w:rtl/>
        </w:rPr>
        <w:t xml:space="preserve"> </w:t>
      </w:r>
      <w:r w:rsidR="000B581D" w:rsidRPr="000B581D">
        <w:rPr>
          <w:rFonts w:cs="Arial"/>
          <w:rtl/>
        </w:rPr>
        <w:t>ואין נותנין לה לא חדשים וכו'. ת"ר: מותר מזונות לבעל</w:t>
      </w:r>
      <w:r w:rsidR="000B581D">
        <w:rPr>
          <w:rStyle w:val="a7"/>
          <w:rFonts w:cs="Arial"/>
          <w:rtl/>
        </w:rPr>
        <w:footnoteReference w:id="254"/>
      </w:r>
      <w:r w:rsidR="000B581D" w:rsidRPr="000B581D">
        <w:rPr>
          <w:rFonts w:cs="Arial"/>
          <w:rtl/>
        </w:rPr>
        <w:t xml:space="preserve">, מותר בלאות לאשה. </w:t>
      </w:r>
      <w:r w:rsidR="00A6347B" w:rsidRPr="00365BA7">
        <w:rPr>
          <w:rFonts w:cs="Arial"/>
          <w:rtl/>
        </w:rPr>
        <w:t xml:space="preserve">נותן לה מעה כסף וכו'. מאי אוכלת? </w:t>
      </w:r>
      <w:r w:rsidR="00A6347B" w:rsidRPr="00E36B8D">
        <w:rPr>
          <w:rFonts w:cs="Arial"/>
          <w:u w:val="single"/>
          <w:rtl/>
        </w:rPr>
        <w:t>רב נחמן אמר</w:t>
      </w:r>
      <w:r w:rsidR="00A6347B" w:rsidRPr="00365BA7">
        <w:rPr>
          <w:rFonts w:cs="Arial"/>
          <w:rtl/>
        </w:rPr>
        <w:t xml:space="preserve">: אוכלת ממש, </w:t>
      </w:r>
      <w:r w:rsidR="00A6347B" w:rsidRPr="00E36B8D">
        <w:rPr>
          <w:rFonts w:cs="Arial"/>
          <w:u w:val="single"/>
          <w:rtl/>
        </w:rPr>
        <w:t>רב אשי אמר</w:t>
      </w:r>
      <w:r w:rsidR="00A6347B" w:rsidRPr="00365BA7">
        <w:rPr>
          <w:rFonts w:cs="Arial"/>
          <w:rtl/>
        </w:rPr>
        <w:t xml:space="preserve">: תשמיש. תנן: אוכלת עמו לילי שבת; בשלמא למ"ד אכילה, היינו דקתני אוכלת, אלא למאן דאמר תשמיש, מאי אוכלת? לישנא מעליא כדכתיב: אכלה ומחתה פיה ואמרה לא פעלתי און. מיתיבי, רשב"ג אומר: אוכלת בלילי </w:t>
      </w:r>
      <w:r w:rsidR="00A6347B" w:rsidRPr="00365BA7">
        <w:rPr>
          <w:rFonts w:cs="Arial"/>
          <w:rtl/>
        </w:rPr>
        <w:lastRenderedPageBreak/>
        <w:t>שבת ושבת; בשלמא למ"ד אכילה, היינו דקתני ושבת, אלא למאן דאמר תשמיש, תשמיש בשבת מי איכא? והאמר רב הונא: ישראל קדושים הן, ואין משמשין מטותיהן ביום! האמר רבא: בבית אפל מותר</w:t>
      </w:r>
      <w:r w:rsidR="00A6347B">
        <w:rPr>
          <w:rStyle w:val="a7"/>
          <w:rFonts w:cs="Arial"/>
          <w:rtl/>
        </w:rPr>
        <w:footnoteReference w:id="255"/>
      </w:r>
      <w:r w:rsidR="00A6347B" w:rsidRPr="00365BA7">
        <w:rPr>
          <w:rFonts w:cs="Arial"/>
          <w:rtl/>
        </w:rPr>
        <w:t>.</w:t>
      </w:r>
      <w:r w:rsidR="00A6347B">
        <w:rPr>
          <w:rFonts w:cs="Arial" w:hint="cs"/>
          <w:rtl/>
        </w:rPr>
        <w:t xml:space="preserve"> </w:t>
      </w:r>
      <w:r w:rsidRPr="00A04194">
        <w:rPr>
          <w:rFonts w:cs="Arial"/>
          <w:rtl/>
        </w:rPr>
        <w:t xml:space="preserve">ואם היתה מניקה. </w:t>
      </w:r>
      <w:r w:rsidRPr="00B06F2D">
        <w:rPr>
          <w:rFonts w:cs="Arial"/>
          <w:u w:val="single"/>
          <w:rtl/>
        </w:rPr>
        <w:t>דרש רבי עולא רבה אפיתחא דבי נשיאה</w:t>
      </w:r>
      <w:r w:rsidRPr="00A04194">
        <w:rPr>
          <w:rFonts w:cs="Arial"/>
          <w:rtl/>
        </w:rPr>
        <w:t>: אף על פי שאמרו אין אדם זן את בניו ובנותיו כשהן קטנים, אבל זן קטני קטנים. עד כמה? עד בן שש; כדרב אסי, דאמר רב אסי: קטן בן שש יוצא בעירוב אמו. ממאי? מדקתני: היתה מניקה - פוחתין לה ממעשה ידיה ומוסיפין לה על מזונותיה</w:t>
      </w:r>
      <w:r w:rsidR="00B06F2D">
        <w:rPr>
          <w:rFonts w:cs="Arial" w:hint="cs"/>
          <w:rtl/>
        </w:rPr>
        <w:t>,</w:t>
      </w:r>
      <w:r w:rsidRPr="00A04194">
        <w:rPr>
          <w:rFonts w:cs="Arial"/>
          <w:rtl/>
        </w:rPr>
        <w:t xml:space="preserve"> מ"ט? לאו משום דבעי למיכל בהדה. ודלמא משום דחולה היא! אם כן, ליתני אם היתה חולה, מאי אם היתה מניקה. ודלמא הא קא משמע לן, דסתם מניקות חולות נינהו. איתמר, </w:t>
      </w:r>
      <w:r w:rsidRPr="009D4C34">
        <w:rPr>
          <w:rFonts w:cs="Arial"/>
          <w:u w:val="single"/>
          <w:rtl/>
        </w:rPr>
        <w:t>אמר רבי יהושע בן לוי</w:t>
      </w:r>
      <w:r w:rsidRPr="00A04194">
        <w:rPr>
          <w:rFonts w:cs="Arial"/>
          <w:rtl/>
        </w:rPr>
        <w:t>: מוסיפין לה יין, שהיין יפה לחלב.</w:t>
      </w:r>
    </w:p>
    <w:p w14:paraId="16FCC014" w14:textId="2CDD1948" w:rsidR="000B581D" w:rsidRDefault="000B581D" w:rsidP="000B581D">
      <w:pPr>
        <w:rPr>
          <w:rFonts w:cs="Arial"/>
          <w:rtl/>
        </w:rPr>
      </w:pPr>
      <w:r w:rsidRPr="00E36B8D">
        <w:rPr>
          <w:rFonts w:cs="Arial" w:hint="cs"/>
          <w:b/>
          <w:bCs/>
          <w:rtl/>
        </w:rPr>
        <w:t xml:space="preserve">כתובות </w:t>
      </w:r>
      <w:r>
        <w:rPr>
          <w:rFonts w:cs="Arial" w:hint="cs"/>
          <w:b/>
          <w:bCs/>
          <w:sz w:val="16"/>
          <w:szCs w:val="16"/>
          <w:rtl/>
        </w:rPr>
        <w:t>(פ' אף על פי)</w:t>
      </w:r>
      <w:r>
        <w:rPr>
          <w:rFonts w:cs="Arial" w:hint="cs"/>
          <w:b/>
          <w:bCs/>
          <w:rtl/>
        </w:rPr>
        <w:t xml:space="preserve"> </w:t>
      </w:r>
      <w:r w:rsidRPr="00E36B8D">
        <w:rPr>
          <w:rFonts w:cs="Arial" w:hint="cs"/>
          <w:b/>
          <w:bCs/>
          <w:rtl/>
        </w:rPr>
        <w:t xml:space="preserve">נח ע"ב: </w:t>
      </w:r>
      <w:r w:rsidRPr="00E36B8D">
        <w:rPr>
          <w:rFonts w:cs="Arial"/>
          <w:u w:val="double"/>
          <w:rtl/>
        </w:rPr>
        <w:t>מתני</w:t>
      </w:r>
      <w:r w:rsidRPr="00E36B8D">
        <w:rPr>
          <w:rFonts w:cs="Arial" w:hint="cs"/>
          <w:u w:val="double"/>
          <w:rtl/>
        </w:rPr>
        <w:t>'</w:t>
      </w:r>
      <w:r>
        <w:rPr>
          <w:rFonts w:cs="Arial" w:hint="cs"/>
          <w:rtl/>
        </w:rPr>
        <w:t>:</w:t>
      </w:r>
      <w:r w:rsidRPr="00E36B8D">
        <w:rPr>
          <w:rFonts w:cs="Arial"/>
          <w:rtl/>
        </w:rPr>
        <w:t xml:space="preserve"> המקדיש מעשה ידי אשתו - הרי זו עושה ואוכלת. המותר - </w:t>
      </w:r>
      <w:r w:rsidRPr="00E36B8D">
        <w:rPr>
          <w:rFonts w:cs="Arial"/>
          <w:u w:val="single"/>
          <w:rtl/>
        </w:rPr>
        <w:t>רבי מאיר אומר</w:t>
      </w:r>
      <w:r w:rsidRPr="00E36B8D">
        <w:rPr>
          <w:rFonts w:cs="Arial"/>
          <w:rtl/>
        </w:rPr>
        <w:t xml:space="preserve">: הקדש, </w:t>
      </w:r>
      <w:r w:rsidRPr="00E36B8D">
        <w:rPr>
          <w:rFonts w:cs="Arial"/>
          <w:u w:val="single"/>
          <w:rtl/>
        </w:rPr>
        <w:t>רבי יוחנן הסנדלר אומר</w:t>
      </w:r>
      <w:r w:rsidRPr="00E36B8D">
        <w:rPr>
          <w:rFonts w:cs="Arial"/>
          <w:rtl/>
        </w:rPr>
        <w:t xml:space="preserve">: חולין. </w:t>
      </w:r>
      <w:r>
        <w:rPr>
          <w:rFonts w:cs="Arial" w:hint="cs"/>
          <w:rtl/>
        </w:rPr>
        <w:t xml:space="preserve">      </w:t>
      </w:r>
      <w:r w:rsidRPr="00E36B8D">
        <w:rPr>
          <w:rFonts w:cs="Arial" w:hint="cs"/>
          <w:u w:val="double"/>
          <w:rtl/>
        </w:rPr>
        <w:t>גמ'</w:t>
      </w:r>
      <w:r>
        <w:rPr>
          <w:rFonts w:cs="Arial" w:hint="cs"/>
          <w:rtl/>
        </w:rPr>
        <w:t>:</w:t>
      </w:r>
      <w:r w:rsidRPr="00E36B8D">
        <w:rPr>
          <w:rtl/>
        </w:rPr>
        <w:t xml:space="preserve"> </w:t>
      </w:r>
      <w:r w:rsidRPr="00E36B8D">
        <w:rPr>
          <w:rFonts w:cs="Arial"/>
          <w:rtl/>
        </w:rPr>
        <w:t xml:space="preserve">המותר - רבי מאיר אומר: הקדש. אימת קדוש? </w:t>
      </w:r>
      <w:r w:rsidRPr="00FD0C1A">
        <w:rPr>
          <w:rFonts w:cs="Arial"/>
          <w:u w:val="single"/>
          <w:rtl/>
        </w:rPr>
        <w:t>רב ושמואל דאמרי תרווייהו</w:t>
      </w:r>
      <w:r w:rsidRPr="00E36B8D">
        <w:rPr>
          <w:rFonts w:cs="Arial"/>
          <w:rtl/>
        </w:rPr>
        <w:t xml:space="preserve">: מותר - לאחר מיתה קדוש, </w:t>
      </w:r>
      <w:r w:rsidRPr="00FD0C1A">
        <w:rPr>
          <w:rFonts w:cs="Arial"/>
          <w:u w:val="single"/>
          <w:rtl/>
        </w:rPr>
        <w:t>רב אדא בר אהבה אמר</w:t>
      </w:r>
      <w:r w:rsidRPr="00E36B8D">
        <w:rPr>
          <w:rFonts w:cs="Arial"/>
          <w:rtl/>
        </w:rPr>
        <w:t>: מותר - מחיים קדוש. הוי בה רב פפא, במאי?</w:t>
      </w:r>
      <w:r>
        <w:rPr>
          <w:rFonts w:cs="Arial" w:hint="cs"/>
          <w:rtl/>
        </w:rPr>
        <w:t>...</w:t>
      </w:r>
      <w:r w:rsidRPr="00E36B8D">
        <w:rPr>
          <w:rFonts w:cs="Arial"/>
          <w:rtl/>
        </w:rPr>
        <w:t xml:space="preserve"> לעולם, במעלה לה מזונות ואינו מעלה לה מעה כסף לצרכיה, רב ושמואל סברי: תקנו</w:t>
      </w:r>
      <w:r>
        <w:rPr>
          <w:rFonts w:cs="Arial" w:hint="cs"/>
          <w:rtl/>
        </w:rPr>
        <w:t xml:space="preserve"> </w:t>
      </w:r>
      <w:r>
        <w:rPr>
          <w:rFonts w:cs="Arial" w:hint="cs"/>
          <w:sz w:val="14"/>
          <w:szCs w:val="14"/>
          <w:rtl/>
        </w:rPr>
        <w:t>(עט.)</w:t>
      </w:r>
      <w:r>
        <w:rPr>
          <w:rFonts w:cs="Arial" w:hint="cs"/>
          <w:rtl/>
        </w:rPr>
        <w:t xml:space="preserve"> </w:t>
      </w:r>
      <w:r w:rsidRPr="006D55A4">
        <w:rPr>
          <w:rFonts w:cs="Arial"/>
          <w:rtl/>
        </w:rPr>
        <w:t>מזונות תחת מעשה ידיה, ומעה כסף תחת מותר, וכיון דלא קא יהיב לה מעה כסף - מותר דידה הוי; רב אדא בר אהבה סבר: תקנו מזונות תחת מותר, ומעה כסף תחת מעשה ידיה, וכיון דקא יהיב לה מזוני - מותר דידיה הוי.</w:t>
      </w:r>
      <w:r>
        <w:rPr>
          <w:rFonts w:cs="Arial" w:hint="cs"/>
          <w:rtl/>
        </w:rPr>
        <w:t xml:space="preserve"> </w:t>
      </w:r>
      <w:r w:rsidRPr="002464AB">
        <w:rPr>
          <w:rFonts w:cs="Arial" w:hint="cs"/>
          <w:sz w:val="16"/>
          <w:szCs w:val="16"/>
          <w:rtl/>
        </w:rPr>
        <w:t>(</w:t>
      </w:r>
      <w:r w:rsidRPr="002464AB">
        <w:rPr>
          <w:rFonts w:cs="Arial"/>
          <w:sz w:val="16"/>
          <w:szCs w:val="16"/>
          <w:rtl/>
        </w:rPr>
        <w:t>וא</w:t>
      </w:r>
      <w:r>
        <w:rPr>
          <w:rFonts w:cs="Arial" w:hint="cs"/>
          <w:sz w:val="16"/>
          <w:szCs w:val="16"/>
          <w:rtl/>
        </w:rPr>
        <w:t>ע"ג</w:t>
      </w:r>
      <w:r w:rsidRPr="002464AB">
        <w:rPr>
          <w:rFonts w:cs="Arial"/>
          <w:sz w:val="16"/>
          <w:szCs w:val="16"/>
          <w:rtl/>
        </w:rPr>
        <w:t xml:space="preserve"> דרב אדא בר אהבה פליג עליהו דרב ושמואל כותיהו נקטינן</w:t>
      </w:r>
      <w:r>
        <w:rPr>
          <w:rFonts w:cs="Arial" w:hint="cs"/>
          <w:sz w:val="16"/>
          <w:szCs w:val="16"/>
          <w:rtl/>
        </w:rPr>
        <w:t>, ב"י)</w:t>
      </w:r>
      <w:r>
        <w:rPr>
          <w:rFonts w:cs="Arial"/>
          <w:rtl/>
        </w:rPr>
        <w:t xml:space="preserve"> </w:t>
      </w:r>
    </w:p>
    <w:p w14:paraId="09929E24" w14:textId="557E4D1D" w:rsidR="00D6322E" w:rsidRPr="009C1E95" w:rsidRDefault="00F32736" w:rsidP="00D6322E">
      <w:pPr>
        <w:rPr>
          <w:u w:val="single"/>
          <w:rtl/>
        </w:rPr>
      </w:pPr>
      <w:r>
        <w:rPr>
          <w:rFonts w:hint="cs"/>
          <w:u w:val="single"/>
          <w:rtl/>
        </w:rPr>
        <w:t>חיוב מזונות אשתו</w:t>
      </w:r>
      <w:r w:rsidR="00DE18F4">
        <w:rPr>
          <w:rFonts w:hint="cs"/>
          <w:u w:val="single"/>
          <w:rtl/>
        </w:rPr>
        <w:t xml:space="preserve"> </w:t>
      </w:r>
      <w:r w:rsidR="00F97626">
        <w:rPr>
          <w:u w:val="single"/>
          <w:rtl/>
        </w:rPr>
        <w:t>-</w:t>
      </w:r>
      <w:r w:rsidR="00DE18F4">
        <w:rPr>
          <w:rFonts w:hint="cs"/>
          <w:u w:val="single"/>
          <w:rtl/>
        </w:rPr>
        <w:t xml:space="preserve"> כשאוכלת עמו</w:t>
      </w:r>
      <w:r w:rsidR="009C1E95" w:rsidRPr="009C1E95">
        <w:rPr>
          <w:rFonts w:hint="cs"/>
          <w:u w:val="single"/>
          <w:rtl/>
        </w:rPr>
        <w:t>:</w:t>
      </w:r>
    </w:p>
    <w:p w14:paraId="67E873BB" w14:textId="3B4E66F2" w:rsidR="00DE18F4" w:rsidRDefault="00352368" w:rsidP="00223D6D">
      <w:pPr>
        <w:pStyle w:val="ab"/>
        <w:numPr>
          <w:ilvl w:val="0"/>
          <w:numId w:val="1"/>
        </w:numPr>
        <w:rPr>
          <w:rFonts w:cs="Arial"/>
        </w:rPr>
      </w:pPr>
      <w:r>
        <w:rPr>
          <w:rFonts w:cs="Arial" w:hint="cs"/>
          <w:rtl/>
        </w:rPr>
        <w:t xml:space="preserve">תוס' </w:t>
      </w:r>
      <w:r w:rsidRPr="006C3CF4">
        <w:rPr>
          <w:rFonts w:cs="Arial"/>
          <w:sz w:val="16"/>
          <w:szCs w:val="16"/>
          <w:rtl/>
        </w:rPr>
        <w:t>(כתובות ע: תוד"ה והאידנא</w:t>
      </w:r>
      <w:r>
        <w:rPr>
          <w:rFonts w:cs="Arial" w:hint="cs"/>
          <w:sz w:val="16"/>
          <w:szCs w:val="16"/>
          <w:rtl/>
        </w:rPr>
        <w:t>)</w:t>
      </w:r>
      <w:r>
        <w:rPr>
          <w:rFonts w:cs="Arial" w:hint="cs"/>
          <w:rtl/>
        </w:rPr>
        <w:t xml:space="preserve"> </w:t>
      </w:r>
      <w:r w:rsidR="00513959">
        <w:rPr>
          <w:rFonts w:cs="Arial"/>
          <w:rtl/>
        </w:rPr>
        <w:t xml:space="preserve">רא"ש </w:t>
      </w:r>
      <w:r w:rsidR="00513959">
        <w:rPr>
          <w:rFonts w:cs="Arial" w:hint="cs"/>
          <w:sz w:val="16"/>
          <w:szCs w:val="16"/>
          <w:rtl/>
        </w:rPr>
        <w:t>(</w:t>
      </w:r>
      <w:r w:rsidR="00513959" w:rsidRPr="00513959">
        <w:rPr>
          <w:rFonts w:cs="Arial"/>
          <w:sz w:val="16"/>
          <w:szCs w:val="16"/>
          <w:rtl/>
        </w:rPr>
        <w:t>סי' ג)</w:t>
      </w:r>
      <w:r w:rsidR="00513959">
        <w:rPr>
          <w:rFonts w:cs="Arial" w:hint="cs"/>
          <w:rtl/>
        </w:rPr>
        <w:t xml:space="preserve"> ו</w:t>
      </w:r>
      <w:r w:rsidR="00D6322E">
        <w:rPr>
          <w:rFonts w:cs="Arial" w:hint="cs"/>
          <w:rtl/>
        </w:rPr>
        <w:t xml:space="preserve">טור- </w:t>
      </w:r>
      <w:r w:rsidR="00D6322E" w:rsidRPr="00D6322E">
        <w:rPr>
          <w:rFonts w:cs="Arial"/>
          <w:rtl/>
        </w:rPr>
        <w:t>חייב במזונותיה</w:t>
      </w:r>
      <w:r w:rsidR="009D3C5A">
        <w:rPr>
          <w:rFonts w:cs="Arial" w:hint="cs"/>
          <w:rtl/>
        </w:rPr>
        <w:t>.</w:t>
      </w:r>
      <w:r w:rsidR="00D6322E" w:rsidRPr="00D6322E">
        <w:rPr>
          <w:rFonts w:cs="Arial"/>
          <w:rtl/>
        </w:rPr>
        <w:t xml:space="preserve"> כיצד</w:t>
      </w:r>
      <w:r w:rsidR="009D3C5A">
        <w:rPr>
          <w:rFonts w:cs="Arial" w:hint="cs"/>
          <w:rtl/>
        </w:rPr>
        <w:t>,</w:t>
      </w:r>
      <w:r w:rsidR="00D6322E" w:rsidRPr="00D6322E">
        <w:rPr>
          <w:rFonts w:cs="Arial"/>
          <w:rtl/>
        </w:rPr>
        <w:t xml:space="preserve"> אוכלת עמו ממה שהוא אוכל</w:t>
      </w:r>
      <w:r w:rsidR="009D3C5A">
        <w:rPr>
          <w:rFonts w:cs="Arial" w:hint="cs"/>
          <w:rtl/>
        </w:rPr>
        <w:t>,</w:t>
      </w:r>
      <w:r w:rsidR="00D6322E" w:rsidRPr="00D6322E">
        <w:rPr>
          <w:rFonts w:cs="Arial"/>
          <w:rtl/>
        </w:rPr>
        <w:t xml:space="preserve"> ושותה עמו ממה שהוא שותה</w:t>
      </w:r>
      <w:r w:rsidR="009D3C5A">
        <w:rPr>
          <w:rFonts w:cs="Arial" w:hint="cs"/>
          <w:rtl/>
        </w:rPr>
        <w:t>,</w:t>
      </w:r>
      <w:r w:rsidR="00D6322E" w:rsidRPr="00D6322E">
        <w:rPr>
          <w:rFonts w:cs="Arial"/>
          <w:rtl/>
        </w:rPr>
        <w:t xml:space="preserve"> ואם משפחתה ובית אביה מנהגם בגדולות יותר ממה שנוהג הבעל</w:t>
      </w:r>
      <w:r w:rsidR="009D3C5A">
        <w:rPr>
          <w:rFonts w:cs="Arial" w:hint="cs"/>
          <w:rtl/>
        </w:rPr>
        <w:t>,</w:t>
      </w:r>
      <w:r w:rsidR="00D6322E" w:rsidRPr="00D6322E">
        <w:rPr>
          <w:rFonts w:cs="Arial"/>
          <w:rtl/>
        </w:rPr>
        <w:t xml:space="preserve"> אם כל בני משפחתה בין אותם שהן עשירים בין שאינם עשירים מבקשים אותם הגדולות</w:t>
      </w:r>
      <w:r w:rsidR="009D3C5A">
        <w:rPr>
          <w:rFonts w:cs="Arial" w:hint="cs"/>
          <w:rtl/>
        </w:rPr>
        <w:t>,</w:t>
      </w:r>
      <w:r w:rsidR="00D6322E" w:rsidRPr="00D6322E">
        <w:rPr>
          <w:rFonts w:cs="Arial"/>
          <w:rtl/>
        </w:rPr>
        <w:t xml:space="preserve"> אז צריך להנהיגה כדרך שנוהגין בני משפחתה</w:t>
      </w:r>
      <w:r w:rsidR="009D3C5A">
        <w:rPr>
          <w:rFonts w:cs="Arial" w:hint="cs"/>
          <w:rtl/>
        </w:rPr>
        <w:t>,</w:t>
      </w:r>
      <w:r w:rsidR="00D6322E" w:rsidRPr="00D6322E">
        <w:rPr>
          <w:rFonts w:cs="Arial"/>
          <w:rtl/>
        </w:rPr>
        <w:t xml:space="preserve"> דקי"ל עולה עמו ואינה יורדת עמו</w:t>
      </w:r>
      <w:r w:rsidR="009D3C5A">
        <w:rPr>
          <w:rFonts w:cs="Arial" w:hint="cs"/>
          <w:rtl/>
        </w:rPr>
        <w:t>.</w:t>
      </w:r>
      <w:r w:rsidR="00D6322E" w:rsidRPr="00D6322E">
        <w:rPr>
          <w:rFonts w:cs="Arial"/>
          <w:rtl/>
        </w:rPr>
        <w:t xml:space="preserve"> ואם אין כל משפחתה מבקשים אותם הגדולות</w:t>
      </w:r>
      <w:r w:rsidR="009D3C5A">
        <w:rPr>
          <w:rFonts w:cs="Arial" w:hint="cs"/>
          <w:rtl/>
        </w:rPr>
        <w:t xml:space="preserve"> </w:t>
      </w:r>
      <w:r w:rsidR="00043F10">
        <w:rPr>
          <w:rStyle w:val="a7"/>
          <w:rFonts w:cs="Arial"/>
          <w:rtl/>
        </w:rPr>
        <w:footnoteReference w:id="256"/>
      </w:r>
      <w:r w:rsidR="00043F10">
        <w:rPr>
          <w:rFonts w:cs="Arial" w:hint="cs"/>
          <w:rtl/>
        </w:rPr>
        <w:t>[</w:t>
      </w:r>
      <w:r w:rsidR="009D3C5A">
        <w:rPr>
          <w:rFonts w:cs="Arial" w:hint="cs"/>
          <w:rtl/>
        </w:rPr>
        <w:t>אלא שבבית אביה נוהגין כן מפני ש</w:t>
      </w:r>
      <w:r w:rsidR="00322B2F">
        <w:rPr>
          <w:rFonts w:cs="Arial" w:hint="cs"/>
          <w:rtl/>
        </w:rPr>
        <w:t>ה</w:t>
      </w:r>
      <w:r w:rsidR="009D3C5A">
        <w:rPr>
          <w:rFonts w:cs="Arial" w:hint="cs"/>
          <w:rtl/>
        </w:rPr>
        <w:t>וא עשיר אבל שאר בני משפחתה שאין להם עושר אלא כמו שיש לבעלה אינם מבקשים אותם הגדולות</w:t>
      </w:r>
      <w:r w:rsidR="00043F10">
        <w:rPr>
          <w:rFonts w:cs="Arial" w:hint="cs"/>
          <w:rtl/>
        </w:rPr>
        <w:t>]</w:t>
      </w:r>
      <w:r w:rsidR="00DE18F4">
        <w:rPr>
          <w:rFonts w:cs="Arial" w:hint="cs"/>
          <w:rtl/>
        </w:rPr>
        <w:t xml:space="preserve">, </w:t>
      </w:r>
      <w:r w:rsidR="00D6322E" w:rsidRPr="00D6322E">
        <w:rPr>
          <w:rFonts w:cs="Arial"/>
          <w:rtl/>
        </w:rPr>
        <w:t>אז אינו חייב לה בהן כל זמן שאוכלת עמו</w:t>
      </w:r>
      <w:r w:rsidR="009D3C5A">
        <w:rPr>
          <w:rFonts w:cs="Arial" w:hint="cs"/>
          <w:rtl/>
        </w:rPr>
        <w:t>.</w:t>
      </w:r>
      <w:r w:rsidR="00D6322E" w:rsidRPr="00DE18F4">
        <w:rPr>
          <w:rFonts w:cs="Arial"/>
          <w:color w:val="E36C0A" w:themeColor="accent6" w:themeShade="BF"/>
          <w:rtl/>
        </w:rPr>
        <w:t xml:space="preserve"> </w:t>
      </w:r>
      <w:r w:rsidR="00DE18F4" w:rsidRPr="00DE18F4">
        <w:rPr>
          <w:rFonts w:cs="Arial" w:hint="cs"/>
          <w:color w:val="E36C0A" w:themeColor="accent6" w:themeShade="BF"/>
          <w:rtl/>
        </w:rPr>
        <w:t>(וכ"פ בשו"ע)</w:t>
      </w:r>
    </w:p>
    <w:p w14:paraId="09DA27DB" w14:textId="10B19BE0" w:rsidR="00DE18F4" w:rsidRPr="00DE18F4" w:rsidRDefault="00DE18F4" w:rsidP="00DE18F4">
      <w:pPr>
        <w:ind w:left="360"/>
        <w:rPr>
          <w:rFonts w:cs="Arial"/>
          <w:u w:val="dotted"/>
        </w:rPr>
      </w:pPr>
      <w:r w:rsidRPr="00DE18F4">
        <w:rPr>
          <w:rFonts w:cs="Arial" w:hint="cs"/>
          <w:u w:val="dotted"/>
          <w:rtl/>
        </w:rPr>
        <w:t>ומה הדין אם אינה אוכלת עמו:</w:t>
      </w:r>
    </w:p>
    <w:p w14:paraId="6EF8B151" w14:textId="0DCE20C9" w:rsidR="00803720" w:rsidRDefault="00DE18F4" w:rsidP="00223D6D">
      <w:pPr>
        <w:pStyle w:val="ab"/>
        <w:numPr>
          <w:ilvl w:val="0"/>
          <w:numId w:val="1"/>
        </w:numPr>
        <w:rPr>
          <w:rFonts w:cs="Arial"/>
        </w:rPr>
      </w:pPr>
      <w:r>
        <w:rPr>
          <w:rFonts w:cs="Arial" w:hint="cs"/>
          <w:rtl/>
        </w:rPr>
        <w:t xml:space="preserve">תוס' </w:t>
      </w:r>
      <w:r w:rsidRPr="006C3CF4">
        <w:rPr>
          <w:rFonts w:cs="Arial"/>
          <w:sz w:val="16"/>
          <w:szCs w:val="16"/>
          <w:rtl/>
        </w:rPr>
        <w:t>(</w:t>
      </w:r>
      <w:r w:rsidR="001D5E09">
        <w:rPr>
          <w:rFonts w:cs="Arial" w:hint="cs"/>
          <w:sz w:val="16"/>
          <w:szCs w:val="16"/>
          <w:rtl/>
        </w:rPr>
        <w:t>שם</w:t>
      </w:r>
      <w:r>
        <w:rPr>
          <w:rFonts w:cs="Arial" w:hint="cs"/>
          <w:sz w:val="16"/>
          <w:szCs w:val="16"/>
          <w:rtl/>
        </w:rPr>
        <w:t>)</w:t>
      </w:r>
      <w:r>
        <w:rPr>
          <w:rFonts w:cs="Arial" w:hint="cs"/>
          <w:rtl/>
        </w:rPr>
        <w:t xml:space="preserve"> </w:t>
      </w:r>
      <w:r>
        <w:rPr>
          <w:rFonts w:cs="Arial"/>
          <w:rtl/>
        </w:rPr>
        <w:t xml:space="preserve">רא"ש </w:t>
      </w:r>
      <w:r>
        <w:rPr>
          <w:rFonts w:cs="Arial" w:hint="cs"/>
          <w:sz w:val="16"/>
          <w:szCs w:val="16"/>
          <w:rtl/>
        </w:rPr>
        <w:t>(</w:t>
      </w:r>
      <w:r w:rsidR="001D5E09">
        <w:rPr>
          <w:rFonts w:cs="Arial" w:hint="cs"/>
          <w:sz w:val="16"/>
          <w:szCs w:val="16"/>
          <w:rtl/>
        </w:rPr>
        <w:t>שם</w:t>
      </w:r>
      <w:r w:rsidRPr="00513959">
        <w:rPr>
          <w:rFonts w:cs="Arial"/>
          <w:sz w:val="16"/>
          <w:szCs w:val="16"/>
          <w:rtl/>
        </w:rPr>
        <w:t>)</w:t>
      </w:r>
      <w:r>
        <w:rPr>
          <w:rFonts w:cs="Arial" w:hint="cs"/>
          <w:rtl/>
        </w:rPr>
        <w:t xml:space="preserve"> וטור- </w:t>
      </w:r>
      <w:r w:rsidR="00BC010C" w:rsidRPr="00D6322E">
        <w:rPr>
          <w:rFonts w:cs="Arial"/>
          <w:rtl/>
        </w:rPr>
        <w:t>אבל אם אינה אוכלת עמו אלא נותן לה מזונותיה לבדה</w:t>
      </w:r>
      <w:r>
        <w:rPr>
          <w:rFonts w:cs="Arial" w:hint="cs"/>
          <w:rtl/>
        </w:rPr>
        <w:t xml:space="preserve"> -</w:t>
      </w:r>
      <w:r w:rsidR="00BC010C" w:rsidRPr="00D6322E">
        <w:rPr>
          <w:rFonts w:cs="Arial"/>
          <w:rtl/>
        </w:rPr>
        <w:t xml:space="preserve"> אז צריך להנהיגה כדרך שהיתה נוהגת בבית אביה</w:t>
      </w:r>
      <w:r>
        <w:rPr>
          <w:rFonts w:cs="Arial" w:hint="cs"/>
          <w:rtl/>
        </w:rPr>
        <w:t>,</w:t>
      </w:r>
      <w:r w:rsidR="00BC010C" w:rsidRPr="00D6322E">
        <w:rPr>
          <w:rFonts w:cs="Arial"/>
          <w:rtl/>
        </w:rPr>
        <w:t xml:space="preserve"> </w:t>
      </w:r>
      <w:r w:rsidR="00BC010C" w:rsidRPr="009826B1">
        <w:rPr>
          <w:rFonts w:cs="Arial"/>
          <w:rtl/>
        </w:rPr>
        <w:t>שהרי ברשותו הוא ליתן לה מזונות והיא תאכל לבדה כל זמן שתרצה</w:t>
      </w:r>
      <w:r>
        <w:rPr>
          <w:rFonts w:cs="Arial" w:hint="cs"/>
          <w:rtl/>
        </w:rPr>
        <w:t>,</w:t>
      </w:r>
      <w:r w:rsidR="00BC010C" w:rsidRPr="009826B1">
        <w:rPr>
          <w:rFonts w:cs="Arial"/>
          <w:rtl/>
        </w:rPr>
        <w:t xml:space="preserve"> דתנן המשרה אשתו ע"י שליש פירוש שמפרנסה ע"י אחר לא יפחות לה מב' קבין חטין לשבוע או ד' קבין שעורין ונותן לה חצי לוג שמן וחצי קב קטנית וקב גרוגרות או מנה דבילה ואם אין לו פוסק לעומתם פירות ממקום אחר</w:t>
      </w:r>
      <w:r w:rsidR="002B771C">
        <w:rPr>
          <w:rFonts w:cs="Arial" w:hint="cs"/>
          <w:rtl/>
        </w:rPr>
        <w:t>.</w:t>
      </w:r>
      <w:r w:rsidR="00BC010C" w:rsidRPr="009826B1">
        <w:rPr>
          <w:rFonts w:cs="Arial"/>
          <w:rtl/>
        </w:rPr>
        <w:t xml:space="preserve"> ואם היא מניקה נותן לה יין</w:t>
      </w:r>
      <w:r w:rsidR="002B771C">
        <w:rPr>
          <w:rFonts w:cs="Arial" w:hint="cs"/>
          <w:rtl/>
        </w:rPr>
        <w:t>.</w:t>
      </w:r>
      <w:r w:rsidR="00BC010C" w:rsidRPr="009826B1">
        <w:rPr>
          <w:rFonts w:cs="Arial"/>
          <w:rtl/>
        </w:rPr>
        <w:t xml:space="preserve"> ואם היא רגילה ביין</w:t>
      </w:r>
      <w:r w:rsidR="002B771C">
        <w:rPr>
          <w:rFonts w:cs="Arial" w:hint="cs"/>
          <w:rtl/>
        </w:rPr>
        <w:t>,</w:t>
      </w:r>
      <w:r w:rsidR="00BC010C" w:rsidRPr="009826B1">
        <w:rPr>
          <w:rFonts w:cs="Arial"/>
          <w:rtl/>
        </w:rPr>
        <w:t xml:space="preserve"> נותן לה אפילו אינה מניקה</w:t>
      </w:r>
      <w:r w:rsidR="002B771C">
        <w:rPr>
          <w:rFonts w:cs="Arial" w:hint="cs"/>
          <w:rtl/>
        </w:rPr>
        <w:t>.</w:t>
      </w:r>
      <w:r w:rsidR="00BC010C" w:rsidRPr="009826B1">
        <w:rPr>
          <w:rFonts w:cs="Arial"/>
          <w:rtl/>
        </w:rPr>
        <w:t xml:space="preserve"> ואוכלת על שלחנו מליל שבת לליל שבת</w:t>
      </w:r>
      <w:r w:rsidR="00BC010C">
        <w:rPr>
          <w:rFonts w:cs="Arial" w:hint="cs"/>
          <w:rtl/>
        </w:rPr>
        <w:t>.</w:t>
      </w:r>
      <w:r w:rsidR="00BC010C" w:rsidRPr="009826B1">
        <w:rPr>
          <w:rFonts w:cs="Arial"/>
          <w:rtl/>
        </w:rPr>
        <w:t xml:space="preserve"> ונותן לה מעה כסף לשבוע לצורך דברים קטנים</w:t>
      </w:r>
      <w:r w:rsidR="00BC010C">
        <w:rPr>
          <w:rFonts w:cs="Arial" w:hint="cs"/>
          <w:rtl/>
        </w:rPr>
        <w:t>,</w:t>
      </w:r>
      <w:r w:rsidR="00BC010C" w:rsidRPr="009826B1">
        <w:rPr>
          <w:rFonts w:cs="Arial"/>
          <w:rtl/>
        </w:rPr>
        <w:t xml:space="preserve"> ואם אינו נותנו לה</w:t>
      </w:r>
      <w:r w:rsidR="00BC010C">
        <w:rPr>
          <w:rStyle w:val="a7"/>
          <w:rFonts w:cs="Arial"/>
          <w:rtl/>
        </w:rPr>
        <w:footnoteReference w:id="257"/>
      </w:r>
      <w:r w:rsidR="00BC010C" w:rsidRPr="009826B1">
        <w:rPr>
          <w:rFonts w:cs="Arial"/>
          <w:rtl/>
        </w:rPr>
        <w:t xml:space="preserve"> מה שעשתה מותר על המעשה ידיה הקצוב שחייבת לתת לו </w:t>
      </w:r>
      <w:r w:rsidR="00BC010C">
        <w:rPr>
          <w:rFonts w:cs="Arial" w:hint="cs"/>
          <w:rtl/>
        </w:rPr>
        <w:t>כ</w:t>
      </w:r>
      <w:r w:rsidR="00BC010C" w:rsidRPr="009826B1">
        <w:rPr>
          <w:rFonts w:cs="Arial"/>
          <w:rtl/>
        </w:rPr>
        <w:t xml:space="preserve">דלקמן </w:t>
      </w:r>
      <w:r w:rsidR="00BC010C" w:rsidRPr="00E36B8D">
        <w:rPr>
          <w:rFonts w:cs="Arial"/>
          <w:sz w:val="16"/>
          <w:szCs w:val="16"/>
          <w:rtl/>
        </w:rPr>
        <w:t>(סי</w:t>
      </w:r>
      <w:r w:rsidR="00BC010C">
        <w:rPr>
          <w:rFonts w:cs="Arial" w:hint="cs"/>
          <w:sz w:val="16"/>
          <w:szCs w:val="16"/>
          <w:rtl/>
        </w:rPr>
        <w:t>'</w:t>
      </w:r>
      <w:r w:rsidR="00BC010C" w:rsidRPr="00E36B8D">
        <w:rPr>
          <w:rFonts w:cs="Arial"/>
          <w:sz w:val="16"/>
          <w:szCs w:val="16"/>
          <w:rtl/>
        </w:rPr>
        <w:t xml:space="preserve"> פ)</w:t>
      </w:r>
      <w:r w:rsidR="00BC010C">
        <w:rPr>
          <w:rFonts w:cs="Arial" w:hint="cs"/>
          <w:sz w:val="16"/>
          <w:szCs w:val="16"/>
          <w:rtl/>
        </w:rPr>
        <w:t xml:space="preserve"> </w:t>
      </w:r>
      <w:r w:rsidR="00BC010C">
        <w:rPr>
          <w:rFonts w:cs="Arial" w:hint="cs"/>
          <w:rtl/>
        </w:rPr>
        <w:t xml:space="preserve">- </w:t>
      </w:r>
      <w:r w:rsidR="00BC010C" w:rsidRPr="009826B1">
        <w:rPr>
          <w:rFonts w:cs="Arial"/>
          <w:rtl/>
        </w:rPr>
        <w:t>הוא שלה</w:t>
      </w:r>
      <w:r w:rsidR="00BC010C">
        <w:rPr>
          <w:rFonts w:cs="Arial" w:hint="cs"/>
          <w:rtl/>
        </w:rPr>
        <w:t>.</w:t>
      </w:r>
      <w:r w:rsidR="00BC010C" w:rsidRPr="009826B1">
        <w:rPr>
          <w:rFonts w:cs="Arial"/>
          <w:rtl/>
        </w:rPr>
        <w:t xml:space="preserve"> אם צמצמה והותירה מאלו המזונות הוא של הבעל</w:t>
      </w:r>
      <w:r w:rsidR="00BC010C">
        <w:rPr>
          <w:rFonts w:cs="Arial" w:hint="cs"/>
          <w:rtl/>
        </w:rPr>
        <w:t xml:space="preserve">. </w:t>
      </w:r>
      <w:r w:rsidR="00BC010C" w:rsidRPr="00A30C15">
        <w:rPr>
          <w:rFonts w:cs="Arial"/>
          <w:rtl/>
        </w:rPr>
        <w:t>בד"א בעני שבישראל</w:t>
      </w:r>
      <w:r w:rsidR="00BC010C" w:rsidRPr="00A30C15">
        <w:rPr>
          <w:rFonts w:cs="Arial" w:hint="cs"/>
          <w:rtl/>
        </w:rPr>
        <w:t>,</w:t>
      </w:r>
      <w:r w:rsidR="00BC010C" w:rsidRPr="00A30C15">
        <w:rPr>
          <w:rFonts w:cs="Arial"/>
          <w:rtl/>
        </w:rPr>
        <w:t xml:space="preserve"> אבל בעשירים</w:t>
      </w:r>
      <w:r w:rsidR="00BC010C">
        <w:rPr>
          <w:rStyle w:val="a7"/>
          <w:rFonts w:cs="Arial"/>
          <w:rtl/>
        </w:rPr>
        <w:footnoteReference w:id="258"/>
      </w:r>
      <w:r w:rsidR="00BC010C" w:rsidRPr="00A30C15">
        <w:rPr>
          <w:rFonts w:cs="Arial"/>
          <w:rtl/>
        </w:rPr>
        <w:t xml:space="preserve"> </w:t>
      </w:r>
      <w:r w:rsidR="00BC010C" w:rsidRPr="00A30C15">
        <w:rPr>
          <w:rFonts w:cs="Arial" w:hint="cs"/>
          <w:rtl/>
        </w:rPr>
        <w:t xml:space="preserve">- </w:t>
      </w:r>
      <w:r w:rsidR="00BC010C" w:rsidRPr="00A30C15">
        <w:rPr>
          <w:rFonts w:cs="Arial"/>
          <w:rtl/>
        </w:rPr>
        <w:t>הכל לפי כבודם</w:t>
      </w:r>
      <w:r w:rsidR="00BC010C">
        <w:rPr>
          <w:rFonts w:cs="Arial" w:hint="cs"/>
          <w:rtl/>
        </w:rPr>
        <w:t xml:space="preserve"> </w:t>
      </w:r>
      <w:r w:rsidR="00BC010C">
        <w:rPr>
          <w:rFonts w:cs="Arial" w:hint="cs"/>
          <w:sz w:val="16"/>
          <w:szCs w:val="16"/>
          <w:rtl/>
        </w:rPr>
        <w:t>(ל' הטור)</w:t>
      </w:r>
      <w:r w:rsidR="00BC010C" w:rsidRPr="00A30C15">
        <w:rPr>
          <w:rFonts w:cs="Arial" w:hint="cs"/>
          <w:rtl/>
        </w:rPr>
        <w:t>.</w:t>
      </w:r>
      <w:r w:rsidR="002B771C">
        <w:rPr>
          <w:rFonts w:cs="Arial" w:hint="cs"/>
          <w:rtl/>
        </w:rPr>
        <w:t xml:space="preserve"> </w:t>
      </w:r>
      <w:r w:rsidR="002B771C" w:rsidRPr="002B771C">
        <w:rPr>
          <w:rFonts w:cs="Arial" w:hint="cs"/>
          <w:color w:val="00B0F0"/>
          <w:rtl/>
        </w:rPr>
        <w:t>(וכ"פ הרמ"א</w:t>
      </w:r>
      <w:r w:rsidR="002B771C">
        <w:rPr>
          <w:rFonts w:cs="Arial" w:hint="cs"/>
          <w:color w:val="00B0F0"/>
          <w:sz w:val="16"/>
          <w:szCs w:val="16"/>
          <w:rtl/>
        </w:rPr>
        <w:t xml:space="preserve"> </w:t>
      </w:r>
      <w:r w:rsidR="002B771C" w:rsidRPr="002B771C">
        <w:rPr>
          <w:rFonts w:cs="Arial" w:hint="cs"/>
          <w:color w:val="000000" w:themeColor="text1"/>
          <w:sz w:val="16"/>
          <w:szCs w:val="16"/>
          <w:rtl/>
        </w:rPr>
        <w:t>[כאן ובס"ג]</w:t>
      </w:r>
      <w:r w:rsidR="002B771C" w:rsidRPr="002B771C">
        <w:rPr>
          <w:rFonts w:cs="Arial" w:hint="cs"/>
          <w:color w:val="00B0F0"/>
          <w:rtl/>
        </w:rPr>
        <w:t>)</w:t>
      </w:r>
    </w:p>
    <w:p w14:paraId="2B86D94C" w14:textId="2DF09BA1" w:rsidR="00BC010C" w:rsidRPr="00BC010C" w:rsidRDefault="00BC010C" w:rsidP="00BC010C">
      <w:pPr>
        <w:pStyle w:val="ab"/>
        <w:numPr>
          <w:ilvl w:val="0"/>
          <w:numId w:val="1"/>
        </w:numPr>
        <w:rPr>
          <w:rFonts w:cs="Arial"/>
        </w:rPr>
      </w:pPr>
      <w:r w:rsidRPr="00B149EA">
        <w:rPr>
          <w:rFonts w:cs="Arial"/>
          <w:rtl/>
        </w:rPr>
        <w:t xml:space="preserve">רמב"ם </w:t>
      </w:r>
      <w:r w:rsidRPr="00E36B8D">
        <w:rPr>
          <w:rFonts w:cs="Arial" w:hint="cs"/>
          <w:sz w:val="16"/>
          <w:szCs w:val="16"/>
          <w:rtl/>
        </w:rPr>
        <w:t>(</w:t>
      </w:r>
      <w:r w:rsidRPr="00E36B8D">
        <w:rPr>
          <w:rFonts w:cs="Arial"/>
          <w:sz w:val="16"/>
          <w:szCs w:val="16"/>
          <w:rtl/>
        </w:rPr>
        <w:t>פ</w:t>
      </w:r>
      <w:r w:rsidRPr="00E36B8D">
        <w:rPr>
          <w:rFonts w:cs="Arial" w:hint="cs"/>
          <w:sz w:val="16"/>
          <w:szCs w:val="16"/>
          <w:rtl/>
        </w:rPr>
        <w:t>י"</w:t>
      </w:r>
      <w:r w:rsidRPr="00E36B8D">
        <w:rPr>
          <w:rFonts w:cs="Arial"/>
          <w:sz w:val="16"/>
          <w:szCs w:val="16"/>
          <w:rtl/>
        </w:rPr>
        <w:t>ב מאישות ה"י</w:t>
      </w:r>
      <w:r w:rsidRPr="00E36B8D">
        <w:rPr>
          <w:rFonts w:cs="Arial" w:hint="cs"/>
          <w:sz w:val="16"/>
          <w:szCs w:val="16"/>
          <w:rtl/>
        </w:rPr>
        <w:t>-</w:t>
      </w:r>
      <w:r>
        <w:rPr>
          <w:rFonts w:cs="Arial" w:hint="cs"/>
          <w:sz w:val="16"/>
          <w:szCs w:val="16"/>
          <w:rtl/>
        </w:rPr>
        <w:t>יא</w:t>
      </w:r>
      <w:r w:rsidR="00DE18F4">
        <w:rPr>
          <w:rFonts w:cs="Arial" w:hint="cs"/>
          <w:sz w:val="16"/>
          <w:szCs w:val="16"/>
          <w:rtl/>
        </w:rPr>
        <w:t>, יג</w:t>
      </w:r>
      <w:r w:rsidRPr="00E36B8D">
        <w:rPr>
          <w:rFonts w:cs="Arial"/>
          <w:sz w:val="16"/>
          <w:szCs w:val="16"/>
          <w:rtl/>
        </w:rPr>
        <w:t>)</w:t>
      </w:r>
      <w:r>
        <w:rPr>
          <w:rFonts w:cs="Arial" w:hint="cs"/>
          <w:sz w:val="18"/>
          <w:szCs w:val="18"/>
          <w:rtl/>
        </w:rPr>
        <w:t xml:space="preserve"> </w:t>
      </w:r>
      <w:r w:rsidRPr="00644F88">
        <w:rPr>
          <w:rFonts w:cs="Arial"/>
          <w:rtl/>
        </w:rPr>
        <w:t>כמה מזונות פוסקין לאשה, פוסקין לה לחם שתי סעודות בכל יום סעודה בינונית של כל אדם באותה העיר שאינו לא חולה ולא גרגרן, ומאותו מאכל של אנשי אותה העיר אם חטים חטים ואם שעורים שעורים וכן אורז או דוחן או משאר מינין שנהגו בהן</w:t>
      </w:r>
      <w:r>
        <w:rPr>
          <w:rFonts w:cs="Arial" w:hint="cs"/>
          <w:rtl/>
        </w:rPr>
        <w:t>.</w:t>
      </w:r>
      <w:r w:rsidRPr="00644F88">
        <w:rPr>
          <w:rFonts w:cs="Arial"/>
          <w:rtl/>
        </w:rPr>
        <w:t xml:space="preserve"> ופוסקין לה פרפרת לאכול בה הפת כגון קטנית או ירקות וכיוצא בהן, ושמן לאכילה ושמן להדלקת הנר ופירות</w:t>
      </w:r>
      <w:r>
        <w:rPr>
          <w:rFonts w:cs="Arial" w:hint="cs"/>
          <w:rtl/>
        </w:rPr>
        <w:t>.</w:t>
      </w:r>
      <w:r w:rsidRPr="00644F88">
        <w:rPr>
          <w:rFonts w:cs="Arial"/>
          <w:rtl/>
        </w:rPr>
        <w:t xml:space="preserve"> ומעט יין לשתות</w:t>
      </w:r>
      <w:r>
        <w:rPr>
          <w:rFonts w:cs="Arial" w:hint="cs"/>
          <w:rtl/>
        </w:rPr>
        <w:t>,</w:t>
      </w:r>
      <w:r w:rsidRPr="00644F88">
        <w:rPr>
          <w:rFonts w:cs="Arial"/>
          <w:rtl/>
        </w:rPr>
        <w:t xml:space="preserve"> אם היה מנהג המקום שישתו הנשים יין</w:t>
      </w:r>
      <w:r>
        <w:rPr>
          <w:rStyle w:val="a7"/>
          <w:rFonts w:cs="Arial"/>
          <w:rtl/>
        </w:rPr>
        <w:footnoteReference w:id="259"/>
      </w:r>
      <w:r w:rsidRPr="00644F88">
        <w:rPr>
          <w:rFonts w:cs="Arial"/>
          <w:rtl/>
        </w:rPr>
        <w:t>. ופוסקין לה שלש סעודות בשבת ובשר או דגים כמנהג המקום, ונותן לה בכל שבת ושבת מעה כסף לצרכיה כגון פרוטה לכבוס או למרחץ וכיוצא בהן.</w:t>
      </w:r>
      <w:r w:rsidRPr="00644F88">
        <w:rPr>
          <w:rtl/>
        </w:rPr>
        <w:t xml:space="preserve"> </w:t>
      </w:r>
      <w:r w:rsidRPr="00644F88">
        <w:rPr>
          <w:rFonts w:cs="Arial"/>
          <w:rtl/>
        </w:rPr>
        <w:t>במה דברים אמורים בעני שבישראל אבל אם היה עשיר הכל לפי עשרו, אפילו היה ממונו ראוי לעשות לה כמה תבשילי בשר בכל יום כופין אותו ופוסקין לה מזונות כפי ממונו</w:t>
      </w:r>
      <w:r>
        <w:rPr>
          <w:rFonts w:cs="Arial" w:hint="cs"/>
          <w:rtl/>
        </w:rPr>
        <w:t>.</w:t>
      </w:r>
      <w:r w:rsidR="00DE18F4">
        <w:rPr>
          <w:rFonts w:cs="Arial" w:hint="cs"/>
          <w:rtl/>
        </w:rPr>
        <w:t>..</w:t>
      </w:r>
      <w:r w:rsidR="00DE18F4" w:rsidRPr="00DE18F4">
        <w:rPr>
          <w:rtl/>
        </w:rPr>
        <w:t xml:space="preserve"> </w:t>
      </w:r>
      <w:r w:rsidR="00DE18F4" w:rsidRPr="00DE18F4">
        <w:rPr>
          <w:rFonts w:cs="Arial"/>
          <w:rtl/>
        </w:rPr>
        <w:t>האשה שפסקו לה מזונות והותירו</w:t>
      </w:r>
      <w:r w:rsidR="00DE18F4">
        <w:rPr>
          <w:rFonts w:cs="Arial" w:hint="cs"/>
          <w:rtl/>
        </w:rPr>
        <w:t>,</w:t>
      </w:r>
      <w:r w:rsidR="00DE18F4" w:rsidRPr="00DE18F4">
        <w:rPr>
          <w:rFonts w:cs="Arial"/>
          <w:rtl/>
        </w:rPr>
        <w:t xml:space="preserve"> המותר לבעל</w:t>
      </w:r>
      <w:r w:rsidR="00DE18F4">
        <w:rPr>
          <w:rFonts w:cs="Arial" w:hint="cs"/>
          <w:rtl/>
        </w:rPr>
        <w:t>.</w:t>
      </w:r>
      <w:r w:rsidR="00DE18F4" w:rsidRPr="00DE18F4">
        <w:rPr>
          <w:rFonts w:cs="Arial"/>
          <w:color w:val="E36C0A" w:themeColor="accent6" w:themeShade="BF"/>
          <w:rtl/>
        </w:rPr>
        <w:t xml:space="preserve"> </w:t>
      </w:r>
      <w:r w:rsidR="00DE18F4" w:rsidRPr="00DE18F4">
        <w:rPr>
          <w:rFonts w:cs="Arial" w:hint="cs"/>
          <w:color w:val="E36C0A" w:themeColor="accent6" w:themeShade="BF"/>
          <w:rtl/>
        </w:rPr>
        <w:t>(וכ"פ בשו"ע</w:t>
      </w:r>
      <w:r w:rsidR="00DE18F4">
        <w:rPr>
          <w:rFonts w:cs="Arial" w:hint="cs"/>
          <w:color w:val="E36C0A" w:themeColor="accent6" w:themeShade="BF"/>
          <w:sz w:val="16"/>
          <w:szCs w:val="16"/>
          <w:rtl/>
        </w:rPr>
        <w:t xml:space="preserve"> </w:t>
      </w:r>
      <w:r w:rsidR="00DE18F4" w:rsidRPr="00DE18F4">
        <w:rPr>
          <w:rFonts w:cs="Arial" w:hint="cs"/>
          <w:color w:val="000000" w:themeColor="text1"/>
          <w:sz w:val="16"/>
          <w:szCs w:val="16"/>
          <w:rtl/>
        </w:rPr>
        <w:t>[בס"</w:t>
      </w:r>
      <w:r w:rsidR="00DE18F4">
        <w:rPr>
          <w:rFonts w:cs="Arial" w:hint="cs"/>
          <w:color w:val="000000" w:themeColor="text1"/>
          <w:sz w:val="16"/>
          <w:szCs w:val="16"/>
          <w:rtl/>
        </w:rPr>
        <w:t>ג</w:t>
      </w:r>
      <w:r w:rsidR="00DE18F4" w:rsidRPr="00DE18F4">
        <w:rPr>
          <w:rFonts w:cs="Arial" w:hint="cs"/>
          <w:color w:val="000000" w:themeColor="text1"/>
          <w:sz w:val="16"/>
          <w:szCs w:val="16"/>
          <w:rtl/>
        </w:rPr>
        <w:t>]</w:t>
      </w:r>
      <w:r w:rsidR="00DE18F4" w:rsidRPr="00DE18F4">
        <w:rPr>
          <w:rFonts w:cs="Arial" w:hint="cs"/>
          <w:color w:val="E36C0A" w:themeColor="accent6" w:themeShade="BF"/>
          <w:rtl/>
        </w:rPr>
        <w:t>)</w:t>
      </w:r>
    </w:p>
    <w:p w14:paraId="1BEA6B31" w14:textId="4C72E99A" w:rsidR="000B581D" w:rsidRPr="00771687" w:rsidRDefault="00644F88" w:rsidP="00771687">
      <w:pPr>
        <w:ind w:left="360"/>
        <w:rPr>
          <w:rFonts w:cs="Arial"/>
          <w:u w:val="dotted"/>
        </w:rPr>
      </w:pPr>
      <w:r w:rsidRPr="00771687">
        <w:rPr>
          <w:rFonts w:cs="Arial" w:hint="cs"/>
          <w:u w:val="dotted"/>
          <w:rtl/>
        </w:rPr>
        <w:lastRenderedPageBreak/>
        <w:t>האם צריך ליתן לה גם</w:t>
      </w:r>
      <w:r w:rsidR="000B581D" w:rsidRPr="00771687">
        <w:rPr>
          <w:rFonts w:cs="Arial" w:hint="cs"/>
          <w:u w:val="dotted"/>
          <w:rtl/>
        </w:rPr>
        <w:t xml:space="preserve"> כלי בישול ועצים וכו':</w:t>
      </w:r>
    </w:p>
    <w:p w14:paraId="54A2F53F" w14:textId="4A190DEA" w:rsidR="000B581D" w:rsidRPr="002B771C" w:rsidRDefault="000B581D" w:rsidP="002B771C">
      <w:pPr>
        <w:pStyle w:val="ab"/>
        <w:numPr>
          <w:ilvl w:val="0"/>
          <w:numId w:val="1"/>
        </w:numPr>
        <w:rPr>
          <w:rFonts w:cs="Arial"/>
        </w:rPr>
      </w:pPr>
      <w:r w:rsidRPr="000B581D">
        <w:rPr>
          <w:rFonts w:cs="Arial"/>
          <w:rtl/>
        </w:rPr>
        <w:t xml:space="preserve">ר"ן </w:t>
      </w:r>
      <w:r w:rsidRPr="000B581D">
        <w:rPr>
          <w:rFonts w:cs="Arial"/>
          <w:sz w:val="16"/>
          <w:szCs w:val="16"/>
          <w:rtl/>
        </w:rPr>
        <w:t>(כח. ד"ה לא יפחות)</w:t>
      </w:r>
      <w:r>
        <w:rPr>
          <w:rFonts w:cs="Arial" w:hint="cs"/>
          <w:rtl/>
        </w:rPr>
        <w:t xml:space="preserve">- </w:t>
      </w:r>
      <w:r w:rsidRPr="000B581D">
        <w:rPr>
          <w:rFonts w:cs="Arial"/>
          <w:rtl/>
        </w:rPr>
        <w:t>יש לדקדק אמאי לא חשבינן ציבי לבשל מאכלה</w:t>
      </w:r>
      <w:r w:rsidR="00644F88">
        <w:rPr>
          <w:rFonts w:cs="Arial" w:hint="cs"/>
          <w:rtl/>
        </w:rPr>
        <w:t>.</w:t>
      </w:r>
      <w:r w:rsidRPr="000B581D">
        <w:rPr>
          <w:rFonts w:cs="Arial"/>
          <w:rtl/>
        </w:rPr>
        <w:t xml:space="preserve"> ואיפשר דמשום דתנא במקום הרים קאי</w:t>
      </w:r>
      <w:r w:rsidR="00644F88">
        <w:rPr>
          <w:rFonts w:cs="Arial" w:hint="cs"/>
          <w:rtl/>
        </w:rPr>
        <w:t>,</w:t>
      </w:r>
      <w:r w:rsidRPr="000B581D">
        <w:rPr>
          <w:rFonts w:cs="Arial"/>
          <w:rtl/>
        </w:rPr>
        <w:t xml:space="preserve"> וכדאיתא בגמרא (סה:)</w:t>
      </w:r>
      <w:r w:rsidR="00644F88">
        <w:rPr>
          <w:rFonts w:cs="Arial" w:hint="cs"/>
          <w:rtl/>
        </w:rPr>
        <w:t>,</w:t>
      </w:r>
      <w:r w:rsidRPr="000B581D">
        <w:rPr>
          <w:rFonts w:cs="Arial"/>
          <w:rtl/>
        </w:rPr>
        <w:t xml:space="preserve"> לא חשיב ציבי</w:t>
      </w:r>
      <w:r w:rsidR="00644F88">
        <w:rPr>
          <w:rFonts w:cs="Arial" w:hint="cs"/>
          <w:rtl/>
        </w:rPr>
        <w:t>,</w:t>
      </w:r>
      <w:r w:rsidRPr="000B581D">
        <w:rPr>
          <w:rFonts w:cs="Arial"/>
          <w:rtl/>
        </w:rPr>
        <w:t xml:space="preserve"> דהא אית לה</w:t>
      </w:r>
      <w:r w:rsidR="00644F88">
        <w:rPr>
          <w:rFonts w:cs="Arial" w:hint="cs"/>
          <w:rtl/>
        </w:rPr>
        <w:t>,</w:t>
      </w:r>
      <w:r w:rsidRPr="000B581D">
        <w:rPr>
          <w:rFonts w:cs="Arial"/>
          <w:rtl/>
        </w:rPr>
        <w:t xml:space="preserve"> אבל היכא דלית לה ודאי יהיב לה</w:t>
      </w:r>
      <w:r w:rsidRPr="000B581D">
        <w:rPr>
          <w:rFonts w:cs="Arial" w:hint="cs"/>
          <w:rtl/>
        </w:rPr>
        <w:t>.</w:t>
      </w:r>
      <w:r w:rsidRPr="000B581D">
        <w:rPr>
          <w:rFonts w:cs="Arial"/>
          <w:rtl/>
        </w:rPr>
        <w:t xml:space="preserve"> אי נמי האי תנא לא חשיב אלא מידי דמיכל</w:t>
      </w:r>
      <w:r w:rsidR="00644F88">
        <w:rPr>
          <w:rFonts w:cs="Arial" w:hint="cs"/>
          <w:rtl/>
        </w:rPr>
        <w:t>,</w:t>
      </w:r>
      <w:r w:rsidRPr="000B581D">
        <w:rPr>
          <w:rFonts w:cs="Arial"/>
          <w:rtl/>
        </w:rPr>
        <w:t xml:space="preserve"> אבל מידי דבר אכשורי מיכלא לא קא חשיב</w:t>
      </w:r>
      <w:r w:rsidR="00644F88">
        <w:rPr>
          <w:rFonts w:cs="Arial" w:hint="cs"/>
          <w:rtl/>
        </w:rPr>
        <w:t>,</w:t>
      </w:r>
      <w:r w:rsidRPr="000B581D">
        <w:rPr>
          <w:rFonts w:cs="Arial"/>
          <w:rtl/>
        </w:rPr>
        <w:t xml:space="preserve"> ומשום הכי לא חשיב נר ופתילה וכוס וחבית וקדרה אע</w:t>
      </w:r>
      <w:r w:rsidR="00644F88">
        <w:rPr>
          <w:rFonts w:cs="Arial" w:hint="cs"/>
          <w:rtl/>
        </w:rPr>
        <w:t>"</w:t>
      </w:r>
      <w:r w:rsidRPr="000B581D">
        <w:rPr>
          <w:rFonts w:cs="Arial"/>
          <w:rtl/>
        </w:rPr>
        <w:t>ג דודאי יהיב לה</w:t>
      </w:r>
      <w:r w:rsidR="00644F88">
        <w:rPr>
          <w:rFonts w:cs="Arial" w:hint="cs"/>
          <w:rtl/>
        </w:rPr>
        <w:t>.</w:t>
      </w:r>
      <w:r w:rsidRPr="000B581D">
        <w:rPr>
          <w:rFonts w:cs="Arial"/>
          <w:rtl/>
        </w:rPr>
        <w:t xml:space="preserve"> והכי איתא בירושלמי </w:t>
      </w:r>
      <w:r w:rsidRPr="002B771C">
        <w:rPr>
          <w:rFonts w:cs="Arial"/>
          <w:sz w:val="16"/>
          <w:szCs w:val="16"/>
          <w:rtl/>
        </w:rPr>
        <w:t xml:space="preserve">(פ"ה ה"י) </w:t>
      </w:r>
      <w:r w:rsidRPr="000B581D">
        <w:rPr>
          <w:rFonts w:cs="Arial"/>
          <w:rtl/>
        </w:rPr>
        <w:t xml:space="preserve">ובתוספתא </w:t>
      </w:r>
      <w:r w:rsidRPr="002B771C">
        <w:rPr>
          <w:rFonts w:cs="Arial"/>
          <w:sz w:val="16"/>
          <w:szCs w:val="16"/>
          <w:rtl/>
        </w:rPr>
        <w:t>(פ"ה ה"ז)</w:t>
      </w:r>
      <w:r w:rsidRPr="000B581D">
        <w:rPr>
          <w:rFonts w:cs="Arial" w:hint="cs"/>
          <w:rtl/>
        </w:rPr>
        <w:t>.</w:t>
      </w:r>
      <w:r w:rsidR="002B771C" w:rsidRPr="002B771C">
        <w:rPr>
          <w:rFonts w:cs="Arial" w:hint="cs"/>
          <w:color w:val="00B0F0"/>
          <w:rtl/>
        </w:rPr>
        <w:t xml:space="preserve"> (וכ"פ הרמ"א)</w:t>
      </w:r>
    </w:p>
    <w:p w14:paraId="3B498EEA" w14:textId="77777777" w:rsidR="00971CA9" w:rsidRDefault="00971CA9" w:rsidP="00971CA9">
      <w:pPr>
        <w:rPr>
          <w:rFonts w:cs="Arial"/>
          <w:rtl/>
        </w:rPr>
      </w:pPr>
      <w:r w:rsidRPr="003024E5">
        <w:rPr>
          <w:rFonts w:asciiTheme="minorBidi" w:hAnsiTheme="minorBidi"/>
          <w:b/>
          <w:bCs/>
          <w:color w:val="000000"/>
          <w:sz w:val="28"/>
          <w:szCs w:val="28"/>
          <w:u w:val="single"/>
          <w:rtl/>
        </w:rPr>
        <w:t>שו"ע:</w:t>
      </w:r>
    </w:p>
    <w:p w14:paraId="149D13F4" w14:textId="13A36CD1" w:rsidR="00971CA9" w:rsidRDefault="00971CA9" w:rsidP="00971CA9">
      <w:pPr>
        <w:rPr>
          <w:rtl/>
        </w:rPr>
      </w:pPr>
      <w:r>
        <w:rPr>
          <w:rFonts w:cs="Arial"/>
          <w:rtl/>
        </w:rPr>
        <w:t>כיצד חייב במזונותיה, אוכלת ושותה ממה שהוא אוכל ושותה. ואם כל בני משפחתה רגילים בגדולות, צריך להנהיגה כן</w:t>
      </w:r>
      <w:r w:rsidR="008A6B20">
        <w:rPr>
          <w:rFonts w:cs="Arial" w:hint="cs"/>
          <w:rtl/>
        </w:rPr>
        <w:t>.</w:t>
      </w:r>
      <w:r>
        <w:rPr>
          <w:rFonts w:cs="Arial"/>
          <w:rtl/>
        </w:rPr>
        <w:t xml:space="preserve"> ואם אין כולם רגילים בגדולות, אינו חייב להנהיגה בכך כשאוכלת עמו. </w:t>
      </w:r>
      <w:r w:rsidR="008A6B20">
        <w:rPr>
          <w:rFonts w:cs="Arial" w:hint="cs"/>
          <w:sz w:val="18"/>
          <w:szCs w:val="18"/>
          <w:rtl/>
        </w:rPr>
        <w:t xml:space="preserve">[הגה] </w:t>
      </w:r>
      <w:r w:rsidRPr="008A6B20">
        <w:rPr>
          <w:rFonts w:cs="Arial"/>
          <w:sz w:val="18"/>
          <w:szCs w:val="18"/>
          <w:rtl/>
        </w:rPr>
        <w:t>אבל כשאינה אוכלת עמו צריך להנהיגה כדרך שהיתה נוהגת בבית אביה</w:t>
      </w:r>
      <w:r w:rsidR="00C35DBB">
        <w:rPr>
          <w:rStyle w:val="a7"/>
          <w:rFonts w:cs="Arial"/>
          <w:sz w:val="18"/>
          <w:szCs w:val="18"/>
          <w:rtl/>
        </w:rPr>
        <w:footnoteReference w:id="260"/>
      </w:r>
      <w:r w:rsidRPr="008A6B20">
        <w:rPr>
          <w:rFonts w:cs="Arial"/>
          <w:sz w:val="18"/>
          <w:szCs w:val="18"/>
          <w:rtl/>
        </w:rPr>
        <w:t xml:space="preserve"> (טור).</w:t>
      </w:r>
      <w:r>
        <w:rPr>
          <w:rFonts w:cs="Arial"/>
          <w:rtl/>
        </w:rPr>
        <w:t xml:space="preserve"> </w:t>
      </w:r>
    </w:p>
    <w:p w14:paraId="65643C57" w14:textId="77777777" w:rsidR="008A6B20" w:rsidRDefault="008A6B20" w:rsidP="00971CA9">
      <w:pPr>
        <w:rPr>
          <w:rtl/>
        </w:rPr>
      </w:pPr>
    </w:p>
    <w:p w14:paraId="69132F89" w14:textId="63080223" w:rsidR="00971CA9" w:rsidRDefault="00971CA9" w:rsidP="000F64D0">
      <w:pPr>
        <w:pStyle w:val="2"/>
        <w:rPr>
          <w:rtl/>
        </w:rPr>
      </w:pPr>
      <w:r>
        <w:rPr>
          <w:rtl/>
        </w:rPr>
        <w:t>סעיף ב</w:t>
      </w:r>
      <w:r w:rsidR="00C9081D">
        <w:rPr>
          <w:rFonts w:hint="cs"/>
          <w:rtl/>
        </w:rPr>
        <w:t xml:space="preserve">: </w:t>
      </w:r>
      <w:r w:rsidR="00C9081D">
        <w:rPr>
          <w:rtl/>
        </w:rPr>
        <w:t>בעל שרצה ליתן לאשתו מזונותיה הראוים לה ותהיה אוכלת ושותה לעצמה</w:t>
      </w:r>
      <w:r w:rsidR="00C9081D">
        <w:rPr>
          <w:rFonts w:hint="cs"/>
          <w:rtl/>
        </w:rPr>
        <w:t>.</w:t>
      </w:r>
    </w:p>
    <w:p w14:paraId="4546D806" w14:textId="62BF66E3" w:rsidR="00C9081D" w:rsidRDefault="00F32736" w:rsidP="00C9081D">
      <w:pPr>
        <w:rPr>
          <w:rtl/>
        </w:rPr>
      </w:pPr>
      <w:r w:rsidRPr="006C3CF4">
        <w:rPr>
          <w:rFonts w:cs="Arial" w:hint="cs"/>
          <w:b/>
          <w:bCs/>
          <w:rtl/>
        </w:rPr>
        <w:t xml:space="preserve">כתובות </w:t>
      </w:r>
      <w:r>
        <w:rPr>
          <w:rFonts w:cs="Arial" w:hint="cs"/>
          <w:b/>
          <w:bCs/>
          <w:sz w:val="16"/>
          <w:szCs w:val="16"/>
          <w:rtl/>
        </w:rPr>
        <w:t xml:space="preserve">(ס"פ אף על פי) </w:t>
      </w:r>
      <w:r w:rsidRPr="006C3CF4">
        <w:rPr>
          <w:rFonts w:cs="Arial" w:hint="cs"/>
          <w:b/>
          <w:bCs/>
          <w:rtl/>
        </w:rPr>
        <w:t xml:space="preserve">סד ע"ב: </w:t>
      </w:r>
      <w:r w:rsidRPr="00E36B8D">
        <w:rPr>
          <w:rFonts w:cs="Arial"/>
          <w:u w:val="double"/>
          <w:rtl/>
        </w:rPr>
        <w:t>מתני'</w:t>
      </w:r>
      <w:r>
        <w:rPr>
          <w:rFonts w:cs="Arial" w:hint="cs"/>
          <w:rtl/>
        </w:rPr>
        <w:t>:</w:t>
      </w:r>
      <w:r w:rsidRPr="006C3CF4">
        <w:rPr>
          <w:rFonts w:cs="Arial"/>
          <w:rtl/>
        </w:rPr>
        <w:t xml:space="preserve"> המשרה את אשתו על ידי שליש - לא יפחות לה משני קבין חטין או מארבעה קבין שעורין.</w:t>
      </w:r>
      <w:r>
        <w:rPr>
          <w:rFonts w:hint="cs"/>
          <w:rtl/>
        </w:rPr>
        <w:t>..</w:t>
      </w:r>
    </w:p>
    <w:p w14:paraId="661D3F27" w14:textId="77777777" w:rsidR="00F32736" w:rsidRPr="000B581D" w:rsidRDefault="00F32736" w:rsidP="00F32736">
      <w:r>
        <w:rPr>
          <w:rFonts w:cs="Arial" w:hint="cs"/>
          <w:b/>
          <w:bCs/>
          <w:rtl/>
        </w:rPr>
        <w:t xml:space="preserve">ירושלמי כתובות פ"ז ה"א: </w:t>
      </w:r>
      <w:r w:rsidRPr="007816E7">
        <w:rPr>
          <w:rFonts w:cs="Arial"/>
          <w:rtl/>
        </w:rPr>
        <w:t>רשות ביד האשה לומר</w:t>
      </w:r>
      <w:r>
        <w:rPr>
          <w:rFonts w:cs="Arial" w:hint="cs"/>
          <w:rtl/>
        </w:rPr>
        <w:t>:</w:t>
      </w:r>
      <w:r w:rsidRPr="007816E7">
        <w:rPr>
          <w:rFonts w:cs="Arial"/>
          <w:rtl/>
        </w:rPr>
        <w:t xml:space="preserve"> אי איפשי להתפרנס מאחר אלא מבעלי</w:t>
      </w:r>
      <w:r>
        <w:rPr>
          <w:rFonts w:cs="Arial" w:hint="cs"/>
          <w:rtl/>
        </w:rPr>
        <w:t>.</w:t>
      </w:r>
      <w:r w:rsidRPr="007816E7">
        <w:rPr>
          <w:rFonts w:cs="Arial"/>
          <w:rtl/>
        </w:rPr>
        <w:t xml:space="preserve"> והתנינן</w:t>
      </w:r>
      <w:r>
        <w:rPr>
          <w:rFonts w:cs="Arial" w:hint="cs"/>
          <w:rtl/>
        </w:rPr>
        <w:t>:</w:t>
      </w:r>
      <w:r w:rsidRPr="007816E7">
        <w:rPr>
          <w:rFonts w:cs="Arial"/>
          <w:rtl/>
        </w:rPr>
        <w:t xml:space="preserve"> המשרה את אשתו על ידי שליש</w:t>
      </w:r>
      <w:r>
        <w:rPr>
          <w:rFonts w:cs="Arial" w:hint="cs"/>
          <w:rtl/>
        </w:rPr>
        <w:t>.</w:t>
      </w:r>
      <w:r w:rsidRPr="007816E7">
        <w:rPr>
          <w:rFonts w:cs="Arial"/>
          <w:rtl/>
        </w:rPr>
        <w:t xml:space="preserve"> כאן</w:t>
      </w:r>
      <w:r>
        <w:rPr>
          <w:rFonts w:cs="Arial" w:hint="cs"/>
          <w:rtl/>
        </w:rPr>
        <w:t xml:space="preserve"> -</w:t>
      </w:r>
      <w:r w:rsidRPr="007816E7">
        <w:rPr>
          <w:rFonts w:cs="Arial"/>
          <w:rtl/>
        </w:rPr>
        <w:t xml:space="preserve"> בשקיבלה עליה</w:t>
      </w:r>
      <w:r>
        <w:rPr>
          <w:rFonts w:cs="Arial" w:hint="cs"/>
          <w:rtl/>
        </w:rPr>
        <w:t>.</w:t>
      </w:r>
      <w:r w:rsidRPr="007816E7">
        <w:rPr>
          <w:rFonts w:cs="Arial"/>
          <w:rtl/>
        </w:rPr>
        <w:t xml:space="preserve"> וכאן</w:t>
      </w:r>
      <w:r>
        <w:rPr>
          <w:rFonts w:cs="Arial" w:hint="cs"/>
          <w:rtl/>
        </w:rPr>
        <w:t xml:space="preserve"> -</w:t>
      </w:r>
      <w:r w:rsidRPr="007816E7">
        <w:rPr>
          <w:rFonts w:cs="Arial"/>
          <w:rtl/>
        </w:rPr>
        <w:t xml:space="preserve"> בשלא קיבלה עליה</w:t>
      </w:r>
      <w:r>
        <w:rPr>
          <w:rFonts w:cs="Arial" w:hint="cs"/>
          <w:rtl/>
        </w:rPr>
        <w:t>.</w:t>
      </w:r>
    </w:p>
    <w:p w14:paraId="0B0CB2FB" w14:textId="77777777" w:rsidR="00F32736" w:rsidRPr="007816E7" w:rsidRDefault="00F32736" w:rsidP="00F32736">
      <w:pPr>
        <w:ind w:left="360"/>
        <w:rPr>
          <w:rFonts w:cs="Arial"/>
          <w:u w:val="single"/>
        </w:rPr>
      </w:pPr>
      <w:r w:rsidRPr="007816E7">
        <w:rPr>
          <w:rFonts w:cs="Arial" w:hint="cs"/>
          <w:u w:val="single"/>
          <w:rtl/>
        </w:rPr>
        <w:t>האם יכול לפרנסה ע"י שליש כנגד רצונה:</w:t>
      </w:r>
    </w:p>
    <w:p w14:paraId="013B0BAC" w14:textId="563A38B7" w:rsidR="00F32736" w:rsidRPr="002B771C" w:rsidRDefault="00F32736" w:rsidP="002B771C">
      <w:pPr>
        <w:pStyle w:val="ab"/>
        <w:numPr>
          <w:ilvl w:val="0"/>
          <w:numId w:val="1"/>
        </w:numPr>
        <w:rPr>
          <w:rFonts w:cs="Arial"/>
        </w:rPr>
      </w:pPr>
      <w:r>
        <w:rPr>
          <w:rFonts w:cs="Arial" w:hint="cs"/>
          <w:rtl/>
        </w:rPr>
        <w:t>ראב"ד רמב"ן רשב"א רא"ש טור</w:t>
      </w:r>
      <w:r w:rsidRPr="001D4400">
        <w:rPr>
          <w:rFonts w:cs="Arial" w:hint="cs"/>
          <w:rtl/>
        </w:rPr>
        <w:t xml:space="preserve"> </w:t>
      </w:r>
      <w:r>
        <w:rPr>
          <w:rFonts w:cs="Arial" w:hint="cs"/>
          <w:rtl/>
        </w:rPr>
        <w:t>ורשב"ש</w:t>
      </w:r>
      <w:r>
        <w:rPr>
          <w:rStyle w:val="a7"/>
          <w:rFonts w:cs="Arial"/>
          <w:rtl/>
        </w:rPr>
        <w:footnoteReference w:id="261"/>
      </w:r>
      <w:r>
        <w:rPr>
          <w:rFonts w:cs="Arial" w:hint="cs"/>
          <w:rtl/>
        </w:rPr>
        <w:t xml:space="preserve">- </w:t>
      </w:r>
      <w:r w:rsidRPr="00B149EA">
        <w:rPr>
          <w:rFonts w:cs="Arial"/>
          <w:rtl/>
        </w:rPr>
        <w:t>בירושל</w:t>
      </w:r>
      <w:r w:rsidR="003F04A1">
        <w:rPr>
          <w:rFonts w:cs="Arial" w:hint="cs"/>
          <w:rtl/>
        </w:rPr>
        <w:t>מי</w:t>
      </w:r>
      <w:r w:rsidRPr="00B149EA">
        <w:rPr>
          <w:rFonts w:cs="Arial"/>
          <w:rtl/>
        </w:rPr>
        <w:t xml:space="preserve"> משמע שאין יכול לפרנסה ע"י פרנס והיא תאכל לבדה אא"כ שיהיה מרצונה</w:t>
      </w:r>
      <w:r>
        <w:rPr>
          <w:rFonts w:cs="Arial" w:hint="cs"/>
          <w:sz w:val="16"/>
          <w:szCs w:val="16"/>
          <w:rtl/>
        </w:rPr>
        <w:t xml:space="preserve"> (ל' הטור בשם הרא"ש)</w:t>
      </w:r>
      <w:r>
        <w:rPr>
          <w:rFonts w:cs="Arial" w:hint="cs"/>
          <w:rtl/>
        </w:rPr>
        <w:t>.</w:t>
      </w:r>
      <w:r w:rsidR="002B771C" w:rsidRPr="002B771C">
        <w:rPr>
          <w:rFonts w:cs="Arial" w:hint="cs"/>
          <w:color w:val="00B0F0"/>
          <w:rtl/>
        </w:rPr>
        <w:t xml:space="preserve"> (וכ"פ הרמ"א)</w:t>
      </w:r>
      <w:r w:rsidR="006B04B6">
        <w:rPr>
          <w:rFonts w:cs="Arial" w:hint="cs"/>
          <w:rtl/>
        </w:rPr>
        <w:t xml:space="preserve"> </w:t>
      </w:r>
    </w:p>
    <w:p w14:paraId="63DB10B8" w14:textId="563B8B3B" w:rsidR="00F32736" w:rsidRPr="00F32736" w:rsidRDefault="00F32736" w:rsidP="00F32736">
      <w:pPr>
        <w:pStyle w:val="ab"/>
        <w:numPr>
          <w:ilvl w:val="0"/>
          <w:numId w:val="1"/>
        </w:numPr>
        <w:rPr>
          <w:rFonts w:cs="Arial"/>
          <w:rtl/>
        </w:rPr>
      </w:pPr>
      <w:r w:rsidRPr="00B149EA">
        <w:rPr>
          <w:rFonts w:cs="Arial"/>
          <w:rtl/>
        </w:rPr>
        <w:t xml:space="preserve">רמב"ם </w:t>
      </w:r>
      <w:r w:rsidRPr="00E36B8D">
        <w:rPr>
          <w:rFonts w:cs="Arial" w:hint="cs"/>
          <w:sz w:val="16"/>
          <w:szCs w:val="16"/>
          <w:rtl/>
        </w:rPr>
        <w:t>(</w:t>
      </w:r>
      <w:r w:rsidRPr="00E36B8D">
        <w:rPr>
          <w:rFonts w:cs="Arial"/>
          <w:sz w:val="16"/>
          <w:szCs w:val="16"/>
          <w:rtl/>
        </w:rPr>
        <w:t>פ</w:t>
      </w:r>
      <w:r w:rsidRPr="00E36B8D">
        <w:rPr>
          <w:rFonts w:cs="Arial" w:hint="cs"/>
          <w:sz w:val="16"/>
          <w:szCs w:val="16"/>
          <w:rtl/>
        </w:rPr>
        <w:t>י"</w:t>
      </w:r>
      <w:r w:rsidRPr="00E36B8D">
        <w:rPr>
          <w:rFonts w:cs="Arial"/>
          <w:sz w:val="16"/>
          <w:szCs w:val="16"/>
          <w:rtl/>
        </w:rPr>
        <w:t>ב מאישות ה</w:t>
      </w:r>
      <w:r>
        <w:rPr>
          <w:rFonts w:cs="Arial" w:hint="cs"/>
          <w:sz w:val="16"/>
          <w:szCs w:val="16"/>
          <w:rtl/>
        </w:rPr>
        <w:t>י"ב</w:t>
      </w:r>
      <w:r w:rsidRPr="00E36B8D">
        <w:rPr>
          <w:rFonts w:cs="Arial"/>
          <w:sz w:val="16"/>
          <w:szCs w:val="16"/>
          <w:rtl/>
        </w:rPr>
        <w:t>)</w:t>
      </w:r>
      <w:r>
        <w:rPr>
          <w:rFonts w:cs="Arial" w:hint="cs"/>
          <w:rtl/>
        </w:rPr>
        <w:t xml:space="preserve">- </w:t>
      </w:r>
      <w:r w:rsidRPr="00644F88">
        <w:rPr>
          <w:rFonts w:cs="Arial"/>
          <w:rtl/>
        </w:rPr>
        <w:t xml:space="preserve">בעל שרצה ליתן לאשתו מזונותיה הראויות לה ותהיה אוכלת ושותה לעצמה והוא אוכל ושותה לעצמו </w:t>
      </w:r>
      <w:r>
        <w:rPr>
          <w:rFonts w:cs="Arial" w:hint="cs"/>
          <w:rtl/>
        </w:rPr>
        <w:t xml:space="preserve">- </w:t>
      </w:r>
      <w:r w:rsidRPr="00644F88">
        <w:rPr>
          <w:rFonts w:cs="Arial"/>
          <w:rtl/>
        </w:rPr>
        <w:t>הרשות בידו</w:t>
      </w:r>
      <w:r>
        <w:rPr>
          <w:rFonts w:cs="Arial" w:hint="cs"/>
          <w:rtl/>
        </w:rPr>
        <w:t>,</w:t>
      </w:r>
      <w:r w:rsidRPr="00644F88">
        <w:rPr>
          <w:rFonts w:cs="Arial"/>
          <w:rtl/>
        </w:rPr>
        <w:t xml:space="preserve"> ובלבד שיאכל עמה מלילי שבת ללילי שבת</w:t>
      </w:r>
      <w:r>
        <w:rPr>
          <w:rStyle w:val="a7"/>
          <w:rFonts w:cs="Arial"/>
          <w:rtl/>
        </w:rPr>
        <w:footnoteReference w:id="262"/>
      </w:r>
      <w:r w:rsidRPr="00644F88">
        <w:rPr>
          <w:rFonts w:cs="Arial"/>
          <w:rtl/>
        </w:rPr>
        <w:t>.</w:t>
      </w:r>
      <w:r w:rsidR="002B771C" w:rsidRPr="00DE18F4">
        <w:rPr>
          <w:rFonts w:cs="Arial"/>
          <w:color w:val="E36C0A" w:themeColor="accent6" w:themeShade="BF"/>
          <w:rtl/>
        </w:rPr>
        <w:t xml:space="preserve"> </w:t>
      </w:r>
      <w:r w:rsidR="002B771C" w:rsidRPr="00DE18F4">
        <w:rPr>
          <w:rFonts w:cs="Arial" w:hint="cs"/>
          <w:color w:val="E36C0A" w:themeColor="accent6" w:themeShade="BF"/>
          <w:rtl/>
        </w:rPr>
        <w:t>(וכ"פ בשו"ע)</w:t>
      </w:r>
    </w:p>
    <w:p w14:paraId="0FFC8845" w14:textId="77777777" w:rsidR="00971CA9" w:rsidRDefault="00971CA9" w:rsidP="00971CA9">
      <w:pPr>
        <w:rPr>
          <w:rFonts w:cs="Arial"/>
          <w:rtl/>
        </w:rPr>
      </w:pPr>
      <w:r w:rsidRPr="003024E5">
        <w:rPr>
          <w:rFonts w:asciiTheme="minorBidi" w:hAnsiTheme="minorBidi"/>
          <w:b/>
          <w:bCs/>
          <w:color w:val="000000"/>
          <w:sz w:val="28"/>
          <w:szCs w:val="28"/>
          <w:u w:val="single"/>
          <w:rtl/>
        </w:rPr>
        <w:t>שו"ע:</w:t>
      </w:r>
    </w:p>
    <w:p w14:paraId="201387F1" w14:textId="1DBDB9C7" w:rsidR="00971CA9" w:rsidRDefault="00971CA9" w:rsidP="00971CA9">
      <w:pPr>
        <w:rPr>
          <w:rtl/>
        </w:rPr>
      </w:pPr>
      <w:r>
        <w:rPr>
          <w:rFonts w:cs="Arial"/>
          <w:rtl/>
        </w:rPr>
        <w:t xml:space="preserve">בעל שרצה ליתן לאשתו מזונותיה הראוים לה ותהיה אוכלת ושותה לעצמה, הרשות בידו, ובלבד שיאכל עמה בליל שבת. </w:t>
      </w:r>
      <w:r w:rsidR="00771687">
        <w:rPr>
          <w:rFonts w:cs="Arial" w:hint="cs"/>
          <w:sz w:val="18"/>
          <w:szCs w:val="18"/>
          <w:rtl/>
        </w:rPr>
        <w:t xml:space="preserve">[הגה] </w:t>
      </w:r>
      <w:r w:rsidRPr="00C35DBB">
        <w:rPr>
          <w:rFonts w:cs="Arial"/>
          <w:sz w:val="18"/>
          <w:szCs w:val="18"/>
          <w:rtl/>
        </w:rPr>
        <w:t>ויש חולקין וסבירא להו דלא יוכל לומר שהיא תאכל לבדה אא"כ קבלה עליה מרצונה (</w:t>
      </w:r>
      <w:r w:rsidR="00EB1EE9">
        <w:rPr>
          <w:rFonts w:cs="Arial" w:hint="cs"/>
          <w:sz w:val="18"/>
          <w:szCs w:val="18"/>
          <w:rtl/>
        </w:rPr>
        <w:t>רא"ש ועוד ראשונים בשם הירושלמי),</w:t>
      </w:r>
      <w:r w:rsidRPr="00C35DBB">
        <w:rPr>
          <w:rFonts w:cs="Arial"/>
          <w:sz w:val="18"/>
          <w:szCs w:val="18"/>
          <w:rtl/>
        </w:rPr>
        <w:t xml:space="preserve"> וכן נראה לי.</w:t>
      </w:r>
      <w:r>
        <w:rPr>
          <w:rFonts w:cs="Arial"/>
          <w:rtl/>
        </w:rPr>
        <w:t xml:space="preserve"> </w:t>
      </w:r>
    </w:p>
    <w:p w14:paraId="1BB5E1F1" w14:textId="77777777" w:rsidR="00C35DBB" w:rsidRDefault="00C35DBB" w:rsidP="00971CA9">
      <w:pPr>
        <w:rPr>
          <w:rtl/>
        </w:rPr>
      </w:pPr>
    </w:p>
    <w:p w14:paraId="2852F4FB" w14:textId="7F4C70C9" w:rsidR="00971CA9" w:rsidRDefault="00971CA9" w:rsidP="000F64D0">
      <w:pPr>
        <w:pStyle w:val="2"/>
        <w:rPr>
          <w:rtl/>
        </w:rPr>
      </w:pPr>
      <w:r>
        <w:rPr>
          <w:rtl/>
        </w:rPr>
        <w:lastRenderedPageBreak/>
        <w:t>סעיף ג</w:t>
      </w:r>
      <w:r w:rsidR="00C9081D">
        <w:rPr>
          <w:rFonts w:hint="cs"/>
          <w:rtl/>
        </w:rPr>
        <w:t>: כמה מזונות פוסקים לאשה.</w:t>
      </w:r>
    </w:p>
    <w:p w14:paraId="328FB96B" w14:textId="53B7FB2B" w:rsidR="00C9081D" w:rsidRDefault="00C9081D" w:rsidP="00C9081D">
      <w:pPr>
        <w:rPr>
          <w:rtl/>
        </w:rPr>
      </w:pPr>
      <w:r>
        <w:rPr>
          <w:rFonts w:hint="cs"/>
          <w:rtl/>
        </w:rPr>
        <w:t>עיין במקורות בסעיף א.</w:t>
      </w:r>
    </w:p>
    <w:p w14:paraId="21764484" w14:textId="77777777" w:rsidR="00D62B0F" w:rsidRPr="00380340" w:rsidRDefault="00D62B0F" w:rsidP="00D62B0F">
      <w:pPr>
        <w:rPr>
          <w:rFonts w:cs="Arial"/>
          <w:rtl/>
        </w:rPr>
      </w:pPr>
      <w:r w:rsidRPr="00380340">
        <w:rPr>
          <w:rFonts w:cs="Arial" w:hint="cs"/>
          <w:b/>
          <w:bCs/>
          <w:rtl/>
        </w:rPr>
        <w:t xml:space="preserve">כתובות </w:t>
      </w:r>
      <w:r w:rsidRPr="00380340">
        <w:rPr>
          <w:rFonts w:cs="Arial" w:hint="cs"/>
          <w:b/>
          <w:bCs/>
          <w:sz w:val="16"/>
          <w:szCs w:val="16"/>
          <w:rtl/>
        </w:rPr>
        <w:t xml:space="preserve">(פ' המדיר) </w:t>
      </w:r>
      <w:r w:rsidRPr="00380340">
        <w:rPr>
          <w:rFonts w:cs="Arial" w:hint="cs"/>
          <w:b/>
          <w:bCs/>
          <w:rtl/>
        </w:rPr>
        <w:t>עז ע"א:</w:t>
      </w:r>
      <w:r w:rsidRPr="00380340">
        <w:rPr>
          <w:rFonts w:cs="Arial" w:hint="cs"/>
          <w:rtl/>
        </w:rPr>
        <w:t xml:space="preserve"> </w:t>
      </w:r>
      <w:r w:rsidRPr="00380340">
        <w:rPr>
          <w:rFonts w:cs="Arial"/>
          <w:u w:val="single"/>
          <w:rtl/>
        </w:rPr>
        <w:t>אמר רב</w:t>
      </w:r>
      <w:r w:rsidRPr="00380340">
        <w:rPr>
          <w:rFonts w:cs="Arial"/>
          <w:rtl/>
        </w:rPr>
        <w:t>: האומר איני זן ואיני מפרנס - יוציא ויתן כתובה. אזל ר' אלעזר אמרה לשמעתא קמיה דשמואל,</w:t>
      </w:r>
      <w:r w:rsidRPr="00380340">
        <w:rPr>
          <w:rFonts w:cs="Arial" w:hint="cs"/>
          <w:rtl/>
        </w:rPr>
        <w:t xml:space="preserve"> </w:t>
      </w:r>
      <w:r w:rsidRPr="00380340">
        <w:rPr>
          <w:rFonts w:cs="Arial"/>
          <w:u w:val="single"/>
          <w:rtl/>
        </w:rPr>
        <w:t>אמר</w:t>
      </w:r>
      <w:r w:rsidRPr="00380340">
        <w:rPr>
          <w:rFonts w:cs="Arial"/>
          <w:rtl/>
        </w:rPr>
        <w:t>: אכסוה שערי</w:t>
      </w:r>
      <w:r>
        <w:rPr>
          <w:rStyle w:val="a7"/>
          <w:rFonts w:cs="Arial"/>
          <w:rtl/>
        </w:rPr>
        <w:footnoteReference w:id="263"/>
      </w:r>
      <w:r w:rsidRPr="00380340">
        <w:rPr>
          <w:rFonts w:cs="Arial"/>
          <w:rtl/>
        </w:rPr>
        <w:t xml:space="preserve"> לאלעזר! עד שכופין אותו להוציא, יכפוהו לזון. ורב? אין אדם דר עם נחש בכפיפה. כי סליק רבי זירא, אשכחיה לרבי בנימין בר יפת דיתיב וקאמר לה</w:t>
      </w:r>
      <w:r>
        <w:rPr>
          <w:rStyle w:val="a7"/>
          <w:rFonts w:cs="Arial"/>
          <w:rtl/>
        </w:rPr>
        <w:footnoteReference w:id="264"/>
      </w:r>
      <w:r w:rsidRPr="00380340">
        <w:rPr>
          <w:rFonts w:cs="Arial"/>
          <w:rtl/>
        </w:rPr>
        <w:t xml:space="preserve"> משמיה דרבי יוחנן</w:t>
      </w:r>
      <w:r>
        <w:rPr>
          <w:rStyle w:val="a7"/>
          <w:rFonts w:cs="Arial"/>
          <w:rtl/>
        </w:rPr>
        <w:footnoteReference w:id="265"/>
      </w:r>
      <w:r w:rsidRPr="00380340">
        <w:rPr>
          <w:rFonts w:cs="Arial"/>
          <w:rtl/>
        </w:rPr>
        <w:t>, אמר ליה: על דא אכסוה שערין לאלעזר בבבל.</w:t>
      </w:r>
    </w:p>
    <w:p w14:paraId="512F52B8" w14:textId="77777777" w:rsidR="00D62B0F" w:rsidRPr="00380340" w:rsidRDefault="00D62B0F" w:rsidP="00D62B0F">
      <w:pPr>
        <w:rPr>
          <w:rFonts w:cs="Arial"/>
          <w:u w:val="single"/>
        </w:rPr>
      </w:pPr>
      <w:r>
        <w:rPr>
          <w:rFonts w:cs="Arial" w:hint="cs"/>
          <w:u w:val="single"/>
          <w:rtl/>
        </w:rPr>
        <w:t>האומר איני זן ואיני מפרנס</w:t>
      </w:r>
      <w:r w:rsidRPr="00380340">
        <w:rPr>
          <w:rFonts w:cs="Arial" w:hint="cs"/>
          <w:u w:val="single"/>
          <w:rtl/>
        </w:rPr>
        <w:t>:</w:t>
      </w:r>
    </w:p>
    <w:p w14:paraId="1F8543B9" w14:textId="77777777" w:rsidR="00D62B0F" w:rsidRDefault="00D62B0F" w:rsidP="00D62B0F">
      <w:pPr>
        <w:pStyle w:val="ab"/>
        <w:numPr>
          <w:ilvl w:val="0"/>
          <w:numId w:val="1"/>
        </w:numPr>
        <w:rPr>
          <w:rFonts w:cs="Arial"/>
        </w:rPr>
      </w:pPr>
      <w:r w:rsidRPr="00486216">
        <w:rPr>
          <w:rFonts w:cs="Arial" w:hint="cs"/>
          <w:rtl/>
        </w:rPr>
        <w:t xml:space="preserve">ר"ח </w:t>
      </w:r>
      <w:r w:rsidRPr="00486216">
        <w:rPr>
          <w:rFonts w:cs="Arial" w:hint="cs"/>
          <w:sz w:val="16"/>
          <w:szCs w:val="16"/>
          <w:rtl/>
        </w:rPr>
        <w:t>(כ"כ הה"מ בשמו [פי"ב הי"א])</w:t>
      </w:r>
      <w:r w:rsidRPr="00486216">
        <w:rPr>
          <w:rFonts w:cs="Arial"/>
          <w:rtl/>
        </w:rPr>
        <w:t xml:space="preserve"> </w:t>
      </w:r>
      <w:r w:rsidRPr="00486216">
        <w:rPr>
          <w:rFonts w:cs="Arial" w:hint="cs"/>
          <w:rtl/>
        </w:rPr>
        <w:t>ו</w:t>
      </w:r>
      <w:r w:rsidRPr="00486216">
        <w:rPr>
          <w:rFonts w:cs="Arial"/>
          <w:rtl/>
        </w:rPr>
        <w:t xml:space="preserve">רי"ף </w:t>
      </w:r>
      <w:r w:rsidRPr="00486216">
        <w:rPr>
          <w:rFonts w:cs="Arial" w:hint="cs"/>
          <w:sz w:val="16"/>
          <w:szCs w:val="16"/>
          <w:rtl/>
        </w:rPr>
        <w:t>(</w:t>
      </w:r>
      <w:r w:rsidRPr="00486216">
        <w:rPr>
          <w:rFonts w:cs="Arial"/>
          <w:sz w:val="16"/>
          <w:szCs w:val="16"/>
          <w:rtl/>
        </w:rPr>
        <w:t>לו.)</w:t>
      </w:r>
      <w:r w:rsidRPr="00486216">
        <w:rPr>
          <w:rFonts w:cs="Arial" w:hint="cs"/>
          <w:rtl/>
        </w:rPr>
        <w:t xml:space="preserve">- </w:t>
      </w:r>
      <w:r>
        <w:rPr>
          <w:rFonts w:cs="Arial" w:hint="cs"/>
          <w:rtl/>
        </w:rPr>
        <w:t>כופין אותו לזון,</w:t>
      </w:r>
      <w:r w:rsidRPr="00486216">
        <w:rPr>
          <w:rFonts w:cs="Arial"/>
          <w:rtl/>
        </w:rPr>
        <w:t xml:space="preserve"> כשמואל</w:t>
      </w:r>
      <w:r w:rsidRPr="00486216">
        <w:rPr>
          <w:rFonts w:cs="Arial" w:hint="cs"/>
          <w:rtl/>
        </w:rPr>
        <w:t>.</w:t>
      </w:r>
      <w:r w:rsidRPr="00486216">
        <w:rPr>
          <w:rFonts w:cs="Arial"/>
          <w:rtl/>
        </w:rPr>
        <w:t xml:space="preserve"> </w:t>
      </w:r>
    </w:p>
    <w:p w14:paraId="5683D2BE" w14:textId="77777777" w:rsidR="00D62B0F" w:rsidRDefault="00D62B0F" w:rsidP="00D62B0F">
      <w:pPr>
        <w:pStyle w:val="ab"/>
        <w:numPr>
          <w:ilvl w:val="0"/>
          <w:numId w:val="1"/>
        </w:numPr>
        <w:rPr>
          <w:rFonts w:cs="Arial"/>
        </w:rPr>
      </w:pPr>
      <w:r>
        <w:rPr>
          <w:rFonts w:cs="Arial" w:hint="cs"/>
          <w:rtl/>
        </w:rPr>
        <w:t xml:space="preserve">בה"ג </w:t>
      </w:r>
      <w:r w:rsidRPr="00486216">
        <w:rPr>
          <w:rFonts w:cs="Arial" w:hint="cs"/>
          <w:sz w:val="16"/>
          <w:szCs w:val="16"/>
          <w:rtl/>
        </w:rPr>
        <w:t>(</w:t>
      </w:r>
      <w:r w:rsidRPr="00486216">
        <w:rPr>
          <w:rFonts w:cs="Arial"/>
          <w:sz w:val="16"/>
          <w:szCs w:val="16"/>
          <w:rtl/>
        </w:rPr>
        <w:t>הל' כתובות סז סוע"ג)</w:t>
      </w:r>
      <w:r>
        <w:rPr>
          <w:rFonts w:cs="Arial" w:hint="cs"/>
          <w:rtl/>
        </w:rPr>
        <w:t>-</w:t>
      </w:r>
      <w:r w:rsidRPr="00486216">
        <w:rPr>
          <w:rFonts w:cs="Arial"/>
          <w:rtl/>
        </w:rPr>
        <w:t xml:space="preserve"> </w:t>
      </w:r>
      <w:r>
        <w:rPr>
          <w:rFonts w:cs="Arial" w:hint="cs"/>
          <w:rtl/>
        </w:rPr>
        <w:t xml:space="preserve">כופין אותו להוציא, </w:t>
      </w:r>
      <w:r w:rsidRPr="00486216">
        <w:rPr>
          <w:rFonts w:cs="Arial"/>
          <w:rtl/>
        </w:rPr>
        <w:t>כרב</w:t>
      </w:r>
      <w:r>
        <w:rPr>
          <w:rFonts w:cs="Arial" w:hint="cs"/>
          <w:rtl/>
        </w:rPr>
        <w:t>.</w:t>
      </w:r>
      <w:r w:rsidRPr="00486216">
        <w:rPr>
          <w:rFonts w:cs="Arial"/>
          <w:rtl/>
        </w:rPr>
        <w:t xml:space="preserve"> </w:t>
      </w:r>
    </w:p>
    <w:p w14:paraId="1A38A841" w14:textId="159ED81E" w:rsidR="00D62B0F" w:rsidRPr="00130AAC" w:rsidRDefault="00D62B0F" w:rsidP="00D62B0F">
      <w:pPr>
        <w:ind w:left="360"/>
        <w:rPr>
          <w:rFonts w:cs="Arial"/>
          <w:u w:val="dotted"/>
        </w:rPr>
      </w:pPr>
      <w:r>
        <w:rPr>
          <w:rFonts w:cs="Arial" w:hint="cs"/>
          <w:u w:val="dotted"/>
          <w:rtl/>
        </w:rPr>
        <w:t xml:space="preserve">ומה הדין אם </w:t>
      </w:r>
      <w:r w:rsidR="00B33310">
        <w:rPr>
          <w:rFonts w:cs="Arial" w:hint="cs"/>
          <w:u w:val="dotted"/>
          <w:rtl/>
        </w:rPr>
        <w:t>אומר כן משום ש</w:t>
      </w:r>
      <w:r>
        <w:rPr>
          <w:rFonts w:cs="Arial" w:hint="cs"/>
          <w:u w:val="dotted"/>
          <w:rtl/>
        </w:rPr>
        <w:t>אין לו במה לפרנס</w:t>
      </w:r>
      <w:r w:rsidRPr="00130AAC">
        <w:rPr>
          <w:rFonts w:cs="Arial" w:hint="cs"/>
          <w:u w:val="dotted"/>
          <w:rtl/>
        </w:rPr>
        <w:t>:</w:t>
      </w:r>
    </w:p>
    <w:p w14:paraId="0A9B884E" w14:textId="3D240B89" w:rsidR="00D62B0F" w:rsidRPr="00380340" w:rsidRDefault="00D62B0F" w:rsidP="00D62B0F">
      <w:pPr>
        <w:pStyle w:val="ab"/>
        <w:numPr>
          <w:ilvl w:val="0"/>
          <w:numId w:val="1"/>
        </w:numPr>
        <w:rPr>
          <w:rFonts w:cs="Arial"/>
        </w:rPr>
      </w:pPr>
      <w:r w:rsidRPr="00B149EA">
        <w:rPr>
          <w:rFonts w:cs="Arial"/>
          <w:rtl/>
        </w:rPr>
        <w:t xml:space="preserve">רמב"ם </w:t>
      </w:r>
      <w:r w:rsidRPr="00E36B8D">
        <w:rPr>
          <w:rFonts w:cs="Arial" w:hint="cs"/>
          <w:sz w:val="16"/>
          <w:szCs w:val="16"/>
          <w:rtl/>
        </w:rPr>
        <w:t>(</w:t>
      </w:r>
      <w:r w:rsidRPr="00E36B8D">
        <w:rPr>
          <w:rFonts w:cs="Arial"/>
          <w:sz w:val="16"/>
          <w:szCs w:val="16"/>
          <w:rtl/>
        </w:rPr>
        <w:t>פ</w:t>
      </w:r>
      <w:r w:rsidRPr="00E36B8D">
        <w:rPr>
          <w:rFonts w:cs="Arial" w:hint="cs"/>
          <w:sz w:val="16"/>
          <w:szCs w:val="16"/>
          <w:rtl/>
        </w:rPr>
        <w:t>י"</w:t>
      </w:r>
      <w:r w:rsidRPr="00E36B8D">
        <w:rPr>
          <w:rFonts w:cs="Arial"/>
          <w:sz w:val="16"/>
          <w:szCs w:val="16"/>
          <w:rtl/>
        </w:rPr>
        <w:t>ב מאישות ה</w:t>
      </w:r>
      <w:r>
        <w:rPr>
          <w:rFonts w:cs="Arial" w:hint="cs"/>
          <w:sz w:val="16"/>
          <w:szCs w:val="16"/>
          <w:rtl/>
        </w:rPr>
        <w:t>י"א</w:t>
      </w:r>
      <w:r w:rsidRPr="00E36B8D">
        <w:rPr>
          <w:rFonts w:cs="Arial"/>
          <w:sz w:val="16"/>
          <w:szCs w:val="16"/>
          <w:rtl/>
        </w:rPr>
        <w:t>)</w:t>
      </w:r>
      <w:r w:rsidR="00B33310">
        <w:rPr>
          <w:rFonts w:cs="Arial" w:hint="cs"/>
          <w:rtl/>
        </w:rPr>
        <w:t xml:space="preserve"> ו</w:t>
      </w:r>
      <w:r w:rsidR="00B33310" w:rsidRPr="00486216">
        <w:rPr>
          <w:rFonts w:cs="Arial"/>
          <w:rtl/>
        </w:rPr>
        <w:t>רשב"א</w:t>
      </w:r>
      <w:r w:rsidR="00B33310">
        <w:rPr>
          <w:rStyle w:val="a7"/>
          <w:rFonts w:cs="Arial"/>
          <w:rtl/>
        </w:rPr>
        <w:footnoteReference w:id="266"/>
      </w:r>
      <w:r w:rsidR="00B33310" w:rsidRPr="00486216">
        <w:rPr>
          <w:rFonts w:cs="Arial"/>
          <w:rtl/>
        </w:rPr>
        <w:t xml:space="preserve"> </w:t>
      </w:r>
      <w:r w:rsidR="00B33310" w:rsidRPr="00130AAC">
        <w:rPr>
          <w:rFonts w:cs="Arial"/>
          <w:sz w:val="16"/>
          <w:szCs w:val="16"/>
          <w:rtl/>
        </w:rPr>
        <w:t>(עז. ד"ה ולענין)</w:t>
      </w:r>
      <w:r>
        <w:rPr>
          <w:rFonts w:cs="Arial" w:hint="cs"/>
          <w:rtl/>
        </w:rPr>
        <w:t xml:space="preserve">- </w:t>
      </w:r>
      <w:r w:rsidRPr="00644F88">
        <w:rPr>
          <w:rFonts w:cs="Arial"/>
          <w:rtl/>
        </w:rPr>
        <w:t>ואם היה עני ביותר ואינו יכול ליתן לה אפי</w:t>
      </w:r>
      <w:r>
        <w:rPr>
          <w:rFonts w:cs="Arial" w:hint="cs"/>
          <w:rtl/>
        </w:rPr>
        <w:t>לו</w:t>
      </w:r>
      <w:r w:rsidRPr="00644F88">
        <w:rPr>
          <w:rFonts w:cs="Arial"/>
          <w:rtl/>
        </w:rPr>
        <w:t xml:space="preserve"> לחם שהיא צריכה לו </w:t>
      </w:r>
      <w:r>
        <w:rPr>
          <w:rFonts w:cs="Arial" w:hint="cs"/>
          <w:rtl/>
        </w:rPr>
        <w:t xml:space="preserve">- </w:t>
      </w:r>
      <w:r w:rsidRPr="00644F88">
        <w:rPr>
          <w:rFonts w:cs="Arial"/>
          <w:rtl/>
        </w:rPr>
        <w:t>כופין אותו להוציא ותהיה כתובתה חוב עליו עד שתמצא ידו ויתן</w:t>
      </w:r>
      <w:r>
        <w:rPr>
          <w:rStyle w:val="a7"/>
          <w:rFonts w:cs="Arial"/>
          <w:rtl/>
        </w:rPr>
        <w:footnoteReference w:id="267"/>
      </w:r>
      <w:r w:rsidRPr="00644F88">
        <w:rPr>
          <w:rFonts w:cs="Arial"/>
          <w:rtl/>
        </w:rPr>
        <w:t>.</w:t>
      </w:r>
      <w:r>
        <w:rPr>
          <w:rFonts w:hint="cs"/>
          <w:rtl/>
        </w:rPr>
        <w:t xml:space="preserve"> </w:t>
      </w:r>
      <w:r w:rsidRPr="00DE18F4">
        <w:rPr>
          <w:rFonts w:cs="Arial" w:hint="cs"/>
          <w:color w:val="E36C0A" w:themeColor="accent6" w:themeShade="BF"/>
          <w:rtl/>
        </w:rPr>
        <w:t>(וכ"פ בשו"ע)</w:t>
      </w:r>
    </w:p>
    <w:p w14:paraId="2F4B92BD" w14:textId="0B462500" w:rsidR="00D62B0F" w:rsidRDefault="00D62B0F" w:rsidP="00D62B0F">
      <w:pPr>
        <w:pStyle w:val="ab"/>
        <w:numPr>
          <w:ilvl w:val="0"/>
          <w:numId w:val="1"/>
        </w:numPr>
        <w:rPr>
          <w:rFonts w:cs="Arial"/>
        </w:rPr>
      </w:pPr>
      <w:r>
        <w:rPr>
          <w:rFonts w:cs="Arial" w:hint="cs"/>
          <w:rtl/>
        </w:rPr>
        <w:t xml:space="preserve">ר"ת </w:t>
      </w:r>
      <w:r>
        <w:rPr>
          <w:rFonts w:cs="Arial" w:hint="cs"/>
          <w:sz w:val="16"/>
          <w:szCs w:val="16"/>
          <w:rtl/>
        </w:rPr>
        <w:t>(בתשו', כ"כ רי"ו בשמו [שם])</w:t>
      </w:r>
      <w:r>
        <w:rPr>
          <w:rFonts w:cs="Arial" w:hint="cs"/>
          <w:rtl/>
        </w:rPr>
        <w:t xml:space="preserve"> ורי"ו</w:t>
      </w:r>
      <w:r w:rsidRPr="00486216">
        <w:rPr>
          <w:rFonts w:cs="Arial"/>
          <w:rtl/>
        </w:rPr>
        <w:t xml:space="preserve"> </w:t>
      </w:r>
      <w:r w:rsidRPr="002D671F">
        <w:rPr>
          <w:rFonts w:cs="Arial"/>
          <w:sz w:val="16"/>
          <w:szCs w:val="16"/>
          <w:rtl/>
        </w:rPr>
        <w:t>(מישרים נכ"ג ח"ה נז ע"ד)</w:t>
      </w:r>
      <w:r>
        <w:rPr>
          <w:rFonts w:cs="Arial" w:hint="cs"/>
          <w:rtl/>
        </w:rPr>
        <w:t>-</w:t>
      </w:r>
      <w:r w:rsidRPr="00486216">
        <w:rPr>
          <w:rFonts w:cs="Arial"/>
          <w:rtl/>
        </w:rPr>
        <w:t xml:space="preserve"> אם אין לו</w:t>
      </w:r>
      <w:r w:rsidR="00AE0467">
        <w:rPr>
          <w:rFonts w:cs="Arial" w:hint="cs"/>
          <w:rtl/>
        </w:rPr>
        <w:t>,</w:t>
      </w:r>
      <w:r>
        <w:rPr>
          <w:rFonts w:cs="Arial" w:hint="cs"/>
          <w:rtl/>
        </w:rPr>
        <w:t xml:space="preserve"> </w:t>
      </w:r>
      <w:r w:rsidRPr="00486216">
        <w:rPr>
          <w:rFonts w:cs="Arial"/>
          <w:rtl/>
        </w:rPr>
        <w:t>אין כופין</w:t>
      </w:r>
      <w:r>
        <w:rPr>
          <w:rFonts w:cs="Arial" w:hint="cs"/>
          <w:rtl/>
        </w:rPr>
        <w:t>,</w:t>
      </w:r>
      <w:r w:rsidRPr="00486216">
        <w:rPr>
          <w:rFonts w:cs="Arial"/>
          <w:rtl/>
        </w:rPr>
        <w:t xml:space="preserve"> כמו בעל חוב שאין לו</w:t>
      </w:r>
      <w:r>
        <w:rPr>
          <w:rFonts w:cs="Arial" w:hint="cs"/>
          <w:sz w:val="16"/>
          <w:szCs w:val="16"/>
          <w:rtl/>
        </w:rPr>
        <w:t xml:space="preserve"> (ל' רי"ו)</w:t>
      </w:r>
      <w:r>
        <w:rPr>
          <w:rFonts w:cs="Arial" w:hint="cs"/>
          <w:rtl/>
        </w:rPr>
        <w:t>.</w:t>
      </w:r>
    </w:p>
    <w:p w14:paraId="01492A37" w14:textId="77777777" w:rsidR="00D62B0F" w:rsidRPr="00771687" w:rsidRDefault="00D62B0F" w:rsidP="00D62B0F">
      <w:pPr>
        <w:rPr>
          <w:rFonts w:cs="Arial"/>
        </w:rPr>
      </w:pPr>
      <w:r w:rsidRPr="00380340">
        <w:rPr>
          <w:rFonts w:cs="Arial" w:hint="cs"/>
          <w:b/>
          <w:bCs/>
          <w:rtl/>
        </w:rPr>
        <w:t xml:space="preserve">כתובות </w:t>
      </w:r>
      <w:r w:rsidRPr="00380340">
        <w:rPr>
          <w:rFonts w:cs="Arial" w:hint="cs"/>
          <w:b/>
          <w:bCs/>
          <w:sz w:val="16"/>
          <w:szCs w:val="16"/>
          <w:rtl/>
        </w:rPr>
        <w:t xml:space="preserve">(פ' </w:t>
      </w:r>
      <w:r>
        <w:rPr>
          <w:rFonts w:cs="Arial" w:hint="cs"/>
          <w:b/>
          <w:bCs/>
          <w:sz w:val="16"/>
          <w:szCs w:val="16"/>
          <w:rtl/>
        </w:rPr>
        <w:t>אף על פי</w:t>
      </w:r>
      <w:r w:rsidRPr="00380340">
        <w:rPr>
          <w:rFonts w:cs="Arial" w:hint="cs"/>
          <w:b/>
          <w:bCs/>
          <w:sz w:val="16"/>
          <w:szCs w:val="16"/>
          <w:rtl/>
        </w:rPr>
        <w:t xml:space="preserve">) </w:t>
      </w:r>
      <w:r>
        <w:rPr>
          <w:rFonts w:cs="Arial" w:hint="cs"/>
          <w:b/>
          <w:bCs/>
          <w:rtl/>
        </w:rPr>
        <w:t>סג</w:t>
      </w:r>
      <w:r w:rsidRPr="00380340">
        <w:rPr>
          <w:rFonts w:cs="Arial" w:hint="cs"/>
          <w:b/>
          <w:bCs/>
          <w:rtl/>
        </w:rPr>
        <w:t xml:space="preserve"> ע"א:</w:t>
      </w:r>
      <w:r w:rsidRPr="00380340">
        <w:rPr>
          <w:rFonts w:cs="Arial" w:hint="cs"/>
          <w:rtl/>
        </w:rPr>
        <w:t xml:space="preserve"> </w:t>
      </w:r>
      <w:r w:rsidRPr="003500BE">
        <w:rPr>
          <w:rFonts w:cs="Arial"/>
          <w:u w:val="double"/>
          <w:rtl/>
        </w:rPr>
        <w:t>מתני'</w:t>
      </w:r>
      <w:r>
        <w:rPr>
          <w:rFonts w:cs="Arial" w:hint="cs"/>
          <w:rtl/>
        </w:rPr>
        <w:t>:</w:t>
      </w:r>
      <w:r w:rsidRPr="003500BE">
        <w:rPr>
          <w:rFonts w:cs="Arial"/>
          <w:rtl/>
        </w:rPr>
        <w:t xml:space="preserve"> המורדת על בעלה - פוחתין לה מכתובתה שבעה דינרין בשבת</w:t>
      </w:r>
      <w:r>
        <w:rPr>
          <w:rFonts w:cs="Arial" w:hint="cs"/>
          <w:rtl/>
        </w:rPr>
        <w:t>...</w:t>
      </w:r>
      <w:r w:rsidRPr="003500BE">
        <w:rPr>
          <w:rFonts w:cs="Arial"/>
          <w:rtl/>
        </w:rPr>
        <w:t xml:space="preserve"> וכן המורד על אשתו - מוסיפין על כתובתה שלשה דינרין בשבת</w:t>
      </w:r>
      <w:r>
        <w:rPr>
          <w:rFonts w:cs="Arial" w:hint="cs"/>
          <w:rtl/>
        </w:rPr>
        <w:t>...</w:t>
      </w:r>
      <w:r w:rsidRPr="003500BE">
        <w:rPr>
          <w:rFonts w:cs="Arial"/>
          <w:rtl/>
        </w:rPr>
        <w:t xml:space="preserve"> </w:t>
      </w:r>
      <w:r>
        <w:rPr>
          <w:rFonts w:cs="Arial" w:hint="cs"/>
          <w:rtl/>
        </w:rPr>
        <w:t xml:space="preserve">    </w:t>
      </w:r>
      <w:r w:rsidRPr="003500BE">
        <w:rPr>
          <w:rFonts w:cs="Arial" w:hint="cs"/>
          <w:u w:val="double"/>
          <w:rtl/>
        </w:rPr>
        <w:t>גמ'</w:t>
      </w:r>
      <w:r>
        <w:rPr>
          <w:rFonts w:cs="Arial" w:hint="cs"/>
          <w:rtl/>
        </w:rPr>
        <w:t xml:space="preserve">: </w:t>
      </w:r>
      <w:r w:rsidRPr="00771687">
        <w:rPr>
          <w:rFonts w:cs="Arial"/>
          <w:rtl/>
        </w:rPr>
        <w:t>תנן: וכן המורד על אשתו</w:t>
      </w:r>
      <w:r>
        <w:rPr>
          <w:rFonts w:cs="Arial" w:hint="cs"/>
          <w:rtl/>
        </w:rPr>
        <w:t>.</w:t>
      </w:r>
      <w:r w:rsidRPr="00771687">
        <w:rPr>
          <w:rFonts w:cs="Arial"/>
          <w:rtl/>
        </w:rPr>
        <w:t xml:space="preserve"> בשלמא למ"ד מתשמיש - לחיי</w:t>
      </w:r>
      <w:r>
        <w:rPr>
          <w:rStyle w:val="a7"/>
          <w:rFonts w:cs="Arial"/>
          <w:rtl/>
        </w:rPr>
        <w:footnoteReference w:id="268"/>
      </w:r>
      <w:r w:rsidRPr="00771687">
        <w:rPr>
          <w:rFonts w:cs="Arial"/>
          <w:rtl/>
        </w:rPr>
        <w:t>, אלא למאן דאמר ממלאכה - מי משועבד לה? אין, באומר איני זן ואיני מפרנס.</w:t>
      </w:r>
    </w:p>
    <w:p w14:paraId="6EE53361" w14:textId="425ED8D3" w:rsidR="00D62B0F" w:rsidRPr="002D671F" w:rsidRDefault="00D62B0F" w:rsidP="00D62B0F">
      <w:pPr>
        <w:rPr>
          <w:rFonts w:cs="Arial"/>
          <w:u w:val="single"/>
          <w:rtl/>
        </w:rPr>
      </w:pPr>
      <w:r w:rsidRPr="002D671F">
        <w:rPr>
          <w:rFonts w:cs="Arial" w:hint="cs"/>
          <w:u w:val="single"/>
          <w:rtl/>
        </w:rPr>
        <w:t>האם אדם חייב להשכיר את עצמו כפועל כדי לפרנס את אשתו, או שדי בעבוד</w:t>
      </w:r>
      <w:r>
        <w:rPr>
          <w:rFonts w:cs="Arial" w:hint="cs"/>
          <w:u w:val="single"/>
          <w:rtl/>
        </w:rPr>
        <w:t>ה שדרך איש לעבוד בביתו</w:t>
      </w:r>
      <w:r w:rsidR="00DF2CA4">
        <w:rPr>
          <w:rFonts w:cs="Arial" w:hint="cs"/>
          <w:sz w:val="16"/>
          <w:szCs w:val="16"/>
          <w:u w:val="single"/>
          <w:rtl/>
        </w:rPr>
        <w:t xml:space="preserve"> (כעבודה בשדה)</w:t>
      </w:r>
      <w:r w:rsidRPr="002D671F">
        <w:rPr>
          <w:rFonts w:cs="Arial" w:hint="cs"/>
          <w:u w:val="single"/>
          <w:rtl/>
        </w:rPr>
        <w:t>:</w:t>
      </w:r>
    </w:p>
    <w:p w14:paraId="69F1014E" w14:textId="73E08924" w:rsidR="00D62B0F" w:rsidRDefault="00D62B0F" w:rsidP="00D62B0F">
      <w:pPr>
        <w:pStyle w:val="ab"/>
        <w:numPr>
          <w:ilvl w:val="0"/>
          <w:numId w:val="2"/>
        </w:numPr>
        <w:rPr>
          <w:rFonts w:cs="Arial"/>
        </w:rPr>
      </w:pPr>
      <w:r w:rsidRPr="00B3180C">
        <w:rPr>
          <w:rFonts w:cs="Arial"/>
          <w:rtl/>
        </w:rPr>
        <w:t>ה"ר אליהו</w:t>
      </w:r>
      <w:r>
        <w:rPr>
          <w:rFonts w:cs="Arial" w:hint="cs"/>
          <w:sz w:val="16"/>
          <w:szCs w:val="16"/>
          <w:rtl/>
        </w:rPr>
        <w:t xml:space="preserve"> (כ"כ התוס' [</w:t>
      </w:r>
      <w:r w:rsidRPr="00771687">
        <w:rPr>
          <w:rFonts w:cs="Arial"/>
          <w:sz w:val="16"/>
          <w:szCs w:val="16"/>
          <w:rtl/>
        </w:rPr>
        <w:t>סג. תוד"ה באומר</w:t>
      </w:r>
      <w:r>
        <w:rPr>
          <w:rFonts w:cs="Arial" w:hint="cs"/>
          <w:sz w:val="16"/>
          <w:szCs w:val="16"/>
          <w:rtl/>
        </w:rPr>
        <w:t>] הרא"ש [סי' לב] והטור בשמו)</w:t>
      </w:r>
      <w:r>
        <w:rPr>
          <w:rFonts w:cs="Arial" w:hint="cs"/>
          <w:rtl/>
        </w:rPr>
        <w:t>-</w:t>
      </w:r>
      <w:r w:rsidRPr="00B3180C">
        <w:rPr>
          <w:rFonts w:cs="Arial"/>
          <w:rtl/>
        </w:rPr>
        <w:t xml:space="preserve"> </w:t>
      </w:r>
      <w:r>
        <w:rPr>
          <w:rStyle w:val="a7"/>
          <w:rFonts w:cs="Arial"/>
          <w:rtl/>
        </w:rPr>
        <w:footnoteReference w:id="269"/>
      </w:r>
      <w:r>
        <w:rPr>
          <w:rFonts w:cs="Arial"/>
          <w:rtl/>
        </w:rPr>
        <w:t>אדם מחוייב להשכיר את עצמו לעשות מלאכה לפרנס את אשתו</w:t>
      </w:r>
      <w:r>
        <w:rPr>
          <w:rFonts w:cs="Arial" w:hint="cs"/>
          <w:rtl/>
        </w:rPr>
        <w:t>,</w:t>
      </w:r>
      <w:r>
        <w:rPr>
          <w:rFonts w:cs="Arial"/>
          <w:rtl/>
        </w:rPr>
        <w:t xml:space="preserve"> מדקאמר איני זן ואיני מפרנס משמע דהוי מורד ממלאכה שהוא משועבד לה לעשות כדי לזונה ולפרנסה</w:t>
      </w:r>
      <w:r>
        <w:rPr>
          <w:rFonts w:cs="Arial" w:hint="cs"/>
          <w:rtl/>
        </w:rPr>
        <w:t>,</w:t>
      </w:r>
      <w:r>
        <w:rPr>
          <w:rFonts w:cs="Arial"/>
          <w:rtl/>
        </w:rPr>
        <w:t xml:space="preserve"> וגם מספר כתובה הוא מוכיח שכתוב בה אפלח ואוקיר ואזון יתיכי</w:t>
      </w:r>
      <w:r w:rsidR="00C60CC4">
        <w:rPr>
          <w:rStyle w:val="a7"/>
          <w:rFonts w:cs="Arial"/>
          <w:rtl/>
        </w:rPr>
        <w:footnoteReference w:id="270"/>
      </w:r>
      <w:r>
        <w:rPr>
          <w:rFonts w:cs="Arial" w:hint="cs"/>
          <w:sz w:val="16"/>
          <w:szCs w:val="16"/>
          <w:rtl/>
        </w:rPr>
        <w:t xml:space="preserve"> (ל' התוס' בשם ה"ר אליהו)</w:t>
      </w:r>
      <w:r>
        <w:rPr>
          <w:rStyle w:val="a7"/>
          <w:rFonts w:cs="Arial"/>
          <w:rtl/>
        </w:rPr>
        <w:footnoteReference w:id="271"/>
      </w:r>
      <w:r>
        <w:rPr>
          <w:rFonts w:cs="Arial" w:hint="cs"/>
          <w:rtl/>
        </w:rPr>
        <w:t>.</w:t>
      </w:r>
      <w:r w:rsidRPr="00B3180C">
        <w:rPr>
          <w:rFonts w:cs="Arial"/>
          <w:rtl/>
        </w:rPr>
        <w:t xml:space="preserve"> </w:t>
      </w:r>
    </w:p>
    <w:p w14:paraId="1D306AD9" w14:textId="353096C5" w:rsidR="008D0B69" w:rsidRDefault="00D62B0F" w:rsidP="00D62B0F">
      <w:pPr>
        <w:pStyle w:val="ab"/>
        <w:numPr>
          <w:ilvl w:val="0"/>
          <w:numId w:val="2"/>
        </w:numPr>
        <w:rPr>
          <w:rFonts w:cs="Arial"/>
        </w:rPr>
      </w:pPr>
      <w:r>
        <w:rPr>
          <w:rFonts w:cs="Arial" w:hint="cs"/>
          <w:rtl/>
        </w:rPr>
        <w:t xml:space="preserve">ר"ת </w:t>
      </w:r>
      <w:r w:rsidRPr="00B3180C">
        <w:rPr>
          <w:rFonts w:cs="Arial"/>
          <w:rtl/>
        </w:rPr>
        <w:t>רמ"ה</w:t>
      </w:r>
      <w:r>
        <w:rPr>
          <w:rFonts w:cs="Arial" w:hint="cs"/>
          <w:rtl/>
        </w:rPr>
        <w:t xml:space="preserve"> ור"ן</w:t>
      </w:r>
      <w:r>
        <w:rPr>
          <w:rStyle w:val="a7"/>
          <w:rFonts w:cs="Arial"/>
          <w:rtl/>
        </w:rPr>
        <w:footnoteReference w:id="272"/>
      </w:r>
      <w:r>
        <w:rPr>
          <w:rFonts w:cs="Arial" w:hint="cs"/>
          <w:rtl/>
        </w:rPr>
        <w:t>-</w:t>
      </w:r>
      <w:r w:rsidRPr="00B3180C">
        <w:rPr>
          <w:rFonts w:cs="Arial"/>
          <w:rtl/>
        </w:rPr>
        <w:t xml:space="preserve"> </w:t>
      </w:r>
      <w:r w:rsidR="00C60CC4" w:rsidRPr="00B3180C">
        <w:rPr>
          <w:rFonts w:cs="Arial"/>
          <w:rtl/>
        </w:rPr>
        <w:t>לחיוביה למיעבד לא מחייבינן ליה</w:t>
      </w:r>
      <w:r w:rsidR="008D0B69" w:rsidRPr="008D0B69">
        <w:rPr>
          <w:rFonts w:cs="Arial" w:hint="cs"/>
          <w:sz w:val="16"/>
          <w:szCs w:val="16"/>
          <w:rtl/>
        </w:rPr>
        <w:t xml:space="preserve"> </w:t>
      </w:r>
      <w:r w:rsidR="008D0B69">
        <w:rPr>
          <w:rFonts w:cs="Arial" w:hint="cs"/>
          <w:sz w:val="16"/>
          <w:szCs w:val="16"/>
          <w:rtl/>
        </w:rPr>
        <w:t>(ל' הטור בשם הרמ"ה)</w:t>
      </w:r>
      <w:r w:rsidR="008D0B69">
        <w:rPr>
          <w:rFonts w:cs="Arial" w:hint="cs"/>
          <w:rtl/>
        </w:rPr>
        <w:t>.</w:t>
      </w:r>
      <w:r w:rsidR="00C60CC4" w:rsidRPr="00B3180C">
        <w:rPr>
          <w:rFonts w:cs="Arial"/>
          <w:rtl/>
        </w:rPr>
        <w:t xml:space="preserve"> </w:t>
      </w:r>
    </w:p>
    <w:p w14:paraId="7179EA97" w14:textId="5CFBB4DC" w:rsidR="008D0B69" w:rsidRPr="008D0B69" w:rsidRDefault="008D0B69" w:rsidP="008D0B69">
      <w:pPr>
        <w:ind w:left="360"/>
        <w:rPr>
          <w:rFonts w:cs="Arial"/>
          <w:u w:val="dotted"/>
        </w:rPr>
      </w:pPr>
      <w:r w:rsidRPr="008D0B69">
        <w:rPr>
          <w:rFonts w:cs="Arial" w:hint="cs"/>
          <w:u w:val="dotted"/>
          <w:rtl/>
        </w:rPr>
        <w:t>ל</w:t>
      </w:r>
      <w:r w:rsidR="000B5CC3">
        <w:rPr>
          <w:rFonts w:cs="Arial" w:hint="cs"/>
          <w:u w:val="dotted"/>
          <w:rtl/>
        </w:rPr>
        <w:t xml:space="preserve">ר"ת וסיעתו - </w:t>
      </w:r>
      <w:r w:rsidR="00625F88">
        <w:rPr>
          <w:rFonts w:cs="Arial" w:hint="cs"/>
          <w:u w:val="dotted"/>
          <w:rtl/>
        </w:rPr>
        <w:t xml:space="preserve">מה הדין </w:t>
      </w:r>
      <w:r w:rsidR="002D59AF">
        <w:rPr>
          <w:rFonts w:cs="Arial" w:hint="cs"/>
          <w:u w:val="dotted"/>
          <w:rtl/>
        </w:rPr>
        <w:t xml:space="preserve">אם עבד כשכיר בעבר ויש לו כסף </w:t>
      </w:r>
      <w:r w:rsidR="00F9436A">
        <w:rPr>
          <w:rFonts w:cs="Arial" w:hint="cs"/>
          <w:u w:val="dotted"/>
          <w:rtl/>
        </w:rPr>
        <w:t>ליום אחד</w:t>
      </w:r>
      <w:r w:rsidR="007936EC">
        <w:rPr>
          <w:rFonts w:cs="Arial" w:hint="cs"/>
          <w:u w:val="dotted"/>
          <w:rtl/>
        </w:rPr>
        <w:t>, האם מחייבים</w:t>
      </w:r>
      <w:r w:rsidR="00B9178F">
        <w:rPr>
          <w:rFonts w:cs="Arial" w:hint="cs"/>
          <w:u w:val="dotted"/>
          <w:rtl/>
        </w:rPr>
        <w:t xml:space="preserve"> אותו לזון את אשתו</w:t>
      </w:r>
      <w:r w:rsidRPr="008D0B69">
        <w:rPr>
          <w:rFonts w:cs="Arial" w:hint="cs"/>
          <w:u w:val="dotted"/>
          <w:rtl/>
        </w:rPr>
        <w:t>:</w:t>
      </w:r>
    </w:p>
    <w:p w14:paraId="77183412" w14:textId="79744C97" w:rsidR="00D62B0F" w:rsidRPr="008D0B69" w:rsidRDefault="008D0B69" w:rsidP="008D0B69">
      <w:pPr>
        <w:pStyle w:val="ab"/>
        <w:numPr>
          <w:ilvl w:val="0"/>
          <w:numId w:val="2"/>
        </w:numPr>
        <w:rPr>
          <w:rFonts w:cs="Arial"/>
        </w:rPr>
      </w:pPr>
      <w:r>
        <w:rPr>
          <w:rFonts w:cs="Arial" w:hint="cs"/>
          <w:rtl/>
        </w:rPr>
        <w:t xml:space="preserve">רמ"ה </w:t>
      </w:r>
      <w:r>
        <w:rPr>
          <w:rFonts w:cs="Arial" w:hint="cs"/>
          <w:sz w:val="16"/>
          <w:szCs w:val="16"/>
          <w:rtl/>
        </w:rPr>
        <w:t>(כ"כ הטור בשמו)</w:t>
      </w:r>
      <w:r>
        <w:rPr>
          <w:rFonts w:cs="Arial" w:hint="cs"/>
          <w:rtl/>
        </w:rPr>
        <w:t xml:space="preserve">- </w:t>
      </w:r>
      <w:r w:rsidR="00C60CC4" w:rsidRPr="00B3180C">
        <w:rPr>
          <w:rFonts w:cs="Arial"/>
          <w:rtl/>
        </w:rPr>
        <w:t>אבל היכא דעבד ושקל אגרא</w:t>
      </w:r>
      <w:r w:rsidR="00804A04">
        <w:rPr>
          <w:rFonts w:cs="Arial" w:hint="cs"/>
          <w:rtl/>
        </w:rPr>
        <w:t>,</w:t>
      </w:r>
      <w:r w:rsidR="00C60CC4" w:rsidRPr="00B3180C">
        <w:rPr>
          <w:rFonts w:cs="Arial"/>
          <w:rtl/>
        </w:rPr>
        <w:t xml:space="preserve"> אע</w:t>
      </w:r>
      <w:r w:rsidR="00C60CC4">
        <w:rPr>
          <w:rFonts w:cs="Arial" w:hint="cs"/>
          <w:rtl/>
        </w:rPr>
        <w:t>"</w:t>
      </w:r>
      <w:r w:rsidR="00C60CC4" w:rsidRPr="00B3180C">
        <w:rPr>
          <w:rFonts w:cs="Arial"/>
          <w:rtl/>
        </w:rPr>
        <w:t>ג דגבי ב</w:t>
      </w:r>
      <w:r>
        <w:rPr>
          <w:rFonts w:cs="Arial" w:hint="cs"/>
          <w:rtl/>
        </w:rPr>
        <w:t xml:space="preserve">על </w:t>
      </w:r>
      <w:r w:rsidR="00C60CC4" w:rsidRPr="00B3180C">
        <w:rPr>
          <w:rFonts w:cs="Arial"/>
          <w:rtl/>
        </w:rPr>
        <w:t>ח</w:t>
      </w:r>
      <w:r>
        <w:rPr>
          <w:rFonts w:cs="Arial" w:hint="cs"/>
          <w:rtl/>
        </w:rPr>
        <w:t>וב</w:t>
      </w:r>
      <w:r w:rsidR="00C60CC4" w:rsidRPr="00B3180C">
        <w:rPr>
          <w:rFonts w:cs="Arial"/>
          <w:rtl/>
        </w:rPr>
        <w:t xml:space="preserve"> לא מחייבינן ליה למפרע מיניה אלא לבתר דשיימינן ליה מזון שלשים יום ושאר מילי דסדור</w:t>
      </w:r>
      <w:r w:rsidR="00C60CC4">
        <w:rPr>
          <w:rFonts w:cs="Arial" w:hint="cs"/>
          <w:rtl/>
        </w:rPr>
        <w:t>,</w:t>
      </w:r>
      <w:r w:rsidR="00C60CC4" w:rsidRPr="00B3180C">
        <w:rPr>
          <w:rFonts w:cs="Arial"/>
          <w:rtl/>
        </w:rPr>
        <w:t xml:space="preserve"> גבי מזונות אשתו כיון דלאו זוזי אסקה ביה אלא מזוני </w:t>
      </w:r>
      <w:r w:rsidR="00804A04">
        <w:rPr>
          <w:rFonts w:cs="Arial" w:hint="cs"/>
          <w:rtl/>
        </w:rPr>
        <w:t xml:space="preserve">- </w:t>
      </w:r>
      <w:r w:rsidR="00C60CC4" w:rsidRPr="00B3180C">
        <w:rPr>
          <w:rFonts w:cs="Arial"/>
          <w:rtl/>
        </w:rPr>
        <w:t>חייב לזונה כפי כבוד</w:t>
      </w:r>
      <w:r>
        <w:rPr>
          <w:rFonts w:cs="Arial" w:hint="cs"/>
          <w:rtl/>
        </w:rPr>
        <w:t xml:space="preserve">ה. </w:t>
      </w:r>
      <w:r w:rsidR="00D62B0F" w:rsidRPr="008D0B69">
        <w:rPr>
          <w:rFonts w:cs="Arial"/>
          <w:rtl/>
        </w:rPr>
        <w:t>אפי' אי לית ליה אלא מזוני דחד יומא חייב למיזנה מינייהו או למיכל בהדיה במאי דאכיל</w:t>
      </w:r>
      <w:r w:rsidR="00D62B0F" w:rsidRPr="008D0B69">
        <w:rPr>
          <w:rFonts w:cs="Arial" w:hint="cs"/>
          <w:rtl/>
        </w:rPr>
        <w:t>.</w:t>
      </w:r>
      <w:r w:rsidR="00D62B0F">
        <w:rPr>
          <w:rFonts w:hint="cs"/>
          <w:rtl/>
        </w:rPr>
        <w:t xml:space="preserve"> </w:t>
      </w:r>
    </w:p>
    <w:p w14:paraId="74BAE0A2" w14:textId="77777777" w:rsidR="00D62B0F" w:rsidRPr="00C9081D" w:rsidRDefault="00D62B0F" w:rsidP="00D62B0F">
      <w:pPr>
        <w:rPr>
          <w:rFonts w:cs="Arial"/>
          <w:u w:val="single"/>
          <w:rtl/>
        </w:rPr>
      </w:pPr>
      <w:r w:rsidRPr="00C9081D">
        <w:rPr>
          <w:rFonts w:cs="Arial" w:hint="cs"/>
          <w:u w:val="single"/>
          <w:rtl/>
        </w:rPr>
        <w:t>תבעה מזונות מבעלה, ואמר שאין לו, ויש לה קרקעות מיוחדות לכתובתה שהבעל אוכל מהם פירות:</w:t>
      </w:r>
    </w:p>
    <w:p w14:paraId="542B700B" w14:textId="513FE48F" w:rsidR="00D62B0F" w:rsidRPr="00D62B0F" w:rsidRDefault="00D62B0F" w:rsidP="00CE6A2B">
      <w:pPr>
        <w:pStyle w:val="ab"/>
        <w:numPr>
          <w:ilvl w:val="0"/>
          <w:numId w:val="4"/>
        </w:numPr>
        <w:rPr>
          <w:rFonts w:cs="Arial"/>
          <w:rtl/>
        </w:rPr>
      </w:pPr>
      <w:r w:rsidRPr="002D671F">
        <w:rPr>
          <w:rFonts w:cs="Arial"/>
          <w:rtl/>
        </w:rPr>
        <w:t xml:space="preserve">רשב"א </w:t>
      </w:r>
      <w:r w:rsidRPr="00C9081D">
        <w:rPr>
          <w:rFonts w:cs="Arial"/>
          <w:sz w:val="16"/>
          <w:szCs w:val="16"/>
          <w:rtl/>
        </w:rPr>
        <w:t>(ח"א סי</w:t>
      </w:r>
      <w:r w:rsidRPr="00C9081D">
        <w:rPr>
          <w:rFonts w:cs="Arial" w:hint="cs"/>
          <w:sz w:val="16"/>
          <w:szCs w:val="16"/>
          <w:rtl/>
        </w:rPr>
        <w:t>'</w:t>
      </w:r>
      <w:r w:rsidRPr="00C9081D">
        <w:rPr>
          <w:rFonts w:cs="Arial"/>
          <w:sz w:val="16"/>
          <w:szCs w:val="16"/>
          <w:rtl/>
        </w:rPr>
        <w:t xml:space="preserve"> תתצ</w:t>
      </w:r>
      <w:r w:rsidRPr="00C9081D">
        <w:rPr>
          <w:rFonts w:cs="Arial" w:hint="cs"/>
          <w:sz w:val="16"/>
          <w:szCs w:val="16"/>
          <w:rtl/>
        </w:rPr>
        <w:t>)</w:t>
      </w:r>
      <w:r>
        <w:rPr>
          <w:rFonts w:cs="Arial" w:hint="cs"/>
          <w:rtl/>
        </w:rPr>
        <w:t>-</w:t>
      </w:r>
      <w:r w:rsidRPr="002D671F">
        <w:rPr>
          <w:rFonts w:cs="Arial"/>
          <w:rtl/>
        </w:rPr>
        <w:t xml:space="preserve"> </w:t>
      </w:r>
      <w:r w:rsidRPr="00C9081D">
        <w:rPr>
          <w:rFonts w:cs="Arial"/>
          <w:rtl/>
        </w:rPr>
        <w:t>שאלת</w:t>
      </w:r>
      <w:r>
        <w:rPr>
          <w:rFonts w:cs="Arial" w:hint="cs"/>
          <w:rtl/>
        </w:rPr>
        <w:t>,</w:t>
      </w:r>
      <w:r w:rsidRPr="00C9081D">
        <w:rPr>
          <w:rFonts w:cs="Arial"/>
          <w:rtl/>
        </w:rPr>
        <w:t xml:space="preserve"> התובעת מזונות מבעלה</w:t>
      </w:r>
      <w:r>
        <w:rPr>
          <w:rFonts w:cs="Arial" w:hint="cs"/>
          <w:rtl/>
        </w:rPr>
        <w:t>,</w:t>
      </w:r>
      <w:r w:rsidRPr="00C9081D">
        <w:rPr>
          <w:rFonts w:cs="Arial"/>
          <w:rtl/>
        </w:rPr>
        <w:t xml:space="preserve"> והבעל אומר אין לו מה לתת. ויש לו קרקעות אמנם הם מיוחדים לכתובתה או מתנתה והוא אוכל פירותיהן. היש להגבות לה מזונותיה בפירות הקרקעות ההם או לא? ואם היא רוצה לקבל פרעון המזונות בגוף הקרקעות היש לבית דין להגבותם לה לחלוטין במזונותיה אם </w:t>
      </w:r>
      <w:r w:rsidRPr="00C9081D">
        <w:rPr>
          <w:rFonts w:cs="Arial"/>
          <w:rtl/>
        </w:rPr>
        <w:lastRenderedPageBreak/>
        <w:t>הם שוה בשוה?</w:t>
      </w:r>
      <w:r w:rsidR="0094641A">
        <w:rPr>
          <w:rFonts w:cs="Arial" w:hint="cs"/>
          <w:rtl/>
        </w:rPr>
        <w:t xml:space="preserve">    </w:t>
      </w:r>
      <w:r w:rsidRPr="00C9081D">
        <w:rPr>
          <w:rFonts w:cs="Arial"/>
          <w:rtl/>
        </w:rPr>
        <w:t xml:space="preserve"> תשובה</w:t>
      </w:r>
      <w:r w:rsidR="0094641A">
        <w:rPr>
          <w:rFonts w:cs="Arial" w:hint="cs"/>
          <w:rtl/>
        </w:rPr>
        <w:t>:</w:t>
      </w:r>
      <w:r w:rsidRPr="00C9081D">
        <w:rPr>
          <w:rFonts w:cs="Arial"/>
          <w:rtl/>
        </w:rPr>
        <w:t xml:space="preserve"> כל שיש לו פירות</w:t>
      </w:r>
      <w:r w:rsidRPr="00C9081D">
        <w:rPr>
          <w:rFonts w:cs="Arial" w:hint="cs"/>
          <w:rtl/>
        </w:rPr>
        <w:t>,</w:t>
      </w:r>
      <w:r w:rsidRPr="00C9081D">
        <w:rPr>
          <w:rFonts w:cs="Arial"/>
          <w:rtl/>
        </w:rPr>
        <w:t xml:space="preserve"> תזון אשתו עמו מן הפירות אם יספיקו לשניהם. ואם לא יספיקו</w:t>
      </w:r>
      <w:r w:rsidRPr="00C9081D">
        <w:rPr>
          <w:rFonts w:cs="Arial" w:hint="cs"/>
          <w:rtl/>
        </w:rPr>
        <w:t>,</w:t>
      </w:r>
      <w:r w:rsidRPr="00C9081D">
        <w:rPr>
          <w:rFonts w:cs="Arial"/>
          <w:rtl/>
        </w:rPr>
        <w:t xml:space="preserve"> יוסיפו בית דין לזון מן הקרקעות. ואע</w:t>
      </w:r>
      <w:r w:rsidRPr="00C9081D">
        <w:rPr>
          <w:rFonts w:cs="Arial" w:hint="cs"/>
          <w:rtl/>
        </w:rPr>
        <w:t>"</w:t>
      </w:r>
      <w:r w:rsidRPr="00C9081D">
        <w:rPr>
          <w:rFonts w:cs="Arial"/>
          <w:rtl/>
        </w:rPr>
        <w:t>פ שהנכסי</w:t>
      </w:r>
      <w:r w:rsidR="0094641A">
        <w:rPr>
          <w:rFonts w:cs="Arial" w:hint="cs"/>
          <w:rtl/>
        </w:rPr>
        <w:t>ם</w:t>
      </w:r>
      <w:r w:rsidRPr="00C9081D">
        <w:rPr>
          <w:rFonts w:cs="Arial"/>
          <w:rtl/>
        </w:rPr>
        <w:t xml:space="preserve"> אינם מספיקין ליתר מכדי כתובתה</w:t>
      </w:r>
      <w:r w:rsidRPr="00C9081D">
        <w:rPr>
          <w:rFonts w:cs="Arial" w:hint="cs"/>
          <w:rtl/>
        </w:rPr>
        <w:t>,</w:t>
      </w:r>
      <w:r w:rsidRPr="00C9081D">
        <w:rPr>
          <w:rFonts w:cs="Arial"/>
          <w:rtl/>
        </w:rPr>
        <w:t xml:space="preserve"> אם היא רוצה ליזון מהם עכשו צריכין בית דין לכוף את הבעל למכור למזון</w:t>
      </w:r>
      <w:r w:rsidRPr="00C9081D">
        <w:rPr>
          <w:rFonts w:cs="Arial" w:hint="cs"/>
          <w:rtl/>
        </w:rPr>
        <w:t>,</w:t>
      </w:r>
      <w:r w:rsidRPr="00C9081D">
        <w:rPr>
          <w:rFonts w:cs="Arial"/>
          <w:rtl/>
        </w:rPr>
        <w:t xml:space="preserve"> או יגבו לה מזונותיה מאותן קרקעות אע</w:t>
      </w:r>
      <w:r w:rsidRPr="00C9081D">
        <w:rPr>
          <w:rFonts w:cs="Arial" w:hint="cs"/>
          <w:rtl/>
        </w:rPr>
        <w:t>"</w:t>
      </w:r>
      <w:r w:rsidRPr="00C9081D">
        <w:rPr>
          <w:rFonts w:cs="Arial"/>
          <w:rtl/>
        </w:rPr>
        <w:t>פ שאינן מספיקין לכדי כתובתה. עצה טובה קמ"ל שתצמצם במזונותיה כדי שישאר בכדי כתובתה. וכן פירשו בתוספות וכן עיקר. והרב אלפסי ז"ל פי' בענין אחר כמו שתמצא בהלכות</w:t>
      </w:r>
      <w:r>
        <w:rPr>
          <w:rStyle w:val="a7"/>
          <w:rFonts w:cs="Arial"/>
          <w:rtl/>
        </w:rPr>
        <w:footnoteReference w:id="273"/>
      </w:r>
      <w:r w:rsidRPr="00C9081D">
        <w:rPr>
          <w:rFonts w:cs="Arial" w:hint="cs"/>
          <w:rtl/>
        </w:rPr>
        <w:t>.</w:t>
      </w:r>
      <w:r w:rsidR="00116267">
        <w:rPr>
          <w:rFonts w:hint="cs"/>
          <w:color w:val="00B0F0"/>
          <w:rtl/>
        </w:rPr>
        <w:t xml:space="preserve"> </w:t>
      </w:r>
      <w:r w:rsidR="00116267" w:rsidRPr="00D62B0F">
        <w:rPr>
          <w:rFonts w:hint="cs"/>
          <w:color w:val="00B0F0"/>
          <w:rtl/>
        </w:rPr>
        <w:t>(וכ"פ הרמ"א)</w:t>
      </w:r>
    </w:p>
    <w:p w14:paraId="660469B3" w14:textId="77777777" w:rsidR="00971CA9" w:rsidRDefault="00971CA9" w:rsidP="00971CA9">
      <w:pPr>
        <w:rPr>
          <w:rFonts w:cs="Arial"/>
          <w:rtl/>
        </w:rPr>
      </w:pPr>
      <w:r w:rsidRPr="003024E5">
        <w:rPr>
          <w:rFonts w:asciiTheme="minorBidi" w:hAnsiTheme="minorBidi"/>
          <w:b/>
          <w:bCs/>
          <w:color w:val="000000"/>
          <w:sz w:val="28"/>
          <w:szCs w:val="28"/>
          <w:u w:val="single"/>
          <w:rtl/>
        </w:rPr>
        <w:t>שו"ע:</w:t>
      </w:r>
    </w:p>
    <w:p w14:paraId="118CFF27" w14:textId="5A6C76E5" w:rsidR="00971CA9" w:rsidRDefault="00971CA9" w:rsidP="00971CA9">
      <w:pPr>
        <w:rPr>
          <w:rtl/>
        </w:rPr>
      </w:pPr>
      <w:r>
        <w:rPr>
          <w:rFonts w:cs="Arial"/>
          <w:rtl/>
        </w:rPr>
        <w:t>כמה מזונות פוסקים לאשה</w:t>
      </w:r>
      <w:r w:rsidR="00571D74">
        <w:rPr>
          <w:rStyle w:val="a7"/>
          <w:rFonts w:cs="Arial"/>
          <w:rtl/>
        </w:rPr>
        <w:footnoteReference w:id="274"/>
      </w:r>
      <w:r>
        <w:rPr>
          <w:rFonts w:cs="Arial"/>
          <w:rtl/>
        </w:rPr>
        <w:t>, לחם שתי סעודות בכל יום, ופרפרות לאכול בה הפת, ושמן לאכילה ולהדלקת הנר, ומעט יין לשתות</w:t>
      </w:r>
      <w:r w:rsidR="00571D74">
        <w:rPr>
          <w:rStyle w:val="a7"/>
          <w:rFonts w:cs="Arial"/>
          <w:rtl/>
        </w:rPr>
        <w:footnoteReference w:id="275"/>
      </w:r>
      <w:r>
        <w:rPr>
          <w:rFonts w:cs="Arial"/>
          <w:rtl/>
        </w:rPr>
        <w:t xml:space="preserve"> אם היה מנהג המקום שישתו הנשים יין, </w:t>
      </w:r>
      <w:r w:rsidR="00771687">
        <w:rPr>
          <w:rFonts w:cs="Arial" w:hint="cs"/>
          <w:sz w:val="18"/>
          <w:szCs w:val="18"/>
          <w:rtl/>
        </w:rPr>
        <w:t xml:space="preserve">[הגה] </w:t>
      </w:r>
      <w:r w:rsidRPr="00B57349">
        <w:rPr>
          <w:rFonts w:cs="Arial"/>
          <w:sz w:val="18"/>
          <w:szCs w:val="18"/>
          <w:rtl/>
        </w:rPr>
        <w:t>ואם היתה מניקה נותנין לה יין</w:t>
      </w:r>
      <w:r w:rsidR="00571D74">
        <w:rPr>
          <w:rStyle w:val="a7"/>
          <w:rFonts w:cs="Arial"/>
          <w:sz w:val="18"/>
          <w:szCs w:val="18"/>
          <w:rtl/>
        </w:rPr>
        <w:footnoteReference w:id="276"/>
      </w:r>
      <w:r w:rsidRPr="00B57349">
        <w:rPr>
          <w:rFonts w:cs="Arial"/>
          <w:sz w:val="18"/>
          <w:szCs w:val="18"/>
          <w:rtl/>
        </w:rPr>
        <w:t xml:space="preserve"> (טור)</w:t>
      </w:r>
      <w:r w:rsidR="00B57349">
        <w:rPr>
          <w:rFonts w:cs="Arial" w:hint="cs"/>
          <w:rtl/>
        </w:rPr>
        <w:t>.</w:t>
      </w:r>
      <w:r>
        <w:rPr>
          <w:rFonts w:cs="Arial"/>
          <w:rtl/>
        </w:rPr>
        <w:t xml:space="preserve"> ובשבת שלשה סעודות ובשר או דגים; ונותן לה בכל שבת מעה כסף לצרכיה</w:t>
      </w:r>
      <w:r w:rsidR="00461DA9">
        <w:rPr>
          <w:rFonts w:cs="Arial" w:hint="cs"/>
          <w:rtl/>
        </w:rPr>
        <w:t>.</w:t>
      </w:r>
      <w:r>
        <w:rPr>
          <w:rFonts w:cs="Arial"/>
          <w:rtl/>
        </w:rPr>
        <w:t xml:space="preserve"> </w:t>
      </w:r>
      <w:r w:rsidR="00771687">
        <w:rPr>
          <w:rFonts w:cs="Arial" w:hint="cs"/>
          <w:sz w:val="18"/>
          <w:szCs w:val="18"/>
          <w:rtl/>
        </w:rPr>
        <w:t xml:space="preserve">[הגה] </w:t>
      </w:r>
      <w:r w:rsidRPr="00B57349">
        <w:rPr>
          <w:rFonts w:cs="Arial"/>
          <w:sz w:val="18"/>
          <w:szCs w:val="18"/>
          <w:rtl/>
        </w:rPr>
        <w:t>ונותנין לה עץ לבשל מאכלה (ר"ן).</w:t>
      </w:r>
      <w:r>
        <w:rPr>
          <w:rFonts w:cs="Arial"/>
          <w:rtl/>
        </w:rPr>
        <w:t xml:space="preserve"> ב</w:t>
      </w:r>
      <w:r w:rsidR="00B57349">
        <w:rPr>
          <w:rFonts w:cs="Arial" w:hint="cs"/>
          <w:rtl/>
        </w:rPr>
        <w:t xml:space="preserve">מה </w:t>
      </w:r>
      <w:r>
        <w:rPr>
          <w:rFonts w:cs="Arial"/>
          <w:rtl/>
        </w:rPr>
        <w:t>ד</w:t>
      </w:r>
      <w:r w:rsidR="00B57349">
        <w:rPr>
          <w:rFonts w:cs="Arial" w:hint="cs"/>
          <w:rtl/>
        </w:rPr>
        <w:t xml:space="preserve">ברים </w:t>
      </w:r>
      <w:r>
        <w:rPr>
          <w:rFonts w:cs="Arial"/>
          <w:rtl/>
        </w:rPr>
        <w:t>א</w:t>
      </w:r>
      <w:r w:rsidR="00B57349">
        <w:rPr>
          <w:rFonts w:cs="Arial" w:hint="cs"/>
          <w:rtl/>
        </w:rPr>
        <w:t>מורים</w:t>
      </w:r>
      <w:r>
        <w:rPr>
          <w:rFonts w:cs="Arial"/>
          <w:rtl/>
        </w:rPr>
        <w:t>, בעני שבישראל</w:t>
      </w:r>
      <w:r w:rsidR="00461DA9">
        <w:rPr>
          <w:rFonts w:cs="Arial" w:hint="cs"/>
          <w:rtl/>
        </w:rPr>
        <w:t>,</w:t>
      </w:r>
      <w:r>
        <w:rPr>
          <w:rFonts w:cs="Arial"/>
          <w:rtl/>
        </w:rPr>
        <w:t xml:space="preserve"> אבל אם היה עשיר, הכל לפי עשרו. </w:t>
      </w:r>
      <w:r w:rsidR="00771687">
        <w:rPr>
          <w:rFonts w:cs="Arial" w:hint="cs"/>
          <w:sz w:val="18"/>
          <w:szCs w:val="18"/>
          <w:rtl/>
        </w:rPr>
        <w:t xml:space="preserve">[הגה] </w:t>
      </w:r>
      <w:r w:rsidRPr="00B57349">
        <w:rPr>
          <w:rFonts w:cs="Arial"/>
          <w:sz w:val="18"/>
          <w:szCs w:val="18"/>
          <w:rtl/>
        </w:rPr>
        <w:t>צמצמה והותירו מאלו המזונות, הוא של בעל</w:t>
      </w:r>
      <w:r w:rsidR="00D64F15">
        <w:rPr>
          <w:rStyle w:val="a7"/>
          <w:rFonts w:cs="Arial"/>
          <w:sz w:val="18"/>
          <w:szCs w:val="18"/>
          <w:rtl/>
        </w:rPr>
        <w:footnoteReference w:id="277"/>
      </w:r>
      <w:r w:rsidRPr="00B57349">
        <w:rPr>
          <w:rFonts w:cs="Arial"/>
          <w:sz w:val="18"/>
          <w:szCs w:val="18"/>
          <w:rtl/>
        </w:rPr>
        <w:t xml:space="preserve"> (טור).</w:t>
      </w:r>
      <w:r>
        <w:rPr>
          <w:rFonts w:cs="Arial"/>
          <w:rtl/>
        </w:rPr>
        <w:t xml:space="preserve"> ואם היה עני ביותר ואינו יכול</w:t>
      </w:r>
      <w:r w:rsidR="00F27D97">
        <w:rPr>
          <w:rStyle w:val="a7"/>
          <w:rFonts w:cs="Arial"/>
          <w:rtl/>
        </w:rPr>
        <w:footnoteReference w:id="278"/>
      </w:r>
      <w:r>
        <w:rPr>
          <w:rFonts w:cs="Arial"/>
          <w:rtl/>
        </w:rPr>
        <w:t xml:space="preserve"> ליתן לה אפילו לחם</w:t>
      </w:r>
      <w:r w:rsidR="00F27D97">
        <w:rPr>
          <w:rStyle w:val="a7"/>
          <w:rFonts w:cs="Arial"/>
          <w:rtl/>
        </w:rPr>
        <w:footnoteReference w:id="279"/>
      </w:r>
      <w:r>
        <w:rPr>
          <w:rFonts w:cs="Arial"/>
          <w:rtl/>
        </w:rPr>
        <w:t xml:space="preserve"> שהיא צריכה, כופין אותו להוציא</w:t>
      </w:r>
      <w:r w:rsidR="00870831">
        <w:rPr>
          <w:rStyle w:val="a7"/>
          <w:rFonts w:cs="Arial"/>
          <w:rtl/>
        </w:rPr>
        <w:footnoteReference w:id="280"/>
      </w:r>
      <w:r>
        <w:rPr>
          <w:rFonts w:cs="Arial"/>
          <w:rtl/>
        </w:rPr>
        <w:t xml:space="preserve">. </w:t>
      </w:r>
      <w:r w:rsidRPr="00B57349">
        <w:rPr>
          <w:rFonts w:cs="Arial"/>
          <w:sz w:val="18"/>
          <w:szCs w:val="18"/>
          <w:rtl/>
        </w:rPr>
        <w:t>הגה: ותהא כתובתה עליו חוב עד שימצא ויתן (טור בשם הרמב"ם). וי"א שאין כופין אותו להוציא</w:t>
      </w:r>
      <w:r w:rsidR="007C603A">
        <w:rPr>
          <w:rStyle w:val="a7"/>
          <w:rFonts w:cs="Arial"/>
          <w:sz w:val="18"/>
          <w:szCs w:val="18"/>
          <w:rtl/>
        </w:rPr>
        <w:footnoteReference w:id="281"/>
      </w:r>
      <w:r w:rsidRPr="00B57349">
        <w:rPr>
          <w:rFonts w:cs="Arial"/>
          <w:sz w:val="18"/>
          <w:szCs w:val="18"/>
          <w:rtl/>
        </w:rPr>
        <w:t xml:space="preserve">, מאחר שאין לו (ר"י בשם ר"ת). מי שאין לו מזונות אלא חד יומא, חייב לזון מיניה את אשתו או </w:t>
      </w:r>
      <w:r w:rsidRPr="00B57349">
        <w:rPr>
          <w:rFonts w:cs="Arial"/>
          <w:sz w:val="18"/>
          <w:szCs w:val="18"/>
          <w:rtl/>
        </w:rPr>
        <w:lastRenderedPageBreak/>
        <w:t>למיכל בהדה (טור בשם הרמ"ה). וי"א עוד דחייב להשכיר עצמו כפועל</w:t>
      </w:r>
      <w:r w:rsidR="00870831">
        <w:rPr>
          <w:rStyle w:val="a7"/>
          <w:rFonts w:cs="Arial"/>
          <w:sz w:val="18"/>
          <w:szCs w:val="18"/>
          <w:rtl/>
        </w:rPr>
        <w:footnoteReference w:id="282"/>
      </w:r>
      <w:r w:rsidRPr="00B57349">
        <w:rPr>
          <w:rFonts w:cs="Arial"/>
          <w:sz w:val="18"/>
          <w:szCs w:val="18"/>
          <w:rtl/>
        </w:rPr>
        <w:t xml:space="preserve"> ולזון אשתו (</w:t>
      </w:r>
      <w:r w:rsidR="00845533">
        <w:rPr>
          <w:rFonts w:cs="Arial" w:hint="cs"/>
          <w:sz w:val="18"/>
          <w:szCs w:val="18"/>
          <w:rtl/>
        </w:rPr>
        <w:t>ה"</w:t>
      </w:r>
      <w:r w:rsidRPr="00B57349">
        <w:rPr>
          <w:rFonts w:cs="Arial"/>
          <w:sz w:val="18"/>
          <w:szCs w:val="18"/>
          <w:rtl/>
        </w:rPr>
        <w:t>ר אל</w:t>
      </w:r>
      <w:r w:rsidR="00116267">
        <w:rPr>
          <w:rFonts w:cs="Arial" w:hint="cs"/>
          <w:sz w:val="18"/>
          <w:szCs w:val="18"/>
          <w:rtl/>
        </w:rPr>
        <w:t>י</w:t>
      </w:r>
      <w:r w:rsidRPr="00B57349">
        <w:rPr>
          <w:rFonts w:cs="Arial"/>
          <w:sz w:val="18"/>
          <w:szCs w:val="18"/>
          <w:rtl/>
        </w:rPr>
        <w:t>ה</w:t>
      </w:r>
      <w:r w:rsidR="00116267">
        <w:rPr>
          <w:rFonts w:cs="Arial" w:hint="cs"/>
          <w:sz w:val="18"/>
          <w:szCs w:val="18"/>
          <w:rtl/>
        </w:rPr>
        <w:t>ו</w:t>
      </w:r>
      <w:r w:rsidRPr="00B57349">
        <w:rPr>
          <w:rFonts w:cs="Arial"/>
          <w:sz w:val="18"/>
          <w:szCs w:val="18"/>
          <w:rtl/>
        </w:rPr>
        <w:t>). היה לו קרקעות, הרשות ביד האשה</w:t>
      </w:r>
      <w:r w:rsidR="00870831">
        <w:rPr>
          <w:rStyle w:val="a7"/>
          <w:rFonts w:cs="Arial"/>
          <w:sz w:val="18"/>
          <w:szCs w:val="18"/>
          <w:rtl/>
        </w:rPr>
        <w:footnoteReference w:id="283"/>
      </w:r>
      <w:r w:rsidRPr="00B57349">
        <w:rPr>
          <w:rFonts w:cs="Arial"/>
          <w:sz w:val="18"/>
          <w:szCs w:val="18"/>
          <w:rtl/>
        </w:rPr>
        <w:t xml:space="preserve"> ליקח מזונותיה מפירות הקרקעות או מגוף הקרקעות, או צריך למוכרן (רשב"א).</w:t>
      </w:r>
      <w:r>
        <w:rPr>
          <w:rFonts w:cs="Arial"/>
          <w:rtl/>
        </w:rPr>
        <w:t xml:space="preserve"> </w:t>
      </w:r>
    </w:p>
    <w:p w14:paraId="05B2D831" w14:textId="77777777" w:rsidR="00B57349" w:rsidRDefault="00B57349" w:rsidP="00971CA9">
      <w:pPr>
        <w:rPr>
          <w:rtl/>
        </w:rPr>
      </w:pPr>
    </w:p>
    <w:p w14:paraId="692536F5" w14:textId="6083E34C" w:rsidR="00971CA9" w:rsidRDefault="00971CA9" w:rsidP="000F64D0">
      <w:pPr>
        <w:pStyle w:val="2"/>
        <w:rPr>
          <w:rtl/>
        </w:rPr>
      </w:pPr>
      <w:r>
        <w:rPr>
          <w:rtl/>
        </w:rPr>
        <w:t>סעיף ד</w:t>
      </w:r>
      <w:r w:rsidR="00285F32">
        <w:rPr>
          <w:rFonts w:hint="cs"/>
          <w:rtl/>
        </w:rPr>
        <w:t>:</w:t>
      </w:r>
      <w:r w:rsidR="00763DDE" w:rsidRPr="00763DDE">
        <w:rPr>
          <w:rtl/>
        </w:rPr>
        <w:t xml:space="preserve"> </w:t>
      </w:r>
      <w:r w:rsidR="00763DDE">
        <w:rPr>
          <w:rtl/>
        </w:rPr>
        <w:t>הנושא אשה ואח</w:t>
      </w:r>
      <w:r w:rsidR="00763DDE">
        <w:rPr>
          <w:rFonts w:hint="cs"/>
          <w:rtl/>
        </w:rPr>
        <w:t xml:space="preserve">ר </w:t>
      </w:r>
      <w:r w:rsidR="00763DDE">
        <w:rPr>
          <w:rtl/>
        </w:rPr>
        <w:t>כ</w:t>
      </w:r>
      <w:r w:rsidR="00763DDE">
        <w:rPr>
          <w:rFonts w:hint="cs"/>
          <w:rtl/>
        </w:rPr>
        <w:t>ך</w:t>
      </w:r>
      <w:r w:rsidR="00763DDE">
        <w:rPr>
          <w:rtl/>
        </w:rPr>
        <w:t xml:space="preserve"> נשתטית.</w:t>
      </w:r>
    </w:p>
    <w:p w14:paraId="7865605C" w14:textId="528A1F53" w:rsidR="00763DDE" w:rsidRPr="00763DDE" w:rsidRDefault="00763DDE" w:rsidP="00763DDE">
      <w:pPr>
        <w:rPr>
          <w:u w:val="single"/>
          <w:rtl/>
        </w:rPr>
      </w:pPr>
      <w:r w:rsidRPr="00763DDE">
        <w:rPr>
          <w:rFonts w:cs="Arial"/>
          <w:u w:val="single"/>
          <w:rtl/>
        </w:rPr>
        <w:t>הנושא אשה ואח</w:t>
      </w:r>
      <w:r w:rsidRPr="00763DDE">
        <w:rPr>
          <w:rFonts w:cs="Arial" w:hint="cs"/>
          <w:u w:val="single"/>
          <w:rtl/>
        </w:rPr>
        <w:t xml:space="preserve">ר </w:t>
      </w:r>
      <w:r w:rsidRPr="00763DDE">
        <w:rPr>
          <w:rFonts w:cs="Arial"/>
          <w:u w:val="single"/>
          <w:rtl/>
        </w:rPr>
        <w:t>כ</w:t>
      </w:r>
      <w:r w:rsidRPr="00763DDE">
        <w:rPr>
          <w:rFonts w:cs="Arial" w:hint="cs"/>
          <w:u w:val="single"/>
          <w:rtl/>
        </w:rPr>
        <w:t>ך</w:t>
      </w:r>
      <w:r w:rsidRPr="00763DDE">
        <w:rPr>
          <w:rFonts w:cs="Arial"/>
          <w:u w:val="single"/>
          <w:rtl/>
        </w:rPr>
        <w:t xml:space="preserve"> נשתטית</w:t>
      </w:r>
      <w:r w:rsidR="004D3DE9">
        <w:rPr>
          <w:rFonts w:cs="Arial" w:hint="cs"/>
          <w:u w:val="single"/>
          <w:rtl/>
        </w:rPr>
        <w:t xml:space="preserve"> </w:t>
      </w:r>
      <w:r w:rsidR="00F97626">
        <w:rPr>
          <w:rFonts w:cs="Arial"/>
          <w:u w:val="single"/>
          <w:rtl/>
        </w:rPr>
        <w:t>-</w:t>
      </w:r>
      <w:r w:rsidR="004D3DE9">
        <w:rPr>
          <w:rFonts w:cs="Arial" w:hint="cs"/>
          <w:u w:val="single"/>
          <w:rtl/>
        </w:rPr>
        <w:t xml:space="preserve"> האם</w:t>
      </w:r>
      <w:r w:rsidRPr="00763DDE">
        <w:rPr>
          <w:rFonts w:cs="Arial"/>
          <w:u w:val="single"/>
          <w:rtl/>
        </w:rPr>
        <w:t xml:space="preserve"> חייב לזונה ולרפאה</w:t>
      </w:r>
      <w:r>
        <w:rPr>
          <w:rFonts w:cs="Arial" w:hint="cs"/>
          <w:u w:val="single"/>
          <w:rtl/>
        </w:rPr>
        <w:t>:</w:t>
      </w:r>
    </w:p>
    <w:p w14:paraId="2CC9C75C" w14:textId="632A11FB" w:rsidR="0089231C" w:rsidRDefault="00285F32" w:rsidP="0039064A">
      <w:pPr>
        <w:pStyle w:val="ab"/>
        <w:numPr>
          <w:ilvl w:val="0"/>
          <w:numId w:val="3"/>
        </w:numPr>
      </w:pPr>
      <w:r w:rsidRPr="00763DDE">
        <w:rPr>
          <w:rFonts w:cs="Arial"/>
          <w:rtl/>
        </w:rPr>
        <w:t>רשב"א</w:t>
      </w:r>
      <w:r w:rsidR="00DE2F5F">
        <w:rPr>
          <w:rFonts w:cs="Arial" w:hint="cs"/>
          <w:sz w:val="16"/>
          <w:szCs w:val="16"/>
          <w:rtl/>
        </w:rPr>
        <w:t xml:space="preserve"> (ח"ב סי' שפב)</w:t>
      </w:r>
      <w:r w:rsidR="00B91600">
        <w:rPr>
          <w:rFonts w:cs="Arial" w:hint="cs"/>
          <w:rtl/>
        </w:rPr>
        <w:t>-</w:t>
      </w:r>
      <w:r w:rsidRPr="00763DDE">
        <w:rPr>
          <w:rFonts w:cs="Arial"/>
          <w:rtl/>
        </w:rPr>
        <w:t xml:space="preserve"> </w:t>
      </w:r>
      <w:r w:rsidR="0089231C" w:rsidRPr="0039064A">
        <w:rPr>
          <w:rFonts w:cs="Arial"/>
          <w:rtl/>
        </w:rPr>
        <w:t>שאלתם ראובן נשא אשה ואחר כך נשטית. והבעל אינו רוצה לזונה משל עצמו אלא מכתובתה ולפחות מעט מעט שהכניסה לו. היש מן הדין לעשות כן או חייב לזונה משל עצמו</w:t>
      </w:r>
      <w:r w:rsidR="0089231C" w:rsidRPr="0039064A">
        <w:rPr>
          <w:rFonts w:cs="Arial" w:hint="cs"/>
          <w:rtl/>
        </w:rPr>
        <w:t>.</w:t>
      </w:r>
      <w:r w:rsidR="0089231C" w:rsidRPr="0039064A">
        <w:rPr>
          <w:rFonts w:cs="Arial"/>
          <w:rtl/>
        </w:rPr>
        <w:t xml:space="preserve"> </w:t>
      </w:r>
      <w:r w:rsidR="0089231C" w:rsidRPr="0039064A">
        <w:rPr>
          <w:rFonts w:cs="Arial" w:hint="cs"/>
          <w:rtl/>
        </w:rPr>
        <w:t xml:space="preserve">  </w:t>
      </w:r>
      <w:r w:rsidR="0089231C" w:rsidRPr="0039064A">
        <w:rPr>
          <w:rFonts w:cs="Arial"/>
          <w:rtl/>
        </w:rPr>
        <w:t>תשובה</w:t>
      </w:r>
      <w:r w:rsidR="00544096">
        <w:rPr>
          <w:rFonts w:cs="Arial" w:hint="cs"/>
          <w:rtl/>
        </w:rPr>
        <w:t>:</w:t>
      </w:r>
      <w:r w:rsidR="0089231C" w:rsidRPr="0039064A">
        <w:rPr>
          <w:rFonts w:cs="Arial"/>
          <w:rtl/>
        </w:rPr>
        <w:t xml:space="preserve"> הנושא את השוטה אינו חייב לזונה מפני שלא תקנו חכמים נשואין לשוטה שאין אדם דר עם נחש בכפיפה וכדאי' ביבמות פרק חרש</w:t>
      </w:r>
      <w:r w:rsidR="0089231C" w:rsidRPr="0039064A">
        <w:rPr>
          <w:rFonts w:cs="Arial" w:hint="cs"/>
          <w:rtl/>
        </w:rPr>
        <w:t xml:space="preserve"> (קיב:)</w:t>
      </w:r>
      <w:r w:rsidR="0089231C" w:rsidRPr="0039064A">
        <w:rPr>
          <w:rFonts w:cs="Arial"/>
          <w:rtl/>
        </w:rPr>
        <w:t>. וכל שאין לה כתובה</w:t>
      </w:r>
      <w:r w:rsidR="0089231C" w:rsidRPr="0039064A">
        <w:rPr>
          <w:rFonts w:cs="Arial" w:hint="cs"/>
          <w:rtl/>
        </w:rPr>
        <w:t>,</w:t>
      </w:r>
      <w:r w:rsidR="0089231C" w:rsidRPr="0039064A">
        <w:rPr>
          <w:rFonts w:cs="Arial"/>
          <w:rtl/>
        </w:rPr>
        <w:t xml:space="preserve"> אין לה תנאי כתובה. אבל הנושא את הפקחת ונשטית </w:t>
      </w:r>
      <w:r w:rsidR="00234A13" w:rsidRPr="0039064A">
        <w:rPr>
          <w:rFonts w:cs="Arial" w:hint="cs"/>
          <w:rtl/>
        </w:rPr>
        <w:t xml:space="preserve">- </w:t>
      </w:r>
      <w:r w:rsidR="0089231C" w:rsidRPr="0039064A">
        <w:rPr>
          <w:rFonts w:cs="Arial"/>
          <w:rtl/>
        </w:rPr>
        <w:t>חייב לזונה ועוד לרפאותה רפואה שאין לה קצבה. לפי שהרפואה שאין לה קצבה הרי היא כמזונות כדאיתא בפרק נערה שנתפתתה</w:t>
      </w:r>
      <w:r w:rsidR="00234A13" w:rsidRPr="0039064A">
        <w:rPr>
          <w:rFonts w:cs="Arial" w:hint="cs"/>
          <w:rtl/>
        </w:rPr>
        <w:t xml:space="preserve"> (נא.)</w:t>
      </w:r>
      <w:r w:rsidR="0089231C" w:rsidRPr="0039064A">
        <w:rPr>
          <w:rFonts w:cs="Arial"/>
          <w:rtl/>
        </w:rPr>
        <w:t>.</w:t>
      </w:r>
      <w:r w:rsidR="00234A13" w:rsidRPr="0039064A">
        <w:rPr>
          <w:rFonts w:cs="Arial" w:hint="cs"/>
          <w:rtl/>
        </w:rPr>
        <w:t>..</w:t>
      </w:r>
      <w:r w:rsidR="0089231C" w:rsidRPr="0039064A">
        <w:rPr>
          <w:rFonts w:cs="Arial"/>
          <w:rtl/>
        </w:rPr>
        <w:t xml:space="preserve"> כרשב"ג. ואינו פטור לא ממזונותיה ולא מרפואתה אלא במגרש</w:t>
      </w:r>
      <w:r w:rsidR="0039064A" w:rsidRPr="0039064A">
        <w:rPr>
          <w:rFonts w:cs="Arial" w:hint="cs"/>
          <w:rtl/>
        </w:rPr>
        <w:t>,</w:t>
      </w:r>
      <w:r w:rsidR="0089231C" w:rsidRPr="0039064A">
        <w:rPr>
          <w:rFonts w:cs="Arial"/>
          <w:rtl/>
        </w:rPr>
        <w:t xml:space="preserve"> וכדתנן התם בפ' נערה שנתפתת</w:t>
      </w:r>
      <w:r w:rsidR="0039064A" w:rsidRPr="0039064A">
        <w:rPr>
          <w:rFonts w:cs="Arial" w:hint="cs"/>
          <w:rtl/>
        </w:rPr>
        <w:t>ה</w:t>
      </w:r>
      <w:r w:rsidR="0089231C" w:rsidRPr="0039064A">
        <w:rPr>
          <w:rFonts w:cs="Arial"/>
          <w:rtl/>
        </w:rPr>
        <w:t xml:space="preserve"> לקתה חייב לרפאותה אמר הרי גיטה וכתובתה תרפא עצמה רשאי. וזו שנשטית אינו רשאי לגרשה בגט וכמו ששנינו בפ' חרש</w:t>
      </w:r>
      <w:r w:rsidR="00234A13" w:rsidRPr="0039064A">
        <w:rPr>
          <w:rFonts w:cs="Arial" w:hint="cs"/>
          <w:rtl/>
        </w:rPr>
        <w:t xml:space="preserve"> (קיב:)</w:t>
      </w:r>
      <w:r w:rsidR="0089231C" w:rsidRPr="0039064A">
        <w:rPr>
          <w:rFonts w:cs="Arial"/>
          <w:rtl/>
        </w:rPr>
        <w:t xml:space="preserve"> פקח שנשא פקחת ונתחרשה רצה יוציא רצה יקיים</w:t>
      </w:r>
      <w:r w:rsidR="0039064A" w:rsidRPr="0039064A">
        <w:rPr>
          <w:rFonts w:cs="Arial" w:hint="cs"/>
          <w:rtl/>
        </w:rPr>
        <w:t>,</w:t>
      </w:r>
      <w:r w:rsidR="0089231C" w:rsidRPr="0039064A">
        <w:rPr>
          <w:rFonts w:cs="Arial"/>
          <w:rtl/>
        </w:rPr>
        <w:t xml:space="preserve"> נשטית לא יוציא. ואוקימנא אפילו ביודעת לשמור את גיטה אלא שאינה יודעת לשמור את עצמה. ו</w:t>
      </w:r>
      <w:r w:rsidR="0039064A" w:rsidRPr="0039064A">
        <w:rPr>
          <w:rFonts w:cs="Arial" w:hint="cs"/>
          <w:rtl/>
        </w:rPr>
        <w:t>א</w:t>
      </w:r>
      <w:r w:rsidR="0089231C" w:rsidRPr="0039064A">
        <w:rPr>
          <w:rFonts w:cs="Arial"/>
          <w:rtl/>
        </w:rPr>
        <w:t>ע</w:t>
      </w:r>
      <w:r w:rsidR="0039064A" w:rsidRPr="0039064A">
        <w:rPr>
          <w:rFonts w:cs="Arial" w:hint="cs"/>
          <w:rtl/>
        </w:rPr>
        <w:t>"</w:t>
      </w:r>
      <w:r w:rsidR="0089231C" w:rsidRPr="0039064A">
        <w:rPr>
          <w:rFonts w:cs="Arial"/>
          <w:rtl/>
        </w:rPr>
        <w:t xml:space="preserve">פ שתקנו </w:t>
      </w:r>
      <w:r w:rsidR="0039064A" w:rsidRPr="0039064A">
        <w:rPr>
          <w:rFonts w:cs="Arial"/>
          <w:rtl/>
        </w:rPr>
        <w:t xml:space="preserve">(כתובות נח:) </w:t>
      </w:r>
      <w:r w:rsidR="0089231C" w:rsidRPr="0039064A">
        <w:rPr>
          <w:rFonts w:cs="Arial"/>
          <w:rtl/>
        </w:rPr>
        <w:t>מעשה ידיה תחת מזונותיה</w:t>
      </w:r>
      <w:r w:rsidR="0039064A" w:rsidRPr="0039064A">
        <w:rPr>
          <w:rFonts w:cs="Arial" w:hint="cs"/>
          <w:rtl/>
        </w:rPr>
        <w:t>,</w:t>
      </w:r>
      <w:r w:rsidR="0089231C" w:rsidRPr="0039064A">
        <w:rPr>
          <w:rFonts w:cs="Arial"/>
          <w:rtl/>
        </w:rPr>
        <w:t xml:space="preserve"> אין מזונותיה מעוכבין על מעשה ידיה</w:t>
      </w:r>
      <w:r w:rsidR="0039064A" w:rsidRPr="0039064A">
        <w:rPr>
          <w:rFonts w:cs="Arial" w:hint="cs"/>
          <w:rtl/>
        </w:rPr>
        <w:t>,</w:t>
      </w:r>
      <w:r w:rsidR="0089231C" w:rsidRPr="0039064A">
        <w:rPr>
          <w:rFonts w:cs="Arial"/>
          <w:rtl/>
        </w:rPr>
        <w:t xml:space="preserve"> אלא שכל שהיא עושה מעשה ידיה לבעל וחייב הוא לזון את אשתו חולה כבריאה.</w:t>
      </w:r>
      <w:r w:rsidR="0039064A" w:rsidRPr="0039064A">
        <w:rPr>
          <w:rFonts w:cs="Arial" w:hint="cs"/>
          <w:rtl/>
        </w:rPr>
        <w:t>.</w:t>
      </w:r>
      <w:r w:rsidR="0089231C" w:rsidRPr="0039064A">
        <w:rPr>
          <w:rFonts w:cs="Arial"/>
          <w:rtl/>
        </w:rPr>
        <w:t>. וכל שכן עכשו שנהגו הכל לכתוב בכל הכתובות שחתן מקבל על עצמו בקנין לזונה ולפרנסה.</w:t>
      </w:r>
      <w:r w:rsidR="0039064A" w:rsidRPr="0039064A">
        <w:rPr>
          <w:rFonts w:hint="cs"/>
          <w:color w:val="E36C0A" w:themeColor="accent6" w:themeShade="BF"/>
          <w:rtl/>
        </w:rPr>
        <w:t xml:space="preserve"> </w:t>
      </w:r>
      <w:r w:rsidR="0039064A" w:rsidRPr="00B91600">
        <w:rPr>
          <w:rFonts w:hint="cs"/>
          <w:color w:val="E36C0A" w:themeColor="accent6" w:themeShade="BF"/>
          <w:rtl/>
        </w:rPr>
        <w:t>(וכ"פ בשו"ע</w:t>
      </w:r>
      <w:r w:rsidR="004D3DE9">
        <w:rPr>
          <w:rFonts w:hint="cs"/>
          <w:color w:val="E36C0A" w:themeColor="accent6" w:themeShade="BF"/>
          <w:sz w:val="16"/>
          <w:szCs w:val="16"/>
          <w:rtl/>
        </w:rPr>
        <w:t xml:space="preserve"> </w:t>
      </w:r>
      <w:r w:rsidR="004D3DE9" w:rsidRPr="004D3DE9">
        <w:rPr>
          <w:rFonts w:hint="cs"/>
          <w:color w:val="000000" w:themeColor="text1"/>
          <w:sz w:val="16"/>
          <w:szCs w:val="16"/>
          <w:rtl/>
        </w:rPr>
        <w:t>[</w:t>
      </w:r>
      <w:r w:rsidR="004D3DE9">
        <w:rPr>
          <w:rFonts w:hint="cs"/>
          <w:color w:val="000000" w:themeColor="text1"/>
          <w:sz w:val="16"/>
          <w:szCs w:val="16"/>
          <w:rtl/>
        </w:rPr>
        <w:t>כאן</w:t>
      </w:r>
      <w:r w:rsidR="004D3DE9" w:rsidRPr="004D3DE9">
        <w:rPr>
          <w:rFonts w:hint="cs"/>
          <w:color w:val="000000" w:themeColor="text1"/>
          <w:sz w:val="16"/>
          <w:szCs w:val="16"/>
          <w:rtl/>
        </w:rPr>
        <w:t>]</w:t>
      </w:r>
      <w:r w:rsidR="0039064A" w:rsidRPr="00B91600">
        <w:rPr>
          <w:rFonts w:hint="cs"/>
          <w:color w:val="E36C0A" w:themeColor="accent6" w:themeShade="BF"/>
          <w:rtl/>
        </w:rPr>
        <w:t>)</w:t>
      </w:r>
    </w:p>
    <w:p w14:paraId="62A8B151" w14:textId="60BF08A1" w:rsidR="004D3DE9" w:rsidRDefault="004D3DE9" w:rsidP="004D3DE9">
      <w:pPr>
        <w:pStyle w:val="ab"/>
        <w:numPr>
          <w:ilvl w:val="0"/>
          <w:numId w:val="3"/>
        </w:numPr>
      </w:pPr>
      <w:r w:rsidRPr="00FE714F">
        <w:rPr>
          <w:rFonts w:cs="Arial"/>
          <w:rtl/>
        </w:rPr>
        <w:t xml:space="preserve">רמב"ם </w:t>
      </w:r>
      <w:r w:rsidRPr="00705D4B">
        <w:rPr>
          <w:rFonts w:cs="Arial" w:hint="cs"/>
          <w:sz w:val="16"/>
          <w:szCs w:val="16"/>
          <w:rtl/>
        </w:rPr>
        <w:t>(</w:t>
      </w:r>
      <w:r>
        <w:rPr>
          <w:rFonts w:cs="Arial" w:hint="cs"/>
          <w:sz w:val="16"/>
          <w:szCs w:val="16"/>
          <w:rtl/>
        </w:rPr>
        <w:t>שם</w:t>
      </w:r>
      <w:r w:rsidRPr="00705D4B">
        <w:rPr>
          <w:rFonts w:cs="Arial" w:hint="cs"/>
          <w:sz w:val="16"/>
          <w:szCs w:val="16"/>
          <w:rtl/>
        </w:rPr>
        <w:t>)</w:t>
      </w:r>
      <w:r>
        <w:rPr>
          <w:rFonts w:cs="Arial" w:hint="cs"/>
          <w:rtl/>
        </w:rPr>
        <w:t xml:space="preserve">- </w:t>
      </w:r>
      <w:r w:rsidR="00AC59E3" w:rsidRPr="003826BD">
        <w:rPr>
          <w:rFonts w:cs="Arial"/>
          <w:rtl/>
        </w:rPr>
        <w:t>אם נשתטית אינו מוציאה עד שתבריא</w:t>
      </w:r>
      <w:r w:rsidR="00AC59E3">
        <w:rPr>
          <w:rFonts w:cs="Arial" w:hint="cs"/>
          <w:rtl/>
        </w:rPr>
        <w:t>...</w:t>
      </w:r>
      <w:r w:rsidR="00AC59E3" w:rsidRPr="00E24AEE">
        <w:rPr>
          <w:rFonts w:cs="Arial"/>
          <w:rtl/>
        </w:rPr>
        <w:t xml:space="preserve"> </w:t>
      </w:r>
      <w:r w:rsidRPr="00E24AEE">
        <w:rPr>
          <w:rFonts w:cs="Arial"/>
          <w:rtl/>
        </w:rPr>
        <w:t>לפיכך מניחה ונושא אחרת</w:t>
      </w:r>
      <w:r>
        <w:rPr>
          <w:rFonts w:cs="Arial" w:hint="cs"/>
          <w:rtl/>
        </w:rPr>
        <w:t>,</w:t>
      </w:r>
      <w:r w:rsidRPr="00E24AEE">
        <w:rPr>
          <w:rFonts w:cs="Arial"/>
          <w:rtl/>
        </w:rPr>
        <w:t xml:space="preserve"> ומאכילה ומשקה משלה</w:t>
      </w:r>
      <w:r>
        <w:rPr>
          <w:rFonts w:cs="Arial" w:hint="cs"/>
          <w:rtl/>
        </w:rPr>
        <w:t>.</w:t>
      </w:r>
      <w:r w:rsidRPr="00E24AEE">
        <w:rPr>
          <w:rFonts w:cs="Arial"/>
          <w:rtl/>
        </w:rPr>
        <w:t xml:space="preserve"> ואין מחייבין אותו בשאר כסות ועונה</w:t>
      </w:r>
      <w:r>
        <w:rPr>
          <w:rFonts w:cs="Arial" w:hint="cs"/>
          <w:rtl/>
        </w:rPr>
        <w:t>,</w:t>
      </w:r>
      <w:r w:rsidRPr="00E24AEE">
        <w:rPr>
          <w:rFonts w:cs="Arial"/>
          <w:rtl/>
        </w:rPr>
        <w:t xml:space="preserve"> שאין כח בבן דעת לדור עם השוטים בבית אחד</w:t>
      </w:r>
      <w:r>
        <w:rPr>
          <w:rFonts w:cs="Arial" w:hint="cs"/>
          <w:rtl/>
        </w:rPr>
        <w:t>.</w:t>
      </w:r>
      <w:r w:rsidRPr="00E24AEE">
        <w:rPr>
          <w:rFonts w:cs="Arial"/>
          <w:rtl/>
        </w:rPr>
        <w:t xml:space="preserve"> ואינו חייב לרפאותה ולא לפדותה</w:t>
      </w:r>
      <w:r w:rsidR="00AC59E3">
        <w:rPr>
          <w:rFonts w:cs="Arial" w:hint="cs"/>
          <w:rtl/>
        </w:rPr>
        <w:t>..</w:t>
      </w:r>
      <w:r>
        <w:rPr>
          <w:rFonts w:cs="Arial" w:hint="cs"/>
          <w:rtl/>
        </w:rPr>
        <w:t>.</w:t>
      </w:r>
      <w:r w:rsidRPr="00FE714F">
        <w:rPr>
          <w:rFonts w:cs="Arial"/>
          <w:rtl/>
        </w:rPr>
        <w:t xml:space="preserve"> </w:t>
      </w:r>
      <w:bookmarkStart w:id="0" w:name="_Hlk74822982"/>
      <w:r w:rsidRPr="00544E63">
        <w:rPr>
          <w:rFonts w:hint="cs"/>
          <w:color w:val="E36C0A" w:themeColor="accent6" w:themeShade="BF"/>
          <w:rtl/>
        </w:rPr>
        <w:t>(וכ"פ בשו"ע</w:t>
      </w:r>
      <w:r>
        <w:rPr>
          <w:rFonts w:hint="cs"/>
          <w:color w:val="000000" w:themeColor="text1"/>
          <w:sz w:val="16"/>
          <w:szCs w:val="16"/>
          <w:rtl/>
        </w:rPr>
        <w:t xml:space="preserve"> </w:t>
      </w:r>
      <w:r w:rsidRPr="004D3DE9">
        <w:rPr>
          <w:rFonts w:hint="cs"/>
          <w:color w:val="000000" w:themeColor="text1"/>
          <w:sz w:val="16"/>
          <w:szCs w:val="16"/>
          <w:rtl/>
        </w:rPr>
        <w:t>[</w:t>
      </w:r>
      <w:r>
        <w:rPr>
          <w:rFonts w:hint="cs"/>
          <w:color w:val="000000" w:themeColor="text1"/>
          <w:sz w:val="16"/>
          <w:szCs w:val="16"/>
          <w:rtl/>
        </w:rPr>
        <w:t>בסי' קיט ס"ו]</w:t>
      </w:r>
      <w:r>
        <w:rPr>
          <w:rFonts w:hint="cs"/>
          <w:color w:val="E36C0A" w:themeColor="accent6" w:themeShade="BF"/>
          <w:rtl/>
        </w:rPr>
        <w:t>)</w:t>
      </w:r>
      <w:bookmarkEnd w:id="0"/>
    </w:p>
    <w:p w14:paraId="1BBAF97C" w14:textId="589C36D5" w:rsidR="005D2022" w:rsidRPr="005D2022" w:rsidRDefault="005D2022" w:rsidP="005D2022">
      <w:pPr>
        <w:ind w:left="360"/>
        <w:rPr>
          <w:u w:val="dotted"/>
        </w:rPr>
      </w:pPr>
      <w:r w:rsidRPr="005D2022">
        <w:rPr>
          <w:rFonts w:hint="cs"/>
          <w:u w:val="dotted"/>
          <w:rtl/>
        </w:rPr>
        <w:t>כיצד יש ליישב את הסתירה בשו"ע</w:t>
      </w:r>
      <w:r w:rsidR="00C25238">
        <w:rPr>
          <w:rStyle w:val="a7"/>
          <w:u w:val="dotted"/>
          <w:rtl/>
        </w:rPr>
        <w:footnoteReference w:id="284"/>
      </w:r>
      <w:r w:rsidRPr="005D2022">
        <w:rPr>
          <w:rFonts w:hint="cs"/>
          <w:u w:val="dotted"/>
          <w:rtl/>
        </w:rPr>
        <w:t>:</w:t>
      </w:r>
    </w:p>
    <w:p w14:paraId="0B4DCAAE" w14:textId="38553C27" w:rsidR="005D2022" w:rsidRDefault="005D2022" w:rsidP="004D3DE9">
      <w:pPr>
        <w:pStyle w:val="ab"/>
        <w:numPr>
          <w:ilvl w:val="0"/>
          <w:numId w:val="3"/>
        </w:numPr>
      </w:pPr>
      <w:r>
        <w:rPr>
          <w:rFonts w:cs="Arial" w:hint="cs"/>
          <w:rtl/>
        </w:rPr>
        <w:t xml:space="preserve">ב"ש </w:t>
      </w:r>
      <w:r w:rsidRPr="005D2022">
        <w:rPr>
          <w:rFonts w:cs="Arial" w:hint="cs"/>
          <w:sz w:val="16"/>
          <w:szCs w:val="16"/>
          <w:rtl/>
        </w:rPr>
        <w:t>(סק"</w:t>
      </w:r>
      <w:r w:rsidRPr="005D2022">
        <w:rPr>
          <w:rFonts w:cs="Arial"/>
          <w:sz w:val="16"/>
          <w:szCs w:val="16"/>
          <w:rtl/>
        </w:rPr>
        <w:t>י</w:t>
      </w:r>
      <w:r w:rsidRPr="005D2022">
        <w:rPr>
          <w:rFonts w:cs="Arial" w:hint="cs"/>
          <w:sz w:val="16"/>
          <w:szCs w:val="16"/>
          <w:rtl/>
        </w:rPr>
        <w:t>, ובסי' קיט סק)</w:t>
      </w:r>
      <w:r>
        <w:rPr>
          <w:rFonts w:cs="Arial" w:hint="cs"/>
          <w:rtl/>
        </w:rPr>
        <w:t xml:space="preserve">- </w:t>
      </w:r>
      <w:r w:rsidRPr="005D2022">
        <w:rPr>
          <w:rFonts w:cs="Arial"/>
          <w:rtl/>
        </w:rPr>
        <w:t>איירי כאן בשוט</w:t>
      </w:r>
      <w:r>
        <w:rPr>
          <w:rFonts w:cs="Arial" w:hint="cs"/>
          <w:rtl/>
        </w:rPr>
        <w:t>ה</w:t>
      </w:r>
      <w:r w:rsidRPr="005D2022">
        <w:rPr>
          <w:rFonts w:cs="Arial"/>
          <w:rtl/>
        </w:rPr>
        <w:t xml:space="preserve"> דא</w:t>
      </w:r>
      <w:r>
        <w:rPr>
          <w:rFonts w:cs="Arial" w:hint="cs"/>
          <w:rtl/>
        </w:rPr>
        <w:t xml:space="preserve">ינה </w:t>
      </w:r>
      <w:r w:rsidRPr="005D2022">
        <w:rPr>
          <w:rFonts w:cs="Arial"/>
          <w:rtl/>
        </w:rPr>
        <w:t>י</w:t>
      </w:r>
      <w:r>
        <w:rPr>
          <w:rFonts w:cs="Arial" w:hint="cs"/>
          <w:rtl/>
        </w:rPr>
        <w:t>כולה</w:t>
      </w:r>
      <w:r w:rsidRPr="005D2022">
        <w:rPr>
          <w:rFonts w:cs="Arial"/>
          <w:rtl/>
        </w:rPr>
        <w:t xml:space="preserve"> לשמור את גיטה</w:t>
      </w:r>
      <w:r>
        <w:rPr>
          <w:rFonts w:cs="Arial" w:hint="cs"/>
          <w:rtl/>
        </w:rPr>
        <w:t>, ד</w:t>
      </w:r>
      <w:r w:rsidRPr="005D2022">
        <w:rPr>
          <w:rFonts w:cs="Arial"/>
          <w:rtl/>
        </w:rPr>
        <w:t>אז א</w:t>
      </w:r>
      <w:r>
        <w:rPr>
          <w:rFonts w:cs="Arial" w:hint="cs"/>
          <w:rtl/>
        </w:rPr>
        <w:t>ינו יכול</w:t>
      </w:r>
      <w:r w:rsidRPr="005D2022">
        <w:rPr>
          <w:rFonts w:cs="Arial"/>
          <w:rtl/>
        </w:rPr>
        <w:t xml:space="preserve"> לגרש אות</w:t>
      </w:r>
      <w:r>
        <w:rPr>
          <w:rFonts w:cs="Arial" w:hint="cs"/>
          <w:rtl/>
        </w:rPr>
        <w:t>ה</w:t>
      </w:r>
      <w:r w:rsidRPr="005D2022">
        <w:rPr>
          <w:rFonts w:cs="Arial"/>
          <w:rtl/>
        </w:rPr>
        <w:t xml:space="preserve"> מדאוריי</w:t>
      </w:r>
      <w:r>
        <w:rPr>
          <w:rFonts w:cs="Arial" w:hint="cs"/>
          <w:rtl/>
        </w:rPr>
        <w:t>תא.</w:t>
      </w:r>
    </w:p>
    <w:p w14:paraId="38F1685A" w14:textId="447DF79D" w:rsidR="008121F7" w:rsidRDefault="008121F7" w:rsidP="004D3DE9">
      <w:pPr>
        <w:pStyle w:val="ab"/>
        <w:numPr>
          <w:ilvl w:val="0"/>
          <w:numId w:val="3"/>
        </w:numPr>
      </w:pPr>
      <w:r>
        <w:rPr>
          <w:rFonts w:hint="cs"/>
          <w:rtl/>
        </w:rPr>
        <w:t xml:space="preserve">ח"מ </w:t>
      </w:r>
      <w:r w:rsidRPr="008121F7">
        <w:rPr>
          <w:rFonts w:hint="cs"/>
          <w:sz w:val="16"/>
          <w:szCs w:val="16"/>
          <w:rtl/>
        </w:rPr>
        <w:t>(סקט"ו)</w:t>
      </w:r>
      <w:r>
        <w:rPr>
          <w:rFonts w:hint="cs"/>
          <w:rtl/>
        </w:rPr>
        <w:t xml:space="preserve">- </w:t>
      </w:r>
      <w:r w:rsidRPr="008121F7">
        <w:rPr>
          <w:rFonts w:cs="Arial"/>
          <w:rtl/>
        </w:rPr>
        <w:t>אין כאן סתירה דקמן כ' שאינו חייב לרפאותה היינו ברוצה ליתן לה כתוב</w:t>
      </w:r>
      <w:r w:rsidR="00E60691">
        <w:rPr>
          <w:rFonts w:cs="Arial" w:hint="cs"/>
          <w:rtl/>
        </w:rPr>
        <w:t>ה,</w:t>
      </w:r>
      <w:r w:rsidRPr="008121F7">
        <w:rPr>
          <w:rFonts w:cs="Arial"/>
          <w:rtl/>
        </w:rPr>
        <w:t xml:space="preserve"> וכמ"ש המ"מ שם </w:t>
      </w:r>
      <w:r w:rsidR="00E60691" w:rsidRPr="00363731">
        <w:rPr>
          <w:rFonts w:cs="Arial" w:hint="cs"/>
          <w:sz w:val="16"/>
          <w:szCs w:val="16"/>
          <w:rtl/>
        </w:rPr>
        <w:t>(</w:t>
      </w:r>
      <w:r w:rsidRPr="00363731">
        <w:rPr>
          <w:rFonts w:cs="Arial"/>
          <w:sz w:val="16"/>
          <w:szCs w:val="16"/>
          <w:rtl/>
        </w:rPr>
        <w:t>פ"ג מה"ג</w:t>
      </w:r>
      <w:r w:rsidR="00E60691" w:rsidRPr="00363731">
        <w:rPr>
          <w:rFonts w:cs="Arial" w:hint="cs"/>
          <w:sz w:val="16"/>
          <w:szCs w:val="16"/>
          <w:rtl/>
        </w:rPr>
        <w:t>)</w:t>
      </w:r>
      <w:r w:rsidR="00E60691">
        <w:rPr>
          <w:rFonts w:cs="Arial" w:hint="cs"/>
          <w:rtl/>
        </w:rPr>
        <w:t>.</w:t>
      </w:r>
      <w:r w:rsidRPr="008121F7">
        <w:rPr>
          <w:rFonts w:cs="Arial"/>
          <w:rtl/>
        </w:rPr>
        <w:t xml:space="preserve"> וכאן מיירי באין רוצה ליתן לה כתובה</w:t>
      </w:r>
      <w:r>
        <w:rPr>
          <w:rStyle w:val="a7"/>
          <w:rFonts w:cs="Arial"/>
          <w:rtl/>
        </w:rPr>
        <w:footnoteReference w:id="285"/>
      </w:r>
      <w:r w:rsidRPr="008121F7">
        <w:rPr>
          <w:rFonts w:cs="Arial"/>
          <w:rtl/>
        </w:rPr>
        <w:t xml:space="preserve"> </w:t>
      </w:r>
      <w:r w:rsidR="00363731">
        <w:rPr>
          <w:rFonts w:cs="Arial" w:hint="cs"/>
          <w:sz w:val="16"/>
          <w:szCs w:val="16"/>
          <w:rtl/>
        </w:rPr>
        <w:t>(</w:t>
      </w:r>
      <w:r w:rsidRPr="00363731">
        <w:rPr>
          <w:rFonts w:cs="Arial"/>
          <w:sz w:val="16"/>
          <w:szCs w:val="16"/>
          <w:rtl/>
        </w:rPr>
        <w:t>ועיין לקמן סי' ע"ט</w:t>
      </w:r>
      <w:r w:rsidR="00363731">
        <w:rPr>
          <w:rFonts w:cs="Arial" w:hint="cs"/>
          <w:sz w:val="16"/>
          <w:szCs w:val="16"/>
          <w:rtl/>
        </w:rPr>
        <w:t>)</w:t>
      </w:r>
      <w:r>
        <w:rPr>
          <w:rFonts w:cs="Arial" w:hint="cs"/>
          <w:rtl/>
        </w:rPr>
        <w:t>.</w:t>
      </w:r>
    </w:p>
    <w:p w14:paraId="691BCC06" w14:textId="7E91975D" w:rsidR="008121F7" w:rsidRPr="00285F32" w:rsidRDefault="008121F7" w:rsidP="00363731">
      <w:pPr>
        <w:pStyle w:val="ab"/>
        <w:numPr>
          <w:ilvl w:val="0"/>
          <w:numId w:val="3"/>
        </w:numPr>
        <w:rPr>
          <w:rtl/>
        </w:rPr>
      </w:pPr>
      <w:r>
        <w:rPr>
          <w:rFonts w:hint="cs"/>
          <w:rtl/>
        </w:rPr>
        <w:t xml:space="preserve">ט"ז </w:t>
      </w:r>
      <w:r w:rsidRPr="008121F7">
        <w:rPr>
          <w:rFonts w:hint="cs"/>
          <w:sz w:val="16"/>
          <w:szCs w:val="16"/>
          <w:rtl/>
        </w:rPr>
        <w:t>(סק"ה)</w:t>
      </w:r>
      <w:r>
        <w:rPr>
          <w:rFonts w:hint="cs"/>
          <w:rtl/>
        </w:rPr>
        <w:t xml:space="preserve">- </w:t>
      </w:r>
      <w:r w:rsidRPr="008121F7">
        <w:rPr>
          <w:rFonts w:cs="Arial"/>
          <w:rtl/>
        </w:rPr>
        <w:t>נראה לתרץ קושית רמ"א בזה דבסי' קי"ט אזיל לדעתו דיכול לגרשה בעל כרחה ממילא יכול לומר אניח כתובתה ביד בי"ד ומשלם מזה שכר הרופא</w:t>
      </w:r>
      <w:r w:rsidR="00363731">
        <w:rPr>
          <w:rFonts w:cs="Arial" w:hint="cs"/>
          <w:rtl/>
        </w:rPr>
        <w:t>.</w:t>
      </w:r>
      <w:r w:rsidRPr="008121F7">
        <w:rPr>
          <w:rFonts w:cs="Arial"/>
          <w:rtl/>
        </w:rPr>
        <w:t xml:space="preserve"> משא"כ כאן דמיירי בענין שאין מגרשין בע</w:t>
      </w:r>
      <w:r w:rsidR="00363731">
        <w:rPr>
          <w:rFonts w:cs="Arial" w:hint="cs"/>
          <w:rtl/>
        </w:rPr>
        <w:t xml:space="preserve">ל </w:t>
      </w:r>
      <w:r w:rsidRPr="008121F7">
        <w:rPr>
          <w:rFonts w:cs="Arial"/>
          <w:rtl/>
        </w:rPr>
        <w:t>כ</w:t>
      </w:r>
      <w:r w:rsidR="00363731">
        <w:rPr>
          <w:rFonts w:cs="Arial" w:hint="cs"/>
          <w:rtl/>
        </w:rPr>
        <w:t>רחה.</w:t>
      </w:r>
    </w:p>
    <w:p w14:paraId="5257DF6D" w14:textId="77777777" w:rsidR="00971CA9" w:rsidRDefault="00971CA9" w:rsidP="00971CA9">
      <w:pPr>
        <w:rPr>
          <w:rFonts w:cs="Arial"/>
          <w:rtl/>
        </w:rPr>
      </w:pPr>
      <w:r w:rsidRPr="003024E5">
        <w:rPr>
          <w:rFonts w:asciiTheme="minorBidi" w:hAnsiTheme="minorBidi"/>
          <w:b/>
          <w:bCs/>
          <w:color w:val="000000"/>
          <w:sz w:val="28"/>
          <w:szCs w:val="28"/>
          <w:u w:val="single"/>
          <w:rtl/>
        </w:rPr>
        <w:t>שו"ע:</w:t>
      </w:r>
    </w:p>
    <w:p w14:paraId="53BA5342" w14:textId="3DD0F9DE" w:rsidR="00971CA9" w:rsidRDefault="00971CA9" w:rsidP="00971CA9">
      <w:pPr>
        <w:rPr>
          <w:rtl/>
        </w:rPr>
      </w:pPr>
      <w:r>
        <w:rPr>
          <w:rFonts w:cs="Arial"/>
          <w:rtl/>
        </w:rPr>
        <w:t>הנושא אשה ואח</w:t>
      </w:r>
      <w:r w:rsidR="00763DDE">
        <w:rPr>
          <w:rFonts w:cs="Arial" w:hint="cs"/>
          <w:rtl/>
        </w:rPr>
        <w:t xml:space="preserve">ר </w:t>
      </w:r>
      <w:r>
        <w:rPr>
          <w:rFonts w:cs="Arial"/>
          <w:rtl/>
        </w:rPr>
        <w:t>כ</w:t>
      </w:r>
      <w:r w:rsidR="00763DDE">
        <w:rPr>
          <w:rFonts w:cs="Arial" w:hint="cs"/>
          <w:rtl/>
        </w:rPr>
        <w:t>ך</w:t>
      </w:r>
      <w:r w:rsidR="005D2022">
        <w:rPr>
          <w:rStyle w:val="a7"/>
          <w:rFonts w:cs="Arial"/>
          <w:rtl/>
        </w:rPr>
        <w:footnoteReference w:id="286"/>
      </w:r>
      <w:r>
        <w:rPr>
          <w:rFonts w:cs="Arial"/>
          <w:rtl/>
        </w:rPr>
        <w:t xml:space="preserve"> נשתטית, חייב לזונה ולרפאה</w:t>
      </w:r>
      <w:r w:rsidR="00B91600">
        <w:rPr>
          <w:rFonts w:cs="Arial" w:hint="cs"/>
          <w:rtl/>
        </w:rPr>
        <w:t>.</w:t>
      </w:r>
      <w:r>
        <w:rPr>
          <w:rFonts w:cs="Arial"/>
          <w:rtl/>
        </w:rPr>
        <w:t xml:space="preserve"> </w:t>
      </w:r>
      <w:r w:rsidR="00DE2F5F">
        <w:rPr>
          <w:rFonts w:cs="Arial" w:hint="cs"/>
          <w:sz w:val="18"/>
          <w:szCs w:val="18"/>
          <w:rtl/>
        </w:rPr>
        <w:t xml:space="preserve">[הגה] </w:t>
      </w:r>
      <w:r w:rsidRPr="00DE2F5F">
        <w:rPr>
          <w:rFonts w:cs="Arial"/>
          <w:sz w:val="18"/>
          <w:szCs w:val="18"/>
          <w:rtl/>
        </w:rPr>
        <w:t>ע"ל סי' קי"ט סעיף ו' שכתב להיפך</w:t>
      </w:r>
      <w:r>
        <w:rPr>
          <w:rFonts w:cs="Arial"/>
          <w:rtl/>
        </w:rPr>
        <w:t xml:space="preserve">. </w:t>
      </w:r>
    </w:p>
    <w:p w14:paraId="5C1CFC5E" w14:textId="77777777" w:rsidR="00116267" w:rsidRDefault="00116267" w:rsidP="00971CA9">
      <w:pPr>
        <w:rPr>
          <w:rtl/>
        </w:rPr>
      </w:pPr>
    </w:p>
    <w:p w14:paraId="2EC11121" w14:textId="7FA71430" w:rsidR="00D4194A" w:rsidRPr="00D4194A" w:rsidRDefault="00971CA9" w:rsidP="000F64D0">
      <w:pPr>
        <w:pStyle w:val="2"/>
        <w:rPr>
          <w:rtl/>
        </w:rPr>
      </w:pPr>
      <w:r>
        <w:rPr>
          <w:rtl/>
        </w:rPr>
        <w:t>סעיף ה</w:t>
      </w:r>
      <w:r w:rsidR="00B3180C">
        <w:rPr>
          <w:rFonts w:hint="cs"/>
          <w:rtl/>
        </w:rPr>
        <w:t>:</w:t>
      </w:r>
      <w:r w:rsidR="00D4194A" w:rsidRPr="00D4194A">
        <w:rPr>
          <w:rtl/>
        </w:rPr>
        <w:t xml:space="preserve"> </w:t>
      </w:r>
      <w:r w:rsidR="00D4194A" w:rsidRPr="00B3180C">
        <w:rPr>
          <w:rtl/>
        </w:rPr>
        <w:t>הלך למדינת הים ואשתו תובעת מזונות בב"ד</w:t>
      </w:r>
      <w:r w:rsidR="00D4194A">
        <w:rPr>
          <w:rFonts w:hint="cs"/>
          <w:rtl/>
        </w:rPr>
        <w:t>.</w:t>
      </w:r>
    </w:p>
    <w:p w14:paraId="6C662F35" w14:textId="42AF446D" w:rsidR="005F627F" w:rsidRDefault="00D611D4" w:rsidP="00D611D4">
      <w:pPr>
        <w:rPr>
          <w:rFonts w:cs="Arial"/>
          <w:rtl/>
        </w:rPr>
      </w:pPr>
      <w:r w:rsidRPr="00D611D4">
        <w:rPr>
          <w:rFonts w:cs="Arial" w:hint="cs"/>
          <w:b/>
          <w:bCs/>
          <w:rtl/>
        </w:rPr>
        <w:t xml:space="preserve">כתובות </w:t>
      </w:r>
      <w:r>
        <w:rPr>
          <w:rFonts w:cs="Arial" w:hint="cs"/>
          <w:b/>
          <w:bCs/>
          <w:sz w:val="16"/>
          <w:szCs w:val="16"/>
          <w:rtl/>
        </w:rPr>
        <w:t>(פ' שני דייני)</w:t>
      </w:r>
      <w:r>
        <w:rPr>
          <w:rFonts w:cs="Arial" w:hint="cs"/>
          <w:b/>
          <w:bCs/>
          <w:rtl/>
        </w:rPr>
        <w:t xml:space="preserve"> </w:t>
      </w:r>
      <w:r w:rsidRPr="00D611D4">
        <w:rPr>
          <w:rFonts w:cs="Arial" w:hint="cs"/>
          <w:b/>
          <w:bCs/>
          <w:rtl/>
        </w:rPr>
        <w:t xml:space="preserve">קו ע"ב: </w:t>
      </w:r>
      <w:r w:rsidR="00197A95" w:rsidRPr="00197A95">
        <w:rPr>
          <w:rFonts w:cs="Arial"/>
          <w:rtl/>
        </w:rPr>
        <w:t xml:space="preserve">מי שהלך למדינת הים. איתמר, </w:t>
      </w:r>
      <w:r w:rsidR="00197A95" w:rsidRPr="00DC6EE6">
        <w:rPr>
          <w:rFonts w:cs="Arial"/>
          <w:u w:val="single"/>
          <w:rtl/>
        </w:rPr>
        <w:t>רב אמר</w:t>
      </w:r>
      <w:r w:rsidR="00197A95" w:rsidRPr="00197A95">
        <w:rPr>
          <w:rFonts w:cs="Arial"/>
          <w:rtl/>
        </w:rPr>
        <w:t>:</w:t>
      </w:r>
      <w:r>
        <w:rPr>
          <w:rFonts w:cs="Arial" w:hint="cs"/>
          <w:rtl/>
        </w:rPr>
        <w:t xml:space="preserve"> </w:t>
      </w:r>
      <w:r w:rsidR="00DC6EE6">
        <w:rPr>
          <w:rFonts w:hint="cs"/>
          <w:sz w:val="14"/>
          <w:szCs w:val="14"/>
          <w:rtl/>
        </w:rPr>
        <w:t>(קז.)</w:t>
      </w:r>
      <w:r w:rsidR="003F5381">
        <w:rPr>
          <w:rFonts w:cs="Arial" w:hint="cs"/>
          <w:rtl/>
        </w:rPr>
        <w:t xml:space="preserve"> </w:t>
      </w:r>
      <w:r w:rsidRPr="00D611D4">
        <w:rPr>
          <w:rFonts w:cs="Arial"/>
          <w:rtl/>
        </w:rPr>
        <w:t xml:space="preserve">פוסקין מזונות לאשת איש, </w:t>
      </w:r>
      <w:r w:rsidRPr="00DC6EE6">
        <w:rPr>
          <w:rFonts w:cs="Arial"/>
          <w:u w:val="single"/>
          <w:rtl/>
        </w:rPr>
        <w:t>ושמואל אמר</w:t>
      </w:r>
      <w:r w:rsidRPr="00D611D4">
        <w:rPr>
          <w:rFonts w:cs="Arial"/>
          <w:rtl/>
        </w:rPr>
        <w:t xml:space="preserve">: אין פוסקין מזונות לאשת איש. </w:t>
      </w:r>
      <w:r w:rsidRPr="00DC6EE6">
        <w:rPr>
          <w:rFonts w:cs="Arial"/>
          <w:u w:val="single"/>
          <w:rtl/>
        </w:rPr>
        <w:t>אמר שמואל</w:t>
      </w:r>
      <w:r w:rsidRPr="00D611D4">
        <w:rPr>
          <w:rFonts w:cs="Arial"/>
          <w:rtl/>
        </w:rPr>
        <w:t xml:space="preserve">: מודה לי אבא, בשלשה חדשים הראשונים, לפי שאין אדם מניח ביתו ריקן. בששמעו בו שמת כולי עלמא לא פליגי, כי פליגי - בשלא שמעו בו שמת, </w:t>
      </w:r>
      <w:r w:rsidRPr="00DC6EE6">
        <w:rPr>
          <w:rFonts w:cs="Arial"/>
          <w:u w:val="single"/>
          <w:rtl/>
        </w:rPr>
        <w:t>רב אמר</w:t>
      </w:r>
      <w:r w:rsidRPr="00D611D4">
        <w:rPr>
          <w:rFonts w:cs="Arial"/>
          <w:rtl/>
        </w:rPr>
        <w:t xml:space="preserve">: פוסקין, דהא משועבד לה, </w:t>
      </w:r>
      <w:r w:rsidRPr="006E3405">
        <w:rPr>
          <w:rFonts w:cs="Arial"/>
          <w:u w:val="single"/>
          <w:rtl/>
        </w:rPr>
        <w:t>ושמואל אמר</w:t>
      </w:r>
      <w:r w:rsidRPr="00D611D4">
        <w:rPr>
          <w:rFonts w:cs="Arial"/>
          <w:rtl/>
        </w:rPr>
        <w:t xml:space="preserve">: אין פוסקין. מ"ט? </w:t>
      </w:r>
      <w:r w:rsidRPr="00DC6EE6">
        <w:rPr>
          <w:rFonts w:cs="Arial"/>
          <w:u w:val="single"/>
          <w:rtl/>
        </w:rPr>
        <w:t>רב זביד אמר</w:t>
      </w:r>
      <w:r w:rsidRPr="00D611D4">
        <w:rPr>
          <w:rFonts w:cs="Arial"/>
          <w:rtl/>
        </w:rPr>
        <w:t xml:space="preserve">: אימא צררי אתפסה, </w:t>
      </w:r>
      <w:r w:rsidRPr="00DC6EE6">
        <w:rPr>
          <w:rFonts w:cs="Arial"/>
          <w:u w:val="single"/>
          <w:rtl/>
        </w:rPr>
        <w:t>רב פפא אמר</w:t>
      </w:r>
      <w:r w:rsidRPr="00D611D4">
        <w:rPr>
          <w:rFonts w:cs="Arial"/>
          <w:rtl/>
        </w:rPr>
        <w:t xml:space="preserve">: חיישינן שמא אמר לה צאי מעשה ידיך במזונותיך. מאי בינייהו? איכא בינייהו: גדולה ולא ספקה; אי נמי, קטנה וספקה. תנן: מי שהלך למדינת הים ואשתו תובעת מזונות, </w:t>
      </w:r>
      <w:r w:rsidRPr="00DC6EE6">
        <w:rPr>
          <w:rFonts w:cs="Arial"/>
          <w:u w:val="single"/>
          <w:rtl/>
        </w:rPr>
        <w:t>חנן אמר</w:t>
      </w:r>
      <w:r w:rsidRPr="00D611D4">
        <w:rPr>
          <w:rFonts w:cs="Arial"/>
          <w:rtl/>
        </w:rPr>
        <w:t>: תשבע בסוף ולא תשבע בתחלה</w:t>
      </w:r>
      <w:r w:rsidR="00090DC1">
        <w:rPr>
          <w:rStyle w:val="a7"/>
          <w:rFonts w:cs="Arial"/>
          <w:rtl/>
        </w:rPr>
        <w:footnoteReference w:id="287"/>
      </w:r>
      <w:r w:rsidRPr="00D611D4">
        <w:rPr>
          <w:rFonts w:cs="Arial"/>
          <w:rtl/>
        </w:rPr>
        <w:t xml:space="preserve">, </w:t>
      </w:r>
      <w:r w:rsidRPr="00DC6EE6">
        <w:rPr>
          <w:rFonts w:cs="Arial"/>
          <w:u w:val="single"/>
          <w:rtl/>
        </w:rPr>
        <w:t>נחלקו עליו בני כהנים גדולים ואמרו</w:t>
      </w:r>
      <w:r w:rsidRPr="00D611D4">
        <w:rPr>
          <w:rFonts w:cs="Arial"/>
          <w:rtl/>
        </w:rPr>
        <w:t>: תשבע בתחלה ובסוף</w:t>
      </w:r>
      <w:r w:rsidR="007B41A0">
        <w:rPr>
          <w:rFonts w:cs="Arial" w:hint="cs"/>
          <w:rtl/>
        </w:rPr>
        <w:t>.</w:t>
      </w:r>
      <w:r w:rsidR="004A6085" w:rsidRPr="004A6085">
        <w:rPr>
          <w:rtl/>
        </w:rPr>
        <w:t xml:space="preserve"> </w:t>
      </w:r>
      <w:r w:rsidR="004A6085" w:rsidRPr="004A6085">
        <w:rPr>
          <w:rFonts w:cs="Arial"/>
          <w:rtl/>
        </w:rPr>
        <w:t>עד כאן לא פליגי אלא לענין שבועה, אבל מזוני יהבינן לה! תרגמה שמואל: בששמעו בו שמת</w:t>
      </w:r>
      <w:r w:rsidR="004A6085">
        <w:rPr>
          <w:rStyle w:val="a7"/>
          <w:rFonts w:cs="Arial"/>
          <w:rtl/>
        </w:rPr>
        <w:footnoteReference w:id="288"/>
      </w:r>
      <w:r w:rsidR="004A6085" w:rsidRPr="004A6085">
        <w:rPr>
          <w:rFonts w:cs="Arial"/>
          <w:rtl/>
        </w:rPr>
        <w:t>.</w:t>
      </w:r>
      <w:r w:rsidR="007B41A0">
        <w:rPr>
          <w:rFonts w:cs="Arial" w:hint="cs"/>
          <w:rtl/>
        </w:rPr>
        <w:t>..</w:t>
      </w:r>
      <w:r w:rsidRPr="00D611D4">
        <w:rPr>
          <w:rFonts w:cs="Arial"/>
          <w:rtl/>
        </w:rPr>
        <w:t xml:space="preserve"> ת"ש מי שהלך למדינת הים ואשתו תובעת מזונות, ב"ד יורדים לנכסיו וזנין ומפרנסין לאשתו, אבל לא בניו ובנותיו ולא דבר אחר!</w:t>
      </w:r>
      <w:r w:rsidR="007B41A0">
        <w:rPr>
          <w:rFonts w:cs="Arial" w:hint="cs"/>
          <w:rtl/>
        </w:rPr>
        <w:t>..</w:t>
      </w:r>
      <w:r w:rsidRPr="00D611D4">
        <w:rPr>
          <w:rFonts w:cs="Arial"/>
          <w:rtl/>
        </w:rPr>
        <w:t xml:space="preserve">. מאי דבר אחר? </w:t>
      </w:r>
      <w:r w:rsidRPr="007B41A0">
        <w:rPr>
          <w:rFonts w:cs="Arial"/>
          <w:u w:val="single"/>
          <w:rtl/>
        </w:rPr>
        <w:t>רב חסדא אמר</w:t>
      </w:r>
      <w:r w:rsidRPr="00D611D4">
        <w:rPr>
          <w:rFonts w:cs="Arial"/>
          <w:rtl/>
        </w:rPr>
        <w:t>: תכשיט</w:t>
      </w:r>
      <w:r w:rsidR="00090DC1">
        <w:rPr>
          <w:rStyle w:val="a7"/>
          <w:rFonts w:cs="Arial"/>
          <w:rtl/>
        </w:rPr>
        <w:footnoteReference w:id="289"/>
      </w:r>
      <w:r w:rsidRPr="00D611D4">
        <w:rPr>
          <w:rFonts w:cs="Arial"/>
          <w:rtl/>
        </w:rPr>
        <w:t xml:space="preserve">, </w:t>
      </w:r>
      <w:r w:rsidRPr="007B41A0">
        <w:rPr>
          <w:rFonts w:cs="Arial"/>
          <w:u w:val="single"/>
          <w:rtl/>
        </w:rPr>
        <w:t>רב יוסף אמר</w:t>
      </w:r>
      <w:r w:rsidRPr="00D611D4">
        <w:rPr>
          <w:rFonts w:cs="Arial"/>
          <w:rtl/>
        </w:rPr>
        <w:t xml:space="preserve">: צדקה. מ"ד תכשיט, כל שכן </w:t>
      </w:r>
      <w:r w:rsidR="00DC6EE6">
        <w:rPr>
          <w:rFonts w:hint="cs"/>
          <w:sz w:val="14"/>
          <w:szCs w:val="14"/>
          <w:rtl/>
        </w:rPr>
        <w:t>(קז:)</w:t>
      </w:r>
      <w:r>
        <w:rPr>
          <w:rFonts w:cs="Arial" w:hint="cs"/>
          <w:rtl/>
        </w:rPr>
        <w:t xml:space="preserve"> </w:t>
      </w:r>
      <w:r w:rsidR="005F627F" w:rsidRPr="005F627F">
        <w:rPr>
          <w:rFonts w:cs="Arial"/>
          <w:rtl/>
        </w:rPr>
        <w:t>צדקה; מ"ד צדקה, אבל תכשיט יהבינן לה, דלא ניחא ליה דתינוול.</w:t>
      </w:r>
      <w:r w:rsidR="007B41A0">
        <w:rPr>
          <w:rFonts w:cs="Arial" w:hint="cs"/>
          <w:rtl/>
        </w:rPr>
        <w:t>..</w:t>
      </w:r>
      <w:r w:rsidR="005F627F" w:rsidRPr="005F627F">
        <w:rPr>
          <w:rFonts w:cs="Arial"/>
          <w:rtl/>
        </w:rPr>
        <w:t xml:space="preserve"> והלכתא כותיה דרב, ופוסקין מזונות לאשת איש.</w:t>
      </w:r>
      <w:r>
        <w:rPr>
          <w:rFonts w:cs="Arial" w:hint="cs"/>
          <w:rtl/>
        </w:rPr>
        <w:t>..</w:t>
      </w:r>
      <w:r w:rsidRPr="00D611D4">
        <w:rPr>
          <w:rtl/>
        </w:rPr>
        <w:t xml:space="preserve"> </w:t>
      </w:r>
      <w:r>
        <w:rPr>
          <w:rFonts w:hint="cs"/>
          <w:sz w:val="14"/>
          <w:szCs w:val="14"/>
          <w:rtl/>
        </w:rPr>
        <w:t xml:space="preserve">(קט.) </w:t>
      </w:r>
      <w:r w:rsidRPr="00DC6EE6">
        <w:rPr>
          <w:rFonts w:cs="Arial"/>
          <w:u w:val="single"/>
          <w:rtl/>
        </w:rPr>
        <w:t>אמר ר' זירא אמר רבה בר ירמיה</w:t>
      </w:r>
      <w:r w:rsidRPr="00D611D4">
        <w:rPr>
          <w:rFonts w:cs="Arial"/>
          <w:rtl/>
        </w:rPr>
        <w:t>: ב' דברים שאמר חנן - הלכה כיוצא בו, שבעה דברים שאמר אדמון - אין הלכה כיוצא בו. מאי קאמר?</w:t>
      </w:r>
      <w:r w:rsidR="00DC6EE6">
        <w:rPr>
          <w:rFonts w:cs="Arial" w:hint="cs"/>
          <w:rtl/>
        </w:rPr>
        <w:t>...</w:t>
      </w:r>
      <w:r w:rsidRPr="00D611D4">
        <w:rPr>
          <w:rFonts w:cs="Arial"/>
          <w:rtl/>
        </w:rPr>
        <w:t xml:space="preserve"> אלא ה"ק: שני דברי' שאמר חנן - הלכה כמותו וכיוצא בו, שבעה דברים שאמר אדמון - יש מהן שהלכה כמותו וכיוצא בו, ויש מהן שאין הלכה כמותו אלא כיוצא בו, בכ"מ שאמר רבן גמליאל רואה אני את דברי אדמון - הלכה כמותו, אינך לא.</w:t>
      </w:r>
    </w:p>
    <w:p w14:paraId="540D4F49" w14:textId="7A28A613" w:rsidR="00403374" w:rsidRDefault="00403374" w:rsidP="00D611D4">
      <w:pPr>
        <w:rPr>
          <w:rFonts w:cs="Arial"/>
          <w:rtl/>
        </w:rPr>
      </w:pPr>
      <w:r w:rsidRPr="00D611D4">
        <w:rPr>
          <w:rFonts w:cs="Arial" w:hint="cs"/>
          <w:b/>
          <w:bCs/>
          <w:rtl/>
        </w:rPr>
        <w:t xml:space="preserve">כתובות </w:t>
      </w:r>
      <w:r>
        <w:rPr>
          <w:rFonts w:cs="Arial" w:hint="cs"/>
          <w:b/>
          <w:bCs/>
          <w:sz w:val="16"/>
          <w:szCs w:val="16"/>
          <w:rtl/>
        </w:rPr>
        <w:t>(פ' אלמנה ניזונת)</w:t>
      </w:r>
      <w:r>
        <w:rPr>
          <w:rFonts w:cs="Arial" w:hint="cs"/>
          <w:b/>
          <w:bCs/>
          <w:rtl/>
        </w:rPr>
        <w:t xml:space="preserve"> </w:t>
      </w:r>
      <w:r w:rsidRPr="00D611D4">
        <w:rPr>
          <w:rFonts w:cs="Arial" w:hint="cs"/>
          <w:b/>
          <w:bCs/>
          <w:rtl/>
        </w:rPr>
        <w:t>ק ע"ב:</w:t>
      </w:r>
      <w:r>
        <w:rPr>
          <w:rFonts w:cs="Arial" w:hint="cs"/>
          <w:rtl/>
        </w:rPr>
        <w:t xml:space="preserve"> </w:t>
      </w:r>
      <w:r w:rsidRPr="00403374">
        <w:rPr>
          <w:rFonts w:cs="Arial"/>
          <w:u w:val="single"/>
          <w:rtl/>
        </w:rPr>
        <w:t>דאמרי נהרדעי</w:t>
      </w:r>
      <w:r w:rsidRPr="00403374">
        <w:rPr>
          <w:rFonts w:cs="Arial"/>
          <w:rtl/>
        </w:rPr>
        <w:t>: לכרגא, למזוני, ולקבורה - מזבנינן בלא אכרזתא.</w:t>
      </w:r>
    </w:p>
    <w:p w14:paraId="7182DD03" w14:textId="280AB3B2" w:rsidR="00D4194A" w:rsidRPr="00D4194A" w:rsidRDefault="00D4194A" w:rsidP="00D611D4">
      <w:pPr>
        <w:rPr>
          <w:rFonts w:cs="Arial"/>
          <w:u w:val="single"/>
          <w:rtl/>
        </w:rPr>
      </w:pPr>
      <w:r w:rsidRPr="00D4194A">
        <w:rPr>
          <w:rFonts w:cs="Arial"/>
          <w:u w:val="single"/>
          <w:rtl/>
        </w:rPr>
        <w:t>הלך למדינת הים ואשתו תובעת מזונות בב"ד</w:t>
      </w:r>
      <w:r w:rsidRPr="00D4194A">
        <w:rPr>
          <w:rFonts w:cs="Arial" w:hint="cs"/>
          <w:u w:val="single"/>
          <w:rtl/>
        </w:rPr>
        <w:t>:</w:t>
      </w:r>
    </w:p>
    <w:p w14:paraId="3816003F" w14:textId="58C04D5F" w:rsidR="00D4194A" w:rsidRPr="00D4194A" w:rsidRDefault="00B3180C" w:rsidP="00223D6D">
      <w:pPr>
        <w:pStyle w:val="ab"/>
        <w:numPr>
          <w:ilvl w:val="0"/>
          <w:numId w:val="2"/>
        </w:numPr>
      </w:pPr>
      <w:r w:rsidRPr="00B3180C">
        <w:rPr>
          <w:rFonts w:cs="Arial" w:hint="cs"/>
          <w:rtl/>
        </w:rPr>
        <w:t xml:space="preserve">טור- </w:t>
      </w:r>
      <w:r w:rsidRPr="00B3180C">
        <w:rPr>
          <w:rFonts w:cs="Arial"/>
          <w:rtl/>
        </w:rPr>
        <w:t>מי שהלך למדינת הים ואשתו תובעת מזונות בב"ד</w:t>
      </w:r>
      <w:r w:rsidR="00763DDE">
        <w:rPr>
          <w:rFonts w:cs="Arial" w:hint="cs"/>
          <w:rtl/>
        </w:rPr>
        <w:t>,</w:t>
      </w:r>
      <w:r w:rsidRPr="00B3180C">
        <w:rPr>
          <w:rFonts w:cs="Arial"/>
          <w:rtl/>
        </w:rPr>
        <w:t xml:space="preserve"> ג' חדשים הראשונים אין נותנין לה</w:t>
      </w:r>
      <w:r w:rsidR="00763DDE">
        <w:rPr>
          <w:rFonts w:cs="Arial" w:hint="cs"/>
          <w:rtl/>
        </w:rPr>
        <w:t>,</w:t>
      </w:r>
      <w:r w:rsidRPr="00B3180C">
        <w:rPr>
          <w:rFonts w:cs="Arial"/>
          <w:rtl/>
        </w:rPr>
        <w:t xml:space="preserve"> שחזקה אין אדם מניח את ביתו ריקן</w:t>
      </w:r>
      <w:r w:rsidR="00197A95">
        <w:rPr>
          <w:rFonts w:cs="Arial" w:hint="cs"/>
          <w:rtl/>
        </w:rPr>
        <w:t>,</w:t>
      </w:r>
      <w:r w:rsidRPr="00B3180C">
        <w:rPr>
          <w:rFonts w:cs="Arial"/>
          <w:rtl/>
        </w:rPr>
        <w:t xml:space="preserve"> מכאן ואילך פוסקין לה אפי' לא שמעו בו שמת</w:t>
      </w:r>
      <w:r w:rsidR="00197A95">
        <w:rPr>
          <w:rFonts w:cs="Arial" w:hint="cs"/>
          <w:rtl/>
        </w:rPr>
        <w:t>,</w:t>
      </w:r>
      <w:r w:rsidRPr="00B3180C">
        <w:rPr>
          <w:rFonts w:cs="Arial"/>
          <w:rtl/>
        </w:rPr>
        <w:t xml:space="preserve"> אפילו שבועה אינה צריכה</w:t>
      </w:r>
      <w:r w:rsidR="00197A95">
        <w:rPr>
          <w:rFonts w:cs="Arial" w:hint="cs"/>
          <w:rtl/>
        </w:rPr>
        <w:t>.</w:t>
      </w:r>
      <w:r w:rsidRPr="00B3180C">
        <w:rPr>
          <w:rFonts w:cs="Arial"/>
          <w:rtl/>
        </w:rPr>
        <w:t xml:space="preserve"> אבל אין נותנין לה </w:t>
      </w:r>
      <w:r w:rsidR="00197A95">
        <w:rPr>
          <w:rFonts w:cs="Arial" w:hint="cs"/>
          <w:rtl/>
        </w:rPr>
        <w:t>ב</w:t>
      </w:r>
      <w:r w:rsidRPr="00B3180C">
        <w:rPr>
          <w:rFonts w:cs="Arial"/>
          <w:rtl/>
        </w:rPr>
        <w:t>מה שתתקשט</w:t>
      </w:r>
      <w:r w:rsidR="00197A95">
        <w:rPr>
          <w:rFonts w:cs="Arial" w:hint="cs"/>
          <w:rtl/>
        </w:rPr>
        <w:t>,</w:t>
      </w:r>
      <w:r w:rsidRPr="00B3180C">
        <w:rPr>
          <w:rFonts w:cs="Arial"/>
          <w:rtl/>
        </w:rPr>
        <w:t xml:space="preserve"> דכיון שאין בעלה בכאן אינה צריכה להתקשט</w:t>
      </w:r>
      <w:r w:rsidR="00197A95">
        <w:rPr>
          <w:rFonts w:cs="Arial" w:hint="cs"/>
          <w:rtl/>
        </w:rPr>
        <w:t>.</w:t>
      </w:r>
      <w:r w:rsidR="004A6085" w:rsidRPr="004A6085">
        <w:rPr>
          <w:rFonts w:hint="cs"/>
          <w:color w:val="E36C0A" w:themeColor="accent6" w:themeShade="BF"/>
          <w:rtl/>
        </w:rPr>
        <w:t xml:space="preserve"> </w:t>
      </w:r>
      <w:r w:rsidR="004A6085" w:rsidRPr="00B91600">
        <w:rPr>
          <w:rFonts w:hint="cs"/>
          <w:color w:val="E36C0A" w:themeColor="accent6" w:themeShade="BF"/>
          <w:rtl/>
        </w:rPr>
        <w:t>(וכ"פ בשו"ע)</w:t>
      </w:r>
    </w:p>
    <w:p w14:paraId="32B8E002" w14:textId="433B65EF" w:rsidR="00197A95" w:rsidRPr="00D4194A" w:rsidRDefault="00D4194A" w:rsidP="00D4194A">
      <w:pPr>
        <w:ind w:left="360"/>
        <w:rPr>
          <w:u w:val="dotted"/>
        </w:rPr>
      </w:pPr>
      <w:r w:rsidRPr="00D4194A">
        <w:rPr>
          <w:rFonts w:cs="Arial" w:hint="cs"/>
          <w:u w:val="dotted"/>
          <w:rtl/>
        </w:rPr>
        <w:t>האם צריכה להביא כתובתה לב"ד כדי שיפסקו לה מזונות:</w:t>
      </w:r>
      <w:r w:rsidR="00B3180C" w:rsidRPr="00D4194A">
        <w:rPr>
          <w:rFonts w:cs="Arial"/>
          <w:u w:val="dotted"/>
          <w:rtl/>
        </w:rPr>
        <w:t xml:space="preserve"> </w:t>
      </w:r>
    </w:p>
    <w:p w14:paraId="4D7B77FC" w14:textId="178E78E4" w:rsidR="00B7794F" w:rsidRPr="00B7794F" w:rsidRDefault="00B7794F" w:rsidP="00B7794F">
      <w:pPr>
        <w:pStyle w:val="ab"/>
        <w:numPr>
          <w:ilvl w:val="0"/>
          <w:numId w:val="2"/>
        </w:numPr>
      </w:pPr>
      <w:r>
        <w:rPr>
          <w:rFonts w:cs="Arial" w:hint="cs"/>
          <w:rtl/>
        </w:rPr>
        <w:t xml:space="preserve">רמב"ם </w:t>
      </w:r>
      <w:r w:rsidRPr="00B7794F">
        <w:rPr>
          <w:rFonts w:cs="Arial" w:hint="cs"/>
          <w:sz w:val="16"/>
          <w:szCs w:val="16"/>
          <w:rtl/>
        </w:rPr>
        <w:t>(</w:t>
      </w:r>
      <w:r w:rsidRPr="00B7794F">
        <w:rPr>
          <w:rFonts w:cs="Arial"/>
          <w:sz w:val="16"/>
          <w:szCs w:val="16"/>
          <w:rtl/>
        </w:rPr>
        <w:t>פי"ב מאישות הי"ח)</w:t>
      </w:r>
      <w:r>
        <w:rPr>
          <w:rFonts w:cs="Arial" w:hint="cs"/>
          <w:rtl/>
        </w:rPr>
        <w:t>-</w:t>
      </w:r>
      <w:r w:rsidRPr="00663267">
        <w:rPr>
          <w:rFonts w:cs="Arial"/>
          <w:rtl/>
        </w:rPr>
        <w:t xml:space="preserve"> יש מן הגאונים שהורה שאין פוסקין מזונות לאשה שהלך בעלה או שמת בעלה עד שיהא שטר כתובה יוצא מתחת ידה, ואם לא תוציא שטר כתובה אין לה מזונות שמא נטלה כתובתה מבעלה או מחלה לו כתובתה שאין לה מזונות כמו שיתבאר. ויש מי שהורה שפוסקין לה מזונות בחזקת שלא נטלה ולא מחלה ואין מצריכין אותה להביא כתובה, ודעתי נוטה לזה במי שהלך בעלה</w:t>
      </w:r>
      <w:r>
        <w:rPr>
          <w:rStyle w:val="a7"/>
          <w:rFonts w:cs="Arial"/>
          <w:rtl/>
        </w:rPr>
        <w:footnoteReference w:id="290"/>
      </w:r>
      <w:r>
        <w:rPr>
          <w:rFonts w:cs="Arial" w:hint="cs"/>
          <w:rtl/>
        </w:rPr>
        <w:t>,</w:t>
      </w:r>
      <w:r w:rsidRPr="00663267">
        <w:rPr>
          <w:rFonts w:cs="Arial"/>
          <w:rtl/>
        </w:rPr>
        <w:t xml:space="preserve"> הואיל ויש לה מזונות מן התורה, אבל אם מת בעלה אין לה מזונות עד שתביא כתובה מפני שהיא אוכלת בתקנת חכמים, ועוד שניזונת מנכסי יורשים ולעולם טוענין ליורש.</w:t>
      </w:r>
      <w:r w:rsidR="004A6085" w:rsidRPr="004A6085">
        <w:rPr>
          <w:rFonts w:hint="cs"/>
          <w:color w:val="E36C0A" w:themeColor="accent6" w:themeShade="BF"/>
          <w:rtl/>
        </w:rPr>
        <w:t xml:space="preserve"> </w:t>
      </w:r>
      <w:r w:rsidR="004A6085" w:rsidRPr="00B91600">
        <w:rPr>
          <w:rFonts w:hint="cs"/>
          <w:color w:val="E36C0A" w:themeColor="accent6" w:themeShade="BF"/>
          <w:rtl/>
        </w:rPr>
        <w:t>(וכ"פ בשו"ע)</w:t>
      </w:r>
    </w:p>
    <w:p w14:paraId="4CABCDD5" w14:textId="3B4C3D44" w:rsidR="00D4194A" w:rsidRPr="00D4194A" w:rsidRDefault="00D4194A" w:rsidP="00D4194A">
      <w:pPr>
        <w:ind w:left="360"/>
        <w:rPr>
          <w:u w:val="dotted"/>
        </w:rPr>
      </w:pPr>
      <w:r w:rsidRPr="00D4194A">
        <w:rPr>
          <w:rFonts w:hint="cs"/>
          <w:u w:val="dotted"/>
          <w:rtl/>
        </w:rPr>
        <w:t xml:space="preserve">האם </w:t>
      </w:r>
      <w:r>
        <w:rPr>
          <w:rFonts w:hint="cs"/>
          <w:u w:val="dotted"/>
          <w:rtl/>
        </w:rPr>
        <w:t>לפני ש</w:t>
      </w:r>
      <w:r w:rsidRPr="00D4194A">
        <w:rPr>
          <w:rFonts w:hint="cs"/>
          <w:u w:val="dotted"/>
          <w:rtl/>
        </w:rPr>
        <w:t>פוסקים לה מזונות</w:t>
      </w:r>
      <w:r>
        <w:rPr>
          <w:rFonts w:hint="cs"/>
          <w:u w:val="dotted"/>
          <w:rtl/>
        </w:rPr>
        <w:t xml:space="preserve"> מחשבים האם מעשה ידיה מספיקים לה</w:t>
      </w:r>
      <w:r w:rsidRPr="00D4194A">
        <w:rPr>
          <w:rFonts w:hint="cs"/>
          <w:u w:val="dotted"/>
          <w:rtl/>
        </w:rPr>
        <w:t>:</w:t>
      </w:r>
    </w:p>
    <w:p w14:paraId="28785262" w14:textId="4FC08451" w:rsidR="00197A95" w:rsidRDefault="00EC473A" w:rsidP="00223D6D">
      <w:pPr>
        <w:pStyle w:val="ab"/>
        <w:numPr>
          <w:ilvl w:val="0"/>
          <w:numId w:val="2"/>
        </w:numPr>
      </w:pPr>
      <w:r w:rsidRPr="00AB50D4">
        <w:rPr>
          <w:rFonts w:cs="Arial"/>
          <w:rtl/>
        </w:rPr>
        <w:t xml:space="preserve">רמב"ם </w:t>
      </w:r>
      <w:r w:rsidRPr="00EC473A">
        <w:rPr>
          <w:rFonts w:cs="Arial" w:hint="cs"/>
          <w:sz w:val="16"/>
          <w:szCs w:val="16"/>
          <w:rtl/>
        </w:rPr>
        <w:t>(</w:t>
      </w:r>
      <w:r w:rsidRPr="00EC473A">
        <w:rPr>
          <w:rFonts w:cs="Arial"/>
          <w:sz w:val="16"/>
          <w:szCs w:val="16"/>
          <w:rtl/>
        </w:rPr>
        <w:t>פי"ב מהל</w:t>
      </w:r>
      <w:r w:rsidRPr="00EC473A">
        <w:rPr>
          <w:rFonts w:cs="Arial" w:hint="cs"/>
          <w:sz w:val="16"/>
          <w:szCs w:val="16"/>
          <w:rtl/>
        </w:rPr>
        <w:t>'</w:t>
      </w:r>
      <w:r w:rsidRPr="00EC473A">
        <w:rPr>
          <w:rFonts w:cs="Arial"/>
          <w:sz w:val="16"/>
          <w:szCs w:val="16"/>
          <w:rtl/>
        </w:rPr>
        <w:t xml:space="preserve"> אישות הט"ז)</w:t>
      </w:r>
      <w:r w:rsidR="00BB2F1F">
        <w:rPr>
          <w:rFonts w:cs="Arial" w:hint="cs"/>
          <w:rtl/>
        </w:rPr>
        <w:t xml:space="preserve"> </w:t>
      </w:r>
      <w:r w:rsidR="00BB2F1F">
        <w:rPr>
          <w:rFonts w:cs="Arial"/>
          <w:rtl/>
        </w:rPr>
        <w:t xml:space="preserve">רמב"ן </w:t>
      </w:r>
      <w:r w:rsidR="00BB2F1F" w:rsidRPr="00BB2F1F">
        <w:rPr>
          <w:rFonts w:cs="Arial"/>
          <w:sz w:val="16"/>
          <w:szCs w:val="16"/>
          <w:rtl/>
        </w:rPr>
        <w:t>(קז. ד"ה ומדאמרינן)</w:t>
      </w:r>
      <w:r w:rsidR="00BB2F1F">
        <w:rPr>
          <w:rFonts w:cs="Arial" w:hint="cs"/>
          <w:rtl/>
        </w:rPr>
        <w:t xml:space="preserve"> רשב"</w:t>
      </w:r>
      <w:r w:rsidR="00BB2F1F" w:rsidRPr="00BB2F1F">
        <w:rPr>
          <w:rFonts w:cs="Arial" w:hint="cs"/>
          <w:rtl/>
        </w:rPr>
        <w:t>א</w:t>
      </w:r>
      <w:r w:rsidR="00BB2F1F">
        <w:rPr>
          <w:rFonts w:cs="Arial" w:hint="cs"/>
          <w:rtl/>
        </w:rPr>
        <w:t xml:space="preserve"> </w:t>
      </w:r>
      <w:r w:rsidR="00BB2F1F">
        <w:rPr>
          <w:rFonts w:cs="Arial" w:hint="cs"/>
          <w:sz w:val="16"/>
          <w:szCs w:val="16"/>
          <w:rtl/>
        </w:rPr>
        <w:t xml:space="preserve">(כ"כ בשמו הה"מ והר"ן) </w:t>
      </w:r>
      <w:r w:rsidR="00BB2F1F" w:rsidRPr="00BB2F1F">
        <w:rPr>
          <w:rFonts w:cs="Arial" w:hint="cs"/>
          <w:rtl/>
        </w:rPr>
        <w:t>והה</w:t>
      </w:r>
      <w:r w:rsidR="00BB2F1F">
        <w:rPr>
          <w:rFonts w:cs="Arial" w:hint="cs"/>
          <w:rtl/>
        </w:rPr>
        <w:t xml:space="preserve">"מ </w:t>
      </w:r>
      <w:r w:rsidR="00BB2F1F">
        <w:rPr>
          <w:rFonts w:cs="Arial" w:hint="cs"/>
          <w:sz w:val="16"/>
          <w:szCs w:val="16"/>
          <w:rtl/>
        </w:rPr>
        <w:t>(שם)</w:t>
      </w:r>
      <w:r>
        <w:rPr>
          <w:rFonts w:cs="Arial" w:hint="cs"/>
          <w:rtl/>
        </w:rPr>
        <w:t>-</w:t>
      </w:r>
      <w:r w:rsidRPr="00AB50D4">
        <w:rPr>
          <w:rtl/>
        </w:rPr>
        <w:t xml:space="preserve"> </w:t>
      </w:r>
      <w:r w:rsidR="00BB2F1F">
        <w:rPr>
          <w:rFonts w:hint="cs"/>
          <w:rtl/>
        </w:rPr>
        <w:t xml:space="preserve">מכאן ואילך </w:t>
      </w:r>
      <w:r w:rsidR="00BB2F1F" w:rsidRPr="00AB50D4">
        <w:rPr>
          <w:rFonts w:cs="Arial"/>
          <w:rtl/>
        </w:rPr>
        <w:t>פוסקין לה מזונות, ואם היו לו נכסים בית דין יורדין לנכסיו ומוכרין למזונותיה, ואין מחשבין עמה על מעשה ידיה עד שיבוא בעלה אם מצא שעשת הרי אלו שלו</w:t>
      </w:r>
      <w:r w:rsidR="00BB2F1F">
        <w:rPr>
          <w:rFonts w:cs="Arial" w:hint="cs"/>
          <w:sz w:val="16"/>
          <w:szCs w:val="16"/>
          <w:rtl/>
        </w:rPr>
        <w:t xml:space="preserve"> (ל' הרמב"ם)</w:t>
      </w:r>
      <w:r>
        <w:rPr>
          <w:rStyle w:val="a7"/>
          <w:rFonts w:cs="Arial"/>
          <w:rtl/>
        </w:rPr>
        <w:footnoteReference w:id="291"/>
      </w:r>
      <w:r w:rsidR="00197A95">
        <w:rPr>
          <w:rFonts w:cs="Arial" w:hint="cs"/>
          <w:rtl/>
        </w:rPr>
        <w:t>.</w:t>
      </w:r>
      <w:r w:rsidR="00B3180C" w:rsidRPr="00B3180C">
        <w:rPr>
          <w:rFonts w:cs="Arial"/>
          <w:rtl/>
        </w:rPr>
        <w:t xml:space="preserve"> </w:t>
      </w:r>
      <w:r w:rsidR="004A6085" w:rsidRPr="00B91600">
        <w:rPr>
          <w:rFonts w:hint="cs"/>
          <w:color w:val="E36C0A" w:themeColor="accent6" w:themeShade="BF"/>
          <w:rtl/>
        </w:rPr>
        <w:t>(וכ"פ בשו"ע)</w:t>
      </w:r>
    </w:p>
    <w:p w14:paraId="164EF780" w14:textId="4DC1E06E" w:rsidR="00B3180C" w:rsidRDefault="00B3180C" w:rsidP="00223D6D">
      <w:pPr>
        <w:pStyle w:val="ab"/>
        <w:numPr>
          <w:ilvl w:val="0"/>
          <w:numId w:val="2"/>
        </w:numPr>
      </w:pPr>
      <w:r w:rsidRPr="00B3180C">
        <w:rPr>
          <w:rFonts w:cs="Arial"/>
          <w:rtl/>
        </w:rPr>
        <w:lastRenderedPageBreak/>
        <w:t>רא"ש</w:t>
      </w:r>
      <w:r w:rsidR="00BB2F1F">
        <w:rPr>
          <w:rFonts w:cs="Arial" w:hint="cs"/>
          <w:sz w:val="16"/>
          <w:szCs w:val="16"/>
          <w:rtl/>
        </w:rPr>
        <w:t xml:space="preserve"> (סו"ס ה)</w:t>
      </w:r>
      <w:r w:rsidR="00BB2F1F">
        <w:rPr>
          <w:rFonts w:cs="Arial" w:hint="cs"/>
          <w:rtl/>
        </w:rPr>
        <w:t xml:space="preserve">- </w:t>
      </w:r>
      <w:r w:rsidRPr="00B3180C">
        <w:rPr>
          <w:rFonts w:cs="Arial"/>
          <w:rtl/>
        </w:rPr>
        <w:t>אין ב"ד פוסקין לה עד שידקדקו אם לא יספיקו לה מעשה ידיה שהיא רגילה לעשות</w:t>
      </w:r>
      <w:r w:rsidR="00197A95">
        <w:rPr>
          <w:rFonts w:cs="Arial" w:hint="cs"/>
          <w:rtl/>
        </w:rPr>
        <w:t>,</w:t>
      </w:r>
      <w:r w:rsidRPr="00B3180C">
        <w:rPr>
          <w:rFonts w:cs="Arial"/>
          <w:rtl/>
        </w:rPr>
        <w:t xml:space="preserve"> שכשנפרעין מנכסיו של אדם שלא בפניו ראוי הוא שיהפכו בזכותו</w:t>
      </w:r>
      <w:r w:rsidR="004A4B34">
        <w:rPr>
          <w:rFonts w:cs="Arial" w:hint="cs"/>
          <w:sz w:val="16"/>
          <w:szCs w:val="16"/>
          <w:rtl/>
        </w:rPr>
        <w:t xml:space="preserve"> (ל' הב"י </w:t>
      </w:r>
      <w:r w:rsidR="004867F1">
        <w:rPr>
          <w:rFonts w:cs="Arial" w:hint="cs"/>
          <w:sz w:val="16"/>
          <w:szCs w:val="16"/>
          <w:rtl/>
        </w:rPr>
        <w:t>בשם</w:t>
      </w:r>
      <w:r w:rsidR="004A4B34">
        <w:rPr>
          <w:rFonts w:cs="Arial" w:hint="cs"/>
          <w:sz w:val="16"/>
          <w:szCs w:val="16"/>
          <w:rtl/>
        </w:rPr>
        <w:t xml:space="preserve"> הרא"ש)</w:t>
      </w:r>
      <w:r>
        <w:rPr>
          <w:rFonts w:hint="cs"/>
          <w:rtl/>
        </w:rPr>
        <w:t>.</w:t>
      </w:r>
    </w:p>
    <w:p w14:paraId="2F39FAD6" w14:textId="07CE80DE" w:rsidR="00D4194A" w:rsidRPr="00D4194A" w:rsidRDefault="00D4194A" w:rsidP="00D4194A">
      <w:pPr>
        <w:ind w:left="360"/>
        <w:rPr>
          <w:u w:val="dotted"/>
        </w:rPr>
      </w:pPr>
      <w:r w:rsidRPr="00D4194A">
        <w:rPr>
          <w:rFonts w:hint="cs"/>
          <w:u w:val="dotted"/>
          <w:rtl/>
        </w:rPr>
        <w:t>ומה הדין אם לא עמדה בדין אלא מכרה לעצמה למזונות:</w:t>
      </w:r>
    </w:p>
    <w:p w14:paraId="7B79E6AE" w14:textId="62EA5FAB" w:rsidR="00403374" w:rsidRPr="00403374" w:rsidRDefault="00EC473A" w:rsidP="00403374">
      <w:pPr>
        <w:pStyle w:val="ab"/>
        <w:numPr>
          <w:ilvl w:val="0"/>
          <w:numId w:val="2"/>
        </w:numPr>
      </w:pPr>
      <w:r w:rsidRPr="00AB50D4">
        <w:rPr>
          <w:rFonts w:cs="Arial"/>
          <w:rtl/>
        </w:rPr>
        <w:t xml:space="preserve">רמב"ם </w:t>
      </w:r>
      <w:r w:rsidRPr="00EC473A">
        <w:rPr>
          <w:rFonts w:cs="Arial" w:hint="cs"/>
          <w:sz w:val="16"/>
          <w:szCs w:val="16"/>
          <w:rtl/>
        </w:rPr>
        <w:t>(</w:t>
      </w:r>
      <w:r w:rsidRPr="00EC473A">
        <w:rPr>
          <w:rFonts w:cs="Arial"/>
          <w:sz w:val="16"/>
          <w:szCs w:val="16"/>
          <w:rtl/>
        </w:rPr>
        <w:t>פי"ב מהל</w:t>
      </w:r>
      <w:r w:rsidRPr="00EC473A">
        <w:rPr>
          <w:rFonts w:cs="Arial" w:hint="cs"/>
          <w:sz w:val="16"/>
          <w:szCs w:val="16"/>
          <w:rtl/>
        </w:rPr>
        <w:t>'</w:t>
      </w:r>
      <w:r w:rsidRPr="00EC473A">
        <w:rPr>
          <w:rFonts w:cs="Arial"/>
          <w:sz w:val="16"/>
          <w:szCs w:val="16"/>
          <w:rtl/>
        </w:rPr>
        <w:t xml:space="preserve"> אישות הט"ז)</w:t>
      </w:r>
      <w:r>
        <w:rPr>
          <w:rFonts w:cs="Arial" w:hint="cs"/>
          <w:rtl/>
        </w:rPr>
        <w:t>-</w:t>
      </w:r>
      <w:r w:rsidRPr="00AB50D4">
        <w:rPr>
          <w:rtl/>
        </w:rPr>
        <w:t xml:space="preserve"> </w:t>
      </w:r>
      <w:r w:rsidRPr="00AB50D4">
        <w:rPr>
          <w:rFonts w:cs="Arial"/>
          <w:rtl/>
        </w:rPr>
        <w:t xml:space="preserve">וכן אם לא עמדה בדין אלא מכרה לעצמה למזונות </w:t>
      </w:r>
      <w:r w:rsidR="00403374">
        <w:rPr>
          <w:rFonts w:cs="Arial" w:hint="cs"/>
          <w:rtl/>
        </w:rPr>
        <w:t xml:space="preserve">- </w:t>
      </w:r>
      <w:r w:rsidRPr="00AB50D4">
        <w:rPr>
          <w:rFonts w:cs="Arial"/>
          <w:rtl/>
        </w:rPr>
        <w:t>מכרה קיים</w:t>
      </w:r>
      <w:r w:rsidR="00403374">
        <w:rPr>
          <w:rStyle w:val="a7"/>
          <w:rFonts w:cs="Arial"/>
          <w:rtl/>
        </w:rPr>
        <w:footnoteReference w:id="292"/>
      </w:r>
      <w:r w:rsidR="00403374">
        <w:rPr>
          <w:rFonts w:cs="Arial" w:hint="cs"/>
          <w:rtl/>
        </w:rPr>
        <w:t>,</w:t>
      </w:r>
      <w:r w:rsidRPr="00AB50D4">
        <w:rPr>
          <w:rFonts w:cs="Arial"/>
          <w:rtl/>
        </w:rPr>
        <w:t xml:space="preserve"> ואינה צריכה הכרזה ולא שבועה עד שיבוא בעלה ויטעון או עד שתבוא לגבות כתובתה אחר מותו</w:t>
      </w:r>
      <w:r w:rsidR="00403374">
        <w:rPr>
          <w:rFonts w:cs="Arial" w:hint="cs"/>
          <w:rtl/>
        </w:rPr>
        <w:t>,</w:t>
      </w:r>
      <w:r w:rsidRPr="00AB50D4">
        <w:rPr>
          <w:rFonts w:cs="Arial"/>
          <w:rtl/>
        </w:rPr>
        <w:t xml:space="preserve"> מגלגלין עליה שלא מכרה אלא למזונות שהיא צריכה להן.</w:t>
      </w:r>
      <w:r w:rsidR="004A6085" w:rsidRPr="004A6085">
        <w:rPr>
          <w:rFonts w:hint="cs"/>
          <w:color w:val="E36C0A" w:themeColor="accent6" w:themeShade="BF"/>
          <w:rtl/>
        </w:rPr>
        <w:t xml:space="preserve"> </w:t>
      </w:r>
      <w:r w:rsidR="004A6085" w:rsidRPr="00B91600">
        <w:rPr>
          <w:rFonts w:hint="cs"/>
          <w:color w:val="E36C0A" w:themeColor="accent6" w:themeShade="BF"/>
          <w:rtl/>
        </w:rPr>
        <w:t>(וכ"פ בשו"ע)</w:t>
      </w:r>
    </w:p>
    <w:p w14:paraId="31F601F7" w14:textId="6213C3DB" w:rsidR="00403374" w:rsidRPr="00403374" w:rsidRDefault="00403374" w:rsidP="00403374">
      <w:pPr>
        <w:ind w:left="360"/>
        <w:rPr>
          <w:sz w:val="16"/>
          <w:szCs w:val="16"/>
        </w:rPr>
      </w:pPr>
      <w:r w:rsidRPr="00403374">
        <w:rPr>
          <w:rFonts w:cs="Arial" w:hint="cs"/>
          <w:u w:val="dotted"/>
          <w:rtl/>
        </w:rPr>
        <w:t>ומה הדין אם מכרה מנכסיה:</w:t>
      </w:r>
      <w:r>
        <w:rPr>
          <w:rFonts w:hint="cs"/>
          <w:sz w:val="16"/>
          <w:szCs w:val="16"/>
          <w:rtl/>
        </w:rPr>
        <w:t xml:space="preserve"> (דרכ"מ אות ו)</w:t>
      </w:r>
    </w:p>
    <w:p w14:paraId="575BE3D7" w14:textId="25355156" w:rsidR="00403374" w:rsidRPr="00EC473A" w:rsidRDefault="004A6085" w:rsidP="00403374">
      <w:pPr>
        <w:pStyle w:val="ab"/>
        <w:numPr>
          <w:ilvl w:val="0"/>
          <w:numId w:val="2"/>
        </w:numPr>
      </w:pPr>
      <w:r>
        <w:rPr>
          <w:rFonts w:cs="Arial" w:hint="cs"/>
          <w:rtl/>
        </w:rPr>
        <w:t xml:space="preserve">הה"מ </w:t>
      </w:r>
      <w:r>
        <w:rPr>
          <w:rFonts w:cs="Arial" w:hint="cs"/>
          <w:sz w:val="16"/>
          <w:szCs w:val="16"/>
          <w:rtl/>
        </w:rPr>
        <w:t>(פי"ח הכ"ו)</w:t>
      </w:r>
      <w:r>
        <w:rPr>
          <w:rFonts w:cs="Arial" w:hint="cs"/>
          <w:rtl/>
        </w:rPr>
        <w:t xml:space="preserve"> ו</w:t>
      </w:r>
      <w:r w:rsidRPr="00CA604D">
        <w:rPr>
          <w:rFonts w:cs="Arial"/>
          <w:rtl/>
        </w:rPr>
        <w:t xml:space="preserve">ר"ן </w:t>
      </w:r>
      <w:r w:rsidRPr="004A6085">
        <w:rPr>
          <w:rFonts w:cs="Arial" w:hint="cs"/>
          <w:sz w:val="16"/>
          <w:szCs w:val="16"/>
          <w:rtl/>
        </w:rPr>
        <w:t>(</w:t>
      </w:r>
      <w:r w:rsidRPr="004A6085">
        <w:rPr>
          <w:rFonts w:cs="Arial"/>
          <w:sz w:val="16"/>
          <w:szCs w:val="16"/>
          <w:rtl/>
        </w:rPr>
        <w:t>ר</w:t>
      </w:r>
      <w:r w:rsidRPr="004A6085">
        <w:rPr>
          <w:rFonts w:cs="Arial" w:hint="cs"/>
          <w:sz w:val="16"/>
          <w:szCs w:val="16"/>
          <w:rtl/>
        </w:rPr>
        <w:t>"פ</w:t>
      </w:r>
      <w:r w:rsidRPr="004A6085">
        <w:rPr>
          <w:rFonts w:cs="Arial"/>
          <w:sz w:val="16"/>
          <w:szCs w:val="16"/>
          <w:rtl/>
        </w:rPr>
        <w:t xml:space="preserve"> דייני גזירות סד: ד"ה גמ')</w:t>
      </w:r>
      <w:r>
        <w:rPr>
          <w:rFonts w:cs="Arial" w:hint="cs"/>
          <w:rtl/>
        </w:rPr>
        <w:t>-</w:t>
      </w:r>
      <w:r w:rsidRPr="00CA604D">
        <w:rPr>
          <w:rFonts w:cs="Arial"/>
          <w:rtl/>
        </w:rPr>
        <w:t xml:space="preserve"> אם מכרה נכסיה ופרנסה עצמה הוי כפרנסה אחר</w:t>
      </w:r>
      <w:r>
        <w:rPr>
          <w:rStyle w:val="a7"/>
          <w:rFonts w:cs="Arial"/>
          <w:rtl/>
        </w:rPr>
        <w:footnoteReference w:id="293"/>
      </w:r>
      <w:r>
        <w:rPr>
          <w:rFonts w:hint="cs"/>
          <w:sz w:val="16"/>
          <w:szCs w:val="16"/>
          <w:rtl/>
        </w:rPr>
        <w:t xml:space="preserve"> (ל' הדרכ"מ בשם הר"ן)</w:t>
      </w:r>
      <w:r>
        <w:rPr>
          <w:rFonts w:hint="cs"/>
          <w:rtl/>
        </w:rPr>
        <w:t>.</w:t>
      </w:r>
      <w:r w:rsidR="00C7751E">
        <w:rPr>
          <w:rFonts w:hint="cs"/>
          <w:rtl/>
        </w:rPr>
        <w:t xml:space="preserve"> </w:t>
      </w:r>
      <w:r w:rsidR="00C7751E" w:rsidRPr="00C7751E">
        <w:rPr>
          <w:rFonts w:hint="cs"/>
          <w:color w:val="00B0F0"/>
          <w:rtl/>
        </w:rPr>
        <w:t>(וכ"פ הרמ"א</w:t>
      </w:r>
      <w:r w:rsidR="00C7751E" w:rsidRPr="00C7751E">
        <w:rPr>
          <w:rFonts w:hint="cs"/>
          <w:color w:val="00B0F0"/>
          <w:sz w:val="16"/>
          <w:szCs w:val="16"/>
          <w:rtl/>
        </w:rPr>
        <w:t xml:space="preserve"> </w:t>
      </w:r>
      <w:r w:rsidR="00C7751E">
        <w:rPr>
          <w:rFonts w:hint="cs"/>
          <w:sz w:val="16"/>
          <w:szCs w:val="16"/>
          <w:rtl/>
        </w:rPr>
        <w:t>[בסע' ח]</w:t>
      </w:r>
      <w:r w:rsidR="00C7751E" w:rsidRPr="00C7751E">
        <w:rPr>
          <w:rFonts w:hint="cs"/>
          <w:color w:val="00B0F0"/>
          <w:rtl/>
        </w:rPr>
        <w:t>)</w:t>
      </w:r>
    </w:p>
    <w:p w14:paraId="767B0AEF" w14:textId="0ACDF7C7" w:rsidR="002B4C7B" w:rsidRPr="002B4C7B" w:rsidRDefault="002B4C7B" w:rsidP="002B4C7B">
      <w:pPr>
        <w:rPr>
          <w:u w:val="single"/>
        </w:rPr>
      </w:pPr>
      <w:r w:rsidRPr="002B4C7B">
        <w:rPr>
          <w:rFonts w:hint="cs"/>
          <w:u w:val="single"/>
          <w:rtl/>
        </w:rPr>
        <w:t>תובעת מזונות לשעבר:</w:t>
      </w:r>
    </w:p>
    <w:p w14:paraId="49D20E9D" w14:textId="2C7F4FB6" w:rsidR="002B4C7B" w:rsidRDefault="00285F32" w:rsidP="002B4C7B">
      <w:pPr>
        <w:pStyle w:val="ab"/>
        <w:numPr>
          <w:ilvl w:val="0"/>
          <w:numId w:val="2"/>
        </w:numPr>
      </w:pPr>
      <w:r w:rsidRPr="002B4C7B">
        <w:rPr>
          <w:rFonts w:cs="Arial"/>
          <w:rtl/>
        </w:rPr>
        <w:t xml:space="preserve">ריטב"א </w:t>
      </w:r>
      <w:r w:rsidRPr="002B4C7B">
        <w:rPr>
          <w:rFonts w:cs="Arial"/>
          <w:sz w:val="16"/>
          <w:szCs w:val="16"/>
          <w:rtl/>
        </w:rPr>
        <w:t>(קז. ד"ה אתמר)</w:t>
      </w:r>
      <w:r w:rsidR="002B4C7B">
        <w:rPr>
          <w:rFonts w:cs="Arial" w:hint="cs"/>
          <w:rtl/>
        </w:rPr>
        <w:t>-</w:t>
      </w:r>
      <w:r w:rsidRPr="002B4C7B">
        <w:rPr>
          <w:rFonts w:cs="Arial"/>
          <w:rtl/>
        </w:rPr>
        <w:t xml:space="preserve"> </w:t>
      </w:r>
      <w:r w:rsidR="002B4C7B">
        <w:rPr>
          <w:rFonts w:cs="Arial" w:hint="cs"/>
          <w:rtl/>
        </w:rPr>
        <w:t xml:space="preserve">הכא </w:t>
      </w:r>
      <w:r w:rsidRPr="002B4C7B">
        <w:rPr>
          <w:rFonts w:cs="Arial"/>
          <w:rtl/>
        </w:rPr>
        <w:t>בתובעת מזונות להבא עסקינן</w:t>
      </w:r>
      <w:r w:rsidR="008F34DB">
        <w:rPr>
          <w:rFonts w:cs="Arial" w:hint="cs"/>
          <w:rtl/>
        </w:rPr>
        <w:t>,</w:t>
      </w:r>
      <w:r w:rsidRPr="002B4C7B">
        <w:rPr>
          <w:rFonts w:cs="Arial"/>
          <w:rtl/>
        </w:rPr>
        <w:t xml:space="preserve"> דאילו לשעבר אין פוסקין לה כלל</w:t>
      </w:r>
      <w:r w:rsidR="008F34DB">
        <w:rPr>
          <w:rFonts w:cs="Arial" w:hint="cs"/>
          <w:rtl/>
        </w:rPr>
        <w:t>,</w:t>
      </w:r>
      <w:r w:rsidRPr="002B4C7B">
        <w:rPr>
          <w:rFonts w:cs="Arial"/>
          <w:rtl/>
        </w:rPr>
        <w:t xml:space="preserve"> דהא אילו הוה בעל הכא הוה מצי טעין ואמר פרעתי ולא מחייבינן ליה</w:t>
      </w:r>
      <w:r w:rsidR="008F34DB">
        <w:rPr>
          <w:rFonts w:cs="Arial" w:hint="cs"/>
          <w:rtl/>
        </w:rPr>
        <w:t>.</w:t>
      </w:r>
      <w:r w:rsidRPr="002B4C7B">
        <w:rPr>
          <w:rFonts w:cs="Arial"/>
          <w:rtl/>
        </w:rPr>
        <w:t xml:space="preserve"> וכ"כ התוספות</w:t>
      </w:r>
      <w:r w:rsidR="002B4C7B">
        <w:rPr>
          <w:rFonts w:cs="Arial" w:hint="cs"/>
          <w:rtl/>
        </w:rPr>
        <w:t>.</w:t>
      </w:r>
      <w:r w:rsidRPr="002B4C7B">
        <w:rPr>
          <w:rFonts w:cs="Arial"/>
          <w:rtl/>
        </w:rPr>
        <w:t xml:space="preserve"> </w:t>
      </w:r>
    </w:p>
    <w:p w14:paraId="71D6392F" w14:textId="1F341F6D" w:rsidR="002B4C7B" w:rsidRPr="002B4C7B" w:rsidRDefault="00090DC1" w:rsidP="002B4C7B">
      <w:pPr>
        <w:rPr>
          <w:u w:val="single"/>
        </w:rPr>
      </w:pPr>
      <w:r>
        <w:rPr>
          <w:rFonts w:hint="cs"/>
          <w:u w:val="single"/>
          <w:rtl/>
        </w:rPr>
        <w:t xml:space="preserve">הלך למקום קרוב </w:t>
      </w:r>
      <w:r w:rsidRPr="00090DC1">
        <w:rPr>
          <w:rFonts w:hint="cs"/>
          <w:sz w:val="16"/>
          <w:szCs w:val="16"/>
          <w:u w:val="single"/>
          <w:rtl/>
        </w:rPr>
        <w:t>(ולא למדינת הים)</w:t>
      </w:r>
      <w:r>
        <w:rPr>
          <w:rFonts w:hint="cs"/>
          <w:u w:val="single"/>
          <w:rtl/>
        </w:rPr>
        <w:t xml:space="preserve"> </w:t>
      </w:r>
      <w:r w:rsidR="00F97626">
        <w:rPr>
          <w:u w:val="single"/>
          <w:rtl/>
        </w:rPr>
        <w:t>-</w:t>
      </w:r>
      <w:r>
        <w:rPr>
          <w:rFonts w:hint="cs"/>
          <w:u w:val="single"/>
          <w:rtl/>
        </w:rPr>
        <w:t xml:space="preserve"> האם גם כאן מחכים ג' חודשים לפני שפוסקים מזונות:</w:t>
      </w:r>
    </w:p>
    <w:p w14:paraId="15C9DA4E" w14:textId="2A96D1ED" w:rsidR="00285F32" w:rsidRDefault="002B4C7B" w:rsidP="002B4C7B">
      <w:pPr>
        <w:pStyle w:val="ab"/>
        <w:numPr>
          <w:ilvl w:val="0"/>
          <w:numId w:val="2"/>
        </w:numPr>
      </w:pPr>
      <w:r w:rsidRPr="002B4C7B">
        <w:rPr>
          <w:rFonts w:cs="Arial"/>
          <w:rtl/>
        </w:rPr>
        <w:t xml:space="preserve">ריטב"א </w:t>
      </w:r>
      <w:r w:rsidRPr="002B4C7B">
        <w:rPr>
          <w:rFonts w:cs="Arial"/>
          <w:sz w:val="16"/>
          <w:szCs w:val="16"/>
          <w:rtl/>
        </w:rPr>
        <w:t>(קז. ד"ה אתמר)</w:t>
      </w:r>
      <w:r>
        <w:rPr>
          <w:rFonts w:cs="Arial" w:hint="cs"/>
          <w:rtl/>
        </w:rPr>
        <w:t>-</w:t>
      </w:r>
      <w:r w:rsidRPr="002B4C7B">
        <w:rPr>
          <w:rFonts w:cs="Arial"/>
          <w:rtl/>
        </w:rPr>
        <w:t xml:space="preserve"> </w:t>
      </w:r>
      <w:r w:rsidR="00285F32" w:rsidRPr="002B4C7B">
        <w:rPr>
          <w:rFonts w:cs="Arial"/>
          <w:rtl/>
        </w:rPr>
        <w:t>דוקא ביוצא לדעת נחלקו דבהא איכא למיחש לצררי או לשמא אמר לה צאי מעשה ידיך במזונותיך</w:t>
      </w:r>
      <w:r>
        <w:rPr>
          <w:rFonts w:cs="Arial" w:hint="cs"/>
          <w:rtl/>
        </w:rPr>
        <w:t>,</w:t>
      </w:r>
      <w:r w:rsidR="00285F32" w:rsidRPr="002B4C7B">
        <w:rPr>
          <w:rFonts w:cs="Arial"/>
          <w:rtl/>
        </w:rPr>
        <w:t xml:space="preserve"> אבל אם נודע ודאי שיצא למקום קרוב לחזור לאלתר כדרך בני אדם ואח</w:t>
      </w:r>
      <w:r w:rsidR="008F34DB">
        <w:rPr>
          <w:rFonts w:cs="Arial" w:hint="cs"/>
          <w:rtl/>
        </w:rPr>
        <w:t>"</w:t>
      </w:r>
      <w:r w:rsidR="00285F32" w:rsidRPr="002B4C7B">
        <w:rPr>
          <w:rFonts w:cs="Arial"/>
          <w:rtl/>
        </w:rPr>
        <w:t>כ נשתקע שם וכיוצא בו דכ</w:t>
      </w:r>
      <w:r>
        <w:rPr>
          <w:rFonts w:cs="Arial" w:hint="cs"/>
          <w:rtl/>
        </w:rPr>
        <w:t>ו</w:t>
      </w:r>
      <w:r w:rsidR="00285F32" w:rsidRPr="002B4C7B">
        <w:rPr>
          <w:rFonts w:cs="Arial"/>
          <w:rtl/>
        </w:rPr>
        <w:t>"ע פוסקין ואפילו תוך ג' חדשים</w:t>
      </w:r>
      <w:r w:rsidR="00DB6CB2">
        <w:rPr>
          <w:rFonts w:cs="Arial" w:hint="cs"/>
          <w:rtl/>
        </w:rPr>
        <w:t>,</w:t>
      </w:r>
      <w:r w:rsidR="00285F32" w:rsidRPr="002B4C7B">
        <w:rPr>
          <w:rFonts w:cs="Arial"/>
          <w:rtl/>
        </w:rPr>
        <w:t xml:space="preserve"> וכן הורו רבותי</w:t>
      </w:r>
      <w:r>
        <w:rPr>
          <w:rFonts w:cs="Arial" w:hint="cs"/>
          <w:rtl/>
        </w:rPr>
        <w:t>.</w:t>
      </w:r>
    </w:p>
    <w:p w14:paraId="165C5096" w14:textId="77777777" w:rsidR="00090DC1" w:rsidRDefault="00090DC1" w:rsidP="00090DC1">
      <w:pPr>
        <w:pStyle w:val="ab"/>
        <w:numPr>
          <w:ilvl w:val="0"/>
          <w:numId w:val="2"/>
        </w:numPr>
      </w:pPr>
      <w:r>
        <w:rPr>
          <w:rFonts w:cs="Arial" w:hint="cs"/>
          <w:rtl/>
        </w:rPr>
        <w:t xml:space="preserve">מרדכי </w:t>
      </w:r>
      <w:r>
        <w:rPr>
          <w:rFonts w:cs="Arial" w:hint="cs"/>
          <w:sz w:val="16"/>
          <w:szCs w:val="16"/>
          <w:rtl/>
        </w:rPr>
        <w:t xml:space="preserve">(סי' ערב) </w:t>
      </w:r>
      <w:r>
        <w:rPr>
          <w:rFonts w:cs="Arial" w:hint="cs"/>
          <w:rtl/>
        </w:rPr>
        <w:t xml:space="preserve">בשם רבנו ברוך- </w:t>
      </w:r>
      <w:r w:rsidR="002B4C7B" w:rsidRPr="002B4C7B">
        <w:rPr>
          <w:rFonts w:cs="Arial"/>
          <w:rtl/>
        </w:rPr>
        <w:t>לאו דוקא במדינת הים אלא בהווה נקט</w:t>
      </w:r>
      <w:r>
        <w:rPr>
          <w:rFonts w:cs="Arial" w:hint="cs"/>
          <w:rtl/>
        </w:rPr>
        <w:t>,</w:t>
      </w:r>
      <w:r w:rsidR="002B4C7B" w:rsidRPr="002B4C7B">
        <w:rPr>
          <w:rFonts w:cs="Arial"/>
          <w:rtl/>
        </w:rPr>
        <w:t xml:space="preserve"> דומיא דסיפא מי שהלך למדה"י ואבדה לו דרך שדהו</w:t>
      </w:r>
      <w:r>
        <w:rPr>
          <w:rStyle w:val="a7"/>
          <w:rtl/>
        </w:rPr>
        <w:footnoteReference w:id="294"/>
      </w:r>
      <w:r w:rsidR="002B4C7B">
        <w:rPr>
          <w:rFonts w:hint="cs"/>
          <w:rtl/>
        </w:rPr>
        <w:t>.</w:t>
      </w:r>
    </w:p>
    <w:p w14:paraId="165D1752" w14:textId="37A5D8AD" w:rsidR="00090DC1" w:rsidRPr="00090DC1" w:rsidRDefault="00090DC1" w:rsidP="00090DC1">
      <w:pPr>
        <w:rPr>
          <w:u w:val="single"/>
        </w:rPr>
      </w:pPr>
      <w:r w:rsidRPr="00090DC1">
        <w:rPr>
          <w:rFonts w:cs="Arial"/>
          <w:u w:val="single"/>
          <w:rtl/>
        </w:rPr>
        <w:t>הלך בעלה ממנה מתוך קטטה ונתכוון לעגנה</w:t>
      </w:r>
      <w:r w:rsidRPr="00090DC1">
        <w:rPr>
          <w:rFonts w:cs="Arial" w:hint="cs"/>
          <w:u w:val="single"/>
          <w:rtl/>
        </w:rPr>
        <w:t>:</w:t>
      </w:r>
    </w:p>
    <w:p w14:paraId="63A62A40" w14:textId="55DB28A5" w:rsidR="00285F32" w:rsidRPr="00285F32" w:rsidRDefault="00285F32" w:rsidP="00403374">
      <w:pPr>
        <w:pStyle w:val="ab"/>
        <w:numPr>
          <w:ilvl w:val="0"/>
          <w:numId w:val="2"/>
        </w:numPr>
        <w:rPr>
          <w:rtl/>
        </w:rPr>
      </w:pPr>
      <w:r w:rsidRPr="00090DC1">
        <w:rPr>
          <w:rFonts w:cs="Arial"/>
          <w:rtl/>
        </w:rPr>
        <w:t xml:space="preserve">מרדכי </w:t>
      </w:r>
      <w:r w:rsidRPr="00090DC1">
        <w:rPr>
          <w:rFonts w:cs="Arial"/>
          <w:sz w:val="16"/>
          <w:szCs w:val="16"/>
          <w:rtl/>
        </w:rPr>
        <w:t>(</w:t>
      </w:r>
      <w:r w:rsidR="0089574F">
        <w:rPr>
          <w:rFonts w:cs="Arial" w:hint="cs"/>
          <w:sz w:val="16"/>
          <w:szCs w:val="16"/>
          <w:rtl/>
        </w:rPr>
        <w:t xml:space="preserve">כתובות </w:t>
      </w:r>
      <w:r w:rsidRPr="00090DC1">
        <w:rPr>
          <w:rFonts w:cs="Arial"/>
          <w:sz w:val="16"/>
          <w:szCs w:val="16"/>
          <w:rtl/>
        </w:rPr>
        <w:t>סי' רסז</w:t>
      </w:r>
      <w:r w:rsidR="0089574F">
        <w:rPr>
          <w:rFonts w:cs="Arial" w:hint="cs"/>
          <w:sz w:val="16"/>
          <w:szCs w:val="16"/>
          <w:rtl/>
        </w:rPr>
        <w:t>, וב"ב סי' תקצז</w:t>
      </w:r>
      <w:r w:rsidRPr="00090DC1">
        <w:rPr>
          <w:rFonts w:cs="Arial"/>
          <w:sz w:val="16"/>
          <w:szCs w:val="16"/>
          <w:rtl/>
        </w:rPr>
        <w:t>)</w:t>
      </w:r>
      <w:r w:rsidR="00090DC1" w:rsidRPr="00090DC1">
        <w:rPr>
          <w:rFonts w:cs="Arial" w:hint="cs"/>
          <w:rtl/>
        </w:rPr>
        <w:t>-</w:t>
      </w:r>
      <w:r w:rsidRPr="00090DC1">
        <w:rPr>
          <w:rFonts w:cs="Arial"/>
          <w:rtl/>
        </w:rPr>
        <w:t xml:space="preserve"> אם הלך בעלה ממנה מתוך קטטה ונתכוון לעגנה</w:t>
      </w:r>
      <w:r w:rsidR="00090DC1" w:rsidRPr="00090DC1">
        <w:rPr>
          <w:rFonts w:cs="Arial" w:hint="cs"/>
          <w:rtl/>
        </w:rPr>
        <w:t>,</w:t>
      </w:r>
      <w:r w:rsidRPr="00090DC1">
        <w:rPr>
          <w:rFonts w:cs="Arial"/>
          <w:rtl/>
        </w:rPr>
        <w:t xml:space="preserve"> היא נאמנת ליטול מזונות לאלתר אפילו תוך ג' חדשים</w:t>
      </w:r>
      <w:r w:rsidR="00090DC1" w:rsidRPr="00090DC1">
        <w:rPr>
          <w:rFonts w:cs="Arial" w:hint="cs"/>
          <w:rtl/>
        </w:rPr>
        <w:t>.</w:t>
      </w:r>
      <w:r w:rsidR="004A6085">
        <w:rPr>
          <w:rFonts w:hint="cs"/>
          <w:rtl/>
        </w:rPr>
        <w:t xml:space="preserve"> </w:t>
      </w:r>
      <w:r w:rsidR="004A6085" w:rsidRPr="004A6085">
        <w:rPr>
          <w:rFonts w:hint="cs"/>
          <w:color w:val="00B0F0"/>
          <w:rtl/>
        </w:rPr>
        <w:t>(וכ"פ הרמ"א)</w:t>
      </w:r>
    </w:p>
    <w:p w14:paraId="10234BEA" w14:textId="77777777" w:rsidR="00971CA9" w:rsidRDefault="00971CA9" w:rsidP="00971CA9">
      <w:pPr>
        <w:rPr>
          <w:rFonts w:cs="Arial"/>
          <w:rtl/>
        </w:rPr>
      </w:pPr>
      <w:r w:rsidRPr="003024E5">
        <w:rPr>
          <w:rFonts w:asciiTheme="minorBidi" w:hAnsiTheme="minorBidi"/>
          <w:b/>
          <w:bCs/>
          <w:color w:val="000000"/>
          <w:sz w:val="28"/>
          <w:szCs w:val="28"/>
          <w:u w:val="single"/>
          <w:rtl/>
        </w:rPr>
        <w:t>שו"ע:</w:t>
      </w:r>
    </w:p>
    <w:p w14:paraId="0C6DD355" w14:textId="7D915968" w:rsidR="00971CA9" w:rsidRDefault="00971CA9" w:rsidP="00971CA9">
      <w:pPr>
        <w:rPr>
          <w:rtl/>
        </w:rPr>
      </w:pPr>
      <w:r>
        <w:rPr>
          <w:rFonts w:cs="Arial"/>
          <w:rtl/>
        </w:rPr>
        <w:t xml:space="preserve">מי שהלך למדינת הים ובאה אשתו לבית דין לתבוע מזונות, ג' חדשים הראשונים מיום הליכתו אין פוסקים לה בהם מזונות, שחזקה אין אדם מניח ביתו ריקן. </w:t>
      </w:r>
      <w:r w:rsidRPr="00612B3E">
        <w:rPr>
          <w:rFonts w:cs="Arial"/>
          <w:sz w:val="18"/>
          <w:szCs w:val="18"/>
          <w:rtl/>
        </w:rPr>
        <w:t>הגה: אבל אם שתקה יותר, ותבעה אח"כ, אין פוסקין לה למפרע, רק מיום התביעה אפילו החמיצו הב"ד את הדין (ר"ן). וי"א דאם נפרד ממנה בקטטה, ורוצה לעגנה, פוסקין לה לאלתר, דודאי הניח ביתו ריקן (מרדכי)</w:t>
      </w:r>
      <w:r w:rsidR="00612B3E">
        <w:rPr>
          <w:rFonts w:cs="Arial" w:hint="cs"/>
          <w:sz w:val="18"/>
          <w:szCs w:val="18"/>
          <w:rtl/>
        </w:rPr>
        <w:t>.</w:t>
      </w:r>
      <w:r w:rsidRPr="00612B3E">
        <w:rPr>
          <w:rFonts w:cs="Arial"/>
          <w:sz w:val="18"/>
          <w:szCs w:val="18"/>
          <w:rtl/>
        </w:rPr>
        <w:t xml:space="preserve"> </w:t>
      </w:r>
      <w:r>
        <w:rPr>
          <w:rFonts w:cs="Arial"/>
          <w:rtl/>
        </w:rPr>
        <w:t>מכאן ואילך, אפילו אין כתובתה בידה פוסקים לה מזונות, אבל אין נותנים לה במה שתתקשט. ואם היו לו נכסים, ב</w:t>
      </w:r>
      <w:r w:rsidR="00CA604D">
        <w:rPr>
          <w:rFonts w:cs="Arial" w:hint="cs"/>
          <w:rtl/>
        </w:rPr>
        <w:t xml:space="preserve">ית </w:t>
      </w:r>
      <w:r>
        <w:rPr>
          <w:rFonts w:cs="Arial"/>
          <w:rtl/>
        </w:rPr>
        <w:t>ד</w:t>
      </w:r>
      <w:r w:rsidR="00CA604D">
        <w:rPr>
          <w:rFonts w:cs="Arial" w:hint="cs"/>
          <w:rtl/>
        </w:rPr>
        <w:t>ין</w:t>
      </w:r>
      <w:r>
        <w:rPr>
          <w:rFonts w:cs="Arial"/>
          <w:rtl/>
        </w:rPr>
        <w:t xml:space="preserve"> יורדים לנכסיו ומוכרים למזונותיה אפילו לא שמעו בו שמת. ואין מחשבים עמה על מעשה ידיה עד שיבא בעלה, אם מצא שעשתה הרי אלו שלה. וכן אם לא עמדה בדין, אלא מכרה לעצמה למזונות, מכרה קיים ואינה צריכה הכרזה ולא שבועה עד שיבא בעלה ויטעון, או עד שתבא לגבות כתובתה אחר מותו, מגלגלין עליה שלא מכרה אלא למזונות שהיא צריכה להם. </w:t>
      </w:r>
    </w:p>
    <w:p w14:paraId="0F0950F1" w14:textId="77777777" w:rsidR="00612B3E" w:rsidRDefault="00612B3E" w:rsidP="00971CA9">
      <w:pPr>
        <w:rPr>
          <w:rtl/>
        </w:rPr>
      </w:pPr>
    </w:p>
    <w:p w14:paraId="6C51285C" w14:textId="6D23A755" w:rsidR="00971CA9" w:rsidRDefault="00971CA9" w:rsidP="000F64D0">
      <w:pPr>
        <w:pStyle w:val="2"/>
        <w:rPr>
          <w:rtl/>
        </w:rPr>
      </w:pPr>
      <w:r>
        <w:rPr>
          <w:rtl/>
        </w:rPr>
        <w:t>סעיף ו</w:t>
      </w:r>
      <w:r w:rsidR="00BB2F1F">
        <w:rPr>
          <w:rFonts w:hint="cs"/>
          <w:rtl/>
        </w:rPr>
        <w:t>:</w:t>
      </w:r>
      <w:r w:rsidR="006310E5">
        <w:rPr>
          <w:rFonts w:hint="cs"/>
          <w:rtl/>
        </w:rPr>
        <w:t xml:space="preserve"> נשתטה/נתחרש, מה פוסקין לאשתו.</w:t>
      </w:r>
    </w:p>
    <w:p w14:paraId="637D716A" w14:textId="78F48D88" w:rsidR="00254BAF" w:rsidRDefault="006A4D60" w:rsidP="00B12054">
      <w:pPr>
        <w:rPr>
          <w:rFonts w:cs="Arial"/>
          <w:rtl/>
        </w:rPr>
      </w:pPr>
      <w:r w:rsidRPr="006C3CF4">
        <w:rPr>
          <w:rFonts w:cs="Arial" w:hint="cs"/>
          <w:b/>
          <w:bCs/>
          <w:rtl/>
        </w:rPr>
        <w:t xml:space="preserve">כתובות </w:t>
      </w:r>
      <w:r>
        <w:rPr>
          <w:rFonts w:cs="Arial" w:hint="cs"/>
          <w:b/>
          <w:bCs/>
          <w:sz w:val="16"/>
          <w:szCs w:val="16"/>
          <w:rtl/>
        </w:rPr>
        <w:t xml:space="preserve">(פ' נערה שנתפתתה) </w:t>
      </w:r>
      <w:r>
        <w:rPr>
          <w:rFonts w:cs="Arial" w:hint="cs"/>
          <w:b/>
          <w:bCs/>
          <w:rtl/>
        </w:rPr>
        <w:t>מח</w:t>
      </w:r>
      <w:r w:rsidR="00E531BA">
        <w:rPr>
          <w:rStyle w:val="a7"/>
          <w:rFonts w:cs="Arial"/>
          <w:b/>
          <w:bCs/>
          <w:rtl/>
        </w:rPr>
        <w:footnoteReference w:id="295"/>
      </w:r>
      <w:r w:rsidRPr="006C3CF4">
        <w:rPr>
          <w:rFonts w:cs="Arial" w:hint="cs"/>
          <w:b/>
          <w:bCs/>
          <w:rtl/>
        </w:rPr>
        <w:t xml:space="preserve"> ע"</w:t>
      </w:r>
      <w:r>
        <w:rPr>
          <w:rFonts w:cs="Arial" w:hint="cs"/>
          <w:b/>
          <w:bCs/>
          <w:rtl/>
        </w:rPr>
        <w:t>א</w:t>
      </w:r>
      <w:r w:rsidRPr="006C3CF4">
        <w:rPr>
          <w:rFonts w:cs="Arial" w:hint="cs"/>
          <w:b/>
          <w:bCs/>
          <w:rtl/>
        </w:rPr>
        <w:t xml:space="preserve">: </w:t>
      </w:r>
      <w:r w:rsidRPr="006310E5">
        <w:rPr>
          <w:rFonts w:cs="Arial"/>
          <w:u w:val="single"/>
          <w:rtl/>
        </w:rPr>
        <w:t>ואמר רב חסדא אמר מר עוקבא</w:t>
      </w:r>
      <w:r w:rsidRPr="006A4D60">
        <w:rPr>
          <w:rFonts w:cs="Arial"/>
          <w:rtl/>
        </w:rPr>
        <w:t>: מי שנשתטה, בית דין יורדין לנכסיו, וזנין</w:t>
      </w:r>
      <w:r w:rsidR="00225601">
        <w:rPr>
          <w:rStyle w:val="a7"/>
          <w:rFonts w:cs="Arial"/>
          <w:rtl/>
        </w:rPr>
        <w:footnoteReference w:id="296"/>
      </w:r>
      <w:r w:rsidRPr="006A4D60">
        <w:rPr>
          <w:rFonts w:cs="Arial"/>
          <w:rtl/>
        </w:rPr>
        <w:t xml:space="preserve"> ומפרנסין</w:t>
      </w:r>
      <w:r w:rsidR="00225601">
        <w:rPr>
          <w:rStyle w:val="a7"/>
          <w:rFonts w:cs="Arial"/>
          <w:rtl/>
        </w:rPr>
        <w:footnoteReference w:id="297"/>
      </w:r>
      <w:r w:rsidRPr="006A4D60">
        <w:rPr>
          <w:rFonts w:cs="Arial"/>
          <w:rtl/>
        </w:rPr>
        <w:t xml:space="preserve"> את אשתו ובניו ובנותיו ודבר אחר. </w:t>
      </w:r>
      <w:r w:rsidRPr="006310E5">
        <w:rPr>
          <w:rFonts w:cs="Arial"/>
          <w:u w:val="single"/>
          <w:rtl/>
        </w:rPr>
        <w:t>א"ל רבינא לרב אשי</w:t>
      </w:r>
      <w:r w:rsidR="006310E5">
        <w:rPr>
          <w:rFonts w:cs="Arial" w:hint="cs"/>
          <w:rtl/>
        </w:rPr>
        <w:t>:</w:t>
      </w:r>
      <w:r w:rsidRPr="006A4D60">
        <w:rPr>
          <w:rFonts w:cs="Arial"/>
          <w:rtl/>
        </w:rPr>
        <w:t xml:space="preserve"> מ"ש מהא דתניא: מי שהלך למדינת הים ואשתו </w:t>
      </w:r>
      <w:r w:rsidRPr="006A4D60">
        <w:rPr>
          <w:rFonts w:cs="Arial"/>
          <w:rtl/>
        </w:rPr>
        <w:lastRenderedPageBreak/>
        <w:t>תובעת מזונות, בית דין יורדין לנכסיו וזנין ומפרנסין את אשתו, אבל לא בניו ובנותיו ולא דבר אחר</w:t>
      </w:r>
      <w:r w:rsidR="006310E5">
        <w:rPr>
          <w:rFonts w:cs="Arial" w:hint="cs"/>
          <w:rtl/>
        </w:rPr>
        <w:t>.</w:t>
      </w:r>
      <w:r w:rsidRPr="006A4D60">
        <w:rPr>
          <w:rFonts w:cs="Arial"/>
          <w:rtl/>
        </w:rPr>
        <w:t xml:space="preserve">? </w:t>
      </w:r>
      <w:r w:rsidRPr="006310E5">
        <w:rPr>
          <w:rFonts w:cs="Arial"/>
          <w:u w:val="single"/>
          <w:rtl/>
        </w:rPr>
        <w:t>א"ל</w:t>
      </w:r>
      <w:r w:rsidRPr="006A4D60">
        <w:rPr>
          <w:rFonts w:cs="Arial"/>
          <w:rtl/>
        </w:rPr>
        <w:t>: ולא שאני לך</w:t>
      </w:r>
      <w:r w:rsidR="00225601">
        <w:rPr>
          <w:rStyle w:val="a7"/>
          <w:rFonts w:cs="Arial"/>
          <w:rtl/>
        </w:rPr>
        <w:footnoteReference w:id="298"/>
      </w:r>
      <w:r w:rsidRPr="006A4D60">
        <w:rPr>
          <w:rFonts w:cs="Arial"/>
          <w:rtl/>
        </w:rPr>
        <w:t xml:space="preserve"> בין יוצא לדעת ליוצא שלא לדעת? מאי דבר אחר? </w:t>
      </w:r>
      <w:r w:rsidRPr="006310E5">
        <w:rPr>
          <w:rFonts w:cs="Arial"/>
          <w:u w:val="single"/>
          <w:rtl/>
        </w:rPr>
        <w:t>רב חסדא אמר</w:t>
      </w:r>
      <w:r w:rsidRPr="006A4D60">
        <w:rPr>
          <w:rFonts w:cs="Arial"/>
          <w:rtl/>
        </w:rPr>
        <w:t>: זה תכשיט</w:t>
      </w:r>
      <w:r w:rsidR="00225601">
        <w:rPr>
          <w:rStyle w:val="a7"/>
          <w:rFonts w:cs="Arial"/>
          <w:rtl/>
        </w:rPr>
        <w:footnoteReference w:id="299"/>
      </w:r>
      <w:r w:rsidRPr="006A4D60">
        <w:rPr>
          <w:rFonts w:cs="Arial"/>
          <w:rtl/>
        </w:rPr>
        <w:t xml:space="preserve">, </w:t>
      </w:r>
      <w:r w:rsidRPr="006310E5">
        <w:rPr>
          <w:rFonts w:cs="Arial"/>
          <w:u w:val="single"/>
          <w:rtl/>
        </w:rPr>
        <w:t>רב יוסף אמר</w:t>
      </w:r>
      <w:r w:rsidRPr="006A4D60">
        <w:rPr>
          <w:rFonts w:cs="Arial"/>
          <w:rtl/>
        </w:rPr>
        <w:t>: צדקה. מ"ד תכשיט</w:t>
      </w:r>
      <w:r w:rsidR="00225601">
        <w:rPr>
          <w:rStyle w:val="a7"/>
          <w:rFonts w:cs="Arial"/>
          <w:rtl/>
        </w:rPr>
        <w:footnoteReference w:id="300"/>
      </w:r>
      <w:r w:rsidRPr="006A4D60">
        <w:rPr>
          <w:rFonts w:cs="Arial"/>
          <w:rtl/>
        </w:rPr>
        <w:t>, כ"ש צדקה</w:t>
      </w:r>
      <w:r w:rsidR="006310E5">
        <w:rPr>
          <w:rFonts w:cs="Arial" w:hint="cs"/>
          <w:rtl/>
        </w:rPr>
        <w:t>.</w:t>
      </w:r>
      <w:r w:rsidRPr="006A4D60">
        <w:rPr>
          <w:rFonts w:cs="Arial"/>
          <w:rtl/>
        </w:rPr>
        <w:t xml:space="preserve"> מ"ד צדקה, אבל תכשיט יהבינן לה, דלא ניחא ליה דתינוול</w:t>
      </w:r>
      <w:r w:rsidR="00225601">
        <w:rPr>
          <w:rStyle w:val="a7"/>
          <w:rFonts w:cs="Arial"/>
          <w:rtl/>
        </w:rPr>
        <w:footnoteReference w:id="301"/>
      </w:r>
      <w:r w:rsidRPr="006A4D60">
        <w:rPr>
          <w:rFonts w:cs="Arial"/>
          <w:rtl/>
        </w:rPr>
        <w:t>.</w:t>
      </w:r>
    </w:p>
    <w:p w14:paraId="43C65E8A" w14:textId="7F3845AF" w:rsidR="00E01180" w:rsidRPr="00E01180" w:rsidRDefault="00E01180" w:rsidP="00B12054">
      <w:pPr>
        <w:rPr>
          <w:rFonts w:cs="Arial"/>
          <w:u w:val="single"/>
          <w:rtl/>
        </w:rPr>
      </w:pPr>
      <w:r w:rsidRPr="00E01180">
        <w:rPr>
          <w:rFonts w:hint="cs"/>
          <w:u w:val="single"/>
          <w:rtl/>
        </w:rPr>
        <w:t>פסיקת תכשיט לאשה שבעלה נשתטה/נתחרש</w:t>
      </w:r>
      <w:r w:rsidRPr="00E01180">
        <w:rPr>
          <w:rFonts w:cs="Arial" w:hint="cs"/>
          <w:u w:val="single"/>
          <w:rtl/>
        </w:rPr>
        <w:t>:</w:t>
      </w:r>
    </w:p>
    <w:p w14:paraId="1AE8FBB2" w14:textId="57E0C716" w:rsidR="00B12054" w:rsidRPr="00B12054" w:rsidRDefault="00301F35" w:rsidP="00301F35">
      <w:pPr>
        <w:pStyle w:val="ab"/>
        <w:numPr>
          <w:ilvl w:val="0"/>
          <w:numId w:val="2"/>
        </w:numPr>
        <w:rPr>
          <w:rtl/>
        </w:rPr>
      </w:pPr>
      <w:r w:rsidRPr="00301F35">
        <w:rPr>
          <w:rFonts w:cs="Arial" w:hint="cs"/>
          <w:rtl/>
        </w:rPr>
        <w:t xml:space="preserve">רמב"ם </w:t>
      </w:r>
      <w:r w:rsidRPr="00301F35">
        <w:rPr>
          <w:rFonts w:cs="Arial" w:hint="cs"/>
          <w:sz w:val="16"/>
          <w:szCs w:val="16"/>
          <w:rtl/>
        </w:rPr>
        <w:t>(פי"ג מאישות ה"ז)</w:t>
      </w:r>
      <w:r w:rsidRPr="00301F35">
        <w:rPr>
          <w:rFonts w:cs="Arial" w:hint="cs"/>
          <w:rtl/>
        </w:rPr>
        <w:t xml:space="preserve">- </w:t>
      </w:r>
      <w:r w:rsidR="00254BAF" w:rsidRPr="00301F35">
        <w:rPr>
          <w:rFonts w:cs="Arial"/>
          <w:rtl/>
        </w:rPr>
        <w:t>האשה שהלך בעלה ופסקו לה בית דין מזונות וכסות וכלי בית ושכר מדור אין פוסקין לה תכשיט שהרי אין לה בעל שתתקשט לו, אבל מי שנשתטה בעלה או שנתחרש פוסקין לה תכשיט</w:t>
      </w:r>
      <w:r w:rsidR="00254BAF">
        <w:rPr>
          <w:rFonts w:hint="cs"/>
          <w:rtl/>
        </w:rPr>
        <w:t>.</w:t>
      </w:r>
      <w:r w:rsidR="00225601">
        <w:rPr>
          <w:rFonts w:hint="cs"/>
          <w:rtl/>
        </w:rPr>
        <w:t xml:space="preserve"> </w:t>
      </w:r>
      <w:r w:rsidR="00CC4664">
        <w:rPr>
          <w:rFonts w:hint="cs"/>
          <w:color w:val="E36C0A" w:themeColor="accent6" w:themeShade="BF"/>
          <w:rtl/>
        </w:rPr>
        <w:t>(</w:t>
      </w:r>
      <w:r w:rsidR="00225601" w:rsidRPr="00CC4664">
        <w:rPr>
          <w:rFonts w:hint="cs"/>
          <w:color w:val="E36C0A" w:themeColor="accent6" w:themeShade="BF"/>
          <w:rtl/>
        </w:rPr>
        <w:t>וכ"פ בשו"ע</w:t>
      </w:r>
      <w:r w:rsidR="00CC4664">
        <w:rPr>
          <w:rFonts w:hint="cs"/>
          <w:color w:val="E36C0A" w:themeColor="accent6" w:themeShade="BF"/>
          <w:rtl/>
        </w:rPr>
        <w:t>)</w:t>
      </w:r>
      <w:r w:rsidR="00225601" w:rsidRPr="00301F35">
        <w:rPr>
          <w:rFonts w:hint="cs"/>
          <w:sz w:val="16"/>
          <w:szCs w:val="16"/>
          <w:rtl/>
        </w:rPr>
        <w:t xml:space="preserve"> </w:t>
      </w:r>
    </w:p>
    <w:p w14:paraId="35241864" w14:textId="77777777" w:rsidR="00971CA9" w:rsidRDefault="00971CA9" w:rsidP="00971CA9">
      <w:pPr>
        <w:rPr>
          <w:rFonts w:cs="Arial"/>
          <w:rtl/>
        </w:rPr>
      </w:pPr>
      <w:r w:rsidRPr="003024E5">
        <w:rPr>
          <w:rFonts w:asciiTheme="minorBidi" w:hAnsiTheme="minorBidi"/>
          <w:b/>
          <w:bCs/>
          <w:color w:val="000000"/>
          <w:sz w:val="28"/>
          <w:szCs w:val="28"/>
          <w:u w:val="single"/>
          <w:rtl/>
        </w:rPr>
        <w:t>שו"ע:</w:t>
      </w:r>
    </w:p>
    <w:p w14:paraId="477AE60B" w14:textId="6A7A92CB" w:rsidR="009049BF" w:rsidRDefault="00971CA9" w:rsidP="00971CA9">
      <w:pPr>
        <w:rPr>
          <w:rFonts w:cs="Arial"/>
          <w:rtl/>
        </w:rPr>
      </w:pPr>
      <w:r>
        <w:rPr>
          <w:rFonts w:cs="Arial"/>
          <w:rtl/>
        </w:rPr>
        <w:t>מי שנשתטה או נתחרש, פוסקין לאשתו תכשיט</w:t>
      </w:r>
      <w:r w:rsidR="006310E5">
        <w:rPr>
          <w:rFonts w:cs="Arial" w:hint="cs"/>
          <w:rtl/>
        </w:rPr>
        <w:t>.</w:t>
      </w:r>
      <w:r>
        <w:rPr>
          <w:rFonts w:cs="Arial"/>
          <w:rtl/>
        </w:rPr>
        <w:t xml:space="preserve"> </w:t>
      </w:r>
      <w:r w:rsidR="006310E5" w:rsidRPr="006310E5">
        <w:rPr>
          <w:rFonts w:cs="Arial" w:hint="cs"/>
          <w:sz w:val="18"/>
          <w:szCs w:val="18"/>
          <w:rtl/>
        </w:rPr>
        <w:t xml:space="preserve">[הגה] </w:t>
      </w:r>
      <w:r w:rsidRPr="006310E5">
        <w:rPr>
          <w:rFonts w:cs="Arial"/>
          <w:sz w:val="18"/>
          <w:szCs w:val="18"/>
          <w:rtl/>
        </w:rPr>
        <w:t>ומפרנסין את אשתו מנכסיו.</w:t>
      </w:r>
    </w:p>
    <w:p w14:paraId="00865261" w14:textId="6BD43825" w:rsidR="00971CA9" w:rsidRDefault="00971CA9" w:rsidP="00971CA9">
      <w:pPr>
        <w:rPr>
          <w:rtl/>
        </w:rPr>
      </w:pPr>
      <w:r>
        <w:rPr>
          <w:rFonts w:cs="Arial"/>
          <w:rtl/>
        </w:rPr>
        <w:t xml:space="preserve"> </w:t>
      </w:r>
    </w:p>
    <w:p w14:paraId="5E8F2C02" w14:textId="3A32EE22" w:rsidR="00D6322E" w:rsidRDefault="00971CA9" w:rsidP="000F64D0">
      <w:pPr>
        <w:pStyle w:val="2"/>
        <w:rPr>
          <w:rtl/>
        </w:rPr>
      </w:pPr>
      <w:r>
        <w:rPr>
          <w:rtl/>
        </w:rPr>
        <w:t>סעיף ז</w:t>
      </w:r>
      <w:r w:rsidR="00225601">
        <w:rPr>
          <w:rFonts w:hint="cs"/>
          <w:rtl/>
        </w:rPr>
        <w:t xml:space="preserve">: </w:t>
      </w:r>
      <w:r w:rsidR="00900B9A" w:rsidRPr="00900B9A">
        <w:rPr>
          <w:rtl/>
        </w:rPr>
        <w:t>הלך למדינת הים</w:t>
      </w:r>
      <w:r w:rsidR="00900B9A" w:rsidRPr="00900B9A">
        <w:rPr>
          <w:rFonts w:hint="cs"/>
          <w:rtl/>
        </w:rPr>
        <w:t>,</w:t>
      </w:r>
      <w:r w:rsidR="00900B9A" w:rsidRPr="00900B9A">
        <w:rPr>
          <w:rtl/>
        </w:rPr>
        <w:t xml:space="preserve"> ו</w:t>
      </w:r>
      <w:r w:rsidR="00900B9A" w:rsidRPr="00900B9A">
        <w:rPr>
          <w:rFonts w:hint="cs"/>
          <w:rtl/>
        </w:rPr>
        <w:t xml:space="preserve">לפנ"כ </w:t>
      </w:r>
      <w:r w:rsidR="00900B9A" w:rsidRPr="00900B9A">
        <w:rPr>
          <w:rtl/>
        </w:rPr>
        <w:t>הפקיד</w:t>
      </w:r>
      <w:r w:rsidR="00900B9A" w:rsidRPr="00900B9A">
        <w:rPr>
          <w:rFonts w:hint="cs"/>
          <w:rtl/>
        </w:rPr>
        <w:t>/השאיל</w:t>
      </w:r>
      <w:r w:rsidR="00900B9A" w:rsidRPr="00900B9A">
        <w:rPr>
          <w:rtl/>
        </w:rPr>
        <w:t xml:space="preserve"> כלים ביד אחד</w:t>
      </w:r>
      <w:r w:rsidR="00900B9A">
        <w:rPr>
          <w:rFonts w:hint="cs"/>
          <w:rtl/>
        </w:rPr>
        <w:t>.</w:t>
      </w:r>
    </w:p>
    <w:p w14:paraId="4564BBD3" w14:textId="30A9CC87" w:rsidR="00123DC0" w:rsidRPr="00A65607" w:rsidRDefault="00123DC0" w:rsidP="00123DC0">
      <w:pPr>
        <w:rPr>
          <w:u w:val="single"/>
          <w:rtl/>
        </w:rPr>
      </w:pPr>
      <w:r w:rsidRPr="00900B9A">
        <w:rPr>
          <w:rFonts w:cs="Arial"/>
          <w:u w:val="single"/>
          <w:rtl/>
        </w:rPr>
        <w:t>הלך למדינת הים</w:t>
      </w:r>
      <w:r w:rsidR="00A65607" w:rsidRPr="00900B9A">
        <w:rPr>
          <w:rFonts w:cs="Arial" w:hint="cs"/>
          <w:u w:val="single"/>
          <w:rtl/>
        </w:rPr>
        <w:t>,</w:t>
      </w:r>
      <w:r w:rsidRPr="00900B9A">
        <w:rPr>
          <w:rFonts w:cs="Arial"/>
          <w:u w:val="single"/>
          <w:rtl/>
        </w:rPr>
        <w:t xml:space="preserve"> ו</w:t>
      </w:r>
      <w:r w:rsidR="00A65607" w:rsidRPr="00900B9A">
        <w:rPr>
          <w:rFonts w:cs="Arial" w:hint="cs"/>
          <w:u w:val="single"/>
          <w:rtl/>
        </w:rPr>
        <w:t xml:space="preserve">לפנ"כ </w:t>
      </w:r>
      <w:r w:rsidRPr="00900B9A">
        <w:rPr>
          <w:rFonts w:cs="Arial"/>
          <w:u w:val="single"/>
          <w:rtl/>
        </w:rPr>
        <w:t>הפקיד</w:t>
      </w:r>
      <w:r w:rsidR="00A65607" w:rsidRPr="00900B9A">
        <w:rPr>
          <w:rFonts w:cs="Arial" w:hint="cs"/>
          <w:u w:val="single"/>
          <w:rtl/>
        </w:rPr>
        <w:t>/השאיל</w:t>
      </w:r>
      <w:r w:rsidRPr="00900B9A">
        <w:rPr>
          <w:rFonts w:cs="Arial"/>
          <w:u w:val="single"/>
          <w:rtl/>
        </w:rPr>
        <w:t xml:space="preserve"> כלים ביד אחד</w:t>
      </w:r>
      <w:r w:rsidRPr="00A65607">
        <w:rPr>
          <w:rFonts w:cs="Arial"/>
          <w:u w:val="single"/>
          <w:rtl/>
        </w:rPr>
        <w:t xml:space="preserve"> </w:t>
      </w:r>
      <w:r w:rsidR="00E01180">
        <w:rPr>
          <w:rFonts w:cs="Arial" w:hint="cs"/>
          <w:u w:val="single"/>
          <w:rtl/>
        </w:rPr>
        <w:t>-</w:t>
      </w:r>
      <w:r w:rsidR="00A65607">
        <w:rPr>
          <w:rFonts w:cs="Arial" w:hint="cs"/>
          <w:u w:val="single"/>
          <w:rtl/>
        </w:rPr>
        <w:t xml:space="preserve"> האם </w:t>
      </w:r>
      <w:r w:rsidRPr="00A65607">
        <w:rPr>
          <w:rFonts w:cs="Arial"/>
          <w:u w:val="single"/>
          <w:rtl/>
        </w:rPr>
        <w:t>מוציאין מיד הנפקד למזונות אשתו</w:t>
      </w:r>
      <w:r w:rsidRPr="00A65607">
        <w:rPr>
          <w:rFonts w:hint="cs"/>
          <w:u w:val="single"/>
          <w:rtl/>
        </w:rPr>
        <w:t>:</w:t>
      </w:r>
    </w:p>
    <w:p w14:paraId="3467EAFD" w14:textId="4F5DEB14" w:rsidR="00123DC0" w:rsidRPr="00225601" w:rsidRDefault="00D6322E" w:rsidP="008D03BD">
      <w:pPr>
        <w:pStyle w:val="ab"/>
        <w:numPr>
          <w:ilvl w:val="0"/>
          <w:numId w:val="2"/>
        </w:numPr>
      </w:pPr>
      <w:r w:rsidRPr="00225601">
        <w:rPr>
          <w:rFonts w:cs="Arial"/>
          <w:rtl/>
        </w:rPr>
        <w:t>רשב"א</w:t>
      </w:r>
      <w:r w:rsidR="00123DC0">
        <w:rPr>
          <w:rFonts w:cs="Arial" w:hint="cs"/>
          <w:rtl/>
        </w:rPr>
        <w:t xml:space="preserve"> </w:t>
      </w:r>
      <w:r w:rsidR="00123DC0" w:rsidRPr="00123DC0">
        <w:rPr>
          <w:rFonts w:cs="Arial" w:hint="cs"/>
          <w:sz w:val="16"/>
          <w:szCs w:val="16"/>
          <w:rtl/>
        </w:rPr>
        <w:t>(ח"א אלף קמא)</w:t>
      </w:r>
      <w:r w:rsidR="00225601" w:rsidRPr="00225601">
        <w:rPr>
          <w:rFonts w:cs="Arial" w:hint="cs"/>
          <w:rtl/>
        </w:rPr>
        <w:t>-</w:t>
      </w:r>
      <w:r w:rsidRPr="00225601">
        <w:rPr>
          <w:rFonts w:cs="Arial"/>
          <w:rtl/>
        </w:rPr>
        <w:t xml:space="preserve"> מי שהלך למדינת הים והפקיד כלים ביד אחד או השאילם לו </w:t>
      </w:r>
      <w:r w:rsidR="00BB278B">
        <w:rPr>
          <w:rFonts w:cs="Arial" w:hint="cs"/>
          <w:rtl/>
        </w:rPr>
        <w:t xml:space="preserve">- </w:t>
      </w:r>
      <w:r w:rsidRPr="00225601">
        <w:rPr>
          <w:rFonts w:cs="Arial"/>
          <w:rtl/>
        </w:rPr>
        <w:t>מוציאין מיד הנפקד למזונות אשתו</w:t>
      </w:r>
      <w:r w:rsidR="00123DC0">
        <w:rPr>
          <w:rFonts w:cs="Arial" w:hint="cs"/>
          <w:rtl/>
        </w:rPr>
        <w:t>.</w:t>
      </w:r>
      <w:r w:rsidRPr="00225601">
        <w:rPr>
          <w:rFonts w:cs="Arial"/>
          <w:rtl/>
        </w:rPr>
        <w:t xml:space="preserve"> אבל מיד השואל אם לא הגיע זמן שאלתו אין מוציאין לפי שדין משועבדים יש להם כל זמן שאלתם ואין מוציאין למזון האשה מנכסים משועבדים. </w:t>
      </w:r>
      <w:r w:rsidR="00900B9A" w:rsidRPr="00900B9A">
        <w:rPr>
          <w:rFonts w:hint="cs"/>
          <w:color w:val="E36C0A" w:themeColor="accent6" w:themeShade="BF"/>
          <w:rtl/>
        </w:rPr>
        <w:t>(וכ"פ בשו"ע)</w:t>
      </w:r>
    </w:p>
    <w:p w14:paraId="2B71C952" w14:textId="2D1C6407" w:rsidR="008D03BD" w:rsidRPr="008D03BD" w:rsidRDefault="008D03BD" w:rsidP="008D03BD">
      <w:pPr>
        <w:rPr>
          <w:u w:val="single"/>
        </w:rPr>
      </w:pPr>
      <w:r w:rsidRPr="008D03BD">
        <w:rPr>
          <w:rFonts w:hint="cs"/>
          <w:u w:val="single"/>
          <w:rtl/>
        </w:rPr>
        <w:t xml:space="preserve">הלך למדינת הים והשאיר מטלטלין ביד אחד </w:t>
      </w:r>
      <w:r w:rsidR="00131E34">
        <w:rPr>
          <w:rFonts w:hint="cs"/>
          <w:u w:val="single"/>
          <w:rtl/>
        </w:rPr>
        <w:t>-</w:t>
      </w:r>
      <w:r w:rsidRPr="008D03BD">
        <w:rPr>
          <w:rFonts w:hint="cs"/>
          <w:u w:val="single"/>
          <w:rtl/>
        </w:rPr>
        <w:t xml:space="preserve"> והאשה תובעת ממנו מזונותיה:</w:t>
      </w:r>
    </w:p>
    <w:p w14:paraId="47450F27" w14:textId="41AB8817" w:rsidR="008D03BD" w:rsidRPr="004A3ACB" w:rsidRDefault="008D03BD" w:rsidP="008D03BD">
      <w:pPr>
        <w:pStyle w:val="ab"/>
        <w:numPr>
          <w:ilvl w:val="0"/>
          <w:numId w:val="2"/>
        </w:numPr>
        <w:rPr>
          <w:rFonts w:cs="Arial"/>
          <w:rtl/>
        </w:rPr>
      </w:pPr>
      <w:r w:rsidRPr="00225601">
        <w:rPr>
          <w:rFonts w:cs="Arial"/>
          <w:rtl/>
        </w:rPr>
        <w:t xml:space="preserve">מרדכי </w:t>
      </w:r>
      <w:r w:rsidRPr="008D03BD">
        <w:rPr>
          <w:rFonts w:cs="Arial"/>
          <w:sz w:val="16"/>
          <w:szCs w:val="16"/>
          <w:rtl/>
        </w:rPr>
        <w:t>(</w:t>
      </w:r>
      <w:r w:rsidRPr="008D03BD">
        <w:rPr>
          <w:rFonts w:cs="Arial" w:hint="cs"/>
          <w:sz w:val="16"/>
          <w:szCs w:val="16"/>
          <w:rtl/>
        </w:rPr>
        <w:t xml:space="preserve">כתובות </w:t>
      </w:r>
      <w:r w:rsidRPr="008D03BD">
        <w:rPr>
          <w:rFonts w:cs="Arial"/>
          <w:sz w:val="16"/>
          <w:szCs w:val="16"/>
          <w:rtl/>
        </w:rPr>
        <w:t>סי' רסו)</w:t>
      </w:r>
      <w:r>
        <w:rPr>
          <w:rFonts w:cs="Arial" w:hint="cs"/>
          <w:rtl/>
        </w:rPr>
        <w:t>-</w:t>
      </w:r>
      <w:r w:rsidRPr="004A3ACB">
        <w:rPr>
          <w:rtl/>
        </w:rPr>
        <w:t xml:space="preserve"> </w:t>
      </w:r>
      <w:r w:rsidRPr="004A3ACB">
        <w:rPr>
          <w:rFonts w:cs="Arial"/>
          <w:rtl/>
        </w:rPr>
        <w:t>אם יש בידי אדם מטלטלין דבעל</w:t>
      </w:r>
      <w:r>
        <w:rPr>
          <w:rFonts w:cs="Arial" w:hint="cs"/>
          <w:rtl/>
        </w:rPr>
        <w:t>,</w:t>
      </w:r>
      <w:r w:rsidRPr="004A3ACB">
        <w:rPr>
          <w:rFonts w:cs="Arial"/>
          <w:rtl/>
        </w:rPr>
        <w:t xml:space="preserve"> חיישינן להברחת ממון ולפסידה כדחשו בפ' שור שנגח את הפרה שנזקקין לנתבע תחלה כגון דזיילי נכסי</w:t>
      </w:r>
      <w:r>
        <w:rPr>
          <w:rFonts w:cs="Arial" w:hint="cs"/>
          <w:rtl/>
        </w:rPr>
        <w:t>,</w:t>
      </w:r>
      <w:r w:rsidRPr="004A3ACB">
        <w:rPr>
          <w:rFonts w:cs="Arial"/>
          <w:rtl/>
        </w:rPr>
        <w:t xml:space="preserve"> ובפרק הגוזל בתרא פעמים שמקבלין עדות שלא בפני בעל דין כגון שהיה הוא חולה כו'</w:t>
      </w:r>
      <w:r>
        <w:rPr>
          <w:rFonts w:cs="Arial" w:hint="cs"/>
          <w:rtl/>
        </w:rPr>
        <w:t>.</w:t>
      </w:r>
      <w:r w:rsidRPr="004A3ACB">
        <w:rPr>
          <w:rFonts w:cs="Arial"/>
          <w:rtl/>
        </w:rPr>
        <w:t xml:space="preserve"> ואם היא תובעת את הנפקד לדין</w:t>
      </w:r>
      <w:r>
        <w:rPr>
          <w:rFonts w:cs="Arial" w:hint="cs"/>
          <w:rtl/>
        </w:rPr>
        <w:t>,</w:t>
      </w:r>
      <w:r w:rsidRPr="004A3ACB">
        <w:rPr>
          <w:rFonts w:cs="Arial"/>
          <w:rtl/>
        </w:rPr>
        <w:t xml:space="preserve"> היו כופין אותו בית דין לתת לה מדרבי נתן</w:t>
      </w:r>
      <w:r>
        <w:rPr>
          <w:rFonts w:cs="Arial" w:hint="cs"/>
          <w:rtl/>
        </w:rPr>
        <w:t>,</w:t>
      </w:r>
      <w:r w:rsidRPr="004A3ACB">
        <w:rPr>
          <w:rFonts w:cs="Arial"/>
          <w:rtl/>
        </w:rPr>
        <w:t xml:space="preserve"> דאמר מנין לנושה לחבירו כו'</w:t>
      </w:r>
      <w:r>
        <w:rPr>
          <w:rFonts w:cs="Arial" w:hint="cs"/>
          <w:rtl/>
        </w:rPr>
        <w:t>.</w:t>
      </w:r>
      <w:r w:rsidRPr="004A3ACB">
        <w:rPr>
          <w:rFonts w:cs="Arial"/>
          <w:rtl/>
        </w:rPr>
        <w:t xml:space="preserve"> ואם החזיר הנפקד לבעל אחרי שתבעתו בבית דין</w:t>
      </w:r>
      <w:r>
        <w:rPr>
          <w:rFonts w:cs="Arial" w:hint="cs"/>
          <w:rtl/>
        </w:rPr>
        <w:t>,</w:t>
      </w:r>
      <w:r w:rsidRPr="004A3ACB">
        <w:rPr>
          <w:rFonts w:cs="Arial"/>
          <w:rtl/>
        </w:rPr>
        <w:t xml:space="preserve"> חייב ליתן לה</w:t>
      </w:r>
      <w:r>
        <w:rPr>
          <w:rFonts w:cs="Arial" w:hint="cs"/>
          <w:rtl/>
        </w:rPr>
        <w:t>.</w:t>
      </w:r>
      <w:r w:rsidRPr="004A3ACB">
        <w:rPr>
          <w:rFonts w:cs="Arial"/>
          <w:rtl/>
        </w:rPr>
        <w:t xml:space="preserve"> שאם לא כן מה הועיל מדרבי נתן</w:t>
      </w:r>
      <w:r>
        <w:rPr>
          <w:rFonts w:cs="Arial" w:hint="cs"/>
          <w:rtl/>
        </w:rPr>
        <w:t>.</w:t>
      </w:r>
      <w:r w:rsidRPr="004A3ACB">
        <w:rPr>
          <w:rFonts w:cs="Arial"/>
          <w:rtl/>
        </w:rPr>
        <w:t xml:space="preserve"> ול</w:t>
      </w:r>
      <w:r>
        <w:rPr>
          <w:rFonts w:cs="Arial" w:hint="cs"/>
          <w:rtl/>
        </w:rPr>
        <w:t>-</w:t>
      </w:r>
      <w:r w:rsidRPr="004A3ACB">
        <w:rPr>
          <w:rFonts w:cs="Arial"/>
          <w:rtl/>
        </w:rPr>
        <w:t>ו' חדשים יוציאו מן הנפקד למזונותיה</w:t>
      </w:r>
      <w:r>
        <w:rPr>
          <w:rFonts w:cs="Arial" w:hint="cs"/>
          <w:rtl/>
        </w:rPr>
        <w:t>,</w:t>
      </w:r>
      <w:r w:rsidRPr="004A3ACB">
        <w:rPr>
          <w:rFonts w:cs="Arial"/>
          <w:rtl/>
        </w:rPr>
        <w:t xml:space="preserve"> אבל יותר אין כח לב"ד לכופו לעכב</w:t>
      </w:r>
      <w:r>
        <w:rPr>
          <w:rFonts w:cs="Arial" w:hint="cs"/>
          <w:rtl/>
        </w:rPr>
        <w:t>.</w:t>
      </w:r>
      <w:r w:rsidRPr="004A3ACB">
        <w:rPr>
          <w:rFonts w:cs="Arial"/>
          <w:rtl/>
        </w:rPr>
        <w:t xml:space="preserve"> ואם בא הבעל ותבע לדין אין יכול לעכב לו ממונו אך לששה חדשים יתן לאשה ויעכב ויתן על פי ב"ד</w:t>
      </w:r>
      <w:r>
        <w:rPr>
          <w:rFonts w:cs="Arial" w:hint="cs"/>
          <w:rtl/>
        </w:rPr>
        <w:t xml:space="preserve">. </w:t>
      </w:r>
      <w:r w:rsidRPr="004A3ACB">
        <w:rPr>
          <w:rFonts w:cs="Arial"/>
          <w:rtl/>
        </w:rPr>
        <w:t>ואם הבעל ירא שמים יתן לה מזונות יותר מל</w:t>
      </w:r>
      <w:r>
        <w:rPr>
          <w:rFonts w:cs="Arial" w:hint="cs"/>
          <w:rtl/>
        </w:rPr>
        <w:t>-</w:t>
      </w:r>
      <w:r w:rsidRPr="004A3ACB">
        <w:rPr>
          <w:rFonts w:cs="Arial"/>
          <w:rtl/>
        </w:rPr>
        <w:t>ו' חדשים</w:t>
      </w:r>
      <w:r>
        <w:rPr>
          <w:rFonts w:cs="Arial" w:hint="cs"/>
          <w:rtl/>
        </w:rPr>
        <w:t>,</w:t>
      </w:r>
      <w:r w:rsidRPr="004A3ACB">
        <w:rPr>
          <w:rFonts w:cs="Arial"/>
          <w:rtl/>
        </w:rPr>
        <w:t xml:space="preserve"> מיהו בדין אין בידינו לכופו ליותר מו' חדשים ואפילו אם ירצה הנפקד</w:t>
      </w:r>
      <w:r>
        <w:rPr>
          <w:rFonts w:cs="Arial" w:hint="cs"/>
          <w:rtl/>
        </w:rPr>
        <w:t>,</w:t>
      </w:r>
      <w:r w:rsidRPr="004A3ACB">
        <w:rPr>
          <w:rFonts w:cs="Arial"/>
          <w:rtl/>
        </w:rPr>
        <w:t xml:space="preserve"> דלמה יעשו ב"ד שלא כדין</w:t>
      </w:r>
      <w:r>
        <w:rPr>
          <w:rFonts w:cs="Arial" w:hint="cs"/>
          <w:rtl/>
        </w:rPr>
        <w:t>.</w:t>
      </w:r>
      <w:r w:rsidRPr="004A3ACB">
        <w:rPr>
          <w:rFonts w:cs="Arial"/>
          <w:rtl/>
        </w:rPr>
        <w:t xml:space="preserve"> ובכל מקום שתמצא ממון הבעל היו כופין ב"ד לזונה ולפרנסה ולכסותה</w:t>
      </w:r>
      <w:r>
        <w:rPr>
          <w:rFonts w:cs="Arial" w:hint="cs"/>
          <w:rtl/>
        </w:rPr>
        <w:t>,</w:t>
      </w:r>
      <w:r w:rsidRPr="004A3ACB">
        <w:rPr>
          <w:rFonts w:cs="Arial"/>
          <w:rtl/>
        </w:rPr>
        <w:t xml:space="preserve"> דאמרינן אמר אמימר הלכתא מוכרת לששה חדשים ולוקח מפרנס אחד לשלשים יום וכ"ש אם הממון בעין ועוד האריך ואני קצרתי אביאסף</w:t>
      </w:r>
      <w:r>
        <w:rPr>
          <w:rFonts w:cs="Arial" w:hint="cs"/>
          <w:rtl/>
        </w:rPr>
        <w:t>.</w:t>
      </w:r>
      <w:r w:rsidR="00900B9A" w:rsidRPr="00900B9A">
        <w:rPr>
          <w:rFonts w:cs="Arial" w:hint="cs"/>
          <w:color w:val="00B0F0"/>
          <w:rtl/>
        </w:rPr>
        <w:t xml:space="preserve"> (וכ"פ הרמ"א)</w:t>
      </w:r>
    </w:p>
    <w:p w14:paraId="7038858A" w14:textId="07BA7A02" w:rsidR="00C56D1D" w:rsidRPr="008D03BD" w:rsidRDefault="008D03BD" w:rsidP="008D03BD">
      <w:pPr>
        <w:ind w:left="360"/>
        <w:rPr>
          <w:u w:val="dotted"/>
        </w:rPr>
      </w:pPr>
      <w:r w:rsidRPr="008D03BD">
        <w:rPr>
          <w:rFonts w:cs="Arial" w:hint="cs"/>
          <w:u w:val="dotted"/>
          <w:rtl/>
        </w:rPr>
        <w:t xml:space="preserve">ומה הדין אם </w:t>
      </w:r>
      <w:r w:rsidR="00D6322E" w:rsidRPr="008D03BD">
        <w:rPr>
          <w:rFonts w:cs="Arial"/>
          <w:u w:val="dotted"/>
          <w:rtl/>
        </w:rPr>
        <w:t>הזהיר</w:t>
      </w:r>
      <w:r w:rsidRPr="008D03BD">
        <w:rPr>
          <w:rFonts w:cs="Arial" w:hint="cs"/>
          <w:u w:val="dotted"/>
          <w:rtl/>
        </w:rPr>
        <w:t xml:space="preserve"> את הנפקד '</w:t>
      </w:r>
      <w:r w:rsidR="00D6322E" w:rsidRPr="008D03BD">
        <w:rPr>
          <w:rFonts w:cs="Arial"/>
          <w:u w:val="dotted"/>
          <w:rtl/>
        </w:rPr>
        <w:t xml:space="preserve">אם תבא אשתי לפניך לא תתן לה כלום כי אם לבתי </w:t>
      </w:r>
      <w:r w:rsidR="00C56D1D" w:rsidRPr="008D03BD">
        <w:rPr>
          <w:rFonts w:cs="Arial" w:hint="cs"/>
          <w:u w:val="dotted"/>
          <w:rtl/>
        </w:rPr>
        <w:t>ה</w:t>
      </w:r>
      <w:r w:rsidR="00D6322E" w:rsidRPr="008D03BD">
        <w:rPr>
          <w:rFonts w:cs="Arial"/>
          <w:u w:val="dotted"/>
          <w:rtl/>
        </w:rPr>
        <w:t>קטנה</w:t>
      </w:r>
      <w:r w:rsidRPr="008D03BD">
        <w:rPr>
          <w:rFonts w:cs="Arial" w:hint="cs"/>
          <w:u w:val="dotted"/>
          <w:rtl/>
        </w:rPr>
        <w:t>'</w:t>
      </w:r>
      <w:r w:rsidR="00C56D1D" w:rsidRPr="008D03BD">
        <w:rPr>
          <w:rFonts w:cs="Arial" w:hint="cs"/>
          <w:u w:val="dotted"/>
          <w:rtl/>
        </w:rPr>
        <w:t>:</w:t>
      </w:r>
      <w:r w:rsidR="00D6322E" w:rsidRPr="008D03BD">
        <w:rPr>
          <w:rFonts w:cs="Arial"/>
          <w:u w:val="dotted"/>
          <w:rtl/>
        </w:rPr>
        <w:t xml:space="preserve"> </w:t>
      </w:r>
    </w:p>
    <w:p w14:paraId="1323F40F" w14:textId="1E953E59" w:rsidR="00C56D1D" w:rsidRDefault="00D6322E" w:rsidP="00225601">
      <w:pPr>
        <w:pStyle w:val="ab"/>
        <w:numPr>
          <w:ilvl w:val="0"/>
          <w:numId w:val="2"/>
        </w:numPr>
      </w:pPr>
      <w:r w:rsidRPr="00225601">
        <w:rPr>
          <w:rFonts w:cs="Arial"/>
          <w:rtl/>
        </w:rPr>
        <w:t>תשובות מיימוני</w:t>
      </w:r>
      <w:r w:rsidR="00C56D1D">
        <w:rPr>
          <w:rFonts w:cs="Arial" w:hint="cs"/>
          <w:rtl/>
        </w:rPr>
        <w:t xml:space="preserve">ות </w:t>
      </w:r>
      <w:r w:rsidR="00C56D1D" w:rsidRPr="00C56D1D">
        <w:rPr>
          <w:rFonts w:cs="Arial" w:hint="cs"/>
          <w:sz w:val="16"/>
          <w:szCs w:val="16"/>
          <w:rtl/>
        </w:rPr>
        <w:t>(</w:t>
      </w:r>
      <w:r w:rsidRPr="00C56D1D">
        <w:rPr>
          <w:rFonts w:cs="Arial"/>
          <w:sz w:val="16"/>
          <w:szCs w:val="16"/>
          <w:rtl/>
        </w:rPr>
        <w:t xml:space="preserve">נשים סי' כא) </w:t>
      </w:r>
      <w:r w:rsidRPr="00225601">
        <w:rPr>
          <w:rFonts w:cs="Arial"/>
          <w:rtl/>
        </w:rPr>
        <w:t xml:space="preserve">ומרדכי </w:t>
      </w:r>
      <w:r w:rsidR="00C56D1D" w:rsidRPr="00C56D1D">
        <w:rPr>
          <w:rFonts w:cs="Arial" w:hint="cs"/>
          <w:sz w:val="16"/>
          <w:szCs w:val="16"/>
          <w:rtl/>
        </w:rPr>
        <w:t>(</w:t>
      </w:r>
      <w:r w:rsidRPr="00C56D1D">
        <w:rPr>
          <w:rFonts w:cs="Arial"/>
          <w:sz w:val="16"/>
          <w:szCs w:val="16"/>
          <w:rtl/>
        </w:rPr>
        <w:t>פ</w:t>
      </w:r>
      <w:r w:rsidR="00C56D1D" w:rsidRPr="00C56D1D">
        <w:rPr>
          <w:rFonts w:cs="Arial" w:hint="cs"/>
          <w:sz w:val="16"/>
          <w:szCs w:val="16"/>
          <w:rtl/>
        </w:rPr>
        <w:t>'</w:t>
      </w:r>
      <w:r w:rsidRPr="00C56D1D">
        <w:rPr>
          <w:rFonts w:cs="Arial"/>
          <w:sz w:val="16"/>
          <w:szCs w:val="16"/>
          <w:rtl/>
        </w:rPr>
        <w:t xml:space="preserve"> בתרא דכתובות סי' רסט</w:t>
      </w:r>
      <w:r w:rsidR="004A3ACB">
        <w:rPr>
          <w:rFonts w:cs="Arial" w:hint="cs"/>
          <w:sz w:val="16"/>
          <w:szCs w:val="16"/>
          <w:rtl/>
        </w:rPr>
        <w:t>-רע</w:t>
      </w:r>
      <w:r w:rsidRPr="00C56D1D">
        <w:rPr>
          <w:rFonts w:cs="Arial"/>
          <w:sz w:val="16"/>
          <w:szCs w:val="16"/>
          <w:rtl/>
        </w:rPr>
        <w:t>)</w:t>
      </w:r>
      <w:r w:rsidR="00C56D1D">
        <w:rPr>
          <w:rFonts w:cs="Arial" w:hint="cs"/>
          <w:rtl/>
        </w:rPr>
        <w:t xml:space="preserve">- </w:t>
      </w:r>
      <w:r w:rsidR="00C56D1D" w:rsidRPr="00C56D1D">
        <w:rPr>
          <w:rFonts w:cs="Arial"/>
          <w:rtl/>
        </w:rPr>
        <w:t>מה שכתבת בראובן שהלך למדינת הים והפקיד ממונו ביד שמעון והזהירו אם תבא אשתי לפניך לא תתן לה כלום ממה שהפקדתי אצלך</w:t>
      </w:r>
      <w:r w:rsidR="00476145">
        <w:rPr>
          <w:rFonts w:cs="Arial" w:hint="cs"/>
          <w:rtl/>
        </w:rPr>
        <w:t>,</w:t>
      </w:r>
      <w:r w:rsidR="00C56D1D" w:rsidRPr="00C56D1D">
        <w:rPr>
          <w:rFonts w:cs="Arial"/>
          <w:rtl/>
        </w:rPr>
        <w:t xml:space="preserve"> ואף אם יניח האיש חיים לכל ישראל לא תתן לה כלום ממה שהפקדתי אצלך כ"א לבתי קטנה. ואחר שהלך ראובן לדרכו באתה אשתו של ראובן אצל שמעון הנפקד ושאלה ממנו מזונות כי אמרה בעל דברים דידי את מדרבי נתן. ועלתה על דעתך לומר כי ר"ת פסק דלית הילכתא כרבי נתן אע</w:t>
      </w:r>
      <w:r w:rsidR="00E71D3A">
        <w:rPr>
          <w:rFonts w:cs="Arial" w:hint="cs"/>
          <w:rtl/>
        </w:rPr>
        <w:t>"</w:t>
      </w:r>
      <w:r w:rsidR="00C56D1D" w:rsidRPr="00C56D1D">
        <w:rPr>
          <w:rFonts w:cs="Arial"/>
          <w:rtl/>
        </w:rPr>
        <w:t>ג דידעת שאני פוסק כרבי נתן (ע</w:t>
      </w:r>
      <w:r w:rsidR="009928C1">
        <w:rPr>
          <w:rFonts w:cs="Arial" w:hint="cs"/>
          <w:rtl/>
        </w:rPr>
        <w:t xml:space="preserve">י' </w:t>
      </w:r>
      <w:r w:rsidR="00C56D1D" w:rsidRPr="00C56D1D">
        <w:rPr>
          <w:rFonts w:cs="Arial"/>
          <w:rtl/>
        </w:rPr>
        <w:t>תוס' גיטין לז. וקידושין טו</w:t>
      </w:r>
      <w:r w:rsidR="00476145">
        <w:rPr>
          <w:rFonts w:cs="Arial" w:hint="cs"/>
          <w:rtl/>
        </w:rPr>
        <w:t>.</w:t>
      </w:r>
      <w:r w:rsidR="00C56D1D" w:rsidRPr="00C56D1D">
        <w:rPr>
          <w:rFonts w:cs="Arial"/>
          <w:rtl/>
        </w:rPr>
        <w:t>)</w:t>
      </w:r>
      <w:r w:rsidR="00AF68DB">
        <w:rPr>
          <w:rFonts w:cs="Arial" w:hint="cs"/>
          <w:rtl/>
        </w:rPr>
        <w:t>.</w:t>
      </w:r>
      <w:r w:rsidR="00C56D1D" w:rsidRPr="00C56D1D">
        <w:rPr>
          <w:rFonts w:cs="Arial"/>
          <w:rtl/>
        </w:rPr>
        <w:t xml:space="preserve"> ואף אמרת אע</w:t>
      </w:r>
      <w:r w:rsidR="00AF68DB">
        <w:rPr>
          <w:rFonts w:cs="Arial" w:hint="cs"/>
          <w:rtl/>
        </w:rPr>
        <w:t>"</w:t>
      </w:r>
      <w:r w:rsidR="00C56D1D" w:rsidRPr="00C56D1D">
        <w:rPr>
          <w:rFonts w:cs="Arial"/>
          <w:rtl/>
        </w:rPr>
        <w:t>פ שפוסקים מזונות לאשת איש (כתובות קז</w:t>
      </w:r>
      <w:r w:rsidR="004A3ACB">
        <w:rPr>
          <w:rFonts w:cs="Arial" w:hint="cs"/>
          <w:rtl/>
        </w:rPr>
        <w:t>:</w:t>
      </w:r>
      <w:r w:rsidR="00C56D1D" w:rsidRPr="00C56D1D">
        <w:rPr>
          <w:rFonts w:cs="Arial"/>
          <w:rtl/>
        </w:rPr>
        <w:t xml:space="preserve">) הני מילי שלא מיחה אבל האי שמיחה אימר צררי אתפסה או שמא אמר לה צאי מעשה ידיך במזונותיך, ותו מדקאמר ראובן דאף לאחר מותו ינתן ממונו לבתו, יש לנו לבדות מלבנו כי אחד מקרובי ראובן נתנו לבת ראובן ומש"ה הוציא ראובן </w:t>
      </w:r>
      <w:r w:rsidR="00C56D1D" w:rsidRPr="00C56D1D">
        <w:rPr>
          <w:rFonts w:cs="Arial"/>
          <w:rtl/>
        </w:rPr>
        <w:lastRenderedPageBreak/>
        <w:t>הממון מחזקת כתובת אשתו לאחר מותו, דכיוצא בה שמענו (ב"ב נא: עי"ש) דהמקבל פקדון מן האשה יחזיר לאשה, דאע"ג דמה שקנתה אשה קנה בעלה ואע</w:t>
      </w:r>
      <w:r w:rsidR="003666C0">
        <w:rPr>
          <w:rFonts w:cs="Arial" w:hint="cs"/>
          <w:rtl/>
        </w:rPr>
        <w:t>"</w:t>
      </w:r>
      <w:r w:rsidR="00C56D1D" w:rsidRPr="00C56D1D">
        <w:rPr>
          <w:rFonts w:cs="Arial"/>
          <w:rtl/>
        </w:rPr>
        <w:t>ג דלא מיחה בנפקד אפ"ה ינתן הממון לאשה דאמרינן שמא הופקד הממון לאשה או אינש דעלמא יהביה ניהלה ע"מ שאין לבעלה רשות בה. נראה שהדין עם האשה לתבוע המזונות מאותן הנכסים כי מדברי ראובן שאמר לנפקד ליתנו לבתו לאחר מותו אין במשמע שיהא בממון מעכשיו לבת</w:t>
      </w:r>
      <w:r w:rsidR="00945D04">
        <w:rPr>
          <w:rFonts w:cs="Arial" w:hint="cs"/>
          <w:rtl/>
        </w:rPr>
        <w:t>,</w:t>
      </w:r>
      <w:r w:rsidR="00C56D1D" w:rsidRPr="00C56D1D">
        <w:rPr>
          <w:rFonts w:cs="Arial"/>
          <w:rtl/>
        </w:rPr>
        <w:t xml:space="preserve"> כ"א שלו ורוצה להפקיע מאשתו וליתן לבתו. ואע</w:t>
      </w:r>
      <w:r w:rsidR="000268C6">
        <w:rPr>
          <w:rFonts w:cs="Arial" w:hint="cs"/>
          <w:rtl/>
        </w:rPr>
        <w:t>"</w:t>
      </w:r>
      <w:r w:rsidR="00C56D1D" w:rsidRPr="00C56D1D">
        <w:rPr>
          <w:rFonts w:cs="Arial"/>
          <w:rtl/>
        </w:rPr>
        <w:t>פ שהזהירו אם תבא אשתו אליו לא תתן לה כלום, לא מבעיא בזה הלשון דאין זכותה נפקעת בכך כי שמא ר"ל לא תתן לה מעצמה כי אם ע"פ ב"ד, אלא אפילו אמר אל יפסקו לה ב"ד מזונות מאותו הממון אין שומעין לו</w:t>
      </w:r>
      <w:r w:rsidR="000268C6">
        <w:rPr>
          <w:rFonts w:cs="Arial" w:hint="cs"/>
          <w:rtl/>
        </w:rPr>
        <w:t>,</w:t>
      </w:r>
      <w:r w:rsidR="00C56D1D" w:rsidRPr="00C56D1D">
        <w:rPr>
          <w:rFonts w:cs="Arial"/>
          <w:rtl/>
        </w:rPr>
        <w:t xml:space="preserve"> כי לא כל הימנו שיעשיר עצמו ויפיל זוגתו על הציבור</w:t>
      </w:r>
      <w:r w:rsidR="000268C6">
        <w:rPr>
          <w:rFonts w:cs="Arial" w:hint="cs"/>
          <w:rtl/>
        </w:rPr>
        <w:t>,</w:t>
      </w:r>
      <w:r w:rsidR="00C56D1D" w:rsidRPr="00C56D1D">
        <w:rPr>
          <w:rFonts w:cs="Arial"/>
          <w:rtl/>
        </w:rPr>
        <w:t xml:space="preserve"> ואין מחאתו כלום להפקיע תקנת חכמים שתקנו לפסוק לה מזונות. ומה שאמרת כי יש לנו לומר כי אחד מקרוביו נתן לבת או זה האיש זיכהו לבת מקודם לכן להפקיע ממנו זכות אשתו במתנת בריא שנתנו לבתו מתנה מפקיע זכות כתובת אשתו ומזונותיה מן המטלטלין כי כן אני פוסק ובא ושוב מצאתי כי כל רבותינו שוין בדבר ר"ח ור"ת לומר דדוקא במתנת ש"מ אלמנתו ניזונת מנכסי קרקע ולא במתנת בריא</w:t>
      </w:r>
      <w:r w:rsidR="00F27CCD">
        <w:rPr>
          <w:rFonts w:cs="Arial" w:hint="cs"/>
          <w:rtl/>
        </w:rPr>
        <w:t>,</w:t>
      </w:r>
      <w:r w:rsidR="00C56D1D" w:rsidRPr="00C56D1D">
        <w:rPr>
          <w:rFonts w:cs="Arial"/>
          <w:rtl/>
        </w:rPr>
        <w:t xml:space="preserve"> ומשם יש ללמוד במטלטלין בין בכתובה בין במזונות</w:t>
      </w:r>
      <w:r w:rsidR="00F27CCD">
        <w:rPr>
          <w:rFonts w:cs="Arial" w:hint="cs"/>
          <w:rtl/>
        </w:rPr>
        <w:t>,</w:t>
      </w:r>
      <w:r w:rsidR="00C56D1D" w:rsidRPr="00C56D1D">
        <w:rPr>
          <w:rFonts w:cs="Arial"/>
          <w:rtl/>
        </w:rPr>
        <w:t xml:space="preserve"> והרבה הארכתי בזה הדבר בתשובה אחת לנדיבי קינו"ן, אבל כאן אין לומר לא כך ולא כך</w:t>
      </w:r>
      <w:r w:rsidR="00F27CCD">
        <w:rPr>
          <w:rFonts w:cs="Arial" w:hint="cs"/>
          <w:rtl/>
        </w:rPr>
        <w:t>,</w:t>
      </w:r>
      <w:r w:rsidR="00C56D1D" w:rsidRPr="00C56D1D">
        <w:rPr>
          <w:rFonts w:cs="Arial"/>
          <w:rtl/>
        </w:rPr>
        <w:t xml:space="preserve"> אלא משמע מדבריו של ראובן המפקיד שהממון שלו הוא עדיין ורוצה להפקיעו מאשתו. ומה שאמרתי שהדין עם האשה לתבוע מזונות מאותו ממון, לא ליטול ממנו מה שלותה ואכלה קודם שפסקו לה ב"ד מזונות</w:t>
      </w:r>
      <w:r w:rsidR="00C56D1D">
        <w:rPr>
          <w:rFonts w:cs="Arial" w:hint="cs"/>
          <w:rtl/>
        </w:rPr>
        <w:t>,</w:t>
      </w:r>
      <w:r w:rsidR="00C56D1D" w:rsidRPr="00C56D1D">
        <w:rPr>
          <w:rFonts w:cs="Arial"/>
          <w:rtl/>
        </w:rPr>
        <w:t xml:space="preserve"> כ"א אחרי שפסקו לה יש לה ליטול משל בעלה משם ואילך מה שפסקו לה ב"ד</w:t>
      </w:r>
      <w:r w:rsidR="00C56D1D">
        <w:rPr>
          <w:rStyle w:val="a7"/>
          <w:rFonts w:cs="Arial"/>
          <w:rtl/>
        </w:rPr>
        <w:footnoteReference w:id="302"/>
      </w:r>
      <w:r w:rsidR="00C56D1D" w:rsidRPr="00C56D1D">
        <w:rPr>
          <w:rFonts w:cs="Arial"/>
          <w:rtl/>
        </w:rPr>
        <w:t>. כך אני פוסק ובא מתוך אותה דפרק בתרא דכתובות (קז</w:t>
      </w:r>
      <w:r w:rsidR="00C56D1D">
        <w:rPr>
          <w:rFonts w:cs="Arial" w:hint="cs"/>
          <w:rtl/>
        </w:rPr>
        <w:t>:</w:t>
      </w:r>
      <w:r w:rsidR="00C56D1D" w:rsidRPr="00C56D1D">
        <w:rPr>
          <w:rFonts w:cs="Arial"/>
          <w:rtl/>
        </w:rPr>
        <w:t>). ומה שאמרת שר"ת פסק דלא כר' נתן, כן אמת אבל לאחר כן חזר בו, כן תמצא כתוב בספר הישר שלו (חלק החידושים סי' תרנו) גבי חמש מדות בערבות מן הלוה שאין למלוה על הלוה כלום וגם אין לו במה ליפרע מן הערב שחוזר על הלוה מדרבי נתן דקי"ל כוותיה אפילו בב"ח דעלמא, ושלום יצחק ב"ר שמואל זלה"ה</w:t>
      </w:r>
      <w:r w:rsidR="004A3ACB">
        <w:rPr>
          <w:rFonts w:cs="Arial" w:hint="cs"/>
          <w:sz w:val="16"/>
          <w:szCs w:val="16"/>
          <w:rtl/>
        </w:rPr>
        <w:t xml:space="preserve"> (ל' התשובות מיימוניות)</w:t>
      </w:r>
      <w:r w:rsidR="00C56D1D">
        <w:rPr>
          <w:rFonts w:cs="Arial" w:hint="cs"/>
          <w:rtl/>
        </w:rPr>
        <w:t>.</w:t>
      </w:r>
      <w:r w:rsidR="00C56D1D" w:rsidRPr="00C56D1D">
        <w:rPr>
          <w:rFonts w:cs="Arial"/>
          <w:rtl/>
        </w:rPr>
        <w:t xml:space="preserve"> </w:t>
      </w:r>
      <w:r w:rsidR="00900B9A" w:rsidRPr="00900B9A">
        <w:rPr>
          <w:rFonts w:cs="Arial" w:hint="cs"/>
          <w:color w:val="00B0F0"/>
          <w:rtl/>
        </w:rPr>
        <w:t>(וכ"פ הרמ"א)</w:t>
      </w:r>
    </w:p>
    <w:p w14:paraId="43DF6C3A" w14:textId="4C938B88" w:rsidR="00801B25" w:rsidRPr="00900B9A" w:rsidRDefault="00900B9A" w:rsidP="00801B25">
      <w:pPr>
        <w:rPr>
          <w:u w:val="single"/>
        </w:rPr>
      </w:pPr>
      <w:r w:rsidRPr="00900B9A">
        <w:rPr>
          <w:rFonts w:hint="cs"/>
          <w:u w:val="single"/>
          <w:rtl/>
        </w:rPr>
        <w:t xml:space="preserve">ראובן מחזיק בקרקעות של שמעון, ושמעון הלך למדינת הים, ואשתו תובעת </w:t>
      </w:r>
      <w:r>
        <w:rPr>
          <w:rFonts w:hint="cs"/>
          <w:u w:val="single"/>
          <w:rtl/>
        </w:rPr>
        <w:t xml:space="preserve">מהקרקעות שביד </w:t>
      </w:r>
      <w:r w:rsidRPr="00900B9A">
        <w:rPr>
          <w:rFonts w:hint="cs"/>
          <w:u w:val="single"/>
          <w:rtl/>
        </w:rPr>
        <w:t>ראובן:</w:t>
      </w:r>
    </w:p>
    <w:p w14:paraId="6C7C3C87" w14:textId="6589B9B8" w:rsidR="00B12054" w:rsidRPr="008D03BD" w:rsidRDefault="00B12054" w:rsidP="008D03BD">
      <w:pPr>
        <w:pStyle w:val="ab"/>
        <w:numPr>
          <w:ilvl w:val="0"/>
          <w:numId w:val="2"/>
        </w:numPr>
        <w:rPr>
          <w:rFonts w:cs="Arial"/>
          <w:rtl/>
        </w:rPr>
      </w:pPr>
      <w:r w:rsidRPr="00225601">
        <w:rPr>
          <w:rFonts w:cs="Arial"/>
          <w:rtl/>
        </w:rPr>
        <w:t xml:space="preserve">רשב"א </w:t>
      </w:r>
      <w:r w:rsidRPr="008D03BD">
        <w:rPr>
          <w:rFonts w:cs="Arial"/>
          <w:sz w:val="16"/>
          <w:szCs w:val="16"/>
          <w:rtl/>
        </w:rPr>
        <w:t>(ח"ב סי' שמא)</w:t>
      </w:r>
      <w:r w:rsidR="008D03BD">
        <w:rPr>
          <w:rFonts w:cs="Arial" w:hint="cs"/>
          <w:rtl/>
        </w:rPr>
        <w:t>-</w:t>
      </w:r>
      <w:r w:rsidRPr="00225601">
        <w:rPr>
          <w:rFonts w:cs="Arial"/>
          <w:rtl/>
        </w:rPr>
        <w:t xml:space="preserve"> </w:t>
      </w:r>
      <w:r w:rsidR="008D03BD" w:rsidRPr="008D03BD">
        <w:rPr>
          <w:rFonts w:cs="Arial"/>
          <w:rtl/>
        </w:rPr>
        <w:t>שאלת</w:t>
      </w:r>
      <w:r w:rsidR="008D03BD">
        <w:rPr>
          <w:rFonts w:cs="Arial" w:hint="cs"/>
          <w:rtl/>
        </w:rPr>
        <w:t>,</w:t>
      </w:r>
      <w:r w:rsidR="008D03BD" w:rsidRPr="008D03BD">
        <w:rPr>
          <w:rFonts w:cs="Arial"/>
          <w:rtl/>
        </w:rPr>
        <w:t xml:space="preserve"> ראובן החזיק ארבע וחמש שנים בקרקע א' של שמעון. והלך שמעון בדרך רחוקה והניח קרקעות הרבה בני חורין מלבד זה. ואשתו תובעת מזונות והעמידה בדין ראובן זה שיסתלק מאותו קרקע כדי שתמשכן אותו לצורך מזונותיה. השיב ראובן כי שמעון בעלה השאילו לו כל זמן שלא יהא הוא בעיר ושיש עדים על השאלה ועל החזקה. ושגם היא יודעת כן ומדעתה היה. וכיון שכן אינה יכולה להוציאו ממנו למזונות לפי שאין מוציאין למזונות מנכסים משועבדין. כל שכן שיש כאן נכסים אחרים בני חורין. והבית דין דנו. שלא תועיל הודאת האשה ולא עדים וסלקוהו מן קרקע. הודיעני הדין היאך</w:t>
      </w:r>
      <w:r w:rsidR="008D03BD">
        <w:rPr>
          <w:rFonts w:cs="Arial" w:hint="cs"/>
          <w:rtl/>
        </w:rPr>
        <w:t xml:space="preserve">. </w:t>
      </w:r>
      <w:r w:rsidR="00BC3E19">
        <w:rPr>
          <w:rFonts w:cs="Arial" w:hint="cs"/>
          <w:rtl/>
        </w:rPr>
        <w:t xml:space="preserve">     </w:t>
      </w:r>
      <w:r w:rsidR="008D03BD" w:rsidRPr="008D03BD">
        <w:rPr>
          <w:rFonts w:cs="Arial"/>
          <w:rtl/>
        </w:rPr>
        <w:t>תשובה</w:t>
      </w:r>
      <w:r w:rsidR="007F0A28">
        <w:rPr>
          <w:rFonts w:cs="Arial" w:hint="cs"/>
          <w:rtl/>
        </w:rPr>
        <w:t>:</w:t>
      </w:r>
      <w:r w:rsidR="008D03BD" w:rsidRPr="008D03BD">
        <w:rPr>
          <w:rFonts w:cs="Arial"/>
          <w:rtl/>
        </w:rPr>
        <w:t xml:space="preserve"> מה אני משיב על דברים נעלמים ואתה לא הודעתני דעת הבית דין על מה סמוך לדין כן. אולי טענות יש שעליהם סמך ואנכי לא ידעתי. אך לפי מה שאתה כותב אם אין טענה אחרת לאשה לא ידעתי עיקר לדין זה כלל. שאפילו נכנס ראובן בקרקע אחד של שמעון מעצמו אין האשה בעלת דין שלו</w:t>
      </w:r>
      <w:r w:rsidR="00B63652">
        <w:rPr>
          <w:rFonts w:cs="Arial" w:hint="cs"/>
          <w:rtl/>
        </w:rPr>
        <w:t>,</w:t>
      </w:r>
      <w:r w:rsidR="008D03BD" w:rsidRPr="008D03BD">
        <w:rPr>
          <w:rFonts w:cs="Arial"/>
          <w:rtl/>
        </w:rPr>
        <w:t xml:space="preserve"> ויכול ראובן לטעון לה זילי לאו בעלת דברים שלי את</w:t>
      </w:r>
      <w:r w:rsidR="00B63652">
        <w:rPr>
          <w:rFonts w:cs="Arial" w:hint="cs"/>
          <w:rtl/>
        </w:rPr>
        <w:t>,</w:t>
      </w:r>
      <w:r w:rsidR="008D03BD" w:rsidRPr="008D03BD">
        <w:rPr>
          <w:rFonts w:cs="Arial"/>
          <w:rtl/>
        </w:rPr>
        <w:t xml:space="preserve"> אא</w:t>
      </w:r>
      <w:r w:rsidR="007F0A28">
        <w:rPr>
          <w:rFonts w:cs="Arial" w:hint="cs"/>
          <w:rtl/>
        </w:rPr>
        <w:t>"</w:t>
      </w:r>
      <w:r w:rsidR="008D03BD" w:rsidRPr="008D03BD">
        <w:rPr>
          <w:rFonts w:cs="Arial"/>
          <w:rtl/>
        </w:rPr>
        <w:t>כ היא מורשת משמעון בעלה</w:t>
      </w:r>
      <w:r w:rsidR="0057448A">
        <w:rPr>
          <w:rFonts w:cs="Arial" w:hint="cs"/>
          <w:rtl/>
        </w:rPr>
        <w:t>,</w:t>
      </w:r>
      <w:r w:rsidR="008D03BD" w:rsidRPr="008D03BD">
        <w:rPr>
          <w:rFonts w:cs="Arial"/>
          <w:rtl/>
        </w:rPr>
        <w:t xml:space="preserve"> או שבית דין מעצמן דנין עמו כפי מה שהוא ענין אם נטושין ואם רטושין כפי הדינין הנזכרין במציע' בפרק המפקיד. אבל היא אינ</w:t>
      </w:r>
      <w:r w:rsidR="00E90B4B">
        <w:rPr>
          <w:rFonts w:cs="Arial" w:hint="cs"/>
          <w:rtl/>
        </w:rPr>
        <w:t>ה</w:t>
      </w:r>
      <w:r w:rsidR="008D03BD" w:rsidRPr="008D03BD">
        <w:rPr>
          <w:rFonts w:cs="Arial"/>
          <w:rtl/>
        </w:rPr>
        <w:t xml:space="preserve"> בזה אלא כנכרי</w:t>
      </w:r>
      <w:r w:rsidR="00D917B6">
        <w:rPr>
          <w:rFonts w:cs="Arial" w:hint="cs"/>
          <w:rtl/>
        </w:rPr>
        <w:t>ה</w:t>
      </w:r>
      <w:r w:rsidR="008D03BD" w:rsidRPr="008D03BD">
        <w:rPr>
          <w:rFonts w:cs="Arial"/>
          <w:rtl/>
        </w:rPr>
        <w:t>. זולתי אם תבא לגבות ממנו או כתוב</w:t>
      </w:r>
      <w:r w:rsidR="00D917B6">
        <w:rPr>
          <w:rFonts w:cs="Arial" w:hint="cs"/>
          <w:rtl/>
        </w:rPr>
        <w:t>ה</w:t>
      </w:r>
      <w:r w:rsidR="008D03BD" w:rsidRPr="008D03BD">
        <w:rPr>
          <w:rFonts w:cs="Arial"/>
          <w:rtl/>
        </w:rPr>
        <w:t xml:space="preserve"> או מזונות לפי שורת הדין. וכאן כיון שיש בני חורין אחרים תגבה משאר נכסים. אלא שאיני יכול לברר לך דעתי בעקר הנדון עד שאשמע טענת הדיינין.</w:t>
      </w:r>
      <w:r w:rsidR="00900B9A" w:rsidRPr="00900B9A">
        <w:rPr>
          <w:rFonts w:cs="Arial" w:hint="cs"/>
          <w:color w:val="00B0F0"/>
          <w:rtl/>
        </w:rPr>
        <w:t xml:space="preserve"> (וכ"פ הרמ"א)</w:t>
      </w:r>
    </w:p>
    <w:p w14:paraId="44C879A3" w14:textId="77777777" w:rsidR="00971CA9" w:rsidRDefault="00971CA9" w:rsidP="00971CA9">
      <w:pPr>
        <w:rPr>
          <w:rFonts w:cs="Arial"/>
          <w:rtl/>
        </w:rPr>
      </w:pPr>
      <w:r w:rsidRPr="003024E5">
        <w:rPr>
          <w:rFonts w:asciiTheme="minorBidi" w:hAnsiTheme="minorBidi"/>
          <w:b/>
          <w:bCs/>
          <w:color w:val="000000"/>
          <w:sz w:val="28"/>
          <w:szCs w:val="28"/>
          <w:u w:val="single"/>
          <w:rtl/>
        </w:rPr>
        <w:t>שו"ע:</w:t>
      </w:r>
    </w:p>
    <w:p w14:paraId="3EB0C647" w14:textId="6503994F" w:rsidR="00971CA9" w:rsidRDefault="00971CA9" w:rsidP="00971CA9">
      <w:pPr>
        <w:rPr>
          <w:rtl/>
        </w:rPr>
      </w:pPr>
      <w:r>
        <w:rPr>
          <w:rFonts w:cs="Arial"/>
          <w:rtl/>
        </w:rPr>
        <w:t>מי שהלך למדינת הים והפקיד כלים ביד אחד או השאילום לו, מוציאין מיד הנפקד למזונות אשתו</w:t>
      </w:r>
      <w:r w:rsidR="00262AF6">
        <w:rPr>
          <w:rFonts w:cs="Arial" w:hint="cs"/>
          <w:rtl/>
        </w:rPr>
        <w:t>,</w:t>
      </w:r>
      <w:r>
        <w:rPr>
          <w:rFonts w:cs="Arial"/>
          <w:rtl/>
        </w:rPr>
        <w:t xml:space="preserve"> </w:t>
      </w:r>
      <w:r w:rsidRPr="00B12054">
        <w:rPr>
          <w:rFonts w:cs="Arial"/>
          <w:sz w:val="18"/>
          <w:szCs w:val="18"/>
          <w:rtl/>
        </w:rPr>
        <w:t>הגה: אפילו צוה הבעל שלא ליתן (</w:t>
      </w:r>
      <w:r w:rsidR="000A47A6">
        <w:rPr>
          <w:rFonts w:cs="Arial" w:hint="cs"/>
          <w:sz w:val="18"/>
          <w:szCs w:val="18"/>
          <w:rtl/>
        </w:rPr>
        <w:t>הגה"מ ו</w:t>
      </w:r>
      <w:r w:rsidRPr="00B12054">
        <w:rPr>
          <w:rFonts w:cs="Arial"/>
          <w:sz w:val="18"/>
          <w:szCs w:val="18"/>
          <w:rtl/>
        </w:rPr>
        <w:t>מרדכי). ואם החזיר הנפקד לבעל אחר שתבעתו האשה לדין, חייב לשלם לה (מרדכי)</w:t>
      </w:r>
      <w:r w:rsidR="00801B25">
        <w:rPr>
          <w:rFonts w:cs="Arial" w:hint="cs"/>
          <w:sz w:val="18"/>
          <w:szCs w:val="18"/>
          <w:rtl/>
        </w:rPr>
        <w:t>.</w:t>
      </w:r>
      <w:r w:rsidRPr="00B12054">
        <w:rPr>
          <w:rFonts w:cs="Arial"/>
          <w:sz w:val="18"/>
          <w:szCs w:val="18"/>
          <w:rtl/>
        </w:rPr>
        <w:t xml:space="preserve"> וכשמוציאין מן הנפקד, אין מוציאין רק לששה חדשים, אפילו אם ירצה הנפקד אין מעכבין ממונו של בעל יותר</w:t>
      </w:r>
      <w:r w:rsidR="00900B9A">
        <w:rPr>
          <w:rFonts w:cs="Arial" w:hint="cs"/>
          <w:sz w:val="18"/>
          <w:szCs w:val="18"/>
          <w:rtl/>
        </w:rPr>
        <w:t xml:space="preserve"> (מרדכי)</w:t>
      </w:r>
      <w:r w:rsidRPr="00B12054">
        <w:rPr>
          <w:rFonts w:cs="Arial"/>
          <w:sz w:val="18"/>
          <w:szCs w:val="18"/>
          <w:rtl/>
        </w:rPr>
        <w:t>. ואין מוציאין מנכסים שהם ביד אחרים כל זמן שיש כאן בני חורין (רשב"א)</w:t>
      </w:r>
      <w:r w:rsidR="00262AF6">
        <w:rPr>
          <w:rFonts w:cs="Arial" w:hint="cs"/>
          <w:sz w:val="18"/>
          <w:szCs w:val="18"/>
          <w:rtl/>
        </w:rPr>
        <w:t>,</w:t>
      </w:r>
      <w:r w:rsidRPr="00B12054">
        <w:rPr>
          <w:rFonts w:cs="Arial"/>
          <w:sz w:val="18"/>
          <w:szCs w:val="18"/>
          <w:rtl/>
        </w:rPr>
        <w:t xml:space="preserve"> </w:t>
      </w:r>
      <w:r w:rsidRPr="003F4FC9">
        <w:rPr>
          <w:rFonts w:cs="Arial"/>
          <w:rtl/>
        </w:rPr>
        <w:t>אבל מיד השואל אין מוציאים, עד שיגיע סוף זמן שאלתו.</w:t>
      </w:r>
      <w:r w:rsidRPr="003F4FC9">
        <w:rPr>
          <w:rFonts w:cs="Arial"/>
          <w:sz w:val="26"/>
          <w:szCs w:val="26"/>
          <w:rtl/>
        </w:rPr>
        <w:t xml:space="preserve"> </w:t>
      </w:r>
    </w:p>
    <w:p w14:paraId="094D36CD" w14:textId="77777777" w:rsidR="009049BF" w:rsidRDefault="009049BF" w:rsidP="00971CA9">
      <w:pPr>
        <w:rPr>
          <w:rtl/>
        </w:rPr>
      </w:pPr>
    </w:p>
    <w:p w14:paraId="1EB36B1C" w14:textId="0A5C4CBC" w:rsidR="00971CA9" w:rsidRDefault="00971CA9" w:rsidP="000F64D0">
      <w:pPr>
        <w:pStyle w:val="2"/>
        <w:rPr>
          <w:rtl/>
        </w:rPr>
      </w:pPr>
      <w:r>
        <w:rPr>
          <w:rtl/>
        </w:rPr>
        <w:t>סעיף ח</w:t>
      </w:r>
      <w:r w:rsidR="00900B9A">
        <w:rPr>
          <w:rFonts w:hint="cs"/>
          <w:rtl/>
        </w:rPr>
        <w:t xml:space="preserve">: </w:t>
      </w:r>
      <w:r w:rsidR="0042200F">
        <w:rPr>
          <w:rFonts w:hint="cs"/>
          <w:rtl/>
        </w:rPr>
        <w:t>אשה שקיבלה</w:t>
      </w:r>
      <w:r w:rsidR="000F4A74">
        <w:rPr>
          <w:rFonts w:hint="cs"/>
          <w:rtl/>
        </w:rPr>
        <w:t>/הלותה</w:t>
      </w:r>
      <w:r w:rsidR="0042200F">
        <w:rPr>
          <w:rFonts w:hint="cs"/>
          <w:rtl/>
        </w:rPr>
        <w:t xml:space="preserve"> </w:t>
      </w:r>
      <w:r w:rsidR="000F4A74">
        <w:rPr>
          <w:rFonts w:hint="cs"/>
          <w:rtl/>
        </w:rPr>
        <w:t>ל</w:t>
      </w:r>
      <w:r w:rsidR="0042200F">
        <w:rPr>
          <w:rFonts w:hint="cs"/>
          <w:rtl/>
        </w:rPr>
        <w:t>מזונותיה מאדם אחר.</w:t>
      </w:r>
    </w:p>
    <w:p w14:paraId="46AB7EBC" w14:textId="6D60C073" w:rsidR="00F86A82" w:rsidRDefault="00F86A82" w:rsidP="00F86A82">
      <w:pPr>
        <w:rPr>
          <w:rFonts w:cs="Arial"/>
          <w:rtl/>
        </w:rPr>
      </w:pPr>
      <w:r w:rsidRPr="0089574F">
        <w:rPr>
          <w:rFonts w:cs="Arial" w:hint="cs"/>
          <w:b/>
          <w:bCs/>
          <w:rtl/>
        </w:rPr>
        <w:t xml:space="preserve">כתובות </w:t>
      </w:r>
      <w:r w:rsidRPr="0089574F">
        <w:rPr>
          <w:rFonts w:cs="Arial" w:hint="cs"/>
          <w:b/>
          <w:bCs/>
          <w:sz w:val="16"/>
          <w:szCs w:val="16"/>
          <w:rtl/>
        </w:rPr>
        <w:t>(פ' שני דייני)</w:t>
      </w:r>
      <w:r w:rsidRPr="0089574F">
        <w:rPr>
          <w:rFonts w:cs="Arial" w:hint="cs"/>
          <w:b/>
          <w:bCs/>
          <w:rtl/>
        </w:rPr>
        <w:t xml:space="preserve"> ק</w:t>
      </w:r>
      <w:r>
        <w:rPr>
          <w:rFonts w:cs="Arial" w:hint="cs"/>
          <w:b/>
          <w:bCs/>
          <w:rtl/>
        </w:rPr>
        <w:t>ז</w:t>
      </w:r>
      <w:r w:rsidR="009149AB">
        <w:rPr>
          <w:rStyle w:val="a7"/>
          <w:rFonts w:cs="Arial"/>
          <w:b/>
          <w:bCs/>
          <w:rtl/>
        </w:rPr>
        <w:footnoteReference w:id="303"/>
      </w:r>
      <w:r w:rsidRPr="0089574F">
        <w:rPr>
          <w:rFonts w:cs="Arial" w:hint="cs"/>
          <w:b/>
          <w:bCs/>
          <w:rtl/>
        </w:rPr>
        <w:t xml:space="preserve"> ע"ב:</w:t>
      </w:r>
      <w:r>
        <w:rPr>
          <w:rFonts w:cs="Arial" w:hint="cs"/>
          <w:rtl/>
        </w:rPr>
        <w:t xml:space="preserve"> </w:t>
      </w:r>
      <w:r w:rsidRPr="0089574F">
        <w:rPr>
          <w:rFonts w:cs="Arial"/>
          <w:u w:val="double"/>
          <w:rtl/>
        </w:rPr>
        <w:t>מתני</w:t>
      </w:r>
      <w:r w:rsidRPr="0089574F">
        <w:rPr>
          <w:rFonts w:cs="Arial" w:hint="cs"/>
          <w:u w:val="double"/>
          <w:rtl/>
        </w:rPr>
        <w:t>'</w:t>
      </w:r>
      <w:r>
        <w:rPr>
          <w:rFonts w:cs="Arial" w:hint="cs"/>
          <w:rtl/>
        </w:rPr>
        <w:t>:</w:t>
      </w:r>
      <w:r w:rsidRPr="0042200F">
        <w:rPr>
          <w:rFonts w:cs="Arial"/>
          <w:rtl/>
        </w:rPr>
        <w:t xml:space="preserve"> מי שהלך למדינת הים, ועמד אחד ופירנס את אשתו, </w:t>
      </w:r>
      <w:r w:rsidRPr="000F4A74">
        <w:rPr>
          <w:rFonts w:cs="Arial"/>
          <w:u w:val="single"/>
          <w:rtl/>
        </w:rPr>
        <w:t>חנן אומר</w:t>
      </w:r>
      <w:r w:rsidRPr="0042200F">
        <w:rPr>
          <w:rFonts w:cs="Arial"/>
          <w:rtl/>
        </w:rPr>
        <w:t>: איבד את מעותיו</w:t>
      </w:r>
      <w:r w:rsidR="000F4A74">
        <w:rPr>
          <w:rFonts w:cs="Arial" w:hint="cs"/>
          <w:rtl/>
        </w:rPr>
        <w:t>.</w:t>
      </w:r>
      <w:r w:rsidRPr="0042200F">
        <w:rPr>
          <w:rFonts w:cs="Arial"/>
          <w:rtl/>
        </w:rPr>
        <w:t xml:space="preserve"> </w:t>
      </w:r>
      <w:r w:rsidRPr="000F4A74">
        <w:rPr>
          <w:rFonts w:cs="Arial"/>
          <w:u w:val="single"/>
          <w:rtl/>
        </w:rPr>
        <w:t>נחלקו עליו בני כהנים גדולים ואמרו</w:t>
      </w:r>
      <w:r w:rsidRPr="0042200F">
        <w:rPr>
          <w:rFonts w:cs="Arial"/>
          <w:rtl/>
        </w:rPr>
        <w:t xml:space="preserve">: ישבע כמה הוציא ויטול. </w:t>
      </w:r>
      <w:r w:rsidRPr="000F4A74">
        <w:rPr>
          <w:rFonts w:cs="Arial"/>
          <w:u w:val="single"/>
          <w:rtl/>
        </w:rPr>
        <w:t>א"ר דוסא בן הרכינס</w:t>
      </w:r>
      <w:r w:rsidRPr="0042200F">
        <w:rPr>
          <w:rFonts w:cs="Arial"/>
          <w:rtl/>
        </w:rPr>
        <w:t xml:space="preserve">: כדבריהם. </w:t>
      </w:r>
      <w:r w:rsidRPr="000F4A74">
        <w:rPr>
          <w:rFonts w:cs="Arial"/>
          <w:u w:val="single"/>
          <w:rtl/>
        </w:rPr>
        <w:t>א"ר יוחנן בן זכאי</w:t>
      </w:r>
      <w:r w:rsidRPr="0042200F">
        <w:rPr>
          <w:rFonts w:cs="Arial"/>
          <w:rtl/>
        </w:rPr>
        <w:t xml:space="preserve">: יפה אמר חנן הניח מעותיו על קרן הצבי. </w:t>
      </w:r>
      <w:r>
        <w:rPr>
          <w:rFonts w:cs="Arial" w:hint="cs"/>
          <w:rtl/>
        </w:rPr>
        <w:t xml:space="preserve">        </w:t>
      </w:r>
      <w:r w:rsidRPr="000951DA">
        <w:rPr>
          <w:rFonts w:cs="Arial" w:hint="cs"/>
          <w:u w:val="double"/>
          <w:rtl/>
        </w:rPr>
        <w:t>גמ'</w:t>
      </w:r>
      <w:r w:rsidRPr="000951DA">
        <w:rPr>
          <w:rFonts w:hint="cs"/>
          <w:sz w:val="14"/>
          <w:szCs w:val="14"/>
          <w:u w:val="double"/>
          <w:rtl/>
        </w:rPr>
        <w:t>(קט.)</w:t>
      </w:r>
      <w:r w:rsidRPr="000951DA">
        <w:rPr>
          <w:rFonts w:cs="Arial" w:hint="cs"/>
          <w:u w:val="double"/>
          <w:rtl/>
        </w:rPr>
        <w:t>:</w:t>
      </w:r>
      <w:r w:rsidRPr="000951DA">
        <w:rPr>
          <w:rFonts w:cs="Arial" w:hint="cs"/>
          <w:rtl/>
        </w:rPr>
        <w:t xml:space="preserve"> </w:t>
      </w:r>
      <w:r w:rsidRPr="00DC6EE6">
        <w:rPr>
          <w:rFonts w:cs="Arial"/>
          <w:u w:val="single"/>
          <w:rtl/>
        </w:rPr>
        <w:t>אמר ר' זירא אמר רבה בר ירמיה</w:t>
      </w:r>
      <w:r w:rsidRPr="00D611D4">
        <w:rPr>
          <w:rFonts w:cs="Arial"/>
          <w:rtl/>
        </w:rPr>
        <w:t>: ב' דברים שאמר חנן - הלכה כיוצא בו, שבעה דברים שאמר אדמון - אין הלכה כיוצא בו. מאי קאמר?</w:t>
      </w:r>
      <w:r>
        <w:rPr>
          <w:rFonts w:cs="Arial" w:hint="cs"/>
          <w:rtl/>
        </w:rPr>
        <w:t>...</w:t>
      </w:r>
      <w:r w:rsidRPr="00D611D4">
        <w:rPr>
          <w:rFonts w:cs="Arial"/>
          <w:rtl/>
        </w:rPr>
        <w:t xml:space="preserve"> אלא ה"ק: שני דברי' שאמר חנן - </w:t>
      </w:r>
      <w:r w:rsidRPr="00D611D4">
        <w:rPr>
          <w:rFonts w:cs="Arial"/>
          <w:rtl/>
        </w:rPr>
        <w:lastRenderedPageBreak/>
        <w:t>הלכה כמותו וכיוצא בו, שבעה דברים שאמר אדמון - יש מהן שהלכה כמותו וכיוצא בו, ויש מהן שאין הלכה כמותו אלא כיוצא בו, בכ"מ שאמר רבן גמליאל רואה אני את דברי אדמון - הלכה כמותו, אינך לא.</w:t>
      </w:r>
    </w:p>
    <w:p w14:paraId="7F8FDCD5" w14:textId="32CD3168" w:rsidR="00900B9A" w:rsidRPr="00900B9A" w:rsidRDefault="0042200F" w:rsidP="00900B9A">
      <w:pPr>
        <w:rPr>
          <w:u w:val="single"/>
          <w:rtl/>
        </w:rPr>
      </w:pPr>
      <w:r w:rsidRPr="0042200F">
        <w:rPr>
          <w:rFonts w:hint="cs"/>
          <w:u w:val="single"/>
          <w:rtl/>
        </w:rPr>
        <w:t>אשה שקיבלה מזונותיה מאדם אחר</w:t>
      </w:r>
      <w:r w:rsidR="00900B9A" w:rsidRPr="00900B9A">
        <w:rPr>
          <w:rFonts w:hint="cs"/>
          <w:u w:val="single"/>
          <w:rtl/>
        </w:rPr>
        <w:t>:</w:t>
      </w:r>
    </w:p>
    <w:p w14:paraId="1802A210" w14:textId="46AEF69D" w:rsidR="0042200F" w:rsidRDefault="00C6165E" w:rsidP="00C6165E">
      <w:pPr>
        <w:pStyle w:val="ab"/>
        <w:numPr>
          <w:ilvl w:val="0"/>
          <w:numId w:val="2"/>
        </w:numPr>
      </w:pPr>
      <w:r w:rsidRPr="00C6165E">
        <w:rPr>
          <w:rFonts w:cs="Arial" w:hint="cs"/>
          <w:rtl/>
        </w:rPr>
        <w:t>טור</w:t>
      </w:r>
      <w:r w:rsidR="00F86A82">
        <w:rPr>
          <w:rFonts w:cs="Arial" w:hint="cs"/>
          <w:rtl/>
        </w:rPr>
        <w:t xml:space="preserve"> והה"מ </w:t>
      </w:r>
      <w:r w:rsidR="00F86A82">
        <w:rPr>
          <w:rFonts w:cs="Arial" w:hint="cs"/>
          <w:sz w:val="16"/>
          <w:szCs w:val="16"/>
          <w:rtl/>
        </w:rPr>
        <w:t>(פי"ב מאישות הי"ט)</w:t>
      </w:r>
      <w:r w:rsidRPr="00C6165E">
        <w:rPr>
          <w:rFonts w:cs="Arial" w:hint="cs"/>
          <w:rtl/>
        </w:rPr>
        <w:t xml:space="preserve">- </w:t>
      </w:r>
      <w:r w:rsidRPr="00C6165E">
        <w:rPr>
          <w:rFonts w:cs="Arial"/>
          <w:rtl/>
        </w:rPr>
        <w:t xml:space="preserve">אם עמד אחד ופרנסה מדעתו </w:t>
      </w:r>
      <w:r w:rsidR="0042200F">
        <w:rPr>
          <w:rFonts w:cs="Arial" w:hint="cs"/>
          <w:rtl/>
        </w:rPr>
        <w:t xml:space="preserve">- </w:t>
      </w:r>
      <w:r w:rsidRPr="00C6165E">
        <w:rPr>
          <w:rFonts w:cs="Arial"/>
          <w:rtl/>
        </w:rPr>
        <w:t>אין הבעל חייב לשלם</w:t>
      </w:r>
      <w:r w:rsidR="0042200F">
        <w:rPr>
          <w:rFonts w:cs="Arial" w:hint="cs"/>
          <w:rtl/>
        </w:rPr>
        <w:t>,</w:t>
      </w:r>
      <w:r w:rsidRPr="00C6165E">
        <w:rPr>
          <w:rFonts w:cs="Arial"/>
          <w:rtl/>
        </w:rPr>
        <w:t xml:space="preserve"> כיון שלא צוה לו לפרנסה</w:t>
      </w:r>
      <w:r w:rsidR="005A3477">
        <w:rPr>
          <w:rFonts w:cs="Arial" w:hint="cs"/>
          <w:sz w:val="16"/>
          <w:szCs w:val="16"/>
          <w:rtl/>
        </w:rPr>
        <w:t xml:space="preserve"> (ל' הטור)</w:t>
      </w:r>
      <w:r>
        <w:rPr>
          <w:rFonts w:hint="cs"/>
          <w:rtl/>
        </w:rPr>
        <w:t>.</w:t>
      </w:r>
      <w:r w:rsidRPr="00C6165E">
        <w:rPr>
          <w:rtl/>
        </w:rPr>
        <w:t xml:space="preserve"> </w:t>
      </w:r>
      <w:r w:rsidR="003F4FC9" w:rsidRPr="003F4FC9">
        <w:rPr>
          <w:rFonts w:hint="cs"/>
          <w:color w:val="E36C0A" w:themeColor="accent6" w:themeShade="BF"/>
          <w:rtl/>
        </w:rPr>
        <w:t>(וכ"פ בשו"ע)</w:t>
      </w:r>
    </w:p>
    <w:p w14:paraId="768A7BAE" w14:textId="7F35B303" w:rsidR="00682B29" w:rsidRDefault="00F86A82" w:rsidP="00F86A82">
      <w:pPr>
        <w:pStyle w:val="ab"/>
        <w:numPr>
          <w:ilvl w:val="0"/>
          <w:numId w:val="2"/>
        </w:numPr>
      </w:pPr>
      <w:r w:rsidRPr="00F86A82">
        <w:rPr>
          <w:rFonts w:cs="Arial"/>
          <w:rtl/>
        </w:rPr>
        <w:t>רשב"א</w:t>
      </w:r>
      <w:r w:rsidRPr="00F86A82">
        <w:rPr>
          <w:rFonts w:cs="Arial"/>
          <w:sz w:val="16"/>
          <w:szCs w:val="16"/>
          <w:rtl/>
        </w:rPr>
        <w:t xml:space="preserve"> </w:t>
      </w:r>
      <w:r>
        <w:rPr>
          <w:rFonts w:cs="Arial" w:hint="cs"/>
          <w:sz w:val="16"/>
          <w:szCs w:val="16"/>
          <w:rtl/>
        </w:rPr>
        <w:t xml:space="preserve">(כ"כ </w:t>
      </w:r>
      <w:r w:rsidRPr="00F86A82">
        <w:rPr>
          <w:rFonts w:cs="Arial"/>
          <w:sz w:val="16"/>
          <w:szCs w:val="16"/>
          <w:rtl/>
        </w:rPr>
        <w:t xml:space="preserve">הר"ן </w:t>
      </w:r>
      <w:r>
        <w:rPr>
          <w:rFonts w:cs="Arial" w:hint="cs"/>
          <w:sz w:val="16"/>
          <w:szCs w:val="16"/>
          <w:rtl/>
        </w:rPr>
        <w:t>בשמו [</w:t>
      </w:r>
      <w:r w:rsidRPr="00F86A82">
        <w:rPr>
          <w:rFonts w:cs="Arial"/>
          <w:sz w:val="16"/>
          <w:szCs w:val="16"/>
          <w:rtl/>
        </w:rPr>
        <w:t>שם סג. ד"ה מתני'</w:t>
      </w:r>
      <w:r w:rsidRPr="00F86A82">
        <w:rPr>
          <w:rFonts w:cs="Arial" w:hint="cs"/>
          <w:sz w:val="16"/>
          <w:szCs w:val="16"/>
          <w:rtl/>
        </w:rPr>
        <w:t>,</w:t>
      </w:r>
      <w:r w:rsidRPr="00F86A82">
        <w:rPr>
          <w:rFonts w:cs="Arial"/>
          <w:sz w:val="16"/>
          <w:szCs w:val="16"/>
          <w:rtl/>
        </w:rPr>
        <w:t xml:space="preserve"> ובנדרים לג: ד"ה גזירה</w:t>
      </w:r>
      <w:r>
        <w:rPr>
          <w:rFonts w:cs="Arial" w:hint="cs"/>
          <w:sz w:val="16"/>
          <w:szCs w:val="16"/>
          <w:rtl/>
        </w:rPr>
        <w:t>]</w:t>
      </w:r>
      <w:r w:rsidRPr="00F86A82">
        <w:rPr>
          <w:rFonts w:cs="Arial"/>
          <w:sz w:val="16"/>
          <w:szCs w:val="16"/>
          <w:rtl/>
        </w:rPr>
        <w:t>)</w:t>
      </w:r>
      <w:r>
        <w:rPr>
          <w:rFonts w:cs="Arial" w:hint="cs"/>
          <w:rtl/>
        </w:rPr>
        <w:t xml:space="preserve">- </w:t>
      </w:r>
      <w:r w:rsidRPr="00F86A82">
        <w:rPr>
          <w:rFonts w:cs="Arial"/>
          <w:rtl/>
        </w:rPr>
        <w:t>דוקא במפרש שמחמת מזונות שחייב לה בעלה הוא נותן לה</w:t>
      </w:r>
      <w:r>
        <w:rPr>
          <w:rFonts w:cs="Arial" w:hint="cs"/>
          <w:rtl/>
        </w:rPr>
        <w:t>,</w:t>
      </w:r>
      <w:r w:rsidRPr="00F86A82">
        <w:rPr>
          <w:rFonts w:cs="Arial"/>
          <w:rtl/>
        </w:rPr>
        <w:t xml:space="preserve"> דבכ</w:t>
      </w:r>
      <w:r>
        <w:rPr>
          <w:rFonts w:cs="Arial" w:hint="cs"/>
          <w:rtl/>
        </w:rPr>
        <w:t>ה"ג</w:t>
      </w:r>
      <w:r w:rsidRPr="00F86A82">
        <w:rPr>
          <w:rFonts w:cs="Arial"/>
          <w:rtl/>
        </w:rPr>
        <w:t xml:space="preserve"> הוה ליה כפורע חובו של חבירו שהוא פטור</w:t>
      </w:r>
      <w:r>
        <w:rPr>
          <w:rFonts w:cs="Arial" w:hint="cs"/>
          <w:rtl/>
        </w:rPr>
        <w:t>.</w:t>
      </w:r>
      <w:r w:rsidRPr="00F86A82">
        <w:rPr>
          <w:rFonts w:cs="Arial"/>
          <w:rtl/>
        </w:rPr>
        <w:t xml:space="preserve"> אבל פירנס סתם</w:t>
      </w:r>
      <w:r>
        <w:rPr>
          <w:rFonts w:cs="Arial" w:hint="cs"/>
          <w:rtl/>
        </w:rPr>
        <w:t xml:space="preserve"> -</w:t>
      </w:r>
      <w:r w:rsidRPr="00F86A82">
        <w:rPr>
          <w:rFonts w:cs="Arial"/>
          <w:rtl/>
        </w:rPr>
        <w:t xml:space="preserve"> חוזר וגובה</w:t>
      </w:r>
      <w:r w:rsidR="0025586C">
        <w:rPr>
          <w:rStyle w:val="a7"/>
          <w:rFonts w:cs="Arial"/>
          <w:rtl/>
        </w:rPr>
        <w:footnoteReference w:id="304"/>
      </w:r>
      <w:r>
        <w:rPr>
          <w:rFonts w:cs="Arial" w:hint="cs"/>
          <w:rtl/>
        </w:rPr>
        <w:t>,</w:t>
      </w:r>
      <w:r w:rsidRPr="00F86A82">
        <w:rPr>
          <w:rFonts w:cs="Arial"/>
          <w:rtl/>
        </w:rPr>
        <w:t xml:space="preserve"> לפי שכל המפרנס סתם אינו מפרנס אלא בתורת הלואה וה"ל כלותה ואכלה</w:t>
      </w:r>
      <w:r>
        <w:rPr>
          <w:rStyle w:val="a7"/>
          <w:rFonts w:cs="Arial"/>
          <w:rtl/>
        </w:rPr>
        <w:footnoteReference w:id="305"/>
      </w:r>
      <w:r>
        <w:rPr>
          <w:rFonts w:cs="Arial" w:hint="cs"/>
          <w:rtl/>
        </w:rPr>
        <w:t>.</w:t>
      </w:r>
    </w:p>
    <w:p w14:paraId="10BDFF65" w14:textId="404E0373" w:rsidR="00821590" w:rsidRPr="00821590" w:rsidRDefault="00821590" w:rsidP="00821590">
      <w:pPr>
        <w:rPr>
          <w:rFonts w:cs="Arial"/>
          <w:rtl/>
        </w:rPr>
      </w:pPr>
      <w:r w:rsidRPr="00821590">
        <w:rPr>
          <w:rFonts w:cs="Arial" w:hint="cs"/>
          <w:b/>
          <w:bCs/>
          <w:rtl/>
        </w:rPr>
        <w:t xml:space="preserve">כתובות </w:t>
      </w:r>
      <w:r w:rsidRPr="00821590">
        <w:rPr>
          <w:rFonts w:cs="Arial" w:hint="cs"/>
          <w:b/>
          <w:bCs/>
          <w:sz w:val="16"/>
          <w:szCs w:val="16"/>
          <w:rtl/>
        </w:rPr>
        <w:t>(פ' שני דייני)</w:t>
      </w:r>
      <w:r w:rsidRPr="00821590">
        <w:rPr>
          <w:rFonts w:cs="Arial" w:hint="cs"/>
          <w:b/>
          <w:bCs/>
          <w:rtl/>
        </w:rPr>
        <w:t xml:space="preserve"> קז</w:t>
      </w:r>
      <w:r w:rsidR="00477155" w:rsidRPr="00477155">
        <w:rPr>
          <w:rStyle w:val="a7"/>
          <w:rFonts w:cs="Arial"/>
          <w:rtl/>
        </w:rPr>
        <w:footnoteReference w:id="306"/>
      </w:r>
      <w:r w:rsidRPr="00821590">
        <w:rPr>
          <w:rFonts w:cs="Arial" w:hint="cs"/>
          <w:b/>
          <w:bCs/>
          <w:rtl/>
        </w:rPr>
        <w:t xml:space="preserve"> ע"ב:</w:t>
      </w:r>
      <w:r w:rsidRPr="00821590">
        <w:rPr>
          <w:rFonts w:cs="Arial" w:hint="cs"/>
          <w:rtl/>
        </w:rPr>
        <w:t xml:space="preserve"> </w:t>
      </w:r>
      <w:r w:rsidRPr="00821590">
        <w:rPr>
          <w:rFonts w:cs="Arial"/>
          <w:rtl/>
        </w:rPr>
        <w:t>תא שמע: כיצד אמרו ממאנת אין לה מזונות? אי אתה יכול לומר ביושבת תחת בעלה, שהרי בעלה חייב במזונות, אלא כגון שהלך בעלה למדינת הים, לותה ואכלה עמדה ומיאנה</w:t>
      </w:r>
      <w:r w:rsidRPr="00821590">
        <w:rPr>
          <w:rFonts w:cs="Arial" w:hint="cs"/>
          <w:rtl/>
        </w:rPr>
        <w:t>.</w:t>
      </w:r>
      <w:r w:rsidRPr="00821590">
        <w:rPr>
          <w:rFonts w:cs="Arial"/>
          <w:rtl/>
        </w:rPr>
        <w:t xml:space="preserve"> טעמא דמיאנה, הא לא מיאנה יהבינן לה! </w:t>
      </w:r>
      <w:r w:rsidRPr="00821590">
        <w:rPr>
          <w:rFonts w:cs="Arial" w:hint="cs"/>
          <w:sz w:val="16"/>
          <w:szCs w:val="16"/>
          <w:rtl/>
        </w:rPr>
        <w:t>(</w:t>
      </w:r>
      <w:r w:rsidRPr="00821590">
        <w:rPr>
          <w:rFonts w:cs="Arial"/>
          <w:sz w:val="16"/>
          <w:szCs w:val="16"/>
          <w:rtl/>
        </w:rPr>
        <w:t>וכתב הרי"ף (סג.) על זה</w:t>
      </w:r>
      <w:r w:rsidR="00BE5104">
        <w:rPr>
          <w:rFonts w:cs="Arial" w:hint="cs"/>
          <w:sz w:val="16"/>
          <w:szCs w:val="16"/>
          <w:rtl/>
        </w:rPr>
        <w:t>:</w:t>
      </w:r>
      <w:r w:rsidRPr="00821590">
        <w:rPr>
          <w:rFonts w:cs="Arial"/>
          <w:sz w:val="16"/>
          <w:szCs w:val="16"/>
          <w:rtl/>
        </w:rPr>
        <w:t xml:space="preserve"> ש"מ דהא דאמר חנן הניח מעותיו על קרן הצבי הני מילי פירנס</w:t>
      </w:r>
      <w:r w:rsidR="00712FD4">
        <w:rPr>
          <w:rFonts w:cs="Arial" w:hint="cs"/>
          <w:sz w:val="16"/>
          <w:szCs w:val="16"/>
          <w:rtl/>
        </w:rPr>
        <w:t>,</w:t>
      </w:r>
      <w:r w:rsidRPr="00821590">
        <w:rPr>
          <w:rFonts w:cs="Arial"/>
          <w:sz w:val="16"/>
          <w:szCs w:val="16"/>
          <w:rtl/>
        </w:rPr>
        <w:t xml:space="preserve"> אבל לותה ואכלה מוציאין ממנו</w:t>
      </w:r>
      <w:r w:rsidR="00712FD4">
        <w:rPr>
          <w:rFonts w:cs="Arial" w:hint="cs"/>
          <w:sz w:val="16"/>
          <w:szCs w:val="16"/>
          <w:rtl/>
        </w:rPr>
        <w:t>.</w:t>
      </w:r>
      <w:r w:rsidRPr="00821590">
        <w:rPr>
          <w:rFonts w:cs="Arial"/>
          <w:sz w:val="16"/>
          <w:szCs w:val="16"/>
          <w:rtl/>
        </w:rPr>
        <w:t xml:space="preserve"> ותו גרסינן בפרק יש מותרות (יבמות פה.) בעא מיניה רבי אלעזר מרבי יוחנן אלמנה לכהן גדול גרושה וחלוצה לכהן הדיוט יש להן מזונות או לא</w:t>
      </w:r>
      <w:r w:rsidR="00712FD4">
        <w:rPr>
          <w:rFonts w:cs="Arial" w:hint="cs"/>
          <w:sz w:val="16"/>
          <w:szCs w:val="16"/>
          <w:rtl/>
        </w:rPr>
        <w:t>,</w:t>
      </w:r>
      <w:r w:rsidRPr="00821590">
        <w:rPr>
          <w:rFonts w:cs="Arial"/>
          <w:sz w:val="16"/>
          <w:szCs w:val="16"/>
          <w:rtl/>
        </w:rPr>
        <w:t xml:space="preserve"> ואמרינן היכי דמי אי ביושבת תחתיו בעמוד והוצא קאי מזוני אית לה</w:t>
      </w:r>
      <w:r w:rsidR="00712FD4">
        <w:rPr>
          <w:rFonts w:cs="Arial" w:hint="cs"/>
          <w:sz w:val="16"/>
          <w:szCs w:val="16"/>
          <w:rtl/>
        </w:rPr>
        <w:t>?</w:t>
      </w:r>
      <w:r w:rsidRPr="00821590">
        <w:rPr>
          <w:rFonts w:cs="Arial"/>
          <w:sz w:val="16"/>
          <w:szCs w:val="16"/>
          <w:rtl/>
        </w:rPr>
        <w:t xml:space="preserve"> לא צריכא כגון שהלך בעלה למדינת הים ולותה ואכלה</w:t>
      </w:r>
      <w:r w:rsidR="00712FD4">
        <w:rPr>
          <w:rFonts w:cs="Arial" w:hint="cs"/>
          <w:sz w:val="16"/>
          <w:szCs w:val="16"/>
          <w:rtl/>
        </w:rPr>
        <w:t>.</w:t>
      </w:r>
      <w:r w:rsidRPr="00821590">
        <w:rPr>
          <w:rFonts w:cs="Arial"/>
          <w:sz w:val="16"/>
          <w:szCs w:val="16"/>
          <w:rtl/>
        </w:rPr>
        <w:t xml:space="preserve"> ש"מ דכל אשה שהלך בעלה למדינת הים ולותה ואכלה שהבעל חייב לפרוע</w:t>
      </w:r>
      <w:r w:rsidR="00712FD4">
        <w:rPr>
          <w:rFonts w:cs="Arial" w:hint="cs"/>
          <w:sz w:val="16"/>
          <w:szCs w:val="16"/>
          <w:rtl/>
        </w:rPr>
        <w:t>,</w:t>
      </w:r>
      <w:r w:rsidRPr="00821590">
        <w:rPr>
          <w:rFonts w:cs="Arial"/>
          <w:sz w:val="16"/>
          <w:szCs w:val="16"/>
          <w:rtl/>
        </w:rPr>
        <w:t xml:space="preserve"> וכן הלכתא עכ"ל</w:t>
      </w:r>
      <w:r w:rsidRPr="00821590">
        <w:rPr>
          <w:rFonts w:cs="Arial" w:hint="cs"/>
          <w:sz w:val="16"/>
          <w:szCs w:val="16"/>
          <w:rtl/>
        </w:rPr>
        <w:t>, ב"י)</w:t>
      </w:r>
    </w:p>
    <w:p w14:paraId="15937E01" w14:textId="36F8D6BD" w:rsidR="00821590" w:rsidRDefault="00821590" w:rsidP="00821590">
      <w:r w:rsidRPr="0042200F">
        <w:rPr>
          <w:rFonts w:hint="cs"/>
          <w:u w:val="single"/>
          <w:rtl/>
        </w:rPr>
        <w:t>אשה שקיבלה מזונותיה מאדם אחר</w:t>
      </w:r>
      <w:r>
        <w:rPr>
          <w:rFonts w:hint="cs"/>
          <w:u w:val="single"/>
          <w:rtl/>
        </w:rPr>
        <w:t xml:space="preserve"> </w:t>
      </w:r>
      <w:r w:rsidRPr="00821590">
        <w:rPr>
          <w:rFonts w:hint="cs"/>
          <w:b/>
          <w:bCs/>
          <w:u w:val="single"/>
          <w:rtl/>
        </w:rPr>
        <w:t>בהלואה</w:t>
      </w:r>
      <w:r>
        <w:rPr>
          <w:rFonts w:hint="cs"/>
          <w:u w:val="single"/>
          <w:rtl/>
        </w:rPr>
        <w:t>:</w:t>
      </w:r>
    </w:p>
    <w:p w14:paraId="70AE77BF" w14:textId="3B041C46" w:rsidR="0042200F" w:rsidRDefault="00821590" w:rsidP="00C6165E">
      <w:pPr>
        <w:pStyle w:val="ab"/>
        <w:numPr>
          <w:ilvl w:val="0"/>
          <w:numId w:val="2"/>
        </w:numPr>
      </w:pPr>
      <w:r>
        <w:rPr>
          <w:rFonts w:hint="cs"/>
          <w:rtl/>
        </w:rPr>
        <w:t xml:space="preserve">רי"ף </w:t>
      </w:r>
      <w:r>
        <w:rPr>
          <w:rFonts w:hint="cs"/>
          <w:sz w:val="16"/>
          <w:szCs w:val="16"/>
          <w:rtl/>
        </w:rPr>
        <w:t>(סג.)</w:t>
      </w:r>
      <w:r>
        <w:rPr>
          <w:rFonts w:hint="cs"/>
          <w:rtl/>
        </w:rPr>
        <w:t xml:space="preserve"> </w:t>
      </w:r>
      <w:r w:rsidR="000E0921">
        <w:rPr>
          <w:rFonts w:hint="cs"/>
          <w:rtl/>
        </w:rPr>
        <w:t xml:space="preserve">רא"ש </w:t>
      </w:r>
      <w:r w:rsidR="000E0921">
        <w:rPr>
          <w:rFonts w:hint="cs"/>
          <w:sz w:val="16"/>
          <w:szCs w:val="16"/>
          <w:rtl/>
        </w:rPr>
        <w:t>(פי"ג סי' ה)</w:t>
      </w:r>
      <w:r w:rsidR="000E0921">
        <w:rPr>
          <w:rFonts w:hint="cs"/>
          <w:rtl/>
        </w:rPr>
        <w:t xml:space="preserve"> ו</w:t>
      </w:r>
      <w:r w:rsidR="0042200F">
        <w:rPr>
          <w:rFonts w:hint="cs"/>
          <w:rtl/>
        </w:rPr>
        <w:t xml:space="preserve">טור- </w:t>
      </w:r>
      <w:r w:rsidR="00C6165E" w:rsidRPr="00C6165E">
        <w:rPr>
          <w:rFonts w:cs="Arial"/>
          <w:rtl/>
        </w:rPr>
        <w:t xml:space="preserve">אבל אם לותה בעדים </w:t>
      </w:r>
      <w:r w:rsidR="0042200F">
        <w:rPr>
          <w:rFonts w:cs="Arial" w:hint="cs"/>
          <w:rtl/>
        </w:rPr>
        <w:t xml:space="preserve">- </w:t>
      </w:r>
      <w:r w:rsidR="00C6165E" w:rsidRPr="00C6165E">
        <w:rPr>
          <w:rFonts w:cs="Arial"/>
          <w:rtl/>
        </w:rPr>
        <w:t>חייב לשלם לזה שלותה ממנו</w:t>
      </w:r>
      <w:r>
        <w:rPr>
          <w:rFonts w:cs="Arial" w:hint="cs"/>
          <w:sz w:val="16"/>
          <w:szCs w:val="16"/>
          <w:rtl/>
        </w:rPr>
        <w:t xml:space="preserve"> (ל' הטור)</w:t>
      </w:r>
      <w:r w:rsidR="0042200F">
        <w:rPr>
          <w:rFonts w:cs="Arial" w:hint="cs"/>
          <w:rtl/>
        </w:rPr>
        <w:t>.</w:t>
      </w:r>
      <w:r w:rsidR="00C6165E" w:rsidRPr="00C6165E">
        <w:rPr>
          <w:rFonts w:cs="Arial"/>
          <w:rtl/>
        </w:rPr>
        <w:t xml:space="preserve"> </w:t>
      </w:r>
      <w:r w:rsidR="003F4FC9" w:rsidRPr="003F4FC9">
        <w:rPr>
          <w:rFonts w:hint="cs"/>
          <w:color w:val="E36C0A" w:themeColor="accent6" w:themeShade="BF"/>
          <w:rtl/>
        </w:rPr>
        <w:t>(וכ"פ בשו"ע)</w:t>
      </w:r>
    </w:p>
    <w:p w14:paraId="60D86327" w14:textId="601F1C86" w:rsidR="0042200F" w:rsidRPr="000E0921" w:rsidRDefault="0042200F" w:rsidP="000E0921">
      <w:pPr>
        <w:ind w:left="360"/>
        <w:rPr>
          <w:u w:val="dotted"/>
        </w:rPr>
      </w:pPr>
      <w:r w:rsidRPr="0042200F">
        <w:rPr>
          <w:rFonts w:hint="cs"/>
          <w:u w:val="dotted"/>
          <w:rtl/>
        </w:rPr>
        <w:t>האם מדובר שלותה אחרי שפסקו לה ב</w:t>
      </w:r>
      <w:r>
        <w:rPr>
          <w:rFonts w:hint="cs"/>
          <w:u w:val="dotted"/>
          <w:rtl/>
        </w:rPr>
        <w:t>"</w:t>
      </w:r>
      <w:r w:rsidRPr="0042200F">
        <w:rPr>
          <w:rFonts w:hint="cs"/>
          <w:u w:val="dotted"/>
          <w:rtl/>
        </w:rPr>
        <w:t>ד או אף בלא פסיקת ב"ד</w:t>
      </w:r>
      <w:r w:rsidR="000E0921">
        <w:rPr>
          <w:rFonts w:hint="cs"/>
          <w:u w:val="dotted"/>
          <w:rtl/>
        </w:rPr>
        <w:t>:</w:t>
      </w:r>
    </w:p>
    <w:p w14:paraId="255E8F45" w14:textId="6500372F" w:rsidR="00821590" w:rsidRPr="00821590" w:rsidRDefault="00B12054" w:rsidP="000E0921">
      <w:pPr>
        <w:pStyle w:val="ab"/>
        <w:numPr>
          <w:ilvl w:val="0"/>
          <w:numId w:val="2"/>
        </w:numPr>
      </w:pPr>
      <w:r w:rsidRPr="00821590">
        <w:rPr>
          <w:rFonts w:cs="Arial"/>
          <w:rtl/>
        </w:rPr>
        <w:t>תוס</w:t>
      </w:r>
      <w:r w:rsidR="00821590">
        <w:rPr>
          <w:rFonts w:cs="Arial" w:hint="cs"/>
          <w:rtl/>
        </w:rPr>
        <w:t>'</w:t>
      </w:r>
      <w:r w:rsidRPr="00821590">
        <w:rPr>
          <w:rFonts w:cs="Arial"/>
          <w:rtl/>
        </w:rPr>
        <w:t xml:space="preserve"> </w:t>
      </w:r>
      <w:r w:rsidRPr="00821590">
        <w:rPr>
          <w:rFonts w:cs="Arial"/>
          <w:sz w:val="16"/>
          <w:szCs w:val="16"/>
          <w:rtl/>
        </w:rPr>
        <w:t>(קז. ד"ה ואם בא ואמר לה</w:t>
      </w:r>
      <w:r w:rsidR="000E0921">
        <w:rPr>
          <w:rFonts w:cs="Arial" w:hint="cs"/>
          <w:sz w:val="16"/>
          <w:szCs w:val="16"/>
          <w:rtl/>
        </w:rPr>
        <w:t>, כ"כ הרא"ש בשמם וכ"כ הטור בשם ר"י</w:t>
      </w:r>
      <w:r w:rsidRPr="00821590">
        <w:rPr>
          <w:rFonts w:cs="Arial"/>
          <w:sz w:val="16"/>
          <w:szCs w:val="16"/>
          <w:rtl/>
        </w:rPr>
        <w:t>)</w:t>
      </w:r>
      <w:r w:rsidR="000E0921">
        <w:rPr>
          <w:rFonts w:cs="Arial" w:hint="cs"/>
          <w:rtl/>
        </w:rPr>
        <w:t>-</w:t>
      </w:r>
      <w:r w:rsidR="000E0921" w:rsidRPr="000E0921">
        <w:rPr>
          <w:rFonts w:cs="Arial"/>
          <w:rtl/>
        </w:rPr>
        <w:t xml:space="preserve"> </w:t>
      </w:r>
      <w:r w:rsidR="000E0921" w:rsidRPr="00C6165E">
        <w:rPr>
          <w:rFonts w:cs="Arial"/>
          <w:rtl/>
        </w:rPr>
        <w:t>דוקא שלותה אחר שפסקו לה ב"ד</w:t>
      </w:r>
      <w:r w:rsidR="000E0921">
        <w:rPr>
          <w:rFonts w:cs="Arial" w:hint="cs"/>
          <w:rtl/>
        </w:rPr>
        <w:t>,</w:t>
      </w:r>
      <w:r w:rsidR="000E0921" w:rsidRPr="00C6165E">
        <w:rPr>
          <w:rFonts w:cs="Arial"/>
          <w:rtl/>
        </w:rPr>
        <w:t xml:space="preserve"> אבל אם לותה קודם שפסקו לה ב"ד </w:t>
      </w:r>
      <w:r w:rsidR="000E0921">
        <w:rPr>
          <w:rFonts w:cs="Arial" w:hint="cs"/>
          <w:rtl/>
        </w:rPr>
        <w:t xml:space="preserve">- </w:t>
      </w:r>
      <w:r w:rsidR="000E0921" w:rsidRPr="00C6165E">
        <w:rPr>
          <w:rFonts w:cs="Arial"/>
          <w:rtl/>
        </w:rPr>
        <w:t>אם ירצה לא ישלם</w:t>
      </w:r>
      <w:r w:rsidR="000E0921">
        <w:rPr>
          <w:rFonts w:cs="Arial" w:hint="cs"/>
          <w:rtl/>
        </w:rPr>
        <w:t>,</w:t>
      </w:r>
      <w:r w:rsidR="000E0921" w:rsidRPr="00C6165E">
        <w:rPr>
          <w:rFonts w:cs="Arial"/>
          <w:rtl/>
        </w:rPr>
        <w:t xml:space="preserve"> כי יאמר </w:t>
      </w:r>
      <w:r w:rsidR="000E0921">
        <w:rPr>
          <w:rFonts w:cs="Arial" w:hint="cs"/>
          <w:rtl/>
        </w:rPr>
        <w:t>'</w:t>
      </w:r>
      <w:r w:rsidR="000E0921" w:rsidRPr="00C6165E">
        <w:rPr>
          <w:rFonts w:cs="Arial"/>
          <w:rtl/>
        </w:rPr>
        <w:t>היה לה להתפרנס ממעשה ידיה</w:t>
      </w:r>
      <w:r w:rsidR="000E0921">
        <w:rPr>
          <w:rFonts w:cs="Arial" w:hint="cs"/>
          <w:rtl/>
        </w:rPr>
        <w:t>'</w:t>
      </w:r>
      <w:r w:rsidR="000E0921">
        <w:rPr>
          <w:rStyle w:val="a7"/>
          <w:rFonts w:cs="Arial"/>
          <w:rtl/>
        </w:rPr>
        <w:footnoteReference w:id="307"/>
      </w:r>
      <w:r w:rsidR="000E0921">
        <w:rPr>
          <w:rFonts w:cs="Arial" w:hint="cs"/>
          <w:rtl/>
        </w:rPr>
        <w:t>.</w:t>
      </w:r>
    </w:p>
    <w:p w14:paraId="7BD16098" w14:textId="1E6EC585" w:rsidR="009D210E" w:rsidRPr="009D210E" w:rsidRDefault="00821590" w:rsidP="009D210E">
      <w:pPr>
        <w:pStyle w:val="ab"/>
        <w:numPr>
          <w:ilvl w:val="0"/>
          <w:numId w:val="2"/>
        </w:numPr>
      </w:pPr>
      <w:r w:rsidRPr="00821590">
        <w:rPr>
          <w:rFonts w:cs="Arial"/>
          <w:rtl/>
        </w:rPr>
        <w:t xml:space="preserve">רא"ש </w:t>
      </w:r>
      <w:r w:rsidRPr="000E0921">
        <w:rPr>
          <w:rFonts w:cs="Arial"/>
          <w:sz w:val="16"/>
          <w:szCs w:val="16"/>
          <w:rtl/>
        </w:rPr>
        <w:t>(פי"ג סי' ה)</w:t>
      </w:r>
      <w:r w:rsidR="000E0921">
        <w:rPr>
          <w:rFonts w:cs="Arial" w:hint="cs"/>
          <w:rtl/>
        </w:rPr>
        <w:t xml:space="preserve">- </w:t>
      </w:r>
      <w:r w:rsidR="000E0921">
        <w:rPr>
          <w:rStyle w:val="a7"/>
          <w:rFonts w:cs="Arial"/>
          <w:rtl/>
        </w:rPr>
        <w:footnoteReference w:id="308"/>
      </w:r>
      <w:r w:rsidR="00B12054" w:rsidRPr="00821590">
        <w:rPr>
          <w:rFonts w:cs="Arial"/>
          <w:rtl/>
        </w:rPr>
        <w:t>אם לוותה בעדים אף בלא פסק דין חייב לפרוע</w:t>
      </w:r>
      <w:r w:rsidR="00D077E3">
        <w:rPr>
          <w:rFonts w:cs="Arial" w:hint="cs"/>
          <w:rtl/>
        </w:rPr>
        <w:t>,</w:t>
      </w:r>
      <w:r w:rsidR="00B12054" w:rsidRPr="00821590">
        <w:rPr>
          <w:rFonts w:cs="Arial"/>
          <w:rtl/>
        </w:rPr>
        <w:t xml:space="preserve"> ומוציא מן הבעל מה שהלוה לו מדרבי נתן. </w:t>
      </w:r>
    </w:p>
    <w:p w14:paraId="32802542" w14:textId="538CDD4B" w:rsidR="009D210E" w:rsidRPr="009D210E" w:rsidRDefault="009D210E" w:rsidP="009D210E">
      <w:pPr>
        <w:ind w:left="360"/>
        <w:rPr>
          <w:u w:val="dotted"/>
        </w:rPr>
      </w:pPr>
      <w:r w:rsidRPr="009D210E">
        <w:rPr>
          <w:rFonts w:hint="cs"/>
          <w:u w:val="dotted"/>
          <w:rtl/>
        </w:rPr>
        <w:t xml:space="preserve">כשבא הבעל חוב לגבות חובו </w:t>
      </w:r>
      <w:r w:rsidR="00CC67AB">
        <w:rPr>
          <w:rFonts w:hint="cs"/>
          <w:u w:val="dotted"/>
          <w:rtl/>
        </w:rPr>
        <w:t xml:space="preserve">- </w:t>
      </w:r>
      <w:r w:rsidRPr="009D210E">
        <w:rPr>
          <w:rFonts w:hint="cs"/>
          <w:u w:val="dotted"/>
          <w:rtl/>
        </w:rPr>
        <w:t>את מי הוא תובע:</w:t>
      </w:r>
    </w:p>
    <w:p w14:paraId="79B7D554" w14:textId="08B6847C" w:rsidR="009D210E" w:rsidRPr="009D210E" w:rsidRDefault="009D210E" w:rsidP="009D210E">
      <w:pPr>
        <w:pStyle w:val="ab"/>
        <w:numPr>
          <w:ilvl w:val="0"/>
          <w:numId w:val="2"/>
        </w:numPr>
      </w:pPr>
      <w:r>
        <w:rPr>
          <w:rFonts w:cs="Arial" w:hint="cs"/>
          <w:rtl/>
        </w:rPr>
        <w:t xml:space="preserve">רש"י </w:t>
      </w:r>
      <w:r w:rsidRPr="009D210E">
        <w:rPr>
          <w:rFonts w:cs="Arial" w:hint="cs"/>
          <w:sz w:val="16"/>
          <w:szCs w:val="16"/>
          <w:rtl/>
        </w:rPr>
        <w:t>(</w:t>
      </w:r>
      <w:r>
        <w:rPr>
          <w:rFonts w:cs="Arial" w:hint="cs"/>
          <w:sz w:val="16"/>
          <w:szCs w:val="16"/>
          <w:rtl/>
        </w:rPr>
        <w:t xml:space="preserve">קז: ד"ה חנן אומר, הביאו </w:t>
      </w:r>
      <w:r w:rsidR="00B12054" w:rsidRPr="009D210E">
        <w:rPr>
          <w:rFonts w:cs="Arial"/>
          <w:sz w:val="16"/>
          <w:szCs w:val="16"/>
          <w:rtl/>
        </w:rPr>
        <w:t xml:space="preserve">הר"ן </w:t>
      </w:r>
      <w:r w:rsidRPr="009D210E">
        <w:rPr>
          <w:rFonts w:cs="Arial" w:hint="cs"/>
          <w:sz w:val="16"/>
          <w:szCs w:val="16"/>
          <w:rtl/>
        </w:rPr>
        <w:t>בשמו [</w:t>
      </w:r>
      <w:r w:rsidR="00B12054" w:rsidRPr="009D210E">
        <w:rPr>
          <w:rFonts w:cs="Arial"/>
          <w:sz w:val="16"/>
          <w:szCs w:val="16"/>
          <w:rtl/>
        </w:rPr>
        <w:t>סג. ד"ה מתני'</w:t>
      </w:r>
      <w:r w:rsidRPr="009D210E">
        <w:rPr>
          <w:rFonts w:cs="Arial" w:hint="cs"/>
          <w:sz w:val="16"/>
          <w:szCs w:val="16"/>
          <w:rtl/>
        </w:rPr>
        <w:t>]</w:t>
      </w:r>
      <w:r w:rsidR="00B12054" w:rsidRPr="009D210E">
        <w:rPr>
          <w:rFonts w:cs="Arial"/>
          <w:sz w:val="16"/>
          <w:szCs w:val="16"/>
          <w:rtl/>
        </w:rPr>
        <w:t>)</w:t>
      </w:r>
      <w:r>
        <w:rPr>
          <w:rFonts w:cs="Arial" w:hint="cs"/>
          <w:rtl/>
        </w:rPr>
        <w:t>-</w:t>
      </w:r>
      <w:r w:rsidR="00B12054" w:rsidRPr="009D210E">
        <w:rPr>
          <w:rFonts w:cs="Arial"/>
          <w:rtl/>
        </w:rPr>
        <w:t xml:space="preserve"> </w:t>
      </w:r>
      <w:r w:rsidRPr="009D210E">
        <w:rPr>
          <w:rFonts w:cs="Arial"/>
          <w:rtl/>
        </w:rPr>
        <w:t>אם הלוה את האשה מעות למזונותיה על מנת שתשלם לו הוא תובעה והיא תובעת הבעל וישלם</w:t>
      </w:r>
      <w:r>
        <w:rPr>
          <w:rFonts w:cs="Arial" w:hint="cs"/>
          <w:rtl/>
        </w:rPr>
        <w:t>.</w:t>
      </w:r>
      <w:r w:rsidR="00DB7826" w:rsidRPr="00DB7826">
        <w:rPr>
          <w:rFonts w:hint="cs"/>
          <w:color w:val="00B0F0"/>
          <w:rtl/>
        </w:rPr>
        <w:t xml:space="preserve"> (וכ"פ הרמ"א)</w:t>
      </w:r>
    </w:p>
    <w:p w14:paraId="03AD3FF5" w14:textId="77777777" w:rsidR="002457A1" w:rsidRPr="002457A1" w:rsidRDefault="00B12054" w:rsidP="002457A1">
      <w:pPr>
        <w:pStyle w:val="ab"/>
        <w:numPr>
          <w:ilvl w:val="0"/>
          <w:numId w:val="2"/>
        </w:numPr>
      </w:pPr>
      <w:r w:rsidRPr="009D210E">
        <w:rPr>
          <w:rFonts w:cs="Arial"/>
          <w:rtl/>
        </w:rPr>
        <w:t xml:space="preserve">רא"ה </w:t>
      </w:r>
      <w:r w:rsidR="009D210E" w:rsidRPr="009D210E">
        <w:rPr>
          <w:rFonts w:cs="Arial" w:hint="cs"/>
          <w:sz w:val="16"/>
          <w:szCs w:val="16"/>
          <w:rtl/>
        </w:rPr>
        <w:t xml:space="preserve">(כ"כ </w:t>
      </w:r>
      <w:r w:rsidR="009D210E" w:rsidRPr="009D210E">
        <w:rPr>
          <w:rFonts w:cs="Arial"/>
          <w:sz w:val="16"/>
          <w:szCs w:val="16"/>
          <w:rtl/>
        </w:rPr>
        <w:t xml:space="preserve">הר"ן </w:t>
      </w:r>
      <w:r w:rsidR="009D210E" w:rsidRPr="009D210E">
        <w:rPr>
          <w:rFonts w:cs="Arial" w:hint="cs"/>
          <w:sz w:val="16"/>
          <w:szCs w:val="16"/>
          <w:rtl/>
        </w:rPr>
        <w:t>בשמו [</w:t>
      </w:r>
      <w:r w:rsidR="009D210E" w:rsidRPr="009D210E">
        <w:rPr>
          <w:rFonts w:cs="Arial"/>
          <w:sz w:val="16"/>
          <w:szCs w:val="16"/>
          <w:rtl/>
        </w:rPr>
        <w:t>סג. ד"ה מתני'</w:t>
      </w:r>
      <w:r w:rsidR="009D210E" w:rsidRPr="009D210E">
        <w:rPr>
          <w:rFonts w:cs="Arial" w:hint="cs"/>
          <w:sz w:val="16"/>
          <w:szCs w:val="16"/>
          <w:rtl/>
        </w:rPr>
        <w:t>]</w:t>
      </w:r>
      <w:r w:rsidR="009D210E" w:rsidRPr="009D210E">
        <w:rPr>
          <w:rFonts w:cs="Arial"/>
          <w:sz w:val="16"/>
          <w:szCs w:val="16"/>
          <w:rtl/>
        </w:rPr>
        <w:t>)</w:t>
      </w:r>
      <w:r w:rsidR="009D210E">
        <w:rPr>
          <w:rFonts w:cs="Arial" w:hint="cs"/>
          <w:rtl/>
        </w:rPr>
        <w:t>-</w:t>
      </w:r>
      <w:r w:rsidR="009D210E" w:rsidRPr="009D210E">
        <w:rPr>
          <w:rFonts w:cs="Arial"/>
          <w:rtl/>
        </w:rPr>
        <w:t xml:space="preserve"> </w:t>
      </w:r>
      <w:r w:rsidRPr="009D210E">
        <w:rPr>
          <w:rFonts w:cs="Arial"/>
          <w:rtl/>
        </w:rPr>
        <w:t>עיקר חיובו של מלוה על הבעל הוא</w:t>
      </w:r>
      <w:r w:rsidR="009D210E">
        <w:rPr>
          <w:rFonts w:cs="Arial" w:hint="cs"/>
          <w:rtl/>
        </w:rPr>
        <w:t>,</w:t>
      </w:r>
      <w:r w:rsidRPr="009D210E">
        <w:rPr>
          <w:rFonts w:cs="Arial"/>
          <w:rtl/>
        </w:rPr>
        <w:t xml:space="preserve"> ומיהו היכא דלית ליה לבעל היא חייבת שאף היא נשתעבדה לו</w:t>
      </w:r>
      <w:r>
        <w:rPr>
          <w:rStyle w:val="a7"/>
          <w:rFonts w:cs="Arial"/>
          <w:rtl/>
        </w:rPr>
        <w:footnoteReference w:id="309"/>
      </w:r>
      <w:r w:rsidR="001D6658" w:rsidRPr="004C175D">
        <w:rPr>
          <w:rFonts w:cs="Arial" w:hint="cs"/>
          <w:rtl/>
        </w:rPr>
        <w:t>.</w:t>
      </w:r>
    </w:p>
    <w:p w14:paraId="742AACBC" w14:textId="04C138D0" w:rsidR="004C175D" w:rsidRPr="00520DDF" w:rsidRDefault="004C175D" w:rsidP="002457A1">
      <w:pPr>
        <w:ind w:left="720"/>
        <w:rPr>
          <w:u w:val="wave"/>
        </w:rPr>
      </w:pPr>
      <w:r w:rsidRPr="00520DDF">
        <w:rPr>
          <w:rFonts w:hint="cs"/>
          <w:u w:val="wave"/>
          <w:rtl/>
        </w:rPr>
        <w:t>ומה הדין אם האשה מחלה לבעלה על החוב:</w:t>
      </w:r>
    </w:p>
    <w:p w14:paraId="0A558357" w14:textId="64089D78" w:rsidR="004C175D" w:rsidRDefault="004C175D" w:rsidP="004C175D">
      <w:pPr>
        <w:pStyle w:val="ab"/>
        <w:numPr>
          <w:ilvl w:val="0"/>
          <w:numId w:val="2"/>
        </w:numPr>
      </w:pPr>
      <w:r w:rsidRPr="00B12054">
        <w:rPr>
          <w:rFonts w:cs="Arial"/>
          <w:rtl/>
        </w:rPr>
        <w:t xml:space="preserve">מרדכי </w:t>
      </w:r>
      <w:r w:rsidRPr="004C175D">
        <w:rPr>
          <w:rFonts w:cs="Arial" w:hint="cs"/>
          <w:sz w:val="16"/>
          <w:szCs w:val="16"/>
          <w:rtl/>
        </w:rPr>
        <w:t>(</w:t>
      </w:r>
      <w:r w:rsidRPr="004C175D">
        <w:rPr>
          <w:rFonts w:cs="Arial"/>
          <w:sz w:val="16"/>
          <w:szCs w:val="16"/>
          <w:rtl/>
        </w:rPr>
        <w:t>ס</w:t>
      </w:r>
      <w:r w:rsidRPr="004C175D">
        <w:rPr>
          <w:rFonts w:cs="Arial" w:hint="cs"/>
          <w:sz w:val="16"/>
          <w:szCs w:val="16"/>
          <w:rtl/>
        </w:rPr>
        <w:t>"</w:t>
      </w:r>
      <w:r w:rsidRPr="004C175D">
        <w:rPr>
          <w:rFonts w:cs="Arial"/>
          <w:sz w:val="16"/>
          <w:szCs w:val="16"/>
          <w:rtl/>
        </w:rPr>
        <w:t>פ יש נוחלין ב"ב סי' תקצו)</w:t>
      </w:r>
      <w:r>
        <w:rPr>
          <w:rFonts w:cs="Arial" w:hint="cs"/>
          <w:rtl/>
        </w:rPr>
        <w:t>-</w:t>
      </w:r>
      <w:r w:rsidRPr="00B12054">
        <w:rPr>
          <w:rFonts w:cs="Arial"/>
          <w:rtl/>
        </w:rPr>
        <w:t xml:space="preserve"> אף לדברי רבי נתן אם מחלה האשה לבעל </w:t>
      </w:r>
      <w:r>
        <w:rPr>
          <w:rFonts w:cs="Arial" w:hint="cs"/>
          <w:rtl/>
        </w:rPr>
        <w:t xml:space="preserve">- </w:t>
      </w:r>
      <w:r w:rsidRPr="00B12054">
        <w:rPr>
          <w:rFonts w:cs="Arial"/>
          <w:rtl/>
        </w:rPr>
        <w:t>אין למלוה כלום.</w:t>
      </w:r>
      <w:r w:rsidR="00DB7826">
        <w:rPr>
          <w:rFonts w:hint="cs"/>
          <w:rtl/>
        </w:rPr>
        <w:t xml:space="preserve"> </w:t>
      </w:r>
      <w:r w:rsidR="00DB7826" w:rsidRPr="00DB7826">
        <w:rPr>
          <w:rFonts w:hint="cs"/>
          <w:color w:val="00B0F0"/>
          <w:rtl/>
        </w:rPr>
        <w:t>(וכ"פ הרמ"א)</w:t>
      </w:r>
    </w:p>
    <w:p w14:paraId="5B470EEC" w14:textId="77777777" w:rsidR="005B6722" w:rsidRPr="00C57942" w:rsidRDefault="005B6722" w:rsidP="005B6722">
      <w:pPr>
        <w:ind w:left="360"/>
        <w:rPr>
          <w:u w:val="dotted"/>
        </w:rPr>
      </w:pPr>
      <w:r w:rsidRPr="00C57942">
        <w:rPr>
          <w:rFonts w:hint="cs"/>
          <w:u w:val="dotted"/>
          <w:rtl/>
        </w:rPr>
        <w:t>האם צריכה לומר בשעת ההלואה שלשם מזונותיה היא לוה:</w:t>
      </w:r>
    </w:p>
    <w:p w14:paraId="50146613" w14:textId="77777777" w:rsidR="005B6722" w:rsidRDefault="005B6722" w:rsidP="005B6722">
      <w:pPr>
        <w:pStyle w:val="ab"/>
        <w:numPr>
          <w:ilvl w:val="0"/>
          <w:numId w:val="2"/>
        </w:numPr>
      </w:pPr>
      <w:r w:rsidRPr="003760A7">
        <w:rPr>
          <w:rFonts w:cs="Arial"/>
          <w:rtl/>
        </w:rPr>
        <w:t xml:space="preserve">בעל התרומות </w:t>
      </w:r>
      <w:r w:rsidRPr="003760A7">
        <w:rPr>
          <w:rFonts w:cs="Arial" w:hint="cs"/>
          <w:sz w:val="16"/>
          <w:szCs w:val="16"/>
          <w:rtl/>
        </w:rPr>
        <w:t>(</w:t>
      </w:r>
      <w:r w:rsidRPr="003760A7">
        <w:rPr>
          <w:rFonts w:cs="Arial"/>
          <w:sz w:val="16"/>
          <w:szCs w:val="16"/>
          <w:rtl/>
        </w:rPr>
        <w:t>שער סה ח"א או</w:t>
      </w:r>
      <w:r>
        <w:rPr>
          <w:rFonts w:cs="Arial" w:hint="cs"/>
          <w:sz w:val="16"/>
          <w:szCs w:val="16"/>
          <w:rtl/>
        </w:rPr>
        <w:t>ת</w:t>
      </w:r>
      <w:r w:rsidRPr="003760A7">
        <w:rPr>
          <w:rFonts w:cs="Arial"/>
          <w:sz w:val="16"/>
          <w:szCs w:val="16"/>
          <w:rtl/>
        </w:rPr>
        <w:t xml:space="preserve"> ד</w:t>
      </w:r>
      <w:r>
        <w:rPr>
          <w:rFonts w:cs="Arial" w:hint="cs"/>
          <w:sz w:val="16"/>
          <w:szCs w:val="16"/>
          <w:rtl/>
        </w:rPr>
        <w:t xml:space="preserve">) </w:t>
      </w:r>
      <w:r w:rsidRPr="00640321">
        <w:rPr>
          <w:rFonts w:cs="Arial" w:hint="cs"/>
          <w:rtl/>
        </w:rPr>
        <w:t>בשם ר</w:t>
      </w:r>
      <w:r>
        <w:rPr>
          <w:rFonts w:cs="Arial" w:hint="cs"/>
          <w:rtl/>
        </w:rPr>
        <w:t>בי</w:t>
      </w:r>
      <w:r w:rsidRPr="00640321">
        <w:rPr>
          <w:rFonts w:cs="Arial" w:hint="cs"/>
          <w:rtl/>
        </w:rPr>
        <w:t xml:space="preserve"> יצחק</w:t>
      </w:r>
      <w:r>
        <w:rPr>
          <w:rFonts w:cs="Arial" w:hint="cs"/>
          <w:rtl/>
        </w:rPr>
        <w:t>-</w:t>
      </w:r>
      <w:r w:rsidRPr="003760A7">
        <w:rPr>
          <w:rFonts w:cs="Arial"/>
          <w:rtl/>
        </w:rPr>
        <w:t xml:space="preserve"> ומסתברא דכיון דהאשה לקחה המעות בתורת הלואה מבעל המעות אע</w:t>
      </w:r>
      <w:r>
        <w:rPr>
          <w:rFonts w:cs="Arial" w:hint="cs"/>
          <w:rtl/>
        </w:rPr>
        <w:t>"</w:t>
      </w:r>
      <w:r w:rsidRPr="003760A7">
        <w:rPr>
          <w:rFonts w:cs="Arial"/>
          <w:rtl/>
        </w:rPr>
        <w:t xml:space="preserve">פ שלא אמרה בפני העדים בפירוש </w:t>
      </w:r>
      <w:r w:rsidRPr="003760A7">
        <w:rPr>
          <w:rFonts w:cs="Arial" w:hint="cs"/>
          <w:rtl/>
        </w:rPr>
        <w:t>'</w:t>
      </w:r>
      <w:r w:rsidRPr="003760A7">
        <w:rPr>
          <w:rFonts w:cs="Arial"/>
          <w:rtl/>
        </w:rPr>
        <w:t>למזונות אני לוה</w:t>
      </w:r>
      <w:r w:rsidRPr="003760A7">
        <w:rPr>
          <w:rFonts w:cs="Arial" w:hint="cs"/>
          <w:rtl/>
        </w:rPr>
        <w:t>'</w:t>
      </w:r>
      <w:r w:rsidRPr="003760A7">
        <w:rPr>
          <w:rFonts w:cs="Arial"/>
          <w:rtl/>
        </w:rPr>
        <w:t xml:space="preserve"> ואף לא אמר המלוה </w:t>
      </w:r>
      <w:r w:rsidRPr="003760A7">
        <w:rPr>
          <w:rFonts w:cs="Arial" w:hint="cs"/>
          <w:rtl/>
        </w:rPr>
        <w:t>'</w:t>
      </w:r>
      <w:r w:rsidRPr="003760A7">
        <w:rPr>
          <w:rFonts w:cs="Arial"/>
          <w:rtl/>
        </w:rPr>
        <w:t xml:space="preserve">למזונותיה אני מלוה </w:t>
      </w:r>
      <w:r w:rsidRPr="003760A7">
        <w:rPr>
          <w:rFonts w:cs="Arial"/>
          <w:rtl/>
        </w:rPr>
        <w:lastRenderedPageBreak/>
        <w:t>לה</w:t>
      </w:r>
      <w:r w:rsidRPr="003760A7">
        <w:rPr>
          <w:rFonts w:cs="Arial" w:hint="cs"/>
          <w:rtl/>
        </w:rPr>
        <w:t>'</w:t>
      </w:r>
      <w:r w:rsidRPr="003760A7">
        <w:rPr>
          <w:rFonts w:cs="Arial"/>
          <w:rtl/>
        </w:rPr>
        <w:t xml:space="preserve"> כיון דבשעת תביעה הודית היא דלמזונותיה לותה והוא מודה דלא הניח לה מזונות </w:t>
      </w:r>
      <w:r w:rsidRPr="003760A7">
        <w:rPr>
          <w:rFonts w:cs="Arial" w:hint="cs"/>
          <w:rtl/>
        </w:rPr>
        <w:t xml:space="preserve">- </w:t>
      </w:r>
      <w:r w:rsidRPr="003760A7">
        <w:rPr>
          <w:rFonts w:cs="Arial"/>
          <w:rtl/>
        </w:rPr>
        <w:t xml:space="preserve">הרי זה נפרע ממנו דהא לא תנן אלא </w:t>
      </w:r>
      <w:r w:rsidRPr="003760A7">
        <w:rPr>
          <w:rFonts w:cs="Arial" w:hint="cs"/>
          <w:rtl/>
        </w:rPr>
        <w:t>'</w:t>
      </w:r>
      <w:r w:rsidRPr="003760A7">
        <w:rPr>
          <w:rFonts w:cs="Arial"/>
          <w:rtl/>
        </w:rPr>
        <w:t>לותה ואכלה</w:t>
      </w:r>
      <w:r w:rsidRPr="003760A7">
        <w:rPr>
          <w:rFonts w:cs="Arial" w:hint="cs"/>
          <w:rtl/>
        </w:rPr>
        <w:t>'</w:t>
      </w:r>
      <w:r w:rsidRPr="003760A7">
        <w:rPr>
          <w:rFonts w:cs="Arial"/>
          <w:rtl/>
        </w:rPr>
        <w:t xml:space="preserve">. </w:t>
      </w:r>
    </w:p>
    <w:p w14:paraId="399CC7C9" w14:textId="6770E25E" w:rsidR="005B6722" w:rsidRPr="00553A29" w:rsidRDefault="005B6722" w:rsidP="005B6722">
      <w:pPr>
        <w:ind w:left="360"/>
        <w:rPr>
          <w:u w:val="dotted"/>
        </w:rPr>
      </w:pPr>
      <w:r w:rsidRPr="00553A29">
        <w:rPr>
          <w:rFonts w:hint="cs"/>
          <w:u w:val="dotted"/>
          <w:rtl/>
        </w:rPr>
        <w:t>מה הדין אם לותה בפני בעלה או שצוה שלא להלוותה:</w:t>
      </w:r>
    </w:p>
    <w:p w14:paraId="4EA93E8A" w14:textId="77777777" w:rsidR="005B6722" w:rsidRPr="00E33410" w:rsidRDefault="005B6722" w:rsidP="005B6722">
      <w:pPr>
        <w:pStyle w:val="ab"/>
        <w:numPr>
          <w:ilvl w:val="0"/>
          <w:numId w:val="2"/>
        </w:numPr>
      </w:pPr>
      <w:r>
        <w:rPr>
          <w:rFonts w:cs="Arial" w:hint="cs"/>
          <w:rtl/>
        </w:rPr>
        <w:t xml:space="preserve">רבי יצחק </w:t>
      </w:r>
      <w:r w:rsidRPr="00640321">
        <w:rPr>
          <w:rFonts w:cs="Arial" w:hint="cs"/>
          <w:sz w:val="16"/>
          <w:szCs w:val="16"/>
          <w:rtl/>
        </w:rPr>
        <w:t>(</w:t>
      </w:r>
      <w:r>
        <w:rPr>
          <w:rFonts w:cs="Arial" w:hint="cs"/>
          <w:sz w:val="16"/>
          <w:szCs w:val="16"/>
          <w:rtl/>
        </w:rPr>
        <w:t xml:space="preserve">הביאו </w:t>
      </w:r>
      <w:r w:rsidRPr="00640321">
        <w:rPr>
          <w:rFonts w:cs="Arial"/>
          <w:sz w:val="16"/>
          <w:szCs w:val="16"/>
          <w:rtl/>
        </w:rPr>
        <w:t xml:space="preserve">בעל התרומות </w:t>
      </w:r>
      <w:r>
        <w:rPr>
          <w:rFonts w:cs="Arial" w:hint="cs"/>
          <w:sz w:val="16"/>
          <w:szCs w:val="16"/>
          <w:rtl/>
        </w:rPr>
        <w:t>[</w:t>
      </w:r>
      <w:r w:rsidRPr="003760A7">
        <w:rPr>
          <w:rFonts w:cs="Arial"/>
          <w:sz w:val="16"/>
          <w:szCs w:val="16"/>
          <w:rtl/>
        </w:rPr>
        <w:t>שער סה ח"א אות ו</w:t>
      </w:r>
      <w:r>
        <w:rPr>
          <w:rFonts w:cs="Arial" w:hint="cs"/>
          <w:sz w:val="16"/>
          <w:szCs w:val="16"/>
          <w:rtl/>
        </w:rPr>
        <w:t>]</w:t>
      </w:r>
      <w:r w:rsidRPr="003760A7">
        <w:rPr>
          <w:rFonts w:cs="Arial"/>
          <w:sz w:val="16"/>
          <w:szCs w:val="16"/>
          <w:rtl/>
        </w:rPr>
        <w:t>)</w:t>
      </w:r>
      <w:r>
        <w:rPr>
          <w:rFonts w:cs="Arial" w:hint="cs"/>
          <w:rtl/>
        </w:rPr>
        <w:t>-</w:t>
      </w:r>
      <w:r w:rsidRPr="003760A7">
        <w:rPr>
          <w:rFonts w:cs="Arial"/>
          <w:rtl/>
        </w:rPr>
        <w:t xml:space="preserve"> מצאתי בתשובה לרבני צרפת והני מילי בלותה שלא בפניו</w:t>
      </w:r>
      <w:r>
        <w:rPr>
          <w:rFonts w:cs="Arial" w:hint="cs"/>
          <w:rtl/>
        </w:rPr>
        <w:t>,</w:t>
      </w:r>
      <w:r w:rsidRPr="003760A7">
        <w:rPr>
          <w:rFonts w:cs="Arial"/>
          <w:rtl/>
        </w:rPr>
        <w:t xml:space="preserve"> אבל לותה בפניו</w:t>
      </w:r>
      <w:r>
        <w:rPr>
          <w:rFonts w:cs="Arial" w:hint="cs"/>
          <w:rtl/>
        </w:rPr>
        <w:t>,</w:t>
      </w:r>
      <w:r w:rsidRPr="003760A7">
        <w:rPr>
          <w:rFonts w:cs="Arial"/>
          <w:rtl/>
        </w:rPr>
        <w:t xml:space="preserve"> כגון שהיה עמה בכעס וגירשה מביתו ועמדה ולותה בפני בעלה</w:t>
      </w:r>
      <w:r>
        <w:rPr>
          <w:rFonts w:cs="Arial" w:hint="cs"/>
          <w:rtl/>
        </w:rPr>
        <w:t>,</w:t>
      </w:r>
      <w:r w:rsidRPr="003760A7">
        <w:rPr>
          <w:rFonts w:cs="Arial"/>
          <w:rtl/>
        </w:rPr>
        <w:t xml:space="preserve"> הואיל ולא זימנתו לדין </w:t>
      </w:r>
      <w:r>
        <w:rPr>
          <w:rFonts w:cs="Arial" w:hint="cs"/>
          <w:rtl/>
        </w:rPr>
        <w:t xml:space="preserve">- </w:t>
      </w:r>
      <w:r w:rsidRPr="003760A7">
        <w:rPr>
          <w:rFonts w:cs="Arial"/>
          <w:rtl/>
        </w:rPr>
        <w:t>הניח מעותיו על קרן הצבי</w:t>
      </w:r>
      <w:r>
        <w:rPr>
          <w:rFonts w:cs="Arial" w:hint="cs"/>
          <w:rtl/>
        </w:rPr>
        <w:t>.</w:t>
      </w:r>
      <w:r w:rsidRPr="003760A7">
        <w:rPr>
          <w:rFonts w:cs="Arial"/>
          <w:rtl/>
        </w:rPr>
        <w:t xml:space="preserve"> וכן אם הלך למדינת הים ועמד וצוה בעלה שלא להלוותה</w:t>
      </w:r>
      <w:r>
        <w:rPr>
          <w:rFonts w:cs="Arial" w:hint="cs"/>
          <w:rtl/>
        </w:rPr>
        <w:t>,</w:t>
      </w:r>
      <w:r w:rsidRPr="003760A7">
        <w:rPr>
          <w:rFonts w:cs="Arial"/>
          <w:rtl/>
        </w:rPr>
        <w:t xml:space="preserve"> והיא שתקה ועמדה ולותה </w:t>
      </w:r>
      <w:r>
        <w:rPr>
          <w:rFonts w:cs="Arial" w:hint="cs"/>
          <w:rtl/>
        </w:rPr>
        <w:t xml:space="preserve">- </w:t>
      </w:r>
      <w:r w:rsidRPr="003760A7">
        <w:rPr>
          <w:rFonts w:cs="Arial"/>
          <w:rtl/>
        </w:rPr>
        <w:t>גם הוא איבד מעותיו והניחם על קרן הצבי</w:t>
      </w:r>
      <w:r>
        <w:rPr>
          <w:rFonts w:cs="Arial" w:hint="cs"/>
          <w:sz w:val="16"/>
          <w:szCs w:val="16"/>
          <w:rtl/>
        </w:rPr>
        <w:t xml:space="preserve"> (ל' הב"י בשמו)</w:t>
      </w:r>
      <w:r>
        <w:rPr>
          <w:rFonts w:cs="Arial" w:hint="cs"/>
          <w:rtl/>
        </w:rPr>
        <w:t>.</w:t>
      </w:r>
      <w:r w:rsidRPr="003760A7">
        <w:rPr>
          <w:rFonts w:cs="Arial"/>
          <w:rtl/>
        </w:rPr>
        <w:t xml:space="preserve"> </w:t>
      </w:r>
    </w:p>
    <w:p w14:paraId="07127350" w14:textId="7AD69FE7" w:rsidR="006F6F84" w:rsidRPr="00FF017E" w:rsidRDefault="005B6722" w:rsidP="000B759F">
      <w:pPr>
        <w:pStyle w:val="ab"/>
        <w:numPr>
          <w:ilvl w:val="0"/>
          <w:numId w:val="2"/>
        </w:numPr>
      </w:pPr>
      <w:r>
        <w:rPr>
          <w:rFonts w:cs="Arial" w:hint="cs"/>
          <w:rtl/>
        </w:rPr>
        <w:t xml:space="preserve">בעל התרומות </w:t>
      </w:r>
      <w:r>
        <w:rPr>
          <w:rFonts w:cs="Arial" w:hint="cs"/>
          <w:sz w:val="16"/>
          <w:szCs w:val="16"/>
          <w:rtl/>
        </w:rPr>
        <w:t>(שם)</w:t>
      </w:r>
      <w:r w:rsidR="000B759F" w:rsidRPr="000B759F">
        <w:rPr>
          <w:rFonts w:cs="Arial"/>
          <w:rtl/>
        </w:rPr>
        <w:t xml:space="preserve"> </w:t>
      </w:r>
      <w:r w:rsidR="000B759F">
        <w:rPr>
          <w:rFonts w:cs="Arial" w:hint="cs"/>
          <w:rtl/>
        </w:rPr>
        <w:t>ו</w:t>
      </w:r>
      <w:r w:rsidR="000B759F" w:rsidRPr="006F6F84">
        <w:rPr>
          <w:rFonts w:cs="Arial"/>
          <w:rtl/>
        </w:rPr>
        <w:t xml:space="preserve">רשב"א </w:t>
      </w:r>
      <w:r w:rsidR="000B759F" w:rsidRPr="000B759F">
        <w:rPr>
          <w:rFonts w:cs="Arial"/>
          <w:sz w:val="16"/>
          <w:szCs w:val="16"/>
          <w:rtl/>
        </w:rPr>
        <w:t>(ח"א סי' תרצב</w:t>
      </w:r>
      <w:r w:rsidR="000B759F" w:rsidRPr="000B759F">
        <w:rPr>
          <w:rFonts w:cs="Arial" w:hint="cs"/>
          <w:sz w:val="16"/>
          <w:szCs w:val="16"/>
          <w:rtl/>
        </w:rPr>
        <w:t>, כ"כ הדרכ"מ [אות יב*] בשמו)</w:t>
      </w:r>
      <w:r>
        <w:rPr>
          <w:rFonts w:cs="Arial" w:hint="cs"/>
          <w:rtl/>
        </w:rPr>
        <w:t xml:space="preserve">- </w:t>
      </w:r>
      <w:r w:rsidRPr="003760A7">
        <w:rPr>
          <w:rFonts w:cs="Arial"/>
          <w:rtl/>
        </w:rPr>
        <w:t xml:space="preserve">ולי נראה דכל היכא שהבעל חייב במזונותיה </w:t>
      </w:r>
      <w:r>
        <w:rPr>
          <w:rFonts w:cs="Arial" w:hint="cs"/>
          <w:rtl/>
        </w:rPr>
        <w:t xml:space="preserve">- </w:t>
      </w:r>
      <w:r w:rsidRPr="003760A7">
        <w:rPr>
          <w:rFonts w:cs="Arial"/>
          <w:rtl/>
        </w:rPr>
        <w:t>לא אבדה זכות מזונותיה</w:t>
      </w:r>
      <w:r>
        <w:rPr>
          <w:rFonts w:cs="Arial" w:hint="cs"/>
          <w:rtl/>
        </w:rPr>
        <w:t>,</w:t>
      </w:r>
      <w:r w:rsidRPr="003760A7">
        <w:rPr>
          <w:rFonts w:cs="Arial"/>
          <w:rtl/>
        </w:rPr>
        <w:t xml:space="preserve"> חוץ ממורדת מלעמוד עמו שהפסידה מזונותיה</w:t>
      </w:r>
      <w:r>
        <w:rPr>
          <w:rFonts w:cs="Arial" w:hint="cs"/>
          <w:rtl/>
        </w:rPr>
        <w:t>.</w:t>
      </w:r>
      <w:r w:rsidRPr="003760A7">
        <w:rPr>
          <w:rFonts w:cs="Arial"/>
          <w:rtl/>
        </w:rPr>
        <w:t xml:space="preserve"> וכן הסכים הרמב"ן </w:t>
      </w:r>
      <w:r w:rsidRPr="000B759F">
        <w:rPr>
          <w:rFonts w:cs="Arial"/>
          <w:sz w:val="16"/>
          <w:szCs w:val="16"/>
          <w:rtl/>
        </w:rPr>
        <w:t>(סי</w:t>
      </w:r>
      <w:r w:rsidRPr="000B759F">
        <w:rPr>
          <w:rFonts w:cs="Arial" w:hint="cs"/>
          <w:sz w:val="16"/>
          <w:szCs w:val="16"/>
          <w:rtl/>
        </w:rPr>
        <w:t>'</w:t>
      </w:r>
      <w:r w:rsidRPr="000B759F">
        <w:rPr>
          <w:rFonts w:cs="Arial"/>
          <w:sz w:val="16"/>
          <w:szCs w:val="16"/>
          <w:rtl/>
        </w:rPr>
        <w:t xml:space="preserve"> סו) </w:t>
      </w:r>
      <w:r w:rsidRPr="003760A7">
        <w:rPr>
          <w:rFonts w:cs="Arial"/>
          <w:rtl/>
        </w:rPr>
        <w:t>וזה אשר השיב לי</w:t>
      </w:r>
      <w:r w:rsidR="00217D2B">
        <w:rPr>
          <w:rFonts w:cs="Arial" w:hint="cs"/>
          <w:rtl/>
        </w:rPr>
        <w:t>:</w:t>
      </w:r>
      <w:r w:rsidRPr="003760A7">
        <w:rPr>
          <w:rFonts w:cs="Arial"/>
          <w:rtl/>
        </w:rPr>
        <w:t xml:space="preserve"> כל השאלות תשובה אחת להן</w:t>
      </w:r>
      <w:r>
        <w:rPr>
          <w:rFonts w:cs="Arial" w:hint="cs"/>
          <w:rtl/>
        </w:rPr>
        <w:t>,</w:t>
      </w:r>
      <w:r w:rsidRPr="003760A7">
        <w:rPr>
          <w:rFonts w:cs="Arial"/>
          <w:rtl/>
        </w:rPr>
        <w:t xml:space="preserve"> דודאי כל היכא דבעל חייב לזון את אשתו</w:t>
      </w:r>
      <w:r>
        <w:rPr>
          <w:rFonts w:cs="Arial" w:hint="cs"/>
          <w:rtl/>
        </w:rPr>
        <w:t>,</w:t>
      </w:r>
      <w:r w:rsidRPr="003760A7">
        <w:rPr>
          <w:rFonts w:cs="Arial"/>
          <w:rtl/>
        </w:rPr>
        <w:t xml:space="preserve"> אם לותה ואכלה </w:t>
      </w:r>
      <w:r>
        <w:rPr>
          <w:rFonts w:cs="Arial" w:hint="cs"/>
          <w:rtl/>
        </w:rPr>
        <w:t xml:space="preserve">- </w:t>
      </w:r>
      <w:r w:rsidRPr="003760A7">
        <w:rPr>
          <w:rFonts w:cs="Arial"/>
          <w:rtl/>
        </w:rPr>
        <w:t>חייב לשלם</w:t>
      </w:r>
      <w:r>
        <w:rPr>
          <w:rFonts w:cs="Arial" w:hint="cs"/>
          <w:rtl/>
        </w:rPr>
        <w:t>.</w:t>
      </w:r>
      <w:r w:rsidRPr="003760A7">
        <w:rPr>
          <w:rFonts w:cs="Arial"/>
          <w:rtl/>
        </w:rPr>
        <w:t xml:space="preserve"> הילכך אע</w:t>
      </w:r>
      <w:r>
        <w:rPr>
          <w:rFonts w:cs="Arial" w:hint="cs"/>
          <w:rtl/>
        </w:rPr>
        <w:t>"</w:t>
      </w:r>
      <w:r w:rsidRPr="003760A7">
        <w:rPr>
          <w:rFonts w:cs="Arial"/>
          <w:rtl/>
        </w:rPr>
        <w:t>פ שהוא כאן ולא זימנתו לדין לא הפסידה מזונותיה אע</w:t>
      </w:r>
      <w:r w:rsidR="00B14C83">
        <w:rPr>
          <w:rFonts w:cs="Arial" w:hint="cs"/>
          <w:rtl/>
        </w:rPr>
        <w:t>"</w:t>
      </w:r>
      <w:r w:rsidRPr="003760A7">
        <w:rPr>
          <w:rFonts w:cs="Arial"/>
          <w:rtl/>
        </w:rPr>
        <w:t>פ שעמד והכריז שלא ילוה אדם לאשתו</w:t>
      </w:r>
      <w:r>
        <w:rPr>
          <w:rFonts w:cs="Arial" w:hint="cs"/>
          <w:rtl/>
        </w:rPr>
        <w:t>,</w:t>
      </w:r>
      <w:r w:rsidRPr="003760A7">
        <w:rPr>
          <w:rFonts w:cs="Arial"/>
          <w:rtl/>
        </w:rPr>
        <w:t xml:space="preserve"> לאו כל הימנו להפסידה זכותה</w:t>
      </w:r>
      <w:r>
        <w:rPr>
          <w:rFonts w:cs="Arial" w:hint="cs"/>
          <w:rtl/>
        </w:rPr>
        <w:t>.</w:t>
      </w:r>
      <w:r w:rsidRPr="003760A7">
        <w:rPr>
          <w:rFonts w:cs="Arial"/>
          <w:rtl/>
        </w:rPr>
        <w:t xml:space="preserve"> והוא דלא ספקה ממעשה ידיה</w:t>
      </w:r>
      <w:r>
        <w:rPr>
          <w:rFonts w:cs="Arial" w:hint="cs"/>
          <w:rtl/>
        </w:rPr>
        <w:t>,</w:t>
      </w:r>
      <w:r w:rsidRPr="003760A7">
        <w:rPr>
          <w:rFonts w:cs="Arial"/>
          <w:rtl/>
        </w:rPr>
        <w:t xml:space="preserve"> אבל בדספקה אם עמד והכריז שלא ילוה אדם לאשתו נ"ל דכמי שאמר שתוציא לה מעשה ידיה למזונותיה דמי ופטור</w:t>
      </w:r>
      <w:r>
        <w:rPr>
          <w:rFonts w:cs="Arial" w:hint="cs"/>
          <w:rtl/>
        </w:rPr>
        <w:t>,</w:t>
      </w:r>
      <w:r w:rsidRPr="003760A7">
        <w:rPr>
          <w:rFonts w:cs="Arial"/>
          <w:rtl/>
        </w:rPr>
        <w:t xml:space="preserve"> בין ששמע המלוה בהכרזה זו בין שלא שמע</w:t>
      </w:r>
      <w:r>
        <w:rPr>
          <w:rFonts w:cs="Arial" w:hint="cs"/>
          <w:rtl/>
        </w:rPr>
        <w:t>.</w:t>
      </w:r>
      <w:r w:rsidRPr="003760A7">
        <w:rPr>
          <w:rFonts w:cs="Arial"/>
          <w:rtl/>
        </w:rPr>
        <w:t xml:space="preserve"> ואם שתק ולותה ואכלה ולא עשתה אע</w:t>
      </w:r>
      <w:r w:rsidR="00B14C83">
        <w:rPr>
          <w:rFonts w:cs="Arial" w:hint="cs"/>
          <w:rtl/>
        </w:rPr>
        <w:t>"</w:t>
      </w:r>
      <w:r w:rsidRPr="003760A7">
        <w:rPr>
          <w:rFonts w:cs="Arial"/>
          <w:rtl/>
        </w:rPr>
        <w:t xml:space="preserve">ג דספקה </w:t>
      </w:r>
      <w:r w:rsidR="00B14C83">
        <w:rPr>
          <w:rFonts w:cs="Arial" w:hint="cs"/>
          <w:rtl/>
        </w:rPr>
        <w:t xml:space="preserve">- </w:t>
      </w:r>
      <w:r w:rsidRPr="003760A7">
        <w:rPr>
          <w:rFonts w:cs="Arial"/>
          <w:rtl/>
        </w:rPr>
        <w:t>מוציאין ממנו</w:t>
      </w:r>
      <w:r>
        <w:rPr>
          <w:rFonts w:cs="Arial" w:hint="cs"/>
          <w:rtl/>
        </w:rPr>
        <w:t>,</w:t>
      </w:r>
      <w:r w:rsidRPr="003760A7">
        <w:rPr>
          <w:rFonts w:cs="Arial"/>
          <w:rtl/>
        </w:rPr>
        <w:t xml:space="preserve"> וכך הם דברי הרמב"ם במי שהלך בעלה למדינת הים ולותה ולא עשתה חייב ואע</w:t>
      </w:r>
      <w:r w:rsidR="00B14C83">
        <w:rPr>
          <w:rFonts w:cs="Arial" w:hint="cs"/>
          <w:rtl/>
        </w:rPr>
        <w:t>"</w:t>
      </w:r>
      <w:r w:rsidRPr="003760A7">
        <w:rPr>
          <w:rFonts w:cs="Arial"/>
          <w:rtl/>
        </w:rPr>
        <w:t>ג דספקה מוציאין ממנו</w:t>
      </w:r>
      <w:r>
        <w:rPr>
          <w:rFonts w:cs="Arial" w:hint="cs"/>
          <w:rtl/>
        </w:rPr>
        <w:t>,</w:t>
      </w:r>
      <w:r w:rsidRPr="003760A7">
        <w:rPr>
          <w:rFonts w:cs="Arial"/>
          <w:rtl/>
        </w:rPr>
        <w:t xml:space="preserve"> ויש להם פנים בהלכה</w:t>
      </w:r>
      <w:r>
        <w:rPr>
          <w:rFonts w:cs="Arial" w:hint="cs"/>
          <w:rtl/>
        </w:rPr>
        <w:t>.</w:t>
      </w:r>
      <w:r w:rsidRPr="003760A7">
        <w:rPr>
          <w:rFonts w:cs="Arial"/>
          <w:rtl/>
        </w:rPr>
        <w:t xml:space="preserve"> ומעתה אין לנו לחלק בין עומד כאן להלך למדינת הים עכ"ל</w:t>
      </w:r>
      <w:r w:rsidR="000B759F">
        <w:rPr>
          <w:rFonts w:cs="Arial" w:hint="cs"/>
          <w:sz w:val="16"/>
          <w:szCs w:val="16"/>
          <w:rtl/>
        </w:rPr>
        <w:t xml:space="preserve"> (ל' בעל התרומות)</w:t>
      </w:r>
      <w:r>
        <w:rPr>
          <w:rFonts w:cs="Arial" w:hint="cs"/>
          <w:rtl/>
        </w:rPr>
        <w:t>.</w:t>
      </w:r>
      <w:r w:rsidR="000E571B">
        <w:rPr>
          <w:rFonts w:hint="cs"/>
          <w:rtl/>
        </w:rPr>
        <w:t xml:space="preserve"> </w:t>
      </w:r>
      <w:r w:rsidR="000E571B" w:rsidRPr="000E571B">
        <w:rPr>
          <w:rFonts w:hint="cs"/>
          <w:color w:val="00B0F0"/>
          <w:rtl/>
        </w:rPr>
        <w:t>(וכ"פ הרמ"א</w:t>
      </w:r>
      <w:r w:rsidR="000E571B" w:rsidRPr="000E571B">
        <w:rPr>
          <w:rFonts w:hint="cs"/>
          <w:color w:val="00B0F0"/>
          <w:sz w:val="16"/>
          <w:szCs w:val="16"/>
          <w:rtl/>
        </w:rPr>
        <w:t xml:space="preserve"> </w:t>
      </w:r>
      <w:r w:rsidR="000E571B">
        <w:rPr>
          <w:rFonts w:hint="cs"/>
          <w:sz w:val="16"/>
          <w:szCs w:val="16"/>
          <w:rtl/>
        </w:rPr>
        <w:t>[בסע' יב]</w:t>
      </w:r>
      <w:r w:rsidR="000E571B" w:rsidRPr="000E571B">
        <w:rPr>
          <w:rFonts w:hint="cs"/>
          <w:color w:val="00B0F0"/>
          <w:rtl/>
        </w:rPr>
        <w:t>)</w:t>
      </w:r>
    </w:p>
    <w:p w14:paraId="18E2AE86" w14:textId="33AA1455" w:rsidR="00520DDF" w:rsidRPr="00520DDF" w:rsidRDefault="00520DDF" w:rsidP="00520DDF">
      <w:pPr>
        <w:rPr>
          <w:u w:val="single"/>
          <w:rtl/>
        </w:rPr>
      </w:pPr>
      <w:r w:rsidRPr="00520DDF">
        <w:rPr>
          <w:rFonts w:hint="cs"/>
          <w:u w:val="single"/>
          <w:rtl/>
        </w:rPr>
        <w:t>מעשה בבעל שהלך למדינת הים, ואשתו תבע</w:t>
      </w:r>
      <w:r>
        <w:rPr>
          <w:rFonts w:hint="cs"/>
          <w:u w:val="single"/>
          <w:rtl/>
        </w:rPr>
        <w:t xml:space="preserve">ה </w:t>
      </w:r>
      <w:r w:rsidRPr="00520DDF">
        <w:rPr>
          <w:rFonts w:hint="cs"/>
          <w:u w:val="single"/>
          <w:rtl/>
        </w:rPr>
        <w:t>מב"ד לפסוק לה ולבתה מזונות:</w:t>
      </w:r>
    </w:p>
    <w:p w14:paraId="7252BD1E" w14:textId="7DE789C3" w:rsidR="001D6658" w:rsidRPr="001D6658" w:rsidRDefault="001D6658" w:rsidP="00CE6A2B">
      <w:pPr>
        <w:pStyle w:val="ab"/>
        <w:numPr>
          <w:ilvl w:val="0"/>
          <w:numId w:val="5"/>
        </w:numPr>
      </w:pPr>
      <w:r w:rsidRPr="001D6658">
        <w:rPr>
          <w:rFonts w:cs="Arial" w:hint="cs"/>
          <w:rtl/>
        </w:rPr>
        <w:t xml:space="preserve">רשב"א </w:t>
      </w:r>
      <w:r w:rsidR="00B12054" w:rsidRPr="001D6658">
        <w:rPr>
          <w:rFonts w:cs="Arial"/>
          <w:sz w:val="16"/>
          <w:szCs w:val="16"/>
          <w:rtl/>
        </w:rPr>
        <w:t>(ח"ה סי' רד)</w:t>
      </w:r>
      <w:r w:rsidR="002457A1">
        <w:rPr>
          <w:rFonts w:cs="Arial" w:hint="cs"/>
          <w:rtl/>
        </w:rPr>
        <w:t xml:space="preserve">- שאלת על </w:t>
      </w:r>
      <w:r w:rsidR="00B12054" w:rsidRPr="001D6658">
        <w:rPr>
          <w:rFonts w:cs="Arial"/>
          <w:rtl/>
        </w:rPr>
        <w:t xml:space="preserve">ראובן </w:t>
      </w:r>
      <w:r w:rsidR="002457A1">
        <w:rPr>
          <w:rFonts w:cs="Arial" w:hint="cs"/>
          <w:rtl/>
        </w:rPr>
        <w:t>ש</w:t>
      </w:r>
      <w:r w:rsidR="00B12054" w:rsidRPr="001D6658">
        <w:rPr>
          <w:rFonts w:cs="Arial"/>
          <w:rtl/>
        </w:rPr>
        <w:t>הלך למדינת הים</w:t>
      </w:r>
      <w:r w:rsidR="002457A1">
        <w:rPr>
          <w:rFonts w:cs="Arial" w:hint="cs"/>
          <w:rtl/>
        </w:rPr>
        <w:t>,</w:t>
      </w:r>
      <w:r w:rsidR="00B12054" w:rsidRPr="001D6658">
        <w:rPr>
          <w:rFonts w:cs="Arial"/>
          <w:rtl/>
        </w:rPr>
        <w:t xml:space="preserve"> ותבעה אשתו מבית דין לפסוק לה ולבתה מזונות</w:t>
      </w:r>
      <w:r w:rsidR="002457A1">
        <w:rPr>
          <w:rFonts w:cs="Arial" w:hint="cs"/>
          <w:rtl/>
        </w:rPr>
        <w:t>,</w:t>
      </w:r>
      <w:r w:rsidR="00B12054" w:rsidRPr="001D6658">
        <w:rPr>
          <w:rFonts w:cs="Arial"/>
          <w:rtl/>
        </w:rPr>
        <w:t xml:space="preserve"> ופסקו לה ולבתה מזונות ידועים ויזונה שמעון אביה</w:t>
      </w:r>
      <w:r w:rsidR="002457A1">
        <w:rPr>
          <w:rFonts w:cs="Arial" w:hint="cs"/>
          <w:rtl/>
        </w:rPr>
        <w:t>.</w:t>
      </w:r>
      <w:r w:rsidR="00B12054" w:rsidRPr="001D6658">
        <w:rPr>
          <w:rFonts w:cs="Arial"/>
          <w:rtl/>
        </w:rPr>
        <w:t xml:space="preserve"> וכתבו לו ב"ד שיפרע מנכסי ראובן בכל מקום שהם לפי שהיא נזונת על ידו</w:t>
      </w:r>
      <w:r w:rsidR="002457A1">
        <w:rPr>
          <w:rFonts w:cs="Arial" w:hint="cs"/>
          <w:rtl/>
        </w:rPr>
        <w:t>.</w:t>
      </w:r>
      <w:r w:rsidR="00B12054" w:rsidRPr="001D6658">
        <w:rPr>
          <w:rFonts w:cs="Arial"/>
          <w:rtl/>
        </w:rPr>
        <w:t xml:space="preserve"> ועוד נתנו לשמעון כח ורשות שכל זמן שלא תמצא האשה מנכסי בעלה להתפרנס מהם שיוציא לה שמעון בתורת הלואה</w:t>
      </w:r>
      <w:r w:rsidR="002457A1">
        <w:rPr>
          <w:rFonts w:cs="Arial" w:hint="cs"/>
          <w:rtl/>
        </w:rPr>
        <w:t>.</w:t>
      </w:r>
      <w:r w:rsidR="00B12054" w:rsidRPr="001D6658">
        <w:rPr>
          <w:rFonts w:cs="Arial"/>
          <w:rtl/>
        </w:rPr>
        <w:t xml:space="preserve"> ומת ראובן</w:t>
      </w:r>
      <w:r w:rsidR="002457A1">
        <w:rPr>
          <w:rFonts w:cs="Arial" w:hint="cs"/>
          <w:rtl/>
        </w:rPr>
        <w:t>,</w:t>
      </w:r>
      <w:r w:rsidR="00B12054" w:rsidRPr="001D6658">
        <w:rPr>
          <w:rFonts w:cs="Arial"/>
          <w:rtl/>
        </w:rPr>
        <w:t xml:space="preserve"> והיו האשה ובתה נזונות על שלחן שמעון</w:t>
      </w:r>
      <w:r w:rsidR="002457A1">
        <w:rPr>
          <w:rFonts w:cs="Arial" w:hint="cs"/>
          <w:rtl/>
        </w:rPr>
        <w:t>,</w:t>
      </w:r>
      <w:r w:rsidR="00B12054" w:rsidRPr="001D6658">
        <w:rPr>
          <w:rFonts w:cs="Arial"/>
          <w:rtl/>
        </w:rPr>
        <w:t xml:space="preserve"> וכשגדלה הבת פסק לה שמעון נדוניא משלו והשיאה ללוי</w:t>
      </w:r>
      <w:r w:rsidR="002457A1">
        <w:rPr>
          <w:rFonts w:cs="Arial" w:hint="cs"/>
          <w:rtl/>
        </w:rPr>
        <w:t>.</w:t>
      </w:r>
      <w:r w:rsidR="00B12054" w:rsidRPr="001D6658">
        <w:rPr>
          <w:rFonts w:cs="Arial"/>
          <w:rtl/>
        </w:rPr>
        <w:t xml:space="preserve"> ואח"כ נפל לאותה בת ירושה מבית מורישי אביה</w:t>
      </w:r>
      <w:r w:rsidR="002457A1">
        <w:rPr>
          <w:rFonts w:cs="Arial" w:hint="cs"/>
          <w:rtl/>
        </w:rPr>
        <w:t>.</w:t>
      </w:r>
      <w:r w:rsidR="00B12054" w:rsidRPr="001D6658">
        <w:rPr>
          <w:rFonts w:cs="Arial"/>
          <w:rtl/>
        </w:rPr>
        <w:t xml:space="preserve"> ועכשיו בא שמעון להפרע ממנה מה שהוציא במזונותיה והיא משיבתו כשם שנתחסדת עמי להשיאני משלך</w:t>
      </w:r>
      <w:r w:rsidR="002457A1">
        <w:rPr>
          <w:rFonts w:cs="Arial" w:hint="cs"/>
          <w:rtl/>
        </w:rPr>
        <w:t>,</w:t>
      </w:r>
      <w:r w:rsidR="00B12054" w:rsidRPr="001D6658">
        <w:rPr>
          <w:rFonts w:cs="Arial"/>
          <w:rtl/>
        </w:rPr>
        <w:t xml:space="preserve"> כך נתחסדת עמי לפרנסני משלך</w:t>
      </w:r>
      <w:r w:rsidR="002457A1">
        <w:rPr>
          <w:rFonts w:cs="Arial" w:hint="cs"/>
          <w:rtl/>
        </w:rPr>
        <w:t>.</w:t>
      </w:r>
      <w:r w:rsidR="00B12054" w:rsidRPr="001D6658">
        <w:rPr>
          <w:rFonts w:cs="Arial"/>
          <w:rtl/>
        </w:rPr>
        <w:t xml:space="preserve"> ושמעון טוען מעולם לא ויתרתי על המזונות רק הייתי ממתין עד שיהיו ליך נכסים ותפרעני</w:t>
      </w:r>
      <w:r w:rsidR="002457A1">
        <w:rPr>
          <w:rFonts w:cs="Arial" w:hint="cs"/>
          <w:rtl/>
        </w:rPr>
        <w:t>.</w:t>
      </w:r>
      <w:r w:rsidR="00B12054" w:rsidRPr="001D6658">
        <w:rPr>
          <w:rFonts w:cs="Arial"/>
          <w:rtl/>
        </w:rPr>
        <w:t xml:space="preserve"> </w:t>
      </w:r>
      <w:r w:rsidR="00FE210D">
        <w:rPr>
          <w:rFonts w:cs="Arial" w:hint="cs"/>
          <w:rtl/>
        </w:rPr>
        <w:t xml:space="preserve">      תשובה:</w:t>
      </w:r>
      <w:r w:rsidR="002457A1">
        <w:rPr>
          <w:rFonts w:cs="Arial" w:hint="cs"/>
          <w:rtl/>
        </w:rPr>
        <w:t xml:space="preserve"> </w:t>
      </w:r>
      <w:r w:rsidR="00B12054" w:rsidRPr="001D6658">
        <w:rPr>
          <w:rFonts w:cs="Arial"/>
          <w:rtl/>
        </w:rPr>
        <w:t>ב"ד שפסקו מזונות לבת</w:t>
      </w:r>
      <w:r w:rsidR="002457A1">
        <w:rPr>
          <w:rFonts w:cs="Arial" w:hint="cs"/>
          <w:rtl/>
        </w:rPr>
        <w:t>,</w:t>
      </w:r>
      <w:r w:rsidR="00B12054" w:rsidRPr="001D6658">
        <w:rPr>
          <w:rFonts w:cs="Arial"/>
          <w:rtl/>
        </w:rPr>
        <w:t xml:space="preserve"> שלא כדין עשו</w:t>
      </w:r>
      <w:r w:rsidR="002457A1">
        <w:rPr>
          <w:rFonts w:cs="Arial" w:hint="cs"/>
          <w:rtl/>
        </w:rPr>
        <w:t>,</w:t>
      </w:r>
      <w:r w:rsidR="00B12054" w:rsidRPr="001D6658">
        <w:rPr>
          <w:rFonts w:cs="Arial"/>
          <w:rtl/>
        </w:rPr>
        <w:t xml:space="preserve"> כיון שהלך מדעתו</w:t>
      </w:r>
      <w:r w:rsidR="002457A1">
        <w:rPr>
          <w:rFonts w:cs="Arial" w:hint="cs"/>
          <w:rtl/>
        </w:rPr>
        <w:t>,</w:t>
      </w:r>
      <w:r w:rsidR="00B12054" w:rsidRPr="001D6658">
        <w:rPr>
          <w:rFonts w:cs="Arial"/>
          <w:rtl/>
        </w:rPr>
        <w:t xml:space="preserve"> כדתניא בפרק נערה (כתובות מח.)</w:t>
      </w:r>
      <w:r w:rsidR="002457A1">
        <w:rPr>
          <w:rFonts w:cs="Arial" w:hint="cs"/>
          <w:rtl/>
        </w:rPr>
        <w:t>.</w:t>
      </w:r>
      <w:r w:rsidR="00B12054" w:rsidRPr="001D6658">
        <w:rPr>
          <w:rFonts w:cs="Arial"/>
          <w:rtl/>
        </w:rPr>
        <w:t xml:space="preserve"> ומכל מקום האשה והבת לא לוו כלום משמעון כדי שתהא צריכ</w:t>
      </w:r>
      <w:r w:rsidR="002457A1">
        <w:rPr>
          <w:rFonts w:cs="Arial" w:hint="cs"/>
          <w:rtl/>
        </w:rPr>
        <w:t>ה</w:t>
      </w:r>
      <w:r w:rsidR="00B12054" w:rsidRPr="001D6658">
        <w:rPr>
          <w:rFonts w:cs="Arial"/>
          <w:rtl/>
        </w:rPr>
        <w:t xml:space="preserve"> לחזור אחר נכסי הבעל להפרע ממנו שיחזור שמעון ויפרע ממנה כדרך האשה שלותה ואכלה</w:t>
      </w:r>
      <w:r w:rsidR="002457A1">
        <w:rPr>
          <w:rFonts w:cs="Arial" w:hint="cs"/>
          <w:rtl/>
        </w:rPr>
        <w:t>,</w:t>
      </w:r>
      <w:r w:rsidR="00B12054" w:rsidRPr="001D6658">
        <w:rPr>
          <w:rFonts w:cs="Arial"/>
          <w:rtl/>
        </w:rPr>
        <w:t xml:space="preserve"> אלא שמעון קיבל עליו לזון והוא ידרוך על נכסי הבעל בכל מקום שימצאם</w:t>
      </w:r>
      <w:r w:rsidR="002457A1">
        <w:rPr>
          <w:rFonts w:cs="Arial" w:hint="cs"/>
          <w:rtl/>
        </w:rPr>
        <w:t>.</w:t>
      </w:r>
      <w:r w:rsidR="00B12054" w:rsidRPr="001D6658">
        <w:rPr>
          <w:rFonts w:cs="Arial"/>
          <w:rtl/>
        </w:rPr>
        <w:t xml:space="preserve"> אבל רואה אני שלאחר מכאן כתבו לו ב"ד </w:t>
      </w:r>
      <w:r w:rsidR="002457A1">
        <w:rPr>
          <w:rFonts w:cs="Arial" w:hint="cs"/>
          <w:rtl/>
        </w:rPr>
        <w:t>'</w:t>
      </w:r>
      <w:r w:rsidR="00B12054" w:rsidRPr="001D6658">
        <w:rPr>
          <w:rFonts w:cs="Arial"/>
          <w:rtl/>
        </w:rPr>
        <w:t>וכל זמן שלא תמצא נכסים לבעל להתפרנס מהם שיוציא לה בתורת הלואה כל צרכיה</w:t>
      </w:r>
      <w:r w:rsidR="00520DDF">
        <w:rPr>
          <w:rFonts w:cs="Arial" w:hint="cs"/>
          <w:rtl/>
        </w:rPr>
        <w:t>',</w:t>
      </w:r>
      <w:r w:rsidR="00B12054" w:rsidRPr="001D6658">
        <w:rPr>
          <w:rFonts w:cs="Arial"/>
          <w:rtl/>
        </w:rPr>
        <w:t xml:space="preserve"> ולפיכך הדין עמו במה שתובע להפרע מן הבת</w:t>
      </w:r>
      <w:r w:rsidR="00520DDF">
        <w:rPr>
          <w:rFonts w:cs="Arial" w:hint="cs"/>
          <w:rtl/>
        </w:rPr>
        <w:t>.</w:t>
      </w:r>
      <w:r w:rsidR="00B12054" w:rsidRPr="001D6658">
        <w:rPr>
          <w:rFonts w:cs="Arial"/>
          <w:rtl/>
        </w:rPr>
        <w:t xml:space="preserve"> ואם נתחסד להשיאה לבעל משלו</w:t>
      </w:r>
      <w:r w:rsidR="00520DDF">
        <w:rPr>
          <w:rFonts w:cs="Arial" w:hint="cs"/>
          <w:rtl/>
        </w:rPr>
        <w:t>,</w:t>
      </w:r>
      <w:r w:rsidR="00B12054" w:rsidRPr="001D6658">
        <w:rPr>
          <w:rFonts w:cs="Arial"/>
          <w:rtl/>
        </w:rPr>
        <w:t xml:space="preserve"> אין זה מחייבו ליתן לה מזונות משלו. </w:t>
      </w:r>
      <w:r w:rsidR="00DB7826" w:rsidRPr="00DB7826">
        <w:rPr>
          <w:rFonts w:hint="cs"/>
          <w:color w:val="00B0F0"/>
          <w:rtl/>
        </w:rPr>
        <w:t>(וכ"פ הרמ"א)</w:t>
      </w:r>
    </w:p>
    <w:p w14:paraId="3F4C9E18" w14:textId="77777777" w:rsidR="00A83A98" w:rsidRPr="00A83A98" w:rsidRDefault="00A83A98" w:rsidP="00A83A98">
      <w:pPr>
        <w:rPr>
          <w:u w:val="single"/>
        </w:rPr>
      </w:pPr>
      <w:r w:rsidRPr="00A83A98">
        <w:rPr>
          <w:rFonts w:cs="Arial"/>
          <w:u w:val="single"/>
          <w:rtl/>
        </w:rPr>
        <w:t>אחד שפירנס את בתו ולבסוף תבע מחתנו מה שהוציא עליה</w:t>
      </w:r>
      <w:r w:rsidRPr="00A83A98">
        <w:rPr>
          <w:rFonts w:cs="Arial" w:hint="cs"/>
          <w:u w:val="single"/>
          <w:rtl/>
        </w:rPr>
        <w:t>:</w:t>
      </w:r>
    </w:p>
    <w:p w14:paraId="05A2E098" w14:textId="3B4588EF" w:rsidR="004C175D" w:rsidRDefault="00A83A98" w:rsidP="00520DDF">
      <w:pPr>
        <w:pStyle w:val="ab"/>
        <w:numPr>
          <w:ilvl w:val="0"/>
          <w:numId w:val="2"/>
        </w:numPr>
        <w:rPr>
          <w:rtl/>
        </w:rPr>
      </w:pPr>
      <w:r>
        <w:rPr>
          <w:rFonts w:cs="Arial" w:hint="cs"/>
          <w:rtl/>
        </w:rPr>
        <w:t xml:space="preserve">הגמ"ר </w:t>
      </w:r>
      <w:r w:rsidRPr="0025586C">
        <w:rPr>
          <w:rFonts w:cs="Arial" w:hint="cs"/>
          <w:sz w:val="16"/>
          <w:szCs w:val="16"/>
          <w:rtl/>
        </w:rPr>
        <w:t>(</w:t>
      </w:r>
      <w:r w:rsidRPr="0025586C">
        <w:rPr>
          <w:rFonts w:cs="Arial"/>
          <w:sz w:val="16"/>
          <w:szCs w:val="16"/>
          <w:rtl/>
        </w:rPr>
        <w:t>סוף כתובות סי' שיא)</w:t>
      </w:r>
      <w:r>
        <w:rPr>
          <w:rFonts w:cs="Arial" w:hint="cs"/>
          <w:rtl/>
        </w:rPr>
        <w:t>-</w:t>
      </w:r>
      <w:r w:rsidRPr="00F86A82">
        <w:rPr>
          <w:rFonts w:cs="Arial"/>
          <w:rtl/>
        </w:rPr>
        <w:t xml:space="preserve"> מעשה באחד שפירנס את בתו ולבסוף תבע מחתנו מה שהוציא עליה</w:t>
      </w:r>
      <w:r>
        <w:rPr>
          <w:rFonts w:cs="Arial" w:hint="cs"/>
          <w:rtl/>
        </w:rPr>
        <w:t>,</w:t>
      </w:r>
      <w:r w:rsidRPr="00F86A82">
        <w:rPr>
          <w:rFonts w:cs="Arial"/>
          <w:rtl/>
        </w:rPr>
        <w:t xml:space="preserve"> והיה החתן מסיק זוזי בחמיו</w:t>
      </w:r>
      <w:r>
        <w:rPr>
          <w:rFonts w:cs="Arial" w:hint="cs"/>
          <w:rtl/>
        </w:rPr>
        <w:t>,</w:t>
      </w:r>
      <w:r w:rsidRPr="00F86A82">
        <w:rPr>
          <w:rFonts w:cs="Arial"/>
          <w:rtl/>
        </w:rPr>
        <w:t xml:space="preserve"> וטען חמיו אני פירנסתיה ממה שהייתי חייב לך מדר' נתן שמוציאין מזה ונותנים לזה</w:t>
      </w:r>
      <w:r>
        <w:rPr>
          <w:rFonts w:cs="Arial" w:hint="cs"/>
          <w:rtl/>
        </w:rPr>
        <w:t>.</w:t>
      </w:r>
      <w:r w:rsidRPr="00F86A82">
        <w:rPr>
          <w:rFonts w:cs="Arial"/>
          <w:rtl/>
        </w:rPr>
        <w:t xml:space="preserve"> והשיב רבינו שמחה שהדין עם חמיו</w:t>
      </w:r>
      <w:r>
        <w:rPr>
          <w:rFonts w:cs="Arial" w:hint="cs"/>
          <w:rtl/>
        </w:rPr>
        <w:t>,</w:t>
      </w:r>
      <w:r w:rsidRPr="00F86A82">
        <w:rPr>
          <w:rFonts w:cs="Arial"/>
          <w:rtl/>
        </w:rPr>
        <w:t xml:space="preserve"> דאע"ג שאם לא היה חמיו חייב לו היה פטור</w:t>
      </w:r>
      <w:r w:rsidR="005B6722">
        <w:rPr>
          <w:rStyle w:val="a7"/>
          <w:rFonts w:cs="Arial"/>
          <w:rtl/>
        </w:rPr>
        <w:footnoteReference w:id="310"/>
      </w:r>
      <w:r>
        <w:rPr>
          <w:rFonts w:cs="Arial" w:hint="cs"/>
          <w:rtl/>
        </w:rPr>
        <w:t>,</w:t>
      </w:r>
      <w:r w:rsidRPr="00F86A82">
        <w:rPr>
          <w:rFonts w:cs="Arial"/>
          <w:rtl/>
        </w:rPr>
        <w:t xml:space="preserve"> השתא דחייב לו טענתיה טענה והביא ראיה לדבר</w:t>
      </w:r>
      <w:r>
        <w:rPr>
          <w:rFonts w:cs="Arial" w:hint="cs"/>
          <w:rtl/>
        </w:rPr>
        <w:t>.</w:t>
      </w:r>
      <w:r w:rsidR="00DB7826">
        <w:rPr>
          <w:rFonts w:cs="Arial" w:hint="cs"/>
          <w:rtl/>
        </w:rPr>
        <w:t xml:space="preserve"> </w:t>
      </w:r>
      <w:r w:rsidR="00DB7826" w:rsidRPr="00DB7826">
        <w:rPr>
          <w:rFonts w:hint="cs"/>
          <w:color w:val="00B0F0"/>
          <w:rtl/>
        </w:rPr>
        <w:t>(וכ"פ הרמ"א)</w:t>
      </w:r>
    </w:p>
    <w:p w14:paraId="6BAC73DF" w14:textId="3F4EC0B2" w:rsidR="004C175D" w:rsidRDefault="007E4243" w:rsidP="004C175D">
      <w:r w:rsidRPr="007E4243">
        <w:rPr>
          <w:rFonts w:hint="cs"/>
          <w:u w:val="single"/>
          <w:rtl/>
        </w:rPr>
        <w:t xml:space="preserve">אשה ששתקה </w:t>
      </w:r>
      <w:r w:rsidR="00992DEB">
        <w:rPr>
          <w:rFonts w:hint="cs"/>
          <w:u w:val="single"/>
          <w:rtl/>
        </w:rPr>
        <w:t xml:space="preserve">ולותה </w:t>
      </w:r>
      <w:r w:rsidRPr="007E4243">
        <w:rPr>
          <w:rFonts w:hint="cs"/>
          <w:u w:val="single"/>
          <w:rtl/>
        </w:rPr>
        <w:t>ולא</w:t>
      </w:r>
      <w:r w:rsidR="00F374F0">
        <w:rPr>
          <w:rFonts w:hint="cs"/>
          <w:u w:val="single"/>
          <w:rtl/>
        </w:rPr>
        <w:t xml:space="preserve"> </w:t>
      </w:r>
      <w:r w:rsidRPr="007E4243">
        <w:rPr>
          <w:rFonts w:hint="cs"/>
          <w:u w:val="single"/>
          <w:rtl/>
        </w:rPr>
        <w:t xml:space="preserve">תבעה מזונותיה </w:t>
      </w:r>
      <w:r w:rsidR="003A5BB5">
        <w:rPr>
          <w:rFonts w:hint="cs"/>
          <w:u w:val="single"/>
          <w:rtl/>
        </w:rPr>
        <w:t>-</w:t>
      </w:r>
      <w:r w:rsidRPr="007E4243">
        <w:rPr>
          <w:rFonts w:hint="cs"/>
          <w:u w:val="single"/>
          <w:rtl/>
        </w:rPr>
        <w:t xml:space="preserve"> מתי מאבדת לשעבר:</w:t>
      </w:r>
      <w:r>
        <w:rPr>
          <w:rFonts w:hint="cs"/>
          <w:rtl/>
        </w:rPr>
        <w:t xml:space="preserve"> </w:t>
      </w:r>
      <w:r w:rsidRPr="007E4243">
        <w:rPr>
          <w:rFonts w:hint="cs"/>
          <w:sz w:val="16"/>
          <w:szCs w:val="16"/>
          <w:rtl/>
        </w:rPr>
        <w:t>(</w:t>
      </w:r>
      <w:r w:rsidR="004C175D" w:rsidRPr="007E4243">
        <w:rPr>
          <w:rFonts w:hint="cs"/>
          <w:sz w:val="16"/>
          <w:szCs w:val="16"/>
          <w:rtl/>
        </w:rPr>
        <w:t>דרכ"מ אות ט</w:t>
      </w:r>
      <w:r>
        <w:rPr>
          <w:rFonts w:hint="cs"/>
          <w:sz w:val="16"/>
          <w:szCs w:val="16"/>
          <w:rtl/>
        </w:rPr>
        <w:t>)</w:t>
      </w:r>
    </w:p>
    <w:p w14:paraId="3FCDE16D" w14:textId="77777777" w:rsidR="007E4243" w:rsidRPr="007E4243" w:rsidRDefault="004C175D" w:rsidP="00A83A98">
      <w:pPr>
        <w:pStyle w:val="ab"/>
        <w:numPr>
          <w:ilvl w:val="0"/>
          <w:numId w:val="2"/>
        </w:numPr>
      </w:pPr>
      <w:r w:rsidRPr="00B12054">
        <w:rPr>
          <w:rFonts w:cs="Arial"/>
          <w:rtl/>
        </w:rPr>
        <w:t xml:space="preserve">מרדכי </w:t>
      </w:r>
      <w:r w:rsidR="00520DDF" w:rsidRPr="00520DDF">
        <w:rPr>
          <w:rFonts w:cs="Arial" w:hint="cs"/>
          <w:sz w:val="16"/>
          <w:szCs w:val="16"/>
          <w:rtl/>
        </w:rPr>
        <w:t>(</w:t>
      </w:r>
      <w:r w:rsidRPr="00520DDF">
        <w:rPr>
          <w:rFonts w:cs="Arial"/>
          <w:sz w:val="16"/>
          <w:szCs w:val="16"/>
          <w:rtl/>
        </w:rPr>
        <w:t>ר</w:t>
      </w:r>
      <w:r w:rsidR="00520DDF" w:rsidRPr="00520DDF">
        <w:rPr>
          <w:rFonts w:cs="Arial" w:hint="cs"/>
          <w:sz w:val="16"/>
          <w:szCs w:val="16"/>
          <w:rtl/>
        </w:rPr>
        <w:t>"פ</w:t>
      </w:r>
      <w:r w:rsidRPr="00520DDF">
        <w:rPr>
          <w:rFonts w:cs="Arial"/>
          <w:sz w:val="16"/>
          <w:szCs w:val="16"/>
          <w:rtl/>
        </w:rPr>
        <w:t xml:space="preserve"> דייני גזירות סי' רסז</w:t>
      </w:r>
      <w:r w:rsidR="007E4243">
        <w:rPr>
          <w:rFonts w:cs="Arial" w:hint="cs"/>
          <w:sz w:val="16"/>
          <w:szCs w:val="16"/>
          <w:rtl/>
        </w:rPr>
        <w:t>, וכן בס"פ יש נוחלין סי' תקצז</w:t>
      </w:r>
      <w:r w:rsidRPr="00520DDF">
        <w:rPr>
          <w:rFonts w:cs="Arial"/>
          <w:sz w:val="16"/>
          <w:szCs w:val="16"/>
          <w:rtl/>
        </w:rPr>
        <w:t>)</w:t>
      </w:r>
      <w:r w:rsidR="00520DDF">
        <w:rPr>
          <w:rFonts w:cs="Arial" w:hint="cs"/>
          <w:rtl/>
        </w:rPr>
        <w:t>-</w:t>
      </w:r>
      <w:r w:rsidRPr="00B12054">
        <w:rPr>
          <w:rFonts w:cs="Arial"/>
          <w:rtl/>
        </w:rPr>
        <w:t xml:space="preserve"> עד ג' שנים נאמנת לומר לויתי</w:t>
      </w:r>
      <w:r w:rsidR="00520DDF">
        <w:rPr>
          <w:rFonts w:cs="Arial" w:hint="cs"/>
          <w:rtl/>
        </w:rPr>
        <w:t>,</w:t>
      </w:r>
      <w:r w:rsidRPr="00B12054">
        <w:rPr>
          <w:rFonts w:cs="Arial"/>
          <w:rtl/>
        </w:rPr>
        <w:t xml:space="preserve"> אבל אי שתקה ג' שנים </w:t>
      </w:r>
      <w:r w:rsidR="00520DDF">
        <w:rPr>
          <w:rFonts w:cs="Arial" w:hint="cs"/>
          <w:rtl/>
        </w:rPr>
        <w:t xml:space="preserve">- </w:t>
      </w:r>
      <w:r w:rsidRPr="00B12054">
        <w:rPr>
          <w:rFonts w:cs="Arial"/>
          <w:rtl/>
        </w:rPr>
        <w:t>מחלה ואין צריך לתת לה למפרע</w:t>
      </w:r>
      <w:r w:rsidR="00520DDF">
        <w:rPr>
          <w:rFonts w:cs="Arial" w:hint="cs"/>
          <w:rtl/>
        </w:rPr>
        <w:t>.</w:t>
      </w:r>
      <w:r w:rsidRPr="00B12054">
        <w:rPr>
          <w:rFonts w:cs="Arial"/>
          <w:rtl/>
        </w:rPr>
        <w:t xml:space="preserve"> ומיהו אם היה לה משכון </w:t>
      </w:r>
      <w:r w:rsidR="00520DDF">
        <w:rPr>
          <w:rFonts w:cs="Arial" w:hint="cs"/>
          <w:rtl/>
        </w:rPr>
        <w:t xml:space="preserve">- </w:t>
      </w:r>
      <w:r w:rsidRPr="00B12054">
        <w:rPr>
          <w:rFonts w:cs="Arial"/>
          <w:rtl/>
        </w:rPr>
        <w:t>גביא אף לשעבר</w:t>
      </w:r>
      <w:r w:rsidR="00520DDF">
        <w:rPr>
          <w:rFonts w:cs="Arial" w:hint="cs"/>
          <w:rtl/>
        </w:rPr>
        <w:t>.</w:t>
      </w:r>
      <w:r w:rsidRPr="00B12054">
        <w:rPr>
          <w:rFonts w:cs="Arial"/>
          <w:rtl/>
        </w:rPr>
        <w:t xml:space="preserve"> </w:t>
      </w:r>
    </w:p>
    <w:p w14:paraId="2E45ADCF" w14:textId="43ABDD99" w:rsidR="007E4243" w:rsidRDefault="004C175D" w:rsidP="00A83A98">
      <w:pPr>
        <w:pStyle w:val="ab"/>
        <w:numPr>
          <w:ilvl w:val="0"/>
          <w:numId w:val="2"/>
        </w:numPr>
      </w:pPr>
      <w:r w:rsidRPr="00B12054">
        <w:rPr>
          <w:rFonts w:cs="Arial"/>
          <w:rtl/>
        </w:rPr>
        <w:lastRenderedPageBreak/>
        <w:t xml:space="preserve">רמב"ן </w:t>
      </w:r>
      <w:r w:rsidRPr="007E4243">
        <w:rPr>
          <w:rFonts w:cs="Arial"/>
          <w:sz w:val="16"/>
          <w:szCs w:val="16"/>
          <w:rtl/>
        </w:rPr>
        <w:t>(צו. ד"ה אלמנה</w:t>
      </w:r>
      <w:r w:rsidR="007E4243" w:rsidRPr="007E4243">
        <w:rPr>
          <w:rFonts w:cs="Arial" w:hint="cs"/>
          <w:sz w:val="16"/>
          <w:szCs w:val="16"/>
          <w:rtl/>
        </w:rPr>
        <w:t>, כ"כ בשמו הה"מ פי"ח הכ"ו</w:t>
      </w:r>
      <w:r w:rsidRPr="007E4243">
        <w:rPr>
          <w:rFonts w:cs="Arial"/>
          <w:sz w:val="16"/>
          <w:szCs w:val="16"/>
          <w:rtl/>
        </w:rPr>
        <w:t>)</w:t>
      </w:r>
      <w:r w:rsidR="007E4243" w:rsidRPr="007E4243">
        <w:rPr>
          <w:rFonts w:cs="Arial"/>
          <w:rtl/>
        </w:rPr>
        <w:t xml:space="preserve"> </w:t>
      </w:r>
      <w:r w:rsidR="007E4243">
        <w:rPr>
          <w:rFonts w:cs="Arial" w:hint="cs"/>
          <w:rtl/>
        </w:rPr>
        <w:t>ו</w:t>
      </w:r>
      <w:r w:rsidR="007E4243" w:rsidRPr="00B12054">
        <w:rPr>
          <w:rFonts w:cs="Arial"/>
          <w:rtl/>
        </w:rPr>
        <w:t xml:space="preserve">ר"ן </w:t>
      </w:r>
      <w:r w:rsidR="007E4243" w:rsidRPr="007E4243">
        <w:rPr>
          <w:rFonts w:cs="Arial" w:hint="cs"/>
          <w:sz w:val="16"/>
          <w:szCs w:val="16"/>
          <w:rtl/>
        </w:rPr>
        <w:t>(</w:t>
      </w:r>
      <w:r w:rsidR="007E4243" w:rsidRPr="007E4243">
        <w:rPr>
          <w:rFonts w:cs="Arial"/>
          <w:sz w:val="16"/>
          <w:szCs w:val="16"/>
          <w:rtl/>
        </w:rPr>
        <w:t>ר</w:t>
      </w:r>
      <w:r w:rsidR="007E4243" w:rsidRPr="007E4243">
        <w:rPr>
          <w:rFonts w:cs="Arial" w:hint="cs"/>
          <w:sz w:val="16"/>
          <w:szCs w:val="16"/>
          <w:rtl/>
        </w:rPr>
        <w:t>"פ</w:t>
      </w:r>
      <w:r w:rsidR="007E4243" w:rsidRPr="007E4243">
        <w:rPr>
          <w:rFonts w:cs="Arial"/>
          <w:sz w:val="16"/>
          <w:szCs w:val="16"/>
          <w:rtl/>
        </w:rPr>
        <w:t xml:space="preserve"> אלמנה ניזונת נה: ד"ה אלמנה)</w:t>
      </w:r>
      <w:r w:rsidR="007E4243">
        <w:rPr>
          <w:rFonts w:cs="Arial" w:hint="cs"/>
          <w:rtl/>
        </w:rPr>
        <w:t>-</w:t>
      </w:r>
      <w:r w:rsidRPr="00B12054">
        <w:rPr>
          <w:rFonts w:cs="Arial"/>
          <w:rtl/>
        </w:rPr>
        <w:t xml:space="preserve"> לא בעינן ג' שנים רק גבי אלמנה </w:t>
      </w:r>
      <w:r w:rsidR="007E4243" w:rsidRPr="007E4243">
        <w:rPr>
          <w:rFonts w:cs="Arial" w:hint="cs"/>
          <w:sz w:val="16"/>
          <w:szCs w:val="16"/>
          <w:rtl/>
        </w:rPr>
        <w:t>(</w:t>
      </w:r>
      <w:r w:rsidRPr="007E4243">
        <w:rPr>
          <w:rFonts w:cs="Arial"/>
          <w:sz w:val="16"/>
          <w:szCs w:val="16"/>
          <w:rtl/>
        </w:rPr>
        <w:t>כדלקמן סי</w:t>
      </w:r>
      <w:r w:rsidR="007E4243">
        <w:rPr>
          <w:rFonts w:cs="Arial" w:hint="cs"/>
          <w:sz w:val="16"/>
          <w:szCs w:val="16"/>
          <w:rtl/>
        </w:rPr>
        <w:t>'</w:t>
      </w:r>
      <w:r w:rsidRPr="007E4243">
        <w:rPr>
          <w:rFonts w:cs="Arial"/>
          <w:sz w:val="16"/>
          <w:szCs w:val="16"/>
          <w:rtl/>
        </w:rPr>
        <w:t xml:space="preserve"> צג)</w:t>
      </w:r>
      <w:r w:rsidR="007E4243">
        <w:rPr>
          <w:rFonts w:cs="Arial" w:hint="cs"/>
          <w:rtl/>
        </w:rPr>
        <w:t>,</w:t>
      </w:r>
      <w:r w:rsidRPr="00B12054">
        <w:rPr>
          <w:rFonts w:cs="Arial"/>
          <w:rtl/>
        </w:rPr>
        <w:t xml:space="preserve"> אבל אשת איש שלא תבעה מזונות </w:t>
      </w:r>
      <w:r w:rsidR="007E4243">
        <w:rPr>
          <w:rFonts w:cs="Arial" w:hint="cs"/>
          <w:rtl/>
        </w:rPr>
        <w:t xml:space="preserve">- </w:t>
      </w:r>
      <w:r w:rsidRPr="00B12054">
        <w:rPr>
          <w:rFonts w:cs="Arial"/>
          <w:rtl/>
        </w:rPr>
        <w:t>אבדה מיד לשעבר</w:t>
      </w:r>
      <w:r w:rsidR="007E4243">
        <w:rPr>
          <w:rStyle w:val="a7"/>
          <w:rFonts w:cs="Arial"/>
          <w:rtl/>
        </w:rPr>
        <w:footnoteReference w:id="311"/>
      </w:r>
      <w:r w:rsidR="007E4243">
        <w:rPr>
          <w:rFonts w:cs="Arial" w:hint="cs"/>
          <w:rtl/>
        </w:rPr>
        <w:t>.</w:t>
      </w:r>
      <w:r w:rsidRPr="00B12054">
        <w:rPr>
          <w:rFonts w:cs="Arial"/>
          <w:rtl/>
        </w:rPr>
        <w:t xml:space="preserve"> </w:t>
      </w:r>
    </w:p>
    <w:p w14:paraId="33610EEC" w14:textId="0F93DF23" w:rsidR="00C71DE1" w:rsidRDefault="00C71DE1" w:rsidP="00C71DE1">
      <w:r>
        <w:rPr>
          <w:rFonts w:hint="cs"/>
          <w:u w:val="single"/>
          <w:rtl/>
        </w:rPr>
        <w:t xml:space="preserve">אחד שפירנס חתנו ובתו </w:t>
      </w:r>
      <w:r w:rsidR="00BE3657">
        <w:rPr>
          <w:rFonts w:hint="cs"/>
          <w:u w:val="single"/>
          <w:rtl/>
        </w:rPr>
        <w:t xml:space="preserve">- </w:t>
      </w:r>
      <w:r>
        <w:rPr>
          <w:rFonts w:hint="cs"/>
          <w:u w:val="single"/>
          <w:rtl/>
        </w:rPr>
        <w:t>ואח"כ תבען לשלם לו</w:t>
      </w:r>
      <w:r w:rsidRPr="007E4243">
        <w:rPr>
          <w:rFonts w:hint="cs"/>
          <w:u w:val="single"/>
          <w:rtl/>
        </w:rPr>
        <w:t>:</w:t>
      </w:r>
      <w:r>
        <w:rPr>
          <w:rFonts w:hint="cs"/>
          <w:rtl/>
        </w:rPr>
        <w:t xml:space="preserve"> </w:t>
      </w:r>
      <w:r w:rsidRPr="007E4243">
        <w:rPr>
          <w:rFonts w:hint="cs"/>
          <w:sz w:val="16"/>
          <w:szCs w:val="16"/>
          <w:rtl/>
        </w:rPr>
        <w:t xml:space="preserve">(דרכ"מ אות </w:t>
      </w:r>
      <w:r>
        <w:rPr>
          <w:rFonts w:hint="cs"/>
          <w:sz w:val="16"/>
          <w:szCs w:val="16"/>
          <w:rtl/>
        </w:rPr>
        <w:t>י)</w:t>
      </w:r>
    </w:p>
    <w:p w14:paraId="3158BDB1" w14:textId="49BB575C" w:rsidR="00C71DE1" w:rsidRPr="007E4243" w:rsidRDefault="00C71DE1" w:rsidP="00A83A98">
      <w:pPr>
        <w:pStyle w:val="ab"/>
        <w:numPr>
          <w:ilvl w:val="0"/>
          <w:numId w:val="2"/>
        </w:numPr>
      </w:pPr>
      <w:r>
        <w:rPr>
          <w:rFonts w:cs="Arial" w:hint="cs"/>
          <w:rtl/>
        </w:rPr>
        <w:t xml:space="preserve">תרוה"ד </w:t>
      </w:r>
      <w:r>
        <w:rPr>
          <w:rFonts w:cs="Arial" w:hint="cs"/>
          <w:sz w:val="16"/>
          <w:szCs w:val="16"/>
          <w:rtl/>
        </w:rPr>
        <w:t>(סי' שיז)</w:t>
      </w:r>
      <w:r>
        <w:rPr>
          <w:rFonts w:cs="Arial" w:hint="cs"/>
          <w:rtl/>
        </w:rPr>
        <w:t>-</w:t>
      </w:r>
      <w:r w:rsidRPr="00C71DE1">
        <w:rPr>
          <w:rFonts w:cs="Arial"/>
          <w:rtl/>
        </w:rPr>
        <w:t xml:space="preserve"> אחד פירנס חתנו ובתו ב' שנים ואחר כך תובען לשלם לו</w:t>
      </w:r>
      <w:r>
        <w:rPr>
          <w:rFonts w:cs="Arial" w:hint="cs"/>
          <w:rtl/>
        </w:rPr>
        <w:t xml:space="preserve"> </w:t>
      </w:r>
      <w:r w:rsidR="00BE3657">
        <w:rPr>
          <w:rFonts w:cs="Arial" w:hint="cs"/>
          <w:rtl/>
        </w:rPr>
        <w:t>-</w:t>
      </w:r>
      <w:r>
        <w:rPr>
          <w:rFonts w:cs="Arial" w:hint="cs"/>
          <w:rtl/>
        </w:rPr>
        <w:t xml:space="preserve"> </w:t>
      </w:r>
      <w:r w:rsidRPr="00C71DE1">
        <w:rPr>
          <w:rFonts w:cs="Arial"/>
          <w:rtl/>
        </w:rPr>
        <w:t>פטורים</w:t>
      </w:r>
      <w:r>
        <w:rPr>
          <w:rFonts w:cs="Arial" w:hint="cs"/>
          <w:rtl/>
        </w:rPr>
        <w:t>,</w:t>
      </w:r>
      <w:r w:rsidRPr="00C71DE1">
        <w:rPr>
          <w:rFonts w:cs="Arial"/>
          <w:rtl/>
        </w:rPr>
        <w:t xml:space="preserve"> מאחר דאין רגילות להאכיל בשכר ודאי היה דעתו להאכילן בחנם</w:t>
      </w:r>
      <w:r>
        <w:rPr>
          <w:rFonts w:cs="Arial" w:hint="cs"/>
          <w:rtl/>
        </w:rPr>
        <w:t>.</w:t>
      </w:r>
      <w:r w:rsidRPr="00C71DE1">
        <w:rPr>
          <w:rFonts w:cs="Arial"/>
          <w:rtl/>
        </w:rPr>
        <w:t xml:space="preserve"> אבל אם היה דרכם להאכיל בשכר </w:t>
      </w:r>
      <w:r>
        <w:rPr>
          <w:rFonts w:cs="Arial" w:hint="cs"/>
          <w:rtl/>
        </w:rPr>
        <w:t xml:space="preserve">- </w:t>
      </w:r>
      <w:r w:rsidRPr="00C71DE1">
        <w:rPr>
          <w:rFonts w:cs="Arial"/>
          <w:rtl/>
        </w:rPr>
        <w:t>החתן חייב לשלם לו מזונותיו אבל לא מזונות אשתו</w:t>
      </w:r>
      <w:r>
        <w:rPr>
          <w:rFonts w:cs="Arial" w:hint="cs"/>
          <w:rtl/>
        </w:rPr>
        <w:t>.</w:t>
      </w:r>
    </w:p>
    <w:p w14:paraId="59EF3CBA" w14:textId="77777777" w:rsidR="00971CA9" w:rsidRDefault="00971CA9" w:rsidP="00971CA9">
      <w:pPr>
        <w:rPr>
          <w:rFonts w:cs="Arial"/>
          <w:rtl/>
        </w:rPr>
      </w:pPr>
      <w:r w:rsidRPr="003024E5">
        <w:rPr>
          <w:rFonts w:asciiTheme="minorBidi" w:hAnsiTheme="minorBidi"/>
          <w:b/>
          <w:bCs/>
          <w:color w:val="000000"/>
          <w:sz w:val="28"/>
          <w:szCs w:val="28"/>
          <w:u w:val="single"/>
          <w:rtl/>
        </w:rPr>
        <w:t>שו"ע:</w:t>
      </w:r>
    </w:p>
    <w:p w14:paraId="6420D86D" w14:textId="58E0C17B" w:rsidR="00971CA9" w:rsidRDefault="00971CA9" w:rsidP="00971CA9">
      <w:pPr>
        <w:rPr>
          <w:rtl/>
        </w:rPr>
      </w:pPr>
      <w:r>
        <w:rPr>
          <w:rFonts w:cs="Arial"/>
          <w:rtl/>
        </w:rPr>
        <w:t xml:space="preserve">הלך בעלה, ולותה ואכלה, חייב לשלם. </w:t>
      </w:r>
      <w:r w:rsidRPr="00B12041">
        <w:rPr>
          <w:rFonts w:cs="Arial"/>
          <w:sz w:val="18"/>
          <w:szCs w:val="18"/>
          <w:rtl/>
        </w:rPr>
        <w:t>הגה: המלוה תובע לאשה, והיא תובעת לבעלה. ואם אין האשה כאן, תובע לבעל (ר"ן). מיהו אם מחלה האשה לבעלה, אין למלוה כלום (מרדכי).</w:t>
      </w:r>
      <w:r w:rsidR="003F4FC9">
        <w:rPr>
          <w:rFonts w:cs="Arial" w:hint="cs"/>
          <w:sz w:val="18"/>
          <w:szCs w:val="18"/>
          <w:rtl/>
        </w:rPr>
        <w:t xml:space="preserve"> </w:t>
      </w:r>
      <w:r w:rsidRPr="003F4FC9">
        <w:rPr>
          <w:rFonts w:cs="Arial"/>
          <w:sz w:val="18"/>
          <w:szCs w:val="18"/>
          <w:rtl/>
        </w:rPr>
        <w:t>פסקו לה הב"ד מזונות וצוו לאחד לפרנסה ולגבות מנכסי בעלה, אם מת הבעל אין לו עליה כלום. אבל אם אמרו סתם להלוות לה, אם מת הבעל או אין לו לשלם, ונפל לה ירושה ממקום אחר, צריכה היא לשלם (</w:t>
      </w:r>
      <w:r w:rsidR="00A74DF4">
        <w:rPr>
          <w:rFonts w:cs="Arial" w:hint="cs"/>
          <w:sz w:val="18"/>
          <w:szCs w:val="18"/>
          <w:rtl/>
        </w:rPr>
        <w:t>רשב"א</w:t>
      </w:r>
      <w:r w:rsidRPr="003F4FC9">
        <w:rPr>
          <w:rFonts w:cs="Arial"/>
          <w:sz w:val="18"/>
          <w:szCs w:val="18"/>
          <w:rtl/>
        </w:rPr>
        <w:t xml:space="preserve">). </w:t>
      </w:r>
      <w:r>
        <w:rPr>
          <w:rFonts w:cs="Arial"/>
          <w:rtl/>
        </w:rPr>
        <w:t>עמד אחד מדעת עצמו וזנה</w:t>
      </w:r>
      <w:r w:rsidR="007A1AD5">
        <w:rPr>
          <w:rStyle w:val="a7"/>
          <w:rFonts w:cs="Arial"/>
          <w:rtl/>
        </w:rPr>
        <w:footnoteReference w:id="312"/>
      </w:r>
      <w:r>
        <w:rPr>
          <w:rFonts w:cs="Arial"/>
          <w:rtl/>
        </w:rPr>
        <w:t xml:space="preserve"> משלו, אין הבעל חייב לשלם לו והרי זה איבד מעותיו. </w:t>
      </w:r>
      <w:r w:rsidRPr="00B12041">
        <w:rPr>
          <w:rFonts w:cs="Arial"/>
          <w:sz w:val="18"/>
          <w:szCs w:val="18"/>
          <w:rtl/>
        </w:rPr>
        <w:t>הגה: ואין חילוק בין אביה לאחר שפרנסה. מיהו אם היו חייבים לבעל</w:t>
      </w:r>
      <w:r w:rsidR="008E2836">
        <w:rPr>
          <w:rStyle w:val="a7"/>
          <w:rFonts w:cs="Arial"/>
          <w:sz w:val="18"/>
          <w:szCs w:val="18"/>
          <w:rtl/>
        </w:rPr>
        <w:footnoteReference w:id="313"/>
      </w:r>
      <w:r w:rsidRPr="00B12041">
        <w:rPr>
          <w:rFonts w:cs="Arial"/>
          <w:sz w:val="18"/>
          <w:szCs w:val="18"/>
          <w:rtl/>
        </w:rPr>
        <w:t xml:space="preserve"> ופרנסו אשתו, מנכין לו מחובו (הגמ</w:t>
      </w:r>
      <w:r w:rsidR="00DB7826">
        <w:rPr>
          <w:rFonts w:cs="Arial" w:hint="cs"/>
          <w:sz w:val="18"/>
          <w:szCs w:val="18"/>
          <w:rtl/>
        </w:rPr>
        <w:t>"</w:t>
      </w:r>
      <w:r w:rsidRPr="00B12041">
        <w:rPr>
          <w:rFonts w:cs="Arial"/>
          <w:sz w:val="18"/>
          <w:szCs w:val="18"/>
          <w:rtl/>
        </w:rPr>
        <w:t>ר). ואם אביה עמד ופרנס בתו עם חתנו, אפ"ה א"צ לשלם לו רק מזונות שלו, ולא של בתו (ת</w:t>
      </w:r>
      <w:r w:rsidR="00DB7826">
        <w:rPr>
          <w:rFonts w:cs="Arial" w:hint="cs"/>
          <w:sz w:val="18"/>
          <w:szCs w:val="18"/>
          <w:rtl/>
        </w:rPr>
        <w:t>רו</w:t>
      </w:r>
      <w:r w:rsidRPr="00B12041">
        <w:rPr>
          <w:rFonts w:cs="Arial"/>
          <w:sz w:val="18"/>
          <w:szCs w:val="18"/>
          <w:rtl/>
        </w:rPr>
        <w:t>ה</w:t>
      </w:r>
      <w:r w:rsidR="00DB7826">
        <w:rPr>
          <w:rFonts w:cs="Arial" w:hint="cs"/>
          <w:sz w:val="18"/>
          <w:szCs w:val="18"/>
          <w:rtl/>
        </w:rPr>
        <w:t>"ד</w:t>
      </w:r>
      <w:r w:rsidRPr="00B12041">
        <w:rPr>
          <w:rFonts w:cs="Arial"/>
          <w:sz w:val="18"/>
          <w:szCs w:val="18"/>
          <w:rtl/>
        </w:rPr>
        <w:t>). לא לותה, רק מכרה נכסיה ופרנסה, אין לה עליו כלום ומעשה ידיה שלה (ר"ן).</w:t>
      </w:r>
      <w:r>
        <w:rPr>
          <w:rFonts w:cs="Arial"/>
          <w:rtl/>
        </w:rPr>
        <w:t xml:space="preserve"> </w:t>
      </w:r>
    </w:p>
    <w:p w14:paraId="33DC85F3" w14:textId="77777777" w:rsidR="00B12041" w:rsidRDefault="00B12041" w:rsidP="00971CA9">
      <w:pPr>
        <w:rPr>
          <w:rtl/>
        </w:rPr>
      </w:pPr>
    </w:p>
    <w:p w14:paraId="5B1BC3D5" w14:textId="4B5A3161" w:rsidR="00971CA9" w:rsidRDefault="00971CA9" w:rsidP="000F64D0">
      <w:pPr>
        <w:pStyle w:val="2"/>
        <w:rPr>
          <w:rtl/>
        </w:rPr>
      </w:pPr>
      <w:r>
        <w:rPr>
          <w:rtl/>
        </w:rPr>
        <w:t>סעיף ט</w:t>
      </w:r>
      <w:r w:rsidR="00B12054">
        <w:rPr>
          <w:rFonts w:hint="cs"/>
          <w:rtl/>
        </w:rPr>
        <w:t>:</w:t>
      </w:r>
      <w:r w:rsidR="00F34FA8">
        <w:rPr>
          <w:rFonts w:hint="cs"/>
          <w:rtl/>
        </w:rPr>
        <w:t xml:space="preserve"> חזר ממדינת הים ואמר 'צאי מעשה ידיך שעשית או שהיה לך לעשות במזונותיך'.</w:t>
      </w:r>
    </w:p>
    <w:p w14:paraId="0BDCEF2D" w14:textId="77777777" w:rsidR="00765055" w:rsidRPr="00D14ADC" w:rsidRDefault="00765055" w:rsidP="00765055">
      <w:pPr>
        <w:rPr>
          <w:u w:val="single"/>
        </w:rPr>
      </w:pPr>
      <w:r>
        <w:rPr>
          <w:rFonts w:hint="cs"/>
          <w:u w:val="single"/>
          <w:rtl/>
        </w:rPr>
        <w:t>אמר לה בשעה</w:t>
      </w:r>
      <w:r w:rsidRPr="00D14ADC">
        <w:rPr>
          <w:rFonts w:hint="cs"/>
          <w:u w:val="single"/>
          <w:rtl/>
        </w:rPr>
        <w:t xml:space="preserve"> שהלך</w:t>
      </w:r>
      <w:r>
        <w:rPr>
          <w:rFonts w:hint="cs"/>
          <w:u w:val="single"/>
          <w:rtl/>
        </w:rPr>
        <w:t xml:space="preserve"> למדינת הים</w:t>
      </w:r>
      <w:r w:rsidRPr="00D14ADC">
        <w:rPr>
          <w:rFonts w:hint="cs"/>
          <w:u w:val="single"/>
          <w:rtl/>
        </w:rPr>
        <w:t xml:space="preserve"> 'צאי מעשה ידיך במזונותיך':</w:t>
      </w:r>
    </w:p>
    <w:p w14:paraId="35D03683" w14:textId="77777777" w:rsidR="00765055" w:rsidRDefault="00765055" w:rsidP="00CE6A2B">
      <w:pPr>
        <w:pStyle w:val="ab"/>
        <w:numPr>
          <w:ilvl w:val="0"/>
          <w:numId w:val="6"/>
        </w:numPr>
        <w:rPr>
          <w:rFonts w:cs="Arial"/>
        </w:rPr>
      </w:pPr>
      <w:r>
        <w:rPr>
          <w:rFonts w:cs="Arial" w:hint="cs"/>
          <w:rtl/>
        </w:rPr>
        <w:t xml:space="preserve">טור- </w:t>
      </w:r>
      <w:r w:rsidRPr="0097582A">
        <w:rPr>
          <w:rFonts w:cs="Arial"/>
          <w:rtl/>
        </w:rPr>
        <w:t xml:space="preserve">ואם בא ואמר קודם שהלכתי אמרתי לה צאי מעשה ידיך במזונותיך ונתרצית </w:t>
      </w:r>
      <w:r>
        <w:rPr>
          <w:rFonts w:cs="Arial" w:hint="cs"/>
          <w:rtl/>
        </w:rPr>
        <w:t xml:space="preserve">- </w:t>
      </w:r>
      <w:r w:rsidRPr="0097582A">
        <w:rPr>
          <w:rFonts w:cs="Arial"/>
          <w:rtl/>
        </w:rPr>
        <w:t>נאמן</w:t>
      </w:r>
      <w:r>
        <w:rPr>
          <w:rStyle w:val="a7"/>
          <w:rFonts w:cs="Arial"/>
          <w:rtl/>
        </w:rPr>
        <w:footnoteReference w:id="314"/>
      </w:r>
      <w:r>
        <w:rPr>
          <w:rFonts w:cs="Arial" w:hint="cs"/>
          <w:rtl/>
        </w:rPr>
        <w:t>.</w:t>
      </w:r>
      <w:r w:rsidRPr="007707B3">
        <w:rPr>
          <w:rtl/>
        </w:rPr>
        <w:t xml:space="preserve"> </w:t>
      </w:r>
    </w:p>
    <w:p w14:paraId="0FC81D07" w14:textId="5A48964A" w:rsidR="00765055" w:rsidRPr="007707B3" w:rsidRDefault="00765055" w:rsidP="00CE6A2B">
      <w:pPr>
        <w:pStyle w:val="ab"/>
        <w:numPr>
          <w:ilvl w:val="0"/>
          <w:numId w:val="6"/>
        </w:numPr>
        <w:rPr>
          <w:rFonts w:cs="Arial"/>
          <w:rtl/>
        </w:rPr>
      </w:pPr>
      <w:r w:rsidRPr="007707B3">
        <w:rPr>
          <w:rFonts w:cs="Arial"/>
          <w:rtl/>
        </w:rPr>
        <w:t xml:space="preserve">רמב"ם </w:t>
      </w:r>
      <w:r>
        <w:rPr>
          <w:rFonts w:cs="Arial" w:hint="cs"/>
          <w:sz w:val="16"/>
          <w:szCs w:val="16"/>
          <w:rtl/>
        </w:rPr>
        <w:t>(פי"ב מאישות ה"כ)</w:t>
      </w:r>
      <w:r>
        <w:rPr>
          <w:rFonts w:cs="Arial" w:hint="cs"/>
          <w:rtl/>
        </w:rPr>
        <w:t>-</w:t>
      </w:r>
      <w:r w:rsidRPr="00C57942">
        <w:rPr>
          <w:rtl/>
        </w:rPr>
        <w:t xml:space="preserve"> </w:t>
      </w:r>
      <w:r w:rsidRPr="00C57942">
        <w:rPr>
          <w:rFonts w:cs="Arial"/>
          <w:rtl/>
        </w:rPr>
        <w:t xml:space="preserve">הבעל שאמר לאשתו בשעה שהלך טלי מעשה ידיך במזונותיך </w:t>
      </w:r>
      <w:r w:rsidR="00A450D7">
        <w:rPr>
          <w:rFonts w:cs="Arial" w:hint="cs"/>
          <w:rtl/>
        </w:rPr>
        <w:t xml:space="preserve">- </w:t>
      </w:r>
      <w:r w:rsidRPr="00C57942">
        <w:rPr>
          <w:rFonts w:cs="Arial"/>
          <w:rtl/>
        </w:rPr>
        <w:t>אין לה מזונות, שאילו לא רצתה בדבר זה ולא סמכה דעתה היה לה לתבעו או לומר לו אין מעשה ידי מספיקין לי</w:t>
      </w:r>
      <w:r>
        <w:rPr>
          <w:rStyle w:val="a7"/>
          <w:rFonts w:cs="Arial"/>
          <w:rtl/>
        </w:rPr>
        <w:footnoteReference w:id="315"/>
      </w:r>
      <w:r>
        <w:rPr>
          <w:rFonts w:cs="Arial" w:hint="cs"/>
          <w:rtl/>
        </w:rPr>
        <w:t>.</w:t>
      </w:r>
    </w:p>
    <w:p w14:paraId="723889EB" w14:textId="4212838C" w:rsidR="00D14ADC" w:rsidRPr="00D14ADC" w:rsidRDefault="00D14ADC" w:rsidP="00D14ADC">
      <w:pPr>
        <w:rPr>
          <w:u w:val="single"/>
        </w:rPr>
      </w:pPr>
      <w:r>
        <w:rPr>
          <w:rFonts w:hint="cs"/>
          <w:u w:val="single"/>
          <w:rtl/>
        </w:rPr>
        <w:t>הלך למדינת הים, ולותה כדי לקנות</w:t>
      </w:r>
      <w:r w:rsidRPr="00D14ADC">
        <w:rPr>
          <w:rFonts w:hint="cs"/>
          <w:u w:val="single"/>
          <w:rtl/>
        </w:rPr>
        <w:t xml:space="preserve"> בגדי שבת ורגל</w:t>
      </w:r>
      <w:r>
        <w:rPr>
          <w:rFonts w:hint="cs"/>
          <w:u w:val="single"/>
          <w:rtl/>
        </w:rPr>
        <w:t>:</w:t>
      </w:r>
    </w:p>
    <w:p w14:paraId="2EE82E3B" w14:textId="5FCFA020" w:rsidR="00FF017E" w:rsidRPr="00D14ADC" w:rsidRDefault="00D14ADC" w:rsidP="00CE6A2B">
      <w:pPr>
        <w:pStyle w:val="ab"/>
        <w:numPr>
          <w:ilvl w:val="0"/>
          <w:numId w:val="6"/>
        </w:numPr>
        <w:rPr>
          <w:rtl/>
        </w:rPr>
      </w:pPr>
      <w:r w:rsidRPr="00D14ADC">
        <w:rPr>
          <w:rFonts w:cs="Arial" w:hint="cs"/>
          <w:rtl/>
        </w:rPr>
        <w:t xml:space="preserve">מהר"ם </w:t>
      </w:r>
      <w:r w:rsidR="00B12054" w:rsidRPr="00D14ADC">
        <w:rPr>
          <w:rFonts w:cs="Arial"/>
          <w:sz w:val="16"/>
          <w:szCs w:val="16"/>
          <w:rtl/>
        </w:rPr>
        <w:t>(ד"פ סי' פב)</w:t>
      </w:r>
      <w:r w:rsidRPr="00D14ADC">
        <w:rPr>
          <w:rFonts w:cs="Arial" w:hint="cs"/>
          <w:rtl/>
        </w:rPr>
        <w:t xml:space="preserve">- </w:t>
      </w:r>
      <w:r w:rsidRPr="00D14ADC">
        <w:rPr>
          <w:rFonts w:cs="Arial"/>
          <w:rtl/>
        </w:rPr>
        <w:t>ועל אבי הבחורה שהלוה לה לצורך בגדים אם קנתה בגדי' שדרך משפחתו ומשפחתה בכך ונמצא שמן הדין חייב והיא לותה בפירוש ע"מ לפרוע או אפי' בסתם שאז היא חייבת לפרוע חייב הבעל מדר' נתן דלא שייך התם למימר הניח מעותיו על קרן הצבי אמנם אם הבעל רוצה לשבע שחמיו הי' לו כל כך הרבה משלו ישבע כן ויפטור כדרך כל הנשבעי' שבתורה שנשבעי' ולא משלמי' ואם לא הלוה לה אלא סמך שיפרע הבעל שייך למימר הניח מעותיו על קרן הצבי כמו מי שהלך למדה"י ועמד א' ופרנס את אשתו דקיי"ל כחנן דאמ' [כתובות קז</w:t>
      </w:r>
      <w:r>
        <w:rPr>
          <w:rFonts w:cs="Arial" w:hint="cs"/>
          <w:rtl/>
        </w:rPr>
        <w:t>:</w:t>
      </w:r>
      <w:r w:rsidRPr="00D14ADC">
        <w:rPr>
          <w:rFonts w:cs="Arial"/>
          <w:rtl/>
        </w:rPr>
        <w:t>] הניח מעותיו על קרן הצבי ואין לחלק לענין בגדי' יתרים שאינם צריכי' כל כך בין אב לאחר אפי' מאן דמפליג בין אב לאחר בירושלמי בפ' בתרא דכתו' דה"מ גבי מזונות שלא עלתה על דעתו שתמות בתו ברעב או לקוברה כדאי' בירושלמי ולא עלתה על דעתו שתהא מושלכת לכלבים אבל בגדי שבת ורגל שאין לה צורך גדול כל כך לא ושלום מאיר ב"ב זלה"ה</w:t>
      </w:r>
      <w:r w:rsidR="00B12054" w:rsidRPr="00D14ADC">
        <w:rPr>
          <w:rFonts w:cs="Arial"/>
          <w:rtl/>
        </w:rPr>
        <w:t>.</w:t>
      </w:r>
    </w:p>
    <w:p w14:paraId="49F99598" w14:textId="77777777" w:rsidR="00971CA9" w:rsidRDefault="00971CA9" w:rsidP="00971CA9">
      <w:pPr>
        <w:rPr>
          <w:rFonts w:cs="Arial"/>
          <w:rtl/>
        </w:rPr>
      </w:pPr>
      <w:r w:rsidRPr="003024E5">
        <w:rPr>
          <w:rFonts w:asciiTheme="minorBidi" w:hAnsiTheme="minorBidi"/>
          <w:b/>
          <w:bCs/>
          <w:color w:val="000000"/>
          <w:sz w:val="28"/>
          <w:szCs w:val="28"/>
          <w:u w:val="single"/>
          <w:rtl/>
        </w:rPr>
        <w:t>שו"ע:</w:t>
      </w:r>
    </w:p>
    <w:p w14:paraId="5334B458" w14:textId="523BBA04" w:rsidR="00971CA9" w:rsidRDefault="00971CA9" w:rsidP="00971CA9">
      <w:pPr>
        <w:rPr>
          <w:rtl/>
        </w:rPr>
      </w:pPr>
      <w:r>
        <w:rPr>
          <w:rFonts w:cs="Arial"/>
          <w:rtl/>
        </w:rPr>
        <w:t xml:space="preserve">הבעל שאמר לאשתו בשעה שהלך: טלי מעשה ידיך למזונותיך, ושתקה, אין לה מזונות. </w:t>
      </w:r>
    </w:p>
    <w:p w14:paraId="585C08D0" w14:textId="77777777" w:rsidR="0096537E" w:rsidRDefault="0096537E" w:rsidP="00971CA9">
      <w:pPr>
        <w:rPr>
          <w:rtl/>
        </w:rPr>
      </w:pPr>
    </w:p>
    <w:p w14:paraId="27F77860" w14:textId="43B840E6" w:rsidR="00971CA9" w:rsidRDefault="00971CA9" w:rsidP="000F64D0">
      <w:pPr>
        <w:pStyle w:val="2"/>
        <w:rPr>
          <w:rtl/>
        </w:rPr>
      </w:pPr>
      <w:r>
        <w:rPr>
          <w:rtl/>
        </w:rPr>
        <w:lastRenderedPageBreak/>
        <w:t>סעיף י</w:t>
      </w:r>
      <w:r w:rsidR="0096537E">
        <w:rPr>
          <w:rFonts w:hint="cs"/>
          <w:rtl/>
        </w:rPr>
        <w:t>:</w:t>
      </w:r>
      <w:r w:rsidR="00765055">
        <w:rPr>
          <w:rFonts w:hint="cs"/>
          <w:rtl/>
        </w:rPr>
        <w:t xml:space="preserve"> </w:t>
      </w:r>
      <w:r w:rsidR="00765055" w:rsidRPr="00765055">
        <w:rPr>
          <w:rFonts w:hint="cs"/>
          <w:rtl/>
        </w:rPr>
        <w:t>חזר ממדינת הים ואמר 'הנחתי לה מזונות לפני שיצאתי'</w:t>
      </w:r>
      <w:r w:rsidR="00765055">
        <w:rPr>
          <w:rFonts w:hint="cs"/>
          <w:rtl/>
        </w:rPr>
        <w:t>.</w:t>
      </w:r>
    </w:p>
    <w:p w14:paraId="328263FB" w14:textId="4ECF9CD7" w:rsidR="00C57942" w:rsidRDefault="00C57942" w:rsidP="00C57942">
      <w:pPr>
        <w:rPr>
          <w:rFonts w:cs="Arial"/>
          <w:rtl/>
        </w:rPr>
      </w:pPr>
      <w:r w:rsidRPr="005E29BB">
        <w:rPr>
          <w:rFonts w:cs="Arial" w:hint="cs"/>
          <w:b/>
          <w:bCs/>
          <w:rtl/>
        </w:rPr>
        <w:t xml:space="preserve">כתובות </w:t>
      </w:r>
      <w:r w:rsidRPr="005E29BB">
        <w:rPr>
          <w:rFonts w:cs="Arial" w:hint="cs"/>
          <w:b/>
          <w:bCs/>
          <w:sz w:val="16"/>
          <w:szCs w:val="16"/>
          <w:rtl/>
        </w:rPr>
        <w:t>(פ' שני דייני)</w:t>
      </w:r>
      <w:r w:rsidRPr="005E29BB">
        <w:rPr>
          <w:rFonts w:cs="Arial" w:hint="cs"/>
          <w:b/>
          <w:bCs/>
          <w:rtl/>
        </w:rPr>
        <w:t xml:space="preserve"> קז ע"א:</w:t>
      </w:r>
      <w:r>
        <w:rPr>
          <w:rFonts w:hint="cs"/>
          <w:rtl/>
        </w:rPr>
        <w:t xml:space="preserve"> </w:t>
      </w:r>
      <w:r w:rsidRPr="005E29BB">
        <w:rPr>
          <w:rFonts w:cs="Arial"/>
          <w:rtl/>
        </w:rPr>
        <w:t xml:space="preserve">תא שמע: מי שהלך למדינת הים ואשתו תובעת מזונות, </w:t>
      </w:r>
      <w:r w:rsidRPr="005E29BB">
        <w:rPr>
          <w:rFonts w:cs="Arial"/>
          <w:u w:val="single"/>
          <w:rtl/>
        </w:rPr>
        <w:t>בני כהנים גדולים אומרים</w:t>
      </w:r>
      <w:r w:rsidRPr="005E29BB">
        <w:rPr>
          <w:rFonts w:cs="Arial"/>
          <w:rtl/>
        </w:rPr>
        <w:t xml:space="preserve">: תשבע, </w:t>
      </w:r>
      <w:r w:rsidRPr="005E29BB">
        <w:rPr>
          <w:rFonts w:cs="Arial"/>
          <w:u w:val="single"/>
          <w:rtl/>
        </w:rPr>
        <w:t>חנן אומר</w:t>
      </w:r>
      <w:r w:rsidRPr="005E29BB">
        <w:rPr>
          <w:rFonts w:cs="Arial"/>
          <w:rtl/>
        </w:rPr>
        <w:t>: לא תשבע, ואם בא ואמר פסקתי לה מזונות - נאמן</w:t>
      </w:r>
      <w:r>
        <w:rPr>
          <w:rFonts w:cs="Arial" w:hint="cs"/>
          <w:rtl/>
        </w:rPr>
        <w:t>.</w:t>
      </w:r>
      <w:r w:rsidR="00765055">
        <w:rPr>
          <w:rFonts w:cs="Arial" w:hint="cs"/>
          <w:rtl/>
        </w:rPr>
        <w:t>..</w:t>
      </w:r>
      <w:r w:rsidR="00765055" w:rsidRPr="00765055">
        <w:rPr>
          <w:rFonts w:cs="Arial"/>
          <w:rtl/>
        </w:rPr>
        <w:t xml:space="preserve"> </w:t>
      </w:r>
      <w:r w:rsidR="00765055" w:rsidRPr="00A26F4F">
        <w:rPr>
          <w:rFonts w:cs="Arial"/>
          <w:rtl/>
        </w:rPr>
        <w:t>ת"ש: מי שהלך למדינת הים ואשתו תובעת מזונות, ואם בא ואמר צאי מעשה ידיך במזונותיך - רשאי, קדמו בית דין ופסקו - מה שפסקו פסקו</w:t>
      </w:r>
      <w:r w:rsidR="00765055">
        <w:rPr>
          <w:rFonts w:cs="Arial" w:hint="cs"/>
          <w:rtl/>
        </w:rPr>
        <w:t>.</w:t>
      </w:r>
    </w:p>
    <w:p w14:paraId="4F426E3F" w14:textId="77777777" w:rsidR="00C57942" w:rsidRPr="008F6E32" w:rsidRDefault="00C57942" w:rsidP="00C57942">
      <w:pPr>
        <w:rPr>
          <w:rFonts w:cs="Arial"/>
          <w:u w:val="single"/>
          <w:rtl/>
        </w:rPr>
      </w:pPr>
      <w:r w:rsidRPr="00765055">
        <w:rPr>
          <w:rFonts w:cs="Arial" w:hint="cs"/>
          <w:u w:val="single"/>
          <w:rtl/>
        </w:rPr>
        <w:t>בעל שחזר ממדינת הים ואמר 'הנחתי לה מזונות לפני שיצאתי'</w:t>
      </w:r>
      <w:r w:rsidRPr="008F6E32">
        <w:rPr>
          <w:rFonts w:cs="Arial" w:hint="cs"/>
          <w:u w:val="single"/>
          <w:rtl/>
        </w:rPr>
        <w:t>:</w:t>
      </w:r>
    </w:p>
    <w:p w14:paraId="428C4D77" w14:textId="77777777" w:rsidR="00C57942" w:rsidRPr="00235C1E" w:rsidRDefault="00C57942" w:rsidP="00CE6A2B">
      <w:pPr>
        <w:pStyle w:val="ab"/>
        <w:numPr>
          <w:ilvl w:val="0"/>
          <w:numId w:val="6"/>
        </w:numPr>
      </w:pPr>
      <w:r w:rsidRPr="00235C1E">
        <w:rPr>
          <w:rFonts w:cs="Arial"/>
          <w:rtl/>
        </w:rPr>
        <w:t>רי"ף</w:t>
      </w:r>
      <w:r>
        <w:rPr>
          <w:rFonts w:cs="Arial" w:hint="cs"/>
          <w:rtl/>
        </w:rPr>
        <w:t xml:space="preserve"> </w:t>
      </w:r>
      <w:r w:rsidRPr="001F293E">
        <w:rPr>
          <w:rFonts w:cs="Arial"/>
          <w:sz w:val="16"/>
          <w:szCs w:val="16"/>
          <w:rtl/>
        </w:rPr>
        <w:t>(סב:</w:t>
      </w:r>
      <w:r>
        <w:rPr>
          <w:rFonts w:cs="Arial" w:hint="cs"/>
          <w:sz w:val="16"/>
          <w:szCs w:val="16"/>
          <w:rtl/>
        </w:rPr>
        <w:t>, ובתשו'</w:t>
      </w:r>
      <w:r>
        <w:rPr>
          <w:rStyle w:val="a7"/>
          <w:rFonts w:cs="Arial"/>
          <w:sz w:val="16"/>
          <w:szCs w:val="16"/>
          <w:rtl/>
        </w:rPr>
        <w:footnoteReference w:id="316"/>
      </w:r>
      <w:r>
        <w:rPr>
          <w:rFonts w:cs="Arial" w:hint="cs"/>
          <w:sz w:val="16"/>
          <w:szCs w:val="16"/>
          <w:rtl/>
        </w:rPr>
        <w:t>, הביאה ספר התרומות [שער סה ח"א אות ו] והטור</w:t>
      </w:r>
      <w:r w:rsidRPr="001F293E">
        <w:rPr>
          <w:rFonts w:cs="Arial"/>
          <w:sz w:val="16"/>
          <w:szCs w:val="16"/>
          <w:rtl/>
        </w:rPr>
        <w:t>)</w:t>
      </w:r>
      <w:r w:rsidRPr="00235C1E">
        <w:rPr>
          <w:rFonts w:cs="Arial"/>
          <w:rtl/>
        </w:rPr>
        <w:t xml:space="preserve"> רש"י </w:t>
      </w:r>
      <w:r w:rsidRPr="00235C1E">
        <w:rPr>
          <w:rFonts w:cs="Arial" w:hint="cs"/>
          <w:sz w:val="16"/>
          <w:szCs w:val="16"/>
          <w:rtl/>
        </w:rPr>
        <w:t>(שם ד"ה נאמן)</w:t>
      </w:r>
      <w:r w:rsidRPr="001F293E">
        <w:rPr>
          <w:rFonts w:cs="Arial"/>
          <w:rtl/>
        </w:rPr>
        <w:t xml:space="preserve"> </w:t>
      </w:r>
      <w:r>
        <w:rPr>
          <w:rFonts w:cs="Arial" w:hint="cs"/>
          <w:rtl/>
        </w:rPr>
        <w:t>ו</w:t>
      </w:r>
      <w:r w:rsidRPr="00235C1E">
        <w:rPr>
          <w:rFonts w:cs="Arial"/>
          <w:rtl/>
        </w:rPr>
        <w:t xml:space="preserve">רא"ש </w:t>
      </w:r>
      <w:r w:rsidRPr="001F293E">
        <w:rPr>
          <w:rFonts w:cs="Arial"/>
          <w:sz w:val="16"/>
          <w:szCs w:val="16"/>
          <w:rtl/>
        </w:rPr>
        <w:t>(סי' א)</w:t>
      </w:r>
      <w:r w:rsidRPr="00235C1E">
        <w:rPr>
          <w:rFonts w:cs="Arial" w:hint="cs"/>
          <w:rtl/>
        </w:rPr>
        <w:t xml:space="preserve">- </w:t>
      </w:r>
      <w:r w:rsidRPr="00235C1E">
        <w:rPr>
          <w:rFonts w:cs="Arial"/>
          <w:rtl/>
        </w:rPr>
        <w:t>נאמן</w:t>
      </w:r>
      <w:r>
        <w:rPr>
          <w:rFonts w:cs="Arial" w:hint="cs"/>
          <w:rtl/>
        </w:rPr>
        <w:t>,</w:t>
      </w:r>
      <w:r w:rsidRPr="00235C1E">
        <w:rPr>
          <w:rFonts w:cs="Arial"/>
          <w:rtl/>
        </w:rPr>
        <w:t xml:space="preserve"> ובשבועה</w:t>
      </w:r>
      <w:r>
        <w:rPr>
          <w:rFonts w:cs="Arial" w:hint="cs"/>
          <w:rtl/>
        </w:rPr>
        <w:t>,</w:t>
      </w:r>
      <w:r w:rsidRPr="00235C1E">
        <w:rPr>
          <w:rFonts w:cs="Arial"/>
          <w:rtl/>
        </w:rPr>
        <w:t xml:space="preserve"> ומחזרת מה שנתנו לה ב"ד</w:t>
      </w:r>
      <w:r>
        <w:rPr>
          <w:rStyle w:val="a7"/>
          <w:rFonts w:cs="Arial"/>
          <w:rtl/>
        </w:rPr>
        <w:footnoteReference w:id="317"/>
      </w:r>
      <w:r>
        <w:rPr>
          <w:rFonts w:cs="Arial" w:hint="cs"/>
          <w:sz w:val="16"/>
          <w:szCs w:val="16"/>
          <w:rtl/>
        </w:rPr>
        <w:t xml:space="preserve"> (ל' רש"י)</w:t>
      </w:r>
      <w:r w:rsidRPr="00235C1E">
        <w:rPr>
          <w:rFonts w:cs="Arial" w:hint="cs"/>
          <w:rtl/>
        </w:rPr>
        <w:t>.</w:t>
      </w:r>
      <w:r w:rsidRPr="00235C1E">
        <w:rPr>
          <w:rFonts w:cs="Arial"/>
          <w:rtl/>
        </w:rPr>
        <w:t xml:space="preserve"> </w:t>
      </w:r>
    </w:p>
    <w:p w14:paraId="1B849B42" w14:textId="77777777" w:rsidR="00C57942" w:rsidRPr="008F6E32" w:rsidRDefault="00C57942" w:rsidP="00CE6A2B">
      <w:pPr>
        <w:pStyle w:val="ab"/>
        <w:numPr>
          <w:ilvl w:val="0"/>
          <w:numId w:val="6"/>
        </w:numPr>
      </w:pPr>
      <w:r w:rsidRPr="00235C1E">
        <w:rPr>
          <w:rFonts w:cs="Arial"/>
          <w:rtl/>
        </w:rPr>
        <w:t>תוס</w:t>
      </w:r>
      <w:r>
        <w:rPr>
          <w:rFonts w:cs="Arial" w:hint="cs"/>
          <w:rtl/>
        </w:rPr>
        <w:t>'</w:t>
      </w:r>
      <w:r w:rsidRPr="00235C1E">
        <w:rPr>
          <w:rFonts w:cs="Arial"/>
          <w:rtl/>
        </w:rPr>
        <w:t xml:space="preserve"> </w:t>
      </w:r>
      <w:r w:rsidRPr="00235C1E">
        <w:rPr>
          <w:rFonts w:cs="Arial"/>
          <w:sz w:val="16"/>
          <w:szCs w:val="16"/>
          <w:rtl/>
        </w:rPr>
        <w:t>(ד"ה ואם)</w:t>
      </w:r>
      <w:r>
        <w:rPr>
          <w:rFonts w:cs="Arial" w:hint="cs"/>
          <w:rtl/>
        </w:rPr>
        <w:t>-</w:t>
      </w:r>
      <w:r w:rsidRPr="00235C1E">
        <w:rPr>
          <w:rFonts w:cs="Arial"/>
          <w:rtl/>
        </w:rPr>
        <w:t xml:space="preserve"> </w:t>
      </w:r>
      <w:r w:rsidRPr="00EB5667">
        <w:rPr>
          <w:rFonts w:cs="Arial"/>
          <w:rtl/>
        </w:rPr>
        <w:t xml:space="preserve">ונראה לרבי </w:t>
      </w:r>
      <w:r>
        <w:rPr>
          <w:rFonts w:cs="Arial" w:hint="cs"/>
          <w:sz w:val="16"/>
          <w:szCs w:val="16"/>
          <w:rtl/>
        </w:rPr>
        <w:t xml:space="preserve">{ד-'נאמן' היינו} </w:t>
      </w:r>
      <w:r w:rsidRPr="00EB5667">
        <w:rPr>
          <w:rFonts w:cs="Arial"/>
          <w:rtl/>
        </w:rPr>
        <w:t>להצריכה שבועה</w:t>
      </w:r>
      <w:r>
        <w:rPr>
          <w:rFonts w:cs="Arial" w:hint="cs"/>
          <w:rtl/>
        </w:rPr>
        <w:t>,</w:t>
      </w:r>
      <w:r w:rsidRPr="00EB5667">
        <w:rPr>
          <w:rFonts w:cs="Arial"/>
          <w:rtl/>
        </w:rPr>
        <w:t xml:space="preserve"> ובשבועה תגבה מה שלוותה ואכלה</w:t>
      </w:r>
      <w:r>
        <w:rPr>
          <w:rFonts w:cs="Arial" w:hint="cs"/>
          <w:rtl/>
        </w:rPr>
        <w:t>.</w:t>
      </w:r>
      <w:r w:rsidRPr="00EB5667">
        <w:rPr>
          <w:rFonts w:cs="Arial"/>
          <w:rtl/>
        </w:rPr>
        <w:t xml:space="preserve"> דאי לאו הכי לא תמצא מי שילוה לה</w:t>
      </w:r>
      <w:r>
        <w:rPr>
          <w:rFonts w:cs="Arial" w:hint="cs"/>
          <w:rtl/>
        </w:rPr>
        <w:t>,</w:t>
      </w:r>
      <w:r w:rsidRPr="00EB5667">
        <w:rPr>
          <w:rFonts w:cs="Arial"/>
          <w:rtl/>
        </w:rPr>
        <w:t xml:space="preserve"> שיראים להפסיד</w:t>
      </w:r>
      <w:r>
        <w:rPr>
          <w:rFonts w:cs="Arial" w:hint="cs"/>
          <w:rtl/>
        </w:rPr>
        <w:t>.</w:t>
      </w:r>
      <w:r w:rsidRPr="00EB5667">
        <w:rPr>
          <w:rFonts w:cs="Arial"/>
          <w:rtl/>
        </w:rPr>
        <w:t xml:space="preserve"> אבל עכשיו שהיא נשבעת אין יראים כלום</w:t>
      </w:r>
      <w:r>
        <w:rPr>
          <w:rFonts w:cs="Arial" w:hint="cs"/>
          <w:rtl/>
        </w:rPr>
        <w:t>,</w:t>
      </w:r>
      <w:r w:rsidRPr="00EB5667">
        <w:rPr>
          <w:rFonts w:cs="Arial"/>
          <w:rtl/>
        </w:rPr>
        <w:t xml:space="preserve"> שסומכין עליה שתשבע</w:t>
      </w:r>
      <w:r>
        <w:rPr>
          <w:rStyle w:val="a7"/>
          <w:rFonts w:cs="Arial"/>
          <w:rtl/>
        </w:rPr>
        <w:footnoteReference w:id="318"/>
      </w:r>
      <w:r>
        <w:rPr>
          <w:rFonts w:cs="Arial" w:hint="cs"/>
          <w:rtl/>
        </w:rPr>
        <w:t>.</w:t>
      </w:r>
      <w:r w:rsidRPr="00235C1E">
        <w:rPr>
          <w:rFonts w:cs="Arial"/>
          <w:rtl/>
        </w:rPr>
        <w:t xml:space="preserve"> </w:t>
      </w:r>
      <w:r w:rsidRPr="0085543D">
        <w:rPr>
          <w:rFonts w:cs="Arial"/>
          <w:rtl/>
        </w:rPr>
        <w:t xml:space="preserve"> </w:t>
      </w:r>
    </w:p>
    <w:p w14:paraId="49450253" w14:textId="748A9B2A" w:rsidR="00C57942" w:rsidRDefault="00C57942" w:rsidP="00CE6A2B">
      <w:pPr>
        <w:pStyle w:val="ab"/>
        <w:numPr>
          <w:ilvl w:val="0"/>
          <w:numId w:val="6"/>
        </w:numPr>
      </w:pPr>
      <w:r w:rsidRPr="00235C1E">
        <w:rPr>
          <w:rFonts w:cs="Arial"/>
          <w:rtl/>
        </w:rPr>
        <w:t xml:space="preserve">רמב"ם </w:t>
      </w:r>
      <w:r w:rsidRPr="0085543D">
        <w:rPr>
          <w:rFonts w:cs="Arial" w:hint="cs"/>
          <w:sz w:val="16"/>
          <w:szCs w:val="16"/>
          <w:rtl/>
        </w:rPr>
        <w:t>(</w:t>
      </w:r>
      <w:r w:rsidRPr="0085543D">
        <w:rPr>
          <w:rFonts w:cs="Arial"/>
          <w:sz w:val="16"/>
          <w:szCs w:val="16"/>
          <w:rtl/>
        </w:rPr>
        <w:t>פי"ב מאישות</w:t>
      </w:r>
      <w:r w:rsidRPr="0085543D">
        <w:rPr>
          <w:rFonts w:cs="Arial" w:hint="cs"/>
          <w:sz w:val="16"/>
          <w:szCs w:val="16"/>
          <w:rtl/>
        </w:rPr>
        <w:t xml:space="preserve"> </w:t>
      </w:r>
      <w:r w:rsidRPr="0085543D">
        <w:rPr>
          <w:rFonts w:cs="Arial"/>
          <w:sz w:val="16"/>
          <w:szCs w:val="16"/>
          <w:rtl/>
        </w:rPr>
        <w:t>הכ</w:t>
      </w:r>
      <w:r w:rsidRPr="0085543D">
        <w:rPr>
          <w:rFonts w:cs="Arial" w:hint="cs"/>
          <w:sz w:val="16"/>
          <w:szCs w:val="16"/>
          <w:rtl/>
        </w:rPr>
        <w:t>"</w:t>
      </w:r>
      <w:r w:rsidRPr="0085543D">
        <w:rPr>
          <w:rFonts w:cs="Arial"/>
          <w:sz w:val="16"/>
          <w:szCs w:val="16"/>
          <w:rtl/>
        </w:rPr>
        <w:t>א-כב)</w:t>
      </w:r>
      <w:r>
        <w:rPr>
          <w:rFonts w:cs="Arial" w:hint="cs"/>
          <w:rtl/>
        </w:rPr>
        <w:t>-</w:t>
      </w:r>
      <w:r w:rsidRPr="00235C1E">
        <w:rPr>
          <w:rFonts w:cs="Arial"/>
          <w:rtl/>
        </w:rPr>
        <w:t xml:space="preserve"> הרי שעמדה בדין ופסקו לה מזונות ומכרו בית דין ונתנו לה</w:t>
      </w:r>
      <w:r>
        <w:rPr>
          <w:rFonts w:cs="Arial" w:hint="cs"/>
          <w:rtl/>
        </w:rPr>
        <w:t>,</w:t>
      </w:r>
      <w:r w:rsidRPr="00235C1E">
        <w:rPr>
          <w:rFonts w:cs="Arial"/>
          <w:rtl/>
        </w:rPr>
        <w:t xml:space="preserve"> או שמכרה היא לעצמה</w:t>
      </w:r>
      <w:r>
        <w:rPr>
          <w:rFonts w:cs="Arial" w:hint="cs"/>
          <w:rtl/>
        </w:rPr>
        <w:t>,</w:t>
      </w:r>
      <w:r w:rsidRPr="00235C1E">
        <w:rPr>
          <w:rFonts w:cs="Arial"/>
          <w:rtl/>
        </w:rPr>
        <w:t xml:space="preserve"> ובא הבעל ואמר הנחתי לה מזונות </w:t>
      </w:r>
      <w:r>
        <w:rPr>
          <w:rFonts w:cs="Arial" w:hint="cs"/>
          <w:rtl/>
        </w:rPr>
        <w:t xml:space="preserve">- </w:t>
      </w:r>
      <w:r w:rsidRPr="00235C1E">
        <w:rPr>
          <w:rFonts w:cs="Arial"/>
          <w:rtl/>
        </w:rPr>
        <w:t>הרי זו נשבעת בנקיטת חפץ שלא הניח לה</w:t>
      </w:r>
      <w:r>
        <w:rPr>
          <w:rStyle w:val="a7"/>
          <w:rFonts w:cs="Arial"/>
          <w:rtl/>
        </w:rPr>
        <w:footnoteReference w:id="319"/>
      </w:r>
      <w:r>
        <w:rPr>
          <w:rFonts w:cs="Arial" w:hint="cs"/>
          <w:rtl/>
        </w:rPr>
        <w:t>.</w:t>
      </w:r>
      <w:r w:rsidRPr="00235C1E">
        <w:rPr>
          <w:rFonts w:cs="Arial"/>
          <w:rtl/>
        </w:rPr>
        <w:t xml:space="preserve"> לא תבעה ולא מכרה אלא שהתה עד שבא הוא ואומר הנחתי לה</w:t>
      </w:r>
      <w:r>
        <w:rPr>
          <w:rFonts w:cs="Arial" w:hint="cs"/>
          <w:rtl/>
        </w:rPr>
        <w:t>,</w:t>
      </w:r>
      <w:r w:rsidRPr="00235C1E">
        <w:rPr>
          <w:rFonts w:cs="Arial"/>
          <w:rtl/>
        </w:rPr>
        <w:t xml:space="preserve"> והיא אומרת לא הנחת לי אלא לויתי מזה ונתפרנסתי</w:t>
      </w:r>
      <w:r>
        <w:rPr>
          <w:rFonts w:cs="Arial" w:hint="cs"/>
          <w:rtl/>
        </w:rPr>
        <w:t xml:space="preserve"> -</w:t>
      </w:r>
      <w:r w:rsidRPr="00235C1E">
        <w:rPr>
          <w:rFonts w:cs="Arial"/>
          <w:rtl/>
        </w:rPr>
        <w:t xml:space="preserve"> נשבע שבועת היסת שהניח לה ונפטר וישאר החוב עליה</w:t>
      </w:r>
      <w:r>
        <w:rPr>
          <w:rFonts w:cs="Arial" w:hint="cs"/>
          <w:rtl/>
        </w:rPr>
        <w:t>.</w:t>
      </w:r>
      <w:r w:rsidRPr="00235C1E">
        <w:rPr>
          <w:rFonts w:cs="Arial"/>
          <w:rtl/>
        </w:rPr>
        <w:t xml:space="preserve"> מכרה מטלטלין</w:t>
      </w:r>
      <w:r>
        <w:rPr>
          <w:rFonts w:cs="Arial" w:hint="cs"/>
          <w:rtl/>
        </w:rPr>
        <w:t>,</w:t>
      </w:r>
      <w:r w:rsidRPr="00235C1E">
        <w:rPr>
          <w:rFonts w:cs="Arial"/>
          <w:rtl/>
        </w:rPr>
        <w:t xml:space="preserve"> ואמרה למזונות מכרתי</w:t>
      </w:r>
      <w:r>
        <w:rPr>
          <w:rFonts w:cs="Arial" w:hint="cs"/>
          <w:rtl/>
        </w:rPr>
        <w:t>,</w:t>
      </w:r>
      <w:r w:rsidRPr="00235C1E">
        <w:rPr>
          <w:rFonts w:cs="Arial"/>
          <w:rtl/>
        </w:rPr>
        <w:t xml:space="preserve"> והוא טוען ואומר מזונותיה הנחתי </w:t>
      </w:r>
      <w:r>
        <w:rPr>
          <w:rFonts w:cs="Arial" w:hint="cs"/>
          <w:rtl/>
        </w:rPr>
        <w:t xml:space="preserve">- </w:t>
      </w:r>
      <w:r w:rsidRPr="00235C1E">
        <w:rPr>
          <w:rFonts w:cs="Arial"/>
          <w:rtl/>
        </w:rPr>
        <w:t>נשבעת שבועת היסת שלא הניח</w:t>
      </w:r>
      <w:r>
        <w:rPr>
          <w:rStyle w:val="a7"/>
          <w:rFonts w:cs="Arial"/>
          <w:rtl/>
        </w:rPr>
        <w:footnoteReference w:id="320"/>
      </w:r>
      <w:r>
        <w:rPr>
          <w:rFonts w:cs="Arial" w:hint="cs"/>
          <w:rtl/>
        </w:rPr>
        <w:t>.</w:t>
      </w:r>
      <w:r w:rsidRPr="00235C1E">
        <w:rPr>
          <w:rFonts w:cs="Arial"/>
          <w:rtl/>
        </w:rPr>
        <w:t xml:space="preserve"> </w:t>
      </w:r>
      <w:r w:rsidR="00765055" w:rsidRPr="00765055">
        <w:rPr>
          <w:rFonts w:hint="cs"/>
          <w:color w:val="E36C0A" w:themeColor="accent6" w:themeShade="BF"/>
          <w:rtl/>
        </w:rPr>
        <w:t>(וכ"פ בשו"ע)</w:t>
      </w:r>
    </w:p>
    <w:p w14:paraId="777711B3" w14:textId="1CAFD32F" w:rsidR="00C57942" w:rsidRPr="00EF0181" w:rsidRDefault="00C57942" w:rsidP="00C57942">
      <w:pPr>
        <w:ind w:left="360"/>
        <w:rPr>
          <w:u w:val="dotted"/>
        </w:rPr>
      </w:pPr>
      <w:r w:rsidRPr="00EF0181">
        <w:rPr>
          <w:rFonts w:hint="cs"/>
          <w:u w:val="dotted"/>
          <w:rtl/>
        </w:rPr>
        <w:t>האם נאמן כל הזמן או רק בג' חודשים הראשונים:</w:t>
      </w:r>
      <w:r>
        <w:rPr>
          <w:rFonts w:cs="Arial" w:hint="cs"/>
          <w:rtl/>
        </w:rPr>
        <w:t xml:space="preserve"> </w:t>
      </w:r>
      <w:r w:rsidRPr="00EF0181">
        <w:rPr>
          <w:rFonts w:cs="Arial" w:hint="cs"/>
          <w:sz w:val="16"/>
          <w:szCs w:val="16"/>
          <w:rtl/>
        </w:rPr>
        <w:t>(דרכ"מ אות יא)</w:t>
      </w:r>
    </w:p>
    <w:p w14:paraId="782984B2" w14:textId="6FE1AA11" w:rsidR="0096537E" w:rsidRPr="0096537E" w:rsidRDefault="00C57942" w:rsidP="00CE6A2B">
      <w:pPr>
        <w:pStyle w:val="ab"/>
        <w:numPr>
          <w:ilvl w:val="0"/>
          <w:numId w:val="6"/>
        </w:numPr>
        <w:rPr>
          <w:rtl/>
        </w:rPr>
      </w:pPr>
      <w:r w:rsidRPr="0097582A">
        <w:rPr>
          <w:rFonts w:cs="Arial"/>
          <w:rtl/>
        </w:rPr>
        <w:t>מרדכי</w:t>
      </w:r>
      <w:r w:rsidRPr="00EF0181">
        <w:rPr>
          <w:rFonts w:cs="Arial"/>
          <w:sz w:val="16"/>
          <w:szCs w:val="16"/>
          <w:rtl/>
        </w:rPr>
        <w:t xml:space="preserve"> </w:t>
      </w:r>
      <w:r w:rsidRPr="00EF0181">
        <w:rPr>
          <w:rFonts w:cs="Arial" w:hint="cs"/>
          <w:sz w:val="16"/>
          <w:szCs w:val="16"/>
          <w:rtl/>
        </w:rPr>
        <w:t>(</w:t>
      </w:r>
      <w:r w:rsidRPr="00EF0181">
        <w:rPr>
          <w:rFonts w:cs="Arial"/>
          <w:sz w:val="16"/>
          <w:szCs w:val="16"/>
          <w:rtl/>
        </w:rPr>
        <w:t>פ</w:t>
      </w:r>
      <w:r w:rsidRPr="00EF0181">
        <w:rPr>
          <w:rFonts w:cs="Arial" w:hint="cs"/>
          <w:sz w:val="16"/>
          <w:szCs w:val="16"/>
          <w:rtl/>
        </w:rPr>
        <w:t>'</w:t>
      </w:r>
      <w:r w:rsidRPr="00EF0181">
        <w:rPr>
          <w:rFonts w:cs="Arial"/>
          <w:sz w:val="16"/>
          <w:szCs w:val="16"/>
          <w:rtl/>
        </w:rPr>
        <w:t xml:space="preserve"> שני דייני סי' רסז</w:t>
      </w:r>
      <w:r w:rsidRPr="00EF0181">
        <w:rPr>
          <w:rFonts w:cs="Arial" w:hint="cs"/>
          <w:sz w:val="16"/>
          <w:szCs w:val="16"/>
          <w:rtl/>
        </w:rPr>
        <w:t>,</w:t>
      </w:r>
      <w:r w:rsidRPr="00EF0181">
        <w:rPr>
          <w:rFonts w:cs="Arial"/>
          <w:sz w:val="16"/>
          <w:szCs w:val="16"/>
          <w:rtl/>
        </w:rPr>
        <w:t xml:space="preserve"> וס</w:t>
      </w:r>
      <w:r w:rsidRPr="00EF0181">
        <w:rPr>
          <w:rFonts w:cs="Arial" w:hint="cs"/>
          <w:sz w:val="16"/>
          <w:szCs w:val="16"/>
          <w:rtl/>
        </w:rPr>
        <w:t>"פ</w:t>
      </w:r>
      <w:r w:rsidRPr="00EF0181">
        <w:rPr>
          <w:rFonts w:cs="Arial"/>
          <w:sz w:val="16"/>
          <w:szCs w:val="16"/>
          <w:rtl/>
        </w:rPr>
        <w:t xml:space="preserve"> יש נוחלין</w:t>
      </w:r>
      <w:r w:rsidRPr="00EF0181">
        <w:rPr>
          <w:rFonts w:cs="Arial" w:hint="cs"/>
          <w:sz w:val="16"/>
          <w:szCs w:val="16"/>
          <w:rtl/>
        </w:rPr>
        <w:t xml:space="preserve"> </w:t>
      </w:r>
      <w:r w:rsidRPr="00EF0181">
        <w:rPr>
          <w:rFonts w:cs="Arial"/>
          <w:sz w:val="16"/>
          <w:szCs w:val="16"/>
          <w:rtl/>
        </w:rPr>
        <w:t>סי' תקצז)</w:t>
      </w:r>
      <w:r>
        <w:rPr>
          <w:rFonts w:cs="Arial" w:hint="cs"/>
          <w:rtl/>
        </w:rPr>
        <w:t>-</w:t>
      </w:r>
      <w:r w:rsidRPr="0097582A">
        <w:rPr>
          <w:rFonts w:cs="Arial"/>
          <w:rtl/>
        </w:rPr>
        <w:t xml:space="preserve"> </w:t>
      </w:r>
      <w:r>
        <w:rPr>
          <w:rFonts w:cs="Arial" w:hint="cs"/>
          <w:rtl/>
        </w:rPr>
        <w:t>א</w:t>
      </w:r>
      <w:r w:rsidRPr="0097582A">
        <w:rPr>
          <w:rFonts w:cs="Arial"/>
          <w:rtl/>
        </w:rPr>
        <w:t>ינו נאמן רק בג' חדשים הראשונים אבל לא אחר כך</w:t>
      </w:r>
      <w:r>
        <w:rPr>
          <w:rFonts w:cs="Arial" w:hint="cs"/>
          <w:rtl/>
        </w:rPr>
        <w:t>,</w:t>
      </w:r>
      <w:r w:rsidRPr="0097582A">
        <w:rPr>
          <w:rFonts w:cs="Arial"/>
          <w:rtl/>
        </w:rPr>
        <w:t xml:space="preserve"> דאם לא כן אין אדם רוצה ללות לה</w:t>
      </w:r>
      <w:r>
        <w:rPr>
          <w:rFonts w:cs="Arial" w:hint="cs"/>
          <w:sz w:val="16"/>
          <w:szCs w:val="16"/>
          <w:rtl/>
        </w:rPr>
        <w:t xml:space="preserve"> (ל' הדרכ"מ בשמו)</w:t>
      </w:r>
      <w:r>
        <w:rPr>
          <w:rStyle w:val="a7"/>
          <w:rFonts w:cs="Arial"/>
          <w:rtl/>
        </w:rPr>
        <w:footnoteReference w:id="321"/>
      </w:r>
      <w:r>
        <w:rPr>
          <w:rFonts w:cs="Arial" w:hint="cs"/>
          <w:rtl/>
        </w:rPr>
        <w:t>.</w:t>
      </w:r>
      <w:r w:rsidRPr="0097582A">
        <w:rPr>
          <w:rFonts w:cs="Arial"/>
          <w:rtl/>
        </w:rPr>
        <w:t xml:space="preserve"> </w:t>
      </w:r>
    </w:p>
    <w:p w14:paraId="1DD252AE" w14:textId="77777777" w:rsidR="001D44AA" w:rsidRDefault="001D44AA" w:rsidP="00C57942">
      <w:pPr>
        <w:rPr>
          <w:u w:val="single"/>
          <w:rtl/>
        </w:rPr>
      </w:pPr>
      <w:r w:rsidRPr="005E29BB">
        <w:rPr>
          <w:rFonts w:cs="Arial" w:hint="cs"/>
          <w:b/>
          <w:bCs/>
          <w:rtl/>
        </w:rPr>
        <w:t xml:space="preserve">כתובות </w:t>
      </w:r>
      <w:r w:rsidRPr="005E29BB">
        <w:rPr>
          <w:rFonts w:cs="Arial" w:hint="cs"/>
          <w:b/>
          <w:bCs/>
          <w:sz w:val="16"/>
          <w:szCs w:val="16"/>
          <w:rtl/>
        </w:rPr>
        <w:t>(פ' שני דייני)</w:t>
      </w:r>
      <w:r w:rsidRPr="005E29BB">
        <w:rPr>
          <w:rFonts w:cs="Arial" w:hint="cs"/>
          <w:b/>
          <w:bCs/>
          <w:rtl/>
        </w:rPr>
        <w:t xml:space="preserve"> קז ע"א:</w:t>
      </w:r>
      <w:r>
        <w:rPr>
          <w:rFonts w:hint="cs"/>
          <w:rtl/>
        </w:rPr>
        <w:t xml:space="preserve"> </w:t>
      </w:r>
      <w:r w:rsidRPr="00A26F4F">
        <w:rPr>
          <w:rFonts w:cs="Arial"/>
          <w:rtl/>
        </w:rPr>
        <w:t>ת"ש: מי שהלך למדינת הים ואשתו תובעת מזונות, ואם בא ואמר צאי מעשה ידיך במזונותיך - רשאי, קדמו בית דין ופסקו - מה שפסקו פסקו</w:t>
      </w:r>
      <w:r>
        <w:rPr>
          <w:rFonts w:cs="Arial" w:hint="cs"/>
          <w:rtl/>
        </w:rPr>
        <w:t>.</w:t>
      </w:r>
      <w:r w:rsidRPr="00383714">
        <w:rPr>
          <w:rFonts w:cs="Arial"/>
          <w:rtl/>
        </w:rPr>
        <w:t xml:space="preserve"> </w:t>
      </w:r>
    </w:p>
    <w:p w14:paraId="4BFFB4EF" w14:textId="73DA6E9C" w:rsidR="00C57942" w:rsidRPr="00F34FA8" w:rsidRDefault="00C57942" w:rsidP="00C57942">
      <w:pPr>
        <w:rPr>
          <w:u w:val="single"/>
          <w:rtl/>
        </w:rPr>
      </w:pPr>
      <w:r w:rsidRPr="00F34FA8">
        <w:rPr>
          <w:rFonts w:hint="cs"/>
          <w:u w:val="single"/>
          <w:rtl/>
        </w:rPr>
        <w:t>חזר ממדינת הים ואמר 'צאי מעשה ידיך</w:t>
      </w:r>
      <w:r w:rsidR="005B6722">
        <w:rPr>
          <w:rFonts w:hint="cs"/>
          <w:u w:val="single"/>
          <w:rtl/>
        </w:rPr>
        <w:t xml:space="preserve"> </w:t>
      </w:r>
      <w:r w:rsidRPr="00F34FA8">
        <w:rPr>
          <w:rFonts w:hint="cs"/>
          <w:u w:val="single"/>
          <w:rtl/>
        </w:rPr>
        <w:t>במזונותיך':</w:t>
      </w:r>
    </w:p>
    <w:p w14:paraId="2BCD194E" w14:textId="0DE32B5E" w:rsidR="00C57942" w:rsidRDefault="00C57942" w:rsidP="00C57942">
      <w:pPr>
        <w:pStyle w:val="ab"/>
        <w:numPr>
          <w:ilvl w:val="0"/>
          <w:numId w:val="2"/>
        </w:numPr>
      </w:pPr>
      <w:r>
        <w:rPr>
          <w:rFonts w:cs="Arial" w:hint="cs"/>
          <w:rtl/>
        </w:rPr>
        <w:t xml:space="preserve">רא"ש </w:t>
      </w:r>
      <w:r w:rsidRPr="00F34FA8">
        <w:rPr>
          <w:rFonts w:cs="Arial"/>
          <w:sz w:val="16"/>
          <w:szCs w:val="16"/>
          <w:rtl/>
        </w:rPr>
        <w:t xml:space="preserve">(סו"ס ה) </w:t>
      </w:r>
      <w:r>
        <w:rPr>
          <w:rFonts w:cs="Arial" w:hint="cs"/>
          <w:rtl/>
        </w:rPr>
        <w:t>ו</w:t>
      </w:r>
      <w:r w:rsidRPr="00C6165E">
        <w:rPr>
          <w:rFonts w:cs="Arial" w:hint="cs"/>
          <w:rtl/>
        </w:rPr>
        <w:t xml:space="preserve">טור- </w:t>
      </w:r>
      <w:r w:rsidRPr="00C6165E">
        <w:rPr>
          <w:rFonts w:cs="Arial"/>
          <w:rtl/>
        </w:rPr>
        <w:t xml:space="preserve">ואם יאמר כשיבא צאי מעשה ידיך שעשית או שהיה לך לעשות במזונותיך </w:t>
      </w:r>
      <w:r w:rsidR="003A5519">
        <w:rPr>
          <w:rFonts w:cs="Arial" w:hint="cs"/>
          <w:rtl/>
        </w:rPr>
        <w:t>-</w:t>
      </w:r>
      <w:r>
        <w:rPr>
          <w:rFonts w:cs="Arial" w:hint="cs"/>
          <w:rtl/>
        </w:rPr>
        <w:t xml:space="preserve"> </w:t>
      </w:r>
      <w:r w:rsidRPr="00C6165E">
        <w:rPr>
          <w:rFonts w:cs="Arial"/>
          <w:rtl/>
        </w:rPr>
        <w:t>רשאי</w:t>
      </w:r>
      <w:r>
        <w:rPr>
          <w:rFonts w:cs="Arial" w:hint="cs"/>
          <w:rtl/>
        </w:rPr>
        <w:t>,</w:t>
      </w:r>
      <w:r w:rsidRPr="00C6165E">
        <w:rPr>
          <w:rFonts w:cs="Arial"/>
          <w:rtl/>
        </w:rPr>
        <w:t xml:space="preserve"> ואין משלם מה שלותה</w:t>
      </w:r>
      <w:r>
        <w:rPr>
          <w:rFonts w:cs="Arial" w:hint="cs"/>
          <w:rtl/>
        </w:rPr>
        <w:t>,</w:t>
      </w:r>
      <w:r w:rsidRPr="00C6165E">
        <w:rPr>
          <w:rFonts w:cs="Arial"/>
          <w:rtl/>
        </w:rPr>
        <w:t xml:space="preserve"> אע</w:t>
      </w:r>
      <w:r>
        <w:rPr>
          <w:rFonts w:cs="Arial" w:hint="cs"/>
          <w:rtl/>
        </w:rPr>
        <w:t>"</w:t>
      </w:r>
      <w:r w:rsidRPr="00C6165E">
        <w:rPr>
          <w:rFonts w:cs="Arial"/>
          <w:rtl/>
        </w:rPr>
        <w:t>פ שאינה מספקת כל צרכיה ממעשה ידיה</w:t>
      </w:r>
      <w:r>
        <w:rPr>
          <w:rFonts w:cs="Arial" w:hint="cs"/>
          <w:rtl/>
        </w:rPr>
        <w:t>,</w:t>
      </w:r>
      <w:r w:rsidRPr="00C6165E">
        <w:rPr>
          <w:rFonts w:cs="Arial"/>
          <w:rtl/>
        </w:rPr>
        <w:t xml:space="preserve"> כיון שמספקת לדברים גדולים היתה דוחקת ומצמצמת עצמה קודם שתתבייש לבא לב"ד על עסק מזונותיה</w:t>
      </w:r>
      <w:r>
        <w:rPr>
          <w:rFonts w:cs="Arial" w:hint="cs"/>
          <w:rtl/>
        </w:rPr>
        <w:t>.</w:t>
      </w:r>
      <w:r w:rsidRPr="00C6165E">
        <w:rPr>
          <w:rFonts w:cs="Arial"/>
          <w:rtl/>
        </w:rPr>
        <w:t xml:space="preserve"> אבל ב"ד אין פותחין לו בטענה זו</w:t>
      </w:r>
      <w:r>
        <w:rPr>
          <w:rFonts w:cs="Arial" w:hint="cs"/>
          <w:rtl/>
        </w:rPr>
        <w:t>,</w:t>
      </w:r>
      <w:r w:rsidRPr="00C6165E">
        <w:rPr>
          <w:rFonts w:cs="Arial"/>
          <w:rtl/>
        </w:rPr>
        <w:t xml:space="preserve"> אלא אומרים לו צא ופרע מה שלותה</w:t>
      </w:r>
      <w:r>
        <w:rPr>
          <w:rFonts w:cs="Arial" w:hint="cs"/>
          <w:rtl/>
        </w:rPr>
        <w:t>,</w:t>
      </w:r>
      <w:r w:rsidRPr="00C6165E">
        <w:rPr>
          <w:rFonts w:cs="Arial"/>
          <w:rtl/>
        </w:rPr>
        <w:t xml:space="preserve"> ואם בעצמו יטעון</w:t>
      </w:r>
      <w:r>
        <w:rPr>
          <w:rFonts w:cs="Arial" w:hint="cs"/>
          <w:rtl/>
        </w:rPr>
        <w:t xml:space="preserve"> -</w:t>
      </w:r>
      <w:r w:rsidRPr="00C6165E">
        <w:rPr>
          <w:rFonts w:cs="Arial"/>
          <w:rtl/>
        </w:rPr>
        <w:t xml:space="preserve"> רשאי אם ידוע שהיא מספקת לדברים גדולים</w:t>
      </w:r>
      <w:r>
        <w:rPr>
          <w:rFonts w:cs="Arial" w:hint="cs"/>
          <w:rtl/>
        </w:rPr>
        <w:t>.</w:t>
      </w:r>
      <w:r w:rsidRPr="00C6165E">
        <w:rPr>
          <w:rFonts w:cs="Arial"/>
          <w:rtl/>
        </w:rPr>
        <w:t xml:space="preserve"> אבל </w:t>
      </w:r>
      <w:r w:rsidRPr="00C6165E">
        <w:rPr>
          <w:rFonts w:cs="Arial"/>
          <w:rtl/>
        </w:rPr>
        <w:lastRenderedPageBreak/>
        <w:t xml:space="preserve">אם אינה בת מלאכה </w:t>
      </w:r>
      <w:r>
        <w:rPr>
          <w:rFonts w:cs="Arial" w:hint="cs"/>
          <w:rtl/>
        </w:rPr>
        <w:t xml:space="preserve">- </w:t>
      </w:r>
      <w:r w:rsidRPr="00C6165E">
        <w:rPr>
          <w:rFonts w:cs="Arial"/>
          <w:rtl/>
        </w:rPr>
        <w:t>לאו כל כמיניה לטעון כך</w:t>
      </w:r>
      <w:r>
        <w:rPr>
          <w:rFonts w:cs="Arial" w:hint="cs"/>
          <w:rtl/>
        </w:rPr>
        <w:t>.</w:t>
      </w:r>
      <w:r w:rsidRPr="00C6165E">
        <w:rPr>
          <w:rFonts w:cs="Arial"/>
          <w:rtl/>
        </w:rPr>
        <w:t xml:space="preserve"> ואם קדמו ב"ד ופסקו לה</w:t>
      </w:r>
      <w:r>
        <w:rPr>
          <w:rFonts w:cs="Arial" w:hint="cs"/>
          <w:rtl/>
        </w:rPr>
        <w:t>,</w:t>
      </w:r>
      <w:r w:rsidRPr="00C6165E">
        <w:rPr>
          <w:rFonts w:cs="Arial"/>
          <w:rtl/>
        </w:rPr>
        <w:t xml:space="preserve"> כיון שבאתה לפני ב"ד גלתה דעתה שאינה רוצה להתפרנס בדוחק</w:t>
      </w:r>
      <w:r>
        <w:rPr>
          <w:rFonts w:cs="Arial" w:hint="cs"/>
          <w:rtl/>
        </w:rPr>
        <w:t>,</w:t>
      </w:r>
      <w:r w:rsidRPr="00C6165E">
        <w:rPr>
          <w:rFonts w:cs="Arial"/>
          <w:rtl/>
        </w:rPr>
        <w:t xml:space="preserve"> ואין לו עוד טענה על מעשה ידיה</w:t>
      </w:r>
      <w:r>
        <w:rPr>
          <w:rFonts w:cs="Arial" w:hint="cs"/>
          <w:rtl/>
        </w:rPr>
        <w:t>,</w:t>
      </w:r>
      <w:r w:rsidRPr="00C6165E">
        <w:rPr>
          <w:rFonts w:cs="Arial"/>
          <w:rtl/>
        </w:rPr>
        <w:t xml:space="preserve"> כי מסתמא כשב"ד פסקו לה מזונות דקדקו מה שצריכ</w:t>
      </w:r>
      <w:r>
        <w:rPr>
          <w:rFonts w:cs="Arial" w:hint="cs"/>
          <w:rtl/>
        </w:rPr>
        <w:t>ה</w:t>
      </w:r>
      <w:r w:rsidRPr="00C6165E">
        <w:rPr>
          <w:rFonts w:cs="Arial"/>
          <w:rtl/>
        </w:rPr>
        <w:t xml:space="preserve"> יתר על מעשה ידיה שרגילה לעשות</w:t>
      </w:r>
      <w:r>
        <w:rPr>
          <w:rStyle w:val="a7"/>
          <w:rFonts w:cs="Arial"/>
          <w:rtl/>
        </w:rPr>
        <w:footnoteReference w:id="322"/>
      </w:r>
      <w:r>
        <w:rPr>
          <w:rFonts w:cs="Arial" w:hint="cs"/>
          <w:sz w:val="16"/>
          <w:szCs w:val="16"/>
          <w:rtl/>
        </w:rPr>
        <w:t xml:space="preserve"> (ל' הטור)</w:t>
      </w:r>
      <w:r>
        <w:rPr>
          <w:rFonts w:hint="cs"/>
          <w:rtl/>
        </w:rPr>
        <w:t>.</w:t>
      </w:r>
      <w:r w:rsidR="005B6722" w:rsidRPr="005B6722">
        <w:rPr>
          <w:rFonts w:hint="cs"/>
          <w:color w:val="00B0F0"/>
          <w:rtl/>
        </w:rPr>
        <w:t xml:space="preserve"> </w:t>
      </w:r>
      <w:r w:rsidR="005B6722" w:rsidRPr="00C57942">
        <w:rPr>
          <w:rFonts w:hint="cs"/>
          <w:color w:val="00B0F0"/>
          <w:rtl/>
        </w:rPr>
        <w:t>(וכ"פ הרמ"א)</w:t>
      </w:r>
    </w:p>
    <w:p w14:paraId="76508F10" w14:textId="77777777" w:rsidR="00C57942" w:rsidRPr="003760A7" w:rsidRDefault="00C57942" w:rsidP="00C57942">
      <w:pPr>
        <w:pStyle w:val="ab"/>
        <w:numPr>
          <w:ilvl w:val="0"/>
          <w:numId w:val="2"/>
        </w:numPr>
      </w:pPr>
      <w:r w:rsidRPr="00AB50D4">
        <w:rPr>
          <w:rFonts w:cs="Arial"/>
          <w:rtl/>
        </w:rPr>
        <w:t xml:space="preserve">רמב"ם </w:t>
      </w:r>
      <w:r w:rsidRPr="00EC473A">
        <w:rPr>
          <w:rFonts w:cs="Arial" w:hint="cs"/>
          <w:sz w:val="16"/>
          <w:szCs w:val="16"/>
          <w:rtl/>
        </w:rPr>
        <w:t>(</w:t>
      </w:r>
      <w:r w:rsidRPr="00EC473A">
        <w:rPr>
          <w:rFonts w:cs="Arial"/>
          <w:sz w:val="16"/>
          <w:szCs w:val="16"/>
          <w:rtl/>
        </w:rPr>
        <w:t>פי"ב מהל</w:t>
      </w:r>
      <w:r w:rsidRPr="00EC473A">
        <w:rPr>
          <w:rFonts w:cs="Arial" w:hint="cs"/>
          <w:sz w:val="16"/>
          <w:szCs w:val="16"/>
          <w:rtl/>
        </w:rPr>
        <w:t>'</w:t>
      </w:r>
      <w:r w:rsidRPr="00EC473A">
        <w:rPr>
          <w:rFonts w:cs="Arial"/>
          <w:sz w:val="16"/>
          <w:szCs w:val="16"/>
          <w:rtl/>
        </w:rPr>
        <w:t xml:space="preserve"> אישות הט"ז)</w:t>
      </w:r>
      <w:r>
        <w:rPr>
          <w:rFonts w:cs="Arial" w:hint="cs"/>
          <w:rtl/>
        </w:rPr>
        <w:t xml:space="preserve"> </w:t>
      </w:r>
      <w:r>
        <w:rPr>
          <w:rFonts w:cs="Arial"/>
          <w:rtl/>
        </w:rPr>
        <w:t xml:space="preserve">רמב"ן </w:t>
      </w:r>
      <w:r w:rsidRPr="00BB2F1F">
        <w:rPr>
          <w:rFonts w:cs="Arial"/>
          <w:sz w:val="16"/>
          <w:szCs w:val="16"/>
          <w:rtl/>
        </w:rPr>
        <w:t>(קז. ד"ה ומדאמרינן)</w:t>
      </w:r>
      <w:r>
        <w:rPr>
          <w:rFonts w:cs="Arial" w:hint="cs"/>
          <w:rtl/>
        </w:rPr>
        <w:t xml:space="preserve"> רשב"</w:t>
      </w:r>
      <w:r w:rsidRPr="00BB2F1F">
        <w:rPr>
          <w:rFonts w:cs="Arial" w:hint="cs"/>
          <w:rtl/>
        </w:rPr>
        <w:t>א</w:t>
      </w:r>
      <w:r>
        <w:rPr>
          <w:rFonts w:cs="Arial" w:hint="cs"/>
          <w:rtl/>
        </w:rPr>
        <w:t xml:space="preserve"> </w:t>
      </w:r>
      <w:r>
        <w:rPr>
          <w:rFonts w:cs="Arial" w:hint="cs"/>
          <w:sz w:val="16"/>
          <w:szCs w:val="16"/>
          <w:rtl/>
        </w:rPr>
        <w:t xml:space="preserve">(כ"כ בשמו הה"מ והר"ן) </w:t>
      </w:r>
      <w:r w:rsidRPr="00BB2F1F">
        <w:rPr>
          <w:rFonts w:cs="Arial" w:hint="cs"/>
          <w:rtl/>
        </w:rPr>
        <w:t>והה</w:t>
      </w:r>
      <w:r>
        <w:rPr>
          <w:rFonts w:cs="Arial" w:hint="cs"/>
          <w:rtl/>
        </w:rPr>
        <w:t xml:space="preserve">"מ </w:t>
      </w:r>
      <w:r>
        <w:rPr>
          <w:rFonts w:cs="Arial" w:hint="cs"/>
          <w:sz w:val="16"/>
          <w:szCs w:val="16"/>
          <w:rtl/>
        </w:rPr>
        <w:t>(שם)</w:t>
      </w:r>
      <w:r>
        <w:rPr>
          <w:rFonts w:cs="Arial" w:hint="cs"/>
          <w:rtl/>
        </w:rPr>
        <w:t>-</w:t>
      </w:r>
      <w:r w:rsidRPr="00AB50D4">
        <w:rPr>
          <w:rtl/>
        </w:rPr>
        <w:t xml:space="preserve"> </w:t>
      </w:r>
      <w:r>
        <w:rPr>
          <w:rFonts w:hint="cs"/>
          <w:rtl/>
        </w:rPr>
        <w:t xml:space="preserve">מכאן ואילך </w:t>
      </w:r>
      <w:r w:rsidRPr="00AB50D4">
        <w:rPr>
          <w:rFonts w:cs="Arial"/>
          <w:rtl/>
        </w:rPr>
        <w:t>פוסקין לה מזונות, ואם היו לו נכסים בית דין יורדין לנכסיו ומוכרין למזונותיה, ואין מחשבין עמה על מעשה ידיה עד שיבוא בעלה אם מצא שעשת הרי אלו שלו</w:t>
      </w:r>
      <w:r>
        <w:rPr>
          <w:rFonts w:cs="Arial" w:hint="cs"/>
          <w:sz w:val="16"/>
          <w:szCs w:val="16"/>
          <w:rtl/>
        </w:rPr>
        <w:t xml:space="preserve"> (ל' הרמב"ם)</w:t>
      </w:r>
      <w:r>
        <w:rPr>
          <w:rStyle w:val="a7"/>
          <w:rFonts w:cs="Arial"/>
          <w:rtl/>
        </w:rPr>
        <w:footnoteReference w:id="323"/>
      </w:r>
      <w:r>
        <w:rPr>
          <w:rFonts w:cs="Arial" w:hint="cs"/>
          <w:rtl/>
        </w:rPr>
        <w:t>.</w:t>
      </w:r>
      <w:r w:rsidRPr="00B3180C">
        <w:rPr>
          <w:rFonts w:cs="Arial"/>
          <w:rtl/>
        </w:rPr>
        <w:t xml:space="preserve"> </w:t>
      </w:r>
      <w:r w:rsidRPr="00B91600">
        <w:rPr>
          <w:rFonts w:hint="cs"/>
          <w:color w:val="E36C0A" w:themeColor="accent6" w:themeShade="BF"/>
          <w:rtl/>
        </w:rPr>
        <w:t>(וכ"פ בשו"ע</w:t>
      </w:r>
      <w:r>
        <w:rPr>
          <w:rFonts w:hint="cs"/>
          <w:color w:val="E36C0A" w:themeColor="accent6" w:themeShade="BF"/>
          <w:sz w:val="16"/>
          <w:szCs w:val="16"/>
          <w:rtl/>
        </w:rPr>
        <w:t xml:space="preserve"> </w:t>
      </w:r>
      <w:r w:rsidRPr="004A4B34">
        <w:rPr>
          <w:rFonts w:hint="cs"/>
          <w:color w:val="000000" w:themeColor="text1"/>
          <w:sz w:val="16"/>
          <w:szCs w:val="16"/>
          <w:rtl/>
        </w:rPr>
        <w:t>[בסע' ה]</w:t>
      </w:r>
      <w:r w:rsidRPr="00B91600">
        <w:rPr>
          <w:rFonts w:hint="cs"/>
          <w:color w:val="E36C0A" w:themeColor="accent6" w:themeShade="BF"/>
          <w:rtl/>
        </w:rPr>
        <w:t>)</w:t>
      </w:r>
    </w:p>
    <w:p w14:paraId="72E8BF71" w14:textId="7A856516" w:rsidR="00C57942" w:rsidRDefault="00C57942" w:rsidP="00C57942">
      <w:pPr>
        <w:rPr>
          <w:rFonts w:cs="Arial"/>
          <w:rtl/>
        </w:rPr>
      </w:pPr>
      <w:r w:rsidRPr="007707B3">
        <w:rPr>
          <w:rFonts w:cs="Arial" w:hint="cs"/>
          <w:u w:val="single"/>
          <w:rtl/>
        </w:rPr>
        <w:t xml:space="preserve">בעל </w:t>
      </w:r>
      <w:r>
        <w:rPr>
          <w:rFonts w:cs="Arial" w:hint="cs"/>
          <w:u w:val="single"/>
          <w:rtl/>
        </w:rPr>
        <w:t>שאומר</w:t>
      </w:r>
      <w:r w:rsidRPr="007707B3">
        <w:rPr>
          <w:rFonts w:cs="Arial" w:hint="cs"/>
          <w:u w:val="single"/>
          <w:rtl/>
        </w:rPr>
        <w:t xml:space="preserve"> שפסק לה מזונות על העתיד:</w:t>
      </w:r>
      <w:r>
        <w:rPr>
          <w:rFonts w:cs="Arial" w:hint="cs"/>
          <w:rtl/>
        </w:rPr>
        <w:t xml:space="preserve"> </w:t>
      </w:r>
      <w:r w:rsidRPr="007707B3">
        <w:rPr>
          <w:rFonts w:cs="Arial" w:hint="cs"/>
          <w:sz w:val="16"/>
          <w:szCs w:val="16"/>
          <w:rtl/>
        </w:rPr>
        <w:t xml:space="preserve">(דרכ"מ אות יא) </w:t>
      </w:r>
    </w:p>
    <w:p w14:paraId="660535EE" w14:textId="4E6457B4" w:rsidR="00C57942" w:rsidRDefault="00C57942" w:rsidP="00CE6A2B">
      <w:pPr>
        <w:pStyle w:val="ab"/>
        <w:numPr>
          <w:ilvl w:val="0"/>
          <w:numId w:val="6"/>
        </w:numPr>
      </w:pPr>
      <w:r w:rsidRPr="007707B3">
        <w:rPr>
          <w:rFonts w:cs="Arial"/>
          <w:rtl/>
        </w:rPr>
        <w:t xml:space="preserve">ר"ן </w:t>
      </w:r>
      <w:r w:rsidRPr="007707B3">
        <w:rPr>
          <w:rFonts w:cs="Arial" w:hint="cs"/>
          <w:sz w:val="16"/>
          <w:szCs w:val="16"/>
          <w:rtl/>
        </w:rPr>
        <w:t>(</w:t>
      </w:r>
      <w:r w:rsidRPr="007707B3">
        <w:rPr>
          <w:rFonts w:cs="Arial"/>
          <w:sz w:val="16"/>
          <w:szCs w:val="16"/>
          <w:rtl/>
        </w:rPr>
        <w:t>ר</w:t>
      </w:r>
      <w:r w:rsidRPr="007707B3">
        <w:rPr>
          <w:rFonts w:cs="Arial" w:hint="cs"/>
          <w:sz w:val="16"/>
          <w:szCs w:val="16"/>
          <w:rtl/>
        </w:rPr>
        <w:t>"פ</w:t>
      </w:r>
      <w:r w:rsidRPr="007707B3">
        <w:rPr>
          <w:rFonts w:cs="Arial"/>
          <w:sz w:val="16"/>
          <w:szCs w:val="16"/>
          <w:rtl/>
        </w:rPr>
        <w:t xml:space="preserve"> אלמנה ניזונת</w:t>
      </w:r>
      <w:r w:rsidRPr="007707B3">
        <w:rPr>
          <w:rFonts w:cs="Arial" w:hint="cs"/>
          <w:sz w:val="16"/>
          <w:szCs w:val="16"/>
          <w:rtl/>
        </w:rPr>
        <w:t>)</w:t>
      </w:r>
      <w:r w:rsidRPr="007707B3">
        <w:rPr>
          <w:rFonts w:cs="Arial" w:hint="cs"/>
          <w:rtl/>
        </w:rPr>
        <w:t>-</w:t>
      </w:r>
      <w:r w:rsidRPr="007707B3">
        <w:rPr>
          <w:rFonts w:cs="Arial"/>
          <w:rtl/>
        </w:rPr>
        <w:t xml:space="preserve"> אם הבעל לפנינו ואומר שפסק לה מזונות על העתיד </w:t>
      </w:r>
      <w:r w:rsidR="003D1BEF">
        <w:rPr>
          <w:rFonts w:cs="Arial" w:hint="cs"/>
          <w:rtl/>
        </w:rPr>
        <w:t xml:space="preserve">- </w:t>
      </w:r>
      <w:r w:rsidRPr="007707B3">
        <w:rPr>
          <w:rFonts w:cs="Arial"/>
          <w:rtl/>
        </w:rPr>
        <w:t>אינו נאמן</w:t>
      </w:r>
      <w:r w:rsidRPr="007707B3">
        <w:rPr>
          <w:rFonts w:cs="Arial" w:hint="cs"/>
          <w:rtl/>
        </w:rPr>
        <w:t>.</w:t>
      </w:r>
      <w:r>
        <w:rPr>
          <w:rFonts w:hint="cs"/>
          <w:rtl/>
        </w:rPr>
        <w:t xml:space="preserve"> </w:t>
      </w:r>
      <w:r w:rsidRPr="00C57942">
        <w:rPr>
          <w:rFonts w:hint="cs"/>
          <w:color w:val="00B0F0"/>
          <w:rtl/>
        </w:rPr>
        <w:t>(וכ"פ הרמ"א)</w:t>
      </w:r>
    </w:p>
    <w:p w14:paraId="06ECC2E3" w14:textId="77777777" w:rsidR="00971CA9" w:rsidRDefault="00971CA9" w:rsidP="00971CA9">
      <w:pPr>
        <w:rPr>
          <w:rFonts w:cs="Arial"/>
          <w:rtl/>
        </w:rPr>
      </w:pPr>
      <w:r w:rsidRPr="003024E5">
        <w:rPr>
          <w:rFonts w:asciiTheme="minorBidi" w:hAnsiTheme="minorBidi"/>
          <w:b/>
          <w:bCs/>
          <w:color w:val="000000"/>
          <w:sz w:val="28"/>
          <w:szCs w:val="28"/>
          <w:u w:val="single"/>
          <w:rtl/>
        </w:rPr>
        <w:t>שו"ע:</w:t>
      </w:r>
    </w:p>
    <w:p w14:paraId="5BD1BDA2" w14:textId="491C637B" w:rsidR="00971CA9" w:rsidRDefault="00971CA9" w:rsidP="00971CA9">
      <w:pPr>
        <w:rPr>
          <w:rtl/>
        </w:rPr>
      </w:pPr>
      <w:r>
        <w:rPr>
          <w:rFonts w:cs="Arial"/>
          <w:rtl/>
        </w:rPr>
        <w:t>הרי שעמדה בדין ופסקו לה מזונות, ומכרו ב</w:t>
      </w:r>
      <w:r w:rsidR="003760A7">
        <w:rPr>
          <w:rFonts w:cs="Arial" w:hint="cs"/>
          <w:rtl/>
        </w:rPr>
        <w:t xml:space="preserve">ית </w:t>
      </w:r>
      <w:r>
        <w:rPr>
          <w:rFonts w:cs="Arial"/>
          <w:rtl/>
        </w:rPr>
        <w:t>ד</w:t>
      </w:r>
      <w:r w:rsidR="003760A7">
        <w:rPr>
          <w:rFonts w:cs="Arial" w:hint="cs"/>
          <w:rtl/>
        </w:rPr>
        <w:t>ין</w:t>
      </w:r>
      <w:r>
        <w:rPr>
          <w:rFonts w:cs="Arial"/>
          <w:rtl/>
        </w:rPr>
        <w:t xml:space="preserve"> ונתנו לה, או שמכרה היא לעצמה, ובא הבעל ואמר: הנחתי לה מזונות, הרי זו נשבעת בנקיטת חפץ שלא הניח לה. ואם לא תבעה ולא מכרה, אלא שהתה עד שבא הוא ואמר: הנחתי לך מזונות, והיא אומרת: לא הנחת אלא לויתי מזה ונתפרנסתי, נשבע שבועת היסת שהניח לה, ונפטר, וישאר החוב עליה. </w:t>
      </w:r>
      <w:r w:rsidR="003760A7">
        <w:rPr>
          <w:rFonts w:cs="Arial" w:hint="cs"/>
          <w:sz w:val="18"/>
          <w:szCs w:val="18"/>
          <w:rtl/>
        </w:rPr>
        <w:t xml:space="preserve">[הגה] </w:t>
      </w:r>
      <w:r w:rsidRPr="001D31A4">
        <w:rPr>
          <w:rFonts w:cs="Arial"/>
          <w:sz w:val="18"/>
          <w:szCs w:val="18"/>
          <w:rtl/>
        </w:rPr>
        <w:t xml:space="preserve">אבל אין האיש נאמן לומר שנתן לה על העתיד (ר"ן). </w:t>
      </w:r>
      <w:r>
        <w:rPr>
          <w:rFonts w:cs="Arial"/>
          <w:rtl/>
        </w:rPr>
        <w:t xml:space="preserve">ואם מכרה מטלטלין ואמרה: למזונות מכרתי, והוא טוען ואומר: מזונותיך הנחתי, נשבעת שבועת היסת שלא הניח. </w:t>
      </w:r>
      <w:r w:rsidRPr="001D31A4">
        <w:rPr>
          <w:rFonts w:cs="Arial"/>
          <w:sz w:val="18"/>
          <w:szCs w:val="18"/>
          <w:rtl/>
        </w:rPr>
        <w:t>הגה: טען ואמר היה לה להוציא מעשה ידיה במזונותיה, אם לותה בלא ב"ד, והיא בעלת מלאכה שמעשה ידיה מספיקין לה לדברים גדולים, אע</w:t>
      </w:r>
      <w:r w:rsidR="00CC6977">
        <w:rPr>
          <w:rFonts w:cs="Arial" w:hint="cs"/>
          <w:sz w:val="18"/>
          <w:szCs w:val="18"/>
          <w:rtl/>
        </w:rPr>
        <w:t>"</w:t>
      </w:r>
      <w:r w:rsidRPr="001D31A4">
        <w:rPr>
          <w:rFonts w:cs="Arial"/>
          <w:sz w:val="18"/>
          <w:szCs w:val="18"/>
          <w:rtl/>
        </w:rPr>
        <w:t>פ שאינן מספיקין לדברים קטנים, טענתו טענה</w:t>
      </w:r>
      <w:r w:rsidR="00C57942">
        <w:rPr>
          <w:rFonts w:cs="Arial" w:hint="cs"/>
          <w:sz w:val="18"/>
          <w:szCs w:val="18"/>
          <w:rtl/>
        </w:rPr>
        <w:t>.</w:t>
      </w:r>
      <w:r w:rsidRPr="001D31A4">
        <w:rPr>
          <w:rFonts w:cs="Arial"/>
          <w:sz w:val="18"/>
          <w:szCs w:val="18"/>
          <w:rtl/>
        </w:rPr>
        <w:t xml:space="preserve"> אבל אם פסקו לה ב"ד, צריכין שיספיקו מעשה ידיה לכל דבר (</w:t>
      </w:r>
      <w:r w:rsidR="00CC6977">
        <w:rPr>
          <w:rFonts w:cs="Arial" w:hint="cs"/>
          <w:sz w:val="18"/>
          <w:szCs w:val="18"/>
          <w:rtl/>
        </w:rPr>
        <w:t>רא"ש ו</w:t>
      </w:r>
      <w:r w:rsidRPr="001D31A4">
        <w:rPr>
          <w:rFonts w:cs="Arial"/>
          <w:sz w:val="18"/>
          <w:szCs w:val="18"/>
          <w:rtl/>
        </w:rPr>
        <w:t>טור).</w:t>
      </w:r>
      <w:r>
        <w:rPr>
          <w:rFonts w:cs="Arial"/>
          <w:rtl/>
        </w:rPr>
        <w:t xml:space="preserve"> </w:t>
      </w:r>
    </w:p>
    <w:p w14:paraId="101B3180" w14:textId="77777777" w:rsidR="0096537E" w:rsidRDefault="0096537E" w:rsidP="00971CA9">
      <w:pPr>
        <w:rPr>
          <w:rtl/>
        </w:rPr>
      </w:pPr>
    </w:p>
    <w:p w14:paraId="1864E9FD" w14:textId="09238F52" w:rsidR="00971CA9" w:rsidRDefault="00971CA9" w:rsidP="000F64D0">
      <w:pPr>
        <w:pStyle w:val="2"/>
        <w:rPr>
          <w:rtl/>
        </w:rPr>
      </w:pPr>
      <w:r>
        <w:rPr>
          <w:rtl/>
        </w:rPr>
        <w:t>סעיף יא</w:t>
      </w:r>
      <w:r w:rsidR="0096537E">
        <w:rPr>
          <w:rFonts w:hint="cs"/>
          <w:rtl/>
        </w:rPr>
        <w:t>:</w:t>
      </w:r>
      <w:r w:rsidR="00765055">
        <w:rPr>
          <w:rFonts w:hint="cs"/>
          <w:rtl/>
        </w:rPr>
        <w:t xml:space="preserve"> הלך למדינת הים, והיא עשתה ואכלה</w:t>
      </w:r>
      <w:r w:rsidR="00144D93">
        <w:rPr>
          <w:rFonts w:hint="cs"/>
          <w:rtl/>
        </w:rPr>
        <w:t xml:space="preserve"> ולא </w:t>
      </w:r>
      <w:r w:rsidR="00111FA7">
        <w:rPr>
          <w:rFonts w:hint="cs"/>
          <w:rtl/>
        </w:rPr>
        <w:t>תבעה/</w:t>
      </w:r>
      <w:r w:rsidR="00144D93">
        <w:rPr>
          <w:rFonts w:hint="cs"/>
          <w:rtl/>
        </w:rPr>
        <w:t>לותה</w:t>
      </w:r>
      <w:r w:rsidR="00111FA7">
        <w:rPr>
          <w:rFonts w:hint="cs"/>
          <w:rtl/>
        </w:rPr>
        <w:t>/מכרה</w:t>
      </w:r>
      <w:r w:rsidR="00765055">
        <w:rPr>
          <w:rFonts w:hint="cs"/>
          <w:rtl/>
        </w:rPr>
        <w:t>.</w:t>
      </w:r>
    </w:p>
    <w:p w14:paraId="0FCCB969" w14:textId="69AC2D3B" w:rsidR="00C57942" w:rsidRDefault="00C57942" w:rsidP="00C57942">
      <w:pPr>
        <w:rPr>
          <w:rtl/>
        </w:rPr>
      </w:pPr>
      <w:r w:rsidRPr="005E29BB">
        <w:rPr>
          <w:rFonts w:cs="Arial" w:hint="cs"/>
          <w:b/>
          <w:bCs/>
          <w:rtl/>
        </w:rPr>
        <w:t xml:space="preserve">כתובות </w:t>
      </w:r>
      <w:r w:rsidRPr="005E29BB">
        <w:rPr>
          <w:rFonts w:cs="Arial" w:hint="cs"/>
          <w:b/>
          <w:bCs/>
          <w:sz w:val="16"/>
          <w:szCs w:val="16"/>
          <w:rtl/>
        </w:rPr>
        <w:t>(פ' שני דייני)</w:t>
      </w:r>
      <w:r w:rsidRPr="005E29BB">
        <w:rPr>
          <w:rFonts w:cs="Arial" w:hint="cs"/>
          <w:b/>
          <w:bCs/>
          <w:rtl/>
        </w:rPr>
        <w:t xml:space="preserve"> קז ע"א:</w:t>
      </w:r>
      <w:r>
        <w:rPr>
          <w:rFonts w:hint="cs"/>
          <w:rtl/>
        </w:rPr>
        <w:t xml:space="preserve"> </w:t>
      </w:r>
      <w:r w:rsidRPr="00A26F4F">
        <w:rPr>
          <w:rFonts w:cs="Arial"/>
          <w:rtl/>
        </w:rPr>
        <w:t>ת"ש: מי שהלך למדינת הים ואשתו תובעת מזונות, ואם בא ואמר צאי מעשה ידיך במזונותיך - רשאי, קדמו בית דין ופסקו - מה שפסקו פסקו</w:t>
      </w:r>
      <w:r>
        <w:rPr>
          <w:rFonts w:cs="Arial" w:hint="cs"/>
          <w:rtl/>
        </w:rPr>
        <w:t>.</w:t>
      </w:r>
      <w:r w:rsidRPr="00383714">
        <w:rPr>
          <w:rFonts w:cs="Arial"/>
          <w:rtl/>
        </w:rPr>
        <w:t xml:space="preserve"> </w:t>
      </w:r>
      <w:r w:rsidRPr="00383714">
        <w:rPr>
          <w:rFonts w:cs="Arial" w:hint="cs"/>
          <w:sz w:val="16"/>
          <w:szCs w:val="16"/>
          <w:rtl/>
        </w:rPr>
        <w:t>(</w:t>
      </w:r>
      <w:r>
        <w:rPr>
          <w:rFonts w:cs="Arial" w:hint="cs"/>
          <w:sz w:val="16"/>
          <w:szCs w:val="16"/>
          <w:rtl/>
        </w:rPr>
        <w:t xml:space="preserve">וכתב </w:t>
      </w:r>
      <w:r w:rsidRPr="00383714">
        <w:rPr>
          <w:rFonts w:cs="Arial" w:hint="cs"/>
          <w:sz w:val="16"/>
          <w:szCs w:val="16"/>
          <w:rtl/>
        </w:rPr>
        <w:t>הה"מ (פי"ב מאישות הכ</w:t>
      </w:r>
      <w:r>
        <w:rPr>
          <w:rFonts w:cs="Arial" w:hint="cs"/>
          <w:sz w:val="16"/>
          <w:szCs w:val="16"/>
          <w:rtl/>
        </w:rPr>
        <w:t>"</w:t>
      </w:r>
      <w:r w:rsidRPr="00383714">
        <w:rPr>
          <w:rFonts w:cs="Arial" w:hint="cs"/>
          <w:sz w:val="16"/>
          <w:szCs w:val="16"/>
          <w:rtl/>
        </w:rPr>
        <w:t>ב)</w:t>
      </w:r>
      <w:r>
        <w:rPr>
          <w:rFonts w:cs="Arial" w:hint="cs"/>
          <w:sz w:val="16"/>
          <w:szCs w:val="16"/>
          <w:rtl/>
        </w:rPr>
        <w:t xml:space="preserve"> </w:t>
      </w:r>
      <w:r w:rsidRPr="00383714">
        <w:rPr>
          <w:rFonts w:cs="Arial"/>
          <w:sz w:val="16"/>
          <w:szCs w:val="16"/>
          <w:rtl/>
        </w:rPr>
        <w:t>ויש שם גירסא אחרת</w:t>
      </w:r>
      <w:r w:rsidR="0094203F">
        <w:rPr>
          <w:rFonts w:cs="Arial" w:hint="cs"/>
          <w:sz w:val="16"/>
          <w:szCs w:val="16"/>
          <w:rtl/>
        </w:rPr>
        <w:t>: "</w:t>
      </w:r>
      <w:r w:rsidRPr="00383714">
        <w:rPr>
          <w:rFonts w:cs="Arial"/>
          <w:sz w:val="16"/>
          <w:szCs w:val="16"/>
          <w:rtl/>
        </w:rPr>
        <w:t>ואמר לה צאי מעשה ידיך במזונותיך רשאי</w:t>
      </w:r>
      <w:r w:rsidR="0094203F">
        <w:rPr>
          <w:rFonts w:cs="Arial" w:hint="cs"/>
          <w:sz w:val="16"/>
          <w:szCs w:val="16"/>
          <w:rtl/>
        </w:rPr>
        <w:t>".</w:t>
      </w:r>
      <w:r w:rsidRPr="00383714">
        <w:rPr>
          <w:rFonts w:cs="Arial"/>
          <w:sz w:val="16"/>
          <w:szCs w:val="16"/>
          <w:rtl/>
        </w:rPr>
        <w:t xml:space="preserve"> פירוש שכבר אמר לה בצאתו והיא שתקה</w:t>
      </w:r>
      <w:r w:rsidRPr="00383714">
        <w:rPr>
          <w:rFonts w:cs="Arial" w:hint="cs"/>
          <w:sz w:val="16"/>
          <w:szCs w:val="16"/>
          <w:rtl/>
        </w:rPr>
        <w:t>,</w:t>
      </w:r>
      <w:r w:rsidRPr="00383714">
        <w:rPr>
          <w:rFonts w:cs="Arial"/>
          <w:sz w:val="16"/>
          <w:szCs w:val="16"/>
          <w:rtl/>
        </w:rPr>
        <w:t xml:space="preserve"> ובירושלמי (שם ה"א) מצאתי כגירסא הראשונה</w:t>
      </w:r>
      <w:r w:rsidR="00CE7B38">
        <w:rPr>
          <w:rFonts w:cs="Arial" w:hint="cs"/>
          <w:sz w:val="16"/>
          <w:szCs w:val="16"/>
          <w:rtl/>
        </w:rPr>
        <w:t xml:space="preserve"> [עכ"ל הה"מ]</w:t>
      </w:r>
      <w:r>
        <w:rPr>
          <w:rFonts w:cs="Arial" w:hint="cs"/>
          <w:sz w:val="16"/>
          <w:szCs w:val="16"/>
          <w:rtl/>
        </w:rPr>
        <w:t>, ב"י)</w:t>
      </w:r>
    </w:p>
    <w:p w14:paraId="3BF1A9A4" w14:textId="77777777" w:rsidR="00C57942" w:rsidRPr="00F735CD" w:rsidRDefault="00C57942" w:rsidP="00C57942">
      <w:pPr>
        <w:rPr>
          <w:rFonts w:cs="Arial"/>
          <w:u w:val="single"/>
        </w:rPr>
      </w:pPr>
      <w:r w:rsidRPr="008F6E32">
        <w:rPr>
          <w:rFonts w:cs="Arial" w:hint="cs"/>
          <w:u w:val="single"/>
          <w:rtl/>
        </w:rPr>
        <w:t>בעל שחזר ממדינת הים ואמר '</w:t>
      </w:r>
      <w:r>
        <w:rPr>
          <w:rFonts w:cs="Arial" w:hint="cs"/>
          <w:u w:val="single"/>
          <w:rtl/>
        </w:rPr>
        <w:t>צאי מעשה ידיך במזונותיך</w:t>
      </w:r>
      <w:r w:rsidRPr="008F6E32">
        <w:rPr>
          <w:rFonts w:cs="Arial" w:hint="cs"/>
          <w:u w:val="single"/>
          <w:rtl/>
        </w:rPr>
        <w:t>':</w:t>
      </w:r>
    </w:p>
    <w:p w14:paraId="4105D0C5" w14:textId="4ABCAA1D" w:rsidR="00C57942" w:rsidRDefault="00C57942" w:rsidP="00CE6A2B">
      <w:pPr>
        <w:pStyle w:val="ab"/>
        <w:numPr>
          <w:ilvl w:val="0"/>
          <w:numId w:val="6"/>
        </w:numPr>
      </w:pPr>
      <w:r w:rsidRPr="00235C1E">
        <w:rPr>
          <w:rFonts w:cs="Arial"/>
          <w:rtl/>
        </w:rPr>
        <w:t xml:space="preserve">רמב"ם </w:t>
      </w:r>
      <w:r w:rsidRPr="0085543D">
        <w:rPr>
          <w:rFonts w:cs="Arial" w:hint="cs"/>
          <w:sz w:val="16"/>
          <w:szCs w:val="16"/>
          <w:rtl/>
        </w:rPr>
        <w:t>(</w:t>
      </w:r>
      <w:r w:rsidRPr="0085543D">
        <w:rPr>
          <w:rFonts w:cs="Arial"/>
          <w:sz w:val="16"/>
          <w:szCs w:val="16"/>
          <w:rtl/>
        </w:rPr>
        <w:t>פי"ב מאישות</w:t>
      </w:r>
      <w:r w:rsidRPr="0085543D">
        <w:rPr>
          <w:rFonts w:cs="Arial" w:hint="cs"/>
          <w:sz w:val="16"/>
          <w:szCs w:val="16"/>
          <w:rtl/>
        </w:rPr>
        <w:t xml:space="preserve"> </w:t>
      </w:r>
      <w:r w:rsidRPr="0085543D">
        <w:rPr>
          <w:rFonts w:cs="Arial"/>
          <w:sz w:val="16"/>
          <w:szCs w:val="16"/>
          <w:rtl/>
        </w:rPr>
        <w:t>הכ</w:t>
      </w:r>
      <w:r>
        <w:rPr>
          <w:rFonts w:cs="Arial" w:hint="cs"/>
          <w:sz w:val="16"/>
          <w:szCs w:val="16"/>
          <w:rtl/>
        </w:rPr>
        <w:t>"</w:t>
      </w:r>
      <w:r w:rsidRPr="0085543D">
        <w:rPr>
          <w:rFonts w:cs="Arial"/>
          <w:sz w:val="16"/>
          <w:szCs w:val="16"/>
          <w:rtl/>
        </w:rPr>
        <w:t>ב)</w:t>
      </w:r>
      <w:r>
        <w:rPr>
          <w:rFonts w:cs="Arial" w:hint="cs"/>
          <w:rtl/>
        </w:rPr>
        <w:t>-</w:t>
      </w:r>
      <w:r w:rsidRPr="00235C1E">
        <w:rPr>
          <w:rFonts w:cs="Arial"/>
          <w:rtl/>
        </w:rPr>
        <w:t xml:space="preserve"> הרי שלא תבעה ולא לותה ולא מכרה אלא דחקה עצמה ביום ובלילה ועשתה ואכלה </w:t>
      </w:r>
      <w:r>
        <w:rPr>
          <w:rFonts w:cs="Arial" w:hint="cs"/>
          <w:rtl/>
        </w:rPr>
        <w:t xml:space="preserve">- </w:t>
      </w:r>
      <w:r w:rsidRPr="00235C1E">
        <w:rPr>
          <w:rFonts w:cs="Arial"/>
          <w:rtl/>
        </w:rPr>
        <w:t>אין לה כלום</w:t>
      </w:r>
      <w:r>
        <w:rPr>
          <w:rStyle w:val="a7"/>
          <w:rFonts w:cs="Arial"/>
          <w:rtl/>
        </w:rPr>
        <w:footnoteReference w:id="324"/>
      </w:r>
      <w:r w:rsidRPr="00235C1E">
        <w:rPr>
          <w:rFonts w:cs="Arial"/>
          <w:rtl/>
        </w:rPr>
        <w:t xml:space="preserve">. </w:t>
      </w:r>
      <w:r w:rsidRPr="00C57942">
        <w:rPr>
          <w:rFonts w:hint="cs"/>
          <w:color w:val="E36C0A" w:themeColor="accent6" w:themeShade="BF"/>
          <w:rtl/>
        </w:rPr>
        <w:t>(וכ"פ בשו"ע)</w:t>
      </w:r>
    </w:p>
    <w:p w14:paraId="43FD29B3" w14:textId="77777777" w:rsidR="00971CA9" w:rsidRDefault="00971CA9" w:rsidP="00971CA9">
      <w:pPr>
        <w:rPr>
          <w:rFonts w:cs="Arial"/>
          <w:rtl/>
        </w:rPr>
      </w:pPr>
      <w:r w:rsidRPr="003024E5">
        <w:rPr>
          <w:rFonts w:asciiTheme="minorBidi" w:hAnsiTheme="minorBidi"/>
          <w:b/>
          <w:bCs/>
          <w:color w:val="000000"/>
          <w:sz w:val="28"/>
          <w:szCs w:val="28"/>
          <w:u w:val="single"/>
          <w:rtl/>
        </w:rPr>
        <w:t>שו"ע:</w:t>
      </w:r>
    </w:p>
    <w:p w14:paraId="7271453B" w14:textId="1CE08397" w:rsidR="00971CA9" w:rsidRDefault="00971CA9" w:rsidP="00971CA9">
      <w:pPr>
        <w:rPr>
          <w:rtl/>
        </w:rPr>
      </w:pPr>
      <w:r>
        <w:rPr>
          <w:rFonts w:cs="Arial"/>
          <w:rtl/>
        </w:rPr>
        <w:t>הרי שלא תבעה ולא לותה ולא מכרה אלא דחקה עצמה ביום ובלילה ועשתה ואכלה, אין לה כלום</w:t>
      </w:r>
      <w:r w:rsidR="00C57942">
        <w:rPr>
          <w:rFonts w:cs="Arial" w:hint="cs"/>
          <w:rtl/>
        </w:rPr>
        <w:t>.</w:t>
      </w:r>
      <w:r>
        <w:rPr>
          <w:rFonts w:cs="Arial"/>
          <w:rtl/>
        </w:rPr>
        <w:t xml:space="preserve"> ואם עשתה והותירה, הכל שלה. </w:t>
      </w:r>
    </w:p>
    <w:p w14:paraId="2DE88392" w14:textId="77777777" w:rsidR="0096537E" w:rsidRDefault="0096537E" w:rsidP="00971CA9">
      <w:pPr>
        <w:rPr>
          <w:rtl/>
        </w:rPr>
      </w:pPr>
    </w:p>
    <w:p w14:paraId="7E79DCB8" w14:textId="4C782AB0" w:rsidR="00971CA9" w:rsidRDefault="00971CA9" w:rsidP="000F64D0">
      <w:pPr>
        <w:pStyle w:val="2"/>
        <w:rPr>
          <w:rtl/>
        </w:rPr>
      </w:pPr>
      <w:r>
        <w:rPr>
          <w:rtl/>
        </w:rPr>
        <w:t>סעיף יב</w:t>
      </w:r>
      <w:r w:rsidR="00B12054">
        <w:rPr>
          <w:rFonts w:hint="cs"/>
          <w:rtl/>
        </w:rPr>
        <w:t>:</w:t>
      </w:r>
      <w:r w:rsidR="00E17CFB">
        <w:rPr>
          <w:rFonts w:hint="cs"/>
          <w:rtl/>
        </w:rPr>
        <w:t xml:space="preserve"> אשה שיצאה מבית בעלה והלכה למקום אחר.</w:t>
      </w:r>
    </w:p>
    <w:p w14:paraId="11AB9962" w14:textId="1517D799" w:rsidR="0098281A" w:rsidRPr="00E17CFB" w:rsidRDefault="00E17CFB" w:rsidP="0098281A">
      <w:pPr>
        <w:rPr>
          <w:u w:val="single"/>
          <w:rtl/>
        </w:rPr>
      </w:pPr>
      <w:r w:rsidRPr="00E17CFB">
        <w:rPr>
          <w:rFonts w:hint="cs"/>
          <w:u w:val="single"/>
          <w:rtl/>
        </w:rPr>
        <w:t>אשה שיצאה מבית בעלה והלכה למקום אחר:</w:t>
      </w:r>
    </w:p>
    <w:p w14:paraId="07FEE5E2" w14:textId="4BAF4360" w:rsidR="00E17CFB" w:rsidRDefault="00B12054" w:rsidP="00CE6A2B">
      <w:pPr>
        <w:pStyle w:val="ab"/>
        <w:numPr>
          <w:ilvl w:val="0"/>
          <w:numId w:val="7"/>
        </w:numPr>
      </w:pPr>
      <w:r w:rsidRPr="00765055">
        <w:rPr>
          <w:rFonts w:cs="Arial"/>
          <w:rtl/>
        </w:rPr>
        <w:t xml:space="preserve">ריטב"א </w:t>
      </w:r>
      <w:r w:rsidR="00E17CFB" w:rsidRPr="00E17CFB">
        <w:rPr>
          <w:rFonts w:cs="Arial" w:hint="cs"/>
          <w:sz w:val="16"/>
          <w:szCs w:val="16"/>
          <w:rtl/>
        </w:rPr>
        <w:t>(</w:t>
      </w:r>
      <w:r w:rsidRPr="00E17CFB">
        <w:rPr>
          <w:rFonts w:cs="Arial"/>
          <w:sz w:val="16"/>
          <w:szCs w:val="16"/>
          <w:rtl/>
        </w:rPr>
        <w:t>כתובות קג. ד"ה שם אלמנה)</w:t>
      </w:r>
      <w:r w:rsidR="00E17CFB">
        <w:rPr>
          <w:rFonts w:cs="Arial" w:hint="cs"/>
          <w:rtl/>
        </w:rPr>
        <w:t>-</w:t>
      </w:r>
      <w:r w:rsidRPr="00765055">
        <w:rPr>
          <w:rFonts w:cs="Arial"/>
          <w:rtl/>
        </w:rPr>
        <w:t xml:space="preserve"> אשה בחיי בעלה שיצאה מביתו והלכה לה</w:t>
      </w:r>
      <w:r w:rsidR="00E17CFB">
        <w:rPr>
          <w:rFonts w:cs="Arial" w:hint="cs"/>
          <w:rtl/>
        </w:rPr>
        <w:t xml:space="preserve">, </w:t>
      </w:r>
      <w:r w:rsidRPr="00765055">
        <w:rPr>
          <w:rFonts w:cs="Arial"/>
          <w:rtl/>
        </w:rPr>
        <w:t>אם נתנה טעם לדבריה</w:t>
      </w:r>
      <w:r w:rsidR="001D44AA">
        <w:rPr>
          <w:rFonts w:cs="Arial" w:hint="cs"/>
          <w:rtl/>
        </w:rPr>
        <w:t>,</w:t>
      </w:r>
      <w:r w:rsidRPr="00765055">
        <w:rPr>
          <w:rFonts w:cs="Arial"/>
          <w:rtl/>
        </w:rPr>
        <w:t xml:space="preserve"> חייב לתת לה מזונות שלמים במקום שהיא</w:t>
      </w:r>
      <w:r w:rsidR="00E17CFB">
        <w:rPr>
          <w:rFonts w:cs="Arial" w:hint="cs"/>
          <w:rtl/>
        </w:rPr>
        <w:t>.</w:t>
      </w:r>
      <w:r w:rsidRPr="00765055">
        <w:rPr>
          <w:rFonts w:cs="Arial"/>
          <w:rtl/>
        </w:rPr>
        <w:t xml:space="preserve"> אבל אם לא ביררה טעם לדבריה</w:t>
      </w:r>
      <w:r w:rsidR="00E17CFB">
        <w:rPr>
          <w:rFonts w:cs="Arial" w:hint="cs"/>
          <w:rtl/>
        </w:rPr>
        <w:t>,</w:t>
      </w:r>
      <w:r w:rsidRPr="00765055">
        <w:rPr>
          <w:rFonts w:cs="Arial"/>
          <w:rtl/>
        </w:rPr>
        <w:t xml:space="preserve"> אינו נותן לה מזונות</w:t>
      </w:r>
      <w:r w:rsidR="00E17CFB">
        <w:rPr>
          <w:rFonts w:cs="Arial" w:hint="cs"/>
          <w:rtl/>
        </w:rPr>
        <w:t>,</w:t>
      </w:r>
      <w:r w:rsidRPr="00765055">
        <w:rPr>
          <w:rFonts w:cs="Arial"/>
          <w:rtl/>
        </w:rPr>
        <w:t xml:space="preserve"> שאין חיוב מזונות לאשה על בעלה אלא כשהיא עמו על שלחנו</w:t>
      </w:r>
      <w:r w:rsidR="0098281A">
        <w:rPr>
          <w:rFonts w:cs="Arial" w:hint="cs"/>
          <w:rtl/>
        </w:rPr>
        <w:t>.</w:t>
      </w:r>
      <w:r w:rsidRPr="00765055">
        <w:rPr>
          <w:rFonts w:cs="Arial"/>
          <w:rtl/>
        </w:rPr>
        <w:t xml:space="preserve"> וכן היא באלה הדברים רבה</w:t>
      </w:r>
      <w:r w:rsidR="0098281A">
        <w:rPr>
          <w:rFonts w:cs="Arial" w:hint="cs"/>
          <w:rtl/>
        </w:rPr>
        <w:t>,</w:t>
      </w:r>
      <w:r w:rsidRPr="00765055">
        <w:rPr>
          <w:rFonts w:cs="Arial"/>
          <w:rtl/>
        </w:rPr>
        <w:t xml:space="preserve"> על פסוק למען ירבו ימיכם</w:t>
      </w:r>
      <w:r w:rsidR="0098281A">
        <w:rPr>
          <w:rFonts w:cs="Arial" w:hint="cs"/>
          <w:rtl/>
        </w:rPr>
        <w:t>.</w:t>
      </w:r>
      <w:r w:rsidRPr="00765055">
        <w:rPr>
          <w:rFonts w:cs="Arial"/>
          <w:rtl/>
        </w:rPr>
        <w:t xml:space="preserve"> ואפילו לדברי הרמב"ם (פי"ב הי"ב) שאומר שיכול להשרותה ע"י שליש</w:t>
      </w:r>
      <w:r w:rsidR="00A17626">
        <w:rPr>
          <w:rFonts w:cs="Arial" w:hint="cs"/>
          <w:rtl/>
        </w:rPr>
        <w:t>,</w:t>
      </w:r>
      <w:r w:rsidRPr="00765055">
        <w:rPr>
          <w:rFonts w:cs="Arial"/>
          <w:rtl/>
        </w:rPr>
        <w:t xml:space="preserve"> הוא עדיף מינה בזה</w:t>
      </w:r>
      <w:r w:rsidR="00F072C3">
        <w:rPr>
          <w:rFonts w:cs="Arial" w:hint="cs"/>
          <w:rtl/>
        </w:rPr>
        <w:t>.</w:t>
      </w:r>
      <w:r w:rsidRPr="00765055">
        <w:rPr>
          <w:rFonts w:cs="Arial"/>
          <w:rtl/>
        </w:rPr>
        <w:t xml:space="preserve"> ואפילו לפי </w:t>
      </w:r>
      <w:r w:rsidRPr="00765055">
        <w:rPr>
          <w:rFonts w:cs="Arial"/>
          <w:rtl/>
        </w:rPr>
        <w:lastRenderedPageBreak/>
        <w:t>ברכת הבית איפשר דלא יהיב לה</w:t>
      </w:r>
      <w:r w:rsidR="00F072C3">
        <w:rPr>
          <w:rFonts w:cs="Arial" w:hint="cs"/>
          <w:rtl/>
        </w:rPr>
        <w:t>,</w:t>
      </w:r>
      <w:r w:rsidRPr="00765055">
        <w:rPr>
          <w:rFonts w:cs="Arial"/>
          <w:rtl/>
        </w:rPr>
        <w:t xml:space="preserve"> דלא תקון לה רבנן מזונות אלא ביושבת תחתיו ומשמשתו</w:t>
      </w:r>
      <w:r w:rsidR="00F072C3">
        <w:rPr>
          <w:rFonts w:cs="Arial" w:hint="cs"/>
          <w:rtl/>
        </w:rPr>
        <w:t>,</w:t>
      </w:r>
      <w:r w:rsidRPr="00765055">
        <w:rPr>
          <w:rFonts w:cs="Arial"/>
          <w:rtl/>
        </w:rPr>
        <w:t xml:space="preserve"> אבל בשאינה יושבת עמו ואינה באה בטענה אין לה דין מזונות</w:t>
      </w:r>
      <w:r w:rsidR="00F072C3">
        <w:rPr>
          <w:rFonts w:cs="Arial" w:hint="cs"/>
          <w:rtl/>
        </w:rPr>
        <w:t>.</w:t>
      </w:r>
      <w:r w:rsidRPr="00765055">
        <w:rPr>
          <w:rFonts w:cs="Arial"/>
          <w:rtl/>
        </w:rPr>
        <w:t xml:space="preserve"> וכן דעת רבותי</w:t>
      </w:r>
      <w:r w:rsidR="00F072C3">
        <w:rPr>
          <w:rFonts w:cs="Arial" w:hint="cs"/>
          <w:rtl/>
        </w:rPr>
        <w:t>.</w:t>
      </w:r>
      <w:r w:rsidRPr="00765055">
        <w:rPr>
          <w:rFonts w:cs="Arial"/>
          <w:rtl/>
        </w:rPr>
        <w:t xml:space="preserve"> אף כשהלכה בטענה</w:t>
      </w:r>
      <w:r w:rsidR="00F072C3">
        <w:rPr>
          <w:rFonts w:cs="Arial" w:hint="cs"/>
          <w:rtl/>
        </w:rPr>
        <w:t>,</w:t>
      </w:r>
      <w:r w:rsidRPr="00765055">
        <w:rPr>
          <w:rFonts w:cs="Arial"/>
          <w:rtl/>
        </w:rPr>
        <w:t xml:space="preserve"> אם שתקה ולא תבעה מזונות </w:t>
      </w:r>
      <w:r w:rsidR="00F072C3">
        <w:rPr>
          <w:rFonts w:cs="Arial" w:hint="cs"/>
          <w:rtl/>
        </w:rPr>
        <w:t xml:space="preserve">- </w:t>
      </w:r>
      <w:r w:rsidRPr="00765055">
        <w:rPr>
          <w:rFonts w:cs="Arial"/>
          <w:rtl/>
        </w:rPr>
        <w:t>מחלה להו לשעבר כדכתיב בפרק הכותב</w:t>
      </w:r>
      <w:r w:rsidR="000B759F">
        <w:rPr>
          <w:rStyle w:val="a7"/>
          <w:rFonts w:cs="Arial"/>
          <w:rtl/>
        </w:rPr>
        <w:footnoteReference w:id="325"/>
      </w:r>
      <w:r w:rsidRPr="00765055">
        <w:rPr>
          <w:rFonts w:cs="Arial"/>
          <w:rtl/>
        </w:rPr>
        <w:t>.</w:t>
      </w:r>
      <w:r w:rsidR="000B759F">
        <w:rPr>
          <w:rFonts w:hint="cs"/>
          <w:color w:val="E36C0A" w:themeColor="accent6" w:themeShade="BF"/>
          <w:rtl/>
        </w:rPr>
        <w:t xml:space="preserve"> </w:t>
      </w:r>
      <w:r w:rsidR="000B759F" w:rsidRPr="00C57942">
        <w:rPr>
          <w:rFonts w:hint="cs"/>
          <w:color w:val="E36C0A" w:themeColor="accent6" w:themeShade="BF"/>
          <w:rtl/>
        </w:rPr>
        <w:t>(וכ"פ בשו"ע)</w:t>
      </w:r>
    </w:p>
    <w:p w14:paraId="45E04007" w14:textId="500A027E" w:rsidR="00827F1B" w:rsidRPr="00827F1B" w:rsidRDefault="00827F1B" w:rsidP="00827F1B">
      <w:pPr>
        <w:rPr>
          <w:u w:val="single"/>
        </w:rPr>
      </w:pPr>
      <w:r w:rsidRPr="00827F1B">
        <w:rPr>
          <w:rFonts w:hint="cs"/>
          <w:u w:val="single"/>
          <w:rtl/>
        </w:rPr>
        <w:t xml:space="preserve">אשה שאינה עושה את מלאכות הבית שמוטלות עליה </w:t>
      </w:r>
      <w:r w:rsidR="00F072C3">
        <w:rPr>
          <w:rFonts w:hint="cs"/>
          <w:u w:val="single"/>
          <w:rtl/>
        </w:rPr>
        <w:t>-</w:t>
      </w:r>
      <w:r w:rsidRPr="00827F1B">
        <w:rPr>
          <w:rFonts w:hint="cs"/>
          <w:u w:val="single"/>
          <w:rtl/>
        </w:rPr>
        <w:t xml:space="preserve"> ובעלה רוצה להוריד ממזונותיה כדי לשכור מי שתעשה:</w:t>
      </w:r>
    </w:p>
    <w:p w14:paraId="13C4ACF7" w14:textId="5F518E14" w:rsidR="000E571B" w:rsidRPr="00E17CFB" w:rsidRDefault="000E571B" w:rsidP="00CE6A2B">
      <w:pPr>
        <w:pStyle w:val="ab"/>
        <w:numPr>
          <w:ilvl w:val="0"/>
          <w:numId w:val="7"/>
        </w:numPr>
      </w:pPr>
      <w:r w:rsidRPr="000E571B">
        <w:rPr>
          <w:rFonts w:cs="Arial"/>
          <w:rtl/>
        </w:rPr>
        <w:t>רשב"א</w:t>
      </w:r>
      <w:r w:rsidRPr="000E571B">
        <w:rPr>
          <w:rFonts w:cs="Arial"/>
          <w:sz w:val="16"/>
          <w:szCs w:val="16"/>
          <w:rtl/>
        </w:rPr>
        <w:t xml:space="preserve"> </w:t>
      </w:r>
      <w:r w:rsidRPr="000E571B">
        <w:rPr>
          <w:rFonts w:cs="Arial" w:hint="cs"/>
          <w:sz w:val="16"/>
          <w:szCs w:val="16"/>
          <w:rtl/>
        </w:rPr>
        <w:t>(</w:t>
      </w:r>
      <w:r w:rsidR="00F913DF">
        <w:rPr>
          <w:rFonts w:cs="Arial" w:hint="cs"/>
          <w:sz w:val="16"/>
          <w:szCs w:val="16"/>
          <w:rtl/>
        </w:rPr>
        <w:t>החדשות סי' קעח</w:t>
      </w:r>
      <w:r w:rsidRPr="000E571B">
        <w:rPr>
          <w:rFonts w:cs="Arial" w:hint="cs"/>
          <w:sz w:val="16"/>
          <w:szCs w:val="16"/>
          <w:rtl/>
        </w:rPr>
        <w:t>, הביאה הב"י בסי' עז)</w:t>
      </w:r>
      <w:r>
        <w:rPr>
          <w:rFonts w:cs="Arial" w:hint="cs"/>
          <w:rtl/>
        </w:rPr>
        <w:t>-</w:t>
      </w:r>
      <w:r w:rsidRPr="000E571B">
        <w:rPr>
          <w:rFonts w:cs="Arial"/>
          <w:rtl/>
        </w:rPr>
        <w:t xml:space="preserve"> אשה שהניחה בעלה בבית אביו והלך חוץ לעיר וחלתה והלכה לבית אביה ולותה למזונותיה ולרפואתה</w:t>
      </w:r>
      <w:r w:rsidR="00643D73">
        <w:rPr>
          <w:rFonts w:cs="Arial" w:hint="cs"/>
          <w:rtl/>
        </w:rPr>
        <w:t>.</w:t>
      </w:r>
      <w:r w:rsidRPr="000E571B">
        <w:rPr>
          <w:rFonts w:cs="Arial"/>
          <w:rtl/>
        </w:rPr>
        <w:t xml:space="preserve"> הדין עמה</w:t>
      </w:r>
      <w:r w:rsidR="00643D73">
        <w:rPr>
          <w:rFonts w:cs="Arial" w:hint="cs"/>
          <w:rtl/>
        </w:rPr>
        <w:t>,</w:t>
      </w:r>
      <w:r w:rsidRPr="000E571B">
        <w:rPr>
          <w:rFonts w:cs="Arial"/>
          <w:rtl/>
        </w:rPr>
        <w:t xml:space="preserve"> וכל שלותה לצורך מזונותיה ורפואתה בעוד שלא היה בעלה בעיר בודאי חייב הבעל לשלם מה שלותה</w:t>
      </w:r>
      <w:r w:rsidR="00643D73">
        <w:rPr>
          <w:rFonts w:cs="Arial" w:hint="cs"/>
          <w:rtl/>
        </w:rPr>
        <w:t>,</w:t>
      </w:r>
      <w:r w:rsidRPr="000E571B">
        <w:rPr>
          <w:rFonts w:cs="Arial"/>
          <w:rtl/>
        </w:rPr>
        <w:t xml:space="preserve"> ואפילו לחנן ואפילו לאחר שבא בעלה אם עדיין חולה ואינה זנה ומפרנסה ועמדה ולותה חייב לפרוע מה שלותה בין למזונותיה בין לרפואתה הדומה למזונות דהיינו שאין לה קצבה</w:t>
      </w:r>
      <w:r w:rsidR="00643D73">
        <w:rPr>
          <w:rFonts w:cs="Arial" w:hint="cs"/>
          <w:rtl/>
        </w:rPr>
        <w:t>.</w:t>
      </w:r>
      <w:r w:rsidRPr="000E571B">
        <w:rPr>
          <w:rFonts w:cs="Arial"/>
          <w:rtl/>
        </w:rPr>
        <w:t xml:space="preserve"> ומה שטען שהוא לא שלחה מביתו אינה טענה שהרי הוצרכה לצאת אצל אביה שמשתדל ברפואתה</w:t>
      </w:r>
      <w:r w:rsidR="00643D73">
        <w:rPr>
          <w:rFonts w:cs="Arial" w:hint="cs"/>
          <w:rtl/>
        </w:rPr>
        <w:t>,</w:t>
      </w:r>
      <w:r w:rsidRPr="000E571B">
        <w:rPr>
          <w:rFonts w:cs="Arial"/>
          <w:rtl/>
        </w:rPr>
        <w:t xml:space="preserve"> ואפילו היה חמיה משתדל ברפאותה מה הנאה יש לראובן בין עומדת כאן בין עומדת כאן והיא אינה מורדת</w:t>
      </w:r>
      <w:r w:rsidR="00643D73">
        <w:rPr>
          <w:rFonts w:cs="Arial" w:hint="cs"/>
          <w:rtl/>
        </w:rPr>
        <w:t>,</w:t>
      </w:r>
      <w:r w:rsidRPr="000E571B">
        <w:rPr>
          <w:rFonts w:cs="Arial"/>
          <w:rtl/>
        </w:rPr>
        <w:t xml:space="preserve"> ואי משום מלאכה חולה לאו בת מלאכה היא</w:t>
      </w:r>
      <w:r w:rsidR="00643D73">
        <w:rPr>
          <w:rFonts w:cs="Arial" w:hint="cs"/>
          <w:rtl/>
        </w:rPr>
        <w:t>.</w:t>
      </w:r>
      <w:r w:rsidRPr="000E571B">
        <w:rPr>
          <w:rFonts w:cs="Arial"/>
          <w:rtl/>
        </w:rPr>
        <w:t xml:space="preserve"> אבל אם לאחר שבא ראובן ונתרפאת אע</w:t>
      </w:r>
      <w:r w:rsidR="00F072C3">
        <w:rPr>
          <w:rFonts w:cs="Arial" w:hint="cs"/>
          <w:rtl/>
        </w:rPr>
        <w:t>"</w:t>
      </w:r>
      <w:r w:rsidRPr="000E571B">
        <w:rPr>
          <w:rFonts w:cs="Arial"/>
          <w:rtl/>
        </w:rPr>
        <w:t>פ שאינה מורדת מתשמיש אם אינה רוצה לשוב לו ולעשות לו דברים שהיא חייבת לעשות לבעלה ולפי מה שהיא אשה</w:t>
      </w:r>
      <w:r w:rsidR="00643D73">
        <w:rPr>
          <w:rFonts w:cs="Arial" w:hint="cs"/>
          <w:rtl/>
        </w:rPr>
        <w:t>,</w:t>
      </w:r>
      <w:r w:rsidRPr="000E571B">
        <w:rPr>
          <w:rFonts w:cs="Arial"/>
          <w:rtl/>
        </w:rPr>
        <w:t xml:space="preserve"> כי יש נשים שמכניסות לבעל שפחות ויש שאינן מכניסות</w:t>
      </w:r>
      <w:r w:rsidR="00643D73">
        <w:rPr>
          <w:rFonts w:cs="Arial" w:hint="cs"/>
          <w:rtl/>
        </w:rPr>
        <w:t>,</w:t>
      </w:r>
      <w:r w:rsidRPr="000E571B">
        <w:rPr>
          <w:rFonts w:cs="Arial"/>
          <w:rtl/>
        </w:rPr>
        <w:t xml:space="preserve"> וכפי מה שיש לו עליה מהמלאכות הקטנות כעושה מטתו ומרחצת פניו ידיו ורגליו </w:t>
      </w:r>
      <w:r w:rsidR="00F072C3">
        <w:rPr>
          <w:rFonts w:cs="Arial" w:hint="cs"/>
          <w:rtl/>
        </w:rPr>
        <w:t xml:space="preserve">- </w:t>
      </w:r>
      <w:r w:rsidRPr="000E571B">
        <w:rPr>
          <w:rFonts w:cs="Arial"/>
          <w:rtl/>
        </w:rPr>
        <w:t>מעכב מהמזונות כנגד שכר מי שישמשנו באותן מלאכות או שוכר עליה ממקום אחר</w:t>
      </w:r>
      <w:r w:rsidR="00643D73">
        <w:rPr>
          <w:rFonts w:cs="Arial" w:hint="cs"/>
          <w:rtl/>
        </w:rPr>
        <w:t>,</w:t>
      </w:r>
      <w:r w:rsidRPr="000E571B">
        <w:rPr>
          <w:rFonts w:cs="Arial"/>
          <w:rtl/>
        </w:rPr>
        <w:t xml:space="preserve"> הא יתר מכאן לא</w:t>
      </w:r>
      <w:r w:rsidR="00643D73">
        <w:rPr>
          <w:rFonts w:cs="Arial" w:hint="cs"/>
          <w:rtl/>
        </w:rPr>
        <w:t>.</w:t>
      </w:r>
      <w:r w:rsidR="00827F1B">
        <w:rPr>
          <w:rFonts w:cs="Arial" w:hint="cs"/>
          <w:rtl/>
        </w:rPr>
        <w:t>.</w:t>
      </w:r>
      <w:r w:rsidR="00643D73">
        <w:rPr>
          <w:rFonts w:cs="Arial" w:hint="cs"/>
          <w:rtl/>
        </w:rPr>
        <w:t>.</w:t>
      </w:r>
      <w:r w:rsidRPr="000E571B">
        <w:rPr>
          <w:rFonts w:cs="Arial"/>
          <w:rtl/>
        </w:rPr>
        <w:t xml:space="preserve"> ואם אינה רוצה לעשות וליתן לבעלה מעשה ידיה אין לה מזונות</w:t>
      </w:r>
      <w:r w:rsidR="00C632CD">
        <w:rPr>
          <w:rFonts w:cs="Arial" w:hint="cs"/>
          <w:rtl/>
        </w:rPr>
        <w:t>,</w:t>
      </w:r>
      <w:r w:rsidRPr="000E571B">
        <w:rPr>
          <w:rFonts w:cs="Arial"/>
          <w:rtl/>
        </w:rPr>
        <w:t xml:space="preserve"> ואע</w:t>
      </w:r>
      <w:r w:rsidR="00F072C3">
        <w:rPr>
          <w:rFonts w:cs="Arial" w:hint="cs"/>
          <w:rtl/>
        </w:rPr>
        <w:t>"</w:t>
      </w:r>
      <w:r w:rsidRPr="000E571B">
        <w:rPr>
          <w:rFonts w:cs="Arial"/>
          <w:rtl/>
        </w:rPr>
        <w:t>פ שהמזונות עיקר כבר תקנו לבעל מעשה ידיה תחת מזונות</w:t>
      </w:r>
      <w:r w:rsidR="00C632CD">
        <w:rPr>
          <w:rFonts w:cs="Arial" w:hint="cs"/>
          <w:rtl/>
        </w:rPr>
        <w:t>,</w:t>
      </w:r>
      <w:r w:rsidRPr="000E571B">
        <w:rPr>
          <w:rFonts w:cs="Arial"/>
          <w:rtl/>
        </w:rPr>
        <w:t xml:space="preserve"> ואם היא אינה רוצה לעשות תפסיד מזונות שאין לך נזונת ואומרת איני עושה</w:t>
      </w:r>
      <w:r w:rsidR="00827F1B">
        <w:rPr>
          <w:rFonts w:cs="Arial" w:hint="cs"/>
          <w:rtl/>
        </w:rPr>
        <w:t>.</w:t>
      </w:r>
      <w:r w:rsidRPr="000E571B">
        <w:rPr>
          <w:rFonts w:cs="Arial"/>
          <w:rtl/>
        </w:rPr>
        <w:t xml:space="preserve"> ואפילו עושה ואינה משמשת באותן מלאכות קטנות השנויות במשנתינו (נט:) והוא צריך לשכור מי שישמשנו בהם </w:t>
      </w:r>
      <w:r w:rsidR="00827F1B">
        <w:rPr>
          <w:rFonts w:cs="Arial" w:hint="cs"/>
          <w:rtl/>
        </w:rPr>
        <w:t xml:space="preserve">- </w:t>
      </w:r>
      <w:r w:rsidRPr="000E571B">
        <w:rPr>
          <w:rFonts w:cs="Arial"/>
          <w:rtl/>
        </w:rPr>
        <w:t>שוכר עליה כמו שאמר אבל תפסיד מזונותיה לא. ולפי שלא נתבאר לי מלשון השאלה מה שהיא טוענת שתשוב לבית בעלה אם יביאה אל ביתו ויפרע מה שלותה</w:t>
      </w:r>
      <w:r w:rsidR="00643D73">
        <w:rPr>
          <w:rFonts w:cs="Arial" w:hint="cs"/>
          <w:rtl/>
        </w:rPr>
        <w:t>,</w:t>
      </w:r>
      <w:r w:rsidRPr="000E571B">
        <w:rPr>
          <w:rFonts w:cs="Arial"/>
          <w:rtl/>
        </w:rPr>
        <w:t xml:space="preserve"> ונסתפקתי אם היא מתעכבת בלבד מחמת שהוא אינו קורא לה או שאינה רוצה לשוב אליו עד שיפרע מה שלותה ואחר כך יביאנה ואז תשוב אליו. על כן אני אומר שאם מחמת שהוא אינו רוצה להביאה ולקרוא לה מסתברא שאינה מפסדת על זה כלום לפי שהוא אינו רוצה בשימושה כי שמא בושה ממנו אחר שלא הראה לה פנים בעוד שהיתה חולה ואחר שנתרפאת מפני שיצאה שלא ברשות ואין כאן מרד כלל לא מתשמיש ולא ממלאכה ועוד שאם יבוא הוא אצלה אינה מונעתו מכלום</w:t>
      </w:r>
      <w:r w:rsidR="00643D73">
        <w:rPr>
          <w:rFonts w:cs="Arial" w:hint="cs"/>
          <w:rtl/>
        </w:rPr>
        <w:t>.</w:t>
      </w:r>
      <w:r w:rsidRPr="000E571B">
        <w:rPr>
          <w:rFonts w:cs="Arial"/>
          <w:rtl/>
        </w:rPr>
        <w:t xml:space="preserve"> אבל אם היא מעכבת אף מחמת פרעון מה שלותה בזה יראה שאינו חייב לזונה דקרוב הוא בעיני לומר שזה אחד מדרכי המורדת באומרת בעינא ליה ומצערנא ליה דכל האומרת כך טענה יש לה על הצער שהיא רוצה לצערו וגם זו עילה מצאה לצערו ותולה בפרעון מה שלותה</w:t>
      </w:r>
      <w:r w:rsidR="00643D73">
        <w:rPr>
          <w:rFonts w:cs="Arial" w:hint="cs"/>
          <w:rtl/>
        </w:rPr>
        <w:t>.</w:t>
      </w:r>
      <w:r w:rsidRPr="000E571B">
        <w:rPr>
          <w:rFonts w:cs="Arial"/>
          <w:rtl/>
        </w:rPr>
        <w:t xml:space="preserve"> וכל זה שאבדה מזונות במרדה זהו לדעת הר"מ ז"ל והרי"ף ז"ל</w:t>
      </w:r>
      <w:r w:rsidR="00643D73">
        <w:rPr>
          <w:rFonts w:cs="Arial" w:hint="cs"/>
          <w:rtl/>
        </w:rPr>
        <w:t>,</w:t>
      </w:r>
      <w:r w:rsidRPr="000E571B">
        <w:rPr>
          <w:rFonts w:cs="Arial"/>
          <w:rtl/>
        </w:rPr>
        <w:t xml:space="preserve"> אבל מעיקר הגמרא אינו נראה כן</w:t>
      </w:r>
      <w:r w:rsidR="00643D73">
        <w:rPr>
          <w:rFonts w:cs="Arial" w:hint="cs"/>
          <w:rtl/>
        </w:rPr>
        <w:t>,</w:t>
      </w:r>
      <w:r w:rsidRPr="000E571B">
        <w:rPr>
          <w:rFonts w:cs="Arial"/>
          <w:rtl/>
        </w:rPr>
        <w:t xml:space="preserve"> שלא נראה כן בגמרא בשום מקום ואין במורדת אלא פחת כתובה בלבד ומזונות ומעשה ידיה שהם זה כנגד זה</w:t>
      </w:r>
      <w:r w:rsidR="00643D73">
        <w:rPr>
          <w:rFonts w:cs="Arial" w:hint="cs"/>
          <w:rtl/>
        </w:rPr>
        <w:t>,</w:t>
      </w:r>
      <w:r w:rsidRPr="000E571B">
        <w:rPr>
          <w:rFonts w:cs="Arial"/>
          <w:rtl/>
        </w:rPr>
        <w:t xml:space="preserve"> שאם אמרה איני עושה אינה נזונת ומדרבנן.</w:t>
      </w:r>
      <w:r w:rsidR="00827F1B">
        <w:rPr>
          <w:rFonts w:hint="cs"/>
          <w:rtl/>
        </w:rPr>
        <w:t xml:space="preserve"> </w:t>
      </w:r>
      <w:r w:rsidR="00827F1B" w:rsidRPr="00827F1B">
        <w:rPr>
          <w:rFonts w:hint="cs"/>
          <w:color w:val="00B0F0"/>
          <w:rtl/>
        </w:rPr>
        <w:t>(וכ"פ הרמ"א)</w:t>
      </w:r>
    </w:p>
    <w:p w14:paraId="18255517" w14:textId="636A5C6A" w:rsidR="00E17CFB" w:rsidRPr="006F6F84" w:rsidRDefault="006F6F84" w:rsidP="00E17CFB">
      <w:pPr>
        <w:rPr>
          <w:u w:val="single"/>
        </w:rPr>
      </w:pPr>
      <w:r w:rsidRPr="006F6F84">
        <w:rPr>
          <w:rFonts w:hint="cs"/>
          <w:u w:val="single"/>
          <w:rtl/>
        </w:rPr>
        <w:t xml:space="preserve">אשה שעברה על תקנת הקהל ונתחייבה בקנס </w:t>
      </w:r>
      <w:r w:rsidR="00F97626">
        <w:rPr>
          <w:u w:val="single"/>
          <w:rtl/>
        </w:rPr>
        <w:t>-</w:t>
      </w:r>
      <w:r w:rsidRPr="006F6F84">
        <w:rPr>
          <w:rFonts w:hint="cs"/>
          <w:u w:val="single"/>
          <w:rtl/>
        </w:rPr>
        <w:t xml:space="preserve"> האם בעלה צריך לשלם </w:t>
      </w:r>
      <w:r>
        <w:rPr>
          <w:rFonts w:hint="cs"/>
          <w:u w:val="single"/>
          <w:rtl/>
        </w:rPr>
        <w:t>בשבי</w:t>
      </w:r>
      <w:r w:rsidRPr="006F6F84">
        <w:rPr>
          <w:rFonts w:hint="cs"/>
          <w:u w:val="single"/>
          <w:rtl/>
        </w:rPr>
        <w:t>לה:</w:t>
      </w:r>
    </w:p>
    <w:p w14:paraId="44E802E4" w14:textId="2398EB50" w:rsidR="00B12054" w:rsidRPr="006F6F84" w:rsidRDefault="00E17CFB" w:rsidP="00CE6A2B">
      <w:pPr>
        <w:pStyle w:val="ab"/>
        <w:numPr>
          <w:ilvl w:val="0"/>
          <w:numId w:val="7"/>
        </w:numPr>
        <w:rPr>
          <w:rFonts w:cs="Arial"/>
          <w:rtl/>
        </w:rPr>
      </w:pPr>
      <w:r>
        <w:rPr>
          <w:rFonts w:cs="Arial" w:hint="cs"/>
          <w:rtl/>
        </w:rPr>
        <w:t xml:space="preserve">תרוה"ד </w:t>
      </w:r>
      <w:r w:rsidRPr="00E17CFB">
        <w:rPr>
          <w:rFonts w:cs="Arial" w:hint="cs"/>
          <w:sz w:val="16"/>
          <w:szCs w:val="16"/>
          <w:rtl/>
        </w:rPr>
        <w:t>(</w:t>
      </w:r>
      <w:r w:rsidR="00B12054" w:rsidRPr="00E17CFB">
        <w:rPr>
          <w:rFonts w:cs="Arial"/>
          <w:sz w:val="16"/>
          <w:szCs w:val="16"/>
          <w:rtl/>
        </w:rPr>
        <w:t>סי</w:t>
      </w:r>
      <w:r w:rsidRPr="00E17CFB">
        <w:rPr>
          <w:rFonts w:cs="Arial" w:hint="cs"/>
          <w:sz w:val="16"/>
          <w:szCs w:val="16"/>
          <w:rtl/>
        </w:rPr>
        <w:t>'</w:t>
      </w:r>
      <w:r w:rsidR="00B12054" w:rsidRPr="00E17CFB">
        <w:rPr>
          <w:rFonts w:cs="Arial"/>
          <w:sz w:val="16"/>
          <w:szCs w:val="16"/>
          <w:rtl/>
        </w:rPr>
        <w:t xml:space="preserve"> רפ</w:t>
      </w:r>
      <w:r w:rsidR="006F6F84">
        <w:rPr>
          <w:rFonts w:cs="Arial" w:hint="cs"/>
          <w:sz w:val="16"/>
          <w:szCs w:val="16"/>
          <w:rtl/>
        </w:rPr>
        <w:t>ב, הביאוהו הב"י [כאן] והדרכ"מ [יו"ד סי' רמח]</w:t>
      </w:r>
      <w:r w:rsidRPr="00E17CFB">
        <w:rPr>
          <w:rFonts w:cs="Arial" w:hint="cs"/>
          <w:sz w:val="16"/>
          <w:szCs w:val="16"/>
          <w:rtl/>
        </w:rPr>
        <w:t>)</w:t>
      </w:r>
      <w:r>
        <w:rPr>
          <w:rFonts w:cs="Arial" w:hint="cs"/>
          <w:rtl/>
        </w:rPr>
        <w:t>-</w:t>
      </w:r>
      <w:r w:rsidR="00B12054" w:rsidRPr="00765055">
        <w:rPr>
          <w:rFonts w:cs="Arial"/>
          <w:rtl/>
        </w:rPr>
        <w:t xml:space="preserve"> </w:t>
      </w:r>
      <w:r w:rsidR="006F6F84" w:rsidRPr="006F6F84">
        <w:rPr>
          <w:rFonts w:cs="Arial"/>
          <w:rtl/>
        </w:rPr>
        <w:t>שאלה: הקהל עשו תקנה על איזה דבר והעמידו קנס עלה שכל מי שיעבור הן איש או אשה יקנס בכך וכך לצדקה, ועברה על התקנה אשה שיש לה בעל ואין לה כלום חוץ מבעלה, חייב בעלה לשלם בשבילה או לאו?</w:t>
      </w:r>
      <w:r w:rsidR="00C632CD">
        <w:rPr>
          <w:rFonts w:cs="Arial" w:hint="cs"/>
          <w:rtl/>
        </w:rPr>
        <w:t xml:space="preserve">      </w:t>
      </w:r>
      <w:r w:rsidR="006F6F84" w:rsidRPr="006F6F84">
        <w:rPr>
          <w:rFonts w:cs="Arial"/>
          <w:rtl/>
        </w:rPr>
        <w:t xml:space="preserve"> תשובה: יראה דדבר זה צריך דקדוק קצת, בפ' המקבל </w:t>
      </w:r>
      <w:r w:rsidR="006F6F84" w:rsidRPr="006F6F84">
        <w:rPr>
          <w:rFonts w:cs="Arial" w:hint="cs"/>
          <w:sz w:val="16"/>
          <w:szCs w:val="16"/>
          <w:rtl/>
        </w:rPr>
        <w:t>(</w:t>
      </w:r>
      <w:r w:rsidR="006F6F84" w:rsidRPr="006F6F84">
        <w:rPr>
          <w:rFonts w:cs="Arial"/>
          <w:sz w:val="16"/>
          <w:szCs w:val="16"/>
          <w:rtl/>
        </w:rPr>
        <w:t>ב"מ קד</w:t>
      </w:r>
      <w:r w:rsidR="006F6F84" w:rsidRPr="006F6F84">
        <w:rPr>
          <w:rFonts w:cs="Arial" w:hint="cs"/>
          <w:sz w:val="16"/>
          <w:szCs w:val="16"/>
          <w:rtl/>
        </w:rPr>
        <w:t>.)</w:t>
      </w:r>
      <w:r w:rsidR="006F6F84" w:rsidRPr="006F6F84">
        <w:rPr>
          <w:rFonts w:cs="Arial"/>
          <w:sz w:val="16"/>
          <w:szCs w:val="16"/>
          <w:rtl/>
        </w:rPr>
        <w:t xml:space="preserve"> </w:t>
      </w:r>
      <w:r w:rsidR="006F6F84" w:rsidRPr="006F6F84">
        <w:rPr>
          <w:rFonts w:cs="Arial"/>
          <w:rtl/>
        </w:rPr>
        <w:t>איתא דרבי יודא היה דורש לשון הדיוט, דתניא רבי יודא אומר מביא אדם קרבן עשיר על אשתו וכן כל קרבנות שהיא חייבת, ופרש"י כל הקרבנות שלא בנדר ונדבה כגון קרבן זיבתה וחטאת ואשם, וכן מפרשים התוס' דקרבנות חובה כה"ג שבאין לחובת גופה חייב לשלם. ומייתי ראייה מן הירושלמי דאם אכלה חלב או חללה שבת חייב להביא קרבן בשבילה ואפי' אם נתחייבה בהן קודם שנשאת לו. כך היא לדעת התוס' ומרדכי והגה"ה באשירי שם. אבל לפרש"י ולגירסתו דווקא כשנתחייב בהן והיא תחתיו. והיה נראה לדמות נ"ד לתשלומי קרבן, דכיון שעברה על תקנת הקהל והיא עבירה גמורה כדאיתא להדיא בסמ"ג דהנשבע שלא ליכנס בתקנת הקהל הרי זה שבועת שוא כמו הנשבע לבטל את המצוה. וכאן נמי א</w:t>
      </w:r>
      <w:r w:rsidR="00C632CD">
        <w:rPr>
          <w:rFonts w:cs="Arial" w:hint="cs"/>
          <w:rtl/>
        </w:rPr>
        <w:t>ע"</w:t>
      </w:r>
      <w:r w:rsidR="006F6F84" w:rsidRPr="006F6F84">
        <w:rPr>
          <w:rFonts w:cs="Arial"/>
          <w:rtl/>
        </w:rPr>
        <w:t>פ שהעמידו קנסות מ"מ לא התירו בשביל זה לעבור וליתן הקנס, אלא שאם יעבור אפילו בשכחה יתן הקנס שיהיו נזהרים לקיים, והקנס מ"מ בא לכפרה קצת על העובר, ודמי קצת למביא קרבן על חטאתו, וצ"ע אי הנדון דומה לראייה.</w:t>
      </w:r>
    </w:p>
    <w:p w14:paraId="62358A72" w14:textId="77777777" w:rsidR="00971CA9" w:rsidRDefault="00971CA9" w:rsidP="00971CA9">
      <w:pPr>
        <w:rPr>
          <w:rFonts w:cs="Arial"/>
          <w:rtl/>
        </w:rPr>
      </w:pPr>
      <w:r w:rsidRPr="003024E5">
        <w:rPr>
          <w:rFonts w:asciiTheme="minorBidi" w:hAnsiTheme="minorBidi"/>
          <w:b/>
          <w:bCs/>
          <w:color w:val="000000"/>
          <w:sz w:val="28"/>
          <w:szCs w:val="28"/>
          <w:u w:val="single"/>
          <w:rtl/>
        </w:rPr>
        <w:t>שו"ע:</w:t>
      </w:r>
    </w:p>
    <w:p w14:paraId="0F8AEFD1" w14:textId="773DC282" w:rsidR="00971CA9" w:rsidRDefault="00971CA9" w:rsidP="00971CA9">
      <w:pPr>
        <w:rPr>
          <w:rFonts w:cs="Arial"/>
          <w:sz w:val="18"/>
          <w:szCs w:val="18"/>
          <w:rtl/>
        </w:rPr>
      </w:pPr>
      <w:r>
        <w:rPr>
          <w:rFonts w:cs="Arial"/>
          <w:rtl/>
        </w:rPr>
        <w:t>האשה שיצאה מבית בעלה והלכה לבית אחר, אם באה מחמת טענה שהוא בשכונה שיוציאו עליה שם רע וכיוצא בזה, חייב לזונה שם אם תבעה מזונות</w:t>
      </w:r>
      <w:r w:rsidR="000B759F">
        <w:rPr>
          <w:rFonts w:cs="Arial" w:hint="cs"/>
          <w:rtl/>
        </w:rPr>
        <w:t>.</w:t>
      </w:r>
      <w:r>
        <w:rPr>
          <w:rFonts w:cs="Arial"/>
          <w:rtl/>
        </w:rPr>
        <w:t xml:space="preserve"> אבל אם לא תבעה, מחלה על מזונות דלשעבר. </w:t>
      </w:r>
      <w:r w:rsidRPr="00765055">
        <w:rPr>
          <w:rFonts w:cs="Arial"/>
          <w:sz w:val="18"/>
          <w:szCs w:val="18"/>
          <w:rtl/>
        </w:rPr>
        <w:t>הגה: וה"ה אם היתה לה קטטה עם בעלה ולא מתדר לה עמו, והמניעה ממנו, ולותה למזונות, צריך לשלם</w:t>
      </w:r>
      <w:r w:rsidR="000B759F">
        <w:rPr>
          <w:rFonts w:cs="Arial" w:hint="cs"/>
          <w:sz w:val="18"/>
          <w:szCs w:val="18"/>
          <w:rtl/>
        </w:rPr>
        <w:t>.</w:t>
      </w:r>
      <w:r w:rsidRPr="00765055">
        <w:rPr>
          <w:rFonts w:cs="Arial"/>
          <w:sz w:val="18"/>
          <w:szCs w:val="18"/>
          <w:rtl/>
        </w:rPr>
        <w:t xml:space="preserve"> אבל אם המניעה ממנה, א"צ לשלם, דאין האיש חייב במזונות אשתו אלא כשהיא עמו (מרדכי </w:t>
      </w:r>
      <w:r w:rsidR="00162BA3">
        <w:rPr>
          <w:rFonts w:cs="Arial" w:hint="cs"/>
          <w:sz w:val="18"/>
          <w:szCs w:val="18"/>
          <w:rtl/>
        </w:rPr>
        <w:t>ו</w:t>
      </w:r>
      <w:r w:rsidRPr="00765055">
        <w:rPr>
          <w:rFonts w:cs="Arial"/>
          <w:sz w:val="18"/>
          <w:szCs w:val="18"/>
          <w:rtl/>
        </w:rPr>
        <w:t>ריטב"א). ודוקא שבעלה בעיר, אבל אין בעלה בעיר אין נפקותא אם הלכה לבית אביה</w:t>
      </w:r>
      <w:r w:rsidR="000B759F">
        <w:rPr>
          <w:rFonts w:cs="Arial" w:hint="cs"/>
          <w:sz w:val="18"/>
          <w:szCs w:val="18"/>
          <w:rtl/>
        </w:rPr>
        <w:t>.</w:t>
      </w:r>
      <w:r w:rsidRPr="00765055">
        <w:rPr>
          <w:rFonts w:cs="Arial"/>
          <w:sz w:val="18"/>
          <w:szCs w:val="18"/>
          <w:rtl/>
        </w:rPr>
        <w:t xml:space="preserve"> ואם משום מלאכות הבית, אם היתה </w:t>
      </w:r>
      <w:r w:rsidRPr="00765055">
        <w:rPr>
          <w:rFonts w:cs="Arial"/>
          <w:sz w:val="18"/>
          <w:szCs w:val="18"/>
          <w:rtl/>
        </w:rPr>
        <w:lastRenderedPageBreak/>
        <w:t>חולה פשיטא דחייב, דחולה לאו בת מלאכה היא</w:t>
      </w:r>
      <w:r w:rsidR="000B759F">
        <w:rPr>
          <w:rFonts w:cs="Arial" w:hint="cs"/>
          <w:sz w:val="18"/>
          <w:szCs w:val="18"/>
          <w:rtl/>
        </w:rPr>
        <w:t>.</w:t>
      </w:r>
      <w:r w:rsidRPr="00765055">
        <w:rPr>
          <w:rFonts w:cs="Arial"/>
          <w:sz w:val="18"/>
          <w:szCs w:val="18"/>
          <w:rtl/>
        </w:rPr>
        <w:t xml:space="preserve"> ואם אינה חולה, מנכה לה ממזונותיה כפי מה שצריך לשכור מי שעושה לו המלאכות קטנות שבבית, אבל אינה מפסדת משום זה מזונותיה, רק מחמת מעשה ידיה אם בת מלאכה היא (רשב"א). ובמקום שחייב לה מזונות, אע</w:t>
      </w:r>
      <w:r w:rsidR="00162BA3">
        <w:rPr>
          <w:rFonts w:cs="Arial" w:hint="cs"/>
          <w:sz w:val="18"/>
          <w:szCs w:val="18"/>
          <w:rtl/>
        </w:rPr>
        <w:t>"</w:t>
      </w:r>
      <w:r w:rsidRPr="00765055">
        <w:rPr>
          <w:rFonts w:cs="Arial"/>
          <w:sz w:val="18"/>
          <w:szCs w:val="18"/>
          <w:rtl/>
        </w:rPr>
        <w:t>פ שבעלה הכריז שלא ילוה לה אדם, והוא בעיר ולא תבעתו בדין, ולותה, חייב לשלם, דלאו כל כמיניה. והוא דלא ספקה במעשה ידיה (רשב"א סי</w:t>
      </w:r>
      <w:r w:rsidR="000E571B">
        <w:rPr>
          <w:rFonts w:cs="Arial" w:hint="cs"/>
          <w:sz w:val="18"/>
          <w:szCs w:val="18"/>
          <w:rtl/>
        </w:rPr>
        <w:t xml:space="preserve">' </w:t>
      </w:r>
      <w:r w:rsidRPr="00765055">
        <w:rPr>
          <w:rFonts w:cs="Arial"/>
          <w:sz w:val="18"/>
          <w:szCs w:val="18"/>
          <w:rtl/>
        </w:rPr>
        <w:t>תרצב).</w:t>
      </w:r>
    </w:p>
    <w:p w14:paraId="5822E28F" w14:textId="4D5A6FE0" w:rsidR="00471D63" w:rsidRDefault="00471D63" w:rsidP="00971CA9">
      <w:pPr>
        <w:rPr>
          <w:rFonts w:cs="Arial"/>
          <w:sz w:val="18"/>
          <w:szCs w:val="18"/>
          <w:rtl/>
        </w:rPr>
      </w:pPr>
    </w:p>
    <w:p w14:paraId="2182BBBE" w14:textId="2F6939EC" w:rsidR="00471D63" w:rsidRDefault="00471D63" w:rsidP="00971CA9">
      <w:pPr>
        <w:rPr>
          <w:rFonts w:cs="Arial"/>
          <w:sz w:val="18"/>
          <w:szCs w:val="18"/>
          <w:rtl/>
        </w:rPr>
      </w:pPr>
    </w:p>
    <w:p w14:paraId="1A30B7CA" w14:textId="77777777" w:rsidR="00471D63" w:rsidRDefault="00471D63" w:rsidP="00471D63">
      <w:pPr>
        <w:pStyle w:val="1"/>
        <w:rPr>
          <w:rtl/>
        </w:rPr>
        <w:sectPr w:rsidR="00471D63" w:rsidSect="00A347B3">
          <w:headerReference w:type="default" r:id="rId13"/>
          <w:footnotePr>
            <w:numRestart w:val="eachSect"/>
          </w:footnotePr>
          <w:pgSz w:w="11906" w:h="16838"/>
          <w:pgMar w:top="720" w:right="1134" w:bottom="720" w:left="1134" w:header="0" w:footer="0" w:gutter="0"/>
          <w:cols w:space="720"/>
          <w:bidi/>
          <w:rtlGutter/>
          <w:docGrid w:linePitch="360"/>
        </w:sectPr>
      </w:pPr>
    </w:p>
    <w:p w14:paraId="0B4381E8" w14:textId="2196330A" w:rsidR="00471D63" w:rsidRDefault="00471D63" w:rsidP="00471D63">
      <w:pPr>
        <w:pStyle w:val="1"/>
        <w:rPr>
          <w:rtl/>
        </w:rPr>
      </w:pPr>
      <w:r>
        <w:rPr>
          <w:rFonts w:hint="cs"/>
          <w:rtl/>
        </w:rPr>
        <w:lastRenderedPageBreak/>
        <w:t xml:space="preserve">סימן עא: </w:t>
      </w:r>
      <w:r>
        <w:rPr>
          <w:rtl/>
        </w:rPr>
        <w:t xml:space="preserve">שחייב לזון בניו ובנותיו כשהם קטנים, ובו ד' סעיפים. </w:t>
      </w:r>
    </w:p>
    <w:p w14:paraId="37DB5150" w14:textId="0F712265" w:rsidR="00471D63" w:rsidRDefault="00471D63" w:rsidP="000F64D0">
      <w:pPr>
        <w:pStyle w:val="2"/>
        <w:rPr>
          <w:rtl/>
        </w:rPr>
      </w:pPr>
      <w:r>
        <w:rPr>
          <w:rtl/>
        </w:rPr>
        <w:t>סעיף א</w:t>
      </w:r>
      <w:r w:rsidR="00F350E1">
        <w:rPr>
          <w:rFonts w:hint="cs"/>
          <w:rtl/>
        </w:rPr>
        <w:t>:</w:t>
      </w:r>
      <w:r w:rsidR="001B4F2E" w:rsidRPr="001B4F2E">
        <w:rPr>
          <w:rtl/>
        </w:rPr>
        <w:t xml:space="preserve"> </w:t>
      </w:r>
      <w:r w:rsidR="001B4F2E">
        <w:rPr>
          <w:rtl/>
        </w:rPr>
        <w:t>חייב אדם לזון בניו ובנותיו</w:t>
      </w:r>
      <w:r w:rsidR="001B4F2E">
        <w:rPr>
          <w:rFonts w:hint="cs"/>
          <w:rtl/>
        </w:rPr>
        <w:t>.</w:t>
      </w:r>
    </w:p>
    <w:p w14:paraId="5452F786" w14:textId="1489D37E" w:rsidR="001427B1" w:rsidRDefault="001427B1" w:rsidP="001427B1">
      <w:pPr>
        <w:rPr>
          <w:rtl/>
        </w:rPr>
      </w:pPr>
      <w:r w:rsidRPr="001427B1">
        <w:rPr>
          <w:rFonts w:cs="Arial" w:hint="cs"/>
          <w:b/>
          <w:bCs/>
          <w:rtl/>
        </w:rPr>
        <w:t xml:space="preserve">כתובות </w:t>
      </w:r>
      <w:r>
        <w:rPr>
          <w:rFonts w:cs="Arial" w:hint="cs"/>
          <w:b/>
          <w:bCs/>
          <w:sz w:val="16"/>
          <w:szCs w:val="16"/>
          <w:rtl/>
        </w:rPr>
        <w:t>(ס"פ אף על פי)</w:t>
      </w:r>
      <w:r>
        <w:rPr>
          <w:rFonts w:cs="Arial" w:hint="cs"/>
          <w:b/>
          <w:bCs/>
          <w:rtl/>
        </w:rPr>
        <w:t xml:space="preserve"> </w:t>
      </w:r>
      <w:r w:rsidRPr="001427B1">
        <w:rPr>
          <w:rFonts w:cs="Arial" w:hint="cs"/>
          <w:b/>
          <w:bCs/>
          <w:rtl/>
        </w:rPr>
        <w:t xml:space="preserve">סה ע"ב: </w:t>
      </w:r>
      <w:r w:rsidRPr="001427B1">
        <w:rPr>
          <w:rFonts w:cs="Arial"/>
          <w:u w:val="single"/>
          <w:rtl/>
        </w:rPr>
        <w:t>דרש רבי עולא רבה אפיתחא דבי נשיאה</w:t>
      </w:r>
      <w:r w:rsidRPr="001427B1">
        <w:rPr>
          <w:rFonts w:cs="Arial"/>
          <w:rtl/>
        </w:rPr>
        <w:t>: אף על פי שאמרו אין אדם זן את בניו ובנותיו כשהן קטנים, אבל זן קטני קטנים. עד כמה? עד בן שש</w:t>
      </w:r>
      <w:r>
        <w:rPr>
          <w:rFonts w:hint="cs"/>
          <w:rtl/>
        </w:rPr>
        <w:t>.</w:t>
      </w:r>
    </w:p>
    <w:p w14:paraId="068348B1" w14:textId="408A3B04" w:rsidR="002E4CB1" w:rsidRDefault="002E4CB1" w:rsidP="001427B1">
      <w:pPr>
        <w:rPr>
          <w:rtl/>
        </w:rPr>
      </w:pPr>
      <w:r w:rsidRPr="002E4CB1">
        <w:rPr>
          <w:rFonts w:hint="cs"/>
          <w:b/>
          <w:bCs/>
          <w:rtl/>
        </w:rPr>
        <w:t xml:space="preserve">כתובות </w:t>
      </w:r>
      <w:r w:rsidRPr="002E4CB1">
        <w:rPr>
          <w:rFonts w:hint="cs"/>
          <w:b/>
          <w:bCs/>
          <w:sz w:val="16"/>
          <w:szCs w:val="16"/>
          <w:rtl/>
        </w:rPr>
        <w:t>(פ' נערה שנתפתתה)</w:t>
      </w:r>
      <w:r w:rsidRPr="002E4CB1">
        <w:rPr>
          <w:rFonts w:hint="cs"/>
          <w:b/>
          <w:bCs/>
          <w:rtl/>
        </w:rPr>
        <w:t xml:space="preserve"> מט</w:t>
      </w:r>
      <w:r w:rsidR="00E4310B">
        <w:rPr>
          <w:rStyle w:val="a7"/>
          <w:b/>
          <w:bCs/>
          <w:rtl/>
        </w:rPr>
        <w:footnoteReference w:id="326"/>
      </w:r>
      <w:r w:rsidRPr="002E4CB1">
        <w:rPr>
          <w:rFonts w:hint="cs"/>
          <w:b/>
          <w:bCs/>
          <w:rtl/>
        </w:rPr>
        <w:t xml:space="preserve"> ע"ב:</w:t>
      </w:r>
      <w:r>
        <w:rPr>
          <w:rFonts w:hint="cs"/>
          <w:rtl/>
        </w:rPr>
        <w:t xml:space="preserve"> </w:t>
      </w:r>
      <w:r w:rsidRPr="002E4CB1">
        <w:rPr>
          <w:rFonts w:cs="Arial"/>
          <w:u w:val="single"/>
          <w:rtl/>
        </w:rPr>
        <w:t>אמר רבי אילעא אמר ריש לקיש משום רבי יהודה בר חנינא</w:t>
      </w:r>
      <w:r w:rsidRPr="002E4CB1">
        <w:rPr>
          <w:rFonts w:cs="Arial"/>
          <w:rtl/>
        </w:rPr>
        <w:t>: באושא התקינו</w:t>
      </w:r>
      <w:r w:rsidR="00AB592A">
        <w:rPr>
          <w:rStyle w:val="a7"/>
          <w:rFonts w:cs="Arial"/>
          <w:rtl/>
        </w:rPr>
        <w:footnoteReference w:id="327"/>
      </w:r>
      <w:r w:rsidRPr="002E4CB1">
        <w:rPr>
          <w:rFonts w:cs="Arial"/>
          <w:rtl/>
        </w:rPr>
        <w:t>, שיהא אדם זן את בניו ואת בנותיו כשהן קטנים</w:t>
      </w:r>
      <w:r w:rsidR="00AB592A">
        <w:rPr>
          <w:rStyle w:val="a7"/>
          <w:rFonts w:cs="Arial"/>
          <w:rtl/>
        </w:rPr>
        <w:footnoteReference w:id="328"/>
      </w:r>
      <w:r w:rsidRPr="002E4CB1">
        <w:rPr>
          <w:rFonts w:cs="Arial"/>
          <w:rtl/>
        </w:rPr>
        <w:t>. איבעיא להו: הלכתא כוותיה, או אין הלכתא כוותיה? תא שמע</w:t>
      </w:r>
      <w:r w:rsidR="00AB592A">
        <w:rPr>
          <w:rStyle w:val="a7"/>
          <w:rFonts w:cs="Arial"/>
          <w:rtl/>
        </w:rPr>
        <w:footnoteReference w:id="329"/>
      </w:r>
      <w:r w:rsidRPr="002E4CB1">
        <w:rPr>
          <w:rFonts w:cs="Arial"/>
          <w:rtl/>
        </w:rPr>
        <w:t>: כי הוה אתו לקמיה דרב יהודה, אמר להו: יארוד ילדה ואבני מתא שדיא</w:t>
      </w:r>
      <w:r w:rsidR="00AB592A">
        <w:rPr>
          <w:rStyle w:val="a7"/>
          <w:rFonts w:cs="Arial"/>
          <w:rtl/>
        </w:rPr>
        <w:footnoteReference w:id="330"/>
      </w:r>
      <w:r w:rsidRPr="002E4CB1">
        <w:rPr>
          <w:rFonts w:cs="Arial"/>
          <w:rtl/>
        </w:rPr>
        <w:t>! כי הוה אתו לקמיה דרב חסדא, אמר להו: כפו ליה אסיתא</w:t>
      </w:r>
      <w:r w:rsidR="00AB592A">
        <w:rPr>
          <w:rStyle w:val="a7"/>
          <w:rFonts w:cs="Arial"/>
          <w:rtl/>
        </w:rPr>
        <w:footnoteReference w:id="331"/>
      </w:r>
      <w:r w:rsidRPr="002E4CB1">
        <w:rPr>
          <w:rFonts w:cs="Arial"/>
          <w:rtl/>
        </w:rPr>
        <w:t xml:space="preserve"> בצבורא, וליקום ולימא: עורבא בעי בניה, וההוא גברא לא בעי בניה! ועורבא בעי בניה? והכתיב: לבני עורב אשר יקראו! לא קשיא: הא בחיורי, הא באוכמי. כי הוה אתי לקמיה דרבא, אמר ליה: ניחא לך דמיתזני בניך מצדקה? ולא אמרן אלא דלא אמיד, אבל אמיד - כפינן ליה על כרחיה, כי הא דרבא כפייה לרב נתן בר אמי, ואפיק מיניה ד' מאה זוזי לצדקה.</w:t>
      </w:r>
      <w:r w:rsidR="005F05C9">
        <w:rPr>
          <w:rFonts w:hint="cs"/>
          <w:rtl/>
        </w:rPr>
        <w:t>..</w:t>
      </w:r>
      <w:r w:rsidR="005F05C9">
        <w:rPr>
          <w:rFonts w:hint="cs"/>
          <w:sz w:val="14"/>
          <w:szCs w:val="14"/>
          <w:rtl/>
        </w:rPr>
        <w:t xml:space="preserve"> (נ.)</w:t>
      </w:r>
      <w:r w:rsidR="005F05C9" w:rsidRPr="005F05C9">
        <w:rPr>
          <w:rtl/>
        </w:rPr>
        <w:t xml:space="preserve"> </w:t>
      </w:r>
      <w:r w:rsidR="005F05C9" w:rsidRPr="005F05C9">
        <w:rPr>
          <w:rFonts w:cs="Arial"/>
          <w:rtl/>
        </w:rPr>
        <w:t xml:space="preserve">אשרי שומרי משפט עושה צדקה בכל עת - וכי אפשר לעשות צדקה בכל עת? </w:t>
      </w:r>
      <w:r w:rsidR="005F05C9" w:rsidRPr="005F05C9">
        <w:rPr>
          <w:rFonts w:cs="Arial"/>
          <w:u w:val="single"/>
          <w:rtl/>
        </w:rPr>
        <w:t>דרשו רבותינו שביבנה, ואמרי לה רבי אליעזר</w:t>
      </w:r>
      <w:r w:rsidR="005F05C9" w:rsidRPr="005F05C9">
        <w:rPr>
          <w:rFonts w:cs="Arial"/>
          <w:rtl/>
        </w:rPr>
        <w:t>: זה הזן בניו ובנותיו כשהן קטנים</w:t>
      </w:r>
      <w:r w:rsidR="005B4B44">
        <w:rPr>
          <w:rStyle w:val="a7"/>
          <w:rFonts w:cs="Arial"/>
          <w:rtl/>
        </w:rPr>
        <w:footnoteReference w:id="332"/>
      </w:r>
      <w:r w:rsidR="005F05C9" w:rsidRPr="005F05C9">
        <w:rPr>
          <w:rFonts w:cs="Arial"/>
          <w:rtl/>
        </w:rPr>
        <w:t>.</w:t>
      </w:r>
    </w:p>
    <w:p w14:paraId="6FA1CFD2" w14:textId="2B130A96" w:rsidR="002E4CB1" w:rsidRPr="002E4CB1" w:rsidRDefault="002E4CB1" w:rsidP="001427B1">
      <w:pPr>
        <w:rPr>
          <w:u w:val="single"/>
          <w:rtl/>
        </w:rPr>
      </w:pPr>
      <w:r w:rsidRPr="002E4CB1">
        <w:rPr>
          <w:rFonts w:hint="cs"/>
          <w:u w:val="single"/>
          <w:rtl/>
        </w:rPr>
        <w:t xml:space="preserve">עד איזה גיל </w:t>
      </w:r>
      <w:r>
        <w:rPr>
          <w:rFonts w:hint="cs"/>
          <w:u w:val="single"/>
          <w:rtl/>
        </w:rPr>
        <w:t>בניו יהיו ועדיין יהיה חייב לזונם</w:t>
      </w:r>
      <w:r w:rsidRPr="002E4CB1">
        <w:rPr>
          <w:rFonts w:hint="cs"/>
          <w:u w:val="single"/>
          <w:rtl/>
        </w:rPr>
        <w:t>:</w:t>
      </w:r>
    </w:p>
    <w:p w14:paraId="20936577" w14:textId="7CC4B778" w:rsidR="002E4CB1" w:rsidRPr="002E4CB1" w:rsidRDefault="00F350E1" w:rsidP="009000E3">
      <w:pPr>
        <w:pStyle w:val="ab"/>
        <w:numPr>
          <w:ilvl w:val="0"/>
          <w:numId w:val="24"/>
        </w:numPr>
      </w:pPr>
      <w:r w:rsidRPr="00F350E1">
        <w:rPr>
          <w:rFonts w:cs="Arial" w:hint="cs"/>
          <w:rtl/>
        </w:rPr>
        <w:t xml:space="preserve">טור- </w:t>
      </w:r>
      <w:r w:rsidRPr="00F350E1">
        <w:rPr>
          <w:rFonts w:cs="Arial"/>
          <w:rtl/>
        </w:rPr>
        <w:t>חייב אדם לזון את בניו ובנותיו עד שהן בני שש</w:t>
      </w:r>
      <w:r w:rsidR="002E4CB1">
        <w:rPr>
          <w:rFonts w:cs="Arial" w:hint="cs"/>
          <w:rtl/>
        </w:rPr>
        <w:t>.</w:t>
      </w:r>
      <w:r w:rsidRPr="00F350E1">
        <w:rPr>
          <w:rFonts w:cs="Arial"/>
          <w:rtl/>
        </w:rPr>
        <w:t xml:space="preserve"> </w:t>
      </w:r>
      <w:r w:rsidR="001B4F2E" w:rsidRPr="00C57942">
        <w:rPr>
          <w:rFonts w:hint="cs"/>
          <w:color w:val="E36C0A" w:themeColor="accent6" w:themeShade="BF"/>
          <w:rtl/>
        </w:rPr>
        <w:t>(וכ"פ בשו"ע)</w:t>
      </w:r>
    </w:p>
    <w:p w14:paraId="3E643ECC" w14:textId="736858D9" w:rsidR="002E4CB1" w:rsidRPr="002E4CB1" w:rsidRDefault="002E4CB1" w:rsidP="002E4CB1">
      <w:pPr>
        <w:ind w:left="360"/>
        <w:rPr>
          <w:u w:val="dotted"/>
        </w:rPr>
      </w:pPr>
      <w:r w:rsidRPr="002E4CB1">
        <w:rPr>
          <w:rFonts w:hint="cs"/>
          <w:u w:val="dotted"/>
          <w:rtl/>
        </w:rPr>
        <w:t>ומה הדין אם יש ל</w:t>
      </w:r>
      <w:r w:rsidR="00AB592A">
        <w:rPr>
          <w:rFonts w:hint="cs"/>
          <w:u w:val="dotted"/>
          <w:rtl/>
        </w:rPr>
        <w:t>ילדיו</w:t>
      </w:r>
      <w:r w:rsidR="00357837">
        <w:rPr>
          <w:rFonts w:hint="cs"/>
          <w:u w:val="dotted"/>
          <w:rtl/>
        </w:rPr>
        <w:t xml:space="preserve"> </w:t>
      </w:r>
      <w:r w:rsidR="00357837" w:rsidRPr="00357837">
        <w:rPr>
          <w:rFonts w:hint="cs"/>
          <w:sz w:val="16"/>
          <w:szCs w:val="16"/>
          <w:u w:val="dotted"/>
          <w:rtl/>
        </w:rPr>
        <w:t>(שגילם פחות משש</w:t>
      </w:r>
      <w:r w:rsidR="00357837">
        <w:rPr>
          <w:rFonts w:hint="cs"/>
          <w:sz w:val="16"/>
          <w:szCs w:val="16"/>
          <w:u w:val="dotted"/>
          <w:rtl/>
        </w:rPr>
        <w:t xml:space="preserve"> שנים</w:t>
      </w:r>
      <w:r w:rsidR="00357837" w:rsidRPr="00357837">
        <w:rPr>
          <w:rFonts w:hint="cs"/>
          <w:sz w:val="16"/>
          <w:szCs w:val="16"/>
          <w:u w:val="dotted"/>
          <w:rtl/>
        </w:rPr>
        <w:t>)</w:t>
      </w:r>
      <w:r w:rsidRPr="002E4CB1">
        <w:rPr>
          <w:rFonts w:hint="cs"/>
          <w:u w:val="dotted"/>
          <w:rtl/>
        </w:rPr>
        <w:t xml:space="preserve"> נכסים</w:t>
      </w:r>
      <w:r w:rsidR="00AB592A">
        <w:rPr>
          <w:rFonts w:hint="cs"/>
          <w:u w:val="dotted"/>
          <w:rtl/>
        </w:rPr>
        <w:t xml:space="preserve"> ממקום אחר</w:t>
      </w:r>
      <w:r w:rsidRPr="002E4CB1">
        <w:rPr>
          <w:rFonts w:hint="cs"/>
          <w:u w:val="dotted"/>
          <w:rtl/>
        </w:rPr>
        <w:t>:</w:t>
      </w:r>
    </w:p>
    <w:p w14:paraId="17FEABBA" w14:textId="21BF6C15" w:rsidR="00357837" w:rsidRPr="00357837" w:rsidRDefault="002E4CB1" w:rsidP="009000E3">
      <w:pPr>
        <w:pStyle w:val="ab"/>
        <w:numPr>
          <w:ilvl w:val="0"/>
          <w:numId w:val="24"/>
        </w:numPr>
      </w:pPr>
      <w:r>
        <w:rPr>
          <w:rFonts w:cs="Arial" w:hint="cs"/>
          <w:rtl/>
        </w:rPr>
        <w:t>מה</w:t>
      </w:r>
      <w:r w:rsidR="00F350E1" w:rsidRPr="00F350E1">
        <w:rPr>
          <w:rFonts w:cs="Arial"/>
          <w:rtl/>
        </w:rPr>
        <w:t>ר"</w:t>
      </w:r>
      <w:r>
        <w:rPr>
          <w:rFonts w:cs="Arial" w:hint="cs"/>
          <w:rtl/>
        </w:rPr>
        <w:t>ם</w:t>
      </w:r>
      <w:r w:rsidR="00F350E1" w:rsidRPr="00F350E1">
        <w:rPr>
          <w:rFonts w:cs="Arial"/>
          <w:rtl/>
        </w:rPr>
        <w:t xml:space="preserve"> </w:t>
      </w:r>
      <w:r w:rsidRPr="002E4CB1">
        <w:rPr>
          <w:rFonts w:cs="Arial"/>
          <w:sz w:val="16"/>
          <w:szCs w:val="16"/>
          <w:rtl/>
        </w:rPr>
        <w:t>(</w:t>
      </w:r>
      <w:r>
        <w:rPr>
          <w:rFonts w:cs="Arial" w:hint="cs"/>
          <w:sz w:val="16"/>
          <w:szCs w:val="16"/>
          <w:rtl/>
        </w:rPr>
        <w:t>כ"כ הרא"ש [</w:t>
      </w:r>
      <w:r w:rsidRPr="002E4CB1">
        <w:rPr>
          <w:rFonts w:cs="Arial"/>
          <w:sz w:val="16"/>
          <w:szCs w:val="16"/>
          <w:rtl/>
        </w:rPr>
        <w:t>כתובות פ"ד סי' יד</w:t>
      </w:r>
      <w:r>
        <w:rPr>
          <w:rFonts w:cs="Arial" w:hint="cs"/>
          <w:sz w:val="16"/>
          <w:szCs w:val="16"/>
          <w:rtl/>
        </w:rPr>
        <w:t>] והטור בשמו</w:t>
      </w:r>
      <w:r w:rsidRPr="002E4CB1">
        <w:rPr>
          <w:rFonts w:cs="Arial"/>
          <w:sz w:val="16"/>
          <w:szCs w:val="16"/>
          <w:rtl/>
        </w:rPr>
        <w:t>)</w:t>
      </w:r>
      <w:r>
        <w:rPr>
          <w:rFonts w:cs="Arial" w:hint="cs"/>
          <w:rtl/>
        </w:rPr>
        <w:t xml:space="preserve">- </w:t>
      </w:r>
      <w:r w:rsidR="00F350E1" w:rsidRPr="00F350E1">
        <w:rPr>
          <w:rFonts w:cs="Arial"/>
          <w:rtl/>
        </w:rPr>
        <w:t>אפילו יש להם נכסים שנפלו להם מבית אבי אמם חייב לזונם כיון דתקנת חכמים היא זכו במזונותיהם אפי' אם יש להם להתפרנס משלהם</w:t>
      </w:r>
      <w:r w:rsidR="00357837">
        <w:rPr>
          <w:rFonts w:cs="Arial" w:hint="cs"/>
          <w:rtl/>
        </w:rPr>
        <w:t>.</w:t>
      </w:r>
      <w:r w:rsidR="00F350E1" w:rsidRPr="00F350E1">
        <w:rPr>
          <w:rFonts w:cs="Arial"/>
          <w:rtl/>
        </w:rPr>
        <w:t xml:space="preserve"> </w:t>
      </w:r>
      <w:r w:rsidR="001B4F2E" w:rsidRPr="00C57942">
        <w:rPr>
          <w:rFonts w:hint="cs"/>
          <w:color w:val="E36C0A" w:themeColor="accent6" w:themeShade="BF"/>
          <w:rtl/>
        </w:rPr>
        <w:t>(וכ"פ בשו"ע)</w:t>
      </w:r>
    </w:p>
    <w:p w14:paraId="7257DF6C" w14:textId="5BC3B99E" w:rsidR="00357837" w:rsidRPr="00357837" w:rsidRDefault="00357837" w:rsidP="00357837">
      <w:pPr>
        <w:rPr>
          <w:u w:val="single"/>
        </w:rPr>
      </w:pPr>
      <w:r w:rsidRPr="00357837">
        <w:rPr>
          <w:rFonts w:hint="cs"/>
          <w:u w:val="single"/>
          <w:rtl/>
        </w:rPr>
        <w:t xml:space="preserve">ילדיו שגילם </w:t>
      </w:r>
      <w:r>
        <w:rPr>
          <w:rFonts w:hint="cs"/>
          <w:u w:val="single"/>
          <w:rtl/>
        </w:rPr>
        <w:t xml:space="preserve">מעל </w:t>
      </w:r>
      <w:r w:rsidRPr="00357837">
        <w:rPr>
          <w:rFonts w:hint="cs"/>
          <w:u w:val="single"/>
          <w:rtl/>
        </w:rPr>
        <w:t>שש</w:t>
      </w:r>
      <w:r>
        <w:rPr>
          <w:rFonts w:hint="cs"/>
          <w:u w:val="single"/>
          <w:rtl/>
        </w:rPr>
        <w:t xml:space="preserve"> שנים</w:t>
      </w:r>
      <w:r w:rsidRPr="00357837">
        <w:rPr>
          <w:rFonts w:hint="cs"/>
          <w:u w:val="single"/>
          <w:rtl/>
        </w:rPr>
        <w:t>:</w:t>
      </w:r>
    </w:p>
    <w:p w14:paraId="713FDF9C" w14:textId="34BC48AF" w:rsidR="001427B1" w:rsidRDefault="00357837" w:rsidP="009000E3">
      <w:pPr>
        <w:pStyle w:val="ab"/>
        <w:numPr>
          <w:ilvl w:val="0"/>
          <w:numId w:val="24"/>
        </w:numPr>
      </w:pPr>
      <w:r>
        <w:rPr>
          <w:rFonts w:cs="Arial" w:hint="cs"/>
          <w:rtl/>
        </w:rPr>
        <w:t xml:space="preserve">טור- </w:t>
      </w:r>
      <w:r w:rsidR="00F350E1" w:rsidRPr="00F350E1">
        <w:rPr>
          <w:rFonts w:cs="Arial"/>
          <w:rtl/>
        </w:rPr>
        <w:t>משש ואילך מצוה לזונם עד שיהיו גדולים</w:t>
      </w:r>
      <w:r>
        <w:rPr>
          <w:rFonts w:cs="Arial" w:hint="cs"/>
          <w:rtl/>
        </w:rPr>
        <w:t>,</w:t>
      </w:r>
      <w:r w:rsidR="00F350E1" w:rsidRPr="00F350E1">
        <w:rPr>
          <w:rFonts w:cs="Arial"/>
          <w:rtl/>
        </w:rPr>
        <w:t xml:space="preserve"> ועל זה נאמר עושה צדקה בכל עת</w:t>
      </w:r>
      <w:r>
        <w:rPr>
          <w:rFonts w:cs="Arial" w:hint="cs"/>
          <w:rtl/>
        </w:rPr>
        <w:t>.</w:t>
      </w:r>
      <w:r w:rsidR="00F350E1" w:rsidRPr="00F350E1">
        <w:rPr>
          <w:rFonts w:cs="Arial"/>
          <w:rtl/>
        </w:rPr>
        <w:t xml:space="preserve"> ואם אינו רוצה </w:t>
      </w:r>
      <w:r>
        <w:rPr>
          <w:rFonts w:cs="Arial" w:hint="cs"/>
          <w:rtl/>
        </w:rPr>
        <w:t xml:space="preserve">- </w:t>
      </w:r>
      <w:r w:rsidR="00F350E1" w:rsidRPr="00F350E1">
        <w:rPr>
          <w:rFonts w:cs="Arial"/>
          <w:rtl/>
        </w:rPr>
        <w:t>אין כופין אותו אבל מפצירים בו</w:t>
      </w:r>
      <w:r>
        <w:rPr>
          <w:rFonts w:cs="Arial" w:hint="cs"/>
          <w:rtl/>
        </w:rPr>
        <w:t>.</w:t>
      </w:r>
      <w:r w:rsidR="00F350E1" w:rsidRPr="00F350E1">
        <w:rPr>
          <w:rFonts w:cs="Arial"/>
          <w:rtl/>
        </w:rPr>
        <w:t xml:space="preserve"> ואם אינו מתרצה מכלימים אותו ומכריזין עליו פלוני אינו רוצה לפרנס בניו והרי הוא גרוע מעוף טמא שמרחם על בניו</w:t>
      </w:r>
      <w:r>
        <w:rPr>
          <w:rFonts w:cs="Arial" w:hint="cs"/>
          <w:rtl/>
        </w:rPr>
        <w:t>.</w:t>
      </w:r>
      <w:r w:rsidR="00F350E1" w:rsidRPr="00F350E1">
        <w:rPr>
          <w:rFonts w:cs="Arial"/>
          <w:rtl/>
        </w:rPr>
        <w:t xml:space="preserve"> בד"א שאינו אמוד לנו בממון ליתן צדקה</w:t>
      </w:r>
      <w:r>
        <w:rPr>
          <w:rFonts w:cs="Arial" w:hint="cs"/>
          <w:rtl/>
        </w:rPr>
        <w:t>,</w:t>
      </w:r>
      <w:r w:rsidR="00F350E1" w:rsidRPr="00F350E1">
        <w:rPr>
          <w:rFonts w:cs="Arial"/>
          <w:rtl/>
        </w:rPr>
        <w:t xml:space="preserve"> אבל אם הוא אמוד שיש לו ממון ליתן צדקה </w:t>
      </w:r>
      <w:r>
        <w:rPr>
          <w:rFonts w:cs="Arial" w:hint="cs"/>
          <w:rtl/>
        </w:rPr>
        <w:t xml:space="preserve">- </w:t>
      </w:r>
      <w:r w:rsidR="00F350E1" w:rsidRPr="00F350E1">
        <w:rPr>
          <w:rFonts w:cs="Arial"/>
          <w:rtl/>
        </w:rPr>
        <w:t>לוקחין ממנו בעל כרחו משום צדקה</w:t>
      </w:r>
      <w:r>
        <w:rPr>
          <w:rFonts w:cs="Arial" w:hint="cs"/>
          <w:rtl/>
        </w:rPr>
        <w:t>,</w:t>
      </w:r>
      <w:r w:rsidR="00F350E1" w:rsidRPr="00F350E1">
        <w:rPr>
          <w:rFonts w:cs="Arial"/>
          <w:rtl/>
        </w:rPr>
        <w:t xml:space="preserve"> וזנין אותן עד שיגדלו</w:t>
      </w:r>
      <w:r w:rsidR="001427B1">
        <w:rPr>
          <w:rFonts w:cs="Arial" w:hint="cs"/>
          <w:rtl/>
        </w:rPr>
        <w:t>.</w:t>
      </w:r>
      <w:r w:rsidR="001B4F2E" w:rsidRPr="001B4F2E">
        <w:rPr>
          <w:rFonts w:hint="cs"/>
          <w:color w:val="E36C0A" w:themeColor="accent6" w:themeShade="BF"/>
          <w:rtl/>
        </w:rPr>
        <w:t xml:space="preserve"> </w:t>
      </w:r>
      <w:r w:rsidR="001B4F2E" w:rsidRPr="00C57942">
        <w:rPr>
          <w:rFonts w:hint="cs"/>
          <w:color w:val="E36C0A" w:themeColor="accent6" w:themeShade="BF"/>
          <w:rtl/>
        </w:rPr>
        <w:t>(וכ"פ בשו"ע)</w:t>
      </w:r>
    </w:p>
    <w:p w14:paraId="2BB861DD" w14:textId="0811BD35" w:rsidR="001B4F2E" w:rsidRPr="001B4F2E" w:rsidRDefault="001B4F2E" w:rsidP="001B4F2E">
      <w:r w:rsidRPr="001B4F2E">
        <w:rPr>
          <w:rFonts w:hint="cs"/>
          <w:u w:val="single"/>
          <w:rtl/>
        </w:rPr>
        <w:t xml:space="preserve">האם חייב לזון את בניו הקטנים </w:t>
      </w:r>
      <w:r w:rsidRPr="001B4F2E">
        <w:rPr>
          <w:rFonts w:hint="cs"/>
          <w:sz w:val="16"/>
          <w:szCs w:val="16"/>
          <w:u w:val="single"/>
          <w:rtl/>
        </w:rPr>
        <w:t xml:space="preserve">(פחות משש) </w:t>
      </w:r>
      <w:r w:rsidRPr="001B4F2E">
        <w:rPr>
          <w:rFonts w:hint="cs"/>
          <w:u w:val="single"/>
          <w:rtl/>
        </w:rPr>
        <w:t>גם כשאמן לא קיימת:</w:t>
      </w:r>
      <w:r>
        <w:rPr>
          <w:rFonts w:cs="Arial" w:hint="cs"/>
          <w:rtl/>
        </w:rPr>
        <w:t xml:space="preserve"> </w:t>
      </w:r>
      <w:r w:rsidRPr="001B4F2E">
        <w:rPr>
          <w:rFonts w:cs="Arial"/>
          <w:sz w:val="16"/>
          <w:szCs w:val="16"/>
          <w:rtl/>
        </w:rPr>
        <w:t>(</w:t>
      </w:r>
      <w:r w:rsidRPr="001B4F2E">
        <w:rPr>
          <w:rFonts w:cs="Arial" w:hint="cs"/>
          <w:sz w:val="16"/>
          <w:szCs w:val="16"/>
          <w:rtl/>
        </w:rPr>
        <w:t xml:space="preserve">דרכ"מ </w:t>
      </w:r>
      <w:r w:rsidRPr="001B4F2E">
        <w:rPr>
          <w:rFonts w:cs="Arial"/>
          <w:sz w:val="16"/>
          <w:szCs w:val="16"/>
          <w:rtl/>
        </w:rPr>
        <w:t>א</w:t>
      </w:r>
      <w:r w:rsidRPr="001B4F2E">
        <w:rPr>
          <w:rFonts w:cs="Arial" w:hint="cs"/>
          <w:sz w:val="16"/>
          <w:szCs w:val="16"/>
          <w:rtl/>
        </w:rPr>
        <w:t>ות א</w:t>
      </w:r>
      <w:r w:rsidRPr="001B4F2E">
        <w:rPr>
          <w:rFonts w:cs="Arial"/>
          <w:sz w:val="16"/>
          <w:szCs w:val="16"/>
          <w:rtl/>
        </w:rPr>
        <w:t>)</w:t>
      </w:r>
      <w:r w:rsidRPr="001B4F2E">
        <w:rPr>
          <w:rFonts w:cs="Arial"/>
          <w:rtl/>
        </w:rPr>
        <w:t xml:space="preserve"> </w:t>
      </w:r>
    </w:p>
    <w:p w14:paraId="4EB66426" w14:textId="1011F990" w:rsidR="001B4F2E" w:rsidRDefault="001B4F2E" w:rsidP="009000E3">
      <w:pPr>
        <w:pStyle w:val="ab"/>
        <w:numPr>
          <w:ilvl w:val="0"/>
          <w:numId w:val="24"/>
        </w:numPr>
      </w:pPr>
      <w:r w:rsidRPr="00F350E1">
        <w:rPr>
          <w:rFonts w:cs="Arial"/>
          <w:rtl/>
        </w:rPr>
        <w:t xml:space="preserve">ר"ן </w:t>
      </w:r>
      <w:r w:rsidRPr="001B4F2E">
        <w:rPr>
          <w:rFonts w:cs="Arial" w:hint="cs"/>
          <w:sz w:val="16"/>
          <w:szCs w:val="16"/>
          <w:rtl/>
        </w:rPr>
        <w:t>(</w:t>
      </w:r>
      <w:r w:rsidRPr="001B4F2E">
        <w:rPr>
          <w:rFonts w:cs="Arial"/>
          <w:sz w:val="16"/>
          <w:szCs w:val="16"/>
          <w:rtl/>
        </w:rPr>
        <w:t>ס</w:t>
      </w:r>
      <w:r w:rsidRPr="001B4F2E">
        <w:rPr>
          <w:rFonts w:cs="Arial" w:hint="cs"/>
          <w:sz w:val="16"/>
          <w:szCs w:val="16"/>
          <w:rtl/>
        </w:rPr>
        <w:t>"פ</w:t>
      </w:r>
      <w:r w:rsidRPr="001B4F2E">
        <w:rPr>
          <w:rFonts w:cs="Arial"/>
          <w:sz w:val="16"/>
          <w:szCs w:val="16"/>
          <w:rtl/>
        </w:rPr>
        <w:t xml:space="preserve"> אף על פי כח: ד"ה גמ')</w:t>
      </w:r>
      <w:r>
        <w:rPr>
          <w:rFonts w:cs="Arial" w:hint="cs"/>
          <w:rtl/>
        </w:rPr>
        <w:t>-</w:t>
      </w:r>
      <w:r w:rsidRPr="00F350E1">
        <w:rPr>
          <w:rFonts w:cs="Arial"/>
          <w:rtl/>
        </w:rPr>
        <w:t xml:space="preserve"> נראה הא דחייב לזון בניו ובנותיו דוקא כשאמן קיימת</w:t>
      </w:r>
      <w:r>
        <w:rPr>
          <w:rFonts w:cs="Arial" w:hint="cs"/>
          <w:rtl/>
        </w:rPr>
        <w:t>,</w:t>
      </w:r>
      <w:r w:rsidRPr="00F350E1">
        <w:rPr>
          <w:rFonts w:cs="Arial"/>
          <w:rtl/>
        </w:rPr>
        <w:t xml:space="preserve"> משום דכיון דנגררין אחריה עד בני שש אי אפשר להעמיד עצמה שלא תזון אותם ובכלל מזונותיה הוא</w:t>
      </w:r>
      <w:r>
        <w:rPr>
          <w:rFonts w:cs="Arial" w:hint="cs"/>
          <w:rtl/>
        </w:rPr>
        <w:t>.</w:t>
      </w:r>
      <w:r w:rsidRPr="00F350E1">
        <w:rPr>
          <w:rFonts w:cs="Arial"/>
          <w:rtl/>
        </w:rPr>
        <w:t xml:space="preserve"> אבל אין אמן קיימת </w:t>
      </w:r>
      <w:r>
        <w:rPr>
          <w:rFonts w:cs="Arial" w:hint="cs"/>
          <w:rtl/>
        </w:rPr>
        <w:t xml:space="preserve">- </w:t>
      </w:r>
      <w:r w:rsidRPr="00F350E1">
        <w:rPr>
          <w:rFonts w:cs="Arial"/>
          <w:rtl/>
        </w:rPr>
        <w:t>אין חייב לזונן</w:t>
      </w:r>
      <w:r>
        <w:rPr>
          <w:rFonts w:cs="Arial" w:hint="cs"/>
          <w:rtl/>
        </w:rPr>
        <w:t>.</w:t>
      </w:r>
      <w:r w:rsidRPr="00F350E1">
        <w:rPr>
          <w:rFonts w:cs="Arial"/>
          <w:rtl/>
        </w:rPr>
        <w:t xml:space="preserve"> אבל לא ראיתי לראשונים ז"ל שאמרו כן</w:t>
      </w:r>
      <w:r>
        <w:rPr>
          <w:rStyle w:val="a7"/>
          <w:rFonts w:cs="Arial"/>
          <w:rtl/>
        </w:rPr>
        <w:footnoteReference w:id="333"/>
      </w:r>
      <w:r>
        <w:rPr>
          <w:rFonts w:cs="Arial" w:hint="cs"/>
          <w:rtl/>
        </w:rPr>
        <w:t>.</w:t>
      </w:r>
    </w:p>
    <w:p w14:paraId="19976E41" w14:textId="77777777" w:rsidR="000C244F" w:rsidRPr="00F47D55" w:rsidRDefault="000C244F" w:rsidP="000C244F">
      <w:pPr>
        <w:rPr>
          <w:rFonts w:cs="Arial"/>
          <w:u w:val="single"/>
        </w:rPr>
      </w:pPr>
      <w:r w:rsidRPr="00F47D55">
        <w:rPr>
          <w:rFonts w:cs="Arial" w:hint="cs"/>
          <w:u w:val="single"/>
          <w:rtl/>
        </w:rPr>
        <w:t>בת חולנית גדולה שדורשת מאביה שיפרנס אותה ושישיא אותה:</w:t>
      </w:r>
    </w:p>
    <w:p w14:paraId="3381E769" w14:textId="575E660E" w:rsidR="000C244F" w:rsidRPr="000C244F" w:rsidRDefault="000C244F" w:rsidP="000C244F">
      <w:pPr>
        <w:pStyle w:val="ab"/>
        <w:numPr>
          <w:ilvl w:val="0"/>
          <w:numId w:val="24"/>
        </w:numPr>
        <w:rPr>
          <w:rFonts w:cs="Arial"/>
        </w:rPr>
      </w:pPr>
      <w:r w:rsidRPr="00F47D55">
        <w:rPr>
          <w:rFonts w:cs="Arial" w:hint="cs"/>
          <w:rtl/>
        </w:rPr>
        <w:t xml:space="preserve">הגמ"ר </w:t>
      </w:r>
      <w:r w:rsidRPr="00F47D55">
        <w:rPr>
          <w:rFonts w:cs="Arial" w:hint="cs"/>
          <w:sz w:val="16"/>
          <w:szCs w:val="16"/>
          <w:rtl/>
        </w:rPr>
        <w:t>(</w:t>
      </w:r>
      <w:r w:rsidRPr="00F47D55">
        <w:rPr>
          <w:rFonts w:cs="Arial"/>
          <w:sz w:val="16"/>
          <w:szCs w:val="16"/>
          <w:rtl/>
        </w:rPr>
        <w:t>קידושין סי' תקנה-תקנו)</w:t>
      </w:r>
      <w:r>
        <w:rPr>
          <w:rFonts w:cs="Arial" w:hint="cs"/>
          <w:rtl/>
        </w:rPr>
        <w:t xml:space="preserve">- </w:t>
      </w:r>
      <w:r w:rsidRPr="00F47D55">
        <w:rPr>
          <w:rFonts w:cs="Arial"/>
          <w:rtl/>
        </w:rPr>
        <w:t>הנה בת יעקב צועקת עליו שיפרנסנה כמשפט הבנות ושישאנה לראוי לה</w:t>
      </w:r>
      <w:r>
        <w:rPr>
          <w:rFonts w:cs="Arial" w:hint="cs"/>
          <w:rtl/>
        </w:rPr>
        <w:t>,</w:t>
      </w:r>
      <w:r w:rsidRPr="00F47D55">
        <w:rPr>
          <w:rFonts w:cs="Arial"/>
          <w:rtl/>
        </w:rPr>
        <w:t xml:space="preserve"> והיא חולנית</w:t>
      </w:r>
      <w:r>
        <w:rPr>
          <w:rFonts w:cs="Arial" w:hint="cs"/>
          <w:rtl/>
        </w:rPr>
        <w:t>,</w:t>
      </w:r>
      <w:r w:rsidRPr="00F47D55">
        <w:rPr>
          <w:rFonts w:cs="Arial"/>
          <w:rtl/>
        </w:rPr>
        <w:t xml:space="preserve"> וגרע מקטנה כי אפילו פתה אין לה כח לחתוך מפני חוליה</w:t>
      </w:r>
      <w:r>
        <w:rPr>
          <w:rFonts w:cs="Arial" w:hint="cs"/>
          <w:rtl/>
        </w:rPr>
        <w:t>.</w:t>
      </w:r>
      <w:r w:rsidRPr="00F47D55">
        <w:rPr>
          <w:rFonts w:cs="Arial"/>
          <w:rtl/>
        </w:rPr>
        <w:t xml:space="preserve"> ואם אינו רשאי להכניסה לביתו מפני אשתו</w:t>
      </w:r>
      <w:r>
        <w:rPr>
          <w:rFonts w:cs="Arial" w:hint="cs"/>
          <w:rtl/>
        </w:rPr>
        <w:t>,</w:t>
      </w:r>
      <w:r w:rsidRPr="00F47D55">
        <w:rPr>
          <w:rFonts w:cs="Arial"/>
          <w:rtl/>
        </w:rPr>
        <w:t xml:space="preserve"> יפרנסנה בבית אחר</w:t>
      </w:r>
      <w:r>
        <w:rPr>
          <w:rFonts w:cs="Arial" w:hint="cs"/>
          <w:rtl/>
        </w:rPr>
        <w:t>.</w:t>
      </w:r>
      <w:r w:rsidRPr="00F47D55">
        <w:rPr>
          <w:rFonts w:cs="Arial"/>
          <w:rtl/>
        </w:rPr>
        <w:t xml:space="preserve"> השיב יעקב היא מורדת נגדי</w:t>
      </w:r>
      <w:r>
        <w:rPr>
          <w:rFonts w:cs="Arial" w:hint="cs"/>
          <w:rtl/>
        </w:rPr>
        <w:t>,</w:t>
      </w:r>
      <w:r w:rsidRPr="00F47D55">
        <w:rPr>
          <w:rFonts w:cs="Arial"/>
          <w:rtl/>
        </w:rPr>
        <w:t xml:space="preserve"> ואין לי במה לפרנסה</w:t>
      </w:r>
      <w:r>
        <w:rPr>
          <w:rFonts w:cs="Arial" w:hint="cs"/>
          <w:rtl/>
        </w:rPr>
        <w:t>,</w:t>
      </w:r>
      <w:r w:rsidRPr="00F47D55">
        <w:rPr>
          <w:rFonts w:cs="Arial"/>
          <w:rtl/>
        </w:rPr>
        <w:t xml:space="preserve"> וגם תקע כפו לאשתו שלא יכניס בתו לעולם בביתו. נראה בעיני שאם הוא אמוד ויש לו במה לפרנסה כופין האב לפרנסה בצמצום אם אינה יכולה להרויח</w:t>
      </w:r>
      <w:r>
        <w:rPr>
          <w:rFonts w:cs="Arial" w:hint="cs"/>
          <w:rtl/>
        </w:rPr>
        <w:t>.</w:t>
      </w:r>
      <w:r w:rsidRPr="00F47D55">
        <w:rPr>
          <w:rFonts w:cs="Arial"/>
          <w:rtl/>
        </w:rPr>
        <w:t xml:space="preserve"> וגם יכופהו להשיאה</w:t>
      </w:r>
      <w:r>
        <w:rPr>
          <w:rFonts w:cs="Arial" w:hint="cs"/>
          <w:rtl/>
        </w:rPr>
        <w:t>.</w:t>
      </w:r>
      <w:r w:rsidRPr="00F47D55">
        <w:rPr>
          <w:rFonts w:cs="Arial"/>
          <w:rtl/>
        </w:rPr>
        <w:t xml:space="preserve"> אך על הנדן יתן כפי רצונו וכבודו ואין לכופו על כך</w:t>
      </w:r>
      <w:r>
        <w:rPr>
          <w:rFonts w:cs="Arial" w:hint="cs"/>
          <w:rtl/>
        </w:rPr>
        <w:t>,</w:t>
      </w:r>
      <w:r w:rsidRPr="00F47D55">
        <w:rPr>
          <w:rFonts w:cs="Arial"/>
          <w:rtl/>
        </w:rPr>
        <w:t xml:space="preserve"> כי לא נתקן </w:t>
      </w:r>
      <w:r w:rsidRPr="00F47D55">
        <w:rPr>
          <w:rFonts w:cs="Arial"/>
          <w:rtl/>
        </w:rPr>
        <w:lastRenderedPageBreak/>
        <w:t>עישור נכסים בחייו רק לאחר מותו</w:t>
      </w:r>
      <w:r>
        <w:rPr>
          <w:rFonts w:cs="Arial" w:hint="cs"/>
          <w:rtl/>
        </w:rPr>
        <w:t>,</w:t>
      </w:r>
      <w:r w:rsidRPr="00F47D55">
        <w:rPr>
          <w:rFonts w:cs="Arial"/>
          <w:rtl/>
        </w:rPr>
        <w:t xml:space="preserve"> אבל בחייו בדעתיה תליא מלתא</w:t>
      </w:r>
      <w:r>
        <w:rPr>
          <w:rFonts w:cs="Arial" w:hint="cs"/>
          <w:rtl/>
        </w:rPr>
        <w:t>,</w:t>
      </w:r>
      <w:r w:rsidRPr="00F47D55">
        <w:rPr>
          <w:rFonts w:cs="Arial"/>
          <w:rtl/>
        </w:rPr>
        <w:t xml:space="preserve"> וכל המרבה רוח חכמים נוחה הימנו</w:t>
      </w:r>
      <w:r>
        <w:rPr>
          <w:rFonts w:cs="Arial" w:hint="cs"/>
          <w:rtl/>
        </w:rPr>
        <w:t>.</w:t>
      </w:r>
      <w:r w:rsidRPr="00F47D55">
        <w:rPr>
          <w:rFonts w:cs="Arial"/>
          <w:rtl/>
        </w:rPr>
        <w:t xml:space="preserve"> והכי אמרי'</w:t>
      </w:r>
      <w:r>
        <w:rPr>
          <w:rFonts w:cs="Arial" w:hint="cs"/>
          <w:rtl/>
        </w:rPr>
        <w:t>,</w:t>
      </w:r>
      <w:r w:rsidRPr="00F47D55">
        <w:rPr>
          <w:rFonts w:cs="Arial"/>
          <w:rtl/>
        </w:rPr>
        <w:t xml:space="preserve"> מפני מה תקנו כתובת בנין דכרין</w:t>
      </w:r>
      <w:r>
        <w:rPr>
          <w:rFonts w:cs="Arial" w:hint="cs"/>
          <w:rtl/>
        </w:rPr>
        <w:t>,</w:t>
      </w:r>
      <w:r w:rsidRPr="00F47D55">
        <w:rPr>
          <w:rFonts w:cs="Arial"/>
          <w:rtl/>
        </w:rPr>
        <w:t xml:space="preserve"> כדי שיקפוץ אדם ויתן לבתו כבנו</w:t>
      </w:r>
      <w:r>
        <w:rPr>
          <w:rFonts w:cs="Arial" w:hint="cs"/>
          <w:rtl/>
        </w:rPr>
        <w:t>.</w:t>
      </w:r>
      <w:r w:rsidRPr="00F47D55">
        <w:rPr>
          <w:rFonts w:cs="Arial"/>
          <w:rtl/>
        </w:rPr>
        <w:t xml:space="preserve"> ואמר קחו לבניכם נשים ואת בנותיכם תנו לאנשים</w:t>
      </w:r>
      <w:r>
        <w:rPr>
          <w:rFonts w:cs="Arial" w:hint="cs"/>
          <w:rtl/>
        </w:rPr>
        <w:t>,</w:t>
      </w:r>
      <w:r w:rsidRPr="00F47D55">
        <w:rPr>
          <w:rFonts w:cs="Arial"/>
          <w:rtl/>
        </w:rPr>
        <w:t xml:space="preserve"> ופריך בדידיה תליא מלתא אלא דניתיב ליה מדיליה כי היכי דניקפצו עליה</w:t>
      </w:r>
      <w:r>
        <w:rPr>
          <w:rFonts w:cs="Arial" w:hint="cs"/>
          <w:rtl/>
        </w:rPr>
        <w:t>.</w:t>
      </w:r>
      <w:r w:rsidRPr="00F47D55">
        <w:rPr>
          <w:rFonts w:cs="Arial"/>
          <w:rtl/>
        </w:rPr>
        <w:t xml:space="preserve"> אבל במזונות יש לכופו או בביתו או מקום אחר</w:t>
      </w:r>
      <w:r>
        <w:rPr>
          <w:rFonts w:cs="Arial" w:hint="cs"/>
          <w:rtl/>
        </w:rPr>
        <w:t>.</w:t>
      </w:r>
      <w:r w:rsidRPr="00F47D55">
        <w:rPr>
          <w:rFonts w:cs="Arial"/>
          <w:rtl/>
        </w:rPr>
        <w:t xml:space="preserve"> ואי גברא לא אמיד אפ"ה כפינן ליה בדברים ומביישין אותו בצבור ומכריזין עליו ביומא דספרא בבי כנשתא כדי שיתבייש וידחוק עצמו כדי שלא תצא בתו לתרבות רעה</w:t>
      </w:r>
      <w:r>
        <w:rPr>
          <w:rStyle w:val="a7"/>
          <w:rFonts w:cs="Arial"/>
          <w:rtl/>
        </w:rPr>
        <w:footnoteReference w:id="334"/>
      </w:r>
      <w:r>
        <w:rPr>
          <w:rFonts w:cs="Arial" w:hint="cs"/>
          <w:rtl/>
        </w:rPr>
        <w:t xml:space="preserve">. </w:t>
      </w:r>
      <w:r w:rsidRPr="00827F1B">
        <w:rPr>
          <w:rFonts w:hint="cs"/>
          <w:color w:val="00B0F0"/>
          <w:rtl/>
        </w:rPr>
        <w:t>(וכ"פ הרמ"א)</w:t>
      </w:r>
    </w:p>
    <w:p w14:paraId="4DB791E2" w14:textId="77777777" w:rsidR="00F350E1" w:rsidRDefault="00F350E1" w:rsidP="00F350E1">
      <w:pPr>
        <w:rPr>
          <w:rFonts w:cs="Arial"/>
          <w:rtl/>
        </w:rPr>
      </w:pPr>
      <w:r w:rsidRPr="003024E5">
        <w:rPr>
          <w:rFonts w:asciiTheme="minorBidi" w:hAnsiTheme="minorBidi"/>
          <w:b/>
          <w:bCs/>
          <w:color w:val="000000"/>
          <w:sz w:val="28"/>
          <w:szCs w:val="28"/>
          <w:u w:val="single"/>
          <w:rtl/>
        </w:rPr>
        <w:t>שו"ע:</w:t>
      </w:r>
    </w:p>
    <w:p w14:paraId="73CB2E18" w14:textId="466273B5" w:rsidR="00471D63" w:rsidRDefault="00471D63" w:rsidP="00471D63">
      <w:pPr>
        <w:rPr>
          <w:rFonts w:cs="Arial"/>
          <w:rtl/>
        </w:rPr>
      </w:pPr>
      <w:r>
        <w:rPr>
          <w:rFonts w:cs="Arial"/>
          <w:rtl/>
        </w:rPr>
        <w:t>חייב אדם לזון בניו ובנותיו</w:t>
      </w:r>
      <w:r w:rsidR="00B97452">
        <w:rPr>
          <w:rStyle w:val="a7"/>
          <w:rFonts w:cs="Arial"/>
          <w:rtl/>
        </w:rPr>
        <w:footnoteReference w:id="335"/>
      </w:r>
      <w:r>
        <w:rPr>
          <w:rFonts w:cs="Arial"/>
          <w:rtl/>
        </w:rPr>
        <w:t xml:space="preserve"> עד שיהיו בני שש, אפילו יש להם נכסים שנפלו להם מבית אבי אמם</w:t>
      </w:r>
      <w:r w:rsidR="005B4B44">
        <w:rPr>
          <w:rFonts w:cs="Arial" w:hint="cs"/>
          <w:rtl/>
        </w:rPr>
        <w:t>.</w:t>
      </w:r>
      <w:r>
        <w:rPr>
          <w:rFonts w:cs="Arial"/>
          <w:rtl/>
        </w:rPr>
        <w:t xml:space="preserve"> ומשם ואילך, זנן כתקנת חכמים עד שיגדלו. ואם לא רצה, גוערין בו ומכלימין אותו ופוצרין בו. ואם לא רצה, מכריזין עליו בצבור ואומרים: פלוני אכזרי הוא ואינו רוצה לזון בניו, והרי הוא פחות מעוף טמא שהוא זן אפרוחיו</w:t>
      </w:r>
      <w:r w:rsidR="005B4B44">
        <w:rPr>
          <w:rFonts w:cs="Arial" w:hint="cs"/>
          <w:rtl/>
        </w:rPr>
        <w:t>.</w:t>
      </w:r>
      <w:r>
        <w:rPr>
          <w:rFonts w:cs="Arial"/>
          <w:rtl/>
        </w:rPr>
        <w:t xml:space="preserve"> ואין כופין אותו לזונן. במה דברים אמורים, בשאינו אמוד, אבל אם היה אמוד שיש לו ממון הראוי ליתן צדקה המספקת להם, מוציאים ממנו בעל כרחו, משום צדקה, וזנין אותם עד שיגדלו. </w:t>
      </w:r>
      <w:r w:rsidRPr="00F350E1">
        <w:rPr>
          <w:rFonts w:cs="Arial"/>
          <w:sz w:val="18"/>
          <w:szCs w:val="18"/>
          <w:rtl/>
        </w:rPr>
        <w:t>הגה: ודוקא לענין מזונות הבנות, אבל לא כופין להשיא בנותיו, ואע</w:t>
      </w:r>
      <w:r w:rsidR="0029205F">
        <w:rPr>
          <w:rFonts w:cs="Arial" w:hint="cs"/>
          <w:sz w:val="18"/>
          <w:szCs w:val="18"/>
          <w:rtl/>
        </w:rPr>
        <w:t>"</w:t>
      </w:r>
      <w:r w:rsidRPr="00F350E1">
        <w:rPr>
          <w:rFonts w:cs="Arial"/>
          <w:sz w:val="18"/>
          <w:szCs w:val="18"/>
          <w:rtl/>
        </w:rPr>
        <w:t>פ שמצוה ליתן לבתו נדוניא ראויה, מכל מקום לא כייפינן ליה, אלא מה שירצה יתן, רק שישיאן (הגמ</w:t>
      </w:r>
      <w:r w:rsidR="005B4B44">
        <w:rPr>
          <w:rFonts w:cs="Arial" w:hint="cs"/>
          <w:sz w:val="18"/>
          <w:szCs w:val="18"/>
          <w:rtl/>
        </w:rPr>
        <w:t>"</w:t>
      </w:r>
      <w:r w:rsidRPr="00F350E1">
        <w:rPr>
          <w:rFonts w:cs="Arial"/>
          <w:sz w:val="18"/>
          <w:szCs w:val="18"/>
          <w:rtl/>
        </w:rPr>
        <w:t xml:space="preserve">ר </w:t>
      </w:r>
      <w:r w:rsidR="0029205F">
        <w:rPr>
          <w:rFonts w:cs="Arial" w:hint="cs"/>
          <w:sz w:val="18"/>
          <w:szCs w:val="18"/>
          <w:rtl/>
        </w:rPr>
        <w:t>ורי"ו</w:t>
      </w:r>
      <w:r w:rsidRPr="00F350E1">
        <w:rPr>
          <w:rFonts w:cs="Arial"/>
          <w:sz w:val="18"/>
          <w:szCs w:val="18"/>
          <w:rtl/>
        </w:rPr>
        <w:t>).</w:t>
      </w:r>
      <w:r>
        <w:rPr>
          <w:rFonts w:cs="Arial"/>
          <w:rtl/>
        </w:rPr>
        <w:t xml:space="preserve"> </w:t>
      </w:r>
    </w:p>
    <w:p w14:paraId="192874A2" w14:textId="77777777" w:rsidR="00F350E1" w:rsidRDefault="00F350E1" w:rsidP="00471D63">
      <w:pPr>
        <w:rPr>
          <w:rtl/>
        </w:rPr>
      </w:pPr>
    </w:p>
    <w:p w14:paraId="54B44C39" w14:textId="0FA07D25" w:rsidR="00471D63" w:rsidRDefault="00471D63" w:rsidP="000F64D0">
      <w:pPr>
        <w:pStyle w:val="2"/>
        <w:rPr>
          <w:rtl/>
        </w:rPr>
      </w:pPr>
      <w:r>
        <w:rPr>
          <w:rtl/>
        </w:rPr>
        <w:t>סעיף ב</w:t>
      </w:r>
      <w:r w:rsidR="00F350E1">
        <w:rPr>
          <w:rFonts w:hint="cs"/>
          <w:rtl/>
        </w:rPr>
        <w:t>:</w:t>
      </w:r>
      <w:r w:rsidR="00585E9A">
        <w:rPr>
          <w:rFonts w:hint="cs"/>
          <w:rtl/>
        </w:rPr>
        <w:t xml:space="preserve"> הלך למדינת הים והניח את בניו הקטנים.</w:t>
      </w:r>
    </w:p>
    <w:p w14:paraId="604B0B5F" w14:textId="11090188" w:rsidR="008F7F11" w:rsidRDefault="00F86040" w:rsidP="008F7F11">
      <w:pPr>
        <w:rPr>
          <w:rtl/>
        </w:rPr>
      </w:pPr>
      <w:r w:rsidRPr="002E4CB1">
        <w:rPr>
          <w:rFonts w:hint="cs"/>
          <w:b/>
          <w:bCs/>
          <w:rtl/>
        </w:rPr>
        <w:t xml:space="preserve">כתובות </w:t>
      </w:r>
      <w:r w:rsidRPr="002E4CB1">
        <w:rPr>
          <w:rFonts w:hint="cs"/>
          <w:b/>
          <w:bCs/>
          <w:sz w:val="16"/>
          <w:szCs w:val="16"/>
          <w:rtl/>
        </w:rPr>
        <w:t>(פ' נערה שנתפתתה)</w:t>
      </w:r>
      <w:r w:rsidRPr="002E4CB1">
        <w:rPr>
          <w:rFonts w:hint="cs"/>
          <w:b/>
          <w:bCs/>
          <w:rtl/>
        </w:rPr>
        <w:t xml:space="preserve"> מ</w:t>
      </w:r>
      <w:r>
        <w:rPr>
          <w:rFonts w:hint="cs"/>
          <w:b/>
          <w:bCs/>
          <w:rtl/>
        </w:rPr>
        <w:t>ח</w:t>
      </w:r>
      <w:r w:rsidRPr="002E4CB1">
        <w:rPr>
          <w:rFonts w:hint="cs"/>
          <w:b/>
          <w:bCs/>
          <w:rtl/>
        </w:rPr>
        <w:t xml:space="preserve"> ע"</w:t>
      </w:r>
      <w:r>
        <w:rPr>
          <w:rFonts w:hint="cs"/>
          <w:b/>
          <w:bCs/>
          <w:rtl/>
        </w:rPr>
        <w:t>א</w:t>
      </w:r>
      <w:r w:rsidRPr="002E4CB1">
        <w:rPr>
          <w:rFonts w:hint="cs"/>
          <w:b/>
          <w:bCs/>
          <w:rtl/>
        </w:rPr>
        <w:t>:</w:t>
      </w:r>
      <w:r>
        <w:rPr>
          <w:rFonts w:hint="cs"/>
          <w:rtl/>
        </w:rPr>
        <w:t xml:space="preserve"> </w:t>
      </w:r>
      <w:r w:rsidRPr="00AA5A7B">
        <w:rPr>
          <w:rFonts w:cs="Arial"/>
          <w:u w:val="single"/>
          <w:rtl/>
        </w:rPr>
        <w:t>ואמר רב חסדא אמר מר עוקבא</w:t>
      </w:r>
      <w:r w:rsidRPr="00F86040">
        <w:rPr>
          <w:rFonts w:cs="Arial"/>
          <w:rtl/>
        </w:rPr>
        <w:t xml:space="preserve">: מי שנשתטה, בית דין יורדין לנכסיו, וזנין ומפרנסין את אשתו ובניו ובנותיו ודבר אחר. </w:t>
      </w:r>
      <w:r w:rsidRPr="00AA5A7B">
        <w:rPr>
          <w:rFonts w:cs="Arial"/>
          <w:u w:val="single"/>
          <w:rtl/>
        </w:rPr>
        <w:t>א"ל רבינא לרב אשי</w:t>
      </w:r>
      <w:r w:rsidR="00AA5A7B">
        <w:rPr>
          <w:rFonts w:cs="Arial" w:hint="cs"/>
          <w:rtl/>
        </w:rPr>
        <w:t>:</w:t>
      </w:r>
      <w:r w:rsidRPr="00F86040">
        <w:rPr>
          <w:rFonts w:cs="Arial"/>
          <w:rtl/>
        </w:rPr>
        <w:t xml:space="preserve"> מ"ש מהא דתניא</w:t>
      </w:r>
      <w:r w:rsidR="00AA5A7B">
        <w:rPr>
          <w:rFonts w:cs="Arial" w:hint="cs"/>
          <w:rtl/>
        </w:rPr>
        <w:t>,</w:t>
      </w:r>
      <w:r w:rsidRPr="00F86040">
        <w:rPr>
          <w:rFonts w:cs="Arial"/>
          <w:rtl/>
        </w:rPr>
        <w:t xml:space="preserve"> מי שהלך למדינת הים ואשתו תובעת מזונות, בית דין יורדין לנכסיו וזנין ומפרנסין את אשתו, אבל לא בניו ובנותיו</w:t>
      </w:r>
      <w:r w:rsidR="00AA5A7B">
        <w:rPr>
          <w:rStyle w:val="a7"/>
          <w:rFonts w:cs="Arial"/>
          <w:rtl/>
        </w:rPr>
        <w:footnoteReference w:id="336"/>
      </w:r>
      <w:r w:rsidRPr="00F86040">
        <w:rPr>
          <w:rFonts w:cs="Arial"/>
          <w:rtl/>
        </w:rPr>
        <w:t xml:space="preserve"> ולא דבר אחר? </w:t>
      </w:r>
      <w:r w:rsidRPr="00AA5A7B">
        <w:rPr>
          <w:rFonts w:cs="Arial"/>
          <w:u w:val="single"/>
          <w:rtl/>
        </w:rPr>
        <w:t>א"ל</w:t>
      </w:r>
      <w:r w:rsidRPr="00F86040">
        <w:rPr>
          <w:rFonts w:cs="Arial"/>
          <w:rtl/>
        </w:rPr>
        <w:t>: ולא שאני לך בין יוצא לדעת ליוצא שלא לדעת</w:t>
      </w:r>
      <w:r w:rsidR="00AA5A7B">
        <w:rPr>
          <w:rStyle w:val="a7"/>
          <w:rFonts w:cs="Arial"/>
          <w:rtl/>
        </w:rPr>
        <w:footnoteReference w:id="337"/>
      </w:r>
      <w:r w:rsidRPr="00F86040">
        <w:rPr>
          <w:rFonts w:cs="Arial"/>
          <w:rtl/>
        </w:rPr>
        <w:t xml:space="preserve">? מאי דבר אחר? </w:t>
      </w:r>
      <w:r w:rsidRPr="00AA5A7B">
        <w:rPr>
          <w:rFonts w:cs="Arial"/>
          <w:u w:val="single"/>
          <w:rtl/>
        </w:rPr>
        <w:t>רב חסדא אמר</w:t>
      </w:r>
      <w:r w:rsidRPr="00F86040">
        <w:rPr>
          <w:rFonts w:cs="Arial"/>
          <w:rtl/>
        </w:rPr>
        <w:t>: זה תכשיט</w:t>
      </w:r>
      <w:r w:rsidR="00DD1356">
        <w:rPr>
          <w:rStyle w:val="a7"/>
          <w:rFonts w:cs="Arial"/>
          <w:rtl/>
        </w:rPr>
        <w:footnoteReference w:id="338"/>
      </w:r>
      <w:r w:rsidRPr="00F86040">
        <w:rPr>
          <w:rFonts w:cs="Arial"/>
          <w:rtl/>
        </w:rPr>
        <w:t xml:space="preserve">, </w:t>
      </w:r>
      <w:r w:rsidRPr="00AA5A7B">
        <w:rPr>
          <w:rFonts w:cs="Arial"/>
          <w:u w:val="single"/>
          <w:rtl/>
        </w:rPr>
        <w:t>רב יוסף אמר</w:t>
      </w:r>
      <w:r w:rsidRPr="00F86040">
        <w:rPr>
          <w:rFonts w:cs="Arial"/>
          <w:rtl/>
        </w:rPr>
        <w:t>: צדקה. מ"ד תכשיט, כ"ש צדקה</w:t>
      </w:r>
      <w:r w:rsidR="00AA5A7B">
        <w:rPr>
          <w:rFonts w:cs="Arial" w:hint="cs"/>
          <w:rtl/>
        </w:rPr>
        <w:t>.</w:t>
      </w:r>
      <w:r w:rsidRPr="00F86040">
        <w:rPr>
          <w:rFonts w:cs="Arial"/>
          <w:rtl/>
        </w:rPr>
        <w:t xml:space="preserve"> מ"ד צדקה, אבל תכשיט יהבינן לה, דלא ניחא ליה דתינוול.</w:t>
      </w:r>
    </w:p>
    <w:p w14:paraId="218C6DFD" w14:textId="2A50D5CE" w:rsidR="00585E9A" w:rsidRPr="00585E9A" w:rsidRDefault="00585E9A" w:rsidP="008F7F11">
      <w:pPr>
        <w:rPr>
          <w:u w:val="single"/>
          <w:rtl/>
        </w:rPr>
      </w:pPr>
      <w:r w:rsidRPr="00585E9A">
        <w:rPr>
          <w:rFonts w:hint="cs"/>
          <w:u w:val="single"/>
          <w:rtl/>
        </w:rPr>
        <w:t>הלך למדינת הים והניח את בניו הקטנים:</w:t>
      </w:r>
    </w:p>
    <w:p w14:paraId="3689FDBD" w14:textId="1C9F5B41" w:rsidR="0073105C" w:rsidRPr="0073105C" w:rsidRDefault="00477621" w:rsidP="009000E3">
      <w:pPr>
        <w:pStyle w:val="ab"/>
        <w:numPr>
          <w:ilvl w:val="0"/>
          <w:numId w:val="24"/>
        </w:numPr>
      </w:pPr>
      <w:r w:rsidRPr="009E169C">
        <w:rPr>
          <w:rFonts w:cs="Arial"/>
          <w:rtl/>
        </w:rPr>
        <w:t xml:space="preserve">רמב"ם </w:t>
      </w:r>
      <w:r w:rsidRPr="009E169C">
        <w:rPr>
          <w:rFonts w:cs="Arial" w:hint="cs"/>
          <w:sz w:val="16"/>
          <w:szCs w:val="16"/>
          <w:rtl/>
        </w:rPr>
        <w:t>(</w:t>
      </w:r>
      <w:r w:rsidRPr="009E169C">
        <w:rPr>
          <w:rFonts w:cs="Arial"/>
          <w:sz w:val="16"/>
          <w:szCs w:val="16"/>
          <w:rtl/>
        </w:rPr>
        <w:t>פי"ב מאישות הי"ז)</w:t>
      </w:r>
      <w:r>
        <w:rPr>
          <w:rFonts w:cs="Arial" w:hint="cs"/>
          <w:rtl/>
        </w:rPr>
        <w:t xml:space="preserve"> הה"מ </w:t>
      </w:r>
      <w:r>
        <w:rPr>
          <w:rFonts w:cs="Arial" w:hint="cs"/>
          <w:sz w:val="16"/>
          <w:szCs w:val="16"/>
          <w:rtl/>
        </w:rPr>
        <w:t>(שם)</w:t>
      </w:r>
      <w:r>
        <w:rPr>
          <w:rFonts w:cs="Arial" w:hint="cs"/>
          <w:rtl/>
        </w:rPr>
        <w:t xml:space="preserve"> ו</w:t>
      </w:r>
      <w:r w:rsidR="001427B1">
        <w:rPr>
          <w:rFonts w:cs="Arial" w:hint="cs"/>
          <w:rtl/>
        </w:rPr>
        <w:t xml:space="preserve">טור- </w:t>
      </w:r>
      <w:r w:rsidR="001427B1" w:rsidRPr="00F350E1">
        <w:rPr>
          <w:rFonts w:cs="Arial"/>
          <w:rtl/>
        </w:rPr>
        <w:t xml:space="preserve">אם הלך למדינת הים והניחן כאן </w:t>
      </w:r>
      <w:r w:rsidR="00473650">
        <w:rPr>
          <w:rFonts w:cs="Arial" w:hint="cs"/>
          <w:rtl/>
        </w:rPr>
        <w:t xml:space="preserve">- </w:t>
      </w:r>
      <w:r w:rsidR="001427B1" w:rsidRPr="00F350E1">
        <w:rPr>
          <w:rFonts w:cs="Arial"/>
          <w:rtl/>
        </w:rPr>
        <w:t>מוכרין מנכסיו לפרנסם עד שיהיו בני שש כמו שמוכרין למזון האשה למי שהלך למדינת הים</w:t>
      </w:r>
      <w:r w:rsidR="00473650">
        <w:rPr>
          <w:rFonts w:cs="Arial" w:hint="cs"/>
          <w:rtl/>
        </w:rPr>
        <w:t>.</w:t>
      </w:r>
      <w:r w:rsidR="001427B1" w:rsidRPr="00F350E1">
        <w:rPr>
          <w:rFonts w:cs="Arial"/>
          <w:rtl/>
        </w:rPr>
        <w:t xml:space="preserve"> אבל אם הם מבני שש ומעלה </w:t>
      </w:r>
      <w:r w:rsidR="00473650">
        <w:rPr>
          <w:rFonts w:cs="Arial" w:hint="cs"/>
          <w:rtl/>
        </w:rPr>
        <w:t xml:space="preserve">- </w:t>
      </w:r>
      <w:r w:rsidR="001427B1" w:rsidRPr="00F350E1">
        <w:rPr>
          <w:rFonts w:cs="Arial"/>
          <w:rtl/>
        </w:rPr>
        <w:t>אין זנין אותן מנכסיו</w:t>
      </w:r>
      <w:r w:rsidR="00473650">
        <w:rPr>
          <w:rFonts w:cs="Arial" w:hint="cs"/>
          <w:rtl/>
        </w:rPr>
        <w:t>,</w:t>
      </w:r>
      <w:r w:rsidR="001427B1" w:rsidRPr="00F350E1">
        <w:rPr>
          <w:rFonts w:cs="Arial"/>
          <w:rtl/>
        </w:rPr>
        <w:t xml:space="preserve"> דכיון שיצא לדעת אם היה רוצה שיתפרנסו מנכסיו היה לו לצוות</w:t>
      </w:r>
      <w:r>
        <w:rPr>
          <w:rFonts w:cs="Arial" w:hint="cs"/>
          <w:sz w:val="16"/>
          <w:szCs w:val="16"/>
          <w:rtl/>
        </w:rPr>
        <w:t xml:space="preserve"> (ל' הטור)</w:t>
      </w:r>
      <w:r w:rsidR="00473650">
        <w:rPr>
          <w:rFonts w:cs="Arial" w:hint="cs"/>
          <w:rtl/>
        </w:rPr>
        <w:t>.</w:t>
      </w:r>
      <w:r w:rsidR="00473650" w:rsidRPr="00E75874">
        <w:rPr>
          <w:rFonts w:cs="Arial" w:hint="cs"/>
          <w:rtl/>
        </w:rPr>
        <w:t xml:space="preserve"> </w:t>
      </w:r>
      <w:r w:rsidR="000C244F" w:rsidRPr="00C57942">
        <w:rPr>
          <w:rFonts w:hint="cs"/>
          <w:color w:val="E36C0A" w:themeColor="accent6" w:themeShade="BF"/>
          <w:rtl/>
        </w:rPr>
        <w:t>(וכ"פ בשו"ע</w:t>
      </w:r>
      <w:r w:rsidR="000C244F">
        <w:rPr>
          <w:rFonts w:hint="cs"/>
          <w:color w:val="E36C0A" w:themeColor="accent6" w:themeShade="BF"/>
          <w:rtl/>
        </w:rPr>
        <w:t>)</w:t>
      </w:r>
    </w:p>
    <w:p w14:paraId="320E832C" w14:textId="0D447A58" w:rsidR="00477621" w:rsidRPr="00477621" w:rsidRDefault="00477621" w:rsidP="00477621">
      <w:pPr>
        <w:ind w:left="360"/>
        <w:rPr>
          <w:u w:val="dotted"/>
        </w:rPr>
      </w:pPr>
      <w:r w:rsidRPr="00477621">
        <w:rPr>
          <w:rFonts w:hint="cs"/>
          <w:u w:val="dotted"/>
          <w:rtl/>
        </w:rPr>
        <w:t>ומה הדין אם הוא אמיד</w:t>
      </w:r>
      <w:r w:rsidR="0035558D">
        <w:rPr>
          <w:rFonts w:hint="cs"/>
          <w:u w:val="dotted"/>
          <w:rtl/>
        </w:rPr>
        <w:t xml:space="preserve"> והם גדולים משש</w:t>
      </w:r>
      <w:r w:rsidR="008B3041">
        <w:rPr>
          <w:rFonts w:hint="cs"/>
          <w:u w:val="dotted"/>
          <w:rtl/>
        </w:rPr>
        <w:t xml:space="preserve"> שנים</w:t>
      </w:r>
      <w:r w:rsidRPr="00477621">
        <w:rPr>
          <w:rFonts w:hint="cs"/>
          <w:u w:val="dotted"/>
          <w:rtl/>
        </w:rPr>
        <w:t>:</w:t>
      </w:r>
    </w:p>
    <w:p w14:paraId="2A382827" w14:textId="143EE879" w:rsidR="00AF0768" w:rsidRDefault="00477621" w:rsidP="00477621">
      <w:pPr>
        <w:pStyle w:val="ab"/>
        <w:numPr>
          <w:ilvl w:val="0"/>
          <w:numId w:val="24"/>
        </w:numPr>
      </w:pPr>
      <w:r w:rsidRPr="009E169C">
        <w:rPr>
          <w:rFonts w:cs="Arial"/>
          <w:rtl/>
        </w:rPr>
        <w:t xml:space="preserve">רמב"ם </w:t>
      </w:r>
      <w:r w:rsidRPr="009E169C">
        <w:rPr>
          <w:rFonts w:cs="Arial" w:hint="cs"/>
          <w:sz w:val="16"/>
          <w:szCs w:val="16"/>
          <w:rtl/>
        </w:rPr>
        <w:t>(</w:t>
      </w:r>
      <w:r w:rsidRPr="009E169C">
        <w:rPr>
          <w:rFonts w:cs="Arial"/>
          <w:sz w:val="16"/>
          <w:szCs w:val="16"/>
          <w:rtl/>
        </w:rPr>
        <w:t>פי"ב מאישות הי"ז)</w:t>
      </w:r>
      <w:r>
        <w:rPr>
          <w:rFonts w:cs="Arial" w:hint="cs"/>
          <w:rtl/>
        </w:rPr>
        <w:t xml:space="preserve"> והה"מ </w:t>
      </w:r>
      <w:r>
        <w:rPr>
          <w:rFonts w:cs="Arial" w:hint="cs"/>
          <w:sz w:val="16"/>
          <w:szCs w:val="16"/>
          <w:rtl/>
        </w:rPr>
        <w:t>(שם)</w:t>
      </w:r>
      <w:r w:rsidRPr="009E169C">
        <w:rPr>
          <w:rFonts w:cs="Arial" w:hint="cs"/>
          <w:rtl/>
        </w:rPr>
        <w:t>-</w:t>
      </w:r>
      <w:r w:rsidRPr="00DD1356">
        <w:rPr>
          <w:rtl/>
        </w:rPr>
        <w:t xml:space="preserve"> </w:t>
      </w:r>
      <w:r w:rsidRPr="009E169C">
        <w:rPr>
          <w:rFonts w:cs="Arial"/>
          <w:rtl/>
        </w:rPr>
        <w:t>וכשם שבית דין מוכרין למזון האשה שהלך בעלה כך מוכרין למזון בניו ובנותיו שהן בני שש שנים או פחות</w:t>
      </w:r>
      <w:r>
        <w:rPr>
          <w:rFonts w:cs="Arial" w:hint="cs"/>
          <w:rtl/>
        </w:rPr>
        <w:t>.</w:t>
      </w:r>
      <w:r w:rsidRPr="009E169C">
        <w:rPr>
          <w:rFonts w:cs="Arial"/>
          <w:rtl/>
        </w:rPr>
        <w:t xml:space="preserve"> </w:t>
      </w:r>
      <w:r w:rsidR="00AF0768" w:rsidRPr="00477621">
        <w:rPr>
          <w:rFonts w:cs="Arial"/>
          <w:rtl/>
        </w:rPr>
        <w:t>אבל יתר על שש אינן זנין אותן מנכסיו שלא בפניו אע</w:t>
      </w:r>
      <w:r w:rsidR="00AF0768" w:rsidRPr="00477621">
        <w:rPr>
          <w:rFonts w:cs="Arial" w:hint="cs"/>
          <w:rtl/>
        </w:rPr>
        <w:t>"</w:t>
      </w:r>
      <w:r w:rsidR="00AF0768" w:rsidRPr="00477621">
        <w:rPr>
          <w:rFonts w:cs="Arial"/>
          <w:rtl/>
        </w:rPr>
        <w:t>פ שהוא אמוד</w:t>
      </w:r>
      <w:r w:rsidR="00AF0768" w:rsidRPr="00477621">
        <w:rPr>
          <w:rFonts w:cs="Arial" w:hint="cs"/>
          <w:sz w:val="16"/>
          <w:szCs w:val="16"/>
          <w:rtl/>
        </w:rPr>
        <w:t xml:space="preserve"> (ל' הרמב"ם)</w:t>
      </w:r>
      <w:r w:rsidR="00AF0768" w:rsidRPr="00477621">
        <w:rPr>
          <w:rFonts w:cs="Arial"/>
          <w:rtl/>
        </w:rPr>
        <w:t xml:space="preserve">. </w:t>
      </w:r>
    </w:p>
    <w:p w14:paraId="1C0CCCD8" w14:textId="4F047AF9" w:rsidR="00900456" w:rsidRPr="00900456" w:rsidRDefault="00F54F1F" w:rsidP="00F54F1F">
      <w:pPr>
        <w:pStyle w:val="ab"/>
        <w:numPr>
          <w:ilvl w:val="0"/>
          <w:numId w:val="24"/>
        </w:numPr>
      </w:pPr>
      <w:r w:rsidRPr="000A1B66">
        <w:rPr>
          <w:rFonts w:cs="Arial"/>
          <w:rtl/>
        </w:rPr>
        <w:t>ר"ן</w:t>
      </w:r>
      <w:r w:rsidRPr="00FD01DB">
        <w:rPr>
          <w:rFonts w:cs="Arial"/>
          <w:sz w:val="16"/>
          <w:szCs w:val="16"/>
          <w:rtl/>
        </w:rPr>
        <w:t xml:space="preserve"> </w:t>
      </w:r>
      <w:r w:rsidRPr="00FD01DB">
        <w:rPr>
          <w:rFonts w:cs="Arial" w:hint="cs"/>
          <w:sz w:val="16"/>
          <w:szCs w:val="16"/>
          <w:rtl/>
        </w:rPr>
        <w:t>(</w:t>
      </w:r>
      <w:r w:rsidR="00633519">
        <w:rPr>
          <w:rFonts w:cs="Arial" w:hint="cs"/>
          <w:sz w:val="16"/>
          <w:szCs w:val="16"/>
          <w:rtl/>
        </w:rPr>
        <w:t>כתובות</w:t>
      </w:r>
      <w:r w:rsidRPr="00FD01DB">
        <w:rPr>
          <w:rFonts w:cs="Arial" w:hint="cs"/>
          <w:sz w:val="16"/>
          <w:szCs w:val="16"/>
          <w:rtl/>
        </w:rPr>
        <w:t xml:space="preserve"> </w:t>
      </w:r>
      <w:r w:rsidRPr="00FD01DB">
        <w:rPr>
          <w:rFonts w:cs="Arial"/>
          <w:sz w:val="16"/>
          <w:szCs w:val="16"/>
          <w:rtl/>
        </w:rPr>
        <w:t>יח. דיבור ראשון)</w:t>
      </w:r>
      <w:r>
        <w:rPr>
          <w:rFonts w:cs="Arial" w:hint="cs"/>
          <w:rtl/>
        </w:rPr>
        <w:t xml:space="preserve">- </w:t>
      </w:r>
      <w:r w:rsidR="00900456" w:rsidRPr="00900456">
        <w:rPr>
          <w:rFonts w:cs="Arial"/>
          <w:rtl/>
        </w:rPr>
        <w:t xml:space="preserve">כי אמרינן במי שהלך למדינת הים </w:t>
      </w:r>
      <w:r w:rsidR="000C33A3">
        <w:rPr>
          <w:rFonts w:cs="Arial" w:hint="cs"/>
          <w:rtl/>
        </w:rPr>
        <w:t>"</w:t>
      </w:r>
      <w:r w:rsidR="00900456" w:rsidRPr="00900456">
        <w:rPr>
          <w:rFonts w:cs="Arial"/>
          <w:rtl/>
        </w:rPr>
        <w:t>אבל לא בניו ובנותיו</w:t>
      </w:r>
      <w:r w:rsidR="000C33A3">
        <w:rPr>
          <w:rFonts w:cs="Arial" w:hint="cs"/>
          <w:rtl/>
        </w:rPr>
        <w:t>" -</w:t>
      </w:r>
      <w:r w:rsidR="00900456" w:rsidRPr="00900456">
        <w:rPr>
          <w:rFonts w:cs="Arial"/>
          <w:rtl/>
        </w:rPr>
        <w:t xml:space="preserve"> היינו בדלא אמיד שאין הדבר עליו חוב גמור</w:t>
      </w:r>
      <w:r w:rsidR="00633519">
        <w:rPr>
          <w:rFonts w:cs="Arial" w:hint="cs"/>
          <w:sz w:val="16"/>
          <w:szCs w:val="16"/>
          <w:rtl/>
        </w:rPr>
        <w:t xml:space="preserve"> {</w:t>
      </w:r>
      <w:r w:rsidR="007B7332">
        <w:rPr>
          <w:rFonts w:cs="Arial" w:hint="cs"/>
          <w:sz w:val="16"/>
          <w:szCs w:val="16"/>
          <w:rtl/>
        </w:rPr>
        <w:t>אבל ב</w:t>
      </w:r>
      <w:r w:rsidR="00633519">
        <w:rPr>
          <w:rFonts w:cs="Arial" w:hint="cs"/>
          <w:sz w:val="16"/>
          <w:szCs w:val="16"/>
          <w:rtl/>
        </w:rPr>
        <w:t xml:space="preserve">אמיד כופין אותו לזון בניו ובנותיו אפילו הם מעל שש, כן כתב </w:t>
      </w:r>
      <w:r w:rsidR="007B7332">
        <w:rPr>
          <w:rFonts w:cs="Arial" w:hint="cs"/>
          <w:sz w:val="16"/>
          <w:szCs w:val="16"/>
          <w:rtl/>
        </w:rPr>
        <w:t xml:space="preserve">הר"ן </w:t>
      </w:r>
      <w:r w:rsidR="00633519">
        <w:rPr>
          <w:rFonts w:cs="Arial" w:hint="cs"/>
          <w:sz w:val="16"/>
          <w:szCs w:val="16"/>
          <w:rtl/>
        </w:rPr>
        <w:t>שם}</w:t>
      </w:r>
      <w:r w:rsidR="00900456">
        <w:rPr>
          <w:rFonts w:cs="Arial" w:hint="cs"/>
          <w:rtl/>
        </w:rPr>
        <w:t>.</w:t>
      </w:r>
      <w:r w:rsidR="00900456" w:rsidRPr="00900456">
        <w:rPr>
          <w:rFonts w:cs="Arial"/>
          <w:rtl/>
        </w:rPr>
        <w:t xml:space="preserve"> </w:t>
      </w:r>
      <w:r w:rsidR="00926762" w:rsidRPr="00827F1B">
        <w:rPr>
          <w:rFonts w:hint="cs"/>
          <w:color w:val="00B0F0"/>
          <w:rtl/>
        </w:rPr>
        <w:t>(וכ"</w:t>
      </w:r>
      <w:r w:rsidR="00926762">
        <w:rPr>
          <w:rFonts w:hint="cs"/>
          <w:color w:val="00B0F0"/>
          <w:rtl/>
        </w:rPr>
        <w:t>כ</w:t>
      </w:r>
      <w:r w:rsidR="00926762" w:rsidRPr="00827F1B">
        <w:rPr>
          <w:rFonts w:hint="cs"/>
          <w:color w:val="00B0F0"/>
          <w:rtl/>
        </w:rPr>
        <w:t xml:space="preserve"> הרמ"א)</w:t>
      </w:r>
    </w:p>
    <w:p w14:paraId="064BE542" w14:textId="249A0151" w:rsidR="002037FB" w:rsidRPr="00AD1019" w:rsidRDefault="00F54F1F" w:rsidP="00F54F1F">
      <w:pPr>
        <w:rPr>
          <w:u w:val="single"/>
        </w:rPr>
      </w:pPr>
      <w:r w:rsidRPr="00AD1019">
        <w:rPr>
          <w:rFonts w:hint="cs"/>
          <w:u w:val="single"/>
          <w:rtl/>
        </w:rPr>
        <w:t>מי ש</w:t>
      </w:r>
      <w:r w:rsidR="002037FB" w:rsidRPr="00AD1019">
        <w:rPr>
          <w:rFonts w:hint="cs"/>
          <w:u w:val="single"/>
          <w:rtl/>
        </w:rPr>
        <w:t>נש</w:t>
      </w:r>
      <w:r w:rsidR="00AD1019" w:rsidRPr="00AD1019">
        <w:rPr>
          <w:rFonts w:hint="cs"/>
          <w:u w:val="single"/>
          <w:rtl/>
        </w:rPr>
        <w:t>ת</w:t>
      </w:r>
      <w:r w:rsidR="002037FB" w:rsidRPr="00AD1019">
        <w:rPr>
          <w:rFonts w:hint="cs"/>
          <w:u w:val="single"/>
          <w:rtl/>
        </w:rPr>
        <w:t>טה</w:t>
      </w:r>
      <w:r w:rsidR="00AD1019" w:rsidRPr="00AD1019">
        <w:rPr>
          <w:rFonts w:hint="cs"/>
          <w:u w:val="single"/>
          <w:rtl/>
        </w:rPr>
        <w:t xml:space="preserve"> ויש לו בנים קטנים</w:t>
      </w:r>
      <w:r w:rsidR="002037FB" w:rsidRPr="00AD1019">
        <w:rPr>
          <w:rFonts w:hint="cs"/>
          <w:u w:val="single"/>
          <w:rtl/>
        </w:rPr>
        <w:t>:</w:t>
      </w:r>
    </w:p>
    <w:p w14:paraId="1EA97374" w14:textId="51C88E3E" w:rsidR="009E169C" w:rsidRDefault="002037FB" w:rsidP="009000E3">
      <w:pPr>
        <w:pStyle w:val="ab"/>
        <w:numPr>
          <w:ilvl w:val="0"/>
          <w:numId w:val="24"/>
        </w:numPr>
      </w:pPr>
      <w:r>
        <w:rPr>
          <w:rFonts w:cs="Arial" w:hint="cs"/>
          <w:rtl/>
        </w:rPr>
        <w:t>טור</w:t>
      </w:r>
      <w:r w:rsidR="00C9255F">
        <w:rPr>
          <w:rFonts w:cs="Arial" w:hint="cs"/>
          <w:rtl/>
        </w:rPr>
        <w:t xml:space="preserve"> ור"ן</w:t>
      </w:r>
      <w:r w:rsidR="00C9255F">
        <w:rPr>
          <w:rFonts w:cs="Arial" w:hint="cs"/>
          <w:sz w:val="16"/>
          <w:szCs w:val="16"/>
          <w:rtl/>
        </w:rPr>
        <w:t xml:space="preserve"> (שם)</w:t>
      </w:r>
      <w:r>
        <w:rPr>
          <w:rFonts w:cs="Arial" w:hint="cs"/>
          <w:rtl/>
        </w:rPr>
        <w:t xml:space="preserve">- </w:t>
      </w:r>
      <w:r w:rsidR="001427B1" w:rsidRPr="00E75874">
        <w:rPr>
          <w:rFonts w:cs="Arial"/>
          <w:rtl/>
        </w:rPr>
        <w:t>אבל מי שנשתטה</w:t>
      </w:r>
      <w:r w:rsidR="00473650" w:rsidRPr="00E75874">
        <w:rPr>
          <w:rFonts w:cs="Arial" w:hint="cs"/>
          <w:rtl/>
        </w:rPr>
        <w:t xml:space="preserve"> </w:t>
      </w:r>
      <w:r w:rsidR="001427B1" w:rsidRPr="00E75874">
        <w:rPr>
          <w:rFonts w:cs="Arial"/>
          <w:rtl/>
        </w:rPr>
        <w:t>מפרנסין אשתו מנכסיו ונותנין לה במה שתתקשט ומפרנסין לבניו ולבנותיו אפי' יתרים משש עד שיגדילו</w:t>
      </w:r>
      <w:r w:rsidR="00473650" w:rsidRPr="00E75874">
        <w:rPr>
          <w:rFonts w:cs="Arial" w:hint="cs"/>
          <w:rtl/>
        </w:rPr>
        <w:t>,</w:t>
      </w:r>
      <w:r w:rsidR="001427B1" w:rsidRPr="00E75874">
        <w:rPr>
          <w:rFonts w:cs="Arial"/>
          <w:rtl/>
        </w:rPr>
        <w:t xml:space="preserve"> דמסתמא ניחא ליה שיפרנסו לבניו ולבנותיו</w:t>
      </w:r>
      <w:r w:rsidR="00C9255F">
        <w:rPr>
          <w:rFonts w:cs="Arial" w:hint="cs"/>
          <w:sz w:val="16"/>
          <w:szCs w:val="16"/>
          <w:rtl/>
        </w:rPr>
        <w:t xml:space="preserve"> (ל' הטור)</w:t>
      </w:r>
      <w:r w:rsidR="00473650" w:rsidRPr="00E75874">
        <w:rPr>
          <w:rFonts w:cs="Arial" w:hint="cs"/>
          <w:rtl/>
        </w:rPr>
        <w:t>.</w:t>
      </w:r>
      <w:r w:rsidR="001427B1" w:rsidRPr="00E75874">
        <w:rPr>
          <w:rFonts w:cs="Arial"/>
          <w:rtl/>
        </w:rPr>
        <w:t xml:space="preserve"> </w:t>
      </w:r>
      <w:r w:rsidR="007918A9" w:rsidRPr="00C57942">
        <w:rPr>
          <w:rFonts w:hint="cs"/>
          <w:color w:val="E36C0A" w:themeColor="accent6" w:themeShade="BF"/>
          <w:rtl/>
        </w:rPr>
        <w:t>(וכ"פ בשו"ע</w:t>
      </w:r>
      <w:r w:rsidR="00F35B81">
        <w:rPr>
          <w:rFonts w:hint="cs"/>
          <w:color w:val="E36C0A" w:themeColor="accent6" w:themeShade="BF"/>
          <w:sz w:val="16"/>
          <w:szCs w:val="16"/>
          <w:rtl/>
        </w:rPr>
        <w:t xml:space="preserve"> </w:t>
      </w:r>
      <w:r w:rsidR="00F35B81" w:rsidRPr="00F35B81">
        <w:rPr>
          <w:rFonts w:hint="cs"/>
          <w:color w:val="000000" w:themeColor="text1"/>
          <w:sz w:val="16"/>
          <w:szCs w:val="16"/>
          <w:rtl/>
        </w:rPr>
        <w:t>[בסע' ג]</w:t>
      </w:r>
      <w:r w:rsidR="007918A9" w:rsidRPr="00C57942">
        <w:rPr>
          <w:rFonts w:hint="cs"/>
          <w:color w:val="E36C0A" w:themeColor="accent6" w:themeShade="BF"/>
          <w:rtl/>
        </w:rPr>
        <w:t>)</w:t>
      </w:r>
    </w:p>
    <w:p w14:paraId="6C264ADE" w14:textId="0E1C6FDB" w:rsidR="00E75874" w:rsidRDefault="00F350E1" w:rsidP="009000E3">
      <w:pPr>
        <w:pStyle w:val="ab"/>
        <w:numPr>
          <w:ilvl w:val="0"/>
          <w:numId w:val="24"/>
        </w:numPr>
      </w:pPr>
      <w:r w:rsidRPr="009E169C">
        <w:rPr>
          <w:rFonts w:cs="Arial"/>
          <w:rtl/>
        </w:rPr>
        <w:lastRenderedPageBreak/>
        <w:t xml:space="preserve">רמב"ם </w:t>
      </w:r>
      <w:r w:rsidR="00DD1356" w:rsidRPr="009E169C">
        <w:rPr>
          <w:rFonts w:cs="Arial" w:hint="cs"/>
          <w:sz w:val="16"/>
          <w:szCs w:val="16"/>
          <w:rtl/>
        </w:rPr>
        <w:t>(</w:t>
      </w:r>
      <w:r w:rsidRPr="009E169C">
        <w:rPr>
          <w:rFonts w:cs="Arial"/>
          <w:sz w:val="16"/>
          <w:szCs w:val="16"/>
          <w:rtl/>
        </w:rPr>
        <w:t>פי"ב מאישות הי"ז)</w:t>
      </w:r>
      <w:r w:rsidR="00FD01DB">
        <w:rPr>
          <w:rFonts w:cs="Arial" w:hint="cs"/>
          <w:rtl/>
        </w:rPr>
        <w:t xml:space="preserve"> והה"מ </w:t>
      </w:r>
      <w:r w:rsidR="00FD01DB">
        <w:rPr>
          <w:rFonts w:cs="Arial" w:hint="cs"/>
          <w:sz w:val="16"/>
          <w:szCs w:val="16"/>
          <w:rtl/>
        </w:rPr>
        <w:t>(שם)</w:t>
      </w:r>
      <w:r w:rsidR="00DD1356" w:rsidRPr="009E169C">
        <w:rPr>
          <w:rFonts w:cs="Arial" w:hint="cs"/>
          <w:rtl/>
        </w:rPr>
        <w:t>-</w:t>
      </w:r>
      <w:r w:rsidR="00DD1356" w:rsidRPr="00DD1356">
        <w:rPr>
          <w:rtl/>
        </w:rPr>
        <w:t xml:space="preserve"> </w:t>
      </w:r>
      <w:r w:rsidR="00DD1356" w:rsidRPr="009E169C">
        <w:rPr>
          <w:rFonts w:cs="Arial"/>
          <w:rtl/>
        </w:rPr>
        <w:t>וכן מי</w:t>
      </w:r>
      <w:r w:rsidR="00DD1356" w:rsidRPr="009E169C">
        <w:rPr>
          <w:rFonts w:cs="Arial" w:hint="cs"/>
          <w:rtl/>
        </w:rPr>
        <w:t xml:space="preserve"> [שנתנ</w:t>
      </w:r>
      <w:r w:rsidR="009E169C" w:rsidRPr="009E169C">
        <w:rPr>
          <w:rFonts w:cs="Arial" w:hint="cs"/>
          <w:rtl/>
        </w:rPr>
        <w:t>והו בקולר או]</w:t>
      </w:r>
      <w:r w:rsidR="00DD1356" w:rsidRPr="009E169C">
        <w:rPr>
          <w:rFonts w:cs="Arial"/>
          <w:rtl/>
        </w:rPr>
        <w:t xml:space="preserve"> שנשתטה בית דין יורדין לנכסיו ומוכרין וזנין אשתו ובניו ובנותיו שהן בני שש שנים או פחות ומפרנסין אותן</w:t>
      </w:r>
      <w:r w:rsidR="00E75874">
        <w:rPr>
          <w:rStyle w:val="a7"/>
          <w:rtl/>
        </w:rPr>
        <w:footnoteReference w:id="339"/>
      </w:r>
      <w:r w:rsidR="00585E9A">
        <w:rPr>
          <w:rFonts w:cs="Arial" w:hint="cs"/>
          <w:sz w:val="16"/>
          <w:szCs w:val="16"/>
          <w:rtl/>
        </w:rPr>
        <w:t xml:space="preserve"> (ל' הרמב"ם)</w:t>
      </w:r>
      <w:r w:rsidR="00DD1356" w:rsidRPr="009E169C">
        <w:rPr>
          <w:rFonts w:cs="Arial"/>
          <w:rtl/>
        </w:rPr>
        <w:t xml:space="preserve">. </w:t>
      </w:r>
      <w:r w:rsidR="0004152B" w:rsidRPr="00C57942">
        <w:rPr>
          <w:rFonts w:hint="cs"/>
          <w:color w:val="E36C0A" w:themeColor="accent6" w:themeShade="BF"/>
          <w:rtl/>
        </w:rPr>
        <w:t>(וכ"פ בשו"ע</w:t>
      </w:r>
      <w:r w:rsidR="0004152B">
        <w:rPr>
          <w:rFonts w:hint="cs"/>
          <w:color w:val="E36C0A" w:themeColor="accent6" w:themeShade="BF"/>
          <w:sz w:val="16"/>
          <w:szCs w:val="16"/>
          <w:rtl/>
        </w:rPr>
        <w:t xml:space="preserve"> </w:t>
      </w:r>
      <w:r w:rsidR="0004152B" w:rsidRPr="00F35B81">
        <w:rPr>
          <w:rFonts w:hint="cs"/>
          <w:color w:val="000000" w:themeColor="text1"/>
          <w:sz w:val="16"/>
          <w:szCs w:val="16"/>
          <w:rtl/>
        </w:rPr>
        <w:t>[בסע' ג]</w:t>
      </w:r>
      <w:r w:rsidR="0004152B" w:rsidRPr="00C57942">
        <w:rPr>
          <w:rFonts w:hint="cs"/>
          <w:color w:val="E36C0A" w:themeColor="accent6" w:themeShade="BF"/>
          <w:rtl/>
        </w:rPr>
        <w:t>)</w:t>
      </w:r>
    </w:p>
    <w:p w14:paraId="3989A0B9" w14:textId="3C77B7F0" w:rsidR="00585E9A" w:rsidRPr="00FF65B3" w:rsidRDefault="00C9255F" w:rsidP="00AB614E">
      <w:pPr>
        <w:rPr>
          <w:u w:val="dotted"/>
        </w:rPr>
      </w:pPr>
      <w:r>
        <w:rPr>
          <w:rFonts w:hint="cs"/>
          <w:u w:val="dotted"/>
          <w:rtl/>
        </w:rPr>
        <w:t xml:space="preserve">האם </w:t>
      </w:r>
      <w:r w:rsidR="00F87A18">
        <w:rPr>
          <w:rFonts w:hint="cs"/>
          <w:u w:val="dotted"/>
          <w:rtl/>
        </w:rPr>
        <w:t xml:space="preserve">ב"ד </w:t>
      </w:r>
      <w:r w:rsidR="007515E0">
        <w:rPr>
          <w:rFonts w:hint="cs"/>
          <w:u w:val="dotted"/>
          <w:rtl/>
        </w:rPr>
        <w:t>זנים</w:t>
      </w:r>
      <w:r w:rsidR="00DA42E7">
        <w:rPr>
          <w:rFonts w:hint="cs"/>
          <w:u w:val="dotted"/>
          <w:rtl/>
        </w:rPr>
        <w:t xml:space="preserve"> את בניו </w:t>
      </w:r>
      <w:r w:rsidR="00D9080F">
        <w:rPr>
          <w:rFonts w:hint="cs"/>
          <w:u w:val="dotted"/>
          <w:rtl/>
        </w:rPr>
        <w:t xml:space="preserve">הגדולים </w:t>
      </w:r>
      <w:r w:rsidR="007515E0">
        <w:rPr>
          <w:rFonts w:hint="cs"/>
          <w:u w:val="dotted"/>
          <w:rtl/>
        </w:rPr>
        <w:t xml:space="preserve">משש </w:t>
      </w:r>
      <w:r>
        <w:rPr>
          <w:rFonts w:hint="cs"/>
          <w:u w:val="dotted"/>
          <w:rtl/>
        </w:rPr>
        <w:t>אף שלא זן אותם לפני שנשתטה</w:t>
      </w:r>
      <w:r w:rsidR="00FD29A3">
        <w:rPr>
          <w:rFonts w:hint="cs"/>
          <w:u w:val="dotted"/>
          <w:rtl/>
        </w:rPr>
        <w:t xml:space="preserve"> </w:t>
      </w:r>
      <w:r w:rsidR="00FD29A3" w:rsidRPr="00FD29A3">
        <w:rPr>
          <w:rFonts w:hint="cs"/>
          <w:sz w:val="16"/>
          <w:szCs w:val="16"/>
          <w:u w:val="dotted"/>
          <w:rtl/>
        </w:rPr>
        <w:t xml:space="preserve">(או לפני </w:t>
      </w:r>
      <w:r w:rsidR="006128A7" w:rsidRPr="00FD29A3">
        <w:rPr>
          <w:rFonts w:hint="cs"/>
          <w:sz w:val="16"/>
          <w:szCs w:val="16"/>
          <w:u w:val="dotted"/>
          <w:rtl/>
        </w:rPr>
        <w:t>שהלך למדינת הים</w:t>
      </w:r>
      <w:r w:rsidR="00FD29A3" w:rsidRPr="00FD29A3">
        <w:rPr>
          <w:rFonts w:hint="cs"/>
          <w:sz w:val="16"/>
          <w:szCs w:val="16"/>
          <w:u w:val="dotted"/>
          <w:rtl/>
        </w:rPr>
        <w:t xml:space="preserve"> והוא </w:t>
      </w:r>
      <w:r w:rsidR="00F87A18" w:rsidRPr="00FD29A3">
        <w:rPr>
          <w:rFonts w:hint="cs"/>
          <w:sz w:val="16"/>
          <w:szCs w:val="16"/>
          <w:u w:val="dotted"/>
          <w:rtl/>
        </w:rPr>
        <w:t>אמיד</w:t>
      </w:r>
      <w:r w:rsidR="00FD29A3">
        <w:rPr>
          <w:rFonts w:hint="cs"/>
          <w:sz w:val="16"/>
          <w:szCs w:val="16"/>
          <w:u w:val="dotted"/>
          <w:rtl/>
        </w:rPr>
        <w:t>, לטור וסיעתו</w:t>
      </w:r>
      <w:r w:rsidR="00F87A18">
        <w:rPr>
          <w:rFonts w:hint="cs"/>
          <w:sz w:val="16"/>
          <w:szCs w:val="16"/>
          <w:u w:val="dotted"/>
          <w:rtl/>
        </w:rPr>
        <w:t>)</w:t>
      </w:r>
      <w:r w:rsidR="00FF65B3" w:rsidRPr="00FF65B3">
        <w:rPr>
          <w:rFonts w:hint="cs"/>
          <w:u w:val="dotted"/>
          <w:rtl/>
        </w:rPr>
        <w:t>:</w:t>
      </w:r>
    </w:p>
    <w:p w14:paraId="4A31C2D1" w14:textId="174FB4EA" w:rsidR="00585E9A" w:rsidRPr="008B045F" w:rsidRDefault="008B045F" w:rsidP="009000E3">
      <w:pPr>
        <w:pStyle w:val="ab"/>
        <w:numPr>
          <w:ilvl w:val="0"/>
          <w:numId w:val="24"/>
        </w:numPr>
        <w:rPr>
          <w:rFonts w:cs="Arial"/>
          <w:rtl/>
        </w:rPr>
      </w:pPr>
      <w:r>
        <w:rPr>
          <w:rFonts w:cs="Arial" w:hint="cs"/>
          <w:rtl/>
        </w:rPr>
        <w:t xml:space="preserve">תוס' </w:t>
      </w:r>
      <w:r>
        <w:rPr>
          <w:rFonts w:cs="Arial" w:hint="cs"/>
          <w:sz w:val="16"/>
          <w:szCs w:val="16"/>
          <w:rtl/>
        </w:rPr>
        <w:t>(מח. ד"ה ולא שאני)</w:t>
      </w:r>
      <w:r>
        <w:rPr>
          <w:rFonts w:cs="Arial" w:hint="cs"/>
          <w:rtl/>
        </w:rPr>
        <w:t xml:space="preserve">- </w:t>
      </w:r>
      <w:r w:rsidRPr="007918A9">
        <w:rPr>
          <w:rFonts w:cs="Arial"/>
          <w:rtl/>
        </w:rPr>
        <w:t xml:space="preserve">לקמן בפ' בתרא </w:t>
      </w:r>
      <w:r w:rsidRPr="008B045F">
        <w:rPr>
          <w:rFonts w:cs="Arial"/>
          <w:sz w:val="16"/>
          <w:szCs w:val="16"/>
          <w:rtl/>
        </w:rPr>
        <w:t>(קז.)</w:t>
      </w:r>
      <w:r w:rsidRPr="007918A9">
        <w:rPr>
          <w:rFonts w:cs="Arial"/>
          <w:rtl/>
        </w:rPr>
        <w:t xml:space="preserve"> דמוקי לה ההיא דמי שהלך למדינת הים כשהשרה אשתו ע"י שליש אבל לא בניו ובנותיו</w:t>
      </w:r>
      <w:r w:rsidR="00C9255F">
        <w:rPr>
          <w:rFonts w:cs="Arial" w:hint="cs"/>
          <w:rtl/>
        </w:rPr>
        <w:t>,</w:t>
      </w:r>
      <w:r w:rsidRPr="007918A9">
        <w:rPr>
          <w:rFonts w:cs="Arial"/>
          <w:rtl/>
        </w:rPr>
        <w:t xml:space="preserve"> משמע דקודם שיצא לא היה משרה אותם</w:t>
      </w:r>
      <w:r w:rsidR="00C9255F">
        <w:rPr>
          <w:rFonts w:cs="Arial" w:hint="cs"/>
          <w:rtl/>
        </w:rPr>
        <w:t>,</w:t>
      </w:r>
      <w:r w:rsidRPr="007918A9">
        <w:rPr>
          <w:rFonts w:cs="Arial"/>
          <w:rtl/>
        </w:rPr>
        <w:t xml:space="preserve"> אבל אם היה משרה אותם </w:t>
      </w:r>
      <w:r w:rsidR="00C9255F">
        <w:rPr>
          <w:rFonts w:cs="Arial" w:hint="cs"/>
          <w:rtl/>
        </w:rPr>
        <w:t xml:space="preserve">- </w:t>
      </w:r>
      <w:r w:rsidRPr="007918A9">
        <w:rPr>
          <w:rFonts w:cs="Arial"/>
          <w:rtl/>
        </w:rPr>
        <w:t>גם אנו היינו זנין אותם כיון דניחא ליה</w:t>
      </w:r>
      <w:r>
        <w:rPr>
          <w:rFonts w:cs="Arial" w:hint="cs"/>
          <w:rtl/>
        </w:rPr>
        <w:t>.</w:t>
      </w:r>
      <w:r w:rsidRPr="007918A9">
        <w:rPr>
          <w:rFonts w:cs="Arial"/>
          <w:rtl/>
        </w:rPr>
        <w:t xml:space="preserve"> ולפי זה צריך לומר ההיא דמי שנשתטה דזנין בניו ובנותיו </w:t>
      </w:r>
      <w:r w:rsidR="006128A7">
        <w:rPr>
          <w:rFonts w:cs="Arial" w:hint="cs"/>
          <w:rtl/>
        </w:rPr>
        <w:t xml:space="preserve">- </w:t>
      </w:r>
      <w:r w:rsidRPr="007918A9">
        <w:rPr>
          <w:rFonts w:cs="Arial"/>
          <w:rtl/>
        </w:rPr>
        <w:t>אפי' לא היה משרה אותם מתחלה</w:t>
      </w:r>
      <w:r>
        <w:rPr>
          <w:rFonts w:cs="Arial" w:hint="cs"/>
          <w:rtl/>
        </w:rPr>
        <w:t>.</w:t>
      </w:r>
      <w:r w:rsidRPr="007918A9">
        <w:rPr>
          <w:rFonts w:cs="Arial"/>
          <w:rtl/>
        </w:rPr>
        <w:t xml:space="preserve"> ואין נראה לר"י</w:t>
      </w:r>
      <w:r>
        <w:rPr>
          <w:rFonts w:cs="Arial" w:hint="cs"/>
          <w:rtl/>
        </w:rPr>
        <w:t>,</w:t>
      </w:r>
      <w:r w:rsidRPr="007918A9">
        <w:rPr>
          <w:rFonts w:cs="Arial"/>
          <w:rtl/>
        </w:rPr>
        <w:t xml:space="preserve"> דאם לא השרה אותם מתחלה ע"י שליש ולא פירנסם אמאי מפרנסין אותם</w:t>
      </w:r>
      <w:r w:rsidR="006128A7">
        <w:rPr>
          <w:rFonts w:cs="Arial" w:hint="cs"/>
          <w:rtl/>
        </w:rPr>
        <w:t>,</w:t>
      </w:r>
      <w:r w:rsidRPr="007918A9">
        <w:rPr>
          <w:rFonts w:cs="Arial"/>
          <w:rtl/>
        </w:rPr>
        <w:t xml:space="preserve"> אלא ודאי איירי כשהיה מפרנסם קודם</w:t>
      </w:r>
      <w:r>
        <w:rPr>
          <w:rFonts w:cs="Arial" w:hint="cs"/>
          <w:rtl/>
        </w:rPr>
        <w:t>.</w:t>
      </w:r>
      <w:r w:rsidRPr="007918A9">
        <w:rPr>
          <w:rFonts w:cs="Arial"/>
          <w:rtl/>
        </w:rPr>
        <w:t xml:space="preserve"> וכן ההיא דמי שהלך למדינת הים</w:t>
      </w:r>
      <w:r>
        <w:rPr>
          <w:rFonts w:cs="Arial" w:hint="cs"/>
          <w:rtl/>
        </w:rPr>
        <w:t>,</w:t>
      </w:r>
      <w:r w:rsidRPr="007918A9">
        <w:rPr>
          <w:rFonts w:cs="Arial"/>
          <w:rtl/>
        </w:rPr>
        <w:t xml:space="preserve"> מדפריך מינה אההיא דנשתטה</w:t>
      </w:r>
      <w:r>
        <w:rPr>
          <w:rStyle w:val="a7"/>
          <w:rFonts w:cs="Arial"/>
          <w:rtl/>
        </w:rPr>
        <w:footnoteReference w:id="340"/>
      </w:r>
      <w:r w:rsidRPr="007918A9">
        <w:rPr>
          <w:rFonts w:cs="Arial"/>
          <w:rtl/>
        </w:rPr>
        <w:t>.</w:t>
      </w:r>
      <w:r w:rsidR="00926762">
        <w:rPr>
          <w:rFonts w:cs="Arial" w:hint="cs"/>
          <w:rtl/>
        </w:rPr>
        <w:t xml:space="preserve"> </w:t>
      </w:r>
      <w:r w:rsidR="00926762" w:rsidRPr="00827F1B">
        <w:rPr>
          <w:rFonts w:hint="cs"/>
          <w:color w:val="00B0F0"/>
          <w:rtl/>
        </w:rPr>
        <w:t>(וכ"</w:t>
      </w:r>
      <w:r w:rsidR="00926762">
        <w:rPr>
          <w:rFonts w:hint="cs"/>
          <w:color w:val="00B0F0"/>
          <w:rtl/>
        </w:rPr>
        <w:t>כ</w:t>
      </w:r>
      <w:r w:rsidR="00926762" w:rsidRPr="00827F1B">
        <w:rPr>
          <w:rFonts w:hint="cs"/>
          <w:color w:val="00B0F0"/>
          <w:rtl/>
        </w:rPr>
        <w:t xml:space="preserve"> הרמ"א)</w:t>
      </w:r>
    </w:p>
    <w:p w14:paraId="228B6F5E" w14:textId="277F65DD" w:rsidR="00F47D55" w:rsidRPr="00F47D55" w:rsidRDefault="00F47D55" w:rsidP="00F350E1">
      <w:pPr>
        <w:rPr>
          <w:rFonts w:cs="Arial"/>
          <w:u w:val="single"/>
          <w:rtl/>
        </w:rPr>
      </w:pPr>
      <w:r>
        <w:rPr>
          <w:rFonts w:cs="Arial" w:hint="cs"/>
          <w:u w:val="single"/>
          <w:rtl/>
        </w:rPr>
        <w:t>א</w:t>
      </w:r>
      <w:r w:rsidRPr="00F47D55">
        <w:rPr>
          <w:rFonts w:cs="Arial"/>
          <w:u w:val="single"/>
          <w:rtl/>
        </w:rPr>
        <w:t>יש שנשתטה ומעות</w:t>
      </w:r>
      <w:r>
        <w:rPr>
          <w:rFonts w:cs="Arial" w:hint="cs"/>
          <w:u w:val="single"/>
          <w:rtl/>
        </w:rPr>
        <w:t>יו</w:t>
      </w:r>
      <w:r w:rsidRPr="00F47D55">
        <w:rPr>
          <w:rFonts w:cs="Arial"/>
          <w:u w:val="single"/>
          <w:rtl/>
        </w:rPr>
        <w:t xml:space="preserve"> ביד קרובי האשה</w:t>
      </w:r>
      <w:r>
        <w:rPr>
          <w:rFonts w:cs="Arial" w:hint="cs"/>
          <w:u w:val="single"/>
          <w:rtl/>
        </w:rPr>
        <w:t xml:space="preserve"> </w:t>
      </w:r>
      <w:r w:rsidR="00F60FEE">
        <w:rPr>
          <w:rFonts w:cs="Arial" w:hint="cs"/>
          <w:u w:val="single"/>
          <w:rtl/>
        </w:rPr>
        <w:t>-</w:t>
      </w:r>
      <w:r w:rsidRPr="00F47D55">
        <w:rPr>
          <w:rFonts w:cs="Arial"/>
          <w:u w:val="single"/>
          <w:rtl/>
        </w:rPr>
        <w:t xml:space="preserve"> </w:t>
      </w:r>
      <w:r>
        <w:rPr>
          <w:rFonts w:cs="Arial" w:hint="cs"/>
          <w:u w:val="single"/>
          <w:rtl/>
        </w:rPr>
        <w:t>האם ב"ד מוציאים מהם או ש</w:t>
      </w:r>
      <w:r w:rsidRPr="00F47D55">
        <w:rPr>
          <w:rFonts w:cs="Arial"/>
          <w:u w:val="single"/>
          <w:rtl/>
        </w:rPr>
        <w:t>תזון היא מן הנכסים והוא מן התמחוי</w:t>
      </w:r>
      <w:r w:rsidRPr="00F47D55">
        <w:rPr>
          <w:rFonts w:cs="Arial" w:hint="cs"/>
          <w:u w:val="single"/>
          <w:rtl/>
        </w:rPr>
        <w:t>:</w:t>
      </w:r>
    </w:p>
    <w:p w14:paraId="1D498F35" w14:textId="5CC4FDC5" w:rsidR="00F47D55" w:rsidRDefault="00F350E1" w:rsidP="009000E3">
      <w:pPr>
        <w:pStyle w:val="ab"/>
        <w:numPr>
          <w:ilvl w:val="0"/>
          <w:numId w:val="25"/>
        </w:numPr>
        <w:rPr>
          <w:rFonts w:cs="Arial"/>
        </w:rPr>
      </w:pPr>
      <w:r w:rsidRPr="00F47D55">
        <w:rPr>
          <w:rFonts w:cs="Arial"/>
          <w:rtl/>
        </w:rPr>
        <w:t xml:space="preserve">רשב"א </w:t>
      </w:r>
      <w:r w:rsidRPr="00F47D55">
        <w:rPr>
          <w:rFonts w:cs="Arial"/>
          <w:sz w:val="16"/>
          <w:szCs w:val="16"/>
          <w:rtl/>
        </w:rPr>
        <w:t>(ח"א סי</w:t>
      </w:r>
      <w:r w:rsidR="007B7B34" w:rsidRPr="00F47D55">
        <w:rPr>
          <w:rFonts w:cs="Arial" w:hint="cs"/>
          <w:sz w:val="16"/>
          <w:szCs w:val="16"/>
          <w:rtl/>
        </w:rPr>
        <w:t>'</w:t>
      </w:r>
      <w:r w:rsidRPr="00F47D55">
        <w:rPr>
          <w:rFonts w:cs="Arial"/>
          <w:sz w:val="16"/>
          <w:szCs w:val="16"/>
          <w:rtl/>
        </w:rPr>
        <w:t xml:space="preserve"> תתקפח</w:t>
      </w:r>
      <w:r w:rsidR="007B7B34" w:rsidRPr="00F47D55">
        <w:rPr>
          <w:rFonts w:cs="Arial" w:hint="cs"/>
          <w:sz w:val="16"/>
          <w:szCs w:val="16"/>
          <w:rtl/>
        </w:rPr>
        <w:t>)</w:t>
      </w:r>
      <w:r w:rsidR="007B7B34" w:rsidRPr="00F47D55">
        <w:rPr>
          <w:rFonts w:cs="Arial" w:hint="cs"/>
          <w:rtl/>
        </w:rPr>
        <w:t>-</w:t>
      </w:r>
      <w:r w:rsidRPr="00F47D55">
        <w:rPr>
          <w:rFonts w:cs="Arial"/>
          <w:rtl/>
        </w:rPr>
        <w:t xml:space="preserve"> איש שנשתטה והמעות ביד קרובי האשה עדיין</w:t>
      </w:r>
      <w:r w:rsidR="004B5A8E">
        <w:rPr>
          <w:rFonts w:cs="Arial" w:hint="cs"/>
          <w:rtl/>
        </w:rPr>
        <w:t>,</w:t>
      </w:r>
      <w:r w:rsidRPr="00F47D55">
        <w:rPr>
          <w:rFonts w:cs="Arial"/>
          <w:rtl/>
        </w:rPr>
        <w:t xml:space="preserve"> אם נאמר תזון היא מן הנכסים והוא מן התמחוי או אם מוציאין ב"ד מידם</w:t>
      </w:r>
      <w:r w:rsidR="007B7B34" w:rsidRPr="00F47D55">
        <w:rPr>
          <w:rFonts w:cs="Arial" w:hint="cs"/>
          <w:rtl/>
        </w:rPr>
        <w:t>.</w:t>
      </w:r>
      <w:r w:rsidRPr="00F47D55">
        <w:rPr>
          <w:rFonts w:cs="Arial"/>
          <w:rtl/>
        </w:rPr>
        <w:t xml:space="preserve"> </w:t>
      </w:r>
      <w:r w:rsidR="003722B5">
        <w:rPr>
          <w:rFonts w:cs="Arial" w:hint="cs"/>
          <w:rtl/>
        </w:rPr>
        <w:t xml:space="preserve">    </w:t>
      </w:r>
      <w:r w:rsidR="007B7B34" w:rsidRPr="00F47D55">
        <w:rPr>
          <w:rFonts w:cs="Arial" w:hint="cs"/>
          <w:rtl/>
        </w:rPr>
        <w:t>תשובה</w:t>
      </w:r>
      <w:r w:rsidR="003722B5">
        <w:rPr>
          <w:rFonts w:cs="Arial" w:hint="cs"/>
          <w:rtl/>
        </w:rPr>
        <w:t>:</w:t>
      </w:r>
      <w:r w:rsidR="007B7B34" w:rsidRPr="00F47D55">
        <w:rPr>
          <w:rFonts w:cs="Arial"/>
          <w:rtl/>
        </w:rPr>
        <w:t xml:space="preserve"> </w:t>
      </w:r>
      <w:r w:rsidRPr="00F47D55">
        <w:rPr>
          <w:rFonts w:cs="Arial"/>
          <w:rtl/>
        </w:rPr>
        <w:t>מוציאין</w:t>
      </w:r>
      <w:r w:rsidR="007B7B34" w:rsidRPr="00F47D55">
        <w:rPr>
          <w:rFonts w:cs="Arial" w:hint="cs"/>
          <w:rtl/>
        </w:rPr>
        <w:t>,</w:t>
      </w:r>
      <w:r w:rsidRPr="00F47D55">
        <w:rPr>
          <w:rFonts w:cs="Arial"/>
          <w:rtl/>
        </w:rPr>
        <w:t xml:space="preserve"> דאי אפשר לגבות היא כתובתה כל שהוא אינו יכול לגרש אלא נזונין היא ובעלה ובניהם. </w:t>
      </w:r>
    </w:p>
    <w:p w14:paraId="16645C7A" w14:textId="77777777" w:rsidR="00F350E1" w:rsidRDefault="00F350E1" w:rsidP="00F350E1">
      <w:pPr>
        <w:rPr>
          <w:rFonts w:cs="Arial"/>
          <w:rtl/>
        </w:rPr>
      </w:pPr>
      <w:r w:rsidRPr="003024E5">
        <w:rPr>
          <w:rFonts w:asciiTheme="minorBidi" w:hAnsiTheme="minorBidi"/>
          <w:b/>
          <w:bCs/>
          <w:color w:val="000000"/>
          <w:sz w:val="28"/>
          <w:szCs w:val="28"/>
          <w:u w:val="single"/>
          <w:rtl/>
        </w:rPr>
        <w:t>שו"ע:</w:t>
      </w:r>
    </w:p>
    <w:p w14:paraId="23DD0A24" w14:textId="7FF73552" w:rsidR="00471D63" w:rsidRDefault="00471D63" w:rsidP="00471D63">
      <w:pPr>
        <w:rPr>
          <w:rFonts w:cs="Arial"/>
          <w:rtl/>
        </w:rPr>
      </w:pPr>
      <w:r>
        <w:rPr>
          <w:rFonts w:cs="Arial"/>
          <w:rtl/>
        </w:rPr>
        <w:t>מי שהלך למדינת הים והניח בניו כאן, מוכרים מנכסיו לפרנסה עד שיהיו בני שש</w:t>
      </w:r>
      <w:r w:rsidR="00585E9A">
        <w:rPr>
          <w:rFonts w:cs="Arial" w:hint="cs"/>
          <w:rtl/>
        </w:rPr>
        <w:t>.</w:t>
      </w:r>
      <w:r>
        <w:rPr>
          <w:rFonts w:cs="Arial"/>
          <w:rtl/>
        </w:rPr>
        <w:t xml:space="preserve"> אבל מבני שש ומעלה, אין זנין אותם מנכסיו</w:t>
      </w:r>
      <w:r w:rsidR="007918A9">
        <w:rPr>
          <w:rStyle w:val="a7"/>
          <w:rFonts w:cs="Arial"/>
          <w:rtl/>
        </w:rPr>
        <w:footnoteReference w:id="341"/>
      </w:r>
      <w:r>
        <w:rPr>
          <w:rFonts w:cs="Arial"/>
          <w:rtl/>
        </w:rPr>
        <w:t xml:space="preserve">. </w:t>
      </w:r>
      <w:r w:rsidRPr="00F350E1">
        <w:rPr>
          <w:rFonts w:cs="Arial"/>
          <w:sz w:val="18"/>
          <w:szCs w:val="18"/>
          <w:rtl/>
        </w:rPr>
        <w:t>הגה: וי"א היינו דוקא שלא התחיל לזונן אחר שש, אבל התחיל לזונן, ניזונין מנכסיו, דודאי ניחא ליה בהכי (</w:t>
      </w:r>
      <w:r w:rsidR="000C244F">
        <w:rPr>
          <w:rFonts w:cs="Arial" w:hint="cs"/>
          <w:sz w:val="18"/>
          <w:szCs w:val="18"/>
          <w:rtl/>
        </w:rPr>
        <w:t>ר"י</w:t>
      </w:r>
      <w:r w:rsidRPr="00F350E1">
        <w:rPr>
          <w:rFonts w:cs="Arial"/>
          <w:sz w:val="18"/>
          <w:szCs w:val="18"/>
          <w:rtl/>
        </w:rPr>
        <w:t>). וי"א אם אמוד, זונין אותן בכל ענין, משום צדקה</w:t>
      </w:r>
      <w:r w:rsidR="0042316B">
        <w:rPr>
          <w:rStyle w:val="a7"/>
          <w:rFonts w:cs="Arial"/>
          <w:sz w:val="18"/>
          <w:szCs w:val="18"/>
          <w:rtl/>
        </w:rPr>
        <w:footnoteReference w:id="342"/>
      </w:r>
      <w:r w:rsidR="000C244F">
        <w:rPr>
          <w:rFonts w:cs="Arial" w:hint="cs"/>
          <w:sz w:val="18"/>
          <w:szCs w:val="18"/>
          <w:rtl/>
        </w:rPr>
        <w:t xml:space="preserve"> (ר"ן)</w:t>
      </w:r>
      <w:r w:rsidRPr="00F350E1">
        <w:rPr>
          <w:rFonts w:cs="Arial"/>
          <w:sz w:val="18"/>
          <w:szCs w:val="18"/>
          <w:rtl/>
        </w:rPr>
        <w:t>.</w:t>
      </w:r>
      <w:r>
        <w:rPr>
          <w:rFonts w:cs="Arial"/>
          <w:rtl/>
        </w:rPr>
        <w:t xml:space="preserve"> </w:t>
      </w:r>
    </w:p>
    <w:p w14:paraId="368E0AA3" w14:textId="77777777" w:rsidR="00F350E1" w:rsidRDefault="00F350E1" w:rsidP="00471D63">
      <w:pPr>
        <w:rPr>
          <w:rtl/>
        </w:rPr>
      </w:pPr>
    </w:p>
    <w:p w14:paraId="71DABBFA" w14:textId="29DCA746" w:rsidR="00471D63" w:rsidRDefault="00471D63" w:rsidP="000F64D0">
      <w:pPr>
        <w:pStyle w:val="2"/>
        <w:rPr>
          <w:rtl/>
        </w:rPr>
      </w:pPr>
      <w:r>
        <w:rPr>
          <w:rtl/>
        </w:rPr>
        <w:t>סעיף ג</w:t>
      </w:r>
      <w:r w:rsidR="00F350E1">
        <w:rPr>
          <w:rFonts w:hint="cs"/>
          <w:rtl/>
        </w:rPr>
        <w:t>:</w:t>
      </w:r>
      <w:r w:rsidR="0042316B">
        <w:rPr>
          <w:rFonts w:hint="cs"/>
          <w:rtl/>
        </w:rPr>
        <w:t xml:space="preserve"> נשתטה ויש לו בנים.</w:t>
      </w:r>
    </w:p>
    <w:p w14:paraId="74553699" w14:textId="62ADD05A" w:rsidR="00F350E1" w:rsidRPr="00F350E1" w:rsidRDefault="0042316B" w:rsidP="00F350E1">
      <w:pPr>
        <w:rPr>
          <w:rtl/>
        </w:rPr>
      </w:pPr>
      <w:r>
        <w:rPr>
          <w:rFonts w:hint="cs"/>
          <w:rtl/>
        </w:rPr>
        <w:t>עיין במקורות בסעיף ב.</w:t>
      </w:r>
    </w:p>
    <w:p w14:paraId="233C71D7" w14:textId="77777777" w:rsidR="00F350E1" w:rsidRDefault="00F350E1" w:rsidP="00F350E1">
      <w:pPr>
        <w:rPr>
          <w:rFonts w:cs="Arial"/>
          <w:rtl/>
        </w:rPr>
      </w:pPr>
      <w:r w:rsidRPr="003024E5">
        <w:rPr>
          <w:rFonts w:asciiTheme="minorBidi" w:hAnsiTheme="minorBidi"/>
          <w:b/>
          <w:bCs/>
          <w:color w:val="000000"/>
          <w:sz w:val="28"/>
          <w:szCs w:val="28"/>
          <w:u w:val="single"/>
          <w:rtl/>
        </w:rPr>
        <w:t>שו"ע:</w:t>
      </w:r>
    </w:p>
    <w:p w14:paraId="6F6A48CC" w14:textId="633313E9" w:rsidR="00471D63" w:rsidRDefault="00471D63" w:rsidP="00471D63">
      <w:pPr>
        <w:rPr>
          <w:rtl/>
        </w:rPr>
      </w:pPr>
      <w:r>
        <w:rPr>
          <w:rFonts w:cs="Arial"/>
          <w:rtl/>
        </w:rPr>
        <w:t>מי שנשתטה, מפרנסים מנכסיו בניו ובנותיו, אפילו הן יתרין על שש</w:t>
      </w:r>
      <w:r w:rsidR="00F35B81">
        <w:rPr>
          <w:rStyle w:val="a7"/>
          <w:rFonts w:cs="Arial"/>
          <w:rtl/>
        </w:rPr>
        <w:footnoteReference w:id="343"/>
      </w:r>
      <w:r>
        <w:rPr>
          <w:rFonts w:cs="Arial"/>
          <w:rtl/>
        </w:rPr>
        <w:t xml:space="preserve">, עד שיגדלו. </w:t>
      </w:r>
    </w:p>
    <w:p w14:paraId="542EA6BB" w14:textId="77777777" w:rsidR="00F350E1" w:rsidRDefault="00F350E1" w:rsidP="00471D63">
      <w:pPr>
        <w:rPr>
          <w:rtl/>
        </w:rPr>
      </w:pPr>
    </w:p>
    <w:p w14:paraId="5B77B85D" w14:textId="3350830A" w:rsidR="00471D63" w:rsidRDefault="00471D63" w:rsidP="000F64D0">
      <w:pPr>
        <w:pStyle w:val="2"/>
        <w:rPr>
          <w:rtl/>
        </w:rPr>
      </w:pPr>
      <w:r>
        <w:rPr>
          <w:rtl/>
        </w:rPr>
        <w:t>סעיף ד</w:t>
      </w:r>
      <w:r w:rsidR="00F350E1">
        <w:rPr>
          <w:rFonts w:hint="cs"/>
          <w:rtl/>
        </w:rPr>
        <w:t>:</w:t>
      </w:r>
      <w:r w:rsidR="007918A9">
        <w:rPr>
          <w:rFonts w:hint="cs"/>
          <w:rtl/>
        </w:rPr>
        <w:t xml:space="preserve"> בא על פנויה וילדה לו ילד.</w:t>
      </w:r>
    </w:p>
    <w:p w14:paraId="32E5CAD9" w14:textId="79C4B479" w:rsidR="0042316B" w:rsidRPr="007918A9" w:rsidRDefault="007918A9" w:rsidP="0042316B">
      <w:pPr>
        <w:rPr>
          <w:u w:val="single"/>
          <w:rtl/>
        </w:rPr>
      </w:pPr>
      <w:r w:rsidRPr="007918A9">
        <w:rPr>
          <w:rFonts w:hint="cs"/>
          <w:u w:val="single"/>
          <w:rtl/>
        </w:rPr>
        <w:t xml:space="preserve">בא על פנויה וילדה לו ילד </w:t>
      </w:r>
      <w:r w:rsidR="00D54028">
        <w:rPr>
          <w:rFonts w:hint="cs"/>
          <w:u w:val="single"/>
          <w:rtl/>
        </w:rPr>
        <w:t>-</w:t>
      </w:r>
      <w:r w:rsidRPr="007918A9">
        <w:rPr>
          <w:rFonts w:hint="cs"/>
          <w:u w:val="single"/>
          <w:rtl/>
        </w:rPr>
        <w:t xml:space="preserve"> האם צריך לפרנסו:</w:t>
      </w:r>
    </w:p>
    <w:p w14:paraId="288DD7A9" w14:textId="3086256E" w:rsidR="009A250A" w:rsidRDefault="00F350E1" w:rsidP="009000E3">
      <w:pPr>
        <w:pStyle w:val="ab"/>
        <w:numPr>
          <w:ilvl w:val="0"/>
          <w:numId w:val="25"/>
        </w:numPr>
      </w:pPr>
      <w:r w:rsidRPr="0042316B">
        <w:rPr>
          <w:rFonts w:cs="Arial"/>
          <w:rtl/>
        </w:rPr>
        <w:lastRenderedPageBreak/>
        <w:t xml:space="preserve">רא"ש </w:t>
      </w:r>
      <w:r w:rsidR="0042316B" w:rsidRPr="0042316B">
        <w:rPr>
          <w:rFonts w:cs="Arial" w:hint="cs"/>
          <w:sz w:val="16"/>
          <w:szCs w:val="16"/>
          <w:rtl/>
        </w:rPr>
        <w:t>(</w:t>
      </w:r>
      <w:r w:rsidRPr="0042316B">
        <w:rPr>
          <w:rFonts w:cs="Arial"/>
          <w:sz w:val="16"/>
          <w:szCs w:val="16"/>
          <w:rtl/>
        </w:rPr>
        <w:t>כלל יז סי</w:t>
      </w:r>
      <w:r w:rsidR="0042316B" w:rsidRPr="0042316B">
        <w:rPr>
          <w:rFonts w:cs="Arial" w:hint="cs"/>
          <w:sz w:val="16"/>
          <w:szCs w:val="16"/>
          <w:rtl/>
        </w:rPr>
        <w:t>'</w:t>
      </w:r>
      <w:r w:rsidRPr="0042316B">
        <w:rPr>
          <w:rFonts w:cs="Arial"/>
          <w:sz w:val="16"/>
          <w:szCs w:val="16"/>
          <w:rtl/>
        </w:rPr>
        <w:t xml:space="preserve"> ז</w:t>
      </w:r>
      <w:r w:rsidR="009A250A">
        <w:rPr>
          <w:rFonts w:cs="Arial" w:hint="cs"/>
          <w:sz w:val="16"/>
          <w:szCs w:val="16"/>
          <w:rtl/>
        </w:rPr>
        <w:t>, כ"כ הב"י בשמו</w:t>
      </w:r>
      <w:r w:rsidR="0042316B" w:rsidRPr="0042316B">
        <w:rPr>
          <w:rFonts w:cs="Arial" w:hint="cs"/>
          <w:sz w:val="16"/>
          <w:szCs w:val="16"/>
          <w:rtl/>
        </w:rPr>
        <w:t>)</w:t>
      </w:r>
      <w:r w:rsidR="009A250A" w:rsidRPr="009A250A">
        <w:rPr>
          <w:rFonts w:cs="Arial"/>
          <w:rtl/>
        </w:rPr>
        <w:t xml:space="preserve"> </w:t>
      </w:r>
      <w:r w:rsidR="009A250A">
        <w:rPr>
          <w:rFonts w:cs="Arial" w:hint="cs"/>
          <w:rtl/>
        </w:rPr>
        <w:t>ו</w:t>
      </w:r>
      <w:r w:rsidR="009A250A" w:rsidRPr="0042316B">
        <w:rPr>
          <w:rFonts w:cs="Arial"/>
          <w:rtl/>
        </w:rPr>
        <w:t xml:space="preserve">ריב"ש </w:t>
      </w:r>
      <w:r w:rsidR="009A250A" w:rsidRPr="009A250A">
        <w:rPr>
          <w:rFonts w:cs="Arial" w:hint="cs"/>
          <w:sz w:val="16"/>
          <w:szCs w:val="16"/>
          <w:rtl/>
        </w:rPr>
        <w:t>(</w:t>
      </w:r>
      <w:r w:rsidR="009A250A" w:rsidRPr="009A250A">
        <w:rPr>
          <w:rFonts w:cs="Arial"/>
          <w:sz w:val="16"/>
          <w:szCs w:val="16"/>
          <w:rtl/>
        </w:rPr>
        <w:t>סי</w:t>
      </w:r>
      <w:r w:rsidR="009A250A" w:rsidRPr="009A250A">
        <w:rPr>
          <w:rFonts w:cs="Arial" w:hint="cs"/>
          <w:sz w:val="16"/>
          <w:szCs w:val="16"/>
          <w:rtl/>
        </w:rPr>
        <w:t>'</w:t>
      </w:r>
      <w:r w:rsidR="009A250A" w:rsidRPr="009A250A">
        <w:rPr>
          <w:rFonts w:cs="Arial"/>
          <w:sz w:val="16"/>
          <w:szCs w:val="16"/>
          <w:rtl/>
        </w:rPr>
        <w:t xml:space="preserve"> מא</w:t>
      </w:r>
      <w:r w:rsidR="009A250A" w:rsidRPr="009A250A">
        <w:rPr>
          <w:rFonts w:cs="Arial" w:hint="cs"/>
          <w:sz w:val="16"/>
          <w:szCs w:val="16"/>
          <w:rtl/>
        </w:rPr>
        <w:t>)</w:t>
      </w:r>
      <w:r w:rsidR="0042316B" w:rsidRPr="0042316B">
        <w:rPr>
          <w:rFonts w:cs="Arial" w:hint="cs"/>
          <w:rtl/>
        </w:rPr>
        <w:t>-</w:t>
      </w:r>
      <w:r w:rsidRPr="0042316B">
        <w:rPr>
          <w:rFonts w:cs="Arial"/>
          <w:rtl/>
        </w:rPr>
        <w:t xml:space="preserve"> מי שבא על הפנויה וילדה ממנו בן או בת </w:t>
      </w:r>
      <w:r w:rsidR="009A250A">
        <w:rPr>
          <w:rFonts w:cs="Arial" w:hint="cs"/>
          <w:rtl/>
        </w:rPr>
        <w:t xml:space="preserve">- </w:t>
      </w:r>
      <w:r w:rsidRPr="0042316B">
        <w:rPr>
          <w:rFonts w:cs="Arial"/>
          <w:rtl/>
        </w:rPr>
        <w:t>חייב לזונם</w:t>
      </w:r>
      <w:r w:rsidR="009A250A">
        <w:rPr>
          <w:rFonts w:cs="Arial" w:hint="cs"/>
          <w:sz w:val="16"/>
          <w:szCs w:val="16"/>
          <w:rtl/>
        </w:rPr>
        <w:t xml:space="preserve"> (ל' הב"י)</w:t>
      </w:r>
      <w:r w:rsidR="009A250A">
        <w:rPr>
          <w:rFonts w:cs="Arial" w:hint="cs"/>
          <w:rtl/>
        </w:rPr>
        <w:t>.</w:t>
      </w:r>
      <w:r w:rsidRPr="0042316B">
        <w:rPr>
          <w:rFonts w:cs="Arial"/>
          <w:rtl/>
        </w:rPr>
        <w:t xml:space="preserve"> </w:t>
      </w:r>
      <w:r w:rsidR="00D33EFE" w:rsidRPr="00D33EFE">
        <w:rPr>
          <w:rFonts w:hint="cs"/>
          <w:color w:val="E36C0A" w:themeColor="accent6" w:themeShade="BF"/>
          <w:rtl/>
        </w:rPr>
        <w:t>(וכ"פ בשו"ע)</w:t>
      </w:r>
    </w:p>
    <w:p w14:paraId="439274E5" w14:textId="1F59DE6F" w:rsidR="002F42A7" w:rsidRPr="009A250A" w:rsidRDefault="00081A65" w:rsidP="009000E3">
      <w:pPr>
        <w:pStyle w:val="ab"/>
        <w:numPr>
          <w:ilvl w:val="0"/>
          <w:numId w:val="25"/>
        </w:numPr>
      </w:pPr>
      <w:r>
        <w:rPr>
          <w:rFonts w:cs="Arial" w:hint="cs"/>
          <w:rtl/>
        </w:rPr>
        <w:t xml:space="preserve">ר"ן </w:t>
      </w:r>
      <w:r>
        <w:rPr>
          <w:rFonts w:cs="Arial" w:hint="cs"/>
          <w:sz w:val="16"/>
          <w:szCs w:val="16"/>
          <w:rtl/>
        </w:rPr>
        <w:t>(כתובות כח: ד"ה יפה לחלב)</w:t>
      </w:r>
      <w:r>
        <w:rPr>
          <w:rFonts w:cs="Arial" w:hint="cs"/>
          <w:rtl/>
        </w:rPr>
        <w:t xml:space="preserve">- </w:t>
      </w:r>
      <w:r w:rsidR="002F42A7" w:rsidRPr="002F42A7">
        <w:rPr>
          <w:rFonts w:cs="Arial"/>
          <w:rtl/>
        </w:rPr>
        <w:t>יפה לחלב. אלמא משום כן חייב לטפויי לה מזונות ע"כ ומתוך לשונות הללו נ"ל דכי אמרי' דזן אותם קטני קטנים דוקא בשאמן קיימת ומדין מזונות אמן נגעו בה</w:t>
      </w:r>
      <w:r w:rsidR="002E0F6D">
        <w:rPr>
          <w:rFonts w:cs="Arial" w:hint="cs"/>
          <w:rtl/>
        </w:rPr>
        <w:t>,</w:t>
      </w:r>
      <w:r w:rsidR="002F42A7" w:rsidRPr="002F42A7">
        <w:rPr>
          <w:rFonts w:cs="Arial"/>
          <w:rtl/>
        </w:rPr>
        <w:t xml:space="preserve"> שכיון שהן נגררים אחריה אי אפשר לה להעמיד עצמה שלא תזון אותם</w:t>
      </w:r>
      <w:r w:rsidR="002E0F6D">
        <w:rPr>
          <w:rFonts w:cs="Arial" w:hint="cs"/>
          <w:rtl/>
        </w:rPr>
        <w:t>,</w:t>
      </w:r>
      <w:r w:rsidR="002F42A7" w:rsidRPr="002F42A7">
        <w:rPr>
          <w:rFonts w:cs="Arial"/>
          <w:rtl/>
        </w:rPr>
        <w:t xml:space="preserve"> אבל בשאין אמם קיימת אינו חייב במזונותיהם</w:t>
      </w:r>
      <w:r>
        <w:rPr>
          <w:rFonts w:cs="Arial" w:hint="cs"/>
          <w:rtl/>
        </w:rPr>
        <w:t>...</w:t>
      </w:r>
      <w:r w:rsidR="002F42A7" w:rsidRPr="002F42A7">
        <w:rPr>
          <w:rFonts w:cs="Arial"/>
          <w:rtl/>
        </w:rPr>
        <w:t xml:space="preserve"> אבל לא ראיתי לראשונים ז"ל שאמרו כן</w:t>
      </w:r>
      <w:r w:rsidR="002F42A7">
        <w:rPr>
          <w:rStyle w:val="a7"/>
          <w:rFonts w:cs="Arial"/>
          <w:rtl/>
        </w:rPr>
        <w:footnoteReference w:id="344"/>
      </w:r>
      <w:r w:rsidR="002F42A7">
        <w:rPr>
          <w:rFonts w:hint="cs"/>
          <w:rtl/>
        </w:rPr>
        <w:t>.</w:t>
      </w:r>
    </w:p>
    <w:p w14:paraId="159C3272" w14:textId="667C66D2" w:rsidR="009A250A" w:rsidRPr="009A250A" w:rsidRDefault="009A250A" w:rsidP="009A250A">
      <w:pPr>
        <w:ind w:left="360"/>
        <w:rPr>
          <w:u w:val="dotted"/>
        </w:rPr>
      </w:pPr>
      <w:r w:rsidRPr="009A250A">
        <w:rPr>
          <w:rFonts w:hint="cs"/>
          <w:u w:val="dotted"/>
          <w:rtl/>
        </w:rPr>
        <w:t>ומה הדין אם אינו מודה לה שהילד ממנו:</w:t>
      </w:r>
    </w:p>
    <w:p w14:paraId="1EE404E4" w14:textId="082A3728" w:rsidR="00F350E1" w:rsidRPr="00F350E1" w:rsidRDefault="00F350E1" w:rsidP="009000E3">
      <w:pPr>
        <w:pStyle w:val="ab"/>
        <w:numPr>
          <w:ilvl w:val="0"/>
          <w:numId w:val="25"/>
        </w:numPr>
        <w:rPr>
          <w:rtl/>
        </w:rPr>
      </w:pPr>
      <w:r w:rsidRPr="0042316B">
        <w:rPr>
          <w:rFonts w:cs="Arial"/>
          <w:rtl/>
        </w:rPr>
        <w:t xml:space="preserve">ריב"ש </w:t>
      </w:r>
      <w:r w:rsidR="009A250A" w:rsidRPr="009A250A">
        <w:rPr>
          <w:rFonts w:cs="Arial" w:hint="cs"/>
          <w:sz w:val="16"/>
          <w:szCs w:val="16"/>
          <w:rtl/>
        </w:rPr>
        <w:t>(</w:t>
      </w:r>
      <w:r w:rsidRPr="009A250A">
        <w:rPr>
          <w:rFonts w:cs="Arial"/>
          <w:sz w:val="16"/>
          <w:szCs w:val="16"/>
          <w:rtl/>
        </w:rPr>
        <w:t>סי</w:t>
      </w:r>
      <w:r w:rsidR="009A250A" w:rsidRPr="009A250A">
        <w:rPr>
          <w:rFonts w:cs="Arial" w:hint="cs"/>
          <w:sz w:val="16"/>
          <w:szCs w:val="16"/>
          <w:rtl/>
        </w:rPr>
        <w:t>'</w:t>
      </w:r>
      <w:r w:rsidRPr="009A250A">
        <w:rPr>
          <w:rFonts w:cs="Arial"/>
          <w:sz w:val="16"/>
          <w:szCs w:val="16"/>
          <w:rtl/>
        </w:rPr>
        <w:t xml:space="preserve"> מא</w:t>
      </w:r>
      <w:r w:rsidR="009A250A" w:rsidRPr="009A250A">
        <w:rPr>
          <w:rFonts w:cs="Arial" w:hint="cs"/>
          <w:sz w:val="16"/>
          <w:szCs w:val="16"/>
          <w:rtl/>
        </w:rPr>
        <w:t>)</w:t>
      </w:r>
      <w:r w:rsidR="009A250A">
        <w:rPr>
          <w:rFonts w:cs="Arial" w:hint="cs"/>
          <w:rtl/>
        </w:rPr>
        <w:t>-</w:t>
      </w:r>
      <w:r w:rsidRPr="0042316B">
        <w:rPr>
          <w:rFonts w:cs="Arial"/>
          <w:rtl/>
        </w:rPr>
        <w:t xml:space="preserve"> ומיהו כתב דהני מילי כשהוא מודה שהולד ממנו אבל אם אינו מודה בכך</w:t>
      </w:r>
      <w:r w:rsidR="003D3209">
        <w:rPr>
          <w:rFonts w:cs="Arial" w:hint="cs"/>
          <w:rtl/>
        </w:rPr>
        <w:t>,</w:t>
      </w:r>
      <w:r w:rsidRPr="0042316B">
        <w:rPr>
          <w:rFonts w:cs="Arial"/>
          <w:rtl/>
        </w:rPr>
        <w:t xml:space="preserve"> אפילו נודע שבא עליה והיא טוענת בריא שהיא מעוברת ממנו</w:t>
      </w:r>
      <w:r w:rsidR="00E8607B">
        <w:rPr>
          <w:rFonts w:cs="Arial" w:hint="cs"/>
          <w:rtl/>
        </w:rPr>
        <w:t>,</w:t>
      </w:r>
      <w:r w:rsidRPr="0042316B">
        <w:rPr>
          <w:rFonts w:cs="Arial"/>
          <w:rtl/>
        </w:rPr>
        <w:t xml:space="preserve"> כיון שאינו מודה לה בזה הרי איפשר שנתעברה מאחר דכי היכי דאפקרה נפשה לגביה אפקרה נפשה לגבי אחריני</w:t>
      </w:r>
      <w:r w:rsidR="0042316B" w:rsidRPr="0042316B">
        <w:rPr>
          <w:rFonts w:cs="Arial" w:hint="cs"/>
          <w:rtl/>
        </w:rPr>
        <w:t>.</w:t>
      </w:r>
      <w:r w:rsidR="00D33EFE">
        <w:rPr>
          <w:rFonts w:cs="Arial" w:hint="cs"/>
          <w:rtl/>
        </w:rPr>
        <w:t xml:space="preserve"> </w:t>
      </w:r>
      <w:r w:rsidR="00D33EFE" w:rsidRPr="00D33EFE">
        <w:rPr>
          <w:rFonts w:hint="cs"/>
          <w:color w:val="E36C0A" w:themeColor="accent6" w:themeShade="BF"/>
          <w:rtl/>
        </w:rPr>
        <w:t>(וכ"פ בשו"ע)</w:t>
      </w:r>
    </w:p>
    <w:p w14:paraId="60E7FD73" w14:textId="77777777" w:rsidR="00F350E1" w:rsidRDefault="00F350E1" w:rsidP="00F350E1">
      <w:pPr>
        <w:rPr>
          <w:rFonts w:cs="Arial"/>
          <w:rtl/>
        </w:rPr>
      </w:pPr>
      <w:r w:rsidRPr="003024E5">
        <w:rPr>
          <w:rFonts w:asciiTheme="minorBidi" w:hAnsiTheme="minorBidi"/>
          <w:b/>
          <w:bCs/>
          <w:color w:val="000000"/>
          <w:sz w:val="28"/>
          <w:szCs w:val="28"/>
          <w:u w:val="single"/>
          <w:rtl/>
        </w:rPr>
        <w:t>שו"ע:</w:t>
      </w:r>
    </w:p>
    <w:p w14:paraId="72DFDAAA" w14:textId="69EF0466" w:rsidR="00471D63" w:rsidRDefault="00471D63" w:rsidP="00471D63">
      <w:pPr>
        <w:rPr>
          <w:rtl/>
        </w:rPr>
      </w:pPr>
      <w:r>
        <w:rPr>
          <w:rFonts w:cs="Arial"/>
          <w:rtl/>
        </w:rPr>
        <w:t>הבא על הפנויה וילדה ממנו, אם הוא מודה שהולד ממנו, חייב לזונו.</w:t>
      </w:r>
    </w:p>
    <w:p w14:paraId="1188A3C9" w14:textId="42000A9F" w:rsidR="00471D63" w:rsidRDefault="00471D63" w:rsidP="00471D63">
      <w:pPr>
        <w:rPr>
          <w:rtl/>
        </w:rPr>
      </w:pPr>
    </w:p>
    <w:p w14:paraId="16A43CDF" w14:textId="35BFF8F3" w:rsidR="00471D63" w:rsidRDefault="00471D63" w:rsidP="00471D63">
      <w:pPr>
        <w:rPr>
          <w:rtl/>
        </w:rPr>
      </w:pPr>
    </w:p>
    <w:p w14:paraId="6BDA863F" w14:textId="77777777" w:rsidR="00471D63" w:rsidRDefault="00471D63" w:rsidP="00471D63">
      <w:pPr>
        <w:pStyle w:val="1"/>
        <w:rPr>
          <w:rtl/>
        </w:rPr>
        <w:sectPr w:rsidR="00471D63" w:rsidSect="00A347B3">
          <w:headerReference w:type="default" r:id="rId14"/>
          <w:footnotePr>
            <w:numRestart w:val="eachSect"/>
          </w:footnotePr>
          <w:pgSz w:w="11906" w:h="16838"/>
          <w:pgMar w:top="720" w:right="1134" w:bottom="720" w:left="1134" w:header="0" w:footer="0" w:gutter="0"/>
          <w:cols w:space="720"/>
          <w:bidi/>
          <w:rtlGutter/>
          <w:docGrid w:linePitch="360"/>
        </w:sectPr>
      </w:pPr>
    </w:p>
    <w:p w14:paraId="13AC5C57" w14:textId="5A0779DA" w:rsidR="00471D63" w:rsidRDefault="00471D63" w:rsidP="00471D63">
      <w:pPr>
        <w:pStyle w:val="1"/>
        <w:rPr>
          <w:rtl/>
        </w:rPr>
      </w:pPr>
      <w:r>
        <w:rPr>
          <w:rFonts w:hint="cs"/>
          <w:rtl/>
        </w:rPr>
        <w:lastRenderedPageBreak/>
        <w:t xml:space="preserve">סימן עב: </w:t>
      </w:r>
      <w:r>
        <w:rPr>
          <w:rtl/>
        </w:rPr>
        <w:t xml:space="preserve">דין המדיר את אשתו מליהנות לו, ובו סעיף אחד. </w:t>
      </w:r>
    </w:p>
    <w:p w14:paraId="757649D2" w14:textId="18DB88AC" w:rsidR="00735976" w:rsidRDefault="00471D63" w:rsidP="000F64D0">
      <w:pPr>
        <w:pStyle w:val="2"/>
        <w:rPr>
          <w:rtl/>
        </w:rPr>
      </w:pPr>
      <w:r>
        <w:rPr>
          <w:rtl/>
        </w:rPr>
        <w:t>סעיף א</w:t>
      </w:r>
    </w:p>
    <w:p w14:paraId="62776649" w14:textId="77777777" w:rsidR="004720D1" w:rsidRDefault="004720D1" w:rsidP="004720D1">
      <w:pPr>
        <w:rPr>
          <w:rFonts w:cs="Arial"/>
          <w:rtl/>
        </w:rPr>
      </w:pPr>
      <w:r w:rsidRPr="00C60E3E">
        <w:rPr>
          <w:rFonts w:cs="Arial"/>
          <w:b/>
          <w:bCs/>
          <w:rtl/>
        </w:rPr>
        <w:t xml:space="preserve">כתובות </w:t>
      </w:r>
      <w:r w:rsidRPr="00C60E3E">
        <w:rPr>
          <w:rFonts w:cs="Arial"/>
          <w:b/>
          <w:bCs/>
          <w:sz w:val="16"/>
          <w:szCs w:val="16"/>
          <w:rtl/>
        </w:rPr>
        <w:t>(</w:t>
      </w:r>
      <w:r w:rsidRPr="00C60E3E">
        <w:rPr>
          <w:rFonts w:cs="Arial" w:hint="cs"/>
          <w:b/>
          <w:bCs/>
          <w:sz w:val="16"/>
          <w:szCs w:val="16"/>
          <w:rtl/>
        </w:rPr>
        <w:t xml:space="preserve">ר"פ המדיר) </w:t>
      </w:r>
      <w:r w:rsidRPr="00C60E3E">
        <w:rPr>
          <w:rFonts w:cs="Arial"/>
          <w:b/>
          <w:bCs/>
          <w:rtl/>
        </w:rPr>
        <w:t>ע</w:t>
      </w:r>
      <w:r w:rsidRPr="00C60E3E">
        <w:rPr>
          <w:rFonts w:cs="Arial" w:hint="cs"/>
          <w:b/>
          <w:bCs/>
          <w:rtl/>
        </w:rPr>
        <w:t xml:space="preserve"> ע"א:</w:t>
      </w:r>
      <w:r>
        <w:rPr>
          <w:rFonts w:cs="Arial"/>
          <w:rtl/>
        </w:rPr>
        <w:t xml:space="preserve"> </w:t>
      </w:r>
      <w:r w:rsidRPr="00C60E3E">
        <w:rPr>
          <w:rFonts w:cs="Arial"/>
          <w:u w:val="double"/>
          <w:rtl/>
        </w:rPr>
        <w:t>מתני'</w:t>
      </w:r>
      <w:r>
        <w:rPr>
          <w:rFonts w:cs="Arial" w:hint="cs"/>
          <w:rtl/>
        </w:rPr>
        <w:t>:</w:t>
      </w:r>
      <w:r w:rsidRPr="00C60E3E">
        <w:rPr>
          <w:rFonts w:cs="Arial"/>
          <w:rtl/>
        </w:rPr>
        <w:t xml:space="preserve"> המדיר את אשתו מליהנות לו, עד ל' יום - יעמיד פרנס, יתר מיכן - יוציא ויתן כתובה</w:t>
      </w:r>
      <w:r>
        <w:rPr>
          <w:rFonts w:cs="Arial" w:hint="cs"/>
          <w:rtl/>
        </w:rPr>
        <w:t xml:space="preserve">...    </w:t>
      </w:r>
      <w:r w:rsidRPr="00C60E3E">
        <w:rPr>
          <w:rFonts w:cs="Arial"/>
          <w:u w:val="double"/>
          <w:rtl/>
        </w:rPr>
        <w:t>גמ'</w:t>
      </w:r>
      <w:r>
        <w:rPr>
          <w:rFonts w:cs="Arial" w:hint="cs"/>
          <w:rtl/>
        </w:rPr>
        <w:t>:</w:t>
      </w:r>
      <w:r w:rsidRPr="00C60E3E">
        <w:rPr>
          <w:rFonts w:cs="Arial"/>
          <w:rtl/>
        </w:rPr>
        <w:t xml:space="preserve"> וכיון דמשועבד לה היכי מצי מדיר לה? כל כמיניה דמפקע לה לשיעבודה? והתנן: קונם שאיני עושה לפיך - אינו צריך להפר; אלמא כיון דמשעבדא ליה - לאו כל כמינה דמפקע ליה לשיעבודיה, הכא נמי כיון דמשועבד לה - לאו כל כמיניה דמפקע לה לשיעבודה!</w:t>
      </w:r>
      <w:r>
        <w:rPr>
          <w:rFonts w:cs="Arial" w:hint="cs"/>
          <w:rtl/>
        </w:rPr>
        <w:t>...</w:t>
      </w:r>
      <w:r w:rsidRPr="00C60E3E">
        <w:rPr>
          <w:rFonts w:cs="Arial"/>
          <w:rtl/>
        </w:rPr>
        <w:t xml:space="preserve"> </w:t>
      </w:r>
      <w:r>
        <w:rPr>
          <w:rFonts w:cs="Arial" w:hint="cs"/>
          <w:sz w:val="14"/>
          <w:szCs w:val="14"/>
          <w:rtl/>
        </w:rPr>
        <w:t>(ע:)</w:t>
      </w:r>
      <w:r w:rsidRPr="00C60E3E">
        <w:rPr>
          <w:rFonts w:cs="Arial"/>
          <w:rtl/>
        </w:rPr>
        <w:t xml:space="preserve"> אלא באומר לה צאי מעשה ידיך במזונותיך. אי הכי, פרנס למה לה? בדלא ספקה. אי בדלא ספקה, הדר קושיין לדוכתיה! </w:t>
      </w:r>
      <w:r w:rsidRPr="003F6FE4">
        <w:rPr>
          <w:rFonts w:cs="Arial"/>
          <w:u w:val="single"/>
          <w:rtl/>
        </w:rPr>
        <w:t>א"ר אשי</w:t>
      </w:r>
      <w:r w:rsidRPr="00C60E3E">
        <w:rPr>
          <w:rFonts w:cs="Arial"/>
          <w:rtl/>
        </w:rPr>
        <w:t>: במספקת לדברים גדולים, ואינה מספקת לדברים קטנים. הני דברים קטנים היכי דמי? אי דרגילה בהו, הא רגילה בהו! ואי לא רגילה בהו, פרנס למה לה? לא צריכא, דרגילה בבית נשא וקא מגלגלא בהדיה, דאמרה ליה: עד האידנא דלא אדרתן גלגילנא בהדך</w:t>
      </w:r>
      <w:r>
        <w:rPr>
          <w:rStyle w:val="a7"/>
          <w:rFonts w:cs="Arial"/>
          <w:rtl/>
        </w:rPr>
        <w:footnoteReference w:id="345"/>
      </w:r>
      <w:r w:rsidRPr="00C60E3E">
        <w:rPr>
          <w:rFonts w:cs="Arial"/>
          <w:rtl/>
        </w:rPr>
        <w:t>, השתא דאדרתן לא מצינא דאיגלגל בהדך. ומאי שנא עד ל' יום? עד ל' יום - לא שמעי בה אינשי ולא זילא בה מילתא, טפי - שמעי בה אינשי וזילא בה מילתא.</w:t>
      </w:r>
      <w:r>
        <w:rPr>
          <w:rFonts w:cs="Arial" w:hint="cs"/>
          <w:rtl/>
        </w:rPr>
        <w:t>..</w:t>
      </w:r>
      <w:r w:rsidRPr="005A5F73">
        <w:rPr>
          <w:rtl/>
        </w:rPr>
        <w:t xml:space="preserve"> </w:t>
      </w:r>
      <w:r w:rsidRPr="005A5F73">
        <w:rPr>
          <w:rFonts w:cs="Arial"/>
          <w:rtl/>
        </w:rPr>
        <w:t xml:space="preserve">עד שלשים יום - יעמיד פרנס. ופרנס לאו שליחותיה קא עביד? </w:t>
      </w:r>
      <w:r w:rsidRPr="005A5F73">
        <w:rPr>
          <w:rFonts w:cs="Arial"/>
          <w:u w:val="single"/>
          <w:rtl/>
        </w:rPr>
        <w:t>אמר רב הונא</w:t>
      </w:r>
      <w:r w:rsidRPr="005A5F73">
        <w:rPr>
          <w:rFonts w:cs="Arial"/>
          <w:rtl/>
        </w:rPr>
        <w:t>: באומר כל הזן אינו מפסיד</w:t>
      </w:r>
      <w:r>
        <w:rPr>
          <w:rStyle w:val="a7"/>
          <w:rFonts w:cs="Arial"/>
          <w:rtl/>
        </w:rPr>
        <w:footnoteReference w:id="346"/>
      </w:r>
      <w:r w:rsidRPr="005A5F73">
        <w:rPr>
          <w:rFonts w:cs="Arial"/>
          <w:rtl/>
        </w:rPr>
        <w:t xml:space="preserve">. וכי אמר הכי לאו שליחותיה קעביד? והתנן: מי שהיה מושלך בבור, ואמר כל השומע קולו יכתוב גט לאשתו - הרי אלו יכתבו ויתנו! הכי השתא, התם קאמר יכתוב, הכא מי קאמר יזון? כל הזן קאמר. </w:t>
      </w:r>
      <w:r w:rsidRPr="005A5F73">
        <w:rPr>
          <w:rFonts w:cs="Arial"/>
          <w:u w:val="single"/>
          <w:rtl/>
        </w:rPr>
        <w:t>והא אמר ר' אמי</w:t>
      </w:r>
      <w:r w:rsidRPr="005A5F73">
        <w:rPr>
          <w:rFonts w:cs="Arial"/>
          <w:rtl/>
        </w:rPr>
        <w:t xml:space="preserve">: בדליקה התירו לומר כל המכבה אינו מפסיד, בדליקה למעוטי מאי? לאו למעוטי כי האי גוונא! לא, למעוטי שאר איסורים דשבת. </w:t>
      </w:r>
      <w:r w:rsidRPr="005A5F73">
        <w:rPr>
          <w:rFonts w:cs="Arial"/>
          <w:u w:val="single"/>
          <w:rtl/>
        </w:rPr>
        <w:t>מתיב רבה</w:t>
      </w:r>
      <w:r w:rsidRPr="005A5F73">
        <w:rPr>
          <w:rFonts w:cs="Arial"/>
          <w:rtl/>
        </w:rPr>
        <w:t>: המודר הנאה מחבירו ואין לו מה יאכל, ילך אצל חנוני הרגיל אצלו ויאמר לו איש פלוני מודר הנאה ממני ואיני יודע מה אעשה לו, הוא נותן לו ובא ונוטל מזה; הכי הוא דשרי, אבל כל הזן אינו מפסיד לא! לא מיבעיא קאמר, לא מיבעיא כל הזן אינו מפסיד דלעלמא קאמר, אבל האי כיון דרגיל אצלו וקאזיל קאמר ליה, כמאן דאמר ליה זיל הב ליה את דמי, קמ"ל.</w:t>
      </w:r>
      <w:r>
        <w:rPr>
          <w:rFonts w:cs="Arial" w:hint="cs"/>
          <w:rtl/>
        </w:rPr>
        <w:t xml:space="preserve">.. </w:t>
      </w:r>
      <w:r>
        <w:rPr>
          <w:rFonts w:cs="Arial" w:hint="cs"/>
          <w:sz w:val="14"/>
          <w:szCs w:val="14"/>
          <w:rtl/>
        </w:rPr>
        <w:t>(עא.)</w:t>
      </w:r>
      <w:r>
        <w:rPr>
          <w:rFonts w:cs="Arial" w:hint="cs"/>
          <w:rtl/>
        </w:rPr>
        <w:t xml:space="preserve"> </w:t>
      </w:r>
      <w:r w:rsidRPr="00650052">
        <w:rPr>
          <w:rFonts w:cs="Arial"/>
          <w:u w:val="single"/>
          <w:rtl/>
        </w:rPr>
        <w:t>אמר רב</w:t>
      </w:r>
      <w:r w:rsidRPr="00650052">
        <w:rPr>
          <w:rFonts w:cs="Arial"/>
          <w:rtl/>
        </w:rPr>
        <w:t>: לא שנו אלא במפרש</w:t>
      </w:r>
      <w:r>
        <w:rPr>
          <w:rStyle w:val="a7"/>
          <w:rFonts w:cs="Arial"/>
          <w:rtl/>
        </w:rPr>
        <w:footnoteReference w:id="347"/>
      </w:r>
      <w:r w:rsidRPr="00650052">
        <w:rPr>
          <w:rFonts w:cs="Arial"/>
          <w:rtl/>
        </w:rPr>
        <w:t>, אבל בסתם - יוציא לאלתר ויתן כתובה</w:t>
      </w:r>
      <w:r>
        <w:rPr>
          <w:rFonts w:cs="Arial" w:hint="cs"/>
          <w:rtl/>
        </w:rPr>
        <w:t>.</w:t>
      </w:r>
      <w:r w:rsidRPr="00650052">
        <w:rPr>
          <w:rFonts w:cs="Arial"/>
          <w:rtl/>
        </w:rPr>
        <w:t xml:space="preserve"> </w:t>
      </w:r>
      <w:r w:rsidRPr="00650052">
        <w:rPr>
          <w:rFonts w:cs="Arial"/>
          <w:u w:val="single"/>
          <w:rtl/>
        </w:rPr>
        <w:t>ושמואל אמר</w:t>
      </w:r>
      <w:r w:rsidRPr="00650052">
        <w:rPr>
          <w:rFonts w:cs="Arial"/>
          <w:rtl/>
        </w:rPr>
        <w:t>: אפילו בסתם - לא יוציא, שמא ימצא פתח לנדרו</w:t>
      </w:r>
      <w:r>
        <w:rPr>
          <w:rStyle w:val="a7"/>
          <w:rFonts w:cs="Arial"/>
          <w:rtl/>
        </w:rPr>
        <w:footnoteReference w:id="348"/>
      </w:r>
      <w:r w:rsidRPr="00650052">
        <w:rPr>
          <w:rFonts w:cs="Arial"/>
          <w:rtl/>
        </w:rPr>
        <w:t>.</w:t>
      </w:r>
    </w:p>
    <w:p w14:paraId="3916EF00" w14:textId="70B2B212" w:rsidR="00735976" w:rsidRPr="004720D1" w:rsidRDefault="004720D1" w:rsidP="00735976">
      <w:pPr>
        <w:rPr>
          <w:b/>
          <w:bCs/>
          <w:u w:val="single"/>
          <w:rtl/>
        </w:rPr>
      </w:pPr>
      <w:r w:rsidRPr="004720D1">
        <w:rPr>
          <w:rFonts w:cs="Arial"/>
          <w:u w:val="single"/>
          <w:rtl/>
        </w:rPr>
        <w:t>המדיר את אשתו מליהנות ממנו</w:t>
      </w:r>
      <w:r w:rsidRPr="004720D1">
        <w:rPr>
          <w:rFonts w:cs="Arial" w:hint="cs"/>
          <w:u w:val="single"/>
          <w:rtl/>
        </w:rPr>
        <w:t xml:space="preserve"> </w:t>
      </w:r>
      <w:r w:rsidR="00F97626">
        <w:rPr>
          <w:rFonts w:cs="Arial"/>
          <w:u w:val="single"/>
          <w:rtl/>
        </w:rPr>
        <w:t>-</w:t>
      </w:r>
      <w:r w:rsidRPr="004720D1">
        <w:rPr>
          <w:rFonts w:cs="Arial" w:hint="cs"/>
          <w:u w:val="single"/>
          <w:rtl/>
        </w:rPr>
        <w:t xml:space="preserve"> האם הנדר חל:</w:t>
      </w:r>
    </w:p>
    <w:p w14:paraId="4FFF1037" w14:textId="34CE6A80" w:rsidR="00D213E4" w:rsidRDefault="00474B1B" w:rsidP="009000E3">
      <w:pPr>
        <w:pStyle w:val="ab"/>
        <w:numPr>
          <w:ilvl w:val="0"/>
          <w:numId w:val="25"/>
        </w:numPr>
        <w:rPr>
          <w:rFonts w:cs="Arial"/>
        </w:rPr>
      </w:pPr>
      <w:r>
        <w:rPr>
          <w:rFonts w:cs="Arial" w:hint="cs"/>
          <w:rtl/>
        </w:rPr>
        <w:t xml:space="preserve">טור- </w:t>
      </w:r>
      <w:r w:rsidRPr="00474B1B">
        <w:rPr>
          <w:rFonts w:cs="Arial"/>
          <w:rtl/>
        </w:rPr>
        <w:t>המדיר את אשתו מליהנות ממנו אין הנדר חל להפקיע מזונותיה</w:t>
      </w:r>
      <w:r w:rsidR="00735976">
        <w:rPr>
          <w:rFonts w:cs="Arial" w:hint="cs"/>
          <w:rtl/>
        </w:rPr>
        <w:t>,</w:t>
      </w:r>
      <w:r w:rsidRPr="00474B1B">
        <w:rPr>
          <w:rFonts w:cs="Arial"/>
          <w:rtl/>
        </w:rPr>
        <w:t xml:space="preserve"> שהרי הוא משועבד לה שאינו יכול להפקיעם</w:t>
      </w:r>
      <w:r w:rsidR="00735976">
        <w:rPr>
          <w:rFonts w:cs="Arial" w:hint="cs"/>
          <w:rtl/>
        </w:rPr>
        <w:t>.</w:t>
      </w:r>
      <w:r w:rsidRPr="00474B1B">
        <w:rPr>
          <w:rFonts w:cs="Arial"/>
          <w:rtl/>
        </w:rPr>
        <w:t xml:space="preserve"> ואם אמר לה צאי מעשה ידיך למזונותיך</w:t>
      </w:r>
      <w:r w:rsidR="002F2D74">
        <w:rPr>
          <w:rFonts w:cs="Arial" w:hint="cs"/>
          <w:rtl/>
        </w:rPr>
        <w:t>,</w:t>
      </w:r>
      <w:r w:rsidRPr="00474B1B">
        <w:rPr>
          <w:rFonts w:cs="Arial"/>
          <w:rtl/>
        </w:rPr>
        <w:t xml:space="preserve"> והיא מספקת לדברים גדולים ולא לדברים קטנים ואותם הדברים קטנים נוהגין בהם בני אביה מפני שהוא עשיר אבל שאר משפחתה שיש להם עושר כמו שיש לבעלה אין נוהגין בהן</w:t>
      </w:r>
      <w:r w:rsidR="002F2D74">
        <w:rPr>
          <w:rFonts w:cs="Arial" w:hint="cs"/>
          <w:rtl/>
        </w:rPr>
        <w:t xml:space="preserve"> -</w:t>
      </w:r>
      <w:r w:rsidRPr="00474B1B">
        <w:rPr>
          <w:rFonts w:cs="Arial"/>
          <w:rtl/>
        </w:rPr>
        <w:t xml:space="preserve"> אז חל הנדר שהרי אינו חייב לה באלו דברים הקטנים כל זמן שהיא עמו</w:t>
      </w:r>
      <w:r w:rsidR="002F2D74">
        <w:rPr>
          <w:rFonts w:cs="Arial" w:hint="cs"/>
          <w:rtl/>
        </w:rPr>
        <w:t>.</w:t>
      </w:r>
      <w:r w:rsidRPr="00474B1B">
        <w:rPr>
          <w:rFonts w:cs="Arial"/>
          <w:rtl/>
        </w:rPr>
        <w:t xml:space="preserve"> אבל משהדירה ואינה עוד עמו</w:t>
      </w:r>
      <w:r w:rsidR="002F2D74">
        <w:rPr>
          <w:rFonts w:cs="Arial" w:hint="cs"/>
          <w:rtl/>
        </w:rPr>
        <w:t>,</w:t>
      </w:r>
      <w:r w:rsidRPr="00474B1B">
        <w:rPr>
          <w:rFonts w:cs="Arial"/>
          <w:rtl/>
        </w:rPr>
        <w:t xml:space="preserve"> צריך להנהיגה בכבוד בית אביה אף באותן הדברים הקטנים</w:t>
      </w:r>
      <w:r w:rsidR="002F2D74">
        <w:rPr>
          <w:rFonts w:cs="Arial" w:hint="cs"/>
          <w:rtl/>
        </w:rPr>
        <w:t>.</w:t>
      </w:r>
      <w:r w:rsidRPr="00474B1B">
        <w:rPr>
          <w:rFonts w:cs="Arial"/>
          <w:rtl/>
        </w:rPr>
        <w:t xml:space="preserve"> לפיכך אם הדירה עד ל' יום יפרנסנה באלו הדברים הקטנים ע"י פרנס שיאמר לו כל הזן אינו מפסיד אבל לא יאמר לו להדיא </w:t>
      </w:r>
      <w:r w:rsidR="002F2D74">
        <w:rPr>
          <w:rFonts w:cs="Arial" w:hint="cs"/>
          <w:rtl/>
        </w:rPr>
        <w:t>'</w:t>
      </w:r>
      <w:r w:rsidRPr="00474B1B">
        <w:rPr>
          <w:rFonts w:cs="Arial"/>
          <w:rtl/>
        </w:rPr>
        <w:t>לך ותזון אותה</w:t>
      </w:r>
      <w:r w:rsidR="002F2D74">
        <w:rPr>
          <w:rFonts w:cs="Arial" w:hint="cs"/>
          <w:rtl/>
        </w:rPr>
        <w:t>'</w:t>
      </w:r>
      <w:r w:rsidRPr="00474B1B">
        <w:rPr>
          <w:rFonts w:cs="Arial"/>
          <w:rtl/>
        </w:rPr>
        <w:t xml:space="preserve"> דא"כ הוה ליה שלוחו</w:t>
      </w:r>
      <w:r w:rsidR="002F2D74">
        <w:rPr>
          <w:rFonts w:cs="Arial" w:hint="cs"/>
          <w:rtl/>
        </w:rPr>
        <w:t>.</w:t>
      </w:r>
      <w:r w:rsidRPr="00474B1B">
        <w:rPr>
          <w:rFonts w:cs="Arial"/>
          <w:rtl/>
        </w:rPr>
        <w:t xml:space="preserve"> וכן אם הדירה סתם או זמן רב</w:t>
      </w:r>
      <w:r w:rsidR="002F2D74">
        <w:rPr>
          <w:rFonts w:cs="Arial" w:hint="cs"/>
          <w:rtl/>
        </w:rPr>
        <w:t>,</w:t>
      </w:r>
      <w:r w:rsidRPr="00474B1B">
        <w:rPr>
          <w:rFonts w:cs="Arial"/>
          <w:rtl/>
        </w:rPr>
        <w:t xml:space="preserve"> יפרנסנה ע"י פרנס ל' יום</w:t>
      </w:r>
      <w:r w:rsidR="002F2D74">
        <w:rPr>
          <w:rFonts w:cs="Arial" w:hint="cs"/>
          <w:rtl/>
        </w:rPr>
        <w:t>,</w:t>
      </w:r>
      <w:r w:rsidRPr="00474B1B">
        <w:rPr>
          <w:rFonts w:cs="Arial"/>
          <w:rtl/>
        </w:rPr>
        <w:t xml:space="preserve"> דשמא בתוך כך יתיר נדרו</w:t>
      </w:r>
      <w:r w:rsidR="002F2D74">
        <w:rPr>
          <w:rFonts w:cs="Arial" w:hint="cs"/>
          <w:rtl/>
        </w:rPr>
        <w:t>.</w:t>
      </w:r>
      <w:r w:rsidRPr="00474B1B">
        <w:rPr>
          <w:rFonts w:cs="Arial"/>
          <w:rtl/>
        </w:rPr>
        <w:t xml:space="preserve"> אחר ל' יום</w:t>
      </w:r>
      <w:r w:rsidR="002F2D74">
        <w:rPr>
          <w:rFonts w:cs="Arial" w:hint="cs"/>
          <w:rtl/>
        </w:rPr>
        <w:t>,</w:t>
      </w:r>
      <w:r w:rsidRPr="00474B1B">
        <w:rPr>
          <w:rFonts w:cs="Arial"/>
          <w:rtl/>
        </w:rPr>
        <w:t xml:space="preserve"> יוציא ויתן כתובה</w:t>
      </w:r>
      <w:r w:rsidR="002F2D74">
        <w:rPr>
          <w:rFonts w:cs="Arial" w:hint="cs"/>
          <w:rtl/>
        </w:rPr>
        <w:t>.</w:t>
      </w:r>
      <w:r w:rsidRPr="00474B1B">
        <w:rPr>
          <w:rFonts w:cs="Arial"/>
          <w:rtl/>
        </w:rPr>
        <w:t xml:space="preserve"> </w:t>
      </w:r>
    </w:p>
    <w:p w14:paraId="6DD87222" w14:textId="798C367A" w:rsidR="00253F29" w:rsidRPr="00253F29" w:rsidRDefault="00253F29" w:rsidP="009000E3">
      <w:pPr>
        <w:pStyle w:val="ab"/>
        <w:numPr>
          <w:ilvl w:val="0"/>
          <w:numId w:val="25"/>
        </w:numPr>
        <w:rPr>
          <w:rFonts w:cs="Arial"/>
        </w:rPr>
      </w:pPr>
      <w:r w:rsidRPr="004720D1">
        <w:rPr>
          <w:rFonts w:cs="Arial"/>
          <w:rtl/>
        </w:rPr>
        <w:t xml:space="preserve">רמב"ם </w:t>
      </w:r>
      <w:r w:rsidRPr="00950B7C">
        <w:rPr>
          <w:rFonts w:cs="Arial" w:hint="cs"/>
          <w:sz w:val="16"/>
          <w:szCs w:val="16"/>
          <w:rtl/>
        </w:rPr>
        <w:t>(</w:t>
      </w:r>
      <w:r w:rsidRPr="00950B7C">
        <w:rPr>
          <w:rFonts w:cs="Arial"/>
          <w:sz w:val="16"/>
          <w:szCs w:val="16"/>
          <w:rtl/>
        </w:rPr>
        <w:t xml:space="preserve">פי"ב </w:t>
      </w:r>
      <w:r w:rsidRPr="00950B7C">
        <w:rPr>
          <w:rFonts w:cs="Arial" w:hint="cs"/>
          <w:sz w:val="16"/>
          <w:szCs w:val="16"/>
          <w:rtl/>
        </w:rPr>
        <w:t>מ</w:t>
      </w:r>
      <w:r w:rsidRPr="00950B7C">
        <w:rPr>
          <w:rFonts w:cs="Arial"/>
          <w:sz w:val="16"/>
          <w:szCs w:val="16"/>
          <w:rtl/>
        </w:rPr>
        <w:t>אישות הכ"ג)</w:t>
      </w:r>
      <w:r>
        <w:rPr>
          <w:rFonts w:cs="Arial" w:hint="cs"/>
          <w:rtl/>
        </w:rPr>
        <w:t>-</w:t>
      </w:r>
      <w:r w:rsidRPr="004720D1">
        <w:rPr>
          <w:rFonts w:cs="Arial"/>
          <w:rtl/>
        </w:rPr>
        <w:t xml:space="preserve"> </w:t>
      </w:r>
      <w:r w:rsidRPr="0000292E">
        <w:rPr>
          <w:rFonts w:cs="Arial"/>
          <w:rtl/>
        </w:rPr>
        <w:t>המדיר את אשתו מליהנות לו</w:t>
      </w:r>
      <w:r w:rsidR="001B79D7">
        <w:rPr>
          <w:rFonts w:cs="Arial" w:hint="cs"/>
          <w:rtl/>
        </w:rPr>
        <w:t>,</w:t>
      </w:r>
      <w:r w:rsidRPr="0000292E">
        <w:rPr>
          <w:rFonts w:cs="Arial"/>
          <w:rtl/>
        </w:rPr>
        <w:t xml:space="preserve"> בין שפירש עד זמן פלוני בין שלא פירש אלא סתם</w:t>
      </w:r>
      <w:r w:rsidR="001B79D7">
        <w:rPr>
          <w:rFonts w:cs="Arial" w:hint="cs"/>
          <w:rtl/>
        </w:rPr>
        <w:t>,</w:t>
      </w:r>
      <w:r w:rsidRPr="0000292E">
        <w:rPr>
          <w:rFonts w:cs="Arial"/>
          <w:rtl/>
        </w:rPr>
        <w:t xml:space="preserve"> ממתינין לו שלשים יום, אם תמו ימי נדרו או שלא תמו והתיר נדרו הרי זה מוטב</w:t>
      </w:r>
      <w:r w:rsidR="001B79D7">
        <w:rPr>
          <w:rFonts w:cs="Arial" w:hint="cs"/>
          <w:rtl/>
        </w:rPr>
        <w:t>,</w:t>
      </w:r>
      <w:r w:rsidRPr="0000292E">
        <w:rPr>
          <w:rFonts w:cs="Arial"/>
          <w:rtl/>
        </w:rPr>
        <w:t xml:space="preserve"> ואם לאו יוציא ויתן כתובה</w:t>
      </w:r>
      <w:r w:rsidR="001B79D7">
        <w:rPr>
          <w:rFonts w:cs="Arial" w:hint="cs"/>
          <w:rtl/>
        </w:rPr>
        <w:t>.</w:t>
      </w:r>
      <w:r w:rsidRPr="0000292E">
        <w:rPr>
          <w:rFonts w:cs="Arial"/>
          <w:rtl/>
        </w:rPr>
        <w:t xml:space="preserve"> ובאותן השלשים יום תהיה היא עושה ואוכלת</w:t>
      </w:r>
      <w:r w:rsidR="002D5EB4">
        <w:rPr>
          <w:rFonts w:cs="Arial" w:hint="cs"/>
          <w:rtl/>
        </w:rPr>
        <w:t>,</w:t>
      </w:r>
      <w:r w:rsidRPr="0000292E">
        <w:rPr>
          <w:rFonts w:cs="Arial"/>
          <w:rtl/>
        </w:rPr>
        <w:t xml:space="preserve"> ויהיה אחד מחביריו מפרנס אותה דברים שהיא צריכה להן יתר על מעשה ידיה אם אין מעשה ידיה מספיקין לכל</w:t>
      </w:r>
      <w:r>
        <w:rPr>
          <w:rStyle w:val="a7"/>
          <w:rFonts w:cs="Arial"/>
          <w:rtl/>
        </w:rPr>
        <w:footnoteReference w:id="349"/>
      </w:r>
      <w:r w:rsidRPr="0000292E">
        <w:rPr>
          <w:rFonts w:cs="Arial"/>
          <w:rtl/>
        </w:rPr>
        <w:t xml:space="preserve">. </w:t>
      </w:r>
    </w:p>
    <w:p w14:paraId="22BA84CC" w14:textId="43FBE306" w:rsidR="00D213E4" w:rsidRPr="00D213E4" w:rsidRDefault="00D213E4" w:rsidP="00D213E4">
      <w:pPr>
        <w:ind w:left="360"/>
        <w:rPr>
          <w:rFonts w:cs="Arial"/>
          <w:u w:val="dotted"/>
        </w:rPr>
      </w:pPr>
      <w:r w:rsidRPr="00D213E4">
        <w:rPr>
          <w:rFonts w:cs="Arial" w:hint="cs"/>
          <w:u w:val="dotted"/>
          <w:rtl/>
        </w:rPr>
        <w:lastRenderedPageBreak/>
        <w:t xml:space="preserve">במקרה שצריך להוציא ולתת כתובה </w:t>
      </w:r>
      <w:r w:rsidR="00DE7D08">
        <w:rPr>
          <w:rFonts w:cs="Arial" w:hint="cs"/>
          <w:u w:val="dotted"/>
          <w:rtl/>
        </w:rPr>
        <w:t>-</w:t>
      </w:r>
      <w:r w:rsidRPr="00D213E4">
        <w:rPr>
          <w:rFonts w:cs="Arial" w:hint="cs"/>
          <w:u w:val="dotted"/>
          <w:rtl/>
        </w:rPr>
        <w:t xml:space="preserve"> האם כופין אותו </w:t>
      </w:r>
      <w:r>
        <w:rPr>
          <w:rFonts w:cs="Arial" w:hint="cs"/>
          <w:u w:val="dotted"/>
          <w:rtl/>
        </w:rPr>
        <w:t>ל</w:t>
      </w:r>
      <w:r w:rsidRPr="00D213E4">
        <w:rPr>
          <w:rFonts w:cs="Arial" w:hint="cs"/>
          <w:u w:val="dotted"/>
          <w:rtl/>
        </w:rPr>
        <w:t>כך:</w:t>
      </w:r>
    </w:p>
    <w:p w14:paraId="0AF676AB" w14:textId="363748BA" w:rsidR="00D213E4" w:rsidRDefault="00D213E4" w:rsidP="009000E3">
      <w:pPr>
        <w:pStyle w:val="ab"/>
        <w:numPr>
          <w:ilvl w:val="0"/>
          <w:numId w:val="25"/>
        </w:numPr>
        <w:rPr>
          <w:rFonts w:cs="Arial"/>
        </w:rPr>
      </w:pPr>
      <w:r w:rsidRPr="00D213E4">
        <w:rPr>
          <w:rFonts w:cs="Arial"/>
          <w:rtl/>
        </w:rPr>
        <w:t xml:space="preserve">ר"י </w:t>
      </w:r>
      <w:r>
        <w:rPr>
          <w:rFonts w:cs="Arial" w:hint="cs"/>
          <w:sz w:val="16"/>
          <w:szCs w:val="16"/>
          <w:rtl/>
        </w:rPr>
        <w:t>(כ"כ התוס' בשמו [ע. ד"ה יוציא ויתן כתובה</w:t>
      </w:r>
      <w:r w:rsidR="004720D1">
        <w:rPr>
          <w:rFonts w:cs="Arial" w:hint="cs"/>
          <w:sz w:val="16"/>
          <w:szCs w:val="16"/>
          <w:rtl/>
        </w:rPr>
        <w:t>]</w:t>
      </w:r>
      <w:r>
        <w:rPr>
          <w:rFonts w:cs="Arial" w:hint="cs"/>
          <w:sz w:val="16"/>
          <w:szCs w:val="16"/>
          <w:rtl/>
        </w:rPr>
        <w:t>)</w:t>
      </w:r>
      <w:r w:rsidR="004720D1">
        <w:rPr>
          <w:rFonts w:cs="Arial" w:hint="cs"/>
          <w:rtl/>
        </w:rPr>
        <w:t xml:space="preserve"> ותוס'</w:t>
      </w:r>
      <w:r w:rsidR="004720D1">
        <w:rPr>
          <w:rFonts w:cs="Arial" w:hint="cs"/>
          <w:sz w:val="16"/>
          <w:szCs w:val="16"/>
          <w:rtl/>
        </w:rPr>
        <w:t xml:space="preserve"> (שם)</w:t>
      </w:r>
      <w:r>
        <w:rPr>
          <w:rFonts w:cs="Arial" w:hint="cs"/>
          <w:rtl/>
        </w:rPr>
        <w:t xml:space="preserve">- </w:t>
      </w:r>
      <w:r w:rsidRPr="00D213E4">
        <w:rPr>
          <w:rFonts w:cs="Arial"/>
          <w:rtl/>
        </w:rPr>
        <w:t>בכל הנך דקתני במתני' יוציא היינו שכופין אותו</w:t>
      </w:r>
      <w:r>
        <w:rPr>
          <w:rFonts w:cs="Arial" w:hint="cs"/>
          <w:rtl/>
        </w:rPr>
        <w:t>,</w:t>
      </w:r>
      <w:r w:rsidRPr="00D213E4">
        <w:rPr>
          <w:rFonts w:cs="Arial"/>
          <w:rtl/>
        </w:rPr>
        <w:t xml:space="preserve"> דכיון דשלא כדין עביד כופין אותו להוציא</w:t>
      </w:r>
      <w:r>
        <w:rPr>
          <w:rStyle w:val="a7"/>
          <w:rFonts w:cs="Arial"/>
          <w:rtl/>
        </w:rPr>
        <w:footnoteReference w:id="350"/>
      </w:r>
      <w:r w:rsidR="004720D1">
        <w:rPr>
          <w:rFonts w:cs="Arial" w:hint="cs"/>
          <w:sz w:val="16"/>
          <w:szCs w:val="16"/>
          <w:rtl/>
        </w:rPr>
        <w:t xml:space="preserve"> (ל' התוס' בשם ר"י)</w:t>
      </w:r>
      <w:r>
        <w:rPr>
          <w:rFonts w:cs="Arial" w:hint="cs"/>
          <w:rtl/>
        </w:rPr>
        <w:t>.</w:t>
      </w:r>
      <w:r w:rsidRPr="00D213E4">
        <w:rPr>
          <w:rFonts w:cs="Arial"/>
          <w:rtl/>
        </w:rPr>
        <w:t xml:space="preserve"> </w:t>
      </w:r>
    </w:p>
    <w:p w14:paraId="6A9457D4" w14:textId="274B21A0" w:rsidR="002F2D74" w:rsidRPr="004720D1" w:rsidRDefault="00F000DB" w:rsidP="009000E3">
      <w:pPr>
        <w:pStyle w:val="ab"/>
        <w:numPr>
          <w:ilvl w:val="0"/>
          <w:numId w:val="25"/>
        </w:numPr>
        <w:rPr>
          <w:rFonts w:cs="Arial"/>
        </w:rPr>
      </w:pPr>
      <w:r>
        <w:rPr>
          <w:rFonts w:cs="Arial" w:hint="cs"/>
          <w:rtl/>
        </w:rPr>
        <w:t>ר"ח</w:t>
      </w:r>
      <w:r w:rsidR="004720D1">
        <w:rPr>
          <w:rFonts w:cs="Arial" w:hint="cs"/>
          <w:rtl/>
        </w:rPr>
        <w:t xml:space="preserve"> </w:t>
      </w:r>
      <w:r w:rsidR="004720D1">
        <w:rPr>
          <w:rFonts w:cs="Arial" w:hint="cs"/>
          <w:sz w:val="16"/>
          <w:szCs w:val="16"/>
          <w:rtl/>
        </w:rPr>
        <w:t>(כ"כ התוס' בשמו [שם])</w:t>
      </w:r>
      <w:r w:rsidR="004720D1">
        <w:rPr>
          <w:rFonts w:cs="Arial" w:hint="cs"/>
          <w:rtl/>
        </w:rPr>
        <w:t xml:space="preserve"> ורא"ש</w:t>
      </w:r>
      <w:r w:rsidR="004720D1">
        <w:rPr>
          <w:rFonts w:cs="Arial" w:hint="cs"/>
          <w:sz w:val="16"/>
          <w:szCs w:val="16"/>
          <w:rtl/>
        </w:rPr>
        <w:t xml:space="preserve"> (</w:t>
      </w:r>
      <w:r w:rsidR="004720D1" w:rsidRPr="004720D1">
        <w:rPr>
          <w:rFonts w:cs="Arial"/>
          <w:sz w:val="16"/>
          <w:szCs w:val="16"/>
          <w:rtl/>
        </w:rPr>
        <w:t>פ</w:t>
      </w:r>
      <w:r w:rsidR="004720D1" w:rsidRPr="004720D1">
        <w:rPr>
          <w:rFonts w:cs="Arial" w:hint="cs"/>
          <w:sz w:val="16"/>
          <w:szCs w:val="16"/>
          <w:rtl/>
        </w:rPr>
        <w:t>'</w:t>
      </w:r>
      <w:r w:rsidR="004720D1" w:rsidRPr="004720D1">
        <w:rPr>
          <w:rFonts w:cs="Arial"/>
          <w:sz w:val="16"/>
          <w:szCs w:val="16"/>
          <w:rtl/>
        </w:rPr>
        <w:t xml:space="preserve"> הבא על יבמתו סי' יא</w:t>
      </w:r>
      <w:r w:rsidR="004720D1">
        <w:rPr>
          <w:rFonts w:cs="Arial" w:hint="cs"/>
          <w:sz w:val="16"/>
          <w:szCs w:val="16"/>
          <w:rtl/>
        </w:rPr>
        <w:t>, וכ"כ הטור בשמו)</w:t>
      </w:r>
      <w:r>
        <w:rPr>
          <w:rFonts w:cs="Arial" w:hint="cs"/>
          <w:rtl/>
        </w:rPr>
        <w:t>-</w:t>
      </w:r>
      <w:r w:rsidR="00D213E4" w:rsidRPr="00D213E4">
        <w:rPr>
          <w:rFonts w:cs="Arial"/>
          <w:rtl/>
        </w:rPr>
        <w:t xml:space="preserve"> כל הנך יוציא דמתניתין אין כופין</w:t>
      </w:r>
      <w:r>
        <w:rPr>
          <w:rFonts w:cs="Arial" w:hint="cs"/>
          <w:rtl/>
        </w:rPr>
        <w:t>,</w:t>
      </w:r>
      <w:r w:rsidRPr="00D213E4">
        <w:rPr>
          <w:rFonts w:cs="Arial"/>
          <w:rtl/>
        </w:rPr>
        <w:t xml:space="preserve"> </w:t>
      </w:r>
      <w:r>
        <w:rPr>
          <w:rFonts w:cs="Arial" w:hint="cs"/>
          <w:rtl/>
        </w:rPr>
        <w:t>דכך משמע ב</w:t>
      </w:r>
      <w:r w:rsidRPr="00D213E4">
        <w:rPr>
          <w:rFonts w:cs="Arial"/>
          <w:rtl/>
        </w:rPr>
        <w:t>ירושלמי</w:t>
      </w:r>
      <w:r>
        <w:rPr>
          <w:rStyle w:val="a7"/>
          <w:rFonts w:cs="Arial"/>
          <w:rtl/>
        </w:rPr>
        <w:footnoteReference w:id="351"/>
      </w:r>
      <w:r>
        <w:rPr>
          <w:rFonts w:cs="Arial" w:hint="cs"/>
          <w:rtl/>
        </w:rPr>
        <w:t xml:space="preserve"> </w:t>
      </w:r>
      <w:r w:rsidRPr="00D213E4">
        <w:rPr>
          <w:rFonts w:cs="Arial"/>
          <w:rtl/>
        </w:rPr>
        <w:t>ד</w:t>
      </w:r>
      <w:r w:rsidR="00D213E4" w:rsidRPr="00D213E4">
        <w:rPr>
          <w:rFonts w:cs="Arial"/>
          <w:rtl/>
        </w:rPr>
        <w:t>אין כופין אלא היכא שמפרש בהדיא כופין</w:t>
      </w:r>
      <w:r>
        <w:rPr>
          <w:rFonts w:cs="Arial" w:hint="cs"/>
          <w:rtl/>
        </w:rPr>
        <w:t>,</w:t>
      </w:r>
      <w:r w:rsidR="00D213E4" w:rsidRPr="00D213E4">
        <w:rPr>
          <w:rFonts w:cs="Arial"/>
          <w:rtl/>
        </w:rPr>
        <w:t xml:space="preserve"> אבל היכא דאמור רבנן יוציא אומרים לו כבר חייבוך חכמים להוציא ואם לא תוציא מותר לקרותך עבריינא</w:t>
      </w:r>
      <w:r>
        <w:rPr>
          <w:rFonts w:cs="Arial" w:hint="cs"/>
          <w:rtl/>
        </w:rPr>
        <w:t>,</w:t>
      </w:r>
      <w:r w:rsidR="00D213E4" w:rsidRPr="00D213E4">
        <w:rPr>
          <w:rFonts w:cs="Arial"/>
          <w:rtl/>
        </w:rPr>
        <w:t xml:space="preserve"> אבל לכפותו לא</w:t>
      </w:r>
      <w:r w:rsidR="004720D1">
        <w:rPr>
          <w:rFonts w:cs="Arial" w:hint="cs"/>
          <w:sz w:val="16"/>
          <w:szCs w:val="16"/>
          <w:rtl/>
        </w:rPr>
        <w:t xml:space="preserve"> (ל' התוס' בשם ר"ח)</w:t>
      </w:r>
      <w:r w:rsidR="004720D1">
        <w:rPr>
          <w:rStyle w:val="a7"/>
          <w:rFonts w:cs="Arial"/>
          <w:rtl/>
        </w:rPr>
        <w:footnoteReference w:id="352"/>
      </w:r>
      <w:r>
        <w:rPr>
          <w:rFonts w:cs="Arial" w:hint="cs"/>
          <w:rtl/>
        </w:rPr>
        <w:t>.</w:t>
      </w:r>
      <w:r w:rsidR="00D213E4" w:rsidRPr="00D213E4">
        <w:rPr>
          <w:rFonts w:cs="Arial"/>
          <w:rtl/>
        </w:rPr>
        <w:t xml:space="preserve"> </w:t>
      </w:r>
    </w:p>
    <w:p w14:paraId="4E56C381" w14:textId="77777777" w:rsidR="00253F29" w:rsidRPr="00253F29" w:rsidRDefault="00253F29" w:rsidP="00253F29">
      <w:pPr>
        <w:rPr>
          <w:rFonts w:cs="Arial"/>
          <w:u w:val="single"/>
        </w:rPr>
      </w:pPr>
      <w:r w:rsidRPr="00253F29">
        <w:rPr>
          <w:rFonts w:cs="Arial" w:hint="cs"/>
          <w:u w:val="single"/>
          <w:rtl/>
        </w:rPr>
        <w:t>המדיר את אשתו מתשמיש:</w:t>
      </w:r>
    </w:p>
    <w:p w14:paraId="719715BC" w14:textId="140B6163" w:rsidR="00253F29" w:rsidRPr="004720D1" w:rsidRDefault="00253F29" w:rsidP="009000E3">
      <w:pPr>
        <w:pStyle w:val="ab"/>
        <w:numPr>
          <w:ilvl w:val="0"/>
          <w:numId w:val="25"/>
        </w:numPr>
        <w:rPr>
          <w:rFonts w:cs="Arial"/>
          <w:rtl/>
        </w:rPr>
      </w:pPr>
      <w:r>
        <w:rPr>
          <w:rFonts w:cs="Arial" w:hint="cs"/>
          <w:rtl/>
        </w:rPr>
        <w:t>הה"מ</w:t>
      </w:r>
      <w:r w:rsidRPr="004720D1">
        <w:rPr>
          <w:rFonts w:cs="Arial"/>
          <w:rtl/>
        </w:rPr>
        <w:t xml:space="preserve"> </w:t>
      </w:r>
      <w:r w:rsidRPr="00253F29">
        <w:rPr>
          <w:rFonts w:cs="Arial"/>
          <w:sz w:val="16"/>
          <w:szCs w:val="16"/>
          <w:rtl/>
        </w:rPr>
        <w:t>(פי"ב הכ"ג)</w:t>
      </w:r>
      <w:r>
        <w:rPr>
          <w:rFonts w:cs="Arial" w:hint="cs"/>
          <w:rtl/>
        </w:rPr>
        <w:t>-</w:t>
      </w:r>
      <w:r w:rsidRPr="004720D1">
        <w:rPr>
          <w:rFonts w:cs="Arial"/>
          <w:rtl/>
        </w:rPr>
        <w:t xml:space="preserve"> דע שדין משנתינו אינו אלא בשלא הדירה אלא מנכסיו</w:t>
      </w:r>
      <w:r w:rsidR="005F6ABE">
        <w:rPr>
          <w:rFonts w:cs="Arial" w:hint="cs"/>
          <w:rtl/>
        </w:rPr>
        <w:t>,</w:t>
      </w:r>
      <w:r w:rsidRPr="004720D1">
        <w:rPr>
          <w:rFonts w:cs="Arial"/>
          <w:rtl/>
        </w:rPr>
        <w:t xml:space="preserve"> אבל אם הדירה אף מתשמיש יתר משבת </w:t>
      </w:r>
      <w:r>
        <w:rPr>
          <w:rFonts w:cs="Arial" w:hint="cs"/>
          <w:rtl/>
        </w:rPr>
        <w:t xml:space="preserve">- </w:t>
      </w:r>
      <w:r w:rsidRPr="004720D1">
        <w:rPr>
          <w:rFonts w:cs="Arial"/>
          <w:rtl/>
        </w:rPr>
        <w:t>יוציא ויתן כתובה</w:t>
      </w:r>
      <w:r>
        <w:rPr>
          <w:rFonts w:cs="Arial" w:hint="cs"/>
          <w:rtl/>
        </w:rPr>
        <w:t>,</w:t>
      </w:r>
      <w:r w:rsidRPr="004720D1">
        <w:rPr>
          <w:rFonts w:cs="Arial"/>
          <w:rtl/>
        </w:rPr>
        <w:t xml:space="preserve"> כמ"ש פי"ד (ה"ו)</w:t>
      </w:r>
      <w:r>
        <w:rPr>
          <w:rFonts w:cs="Arial" w:hint="cs"/>
          <w:rtl/>
        </w:rPr>
        <w:t>.</w:t>
      </w:r>
      <w:r w:rsidRPr="004720D1">
        <w:rPr>
          <w:rFonts w:cs="Arial"/>
          <w:rtl/>
        </w:rPr>
        <w:t xml:space="preserve"> וכ"כ הרשב"א</w:t>
      </w:r>
      <w:r>
        <w:rPr>
          <w:rFonts w:cs="Arial" w:hint="cs"/>
          <w:rtl/>
        </w:rPr>
        <w:t>,</w:t>
      </w:r>
      <w:r w:rsidRPr="004720D1">
        <w:rPr>
          <w:rFonts w:cs="Arial"/>
          <w:rtl/>
        </w:rPr>
        <w:t xml:space="preserve"> וכן נראה דעת הרמב"ן ז"ל</w:t>
      </w:r>
      <w:r>
        <w:rPr>
          <w:rFonts w:cs="Arial" w:hint="cs"/>
          <w:rtl/>
        </w:rPr>
        <w:t>.</w:t>
      </w:r>
    </w:p>
    <w:p w14:paraId="272AA4AE" w14:textId="6A5F0418" w:rsidR="007E6D8B" w:rsidRDefault="00253F29" w:rsidP="0024296F">
      <w:pPr>
        <w:rPr>
          <w:rFonts w:cs="Arial"/>
          <w:rtl/>
        </w:rPr>
      </w:pPr>
      <w:r w:rsidRPr="00C60E3E">
        <w:rPr>
          <w:rFonts w:cs="Arial"/>
          <w:b/>
          <w:bCs/>
          <w:rtl/>
        </w:rPr>
        <w:t xml:space="preserve">כתובות </w:t>
      </w:r>
      <w:r w:rsidRPr="00C60E3E">
        <w:rPr>
          <w:rFonts w:cs="Arial"/>
          <w:b/>
          <w:bCs/>
          <w:sz w:val="16"/>
          <w:szCs w:val="16"/>
          <w:rtl/>
        </w:rPr>
        <w:t>(</w:t>
      </w:r>
      <w:r w:rsidRPr="00C60E3E">
        <w:rPr>
          <w:rFonts w:cs="Arial" w:hint="cs"/>
          <w:b/>
          <w:bCs/>
          <w:sz w:val="16"/>
          <w:szCs w:val="16"/>
          <w:rtl/>
        </w:rPr>
        <w:t xml:space="preserve">ר"פ המדיר) </w:t>
      </w:r>
      <w:r w:rsidRPr="00C60E3E">
        <w:rPr>
          <w:rFonts w:cs="Arial"/>
          <w:b/>
          <w:bCs/>
          <w:rtl/>
        </w:rPr>
        <w:t>ע</w:t>
      </w:r>
      <w:r w:rsidRPr="00C60E3E">
        <w:rPr>
          <w:rFonts w:cs="Arial" w:hint="cs"/>
          <w:b/>
          <w:bCs/>
          <w:rtl/>
        </w:rPr>
        <w:t xml:space="preserve"> ע"א:</w:t>
      </w:r>
      <w:r>
        <w:rPr>
          <w:rFonts w:cs="Arial"/>
          <w:rtl/>
        </w:rPr>
        <w:t xml:space="preserve"> </w:t>
      </w:r>
      <w:r w:rsidRPr="00C60E3E">
        <w:rPr>
          <w:rFonts w:cs="Arial"/>
          <w:u w:val="double"/>
          <w:rtl/>
        </w:rPr>
        <w:t>מתני'</w:t>
      </w:r>
      <w:r>
        <w:rPr>
          <w:rFonts w:cs="Arial" w:hint="cs"/>
          <w:rtl/>
        </w:rPr>
        <w:t>:...</w:t>
      </w:r>
      <w:r w:rsidRPr="00C60E3E">
        <w:rPr>
          <w:rFonts w:cs="Arial"/>
          <w:rtl/>
        </w:rPr>
        <w:t xml:space="preserve"> </w:t>
      </w:r>
      <w:r w:rsidRPr="00253F29">
        <w:rPr>
          <w:rFonts w:cs="Arial"/>
          <w:rtl/>
        </w:rPr>
        <w:t>המדיר את אשתו שלא תטעום אחד מכל הפירות - יוציא ויתן כתובה</w:t>
      </w:r>
      <w:r>
        <w:rPr>
          <w:rFonts w:cs="Arial" w:hint="cs"/>
          <w:rtl/>
        </w:rPr>
        <w:t>.</w:t>
      </w:r>
      <w:r w:rsidR="00B83A11">
        <w:rPr>
          <w:rFonts w:cs="Arial" w:hint="cs"/>
          <w:rtl/>
        </w:rPr>
        <w:t>..</w:t>
      </w:r>
      <w:r w:rsidR="003345BA">
        <w:rPr>
          <w:rFonts w:cs="Arial" w:hint="cs"/>
          <w:rtl/>
        </w:rPr>
        <w:t xml:space="preserve"> </w:t>
      </w:r>
      <w:r w:rsidR="003345BA" w:rsidRPr="003345BA">
        <w:rPr>
          <w:rFonts w:cs="Arial"/>
          <w:rtl/>
        </w:rPr>
        <w:t>המדיר את אשתו שלא תתקשט באחד מכל המינין - יוציא ויתן כתובה</w:t>
      </w:r>
      <w:r w:rsidR="003345BA">
        <w:rPr>
          <w:rFonts w:cs="Arial" w:hint="cs"/>
          <w:rtl/>
        </w:rPr>
        <w:t>.</w:t>
      </w:r>
      <w:r w:rsidR="003345BA" w:rsidRPr="003345BA">
        <w:rPr>
          <w:rFonts w:cs="Arial"/>
          <w:rtl/>
        </w:rPr>
        <w:t xml:space="preserve"> </w:t>
      </w:r>
      <w:r w:rsidR="003345BA" w:rsidRPr="003345BA">
        <w:rPr>
          <w:rFonts w:cs="Arial"/>
          <w:u w:val="single"/>
          <w:rtl/>
        </w:rPr>
        <w:t>ר' יוסי אומר</w:t>
      </w:r>
      <w:r w:rsidR="003345BA" w:rsidRPr="003345BA">
        <w:rPr>
          <w:rFonts w:cs="Arial"/>
          <w:rtl/>
        </w:rPr>
        <w:t>: בעניות - שלא נתן קצבה</w:t>
      </w:r>
      <w:r w:rsidR="007E6D8B">
        <w:rPr>
          <w:rStyle w:val="a7"/>
          <w:rFonts w:cs="Arial"/>
          <w:rtl/>
        </w:rPr>
        <w:footnoteReference w:id="353"/>
      </w:r>
      <w:r w:rsidR="003345BA" w:rsidRPr="003345BA">
        <w:rPr>
          <w:rFonts w:cs="Arial"/>
          <w:rtl/>
        </w:rPr>
        <w:t>, ובעשירות - שלשים יום.</w:t>
      </w:r>
      <w:r w:rsidR="00B83A11">
        <w:rPr>
          <w:rFonts w:cs="Arial" w:hint="cs"/>
          <w:rtl/>
        </w:rPr>
        <w:t xml:space="preserve">    </w:t>
      </w:r>
      <w:r w:rsidRPr="00253F29">
        <w:rPr>
          <w:rtl/>
        </w:rPr>
        <w:t xml:space="preserve"> </w:t>
      </w:r>
      <w:r w:rsidRPr="00C60E3E">
        <w:rPr>
          <w:rFonts w:cs="Arial"/>
          <w:u w:val="double"/>
          <w:rtl/>
        </w:rPr>
        <w:t>גמ'</w:t>
      </w:r>
      <w:r>
        <w:rPr>
          <w:rFonts w:cs="Arial" w:hint="cs"/>
          <w:sz w:val="14"/>
          <w:szCs w:val="14"/>
          <w:u w:val="double"/>
          <w:rtl/>
        </w:rPr>
        <w:t>(עא.)</w:t>
      </w:r>
      <w:r>
        <w:rPr>
          <w:rFonts w:cs="Arial" w:hint="cs"/>
          <w:u w:val="double"/>
          <w:rtl/>
        </w:rPr>
        <w:t>:</w:t>
      </w:r>
      <w:r>
        <w:rPr>
          <w:rFonts w:cs="Arial" w:hint="cs"/>
          <w:rtl/>
        </w:rPr>
        <w:t xml:space="preserve"> </w:t>
      </w:r>
      <w:r w:rsidRPr="00253F29">
        <w:rPr>
          <w:rFonts w:cs="Arial"/>
          <w:rtl/>
        </w:rPr>
        <w:t>תנן: המדיר את אשתו שלא תטעום אחד מכל הפירות - יוציא ויתן כתובה</w:t>
      </w:r>
      <w:r w:rsidR="00B83A11">
        <w:rPr>
          <w:rStyle w:val="a7"/>
          <w:rFonts w:cs="Arial"/>
          <w:rtl/>
        </w:rPr>
        <w:footnoteReference w:id="354"/>
      </w:r>
      <w:r w:rsidR="00B83A11">
        <w:rPr>
          <w:rFonts w:cs="Arial" w:hint="cs"/>
          <w:rtl/>
        </w:rPr>
        <w:t>.</w:t>
      </w:r>
      <w:r w:rsidRPr="00253F29">
        <w:rPr>
          <w:rFonts w:cs="Arial"/>
          <w:rtl/>
        </w:rPr>
        <w:t xml:space="preserve"> בשלמא לרב - כאן בסתם, כאן במפרש, אלא לשמואל קשיא! הכא במאי עסקינן - כגון שנדרה היא</w:t>
      </w:r>
      <w:r w:rsidR="00B83A11">
        <w:rPr>
          <w:rStyle w:val="a7"/>
          <w:rFonts w:cs="Arial"/>
          <w:rtl/>
        </w:rPr>
        <w:footnoteReference w:id="355"/>
      </w:r>
      <w:r w:rsidRPr="00253F29">
        <w:rPr>
          <w:rFonts w:cs="Arial"/>
          <w:rtl/>
        </w:rPr>
        <w:t xml:space="preserve"> וקיים לה איהו</w:t>
      </w:r>
      <w:r w:rsidR="00640616">
        <w:rPr>
          <w:rFonts w:cs="Arial" w:hint="cs"/>
          <w:rtl/>
        </w:rPr>
        <w:t>, וקסבר ר"מ:</w:t>
      </w:r>
      <w:r w:rsidR="003345BA">
        <w:rPr>
          <w:rFonts w:cs="Arial" w:hint="cs"/>
          <w:rtl/>
        </w:rPr>
        <w:t xml:space="preserve"> </w:t>
      </w:r>
      <w:r w:rsidRPr="00253F29">
        <w:rPr>
          <w:rFonts w:cs="Arial"/>
          <w:rtl/>
        </w:rPr>
        <w:t>הוא</w:t>
      </w:r>
      <w:r w:rsidR="00B83A11">
        <w:rPr>
          <w:rStyle w:val="a7"/>
          <w:rFonts w:cs="Arial"/>
          <w:rtl/>
        </w:rPr>
        <w:footnoteReference w:id="356"/>
      </w:r>
      <w:r w:rsidRPr="00253F29">
        <w:rPr>
          <w:rFonts w:cs="Arial"/>
          <w:rtl/>
        </w:rPr>
        <w:t xml:space="preserve"> נותן אצבע בין שיניה.</w:t>
      </w:r>
      <w:r w:rsidR="00640616" w:rsidRPr="00640616">
        <w:rPr>
          <w:rtl/>
        </w:rPr>
        <w:t xml:space="preserve"> </w:t>
      </w:r>
      <w:r w:rsidR="00640616" w:rsidRPr="00640616">
        <w:rPr>
          <w:rFonts w:cs="Arial"/>
          <w:rtl/>
        </w:rPr>
        <w:t>וסבר רבי מאיר הוא נותן אצבע בין שיניה? והתניא: האשה שנדרה בנזיר, ושמע בעלה ולא הפר לה, רבי מאיר ורבי יהודה אומרים: היא נתנה אצבע בין שיניה, לפיכך אם רצה הבעל להפר - יפר, ואם אמר אי אפשי באשה נדרנית - תצא שלא בכתובה; רבי יוסי ורבי אלעזר אומרים: הוא נותן אצבע בין שיניה, לפיכך אם רצה הבעל להפר - יפר, ואם אמר אי אפשי באשה נדרנית - יוציא ויתן כתובה!</w:t>
      </w:r>
      <w:r w:rsidR="00560D36">
        <w:rPr>
          <w:rFonts w:cs="Arial" w:hint="cs"/>
          <w:rtl/>
        </w:rPr>
        <w:t>..</w:t>
      </w:r>
      <w:r w:rsidR="00640616">
        <w:rPr>
          <w:rFonts w:hint="cs"/>
          <w:rtl/>
        </w:rPr>
        <w:t>.</w:t>
      </w:r>
      <w:r w:rsidR="00640616" w:rsidRPr="00640616">
        <w:rPr>
          <w:rtl/>
        </w:rPr>
        <w:t xml:space="preserve"> </w:t>
      </w:r>
      <w:r w:rsidR="00640616" w:rsidRPr="00640616">
        <w:rPr>
          <w:rFonts w:cs="Arial"/>
          <w:rtl/>
        </w:rPr>
        <w:t>אימא, רבי מאיר ורבי אלעזר אומרים: היא נתנה, רבי יהודה ורבי יוסי אומרים: הוא נותן, והא סתמא דלא כרבי מאיר.</w:t>
      </w:r>
      <w:r w:rsidR="00560D36" w:rsidRPr="00560D36">
        <w:rPr>
          <w:rtl/>
        </w:rPr>
        <w:t xml:space="preserve"> </w:t>
      </w:r>
      <w:r w:rsidR="00560D36" w:rsidRPr="00560D36">
        <w:rPr>
          <w:rFonts w:cs="Arial"/>
          <w:rtl/>
        </w:rPr>
        <w:t>וסבר רבי יוסי בעניות שלא נתן קצבה</w:t>
      </w:r>
      <w:r w:rsidR="00560D36">
        <w:rPr>
          <w:rStyle w:val="a7"/>
          <w:rFonts w:cs="Arial"/>
          <w:rtl/>
        </w:rPr>
        <w:footnoteReference w:id="357"/>
      </w:r>
      <w:r w:rsidR="003345BA">
        <w:rPr>
          <w:rFonts w:cs="Arial" w:hint="cs"/>
          <w:rtl/>
        </w:rPr>
        <w:t xml:space="preserve"> -</w:t>
      </w:r>
      <w:r w:rsidR="00560D36" w:rsidRPr="00560D36">
        <w:rPr>
          <w:rFonts w:cs="Arial"/>
          <w:rtl/>
        </w:rPr>
        <w:t xml:space="preserve"> אלמא בעל מצי מיפר</w:t>
      </w:r>
      <w:r w:rsidR="00560D36">
        <w:rPr>
          <w:rStyle w:val="a7"/>
          <w:rFonts w:cs="Arial"/>
          <w:rtl/>
        </w:rPr>
        <w:footnoteReference w:id="358"/>
      </w:r>
      <w:r w:rsidR="00560D36">
        <w:rPr>
          <w:rFonts w:cs="Arial" w:hint="cs"/>
          <w:rtl/>
        </w:rPr>
        <w:t>.</w:t>
      </w:r>
      <w:r w:rsidR="00560D36" w:rsidRPr="00560D36">
        <w:rPr>
          <w:rFonts w:cs="Arial"/>
          <w:rtl/>
        </w:rPr>
        <w:t xml:space="preserve"> ורמינהו: אלו דברים שהבעל מיפר, דברים שיש בהן עינוי נפש: אם ארחץ אם לא ארחץ, אם אתקשט אם לא אתקשט; </w:t>
      </w:r>
      <w:r w:rsidR="00560D36" w:rsidRPr="008325FE">
        <w:rPr>
          <w:rFonts w:cs="Arial"/>
          <w:u w:val="single"/>
          <w:rtl/>
        </w:rPr>
        <w:t>אמר רבי יוסי</w:t>
      </w:r>
      <w:r w:rsidR="00560D36" w:rsidRPr="00560D36">
        <w:rPr>
          <w:rFonts w:cs="Arial"/>
          <w:rtl/>
        </w:rPr>
        <w:t>: אין אלו נדרי עינוי נפש, ואלו הן נדרי עינוי נפש: שלא אוכל בשר, ושלא אשתה יין, ושלא אתקשט</w:t>
      </w:r>
      <w:r w:rsidR="00560D36">
        <w:rPr>
          <w:rFonts w:cs="Arial" w:hint="cs"/>
          <w:sz w:val="14"/>
          <w:szCs w:val="14"/>
          <w:rtl/>
        </w:rPr>
        <w:t xml:space="preserve"> (עא:)</w:t>
      </w:r>
      <w:r w:rsidR="00560D36">
        <w:rPr>
          <w:rFonts w:cs="Arial" w:hint="cs"/>
          <w:rtl/>
        </w:rPr>
        <w:t xml:space="preserve"> </w:t>
      </w:r>
      <w:r w:rsidR="00560D36" w:rsidRPr="00560D36">
        <w:rPr>
          <w:rFonts w:cs="Arial"/>
          <w:rtl/>
        </w:rPr>
        <w:t>בבגדי צבעונין! הכא במאי עסקינן - בדברים שבינו לבינה. הניחא למ"ד דברים שבינו לבינה הבעל מיפר, אלא למ"ד אין הבעל מיפר, מאי איכא למימר? דאתמר: דברים שבינו לבינה - רב הונא אמר: הבעל מיפר, רב אדא בר אהבה אמר: אין הבעל מיפר, שלא מצינו שועל שמת בעפר פיר! אלא הכא במאי עסקינן - כגון דתלינהו לקישוטיה בתשמיש המטה, דאמרה יאסר הנאת תשמישך עלי אם אתקשט</w:t>
      </w:r>
      <w:r w:rsidR="003345BA">
        <w:rPr>
          <w:rFonts w:cs="Arial" w:hint="cs"/>
          <w:rtl/>
        </w:rPr>
        <w:t>.</w:t>
      </w:r>
      <w:r w:rsidR="00560D36" w:rsidRPr="00560D36">
        <w:rPr>
          <w:rFonts w:cs="Arial"/>
          <w:rtl/>
        </w:rPr>
        <w:t xml:space="preserve"> כדאמר רב כהנא, דאמר רב כהנא: הנאת תשמישי עליך - כופה ומשמשתו, הנאת תשמישך עלי - יפר, לפי שאין מאכילין לאדם דבר האסור לו. ולא </w:t>
      </w:r>
      <w:r w:rsidR="00560D36" w:rsidRPr="00560D36">
        <w:rPr>
          <w:rFonts w:cs="Arial"/>
          <w:rtl/>
        </w:rPr>
        <w:lastRenderedPageBreak/>
        <w:t>תתקשט ולא תאסר! אם כן, קרו לה מנוולת. ותתקשט ותאסר, אי לב"ש שתי שבתות, אי לבית הלל שבת אחת! הני מילי היכא דאדרה איהו, דסברה: מירתח רתח עילואי והשתא מותיב דעתיה, אבל הכא דנדרה איהי ושתיק לה, סברה: מדאישתק, מיסנא הוא דסני לי</w:t>
      </w:r>
      <w:r w:rsidR="003345BA">
        <w:rPr>
          <w:rStyle w:val="a7"/>
          <w:rFonts w:cs="Arial"/>
          <w:rtl/>
        </w:rPr>
        <w:footnoteReference w:id="359"/>
      </w:r>
      <w:r w:rsidR="00560D36" w:rsidRPr="00560D36">
        <w:rPr>
          <w:rFonts w:cs="Arial"/>
          <w:rtl/>
        </w:rPr>
        <w:t>.</w:t>
      </w:r>
    </w:p>
    <w:p w14:paraId="5A2CEB21" w14:textId="65B35C5E" w:rsidR="0024296F" w:rsidRPr="0024296F" w:rsidRDefault="0024296F" w:rsidP="0024296F">
      <w:pPr>
        <w:rPr>
          <w:rFonts w:cs="Arial"/>
          <w:u w:val="single"/>
        </w:rPr>
      </w:pPr>
      <w:r w:rsidRPr="0024296F">
        <w:rPr>
          <w:rFonts w:cs="Arial" w:hint="cs"/>
          <w:u w:val="single"/>
          <w:rtl/>
        </w:rPr>
        <w:t>הדירה מלאכול פרי מסויים:</w:t>
      </w:r>
    </w:p>
    <w:p w14:paraId="2594D1B5" w14:textId="29ED7852" w:rsidR="007E6D8B" w:rsidRDefault="00C60E3E" w:rsidP="009000E3">
      <w:pPr>
        <w:pStyle w:val="ab"/>
        <w:numPr>
          <w:ilvl w:val="0"/>
          <w:numId w:val="25"/>
        </w:numPr>
        <w:rPr>
          <w:rFonts w:cs="Arial"/>
        </w:rPr>
      </w:pPr>
      <w:r>
        <w:rPr>
          <w:rFonts w:cs="Arial" w:hint="cs"/>
          <w:rtl/>
        </w:rPr>
        <w:t xml:space="preserve">טור- </w:t>
      </w:r>
      <w:r w:rsidR="00474B1B" w:rsidRPr="00474B1B">
        <w:rPr>
          <w:rFonts w:cs="Arial"/>
          <w:rtl/>
        </w:rPr>
        <w:t>נדרה שלא תטעום א' מן המינים</w:t>
      </w:r>
      <w:r w:rsidR="00500D0A">
        <w:rPr>
          <w:rFonts w:cs="Arial" w:hint="cs"/>
          <w:rtl/>
        </w:rPr>
        <w:t>,</w:t>
      </w:r>
      <w:r w:rsidR="00474B1B" w:rsidRPr="00474B1B">
        <w:rPr>
          <w:rFonts w:cs="Arial"/>
          <w:rtl/>
        </w:rPr>
        <w:t xml:space="preserve"> וקיים לה הוא</w:t>
      </w:r>
      <w:r w:rsidR="00603384">
        <w:rPr>
          <w:rStyle w:val="a7"/>
          <w:rFonts w:cs="Arial"/>
          <w:rtl/>
        </w:rPr>
        <w:footnoteReference w:id="360"/>
      </w:r>
      <w:r w:rsidR="00775DDF">
        <w:rPr>
          <w:rFonts w:cs="Arial" w:hint="cs"/>
          <w:rtl/>
        </w:rPr>
        <w:t>,</w:t>
      </w:r>
      <w:r w:rsidR="00474B1B" w:rsidRPr="00474B1B">
        <w:rPr>
          <w:rFonts w:cs="Arial"/>
          <w:rtl/>
        </w:rPr>
        <w:t xml:space="preserve"> או שאמרה לו הנאת תשמישך עלי אם אוכלנו</w:t>
      </w:r>
      <w:r w:rsidR="00500D0A">
        <w:rPr>
          <w:rFonts w:cs="Arial" w:hint="cs"/>
          <w:rtl/>
        </w:rPr>
        <w:t>,</w:t>
      </w:r>
      <w:r w:rsidR="00474B1B" w:rsidRPr="00474B1B">
        <w:rPr>
          <w:rFonts w:cs="Arial"/>
          <w:rtl/>
        </w:rPr>
        <w:t xml:space="preserve"> אפי' הוא רע ולא טעמה אותו מעולם</w:t>
      </w:r>
      <w:r w:rsidR="003B770D">
        <w:rPr>
          <w:rStyle w:val="a7"/>
          <w:rFonts w:cs="Arial"/>
          <w:rtl/>
        </w:rPr>
        <w:footnoteReference w:id="361"/>
      </w:r>
      <w:r w:rsidR="00500D0A">
        <w:rPr>
          <w:rFonts w:cs="Arial" w:hint="cs"/>
          <w:rtl/>
        </w:rPr>
        <w:t xml:space="preserve"> -</w:t>
      </w:r>
      <w:r w:rsidR="00474B1B" w:rsidRPr="00474B1B">
        <w:rPr>
          <w:rFonts w:cs="Arial"/>
          <w:rtl/>
        </w:rPr>
        <w:t xml:space="preserve"> יוציא מיד ויתן כתובה</w:t>
      </w:r>
      <w:r w:rsidR="00500D0A">
        <w:rPr>
          <w:rFonts w:cs="Arial" w:hint="cs"/>
          <w:rtl/>
        </w:rPr>
        <w:t>.</w:t>
      </w:r>
      <w:r w:rsidR="00474B1B" w:rsidRPr="00474B1B">
        <w:rPr>
          <w:rFonts w:cs="Arial"/>
          <w:rtl/>
        </w:rPr>
        <w:t xml:space="preserve"> ואם הוא הדירה שאמר לה הנאת תשמישך עלי אם תטעום מאותו המין</w:t>
      </w:r>
      <w:r w:rsidR="00500D0A">
        <w:rPr>
          <w:rFonts w:cs="Arial" w:hint="cs"/>
          <w:rtl/>
        </w:rPr>
        <w:t xml:space="preserve"> -</w:t>
      </w:r>
      <w:r w:rsidR="00474B1B" w:rsidRPr="00474B1B">
        <w:rPr>
          <w:rFonts w:cs="Arial"/>
          <w:rtl/>
        </w:rPr>
        <w:t xml:space="preserve"> יקיים ז' ימים ואז יוציא ויתן כתובה</w:t>
      </w:r>
      <w:r w:rsidR="00500D0A">
        <w:rPr>
          <w:rFonts w:cs="Arial" w:hint="cs"/>
          <w:rtl/>
        </w:rPr>
        <w:t>.</w:t>
      </w:r>
      <w:r w:rsidR="00474B1B" w:rsidRPr="00474B1B">
        <w:rPr>
          <w:rFonts w:cs="Arial"/>
          <w:rtl/>
        </w:rPr>
        <w:t xml:space="preserve"> </w:t>
      </w:r>
    </w:p>
    <w:p w14:paraId="04EF2E93" w14:textId="06BFC0B9" w:rsidR="007E6D8B" w:rsidRPr="007E6D8B" w:rsidRDefault="007E6D8B" w:rsidP="007E6D8B">
      <w:pPr>
        <w:ind w:left="360"/>
        <w:rPr>
          <w:rFonts w:cs="Arial"/>
          <w:u w:val="dotted"/>
        </w:rPr>
      </w:pPr>
      <w:r w:rsidRPr="007E6D8B">
        <w:rPr>
          <w:rFonts w:cs="Arial"/>
          <w:u w:val="dotted"/>
          <w:rtl/>
        </w:rPr>
        <w:t xml:space="preserve">בנדרה היא וקיים לה הוא </w:t>
      </w:r>
      <w:r w:rsidR="00FC0F10">
        <w:rPr>
          <w:rFonts w:cs="Arial" w:hint="cs"/>
          <w:u w:val="dotted"/>
          <w:rtl/>
        </w:rPr>
        <w:t>-</w:t>
      </w:r>
      <w:r w:rsidRPr="007E6D8B">
        <w:rPr>
          <w:rFonts w:cs="Arial" w:hint="cs"/>
          <w:u w:val="dotted"/>
          <w:rtl/>
        </w:rPr>
        <w:t xml:space="preserve"> מה הדין </w:t>
      </w:r>
      <w:r w:rsidRPr="007E6D8B">
        <w:rPr>
          <w:rFonts w:cs="Arial"/>
          <w:u w:val="dotted"/>
          <w:rtl/>
        </w:rPr>
        <w:t>אם רוצה לישב עמו ולא תאכל מאות</w:t>
      </w:r>
      <w:r>
        <w:rPr>
          <w:rFonts w:cs="Arial" w:hint="cs"/>
          <w:u w:val="dotted"/>
          <w:rtl/>
        </w:rPr>
        <w:t>ו</w:t>
      </w:r>
      <w:r w:rsidRPr="007E6D8B">
        <w:rPr>
          <w:rFonts w:cs="Arial"/>
          <w:u w:val="dotted"/>
          <w:rtl/>
        </w:rPr>
        <w:t xml:space="preserve"> המין</w:t>
      </w:r>
      <w:r w:rsidRPr="007E6D8B">
        <w:rPr>
          <w:rFonts w:cs="Arial" w:hint="cs"/>
          <w:u w:val="dotted"/>
          <w:rtl/>
        </w:rPr>
        <w:t>:</w:t>
      </w:r>
    </w:p>
    <w:p w14:paraId="5A6D5773" w14:textId="4CE936F0" w:rsidR="007E6D8B" w:rsidRDefault="00474B1B" w:rsidP="009000E3">
      <w:pPr>
        <w:pStyle w:val="ab"/>
        <w:numPr>
          <w:ilvl w:val="0"/>
          <w:numId w:val="25"/>
        </w:numPr>
        <w:rPr>
          <w:rFonts w:cs="Arial"/>
        </w:rPr>
      </w:pPr>
      <w:r w:rsidRPr="00474B1B">
        <w:rPr>
          <w:rFonts w:cs="Arial"/>
          <w:rtl/>
        </w:rPr>
        <w:t>רמב"ם</w:t>
      </w:r>
      <w:r w:rsidR="00603384">
        <w:rPr>
          <w:rFonts w:cs="Arial" w:hint="cs"/>
          <w:sz w:val="16"/>
          <w:szCs w:val="16"/>
          <w:rtl/>
        </w:rPr>
        <w:t xml:space="preserve"> (פי"ב הכ"ד)</w:t>
      </w:r>
      <w:r w:rsidRPr="00474B1B">
        <w:rPr>
          <w:rFonts w:cs="Arial"/>
          <w:rtl/>
        </w:rPr>
        <w:t xml:space="preserve"> </w:t>
      </w:r>
      <w:r w:rsidR="007E6D8B">
        <w:rPr>
          <w:rFonts w:cs="Arial" w:hint="cs"/>
          <w:rtl/>
        </w:rPr>
        <w:t xml:space="preserve">וטור- </w:t>
      </w:r>
      <w:r w:rsidR="00603384" w:rsidRPr="00603384">
        <w:rPr>
          <w:rFonts w:cs="Arial"/>
          <w:rtl/>
        </w:rPr>
        <w:t>נדרה היא שלא תאכל אחד מכל הפירות וקיים לה הוא את נדרה</w:t>
      </w:r>
      <w:r w:rsidR="00603384">
        <w:rPr>
          <w:rFonts w:cs="Arial" w:hint="cs"/>
          <w:rtl/>
        </w:rPr>
        <w:t>,</w:t>
      </w:r>
      <w:r w:rsidR="00603384" w:rsidRPr="00603384">
        <w:rPr>
          <w:rFonts w:cs="Arial"/>
          <w:rtl/>
        </w:rPr>
        <w:t xml:space="preserve"> או שנדרה בנזיר ולא הפר לה, אם רצה שתשב תחתיו ולא תאכל פירות או תהיה נזירה </w:t>
      </w:r>
      <w:r w:rsidR="00603384">
        <w:rPr>
          <w:rFonts w:cs="Arial" w:hint="cs"/>
          <w:rtl/>
        </w:rPr>
        <w:t xml:space="preserve">- </w:t>
      </w:r>
      <w:r w:rsidR="00603384" w:rsidRPr="00603384">
        <w:rPr>
          <w:rFonts w:cs="Arial"/>
          <w:rtl/>
        </w:rPr>
        <w:t>תשב</w:t>
      </w:r>
      <w:r w:rsidR="00603384">
        <w:rPr>
          <w:rStyle w:val="a7"/>
          <w:rFonts w:cs="Arial"/>
          <w:rtl/>
        </w:rPr>
        <w:footnoteReference w:id="362"/>
      </w:r>
      <w:r w:rsidR="00603384" w:rsidRPr="00603384">
        <w:rPr>
          <w:rFonts w:cs="Arial"/>
          <w:rtl/>
        </w:rPr>
        <w:t xml:space="preserve">, ואם אמר איני רוצה באשה נדרנית </w:t>
      </w:r>
      <w:r w:rsidR="00603384">
        <w:rPr>
          <w:rFonts w:cs="Arial" w:hint="cs"/>
          <w:rtl/>
        </w:rPr>
        <w:t xml:space="preserve">- </w:t>
      </w:r>
      <w:r w:rsidR="00603384" w:rsidRPr="00603384">
        <w:rPr>
          <w:rFonts w:cs="Arial"/>
          <w:rtl/>
        </w:rPr>
        <w:t>יוציא ויתן כתובה</w:t>
      </w:r>
      <w:r w:rsidR="00603384">
        <w:rPr>
          <w:rFonts w:cs="Arial" w:hint="cs"/>
          <w:rtl/>
        </w:rPr>
        <w:t>,</w:t>
      </w:r>
      <w:r w:rsidR="00603384" w:rsidRPr="00603384">
        <w:rPr>
          <w:rFonts w:cs="Arial"/>
          <w:rtl/>
        </w:rPr>
        <w:t xml:space="preserve"> שהרי היה בידו להפר והוא קיים לה ברצונו</w:t>
      </w:r>
      <w:r w:rsidR="00603384">
        <w:rPr>
          <w:rFonts w:cs="Arial" w:hint="cs"/>
          <w:sz w:val="16"/>
          <w:szCs w:val="16"/>
          <w:rtl/>
        </w:rPr>
        <w:t xml:space="preserve"> (ל' הרמב"ם)</w:t>
      </w:r>
      <w:r w:rsidR="00603384" w:rsidRPr="00603384">
        <w:rPr>
          <w:rFonts w:cs="Arial"/>
          <w:rtl/>
        </w:rPr>
        <w:t>.</w:t>
      </w:r>
    </w:p>
    <w:p w14:paraId="721058DE" w14:textId="6368F76F" w:rsidR="00474B1B" w:rsidRPr="00603384" w:rsidRDefault="00474B1B" w:rsidP="009000E3">
      <w:pPr>
        <w:pStyle w:val="ab"/>
        <w:numPr>
          <w:ilvl w:val="0"/>
          <w:numId w:val="25"/>
        </w:numPr>
        <w:rPr>
          <w:rFonts w:cs="Arial"/>
          <w:rtl/>
        </w:rPr>
      </w:pPr>
      <w:r w:rsidRPr="007E6D8B">
        <w:rPr>
          <w:rFonts w:cs="Arial"/>
          <w:rtl/>
        </w:rPr>
        <w:t xml:space="preserve">ר"ן </w:t>
      </w:r>
      <w:r w:rsidRPr="007E6D8B">
        <w:rPr>
          <w:rFonts w:cs="Arial"/>
          <w:sz w:val="16"/>
          <w:szCs w:val="16"/>
          <w:rtl/>
        </w:rPr>
        <w:t>(לב. ד"ה והאי)</w:t>
      </w:r>
      <w:r w:rsidR="007E6D8B">
        <w:rPr>
          <w:rFonts w:cs="Arial" w:hint="cs"/>
          <w:rtl/>
        </w:rPr>
        <w:t>-</w:t>
      </w:r>
      <w:r w:rsidRPr="007E6D8B">
        <w:rPr>
          <w:rFonts w:cs="Arial"/>
          <w:rtl/>
        </w:rPr>
        <w:t xml:space="preserve"> האי יוציא דתנן משמע לי יוציא בע"כ אפילו רצה לקיימה מטעמא דמסנא הוא דסני לי</w:t>
      </w:r>
      <w:r w:rsidR="007E6D8B">
        <w:rPr>
          <w:rStyle w:val="a7"/>
          <w:rFonts w:cs="Arial"/>
          <w:rtl/>
        </w:rPr>
        <w:footnoteReference w:id="363"/>
      </w:r>
      <w:r w:rsidR="007E6D8B">
        <w:rPr>
          <w:rFonts w:cs="Arial" w:hint="cs"/>
          <w:rtl/>
        </w:rPr>
        <w:t>.</w:t>
      </w:r>
    </w:p>
    <w:p w14:paraId="76CC315B" w14:textId="77777777" w:rsidR="0059122B" w:rsidRDefault="0059122B" w:rsidP="0059122B">
      <w:pPr>
        <w:rPr>
          <w:rFonts w:cs="Arial"/>
          <w:rtl/>
        </w:rPr>
      </w:pPr>
      <w:r w:rsidRPr="003024E5">
        <w:rPr>
          <w:rFonts w:asciiTheme="minorBidi" w:hAnsiTheme="minorBidi"/>
          <w:b/>
          <w:bCs/>
          <w:color w:val="000000"/>
          <w:sz w:val="28"/>
          <w:szCs w:val="28"/>
          <w:u w:val="single"/>
          <w:rtl/>
        </w:rPr>
        <w:t>שו"ע:</w:t>
      </w:r>
    </w:p>
    <w:p w14:paraId="20BE5620" w14:textId="322E83AB" w:rsidR="00471D63" w:rsidRDefault="00471D63" w:rsidP="00471D63">
      <w:pPr>
        <w:rPr>
          <w:rtl/>
        </w:rPr>
      </w:pPr>
      <w:r>
        <w:rPr>
          <w:rFonts w:cs="Arial"/>
          <w:rtl/>
        </w:rPr>
        <w:t>המדיר את אשתו מליהנות לו, או שלא תטעום אחד מכל המינים, או שנדרה היא וקיים לה הוא, עיין ביורה דעה בסימן רל"ה סעיף ג'.</w:t>
      </w:r>
    </w:p>
    <w:p w14:paraId="3D7E10A9" w14:textId="2851FF8F" w:rsidR="00471D63" w:rsidRDefault="00471D63" w:rsidP="00471D63">
      <w:pPr>
        <w:rPr>
          <w:rtl/>
        </w:rPr>
      </w:pPr>
    </w:p>
    <w:p w14:paraId="41036F32" w14:textId="77777777" w:rsidR="00471D63" w:rsidRDefault="00471D63" w:rsidP="00471D63">
      <w:pPr>
        <w:pStyle w:val="1"/>
        <w:rPr>
          <w:rtl/>
        </w:rPr>
        <w:sectPr w:rsidR="00471D63" w:rsidSect="00A347B3">
          <w:headerReference w:type="default" r:id="rId15"/>
          <w:footnotePr>
            <w:numRestart w:val="eachSect"/>
          </w:footnotePr>
          <w:pgSz w:w="11906" w:h="16838"/>
          <w:pgMar w:top="720" w:right="1134" w:bottom="720" w:left="1134" w:header="0" w:footer="0" w:gutter="0"/>
          <w:cols w:space="720"/>
          <w:bidi/>
          <w:rtlGutter/>
          <w:docGrid w:linePitch="360"/>
        </w:sectPr>
      </w:pPr>
    </w:p>
    <w:p w14:paraId="7A4666F5" w14:textId="395D07DD" w:rsidR="00471D63" w:rsidRDefault="00471D63" w:rsidP="00471D63">
      <w:pPr>
        <w:pStyle w:val="1"/>
        <w:rPr>
          <w:rtl/>
        </w:rPr>
      </w:pPr>
      <w:r>
        <w:rPr>
          <w:rFonts w:hint="cs"/>
          <w:rtl/>
        </w:rPr>
        <w:lastRenderedPageBreak/>
        <w:t xml:space="preserve">סימן עג: </w:t>
      </w:r>
      <w:r>
        <w:rPr>
          <w:rtl/>
        </w:rPr>
        <w:t xml:space="preserve">שחייב בכסות ומדור וכלי בית לאשתו, ובו ט' סעיפים. </w:t>
      </w:r>
    </w:p>
    <w:p w14:paraId="79E8B1A6" w14:textId="3876054F" w:rsidR="00471D63" w:rsidRDefault="00471D63" w:rsidP="000F64D0">
      <w:pPr>
        <w:pStyle w:val="2"/>
        <w:rPr>
          <w:rtl/>
        </w:rPr>
      </w:pPr>
      <w:r>
        <w:rPr>
          <w:rtl/>
        </w:rPr>
        <w:t>סעיף א</w:t>
      </w:r>
      <w:r w:rsidR="00794F86">
        <w:rPr>
          <w:rFonts w:hint="cs"/>
          <w:rtl/>
        </w:rPr>
        <w:t xml:space="preserve">: </w:t>
      </w:r>
      <w:r w:rsidR="00175ED5">
        <w:rPr>
          <w:rFonts w:hint="cs"/>
          <w:rtl/>
        </w:rPr>
        <w:t>כסות, כלי בית ומדור.</w:t>
      </w:r>
    </w:p>
    <w:p w14:paraId="5BD3E4B8" w14:textId="6C424043" w:rsidR="00F64E71" w:rsidRPr="00F64E71" w:rsidRDefault="00F64E71" w:rsidP="00F64E71">
      <w:pPr>
        <w:rPr>
          <w:rFonts w:cs="Arial"/>
          <w:rtl/>
        </w:rPr>
      </w:pPr>
      <w:r>
        <w:rPr>
          <w:rFonts w:cs="Arial" w:hint="cs"/>
          <w:b/>
          <w:bCs/>
          <w:rtl/>
        </w:rPr>
        <w:t xml:space="preserve">כתובות </w:t>
      </w:r>
      <w:r w:rsidRPr="00486F46">
        <w:rPr>
          <w:rFonts w:cs="Arial" w:hint="cs"/>
          <w:b/>
          <w:bCs/>
          <w:sz w:val="16"/>
          <w:szCs w:val="16"/>
          <w:rtl/>
        </w:rPr>
        <w:t xml:space="preserve">(פ' אף על פי) </w:t>
      </w:r>
      <w:r>
        <w:rPr>
          <w:rFonts w:cs="Arial" w:hint="cs"/>
          <w:b/>
          <w:bCs/>
          <w:rtl/>
        </w:rPr>
        <w:t xml:space="preserve">סד ע"ב: </w:t>
      </w:r>
      <w:r w:rsidRPr="00486F46">
        <w:rPr>
          <w:rFonts w:cs="Arial"/>
          <w:u w:val="double"/>
          <w:rtl/>
        </w:rPr>
        <w:t>מתני'</w:t>
      </w:r>
      <w:r>
        <w:rPr>
          <w:rFonts w:cs="Arial" w:hint="cs"/>
          <w:rtl/>
        </w:rPr>
        <w:t>:</w:t>
      </w:r>
      <w:r w:rsidRPr="004254E2">
        <w:rPr>
          <w:rFonts w:cs="Arial"/>
          <w:rtl/>
        </w:rPr>
        <w:t xml:space="preserve"> המשרה את אשתו על ידי שליש</w:t>
      </w:r>
      <w:r>
        <w:rPr>
          <w:rFonts w:cs="Arial" w:hint="cs"/>
          <w:rtl/>
        </w:rPr>
        <w:t>...</w:t>
      </w:r>
      <w:r w:rsidRPr="004254E2">
        <w:rPr>
          <w:rFonts w:cs="Arial"/>
          <w:rtl/>
        </w:rPr>
        <w:t xml:space="preserve"> ונותן לה מטה מפץ ומחצלת, ונותן לה כפה לראשה וחגור למתניה, ומנעלים ממועד למועד, וכלים של חמשים זוז משנה לשנה. ואין נותנין לה לא חדשים בימות החמה ולא שחקים בימות הגשמים, אלא נותן לה כלים של חמשים זוז בימות הגשמים, והיא מתכסה בבלאותיהן בימות החמה, והשחקים שלה.</w:t>
      </w:r>
      <w:r>
        <w:rPr>
          <w:rFonts w:cs="Arial" w:hint="cs"/>
          <w:rtl/>
        </w:rPr>
        <w:t>.</w:t>
      </w:r>
      <w:r w:rsidRPr="004254E2">
        <w:rPr>
          <w:rFonts w:cs="Arial"/>
          <w:rtl/>
        </w:rPr>
        <w:t xml:space="preserve">. במה דברים אמורים - בעני שבישראל, אבל במכובד הכל לפי כבודו. </w:t>
      </w:r>
      <w:r>
        <w:rPr>
          <w:rFonts w:cs="Arial" w:hint="cs"/>
          <w:rtl/>
        </w:rPr>
        <w:t xml:space="preserve">     </w:t>
      </w:r>
      <w:r w:rsidRPr="00DC614B">
        <w:rPr>
          <w:rFonts w:cs="Arial" w:hint="cs"/>
          <w:u w:val="double"/>
          <w:rtl/>
        </w:rPr>
        <w:t>גמ'</w:t>
      </w:r>
      <w:r>
        <w:rPr>
          <w:rFonts w:cs="Arial" w:hint="cs"/>
          <w:sz w:val="14"/>
          <w:szCs w:val="14"/>
          <w:u w:val="double"/>
          <w:rtl/>
        </w:rPr>
        <w:t>(סה.)</w:t>
      </w:r>
      <w:r>
        <w:rPr>
          <w:rFonts w:cs="Arial" w:hint="cs"/>
          <w:u w:val="double"/>
          <w:rtl/>
        </w:rPr>
        <w:t>:</w:t>
      </w:r>
      <w:r w:rsidRPr="00DC614B">
        <w:rPr>
          <w:rtl/>
        </w:rPr>
        <w:t xml:space="preserve"> </w:t>
      </w:r>
      <w:r w:rsidRPr="00DC614B">
        <w:rPr>
          <w:rFonts w:cs="Arial"/>
          <w:rtl/>
        </w:rPr>
        <w:t>ונותן לה מטה ומפץ וכו'. מפץ ומחצלת למה לה</w:t>
      </w:r>
      <w:r w:rsidR="009F349A">
        <w:rPr>
          <w:rStyle w:val="a7"/>
          <w:rFonts w:cs="Arial"/>
          <w:rtl/>
        </w:rPr>
        <w:footnoteReference w:id="364"/>
      </w:r>
      <w:r w:rsidRPr="00DC614B">
        <w:rPr>
          <w:rFonts w:cs="Arial"/>
          <w:rtl/>
        </w:rPr>
        <w:t xml:space="preserve"> דיהב לה? </w:t>
      </w:r>
      <w:r w:rsidRPr="009F349A">
        <w:rPr>
          <w:rFonts w:cs="Arial"/>
          <w:u w:val="single"/>
          <w:rtl/>
        </w:rPr>
        <w:t>אמר רב פפא</w:t>
      </w:r>
      <w:r w:rsidRPr="00DC614B">
        <w:rPr>
          <w:rFonts w:cs="Arial"/>
          <w:rtl/>
        </w:rPr>
        <w:t>: באתרא דנהיגי דמלו פוריא בחבלי, דמבגר לה</w:t>
      </w:r>
      <w:r w:rsidR="009F349A">
        <w:rPr>
          <w:rStyle w:val="a7"/>
          <w:rFonts w:cs="Arial"/>
          <w:rtl/>
        </w:rPr>
        <w:footnoteReference w:id="365"/>
      </w:r>
      <w:r w:rsidRPr="00DC614B">
        <w:rPr>
          <w:rFonts w:cs="Arial"/>
          <w:rtl/>
        </w:rPr>
        <w:t xml:space="preserve">. ת"ר: אין נותנין לה כר וכסת, </w:t>
      </w:r>
      <w:r w:rsidRPr="009F349A">
        <w:rPr>
          <w:rFonts w:cs="Arial"/>
          <w:u w:val="single"/>
          <w:rtl/>
        </w:rPr>
        <w:t>משום ר' נתן אמרו</w:t>
      </w:r>
      <w:r w:rsidRPr="00DC614B">
        <w:rPr>
          <w:rFonts w:cs="Arial"/>
          <w:rtl/>
        </w:rPr>
        <w:t>: נותנין לה כר וכסת. היכי דמי? אי דאורחה, מאי טעמא דת"ק? ואי דלאו אורחה, מ"ט דרבי נתן? לא צריכא, כגון דאורחיה דידיה ולאו אורחה דידה, תנא קמא סבר, אמר לה: כי אזילנא שקילנא להו, וכי אתינא מייתינא להו בהדאי</w:t>
      </w:r>
      <w:r w:rsidR="009F349A">
        <w:rPr>
          <w:rFonts w:cs="Arial" w:hint="cs"/>
          <w:rtl/>
        </w:rPr>
        <w:t>.</w:t>
      </w:r>
      <w:r w:rsidRPr="00DC614B">
        <w:rPr>
          <w:rFonts w:cs="Arial"/>
          <w:rtl/>
        </w:rPr>
        <w:t xml:space="preserve"> ורבי נתן סבר, אמרה ליה: זימנין דמיתרמי בין השמשות ולא מצית מייתי להו, ושקלת להו לדידי ומגנית לי על ארעא. ונותן לה כפה. </w:t>
      </w:r>
      <w:r w:rsidRPr="009F349A">
        <w:rPr>
          <w:rFonts w:cs="Arial"/>
          <w:u w:val="single"/>
          <w:rtl/>
        </w:rPr>
        <w:t>אמר ליה רב פפא לאביי</w:t>
      </w:r>
      <w:r w:rsidRPr="00DC614B">
        <w:rPr>
          <w:rFonts w:cs="Arial"/>
          <w:rtl/>
        </w:rPr>
        <w:t>:</w:t>
      </w:r>
      <w:r>
        <w:rPr>
          <w:rFonts w:cs="Arial" w:hint="cs"/>
          <w:rtl/>
        </w:rPr>
        <w:t xml:space="preserve"> </w:t>
      </w:r>
      <w:r>
        <w:rPr>
          <w:rFonts w:cs="Arial" w:hint="cs"/>
          <w:sz w:val="14"/>
          <w:szCs w:val="14"/>
          <w:rtl/>
        </w:rPr>
        <w:t>(סה:)</w:t>
      </w:r>
      <w:r>
        <w:rPr>
          <w:rFonts w:cs="Arial" w:hint="cs"/>
          <w:rtl/>
        </w:rPr>
        <w:t xml:space="preserve"> </w:t>
      </w:r>
      <w:r w:rsidRPr="00DC614B">
        <w:rPr>
          <w:rFonts w:cs="Arial"/>
          <w:rtl/>
        </w:rPr>
        <w:t>האי תנא שליח ערטלאי ורמי מסאני</w:t>
      </w:r>
      <w:r w:rsidR="009F349A">
        <w:rPr>
          <w:rStyle w:val="a7"/>
          <w:rFonts w:cs="Arial"/>
          <w:rtl/>
        </w:rPr>
        <w:footnoteReference w:id="366"/>
      </w:r>
      <w:r w:rsidRPr="00DC614B">
        <w:rPr>
          <w:rFonts w:cs="Arial"/>
          <w:rtl/>
        </w:rPr>
        <w:t xml:space="preserve">! </w:t>
      </w:r>
      <w:r w:rsidRPr="006958E9">
        <w:rPr>
          <w:rFonts w:cs="Arial"/>
          <w:u w:val="single"/>
          <w:rtl/>
        </w:rPr>
        <w:t>אמר ליה</w:t>
      </w:r>
      <w:r w:rsidRPr="00DC614B">
        <w:rPr>
          <w:rFonts w:cs="Arial"/>
          <w:rtl/>
        </w:rPr>
        <w:t xml:space="preserve">: תנא במקום הרים קאי, דלא סגיא בלא תלתא זוגי מסאני, ואגב אורחיה קא משמע לן דניתבינהו ניהלה במועד, כי היכי דניהוי לה שמחה בגוייהו. וכלים של חמשים זוז. </w:t>
      </w:r>
      <w:r w:rsidRPr="006958E9">
        <w:rPr>
          <w:rFonts w:cs="Arial"/>
          <w:u w:val="single"/>
          <w:rtl/>
        </w:rPr>
        <w:t>אמר אביי</w:t>
      </w:r>
      <w:r w:rsidRPr="00DC614B">
        <w:rPr>
          <w:rFonts w:cs="Arial"/>
          <w:rtl/>
        </w:rPr>
        <w:t>: חמשים זוזי פשיטי. ממאי? מדקתני: במה דברים אמורים - בעני שבישראל, אבל במכובד הכל לפי כבודו</w:t>
      </w:r>
      <w:r w:rsidR="009F349A">
        <w:rPr>
          <w:rFonts w:cs="Arial" w:hint="cs"/>
          <w:rtl/>
        </w:rPr>
        <w:t>.</w:t>
      </w:r>
      <w:r w:rsidRPr="00DC614B">
        <w:rPr>
          <w:rFonts w:cs="Arial"/>
          <w:rtl/>
        </w:rPr>
        <w:t xml:space="preserve"> ואי ס"ד חמשים זוז ממש, עני חמשים זוז מנא ליה? אלא ש"מ, חמשים זוזי פשיטי. ואין נותנין לה לא חדשים וכו'. ת"ר: מותר מזונות לבעל, מותר בלאות לאשה. מותר בלאות לאשה למה לה? </w:t>
      </w:r>
      <w:r w:rsidRPr="006958E9">
        <w:rPr>
          <w:rFonts w:cs="Arial"/>
          <w:u w:val="single"/>
          <w:rtl/>
        </w:rPr>
        <w:t>אמר רחבה</w:t>
      </w:r>
      <w:r w:rsidRPr="00DC614B">
        <w:rPr>
          <w:rFonts w:cs="Arial"/>
          <w:rtl/>
        </w:rPr>
        <w:t xml:space="preserve">: שמתכסה בהן בימי נדתה, כדי שלא תתגנה על בעלה. </w:t>
      </w:r>
      <w:r w:rsidRPr="006958E9">
        <w:rPr>
          <w:rFonts w:cs="Arial"/>
          <w:u w:val="single"/>
          <w:rtl/>
        </w:rPr>
        <w:t>אמר אביי</w:t>
      </w:r>
      <w:r w:rsidR="006958E9">
        <w:rPr>
          <w:rFonts w:cs="Arial" w:hint="cs"/>
          <w:rtl/>
        </w:rPr>
        <w:t>:</w:t>
      </w:r>
      <w:r w:rsidRPr="00DC614B">
        <w:rPr>
          <w:rFonts w:cs="Arial"/>
          <w:rtl/>
        </w:rPr>
        <w:t xml:space="preserve"> נקטינן</w:t>
      </w:r>
      <w:r w:rsidR="00E266D3">
        <w:rPr>
          <w:rFonts w:cs="Arial" w:hint="cs"/>
          <w:rtl/>
        </w:rPr>
        <w:t>,</w:t>
      </w:r>
      <w:r w:rsidRPr="00DC614B">
        <w:rPr>
          <w:rFonts w:cs="Arial"/>
          <w:rtl/>
        </w:rPr>
        <w:t xml:space="preserve"> מותר בלאות אלמנה ליורשיו, התם הוא דלא תתגני באפיה, הכא תתגני ותתגני.</w:t>
      </w:r>
    </w:p>
    <w:p w14:paraId="23D507EF" w14:textId="77777777" w:rsidR="00C479CF" w:rsidRDefault="00C479CF" w:rsidP="00C479CF">
      <w:pPr>
        <w:rPr>
          <w:rFonts w:cs="Arial"/>
          <w:u w:val="single"/>
          <w:rtl/>
        </w:rPr>
      </w:pPr>
      <w:r w:rsidRPr="00C479CF">
        <w:rPr>
          <w:rFonts w:cs="Arial" w:hint="cs"/>
          <w:b/>
          <w:bCs/>
          <w:rtl/>
        </w:rPr>
        <w:t>תוספתא כתובות פ"ה ה"ח</w:t>
      </w:r>
      <w:r w:rsidRPr="00C479CF">
        <w:rPr>
          <w:rStyle w:val="a7"/>
          <w:rFonts w:cs="Arial"/>
          <w:b/>
          <w:bCs/>
          <w:rtl/>
        </w:rPr>
        <w:footnoteReference w:id="367"/>
      </w:r>
      <w:r>
        <w:rPr>
          <w:rFonts w:cs="Arial" w:hint="cs"/>
          <w:rtl/>
        </w:rPr>
        <w:t>:</w:t>
      </w:r>
      <w:r w:rsidRPr="00C479CF">
        <w:rPr>
          <w:rtl/>
        </w:rPr>
        <w:t xml:space="preserve"> </w:t>
      </w:r>
      <w:r w:rsidRPr="00C479CF">
        <w:rPr>
          <w:rFonts w:cs="Arial"/>
          <w:rtl/>
        </w:rPr>
        <w:t>המשרא את אשתו על ידי שליש</w:t>
      </w:r>
      <w:r>
        <w:rPr>
          <w:rFonts w:cs="Arial" w:hint="cs"/>
          <w:rtl/>
        </w:rPr>
        <w:t xml:space="preserve">... </w:t>
      </w:r>
      <w:r w:rsidRPr="00C479CF">
        <w:rPr>
          <w:rFonts w:cs="Arial"/>
          <w:rtl/>
        </w:rPr>
        <w:t>נתן לה כוס חבית וקדירה פך נר ופתילה</w:t>
      </w:r>
      <w:r>
        <w:rPr>
          <w:rFonts w:cs="Arial" w:hint="cs"/>
          <w:rtl/>
        </w:rPr>
        <w:t>.</w:t>
      </w:r>
      <w:r w:rsidRPr="00C479CF">
        <w:rPr>
          <w:rFonts w:cs="Arial"/>
          <w:rtl/>
        </w:rPr>
        <w:t xml:space="preserve"> </w:t>
      </w:r>
      <w:r w:rsidRPr="00DC614B">
        <w:rPr>
          <w:rtl/>
        </w:rPr>
        <w:t xml:space="preserve"> </w:t>
      </w:r>
    </w:p>
    <w:p w14:paraId="1DF5AE00" w14:textId="69F97EF3" w:rsidR="008148D4" w:rsidRPr="008148D4" w:rsidRDefault="008148D4" w:rsidP="008148D4">
      <w:pPr>
        <w:rPr>
          <w:u w:val="single"/>
          <w:rtl/>
        </w:rPr>
      </w:pPr>
      <w:r w:rsidRPr="008148D4">
        <w:rPr>
          <w:rFonts w:hint="cs"/>
          <w:u w:val="single"/>
          <w:rtl/>
        </w:rPr>
        <w:t>חיוב כסות כיצד:</w:t>
      </w:r>
    </w:p>
    <w:p w14:paraId="7C9B8A85" w14:textId="51DEBC85" w:rsidR="00486F46" w:rsidRDefault="00486F46" w:rsidP="00175ED5">
      <w:pPr>
        <w:pStyle w:val="ab"/>
        <w:numPr>
          <w:ilvl w:val="0"/>
          <w:numId w:val="7"/>
        </w:numPr>
        <w:rPr>
          <w:rFonts w:cs="Arial"/>
        </w:rPr>
      </w:pPr>
      <w:r>
        <w:rPr>
          <w:rFonts w:cs="Arial" w:hint="cs"/>
          <w:rtl/>
        </w:rPr>
        <w:t xml:space="preserve">רמב"ם </w:t>
      </w:r>
      <w:r>
        <w:rPr>
          <w:rFonts w:cs="Arial" w:hint="cs"/>
          <w:sz w:val="16"/>
          <w:szCs w:val="16"/>
          <w:rtl/>
        </w:rPr>
        <w:t>(פי"ג מאישות ה</w:t>
      </w:r>
      <w:r w:rsidR="00175ED5">
        <w:rPr>
          <w:rFonts w:cs="Arial" w:hint="cs"/>
          <w:sz w:val="16"/>
          <w:szCs w:val="16"/>
          <w:rtl/>
        </w:rPr>
        <w:t>"</w:t>
      </w:r>
      <w:r>
        <w:rPr>
          <w:rFonts w:cs="Arial" w:hint="cs"/>
          <w:sz w:val="16"/>
          <w:szCs w:val="16"/>
          <w:rtl/>
        </w:rPr>
        <w:t>א</w:t>
      </w:r>
      <w:r w:rsidR="00175ED5">
        <w:rPr>
          <w:rFonts w:cs="Arial" w:hint="cs"/>
          <w:sz w:val="16"/>
          <w:szCs w:val="16"/>
          <w:rtl/>
        </w:rPr>
        <w:t>-</w:t>
      </w:r>
      <w:r>
        <w:rPr>
          <w:rFonts w:cs="Arial" w:hint="cs"/>
          <w:sz w:val="16"/>
          <w:szCs w:val="16"/>
          <w:rtl/>
        </w:rPr>
        <w:t>)</w:t>
      </w:r>
      <w:r>
        <w:rPr>
          <w:rFonts w:cs="Arial" w:hint="cs"/>
          <w:rtl/>
        </w:rPr>
        <w:t xml:space="preserve"> וטור- </w:t>
      </w:r>
      <w:r w:rsidRPr="00486F46">
        <w:rPr>
          <w:rFonts w:cs="Arial"/>
          <w:rtl/>
        </w:rPr>
        <w:t>כמה הכסות שהוא חייב ליתן לה, בגדים של חמשים זוז משנה לשנה ממטבע אותן הימים</w:t>
      </w:r>
      <w:r w:rsidR="009D08C2">
        <w:rPr>
          <w:rFonts w:cs="Arial" w:hint="cs"/>
          <w:rtl/>
        </w:rPr>
        <w:t>,</w:t>
      </w:r>
      <w:r w:rsidRPr="00486F46">
        <w:rPr>
          <w:rFonts w:cs="Arial"/>
          <w:rtl/>
        </w:rPr>
        <w:t xml:space="preserve"> שנמצאו החמשים ששה דינרין ורביע דינר כסף</w:t>
      </w:r>
      <w:r w:rsidR="009D08C2">
        <w:rPr>
          <w:rFonts w:cs="Arial" w:hint="cs"/>
          <w:rtl/>
        </w:rPr>
        <w:t>.</w:t>
      </w:r>
      <w:r w:rsidRPr="00486F46">
        <w:rPr>
          <w:rFonts w:cs="Arial"/>
          <w:rtl/>
        </w:rPr>
        <w:t xml:space="preserve"> נותנין לה חדשים בימות הגשמים</w:t>
      </w:r>
      <w:r w:rsidR="009D08C2">
        <w:rPr>
          <w:rFonts w:cs="Arial" w:hint="cs"/>
          <w:rtl/>
        </w:rPr>
        <w:t>,</w:t>
      </w:r>
      <w:r w:rsidRPr="00486F46">
        <w:rPr>
          <w:rFonts w:cs="Arial"/>
          <w:rtl/>
        </w:rPr>
        <w:t xml:space="preserve"> ולובשת בלאותיהן בימות החמה</w:t>
      </w:r>
      <w:r w:rsidR="009D08C2">
        <w:rPr>
          <w:rFonts w:cs="Arial" w:hint="cs"/>
          <w:rtl/>
        </w:rPr>
        <w:t>.</w:t>
      </w:r>
      <w:r w:rsidRPr="00486F46">
        <w:rPr>
          <w:rFonts w:cs="Arial"/>
          <w:rtl/>
        </w:rPr>
        <w:t xml:space="preserve"> והשחקים</w:t>
      </w:r>
      <w:r w:rsidR="009D08C2">
        <w:rPr>
          <w:rFonts w:cs="Arial" w:hint="cs"/>
          <w:rtl/>
        </w:rPr>
        <w:t>,</w:t>
      </w:r>
      <w:r w:rsidRPr="00486F46">
        <w:rPr>
          <w:rFonts w:cs="Arial"/>
          <w:rtl/>
        </w:rPr>
        <w:t xml:space="preserve"> והם מותר הכסות</w:t>
      </w:r>
      <w:r w:rsidR="009D08C2">
        <w:rPr>
          <w:rFonts w:cs="Arial" w:hint="cs"/>
          <w:rtl/>
        </w:rPr>
        <w:t>,</w:t>
      </w:r>
      <w:r w:rsidRPr="00486F46">
        <w:rPr>
          <w:rFonts w:cs="Arial"/>
          <w:rtl/>
        </w:rPr>
        <w:t xml:space="preserve"> הרי הן שלה כדי שתתכסה בהם בימי נדתה</w:t>
      </w:r>
      <w:r w:rsidR="009D08C2">
        <w:rPr>
          <w:rFonts w:cs="Arial" w:hint="cs"/>
          <w:rtl/>
        </w:rPr>
        <w:t>.</w:t>
      </w:r>
      <w:r w:rsidRPr="00486F46">
        <w:rPr>
          <w:rFonts w:cs="Arial"/>
          <w:rtl/>
        </w:rPr>
        <w:t xml:space="preserve"> ונותן לה חגור למתניה וכפה לראשה, ומנעל ממועד למועד</w:t>
      </w:r>
      <w:r w:rsidR="00175ED5">
        <w:rPr>
          <w:rFonts w:cs="Arial" w:hint="cs"/>
          <w:rtl/>
        </w:rPr>
        <w:t xml:space="preserve">. </w:t>
      </w:r>
      <w:r w:rsidRPr="00175ED5">
        <w:rPr>
          <w:rFonts w:cs="Arial"/>
          <w:rtl/>
        </w:rPr>
        <w:t>במה דברים אמורים באותן הימים ובארץ ישראל</w:t>
      </w:r>
      <w:r w:rsidR="009D08C2">
        <w:rPr>
          <w:rFonts w:cs="Arial" w:hint="cs"/>
          <w:rtl/>
        </w:rPr>
        <w:t>,</w:t>
      </w:r>
      <w:r w:rsidRPr="00175ED5">
        <w:rPr>
          <w:rFonts w:cs="Arial"/>
          <w:rtl/>
        </w:rPr>
        <w:t xml:space="preserve"> אבל בשאר זמנים ושאר המקומות אין הדמים עיקר, יש מקומות שיהיו שם הבגדים ביוקר הרבה או בזול הרבה, אלא העיקר שסומכין עליו שמחייבין אותו ליתן לה בגדים הראויות בימות הגשמים ובימות החמה בפחות</w:t>
      </w:r>
      <w:r w:rsidR="00DC614B">
        <w:rPr>
          <w:rStyle w:val="a7"/>
          <w:rFonts w:cs="Arial"/>
          <w:rtl/>
        </w:rPr>
        <w:footnoteReference w:id="368"/>
      </w:r>
      <w:r w:rsidRPr="00175ED5">
        <w:rPr>
          <w:rFonts w:cs="Arial"/>
          <w:rtl/>
        </w:rPr>
        <w:t xml:space="preserve"> שלובשת כל אשה בעלת בית באותה המדינה</w:t>
      </w:r>
      <w:r w:rsidR="00794F86" w:rsidRPr="00175ED5">
        <w:rPr>
          <w:rFonts w:cs="Arial" w:hint="cs"/>
          <w:sz w:val="16"/>
          <w:szCs w:val="16"/>
          <w:rtl/>
        </w:rPr>
        <w:t xml:space="preserve"> (ל' הרמב"ם)</w:t>
      </w:r>
      <w:r w:rsidRPr="00175ED5">
        <w:rPr>
          <w:rFonts w:cs="Arial"/>
          <w:rtl/>
        </w:rPr>
        <w:t xml:space="preserve">. </w:t>
      </w:r>
      <w:r w:rsidR="009F349A" w:rsidRPr="00D33EFE">
        <w:rPr>
          <w:rFonts w:hint="cs"/>
          <w:color w:val="E36C0A" w:themeColor="accent6" w:themeShade="BF"/>
          <w:rtl/>
        </w:rPr>
        <w:t>(וכ"פ בשו"ע)</w:t>
      </w:r>
    </w:p>
    <w:p w14:paraId="5446AF09" w14:textId="06A0C72F" w:rsidR="00175ED5" w:rsidRPr="00175ED5" w:rsidRDefault="00175ED5" w:rsidP="00175ED5">
      <w:pPr>
        <w:ind w:left="360"/>
        <w:rPr>
          <w:rFonts w:cs="Arial"/>
          <w:u w:val="dotted"/>
          <w:rtl/>
        </w:rPr>
      </w:pPr>
      <w:r w:rsidRPr="00175ED5">
        <w:rPr>
          <w:rFonts w:cs="Arial" w:hint="cs"/>
          <w:u w:val="dotted"/>
          <w:rtl/>
        </w:rPr>
        <w:t>ומה עם כלי בית ומדור:</w:t>
      </w:r>
    </w:p>
    <w:p w14:paraId="63AD6C8C" w14:textId="3E301667" w:rsidR="00717619" w:rsidRPr="00717619" w:rsidRDefault="00486F46" w:rsidP="00717619">
      <w:pPr>
        <w:pStyle w:val="ab"/>
        <w:numPr>
          <w:ilvl w:val="0"/>
          <w:numId w:val="7"/>
        </w:numPr>
        <w:rPr>
          <w:rFonts w:cs="Arial"/>
          <w:rtl/>
        </w:rPr>
      </w:pPr>
      <w:r>
        <w:rPr>
          <w:rFonts w:cs="Arial" w:hint="cs"/>
          <w:rtl/>
        </w:rPr>
        <w:t xml:space="preserve">רמב"ם </w:t>
      </w:r>
      <w:r>
        <w:rPr>
          <w:rFonts w:cs="Arial" w:hint="cs"/>
          <w:sz w:val="16"/>
          <w:szCs w:val="16"/>
          <w:rtl/>
        </w:rPr>
        <w:t>(פי"ג מאישות ה"ג)</w:t>
      </w:r>
      <w:r w:rsidR="00794F86" w:rsidRPr="00794F86">
        <w:rPr>
          <w:rFonts w:cs="Arial" w:hint="cs"/>
          <w:rtl/>
        </w:rPr>
        <w:t xml:space="preserve"> </w:t>
      </w:r>
      <w:r w:rsidR="00794F86">
        <w:rPr>
          <w:rFonts w:cs="Arial" w:hint="cs"/>
          <w:rtl/>
        </w:rPr>
        <w:t>וטור</w:t>
      </w:r>
      <w:r>
        <w:rPr>
          <w:rFonts w:cs="Arial" w:hint="cs"/>
          <w:rtl/>
        </w:rPr>
        <w:t xml:space="preserve">- </w:t>
      </w:r>
      <w:r w:rsidRPr="00486F46">
        <w:rPr>
          <w:rFonts w:cs="Arial"/>
          <w:rtl/>
        </w:rPr>
        <w:t>ובכלל הכסות שהוא חייב לה כלי בית ומדור שיושבת בו, ומה הן כלי בית מטה מוצעת ומפץ או מחצלת לישב עליה, וכלי אכילה ושתיה כגון קדרה וקערה וכוס ובקבוק וכיוצא בהן</w:t>
      </w:r>
      <w:r w:rsidR="00794F86">
        <w:rPr>
          <w:rStyle w:val="a7"/>
          <w:rFonts w:cs="Arial"/>
          <w:rtl/>
        </w:rPr>
        <w:footnoteReference w:id="369"/>
      </w:r>
      <w:r w:rsidR="00E47343">
        <w:rPr>
          <w:rFonts w:cs="Arial" w:hint="cs"/>
          <w:rtl/>
        </w:rPr>
        <w:t>...</w:t>
      </w:r>
      <w:r w:rsidRPr="00486F46">
        <w:rPr>
          <w:rFonts w:cs="Arial"/>
          <w:rtl/>
        </w:rPr>
        <w:t xml:space="preserve"> </w:t>
      </w:r>
      <w:r w:rsidR="00794F86">
        <w:rPr>
          <w:rFonts w:cs="Arial" w:hint="cs"/>
          <w:sz w:val="16"/>
          <w:szCs w:val="16"/>
          <w:rtl/>
        </w:rPr>
        <w:t>(ל' הרמב"ם)</w:t>
      </w:r>
      <w:r w:rsidRPr="00486F46">
        <w:rPr>
          <w:rFonts w:cs="Arial"/>
          <w:rtl/>
        </w:rPr>
        <w:t xml:space="preserve">. </w:t>
      </w:r>
      <w:r w:rsidR="009F349A" w:rsidRPr="00D33EFE">
        <w:rPr>
          <w:rFonts w:hint="cs"/>
          <w:color w:val="E36C0A" w:themeColor="accent6" w:themeShade="BF"/>
          <w:rtl/>
        </w:rPr>
        <w:t>(וכ"פ בשו"ע)</w:t>
      </w:r>
    </w:p>
    <w:p w14:paraId="0F2A223C" w14:textId="68F3198C" w:rsidR="00717619" w:rsidRDefault="00717619" w:rsidP="00717619">
      <w:pPr>
        <w:rPr>
          <w:rFonts w:cs="Arial"/>
          <w:rtl/>
        </w:rPr>
      </w:pPr>
      <w:r w:rsidRPr="00860DA1">
        <w:rPr>
          <w:rFonts w:cs="Arial"/>
          <w:b/>
          <w:bCs/>
          <w:rtl/>
        </w:rPr>
        <w:t>בראשית רבה בראשית פרשה יח</w:t>
      </w:r>
      <w:r w:rsidRPr="00860DA1">
        <w:rPr>
          <w:rFonts w:cs="Arial" w:hint="cs"/>
          <w:b/>
          <w:bCs/>
          <w:rtl/>
        </w:rPr>
        <w:t xml:space="preserve"> סימן א</w:t>
      </w:r>
      <w:r w:rsidRPr="00860DA1">
        <w:rPr>
          <w:rStyle w:val="a7"/>
          <w:rFonts w:cs="Arial"/>
          <w:b/>
          <w:bCs/>
          <w:rtl/>
        </w:rPr>
        <w:footnoteReference w:id="370"/>
      </w:r>
      <w:r w:rsidRPr="00860DA1">
        <w:rPr>
          <w:rFonts w:cs="Arial" w:hint="cs"/>
          <w:b/>
          <w:bCs/>
          <w:rtl/>
        </w:rPr>
        <w:t>:</w:t>
      </w:r>
      <w:r>
        <w:rPr>
          <w:rFonts w:cs="Arial" w:hint="cs"/>
          <w:rtl/>
        </w:rPr>
        <w:t xml:space="preserve"> </w:t>
      </w:r>
      <w:r w:rsidRPr="00880956">
        <w:rPr>
          <w:rFonts w:cs="Arial"/>
          <w:rtl/>
        </w:rPr>
        <w:t>דרכה של אשה להיות יושבת בתוך ביתה</w:t>
      </w:r>
      <w:r w:rsidR="009D08C2">
        <w:rPr>
          <w:rFonts w:cs="Arial" w:hint="cs"/>
          <w:rtl/>
        </w:rPr>
        <w:t>,</w:t>
      </w:r>
      <w:r w:rsidRPr="00880956">
        <w:rPr>
          <w:rFonts w:cs="Arial"/>
          <w:rtl/>
        </w:rPr>
        <w:t xml:space="preserve"> ודרכו של איש להיות יוצא לשוק ולמד בינה מבני אדם</w:t>
      </w:r>
      <w:r>
        <w:rPr>
          <w:rFonts w:cs="Arial" w:hint="cs"/>
          <w:rtl/>
        </w:rPr>
        <w:t>.</w:t>
      </w:r>
      <w:r w:rsidRPr="00880956">
        <w:rPr>
          <w:rFonts w:cs="Arial"/>
          <w:rtl/>
        </w:rPr>
        <w:t xml:space="preserve"> </w:t>
      </w:r>
    </w:p>
    <w:p w14:paraId="5E70166F" w14:textId="7E46D758" w:rsidR="00717619" w:rsidRDefault="00717619" w:rsidP="00717619">
      <w:pPr>
        <w:rPr>
          <w:rFonts w:cs="Arial"/>
          <w:rtl/>
        </w:rPr>
      </w:pPr>
      <w:r>
        <w:rPr>
          <w:rFonts w:cs="Arial" w:hint="cs"/>
          <w:b/>
          <w:bCs/>
          <w:rtl/>
        </w:rPr>
        <w:t xml:space="preserve">בראשית רבה בראשית פרשה ח סימן יב: </w:t>
      </w:r>
      <w:r w:rsidRPr="00C63D87">
        <w:rPr>
          <w:rFonts w:cs="Arial"/>
          <w:u w:val="single"/>
          <w:rtl/>
        </w:rPr>
        <w:t>ר' יוחנן בן ברוקה אומר</w:t>
      </w:r>
      <w:r w:rsidRPr="00C63D87">
        <w:rPr>
          <w:rFonts w:cs="Arial" w:hint="cs"/>
          <w:u w:val="single"/>
          <w:rtl/>
        </w:rPr>
        <w:t>:</w:t>
      </w:r>
      <w:r w:rsidRPr="00860DA1">
        <w:rPr>
          <w:rFonts w:cs="Arial"/>
          <w:rtl/>
        </w:rPr>
        <w:t xml:space="preserve"> אחד האיש ואחד האשה על שניהם הוא אומר </w:t>
      </w:r>
      <w:r>
        <w:rPr>
          <w:rFonts w:cs="Arial" w:hint="cs"/>
          <w:rtl/>
        </w:rPr>
        <w:t>'</w:t>
      </w:r>
      <w:r w:rsidRPr="00860DA1">
        <w:rPr>
          <w:rFonts w:cs="Arial"/>
          <w:rtl/>
        </w:rPr>
        <w:t xml:space="preserve">ויברך אתם אלהים ויאמר להם אלהים פרו ורבו ומלאו את הארץ </w:t>
      </w:r>
      <w:r w:rsidR="0061027E" w:rsidRPr="0061027E">
        <w:rPr>
          <w:rFonts w:cs="Arial"/>
          <w:rtl/>
        </w:rPr>
        <w:t>וְכִבְשֻׁהָ</w:t>
      </w:r>
      <w:r>
        <w:rPr>
          <w:rFonts w:cs="Arial" w:hint="cs"/>
          <w:rtl/>
        </w:rPr>
        <w:t>'.</w:t>
      </w:r>
      <w:r w:rsidRPr="00860DA1">
        <w:rPr>
          <w:rFonts w:cs="Arial"/>
          <w:rtl/>
        </w:rPr>
        <w:t xml:space="preserve"> </w:t>
      </w:r>
      <w:r w:rsidR="0061027E" w:rsidRPr="0061027E">
        <w:rPr>
          <w:rFonts w:cs="Arial"/>
          <w:rtl/>
        </w:rPr>
        <w:t xml:space="preserve">וְכִבְשֻׁהָ </w:t>
      </w:r>
      <w:r w:rsidRPr="00860DA1">
        <w:rPr>
          <w:rFonts w:cs="Arial"/>
          <w:rtl/>
        </w:rPr>
        <w:t>כתיב, האיש כובש אשתו שלא תצא לשוק, שכל אשה שיוצאה לשוק סופה להכשל</w:t>
      </w:r>
      <w:r w:rsidR="0061027E">
        <w:rPr>
          <w:rFonts w:cs="Arial" w:hint="cs"/>
          <w:rtl/>
        </w:rPr>
        <w:t>.</w:t>
      </w:r>
      <w:r w:rsidRPr="00860DA1">
        <w:rPr>
          <w:rFonts w:cs="Arial"/>
          <w:rtl/>
        </w:rPr>
        <w:t xml:space="preserve"> מנא לן</w:t>
      </w:r>
      <w:r w:rsidR="0061027E">
        <w:rPr>
          <w:rFonts w:cs="Arial" w:hint="cs"/>
          <w:rtl/>
        </w:rPr>
        <w:t>?</w:t>
      </w:r>
      <w:r w:rsidRPr="00860DA1">
        <w:rPr>
          <w:rFonts w:cs="Arial"/>
          <w:rtl/>
        </w:rPr>
        <w:t xml:space="preserve"> מן דינה שנאמר (בראשית לד) ותצא דינה</w:t>
      </w:r>
      <w:r w:rsidR="0061027E">
        <w:rPr>
          <w:rFonts w:cs="Arial" w:hint="cs"/>
          <w:rtl/>
        </w:rPr>
        <w:t>,</w:t>
      </w:r>
      <w:r w:rsidRPr="00860DA1">
        <w:rPr>
          <w:rFonts w:cs="Arial"/>
          <w:rtl/>
        </w:rPr>
        <w:t xml:space="preserve"> ולבסוף נכשלה</w:t>
      </w:r>
      <w:r w:rsidR="007D45AE">
        <w:rPr>
          <w:rFonts w:cs="Arial" w:hint="cs"/>
          <w:rtl/>
        </w:rPr>
        <w:t>,</w:t>
      </w:r>
      <w:r w:rsidRPr="00860DA1">
        <w:rPr>
          <w:rFonts w:cs="Arial"/>
          <w:rtl/>
        </w:rPr>
        <w:t xml:space="preserve"> הה"ד (בראשית לד) וירא אותה שכם וגו'</w:t>
      </w:r>
      <w:r>
        <w:rPr>
          <w:rFonts w:cs="Arial" w:hint="cs"/>
          <w:rtl/>
        </w:rPr>
        <w:t>.</w:t>
      </w:r>
      <w:r w:rsidRPr="00860DA1">
        <w:rPr>
          <w:rFonts w:cs="Arial"/>
          <w:rtl/>
        </w:rPr>
        <w:t xml:space="preserve"> </w:t>
      </w:r>
      <w:r w:rsidRPr="00C63D87">
        <w:rPr>
          <w:rFonts w:cs="Arial"/>
          <w:u w:val="single"/>
          <w:rtl/>
        </w:rPr>
        <w:t>רבי ירמיה ור' אבהו ור' יצחק בר מריון בשם רבי חנינא</w:t>
      </w:r>
      <w:r>
        <w:rPr>
          <w:rFonts w:cs="Arial" w:hint="cs"/>
          <w:rtl/>
        </w:rPr>
        <w:t>:</w:t>
      </w:r>
      <w:r w:rsidRPr="00860DA1">
        <w:rPr>
          <w:rFonts w:cs="Arial"/>
          <w:rtl/>
        </w:rPr>
        <w:t xml:space="preserve"> הלכה כרבי יוחנן.</w:t>
      </w:r>
    </w:p>
    <w:p w14:paraId="0D199AD6" w14:textId="2345690A" w:rsidR="00717619" w:rsidRDefault="00717619" w:rsidP="00717619">
      <w:pPr>
        <w:rPr>
          <w:rFonts w:cs="Arial"/>
          <w:rtl/>
        </w:rPr>
      </w:pPr>
      <w:r w:rsidRPr="007226C0">
        <w:rPr>
          <w:rFonts w:cs="Arial"/>
          <w:b/>
          <w:bCs/>
          <w:rtl/>
        </w:rPr>
        <w:lastRenderedPageBreak/>
        <w:t xml:space="preserve">ספרי </w:t>
      </w:r>
      <w:r w:rsidRPr="007226C0">
        <w:rPr>
          <w:rFonts w:cs="Arial" w:hint="cs"/>
          <w:b/>
          <w:bCs/>
          <w:rtl/>
        </w:rPr>
        <w:t xml:space="preserve">דברים </w:t>
      </w:r>
      <w:r w:rsidRPr="007226C0">
        <w:rPr>
          <w:rFonts w:cs="Arial"/>
          <w:b/>
          <w:bCs/>
          <w:rtl/>
        </w:rPr>
        <w:t>פרש</w:t>
      </w:r>
      <w:r w:rsidRPr="007226C0">
        <w:rPr>
          <w:rFonts w:cs="Arial" w:hint="cs"/>
          <w:b/>
          <w:bCs/>
          <w:rtl/>
        </w:rPr>
        <w:t>ת</w:t>
      </w:r>
      <w:r w:rsidRPr="007226C0">
        <w:rPr>
          <w:rFonts w:cs="Arial"/>
          <w:b/>
          <w:bCs/>
          <w:rtl/>
        </w:rPr>
        <w:t xml:space="preserve"> כי תצא פסקא רמב </w:t>
      </w:r>
      <w:r w:rsidRPr="007226C0">
        <w:rPr>
          <w:rFonts w:cs="Arial" w:hint="cs"/>
          <w:b/>
          <w:bCs/>
          <w:rtl/>
        </w:rPr>
        <w:t>אות כג:</w:t>
      </w:r>
      <w:r w:rsidRPr="007226C0">
        <w:rPr>
          <w:rtl/>
        </w:rPr>
        <w:t xml:space="preserve"> </w:t>
      </w:r>
      <w:r w:rsidRPr="007226C0">
        <w:rPr>
          <w:rFonts w:cs="Arial"/>
          <w:rtl/>
        </w:rPr>
        <w:t>כי יהיה נערה בתולה מאורשה לאיש, מלמד שאינו חייב עד שתהא נערה בתולה מאורשה לאיש. ומצאה איש בעיר, אילו לא יצאת בעיר לא היה מסתקף</w:t>
      </w:r>
      <w:r w:rsidR="00E57E15">
        <w:rPr>
          <w:rStyle w:val="a7"/>
          <w:rFonts w:cs="Arial"/>
          <w:rtl/>
        </w:rPr>
        <w:footnoteReference w:id="371"/>
      </w:r>
      <w:r w:rsidRPr="007226C0">
        <w:rPr>
          <w:rFonts w:cs="Arial"/>
          <w:rtl/>
        </w:rPr>
        <w:t xml:space="preserve"> לה. בעיר ושכב עמה, מלמד שהפרצה קוראה לגנב. </w:t>
      </w:r>
    </w:p>
    <w:p w14:paraId="08FAFB7F" w14:textId="31D72B52" w:rsidR="00175ED5" w:rsidRPr="00175ED5" w:rsidRDefault="00175ED5" w:rsidP="00175ED5">
      <w:pPr>
        <w:rPr>
          <w:rFonts w:cs="Arial"/>
          <w:u w:val="single"/>
          <w:rtl/>
        </w:rPr>
      </w:pPr>
      <w:r w:rsidRPr="00175ED5">
        <w:rPr>
          <w:rFonts w:cs="Arial" w:hint="cs"/>
          <w:u w:val="single"/>
          <w:rtl/>
        </w:rPr>
        <w:t>מקום שד</w:t>
      </w:r>
      <w:r w:rsidR="007D45AE">
        <w:rPr>
          <w:rFonts w:cs="Arial" w:hint="cs"/>
          <w:u w:val="single"/>
          <w:rtl/>
        </w:rPr>
        <w:t>ר</w:t>
      </w:r>
      <w:r w:rsidRPr="00175ED5">
        <w:rPr>
          <w:rFonts w:cs="Arial" w:hint="cs"/>
          <w:u w:val="single"/>
          <w:rtl/>
        </w:rPr>
        <w:t>ך הנשים לצאת עם מלבוש נוסף:</w:t>
      </w:r>
    </w:p>
    <w:p w14:paraId="285AFEF5" w14:textId="5072A400" w:rsidR="00486F46" w:rsidRPr="00486F46" w:rsidRDefault="00486F46" w:rsidP="00486F46">
      <w:pPr>
        <w:pStyle w:val="ab"/>
        <w:numPr>
          <w:ilvl w:val="0"/>
          <w:numId w:val="7"/>
        </w:numPr>
      </w:pPr>
      <w:r>
        <w:rPr>
          <w:rFonts w:cs="Arial" w:hint="cs"/>
          <w:rtl/>
        </w:rPr>
        <w:t xml:space="preserve">רמב"ם </w:t>
      </w:r>
      <w:r>
        <w:rPr>
          <w:rFonts w:cs="Arial" w:hint="cs"/>
          <w:sz w:val="16"/>
          <w:szCs w:val="16"/>
          <w:rtl/>
        </w:rPr>
        <w:t>(פי"ג מאישות הי"א)</w:t>
      </w:r>
      <w:r w:rsidR="00794F86" w:rsidRPr="00794F86">
        <w:rPr>
          <w:rFonts w:cs="Arial" w:hint="cs"/>
          <w:rtl/>
        </w:rPr>
        <w:t xml:space="preserve"> </w:t>
      </w:r>
      <w:r w:rsidR="00794F86">
        <w:rPr>
          <w:rFonts w:cs="Arial" w:hint="cs"/>
          <w:rtl/>
        </w:rPr>
        <w:t>וטור</w:t>
      </w:r>
      <w:r>
        <w:rPr>
          <w:rFonts w:cs="Arial" w:hint="cs"/>
          <w:rtl/>
        </w:rPr>
        <w:t xml:space="preserve">- </w:t>
      </w:r>
      <w:r w:rsidRPr="00486F46">
        <w:rPr>
          <w:rFonts w:cs="Arial"/>
          <w:rtl/>
        </w:rPr>
        <w:t xml:space="preserve">מקום שדרכן שלא תצא אשה בשוק בכפה שעל ראשה בלבד עד שיהיה עליה רדיד החופה את כל גופה כמו טלית </w:t>
      </w:r>
      <w:r w:rsidR="00880956">
        <w:rPr>
          <w:rFonts w:cs="Arial" w:hint="cs"/>
          <w:rtl/>
        </w:rPr>
        <w:t xml:space="preserve">- </w:t>
      </w:r>
      <w:r w:rsidRPr="00486F46">
        <w:rPr>
          <w:rFonts w:cs="Arial"/>
          <w:rtl/>
        </w:rPr>
        <w:t>נותן לה בכלל הכסות רדיד הפחות מכל הרדידין</w:t>
      </w:r>
      <w:r w:rsidR="00880956">
        <w:rPr>
          <w:rStyle w:val="a7"/>
          <w:rFonts w:cs="Arial"/>
          <w:rtl/>
        </w:rPr>
        <w:footnoteReference w:id="372"/>
      </w:r>
      <w:r w:rsidRPr="00486F46">
        <w:rPr>
          <w:rFonts w:cs="Arial"/>
          <w:rtl/>
        </w:rPr>
        <w:t>, ואם היה עשיר נותן לה לפי עשרו כדי שתצא בו לבית אביה או לבית האבל או לבית המשתה, לפי שכל אשה יש לה לצאת ולילך לבית אביה לבקרו ולבית האבל ולבית המשתה לגמול חסד לרעותיה ולקרובותיה כדי שיבואו הם לה, שאינה בבית הסוהר עד שלא תצא ולא תבוא. אבל גנאי הוא לאשה שתהיה יוצאה תמיד פעם בחוץ פעם ברחובות, ויש לבעל למנוע אשתו מזה</w:t>
      </w:r>
      <w:r w:rsidR="00AC3793">
        <w:rPr>
          <w:rFonts w:cs="Arial" w:hint="cs"/>
          <w:rtl/>
        </w:rPr>
        <w:t>,</w:t>
      </w:r>
      <w:r w:rsidRPr="00486F46">
        <w:rPr>
          <w:rFonts w:cs="Arial"/>
          <w:rtl/>
        </w:rPr>
        <w:t xml:space="preserve"> ולא יניחנה לצאת אלא כמו פעם אחת בחודש או פעמים בחודש כפי הצורך, שאין יופי לאשה אלא לישב בזוית ביתה שכך כתוב </w:t>
      </w:r>
      <w:r>
        <w:rPr>
          <w:rFonts w:cs="Arial" w:hint="cs"/>
          <w:rtl/>
        </w:rPr>
        <w:t>(</w:t>
      </w:r>
      <w:r w:rsidRPr="00486F46">
        <w:rPr>
          <w:rFonts w:cs="Arial"/>
          <w:rtl/>
        </w:rPr>
        <w:t>תהלים מה</w:t>
      </w:r>
      <w:r>
        <w:rPr>
          <w:rFonts w:cs="Arial" w:hint="cs"/>
          <w:rtl/>
        </w:rPr>
        <w:t>)</w:t>
      </w:r>
      <w:r w:rsidRPr="00486F46">
        <w:rPr>
          <w:rFonts w:cs="Arial"/>
          <w:rtl/>
        </w:rPr>
        <w:t xml:space="preserve"> כל כבודה בת מלך פנימה</w:t>
      </w:r>
      <w:r w:rsidR="00794F86">
        <w:rPr>
          <w:rFonts w:cs="Arial" w:hint="cs"/>
          <w:sz w:val="16"/>
          <w:szCs w:val="16"/>
          <w:rtl/>
        </w:rPr>
        <w:t xml:space="preserve"> (ל' הרמב"ם)</w:t>
      </w:r>
      <w:r w:rsidRPr="00486F46">
        <w:rPr>
          <w:rFonts w:cs="Arial"/>
          <w:rtl/>
        </w:rPr>
        <w:t xml:space="preserve">. </w:t>
      </w:r>
      <w:r w:rsidR="009F349A" w:rsidRPr="00D33EFE">
        <w:rPr>
          <w:rFonts w:hint="cs"/>
          <w:color w:val="E36C0A" w:themeColor="accent6" w:themeShade="BF"/>
          <w:rtl/>
        </w:rPr>
        <w:t>(וכ"פ בשו"ע)</w:t>
      </w:r>
      <w:r w:rsidR="009F349A">
        <w:rPr>
          <w:rFonts w:hint="cs"/>
          <w:rtl/>
        </w:rPr>
        <w:t xml:space="preserve"> </w:t>
      </w:r>
      <w:r w:rsidR="009F349A" w:rsidRPr="009F349A">
        <w:rPr>
          <w:rFonts w:hint="cs"/>
          <w:color w:val="00B0F0"/>
          <w:rtl/>
        </w:rPr>
        <w:t>(וכ"פ הרמ"א)</w:t>
      </w:r>
    </w:p>
    <w:p w14:paraId="19D41946" w14:textId="77777777" w:rsidR="00474B1B" w:rsidRDefault="00474B1B" w:rsidP="00474B1B">
      <w:pPr>
        <w:rPr>
          <w:rFonts w:cs="Arial"/>
          <w:rtl/>
        </w:rPr>
      </w:pPr>
      <w:r w:rsidRPr="003024E5">
        <w:rPr>
          <w:rFonts w:asciiTheme="minorBidi" w:hAnsiTheme="minorBidi"/>
          <w:b/>
          <w:bCs/>
          <w:color w:val="000000"/>
          <w:sz w:val="28"/>
          <w:szCs w:val="28"/>
          <w:u w:val="single"/>
          <w:rtl/>
        </w:rPr>
        <w:t>שו"ע:</w:t>
      </w:r>
    </w:p>
    <w:p w14:paraId="6EF415D4" w14:textId="45B3653B" w:rsidR="00471D63" w:rsidRDefault="00471D63" w:rsidP="00471D63">
      <w:pPr>
        <w:rPr>
          <w:rtl/>
        </w:rPr>
      </w:pPr>
      <w:r>
        <w:rPr>
          <w:rFonts w:cs="Arial"/>
          <w:rtl/>
        </w:rPr>
        <w:t xml:space="preserve">כסותה כיצד, חייב ליתן לה בגדים הראויים לה בימות הגשמים ובימות החמה, בפחות שלובשת כל אשה בעלת בית שבאותה המדינה. ואם באותו מקום אין דרך לצאת אשה לשוק עד שיהיה עליה רדיד החופה את כל גופה, נותן לה רדיד הפחות שבכל הרדידין. </w:t>
      </w:r>
      <w:r w:rsidR="0079449D">
        <w:rPr>
          <w:rFonts w:cs="Arial" w:hint="cs"/>
          <w:sz w:val="18"/>
          <w:szCs w:val="18"/>
          <w:rtl/>
        </w:rPr>
        <w:t xml:space="preserve">[הגה] </w:t>
      </w:r>
      <w:r w:rsidRPr="0079449D">
        <w:rPr>
          <w:rFonts w:cs="Arial"/>
          <w:sz w:val="18"/>
          <w:szCs w:val="18"/>
          <w:rtl/>
        </w:rPr>
        <w:t xml:space="preserve">ואשה לא תרגיל עצמה לצאת הרבה, שאין יופי לאשה אלא לישב בזויות ביתה (טור). </w:t>
      </w:r>
      <w:r>
        <w:rPr>
          <w:rFonts w:cs="Arial"/>
          <w:rtl/>
        </w:rPr>
        <w:t xml:space="preserve">ובכלל הכסות, שהוא חייב ליתן לה כלי בית ומדור שהיא יושבת בו. ומה הם כלי בית, מטה מוצעת ומפץ או מחצלת לישב עליה, וכלי אכילה ושתיה כגון קדרה וקערה וחבית ופך ונר וכוס ובקבוק וכיוצא בהן. </w:t>
      </w:r>
    </w:p>
    <w:p w14:paraId="09904D1B" w14:textId="77777777" w:rsidR="0079449D" w:rsidRDefault="0079449D" w:rsidP="00471D63">
      <w:pPr>
        <w:rPr>
          <w:rtl/>
        </w:rPr>
      </w:pPr>
    </w:p>
    <w:p w14:paraId="24F64ED8" w14:textId="2C887A93" w:rsidR="00471D63" w:rsidRDefault="00471D63" w:rsidP="000F64D0">
      <w:pPr>
        <w:pStyle w:val="2"/>
        <w:rPr>
          <w:rtl/>
        </w:rPr>
      </w:pPr>
      <w:r>
        <w:rPr>
          <w:rtl/>
        </w:rPr>
        <w:t>סעיף ב</w:t>
      </w:r>
      <w:r w:rsidR="0079449D">
        <w:rPr>
          <w:rFonts w:hint="cs"/>
          <w:rtl/>
        </w:rPr>
        <w:t>:</w:t>
      </w:r>
      <w:r w:rsidR="00E47343">
        <w:rPr>
          <w:rFonts w:hint="cs"/>
          <w:rtl/>
        </w:rPr>
        <w:t xml:space="preserve"> מדור.</w:t>
      </w:r>
    </w:p>
    <w:p w14:paraId="0AD31D5E" w14:textId="77CFFCA7" w:rsidR="00E47343" w:rsidRDefault="00E47343" w:rsidP="00E47343">
      <w:pPr>
        <w:rPr>
          <w:rtl/>
        </w:rPr>
      </w:pPr>
      <w:r>
        <w:rPr>
          <w:rFonts w:cs="Arial" w:hint="cs"/>
          <w:b/>
          <w:bCs/>
          <w:rtl/>
        </w:rPr>
        <w:t>כתובות</w:t>
      </w:r>
      <w:r w:rsidRPr="00C479CF">
        <w:rPr>
          <w:rFonts w:cs="Arial" w:hint="cs"/>
          <w:b/>
          <w:bCs/>
          <w:sz w:val="16"/>
          <w:szCs w:val="16"/>
          <w:rtl/>
        </w:rPr>
        <w:t xml:space="preserve"> (</w:t>
      </w:r>
      <w:r>
        <w:rPr>
          <w:rFonts w:cs="Arial" w:hint="cs"/>
          <w:b/>
          <w:bCs/>
          <w:sz w:val="16"/>
          <w:szCs w:val="16"/>
          <w:rtl/>
        </w:rPr>
        <w:t>פ' הנושא</w:t>
      </w:r>
      <w:r w:rsidRPr="00C479CF">
        <w:rPr>
          <w:rFonts w:cs="Arial" w:hint="cs"/>
          <w:b/>
          <w:bCs/>
          <w:sz w:val="16"/>
          <w:szCs w:val="16"/>
          <w:rtl/>
        </w:rPr>
        <w:t>)</w:t>
      </w:r>
      <w:r>
        <w:rPr>
          <w:rFonts w:cs="Arial" w:hint="cs"/>
          <w:b/>
          <w:bCs/>
          <w:rtl/>
        </w:rPr>
        <w:t xml:space="preserve"> קג</w:t>
      </w:r>
      <w:r w:rsidR="00494DED">
        <w:rPr>
          <w:rStyle w:val="a7"/>
          <w:rFonts w:cs="Arial"/>
          <w:b/>
          <w:bCs/>
          <w:rtl/>
        </w:rPr>
        <w:footnoteReference w:id="373"/>
      </w:r>
      <w:r>
        <w:rPr>
          <w:rFonts w:cs="Arial" w:hint="cs"/>
          <w:b/>
          <w:bCs/>
          <w:rtl/>
        </w:rPr>
        <w:t xml:space="preserve"> ע"א: </w:t>
      </w:r>
      <w:r w:rsidRPr="00C479CF">
        <w:rPr>
          <w:rFonts w:cs="Arial"/>
          <w:rtl/>
        </w:rPr>
        <w:t>תנו רבנן: משתמשת במדור כדרך שמשתמשת בחיי בעלה</w:t>
      </w:r>
      <w:r>
        <w:rPr>
          <w:rFonts w:hint="cs"/>
          <w:rtl/>
        </w:rPr>
        <w:t>.</w:t>
      </w:r>
    </w:p>
    <w:p w14:paraId="7A039CCB" w14:textId="34393799" w:rsidR="00E47343" w:rsidRPr="00E47343" w:rsidRDefault="00E47343" w:rsidP="00E47343">
      <w:pPr>
        <w:rPr>
          <w:u w:val="single"/>
          <w:rtl/>
        </w:rPr>
      </w:pPr>
      <w:r w:rsidRPr="00E47343">
        <w:rPr>
          <w:rFonts w:hint="cs"/>
          <w:u w:val="single"/>
          <w:rtl/>
        </w:rPr>
        <w:t>חיוב מדור על הבעל:</w:t>
      </w:r>
    </w:p>
    <w:p w14:paraId="5670C477" w14:textId="011C9AE4" w:rsidR="0079449D" w:rsidRPr="00E47343" w:rsidRDefault="00E47343" w:rsidP="00E47343">
      <w:pPr>
        <w:pStyle w:val="ab"/>
        <w:numPr>
          <w:ilvl w:val="0"/>
          <w:numId w:val="7"/>
        </w:numPr>
        <w:rPr>
          <w:rFonts w:cs="Arial"/>
          <w:rtl/>
        </w:rPr>
      </w:pPr>
      <w:r>
        <w:rPr>
          <w:rFonts w:cs="Arial" w:hint="cs"/>
          <w:rtl/>
        </w:rPr>
        <w:t xml:space="preserve">רמב"ם </w:t>
      </w:r>
      <w:r>
        <w:rPr>
          <w:rFonts w:cs="Arial" w:hint="cs"/>
          <w:sz w:val="16"/>
          <w:szCs w:val="16"/>
          <w:rtl/>
        </w:rPr>
        <w:t>(פי"ג מאישות ה"ג)</w:t>
      </w:r>
      <w:r w:rsidRPr="00794F86">
        <w:rPr>
          <w:rFonts w:cs="Arial" w:hint="cs"/>
          <w:rtl/>
        </w:rPr>
        <w:t xml:space="preserve"> </w:t>
      </w:r>
      <w:r>
        <w:rPr>
          <w:rFonts w:cs="Arial" w:hint="cs"/>
          <w:rtl/>
        </w:rPr>
        <w:t xml:space="preserve">וטור- </w:t>
      </w:r>
      <w:r w:rsidRPr="00486F46">
        <w:rPr>
          <w:rFonts w:cs="Arial"/>
          <w:rtl/>
        </w:rPr>
        <w:t>ובכלל הכסות שהוא חייב לה כלי בית ומדור שיושבת בו</w:t>
      </w:r>
      <w:r>
        <w:rPr>
          <w:rFonts w:cs="Arial" w:hint="cs"/>
          <w:rtl/>
        </w:rPr>
        <w:t xml:space="preserve">... </w:t>
      </w:r>
      <w:r w:rsidRPr="00486F46">
        <w:rPr>
          <w:rFonts w:cs="Arial"/>
          <w:rtl/>
        </w:rPr>
        <w:t>והמדור ששוכר לה בית של ארבע אמות על ארבע אמות</w:t>
      </w:r>
      <w:r w:rsidR="00D408B2">
        <w:rPr>
          <w:rStyle w:val="a7"/>
          <w:rFonts w:cs="Arial"/>
          <w:rtl/>
        </w:rPr>
        <w:footnoteReference w:id="374"/>
      </w:r>
      <w:r w:rsidR="00D408B2">
        <w:rPr>
          <w:rFonts w:cs="Arial" w:hint="cs"/>
          <w:rtl/>
        </w:rPr>
        <w:t>,</w:t>
      </w:r>
      <w:r w:rsidRPr="00486F46">
        <w:rPr>
          <w:rFonts w:cs="Arial"/>
          <w:rtl/>
        </w:rPr>
        <w:t xml:space="preserve"> ותהיה רחבה חוצה לו כדי להשתמש בה</w:t>
      </w:r>
      <w:r w:rsidR="00D408B2">
        <w:rPr>
          <w:rFonts w:cs="Arial" w:hint="cs"/>
          <w:rtl/>
        </w:rPr>
        <w:t>,</w:t>
      </w:r>
      <w:r w:rsidRPr="00486F46">
        <w:rPr>
          <w:rFonts w:cs="Arial"/>
          <w:rtl/>
        </w:rPr>
        <w:t xml:space="preserve"> ויהיה לו בית הכסא חוץ ממנו</w:t>
      </w:r>
      <w:r>
        <w:rPr>
          <w:rFonts w:cs="Arial" w:hint="cs"/>
          <w:sz w:val="16"/>
          <w:szCs w:val="16"/>
          <w:rtl/>
        </w:rPr>
        <w:t xml:space="preserve"> (ל' הרמב"ם)</w:t>
      </w:r>
      <w:r w:rsidRPr="00486F46">
        <w:rPr>
          <w:rFonts w:cs="Arial"/>
          <w:rtl/>
        </w:rPr>
        <w:t xml:space="preserve">. </w:t>
      </w:r>
      <w:r w:rsidR="009F349A" w:rsidRPr="00D33EFE">
        <w:rPr>
          <w:rFonts w:hint="cs"/>
          <w:color w:val="E36C0A" w:themeColor="accent6" w:themeShade="BF"/>
          <w:rtl/>
        </w:rPr>
        <w:t>(וכ"פ בשו"ע)</w:t>
      </w:r>
    </w:p>
    <w:p w14:paraId="78DA5DCE" w14:textId="77777777" w:rsidR="00474B1B" w:rsidRDefault="00474B1B" w:rsidP="00474B1B">
      <w:pPr>
        <w:rPr>
          <w:rFonts w:cs="Arial"/>
          <w:rtl/>
        </w:rPr>
      </w:pPr>
      <w:r w:rsidRPr="003024E5">
        <w:rPr>
          <w:rFonts w:asciiTheme="minorBidi" w:hAnsiTheme="minorBidi"/>
          <w:b/>
          <w:bCs/>
          <w:color w:val="000000"/>
          <w:sz w:val="28"/>
          <w:szCs w:val="28"/>
          <w:u w:val="single"/>
          <w:rtl/>
        </w:rPr>
        <w:t>שו"ע:</w:t>
      </w:r>
    </w:p>
    <w:p w14:paraId="183B6C71" w14:textId="21193E2E" w:rsidR="00471D63" w:rsidRDefault="00471D63" w:rsidP="00471D63">
      <w:pPr>
        <w:rPr>
          <w:rtl/>
        </w:rPr>
      </w:pPr>
      <w:r>
        <w:rPr>
          <w:rFonts w:cs="Arial"/>
          <w:rtl/>
        </w:rPr>
        <w:t xml:space="preserve">המדור ששוכר לה, בית של ארבע אמות על ארבע אמות, ותהיה רחבה חוצה לו, ויהיה לו בית הכסא חוץ ממנו. </w:t>
      </w:r>
    </w:p>
    <w:p w14:paraId="6073211B" w14:textId="77777777" w:rsidR="0079449D" w:rsidRDefault="0079449D" w:rsidP="00471D63">
      <w:pPr>
        <w:rPr>
          <w:rtl/>
        </w:rPr>
      </w:pPr>
    </w:p>
    <w:p w14:paraId="3ABBF8D4" w14:textId="5BE8EDEC" w:rsidR="00471D63" w:rsidRDefault="00471D63" w:rsidP="000F64D0">
      <w:pPr>
        <w:pStyle w:val="2"/>
        <w:rPr>
          <w:rtl/>
        </w:rPr>
      </w:pPr>
      <w:r>
        <w:rPr>
          <w:rtl/>
        </w:rPr>
        <w:t>סעיף ג</w:t>
      </w:r>
      <w:r w:rsidR="0079449D">
        <w:rPr>
          <w:rFonts w:hint="cs"/>
          <w:rtl/>
        </w:rPr>
        <w:t>:</w:t>
      </w:r>
      <w:r w:rsidR="00E47343">
        <w:rPr>
          <w:rFonts w:hint="cs"/>
          <w:rtl/>
        </w:rPr>
        <w:t xml:space="preserve"> תכשיטים.</w:t>
      </w:r>
    </w:p>
    <w:p w14:paraId="7E90A523" w14:textId="5303465A" w:rsidR="00E47343" w:rsidRDefault="00E47343" w:rsidP="00E47343">
      <w:pPr>
        <w:rPr>
          <w:rtl/>
        </w:rPr>
      </w:pPr>
      <w:r w:rsidRPr="005E29BB">
        <w:rPr>
          <w:rFonts w:cs="Arial" w:hint="cs"/>
          <w:b/>
          <w:bCs/>
          <w:rtl/>
        </w:rPr>
        <w:t xml:space="preserve">כתובות </w:t>
      </w:r>
      <w:r w:rsidRPr="005E29BB">
        <w:rPr>
          <w:rFonts w:cs="Arial" w:hint="cs"/>
          <w:b/>
          <w:bCs/>
          <w:sz w:val="16"/>
          <w:szCs w:val="16"/>
          <w:rtl/>
        </w:rPr>
        <w:t>(פ' שני דייני)</w:t>
      </w:r>
      <w:r w:rsidRPr="005E29BB">
        <w:rPr>
          <w:rFonts w:cs="Arial" w:hint="cs"/>
          <w:b/>
          <w:bCs/>
          <w:rtl/>
        </w:rPr>
        <w:t xml:space="preserve"> קז ע"א:</w:t>
      </w:r>
      <w:r>
        <w:rPr>
          <w:rFonts w:hint="cs"/>
          <w:rtl/>
        </w:rPr>
        <w:t xml:space="preserve"> </w:t>
      </w:r>
      <w:r w:rsidRPr="00C479CF">
        <w:rPr>
          <w:rFonts w:cs="Arial"/>
          <w:rtl/>
        </w:rPr>
        <w:t>ת"ש מי שהלך למדינת הים ואשתו תובעת מזונות, ב"ד יורדים לנכסיו וזנין ומפרנסין לאשתו, אבל לא בניו ובנותיו ולא דבר אחר</w:t>
      </w:r>
      <w:r>
        <w:rPr>
          <w:rFonts w:cs="Arial" w:hint="cs"/>
          <w:rtl/>
        </w:rPr>
        <w:t>...</w:t>
      </w:r>
      <w:r w:rsidRPr="00C479CF">
        <w:rPr>
          <w:rtl/>
        </w:rPr>
        <w:t xml:space="preserve"> </w:t>
      </w:r>
      <w:r w:rsidRPr="00C479CF">
        <w:rPr>
          <w:rFonts w:cs="Arial"/>
          <w:rtl/>
        </w:rPr>
        <w:t xml:space="preserve">מאי דבר אחר? </w:t>
      </w:r>
      <w:r w:rsidRPr="00C479CF">
        <w:rPr>
          <w:rFonts w:cs="Arial"/>
          <w:u w:val="single"/>
          <w:rtl/>
        </w:rPr>
        <w:t>רב חסדא אמר</w:t>
      </w:r>
      <w:r w:rsidRPr="00C479CF">
        <w:rPr>
          <w:rFonts w:cs="Arial"/>
          <w:rtl/>
        </w:rPr>
        <w:t>: תכשיט</w:t>
      </w:r>
      <w:r>
        <w:rPr>
          <w:rFonts w:cs="Arial" w:hint="cs"/>
          <w:rtl/>
        </w:rPr>
        <w:t>.</w:t>
      </w:r>
      <w:r w:rsidRPr="00C479CF">
        <w:rPr>
          <w:rFonts w:cs="Arial"/>
          <w:rtl/>
        </w:rPr>
        <w:t xml:space="preserve"> </w:t>
      </w:r>
      <w:r w:rsidRPr="00C479CF">
        <w:rPr>
          <w:rFonts w:cs="Arial"/>
          <w:u w:val="single"/>
          <w:rtl/>
        </w:rPr>
        <w:t>רב יוסף אמר</w:t>
      </w:r>
      <w:r w:rsidRPr="00C479CF">
        <w:rPr>
          <w:rFonts w:cs="Arial"/>
          <w:rtl/>
        </w:rPr>
        <w:t>: צדקה. מ"ד תכשיט, כל שכן</w:t>
      </w:r>
      <w:r>
        <w:rPr>
          <w:rFonts w:cs="Arial" w:hint="cs"/>
          <w:sz w:val="14"/>
          <w:szCs w:val="14"/>
          <w:rtl/>
        </w:rPr>
        <w:t xml:space="preserve"> (קז:)</w:t>
      </w:r>
      <w:r w:rsidRPr="00C479CF">
        <w:rPr>
          <w:rtl/>
        </w:rPr>
        <w:t xml:space="preserve"> </w:t>
      </w:r>
      <w:r w:rsidRPr="00C479CF">
        <w:rPr>
          <w:rFonts w:cs="Arial"/>
          <w:rtl/>
        </w:rPr>
        <w:t>צדקה; מ"ד צדקה, אבל תכשיט יהבינן לה, דלא ניחא ליה דתינוול.</w:t>
      </w:r>
      <w:r w:rsidRPr="00F64E71">
        <w:rPr>
          <w:rFonts w:cs="Arial" w:hint="cs"/>
          <w:sz w:val="16"/>
          <w:szCs w:val="16"/>
          <w:rtl/>
        </w:rPr>
        <w:t xml:space="preserve"> </w:t>
      </w:r>
      <w:r>
        <w:rPr>
          <w:rFonts w:cs="Arial" w:hint="cs"/>
          <w:sz w:val="16"/>
          <w:szCs w:val="16"/>
          <w:rtl/>
        </w:rPr>
        <w:t>(</w:t>
      </w:r>
      <w:r w:rsidRPr="00F64E71">
        <w:rPr>
          <w:rFonts w:cs="Arial" w:hint="cs"/>
          <w:sz w:val="16"/>
          <w:szCs w:val="16"/>
          <w:rtl/>
        </w:rPr>
        <w:t>מד</w:t>
      </w:r>
      <w:r w:rsidRPr="00F64E71">
        <w:rPr>
          <w:rFonts w:cs="Arial"/>
          <w:sz w:val="16"/>
          <w:szCs w:val="16"/>
          <w:rtl/>
        </w:rPr>
        <w:t xml:space="preserve">נחלקו </w:t>
      </w:r>
      <w:r w:rsidRPr="00F64E71">
        <w:rPr>
          <w:rFonts w:cs="Arial" w:hint="cs"/>
          <w:sz w:val="16"/>
          <w:szCs w:val="16"/>
          <w:rtl/>
        </w:rPr>
        <w:t xml:space="preserve">אם יש לה </w:t>
      </w:r>
      <w:r w:rsidRPr="00F64E71">
        <w:rPr>
          <w:rFonts w:cs="Arial"/>
          <w:sz w:val="16"/>
          <w:szCs w:val="16"/>
          <w:rtl/>
        </w:rPr>
        <w:t>תכשיט אלמא דלכולי עלמא בפניו יש לה תכשיט</w:t>
      </w:r>
      <w:r w:rsidR="00673A6B">
        <w:rPr>
          <w:rFonts w:cs="Arial" w:hint="cs"/>
          <w:sz w:val="16"/>
          <w:szCs w:val="16"/>
          <w:rtl/>
        </w:rPr>
        <w:t>,</w:t>
      </w:r>
      <w:r w:rsidRPr="00F64E71">
        <w:rPr>
          <w:rFonts w:cs="Arial"/>
          <w:sz w:val="16"/>
          <w:szCs w:val="16"/>
          <w:rtl/>
        </w:rPr>
        <w:t xml:space="preserve"> ופשוט הוא</w:t>
      </w:r>
      <w:r w:rsidRPr="00F64E71">
        <w:rPr>
          <w:rFonts w:hint="cs"/>
          <w:sz w:val="16"/>
          <w:szCs w:val="16"/>
          <w:rtl/>
        </w:rPr>
        <w:t xml:space="preserve">, הה"מ </w:t>
      </w:r>
      <w:r>
        <w:rPr>
          <w:rFonts w:cs="Arial" w:hint="cs"/>
          <w:sz w:val="16"/>
          <w:szCs w:val="16"/>
          <w:rtl/>
        </w:rPr>
        <w:t>[פי"ג מאישות ה"ד]</w:t>
      </w:r>
      <w:r w:rsidRPr="00F64E71">
        <w:rPr>
          <w:rFonts w:hint="cs"/>
          <w:sz w:val="16"/>
          <w:szCs w:val="16"/>
          <w:rtl/>
        </w:rPr>
        <w:t>)</w:t>
      </w:r>
      <w:r>
        <w:rPr>
          <w:rFonts w:hint="cs"/>
          <w:rtl/>
        </w:rPr>
        <w:t xml:space="preserve"> </w:t>
      </w:r>
    </w:p>
    <w:p w14:paraId="4DB97FBF" w14:textId="6223BCAF" w:rsidR="00E47343" w:rsidRPr="00E47343" w:rsidRDefault="00E47343" w:rsidP="00E47343">
      <w:pPr>
        <w:rPr>
          <w:u w:val="single"/>
          <w:rtl/>
        </w:rPr>
      </w:pPr>
      <w:r w:rsidRPr="00E47343">
        <w:rPr>
          <w:rFonts w:hint="cs"/>
          <w:u w:val="single"/>
          <w:rtl/>
        </w:rPr>
        <w:t>חיוב תכשיטים על הבעל:</w:t>
      </w:r>
    </w:p>
    <w:p w14:paraId="500AD24C" w14:textId="3FAEC6C8" w:rsidR="0079449D" w:rsidRPr="00E47343" w:rsidRDefault="00E47343" w:rsidP="00E47343">
      <w:pPr>
        <w:pStyle w:val="ab"/>
        <w:numPr>
          <w:ilvl w:val="0"/>
          <w:numId w:val="7"/>
        </w:numPr>
        <w:rPr>
          <w:rFonts w:cs="Arial"/>
          <w:rtl/>
        </w:rPr>
      </w:pPr>
      <w:r>
        <w:rPr>
          <w:rFonts w:cs="Arial" w:hint="cs"/>
          <w:rtl/>
        </w:rPr>
        <w:lastRenderedPageBreak/>
        <w:t xml:space="preserve">רמב"ם </w:t>
      </w:r>
      <w:r>
        <w:rPr>
          <w:rFonts w:cs="Arial" w:hint="cs"/>
          <w:sz w:val="16"/>
          <w:szCs w:val="16"/>
          <w:rtl/>
        </w:rPr>
        <w:t>(פי"ג מאישות ה"ד)</w:t>
      </w:r>
      <w:r w:rsidRPr="00794F86">
        <w:rPr>
          <w:rFonts w:cs="Arial" w:hint="cs"/>
          <w:rtl/>
        </w:rPr>
        <w:t xml:space="preserve"> </w:t>
      </w:r>
      <w:r>
        <w:rPr>
          <w:rFonts w:cs="Arial" w:hint="cs"/>
          <w:rtl/>
        </w:rPr>
        <w:t xml:space="preserve">וטור- </w:t>
      </w:r>
      <w:r w:rsidRPr="00486F46">
        <w:rPr>
          <w:rFonts w:cs="Arial"/>
          <w:rtl/>
        </w:rPr>
        <w:t>וכן מחייבין אותו ליתן לה תכשיטיה</w:t>
      </w:r>
      <w:r w:rsidR="00673A6B">
        <w:rPr>
          <w:rFonts w:cs="Arial" w:hint="cs"/>
          <w:rtl/>
        </w:rPr>
        <w:t>,</w:t>
      </w:r>
      <w:r w:rsidRPr="00486F46">
        <w:rPr>
          <w:rFonts w:cs="Arial"/>
          <w:rtl/>
        </w:rPr>
        <w:t xml:space="preserve"> כגון בגדי צבעונין להקיף על ראשה ופדחתה ופוך ושרק וכיוצא בהן כדי שלא תתגנה עליו</w:t>
      </w:r>
      <w:r>
        <w:rPr>
          <w:rFonts w:cs="Arial" w:hint="cs"/>
          <w:sz w:val="16"/>
          <w:szCs w:val="16"/>
          <w:rtl/>
        </w:rPr>
        <w:t xml:space="preserve"> (ל' הרמב"ם)</w:t>
      </w:r>
      <w:r w:rsidRPr="00486F46">
        <w:rPr>
          <w:rFonts w:cs="Arial"/>
          <w:rtl/>
        </w:rPr>
        <w:t xml:space="preserve">. </w:t>
      </w:r>
      <w:r w:rsidR="009F349A" w:rsidRPr="00D33EFE">
        <w:rPr>
          <w:rFonts w:hint="cs"/>
          <w:color w:val="E36C0A" w:themeColor="accent6" w:themeShade="BF"/>
          <w:rtl/>
        </w:rPr>
        <w:t>(וכ"פ בשו"ע)</w:t>
      </w:r>
      <w:r w:rsidR="00B13367">
        <w:rPr>
          <w:rFonts w:cs="Arial" w:hint="cs"/>
          <w:rtl/>
        </w:rPr>
        <w:t xml:space="preserve"> </w:t>
      </w:r>
      <w:r w:rsidR="00B13367" w:rsidRPr="00B13367">
        <w:rPr>
          <w:rFonts w:cs="Arial" w:hint="cs"/>
          <w:color w:val="00B0F0"/>
          <w:rtl/>
        </w:rPr>
        <w:t>(וכ"פ הרמ"א)</w:t>
      </w:r>
    </w:p>
    <w:p w14:paraId="6C4D9DB2" w14:textId="77777777" w:rsidR="00474B1B" w:rsidRDefault="00474B1B" w:rsidP="00474B1B">
      <w:pPr>
        <w:rPr>
          <w:rFonts w:cs="Arial"/>
          <w:rtl/>
        </w:rPr>
      </w:pPr>
      <w:r w:rsidRPr="003024E5">
        <w:rPr>
          <w:rFonts w:asciiTheme="minorBidi" w:hAnsiTheme="minorBidi"/>
          <w:b/>
          <w:bCs/>
          <w:color w:val="000000"/>
          <w:sz w:val="28"/>
          <w:szCs w:val="28"/>
          <w:u w:val="single"/>
          <w:rtl/>
        </w:rPr>
        <w:t>שו"ע:</w:t>
      </w:r>
    </w:p>
    <w:p w14:paraId="5845A552" w14:textId="36CCB8A8" w:rsidR="00471D63" w:rsidRDefault="00471D63" w:rsidP="00471D63">
      <w:pPr>
        <w:rPr>
          <w:rtl/>
        </w:rPr>
      </w:pPr>
      <w:r>
        <w:rPr>
          <w:rFonts w:cs="Arial"/>
          <w:rtl/>
        </w:rPr>
        <w:t>ומחייבין אותו ליתן לה תכשיטיה, כגון בגדי צבעונין להקיף על ראשה ופדחתה, ופוך ושרק</w:t>
      </w:r>
      <w:r w:rsidR="0079449D">
        <w:rPr>
          <w:rFonts w:cs="Arial" w:hint="cs"/>
          <w:rtl/>
        </w:rPr>
        <w:t>.</w:t>
      </w:r>
      <w:r>
        <w:rPr>
          <w:rFonts w:cs="Arial"/>
          <w:rtl/>
        </w:rPr>
        <w:t xml:space="preserve"> </w:t>
      </w:r>
      <w:r w:rsidRPr="0079449D">
        <w:rPr>
          <w:rFonts w:cs="Arial"/>
          <w:sz w:val="18"/>
          <w:szCs w:val="18"/>
          <w:rtl/>
        </w:rPr>
        <w:t xml:space="preserve">הגה: וכיוצא בהן. </w:t>
      </w:r>
    </w:p>
    <w:p w14:paraId="6E4E58CA" w14:textId="77777777" w:rsidR="0079449D" w:rsidRDefault="0079449D" w:rsidP="00471D63">
      <w:pPr>
        <w:rPr>
          <w:rtl/>
        </w:rPr>
      </w:pPr>
    </w:p>
    <w:p w14:paraId="02E41F7F" w14:textId="0BB5175D" w:rsidR="00471D63" w:rsidRDefault="00471D63" w:rsidP="000F64D0">
      <w:pPr>
        <w:pStyle w:val="2"/>
        <w:rPr>
          <w:rtl/>
        </w:rPr>
      </w:pPr>
      <w:r>
        <w:rPr>
          <w:rtl/>
        </w:rPr>
        <w:t>סעיף ד</w:t>
      </w:r>
      <w:r w:rsidR="0079449D">
        <w:rPr>
          <w:rFonts w:hint="cs"/>
          <w:rtl/>
        </w:rPr>
        <w:t>:</w:t>
      </w:r>
      <w:r w:rsidR="00E47343">
        <w:rPr>
          <w:rFonts w:hint="cs"/>
          <w:rtl/>
        </w:rPr>
        <w:t xml:space="preserve"> בעל עשיר.</w:t>
      </w:r>
    </w:p>
    <w:p w14:paraId="0E0B6ACB" w14:textId="1F33CFC3" w:rsidR="00BA0D75" w:rsidRPr="00BA0D75" w:rsidRDefault="00BA0D75" w:rsidP="00BA0D75">
      <w:pPr>
        <w:rPr>
          <w:rtl/>
        </w:rPr>
      </w:pPr>
      <w:r>
        <w:rPr>
          <w:rFonts w:cs="Arial" w:hint="cs"/>
          <w:b/>
          <w:bCs/>
          <w:rtl/>
        </w:rPr>
        <w:t xml:space="preserve">כתובות </w:t>
      </w:r>
      <w:r w:rsidRPr="00486F46">
        <w:rPr>
          <w:rFonts w:cs="Arial" w:hint="cs"/>
          <w:b/>
          <w:bCs/>
          <w:sz w:val="16"/>
          <w:szCs w:val="16"/>
          <w:rtl/>
        </w:rPr>
        <w:t xml:space="preserve">(פ' אף על פי) </w:t>
      </w:r>
      <w:r>
        <w:rPr>
          <w:rFonts w:cs="Arial" w:hint="cs"/>
          <w:b/>
          <w:bCs/>
          <w:rtl/>
        </w:rPr>
        <w:t xml:space="preserve">סד ע"ב: </w:t>
      </w:r>
      <w:r w:rsidRPr="00486F46">
        <w:rPr>
          <w:rFonts w:cs="Arial"/>
          <w:u w:val="double"/>
          <w:rtl/>
        </w:rPr>
        <w:t>מתני'</w:t>
      </w:r>
      <w:r>
        <w:rPr>
          <w:rFonts w:cs="Arial" w:hint="cs"/>
          <w:rtl/>
        </w:rPr>
        <w:t>:</w:t>
      </w:r>
      <w:r w:rsidRPr="004254E2">
        <w:rPr>
          <w:rFonts w:cs="Arial"/>
          <w:rtl/>
        </w:rPr>
        <w:t xml:space="preserve"> המשרה את אשתו על ידי שליש.</w:t>
      </w:r>
      <w:r>
        <w:rPr>
          <w:rFonts w:cs="Arial" w:hint="cs"/>
          <w:rtl/>
        </w:rPr>
        <w:t>.</w:t>
      </w:r>
      <w:r w:rsidRPr="004254E2">
        <w:rPr>
          <w:rFonts w:cs="Arial"/>
          <w:rtl/>
        </w:rPr>
        <w:t xml:space="preserve">. במה דברים אמורים - בעני שבישראל, אבל במכובד הכל לפי כבודו. </w:t>
      </w:r>
      <w:r>
        <w:rPr>
          <w:rFonts w:cs="Arial" w:hint="cs"/>
          <w:rtl/>
        </w:rPr>
        <w:t xml:space="preserve">   </w:t>
      </w:r>
    </w:p>
    <w:p w14:paraId="15CEAA50" w14:textId="2546F215" w:rsidR="00E47343" w:rsidRPr="00E47343" w:rsidRDefault="00E47343" w:rsidP="00E47343">
      <w:pPr>
        <w:rPr>
          <w:u w:val="single"/>
          <w:rtl/>
        </w:rPr>
      </w:pPr>
      <w:r w:rsidRPr="00E47343">
        <w:rPr>
          <w:rFonts w:hint="cs"/>
          <w:u w:val="single"/>
          <w:rtl/>
        </w:rPr>
        <w:t>חיוב כסות של בעל עשיר:</w:t>
      </w:r>
    </w:p>
    <w:p w14:paraId="6ED4FC1D" w14:textId="6B0B22FA" w:rsidR="0079449D" w:rsidRPr="00E47343" w:rsidRDefault="00E47343" w:rsidP="00E47343">
      <w:pPr>
        <w:pStyle w:val="ab"/>
        <w:numPr>
          <w:ilvl w:val="0"/>
          <w:numId w:val="7"/>
        </w:numPr>
        <w:rPr>
          <w:rFonts w:cs="Arial"/>
          <w:rtl/>
        </w:rPr>
      </w:pPr>
      <w:r>
        <w:rPr>
          <w:rFonts w:cs="Arial" w:hint="cs"/>
          <w:rtl/>
        </w:rPr>
        <w:t xml:space="preserve">רמב"ם </w:t>
      </w:r>
      <w:r>
        <w:rPr>
          <w:rFonts w:cs="Arial" w:hint="cs"/>
          <w:sz w:val="16"/>
          <w:szCs w:val="16"/>
          <w:rtl/>
        </w:rPr>
        <w:t>(פי"ג מאישות ה"ה)</w:t>
      </w:r>
      <w:r w:rsidRPr="00794F86">
        <w:rPr>
          <w:rFonts w:cs="Arial" w:hint="cs"/>
          <w:rtl/>
        </w:rPr>
        <w:t xml:space="preserve"> </w:t>
      </w:r>
      <w:r>
        <w:rPr>
          <w:rFonts w:cs="Arial" w:hint="cs"/>
          <w:rtl/>
        </w:rPr>
        <w:t xml:space="preserve">וטור- </w:t>
      </w:r>
      <w:r w:rsidRPr="00486F46">
        <w:rPr>
          <w:rFonts w:cs="Arial"/>
          <w:rtl/>
        </w:rPr>
        <w:t>במה דברים אמורים בעני שבישראל</w:t>
      </w:r>
      <w:r>
        <w:rPr>
          <w:rFonts w:cs="Arial" w:hint="cs"/>
          <w:rtl/>
        </w:rPr>
        <w:t>,</w:t>
      </w:r>
      <w:r w:rsidRPr="00486F46">
        <w:rPr>
          <w:rFonts w:cs="Arial"/>
          <w:rtl/>
        </w:rPr>
        <w:t xml:space="preserve"> אבל בעשיר הכל לפי עשרו, ואפילו היה ראוי לקנות לה כלי משי ורקמה וכלי זהב כופין אותו ונותן, וכן המדור לפי עשרו והתכשיט וכלי הבית הכל לפי עשרו</w:t>
      </w:r>
      <w:r>
        <w:rPr>
          <w:rFonts w:cs="Arial" w:hint="cs"/>
          <w:sz w:val="16"/>
          <w:szCs w:val="16"/>
          <w:rtl/>
        </w:rPr>
        <w:t xml:space="preserve"> (ל' הרמב"ם)</w:t>
      </w:r>
      <w:r w:rsidRPr="00486F46">
        <w:rPr>
          <w:rFonts w:cs="Arial"/>
          <w:rtl/>
        </w:rPr>
        <w:t xml:space="preserve">. </w:t>
      </w:r>
      <w:r w:rsidR="00B13367" w:rsidRPr="00D33EFE">
        <w:rPr>
          <w:rFonts w:hint="cs"/>
          <w:color w:val="E36C0A" w:themeColor="accent6" w:themeShade="BF"/>
          <w:rtl/>
        </w:rPr>
        <w:t>(וכ"פ בשו"ע)</w:t>
      </w:r>
    </w:p>
    <w:p w14:paraId="78A7AB39" w14:textId="77777777" w:rsidR="00474B1B" w:rsidRDefault="00474B1B" w:rsidP="00474B1B">
      <w:pPr>
        <w:rPr>
          <w:rFonts w:cs="Arial"/>
          <w:rtl/>
        </w:rPr>
      </w:pPr>
      <w:r w:rsidRPr="003024E5">
        <w:rPr>
          <w:rFonts w:asciiTheme="minorBidi" w:hAnsiTheme="minorBidi"/>
          <w:b/>
          <w:bCs/>
          <w:color w:val="000000"/>
          <w:sz w:val="28"/>
          <w:szCs w:val="28"/>
          <w:u w:val="single"/>
          <w:rtl/>
        </w:rPr>
        <w:t>שו"ע:</w:t>
      </w:r>
    </w:p>
    <w:p w14:paraId="04990369" w14:textId="45F5E44A" w:rsidR="00471D63" w:rsidRDefault="00471D63" w:rsidP="00471D63">
      <w:pPr>
        <w:rPr>
          <w:rFonts w:cs="Arial"/>
          <w:rtl/>
        </w:rPr>
      </w:pPr>
      <w:r>
        <w:rPr>
          <w:rFonts w:cs="Arial"/>
          <w:rtl/>
        </w:rPr>
        <w:t>ב</w:t>
      </w:r>
      <w:r w:rsidR="0079449D">
        <w:rPr>
          <w:rFonts w:cs="Arial" w:hint="cs"/>
          <w:rtl/>
        </w:rPr>
        <w:t xml:space="preserve">מה דברים </w:t>
      </w:r>
      <w:r>
        <w:rPr>
          <w:rFonts w:cs="Arial"/>
          <w:rtl/>
        </w:rPr>
        <w:t>א</w:t>
      </w:r>
      <w:r w:rsidR="0079449D">
        <w:rPr>
          <w:rFonts w:cs="Arial" w:hint="cs"/>
          <w:rtl/>
        </w:rPr>
        <w:t>מורים</w:t>
      </w:r>
      <w:r>
        <w:rPr>
          <w:rFonts w:cs="Arial"/>
          <w:rtl/>
        </w:rPr>
        <w:t xml:space="preserve">, בעני שבישראל. אבל בעשיר, כל דברים הללו נותן לה לפי עשרו. </w:t>
      </w:r>
    </w:p>
    <w:p w14:paraId="0543C0D4" w14:textId="77777777" w:rsidR="0079449D" w:rsidRDefault="0079449D" w:rsidP="00471D63">
      <w:pPr>
        <w:rPr>
          <w:rtl/>
        </w:rPr>
      </w:pPr>
    </w:p>
    <w:p w14:paraId="7D24966E" w14:textId="44F2FCF6" w:rsidR="00471D63" w:rsidRDefault="00471D63" w:rsidP="000F64D0">
      <w:pPr>
        <w:pStyle w:val="2"/>
        <w:rPr>
          <w:rtl/>
        </w:rPr>
      </w:pPr>
      <w:r>
        <w:rPr>
          <w:rtl/>
        </w:rPr>
        <w:t>סעיף ה</w:t>
      </w:r>
      <w:r w:rsidR="0079449D">
        <w:rPr>
          <w:rFonts w:hint="cs"/>
          <w:rtl/>
        </w:rPr>
        <w:t>:</w:t>
      </w:r>
      <w:r w:rsidR="00E47343">
        <w:rPr>
          <w:rFonts w:hint="cs"/>
          <w:rtl/>
        </w:rPr>
        <w:t xml:space="preserve"> עני שלא יכול ליתן כסות.</w:t>
      </w:r>
    </w:p>
    <w:p w14:paraId="34FB26D0" w14:textId="00D05AAC" w:rsidR="007226C0" w:rsidRDefault="007226C0" w:rsidP="007226C0">
      <w:pPr>
        <w:rPr>
          <w:rFonts w:cs="Arial"/>
          <w:rtl/>
        </w:rPr>
      </w:pPr>
      <w:r w:rsidRPr="00380340">
        <w:rPr>
          <w:rFonts w:cs="Arial" w:hint="cs"/>
          <w:b/>
          <w:bCs/>
          <w:rtl/>
        </w:rPr>
        <w:t xml:space="preserve">כתובות </w:t>
      </w:r>
      <w:r w:rsidRPr="00380340">
        <w:rPr>
          <w:rFonts w:cs="Arial" w:hint="cs"/>
          <w:b/>
          <w:bCs/>
          <w:sz w:val="16"/>
          <w:szCs w:val="16"/>
          <w:rtl/>
        </w:rPr>
        <w:t xml:space="preserve">(פ' המדיר) </w:t>
      </w:r>
      <w:r w:rsidRPr="00380340">
        <w:rPr>
          <w:rFonts w:cs="Arial" w:hint="cs"/>
          <w:b/>
          <w:bCs/>
          <w:rtl/>
        </w:rPr>
        <w:t>עז ע"א:</w:t>
      </w:r>
      <w:r w:rsidRPr="00380340">
        <w:rPr>
          <w:rFonts w:cs="Arial" w:hint="cs"/>
          <w:rtl/>
        </w:rPr>
        <w:t xml:space="preserve"> </w:t>
      </w:r>
      <w:r w:rsidRPr="00380340">
        <w:rPr>
          <w:rFonts w:cs="Arial"/>
          <w:u w:val="single"/>
          <w:rtl/>
        </w:rPr>
        <w:t>אמר רב</w:t>
      </w:r>
      <w:r w:rsidRPr="00380340">
        <w:rPr>
          <w:rFonts w:cs="Arial"/>
          <w:rtl/>
        </w:rPr>
        <w:t>: האומר איני זן ואיני מפרנס - יוציא ויתן כתובה. אזל ר' אלעזר אמרה לשמעתא קמיה דשמואל,</w:t>
      </w:r>
      <w:r w:rsidRPr="00380340">
        <w:rPr>
          <w:rFonts w:cs="Arial" w:hint="cs"/>
          <w:rtl/>
        </w:rPr>
        <w:t xml:space="preserve"> </w:t>
      </w:r>
      <w:r w:rsidRPr="00380340">
        <w:rPr>
          <w:rFonts w:cs="Arial"/>
          <w:u w:val="single"/>
          <w:rtl/>
        </w:rPr>
        <w:t>אמר</w:t>
      </w:r>
      <w:r w:rsidRPr="00380340">
        <w:rPr>
          <w:rFonts w:cs="Arial"/>
          <w:rtl/>
        </w:rPr>
        <w:t>: אכסוה שערי</w:t>
      </w:r>
      <w:r>
        <w:rPr>
          <w:rStyle w:val="a7"/>
          <w:rFonts w:cs="Arial"/>
          <w:rtl/>
        </w:rPr>
        <w:footnoteReference w:id="375"/>
      </w:r>
      <w:r w:rsidRPr="00380340">
        <w:rPr>
          <w:rFonts w:cs="Arial"/>
          <w:rtl/>
        </w:rPr>
        <w:t xml:space="preserve"> לאלעזר! עד שכופין אותו להוציא, יכפוהו לזון. ורב? אין אדם דר עם נחש בכפיפה. כי סליק רבי זירא, אשכחיה לרבי בנימין בר יפת דיתיב וקאמר לה</w:t>
      </w:r>
      <w:r>
        <w:rPr>
          <w:rStyle w:val="a7"/>
          <w:rFonts w:cs="Arial"/>
          <w:rtl/>
        </w:rPr>
        <w:footnoteReference w:id="376"/>
      </w:r>
      <w:r w:rsidRPr="00380340">
        <w:rPr>
          <w:rFonts w:cs="Arial"/>
          <w:rtl/>
        </w:rPr>
        <w:t xml:space="preserve"> משמיה דרבי יוחנן</w:t>
      </w:r>
      <w:r>
        <w:rPr>
          <w:rStyle w:val="a7"/>
          <w:rFonts w:cs="Arial"/>
          <w:rtl/>
        </w:rPr>
        <w:footnoteReference w:id="377"/>
      </w:r>
      <w:r w:rsidRPr="00380340">
        <w:rPr>
          <w:rFonts w:cs="Arial"/>
          <w:rtl/>
        </w:rPr>
        <w:t>, אמר ליה: על דא אכסוה שערין לאלעזר בבבל.</w:t>
      </w:r>
      <w:r>
        <w:rPr>
          <w:rFonts w:cs="Arial" w:hint="cs"/>
          <w:rtl/>
        </w:rPr>
        <w:t xml:space="preserve"> </w:t>
      </w:r>
      <w:r w:rsidRPr="001976DD">
        <w:rPr>
          <w:rFonts w:cs="Arial" w:hint="cs"/>
          <w:sz w:val="16"/>
          <w:szCs w:val="16"/>
          <w:rtl/>
        </w:rPr>
        <w:t xml:space="preserve">(ופסקו </w:t>
      </w:r>
      <w:r w:rsidR="002253AF">
        <w:rPr>
          <w:rFonts w:cs="Arial" w:hint="cs"/>
          <w:sz w:val="16"/>
          <w:szCs w:val="16"/>
          <w:rtl/>
        </w:rPr>
        <w:t>ה</w:t>
      </w:r>
      <w:r w:rsidRPr="001976DD">
        <w:rPr>
          <w:rFonts w:cs="Arial" w:hint="cs"/>
          <w:sz w:val="16"/>
          <w:szCs w:val="16"/>
          <w:rtl/>
        </w:rPr>
        <w:t>ר"ח (כ"כ הה"מ בשמו [פי"ב הי"א])</w:t>
      </w:r>
      <w:r w:rsidRPr="001976DD">
        <w:rPr>
          <w:rFonts w:cs="Arial"/>
          <w:sz w:val="16"/>
          <w:szCs w:val="16"/>
          <w:rtl/>
        </w:rPr>
        <w:t xml:space="preserve"> </w:t>
      </w:r>
      <w:r w:rsidR="002253AF">
        <w:rPr>
          <w:rFonts w:cs="Arial" w:hint="cs"/>
          <w:sz w:val="16"/>
          <w:szCs w:val="16"/>
          <w:rtl/>
        </w:rPr>
        <w:t>ה</w:t>
      </w:r>
      <w:r w:rsidRPr="001976DD">
        <w:rPr>
          <w:rFonts w:cs="Arial"/>
          <w:sz w:val="16"/>
          <w:szCs w:val="16"/>
          <w:rtl/>
        </w:rPr>
        <w:t xml:space="preserve">רי"ף </w:t>
      </w:r>
      <w:r w:rsidRPr="001976DD">
        <w:rPr>
          <w:rFonts w:cs="Arial" w:hint="cs"/>
          <w:sz w:val="16"/>
          <w:szCs w:val="16"/>
          <w:rtl/>
        </w:rPr>
        <w:t>(</w:t>
      </w:r>
      <w:r w:rsidRPr="001976DD">
        <w:rPr>
          <w:rFonts w:cs="Arial"/>
          <w:sz w:val="16"/>
          <w:szCs w:val="16"/>
          <w:rtl/>
        </w:rPr>
        <w:t>לו.)</w:t>
      </w:r>
      <w:r w:rsidRPr="001976DD">
        <w:rPr>
          <w:rFonts w:cs="Arial" w:hint="cs"/>
          <w:sz w:val="16"/>
          <w:szCs w:val="16"/>
          <w:rtl/>
        </w:rPr>
        <w:t xml:space="preserve"> ו</w:t>
      </w:r>
      <w:r w:rsidR="002253AF">
        <w:rPr>
          <w:rFonts w:cs="Arial" w:hint="cs"/>
          <w:sz w:val="16"/>
          <w:szCs w:val="16"/>
          <w:rtl/>
        </w:rPr>
        <w:t>ה</w:t>
      </w:r>
      <w:r w:rsidRPr="001976DD">
        <w:rPr>
          <w:rFonts w:cs="Arial" w:hint="cs"/>
          <w:sz w:val="16"/>
          <w:szCs w:val="16"/>
          <w:rtl/>
        </w:rPr>
        <w:t xml:space="preserve">רמב"ם (פי"ב מאישות הי"א) </w:t>
      </w:r>
      <w:r w:rsidRPr="001976DD">
        <w:rPr>
          <w:rFonts w:cs="Arial"/>
          <w:sz w:val="16"/>
          <w:szCs w:val="16"/>
          <w:rtl/>
        </w:rPr>
        <w:t>כשמואל</w:t>
      </w:r>
      <w:r w:rsidRPr="001976DD">
        <w:rPr>
          <w:rFonts w:cs="Arial" w:hint="cs"/>
          <w:sz w:val="16"/>
          <w:szCs w:val="16"/>
          <w:rtl/>
        </w:rPr>
        <w:t>. אבל אם הוא עני ואין לו במה לפרנס, כתב הרמב"ם (שם)</w:t>
      </w:r>
      <w:r>
        <w:rPr>
          <w:rFonts w:cs="Arial" w:hint="cs"/>
          <w:sz w:val="16"/>
          <w:szCs w:val="16"/>
          <w:rtl/>
        </w:rPr>
        <w:t xml:space="preserve"> לגבי דיני מזונות</w:t>
      </w:r>
      <w:r w:rsidRPr="001976DD">
        <w:rPr>
          <w:rFonts w:cs="Arial" w:hint="cs"/>
          <w:sz w:val="16"/>
          <w:szCs w:val="16"/>
          <w:rtl/>
        </w:rPr>
        <w:t xml:space="preserve"> שכופין אותו להוציא</w:t>
      </w:r>
      <w:r w:rsidRPr="001976DD">
        <w:rPr>
          <w:rStyle w:val="a7"/>
          <w:rFonts w:cs="Arial"/>
          <w:sz w:val="16"/>
          <w:szCs w:val="16"/>
          <w:rtl/>
        </w:rPr>
        <w:footnoteReference w:id="378"/>
      </w:r>
      <w:r>
        <w:rPr>
          <w:rFonts w:cs="Arial" w:hint="cs"/>
          <w:sz w:val="16"/>
          <w:szCs w:val="16"/>
          <w:rtl/>
        </w:rPr>
        <w:t>, וכן כתב כאן (פי"ג ה"ה)</w:t>
      </w:r>
      <w:r w:rsidRPr="001976DD">
        <w:rPr>
          <w:rFonts w:cs="Arial" w:hint="cs"/>
          <w:sz w:val="16"/>
          <w:szCs w:val="16"/>
          <w:rtl/>
        </w:rPr>
        <w:t>)</w:t>
      </w:r>
    </w:p>
    <w:p w14:paraId="253D0412" w14:textId="13666117" w:rsidR="00E47343" w:rsidRPr="00E47343" w:rsidRDefault="00E47343" w:rsidP="007226C0">
      <w:pPr>
        <w:rPr>
          <w:rFonts w:cs="Arial"/>
          <w:u w:val="single"/>
        </w:rPr>
      </w:pPr>
      <w:r w:rsidRPr="00E47343">
        <w:rPr>
          <w:rFonts w:hint="cs"/>
          <w:u w:val="single"/>
          <w:rtl/>
        </w:rPr>
        <w:t>עני שלא יכול ליתן כסות</w:t>
      </w:r>
      <w:r w:rsidRPr="00E47343">
        <w:rPr>
          <w:rFonts w:cs="Arial" w:hint="cs"/>
          <w:u w:val="single"/>
          <w:rtl/>
        </w:rPr>
        <w:t>:</w:t>
      </w:r>
    </w:p>
    <w:p w14:paraId="072B50AC" w14:textId="650F9EBF" w:rsidR="0079449D" w:rsidRPr="00E47343" w:rsidRDefault="00E47343" w:rsidP="00E47343">
      <w:pPr>
        <w:pStyle w:val="ab"/>
        <w:numPr>
          <w:ilvl w:val="0"/>
          <w:numId w:val="7"/>
        </w:numPr>
        <w:rPr>
          <w:rFonts w:cs="Arial"/>
          <w:rtl/>
        </w:rPr>
      </w:pPr>
      <w:r>
        <w:rPr>
          <w:rFonts w:cs="Arial" w:hint="cs"/>
          <w:rtl/>
        </w:rPr>
        <w:t xml:space="preserve">רמב"ם </w:t>
      </w:r>
      <w:r>
        <w:rPr>
          <w:rFonts w:cs="Arial" w:hint="cs"/>
          <w:sz w:val="16"/>
          <w:szCs w:val="16"/>
          <w:rtl/>
        </w:rPr>
        <w:t>(פי"ג מאישות ה"ה)</w:t>
      </w:r>
      <w:r w:rsidRPr="00794F86">
        <w:rPr>
          <w:rFonts w:cs="Arial" w:hint="cs"/>
          <w:rtl/>
        </w:rPr>
        <w:t xml:space="preserve"> </w:t>
      </w:r>
      <w:r>
        <w:rPr>
          <w:rFonts w:cs="Arial" w:hint="cs"/>
          <w:rtl/>
        </w:rPr>
        <w:t xml:space="preserve">וטור- </w:t>
      </w:r>
      <w:r w:rsidRPr="00486F46">
        <w:rPr>
          <w:rFonts w:cs="Arial"/>
          <w:rtl/>
        </w:rPr>
        <w:t xml:space="preserve">ואם קצרה ידו ליתן לה אפילו כעני שבישראל </w:t>
      </w:r>
      <w:r w:rsidR="00BA0D75">
        <w:rPr>
          <w:rFonts w:cs="Arial" w:hint="cs"/>
          <w:rtl/>
        </w:rPr>
        <w:t xml:space="preserve">- </w:t>
      </w:r>
      <w:r w:rsidRPr="00486F46">
        <w:rPr>
          <w:rFonts w:cs="Arial"/>
          <w:rtl/>
        </w:rPr>
        <w:t>כופין אותו להוציא ותהיה הכתובה חוב עליו עד שיעשיר</w:t>
      </w:r>
      <w:r>
        <w:rPr>
          <w:rFonts w:cs="Arial" w:hint="cs"/>
          <w:sz w:val="16"/>
          <w:szCs w:val="16"/>
          <w:rtl/>
        </w:rPr>
        <w:t xml:space="preserve"> (ל' הרמב"ם)</w:t>
      </w:r>
      <w:r w:rsidRPr="00486F46">
        <w:rPr>
          <w:rFonts w:cs="Arial"/>
          <w:rtl/>
        </w:rPr>
        <w:t xml:space="preserve">. </w:t>
      </w:r>
      <w:r w:rsidR="00B13367" w:rsidRPr="00D33EFE">
        <w:rPr>
          <w:rFonts w:hint="cs"/>
          <w:color w:val="E36C0A" w:themeColor="accent6" w:themeShade="BF"/>
          <w:rtl/>
        </w:rPr>
        <w:t>(וכ"פ בשו"ע)</w:t>
      </w:r>
      <w:r w:rsidR="00B13367" w:rsidRPr="00B13367">
        <w:rPr>
          <w:rFonts w:cs="Arial" w:hint="cs"/>
          <w:color w:val="00B0F0"/>
          <w:rtl/>
        </w:rPr>
        <w:t xml:space="preserve"> (וכ"פ הרמ"א)</w:t>
      </w:r>
    </w:p>
    <w:p w14:paraId="5360A9C2" w14:textId="77777777" w:rsidR="00474B1B" w:rsidRDefault="00474B1B" w:rsidP="00474B1B">
      <w:pPr>
        <w:rPr>
          <w:rFonts w:cs="Arial"/>
          <w:rtl/>
        </w:rPr>
      </w:pPr>
      <w:r w:rsidRPr="003024E5">
        <w:rPr>
          <w:rFonts w:asciiTheme="minorBidi" w:hAnsiTheme="minorBidi"/>
          <w:b/>
          <w:bCs/>
          <w:color w:val="000000"/>
          <w:sz w:val="28"/>
          <w:szCs w:val="28"/>
          <w:u w:val="single"/>
          <w:rtl/>
        </w:rPr>
        <w:t>שו"ע:</w:t>
      </w:r>
    </w:p>
    <w:p w14:paraId="7FABEF23" w14:textId="6CCD0EEB" w:rsidR="00471D63" w:rsidRDefault="00471D63" w:rsidP="00471D63">
      <w:pPr>
        <w:rPr>
          <w:rtl/>
        </w:rPr>
      </w:pPr>
      <w:r>
        <w:rPr>
          <w:rFonts w:cs="Arial"/>
          <w:rtl/>
        </w:rPr>
        <w:t>אם קצרה ידו ליתן לה אפילו בעני שבישראל, כופין אותו להוציא</w:t>
      </w:r>
      <w:r w:rsidR="0079449D">
        <w:rPr>
          <w:rFonts w:cs="Arial" w:hint="cs"/>
          <w:rtl/>
        </w:rPr>
        <w:t>.</w:t>
      </w:r>
      <w:r>
        <w:rPr>
          <w:rFonts w:cs="Arial"/>
          <w:rtl/>
        </w:rPr>
        <w:t xml:space="preserve"> </w:t>
      </w:r>
      <w:r w:rsidR="0079449D">
        <w:rPr>
          <w:rFonts w:cs="Arial" w:hint="cs"/>
          <w:sz w:val="18"/>
          <w:szCs w:val="18"/>
          <w:rtl/>
        </w:rPr>
        <w:t xml:space="preserve">[הגה] </w:t>
      </w:r>
      <w:r w:rsidRPr="0079449D">
        <w:rPr>
          <w:rFonts w:cs="Arial"/>
          <w:sz w:val="18"/>
          <w:szCs w:val="18"/>
          <w:rtl/>
        </w:rPr>
        <w:t>ותהיה הכתובה חוב עליו עד שיעשיר (טור וע"ל סי</w:t>
      </w:r>
      <w:r w:rsidR="00B5477D">
        <w:rPr>
          <w:rFonts w:cs="Arial" w:hint="cs"/>
          <w:sz w:val="18"/>
          <w:szCs w:val="18"/>
          <w:rtl/>
        </w:rPr>
        <w:t>'</w:t>
      </w:r>
      <w:r w:rsidRPr="0079449D">
        <w:rPr>
          <w:rFonts w:cs="Arial"/>
          <w:sz w:val="18"/>
          <w:szCs w:val="18"/>
          <w:rtl/>
        </w:rPr>
        <w:t xml:space="preserve"> ע סע</w:t>
      </w:r>
      <w:r w:rsidR="00B5477D">
        <w:rPr>
          <w:rFonts w:cs="Arial" w:hint="cs"/>
          <w:sz w:val="18"/>
          <w:szCs w:val="18"/>
          <w:rtl/>
        </w:rPr>
        <w:t>'</w:t>
      </w:r>
      <w:r w:rsidRPr="0079449D">
        <w:rPr>
          <w:rFonts w:cs="Arial"/>
          <w:sz w:val="18"/>
          <w:szCs w:val="18"/>
          <w:rtl/>
        </w:rPr>
        <w:t xml:space="preserve"> ג).</w:t>
      </w:r>
      <w:r w:rsidR="000A7B1B">
        <w:rPr>
          <w:rFonts w:cs="Arial" w:hint="cs"/>
          <w:sz w:val="18"/>
          <w:szCs w:val="18"/>
          <w:rtl/>
        </w:rPr>
        <w:t xml:space="preserve"> </w:t>
      </w:r>
    </w:p>
    <w:p w14:paraId="464343D2" w14:textId="77777777" w:rsidR="0079449D" w:rsidRDefault="0079449D" w:rsidP="00471D63">
      <w:pPr>
        <w:rPr>
          <w:rtl/>
        </w:rPr>
      </w:pPr>
    </w:p>
    <w:p w14:paraId="02020615" w14:textId="19C46637" w:rsidR="00471D63" w:rsidRDefault="00471D63" w:rsidP="000F64D0">
      <w:pPr>
        <w:pStyle w:val="2"/>
        <w:rPr>
          <w:rtl/>
        </w:rPr>
      </w:pPr>
      <w:r>
        <w:rPr>
          <w:rtl/>
        </w:rPr>
        <w:t>סעיף ו</w:t>
      </w:r>
      <w:r w:rsidR="0079449D">
        <w:rPr>
          <w:rFonts w:hint="cs"/>
          <w:rtl/>
        </w:rPr>
        <w:t>:</w:t>
      </w:r>
      <w:r w:rsidR="00E47343">
        <w:rPr>
          <w:rFonts w:hint="cs"/>
          <w:rtl/>
        </w:rPr>
        <w:t xml:space="preserve"> חיוב כסות לבניו ובנותיו.</w:t>
      </w:r>
    </w:p>
    <w:p w14:paraId="1E921D94" w14:textId="7DD72D33" w:rsidR="00175ED5" w:rsidRPr="00175ED5" w:rsidRDefault="00175ED5" w:rsidP="00175ED5">
      <w:pPr>
        <w:rPr>
          <w:rFonts w:cs="Arial"/>
          <w:rtl/>
        </w:rPr>
      </w:pPr>
      <w:r w:rsidRPr="00380340">
        <w:rPr>
          <w:rFonts w:cs="Arial" w:hint="cs"/>
          <w:b/>
          <w:bCs/>
          <w:rtl/>
        </w:rPr>
        <w:t xml:space="preserve">כתובות </w:t>
      </w:r>
      <w:r w:rsidRPr="00380340">
        <w:rPr>
          <w:rFonts w:cs="Arial" w:hint="cs"/>
          <w:b/>
          <w:bCs/>
          <w:sz w:val="16"/>
          <w:szCs w:val="16"/>
          <w:rtl/>
        </w:rPr>
        <w:t xml:space="preserve">(פ' </w:t>
      </w:r>
      <w:r>
        <w:rPr>
          <w:rFonts w:cs="Arial" w:hint="cs"/>
          <w:b/>
          <w:bCs/>
          <w:sz w:val="16"/>
          <w:szCs w:val="16"/>
          <w:rtl/>
        </w:rPr>
        <w:t>מציאת האשה</w:t>
      </w:r>
      <w:r w:rsidRPr="00380340">
        <w:rPr>
          <w:rFonts w:cs="Arial" w:hint="cs"/>
          <w:b/>
          <w:bCs/>
          <w:sz w:val="16"/>
          <w:szCs w:val="16"/>
          <w:rtl/>
        </w:rPr>
        <w:t xml:space="preserve">) </w:t>
      </w:r>
      <w:r>
        <w:rPr>
          <w:rFonts w:cs="Arial" w:hint="cs"/>
          <w:b/>
          <w:bCs/>
          <w:rtl/>
        </w:rPr>
        <w:t>סח</w:t>
      </w:r>
      <w:r w:rsidRPr="00380340">
        <w:rPr>
          <w:rFonts w:cs="Arial" w:hint="cs"/>
          <w:b/>
          <w:bCs/>
          <w:rtl/>
        </w:rPr>
        <w:t xml:space="preserve"> ע"א:</w:t>
      </w:r>
      <w:r>
        <w:rPr>
          <w:rFonts w:cs="Arial" w:hint="cs"/>
          <w:rtl/>
        </w:rPr>
        <w:t xml:space="preserve"> </w:t>
      </w:r>
      <w:r w:rsidRPr="00F13CEA">
        <w:rPr>
          <w:rFonts w:cs="Arial"/>
          <w:rtl/>
        </w:rPr>
        <w:t>מתיבי: הבנות ניזונות ומתפרנסות מנכסי אביהן</w:t>
      </w:r>
      <w:r>
        <w:rPr>
          <w:rFonts w:cs="Arial" w:hint="cs"/>
          <w:rtl/>
        </w:rPr>
        <w:t>.</w:t>
      </w:r>
      <w:r w:rsidRPr="00F13CEA">
        <w:rPr>
          <w:rFonts w:cs="Arial"/>
          <w:rtl/>
        </w:rPr>
        <w:t xml:space="preserve"> כיצד? אין אומרים אילו אביה קיים כך וכך היה נותן לה, אלא שמין את הנכסים ונותנין לה</w:t>
      </w:r>
      <w:r>
        <w:rPr>
          <w:rFonts w:cs="Arial" w:hint="cs"/>
          <w:rtl/>
        </w:rPr>
        <w:t>.</w:t>
      </w:r>
      <w:r w:rsidRPr="00F13CEA">
        <w:rPr>
          <w:rFonts w:cs="Arial"/>
          <w:rtl/>
        </w:rPr>
        <w:t xml:space="preserve"> מאי לאו פרנסת הבעל</w:t>
      </w:r>
      <w:r w:rsidR="0026645E">
        <w:rPr>
          <w:rStyle w:val="a7"/>
          <w:rFonts w:cs="Arial"/>
          <w:rtl/>
        </w:rPr>
        <w:footnoteReference w:id="379"/>
      </w:r>
      <w:r w:rsidRPr="00F13CEA">
        <w:rPr>
          <w:rFonts w:cs="Arial"/>
          <w:rtl/>
        </w:rPr>
        <w:t xml:space="preserve">! </w:t>
      </w:r>
      <w:r w:rsidRPr="00880956">
        <w:rPr>
          <w:rFonts w:cs="Arial"/>
          <w:u w:val="single"/>
          <w:rtl/>
        </w:rPr>
        <w:t>אמר רב נחמן בר יצחק</w:t>
      </w:r>
      <w:r w:rsidRPr="00F13CEA">
        <w:rPr>
          <w:rFonts w:cs="Arial"/>
          <w:rtl/>
        </w:rPr>
        <w:t xml:space="preserve">: לא, </w:t>
      </w:r>
      <w:r w:rsidRPr="00F13CEA">
        <w:rPr>
          <w:rFonts w:cs="Arial"/>
          <w:rtl/>
        </w:rPr>
        <w:lastRenderedPageBreak/>
        <w:t>בפרנסת עצמה</w:t>
      </w:r>
      <w:r w:rsidR="000920F4">
        <w:rPr>
          <w:rStyle w:val="a7"/>
          <w:rFonts w:cs="Arial"/>
          <w:rtl/>
        </w:rPr>
        <w:footnoteReference w:id="380"/>
      </w:r>
      <w:r w:rsidRPr="00F13CEA">
        <w:rPr>
          <w:rFonts w:cs="Arial"/>
          <w:rtl/>
        </w:rPr>
        <w:t>. הא ניזונות ומתפרנסות קתני, מאי לאו אחת פרנסת הבעל ואחת פרנסת עצמה! לא, אידי ואידי בפרנסת עצמה, ולא קשיא: הא באכילה ובשתיה, והא בלבושא וכיסויא</w:t>
      </w:r>
      <w:r w:rsidR="004A5C2D">
        <w:rPr>
          <w:rStyle w:val="a7"/>
          <w:rFonts w:cs="Arial"/>
          <w:rtl/>
        </w:rPr>
        <w:footnoteReference w:id="381"/>
      </w:r>
      <w:r w:rsidRPr="00F13CEA">
        <w:rPr>
          <w:rFonts w:cs="Arial"/>
          <w:rtl/>
        </w:rPr>
        <w:t>.</w:t>
      </w:r>
      <w:r w:rsidRPr="00880956">
        <w:rPr>
          <w:rFonts w:cs="Arial" w:hint="cs"/>
          <w:sz w:val="16"/>
          <w:szCs w:val="16"/>
          <w:rtl/>
        </w:rPr>
        <w:t xml:space="preserve"> </w:t>
      </w:r>
      <w:r>
        <w:rPr>
          <w:rFonts w:cs="Arial" w:hint="cs"/>
          <w:sz w:val="16"/>
          <w:szCs w:val="16"/>
          <w:rtl/>
        </w:rPr>
        <w:t>(</w:t>
      </w:r>
      <w:r w:rsidRPr="00880956">
        <w:rPr>
          <w:rFonts w:cs="Arial" w:hint="cs"/>
          <w:sz w:val="16"/>
          <w:szCs w:val="16"/>
          <w:rtl/>
        </w:rPr>
        <w:t xml:space="preserve">נמצא </w:t>
      </w:r>
      <w:r w:rsidRPr="00880956">
        <w:rPr>
          <w:rFonts w:cs="Arial"/>
          <w:sz w:val="16"/>
          <w:szCs w:val="16"/>
          <w:rtl/>
        </w:rPr>
        <w:t>שהבנות אע"פ שאין בלשון התנאי אלא תהויין יתבן בביתי ומיתזנן מנכסי שיש להם לבוש וכסות</w:t>
      </w:r>
      <w:r w:rsidRPr="00880956">
        <w:rPr>
          <w:rFonts w:cs="Arial" w:hint="cs"/>
          <w:sz w:val="16"/>
          <w:szCs w:val="16"/>
          <w:rtl/>
        </w:rPr>
        <w:t xml:space="preserve">, הה"מ </w:t>
      </w:r>
      <w:r>
        <w:rPr>
          <w:rFonts w:cs="Arial" w:hint="cs"/>
          <w:sz w:val="16"/>
          <w:szCs w:val="16"/>
          <w:rtl/>
        </w:rPr>
        <w:t>[פי"ג מאישות ה"ו]</w:t>
      </w:r>
      <w:r w:rsidRPr="00880956">
        <w:rPr>
          <w:rFonts w:cs="Arial" w:hint="cs"/>
          <w:sz w:val="16"/>
          <w:szCs w:val="16"/>
          <w:rtl/>
        </w:rPr>
        <w:t>)</w:t>
      </w:r>
    </w:p>
    <w:p w14:paraId="3D57F149" w14:textId="7A2C2E09" w:rsidR="0079449D" w:rsidRPr="00E47343" w:rsidRDefault="00E47343" w:rsidP="0079449D">
      <w:pPr>
        <w:rPr>
          <w:u w:val="single"/>
          <w:rtl/>
        </w:rPr>
      </w:pPr>
      <w:r w:rsidRPr="00E47343">
        <w:rPr>
          <w:rFonts w:hint="cs"/>
          <w:u w:val="single"/>
          <w:rtl/>
        </w:rPr>
        <w:t>חיוב כסות לבניו ובנותיו:</w:t>
      </w:r>
    </w:p>
    <w:p w14:paraId="0BEEFED7" w14:textId="2791744C" w:rsidR="00E47343" w:rsidRPr="00E47343" w:rsidRDefault="00E47343" w:rsidP="00E47343">
      <w:pPr>
        <w:pStyle w:val="ab"/>
        <w:numPr>
          <w:ilvl w:val="0"/>
          <w:numId w:val="7"/>
        </w:numPr>
        <w:rPr>
          <w:rFonts w:cs="Arial"/>
          <w:rtl/>
        </w:rPr>
      </w:pPr>
      <w:r>
        <w:rPr>
          <w:rFonts w:cs="Arial" w:hint="cs"/>
          <w:rtl/>
        </w:rPr>
        <w:t xml:space="preserve">רמב"ם </w:t>
      </w:r>
      <w:r>
        <w:rPr>
          <w:rFonts w:cs="Arial" w:hint="cs"/>
          <w:sz w:val="16"/>
          <w:szCs w:val="16"/>
          <w:rtl/>
        </w:rPr>
        <w:t>(פי"ג מאישות ה"ו)</w:t>
      </w:r>
      <w:r w:rsidRPr="00794F86">
        <w:rPr>
          <w:rFonts w:cs="Arial" w:hint="cs"/>
          <w:rtl/>
        </w:rPr>
        <w:t xml:space="preserve"> </w:t>
      </w:r>
      <w:r>
        <w:rPr>
          <w:rFonts w:cs="Arial" w:hint="cs"/>
          <w:rtl/>
        </w:rPr>
        <w:t xml:space="preserve">וטור- </w:t>
      </w:r>
      <w:r w:rsidRPr="00486F46">
        <w:rPr>
          <w:rFonts w:cs="Arial"/>
          <w:rtl/>
        </w:rPr>
        <w:t>ולא האשה בלבד אלא בניו ובנותיו הקטנים בני שש או פחות חייב ליתן להם כסות המספקת להם וכלי תשמיש ומדור לשכון בו</w:t>
      </w:r>
      <w:r>
        <w:rPr>
          <w:rStyle w:val="a7"/>
          <w:rFonts w:cs="Arial"/>
          <w:rtl/>
        </w:rPr>
        <w:footnoteReference w:id="382"/>
      </w:r>
      <w:r w:rsidRPr="00486F46">
        <w:rPr>
          <w:rFonts w:cs="Arial"/>
          <w:rtl/>
        </w:rPr>
        <w:t>, ואינו נותן להם לפי עשרו אלא כפי צרכן בלבד</w:t>
      </w:r>
      <w:r>
        <w:rPr>
          <w:rStyle w:val="a7"/>
          <w:rFonts w:cs="Arial"/>
          <w:rtl/>
        </w:rPr>
        <w:footnoteReference w:id="383"/>
      </w:r>
      <w:r>
        <w:rPr>
          <w:rFonts w:cs="Arial" w:hint="cs"/>
          <w:rtl/>
        </w:rPr>
        <w:t>.</w:t>
      </w:r>
      <w:r w:rsidRPr="00486F46">
        <w:rPr>
          <w:rFonts w:cs="Arial"/>
          <w:rtl/>
        </w:rPr>
        <w:t xml:space="preserve"> זה הכלל כל מי שיש לו עליו מזונות בין בחייו בין אחר מותו יש לו כסות וכלי בית ומדור, וכל שבית דין מוכרין למזונותיו כך מוכרין לכסותו וכלי ביתו ומדורו</w:t>
      </w:r>
      <w:r>
        <w:rPr>
          <w:rFonts w:cs="Arial" w:hint="cs"/>
          <w:sz w:val="16"/>
          <w:szCs w:val="16"/>
          <w:rtl/>
        </w:rPr>
        <w:t xml:space="preserve"> (ל' הרמב"ם)</w:t>
      </w:r>
      <w:r w:rsidRPr="00486F46">
        <w:rPr>
          <w:rFonts w:cs="Arial"/>
          <w:rtl/>
        </w:rPr>
        <w:t xml:space="preserve">. </w:t>
      </w:r>
      <w:r w:rsidR="00B13367" w:rsidRPr="00D33EFE">
        <w:rPr>
          <w:rFonts w:hint="cs"/>
          <w:color w:val="E36C0A" w:themeColor="accent6" w:themeShade="BF"/>
          <w:rtl/>
        </w:rPr>
        <w:t>(וכ"פ בשו"ע</w:t>
      </w:r>
      <w:r w:rsidR="00B13367">
        <w:rPr>
          <w:rFonts w:hint="cs"/>
          <w:color w:val="E36C0A" w:themeColor="accent6" w:themeShade="BF"/>
          <w:sz w:val="16"/>
          <w:szCs w:val="16"/>
          <w:rtl/>
        </w:rPr>
        <w:t xml:space="preserve"> </w:t>
      </w:r>
      <w:r w:rsidR="00B13367" w:rsidRPr="00B13367">
        <w:rPr>
          <w:rFonts w:hint="cs"/>
          <w:color w:val="000000" w:themeColor="text1"/>
          <w:sz w:val="16"/>
          <w:szCs w:val="16"/>
          <w:rtl/>
        </w:rPr>
        <w:t>[כאן ובסע' הבא]</w:t>
      </w:r>
      <w:r w:rsidR="00B13367" w:rsidRPr="00D33EFE">
        <w:rPr>
          <w:rFonts w:hint="cs"/>
          <w:color w:val="E36C0A" w:themeColor="accent6" w:themeShade="BF"/>
          <w:rtl/>
        </w:rPr>
        <w:t>)</w:t>
      </w:r>
    </w:p>
    <w:p w14:paraId="3E5D61A6" w14:textId="77777777" w:rsidR="00474B1B" w:rsidRDefault="00474B1B" w:rsidP="00474B1B">
      <w:pPr>
        <w:rPr>
          <w:rFonts w:cs="Arial"/>
          <w:rtl/>
        </w:rPr>
      </w:pPr>
      <w:r w:rsidRPr="003024E5">
        <w:rPr>
          <w:rFonts w:asciiTheme="minorBidi" w:hAnsiTheme="minorBidi"/>
          <w:b/>
          <w:bCs/>
          <w:color w:val="000000"/>
          <w:sz w:val="28"/>
          <w:szCs w:val="28"/>
          <w:u w:val="single"/>
          <w:rtl/>
        </w:rPr>
        <w:t>שו"ע:</w:t>
      </w:r>
    </w:p>
    <w:p w14:paraId="22B00A8E" w14:textId="71D057BB" w:rsidR="00471D63" w:rsidRDefault="00471D63" w:rsidP="00471D63">
      <w:pPr>
        <w:rPr>
          <w:rtl/>
        </w:rPr>
      </w:pPr>
      <w:r>
        <w:rPr>
          <w:rFonts w:cs="Arial"/>
          <w:rtl/>
        </w:rPr>
        <w:t xml:space="preserve">בניו ובנותיו עד בני שש, חייב ליתן להם כסות וכלי תשמיש ומדור, ואינו נותן להם כפי עשרו, אלא כפי צרכן בלבד. </w:t>
      </w:r>
    </w:p>
    <w:p w14:paraId="60C29572" w14:textId="77777777" w:rsidR="0079449D" w:rsidRDefault="0079449D" w:rsidP="00471D63">
      <w:pPr>
        <w:rPr>
          <w:rtl/>
        </w:rPr>
      </w:pPr>
    </w:p>
    <w:p w14:paraId="5691A288" w14:textId="7A824D81" w:rsidR="00471D63" w:rsidRDefault="00471D63" w:rsidP="000F64D0">
      <w:pPr>
        <w:pStyle w:val="2"/>
        <w:rPr>
          <w:rtl/>
        </w:rPr>
      </w:pPr>
      <w:r>
        <w:rPr>
          <w:rtl/>
        </w:rPr>
        <w:t>סעיף ז</w:t>
      </w:r>
      <w:r w:rsidR="0079449D">
        <w:rPr>
          <w:rFonts w:hint="cs"/>
          <w:rtl/>
        </w:rPr>
        <w:t>:</w:t>
      </w:r>
      <w:r w:rsidR="00175ED5">
        <w:rPr>
          <w:rFonts w:hint="cs"/>
          <w:rtl/>
        </w:rPr>
        <w:t xml:space="preserve"> מכירת ב"ד לכסות כלי בית ומדור.</w:t>
      </w:r>
    </w:p>
    <w:p w14:paraId="277C438B" w14:textId="38052C81" w:rsidR="0079449D" w:rsidRPr="0079449D" w:rsidRDefault="00175ED5" w:rsidP="0079449D">
      <w:pPr>
        <w:rPr>
          <w:rtl/>
        </w:rPr>
      </w:pPr>
      <w:r>
        <w:rPr>
          <w:rFonts w:hint="cs"/>
          <w:rtl/>
        </w:rPr>
        <w:t>עיין במקורות בסעיף הקודם.</w:t>
      </w:r>
    </w:p>
    <w:p w14:paraId="1F7805E8" w14:textId="77777777" w:rsidR="00474B1B" w:rsidRDefault="00474B1B" w:rsidP="00474B1B">
      <w:pPr>
        <w:rPr>
          <w:rFonts w:cs="Arial"/>
          <w:rtl/>
        </w:rPr>
      </w:pPr>
      <w:r w:rsidRPr="003024E5">
        <w:rPr>
          <w:rFonts w:asciiTheme="minorBidi" w:hAnsiTheme="minorBidi"/>
          <w:b/>
          <w:bCs/>
          <w:color w:val="000000"/>
          <w:sz w:val="28"/>
          <w:szCs w:val="28"/>
          <w:u w:val="single"/>
          <w:rtl/>
        </w:rPr>
        <w:t>שו"ע:</w:t>
      </w:r>
    </w:p>
    <w:p w14:paraId="2C152E0C" w14:textId="24B15F7A" w:rsidR="00471D63" w:rsidRDefault="00471D63" w:rsidP="00471D63">
      <w:pPr>
        <w:rPr>
          <w:rtl/>
        </w:rPr>
      </w:pPr>
      <w:r>
        <w:rPr>
          <w:rFonts w:cs="Arial"/>
          <w:rtl/>
        </w:rPr>
        <w:t>כל מי שיש לו עליו מזונות, בין בחייו בין אחר מותו, יש לו כסות וכלי בית ומדור</w:t>
      </w:r>
      <w:r w:rsidR="0079449D">
        <w:rPr>
          <w:rFonts w:cs="Arial" w:hint="cs"/>
          <w:rtl/>
        </w:rPr>
        <w:t>.</w:t>
      </w:r>
      <w:r>
        <w:rPr>
          <w:rFonts w:cs="Arial"/>
          <w:rtl/>
        </w:rPr>
        <w:t xml:space="preserve"> וכל שבית דין מוכרים למזונותיו, מוכרים לכסות וכלי ביתו ומדורו. </w:t>
      </w:r>
    </w:p>
    <w:p w14:paraId="43A8926D" w14:textId="77777777" w:rsidR="0079449D" w:rsidRDefault="0079449D" w:rsidP="00471D63">
      <w:pPr>
        <w:rPr>
          <w:rtl/>
        </w:rPr>
      </w:pPr>
    </w:p>
    <w:p w14:paraId="439458C0" w14:textId="2E3EE14E" w:rsidR="00471D63" w:rsidRDefault="00471D63" w:rsidP="000F64D0">
      <w:pPr>
        <w:pStyle w:val="2"/>
        <w:rPr>
          <w:rtl/>
        </w:rPr>
      </w:pPr>
      <w:r>
        <w:rPr>
          <w:rtl/>
        </w:rPr>
        <w:t>סעיף ח</w:t>
      </w:r>
      <w:r w:rsidR="0079449D">
        <w:rPr>
          <w:rFonts w:hint="cs"/>
          <w:rtl/>
        </w:rPr>
        <w:t>:</w:t>
      </w:r>
      <w:r w:rsidR="007226C0">
        <w:rPr>
          <w:rFonts w:hint="cs"/>
          <w:rtl/>
        </w:rPr>
        <w:t xml:space="preserve"> הוא אומר נתתי והיא אומרת לא נתן.</w:t>
      </w:r>
    </w:p>
    <w:p w14:paraId="3D563E1C" w14:textId="0D699B70" w:rsidR="007226C0" w:rsidRPr="007226C0" w:rsidRDefault="007226C0" w:rsidP="007226C0">
      <w:pPr>
        <w:rPr>
          <w:u w:val="single"/>
          <w:rtl/>
        </w:rPr>
      </w:pPr>
      <w:r w:rsidRPr="007226C0">
        <w:rPr>
          <w:rFonts w:hint="cs"/>
          <w:u w:val="single"/>
          <w:rtl/>
        </w:rPr>
        <w:t>הוא אומר נתתי והיא אומרת לא נתן:</w:t>
      </w:r>
    </w:p>
    <w:p w14:paraId="3DC52AB6" w14:textId="165CDDC3" w:rsidR="0079449D" w:rsidRPr="007226C0" w:rsidRDefault="007226C0" w:rsidP="007226C0">
      <w:pPr>
        <w:pStyle w:val="ab"/>
        <w:numPr>
          <w:ilvl w:val="0"/>
          <w:numId w:val="7"/>
        </w:numPr>
        <w:rPr>
          <w:rFonts w:cs="Arial"/>
          <w:rtl/>
        </w:rPr>
      </w:pPr>
      <w:r>
        <w:rPr>
          <w:rFonts w:cs="Arial" w:hint="cs"/>
          <w:rtl/>
        </w:rPr>
        <w:t xml:space="preserve">רמב"ם </w:t>
      </w:r>
      <w:r>
        <w:rPr>
          <w:rFonts w:cs="Arial" w:hint="cs"/>
          <w:sz w:val="16"/>
          <w:szCs w:val="16"/>
          <w:rtl/>
        </w:rPr>
        <w:t>(פי"ג מאישות ה"ז)</w:t>
      </w:r>
      <w:r>
        <w:rPr>
          <w:rFonts w:cs="Arial" w:hint="cs"/>
          <w:rtl/>
        </w:rPr>
        <w:t>-</w:t>
      </w:r>
      <w:r w:rsidRPr="00486F46">
        <w:rPr>
          <w:rFonts w:cs="Arial"/>
          <w:rtl/>
        </w:rPr>
        <w:t xml:space="preserve"> ודין הבעל עם אשתו בטענת הכסות והכלים ושכר המדור כדינם בטענת המזונות</w:t>
      </w:r>
      <w:r w:rsidR="003A3810">
        <w:rPr>
          <w:rFonts w:cs="Arial" w:hint="cs"/>
          <w:rtl/>
        </w:rPr>
        <w:t>,</w:t>
      </w:r>
      <w:r w:rsidRPr="00486F46">
        <w:rPr>
          <w:rFonts w:cs="Arial"/>
          <w:rtl/>
        </w:rPr>
        <w:t xml:space="preserve"> אם אמר הוא נתתי</w:t>
      </w:r>
      <w:r w:rsidR="003A3810">
        <w:rPr>
          <w:rFonts w:cs="Arial" w:hint="cs"/>
          <w:rtl/>
        </w:rPr>
        <w:t>,</w:t>
      </w:r>
      <w:r w:rsidRPr="00486F46">
        <w:rPr>
          <w:rFonts w:cs="Arial"/>
          <w:rtl/>
        </w:rPr>
        <w:t xml:space="preserve"> והיא אומרת לא נתת</w:t>
      </w:r>
      <w:r w:rsidR="007A7E6D">
        <w:rPr>
          <w:rFonts w:cs="Arial" w:hint="cs"/>
          <w:rtl/>
        </w:rPr>
        <w:t>,</w:t>
      </w:r>
      <w:r w:rsidR="003A3810">
        <w:rPr>
          <w:rFonts w:cs="Arial" w:hint="cs"/>
          <w:rtl/>
        </w:rPr>
        <w:t xml:space="preserve"> </w:t>
      </w:r>
      <w:r w:rsidRPr="00486F46">
        <w:rPr>
          <w:rFonts w:cs="Arial"/>
          <w:rtl/>
        </w:rPr>
        <w:t xml:space="preserve">דין אחד לכל. </w:t>
      </w:r>
      <w:r w:rsidR="00B13367" w:rsidRPr="00D33EFE">
        <w:rPr>
          <w:rFonts w:hint="cs"/>
          <w:color w:val="E36C0A" w:themeColor="accent6" w:themeShade="BF"/>
          <w:rtl/>
        </w:rPr>
        <w:t>(וכ"פ בשו"ע)</w:t>
      </w:r>
    </w:p>
    <w:p w14:paraId="5A875EA2" w14:textId="77777777" w:rsidR="00474B1B" w:rsidRDefault="00474B1B" w:rsidP="00474B1B">
      <w:pPr>
        <w:rPr>
          <w:rFonts w:cs="Arial"/>
          <w:rtl/>
        </w:rPr>
      </w:pPr>
      <w:r w:rsidRPr="003024E5">
        <w:rPr>
          <w:rFonts w:asciiTheme="minorBidi" w:hAnsiTheme="minorBidi"/>
          <w:b/>
          <w:bCs/>
          <w:color w:val="000000"/>
          <w:sz w:val="28"/>
          <w:szCs w:val="28"/>
          <w:u w:val="single"/>
          <w:rtl/>
        </w:rPr>
        <w:t>שו"ע:</w:t>
      </w:r>
    </w:p>
    <w:p w14:paraId="2D1DA826" w14:textId="09BC9023" w:rsidR="00471D63" w:rsidRDefault="00471D63" w:rsidP="00471D63">
      <w:pPr>
        <w:rPr>
          <w:rtl/>
        </w:rPr>
      </w:pPr>
      <w:r>
        <w:rPr>
          <w:rFonts w:cs="Arial"/>
          <w:rtl/>
        </w:rPr>
        <w:t>דין הבעל עם אשתו בטענת הכסות והכלים ושכר המדור, כדינם בטענות המזונות</w:t>
      </w:r>
      <w:r w:rsidR="004E5F47">
        <w:rPr>
          <w:rFonts w:cs="Arial" w:hint="cs"/>
          <w:rtl/>
        </w:rPr>
        <w:t>,</w:t>
      </w:r>
      <w:r>
        <w:rPr>
          <w:rFonts w:cs="Arial"/>
          <w:rtl/>
        </w:rPr>
        <w:t xml:space="preserve"> אם אמר הוא נתתי, והיא אומרת לא נתן. </w:t>
      </w:r>
    </w:p>
    <w:p w14:paraId="49EE81FE" w14:textId="77777777" w:rsidR="0079449D" w:rsidRDefault="0079449D" w:rsidP="00471D63">
      <w:pPr>
        <w:rPr>
          <w:rtl/>
        </w:rPr>
      </w:pPr>
    </w:p>
    <w:p w14:paraId="65C890F2" w14:textId="18F60364" w:rsidR="00471D63" w:rsidRDefault="00471D63" w:rsidP="000F64D0">
      <w:pPr>
        <w:pStyle w:val="2"/>
        <w:rPr>
          <w:rtl/>
        </w:rPr>
      </w:pPr>
      <w:r>
        <w:rPr>
          <w:rtl/>
        </w:rPr>
        <w:t>סעיף ט</w:t>
      </w:r>
      <w:r w:rsidR="0079449D">
        <w:rPr>
          <w:rFonts w:hint="cs"/>
          <w:rtl/>
        </w:rPr>
        <w:t>:</w:t>
      </w:r>
      <w:r w:rsidR="007226C0" w:rsidRPr="007226C0">
        <w:rPr>
          <w:rFonts w:hint="cs"/>
          <w:rtl/>
        </w:rPr>
        <w:t xml:space="preserve"> </w:t>
      </w:r>
      <w:r w:rsidR="007226C0">
        <w:rPr>
          <w:rFonts w:hint="cs"/>
          <w:rtl/>
        </w:rPr>
        <w:t>בעל שמשכן את כסות אשתו.</w:t>
      </w:r>
    </w:p>
    <w:p w14:paraId="48CD2DCC" w14:textId="77777777" w:rsidR="00132500" w:rsidRPr="000C4173" w:rsidRDefault="00132500" w:rsidP="00132500">
      <w:pPr>
        <w:rPr>
          <w:rFonts w:cs="Arial"/>
          <w:u w:val="single"/>
        </w:rPr>
      </w:pPr>
      <w:r>
        <w:rPr>
          <w:rFonts w:cs="Arial" w:hint="cs"/>
          <w:u w:val="single"/>
          <w:rtl/>
        </w:rPr>
        <w:t>בעל שרוצה ל</w:t>
      </w:r>
      <w:r w:rsidRPr="000C4173">
        <w:rPr>
          <w:rFonts w:cs="Arial" w:hint="cs"/>
          <w:u w:val="single"/>
          <w:rtl/>
        </w:rPr>
        <w:t>משכן מטלטלין של אשתו:</w:t>
      </w:r>
    </w:p>
    <w:p w14:paraId="0262D80F" w14:textId="265D27D9" w:rsidR="00132500" w:rsidRDefault="00132500" w:rsidP="00132500">
      <w:pPr>
        <w:pStyle w:val="ab"/>
        <w:numPr>
          <w:ilvl w:val="0"/>
          <w:numId w:val="7"/>
        </w:numPr>
        <w:rPr>
          <w:rFonts w:cs="Arial"/>
        </w:rPr>
      </w:pPr>
      <w:r w:rsidRPr="000C4173">
        <w:rPr>
          <w:rFonts w:cs="Arial"/>
          <w:rtl/>
        </w:rPr>
        <w:t>מרדכי</w:t>
      </w:r>
      <w:r>
        <w:rPr>
          <w:rStyle w:val="a7"/>
          <w:rFonts w:cs="Arial"/>
          <w:rtl/>
        </w:rPr>
        <w:footnoteReference w:id="384"/>
      </w:r>
      <w:r w:rsidRPr="000C4173">
        <w:rPr>
          <w:rFonts w:cs="Arial"/>
          <w:rtl/>
        </w:rPr>
        <w:t xml:space="preserve"> </w:t>
      </w:r>
      <w:r w:rsidRPr="000C4173">
        <w:rPr>
          <w:rFonts w:cs="Arial" w:hint="cs"/>
          <w:sz w:val="16"/>
          <w:szCs w:val="16"/>
          <w:rtl/>
        </w:rPr>
        <w:t>(</w:t>
      </w:r>
      <w:r w:rsidRPr="000C4173">
        <w:rPr>
          <w:rFonts w:cs="Arial"/>
          <w:sz w:val="16"/>
          <w:szCs w:val="16"/>
          <w:rtl/>
        </w:rPr>
        <w:t>ס"פ האומנים ב"מ סי' שסד</w:t>
      </w:r>
      <w:r>
        <w:rPr>
          <w:rFonts w:cs="Arial" w:hint="cs"/>
          <w:sz w:val="16"/>
          <w:szCs w:val="16"/>
          <w:rtl/>
        </w:rPr>
        <w:t>, הביאו הב"י בסי' צ</w:t>
      </w:r>
      <w:r w:rsidRPr="000C4173">
        <w:rPr>
          <w:rFonts w:cs="Arial"/>
          <w:sz w:val="16"/>
          <w:szCs w:val="16"/>
          <w:rtl/>
        </w:rPr>
        <w:t>)</w:t>
      </w:r>
      <w:r w:rsidRPr="003509BC">
        <w:rPr>
          <w:rFonts w:cs="Arial"/>
          <w:rtl/>
        </w:rPr>
        <w:t xml:space="preserve"> </w:t>
      </w:r>
      <w:r w:rsidR="008C4711">
        <w:rPr>
          <w:rFonts w:cs="Arial" w:hint="cs"/>
          <w:rtl/>
        </w:rPr>
        <w:t>וי"א</w:t>
      </w:r>
      <w:r>
        <w:rPr>
          <w:rStyle w:val="a7"/>
          <w:rFonts w:cs="Arial"/>
          <w:rtl/>
        </w:rPr>
        <w:footnoteReference w:id="385"/>
      </w:r>
      <w:r>
        <w:rPr>
          <w:rFonts w:cs="Arial" w:hint="cs"/>
          <w:sz w:val="16"/>
          <w:szCs w:val="16"/>
          <w:rtl/>
        </w:rPr>
        <w:t xml:space="preserve"> (כ"כ הב"י [בסי' צ] בשם מצאתי כתוב)</w:t>
      </w:r>
      <w:r w:rsidRPr="000C4173">
        <w:rPr>
          <w:rFonts w:cs="Arial" w:hint="cs"/>
          <w:rtl/>
        </w:rPr>
        <w:t xml:space="preserve">- </w:t>
      </w:r>
      <w:r w:rsidRPr="000C4173">
        <w:rPr>
          <w:rFonts w:cs="Arial"/>
          <w:rtl/>
        </w:rPr>
        <w:t xml:space="preserve">אין אדם </w:t>
      </w:r>
      <w:r>
        <w:rPr>
          <w:rFonts w:cs="Arial" w:hint="cs"/>
          <w:rtl/>
        </w:rPr>
        <w:t>רשאי</w:t>
      </w:r>
      <w:r w:rsidRPr="000C4173">
        <w:rPr>
          <w:rFonts w:cs="Arial"/>
          <w:rtl/>
        </w:rPr>
        <w:t xml:space="preserve"> למשכן בגדי אשתו</w:t>
      </w:r>
      <w:r>
        <w:rPr>
          <w:rFonts w:cs="Arial" w:hint="cs"/>
          <w:sz w:val="16"/>
          <w:szCs w:val="16"/>
          <w:rtl/>
        </w:rPr>
        <w:t xml:space="preserve"> (ל' המרדכי)</w:t>
      </w:r>
      <w:r w:rsidRPr="000C4173">
        <w:rPr>
          <w:rFonts w:cs="Arial"/>
          <w:rtl/>
        </w:rPr>
        <w:t>.</w:t>
      </w:r>
      <w:r w:rsidRPr="003509BC">
        <w:rPr>
          <w:rFonts w:cs="Arial"/>
          <w:rtl/>
        </w:rPr>
        <w:t xml:space="preserve"> </w:t>
      </w:r>
      <w:r>
        <w:rPr>
          <w:rFonts w:cs="Arial" w:hint="cs"/>
          <w:rtl/>
        </w:rPr>
        <w:t xml:space="preserve">ואם משכן - </w:t>
      </w:r>
      <w:r w:rsidRPr="000C4173">
        <w:rPr>
          <w:rFonts w:cs="Arial"/>
          <w:rtl/>
        </w:rPr>
        <w:t>דין הוא שיחזיר לה</w:t>
      </w:r>
      <w:r>
        <w:rPr>
          <w:rFonts w:cs="Arial" w:hint="cs"/>
          <w:rtl/>
        </w:rPr>
        <w:t xml:space="preserve"> </w:t>
      </w:r>
      <w:r>
        <w:rPr>
          <w:rFonts w:cs="Arial" w:hint="cs"/>
          <w:sz w:val="16"/>
          <w:szCs w:val="16"/>
          <w:rtl/>
        </w:rPr>
        <w:t>{המלוה}</w:t>
      </w:r>
      <w:r w:rsidRPr="000C4173">
        <w:rPr>
          <w:rFonts w:cs="Arial"/>
          <w:rtl/>
        </w:rPr>
        <w:t xml:space="preserve"> אם תשבע דשלא מדעתה לוה בעלה עליהם</w:t>
      </w:r>
      <w:r>
        <w:rPr>
          <w:rFonts w:cs="Arial" w:hint="cs"/>
          <w:sz w:val="16"/>
          <w:szCs w:val="16"/>
          <w:rtl/>
        </w:rPr>
        <w:t xml:space="preserve"> (ל' הב"י בשם מצאתי כתוב)</w:t>
      </w:r>
      <w:r>
        <w:rPr>
          <w:rFonts w:cs="Arial" w:hint="cs"/>
          <w:rtl/>
        </w:rPr>
        <w:t>.</w:t>
      </w:r>
      <w:r w:rsidRPr="000C4173">
        <w:rPr>
          <w:rFonts w:cs="Arial"/>
          <w:rtl/>
        </w:rPr>
        <w:t xml:space="preserve"> </w:t>
      </w:r>
    </w:p>
    <w:p w14:paraId="48C8081E" w14:textId="1C40683A" w:rsidR="0079449D" w:rsidRPr="00132500" w:rsidRDefault="00132500" w:rsidP="00132500">
      <w:pPr>
        <w:pStyle w:val="ab"/>
        <w:numPr>
          <w:ilvl w:val="0"/>
          <w:numId w:val="7"/>
        </w:numPr>
        <w:rPr>
          <w:rFonts w:cs="Arial"/>
          <w:rtl/>
        </w:rPr>
      </w:pPr>
      <w:r w:rsidRPr="00977B18">
        <w:rPr>
          <w:rFonts w:cs="Arial"/>
          <w:rtl/>
        </w:rPr>
        <w:lastRenderedPageBreak/>
        <w:t xml:space="preserve">רשב"א </w:t>
      </w:r>
      <w:r w:rsidRPr="00977B18">
        <w:rPr>
          <w:rFonts w:cs="Arial"/>
          <w:sz w:val="16"/>
          <w:szCs w:val="16"/>
          <w:rtl/>
        </w:rPr>
        <w:t>(ח"ב סי' רפו)</w:t>
      </w:r>
      <w:r>
        <w:rPr>
          <w:rFonts w:cs="Arial" w:hint="cs"/>
          <w:rtl/>
        </w:rPr>
        <w:t>-</w:t>
      </w:r>
      <w:r w:rsidRPr="00977B18">
        <w:rPr>
          <w:rFonts w:cs="Arial"/>
          <w:rtl/>
        </w:rPr>
        <w:t xml:space="preserve"> עוד שאלת מי שלוה מעות על כסות אשתו</w:t>
      </w:r>
      <w:r w:rsidR="007A7E6D">
        <w:rPr>
          <w:rFonts w:cs="Arial" w:hint="cs"/>
          <w:rtl/>
        </w:rPr>
        <w:t>,</w:t>
      </w:r>
      <w:r w:rsidRPr="00977B18">
        <w:rPr>
          <w:rFonts w:cs="Arial"/>
          <w:rtl/>
        </w:rPr>
        <w:t xml:space="preserve"> ואבדם בקוביא</w:t>
      </w:r>
      <w:r w:rsidR="008C4711">
        <w:rPr>
          <w:rFonts w:cs="Arial" w:hint="cs"/>
          <w:rtl/>
        </w:rPr>
        <w:t>,</w:t>
      </w:r>
      <w:r w:rsidRPr="00977B18">
        <w:rPr>
          <w:rFonts w:cs="Arial"/>
          <w:rtl/>
        </w:rPr>
        <w:t xml:space="preserve"> מהו שתוכל האשה להוציא כסותה מיד המלוה בלא כלום ולומר שהבעל הוציאו מביתה שלא מדעתה</w:t>
      </w:r>
      <w:r>
        <w:rPr>
          <w:rFonts w:cs="Arial" w:hint="cs"/>
          <w:rtl/>
        </w:rPr>
        <w:t>.</w:t>
      </w:r>
      <w:r w:rsidRPr="00977B18">
        <w:rPr>
          <w:rFonts w:cs="Arial"/>
          <w:rtl/>
        </w:rPr>
        <w:t xml:space="preserve"> </w:t>
      </w:r>
      <w:r w:rsidR="008C4711">
        <w:rPr>
          <w:rFonts w:cs="Arial" w:hint="cs"/>
          <w:rtl/>
        </w:rPr>
        <w:t xml:space="preserve">     </w:t>
      </w:r>
      <w:r w:rsidRPr="00977B18">
        <w:rPr>
          <w:rFonts w:cs="Arial"/>
          <w:rtl/>
        </w:rPr>
        <w:t>תשובה</w:t>
      </w:r>
      <w:r w:rsidR="008C4711">
        <w:rPr>
          <w:rFonts w:cs="Arial" w:hint="cs"/>
          <w:rtl/>
        </w:rPr>
        <w:t>:</w:t>
      </w:r>
      <w:r w:rsidRPr="00977B18">
        <w:rPr>
          <w:rFonts w:cs="Arial"/>
          <w:rtl/>
        </w:rPr>
        <w:t xml:space="preserve"> ומאן לימ</w:t>
      </w:r>
      <w:r>
        <w:rPr>
          <w:rFonts w:cs="Arial" w:hint="cs"/>
          <w:rtl/>
        </w:rPr>
        <w:t>א</w:t>
      </w:r>
      <w:r w:rsidRPr="00977B18">
        <w:rPr>
          <w:rFonts w:cs="Arial"/>
          <w:rtl/>
        </w:rPr>
        <w:t xml:space="preserve"> לן שאין הבעל יכול למכור ולמשכן כסות אשתו ובניו שלא מדעתם.</w:t>
      </w:r>
      <w:r w:rsidR="00932559">
        <w:rPr>
          <w:rFonts w:cs="Arial" w:hint="cs"/>
          <w:rtl/>
        </w:rPr>
        <w:t>..</w:t>
      </w:r>
      <w:r w:rsidRPr="00977B18">
        <w:rPr>
          <w:rFonts w:cs="Arial"/>
          <w:rtl/>
        </w:rPr>
        <w:t xml:space="preserve"> </w:t>
      </w:r>
      <w:r>
        <w:rPr>
          <w:rFonts w:cs="Arial" w:hint="cs"/>
          <w:sz w:val="16"/>
          <w:szCs w:val="16"/>
          <w:rtl/>
        </w:rPr>
        <w:t>{והאריך הרשב"א בדבר</w:t>
      </w:r>
      <w:r w:rsidR="009C2E72">
        <w:rPr>
          <w:rFonts w:cs="Arial" w:hint="cs"/>
          <w:sz w:val="16"/>
          <w:szCs w:val="16"/>
          <w:rtl/>
        </w:rPr>
        <w:t>, וכתב-</w:t>
      </w:r>
      <w:r>
        <w:rPr>
          <w:rFonts w:cs="Arial" w:hint="cs"/>
          <w:sz w:val="16"/>
          <w:szCs w:val="16"/>
          <w:rtl/>
        </w:rPr>
        <w:t>}</w:t>
      </w:r>
      <w:r w:rsidRPr="001850B5">
        <w:rPr>
          <w:rFonts w:cs="Arial"/>
          <w:rtl/>
        </w:rPr>
        <w:t xml:space="preserve"> ומכל מקום נראה שלא הקנה לאשתו אלא אדעתא למיקם קמיה</w:t>
      </w:r>
      <w:r>
        <w:rPr>
          <w:rFonts w:cs="Arial" w:hint="cs"/>
          <w:rtl/>
        </w:rPr>
        <w:t>,</w:t>
      </w:r>
      <w:r w:rsidRPr="001850B5">
        <w:rPr>
          <w:rFonts w:cs="Arial"/>
          <w:rtl/>
        </w:rPr>
        <w:t xml:space="preserve"> אדעתא למשקל ומיפק לא אקני ליה. וכ"ש בנדון שלפנינו דמאן לימא לן דלא אפקיה מדעתה למשכוניה משום רוח ביתא. ועוד דשפיר קאמרת דאף בזה יש משום תקנת השוק</w:t>
      </w:r>
      <w:r w:rsidR="00476325">
        <w:rPr>
          <w:rFonts w:cs="Arial" w:hint="cs"/>
          <w:rtl/>
        </w:rPr>
        <w:t>,</w:t>
      </w:r>
      <w:r w:rsidRPr="001850B5">
        <w:rPr>
          <w:rFonts w:cs="Arial"/>
          <w:rtl/>
        </w:rPr>
        <w:t xml:space="preserve"> דאפילו במשכנתא דגזלן עשו תקנת השוק</w:t>
      </w:r>
      <w:r w:rsidR="00476325">
        <w:rPr>
          <w:rFonts w:cs="Arial" w:hint="cs"/>
          <w:rtl/>
        </w:rPr>
        <w:t>,</w:t>
      </w:r>
      <w:r w:rsidRPr="001850B5">
        <w:rPr>
          <w:rFonts w:cs="Arial"/>
          <w:rtl/>
        </w:rPr>
        <w:t xml:space="preserve"> וכל שכן בבעל בכסות אשתו</w:t>
      </w:r>
      <w:r>
        <w:rPr>
          <w:rStyle w:val="a7"/>
          <w:rFonts w:cs="Arial"/>
          <w:rtl/>
        </w:rPr>
        <w:footnoteReference w:id="386"/>
      </w:r>
      <w:r w:rsidRPr="001850B5">
        <w:rPr>
          <w:rFonts w:cs="Arial"/>
          <w:rtl/>
        </w:rPr>
        <w:t>.</w:t>
      </w:r>
      <w:r w:rsidR="005A0C38" w:rsidRPr="00132500">
        <w:rPr>
          <w:rFonts w:cs="Arial"/>
          <w:rtl/>
        </w:rPr>
        <w:t xml:space="preserve"> </w:t>
      </w:r>
      <w:r w:rsidR="004737A9" w:rsidRPr="00486F46">
        <w:rPr>
          <w:rFonts w:cs="Arial"/>
          <w:rtl/>
        </w:rPr>
        <w:t xml:space="preserve"> </w:t>
      </w:r>
      <w:r w:rsidR="004737A9" w:rsidRPr="00D33EFE">
        <w:rPr>
          <w:rFonts w:hint="cs"/>
          <w:color w:val="E36C0A" w:themeColor="accent6" w:themeShade="BF"/>
          <w:rtl/>
        </w:rPr>
        <w:t>(וכ"פ בשו"ע)</w:t>
      </w:r>
    </w:p>
    <w:p w14:paraId="16466663" w14:textId="77777777" w:rsidR="00474B1B" w:rsidRDefault="00474B1B" w:rsidP="00474B1B">
      <w:pPr>
        <w:rPr>
          <w:rFonts w:cs="Arial"/>
          <w:rtl/>
        </w:rPr>
      </w:pPr>
      <w:r w:rsidRPr="003024E5">
        <w:rPr>
          <w:rFonts w:asciiTheme="minorBidi" w:hAnsiTheme="minorBidi"/>
          <w:b/>
          <w:bCs/>
          <w:color w:val="000000"/>
          <w:sz w:val="28"/>
          <w:szCs w:val="28"/>
          <w:u w:val="single"/>
          <w:rtl/>
        </w:rPr>
        <w:t>שו"ע:</w:t>
      </w:r>
    </w:p>
    <w:p w14:paraId="6CC5D475" w14:textId="37A4259A" w:rsidR="00471D63" w:rsidRDefault="00471D63" w:rsidP="00471D63">
      <w:pPr>
        <w:rPr>
          <w:rtl/>
        </w:rPr>
      </w:pPr>
      <w:r>
        <w:rPr>
          <w:rFonts w:cs="Arial"/>
          <w:rtl/>
        </w:rPr>
        <w:t>מי שמשכן כסות אשתו, אינה יכולה להוציא מידו בלא כלום</w:t>
      </w:r>
      <w:r w:rsidR="007A7E6D">
        <w:rPr>
          <w:rStyle w:val="a7"/>
          <w:rFonts w:cs="Arial"/>
          <w:rtl/>
        </w:rPr>
        <w:footnoteReference w:id="387"/>
      </w:r>
      <w:r>
        <w:rPr>
          <w:rFonts w:cs="Arial"/>
          <w:rtl/>
        </w:rPr>
        <w:t>.</w:t>
      </w:r>
    </w:p>
    <w:p w14:paraId="7CB4BE85" w14:textId="3CFDF21F" w:rsidR="00471D63" w:rsidRDefault="00471D63" w:rsidP="00471D63">
      <w:pPr>
        <w:rPr>
          <w:rtl/>
        </w:rPr>
      </w:pPr>
    </w:p>
    <w:p w14:paraId="753E6833" w14:textId="76305DAB" w:rsidR="00471D63" w:rsidRDefault="00471D63" w:rsidP="00471D63">
      <w:pPr>
        <w:rPr>
          <w:rtl/>
        </w:rPr>
      </w:pPr>
    </w:p>
    <w:p w14:paraId="591B1A15" w14:textId="77777777" w:rsidR="00471D63" w:rsidRDefault="00471D63" w:rsidP="00471D63">
      <w:pPr>
        <w:pStyle w:val="1"/>
        <w:rPr>
          <w:rtl/>
        </w:rPr>
        <w:sectPr w:rsidR="00471D63" w:rsidSect="00A347B3">
          <w:headerReference w:type="default" r:id="rId16"/>
          <w:footnotePr>
            <w:numRestart w:val="eachSect"/>
          </w:footnotePr>
          <w:pgSz w:w="11906" w:h="16838"/>
          <w:pgMar w:top="720" w:right="1134" w:bottom="720" w:left="1134" w:header="0" w:footer="0" w:gutter="0"/>
          <w:cols w:space="720"/>
          <w:bidi/>
          <w:rtlGutter/>
          <w:docGrid w:linePitch="360"/>
        </w:sectPr>
      </w:pPr>
    </w:p>
    <w:p w14:paraId="21CE1635" w14:textId="3BCD96B3" w:rsidR="00471D63" w:rsidRDefault="00471D63" w:rsidP="00471D63">
      <w:pPr>
        <w:pStyle w:val="1"/>
        <w:rPr>
          <w:rtl/>
        </w:rPr>
      </w:pPr>
      <w:r>
        <w:rPr>
          <w:rFonts w:hint="cs"/>
          <w:rtl/>
        </w:rPr>
        <w:lastRenderedPageBreak/>
        <w:t xml:space="preserve">סימן עד: </w:t>
      </w:r>
      <w:r>
        <w:rPr>
          <w:rtl/>
        </w:rPr>
        <w:t xml:space="preserve">המדיר אשתו מכמה דברים, ובו י"ב סעיפים. </w:t>
      </w:r>
    </w:p>
    <w:p w14:paraId="7A36B442" w14:textId="13A29C93" w:rsidR="00471D63" w:rsidRDefault="00471D63" w:rsidP="000F64D0">
      <w:pPr>
        <w:pStyle w:val="2"/>
        <w:rPr>
          <w:rtl/>
        </w:rPr>
      </w:pPr>
      <w:r>
        <w:rPr>
          <w:rtl/>
        </w:rPr>
        <w:t>סעיף א</w:t>
      </w:r>
      <w:r w:rsidR="009814F2">
        <w:rPr>
          <w:rFonts w:hint="cs"/>
          <w:rtl/>
        </w:rPr>
        <w:t>:</w:t>
      </w:r>
      <w:r w:rsidR="00810E55" w:rsidRPr="00810E55">
        <w:rPr>
          <w:rtl/>
        </w:rPr>
        <w:t xml:space="preserve"> </w:t>
      </w:r>
      <w:r w:rsidR="00810E55" w:rsidRPr="00791B55">
        <w:rPr>
          <w:rtl/>
        </w:rPr>
        <w:t>הדירה שלא תתקשט</w:t>
      </w:r>
      <w:r w:rsidR="00810E55">
        <w:rPr>
          <w:rFonts w:hint="cs"/>
          <w:rtl/>
        </w:rPr>
        <w:t>.</w:t>
      </w:r>
    </w:p>
    <w:p w14:paraId="40004960" w14:textId="56CFB1AB" w:rsidR="00791B55" w:rsidRDefault="004A1CD6" w:rsidP="004A1CD6">
      <w:pPr>
        <w:rPr>
          <w:rFonts w:cs="Arial"/>
          <w:rtl/>
        </w:rPr>
      </w:pPr>
      <w:r w:rsidRPr="00C60E3E">
        <w:rPr>
          <w:rFonts w:cs="Arial"/>
          <w:b/>
          <w:bCs/>
          <w:rtl/>
        </w:rPr>
        <w:t xml:space="preserve">כתובות </w:t>
      </w:r>
      <w:r w:rsidRPr="00C60E3E">
        <w:rPr>
          <w:rFonts w:cs="Arial"/>
          <w:b/>
          <w:bCs/>
          <w:sz w:val="16"/>
          <w:szCs w:val="16"/>
          <w:rtl/>
        </w:rPr>
        <w:t>(</w:t>
      </w:r>
      <w:r w:rsidRPr="00C60E3E">
        <w:rPr>
          <w:rFonts w:cs="Arial" w:hint="cs"/>
          <w:b/>
          <w:bCs/>
          <w:sz w:val="16"/>
          <w:szCs w:val="16"/>
          <w:rtl/>
        </w:rPr>
        <w:t xml:space="preserve">ר"פ המדיר) </w:t>
      </w:r>
      <w:r w:rsidRPr="00C60E3E">
        <w:rPr>
          <w:rFonts w:cs="Arial"/>
          <w:b/>
          <w:bCs/>
          <w:rtl/>
        </w:rPr>
        <w:t>ע</w:t>
      </w:r>
      <w:r w:rsidRPr="00C60E3E">
        <w:rPr>
          <w:rFonts w:cs="Arial" w:hint="cs"/>
          <w:b/>
          <w:bCs/>
          <w:rtl/>
        </w:rPr>
        <w:t xml:space="preserve"> ע"א:</w:t>
      </w:r>
      <w:r>
        <w:rPr>
          <w:rFonts w:cs="Arial"/>
          <w:rtl/>
        </w:rPr>
        <w:t xml:space="preserve"> </w:t>
      </w:r>
      <w:r w:rsidRPr="00C60E3E">
        <w:rPr>
          <w:rFonts w:cs="Arial"/>
          <w:u w:val="double"/>
          <w:rtl/>
        </w:rPr>
        <w:t>מתני'</w:t>
      </w:r>
      <w:r>
        <w:rPr>
          <w:rFonts w:cs="Arial" w:hint="cs"/>
          <w:rtl/>
        </w:rPr>
        <w:t>:...</w:t>
      </w:r>
      <w:r w:rsidRPr="00C60E3E">
        <w:rPr>
          <w:rFonts w:cs="Arial"/>
          <w:rtl/>
        </w:rPr>
        <w:t xml:space="preserve"> </w:t>
      </w:r>
      <w:r w:rsidRPr="003345BA">
        <w:rPr>
          <w:rFonts w:cs="Arial"/>
          <w:rtl/>
        </w:rPr>
        <w:t>המדיר את אשתו שלא תתקשט באחד מכל המינין - יוציא ויתן כתובה</w:t>
      </w:r>
      <w:r>
        <w:rPr>
          <w:rFonts w:cs="Arial" w:hint="cs"/>
          <w:rtl/>
        </w:rPr>
        <w:t>.</w:t>
      </w:r>
      <w:r w:rsidRPr="003345BA">
        <w:rPr>
          <w:rFonts w:cs="Arial"/>
          <w:rtl/>
        </w:rPr>
        <w:t xml:space="preserve"> </w:t>
      </w:r>
      <w:r w:rsidRPr="003345BA">
        <w:rPr>
          <w:rFonts w:cs="Arial"/>
          <w:u w:val="single"/>
          <w:rtl/>
        </w:rPr>
        <w:t>ר' יוסי אומר</w:t>
      </w:r>
      <w:r w:rsidRPr="003345BA">
        <w:rPr>
          <w:rFonts w:cs="Arial"/>
          <w:rtl/>
        </w:rPr>
        <w:t>: בעניות - שלא נתן קצבה</w:t>
      </w:r>
      <w:r>
        <w:rPr>
          <w:rStyle w:val="a7"/>
          <w:rFonts w:cs="Arial"/>
          <w:rtl/>
        </w:rPr>
        <w:footnoteReference w:id="388"/>
      </w:r>
      <w:r w:rsidRPr="003345BA">
        <w:rPr>
          <w:rFonts w:cs="Arial"/>
          <w:rtl/>
        </w:rPr>
        <w:t>, ובעשירות - שלשים יום.</w:t>
      </w:r>
      <w:r>
        <w:rPr>
          <w:rFonts w:cs="Arial" w:hint="cs"/>
          <w:rtl/>
        </w:rPr>
        <w:t xml:space="preserve">    </w:t>
      </w:r>
      <w:r w:rsidRPr="00253F29">
        <w:rPr>
          <w:rtl/>
        </w:rPr>
        <w:t xml:space="preserve"> </w:t>
      </w:r>
      <w:r w:rsidRPr="00C60E3E">
        <w:rPr>
          <w:rFonts w:cs="Arial"/>
          <w:u w:val="double"/>
          <w:rtl/>
        </w:rPr>
        <w:t>גמ'</w:t>
      </w:r>
      <w:r>
        <w:rPr>
          <w:rFonts w:cs="Arial" w:hint="cs"/>
          <w:sz w:val="14"/>
          <w:szCs w:val="14"/>
          <w:u w:val="double"/>
          <w:rtl/>
        </w:rPr>
        <w:t>(עא.)</w:t>
      </w:r>
      <w:r>
        <w:rPr>
          <w:rFonts w:cs="Arial" w:hint="cs"/>
          <w:u w:val="double"/>
          <w:rtl/>
        </w:rPr>
        <w:t>:</w:t>
      </w:r>
      <w:r w:rsidRPr="00560D36">
        <w:rPr>
          <w:rtl/>
        </w:rPr>
        <w:t xml:space="preserve"> </w:t>
      </w:r>
      <w:r w:rsidRPr="00560D36">
        <w:rPr>
          <w:rFonts w:cs="Arial"/>
          <w:rtl/>
        </w:rPr>
        <w:t>וסבר רבי יוסי בעניות שלא נתן קצבה</w:t>
      </w:r>
      <w:r>
        <w:rPr>
          <w:rStyle w:val="a7"/>
          <w:rFonts w:cs="Arial"/>
          <w:rtl/>
        </w:rPr>
        <w:footnoteReference w:id="389"/>
      </w:r>
      <w:r>
        <w:rPr>
          <w:rFonts w:cs="Arial" w:hint="cs"/>
          <w:rtl/>
        </w:rPr>
        <w:t xml:space="preserve"> -</w:t>
      </w:r>
      <w:r w:rsidRPr="00560D36">
        <w:rPr>
          <w:rFonts w:cs="Arial"/>
          <w:rtl/>
        </w:rPr>
        <w:t xml:space="preserve"> אלמא בעל מצי מיפר</w:t>
      </w:r>
      <w:r>
        <w:rPr>
          <w:rStyle w:val="a7"/>
          <w:rFonts w:cs="Arial"/>
          <w:rtl/>
        </w:rPr>
        <w:footnoteReference w:id="390"/>
      </w:r>
      <w:r>
        <w:rPr>
          <w:rFonts w:cs="Arial" w:hint="cs"/>
          <w:rtl/>
        </w:rPr>
        <w:t>.</w:t>
      </w:r>
      <w:r w:rsidRPr="00560D36">
        <w:rPr>
          <w:rFonts w:cs="Arial"/>
          <w:rtl/>
        </w:rPr>
        <w:t xml:space="preserve"> ורמינהו: אלו דברים שהבעל מיפר, דברים שיש בהן עינוי נפש: אם ארחץ אם לא ארחץ, אם אתקשט אם לא אתקשט</w:t>
      </w:r>
      <w:r w:rsidR="008325FE">
        <w:rPr>
          <w:rFonts w:cs="Arial" w:hint="cs"/>
          <w:rtl/>
        </w:rPr>
        <w:t>.</w:t>
      </w:r>
      <w:r w:rsidRPr="00560D36">
        <w:rPr>
          <w:rFonts w:cs="Arial"/>
          <w:rtl/>
        </w:rPr>
        <w:t xml:space="preserve"> </w:t>
      </w:r>
      <w:r w:rsidRPr="008325FE">
        <w:rPr>
          <w:rFonts w:cs="Arial"/>
          <w:u w:val="single"/>
          <w:rtl/>
        </w:rPr>
        <w:t>אמר רבי יוסי</w:t>
      </w:r>
      <w:r w:rsidRPr="00560D36">
        <w:rPr>
          <w:rFonts w:cs="Arial"/>
          <w:rtl/>
        </w:rPr>
        <w:t>: אין אלו נדרי עינוי נפש, ואלו הן נדרי עינוי נפש: שלא אוכל בשר, ושלא אשתה יין, ושלא אתקשט</w:t>
      </w:r>
      <w:r>
        <w:rPr>
          <w:rFonts w:cs="Arial" w:hint="cs"/>
          <w:sz w:val="14"/>
          <w:szCs w:val="14"/>
          <w:rtl/>
        </w:rPr>
        <w:t xml:space="preserve"> (עא:)</w:t>
      </w:r>
      <w:r>
        <w:rPr>
          <w:rFonts w:cs="Arial" w:hint="cs"/>
          <w:rtl/>
        </w:rPr>
        <w:t xml:space="preserve"> </w:t>
      </w:r>
      <w:r w:rsidRPr="00560D36">
        <w:rPr>
          <w:rFonts w:cs="Arial"/>
          <w:rtl/>
        </w:rPr>
        <w:t>בבגדי צבעונין! הכא במאי עסקינן - בדברים שבינו לבינה</w:t>
      </w:r>
      <w:r w:rsidR="00087AB3">
        <w:rPr>
          <w:rStyle w:val="a7"/>
          <w:rFonts w:cs="Arial"/>
          <w:rtl/>
        </w:rPr>
        <w:footnoteReference w:id="391"/>
      </w:r>
      <w:r w:rsidRPr="00560D36">
        <w:rPr>
          <w:rFonts w:cs="Arial"/>
          <w:rtl/>
        </w:rPr>
        <w:t>. הניחא למ"ד דברים שבינו לבינה הבעל מיפר, אלא למ"ד אין הבעל מיפר, מאי איכא למימר? דאתמר: דברים שבינו לבינה - רב הונא אמר: הבעל מיפר, רב אדא בר אהבה אמר: אין הבעל מיפר, שלא מצינו שועל שמת בעפר פיר</w:t>
      </w:r>
      <w:r w:rsidR="00087AB3">
        <w:rPr>
          <w:rStyle w:val="a7"/>
          <w:rFonts w:cs="Arial"/>
          <w:rtl/>
        </w:rPr>
        <w:footnoteReference w:id="392"/>
      </w:r>
      <w:r w:rsidRPr="00560D36">
        <w:rPr>
          <w:rFonts w:cs="Arial"/>
          <w:rtl/>
        </w:rPr>
        <w:t>! אלא הכא במאי עסקינן - כגון דתלינהו לקישוטיה בתשמיש המטה, דאמרה יאסר הנאת תשמישך עלי אם אתקשט</w:t>
      </w:r>
      <w:r>
        <w:rPr>
          <w:rFonts w:cs="Arial" w:hint="cs"/>
          <w:rtl/>
        </w:rPr>
        <w:t>.</w:t>
      </w:r>
      <w:r w:rsidRPr="00560D36">
        <w:rPr>
          <w:rFonts w:cs="Arial"/>
          <w:rtl/>
        </w:rPr>
        <w:t xml:space="preserve"> כדאמר רב כהנא, דאמר רב כהנא: הנאת תשמישי עליך - כופה ומשמשתו, הנאת תשמישך עלי - יפר, לפי שאין מאכילין לאדם דבר האסור לו. ולא תתקשט ולא תאסר! אם כן, קרו לה מנוולת. ותתקשט ותאסר, אי לב"ש</w:t>
      </w:r>
      <w:r w:rsidR="00EF65A2">
        <w:rPr>
          <w:rStyle w:val="a7"/>
          <w:rFonts w:cs="Arial"/>
          <w:rtl/>
        </w:rPr>
        <w:footnoteReference w:id="393"/>
      </w:r>
      <w:r w:rsidRPr="00560D36">
        <w:rPr>
          <w:rFonts w:cs="Arial"/>
          <w:rtl/>
        </w:rPr>
        <w:t xml:space="preserve"> שתי שבתות, אי לבית הלל שבת אחת! הני מילי היכא דאדרה איהו, דסברה: מירתח רתח עילואי והשתא מותיב דעתיה, אבל הכא דנדרה איהי ושתיק לה, סברה: מדאישתק, מיסנא הוא דסני לי</w:t>
      </w:r>
      <w:r>
        <w:rPr>
          <w:rStyle w:val="a7"/>
          <w:rFonts w:cs="Arial"/>
          <w:rtl/>
        </w:rPr>
        <w:footnoteReference w:id="394"/>
      </w:r>
      <w:r w:rsidRPr="00560D36">
        <w:rPr>
          <w:rFonts w:cs="Arial"/>
          <w:rtl/>
        </w:rPr>
        <w:t>.</w:t>
      </w:r>
      <w:r w:rsidR="00087AB3" w:rsidRPr="00087AB3">
        <w:rPr>
          <w:rtl/>
        </w:rPr>
        <w:t xml:space="preserve"> </w:t>
      </w:r>
      <w:r w:rsidR="00087AB3" w:rsidRPr="00087AB3">
        <w:rPr>
          <w:rFonts w:cs="Arial"/>
          <w:rtl/>
        </w:rPr>
        <w:t>רבי יוסי אומר: בעניות - שלא נתן קצבה. וכמה קצבה</w:t>
      </w:r>
      <w:r w:rsidR="00DD037B">
        <w:rPr>
          <w:rStyle w:val="a7"/>
          <w:rFonts w:cs="Arial"/>
          <w:rtl/>
        </w:rPr>
        <w:footnoteReference w:id="395"/>
      </w:r>
      <w:r w:rsidR="00087AB3" w:rsidRPr="00087AB3">
        <w:rPr>
          <w:rFonts w:cs="Arial"/>
          <w:rtl/>
        </w:rPr>
        <w:t xml:space="preserve">? </w:t>
      </w:r>
      <w:r w:rsidR="00087AB3" w:rsidRPr="00DD037B">
        <w:rPr>
          <w:rFonts w:cs="Arial"/>
          <w:u w:val="single"/>
          <w:rtl/>
        </w:rPr>
        <w:t>אמר רב יהודה אמר שמואל</w:t>
      </w:r>
      <w:r w:rsidR="00087AB3" w:rsidRPr="00087AB3">
        <w:rPr>
          <w:rFonts w:cs="Arial"/>
          <w:rtl/>
        </w:rPr>
        <w:t>: י"ב חדש</w:t>
      </w:r>
      <w:r w:rsidR="00DD037B">
        <w:rPr>
          <w:rFonts w:cs="Arial" w:hint="cs"/>
          <w:rtl/>
        </w:rPr>
        <w:t>.</w:t>
      </w:r>
      <w:r w:rsidR="00087AB3" w:rsidRPr="00087AB3">
        <w:rPr>
          <w:rFonts w:cs="Arial"/>
          <w:rtl/>
        </w:rPr>
        <w:t xml:space="preserve"> </w:t>
      </w:r>
      <w:r w:rsidR="00087AB3" w:rsidRPr="00DD037B">
        <w:rPr>
          <w:rFonts w:cs="Arial"/>
          <w:u w:val="single"/>
          <w:rtl/>
        </w:rPr>
        <w:t>רבה בר בר חנה אמר רבי יוחנן</w:t>
      </w:r>
      <w:r w:rsidR="00087AB3" w:rsidRPr="00087AB3">
        <w:rPr>
          <w:rFonts w:cs="Arial"/>
          <w:rtl/>
        </w:rPr>
        <w:t>: עשר שנים</w:t>
      </w:r>
      <w:r w:rsidR="00DD037B">
        <w:rPr>
          <w:rFonts w:cs="Arial" w:hint="cs"/>
          <w:rtl/>
        </w:rPr>
        <w:t>.</w:t>
      </w:r>
      <w:r w:rsidR="00087AB3" w:rsidRPr="00087AB3">
        <w:rPr>
          <w:rFonts w:cs="Arial"/>
          <w:rtl/>
        </w:rPr>
        <w:t xml:space="preserve"> </w:t>
      </w:r>
      <w:r w:rsidR="00087AB3" w:rsidRPr="00DD037B">
        <w:rPr>
          <w:rFonts w:cs="Arial"/>
          <w:u w:val="single"/>
          <w:rtl/>
        </w:rPr>
        <w:t>רב חסדא אמר אבימי</w:t>
      </w:r>
      <w:r w:rsidR="00087AB3" w:rsidRPr="00087AB3">
        <w:rPr>
          <w:rFonts w:cs="Arial"/>
          <w:rtl/>
        </w:rPr>
        <w:t>: רגל, שכן בנות ישראל מתקשטות ברגל.</w:t>
      </w:r>
    </w:p>
    <w:p w14:paraId="71D85DEE" w14:textId="43E594FA" w:rsidR="004A1CD6" w:rsidRPr="00810E55" w:rsidRDefault="00810E55" w:rsidP="004A1CD6">
      <w:pPr>
        <w:rPr>
          <w:u w:val="single"/>
          <w:rtl/>
        </w:rPr>
      </w:pPr>
      <w:r w:rsidRPr="00810E55">
        <w:rPr>
          <w:rFonts w:cs="Arial"/>
          <w:u w:val="single"/>
          <w:rtl/>
        </w:rPr>
        <w:t>הדירה שלא תתקשט</w:t>
      </w:r>
      <w:r w:rsidRPr="00810E55">
        <w:rPr>
          <w:rFonts w:hint="cs"/>
          <w:u w:val="single"/>
          <w:rtl/>
        </w:rPr>
        <w:t>:</w:t>
      </w:r>
    </w:p>
    <w:p w14:paraId="216337D0" w14:textId="185B7806" w:rsidR="00233CC5" w:rsidRDefault="00233CC5" w:rsidP="00233CC5">
      <w:pPr>
        <w:pStyle w:val="ab"/>
        <w:numPr>
          <w:ilvl w:val="0"/>
          <w:numId w:val="7"/>
        </w:numPr>
        <w:rPr>
          <w:rFonts w:cs="Arial"/>
        </w:rPr>
      </w:pPr>
      <w:r w:rsidRPr="00791B55">
        <w:rPr>
          <w:rFonts w:cs="Arial"/>
          <w:rtl/>
        </w:rPr>
        <w:t>רמב"ם</w:t>
      </w:r>
      <w:r>
        <w:rPr>
          <w:rFonts w:cs="Arial" w:hint="cs"/>
          <w:rtl/>
        </w:rPr>
        <w:t xml:space="preserve"> </w:t>
      </w:r>
      <w:r>
        <w:rPr>
          <w:rFonts w:cs="Arial" w:hint="cs"/>
          <w:sz w:val="16"/>
          <w:szCs w:val="16"/>
          <w:rtl/>
        </w:rPr>
        <w:t>(פי"ג מאישות ה"ח)</w:t>
      </w:r>
      <w:r>
        <w:rPr>
          <w:rFonts w:cs="Arial" w:hint="cs"/>
          <w:rtl/>
        </w:rPr>
        <w:t xml:space="preserve">- </w:t>
      </w:r>
      <w:r w:rsidRPr="004A1CD6">
        <w:rPr>
          <w:rFonts w:cs="Arial"/>
          <w:rtl/>
        </w:rPr>
        <w:t>המדיר את אשתו שלא תתקשט באחד מכל המינין</w:t>
      </w:r>
      <w:r w:rsidR="005F6ABE">
        <w:rPr>
          <w:rStyle w:val="a7"/>
          <w:rFonts w:cs="Arial"/>
          <w:rtl/>
        </w:rPr>
        <w:footnoteReference w:id="396"/>
      </w:r>
      <w:r w:rsidRPr="004A1CD6">
        <w:rPr>
          <w:rFonts w:cs="Arial"/>
          <w:rtl/>
        </w:rPr>
        <w:t xml:space="preserve">, בעניות </w:t>
      </w:r>
      <w:r w:rsidR="000C59D9">
        <w:rPr>
          <w:rFonts w:cs="Arial" w:hint="cs"/>
          <w:rtl/>
        </w:rPr>
        <w:t xml:space="preserve">- </w:t>
      </w:r>
      <w:r w:rsidRPr="004A1CD6">
        <w:rPr>
          <w:rFonts w:cs="Arial"/>
          <w:rtl/>
        </w:rPr>
        <w:t>שנה אחת יקיים</w:t>
      </w:r>
      <w:r w:rsidR="006B76AF">
        <w:rPr>
          <w:rFonts w:cs="Arial" w:hint="cs"/>
          <w:rtl/>
        </w:rPr>
        <w:t>,</w:t>
      </w:r>
      <w:r w:rsidRPr="004A1CD6">
        <w:rPr>
          <w:rFonts w:cs="Arial"/>
          <w:rtl/>
        </w:rPr>
        <w:t xml:space="preserve"> יתר על כן</w:t>
      </w:r>
      <w:r w:rsidR="000C59D9">
        <w:rPr>
          <w:rFonts w:cs="Arial" w:hint="cs"/>
          <w:rtl/>
        </w:rPr>
        <w:t xml:space="preserve"> -</w:t>
      </w:r>
      <w:r w:rsidRPr="004A1CD6">
        <w:rPr>
          <w:rFonts w:cs="Arial"/>
          <w:rtl/>
        </w:rPr>
        <w:t xml:space="preserve"> או יתיר נדרו או יוציא ויתן כתובה</w:t>
      </w:r>
      <w:r w:rsidR="00C65F99">
        <w:rPr>
          <w:rStyle w:val="a7"/>
          <w:rFonts w:cs="Arial"/>
          <w:rtl/>
        </w:rPr>
        <w:footnoteReference w:id="397"/>
      </w:r>
      <w:r w:rsidR="006B76AF">
        <w:rPr>
          <w:rFonts w:cs="Arial" w:hint="cs"/>
          <w:rtl/>
        </w:rPr>
        <w:t>.</w:t>
      </w:r>
      <w:r w:rsidRPr="004A1CD6">
        <w:rPr>
          <w:rFonts w:cs="Arial"/>
          <w:rtl/>
        </w:rPr>
        <w:t xml:space="preserve"> ובעשירות </w:t>
      </w:r>
      <w:r w:rsidR="000C59D9">
        <w:rPr>
          <w:rFonts w:cs="Arial" w:hint="cs"/>
          <w:rtl/>
        </w:rPr>
        <w:t xml:space="preserve">- </w:t>
      </w:r>
      <w:r w:rsidRPr="004A1CD6">
        <w:rPr>
          <w:rFonts w:cs="Arial"/>
          <w:rtl/>
        </w:rPr>
        <w:t>שלשים יום יקיים</w:t>
      </w:r>
      <w:r w:rsidR="006B76AF">
        <w:rPr>
          <w:rFonts w:cs="Arial" w:hint="cs"/>
          <w:rtl/>
        </w:rPr>
        <w:t>,</w:t>
      </w:r>
      <w:r w:rsidRPr="004A1CD6">
        <w:rPr>
          <w:rFonts w:cs="Arial"/>
          <w:rtl/>
        </w:rPr>
        <w:t xml:space="preserve"> יתר על כן </w:t>
      </w:r>
      <w:r w:rsidR="000C59D9">
        <w:rPr>
          <w:rFonts w:cs="Arial" w:hint="cs"/>
          <w:rtl/>
        </w:rPr>
        <w:t xml:space="preserve">- </w:t>
      </w:r>
      <w:r w:rsidRPr="004A1CD6">
        <w:rPr>
          <w:rFonts w:cs="Arial"/>
          <w:rtl/>
        </w:rPr>
        <w:t>או יתיר נדרו או יוציא ויתן כתובה.</w:t>
      </w:r>
      <w:r>
        <w:rPr>
          <w:rFonts w:cs="Arial" w:hint="cs"/>
          <w:rtl/>
        </w:rPr>
        <w:t xml:space="preserve"> </w:t>
      </w:r>
    </w:p>
    <w:p w14:paraId="52B1430B" w14:textId="497AC28E" w:rsidR="006B76AF" w:rsidRPr="004A1CD6" w:rsidRDefault="006B76AF" w:rsidP="00233CC5">
      <w:pPr>
        <w:pStyle w:val="ab"/>
        <w:numPr>
          <w:ilvl w:val="0"/>
          <w:numId w:val="7"/>
        </w:numPr>
        <w:rPr>
          <w:rFonts w:cs="Arial"/>
        </w:rPr>
      </w:pPr>
      <w:r>
        <w:rPr>
          <w:rFonts w:cs="Arial"/>
          <w:rtl/>
        </w:rPr>
        <w:t xml:space="preserve">ר"ח </w:t>
      </w:r>
      <w:r>
        <w:rPr>
          <w:rFonts w:cs="Arial" w:hint="cs"/>
          <w:sz w:val="16"/>
          <w:szCs w:val="16"/>
          <w:rtl/>
        </w:rPr>
        <w:t>(כ"כ הר"ן [שם] בשמו)</w:t>
      </w:r>
      <w:r>
        <w:rPr>
          <w:rFonts w:cs="Arial" w:hint="cs"/>
          <w:rtl/>
        </w:rPr>
        <w:t>- בעניות יקיים</w:t>
      </w:r>
      <w:r>
        <w:rPr>
          <w:rFonts w:cs="Arial"/>
          <w:rtl/>
        </w:rPr>
        <w:t xml:space="preserve"> י' שנים</w:t>
      </w:r>
      <w:r>
        <w:rPr>
          <w:rFonts w:cs="Arial" w:hint="cs"/>
          <w:rtl/>
        </w:rPr>
        <w:t>.</w:t>
      </w:r>
      <w:r w:rsidR="00F01E1C">
        <w:rPr>
          <w:rFonts w:cs="Arial" w:hint="cs"/>
          <w:rtl/>
        </w:rPr>
        <w:t xml:space="preserve"> </w:t>
      </w:r>
    </w:p>
    <w:p w14:paraId="47B49B69" w14:textId="7A76AEA6" w:rsidR="00233CC5" w:rsidRPr="00233CC5" w:rsidRDefault="00233CC5" w:rsidP="00233CC5">
      <w:pPr>
        <w:pStyle w:val="ab"/>
        <w:numPr>
          <w:ilvl w:val="0"/>
          <w:numId w:val="7"/>
        </w:numPr>
        <w:rPr>
          <w:rFonts w:cs="Arial"/>
          <w:rtl/>
        </w:rPr>
      </w:pPr>
      <w:r w:rsidRPr="00791B55">
        <w:rPr>
          <w:rFonts w:cs="Arial"/>
          <w:rtl/>
        </w:rPr>
        <w:t>רמ"ה</w:t>
      </w:r>
      <w:r>
        <w:rPr>
          <w:rFonts w:cs="Arial" w:hint="cs"/>
          <w:rtl/>
        </w:rPr>
        <w:t xml:space="preserve"> </w:t>
      </w:r>
      <w:r>
        <w:rPr>
          <w:rFonts w:cs="Arial" w:hint="cs"/>
          <w:sz w:val="16"/>
          <w:szCs w:val="16"/>
          <w:rtl/>
        </w:rPr>
        <w:t>(כ"כ הטור בשמו)</w:t>
      </w:r>
      <w:r>
        <w:rPr>
          <w:rFonts w:cs="Arial" w:hint="cs"/>
          <w:rtl/>
        </w:rPr>
        <w:t xml:space="preserve">- </w:t>
      </w:r>
      <w:r w:rsidRPr="00791B55">
        <w:rPr>
          <w:rFonts w:cs="Arial"/>
          <w:rtl/>
        </w:rPr>
        <w:t>בעניות רגל אחד יקיים</w:t>
      </w:r>
      <w:r>
        <w:rPr>
          <w:rStyle w:val="a7"/>
          <w:rFonts w:cs="Arial"/>
          <w:rtl/>
        </w:rPr>
        <w:footnoteReference w:id="398"/>
      </w:r>
      <w:r>
        <w:rPr>
          <w:rFonts w:cs="Arial" w:hint="cs"/>
          <w:rtl/>
        </w:rPr>
        <w:t>.</w:t>
      </w:r>
    </w:p>
    <w:p w14:paraId="4809BAEC" w14:textId="15EE7E39" w:rsidR="005F6ABE" w:rsidRDefault="00DD037B" w:rsidP="00791B55">
      <w:pPr>
        <w:pStyle w:val="ab"/>
        <w:numPr>
          <w:ilvl w:val="0"/>
          <w:numId w:val="7"/>
        </w:numPr>
        <w:rPr>
          <w:rFonts w:cs="Arial"/>
        </w:rPr>
      </w:pPr>
      <w:r>
        <w:rPr>
          <w:rFonts w:cs="Arial" w:hint="cs"/>
          <w:rtl/>
        </w:rPr>
        <w:t xml:space="preserve">רי"ף </w:t>
      </w:r>
      <w:r w:rsidR="00233CC5">
        <w:rPr>
          <w:rFonts w:cs="Arial" w:hint="cs"/>
          <w:sz w:val="16"/>
          <w:szCs w:val="16"/>
          <w:rtl/>
        </w:rPr>
        <w:t xml:space="preserve">(לב., כ"כ הב"י בשמו) </w:t>
      </w:r>
      <w:r w:rsidR="003833D4">
        <w:rPr>
          <w:rFonts w:cs="Arial" w:hint="cs"/>
          <w:rtl/>
        </w:rPr>
        <w:t>רא"ש</w:t>
      </w:r>
      <w:r w:rsidR="00233CC5">
        <w:rPr>
          <w:rStyle w:val="a7"/>
          <w:rFonts w:cs="Arial"/>
          <w:rtl/>
        </w:rPr>
        <w:footnoteReference w:id="399"/>
      </w:r>
      <w:r w:rsidR="003833D4">
        <w:rPr>
          <w:rFonts w:cs="Arial" w:hint="cs"/>
          <w:rtl/>
        </w:rPr>
        <w:t xml:space="preserve"> </w:t>
      </w:r>
      <w:r w:rsidR="00233CC5">
        <w:rPr>
          <w:rFonts w:cs="Arial" w:hint="cs"/>
          <w:sz w:val="16"/>
          <w:szCs w:val="16"/>
          <w:rtl/>
        </w:rPr>
        <w:t xml:space="preserve">(סי' ב, כ"כ הטור בשמו) </w:t>
      </w:r>
      <w:r w:rsidR="003833D4">
        <w:rPr>
          <w:rFonts w:cs="Arial" w:hint="cs"/>
          <w:rtl/>
        </w:rPr>
        <w:t xml:space="preserve">וטור- </w:t>
      </w:r>
      <w:r w:rsidR="00791B55" w:rsidRPr="00791B55">
        <w:rPr>
          <w:rFonts w:cs="Arial"/>
          <w:rtl/>
        </w:rPr>
        <w:t>הדירה שלא תתקשט ותלאו בתשמיש</w:t>
      </w:r>
      <w:r w:rsidR="003833D4">
        <w:rPr>
          <w:rFonts w:cs="Arial" w:hint="cs"/>
          <w:rtl/>
        </w:rPr>
        <w:t>,</w:t>
      </w:r>
      <w:r w:rsidR="00791B55" w:rsidRPr="00791B55">
        <w:rPr>
          <w:rFonts w:cs="Arial"/>
          <w:rtl/>
        </w:rPr>
        <w:t xml:space="preserve"> שאמר</w:t>
      </w:r>
      <w:r w:rsidR="00491AA8">
        <w:rPr>
          <w:rFonts w:cs="Arial" w:hint="cs"/>
          <w:rtl/>
        </w:rPr>
        <w:t>:</w:t>
      </w:r>
      <w:r w:rsidR="00791B55" w:rsidRPr="00791B55">
        <w:rPr>
          <w:rFonts w:cs="Arial"/>
          <w:rtl/>
        </w:rPr>
        <w:t xml:space="preserve"> קונם תשמישך עלי אם תתקשטי</w:t>
      </w:r>
      <w:r w:rsidR="003833D4">
        <w:rPr>
          <w:rFonts w:cs="Arial" w:hint="cs"/>
          <w:rtl/>
        </w:rPr>
        <w:t>,</w:t>
      </w:r>
      <w:r w:rsidR="00791B55" w:rsidRPr="00791B55">
        <w:rPr>
          <w:rFonts w:cs="Arial"/>
          <w:rtl/>
        </w:rPr>
        <w:t xml:space="preserve"> היא תתקשט מיד ותיאסר בתשמיש</w:t>
      </w:r>
      <w:r w:rsidR="003833D4">
        <w:rPr>
          <w:rFonts w:cs="Arial" w:hint="cs"/>
          <w:rtl/>
        </w:rPr>
        <w:t>,</w:t>
      </w:r>
      <w:r w:rsidR="00791B55" w:rsidRPr="00791B55">
        <w:rPr>
          <w:rFonts w:cs="Arial"/>
          <w:rtl/>
        </w:rPr>
        <w:t xml:space="preserve"> ויקיים ז' ימים</w:t>
      </w:r>
      <w:r w:rsidR="003833D4">
        <w:rPr>
          <w:rFonts w:cs="Arial" w:hint="cs"/>
          <w:rtl/>
        </w:rPr>
        <w:t>,</w:t>
      </w:r>
      <w:r w:rsidR="00791B55" w:rsidRPr="00791B55">
        <w:rPr>
          <w:rFonts w:cs="Arial"/>
          <w:rtl/>
        </w:rPr>
        <w:t xml:space="preserve"> ואז יוציא ויתן כתובה</w:t>
      </w:r>
      <w:r w:rsidR="005F6ABE">
        <w:rPr>
          <w:rFonts w:cs="Arial" w:hint="cs"/>
          <w:sz w:val="16"/>
          <w:szCs w:val="16"/>
          <w:rtl/>
        </w:rPr>
        <w:t xml:space="preserve"> (ל' הטור)</w:t>
      </w:r>
      <w:r w:rsidR="003833D4">
        <w:rPr>
          <w:rFonts w:cs="Arial" w:hint="cs"/>
          <w:rtl/>
        </w:rPr>
        <w:t>.</w:t>
      </w:r>
      <w:r w:rsidR="00791B55" w:rsidRPr="00791B55">
        <w:rPr>
          <w:rFonts w:cs="Arial"/>
          <w:rtl/>
        </w:rPr>
        <w:t xml:space="preserve"> </w:t>
      </w:r>
      <w:r w:rsidR="008015A2" w:rsidRPr="008015A2">
        <w:rPr>
          <w:rFonts w:cs="Arial" w:hint="cs"/>
          <w:color w:val="E36C0A" w:themeColor="accent6" w:themeShade="BF"/>
          <w:rtl/>
        </w:rPr>
        <w:t>(וכ"פ בשו"ע)</w:t>
      </w:r>
    </w:p>
    <w:p w14:paraId="41287FC1" w14:textId="77777777" w:rsidR="009814F2" w:rsidRDefault="009814F2" w:rsidP="009814F2">
      <w:pPr>
        <w:rPr>
          <w:rFonts w:cs="Arial"/>
          <w:rtl/>
        </w:rPr>
      </w:pPr>
      <w:r w:rsidRPr="003024E5">
        <w:rPr>
          <w:rFonts w:asciiTheme="minorBidi" w:hAnsiTheme="minorBidi"/>
          <w:b/>
          <w:bCs/>
          <w:color w:val="000000"/>
          <w:sz w:val="28"/>
          <w:szCs w:val="28"/>
          <w:u w:val="single"/>
          <w:rtl/>
        </w:rPr>
        <w:t>שו"ע:</w:t>
      </w:r>
    </w:p>
    <w:p w14:paraId="1FAE5358" w14:textId="7C3E54BD" w:rsidR="00471D63" w:rsidRDefault="00471D63" w:rsidP="00471D63">
      <w:pPr>
        <w:rPr>
          <w:rtl/>
        </w:rPr>
      </w:pPr>
      <w:r>
        <w:rPr>
          <w:rFonts w:cs="Arial"/>
          <w:rtl/>
        </w:rPr>
        <w:lastRenderedPageBreak/>
        <w:t>הדירה שלא תתקשט, ותלאו בתשמיש, שאמר: קונם הנאת תשמישך עלי אם תתקשטי, תתקשט מיד ותאסר בתשמיש, ויקיים ז' ימים ואז יוציא ויתן כתובה. וי</w:t>
      </w:r>
      <w:r w:rsidR="00830C5A">
        <w:rPr>
          <w:rFonts w:cs="Arial" w:hint="cs"/>
          <w:rtl/>
        </w:rPr>
        <w:t xml:space="preserve">ש </w:t>
      </w:r>
      <w:r>
        <w:rPr>
          <w:rFonts w:cs="Arial"/>
          <w:rtl/>
        </w:rPr>
        <w:t>א</w:t>
      </w:r>
      <w:r w:rsidR="00830C5A">
        <w:rPr>
          <w:rFonts w:cs="Arial" w:hint="cs"/>
          <w:rtl/>
        </w:rPr>
        <w:t>ומרים</w:t>
      </w:r>
      <w:r>
        <w:rPr>
          <w:rFonts w:cs="Arial"/>
          <w:rtl/>
        </w:rPr>
        <w:t xml:space="preserve"> שאם הדירה שלא תתקשט, בעניות, שנה אחת יקיים, יותר מכן יתיר נדרו או יוציא ויתן כתובה</w:t>
      </w:r>
      <w:r w:rsidR="00830C5A">
        <w:rPr>
          <w:rFonts w:cs="Arial" w:hint="cs"/>
          <w:rtl/>
        </w:rPr>
        <w:t>.</w:t>
      </w:r>
      <w:r>
        <w:rPr>
          <w:rFonts w:cs="Arial"/>
          <w:rtl/>
        </w:rPr>
        <w:t xml:space="preserve"> ובעשירות, ל' יום יקיים, יותר מכן יתיר את נדרו או יוציא ויתן כתובה. </w:t>
      </w:r>
    </w:p>
    <w:p w14:paraId="382A5303" w14:textId="77777777" w:rsidR="00830C5A" w:rsidRDefault="00830C5A" w:rsidP="00471D63">
      <w:pPr>
        <w:rPr>
          <w:rtl/>
        </w:rPr>
      </w:pPr>
    </w:p>
    <w:p w14:paraId="7DC02B1C" w14:textId="64D198D0" w:rsidR="00471D63" w:rsidRDefault="00471D63" w:rsidP="000F64D0">
      <w:pPr>
        <w:pStyle w:val="2"/>
        <w:rPr>
          <w:rtl/>
        </w:rPr>
      </w:pPr>
      <w:r>
        <w:rPr>
          <w:rtl/>
        </w:rPr>
        <w:t>סעיף ב</w:t>
      </w:r>
      <w:r w:rsidR="00830C5A">
        <w:rPr>
          <w:rFonts w:hint="cs"/>
          <w:rtl/>
        </w:rPr>
        <w:t>:</w:t>
      </w:r>
      <w:r w:rsidR="005F6ABE">
        <w:rPr>
          <w:rFonts w:hint="cs"/>
          <w:rtl/>
        </w:rPr>
        <w:t xml:space="preserve"> נדרה היא שלא תתקשט.</w:t>
      </w:r>
    </w:p>
    <w:p w14:paraId="701E7386" w14:textId="1D3FF125" w:rsidR="00830C5A" w:rsidRPr="005F6ABE" w:rsidRDefault="005F6ABE" w:rsidP="00830C5A">
      <w:pPr>
        <w:rPr>
          <w:u w:val="single"/>
          <w:rtl/>
        </w:rPr>
      </w:pPr>
      <w:r w:rsidRPr="005F6ABE">
        <w:rPr>
          <w:rFonts w:hint="cs"/>
          <w:u w:val="single"/>
          <w:rtl/>
        </w:rPr>
        <w:t>נדרה היא שלא תתקשט:</w:t>
      </w:r>
    </w:p>
    <w:p w14:paraId="7A36A409" w14:textId="5DFB6019" w:rsidR="005F6ABE" w:rsidRPr="005F6ABE" w:rsidRDefault="005F6ABE" w:rsidP="005F6ABE">
      <w:pPr>
        <w:pStyle w:val="ab"/>
        <w:numPr>
          <w:ilvl w:val="0"/>
          <w:numId w:val="7"/>
        </w:numPr>
        <w:rPr>
          <w:rFonts w:cs="Arial"/>
          <w:rtl/>
        </w:rPr>
      </w:pPr>
      <w:r>
        <w:rPr>
          <w:rFonts w:cs="Arial" w:hint="cs"/>
          <w:rtl/>
        </w:rPr>
        <w:t xml:space="preserve">טור- </w:t>
      </w:r>
      <w:r w:rsidRPr="00791B55">
        <w:rPr>
          <w:rFonts w:cs="Arial"/>
          <w:rtl/>
        </w:rPr>
        <w:t>נדרה היא שלא תתקשט</w:t>
      </w:r>
      <w:r>
        <w:rPr>
          <w:rFonts w:cs="Arial" w:hint="cs"/>
          <w:rtl/>
        </w:rPr>
        <w:t>,</w:t>
      </w:r>
      <w:r w:rsidRPr="00791B55">
        <w:rPr>
          <w:rFonts w:cs="Arial"/>
          <w:rtl/>
        </w:rPr>
        <w:t xml:space="preserve"> או שאמרה קונם תשמישך עלי אם אתקשט</w:t>
      </w:r>
      <w:r>
        <w:rPr>
          <w:rFonts w:cs="Arial" w:hint="cs"/>
          <w:rtl/>
        </w:rPr>
        <w:t>,</w:t>
      </w:r>
      <w:r w:rsidRPr="00791B55">
        <w:rPr>
          <w:rFonts w:cs="Arial"/>
          <w:rtl/>
        </w:rPr>
        <w:t xml:space="preserve"> ושמע וקיים לה </w:t>
      </w:r>
      <w:r>
        <w:rPr>
          <w:rFonts w:cs="Arial" w:hint="cs"/>
          <w:rtl/>
        </w:rPr>
        <w:t xml:space="preserve">- </w:t>
      </w:r>
      <w:r w:rsidRPr="00791B55">
        <w:rPr>
          <w:rFonts w:cs="Arial"/>
          <w:rtl/>
        </w:rPr>
        <w:t>יוציא ויתן כתובה</w:t>
      </w:r>
      <w:r>
        <w:rPr>
          <w:rFonts w:cs="Arial" w:hint="cs"/>
          <w:sz w:val="16"/>
          <w:szCs w:val="16"/>
          <w:rtl/>
        </w:rPr>
        <w:t xml:space="preserve"> (ל' הטור)</w:t>
      </w:r>
      <w:r>
        <w:rPr>
          <w:rFonts w:cs="Arial" w:hint="cs"/>
          <w:rtl/>
        </w:rPr>
        <w:t>.</w:t>
      </w:r>
      <w:r w:rsidRPr="00791B55">
        <w:rPr>
          <w:rFonts w:cs="Arial"/>
          <w:rtl/>
        </w:rPr>
        <w:t xml:space="preserve"> </w:t>
      </w:r>
      <w:r w:rsidR="008015A2" w:rsidRPr="008015A2">
        <w:rPr>
          <w:rFonts w:cs="Arial" w:hint="cs"/>
          <w:color w:val="E36C0A" w:themeColor="accent6" w:themeShade="BF"/>
          <w:rtl/>
        </w:rPr>
        <w:t>(וכ"פ בשו"ע)</w:t>
      </w:r>
    </w:p>
    <w:p w14:paraId="553A3185" w14:textId="77777777" w:rsidR="00830C5A" w:rsidRDefault="00830C5A" w:rsidP="00830C5A">
      <w:pPr>
        <w:rPr>
          <w:rFonts w:cs="Arial"/>
          <w:rtl/>
        </w:rPr>
      </w:pPr>
      <w:r w:rsidRPr="003024E5">
        <w:rPr>
          <w:rFonts w:asciiTheme="minorBidi" w:hAnsiTheme="minorBidi"/>
          <w:b/>
          <w:bCs/>
          <w:color w:val="000000"/>
          <w:sz w:val="28"/>
          <w:szCs w:val="28"/>
          <w:u w:val="single"/>
          <w:rtl/>
        </w:rPr>
        <w:t>שו"ע:</w:t>
      </w:r>
    </w:p>
    <w:p w14:paraId="5042D0B3" w14:textId="3BAD1804" w:rsidR="00471D63" w:rsidRDefault="00471D63" w:rsidP="00471D63">
      <w:pPr>
        <w:rPr>
          <w:rtl/>
        </w:rPr>
      </w:pPr>
      <w:r>
        <w:rPr>
          <w:rFonts w:cs="Arial"/>
          <w:rtl/>
        </w:rPr>
        <w:t>נדרה היא שלא תתקשט, או שאמרה: קונם תשמישך עלי אם אתקשט, ושמע ולא היפר לה, יוציא ויתן כתובה</w:t>
      </w:r>
      <w:r w:rsidR="000C59D9">
        <w:rPr>
          <w:rStyle w:val="a7"/>
          <w:rFonts w:cs="Arial"/>
          <w:rtl/>
        </w:rPr>
        <w:footnoteReference w:id="400"/>
      </w:r>
      <w:r>
        <w:rPr>
          <w:rFonts w:cs="Arial"/>
          <w:rtl/>
        </w:rPr>
        <w:t xml:space="preserve">. </w:t>
      </w:r>
    </w:p>
    <w:p w14:paraId="2A42F52B" w14:textId="77777777" w:rsidR="00830C5A" w:rsidRDefault="00830C5A" w:rsidP="00471D63"/>
    <w:p w14:paraId="2E4D42DD" w14:textId="64B83818" w:rsidR="00471D63" w:rsidRDefault="00471D63" w:rsidP="000F64D0">
      <w:pPr>
        <w:pStyle w:val="2"/>
        <w:rPr>
          <w:rtl/>
        </w:rPr>
      </w:pPr>
      <w:r>
        <w:rPr>
          <w:rtl/>
        </w:rPr>
        <w:t>סעיף ג</w:t>
      </w:r>
      <w:r w:rsidR="00830C5A">
        <w:rPr>
          <w:rFonts w:hint="cs"/>
          <w:rtl/>
        </w:rPr>
        <w:t>:</w:t>
      </w:r>
      <w:r w:rsidR="003C29C7">
        <w:rPr>
          <w:rFonts w:hint="cs"/>
          <w:rtl/>
        </w:rPr>
        <w:t xml:space="preserve"> </w:t>
      </w:r>
      <w:r w:rsidR="00F504A9">
        <w:rPr>
          <w:rFonts w:hint="cs"/>
          <w:rtl/>
        </w:rPr>
        <w:t>הדירה/נדרה שלא תשאל ולא תשאיל כלים.</w:t>
      </w:r>
    </w:p>
    <w:p w14:paraId="66988C52" w14:textId="48F83023" w:rsidR="008015A2" w:rsidRDefault="005E2C4A" w:rsidP="008015A2">
      <w:pPr>
        <w:rPr>
          <w:rtl/>
        </w:rPr>
      </w:pPr>
      <w:r w:rsidRPr="00C60E3E">
        <w:rPr>
          <w:rFonts w:cs="Arial"/>
          <w:b/>
          <w:bCs/>
          <w:rtl/>
        </w:rPr>
        <w:t xml:space="preserve">כתובות </w:t>
      </w:r>
      <w:r w:rsidRPr="00C60E3E">
        <w:rPr>
          <w:rFonts w:cs="Arial"/>
          <w:b/>
          <w:bCs/>
          <w:sz w:val="16"/>
          <w:szCs w:val="16"/>
          <w:rtl/>
        </w:rPr>
        <w:t>(</w:t>
      </w:r>
      <w:r w:rsidRPr="00C60E3E">
        <w:rPr>
          <w:rFonts w:cs="Arial" w:hint="cs"/>
          <w:b/>
          <w:bCs/>
          <w:sz w:val="16"/>
          <w:szCs w:val="16"/>
          <w:rtl/>
        </w:rPr>
        <w:t>פ</w:t>
      </w:r>
      <w:r>
        <w:rPr>
          <w:rFonts w:cs="Arial" w:hint="cs"/>
          <w:b/>
          <w:bCs/>
          <w:sz w:val="16"/>
          <w:szCs w:val="16"/>
          <w:rtl/>
        </w:rPr>
        <w:t>'</w:t>
      </w:r>
      <w:r w:rsidRPr="00C60E3E">
        <w:rPr>
          <w:rFonts w:cs="Arial" w:hint="cs"/>
          <w:b/>
          <w:bCs/>
          <w:sz w:val="16"/>
          <w:szCs w:val="16"/>
          <w:rtl/>
        </w:rPr>
        <w:t xml:space="preserve"> המדיר) </w:t>
      </w:r>
      <w:r w:rsidRPr="00C60E3E">
        <w:rPr>
          <w:rFonts w:cs="Arial"/>
          <w:b/>
          <w:bCs/>
          <w:rtl/>
        </w:rPr>
        <w:t>ע</w:t>
      </w:r>
      <w:r>
        <w:rPr>
          <w:rFonts w:cs="Arial" w:hint="cs"/>
          <w:b/>
          <w:bCs/>
          <w:rtl/>
        </w:rPr>
        <w:t>ב</w:t>
      </w:r>
      <w:r w:rsidRPr="00C60E3E">
        <w:rPr>
          <w:rFonts w:cs="Arial" w:hint="cs"/>
          <w:b/>
          <w:bCs/>
          <w:rtl/>
        </w:rPr>
        <w:t xml:space="preserve"> ע"א:</w:t>
      </w:r>
      <w:r w:rsidRPr="005E2C4A">
        <w:rPr>
          <w:rtl/>
        </w:rPr>
        <w:t xml:space="preserve"> </w:t>
      </w:r>
      <w:r w:rsidRPr="005E2C4A">
        <w:rPr>
          <w:rFonts w:cs="Arial"/>
          <w:u w:val="single"/>
          <w:rtl/>
        </w:rPr>
        <w:t>אמר רב כהנא</w:t>
      </w:r>
      <w:r w:rsidRPr="005E2C4A">
        <w:rPr>
          <w:rFonts w:cs="Arial"/>
          <w:rtl/>
        </w:rPr>
        <w:t>: המדיר את אשתו שלא תשאל ושלא תשאיל נפה וכברה וריחים ותנור - יוציא ויתן כתובה</w:t>
      </w:r>
      <w:r w:rsidR="003C29C7">
        <w:rPr>
          <w:rStyle w:val="a7"/>
          <w:rFonts w:cs="Arial"/>
          <w:rtl/>
        </w:rPr>
        <w:footnoteReference w:id="401"/>
      </w:r>
      <w:r w:rsidRPr="005E2C4A">
        <w:rPr>
          <w:rFonts w:cs="Arial"/>
          <w:rtl/>
        </w:rPr>
        <w:t>, שמשיאה שם רע בשכינותיה. תניא נמי הכי: המדיר את אשתו שלא תשאל ושלא תשאיל נפה וכברה ריחים ותנור - יוציא ויתן כתובה, מפני שמשיאה שם רע בשכינותיה</w:t>
      </w:r>
      <w:r>
        <w:rPr>
          <w:rFonts w:cs="Arial" w:hint="cs"/>
          <w:rtl/>
        </w:rPr>
        <w:t>.</w:t>
      </w:r>
      <w:r w:rsidRPr="005E2C4A">
        <w:rPr>
          <w:rFonts w:cs="Arial"/>
          <w:rtl/>
        </w:rPr>
        <w:t xml:space="preserve"> וכן היא שנדרה שלא תשאל ושלא תשאיל נפה וכברה וריחים ותנור, ושלא תארוג בגדים נאים לבניו - תצא שלא בכתובה, מפני שמשיאתו שם רע בשכיניו.</w:t>
      </w:r>
    </w:p>
    <w:p w14:paraId="3683E449" w14:textId="41AC2A2C" w:rsidR="00CB06BB" w:rsidRPr="004B6D68" w:rsidRDefault="00CB06BB" w:rsidP="008015A2">
      <w:pPr>
        <w:rPr>
          <w:u w:val="single"/>
          <w:rtl/>
        </w:rPr>
      </w:pPr>
      <w:r w:rsidRPr="008373A2">
        <w:rPr>
          <w:rFonts w:hint="cs"/>
          <w:u w:val="single"/>
          <w:rtl/>
        </w:rPr>
        <w:t>בעל שאסר כלי שכנ</w:t>
      </w:r>
      <w:r w:rsidR="008373A2" w:rsidRPr="008373A2">
        <w:rPr>
          <w:rFonts w:hint="cs"/>
          <w:u w:val="single"/>
          <w:rtl/>
        </w:rPr>
        <w:t>י</w:t>
      </w:r>
      <w:r w:rsidRPr="008373A2">
        <w:rPr>
          <w:rFonts w:hint="cs"/>
          <w:u w:val="single"/>
          <w:rtl/>
        </w:rPr>
        <w:t>ו</w:t>
      </w:r>
      <w:r w:rsidR="008373A2" w:rsidRPr="008373A2">
        <w:rPr>
          <w:rFonts w:hint="cs"/>
          <w:u w:val="single"/>
          <w:rtl/>
        </w:rPr>
        <w:t xml:space="preserve"> על</w:t>
      </w:r>
      <w:r w:rsidR="00AD7734">
        <w:rPr>
          <w:rFonts w:hint="cs"/>
          <w:u w:val="single"/>
          <w:rtl/>
        </w:rPr>
        <w:t>יו</w:t>
      </w:r>
      <w:r w:rsidR="008373A2" w:rsidRPr="008373A2">
        <w:rPr>
          <w:rFonts w:hint="cs"/>
          <w:u w:val="single"/>
          <w:rtl/>
        </w:rPr>
        <w:t xml:space="preserve">, </w:t>
      </w:r>
      <w:r w:rsidR="00AD7734">
        <w:rPr>
          <w:rFonts w:hint="cs"/>
          <w:u w:val="single"/>
          <w:rtl/>
        </w:rPr>
        <w:t>ו</w:t>
      </w:r>
      <w:r w:rsidRPr="008373A2">
        <w:rPr>
          <w:rFonts w:hint="cs"/>
          <w:u w:val="single"/>
          <w:rtl/>
        </w:rPr>
        <w:t>כליו על שכנ</w:t>
      </w:r>
      <w:r w:rsidR="008373A2" w:rsidRPr="008373A2">
        <w:rPr>
          <w:rFonts w:hint="cs"/>
          <w:u w:val="single"/>
          <w:rtl/>
        </w:rPr>
        <w:t>י</w:t>
      </w:r>
      <w:r w:rsidRPr="008373A2">
        <w:rPr>
          <w:rFonts w:hint="cs"/>
          <w:u w:val="single"/>
          <w:rtl/>
        </w:rPr>
        <w:t>ו</w:t>
      </w:r>
      <w:r w:rsidR="004B6D68">
        <w:rPr>
          <w:rFonts w:hint="cs"/>
          <w:u w:val="single"/>
          <w:rtl/>
        </w:rPr>
        <w:t xml:space="preserve">. </w:t>
      </w:r>
      <w:r w:rsidR="00AD7734">
        <w:rPr>
          <w:rFonts w:hint="cs"/>
          <w:u w:val="single"/>
          <w:rtl/>
        </w:rPr>
        <w:t>או</w:t>
      </w:r>
      <w:r w:rsidR="004B6D68">
        <w:rPr>
          <w:rFonts w:hint="cs"/>
          <w:u w:val="single"/>
          <w:rtl/>
        </w:rPr>
        <w:t xml:space="preserve"> אש</w:t>
      </w:r>
      <w:r w:rsidR="004B6D68" w:rsidRPr="004B6D68">
        <w:rPr>
          <w:rFonts w:hint="cs"/>
          <w:u w:val="single"/>
          <w:rtl/>
        </w:rPr>
        <w:t>ה</w:t>
      </w:r>
      <w:r w:rsidR="004B6D68" w:rsidRPr="004B6D68">
        <w:rPr>
          <w:rFonts w:cs="Arial"/>
          <w:u w:val="single"/>
          <w:rtl/>
        </w:rPr>
        <w:t xml:space="preserve"> שאמרה קונם תשמישך עלי אם אשאל</w:t>
      </w:r>
      <w:r w:rsidR="004B6D68">
        <w:rPr>
          <w:rFonts w:cs="Arial" w:hint="cs"/>
          <w:u w:val="single"/>
          <w:rtl/>
        </w:rPr>
        <w:t>/ אשאיל</w:t>
      </w:r>
      <w:r w:rsidR="004B6D68" w:rsidRPr="004B6D68">
        <w:rPr>
          <w:rFonts w:cs="Arial"/>
          <w:u w:val="single"/>
          <w:rtl/>
        </w:rPr>
        <w:t xml:space="preserve"> כלים</w:t>
      </w:r>
      <w:r w:rsidR="008373A2" w:rsidRPr="004B6D68">
        <w:rPr>
          <w:rFonts w:hint="cs"/>
          <w:u w:val="single"/>
          <w:rtl/>
        </w:rPr>
        <w:t>:</w:t>
      </w:r>
    </w:p>
    <w:p w14:paraId="64C325D8" w14:textId="544DCEC5" w:rsidR="008015A2" w:rsidRDefault="00CB06BB" w:rsidP="00791B55">
      <w:pPr>
        <w:pStyle w:val="ab"/>
        <w:numPr>
          <w:ilvl w:val="0"/>
          <w:numId w:val="7"/>
        </w:numPr>
        <w:rPr>
          <w:rFonts w:cs="Arial"/>
        </w:rPr>
      </w:pPr>
      <w:r>
        <w:rPr>
          <w:rFonts w:cs="Arial" w:hint="cs"/>
          <w:rtl/>
        </w:rPr>
        <w:t xml:space="preserve">טור- </w:t>
      </w:r>
      <w:r w:rsidR="00791B55" w:rsidRPr="00791B55">
        <w:rPr>
          <w:rFonts w:cs="Arial"/>
          <w:rtl/>
        </w:rPr>
        <w:t>אסר הבעל כלי שכניו עליו</w:t>
      </w:r>
      <w:r w:rsidR="003E3811">
        <w:rPr>
          <w:rFonts w:cs="Arial" w:hint="cs"/>
          <w:rtl/>
        </w:rPr>
        <w:t>,</w:t>
      </w:r>
      <w:r w:rsidR="00791B55" w:rsidRPr="00791B55">
        <w:rPr>
          <w:rFonts w:cs="Arial"/>
          <w:rtl/>
        </w:rPr>
        <w:t xml:space="preserve"> או כליו על שכניו</w:t>
      </w:r>
      <w:r w:rsidR="008015A2">
        <w:rPr>
          <w:rFonts w:cs="Arial" w:hint="cs"/>
          <w:rtl/>
        </w:rPr>
        <w:t>,</w:t>
      </w:r>
      <w:r w:rsidR="00791B55" w:rsidRPr="00791B55">
        <w:rPr>
          <w:rFonts w:cs="Arial"/>
          <w:rtl/>
        </w:rPr>
        <w:t xml:space="preserve"> כדי שלא תשאילם ולא תשאל מהם</w:t>
      </w:r>
      <w:r w:rsidR="003E3811">
        <w:rPr>
          <w:rFonts w:cs="Arial" w:hint="cs"/>
          <w:rtl/>
        </w:rPr>
        <w:t>.</w:t>
      </w:r>
      <w:r w:rsidR="00791B55" w:rsidRPr="00791B55">
        <w:rPr>
          <w:rFonts w:cs="Arial"/>
          <w:rtl/>
        </w:rPr>
        <w:t xml:space="preserve"> או שאמרה היא</w:t>
      </w:r>
      <w:r w:rsidR="00471C1A">
        <w:rPr>
          <w:rStyle w:val="a7"/>
          <w:rFonts w:cs="Arial"/>
          <w:rtl/>
        </w:rPr>
        <w:footnoteReference w:id="402"/>
      </w:r>
      <w:r w:rsidR="00791B55" w:rsidRPr="00791B55">
        <w:rPr>
          <w:rFonts w:cs="Arial"/>
          <w:rtl/>
        </w:rPr>
        <w:t xml:space="preserve"> קונם תשמישך עלי אם אשאל משכיני כלים או אשאילם מכלי ושמע וקיים לה </w:t>
      </w:r>
      <w:r w:rsidR="008015A2">
        <w:rPr>
          <w:rFonts w:cs="Arial" w:hint="cs"/>
          <w:rtl/>
        </w:rPr>
        <w:t xml:space="preserve">- </w:t>
      </w:r>
      <w:r w:rsidR="00791B55" w:rsidRPr="00791B55">
        <w:rPr>
          <w:rFonts w:cs="Arial"/>
          <w:rtl/>
        </w:rPr>
        <w:t>יוציא מיד ויתן כתובה</w:t>
      </w:r>
      <w:r w:rsidR="008015A2">
        <w:rPr>
          <w:rFonts w:cs="Arial" w:hint="cs"/>
          <w:rtl/>
        </w:rPr>
        <w:t>.</w:t>
      </w:r>
      <w:r w:rsidR="00791B55" w:rsidRPr="00791B55">
        <w:rPr>
          <w:rFonts w:cs="Arial"/>
          <w:rtl/>
        </w:rPr>
        <w:t xml:space="preserve"> </w:t>
      </w:r>
      <w:r w:rsidR="00F504A9" w:rsidRPr="008015A2">
        <w:rPr>
          <w:rFonts w:cs="Arial" w:hint="cs"/>
          <w:color w:val="E36C0A" w:themeColor="accent6" w:themeShade="BF"/>
          <w:rtl/>
        </w:rPr>
        <w:t>(וכ"פ בשו"ע)</w:t>
      </w:r>
    </w:p>
    <w:p w14:paraId="7F837A92" w14:textId="562A74A0" w:rsidR="000755D8" w:rsidRDefault="000755D8" w:rsidP="000755D8">
      <w:pPr>
        <w:pStyle w:val="ab"/>
        <w:numPr>
          <w:ilvl w:val="0"/>
          <w:numId w:val="7"/>
        </w:numPr>
        <w:rPr>
          <w:rFonts w:cs="Arial"/>
        </w:rPr>
      </w:pPr>
      <w:r>
        <w:rPr>
          <w:rFonts w:cs="Arial" w:hint="cs"/>
          <w:rtl/>
        </w:rPr>
        <w:t xml:space="preserve">רמב"ם </w:t>
      </w:r>
      <w:r>
        <w:rPr>
          <w:rFonts w:cs="Arial" w:hint="cs"/>
          <w:sz w:val="16"/>
          <w:szCs w:val="16"/>
          <w:rtl/>
        </w:rPr>
        <w:t>(פי"ג מאישות ה"י)</w:t>
      </w:r>
      <w:r>
        <w:rPr>
          <w:rFonts w:cs="Arial" w:hint="cs"/>
          <w:rtl/>
        </w:rPr>
        <w:t xml:space="preserve">- </w:t>
      </w:r>
      <w:r w:rsidRPr="009D1543">
        <w:rPr>
          <w:rFonts w:cs="Arial"/>
          <w:rtl/>
        </w:rPr>
        <w:t>הדירה שלא תשאל ושלא תשאיל מכלי הבית שדרך כל השכנות לשאול אותן ולהשאילן כגון נפה וכברה רחים ותנור וכיוצא בהם</w:t>
      </w:r>
      <w:r>
        <w:rPr>
          <w:rFonts w:cs="Arial" w:hint="cs"/>
          <w:rtl/>
        </w:rPr>
        <w:t xml:space="preserve"> -</w:t>
      </w:r>
      <w:r w:rsidRPr="009D1543">
        <w:rPr>
          <w:rFonts w:cs="Arial"/>
          <w:rtl/>
        </w:rPr>
        <w:t xml:space="preserve"> יתיר נדרו</w:t>
      </w:r>
      <w:r>
        <w:rPr>
          <w:rStyle w:val="a7"/>
          <w:rFonts w:cs="Arial"/>
          <w:rtl/>
        </w:rPr>
        <w:footnoteReference w:id="403"/>
      </w:r>
      <w:r w:rsidRPr="009D1543">
        <w:rPr>
          <w:rFonts w:cs="Arial"/>
          <w:rtl/>
        </w:rPr>
        <w:t xml:space="preserve"> או יוציא ויתן כתובה</w:t>
      </w:r>
      <w:r>
        <w:rPr>
          <w:rFonts w:cs="Arial" w:hint="cs"/>
          <w:rtl/>
        </w:rPr>
        <w:t>,</w:t>
      </w:r>
      <w:r w:rsidRPr="009D1543">
        <w:rPr>
          <w:rFonts w:cs="Arial"/>
          <w:rtl/>
        </w:rPr>
        <w:t xml:space="preserve"> מפני שמשיאה שם רע בשכנותיה.</w:t>
      </w:r>
      <w:r>
        <w:rPr>
          <w:rFonts w:cs="Arial" w:hint="cs"/>
          <w:rtl/>
        </w:rPr>
        <w:t xml:space="preserve"> </w:t>
      </w:r>
    </w:p>
    <w:p w14:paraId="3B8D2926" w14:textId="0D23D9AC" w:rsidR="004C286B" w:rsidRPr="004C286B" w:rsidRDefault="004C286B" w:rsidP="004C286B">
      <w:pPr>
        <w:ind w:left="360"/>
        <w:rPr>
          <w:rFonts w:cs="Arial"/>
          <w:u w:val="dotted"/>
        </w:rPr>
      </w:pPr>
      <w:r w:rsidRPr="004C286B">
        <w:rPr>
          <w:rFonts w:cs="Arial" w:hint="cs"/>
          <w:u w:val="dotted"/>
          <w:rtl/>
        </w:rPr>
        <w:t xml:space="preserve">ומה הדין אם אמר לאשתו </w:t>
      </w:r>
      <w:r w:rsidR="004B6D68">
        <w:rPr>
          <w:rFonts w:cs="Arial" w:hint="cs"/>
          <w:u w:val="dotted"/>
          <w:rtl/>
        </w:rPr>
        <w:t>'</w:t>
      </w:r>
      <w:r w:rsidRPr="004C286B">
        <w:rPr>
          <w:rFonts w:cs="Arial"/>
          <w:u w:val="dotted"/>
          <w:rtl/>
        </w:rPr>
        <w:t>קונם תשמישך עלי אם תשאל</w:t>
      </w:r>
      <w:r w:rsidR="009D1543">
        <w:rPr>
          <w:rFonts w:cs="Arial" w:hint="cs"/>
          <w:u w:val="dotted"/>
          <w:rtl/>
        </w:rPr>
        <w:t>/תשאיל כלים</w:t>
      </w:r>
      <w:r w:rsidRPr="004C286B">
        <w:rPr>
          <w:rFonts w:cs="Arial" w:hint="cs"/>
          <w:u w:val="dotted"/>
          <w:rtl/>
        </w:rPr>
        <w:t>':</w:t>
      </w:r>
    </w:p>
    <w:p w14:paraId="3CFE6CD5" w14:textId="00006C2B" w:rsidR="008015A2" w:rsidRDefault="004B6D68" w:rsidP="00791B55">
      <w:pPr>
        <w:pStyle w:val="ab"/>
        <w:numPr>
          <w:ilvl w:val="0"/>
          <w:numId w:val="7"/>
        </w:numPr>
        <w:rPr>
          <w:rFonts w:cs="Arial"/>
        </w:rPr>
      </w:pPr>
      <w:r>
        <w:rPr>
          <w:rFonts w:cs="Arial" w:hint="cs"/>
          <w:rtl/>
        </w:rPr>
        <w:t xml:space="preserve">טור- </w:t>
      </w:r>
      <w:r w:rsidR="00791B55" w:rsidRPr="00791B55">
        <w:rPr>
          <w:rFonts w:cs="Arial"/>
          <w:rtl/>
        </w:rPr>
        <w:t>ואם אמר הוא קונם תשמישך עלי אם תשאל מהם כלים או תשאילם</w:t>
      </w:r>
      <w:r w:rsidR="008015A2">
        <w:rPr>
          <w:rFonts w:cs="Arial" w:hint="cs"/>
          <w:rtl/>
        </w:rPr>
        <w:t>,</w:t>
      </w:r>
      <w:r w:rsidR="00791B55" w:rsidRPr="00791B55">
        <w:rPr>
          <w:rFonts w:cs="Arial"/>
          <w:rtl/>
        </w:rPr>
        <w:t xml:space="preserve"> א</w:t>
      </w:r>
      <w:r w:rsidR="008015A2">
        <w:rPr>
          <w:rFonts w:cs="Arial" w:hint="cs"/>
          <w:rtl/>
        </w:rPr>
        <w:t xml:space="preserve">י </w:t>
      </w:r>
      <w:r w:rsidR="00791B55" w:rsidRPr="00791B55">
        <w:rPr>
          <w:rFonts w:cs="Arial"/>
          <w:rtl/>
        </w:rPr>
        <w:t>א</w:t>
      </w:r>
      <w:r w:rsidR="008015A2">
        <w:rPr>
          <w:rFonts w:cs="Arial" w:hint="cs"/>
          <w:rtl/>
        </w:rPr>
        <w:t>פשר</w:t>
      </w:r>
      <w:r w:rsidR="00791B55" w:rsidRPr="00791B55">
        <w:rPr>
          <w:rFonts w:cs="Arial"/>
          <w:rtl/>
        </w:rPr>
        <w:t xml:space="preserve"> לה שלא תשאל מהם ולא תשאילם והרי היא נאסרת מיד ויוצי</w:t>
      </w:r>
      <w:r w:rsidR="004C286B">
        <w:rPr>
          <w:rFonts w:cs="Arial" w:hint="cs"/>
          <w:rtl/>
        </w:rPr>
        <w:t>א</w:t>
      </w:r>
      <w:r w:rsidR="00791B55" w:rsidRPr="00791B55">
        <w:rPr>
          <w:rFonts w:cs="Arial"/>
          <w:rtl/>
        </w:rPr>
        <w:t xml:space="preserve"> לאחר ז' ימים</w:t>
      </w:r>
      <w:r w:rsidR="004C286B">
        <w:rPr>
          <w:rStyle w:val="a7"/>
          <w:rFonts w:cs="Arial"/>
          <w:rtl/>
        </w:rPr>
        <w:footnoteReference w:id="404"/>
      </w:r>
      <w:r w:rsidR="00791B55" w:rsidRPr="00791B55">
        <w:rPr>
          <w:rFonts w:cs="Arial"/>
          <w:rtl/>
        </w:rPr>
        <w:t xml:space="preserve"> ויתן כתוב</w:t>
      </w:r>
      <w:r w:rsidR="008015A2">
        <w:rPr>
          <w:rFonts w:cs="Arial" w:hint="cs"/>
          <w:rtl/>
        </w:rPr>
        <w:t>ה.</w:t>
      </w:r>
      <w:r w:rsidR="00791B55" w:rsidRPr="00791B55">
        <w:rPr>
          <w:rFonts w:cs="Arial"/>
          <w:rtl/>
        </w:rPr>
        <w:t xml:space="preserve"> </w:t>
      </w:r>
      <w:r w:rsidR="00F504A9" w:rsidRPr="008015A2">
        <w:rPr>
          <w:rFonts w:cs="Arial" w:hint="cs"/>
          <w:color w:val="E36C0A" w:themeColor="accent6" w:themeShade="BF"/>
          <w:rtl/>
        </w:rPr>
        <w:t>(וכ"פ בשו"ע)</w:t>
      </w:r>
    </w:p>
    <w:p w14:paraId="3679A2F1" w14:textId="3420F14A" w:rsidR="004B6D68" w:rsidRPr="004B6D68" w:rsidRDefault="00AD7734" w:rsidP="00AD7734">
      <w:pPr>
        <w:rPr>
          <w:rFonts w:cs="Arial"/>
        </w:rPr>
      </w:pPr>
      <w:r>
        <w:rPr>
          <w:rFonts w:hint="cs"/>
          <w:u w:val="single"/>
          <w:rtl/>
        </w:rPr>
        <w:t>אשה</w:t>
      </w:r>
      <w:r w:rsidRPr="008373A2">
        <w:rPr>
          <w:rFonts w:hint="cs"/>
          <w:u w:val="single"/>
          <w:rtl/>
        </w:rPr>
        <w:t xml:space="preserve"> שאסר</w:t>
      </w:r>
      <w:r>
        <w:rPr>
          <w:rFonts w:hint="cs"/>
          <w:u w:val="single"/>
          <w:rtl/>
        </w:rPr>
        <w:t>ה</w:t>
      </w:r>
      <w:r w:rsidRPr="008373A2">
        <w:rPr>
          <w:rFonts w:hint="cs"/>
          <w:u w:val="single"/>
          <w:rtl/>
        </w:rPr>
        <w:t xml:space="preserve"> כלי שכני</w:t>
      </w:r>
      <w:r>
        <w:rPr>
          <w:rFonts w:hint="cs"/>
          <w:u w:val="single"/>
          <w:rtl/>
        </w:rPr>
        <w:t>ה</w:t>
      </w:r>
      <w:r w:rsidR="009D1543">
        <w:rPr>
          <w:rFonts w:hint="cs"/>
          <w:u w:val="single"/>
          <w:rtl/>
        </w:rPr>
        <w:t xml:space="preserve">/בעלה </w:t>
      </w:r>
      <w:r w:rsidRPr="008373A2">
        <w:rPr>
          <w:rFonts w:hint="cs"/>
          <w:u w:val="single"/>
          <w:rtl/>
        </w:rPr>
        <w:t>ע</w:t>
      </w:r>
      <w:r>
        <w:rPr>
          <w:rFonts w:hint="cs"/>
          <w:u w:val="single"/>
          <w:rtl/>
        </w:rPr>
        <w:t>ליה</w:t>
      </w:r>
      <w:r w:rsidRPr="008373A2">
        <w:rPr>
          <w:rFonts w:hint="cs"/>
          <w:u w:val="single"/>
          <w:rtl/>
        </w:rPr>
        <w:t xml:space="preserve">, </w:t>
      </w:r>
      <w:r w:rsidR="009D1543">
        <w:rPr>
          <w:rFonts w:hint="cs"/>
          <w:u w:val="single"/>
          <w:rtl/>
        </w:rPr>
        <w:t>או שנדרה לא לארוג בגדים נאין לבניו:</w:t>
      </w:r>
    </w:p>
    <w:p w14:paraId="490CB96E" w14:textId="0B2F96F5" w:rsidR="00830C5A" w:rsidRPr="000755D8" w:rsidRDefault="005F3F60" w:rsidP="000755D8">
      <w:pPr>
        <w:pStyle w:val="ab"/>
        <w:numPr>
          <w:ilvl w:val="0"/>
          <w:numId w:val="7"/>
        </w:numPr>
        <w:rPr>
          <w:rFonts w:cs="Arial"/>
          <w:rtl/>
        </w:rPr>
      </w:pPr>
      <w:r>
        <w:rPr>
          <w:rFonts w:cs="Arial" w:hint="cs"/>
          <w:rtl/>
        </w:rPr>
        <w:t xml:space="preserve">רמב"ם </w:t>
      </w:r>
      <w:r>
        <w:rPr>
          <w:rFonts w:cs="Arial" w:hint="cs"/>
          <w:sz w:val="16"/>
          <w:szCs w:val="16"/>
          <w:rtl/>
        </w:rPr>
        <w:t>(פי"ג מאישות ה"י)</w:t>
      </w:r>
      <w:r>
        <w:rPr>
          <w:rFonts w:cs="Arial" w:hint="cs"/>
          <w:rtl/>
        </w:rPr>
        <w:t xml:space="preserve"> ו</w:t>
      </w:r>
      <w:r w:rsidR="009D1543">
        <w:rPr>
          <w:rFonts w:cs="Arial" w:hint="cs"/>
          <w:rtl/>
        </w:rPr>
        <w:t xml:space="preserve">טור- </w:t>
      </w:r>
      <w:r w:rsidR="00791B55" w:rsidRPr="00791B55">
        <w:rPr>
          <w:rFonts w:cs="Arial"/>
          <w:rtl/>
        </w:rPr>
        <w:t>ואם היא אוסרת כלי שכניה עליה כדי שלא תשאל מהם</w:t>
      </w:r>
      <w:r w:rsidR="005E2C4A">
        <w:rPr>
          <w:rFonts w:cs="Arial" w:hint="cs"/>
          <w:rtl/>
        </w:rPr>
        <w:t>,</w:t>
      </w:r>
      <w:r w:rsidR="00791B55" w:rsidRPr="00791B55">
        <w:rPr>
          <w:rFonts w:cs="Arial"/>
          <w:rtl/>
        </w:rPr>
        <w:t xml:space="preserve"> או שאסרה על עצמה כלי בעלה שלא תוכל להשאילם כדי שלא יחזיקו להם טובה</w:t>
      </w:r>
      <w:r w:rsidR="005E2C4A">
        <w:rPr>
          <w:rFonts w:cs="Arial" w:hint="cs"/>
          <w:rtl/>
        </w:rPr>
        <w:t>,</w:t>
      </w:r>
      <w:r w:rsidR="00791B55" w:rsidRPr="00791B55">
        <w:rPr>
          <w:rFonts w:cs="Arial"/>
          <w:rtl/>
        </w:rPr>
        <w:t xml:space="preserve"> או שנדרה שלא לארוג בגדים נאים לבניו</w:t>
      </w:r>
      <w:r w:rsidR="005E2C4A">
        <w:rPr>
          <w:rFonts w:cs="Arial" w:hint="cs"/>
          <w:rtl/>
        </w:rPr>
        <w:t>,</w:t>
      </w:r>
      <w:r w:rsidR="00791B55" w:rsidRPr="00791B55">
        <w:rPr>
          <w:rFonts w:cs="Arial"/>
          <w:rtl/>
        </w:rPr>
        <w:t xml:space="preserve"> והוא </w:t>
      </w:r>
      <w:r w:rsidR="00791B55" w:rsidRPr="00791B55">
        <w:rPr>
          <w:rFonts w:cs="Arial"/>
          <w:rtl/>
        </w:rPr>
        <w:lastRenderedPageBreak/>
        <w:t>אינו יכול להפר</w:t>
      </w:r>
      <w:r w:rsidR="005E2C4A">
        <w:rPr>
          <w:rFonts w:cs="Arial" w:hint="cs"/>
          <w:rtl/>
        </w:rPr>
        <w:t>,</w:t>
      </w:r>
      <w:r w:rsidR="00791B55" w:rsidRPr="00791B55">
        <w:rPr>
          <w:rFonts w:cs="Arial"/>
          <w:rtl/>
        </w:rPr>
        <w:t xml:space="preserve"> שאין זה דברים שבינו לבינה</w:t>
      </w:r>
      <w:r w:rsidR="009D1543">
        <w:rPr>
          <w:rStyle w:val="a7"/>
          <w:rFonts w:cs="Arial"/>
          <w:rtl/>
        </w:rPr>
        <w:footnoteReference w:id="405"/>
      </w:r>
      <w:r w:rsidR="005E2C4A">
        <w:rPr>
          <w:rFonts w:cs="Arial" w:hint="cs"/>
          <w:rtl/>
        </w:rPr>
        <w:t>,</w:t>
      </w:r>
      <w:r w:rsidR="00791B55" w:rsidRPr="00791B55">
        <w:rPr>
          <w:rFonts w:cs="Arial"/>
          <w:rtl/>
        </w:rPr>
        <w:t xml:space="preserve"> ואסורה לארוג ולשאל ולהשאיל כלים</w:t>
      </w:r>
      <w:r w:rsidR="005E2C4A">
        <w:rPr>
          <w:rFonts w:cs="Arial" w:hint="cs"/>
          <w:rtl/>
        </w:rPr>
        <w:t>,</w:t>
      </w:r>
      <w:r w:rsidR="00791B55" w:rsidRPr="00791B55">
        <w:rPr>
          <w:rFonts w:cs="Arial"/>
          <w:rtl/>
        </w:rPr>
        <w:t xml:space="preserve"> לפיכך </w:t>
      </w:r>
      <w:r w:rsidR="005E2C4A">
        <w:rPr>
          <w:rFonts w:cs="Arial" w:hint="cs"/>
          <w:rtl/>
        </w:rPr>
        <w:t xml:space="preserve">- </w:t>
      </w:r>
      <w:r w:rsidR="00791B55" w:rsidRPr="00791B55">
        <w:rPr>
          <w:rFonts w:cs="Arial"/>
          <w:rtl/>
        </w:rPr>
        <w:t>תצא בלא כתובה שמשיאתו שם רע בשכיניו</w:t>
      </w:r>
      <w:r>
        <w:rPr>
          <w:rFonts w:cs="Arial" w:hint="cs"/>
          <w:sz w:val="16"/>
          <w:szCs w:val="16"/>
          <w:rtl/>
        </w:rPr>
        <w:t xml:space="preserve"> (ל' הטור)</w:t>
      </w:r>
      <w:r w:rsidR="00791B55">
        <w:rPr>
          <w:rFonts w:cs="Arial" w:hint="cs"/>
          <w:rtl/>
        </w:rPr>
        <w:t>.</w:t>
      </w:r>
      <w:r w:rsidR="00791B55" w:rsidRPr="00791B55">
        <w:rPr>
          <w:rFonts w:cs="Arial"/>
          <w:rtl/>
        </w:rPr>
        <w:t xml:space="preserve"> </w:t>
      </w:r>
      <w:r w:rsidR="00F504A9" w:rsidRPr="008015A2">
        <w:rPr>
          <w:rFonts w:cs="Arial" w:hint="cs"/>
          <w:color w:val="E36C0A" w:themeColor="accent6" w:themeShade="BF"/>
          <w:rtl/>
        </w:rPr>
        <w:t>(וכ"פ בשו"ע)</w:t>
      </w:r>
    </w:p>
    <w:p w14:paraId="0A63230A" w14:textId="77777777" w:rsidR="00830C5A" w:rsidRDefault="00830C5A" w:rsidP="00830C5A">
      <w:pPr>
        <w:rPr>
          <w:rFonts w:cs="Arial"/>
          <w:rtl/>
        </w:rPr>
      </w:pPr>
      <w:r w:rsidRPr="003024E5">
        <w:rPr>
          <w:rFonts w:asciiTheme="minorBidi" w:hAnsiTheme="minorBidi"/>
          <w:b/>
          <w:bCs/>
          <w:color w:val="000000"/>
          <w:sz w:val="28"/>
          <w:szCs w:val="28"/>
          <w:u w:val="single"/>
          <w:rtl/>
        </w:rPr>
        <w:t>שו"ע:</w:t>
      </w:r>
    </w:p>
    <w:p w14:paraId="650AD7F9" w14:textId="6D5AE26C" w:rsidR="00471D63" w:rsidRDefault="00471D63" w:rsidP="00471D63">
      <w:pPr>
        <w:rPr>
          <w:rtl/>
        </w:rPr>
      </w:pPr>
      <w:r>
        <w:rPr>
          <w:rFonts w:cs="Arial"/>
          <w:rtl/>
        </w:rPr>
        <w:t>אסר הבעל כלי שכניו עליו, או כליו על שכניו, כדי שלא תשאילם ולא תשאל מהן</w:t>
      </w:r>
      <w:r w:rsidR="00F504A9">
        <w:rPr>
          <w:rFonts w:cs="Arial" w:hint="cs"/>
          <w:rtl/>
        </w:rPr>
        <w:t>,</w:t>
      </w:r>
      <w:r>
        <w:rPr>
          <w:rFonts w:cs="Arial"/>
          <w:rtl/>
        </w:rPr>
        <w:t xml:space="preserve"> או שאמרה היא: קונם תשמישך עלי אם אשאל משכני כלים או אשאילם מכלי, ושמע וקיים לה, יוציא מיד ויתן כתובה. ואם אמר הוא: קונם תשמישך עלי אם תשאל מהם כלים או תשאילם, אי אפשר לה שלא תשאל מהם ולא תשאילם, והרי היא נאסרה מיד, ויוציא לאחר ז' ימים ויתן כתובה. ואם היא אסרה כלי שכניה עליה כדי שלא תשאל מהם, או שאסרה על עצמה כלי בעלה שלא תוכל להשאילם, כדי שלא יחזיקו להם טובה, או שנדרה שלא לארוג בגדים נאים לבניו, והוא אינו יכול להפר שאין זה מדברים שבינו לבינה, ואסורה לארוג ולשאול ולהשאיל כלים, תצא בלא כתובה, מפני שמשיאתו שם רע בשכניו. </w:t>
      </w:r>
    </w:p>
    <w:p w14:paraId="16C7235A" w14:textId="77777777" w:rsidR="00830C5A" w:rsidRDefault="00830C5A" w:rsidP="00471D63">
      <w:pPr>
        <w:rPr>
          <w:rtl/>
        </w:rPr>
      </w:pPr>
    </w:p>
    <w:p w14:paraId="6C0C546E" w14:textId="7447C22B" w:rsidR="00471D63" w:rsidRDefault="00471D63" w:rsidP="000F64D0">
      <w:pPr>
        <w:pStyle w:val="2"/>
        <w:rPr>
          <w:rtl/>
        </w:rPr>
      </w:pPr>
      <w:r>
        <w:rPr>
          <w:rtl/>
        </w:rPr>
        <w:t>סעיף ד</w:t>
      </w:r>
      <w:r w:rsidR="00830C5A">
        <w:rPr>
          <w:rFonts w:hint="cs"/>
          <w:rtl/>
        </w:rPr>
        <w:t>:</w:t>
      </w:r>
      <w:r w:rsidR="0092363C" w:rsidRPr="0092363C">
        <w:rPr>
          <w:rtl/>
        </w:rPr>
        <w:t xml:space="preserve"> </w:t>
      </w:r>
      <w:r w:rsidR="00E71937">
        <w:rPr>
          <w:rFonts w:hint="cs"/>
          <w:rtl/>
        </w:rPr>
        <w:t>הדירה</w:t>
      </w:r>
      <w:r w:rsidR="0092363C" w:rsidRPr="00EC524B">
        <w:rPr>
          <w:rtl/>
        </w:rPr>
        <w:t xml:space="preserve"> שלא תלך לבית אביה</w:t>
      </w:r>
      <w:r w:rsidR="0092363C">
        <w:rPr>
          <w:rFonts w:hint="cs"/>
          <w:rtl/>
        </w:rPr>
        <w:t>.</w:t>
      </w:r>
    </w:p>
    <w:p w14:paraId="7A08BCF1" w14:textId="1487A978" w:rsidR="000C6D9C" w:rsidRPr="000C6D9C" w:rsidRDefault="000C6D9C" w:rsidP="000C6D9C">
      <w:pPr>
        <w:rPr>
          <w:rtl/>
        </w:rPr>
      </w:pPr>
      <w:r w:rsidRPr="00C60E3E">
        <w:rPr>
          <w:rFonts w:cs="Arial"/>
          <w:b/>
          <w:bCs/>
          <w:rtl/>
        </w:rPr>
        <w:t xml:space="preserve">כתובות </w:t>
      </w:r>
      <w:r w:rsidRPr="00C60E3E">
        <w:rPr>
          <w:rFonts w:cs="Arial"/>
          <w:b/>
          <w:bCs/>
          <w:sz w:val="16"/>
          <w:szCs w:val="16"/>
          <w:rtl/>
        </w:rPr>
        <w:t>(</w:t>
      </w:r>
      <w:r w:rsidRPr="00C60E3E">
        <w:rPr>
          <w:rFonts w:cs="Arial" w:hint="cs"/>
          <w:b/>
          <w:bCs/>
          <w:sz w:val="16"/>
          <w:szCs w:val="16"/>
          <w:rtl/>
        </w:rPr>
        <w:t>פ</w:t>
      </w:r>
      <w:r>
        <w:rPr>
          <w:rFonts w:cs="Arial" w:hint="cs"/>
          <w:b/>
          <w:bCs/>
          <w:sz w:val="16"/>
          <w:szCs w:val="16"/>
          <w:rtl/>
        </w:rPr>
        <w:t>'</w:t>
      </w:r>
      <w:r w:rsidRPr="00C60E3E">
        <w:rPr>
          <w:rFonts w:cs="Arial" w:hint="cs"/>
          <w:b/>
          <w:bCs/>
          <w:sz w:val="16"/>
          <w:szCs w:val="16"/>
          <w:rtl/>
        </w:rPr>
        <w:t xml:space="preserve"> המדיר) </w:t>
      </w:r>
      <w:r w:rsidRPr="00C60E3E">
        <w:rPr>
          <w:rFonts w:cs="Arial"/>
          <w:b/>
          <w:bCs/>
          <w:rtl/>
        </w:rPr>
        <w:t>ע</w:t>
      </w:r>
      <w:r w:rsidRPr="00C60E3E">
        <w:rPr>
          <w:rFonts w:cs="Arial" w:hint="cs"/>
          <w:b/>
          <w:bCs/>
          <w:rtl/>
        </w:rPr>
        <w:t xml:space="preserve"> ע"א:</w:t>
      </w:r>
      <w:r>
        <w:rPr>
          <w:rFonts w:cs="Arial"/>
          <w:rtl/>
        </w:rPr>
        <w:t xml:space="preserve"> </w:t>
      </w:r>
      <w:r w:rsidRPr="00C60E3E">
        <w:rPr>
          <w:rFonts w:cs="Arial"/>
          <w:u w:val="double"/>
          <w:rtl/>
        </w:rPr>
        <w:t>מתני'</w:t>
      </w:r>
      <w:r>
        <w:rPr>
          <w:rFonts w:cs="Arial" w:hint="cs"/>
          <w:rtl/>
        </w:rPr>
        <w:t>:</w:t>
      </w:r>
      <w:r w:rsidRPr="000C6D9C">
        <w:rPr>
          <w:rFonts w:cs="Arial"/>
          <w:rtl/>
        </w:rPr>
        <w:t xml:space="preserve"> המדיר את אשתו מליהנות לו, עד ל' יום - יעמיד פרנס, יתר מיכן - יוציא ויתן כתובה</w:t>
      </w:r>
      <w:r>
        <w:rPr>
          <w:rFonts w:cs="Arial" w:hint="cs"/>
          <w:rtl/>
        </w:rPr>
        <w:t>.</w:t>
      </w:r>
      <w:r w:rsidRPr="000C6D9C">
        <w:rPr>
          <w:rFonts w:cs="Arial"/>
          <w:rtl/>
        </w:rPr>
        <w:t xml:space="preserve"> </w:t>
      </w:r>
      <w:r w:rsidRPr="000C6D9C">
        <w:rPr>
          <w:rFonts w:cs="Arial"/>
          <w:u w:val="single"/>
          <w:rtl/>
        </w:rPr>
        <w:t>רבי יהודה אומר</w:t>
      </w:r>
      <w:r w:rsidRPr="000C6D9C">
        <w:rPr>
          <w:rFonts w:cs="Arial"/>
          <w:rtl/>
        </w:rPr>
        <w:t>: בישראל, חדש אחד - יקיים, ושנים - יוציא ויתן כתובה</w:t>
      </w:r>
      <w:r>
        <w:rPr>
          <w:rFonts w:cs="Arial" w:hint="cs"/>
          <w:rtl/>
        </w:rPr>
        <w:t>.</w:t>
      </w:r>
      <w:r w:rsidRPr="000C6D9C">
        <w:rPr>
          <w:rFonts w:cs="Arial"/>
          <w:rtl/>
        </w:rPr>
        <w:t xml:space="preserve"> בכהן</w:t>
      </w:r>
      <w:r w:rsidR="00670CE3">
        <w:rPr>
          <w:rStyle w:val="a7"/>
          <w:rFonts w:cs="Arial"/>
          <w:rtl/>
        </w:rPr>
        <w:footnoteReference w:id="406"/>
      </w:r>
      <w:r w:rsidRPr="000C6D9C">
        <w:rPr>
          <w:rFonts w:cs="Arial"/>
          <w:rtl/>
        </w:rPr>
        <w:t>, שנים - יקיים, ושלשה - יוציא ויתן כתובה.</w:t>
      </w:r>
      <w:r>
        <w:rPr>
          <w:rFonts w:cs="Arial" w:hint="cs"/>
          <w:rtl/>
        </w:rPr>
        <w:t>.</w:t>
      </w:r>
      <w:r w:rsidRPr="000C6D9C">
        <w:rPr>
          <w:rFonts w:cs="Arial"/>
          <w:rtl/>
        </w:rPr>
        <w:t>.</w:t>
      </w:r>
    </w:p>
    <w:p w14:paraId="7701271F" w14:textId="7B110406" w:rsidR="008C3846" w:rsidRDefault="00EC524B" w:rsidP="008C3846">
      <w:pPr>
        <w:rPr>
          <w:rtl/>
        </w:rPr>
      </w:pPr>
      <w:r w:rsidRPr="00C60E3E">
        <w:rPr>
          <w:rFonts w:cs="Arial"/>
          <w:b/>
          <w:bCs/>
          <w:rtl/>
        </w:rPr>
        <w:t xml:space="preserve">כתובות </w:t>
      </w:r>
      <w:r w:rsidRPr="00C60E3E">
        <w:rPr>
          <w:rFonts w:cs="Arial"/>
          <w:b/>
          <w:bCs/>
          <w:sz w:val="16"/>
          <w:szCs w:val="16"/>
          <w:rtl/>
        </w:rPr>
        <w:t>(</w:t>
      </w:r>
      <w:r w:rsidRPr="00C60E3E">
        <w:rPr>
          <w:rFonts w:cs="Arial" w:hint="cs"/>
          <w:b/>
          <w:bCs/>
          <w:sz w:val="16"/>
          <w:szCs w:val="16"/>
          <w:rtl/>
        </w:rPr>
        <w:t>פ</w:t>
      </w:r>
      <w:r>
        <w:rPr>
          <w:rFonts w:cs="Arial" w:hint="cs"/>
          <w:b/>
          <w:bCs/>
          <w:sz w:val="16"/>
          <w:szCs w:val="16"/>
          <w:rtl/>
        </w:rPr>
        <w:t>'</w:t>
      </w:r>
      <w:r w:rsidRPr="00C60E3E">
        <w:rPr>
          <w:rFonts w:cs="Arial" w:hint="cs"/>
          <w:b/>
          <w:bCs/>
          <w:sz w:val="16"/>
          <w:szCs w:val="16"/>
          <w:rtl/>
        </w:rPr>
        <w:t xml:space="preserve"> המדיר) </w:t>
      </w:r>
      <w:r w:rsidRPr="00C60E3E">
        <w:rPr>
          <w:rFonts w:cs="Arial"/>
          <w:b/>
          <w:bCs/>
          <w:rtl/>
        </w:rPr>
        <w:t>ע</w:t>
      </w:r>
      <w:r w:rsidR="000C6D9C">
        <w:rPr>
          <w:rFonts w:cs="Arial" w:hint="cs"/>
          <w:b/>
          <w:bCs/>
          <w:rtl/>
        </w:rPr>
        <w:t>א</w:t>
      </w:r>
      <w:r w:rsidRPr="00C60E3E">
        <w:rPr>
          <w:rFonts w:cs="Arial" w:hint="cs"/>
          <w:b/>
          <w:bCs/>
          <w:rtl/>
        </w:rPr>
        <w:t xml:space="preserve"> ע"</w:t>
      </w:r>
      <w:r w:rsidR="000C6D9C">
        <w:rPr>
          <w:rFonts w:cs="Arial" w:hint="cs"/>
          <w:b/>
          <w:bCs/>
          <w:rtl/>
        </w:rPr>
        <w:t>ב</w:t>
      </w:r>
      <w:r w:rsidRPr="00C60E3E">
        <w:rPr>
          <w:rFonts w:cs="Arial" w:hint="cs"/>
          <w:b/>
          <w:bCs/>
          <w:rtl/>
        </w:rPr>
        <w:t>:</w:t>
      </w:r>
      <w:r>
        <w:rPr>
          <w:rFonts w:cs="Arial"/>
          <w:rtl/>
        </w:rPr>
        <w:t xml:space="preserve"> </w:t>
      </w:r>
      <w:r w:rsidRPr="00C60E3E">
        <w:rPr>
          <w:rFonts w:cs="Arial"/>
          <w:u w:val="double"/>
          <w:rtl/>
        </w:rPr>
        <w:t>מתני'</w:t>
      </w:r>
      <w:r>
        <w:rPr>
          <w:rFonts w:cs="Arial" w:hint="cs"/>
          <w:rtl/>
        </w:rPr>
        <w:t>:</w:t>
      </w:r>
      <w:r w:rsidRPr="00EC524B">
        <w:rPr>
          <w:rtl/>
        </w:rPr>
        <w:t xml:space="preserve"> </w:t>
      </w:r>
      <w:r w:rsidRPr="00EC524B">
        <w:rPr>
          <w:rFonts w:cs="Arial"/>
          <w:rtl/>
        </w:rPr>
        <w:t>המדיר את אשתו שלא תלך לבית אביה, בזמן שהוא עמה בעיר, חודש אחד - יקיים, שנים - יוציא ויתן כתובה</w:t>
      </w:r>
      <w:r w:rsidR="0092363C">
        <w:rPr>
          <w:rFonts w:cs="Arial" w:hint="cs"/>
          <w:rtl/>
        </w:rPr>
        <w:t>.</w:t>
      </w:r>
      <w:r w:rsidRPr="00EC524B">
        <w:rPr>
          <w:rFonts w:cs="Arial"/>
          <w:rtl/>
        </w:rPr>
        <w:t xml:space="preserve"> ובזמן שהוא בעיר אחרת</w:t>
      </w:r>
      <w:r w:rsidR="009C2D0A">
        <w:rPr>
          <w:rStyle w:val="a7"/>
          <w:rFonts w:cs="Arial"/>
          <w:rtl/>
        </w:rPr>
        <w:footnoteReference w:id="407"/>
      </w:r>
      <w:r w:rsidRPr="00EC524B">
        <w:rPr>
          <w:rFonts w:cs="Arial"/>
          <w:rtl/>
        </w:rPr>
        <w:t>, רגל אחד</w:t>
      </w:r>
      <w:r w:rsidR="009C2D0A">
        <w:rPr>
          <w:rStyle w:val="a7"/>
          <w:rFonts w:cs="Arial"/>
          <w:rtl/>
        </w:rPr>
        <w:footnoteReference w:id="408"/>
      </w:r>
      <w:r w:rsidRPr="00EC524B">
        <w:rPr>
          <w:rFonts w:cs="Arial"/>
          <w:rtl/>
        </w:rPr>
        <w:t xml:space="preserve"> - יקיים, שלשה - יוציא ויתן כתובה.</w:t>
      </w:r>
      <w:r>
        <w:rPr>
          <w:rFonts w:hint="cs"/>
          <w:rtl/>
        </w:rPr>
        <w:t>..</w:t>
      </w:r>
      <w:r w:rsidR="009C2D0A" w:rsidRPr="009C2D0A">
        <w:rPr>
          <w:rtl/>
        </w:rPr>
        <w:t xml:space="preserve"> </w:t>
      </w:r>
      <w:r w:rsidR="009C2D0A">
        <w:rPr>
          <w:rFonts w:hint="cs"/>
          <w:rtl/>
        </w:rPr>
        <w:t xml:space="preserve">    </w:t>
      </w:r>
      <w:r w:rsidR="009C2D0A" w:rsidRPr="009C2D0A">
        <w:rPr>
          <w:rFonts w:cs="Arial"/>
          <w:u w:val="double"/>
          <w:rtl/>
        </w:rPr>
        <w:t>גמ'</w:t>
      </w:r>
      <w:r w:rsidR="009C2D0A">
        <w:rPr>
          <w:rFonts w:cs="Arial" w:hint="cs"/>
          <w:rtl/>
        </w:rPr>
        <w:t>:</w:t>
      </w:r>
      <w:r w:rsidR="009C2D0A" w:rsidRPr="009C2D0A">
        <w:rPr>
          <w:rFonts w:cs="Arial"/>
          <w:rtl/>
        </w:rPr>
        <w:t xml:space="preserve"> הא גופא קשיא, אמרת: רגל אחד - יקיים, הא שנים - יוציא ויתן כתובה, אימא סיפא: שלשה - יוציא ויתן כתובה, הא שנים - יקיים! </w:t>
      </w:r>
      <w:r w:rsidR="009C2D0A" w:rsidRPr="009C2D0A">
        <w:rPr>
          <w:rFonts w:cs="Arial"/>
          <w:u w:val="single"/>
          <w:rtl/>
        </w:rPr>
        <w:t>אמר אביי</w:t>
      </w:r>
      <w:r w:rsidR="009C2D0A" w:rsidRPr="009C2D0A">
        <w:rPr>
          <w:rFonts w:cs="Arial"/>
          <w:rtl/>
        </w:rPr>
        <w:t xml:space="preserve">: סיפא אתאן לכהנת, ורבי יהודה היא. </w:t>
      </w:r>
      <w:r w:rsidR="009C2D0A" w:rsidRPr="009C2D0A">
        <w:rPr>
          <w:rFonts w:cs="Arial"/>
          <w:u w:val="single"/>
          <w:rtl/>
        </w:rPr>
        <w:t>רבה בר עולא אמר</w:t>
      </w:r>
      <w:r w:rsidR="009C2D0A">
        <w:rPr>
          <w:rFonts w:cs="Arial" w:hint="cs"/>
          <w:rtl/>
        </w:rPr>
        <w:t>:</w:t>
      </w:r>
      <w:r w:rsidR="009C2D0A" w:rsidRPr="009C2D0A">
        <w:rPr>
          <w:rFonts w:cs="Arial"/>
          <w:rtl/>
        </w:rPr>
        <w:t xml:space="preserve"> לא קשיא</w:t>
      </w:r>
      <w:r w:rsidR="009C2D0A">
        <w:rPr>
          <w:rFonts w:cs="Arial" w:hint="cs"/>
          <w:rtl/>
        </w:rPr>
        <w:t>,</w:t>
      </w:r>
      <w:r w:rsidR="009C2D0A" w:rsidRPr="009C2D0A">
        <w:rPr>
          <w:rFonts w:cs="Arial"/>
          <w:rtl/>
        </w:rPr>
        <w:t xml:space="preserve"> כאן ברדופה</w:t>
      </w:r>
      <w:r w:rsidR="00E97073">
        <w:rPr>
          <w:rStyle w:val="a7"/>
          <w:rFonts w:cs="Arial"/>
          <w:rtl/>
        </w:rPr>
        <w:footnoteReference w:id="409"/>
      </w:r>
      <w:r w:rsidR="009C2D0A" w:rsidRPr="009C2D0A">
        <w:rPr>
          <w:rFonts w:cs="Arial"/>
          <w:rtl/>
        </w:rPr>
        <w:t>, כאן בשאינה רדופה.</w:t>
      </w:r>
    </w:p>
    <w:p w14:paraId="56D45E0D" w14:textId="29B44827" w:rsidR="00C424A2" w:rsidRDefault="00C424A2" w:rsidP="008C3846">
      <w:pPr>
        <w:rPr>
          <w:rtl/>
        </w:rPr>
      </w:pPr>
      <w:r w:rsidRPr="00C424A2">
        <w:rPr>
          <w:rFonts w:cs="Arial" w:hint="cs"/>
          <w:b/>
          <w:bCs/>
          <w:rtl/>
        </w:rPr>
        <w:t>ירושלמי כתובות פ"ז ה"ד:</w:t>
      </w:r>
      <w:r>
        <w:rPr>
          <w:rFonts w:cs="Arial" w:hint="cs"/>
          <w:rtl/>
        </w:rPr>
        <w:t xml:space="preserve"> </w:t>
      </w:r>
      <w:r w:rsidRPr="00C424A2">
        <w:rPr>
          <w:rFonts w:cs="Arial"/>
          <w:u w:val="double"/>
          <w:rtl/>
        </w:rPr>
        <w:t>מתני'</w:t>
      </w:r>
      <w:r>
        <w:rPr>
          <w:rFonts w:cs="Arial" w:hint="cs"/>
          <w:rtl/>
        </w:rPr>
        <w:t>:</w:t>
      </w:r>
      <w:r w:rsidRPr="00C424A2">
        <w:rPr>
          <w:rFonts w:cs="Arial"/>
          <w:rtl/>
        </w:rPr>
        <w:t xml:space="preserve"> המדיר את אשתו שלא תלך לבית אביה</w:t>
      </w:r>
      <w:r>
        <w:rPr>
          <w:rFonts w:cs="Arial" w:hint="cs"/>
          <w:rtl/>
        </w:rPr>
        <w:t>,</w:t>
      </w:r>
      <w:r w:rsidRPr="00C424A2">
        <w:rPr>
          <w:rFonts w:cs="Arial"/>
          <w:rtl/>
        </w:rPr>
        <w:t xml:space="preserve"> בזמן שהן עמה בעיר</w:t>
      </w:r>
      <w:r>
        <w:rPr>
          <w:rFonts w:cs="Arial" w:hint="cs"/>
          <w:rtl/>
        </w:rPr>
        <w:t>,</w:t>
      </w:r>
      <w:r w:rsidRPr="00C424A2">
        <w:rPr>
          <w:rFonts w:cs="Arial"/>
          <w:rtl/>
        </w:rPr>
        <w:t xml:space="preserve"> חדש אחד </w:t>
      </w:r>
      <w:r>
        <w:rPr>
          <w:rFonts w:cs="Arial" w:hint="cs"/>
          <w:rtl/>
        </w:rPr>
        <w:t xml:space="preserve">- </w:t>
      </w:r>
      <w:r w:rsidRPr="00C424A2">
        <w:rPr>
          <w:rFonts w:cs="Arial"/>
          <w:rtl/>
        </w:rPr>
        <w:t>יקיים</w:t>
      </w:r>
      <w:r>
        <w:rPr>
          <w:rFonts w:cs="Arial" w:hint="cs"/>
          <w:rtl/>
        </w:rPr>
        <w:t>,</w:t>
      </w:r>
      <w:r w:rsidRPr="00C424A2">
        <w:rPr>
          <w:rFonts w:cs="Arial"/>
          <w:rtl/>
        </w:rPr>
        <w:t xml:space="preserve"> שנים </w:t>
      </w:r>
      <w:r>
        <w:rPr>
          <w:rFonts w:cs="Arial" w:hint="cs"/>
          <w:rtl/>
        </w:rPr>
        <w:t xml:space="preserve">- </w:t>
      </w:r>
      <w:r w:rsidRPr="00C424A2">
        <w:rPr>
          <w:rFonts w:cs="Arial"/>
          <w:rtl/>
        </w:rPr>
        <w:t>יוציא ויתן כתובה</w:t>
      </w:r>
      <w:r>
        <w:rPr>
          <w:rFonts w:cs="Arial" w:hint="cs"/>
          <w:rtl/>
        </w:rPr>
        <w:t>.</w:t>
      </w:r>
      <w:r w:rsidRPr="00C424A2">
        <w:rPr>
          <w:rFonts w:cs="Arial"/>
          <w:rtl/>
        </w:rPr>
        <w:t xml:space="preserve"> בזמן שהן בעיר אחרת</w:t>
      </w:r>
      <w:r>
        <w:rPr>
          <w:rFonts w:cs="Arial" w:hint="cs"/>
          <w:rtl/>
        </w:rPr>
        <w:t>,</w:t>
      </w:r>
      <w:r w:rsidRPr="00C424A2">
        <w:rPr>
          <w:rFonts w:cs="Arial"/>
          <w:rtl/>
        </w:rPr>
        <w:t xml:space="preserve"> רגל אחד </w:t>
      </w:r>
      <w:r>
        <w:rPr>
          <w:rFonts w:cs="Arial" w:hint="cs"/>
          <w:rtl/>
        </w:rPr>
        <w:t xml:space="preserve">- </w:t>
      </w:r>
      <w:r w:rsidRPr="00C424A2">
        <w:rPr>
          <w:rFonts w:cs="Arial"/>
          <w:rtl/>
        </w:rPr>
        <w:t>יקיים</w:t>
      </w:r>
      <w:r>
        <w:rPr>
          <w:rFonts w:cs="Arial" w:hint="cs"/>
          <w:rtl/>
        </w:rPr>
        <w:t>,</w:t>
      </w:r>
      <w:r w:rsidRPr="00C424A2">
        <w:rPr>
          <w:rFonts w:cs="Arial"/>
          <w:rtl/>
        </w:rPr>
        <w:t xml:space="preserve"> שנים </w:t>
      </w:r>
      <w:r>
        <w:rPr>
          <w:rFonts w:cs="Arial" w:hint="cs"/>
          <w:rtl/>
        </w:rPr>
        <w:t xml:space="preserve">- </w:t>
      </w:r>
      <w:r w:rsidRPr="00C424A2">
        <w:rPr>
          <w:rFonts w:cs="Arial"/>
          <w:rtl/>
        </w:rPr>
        <w:t>יוציא ויתן כתובה</w:t>
      </w:r>
      <w:r>
        <w:rPr>
          <w:rFonts w:cs="Arial" w:hint="cs"/>
          <w:rtl/>
        </w:rPr>
        <w:t>.</w:t>
      </w:r>
    </w:p>
    <w:p w14:paraId="2AF0AEAF" w14:textId="7D056AE5" w:rsidR="0092363C" w:rsidRPr="0092363C" w:rsidRDefault="0092363C" w:rsidP="008C3846">
      <w:pPr>
        <w:rPr>
          <w:u w:val="single"/>
          <w:rtl/>
        </w:rPr>
      </w:pPr>
      <w:r w:rsidRPr="0092363C">
        <w:rPr>
          <w:rFonts w:cs="Arial"/>
          <w:u w:val="single"/>
          <w:rtl/>
        </w:rPr>
        <w:t>המדיר את אשתו שלא תלך לבית אביה</w:t>
      </w:r>
      <w:r w:rsidRPr="0092363C">
        <w:rPr>
          <w:rFonts w:hint="cs"/>
          <w:u w:val="single"/>
          <w:rtl/>
        </w:rPr>
        <w:t>:</w:t>
      </w:r>
    </w:p>
    <w:p w14:paraId="436526F4" w14:textId="01483FC2" w:rsidR="00E97073" w:rsidRDefault="00EC524B" w:rsidP="000C6D9C">
      <w:pPr>
        <w:pStyle w:val="ab"/>
        <w:numPr>
          <w:ilvl w:val="0"/>
          <w:numId w:val="7"/>
        </w:numPr>
        <w:rPr>
          <w:rFonts w:cs="Arial"/>
        </w:rPr>
      </w:pPr>
      <w:r>
        <w:rPr>
          <w:rFonts w:cs="Arial" w:hint="cs"/>
          <w:rtl/>
        </w:rPr>
        <w:t xml:space="preserve">טור- </w:t>
      </w:r>
      <w:r w:rsidR="00791B55" w:rsidRPr="00791B55">
        <w:rPr>
          <w:rFonts w:cs="Arial"/>
          <w:rtl/>
        </w:rPr>
        <w:t>נדרה שלא תלך לבית אביה ותלאתו בתשמיש</w:t>
      </w:r>
      <w:r w:rsidR="0092363C">
        <w:rPr>
          <w:rStyle w:val="a7"/>
          <w:rFonts w:cs="Arial"/>
          <w:rtl/>
        </w:rPr>
        <w:footnoteReference w:id="410"/>
      </w:r>
      <w:r w:rsidR="00791B55" w:rsidRPr="00791B55">
        <w:rPr>
          <w:rFonts w:cs="Arial"/>
          <w:rtl/>
        </w:rPr>
        <w:t xml:space="preserve"> שאמרה קונם תשמישך עלי אם אלך לבית אבי</w:t>
      </w:r>
      <w:r>
        <w:rPr>
          <w:rFonts w:cs="Arial" w:hint="cs"/>
          <w:rtl/>
        </w:rPr>
        <w:t>,</w:t>
      </w:r>
      <w:r w:rsidR="00791B55" w:rsidRPr="00791B55">
        <w:rPr>
          <w:rFonts w:cs="Arial"/>
          <w:rtl/>
        </w:rPr>
        <w:t xml:space="preserve"> שאם לא תלאתו בתשמיש אלא אמרה קונם בית אבי עלי אינו יכול להפר</w:t>
      </w:r>
      <w:r>
        <w:rPr>
          <w:rFonts w:cs="Arial" w:hint="cs"/>
          <w:rtl/>
        </w:rPr>
        <w:t>,</w:t>
      </w:r>
      <w:r w:rsidR="00791B55" w:rsidRPr="00791B55">
        <w:rPr>
          <w:rFonts w:cs="Arial"/>
          <w:rtl/>
        </w:rPr>
        <w:t xml:space="preserve"> אלא כיון שתלאתו בתשמיש יכול להפר</w:t>
      </w:r>
      <w:r>
        <w:rPr>
          <w:rFonts w:cs="Arial" w:hint="cs"/>
          <w:rtl/>
        </w:rPr>
        <w:t>,</w:t>
      </w:r>
      <w:r w:rsidR="00791B55" w:rsidRPr="00791B55">
        <w:rPr>
          <w:rFonts w:cs="Arial"/>
          <w:rtl/>
        </w:rPr>
        <w:t xml:space="preserve"> וכיון ששמע ולא היפר</w:t>
      </w:r>
      <w:r>
        <w:rPr>
          <w:rFonts w:cs="Arial" w:hint="cs"/>
          <w:rtl/>
        </w:rPr>
        <w:t>,</w:t>
      </w:r>
      <w:r w:rsidR="00791B55" w:rsidRPr="00791B55">
        <w:rPr>
          <w:rFonts w:cs="Arial"/>
          <w:rtl/>
        </w:rPr>
        <w:t xml:space="preserve"> אם אביה בעיר</w:t>
      </w:r>
      <w:r>
        <w:rPr>
          <w:rFonts w:cs="Arial" w:hint="cs"/>
          <w:rtl/>
        </w:rPr>
        <w:t>,</w:t>
      </w:r>
      <w:r w:rsidR="00791B55" w:rsidRPr="00791B55">
        <w:rPr>
          <w:rFonts w:cs="Arial"/>
          <w:rtl/>
        </w:rPr>
        <w:t xml:space="preserve"> נדרה עד חדש </w:t>
      </w:r>
      <w:r>
        <w:rPr>
          <w:rFonts w:cs="Arial" w:hint="cs"/>
          <w:rtl/>
        </w:rPr>
        <w:t xml:space="preserve">- </w:t>
      </w:r>
      <w:r w:rsidR="00791B55" w:rsidRPr="00791B55">
        <w:rPr>
          <w:rFonts w:cs="Arial"/>
          <w:rtl/>
        </w:rPr>
        <w:t>יקיים</w:t>
      </w:r>
      <w:r>
        <w:rPr>
          <w:rFonts w:cs="Arial" w:hint="cs"/>
          <w:rtl/>
        </w:rPr>
        <w:t>,</w:t>
      </w:r>
      <w:r w:rsidR="00791B55" w:rsidRPr="00791B55">
        <w:rPr>
          <w:rFonts w:cs="Arial"/>
          <w:rtl/>
        </w:rPr>
        <w:t xml:space="preserve"> יותר מחדש או סתם</w:t>
      </w:r>
      <w:r w:rsidR="0092363C">
        <w:rPr>
          <w:rStyle w:val="a7"/>
          <w:rFonts w:cs="Arial"/>
          <w:rtl/>
        </w:rPr>
        <w:footnoteReference w:id="411"/>
      </w:r>
      <w:r w:rsidR="00791B55" w:rsidRPr="00791B55">
        <w:rPr>
          <w:rFonts w:cs="Arial"/>
          <w:rtl/>
        </w:rPr>
        <w:t xml:space="preserve"> </w:t>
      </w:r>
      <w:r>
        <w:rPr>
          <w:rFonts w:cs="Arial" w:hint="cs"/>
          <w:rtl/>
        </w:rPr>
        <w:t xml:space="preserve">- </w:t>
      </w:r>
      <w:r w:rsidR="00791B55" w:rsidRPr="00791B55">
        <w:rPr>
          <w:rFonts w:cs="Arial"/>
          <w:rtl/>
        </w:rPr>
        <w:t>יוציא מיד ויתן כתובה</w:t>
      </w:r>
      <w:r>
        <w:rPr>
          <w:rFonts w:cs="Arial" w:hint="cs"/>
          <w:rtl/>
        </w:rPr>
        <w:t>.</w:t>
      </w:r>
      <w:r w:rsidR="00791B55" w:rsidRPr="00791B55">
        <w:rPr>
          <w:rFonts w:cs="Arial"/>
          <w:rtl/>
        </w:rPr>
        <w:t xml:space="preserve"> ואם אינו דר בעיר והיא רדופה</w:t>
      </w:r>
      <w:r w:rsidR="00E97073">
        <w:rPr>
          <w:rStyle w:val="a7"/>
          <w:rFonts w:cs="Arial"/>
          <w:rtl/>
        </w:rPr>
        <w:footnoteReference w:id="412"/>
      </w:r>
      <w:r w:rsidR="00791B55" w:rsidRPr="00791B55">
        <w:rPr>
          <w:rFonts w:cs="Arial"/>
          <w:rtl/>
        </w:rPr>
        <w:t xml:space="preserve"> לילך לביתו </w:t>
      </w:r>
      <w:r>
        <w:rPr>
          <w:rFonts w:cs="Arial" w:hint="cs"/>
          <w:rtl/>
        </w:rPr>
        <w:t xml:space="preserve">- </w:t>
      </w:r>
      <w:r w:rsidR="00791B55" w:rsidRPr="00791B55">
        <w:rPr>
          <w:rFonts w:cs="Arial"/>
          <w:rtl/>
        </w:rPr>
        <w:t>רגל אחד יקיים</w:t>
      </w:r>
      <w:r>
        <w:rPr>
          <w:rFonts w:cs="Arial" w:hint="cs"/>
          <w:rtl/>
        </w:rPr>
        <w:t>,</w:t>
      </w:r>
      <w:r w:rsidR="00791B55" w:rsidRPr="00791B55">
        <w:rPr>
          <w:rFonts w:cs="Arial"/>
          <w:rtl/>
        </w:rPr>
        <w:t xml:space="preserve"> שנים או סתם </w:t>
      </w:r>
      <w:r>
        <w:rPr>
          <w:rFonts w:cs="Arial" w:hint="cs"/>
          <w:rtl/>
        </w:rPr>
        <w:t xml:space="preserve">- </w:t>
      </w:r>
      <w:r w:rsidR="00791B55" w:rsidRPr="00791B55">
        <w:rPr>
          <w:rFonts w:cs="Arial"/>
          <w:rtl/>
        </w:rPr>
        <w:t>יוציא ויתן כתובה</w:t>
      </w:r>
      <w:r>
        <w:rPr>
          <w:rFonts w:cs="Arial" w:hint="cs"/>
          <w:rtl/>
        </w:rPr>
        <w:t>.</w:t>
      </w:r>
      <w:r w:rsidR="00791B55" w:rsidRPr="00791B55">
        <w:rPr>
          <w:rFonts w:cs="Arial"/>
          <w:rtl/>
        </w:rPr>
        <w:t xml:space="preserve"> ואם אינה רדופה לילך לביתו </w:t>
      </w:r>
      <w:r>
        <w:rPr>
          <w:rFonts w:cs="Arial" w:hint="cs"/>
          <w:rtl/>
        </w:rPr>
        <w:t xml:space="preserve">- </w:t>
      </w:r>
      <w:r w:rsidR="00791B55" w:rsidRPr="00791B55">
        <w:rPr>
          <w:rFonts w:cs="Arial"/>
          <w:rtl/>
        </w:rPr>
        <w:t>ב' יקיים</w:t>
      </w:r>
      <w:r>
        <w:rPr>
          <w:rFonts w:cs="Arial" w:hint="cs"/>
          <w:rtl/>
        </w:rPr>
        <w:t>,</w:t>
      </w:r>
      <w:r w:rsidR="00791B55" w:rsidRPr="00791B55">
        <w:rPr>
          <w:rFonts w:cs="Arial"/>
          <w:rtl/>
        </w:rPr>
        <w:t xml:space="preserve"> ג' או סתם </w:t>
      </w:r>
      <w:r>
        <w:rPr>
          <w:rFonts w:cs="Arial" w:hint="cs"/>
          <w:rtl/>
        </w:rPr>
        <w:t xml:space="preserve">- </w:t>
      </w:r>
      <w:r w:rsidR="00791B55" w:rsidRPr="00791B55">
        <w:rPr>
          <w:rFonts w:cs="Arial"/>
          <w:rtl/>
        </w:rPr>
        <w:t>יוציא ויתן כתובה</w:t>
      </w:r>
      <w:r>
        <w:rPr>
          <w:rFonts w:cs="Arial" w:hint="cs"/>
          <w:rtl/>
        </w:rPr>
        <w:t>.</w:t>
      </w:r>
      <w:r w:rsidR="00791B55" w:rsidRPr="00791B55">
        <w:rPr>
          <w:rFonts w:cs="Arial"/>
          <w:rtl/>
        </w:rPr>
        <w:t xml:space="preserve"> ואם הוא אומר קונם תשמישך עלי אם תלך לבית אביך</w:t>
      </w:r>
      <w:r>
        <w:rPr>
          <w:rFonts w:cs="Arial" w:hint="cs"/>
          <w:rtl/>
        </w:rPr>
        <w:t>,</w:t>
      </w:r>
      <w:r w:rsidR="00791B55" w:rsidRPr="00791B55">
        <w:rPr>
          <w:rFonts w:cs="Arial"/>
          <w:rtl/>
        </w:rPr>
        <w:t xml:space="preserve"> יותר מחדש או יותר מרגל</w:t>
      </w:r>
      <w:r w:rsidR="000C6D9C">
        <w:rPr>
          <w:rStyle w:val="a7"/>
          <w:rFonts w:cs="Arial"/>
          <w:rtl/>
        </w:rPr>
        <w:footnoteReference w:id="413"/>
      </w:r>
      <w:r w:rsidR="00791B55" w:rsidRPr="00791B55">
        <w:rPr>
          <w:rFonts w:cs="Arial"/>
          <w:rtl/>
        </w:rPr>
        <w:t xml:space="preserve"> </w:t>
      </w:r>
      <w:r>
        <w:rPr>
          <w:rFonts w:cs="Arial" w:hint="cs"/>
          <w:rtl/>
        </w:rPr>
        <w:t xml:space="preserve">- </w:t>
      </w:r>
      <w:r w:rsidR="00791B55" w:rsidRPr="00791B55">
        <w:rPr>
          <w:rFonts w:cs="Arial"/>
          <w:rtl/>
        </w:rPr>
        <w:t>יוציא מיד אחר ז' ימים</w:t>
      </w:r>
      <w:r w:rsidR="00E97073">
        <w:rPr>
          <w:rStyle w:val="a7"/>
          <w:rFonts w:cs="Arial"/>
          <w:rtl/>
        </w:rPr>
        <w:footnoteReference w:id="414"/>
      </w:r>
      <w:r>
        <w:rPr>
          <w:rFonts w:cs="Arial" w:hint="cs"/>
          <w:rtl/>
        </w:rPr>
        <w:t>.</w:t>
      </w:r>
    </w:p>
    <w:p w14:paraId="62495027" w14:textId="123000D8" w:rsidR="00830C5A" w:rsidRPr="00E83377" w:rsidRDefault="00E83377" w:rsidP="00E83377">
      <w:pPr>
        <w:pStyle w:val="ab"/>
        <w:numPr>
          <w:ilvl w:val="0"/>
          <w:numId w:val="7"/>
        </w:numPr>
        <w:rPr>
          <w:rFonts w:cs="Arial"/>
          <w:rtl/>
        </w:rPr>
      </w:pPr>
      <w:r>
        <w:rPr>
          <w:rFonts w:cs="Arial" w:hint="cs"/>
          <w:rtl/>
        </w:rPr>
        <w:lastRenderedPageBreak/>
        <w:t xml:space="preserve">רי"ף </w:t>
      </w:r>
      <w:r>
        <w:rPr>
          <w:rFonts w:cs="Arial" w:hint="cs"/>
          <w:sz w:val="16"/>
          <w:szCs w:val="16"/>
          <w:rtl/>
        </w:rPr>
        <w:t xml:space="preserve">(לב.) </w:t>
      </w:r>
      <w:r w:rsidR="00E71937">
        <w:rPr>
          <w:rFonts w:cs="Arial" w:hint="cs"/>
          <w:rtl/>
        </w:rPr>
        <w:t>ו</w:t>
      </w:r>
      <w:r w:rsidR="000C6D9C">
        <w:rPr>
          <w:rFonts w:cs="Arial" w:hint="cs"/>
          <w:rtl/>
        </w:rPr>
        <w:t xml:space="preserve">רמב"ם </w:t>
      </w:r>
      <w:r w:rsidR="000C6D9C">
        <w:rPr>
          <w:rFonts w:cs="Arial" w:hint="cs"/>
          <w:sz w:val="16"/>
          <w:szCs w:val="16"/>
          <w:rtl/>
        </w:rPr>
        <w:t>(פי"ג הי"ב)</w:t>
      </w:r>
      <w:r w:rsidR="000C6D9C">
        <w:rPr>
          <w:rFonts w:cs="Arial" w:hint="cs"/>
          <w:rtl/>
        </w:rPr>
        <w:t xml:space="preserve">- </w:t>
      </w:r>
      <w:r w:rsidR="000C6D9C" w:rsidRPr="000C6D9C">
        <w:rPr>
          <w:rFonts w:cs="Arial"/>
          <w:rtl/>
        </w:rPr>
        <w:t>המדיר את אשתו שלא תלך לבית אביה</w:t>
      </w:r>
      <w:r w:rsidR="000C6D9C">
        <w:rPr>
          <w:rFonts w:cs="Arial" w:hint="cs"/>
          <w:rtl/>
        </w:rPr>
        <w:t>,</w:t>
      </w:r>
      <w:r w:rsidR="000C6D9C" w:rsidRPr="000C6D9C">
        <w:rPr>
          <w:rFonts w:cs="Arial"/>
          <w:rtl/>
        </w:rPr>
        <w:t xml:space="preserve"> בזמן שהן עמה בעיר</w:t>
      </w:r>
      <w:r w:rsidR="000C6D9C">
        <w:rPr>
          <w:rFonts w:cs="Arial" w:hint="cs"/>
          <w:rtl/>
        </w:rPr>
        <w:t xml:space="preserve">, </w:t>
      </w:r>
      <w:r w:rsidR="000C6D9C" w:rsidRPr="000C6D9C">
        <w:rPr>
          <w:rFonts w:cs="Arial"/>
          <w:rtl/>
        </w:rPr>
        <w:t xml:space="preserve">חודש אחד </w:t>
      </w:r>
      <w:r w:rsidR="000C6D9C">
        <w:rPr>
          <w:rFonts w:cs="Arial" w:hint="cs"/>
          <w:rtl/>
        </w:rPr>
        <w:t xml:space="preserve">- </w:t>
      </w:r>
      <w:r w:rsidR="000C6D9C" w:rsidRPr="000C6D9C">
        <w:rPr>
          <w:rFonts w:cs="Arial"/>
          <w:rtl/>
        </w:rPr>
        <w:t>ממתינין לו</w:t>
      </w:r>
      <w:r w:rsidR="000C6D9C">
        <w:rPr>
          <w:rFonts w:cs="Arial" w:hint="cs"/>
          <w:rtl/>
        </w:rPr>
        <w:t>,</w:t>
      </w:r>
      <w:r w:rsidR="000C6D9C" w:rsidRPr="000C6D9C">
        <w:rPr>
          <w:rFonts w:cs="Arial"/>
          <w:rtl/>
        </w:rPr>
        <w:t xml:space="preserve"> שנים </w:t>
      </w:r>
      <w:r w:rsidR="000C6D9C">
        <w:rPr>
          <w:rFonts w:cs="Arial" w:hint="cs"/>
          <w:rtl/>
        </w:rPr>
        <w:t xml:space="preserve">- </w:t>
      </w:r>
      <w:r w:rsidR="000C6D9C" w:rsidRPr="000C6D9C">
        <w:rPr>
          <w:rFonts w:cs="Arial"/>
          <w:rtl/>
        </w:rPr>
        <w:t>יוציא ויתן כתובה</w:t>
      </w:r>
      <w:r w:rsidR="000C6D9C">
        <w:rPr>
          <w:rFonts w:cs="Arial" w:hint="cs"/>
          <w:rtl/>
        </w:rPr>
        <w:t>.</w:t>
      </w:r>
      <w:r w:rsidR="000C6D9C" w:rsidRPr="000C6D9C">
        <w:rPr>
          <w:rFonts w:cs="Arial"/>
          <w:rtl/>
        </w:rPr>
        <w:t xml:space="preserve"> ובזמן שהן בעיר אחרת</w:t>
      </w:r>
      <w:r w:rsidR="000C6D9C">
        <w:rPr>
          <w:rFonts w:cs="Arial" w:hint="cs"/>
          <w:rtl/>
        </w:rPr>
        <w:t>,</w:t>
      </w:r>
      <w:r w:rsidR="000C6D9C" w:rsidRPr="000C6D9C">
        <w:rPr>
          <w:rFonts w:cs="Arial"/>
          <w:rtl/>
        </w:rPr>
        <w:t xml:space="preserve"> רגל אחד </w:t>
      </w:r>
      <w:r w:rsidR="000C6D9C">
        <w:rPr>
          <w:rFonts w:cs="Arial" w:hint="cs"/>
          <w:rtl/>
        </w:rPr>
        <w:t xml:space="preserve">- </w:t>
      </w:r>
      <w:r w:rsidR="000C6D9C" w:rsidRPr="000C6D9C">
        <w:rPr>
          <w:rFonts w:cs="Arial"/>
          <w:rtl/>
        </w:rPr>
        <w:t>ממתניתין לו</w:t>
      </w:r>
      <w:r w:rsidR="000C6D9C">
        <w:rPr>
          <w:rFonts w:cs="Arial" w:hint="cs"/>
          <w:rtl/>
        </w:rPr>
        <w:t>,</w:t>
      </w:r>
      <w:r w:rsidR="000C6D9C" w:rsidRPr="000C6D9C">
        <w:rPr>
          <w:rFonts w:cs="Arial"/>
          <w:rtl/>
        </w:rPr>
        <w:t xml:space="preserve"> שנים </w:t>
      </w:r>
      <w:r w:rsidR="000C6D9C">
        <w:rPr>
          <w:rFonts w:cs="Arial" w:hint="cs"/>
          <w:rtl/>
        </w:rPr>
        <w:t xml:space="preserve">- </w:t>
      </w:r>
      <w:r w:rsidR="000C6D9C" w:rsidRPr="000C6D9C">
        <w:rPr>
          <w:rFonts w:cs="Arial"/>
          <w:rtl/>
        </w:rPr>
        <w:t>יוציא ויתן כתובה</w:t>
      </w:r>
      <w:r>
        <w:rPr>
          <w:rStyle w:val="a7"/>
          <w:rFonts w:cs="Arial"/>
          <w:rtl/>
        </w:rPr>
        <w:footnoteReference w:id="415"/>
      </w:r>
      <w:r w:rsidR="00E71937">
        <w:rPr>
          <w:rFonts w:cs="Arial" w:hint="cs"/>
          <w:sz w:val="16"/>
          <w:szCs w:val="16"/>
          <w:rtl/>
        </w:rPr>
        <w:t xml:space="preserve"> (ל' הרמב"ם)</w:t>
      </w:r>
      <w:r w:rsidR="000C6D9C" w:rsidRPr="000C6D9C">
        <w:rPr>
          <w:rFonts w:cs="Arial"/>
          <w:rtl/>
        </w:rPr>
        <w:t>.</w:t>
      </w:r>
      <w:r w:rsidR="00E71937">
        <w:rPr>
          <w:rFonts w:cs="Arial" w:hint="cs"/>
          <w:rtl/>
        </w:rPr>
        <w:t xml:space="preserve"> </w:t>
      </w:r>
      <w:r w:rsidR="00E71937" w:rsidRPr="008015A2">
        <w:rPr>
          <w:rFonts w:cs="Arial" w:hint="cs"/>
          <w:color w:val="E36C0A" w:themeColor="accent6" w:themeShade="BF"/>
          <w:rtl/>
        </w:rPr>
        <w:t>(וכ"פ בשו"ע)</w:t>
      </w:r>
    </w:p>
    <w:p w14:paraId="1843E6AA" w14:textId="77777777" w:rsidR="00830C5A" w:rsidRDefault="00830C5A" w:rsidP="00830C5A">
      <w:pPr>
        <w:rPr>
          <w:rFonts w:cs="Arial"/>
          <w:rtl/>
        </w:rPr>
      </w:pPr>
      <w:r w:rsidRPr="003024E5">
        <w:rPr>
          <w:rFonts w:asciiTheme="minorBidi" w:hAnsiTheme="minorBidi"/>
          <w:b/>
          <w:bCs/>
          <w:color w:val="000000"/>
          <w:sz w:val="28"/>
          <w:szCs w:val="28"/>
          <w:u w:val="single"/>
          <w:rtl/>
        </w:rPr>
        <w:t>שו"ע:</w:t>
      </w:r>
    </w:p>
    <w:p w14:paraId="300FEC29" w14:textId="6115AF03" w:rsidR="00471D63" w:rsidRDefault="00471D63" w:rsidP="00471D63">
      <w:pPr>
        <w:rPr>
          <w:rtl/>
        </w:rPr>
      </w:pPr>
      <w:r>
        <w:rPr>
          <w:rFonts w:cs="Arial"/>
          <w:rtl/>
        </w:rPr>
        <w:t>נדרה שלא תלך לבית אביה, ותלאתו בתשמיש, שאמרה: קונם תשמישך עלי אם אלך לבית אבי, שאם לא תלאתו בתשמיש אלא אמרה: קונם בית אבי עלי, אינו יכול להפר, אלא כיון שתלאתו בתשמיש יכול להפר, וכיון ששמע ולא הפר, יוציא מיד ויתן כתובה. ואם הוא אומר: קונם תשמישך עלי אם תלכי לבית אביך יותר מחדש, אם הוא דר עמה בעיר, או יותר מרגל אם הוא דר בעיר אחרת, יקיים ז' ימים ואז יוציא ויתן כתובה.</w:t>
      </w:r>
      <w:r w:rsidR="00BE7E78">
        <w:rPr>
          <w:rFonts w:cs="Arial" w:hint="cs"/>
          <w:rtl/>
        </w:rPr>
        <w:t xml:space="preserve">   </w:t>
      </w:r>
      <w:r w:rsidR="0029436A">
        <w:rPr>
          <w:rFonts w:cs="Arial" w:hint="cs"/>
          <w:rtl/>
        </w:rPr>
        <w:t xml:space="preserve"> </w:t>
      </w:r>
      <w:r>
        <w:rPr>
          <w:rFonts w:cs="Arial"/>
          <w:rtl/>
        </w:rPr>
        <w:t xml:space="preserve"> </w:t>
      </w:r>
    </w:p>
    <w:p w14:paraId="338D30C5" w14:textId="77777777" w:rsidR="00830C5A" w:rsidRDefault="00830C5A" w:rsidP="00471D63">
      <w:pPr>
        <w:rPr>
          <w:rtl/>
        </w:rPr>
      </w:pPr>
    </w:p>
    <w:p w14:paraId="6DE39F75" w14:textId="370A7F88" w:rsidR="00471D63" w:rsidRDefault="00471D63" w:rsidP="000F64D0">
      <w:pPr>
        <w:pStyle w:val="2"/>
        <w:rPr>
          <w:rtl/>
        </w:rPr>
      </w:pPr>
      <w:r>
        <w:rPr>
          <w:rtl/>
        </w:rPr>
        <w:t>סעיף ה</w:t>
      </w:r>
      <w:r w:rsidR="00830C5A">
        <w:rPr>
          <w:rFonts w:hint="cs"/>
          <w:rtl/>
        </w:rPr>
        <w:t>:</w:t>
      </w:r>
      <w:r w:rsidR="00E71937" w:rsidRPr="00E71937">
        <w:rPr>
          <w:rtl/>
        </w:rPr>
        <w:t xml:space="preserve"> </w:t>
      </w:r>
      <w:r w:rsidR="00E71937" w:rsidRPr="00791B55">
        <w:rPr>
          <w:rtl/>
        </w:rPr>
        <w:t>הדירה שלא תלך לבית האבל ולבית המשתה</w:t>
      </w:r>
      <w:r w:rsidR="00E71937">
        <w:rPr>
          <w:rFonts w:hint="cs"/>
          <w:rtl/>
        </w:rPr>
        <w:t>.</w:t>
      </w:r>
    </w:p>
    <w:p w14:paraId="28CB6152" w14:textId="15888C0B" w:rsidR="00E71937" w:rsidRPr="00E71937" w:rsidRDefault="0006721F" w:rsidP="00BF344F">
      <w:pPr>
        <w:rPr>
          <w:rtl/>
        </w:rPr>
      </w:pPr>
      <w:r w:rsidRPr="00C60E3E">
        <w:rPr>
          <w:rFonts w:cs="Arial"/>
          <w:b/>
          <w:bCs/>
          <w:rtl/>
        </w:rPr>
        <w:t xml:space="preserve">כתובות </w:t>
      </w:r>
      <w:r w:rsidRPr="00C60E3E">
        <w:rPr>
          <w:rFonts w:cs="Arial"/>
          <w:b/>
          <w:bCs/>
          <w:sz w:val="16"/>
          <w:szCs w:val="16"/>
          <w:rtl/>
        </w:rPr>
        <w:t>(</w:t>
      </w:r>
      <w:r w:rsidRPr="00C60E3E">
        <w:rPr>
          <w:rFonts w:cs="Arial" w:hint="cs"/>
          <w:b/>
          <w:bCs/>
          <w:sz w:val="16"/>
          <w:szCs w:val="16"/>
          <w:rtl/>
        </w:rPr>
        <w:t>פ</w:t>
      </w:r>
      <w:r>
        <w:rPr>
          <w:rFonts w:cs="Arial" w:hint="cs"/>
          <w:b/>
          <w:bCs/>
          <w:sz w:val="16"/>
          <w:szCs w:val="16"/>
          <w:rtl/>
        </w:rPr>
        <w:t>'</w:t>
      </w:r>
      <w:r w:rsidRPr="00C60E3E">
        <w:rPr>
          <w:rFonts w:cs="Arial" w:hint="cs"/>
          <w:b/>
          <w:bCs/>
          <w:sz w:val="16"/>
          <w:szCs w:val="16"/>
          <w:rtl/>
        </w:rPr>
        <w:t xml:space="preserve"> המדיר) </w:t>
      </w:r>
      <w:r w:rsidRPr="00C60E3E">
        <w:rPr>
          <w:rFonts w:cs="Arial"/>
          <w:b/>
          <w:bCs/>
          <w:rtl/>
        </w:rPr>
        <w:t>ע</w:t>
      </w:r>
      <w:r>
        <w:rPr>
          <w:rFonts w:cs="Arial" w:hint="cs"/>
          <w:b/>
          <w:bCs/>
          <w:rtl/>
        </w:rPr>
        <w:t>א</w:t>
      </w:r>
      <w:r w:rsidRPr="00C60E3E">
        <w:rPr>
          <w:rFonts w:cs="Arial" w:hint="cs"/>
          <w:b/>
          <w:bCs/>
          <w:rtl/>
        </w:rPr>
        <w:t xml:space="preserve"> ע"</w:t>
      </w:r>
      <w:r>
        <w:rPr>
          <w:rFonts w:cs="Arial" w:hint="cs"/>
          <w:b/>
          <w:bCs/>
          <w:rtl/>
        </w:rPr>
        <w:t>ב</w:t>
      </w:r>
      <w:r w:rsidRPr="00C60E3E">
        <w:rPr>
          <w:rFonts w:cs="Arial" w:hint="cs"/>
          <w:b/>
          <w:bCs/>
          <w:rtl/>
        </w:rPr>
        <w:t>:</w:t>
      </w:r>
      <w:r>
        <w:rPr>
          <w:rFonts w:cs="Arial"/>
          <w:rtl/>
        </w:rPr>
        <w:t xml:space="preserve"> </w:t>
      </w:r>
      <w:r w:rsidRPr="00C60E3E">
        <w:rPr>
          <w:rFonts w:cs="Arial"/>
          <w:u w:val="double"/>
          <w:rtl/>
        </w:rPr>
        <w:t>מתני'</w:t>
      </w:r>
      <w:r>
        <w:rPr>
          <w:rFonts w:cs="Arial" w:hint="cs"/>
          <w:rtl/>
        </w:rPr>
        <w:t>:</w:t>
      </w:r>
      <w:r>
        <w:rPr>
          <w:rFonts w:hint="cs"/>
          <w:rtl/>
        </w:rPr>
        <w:t>...</w:t>
      </w:r>
      <w:r w:rsidRPr="00EC524B">
        <w:rPr>
          <w:rtl/>
        </w:rPr>
        <w:t xml:space="preserve"> </w:t>
      </w:r>
      <w:r w:rsidRPr="0006721F">
        <w:rPr>
          <w:rFonts w:cs="Arial"/>
          <w:rtl/>
        </w:rPr>
        <w:t>המדיר את אשתו שלא תלך לבית האבל או לבית המשתה - יוציא ויתן כתובה, מפני שנועל בפניה, ואם היה טוען משום דבר אחר - רשאי</w:t>
      </w:r>
      <w:r w:rsidRPr="00EC524B">
        <w:rPr>
          <w:rFonts w:cs="Arial"/>
          <w:rtl/>
        </w:rPr>
        <w:t>.</w:t>
      </w:r>
      <w:r>
        <w:rPr>
          <w:rFonts w:hint="cs"/>
          <w:rtl/>
        </w:rPr>
        <w:t>..</w:t>
      </w:r>
      <w:r w:rsidRPr="009C2D0A">
        <w:rPr>
          <w:rtl/>
        </w:rPr>
        <w:t xml:space="preserve"> </w:t>
      </w:r>
      <w:r>
        <w:rPr>
          <w:rFonts w:hint="cs"/>
          <w:rtl/>
        </w:rPr>
        <w:t xml:space="preserve">     </w:t>
      </w:r>
      <w:r w:rsidRPr="009C2D0A">
        <w:rPr>
          <w:rFonts w:cs="Arial"/>
          <w:u w:val="double"/>
          <w:rtl/>
        </w:rPr>
        <w:t>גמ'</w:t>
      </w:r>
      <w:r>
        <w:rPr>
          <w:rFonts w:cs="Arial" w:hint="cs"/>
          <w:rtl/>
        </w:rPr>
        <w:t>:</w:t>
      </w:r>
      <w:r w:rsidR="00712FB6">
        <w:rPr>
          <w:rFonts w:cs="Arial" w:hint="cs"/>
          <w:rtl/>
        </w:rPr>
        <w:t xml:space="preserve"> </w:t>
      </w:r>
      <w:r w:rsidRPr="0006721F">
        <w:rPr>
          <w:rFonts w:cs="Arial"/>
          <w:rtl/>
        </w:rPr>
        <w:t xml:space="preserve">המדיר את אשתו וכו'. בשלמא לבית המשתה </w:t>
      </w:r>
      <w:r w:rsidR="00712FB6">
        <w:rPr>
          <w:rFonts w:cs="Arial" w:hint="cs"/>
          <w:rtl/>
        </w:rPr>
        <w:t>-</w:t>
      </w:r>
      <w:r>
        <w:rPr>
          <w:rFonts w:cs="Arial" w:hint="cs"/>
          <w:sz w:val="14"/>
          <w:szCs w:val="14"/>
          <w:rtl/>
        </w:rPr>
        <w:t xml:space="preserve">(עב.) </w:t>
      </w:r>
      <w:r>
        <w:rPr>
          <w:rFonts w:cs="Arial"/>
          <w:rtl/>
        </w:rPr>
        <w:t>איכא נועל בפניה</w:t>
      </w:r>
      <w:r>
        <w:rPr>
          <w:rStyle w:val="a7"/>
          <w:rFonts w:cs="Arial"/>
          <w:rtl/>
        </w:rPr>
        <w:footnoteReference w:id="416"/>
      </w:r>
      <w:r>
        <w:rPr>
          <w:rFonts w:cs="Arial"/>
          <w:rtl/>
        </w:rPr>
        <w:t>, אלא לבית האבל - מאי נועל בפניה איכא? תנא: למחר היא מתה, ואין כל בריה סופדה. ואיכא דאמרי: אין כל בריה סופנה</w:t>
      </w:r>
      <w:r w:rsidR="00BF344F">
        <w:rPr>
          <w:rStyle w:val="a7"/>
          <w:rFonts w:cs="Arial"/>
          <w:rtl/>
        </w:rPr>
        <w:footnoteReference w:id="417"/>
      </w:r>
      <w:r>
        <w:rPr>
          <w:rFonts w:cs="Arial"/>
          <w:rtl/>
        </w:rPr>
        <w:t>.</w:t>
      </w:r>
      <w:r w:rsidR="00BF344F">
        <w:rPr>
          <w:rFonts w:cs="Arial" w:hint="cs"/>
          <w:rtl/>
        </w:rPr>
        <w:t>...</w:t>
      </w:r>
      <w:r>
        <w:rPr>
          <w:rFonts w:cs="Arial"/>
          <w:rtl/>
        </w:rPr>
        <w:t xml:space="preserve"> ואם היה טוען משום דבר אחר - רשאי. מאי דבר אחר? </w:t>
      </w:r>
      <w:r w:rsidRPr="008A18FF">
        <w:rPr>
          <w:rFonts w:cs="Arial"/>
          <w:u w:val="single"/>
          <w:rtl/>
        </w:rPr>
        <w:t>אמר רב יהודה אמר שמואל</w:t>
      </w:r>
      <w:r>
        <w:rPr>
          <w:rFonts w:cs="Arial"/>
          <w:rtl/>
        </w:rPr>
        <w:t xml:space="preserve">: משום בני אדם פרוצין שמצויין שם. </w:t>
      </w:r>
      <w:r w:rsidRPr="008A18FF">
        <w:rPr>
          <w:rFonts w:cs="Arial"/>
          <w:u w:val="single"/>
          <w:rtl/>
        </w:rPr>
        <w:t>אמר רב אשי</w:t>
      </w:r>
      <w:r>
        <w:rPr>
          <w:rFonts w:cs="Arial"/>
          <w:rtl/>
        </w:rPr>
        <w:t>: לא אמרן אלא דאיתחזק, אבל לא איתחזק - לא כל כמיניה.</w:t>
      </w:r>
    </w:p>
    <w:p w14:paraId="05850E11" w14:textId="76ED4CAF" w:rsidR="00E71937" w:rsidRPr="00E71937" w:rsidRDefault="00E71937" w:rsidP="00E71937">
      <w:pPr>
        <w:rPr>
          <w:u w:val="single"/>
          <w:rtl/>
        </w:rPr>
      </w:pPr>
      <w:r w:rsidRPr="00E71937">
        <w:rPr>
          <w:rFonts w:cs="Arial"/>
          <w:u w:val="single"/>
          <w:rtl/>
        </w:rPr>
        <w:t>הדירה שלא תלך לבית האבל ולבית המשתה</w:t>
      </w:r>
      <w:r w:rsidRPr="00E71937">
        <w:rPr>
          <w:rFonts w:hint="cs"/>
          <w:u w:val="single"/>
          <w:rtl/>
        </w:rPr>
        <w:t>:</w:t>
      </w:r>
    </w:p>
    <w:p w14:paraId="66715C4D" w14:textId="78B1AF18" w:rsidR="008A18FF" w:rsidRDefault="00E71937" w:rsidP="00791B55">
      <w:pPr>
        <w:pStyle w:val="ab"/>
        <w:numPr>
          <w:ilvl w:val="0"/>
          <w:numId w:val="7"/>
        </w:numPr>
        <w:rPr>
          <w:rFonts w:cs="Arial"/>
        </w:rPr>
      </w:pPr>
      <w:r>
        <w:rPr>
          <w:rFonts w:cs="Arial" w:hint="cs"/>
          <w:rtl/>
        </w:rPr>
        <w:t xml:space="preserve">טור- </w:t>
      </w:r>
      <w:r w:rsidR="00791B55" w:rsidRPr="00791B55">
        <w:rPr>
          <w:rFonts w:cs="Arial"/>
          <w:rtl/>
        </w:rPr>
        <w:t>הדירה שלא תלך לבית האבל ולבית המשתה</w:t>
      </w:r>
      <w:r>
        <w:rPr>
          <w:rFonts w:cs="Arial" w:hint="cs"/>
          <w:rtl/>
        </w:rPr>
        <w:t>,</w:t>
      </w:r>
      <w:r w:rsidR="00791B55" w:rsidRPr="00791B55">
        <w:rPr>
          <w:rFonts w:cs="Arial"/>
          <w:rtl/>
        </w:rPr>
        <w:t xml:space="preserve"> אם נדרה היא שאמרה קונם תשמישך עלי אם אלך</w:t>
      </w:r>
      <w:r>
        <w:rPr>
          <w:rFonts w:cs="Arial" w:hint="cs"/>
          <w:rtl/>
        </w:rPr>
        <w:t>,</w:t>
      </w:r>
      <w:r w:rsidR="00791B55" w:rsidRPr="00791B55">
        <w:rPr>
          <w:rFonts w:cs="Arial"/>
          <w:rtl/>
        </w:rPr>
        <w:t xml:space="preserve"> וקיים לה </w:t>
      </w:r>
      <w:r>
        <w:rPr>
          <w:rFonts w:cs="Arial" w:hint="cs"/>
          <w:rtl/>
        </w:rPr>
        <w:t xml:space="preserve">- </w:t>
      </w:r>
      <w:r w:rsidR="00791B55" w:rsidRPr="00791B55">
        <w:rPr>
          <w:rFonts w:cs="Arial"/>
          <w:rtl/>
        </w:rPr>
        <w:t>יוציא מיד ויתן לה כתובה</w:t>
      </w:r>
      <w:r>
        <w:rPr>
          <w:rStyle w:val="a7"/>
          <w:rFonts w:cs="Arial"/>
          <w:rtl/>
        </w:rPr>
        <w:footnoteReference w:id="418"/>
      </w:r>
      <w:r w:rsidR="00791B55">
        <w:rPr>
          <w:rFonts w:cs="Arial" w:hint="cs"/>
          <w:rtl/>
        </w:rPr>
        <w:t>.</w:t>
      </w:r>
      <w:r w:rsidR="008A18FF" w:rsidRPr="008A18FF">
        <w:rPr>
          <w:rFonts w:cs="Arial"/>
          <w:rtl/>
        </w:rPr>
        <w:t xml:space="preserve"> </w:t>
      </w:r>
      <w:r w:rsidR="008A18FF" w:rsidRPr="00791B55">
        <w:rPr>
          <w:rFonts w:cs="Arial"/>
          <w:rtl/>
        </w:rPr>
        <w:t>ואם הדירה הוא שאמר קונם תשמישך עלי אם תלך</w:t>
      </w:r>
      <w:r w:rsidR="008A18FF">
        <w:rPr>
          <w:rFonts w:cs="Arial" w:hint="cs"/>
          <w:rtl/>
        </w:rPr>
        <w:t xml:space="preserve"> -</w:t>
      </w:r>
      <w:r w:rsidR="008A18FF" w:rsidRPr="00791B55">
        <w:rPr>
          <w:rFonts w:cs="Arial"/>
          <w:rtl/>
        </w:rPr>
        <w:t xml:space="preserve"> יוציא לאחר ז' ימים</w:t>
      </w:r>
      <w:r w:rsidR="008A18FF">
        <w:rPr>
          <w:rStyle w:val="a7"/>
          <w:rFonts w:cs="Arial"/>
          <w:rtl/>
        </w:rPr>
        <w:footnoteReference w:id="419"/>
      </w:r>
      <w:r w:rsidR="008A18FF">
        <w:rPr>
          <w:rFonts w:cs="Arial" w:hint="cs"/>
          <w:rtl/>
        </w:rPr>
        <w:t>.</w:t>
      </w:r>
      <w:r w:rsidR="008A18FF" w:rsidRPr="00791B55">
        <w:rPr>
          <w:rFonts w:cs="Arial"/>
          <w:rtl/>
        </w:rPr>
        <w:t xml:space="preserve"> </w:t>
      </w:r>
      <w:r w:rsidR="008A18FF" w:rsidRPr="008015A2">
        <w:rPr>
          <w:rFonts w:cs="Arial" w:hint="cs"/>
          <w:color w:val="E36C0A" w:themeColor="accent6" w:themeShade="BF"/>
          <w:rtl/>
        </w:rPr>
        <w:t>(וכ"פ בשו"ע</w:t>
      </w:r>
      <w:r w:rsidR="008A18FF">
        <w:rPr>
          <w:rFonts w:cs="Arial" w:hint="cs"/>
          <w:color w:val="E36C0A" w:themeColor="accent6" w:themeShade="BF"/>
          <w:sz w:val="16"/>
          <w:szCs w:val="16"/>
          <w:rtl/>
        </w:rPr>
        <w:t xml:space="preserve"> </w:t>
      </w:r>
      <w:r w:rsidR="008A18FF" w:rsidRPr="008A18FF">
        <w:rPr>
          <w:rFonts w:cs="Arial" w:hint="cs"/>
          <w:color w:val="000000" w:themeColor="text1"/>
          <w:sz w:val="16"/>
          <w:szCs w:val="16"/>
          <w:rtl/>
        </w:rPr>
        <w:t xml:space="preserve">[כאן ובסע' </w:t>
      </w:r>
      <w:r w:rsidR="00304916">
        <w:rPr>
          <w:rFonts w:cs="Arial" w:hint="cs"/>
          <w:color w:val="000000" w:themeColor="text1"/>
          <w:sz w:val="16"/>
          <w:szCs w:val="16"/>
          <w:rtl/>
        </w:rPr>
        <w:t>ו</w:t>
      </w:r>
      <w:r w:rsidR="008A18FF" w:rsidRPr="008A18FF">
        <w:rPr>
          <w:rFonts w:cs="Arial" w:hint="cs"/>
          <w:color w:val="000000" w:themeColor="text1"/>
          <w:sz w:val="16"/>
          <w:szCs w:val="16"/>
          <w:rtl/>
        </w:rPr>
        <w:t>]</w:t>
      </w:r>
      <w:r w:rsidR="008A18FF" w:rsidRPr="008015A2">
        <w:rPr>
          <w:rFonts w:cs="Arial" w:hint="cs"/>
          <w:color w:val="E36C0A" w:themeColor="accent6" w:themeShade="BF"/>
          <w:rtl/>
        </w:rPr>
        <w:t>)</w:t>
      </w:r>
    </w:p>
    <w:p w14:paraId="70B576B1" w14:textId="4602A9D0" w:rsidR="008A18FF" w:rsidRDefault="008A18FF" w:rsidP="00791B55">
      <w:pPr>
        <w:pStyle w:val="ab"/>
        <w:numPr>
          <w:ilvl w:val="0"/>
          <w:numId w:val="7"/>
        </w:numPr>
        <w:rPr>
          <w:rFonts w:cs="Arial"/>
        </w:rPr>
      </w:pPr>
      <w:r>
        <w:rPr>
          <w:rFonts w:cs="Arial" w:hint="cs"/>
          <w:rtl/>
        </w:rPr>
        <w:t xml:space="preserve">רמב"ם </w:t>
      </w:r>
      <w:r>
        <w:rPr>
          <w:rFonts w:cs="Arial" w:hint="cs"/>
          <w:sz w:val="16"/>
          <w:szCs w:val="16"/>
          <w:rtl/>
        </w:rPr>
        <w:t>(פי"ג הי"ג)</w:t>
      </w:r>
      <w:r>
        <w:rPr>
          <w:rFonts w:cs="Arial" w:hint="cs"/>
          <w:rtl/>
        </w:rPr>
        <w:t xml:space="preserve">- </w:t>
      </w:r>
      <w:r w:rsidRPr="008A18FF">
        <w:rPr>
          <w:rFonts w:cs="Arial"/>
          <w:rtl/>
        </w:rPr>
        <w:t>המדיר את אשתו שלא תלך לבית האבל ולבית המשתה</w:t>
      </w:r>
      <w:r w:rsidR="00B22C10">
        <w:rPr>
          <w:rFonts w:cs="Arial" w:hint="cs"/>
          <w:rtl/>
        </w:rPr>
        <w:t xml:space="preserve"> -</w:t>
      </w:r>
      <w:r w:rsidRPr="008A18FF">
        <w:rPr>
          <w:rFonts w:cs="Arial"/>
          <w:rtl/>
        </w:rPr>
        <w:t xml:space="preserve"> או יתיר נדרו</w:t>
      </w:r>
      <w:r w:rsidR="00B22C10">
        <w:rPr>
          <w:rFonts w:cs="Arial" w:hint="cs"/>
          <w:rtl/>
        </w:rPr>
        <w:t>,</w:t>
      </w:r>
      <w:r w:rsidRPr="008A18FF">
        <w:rPr>
          <w:rFonts w:cs="Arial"/>
          <w:rtl/>
        </w:rPr>
        <w:t xml:space="preserve"> או יוציא ויתן כתובה</w:t>
      </w:r>
      <w:r w:rsidR="00B22C10">
        <w:rPr>
          <w:rFonts w:cs="Arial" w:hint="cs"/>
          <w:rtl/>
        </w:rPr>
        <w:t>,</w:t>
      </w:r>
      <w:r w:rsidRPr="008A18FF">
        <w:rPr>
          <w:rFonts w:cs="Arial"/>
          <w:rtl/>
        </w:rPr>
        <w:t xml:space="preserve"> שזה כמי שאסרה בבית הסוהר ונעל בפניה</w:t>
      </w:r>
      <w:r w:rsidR="00B22C10">
        <w:rPr>
          <w:rStyle w:val="a7"/>
          <w:rFonts w:cs="Arial"/>
          <w:rtl/>
        </w:rPr>
        <w:footnoteReference w:id="420"/>
      </w:r>
      <w:r>
        <w:rPr>
          <w:rFonts w:cs="Arial" w:hint="cs"/>
          <w:rtl/>
        </w:rPr>
        <w:t>.</w:t>
      </w:r>
    </w:p>
    <w:p w14:paraId="579599FD" w14:textId="3CF7AACD" w:rsidR="008A18FF" w:rsidRPr="008A18FF" w:rsidRDefault="008A18FF" w:rsidP="008A18FF">
      <w:pPr>
        <w:ind w:left="360"/>
        <w:rPr>
          <w:rFonts w:cs="Arial"/>
          <w:u w:val="dotted"/>
        </w:rPr>
      </w:pPr>
      <w:r w:rsidRPr="008A18FF">
        <w:rPr>
          <w:rFonts w:cs="Arial" w:hint="cs"/>
          <w:u w:val="dotted"/>
          <w:rtl/>
        </w:rPr>
        <w:t xml:space="preserve">ומה הדין אם </w:t>
      </w:r>
      <w:r>
        <w:rPr>
          <w:rFonts w:cs="Arial" w:hint="cs"/>
          <w:u w:val="dotted"/>
          <w:rtl/>
        </w:rPr>
        <w:t>הדיר</w:t>
      </w:r>
      <w:r w:rsidR="00712FB6">
        <w:rPr>
          <w:rFonts w:cs="Arial" w:hint="cs"/>
          <w:u w:val="dotted"/>
          <w:rtl/>
        </w:rPr>
        <w:t>ה</w:t>
      </w:r>
      <w:r>
        <w:rPr>
          <w:rFonts w:cs="Arial" w:hint="cs"/>
          <w:u w:val="dotted"/>
          <w:rtl/>
        </w:rPr>
        <w:t xml:space="preserve"> מלילך</w:t>
      </w:r>
      <w:r w:rsidRPr="008A18FF">
        <w:rPr>
          <w:rFonts w:cs="Arial" w:hint="cs"/>
          <w:u w:val="dotted"/>
          <w:rtl/>
        </w:rPr>
        <w:t xml:space="preserve"> לבית המשתה משום הפריצות שיש שם:</w:t>
      </w:r>
    </w:p>
    <w:p w14:paraId="607E2C46" w14:textId="14203EA4" w:rsidR="00791B55" w:rsidRPr="00791B55" w:rsidRDefault="00B22C10" w:rsidP="00791B55">
      <w:pPr>
        <w:pStyle w:val="ab"/>
        <w:numPr>
          <w:ilvl w:val="0"/>
          <w:numId w:val="7"/>
        </w:numPr>
        <w:rPr>
          <w:rFonts w:cs="Arial"/>
          <w:rtl/>
        </w:rPr>
      </w:pPr>
      <w:r>
        <w:rPr>
          <w:rFonts w:cs="Arial" w:hint="cs"/>
          <w:rtl/>
        </w:rPr>
        <w:t xml:space="preserve">רמב"ם </w:t>
      </w:r>
      <w:r>
        <w:rPr>
          <w:rFonts w:cs="Arial" w:hint="cs"/>
          <w:sz w:val="16"/>
          <w:szCs w:val="16"/>
          <w:rtl/>
        </w:rPr>
        <w:t xml:space="preserve">(שם) </w:t>
      </w:r>
      <w:r>
        <w:rPr>
          <w:rFonts w:cs="Arial" w:hint="cs"/>
          <w:rtl/>
        </w:rPr>
        <w:t>ו</w:t>
      </w:r>
      <w:r w:rsidR="008A18FF">
        <w:rPr>
          <w:rFonts w:cs="Arial" w:hint="cs"/>
          <w:rtl/>
        </w:rPr>
        <w:t xml:space="preserve">טור- </w:t>
      </w:r>
      <w:r w:rsidR="008A18FF" w:rsidRPr="00791B55">
        <w:rPr>
          <w:rFonts w:cs="Arial"/>
          <w:rtl/>
        </w:rPr>
        <w:t>ואם טוען הדרתיה בשביל בני אדם פריצים המצויין שם</w:t>
      </w:r>
      <w:r w:rsidR="008A18FF">
        <w:rPr>
          <w:rFonts w:cs="Arial" w:hint="cs"/>
          <w:rtl/>
        </w:rPr>
        <w:t>,</w:t>
      </w:r>
      <w:r w:rsidR="008A18FF" w:rsidRPr="00791B55">
        <w:rPr>
          <w:rFonts w:cs="Arial"/>
          <w:rtl/>
        </w:rPr>
        <w:t xml:space="preserve"> אם הוחזקו שם </w:t>
      </w:r>
      <w:r w:rsidR="008A18FF">
        <w:rPr>
          <w:rFonts w:cs="Arial" w:hint="cs"/>
          <w:rtl/>
        </w:rPr>
        <w:t xml:space="preserve">- </w:t>
      </w:r>
      <w:r w:rsidR="008A18FF" w:rsidRPr="00791B55">
        <w:rPr>
          <w:rFonts w:cs="Arial"/>
          <w:rtl/>
        </w:rPr>
        <w:t>נאמן</w:t>
      </w:r>
      <w:r w:rsidR="008A18FF">
        <w:rPr>
          <w:rFonts w:cs="Arial" w:hint="cs"/>
          <w:rtl/>
        </w:rPr>
        <w:t>.</w:t>
      </w:r>
      <w:r w:rsidR="008A18FF" w:rsidRPr="00791B55">
        <w:rPr>
          <w:rFonts w:cs="Arial"/>
          <w:rtl/>
        </w:rPr>
        <w:t xml:space="preserve"> ואם לא הוחזקו </w:t>
      </w:r>
      <w:r w:rsidR="008A18FF">
        <w:rPr>
          <w:rFonts w:cs="Arial" w:hint="cs"/>
          <w:rtl/>
        </w:rPr>
        <w:t xml:space="preserve">- </w:t>
      </w:r>
      <w:r w:rsidR="008A18FF" w:rsidRPr="00791B55">
        <w:rPr>
          <w:rFonts w:cs="Arial"/>
          <w:rtl/>
        </w:rPr>
        <w:t>אינו נאמן</w:t>
      </w:r>
      <w:r w:rsidR="008A18FF">
        <w:rPr>
          <w:rFonts w:cs="Arial" w:hint="cs"/>
          <w:rtl/>
        </w:rPr>
        <w:t xml:space="preserve">. </w:t>
      </w:r>
      <w:r w:rsidR="008A18FF" w:rsidRPr="008015A2">
        <w:rPr>
          <w:rFonts w:cs="Arial" w:hint="cs"/>
          <w:color w:val="E36C0A" w:themeColor="accent6" w:themeShade="BF"/>
          <w:rtl/>
        </w:rPr>
        <w:t>(וכ"פ בשו"ע</w:t>
      </w:r>
      <w:r w:rsidR="008A18FF">
        <w:rPr>
          <w:rFonts w:cs="Arial" w:hint="cs"/>
          <w:color w:val="E36C0A" w:themeColor="accent6" w:themeShade="BF"/>
          <w:sz w:val="16"/>
          <w:szCs w:val="16"/>
          <w:rtl/>
        </w:rPr>
        <w:t xml:space="preserve"> </w:t>
      </w:r>
      <w:r w:rsidR="008A18FF" w:rsidRPr="008A18FF">
        <w:rPr>
          <w:rFonts w:cs="Arial" w:hint="cs"/>
          <w:color w:val="000000" w:themeColor="text1"/>
          <w:sz w:val="16"/>
          <w:szCs w:val="16"/>
          <w:rtl/>
        </w:rPr>
        <w:t xml:space="preserve">[בסע' </w:t>
      </w:r>
      <w:r w:rsidR="00304916">
        <w:rPr>
          <w:rFonts w:cs="Arial" w:hint="cs"/>
          <w:color w:val="000000" w:themeColor="text1"/>
          <w:sz w:val="16"/>
          <w:szCs w:val="16"/>
          <w:rtl/>
        </w:rPr>
        <w:t>ו</w:t>
      </w:r>
      <w:r w:rsidR="008A18FF" w:rsidRPr="008A18FF">
        <w:rPr>
          <w:rFonts w:cs="Arial" w:hint="cs"/>
          <w:color w:val="000000" w:themeColor="text1"/>
          <w:sz w:val="16"/>
          <w:szCs w:val="16"/>
          <w:rtl/>
        </w:rPr>
        <w:t>]</w:t>
      </w:r>
      <w:r w:rsidR="008A18FF" w:rsidRPr="008015A2">
        <w:rPr>
          <w:rFonts w:cs="Arial" w:hint="cs"/>
          <w:color w:val="E36C0A" w:themeColor="accent6" w:themeShade="BF"/>
          <w:rtl/>
        </w:rPr>
        <w:t>)</w:t>
      </w:r>
    </w:p>
    <w:p w14:paraId="7FF4CBCA" w14:textId="77777777" w:rsidR="00830C5A" w:rsidRDefault="00830C5A" w:rsidP="00830C5A">
      <w:pPr>
        <w:rPr>
          <w:rFonts w:cs="Arial"/>
          <w:rtl/>
        </w:rPr>
      </w:pPr>
      <w:r w:rsidRPr="003024E5">
        <w:rPr>
          <w:rFonts w:asciiTheme="minorBidi" w:hAnsiTheme="minorBidi"/>
          <w:b/>
          <w:bCs/>
          <w:color w:val="000000"/>
          <w:sz w:val="28"/>
          <w:szCs w:val="28"/>
          <w:u w:val="single"/>
          <w:rtl/>
        </w:rPr>
        <w:t>שו"ע:</w:t>
      </w:r>
    </w:p>
    <w:p w14:paraId="50693F0B" w14:textId="117A7457" w:rsidR="00471D63" w:rsidRDefault="00471D63" w:rsidP="00471D63">
      <w:pPr>
        <w:rPr>
          <w:rtl/>
        </w:rPr>
      </w:pPr>
      <w:r>
        <w:rPr>
          <w:rFonts w:cs="Arial"/>
          <w:rtl/>
        </w:rPr>
        <w:t xml:space="preserve">נדרה היא ואמרה: קונם הנאת תשמישך עלי אם אלך לבית האבל או לבית המשתה, ושמע ולא הפר, יוציא מיד ויתן כתובה. </w:t>
      </w:r>
    </w:p>
    <w:p w14:paraId="21CDE3A2" w14:textId="77777777" w:rsidR="00830C5A" w:rsidRDefault="00830C5A" w:rsidP="00471D63">
      <w:pPr>
        <w:rPr>
          <w:rtl/>
        </w:rPr>
      </w:pPr>
    </w:p>
    <w:p w14:paraId="60733FAD" w14:textId="488C5685" w:rsidR="00791B55" w:rsidRDefault="00471D63" w:rsidP="000F64D0">
      <w:pPr>
        <w:pStyle w:val="2"/>
        <w:rPr>
          <w:rtl/>
        </w:rPr>
      </w:pPr>
      <w:r>
        <w:rPr>
          <w:rtl/>
        </w:rPr>
        <w:lastRenderedPageBreak/>
        <w:t>סעיף ו</w:t>
      </w:r>
      <w:r w:rsidR="00830C5A">
        <w:rPr>
          <w:rFonts w:hint="cs"/>
          <w:rtl/>
        </w:rPr>
        <w:t>:</w:t>
      </w:r>
      <w:r w:rsidR="008A18FF" w:rsidRPr="008A18FF">
        <w:rPr>
          <w:rtl/>
        </w:rPr>
        <w:t xml:space="preserve"> </w:t>
      </w:r>
      <w:r w:rsidR="008A18FF" w:rsidRPr="00791B55">
        <w:rPr>
          <w:rtl/>
        </w:rPr>
        <w:t>הדירה שלא תלך לבית המשתה</w:t>
      </w:r>
      <w:r w:rsidR="008A18FF">
        <w:rPr>
          <w:rFonts w:hint="cs"/>
          <w:rtl/>
        </w:rPr>
        <w:t xml:space="preserve"> משום פריצות.</w:t>
      </w:r>
    </w:p>
    <w:p w14:paraId="5E1D0E1F" w14:textId="26A56D2C" w:rsidR="00830C5A" w:rsidRDefault="008A18FF" w:rsidP="00B22C10">
      <w:pPr>
        <w:rPr>
          <w:rtl/>
        </w:rPr>
      </w:pPr>
      <w:r>
        <w:rPr>
          <w:rFonts w:hint="cs"/>
          <w:rtl/>
        </w:rPr>
        <w:t>עיין במקורות בסעיף הקודם.</w:t>
      </w:r>
    </w:p>
    <w:p w14:paraId="6D3B01E3" w14:textId="77777777" w:rsidR="00830C5A" w:rsidRDefault="00830C5A" w:rsidP="00830C5A">
      <w:pPr>
        <w:rPr>
          <w:rFonts w:cs="Arial"/>
          <w:rtl/>
        </w:rPr>
      </w:pPr>
      <w:r w:rsidRPr="003024E5">
        <w:rPr>
          <w:rFonts w:asciiTheme="minorBidi" w:hAnsiTheme="minorBidi"/>
          <w:b/>
          <w:bCs/>
          <w:color w:val="000000"/>
          <w:sz w:val="28"/>
          <w:szCs w:val="28"/>
          <w:u w:val="single"/>
          <w:rtl/>
        </w:rPr>
        <w:t>שו"ע:</w:t>
      </w:r>
    </w:p>
    <w:p w14:paraId="6DFA7734" w14:textId="0E7EEDE3" w:rsidR="00471D63" w:rsidRDefault="00471D63" w:rsidP="00471D63">
      <w:pPr>
        <w:rPr>
          <w:rtl/>
        </w:rPr>
      </w:pPr>
      <w:r>
        <w:rPr>
          <w:rFonts w:cs="Arial"/>
          <w:rtl/>
        </w:rPr>
        <w:t>ואם הדיר הוא, שאמר: קונם הנאת תשמישך עלי אם תלכי, יוציא לאחר שבעה ימים ויתן כתובתה. ואם טוען: הדרתיה בשביל בני אדם פרוצים המצויים שם, אם הוחזקו שם, נאמן</w:t>
      </w:r>
      <w:r w:rsidR="00830C5A">
        <w:rPr>
          <w:rFonts w:cs="Arial" w:hint="cs"/>
          <w:rtl/>
        </w:rPr>
        <w:t>.</w:t>
      </w:r>
      <w:r>
        <w:rPr>
          <w:rFonts w:cs="Arial"/>
          <w:rtl/>
        </w:rPr>
        <w:t xml:space="preserve"> ואם לאו, אינו נאמן. </w:t>
      </w:r>
    </w:p>
    <w:p w14:paraId="37620E28" w14:textId="77777777" w:rsidR="00830C5A" w:rsidRDefault="00830C5A" w:rsidP="00471D63">
      <w:pPr>
        <w:rPr>
          <w:rtl/>
        </w:rPr>
      </w:pPr>
    </w:p>
    <w:p w14:paraId="3CBBFFCD" w14:textId="735533B5" w:rsidR="00471D63" w:rsidRDefault="00471D63" w:rsidP="000F64D0">
      <w:pPr>
        <w:pStyle w:val="2"/>
        <w:rPr>
          <w:rtl/>
        </w:rPr>
      </w:pPr>
      <w:r>
        <w:rPr>
          <w:rtl/>
        </w:rPr>
        <w:t>סעיף ז</w:t>
      </w:r>
      <w:r w:rsidR="00830C5A">
        <w:rPr>
          <w:rFonts w:hint="cs"/>
          <w:rtl/>
        </w:rPr>
        <w:t>:</w:t>
      </w:r>
      <w:r w:rsidR="00C424A2" w:rsidRPr="00C424A2">
        <w:rPr>
          <w:rFonts w:cs="Arial"/>
          <w:rtl/>
        </w:rPr>
        <w:t xml:space="preserve"> </w:t>
      </w:r>
      <w:r w:rsidR="00C424A2">
        <w:rPr>
          <w:rFonts w:cs="Arial"/>
          <w:rtl/>
        </w:rPr>
        <w:t>הדירה שלא תלך למרחץ</w:t>
      </w:r>
      <w:r w:rsidR="00C424A2">
        <w:rPr>
          <w:rFonts w:hint="cs"/>
          <w:rtl/>
        </w:rPr>
        <w:t xml:space="preserve"> או שלא תנעל מנעל.</w:t>
      </w:r>
    </w:p>
    <w:p w14:paraId="744ABF5E" w14:textId="1A67FA6A" w:rsidR="00C424A2" w:rsidRPr="00F31365" w:rsidRDefault="00C424A2" w:rsidP="00F31365">
      <w:pPr>
        <w:rPr>
          <w:rFonts w:cs="Arial"/>
          <w:u w:val="double"/>
          <w:rtl/>
        </w:rPr>
      </w:pPr>
      <w:r w:rsidRPr="00C424A2">
        <w:rPr>
          <w:rFonts w:cs="Arial" w:hint="cs"/>
          <w:b/>
          <w:bCs/>
          <w:rtl/>
        </w:rPr>
        <w:t>ירושלמי כתובות פ"ז ה"ד:</w:t>
      </w:r>
      <w:r>
        <w:rPr>
          <w:rFonts w:cs="Arial" w:hint="cs"/>
          <w:rtl/>
        </w:rPr>
        <w:t xml:space="preserve"> </w:t>
      </w:r>
      <w:r w:rsidRPr="00C424A2">
        <w:rPr>
          <w:rFonts w:cs="Arial"/>
          <w:u w:val="single"/>
          <w:rtl/>
        </w:rPr>
        <w:t>אמר רבי זעירא</w:t>
      </w:r>
      <w:r>
        <w:rPr>
          <w:rFonts w:cs="Arial" w:hint="cs"/>
          <w:rtl/>
        </w:rPr>
        <w:t xml:space="preserve">: </w:t>
      </w:r>
      <w:r w:rsidRPr="00C424A2">
        <w:rPr>
          <w:rFonts w:cs="Arial"/>
          <w:rtl/>
        </w:rPr>
        <w:t>תני תמן הדירה שלא תרחצי במרחץ</w:t>
      </w:r>
      <w:r w:rsidR="00FA31B0">
        <w:rPr>
          <w:rFonts w:cs="Arial" w:hint="cs"/>
          <w:rtl/>
        </w:rPr>
        <w:t>,</w:t>
      </w:r>
      <w:r w:rsidRPr="00C424A2">
        <w:rPr>
          <w:rFonts w:cs="Arial"/>
          <w:rtl/>
        </w:rPr>
        <w:t xml:space="preserve"> בכרכים </w:t>
      </w:r>
      <w:r w:rsidR="00FA31B0">
        <w:rPr>
          <w:rFonts w:cs="Arial" w:hint="cs"/>
          <w:rtl/>
        </w:rPr>
        <w:t xml:space="preserve">- </w:t>
      </w:r>
      <w:r w:rsidRPr="00C424A2">
        <w:rPr>
          <w:rFonts w:cs="Arial"/>
          <w:rtl/>
        </w:rPr>
        <w:t>שבת אחת</w:t>
      </w:r>
      <w:r w:rsidR="00FA31B0">
        <w:rPr>
          <w:rFonts w:cs="Arial" w:hint="cs"/>
          <w:rtl/>
        </w:rPr>
        <w:t>,</w:t>
      </w:r>
      <w:r w:rsidRPr="00C424A2">
        <w:rPr>
          <w:rFonts w:cs="Arial"/>
          <w:rtl/>
        </w:rPr>
        <w:t xml:space="preserve"> ובכפרים </w:t>
      </w:r>
      <w:r w:rsidR="00FA31B0">
        <w:rPr>
          <w:rFonts w:cs="Arial" w:hint="cs"/>
          <w:rtl/>
        </w:rPr>
        <w:t xml:space="preserve">- </w:t>
      </w:r>
      <w:r w:rsidRPr="00C424A2">
        <w:rPr>
          <w:rFonts w:cs="Arial"/>
          <w:rtl/>
        </w:rPr>
        <w:t>שתי שבתות</w:t>
      </w:r>
      <w:r w:rsidR="00FA31B0">
        <w:rPr>
          <w:rFonts w:cs="Arial" w:hint="cs"/>
          <w:rtl/>
        </w:rPr>
        <w:t>.</w:t>
      </w:r>
      <w:r w:rsidRPr="00C424A2">
        <w:rPr>
          <w:rFonts w:cs="Arial"/>
          <w:rtl/>
        </w:rPr>
        <w:t xml:space="preserve"> שלא תנעלי מנעל</w:t>
      </w:r>
      <w:r w:rsidR="00FA31B0">
        <w:rPr>
          <w:rFonts w:cs="Arial" w:hint="cs"/>
          <w:rtl/>
        </w:rPr>
        <w:t>,</w:t>
      </w:r>
      <w:r w:rsidRPr="00C424A2">
        <w:rPr>
          <w:rFonts w:cs="Arial"/>
          <w:rtl/>
        </w:rPr>
        <w:t xml:space="preserve"> בכפרים </w:t>
      </w:r>
      <w:r w:rsidR="00FA31B0">
        <w:rPr>
          <w:rFonts w:cs="Arial" w:hint="cs"/>
          <w:rtl/>
        </w:rPr>
        <w:t xml:space="preserve">- </w:t>
      </w:r>
      <w:r w:rsidRPr="00C424A2">
        <w:rPr>
          <w:rFonts w:cs="Arial"/>
          <w:rtl/>
        </w:rPr>
        <w:t xml:space="preserve">שלשה </w:t>
      </w:r>
      <w:r w:rsidR="00FA31B0">
        <w:rPr>
          <w:rStyle w:val="a7"/>
          <w:rFonts w:cs="Arial"/>
          <w:rtl/>
        </w:rPr>
        <w:footnoteReference w:id="421"/>
      </w:r>
      <w:r w:rsidR="00FA31B0">
        <w:rPr>
          <w:rFonts w:cs="Arial" w:hint="cs"/>
          <w:rtl/>
        </w:rPr>
        <w:t>[ימים],</w:t>
      </w:r>
      <w:r w:rsidRPr="00C424A2">
        <w:rPr>
          <w:rFonts w:cs="Arial"/>
          <w:rtl/>
        </w:rPr>
        <w:t xml:space="preserve"> ובכרכים </w:t>
      </w:r>
      <w:r w:rsidR="00FA31B0">
        <w:rPr>
          <w:rFonts w:cs="Arial" w:hint="cs"/>
          <w:rtl/>
        </w:rPr>
        <w:t xml:space="preserve">- </w:t>
      </w:r>
      <w:r w:rsidRPr="00C424A2">
        <w:rPr>
          <w:rFonts w:cs="Arial"/>
          <w:rtl/>
        </w:rPr>
        <w:t>מעת לעת</w:t>
      </w:r>
      <w:r w:rsidR="006F7141">
        <w:rPr>
          <w:rFonts w:cs="Arial" w:hint="cs"/>
          <w:rtl/>
        </w:rPr>
        <w:t>.</w:t>
      </w:r>
    </w:p>
    <w:p w14:paraId="24E5876F" w14:textId="75A106A6" w:rsidR="00C424A2" w:rsidRPr="00C424A2" w:rsidRDefault="00C424A2" w:rsidP="00C424A2">
      <w:pPr>
        <w:rPr>
          <w:u w:val="single"/>
          <w:rtl/>
        </w:rPr>
      </w:pPr>
      <w:r w:rsidRPr="00C424A2">
        <w:rPr>
          <w:rFonts w:cs="Arial"/>
          <w:u w:val="single"/>
          <w:rtl/>
        </w:rPr>
        <w:t>הדירה שלא תלך למרחץ</w:t>
      </w:r>
      <w:r w:rsidRPr="00C424A2">
        <w:rPr>
          <w:rFonts w:hint="cs"/>
          <w:u w:val="single"/>
          <w:rtl/>
        </w:rPr>
        <w:t xml:space="preserve"> או שלא תנעל מנעל:</w:t>
      </w:r>
    </w:p>
    <w:p w14:paraId="54F91F30" w14:textId="04396BEB" w:rsidR="00790CAA" w:rsidRDefault="00AD1B78" w:rsidP="001B5E5A">
      <w:pPr>
        <w:pStyle w:val="ab"/>
        <w:numPr>
          <w:ilvl w:val="0"/>
          <w:numId w:val="7"/>
        </w:numPr>
        <w:rPr>
          <w:rFonts w:cs="Arial"/>
        </w:rPr>
      </w:pPr>
      <w:r>
        <w:rPr>
          <w:rFonts w:cs="Arial" w:hint="cs"/>
          <w:rtl/>
        </w:rPr>
        <w:t xml:space="preserve">רמב"ם </w:t>
      </w:r>
      <w:r>
        <w:rPr>
          <w:rFonts w:cs="Arial" w:hint="cs"/>
          <w:sz w:val="16"/>
          <w:szCs w:val="16"/>
          <w:rtl/>
        </w:rPr>
        <w:t>(פי"ג ה"ט)</w:t>
      </w:r>
      <w:r>
        <w:rPr>
          <w:rFonts w:cs="Arial" w:hint="cs"/>
          <w:rtl/>
        </w:rPr>
        <w:t xml:space="preserve">- </w:t>
      </w:r>
      <w:r w:rsidRPr="00AD1B78">
        <w:rPr>
          <w:rFonts w:cs="Arial"/>
          <w:rtl/>
        </w:rPr>
        <w:t xml:space="preserve">הדירה שלא תלך למרחץ, בכרכים </w:t>
      </w:r>
      <w:r>
        <w:rPr>
          <w:rFonts w:cs="Arial" w:hint="cs"/>
          <w:rtl/>
        </w:rPr>
        <w:t xml:space="preserve">- </w:t>
      </w:r>
      <w:r w:rsidRPr="00AD1B78">
        <w:rPr>
          <w:rFonts w:cs="Arial"/>
          <w:rtl/>
        </w:rPr>
        <w:t>שבת אחת</w:t>
      </w:r>
      <w:r>
        <w:rPr>
          <w:rFonts w:cs="Arial" w:hint="cs"/>
          <w:rtl/>
        </w:rPr>
        <w:t>,</w:t>
      </w:r>
      <w:r w:rsidRPr="00AD1B78">
        <w:rPr>
          <w:rFonts w:cs="Arial"/>
          <w:rtl/>
        </w:rPr>
        <w:t xml:space="preserve"> ובכפרים </w:t>
      </w:r>
      <w:r>
        <w:rPr>
          <w:rFonts w:cs="Arial" w:hint="cs"/>
          <w:rtl/>
        </w:rPr>
        <w:t xml:space="preserve">- </w:t>
      </w:r>
      <w:r w:rsidRPr="00AD1B78">
        <w:rPr>
          <w:rFonts w:cs="Arial"/>
          <w:rtl/>
        </w:rPr>
        <w:t>שתי שבתות</w:t>
      </w:r>
      <w:r>
        <w:rPr>
          <w:rFonts w:cs="Arial" w:hint="cs"/>
          <w:rtl/>
        </w:rPr>
        <w:t>.</w:t>
      </w:r>
      <w:r w:rsidRPr="00AD1B78">
        <w:rPr>
          <w:rFonts w:cs="Arial"/>
          <w:rtl/>
        </w:rPr>
        <w:t xml:space="preserve"> שלא תנעול מנעל, בכפרים </w:t>
      </w:r>
      <w:r>
        <w:rPr>
          <w:rFonts w:cs="Arial" w:hint="cs"/>
          <w:rtl/>
        </w:rPr>
        <w:t xml:space="preserve">- </w:t>
      </w:r>
      <w:r w:rsidRPr="00AD1B78">
        <w:rPr>
          <w:rFonts w:cs="Arial"/>
          <w:rtl/>
        </w:rPr>
        <w:t>שלשה ימים</w:t>
      </w:r>
      <w:r>
        <w:rPr>
          <w:rFonts w:cs="Arial" w:hint="cs"/>
          <w:rtl/>
        </w:rPr>
        <w:t>,</w:t>
      </w:r>
      <w:r w:rsidRPr="00AD1B78">
        <w:rPr>
          <w:rFonts w:cs="Arial"/>
          <w:rtl/>
        </w:rPr>
        <w:t xml:space="preserve"> ובכרכים </w:t>
      </w:r>
      <w:r>
        <w:rPr>
          <w:rFonts w:cs="Arial" w:hint="cs"/>
          <w:rtl/>
        </w:rPr>
        <w:t xml:space="preserve">- </w:t>
      </w:r>
      <w:r w:rsidRPr="00AD1B78">
        <w:rPr>
          <w:rFonts w:cs="Arial"/>
          <w:rtl/>
        </w:rPr>
        <w:t xml:space="preserve">מעת לעת, יתר על זה </w:t>
      </w:r>
      <w:r>
        <w:rPr>
          <w:rFonts w:cs="Arial" w:hint="cs"/>
          <w:rtl/>
        </w:rPr>
        <w:t xml:space="preserve">- </w:t>
      </w:r>
      <w:r w:rsidRPr="00AD1B78">
        <w:rPr>
          <w:rFonts w:cs="Arial"/>
          <w:rtl/>
        </w:rPr>
        <w:t xml:space="preserve">יתיר נדרו או יוציא ויתן כתובה. </w:t>
      </w:r>
    </w:p>
    <w:p w14:paraId="3A3F6455" w14:textId="3B1F2EFA" w:rsidR="00912909" w:rsidRDefault="00912909" w:rsidP="001B5E5A">
      <w:pPr>
        <w:pStyle w:val="ab"/>
        <w:numPr>
          <w:ilvl w:val="0"/>
          <w:numId w:val="7"/>
        </w:numPr>
        <w:rPr>
          <w:rFonts w:cs="Arial"/>
        </w:rPr>
      </w:pPr>
      <w:r>
        <w:rPr>
          <w:rFonts w:cs="Arial" w:hint="cs"/>
          <w:rtl/>
        </w:rPr>
        <w:t xml:space="preserve">טור- </w:t>
      </w:r>
      <w:r w:rsidRPr="00912909">
        <w:rPr>
          <w:rFonts w:cs="Arial"/>
          <w:rtl/>
        </w:rPr>
        <w:t>כ' הרמב"ם הדירה שלא תלך למרחץ</w:t>
      </w:r>
      <w:r w:rsidR="0020590F">
        <w:rPr>
          <w:rFonts w:cs="Arial" w:hint="cs"/>
          <w:rtl/>
        </w:rPr>
        <w:t>,</w:t>
      </w:r>
      <w:r w:rsidRPr="00912909">
        <w:rPr>
          <w:rFonts w:cs="Arial"/>
          <w:rtl/>
        </w:rPr>
        <w:t xml:space="preserve"> בכרכים </w:t>
      </w:r>
      <w:r w:rsidR="0020590F">
        <w:rPr>
          <w:rFonts w:cs="Arial" w:hint="cs"/>
          <w:rtl/>
        </w:rPr>
        <w:t xml:space="preserve">- </w:t>
      </w:r>
      <w:r w:rsidRPr="00912909">
        <w:rPr>
          <w:rFonts w:cs="Arial"/>
          <w:rtl/>
        </w:rPr>
        <w:t>שבת אחד</w:t>
      </w:r>
      <w:r w:rsidR="0020590F">
        <w:rPr>
          <w:rFonts w:cs="Arial" w:hint="cs"/>
          <w:rtl/>
        </w:rPr>
        <w:t>,</w:t>
      </w:r>
      <w:r w:rsidRPr="00912909">
        <w:rPr>
          <w:rFonts w:cs="Arial"/>
          <w:rtl/>
        </w:rPr>
        <w:t xml:space="preserve"> ובכפרים </w:t>
      </w:r>
      <w:r w:rsidR="0020590F">
        <w:rPr>
          <w:rFonts w:cs="Arial" w:hint="cs"/>
          <w:rtl/>
        </w:rPr>
        <w:t xml:space="preserve">- </w:t>
      </w:r>
      <w:r w:rsidRPr="00912909">
        <w:rPr>
          <w:rFonts w:cs="Arial"/>
          <w:rtl/>
        </w:rPr>
        <w:t>שתי שבתות</w:t>
      </w:r>
      <w:r w:rsidR="0020590F">
        <w:rPr>
          <w:rFonts w:cs="Arial" w:hint="cs"/>
          <w:rtl/>
        </w:rPr>
        <w:t>.</w:t>
      </w:r>
      <w:r w:rsidRPr="00912909">
        <w:rPr>
          <w:rFonts w:cs="Arial"/>
          <w:rtl/>
        </w:rPr>
        <w:t xml:space="preserve"> שלא תנעול מנעל</w:t>
      </w:r>
      <w:r w:rsidR="0020590F">
        <w:rPr>
          <w:rFonts w:cs="Arial" w:hint="cs"/>
          <w:rtl/>
        </w:rPr>
        <w:t>,</w:t>
      </w:r>
      <w:r w:rsidRPr="00912909">
        <w:rPr>
          <w:rFonts w:cs="Arial"/>
          <w:rtl/>
        </w:rPr>
        <w:t xml:space="preserve"> בכפרים </w:t>
      </w:r>
      <w:r w:rsidR="0020590F">
        <w:rPr>
          <w:rFonts w:cs="Arial" w:hint="cs"/>
          <w:rtl/>
        </w:rPr>
        <w:t xml:space="preserve">- </w:t>
      </w:r>
      <w:r w:rsidRPr="00912909">
        <w:rPr>
          <w:rFonts w:cs="Arial"/>
          <w:rtl/>
        </w:rPr>
        <w:t>ג' ימים</w:t>
      </w:r>
      <w:r w:rsidR="0020590F">
        <w:rPr>
          <w:rFonts w:cs="Arial" w:hint="cs"/>
          <w:rtl/>
        </w:rPr>
        <w:t>,</w:t>
      </w:r>
      <w:r w:rsidRPr="00912909">
        <w:rPr>
          <w:rFonts w:cs="Arial"/>
          <w:rtl/>
        </w:rPr>
        <w:t xml:space="preserve"> ובכרכים </w:t>
      </w:r>
      <w:r w:rsidR="0020590F">
        <w:rPr>
          <w:rFonts w:cs="Arial" w:hint="cs"/>
          <w:rtl/>
        </w:rPr>
        <w:t xml:space="preserve">- </w:t>
      </w:r>
      <w:r w:rsidRPr="00912909">
        <w:rPr>
          <w:rFonts w:cs="Arial"/>
          <w:rtl/>
        </w:rPr>
        <w:t>מע"ל</w:t>
      </w:r>
      <w:r w:rsidR="0020590F">
        <w:rPr>
          <w:rFonts w:cs="Arial" w:hint="cs"/>
          <w:rtl/>
        </w:rPr>
        <w:t>,</w:t>
      </w:r>
      <w:r w:rsidRPr="00912909">
        <w:rPr>
          <w:rFonts w:cs="Arial"/>
          <w:rtl/>
        </w:rPr>
        <w:t xml:space="preserve"> יתר על כן </w:t>
      </w:r>
      <w:r w:rsidR="0020590F">
        <w:rPr>
          <w:rFonts w:cs="Arial" w:hint="cs"/>
          <w:rtl/>
        </w:rPr>
        <w:t xml:space="preserve">- </w:t>
      </w:r>
      <w:r w:rsidRPr="00912909">
        <w:rPr>
          <w:rFonts w:cs="Arial"/>
          <w:rtl/>
        </w:rPr>
        <w:t>יוציא ויתן כתובה</w:t>
      </w:r>
      <w:r w:rsidR="00162951">
        <w:rPr>
          <w:rStyle w:val="a7"/>
          <w:rFonts w:cs="Arial"/>
          <w:rtl/>
        </w:rPr>
        <w:footnoteReference w:id="422"/>
      </w:r>
      <w:r>
        <w:rPr>
          <w:rFonts w:cs="Arial" w:hint="cs"/>
          <w:rtl/>
        </w:rPr>
        <w:t>.</w:t>
      </w:r>
    </w:p>
    <w:p w14:paraId="277457E8" w14:textId="608C8453" w:rsidR="001B5E5A" w:rsidRPr="001B5E5A" w:rsidRDefault="001B5E5A" w:rsidP="001B5E5A">
      <w:pPr>
        <w:ind w:left="360"/>
        <w:rPr>
          <w:rFonts w:cs="Arial"/>
          <w:u w:val="dotted"/>
        </w:rPr>
      </w:pPr>
      <w:r w:rsidRPr="001B5E5A">
        <w:rPr>
          <w:rFonts w:cs="Arial" w:hint="cs"/>
          <w:u w:val="dotted"/>
          <w:rtl/>
        </w:rPr>
        <w:t>ומה הדין אם אמר לה כן אבל תלה בתשמיש:</w:t>
      </w:r>
    </w:p>
    <w:p w14:paraId="769AF35C" w14:textId="4758E82E" w:rsidR="001B5E5A" w:rsidRPr="001B5E5A" w:rsidRDefault="001B5E5A" w:rsidP="001B5E5A">
      <w:pPr>
        <w:pStyle w:val="ab"/>
        <w:numPr>
          <w:ilvl w:val="0"/>
          <w:numId w:val="7"/>
        </w:numPr>
        <w:rPr>
          <w:rFonts w:cs="Arial"/>
        </w:rPr>
      </w:pPr>
      <w:r>
        <w:rPr>
          <w:rFonts w:cs="Arial" w:hint="cs"/>
          <w:rtl/>
        </w:rPr>
        <w:t xml:space="preserve">ב"י </w:t>
      </w:r>
      <w:r>
        <w:rPr>
          <w:rFonts w:cs="Arial" w:hint="cs"/>
          <w:sz w:val="16"/>
          <w:szCs w:val="16"/>
          <w:rtl/>
        </w:rPr>
        <w:t xml:space="preserve">(בבדה"ב) </w:t>
      </w:r>
      <w:r>
        <w:rPr>
          <w:rFonts w:cs="Arial" w:hint="cs"/>
          <w:rtl/>
        </w:rPr>
        <w:t xml:space="preserve">בשם הטור- </w:t>
      </w:r>
      <w:r w:rsidRPr="001B5E5A">
        <w:rPr>
          <w:rFonts w:cs="Arial"/>
          <w:rtl/>
        </w:rPr>
        <w:t xml:space="preserve">ולפי מה שנתבאר בדברי רבינו </w:t>
      </w:r>
      <w:r>
        <w:rPr>
          <w:rFonts w:cs="Arial" w:hint="cs"/>
          <w:sz w:val="16"/>
          <w:szCs w:val="16"/>
          <w:rtl/>
        </w:rPr>
        <w:t xml:space="preserve"> (הטור)</w:t>
      </w:r>
      <w:r>
        <w:rPr>
          <w:rFonts w:cs="Arial" w:hint="cs"/>
          <w:rtl/>
        </w:rPr>
        <w:t xml:space="preserve"> </w:t>
      </w:r>
      <w:r w:rsidRPr="001B5E5A">
        <w:rPr>
          <w:rFonts w:cs="Arial"/>
          <w:rtl/>
        </w:rPr>
        <w:t>בסימן זה הירושלמי כך פירושו</w:t>
      </w:r>
      <w:r w:rsidRPr="001B5E5A">
        <w:rPr>
          <w:rFonts w:cs="Arial" w:hint="cs"/>
          <w:rtl/>
        </w:rPr>
        <w:t>-</w:t>
      </w:r>
      <w:r w:rsidRPr="001B5E5A">
        <w:rPr>
          <w:rFonts w:cs="Arial"/>
          <w:rtl/>
        </w:rPr>
        <w:t xml:space="preserve"> שאם הדירה הוא</w:t>
      </w:r>
      <w:r>
        <w:rPr>
          <w:rFonts w:cs="Arial" w:hint="cs"/>
          <w:rtl/>
        </w:rPr>
        <w:t>,</w:t>
      </w:r>
      <w:r w:rsidRPr="001B5E5A">
        <w:rPr>
          <w:rFonts w:cs="Arial"/>
          <w:rtl/>
        </w:rPr>
        <w:t xml:space="preserve"> שאמר לה קונם תשמישך עלי אם תלכי לבית המרחץ בכרכים יותר משבת אחת ובכפרים יותר משתי שבתות או אם תנעל בכפרים יותר משלשה ימים ובכרכים יותר מעת לעת</w:t>
      </w:r>
      <w:r>
        <w:rPr>
          <w:rFonts w:cs="Arial" w:hint="cs"/>
          <w:rtl/>
        </w:rPr>
        <w:t xml:space="preserve"> -</w:t>
      </w:r>
      <w:r w:rsidRPr="001B5E5A">
        <w:rPr>
          <w:rFonts w:cs="Arial"/>
          <w:rtl/>
        </w:rPr>
        <w:t xml:space="preserve"> ימתין שבעת ימים ואח</w:t>
      </w:r>
      <w:r>
        <w:rPr>
          <w:rFonts w:cs="Arial" w:hint="cs"/>
          <w:rtl/>
        </w:rPr>
        <w:t>"</w:t>
      </w:r>
      <w:r w:rsidRPr="001B5E5A">
        <w:rPr>
          <w:rFonts w:cs="Arial"/>
          <w:rtl/>
        </w:rPr>
        <w:t>כ יוציא ויתן כתובה</w:t>
      </w:r>
      <w:r>
        <w:rPr>
          <w:rStyle w:val="a7"/>
          <w:rFonts w:cs="Arial"/>
          <w:rtl/>
        </w:rPr>
        <w:footnoteReference w:id="423"/>
      </w:r>
      <w:r>
        <w:rPr>
          <w:rFonts w:cs="Arial" w:hint="cs"/>
          <w:rtl/>
        </w:rPr>
        <w:t>.</w:t>
      </w:r>
      <w:r w:rsidR="00304916">
        <w:rPr>
          <w:rFonts w:cs="Arial" w:hint="cs"/>
          <w:rtl/>
        </w:rPr>
        <w:t xml:space="preserve"> </w:t>
      </w:r>
      <w:r w:rsidR="00304916" w:rsidRPr="008015A2">
        <w:rPr>
          <w:rFonts w:cs="Arial" w:hint="cs"/>
          <w:color w:val="E36C0A" w:themeColor="accent6" w:themeShade="BF"/>
          <w:rtl/>
        </w:rPr>
        <w:t>(וכ"פ בשו"ע</w:t>
      </w:r>
      <w:r w:rsidR="00304916">
        <w:rPr>
          <w:rFonts w:cs="Arial" w:hint="cs"/>
          <w:color w:val="E36C0A" w:themeColor="accent6" w:themeShade="BF"/>
          <w:sz w:val="16"/>
          <w:szCs w:val="16"/>
          <w:rtl/>
        </w:rPr>
        <w:t xml:space="preserve"> </w:t>
      </w:r>
      <w:r w:rsidR="00304916" w:rsidRPr="008A18FF">
        <w:rPr>
          <w:rFonts w:cs="Arial" w:hint="cs"/>
          <w:color w:val="000000" w:themeColor="text1"/>
          <w:sz w:val="16"/>
          <w:szCs w:val="16"/>
          <w:rtl/>
        </w:rPr>
        <w:t xml:space="preserve">[בסע' </w:t>
      </w:r>
      <w:r w:rsidR="00304916">
        <w:rPr>
          <w:rFonts w:cs="Arial" w:hint="cs"/>
          <w:color w:val="000000" w:themeColor="text1"/>
          <w:sz w:val="16"/>
          <w:szCs w:val="16"/>
          <w:rtl/>
        </w:rPr>
        <w:t>ח</w:t>
      </w:r>
      <w:r w:rsidR="00304916" w:rsidRPr="008A18FF">
        <w:rPr>
          <w:rFonts w:cs="Arial" w:hint="cs"/>
          <w:color w:val="000000" w:themeColor="text1"/>
          <w:sz w:val="16"/>
          <w:szCs w:val="16"/>
          <w:rtl/>
        </w:rPr>
        <w:t>]</w:t>
      </w:r>
      <w:r w:rsidR="00304916" w:rsidRPr="008015A2">
        <w:rPr>
          <w:rFonts w:cs="Arial" w:hint="cs"/>
          <w:color w:val="E36C0A" w:themeColor="accent6" w:themeShade="BF"/>
          <w:rtl/>
        </w:rPr>
        <w:t>)</w:t>
      </w:r>
    </w:p>
    <w:p w14:paraId="145192CE" w14:textId="2D5AE9E9" w:rsidR="00FB05F5" w:rsidRPr="00014D26" w:rsidRDefault="00014D26" w:rsidP="00FB05F5">
      <w:pPr>
        <w:rPr>
          <w:rFonts w:cs="Arial"/>
          <w:u w:val="single"/>
        </w:rPr>
      </w:pPr>
      <w:r w:rsidRPr="00014D26">
        <w:rPr>
          <w:rFonts w:cs="Arial"/>
          <w:u w:val="single"/>
          <w:rtl/>
        </w:rPr>
        <w:t xml:space="preserve">בעל המכה אשתו בכל יום </w:t>
      </w:r>
      <w:r>
        <w:rPr>
          <w:rFonts w:cs="Arial" w:hint="cs"/>
          <w:u w:val="single"/>
          <w:rtl/>
        </w:rPr>
        <w:t xml:space="preserve">- </w:t>
      </w:r>
      <w:r w:rsidRPr="00014D26">
        <w:rPr>
          <w:rFonts w:cs="Arial"/>
          <w:u w:val="single"/>
          <w:rtl/>
        </w:rPr>
        <w:t>עד שהצריכה לצאת מביתו</w:t>
      </w:r>
      <w:r w:rsidRPr="00014D26">
        <w:rPr>
          <w:rFonts w:cs="Arial" w:hint="cs"/>
          <w:u w:val="single"/>
          <w:rtl/>
        </w:rPr>
        <w:t>:</w:t>
      </w:r>
    </w:p>
    <w:p w14:paraId="2515BE14" w14:textId="3DFBF2A4" w:rsidR="00014D26" w:rsidRDefault="00FB05F5" w:rsidP="00966D1C">
      <w:pPr>
        <w:pStyle w:val="ab"/>
        <w:numPr>
          <w:ilvl w:val="0"/>
          <w:numId w:val="7"/>
        </w:numPr>
        <w:rPr>
          <w:rFonts w:cs="Arial"/>
        </w:rPr>
      </w:pPr>
      <w:r w:rsidRPr="00FB05F5">
        <w:rPr>
          <w:rFonts w:cs="Arial" w:hint="cs"/>
          <w:rtl/>
        </w:rPr>
        <w:t>רשב"א</w:t>
      </w:r>
      <w:r w:rsidR="00830C5A" w:rsidRPr="00FB05F5">
        <w:rPr>
          <w:rFonts w:cs="Arial"/>
          <w:sz w:val="16"/>
          <w:szCs w:val="16"/>
          <w:rtl/>
        </w:rPr>
        <w:t xml:space="preserve"> (במיוחסות סי</w:t>
      </w:r>
      <w:r w:rsidRPr="00FB05F5">
        <w:rPr>
          <w:rFonts w:cs="Arial" w:hint="cs"/>
          <w:sz w:val="16"/>
          <w:szCs w:val="16"/>
          <w:rtl/>
        </w:rPr>
        <w:t>'</w:t>
      </w:r>
      <w:r w:rsidR="00830C5A" w:rsidRPr="00FB05F5">
        <w:rPr>
          <w:rFonts w:cs="Arial"/>
          <w:sz w:val="16"/>
          <w:szCs w:val="16"/>
          <w:rtl/>
        </w:rPr>
        <w:t xml:space="preserve"> קב</w:t>
      </w:r>
      <w:r w:rsidRPr="00FB05F5">
        <w:rPr>
          <w:rFonts w:cs="Arial" w:hint="cs"/>
          <w:sz w:val="16"/>
          <w:szCs w:val="16"/>
          <w:rtl/>
        </w:rPr>
        <w:t>)</w:t>
      </w:r>
      <w:r w:rsidRPr="00FB05F5">
        <w:rPr>
          <w:rFonts w:cs="Arial" w:hint="cs"/>
          <w:rtl/>
        </w:rPr>
        <w:t>-</w:t>
      </w:r>
      <w:r w:rsidR="00830C5A" w:rsidRPr="00FB05F5">
        <w:rPr>
          <w:rFonts w:cs="Arial"/>
          <w:rtl/>
        </w:rPr>
        <w:t xml:space="preserve"> </w:t>
      </w:r>
      <w:r w:rsidRPr="00FB05F5">
        <w:rPr>
          <w:rFonts w:cs="Arial"/>
          <w:rtl/>
        </w:rPr>
        <w:t>שאלה</w:t>
      </w:r>
      <w:r>
        <w:rPr>
          <w:rFonts w:cs="Arial" w:hint="cs"/>
          <w:rtl/>
        </w:rPr>
        <w:t>,</w:t>
      </w:r>
      <w:r w:rsidRPr="00FB05F5">
        <w:rPr>
          <w:rFonts w:cs="Arial"/>
          <w:rtl/>
        </w:rPr>
        <w:t xml:space="preserve"> בעל המכה אשתו בכל יום ומצטערת עד שהצריכה לצאת מביתו. והלכה לבית אביה. והוא טוען שהיא מקללתו בפניו</w:t>
      </w:r>
      <w:r>
        <w:rPr>
          <w:rFonts w:cs="Arial" w:hint="cs"/>
          <w:rtl/>
        </w:rPr>
        <w:t>,</w:t>
      </w:r>
      <w:r w:rsidRPr="00FB05F5">
        <w:rPr>
          <w:rFonts w:cs="Arial"/>
          <w:rtl/>
        </w:rPr>
        <w:t xml:space="preserve"> והיא מכחישתו. והיא אומרת שחמותה מחרחרת ריב בינו לבינה ומסבבת הכאותיה. וע"כ אינה רוצה לדור עם חמותה בחצר אחת. הודיעני אם יכולים בית דין לחייבו שבועה. שלא יכה אשתו ושינהג עמה כראוי</w:t>
      </w:r>
      <w:r>
        <w:rPr>
          <w:rFonts w:cs="Arial" w:hint="cs"/>
          <w:rtl/>
        </w:rPr>
        <w:t>.</w:t>
      </w:r>
      <w:r w:rsidRPr="00FB05F5">
        <w:rPr>
          <w:rFonts w:cs="Arial"/>
          <w:rtl/>
        </w:rPr>
        <w:t xml:space="preserve"> </w:t>
      </w:r>
      <w:r w:rsidR="00FE210D">
        <w:rPr>
          <w:rFonts w:cs="Arial"/>
          <w:rtl/>
        </w:rPr>
        <w:t xml:space="preserve">      תשובה:</w:t>
      </w:r>
      <w:r w:rsidRPr="00FB05F5">
        <w:rPr>
          <w:rFonts w:cs="Arial"/>
          <w:rtl/>
        </w:rPr>
        <w:t xml:space="preserve"> אין לבעל להכות ולענות אשתו</w:t>
      </w:r>
      <w:r>
        <w:rPr>
          <w:rFonts w:cs="Arial" w:hint="cs"/>
          <w:rtl/>
        </w:rPr>
        <w:t>,</w:t>
      </w:r>
      <w:r w:rsidRPr="00FB05F5">
        <w:rPr>
          <w:rFonts w:cs="Arial"/>
          <w:rtl/>
        </w:rPr>
        <w:t xml:space="preserve"> דלחיים ניתנה ולא לצער. ואדרבא צריך לכבדה יותר מגופו. ואם טען שהיא מקללתו</w:t>
      </w:r>
      <w:r w:rsidR="00014D26">
        <w:rPr>
          <w:rFonts w:cs="Arial" w:hint="cs"/>
          <w:rtl/>
        </w:rPr>
        <w:t>,</w:t>
      </w:r>
      <w:r w:rsidRPr="00FB05F5">
        <w:rPr>
          <w:rFonts w:cs="Arial"/>
          <w:rtl/>
        </w:rPr>
        <w:t xml:space="preserve"> ב"ד חוקרין ושואלים לשכנים מי הגורם. ואם הוא מכה ומצער שלא כדין והיא בורחת</w:t>
      </w:r>
      <w:r w:rsidR="00014D26">
        <w:rPr>
          <w:rFonts w:cs="Arial" w:hint="cs"/>
          <w:rtl/>
        </w:rPr>
        <w:t xml:space="preserve"> - </w:t>
      </w:r>
      <w:r w:rsidRPr="00FB05F5">
        <w:rPr>
          <w:rFonts w:cs="Arial"/>
          <w:rtl/>
        </w:rPr>
        <w:t>הדין עמה</w:t>
      </w:r>
      <w:r w:rsidR="00014D26">
        <w:rPr>
          <w:rFonts w:cs="Arial" w:hint="cs"/>
          <w:rtl/>
        </w:rPr>
        <w:t>,</w:t>
      </w:r>
      <w:r w:rsidRPr="00FB05F5">
        <w:rPr>
          <w:rFonts w:cs="Arial"/>
          <w:rtl/>
        </w:rPr>
        <w:t xml:space="preserve"> שאין אדם דר עם נחש בכפיפה. זכר לדבר הגר. אבל אם מקללתו חנם </w:t>
      </w:r>
      <w:r w:rsidR="00014D26">
        <w:rPr>
          <w:rFonts w:cs="Arial" w:hint="cs"/>
          <w:rtl/>
        </w:rPr>
        <w:t xml:space="preserve">- </w:t>
      </w:r>
      <w:r w:rsidRPr="00FB05F5">
        <w:rPr>
          <w:rFonts w:cs="Arial"/>
          <w:rtl/>
        </w:rPr>
        <w:t>הדין עמו</w:t>
      </w:r>
      <w:r w:rsidR="00014D26">
        <w:rPr>
          <w:rFonts w:cs="Arial" w:hint="cs"/>
          <w:rtl/>
        </w:rPr>
        <w:t>,</w:t>
      </w:r>
      <w:r w:rsidRPr="00FB05F5">
        <w:rPr>
          <w:rFonts w:cs="Arial"/>
          <w:rtl/>
        </w:rPr>
        <w:t xml:space="preserve"> דהא מקללת בעלה בפניו מן היוצאות שלא בכתובה. ומ"מ אם הדבר מסופק לב"ד מי הוא הגורם או אפילו הגיעו לדבר ברור שהבעל מכה שלא כדין</w:t>
      </w:r>
      <w:r w:rsidR="00014D26">
        <w:rPr>
          <w:rFonts w:cs="Arial" w:hint="cs"/>
          <w:rtl/>
        </w:rPr>
        <w:t>,</w:t>
      </w:r>
      <w:r w:rsidRPr="00FB05F5">
        <w:rPr>
          <w:rFonts w:cs="Arial"/>
          <w:rtl/>
        </w:rPr>
        <w:t xml:space="preserve"> איני רואה שיכולים ב"ד להשביעו שלא לעשות כן</w:t>
      </w:r>
      <w:r w:rsidR="00966D1C">
        <w:rPr>
          <w:rStyle w:val="a7"/>
          <w:rFonts w:cs="Arial"/>
          <w:rtl/>
        </w:rPr>
        <w:footnoteReference w:id="424"/>
      </w:r>
      <w:r w:rsidRPr="00FB05F5">
        <w:rPr>
          <w:rFonts w:cs="Arial"/>
          <w:rtl/>
        </w:rPr>
        <w:t>. אלא גוערים אותו ומייסרין ומודיעין שאם יכה שלא כדין שיהא חייב להוציא וליתן כתובה. שאפילו על שאר דברים שאין לה כ"כ צער</w:t>
      </w:r>
      <w:r w:rsidR="00014D26">
        <w:rPr>
          <w:rFonts w:cs="Arial" w:hint="cs"/>
          <w:rtl/>
        </w:rPr>
        <w:t>,</w:t>
      </w:r>
      <w:r w:rsidRPr="00FB05F5">
        <w:rPr>
          <w:rFonts w:cs="Arial"/>
          <w:rtl/>
        </w:rPr>
        <w:t xml:space="preserve"> כגון שמדירה שלא תלך לבית אביה או לבית האבל או לבית המשתה או אפילו שלא תשאל נפה וכברה מחברותיה או שלא תשאיל להם הוא</w:t>
      </w:r>
      <w:r w:rsidR="00014D26">
        <w:rPr>
          <w:rFonts w:cs="Arial" w:hint="cs"/>
          <w:rtl/>
        </w:rPr>
        <w:t>,</w:t>
      </w:r>
      <w:r w:rsidRPr="00FB05F5">
        <w:rPr>
          <w:rFonts w:cs="Arial"/>
          <w:rtl/>
        </w:rPr>
        <w:t xml:space="preserve"> מוציא ונותן כתובה</w:t>
      </w:r>
      <w:r w:rsidR="00014D26">
        <w:rPr>
          <w:rFonts w:cs="Arial" w:hint="cs"/>
          <w:rtl/>
        </w:rPr>
        <w:t>,</w:t>
      </w:r>
      <w:r w:rsidRPr="00FB05F5">
        <w:rPr>
          <w:rFonts w:cs="Arial"/>
          <w:rtl/>
        </w:rPr>
        <w:t xml:space="preserve"> כ"ש במכה ופוצע ומצערה בגופה. וקרוב בעיני הדבר שאם ידוע שהוא מכה אותה שלא כדרך בנות ישראל ההגונות</w:t>
      </w:r>
      <w:r w:rsidR="00014D26">
        <w:rPr>
          <w:rFonts w:cs="Arial" w:hint="cs"/>
          <w:rtl/>
        </w:rPr>
        <w:t>,</w:t>
      </w:r>
      <w:r w:rsidRPr="00FB05F5">
        <w:rPr>
          <w:rFonts w:cs="Arial"/>
          <w:rtl/>
        </w:rPr>
        <w:t xml:space="preserve"> ר"ל </w:t>
      </w:r>
      <w:r w:rsidRPr="00FB05F5">
        <w:rPr>
          <w:rFonts w:cs="Arial"/>
          <w:rtl/>
        </w:rPr>
        <w:lastRenderedPageBreak/>
        <w:t>שמתמיד להכותה</w:t>
      </w:r>
      <w:r w:rsidR="00014D26">
        <w:rPr>
          <w:rFonts w:cs="Arial" w:hint="cs"/>
          <w:rtl/>
        </w:rPr>
        <w:t>,</w:t>
      </w:r>
      <w:r w:rsidRPr="00FB05F5">
        <w:rPr>
          <w:rFonts w:cs="Arial"/>
          <w:rtl/>
        </w:rPr>
        <w:t xml:space="preserve"> שאין נאמן לטעון שהיא גורמת שהיא מקללתו בפניו. דלאו כל כמיניה לאחזוקה בפרוצה. וכענין שאמרו פרק המדיר (עא:) ע"מ שלא תלך לבית המשתה</w:t>
      </w:r>
      <w:r w:rsidR="00014D26">
        <w:rPr>
          <w:rFonts w:cs="Arial" w:hint="cs"/>
          <w:rtl/>
        </w:rPr>
        <w:t>..</w:t>
      </w:r>
      <w:r w:rsidR="00830C5A" w:rsidRPr="00966D1C">
        <w:rPr>
          <w:rFonts w:cs="Arial"/>
          <w:rtl/>
        </w:rPr>
        <w:t xml:space="preserve">. </w:t>
      </w:r>
    </w:p>
    <w:p w14:paraId="310A050E" w14:textId="14AD319F" w:rsidR="00966D1C" w:rsidRPr="00966D1C" w:rsidRDefault="00966D1C" w:rsidP="00966D1C">
      <w:pPr>
        <w:ind w:left="360"/>
        <w:rPr>
          <w:rFonts w:cs="Arial"/>
          <w:u w:val="dotted"/>
        </w:rPr>
      </w:pPr>
      <w:r w:rsidRPr="00966D1C">
        <w:rPr>
          <w:rFonts w:cs="Arial" w:hint="cs"/>
          <w:u w:val="dotted"/>
          <w:rtl/>
        </w:rPr>
        <w:t>האם במקרה הנ"ל חייב במזונותיה:</w:t>
      </w:r>
    </w:p>
    <w:p w14:paraId="7586B823" w14:textId="3E562CF4" w:rsidR="00014D26" w:rsidRPr="00014D26" w:rsidRDefault="00966D1C" w:rsidP="00014D26">
      <w:pPr>
        <w:pStyle w:val="ab"/>
        <w:numPr>
          <w:ilvl w:val="0"/>
          <w:numId w:val="7"/>
        </w:numPr>
        <w:rPr>
          <w:rFonts w:cs="Arial"/>
        </w:rPr>
      </w:pPr>
      <w:r w:rsidRPr="00FB05F5">
        <w:rPr>
          <w:rFonts w:cs="Arial" w:hint="cs"/>
          <w:rtl/>
        </w:rPr>
        <w:t>רשב"א</w:t>
      </w:r>
      <w:r w:rsidRPr="00FB05F5">
        <w:rPr>
          <w:rFonts w:cs="Arial"/>
          <w:sz w:val="16"/>
          <w:szCs w:val="16"/>
          <w:rtl/>
        </w:rPr>
        <w:t xml:space="preserve"> (במיוחסות סי</w:t>
      </w:r>
      <w:r w:rsidRPr="00FB05F5">
        <w:rPr>
          <w:rFonts w:cs="Arial" w:hint="cs"/>
          <w:sz w:val="16"/>
          <w:szCs w:val="16"/>
          <w:rtl/>
        </w:rPr>
        <w:t>'</w:t>
      </w:r>
      <w:r w:rsidRPr="00FB05F5">
        <w:rPr>
          <w:rFonts w:cs="Arial"/>
          <w:sz w:val="16"/>
          <w:szCs w:val="16"/>
          <w:rtl/>
        </w:rPr>
        <w:t xml:space="preserve"> ק</w:t>
      </w:r>
      <w:r>
        <w:rPr>
          <w:rFonts w:cs="Arial" w:hint="cs"/>
          <w:sz w:val="16"/>
          <w:szCs w:val="16"/>
          <w:rtl/>
        </w:rPr>
        <w:t>ג</w:t>
      </w:r>
      <w:r w:rsidRPr="00FB05F5">
        <w:rPr>
          <w:rFonts w:cs="Arial" w:hint="cs"/>
          <w:sz w:val="16"/>
          <w:szCs w:val="16"/>
          <w:rtl/>
        </w:rPr>
        <w:t>)</w:t>
      </w:r>
      <w:r w:rsidRPr="00FB05F5">
        <w:rPr>
          <w:rFonts w:cs="Arial" w:hint="cs"/>
          <w:rtl/>
        </w:rPr>
        <w:t>-</w:t>
      </w:r>
      <w:r>
        <w:rPr>
          <w:rFonts w:cs="Arial" w:hint="cs"/>
          <w:rtl/>
        </w:rPr>
        <w:t xml:space="preserve"> ה</w:t>
      </w:r>
      <w:r w:rsidR="00014D26" w:rsidRPr="00014D26">
        <w:rPr>
          <w:rFonts w:cs="Arial"/>
          <w:rtl/>
        </w:rPr>
        <w:t>אם הבעל חייב במזונותיה</w:t>
      </w:r>
      <w:r w:rsidR="00014D26">
        <w:rPr>
          <w:rFonts w:cs="Arial" w:hint="cs"/>
          <w:rtl/>
        </w:rPr>
        <w:t xml:space="preserve"> </w:t>
      </w:r>
      <w:r w:rsidR="00014D26" w:rsidRPr="00014D26">
        <w:rPr>
          <w:rFonts w:cs="Arial"/>
          <w:rtl/>
        </w:rPr>
        <w:t xml:space="preserve">בעודה בבית אביה, אם יכול הבעל לומר כל זמן שהיא אצלי יש לה מזונות. וכל זמן שאינה אצלי אין לה מזונות. </w:t>
      </w:r>
      <w:r w:rsidR="00FE210D">
        <w:rPr>
          <w:rFonts w:cs="Arial"/>
          <w:rtl/>
        </w:rPr>
        <w:t xml:space="preserve">      תשובה:</w:t>
      </w:r>
      <w:r w:rsidR="00014D26" w:rsidRPr="00014D26">
        <w:rPr>
          <w:rFonts w:cs="Arial"/>
          <w:rtl/>
        </w:rPr>
        <w:t xml:space="preserve"> כל שהיא טוענת שבורחת מפני חמותה ולא במרד יש לבעל ליתן לה מזונות. שאין זו מורדת. ואילו רצה הבעל לבוא אצלה לבית אביה היתה מקבלתו או בחצר אחרת. ולמה תפסיד בכך מזונות והוא מכישה במקל שתברח, ואם לותה ואכלה הבעל חייב לפרוע מה שלותה. </w:t>
      </w:r>
    </w:p>
    <w:p w14:paraId="0BC444E6" w14:textId="77777777" w:rsidR="00830C5A" w:rsidRDefault="00830C5A" w:rsidP="00830C5A">
      <w:pPr>
        <w:rPr>
          <w:rFonts w:cs="Arial"/>
          <w:rtl/>
        </w:rPr>
      </w:pPr>
      <w:r w:rsidRPr="003024E5">
        <w:rPr>
          <w:rFonts w:asciiTheme="minorBidi" w:hAnsiTheme="minorBidi"/>
          <w:b/>
          <w:bCs/>
          <w:color w:val="000000"/>
          <w:sz w:val="28"/>
          <w:szCs w:val="28"/>
          <w:u w:val="single"/>
          <w:rtl/>
        </w:rPr>
        <w:t>שו"ע:</w:t>
      </w:r>
    </w:p>
    <w:p w14:paraId="13512355" w14:textId="4F8DA813" w:rsidR="00471D63" w:rsidRDefault="00471D63" w:rsidP="00471D63">
      <w:pPr>
        <w:rPr>
          <w:rtl/>
        </w:rPr>
      </w:pPr>
      <w:r>
        <w:rPr>
          <w:rFonts w:cs="Arial"/>
          <w:rtl/>
        </w:rPr>
        <w:t>הדירה שלא תלך למרחץ, בכרכים</w:t>
      </w:r>
      <w:r w:rsidR="00790CAA">
        <w:rPr>
          <w:rFonts w:cs="Arial" w:hint="cs"/>
          <w:rtl/>
        </w:rPr>
        <w:t>,</w:t>
      </w:r>
      <w:r>
        <w:rPr>
          <w:rFonts w:cs="Arial"/>
          <w:rtl/>
        </w:rPr>
        <w:t xml:space="preserve"> שבת אחת</w:t>
      </w:r>
      <w:r w:rsidR="00790CAA">
        <w:rPr>
          <w:rFonts w:cs="Arial" w:hint="cs"/>
          <w:rtl/>
        </w:rPr>
        <w:t>.</w:t>
      </w:r>
      <w:r>
        <w:rPr>
          <w:rFonts w:cs="Arial"/>
          <w:rtl/>
        </w:rPr>
        <w:t xml:space="preserve"> ובכפרים</w:t>
      </w:r>
      <w:r w:rsidR="00790CAA">
        <w:rPr>
          <w:rFonts w:cs="Arial" w:hint="cs"/>
          <w:rtl/>
        </w:rPr>
        <w:t>,</w:t>
      </w:r>
      <w:r>
        <w:rPr>
          <w:rFonts w:cs="Arial"/>
          <w:rtl/>
        </w:rPr>
        <w:t xml:space="preserve"> שתי שבתות</w:t>
      </w:r>
      <w:r w:rsidR="00790CAA">
        <w:rPr>
          <w:rFonts w:cs="Arial" w:hint="cs"/>
          <w:rtl/>
        </w:rPr>
        <w:t>.</w:t>
      </w:r>
      <w:r>
        <w:rPr>
          <w:rFonts w:cs="Arial"/>
          <w:rtl/>
        </w:rPr>
        <w:t xml:space="preserve"> שלא תנעל מנעל</w:t>
      </w:r>
      <w:r w:rsidR="00790CAA">
        <w:rPr>
          <w:rFonts w:cs="Arial" w:hint="cs"/>
          <w:rtl/>
        </w:rPr>
        <w:t>,</w:t>
      </w:r>
      <w:r>
        <w:rPr>
          <w:rFonts w:cs="Arial"/>
          <w:rtl/>
        </w:rPr>
        <w:t xml:space="preserve"> בכפרים</w:t>
      </w:r>
      <w:r w:rsidR="00790CAA">
        <w:rPr>
          <w:rFonts w:cs="Arial" w:hint="cs"/>
          <w:rtl/>
        </w:rPr>
        <w:t>,</w:t>
      </w:r>
      <w:r>
        <w:rPr>
          <w:rFonts w:cs="Arial"/>
          <w:rtl/>
        </w:rPr>
        <w:t xml:space="preserve"> שלשה ימים</w:t>
      </w:r>
      <w:r w:rsidR="00790CAA">
        <w:rPr>
          <w:rFonts w:cs="Arial" w:hint="cs"/>
          <w:rtl/>
        </w:rPr>
        <w:t>.</w:t>
      </w:r>
      <w:r>
        <w:rPr>
          <w:rFonts w:cs="Arial"/>
          <w:rtl/>
        </w:rPr>
        <w:t xml:space="preserve"> ובכרכים</w:t>
      </w:r>
      <w:r w:rsidR="00790CAA">
        <w:rPr>
          <w:rFonts w:cs="Arial" w:hint="cs"/>
          <w:rtl/>
        </w:rPr>
        <w:t>,</w:t>
      </w:r>
      <w:r>
        <w:rPr>
          <w:rFonts w:cs="Arial"/>
          <w:rtl/>
        </w:rPr>
        <w:t xml:space="preserve"> מעת לעת</w:t>
      </w:r>
      <w:r w:rsidR="00790CAA">
        <w:rPr>
          <w:rFonts w:cs="Arial" w:hint="cs"/>
          <w:rtl/>
        </w:rPr>
        <w:t>.</w:t>
      </w:r>
      <w:r>
        <w:rPr>
          <w:rFonts w:cs="Arial"/>
          <w:rtl/>
        </w:rPr>
        <w:t xml:space="preserve"> יתר על כן</w:t>
      </w:r>
      <w:r w:rsidR="00790CAA">
        <w:rPr>
          <w:rFonts w:cs="Arial" w:hint="cs"/>
          <w:rtl/>
        </w:rPr>
        <w:t>,</w:t>
      </w:r>
      <w:r>
        <w:rPr>
          <w:rFonts w:cs="Arial"/>
          <w:rtl/>
        </w:rPr>
        <w:t xml:space="preserve"> </w:t>
      </w:r>
      <w:r w:rsidR="00966D1C">
        <w:rPr>
          <w:rStyle w:val="a7"/>
          <w:rFonts w:cs="Arial"/>
          <w:rtl/>
        </w:rPr>
        <w:footnoteReference w:id="425"/>
      </w:r>
      <w:r>
        <w:rPr>
          <w:rFonts w:cs="Arial"/>
          <w:rtl/>
        </w:rPr>
        <w:t xml:space="preserve">(יתיר את נדרו או) יוציא ויתן כתובה. </w:t>
      </w:r>
    </w:p>
    <w:p w14:paraId="7C1B33EF" w14:textId="77777777" w:rsidR="00830C5A" w:rsidRDefault="00830C5A" w:rsidP="00471D63">
      <w:pPr>
        <w:rPr>
          <w:rtl/>
        </w:rPr>
      </w:pPr>
    </w:p>
    <w:p w14:paraId="2AC52EC6" w14:textId="1C189E40" w:rsidR="00471D63" w:rsidRDefault="00471D63" w:rsidP="000F64D0">
      <w:pPr>
        <w:pStyle w:val="2"/>
        <w:rPr>
          <w:rtl/>
        </w:rPr>
      </w:pPr>
      <w:r>
        <w:rPr>
          <w:rtl/>
        </w:rPr>
        <w:t>סעיף ח</w:t>
      </w:r>
      <w:r w:rsidR="00830C5A">
        <w:rPr>
          <w:rFonts w:hint="cs"/>
          <w:rtl/>
        </w:rPr>
        <w:t>:</w:t>
      </w:r>
      <w:r w:rsidR="00C424A2" w:rsidRPr="00C424A2">
        <w:rPr>
          <w:rtl/>
        </w:rPr>
        <w:t xml:space="preserve"> </w:t>
      </w:r>
      <w:r w:rsidR="00C424A2">
        <w:rPr>
          <w:rtl/>
        </w:rPr>
        <w:t xml:space="preserve">הדירה </w:t>
      </w:r>
      <w:r w:rsidR="00C424A2">
        <w:rPr>
          <w:rFonts w:hint="cs"/>
          <w:rtl/>
        </w:rPr>
        <w:t>מתשמיש אם</w:t>
      </w:r>
      <w:r w:rsidR="00C424A2">
        <w:rPr>
          <w:rtl/>
        </w:rPr>
        <w:t xml:space="preserve"> תלך למרחץ</w:t>
      </w:r>
      <w:r w:rsidR="00C424A2">
        <w:rPr>
          <w:rFonts w:hint="cs"/>
          <w:rtl/>
        </w:rPr>
        <w:t xml:space="preserve"> או אם תנעל מנעל.</w:t>
      </w:r>
    </w:p>
    <w:p w14:paraId="6A3F1946" w14:textId="02A8E8AA" w:rsidR="00830C5A" w:rsidRPr="00830C5A" w:rsidRDefault="00304916" w:rsidP="00830C5A">
      <w:pPr>
        <w:rPr>
          <w:rtl/>
        </w:rPr>
      </w:pPr>
      <w:r>
        <w:rPr>
          <w:rFonts w:hint="cs"/>
          <w:rtl/>
        </w:rPr>
        <w:t>עיין במקורות בסעיף הקודם.</w:t>
      </w:r>
    </w:p>
    <w:p w14:paraId="0393E088" w14:textId="77777777" w:rsidR="00830C5A" w:rsidRDefault="00830C5A" w:rsidP="00830C5A">
      <w:pPr>
        <w:rPr>
          <w:rFonts w:cs="Arial"/>
          <w:rtl/>
        </w:rPr>
      </w:pPr>
      <w:r w:rsidRPr="003024E5">
        <w:rPr>
          <w:rFonts w:asciiTheme="minorBidi" w:hAnsiTheme="minorBidi"/>
          <w:b/>
          <w:bCs/>
          <w:color w:val="000000"/>
          <w:sz w:val="28"/>
          <w:szCs w:val="28"/>
          <w:u w:val="single"/>
          <w:rtl/>
        </w:rPr>
        <w:t>שו"ע:</w:t>
      </w:r>
    </w:p>
    <w:p w14:paraId="69A032ED" w14:textId="53ED88F4" w:rsidR="00471D63" w:rsidRDefault="00471D63" w:rsidP="00471D63">
      <w:pPr>
        <w:rPr>
          <w:rtl/>
        </w:rPr>
      </w:pPr>
      <w:r>
        <w:rPr>
          <w:rFonts w:cs="Arial"/>
          <w:rtl/>
        </w:rPr>
        <w:t>הדירה ואמר לה: קונם תשמישך עלי אם תלכי לבית המרחץ, בכרכים יותר משבת אחת, ובכפרים יותר משתי שבתות</w:t>
      </w:r>
      <w:r w:rsidR="00790CAA">
        <w:rPr>
          <w:rFonts w:cs="Arial" w:hint="cs"/>
          <w:rtl/>
        </w:rPr>
        <w:t>.</w:t>
      </w:r>
      <w:r>
        <w:rPr>
          <w:rFonts w:cs="Arial"/>
          <w:rtl/>
        </w:rPr>
        <w:t xml:space="preserve"> או אם תנעלי מנעל בכפרים יותר מג' ימים, ובכרכים יותר מעת לעת, ימתין ז' ימים ואח</w:t>
      </w:r>
      <w:r w:rsidR="00830C5A">
        <w:rPr>
          <w:rFonts w:cs="Arial" w:hint="cs"/>
          <w:rtl/>
        </w:rPr>
        <w:t xml:space="preserve">ר </w:t>
      </w:r>
      <w:r>
        <w:rPr>
          <w:rFonts w:cs="Arial"/>
          <w:rtl/>
        </w:rPr>
        <w:t>כ</w:t>
      </w:r>
      <w:r w:rsidR="00830C5A">
        <w:rPr>
          <w:rFonts w:cs="Arial" w:hint="cs"/>
          <w:rtl/>
        </w:rPr>
        <w:t>ך</w:t>
      </w:r>
      <w:r>
        <w:rPr>
          <w:rFonts w:cs="Arial"/>
          <w:rtl/>
        </w:rPr>
        <w:t xml:space="preserve"> יוציא ויתן כתובה. </w:t>
      </w:r>
    </w:p>
    <w:p w14:paraId="1752217E" w14:textId="77777777" w:rsidR="00830C5A" w:rsidRDefault="00830C5A" w:rsidP="00471D63">
      <w:pPr>
        <w:rPr>
          <w:rtl/>
        </w:rPr>
      </w:pPr>
    </w:p>
    <w:p w14:paraId="41CE9580" w14:textId="7865F90A" w:rsidR="00471D63" w:rsidRDefault="00471D63" w:rsidP="000F64D0">
      <w:pPr>
        <w:pStyle w:val="2"/>
        <w:rPr>
          <w:rtl/>
        </w:rPr>
      </w:pPr>
      <w:r>
        <w:rPr>
          <w:rtl/>
        </w:rPr>
        <w:t>סעיף ט</w:t>
      </w:r>
      <w:r w:rsidR="00830C5A">
        <w:rPr>
          <w:rFonts w:hint="cs"/>
          <w:rtl/>
        </w:rPr>
        <w:t>:</w:t>
      </w:r>
      <w:r w:rsidR="00C424A2">
        <w:rPr>
          <w:rFonts w:hint="cs"/>
          <w:rtl/>
        </w:rPr>
        <w:t xml:space="preserve"> האומר לאשתו 'אין רצוני שי</w:t>
      </w:r>
      <w:r w:rsidR="006769B4">
        <w:rPr>
          <w:rFonts w:hint="cs"/>
          <w:rtl/>
        </w:rPr>
        <w:t>בואו לביתי אביך ואמך'.</w:t>
      </w:r>
    </w:p>
    <w:p w14:paraId="5A44A441" w14:textId="19846173" w:rsidR="00304916" w:rsidRPr="000B2043" w:rsidRDefault="00304916" w:rsidP="00304916">
      <w:pPr>
        <w:rPr>
          <w:rFonts w:cs="Arial"/>
          <w:u w:val="single"/>
        </w:rPr>
      </w:pPr>
      <w:r w:rsidRPr="000B2043">
        <w:rPr>
          <w:rFonts w:cs="Arial"/>
          <w:u w:val="single"/>
          <w:rtl/>
        </w:rPr>
        <w:t xml:space="preserve">האומר לאשתו </w:t>
      </w:r>
      <w:r w:rsidR="00086EB7">
        <w:rPr>
          <w:rFonts w:cs="Arial" w:hint="cs"/>
          <w:u w:val="single"/>
          <w:rtl/>
        </w:rPr>
        <w:t>"</w:t>
      </w:r>
      <w:r w:rsidRPr="000B2043">
        <w:rPr>
          <w:rFonts w:cs="Arial"/>
          <w:u w:val="single"/>
          <w:rtl/>
        </w:rPr>
        <w:t>אין רצוני שיבואו לביתי אביך ואמך אחיך ואחיותיך</w:t>
      </w:r>
      <w:r w:rsidR="00086EB7">
        <w:rPr>
          <w:rFonts w:cs="Arial" w:hint="cs"/>
          <w:u w:val="single"/>
          <w:rtl/>
        </w:rPr>
        <w:t>"</w:t>
      </w:r>
      <w:r w:rsidRPr="000B2043">
        <w:rPr>
          <w:rFonts w:cs="Arial" w:hint="cs"/>
          <w:u w:val="single"/>
          <w:rtl/>
        </w:rPr>
        <w:t>:</w:t>
      </w:r>
    </w:p>
    <w:p w14:paraId="165E465B" w14:textId="3DD451AA" w:rsidR="00304916" w:rsidRDefault="00304916" w:rsidP="00304916">
      <w:pPr>
        <w:pStyle w:val="ab"/>
        <w:numPr>
          <w:ilvl w:val="0"/>
          <w:numId w:val="7"/>
        </w:numPr>
        <w:rPr>
          <w:rFonts w:cs="Arial"/>
        </w:rPr>
      </w:pPr>
      <w:r>
        <w:rPr>
          <w:rFonts w:cs="Arial" w:hint="cs"/>
          <w:rtl/>
        </w:rPr>
        <w:t xml:space="preserve">רמב"ם </w:t>
      </w:r>
      <w:r>
        <w:rPr>
          <w:rFonts w:cs="Arial" w:hint="cs"/>
          <w:sz w:val="16"/>
          <w:szCs w:val="16"/>
          <w:rtl/>
        </w:rPr>
        <w:t>(פי"ג הי"ד)</w:t>
      </w:r>
      <w:r>
        <w:rPr>
          <w:rFonts w:cs="Arial" w:hint="cs"/>
          <w:rtl/>
        </w:rPr>
        <w:t xml:space="preserve"> וטור-</w:t>
      </w:r>
      <w:r w:rsidRPr="00AD1B78">
        <w:rPr>
          <w:rtl/>
        </w:rPr>
        <w:t xml:space="preserve"> </w:t>
      </w:r>
      <w:r w:rsidRPr="00AD1B78">
        <w:rPr>
          <w:rFonts w:cs="Arial"/>
          <w:rtl/>
        </w:rPr>
        <w:t xml:space="preserve">האומר לאשתו אין רצוני שיבואו לביתי אביך ואמך אחיך ואחיותיך </w:t>
      </w:r>
      <w:r>
        <w:rPr>
          <w:rFonts w:cs="Arial" w:hint="cs"/>
          <w:rtl/>
        </w:rPr>
        <w:t xml:space="preserve">- </w:t>
      </w:r>
      <w:r w:rsidRPr="00AD1B78">
        <w:rPr>
          <w:rFonts w:cs="Arial"/>
          <w:rtl/>
        </w:rPr>
        <w:t>שומעין לו</w:t>
      </w:r>
      <w:r>
        <w:rPr>
          <w:rFonts w:cs="Arial" w:hint="cs"/>
          <w:rtl/>
        </w:rPr>
        <w:t>,</w:t>
      </w:r>
      <w:r w:rsidRPr="00AD1B78">
        <w:rPr>
          <w:rFonts w:cs="Arial"/>
          <w:rtl/>
        </w:rPr>
        <w:t xml:space="preserve"> ותהיה היא הולכת להם כשיארע להם דבר</w:t>
      </w:r>
      <w:r>
        <w:rPr>
          <w:rFonts w:cs="Arial" w:hint="cs"/>
          <w:rtl/>
        </w:rPr>
        <w:t>.</w:t>
      </w:r>
      <w:r w:rsidRPr="00AD1B78">
        <w:rPr>
          <w:rFonts w:cs="Arial"/>
          <w:rtl/>
        </w:rPr>
        <w:t xml:space="preserve"> ותלך לבית אביה פעם בחודש ובכל רגל ורגל</w:t>
      </w:r>
      <w:r>
        <w:rPr>
          <w:rFonts w:cs="Arial" w:hint="cs"/>
          <w:rtl/>
        </w:rPr>
        <w:t>.</w:t>
      </w:r>
      <w:r w:rsidRPr="00AD1B78">
        <w:rPr>
          <w:rFonts w:cs="Arial"/>
          <w:rtl/>
        </w:rPr>
        <w:t xml:space="preserve"> ולא יכנסו הם לה אלא אם אירע לה דבר כגון חולי או לידה, שאין כופין את האדם שיכנסו אחרים ברשותו</w:t>
      </w:r>
      <w:r>
        <w:rPr>
          <w:rStyle w:val="a7"/>
          <w:rFonts w:cs="Arial"/>
          <w:rtl/>
        </w:rPr>
        <w:footnoteReference w:id="426"/>
      </w:r>
      <w:r>
        <w:rPr>
          <w:rFonts w:cs="Arial" w:hint="cs"/>
          <w:sz w:val="16"/>
          <w:szCs w:val="16"/>
          <w:rtl/>
        </w:rPr>
        <w:t xml:space="preserve"> (ל' הרמב"ם)</w:t>
      </w:r>
      <w:r w:rsidRPr="00AD1B78">
        <w:rPr>
          <w:rFonts w:cs="Arial"/>
          <w:rtl/>
        </w:rPr>
        <w:t>.</w:t>
      </w:r>
      <w:r w:rsidRPr="00304916">
        <w:rPr>
          <w:rFonts w:cs="Arial" w:hint="cs"/>
          <w:color w:val="E36C0A" w:themeColor="accent6" w:themeShade="BF"/>
          <w:rtl/>
        </w:rPr>
        <w:t xml:space="preserve"> </w:t>
      </w:r>
      <w:r w:rsidRPr="008015A2">
        <w:rPr>
          <w:rFonts w:cs="Arial" w:hint="cs"/>
          <w:color w:val="E36C0A" w:themeColor="accent6" w:themeShade="BF"/>
          <w:rtl/>
        </w:rPr>
        <w:t>(וכ"פ בשו"ע)</w:t>
      </w:r>
    </w:p>
    <w:p w14:paraId="39BDC463" w14:textId="77777777" w:rsidR="00304916" w:rsidRPr="000B2043" w:rsidRDefault="00304916" w:rsidP="00304916">
      <w:pPr>
        <w:ind w:left="360"/>
        <w:rPr>
          <w:rFonts w:cs="Arial"/>
          <w:u w:val="dotted"/>
        </w:rPr>
      </w:pPr>
      <w:r w:rsidRPr="000B2043">
        <w:rPr>
          <w:rFonts w:cs="Arial" w:hint="cs"/>
          <w:u w:val="dotted"/>
          <w:rtl/>
        </w:rPr>
        <w:t>ומה הדין אם האשה אמרה כן:</w:t>
      </w:r>
    </w:p>
    <w:p w14:paraId="4023CDB3" w14:textId="19344A27" w:rsidR="00304916" w:rsidRDefault="00304916" w:rsidP="00304916">
      <w:pPr>
        <w:pStyle w:val="ab"/>
        <w:numPr>
          <w:ilvl w:val="0"/>
          <w:numId w:val="7"/>
        </w:numPr>
        <w:rPr>
          <w:rFonts w:cs="Arial"/>
        </w:rPr>
      </w:pPr>
      <w:r>
        <w:rPr>
          <w:rFonts w:cs="Arial" w:hint="cs"/>
          <w:rtl/>
        </w:rPr>
        <w:t xml:space="preserve">רמב"ם </w:t>
      </w:r>
      <w:r>
        <w:rPr>
          <w:rFonts w:cs="Arial" w:hint="cs"/>
          <w:sz w:val="16"/>
          <w:szCs w:val="16"/>
          <w:rtl/>
        </w:rPr>
        <w:t>(פי"ג הי"ד)</w:t>
      </w:r>
      <w:r>
        <w:rPr>
          <w:rFonts w:cs="Arial" w:hint="cs"/>
          <w:rtl/>
        </w:rPr>
        <w:t xml:space="preserve"> וטור-</w:t>
      </w:r>
      <w:r w:rsidRPr="00AD1B78">
        <w:rPr>
          <w:rtl/>
        </w:rPr>
        <w:t xml:space="preserve"> </w:t>
      </w:r>
      <w:r w:rsidRPr="00AD1B78">
        <w:rPr>
          <w:rFonts w:cs="Arial"/>
          <w:rtl/>
        </w:rPr>
        <w:t>וכן היא שאמרה אין רצוני שיכנסו אצלי אמך ואחיותיך</w:t>
      </w:r>
      <w:r>
        <w:rPr>
          <w:rFonts w:cs="Arial" w:hint="cs"/>
          <w:rtl/>
        </w:rPr>
        <w:t>,</w:t>
      </w:r>
      <w:r w:rsidRPr="00AD1B78">
        <w:rPr>
          <w:rFonts w:cs="Arial"/>
          <w:rtl/>
        </w:rPr>
        <w:t xml:space="preserve"> ואיני שוכנת עמהם בחצר אחת מפני שמריעין לי ומצירין לי </w:t>
      </w:r>
      <w:r>
        <w:rPr>
          <w:rFonts w:cs="Arial" w:hint="cs"/>
          <w:rtl/>
        </w:rPr>
        <w:t xml:space="preserve">- </w:t>
      </w:r>
      <w:r w:rsidRPr="00AD1B78">
        <w:rPr>
          <w:rFonts w:cs="Arial"/>
          <w:rtl/>
        </w:rPr>
        <w:t>שומעין לה, שאין כופין את האדם שישבו אחרים עמו ברשותו</w:t>
      </w:r>
      <w:r>
        <w:rPr>
          <w:rFonts w:cs="Arial" w:hint="cs"/>
          <w:sz w:val="16"/>
          <w:szCs w:val="16"/>
          <w:rtl/>
        </w:rPr>
        <w:t xml:space="preserve"> (ל' הרמב"ם)</w:t>
      </w:r>
      <w:r>
        <w:rPr>
          <w:rStyle w:val="a7"/>
          <w:rFonts w:cs="Arial"/>
          <w:rtl/>
        </w:rPr>
        <w:footnoteReference w:id="427"/>
      </w:r>
      <w:r w:rsidRPr="00AD1B78">
        <w:rPr>
          <w:rFonts w:cs="Arial"/>
          <w:rtl/>
        </w:rPr>
        <w:t xml:space="preserve">. </w:t>
      </w:r>
      <w:r w:rsidR="001B3101" w:rsidRPr="008015A2">
        <w:rPr>
          <w:rFonts w:cs="Arial" w:hint="cs"/>
          <w:color w:val="E36C0A" w:themeColor="accent6" w:themeShade="BF"/>
          <w:rtl/>
        </w:rPr>
        <w:t>(וכ"פ בשו"ע</w:t>
      </w:r>
      <w:r w:rsidR="001B3101">
        <w:rPr>
          <w:rFonts w:cs="Arial" w:hint="cs"/>
          <w:color w:val="E36C0A" w:themeColor="accent6" w:themeShade="BF"/>
          <w:sz w:val="16"/>
          <w:szCs w:val="16"/>
          <w:rtl/>
        </w:rPr>
        <w:t xml:space="preserve"> </w:t>
      </w:r>
      <w:r w:rsidR="001B3101" w:rsidRPr="008A18FF">
        <w:rPr>
          <w:rFonts w:cs="Arial" w:hint="cs"/>
          <w:color w:val="000000" w:themeColor="text1"/>
          <w:sz w:val="16"/>
          <w:szCs w:val="16"/>
          <w:rtl/>
        </w:rPr>
        <w:t>[</w:t>
      </w:r>
      <w:r w:rsidR="001B3101">
        <w:rPr>
          <w:rFonts w:cs="Arial" w:hint="cs"/>
          <w:color w:val="000000" w:themeColor="text1"/>
          <w:sz w:val="16"/>
          <w:szCs w:val="16"/>
          <w:rtl/>
        </w:rPr>
        <w:t>בסע' י]</w:t>
      </w:r>
      <w:r w:rsidR="001B3101" w:rsidRPr="008015A2">
        <w:rPr>
          <w:rFonts w:cs="Arial" w:hint="cs"/>
          <w:color w:val="E36C0A" w:themeColor="accent6" w:themeShade="BF"/>
          <w:rtl/>
        </w:rPr>
        <w:t>)</w:t>
      </w:r>
    </w:p>
    <w:p w14:paraId="38972DA9" w14:textId="16FEB232" w:rsidR="00304916" w:rsidRDefault="00304916" w:rsidP="00304916">
      <w:pPr>
        <w:pStyle w:val="ab"/>
        <w:numPr>
          <w:ilvl w:val="0"/>
          <w:numId w:val="7"/>
        </w:numPr>
        <w:rPr>
          <w:rFonts w:cs="Arial"/>
        </w:rPr>
      </w:pPr>
      <w:r w:rsidRPr="00AD1B78">
        <w:rPr>
          <w:rFonts w:cs="Arial"/>
          <w:rtl/>
        </w:rPr>
        <w:t>ראב"ד</w:t>
      </w:r>
      <w:r>
        <w:rPr>
          <w:rFonts w:cs="Arial" w:hint="cs"/>
          <w:sz w:val="16"/>
          <w:szCs w:val="16"/>
          <w:rtl/>
        </w:rPr>
        <w:t xml:space="preserve"> (שם בהשגות)</w:t>
      </w:r>
      <w:r>
        <w:rPr>
          <w:rFonts w:cs="Arial" w:hint="cs"/>
          <w:rtl/>
        </w:rPr>
        <w:t>-</w:t>
      </w:r>
      <w:r w:rsidRPr="00AD1B78">
        <w:rPr>
          <w:rFonts w:cs="Arial"/>
          <w:rtl/>
        </w:rPr>
        <w:t xml:space="preserve"> אימתי בזמן שהן באות בגבולה</w:t>
      </w:r>
      <w:r w:rsidR="001B3101">
        <w:rPr>
          <w:rFonts w:cs="Arial" w:hint="cs"/>
          <w:rtl/>
        </w:rPr>
        <w:t>,</w:t>
      </w:r>
      <w:r w:rsidRPr="00AD1B78">
        <w:rPr>
          <w:rFonts w:cs="Arial"/>
          <w:rtl/>
        </w:rPr>
        <w:t xml:space="preserve"> אבל אם באה היא בגבולן אין מוציאין אותם בשבילה ממקומן אע</w:t>
      </w:r>
      <w:r w:rsidR="00CA05A8">
        <w:rPr>
          <w:rFonts w:cs="Arial" w:hint="cs"/>
          <w:rtl/>
        </w:rPr>
        <w:t>"</w:t>
      </w:r>
      <w:r w:rsidRPr="00AD1B78">
        <w:rPr>
          <w:rFonts w:cs="Arial"/>
          <w:rtl/>
        </w:rPr>
        <w:t>פ שהמדור שלו ואין להן בו זכות הואיל והוא רוצה בעמידתם</w:t>
      </w:r>
      <w:r>
        <w:rPr>
          <w:rFonts w:cs="Arial" w:hint="cs"/>
          <w:rtl/>
        </w:rPr>
        <w:t>.</w:t>
      </w:r>
      <w:r w:rsidRPr="00AD1B78">
        <w:rPr>
          <w:rFonts w:cs="Arial"/>
          <w:rtl/>
        </w:rPr>
        <w:t xml:space="preserve"> אבל מבקשים ממנו לצדד להן ענין שלא יצערו אותה בדירתן</w:t>
      </w:r>
      <w:r>
        <w:rPr>
          <w:rStyle w:val="a7"/>
          <w:rFonts w:cs="Arial"/>
          <w:rtl/>
        </w:rPr>
        <w:footnoteReference w:id="428"/>
      </w:r>
      <w:r w:rsidRPr="00AD1B78">
        <w:rPr>
          <w:rFonts w:cs="Arial"/>
          <w:rtl/>
        </w:rPr>
        <w:t>.</w:t>
      </w:r>
      <w:r w:rsidR="001B3101" w:rsidRPr="001B3101">
        <w:rPr>
          <w:rFonts w:cs="Arial" w:hint="cs"/>
          <w:color w:val="00B0F0"/>
          <w:rtl/>
        </w:rPr>
        <w:t xml:space="preserve"> </w:t>
      </w:r>
    </w:p>
    <w:p w14:paraId="02B1DAB2" w14:textId="741E5084" w:rsidR="00830C5A" w:rsidRPr="00304916" w:rsidRDefault="00304916" w:rsidP="00304916">
      <w:pPr>
        <w:pStyle w:val="ab"/>
        <w:numPr>
          <w:ilvl w:val="0"/>
          <w:numId w:val="7"/>
        </w:numPr>
        <w:rPr>
          <w:rFonts w:cs="Arial"/>
          <w:rtl/>
        </w:rPr>
      </w:pPr>
      <w:r>
        <w:rPr>
          <w:rFonts w:cs="Arial" w:hint="cs"/>
          <w:rtl/>
        </w:rPr>
        <w:t xml:space="preserve">רי"ף </w:t>
      </w:r>
      <w:r>
        <w:rPr>
          <w:rFonts w:cs="Arial" w:hint="cs"/>
          <w:sz w:val="16"/>
          <w:szCs w:val="16"/>
          <w:rtl/>
        </w:rPr>
        <w:t>(סי' רלה,</w:t>
      </w:r>
      <w:r w:rsidRPr="000B2043">
        <w:rPr>
          <w:rFonts w:cs="Arial" w:hint="cs"/>
          <w:rtl/>
        </w:rPr>
        <w:t xml:space="preserve"> </w:t>
      </w:r>
      <w:r w:rsidRPr="000B2043">
        <w:rPr>
          <w:rFonts w:cs="Arial" w:hint="cs"/>
          <w:sz w:val="16"/>
          <w:szCs w:val="16"/>
          <w:rtl/>
        </w:rPr>
        <w:t>הביאו רי"ו</w:t>
      </w:r>
      <w:r w:rsidRPr="000B2043">
        <w:rPr>
          <w:rFonts w:cs="Arial"/>
          <w:sz w:val="16"/>
          <w:szCs w:val="16"/>
          <w:rtl/>
        </w:rPr>
        <w:t xml:space="preserve"> </w:t>
      </w:r>
      <w:r w:rsidRPr="000B2043">
        <w:rPr>
          <w:rFonts w:cs="Arial" w:hint="cs"/>
          <w:sz w:val="16"/>
          <w:szCs w:val="16"/>
          <w:rtl/>
        </w:rPr>
        <w:t>[</w:t>
      </w:r>
      <w:r w:rsidRPr="000B2043">
        <w:rPr>
          <w:rFonts w:cs="Arial"/>
          <w:sz w:val="16"/>
          <w:szCs w:val="16"/>
          <w:rtl/>
        </w:rPr>
        <w:t>מישרים נכ"ג ח"ה</w:t>
      </w:r>
      <w:r w:rsidRPr="000B2043">
        <w:rPr>
          <w:rFonts w:cs="Arial" w:hint="cs"/>
          <w:sz w:val="16"/>
          <w:szCs w:val="16"/>
          <w:rtl/>
        </w:rPr>
        <w:t>]</w:t>
      </w:r>
      <w:r>
        <w:rPr>
          <w:rFonts w:cs="Arial" w:hint="cs"/>
          <w:sz w:val="16"/>
          <w:szCs w:val="16"/>
          <w:rtl/>
        </w:rPr>
        <w:t>, והביאם הדרכ"מ [אות ג])</w:t>
      </w:r>
      <w:r>
        <w:rPr>
          <w:rFonts w:cs="Arial" w:hint="cs"/>
          <w:rtl/>
        </w:rPr>
        <w:t xml:space="preserve">- </w:t>
      </w:r>
      <w:r w:rsidRPr="000B2043">
        <w:rPr>
          <w:rFonts w:cs="Arial"/>
          <w:rtl/>
        </w:rPr>
        <w:t>שאלה</w:t>
      </w:r>
      <w:r w:rsidR="00CA05A8">
        <w:rPr>
          <w:rFonts w:cs="Arial" w:hint="cs"/>
          <w:rtl/>
        </w:rPr>
        <w:t>:</w:t>
      </w:r>
      <w:r w:rsidRPr="000B2043">
        <w:rPr>
          <w:rFonts w:cs="Arial"/>
          <w:rtl/>
        </w:rPr>
        <w:t xml:space="preserve"> אם נתקטטה האשה עם חמותה ולא רצתה לדור עמה</w:t>
      </w:r>
      <w:r>
        <w:rPr>
          <w:rFonts w:cs="Arial" w:hint="cs"/>
          <w:rtl/>
        </w:rPr>
        <w:t>..</w:t>
      </w:r>
      <w:r w:rsidRPr="000B2043">
        <w:rPr>
          <w:rFonts w:cs="Arial"/>
          <w:rtl/>
        </w:rPr>
        <w:t xml:space="preserve">. </w:t>
      </w:r>
      <w:r w:rsidR="00CA05A8">
        <w:rPr>
          <w:rFonts w:cs="Arial" w:hint="cs"/>
          <w:rtl/>
        </w:rPr>
        <w:t xml:space="preserve">   </w:t>
      </w:r>
      <w:r w:rsidRPr="000B2043">
        <w:rPr>
          <w:rFonts w:cs="Arial"/>
          <w:rtl/>
        </w:rPr>
        <w:t>תשובה</w:t>
      </w:r>
      <w:r w:rsidR="00CA05A8">
        <w:rPr>
          <w:rFonts w:cs="Arial" w:hint="cs"/>
          <w:rtl/>
        </w:rPr>
        <w:t>:</w:t>
      </w:r>
      <w:r w:rsidRPr="000B2043">
        <w:rPr>
          <w:rFonts w:cs="Arial"/>
          <w:rtl/>
        </w:rPr>
        <w:t xml:space="preserve"> המנהג בכל בתי דינין שמי שמפסיד בכך שומעין לו</w:t>
      </w:r>
      <w:r w:rsidR="00DD31B3">
        <w:rPr>
          <w:rFonts w:cs="Arial" w:hint="cs"/>
          <w:rtl/>
        </w:rPr>
        <w:t>,</w:t>
      </w:r>
      <w:r w:rsidRPr="000B2043">
        <w:rPr>
          <w:rFonts w:cs="Arial"/>
          <w:rtl/>
        </w:rPr>
        <w:t xml:space="preserve"> ונותנין לה</w:t>
      </w:r>
      <w:r>
        <w:rPr>
          <w:rFonts w:cs="Arial" w:hint="cs"/>
          <w:rtl/>
        </w:rPr>
        <w:t xml:space="preserve">ן </w:t>
      </w:r>
      <w:r w:rsidRPr="000B2043">
        <w:rPr>
          <w:rFonts w:cs="Arial"/>
          <w:rtl/>
        </w:rPr>
        <w:t>אשה נאמנת שתעמוד עמהם עד שיתברר להם ממי נתגלגלה המריבה</w:t>
      </w:r>
      <w:r w:rsidR="00DD31B3">
        <w:rPr>
          <w:rFonts w:cs="Arial" w:hint="cs"/>
          <w:rtl/>
        </w:rPr>
        <w:t>,</w:t>
      </w:r>
      <w:r w:rsidRPr="000B2043">
        <w:rPr>
          <w:rFonts w:cs="Arial"/>
          <w:rtl/>
        </w:rPr>
        <w:t xml:space="preserve"> ודוחין אותה מעל חבירתה</w:t>
      </w:r>
      <w:r w:rsidRPr="000B2043">
        <w:rPr>
          <w:rFonts w:cs="Arial" w:hint="cs"/>
          <w:rtl/>
        </w:rPr>
        <w:t>.</w:t>
      </w:r>
      <w:r w:rsidR="001B3101" w:rsidRPr="001B3101">
        <w:rPr>
          <w:rFonts w:cs="Arial" w:hint="cs"/>
          <w:color w:val="E36C0A" w:themeColor="accent6" w:themeShade="BF"/>
          <w:rtl/>
        </w:rPr>
        <w:t xml:space="preserve"> </w:t>
      </w:r>
      <w:r w:rsidR="001B3101" w:rsidRPr="008015A2">
        <w:rPr>
          <w:rFonts w:cs="Arial" w:hint="cs"/>
          <w:color w:val="E36C0A" w:themeColor="accent6" w:themeShade="BF"/>
          <w:rtl/>
        </w:rPr>
        <w:t>(וכ"פ בשו"ע</w:t>
      </w:r>
      <w:r w:rsidR="001B3101">
        <w:rPr>
          <w:rFonts w:cs="Arial" w:hint="cs"/>
          <w:color w:val="E36C0A" w:themeColor="accent6" w:themeShade="BF"/>
          <w:sz w:val="16"/>
          <w:szCs w:val="16"/>
          <w:rtl/>
        </w:rPr>
        <w:t xml:space="preserve"> </w:t>
      </w:r>
      <w:r w:rsidR="001B3101" w:rsidRPr="008A18FF">
        <w:rPr>
          <w:rFonts w:cs="Arial" w:hint="cs"/>
          <w:color w:val="000000" w:themeColor="text1"/>
          <w:sz w:val="16"/>
          <w:szCs w:val="16"/>
          <w:rtl/>
        </w:rPr>
        <w:t>[</w:t>
      </w:r>
      <w:r w:rsidR="001B3101">
        <w:rPr>
          <w:rFonts w:cs="Arial" w:hint="cs"/>
          <w:color w:val="000000" w:themeColor="text1"/>
          <w:sz w:val="16"/>
          <w:szCs w:val="16"/>
          <w:rtl/>
        </w:rPr>
        <w:t>בסע' י]</w:t>
      </w:r>
      <w:r w:rsidR="001B3101" w:rsidRPr="008015A2">
        <w:rPr>
          <w:rFonts w:cs="Arial" w:hint="cs"/>
          <w:color w:val="E36C0A" w:themeColor="accent6" w:themeShade="BF"/>
          <w:rtl/>
        </w:rPr>
        <w:t>)</w:t>
      </w:r>
    </w:p>
    <w:p w14:paraId="5B1984FE" w14:textId="77777777" w:rsidR="00830C5A" w:rsidRDefault="00830C5A" w:rsidP="00830C5A">
      <w:pPr>
        <w:rPr>
          <w:rFonts w:cs="Arial"/>
          <w:rtl/>
        </w:rPr>
      </w:pPr>
      <w:r w:rsidRPr="003024E5">
        <w:rPr>
          <w:rFonts w:asciiTheme="minorBidi" w:hAnsiTheme="minorBidi"/>
          <w:b/>
          <w:bCs/>
          <w:color w:val="000000"/>
          <w:sz w:val="28"/>
          <w:szCs w:val="28"/>
          <w:u w:val="single"/>
          <w:rtl/>
        </w:rPr>
        <w:lastRenderedPageBreak/>
        <w:t>שו"ע:</w:t>
      </w:r>
    </w:p>
    <w:p w14:paraId="2D4A1C74" w14:textId="17F25E1B" w:rsidR="00471D63" w:rsidRDefault="00471D63" w:rsidP="00471D63">
      <w:pPr>
        <w:rPr>
          <w:rFonts w:cs="Arial"/>
          <w:rtl/>
        </w:rPr>
      </w:pPr>
      <w:r>
        <w:rPr>
          <w:rFonts w:cs="Arial"/>
          <w:rtl/>
        </w:rPr>
        <w:t>האומר לאשתו: אין רצוני שיבואו לביתי אביך ואמך, אחיך ואחיותך, שומעין לו, ותהיה היא הולכת להם כשאירע להם דבר</w:t>
      </w:r>
      <w:r w:rsidR="00C424A2">
        <w:rPr>
          <w:rFonts w:cs="Arial" w:hint="cs"/>
          <w:rtl/>
        </w:rPr>
        <w:t>.</w:t>
      </w:r>
      <w:r>
        <w:rPr>
          <w:rFonts w:cs="Arial"/>
          <w:rtl/>
        </w:rPr>
        <w:t xml:space="preserve"> ותלך לבית אביה פעם אחת בחדש, ובכל רגל</w:t>
      </w:r>
      <w:r w:rsidR="00830C5A">
        <w:rPr>
          <w:rFonts w:cs="Arial" w:hint="cs"/>
          <w:rtl/>
        </w:rPr>
        <w:t>.</w:t>
      </w:r>
      <w:r>
        <w:rPr>
          <w:rFonts w:cs="Arial"/>
          <w:rtl/>
        </w:rPr>
        <w:t xml:space="preserve"> ולא יכנסו הם לה, אלא אם אירע לה דבר, כגון חולי או לידה. </w:t>
      </w:r>
    </w:p>
    <w:p w14:paraId="3B3471CA" w14:textId="77777777" w:rsidR="00830C5A" w:rsidRDefault="00830C5A" w:rsidP="00471D63">
      <w:pPr>
        <w:rPr>
          <w:rtl/>
        </w:rPr>
      </w:pPr>
    </w:p>
    <w:p w14:paraId="0F325686" w14:textId="75ACC8D6" w:rsidR="00471D63" w:rsidRDefault="00471D63" w:rsidP="000F64D0">
      <w:pPr>
        <w:pStyle w:val="2"/>
        <w:rPr>
          <w:rtl/>
        </w:rPr>
      </w:pPr>
      <w:r>
        <w:rPr>
          <w:rtl/>
        </w:rPr>
        <w:t>סעיף י</w:t>
      </w:r>
      <w:r w:rsidR="00830C5A">
        <w:rPr>
          <w:rFonts w:hint="cs"/>
          <w:rtl/>
        </w:rPr>
        <w:t>:</w:t>
      </w:r>
      <w:r w:rsidR="006769B4" w:rsidRPr="006769B4">
        <w:rPr>
          <w:rFonts w:hint="cs"/>
          <w:rtl/>
        </w:rPr>
        <w:t xml:space="preserve"> </w:t>
      </w:r>
      <w:r w:rsidR="006769B4">
        <w:rPr>
          <w:rFonts w:hint="cs"/>
          <w:rtl/>
        </w:rPr>
        <w:t>האומרת לבעלה 'אין רצוני שיבואו לבית אביך ואמך' וכדומה.</w:t>
      </w:r>
    </w:p>
    <w:p w14:paraId="4051F1E8" w14:textId="7C164457" w:rsidR="00830C5A" w:rsidRPr="00830C5A" w:rsidRDefault="00304916" w:rsidP="00304916">
      <w:pPr>
        <w:rPr>
          <w:rtl/>
        </w:rPr>
      </w:pPr>
      <w:r>
        <w:rPr>
          <w:rFonts w:hint="cs"/>
          <w:rtl/>
        </w:rPr>
        <w:t>עיין במקורות בסעיף הקודם.</w:t>
      </w:r>
    </w:p>
    <w:p w14:paraId="7D0FD7F7" w14:textId="77777777" w:rsidR="00830C5A" w:rsidRDefault="00830C5A" w:rsidP="00830C5A">
      <w:pPr>
        <w:rPr>
          <w:rFonts w:cs="Arial"/>
          <w:rtl/>
        </w:rPr>
      </w:pPr>
      <w:r w:rsidRPr="003024E5">
        <w:rPr>
          <w:rFonts w:asciiTheme="minorBidi" w:hAnsiTheme="minorBidi"/>
          <w:b/>
          <w:bCs/>
          <w:color w:val="000000"/>
          <w:sz w:val="28"/>
          <w:szCs w:val="28"/>
          <w:u w:val="single"/>
          <w:rtl/>
        </w:rPr>
        <w:t>שו"ע:</w:t>
      </w:r>
    </w:p>
    <w:p w14:paraId="192E17FE" w14:textId="21FDCCB8" w:rsidR="00471D63" w:rsidRDefault="00471D63" w:rsidP="00471D63">
      <w:pPr>
        <w:rPr>
          <w:rtl/>
        </w:rPr>
      </w:pPr>
      <w:r>
        <w:rPr>
          <w:rFonts w:cs="Arial"/>
          <w:rtl/>
        </w:rPr>
        <w:t>וכן היא שאמרה: אין רצוני שיבואו לבית אביך ואמך, אחיך ואחיותך, ואיני שוכנת עמהם בחצר אחד, מפני שמריעין לי ומצירין לי, שומעין לה</w:t>
      </w:r>
      <w:r w:rsidR="00830C5A">
        <w:rPr>
          <w:rFonts w:cs="Arial" w:hint="cs"/>
          <w:rtl/>
        </w:rPr>
        <w:t>.</w:t>
      </w:r>
      <w:r w:rsidRPr="00830C5A">
        <w:rPr>
          <w:rFonts w:cs="Arial"/>
          <w:sz w:val="18"/>
          <w:szCs w:val="18"/>
          <w:rtl/>
        </w:rPr>
        <w:t xml:space="preserve"> הגה: ודוקא שנראה בבית דין שיש ממש בדבריה, שהם מרעין לה וגורמין קטטה בינה לבעלה</w:t>
      </w:r>
      <w:r w:rsidR="001B3101">
        <w:rPr>
          <w:rFonts w:cs="Arial" w:hint="cs"/>
          <w:sz w:val="18"/>
          <w:szCs w:val="18"/>
          <w:rtl/>
        </w:rPr>
        <w:t>.</w:t>
      </w:r>
      <w:r w:rsidRPr="00830C5A">
        <w:rPr>
          <w:rFonts w:cs="Arial"/>
          <w:sz w:val="18"/>
          <w:szCs w:val="18"/>
          <w:rtl/>
        </w:rPr>
        <w:t xml:space="preserve"> אבל בלאו הכי אין שומעין לה, דהא המדור אינה שלה רק של בעלה (ה</w:t>
      </w:r>
      <w:r w:rsidR="00DD31B3">
        <w:rPr>
          <w:rFonts w:cs="Arial" w:hint="cs"/>
          <w:sz w:val="18"/>
          <w:szCs w:val="18"/>
          <w:rtl/>
        </w:rPr>
        <w:t>ה</w:t>
      </w:r>
      <w:r w:rsidRPr="00830C5A">
        <w:rPr>
          <w:rFonts w:cs="Arial"/>
          <w:sz w:val="18"/>
          <w:szCs w:val="18"/>
          <w:rtl/>
        </w:rPr>
        <w:t xml:space="preserve">"מ). </w:t>
      </w:r>
      <w:r>
        <w:rPr>
          <w:rFonts w:cs="Arial"/>
          <w:rtl/>
        </w:rPr>
        <w:t xml:space="preserve">ונוהגין להושיב עמהם איש או אשה נאמנים, ותדור עמהן עד שיתברר על ידי מי נתגלגל הריב והקטטה. </w:t>
      </w:r>
    </w:p>
    <w:p w14:paraId="5D681B29" w14:textId="77777777" w:rsidR="00830C5A" w:rsidRDefault="00830C5A" w:rsidP="00471D63">
      <w:pPr>
        <w:rPr>
          <w:rtl/>
        </w:rPr>
      </w:pPr>
    </w:p>
    <w:p w14:paraId="185B1F6D" w14:textId="34D98883" w:rsidR="00471D63" w:rsidRDefault="00471D63" w:rsidP="000F64D0">
      <w:pPr>
        <w:pStyle w:val="2"/>
        <w:rPr>
          <w:rtl/>
        </w:rPr>
      </w:pPr>
      <w:r>
        <w:rPr>
          <w:rtl/>
        </w:rPr>
        <w:t>סעיף יא</w:t>
      </w:r>
      <w:r w:rsidR="00830C5A">
        <w:rPr>
          <w:rFonts w:hint="cs"/>
          <w:rtl/>
        </w:rPr>
        <w:t>:</w:t>
      </w:r>
      <w:r w:rsidR="00304916" w:rsidRPr="00304916">
        <w:rPr>
          <w:rtl/>
        </w:rPr>
        <w:t xml:space="preserve"> איש שאמ</w:t>
      </w:r>
      <w:r w:rsidR="00304916" w:rsidRPr="00304916">
        <w:rPr>
          <w:rFonts w:hint="cs"/>
          <w:rtl/>
        </w:rPr>
        <w:t>ר</w:t>
      </w:r>
      <w:r w:rsidR="00304916" w:rsidRPr="00304916">
        <w:rPr>
          <w:rtl/>
        </w:rPr>
        <w:t xml:space="preserve"> </w:t>
      </w:r>
      <w:r w:rsidR="00304916" w:rsidRPr="00304916">
        <w:rPr>
          <w:rFonts w:hint="cs"/>
          <w:rtl/>
        </w:rPr>
        <w:t>'</w:t>
      </w:r>
      <w:r w:rsidR="00304916" w:rsidRPr="00304916">
        <w:rPr>
          <w:rtl/>
        </w:rPr>
        <w:t xml:space="preserve">איני דר במדור זה מפני שבני אדם רעים </w:t>
      </w:r>
      <w:r w:rsidR="00304916">
        <w:rPr>
          <w:rFonts w:hint="cs"/>
          <w:rtl/>
        </w:rPr>
        <w:t>וכדו'</w:t>
      </w:r>
      <w:r w:rsidR="00304916" w:rsidRPr="00304916">
        <w:rPr>
          <w:rtl/>
        </w:rPr>
        <w:t xml:space="preserve"> בשכונתי</w:t>
      </w:r>
      <w:r w:rsidR="00304916">
        <w:rPr>
          <w:rFonts w:hint="cs"/>
          <w:rtl/>
        </w:rPr>
        <w:t>'.</w:t>
      </w:r>
    </w:p>
    <w:p w14:paraId="053FEBF2" w14:textId="77777777" w:rsidR="00304916" w:rsidRPr="00304916" w:rsidRDefault="00304916" w:rsidP="00304916">
      <w:pPr>
        <w:rPr>
          <w:rFonts w:cs="Arial"/>
          <w:u w:val="single"/>
        </w:rPr>
      </w:pPr>
      <w:r w:rsidRPr="00304916">
        <w:rPr>
          <w:rFonts w:cs="Arial"/>
          <w:u w:val="single"/>
          <w:rtl/>
        </w:rPr>
        <w:t>איש</w:t>
      </w:r>
      <w:r w:rsidRPr="00304916">
        <w:rPr>
          <w:rFonts w:cs="Arial" w:hint="cs"/>
          <w:u w:val="single"/>
          <w:rtl/>
        </w:rPr>
        <w:t>/אשה</w:t>
      </w:r>
      <w:r w:rsidRPr="00304916">
        <w:rPr>
          <w:rFonts w:cs="Arial"/>
          <w:u w:val="single"/>
          <w:rtl/>
        </w:rPr>
        <w:t xml:space="preserve"> שאמ</w:t>
      </w:r>
      <w:r w:rsidRPr="00304916">
        <w:rPr>
          <w:rFonts w:cs="Arial" w:hint="cs"/>
          <w:u w:val="single"/>
          <w:rtl/>
        </w:rPr>
        <w:t>רו</w:t>
      </w:r>
      <w:r w:rsidRPr="00304916">
        <w:rPr>
          <w:rFonts w:cs="Arial"/>
          <w:u w:val="single"/>
          <w:rtl/>
        </w:rPr>
        <w:t xml:space="preserve"> </w:t>
      </w:r>
      <w:r w:rsidRPr="00304916">
        <w:rPr>
          <w:rFonts w:cs="Arial" w:hint="cs"/>
          <w:u w:val="single"/>
          <w:rtl/>
        </w:rPr>
        <w:t>'</w:t>
      </w:r>
      <w:r w:rsidRPr="00304916">
        <w:rPr>
          <w:rFonts w:cs="Arial"/>
          <w:u w:val="single"/>
          <w:rtl/>
        </w:rPr>
        <w:t>איני דר במדור זה מפני שבני אדם רעים או פרוצים או גוים בשכונתי</w:t>
      </w:r>
      <w:r w:rsidRPr="00304916">
        <w:rPr>
          <w:rFonts w:cs="Arial" w:hint="cs"/>
          <w:u w:val="single"/>
          <w:rtl/>
        </w:rPr>
        <w:t>':</w:t>
      </w:r>
    </w:p>
    <w:p w14:paraId="19192177" w14:textId="249289F3" w:rsidR="00830C5A" w:rsidRPr="00304916" w:rsidRDefault="00304916" w:rsidP="00304916">
      <w:pPr>
        <w:pStyle w:val="ab"/>
        <w:numPr>
          <w:ilvl w:val="0"/>
          <w:numId w:val="7"/>
        </w:numPr>
        <w:rPr>
          <w:rFonts w:cs="Arial"/>
          <w:rtl/>
        </w:rPr>
      </w:pPr>
      <w:r>
        <w:rPr>
          <w:rFonts w:cs="Arial" w:hint="cs"/>
          <w:rtl/>
        </w:rPr>
        <w:t xml:space="preserve">רמב"ם </w:t>
      </w:r>
      <w:r>
        <w:rPr>
          <w:rFonts w:cs="Arial" w:hint="cs"/>
          <w:sz w:val="16"/>
          <w:szCs w:val="16"/>
          <w:rtl/>
        </w:rPr>
        <w:t>(פי"ג הט"ו)</w:t>
      </w:r>
      <w:r>
        <w:rPr>
          <w:rFonts w:cs="Arial" w:hint="cs"/>
          <w:rtl/>
        </w:rPr>
        <w:t xml:space="preserve"> וטור-</w:t>
      </w:r>
      <w:r w:rsidRPr="00AD1B78">
        <w:rPr>
          <w:rtl/>
        </w:rPr>
        <w:t xml:space="preserve"> </w:t>
      </w:r>
      <w:r w:rsidRPr="00AD1B78">
        <w:rPr>
          <w:rFonts w:cs="Arial"/>
          <w:rtl/>
        </w:rPr>
        <w:t xml:space="preserve">האיש שאמר איני דר במדור זה מפני שבני אדם רעים או פרוצים או גוים בשכונתי ואני מתירא מהם </w:t>
      </w:r>
      <w:r>
        <w:rPr>
          <w:rFonts w:cs="Arial" w:hint="cs"/>
          <w:rtl/>
        </w:rPr>
        <w:t xml:space="preserve">- </w:t>
      </w:r>
      <w:r w:rsidRPr="00AD1B78">
        <w:rPr>
          <w:rFonts w:cs="Arial"/>
          <w:rtl/>
        </w:rPr>
        <w:t>שומעים לו ואע</w:t>
      </w:r>
      <w:r w:rsidR="0014495A">
        <w:rPr>
          <w:rFonts w:cs="Arial" w:hint="cs"/>
          <w:rtl/>
        </w:rPr>
        <w:t>"</w:t>
      </w:r>
      <w:r w:rsidRPr="00AD1B78">
        <w:rPr>
          <w:rFonts w:cs="Arial"/>
          <w:rtl/>
        </w:rPr>
        <w:t>פ שלא הוחזקו בפריצות, שכך צוו חכמים הרחק משכן רע</w:t>
      </w:r>
      <w:r>
        <w:rPr>
          <w:rFonts w:cs="Arial" w:hint="cs"/>
          <w:rtl/>
        </w:rPr>
        <w:t>.</w:t>
      </w:r>
      <w:r w:rsidRPr="00AD1B78">
        <w:rPr>
          <w:rFonts w:cs="Arial"/>
          <w:rtl/>
        </w:rPr>
        <w:t xml:space="preserve"> ואפילו היה המדור שלה מוציאה ממנו</w:t>
      </w:r>
      <w:r>
        <w:rPr>
          <w:rFonts w:cs="Arial" w:hint="cs"/>
          <w:rtl/>
        </w:rPr>
        <w:t>,</w:t>
      </w:r>
      <w:r w:rsidRPr="00AD1B78">
        <w:rPr>
          <w:rFonts w:cs="Arial"/>
          <w:rtl/>
        </w:rPr>
        <w:t xml:space="preserve"> ושוכן בין בני אדם כשרים</w:t>
      </w:r>
      <w:r>
        <w:rPr>
          <w:rFonts w:cs="Arial" w:hint="cs"/>
          <w:rtl/>
        </w:rPr>
        <w:t>.</w:t>
      </w:r>
      <w:r w:rsidRPr="00AD1B78">
        <w:rPr>
          <w:rFonts w:cs="Arial"/>
          <w:rtl/>
        </w:rPr>
        <w:t xml:space="preserve"> וכן היא שאמרה כן</w:t>
      </w:r>
      <w:r>
        <w:rPr>
          <w:rFonts w:cs="Arial" w:hint="cs"/>
          <w:rtl/>
        </w:rPr>
        <w:t>,</w:t>
      </w:r>
      <w:r w:rsidRPr="00AD1B78">
        <w:rPr>
          <w:rFonts w:cs="Arial"/>
          <w:rtl/>
        </w:rPr>
        <w:t xml:space="preserve"> אע</w:t>
      </w:r>
      <w:r>
        <w:rPr>
          <w:rFonts w:cs="Arial" w:hint="cs"/>
          <w:rtl/>
        </w:rPr>
        <w:t>"</w:t>
      </w:r>
      <w:r w:rsidRPr="00AD1B78">
        <w:rPr>
          <w:rFonts w:cs="Arial"/>
          <w:rtl/>
        </w:rPr>
        <w:t xml:space="preserve">פ שהוא אומר אני איני מקפיד עליהם </w:t>
      </w:r>
      <w:r>
        <w:rPr>
          <w:rFonts w:cs="Arial" w:hint="cs"/>
          <w:rtl/>
        </w:rPr>
        <w:t xml:space="preserve">- </w:t>
      </w:r>
      <w:r w:rsidRPr="00AD1B78">
        <w:rPr>
          <w:rFonts w:cs="Arial"/>
          <w:rtl/>
        </w:rPr>
        <w:t>שומעין לה</w:t>
      </w:r>
      <w:r>
        <w:rPr>
          <w:rFonts w:cs="Arial" w:hint="cs"/>
          <w:rtl/>
        </w:rPr>
        <w:t>,</w:t>
      </w:r>
      <w:r w:rsidRPr="00AD1B78">
        <w:rPr>
          <w:rFonts w:cs="Arial"/>
          <w:rtl/>
        </w:rPr>
        <w:t xml:space="preserve"> מפני שהיא אומרת אין רצוני שיצא עלי שם רע בשכנות אלו.</w:t>
      </w:r>
      <w:r w:rsidRPr="00304916">
        <w:rPr>
          <w:rFonts w:cs="Arial" w:hint="cs"/>
          <w:color w:val="E36C0A" w:themeColor="accent6" w:themeShade="BF"/>
          <w:rtl/>
        </w:rPr>
        <w:t xml:space="preserve"> </w:t>
      </w:r>
      <w:r w:rsidRPr="008015A2">
        <w:rPr>
          <w:rFonts w:cs="Arial" w:hint="cs"/>
          <w:color w:val="E36C0A" w:themeColor="accent6" w:themeShade="BF"/>
          <w:rtl/>
        </w:rPr>
        <w:t>(וכ"פ בשו"ע</w:t>
      </w:r>
      <w:r>
        <w:rPr>
          <w:rFonts w:cs="Arial" w:hint="cs"/>
          <w:color w:val="E36C0A" w:themeColor="accent6" w:themeShade="BF"/>
          <w:sz w:val="16"/>
          <w:szCs w:val="16"/>
          <w:rtl/>
        </w:rPr>
        <w:t xml:space="preserve"> </w:t>
      </w:r>
      <w:r w:rsidRPr="008A18FF">
        <w:rPr>
          <w:rFonts w:cs="Arial" w:hint="cs"/>
          <w:color w:val="000000" w:themeColor="text1"/>
          <w:sz w:val="16"/>
          <w:szCs w:val="16"/>
          <w:rtl/>
        </w:rPr>
        <w:t>[</w:t>
      </w:r>
      <w:r>
        <w:rPr>
          <w:rFonts w:cs="Arial" w:hint="cs"/>
          <w:color w:val="000000" w:themeColor="text1"/>
          <w:sz w:val="16"/>
          <w:szCs w:val="16"/>
          <w:rtl/>
        </w:rPr>
        <w:t>כאן ו</w:t>
      </w:r>
      <w:r w:rsidRPr="008A18FF">
        <w:rPr>
          <w:rFonts w:cs="Arial" w:hint="cs"/>
          <w:color w:val="000000" w:themeColor="text1"/>
          <w:sz w:val="16"/>
          <w:szCs w:val="16"/>
          <w:rtl/>
        </w:rPr>
        <w:t xml:space="preserve">בסע' </w:t>
      </w:r>
      <w:r>
        <w:rPr>
          <w:rFonts w:cs="Arial" w:hint="cs"/>
          <w:color w:val="000000" w:themeColor="text1"/>
          <w:sz w:val="16"/>
          <w:szCs w:val="16"/>
          <w:rtl/>
        </w:rPr>
        <w:t>יב</w:t>
      </w:r>
      <w:r w:rsidRPr="008A18FF">
        <w:rPr>
          <w:rFonts w:cs="Arial" w:hint="cs"/>
          <w:color w:val="000000" w:themeColor="text1"/>
          <w:sz w:val="16"/>
          <w:szCs w:val="16"/>
          <w:rtl/>
        </w:rPr>
        <w:t>]</w:t>
      </w:r>
      <w:r w:rsidRPr="008015A2">
        <w:rPr>
          <w:rFonts w:cs="Arial" w:hint="cs"/>
          <w:color w:val="E36C0A" w:themeColor="accent6" w:themeShade="BF"/>
          <w:rtl/>
        </w:rPr>
        <w:t>)</w:t>
      </w:r>
    </w:p>
    <w:p w14:paraId="63DD1ACF" w14:textId="77777777" w:rsidR="00830C5A" w:rsidRDefault="00830C5A" w:rsidP="00830C5A">
      <w:pPr>
        <w:rPr>
          <w:rFonts w:cs="Arial"/>
          <w:rtl/>
        </w:rPr>
      </w:pPr>
      <w:r w:rsidRPr="003024E5">
        <w:rPr>
          <w:rFonts w:asciiTheme="minorBidi" w:hAnsiTheme="minorBidi"/>
          <w:b/>
          <w:bCs/>
          <w:color w:val="000000"/>
          <w:sz w:val="28"/>
          <w:szCs w:val="28"/>
          <w:u w:val="single"/>
          <w:rtl/>
        </w:rPr>
        <w:t>שו"ע:</w:t>
      </w:r>
    </w:p>
    <w:p w14:paraId="7AD15C41" w14:textId="7C132E5B" w:rsidR="00471D63" w:rsidRDefault="00471D63" w:rsidP="00471D63">
      <w:pPr>
        <w:rPr>
          <w:rtl/>
        </w:rPr>
      </w:pPr>
      <w:r>
        <w:rPr>
          <w:rFonts w:cs="Arial"/>
          <w:rtl/>
        </w:rPr>
        <w:t xml:space="preserve">האיש שאמר: איני דר במבוי זה מפני שבני אדם רעים, או פריצים, או </w:t>
      </w:r>
      <w:r w:rsidR="001B3101">
        <w:rPr>
          <w:rFonts w:cs="Arial" w:hint="cs"/>
          <w:rtl/>
        </w:rPr>
        <w:t>גוים</w:t>
      </w:r>
      <w:r>
        <w:rPr>
          <w:rFonts w:cs="Arial"/>
          <w:rtl/>
        </w:rPr>
        <w:t xml:space="preserve"> בשכונתי, ואני מתירא מהם, שומעין לו, ואף על פי שלא הוחזקו בפריצות</w:t>
      </w:r>
      <w:r w:rsidR="001B3101">
        <w:rPr>
          <w:rFonts w:cs="Arial" w:hint="cs"/>
          <w:rtl/>
        </w:rPr>
        <w:t>.</w:t>
      </w:r>
      <w:r>
        <w:rPr>
          <w:rFonts w:cs="Arial"/>
          <w:rtl/>
        </w:rPr>
        <w:t xml:space="preserve"> ואפילו היה המדור שלה, מוציאין אותה ממנו. </w:t>
      </w:r>
    </w:p>
    <w:p w14:paraId="62333822" w14:textId="77777777" w:rsidR="00830C5A" w:rsidRDefault="00830C5A" w:rsidP="00471D63">
      <w:pPr>
        <w:rPr>
          <w:rtl/>
        </w:rPr>
      </w:pPr>
    </w:p>
    <w:p w14:paraId="4CCD2AA4" w14:textId="3F458164" w:rsidR="00471D63" w:rsidRDefault="00471D63" w:rsidP="000F64D0">
      <w:pPr>
        <w:pStyle w:val="2"/>
        <w:rPr>
          <w:rtl/>
        </w:rPr>
      </w:pPr>
      <w:r>
        <w:rPr>
          <w:rtl/>
        </w:rPr>
        <w:t>סעיף יב</w:t>
      </w:r>
      <w:r w:rsidR="00830C5A">
        <w:rPr>
          <w:rFonts w:hint="cs"/>
          <w:rtl/>
        </w:rPr>
        <w:t>:</w:t>
      </w:r>
      <w:r w:rsidR="00304916">
        <w:rPr>
          <w:rFonts w:hint="cs"/>
          <w:rtl/>
        </w:rPr>
        <w:t xml:space="preserve"> אשה שאמרה כנ"ל.</w:t>
      </w:r>
    </w:p>
    <w:p w14:paraId="7A9BCE04" w14:textId="40B9B8BA" w:rsidR="00830C5A" w:rsidRPr="00830C5A" w:rsidRDefault="00304916" w:rsidP="00304916">
      <w:pPr>
        <w:rPr>
          <w:rtl/>
        </w:rPr>
      </w:pPr>
      <w:r>
        <w:rPr>
          <w:rFonts w:hint="cs"/>
          <w:rtl/>
        </w:rPr>
        <w:t>עיין במקורות בסעיף הקודם.</w:t>
      </w:r>
    </w:p>
    <w:p w14:paraId="345A6F9C" w14:textId="77777777" w:rsidR="00830C5A" w:rsidRDefault="00830C5A" w:rsidP="00830C5A">
      <w:pPr>
        <w:rPr>
          <w:rFonts w:cs="Arial"/>
          <w:rtl/>
        </w:rPr>
      </w:pPr>
      <w:r w:rsidRPr="003024E5">
        <w:rPr>
          <w:rFonts w:asciiTheme="minorBidi" w:hAnsiTheme="minorBidi"/>
          <w:b/>
          <w:bCs/>
          <w:color w:val="000000"/>
          <w:sz w:val="28"/>
          <w:szCs w:val="28"/>
          <w:u w:val="single"/>
          <w:rtl/>
        </w:rPr>
        <w:t>שו"ע:</w:t>
      </w:r>
    </w:p>
    <w:p w14:paraId="38864DC0" w14:textId="7DCA7541" w:rsidR="00471D63" w:rsidRDefault="00471D63" w:rsidP="00471D63">
      <w:pPr>
        <w:rPr>
          <w:rtl/>
        </w:rPr>
      </w:pPr>
      <w:r>
        <w:rPr>
          <w:rFonts w:cs="Arial"/>
          <w:rtl/>
        </w:rPr>
        <w:t xml:space="preserve">וכן היא שאמרה כן, אף על פי שהוא אומר: איני מקפיד עליהם, שומעין לה. </w:t>
      </w:r>
      <w:r w:rsidR="005875C7">
        <w:rPr>
          <w:rFonts w:cs="Arial" w:hint="cs"/>
          <w:sz w:val="18"/>
          <w:szCs w:val="18"/>
          <w:rtl/>
        </w:rPr>
        <w:t xml:space="preserve">הגה: </w:t>
      </w:r>
      <w:r w:rsidRPr="00304916">
        <w:rPr>
          <w:rFonts w:cs="Arial"/>
          <w:sz w:val="18"/>
          <w:szCs w:val="18"/>
          <w:rtl/>
        </w:rPr>
        <w:t>איש המכה את אשתו או היא מקללתו, עיין דינו לקמן סימן קנ"ד.</w:t>
      </w:r>
    </w:p>
    <w:p w14:paraId="62F19AD8" w14:textId="69CE2A88" w:rsidR="00471D63" w:rsidRDefault="00471D63" w:rsidP="00471D63">
      <w:pPr>
        <w:rPr>
          <w:rtl/>
        </w:rPr>
      </w:pPr>
    </w:p>
    <w:p w14:paraId="254289FC" w14:textId="04B45594" w:rsidR="00471D63" w:rsidRDefault="00471D63" w:rsidP="00471D63">
      <w:pPr>
        <w:rPr>
          <w:rtl/>
        </w:rPr>
      </w:pPr>
    </w:p>
    <w:p w14:paraId="2ED473AC" w14:textId="77777777" w:rsidR="00471D63" w:rsidRDefault="00471D63" w:rsidP="00471D63">
      <w:pPr>
        <w:pStyle w:val="1"/>
        <w:rPr>
          <w:rtl/>
        </w:rPr>
        <w:sectPr w:rsidR="00471D63" w:rsidSect="00A347B3">
          <w:headerReference w:type="default" r:id="rId17"/>
          <w:footnotePr>
            <w:numRestart w:val="eachSect"/>
          </w:footnotePr>
          <w:pgSz w:w="11906" w:h="16838"/>
          <w:pgMar w:top="720" w:right="1134" w:bottom="720" w:left="1134" w:header="0" w:footer="0" w:gutter="0"/>
          <w:cols w:space="720"/>
          <w:bidi/>
          <w:rtlGutter/>
          <w:docGrid w:linePitch="360"/>
        </w:sectPr>
      </w:pPr>
    </w:p>
    <w:p w14:paraId="21456735" w14:textId="7FC47549" w:rsidR="00471D63" w:rsidRDefault="00471D63" w:rsidP="00471D63">
      <w:pPr>
        <w:pStyle w:val="1"/>
        <w:rPr>
          <w:rtl/>
        </w:rPr>
      </w:pPr>
      <w:r>
        <w:rPr>
          <w:rFonts w:hint="cs"/>
          <w:rtl/>
        </w:rPr>
        <w:lastRenderedPageBreak/>
        <w:t xml:space="preserve">סימן עה: </w:t>
      </w:r>
      <w:r>
        <w:rPr>
          <w:rtl/>
        </w:rPr>
        <w:t xml:space="preserve">חילוק הארצות לענין נישואין ודיני ארץ ישראל, ובו ה' סעיפים. </w:t>
      </w:r>
    </w:p>
    <w:p w14:paraId="7E951F50" w14:textId="5896838A" w:rsidR="00471D63" w:rsidRDefault="00471D63" w:rsidP="000F64D0">
      <w:pPr>
        <w:pStyle w:val="2"/>
        <w:rPr>
          <w:rtl/>
        </w:rPr>
      </w:pPr>
      <w:r>
        <w:rPr>
          <w:rtl/>
        </w:rPr>
        <w:t>סעיף א</w:t>
      </w:r>
      <w:r w:rsidR="00A265D1">
        <w:rPr>
          <w:rFonts w:hint="cs"/>
          <w:rtl/>
        </w:rPr>
        <w:t>:</w:t>
      </w:r>
      <w:r w:rsidR="006007F8">
        <w:rPr>
          <w:rFonts w:hint="cs"/>
          <w:rtl/>
        </w:rPr>
        <w:t xml:space="preserve"> חילוק ארץ ישראל לאיזורים לענין נישואין.</w:t>
      </w:r>
    </w:p>
    <w:p w14:paraId="129D9055" w14:textId="57E2980D" w:rsidR="00E4502A" w:rsidRPr="00E4502A" w:rsidRDefault="00240B1E" w:rsidP="00E4502A">
      <w:pPr>
        <w:rPr>
          <w:rFonts w:cs="Arial"/>
          <w:rtl/>
        </w:rPr>
      </w:pPr>
      <w:r w:rsidRPr="00240B1E">
        <w:rPr>
          <w:rFonts w:cs="Arial"/>
          <w:b/>
          <w:bCs/>
          <w:rtl/>
        </w:rPr>
        <w:t xml:space="preserve">כתובות </w:t>
      </w:r>
      <w:r w:rsidRPr="00240B1E">
        <w:rPr>
          <w:rFonts w:cs="Arial" w:hint="cs"/>
          <w:b/>
          <w:bCs/>
          <w:sz w:val="16"/>
          <w:szCs w:val="16"/>
          <w:rtl/>
        </w:rPr>
        <w:t>(</w:t>
      </w:r>
      <w:r w:rsidRPr="00240B1E">
        <w:rPr>
          <w:rFonts w:cs="Arial"/>
          <w:b/>
          <w:bCs/>
          <w:sz w:val="16"/>
          <w:szCs w:val="16"/>
          <w:rtl/>
        </w:rPr>
        <w:t>פ' שני דייני גזי</w:t>
      </w:r>
      <w:r w:rsidRPr="00240B1E">
        <w:rPr>
          <w:rFonts w:cs="Arial" w:hint="cs"/>
          <w:b/>
          <w:bCs/>
          <w:sz w:val="16"/>
          <w:szCs w:val="16"/>
          <w:rtl/>
        </w:rPr>
        <w:t>ר</w:t>
      </w:r>
      <w:r w:rsidRPr="00240B1E">
        <w:rPr>
          <w:rFonts w:cs="Arial"/>
          <w:b/>
          <w:bCs/>
          <w:sz w:val="16"/>
          <w:szCs w:val="16"/>
          <w:rtl/>
        </w:rPr>
        <w:t>ות</w:t>
      </w:r>
      <w:r w:rsidRPr="00240B1E">
        <w:rPr>
          <w:rFonts w:cs="Arial" w:hint="cs"/>
          <w:b/>
          <w:bCs/>
          <w:sz w:val="16"/>
          <w:szCs w:val="16"/>
          <w:rtl/>
        </w:rPr>
        <w:t>)</w:t>
      </w:r>
      <w:r w:rsidRPr="00240B1E">
        <w:rPr>
          <w:rFonts w:cs="Arial"/>
          <w:b/>
          <w:bCs/>
          <w:rtl/>
        </w:rPr>
        <w:t xml:space="preserve"> קי</w:t>
      </w:r>
      <w:r w:rsidRPr="00240B1E">
        <w:rPr>
          <w:rFonts w:cs="Arial" w:hint="cs"/>
          <w:b/>
          <w:bCs/>
          <w:rtl/>
        </w:rPr>
        <w:t xml:space="preserve"> ע"א</w:t>
      </w:r>
      <w:r w:rsidRPr="00240B1E">
        <w:rPr>
          <w:rFonts w:cs="Arial"/>
          <w:b/>
          <w:bCs/>
          <w:rtl/>
        </w:rPr>
        <w:t>:</w:t>
      </w:r>
      <w:r>
        <w:rPr>
          <w:rFonts w:cs="Arial" w:hint="cs"/>
          <w:rtl/>
        </w:rPr>
        <w:t xml:space="preserve"> </w:t>
      </w:r>
      <w:r w:rsidRPr="00240B1E">
        <w:rPr>
          <w:rFonts w:cs="Arial"/>
          <w:u w:val="double"/>
          <w:rtl/>
        </w:rPr>
        <w:t>מתני'</w:t>
      </w:r>
      <w:r>
        <w:rPr>
          <w:rFonts w:cs="Arial" w:hint="cs"/>
          <w:rtl/>
        </w:rPr>
        <w:t>:</w:t>
      </w:r>
      <w:r w:rsidRPr="00240B1E">
        <w:rPr>
          <w:rFonts w:cs="Arial"/>
          <w:rtl/>
        </w:rPr>
        <w:t xml:space="preserve"> שלש ארצות לנשואין: יהודה, ועבר הירדן, והגליל</w:t>
      </w:r>
      <w:r w:rsidR="00AA00D2">
        <w:rPr>
          <w:rFonts w:cs="Arial" w:hint="cs"/>
          <w:rtl/>
        </w:rPr>
        <w:t>.</w:t>
      </w:r>
      <w:r w:rsidRPr="00240B1E">
        <w:rPr>
          <w:rFonts w:cs="Arial"/>
          <w:rtl/>
        </w:rPr>
        <w:t xml:space="preserve"> אין מוציאין מעיר לעיר ומכרך לכרך, אבל באותה הארץ מוציאין מעיר לעיר ומכרך לכרך</w:t>
      </w:r>
      <w:r w:rsidR="00AA00D2">
        <w:rPr>
          <w:rFonts w:cs="Arial" w:hint="cs"/>
          <w:rtl/>
        </w:rPr>
        <w:t>...</w:t>
      </w:r>
      <w:r w:rsidR="00E4502A">
        <w:rPr>
          <w:rFonts w:cs="Arial" w:hint="cs"/>
          <w:rtl/>
        </w:rPr>
        <w:t xml:space="preserve"> </w:t>
      </w:r>
      <w:r w:rsidR="00E4502A" w:rsidRPr="00E4502A">
        <w:rPr>
          <w:rFonts w:cs="Arial" w:hint="cs"/>
          <w:sz w:val="16"/>
          <w:szCs w:val="16"/>
          <w:rtl/>
        </w:rPr>
        <w:t xml:space="preserve">(וכתב הרמב"ם (פי"ג מאישות הט"ז): </w:t>
      </w:r>
      <w:r w:rsidR="00E4502A" w:rsidRPr="00E4502A">
        <w:rPr>
          <w:rFonts w:cs="Arial"/>
          <w:sz w:val="16"/>
          <w:szCs w:val="16"/>
          <w:rtl/>
        </w:rPr>
        <w:t>כל הישוב ארצות ארצות הוא, כגון ארץ כנען וארץ מצרים וארץ תימן וארץ כוש וארץ שנער וכיוצא בהן, וכל ארץ וארץ מדינות וכפרים, וערי ישראל לענין נישואין שלש ארצות היו, יהודה ועבר הירדן והגליל</w:t>
      </w:r>
      <w:r w:rsidR="00E4502A" w:rsidRPr="00E4502A">
        <w:rPr>
          <w:rFonts w:cs="Arial" w:hint="cs"/>
          <w:sz w:val="16"/>
          <w:szCs w:val="16"/>
          <w:rtl/>
        </w:rPr>
        <w:t>)</w:t>
      </w:r>
    </w:p>
    <w:p w14:paraId="20D4AD0A" w14:textId="76AE6B1F" w:rsidR="000F29DE" w:rsidRDefault="000F29DE" w:rsidP="000F29DE">
      <w:pPr>
        <w:rPr>
          <w:rFonts w:cs="Arial"/>
          <w:rtl/>
        </w:rPr>
      </w:pPr>
      <w:r w:rsidRPr="00A806B1">
        <w:rPr>
          <w:rFonts w:cs="Arial" w:hint="cs"/>
          <w:b/>
          <w:bCs/>
          <w:rtl/>
        </w:rPr>
        <w:t>תוספתא</w:t>
      </w:r>
      <w:r>
        <w:rPr>
          <w:rFonts w:cs="Arial" w:hint="cs"/>
          <w:b/>
          <w:bCs/>
          <w:rtl/>
        </w:rPr>
        <w:t xml:space="preserve"> </w:t>
      </w:r>
      <w:r w:rsidRPr="00A806B1">
        <w:rPr>
          <w:rFonts w:cs="Arial" w:hint="cs"/>
          <w:b/>
          <w:bCs/>
          <w:rtl/>
        </w:rPr>
        <w:t>כתובות פי"ב ה</w:t>
      </w:r>
      <w:r>
        <w:rPr>
          <w:rFonts w:cs="Arial" w:hint="cs"/>
          <w:b/>
          <w:bCs/>
          <w:rtl/>
        </w:rPr>
        <w:t>י"א</w:t>
      </w:r>
      <w:r w:rsidRPr="00A806B1">
        <w:rPr>
          <w:rFonts w:cs="Arial" w:hint="cs"/>
          <w:b/>
          <w:bCs/>
          <w:rtl/>
        </w:rPr>
        <w:t>:</w:t>
      </w:r>
      <w:r>
        <w:rPr>
          <w:rFonts w:cs="Arial" w:hint="cs"/>
          <w:rtl/>
        </w:rPr>
        <w:t xml:space="preserve"> </w:t>
      </w:r>
      <w:r w:rsidRPr="00A806B1">
        <w:rPr>
          <w:rFonts w:cs="Arial"/>
          <w:rtl/>
        </w:rPr>
        <w:t>שלש ארצות לנשואין</w:t>
      </w:r>
      <w:r>
        <w:rPr>
          <w:rFonts w:cs="Arial" w:hint="cs"/>
          <w:rtl/>
        </w:rPr>
        <w:t>,</w:t>
      </w:r>
      <w:r w:rsidRPr="00A806B1">
        <w:rPr>
          <w:rFonts w:cs="Arial"/>
          <w:rtl/>
        </w:rPr>
        <w:t xml:space="preserve"> יהודה ועבר הירדן והגליל</w:t>
      </w:r>
      <w:r>
        <w:rPr>
          <w:rFonts w:cs="Arial" w:hint="cs"/>
          <w:rtl/>
        </w:rPr>
        <w:t>.</w:t>
      </w:r>
      <w:r w:rsidRPr="00A806B1">
        <w:rPr>
          <w:rFonts w:cs="Arial"/>
          <w:rtl/>
        </w:rPr>
        <w:t xml:space="preserve"> במי דברים אמורים</w:t>
      </w:r>
      <w:r>
        <w:rPr>
          <w:rFonts w:cs="Arial" w:hint="cs"/>
          <w:rtl/>
        </w:rPr>
        <w:t>,</w:t>
      </w:r>
      <w:r w:rsidRPr="00A806B1">
        <w:rPr>
          <w:rFonts w:cs="Arial"/>
          <w:rtl/>
        </w:rPr>
        <w:t xml:space="preserve"> בזמן שהיה מיהודה וארס אשה </w:t>
      </w:r>
      <w:r>
        <w:rPr>
          <w:rFonts w:cs="Arial" w:hint="cs"/>
          <w:rtl/>
        </w:rPr>
        <w:t>ב</w:t>
      </w:r>
      <w:r w:rsidRPr="00A806B1">
        <w:rPr>
          <w:rFonts w:cs="Arial"/>
          <w:rtl/>
        </w:rPr>
        <w:t>יהודה</w:t>
      </w:r>
      <w:r>
        <w:rPr>
          <w:rFonts w:cs="Arial" w:hint="cs"/>
          <w:rtl/>
        </w:rPr>
        <w:t>,</w:t>
      </w:r>
      <w:r w:rsidRPr="00A806B1">
        <w:rPr>
          <w:rFonts w:cs="Arial"/>
          <w:rtl/>
        </w:rPr>
        <w:t xml:space="preserve"> מגליל וארס אשה </w:t>
      </w:r>
      <w:r>
        <w:rPr>
          <w:rFonts w:cs="Arial" w:hint="cs"/>
          <w:rtl/>
        </w:rPr>
        <w:t>ב</w:t>
      </w:r>
      <w:r w:rsidRPr="00A806B1">
        <w:rPr>
          <w:rFonts w:cs="Arial"/>
          <w:rtl/>
        </w:rPr>
        <w:t>גליל</w:t>
      </w:r>
      <w:r>
        <w:rPr>
          <w:rFonts w:cs="Arial" w:hint="cs"/>
          <w:rtl/>
        </w:rPr>
        <w:t>.</w:t>
      </w:r>
      <w:r w:rsidRPr="00A806B1">
        <w:rPr>
          <w:rFonts w:cs="Arial"/>
          <w:rtl/>
        </w:rPr>
        <w:t xml:space="preserve"> אבל אם היה מיהודה וארס אשה </w:t>
      </w:r>
      <w:r>
        <w:rPr>
          <w:rFonts w:cs="Arial" w:hint="cs"/>
          <w:rtl/>
        </w:rPr>
        <w:t>ב</w:t>
      </w:r>
      <w:r w:rsidRPr="00A806B1">
        <w:rPr>
          <w:rFonts w:cs="Arial"/>
          <w:rtl/>
        </w:rPr>
        <w:t>גליל</w:t>
      </w:r>
      <w:r>
        <w:rPr>
          <w:rFonts w:cs="Arial" w:hint="cs"/>
          <w:rtl/>
        </w:rPr>
        <w:t xml:space="preserve">, </w:t>
      </w:r>
      <w:r w:rsidRPr="00A806B1">
        <w:rPr>
          <w:rFonts w:cs="Arial"/>
          <w:rtl/>
        </w:rPr>
        <w:t xml:space="preserve">מגליל ואירס אשה </w:t>
      </w:r>
      <w:r>
        <w:rPr>
          <w:rFonts w:cs="Arial" w:hint="cs"/>
          <w:rtl/>
        </w:rPr>
        <w:t>ב</w:t>
      </w:r>
      <w:r w:rsidRPr="00A806B1">
        <w:rPr>
          <w:rFonts w:cs="Arial"/>
          <w:rtl/>
        </w:rPr>
        <w:t>יהודה</w:t>
      </w:r>
      <w:r>
        <w:rPr>
          <w:rFonts w:cs="Arial" w:hint="cs"/>
          <w:rtl/>
        </w:rPr>
        <w:t xml:space="preserve"> -</w:t>
      </w:r>
      <w:r w:rsidRPr="00A806B1">
        <w:rPr>
          <w:rFonts w:cs="Arial"/>
          <w:rtl/>
        </w:rPr>
        <w:t xml:space="preserve"> כופין אות</w:t>
      </w:r>
      <w:r>
        <w:rPr>
          <w:rFonts w:cs="Arial" w:hint="cs"/>
          <w:rtl/>
        </w:rPr>
        <w:t>ה</w:t>
      </w:r>
      <w:r w:rsidRPr="00A806B1">
        <w:rPr>
          <w:rFonts w:cs="Arial"/>
          <w:rtl/>
        </w:rPr>
        <w:t xml:space="preserve"> לצאת</w:t>
      </w:r>
      <w:r>
        <w:rPr>
          <w:rFonts w:cs="Arial" w:hint="cs"/>
          <w:rtl/>
        </w:rPr>
        <w:t>,</w:t>
      </w:r>
      <w:r w:rsidRPr="00A806B1">
        <w:rPr>
          <w:rFonts w:cs="Arial"/>
          <w:rtl/>
        </w:rPr>
        <w:t xml:space="preserve"> שעל מנת כן נשאה</w:t>
      </w:r>
      <w:r w:rsidR="002D224A">
        <w:rPr>
          <w:rStyle w:val="a7"/>
          <w:rFonts w:cs="Arial"/>
          <w:rtl/>
        </w:rPr>
        <w:footnoteReference w:id="429"/>
      </w:r>
      <w:r>
        <w:rPr>
          <w:rFonts w:cs="Arial" w:hint="cs"/>
          <w:rtl/>
        </w:rPr>
        <w:t>.</w:t>
      </w:r>
      <w:r w:rsidRPr="00A806B1">
        <w:rPr>
          <w:rFonts w:cs="Arial"/>
          <w:rtl/>
        </w:rPr>
        <w:t xml:space="preserve"> אם אמ</w:t>
      </w:r>
      <w:r>
        <w:rPr>
          <w:rFonts w:cs="Arial" w:hint="cs"/>
          <w:rtl/>
        </w:rPr>
        <w:t>ר</w:t>
      </w:r>
      <w:r w:rsidRPr="00A806B1">
        <w:rPr>
          <w:rFonts w:cs="Arial"/>
          <w:rtl/>
        </w:rPr>
        <w:t xml:space="preserve"> </w:t>
      </w:r>
      <w:r>
        <w:rPr>
          <w:rFonts w:cs="Arial" w:hint="cs"/>
          <w:rtl/>
        </w:rPr>
        <w:t>'</w:t>
      </w:r>
      <w:r w:rsidRPr="00A806B1">
        <w:rPr>
          <w:rFonts w:cs="Arial"/>
          <w:rtl/>
        </w:rPr>
        <w:t>אני פלני מיהודה נשאתי אשה מגליל</w:t>
      </w:r>
      <w:r>
        <w:rPr>
          <w:rFonts w:cs="Arial" w:hint="cs"/>
          <w:rtl/>
        </w:rPr>
        <w:t>' -</w:t>
      </w:r>
      <w:r w:rsidRPr="00A806B1">
        <w:rPr>
          <w:rFonts w:cs="Arial"/>
          <w:rtl/>
        </w:rPr>
        <w:t xml:space="preserve"> אין כופין אותה לצאת</w:t>
      </w:r>
      <w:r>
        <w:rPr>
          <w:rFonts w:cs="Arial" w:hint="cs"/>
          <w:rtl/>
        </w:rPr>
        <w:t>.</w:t>
      </w:r>
      <w:r w:rsidRPr="00A806B1">
        <w:rPr>
          <w:rFonts w:cs="Arial"/>
          <w:rtl/>
        </w:rPr>
        <w:t xml:space="preserve"> ו</w:t>
      </w:r>
      <w:r>
        <w:rPr>
          <w:rFonts w:cs="Arial" w:hint="cs"/>
          <w:rtl/>
        </w:rPr>
        <w:t>-'</w:t>
      </w:r>
      <w:r w:rsidRPr="00A806B1">
        <w:rPr>
          <w:rFonts w:cs="Arial"/>
          <w:rtl/>
        </w:rPr>
        <w:t>בגליל</w:t>
      </w:r>
      <w:r>
        <w:rPr>
          <w:rFonts w:cs="Arial" w:hint="cs"/>
          <w:rtl/>
        </w:rPr>
        <w:t>'</w:t>
      </w:r>
      <w:r w:rsidRPr="00A806B1">
        <w:rPr>
          <w:rFonts w:cs="Arial"/>
          <w:rtl/>
        </w:rPr>
        <w:t xml:space="preserve"> </w:t>
      </w:r>
      <w:r>
        <w:rPr>
          <w:rFonts w:cs="Arial" w:hint="cs"/>
          <w:rtl/>
        </w:rPr>
        <w:t xml:space="preserve">- </w:t>
      </w:r>
      <w:r w:rsidRPr="00A806B1">
        <w:rPr>
          <w:rFonts w:cs="Arial"/>
          <w:rtl/>
        </w:rPr>
        <w:t>כופין אותה לצאת</w:t>
      </w:r>
      <w:r w:rsidR="00F41CEC">
        <w:rPr>
          <w:rStyle w:val="a7"/>
          <w:rFonts w:cs="Arial"/>
          <w:rtl/>
        </w:rPr>
        <w:footnoteReference w:id="430"/>
      </w:r>
      <w:r w:rsidR="002D224A">
        <w:rPr>
          <w:rFonts w:cs="Arial" w:hint="cs"/>
          <w:rtl/>
        </w:rPr>
        <w:t>.</w:t>
      </w:r>
    </w:p>
    <w:p w14:paraId="3136DD4D" w14:textId="264316DF" w:rsidR="000F29DE" w:rsidRPr="000F29DE" w:rsidRDefault="000F29DE" w:rsidP="000F29DE">
      <w:pPr>
        <w:rPr>
          <w:rFonts w:cs="Arial"/>
          <w:sz w:val="16"/>
          <w:szCs w:val="16"/>
          <w:rtl/>
        </w:rPr>
      </w:pPr>
      <w:r w:rsidRPr="00742339">
        <w:rPr>
          <w:rFonts w:cs="Arial" w:hint="cs"/>
          <w:b/>
          <w:bCs/>
          <w:rtl/>
        </w:rPr>
        <w:t>ירושלמי כתובות פי"ג ה"י:</w:t>
      </w:r>
      <w:r>
        <w:rPr>
          <w:rFonts w:cs="Arial" w:hint="cs"/>
          <w:rtl/>
        </w:rPr>
        <w:t xml:space="preserve"> </w:t>
      </w:r>
      <w:r w:rsidRPr="00742339">
        <w:rPr>
          <w:rFonts w:cs="Arial"/>
          <w:u w:val="double"/>
          <w:rtl/>
        </w:rPr>
        <w:t>מתני'</w:t>
      </w:r>
      <w:r>
        <w:rPr>
          <w:rFonts w:cs="Arial" w:hint="cs"/>
          <w:rtl/>
        </w:rPr>
        <w:t>:</w:t>
      </w:r>
      <w:r w:rsidRPr="00742339">
        <w:rPr>
          <w:rFonts w:cs="Arial"/>
          <w:rtl/>
        </w:rPr>
        <w:t xml:space="preserve"> שלוש ארצות לנישואין</w:t>
      </w:r>
      <w:r>
        <w:rPr>
          <w:rFonts w:cs="Arial" w:hint="cs"/>
          <w:rtl/>
        </w:rPr>
        <w:t>,</w:t>
      </w:r>
      <w:r w:rsidRPr="00742339">
        <w:rPr>
          <w:rFonts w:cs="Arial"/>
          <w:rtl/>
        </w:rPr>
        <w:t xml:space="preserve"> יהודה עבר הירדן והגליל</w:t>
      </w:r>
      <w:r>
        <w:rPr>
          <w:rFonts w:cs="Arial" w:hint="cs"/>
          <w:rtl/>
        </w:rPr>
        <w:t>.</w:t>
      </w:r>
      <w:r w:rsidRPr="00742339">
        <w:rPr>
          <w:rFonts w:cs="Arial"/>
          <w:rtl/>
        </w:rPr>
        <w:t xml:space="preserve"> אין מוציאין מעיר לעיר</w:t>
      </w:r>
      <w:r>
        <w:rPr>
          <w:rFonts w:cs="Arial" w:hint="cs"/>
          <w:rtl/>
        </w:rPr>
        <w:t>...</w:t>
      </w:r>
      <w:r w:rsidRPr="00742339">
        <w:rPr>
          <w:rFonts w:cs="Arial"/>
          <w:rtl/>
        </w:rPr>
        <w:t xml:space="preserve"> </w:t>
      </w:r>
      <w:r>
        <w:rPr>
          <w:rFonts w:cs="Arial" w:hint="cs"/>
          <w:rtl/>
        </w:rPr>
        <w:t xml:space="preserve">   </w:t>
      </w:r>
      <w:r w:rsidRPr="00742339">
        <w:rPr>
          <w:rFonts w:cs="Arial" w:hint="cs"/>
          <w:u w:val="double"/>
          <w:rtl/>
        </w:rPr>
        <w:t>גמ'</w:t>
      </w:r>
      <w:r>
        <w:rPr>
          <w:rFonts w:cs="Arial" w:hint="cs"/>
          <w:rtl/>
        </w:rPr>
        <w:t xml:space="preserve">: </w:t>
      </w:r>
      <w:r w:rsidRPr="00742339">
        <w:rPr>
          <w:rFonts w:cs="Arial"/>
          <w:rtl/>
        </w:rPr>
        <w:t>מתניתא כשהיה ביהודה ונשא אשה מגליל</w:t>
      </w:r>
      <w:r>
        <w:rPr>
          <w:rFonts w:cs="Arial" w:hint="cs"/>
          <w:rtl/>
        </w:rPr>
        <w:t>,</w:t>
      </w:r>
      <w:r w:rsidRPr="00742339">
        <w:rPr>
          <w:rFonts w:cs="Arial"/>
          <w:rtl/>
        </w:rPr>
        <w:t xml:space="preserve"> בגליל ונשא אשה מיהודה</w:t>
      </w:r>
      <w:r>
        <w:rPr>
          <w:rFonts w:cs="Arial" w:hint="cs"/>
          <w:rtl/>
        </w:rPr>
        <w:t>.</w:t>
      </w:r>
      <w:r w:rsidRPr="00742339">
        <w:rPr>
          <w:rFonts w:cs="Arial"/>
          <w:rtl/>
        </w:rPr>
        <w:t xml:space="preserve"> אבל אם היה מיהודה ונשא אשה מיהודה</w:t>
      </w:r>
      <w:r>
        <w:rPr>
          <w:rFonts w:cs="Arial" w:hint="cs"/>
          <w:rtl/>
        </w:rPr>
        <w:t>,</w:t>
      </w:r>
      <w:r w:rsidRPr="00742339">
        <w:rPr>
          <w:rFonts w:cs="Arial"/>
          <w:rtl/>
        </w:rPr>
        <w:t xml:space="preserve"> מגליל ונשא אשה מגליל </w:t>
      </w:r>
      <w:r>
        <w:rPr>
          <w:rFonts w:cs="Arial" w:hint="cs"/>
          <w:rtl/>
        </w:rPr>
        <w:t xml:space="preserve">- </w:t>
      </w:r>
      <w:r w:rsidRPr="00742339">
        <w:rPr>
          <w:rFonts w:cs="Arial"/>
          <w:rtl/>
        </w:rPr>
        <w:t>כופין אותה לצאת</w:t>
      </w:r>
      <w:r>
        <w:rPr>
          <w:rFonts w:cs="Arial" w:hint="cs"/>
          <w:rtl/>
        </w:rPr>
        <w:t>.</w:t>
      </w:r>
      <w:r w:rsidRPr="00742339">
        <w:rPr>
          <w:rFonts w:cs="Arial"/>
          <w:rtl/>
        </w:rPr>
        <w:t xml:space="preserve"> </w:t>
      </w:r>
      <w:r>
        <w:rPr>
          <w:rFonts w:cs="Arial" w:hint="cs"/>
          <w:rtl/>
        </w:rPr>
        <w:t>'</w:t>
      </w:r>
      <w:r w:rsidRPr="00742339">
        <w:rPr>
          <w:rFonts w:cs="Arial"/>
          <w:rtl/>
        </w:rPr>
        <w:t>אני פלוני שמיהודה</w:t>
      </w:r>
      <w:r>
        <w:rPr>
          <w:rFonts w:cs="Arial" w:hint="cs"/>
          <w:rtl/>
        </w:rPr>
        <w:t>',</w:t>
      </w:r>
      <w:r w:rsidRPr="00742339">
        <w:rPr>
          <w:rFonts w:cs="Arial"/>
          <w:rtl/>
        </w:rPr>
        <w:t xml:space="preserve"> ונשא אשה מיהודה </w:t>
      </w:r>
      <w:r>
        <w:rPr>
          <w:rFonts w:cs="Arial" w:hint="cs"/>
          <w:rtl/>
        </w:rPr>
        <w:t xml:space="preserve">- </w:t>
      </w:r>
      <w:r w:rsidRPr="00742339">
        <w:rPr>
          <w:rFonts w:cs="Arial"/>
          <w:rtl/>
        </w:rPr>
        <w:t>כופין אותה לצאת</w:t>
      </w:r>
      <w:r>
        <w:rPr>
          <w:rFonts w:cs="Arial" w:hint="cs"/>
          <w:rtl/>
        </w:rPr>
        <w:t>.</w:t>
      </w:r>
      <w:r w:rsidRPr="00742339">
        <w:rPr>
          <w:rFonts w:cs="Arial"/>
          <w:rtl/>
        </w:rPr>
        <w:t xml:space="preserve"> מגליל </w:t>
      </w:r>
      <w:r>
        <w:rPr>
          <w:rFonts w:cs="Arial" w:hint="cs"/>
          <w:rtl/>
        </w:rPr>
        <w:t xml:space="preserve">- </w:t>
      </w:r>
      <w:r w:rsidRPr="00742339">
        <w:rPr>
          <w:rFonts w:cs="Arial"/>
          <w:rtl/>
        </w:rPr>
        <w:t>אין כופין אותה לצאת</w:t>
      </w:r>
      <w:r>
        <w:rPr>
          <w:rFonts w:cs="Arial" w:hint="cs"/>
          <w:rtl/>
        </w:rPr>
        <w:t>.</w:t>
      </w:r>
      <w:r w:rsidRPr="00742339">
        <w:rPr>
          <w:rFonts w:cs="Arial"/>
          <w:rtl/>
        </w:rPr>
        <w:t xml:space="preserve"> </w:t>
      </w:r>
      <w:r>
        <w:rPr>
          <w:rFonts w:cs="Arial" w:hint="cs"/>
          <w:rtl/>
        </w:rPr>
        <w:t>'</w:t>
      </w:r>
      <w:r w:rsidRPr="00742339">
        <w:rPr>
          <w:rFonts w:cs="Arial"/>
          <w:rtl/>
        </w:rPr>
        <w:t>אני פלוני שמגליל</w:t>
      </w:r>
      <w:r>
        <w:rPr>
          <w:rFonts w:cs="Arial" w:hint="cs"/>
          <w:rtl/>
        </w:rPr>
        <w:t>',</w:t>
      </w:r>
      <w:r w:rsidRPr="00742339">
        <w:rPr>
          <w:rFonts w:cs="Arial"/>
          <w:rtl/>
        </w:rPr>
        <w:t xml:space="preserve"> ונשא אשה מגליל </w:t>
      </w:r>
      <w:r>
        <w:rPr>
          <w:rFonts w:cs="Arial" w:hint="cs"/>
          <w:rtl/>
        </w:rPr>
        <w:t xml:space="preserve">- </w:t>
      </w:r>
      <w:r w:rsidRPr="00742339">
        <w:rPr>
          <w:rFonts w:cs="Arial"/>
          <w:rtl/>
        </w:rPr>
        <w:t>כופין אותה לצאת</w:t>
      </w:r>
      <w:r>
        <w:rPr>
          <w:rFonts w:cs="Arial" w:hint="cs"/>
          <w:rtl/>
        </w:rPr>
        <w:t>.</w:t>
      </w:r>
      <w:r w:rsidRPr="00742339">
        <w:rPr>
          <w:rFonts w:cs="Arial"/>
          <w:rtl/>
        </w:rPr>
        <w:t xml:space="preserve"> מיהודה </w:t>
      </w:r>
      <w:r>
        <w:rPr>
          <w:rFonts w:cs="Arial" w:hint="cs"/>
          <w:rtl/>
        </w:rPr>
        <w:t xml:space="preserve">- </w:t>
      </w:r>
      <w:r w:rsidRPr="00742339">
        <w:rPr>
          <w:rFonts w:cs="Arial"/>
          <w:rtl/>
        </w:rPr>
        <w:t>אין כופין אותה לצאת</w:t>
      </w:r>
      <w:r>
        <w:rPr>
          <w:rFonts w:cs="Arial" w:hint="cs"/>
          <w:rtl/>
        </w:rPr>
        <w:t>.</w:t>
      </w:r>
      <w:r w:rsidRPr="00742339">
        <w:rPr>
          <w:rFonts w:cs="Arial"/>
          <w:rtl/>
        </w:rPr>
        <w:t xml:space="preserve"> </w:t>
      </w:r>
      <w:r>
        <w:rPr>
          <w:rFonts w:cs="Arial" w:hint="cs"/>
          <w:sz w:val="16"/>
          <w:szCs w:val="16"/>
          <w:rtl/>
        </w:rPr>
        <w:t xml:space="preserve">(הרי"ף והרמב"ם לא הביאו את דברי הירושלמי, אלא רק את דברי התוספתא. אבל </w:t>
      </w:r>
      <w:r w:rsidRPr="000F29DE">
        <w:rPr>
          <w:rFonts w:cs="Arial"/>
          <w:sz w:val="16"/>
          <w:szCs w:val="16"/>
          <w:rtl/>
        </w:rPr>
        <w:t>הרא"ש (סי' יז) והמרדכי (סי' רפ)</w:t>
      </w:r>
      <w:r>
        <w:rPr>
          <w:rFonts w:cs="Arial" w:hint="cs"/>
          <w:sz w:val="16"/>
          <w:szCs w:val="16"/>
          <w:rtl/>
        </w:rPr>
        <w:t xml:space="preserve"> הביאו את דברי הירושלמי וכתבו- </w:t>
      </w:r>
      <w:r w:rsidRPr="000F29DE">
        <w:rPr>
          <w:rFonts w:cs="Arial"/>
          <w:sz w:val="16"/>
          <w:szCs w:val="16"/>
          <w:rtl/>
        </w:rPr>
        <w:t>לכאורה התוספתא והירושלמי סותרין זה את זה</w:t>
      </w:r>
      <w:r>
        <w:rPr>
          <w:rFonts w:cs="Arial" w:hint="cs"/>
          <w:sz w:val="16"/>
          <w:szCs w:val="16"/>
          <w:rtl/>
        </w:rPr>
        <w:t>,</w:t>
      </w:r>
      <w:r w:rsidRPr="000F29DE">
        <w:rPr>
          <w:rFonts w:cs="Arial"/>
          <w:sz w:val="16"/>
          <w:szCs w:val="16"/>
          <w:rtl/>
        </w:rPr>
        <w:t xml:space="preserve"> </w:t>
      </w:r>
      <w:r w:rsidRPr="000F29DE">
        <w:rPr>
          <w:rFonts w:cs="Arial"/>
          <w:sz w:val="16"/>
          <w:szCs w:val="16"/>
          <w:u w:val="single"/>
          <w:rtl/>
        </w:rPr>
        <w:t>ופירש הר"מ התוספתא</w:t>
      </w:r>
      <w:r w:rsidRPr="000F29DE">
        <w:rPr>
          <w:rFonts w:cs="Arial" w:hint="cs"/>
          <w:sz w:val="16"/>
          <w:szCs w:val="16"/>
          <w:rtl/>
        </w:rPr>
        <w:t>-</w:t>
      </w:r>
      <w:r w:rsidRPr="000F29DE">
        <w:rPr>
          <w:rFonts w:cs="Arial"/>
          <w:sz w:val="16"/>
          <w:szCs w:val="16"/>
          <w:rtl/>
        </w:rPr>
        <w:t xml:space="preserve"> </w:t>
      </w:r>
      <w:r w:rsidRPr="000F29DE">
        <w:rPr>
          <w:rFonts w:cs="Arial" w:hint="cs"/>
          <w:sz w:val="16"/>
          <w:szCs w:val="16"/>
          <w:rtl/>
        </w:rPr>
        <w:t>'</w:t>
      </w:r>
      <w:r w:rsidRPr="000F29DE">
        <w:rPr>
          <w:rFonts w:cs="Arial"/>
          <w:sz w:val="16"/>
          <w:szCs w:val="16"/>
          <w:rtl/>
        </w:rPr>
        <w:t>במה דברים אמורים שהיה מיהודה ואירס אשה ביהודה אין יכול להוציאה למדינה אחרת</w:t>
      </w:r>
      <w:r w:rsidRPr="000F29DE">
        <w:rPr>
          <w:rFonts w:cs="Arial" w:hint="cs"/>
          <w:sz w:val="16"/>
          <w:szCs w:val="16"/>
          <w:rtl/>
        </w:rPr>
        <w:t>'</w:t>
      </w:r>
      <w:r w:rsidRPr="000F29DE">
        <w:rPr>
          <w:rFonts w:cs="Arial"/>
          <w:sz w:val="16"/>
          <w:szCs w:val="16"/>
          <w:rtl/>
        </w:rPr>
        <w:t xml:space="preserve"> אע</w:t>
      </w:r>
      <w:r w:rsidRPr="000F29DE">
        <w:rPr>
          <w:rFonts w:cs="Arial" w:hint="cs"/>
          <w:sz w:val="16"/>
          <w:szCs w:val="16"/>
          <w:rtl/>
        </w:rPr>
        <w:t>"</w:t>
      </w:r>
      <w:r w:rsidRPr="000F29DE">
        <w:rPr>
          <w:rFonts w:cs="Arial"/>
          <w:sz w:val="16"/>
          <w:szCs w:val="16"/>
          <w:rtl/>
        </w:rPr>
        <w:t>פ שהאשה מגליל אינו יכול להוציאה מיהודה ולא מצי למימר לה והלא אין זה מקום מולדתך מאי איכפת לך אם אדור כאן או במדינה אחרת</w:t>
      </w:r>
      <w:r w:rsidRPr="000F29DE">
        <w:rPr>
          <w:rFonts w:cs="Arial" w:hint="cs"/>
          <w:sz w:val="16"/>
          <w:szCs w:val="16"/>
          <w:rtl/>
        </w:rPr>
        <w:t>,</w:t>
      </w:r>
      <w:r w:rsidRPr="000F29DE">
        <w:rPr>
          <w:rFonts w:cs="Arial"/>
          <w:sz w:val="16"/>
          <w:szCs w:val="16"/>
          <w:rtl/>
        </w:rPr>
        <w:t xml:space="preserve"> דכיון דאירסה ביהודה מצי למימר אדעתא דהכי נתקדשתי לך לדור ביהודה</w:t>
      </w:r>
      <w:r w:rsidRPr="000F29DE">
        <w:rPr>
          <w:rFonts w:cs="Arial" w:hint="cs"/>
          <w:sz w:val="16"/>
          <w:szCs w:val="16"/>
          <w:rtl/>
        </w:rPr>
        <w:t>,</w:t>
      </w:r>
      <w:r w:rsidRPr="000F29DE">
        <w:rPr>
          <w:rFonts w:cs="Arial"/>
          <w:sz w:val="16"/>
          <w:szCs w:val="16"/>
          <w:rtl/>
        </w:rPr>
        <w:t xml:space="preserve"> כי שם יש לי נחת רוח יותר כי הורגלתי שם</w:t>
      </w:r>
      <w:r w:rsidRPr="000F29DE">
        <w:rPr>
          <w:rFonts w:cs="Arial" w:hint="cs"/>
          <w:sz w:val="16"/>
          <w:szCs w:val="16"/>
          <w:rtl/>
        </w:rPr>
        <w:t>.</w:t>
      </w:r>
      <w:r w:rsidRPr="000F29DE">
        <w:rPr>
          <w:rFonts w:cs="Arial"/>
          <w:sz w:val="16"/>
          <w:szCs w:val="16"/>
          <w:rtl/>
        </w:rPr>
        <w:t xml:space="preserve"> </w:t>
      </w:r>
      <w:r w:rsidRPr="000F29DE">
        <w:rPr>
          <w:rFonts w:cs="Arial" w:hint="cs"/>
          <w:sz w:val="16"/>
          <w:szCs w:val="16"/>
          <w:rtl/>
        </w:rPr>
        <w:t>'</w:t>
      </w:r>
      <w:r w:rsidRPr="000F29DE">
        <w:rPr>
          <w:rFonts w:cs="Arial"/>
          <w:sz w:val="16"/>
          <w:szCs w:val="16"/>
          <w:rtl/>
        </w:rPr>
        <w:t>אבל אם היה מיהודה ואירס אשה בגליל</w:t>
      </w:r>
      <w:r w:rsidRPr="000F29DE">
        <w:rPr>
          <w:rFonts w:cs="Arial" w:hint="cs"/>
          <w:sz w:val="16"/>
          <w:szCs w:val="16"/>
          <w:rtl/>
        </w:rPr>
        <w:t>...</w:t>
      </w:r>
      <w:r w:rsidRPr="000F29DE">
        <w:rPr>
          <w:rFonts w:cs="Arial"/>
          <w:sz w:val="16"/>
          <w:szCs w:val="16"/>
          <w:rtl/>
        </w:rPr>
        <w:t xml:space="preserve">' אפילו הלך לגליל וקדשה בסתם </w:t>
      </w:r>
      <w:r w:rsidRPr="000F29DE">
        <w:rPr>
          <w:rFonts w:cs="Arial" w:hint="cs"/>
          <w:sz w:val="16"/>
          <w:szCs w:val="16"/>
          <w:rtl/>
        </w:rPr>
        <w:t xml:space="preserve">- </w:t>
      </w:r>
      <w:r w:rsidRPr="000F29DE">
        <w:rPr>
          <w:rFonts w:cs="Arial"/>
          <w:sz w:val="16"/>
          <w:szCs w:val="16"/>
          <w:rtl/>
        </w:rPr>
        <w:t>כופין אותה לצאת ליהודה</w:t>
      </w:r>
      <w:r w:rsidRPr="000F29DE">
        <w:rPr>
          <w:rFonts w:cs="Arial" w:hint="cs"/>
          <w:sz w:val="16"/>
          <w:szCs w:val="16"/>
          <w:rtl/>
        </w:rPr>
        <w:t>.</w:t>
      </w:r>
      <w:r w:rsidRPr="000F29DE">
        <w:rPr>
          <w:rFonts w:cs="Arial"/>
          <w:sz w:val="16"/>
          <w:szCs w:val="16"/>
          <w:rtl/>
        </w:rPr>
        <w:t xml:space="preserve"> והא דקתני </w:t>
      </w:r>
      <w:r w:rsidRPr="000F29DE">
        <w:rPr>
          <w:rFonts w:cs="Arial" w:hint="cs"/>
          <w:sz w:val="16"/>
          <w:szCs w:val="16"/>
          <w:rtl/>
        </w:rPr>
        <w:t>'</w:t>
      </w:r>
      <w:r w:rsidRPr="000F29DE">
        <w:rPr>
          <w:rFonts w:cs="Arial"/>
          <w:sz w:val="16"/>
          <w:szCs w:val="16"/>
          <w:rtl/>
        </w:rPr>
        <w:t>שעל מנת כן נשאה</w:t>
      </w:r>
      <w:r w:rsidRPr="000F29DE">
        <w:rPr>
          <w:rFonts w:cs="Arial" w:hint="cs"/>
          <w:sz w:val="16"/>
          <w:szCs w:val="16"/>
          <w:rtl/>
        </w:rPr>
        <w:t>'</w:t>
      </w:r>
      <w:r w:rsidRPr="000F29DE">
        <w:rPr>
          <w:rFonts w:cs="Arial"/>
          <w:sz w:val="16"/>
          <w:szCs w:val="16"/>
          <w:rtl/>
        </w:rPr>
        <w:t xml:space="preserve"> ולא קתני קדשה</w:t>
      </w:r>
      <w:r w:rsidRPr="000F29DE">
        <w:rPr>
          <w:rFonts w:cs="Arial" w:hint="cs"/>
          <w:sz w:val="16"/>
          <w:szCs w:val="16"/>
          <w:rtl/>
        </w:rPr>
        <w:t>,</w:t>
      </w:r>
      <w:r w:rsidRPr="000F29DE">
        <w:rPr>
          <w:rFonts w:cs="Arial"/>
          <w:sz w:val="16"/>
          <w:szCs w:val="16"/>
          <w:rtl/>
        </w:rPr>
        <w:t xml:space="preserve"> כיון דבקדושין מיירי י"ל דאשמועינן רבותא דאפילו אם אח"כ נשאה באחת משאר ארצות כגון בעבר הירדן כופין אותה לצאת ליהודה מתי שירצה</w:t>
      </w:r>
      <w:r w:rsidRPr="000F29DE">
        <w:rPr>
          <w:rFonts w:cs="Arial" w:hint="cs"/>
          <w:sz w:val="16"/>
          <w:szCs w:val="16"/>
          <w:rtl/>
        </w:rPr>
        <w:t>,</w:t>
      </w:r>
      <w:r w:rsidRPr="000F29DE">
        <w:rPr>
          <w:rFonts w:cs="Arial"/>
          <w:sz w:val="16"/>
          <w:szCs w:val="16"/>
          <w:rtl/>
        </w:rPr>
        <w:t xml:space="preserve"> שעל מנת כן נשאה ע"ד קדושין הראשונים</w:t>
      </w:r>
      <w:r w:rsidRPr="000F29DE">
        <w:rPr>
          <w:rFonts w:cs="Arial" w:hint="cs"/>
          <w:sz w:val="16"/>
          <w:szCs w:val="16"/>
          <w:rtl/>
        </w:rPr>
        <w:t>,</w:t>
      </w:r>
      <w:r w:rsidRPr="000F29DE">
        <w:rPr>
          <w:rFonts w:cs="Arial"/>
          <w:sz w:val="16"/>
          <w:szCs w:val="16"/>
          <w:rtl/>
        </w:rPr>
        <w:t xml:space="preserve"> וכיון דבשעת קדושין היה דר ביהודה</w:t>
      </w:r>
      <w:r w:rsidRPr="000F29DE">
        <w:rPr>
          <w:rFonts w:cs="Arial" w:hint="cs"/>
          <w:sz w:val="16"/>
          <w:szCs w:val="16"/>
          <w:rtl/>
        </w:rPr>
        <w:t>,</w:t>
      </w:r>
      <w:r w:rsidRPr="000F29DE">
        <w:rPr>
          <w:rFonts w:cs="Arial"/>
          <w:sz w:val="16"/>
          <w:szCs w:val="16"/>
          <w:rtl/>
        </w:rPr>
        <w:t xml:space="preserve"> הוי כאילו התנה שתלך אחריו ליהודה</w:t>
      </w:r>
      <w:r w:rsidRPr="000F29DE">
        <w:rPr>
          <w:rFonts w:cs="Arial" w:hint="cs"/>
          <w:sz w:val="16"/>
          <w:szCs w:val="16"/>
          <w:rtl/>
        </w:rPr>
        <w:t>.</w:t>
      </w:r>
      <w:r w:rsidRPr="000F29DE">
        <w:rPr>
          <w:rFonts w:cs="Arial"/>
          <w:sz w:val="16"/>
          <w:szCs w:val="16"/>
          <w:rtl/>
        </w:rPr>
        <w:t xml:space="preserve"> </w:t>
      </w:r>
      <w:r w:rsidRPr="000F29DE">
        <w:rPr>
          <w:rFonts w:cs="Arial"/>
          <w:sz w:val="16"/>
          <w:szCs w:val="16"/>
          <w:u w:val="single"/>
          <w:rtl/>
        </w:rPr>
        <w:t>והירושלמי ה</w:t>
      </w:r>
      <w:r w:rsidRPr="000F29DE">
        <w:rPr>
          <w:rFonts w:cs="Arial" w:hint="cs"/>
          <w:sz w:val="16"/>
          <w:szCs w:val="16"/>
          <w:u w:val="single"/>
          <w:rtl/>
        </w:rPr>
        <w:t>כי פירושו</w:t>
      </w:r>
      <w:r w:rsidRPr="000F29DE">
        <w:rPr>
          <w:rFonts w:cs="Arial" w:hint="cs"/>
          <w:sz w:val="16"/>
          <w:szCs w:val="16"/>
          <w:rtl/>
        </w:rPr>
        <w:t>-</w:t>
      </w:r>
      <w:r w:rsidRPr="000F29DE">
        <w:rPr>
          <w:rFonts w:cs="Arial"/>
          <w:sz w:val="16"/>
          <w:szCs w:val="16"/>
          <w:rtl/>
        </w:rPr>
        <w:t xml:space="preserve"> מתני' כשהיה מיהודה ונשא בגליל פי' שהלך שם </w:t>
      </w:r>
      <w:r w:rsidRPr="000F29DE">
        <w:rPr>
          <w:rFonts w:cs="Arial"/>
          <w:b/>
          <w:bCs/>
          <w:sz w:val="16"/>
          <w:szCs w:val="16"/>
          <w:rtl/>
        </w:rPr>
        <w:t>ונשאה</w:t>
      </w:r>
      <w:r>
        <w:rPr>
          <w:rFonts w:cs="Arial" w:hint="cs"/>
          <w:sz w:val="14"/>
          <w:szCs w:val="14"/>
          <w:rtl/>
        </w:rPr>
        <w:t xml:space="preserve"> {ולא אירס/קידש כבתוספתא}</w:t>
      </w:r>
      <w:r w:rsidRPr="000F29DE">
        <w:rPr>
          <w:rFonts w:cs="Arial" w:hint="cs"/>
          <w:sz w:val="16"/>
          <w:szCs w:val="16"/>
          <w:rtl/>
        </w:rPr>
        <w:t>,</w:t>
      </w:r>
      <w:r w:rsidRPr="000F29DE">
        <w:rPr>
          <w:rFonts w:cs="Arial"/>
          <w:sz w:val="16"/>
          <w:szCs w:val="16"/>
          <w:rtl/>
        </w:rPr>
        <w:t xml:space="preserve"> כיון דהנשואין היו בגליל </w:t>
      </w:r>
      <w:r>
        <w:rPr>
          <w:rFonts w:cs="Arial" w:hint="cs"/>
          <w:sz w:val="16"/>
          <w:szCs w:val="16"/>
          <w:rtl/>
        </w:rPr>
        <w:t xml:space="preserve">- </w:t>
      </w:r>
      <w:r w:rsidRPr="000F29DE">
        <w:rPr>
          <w:rFonts w:cs="Arial"/>
          <w:sz w:val="16"/>
          <w:szCs w:val="16"/>
          <w:rtl/>
        </w:rPr>
        <w:t>אין כופין אותה לילך אחריו ליהודה</w:t>
      </w:r>
      <w:r w:rsidRPr="000F29DE">
        <w:rPr>
          <w:rFonts w:cs="Arial" w:hint="cs"/>
          <w:sz w:val="16"/>
          <w:szCs w:val="16"/>
          <w:rtl/>
        </w:rPr>
        <w:t>.</w:t>
      </w:r>
      <w:r w:rsidRPr="000F29DE">
        <w:rPr>
          <w:rFonts w:cs="Arial"/>
          <w:sz w:val="16"/>
          <w:szCs w:val="16"/>
          <w:rtl/>
        </w:rPr>
        <w:t xml:space="preserve"> אבל אם היה מיהודה ונשא אשה ביהודה שהיא מגליל</w:t>
      </w:r>
      <w:r w:rsidRPr="000F29DE">
        <w:rPr>
          <w:rFonts w:cs="Arial" w:hint="cs"/>
          <w:sz w:val="16"/>
          <w:szCs w:val="16"/>
          <w:rtl/>
        </w:rPr>
        <w:t>,</w:t>
      </w:r>
      <w:r w:rsidRPr="000F29DE">
        <w:rPr>
          <w:rFonts w:cs="Arial"/>
          <w:sz w:val="16"/>
          <w:szCs w:val="16"/>
          <w:rtl/>
        </w:rPr>
        <w:t xml:space="preserve"> ושוב מרדה ושבה אל בית אביה לגליל</w:t>
      </w:r>
      <w:r w:rsidRPr="000F29DE">
        <w:rPr>
          <w:rFonts w:cs="Arial" w:hint="cs"/>
          <w:sz w:val="16"/>
          <w:szCs w:val="16"/>
          <w:rtl/>
        </w:rPr>
        <w:t xml:space="preserve"> -</w:t>
      </w:r>
      <w:r w:rsidRPr="000F29DE">
        <w:rPr>
          <w:rFonts w:cs="Arial"/>
          <w:sz w:val="16"/>
          <w:szCs w:val="16"/>
          <w:rtl/>
        </w:rPr>
        <w:t xml:space="preserve"> כופין אותה לצאת משם ליהודה</w:t>
      </w:r>
      <w:r w:rsidRPr="000F29DE">
        <w:rPr>
          <w:rFonts w:cs="Arial" w:hint="cs"/>
          <w:sz w:val="16"/>
          <w:szCs w:val="16"/>
          <w:rtl/>
        </w:rPr>
        <w:t>,</w:t>
      </w:r>
      <w:r w:rsidRPr="000F29DE">
        <w:rPr>
          <w:rFonts w:cs="Arial"/>
          <w:sz w:val="16"/>
          <w:szCs w:val="16"/>
          <w:rtl/>
        </w:rPr>
        <w:t xml:space="preserve"> כיון שנשאת לו ביהודה. </w:t>
      </w:r>
      <w:r w:rsidRPr="000F29DE">
        <w:rPr>
          <w:rFonts w:cs="Arial" w:hint="cs"/>
          <w:sz w:val="16"/>
          <w:szCs w:val="16"/>
          <w:rtl/>
        </w:rPr>
        <w:t>'</w:t>
      </w:r>
      <w:r w:rsidRPr="000F29DE">
        <w:rPr>
          <w:rFonts w:cs="Arial"/>
          <w:sz w:val="16"/>
          <w:szCs w:val="16"/>
          <w:rtl/>
        </w:rPr>
        <w:t>אני פלוני שמיהודה</w:t>
      </w:r>
      <w:r w:rsidRPr="000F29DE">
        <w:rPr>
          <w:rFonts w:cs="Arial" w:hint="cs"/>
          <w:sz w:val="16"/>
          <w:szCs w:val="16"/>
          <w:rtl/>
        </w:rPr>
        <w:t>...</w:t>
      </w:r>
      <w:r w:rsidRPr="000F29DE">
        <w:rPr>
          <w:rFonts w:cs="Arial"/>
          <w:sz w:val="16"/>
          <w:szCs w:val="16"/>
          <w:rtl/>
        </w:rPr>
        <w:t>' כך היו רגילים לכתוב ולחתום בשעת נשואין</w:t>
      </w:r>
      <w:r w:rsidRPr="000F29DE">
        <w:rPr>
          <w:rFonts w:cs="Arial" w:hint="cs"/>
          <w:sz w:val="16"/>
          <w:szCs w:val="16"/>
          <w:rtl/>
        </w:rPr>
        <w:t>,</w:t>
      </w:r>
      <w:r w:rsidRPr="000F29DE">
        <w:rPr>
          <w:rFonts w:cs="Arial"/>
          <w:sz w:val="16"/>
          <w:szCs w:val="16"/>
          <w:rtl/>
        </w:rPr>
        <w:t xml:space="preserve"> לפי שיש מקומות שאין כותבין כתובה וישתכח הדבר באי זה מקום נשאה</w:t>
      </w:r>
      <w:r w:rsidRPr="000F29DE">
        <w:rPr>
          <w:rFonts w:cs="Arial" w:hint="cs"/>
          <w:sz w:val="16"/>
          <w:szCs w:val="16"/>
          <w:rtl/>
        </w:rPr>
        <w:t>.</w:t>
      </w:r>
      <w:r w:rsidRPr="000F29DE">
        <w:rPr>
          <w:rFonts w:cs="Arial"/>
          <w:sz w:val="16"/>
          <w:szCs w:val="16"/>
          <w:rtl/>
        </w:rPr>
        <w:t xml:space="preserve"> ואפילו במקום שכותבין כתובה שמא תטמין הכתובה ותאמר שנשאה בגליל לפיכך היו כותבין לידע באי זה מקום נשאה. </w:t>
      </w:r>
      <w:r w:rsidRPr="000F29DE">
        <w:rPr>
          <w:rFonts w:cs="Arial" w:hint="cs"/>
          <w:sz w:val="16"/>
          <w:szCs w:val="16"/>
          <w:rtl/>
        </w:rPr>
        <w:t>'</w:t>
      </w:r>
      <w:r w:rsidRPr="000F29DE">
        <w:rPr>
          <w:rFonts w:cs="Arial"/>
          <w:sz w:val="16"/>
          <w:szCs w:val="16"/>
          <w:rtl/>
        </w:rPr>
        <w:t>כופין אותה לצאת</w:t>
      </w:r>
      <w:r w:rsidRPr="000F29DE">
        <w:rPr>
          <w:rFonts w:cs="Arial" w:hint="cs"/>
          <w:sz w:val="16"/>
          <w:szCs w:val="16"/>
          <w:rtl/>
        </w:rPr>
        <w:t>'</w:t>
      </w:r>
      <w:r w:rsidRPr="000F29DE">
        <w:rPr>
          <w:rFonts w:cs="Arial"/>
          <w:sz w:val="16"/>
          <w:szCs w:val="16"/>
          <w:rtl/>
        </w:rPr>
        <w:t xml:space="preserve"> ליהודה</w:t>
      </w:r>
      <w:r w:rsidRPr="000F29DE">
        <w:rPr>
          <w:rFonts w:cs="Arial" w:hint="cs"/>
          <w:sz w:val="16"/>
          <w:szCs w:val="16"/>
          <w:rtl/>
        </w:rPr>
        <w:t>.</w:t>
      </w:r>
      <w:r w:rsidRPr="000F29DE">
        <w:rPr>
          <w:rFonts w:cs="Arial"/>
          <w:sz w:val="16"/>
          <w:szCs w:val="16"/>
          <w:rtl/>
        </w:rPr>
        <w:t xml:space="preserve"> </w:t>
      </w:r>
      <w:r w:rsidRPr="000F29DE">
        <w:rPr>
          <w:rFonts w:cs="Arial" w:hint="cs"/>
          <w:sz w:val="16"/>
          <w:szCs w:val="16"/>
          <w:rtl/>
        </w:rPr>
        <w:t>'</w:t>
      </w:r>
      <w:r w:rsidRPr="000F29DE">
        <w:rPr>
          <w:rFonts w:cs="Arial"/>
          <w:sz w:val="16"/>
          <w:szCs w:val="16"/>
          <w:rtl/>
        </w:rPr>
        <w:t>מגליל אין כופין אותה לצאת</w:t>
      </w:r>
      <w:r w:rsidRPr="000F29DE">
        <w:rPr>
          <w:rFonts w:cs="Arial" w:hint="cs"/>
          <w:sz w:val="16"/>
          <w:szCs w:val="16"/>
          <w:rtl/>
        </w:rPr>
        <w:t>',</w:t>
      </w:r>
      <w:r w:rsidRPr="000F29DE">
        <w:rPr>
          <w:rFonts w:cs="Arial"/>
          <w:sz w:val="16"/>
          <w:szCs w:val="16"/>
          <w:rtl/>
        </w:rPr>
        <w:t xml:space="preserve"> פירוש אבל אם כתבו אני פלוני מיהודה ונשא אשה בגליל אין כופין אותה לצאת מגליל עכ"ל</w:t>
      </w:r>
      <w:r w:rsidR="00AA7730">
        <w:rPr>
          <w:rStyle w:val="a7"/>
          <w:rFonts w:cs="Arial"/>
          <w:sz w:val="16"/>
          <w:szCs w:val="16"/>
          <w:rtl/>
        </w:rPr>
        <w:footnoteReference w:id="431"/>
      </w:r>
      <w:r>
        <w:rPr>
          <w:rFonts w:cs="Arial" w:hint="cs"/>
          <w:sz w:val="16"/>
          <w:szCs w:val="16"/>
          <w:rtl/>
        </w:rPr>
        <w:t xml:space="preserve">) </w:t>
      </w:r>
    </w:p>
    <w:p w14:paraId="795F7889" w14:textId="66E4780C" w:rsidR="00200403" w:rsidRDefault="00200403" w:rsidP="00C845AE">
      <w:pPr>
        <w:rPr>
          <w:rFonts w:cs="Arial"/>
          <w:u w:val="single"/>
          <w:rtl/>
        </w:rPr>
      </w:pPr>
      <w:r w:rsidRPr="00200403">
        <w:rPr>
          <w:rFonts w:cs="Arial" w:hint="cs"/>
          <w:u w:val="single"/>
          <w:rtl/>
        </w:rPr>
        <w:t xml:space="preserve">נשא אשה </w:t>
      </w:r>
      <w:r w:rsidR="00A361F0">
        <w:rPr>
          <w:rFonts w:cs="Arial" w:hint="cs"/>
          <w:u w:val="single"/>
          <w:rtl/>
        </w:rPr>
        <w:t>ורוצה להוציאה לארץ אחרת</w:t>
      </w:r>
      <w:r w:rsidR="008427E1">
        <w:rPr>
          <w:rFonts w:cs="Arial" w:hint="cs"/>
          <w:u w:val="single"/>
          <w:rtl/>
        </w:rPr>
        <w:t>,</w:t>
      </w:r>
      <w:r w:rsidR="00A361F0">
        <w:rPr>
          <w:rFonts w:cs="Arial" w:hint="cs"/>
          <w:u w:val="single"/>
          <w:rtl/>
        </w:rPr>
        <w:t xml:space="preserve"> מה הדין במקרים הבאים</w:t>
      </w:r>
      <w:r w:rsidRPr="00200403">
        <w:rPr>
          <w:rFonts w:cs="Arial" w:hint="cs"/>
          <w:u w:val="single"/>
          <w:rtl/>
        </w:rPr>
        <w:t>:</w:t>
      </w:r>
    </w:p>
    <w:p w14:paraId="79C95436" w14:textId="12E3F0C0" w:rsidR="00A361F0" w:rsidRPr="00A361F0" w:rsidRDefault="00A361F0" w:rsidP="00A361F0">
      <w:pPr>
        <w:ind w:left="360"/>
        <w:rPr>
          <w:rFonts w:cs="Arial"/>
          <w:u w:val="dotted"/>
          <w:rtl/>
        </w:rPr>
      </w:pPr>
      <w:r w:rsidRPr="00A361F0">
        <w:rPr>
          <w:rFonts w:cs="Arial" w:hint="cs"/>
          <w:u w:val="dotted"/>
          <w:rtl/>
        </w:rPr>
        <w:t>הוא מארץ אחת</w:t>
      </w:r>
      <w:r w:rsidR="000F29DE">
        <w:rPr>
          <w:rFonts w:cs="Arial" w:hint="cs"/>
          <w:u w:val="dotted"/>
          <w:rtl/>
        </w:rPr>
        <w:t>,</w:t>
      </w:r>
      <w:r w:rsidRPr="00A361F0">
        <w:rPr>
          <w:rFonts w:cs="Arial" w:hint="cs"/>
          <w:u w:val="dotted"/>
          <w:rtl/>
        </w:rPr>
        <w:t xml:space="preserve"> ונשאה בארץ אחרת:</w:t>
      </w:r>
    </w:p>
    <w:p w14:paraId="6771A92D" w14:textId="17FE5A10" w:rsidR="00A361F0" w:rsidRDefault="0004381A" w:rsidP="00C845AE">
      <w:pPr>
        <w:pStyle w:val="ab"/>
        <w:numPr>
          <w:ilvl w:val="0"/>
          <w:numId w:val="7"/>
        </w:numPr>
      </w:pPr>
      <w:r>
        <w:rPr>
          <w:rFonts w:cs="Arial" w:hint="cs"/>
          <w:rtl/>
        </w:rPr>
        <w:lastRenderedPageBreak/>
        <w:t xml:space="preserve">רי"ף </w:t>
      </w:r>
      <w:r>
        <w:rPr>
          <w:rFonts w:cs="Arial" w:hint="cs"/>
          <w:sz w:val="16"/>
          <w:szCs w:val="16"/>
          <w:rtl/>
        </w:rPr>
        <w:t>(</w:t>
      </w:r>
      <w:r w:rsidRPr="0004381A">
        <w:rPr>
          <w:rFonts w:cs="Arial" w:hint="cs"/>
          <w:sz w:val="16"/>
          <w:szCs w:val="16"/>
          <w:rtl/>
        </w:rPr>
        <w:t>סה:)</w:t>
      </w:r>
      <w:r>
        <w:rPr>
          <w:rFonts w:cs="Arial" w:hint="cs"/>
          <w:rtl/>
        </w:rPr>
        <w:t xml:space="preserve"> רמב"ם </w:t>
      </w:r>
      <w:r>
        <w:rPr>
          <w:rFonts w:cs="Arial" w:hint="cs"/>
          <w:sz w:val="16"/>
          <w:szCs w:val="16"/>
          <w:rtl/>
        </w:rPr>
        <w:t>(פי"ג מאישות הי"ז)</w:t>
      </w:r>
      <w:r w:rsidR="00E705E4">
        <w:rPr>
          <w:rFonts w:cs="Arial" w:hint="cs"/>
          <w:rtl/>
        </w:rPr>
        <w:t xml:space="preserve"> וטור</w:t>
      </w:r>
      <w:r>
        <w:rPr>
          <w:rFonts w:cs="Arial" w:hint="cs"/>
          <w:rtl/>
        </w:rPr>
        <w:t xml:space="preserve">- </w:t>
      </w:r>
      <w:r w:rsidRPr="0004381A">
        <w:rPr>
          <w:rFonts w:cs="Arial"/>
          <w:rtl/>
        </w:rPr>
        <w:t xml:space="preserve">איש שהיה מארץ מן הארצות ונשא אשה בארץ אחרת </w:t>
      </w:r>
      <w:r w:rsidR="00E705E4">
        <w:rPr>
          <w:rFonts w:cs="Arial" w:hint="cs"/>
          <w:rtl/>
        </w:rPr>
        <w:t xml:space="preserve">- </w:t>
      </w:r>
      <w:r w:rsidRPr="0004381A">
        <w:rPr>
          <w:rFonts w:cs="Arial"/>
          <w:rtl/>
        </w:rPr>
        <w:t>כופין אותה ויוצאה עמו לארצו</w:t>
      </w:r>
      <w:r w:rsidR="00E705E4">
        <w:rPr>
          <w:rFonts w:cs="Arial" w:hint="cs"/>
          <w:rtl/>
        </w:rPr>
        <w:t>,</w:t>
      </w:r>
      <w:r w:rsidRPr="0004381A">
        <w:rPr>
          <w:rFonts w:cs="Arial"/>
          <w:rtl/>
        </w:rPr>
        <w:t xml:space="preserve"> או תצא בלא כתובה</w:t>
      </w:r>
      <w:r w:rsidR="00E705E4">
        <w:rPr>
          <w:rFonts w:cs="Arial" w:hint="cs"/>
          <w:rtl/>
        </w:rPr>
        <w:t>,</w:t>
      </w:r>
      <w:r w:rsidRPr="0004381A">
        <w:rPr>
          <w:rFonts w:cs="Arial"/>
          <w:rtl/>
        </w:rPr>
        <w:t xml:space="preserve"> שעל מנת כן נשאה אע</w:t>
      </w:r>
      <w:r w:rsidR="008427E1">
        <w:rPr>
          <w:rFonts w:cs="Arial" w:hint="cs"/>
          <w:rtl/>
        </w:rPr>
        <w:t>"</w:t>
      </w:r>
      <w:r w:rsidRPr="0004381A">
        <w:rPr>
          <w:rFonts w:cs="Arial"/>
          <w:rtl/>
        </w:rPr>
        <w:t>פ שלא פירש</w:t>
      </w:r>
      <w:r w:rsidR="000F29DE">
        <w:rPr>
          <w:rFonts w:cs="Arial" w:hint="cs"/>
          <w:sz w:val="16"/>
          <w:szCs w:val="16"/>
          <w:rtl/>
        </w:rPr>
        <w:t xml:space="preserve"> (ל' הרמב"ם)</w:t>
      </w:r>
      <w:r w:rsidR="00E705E4">
        <w:rPr>
          <w:rFonts w:cs="Arial" w:hint="cs"/>
          <w:rtl/>
        </w:rPr>
        <w:t>.</w:t>
      </w:r>
      <w:r w:rsidRPr="0004381A">
        <w:rPr>
          <w:rFonts w:cs="Arial"/>
          <w:rtl/>
        </w:rPr>
        <w:t xml:space="preserve"> </w:t>
      </w:r>
      <w:r w:rsidR="00A754AD" w:rsidRPr="00A73B2D">
        <w:rPr>
          <w:rFonts w:hint="cs"/>
          <w:color w:val="E36C0A" w:themeColor="accent6" w:themeShade="BF"/>
          <w:rtl/>
        </w:rPr>
        <w:t>(וכ"פ בשו"ע</w:t>
      </w:r>
      <w:r w:rsidR="00A754AD">
        <w:rPr>
          <w:rFonts w:hint="cs"/>
          <w:color w:val="E36C0A" w:themeColor="accent6" w:themeShade="BF"/>
          <w:rtl/>
        </w:rPr>
        <w:t>)</w:t>
      </w:r>
    </w:p>
    <w:p w14:paraId="454F4217" w14:textId="12F938AA" w:rsidR="00A361F0" w:rsidRDefault="00A361F0" w:rsidP="00AA7730">
      <w:pPr>
        <w:pStyle w:val="ab"/>
        <w:numPr>
          <w:ilvl w:val="0"/>
          <w:numId w:val="7"/>
        </w:numPr>
      </w:pPr>
      <w:r>
        <w:rPr>
          <w:rFonts w:cs="Arial" w:hint="cs"/>
          <w:rtl/>
        </w:rPr>
        <w:t>מהר"ם</w:t>
      </w:r>
      <w:r>
        <w:rPr>
          <w:rFonts w:cs="Arial" w:hint="cs"/>
          <w:sz w:val="16"/>
          <w:szCs w:val="16"/>
          <w:rtl/>
        </w:rPr>
        <w:t xml:space="preserve"> (</w:t>
      </w:r>
      <w:r w:rsidR="00EB45C3">
        <w:rPr>
          <w:rFonts w:cs="Arial" w:hint="cs"/>
          <w:sz w:val="16"/>
          <w:szCs w:val="16"/>
          <w:rtl/>
        </w:rPr>
        <w:t xml:space="preserve">עי' בספר סיני וליקוטים סי' תקסד, </w:t>
      </w:r>
      <w:r>
        <w:rPr>
          <w:rFonts w:cs="Arial" w:hint="cs"/>
          <w:sz w:val="16"/>
          <w:szCs w:val="16"/>
          <w:rtl/>
        </w:rPr>
        <w:t xml:space="preserve">כ"כ </w:t>
      </w:r>
      <w:r w:rsidR="00496BC7">
        <w:rPr>
          <w:rFonts w:cs="Arial" w:hint="cs"/>
          <w:sz w:val="16"/>
          <w:szCs w:val="16"/>
          <w:rtl/>
        </w:rPr>
        <w:t>הרא"ש</w:t>
      </w:r>
      <w:r w:rsidR="000F29DE">
        <w:rPr>
          <w:rFonts w:cs="Arial" w:hint="cs"/>
          <w:sz w:val="16"/>
          <w:szCs w:val="16"/>
          <w:rtl/>
        </w:rPr>
        <w:t xml:space="preserve"> </w:t>
      </w:r>
      <w:r w:rsidR="000F29DE" w:rsidRPr="000F29DE">
        <w:rPr>
          <w:rFonts w:cs="Arial" w:hint="cs"/>
          <w:sz w:val="14"/>
          <w:szCs w:val="14"/>
          <w:rtl/>
        </w:rPr>
        <w:t>[שם]</w:t>
      </w:r>
      <w:r w:rsidR="00496BC7">
        <w:rPr>
          <w:rFonts w:cs="Arial" w:hint="cs"/>
          <w:sz w:val="16"/>
          <w:szCs w:val="16"/>
          <w:rtl/>
        </w:rPr>
        <w:t xml:space="preserve"> המרדכי </w:t>
      </w:r>
      <w:r w:rsidR="000F29DE" w:rsidRPr="000F29DE">
        <w:rPr>
          <w:rFonts w:cs="Arial" w:hint="cs"/>
          <w:sz w:val="14"/>
          <w:szCs w:val="14"/>
          <w:rtl/>
        </w:rPr>
        <w:t>[שם]</w:t>
      </w:r>
      <w:r w:rsidR="000F29DE">
        <w:rPr>
          <w:rFonts w:cs="Arial" w:hint="cs"/>
          <w:sz w:val="14"/>
          <w:szCs w:val="14"/>
          <w:rtl/>
        </w:rPr>
        <w:t xml:space="preserve"> </w:t>
      </w:r>
      <w:r w:rsidR="00496BC7">
        <w:rPr>
          <w:rFonts w:cs="Arial" w:hint="cs"/>
          <w:sz w:val="16"/>
          <w:szCs w:val="16"/>
          <w:rtl/>
        </w:rPr>
        <w:t>ו</w:t>
      </w:r>
      <w:r>
        <w:rPr>
          <w:rFonts w:cs="Arial" w:hint="cs"/>
          <w:sz w:val="16"/>
          <w:szCs w:val="16"/>
          <w:rtl/>
        </w:rPr>
        <w:t>הטור בשמו)</w:t>
      </w:r>
      <w:r>
        <w:rPr>
          <w:rFonts w:cs="Arial" w:hint="cs"/>
          <w:rtl/>
        </w:rPr>
        <w:t xml:space="preserve">- </w:t>
      </w:r>
      <w:r w:rsidRPr="00C845AE">
        <w:rPr>
          <w:rFonts w:cs="Arial"/>
          <w:rtl/>
        </w:rPr>
        <w:t>אם הוא מיהודה</w:t>
      </w:r>
      <w:r w:rsidR="00AA7730">
        <w:rPr>
          <w:rFonts w:cs="Arial" w:hint="cs"/>
          <w:rtl/>
        </w:rPr>
        <w:t>,</w:t>
      </w:r>
      <w:r w:rsidRPr="00C845AE">
        <w:rPr>
          <w:rFonts w:cs="Arial"/>
          <w:rtl/>
        </w:rPr>
        <w:t xml:space="preserve"> </w:t>
      </w:r>
      <w:r w:rsidRPr="00AA7730">
        <w:rPr>
          <w:rFonts w:cs="Arial"/>
          <w:b/>
          <w:bCs/>
          <w:rtl/>
        </w:rPr>
        <w:t>וקדשה</w:t>
      </w:r>
      <w:r w:rsidRPr="00C845AE">
        <w:rPr>
          <w:rFonts w:cs="Arial"/>
          <w:rtl/>
        </w:rPr>
        <w:t xml:space="preserve"> בגליל</w:t>
      </w:r>
      <w:r w:rsidR="00AA7730">
        <w:rPr>
          <w:rFonts w:cs="Arial" w:hint="cs"/>
          <w:rtl/>
        </w:rPr>
        <w:t>,</w:t>
      </w:r>
      <w:r w:rsidRPr="00C845AE">
        <w:rPr>
          <w:rFonts w:cs="Arial"/>
          <w:rtl/>
        </w:rPr>
        <w:t xml:space="preserve"> אפי' לא נשאה בגליל אלא בעבר הירדן </w:t>
      </w:r>
      <w:r>
        <w:rPr>
          <w:rFonts w:cs="Arial" w:hint="cs"/>
          <w:rtl/>
        </w:rPr>
        <w:t xml:space="preserve">- </w:t>
      </w:r>
      <w:r w:rsidRPr="00C845AE">
        <w:rPr>
          <w:rFonts w:cs="Arial"/>
          <w:rtl/>
        </w:rPr>
        <w:t xml:space="preserve">צריכה לילך אחריו ליהודה </w:t>
      </w:r>
      <w:r w:rsidRPr="00E705E4">
        <w:rPr>
          <w:rFonts w:cs="Arial"/>
          <w:rtl/>
        </w:rPr>
        <w:t>שהיה מקומו בשעה שקדשה</w:t>
      </w:r>
      <w:r w:rsidR="00496BC7">
        <w:rPr>
          <w:rFonts w:cs="Arial" w:hint="cs"/>
          <w:sz w:val="16"/>
          <w:szCs w:val="16"/>
          <w:rtl/>
        </w:rPr>
        <w:t xml:space="preserve"> (ל' הטור בשמו)</w:t>
      </w:r>
      <w:r w:rsidRPr="00E705E4">
        <w:rPr>
          <w:rFonts w:cs="Arial" w:hint="cs"/>
          <w:rtl/>
        </w:rPr>
        <w:t>.</w:t>
      </w:r>
      <w:r w:rsidRPr="00E705E4">
        <w:rPr>
          <w:rFonts w:cs="Arial"/>
          <w:rtl/>
        </w:rPr>
        <w:t xml:space="preserve"> </w:t>
      </w:r>
      <w:r w:rsidR="00AA7730">
        <w:rPr>
          <w:rFonts w:hint="cs"/>
          <w:rtl/>
        </w:rPr>
        <w:t xml:space="preserve">אבל אם </w:t>
      </w:r>
      <w:r w:rsidR="000F29DE" w:rsidRPr="000F29DE">
        <w:rPr>
          <w:b/>
          <w:bCs/>
          <w:rtl/>
        </w:rPr>
        <w:t>נשא</w:t>
      </w:r>
      <w:r w:rsidR="000F29DE" w:rsidRPr="000F29DE">
        <w:rPr>
          <w:rtl/>
        </w:rPr>
        <w:t xml:space="preserve"> בגליל</w:t>
      </w:r>
      <w:r w:rsidR="00AA7730">
        <w:rPr>
          <w:rFonts w:hint="cs"/>
          <w:rtl/>
        </w:rPr>
        <w:t>,</w:t>
      </w:r>
      <w:r w:rsidR="000F29DE" w:rsidRPr="000F29DE">
        <w:rPr>
          <w:rtl/>
        </w:rPr>
        <w:t xml:space="preserve"> כיון דהנשואין היו בגליל </w:t>
      </w:r>
      <w:r w:rsidR="00AA7730" w:rsidRPr="00AA7730">
        <w:rPr>
          <w:rFonts w:hint="cs"/>
          <w:rtl/>
        </w:rPr>
        <w:t xml:space="preserve">- </w:t>
      </w:r>
      <w:r w:rsidR="000F29DE" w:rsidRPr="000F29DE">
        <w:rPr>
          <w:rtl/>
        </w:rPr>
        <w:t>אין כופין אותה לילך אחריו ליהודה</w:t>
      </w:r>
      <w:r w:rsidR="00AA7730">
        <w:rPr>
          <w:rFonts w:hint="cs"/>
          <w:sz w:val="16"/>
          <w:szCs w:val="16"/>
          <w:rtl/>
        </w:rPr>
        <w:t xml:space="preserve"> (ל' הרא"ש בשמו)</w:t>
      </w:r>
      <w:r w:rsidR="00AA7730">
        <w:rPr>
          <w:rFonts w:hint="cs"/>
          <w:rtl/>
        </w:rPr>
        <w:t>.</w:t>
      </w:r>
    </w:p>
    <w:p w14:paraId="13EF6674" w14:textId="7C3F090F" w:rsidR="00085CBE" w:rsidRPr="00AA7730" w:rsidRDefault="00085CBE" w:rsidP="00AA7730">
      <w:pPr>
        <w:pStyle w:val="ab"/>
        <w:numPr>
          <w:ilvl w:val="0"/>
          <w:numId w:val="7"/>
        </w:numPr>
      </w:pPr>
      <w:r w:rsidRPr="00557191">
        <w:rPr>
          <w:rFonts w:cs="Arial"/>
          <w:rtl/>
        </w:rPr>
        <w:t xml:space="preserve">ר"ת </w:t>
      </w:r>
      <w:r>
        <w:rPr>
          <w:rFonts w:cs="Arial" w:hint="cs"/>
          <w:sz w:val="16"/>
          <w:szCs w:val="16"/>
          <w:rtl/>
        </w:rPr>
        <w:t>(</w:t>
      </w:r>
      <w:r w:rsidR="00EB45C3">
        <w:rPr>
          <w:rFonts w:cs="Arial" w:hint="cs"/>
          <w:sz w:val="16"/>
          <w:szCs w:val="16"/>
          <w:rtl/>
        </w:rPr>
        <w:t xml:space="preserve">כ"כ הרא"ש </w:t>
      </w:r>
      <w:r w:rsidR="00EB45C3" w:rsidRPr="000F29DE">
        <w:rPr>
          <w:rFonts w:cs="Arial" w:hint="cs"/>
          <w:sz w:val="14"/>
          <w:szCs w:val="14"/>
          <w:rtl/>
        </w:rPr>
        <w:t>[שם]</w:t>
      </w:r>
      <w:r w:rsidR="00EB45C3">
        <w:rPr>
          <w:rFonts w:cs="Arial" w:hint="cs"/>
          <w:sz w:val="16"/>
          <w:szCs w:val="16"/>
          <w:rtl/>
        </w:rPr>
        <w:t xml:space="preserve"> המרדכי </w:t>
      </w:r>
      <w:r w:rsidR="00EB45C3" w:rsidRPr="000F29DE">
        <w:rPr>
          <w:rFonts w:cs="Arial" w:hint="cs"/>
          <w:sz w:val="14"/>
          <w:szCs w:val="14"/>
          <w:rtl/>
        </w:rPr>
        <w:t>[שם]</w:t>
      </w:r>
      <w:r w:rsidR="00EB45C3">
        <w:rPr>
          <w:rFonts w:cs="Arial" w:hint="cs"/>
          <w:sz w:val="14"/>
          <w:szCs w:val="14"/>
          <w:rtl/>
        </w:rPr>
        <w:t xml:space="preserve"> </w:t>
      </w:r>
      <w:r w:rsidR="00EB45C3">
        <w:rPr>
          <w:rFonts w:cs="Arial" w:hint="cs"/>
          <w:sz w:val="16"/>
          <w:szCs w:val="16"/>
          <w:rtl/>
        </w:rPr>
        <w:t>והטור בשמו</w:t>
      </w:r>
      <w:r>
        <w:rPr>
          <w:rFonts w:cs="Arial" w:hint="cs"/>
          <w:sz w:val="16"/>
          <w:szCs w:val="16"/>
          <w:rtl/>
        </w:rPr>
        <w:t>)</w:t>
      </w:r>
      <w:r>
        <w:rPr>
          <w:rFonts w:cs="Arial" w:hint="cs"/>
          <w:rtl/>
        </w:rPr>
        <w:t xml:space="preserve">- </w:t>
      </w:r>
      <w:r w:rsidRPr="00557191">
        <w:rPr>
          <w:rFonts w:cs="Arial"/>
          <w:rtl/>
        </w:rPr>
        <w:t>אבל אם הלך הוא לגליל</w:t>
      </w:r>
      <w:r>
        <w:rPr>
          <w:rFonts w:cs="Arial" w:hint="cs"/>
          <w:rtl/>
        </w:rPr>
        <w:t>,</w:t>
      </w:r>
      <w:r w:rsidRPr="00557191">
        <w:rPr>
          <w:rFonts w:cs="Arial"/>
          <w:rtl/>
        </w:rPr>
        <w:t xml:space="preserve"> ונשאה שם </w:t>
      </w:r>
      <w:r>
        <w:rPr>
          <w:rFonts w:cs="Arial" w:hint="cs"/>
          <w:rtl/>
        </w:rPr>
        <w:t xml:space="preserve">- </w:t>
      </w:r>
      <w:r w:rsidRPr="00557191">
        <w:rPr>
          <w:rFonts w:cs="Arial"/>
          <w:rtl/>
        </w:rPr>
        <w:t>אז כופין אותו לעמוד שם עמה</w:t>
      </w:r>
      <w:r>
        <w:rPr>
          <w:rFonts w:cs="Arial" w:hint="cs"/>
          <w:rtl/>
        </w:rPr>
        <w:t>.</w:t>
      </w:r>
      <w:r w:rsidRPr="00557191">
        <w:rPr>
          <w:rFonts w:cs="Arial"/>
          <w:rtl/>
        </w:rPr>
        <w:t xml:space="preserve"> ואם האיש והאשה ממקום אחד ביהודה</w:t>
      </w:r>
      <w:r>
        <w:rPr>
          <w:rFonts w:cs="Arial" w:hint="cs"/>
          <w:rtl/>
        </w:rPr>
        <w:t>,</w:t>
      </w:r>
      <w:r w:rsidRPr="00557191">
        <w:rPr>
          <w:rFonts w:cs="Arial"/>
          <w:rtl/>
        </w:rPr>
        <w:t xml:space="preserve"> אף על פי שנשאה בגליל </w:t>
      </w:r>
      <w:r>
        <w:rPr>
          <w:rFonts w:cs="Arial" w:hint="cs"/>
          <w:rtl/>
        </w:rPr>
        <w:t xml:space="preserve">- </w:t>
      </w:r>
      <w:r w:rsidRPr="00557191">
        <w:rPr>
          <w:rFonts w:cs="Arial"/>
          <w:rtl/>
        </w:rPr>
        <w:t>כופין אותו לצאת מגליל אפילו מעיר לכרך ומכרך לעיר</w:t>
      </w:r>
      <w:r>
        <w:rPr>
          <w:rFonts w:cs="Arial" w:hint="cs"/>
          <w:rtl/>
        </w:rPr>
        <w:t xml:space="preserve"> </w:t>
      </w:r>
      <w:r>
        <w:rPr>
          <w:rFonts w:cs="Arial" w:hint="cs"/>
          <w:sz w:val="16"/>
          <w:szCs w:val="16"/>
          <w:rtl/>
        </w:rPr>
        <w:t>(ל' הטור בשמו)</w:t>
      </w:r>
      <w:r>
        <w:rPr>
          <w:rFonts w:cs="Arial" w:hint="cs"/>
          <w:rtl/>
        </w:rPr>
        <w:t>.</w:t>
      </w:r>
      <w:r w:rsidR="00517F2D" w:rsidRPr="00517F2D">
        <w:rPr>
          <w:rFonts w:hint="cs"/>
          <w:color w:val="00B0F0"/>
          <w:rtl/>
        </w:rPr>
        <w:t xml:space="preserve"> </w:t>
      </w:r>
      <w:r w:rsidR="00517F2D" w:rsidRPr="000F4F98">
        <w:rPr>
          <w:rFonts w:hint="cs"/>
          <w:color w:val="00B0F0"/>
          <w:rtl/>
        </w:rPr>
        <w:t>(וכ"</w:t>
      </w:r>
      <w:r w:rsidR="00517F2D">
        <w:rPr>
          <w:rFonts w:hint="cs"/>
          <w:color w:val="00B0F0"/>
          <w:rtl/>
        </w:rPr>
        <w:t>כ</w:t>
      </w:r>
      <w:r w:rsidR="00517F2D" w:rsidRPr="000F4F98">
        <w:rPr>
          <w:rFonts w:hint="cs"/>
          <w:color w:val="00B0F0"/>
          <w:rtl/>
        </w:rPr>
        <w:t xml:space="preserve"> </w:t>
      </w:r>
      <w:r w:rsidR="00517F2D">
        <w:rPr>
          <w:rFonts w:hint="cs"/>
          <w:color w:val="00B0F0"/>
          <w:rtl/>
        </w:rPr>
        <w:t>הרמ"א)</w:t>
      </w:r>
    </w:p>
    <w:p w14:paraId="28B7E545" w14:textId="4D97AA0D" w:rsidR="00A361F0" w:rsidRPr="000F29DE" w:rsidRDefault="000F29DE" w:rsidP="00A361F0">
      <w:pPr>
        <w:ind w:left="360"/>
        <w:rPr>
          <w:u w:val="dotted"/>
        </w:rPr>
      </w:pPr>
      <w:r w:rsidRPr="000F29DE">
        <w:rPr>
          <w:rFonts w:hint="cs"/>
          <w:u w:val="dotted"/>
          <w:rtl/>
        </w:rPr>
        <w:t>הוא מארץ אחת</w:t>
      </w:r>
      <w:r>
        <w:rPr>
          <w:rFonts w:hint="cs"/>
          <w:u w:val="dotted"/>
          <w:rtl/>
        </w:rPr>
        <w:t>,</w:t>
      </w:r>
      <w:r w:rsidRPr="000F29DE">
        <w:rPr>
          <w:rFonts w:hint="cs"/>
          <w:u w:val="dotted"/>
          <w:rtl/>
        </w:rPr>
        <w:t xml:space="preserve"> ונשאה בארצו:</w:t>
      </w:r>
    </w:p>
    <w:p w14:paraId="62FB19C1" w14:textId="189B4A08" w:rsidR="0004381A" w:rsidRDefault="00A361F0" w:rsidP="00C845AE">
      <w:pPr>
        <w:pStyle w:val="ab"/>
        <w:numPr>
          <w:ilvl w:val="0"/>
          <w:numId w:val="7"/>
        </w:numPr>
      </w:pPr>
      <w:r>
        <w:rPr>
          <w:rFonts w:cs="Arial" w:hint="cs"/>
          <w:rtl/>
        </w:rPr>
        <w:t xml:space="preserve">רי"ף </w:t>
      </w:r>
      <w:r>
        <w:rPr>
          <w:rFonts w:cs="Arial" w:hint="cs"/>
          <w:sz w:val="16"/>
          <w:szCs w:val="16"/>
          <w:rtl/>
        </w:rPr>
        <w:t>(</w:t>
      </w:r>
      <w:r w:rsidRPr="0004381A">
        <w:rPr>
          <w:rFonts w:cs="Arial" w:hint="cs"/>
          <w:sz w:val="16"/>
          <w:szCs w:val="16"/>
          <w:rtl/>
        </w:rPr>
        <w:t>סה:)</w:t>
      </w:r>
      <w:r>
        <w:rPr>
          <w:rFonts w:cs="Arial" w:hint="cs"/>
          <w:rtl/>
        </w:rPr>
        <w:t xml:space="preserve"> רמב"ם </w:t>
      </w:r>
      <w:r>
        <w:rPr>
          <w:rFonts w:cs="Arial" w:hint="cs"/>
          <w:sz w:val="16"/>
          <w:szCs w:val="16"/>
          <w:rtl/>
        </w:rPr>
        <w:t>(פי"ג מאישות הי"ז)</w:t>
      </w:r>
      <w:r>
        <w:rPr>
          <w:rFonts w:cs="Arial" w:hint="cs"/>
          <w:rtl/>
        </w:rPr>
        <w:t xml:space="preserve"> </w:t>
      </w:r>
      <w:r w:rsidR="00496BC7">
        <w:rPr>
          <w:rFonts w:cs="Arial" w:hint="cs"/>
          <w:rtl/>
        </w:rPr>
        <w:t xml:space="preserve">מהר"ם </w:t>
      </w:r>
      <w:r w:rsidR="00EB45C3">
        <w:rPr>
          <w:rFonts w:cs="Arial" w:hint="cs"/>
          <w:sz w:val="16"/>
          <w:szCs w:val="16"/>
          <w:rtl/>
        </w:rPr>
        <w:t xml:space="preserve">(שם) </w:t>
      </w:r>
      <w:r>
        <w:rPr>
          <w:rFonts w:cs="Arial" w:hint="cs"/>
          <w:rtl/>
        </w:rPr>
        <w:t xml:space="preserve">וטור- </w:t>
      </w:r>
      <w:r w:rsidR="0004381A" w:rsidRPr="0004381A">
        <w:rPr>
          <w:rFonts w:cs="Arial"/>
          <w:rtl/>
        </w:rPr>
        <w:t>אבל הנושא אשה באחת מן הארצות</w:t>
      </w:r>
      <w:r w:rsidR="00E705E4">
        <w:rPr>
          <w:rFonts w:cs="Arial" w:hint="cs"/>
          <w:rtl/>
        </w:rPr>
        <w:t>,</w:t>
      </w:r>
      <w:r w:rsidR="0004381A" w:rsidRPr="0004381A">
        <w:rPr>
          <w:rFonts w:cs="Arial"/>
          <w:rtl/>
        </w:rPr>
        <w:t xml:space="preserve"> והוא מאנשי אותה הארץ </w:t>
      </w:r>
      <w:r w:rsidR="00E705E4">
        <w:rPr>
          <w:rFonts w:cs="Arial" w:hint="cs"/>
          <w:rtl/>
        </w:rPr>
        <w:t xml:space="preserve">- </w:t>
      </w:r>
      <w:r w:rsidR="0004381A" w:rsidRPr="0004381A">
        <w:rPr>
          <w:rFonts w:cs="Arial"/>
          <w:rtl/>
        </w:rPr>
        <w:t>אינו יכול להוציאה לארץ אחרת</w:t>
      </w:r>
      <w:r w:rsidR="00496BC7">
        <w:rPr>
          <w:rStyle w:val="a7"/>
          <w:rFonts w:cs="Arial"/>
          <w:rtl/>
        </w:rPr>
        <w:footnoteReference w:id="432"/>
      </w:r>
      <w:r w:rsidR="0004381A" w:rsidRPr="0004381A">
        <w:rPr>
          <w:rFonts w:cs="Arial"/>
          <w:rtl/>
        </w:rPr>
        <w:t>, אבל מוציאה ממדינה למדינה ומכפר לכפר באותה הארץ</w:t>
      </w:r>
      <w:r w:rsidR="0004381A">
        <w:rPr>
          <w:rFonts w:cs="Arial" w:hint="cs"/>
          <w:sz w:val="16"/>
          <w:szCs w:val="16"/>
          <w:rtl/>
        </w:rPr>
        <w:t xml:space="preserve"> (ל' הרמב"ם)</w:t>
      </w:r>
      <w:r w:rsidR="0004381A" w:rsidRPr="0004381A">
        <w:rPr>
          <w:rFonts w:cs="Arial"/>
          <w:rtl/>
        </w:rPr>
        <w:t xml:space="preserve">. </w:t>
      </w:r>
      <w:r w:rsidR="00A754AD" w:rsidRPr="00A73B2D">
        <w:rPr>
          <w:rFonts w:hint="cs"/>
          <w:color w:val="E36C0A" w:themeColor="accent6" w:themeShade="BF"/>
          <w:rtl/>
        </w:rPr>
        <w:t>(וכ"פ בשו"ע</w:t>
      </w:r>
      <w:r w:rsidR="00A754AD">
        <w:rPr>
          <w:rFonts w:hint="cs"/>
          <w:color w:val="E36C0A" w:themeColor="accent6" w:themeShade="BF"/>
          <w:rtl/>
        </w:rPr>
        <w:t>)</w:t>
      </w:r>
    </w:p>
    <w:p w14:paraId="5F242D17" w14:textId="05E09609" w:rsidR="001742A8" w:rsidRDefault="00685451" w:rsidP="001742A8">
      <w:pPr>
        <w:pStyle w:val="ab"/>
        <w:numPr>
          <w:ilvl w:val="0"/>
          <w:numId w:val="7"/>
        </w:numPr>
        <w:rPr>
          <w:rFonts w:cs="Arial"/>
        </w:rPr>
      </w:pPr>
      <w:r w:rsidRPr="00557191">
        <w:rPr>
          <w:rFonts w:cs="Arial"/>
          <w:rtl/>
        </w:rPr>
        <w:t xml:space="preserve">ר"ת </w:t>
      </w:r>
      <w:r w:rsidR="00085CBE">
        <w:rPr>
          <w:rFonts w:cs="Arial" w:hint="cs"/>
          <w:sz w:val="16"/>
          <w:szCs w:val="16"/>
          <w:rtl/>
        </w:rPr>
        <w:t>(</w:t>
      </w:r>
      <w:r w:rsidR="00EB45C3">
        <w:rPr>
          <w:rFonts w:cs="Arial" w:hint="cs"/>
          <w:sz w:val="16"/>
          <w:szCs w:val="16"/>
          <w:rtl/>
        </w:rPr>
        <w:t xml:space="preserve">כ"כ הרא"ש </w:t>
      </w:r>
      <w:r w:rsidR="00EB45C3" w:rsidRPr="000F29DE">
        <w:rPr>
          <w:rFonts w:cs="Arial" w:hint="cs"/>
          <w:sz w:val="14"/>
          <w:szCs w:val="14"/>
          <w:rtl/>
        </w:rPr>
        <w:t>[שם]</w:t>
      </w:r>
      <w:r w:rsidR="00EB45C3">
        <w:rPr>
          <w:rFonts w:cs="Arial" w:hint="cs"/>
          <w:sz w:val="16"/>
          <w:szCs w:val="16"/>
          <w:rtl/>
        </w:rPr>
        <w:t xml:space="preserve"> המרדכי </w:t>
      </w:r>
      <w:r w:rsidR="00EB45C3" w:rsidRPr="000F29DE">
        <w:rPr>
          <w:rFonts w:cs="Arial" w:hint="cs"/>
          <w:sz w:val="14"/>
          <w:szCs w:val="14"/>
          <w:rtl/>
        </w:rPr>
        <w:t>[שם]</w:t>
      </w:r>
      <w:r w:rsidR="00EB45C3">
        <w:rPr>
          <w:rFonts w:cs="Arial" w:hint="cs"/>
          <w:sz w:val="14"/>
          <w:szCs w:val="14"/>
          <w:rtl/>
        </w:rPr>
        <w:t xml:space="preserve"> </w:t>
      </w:r>
      <w:r w:rsidR="00EB45C3">
        <w:rPr>
          <w:rFonts w:cs="Arial" w:hint="cs"/>
          <w:sz w:val="16"/>
          <w:szCs w:val="16"/>
          <w:rtl/>
        </w:rPr>
        <w:t>והטור בשמו</w:t>
      </w:r>
      <w:r w:rsidR="00085CBE">
        <w:rPr>
          <w:rFonts w:cs="Arial" w:hint="cs"/>
          <w:sz w:val="16"/>
          <w:szCs w:val="16"/>
          <w:rtl/>
        </w:rPr>
        <w:t>)</w:t>
      </w:r>
      <w:r w:rsidR="00085CBE">
        <w:rPr>
          <w:rFonts w:cs="Arial" w:hint="cs"/>
          <w:rtl/>
        </w:rPr>
        <w:t xml:space="preserve">- </w:t>
      </w:r>
      <w:r w:rsidRPr="00557191">
        <w:rPr>
          <w:rFonts w:cs="Arial"/>
          <w:rtl/>
        </w:rPr>
        <w:t xml:space="preserve">מי שהוא ביהודה והביא אשה מגליל ליהודה ונשאה שם </w:t>
      </w:r>
      <w:r>
        <w:rPr>
          <w:rFonts w:cs="Arial" w:hint="cs"/>
          <w:rtl/>
        </w:rPr>
        <w:t xml:space="preserve">- </w:t>
      </w:r>
      <w:r w:rsidRPr="00557191">
        <w:rPr>
          <w:rFonts w:cs="Arial"/>
          <w:rtl/>
        </w:rPr>
        <w:t>אין כופין אותו לצאת ממקומו אחריה</w:t>
      </w:r>
      <w:r w:rsidR="00A94D98">
        <w:rPr>
          <w:rFonts w:cs="Arial" w:hint="cs"/>
          <w:rtl/>
        </w:rPr>
        <w:t>. ו</w:t>
      </w:r>
      <w:r w:rsidRPr="00A94D98">
        <w:rPr>
          <w:rFonts w:cs="Arial"/>
          <w:rtl/>
        </w:rPr>
        <w:t>אם האיש מעיר והאשה מכרך</w:t>
      </w:r>
      <w:r w:rsidRPr="00A94D98">
        <w:rPr>
          <w:rFonts w:cs="Arial" w:hint="cs"/>
          <w:rtl/>
        </w:rPr>
        <w:t>,</w:t>
      </w:r>
      <w:r w:rsidRPr="00A94D98">
        <w:rPr>
          <w:rFonts w:cs="Arial"/>
          <w:rtl/>
        </w:rPr>
        <w:t xml:space="preserve"> או איפכא</w:t>
      </w:r>
      <w:r w:rsidRPr="00A94D98">
        <w:rPr>
          <w:rFonts w:cs="Arial" w:hint="cs"/>
          <w:rtl/>
        </w:rPr>
        <w:t>,</w:t>
      </w:r>
      <w:r w:rsidRPr="00A94D98">
        <w:rPr>
          <w:rFonts w:cs="Arial"/>
          <w:rtl/>
        </w:rPr>
        <w:t xml:space="preserve"> ושניהן מיהודה</w:t>
      </w:r>
      <w:r w:rsidRPr="00A94D98">
        <w:rPr>
          <w:rFonts w:cs="Arial" w:hint="cs"/>
          <w:rtl/>
        </w:rPr>
        <w:t>,</w:t>
      </w:r>
      <w:r w:rsidRPr="00A94D98">
        <w:rPr>
          <w:rFonts w:cs="Arial"/>
          <w:rtl/>
        </w:rPr>
        <w:t xml:space="preserve"> ונשאה בעירו </w:t>
      </w:r>
      <w:r w:rsidRPr="00A94D98">
        <w:rPr>
          <w:rFonts w:cs="Arial" w:hint="cs"/>
          <w:rtl/>
        </w:rPr>
        <w:t xml:space="preserve">- </w:t>
      </w:r>
      <w:r w:rsidRPr="00A94D98">
        <w:rPr>
          <w:rFonts w:cs="Arial"/>
          <w:rtl/>
        </w:rPr>
        <w:t>אין האשה יכולה לכופו להניח מקומו</w:t>
      </w:r>
      <w:r w:rsidRPr="00A94D98">
        <w:rPr>
          <w:rFonts w:cs="Arial" w:hint="cs"/>
          <w:rtl/>
        </w:rPr>
        <w:t>,</w:t>
      </w:r>
      <w:r w:rsidRPr="00A94D98">
        <w:rPr>
          <w:rFonts w:cs="Arial"/>
          <w:rtl/>
        </w:rPr>
        <w:t xml:space="preserve"> כיון שאין המקומות שוין והוא נשאה בעירו</w:t>
      </w:r>
      <w:r w:rsidRPr="00A94D98">
        <w:rPr>
          <w:rFonts w:cs="Arial" w:hint="cs"/>
          <w:rtl/>
        </w:rPr>
        <w:t>.</w:t>
      </w:r>
      <w:r w:rsidRPr="00A94D98">
        <w:rPr>
          <w:rFonts w:cs="Arial"/>
          <w:rtl/>
        </w:rPr>
        <w:t xml:space="preserve"> וכל שכן אם נשאה בעירה שאין האיש יכול לכופה להניח מקומה כיון שאין שני המקומות שוין ונשאה בעירה</w:t>
      </w:r>
      <w:r w:rsidRPr="00A94D98">
        <w:rPr>
          <w:rFonts w:cs="Arial" w:hint="cs"/>
          <w:rtl/>
        </w:rPr>
        <w:t>.</w:t>
      </w:r>
      <w:r w:rsidRPr="00A94D98">
        <w:rPr>
          <w:rFonts w:cs="Arial"/>
          <w:rtl/>
        </w:rPr>
        <w:t xml:space="preserve"> אבל אם מקומותיהן שוין</w:t>
      </w:r>
      <w:r w:rsidRPr="00A94D98">
        <w:rPr>
          <w:rFonts w:cs="Arial" w:hint="cs"/>
          <w:rtl/>
        </w:rPr>
        <w:t>,</w:t>
      </w:r>
      <w:r w:rsidRPr="00A94D98">
        <w:rPr>
          <w:rFonts w:cs="Arial"/>
          <w:rtl/>
        </w:rPr>
        <w:t xml:space="preserve"> שתיהן או כרכין או עיירות </w:t>
      </w:r>
      <w:r w:rsidRPr="00A94D98">
        <w:rPr>
          <w:rFonts w:cs="Arial" w:hint="cs"/>
          <w:rtl/>
        </w:rPr>
        <w:t xml:space="preserve">- </w:t>
      </w:r>
      <w:r w:rsidRPr="00A94D98">
        <w:rPr>
          <w:rFonts w:cs="Arial"/>
          <w:rtl/>
        </w:rPr>
        <w:t>כופין האיש לעזוב מקומו אע</w:t>
      </w:r>
      <w:r w:rsidR="00562A74">
        <w:rPr>
          <w:rFonts w:cs="Arial" w:hint="cs"/>
          <w:rtl/>
        </w:rPr>
        <w:t>"</w:t>
      </w:r>
      <w:r w:rsidRPr="00A94D98">
        <w:rPr>
          <w:rFonts w:cs="Arial"/>
          <w:rtl/>
        </w:rPr>
        <w:t>פ שנשאה במקומו</w:t>
      </w:r>
      <w:r w:rsidR="00085CBE" w:rsidRPr="00A94D98">
        <w:rPr>
          <w:rFonts w:cs="Arial" w:hint="cs"/>
          <w:rtl/>
        </w:rPr>
        <w:t xml:space="preserve"> </w:t>
      </w:r>
      <w:r w:rsidR="00085CBE" w:rsidRPr="00A94D98">
        <w:rPr>
          <w:rFonts w:cs="Arial" w:hint="cs"/>
          <w:sz w:val="16"/>
          <w:szCs w:val="16"/>
          <w:rtl/>
        </w:rPr>
        <w:t>(ל' הטור בשמו)</w:t>
      </w:r>
      <w:r w:rsidR="00085CBE" w:rsidRPr="00A94D98">
        <w:rPr>
          <w:rFonts w:cs="Arial" w:hint="cs"/>
          <w:rtl/>
        </w:rPr>
        <w:t>.</w:t>
      </w:r>
      <w:r w:rsidR="00517F2D" w:rsidRPr="00517F2D">
        <w:rPr>
          <w:rFonts w:hint="cs"/>
          <w:color w:val="00B0F0"/>
          <w:rtl/>
        </w:rPr>
        <w:t xml:space="preserve"> </w:t>
      </w:r>
      <w:r w:rsidR="00517F2D" w:rsidRPr="000F4F98">
        <w:rPr>
          <w:rFonts w:hint="cs"/>
          <w:color w:val="00B0F0"/>
          <w:rtl/>
        </w:rPr>
        <w:t>(וכ"</w:t>
      </w:r>
      <w:r w:rsidR="00517F2D">
        <w:rPr>
          <w:rFonts w:hint="cs"/>
          <w:color w:val="00B0F0"/>
          <w:rtl/>
        </w:rPr>
        <w:t>כ</w:t>
      </w:r>
      <w:r w:rsidR="00517F2D" w:rsidRPr="000F4F98">
        <w:rPr>
          <w:rFonts w:hint="cs"/>
          <w:color w:val="00B0F0"/>
          <w:rtl/>
        </w:rPr>
        <w:t xml:space="preserve"> </w:t>
      </w:r>
      <w:r w:rsidR="00517F2D">
        <w:rPr>
          <w:rFonts w:hint="cs"/>
          <w:color w:val="00B0F0"/>
          <w:rtl/>
        </w:rPr>
        <w:t>הרמ"א)</w:t>
      </w:r>
    </w:p>
    <w:p w14:paraId="2DD42B0E" w14:textId="52EAC949" w:rsidR="00685451" w:rsidRPr="001742A8" w:rsidRDefault="001742A8" w:rsidP="001742A8">
      <w:pPr>
        <w:pStyle w:val="ab"/>
        <w:numPr>
          <w:ilvl w:val="1"/>
          <w:numId w:val="7"/>
        </w:numPr>
        <w:rPr>
          <w:rFonts w:cs="Arial"/>
        </w:rPr>
      </w:pPr>
      <w:r>
        <w:rPr>
          <w:rFonts w:cs="Arial" w:hint="cs"/>
          <w:rtl/>
        </w:rPr>
        <w:t>ב"י-</w:t>
      </w:r>
      <w:r w:rsidRPr="001742A8">
        <w:rPr>
          <w:rFonts w:cs="Arial"/>
          <w:rtl/>
        </w:rPr>
        <w:t xml:space="preserve"> </w:t>
      </w:r>
      <w:r w:rsidRPr="00FF3C43">
        <w:rPr>
          <w:rFonts w:cs="Arial"/>
          <w:rtl/>
        </w:rPr>
        <w:t>פר"ת דבכפיית האיש איירי</w:t>
      </w:r>
      <w:r>
        <w:rPr>
          <w:rFonts w:cs="Arial" w:hint="cs"/>
          <w:rtl/>
        </w:rPr>
        <w:t>..</w:t>
      </w:r>
      <w:r w:rsidRPr="00FF3C43">
        <w:rPr>
          <w:rFonts w:cs="Arial"/>
          <w:rtl/>
        </w:rPr>
        <w:t>. וכתב הרא"ש שהר"מ הקשה עליו דמשמע בירושלמי דיפה כח הבעל מכח האשה</w:t>
      </w:r>
      <w:r>
        <w:rPr>
          <w:rFonts w:cs="Arial" w:hint="cs"/>
          <w:rtl/>
        </w:rPr>
        <w:t xml:space="preserve">... </w:t>
      </w:r>
      <w:r w:rsidR="00685451" w:rsidRPr="001742A8">
        <w:rPr>
          <w:rFonts w:cs="Arial"/>
          <w:rtl/>
        </w:rPr>
        <w:t xml:space="preserve">וכתבו </w:t>
      </w:r>
      <w:r w:rsidRPr="001742A8">
        <w:rPr>
          <w:rFonts w:cs="Arial"/>
          <w:rtl/>
        </w:rPr>
        <w:t xml:space="preserve">המרדכי </w:t>
      </w:r>
      <w:r w:rsidRPr="001742A8">
        <w:rPr>
          <w:rFonts w:cs="Arial"/>
          <w:sz w:val="16"/>
          <w:szCs w:val="16"/>
          <w:rtl/>
        </w:rPr>
        <w:t xml:space="preserve">(סי' רפ) </w:t>
      </w:r>
      <w:r w:rsidRPr="001742A8">
        <w:rPr>
          <w:rFonts w:cs="Arial"/>
          <w:rtl/>
        </w:rPr>
        <w:t>והגה</w:t>
      </w:r>
      <w:r w:rsidRPr="001742A8">
        <w:rPr>
          <w:rFonts w:cs="Arial" w:hint="cs"/>
          <w:rtl/>
        </w:rPr>
        <w:t>"</w:t>
      </w:r>
      <w:r w:rsidRPr="001742A8">
        <w:rPr>
          <w:rFonts w:cs="Arial"/>
          <w:rtl/>
        </w:rPr>
        <w:t xml:space="preserve">מ </w:t>
      </w:r>
      <w:r w:rsidRPr="001742A8">
        <w:rPr>
          <w:rFonts w:cs="Arial" w:hint="cs"/>
          <w:sz w:val="16"/>
          <w:szCs w:val="16"/>
          <w:rtl/>
        </w:rPr>
        <w:t>(</w:t>
      </w:r>
      <w:r w:rsidRPr="001742A8">
        <w:rPr>
          <w:rFonts w:cs="Arial"/>
          <w:sz w:val="16"/>
          <w:szCs w:val="16"/>
          <w:rtl/>
        </w:rPr>
        <w:t>ספר נשים סי' כח)</w:t>
      </w:r>
      <w:r w:rsidR="00715869">
        <w:rPr>
          <w:rFonts w:cs="Arial" w:hint="cs"/>
          <w:rtl/>
        </w:rPr>
        <w:t>:</w:t>
      </w:r>
      <w:r w:rsidR="00685451" w:rsidRPr="001742A8">
        <w:rPr>
          <w:rFonts w:cs="Arial"/>
          <w:rtl/>
        </w:rPr>
        <w:t xml:space="preserve"> ורש"י פי' דאיירי בכפיית האשה וכן פי' המיימוני וכל הגאונים</w:t>
      </w:r>
      <w:r>
        <w:rPr>
          <w:rFonts w:cs="Arial" w:hint="cs"/>
          <w:rtl/>
        </w:rPr>
        <w:t>,</w:t>
      </w:r>
      <w:r w:rsidR="00685451" w:rsidRPr="001742A8">
        <w:rPr>
          <w:rFonts w:cs="Arial"/>
          <w:rtl/>
        </w:rPr>
        <w:t xml:space="preserve"> וכיון דהוי פלוגתא דרבוותא עבדינן הכא והכא לחומרא</w:t>
      </w:r>
      <w:r>
        <w:rPr>
          <w:rFonts w:cs="Arial" w:hint="cs"/>
          <w:rtl/>
        </w:rPr>
        <w:t>,</w:t>
      </w:r>
      <w:r w:rsidR="00685451" w:rsidRPr="001742A8">
        <w:rPr>
          <w:rFonts w:cs="Arial"/>
          <w:rtl/>
        </w:rPr>
        <w:t xml:space="preserve"> והיכא דהבעל בא לכוף את האשה לא נכופנה כפר"ת</w:t>
      </w:r>
      <w:r>
        <w:rPr>
          <w:rFonts w:cs="Arial" w:hint="cs"/>
          <w:rtl/>
        </w:rPr>
        <w:t>,</w:t>
      </w:r>
      <w:r w:rsidR="00685451" w:rsidRPr="001742A8">
        <w:rPr>
          <w:rFonts w:cs="Arial"/>
          <w:rtl/>
        </w:rPr>
        <w:t xml:space="preserve"> והיכא דהאשה באה לכוף בעלה כל שכן דאין כופין כדפסקי רוב הגאונים</w:t>
      </w:r>
      <w:r>
        <w:rPr>
          <w:rFonts w:cs="Arial" w:hint="cs"/>
          <w:rtl/>
        </w:rPr>
        <w:t>.</w:t>
      </w:r>
      <w:r w:rsidR="00685451" w:rsidRPr="001742A8">
        <w:rPr>
          <w:rFonts w:cs="Arial"/>
          <w:rtl/>
        </w:rPr>
        <w:t xml:space="preserve"> עכ"ל הר"מ. ול</w:t>
      </w:r>
      <w:r>
        <w:rPr>
          <w:rFonts w:cs="Arial" w:hint="cs"/>
          <w:rtl/>
        </w:rPr>
        <w:t>י נראה</w:t>
      </w:r>
      <w:r w:rsidR="00685451" w:rsidRPr="001742A8">
        <w:rPr>
          <w:rFonts w:cs="Arial"/>
          <w:rtl/>
        </w:rPr>
        <w:t xml:space="preserve"> דבמקום הרמב"ם ורש"י וכל הגאונים לא חיישינן לדברי ר"ת</w:t>
      </w:r>
      <w:r w:rsidR="00685451">
        <w:rPr>
          <w:rStyle w:val="a7"/>
          <w:rFonts w:cs="Arial"/>
          <w:rtl/>
        </w:rPr>
        <w:footnoteReference w:id="433"/>
      </w:r>
      <w:r w:rsidR="00A94D98" w:rsidRPr="001742A8">
        <w:rPr>
          <w:rFonts w:cs="Arial" w:hint="cs"/>
          <w:rtl/>
        </w:rPr>
        <w:t>.</w:t>
      </w:r>
    </w:p>
    <w:p w14:paraId="2B128B0B" w14:textId="1556C592" w:rsidR="00C845AE" w:rsidRPr="00C845AE" w:rsidRDefault="00AA7730" w:rsidP="00C845AE">
      <w:pPr>
        <w:ind w:left="360"/>
        <w:rPr>
          <w:u w:val="dotted"/>
        </w:rPr>
      </w:pPr>
      <w:r>
        <w:rPr>
          <w:rFonts w:hint="cs"/>
          <w:u w:val="dotted"/>
          <w:rtl/>
        </w:rPr>
        <w:t>האם הדין כן רק בארץ ישראל, או שהוא הדין בכל ארץ שמחולקת לעוד ארצות:</w:t>
      </w:r>
    </w:p>
    <w:p w14:paraId="31575343" w14:textId="6101CF10" w:rsidR="00A806B1" w:rsidRPr="00AA7730" w:rsidRDefault="00C845AE" w:rsidP="00AA7730">
      <w:pPr>
        <w:pStyle w:val="ab"/>
        <w:numPr>
          <w:ilvl w:val="0"/>
          <w:numId w:val="7"/>
        </w:numPr>
        <w:rPr>
          <w:b/>
          <w:bCs/>
          <w:rtl/>
        </w:rPr>
      </w:pPr>
      <w:r>
        <w:rPr>
          <w:rFonts w:cs="Arial" w:hint="cs"/>
          <w:rtl/>
        </w:rPr>
        <w:t xml:space="preserve">רמב"ם </w:t>
      </w:r>
      <w:r>
        <w:rPr>
          <w:rFonts w:cs="Arial" w:hint="cs"/>
          <w:sz w:val="16"/>
          <w:szCs w:val="16"/>
          <w:rtl/>
        </w:rPr>
        <w:t>(פי"ג מאישות הט"ז)</w:t>
      </w:r>
      <w:r>
        <w:rPr>
          <w:rFonts w:cs="Arial" w:hint="cs"/>
          <w:rtl/>
        </w:rPr>
        <w:t xml:space="preserve"> וטור- </w:t>
      </w:r>
      <w:r w:rsidR="00200403">
        <w:rPr>
          <w:rFonts w:cs="Arial" w:hint="cs"/>
          <w:rtl/>
        </w:rPr>
        <w:t>נ</w:t>
      </w:r>
      <w:r w:rsidRPr="00C845AE">
        <w:rPr>
          <w:rFonts w:cs="Arial"/>
          <w:rtl/>
        </w:rPr>
        <w:t>רא</w:t>
      </w:r>
      <w:r>
        <w:rPr>
          <w:rFonts w:cs="Arial" w:hint="cs"/>
          <w:rtl/>
        </w:rPr>
        <w:t>ה</w:t>
      </w:r>
      <w:r w:rsidRPr="00C845AE">
        <w:rPr>
          <w:rFonts w:cs="Arial"/>
          <w:rtl/>
        </w:rPr>
        <w:t xml:space="preserve"> דהוא הדין בכל ארץ וארץ כיוצ</w:t>
      </w:r>
      <w:r w:rsidR="00200403">
        <w:rPr>
          <w:rFonts w:cs="Arial" w:hint="cs"/>
          <w:rtl/>
        </w:rPr>
        <w:t>א</w:t>
      </w:r>
      <w:r w:rsidRPr="00C845AE">
        <w:rPr>
          <w:rFonts w:cs="Arial"/>
          <w:rtl/>
        </w:rPr>
        <w:t xml:space="preserve"> בזה לפי מה שהיא חלוקה בגבולותיה</w:t>
      </w:r>
      <w:r>
        <w:rPr>
          <w:rFonts w:cs="Arial" w:hint="cs"/>
          <w:rtl/>
        </w:rPr>
        <w:t>.</w:t>
      </w:r>
      <w:r w:rsidR="00A754AD">
        <w:rPr>
          <w:rFonts w:cs="Arial" w:hint="cs"/>
          <w:rtl/>
        </w:rPr>
        <w:t xml:space="preserve"> </w:t>
      </w:r>
      <w:r w:rsidR="00A754AD" w:rsidRPr="00A73B2D">
        <w:rPr>
          <w:rFonts w:hint="cs"/>
          <w:color w:val="E36C0A" w:themeColor="accent6" w:themeShade="BF"/>
          <w:rtl/>
        </w:rPr>
        <w:t>(וכ"פ בשו"ע</w:t>
      </w:r>
      <w:r w:rsidR="00A754AD">
        <w:rPr>
          <w:rFonts w:hint="cs"/>
          <w:color w:val="E36C0A" w:themeColor="accent6" w:themeShade="BF"/>
          <w:rtl/>
        </w:rPr>
        <w:t>)</w:t>
      </w:r>
    </w:p>
    <w:p w14:paraId="455325AA" w14:textId="602D03A5" w:rsidR="00A73B2D" w:rsidRDefault="00A73B2D" w:rsidP="00A73B2D">
      <w:pPr>
        <w:rPr>
          <w:rFonts w:cs="Arial"/>
          <w:rtl/>
        </w:rPr>
      </w:pPr>
      <w:r w:rsidRPr="00AA00D2">
        <w:rPr>
          <w:rFonts w:cs="Arial"/>
          <w:b/>
          <w:bCs/>
          <w:rtl/>
        </w:rPr>
        <w:t xml:space="preserve">כתובות </w:t>
      </w:r>
      <w:r w:rsidRPr="00AA00D2">
        <w:rPr>
          <w:rFonts w:cs="Arial" w:hint="cs"/>
          <w:b/>
          <w:bCs/>
          <w:sz w:val="16"/>
          <w:szCs w:val="16"/>
          <w:rtl/>
        </w:rPr>
        <w:t>(</w:t>
      </w:r>
      <w:r w:rsidRPr="00AA00D2">
        <w:rPr>
          <w:rFonts w:cs="Arial"/>
          <w:b/>
          <w:bCs/>
          <w:sz w:val="16"/>
          <w:szCs w:val="16"/>
          <w:rtl/>
        </w:rPr>
        <w:t>פ' שני דייני</w:t>
      </w:r>
      <w:r w:rsidRPr="00AA00D2">
        <w:rPr>
          <w:rFonts w:cs="Arial" w:hint="cs"/>
          <w:b/>
          <w:bCs/>
          <w:sz w:val="16"/>
          <w:szCs w:val="16"/>
          <w:rtl/>
        </w:rPr>
        <w:t>)</w:t>
      </w:r>
      <w:r w:rsidRPr="00AA00D2">
        <w:rPr>
          <w:rFonts w:cs="Arial"/>
          <w:b/>
          <w:bCs/>
          <w:rtl/>
        </w:rPr>
        <w:t xml:space="preserve"> קי</w:t>
      </w:r>
      <w:r w:rsidRPr="00AA00D2">
        <w:rPr>
          <w:rFonts w:cs="Arial" w:hint="cs"/>
          <w:b/>
          <w:bCs/>
          <w:rtl/>
        </w:rPr>
        <w:t xml:space="preserve"> ע"א</w:t>
      </w:r>
      <w:r w:rsidRPr="00AA00D2">
        <w:rPr>
          <w:rFonts w:cs="Arial"/>
          <w:b/>
          <w:bCs/>
          <w:rtl/>
        </w:rPr>
        <w:t>:</w:t>
      </w:r>
      <w:r w:rsidRPr="00AA00D2">
        <w:rPr>
          <w:rFonts w:cs="Arial" w:hint="cs"/>
          <w:rtl/>
        </w:rPr>
        <w:t xml:space="preserve"> </w:t>
      </w:r>
      <w:r w:rsidRPr="00AA00D2">
        <w:rPr>
          <w:rFonts w:cs="Arial"/>
          <w:u w:val="double"/>
          <w:rtl/>
        </w:rPr>
        <w:t>מתני'</w:t>
      </w:r>
      <w:r w:rsidRPr="00AA00D2">
        <w:rPr>
          <w:rFonts w:cs="Arial" w:hint="cs"/>
          <w:rtl/>
        </w:rPr>
        <w:t>:</w:t>
      </w:r>
      <w:r w:rsidRPr="00AA00D2">
        <w:rPr>
          <w:rFonts w:cs="Arial"/>
          <w:rtl/>
        </w:rPr>
        <w:t xml:space="preserve"> שלש ארצות לנשואין: יהודה, ועבר הירדן, והגליל</w:t>
      </w:r>
      <w:r w:rsidRPr="00AA00D2">
        <w:rPr>
          <w:rFonts w:cs="Arial" w:hint="cs"/>
          <w:rtl/>
        </w:rPr>
        <w:t>.</w:t>
      </w:r>
      <w:r w:rsidRPr="00AA00D2">
        <w:rPr>
          <w:rFonts w:cs="Arial"/>
          <w:rtl/>
        </w:rPr>
        <w:t xml:space="preserve"> אין מוציאין מעיר לעיר ומכרך לכרך, אבל באותה הארץ מוציאין מעיר לעיר ומכרך לכרך,</w:t>
      </w:r>
      <w:r w:rsidR="00955EAD">
        <w:rPr>
          <w:rFonts w:hint="cs"/>
          <w:sz w:val="14"/>
          <w:szCs w:val="14"/>
          <w:rtl/>
        </w:rPr>
        <w:t xml:space="preserve"> </w:t>
      </w:r>
      <w:r w:rsidRPr="00AA00D2">
        <w:rPr>
          <w:rFonts w:hint="cs"/>
          <w:sz w:val="14"/>
          <w:szCs w:val="14"/>
          <w:rtl/>
        </w:rPr>
        <w:t>(קי:)</w:t>
      </w:r>
      <w:r w:rsidRPr="00240B1E">
        <w:rPr>
          <w:rtl/>
        </w:rPr>
        <w:t xml:space="preserve"> </w:t>
      </w:r>
      <w:r w:rsidRPr="00AA00D2">
        <w:rPr>
          <w:rFonts w:cs="Arial"/>
          <w:rtl/>
        </w:rPr>
        <w:t>אבל לא מעיר לכרך ולא מכרך לעיר. מוציאין מנוה הרעה לנוה היפה, אבל לא מנוה היפה לנוה הרעה</w:t>
      </w:r>
      <w:r w:rsidRPr="00AA00D2">
        <w:rPr>
          <w:rFonts w:cs="Arial" w:hint="cs"/>
          <w:rtl/>
        </w:rPr>
        <w:t>.</w:t>
      </w:r>
      <w:r w:rsidRPr="00AA00D2">
        <w:rPr>
          <w:rFonts w:cs="Arial"/>
          <w:rtl/>
        </w:rPr>
        <w:t xml:space="preserve"> </w:t>
      </w:r>
      <w:r w:rsidRPr="00AA00D2">
        <w:rPr>
          <w:rFonts w:cs="Arial"/>
          <w:u w:val="single"/>
          <w:rtl/>
        </w:rPr>
        <w:t>רשב"ג אומר</w:t>
      </w:r>
      <w:r w:rsidRPr="00AA00D2">
        <w:rPr>
          <w:rFonts w:cs="Arial"/>
          <w:rtl/>
        </w:rPr>
        <w:t>: אף לא מנוה רעה לנוה יפה, מפני שהנוה היפה בודק</w:t>
      </w:r>
      <w:r>
        <w:rPr>
          <w:rStyle w:val="a7"/>
          <w:rFonts w:cs="Arial"/>
          <w:rtl/>
        </w:rPr>
        <w:footnoteReference w:id="434"/>
      </w:r>
      <w:r w:rsidRPr="00AA00D2">
        <w:rPr>
          <w:rFonts w:cs="Arial"/>
          <w:rtl/>
        </w:rPr>
        <w:t xml:space="preserve">. </w:t>
      </w:r>
      <w:r w:rsidRPr="00AA00D2">
        <w:rPr>
          <w:rFonts w:cs="Arial" w:hint="cs"/>
          <w:sz w:val="16"/>
          <w:szCs w:val="16"/>
          <w:rtl/>
        </w:rPr>
        <w:t>(</w:t>
      </w:r>
      <w:r w:rsidRPr="00D57ECA">
        <w:rPr>
          <w:rFonts w:cs="Arial"/>
          <w:sz w:val="16"/>
          <w:szCs w:val="16"/>
          <w:rtl/>
        </w:rPr>
        <w:t>ואע</w:t>
      </w:r>
      <w:r>
        <w:rPr>
          <w:rFonts w:cs="Arial" w:hint="cs"/>
          <w:sz w:val="16"/>
          <w:szCs w:val="16"/>
          <w:rtl/>
        </w:rPr>
        <w:t>"</w:t>
      </w:r>
      <w:r w:rsidRPr="00D57ECA">
        <w:rPr>
          <w:rFonts w:cs="Arial"/>
          <w:sz w:val="16"/>
          <w:szCs w:val="16"/>
          <w:rtl/>
        </w:rPr>
        <w:t>ג דמשמע דת"ק פליג בהא</w:t>
      </w:r>
      <w:r w:rsidRPr="00D57ECA">
        <w:rPr>
          <w:rFonts w:cs="Arial" w:hint="cs"/>
          <w:sz w:val="16"/>
          <w:szCs w:val="16"/>
          <w:rtl/>
        </w:rPr>
        <w:t>,</w:t>
      </w:r>
      <w:r w:rsidRPr="00D57ECA">
        <w:rPr>
          <w:rFonts w:cs="Arial"/>
          <w:sz w:val="16"/>
          <w:szCs w:val="16"/>
          <w:rtl/>
        </w:rPr>
        <w:t xml:space="preserve"> קיי"ל (כתובות עז.) כל מקום ששנה רבן שמעון בן גמליאל במשנתינו הלכה כמותו</w:t>
      </w:r>
      <w:r w:rsidRPr="00D57ECA">
        <w:rPr>
          <w:rFonts w:cs="Arial" w:hint="cs"/>
          <w:sz w:val="16"/>
          <w:szCs w:val="16"/>
          <w:rtl/>
        </w:rPr>
        <w:t>.</w:t>
      </w:r>
      <w:r w:rsidRPr="00D57ECA">
        <w:rPr>
          <w:rFonts w:cs="Arial"/>
          <w:sz w:val="16"/>
          <w:szCs w:val="16"/>
          <w:rtl/>
        </w:rPr>
        <w:t xml:space="preserve"> וכן פסק הרמב"ם בפי"ג מהלכות אישות (הי"ח)</w:t>
      </w:r>
      <w:r w:rsidRPr="00D57ECA">
        <w:rPr>
          <w:rFonts w:cs="Arial" w:hint="cs"/>
          <w:sz w:val="16"/>
          <w:szCs w:val="16"/>
          <w:rtl/>
        </w:rPr>
        <w:t>, ב"י)</w:t>
      </w:r>
    </w:p>
    <w:p w14:paraId="21D8C7E5" w14:textId="77777777" w:rsidR="00A73B2D" w:rsidRPr="00A806B1" w:rsidRDefault="00A73B2D" w:rsidP="00A73B2D">
      <w:pPr>
        <w:rPr>
          <w:b/>
          <w:bCs/>
        </w:rPr>
      </w:pPr>
      <w:r w:rsidRPr="00200403">
        <w:rPr>
          <w:rFonts w:cs="Arial" w:hint="cs"/>
          <w:u w:val="single"/>
          <w:rtl/>
        </w:rPr>
        <w:t xml:space="preserve">נשא אשה </w:t>
      </w:r>
      <w:r>
        <w:rPr>
          <w:rFonts w:cs="Arial" w:hint="cs"/>
          <w:u w:val="single"/>
          <w:rtl/>
        </w:rPr>
        <w:t>ורוצה להוציאה ממקום למקום באותה הארץ:</w:t>
      </w:r>
    </w:p>
    <w:p w14:paraId="14796D91" w14:textId="6DECE721" w:rsidR="00A73B2D" w:rsidRDefault="00A73B2D" w:rsidP="00A73B2D">
      <w:pPr>
        <w:pStyle w:val="ab"/>
        <w:numPr>
          <w:ilvl w:val="0"/>
          <w:numId w:val="7"/>
        </w:numPr>
        <w:rPr>
          <w:b/>
          <w:bCs/>
        </w:rPr>
      </w:pPr>
      <w:r>
        <w:rPr>
          <w:rFonts w:cs="Arial" w:hint="cs"/>
          <w:rtl/>
        </w:rPr>
        <w:t xml:space="preserve">רמב"ם </w:t>
      </w:r>
      <w:r>
        <w:rPr>
          <w:rFonts w:cs="Arial" w:hint="cs"/>
          <w:sz w:val="16"/>
          <w:szCs w:val="16"/>
          <w:rtl/>
        </w:rPr>
        <w:t>(פי"ג מאישות הי"ז-יח)</w:t>
      </w:r>
      <w:r>
        <w:rPr>
          <w:rFonts w:cs="Arial" w:hint="cs"/>
          <w:rtl/>
        </w:rPr>
        <w:t xml:space="preserve"> וטור- </w:t>
      </w:r>
      <w:r w:rsidRPr="00C845AE">
        <w:rPr>
          <w:rFonts w:cs="Arial"/>
          <w:rtl/>
        </w:rPr>
        <w:t>באותה הארץ יכול להוציאה מעיר לעיר ומכפר לכפר</w:t>
      </w:r>
      <w:r>
        <w:rPr>
          <w:rStyle w:val="a7"/>
          <w:rFonts w:cs="Arial"/>
          <w:rtl/>
        </w:rPr>
        <w:footnoteReference w:id="435"/>
      </w:r>
      <w:r>
        <w:rPr>
          <w:rFonts w:cs="Arial" w:hint="cs"/>
          <w:rtl/>
        </w:rPr>
        <w:t>,</w:t>
      </w:r>
      <w:r w:rsidRPr="00C845AE">
        <w:rPr>
          <w:rFonts w:cs="Arial"/>
          <w:rtl/>
        </w:rPr>
        <w:t xml:space="preserve"> אבל אינו יכול להוציאה מעיר לכפר ולא מכפר לעיר</w:t>
      </w:r>
      <w:r>
        <w:rPr>
          <w:rFonts w:cs="Arial" w:hint="cs"/>
          <w:rtl/>
        </w:rPr>
        <w:t>,</w:t>
      </w:r>
      <w:r w:rsidRPr="00C845AE">
        <w:rPr>
          <w:rFonts w:cs="Arial"/>
          <w:rtl/>
        </w:rPr>
        <w:t xml:space="preserve"> שיש דברים שישיבת העיירות טובה להם ויש דברים שישיבת הכפרים טובה להם</w:t>
      </w:r>
      <w:r>
        <w:rPr>
          <w:rFonts w:cs="Arial" w:hint="cs"/>
          <w:rtl/>
        </w:rPr>
        <w:t>.</w:t>
      </w:r>
      <w:r w:rsidRPr="00C845AE">
        <w:rPr>
          <w:rFonts w:cs="Arial"/>
          <w:rtl/>
        </w:rPr>
        <w:t xml:space="preserve"> וכשיוציאנה מעיר לעיר ומכפר לכפר לא יוציאנה מנוה היפה לנוה הרע</w:t>
      </w:r>
      <w:r>
        <w:rPr>
          <w:rFonts w:cs="Arial" w:hint="cs"/>
          <w:rtl/>
        </w:rPr>
        <w:t>,</w:t>
      </w:r>
      <w:r w:rsidRPr="00C845AE">
        <w:rPr>
          <w:rFonts w:cs="Arial"/>
          <w:rtl/>
        </w:rPr>
        <w:t xml:space="preserve"> ואף לא מנוה הרע לנוה היפה</w:t>
      </w:r>
      <w:r>
        <w:rPr>
          <w:rFonts w:cs="Arial" w:hint="cs"/>
          <w:sz w:val="16"/>
          <w:szCs w:val="16"/>
          <w:rtl/>
        </w:rPr>
        <w:t xml:space="preserve"> (ל' </w:t>
      </w:r>
      <w:r w:rsidRPr="00A73B2D">
        <w:rPr>
          <w:rFonts w:cs="Arial" w:hint="cs"/>
          <w:sz w:val="16"/>
          <w:szCs w:val="16"/>
          <w:rtl/>
        </w:rPr>
        <w:t>הטור)</w:t>
      </w:r>
      <w:r w:rsidRPr="00A73B2D">
        <w:rPr>
          <w:rFonts w:cs="Arial" w:hint="cs"/>
          <w:rtl/>
        </w:rPr>
        <w:t>.</w:t>
      </w:r>
      <w:r w:rsidRPr="00A73B2D">
        <w:rPr>
          <w:rFonts w:cs="Arial"/>
          <w:rtl/>
        </w:rPr>
        <w:t xml:space="preserve"> </w:t>
      </w:r>
      <w:r w:rsidRPr="00A73B2D">
        <w:rPr>
          <w:rFonts w:hint="cs"/>
          <w:color w:val="E36C0A" w:themeColor="accent6" w:themeShade="BF"/>
          <w:rtl/>
        </w:rPr>
        <w:t>(וכ"פ בשו"ע</w:t>
      </w:r>
      <w:r w:rsidRPr="00A73B2D">
        <w:rPr>
          <w:rFonts w:hint="cs"/>
          <w:color w:val="E36C0A" w:themeColor="accent6" w:themeShade="BF"/>
          <w:sz w:val="16"/>
          <w:szCs w:val="16"/>
          <w:rtl/>
        </w:rPr>
        <w:t xml:space="preserve"> </w:t>
      </w:r>
      <w:r>
        <w:rPr>
          <w:rFonts w:hint="cs"/>
          <w:sz w:val="16"/>
          <w:szCs w:val="16"/>
          <w:rtl/>
        </w:rPr>
        <w:t>[כאן ובסע' הבא]</w:t>
      </w:r>
      <w:r w:rsidRPr="00A73B2D">
        <w:rPr>
          <w:rFonts w:hint="cs"/>
          <w:color w:val="E36C0A" w:themeColor="accent6" w:themeShade="BF"/>
          <w:rtl/>
        </w:rPr>
        <w:t>)</w:t>
      </w:r>
    </w:p>
    <w:p w14:paraId="4F0AAAC7" w14:textId="21B349E5" w:rsidR="002B70E1" w:rsidRPr="002B70E1" w:rsidRDefault="002B70E1" w:rsidP="002B70E1">
      <w:pPr>
        <w:rPr>
          <w:sz w:val="16"/>
          <w:szCs w:val="16"/>
        </w:rPr>
      </w:pPr>
      <w:r w:rsidRPr="002B70E1">
        <w:rPr>
          <w:rFonts w:hint="cs"/>
          <w:u w:val="single"/>
          <w:rtl/>
        </w:rPr>
        <w:t>כיצד קובעים את חילוק הארצות:</w:t>
      </w:r>
      <w:r>
        <w:rPr>
          <w:rFonts w:hint="cs"/>
          <w:rtl/>
        </w:rPr>
        <w:t xml:space="preserve"> </w:t>
      </w:r>
      <w:r>
        <w:rPr>
          <w:rFonts w:hint="cs"/>
          <w:sz w:val="16"/>
          <w:szCs w:val="16"/>
          <w:rtl/>
        </w:rPr>
        <w:t>(דרכ"מ אות ב)</w:t>
      </w:r>
    </w:p>
    <w:p w14:paraId="14097C3A" w14:textId="42B8B9FA" w:rsidR="002B70E1" w:rsidRPr="008437AE" w:rsidRDefault="002B70E1" w:rsidP="00C845AE">
      <w:pPr>
        <w:pStyle w:val="ab"/>
        <w:numPr>
          <w:ilvl w:val="0"/>
          <w:numId w:val="7"/>
        </w:numPr>
        <w:rPr>
          <w:b/>
          <w:bCs/>
        </w:rPr>
      </w:pPr>
      <w:r w:rsidRPr="00242605">
        <w:rPr>
          <w:rFonts w:cs="Arial"/>
          <w:rtl/>
        </w:rPr>
        <w:t xml:space="preserve">מהר"ם </w:t>
      </w:r>
      <w:r w:rsidRPr="002B70E1">
        <w:rPr>
          <w:rFonts w:cs="Arial"/>
          <w:sz w:val="16"/>
          <w:szCs w:val="16"/>
          <w:rtl/>
        </w:rPr>
        <w:t>(ד</w:t>
      </w:r>
      <w:r w:rsidRPr="002B70E1">
        <w:rPr>
          <w:rFonts w:cs="Arial" w:hint="cs"/>
          <w:sz w:val="16"/>
          <w:szCs w:val="16"/>
          <w:rtl/>
        </w:rPr>
        <w:t>"</w:t>
      </w:r>
      <w:r w:rsidRPr="002B70E1">
        <w:rPr>
          <w:rFonts w:cs="Arial"/>
          <w:sz w:val="16"/>
          <w:szCs w:val="16"/>
          <w:rtl/>
        </w:rPr>
        <w:t>ק סי</w:t>
      </w:r>
      <w:r w:rsidRPr="002B70E1">
        <w:rPr>
          <w:rFonts w:cs="Arial" w:hint="cs"/>
          <w:sz w:val="16"/>
          <w:szCs w:val="16"/>
          <w:rtl/>
        </w:rPr>
        <w:t>'</w:t>
      </w:r>
      <w:r w:rsidRPr="002B70E1">
        <w:rPr>
          <w:rFonts w:cs="Arial"/>
          <w:sz w:val="16"/>
          <w:szCs w:val="16"/>
          <w:rtl/>
        </w:rPr>
        <w:t xml:space="preserve"> קיז</w:t>
      </w:r>
      <w:r w:rsidRPr="002B70E1">
        <w:rPr>
          <w:rFonts w:cs="Arial" w:hint="cs"/>
          <w:sz w:val="16"/>
          <w:szCs w:val="16"/>
          <w:rtl/>
        </w:rPr>
        <w:t>)</w:t>
      </w:r>
      <w:r>
        <w:rPr>
          <w:rFonts w:cs="Arial" w:hint="cs"/>
          <w:rtl/>
        </w:rPr>
        <w:t>-</w:t>
      </w:r>
      <w:r w:rsidRPr="00242605">
        <w:rPr>
          <w:rFonts w:cs="Arial"/>
          <w:rtl/>
        </w:rPr>
        <w:t xml:space="preserve"> אין נקרא חלוק ארצות אלא אותן שנפרדו בלשונן</w:t>
      </w:r>
      <w:r>
        <w:rPr>
          <w:rFonts w:cs="Arial" w:hint="cs"/>
          <w:rtl/>
        </w:rPr>
        <w:t>.</w:t>
      </w:r>
      <w:r w:rsidRPr="00242605">
        <w:rPr>
          <w:rFonts w:cs="Arial"/>
          <w:rtl/>
        </w:rPr>
        <w:t xml:space="preserve"> דאם תאמר דעלזי"ש וריינו"ס ופרנקי"ן מיקרי חילוק ארצות</w:t>
      </w:r>
      <w:r>
        <w:rPr>
          <w:rFonts w:cs="Arial" w:hint="cs"/>
          <w:rtl/>
        </w:rPr>
        <w:t>,</w:t>
      </w:r>
      <w:r w:rsidRPr="00242605">
        <w:rPr>
          <w:rFonts w:cs="Arial"/>
          <w:rtl/>
        </w:rPr>
        <w:t xml:space="preserve"> אם כן איך יתכן שארץ ישראל שהיו בו ת' פרסה על ת' פרסה ולא היו בו רק ג' ארצות</w:t>
      </w:r>
      <w:r>
        <w:rPr>
          <w:rFonts w:cs="Arial" w:hint="cs"/>
          <w:rtl/>
        </w:rPr>
        <w:t>.</w:t>
      </w:r>
      <w:r w:rsidR="00A754AD" w:rsidRPr="00A754AD">
        <w:rPr>
          <w:rFonts w:cs="Arial" w:hint="cs"/>
          <w:color w:val="00B0F0"/>
          <w:rtl/>
        </w:rPr>
        <w:t xml:space="preserve"> </w:t>
      </w:r>
      <w:r w:rsidR="00A754AD" w:rsidRPr="00E459DE">
        <w:rPr>
          <w:rFonts w:cs="Arial" w:hint="cs"/>
          <w:color w:val="00B0F0"/>
          <w:rtl/>
        </w:rPr>
        <w:t>(וכ"פ הרמ"א)</w:t>
      </w:r>
    </w:p>
    <w:p w14:paraId="3EB6D7F0" w14:textId="3F5288FB" w:rsidR="002B70E1" w:rsidRPr="002B70E1" w:rsidRDefault="002B70E1" w:rsidP="002B70E1">
      <w:pPr>
        <w:rPr>
          <w:u w:val="single"/>
        </w:rPr>
      </w:pPr>
      <w:r w:rsidRPr="002B70E1">
        <w:rPr>
          <w:rFonts w:hint="cs"/>
          <w:u w:val="single"/>
          <w:rtl/>
        </w:rPr>
        <w:lastRenderedPageBreak/>
        <w:t xml:space="preserve">יכול להוציאה ואינה רוצה לבוא עמו </w:t>
      </w:r>
      <w:r w:rsidR="00223D87">
        <w:rPr>
          <w:rFonts w:hint="cs"/>
          <w:u w:val="single"/>
          <w:rtl/>
        </w:rPr>
        <w:t>-</w:t>
      </w:r>
      <w:r w:rsidRPr="002B70E1">
        <w:rPr>
          <w:rFonts w:hint="cs"/>
          <w:u w:val="single"/>
          <w:rtl/>
        </w:rPr>
        <w:t xml:space="preserve"> האם יש לה תוספת כתובה:</w:t>
      </w:r>
    </w:p>
    <w:p w14:paraId="72626F25" w14:textId="26990937" w:rsidR="00A73B2D" w:rsidRPr="00A73B2D" w:rsidRDefault="002B70E1" w:rsidP="00A73B2D">
      <w:pPr>
        <w:pStyle w:val="ab"/>
        <w:numPr>
          <w:ilvl w:val="0"/>
          <w:numId w:val="7"/>
        </w:numPr>
      </w:pPr>
      <w:r w:rsidRPr="002B70E1">
        <w:rPr>
          <w:rFonts w:cs="Arial"/>
          <w:rtl/>
        </w:rPr>
        <w:t xml:space="preserve">ר"ן </w:t>
      </w:r>
      <w:r w:rsidRPr="002B70E1">
        <w:rPr>
          <w:rFonts w:cs="Arial"/>
          <w:sz w:val="16"/>
          <w:szCs w:val="16"/>
          <w:rtl/>
        </w:rPr>
        <w:t>(סה: ד"ה אבל)</w:t>
      </w:r>
      <w:r>
        <w:rPr>
          <w:rFonts w:cs="Arial" w:hint="cs"/>
          <w:rtl/>
        </w:rPr>
        <w:t>-</w:t>
      </w:r>
      <w:r w:rsidRPr="002B70E1">
        <w:rPr>
          <w:rFonts w:cs="Arial"/>
          <w:rtl/>
        </w:rPr>
        <w:t xml:space="preserve"> בכל מקום שהוא יכול להוציאה אם אינה רוצה לצאת </w:t>
      </w:r>
      <w:r w:rsidRPr="002B70E1">
        <w:rPr>
          <w:rFonts w:cs="Arial" w:hint="cs"/>
          <w:rtl/>
        </w:rPr>
        <w:t xml:space="preserve">- </w:t>
      </w:r>
      <w:r w:rsidRPr="002B70E1">
        <w:rPr>
          <w:rFonts w:cs="Arial"/>
          <w:rtl/>
        </w:rPr>
        <w:t>תצא שלא בכתובה ומשמע דאפילו תוספת אין לה</w:t>
      </w:r>
      <w:r w:rsidRPr="002B70E1">
        <w:rPr>
          <w:rFonts w:cs="Arial" w:hint="cs"/>
          <w:rtl/>
        </w:rPr>
        <w:t>,</w:t>
      </w:r>
      <w:r w:rsidRPr="002B70E1">
        <w:rPr>
          <w:rFonts w:cs="Arial"/>
          <w:rtl/>
        </w:rPr>
        <w:t xml:space="preserve"> דלא כתב לה אלא אדעתא למיקם קמיה בכל מקום שהדין נותן שתלך אחריו</w:t>
      </w:r>
      <w:r>
        <w:rPr>
          <w:rStyle w:val="a7"/>
          <w:rFonts w:cs="Arial"/>
          <w:rtl/>
        </w:rPr>
        <w:footnoteReference w:id="436"/>
      </w:r>
      <w:r w:rsidR="00C154F9">
        <w:rPr>
          <w:rFonts w:cs="Arial" w:hint="cs"/>
          <w:rtl/>
        </w:rPr>
        <w:t>.</w:t>
      </w:r>
      <w:r w:rsidR="00A754AD">
        <w:rPr>
          <w:rFonts w:hint="cs"/>
          <w:color w:val="E36C0A" w:themeColor="accent6" w:themeShade="BF"/>
          <w:rtl/>
        </w:rPr>
        <w:t xml:space="preserve"> </w:t>
      </w:r>
      <w:r w:rsidR="00A754AD" w:rsidRPr="00A73B2D">
        <w:rPr>
          <w:rFonts w:hint="cs"/>
          <w:color w:val="E36C0A" w:themeColor="accent6" w:themeShade="BF"/>
          <w:rtl/>
        </w:rPr>
        <w:t>(וכ"פ בשו"ע</w:t>
      </w:r>
      <w:r w:rsidR="00A754AD">
        <w:rPr>
          <w:rFonts w:hint="cs"/>
          <w:color w:val="E36C0A" w:themeColor="accent6" w:themeShade="BF"/>
          <w:rtl/>
        </w:rPr>
        <w:t>)</w:t>
      </w:r>
    </w:p>
    <w:p w14:paraId="41DBE995" w14:textId="3A5E9F22" w:rsidR="00A73B2D" w:rsidRPr="00E459DE" w:rsidRDefault="00E459DE" w:rsidP="00A73B2D">
      <w:pPr>
        <w:rPr>
          <w:u w:val="single"/>
        </w:rPr>
      </w:pPr>
      <w:r w:rsidRPr="00E459DE">
        <w:rPr>
          <w:rFonts w:cs="Arial"/>
          <w:u w:val="single"/>
          <w:rtl/>
        </w:rPr>
        <w:t xml:space="preserve">היה דר עמה בעירו ולא </w:t>
      </w:r>
      <w:r w:rsidRPr="00E459DE">
        <w:rPr>
          <w:rFonts w:cs="Arial" w:hint="cs"/>
          <w:u w:val="single"/>
          <w:rtl/>
        </w:rPr>
        <w:t xml:space="preserve">קבעו דירתם שם, </w:t>
      </w:r>
      <w:r w:rsidRPr="00E459DE">
        <w:rPr>
          <w:rFonts w:cs="Arial"/>
          <w:u w:val="single"/>
          <w:rtl/>
        </w:rPr>
        <w:t xml:space="preserve">ונסע עמה לעירה דרך מקרה, ולא </w:t>
      </w:r>
      <w:r w:rsidRPr="00E459DE">
        <w:rPr>
          <w:rFonts w:cs="Arial" w:hint="cs"/>
          <w:u w:val="single"/>
          <w:rtl/>
        </w:rPr>
        <w:t>קבעו דירתם שם</w:t>
      </w:r>
      <w:r>
        <w:rPr>
          <w:rFonts w:cs="Arial" w:hint="cs"/>
          <w:u w:val="single"/>
          <w:rtl/>
        </w:rPr>
        <w:t>:</w:t>
      </w:r>
    </w:p>
    <w:p w14:paraId="47673F3E" w14:textId="77777777" w:rsidR="00E459DE" w:rsidRPr="00E459DE" w:rsidRDefault="00242605" w:rsidP="00E459DE">
      <w:pPr>
        <w:pStyle w:val="ab"/>
        <w:numPr>
          <w:ilvl w:val="0"/>
          <w:numId w:val="7"/>
        </w:numPr>
      </w:pPr>
      <w:r w:rsidRPr="00A73B2D">
        <w:rPr>
          <w:rFonts w:cs="Arial"/>
          <w:rtl/>
        </w:rPr>
        <w:t xml:space="preserve">ריב"ש </w:t>
      </w:r>
      <w:r w:rsidR="00A73B2D" w:rsidRPr="00A73B2D">
        <w:rPr>
          <w:rFonts w:cs="Arial" w:hint="cs"/>
          <w:sz w:val="16"/>
          <w:szCs w:val="16"/>
          <w:rtl/>
        </w:rPr>
        <w:t>(</w:t>
      </w:r>
      <w:r w:rsidRPr="00A73B2D">
        <w:rPr>
          <w:rFonts w:cs="Arial"/>
          <w:sz w:val="16"/>
          <w:szCs w:val="16"/>
          <w:rtl/>
        </w:rPr>
        <w:t>סי</w:t>
      </w:r>
      <w:r w:rsidR="00A73B2D" w:rsidRPr="00A73B2D">
        <w:rPr>
          <w:rFonts w:cs="Arial" w:hint="cs"/>
          <w:sz w:val="16"/>
          <w:szCs w:val="16"/>
          <w:rtl/>
        </w:rPr>
        <w:t>'</w:t>
      </w:r>
      <w:r w:rsidRPr="00A73B2D">
        <w:rPr>
          <w:rFonts w:cs="Arial"/>
          <w:sz w:val="16"/>
          <w:szCs w:val="16"/>
          <w:rtl/>
        </w:rPr>
        <w:t xml:space="preserve"> פח</w:t>
      </w:r>
      <w:r w:rsidR="00A73B2D" w:rsidRPr="00A73B2D">
        <w:rPr>
          <w:rFonts w:cs="Arial" w:hint="cs"/>
          <w:sz w:val="16"/>
          <w:szCs w:val="16"/>
          <w:rtl/>
        </w:rPr>
        <w:t>)</w:t>
      </w:r>
      <w:r w:rsidR="00A73B2D" w:rsidRPr="00A73B2D">
        <w:rPr>
          <w:rFonts w:cs="Arial" w:hint="cs"/>
          <w:rtl/>
        </w:rPr>
        <w:t xml:space="preserve">- </w:t>
      </w:r>
      <w:r w:rsidRPr="00A73B2D">
        <w:rPr>
          <w:rFonts w:cs="Arial"/>
          <w:rtl/>
        </w:rPr>
        <w:t>מי שנשא אשה והביאוה לו לעירו</w:t>
      </w:r>
      <w:r w:rsidR="00A73B2D">
        <w:rPr>
          <w:rFonts w:cs="Arial" w:hint="cs"/>
          <w:rtl/>
        </w:rPr>
        <w:t>,</w:t>
      </w:r>
      <w:r w:rsidRPr="00A73B2D">
        <w:rPr>
          <w:rFonts w:cs="Arial"/>
          <w:rtl/>
        </w:rPr>
        <w:t xml:space="preserve"> וא</w:t>
      </w:r>
      <w:r w:rsidR="00E459DE">
        <w:rPr>
          <w:rFonts w:cs="Arial" w:hint="cs"/>
          <w:rtl/>
        </w:rPr>
        <w:t>ח"</w:t>
      </w:r>
      <w:r w:rsidRPr="00A73B2D">
        <w:rPr>
          <w:rFonts w:cs="Arial"/>
          <w:rtl/>
        </w:rPr>
        <w:t>כ הוכרחו לצאת מן המקום ההוא</w:t>
      </w:r>
      <w:r w:rsidR="00A73B2D">
        <w:rPr>
          <w:rFonts w:cs="Arial" w:hint="cs"/>
          <w:rtl/>
        </w:rPr>
        <w:t>.</w:t>
      </w:r>
      <w:r w:rsidRPr="00A73B2D">
        <w:rPr>
          <w:rFonts w:cs="Arial"/>
          <w:rtl/>
        </w:rPr>
        <w:t xml:space="preserve"> ויקר מקרהו שבאו למקו</w:t>
      </w:r>
      <w:r w:rsidR="00A73B2D">
        <w:rPr>
          <w:rFonts w:cs="Arial" w:hint="cs"/>
          <w:rtl/>
        </w:rPr>
        <w:t>ם</w:t>
      </w:r>
      <w:r w:rsidRPr="00A73B2D">
        <w:rPr>
          <w:rFonts w:cs="Arial"/>
          <w:rtl/>
        </w:rPr>
        <w:t xml:space="preserve"> מולדתה</w:t>
      </w:r>
      <w:r w:rsidR="00A73B2D">
        <w:rPr>
          <w:rFonts w:cs="Arial" w:hint="cs"/>
          <w:rtl/>
        </w:rPr>
        <w:t>,</w:t>
      </w:r>
      <w:r w:rsidRPr="00A73B2D">
        <w:rPr>
          <w:rFonts w:cs="Arial"/>
          <w:rtl/>
        </w:rPr>
        <w:t xml:space="preserve"> ועמדו שם ימים ולא איתדר ליה </w:t>
      </w:r>
      <w:r w:rsidR="00A73B2D">
        <w:rPr>
          <w:rFonts w:cs="Arial" w:hint="cs"/>
          <w:rtl/>
        </w:rPr>
        <w:t xml:space="preserve">- </w:t>
      </w:r>
      <w:r w:rsidRPr="00A73B2D">
        <w:rPr>
          <w:rFonts w:cs="Arial"/>
          <w:rtl/>
        </w:rPr>
        <w:t>הרשות בידו להוציאה משם למקום אחר</w:t>
      </w:r>
      <w:r w:rsidR="00A73B2D">
        <w:rPr>
          <w:rFonts w:cs="Arial" w:hint="cs"/>
          <w:rtl/>
        </w:rPr>
        <w:t xml:space="preserve">... </w:t>
      </w:r>
      <w:r w:rsidRPr="00A73B2D">
        <w:rPr>
          <w:rFonts w:cs="Arial"/>
          <w:rtl/>
        </w:rPr>
        <w:t>וכ</w:t>
      </w:r>
      <w:r w:rsidR="00E459DE">
        <w:rPr>
          <w:rFonts w:cs="Arial" w:hint="cs"/>
          <w:rtl/>
        </w:rPr>
        <w:t xml:space="preserve">ל </w:t>
      </w:r>
      <w:r w:rsidRPr="00A73B2D">
        <w:rPr>
          <w:rFonts w:cs="Arial"/>
          <w:rtl/>
        </w:rPr>
        <w:t>ש</w:t>
      </w:r>
      <w:r w:rsidR="00E459DE">
        <w:rPr>
          <w:rFonts w:cs="Arial" w:hint="cs"/>
          <w:rtl/>
        </w:rPr>
        <w:t>כן</w:t>
      </w:r>
      <w:r w:rsidRPr="00A73B2D">
        <w:rPr>
          <w:rFonts w:cs="Arial"/>
          <w:rtl/>
        </w:rPr>
        <w:t xml:space="preserve"> שהמקום שדעתך לקבוע דירתך שם הוא מקום תורה וחכמה יותר ממקום שאתם דרים שם עתה וקהלה גדולה ממנה כפלי כפלים</w:t>
      </w:r>
      <w:r w:rsidR="00A73B2D">
        <w:rPr>
          <w:rFonts w:cs="Arial" w:hint="cs"/>
          <w:rtl/>
        </w:rPr>
        <w:t>,</w:t>
      </w:r>
      <w:r w:rsidRPr="00A73B2D">
        <w:rPr>
          <w:rFonts w:cs="Arial"/>
          <w:rtl/>
        </w:rPr>
        <w:t xml:space="preserve"> וקרוב להיות דומה למה שאמרו בתוספתא מוציאין מעיר שרובה גוים לעיר שרובה ישראל</w:t>
      </w:r>
      <w:r w:rsidR="00A73B2D">
        <w:rPr>
          <w:rFonts w:cs="Arial" w:hint="cs"/>
          <w:rtl/>
        </w:rPr>
        <w:t>.</w:t>
      </w:r>
      <w:r w:rsidR="00E459DE" w:rsidRPr="00E459DE">
        <w:rPr>
          <w:rFonts w:cs="Arial" w:hint="cs"/>
          <w:color w:val="00B0F0"/>
          <w:rtl/>
        </w:rPr>
        <w:t xml:space="preserve"> (וכ"פ הרמ"א)</w:t>
      </w:r>
    </w:p>
    <w:p w14:paraId="08811066" w14:textId="4DF4E857" w:rsidR="00E459DE" w:rsidRPr="00D24C28" w:rsidRDefault="00D24C28" w:rsidP="00E459DE">
      <w:pPr>
        <w:rPr>
          <w:u w:val="single"/>
        </w:rPr>
      </w:pPr>
      <w:r w:rsidRPr="00D24C28">
        <w:rPr>
          <w:rFonts w:hint="cs"/>
          <w:u w:val="single"/>
          <w:rtl/>
        </w:rPr>
        <w:t>מעבר דירה לצורך פרנסה:</w:t>
      </w:r>
    </w:p>
    <w:p w14:paraId="0536CCB7" w14:textId="2BD2ECE6" w:rsidR="00D24C28" w:rsidRPr="00D24C28" w:rsidRDefault="00E459DE" w:rsidP="00D24C28">
      <w:pPr>
        <w:pStyle w:val="ab"/>
        <w:numPr>
          <w:ilvl w:val="0"/>
          <w:numId w:val="7"/>
        </w:numPr>
        <w:rPr>
          <w:rFonts w:cs="Arial"/>
        </w:rPr>
      </w:pPr>
      <w:r w:rsidRPr="00E459DE">
        <w:rPr>
          <w:rFonts w:cs="Arial" w:hint="cs"/>
          <w:rtl/>
        </w:rPr>
        <w:t>תרוה"ד</w:t>
      </w:r>
      <w:r w:rsidR="00242605" w:rsidRPr="00E459DE">
        <w:rPr>
          <w:rFonts w:cs="Arial"/>
          <w:rtl/>
        </w:rPr>
        <w:t xml:space="preserve"> </w:t>
      </w:r>
      <w:r w:rsidR="00242605" w:rsidRPr="00E459DE">
        <w:rPr>
          <w:rFonts w:cs="Arial"/>
          <w:sz w:val="16"/>
          <w:szCs w:val="16"/>
          <w:rtl/>
        </w:rPr>
        <w:t>(סי</w:t>
      </w:r>
      <w:r w:rsidRPr="00E459DE">
        <w:rPr>
          <w:rFonts w:cs="Arial" w:hint="cs"/>
          <w:sz w:val="16"/>
          <w:szCs w:val="16"/>
          <w:rtl/>
        </w:rPr>
        <w:t>'</w:t>
      </w:r>
      <w:r w:rsidR="00242605" w:rsidRPr="00E459DE">
        <w:rPr>
          <w:rFonts w:cs="Arial"/>
          <w:sz w:val="16"/>
          <w:szCs w:val="16"/>
          <w:rtl/>
        </w:rPr>
        <w:t xml:space="preserve"> רטו)</w:t>
      </w:r>
      <w:r w:rsidRPr="00E459DE">
        <w:rPr>
          <w:rFonts w:cs="Arial" w:hint="cs"/>
          <w:rtl/>
        </w:rPr>
        <w:t>-</w:t>
      </w:r>
      <w:r w:rsidR="00242605" w:rsidRPr="00E459DE">
        <w:rPr>
          <w:rFonts w:cs="Arial"/>
          <w:rtl/>
        </w:rPr>
        <w:t xml:space="preserve"> </w:t>
      </w:r>
      <w:r w:rsidR="00D24C28" w:rsidRPr="00D24C28">
        <w:rPr>
          <w:rFonts w:cs="Arial"/>
          <w:rtl/>
        </w:rPr>
        <w:t>שאלה</w:t>
      </w:r>
      <w:r w:rsidR="00D24C28">
        <w:rPr>
          <w:rFonts w:cs="Arial" w:hint="cs"/>
          <w:rtl/>
        </w:rPr>
        <w:t>,</w:t>
      </w:r>
      <w:r w:rsidR="00D24C28" w:rsidRPr="00D24C28">
        <w:rPr>
          <w:rFonts w:cs="Arial"/>
          <w:rtl/>
        </w:rPr>
        <w:t xml:space="preserve"> ראובן נשא את לאה במדינת מולדתו ובדעתו היה להשתקע שם, ולאחר שלש או ארבע שנים ירד מנכסיו קצת ומבקש מאשתו שתלך עמו למדינה אחרת לגור שם באומר</w:t>
      </w:r>
      <w:r w:rsidR="00D24C28">
        <w:rPr>
          <w:rFonts w:cs="Arial" w:hint="cs"/>
          <w:rtl/>
        </w:rPr>
        <w:t>ו</w:t>
      </w:r>
      <w:r w:rsidR="00D24C28" w:rsidRPr="00D24C28">
        <w:rPr>
          <w:rFonts w:cs="Arial"/>
          <w:rtl/>
        </w:rPr>
        <w:t xml:space="preserve"> שלא יוכל להחיות ולהתפרנס במדינה זו לפי נכסיו שנתמעטו וכן הוא האמת. ומשיבה לאה אין רצוני לצאת מארץ מולדתי ממקום שנשאה שם ואע</w:t>
      </w:r>
      <w:r w:rsidR="00024676">
        <w:rPr>
          <w:rFonts w:cs="Arial" w:hint="cs"/>
          <w:rtl/>
        </w:rPr>
        <w:t>"</w:t>
      </w:r>
      <w:r w:rsidR="00D24C28" w:rsidRPr="00D24C28">
        <w:rPr>
          <w:rFonts w:cs="Arial"/>
          <w:rtl/>
        </w:rPr>
        <w:t>פ שיש לדאג שתהא חסרה מזונות ופרנסה ותסבול דוחק</w:t>
      </w:r>
      <w:r w:rsidR="00024676">
        <w:rPr>
          <w:rFonts w:cs="Arial" w:hint="cs"/>
          <w:rtl/>
        </w:rPr>
        <w:t>,</w:t>
      </w:r>
      <w:r w:rsidR="00D24C28" w:rsidRPr="00D24C28">
        <w:rPr>
          <w:rFonts w:cs="Arial"/>
          <w:rtl/>
        </w:rPr>
        <w:t xml:space="preserve"> רצונה לצפות על ישועת השם</w:t>
      </w:r>
      <w:r w:rsidR="00024676">
        <w:rPr>
          <w:rFonts w:cs="Arial" w:hint="cs"/>
          <w:rtl/>
        </w:rPr>
        <w:t>,</w:t>
      </w:r>
      <w:r w:rsidR="00D24C28" w:rsidRPr="00D24C28">
        <w:rPr>
          <w:rFonts w:cs="Arial"/>
          <w:rtl/>
        </w:rPr>
        <w:t xml:space="preserve"> היוכל ראובן לכופה לצאת עמו ממקומה או לאו?</w:t>
      </w:r>
      <w:r w:rsidR="00B85167">
        <w:rPr>
          <w:rFonts w:cs="Arial" w:hint="cs"/>
          <w:rtl/>
        </w:rPr>
        <w:t xml:space="preserve">.      </w:t>
      </w:r>
      <w:r w:rsidR="00D24C28" w:rsidRPr="00D24C28">
        <w:rPr>
          <w:rFonts w:cs="Arial"/>
          <w:rtl/>
        </w:rPr>
        <w:t xml:space="preserve"> תשובה: יראה שהדין עם הבעל ויכול לכוף את אשתו ולצאת כה"ג אם הדבר נראה לעינים שלא יוכל להתפרנס כאן ויש לדאג שיהיו מחסרים מזונות ופרנסה ויצטרכו לסבול דוחק. ואע</w:t>
      </w:r>
      <w:r w:rsidR="00D24C28">
        <w:rPr>
          <w:rFonts w:cs="Arial" w:hint="cs"/>
          <w:rtl/>
        </w:rPr>
        <w:t>"</w:t>
      </w:r>
      <w:r w:rsidR="00D24C28" w:rsidRPr="00D24C28">
        <w:rPr>
          <w:rFonts w:cs="Arial"/>
          <w:rtl/>
        </w:rPr>
        <w:t xml:space="preserve">ג דשוים כל הגאונים דפליגי בכפיית הבעל והאשה דבלא אמתלא אינו יכול לכופה לצאת ממדינה </w:t>
      </w:r>
      <w:r w:rsidR="00D24C28">
        <w:rPr>
          <w:rFonts w:cs="Arial" w:hint="cs"/>
          <w:rtl/>
        </w:rPr>
        <w:t>שנשאה...</w:t>
      </w:r>
      <w:r w:rsidR="00D24C28" w:rsidRPr="00D24C28">
        <w:rPr>
          <w:rFonts w:cs="Arial"/>
          <w:rtl/>
        </w:rPr>
        <w:t xml:space="preserve"> מ"מ על ידי אמתלא ברורה כזאת דבר פשוט הוא דיכול לכופה</w:t>
      </w:r>
      <w:r w:rsidR="00D24C28">
        <w:rPr>
          <w:rStyle w:val="a7"/>
          <w:rFonts w:cs="Arial"/>
          <w:rtl/>
        </w:rPr>
        <w:footnoteReference w:id="437"/>
      </w:r>
      <w:r w:rsidR="00D24C28">
        <w:rPr>
          <w:rFonts w:cs="Arial" w:hint="cs"/>
          <w:rtl/>
        </w:rPr>
        <w:t>...</w:t>
      </w:r>
      <w:r w:rsidR="00D24C28" w:rsidRPr="00D24C28">
        <w:rPr>
          <w:rFonts w:cs="Arial"/>
          <w:rtl/>
        </w:rPr>
        <w:t xml:space="preserve"> </w:t>
      </w:r>
    </w:p>
    <w:p w14:paraId="41D4F1CE" w14:textId="49FCAF6C" w:rsidR="00E459DE" w:rsidRPr="00D24C28" w:rsidRDefault="00D24C28" w:rsidP="00D24C28">
      <w:pPr>
        <w:pStyle w:val="ab"/>
        <w:numPr>
          <w:ilvl w:val="0"/>
          <w:numId w:val="7"/>
        </w:numPr>
        <w:rPr>
          <w:rFonts w:cs="Arial"/>
        </w:rPr>
      </w:pPr>
      <w:r>
        <w:rPr>
          <w:rFonts w:cs="Arial" w:hint="cs"/>
          <w:rtl/>
        </w:rPr>
        <w:t xml:space="preserve">ריב"ש </w:t>
      </w:r>
      <w:r>
        <w:rPr>
          <w:rFonts w:cs="Arial" w:hint="cs"/>
          <w:sz w:val="16"/>
          <w:szCs w:val="16"/>
          <w:rtl/>
        </w:rPr>
        <w:t>(סי' פא)</w:t>
      </w:r>
      <w:r>
        <w:rPr>
          <w:rFonts w:cs="Arial" w:hint="cs"/>
          <w:rtl/>
        </w:rPr>
        <w:t xml:space="preserve">- </w:t>
      </w:r>
      <w:r w:rsidRPr="00D24C28">
        <w:rPr>
          <w:rFonts w:cs="Arial"/>
          <w:rtl/>
        </w:rPr>
        <w:t>שאלת</w:t>
      </w:r>
      <w:r>
        <w:rPr>
          <w:rFonts w:cs="Arial" w:hint="cs"/>
          <w:rtl/>
        </w:rPr>
        <w:t>,</w:t>
      </w:r>
      <w:r w:rsidRPr="00D24C28">
        <w:rPr>
          <w:rFonts w:cs="Arial"/>
          <w:rtl/>
        </w:rPr>
        <w:t xml:space="preserve"> ראובן נשא אשה בין שהיתה מעירו בין מעיר אחרת בין שנשאה בעירו בין שנשאה בעירה בתוך בני משפחתה ואביה ואמה ואחיה. ודחקה לו השעה באותה העיר שנשאה ולא מצא כדי פרנסתו ורצה לצאת משם וללכת אנה ואנה הן למזרח הן למערב ולגור באשר ימצא כדי פרנסתו ופרנסת אנשי ביתו. היוכל להכריח אשתו ללכת עמו מעיר לעיר עד שימצא מבוקשו אם לאו</w:t>
      </w:r>
      <w:r>
        <w:rPr>
          <w:rFonts w:cs="Arial" w:hint="cs"/>
          <w:rtl/>
        </w:rPr>
        <w:t>..</w:t>
      </w:r>
      <w:r w:rsidRPr="00D24C28">
        <w:rPr>
          <w:rFonts w:cs="Arial"/>
          <w:rtl/>
        </w:rPr>
        <w:t>.</w:t>
      </w:r>
      <w:r w:rsidR="00024676">
        <w:rPr>
          <w:rFonts w:cs="Arial" w:hint="cs"/>
          <w:rtl/>
        </w:rPr>
        <w:t xml:space="preserve">    </w:t>
      </w:r>
      <w:r w:rsidRPr="00D24C28">
        <w:rPr>
          <w:rFonts w:cs="Arial"/>
          <w:rtl/>
        </w:rPr>
        <w:t xml:space="preserve"> תשובה</w:t>
      </w:r>
      <w:r w:rsidR="00024676">
        <w:rPr>
          <w:rFonts w:cs="Arial" w:hint="cs"/>
          <w:rtl/>
        </w:rPr>
        <w:t>:</w:t>
      </w:r>
      <w:r w:rsidRPr="00D24C28">
        <w:rPr>
          <w:rFonts w:cs="Arial"/>
          <w:rtl/>
        </w:rPr>
        <w:t xml:space="preserve"> אין ספק שאין האיש יכול לכוף את אשתו ללכת עמו על הספק מעיר אל עיר ולהוליכה מדחי אל דחי כמו שנראה שבא השאלה על זה לפי לשונך. ובזה לא נסתפק אדם מעולם</w:t>
      </w:r>
      <w:r w:rsidR="00242605">
        <w:rPr>
          <w:rStyle w:val="a7"/>
          <w:rFonts w:cs="Arial"/>
          <w:rtl/>
        </w:rPr>
        <w:footnoteReference w:id="438"/>
      </w:r>
      <w:r>
        <w:rPr>
          <w:rFonts w:cs="Arial" w:hint="cs"/>
          <w:rtl/>
        </w:rPr>
        <w:t>.</w:t>
      </w:r>
    </w:p>
    <w:p w14:paraId="73E2FF7D" w14:textId="02A32CF4" w:rsidR="00E459DE" w:rsidRPr="00B272A1" w:rsidRDefault="0041141E" w:rsidP="00E459DE">
      <w:pPr>
        <w:rPr>
          <w:u w:val="single"/>
        </w:rPr>
      </w:pPr>
      <w:r>
        <w:rPr>
          <w:rFonts w:cs="Arial" w:hint="cs"/>
          <w:u w:val="single"/>
          <w:rtl/>
        </w:rPr>
        <w:t xml:space="preserve">כשיכול להוציאה מארץ לארץ, האם יכול להוציאה </w:t>
      </w:r>
      <w:r w:rsidR="008E4D7C">
        <w:rPr>
          <w:rFonts w:cs="Arial" w:hint="cs"/>
          <w:u w:val="single"/>
          <w:rtl/>
        </w:rPr>
        <w:t>כבר לאחר האירוסין או רק לאחר הנישואין:</w:t>
      </w:r>
    </w:p>
    <w:p w14:paraId="2916BD32" w14:textId="3238B482" w:rsidR="00242605" w:rsidRDefault="00242605" w:rsidP="00CB0CE4">
      <w:pPr>
        <w:pStyle w:val="ab"/>
        <w:numPr>
          <w:ilvl w:val="0"/>
          <w:numId w:val="7"/>
        </w:numPr>
        <w:rPr>
          <w:rFonts w:cs="Arial"/>
        </w:rPr>
      </w:pPr>
      <w:r w:rsidRPr="00E459DE">
        <w:rPr>
          <w:rFonts w:cs="Arial"/>
          <w:rtl/>
        </w:rPr>
        <w:t xml:space="preserve">תשב"ץ </w:t>
      </w:r>
      <w:r w:rsidR="00D24C28" w:rsidRPr="00D24C28">
        <w:rPr>
          <w:rFonts w:cs="Arial" w:hint="cs"/>
          <w:sz w:val="16"/>
          <w:szCs w:val="16"/>
          <w:rtl/>
        </w:rPr>
        <w:t>(</w:t>
      </w:r>
      <w:r w:rsidRPr="00D24C28">
        <w:rPr>
          <w:rFonts w:cs="Arial"/>
          <w:sz w:val="16"/>
          <w:szCs w:val="16"/>
          <w:rtl/>
        </w:rPr>
        <w:t>ח"א סי' צז)</w:t>
      </w:r>
      <w:r w:rsidR="00D24C28">
        <w:rPr>
          <w:rFonts w:cs="Arial" w:hint="cs"/>
          <w:rtl/>
        </w:rPr>
        <w:t>-</w:t>
      </w:r>
      <w:r w:rsidRPr="00E459DE">
        <w:rPr>
          <w:rFonts w:cs="Arial"/>
          <w:rtl/>
        </w:rPr>
        <w:t xml:space="preserve"> </w:t>
      </w:r>
      <w:r w:rsidR="00B272A1" w:rsidRPr="00B272A1">
        <w:rPr>
          <w:rFonts w:cs="Arial"/>
          <w:rtl/>
        </w:rPr>
        <w:t>שאלת</w:t>
      </w:r>
      <w:r w:rsidR="00B272A1">
        <w:rPr>
          <w:rFonts w:cs="Arial" w:hint="cs"/>
          <w:rtl/>
        </w:rPr>
        <w:t>,</w:t>
      </w:r>
      <w:r w:rsidR="00B272A1" w:rsidRPr="00B272A1">
        <w:rPr>
          <w:rFonts w:cs="Arial"/>
          <w:rtl/>
        </w:rPr>
        <w:t xml:space="preserve"> ראובן היה נשוי אשה בברשך</w:t>
      </w:r>
      <w:r w:rsidR="00B272A1">
        <w:rPr>
          <w:rFonts w:cs="Arial" w:hint="cs"/>
          <w:rtl/>
        </w:rPr>
        <w:t>,</w:t>
      </w:r>
      <w:r w:rsidR="00B272A1" w:rsidRPr="00B272A1">
        <w:rPr>
          <w:rFonts w:cs="Arial"/>
          <w:rtl/>
        </w:rPr>
        <w:t xml:space="preserve"> ואין לו רק בת אחת ורצה לקיים מצות פריה ורביה</w:t>
      </w:r>
      <w:r w:rsidR="00B272A1">
        <w:rPr>
          <w:rFonts w:cs="Arial" w:hint="cs"/>
          <w:rtl/>
        </w:rPr>
        <w:t>.</w:t>
      </w:r>
      <w:r w:rsidR="00B272A1" w:rsidRPr="00B272A1">
        <w:rPr>
          <w:rFonts w:cs="Arial"/>
          <w:rtl/>
        </w:rPr>
        <w:t xml:space="preserve"> הלך לתונס ואירס שם אשה אחת</w:t>
      </w:r>
      <w:r w:rsidR="00B272A1">
        <w:rPr>
          <w:rFonts w:cs="Arial" w:hint="cs"/>
          <w:rtl/>
        </w:rPr>
        <w:t>,</w:t>
      </w:r>
      <w:r w:rsidR="00B272A1" w:rsidRPr="00B272A1">
        <w:rPr>
          <w:rFonts w:cs="Arial"/>
          <w:rtl/>
        </w:rPr>
        <w:t xml:space="preserve"> והם מודים זה לזה שע"מ שתדור עמו בברשך קדשה</w:t>
      </w:r>
      <w:r w:rsidR="00B272A1">
        <w:rPr>
          <w:rFonts w:cs="Arial" w:hint="cs"/>
          <w:rtl/>
        </w:rPr>
        <w:t>.</w:t>
      </w:r>
      <w:r w:rsidR="00B272A1" w:rsidRPr="00B272A1">
        <w:rPr>
          <w:rFonts w:cs="Arial"/>
          <w:rtl/>
        </w:rPr>
        <w:t xml:space="preserve"> ועכשו נפל מחלוקת ביניה</w:t>
      </w:r>
      <w:r w:rsidR="00CB0CE4">
        <w:rPr>
          <w:rFonts w:cs="Arial" w:hint="cs"/>
          <w:rtl/>
        </w:rPr>
        <w:t>ם</w:t>
      </w:r>
      <w:r w:rsidR="00B272A1" w:rsidRPr="00B272A1">
        <w:rPr>
          <w:rFonts w:cs="Arial"/>
          <w:rtl/>
        </w:rPr>
        <w:t xml:space="preserve"> על ענין הנשואין באיזה מקום יהי</w:t>
      </w:r>
      <w:r w:rsidR="00CB0CE4">
        <w:rPr>
          <w:rFonts w:cs="Arial" w:hint="cs"/>
          <w:rtl/>
        </w:rPr>
        <w:t>ו,</w:t>
      </w:r>
      <w:r w:rsidR="00B272A1" w:rsidRPr="00B272A1">
        <w:rPr>
          <w:rFonts w:cs="Arial"/>
          <w:rtl/>
        </w:rPr>
        <w:t xml:space="preserve"> היא אומרת בתונס יהי</w:t>
      </w:r>
      <w:r w:rsidR="00CB0CE4">
        <w:rPr>
          <w:rFonts w:cs="Arial" w:hint="cs"/>
          <w:rtl/>
        </w:rPr>
        <w:t>ו</w:t>
      </w:r>
      <w:r w:rsidR="00B272A1" w:rsidRPr="00B272A1">
        <w:rPr>
          <w:rFonts w:cs="Arial"/>
          <w:rtl/>
        </w:rPr>
        <w:t xml:space="preserve"> כי כן היה התנאי בינינו</w:t>
      </w:r>
      <w:r w:rsidR="00CB0CE4">
        <w:rPr>
          <w:rFonts w:cs="Arial" w:hint="cs"/>
          <w:rtl/>
        </w:rPr>
        <w:t>,</w:t>
      </w:r>
      <w:r w:rsidR="00B272A1" w:rsidRPr="00B272A1">
        <w:rPr>
          <w:rFonts w:cs="Arial"/>
          <w:rtl/>
        </w:rPr>
        <w:t xml:space="preserve"> והוא אומר בברשך יהיו כן היה התנאי בינינו</w:t>
      </w:r>
      <w:r w:rsidR="00CB0CE4">
        <w:rPr>
          <w:rFonts w:cs="Arial" w:hint="cs"/>
          <w:rtl/>
        </w:rPr>
        <w:t>,</w:t>
      </w:r>
      <w:r w:rsidR="00B272A1" w:rsidRPr="00B272A1">
        <w:rPr>
          <w:rFonts w:cs="Arial"/>
          <w:rtl/>
        </w:rPr>
        <w:t xml:space="preserve"> ואם לא תבא לברשך להנש</w:t>
      </w:r>
      <w:r w:rsidR="00CB0CE4">
        <w:rPr>
          <w:rFonts w:cs="Arial" w:hint="cs"/>
          <w:rtl/>
        </w:rPr>
        <w:t>א</w:t>
      </w:r>
      <w:r w:rsidR="00B272A1" w:rsidRPr="00B272A1">
        <w:rPr>
          <w:rFonts w:cs="Arial"/>
          <w:rtl/>
        </w:rPr>
        <w:t xml:space="preserve"> שם לא אתחייב לך מזונות כי כן התניתי בפירוש עמך</w:t>
      </w:r>
      <w:r w:rsidR="00CB0CE4">
        <w:rPr>
          <w:rFonts w:cs="Arial" w:hint="cs"/>
          <w:rtl/>
        </w:rPr>
        <w:t>.</w:t>
      </w:r>
      <w:r w:rsidR="00B272A1" w:rsidRPr="00B272A1">
        <w:rPr>
          <w:rFonts w:cs="Arial"/>
          <w:rtl/>
        </w:rPr>
        <w:t xml:space="preserve"> ואין לזה ראיה ולא לזו</w:t>
      </w:r>
      <w:r w:rsidR="00CB0CE4">
        <w:rPr>
          <w:rFonts w:cs="Arial" w:hint="cs"/>
          <w:rtl/>
        </w:rPr>
        <w:t>.</w:t>
      </w:r>
      <w:r w:rsidR="00B272A1" w:rsidRPr="00B272A1">
        <w:rPr>
          <w:rFonts w:cs="Arial"/>
          <w:rtl/>
        </w:rPr>
        <w:t xml:space="preserve"> אלא שהארוס אומר השבעי את או אחת מקרובותיך שכן היה התנאי ואעשה הנישואין בתונס</w:t>
      </w:r>
      <w:r w:rsidR="00CB0CE4">
        <w:rPr>
          <w:rFonts w:cs="Arial" w:hint="cs"/>
          <w:rtl/>
        </w:rPr>
        <w:t>,</w:t>
      </w:r>
      <w:r w:rsidR="00B272A1" w:rsidRPr="00B272A1">
        <w:rPr>
          <w:rFonts w:cs="Arial"/>
          <w:rtl/>
        </w:rPr>
        <w:t xml:space="preserve"> והיא אינה רוצה לישבע אלא אומרת או כנוס או פטור</w:t>
      </w:r>
      <w:r w:rsidR="00CB0CE4">
        <w:rPr>
          <w:rFonts w:cs="Arial" w:hint="cs"/>
          <w:rtl/>
        </w:rPr>
        <w:t>.</w:t>
      </w:r>
      <w:r w:rsidR="00B272A1" w:rsidRPr="00B272A1">
        <w:rPr>
          <w:rFonts w:cs="Arial"/>
          <w:rtl/>
        </w:rPr>
        <w:t xml:space="preserve"> מהו הדין בזה</w:t>
      </w:r>
      <w:r w:rsidR="00B272A1">
        <w:rPr>
          <w:rFonts w:cs="Arial" w:hint="cs"/>
          <w:rtl/>
        </w:rPr>
        <w:t xml:space="preserve">. </w:t>
      </w:r>
      <w:r w:rsidR="00997313">
        <w:rPr>
          <w:rFonts w:cs="Arial" w:hint="cs"/>
          <w:rtl/>
        </w:rPr>
        <w:t xml:space="preserve">      </w:t>
      </w:r>
      <w:r w:rsidR="00B272A1" w:rsidRPr="00B272A1">
        <w:rPr>
          <w:rFonts w:cs="Arial"/>
          <w:rtl/>
        </w:rPr>
        <w:t>תשובה</w:t>
      </w:r>
      <w:r w:rsidR="00997313">
        <w:rPr>
          <w:rFonts w:cs="Arial" w:hint="cs"/>
          <w:rtl/>
        </w:rPr>
        <w:t>:</w:t>
      </w:r>
      <w:r w:rsidR="00B272A1" w:rsidRPr="00B272A1">
        <w:rPr>
          <w:rFonts w:cs="Arial"/>
          <w:rtl/>
        </w:rPr>
        <w:t xml:space="preserve"> נראה שהארוס נאמן</w:t>
      </w:r>
      <w:r w:rsidR="00CB0CE4">
        <w:rPr>
          <w:rFonts w:cs="Arial" w:hint="cs"/>
          <w:rtl/>
        </w:rPr>
        <w:t>,</w:t>
      </w:r>
      <w:r w:rsidR="00B272A1" w:rsidRPr="00B272A1">
        <w:rPr>
          <w:rFonts w:cs="Arial"/>
          <w:rtl/>
        </w:rPr>
        <w:t xml:space="preserve"> שאפילו בעיקר הדירה אם לא היתה מודה לו היה נאמן</w:t>
      </w:r>
      <w:r w:rsidR="00CB0CE4">
        <w:rPr>
          <w:rFonts w:cs="Arial" w:hint="cs"/>
          <w:rtl/>
        </w:rPr>
        <w:t>,</w:t>
      </w:r>
      <w:r w:rsidR="00B272A1" w:rsidRPr="00B272A1">
        <w:rPr>
          <w:rFonts w:cs="Arial"/>
          <w:rtl/>
        </w:rPr>
        <w:t xml:space="preserve"> לפי שמן הדין אפילו מסתמא בלא תנאי היה יכול לכופה לצאת עמו לברשך כיון שיש לו אשה שם</w:t>
      </w:r>
      <w:r w:rsidR="00CB0CE4">
        <w:rPr>
          <w:rFonts w:cs="Arial" w:hint="cs"/>
          <w:rtl/>
        </w:rPr>
        <w:t>,</w:t>
      </w:r>
      <w:r w:rsidR="00B272A1" w:rsidRPr="00CB0CE4">
        <w:rPr>
          <w:rFonts w:cs="Arial"/>
          <w:rtl/>
        </w:rPr>
        <w:t xml:space="preserve"> שאפי' בשתי ארצות היה יכול לכופה וכדתניא בתוספת</w:t>
      </w:r>
      <w:r w:rsidR="00CB0CE4">
        <w:rPr>
          <w:rFonts w:cs="Arial" w:hint="cs"/>
          <w:rtl/>
        </w:rPr>
        <w:t>א</w:t>
      </w:r>
      <w:r w:rsidR="00B272A1" w:rsidRPr="00CB0CE4">
        <w:rPr>
          <w:rFonts w:cs="Arial"/>
          <w:rtl/>
        </w:rPr>
        <w:t xml:space="preserve"> דאיית' לה הריא</w:t>
      </w:r>
      <w:r w:rsidR="00CB0CE4">
        <w:rPr>
          <w:rFonts w:cs="Arial" w:hint="cs"/>
          <w:rtl/>
        </w:rPr>
        <w:t>"</w:t>
      </w:r>
      <w:r w:rsidR="00B272A1" w:rsidRPr="00CB0CE4">
        <w:rPr>
          <w:rFonts w:cs="Arial"/>
          <w:rtl/>
        </w:rPr>
        <w:t>ף ז"ל בס</w:t>
      </w:r>
      <w:r w:rsidR="00CB0CE4">
        <w:rPr>
          <w:rFonts w:cs="Arial" w:hint="cs"/>
          <w:rtl/>
        </w:rPr>
        <w:t>"</w:t>
      </w:r>
      <w:r w:rsidR="00B272A1" w:rsidRPr="00CB0CE4">
        <w:rPr>
          <w:rFonts w:cs="Arial"/>
          <w:rtl/>
        </w:rPr>
        <w:t>פ בתרא דכתובות דתניא התם בן יהודה שאירס אשה בגליל כופין אותה לצאת שע"מ כן נשאה</w:t>
      </w:r>
      <w:r w:rsidR="00CB0CE4">
        <w:rPr>
          <w:rFonts w:cs="Arial" w:hint="cs"/>
          <w:rtl/>
        </w:rPr>
        <w:t>.</w:t>
      </w:r>
      <w:r w:rsidR="00B272A1" w:rsidRPr="00CB0CE4">
        <w:rPr>
          <w:rFonts w:cs="Arial"/>
          <w:rtl/>
        </w:rPr>
        <w:t xml:space="preserve"> וכ"ש שהוא נאמן בארץ אחרת שאפילו אין לו אשה אחרת באותו מקום כופין אותה לצאת וכדתנן במתני' (כתובות קי</w:t>
      </w:r>
      <w:r w:rsidR="00CB0CE4">
        <w:rPr>
          <w:rFonts w:cs="Arial" w:hint="cs"/>
          <w:rtl/>
        </w:rPr>
        <w:t>.</w:t>
      </w:r>
      <w:r w:rsidR="00B272A1" w:rsidRPr="00CB0CE4">
        <w:rPr>
          <w:rFonts w:cs="Arial"/>
          <w:rtl/>
        </w:rPr>
        <w:t>) אבל באותה הארץ מוציאין מכרך לכרך ומעיר לעיר</w:t>
      </w:r>
      <w:r w:rsidR="00CB0CE4">
        <w:rPr>
          <w:rFonts w:cs="Arial" w:hint="cs"/>
          <w:rtl/>
        </w:rPr>
        <w:t>.</w:t>
      </w:r>
      <w:r w:rsidR="00B272A1" w:rsidRPr="00CB0CE4">
        <w:rPr>
          <w:rFonts w:cs="Arial"/>
          <w:rtl/>
        </w:rPr>
        <w:t xml:space="preserve"> ואפי' תאמר שאין שני מקומות אלו שוין</w:t>
      </w:r>
      <w:r w:rsidR="00CB0CE4">
        <w:rPr>
          <w:rFonts w:cs="Arial" w:hint="cs"/>
          <w:rtl/>
        </w:rPr>
        <w:t>,</w:t>
      </w:r>
      <w:r w:rsidR="00B272A1" w:rsidRPr="00CB0CE4">
        <w:rPr>
          <w:rFonts w:cs="Arial"/>
          <w:rtl/>
        </w:rPr>
        <w:t xml:space="preserve"> שהאחד הוא כפר והאחד הוא כרך</w:t>
      </w:r>
      <w:r w:rsidR="00CB0CE4">
        <w:rPr>
          <w:rFonts w:cs="Arial" w:hint="cs"/>
          <w:rtl/>
        </w:rPr>
        <w:t>,</w:t>
      </w:r>
      <w:r w:rsidR="00B272A1" w:rsidRPr="00CB0CE4">
        <w:rPr>
          <w:rFonts w:cs="Arial"/>
          <w:rtl/>
        </w:rPr>
        <w:t xml:space="preserve"> והאחד הוא נוה יפה והאחד הוא נוה רע ותנן התם (</w:t>
      </w:r>
      <w:r w:rsidR="00CB0CE4">
        <w:rPr>
          <w:rFonts w:cs="Arial" w:hint="cs"/>
          <w:rtl/>
        </w:rPr>
        <w:t>שם קי:</w:t>
      </w:r>
      <w:r w:rsidR="00B272A1" w:rsidRPr="00CB0CE4">
        <w:rPr>
          <w:rFonts w:cs="Arial"/>
          <w:rtl/>
        </w:rPr>
        <w:t>) דמכרך לעיר ומעיר לכרך אין מוציאין ואף לא מנוה הרע ליפה</w:t>
      </w:r>
      <w:r w:rsidR="00CB0CE4">
        <w:rPr>
          <w:rFonts w:cs="Arial" w:hint="cs"/>
          <w:rtl/>
        </w:rPr>
        <w:t>,</w:t>
      </w:r>
      <w:r w:rsidR="00B272A1" w:rsidRPr="00CB0CE4">
        <w:rPr>
          <w:rFonts w:cs="Arial"/>
          <w:rtl/>
        </w:rPr>
        <w:t xml:space="preserve"> כרשב</w:t>
      </w:r>
      <w:r w:rsidR="00CB0CE4">
        <w:rPr>
          <w:rFonts w:cs="Arial" w:hint="cs"/>
          <w:rtl/>
        </w:rPr>
        <w:t>"</w:t>
      </w:r>
      <w:r w:rsidR="00B272A1" w:rsidRPr="00CB0CE4">
        <w:rPr>
          <w:rFonts w:cs="Arial"/>
          <w:rtl/>
        </w:rPr>
        <w:t>ג דקי"ל כותיה בהא כמו שפסק הרמב</w:t>
      </w:r>
      <w:r w:rsidR="00CB0CE4">
        <w:rPr>
          <w:rFonts w:cs="Arial" w:hint="cs"/>
          <w:rtl/>
        </w:rPr>
        <w:t>"</w:t>
      </w:r>
      <w:r w:rsidR="00B272A1" w:rsidRPr="00CB0CE4">
        <w:rPr>
          <w:rFonts w:cs="Arial"/>
          <w:rtl/>
        </w:rPr>
        <w:t>ם ז"ל (פי"ג מה"א הי"ח) והסכימו עמו האחרוני' ז"ל</w:t>
      </w:r>
      <w:r w:rsidR="00CB0CE4">
        <w:rPr>
          <w:rFonts w:cs="Arial" w:hint="cs"/>
          <w:rtl/>
        </w:rPr>
        <w:t>,</w:t>
      </w:r>
      <w:r w:rsidR="00B272A1" w:rsidRPr="00CB0CE4">
        <w:rPr>
          <w:rFonts w:cs="Arial"/>
          <w:rtl/>
        </w:rPr>
        <w:t xml:space="preserve"> אפ"ה בנדון זה מסתמא כופין אותה לצאת כיון שיש לו אשה אחרת בברשך יש לנו לומר דעל דעת כן נושא</w:t>
      </w:r>
      <w:r w:rsidR="00B272A1" w:rsidRPr="00CB0CE4">
        <w:rPr>
          <w:rFonts w:cs="Arial" w:hint="cs"/>
          <w:rtl/>
        </w:rPr>
        <w:t>ה</w:t>
      </w:r>
      <w:r w:rsidR="008A4BF8">
        <w:rPr>
          <w:rStyle w:val="a7"/>
          <w:rFonts w:cs="Arial"/>
          <w:rtl/>
        </w:rPr>
        <w:footnoteReference w:id="439"/>
      </w:r>
      <w:r w:rsidR="00D24C28" w:rsidRPr="00CB0CE4">
        <w:rPr>
          <w:rFonts w:cs="Arial" w:hint="cs"/>
          <w:rtl/>
        </w:rPr>
        <w:t>.</w:t>
      </w:r>
    </w:p>
    <w:p w14:paraId="18165E04" w14:textId="47E123B7" w:rsidR="00A754AD" w:rsidRDefault="00A754AD" w:rsidP="00CB0CE4">
      <w:pPr>
        <w:pStyle w:val="ab"/>
        <w:numPr>
          <w:ilvl w:val="0"/>
          <w:numId w:val="7"/>
        </w:numPr>
        <w:rPr>
          <w:rFonts w:cs="Arial"/>
        </w:rPr>
      </w:pPr>
      <w:r>
        <w:rPr>
          <w:rFonts w:cs="Arial" w:hint="cs"/>
          <w:rtl/>
        </w:rPr>
        <w:t xml:space="preserve">ריב"ש </w:t>
      </w:r>
      <w:r>
        <w:rPr>
          <w:rFonts w:cs="Arial" w:hint="cs"/>
          <w:sz w:val="16"/>
          <w:szCs w:val="16"/>
          <w:rtl/>
        </w:rPr>
        <w:t>(סי' קעז)</w:t>
      </w:r>
      <w:r>
        <w:rPr>
          <w:rFonts w:cs="Arial" w:hint="cs"/>
          <w:rtl/>
        </w:rPr>
        <w:t xml:space="preserve">- </w:t>
      </w:r>
      <w:r w:rsidRPr="00A754AD">
        <w:rPr>
          <w:rFonts w:cs="Arial"/>
          <w:rtl/>
        </w:rPr>
        <w:t xml:space="preserve">הנה בארה התוספתא שהנושא אשה סתם במקום אחר יכול להביאה למקומו ואפילו ממלכות למלכות אחרת כגון מגליל ליהודה אין צ"ל באותה מלכות. אמנם נראה דדוקא לאחר נשואין אבל קודם נשואין </w:t>
      </w:r>
      <w:r w:rsidRPr="00A754AD">
        <w:rPr>
          <w:rFonts w:cs="Arial"/>
          <w:rtl/>
        </w:rPr>
        <w:lastRenderedPageBreak/>
        <w:t>לא אע</w:t>
      </w:r>
      <w:r w:rsidR="0078003E">
        <w:rPr>
          <w:rFonts w:cs="Arial" w:hint="cs"/>
          <w:rtl/>
        </w:rPr>
        <w:t>"</w:t>
      </w:r>
      <w:r w:rsidRPr="00A754AD">
        <w:rPr>
          <w:rFonts w:cs="Arial"/>
          <w:rtl/>
        </w:rPr>
        <w:t>פ שכבר אירס אותה</w:t>
      </w:r>
      <w:r>
        <w:rPr>
          <w:rFonts w:cs="Arial" w:hint="cs"/>
          <w:rtl/>
        </w:rPr>
        <w:t>...</w:t>
      </w:r>
      <w:r w:rsidRPr="00A754AD">
        <w:rPr>
          <w:rFonts w:cs="Arial"/>
          <w:rtl/>
        </w:rPr>
        <w:t xml:space="preserve"> גם הרמב"ם ז"ל כשהביא דין זה שהביאה התוספתא לא תלאו בארוסין אלא בנשואין.</w:t>
      </w:r>
      <w:r>
        <w:rPr>
          <w:rFonts w:cs="Arial" w:hint="cs"/>
          <w:rtl/>
        </w:rPr>
        <w:t>..</w:t>
      </w:r>
      <w:r w:rsidRPr="00A754AD">
        <w:rPr>
          <w:rFonts w:cs="Arial"/>
          <w:rtl/>
        </w:rPr>
        <w:t xml:space="preserve"> אלא ודאי לעולם אין מוציאין הארוסה עד לאחר הנשואין</w:t>
      </w:r>
      <w:r w:rsidR="002420CE">
        <w:rPr>
          <w:rFonts w:cs="Arial" w:hint="cs"/>
          <w:rtl/>
        </w:rPr>
        <w:t>,</w:t>
      </w:r>
      <w:r w:rsidRPr="00A754AD">
        <w:rPr>
          <w:rFonts w:cs="Arial"/>
          <w:rtl/>
        </w:rPr>
        <w:t xml:space="preserve"> וסבר</w:t>
      </w:r>
      <w:r w:rsidR="002420CE">
        <w:rPr>
          <w:rFonts w:cs="Arial" w:hint="cs"/>
          <w:rtl/>
        </w:rPr>
        <w:t>א</w:t>
      </w:r>
      <w:r w:rsidRPr="00A754AD">
        <w:rPr>
          <w:rFonts w:cs="Arial"/>
          <w:rtl/>
        </w:rPr>
        <w:t xml:space="preserve"> הוא</w:t>
      </w:r>
      <w:r w:rsidR="002420CE">
        <w:rPr>
          <w:rFonts w:cs="Arial" w:hint="cs"/>
          <w:rtl/>
        </w:rPr>
        <w:t>,</w:t>
      </w:r>
      <w:r w:rsidRPr="00A754AD">
        <w:rPr>
          <w:rFonts w:cs="Arial"/>
          <w:rtl/>
        </w:rPr>
        <w:t xml:space="preserve"> שהרי עדין לא נתחייב לה בכתובה ולא בתנאי כתובה</w:t>
      </w:r>
      <w:r w:rsidR="00947CCF">
        <w:rPr>
          <w:rFonts w:cs="Arial" w:hint="cs"/>
          <w:rtl/>
        </w:rPr>
        <w:t>,</w:t>
      </w:r>
      <w:r w:rsidRPr="00A754AD">
        <w:rPr>
          <w:rFonts w:cs="Arial"/>
          <w:rtl/>
        </w:rPr>
        <w:t xml:space="preserve"> ואם חלתה בדרך אינו חייב לרפאותה ולא לפדותה אם נשבית ולא לקברה אם מתה ולמה תלך אחריו וכל הדרכים בחזקת סכנה</w:t>
      </w:r>
      <w:r w:rsidR="00947CCF">
        <w:rPr>
          <w:rFonts w:cs="Arial" w:hint="cs"/>
          <w:rtl/>
        </w:rPr>
        <w:t>,</w:t>
      </w:r>
      <w:r w:rsidRPr="00A754AD">
        <w:rPr>
          <w:rFonts w:cs="Arial"/>
          <w:rtl/>
        </w:rPr>
        <w:t xml:space="preserve"> וכ"ש בארצות האלה</w:t>
      </w:r>
      <w:r w:rsidR="00947CCF">
        <w:rPr>
          <w:rFonts w:cs="Arial" w:hint="cs"/>
          <w:rtl/>
        </w:rPr>
        <w:t>.</w:t>
      </w:r>
      <w:r w:rsidRPr="00A754AD">
        <w:rPr>
          <w:rFonts w:cs="Arial"/>
          <w:rtl/>
        </w:rPr>
        <w:t xml:space="preserve"> ולכן בנדון זה כיון שאין לבעל עדים שכך היו תנאין בפי' קודם הקדושין אינו יכול לכופה ללכת לברשך לנשואין אלא ישאנה בתנס ויכתוב לה כתובה ואחר תלך, ואם לא ירצה יגרש אותה בגט.</w:t>
      </w:r>
      <w:r w:rsidR="00000F75" w:rsidRPr="00000F75">
        <w:rPr>
          <w:rtl/>
        </w:rPr>
        <w:t xml:space="preserve"> </w:t>
      </w:r>
      <w:r w:rsidR="00000F75" w:rsidRPr="00000F75">
        <w:rPr>
          <w:rFonts w:cs="Arial"/>
          <w:rtl/>
        </w:rPr>
        <w:t>ומה שטוען שתשבע אמה אם לא היו כן התנאים</w:t>
      </w:r>
      <w:r w:rsidR="000F4F98">
        <w:rPr>
          <w:rFonts w:cs="Arial" w:hint="cs"/>
          <w:rtl/>
        </w:rPr>
        <w:t>,</w:t>
      </w:r>
      <w:r w:rsidR="00000F75" w:rsidRPr="00000F75">
        <w:rPr>
          <w:rFonts w:cs="Arial"/>
          <w:rtl/>
        </w:rPr>
        <w:t xml:space="preserve"> עדיין אף אם אמה תודה לבעל כדבריו</w:t>
      </w:r>
      <w:r w:rsidR="000F4F98">
        <w:rPr>
          <w:rFonts w:cs="Arial" w:hint="cs"/>
          <w:rtl/>
        </w:rPr>
        <w:t>,</w:t>
      </w:r>
      <w:r w:rsidR="00000F75" w:rsidRPr="00000F75">
        <w:rPr>
          <w:rFonts w:cs="Arial"/>
          <w:rtl/>
        </w:rPr>
        <w:t xml:space="preserve"> יכולה היתומה לעכב ולומר אם אמי פסקה עלי</w:t>
      </w:r>
      <w:r w:rsidR="000F4F98">
        <w:rPr>
          <w:rFonts w:cs="Arial" w:hint="cs"/>
          <w:rtl/>
        </w:rPr>
        <w:t>,</w:t>
      </w:r>
      <w:r w:rsidR="00000F75" w:rsidRPr="00000F75">
        <w:rPr>
          <w:rFonts w:cs="Arial"/>
          <w:rtl/>
        </w:rPr>
        <w:t xml:space="preserve"> מה לי, או כנוס במקומי או פטור, דומיא דהפוסק מעות לחתנו ופשט לו הרגל (כתובות קט</w:t>
      </w:r>
      <w:r w:rsidR="00417072">
        <w:rPr>
          <w:rFonts w:cs="Arial" w:hint="cs"/>
          <w:rtl/>
        </w:rPr>
        <w:t>.</w:t>
      </w:r>
      <w:r w:rsidR="00000F75" w:rsidRPr="00000F75">
        <w:rPr>
          <w:rFonts w:cs="Arial"/>
          <w:rtl/>
        </w:rPr>
        <w:t>) דקיי"ל כאדמון שיכולה היא שתאמר אבא פסק עלי מה אני יכולה לעשות, או כנוס או פטור</w:t>
      </w:r>
      <w:r w:rsidR="000F4F98">
        <w:rPr>
          <w:rFonts w:cs="Arial" w:hint="cs"/>
          <w:rtl/>
        </w:rPr>
        <w:t>.</w:t>
      </w:r>
      <w:r w:rsidR="00000F75" w:rsidRPr="00000F75">
        <w:rPr>
          <w:rFonts w:cs="Arial"/>
          <w:rtl/>
        </w:rPr>
        <w:t xml:space="preserve"> אמנם אם התנה עמה מדעת היתומה ומרצונה קודם הקדושין והיא תודה בזה</w:t>
      </w:r>
      <w:r w:rsidR="000F4F98">
        <w:rPr>
          <w:rFonts w:cs="Arial" w:hint="cs"/>
          <w:rtl/>
        </w:rPr>
        <w:t>,</w:t>
      </w:r>
      <w:r w:rsidR="00000F75" w:rsidRPr="00000F75">
        <w:rPr>
          <w:rFonts w:cs="Arial"/>
          <w:rtl/>
        </w:rPr>
        <w:t xml:space="preserve"> אז הדין עמו</w:t>
      </w:r>
      <w:r w:rsidR="000F4F98">
        <w:rPr>
          <w:rFonts w:cs="Arial" w:hint="cs"/>
          <w:rtl/>
        </w:rPr>
        <w:t>.</w:t>
      </w:r>
      <w:r w:rsidR="00085910" w:rsidRPr="00085910">
        <w:rPr>
          <w:rFonts w:hint="cs"/>
          <w:color w:val="00B0F0"/>
          <w:rtl/>
        </w:rPr>
        <w:t xml:space="preserve"> </w:t>
      </w:r>
      <w:r w:rsidR="00085910" w:rsidRPr="000F4F98">
        <w:rPr>
          <w:rFonts w:hint="cs"/>
          <w:color w:val="00B0F0"/>
          <w:rtl/>
        </w:rPr>
        <w:t xml:space="preserve">(וכ"פ </w:t>
      </w:r>
      <w:r w:rsidR="00085910">
        <w:rPr>
          <w:rFonts w:hint="cs"/>
          <w:color w:val="00B0F0"/>
          <w:rtl/>
        </w:rPr>
        <w:t>הרמ"א</w:t>
      </w:r>
      <w:r w:rsidR="00085910" w:rsidRPr="000F4F98">
        <w:rPr>
          <w:rFonts w:hint="cs"/>
          <w:color w:val="00B0F0"/>
          <w:sz w:val="16"/>
          <w:szCs w:val="16"/>
          <w:rtl/>
        </w:rPr>
        <w:t xml:space="preserve"> </w:t>
      </w:r>
      <w:r w:rsidR="00085910" w:rsidRPr="000F4F98">
        <w:rPr>
          <w:rFonts w:hint="cs"/>
          <w:sz w:val="16"/>
          <w:szCs w:val="16"/>
          <w:rtl/>
        </w:rPr>
        <w:t>[</w:t>
      </w:r>
      <w:r w:rsidR="00085910">
        <w:rPr>
          <w:rFonts w:hint="cs"/>
          <w:sz w:val="16"/>
          <w:szCs w:val="16"/>
          <w:rtl/>
        </w:rPr>
        <w:t>כאן ו</w:t>
      </w:r>
      <w:r w:rsidR="00085910" w:rsidRPr="000F4F98">
        <w:rPr>
          <w:rFonts w:hint="cs"/>
          <w:sz w:val="16"/>
          <w:szCs w:val="16"/>
          <w:rtl/>
        </w:rPr>
        <w:t>בסע' ב]</w:t>
      </w:r>
      <w:r w:rsidR="00085910" w:rsidRPr="000F4F98">
        <w:rPr>
          <w:rFonts w:hint="cs"/>
          <w:color w:val="00B0F0"/>
          <w:rtl/>
        </w:rPr>
        <w:t>)</w:t>
      </w:r>
    </w:p>
    <w:p w14:paraId="1DB68BE9" w14:textId="77777777" w:rsidR="00A265D1" w:rsidRDefault="00A265D1" w:rsidP="00A265D1">
      <w:pPr>
        <w:rPr>
          <w:rFonts w:cs="Arial"/>
          <w:rtl/>
        </w:rPr>
      </w:pPr>
      <w:r w:rsidRPr="003024E5">
        <w:rPr>
          <w:rFonts w:asciiTheme="minorBidi" w:hAnsiTheme="minorBidi"/>
          <w:b/>
          <w:bCs/>
          <w:color w:val="000000"/>
          <w:sz w:val="28"/>
          <w:szCs w:val="28"/>
          <w:u w:val="single"/>
          <w:rtl/>
        </w:rPr>
        <w:t>שו"ע:</w:t>
      </w:r>
    </w:p>
    <w:p w14:paraId="39DF2FB5" w14:textId="427BC324" w:rsidR="00471D63" w:rsidRDefault="00B9232D" w:rsidP="00471D63">
      <w:pPr>
        <w:rPr>
          <w:rFonts w:cs="Arial"/>
          <w:rtl/>
        </w:rPr>
      </w:pPr>
      <w:r>
        <w:rPr>
          <w:rFonts w:cs="Arial" w:hint="cs"/>
          <w:rtl/>
        </w:rPr>
        <w:t>שלש</w:t>
      </w:r>
      <w:r w:rsidR="00471D63">
        <w:rPr>
          <w:rFonts w:cs="Arial"/>
          <w:rtl/>
        </w:rPr>
        <w:t xml:space="preserve"> ארצות בא</w:t>
      </w:r>
      <w:r w:rsidR="009F4BE0">
        <w:rPr>
          <w:rFonts w:cs="Arial" w:hint="cs"/>
          <w:rtl/>
        </w:rPr>
        <w:t xml:space="preserve">רץ </w:t>
      </w:r>
      <w:r w:rsidR="00471D63">
        <w:rPr>
          <w:rFonts w:cs="Arial"/>
          <w:rtl/>
        </w:rPr>
        <w:t>י</w:t>
      </w:r>
      <w:r w:rsidR="009F4BE0">
        <w:rPr>
          <w:rFonts w:cs="Arial" w:hint="cs"/>
          <w:rtl/>
        </w:rPr>
        <w:t>שראל</w:t>
      </w:r>
      <w:r w:rsidR="00471D63">
        <w:rPr>
          <w:rFonts w:cs="Arial"/>
          <w:rtl/>
        </w:rPr>
        <w:t xml:space="preserve"> חלוקות זו מזו לענין נשואין, יהודה ועבר הירדן והגליל. וכל הישוב הוא ארצות, כגון ארץ כנען וארץ מצרים וארץ תימן </w:t>
      </w:r>
      <w:r w:rsidR="009F4BE0">
        <w:rPr>
          <w:rFonts w:cs="Arial" w:hint="cs"/>
          <w:sz w:val="18"/>
          <w:szCs w:val="18"/>
          <w:rtl/>
        </w:rPr>
        <w:t xml:space="preserve">[הגה] </w:t>
      </w:r>
      <w:r w:rsidR="00471D63" w:rsidRPr="009F4BE0">
        <w:rPr>
          <w:rFonts w:cs="Arial"/>
          <w:sz w:val="18"/>
          <w:szCs w:val="18"/>
          <w:rtl/>
        </w:rPr>
        <w:t>שחלוקים בלשונם (מהר"ם סי' קיז)</w:t>
      </w:r>
      <w:r w:rsidR="00471D63">
        <w:rPr>
          <w:rFonts w:cs="Arial"/>
          <w:rtl/>
        </w:rPr>
        <w:t xml:space="preserve">, שמי שהוא מארץ מהארצות ונשא אשה בארץ אחרת, כופין אותה ויוצאה עמו לארצו, או תצא בלא כתובה ובלא תוספת, שעל מנת כן נשאה אף על פי שלא פירש. </w:t>
      </w:r>
      <w:r w:rsidR="009F4BE0" w:rsidRPr="009F4BE0">
        <w:rPr>
          <w:rFonts w:cs="Arial" w:hint="cs"/>
          <w:sz w:val="18"/>
          <w:szCs w:val="18"/>
          <w:rtl/>
        </w:rPr>
        <w:t xml:space="preserve">[הגה] </w:t>
      </w:r>
      <w:r w:rsidR="00471D63" w:rsidRPr="009F4BE0">
        <w:rPr>
          <w:rFonts w:cs="Arial"/>
          <w:sz w:val="18"/>
          <w:szCs w:val="18"/>
          <w:rtl/>
        </w:rPr>
        <w:t>אבל אינו יכול להוציאה מעיר לכרך או להפך, בגליל אחד, אע</w:t>
      </w:r>
      <w:r w:rsidR="009F4BE0">
        <w:rPr>
          <w:rFonts w:cs="Arial" w:hint="cs"/>
          <w:sz w:val="18"/>
          <w:szCs w:val="18"/>
          <w:rtl/>
        </w:rPr>
        <w:t>"</w:t>
      </w:r>
      <w:r w:rsidR="00471D63" w:rsidRPr="009F4BE0">
        <w:rPr>
          <w:rFonts w:cs="Arial"/>
          <w:sz w:val="18"/>
          <w:szCs w:val="18"/>
          <w:rtl/>
        </w:rPr>
        <w:t>פ שהתנה עמה להוציאה מגליל ליהודה (ר"ן</w:t>
      </w:r>
      <w:r w:rsidR="009F4BE0">
        <w:rPr>
          <w:rFonts w:cs="Arial" w:hint="cs"/>
          <w:sz w:val="18"/>
          <w:szCs w:val="18"/>
          <w:rtl/>
        </w:rPr>
        <w:t>),</w:t>
      </w:r>
      <w:r w:rsidR="00471D63" w:rsidRPr="009F4BE0">
        <w:rPr>
          <w:rFonts w:cs="Arial"/>
          <w:sz w:val="18"/>
          <w:szCs w:val="18"/>
          <w:rtl/>
        </w:rPr>
        <w:t xml:space="preserve"> וכן כל כיוצא בזה.</w:t>
      </w:r>
      <w:r w:rsidR="00471D63">
        <w:rPr>
          <w:rFonts w:cs="Arial"/>
          <w:rtl/>
        </w:rPr>
        <w:t xml:space="preserve"> אבל הנושא אשה באחת מהארצות, והוא מאנשי אותה הארץ, אינו יכול להוציאה לארץ אחרת, אבל מוציאה ממדינה למדינה ומכפר לכפר באותם הארצות, ואינו יכול להוציאה ממדינה לכפר ומכפר למדינה. </w:t>
      </w:r>
      <w:r w:rsidR="00471D63" w:rsidRPr="00BB7341">
        <w:rPr>
          <w:rFonts w:cs="Arial"/>
          <w:sz w:val="18"/>
          <w:szCs w:val="18"/>
          <w:rtl/>
        </w:rPr>
        <w:t>הגה: וי"א דאם היו שניהם מארץ אחת, ונשאה בארץ אחרת, היא יכולה לכוף אותו לילך עמה לארצה, אפילו מכפר למדינה או להיפך (טור בשם ר"ת). אבל אם שניהם מארץ אחת ונשאה באותה הארץ, אין אחד מהם כופה לשני להוציאו ממדינה לכפר או להפך</w:t>
      </w:r>
      <w:r w:rsidR="00000F75">
        <w:rPr>
          <w:rFonts w:cs="Arial" w:hint="cs"/>
          <w:sz w:val="18"/>
          <w:szCs w:val="18"/>
          <w:rtl/>
        </w:rPr>
        <w:t>.</w:t>
      </w:r>
      <w:r w:rsidR="00471D63" w:rsidRPr="00BB7341">
        <w:rPr>
          <w:rFonts w:cs="Arial"/>
          <w:sz w:val="18"/>
          <w:szCs w:val="18"/>
          <w:rtl/>
        </w:rPr>
        <w:t xml:space="preserve"> אבל ממדינה למדינה או מכפר לכפר, האשה יכולה להכריחו שילך עמה למקומה, הואיל והם שוים (ג"ז שם). היה דר עמה בעירו ולא מתדר שם, ונסע עמה לעירה דרך מקרה, ולא איתדר ליה, יכול לחזור ולהוציאה (ריב"ש סי</w:t>
      </w:r>
      <w:r w:rsidR="00874F54">
        <w:rPr>
          <w:rFonts w:cs="Arial" w:hint="cs"/>
          <w:sz w:val="18"/>
          <w:szCs w:val="18"/>
          <w:rtl/>
        </w:rPr>
        <w:t xml:space="preserve">' </w:t>
      </w:r>
      <w:r w:rsidR="00471D63" w:rsidRPr="00BB7341">
        <w:rPr>
          <w:rFonts w:cs="Arial"/>
          <w:sz w:val="18"/>
          <w:szCs w:val="18"/>
          <w:rtl/>
        </w:rPr>
        <w:t>פח). י"א אם לא יוכל להחיות ולפרנס עצמו, כופין אשתו שתלך עמו למקום שירצה (ת</w:t>
      </w:r>
      <w:r w:rsidR="00874F54">
        <w:rPr>
          <w:rFonts w:cs="Arial" w:hint="cs"/>
          <w:sz w:val="18"/>
          <w:szCs w:val="18"/>
          <w:rtl/>
        </w:rPr>
        <w:t>רו</w:t>
      </w:r>
      <w:r w:rsidR="00471D63" w:rsidRPr="00BB7341">
        <w:rPr>
          <w:rFonts w:cs="Arial"/>
          <w:sz w:val="18"/>
          <w:szCs w:val="18"/>
          <w:rtl/>
        </w:rPr>
        <w:t>ה</w:t>
      </w:r>
      <w:r w:rsidR="00874F54">
        <w:rPr>
          <w:rFonts w:cs="Arial" w:hint="cs"/>
          <w:sz w:val="18"/>
          <w:szCs w:val="18"/>
          <w:rtl/>
        </w:rPr>
        <w:t>"ד</w:t>
      </w:r>
      <w:r w:rsidR="00471D63" w:rsidRPr="00BB7341">
        <w:rPr>
          <w:rFonts w:cs="Arial"/>
          <w:sz w:val="18"/>
          <w:szCs w:val="18"/>
          <w:rtl/>
        </w:rPr>
        <w:t>), ויש חולקין (ריב"ש</w:t>
      </w:r>
      <w:r w:rsidR="00E23EC0">
        <w:rPr>
          <w:rFonts w:cs="Arial" w:hint="cs"/>
          <w:sz w:val="18"/>
          <w:szCs w:val="18"/>
          <w:rtl/>
        </w:rPr>
        <w:t xml:space="preserve"> וב"י</w:t>
      </w:r>
      <w:r w:rsidR="00471D63" w:rsidRPr="00BB7341">
        <w:rPr>
          <w:rFonts w:cs="Arial"/>
          <w:sz w:val="18"/>
          <w:szCs w:val="18"/>
          <w:rtl/>
        </w:rPr>
        <w:t>). מי שהוא ממדינה אחת ויש לו שם אשה, ונשא אחרת במדינה אחרת, צריכה לילך עמו לעירו, דודאי נשאה לשוב לביתו (ב"י בשם הרשב"ץ</w:t>
      </w:r>
      <w:r w:rsidR="00000F75">
        <w:rPr>
          <w:rStyle w:val="a7"/>
          <w:rFonts w:cs="Arial"/>
          <w:sz w:val="18"/>
          <w:szCs w:val="18"/>
          <w:rtl/>
        </w:rPr>
        <w:footnoteReference w:id="440"/>
      </w:r>
      <w:r w:rsidR="00471D63" w:rsidRPr="00BB7341">
        <w:rPr>
          <w:rFonts w:cs="Arial"/>
          <w:sz w:val="18"/>
          <w:szCs w:val="18"/>
          <w:rtl/>
        </w:rPr>
        <w:t>). ועיין לקמן סימן קנ"ד סעיף ט' עוד מדינין אלו.</w:t>
      </w:r>
      <w:r w:rsidR="00471D63">
        <w:rPr>
          <w:rFonts w:cs="Arial"/>
          <w:rtl/>
        </w:rPr>
        <w:t xml:space="preserve"> </w:t>
      </w:r>
    </w:p>
    <w:p w14:paraId="15201C14" w14:textId="26C39E13" w:rsidR="005E3297" w:rsidRPr="003278C0" w:rsidRDefault="003278C0" w:rsidP="00471D63">
      <w:pPr>
        <w:rPr>
          <w:rFonts w:cs="Arial"/>
          <w:u w:val="single"/>
          <w:rtl/>
        </w:rPr>
      </w:pPr>
      <w:r w:rsidRPr="003278C0">
        <w:rPr>
          <w:rFonts w:cs="Arial" w:hint="cs"/>
          <w:u w:val="single"/>
          <w:rtl/>
        </w:rPr>
        <w:t xml:space="preserve">התנו החתן והכלה שידורו במקום אבי הכלה, ולאחר החתונה התברר </w:t>
      </w:r>
      <w:r w:rsidR="005E3297" w:rsidRPr="003278C0">
        <w:rPr>
          <w:rFonts w:cs="Arial" w:hint="cs"/>
          <w:u w:val="single"/>
          <w:rtl/>
        </w:rPr>
        <w:t>שהאוויר</w:t>
      </w:r>
      <w:r w:rsidRPr="003278C0">
        <w:rPr>
          <w:rFonts w:cs="Arial" w:hint="cs"/>
          <w:u w:val="single"/>
          <w:rtl/>
        </w:rPr>
        <w:t xml:space="preserve"> שם גורם לו מחלות:</w:t>
      </w:r>
      <w:r w:rsidR="005E3297" w:rsidRPr="003278C0">
        <w:rPr>
          <w:rFonts w:cs="Arial" w:hint="cs"/>
          <w:u w:val="single"/>
          <w:rtl/>
        </w:rPr>
        <w:t xml:space="preserve"> </w:t>
      </w:r>
    </w:p>
    <w:p w14:paraId="7CB88171" w14:textId="420D591A" w:rsidR="00BB7341" w:rsidRDefault="005E3297" w:rsidP="003278C0">
      <w:pPr>
        <w:pStyle w:val="ab"/>
        <w:numPr>
          <w:ilvl w:val="0"/>
          <w:numId w:val="6"/>
        </w:numPr>
        <w:rPr>
          <w:rtl/>
        </w:rPr>
      </w:pPr>
      <w:r w:rsidRPr="003278C0">
        <w:rPr>
          <w:rFonts w:cs="Arial" w:hint="cs"/>
          <w:rtl/>
        </w:rPr>
        <w:t xml:space="preserve">פת"ש </w:t>
      </w:r>
      <w:r w:rsidRPr="003278C0">
        <w:rPr>
          <w:rFonts w:cs="Arial" w:hint="cs"/>
          <w:sz w:val="16"/>
          <w:szCs w:val="16"/>
          <w:rtl/>
        </w:rPr>
        <w:t>(סק"ג)</w:t>
      </w:r>
      <w:r w:rsidRPr="003278C0">
        <w:rPr>
          <w:rFonts w:cs="Arial" w:hint="cs"/>
          <w:rtl/>
        </w:rPr>
        <w:t xml:space="preserve">- </w:t>
      </w:r>
      <w:r w:rsidR="00453FA0" w:rsidRPr="003278C0">
        <w:rPr>
          <w:rFonts w:cs="Arial"/>
          <w:rtl/>
        </w:rPr>
        <w:t xml:space="preserve">עיין בתשו' נו"ב </w:t>
      </w:r>
      <w:r w:rsidRPr="003278C0">
        <w:rPr>
          <w:rFonts w:cs="Arial" w:hint="cs"/>
          <w:rtl/>
        </w:rPr>
        <w:t>(</w:t>
      </w:r>
      <w:r w:rsidR="00453FA0" w:rsidRPr="003278C0">
        <w:rPr>
          <w:rFonts w:cs="Arial"/>
          <w:rtl/>
        </w:rPr>
        <w:t>סי' סז</w:t>
      </w:r>
      <w:r w:rsidRPr="003278C0">
        <w:rPr>
          <w:rFonts w:cs="Arial" w:hint="cs"/>
          <w:rtl/>
        </w:rPr>
        <w:t>)</w:t>
      </w:r>
      <w:r w:rsidR="00453FA0" w:rsidRPr="003278C0">
        <w:rPr>
          <w:rFonts w:cs="Arial"/>
          <w:rtl/>
        </w:rPr>
        <w:t xml:space="preserve"> בענין הזוג שהותנה ביניהם בתנאים ראשונים שידורו בעיר ובבית אבי הכלה ובתנאים אחרונים הוכפל התנאי ועתה אחר החתונה לא מיתדר ליה להבעל במקום שדר בו חמיו באשר שקרה לו מקרה בפעם הראשון שהיה בבית חמיו היה לו מיחושים הרבה וחזר לבית אביו ונתרפא וחזר שוב שנית לבית חמיו ואינו יכול לסבול אוירא דמדינות חמיו והיה לו מכאובים הרבה עד שבא לכלל סכנה שהיה לו מכות בפניו וחבורות ופצעים והרופאים אומרים שזה בא לו מחמת שינוי אויר. ופסק בזה הגאון אב"ד דק"ק אה"ו שאין כופין הבעל לדור בבית חמיו ואדרבא כופין את האשה שתלך אחריו והביא ראיה מתשובת מיימוני סי' כ"ח דאם יש אומדנא ואמתלאות היא צריכה לילך אחריו ואין לך אומדנא גדולה מזו ועוד ראיה מפלוגתא שבין תה"ד וריב"ש באין לו מזונות ופרנסה במקומו וע"כ לא נחלק הריב"ש אלא בדוחק פרנסה שמ"ש רז"ל מאן דביש ליה בהאי מתא כו' הוא רק דרך עצה טובה אבל כאן דביש ליה מחמת חשש סכנה גם הריב"ש מודה. והוא ז"ל השיב בזה דמ"ש הגאון הנ"ל שאין כופין הבעל הוא פשוט כיון שהרופאים העידו שהוא סכנה פשיטא שסומכין על דבריהם אפי' במקום סקילה וכרת לחלל שבת ולאכול ביו"כ ק"ו כאן דתרי זימני הוי חזקה (עמש"ל סי' ב' סק"ז) אבל מ"ש שכופין את האשה שתלך אחריו צריך תלמוד כי בתשובת מיימוני שם לא הוזכר כלל מלכוף את האשה רק שלא לכוף הבעל לגרשה או לבא למקומה (צ"ע מדברי הרמ"א דלקמן ס"ב סוף הגה)</w:t>
      </w:r>
      <w:r w:rsidRPr="003278C0">
        <w:rPr>
          <w:rFonts w:cs="Arial" w:hint="cs"/>
          <w:rtl/>
        </w:rPr>
        <w:t>...</w:t>
      </w:r>
      <w:r w:rsidR="00453FA0" w:rsidRPr="003278C0">
        <w:rPr>
          <w:rFonts w:cs="Arial"/>
          <w:rtl/>
        </w:rPr>
        <w:t xml:space="preserve"> </w:t>
      </w:r>
    </w:p>
    <w:p w14:paraId="5BFAE49F" w14:textId="77777777" w:rsidR="00453FA0" w:rsidRDefault="00453FA0" w:rsidP="00471D63">
      <w:pPr>
        <w:rPr>
          <w:rtl/>
        </w:rPr>
      </w:pPr>
    </w:p>
    <w:p w14:paraId="4235FF1B" w14:textId="007D4BCD" w:rsidR="00471D63" w:rsidRDefault="00471D63" w:rsidP="000F64D0">
      <w:pPr>
        <w:pStyle w:val="2"/>
        <w:rPr>
          <w:rtl/>
        </w:rPr>
      </w:pPr>
      <w:r>
        <w:rPr>
          <w:rtl/>
        </w:rPr>
        <w:t>סעיף ב</w:t>
      </w:r>
      <w:r w:rsidR="00874F54">
        <w:rPr>
          <w:rFonts w:hint="cs"/>
          <w:rtl/>
        </w:rPr>
        <w:t>:</w:t>
      </w:r>
      <w:r w:rsidR="000F4F98">
        <w:rPr>
          <w:rFonts w:hint="cs"/>
          <w:rtl/>
        </w:rPr>
        <w:t xml:space="preserve"> להוציא מנוה יפה לרע (ולהפך). ולהוציא ממקום שרובו ישראל למקום שלא (ולהפך).</w:t>
      </w:r>
    </w:p>
    <w:p w14:paraId="35AFEDF5" w14:textId="77777777" w:rsidR="00A73B2D" w:rsidRDefault="00A73B2D" w:rsidP="00A73B2D">
      <w:pPr>
        <w:rPr>
          <w:rFonts w:cs="Arial"/>
          <w:rtl/>
        </w:rPr>
      </w:pPr>
      <w:r w:rsidRPr="00AA00D2">
        <w:rPr>
          <w:rFonts w:cs="Arial"/>
          <w:b/>
          <w:bCs/>
          <w:rtl/>
        </w:rPr>
        <w:t xml:space="preserve">כתובות </w:t>
      </w:r>
      <w:r w:rsidRPr="00AA00D2">
        <w:rPr>
          <w:rFonts w:cs="Arial" w:hint="cs"/>
          <w:b/>
          <w:bCs/>
          <w:sz w:val="16"/>
          <w:szCs w:val="16"/>
          <w:rtl/>
        </w:rPr>
        <w:t>(</w:t>
      </w:r>
      <w:r w:rsidRPr="00AA00D2">
        <w:rPr>
          <w:rFonts w:cs="Arial"/>
          <w:b/>
          <w:bCs/>
          <w:sz w:val="16"/>
          <w:szCs w:val="16"/>
          <w:rtl/>
        </w:rPr>
        <w:t>פ' שני דייני</w:t>
      </w:r>
      <w:r w:rsidRPr="00AA00D2">
        <w:rPr>
          <w:rFonts w:cs="Arial" w:hint="cs"/>
          <w:b/>
          <w:bCs/>
          <w:sz w:val="16"/>
          <w:szCs w:val="16"/>
          <w:rtl/>
        </w:rPr>
        <w:t>)</w:t>
      </w:r>
      <w:r w:rsidRPr="00AA00D2">
        <w:rPr>
          <w:rFonts w:cs="Arial"/>
          <w:b/>
          <w:bCs/>
          <w:rtl/>
        </w:rPr>
        <w:t xml:space="preserve"> קי</w:t>
      </w:r>
      <w:r w:rsidRPr="00AA00D2">
        <w:rPr>
          <w:rFonts w:cs="Arial" w:hint="cs"/>
          <w:b/>
          <w:bCs/>
          <w:rtl/>
        </w:rPr>
        <w:t xml:space="preserve"> ע"א</w:t>
      </w:r>
      <w:r w:rsidRPr="00AA00D2">
        <w:rPr>
          <w:rFonts w:cs="Arial"/>
          <w:b/>
          <w:bCs/>
          <w:rtl/>
        </w:rPr>
        <w:t>:</w:t>
      </w:r>
      <w:r w:rsidRPr="00AA00D2">
        <w:rPr>
          <w:rFonts w:cs="Arial" w:hint="cs"/>
          <w:rtl/>
        </w:rPr>
        <w:t xml:space="preserve"> </w:t>
      </w:r>
      <w:r w:rsidRPr="00AA00D2">
        <w:rPr>
          <w:rFonts w:cs="Arial"/>
          <w:u w:val="double"/>
          <w:rtl/>
        </w:rPr>
        <w:t>מתני'</w:t>
      </w:r>
      <w:r w:rsidRPr="00AA00D2">
        <w:rPr>
          <w:rFonts w:cs="Arial" w:hint="cs"/>
          <w:rtl/>
        </w:rPr>
        <w:t>:</w:t>
      </w:r>
      <w:r w:rsidRPr="00AA00D2">
        <w:rPr>
          <w:rFonts w:cs="Arial"/>
          <w:rtl/>
        </w:rPr>
        <w:t xml:space="preserve"> שלש ארצות לנשואין: יהודה, ועבר הירדן, והגליל</w:t>
      </w:r>
      <w:r w:rsidRPr="00AA00D2">
        <w:rPr>
          <w:rFonts w:cs="Arial" w:hint="cs"/>
          <w:rtl/>
        </w:rPr>
        <w:t>.</w:t>
      </w:r>
      <w:r w:rsidRPr="00AA00D2">
        <w:rPr>
          <w:rFonts w:cs="Arial"/>
          <w:rtl/>
        </w:rPr>
        <w:t xml:space="preserve"> אין מוציאין מעיר לעיר ומכרך לכרך, אבל באותה הארץ מוציאין מעיר לעיר ומכרך לכרך,</w:t>
      </w:r>
      <w:r w:rsidRPr="00AA00D2">
        <w:rPr>
          <w:rFonts w:hint="cs"/>
          <w:sz w:val="14"/>
          <w:szCs w:val="14"/>
          <w:rtl/>
        </w:rPr>
        <w:t>(קי:)</w:t>
      </w:r>
      <w:r w:rsidRPr="00240B1E">
        <w:rPr>
          <w:rtl/>
        </w:rPr>
        <w:t xml:space="preserve"> </w:t>
      </w:r>
      <w:r w:rsidRPr="00AA00D2">
        <w:rPr>
          <w:rFonts w:cs="Arial"/>
          <w:rtl/>
        </w:rPr>
        <w:t xml:space="preserve">אבל לא מעיר לכרך ולא מכרך לעיר. מוציאין מנוה </w:t>
      </w:r>
      <w:r w:rsidRPr="00AA00D2">
        <w:rPr>
          <w:rFonts w:cs="Arial"/>
          <w:rtl/>
        </w:rPr>
        <w:lastRenderedPageBreak/>
        <w:t>הרעה לנוה היפה, אבל לא מנוה היפה לנוה הרעה</w:t>
      </w:r>
      <w:r w:rsidRPr="00AA00D2">
        <w:rPr>
          <w:rFonts w:cs="Arial" w:hint="cs"/>
          <w:rtl/>
        </w:rPr>
        <w:t>.</w:t>
      </w:r>
      <w:r w:rsidRPr="00AA00D2">
        <w:rPr>
          <w:rFonts w:cs="Arial"/>
          <w:rtl/>
        </w:rPr>
        <w:t xml:space="preserve"> </w:t>
      </w:r>
      <w:r w:rsidRPr="00AA00D2">
        <w:rPr>
          <w:rFonts w:cs="Arial"/>
          <w:u w:val="single"/>
          <w:rtl/>
        </w:rPr>
        <w:t>רשב"ג אומר</w:t>
      </w:r>
      <w:r w:rsidRPr="00AA00D2">
        <w:rPr>
          <w:rFonts w:cs="Arial"/>
          <w:rtl/>
        </w:rPr>
        <w:t>: אף לא מנוה רעה לנוה יפה, מפני שהנוה היפה בודק</w:t>
      </w:r>
      <w:r>
        <w:rPr>
          <w:rStyle w:val="a7"/>
          <w:rFonts w:cs="Arial"/>
          <w:rtl/>
        </w:rPr>
        <w:footnoteReference w:id="441"/>
      </w:r>
      <w:r w:rsidRPr="00AA00D2">
        <w:rPr>
          <w:rFonts w:cs="Arial"/>
          <w:rtl/>
        </w:rPr>
        <w:t xml:space="preserve">. </w:t>
      </w:r>
      <w:r w:rsidRPr="00AA00D2">
        <w:rPr>
          <w:rFonts w:cs="Arial" w:hint="cs"/>
          <w:sz w:val="16"/>
          <w:szCs w:val="16"/>
          <w:rtl/>
        </w:rPr>
        <w:t>(</w:t>
      </w:r>
      <w:r w:rsidRPr="00D57ECA">
        <w:rPr>
          <w:rFonts w:cs="Arial"/>
          <w:sz w:val="16"/>
          <w:szCs w:val="16"/>
          <w:rtl/>
        </w:rPr>
        <w:t>ואע</w:t>
      </w:r>
      <w:r>
        <w:rPr>
          <w:rFonts w:cs="Arial" w:hint="cs"/>
          <w:sz w:val="16"/>
          <w:szCs w:val="16"/>
          <w:rtl/>
        </w:rPr>
        <w:t>"</w:t>
      </w:r>
      <w:r w:rsidRPr="00D57ECA">
        <w:rPr>
          <w:rFonts w:cs="Arial"/>
          <w:sz w:val="16"/>
          <w:szCs w:val="16"/>
          <w:rtl/>
        </w:rPr>
        <w:t>ג דמשמע דת"ק פליג בהא</w:t>
      </w:r>
      <w:r w:rsidRPr="00D57ECA">
        <w:rPr>
          <w:rFonts w:cs="Arial" w:hint="cs"/>
          <w:sz w:val="16"/>
          <w:szCs w:val="16"/>
          <w:rtl/>
        </w:rPr>
        <w:t>,</w:t>
      </w:r>
      <w:r w:rsidRPr="00D57ECA">
        <w:rPr>
          <w:rFonts w:cs="Arial"/>
          <w:sz w:val="16"/>
          <w:szCs w:val="16"/>
          <w:rtl/>
        </w:rPr>
        <w:t xml:space="preserve"> קיי"ל (כתובות עז.) כל מקום ששנה רבן שמעון בן גמליאל במשנתינו הלכה כמותו</w:t>
      </w:r>
      <w:r w:rsidRPr="00D57ECA">
        <w:rPr>
          <w:rFonts w:cs="Arial" w:hint="cs"/>
          <w:sz w:val="16"/>
          <w:szCs w:val="16"/>
          <w:rtl/>
        </w:rPr>
        <w:t>.</w:t>
      </w:r>
      <w:r w:rsidRPr="00D57ECA">
        <w:rPr>
          <w:rFonts w:cs="Arial"/>
          <w:sz w:val="16"/>
          <w:szCs w:val="16"/>
          <w:rtl/>
        </w:rPr>
        <w:t xml:space="preserve"> וכן פסק הרמב"ם בפי"ג מהלכות אישות (הי"ח)</w:t>
      </w:r>
      <w:r w:rsidRPr="00D57ECA">
        <w:rPr>
          <w:rFonts w:cs="Arial" w:hint="cs"/>
          <w:sz w:val="16"/>
          <w:szCs w:val="16"/>
          <w:rtl/>
        </w:rPr>
        <w:t>, ב"י)</w:t>
      </w:r>
    </w:p>
    <w:p w14:paraId="39489025" w14:textId="6FEBD4E4" w:rsidR="00A73B2D" w:rsidRPr="00A806B1" w:rsidRDefault="00A73B2D" w:rsidP="00A73B2D">
      <w:pPr>
        <w:rPr>
          <w:b/>
          <w:bCs/>
        </w:rPr>
      </w:pPr>
      <w:r w:rsidRPr="00200403">
        <w:rPr>
          <w:rFonts w:cs="Arial" w:hint="cs"/>
          <w:u w:val="single"/>
          <w:rtl/>
        </w:rPr>
        <w:t xml:space="preserve">נשא אשה </w:t>
      </w:r>
      <w:r>
        <w:rPr>
          <w:rFonts w:cs="Arial" w:hint="cs"/>
          <w:u w:val="single"/>
          <w:rtl/>
        </w:rPr>
        <w:t xml:space="preserve">ורוצה להוציאה מנוה יפה לנוה הרע </w:t>
      </w:r>
      <w:r>
        <w:rPr>
          <w:rFonts w:cs="Arial" w:hint="cs"/>
          <w:sz w:val="16"/>
          <w:szCs w:val="16"/>
          <w:u w:val="single"/>
          <w:rtl/>
        </w:rPr>
        <w:t>(ולהפך)</w:t>
      </w:r>
      <w:r>
        <w:rPr>
          <w:rFonts w:cs="Arial" w:hint="cs"/>
          <w:u w:val="single"/>
          <w:rtl/>
        </w:rPr>
        <w:t>:</w:t>
      </w:r>
    </w:p>
    <w:p w14:paraId="2FCEA180" w14:textId="1E23EA18" w:rsidR="00A73B2D" w:rsidRDefault="00A73B2D" w:rsidP="00A73B2D">
      <w:pPr>
        <w:pStyle w:val="ab"/>
        <w:numPr>
          <w:ilvl w:val="0"/>
          <w:numId w:val="7"/>
        </w:numPr>
        <w:rPr>
          <w:b/>
          <w:bCs/>
        </w:rPr>
      </w:pPr>
      <w:r>
        <w:rPr>
          <w:rFonts w:cs="Arial" w:hint="cs"/>
          <w:rtl/>
        </w:rPr>
        <w:t xml:space="preserve">רמב"ם </w:t>
      </w:r>
      <w:r>
        <w:rPr>
          <w:rFonts w:cs="Arial" w:hint="cs"/>
          <w:sz w:val="16"/>
          <w:szCs w:val="16"/>
          <w:rtl/>
        </w:rPr>
        <w:t>(פי"ג מאישות הי"ז-יח)</w:t>
      </w:r>
      <w:r>
        <w:rPr>
          <w:rFonts w:cs="Arial" w:hint="cs"/>
          <w:rtl/>
        </w:rPr>
        <w:t xml:space="preserve"> וטור- </w:t>
      </w:r>
      <w:r w:rsidRPr="00C845AE">
        <w:rPr>
          <w:rFonts w:cs="Arial"/>
          <w:rtl/>
        </w:rPr>
        <w:t>כשיוציאנה מעיר לעיר ומכפר לכפר לא יוציאנה מנוה היפה לנוה הרע</w:t>
      </w:r>
      <w:r>
        <w:rPr>
          <w:rFonts w:cs="Arial" w:hint="cs"/>
          <w:rtl/>
        </w:rPr>
        <w:t>,</w:t>
      </w:r>
      <w:r w:rsidRPr="00C845AE">
        <w:rPr>
          <w:rFonts w:cs="Arial"/>
          <w:rtl/>
        </w:rPr>
        <w:t xml:space="preserve"> ואף לא מנוה הרע לנוה היפה</w:t>
      </w:r>
      <w:r>
        <w:rPr>
          <w:rFonts w:cs="Arial" w:hint="cs"/>
          <w:sz w:val="16"/>
          <w:szCs w:val="16"/>
          <w:rtl/>
        </w:rPr>
        <w:t xml:space="preserve"> (ל' הטור)</w:t>
      </w:r>
      <w:r>
        <w:rPr>
          <w:rFonts w:cs="Arial" w:hint="cs"/>
          <w:rtl/>
        </w:rPr>
        <w:t>.</w:t>
      </w:r>
      <w:r w:rsidRPr="00C845AE">
        <w:rPr>
          <w:rFonts w:cs="Arial"/>
          <w:rtl/>
        </w:rPr>
        <w:t xml:space="preserve"> </w:t>
      </w:r>
      <w:r w:rsidR="000F4F98" w:rsidRPr="00A73B2D">
        <w:rPr>
          <w:rFonts w:hint="cs"/>
          <w:color w:val="E36C0A" w:themeColor="accent6" w:themeShade="BF"/>
          <w:rtl/>
        </w:rPr>
        <w:t>(וכ"פ בשו"ע</w:t>
      </w:r>
      <w:r w:rsidR="000F4F98">
        <w:rPr>
          <w:rFonts w:hint="cs"/>
          <w:color w:val="E36C0A" w:themeColor="accent6" w:themeShade="BF"/>
          <w:rtl/>
        </w:rPr>
        <w:t>)</w:t>
      </w:r>
    </w:p>
    <w:p w14:paraId="25167EF9" w14:textId="77777777" w:rsidR="00A73B2D" w:rsidRPr="008437AE" w:rsidRDefault="00A73B2D" w:rsidP="00A73B2D">
      <w:pPr>
        <w:rPr>
          <w:rFonts w:cs="Arial"/>
          <w:rtl/>
        </w:rPr>
      </w:pPr>
      <w:r w:rsidRPr="008437AE">
        <w:rPr>
          <w:rFonts w:cs="Arial" w:hint="cs"/>
          <w:b/>
          <w:bCs/>
          <w:rtl/>
        </w:rPr>
        <w:t>תוספתא כתובות פי"ב הי"ב:</w:t>
      </w:r>
      <w:r w:rsidRPr="008437AE">
        <w:rPr>
          <w:rFonts w:cs="Arial" w:hint="cs"/>
          <w:rtl/>
        </w:rPr>
        <w:t xml:space="preserve"> </w:t>
      </w:r>
      <w:r w:rsidRPr="008437AE">
        <w:rPr>
          <w:rFonts w:cs="Arial"/>
          <w:rtl/>
        </w:rPr>
        <w:t>מוציאין מעיר שרובה גוים לעיר שרובה ישראל</w:t>
      </w:r>
      <w:r w:rsidRPr="008437AE">
        <w:rPr>
          <w:rFonts w:cs="Arial" w:hint="cs"/>
          <w:rtl/>
        </w:rPr>
        <w:t>,</w:t>
      </w:r>
      <w:r w:rsidRPr="008437AE">
        <w:rPr>
          <w:rFonts w:cs="Arial"/>
          <w:rtl/>
        </w:rPr>
        <w:t xml:space="preserve"> ואין מוציאין מעיר שרובה ישראל לעיר שרובה גוים</w:t>
      </w:r>
      <w:r w:rsidRPr="008437AE">
        <w:rPr>
          <w:rFonts w:cs="Arial" w:hint="cs"/>
          <w:rtl/>
        </w:rPr>
        <w:t>.</w:t>
      </w:r>
      <w:r w:rsidRPr="008437AE">
        <w:rPr>
          <w:rFonts w:cs="Arial"/>
          <w:rtl/>
        </w:rPr>
        <w:t xml:space="preserve"> </w:t>
      </w:r>
      <w:r>
        <w:rPr>
          <w:rFonts w:cs="Arial" w:hint="cs"/>
          <w:sz w:val="16"/>
          <w:szCs w:val="16"/>
          <w:rtl/>
        </w:rPr>
        <w:t>(</w:t>
      </w:r>
      <w:r w:rsidRPr="002B70E1">
        <w:rPr>
          <w:rFonts w:cs="Arial"/>
          <w:sz w:val="16"/>
          <w:szCs w:val="16"/>
          <w:rtl/>
        </w:rPr>
        <w:t>כתבוה הרי"ף והרא"ש בפרק הנזכר</w:t>
      </w:r>
      <w:r>
        <w:rPr>
          <w:rFonts w:cs="Arial" w:hint="cs"/>
          <w:sz w:val="16"/>
          <w:szCs w:val="16"/>
          <w:rtl/>
        </w:rPr>
        <w:t>,</w:t>
      </w:r>
      <w:r w:rsidRPr="002B70E1">
        <w:rPr>
          <w:rFonts w:cs="Arial"/>
          <w:sz w:val="16"/>
          <w:szCs w:val="16"/>
          <w:rtl/>
        </w:rPr>
        <w:t xml:space="preserve"> והרמב"ם ז"ל בפי"ג מהלכות אישות (שם)</w:t>
      </w:r>
      <w:r w:rsidRPr="002B70E1">
        <w:rPr>
          <w:rFonts w:cs="Arial" w:hint="cs"/>
          <w:sz w:val="16"/>
          <w:szCs w:val="16"/>
          <w:rtl/>
        </w:rPr>
        <w:t>, ב"י)</w:t>
      </w:r>
    </w:p>
    <w:p w14:paraId="6B11D745" w14:textId="77777777" w:rsidR="00A73B2D" w:rsidRPr="008437AE" w:rsidRDefault="00A73B2D" w:rsidP="00A73B2D">
      <w:pPr>
        <w:rPr>
          <w:b/>
          <w:bCs/>
        </w:rPr>
      </w:pPr>
      <w:r w:rsidRPr="008437AE">
        <w:rPr>
          <w:rFonts w:cs="Arial" w:hint="cs"/>
          <w:u w:val="single"/>
          <w:rtl/>
        </w:rPr>
        <w:t xml:space="preserve">נשא אשה ורוצה להוציאה ממקום </w:t>
      </w:r>
      <w:r>
        <w:rPr>
          <w:rFonts w:cs="Arial" w:hint="cs"/>
          <w:u w:val="single"/>
          <w:rtl/>
        </w:rPr>
        <w:t xml:space="preserve">שרובם ישראל </w:t>
      </w:r>
      <w:r w:rsidRPr="008437AE">
        <w:rPr>
          <w:rFonts w:cs="Arial" w:hint="cs"/>
          <w:u w:val="single"/>
          <w:rtl/>
        </w:rPr>
        <w:t xml:space="preserve">למקום </w:t>
      </w:r>
      <w:r>
        <w:rPr>
          <w:rFonts w:cs="Arial" w:hint="cs"/>
          <w:u w:val="single"/>
          <w:rtl/>
        </w:rPr>
        <w:t>שרובם גוים</w:t>
      </w:r>
      <w:r>
        <w:rPr>
          <w:rFonts w:cs="Arial" w:hint="cs"/>
          <w:sz w:val="16"/>
          <w:szCs w:val="16"/>
          <w:u w:val="single"/>
          <w:rtl/>
        </w:rPr>
        <w:t xml:space="preserve"> (ולהפך)</w:t>
      </w:r>
      <w:r w:rsidRPr="008437AE">
        <w:rPr>
          <w:rFonts w:cs="Arial" w:hint="cs"/>
          <w:u w:val="single"/>
          <w:rtl/>
        </w:rPr>
        <w:t>:</w:t>
      </w:r>
    </w:p>
    <w:p w14:paraId="267C507A" w14:textId="62D84D38" w:rsidR="00A73B2D" w:rsidRDefault="00A73B2D" w:rsidP="00A73B2D">
      <w:pPr>
        <w:pStyle w:val="ab"/>
        <w:numPr>
          <w:ilvl w:val="0"/>
          <w:numId w:val="7"/>
        </w:numPr>
        <w:rPr>
          <w:b/>
          <w:bCs/>
        </w:rPr>
      </w:pPr>
      <w:r>
        <w:rPr>
          <w:rFonts w:cs="Arial" w:hint="cs"/>
          <w:rtl/>
        </w:rPr>
        <w:t xml:space="preserve">רמב"ם </w:t>
      </w:r>
      <w:r>
        <w:rPr>
          <w:rFonts w:cs="Arial" w:hint="cs"/>
          <w:sz w:val="16"/>
          <w:szCs w:val="16"/>
          <w:rtl/>
        </w:rPr>
        <w:t>(פי"ג מאישות הי"ח)</w:t>
      </w:r>
      <w:r>
        <w:rPr>
          <w:rFonts w:cs="Arial" w:hint="cs"/>
          <w:rtl/>
        </w:rPr>
        <w:t xml:space="preserve"> וטור- </w:t>
      </w:r>
      <w:r w:rsidRPr="00C845AE">
        <w:rPr>
          <w:rFonts w:cs="Arial"/>
          <w:rtl/>
        </w:rPr>
        <w:t xml:space="preserve">וכן לא יוציאנה ממקום שרובם ישראל למקום שרובם </w:t>
      </w:r>
      <w:r>
        <w:rPr>
          <w:rFonts w:cs="Arial" w:hint="cs"/>
          <w:rtl/>
        </w:rPr>
        <w:t>גוי</w:t>
      </w:r>
      <w:r w:rsidRPr="00C845AE">
        <w:rPr>
          <w:rFonts w:cs="Arial"/>
          <w:rtl/>
        </w:rPr>
        <w:t>ם</w:t>
      </w:r>
      <w:r>
        <w:rPr>
          <w:rFonts w:cs="Arial" w:hint="cs"/>
          <w:rtl/>
        </w:rPr>
        <w:t>.</w:t>
      </w:r>
      <w:r w:rsidRPr="00C845AE">
        <w:rPr>
          <w:rFonts w:cs="Arial"/>
          <w:rtl/>
        </w:rPr>
        <w:t xml:space="preserve"> ובכ"מ מוציאין ממקום שרובם </w:t>
      </w:r>
      <w:r>
        <w:rPr>
          <w:rFonts w:cs="Arial" w:hint="cs"/>
          <w:rtl/>
        </w:rPr>
        <w:t>גוי</w:t>
      </w:r>
      <w:r w:rsidRPr="00C845AE">
        <w:rPr>
          <w:rFonts w:cs="Arial"/>
          <w:rtl/>
        </w:rPr>
        <w:t>ם למקום שרובם ישראל</w:t>
      </w:r>
      <w:r>
        <w:rPr>
          <w:rFonts w:cs="Arial" w:hint="cs"/>
          <w:sz w:val="16"/>
          <w:szCs w:val="16"/>
          <w:rtl/>
        </w:rPr>
        <w:t xml:space="preserve"> (ל' הטור)</w:t>
      </w:r>
      <w:r>
        <w:rPr>
          <w:rFonts w:cs="Arial" w:hint="cs"/>
          <w:rtl/>
        </w:rPr>
        <w:t>.</w:t>
      </w:r>
      <w:r w:rsidRPr="00C845AE">
        <w:rPr>
          <w:rFonts w:cs="Arial"/>
          <w:rtl/>
        </w:rPr>
        <w:t xml:space="preserve"> </w:t>
      </w:r>
      <w:r w:rsidR="000F4F98" w:rsidRPr="00A73B2D">
        <w:rPr>
          <w:rFonts w:hint="cs"/>
          <w:color w:val="E36C0A" w:themeColor="accent6" w:themeShade="BF"/>
          <w:rtl/>
        </w:rPr>
        <w:t>(וכ"פ בשו"ע</w:t>
      </w:r>
      <w:r w:rsidR="000F4F98">
        <w:rPr>
          <w:rFonts w:hint="cs"/>
          <w:color w:val="E36C0A" w:themeColor="accent6" w:themeShade="BF"/>
          <w:rtl/>
        </w:rPr>
        <w:t>)</w:t>
      </w:r>
    </w:p>
    <w:p w14:paraId="5AA7413A" w14:textId="77777777" w:rsidR="00A265D1" w:rsidRDefault="00A265D1" w:rsidP="00A265D1">
      <w:pPr>
        <w:rPr>
          <w:rFonts w:cs="Arial"/>
          <w:rtl/>
        </w:rPr>
      </w:pPr>
      <w:r w:rsidRPr="003024E5">
        <w:rPr>
          <w:rFonts w:asciiTheme="minorBidi" w:hAnsiTheme="minorBidi"/>
          <w:b/>
          <w:bCs/>
          <w:color w:val="000000"/>
          <w:sz w:val="28"/>
          <w:szCs w:val="28"/>
          <w:u w:val="single"/>
          <w:rtl/>
        </w:rPr>
        <w:t>שו"ע:</w:t>
      </w:r>
    </w:p>
    <w:p w14:paraId="2C888C2C" w14:textId="1F22C24E" w:rsidR="00471D63" w:rsidRDefault="00471D63" w:rsidP="00471D63">
      <w:pPr>
        <w:rPr>
          <w:rFonts w:cs="Arial"/>
          <w:rtl/>
        </w:rPr>
      </w:pPr>
      <w:r>
        <w:rPr>
          <w:rFonts w:cs="Arial"/>
          <w:rtl/>
        </w:rPr>
        <w:t>כשמוציאה ממדינה למדינה ומכפר לכפר באותה הארץ, אינו יכול להוציאה, מנוה יפה לנוה הרע, ולא מרע ליפה</w:t>
      </w:r>
      <w:r w:rsidR="00874F54">
        <w:rPr>
          <w:rFonts w:cs="Arial" w:hint="cs"/>
          <w:rtl/>
        </w:rPr>
        <w:t>.</w:t>
      </w:r>
      <w:r>
        <w:rPr>
          <w:rFonts w:cs="Arial"/>
          <w:rtl/>
        </w:rPr>
        <w:t xml:space="preserve"> וכן לא יוציאנה ממקום שרוב</w:t>
      </w:r>
      <w:r w:rsidR="000F4F98">
        <w:rPr>
          <w:rFonts w:cs="Arial" w:hint="cs"/>
          <w:rtl/>
        </w:rPr>
        <w:t>ו</w:t>
      </w:r>
      <w:r>
        <w:rPr>
          <w:rFonts w:cs="Arial"/>
          <w:rtl/>
        </w:rPr>
        <w:t xml:space="preserve"> ישראל למקום שרובו </w:t>
      </w:r>
      <w:r w:rsidR="00874F54">
        <w:rPr>
          <w:rFonts w:cs="Arial" w:hint="cs"/>
          <w:rtl/>
        </w:rPr>
        <w:t>גוים</w:t>
      </w:r>
      <w:r>
        <w:rPr>
          <w:rFonts w:cs="Arial"/>
          <w:rtl/>
        </w:rPr>
        <w:t xml:space="preserve">. ובכל מקום מוציאין ממקום שרובו </w:t>
      </w:r>
      <w:r w:rsidR="00874F54">
        <w:rPr>
          <w:rFonts w:cs="Arial" w:hint="cs"/>
          <w:rtl/>
        </w:rPr>
        <w:t>גוים</w:t>
      </w:r>
      <w:r>
        <w:rPr>
          <w:rFonts w:cs="Arial"/>
          <w:rtl/>
        </w:rPr>
        <w:t xml:space="preserve"> למקום שרובו ישראל. </w:t>
      </w:r>
      <w:r w:rsidRPr="00874F54">
        <w:rPr>
          <w:rFonts w:cs="Arial"/>
          <w:sz w:val="18"/>
          <w:szCs w:val="18"/>
          <w:rtl/>
        </w:rPr>
        <w:t>הגה: ואינו יכול להוציאה ממקום שהמושל טוב למקום שהמושל רע (הגה</w:t>
      </w:r>
      <w:r w:rsidR="000F4F98">
        <w:rPr>
          <w:rFonts w:cs="Arial" w:hint="cs"/>
          <w:sz w:val="18"/>
          <w:szCs w:val="18"/>
          <w:rtl/>
        </w:rPr>
        <w:t>"</w:t>
      </w:r>
      <w:r w:rsidRPr="00874F54">
        <w:rPr>
          <w:rFonts w:cs="Arial"/>
          <w:sz w:val="18"/>
          <w:szCs w:val="18"/>
          <w:rtl/>
        </w:rPr>
        <w:t>מ פי"ג דאישות)</w:t>
      </w:r>
      <w:r w:rsidR="000F4F98">
        <w:rPr>
          <w:rFonts w:cs="Arial" w:hint="cs"/>
          <w:sz w:val="18"/>
          <w:szCs w:val="18"/>
          <w:rtl/>
        </w:rPr>
        <w:t>.</w:t>
      </w:r>
      <w:r w:rsidRPr="00874F54">
        <w:rPr>
          <w:rFonts w:cs="Arial"/>
          <w:sz w:val="18"/>
          <w:szCs w:val="18"/>
          <w:rtl/>
        </w:rPr>
        <w:t xml:space="preserve"> כל מקום שיכול להוציאה ממקומה, היינו לאחר שכנסה ונשאה, אבל קודם נשואין לא יכול להוציאה וצריך לכנסה במקומה, אם לא התנה בפירוש עם האשה, אבל אם התנה עם אמה, לאו כלום הוא (ריב"ש סי' קעז)</w:t>
      </w:r>
      <w:r w:rsidR="00085910">
        <w:rPr>
          <w:rFonts w:cs="Arial" w:hint="cs"/>
          <w:sz w:val="18"/>
          <w:szCs w:val="18"/>
          <w:rtl/>
        </w:rPr>
        <w:t>.</w:t>
      </w:r>
      <w:r w:rsidRPr="00874F54">
        <w:rPr>
          <w:rFonts w:cs="Arial"/>
          <w:sz w:val="18"/>
          <w:szCs w:val="18"/>
          <w:rtl/>
        </w:rPr>
        <w:t xml:space="preserve"> מיהו אם יש אמתלאות וטעמים לדבריו, האשה צריכה לילך אחריו (תשובת מיימוני לנשים סי</w:t>
      </w:r>
      <w:r w:rsidR="00085910">
        <w:rPr>
          <w:rFonts w:cs="Arial" w:hint="cs"/>
          <w:sz w:val="18"/>
          <w:szCs w:val="18"/>
          <w:rtl/>
        </w:rPr>
        <w:t>'</w:t>
      </w:r>
      <w:r w:rsidRPr="00874F54">
        <w:rPr>
          <w:rFonts w:cs="Arial"/>
          <w:sz w:val="18"/>
          <w:szCs w:val="18"/>
          <w:rtl/>
        </w:rPr>
        <w:t xml:space="preserve"> כח).</w:t>
      </w:r>
      <w:r>
        <w:rPr>
          <w:rFonts w:cs="Arial"/>
          <w:rtl/>
        </w:rPr>
        <w:t xml:space="preserve"> </w:t>
      </w:r>
    </w:p>
    <w:p w14:paraId="4C5CDCD4" w14:textId="77777777" w:rsidR="00356471" w:rsidRDefault="00356471" w:rsidP="00471D63">
      <w:pPr>
        <w:rPr>
          <w:rtl/>
        </w:rPr>
      </w:pPr>
    </w:p>
    <w:p w14:paraId="0D7633E7" w14:textId="206D8278" w:rsidR="00471D63" w:rsidRDefault="00471D63" w:rsidP="000F64D0">
      <w:pPr>
        <w:pStyle w:val="2"/>
        <w:rPr>
          <w:rtl/>
        </w:rPr>
      </w:pPr>
      <w:r>
        <w:rPr>
          <w:rtl/>
        </w:rPr>
        <w:t>סעיף ג</w:t>
      </w:r>
      <w:r w:rsidR="00874F54">
        <w:rPr>
          <w:rFonts w:hint="cs"/>
          <w:rtl/>
        </w:rPr>
        <w:t>:</w:t>
      </w:r>
      <w:r w:rsidR="00523FC1">
        <w:rPr>
          <w:rFonts w:hint="cs"/>
          <w:rtl/>
        </w:rPr>
        <w:t xml:space="preserve"> הכל מעלין לארץ ישראל.</w:t>
      </w:r>
    </w:p>
    <w:p w14:paraId="24330B77" w14:textId="0F594595" w:rsidR="00557191" w:rsidRPr="00557191" w:rsidRDefault="00557191" w:rsidP="00557191">
      <w:pPr>
        <w:rPr>
          <w:rtl/>
        </w:rPr>
      </w:pPr>
      <w:r w:rsidRPr="00AA00D2">
        <w:rPr>
          <w:rFonts w:cs="Arial"/>
          <w:b/>
          <w:bCs/>
          <w:rtl/>
        </w:rPr>
        <w:t xml:space="preserve">כתובות </w:t>
      </w:r>
      <w:r w:rsidRPr="00AA00D2">
        <w:rPr>
          <w:rFonts w:cs="Arial" w:hint="cs"/>
          <w:b/>
          <w:bCs/>
          <w:sz w:val="16"/>
          <w:szCs w:val="16"/>
          <w:rtl/>
        </w:rPr>
        <w:t>(</w:t>
      </w:r>
      <w:r w:rsidRPr="00AA00D2">
        <w:rPr>
          <w:rFonts w:cs="Arial"/>
          <w:b/>
          <w:bCs/>
          <w:sz w:val="16"/>
          <w:szCs w:val="16"/>
          <w:rtl/>
        </w:rPr>
        <w:t>פ' שני דייני</w:t>
      </w:r>
      <w:r w:rsidRPr="00AA00D2">
        <w:rPr>
          <w:rFonts w:cs="Arial" w:hint="cs"/>
          <w:b/>
          <w:bCs/>
          <w:sz w:val="16"/>
          <w:szCs w:val="16"/>
          <w:rtl/>
        </w:rPr>
        <w:t>)</w:t>
      </w:r>
      <w:r w:rsidRPr="00AA00D2">
        <w:rPr>
          <w:rFonts w:cs="Arial"/>
          <w:b/>
          <w:bCs/>
          <w:rtl/>
        </w:rPr>
        <w:t xml:space="preserve"> קי</w:t>
      </w:r>
      <w:r w:rsidRPr="00AA00D2">
        <w:rPr>
          <w:rFonts w:cs="Arial" w:hint="cs"/>
          <w:b/>
          <w:bCs/>
          <w:rtl/>
        </w:rPr>
        <w:t xml:space="preserve"> ע"</w:t>
      </w:r>
      <w:r>
        <w:rPr>
          <w:rFonts w:cs="Arial" w:hint="cs"/>
          <w:b/>
          <w:bCs/>
          <w:rtl/>
        </w:rPr>
        <w:t>ב</w:t>
      </w:r>
      <w:r w:rsidRPr="00AA00D2">
        <w:rPr>
          <w:rFonts w:cs="Arial"/>
          <w:b/>
          <w:bCs/>
          <w:rtl/>
        </w:rPr>
        <w:t>:</w:t>
      </w:r>
      <w:r w:rsidRPr="00AA00D2">
        <w:rPr>
          <w:rFonts w:cs="Arial" w:hint="cs"/>
          <w:rtl/>
        </w:rPr>
        <w:t xml:space="preserve"> </w:t>
      </w:r>
      <w:r w:rsidRPr="00AA00D2">
        <w:rPr>
          <w:rFonts w:cs="Arial"/>
          <w:u w:val="double"/>
          <w:rtl/>
        </w:rPr>
        <w:t>מתני'</w:t>
      </w:r>
      <w:r w:rsidRPr="00AA00D2">
        <w:rPr>
          <w:rFonts w:cs="Arial" w:hint="cs"/>
          <w:rtl/>
        </w:rPr>
        <w:t>:</w:t>
      </w:r>
      <w:r w:rsidRPr="00557191">
        <w:rPr>
          <w:rFonts w:cs="Arial"/>
          <w:rtl/>
        </w:rPr>
        <w:t xml:space="preserve"> הכל מעלין לארץ ישראל ואין הכל מוציאין, הכל מעלין לירושלים ואין הכל מוציאין, אחד האנשים ואחד הנשים.</w:t>
      </w:r>
      <w:r>
        <w:rPr>
          <w:rFonts w:hint="cs"/>
          <w:rtl/>
        </w:rPr>
        <w:t>..</w:t>
      </w:r>
    </w:p>
    <w:p w14:paraId="3EDDAF56" w14:textId="38D4ACCD" w:rsidR="00557191" w:rsidRPr="00557191" w:rsidRDefault="00557191" w:rsidP="00557191">
      <w:pPr>
        <w:rPr>
          <w:rtl/>
        </w:rPr>
      </w:pPr>
      <w:r w:rsidRPr="008437AE">
        <w:rPr>
          <w:rFonts w:cs="Arial" w:hint="cs"/>
          <w:b/>
          <w:bCs/>
          <w:rtl/>
        </w:rPr>
        <w:t>תוספתא כתובות פי"ב הי"ב:</w:t>
      </w:r>
      <w:r>
        <w:rPr>
          <w:rFonts w:cs="Arial" w:hint="cs"/>
          <w:rtl/>
        </w:rPr>
        <w:t xml:space="preserve"> </w:t>
      </w:r>
      <w:r w:rsidRPr="00557191">
        <w:rPr>
          <w:rFonts w:cs="Arial"/>
          <w:rtl/>
        </w:rPr>
        <w:t>הוא רוצה לבא לארץ ישראל</w:t>
      </w:r>
      <w:r w:rsidR="000F7DDB">
        <w:rPr>
          <w:rFonts w:cs="Arial" w:hint="cs"/>
          <w:rtl/>
        </w:rPr>
        <w:t>,</w:t>
      </w:r>
      <w:r w:rsidRPr="00557191">
        <w:rPr>
          <w:rFonts w:cs="Arial"/>
          <w:rtl/>
        </w:rPr>
        <w:t xml:space="preserve"> והיא אינה רוצה לבא</w:t>
      </w:r>
      <w:r w:rsidR="000F7DDB">
        <w:rPr>
          <w:rFonts w:cs="Arial" w:hint="cs"/>
          <w:rtl/>
        </w:rPr>
        <w:t xml:space="preserve"> -</w:t>
      </w:r>
      <w:r w:rsidRPr="00557191">
        <w:rPr>
          <w:rFonts w:cs="Arial"/>
          <w:rtl/>
        </w:rPr>
        <w:t xml:space="preserve"> כופין אותה לבא</w:t>
      </w:r>
      <w:r w:rsidR="000F7DDB">
        <w:rPr>
          <w:rFonts w:cs="Arial" w:hint="cs"/>
          <w:rtl/>
        </w:rPr>
        <w:t>.</w:t>
      </w:r>
      <w:r w:rsidRPr="00557191">
        <w:rPr>
          <w:rFonts w:cs="Arial"/>
          <w:rtl/>
        </w:rPr>
        <w:t xml:space="preserve"> היא רוצה</w:t>
      </w:r>
      <w:r w:rsidR="000F7DDB">
        <w:rPr>
          <w:rFonts w:cs="Arial" w:hint="cs"/>
          <w:rtl/>
        </w:rPr>
        <w:t>,</w:t>
      </w:r>
      <w:r w:rsidRPr="00557191">
        <w:rPr>
          <w:rFonts w:cs="Arial"/>
          <w:rtl/>
        </w:rPr>
        <w:t xml:space="preserve"> והוא אינו רוצה </w:t>
      </w:r>
      <w:r w:rsidR="000F7DDB">
        <w:rPr>
          <w:rFonts w:cs="Arial" w:hint="cs"/>
          <w:rtl/>
        </w:rPr>
        <w:t xml:space="preserve">- </w:t>
      </w:r>
      <w:r w:rsidRPr="00557191">
        <w:rPr>
          <w:rFonts w:cs="Arial"/>
          <w:rtl/>
        </w:rPr>
        <w:t>כופין אותו לבא</w:t>
      </w:r>
      <w:r w:rsidR="000F7DDB">
        <w:rPr>
          <w:rFonts w:cs="Arial" w:hint="cs"/>
          <w:rtl/>
        </w:rPr>
        <w:t>.</w:t>
      </w:r>
      <w:r w:rsidRPr="00557191">
        <w:rPr>
          <w:rFonts w:cs="Arial"/>
          <w:rtl/>
        </w:rPr>
        <w:t xml:space="preserve"> הוא רוצה לצאת מארץ ישר</w:t>
      </w:r>
      <w:r w:rsidR="000F7DDB">
        <w:rPr>
          <w:rFonts w:cs="Arial" w:hint="cs"/>
          <w:rtl/>
        </w:rPr>
        <w:t>אל,</w:t>
      </w:r>
      <w:r w:rsidRPr="00557191">
        <w:rPr>
          <w:rFonts w:cs="Arial"/>
          <w:rtl/>
        </w:rPr>
        <w:t xml:space="preserve"> והיא אינה רוצה </w:t>
      </w:r>
      <w:r w:rsidR="000F7DDB">
        <w:rPr>
          <w:rFonts w:cs="Arial" w:hint="cs"/>
          <w:rtl/>
        </w:rPr>
        <w:t xml:space="preserve">- </w:t>
      </w:r>
      <w:r w:rsidRPr="00557191">
        <w:rPr>
          <w:rFonts w:cs="Arial"/>
          <w:rtl/>
        </w:rPr>
        <w:t>אין כופין אותה לצאת</w:t>
      </w:r>
      <w:r w:rsidR="000F7DDB">
        <w:rPr>
          <w:rFonts w:cs="Arial" w:hint="cs"/>
          <w:rtl/>
        </w:rPr>
        <w:t>.</w:t>
      </w:r>
      <w:r w:rsidRPr="00557191">
        <w:rPr>
          <w:rFonts w:cs="Arial"/>
          <w:rtl/>
        </w:rPr>
        <w:t xml:space="preserve"> היא רוצה</w:t>
      </w:r>
      <w:r w:rsidR="000F7DDB">
        <w:rPr>
          <w:rFonts w:cs="Arial" w:hint="cs"/>
          <w:rtl/>
        </w:rPr>
        <w:t>,</w:t>
      </w:r>
      <w:r w:rsidRPr="00557191">
        <w:rPr>
          <w:rFonts w:cs="Arial"/>
          <w:rtl/>
        </w:rPr>
        <w:t xml:space="preserve"> והוא אינו רוצה </w:t>
      </w:r>
      <w:r w:rsidR="000F7DDB">
        <w:rPr>
          <w:rFonts w:cs="Arial" w:hint="cs"/>
          <w:rtl/>
        </w:rPr>
        <w:t xml:space="preserve">- </w:t>
      </w:r>
      <w:r w:rsidRPr="00557191">
        <w:rPr>
          <w:rFonts w:cs="Arial"/>
          <w:rtl/>
        </w:rPr>
        <w:t>כופין אותה שלא לצאת</w:t>
      </w:r>
      <w:r>
        <w:rPr>
          <w:rFonts w:hint="cs"/>
          <w:rtl/>
        </w:rPr>
        <w:t>.</w:t>
      </w:r>
    </w:p>
    <w:p w14:paraId="6A1B2374" w14:textId="77777777" w:rsidR="00523FC1" w:rsidRPr="008437AE" w:rsidRDefault="00523FC1" w:rsidP="00523FC1">
      <w:pPr>
        <w:rPr>
          <w:u w:val="single"/>
        </w:rPr>
      </w:pPr>
      <w:r w:rsidRPr="008437AE">
        <w:rPr>
          <w:rFonts w:hint="cs"/>
          <w:u w:val="single"/>
          <w:rtl/>
        </w:rPr>
        <w:t>הכל מעלין לארץ ישראל:</w:t>
      </w:r>
    </w:p>
    <w:p w14:paraId="2E2C0590" w14:textId="4B4D3EFE" w:rsidR="00523FC1" w:rsidRPr="00C845AE" w:rsidRDefault="00557191" w:rsidP="00523FC1">
      <w:pPr>
        <w:pStyle w:val="ab"/>
        <w:numPr>
          <w:ilvl w:val="0"/>
          <w:numId w:val="7"/>
        </w:numPr>
        <w:rPr>
          <w:b/>
          <w:bCs/>
          <w:rtl/>
        </w:rPr>
      </w:pPr>
      <w:r w:rsidRPr="00242605">
        <w:rPr>
          <w:rFonts w:cs="Arial"/>
          <w:rtl/>
        </w:rPr>
        <w:t>רמב"ם</w:t>
      </w:r>
      <w:r w:rsidRPr="00557191">
        <w:rPr>
          <w:rFonts w:cs="Arial" w:hint="cs"/>
          <w:sz w:val="16"/>
          <w:szCs w:val="16"/>
          <w:rtl/>
        </w:rPr>
        <w:t xml:space="preserve"> (</w:t>
      </w:r>
      <w:r w:rsidRPr="00557191">
        <w:rPr>
          <w:rFonts w:cs="Arial"/>
          <w:sz w:val="16"/>
          <w:szCs w:val="16"/>
          <w:rtl/>
        </w:rPr>
        <w:t>פי"ג</w:t>
      </w:r>
      <w:r w:rsidRPr="00557191">
        <w:rPr>
          <w:rFonts w:cs="Arial" w:hint="cs"/>
          <w:sz w:val="16"/>
          <w:szCs w:val="16"/>
          <w:rtl/>
        </w:rPr>
        <w:t xml:space="preserve"> מאישות</w:t>
      </w:r>
      <w:r w:rsidRPr="00557191">
        <w:rPr>
          <w:rFonts w:cs="Arial"/>
          <w:sz w:val="16"/>
          <w:szCs w:val="16"/>
          <w:rtl/>
        </w:rPr>
        <w:t xml:space="preserve"> הי"ט)</w:t>
      </w:r>
      <w:r>
        <w:rPr>
          <w:rFonts w:cs="Arial" w:hint="cs"/>
          <w:rtl/>
        </w:rPr>
        <w:t xml:space="preserve"> ו</w:t>
      </w:r>
      <w:r w:rsidR="00523FC1">
        <w:rPr>
          <w:rFonts w:cs="Arial" w:hint="cs"/>
          <w:rtl/>
        </w:rPr>
        <w:t>טור-</w:t>
      </w:r>
      <w:r w:rsidR="00523FC1" w:rsidRPr="00C845AE">
        <w:rPr>
          <w:rFonts w:cs="Arial"/>
          <w:rtl/>
        </w:rPr>
        <w:t xml:space="preserve"> </w:t>
      </w:r>
      <w:r w:rsidR="00085910" w:rsidRPr="00085910">
        <w:rPr>
          <w:rFonts w:cs="Arial"/>
          <w:rtl/>
        </w:rPr>
        <w:t>במה דברים</w:t>
      </w:r>
      <w:r w:rsidR="00085910">
        <w:rPr>
          <w:rFonts w:cs="Arial" w:hint="cs"/>
          <w:rtl/>
        </w:rPr>
        <w:t xml:space="preserve"> </w:t>
      </w:r>
      <w:r w:rsidR="00085910" w:rsidRPr="00085910">
        <w:rPr>
          <w:rFonts w:cs="Arial"/>
          <w:rtl/>
        </w:rPr>
        <w:t>אמורים</w:t>
      </w:r>
      <w:r w:rsidR="0039470E">
        <w:rPr>
          <w:rFonts w:cs="Arial" w:hint="cs"/>
          <w:sz w:val="16"/>
          <w:szCs w:val="16"/>
          <w:rtl/>
        </w:rPr>
        <w:t xml:space="preserve"> {בכל הנ</w:t>
      </w:r>
      <w:r w:rsidR="00B30901">
        <w:rPr>
          <w:rFonts w:cs="Arial" w:hint="cs"/>
          <w:sz w:val="16"/>
          <w:szCs w:val="16"/>
          <w:rtl/>
        </w:rPr>
        <w:t>זכר לעיל, היינו-</w:t>
      </w:r>
      <w:r w:rsidR="0039470E">
        <w:rPr>
          <w:rFonts w:cs="Arial" w:hint="cs"/>
          <w:sz w:val="16"/>
          <w:szCs w:val="16"/>
          <w:rtl/>
        </w:rPr>
        <w:t>}</w:t>
      </w:r>
      <w:r w:rsidR="00085910" w:rsidRPr="00085910">
        <w:rPr>
          <w:rFonts w:cs="Arial"/>
          <w:rtl/>
        </w:rPr>
        <w:t xml:space="preserve"> מחוצה לארץ לחוצה לארץ או מארץ ישראל לארץ ישראל</w:t>
      </w:r>
      <w:r w:rsidR="00B30901">
        <w:rPr>
          <w:rFonts w:cs="Arial" w:hint="cs"/>
          <w:rtl/>
        </w:rPr>
        <w:t>,</w:t>
      </w:r>
      <w:r w:rsidR="00085910" w:rsidRPr="00085910">
        <w:rPr>
          <w:rFonts w:cs="Arial"/>
          <w:rtl/>
        </w:rPr>
        <w:t xml:space="preserve"> אבל מחוצה לארץ לארץ ישראל </w:t>
      </w:r>
      <w:r w:rsidR="00B30901">
        <w:rPr>
          <w:rFonts w:cs="Arial" w:hint="cs"/>
          <w:rtl/>
        </w:rPr>
        <w:t xml:space="preserve">- </w:t>
      </w:r>
      <w:r w:rsidR="00085910" w:rsidRPr="00085910">
        <w:rPr>
          <w:rFonts w:cs="Arial"/>
          <w:rtl/>
        </w:rPr>
        <w:t>כופין לעלות אפילו מנוה היפה לנוה הרע ואפילו ממקום שרובו ישראל למקום שרובו גוים מעלין</w:t>
      </w:r>
      <w:r w:rsidR="00B30901">
        <w:rPr>
          <w:rFonts w:cs="Arial" w:hint="cs"/>
          <w:rtl/>
        </w:rPr>
        <w:t>.</w:t>
      </w:r>
      <w:r w:rsidR="00085910" w:rsidRPr="00085910">
        <w:rPr>
          <w:rFonts w:cs="Arial"/>
          <w:rtl/>
        </w:rPr>
        <w:t xml:space="preserve"> ואין מוציאין מארץ ישראל לחוצה לארץ ואפילו מנוה הרע שרובו גוים לנוה היפה שרובו ישראל</w:t>
      </w:r>
      <w:r w:rsidR="00085910">
        <w:rPr>
          <w:rFonts w:cs="Arial" w:hint="cs"/>
          <w:sz w:val="16"/>
          <w:szCs w:val="16"/>
          <w:rtl/>
        </w:rPr>
        <w:t xml:space="preserve"> (ל' הרמב"ם)</w:t>
      </w:r>
      <w:r w:rsidR="00523FC1">
        <w:rPr>
          <w:rFonts w:cs="Arial" w:hint="cs"/>
          <w:rtl/>
        </w:rPr>
        <w:t>.</w:t>
      </w:r>
      <w:r w:rsidR="00085910" w:rsidRPr="00C845AE">
        <w:rPr>
          <w:rFonts w:cs="Arial"/>
          <w:rtl/>
        </w:rPr>
        <w:t xml:space="preserve"> </w:t>
      </w:r>
      <w:r w:rsidR="00085910" w:rsidRPr="00A73B2D">
        <w:rPr>
          <w:rFonts w:hint="cs"/>
          <w:color w:val="E36C0A" w:themeColor="accent6" w:themeShade="BF"/>
          <w:rtl/>
        </w:rPr>
        <w:t>(וכ"פ בשו"ע</w:t>
      </w:r>
      <w:r w:rsidR="00085910">
        <w:rPr>
          <w:rFonts w:hint="cs"/>
          <w:color w:val="E36C0A" w:themeColor="accent6" w:themeShade="BF"/>
          <w:rtl/>
        </w:rPr>
        <w:t>)</w:t>
      </w:r>
    </w:p>
    <w:p w14:paraId="7F221C5E" w14:textId="77777777" w:rsidR="00A265D1" w:rsidRDefault="00A265D1" w:rsidP="00A265D1">
      <w:pPr>
        <w:rPr>
          <w:rFonts w:cs="Arial"/>
          <w:rtl/>
        </w:rPr>
      </w:pPr>
      <w:r w:rsidRPr="003024E5">
        <w:rPr>
          <w:rFonts w:asciiTheme="minorBidi" w:hAnsiTheme="minorBidi"/>
          <w:b/>
          <w:bCs/>
          <w:color w:val="000000"/>
          <w:sz w:val="28"/>
          <w:szCs w:val="28"/>
          <w:u w:val="single"/>
          <w:rtl/>
        </w:rPr>
        <w:t>שו"ע:</w:t>
      </w:r>
    </w:p>
    <w:p w14:paraId="0AB1D613" w14:textId="764682A3" w:rsidR="00471D63" w:rsidRDefault="00471D63" w:rsidP="00471D63">
      <w:pPr>
        <w:rPr>
          <w:rtl/>
        </w:rPr>
      </w:pPr>
      <w:r>
        <w:rPr>
          <w:rFonts w:cs="Arial"/>
          <w:rtl/>
        </w:rPr>
        <w:t>ב</w:t>
      </w:r>
      <w:r w:rsidR="00874F54">
        <w:rPr>
          <w:rFonts w:cs="Arial" w:hint="cs"/>
          <w:rtl/>
        </w:rPr>
        <w:t>מה דברים אמורים</w:t>
      </w:r>
      <w:r>
        <w:rPr>
          <w:rFonts w:cs="Arial"/>
          <w:rtl/>
        </w:rPr>
        <w:t>, מח</w:t>
      </w:r>
      <w:r w:rsidR="00874F54">
        <w:rPr>
          <w:rFonts w:cs="Arial" w:hint="cs"/>
          <w:rtl/>
        </w:rPr>
        <w:t>וץ לארץ לחוץ לארץ, מארץ ישראל לארץ ישראל,</w:t>
      </w:r>
      <w:r>
        <w:rPr>
          <w:rFonts w:cs="Arial"/>
          <w:rtl/>
        </w:rPr>
        <w:t xml:space="preserve"> אבל מח</w:t>
      </w:r>
      <w:r w:rsidR="00874F54">
        <w:rPr>
          <w:rFonts w:cs="Arial" w:hint="cs"/>
          <w:rtl/>
        </w:rPr>
        <w:t>וץ לארץ לארץ ישראל</w:t>
      </w:r>
      <w:r>
        <w:rPr>
          <w:rFonts w:cs="Arial"/>
          <w:rtl/>
        </w:rPr>
        <w:t xml:space="preserve">, כופין אותה לעלות אפילו מנוה יפה לנוה הרע, ואפילו ממקום שרובו ישראל למקום שרובו </w:t>
      </w:r>
      <w:r w:rsidR="00874F54">
        <w:rPr>
          <w:rFonts w:cs="Arial" w:hint="cs"/>
          <w:rtl/>
        </w:rPr>
        <w:t>גוי</w:t>
      </w:r>
      <w:r>
        <w:rPr>
          <w:rFonts w:cs="Arial"/>
          <w:rtl/>
        </w:rPr>
        <w:t>ים. אין מוציאין מא</w:t>
      </w:r>
      <w:r w:rsidR="00874F54">
        <w:rPr>
          <w:rFonts w:cs="Arial" w:hint="cs"/>
          <w:rtl/>
        </w:rPr>
        <w:t>רץ ישראל</w:t>
      </w:r>
      <w:r>
        <w:rPr>
          <w:rFonts w:cs="Arial"/>
          <w:rtl/>
        </w:rPr>
        <w:t xml:space="preserve"> לח</w:t>
      </w:r>
      <w:r w:rsidR="00874F54">
        <w:rPr>
          <w:rFonts w:cs="Arial" w:hint="cs"/>
          <w:rtl/>
        </w:rPr>
        <w:t>וץ לארץ</w:t>
      </w:r>
      <w:r>
        <w:rPr>
          <w:rFonts w:cs="Arial"/>
          <w:rtl/>
        </w:rPr>
        <w:t xml:space="preserve">, ואפילו מנוה הרע לנוה הטוב, ואפילו ממקום שרובו </w:t>
      </w:r>
      <w:r w:rsidR="00874F54">
        <w:rPr>
          <w:rFonts w:cs="Arial" w:hint="cs"/>
          <w:rtl/>
        </w:rPr>
        <w:t>גוים</w:t>
      </w:r>
      <w:r>
        <w:rPr>
          <w:rFonts w:cs="Arial"/>
          <w:rtl/>
        </w:rPr>
        <w:t xml:space="preserve"> למקום שרובו ישראל. </w:t>
      </w:r>
    </w:p>
    <w:p w14:paraId="0A0E8B66" w14:textId="77777777" w:rsidR="00874F54" w:rsidRDefault="00874F54" w:rsidP="00471D63">
      <w:pPr>
        <w:rPr>
          <w:rtl/>
        </w:rPr>
      </w:pPr>
    </w:p>
    <w:p w14:paraId="636E505F" w14:textId="33C001BD" w:rsidR="00471D63" w:rsidRDefault="00471D63" w:rsidP="000F64D0">
      <w:pPr>
        <w:pStyle w:val="2"/>
        <w:rPr>
          <w:rtl/>
        </w:rPr>
      </w:pPr>
      <w:r>
        <w:rPr>
          <w:rtl/>
        </w:rPr>
        <w:lastRenderedPageBreak/>
        <w:t>סעיף ד</w:t>
      </w:r>
      <w:r w:rsidR="00874F54">
        <w:rPr>
          <w:rFonts w:hint="cs"/>
          <w:rtl/>
        </w:rPr>
        <w:t>:</w:t>
      </w:r>
      <w:r w:rsidR="00E617BF">
        <w:rPr>
          <w:rFonts w:hint="cs"/>
          <w:rtl/>
        </w:rPr>
        <w:t xml:space="preserve"> הוא רוצה לעלות לארץ ישראל </w:t>
      </w:r>
      <w:r w:rsidR="00E617BF" w:rsidRPr="00E617BF">
        <w:rPr>
          <w:rFonts w:hint="cs"/>
          <w:sz w:val="18"/>
          <w:szCs w:val="18"/>
          <w:rtl/>
        </w:rPr>
        <w:t>(או ירושלים</w:t>
      </w:r>
      <w:r w:rsidR="00E617BF">
        <w:rPr>
          <w:rFonts w:hint="cs"/>
          <w:sz w:val="18"/>
          <w:szCs w:val="18"/>
          <w:rtl/>
        </w:rPr>
        <w:t>)</w:t>
      </w:r>
      <w:r w:rsidR="00E617BF">
        <w:rPr>
          <w:rFonts w:hint="cs"/>
          <w:rtl/>
        </w:rPr>
        <w:t xml:space="preserve">, והיא לא </w:t>
      </w:r>
      <w:r w:rsidR="00E617BF" w:rsidRPr="00E617BF">
        <w:rPr>
          <w:rFonts w:hint="cs"/>
          <w:sz w:val="18"/>
          <w:szCs w:val="18"/>
          <w:rtl/>
        </w:rPr>
        <w:t>(וכן להפך)</w:t>
      </w:r>
      <w:r w:rsidR="00E617BF">
        <w:rPr>
          <w:rFonts w:hint="cs"/>
          <w:rtl/>
        </w:rPr>
        <w:t>.</w:t>
      </w:r>
    </w:p>
    <w:p w14:paraId="680F854D" w14:textId="44E5B271" w:rsidR="00E617BF" w:rsidRPr="00E617BF" w:rsidRDefault="00E617BF" w:rsidP="00E617BF">
      <w:pPr>
        <w:rPr>
          <w:rtl/>
        </w:rPr>
      </w:pPr>
      <w:r w:rsidRPr="00AA00D2">
        <w:rPr>
          <w:rFonts w:cs="Arial"/>
          <w:b/>
          <w:bCs/>
          <w:rtl/>
        </w:rPr>
        <w:t xml:space="preserve">כתובות </w:t>
      </w:r>
      <w:r w:rsidRPr="00AA00D2">
        <w:rPr>
          <w:rFonts w:cs="Arial" w:hint="cs"/>
          <w:b/>
          <w:bCs/>
          <w:sz w:val="16"/>
          <w:szCs w:val="16"/>
          <w:rtl/>
        </w:rPr>
        <w:t>(</w:t>
      </w:r>
      <w:r w:rsidRPr="00AA00D2">
        <w:rPr>
          <w:rFonts w:cs="Arial"/>
          <w:b/>
          <w:bCs/>
          <w:sz w:val="16"/>
          <w:szCs w:val="16"/>
          <w:rtl/>
        </w:rPr>
        <w:t>פ' שני דייני</w:t>
      </w:r>
      <w:r w:rsidRPr="00AA00D2">
        <w:rPr>
          <w:rFonts w:cs="Arial" w:hint="cs"/>
          <w:b/>
          <w:bCs/>
          <w:sz w:val="16"/>
          <w:szCs w:val="16"/>
          <w:rtl/>
        </w:rPr>
        <w:t>)</w:t>
      </w:r>
      <w:r w:rsidRPr="00AA00D2">
        <w:rPr>
          <w:rFonts w:cs="Arial"/>
          <w:b/>
          <w:bCs/>
          <w:rtl/>
        </w:rPr>
        <w:t xml:space="preserve"> קי</w:t>
      </w:r>
      <w:r w:rsidRPr="00AA00D2">
        <w:rPr>
          <w:rFonts w:cs="Arial" w:hint="cs"/>
          <w:b/>
          <w:bCs/>
          <w:rtl/>
        </w:rPr>
        <w:t xml:space="preserve"> ע"</w:t>
      </w:r>
      <w:r>
        <w:rPr>
          <w:rFonts w:cs="Arial" w:hint="cs"/>
          <w:b/>
          <w:bCs/>
          <w:rtl/>
        </w:rPr>
        <w:t>ב</w:t>
      </w:r>
      <w:r w:rsidRPr="00AA00D2">
        <w:rPr>
          <w:rFonts w:cs="Arial"/>
          <w:b/>
          <w:bCs/>
          <w:rtl/>
        </w:rPr>
        <w:t>:</w:t>
      </w:r>
      <w:r w:rsidRPr="00AA00D2">
        <w:rPr>
          <w:rFonts w:cs="Arial" w:hint="cs"/>
          <w:rtl/>
        </w:rPr>
        <w:t xml:space="preserve"> </w:t>
      </w:r>
      <w:r w:rsidRPr="00AA00D2">
        <w:rPr>
          <w:rFonts w:cs="Arial"/>
          <w:u w:val="double"/>
          <w:rtl/>
        </w:rPr>
        <w:t>מתני'</w:t>
      </w:r>
      <w:r w:rsidRPr="00AA00D2">
        <w:rPr>
          <w:rFonts w:cs="Arial" w:hint="cs"/>
          <w:rtl/>
        </w:rPr>
        <w:t>:</w:t>
      </w:r>
      <w:r w:rsidRPr="00557191">
        <w:rPr>
          <w:rFonts w:cs="Arial"/>
          <w:rtl/>
        </w:rPr>
        <w:t xml:space="preserve"> הכל מעלין לארץ ישראל ואין הכל מוציאין, הכל מעלין לירושלים ואין הכל מוציאין, אחד האנשים ואחד הנשים</w:t>
      </w:r>
      <w:r>
        <w:rPr>
          <w:rFonts w:hint="cs"/>
          <w:rtl/>
        </w:rPr>
        <w:t xml:space="preserve">...     </w:t>
      </w:r>
      <w:r w:rsidRPr="00E617BF">
        <w:rPr>
          <w:rFonts w:hint="cs"/>
          <w:u w:val="double"/>
          <w:rtl/>
        </w:rPr>
        <w:t>גמ'</w:t>
      </w:r>
      <w:r>
        <w:rPr>
          <w:rFonts w:hint="cs"/>
          <w:rtl/>
        </w:rPr>
        <w:t>:</w:t>
      </w:r>
      <w:r w:rsidRPr="00E617BF">
        <w:rPr>
          <w:rtl/>
        </w:rPr>
        <w:t xml:space="preserve"> </w:t>
      </w:r>
      <w:r w:rsidRPr="00E617BF">
        <w:rPr>
          <w:rFonts w:cs="Arial"/>
          <w:rtl/>
        </w:rPr>
        <w:t>ת"ר: הוא אומר לעלות, והיא אומרת שלא לעלות - כופין אותה לעלות, ואם לאו - תצא בלא כתובה, היא אומרת לעלות, והוא אומר שלא לעלות - כופין אותו לעלות, ואם לאו - יוציא ויתן כתובה. היא אומרת לצאת, והוא אומר שלא לצאת - כופין אותה שלא לצאת, ואם לאו - תצא בלא כתובה; הוא אומר לצאת, והיא אומרת שלא לצאת - כופין אותו שלא לצאת, ואם לאו - יוציא ויתן כתובה.</w:t>
      </w:r>
    </w:p>
    <w:p w14:paraId="20FAA1A7" w14:textId="50F67CE9" w:rsidR="00085910" w:rsidRPr="00E617BF" w:rsidRDefault="00E617BF" w:rsidP="00085910">
      <w:pPr>
        <w:rPr>
          <w:u w:val="single"/>
          <w:rtl/>
        </w:rPr>
      </w:pPr>
      <w:r w:rsidRPr="00E617BF">
        <w:rPr>
          <w:rFonts w:hint="cs"/>
          <w:u w:val="single"/>
          <w:rtl/>
        </w:rPr>
        <w:t xml:space="preserve">הוא רוצה לעלות לארץ ישראל </w:t>
      </w:r>
      <w:r w:rsidRPr="00E617BF">
        <w:rPr>
          <w:rFonts w:hint="cs"/>
          <w:sz w:val="18"/>
          <w:szCs w:val="18"/>
          <w:u w:val="single"/>
          <w:rtl/>
        </w:rPr>
        <w:t>(או ירושלים)</w:t>
      </w:r>
      <w:r w:rsidRPr="00E617BF">
        <w:rPr>
          <w:rFonts w:hint="cs"/>
          <w:u w:val="single"/>
          <w:rtl/>
        </w:rPr>
        <w:t xml:space="preserve">, והיא לא </w:t>
      </w:r>
      <w:r w:rsidRPr="00E617BF">
        <w:rPr>
          <w:rFonts w:hint="cs"/>
          <w:sz w:val="18"/>
          <w:szCs w:val="18"/>
          <w:u w:val="single"/>
          <w:rtl/>
        </w:rPr>
        <w:t>(וכן להפך)</w:t>
      </w:r>
      <w:r w:rsidRPr="00E617BF">
        <w:rPr>
          <w:rFonts w:hint="cs"/>
          <w:u w:val="single"/>
          <w:rtl/>
        </w:rPr>
        <w:t>:</w:t>
      </w:r>
    </w:p>
    <w:p w14:paraId="023E55F8" w14:textId="7A5831C1" w:rsidR="002B09CF" w:rsidRDefault="00557191" w:rsidP="002B09CF">
      <w:pPr>
        <w:pStyle w:val="ab"/>
        <w:numPr>
          <w:ilvl w:val="0"/>
          <w:numId w:val="7"/>
        </w:numPr>
        <w:rPr>
          <w:rFonts w:cs="Arial"/>
        </w:rPr>
      </w:pPr>
      <w:r w:rsidRPr="00557191">
        <w:rPr>
          <w:rFonts w:cs="Arial" w:hint="cs"/>
          <w:rtl/>
        </w:rPr>
        <w:t xml:space="preserve">טור- </w:t>
      </w:r>
      <w:r w:rsidRPr="00557191">
        <w:rPr>
          <w:rFonts w:cs="Arial"/>
          <w:rtl/>
        </w:rPr>
        <w:t>אמר האיש לעלות לא"י</w:t>
      </w:r>
      <w:r w:rsidR="00B5731A">
        <w:rPr>
          <w:rFonts w:cs="Arial" w:hint="cs"/>
          <w:rtl/>
        </w:rPr>
        <w:t>,</w:t>
      </w:r>
      <w:r w:rsidRPr="00557191">
        <w:rPr>
          <w:rFonts w:cs="Arial"/>
          <w:rtl/>
        </w:rPr>
        <w:t xml:space="preserve"> והיא אינה רוצה</w:t>
      </w:r>
      <w:r w:rsidR="00B5731A">
        <w:rPr>
          <w:rFonts w:cs="Arial" w:hint="cs"/>
          <w:rtl/>
        </w:rPr>
        <w:t>,</w:t>
      </w:r>
      <w:r w:rsidRPr="00557191">
        <w:rPr>
          <w:rFonts w:cs="Arial"/>
          <w:rtl/>
        </w:rPr>
        <w:t xml:space="preserve"> או שהיא שם ומבקשת לצאת </w:t>
      </w:r>
      <w:r w:rsidR="00B5731A">
        <w:rPr>
          <w:rFonts w:cs="Arial" w:hint="cs"/>
          <w:rtl/>
        </w:rPr>
        <w:t xml:space="preserve">- </w:t>
      </w:r>
      <w:r w:rsidRPr="00557191">
        <w:rPr>
          <w:rFonts w:cs="Arial"/>
          <w:rtl/>
        </w:rPr>
        <w:t>תצא בלא כתובה</w:t>
      </w:r>
      <w:r w:rsidR="00B5731A">
        <w:rPr>
          <w:rFonts w:cs="Arial" w:hint="cs"/>
          <w:rtl/>
        </w:rPr>
        <w:t>.</w:t>
      </w:r>
      <w:r w:rsidRPr="00557191">
        <w:rPr>
          <w:rFonts w:cs="Arial"/>
          <w:rtl/>
        </w:rPr>
        <w:t xml:space="preserve"> האשה שאומרת לעלות</w:t>
      </w:r>
      <w:r w:rsidR="00B5731A">
        <w:rPr>
          <w:rFonts w:cs="Arial" w:hint="cs"/>
          <w:rtl/>
        </w:rPr>
        <w:t>,</w:t>
      </w:r>
      <w:r w:rsidRPr="00557191">
        <w:rPr>
          <w:rFonts w:cs="Arial"/>
          <w:rtl/>
        </w:rPr>
        <w:t xml:space="preserve"> וה</w:t>
      </w:r>
      <w:r w:rsidR="00B5731A">
        <w:rPr>
          <w:rFonts w:cs="Arial" w:hint="cs"/>
          <w:rtl/>
        </w:rPr>
        <w:t>ו</w:t>
      </w:r>
      <w:r w:rsidRPr="00557191">
        <w:rPr>
          <w:rFonts w:cs="Arial"/>
          <w:rtl/>
        </w:rPr>
        <w:t>א אינו רוצה</w:t>
      </w:r>
      <w:r w:rsidR="00B5731A">
        <w:rPr>
          <w:rFonts w:cs="Arial" w:hint="cs"/>
          <w:rtl/>
        </w:rPr>
        <w:t>,</w:t>
      </w:r>
      <w:r w:rsidRPr="00557191">
        <w:rPr>
          <w:rFonts w:cs="Arial"/>
          <w:rtl/>
        </w:rPr>
        <w:t xml:space="preserve"> או שרוצה לצאת משם</w:t>
      </w:r>
      <w:r w:rsidR="00B5731A">
        <w:rPr>
          <w:rFonts w:cs="Arial" w:hint="cs"/>
          <w:rtl/>
        </w:rPr>
        <w:t xml:space="preserve"> -</w:t>
      </w:r>
      <w:r w:rsidRPr="00557191">
        <w:rPr>
          <w:rFonts w:cs="Arial"/>
          <w:rtl/>
        </w:rPr>
        <w:t xml:space="preserve"> יוציא ויתן כתובה</w:t>
      </w:r>
      <w:r w:rsidR="00B5731A">
        <w:rPr>
          <w:rFonts w:cs="Arial" w:hint="cs"/>
          <w:rtl/>
        </w:rPr>
        <w:t>.</w:t>
      </w:r>
      <w:r w:rsidRPr="00557191">
        <w:rPr>
          <w:rFonts w:cs="Arial"/>
          <w:rtl/>
        </w:rPr>
        <w:t xml:space="preserve"> וה"ה נמי לכ</w:t>
      </w:r>
      <w:r w:rsidR="00E617BF">
        <w:rPr>
          <w:rFonts w:cs="Arial" w:hint="cs"/>
          <w:rtl/>
        </w:rPr>
        <w:t xml:space="preserve">ל </w:t>
      </w:r>
      <w:r w:rsidRPr="00557191">
        <w:rPr>
          <w:rFonts w:cs="Arial"/>
          <w:rtl/>
        </w:rPr>
        <w:t>מ</w:t>
      </w:r>
      <w:r w:rsidR="00E617BF">
        <w:rPr>
          <w:rFonts w:cs="Arial" w:hint="cs"/>
          <w:rtl/>
        </w:rPr>
        <w:t>קום</w:t>
      </w:r>
      <w:r w:rsidRPr="00557191">
        <w:rPr>
          <w:rFonts w:cs="Arial"/>
          <w:rtl/>
        </w:rPr>
        <w:t xml:space="preserve"> מא</w:t>
      </w:r>
      <w:r w:rsidR="00E617BF">
        <w:rPr>
          <w:rFonts w:cs="Arial" w:hint="cs"/>
          <w:rtl/>
        </w:rPr>
        <w:t xml:space="preserve">רץ </w:t>
      </w:r>
      <w:r w:rsidRPr="00557191">
        <w:rPr>
          <w:rFonts w:cs="Arial"/>
          <w:rtl/>
        </w:rPr>
        <w:t>י</w:t>
      </w:r>
      <w:r w:rsidR="00E617BF">
        <w:rPr>
          <w:rFonts w:cs="Arial" w:hint="cs"/>
          <w:rtl/>
        </w:rPr>
        <w:t>שראל</w:t>
      </w:r>
      <w:r w:rsidRPr="00557191">
        <w:rPr>
          <w:rFonts w:cs="Arial"/>
          <w:rtl/>
        </w:rPr>
        <w:t xml:space="preserve"> לירושלים</w:t>
      </w:r>
      <w:r w:rsidR="00E617BF">
        <w:rPr>
          <w:rFonts w:cs="Arial" w:hint="cs"/>
          <w:rtl/>
        </w:rPr>
        <w:t>,</w:t>
      </w:r>
      <w:r w:rsidRPr="00557191">
        <w:rPr>
          <w:rFonts w:cs="Arial"/>
          <w:rtl/>
        </w:rPr>
        <w:t xml:space="preserve"> שהכל מעלין מא</w:t>
      </w:r>
      <w:r w:rsidR="00E617BF">
        <w:rPr>
          <w:rFonts w:cs="Arial" w:hint="cs"/>
          <w:rtl/>
        </w:rPr>
        <w:t xml:space="preserve">רץ </w:t>
      </w:r>
      <w:r w:rsidRPr="00557191">
        <w:rPr>
          <w:rFonts w:cs="Arial"/>
          <w:rtl/>
        </w:rPr>
        <w:t>י</w:t>
      </w:r>
      <w:r w:rsidR="00E617BF">
        <w:rPr>
          <w:rFonts w:cs="Arial" w:hint="cs"/>
          <w:rtl/>
        </w:rPr>
        <w:t>שראל</w:t>
      </w:r>
      <w:r w:rsidRPr="00557191">
        <w:rPr>
          <w:rFonts w:cs="Arial"/>
          <w:rtl/>
        </w:rPr>
        <w:t xml:space="preserve"> לירושלים ואין מוציאין משם</w:t>
      </w:r>
      <w:r w:rsidRPr="00557191">
        <w:rPr>
          <w:rFonts w:cs="Arial" w:hint="cs"/>
          <w:rtl/>
        </w:rPr>
        <w:t>.</w:t>
      </w:r>
      <w:r w:rsidR="005B353B">
        <w:rPr>
          <w:rFonts w:cs="Arial" w:hint="cs"/>
          <w:rtl/>
        </w:rPr>
        <w:t xml:space="preserve"> </w:t>
      </w:r>
      <w:r w:rsidR="005B353B" w:rsidRPr="00A73B2D">
        <w:rPr>
          <w:rFonts w:hint="cs"/>
          <w:color w:val="E36C0A" w:themeColor="accent6" w:themeShade="BF"/>
          <w:rtl/>
        </w:rPr>
        <w:t>(וכ"פ בשו"ע</w:t>
      </w:r>
      <w:r w:rsidR="005B353B">
        <w:rPr>
          <w:rFonts w:hint="cs"/>
          <w:color w:val="E36C0A" w:themeColor="accent6" w:themeShade="BF"/>
          <w:rtl/>
        </w:rPr>
        <w:t>)</w:t>
      </w:r>
    </w:p>
    <w:p w14:paraId="13D70EB4" w14:textId="257D894B" w:rsidR="002B09CF" w:rsidRPr="002B09CF" w:rsidRDefault="002B09CF" w:rsidP="002B09CF">
      <w:pPr>
        <w:ind w:left="360"/>
        <w:rPr>
          <w:rFonts w:cs="Arial"/>
          <w:u w:val="dotted"/>
        </w:rPr>
      </w:pPr>
      <w:r w:rsidRPr="002B09CF">
        <w:rPr>
          <w:rFonts w:cs="Arial" w:hint="cs"/>
          <w:u w:val="dotted"/>
          <w:rtl/>
        </w:rPr>
        <w:t>כשיוצאת בלא כתובה - האם יש לה תוספת כתובה</w:t>
      </w:r>
      <w:r w:rsidR="00E665DD">
        <w:rPr>
          <w:rFonts w:cs="Arial" w:hint="cs"/>
          <w:u w:val="dotted"/>
          <w:rtl/>
        </w:rPr>
        <w:t>/</w:t>
      </w:r>
      <w:r w:rsidRPr="002B09CF">
        <w:rPr>
          <w:rFonts w:cs="Arial" w:hint="cs"/>
          <w:u w:val="dotted"/>
          <w:rtl/>
        </w:rPr>
        <w:t>נדוניא</w:t>
      </w:r>
      <w:r w:rsidR="00E665DD">
        <w:rPr>
          <w:rFonts w:cs="Arial" w:hint="cs"/>
          <w:u w:val="dotted"/>
          <w:rtl/>
        </w:rPr>
        <w:t>/נכסי צאן ברזל</w:t>
      </w:r>
      <w:r w:rsidRPr="002B09CF">
        <w:rPr>
          <w:rFonts w:cs="Arial" w:hint="cs"/>
          <w:u w:val="dotted"/>
          <w:rtl/>
        </w:rPr>
        <w:t xml:space="preserve"> וכ</w:t>
      </w:r>
      <w:r w:rsidR="00E665DD">
        <w:rPr>
          <w:rFonts w:cs="Arial" w:hint="cs"/>
          <w:u w:val="dotted"/>
          <w:rtl/>
        </w:rPr>
        <w:t>ו</w:t>
      </w:r>
      <w:r w:rsidRPr="002B09CF">
        <w:rPr>
          <w:rFonts w:cs="Arial" w:hint="cs"/>
          <w:u w:val="dotted"/>
          <w:rtl/>
        </w:rPr>
        <w:t>':</w:t>
      </w:r>
    </w:p>
    <w:p w14:paraId="3655C6DA" w14:textId="51174BA2" w:rsidR="00242605" w:rsidRDefault="00242605" w:rsidP="002B09CF">
      <w:pPr>
        <w:pStyle w:val="ab"/>
        <w:numPr>
          <w:ilvl w:val="0"/>
          <w:numId w:val="7"/>
        </w:numPr>
        <w:rPr>
          <w:rFonts w:cs="Arial"/>
        </w:rPr>
      </w:pPr>
      <w:r w:rsidRPr="002B09CF">
        <w:rPr>
          <w:rFonts w:cs="Arial"/>
          <w:rtl/>
        </w:rPr>
        <w:t>ר"ן</w:t>
      </w:r>
      <w:r w:rsidRPr="002B09CF">
        <w:rPr>
          <w:rFonts w:cs="Arial"/>
          <w:sz w:val="16"/>
          <w:szCs w:val="16"/>
          <w:rtl/>
        </w:rPr>
        <w:t xml:space="preserve"> (סה: ד"ה גמ' לאיתויי)</w:t>
      </w:r>
      <w:r w:rsidR="002B09CF">
        <w:rPr>
          <w:rFonts w:cs="Arial" w:hint="cs"/>
          <w:rtl/>
        </w:rPr>
        <w:t>-</w:t>
      </w:r>
      <w:r w:rsidRPr="002B09CF">
        <w:rPr>
          <w:rFonts w:cs="Arial"/>
          <w:rtl/>
        </w:rPr>
        <w:t xml:space="preserve"> בלא כתובה והוא הדין לתוספת</w:t>
      </w:r>
      <w:r w:rsidR="002B09CF">
        <w:rPr>
          <w:rFonts w:cs="Arial" w:hint="cs"/>
          <w:rtl/>
        </w:rPr>
        <w:t>.</w:t>
      </w:r>
      <w:r w:rsidRPr="002B09CF">
        <w:rPr>
          <w:rFonts w:cs="Arial"/>
          <w:rtl/>
        </w:rPr>
        <w:t xml:space="preserve"> ויש אומרים דאפילו נדוניא לית לה</w:t>
      </w:r>
      <w:r w:rsidR="002B09CF">
        <w:rPr>
          <w:rFonts w:cs="Arial" w:hint="cs"/>
          <w:rtl/>
        </w:rPr>
        <w:t>.</w:t>
      </w:r>
      <w:r w:rsidRPr="002B09CF">
        <w:rPr>
          <w:rFonts w:cs="Arial"/>
          <w:rtl/>
        </w:rPr>
        <w:t xml:space="preserve"> ומיהו מה שהוא קיים ממנה משמע דאית לה</w:t>
      </w:r>
      <w:r w:rsidR="002B09CF">
        <w:rPr>
          <w:rFonts w:cs="Arial" w:hint="cs"/>
          <w:rtl/>
        </w:rPr>
        <w:t>,</w:t>
      </w:r>
      <w:r w:rsidRPr="002B09CF">
        <w:rPr>
          <w:rFonts w:cs="Arial"/>
          <w:rtl/>
        </w:rPr>
        <w:t xml:space="preserve"> דלא גרעה מזינתה דאמרינן </w:t>
      </w:r>
      <w:r w:rsidRPr="00134738">
        <w:rPr>
          <w:rFonts w:cs="Arial"/>
          <w:sz w:val="16"/>
          <w:szCs w:val="16"/>
          <w:rtl/>
        </w:rPr>
        <w:t xml:space="preserve">(כתובות </w:t>
      </w:r>
      <w:r w:rsidR="00134738" w:rsidRPr="00134738">
        <w:rPr>
          <w:rFonts w:cs="Arial" w:hint="cs"/>
          <w:sz w:val="16"/>
          <w:szCs w:val="16"/>
          <w:rtl/>
        </w:rPr>
        <w:t>ק</w:t>
      </w:r>
      <w:r w:rsidRPr="00134738">
        <w:rPr>
          <w:rFonts w:cs="Arial"/>
          <w:sz w:val="16"/>
          <w:szCs w:val="16"/>
          <w:rtl/>
        </w:rPr>
        <w:t>א</w:t>
      </w:r>
      <w:r w:rsidR="00134738" w:rsidRPr="00134738">
        <w:rPr>
          <w:rFonts w:cs="Arial" w:hint="cs"/>
          <w:sz w:val="16"/>
          <w:szCs w:val="16"/>
          <w:rtl/>
        </w:rPr>
        <w:t>.</w:t>
      </w:r>
      <w:r w:rsidRPr="00134738">
        <w:rPr>
          <w:rFonts w:cs="Arial"/>
          <w:sz w:val="16"/>
          <w:szCs w:val="16"/>
          <w:rtl/>
        </w:rPr>
        <w:t>)</w:t>
      </w:r>
      <w:r w:rsidRPr="002B09CF">
        <w:rPr>
          <w:rFonts w:cs="Arial"/>
          <w:rtl/>
        </w:rPr>
        <w:t xml:space="preserve"> דלא הפסידה בלאותיה הקיימין</w:t>
      </w:r>
      <w:r w:rsidR="00E617BF" w:rsidRPr="002B09CF">
        <w:rPr>
          <w:rFonts w:cs="Arial" w:hint="cs"/>
          <w:rtl/>
        </w:rPr>
        <w:t>.</w:t>
      </w:r>
    </w:p>
    <w:p w14:paraId="4CDBFD2C" w14:textId="5D0EA23E" w:rsidR="00E665DD" w:rsidRPr="009941D4" w:rsidRDefault="00E665DD" w:rsidP="009941D4">
      <w:pPr>
        <w:pStyle w:val="ab"/>
        <w:numPr>
          <w:ilvl w:val="0"/>
          <w:numId w:val="7"/>
        </w:numPr>
        <w:rPr>
          <w:rFonts w:cs="Arial"/>
        </w:rPr>
      </w:pPr>
      <w:r>
        <w:rPr>
          <w:rFonts w:cs="Arial" w:hint="cs"/>
          <w:rtl/>
        </w:rPr>
        <w:t xml:space="preserve">מהר"ם </w:t>
      </w:r>
      <w:r>
        <w:rPr>
          <w:rFonts w:cs="Arial" w:hint="cs"/>
          <w:sz w:val="16"/>
          <w:szCs w:val="16"/>
          <w:rtl/>
        </w:rPr>
        <w:t>(ד"ק סי' קצט, הביאו המרדכי [כתובות סי' רפ])</w:t>
      </w:r>
      <w:r>
        <w:rPr>
          <w:rFonts w:cs="Arial" w:hint="cs"/>
          <w:rtl/>
        </w:rPr>
        <w:t xml:space="preserve">- </w:t>
      </w:r>
      <w:r w:rsidRPr="00E665DD">
        <w:rPr>
          <w:rFonts w:cs="Arial"/>
          <w:rtl/>
        </w:rPr>
        <w:t>ובעניותינו</w:t>
      </w:r>
      <w:r>
        <w:rPr>
          <w:rFonts w:cs="Arial" w:hint="cs"/>
          <w:rtl/>
        </w:rPr>
        <w:t xml:space="preserve"> </w:t>
      </w:r>
      <w:r w:rsidRPr="00E665DD">
        <w:rPr>
          <w:rFonts w:cs="Arial"/>
          <w:rtl/>
        </w:rPr>
        <w:t>נ</w:t>
      </w:r>
      <w:r>
        <w:rPr>
          <w:rFonts w:cs="Arial" w:hint="cs"/>
          <w:rtl/>
        </w:rPr>
        <w:t>"ל</w:t>
      </w:r>
      <w:r w:rsidRPr="00E665DD">
        <w:rPr>
          <w:rFonts w:cs="Arial"/>
          <w:rtl/>
        </w:rPr>
        <w:t xml:space="preserve"> דנדוניא ונכסי מלוג ודאי אית לה אי דאיתנהו, דלא גרעה מממאנת ואיילונית דאמרינן עלייהו ס</w:t>
      </w:r>
      <w:r>
        <w:rPr>
          <w:rFonts w:cs="Arial" w:hint="cs"/>
          <w:rtl/>
        </w:rPr>
        <w:t>"</w:t>
      </w:r>
      <w:r w:rsidRPr="00E665DD">
        <w:rPr>
          <w:rFonts w:cs="Arial"/>
          <w:rtl/>
        </w:rPr>
        <w:t>פ</w:t>
      </w:r>
      <w:r>
        <w:rPr>
          <w:rFonts w:cs="Arial" w:hint="cs"/>
          <w:rtl/>
        </w:rPr>
        <w:t xml:space="preserve"> </w:t>
      </w:r>
      <w:r w:rsidRPr="00E665DD">
        <w:rPr>
          <w:rFonts w:cs="Arial"/>
          <w:rtl/>
        </w:rPr>
        <w:t xml:space="preserve">אלמנה </w:t>
      </w:r>
      <w:r>
        <w:rPr>
          <w:rFonts w:cs="Arial" w:hint="cs"/>
          <w:rtl/>
        </w:rPr>
        <w:t>(</w:t>
      </w:r>
      <w:r w:rsidRPr="00E665DD">
        <w:rPr>
          <w:rFonts w:cs="Arial"/>
          <w:rtl/>
        </w:rPr>
        <w:t>שם קא</w:t>
      </w:r>
      <w:r>
        <w:rPr>
          <w:rFonts w:cs="Arial" w:hint="cs"/>
          <w:rtl/>
        </w:rPr>
        <w:t>.)</w:t>
      </w:r>
      <w:r w:rsidRPr="00E665DD">
        <w:rPr>
          <w:rFonts w:cs="Arial"/>
          <w:rtl/>
        </w:rPr>
        <w:t xml:space="preserve"> אי דאיתנהו אידי ואידי שקלה.</w:t>
      </w:r>
      <w:r>
        <w:rPr>
          <w:rFonts w:cs="Arial" w:hint="cs"/>
          <w:rtl/>
        </w:rPr>
        <w:t>..</w:t>
      </w:r>
      <w:r w:rsidRPr="00E665DD">
        <w:rPr>
          <w:rFonts w:cs="Arial"/>
          <w:rtl/>
        </w:rPr>
        <w:t xml:space="preserve"> ועוד דאפילו במורדת דיינינן הכי בדינא דתרתין מתיבתא כמו שכתב בספר האלפס בפרק אף על פי </w:t>
      </w:r>
      <w:r>
        <w:rPr>
          <w:rFonts w:cs="Arial" w:hint="cs"/>
          <w:rtl/>
        </w:rPr>
        <w:t>(</w:t>
      </w:r>
      <w:r w:rsidRPr="00E665DD">
        <w:rPr>
          <w:rFonts w:cs="Arial"/>
          <w:rtl/>
        </w:rPr>
        <w:t>שם כז</w:t>
      </w:r>
      <w:r>
        <w:rPr>
          <w:rFonts w:cs="Arial" w:hint="cs"/>
          <w:rtl/>
        </w:rPr>
        <w:t>.)</w:t>
      </w:r>
      <w:r w:rsidRPr="00E665DD">
        <w:rPr>
          <w:rFonts w:cs="Arial"/>
          <w:rtl/>
        </w:rPr>
        <w:t xml:space="preserve"> דשקלה כל מה שהכניסה לו אי איתיה בעין. ואם הכניסה לו מאה זקוקים ולא שמה לו בכתובה לנדוניא אלא חמישים, מה ששמה לו זהו נכסי צאן ברזל, ומה שלא שמה לו זהו נכסי מלוג. ואי דאיתנהו אידי ואידי שקלה ושקלה כל המאה זקוקים. ואי ליתנהו פירוש שנגנבו או אבדו, נ"ל דנכסי צאן ברזל שהוא חייב באחריותם שקלה וחייב לתן לה משלו, אבל נכסי מלוג דלא מחייב באחריותן לא מחייב לשלם לה משלו, וכן כתב רב אלפס </w:t>
      </w:r>
      <w:r w:rsidRPr="00E665DD">
        <w:rPr>
          <w:rFonts w:cs="Arial" w:hint="cs"/>
          <w:rtl/>
        </w:rPr>
        <w:t>(</w:t>
      </w:r>
      <w:r w:rsidRPr="00E665DD">
        <w:rPr>
          <w:rFonts w:cs="Arial"/>
          <w:rtl/>
        </w:rPr>
        <w:t>שם</w:t>
      </w:r>
      <w:r w:rsidRPr="00E665DD">
        <w:rPr>
          <w:rFonts w:cs="Arial" w:hint="cs"/>
          <w:rtl/>
        </w:rPr>
        <w:t>)</w:t>
      </w:r>
      <w:r w:rsidRPr="00E665DD">
        <w:rPr>
          <w:rFonts w:cs="Arial"/>
          <w:rtl/>
        </w:rPr>
        <w:t xml:space="preserve"> בדינא דמורדת. ולעניין תוספת נ"ל שאין לה, כדאמרינן ס</w:t>
      </w:r>
      <w:r w:rsidR="009941D4">
        <w:rPr>
          <w:rFonts w:cs="Arial" w:hint="cs"/>
          <w:rtl/>
        </w:rPr>
        <w:t>"פ</w:t>
      </w:r>
      <w:r w:rsidRPr="00E665DD">
        <w:rPr>
          <w:rFonts w:cs="Arial"/>
          <w:rtl/>
        </w:rPr>
        <w:t xml:space="preserve"> אלמנה </w:t>
      </w:r>
      <w:r w:rsidR="009941D4">
        <w:rPr>
          <w:rFonts w:cs="Arial" w:hint="cs"/>
          <w:rtl/>
        </w:rPr>
        <w:t>(</w:t>
      </w:r>
      <w:r w:rsidRPr="00E665DD">
        <w:rPr>
          <w:rFonts w:cs="Arial"/>
          <w:rtl/>
        </w:rPr>
        <w:t>שם קא</w:t>
      </w:r>
      <w:r w:rsidR="009941D4">
        <w:rPr>
          <w:rFonts w:cs="Arial" w:hint="cs"/>
          <w:rtl/>
        </w:rPr>
        <w:t>.)</w:t>
      </w:r>
      <w:r w:rsidRPr="00E665DD">
        <w:rPr>
          <w:rFonts w:cs="Arial"/>
          <w:rtl/>
        </w:rPr>
        <w:t xml:space="preserve"> נשים שאמרו חכמים שאין להם כתובה כגון ממאנת וחברותיה, אין להם מנה ומאתים אבל תוספת יש להם</w:t>
      </w:r>
      <w:r w:rsidR="009941D4">
        <w:rPr>
          <w:rFonts w:cs="Arial" w:hint="cs"/>
          <w:rtl/>
        </w:rPr>
        <w:t>.</w:t>
      </w:r>
      <w:r w:rsidRPr="00E665DD">
        <w:rPr>
          <w:rFonts w:cs="Arial"/>
          <w:rtl/>
        </w:rPr>
        <w:t xml:space="preserve"> נשים שאמרו יוצאות שלא בכתובה כגון עוברת על דת וחברותיה, אין להם תוספת וכל שכן מנה ומאתים</w:t>
      </w:r>
      <w:r w:rsidR="009941D4">
        <w:rPr>
          <w:rFonts w:cs="Arial" w:hint="cs"/>
          <w:rtl/>
        </w:rPr>
        <w:t>.</w:t>
      </w:r>
      <w:r w:rsidRPr="00E665DD">
        <w:rPr>
          <w:rFonts w:cs="Arial"/>
          <w:rtl/>
        </w:rPr>
        <w:t xml:space="preserve"> פירוש דלשון </w:t>
      </w:r>
      <w:r w:rsidR="009941D4">
        <w:rPr>
          <w:rFonts w:cs="Arial" w:hint="cs"/>
          <w:rtl/>
        </w:rPr>
        <w:t>'</w:t>
      </w:r>
      <w:r w:rsidRPr="00E665DD">
        <w:rPr>
          <w:rFonts w:cs="Arial"/>
          <w:rtl/>
        </w:rPr>
        <w:t>יוצאות שלא בכתובה</w:t>
      </w:r>
      <w:r w:rsidR="009941D4">
        <w:rPr>
          <w:rFonts w:cs="Arial" w:hint="cs"/>
          <w:rtl/>
        </w:rPr>
        <w:t>'</w:t>
      </w:r>
      <w:r w:rsidRPr="00E665DD">
        <w:rPr>
          <w:rFonts w:cs="Arial"/>
          <w:rtl/>
        </w:rPr>
        <w:t xml:space="preserve"> משמע שכל תורת גבייה הפקיעו מהן</w:t>
      </w:r>
      <w:r w:rsidR="009941D4">
        <w:rPr>
          <w:rFonts w:cs="Arial" w:hint="cs"/>
          <w:rtl/>
        </w:rPr>
        <w:t xml:space="preserve">, </w:t>
      </w:r>
      <w:r w:rsidRPr="00E665DD">
        <w:rPr>
          <w:rFonts w:cs="Arial"/>
          <w:rtl/>
        </w:rPr>
        <w:t>דלא גביא משל בעל כלום</w:t>
      </w:r>
      <w:r w:rsidR="009941D4">
        <w:rPr>
          <w:rFonts w:cs="Arial" w:hint="cs"/>
          <w:rtl/>
        </w:rPr>
        <w:t>...</w:t>
      </w:r>
      <w:r w:rsidRPr="00E665DD">
        <w:rPr>
          <w:rFonts w:cs="Arial"/>
          <w:rtl/>
        </w:rPr>
        <w:t xml:space="preserve"> </w:t>
      </w:r>
      <w:r w:rsidRPr="009941D4">
        <w:rPr>
          <w:rFonts w:cs="Arial"/>
          <w:rtl/>
        </w:rPr>
        <w:t>וכל מה שכתבנו דאין לה מנה ומאתים ותוספת, הני מילי אם ילך לארץ ישראל ולא יחזור, אבל אם יחזור להתיישב בחוצה לארץ אפילו לאחר כמה שנים</w:t>
      </w:r>
      <w:r w:rsidR="009941D4">
        <w:rPr>
          <w:rFonts w:cs="Arial" w:hint="cs"/>
          <w:rtl/>
        </w:rPr>
        <w:t>,</w:t>
      </w:r>
      <w:r w:rsidRPr="009941D4">
        <w:rPr>
          <w:rFonts w:cs="Arial"/>
          <w:rtl/>
        </w:rPr>
        <w:t xml:space="preserve"> אם תהיה אז בחיים </w:t>
      </w:r>
      <w:r w:rsidR="009941D4">
        <w:rPr>
          <w:rFonts w:cs="Arial" w:hint="cs"/>
          <w:rtl/>
        </w:rPr>
        <w:t xml:space="preserve">- </w:t>
      </w:r>
      <w:r w:rsidRPr="009941D4">
        <w:rPr>
          <w:rFonts w:cs="Arial"/>
          <w:rtl/>
        </w:rPr>
        <w:t>תגבה ממנו מנה ומאתים ותוספת</w:t>
      </w:r>
      <w:r w:rsidR="009941D4">
        <w:rPr>
          <w:rFonts w:cs="Arial" w:hint="cs"/>
          <w:rtl/>
        </w:rPr>
        <w:t>.</w:t>
      </w:r>
      <w:r w:rsidRPr="009941D4">
        <w:rPr>
          <w:rFonts w:cs="Arial"/>
          <w:rtl/>
        </w:rPr>
        <w:t xml:space="preserve"> ואם ח"ו תמות היא קודם </w:t>
      </w:r>
      <w:r w:rsidR="009941D4">
        <w:rPr>
          <w:rFonts w:cs="Arial" w:hint="cs"/>
          <w:rtl/>
        </w:rPr>
        <w:t xml:space="preserve">- </w:t>
      </w:r>
      <w:r w:rsidRPr="009941D4">
        <w:rPr>
          <w:rFonts w:cs="Arial"/>
          <w:rtl/>
        </w:rPr>
        <w:t>יגבו יורשיה</w:t>
      </w:r>
      <w:r w:rsidRPr="009941D4">
        <w:rPr>
          <w:rFonts w:cs="Arial" w:hint="cs"/>
          <w:rtl/>
        </w:rPr>
        <w:t>.</w:t>
      </w:r>
      <w:r w:rsidR="005B353B" w:rsidRPr="005B353B">
        <w:rPr>
          <w:rFonts w:cs="Arial" w:hint="cs"/>
          <w:color w:val="00B0F0"/>
          <w:rtl/>
        </w:rPr>
        <w:t xml:space="preserve"> (וכ"פ הרמ"א)</w:t>
      </w:r>
    </w:p>
    <w:p w14:paraId="5C7B6369" w14:textId="39EFADE7" w:rsidR="00562A74" w:rsidRPr="00730AB6" w:rsidRDefault="00562A74" w:rsidP="002760AF">
      <w:pPr>
        <w:rPr>
          <w:u w:val="single"/>
        </w:rPr>
      </w:pPr>
      <w:r w:rsidRPr="00730AB6">
        <w:rPr>
          <w:rFonts w:hint="cs"/>
          <w:u w:val="single"/>
          <w:rtl/>
        </w:rPr>
        <w:t xml:space="preserve">נישאו במקום האשה על תנאי שאחר הנישואין יחזרו למקום הבעל, אבל כתבו בכתובה </w:t>
      </w:r>
      <w:r w:rsidR="00730AB6">
        <w:rPr>
          <w:rFonts w:hint="cs"/>
          <w:u w:val="single"/>
          <w:rtl/>
        </w:rPr>
        <w:t>'ו</w:t>
      </w:r>
      <w:r w:rsidRPr="00730AB6">
        <w:rPr>
          <w:rFonts w:hint="cs"/>
          <w:u w:val="single"/>
          <w:rtl/>
        </w:rPr>
        <w:t>לא יוציאנה ממדינה זו</w:t>
      </w:r>
      <w:r w:rsidR="00730AB6">
        <w:rPr>
          <w:rFonts w:hint="cs"/>
          <w:u w:val="single"/>
          <w:rtl/>
        </w:rPr>
        <w:t>...'</w:t>
      </w:r>
      <w:r w:rsidRPr="00730AB6">
        <w:rPr>
          <w:rFonts w:hint="cs"/>
          <w:u w:val="single"/>
          <w:rtl/>
        </w:rPr>
        <w:t>:</w:t>
      </w:r>
    </w:p>
    <w:p w14:paraId="165CBDF8" w14:textId="082E6FD4" w:rsidR="00557191" w:rsidRDefault="00557191" w:rsidP="00557191">
      <w:pPr>
        <w:pStyle w:val="ab"/>
        <w:numPr>
          <w:ilvl w:val="0"/>
          <w:numId w:val="7"/>
        </w:numPr>
        <w:rPr>
          <w:rFonts w:cs="Arial"/>
        </w:rPr>
      </w:pPr>
      <w:r w:rsidRPr="00557191">
        <w:rPr>
          <w:rFonts w:cs="Arial"/>
          <w:rtl/>
        </w:rPr>
        <w:t>רא"ש</w:t>
      </w:r>
      <w:r w:rsidRPr="00557191">
        <w:rPr>
          <w:rFonts w:cs="Arial"/>
          <w:sz w:val="16"/>
          <w:szCs w:val="16"/>
          <w:rtl/>
        </w:rPr>
        <w:t xml:space="preserve"> </w:t>
      </w:r>
      <w:r w:rsidRPr="00557191">
        <w:rPr>
          <w:rFonts w:cs="Arial" w:hint="cs"/>
          <w:sz w:val="16"/>
          <w:szCs w:val="16"/>
          <w:rtl/>
        </w:rPr>
        <w:t>(</w:t>
      </w:r>
      <w:r w:rsidRPr="00557191">
        <w:rPr>
          <w:rFonts w:cs="Arial"/>
          <w:sz w:val="16"/>
          <w:szCs w:val="16"/>
          <w:rtl/>
        </w:rPr>
        <w:t>כלל לג סי</w:t>
      </w:r>
      <w:r w:rsidRPr="00557191">
        <w:rPr>
          <w:rFonts w:cs="Arial" w:hint="cs"/>
          <w:sz w:val="16"/>
          <w:szCs w:val="16"/>
          <w:rtl/>
        </w:rPr>
        <w:t>'</w:t>
      </w:r>
      <w:r w:rsidRPr="00557191">
        <w:rPr>
          <w:rFonts w:cs="Arial"/>
          <w:sz w:val="16"/>
          <w:szCs w:val="16"/>
          <w:rtl/>
        </w:rPr>
        <w:t xml:space="preserve"> ב</w:t>
      </w:r>
      <w:r w:rsidRPr="00557191">
        <w:rPr>
          <w:rFonts w:cs="Arial" w:hint="cs"/>
          <w:sz w:val="16"/>
          <w:szCs w:val="16"/>
          <w:rtl/>
        </w:rPr>
        <w:t xml:space="preserve">) </w:t>
      </w:r>
      <w:r>
        <w:rPr>
          <w:rFonts w:cs="Arial" w:hint="cs"/>
          <w:rtl/>
        </w:rPr>
        <w:t xml:space="preserve">וטור- </w:t>
      </w:r>
      <w:r w:rsidRPr="00557191">
        <w:rPr>
          <w:rFonts w:cs="Arial"/>
          <w:rtl/>
        </w:rPr>
        <w:t>ראובן שטוען כי קודם הנשואין התנה עם אשתו שישאנה במקומה על תנאי שאחר הנשואין תבא אליו לדור במקומו והיא מודה בזה התנאי אלא שאומרת אח"כ כשנשאה וכתב בכתובה שלא יוציאנה ממדינה זו למדינה זו בטל התנאי הראשון ואינה רוצה לצאת ממקומה</w:t>
      </w:r>
      <w:r w:rsidR="00562A74">
        <w:rPr>
          <w:rFonts w:cs="Arial" w:hint="cs"/>
          <w:rtl/>
        </w:rPr>
        <w:t>.</w:t>
      </w:r>
      <w:r w:rsidRPr="00557191">
        <w:rPr>
          <w:rFonts w:cs="Arial"/>
          <w:rtl/>
        </w:rPr>
        <w:t xml:space="preserve"> </w:t>
      </w:r>
      <w:r w:rsidR="00B30901">
        <w:rPr>
          <w:rFonts w:cs="Arial" w:hint="cs"/>
          <w:rtl/>
        </w:rPr>
        <w:t xml:space="preserve">     </w:t>
      </w:r>
      <w:r w:rsidRPr="00557191">
        <w:rPr>
          <w:rFonts w:cs="Arial"/>
          <w:rtl/>
        </w:rPr>
        <w:t>תשובה</w:t>
      </w:r>
      <w:r w:rsidR="00B30901">
        <w:rPr>
          <w:rFonts w:cs="Arial" w:hint="cs"/>
          <w:rtl/>
        </w:rPr>
        <w:t>:</w:t>
      </w:r>
      <w:r w:rsidRPr="00557191">
        <w:rPr>
          <w:rFonts w:cs="Arial"/>
          <w:rtl/>
        </w:rPr>
        <w:t xml:space="preserve"> לא נמחל תנאי הראשון בזה</w:t>
      </w:r>
      <w:r w:rsidR="00730AB6">
        <w:rPr>
          <w:rFonts w:cs="Arial" w:hint="cs"/>
          <w:rtl/>
        </w:rPr>
        <w:t>,</w:t>
      </w:r>
      <w:r w:rsidRPr="00557191">
        <w:rPr>
          <w:rFonts w:cs="Arial"/>
          <w:rtl/>
        </w:rPr>
        <w:t xml:space="preserve"> כי הכתובה נכתבה כמו שרגילין לכתוב בכל הכתובות</w:t>
      </w:r>
      <w:r w:rsidR="00730AB6">
        <w:rPr>
          <w:rFonts w:cs="Arial" w:hint="cs"/>
          <w:rtl/>
        </w:rPr>
        <w:t>,</w:t>
      </w:r>
      <w:r w:rsidRPr="00557191">
        <w:rPr>
          <w:rFonts w:cs="Arial"/>
          <w:rtl/>
        </w:rPr>
        <w:t xml:space="preserve"> ולא כיון לעקור תנאי שהתנה בפירוש</w:t>
      </w:r>
      <w:r w:rsidR="00730AB6">
        <w:rPr>
          <w:rFonts w:cs="Arial" w:hint="cs"/>
          <w:rtl/>
        </w:rPr>
        <w:t>.</w:t>
      </w:r>
      <w:r w:rsidRPr="00557191">
        <w:rPr>
          <w:rFonts w:cs="Arial"/>
          <w:rtl/>
        </w:rPr>
        <w:t xml:space="preserve"> ועוד שהוצרכה לתנאי הכתובה שכתב שלא יוציאנה ממקומה</w:t>
      </w:r>
      <w:r w:rsidR="00730AB6">
        <w:rPr>
          <w:rFonts w:cs="Arial" w:hint="cs"/>
          <w:rtl/>
        </w:rPr>
        <w:t>,</w:t>
      </w:r>
      <w:r w:rsidRPr="00557191">
        <w:rPr>
          <w:rFonts w:cs="Arial"/>
          <w:rtl/>
        </w:rPr>
        <w:t xml:space="preserve"> דהיינו מדינה שקבלה לדור</w:t>
      </w:r>
      <w:r w:rsidR="00730AB6">
        <w:rPr>
          <w:rFonts w:cs="Arial" w:hint="cs"/>
          <w:rtl/>
        </w:rPr>
        <w:t>,</w:t>
      </w:r>
      <w:r w:rsidRPr="00557191">
        <w:rPr>
          <w:rFonts w:cs="Arial"/>
          <w:rtl/>
        </w:rPr>
        <w:t xml:space="preserve"> ואדעתא דהכי ניסת לו שתדור שמה</w:t>
      </w:r>
      <w:r w:rsidR="00730AB6">
        <w:rPr>
          <w:rFonts w:cs="Arial" w:hint="cs"/>
          <w:rtl/>
        </w:rPr>
        <w:t>,</w:t>
      </w:r>
      <w:r w:rsidRPr="00557191">
        <w:rPr>
          <w:rFonts w:cs="Arial"/>
          <w:rtl/>
        </w:rPr>
        <w:t xml:space="preserve"> ולא יוכל להוציאה משם</w:t>
      </w:r>
      <w:r w:rsidR="00730AB6">
        <w:rPr>
          <w:rFonts w:cs="Arial" w:hint="cs"/>
          <w:rtl/>
        </w:rPr>
        <w:t>.</w:t>
      </w:r>
      <w:r w:rsidRPr="00557191">
        <w:rPr>
          <w:rFonts w:cs="Arial"/>
          <w:rtl/>
        </w:rPr>
        <w:t xml:space="preserve"> נמצא שתנאי הכתובה אינו עוקר התנאי הראשון כלל</w:t>
      </w:r>
      <w:r w:rsidR="00730AB6">
        <w:rPr>
          <w:rFonts w:cs="Arial" w:hint="cs"/>
          <w:rtl/>
        </w:rPr>
        <w:t>,</w:t>
      </w:r>
      <w:r w:rsidRPr="00557191">
        <w:rPr>
          <w:rFonts w:cs="Arial"/>
          <w:rtl/>
        </w:rPr>
        <w:t xml:space="preserve"> ואם אינה רוצה לדור עמו במקומו אינו חייב במזונותיה</w:t>
      </w:r>
      <w:r w:rsidR="0045345B">
        <w:rPr>
          <w:rFonts w:cs="Arial" w:hint="cs"/>
          <w:sz w:val="16"/>
          <w:szCs w:val="16"/>
          <w:rtl/>
        </w:rPr>
        <w:t xml:space="preserve"> (ל' הטור בשם הרא"ש)</w:t>
      </w:r>
      <w:r>
        <w:rPr>
          <w:rFonts w:cs="Arial" w:hint="cs"/>
          <w:rtl/>
        </w:rPr>
        <w:t>.</w:t>
      </w:r>
    </w:p>
    <w:p w14:paraId="5D7E2A4E" w14:textId="77777777" w:rsidR="00A265D1" w:rsidRDefault="00A265D1" w:rsidP="00A265D1">
      <w:pPr>
        <w:rPr>
          <w:rFonts w:cs="Arial"/>
          <w:rtl/>
        </w:rPr>
      </w:pPr>
      <w:r w:rsidRPr="003024E5">
        <w:rPr>
          <w:rFonts w:asciiTheme="minorBidi" w:hAnsiTheme="minorBidi"/>
          <w:b/>
          <w:bCs/>
          <w:color w:val="000000"/>
          <w:sz w:val="28"/>
          <w:szCs w:val="28"/>
          <w:u w:val="single"/>
          <w:rtl/>
        </w:rPr>
        <w:t>שו"ע:</w:t>
      </w:r>
    </w:p>
    <w:p w14:paraId="1A0E3291" w14:textId="6089CABE" w:rsidR="00471D63" w:rsidRDefault="00471D63" w:rsidP="00471D63">
      <w:pPr>
        <w:rPr>
          <w:rtl/>
        </w:rPr>
      </w:pPr>
      <w:r>
        <w:rPr>
          <w:rFonts w:cs="Arial"/>
          <w:rtl/>
        </w:rPr>
        <w:t>אמר האיש לעלות לא</w:t>
      </w:r>
      <w:r w:rsidR="00874F54">
        <w:rPr>
          <w:rFonts w:cs="Arial" w:hint="cs"/>
          <w:rtl/>
        </w:rPr>
        <w:t xml:space="preserve">רץ </w:t>
      </w:r>
      <w:r>
        <w:rPr>
          <w:rFonts w:cs="Arial"/>
          <w:rtl/>
        </w:rPr>
        <w:t>י</w:t>
      </w:r>
      <w:r w:rsidR="00874F54">
        <w:rPr>
          <w:rFonts w:cs="Arial" w:hint="cs"/>
          <w:rtl/>
        </w:rPr>
        <w:t>שראל</w:t>
      </w:r>
      <w:r>
        <w:rPr>
          <w:rFonts w:cs="Arial"/>
          <w:rtl/>
        </w:rPr>
        <w:t>, והיא אינה רוצה, תצא בלא כתובה.</w:t>
      </w:r>
      <w:r w:rsidRPr="00874F54">
        <w:rPr>
          <w:rFonts w:cs="Arial"/>
          <w:sz w:val="18"/>
          <w:szCs w:val="18"/>
          <w:rtl/>
        </w:rPr>
        <w:t xml:space="preserve"> הגה: אבל נכסי מלוג שלה ונ</w:t>
      </w:r>
      <w:r w:rsidR="007A617E">
        <w:rPr>
          <w:rFonts w:cs="Arial" w:hint="cs"/>
          <w:sz w:val="18"/>
          <w:szCs w:val="18"/>
          <w:rtl/>
        </w:rPr>
        <w:t xml:space="preserve">כסי </w:t>
      </w:r>
      <w:r w:rsidR="007A617E">
        <w:rPr>
          <w:rFonts w:cs="Arial"/>
          <w:sz w:val="18"/>
          <w:szCs w:val="18"/>
          <w:rtl/>
        </w:rPr>
        <w:t>צאן ברזל</w:t>
      </w:r>
      <w:r w:rsidRPr="00874F54">
        <w:rPr>
          <w:rFonts w:cs="Arial"/>
          <w:sz w:val="18"/>
          <w:szCs w:val="18"/>
          <w:rtl/>
        </w:rPr>
        <w:t xml:space="preserve"> הקיימים, נוטלת</w:t>
      </w:r>
      <w:r w:rsidR="000E2015">
        <w:rPr>
          <w:rFonts w:cs="Arial" w:hint="cs"/>
          <w:sz w:val="18"/>
          <w:szCs w:val="18"/>
          <w:rtl/>
        </w:rPr>
        <w:t>.</w:t>
      </w:r>
      <w:r w:rsidRPr="00874F54">
        <w:rPr>
          <w:rFonts w:cs="Arial"/>
          <w:sz w:val="18"/>
          <w:szCs w:val="18"/>
          <w:rtl/>
        </w:rPr>
        <w:t xml:space="preserve"> ואם אינם קיימים, אם הוא הפסידן, נ</w:t>
      </w:r>
      <w:r w:rsidR="007A617E">
        <w:rPr>
          <w:rFonts w:cs="Arial" w:hint="cs"/>
          <w:sz w:val="18"/>
          <w:szCs w:val="18"/>
          <w:rtl/>
        </w:rPr>
        <w:t xml:space="preserve">כסי </w:t>
      </w:r>
      <w:r w:rsidR="007A617E">
        <w:rPr>
          <w:rFonts w:cs="Arial"/>
          <w:sz w:val="18"/>
          <w:szCs w:val="18"/>
          <w:rtl/>
        </w:rPr>
        <w:t>צאן ברזל</w:t>
      </w:r>
      <w:r w:rsidRPr="00874F54">
        <w:rPr>
          <w:rFonts w:cs="Arial"/>
          <w:sz w:val="18"/>
          <w:szCs w:val="18"/>
          <w:rtl/>
        </w:rPr>
        <w:t xml:space="preserve"> א"צ לשלם, ונ</w:t>
      </w:r>
      <w:r w:rsidR="000E2015">
        <w:rPr>
          <w:rFonts w:cs="Arial" w:hint="cs"/>
          <w:sz w:val="18"/>
          <w:szCs w:val="18"/>
          <w:rtl/>
        </w:rPr>
        <w:t xml:space="preserve">כסני </w:t>
      </w:r>
      <w:r w:rsidRPr="00874F54">
        <w:rPr>
          <w:rFonts w:cs="Arial"/>
          <w:sz w:val="18"/>
          <w:szCs w:val="18"/>
          <w:rtl/>
        </w:rPr>
        <w:t>מ</w:t>
      </w:r>
      <w:r w:rsidR="000E2015">
        <w:rPr>
          <w:rFonts w:cs="Arial" w:hint="cs"/>
          <w:sz w:val="18"/>
          <w:szCs w:val="18"/>
          <w:rtl/>
        </w:rPr>
        <w:t>לוג</w:t>
      </w:r>
      <w:r w:rsidRPr="00874F54">
        <w:rPr>
          <w:rFonts w:cs="Arial"/>
          <w:sz w:val="18"/>
          <w:szCs w:val="18"/>
          <w:rtl/>
        </w:rPr>
        <w:t xml:space="preserve"> צריך לשלם. ואם נגנבו או נאבדו, נ</w:t>
      </w:r>
      <w:r w:rsidR="000E2015">
        <w:rPr>
          <w:rFonts w:cs="Arial" w:hint="cs"/>
          <w:sz w:val="18"/>
          <w:szCs w:val="18"/>
          <w:rtl/>
        </w:rPr>
        <w:t xml:space="preserve">כסי </w:t>
      </w:r>
      <w:r w:rsidRPr="00874F54">
        <w:rPr>
          <w:rFonts w:cs="Arial"/>
          <w:sz w:val="18"/>
          <w:szCs w:val="18"/>
          <w:rtl/>
        </w:rPr>
        <w:t>מ</w:t>
      </w:r>
      <w:r w:rsidR="000E2015">
        <w:rPr>
          <w:rFonts w:cs="Arial" w:hint="cs"/>
          <w:sz w:val="18"/>
          <w:szCs w:val="18"/>
          <w:rtl/>
        </w:rPr>
        <w:t>לוג</w:t>
      </w:r>
      <w:r w:rsidRPr="00874F54">
        <w:rPr>
          <w:rFonts w:cs="Arial"/>
          <w:sz w:val="18"/>
          <w:szCs w:val="18"/>
          <w:rtl/>
        </w:rPr>
        <w:t xml:space="preserve"> לית לה, ו</w:t>
      </w:r>
      <w:r w:rsidR="007A617E">
        <w:rPr>
          <w:rFonts w:cs="Arial"/>
          <w:sz w:val="18"/>
          <w:szCs w:val="18"/>
          <w:rtl/>
        </w:rPr>
        <w:t>נכסי צאן ברזל</w:t>
      </w:r>
      <w:r w:rsidRPr="00874F54">
        <w:rPr>
          <w:rFonts w:cs="Arial"/>
          <w:sz w:val="18"/>
          <w:szCs w:val="18"/>
          <w:rtl/>
        </w:rPr>
        <w:t xml:space="preserve"> צריך לשלם</w:t>
      </w:r>
      <w:r w:rsidR="000E2015">
        <w:rPr>
          <w:rFonts w:cs="Arial" w:hint="cs"/>
          <w:sz w:val="18"/>
          <w:szCs w:val="18"/>
          <w:rtl/>
        </w:rPr>
        <w:t>.</w:t>
      </w:r>
      <w:r w:rsidRPr="00874F54">
        <w:rPr>
          <w:rFonts w:cs="Arial"/>
          <w:sz w:val="18"/>
          <w:szCs w:val="18"/>
          <w:rtl/>
        </w:rPr>
        <w:t xml:space="preserve"> והא דכתובה אין לה, דוקא שנשאר בא"י, אבל אם הוא חוזר לסוף כמה שנים להתיישב בחו"ל, צריך לשלם לה או ליורשיה אף הכתובה (</w:t>
      </w:r>
      <w:r w:rsidR="005B353B">
        <w:rPr>
          <w:rFonts w:cs="Arial" w:hint="cs"/>
          <w:sz w:val="18"/>
          <w:szCs w:val="18"/>
          <w:rtl/>
        </w:rPr>
        <w:t>מרדכי בשם מהר"ם</w:t>
      </w:r>
      <w:r w:rsidRPr="00874F54">
        <w:rPr>
          <w:rFonts w:cs="Arial"/>
          <w:sz w:val="18"/>
          <w:szCs w:val="18"/>
          <w:rtl/>
        </w:rPr>
        <w:t>).</w:t>
      </w:r>
      <w:r>
        <w:rPr>
          <w:rFonts w:cs="Arial"/>
          <w:rtl/>
        </w:rPr>
        <w:t xml:space="preserve"> אמרה היא לעלות, והוא אינו רוצה, יוציא ויתן כתובה</w:t>
      </w:r>
      <w:r w:rsidR="001E1F2D">
        <w:rPr>
          <w:rFonts w:cs="Arial" w:hint="cs"/>
          <w:rtl/>
        </w:rPr>
        <w:t>.</w:t>
      </w:r>
      <w:r>
        <w:rPr>
          <w:rFonts w:cs="Arial"/>
          <w:rtl/>
        </w:rPr>
        <w:t xml:space="preserve"> וה</w:t>
      </w:r>
      <w:r w:rsidR="00874F54">
        <w:rPr>
          <w:rFonts w:cs="Arial" w:hint="cs"/>
          <w:rtl/>
        </w:rPr>
        <w:t xml:space="preserve">וא </w:t>
      </w:r>
      <w:r>
        <w:rPr>
          <w:rFonts w:cs="Arial"/>
          <w:rtl/>
        </w:rPr>
        <w:t>ה</w:t>
      </w:r>
      <w:r w:rsidR="00874F54">
        <w:rPr>
          <w:rFonts w:cs="Arial" w:hint="cs"/>
          <w:rtl/>
        </w:rPr>
        <w:t>דין</w:t>
      </w:r>
      <w:r>
        <w:rPr>
          <w:rFonts w:cs="Arial"/>
          <w:rtl/>
        </w:rPr>
        <w:t xml:space="preserve"> לכל מקום מא</w:t>
      </w:r>
      <w:r w:rsidR="00874F54">
        <w:rPr>
          <w:rFonts w:cs="Arial" w:hint="cs"/>
          <w:rtl/>
        </w:rPr>
        <w:t xml:space="preserve">רץ </w:t>
      </w:r>
      <w:r>
        <w:rPr>
          <w:rFonts w:cs="Arial"/>
          <w:rtl/>
        </w:rPr>
        <w:t>י</w:t>
      </w:r>
      <w:r w:rsidR="00874F54">
        <w:rPr>
          <w:rFonts w:cs="Arial" w:hint="cs"/>
          <w:rtl/>
        </w:rPr>
        <w:t>שראל</w:t>
      </w:r>
      <w:r>
        <w:rPr>
          <w:rFonts w:cs="Arial"/>
          <w:rtl/>
        </w:rPr>
        <w:t xml:space="preserve"> לירושלים, שהכל מעלין לא</w:t>
      </w:r>
      <w:r w:rsidR="00874F54">
        <w:rPr>
          <w:rFonts w:cs="Arial" w:hint="cs"/>
          <w:rtl/>
        </w:rPr>
        <w:t>רץ ישראל</w:t>
      </w:r>
      <w:r>
        <w:rPr>
          <w:rFonts w:cs="Arial"/>
          <w:rtl/>
        </w:rPr>
        <w:t>, ואין הכל מוציאין משם</w:t>
      </w:r>
      <w:r w:rsidR="00874F54">
        <w:rPr>
          <w:rFonts w:cs="Arial" w:hint="cs"/>
          <w:rtl/>
        </w:rPr>
        <w:t>.</w:t>
      </w:r>
      <w:r>
        <w:rPr>
          <w:rFonts w:cs="Arial"/>
          <w:rtl/>
        </w:rPr>
        <w:t xml:space="preserve"> הכל מעלין לירושלים, ואין הכל מוציאין משם. </w:t>
      </w:r>
    </w:p>
    <w:p w14:paraId="754922E3" w14:textId="77777777" w:rsidR="00242605" w:rsidRDefault="00242605" w:rsidP="00471D63">
      <w:pPr>
        <w:rPr>
          <w:rtl/>
        </w:rPr>
      </w:pPr>
    </w:p>
    <w:p w14:paraId="2DB6A74A" w14:textId="2BBE4BBD" w:rsidR="00471D63" w:rsidRDefault="00471D63" w:rsidP="000F64D0">
      <w:pPr>
        <w:pStyle w:val="2"/>
        <w:rPr>
          <w:rtl/>
        </w:rPr>
      </w:pPr>
      <w:r>
        <w:rPr>
          <w:rtl/>
        </w:rPr>
        <w:lastRenderedPageBreak/>
        <w:t>סעיף ה</w:t>
      </w:r>
      <w:r w:rsidR="00242605">
        <w:rPr>
          <w:rFonts w:hint="cs"/>
          <w:rtl/>
        </w:rPr>
        <w:t>:</w:t>
      </w:r>
      <w:r w:rsidR="005B353B" w:rsidRPr="005B353B">
        <w:rPr>
          <w:rFonts w:hint="cs"/>
          <w:rtl/>
        </w:rPr>
        <w:t xml:space="preserve"> </w:t>
      </w:r>
      <w:r w:rsidR="005B353B">
        <w:rPr>
          <w:rFonts w:hint="cs"/>
          <w:rtl/>
        </w:rPr>
        <w:t>כפייה לעלות לארץ ישראל כשיש סכנה בדרכים.</w:t>
      </w:r>
    </w:p>
    <w:p w14:paraId="5F7743D6" w14:textId="77777777" w:rsidR="002E2906" w:rsidRPr="003820EC" w:rsidRDefault="002E2906" w:rsidP="002E2906">
      <w:pPr>
        <w:rPr>
          <w:rFonts w:cs="Arial"/>
          <w:sz w:val="16"/>
          <w:szCs w:val="16"/>
          <w:rtl/>
        </w:rPr>
      </w:pPr>
      <w:r w:rsidRPr="009941D4">
        <w:rPr>
          <w:rFonts w:cs="Arial" w:hint="cs"/>
          <w:b/>
          <w:bCs/>
          <w:rtl/>
        </w:rPr>
        <w:t xml:space="preserve">ירושלמי כתובות פי"ג הי"א: </w:t>
      </w:r>
      <w:r w:rsidRPr="009941D4">
        <w:rPr>
          <w:rFonts w:cs="Arial"/>
          <w:u w:val="double"/>
          <w:rtl/>
        </w:rPr>
        <w:t>מתני'</w:t>
      </w:r>
      <w:r w:rsidRPr="009941D4">
        <w:rPr>
          <w:rFonts w:cs="Arial" w:hint="cs"/>
          <w:rtl/>
        </w:rPr>
        <w:t>:</w:t>
      </w:r>
      <w:r w:rsidRPr="009941D4">
        <w:rPr>
          <w:rFonts w:cs="Arial"/>
          <w:rtl/>
        </w:rPr>
        <w:t xml:space="preserve"> הכל מעלין לארץ ישראל ואין הכל מוציאין</w:t>
      </w:r>
      <w:r w:rsidRPr="009941D4">
        <w:rPr>
          <w:rFonts w:cs="Arial" w:hint="cs"/>
          <w:rtl/>
        </w:rPr>
        <w:t>.</w:t>
      </w:r>
      <w:r w:rsidRPr="009941D4">
        <w:rPr>
          <w:rFonts w:cs="Arial"/>
          <w:rtl/>
        </w:rPr>
        <w:t xml:space="preserve"> הכל מעלין לירושלם ואין הכל מוציאין</w:t>
      </w:r>
      <w:r w:rsidRPr="009941D4">
        <w:rPr>
          <w:rFonts w:cs="Arial" w:hint="cs"/>
          <w:rtl/>
        </w:rPr>
        <w:t>.</w:t>
      </w:r>
      <w:r w:rsidRPr="009941D4">
        <w:rPr>
          <w:rFonts w:cs="Arial"/>
          <w:rtl/>
        </w:rPr>
        <w:t xml:space="preserve"> אחד אנשים ואחד נשים</w:t>
      </w:r>
      <w:r w:rsidRPr="009941D4">
        <w:rPr>
          <w:rFonts w:cs="Arial" w:hint="cs"/>
          <w:rtl/>
        </w:rPr>
        <w:t xml:space="preserve">...    </w:t>
      </w:r>
      <w:r w:rsidRPr="009941D4">
        <w:rPr>
          <w:rFonts w:cs="Arial" w:hint="cs"/>
          <w:u w:val="double"/>
          <w:rtl/>
        </w:rPr>
        <w:t>גמ'</w:t>
      </w:r>
      <w:r w:rsidRPr="009941D4">
        <w:rPr>
          <w:rFonts w:cs="Arial" w:hint="cs"/>
          <w:rtl/>
        </w:rPr>
        <w:t>:</w:t>
      </w:r>
      <w:r w:rsidRPr="009941D4">
        <w:rPr>
          <w:rFonts w:cs="Arial"/>
          <w:rtl/>
        </w:rPr>
        <w:t xml:space="preserve"> הוא רוצה לעלות לארץ ישראל</w:t>
      </w:r>
      <w:r w:rsidRPr="009941D4">
        <w:rPr>
          <w:rFonts w:cs="Arial" w:hint="cs"/>
          <w:rtl/>
        </w:rPr>
        <w:t>,</w:t>
      </w:r>
      <w:r w:rsidRPr="009941D4">
        <w:rPr>
          <w:rFonts w:cs="Arial"/>
          <w:rtl/>
        </w:rPr>
        <w:t xml:space="preserve"> והיא אינה רוצה </w:t>
      </w:r>
      <w:r w:rsidRPr="009941D4">
        <w:rPr>
          <w:rFonts w:cs="Arial" w:hint="cs"/>
          <w:rtl/>
        </w:rPr>
        <w:t xml:space="preserve">- </w:t>
      </w:r>
      <w:r w:rsidRPr="009941D4">
        <w:rPr>
          <w:rFonts w:cs="Arial"/>
          <w:rtl/>
        </w:rPr>
        <w:t>כופין אותה לעלות</w:t>
      </w:r>
      <w:r w:rsidRPr="009941D4">
        <w:rPr>
          <w:rFonts w:cs="Arial" w:hint="cs"/>
          <w:rtl/>
        </w:rPr>
        <w:t>.</w:t>
      </w:r>
      <w:r w:rsidRPr="009941D4">
        <w:rPr>
          <w:rFonts w:cs="Arial"/>
          <w:rtl/>
        </w:rPr>
        <w:t xml:space="preserve"> היא רוצה</w:t>
      </w:r>
      <w:r w:rsidRPr="009941D4">
        <w:rPr>
          <w:rFonts w:cs="Arial" w:hint="cs"/>
          <w:rtl/>
        </w:rPr>
        <w:t>,</w:t>
      </w:r>
      <w:r w:rsidRPr="009941D4">
        <w:rPr>
          <w:rFonts w:cs="Arial"/>
          <w:rtl/>
        </w:rPr>
        <w:t xml:space="preserve"> והוא אינו רוצה </w:t>
      </w:r>
      <w:r w:rsidRPr="009941D4">
        <w:rPr>
          <w:rFonts w:cs="Arial" w:hint="cs"/>
          <w:rtl/>
        </w:rPr>
        <w:t xml:space="preserve">- </w:t>
      </w:r>
      <w:r w:rsidRPr="009941D4">
        <w:rPr>
          <w:rFonts w:cs="Arial"/>
          <w:rtl/>
        </w:rPr>
        <w:t>אין כופין אותו לעלות</w:t>
      </w:r>
      <w:r w:rsidRPr="009941D4">
        <w:rPr>
          <w:rFonts w:cs="Arial" w:hint="cs"/>
          <w:rtl/>
        </w:rPr>
        <w:t>.</w:t>
      </w:r>
      <w:r w:rsidRPr="009941D4">
        <w:rPr>
          <w:rFonts w:cs="Arial"/>
          <w:rtl/>
        </w:rPr>
        <w:t xml:space="preserve"> הוא רוצה לעלות לירושלם</w:t>
      </w:r>
      <w:r w:rsidRPr="009941D4">
        <w:rPr>
          <w:rFonts w:cs="Arial" w:hint="cs"/>
          <w:rtl/>
        </w:rPr>
        <w:t>,</w:t>
      </w:r>
      <w:r w:rsidRPr="009941D4">
        <w:rPr>
          <w:rFonts w:cs="Arial"/>
          <w:rtl/>
        </w:rPr>
        <w:t xml:space="preserve"> והיא אינה רוצה</w:t>
      </w:r>
      <w:r w:rsidRPr="009941D4">
        <w:rPr>
          <w:rFonts w:cs="Arial" w:hint="cs"/>
          <w:rtl/>
        </w:rPr>
        <w:t xml:space="preserve"> -</w:t>
      </w:r>
      <w:r w:rsidRPr="009941D4">
        <w:rPr>
          <w:rFonts w:cs="Arial"/>
          <w:rtl/>
        </w:rPr>
        <w:t xml:space="preserve"> כופין אותה לעלות</w:t>
      </w:r>
      <w:r w:rsidRPr="009941D4">
        <w:rPr>
          <w:rFonts w:cs="Arial" w:hint="cs"/>
          <w:rtl/>
        </w:rPr>
        <w:t>.</w:t>
      </w:r>
      <w:r w:rsidRPr="009941D4">
        <w:rPr>
          <w:rFonts w:cs="Arial"/>
          <w:rtl/>
        </w:rPr>
        <w:t xml:space="preserve"> היא רוצה לעלות</w:t>
      </w:r>
      <w:r w:rsidRPr="009941D4">
        <w:rPr>
          <w:rFonts w:cs="Arial" w:hint="cs"/>
          <w:rtl/>
        </w:rPr>
        <w:t>,</w:t>
      </w:r>
      <w:r w:rsidRPr="009941D4">
        <w:rPr>
          <w:rFonts w:cs="Arial"/>
          <w:rtl/>
        </w:rPr>
        <w:t xml:space="preserve"> והוא אינו רוצה </w:t>
      </w:r>
      <w:r w:rsidRPr="009941D4">
        <w:rPr>
          <w:rFonts w:cs="Arial" w:hint="cs"/>
          <w:rtl/>
        </w:rPr>
        <w:t xml:space="preserve">- </w:t>
      </w:r>
      <w:r w:rsidRPr="009941D4">
        <w:rPr>
          <w:rFonts w:cs="Arial"/>
          <w:rtl/>
        </w:rPr>
        <w:t>אין כופין אותו לעלות</w:t>
      </w:r>
      <w:r w:rsidRPr="009941D4">
        <w:rPr>
          <w:rFonts w:cs="Arial" w:hint="cs"/>
          <w:rtl/>
        </w:rPr>
        <w:t>.</w:t>
      </w:r>
      <w:r w:rsidRPr="009941D4">
        <w:rPr>
          <w:rFonts w:cs="Arial"/>
          <w:rtl/>
        </w:rPr>
        <w:t xml:space="preserve"> הוא רוצה לצאת לח"ל</w:t>
      </w:r>
      <w:r w:rsidRPr="009941D4">
        <w:rPr>
          <w:rFonts w:cs="Arial" w:hint="cs"/>
          <w:rtl/>
        </w:rPr>
        <w:t>,</w:t>
      </w:r>
      <w:r w:rsidRPr="009941D4">
        <w:rPr>
          <w:rFonts w:cs="Arial"/>
          <w:rtl/>
        </w:rPr>
        <w:t xml:space="preserve"> והיא אינה רוצה </w:t>
      </w:r>
      <w:r w:rsidRPr="009941D4">
        <w:rPr>
          <w:rFonts w:cs="Arial" w:hint="cs"/>
          <w:rtl/>
        </w:rPr>
        <w:t xml:space="preserve">- </w:t>
      </w:r>
      <w:r w:rsidRPr="009941D4">
        <w:rPr>
          <w:rFonts w:cs="Arial"/>
          <w:rtl/>
        </w:rPr>
        <w:t>אין כופין אותה לצאת</w:t>
      </w:r>
      <w:r w:rsidRPr="009941D4">
        <w:rPr>
          <w:rFonts w:cs="Arial" w:hint="cs"/>
          <w:rtl/>
        </w:rPr>
        <w:t>.</w:t>
      </w:r>
      <w:r w:rsidRPr="009941D4">
        <w:rPr>
          <w:rFonts w:cs="Arial"/>
          <w:rtl/>
        </w:rPr>
        <w:t xml:space="preserve"> היא רוצה לצאת</w:t>
      </w:r>
      <w:r w:rsidRPr="009941D4">
        <w:rPr>
          <w:rFonts w:cs="Arial" w:hint="cs"/>
          <w:rtl/>
        </w:rPr>
        <w:t>,</w:t>
      </w:r>
      <w:r w:rsidRPr="009941D4">
        <w:rPr>
          <w:rFonts w:cs="Arial"/>
          <w:rtl/>
        </w:rPr>
        <w:t xml:space="preserve"> והוא אינו רוצה </w:t>
      </w:r>
      <w:r w:rsidRPr="009941D4">
        <w:rPr>
          <w:rFonts w:cs="Arial" w:hint="cs"/>
          <w:rtl/>
        </w:rPr>
        <w:t xml:space="preserve">- </w:t>
      </w:r>
      <w:r w:rsidRPr="009941D4">
        <w:rPr>
          <w:rFonts w:cs="Arial"/>
          <w:rtl/>
        </w:rPr>
        <w:t>כופין אותה שלא לצאת</w:t>
      </w:r>
      <w:r>
        <w:rPr>
          <w:rFonts w:hint="cs"/>
          <w:rtl/>
        </w:rPr>
        <w:t>.</w:t>
      </w:r>
      <w:r w:rsidRPr="009941D4">
        <w:rPr>
          <w:rFonts w:cs="Arial"/>
          <w:sz w:val="16"/>
          <w:szCs w:val="16"/>
          <w:rtl/>
        </w:rPr>
        <w:t xml:space="preserve"> </w:t>
      </w:r>
      <w:r w:rsidRPr="009941D4">
        <w:rPr>
          <w:rFonts w:cs="Arial" w:hint="cs"/>
          <w:sz w:val="16"/>
          <w:szCs w:val="16"/>
          <w:rtl/>
        </w:rPr>
        <w:t>(</w:t>
      </w:r>
      <w:r w:rsidRPr="00AA5DA0">
        <w:rPr>
          <w:rFonts w:cs="Arial"/>
          <w:sz w:val="16"/>
          <w:szCs w:val="16"/>
          <w:rtl/>
        </w:rPr>
        <w:t>וההיא דירושלמי דפליג אגמרא דידן</w:t>
      </w:r>
      <w:r>
        <w:rPr>
          <w:rFonts w:cs="Arial" w:hint="cs"/>
          <w:sz w:val="16"/>
          <w:szCs w:val="16"/>
          <w:rtl/>
        </w:rPr>
        <w:t>,</w:t>
      </w:r>
      <w:r w:rsidRPr="00AA5DA0">
        <w:rPr>
          <w:rFonts w:cs="Arial"/>
          <w:sz w:val="16"/>
          <w:szCs w:val="16"/>
          <w:rtl/>
        </w:rPr>
        <w:t xml:space="preserve"> דקאמר </w:t>
      </w:r>
      <w:r>
        <w:rPr>
          <w:rFonts w:cs="Arial" w:hint="cs"/>
          <w:sz w:val="14"/>
          <w:szCs w:val="14"/>
          <w:rtl/>
        </w:rPr>
        <w:t xml:space="preserve">{הירושלמי} </w:t>
      </w:r>
      <w:r w:rsidRPr="00AA5DA0">
        <w:rPr>
          <w:rFonts w:cs="Arial"/>
          <w:sz w:val="16"/>
          <w:szCs w:val="16"/>
          <w:rtl/>
        </w:rPr>
        <w:t>אין כופין האיש לעלות אחר האשה לארץ ישראל ולירושלים</w:t>
      </w:r>
      <w:r>
        <w:rPr>
          <w:rFonts w:cs="Arial" w:hint="cs"/>
          <w:sz w:val="16"/>
          <w:szCs w:val="16"/>
          <w:rtl/>
        </w:rPr>
        <w:t>,</w:t>
      </w:r>
      <w:r w:rsidRPr="00AA5DA0">
        <w:rPr>
          <w:rFonts w:cs="Arial"/>
          <w:sz w:val="16"/>
          <w:szCs w:val="16"/>
          <w:rtl/>
        </w:rPr>
        <w:t xml:space="preserve"> פירש רבינו מאיר דאיירי בזמן הזה</w:t>
      </w:r>
      <w:r>
        <w:rPr>
          <w:rFonts w:cs="Arial" w:hint="cs"/>
          <w:sz w:val="16"/>
          <w:szCs w:val="16"/>
          <w:rtl/>
        </w:rPr>
        <w:t>,</w:t>
      </w:r>
      <w:r w:rsidRPr="00AA5DA0">
        <w:rPr>
          <w:rFonts w:cs="Arial"/>
          <w:sz w:val="16"/>
          <w:szCs w:val="16"/>
          <w:rtl/>
        </w:rPr>
        <w:t xml:space="preserve"> ומשנתינו נישנית בזמן הבית</w:t>
      </w:r>
      <w:r>
        <w:rPr>
          <w:rFonts w:cs="Arial" w:hint="cs"/>
          <w:sz w:val="16"/>
          <w:szCs w:val="16"/>
          <w:rtl/>
        </w:rPr>
        <w:t xml:space="preserve">, </w:t>
      </w:r>
      <w:r w:rsidRPr="00F14F27">
        <w:rPr>
          <w:rFonts w:cs="Arial"/>
          <w:b/>
          <w:bCs/>
          <w:sz w:val="16"/>
          <w:szCs w:val="16"/>
          <w:rtl/>
        </w:rPr>
        <w:t>רא"ש</w:t>
      </w:r>
      <w:r w:rsidRPr="009941D4">
        <w:rPr>
          <w:rFonts w:cs="Arial"/>
          <w:sz w:val="16"/>
          <w:szCs w:val="16"/>
          <w:rtl/>
        </w:rPr>
        <w:t xml:space="preserve"> </w:t>
      </w:r>
      <w:r>
        <w:rPr>
          <w:rFonts w:cs="Arial" w:hint="cs"/>
          <w:sz w:val="16"/>
          <w:szCs w:val="16"/>
          <w:rtl/>
        </w:rPr>
        <w:t>(</w:t>
      </w:r>
      <w:r w:rsidRPr="009941D4">
        <w:rPr>
          <w:rFonts w:cs="Arial"/>
          <w:sz w:val="16"/>
          <w:szCs w:val="16"/>
          <w:rtl/>
        </w:rPr>
        <w:t xml:space="preserve">כתובות </w:t>
      </w:r>
      <w:r>
        <w:rPr>
          <w:rFonts w:cs="Arial" w:hint="cs"/>
          <w:sz w:val="16"/>
          <w:szCs w:val="16"/>
          <w:rtl/>
        </w:rPr>
        <w:t xml:space="preserve">פי"ג </w:t>
      </w:r>
      <w:r w:rsidRPr="009941D4">
        <w:rPr>
          <w:rFonts w:cs="Arial"/>
          <w:sz w:val="16"/>
          <w:szCs w:val="16"/>
          <w:rtl/>
        </w:rPr>
        <w:t>סי' יז)</w:t>
      </w:r>
      <w:r>
        <w:rPr>
          <w:rFonts w:cs="Arial" w:hint="cs"/>
          <w:sz w:val="16"/>
          <w:szCs w:val="16"/>
          <w:rtl/>
        </w:rPr>
        <w:t>.</w:t>
      </w:r>
      <w:r w:rsidRPr="009941D4">
        <w:rPr>
          <w:rFonts w:cs="Arial"/>
          <w:sz w:val="16"/>
          <w:szCs w:val="16"/>
          <w:rtl/>
        </w:rPr>
        <w:t xml:space="preserve"> </w:t>
      </w:r>
      <w:r>
        <w:rPr>
          <w:rFonts w:cs="Arial" w:hint="cs"/>
          <w:sz w:val="16"/>
          <w:szCs w:val="16"/>
          <w:rtl/>
        </w:rPr>
        <w:t xml:space="preserve">וכ"כ </w:t>
      </w:r>
      <w:r w:rsidRPr="00F14F27">
        <w:rPr>
          <w:rFonts w:cs="Arial"/>
          <w:b/>
          <w:bCs/>
          <w:sz w:val="16"/>
          <w:szCs w:val="16"/>
          <w:rtl/>
        </w:rPr>
        <w:t>המרדכי</w:t>
      </w:r>
      <w:r w:rsidRPr="009941D4">
        <w:rPr>
          <w:rFonts w:cs="Arial"/>
          <w:sz w:val="16"/>
          <w:szCs w:val="16"/>
          <w:rtl/>
        </w:rPr>
        <w:t xml:space="preserve"> (סי' רפ) </w:t>
      </w:r>
      <w:r>
        <w:rPr>
          <w:rFonts w:cs="Arial" w:hint="cs"/>
          <w:sz w:val="16"/>
          <w:szCs w:val="16"/>
          <w:rtl/>
        </w:rPr>
        <w:t xml:space="preserve">בשם מהר"ם.       </w:t>
      </w:r>
      <w:r w:rsidRPr="009941D4">
        <w:rPr>
          <w:rFonts w:cs="Arial"/>
          <w:sz w:val="16"/>
          <w:szCs w:val="16"/>
          <w:rtl/>
        </w:rPr>
        <w:t xml:space="preserve">ורבינו המחבר </w:t>
      </w:r>
      <w:r w:rsidRPr="009941D4">
        <w:rPr>
          <w:rFonts w:cs="Arial" w:hint="cs"/>
          <w:sz w:val="14"/>
          <w:szCs w:val="14"/>
          <w:rtl/>
        </w:rPr>
        <w:t>{הטור}</w:t>
      </w:r>
      <w:r w:rsidRPr="009941D4">
        <w:rPr>
          <w:rFonts w:cs="Arial" w:hint="cs"/>
          <w:sz w:val="14"/>
          <w:szCs w:val="14"/>
        </w:rPr>
        <w:t xml:space="preserve"> </w:t>
      </w:r>
      <w:r w:rsidRPr="009941D4">
        <w:rPr>
          <w:rFonts w:cs="Arial"/>
          <w:sz w:val="16"/>
          <w:szCs w:val="16"/>
          <w:rtl/>
        </w:rPr>
        <w:t>כתב שאין תירוץ זה מספיק</w:t>
      </w:r>
      <w:r>
        <w:rPr>
          <w:rFonts w:cs="Arial" w:hint="cs"/>
          <w:sz w:val="16"/>
          <w:szCs w:val="16"/>
          <w:rtl/>
        </w:rPr>
        <w:t>,</w:t>
      </w:r>
      <w:r w:rsidRPr="009941D4">
        <w:rPr>
          <w:rFonts w:cs="Arial"/>
          <w:sz w:val="16"/>
          <w:szCs w:val="16"/>
          <w:rtl/>
        </w:rPr>
        <w:t xml:space="preserve"> דאי איירי בזמן הזה למה כופין אותה</w:t>
      </w:r>
      <w:r w:rsidRPr="009941D4">
        <w:rPr>
          <w:rFonts w:cs="Arial" w:hint="cs"/>
          <w:sz w:val="16"/>
          <w:szCs w:val="16"/>
          <w:rtl/>
        </w:rPr>
        <w:t>.</w:t>
      </w:r>
      <w:r w:rsidRPr="009941D4">
        <w:rPr>
          <w:rFonts w:cs="Arial"/>
          <w:sz w:val="16"/>
          <w:szCs w:val="16"/>
          <w:rtl/>
        </w:rPr>
        <w:t xml:space="preserve"> ולי נראה דאיפשר לומר דלא ראו חכמים לגרוע כח האיש לגבי ארץ ישראל וירושלם אפילו בזמן הזה</w:t>
      </w:r>
      <w:r w:rsidRPr="009941D4">
        <w:rPr>
          <w:rFonts w:cs="Arial" w:hint="cs"/>
          <w:sz w:val="16"/>
          <w:szCs w:val="16"/>
          <w:rtl/>
        </w:rPr>
        <w:t>,</w:t>
      </w:r>
      <w:r w:rsidRPr="009941D4">
        <w:rPr>
          <w:rFonts w:cs="Arial"/>
          <w:sz w:val="16"/>
          <w:szCs w:val="16"/>
          <w:rtl/>
        </w:rPr>
        <w:t xml:space="preserve"> ועיין בתשובה שכתבתי בסוף סימן זה</w:t>
      </w:r>
      <w:r w:rsidRPr="009941D4">
        <w:rPr>
          <w:rFonts w:cs="Arial" w:hint="cs"/>
          <w:sz w:val="16"/>
          <w:szCs w:val="16"/>
          <w:rtl/>
        </w:rPr>
        <w:t>.</w:t>
      </w:r>
      <w:r w:rsidRPr="009941D4">
        <w:rPr>
          <w:rFonts w:cs="Arial"/>
          <w:sz w:val="16"/>
          <w:szCs w:val="16"/>
          <w:rtl/>
        </w:rPr>
        <w:t xml:space="preserve"> ועיין בספר מישרים (נכ"ג סוף ח"ח)</w:t>
      </w:r>
      <w:r w:rsidRPr="009941D4">
        <w:rPr>
          <w:rFonts w:cs="Arial" w:hint="cs"/>
          <w:sz w:val="16"/>
          <w:szCs w:val="16"/>
          <w:rtl/>
        </w:rPr>
        <w:t xml:space="preserve">, </w:t>
      </w:r>
      <w:r w:rsidRPr="00F14F27">
        <w:rPr>
          <w:rFonts w:cs="Arial" w:hint="cs"/>
          <w:b/>
          <w:bCs/>
          <w:sz w:val="16"/>
          <w:szCs w:val="16"/>
          <w:rtl/>
        </w:rPr>
        <w:t>ב"י</w:t>
      </w:r>
      <w:r w:rsidRPr="009941D4">
        <w:rPr>
          <w:rFonts w:cs="Arial" w:hint="cs"/>
          <w:sz w:val="16"/>
          <w:szCs w:val="16"/>
          <w:rtl/>
        </w:rPr>
        <w:t>)</w:t>
      </w:r>
    </w:p>
    <w:p w14:paraId="7D725709" w14:textId="36A09536" w:rsidR="002E2906" w:rsidRPr="00E14AD0" w:rsidRDefault="002E2906" w:rsidP="002E2906">
      <w:pPr>
        <w:rPr>
          <w:u w:val="single"/>
          <w:rtl/>
        </w:rPr>
      </w:pPr>
      <w:r w:rsidRPr="00E14AD0">
        <w:rPr>
          <w:rFonts w:hint="cs"/>
          <w:u w:val="single"/>
          <w:rtl/>
        </w:rPr>
        <w:t xml:space="preserve">חיוב האשה לעלות לארץ בזמן הזה: </w:t>
      </w:r>
    </w:p>
    <w:p w14:paraId="207FB027" w14:textId="09FAA8FC" w:rsidR="003C37F3" w:rsidRDefault="003C37F3" w:rsidP="002E2906">
      <w:pPr>
        <w:pStyle w:val="ab"/>
        <w:numPr>
          <w:ilvl w:val="0"/>
          <w:numId w:val="7"/>
        </w:numPr>
        <w:rPr>
          <w:rFonts w:cs="Arial"/>
        </w:rPr>
      </w:pPr>
      <w:r>
        <w:rPr>
          <w:rFonts w:cs="Arial" w:hint="cs"/>
          <w:rtl/>
        </w:rPr>
        <w:t xml:space="preserve">רמב"ם </w:t>
      </w:r>
      <w:r>
        <w:rPr>
          <w:rFonts w:cs="Arial" w:hint="cs"/>
          <w:sz w:val="16"/>
          <w:szCs w:val="16"/>
          <w:rtl/>
        </w:rPr>
        <w:t>(פי"ג מאישות הי</w:t>
      </w:r>
      <w:r w:rsidR="008F09F7">
        <w:rPr>
          <w:rFonts w:cs="Arial" w:hint="cs"/>
          <w:sz w:val="16"/>
          <w:szCs w:val="16"/>
          <w:rtl/>
        </w:rPr>
        <w:t>"</w:t>
      </w:r>
      <w:r>
        <w:rPr>
          <w:rFonts w:cs="Arial" w:hint="cs"/>
          <w:sz w:val="16"/>
          <w:szCs w:val="16"/>
          <w:rtl/>
        </w:rPr>
        <w:t>ט</w:t>
      </w:r>
      <w:r w:rsidR="008F09F7">
        <w:rPr>
          <w:rFonts w:cs="Arial" w:hint="cs"/>
          <w:sz w:val="16"/>
          <w:szCs w:val="16"/>
          <w:rtl/>
        </w:rPr>
        <w:t>-כ</w:t>
      </w:r>
      <w:r>
        <w:rPr>
          <w:rFonts w:cs="Arial" w:hint="cs"/>
          <w:sz w:val="16"/>
          <w:szCs w:val="16"/>
          <w:rtl/>
        </w:rPr>
        <w:t>)</w:t>
      </w:r>
      <w:r>
        <w:rPr>
          <w:rFonts w:cs="Arial" w:hint="cs"/>
          <w:rtl/>
        </w:rPr>
        <w:t>- אין הבדל.</w:t>
      </w:r>
    </w:p>
    <w:p w14:paraId="2681DC7F" w14:textId="7D8CE024" w:rsidR="002E2906" w:rsidRDefault="002E2906" w:rsidP="002E2906">
      <w:pPr>
        <w:pStyle w:val="ab"/>
        <w:numPr>
          <w:ilvl w:val="0"/>
          <w:numId w:val="7"/>
        </w:numPr>
        <w:rPr>
          <w:rFonts w:cs="Arial"/>
        </w:rPr>
      </w:pPr>
      <w:r>
        <w:rPr>
          <w:rFonts w:cs="Arial" w:hint="cs"/>
          <w:rtl/>
        </w:rPr>
        <w:t xml:space="preserve">מהר"ם </w:t>
      </w:r>
      <w:r>
        <w:rPr>
          <w:rFonts w:cs="Arial" w:hint="cs"/>
          <w:sz w:val="16"/>
          <w:szCs w:val="16"/>
          <w:rtl/>
        </w:rPr>
        <w:t>(כ"כ בשמו מרדכי [שם] רא"ש וטור)</w:t>
      </w:r>
      <w:r>
        <w:rPr>
          <w:rFonts w:cs="Arial" w:hint="cs"/>
          <w:rtl/>
        </w:rPr>
        <w:t xml:space="preserve">- </w:t>
      </w:r>
      <w:r w:rsidRPr="009941D4">
        <w:rPr>
          <w:rFonts w:cs="Arial"/>
          <w:rtl/>
        </w:rPr>
        <w:t>ההיא דברייתא מיירי בזמן שביהמ"ק קיים דאז הוי המצוה טפי לדור בירושלים מבא"י</w:t>
      </w:r>
      <w:r>
        <w:rPr>
          <w:rFonts w:cs="Arial" w:hint="cs"/>
          <w:rtl/>
        </w:rPr>
        <w:t>,</w:t>
      </w:r>
      <w:r w:rsidRPr="009941D4">
        <w:rPr>
          <w:rFonts w:cs="Arial"/>
          <w:rtl/>
        </w:rPr>
        <w:t xml:space="preserve"> וירושלמי דהכא מיירי בזמן הזה</w:t>
      </w:r>
      <w:r>
        <w:rPr>
          <w:rFonts w:cs="Arial" w:hint="cs"/>
          <w:sz w:val="16"/>
          <w:szCs w:val="16"/>
          <w:rtl/>
        </w:rPr>
        <w:t xml:space="preserve"> (ל' המרדכי בשמו)</w:t>
      </w:r>
      <w:r>
        <w:rPr>
          <w:rFonts w:cs="Arial" w:hint="cs"/>
          <w:rtl/>
        </w:rPr>
        <w:t>.</w:t>
      </w:r>
    </w:p>
    <w:p w14:paraId="5EF4C116" w14:textId="0F1BDE91" w:rsidR="002E2906" w:rsidRPr="001E1F2D" w:rsidRDefault="002E2906" w:rsidP="002E2906">
      <w:pPr>
        <w:pStyle w:val="ab"/>
        <w:numPr>
          <w:ilvl w:val="0"/>
          <w:numId w:val="7"/>
        </w:numPr>
        <w:rPr>
          <w:rFonts w:cs="Arial"/>
          <w:rtl/>
        </w:rPr>
      </w:pPr>
      <w:r>
        <w:rPr>
          <w:rFonts w:cs="Arial" w:hint="cs"/>
          <w:rtl/>
        </w:rPr>
        <w:t xml:space="preserve">תוס' </w:t>
      </w:r>
      <w:r w:rsidRPr="001E1F2D">
        <w:rPr>
          <w:rFonts w:cs="Arial" w:hint="cs"/>
          <w:sz w:val="16"/>
          <w:szCs w:val="16"/>
          <w:rtl/>
        </w:rPr>
        <w:t>(</w:t>
      </w:r>
      <w:r w:rsidRPr="001E1F2D">
        <w:rPr>
          <w:rFonts w:cs="Arial"/>
          <w:sz w:val="16"/>
          <w:szCs w:val="16"/>
          <w:rtl/>
        </w:rPr>
        <w:t>כתובות קי: ד"ה הוא)</w:t>
      </w:r>
      <w:r>
        <w:rPr>
          <w:rFonts w:cs="Arial" w:hint="cs"/>
          <w:rtl/>
        </w:rPr>
        <w:t>-</w:t>
      </w:r>
      <w:r w:rsidRPr="001E1F2D">
        <w:rPr>
          <w:rFonts w:cs="Arial"/>
          <w:rtl/>
        </w:rPr>
        <w:t xml:space="preserve"> היה אומר רבינו חיים דעכשיו אינו מצוה לדור בא"י כי יש כמה מצות התלויות בארץ וכמה עונשין דאין אנו יכולין ליזהר בהם ולעמוד עליהם</w:t>
      </w:r>
      <w:r w:rsidR="007B5D4F">
        <w:rPr>
          <w:rStyle w:val="a7"/>
          <w:rFonts w:cs="Arial"/>
          <w:rtl/>
        </w:rPr>
        <w:footnoteReference w:id="442"/>
      </w:r>
      <w:r>
        <w:rPr>
          <w:rFonts w:cs="Arial" w:hint="cs"/>
          <w:rtl/>
        </w:rPr>
        <w:t>.</w:t>
      </w:r>
    </w:p>
    <w:p w14:paraId="4DAF3362" w14:textId="4AAA4C85" w:rsidR="00C45046" w:rsidRPr="005570D7" w:rsidRDefault="005570D7" w:rsidP="005570D7">
      <w:pPr>
        <w:rPr>
          <w:u w:val="single"/>
          <w:rtl/>
        </w:rPr>
      </w:pPr>
      <w:r w:rsidRPr="005570D7">
        <w:rPr>
          <w:rFonts w:hint="cs"/>
          <w:u w:val="single"/>
          <w:rtl/>
        </w:rPr>
        <w:t>כש</w:t>
      </w:r>
      <w:r w:rsidR="00F239CE">
        <w:rPr>
          <w:rFonts w:hint="cs"/>
          <w:u w:val="single"/>
          <w:rtl/>
        </w:rPr>
        <w:t>אפשר</w:t>
      </w:r>
      <w:r w:rsidRPr="005570D7">
        <w:rPr>
          <w:rFonts w:hint="cs"/>
          <w:u w:val="single"/>
          <w:rtl/>
        </w:rPr>
        <w:t xml:space="preserve"> לכפות לעלות לארץ ישראל </w:t>
      </w:r>
      <w:r w:rsidRPr="005570D7">
        <w:rPr>
          <w:rFonts w:hint="cs"/>
          <w:sz w:val="16"/>
          <w:szCs w:val="16"/>
          <w:u w:val="single"/>
          <w:rtl/>
        </w:rPr>
        <w:t>(לרמב"ם וסיעתו, א"נ למהר"ם כשהבעל רוצה)</w:t>
      </w:r>
      <w:r w:rsidRPr="005570D7">
        <w:rPr>
          <w:rFonts w:hint="cs"/>
          <w:u w:val="single"/>
          <w:rtl/>
        </w:rPr>
        <w:t xml:space="preserve"> - מה הדין אם יש </w:t>
      </w:r>
      <w:r w:rsidR="008B7F9D" w:rsidRPr="005570D7">
        <w:rPr>
          <w:rFonts w:hint="cs"/>
          <w:u w:val="single"/>
          <w:rtl/>
        </w:rPr>
        <w:t>סכנה בדרך</w:t>
      </w:r>
      <w:r w:rsidR="005B353B" w:rsidRPr="005570D7">
        <w:rPr>
          <w:rFonts w:hint="cs"/>
          <w:u w:val="single"/>
          <w:rtl/>
        </w:rPr>
        <w:t xml:space="preserve"> לארץ ישראל:</w:t>
      </w:r>
    </w:p>
    <w:p w14:paraId="50202283" w14:textId="0DE681AA" w:rsidR="00C45046" w:rsidRPr="002E2906" w:rsidRDefault="001E7E9A" w:rsidP="002E2906">
      <w:pPr>
        <w:pStyle w:val="ab"/>
        <w:numPr>
          <w:ilvl w:val="0"/>
          <w:numId w:val="7"/>
        </w:numPr>
        <w:rPr>
          <w:rFonts w:cs="Arial"/>
        </w:rPr>
      </w:pPr>
      <w:r>
        <w:rPr>
          <w:rFonts w:cs="Arial" w:hint="cs"/>
          <w:rtl/>
        </w:rPr>
        <w:t>תוס'</w:t>
      </w:r>
      <w:r>
        <w:rPr>
          <w:rStyle w:val="a7"/>
          <w:rFonts w:cs="Arial"/>
          <w:rtl/>
        </w:rPr>
        <w:footnoteReference w:id="443"/>
      </w:r>
      <w:r>
        <w:rPr>
          <w:rFonts w:cs="Arial" w:hint="cs"/>
          <w:rtl/>
        </w:rPr>
        <w:t xml:space="preserve"> </w:t>
      </w:r>
      <w:r w:rsidRPr="001E1F2D">
        <w:rPr>
          <w:rFonts w:cs="Arial" w:hint="cs"/>
          <w:sz w:val="16"/>
          <w:szCs w:val="16"/>
          <w:rtl/>
        </w:rPr>
        <w:t>(</w:t>
      </w:r>
      <w:r w:rsidRPr="001E1F2D">
        <w:rPr>
          <w:rFonts w:cs="Arial"/>
          <w:sz w:val="16"/>
          <w:szCs w:val="16"/>
          <w:rtl/>
        </w:rPr>
        <w:t>כתובות קי: ד"ה הוא)</w:t>
      </w:r>
      <w:r>
        <w:rPr>
          <w:rFonts w:cs="Arial" w:hint="cs"/>
          <w:rtl/>
        </w:rPr>
        <w:t xml:space="preserve"> </w:t>
      </w:r>
      <w:r w:rsidR="00242605" w:rsidRPr="00C45046">
        <w:rPr>
          <w:rFonts w:cs="Arial"/>
          <w:rtl/>
        </w:rPr>
        <w:t xml:space="preserve">רשב"ש </w:t>
      </w:r>
      <w:r w:rsidR="00C45046" w:rsidRPr="00C45046">
        <w:rPr>
          <w:rFonts w:cs="Arial" w:hint="cs"/>
          <w:sz w:val="16"/>
          <w:szCs w:val="16"/>
          <w:rtl/>
        </w:rPr>
        <w:t>(</w:t>
      </w:r>
      <w:r w:rsidR="00242605" w:rsidRPr="00C45046">
        <w:rPr>
          <w:rFonts w:cs="Arial"/>
          <w:sz w:val="16"/>
          <w:szCs w:val="16"/>
          <w:rtl/>
        </w:rPr>
        <w:t>סו"ס א)</w:t>
      </w:r>
      <w:r w:rsidR="002E2906">
        <w:rPr>
          <w:rFonts w:cs="Arial" w:hint="cs"/>
          <w:rtl/>
        </w:rPr>
        <w:t xml:space="preserve"> והגמ"ר</w:t>
      </w:r>
      <w:r w:rsidR="002E2906">
        <w:rPr>
          <w:rStyle w:val="a7"/>
          <w:rFonts w:cs="Arial"/>
          <w:rtl/>
        </w:rPr>
        <w:footnoteReference w:id="444"/>
      </w:r>
      <w:r w:rsidR="002E2906">
        <w:rPr>
          <w:rFonts w:cs="Arial" w:hint="cs"/>
          <w:rtl/>
        </w:rPr>
        <w:t xml:space="preserve"> </w:t>
      </w:r>
      <w:r w:rsidR="002E2906">
        <w:rPr>
          <w:rFonts w:cs="Arial" w:hint="cs"/>
          <w:sz w:val="16"/>
          <w:szCs w:val="16"/>
          <w:rtl/>
        </w:rPr>
        <w:t>(</w:t>
      </w:r>
      <w:r w:rsidR="002E2906" w:rsidRPr="009941D4">
        <w:rPr>
          <w:rFonts w:cs="Arial" w:hint="cs"/>
          <w:sz w:val="16"/>
          <w:szCs w:val="16"/>
          <w:rtl/>
        </w:rPr>
        <w:t>סי' שיג, הביאו הדרכ"מ אות ו)</w:t>
      </w:r>
      <w:r w:rsidR="00C45046" w:rsidRPr="002E2906">
        <w:rPr>
          <w:rFonts w:cs="Arial" w:hint="cs"/>
          <w:rtl/>
        </w:rPr>
        <w:t xml:space="preserve">- </w:t>
      </w:r>
      <w:r w:rsidR="00242605" w:rsidRPr="002E2906">
        <w:rPr>
          <w:rFonts w:cs="Arial"/>
          <w:rtl/>
        </w:rPr>
        <w:t>דבר פשוט הוא דהא דכופין לעלות לארץ ישראל היינו בדאיפשר בלא סכנה</w:t>
      </w:r>
      <w:r w:rsidR="005B353B" w:rsidRPr="002E2906">
        <w:rPr>
          <w:rFonts w:cs="Arial" w:hint="cs"/>
          <w:rtl/>
        </w:rPr>
        <w:t>,</w:t>
      </w:r>
      <w:r w:rsidR="00242605" w:rsidRPr="002E2906">
        <w:rPr>
          <w:rFonts w:cs="Arial"/>
          <w:rtl/>
        </w:rPr>
        <w:t xml:space="preserve"> דאי איכא סכנה אסור לסכן עצמו</w:t>
      </w:r>
      <w:r w:rsidR="005B353B" w:rsidRPr="002E2906">
        <w:rPr>
          <w:rFonts w:cs="Arial" w:hint="cs"/>
          <w:rtl/>
        </w:rPr>
        <w:t>.</w:t>
      </w:r>
      <w:r w:rsidR="00242605" w:rsidRPr="002E2906">
        <w:rPr>
          <w:rFonts w:cs="Arial"/>
          <w:rtl/>
        </w:rPr>
        <w:t xml:space="preserve"> הילכך בזמן הזה בארצות הללו</w:t>
      </w:r>
      <w:r w:rsidR="005B353B" w:rsidRPr="002E2906">
        <w:rPr>
          <w:rFonts w:cs="Arial" w:hint="cs"/>
          <w:rtl/>
        </w:rPr>
        <w:t>,</w:t>
      </w:r>
      <w:r w:rsidR="00242605" w:rsidRPr="002E2906">
        <w:rPr>
          <w:rFonts w:cs="Arial"/>
          <w:rtl/>
        </w:rPr>
        <w:t xml:space="preserve"> כל שהוא מסוף המערב עד נוא אמון </w:t>
      </w:r>
      <w:r w:rsidR="005B353B" w:rsidRPr="002E2906">
        <w:rPr>
          <w:rFonts w:cs="Arial" w:hint="cs"/>
          <w:rtl/>
        </w:rPr>
        <w:t xml:space="preserve">- </w:t>
      </w:r>
      <w:r w:rsidR="00242605" w:rsidRPr="002E2906">
        <w:rPr>
          <w:rFonts w:cs="Arial"/>
          <w:rtl/>
        </w:rPr>
        <w:t>אין כופין לעלות</w:t>
      </w:r>
      <w:r w:rsidR="005B353B" w:rsidRPr="002E2906">
        <w:rPr>
          <w:rFonts w:cs="Arial" w:hint="cs"/>
          <w:rtl/>
        </w:rPr>
        <w:t>.</w:t>
      </w:r>
      <w:r w:rsidR="00242605" w:rsidRPr="002E2906">
        <w:rPr>
          <w:rFonts w:cs="Arial"/>
          <w:rtl/>
        </w:rPr>
        <w:t xml:space="preserve"> ומנוא אמון ולמעלה </w:t>
      </w:r>
      <w:r w:rsidR="005B353B" w:rsidRPr="002E2906">
        <w:rPr>
          <w:rFonts w:cs="Arial" w:hint="cs"/>
          <w:rtl/>
        </w:rPr>
        <w:t xml:space="preserve">- </w:t>
      </w:r>
      <w:r w:rsidR="00242605" w:rsidRPr="002E2906">
        <w:rPr>
          <w:rFonts w:cs="Arial"/>
          <w:rtl/>
        </w:rPr>
        <w:t>כופין לעלות דרך יבשה</w:t>
      </w:r>
      <w:r w:rsidR="005B353B" w:rsidRPr="002E2906">
        <w:rPr>
          <w:rFonts w:cs="Arial" w:hint="cs"/>
          <w:rtl/>
        </w:rPr>
        <w:t>,</w:t>
      </w:r>
      <w:r w:rsidR="00242605" w:rsidRPr="002E2906">
        <w:rPr>
          <w:rFonts w:cs="Arial"/>
          <w:rtl/>
        </w:rPr>
        <w:t xml:space="preserve"> וגם דרך ים בימות החמה אם אין שם לסטים</w:t>
      </w:r>
      <w:r w:rsidR="002E2906">
        <w:rPr>
          <w:rFonts w:cs="Arial" w:hint="cs"/>
          <w:sz w:val="16"/>
          <w:szCs w:val="16"/>
          <w:rtl/>
        </w:rPr>
        <w:t xml:space="preserve"> (ל' הרשב"ש)</w:t>
      </w:r>
      <w:r w:rsidR="00C45046" w:rsidRPr="002E2906">
        <w:rPr>
          <w:rFonts w:cs="Arial" w:hint="cs"/>
          <w:rtl/>
        </w:rPr>
        <w:t>.</w:t>
      </w:r>
      <w:r w:rsidR="00242605" w:rsidRPr="002E2906">
        <w:rPr>
          <w:rFonts w:cs="Arial"/>
          <w:rtl/>
        </w:rPr>
        <w:t xml:space="preserve"> </w:t>
      </w:r>
      <w:r w:rsidR="004B3BCF" w:rsidRPr="002E2906">
        <w:rPr>
          <w:rFonts w:hint="cs"/>
          <w:color w:val="E36C0A" w:themeColor="accent6" w:themeShade="BF"/>
          <w:rtl/>
        </w:rPr>
        <w:t>(וכ"פ בשו"ע)</w:t>
      </w:r>
    </w:p>
    <w:p w14:paraId="18ABC115" w14:textId="53840AAD" w:rsidR="00EA4F01" w:rsidRPr="004315B8" w:rsidRDefault="004315B8" w:rsidP="00EA4F01">
      <w:pPr>
        <w:rPr>
          <w:u w:val="single"/>
        </w:rPr>
      </w:pPr>
      <w:r w:rsidRPr="004315B8">
        <w:rPr>
          <w:rFonts w:hint="cs"/>
          <w:u w:val="single"/>
          <w:rtl/>
        </w:rPr>
        <w:t>נשא אשה במקום שנהגו בו דבר מסויים, ועבר</w:t>
      </w:r>
      <w:r>
        <w:rPr>
          <w:rFonts w:hint="cs"/>
          <w:u w:val="single"/>
          <w:rtl/>
        </w:rPr>
        <w:t xml:space="preserve"> האיש</w:t>
      </w:r>
      <w:r w:rsidRPr="004315B8">
        <w:rPr>
          <w:rFonts w:hint="cs"/>
          <w:u w:val="single"/>
          <w:rtl/>
        </w:rPr>
        <w:t xml:space="preserve"> על אותו דבר </w:t>
      </w:r>
      <w:r w:rsidR="002E2906">
        <w:rPr>
          <w:rFonts w:hint="cs"/>
          <w:u w:val="single"/>
          <w:rtl/>
        </w:rPr>
        <w:t>-</w:t>
      </w:r>
      <w:r w:rsidRPr="004315B8">
        <w:rPr>
          <w:rFonts w:hint="cs"/>
          <w:u w:val="single"/>
          <w:rtl/>
        </w:rPr>
        <w:t xml:space="preserve"> האם אפשר לקונסו/לנדותו כמו שנהגו שם:</w:t>
      </w:r>
    </w:p>
    <w:p w14:paraId="4991C612" w14:textId="3D0EF826" w:rsidR="00EA4F01" w:rsidRDefault="00242605" w:rsidP="00C45046">
      <w:pPr>
        <w:pStyle w:val="ab"/>
        <w:numPr>
          <w:ilvl w:val="0"/>
          <w:numId w:val="7"/>
        </w:numPr>
      </w:pPr>
      <w:r w:rsidRPr="00C45046">
        <w:rPr>
          <w:rFonts w:cs="Arial"/>
          <w:rtl/>
        </w:rPr>
        <w:lastRenderedPageBreak/>
        <w:t xml:space="preserve">רשב"א </w:t>
      </w:r>
      <w:r w:rsidRPr="00C45046">
        <w:rPr>
          <w:rFonts w:cs="Arial"/>
          <w:sz w:val="16"/>
          <w:szCs w:val="16"/>
          <w:rtl/>
        </w:rPr>
        <w:t>(ח"ד סי' קפו)</w:t>
      </w:r>
      <w:r w:rsidR="00C45046">
        <w:rPr>
          <w:rFonts w:cs="Arial" w:hint="cs"/>
          <w:rtl/>
        </w:rPr>
        <w:t>-</w:t>
      </w:r>
      <w:r w:rsidRPr="00C45046">
        <w:rPr>
          <w:rFonts w:cs="Arial"/>
          <w:rtl/>
        </w:rPr>
        <w:t xml:space="preserve"> שאלת מי שעבר על גדר מהגדרים כגון שגירש אשתו שלא על דרך ההסכמות ושלח לה גיטה ע"י שליח עומד במלכות</w:t>
      </w:r>
      <w:r w:rsidR="00EA4F01">
        <w:rPr>
          <w:rFonts w:cs="Arial" w:hint="cs"/>
          <w:rtl/>
        </w:rPr>
        <w:t>,</w:t>
      </w:r>
      <w:r w:rsidRPr="00C45046">
        <w:rPr>
          <w:rFonts w:cs="Arial"/>
          <w:rtl/>
        </w:rPr>
        <w:t xml:space="preserve"> שאין להם גדר בדבר זה</w:t>
      </w:r>
      <w:r w:rsidR="00EA4F01">
        <w:rPr>
          <w:rFonts w:cs="Arial" w:hint="cs"/>
          <w:rtl/>
        </w:rPr>
        <w:t>,</w:t>
      </w:r>
      <w:r w:rsidRPr="00C45046">
        <w:rPr>
          <w:rFonts w:cs="Arial"/>
          <w:rtl/>
        </w:rPr>
        <w:t xml:space="preserve"> אם יש רשות לנכבדי הקהל ההוא להחרים המגרש ההוא מכח הגדר שלהם עד שיבוא אצלם במסורת הברית.</w:t>
      </w:r>
      <w:r w:rsidR="00593F24">
        <w:rPr>
          <w:rFonts w:cs="Arial" w:hint="cs"/>
          <w:rtl/>
        </w:rPr>
        <w:t xml:space="preserve">    </w:t>
      </w:r>
      <w:r w:rsidRPr="00C45046">
        <w:rPr>
          <w:rFonts w:cs="Arial"/>
          <w:rtl/>
        </w:rPr>
        <w:t xml:space="preserve"> תשובה</w:t>
      </w:r>
      <w:r w:rsidR="00593F24">
        <w:rPr>
          <w:rFonts w:cs="Arial" w:hint="cs"/>
          <w:rtl/>
        </w:rPr>
        <w:t>:</w:t>
      </w:r>
      <w:r w:rsidRPr="00C45046">
        <w:rPr>
          <w:rFonts w:cs="Arial"/>
          <w:rtl/>
        </w:rPr>
        <w:t xml:space="preserve"> כל דברי הנישואין סתמן כפירושן</w:t>
      </w:r>
      <w:r w:rsidR="00EA4F01">
        <w:rPr>
          <w:rFonts w:cs="Arial" w:hint="cs"/>
          <w:rtl/>
        </w:rPr>
        <w:t>,</w:t>
      </w:r>
      <w:r w:rsidRPr="00C45046">
        <w:rPr>
          <w:rFonts w:cs="Arial"/>
          <w:rtl/>
        </w:rPr>
        <w:t xml:space="preserve"> ויש מהן שתקנו חכמים לכל</w:t>
      </w:r>
      <w:r w:rsidR="00EA4F01">
        <w:rPr>
          <w:rFonts w:cs="Arial" w:hint="cs"/>
          <w:rtl/>
        </w:rPr>
        <w:t>,</w:t>
      </w:r>
      <w:r w:rsidRPr="00C45046">
        <w:rPr>
          <w:rFonts w:cs="Arial"/>
          <w:rtl/>
        </w:rPr>
        <w:t xml:space="preserve"> והם תנאי כתובה הנזכרים בפרק נערה (כתובות נא. נב:)</w:t>
      </w:r>
      <w:r w:rsidR="00EA4F01">
        <w:rPr>
          <w:rFonts w:cs="Arial" w:hint="cs"/>
          <w:rtl/>
        </w:rPr>
        <w:t>,</w:t>
      </w:r>
      <w:r w:rsidRPr="00C45046">
        <w:rPr>
          <w:rFonts w:cs="Arial"/>
          <w:rtl/>
        </w:rPr>
        <w:t xml:space="preserve"> ויש שלא תקנו חכמים אלא שנהגו כן בקצת מקומות מדעת עצמן</w:t>
      </w:r>
      <w:r w:rsidR="00EA4F01">
        <w:rPr>
          <w:rFonts w:cs="Arial" w:hint="cs"/>
          <w:rtl/>
        </w:rPr>
        <w:t>,</w:t>
      </w:r>
      <w:r w:rsidRPr="00C45046">
        <w:rPr>
          <w:rFonts w:cs="Arial"/>
          <w:rtl/>
        </w:rPr>
        <w:t xml:space="preserve"> ולא שתקנו ביניהם בהסכמה אלא שנהגו כן דרך סתם</w:t>
      </w:r>
      <w:r w:rsidR="00EA4F01">
        <w:rPr>
          <w:rFonts w:cs="Arial" w:hint="cs"/>
          <w:rtl/>
        </w:rPr>
        <w:t>,</w:t>
      </w:r>
      <w:r w:rsidRPr="00C45046">
        <w:rPr>
          <w:rFonts w:cs="Arial"/>
          <w:rtl/>
        </w:rPr>
        <w:t xml:space="preserve"> וגם בזה סתמן כפירושן</w:t>
      </w:r>
      <w:r w:rsidR="00EA4F01">
        <w:rPr>
          <w:rFonts w:cs="Arial" w:hint="cs"/>
          <w:rtl/>
        </w:rPr>
        <w:t>,</w:t>
      </w:r>
      <w:r w:rsidRPr="00C45046">
        <w:rPr>
          <w:rFonts w:cs="Arial"/>
          <w:rtl/>
        </w:rPr>
        <w:t xml:space="preserve"> ואלו הם שקראו חכמים דרישת הדיוטות</w:t>
      </w:r>
      <w:r w:rsidR="00EA4F01">
        <w:rPr>
          <w:rFonts w:cs="Arial" w:hint="cs"/>
          <w:rtl/>
        </w:rPr>
        <w:t>,</w:t>
      </w:r>
      <w:r w:rsidRPr="00C45046">
        <w:rPr>
          <w:rFonts w:cs="Arial"/>
          <w:rtl/>
        </w:rPr>
        <w:t xml:space="preserve"> כדאיתא בפרק המקבל (ב"מ קד.) אנשי אלכסנדריא היו מקדשין וכו' אמר להן הלל הזקן הביאו לי כתובת אמכם וכו' כלומר ראה כתובת בני העיר כתוב בהם כך</w:t>
      </w:r>
      <w:r w:rsidR="00EA4F01">
        <w:rPr>
          <w:rFonts w:cs="Arial" w:hint="cs"/>
          <w:rtl/>
        </w:rPr>
        <w:t>.</w:t>
      </w:r>
      <w:r w:rsidRPr="00C45046">
        <w:rPr>
          <w:rFonts w:cs="Arial"/>
          <w:rtl/>
        </w:rPr>
        <w:t xml:space="preserve"> ואע</w:t>
      </w:r>
      <w:r w:rsidR="00EA4F01">
        <w:rPr>
          <w:rFonts w:cs="Arial" w:hint="cs"/>
          <w:rtl/>
        </w:rPr>
        <w:t>"</w:t>
      </w:r>
      <w:r w:rsidRPr="00C45046">
        <w:rPr>
          <w:rFonts w:cs="Arial"/>
          <w:rtl/>
        </w:rPr>
        <w:t>פ שבכתובות של חטופות אלו לא היה כתוב כך</w:t>
      </w:r>
      <w:r w:rsidR="00EA4F01">
        <w:rPr>
          <w:rFonts w:cs="Arial" w:hint="cs"/>
          <w:rtl/>
        </w:rPr>
        <w:t>,</w:t>
      </w:r>
      <w:r w:rsidRPr="00C45046">
        <w:rPr>
          <w:rFonts w:cs="Arial"/>
          <w:rtl/>
        </w:rPr>
        <w:t xml:space="preserve"> אפילו הכי התיר הלל את בניהם</w:t>
      </w:r>
      <w:r w:rsidR="00EA4F01">
        <w:rPr>
          <w:rFonts w:cs="Arial" w:hint="cs"/>
          <w:rtl/>
        </w:rPr>
        <w:t>,</w:t>
      </w:r>
      <w:r w:rsidRPr="00C45046">
        <w:rPr>
          <w:rFonts w:cs="Arial"/>
          <w:rtl/>
        </w:rPr>
        <w:t xml:space="preserve"> לפי שהמקדש שם סתם על דרך הנהוג שם קידש</w:t>
      </w:r>
      <w:r w:rsidR="00EA4F01">
        <w:rPr>
          <w:rFonts w:cs="Arial" w:hint="cs"/>
          <w:rtl/>
        </w:rPr>
        <w:t>.</w:t>
      </w:r>
      <w:r w:rsidRPr="00C45046">
        <w:rPr>
          <w:rFonts w:cs="Arial"/>
          <w:rtl/>
        </w:rPr>
        <w:t xml:space="preserve"> וכל אותם שבפרק המקבל של דרישת הדיוטות הביאום בירושלמי פרק נערה (ה"ח) עם אותם תנאי כתובה</w:t>
      </w:r>
      <w:r w:rsidR="00EA4F01">
        <w:rPr>
          <w:rFonts w:cs="Arial" w:hint="cs"/>
          <w:rtl/>
        </w:rPr>
        <w:t>,</w:t>
      </w:r>
      <w:r w:rsidRPr="00C45046">
        <w:rPr>
          <w:rFonts w:cs="Arial"/>
          <w:rtl/>
        </w:rPr>
        <w:t xml:space="preserve"> ללמד שאלו ג"כ סתמן כפירושן</w:t>
      </w:r>
      <w:r w:rsidR="00EA4F01">
        <w:rPr>
          <w:rFonts w:cs="Arial" w:hint="cs"/>
          <w:rtl/>
        </w:rPr>
        <w:t>.</w:t>
      </w:r>
      <w:r w:rsidRPr="00C45046">
        <w:rPr>
          <w:rFonts w:cs="Arial"/>
          <w:rtl/>
        </w:rPr>
        <w:t xml:space="preserve"> ומכאן נלמוד לנדון שלפנינו שכל שנשא במקום שאין מגרשין אלא מדעת האשה</w:t>
      </w:r>
      <w:r w:rsidR="00EA4F01">
        <w:rPr>
          <w:rFonts w:cs="Arial" w:hint="cs"/>
          <w:rtl/>
        </w:rPr>
        <w:t>,</w:t>
      </w:r>
      <w:r w:rsidRPr="00C45046">
        <w:rPr>
          <w:rFonts w:cs="Arial"/>
          <w:rtl/>
        </w:rPr>
        <w:t xml:space="preserve"> סתמן כפירושן וע"ד כן נשאה שלא יגרשנה שלא מדעתה</w:t>
      </w:r>
      <w:r w:rsidR="00EA4F01">
        <w:rPr>
          <w:rFonts w:cs="Arial" w:hint="cs"/>
          <w:rtl/>
        </w:rPr>
        <w:t>,</w:t>
      </w:r>
      <w:r w:rsidRPr="00C45046">
        <w:rPr>
          <w:rFonts w:cs="Arial"/>
          <w:rtl/>
        </w:rPr>
        <w:t xml:space="preserve"> ואם יגרשנה </w:t>
      </w:r>
      <w:r w:rsidR="00EA4F01">
        <w:rPr>
          <w:rFonts w:cs="Arial" w:hint="cs"/>
          <w:rtl/>
        </w:rPr>
        <w:t xml:space="preserve">- </w:t>
      </w:r>
      <w:r w:rsidRPr="00C45046">
        <w:rPr>
          <w:rFonts w:cs="Arial"/>
          <w:rtl/>
        </w:rPr>
        <w:t>שהוא חייב במה שנהגו להיות חייב העובר על אותו מנהג בין בקנס בין בנדוי</w:t>
      </w:r>
      <w:r w:rsidR="00EA4F01">
        <w:rPr>
          <w:rFonts w:cs="Arial" w:hint="cs"/>
          <w:rtl/>
        </w:rPr>
        <w:t>,</w:t>
      </w:r>
      <w:r w:rsidRPr="00C45046">
        <w:rPr>
          <w:rFonts w:cs="Arial"/>
          <w:rtl/>
        </w:rPr>
        <w:t xml:space="preserve"> ואפילו הוציאה ממקום שנשאה והוליכה למקום אחר. </w:t>
      </w:r>
    </w:p>
    <w:p w14:paraId="1BE3222F" w14:textId="2CA5EB86" w:rsidR="004315B8" w:rsidRPr="004315B8" w:rsidRDefault="004315B8" w:rsidP="004315B8">
      <w:pPr>
        <w:rPr>
          <w:u w:val="single"/>
        </w:rPr>
      </w:pPr>
      <w:r w:rsidRPr="004315B8">
        <w:rPr>
          <w:rFonts w:hint="cs"/>
          <w:u w:val="single"/>
          <w:rtl/>
        </w:rPr>
        <w:t xml:space="preserve">שניהם מערים נפרדות, ונישאו בעיר שנמצאת בין העיירות </w:t>
      </w:r>
      <w:r w:rsidR="0047323D">
        <w:rPr>
          <w:rFonts w:hint="cs"/>
          <w:u w:val="single"/>
          <w:rtl/>
        </w:rPr>
        <w:t>-</w:t>
      </w:r>
      <w:r w:rsidRPr="004315B8">
        <w:rPr>
          <w:rFonts w:hint="cs"/>
          <w:u w:val="single"/>
          <w:rtl/>
        </w:rPr>
        <w:t xml:space="preserve"> כמנהג איזו עיר ינהגו: </w:t>
      </w:r>
    </w:p>
    <w:p w14:paraId="3042621F" w14:textId="729DF339" w:rsidR="00C45046" w:rsidRPr="00C45046" w:rsidRDefault="004315B8" w:rsidP="00C45046">
      <w:pPr>
        <w:pStyle w:val="ab"/>
        <w:numPr>
          <w:ilvl w:val="0"/>
          <w:numId w:val="7"/>
        </w:numPr>
      </w:pPr>
      <w:r>
        <w:rPr>
          <w:rFonts w:cs="Arial" w:hint="cs"/>
          <w:rtl/>
        </w:rPr>
        <w:t xml:space="preserve">רשב"א </w:t>
      </w:r>
      <w:r>
        <w:rPr>
          <w:rFonts w:cs="Arial" w:hint="cs"/>
          <w:sz w:val="16"/>
          <w:szCs w:val="16"/>
          <w:rtl/>
        </w:rPr>
        <w:t>(ח"א סי' תרסב, ח"ג סי' תלג)</w:t>
      </w:r>
      <w:r>
        <w:rPr>
          <w:rFonts w:cs="Arial" w:hint="cs"/>
          <w:rtl/>
        </w:rPr>
        <w:t xml:space="preserve">- </w:t>
      </w:r>
      <w:r w:rsidR="00242605" w:rsidRPr="00C45046">
        <w:rPr>
          <w:rFonts w:cs="Arial"/>
          <w:rtl/>
        </w:rPr>
        <w:t>שאלת</w:t>
      </w:r>
      <w:r w:rsidR="00EA4F01">
        <w:rPr>
          <w:rFonts w:cs="Arial" w:hint="cs"/>
          <w:rtl/>
        </w:rPr>
        <w:t>,</w:t>
      </w:r>
      <w:r w:rsidR="00242605" w:rsidRPr="00C45046">
        <w:rPr>
          <w:rFonts w:cs="Arial"/>
          <w:rtl/>
        </w:rPr>
        <w:t xml:space="preserve"> אשה שנשאת לבעל</w:t>
      </w:r>
      <w:r w:rsidR="00EA4F01">
        <w:rPr>
          <w:rFonts w:cs="Arial" w:hint="cs"/>
          <w:rtl/>
        </w:rPr>
        <w:t>,</w:t>
      </w:r>
      <w:r w:rsidR="00242605" w:rsidRPr="00C45046">
        <w:rPr>
          <w:rFonts w:cs="Arial"/>
          <w:rtl/>
        </w:rPr>
        <w:t xml:space="preserve"> והיא מעיר אחת והוא מעיר אחרת</w:t>
      </w:r>
      <w:r w:rsidR="00EA4F01">
        <w:rPr>
          <w:rFonts w:cs="Arial" w:hint="cs"/>
          <w:rtl/>
        </w:rPr>
        <w:t>,</w:t>
      </w:r>
      <w:r w:rsidR="00242605" w:rsidRPr="00C45046">
        <w:rPr>
          <w:rFonts w:cs="Arial"/>
          <w:rtl/>
        </w:rPr>
        <w:t xml:space="preserve"> ועשו הנישואין וכתבו הכתובה בעיר אחרת שהיא ממוצעת בין עירו לעירה</w:t>
      </w:r>
      <w:r w:rsidR="00EA4F01">
        <w:rPr>
          <w:rFonts w:cs="Arial" w:hint="cs"/>
          <w:rtl/>
        </w:rPr>
        <w:t>,</w:t>
      </w:r>
      <w:r w:rsidR="00242605" w:rsidRPr="00C45046">
        <w:rPr>
          <w:rFonts w:cs="Arial"/>
          <w:rtl/>
        </w:rPr>
        <w:t xml:space="preserve"> ולא נכתב בה שום תנאי.</w:t>
      </w:r>
      <w:r w:rsidR="0047323D">
        <w:rPr>
          <w:rFonts w:cs="Arial" w:hint="cs"/>
          <w:rtl/>
        </w:rPr>
        <w:t xml:space="preserve">    </w:t>
      </w:r>
      <w:r w:rsidR="00242605" w:rsidRPr="00C45046">
        <w:rPr>
          <w:rFonts w:cs="Arial"/>
          <w:rtl/>
        </w:rPr>
        <w:t xml:space="preserve"> תשובה</w:t>
      </w:r>
      <w:r w:rsidR="0047323D">
        <w:rPr>
          <w:rFonts w:cs="Arial" w:hint="cs"/>
          <w:rtl/>
        </w:rPr>
        <w:t>:</w:t>
      </w:r>
      <w:r w:rsidR="00242605" w:rsidRPr="00C45046">
        <w:rPr>
          <w:rFonts w:cs="Arial"/>
          <w:rtl/>
        </w:rPr>
        <w:t xml:space="preserve"> אם ע"ד לדור במקום שנשאה כנסה</w:t>
      </w:r>
      <w:r w:rsidR="00597BEF">
        <w:rPr>
          <w:rFonts w:cs="Arial" w:hint="cs"/>
          <w:rtl/>
        </w:rPr>
        <w:t xml:space="preserve"> -</w:t>
      </w:r>
      <w:r w:rsidR="00242605" w:rsidRPr="00C45046">
        <w:rPr>
          <w:rFonts w:cs="Arial"/>
          <w:rtl/>
        </w:rPr>
        <w:t xml:space="preserve"> ע</w:t>
      </w:r>
      <w:r w:rsidR="00597BEF">
        <w:rPr>
          <w:rFonts w:cs="Arial" w:hint="cs"/>
          <w:rtl/>
        </w:rPr>
        <w:t xml:space="preserve">ל </w:t>
      </w:r>
      <w:r w:rsidR="00242605" w:rsidRPr="00C45046">
        <w:rPr>
          <w:rFonts w:cs="Arial"/>
          <w:rtl/>
        </w:rPr>
        <w:t>ת</w:t>
      </w:r>
      <w:r w:rsidR="00597BEF">
        <w:rPr>
          <w:rFonts w:cs="Arial" w:hint="cs"/>
          <w:rtl/>
        </w:rPr>
        <w:t>נאי</w:t>
      </w:r>
      <w:r w:rsidR="00242605" w:rsidRPr="00C45046">
        <w:rPr>
          <w:rFonts w:cs="Arial"/>
          <w:rtl/>
        </w:rPr>
        <w:t xml:space="preserve"> אותו מקום נשאה</w:t>
      </w:r>
      <w:r w:rsidR="00597BEF">
        <w:rPr>
          <w:rFonts w:cs="Arial" w:hint="cs"/>
          <w:rtl/>
        </w:rPr>
        <w:t>.</w:t>
      </w:r>
      <w:r w:rsidR="00242605" w:rsidRPr="00C45046">
        <w:rPr>
          <w:rFonts w:cs="Arial"/>
          <w:rtl/>
        </w:rPr>
        <w:t xml:space="preserve"> ואפילו דרכם לכתוב שם הכל </w:t>
      </w:r>
      <w:r w:rsidR="00597BEF">
        <w:rPr>
          <w:rFonts w:cs="Arial" w:hint="cs"/>
          <w:rtl/>
        </w:rPr>
        <w:t>'</w:t>
      </w:r>
      <w:r w:rsidR="00242605" w:rsidRPr="00C45046">
        <w:rPr>
          <w:rFonts w:cs="Arial"/>
          <w:rtl/>
        </w:rPr>
        <w:t>לפי התנאי והמנהג שתקנו והנהיגו ביניהם קהל פלוני</w:t>
      </w:r>
      <w:r w:rsidR="00597BEF">
        <w:rPr>
          <w:rFonts w:cs="Arial" w:hint="cs"/>
          <w:rtl/>
        </w:rPr>
        <w:t>'</w:t>
      </w:r>
      <w:r w:rsidR="00242605" w:rsidRPr="00C45046">
        <w:rPr>
          <w:rFonts w:cs="Arial"/>
          <w:rtl/>
        </w:rPr>
        <w:t xml:space="preserve"> וזה לא כתב</w:t>
      </w:r>
      <w:r w:rsidR="00597BEF">
        <w:rPr>
          <w:rFonts w:cs="Arial" w:hint="cs"/>
          <w:rtl/>
        </w:rPr>
        <w:t xml:space="preserve"> -</w:t>
      </w:r>
      <w:r w:rsidR="00242605" w:rsidRPr="00C45046">
        <w:rPr>
          <w:rFonts w:cs="Arial"/>
          <w:rtl/>
        </w:rPr>
        <w:t xml:space="preserve"> סתמו כפירושו</w:t>
      </w:r>
      <w:r w:rsidR="00597BEF">
        <w:rPr>
          <w:rFonts w:cs="Arial" w:hint="cs"/>
          <w:rtl/>
        </w:rPr>
        <w:t>.</w:t>
      </w:r>
      <w:r w:rsidR="00242605" w:rsidRPr="00C45046">
        <w:rPr>
          <w:rFonts w:cs="Arial"/>
          <w:rtl/>
        </w:rPr>
        <w:t xml:space="preserve"> וזהו דרישת לשון הדיוט שבפרק המקבל</w:t>
      </w:r>
      <w:r w:rsidR="00597BEF">
        <w:rPr>
          <w:rFonts w:cs="Arial" w:hint="cs"/>
          <w:rtl/>
        </w:rPr>
        <w:t>,</w:t>
      </w:r>
      <w:r w:rsidR="00242605" w:rsidRPr="00C45046">
        <w:rPr>
          <w:rFonts w:cs="Arial"/>
          <w:rtl/>
        </w:rPr>
        <w:t xml:space="preserve"> והם הנהגות שהנהיגו ההדיוטות מעצמם בלי שתקנו חכמים</w:t>
      </w:r>
      <w:r w:rsidR="00597BEF">
        <w:rPr>
          <w:rFonts w:cs="Arial" w:hint="cs"/>
          <w:rtl/>
        </w:rPr>
        <w:t>,</w:t>
      </w:r>
      <w:r w:rsidR="00242605" w:rsidRPr="00C45046">
        <w:rPr>
          <w:rFonts w:cs="Arial"/>
          <w:rtl/>
        </w:rPr>
        <w:t xml:space="preserve"> ואף שם לא תקנו בהסכמה</w:t>
      </w:r>
      <w:r w:rsidR="00597BEF">
        <w:rPr>
          <w:rFonts w:cs="Arial" w:hint="cs"/>
          <w:rtl/>
        </w:rPr>
        <w:t>.</w:t>
      </w:r>
      <w:r w:rsidR="00242605" w:rsidRPr="00C45046">
        <w:rPr>
          <w:rFonts w:cs="Arial"/>
          <w:rtl/>
        </w:rPr>
        <w:t xml:space="preserve"> אבל אם דעתם לדור במקום אחר</w:t>
      </w:r>
      <w:r w:rsidR="00597BEF">
        <w:rPr>
          <w:rFonts w:cs="Arial" w:hint="cs"/>
          <w:rtl/>
        </w:rPr>
        <w:t xml:space="preserve"> -</w:t>
      </w:r>
      <w:r w:rsidR="00242605" w:rsidRPr="00C45046">
        <w:rPr>
          <w:rFonts w:cs="Arial"/>
          <w:rtl/>
        </w:rPr>
        <w:t xml:space="preserve"> במקו</w:t>
      </w:r>
      <w:r w:rsidR="00685328">
        <w:rPr>
          <w:rFonts w:cs="Arial" w:hint="cs"/>
          <w:rtl/>
        </w:rPr>
        <w:t>ם</w:t>
      </w:r>
      <w:r w:rsidR="00242605" w:rsidRPr="00C45046">
        <w:rPr>
          <w:rFonts w:cs="Arial"/>
          <w:rtl/>
        </w:rPr>
        <w:t xml:space="preserve"> שדעת</w:t>
      </w:r>
      <w:r w:rsidR="00685328">
        <w:rPr>
          <w:rFonts w:cs="Arial" w:hint="cs"/>
          <w:rtl/>
        </w:rPr>
        <w:t>ם</w:t>
      </w:r>
      <w:r w:rsidR="00242605" w:rsidRPr="00C45046">
        <w:rPr>
          <w:rFonts w:cs="Arial"/>
          <w:rtl/>
        </w:rPr>
        <w:t xml:space="preserve"> לקבוע דירתם שם</w:t>
      </w:r>
      <w:r w:rsidR="00597BEF">
        <w:rPr>
          <w:rFonts w:cs="Arial" w:hint="cs"/>
          <w:rtl/>
        </w:rPr>
        <w:t>.</w:t>
      </w:r>
      <w:r w:rsidR="00242605" w:rsidRPr="00C45046">
        <w:rPr>
          <w:rFonts w:cs="Arial"/>
          <w:rtl/>
        </w:rPr>
        <w:t xml:space="preserve"> או מן הסתם </w:t>
      </w:r>
      <w:r w:rsidR="00597BEF">
        <w:rPr>
          <w:rFonts w:cs="Arial" w:hint="cs"/>
          <w:rtl/>
        </w:rPr>
        <w:t xml:space="preserve">- </w:t>
      </w:r>
      <w:r w:rsidR="00242605" w:rsidRPr="00C45046">
        <w:rPr>
          <w:rFonts w:cs="Arial"/>
          <w:rtl/>
        </w:rPr>
        <w:t>כמנהג מקומו</w:t>
      </w:r>
      <w:r w:rsidR="00597BEF">
        <w:rPr>
          <w:rFonts w:cs="Arial" w:hint="cs"/>
          <w:rtl/>
        </w:rPr>
        <w:t>,</w:t>
      </w:r>
      <w:r w:rsidR="00242605" w:rsidRPr="00C45046">
        <w:rPr>
          <w:rFonts w:cs="Arial"/>
          <w:rtl/>
        </w:rPr>
        <w:t xml:space="preserve"> שהרי יכול להוציאה מעירה לעירו ואפילו ממדינה למדינה אחרת כל זמן שהוא מגליל והיא מיהודה או הוא מיהודה והיא מגליל כדאיתא בתוספתא וכיון שכן הרי הוא כנושא ע</w:t>
      </w:r>
      <w:r w:rsidR="00597BEF">
        <w:rPr>
          <w:rFonts w:cs="Arial" w:hint="cs"/>
          <w:rtl/>
        </w:rPr>
        <w:t xml:space="preserve">ל </w:t>
      </w:r>
      <w:r w:rsidR="00242605" w:rsidRPr="00C45046">
        <w:rPr>
          <w:rFonts w:cs="Arial"/>
          <w:rtl/>
        </w:rPr>
        <w:t>ת</w:t>
      </w:r>
      <w:r w:rsidR="00597BEF">
        <w:rPr>
          <w:rFonts w:cs="Arial" w:hint="cs"/>
          <w:rtl/>
        </w:rPr>
        <w:t>נאי</w:t>
      </w:r>
      <w:r w:rsidR="00242605" w:rsidRPr="00C45046">
        <w:rPr>
          <w:rFonts w:cs="Arial"/>
          <w:rtl/>
        </w:rPr>
        <w:t xml:space="preserve"> מקומו שהוא מוציאה שם. </w:t>
      </w:r>
    </w:p>
    <w:p w14:paraId="433A4EC5" w14:textId="2B40E3C6" w:rsidR="00C45046" w:rsidRPr="005B353B" w:rsidRDefault="005B353B" w:rsidP="00C45046">
      <w:pPr>
        <w:rPr>
          <w:u w:val="single"/>
        </w:rPr>
      </w:pPr>
      <w:r w:rsidRPr="005B353B">
        <w:rPr>
          <w:rFonts w:cs="Arial"/>
          <w:u w:val="single"/>
          <w:rtl/>
        </w:rPr>
        <w:t>אשה שמסרה מודעא שלא מחלה זכותה שלא יוציאנה הבעל ממקום שנשאת שם</w:t>
      </w:r>
      <w:r w:rsidRPr="005B353B">
        <w:rPr>
          <w:rFonts w:hint="cs"/>
          <w:u w:val="single"/>
          <w:rtl/>
        </w:rPr>
        <w:t>:</w:t>
      </w:r>
    </w:p>
    <w:p w14:paraId="00F06435" w14:textId="60674D7A" w:rsidR="00242605" w:rsidRPr="00242605" w:rsidRDefault="00242605" w:rsidP="00C45046">
      <w:pPr>
        <w:pStyle w:val="ab"/>
        <w:numPr>
          <w:ilvl w:val="0"/>
          <w:numId w:val="7"/>
        </w:numPr>
        <w:rPr>
          <w:rtl/>
        </w:rPr>
      </w:pPr>
      <w:r w:rsidRPr="00C45046">
        <w:rPr>
          <w:rFonts w:cs="Arial"/>
          <w:rtl/>
        </w:rPr>
        <w:t>תרו</w:t>
      </w:r>
      <w:r w:rsidR="00C45046">
        <w:rPr>
          <w:rFonts w:cs="Arial" w:hint="cs"/>
          <w:rtl/>
        </w:rPr>
        <w:t xml:space="preserve">ה"ד </w:t>
      </w:r>
      <w:r w:rsidR="00C45046" w:rsidRPr="00C45046">
        <w:rPr>
          <w:rFonts w:cs="Arial" w:hint="cs"/>
          <w:sz w:val="16"/>
          <w:szCs w:val="16"/>
          <w:rtl/>
        </w:rPr>
        <w:t>(</w:t>
      </w:r>
      <w:r w:rsidRPr="00C45046">
        <w:rPr>
          <w:rFonts w:cs="Arial"/>
          <w:sz w:val="16"/>
          <w:szCs w:val="16"/>
          <w:rtl/>
        </w:rPr>
        <w:t>ח"ב סי</w:t>
      </w:r>
      <w:r w:rsidR="00C45046" w:rsidRPr="00C45046">
        <w:rPr>
          <w:rFonts w:cs="Arial" w:hint="cs"/>
          <w:sz w:val="16"/>
          <w:szCs w:val="16"/>
          <w:rtl/>
        </w:rPr>
        <w:t>'</w:t>
      </w:r>
      <w:r w:rsidRPr="00C45046">
        <w:rPr>
          <w:rFonts w:cs="Arial"/>
          <w:sz w:val="16"/>
          <w:szCs w:val="16"/>
          <w:rtl/>
        </w:rPr>
        <w:t xml:space="preserve"> רלא</w:t>
      </w:r>
      <w:r w:rsidR="00C45046" w:rsidRPr="00C45046">
        <w:rPr>
          <w:rFonts w:cs="Arial" w:hint="cs"/>
          <w:sz w:val="16"/>
          <w:szCs w:val="16"/>
          <w:rtl/>
        </w:rPr>
        <w:t>)</w:t>
      </w:r>
      <w:r w:rsidR="00C45046">
        <w:rPr>
          <w:rFonts w:cs="Arial" w:hint="cs"/>
          <w:rtl/>
        </w:rPr>
        <w:t>-</w:t>
      </w:r>
      <w:r w:rsidRPr="00C45046">
        <w:rPr>
          <w:rFonts w:cs="Arial"/>
          <w:rtl/>
        </w:rPr>
        <w:t xml:space="preserve"> אשה שמסרה מודעא שלא מחלה זכותה שלא יוציאנה הבעל ממקום שנשאת שם </w:t>
      </w:r>
      <w:r w:rsidR="005B353B">
        <w:rPr>
          <w:rFonts w:cs="Arial" w:hint="cs"/>
          <w:rtl/>
        </w:rPr>
        <w:t xml:space="preserve">- </w:t>
      </w:r>
      <w:r w:rsidRPr="00C45046">
        <w:rPr>
          <w:rFonts w:cs="Arial"/>
          <w:rtl/>
        </w:rPr>
        <w:t>פשיטא דמהני דאפילו גילוי דעת בעלמא הוי מועיל</w:t>
      </w:r>
      <w:r w:rsidR="00C45046">
        <w:rPr>
          <w:rFonts w:cs="Arial" w:hint="cs"/>
          <w:rtl/>
        </w:rPr>
        <w:t>.</w:t>
      </w:r>
    </w:p>
    <w:p w14:paraId="4C29E32D" w14:textId="77777777" w:rsidR="00A265D1" w:rsidRDefault="00A265D1" w:rsidP="00A265D1">
      <w:pPr>
        <w:rPr>
          <w:rFonts w:cs="Arial"/>
          <w:rtl/>
        </w:rPr>
      </w:pPr>
      <w:r w:rsidRPr="003024E5">
        <w:rPr>
          <w:rFonts w:asciiTheme="minorBidi" w:hAnsiTheme="minorBidi"/>
          <w:b/>
          <w:bCs/>
          <w:color w:val="000000"/>
          <w:sz w:val="28"/>
          <w:szCs w:val="28"/>
          <w:u w:val="single"/>
          <w:rtl/>
        </w:rPr>
        <w:t>שו"ע:</w:t>
      </w:r>
    </w:p>
    <w:p w14:paraId="1543B7C1" w14:textId="340EA7D4" w:rsidR="00471D63" w:rsidRDefault="00471D63" w:rsidP="00471D63">
      <w:pPr>
        <w:rPr>
          <w:rFonts w:cs="Arial"/>
          <w:rtl/>
        </w:rPr>
      </w:pPr>
      <w:r>
        <w:rPr>
          <w:rFonts w:cs="Arial"/>
          <w:rtl/>
        </w:rPr>
        <w:t>יש מי שאומר דהא דכופין לעלות לא</w:t>
      </w:r>
      <w:r w:rsidR="00557191">
        <w:rPr>
          <w:rFonts w:cs="Arial" w:hint="cs"/>
          <w:rtl/>
        </w:rPr>
        <w:t xml:space="preserve">רץ </w:t>
      </w:r>
      <w:r>
        <w:rPr>
          <w:rFonts w:cs="Arial"/>
          <w:rtl/>
        </w:rPr>
        <w:t>י</w:t>
      </w:r>
      <w:r w:rsidR="00557191">
        <w:rPr>
          <w:rFonts w:cs="Arial" w:hint="cs"/>
          <w:rtl/>
        </w:rPr>
        <w:t>שראל</w:t>
      </w:r>
      <w:r>
        <w:rPr>
          <w:rFonts w:cs="Arial"/>
          <w:rtl/>
        </w:rPr>
        <w:t>, היינו בדאיפשר בלא סכנה</w:t>
      </w:r>
      <w:r w:rsidR="005B353B">
        <w:rPr>
          <w:rFonts w:cs="Arial" w:hint="cs"/>
          <w:rtl/>
        </w:rPr>
        <w:t>.</w:t>
      </w:r>
      <w:r>
        <w:rPr>
          <w:rFonts w:cs="Arial"/>
          <w:rtl/>
        </w:rPr>
        <w:t xml:space="preserve"> הילכך</w:t>
      </w:r>
      <w:r w:rsidR="005B353B">
        <w:rPr>
          <w:rFonts w:cs="Arial" w:hint="cs"/>
          <w:rtl/>
        </w:rPr>
        <w:t>,</w:t>
      </w:r>
      <w:r>
        <w:rPr>
          <w:rFonts w:cs="Arial"/>
          <w:rtl/>
        </w:rPr>
        <w:t xml:space="preserve"> מסוף המערב עד נוא אמון</w:t>
      </w:r>
      <w:r w:rsidR="005B353B">
        <w:rPr>
          <w:rFonts w:cs="Arial" w:hint="cs"/>
          <w:rtl/>
        </w:rPr>
        <w:t>,</w:t>
      </w:r>
      <w:r>
        <w:rPr>
          <w:rFonts w:cs="Arial"/>
          <w:rtl/>
        </w:rPr>
        <w:t xml:space="preserve"> אין כופין לעלות</w:t>
      </w:r>
      <w:r w:rsidR="005B353B">
        <w:rPr>
          <w:rFonts w:cs="Arial" w:hint="cs"/>
          <w:rtl/>
        </w:rPr>
        <w:t>.</w:t>
      </w:r>
      <w:r>
        <w:rPr>
          <w:rFonts w:cs="Arial"/>
          <w:rtl/>
        </w:rPr>
        <w:t xml:space="preserve"> ומנוא אמון ולמעלה</w:t>
      </w:r>
      <w:r w:rsidR="005B353B">
        <w:rPr>
          <w:rFonts w:cs="Arial" w:hint="cs"/>
          <w:rtl/>
        </w:rPr>
        <w:t>,</w:t>
      </w:r>
      <w:r>
        <w:rPr>
          <w:rFonts w:cs="Arial"/>
          <w:rtl/>
        </w:rPr>
        <w:t xml:space="preserve"> כופין לעלות דרך יבשה</w:t>
      </w:r>
      <w:r w:rsidR="005B353B">
        <w:rPr>
          <w:rFonts w:cs="Arial" w:hint="cs"/>
          <w:rtl/>
        </w:rPr>
        <w:t>.</w:t>
      </w:r>
      <w:r>
        <w:rPr>
          <w:rFonts w:cs="Arial"/>
          <w:rtl/>
        </w:rPr>
        <w:t xml:space="preserve"> וגם דרך ים בימות החמה, אם אין שם לסטים.</w:t>
      </w:r>
    </w:p>
    <w:p w14:paraId="40DCB8C0" w14:textId="7B232A54" w:rsidR="00356471" w:rsidRPr="00D17A28" w:rsidRDefault="00356471" w:rsidP="00D17A28">
      <w:pPr>
        <w:rPr>
          <w:rFonts w:cs="Arial"/>
          <w:rtl/>
        </w:rPr>
      </w:pPr>
    </w:p>
    <w:p w14:paraId="3CBED4E1" w14:textId="7C9EDEBC" w:rsidR="00471D63" w:rsidRPr="00471D63" w:rsidRDefault="00471D63" w:rsidP="00471D63">
      <w:pPr>
        <w:rPr>
          <w:rtl/>
        </w:rPr>
        <w:sectPr w:rsidR="00471D63" w:rsidRPr="00471D63" w:rsidSect="00A347B3">
          <w:headerReference w:type="default" r:id="rId18"/>
          <w:footnotePr>
            <w:numRestart w:val="eachSect"/>
          </w:footnotePr>
          <w:pgSz w:w="11906" w:h="16838"/>
          <w:pgMar w:top="720" w:right="1134" w:bottom="720" w:left="1134" w:header="0" w:footer="0" w:gutter="0"/>
          <w:cols w:space="720"/>
          <w:bidi/>
          <w:rtlGutter/>
          <w:docGrid w:linePitch="360"/>
        </w:sectPr>
      </w:pPr>
    </w:p>
    <w:p w14:paraId="535B27D5" w14:textId="754D97A0" w:rsidR="006F6308" w:rsidRDefault="00CF641B" w:rsidP="006F6308">
      <w:pPr>
        <w:pStyle w:val="1"/>
        <w:rPr>
          <w:rtl/>
        </w:rPr>
      </w:pPr>
      <w:r>
        <w:rPr>
          <w:rFonts w:hint="cs"/>
          <w:rtl/>
        </w:rPr>
        <w:lastRenderedPageBreak/>
        <w:t xml:space="preserve">סימן </w:t>
      </w:r>
      <w:r w:rsidR="00C16F61">
        <w:rPr>
          <w:rFonts w:hint="cs"/>
          <w:rtl/>
        </w:rPr>
        <w:t>ע</w:t>
      </w:r>
      <w:r w:rsidR="006F6308">
        <w:rPr>
          <w:rFonts w:hint="cs"/>
          <w:rtl/>
        </w:rPr>
        <w:t>ו</w:t>
      </w:r>
      <w:r>
        <w:rPr>
          <w:rFonts w:hint="cs"/>
          <w:rtl/>
        </w:rPr>
        <w:t>:</w:t>
      </w:r>
      <w:r w:rsidRPr="00C12B74">
        <w:rPr>
          <w:rtl/>
        </w:rPr>
        <w:t xml:space="preserve"> </w:t>
      </w:r>
      <w:r w:rsidR="006F6308">
        <w:rPr>
          <w:rFonts w:cs="Arial"/>
          <w:rtl/>
        </w:rPr>
        <w:t xml:space="preserve">חיוב עונה, ובו י"ג סעיפים. </w:t>
      </w:r>
    </w:p>
    <w:p w14:paraId="24C01DE8" w14:textId="7C2C1AD6" w:rsidR="00587628" w:rsidRDefault="006F6308" w:rsidP="000F64D0">
      <w:pPr>
        <w:pStyle w:val="2"/>
        <w:rPr>
          <w:rtl/>
        </w:rPr>
      </w:pPr>
      <w:r>
        <w:rPr>
          <w:rtl/>
        </w:rPr>
        <w:t>סעיף א</w:t>
      </w:r>
      <w:r w:rsidR="00587628">
        <w:rPr>
          <w:rFonts w:hint="cs"/>
          <w:rtl/>
        </w:rPr>
        <w:t>:</w:t>
      </w:r>
      <w:r w:rsidR="00C6007E">
        <w:rPr>
          <w:rFonts w:hint="cs"/>
          <w:rtl/>
        </w:rPr>
        <w:t xml:space="preserve"> טיילים.</w:t>
      </w:r>
    </w:p>
    <w:p w14:paraId="430E90AF" w14:textId="0FBB11B4" w:rsidR="00091A67" w:rsidRPr="00091A67" w:rsidRDefault="00091A67" w:rsidP="00091A67">
      <w:pPr>
        <w:rPr>
          <w:rtl/>
        </w:rPr>
      </w:pPr>
      <w:r w:rsidRPr="00AA00D2">
        <w:rPr>
          <w:rFonts w:cs="Arial"/>
          <w:b/>
          <w:bCs/>
          <w:rtl/>
        </w:rPr>
        <w:t xml:space="preserve">כתובות </w:t>
      </w:r>
      <w:r w:rsidRPr="00AA00D2">
        <w:rPr>
          <w:rFonts w:cs="Arial" w:hint="cs"/>
          <w:b/>
          <w:bCs/>
          <w:sz w:val="16"/>
          <w:szCs w:val="16"/>
          <w:rtl/>
        </w:rPr>
        <w:t>(</w:t>
      </w:r>
      <w:r w:rsidRPr="00AA00D2">
        <w:rPr>
          <w:rFonts w:cs="Arial"/>
          <w:b/>
          <w:bCs/>
          <w:sz w:val="16"/>
          <w:szCs w:val="16"/>
          <w:rtl/>
        </w:rPr>
        <w:t xml:space="preserve">פ' </w:t>
      </w:r>
      <w:r>
        <w:rPr>
          <w:rFonts w:cs="Arial" w:hint="cs"/>
          <w:b/>
          <w:bCs/>
          <w:sz w:val="16"/>
          <w:szCs w:val="16"/>
          <w:rtl/>
        </w:rPr>
        <w:t>אף על פי</w:t>
      </w:r>
      <w:r w:rsidRPr="00AA00D2">
        <w:rPr>
          <w:rFonts w:cs="Arial" w:hint="cs"/>
          <w:b/>
          <w:bCs/>
          <w:sz w:val="16"/>
          <w:szCs w:val="16"/>
          <w:rtl/>
        </w:rPr>
        <w:t>)</w:t>
      </w:r>
      <w:r w:rsidRPr="00AA00D2">
        <w:rPr>
          <w:rFonts w:cs="Arial"/>
          <w:b/>
          <w:bCs/>
          <w:rtl/>
        </w:rPr>
        <w:t xml:space="preserve"> </w:t>
      </w:r>
      <w:r>
        <w:rPr>
          <w:rFonts w:cs="Arial" w:hint="cs"/>
          <w:b/>
          <w:bCs/>
          <w:rtl/>
        </w:rPr>
        <w:t>סא</w:t>
      </w:r>
      <w:r w:rsidR="00D3490F">
        <w:rPr>
          <w:rStyle w:val="a7"/>
          <w:rFonts w:cs="Arial"/>
          <w:b/>
          <w:bCs/>
          <w:rtl/>
        </w:rPr>
        <w:footnoteReference w:id="445"/>
      </w:r>
      <w:r w:rsidRPr="00AA00D2">
        <w:rPr>
          <w:rFonts w:cs="Arial" w:hint="cs"/>
          <w:b/>
          <w:bCs/>
          <w:rtl/>
        </w:rPr>
        <w:t xml:space="preserve"> ע"</w:t>
      </w:r>
      <w:r>
        <w:rPr>
          <w:rFonts w:cs="Arial" w:hint="cs"/>
          <w:b/>
          <w:bCs/>
          <w:rtl/>
        </w:rPr>
        <w:t>ב</w:t>
      </w:r>
      <w:r w:rsidRPr="00AA00D2">
        <w:rPr>
          <w:rFonts w:cs="Arial"/>
          <w:b/>
          <w:bCs/>
          <w:rtl/>
        </w:rPr>
        <w:t>:</w:t>
      </w:r>
      <w:r w:rsidRPr="00AA00D2">
        <w:rPr>
          <w:rFonts w:cs="Arial" w:hint="cs"/>
          <w:rtl/>
        </w:rPr>
        <w:t xml:space="preserve"> </w:t>
      </w:r>
      <w:r w:rsidRPr="00AA00D2">
        <w:rPr>
          <w:rFonts w:cs="Arial"/>
          <w:u w:val="double"/>
          <w:rtl/>
        </w:rPr>
        <w:t>מתני'</w:t>
      </w:r>
      <w:r w:rsidRPr="00AA00D2">
        <w:rPr>
          <w:rFonts w:cs="Arial" w:hint="cs"/>
          <w:rtl/>
        </w:rPr>
        <w:t>:</w:t>
      </w:r>
      <w:r w:rsidRPr="00DE6B68">
        <w:rPr>
          <w:rFonts w:cs="Arial"/>
          <w:rtl/>
        </w:rPr>
        <w:t xml:space="preserve"> המדיר את אשתו מתשמיש המטה, </w:t>
      </w:r>
      <w:r w:rsidRPr="00DE6B68">
        <w:rPr>
          <w:rFonts w:cs="Arial"/>
          <w:u w:val="single"/>
          <w:rtl/>
        </w:rPr>
        <w:t>ב"ש אומרים</w:t>
      </w:r>
      <w:r w:rsidRPr="00DE6B68">
        <w:rPr>
          <w:rFonts w:cs="Arial"/>
          <w:rtl/>
        </w:rPr>
        <w:t xml:space="preserve">: שתי שבתות, </w:t>
      </w:r>
      <w:r w:rsidRPr="00DE6B68">
        <w:rPr>
          <w:rFonts w:cs="Arial"/>
          <w:u w:val="single"/>
          <w:rtl/>
        </w:rPr>
        <w:t>בית הלל אומרים</w:t>
      </w:r>
      <w:r w:rsidRPr="00DE6B68">
        <w:rPr>
          <w:rFonts w:cs="Arial"/>
          <w:rtl/>
        </w:rPr>
        <w:t xml:space="preserve">: שבת אחת. התלמידים יוצאין לתלמוד תורה שלא ברשות שלשים יום, הפועלים - שבת אחת. העונה האמורה בתורה, הטיילין - בכל יום, הפועלים - שתים בשבת, החמרים - אחת בשבת, הגמלים - אחת לשלשים יום, הספנים - אחת לששה חדשים, </w:t>
      </w:r>
      <w:r w:rsidRPr="00DE6B68">
        <w:rPr>
          <w:rFonts w:cs="Arial"/>
          <w:u w:val="single"/>
          <w:rtl/>
        </w:rPr>
        <w:t>דברי רבי אליעזר</w:t>
      </w:r>
      <w:r w:rsidRPr="00DE6B68">
        <w:rPr>
          <w:rFonts w:cs="Arial"/>
          <w:rtl/>
        </w:rPr>
        <w:t>.</w:t>
      </w:r>
      <w:r>
        <w:rPr>
          <w:rFonts w:hint="cs"/>
          <w:rtl/>
        </w:rPr>
        <w:t xml:space="preserve">      </w:t>
      </w:r>
      <w:r>
        <w:rPr>
          <w:rFonts w:cs="Arial" w:hint="cs"/>
          <w:u w:val="double"/>
          <w:rtl/>
        </w:rPr>
        <w:t>גמ</w:t>
      </w:r>
      <w:r w:rsidRPr="00AA00D2">
        <w:rPr>
          <w:rFonts w:cs="Arial"/>
          <w:u w:val="double"/>
          <w:rtl/>
        </w:rPr>
        <w:t>'</w:t>
      </w:r>
      <w:r>
        <w:rPr>
          <w:rFonts w:cs="Arial" w:hint="cs"/>
          <w:sz w:val="14"/>
          <w:szCs w:val="14"/>
          <w:u w:val="double"/>
          <w:rtl/>
        </w:rPr>
        <w:t>(סב.)</w:t>
      </w:r>
      <w:r>
        <w:rPr>
          <w:rFonts w:cs="Arial" w:hint="cs"/>
          <w:u w:val="double"/>
          <w:rtl/>
        </w:rPr>
        <w:t>:</w:t>
      </w:r>
      <w:r>
        <w:rPr>
          <w:rFonts w:cs="Arial" w:hint="cs"/>
          <w:rtl/>
        </w:rPr>
        <w:t xml:space="preserve"> </w:t>
      </w:r>
      <w:r w:rsidRPr="00DE6B68">
        <w:rPr>
          <w:rFonts w:cs="Arial"/>
          <w:rtl/>
        </w:rPr>
        <w:t xml:space="preserve">הטיילין - בכל יום. מאי טיילין? </w:t>
      </w:r>
      <w:r w:rsidRPr="00DE6B68">
        <w:rPr>
          <w:rFonts w:cs="Arial"/>
          <w:u w:val="single"/>
          <w:rtl/>
        </w:rPr>
        <w:t>אמר רבא</w:t>
      </w:r>
      <w:r w:rsidRPr="00DE6B68">
        <w:rPr>
          <w:rFonts w:cs="Arial"/>
          <w:rtl/>
        </w:rPr>
        <w:t>: בני פירקי</w:t>
      </w:r>
      <w:r>
        <w:rPr>
          <w:rStyle w:val="a7"/>
          <w:rFonts w:cs="Arial"/>
          <w:rtl/>
        </w:rPr>
        <w:footnoteReference w:id="446"/>
      </w:r>
      <w:r w:rsidRPr="00DE6B68">
        <w:rPr>
          <w:rFonts w:cs="Arial"/>
          <w:rtl/>
        </w:rPr>
        <w:t xml:space="preserve">. </w:t>
      </w:r>
      <w:r w:rsidRPr="00DE6B68">
        <w:rPr>
          <w:rFonts w:cs="Arial"/>
          <w:u w:val="single"/>
          <w:rtl/>
        </w:rPr>
        <w:t>א"ל אביי</w:t>
      </w:r>
      <w:r>
        <w:rPr>
          <w:rFonts w:cs="Arial" w:hint="cs"/>
          <w:rtl/>
        </w:rPr>
        <w:t>:</w:t>
      </w:r>
      <w:r w:rsidRPr="00DE6B68">
        <w:rPr>
          <w:rFonts w:cs="Arial"/>
          <w:rtl/>
        </w:rPr>
        <w:t xml:space="preserve"> מאן דכתיב בהו</w:t>
      </w:r>
      <w:r>
        <w:rPr>
          <w:rStyle w:val="a7"/>
          <w:rFonts w:cs="Arial"/>
          <w:rtl/>
        </w:rPr>
        <w:footnoteReference w:id="447"/>
      </w:r>
      <w:r w:rsidRPr="00DE6B68">
        <w:rPr>
          <w:rFonts w:cs="Arial"/>
          <w:rtl/>
        </w:rPr>
        <w:t>: שוא לכם משכימי קום מאחרי שבת</w:t>
      </w:r>
      <w:r>
        <w:rPr>
          <w:rStyle w:val="a7"/>
          <w:rFonts w:cs="Arial"/>
          <w:rtl/>
        </w:rPr>
        <w:footnoteReference w:id="448"/>
      </w:r>
      <w:r w:rsidRPr="00DE6B68">
        <w:rPr>
          <w:rFonts w:cs="Arial"/>
          <w:rtl/>
        </w:rPr>
        <w:t xml:space="preserve"> אוכלי לחם העצבים כן יתן לידידו שנא</w:t>
      </w:r>
      <w:r>
        <w:rPr>
          <w:rFonts w:cs="Arial" w:hint="cs"/>
          <w:rtl/>
        </w:rPr>
        <w:t>,</w:t>
      </w:r>
      <w:r w:rsidRPr="00DE6B68">
        <w:rPr>
          <w:rFonts w:cs="Arial"/>
          <w:rtl/>
        </w:rPr>
        <w:t xml:space="preserve"> </w:t>
      </w:r>
      <w:r w:rsidRPr="00DE6B68">
        <w:rPr>
          <w:rFonts w:cs="Arial"/>
          <w:u w:val="single"/>
          <w:rtl/>
        </w:rPr>
        <w:t>ואמר רב יצחק</w:t>
      </w:r>
      <w:r w:rsidRPr="00DE6B68">
        <w:rPr>
          <w:rFonts w:cs="Arial"/>
          <w:rtl/>
        </w:rPr>
        <w:t>: אלו נשותיהן של ת"ח שמנדדות שינה</w:t>
      </w:r>
      <w:r>
        <w:rPr>
          <w:rStyle w:val="a7"/>
          <w:rFonts w:cs="Arial"/>
          <w:rtl/>
        </w:rPr>
        <w:footnoteReference w:id="449"/>
      </w:r>
      <w:r w:rsidRPr="00DE6B68">
        <w:rPr>
          <w:rFonts w:cs="Arial"/>
          <w:rtl/>
        </w:rPr>
        <w:t xml:space="preserve"> מעיניהם בעוה"ז ובאות לחיי העוה"ב, ואת אמרת: בני פירקי! </w:t>
      </w:r>
      <w:r w:rsidRPr="006126F6">
        <w:rPr>
          <w:rFonts w:cs="Arial"/>
          <w:u w:val="single"/>
          <w:rtl/>
        </w:rPr>
        <w:t>אלא אמר אביי</w:t>
      </w:r>
      <w:r w:rsidRPr="00DE6B68">
        <w:rPr>
          <w:rFonts w:cs="Arial"/>
          <w:rtl/>
        </w:rPr>
        <w:t>: כדרב, דאמר רב: כגון רב שמואל בר שילת, דאכיל מדידיה ושתי מדידיה, וגני בטולא דאפדניה, ולא חליף פריסתקא דמלכא אבביה</w:t>
      </w:r>
      <w:r>
        <w:rPr>
          <w:rStyle w:val="a7"/>
          <w:rFonts w:cs="Arial"/>
          <w:rtl/>
        </w:rPr>
        <w:footnoteReference w:id="450"/>
      </w:r>
      <w:r w:rsidRPr="00DE6B68">
        <w:rPr>
          <w:rFonts w:cs="Arial"/>
          <w:rtl/>
        </w:rPr>
        <w:t xml:space="preserve">. </w:t>
      </w:r>
      <w:r w:rsidRPr="00DB78F6">
        <w:rPr>
          <w:rFonts w:cs="Arial"/>
          <w:u w:val="single"/>
          <w:rtl/>
        </w:rPr>
        <w:t>כי אתא רבין אמר</w:t>
      </w:r>
      <w:r w:rsidRPr="00DE6B68">
        <w:rPr>
          <w:rFonts w:cs="Arial"/>
          <w:rtl/>
        </w:rPr>
        <w:t>: כגון מפנקי דמערבא</w:t>
      </w:r>
      <w:r>
        <w:rPr>
          <w:rStyle w:val="a7"/>
          <w:rFonts w:cs="Arial"/>
          <w:rtl/>
        </w:rPr>
        <w:footnoteReference w:id="451"/>
      </w:r>
      <w:r w:rsidRPr="00DE6B68">
        <w:rPr>
          <w:rFonts w:cs="Arial"/>
          <w:rtl/>
        </w:rPr>
        <w:t>.</w:t>
      </w:r>
      <w:r>
        <w:rPr>
          <w:rFonts w:cs="Arial" w:hint="cs"/>
          <w:rtl/>
        </w:rPr>
        <w:t>..</w:t>
      </w:r>
      <w:r w:rsidRPr="00DE6B68">
        <w:rPr>
          <w:rFonts w:cs="Arial"/>
          <w:rtl/>
        </w:rPr>
        <w:t xml:space="preserve"> והפועלים - שתים בשבת. והתניא: הפועלים - אחת בשבת! </w:t>
      </w:r>
      <w:r w:rsidRPr="005134A8">
        <w:rPr>
          <w:rFonts w:cs="Arial"/>
          <w:u w:val="single"/>
          <w:rtl/>
        </w:rPr>
        <w:t>א</w:t>
      </w:r>
      <w:r w:rsidRPr="00CB1695">
        <w:rPr>
          <w:rFonts w:cs="Arial"/>
          <w:u w:val="single"/>
          <w:rtl/>
        </w:rPr>
        <w:t>"ר יוסי ברבי חנינא</w:t>
      </w:r>
      <w:r>
        <w:rPr>
          <w:rFonts w:cs="Arial" w:hint="cs"/>
          <w:rtl/>
        </w:rPr>
        <w:t>:</w:t>
      </w:r>
      <w:r w:rsidRPr="00DE6B68">
        <w:rPr>
          <w:rFonts w:cs="Arial"/>
          <w:rtl/>
        </w:rPr>
        <w:t xml:space="preserve"> לא קשיא</w:t>
      </w:r>
      <w:r>
        <w:rPr>
          <w:rFonts w:cs="Arial" w:hint="cs"/>
          <w:rtl/>
        </w:rPr>
        <w:t>,</w:t>
      </w:r>
      <w:r w:rsidRPr="00DE6B68">
        <w:rPr>
          <w:rFonts w:cs="Arial"/>
          <w:rtl/>
        </w:rPr>
        <w:t xml:space="preserve"> כאן בעושין מלאכה בעירן</w:t>
      </w:r>
      <w:r>
        <w:rPr>
          <w:rStyle w:val="a7"/>
          <w:rFonts w:cs="Arial"/>
          <w:rtl/>
        </w:rPr>
        <w:footnoteReference w:id="452"/>
      </w:r>
      <w:r w:rsidRPr="00DE6B68">
        <w:rPr>
          <w:rFonts w:cs="Arial"/>
          <w:rtl/>
        </w:rPr>
        <w:t xml:space="preserve">, כאן בעושין מלאכה בעיר אחרת. תניא נמי הכי: הפועלים - שתים בשבת, במה דברים אמורים - בעושין מלאכה בעירן, אבל בעושין מלאכה בעיר אחרת - אחת בשבת. החמרים - אחת בשבת. </w:t>
      </w:r>
      <w:r w:rsidRPr="00CB1695">
        <w:rPr>
          <w:rFonts w:cs="Arial"/>
          <w:u w:val="single"/>
          <w:rtl/>
        </w:rPr>
        <w:t>אמר ליה רבה בר רב חנן לאביי</w:t>
      </w:r>
      <w:r w:rsidRPr="00DE6B68">
        <w:rPr>
          <w:rFonts w:cs="Arial"/>
          <w:rtl/>
        </w:rPr>
        <w:t>: איכפל תנא לאשמועינן טייל ופועל</w:t>
      </w:r>
      <w:r>
        <w:rPr>
          <w:rStyle w:val="a7"/>
          <w:rFonts w:cs="Arial"/>
          <w:rtl/>
        </w:rPr>
        <w:footnoteReference w:id="453"/>
      </w:r>
      <w:r w:rsidRPr="00DE6B68">
        <w:rPr>
          <w:rFonts w:cs="Arial"/>
          <w:rtl/>
        </w:rPr>
        <w:t xml:space="preserve">? </w:t>
      </w:r>
      <w:r w:rsidRPr="00D51558">
        <w:rPr>
          <w:rFonts w:cs="Arial"/>
          <w:u w:val="single"/>
          <w:rtl/>
        </w:rPr>
        <w:t>אמר ליה</w:t>
      </w:r>
      <w:r w:rsidRPr="00DE6B68">
        <w:rPr>
          <w:rFonts w:cs="Arial"/>
          <w:rtl/>
        </w:rPr>
        <w:t>: לא,</w:t>
      </w:r>
      <w:r w:rsidRPr="00DB78F6">
        <w:rPr>
          <w:rtl/>
        </w:rPr>
        <w:t xml:space="preserve"> </w:t>
      </w:r>
      <w:r>
        <w:rPr>
          <w:rFonts w:hint="cs"/>
          <w:sz w:val="14"/>
          <w:szCs w:val="14"/>
          <w:rtl/>
        </w:rPr>
        <w:t xml:space="preserve">(סב:) </w:t>
      </w:r>
      <w:r w:rsidRPr="00DB78F6">
        <w:rPr>
          <w:rFonts w:cs="Arial"/>
          <w:rtl/>
        </w:rPr>
        <w:t>אכולהו</w:t>
      </w:r>
      <w:r>
        <w:rPr>
          <w:rStyle w:val="a7"/>
          <w:rFonts w:cs="Arial"/>
          <w:rtl/>
        </w:rPr>
        <w:footnoteReference w:id="454"/>
      </w:r>
      <w:r w:rsidRPr="00DB78F6">
        <w:rPr>
          <w:rFonts w:cs="Arial"/>
          <w:rtl/>
        </w:rPr>
        <w:t>. והא</w:t>
      </w:r>
      <w:r>
        <w:rPr>
          <w:rStyle w:val="a7"/>
          <w:rFonts w:cs="Arial"/>
          <w:rtl/>
        </w:rPr>
        <w:footnoteReference w:id="455"/>
      </w:r>
      <w:r w:rsidRPr="00DB78F6">
        <w:rPr>
          <w:rFonts w:cs="Arial"/>
          <w:rtl/>
        </w:rPr>
        <w:t xml:space="preserve"> ששה חדשים קאמר! אינו דומה</w:t>
      </w:r>
      <w:r>
        <w:rPr>
          <w:rStyle w:val="a7"/>
          <w:rFonts w:cs="Arial"/>
          <w:rtl/>
        </w:rPr>
        <w:footnoteReference w:id="456"/>
      </w:r>
      <w:r w:rsidRPr="00DB78F6">
        <w:rPr>
          <w:rFonts w:cs="Arial"/>
          <w:rtl/>
        </w:rPr>
        <w:t xml:space="preserve"> מי שיש לו פת בסלו למי שאין לו פת בסלו.</w:t>
      </w:r>
      <w:r w:rsidR="00A06E0D">
        <w:rPr>
          <w:rFonts w:cs="Arial" w:hint="cs"/>
          <w:rtl/>
        </w:rPr>
        <w:t>..</w:t>
      </w:r>
      <w:r w:rsidR="00A06E0D" w:rsidRPr="00A06E0D">
        <w:rPr>
          <w:rFonts w:cs="Arial"/>
          <w:rtl/>
        </w:rPr>
        <w:t xml:space="preserve"> </w:t>
      </w:r>
      <w:r w:rsidR="007655E0">
        <w:rPr>
          <w:rFonts w:cs="Arial" w:hint="cs"/>
          <w:rtl/>
        </w:rPr>
        <w:t>'</w:t>
      </w:r>
      <w:r w:rsidR="00A06E0D" w:rsidRPr="00DB78F6">
        <w:rPr>
          <w:rFonts w:cs="Arial"/>
          <w:rtl/>
        </w:rPr>
        <w:t>הספנים אחת לששה חדשים דברי ר' אליעזר</w:t>
      </w:r>
      <w:r w:rsidR="007655E0">
        <w:rPr>
          <w:rFonts w:cs="Arial" w:hint="cs"/>
          <w:rtl/>
        </w:rPr>
        <w:t>'</w:t>
      </w:r>
      <w:r w:rsidR="00A06E0D" w:rsidRPr="00DB78F6">
        <w:rPr>
          <w:rFonts w:cs="Arial"/>
          <w:rtl/>
        </w:rPr>
        <w:t xml:space="preserve">. </w:t>
      </w:r>
      <w:r w:rsidR="00A06E0D" w:rsidRPr="00CB1695">
        <w:rPr>
          <w:rFonts w:cs="Arial"/>
          <w:u w:val="single"/>
          <w:rtl/>
        </w:rPr>
        <w:t>אמר רב ברונא אמר רב</w:t>
      </w:r>
      <w:r w:rsidR="00A06E0D" w:rsidRPr="00DB78F6">
        <w:rPr>
          <w:rFonts w:cs="Arial"/>
          <w:rtl/>
        </w:rPr>
        <w:t xml:space="preserve">: הלכה כר"א. </w:t>
      </w:r>
      <w:r w:rsidR="00A06E0D" w:rsidRPr="00CB1695">
        <w:rPr>
          <w:rFonts w:cs="Arial"/>
          <w:u w:val="single"/>
          <w:rtl/>
        </w:rPr>
        <w:t>אמר רב אדא בר אהבה אמר רב</w:t>
      </w:r>
      <w:r w:rsidR="00A06E0D" w:rsidRPr="00DB78F6">
        <w:rPr>
          <w:rFonts w:cs="Arial"/>
          <w:rtl/>
        </w:rPr>
        <w:t>: זו דברי ר' אליעזר, אבל חכמים אומרים: התלמידים יוצאין לת"ת ב' וג' שנים שלא ברשות.</w:t>
      </w:r>
      <w:r w:rsidR="00A06E0D">
        <w:rPr>
          <w:rFonts w:cs="Arial" w:hint="cs"/>
          <w:rtl/>
        </w:rPr>
        <w:t xml:space="preserve">.. </w:t>
      </w:r>
      <w:r w:rsidR="00A06E0D" w:rsidRPr="000D1DCE">
        <w:rPr>
          <w:rFonts w:cs="Arial"/>
          <w:rtl/>
        </w:rPr>
        <w:t xml:space="preserve">עונה של תלמידי חכמים אימת? </w:t>
      </w:r>
      <w:r w:rsidR="00A06E0D" w:rsidRPr="000D1DCE">
        <w:rPr>
          <w:rFonts w:cs="Arial"/>
          <w:u w:val="single"/>
          <w:rtl/>
        </w:rPr>
        <w:t>אמר רב יהודה אמר שמואל</w:t>
      </w:r>
      <w:r w:rsidR="00A06E0D" w:rsidRPr="000D1DCE">
        <w:rPr>
          <w:rFonts w:cs="Arial"/>
          <w:rtl/>
        </w:rPr>
        <w:t xml:space="preserve">: מע"ש לע"ש. אשר פריו יתן בעתו - </w:t>
      </w:r>
      <w:r w:rsidR="00A06E0D" w:rsidRPr="000D1DCE">
        <w:rPr>
          <w:rFonts w:cs="Arial"/>
          <w:u w:val="single"/>
          <w:rtl/>
        </w:rPr>
        <w:t>אמר רב יהודה, ואיתימא רב הונא, ואיתימא רב נחמן</w:t>
      </w:r>
      <w:r w:rsidR="00A06E0D" w:rsidRPr="000D1DCE">
        <w:rPr>
          <w:rFonts w:cs="Arial"/>
          <w:rtl/>
        </w:rPr>
        <w:t>: זה המשמש מטתו מע"ש לע"ש.</w:t>
      </w:r>
    </w:p>
    <w:p w14:paraId="25AD7CCB" w14:textId="12AD4DD9" w:rsidR="00BE2C85" w:rsidRPr="00BE2C85" w:rsidRDefault="00BE2C85" w:rsidP="00BE2C85">
      <w:pPr>
        <w:rPr>
          <w:u w:val="single"/>
          <w:rtl/>
        </w:rPr>
      </w:pPr>
      <w:r>
        <w:rPr>
          <w:rFonts w:hint="cs"/>
          <w:u w:val="single"/>
          <w:rtl/>
        </w:rPr>
        <w:t xml:space="preserve">כמה הוא </w:t>
      </w:r>
      <w:r w:rsidRPr="00BE2C85">
        <w:rPr>
          <w:rFonts w:hint="cs"/>
          <w:u w:val="single"/>
          <w:rtl/>
        </w:rPr>
        <w:t>חיוב עונה על הבעל:</w:t>
      </w:r>
    </w:p>
    <w:p w14:paraId="1CA4ED6A" w14:textId="2A5D7516" w:rsidR="007F7735" w:rsidRDefault="00091A67" w:rsidP="00091A67">
      <w:pPr>
        <w:pStyle w:val="ab"/>
        <w:numPr>
          <w:ilvl w:val="0"/>
          <w:numId w:val="7"/>
        </w:numPr>
        <w:rPr>
          <w:rFonts w:cs="Arial"/>
        </w:rPr>
      </w:pPr>
      <w:r>
        <w:rPr>
          <w:rFonts w:cs="Arial" w:hint="cs"/>
          <w:rtl/>
        </w:rPr>
        <w:t xml:space="preserve">טור- </w:t>
      </w:r>
      <w:r w:rsidR="007D3451" w:rsidRPr="007D3451">
        <w:rPr>
          <w:rFonts w:cs="Arial"/>
          <w:rtl/>
        </w:rPr>
        <w:t>חייב בעונתה כיצד</w:t>
      </w:r>
      <w:r w:rsidR="00BE2C85">
        <w:rPr>
          <w:rFonts w:cs="Arial" w:hint="cs"/>
          <w:rtl/>
        </w:rPr>
        <w:t>,</w:t>
      </w:r>
      <w:r w:rsidR="007D3451" w:rsidRPr="007D3451">
        <w:rPr>
          <w:rFonts w:cs="Arial"/>
          <w:rtl/>
        </w:rPr>
        <w:t xml:space="preserve"> כל א' כפי כחו וכפי מלאכתו</w:t>
      </w:r>
      <w:r w:rsidR="00BE2C85">
        <w:rPr>
          <w:rFonts w:cs="Arial" w:hint="cs"/>
          <w:rtl/>
        </w:rPr>
        <w:t>.</w:t>
      </w:r>
      <w:r w:rsidR="00BE2C85" w:rsidRPr="00091A67">
        <w:rPr>
          <w:rFonts w:cs="Arial" w:hint="cs"/>
          <w:rtl/>
        </w:rPr>
        <w:t xml:space="preserve"> </w:t>
      </w:r>
      <w:r w:rsidR="00B31DD2" w:rsidRPr="004B3BCF">
        <w:rPr>
          <w:rFonts w:hint="cs"/>
          <w:color w:val="E36C0A" w:themeColor="accent6" w:themeShade="BF"/>
          <w:rtl/>
        </w:rPr>
        <w:t>(וכ"פ בשו"ע)</w:t>
      </w:r>
    </w:p>
    <w:p w14:paraId="45F04DCE" w14:textId="1F29ED17" w:rsidR="007F7735" w:rsidRPr="007F7735" w:rsidRDefault="007F7735" w:rsidP="007F7735">
      <w:pPr>
        <w:ind w:left="360"/>
        <w:rPr>
          <w:rFonts w:cs="Arial"/>
          <w:u w:val="dotted"/>
        </w:rPr>
      </w:pPr>
      <w:r w:rsidRPr="007F7735">
        <w:rPr>
          <w:rFonts w:cs="Arial" w:hint="cs"/>
          <w:u w:val="dotted"/>
          <w:rtl/>
        </w:rPr>
        <w:t>טיילים:</w:t>
      </w:r>
    </w:p>
    <w:p w14:paraId="2C1BFC8D" w14:textId="5BAEE9C3" w:rsidR="00BE2C85" w:rsidRPr="00091A67" w:rsidRDefault="007F7735" w:rsidP="00091A67">
      <w:pPr>
        <w:pStyle w:val="ab"/>
        <w:numPr>
          <w:ilvl w:val="0"/>
          <w:numId w:val="7"/>
        </w:numPr>
        <w:rPr>
          <w:rFonts w:cs="Arial"/>
        </w:rPr>
      </w:pPr>
      <w:r>
        <w:rPr>
          <w:rFonts w:cs="Arial" w:hint="cs"/>
          <w:rtl/>
        </w:rPr>
        <w:t xml:space="preserve">טור- </w:t>
      </w:r>
      <w:r w:rsidR="007D3451" w:rsidRPr="00091A67">
        <w:rPr>
          <w:rFonts w:cs="Arial"/>
          <w:rtl/>
        </w:rPr>
        <w:t>הבטלים שאין להם מלאכה והם בריאים ומעונגים ואין פורעים מס</w:t>
      </w:r>
      <w:r w:rsidR="00091A67">
        <w:rPr>
          <w:rStyle w:val="a7"/>
          <w:rFonts w:cs="Arial"/>
          <w:rtl/>
        </w:rPr>
        <w:footnoteReference w:id="457"/>
      </w:r>
      <w:r w:rsidR="007D3451" w:rsidRPr="00091A67">
        <w:rPr>
          <w:rFonts w:cs="Arial"/>
          <w:rtl/>
        </w:rPr>
        <w:t xml:space="preserve"> אלא אוכלין ושותין ויושבין בבתיהם </w:t>
      </w:r>
      <w:r w:rsidR="00BE2C85" w:rsidRPr="00091A67">
        <w:rPr>
          <w:rFonts w:cs="Arial" w:hint="cs"/>
          <w:rtl/>
        </w:rPr>
        <w:t xml:space="preserve">- </w:t>
      </w:r>
      <w:r w:rsidR="007D3451" w:rsidRPr="00091A67">
        <w:rPr>
          <w:rFonts w:cs="Arial"/>
          <w:rtl/>
        </w:rPr>
        <w:t>עונתן בכל לילה</w:t>
      </w:r>
      <w:r w:rsidR="00BE2C85" w:rsidRPr="00091A67">
        <w:rPr>
          <w:rFonts w:cs="Arial" w:hint="cs"/>
          <w:rtl/>
        </w:rPr>
        <w:t>.</w:t>
      </w:r>
      <w:r w:rsidR="007D3451" w:rsidRPr="00091A67">
        <w:rPr>
          <w:rFonts w:cs="Arial"/>
          <w:rtl/>
        </w:rPr>
        <w:t xml:space="preserve"> </w:t>
      </w:r>
    </w:p>
    <w:p w14:paraId="353BA56D" w14:textId="604AC4B7" w:rsidR="00D15BB3" w:rsidRDefault="00D15BB3" w:rsidP="007D3451">
      <w:pPr>
        <w:pStyle w:val="ab"/>
        <w:numPr>
          <w:ilvl w:val="0"/>
          <w:numId w:val="7"/>
        </w:numPr>
        <w:rPr>
          <w:rFonts w:cs="Arial"/>
        </w:rPr>
      </w:pPr>
      <w:r>
        <w:rPr>
          <w:rFonts w:cs="Arial"/>
          <w:rtl/>
        </w:rPr>
        <w:t xml:space="preserve">רמב"ם </w:t>
      </w:r>
      <w:r w:rsidRPr="00091A67">
        <w:rPr>
          <w:rFonts w:cs="Arial"/>
          <w:sz w:val="16"/>
          <w:szCs w:val="16"/>
          <w:rtl/>
        </w:rPr>
        <w:t>(פי"ד מאישות ה"א)</w:t>
      </w:r>
      <w:r w:rsidR="00091A67">
        <w:rPr>
          <w:rFonts w:cs="Arial" w:hint="cs"/>
          <w:rtl/>
        </w:rPr>
        <w:t>-</w:t>
      </w:r>
      <w:r>
        <w:rPr>
          <w:rFonts w:cs="Arial"/>
          <w:rtl/>
        </w:rPr>
        <w:t xml:space="preserve"> </w:t>
      </w:r>
      <w:r w:rsidR="00091A67" w:rsidRPr="00091A67">
        <w:rPr>
          <w:rFonts w:cs="Arial"/>
          <w:rtl/>
        </w:rPr>
        <w:t xml:space="preserve">בני אדם הבריאים הרכים והענוגים שאין להם מלאכה שמכשלת כחן אלא אוכלין ושותין ויושבין בבתיהן </w:t>
      </w:r>
      <w:r w:rsidR="00091A67">
        <w:rPr>
          <w:rFonts w:cs="Arial" w:hint="cs"/>
          <w:rtl/>
        </w:rPr>
        <w:t xml:space="preserve">- </w:t>
      </w:r>
      <w:r w:rsidR="00091A67" w:rsidRPr="00091A67">
        <w:rPr>
          <w:rFonts w:cs="Arial"/>
          <w:rtl/>
        </w:rPr>
        <w:t>עונתן בכל לילה</w:t>
      </w:r>
      <w:r>
        <w:rPr>
          <w:rFonts w:cs="Arial"/>
          <w:rtl/>
        </w:rPr>
        <w:t>.</w:t>
      </w:r>
    </w:p>
    <w:p w14:paraId="10D1662A" w14:textId="5ED85B9A" w:rsidR="00F67415" w:rsidRPr="00747F53" w:rsidRDefault="007F7735" w:rsidP="00747F53">
      <w:pPr>
        <w:ind w:left="360"/>
        <w:rPr>
          <w:rFonts w:cs="Arial"/>
          <w:u w:val="dotted"/>
        </w:rPr>
      </w:pPr>
      <w:r>
        <w:rPr>
          <w:rFonts w:cs="Arial" w:hint="cs"/>
          <w:u w:val="dotted"/>
          <w:rtl/>
        </w:rPr>
        <w:t>פועלים</w:t>
      </w:r>
      <w:r w:rsidR="00BE2C85" w:rsidRPr="00BE2C85">
        <w:rPr>
          <w:rFonts w:cs="Arial" w:hint="cs"/>
          <w:u w:val="dotted"/>
          <w:rtl/>
        </w:rPr>
        <w:t>:</w:t>
      </w:r>
    </w:p>
    <w:p w14:paraId="1AEF0E71" w14:textId="141484C5" w:rsidR="007F7735" w:rsidRDefault="00D75AB0" w:rsidP="007D3451">
      <w:pPr>
        <w:pStyle w:val="ab"/>
        <w:numPr>
          <w:ilvl w:val="0"/>
          <w:numId w:val="7"/>
        </w:numPr>
        <w:rPr>
          <w:rFonts w:cs="Arial"/>
        </w:rPr>
      </w:pPr>
      <w:r>
        <w:rPr>
          <w:rFonts w:cs="Arial" w:hint="cs"/>
          <w:rtl/>
        </w:rPr>
        <w:t xml:space="preserve">ר"י בר ברוך </w:t>
      </w:r>
      <w:r>
        <w:rPr>
          <w:rFonts w:cs="Arial" w:hint="cs"/>
          <w:sz w:val="16"/>
          <w:szCs w:val="16"/>
          <w:rtl/>
        </w:rPr>
        <w:t>(כ"כ התוס' [ד"ה והתניא] בשמו)</w:t>
      </w:r>
      <w:r>
        <w:rPr>
          <w:rFonts w:cs="Arial" w:hint="cs"/>
          <w:rtl/>
        </w:rPr>
        <w:t xml:space="preserve"> </w:t>
      </w:r>
      <w:r w:rsidR="007F7735">
        <w:rPr>
          <w:rFonts w:cs="Arial"/>
          <w:rtl/>
        </w:rPr>
        <w:t>רא"ש</w:t>
      </w:r>
      <w:r w:rsidR="007F7735" w:rsidRPr="007F7735">
        <w:rPr>
          <w:rFonts w:cs="Arial"/>
          <w:sz w:val="16"/>
          <w:szCs w:val="16"/>
          <w:rtl/>
        </w:rPr>
        <w:t xml:space="preserve"> (סי' כט)</w:t>
      </w:r>
      <w:r w:rsidR="007F7735">
        <w:rPr>
          <w:rFonts w:cs="Arial" w:hint="cs"/>
          <w:rtl/>
        </w:rPr>
        <w:t xml:space="preserve"> ו</w:t>
      </w:r>
      <w:r w:rsidR="00BE2C85">
        <w:rPr>
          <w:rFonts w:cs="Arial" w:hint="cs"/>
          <w:rtl/>
        </w:rPr>
        <w:t xml:space="preserve">טור- </w:t>
      </w:r>
      <w:r w:rsidR="007D3451" w:rsidRPr="007D3451">
        <w:rPr>
          <w:rFonts w:cs="Arial"/>
          <w:rtl/>
        </w:rPr>
        <w:t>ומי שיש לו מלאכה כגון חייט או אורג או בנאי וכיוצא בו</w:t>
      </w:r>
      <w:r w:rsidR="00BE2C85">
        <w:rPr>
          <w:rFonts w:cs="Arial" w:hint="cs"/>
          <w:rtl/>
        </w:rPr>
        <w:t>,</w:t>
      </w:r>
      <w:r w:rsidR="007D3451" w:rsidRPr="007D3451">
        <w:rPr>
          <w:rFonts w:cs="Arial"/>
          <w:rtl/>
        </w:rPr>
        <w:t xml:space="preserve"> ועושה מלאכה בעירו </w:t>
      </w:r>
      <w:r w:rsidR="00BE2C85">
        <w:rPr>
          <w:rFonts w:cs="Arial" w:hint="cs"/>
          <w:rtl/>
        </w:rPr>
        <w:t xml:space="preserve">- </w:t>
      </w:r>
      <w:r w:rsidR="007D3451" w:rsidRPr="007D3451">
        <w:rPr>
          <w:rFonts w:cs="Arial"/>
          <w:rtl/>
        </w:rPr>
        <w:t>עונתו ב' פעמים בשבת</w:t>
      </w:r>
      <w:r w:rsidR="00BE2C85">
        <w:rPr>
          <w:rFonts w:cs="Arial" w:hint="cs"/>
          <w:rtl/>
        </w:rPr>
        <w:t>.</w:t>
      </w:r>
      <w:r w:rsidR="007D3451" w:rsidRPr="007D3451">
        <w:rPr>
          <w:rFonts w:cs="Arial"/>
          <w:rtl/>
        </w:rPr>
        <w:t xml:space="preserve"> ואם עושה מלאכה בעיר אחרת ובא ולן בכל לילה בביתו</w:t>
      </w:r>
      <w:r w:rsidR="00BE2C85">
        <w:rPr>
          <w:rFonts w:cs="Arial" w:hint="cs"/>
          <w:rtl/>
        </w:rPr>
        <w:t xml:space="preserve"> -</w:t>
      </w:r>
      <w:r w:rsidR="007D3451" w:rsidRPr="007D3451">
        <w:rPr>
          <w:rFonts w:cs="Arial"/>
          <w:rtl/>
        </w:rPr>
        <w:t xml:space="preserve"> </w:t>
      </w:r>
      <w:r w:rsidR="007D3451" w:rsidRPr="007D3451">
        <w:rPr>
          <w:rFonts w:cs="Arial"/>
          <w:rtl/>
        </w:rPr>
        <w:lastRenderedPageBreak/>
        <w:t>די לו בעונה אחת בשבוע מפני טורח הדרך</w:t>
      </w:r>
      <w:r w:rsidR="00BE2C85">
        <w:rPr>
          <w:rFonts w:cs="Arial" w:hint="cs"/>
          <w:rtl/>
        </w:rPr>
        <w:t>.</w:t>
      </w:r>
      <w:r w:rsidR="007D3451" w:rsidRPr="007D3451">
        <w:rPr>
          <w:rFonts w:cs="Arial"/>
          <w:rtl/>
        </w:rPr>
        <w:t xml:space="preserve"> והפועלים שאין לנין בביתם</w:t>
      </w:r>
      <w:r w:rsidR="00A91EF3">
        <w:rPr>
          <w:rFonts w:cs="Arial" w:hint="cs"/>
          <w:rtl/>
        </w:rPr>
        <w:t xml:space="preserve"> -</w:t>
      </w:r>
      <w:r w:rsidR="007D3451" w:rsidRPr="007D3451">
        <w:rPr>
          <w:rFonts w:cs="Arial"/>
          <w:rtl/>
        </w:rPr>
        <w:t xml:space="preserve"> יוצאים ז' ימים וביום שמיני שבין לביתן</w:t>
      </w:r>
      <w:r w:rsidR="00BE2C85">
        <w:rPr>
          <w:rFonts w:cs="Arial" w:hint="cs"/>
          <w:rtl/>
        </w:rPr>
        <w:t>,</w:t>
      </w:r>
      <w:r w:rsidR="007D3451" w:rsidRPr="007D3451">
        <w:rPr>
          <w:rFonts w:cs="Arial"/>
          <w:rtl/>
        </w:rPr>
        <w:t xml:space="preserve"> וכן לעולם מח' ימים לח' ימים שבין פעם אחת לבית</w:t>
      </w:r>
      <w:r w:rsidR="00A91EF3">
        <w:rPr>
          <w:rFonts w:cs="Arial" w:hint="cs"/>
          <w:sz w:val="16"/>
          <w:szCs w:val="16"/>
          <w:rtl/>
        </w:rPr>
        <w:t xml:space="preserve"> (ל' הטור)</w:t>
      </w:r>
      <w:r w:rsidR="00747F53">
        <w:rPr>
          <w:rStyle w:val="a7"/>
          <w:rFonts w:cs="Arial"/>
          <w:rtl/>
        </w:rPr>
        <w:footnoteReference w:id="458"/>
      </w:r>
      <w:r w:rsidR="007F7735">
        <w:rPr>
          <w:rFonts w:cs="Arial" w:hint="cs"/>
          <w:rtl/>
        </w:rPr>
        <w:t>.</w:t>
      </w:r>
      <w:r w:rsidR="007D3451" w:rsidRPr="007D3451">
        <w:rPr>
          <w:rFonts w:cs="Arial"/>
          <w:rtl/>
        </w:rPr>
        <w:t xml:space="preserve"> </w:t>
      </w:r>
      <w:r w:rsidR="00747F53" w:rsidRPr="00747F53">
        <w:rPr>
          <w:rFonts w:cs="Arial" w:hint="cs"/>
          <w:color w:val="00B0F0"/>
          <w:rtl/>
        </w:rPr>
        <w:t>(וכ"כ הרמ"א</w:t>
      </w:r>
      <w:r w:rsidR="00B31DD2">
        <w:rPr>
          <w:rFonts w:cs="Arial" w:hint="cs"/>
          <w:color w:val="00B0F0"/>
          <w:rtl/>
        </w:rPr>
        <w:t xml:space="preserve"> </w:t>
      </w:r>
      <w:r w:rsidR="00B31DD2" w:rsidRPr="00B31DD2">
        <w:rPr>
          <w:rFonts w:hint="cs"/>
          <w:color w:val="000000" w:themeColor="text1"/>
          <w:sz w:val="16"/>
          <w:szCs w:val="16"/>
          <w:rtl/>
        </w:rPr>
        <w:t xml:space="preserve">[בסע' </w:t>
      </w:r>
      <w:r w:rsidR="00B31DD2">
        <w:rPr>
          <w:rFonts w:hint="cs"/>
          <w:color w:val="000000" w:themeColor="text1"/>
          <w:sz w:val="16"/>
          <w:szCs w:val="16"/>
          <w:rtl/>
        </w:rPr>
        <w:t>ה</w:t>
      </w:r>
      <w:r w:rsidR="00B31DD2" w:rsidRPr="00B31DD2">
        <w:rPr>
          <w:rFonts w:hint="cs"/>
          <w:color w:val="000000" w:themeColor="text1"/>
          <w:sz w:val="16"/>
          <w:szCs w:val="16"/>
          <w:rtl/>
        </w:rPr>
        <w:t>ב</w:t>
      </w:r>
      <w:r w:rsidR="00B31DD2">
        <w:rPr>
          <w:rFonts w:hint="cs"/>
          <w:color w:val="000000" w:themeColor="text1"/>
          <w:sz w:val="16"/>
          <w:szCs w:val="16"/>
          <w:rtl/>
        </w:rPr>
        <w:t>א</w:t>
      </w:r>
      <w:r w:rsidR="00B31DD2" w:rsidRPr="00B31DD2">
        <w:rPr>
          <w:rFonts w:hint="cs"/>
          <w:color w:val="000000" w:themeColor="text1"/>
          <w:sz w:val="16"/>
          <w:szCs w:val="16"/>
          <w:rtl/>
        </w:rPr>
        <w:t>]</w:t>
      </w:r>
      <w:r w:rsidR="00747F53" w:rsidRPr="00747F53">
        <w:rPr>
          <w:rFonts w:cs="Arial" w:hint="cs"/>
          <w:color w:val="00B0F0"/>
          <w:rtl/>
        </w:rPr>
        <w:t>)</w:t>
      </w:r>
    </w:p>
    <w:p w14:paraId="30895F71" w14:textId="470565E0" w:rsidR="007F7735" w:rsidRDefault="007F7735" w:rsidP="007F7735">
      <w:pPr>
        <w:pStyle w:val="ab"/>
        <w:numPr>
          <w:ilvl w:val="0"/>
          <w:numId w:val="7"/>
        </w:numPr>
        <w:rPr>
          <w:rFonts w:cs="Arial"/>
        </w:rPr>
      </w:pPr>
      <w:r>
        <w:rPr>
          <w:rFonts w:cs="Arial" w:hint="cs"/>
          <w:rtl/>
        </w:rPr>
        <w:t xml:space="preserve">ר"י </w:t>
      </w:r>
      <w:r>
        <w:rPr>
          <w:rFonts w:cs="Arial" w:hint="cs"/>
          <w:sz w:val="16"/>
          <w:szCs w:val="16"/>
          <w:rtl/>
        </w:rPr>
        <w:t>(כ"כ הת</w:t>
      </w:r>
      <w:r w:rsidR="00D75AB0">
        <w:rPr>
          <w:rFonts w:cs="Arial" w:hint="cs"/>
          <w:sz w:val="16"/>
          <w:szCs w:val="16"/>
          <w:rtl/>
        </w:rPr>
        <w:t>ו</w:t>
      </w:r>
      <w:r>
        <w:rPr>
          <w:rFonts w:cs="Arial" w:hint="cs"/>
          <w:sz w:val="16"/>
          <w:szCs w:val="16"/>
          <w:rtl/>
        </w:rPr>
        <w:t>ס' בשמו)</w:t>
      </w:r>
      <w:r>
        <w:rPr>
          <w:rFonts w:cs="Arial" w:hint="cs"/>
          <w:rtl/>
        </w:rPr>
        <w:t xml:space="preserve"> </w:t>
      </w:r>
      <w:r>
        <w:rPr>
          <w:rFonts w:cs="Arial"/>
          <w:rtl/>
        </w:rPr>
        <w:t>תוס</w:t>
      </w:r>
      <w:r>
        <w:rPr>
          <w:rFonts w:cs="Arial" w:hint="cs"/>
          <w:rtl/>
        </w:rPr>
        <w:t>'</w:t>
      </w:r>
      <w:r>
        <w:rPr>
          <w:rFonts w:cs="Arial"/>
          <w:rtl/>
        </w:rPr>
        <w:t xml:space="preserve"> </w:t>
      </w:r>
      <w:r w:rsidRPr="007F7735">
        <w:rPr>
          <w:rFonts w:cs="Arial"/>
          <w:sz w:val="16"/>
          <w:szCs w:val="16"/>
          <w:rtl/>
        </w:rPr>
        <w:t>(ד"ה והתניא)</w:t>
      </w:r>
      <w:r w:rsidRPr="007F7735">
        <w:rPr>
          <w:rFonts w:cs="Arial" w:hint="cs"/>
          <w:sz w:val="16"/>
          <w:szCs w:val="16"/>
          <w:rtl/>
        </w:rPr>
        <w:t xml:space="preserve"> </w:t>
      </w:r>
      <w:r>
        <w:rPr>
          <w:rFonts w:cs="Arial" w:hint="cs"/>
          <w:rtl/>
        </w:rPr>
        <w:t>ו</w:t>
      </w:r>
      <w:r>
        <w:rPr>
          <w:rFonts w:cs="Arial"/>
          <w:rtl/>
        </w:rPr>
        <w:t xml:space="preserve">רמב"ם </w:t>
      </w:r>
      <w:r w:rsidRPr="00091A67">
        <w:rPr>
          <w:rFonts w:cs="Arial"/>
          <w:sz w:val="16"/>
          <w:szCs w:val="16"/>
          <w:rtl/>
        </w:rPr>
        <w:t>(פי"ד מאישות ה"א)</w:t>
      </w:r>
      <w:r>
        <w:rPr>
          <w:rFonts w:cs="Arial" w:hint="cs"/>
          <w:rtl/>
        </w:rPr>
        <w:t>-</w:t>
      </w:r>
      <w:r>
        <w:rPr>
          <w:rFonts w:cs="Arial"/>
          <w:rtl/>
        </w:rPr>
        <w:t xml:space="preserve"> </w:t>
      </w:r>
      <w:r w:rsidRPr="00091A67">
        <w:rPr>
          <w:rFonts w:cs="Arial"/>
          <w:rtl/>
        </w:rPr>
        <w:t xml:space="preserve">הפועלין כגון החייטין והאורגין והבונים וכיוצא בהן, אם היתה מלאכתן בעיר </w:t>
      </w:r>
      <w:r w:rsidR="00B31DD2">
        <w:rPr>
          <w:rFonts w:cs="Arial" w:hint="cs"/>
          <w:rtl/>
        </w:rPr>
        <w:t xml:space="preserve">- </w:t>
      </w:r>
      <w:r w:rsidRPr="00091A67">
        <w:rPr>
          <w:rFonts w:cs="Arial"/>
          <w:rtl/>
        </w:rPr>
        <w:t>עונתן פעמים בשבת, ואם היתה מלאכתן בעיר אחרת</w:t>
      </w:r>
      <w:r w:rsidR="00B31DD2">
        <w:rPr>
          <w:rFonts w:cs="Arial" w:hint="cs"/>
          <w:rtl/>
        </w:rPr>
        <w:t xml:space="preserve"> -</w:t>
      </w:r>
      <w:r w:rsidRPr="00091A67">
        <w:rPr>
          <w:rFonts w:cs="Arial"/>
          <w:rtl/>
        </w:rPr>
        <w:t xml:space="preserve"> עונתן פעם אחת בשבת</w:t>
      </w:r>
      <w:r w:rsidR="00B31DD2">
        <w:rPr>
          <w:rStyle w:val="a7"/>
          <w:rFonts w:cs="Arial"/>
          <w:rtl/>
        </w:rPr>
        <w:footnoteReference w:id="459"/>
      </w:r>
      <w:r>
        <w:rPr>
          <w:rFonts w:cs="Arial" w:hint="cs"/>
          <w:sz w:val="16"/>
          <w:szCs w:val="16"/>
          <w:rtl/>
        </w:rPr>
        <w:t xml:space="preserve"> (ל' הרמב"ם)</w:t>
      </w:r>
      <w:r>
        <w:rPr>
          <w:rFonts w:cs="Arial" w:hint="cs"/>
          <w:rtl/>
        </w:rPr>
        <w:t>.</w:t>
      </w:r>
      <w:r w:rsidR="00747F53">
        <w:rPr>
          <w:rFonts w:cs="Arial" w:hint="cs"/>
          <w:rtl/>
        </w:rPr>
        <w:t xml:space="preserve"> </w:t>
      </w:r>
      <w:r w:rsidR="00747F53" w:rsidRPr="004B3BCF">
        <w:rPr>
          <w:rFonts w:hint="cs"/>
          <w:color w:val="E36C0A" w:themeColor="accent6" w:themeShade="BF"/>
          <w:rtl/>
        </w:rPr>
        <w:t>(וכ"פ בשו"ע</w:t>
      </w:r>
      <w:r w:rsidR="00B31DD2">
        <w:rPr>
          <w:rFonts w:hint="cs"/>
          <w:color w:val="E36C0A" w:themeColor="accent6" w:themeShade="BF"/>
          <w:rtl/>
        </w:rPr>
        <w:t xml:space="preserve"> </w:t>
      </w:r>
      <w:r w:rsidR="00B31DD2" w:rsidRPr="00B31DD2">
        <w:rPr>
          <w:rFonts w:hint="cs"/>
          <w:color w:val="000000" w:themeColor="text1"/>
          <w:sz w:val="16"/>
          <w:szCs w:val="16"/>
          <w:rtl/>
        </w:rPr>
        <w:t xml:space="preserve">[בסע' </w:t>
      </w:r>
      <w:r w:rsidR="00B31DD2">
        <w:rPr>
          <w:rFonts w:hint="cs"/>
          <w:color w:val="000000" w:themeColor="text1"/>
          <w:sz w:val="16"/>
          <w:szCs w:val="16"/>
          <w:rtl/>
        </w:rPr>
        <w:t>ה</w:t>
      </w:r>
      <w:r w:rsidR="00B31DD2" w:rsidRPr="00B31DD2">
        <w:rPr>
          <w:rFonts w:hint="cs"/>
          <w:color w:val="000000" w:themeColor="text1"/>
          <w:sz w:val="16"/>
          <w:szCs w:val="16"/>
          <w:rtl/>
        </w:rPr>
        <w:t>ב</w:t>
      </w:r>
      <w:r w:rsidR="00B31DD2">
        <w:rPr>
          <w:rFonts w:hint="cs"/>
          <w:color w:val="000000" w:themeColor="text1"/>
          <w:sz w:val="16"/>
          <w:szCs w:val="16"/>
          <w:rtl/>
        </w:rPr>
        <w:t>א</w:t>
      </w:r>
      <w:r w:rsidR="00B31DD2" w:rsidRPr="00B31DD2">
        <w:rPr>
          <w:rFonts w:hint="cs"/>
          <w:color w:val="000000" w:themeColor="text1"/>
          <w:sz w:val="16"/>
          <w:szCs w:val="16"/>
          <w:rtl/>
        </w:rPr>
        <w:t>]</w:t>
      </w:r>
      <w:r w:rsidR="00747F53" w:rsidRPr="004B3BCF">
        <w:rPr>
          <w:rFonts w:hint="cs"/>
          <w:color w:val="E36C0A" w:themeColor="accent6" w:themeShade="BF"/>
          <w:rtl/>
        </w:rPr>
        <w:t>)</w:t>
      </w:r>
    </w:p>
    <w:p w14:paraId="48C63A77" w14:textId="4E70A475" w:rsidR="007F7735" w:rsidRPr="007F7735" w:rsidRDefault="007F7735" w:rsidP="007F7735">
      <w:pPr>
        <w:ind w:left="360"/>
        <w:rPr>
          <w:rFonts w:cs="Arial"/>
          <w:u w:val="dotted"/>
        </w:rPr>
      </w:pPr>
      <w:r w:rsidRPr="007F7735">
        <w:rPr>
          <w:rFonts w:cs="Arial" w:hint="cs"/>
          <w:u w:val="dotted"/>
          <w:rtl/>
        </w:rPr>
        <w:t>חמרים גמלים וספנים:</w:t>
      </w:r>
    </w:p>
    <w:p w14:paraId="4FFAFEDF" w14:textId="4E597A91" w:rsidR="007F7735" w:rsidRDefault="007F7735" w:rsidP="007F7735">
      <w:pPr>
        <w:pStyle w:val="ab"/>
        <w:numPr>
          <w:ilvl w:val="0"/>
          <w:numId w:val="7"/>
        </w:numPr>
        <w:rPr>
          <w:rFonts w:cs="Arial"/>
        </w:rPr>
      </w:pPr>
      <w:r>
        <w:rPr>
          <w:rFonts w:cs="Arial" w:hint="cs"/>
          <w:rtl/>
        </w:rPr>
        <w:t xml:space="preserve">רמב"ם </w:t>
      </w:r>
      <w:r>
        <w:rPr>
          <w:rFonts w:cs="Arial" w:hint="cs"/>
          <w:sz w:val="16"/>
          <w:szCs w:val="16"/>
          <w:rtl/>
        </w:rPr>
        <w:t>(שם)</w:t>
      </w:r>
      <w:r>
        <w:rPr>
          <w:rFonts w:cs="Arial" w:hint="cs"/>
          <w:rtl/>
        </w:rPr>
        <w:t xml:space="preserve"> וטור-</w:t>
      </w:r>
      <w:r w:rsidR="00BE2C85">
        <w:rPr>
          <w:rFonts w:cs="Arial" w:hint="cs"/>
          <w:rtl/>
        </w:rPr>
        <w:t xml:space="preserve"> </w:t>
      </w:r>
      <w:r w:rsidR="00091A67" w:rsidRPr="007F7735">
        <w:rPr>
          <w:rFonts w:cs="Arial"/>
          <w:rtl/>
        </w:rPr>
        <w:t>החמרים פעם אחת בשבת, והגמלים אחת לשלשים יום, והמלחין אחת לששה חדשים</w:t>
      </w:r>
      <w:r>
        <w:rPr>
          <w:rFonts w:cs="Arial" w:hint="cs"/>
          <w:rtl/>
        </w:rPr>
        <w:t>.</w:t>
      </w:r>
      <w:r w:rsidR="00091A67" w:rsidRPr="007F7735">
        <w:rPr>
          <w:rFonts w:cs="Arial"/>
          <w:rtl/>
        </w:rPr>
        <w:t xml:space="preserve"> </w:t>
      </w:r>
      <w:r w:rsidR="00B31DD2" w:rsidRPr="004B3BCF">
        <w:rPr>
          <w:rFonts w:hint="cs"/>
          <w:color w:val="E36C0A" w:themeColor="accent6" w:themeShade="BF"/>
          <w:rtl/>
        </w:rPr>
        <w:t>(וכ"פ בשו"ע</w:t>
      </w:r>
      <w:r w:rsidR="00B31DD2">
        <w:rPr>
          <w:rFonts w:hint="cs"/>
          <w:color w:val="000000" w:themeColor="text1"/>
          <w:sz w:val="16"/>
          <w:szCs w:val="16"/>
          <w:rtl/>
        </w:rPr>
        <w:t xml:space="preserve"> </w:t>
      </w:r>
      <w:r w:rsidR="00B31DD2" w:rsidRPr="00B31DD2">
        <w:rPr>
          <w:rFonts w:hint="cs"/>
          <w:color w:val="000000" w:themeColor="text1"/>
          <w:sz w:val="16"/>
          <w:szCs w:val="16"/>
          <w:rtl/>
        </w:rPr>
        <w:t xml:space="preserve">[בסע' </w:t>
      </w:r>
      <w:r w:rsidR="00B31DD2">
        <w:rPr>
          <w:rFonts w:hint="cs"/>
          <w:color w:val="000000" w:themeColor="text1"/>
          <w:sz w:val="16"/>
          <w:szCs w:val="16"/>
          <w:rtl/>
        </w:rPr>
        <w:t>הבא</w:t>
      </w:r>
      <w:r w:rsidR="00B31DD2" w:rsidRPr="00B31DD2">
        <w:rPr>
          <w:rFonts w:hint="cs"/>
          <w:color w:val="000000" w:themeColor="text1"/>
          <w:sz w:val="16"/>
          <w:szCs w:val="16"/>
          <w:rtl/>
        </w:rPr>
        <w:t>]</w:t>
      </w:r>
      <w:r w:rsidR="00B31DD2" w:rsidRPr="004B3BCF">
        <w:rPr>
          <w:rFonts w:hint="cs"/>
          <w:color w:val="E36C0A" w:themeColor="accent6" w:themeShade="BF"/>
          <w:rtl/>
        </w:rPr>
        <w:t>)</w:t>
      </w:r>
    </w:p>
    <w:p w14:paraId="4186C537" w14:textId="21C5B992" w:rsidR="007F7735" w:rsidRPr="007F7735" w:rsidRDefault="007F7735" w:rsidP="007F7735">
      <w:pPr>
        <w:ind w:left="360"/>
        <w:rPr>
          <w:rFonts w:cs="Arial"/>
          <w:u w:val="dotted"/>
        </w:rPr>
      </w:pPr>
      <w:r w:rsidRPr="007F7735">
        <w:rPr>
          <w:rFonts w:cs="Arial" w:hint="cs"/>
          <w:u w:val="dotted"/>
          <w:rtl/>
        </w:rPr>
        <w:t>תלמידי חכמים:</w:t>
      </w:r>
    </w:p>
    <w:p w14:paraId="6724CF87" w14:textId="018188A3" w:rsidR="00091A67" w:rsidRDefault="007F7735" w:rsidP="007F7735">
      <w:pPr>
        <w:pStyle w:val="ab"/>
        <w:numPr>
          <w:ilvl w:val="0"/>
          <w:numId w:val="7"/>
        </w:numPr>
        <w:rPr>
          <w:rFonts w:cs="Arial"/>
        </w:rPr>
      </w:pPr>
      <w:r>
        <w:rPr>
          <w:rFonts w:cs="Arial" w:hint="cs"/>
          <w:rtl/>
        </w:rPr>
        <w:t xml:space="preserve">רמב"ם </w:t>
      </w:r>
      <w:r>
        <w:rPr>
          <w:rFonts w:cs="Arial" w:hint="cs"/>
          <w:sz w:val="16"/>
          <w:szCs w:val="16"/>
          <w:rtl/>
        </w:rPr>
        <w:t>(שם)</w:t>
      </w:r>
      <w:r>
        <w:rPr>
          <w:rFonts w:cs="Arial" w:hint="cs"/>
          <w:rtl/>
        </w:rPr>
        <w:t xml:space="preserve"> וטור- </w:t>
      </w:r>
      <w:r w:rsidR="00091A67" w:rsidRPr="007F7735">
        <w:rPr>
          <w:rFonts w:cs="Arial"/>
          <w:rtl/>
        </w:rPr>
        <w:t>תלמידי חכמים עונתן פעם אחת בשבת</w:t>
      </w:r>
      <w:r>
        <w:rPr>
          <w:rFonts w:cs="Arial" w:hint="cs"/>
          <w:rtl/>
        </w:rPr>
        <w:t>,</w:t>
      </w:r>
      <w:r w:rsidR="00091A67" w:rsidRPr="007F7735">
        <w:rPr>
          <w:rFonts w:cs="Arial"/>
          <w:rtl/>
        </w:rPr>
        <w:t xml:space="preserve"> מפני שתלמוד תורה מתיש כחן</w:t>
      </w:r>
      <w:r>
        <w:rPr>
          <w:rFonts w:cs="Arial" w:hint="cs"/>
          <w:rtl/>
        </w:rPr>
        <w:t>.</w:t>
      </w:r>
      <w:r w:rsidR="00091A67" w:rsidRPr="007F7735">
        <w:rPr>
          <w:rFonts w:cs="Arial"/>
          <w:rtl/>
        </w:rPr>
        <w:t xml:space="preserve"> ודרך תלמידי חכמים לשמש מטתן מלילי שבת ללילי שבת.</w:t>
      </w:r>
      <w:r w:rsidR="00B31DD2" w:rsidRPr="00B31DD2">
        <w:rPr>
          <w:rFonts w:hint="cs"/>
          <w:color w:val="E36C0A" w:themeColor="accent6" w:themeShade="BF"/>
          <w:rtl/>
        </w:rPr>
        <w:t xml:space="preserve"> </w:t>
      </w:r>
      <w:r w:rsidR="00B31DD2" w:rsidRPr="004B3BCF">
        <w:rPr>
          <w:rFonts w:hint="cs"/>
          <w:color w:val="E36C0A" w:themeColor="accent6" w:themeShade="BF"/>
          <w:rtl/>
        </w:rPr>
        <w:t>(וכ"פ בשו"ע</w:t>
      </w:r>
      <w:r w:rsidR="00B31DD2">
        <w:rPr>
          <w:rFonts w:hint="cs"/>
          <w:color w:val="E36C0A" w:themeColor="accent6" w:themeShade="BF"/>
          <w:sz w:val="16"/>
          <w:szCs w:val="16"/>
          <w:rtl/>
        </w:rPr>
        <w:t xml:space="preserve"> </w:t>
      </w:r>
      <w:r w:rsidR="00B31DD2" w:rsidRPr="00B31DD2">
        <w:rPr>
          <w:rFonts w:hint="cs"/>
          <w:color w:val="000000" w:themeColor="text1"/>
          <w:sz w:val="16"/>
          <w:szCs w:val="16"/>
          <w:rtl/>
        </w:rPr>
        <w:t xml:space="preserve">[בסע' </w:t>
      </w:r>
      <w:r w:rsidR="00B31DD2">
        <w:rPr>
          <w:rFonts w:hint="cs"/>
          <w:color w:val="000000" w:themeColor="text1"/>
          <w:sz w:val="16"/>
          <w:szCs w:val="16"/>
          <w:rtl/>
        </w:rPr>
        <w:t>הבא</w:t>
      </w:r>
      <w:r w:rsidR="00B31DD2" w:rsidRPr="00B31DD2">
        <w:rPr>
          <w:rFonts w:hint="cs"/>
          <w:color w:val="000000" w:themeColor="text1"/>
          <w:sz w:val="16"/>
          <w:szCs w:val="16"/>
          <w:rtl/>
        </w:rPr>
        <w:t>]</w:t>
      </w:r>
      <w:r w:rsidR="00B31DD2" w:rsidRPr="004B3BCF">
        <w:rPr>
          <w:rFonts w:hint="cs"/>
          <w:color w:val="E36C0A" w:themeColor="accent6" w:themeShade="BF"/>
          <w:rtl/>
        </w:rPr>
        <w:t>)</w:t>
      </w:r>
    </w:p>
    <w:p w14:paraId="1A65C229" w14:textId="5B06BA74" w:rsidR="00004682" w:rsidRPr="00004682" w:rsidRDefault="00004682" w:rsidP="00004682">
      <w:pPr>
        <w:ind w:left="720"/>
        <w:rPr>
          <w:rFonts w:cs="Arial"/>
        </w:rPr>
      </w:pPr>
      <w:r w:rsidRPr="00004682">
        <w:rPr>
          <w:rFonts w:cs="Arial" w:hint="cs"/>
          <w:u w:val="wave"/>
          <w:rtl/>
        </w:rPr>
        <w:t>ומה הדין אם הת"ח מאוד טרוד בלימודו:</w:t>
      </w:r>
      <w:r>
        <w:rPr>
          <w:rFonts w:cs="Arial" w:hint="cs"/>
          <w:rtl/>
        </w:rPr>
        <w:t xml:space="preserve"> </w:t>
      </w:r>
      <w:r w:rsidRPr="00004682">
        <w:rPr>
          <w:rFonts w:cs="Arial"/>
          <w:sz w:val="16"/>
          <w:szCs w:val="16"/>
          <w:rtl/>
        </w:rPr>
        <w:t>(</w:t>
      </w:r>
      <w:r w:rsidRPr="00004682">
        <w:rPr>
          <w:rFonts w:cs="Arial" w:hint="cs"/>
          <w:sz w:val="16"/>
          <w:szCs w:val="16"/>
          <w:rtl/>
        </w:rPr>
        <w:t xml:space="preserve">דרכ"מ אות </w:t>
      </w:r>
      <w:r w:rsidRPr="00004682">
        <w:rPr>
          <w:rFonts w:cs="Arial"/>
          <w:sz w:val="16"/>
          <w:szCs w:val="16"/>
          <w:rtl/>
        </w:rPr>
        <w:t>ב)</w:t>
      </w:r>
    </w:p>
    <w:p w14:paraId="61639068" w14:textId="104288C6" w:rsidR="00004682" w:rsidRPr="007F7735" w:rsidRDefault="00004682" w:rsidP="007F7735">
      <w:pPr>
        <w:pStyle w:val="ab"/>
        <w:numPr>
          <w:ilvl w:val="0"/>
          <w:numId w:val="7"/>
        </w:numPr>
        <w:rPr>
          <w:rFonts w:cs="Arial"/>
        </w:rPr>
      </w:pPr>
      <w:r w:rsidRPr="007D3451">
        <w:rPr>
          <w:rFonts w:cs="Arial"/>
          <w:rtl/>
        </w:rPr>
        <w:t xml:space="preserve">ר"ן </w:t>
      </w:r>
      <w:r w:rsidRPr="00004682">
        <w:rPr>
          <w:rFonts w:cs="Arial"/>
          <w:sz w:val="16"/>
          <w:szCs w:val="16"/>
          <w:rtl/>
        </w:rPr>
        <w:t>(כו. דיבור ראשון)</w:t>
      </w:r>
      <w:r>
        <w:rPr>
          <w:rFonts w:cs="Arial" w:hint="cs"/>
          <w:rtl/>
        </w:rPr>
        <w:t>-</w:t>
      </w:r>
      <w:r w:rsidRPr="007D3451">
        <w:rPr>
          <w:rFonts w:cs="Arial"/>
          <w:rtl/>
        </w:rPr>
        <w:t xml:space="preserve"> </w:t>
      </w:r>
      <w:r w:rsidRPr="00004682">
        <w:rPr>
          <w:rFonts w:cs="Arial"/>
          <w:rtl/>
        </w:rPr>
        <w:t>ותמה אני עונת תלמידי חכמים שהיא אחת בשבת למה לא הוזכרה במשנתינו</w:t>
      </w:r>
      <w:r w:rsidR="00D95441">
        <w:rPr>
          <w:rFonts w:cs="Arial" w:hint="cs"/>
          <w:rtl/>
        </w:rPr>
        <w:t>,</w:t>
      </w:r>
      <w:r w:rsidRPr="00004682">
        <w:rPr>
          <w:rFonts w:cs="Arial"/>
          <w:rtl/>
        </w:rPr>
        <w:t xml:space="preserve"> ונראה לי שאין לתלמידי חכמים עונה קבועה שכיון ששנינו שהתלמידים יוצאין שלא ברשות לר"א ל' יום ולדברי חכמים שתים ושלש שנים כדאיתא בגמרא משמע דעונת תלמידי חכמים הדרים בעירם ג"כ משתנים כפי מה שהם צריכין לנדד שינה מעיניהם בענין למודם ולטרוח בו והדבר ידוע שאין כל הזמנים שוים להם בכך</w:t>
      </w:r>
      <w:r w:rsidR="00F403E5">
        <w:rPr>
          <w:rFonts w:cs="Arial" w:hint="cs"/>
          <w:rtl/>
        </w:rPr>
        <w:t>,</w:t>
      </w:r>
      <w:r w:rsidRPr="00004682">
        <w:rPr>
          <w:rFonts w:cs="Arial"/>
          <w:rtl/>
        </w:rPr>
        <w:t xml:space="preserve"> ודאמרינן בגמ' דעונתן אחת בשבת היינו כשאין מתחדש להם בלימודם דבר ולפי שידוע שאין זה מצוי להם תמיד לא נשנית עונה שלהם במשנתינו</w:t>
      </w:r>
      <w:r>
        <w:rPr>
          <w:rFonts w:cs="Arial" w:hint="cs"/>
          <w:rtl/>
        </w:rPr>
        <w:t>.</w:t>
      </w:r>
      <w:r w:rsidR="00E15230">
        <w:rPr>
          <w:rFonts w:cs="Arial" w:hint="cs"/>
          <w:rtl/>
        </w:rPr>
        <w:t xml:space="preserve"> (וכ"כ הח"מ</w:t>
      </w:r>
      <w:r w:rsidR="00E15230">
        <w:rPr>
          <w:rFonts w:cs="Arial" w:hint="cs"/>
          <w:sz w:val="16"/>
          <w:szCs w:val="16"/>
          <w:rtl/>
        </w:rPr>
        <w:t xml:space="preserve"> [סק"ד]</w:t>
      </w:r>
      <w:r w:rsidR="00E15230">
        <w:rPr>
          <w:rFonts w:cs="Arial" w:hint="cs"/>
          <w:rtl/>
        </w:rPr>
        <w:t>)</w:t>
      </w:r>
    </w:p>
    <w:p w14:paraId="73802FEC" w14:textId="77777777" w:rsidR="006F6308" w:rsidRDefault="006F6308" w:rsidP="006F6308">
      <w:pPr>
        <w:rPr>
          <w:rFonts w:cs="Arial"/>
          <w:rtl/>
        </w:rPr>
      </w:pPr>
      <w:r w:rsidRPr="003024E5">
        <w:rPr>
          <w:rFonts w:asciiTheme="minorBidi" w:hAnsiTheme="minorBidi"/>
          <w:b/>
          <w:bCs/>
          <w:color w:val="000000"/>
          <w:sz w:val="28"/>
          <w:szCs w:val="28"/>
          <w:u w:val="single"/>
          <w:rtl/>
        </w:rPr>
        <w:t>שו"ע:</w:t>
      </w:r>
    </w:p>
    <w:p w14:paraId="783B1745" w14:textId="292EE1C8" w:rsidR="006F6308" w:rsidRDefault="006F6308" w:rsidP="006F6308">
      <w:pPr>
        <w:rPr>
          <w:rtl/>
        </w:rPr>
      </w:pPr>
      <w:r>
        <w:rPr>
          <w:rFonts w:cs="Arial"/>
          <w:rtl/>
        </w:rPr>
        <w:t>עונתה כיצד, כל איש חייב בעונה כפי כחו וכפי מלאכתו</w:t>
      </w:r>
      <w:r w:rsidR="00C6007E">
        <w:rPr>
          <w:rFonts w:cs="Arial" w:hint="cs"/>
          <w:rtl/>
        </w:rPr>
        <w:t>.</w:t>
      </w:r>
      <w:r>
        <w:rPr>
          <w:rFonts w:cs="Arial"/>
          <w:rtl/>
        </w:rPr>
        <w:t xml:space="preserve"> הטיילים, עונתם בכל לילה. </w:t>
      </w:r>
    </w:p>
    <w:p w14:paraId="115D4B96" w14:textId="77777777" w:rsidR="00C6007E" w:rsidRDefault="00C6007E" w:rsidP="006F6308">
      <w:pPr>
        <w:rPr>
          <w:rtl/>
        </w:rPr>
      </w:pPr>
    </w:p>
    <w:p w14:paraId="0DF8A862" w14:textId="7EBD2CB4" w:rsidR="006F6308" w:rsidRDefault="006F6308" w:rsidP="000F64D0">
      <w:pPr>
        <w:pStyle w:val="2"/>
        <w:rPr>
          <w:rtl/>
        </w:rPr>
      </w:pPr>
      <w:r>
        <w:rPr>
          <w:rtl/>
        </w:rPr>
        <w:t>סעיף ב</w:t>
      </w:r>
      <w:r w:rsidR="00C6007E">
        <w:rPr>
          <w:rFonts w:hint="cs"/>
          <w:rtl/>
        </w:rPr>
        <w:t>: פועלים</w:t>
      </w:r>
      <w:r w:rsidR="0029670D">
        <w:rPr>
          <w:rFonts w:hint="cs"/>
          <w:rtl/>
        </w:rPr>
        <w:t>, חמרים, גמלים, מלחים ותלמידי חכמים.</w:t>
      </w:r>
    </w:p>
    <w:p w14:paraId="6F685D83" w14:textId="22E6B51F" w:rsidR="00C6007E" w:rsidRPr="00C6007E" w:rsidRDefault="00747F53" w:rsidP="00C6007E">
      <w:pPr>
        <w:rPr>
          <w:rtl/>
        </w:rPr>
      </w:pPr>
      <w:r>
        <w:rPr>
          <w:rFonts w:hint="cs"/>
          <w:rtl/>
        </w:rPr>
        <w:t>עיין במקורות בסעיף הקודם.</w:t>
      </w:r>
    </w:p>
    <w:p w14:paraId="17BB6999" w14:textId="77777777" w:rsidR="006F6308" w:rsidRDefault="006F6308" w:rsidP="006F6308">
      <w:pPr>
        <w:rPr>
          <w:rFonts w:cs="Arial"/>
          <w:rtl/>
        </w:rPr>
      </w:pPr>
      <w:r w:rsidRPr="003024E5">
        <w:rPr>
          <w:rFonts w:asciiTheme="minorBidi" w:hAnsiTheme="minorBidi"/>
          <w:b/>
          <w:bCs/>
          <w:color w:val="000000"/>
          <w:sz w:val="28"/>
          <w:szCs w:val="28"/>
          <w:u w:val="single"/>
          <w:rtl/>
        </w:rPr>
        <w:t>שו"ע:</w:t>
      </w:r>
    </w:p>
    <w:p w14:paraId="176063E3" w14:textId="733F961B" w:rsidR="006F6308" w:rsidRDefault="006F6308" w:rsidP="006F6308">
      <w:pPr>
        <w:rPr>
          <w:rtl/>
        </w:rPr>
      </w:pPr>
      <w:r>
        <w:rPr>
          <w:rFonts w:cs="Arial"/>
          <w:rtl/>
        </w:rPr>
        <w:t>הפועלים, אם היתה מלאכתם בעיר, פעמים בשבת</w:t>
      </w:r>
      <w:r w:rsidR="0065663D">
        <w:rPr>
          <w:rStyle w:val="a7"/>
          <w:rFonts w:cs="Arial"/>
          <w:rtl/>
        </w:rPr>
        <w:footnoteReference w:id="460"/>
      </w:r>
      <w:r w:rsidR="00091A67">
        <w:rPr>
          <w:rFonts w:cs="Arial" w:hint="cs"/>
          <w:rtl/>
        </w:rPr>
        <w:t>.</w:t>
      </w:r>
      <w:r>
        <w:rPr>
          <w:rFonts w:cs="Arial"/>
          <w:rtl/>
        </w:rPr>
        <w:t xml:space="preserve"> ואם היתה מלאכתם בעיר אחרת, פעם אחת בשבת. </w:t>
      </w:r>
      <w:r w:rsidR="000D1DCE">
        <w:rPr>
          <w:rFonts w:cs="Arial" w:hint="cs"/>
          <w:sz w:val="18"/>
          <w:szCs w:val="18"/>
          <w:rtl/>
        </w:rPr>
        <w:t xml:space="preserve">[הגה] </w:t>
      </w:r>
      <w:r w:rsidRPr="000D1DCE">
        <w:rPr>
          <w:rFonts w:cs="Arial"/>
          <w:sz w:val="18"/>
          <w:szCs w:val="18"/>
          <w:rtl/>
        </w:rPr>
        <w:t xml:space="preserve">וי"א דאם אינם לנין כל לילה בביתם, עונתן לח' ימים (טור ותוס' בשם ר"י בר ברוך). </w:t>
      </w:r>
      <w:r>
        <w:rPr>
          <w:rFonts w:cs="Arial"/>
          <w:rtl/>
        </w:rPr>
        <w:t>החמרים, פעם אחת בשבת</w:t>
      </w:r>
      <w:r w:rsidR="0065663D">
        <w:rPr>
          <w:rStyle w:val="a7"/>
          <w:rFonts w:cs="Arial"/>
          <w:rtl/>
        </w:rPr>
        <w:footnoteReference w:id="461"/>
      </w:r>
      <w:r>
        <w:rPr>
          <w:rFonts w:cs="Arial"/>
          <w:rtl/>
        </w:rPr>
        <w:t>. הגמלים, אחת לשלשים יום. המלחים, אחת לששה חדשים. תלמידי חכמים, עונתם פעם אחת בשבת</w:t>
      </w:r>
      <w:r w:rsidR="00091A67">
        <w:rPr>
          <w:rFonts w:cs="Arial" w:hint="cs"/>
          <w:rtl/>
        </w:rPr>
        <w:t>.</w:t>
      </w:r>
      <w:r>
        <w:rPr>
          <w:rFonts w:cs="Arial"/>
          <w:rtl/>
        </w:rPr>
        <w:t xml:space="preserve"> ודרך ת</w:t>
      </w:r>
      <w:r w:rsidR="00091A67">
        <w:rPr>
          <w:rFonts w:cs="Arial" w:hint="cs"/>
          <w:rtl/>
        </w:rPr>
        <w:t xml:space="preserve">למידי </w:t>
      </w:r>
      <w:r>
        <w:rPr>
          <w:rFonts w:cs="Arial"/>
          <w:rtl/>
        </w:rPr>
        <w:t>ח</w:t>
      </w:r>
      <w:r w:rsidR="00091A67">
        <w:rPr>
          <w:rFonts w:cs="Arial" w:hint="cs"/>
          <w:rtl/>
        </w:rPr>
        <w:t>כמים</w:t>
      </w:r>
      <w:r>
        <w:rPr>
          <w:rFonts w:cs="Arial"/>
          <w:rtl/>
        </w:rPr>
        <w:t xml:space="preserve"> לשמש מטתן מלילי שבת ללילי שבת. </w:t>
      </w:r>
    </w:p>
    <w:p w14:paraId="34F91157" w14:textId="77777777" w:rsidR="00C6007E" w:rsidRDefault="00C6007E" w:rsidP="006F6308">
      <w:pPr>
        <w:rPr>
          <w:rtl/>
        </w:rPr>
      </w:pPr>
    </w:p>
    <w:p w14:paraId="67E4BC5A" w14:textId="1FD4BEF2" w:rsidR="006F6308" w:rsidRDefault="006F6308" w:rsidP="000F64D0">
      <w:pPr>
        <w:pStyle w:val="2"/>
        <w:rPr>
          <w:rtl/>
        </w:rPr>
      </w:pPr>
      <w:r>
        <w:rPr>
          <w:rtl/>
        </w:rPr>
        <w:t>סעיף ג</w:t>
      </w:r>
      <w:r w:rsidR="00C6007E">
        <w:rPr>
          <w:rFonts w:hint="cs"/>
          <w:rtl/>
        </w:rPr>
        <w:t>:</w:t>
      </w:r>
      <w:r w:rsidR="0029670D">
        <w:rPr>
          <w:rFonts w:hint="cs"/>
          <w:rtl/>
        </w:rPr>
        <w:t xml:space="preserve"> חולה.</w:t>
      </w:r>
    </w:p>
    <w:p w14:paraId="15D53DD7" w14:textId="7B46F2E1" w:rsidR="00091A67" w:rsidRPr="00BE2C85" w:rsidRDefault="00004682" w:rsidP="00091A67">
      <w:pPr>
        <w:rPr>
          <w:rFonts w:cs="Arial"/>
          <w:u w:val="single"/>
        </w:rPr>
      </w:pPr>
      <w:r>
        <w:rPr>
          <w:rFonts w:cs="Arial" w:hint="cs"/>
          <w:u w:val="single"/>
          <w:rtl/>
        </w:rPr>
        <w:t>בעל</w:t>
      </w:r>
      <w:r w:rsidR="00091A67" w:rsidRPr="00BE2C85">
        <w:rPr>
          <w:rFonts w:cs="Arial" w:hint="cs"/>
          <w:u w:val="single"/>
          <w:rtl/>
        </w:rPr>
        <w:t xml:space="preserve"> חולה </w:t>
      </w:r>
      <w:r w:rsidR="002D0050">
        <w:rPr>
          <w:rFonts w:cs="Arial" w:hint="cs"/>
          <w:u w:val="single"/>
          <w:rtl/>
        </w:rPr>
        <w:t>-</w:t>
      </w:r>
      <w:r w:rsidR="00091A67" w:rsidRPr="00BE2C85">
        <w:rPr>
          <w:rFonts w:cs="Arial" w:hint="cs"/>
          <w:u w:val="single"/>
          <w:rtl/>
        </w:rPr>
        <w:t xml:space="preserve"> האם חייב בעונה:</w:t>
      </w:r>
    </w:p>
    <w:p w14:paraId="30B22810" w14:textId="717EF759" w:rsidR="00091A67" w:rsidRPr="00091A67" w:rsidRDefault="00091A67" w:rsidP="00091A67">
      <w:pPr>
        <w:pStyle w:val="ab"/>
        <w:numPr>
          <w:ilvl w:val="0"/>
          <w:numId w:val="7"/>
        </w:numPr>
        <w:rPr>
          <w:rFonts w:cs="Arial"/>
          <w:rtl/>
        </w:rPr>
      </w:pPr>
      <w:r w:rsidRPr="007D3451">
        <w:rPr>
          <w:rFonts w:cs="Arial"/>
          <w:rtl/>
        </w:rPr>
        <w:t xml:space="preserve">רמ"ה </w:t>
      </w:r>
      <w:r w:rsidR="00004682">
        <w:rPr>
          <w:rFonts w:cs="Arial" w:hint="cs"/>
          <w:sz w:val="16"/>
          <w:szCs w:val="16"/>
          <w:rtl/>
        </w:rPr>
        <w:t>(כ"כ הטור בשמו)</w:t>
      </w:r>
      <w:r w:rsidR="00004682">
        <w:rPr>
          <w:rFonts w:cs="Arial" w:hint="cs"/>
          <w:rtl/>
        </w:rPr>
        <w:t xml:space="preserve"> וטור- </w:t>
      </w:r>
      <w:r w:rsidRPr="007D3451">
        <w:rPr>
          <w:rFonts w:cs="Arial"/>
          <w:rtl/>
        </w:rPr>
        <w:t>והני מילי במי שגופו בריא ויכול לקיים העונה הקצובה לו</w:t>
      </w:r>
      <w:r w:rsidR="00004682">
        <w:rPr>
          <w:rFonts w:cs="Arial" w:hint="cs"/>
          <w:rtl/>
        </w:rPr>
        <w:t>,</w:t>
      </w:r>
      <w:r w:rsidRPr="007D3451">
        <w:rPr>
          <w:rFonts w:cs="Arial"/>
          <w:rtl/>
        </w:rPr>
        <w:t xml:space="preserve"> אבל מי שאינו בריא אינו חייב אלא לפי מה שאומדין אותו שיכול לקיים</w:t>
      </w:r>
      <w:r w:rsidR="00004682">
        <w:rPr>
          <w:rFonts w:cs="Arial" w:hint="cs"/>
          <w:sz w:val="16"/>
          <w:szCs w:val="16"/>
          <w:rtl/>
        </w:rPr>
        <w:t xml:space="preserve"> (ל' הטור בשמ</w:t>
      </w:r>
      <w:r w:rsidR="00081836">
        <w:rPr>
          <w:rFonts w:cs="Arial" w:hint="cs"/>
          <w:sz w:val="16"/>
          <w:szCs w:val="16"/>
          <w:rtl/>
        </w:rPr>
        <w:t>ם הרמ"ה</w:t>
      </w:r>
      <w:r w:rsidR="00004682">
        <w:rPr>
          <w:rFonts w:cs="Arial" w:hint="cs"/>
          <w:sz w:val="16"/>
          <w:szCs w:val="16"/>
          <w:rtl/>
        </w:rPr>
        <w:t>)</w:t>
      </w:r>
      <w:r>
        <w:rPr>
          <w:rFonts w:cs="Arial" w:hint="cs"/>
          <w:rtl/>
        </w:rPr>
        <w:t>.</w:t>
      </w:r>
      <w:r w:rsidRPr="007D3451">
        <w:rPr>
          <w:rFonts w:cs="Arial"/>
          <w:rtl/>
        </w:rPr>
        <w:t xml:space="preserve"> </w:t>
      </w:r>
      <w:r w:rsidR="00081836" w:rsidRPr="004B3BCF">
        <w:rPr>
          <w:rFonts w:hint="cs"/>
          <w:color w:val="E36C0A" w:themeColor="accent6" w:themeShade="BF"/>
          <w:rtl/>
        </w:rPr>
        <w:t>(וכ"פ בשו"ע</w:t>
      </w:r>
      <w:r w:rsidR="00081836">
        <w:rPr>
          <w:rFonts w:hint="cs"/>
          <w:color w:val="E36C0A" w:themeColor="accent6" w:themeShade="BF"/>
          <w:rtl/>
        </w:rPr>
        <w:t>)</w:t>
      </w:r>
    </w:p>
    <w:p w14:paraId="0BCEC59D" w14:textId="77777777" w:rsidR="006F6308" w:rsidRDefault="006F6308" w:rsidP="006F6308">
      <w:pPr>
        <w:rPr>
          <w:rFonts w:cs="Arial"/>
          <w:rtl/>
        </w:rPr>
      </w:pPr>
      <w:r w:rsidRPr="003024E5">
        <w:rPr>
          <w:rFonts w:asciiTheme="minorBidi" w:hAnsiTheme="minorBidi"/>
          <w:b/>
          <w:bCs/>
          <w:color w:val="000000"/>
          <w:sz w:val="28"/>
          <w:szCs w:val="28"/>
          <w:u w:val="single"/>
          <w:rtl/>
        </w:rPr>
        <w:t>שו"ע:</w:t>
      </w:r>
    </w:p>
    <w:p w14:paraId="4D1AAE13" w14:textId="526B291E" w:rsidR="006F6308" w:rsidRDefault="006F6308" w:rsidP="006F6308">
      <w:pPr>
        <w:rPr>
          <w:rtl/>
        </w:rPr>
      </w:pPr>
      <w:r>
        <w:rPr>
          <w:rFonts w:cs="Arial"/>
          <w:rtl/>
        </w:rPr>
        <w:t>ב</w:t>
      </w:r>
      <w:r w:rsidR="0029670D">
        <w:rPr>
          <w:rFonts w:cs="Arial" w:hint="cs"/>
          <w:rtl/>
        </w:rPr>
        <w:t xml:space="preserve">מה </w:t>
      </w:r>
      <w:r>
        <w:rPr>
          <w:rFonts w:cs="Arial"/>
          <w:rtl/>
        </w:rPr>
        <w:t>ד</w:t>
      </w:r>
      <w:r w:rsidR="0029670D">
        <w:rPr>
          <w:rFonts w:cs="Arial" w:hint="cs"/>
          <w:rtl/>
        </w:rPr>
        <w:t xml:space="preserve">ברים </w:t>
      </w:r>
      <w:r>
        <w:rPr>
          <w:rFonts w:cs="Arial"/>
          <w:rtl/>
        </w:rPr>
        <w:t>א</w:t>
      </w:r>
      <w:r w:rsidR="0029670D">
        <w:rPr>
          <w:rFonts w:cs="Arial" w:hint="cs"/>
          <w:rtl/>
        </w:rPr>
        <w:t>מורים</w:t>
      </w:r>
      <w:r>
        <w:rPr>
          <w:rFonts w:cs="Arial"/>
          <w:rtl/>
        </w:rPr>
        <w:t xml:space="preserve">, במי שגופו בריא ויכול לקיים העונה הקצובה לו, אבל מי שאינו בריא אינו חייב אלא לפי מה שאומדין אותו שיכול לקיים. </w:t>
      </w:r>
    </w:p>
    <w:p w14:paraId="374212C4" w14:textId="77777777" w:rsidR="0029670D" w:rsidRDefault="0029670D" w:rsidP="006F6308">
      <w:pPr>
        <w:rPr>
          <w:rtl/>
        </w:rPr>
      </w:pPr>
    </w:p>
    <w:p w14:paraId="30640DA2" w14:textId="1A1FB924" w:rsidR="00931A19" w:rsidRPr="005A20FD" w:rsidRDefault="006F6308" w:rsidP="000F64D0">
      <w:pPr>
        <w:pStyle w:val="2"/>
        <w:rPr>
          <w:rtl/>
        </w:rPr>
      </w:pPr>
      <w:r>
        <w:rPr>
          <w:rtl/>
        </w:rPr>
        <w:t>סעיף ד</w:t>
      </w:r>
      <w:r w:rsidR="0029670D">
        <w:rPr>
          <w:rFonts w:hint="cs"/>
          <w:rtl/>
        </w:rPr>
        <w:t>: ליל טבילה ויוצא לדרך.</w:t>
      </w:r>
    </w:p>
    <w:p w14:paraId="1B194262" w14:textId="3D1010C1" w:rsidR="005A20FD" w:rsidRDefault="005A20FD" w:rsidP="004F5E0D">
      <w:pPr>
        <w:rPr>
          <w:rFonts w:cs="Arial"/>
          <w:rtl/>
        </w:rPr>
      </w:pPr>
      <w:r w:rsidRPr="005A20FD">
        <w:rPr>
          <w:rFonts w:cs="Arial" w:hint="cs"/>
          <w:b/>
          <w:bCs/>
          <w:rtl/>
        </w:rPr>
        <w:t xml:space="preserve">ברכות </w:t>
      </w:r>
      <w:r w:rsidR="001D307D">
        <w:rPr>
          <w:rFonts w:cs="Arial" w:hint="cs"/>
          <w:b/>
          <w:bCs/>
          <w:sz w:val="16"/>
          <w:szCs w:val="16"/>
          <w:rtl/>
        </w:rPr>
        <w:t>(פ' מי שמתו)</w:t>
      </w:r>
      <w:r w:rsidR="001D307D">
        <w:rPr>
          <w:rFonts w:cs="Arial" w:hint="cs"/>
          <w:b/>
          <w:bCs/>
          <w:rtl/>
        </w:rPr>
        <w:t xml:space="preserve"> </w:t>
      </w:r>
      <w:r w:rsidRPr="005A20FD">
        <w:rPr>
          <w:rFonts w:cs="Arial" w:hint="cs"/>
          <w:b/>
          <w:bCs/>
          <w:rtl/>
        </w:rPr>
        <w:t>כד</w:t>
      </w:r>
      <w:r w:rsidR="000016F4">
        <w:rPr>
          <w:rStyle w:val="a7"/>
          <w:rFonts w:cs="Arial"/>
          <w:b/>
          <w:bCs/>
          <w:rtl/>
        </w:rPr>
        <w:footnoteReference w:id="462"/>
      </w:r>
      <w:r w:rsidRPr="005A20FD">
        <w:rPr>
          <w:rFonts w:cs="Arial" w:hint="cs"/>
          <w:b/>
          <w:bCs/>
          <w:rtl/>
        </w:rPr>
        <w:t xml:space="preserve"> ע"א:</w:t>
      </w:r>
      <w:r>
        <w:rPr>
          <w:rFonts w:cs="Arial" w:hint="cs"/>
          <w:rtl/>
        </w:rPr>
        <w:t xml:space="preserve"> </w:t>
      </w:r>
      <w:r w:rsidRPr="005A20FD">
        <w:rPr>
          <w:rFonts w:cs="Arial"/>
          <w:u w:val="single"/>
          <w:rtl/>
        </w:rPr>
        <w:t>אמר רב המנונא בריה דרב יוסף</w:t>
      </w:r>
      <w:r w:rsidRPr="005A20FD">
        <w:rPr>
          <w:rFonts w:cs="Arial"/>
          <w:rtl/>
        </w:rPr>
        <w:t>: זימנא חדא הוה קאימנא קמיה דרבא ואמר לי: זיל אייתי לי תפילין. ואשכחתינהו בין כר לכסת שלא כנגד ראשו, והוה ידענא דיום טבילה הוה</w:t>
      </w:r>
      <w:r w:rsidR="000A3BE3">
        <w:rPr>
          <w:rStyle w:val="a7"/>
          <w:rFonts w:cs="Arial"/>
          <w:rtl/>
        </w:rPr>
        <w:footnoteReference w:id="463"/>
      </w:r>
      <w:r w:rsidRPr="005A20FD">
        <w:rPr>
          <w:rFonts w:cs="Arial"/>
          <w:rtl/>
        </w:rPr>
        <w:t>, ולאגמורן הלכה למעשה הוא דעבד.</w:t>
      </w:r>
      <w:r w:rsidRPr="005A20FD">
        <w:rPr>
          <w:rtl/>
        </w:rPr>
        <w:t xml:space="preserve"> </w:t>
      </w:r>
      <w:r w:rsidRPr="005A20FD">
        <w:rPr>
          <w:rFonts w:hint="cs"/>
          <w:sz w:val="16"/>
          <w:szCs w:val="16"/>
          <w:rtl/>
        </w:rPr>
        <w:t>(</w:t>
      </w:r>
      <w:r w:rsidRPr="005A20FD">
        <w:rPr>
          <w:rFonts w:cs="Arial"/>
          <w:sz w:val="16"/>
          <w:szCs w:val="16"/>
          <w:rtl/>
        </w:rPr>
        <w:t xml:space="preserve">וכתב הב"י </w:t>
      </w:r>
      <w:r w:rsidRPr="005A20FD">
        <w:rPr>
          <w:rFonts w:cs="Arial" w:hint="cs"/>
          <w:sz w:val="16"/>
          <w:szCs w:val="16"/>
          <w:rtl/>
        </w:rPr>
        <w:t xml:space="preserve">(בסי' </w:t>
      </w:r>
      <w:r w:rsidRPr="005A20FD">
        <w:rPr>
          <w:rFonts w:cs="Arial"/>
          <w:sz w:val="16"/>
          <w:szCs w:val="16"/>
          <w:rtl/>
        </w:rPr>
        <w:t>רמ</w:t>
      </w:r>
      <w:r w:rsidRPr="005A20FD">
        <w:rPr>
          <w:rFonts w:cs="Arial" w:hint="cs"/>
          <w:sz w:val="16"/>
          <w:szCs w:val="16"/>
          <w:rtl/>
        </w:rPr>
        <w:t>)</w:t>
      </w:r>
      <w:r w:rsidRPr="005A20FD">
        <w:rPr>
          <w:rFonts w:cs="Arial"/>
          <w:sz w:val="16"/>
          <w:szCs w:val="16"/>
          <w:rtl/>
        </w:rPr>
        <w:t xml:space="preserve"> שמכאן המקור שצריך לפקוד את אשתו בליל טבילתה</w:t>
      </w:r>
      <w:r w:rsidRPr="005A20FD">
        <w:rPr>
          <w:rFonts w:cs="Arial" w:hint="cs"/>
          <w:sz w:val="16"/>
          <w:szCs w:val="16"/>
          <w:rtl/>
        </w:rPr>
        <w:t>)</w:t>
      </w:r>
    </w:p>
    <w:p w14:paraId="260920C1" w14:textId="729ACD21" w:rsidR="004F5E0D" w:rsidRDefault="00931A19" w:rsidP="004F5E0D">
      <w:pPr>
        <w:rPr>
          <w:rtl/>
        </w:rPr>
      </w:pPr>
      <w:r w:rsidRPr="00931A19">
        <w:rPr>
          <w:rFonts w:cs="Arial" w:hint="cs"/>
          <w:b/>
          <w:bCs/>
          <w:rtl/>
        </w:rPr>
        <w:t>יבמות</w:t>
      </w:r>
      <w:r w:rsidRPr="00931A19">
        <w:rPr>
          <w:rFonts w:cs="Arial" w:hint="cs"/>
          <w:b/>
          <w:bCs/>
          <w:sz w:val="16"/>
          <w:szCs w:val="16"/>
          <w:rtl/>
        </w:rPr>
        <w:t xml:space="preserve"> (</w:t>
      </w:r>
      <w:r w:rsidR="004F5E0D" w:rsidRPr="00931A19">
        <w:rPr>
          <w:rFonts w:cs="Arial"/>
          <w:b/>
          <w:bCs/>
          <w:sz w:val="16"/>
          <w:szCs w:val="16"/>
          <w:rtl/>
        </w:rPr>
        <w:t>פ</w:t>
      </w:r>
      <w:r w:rsidRPr="00931A19">
        <w:rPr>
          <w:rFonts w:cs="Arial" w:hint="cs"/>
          <w:b/>
          <w:bCs/>
          <w:sz w:val="16"/>
          <w:szCs w:val="16"/>
          <w:rtl/>
        </w:rPr>
        <w:t>'</w:t>
      </w:r>
      <w:r w:rsidR="004F5E0D" w:rsidRPr="00931A19">
        <w:rPr>
          <w:rFonts w:cs="Arial"/>
          <w:b/>
          <w:bCs/>
          <w:sz w:val="16"/>
          <w:szCs w:val="16"/>
          <w:rtl/>
        </w:rPr>
        <w:t xml:space="preserve"> הבא על יבמתו</w:t>
      </w:r>
      <w:r w:rsidRPr="00931A19">
        <w:rPr>
          <w:rFonts w:cs="Arial" w:hint="cs"/>
          <w:b/>
          <w:bCs/>
          <w:sz w:val="16"/>
          <w:szCs w:val="16"/>
          <w:rtl/>
        </w:rPr>
        <w:t>)</w:t>
      </w:r>
      <w:r w:rsidR="004F5E0D" w:rsidRPr="00931A19">
        <w:rPr>
          <w:rFonts w:cs="Arial"/>
          <w:b/>
          <w:bCs/>
          <w:rtl/>
        </w:rPr>
        <w:t xml:space="preserve"> סב</w:t>
      </w:r>
      <w:r w:rsidR="0031602F">
        <w:rPr>
          <w:rStyle w:val="a7"/>
          <w:rFonts w:cs="Arial"/>
          <w:b/>
          <w:bCs/>
          <w:rtl/>
        </w:rPr>
        <w:footnoteReference w:id="464"/>
      </w:r>
      <w:r w:rsidRPr="00931A19">
        <w:rPr>
          <w:rFonts w:cs="Arial" w:hint="cs"/>
          <w:b/>
          <w:bCs/>
          <w:rtl/>
        </w:rPr>
        <w:t xml:space="preserve"> ע"ב</w:t>
      </w:r>
      <w:r w:rsidR="004F5E0D" w:rsidRPr="00931A19">
        <w:rPr>
          <w:rFonts w:cs="Arial"/>
          <w:b/>
          <w:bCs/>
          <w:rtl/>
        </w:rPr>
        <w:t>:</w:t>
      </w:r>
      <w:r w:rsidRPr="00931A19">
        <w:rPr>
          <w:rFonts w:cs="Arial" w:hint="cs"/>
          <w:b/>
          <w:bCs/>
          <w:rtl/>
        </w:rPr>
        <w:t xml:space="preserve"> </w:t>
      </w:r>
      <w:r w:rsidRPr="00931A19">
        <w:rPr>
          <w:rFonts w:cs="Arial"/>
          <w:u w:val="single"/>
          <w:rtl/>
        </w:rPr>
        <w:t>אמר ריב"ל</w:t>
      </w:r>
      <w:r w:rsidRPr="00931A19">
        <w:rPr>
          <w:rFonts w:cs="Arial"/>
          <w:rtl/>
        </w:rPr>
        <w:t xml:space="preserve">: כל היודע באשתו שהיא יראת שמים ואינו פוקדה - נקרא חוטא, שנאמר: וידעת כי שלום אהלך וגו'. </w:t>
      </w:r>
      <w:r w:rsidRPr="00931A19">
        <w:rPr>
          <w:rFonts w:cs="Arial"/>
          <w:u w:val="single"/>
          <w:rtl/>
        </w:rPr>
        <w:t>ואמר ריב"ל</w:t>
      </w:r>
      <w:r w:rsidRPr="00931A19">
        <w:rPr>
          <w:rFonts w:cs="Arial"/>
          <w:rtl/>
        </w:rPr>
        <w:t xml:space="preserve">: חייב אדם לפקוד את אשתו בשעה שהוא יוצא לדרך, שנא': וידעת כי שלום אהלך וגו'. הא מהכא נפקא? מהתם נפקא: ואל אישך תשוקתך - מלמד, שהאשה משתוקקת על בעלה בשעה שהוא יוצא לדרך! </w:t>
      </w:r>
      <w:r w:rsidRPr="00931A19">
        <w:rPr>
          <w:rFonts w:cs="Arial"/>
          <w:u w:val="single"/>
          <w:rtl/>
        </w:rPr>
        <w:t>א"ר יוסף</w:t>
      </w:r>
      <w:r>
        <w:rPr>
          <w:rFonts w:cs="Arial" w:hint="cs"/>
          <w:rtl/>
        </w:rPr>
        <w:t>:</w:t>
      </w:r>
      <w:r w:rsidRPr="00931A19">
        <w:rPr>
          <w:rFonts w:cs="Arial"/>
          <w:rtl/>
        </w:rPr>
        <w:t xml:space="preserve"> לא נצרכה אלא סמוך לווסתה. וכמה? </w:t>
      </w:r>
      <w:r w:rsidRPr="00931A19">
        <w:rPr>
          <w:rFonts w:cs="Arial"/>
          <w:u w:val="single"/>
          <w:rtl/>
        </w:rPr>
        <w:t>אמר רבא</w:t>
      </w:r>
      <w:r w:rsidRPr="00931A19">
        <w:rPr>
          <w:rFonts w:cs="Arial"/>
          <w:rtl/>
        </w:rPr>
        <w:t>: עונה. והני מילי לדבר הרשות, אבל לדבר מצוה - מיטרידי.</w:t>
      </w:r>
    </w:p>
    <w:p w14:paraId="2C6B6CC4" w14:textId="21EAFAB5" w:rsidR="00931A19" w:rsidRPr="00931A19" w:rsidRDefault="00931A19" w:rsidP="004F5E0D">
      <w:pPr>
        <w:rPr>
          <w:u w:val="single"/>
          <w:rtl/>
        </w:rPr>
      </w:pPr>
      <w:r w:rsidRPr="00931A19">
        <w:rPr>
          <w:rFonts w:hint="cs"/>
          <w:u w:val="single"/>
          <w:rtl/>
        </w:rPr>
        <w:t>חיוב פקידה בליל טבילה וכשיוצא לדרך:</w:t>
      </w:r>
    </w:p>
    <w:p w14:paraId="0B296CE1" w14:textId="20803C6C" w:rsidR="004F5E0D" w:rsidRPr="004F5E0D" w:rsidRDefault="004F5E0D" w:rsidP="009000E3">
      <w:pPr>
        <w:pStyle w:val="ab"/>
        <w:numPr>
          <w:ilvl w:val="0"/>
          <w:numId w:val="26"/>
        </w:numPr>
      </w:pPr>
      <w:r w:rsidRPr="004F5E0D">
        <w:rPr>
          <w:rFonts w:cs="Arial" w:hint="cs"/>
          <w:rtl/>
        </w:rPr>
        <w:t>טור</w:t>
      </w:r>
      <w:r>
        <w:rPr>
          <w:rFonts w:cs="Arial" w:hint="cs"/>
          <w:sz w:val="16"/>
          <w:szCs w:val="16"/>
          <w:rtl/>
        </w:rPr>
        <w:t xml:space="preserve"> (סי' כה, הביאו הב"י בבדה"ב</w:t>
      </w:r>
      <w:r>
        <w:rPr>
          <w:rStyle w:val="a7"/>
          <w:rFonts w:cs="Arial"/>
          <w:sz w:val="16"/>
          <w:szCs w:val="16"/>
          <w:rtl/>
        </w:rPr>
        <w:footnoteReference w:id="465"/>
      </w:r>
      <w:r>
        <w:rPr>
          <w:rFonts w:cs="Arial" w:hint="cs"/>
          <w:sz w:val="16"/>
          <w:szCs w:val="16"/>
          <w:rtl/>
        </w:rPr>
        <w:t>)</w:t>
      </w:r>
      <w:r w:rsidRPr="004F5E0D">
        <w:rPr>
          <w:rFonts w:cs="Arial" w:hint="cs"/>
          <w:rtl/>
        </w:rPr>
        <w:t xml:space="preserve">- </w:t>
      </w:r>
      <w:r w:rsidRPr="004F5E0D">
        <w:rPr>
          <w:rFonts w:cs="Arial"/>
          <w:rtl/>
        </w:rPr>
        <w:t>וכל אדם חייב לפקוד את אשתו בליל טבילתה</w:t>
      </w:r>
      <w:r w:rsidR="0031602F">
        <w:rPr>
          <w:rFonts w:cs="Arial" w:hint="cs"/>
          <w:rtl/>
        </w:rPr>
        <w:t>,</w:t>
      </w:r>
      <w:r w:rsidRPr="004F5E0D">
        <w:rPr>
          <w:rFonts w:cs="Arial"/>
          <w:rtl/>
        </w:rPr>
        <w:t xml:space="preserve"> ובשעה שהוא יוצא לדרך</w:t>
      </w:r>
      <w:r w:rsidRPr="004F5E0D">
        <w:rPr>
          <w:rFonts w:cs="Arial" w:hint="cs"/>
          <w:rtl/>
        </w:rPr>
        <w:t>.</w:t>
      </w:r>
      <w:r w:rsidRPr="000A3BE3">
        <w:rPr>
          <w:rFonts w:cs="Arial"/>
          <w:color w:val="E36C0A" w:themeColor="accent6" w:themeShade="BF"/>
          <w:rtl/>
        </w:rPr>
        <w:t xml:space="preserve"> </w:t>
      </w:r>
      <w:r w:rsidR="001D13AD" w:rsidRPr="000A3BE3">
        <w:rPr>
          <w:rFonts w:hint="cs"/>
          <w:color w:val="E36C0A" w:themeColor="accent6" w:themeShade="BF"/>
          <w:rtl/>
        </w:rPr>
        <w:t>(וכ"פ בשו"ע</w:t>
      </w:r>
      <w:r w:rsidR="001D13AD">
        <w:rPr>
          <w:rFonts w:hint="cs"/>
          <w:sz w:val="16"/>
          <w:szCs w:val="16"/>
          <w:rtl/>
        </w:rPr>
        <w:t xml:space="preserve"> [כאן ובאו"ח סי' רמ ס"א]</w:t>
      </w:r>
      <w:r w:rsidR="001D13AD" w:rsidRPr="000A3BE3">
        <w:rPr>
          <w:rFonts w:hint="cs"/>
          <w:color w:val="E36C0A" w:themeColor="accent6" w:themeShade="BF"/>
          <w:rtl/>
        </w:rPr>
        <w:t>)</w:t>
      </w:r>
    </w:p>
    <w:p w14:paraId="167FBFE6" w14:textId="77777777" w:rsidR="006F6308" w:rsidRDefault="006F6308" w:rsidP="006F6308">
      <w:pPr>
        <w:rPr>
          <w:rFonts w:cs="Arial"/>
          <w:rtl/>
        </w:rPr>
      </w:pPr>
      <w:r w:rsidRPr="003024E5">
        <w:rPr>
          <w:rFonts w:asciiTheme="minorBidi" w:hAnsiTheme="minorBidi"/>
          <w:b/>
          <w:bCs/>
          <w:color w:val="000000"/>
          <w:sz w:val="28"/>
          <w:szCs w:val="28"/>
          <w:u w:val="single"/>
          <w:rtl/>
        </w:rPr>
        <w:t>שו"ע:</w:t>
      </w:r>
    </w:p>
    <w:p w14:paraId="5150029A" w14:textId="5C7F3222" w:rsidR="006F6308" w:rsidRDefault="006F6308" w:rsidP="006F6308">
      <w:pPr>
        <w:rPr>
          <w:rtl/>
        </w:rPr>
      </w:pPr>
      <w:r>
        <w:rPr>
          <w:rFonts w:cs="Arial"/>
          <w:rtl/>
        </w:rPr>
        <w:t>כל אדם חייב לפקוד את אשתו בליל טבילתה</w:t>
      </w:r>
      <w:r w:rsidR="004F5E0D">
        <w:rPr>
          <w:rStyle w:val="a7"/>
          <w:rFonts w:cs="Arial"/>
          <w:rtl/>
        </w:rPr>
        <w:footnoteReference w:id="466"/>
      </w:r>
      <w:r>
        <w:rPr>
          <w:rFonts w:cs="Arial"/>
          <w:rtl/>
        </w:rPr>
        <w:t xml:space="preserve">, ובשעה שהוא יוצא לדרך. </w:t>
      </w:r>
    </w:p>
    <w:p w14:paraId="29EFF7CE" w14:textId="77777777" w:rsidR="0029670D" w:rsidRDefault="0029670D" w:rsidP="006F6308">
      <w:pPr>
        <w:rPr>
          <w:rtl/>
        </w:rPr>
      </w:pPr>
    </w:p>
    <w:p w14:paraId="42D0359C" w14:textId="7F200F15" w:rsidR="00121489" w:rsidRDefault="006F6308" w:rsidP="000F64D0">
      <w:pPr>
        <w:pStyle w:val="2"/>
        <w:rPr>
          <w:rtl/>
        </w:rPr>
      </w:pPr>
      <w:r>
        <w:rPr>
          <w:rtl/>
        </w:rPr>
        <w:t>סעיף ה</w:t>
      </w:r>
      <w:r w:rsidR="0029670D">
        <w:rPr>
          <w:rFonts w:hint="cs"/>
          <w:rtl/>
        </w:rPr>
        <w:t xml:space="preserve">: </w:t>
      </w:r>
      <w:r w:rsidR="00DF72B5">
        <w:rPr>
          <w:rFonts w:hint="cs"/>
          <w:rtl/>
        </w:rPr>
        <w:t>איש רוצה לצאת לסחורה/ת"ת יותר מעונתו. איש שרוצה להחליף מלאכה</w:t>
      </w:r>
      <w:r w:rsidR="0029670D">
        <w:rPr>
          <w:rFonts w:hint="cs"/>
          <w:rtl/>
        </w:rPr>
        <w:t xml:space="preserve">. </w:t>
      </w:r>
    </w:p>
    <w:p w14:paraId="3C7511BE" w14:textId="3B29B697" w:rsidR="00121489" w:rsidRDefault="00A06E0D" w:rsidP="00AC2446">
      <w:pPr>
        <w:rPr>
          <w:rFonts w:cs="Arial"/>
          <w:rtl/>
        </w:rPr>
      </w:pPr>
      <w:r w:rsidRPr="00AA00D2">
        <w:rPr>
          <w:rFonts w:cs="Arial"/>
          <w:b/>
          <w:bCs/>
          <w:rtl/>
        </w:rPr>
        <w:t xml:space="preserve">כתובות </w:t>
      </w:r>
      <w:r w:rsidRPr="00AA00D2">
        <w:rPr>
          <w:rFonts w:cs="Arial" w:hint="cs"/>
          <w:b/>
          <w:bCs/>
          <w:sz w:val="16"/>
          <w:szCs w:val="16"/>
          <w:rtl/>
        </w:rPr>
        <w:t>(</w:t>
      </w:r>
      <w:r w:rsidRPr="00AA00D2">
        <w:rPr>
          <w:rFonts w:cs="Arial"/>
          <w:b/>
          <w:bCs/>
          <w:sz w:val="16"/>
          <w:szCs w:val="16"/>
          <w:rtl/>
        </w:rPr>
        <w:t xml:space="preserve">פ' </w:t>
      </w:r>
      <w:r>
        <w:rPr>
          <w:rFonts w:cs="Arial" w:hint="cs"/>
          <w:b/>
          <w:bCs/>
          <w:sz w:val="16"/>
          <w:szCs w:val="16"/>
          <w:rtl/>
        </w:rPr>
        <w:t>אף על פי</w:t>
      </w:r>
      <w:r w:rsidRPr="00AA00D2">
        <w:rPr>
          <w:rFonts w:cs="Arial" w:hint="cs"/>
          <w:b/>
          <w:bCs/>
          <w:sz w:val="16"/>
          <w:szCs w:val="16"/>
          <w:rtl/>
        </w:rPr>
        <w:t>)</w:t>
      </w:r>
      <w:r w:rsidRPr="00AA00D2">
        <w:rPr>
          <w:rFonts w:cs="Arial"/>
          <w:b/>
          <w:bCs/>
          <w:rtl/>
        </w:rPr>
        <w:t xml:space="preserve"> </w:t>
      </w:r>
      <w:r>
        <w:rPr>
          <w:rFonts w:cs="Arial" w:hint="cs"/>
          <w:b/>
          <w:bCs/>
          <w:rtl/>
        </w:rPr>
        <w:t>סא</w:t>
      </w:r>
      <w:r w:rsidRPr="00AA00D2">
        <w:rPr>
          <w:rFonts w:cs="Arial" w:hint="cs"/>
          <w:b/>
          <w:bCs/>
          <w:rtl/>
        </w:rPr>
        <w:t xml:space="preserve"> ע"</w:t>
      </w:r>
      <w:r>
        <w:rPr>
          <w:rFonts w:cs="Arial" w:hint="cs"/>
          <w:b/>
          <w:bCs/>
          <w:rtl/>
        </w:rPr>
        <w:t>ב</w:t>
      </w:r>
      <w:r w:rsidRPr="00AA00D2">
        <w:rPr>
          <w:rFonts w:cs="Arial"/>
          <w:b/>
          <w:bCs/>
          <w:rtl/>
        </w:rPr>
        <w:t>:</w:t>
      </w:r>
      <w:r w:rsidRPr="00AA00D2">
        <w:rPr>
          <w:rFonts w:cs="Arial" w:hint="cs"/>
          <w:rtl/>
        </w:rPr>
        <w:t xml:space="preserve"> </w:t>
      </w:r>
      <w:r w:rsidRPr="00AA00D2">
        <w:rPr>
          <w:rFonts w:cs="Arial"/>
          <w:u w:val="double"/>
          <w:rtl/>
        </w:rPr>
        <w:t>מתני'</w:t>
      </w:r>
      <w:r w:rsidRPr="00AA00D2">
        <w:rPr>
          <w:rFonts w:cs="Arial" w:hint="cs"/>
          <w:rtl/>
        </w:rPr>
        <w:t>:</w:t>
      </w:r>
      <w:r w:rsidRPr="00DE6B68">
        <w:rPr>
          <w:rFonts w:cs="Arial"/>
          <w:rtl/>
        </w:rPr>
        <w:t xml:space="preserve"> המדיר את אשתו מתשמיש המטה, </w:t>
      </w:r>
      <w:r w:rsidRPr="00DE6B68">
        <w:rPr>
          <w:rFonts w:cs="Arial"/>
          <w:u w:val="single"/>
          <w:rtl/>
        </w:rPr>
        <w:t>ב"ש אומרים</w:t>
      </w:r>
      <w:r w:rsidRPr="00DE6B68">
        <w:rPr>
          <w:rFonts w:cs="Arial"/>
          <w:rtl/>
        </w:rPr>
        <w:t xml:space="preserve">: שתי שבתות, </w:t>
      </w:r>
      <w:r w:rsidRPr="00DE6B68">
        <w:rPr>
          <w:rFonts w:cs="Arial"/>
          <w:u w:val="single"/>
          <w:rtl/>
        </w:rPr>
        <w:t>בית הלל אומרים</w:t>
      </w:r>
      <w:r w:rsidRPr="00DE6B68">
        <w:rPr>
          <w:rFonts w:cs="Arial"/>
          <w:rtl/>
        </w:rPr>
        <w:t>: שבת אחת. התלמידים יוצאין לתלמוד תורה שלא ברשות שלשים יום</w:t>
      </w:r>
      <w:r w:rsidR="00037A65">
        <w:rPr>
          <w:rStyle w:val="a7"/>
          <w:rFonts w:cs="Arial"/>
          <w:rtl/>
        </w:rPr>
        <w:footnoteReference w:id="467"/>
      </w:r>
      <w:r w:rsidRPr="00DE6B68">
        <w:rPr>
          <w:rFonts w:cs="Arial"/>
          <w:rtl/>
        </w:rPr>
        <w:t>, הפועלים - שבת אחת</w:t>
      </w:r>
      <w:r w:rsidR="007655E0" w:rsidRPr="00DE6B68">
        <w:rPr>
          <w:rFonts w:cs="Arial"/>
          <w:rtl/>
        </w:rPr>
        <w:t>. העונה האמורה בתורה</w:t>
      </w:r>
      <w:r w:rsidR="007655E0">
        <w:rPr>
          <w:rFonts w:cs="Arial" w:hint="cs"/>
          <w:rtl/>
        </w:rPr>
        <w:t xml:space="preserve">... </w:t>
      </w:r>
      <w:r w:rsidR="007655E0" w:rsidRPr="00DE6B68">
        <w:rPr>
          <w:rFonts w:cs="Arial"/>
          <w:rtl/>
        </w:rPr>
        <w:t xml:space="preserve">הספנים - אחת לששה חדשים, </w:t>
      </w:r>
      <w:r w:rsidR="007655E0" w:rsidRPr="00DE6B68">
        <w:rPr>
          <w:rFonts w:cs="Arial"/>
          <w:u w:val="single"/>
          <w:rtl/>
        </w:rPr>
        <w:t>דברי רבי אליעזר</w:t>
      </w:r>
      <w:r w:rsidR="007655E0" w:rsidRPr="00DE6B68">
        <w:rPr>
          <w:rFonts w:cs="Arial"/>
          <w:rtl/>
        </w:rPr>
        <w:t>.</w:t>
      </w:r>
      <w:r>
        <w:rPr>
          <w:rFonts w:hint="cs"/>
          <w:rtl/>
        </w:rPr>
        <w:t xml:space="preserve">      </w:t>
      </w:r>
      <w:r>
        <w:rPr>
          <w:rFonts w:cs="Arial" w:hint="cs"/>
          <w:u w:val="double"/>
          <w:rtl/>
        </w:rPr>
        <w:t>גמ</w:t>
      </w:r>
      <w:r w:rsidRPr="00AA00D2">
        <w:rPr>
          <w:rFonts w:cs="Arial"/>
          <w:u w:val="double"/>
          <w:rtl/>
        </w:rPr>
        <w:t>'</w:t>
      </w:r>
      <w:r w:rsidR="00283DE3">
        <w:rPr>
          <w:rFonts w:cs="Arial" w:hint="cs"/>
          <w:rtl/>
        </w:rPr>
        <w:t>:</w:t>
      </w:r>
      <w:r>
        <w:rPr>
          <w:rFonts w:cs="Arial" w:hint="cs"/>
          <w:rtl/>
        </w:rPr>
        <w:t xml:space="preserve"> </w:t>
      </w:r>
      <w:r w:rsidR="00283DE3" w:rsidRPr="00283DE3">
        <w:rPr>
          <w:rFonts w:cs="Arial"/>
          <w:rtl/>
        </w:rPr>
        <w:t xml:space="preserve">התלמידים יוצאין לתלמוד וכו'. ברשות </w:t>
      </w:r>
      <w:r w:rsidR="00283DE3" w:rsidRPr="00283DE3">
        <w:rPr>
          <w:rFonts w:cs="Arial"/>
          <w:rtl/>
        </w:rPr>
        <w:lastRenderedPageBreak/>
        <w:t>כמה? כמה דבעי.</w:t>
      </w:r>
      <w:r w:rsidR="00283DE3">
        <w:rPr>
          <w:rFonts w:cs="Arial" w:hint="cs"/>
          <w:sz w:val="14"/>
          <w:szCs w:val="14"/>
          <w:rtl/>
        </w:rPr>
        <w:t xml:space="preserve"> (סב.) </w:t>
      </w:r>
      <w:r w:rsidR="00283DE3" w:rsidRPr="00283DE3">
        <w:rPr>
          <w:rFonts w:cs="Arial"/>
          <w:rtl/>
        </w:rPr>
        <w:t>אורחא דמילתא</w:t>
      </w:r>
      <w:r w:rsidR="00AC2446">
        <w:rPr>
          <w:rStyle w:val="a7"/>
          <w:rFonts w:cs="Arial"/>
          <w:rtl/>
        </w:rPr>
        <w:footnoteReference w:id="468"/>
      </w:r>
      <w:r w:rsidR="00283DE3" w:rsidRPr="00283DE3">
        <w:rPr>
          <w:rFonts w:cs="Arial"/>
          <w:rtl/>
        </w:rPr>
        <w:t xml:space="preserve"> כמה</w:t>
      </w:r>
      <w:r w:rsidR="00936DDD">
        <w:rPr>
          <w:rStyle w:val="a7"/>
          <w:rFonts w:cs="Arial"/>
          <w:rtl/>
        </w:rPr>
        <w:footnoteReference w:id="469"/>
      </w:r>
      <w:r w:rsidR="00283DE3" w:rsidRPr="00283DE3">
        <w:rPr>
          <w:rFonts w:cs="Arial"/>
          <w:rtl/>
        </w:rPr>
        <w:t xml:space="preserve">? </w:t>
      </w:r>
      <w:r w:rsidR="00283DE3" w:rsidRPr="00283DE3">
        <w:rPr>
          <w:rFonts w:cs="Arial"/>
          <w:u w:val="single"/>
          <w:rtl/>
        </w:rPr>
        <w:t>אמר רב</w:t>
      </w:r>
      <w:r w:rsidR="00283DE3" w:rsidRPr="00283DE3">
        <w:rPr>
          <w:rFonts w:cs="Arial"/>
          <w:rtl/>
        </w:rPr>
        <w:t>: חדש כאן וחדש בבית</w:t>
      </w:r>
      <w:r w:rsidR="004B7A9C">
        <w:rPr>
          <w:rStyle w:val="a7"/>
          <w:rFonts w:cs="Arial"/>
          <w:rtl/>
        </w:rPr>
        <w:footnoteReference w:id="470"/>
      </w:r>
      <w:r w:rsidR="00283DE3" w:rsidRPr="00283DE3">
        <w:rPr>
          <w:rFonts w:cs="Arial"/>
          <w:rtl/>
        </w:rPr>
        <w:t>, שנאמר: לכל דבר המחלקות הבאה והיוצאת חדש בחדש לכל חדשי השנה</w:t>
      </w:r>
      <w:r w:rsidR="00283DE3">
        <w:rPr>
          <w:rFonts w:cs="Arial" w:hint="cs"/>
          <w:rtl/>
        </w:rPr>
        <w:t>.</w:t>
      </w:r>
      <w:r w:rsidR="00283DE3" w:rsidRPr="00283DE3">
        <w:rPr>
          <w:rFonts w:cs="Arial"/>
          <w:rtl/>
        </w:rPr>
        <w:t xml:space="preserve"> </w:t>
      </w:r>
      <w:r w:rsidR="00283DE3" w:rsidRPr="00283DE3">
        <w:rPr>
          <w:rFonts w:cs="Arial"/>
          <w:u w:val="single"/>
          <w:rtl/>
        </w:rPr>
        <w:t>ור' יוחנן אמר</w:t>
      </w:r>
      <w:r w:rsidR="00283DE3" w:rsidRPr="00283DE3">
        <w:rPr>
          <w:rFonts w:cs="Arial"/>
          <w:rtl/>
        </w:rPr>
        <w:t>: חדש כאן ושנים בביתו, שנאמר: חדש יהיו בלבנון שנים חדשים בביתו.</w:t>
      </w:r>
      <w:r w:rsidR="00283DE3">
        <w:rPr>
          <w:rFonts w:cs="Arial" w:hint="cs"/>
          <w:rtl/>
        </w:rPr>
        <w:t>..</w:t>
      </w:r>
      <w:r w:rsidR="00283DE3">
        <w:rPr>
          <w:rFonts w:cs="Arial" w:hint="cs"/>
          <w:sz w:val="16"/>
          <w:szCs w:val="16"/>
          <w:rtl/>
        </w:rPr>
        <w:t xml:space="preserve"> (סב:)</w:t>
      </w:r>
      <w:r w:rsidR="00283DE3" w:rsidRPr="00283DE3">
        <w:rPr>
          <w:rFonts w:cs="Arial"/>
          <w:rtl/>
        </w:rPr>
        <w:t xml:space="preserve"> </w:t>
      </w:r>
      <w:r w:rsidRPr="00CB1695">
        <w:rPr>
          <w:rFonts w:cs="Arial"/>
          <w:u w:val="single"/>
          <w:rtl/>
        </w:rPr>
        <w:t>א"ל רבה בר רב חנן לאביי</w:t>
      </w:r>
      <w:r w:rsidRPr="00DB78F6">
        <w:rPr>
          <w:rFonts w:cs="Arial"/>
          <w:rtl/>
        </w:rPr>
        <w:t>: חמר ונעשה גמל, מאי</w:t>
      </w:r>
      <w:r>
        <w:rPr>
          <w:rStyle w:val="a7"/>
          <w:rFonts w:cs="Arial"/>
          <w:rtl/>
        </w:rPr>
        <w:footnoteReference w:id="471"/>
      </w:r>
      <w:r w:rsidRPr="00DB78F6">
        <w:rPr>
          <w:rFonts w:cs="Arial"/>
          <w:rtl/>
        </w:rPr>
        <w:t xml:space="preserve">? </w:t>
      </w:r>
      <w:r w:rsidRPr="00CB1695">
        <w:rPr>
          <w:rFonts w:cs="Arial"/>
          <w:u w:val="single"/>
          <w:rtl/>
        </w:rPr>
        <w:t>א"ל</w:t>
      </w:r>
      <w:r w:rsidRPr="00DB78F6">
        <w:rPr>
          <w:rFonts w:cs="Arial"/>
          <w:rtl/>
        </w:rPr>
        <w:t>: רוצה אשה בקב ותיפלות</w:t>
      </w:r>
      <w:r>
        <w:rPr>
          <w:rStyle w:val="a7"/>
          <w:rFonts w:cs="Arial"/>
          <w:rtl/>
        </w:rPr>
        <w:footnoteReference w:id="472"/>
      </w:r>
      <w:r w:rsidRPr="00DB78F6">
        <w:rPr>
          <w:rFonts w:cs="Arial"/>
          <w:rtl/>
        </w:rPr>
        <w:t xml:space="preserve"> מעשרה קבין</w:t>
      </w:r>
      <w:r>
        <w:rPr>
          <w:rStyle w:val="a7"/>
          <w:rFonts w:cs="Arial"/>
          <w:rtl/>
        </w:rPr>
        <w:footnoteReference w:id="473"/>
      </w:r>
      <w:r w:rsidRPr="00DB78F6">
        <w:rPr>
          <w:rFonts w:cs="Arial"/>
          <w:rtl/>
        </w:rPr>
        <w:t xml:space="preserve"> ופרישות</w:t>
      </w:r>
      <w:r w:rsidR="007655E0">
        <w:rPr>
          <w:rFonts w:cs="Arial" w:hint="cs"/>
          <w:rtl/>
        </w:rPr>
        <w:t>..</w:t>
      </w:r>
      <w:r w:rsidRPr="00DB78F6">
        <w:rPr>
          <w:rFonts w:cs="Arial"/>
          <w:rtl/>
        </w:rPr>
        <w:t xml:space="preserve">. </w:t>
      </w:r>
      <w:r w:rsidR="007655E0">
        <w:rPr>
          <w:rFonts w:cs="Arial" w:hint="cs"/>
          <w:rtl/>
        </w:rPr>
        <w:t>'</w:t>
      </w:r>
      <w:r w:rsidR="007655E0" w:rsidRPr="00DB78F6">
        <w:rPr>
          <w:rFonts w:cs="Arial"/>
          <w:rtl/>
        </w:rPr>
        <w:t>הספנים אחת לששה חדשים דברי ר' אליעזר</w:t>
      </w:r>
      <w:r w:rsidR="007655E0">
        <w:rPr>
          <w:rFonts w:cs="Arial" w:hint="cs"/>
          <w:rtl/>
        </w:rPr>
        <w:t>'</w:t>
      </w:r>
      <w:r w:rsidR="007655E0" w:rsidRPr="00DB78F6">
        <w:rPr>
          <w:rFonts w:cs="Arial"/>
          <w:rtl/>
        </w:rPr>
        <w:t xml:space="preserve">. </w:t>
      </w:r>
      <w:r w:rsidR="007655E0" w:rsidRPr="00CB1695">
        <w:rPr>
          <w:rFonts w:cs="Arial"/>
          <w:u w:val="single"/>
          <w:rtl/>
        </w:rPr>
        <w:t>אמר רב ברונא אמר רב</w:t>
      </w:r>
      <w:r w:rsidR="007655E0" w:rsidRPr="00DB78F6">
        <w:rPr>
          <w:rFonts w:cs="Arial"/>
          <w:rtl/>
        </w:rPr>
        <w:t xml:space="preserve">: הלכה כר"א. </w:t>
      </w:r>
      <w:r w:rsidR="007655E0" w:rsidRPr="00CB1695">
        <w:rPr>
          <w:rFonts w:cs="Arial"/>
          <w:u w:val="single"/>
          <w:rtl/>
        </w:rPr>
        <w:t>אמר רב אדא בר אהבה אמר רב</w:t>
      </w:r>
      <w:r w:rsidR="007655E0" w:rsidRPr="00DB78F6">
        <w:rPr>
          <w:rFonts w:cs="Arial"/>
          <w:rtl/>
        </w:rPr>
        <w:t>: זו דברי ר' אליעזר, אבל חכמים אומרים: התלמידים יוצאין לת"ת ב' וג' שנים שלא ברשות.</w:t>
      </w:r>
      <w:r w:rsidR="007655E0">
        <w:rPr>
          <w:rFonts w:cs="Arial" w:hint="cs"/>
          <w:rtl/>
        </w:rPr>
        <w:t>..</w:t>
      </w:r>
    </w:p>
    <w:p w14:paraId="66B1FFF9" w14:textId="7A51A118" w:rsidR="001E2E22" w:rsidRPr="001E2E22" w:rsidRDefault="008858D3" w:rsidP="00AC2446">
      <w:pPr>
        <w:rPr>
          <w:rFonts w:cs="Arial"/>
          <w:u w:val="single"/>
          <w:rtl/>
        </w:rPr>
      </w:pPr>
      <w:r>
        <w:rPr>
          <w:rFonts w:cs="Arial" w:hint="cs"/>
          <w:u w:val="single"/>
          <w:rtl/>
        </w:rPr>
        <w:t>איש</w:t>
      </w:r>
      <w:r w:rsidR="001E2E22" w:rsidRPr="001E2E22">
        <w:rPr>
          <w:rFonts w:cs="Arial" w:hint="cs"/>
          <w:u w:val="single"/>
          <w:rtl/>
        </w:rPr>
        <w:t xml:space="preserve"> שרוצה לצאת לסחורה וכדו' בעניין שיתבטל מעונתו </w:t>
      </w:r>
      <w:r w:rsidR="00F97626">
        <w:rPr>
          <w:rFonts w:cs="Arial"/>
          <w:u w:val="single"/>
          <w:rtl/>
        </w:rPr>
        <w:t>-</w:t>
      </w:r>
      <w:r w:rsidR="001E2E22" w:rsidRPr="001E2E22">
        <w:rPr>
          <w:rFonts w:cs="Arial" w:hint="cs"/>
          <w:u w:val="single"/>
          <w:rtl/>
        </w:rPr>
        <w:t xml:space="preserve"> האם מותר לו לצאת:</w:t>
      </w:r>
    </w:p>
    <w:p w14:paraId="73815915" w14:textId="72DB22A5" w:rsidR="00497C61" w:rsidRDefault="008858D3" w:rsidP="00121489">
      <w:pPr>
        <w:pStyle w:val="ab"/>
        <w:numPr>
          <w:ilvl w:val="0"/>
          <w:numId w:val="7"/>
        </w:numPr>
        <w:rPr>
          <w:rFonts w:cs="Arial"/>
        </w:rPr>
      </w:pPr>
      <w:r>
        <w:rPr>
          <w:rFonts w:cs="Arial" w:hint="cs"/>
          <w:rtl/>
        </w:rPr>
        <w:t xml:space="preserve">רמב"ם </w:t>
      </w:r>
      <w:r>
        <w:rPr>
          <w:rFonts w:cs="Arial" w:hint="cs"/>
          <w:sz w:val="16"/>
          <w:szCs w:val="16"/>
          <w:rtl/>
        </w:rPr>
        <w:t>(פי"ד מאישות ה"ב)</w:t>
      </w:r>
      <w:r>
        <w:rPr>
          <w:rFonts w:cs="Arial" w:hint="cs"/>
          <w:rtl/>
        </w:rPr>
        <w:t xml:space="preserve"> </w:t>
      </w:r>
      <w:r w:rsidR="00AC2446">
        <w:rPr>
          <w:rFonts w:cs="Arial" w:hint="cs"/>
          <w:rtl/>
        </w:rPr>
        <w:t xml:space="preserve">רא"ש </w:t>
      </w:r>
      <w:r w:rsidR="00AC2446">
        <w:rPr>
          <w:rFonts w:cs="Arial" w:hint="cs"/>
          <w:sz w:val="16"/>
          <w:szCs w:val="16"/>
          <w:rtl/>
        </w:rPr>
        <w:t>(</w:t>
      </w:r>
      <w:r w:rsidR="00497C61">
        <w:rPr>
          <w:rFonts w:cs="Arial" w:hint="cs"/>
          <w:sz w:val="16"/>
          <w:szCs w:val="16"/>
          <w:rtl/>
        </w:rPr>
        <w:t xml:space="preserve">פ"ה </w:t>
      </w:r>
      <w:r w:rsidR="00AC2446">
        <w:rPr>
          <w:rFonts w:cs="Arial" w:hint="cs"/>
          <w:sz w:val="16"/>
          <w:szCs w:val="16"/>
          <w:rtl/>
        </w:rPr>
        <w:t>סי' כט)</w:t>
      </w:r>
      <w:r w:rsidR="00AC2446">
        <w:rPr>
          <w:rFonts w:cs="Arial" w:hint="cs"/>
          <w:rtl/>
        </w:rPr>
        <w:t xml:space="preserve"> ו</w:t>
      </w:r>
      <w:r w:rsidR="00121489">
        <w:rPr>
          <w:rFonts w:cs="Arial" w:hint="cs"/>
          <w:rtl/>
        </w:rPr>
        <w:t xml:space="preserve">טור- </w:t>
      </w:r>
      <w:r w:rsidR="00121489" w:rsidRPr="007D3451">
        <w:rPr>
          <w:rFonts w:cs="Arial"/>
          <w:rtl/>
        </w:rPr>
        <w:t>אין האיש רשאי לצאת לסחורה או לצורך דבר אחר בענין שמתבטל מעונתו המוטלת עליו אלא ברשות אשתו</w:t>
      </w:r>
      <w:r>
        <w:rPr>
          <w:rFonts w:cs="Arial" w:hint="cs"/>
          <w:sz w:val="16"/>
          <w:szCs w:val="16"/>
          <w:rtl/>
        </w:rPr>
        <w:t xml:space="preserve"> (ל' הטור)</w:t>
      </w:r>
      <w:r w:rsidR="00121489">
        <w:rPr>
          <w:rFonts w:cs="Arial" w:hint="cs"/>
          <w:rtl/>
        </w:rPr>
        <w:t>.</w:t>
      </w:r>
      <w:r w:rsidRPr="007D3451">
        <w:rPr>
          <w:rFonts w:cs="Arial"/>
          <w:rtl/>
        </w:rPr>
        <w:t xml:space="preserve"> </w:t>
      </w:r>
      <w:r w:rsidRPr="004B3BCF">
        <w:rPr>
          <w:rFonts w:hint="cs"/>
          <w:color w:val="E36C0A" w:themeColor="accent6" w:themeShade="BF"/>
          <w:rtl/>
        </w:rPr>
        <w:t>(וכ"פ בשו"ע</w:t>
      </w:r>
      <w:r>
        <w:rPr>
          <w:rFonts w:hint="cs"/>
          <w:color w:val="E36C0A" w:themeColor="accent6" w:themeShade="BF"/>
          <w:rtl/>
        </w:rPr>
        <w:t>)</w:t>
      </w:r>
    </w:p>
    <w:p w14:paraId="1C633905" w14:textId="18029812" w:rsidR="00497C61" w:rsidRPr="00497C61" w:rsidRDefault="00497C61" w:rsidP="00497C61">
      <w:pPr>
        <w:ind w:left="360"/>
        <w:rPr>
          <w:rFonts w:cs="Arial"/>
          <w:u w:val="dotted"/>
        </w:rPr>
      </w:pPr>
      <w:r w:rsidRPr="00497C61">
        <w:rPr>
          <w:rFonts w:cs="Arial" w:hint="cs"/>
          <w:u w:val="dotted"/>
          <w:rtl/>
        </w:rPr>
        <w:t xml:space="preserve">כמה ראוי </w:t>
      </w:r>
      <w:r w:rsidR="008858D3">
        <w:rPr>
          <w:rFonts w:cs="Arial" w:hint="cs"/>
          <w:u w:val="dotted"/>
          <w:rtl/>
        </w:rPr>
        <w:t>לאיש</w:t>
      </w:r>
      <w:r w:rsidR="00936DDD">
        <w:rPr>
          <w:rFonts w:cs="Arial" w:hint="cs"/>
          <w:u w:val="dotted"/>
          <w:rtl/>
        </w:rPr>
        <w:t xml:space="preserve"> שיוצא לסחורה </w:t>
      </w:r>
      <w:r w:rsidR="00936DDD">
        <w:rPr>
          <w:rFonts w:cs="Arial" w:hint="cs"/>
          <w:sz w:val="16"/>
          <w:szCs w:val="16"/>
          <w:u w:val="dotted"/>
          <w:rtl/>
        </w:rPr>
        <w:t>(וכדו', אך לא ללמוד תורה)</w:t>
      </w:r>
      <w:r w:rsidR="00936DDD">
        <w:rPr>
          <w:rFonts w:cs="Arial" w:hint="cs"/>
          <w:u w:val="dotted"/>
          <w:rtl/>
        </w:rPr>
        <w:t xml:space="preserve"> ל</w:t>
      </w:r>
      <w:r w:rsidRPr="00497C61">
        <w:rPr>
          <w:rFonts w:cs="Arial" w:hint="cs"/>
          <w:u w:val="dotted"/>
          <w:rtl/>
        </w:rPr>
        <w:t>בקש:</w:t>
      </w:r>
      <w:r w:rsidR="00121489" w:rsidRPr="00497C61">
        <w:rPr>
          <w:rFonts w:cs="Arial"/>
          <w:u w:val="dotted"/>
          <w:rtl/>
        </w:rPr>
        <w:t xml:space="preserve"> </w:t>
      </w:r>
    </w:p>
    <w:p w14:paraId="7FC4D620" w14:textId="6873BACA" w:rsidR="00AC2446" w:rsidRDefault="00497C61" w:rsidP="00121489">
      <w:pPr>
        <w:pStyle w:val="ab"/>
        <w:numPr>
          <w:ilvl w:val="0"/>
          <w:numId w:val="7"/>
        </w:numPr>
        <w:rPr>
          <w:rFonts w:cs="Arial"/>
        </w:rPr>
      </w:pPr>
      <w:r>
        <w:rPr>
          <w:rFonts w:cs="Arial" w:hint="cs"/>
          <w:rtl/>
        </w:rPr>
        <w:t xml:space="preserve">רא"ש </w:t>
      </w:r>
      <w:r>
        <w:rPr>
          <w:rFonts w:cs="Arial" w:hint="cs"/>
          <w:sz w:val="16"/>
          <w:szCs w:val="16"/>
          <w:rtl/>
        </w:rPr>
        <w:t>(פ"ה סי' כט)</w:t>
      </w:r>
      <w:r>
        <w:rPr>
          <w:rFonts w:cs="Arial" w:hint="cs"/>
          <w:rtl/>
        </w:rPr>
        <w:t xml:space="preserve"> וטור- </w:t>
      </w:r>
      <w:r w:rsidR="00121489" w:rsidRPr="007D3451">
        <w:rPr>
          <w:rFonts w:cs="Arial"/>
          <w:rtl/>
        </w:rPr>
        <w:t>ואפי' אם תתן לו רשות אין ראוי לו להתאחר אלא חדש בחוץ וחדש בביתו</w:t>
      </w:r>
      <w:r w:rsidR="00121489">
        <w:rPr>
          <w:rFonts w:cs="Arial" w:hint="cs"/>
          <w:rtl/>
        </w:rPr>
        <w:t>,</w:t>
      </w:r>
      <w:r w:rsidR="00121489" w:rsidRPr="007D3451">
        <w:rPr>
          <w:rFonts w:cs="Arial"/>
          <w:rtl/>
        </w:rPr>
        <w:t xml:space="preserve"> כי אע</w:t>
      </w:r>
      <w:r w:rsidR="0031602F">
        <w:rPr>
          <w:rFonts w:cs="Arial" w:hint="cs"/>
          <w:rtl/>
        </w:rPr>
        <w:t>"</w:t>
      </w:r>
      <w:r w:rsidR="00121489" w:rsidRPr="007D3451">
        <w:rPr>
          <w:rFonts w:cs="Arial"/>
          <w:rtl/>
        </w:rPr>
        <w:t>פ שנותנת לו רשות על ידי פיוס או על ידי שמתביישת למונעו היא מצטערת בלבה</w:t>
      </w:r>
      <w:r w:rsidR="00AC2446">
        <w:rPr>
          <w:rFonts w:cs="Arial" w:hint="cs"/>
          <w:sz w:val="16"/>
          <w:szCs w:val="16"/>
          <w:rtl/>
        </w:rPr>
        <w:t xml:space="preserve"> (ל' הטור)</w:t>
      </w:r>
      <w:r w:rsidR="00121489">
        <w:rPr>
          <w:rFonts w:cs="Arial" w:hint="cs"/>
          <w:rtl/>
        </w:rPr>
        <w:t>.</w:t>
      </w:r>
      <w:r w:rsidR="008858D3" w:rsidRPr="008858D3">
        <w:rPr>
          <w:rFonts w:cs="Arial" w:hint="cs"/>
          <w:color w:val="00B0F0"/>
          <w:rtl/>
        </w:rPr>
        <w:t xml:space="preserve"> (וכ"פ הרמ"א)</w:t>
      </w:r>
    </w:p>
    <w:p w14:paraId="67F37B2B" w14:textId="53FE58BD" w:rsidR="00AC2446" w:rsidRPr="00497C61" w:rsidRDefault="00121489" w:rsidP="00497C61">
      <w:pPr>
        <w:pStyle w:val="ab"/>
        <w:numPr>
          <w:ilvl w:val="0"/>
          <w:numId w:val="7"/>
        </w:numPr>
        <w:rPr>
          <w:rFonts w:cs="Arial"/>
        </w:rPr>
      </w:pPr>
      <w:r w:rsidRPr="007D3451">
        <w:rPr>
          <w:rFonts w:cs="Arial"/>
          <w:rtl/>
        </w:rPr>
        <w:t>רמ"ה</w:t>
      </w:r>
      <w:r w:rsidR="00497C61">
        <w:rPr>
          <w:rFonts w:cs="Arial" w:hint="cs"/>
          <w:sz w:val="16"/>
          <w:szCs w:val="16"/>
          <w:rtl/>
        </w:rPr>
        <w:t xml:space="preserve"> (כ"כ בשמו הרא"ש [פ"ה סי' כט] והטור)</w:t>
      </w:r>
      <w:r w:rsidR="00AC2446">
        <w:rPr>
          <w:rFonts w:cs="Arial" w:hint="cs"/>
          <w:rtl/>
        </w:rPr>
        <w:t>-</w:t>
      </w:r>
      <w:r w:rsidR="00497C61">
        <w:rPr>
          <w:rFonts w:cs="Arial" w:hint="cs"/>
          <w:rtl/>
        </w:rPr>
        <w:t xml:space="preserve"> </w:t>
      </w:r>
      <w:r w:rsidRPr="007D3451">
        <w:rPr>
          <w:rFonts w:cs="Arial"/>
          <w:rtl/>
        </w:rPr>
        <w:t>חדש בחוץ וב' חדשים בביתו</w:t>
      </w:r>
      <w:r w:rsidR="00497C61">
        <w:rPr>
          <w:rStyle w:val="a7"/>
          <w:rFonts w:cs="Arial"/>
          <w:rtl/>
        </w:rPr>
        <w:footnoteReference w:id="474"/>
      </w:r>
      <w:r w:rsidR="00AC2446">
        <w:rPr>
          <w:rFonts w:cs="Arial" w:hint="cs"/>
          <w:rtl/>
        </w:rPr>
        <w:t>.</w:t>
      </w:r>
      <w:r w:rsidRPr="007D3451">
        <w:rPr>
          <w:rFonts w:cs="Arial"/>
          <w:rtl/>
        </w:rPr>
        <w:t xml:space="preserve"> </w:t>
      </w:r>
    </w:p>
    <w:p w14:paraId="7599E1E4" w14:textId="59C96F8F" w:rsidR="00497C61" w:rsidRPr="00497C61" w:rsidRDefault="007655E0" w:rsidP="00497C61">
      <w:pPr>
        <w:ind w:left="360"/>
        <w:rPr>
          <w:u w:val="dotted"/>
        </w:rPr>
      </w:pPr>
      <w:r>
        <w:rPr>
          <w:rFonts w:hint="cs"/>
          <w:u w:val="dotted"/>
          <w:rtl/>
        </w:rPr>
        <w:t xml:space="preserve">כמה ראוי </w:t>
      </w:r>
      <w:r w:rsidR="008858D3">
        <w:rPr>
          <w:rFonts w:hint="cs"/>
          <w:u w:val="dotted"/>
          <w:rtl/>
        </w:rPr>
        <w:t>לאיש</w:t>
      </w:r>
      <w:r w:rsidR="00936DDD">
        <w:rPr>
          <w:rFonts w:hint="cs"/>
          <w:u w:val="dotted"/>
          <w:rtl/>
        </w:rPr>
        <w:t xml:space="preserve"> שיוצא ללמוד תורה</w:t>
      </w:r>
      <w:r>
        <w:rPr>
          <w:rFonts w:hint="cs"/>
          <w:u w:val="dotted"/>
          <w:rtl/>
        </w:rPr>
        <w:t xml:space="preserve"> </w:t>
      </w:r>
      <w:r w:rsidR="00936DDD">
        <w:rPr>
          <w:rFonts w:hint="cs"/>
          <w:u w:val="dotted"/>
          <w:rtl/>
        </w:rPr>
        <w:t>ל</w:t>
      </w:r>
      <w:r>
        <w:rPr>
          <w:rFonts w:hint="cs"/>
          <w:u w:val="dotted"/>
          <w:rtl/>
        </w:rPr>
        <w:t>בקש:</w:t>
      </w:r>
    </w:p>
    <w:p w14:paraId="17B29CEA" w14:textId="730943AC" w:rsidR="00121489" w:rsidRDefault="00121489" w:rsidP="00121489">
      <w:pPr>
        <w:pStyle w:val="ab"/>
        <w:numPr>
          <w:ilvl w:val="0"/>
          <w:numId w:val="7"/>
        </w:numPr>
        <w:rPr>
          <w:rFonts w:cs="Arial"/>
        </w:rPr>
      </w:pPr>
      <w:r w:rsidRPr="007D3451">
        <w:rPr>
          <w:rFonts w:cs="Arial"/>
          <w:rtl/>
        </w:rPr>
        <w:t xml:space="preserve">ראב"ד </w:t>
      </w:r>
      <w:r w:rsidR="00497C61">
        <w:rPr>
          <w:rFonts w:cs="Arial" w:hint="cs"/>
          <w:sz w:val="16"/>
          <w:szCs w:val="16"/>
          <w:rtl/>
        </w:rPr>
        <w:t>(כ"כ בשמו הרא"ש [פ"ה סי' כט] והטור)</w:t>
      </w:r>
      <w:r w:rsidR="00497C61">
        <w:rPr>
          <w:rFonts w:cs="Arial" w:hint="cs"/>
          <w:rtl/>
        </w:rPr>
        <w:t>-</w:t>
      </w:r>
      <w:r w:rsidRPr="007D3451">
        <w:rPr>
          <w:rFonts w:cs="Arial"/>
          <w:rtl/>
        </w:rPr>
        <w:t xml:space="preserve"> מי שתורתו אומנותו יכול לילך בכל מה שתתן לו רשות</w:t>
      </w:r>
      <w:r w:rsidR="00497C61">
        <w:rPr>
          <w:rStyle w:val="a7"/>
          <w:rFonts w:cs="Arial"/>
          <w:rtl/>
        </w:rPr>
        <w:footnoteReference w:id="475"/>
      </w:r>
      <w:r w:rsidR="00497C61" w:rsidRPr="00497C61">
        <w:rPr>
          <w:rFonts w:cs="Arial"/>
          <w:rtl/>
        </w:rPr>
        <w:t>.</w:t>
      </w:r>
      <w:r w:rsidR="008858D3">
        <w:rPr>
          <w:rFonts w:cs="Arial" w:hint="cs"/>
          <w:rtl/>
        </w:rPr>
        <w:t xml:space="preserve"> </w:t>
      </w:r>
      <w:r w:rsidR="008858D3" w:rsidRPr="008858D3">
        <w:rPr>
          <w:rFonts w:cs="Arial" w:hint="cs"/>
          <w:color w:val="00B0F0"/>
          <w:rtl/>
        </w:rPr>
        <w:t>(וכ"פ הרמ"א)</w:t>
      </w:r>
    </w:p>
    <w:p w14:paraId="698DAEE1" w14:textId="74035F62" w:rsidR="00497C61" w:rsidRPr="001374E9" w:rsidRDefault="001374E9" w:rsidP="001374E9">
      <w:pPr>
        <w:rPr>
          <w:rFonts w:cs="Arial"/>
          <w:u w:val="single"/>
        </w:rPr>
      </w:pPr>
      <w:r w:rsidRPr="001374E9">
        <w:rPr>
          <w:rFonts w:cs="Arial" w:hint="cs"/>
          <w:u w:val="single"/>
          <w:rtl/>
        </w:rPr>
        <w:t xml:space="preserve">כמה </w:t>
      </w:r>
      <w:r>
        <w:rPr>
          <w:rFonts w:cs="Arial" w:hint="cs"/>
          <w:u w:val="single"/>
          <w:rtl/>
        </w:rPr>
        <w:t xml:space="preserve">תלמיד חכם </w:t>
      </w:r>
      <w:r w:rsidRPr="001374E9">
        <w:rPr>
          <w:rFonts w:cs="Arial" w:hint="cs"/>
          <w:u w:val="single"/>
          <w:rtl/>
        </w:rPr>
        <w:t xml:space="preserve">יכול </w:t>
      </w:r>
      <w:r w:rsidR="001E2E22" w:rsidRPr="001374E9">
        <w:rPr>
          <w:rFonts w:cs="Arial" w:hint="cs"/>
          <w:u w:val="single"/>
          <w:rtl/>
        </w:rPr>
        <w:t xml:space="preserve">לצאת </w:t>
      </w:r>
      <w:r w:rsidRPr="001374E9">
        <w:rPr>
          <w:rFonts w:cs="Arial" w:hint="cs"/>
          <w:u w:val="single"/>
          <w:rtl/>
        </w:rPr>
        <w:t xml:space="preserve">מהבית ללמוד תורה </w:t>
      </w:r>
      <w:r w:rsidR="001E2E22" w:rsidRPr="001374E9">
        <w:rPr>
          <w:rFonts w:cs="Arial" w:hint="cs"/>
          <w:u w:val="single"/>
          <w:rtl/>
        </w:rPr>
        <w:t>בלא רשות אשתו:</w:t>
      </w:r>
    </w:p>
    <w:p w14:paraId="1F1558ED" w14:textId="1F60A073" w:rsidR="001E2E22" w:rsidRPr="00A74239" w:rsidRDefault="001374E9" w:rsidP="00A74239">
      <w:pPr>
        <w:pStyle w:val="ab"/>
        <w:numPr>
          <w:ilvl w:val="0"/>
          <w:numId w:val="7"/>
        </w:numPr>
        <w:rPr>
          <w:rFonts w:cs="Arial"/>
        </w:rPr>
      </w:pPr>
      <w:r>
        <w:rPr>
          <w:rFonts w:cs="Arial" w:hint="cs"/>
          <w:rtl/>
        </w:rPr>
        <w:t xml:space="preserve">רי"ף </w:t>
      </w:r>
      <w:r w:rsidRPr="007655E0">
        <w:rPr>
          <w:rFonts w:cs="Arial" w:hint="cs"/>
          <w:sz w:val="16"/>
          <w:szCs w:val="16"/>
          <w:rtl/>
        </w:rPr>
        <w:t>(</w:t>
      </w:r>
      <w:r w:rsidR="007655E0" w:rsidRPr="007655E0">
        <w:rPr>
          <w:rFonts w:cs="Arial" w:hint="cs"/>
          <w:sz w:val="16"/>
          <w:szCs w:val="16"/>
          <w:rtl/>
        </w:rPr>
        <w:t>כ"כ הרא"ש בשמו [שם]</w:t>
      </w:r>
      <w:r w:rsidRPr="007655E0">
        <w:rPr>
          <w:rFonts w:cs="Arial" w:hint="cs"/>
          <w:sz w:val="16"/>
          <w:szCs w:val="16"/>
          <w:rtl/>
        </w:rPr>
        <w:t>)</w:t>
      </w:r>
      <w:r>
        <w:rPr>
          <w:rFonts w:cs="Arial" w:hint="cs"/>
          <w:rtl/>
        </w:rPr>
        <w:t xml:space="preserve">- </w:t>
      </w:r>
      <w:r w:rsidR="007655E0" w:rsidRPr="00DE6B68">
        <w:rPr>
          <w:rFonts w:cs="Arial"/>
          <w:rtl/>
        </w:rPr>
        <w:t>התלמידים יוצאין לתלמוד תורה שלא ברשות שלשים יום</w:t>
      </w:r>
      <w:r w:rsidR="007655E0">
        <w:rPr>
          <w:rFonts w:cs="Arial" w:hint="cs"/>
          <w:rtl/>
        </w:rPr>
        <w:t>.</w:t>
      </w:r>
      <w:r w:rsidR="007655E0" w:rsidRPr="001E2E22">
        <w:rPr>
          <w:rFonts w:cs="Arial"/>
          <w:rtl/>
        </w:rPr>
        <w:t xml:space="preserve"> </w:t>
      </w:r>
    </w:p>
    <w:p w14:paraId="3F1403DB" w14:textId="636E3980" w:rsidR="001374E9" w:rsidRDefault="00A74239" w:rsidP="00121489">
      <w:pPr>
        <w:pStyle w:val="ab"/>
        <w:numPr>
          <w:ilvl w:val="0"/>
          <w:numId w:val="7"/>
        </w:numPr>
        <w:rPr>
          <w:rFonts w:cs="Arial"/>
        </w:rPr>
      </w:pPr>
      <w:r>
        <w:rPr>
          <w:rFonts w:cs="Arial" w:hint="cs"/>
          <w:rtl/>
        </w:rPr>
        <w:t xml:space="preserve">רמב"ם </w:t>
      </w:r>
      <w:r>
        <w:rPr>
          <w:rFonts w:cs="Arial" w:hint="cs"/>
          <w:sz w:val="16"/>
          <w:szCs w:val="16"/>
          <w:rtl/>
        </w:rPr>
        <w:t>(פי"ד מאישות ה"ב)</w:t>
      </w:r>
      <w:r>
        <w:rPr>
          <w:rFonts w:cs="Arial" w:hint="cs"/>
          <w:rtl/>
        </w:rPr>
        <w:t xml:space="preserve"> ו</w:t>
      </w:r>
      <w:r w:rsidR="00121489" w:rsidRPr="007D3451">
        <w:rPr>
          <w:rFonts w:cs="Arial"/>
          <w:rtl/>
        </w:rPr>
        <w:t>רמ"ה</w:t>
      </w:r>
      <w:r w:rsidR="001374E9">
        <w:rPr>
          <w:rFonts w:cs="Arial" w:hint="cs"/>
          <w:rtl/>
        </w:rPr>
        <w:t xml:space="preserve">- </w:t>
      </w:r>
      <w:r w:rsidR="00C64FAC" w:rsidRPr="007D3451">
        <w:rPr>
          <w:rFonts w:cs="Arial"/>
          <w:rtl/>
        </w:rPr>
        <w:t>יוצא אדם ללמוד תורה ג' או ד' שנים שלא ברשות</w:t>
      </w:r>
      <w:r w:rsidR="001374E9">
        <w:rPr>
          <w:rStyle w:val="a7"/>
          <w:rFonts w:cs="Arial"/>
          <w:rtl/>
        </w:rPr>
        <w:footnoteReference w:id="476"/>
      </w:r>
      <w:r w:rsidR="001374E9">
        <w:rPr>
          <w:rFonts w:cs="Arial" w:hint="cs"/>
          <w:rtl/>
        </w:rPr>
        <w:t>.</w:t>
      </w:r>
      <w:r w:rsidR="008858D3" w:rsidRPr="007D3451">
        <w:rPr>
          <w:rFonts w:cs="Arial"/>
          <w:rtl/>
        </w:rPr>
        <w:t xml:space="preserve"> </w:t>
      </w:r>
      <w:r w:rsidR="008858D3" w:rsidRPr="004B3BCF">
        <w:rPr>
          <w:rFonts w:hint="cs"/>
          <w:color w:val="E36C0A" w:themeColor="accent6" w:themeShade="BF"/>
          <w:rtl/>
        </w:rPr>
        <w:t>(וכ"פ בשו"ע</w:t>
      </w:r>
      <w:r w:rsidR="008858D3">
        <w:rPr>
          <w:rFonts w:hint="cs"/>
          <w:color w:val="E36C0A" w:themeColor="accent6" w:themeShade="BF"/>
          <w:rtl/>
        </w:rPr>
        <w:t>)</w:t>
      </w:r>
    </w:p>
    <w:p w14:paraId="4FD945ED" w14:textId="329889F7" w:rsidR="00121489" w:rsidRPr="00121489" w:rsidRDefault="008858D3" w:rsidP="00121489">
      <w:pPr>
        <w:rPr>
          <w:u w:val="single"/>
          <w:rtl/>
        </w:rPr>
      </w:pPr>
      <w:r>
        <w:rPr>
          <w:rFonts w:hint="cs"/>
          <w:u w:val="single"/>
          <w:rtl/>
        </w:rPr>
        <w:t>האם האיש יכול ל</w:t>
      </w:r>
      <w:r w:rsidR="00121489" w:rsidRPr="00121489">
        <w:rPr>
          <w:rFonts w:hint="cs"/>
          <w:u w:val="single"/>
          <w:rtl/>
        </w:rPr>
        <w:t>חל</w:t>
      </w:r>
      <w:r>
        <w:rPr>
          <w:rFonts w:hint="cs"/>
          <w:u w:val="single"/>
          <w:rtl/>
        </w:rPr>
        <w:t>יף</w:t>
      </w:r>
      <w:r w:rsidR="00121489" w:rsidRPr="00121489">
        <w:rPr>
          <w:rFonts w:hint="cs"/>
          <w:u w:val="single"/>
          <w:rtl/>
        </w:rPr>
        <w:t xml:space="preserve"> מלאכ</w:t>
      </w:r>
      <w:r>
        <w:rPr>
          <w:rFonts w:hint="cs"/>
          <w:u w:val="single"/>
          <w:rtl/>
        </w:rPr>
        <w:t>תו למלאכה שעונתה רחוקה יותר</w:t>
      </w:r>
      <w:r w:rsidR="00121489" w:rsidRPr="00121489">
        <w:rPr>
          <w:rFonts w:hint="cs"/>
          <w:u w:val="single"/>
          <w:rtl/>
        </w:rPr>
        <w:t>:</w:t>
      </w:r>
    </w:p>
    <w:p w14:paraId="224F951A" w14:textId="794D1048" w:rsidR="007871AE" w:rsidRDefault="00534510" w:rsidP="008858D3">
      <w:pPr>
        <w:pStyle w:val="ab"/>
        <w:numPr>
          <w:ilvl w:val="0"/>
          <w:numId w:val="7"/>
        </w:numPr>
        <w:rPr>
          <w:rFonts w:cs="Arial"/>
        </w:rPr>
      </w:pPr>
      <w:r>
        <w:rPr>
          <w:rFonts w:cs="Arial" w:hint="cs"/>
          <w:rtl/>
        </w:rPr>
        <w:t xml:space="preserve">טור- </w:t>
      </w:r>
      <w:r w:rsidRPr="007D3451">
        <w:rPr>
          <w:rFonts w:cs="Arial"/>
          <w:rtl/>
        </w:rPr>
        <w:t>אין האיש רשאי לשנות מלאכה שעונתה קרובה לאחרת שעונתה רחוקה יותר</w:t>
      </w:r>
      <w:r w:rsidR="008858D3">
        <w:rPr>
          <w:rFonts w:cs="Arial" w:hint="cs"/>
          <w:rtl/>
        </w:rPr>
        <w:t>,</w:t>
      </w:r>
      <w:r w:rsidRPr="007D3451">
        <w:rPr>
          <w:rFonts w:cs="Arial"/>
          <w:rtl/>
        </w:rPr>
        <w:t xml:space="preserve"> כגון מחמר לגמל</w:t>
      </w:r>
      <w:r w:rsidR="008858D3">
        <w:rPr>
          <w:rFonts w:cs="Arial" w:hint="cs"/>
          <w:rtl/>
        </w:rPr>
        <w:t>,</w:t>
      </w:r>
      <w:r w:rsidRPr="007D3451">
        <w:rPr>
          <w:rFonts w:cs="Arial"/>
          <w:rtl/>
        </w:rPr>
        <w:t xml:space="preserve"> בלא רשותה</w:t>
      </w:r>
      <w:r w:rsidR="008858D3">
        <w:rPr>
          <w:rFonts w:cs="Arial" w:hint="cs"/>
          <w:rtl/>
        </w:rPr>
        <w:t>,</w:t>
      </w:r>
      <w:r w:rsidRPr="007D3451">
        <w:rPr>
          <w:rFonts w:cs="Arial"/>
          <w:rtl/>
        </w:rPr>
        <w:t xml:space="preserve"> אע</w:t>
      </w:r>
      <w:r w:rsidR="00F2071A">
        <w:rPr>
          <w:rFonts w:cs="Arial" w:hint="cs"/>
          <w:rtl/>
        </w:rPr>
        <w:t>"</w:t>
      </w:r>
      <w:r w:rsidRPr="007D3451">
        <w:rPr>
          <w:rFonts w:cs="Arial"/>
          <w:rtl/>
        </w:rPr>
        <w:t>פ שיש בה ריוח יותר</w:t>
      </w:r>
      <w:r w:rsidR="008858D3">
        <w:rPr>
          <w:rFonts w:cs="Arial" w:hint="cs"/>
          <w:rtl/>
        </w:rPr>
        <w:t>.</w:t>
      </w:r>
      <w:r w:rsidRPr="007D3451">
        <w:rPr>
          <w:rFonts w:cs="Arial"/>
          <w:rtl/>
        </w:rPr>
        <w:t xml:space="preserve"> חוץ מאדם בטל שיכול לחזור ת"ח בלא רשותה</w:t>
      </w:r>
      <w:r w:rsidR="008858D3">
        <w:rPr>
          <w:rFonts w:cs="Arial" w:hint="cs"/>
          <w:rtl/>
        </w:rPr>
        <w:t>,</w:t>
      </w:r>
      <w:r w:rsidRPr="007D3451">
        <w:rPr>
          <w:rFonts w:cs="Arial"/>
          <w:rtl/>
        </w:rPr>
        <w:t xml:space="preserve"> דכיון שהוא אצלה תמיד וגם חוזר ללמוד תורה אינה מקפדת</w:t>
      </w:r>
      <w:r w:rsidR="008858D3">
        <w:rPr>
          <w:rStyle w:val="a7"/>
          <w:rFonts w:cs="Arial"/>
          <w:rtl/>
        </w:rPr>
        <w:footnoteReference w:id="477"/>
      </w:r>
      <w:r>
        <w:rPr>
          <w:rFonts w:cs="Arial" w:hint="cs"/>
          <w:rtl/>
        </w:rPr>
        <w:t>.</w:t>
      </w:r>
    </w:p>
    <w:p w14:paraId="045CC70B" w14:textId="285C0129" w:rsidR="00457983" w:rsidRPr="008858D3" w:rsidRDefault="007871AE" w:rsidP="008858D3">
      <w:pPr>
        <w:pStyle w:val="ab"/>
        <w:numPr>
          <w:ilvl w:val="0"/>
          <w:numId w:val="7"/>
        </w:numPr>
        <w:rPr>
          <w:rFonts w:cs="Arial"/>
          <w:rtl/>
        </w:rPr>
      </w:pPr>
      <w:r>
        <w:rPr>
          <w:rFonts w:cs="Arial" w:hint="cs"/>
          <w:rtl/>
        </w:rPr>
        <w:t xml:space="preserve">רמב"ם </w:t>
      </w:r>
      <w:r>
        <w:rPr>
          <w:rFonts w:cs="Arial" w:hint="cs"/>
          <w:sz w:val="16"/>
          <w:szCs w:val="16"/>
          <w:rtl/>
        </w:rPr>
        <w:t>(פי"ד מאישות ה"ב)</w:t>
      </w:r>
      <w:r>
        <w:rPr>
          <w:rFonts w:cs="Arial" w:hint="cs"/>
          <w:rtl/>
        </w:rPr>
        <w:t xml:space="preserve">- </w:t>
      </w:r>
      <w:r w:rsidRPr="007871AE">
        <w:rPr>
          <w:rFonts w:cs="Arial"/>
          <w:rtl/>
        </w:rPr>
        <w:t>וכן יש לה למנעו לצאת ממלאכה שעונתה קרובה למלאכה שעונתה רחוקה, כגון חמר שביקש להעשות גמל או גמל להעשות מלח</w:t>
      </w:r>
      <w:r w:rsidR="007160B6">
        <w:rPr>
          <w:rFonts w:cs="Arial" w:hint="cs"/>
          <w:rtl/>
        </w:rPr>
        <w:t>.</w:t>
      </w:r>
      <w:r w:rsidRPr="007871AE">
        <w:rPr>
          <w:rFonts w:cs="Arial"/>
          <w:rtl/>
        </w:rPr>
        <w:t xml:space="preserve"> ותלמידי חכמים יוצאין לתלמוד תורה שלא ברשות נשותיהן שתים ושלש שנים, וכן רך וענוג שנעשה תלמיד חכמים אין אשתו יכולה לעכב.</w:t>
      </w:r>
      <w:r w:rsidR="008858D3" w:rsidRPr="007D3451">
        <w:rPr>
          <w:rFonts w:cs="Arial"/>
          <w:rtl/>
        </w:rPr>
        <w:t xml:space="preserve"> </w:t>
      </w:r>
      <w:r w:rsidR="008858D3" w:rsidRPr="004B3BCF">
        <w:rPr>
          <w:rFonts w:hint="cs"/>
          <w:color w:val="E36C0A" w:themeColor="accent6" w:themeShade="BF"/>
          <w:rtl/>
        </w:rPr>
        <w:t>(וכ"פ בשו"ע</w:t>
      </w:r>
      <w:r w:rsidR="008858D3">
        <w:rPr>
          <w:rFonts w:hint="cs"/>
          <w:color w:val="E36C0A" w:themeColor="accent6" w:themeShade="BF"/>
          <w:rtl/>
        </w:rPr>
        <w:t>)</w:t>
      </w:r>
    </w:p>
    <w:p w14:paraId="3DF1A64F" w14:textId="77777777" w:rsidR="006F6308" w:rsidRDefault="006F6308" w:rsidP="006F6308">
      <w:pPr>
        <w:rPr>
          <w:rFonts w:cs="Arial"/>
          <w:rtl/>
        </w:rPr>
      </w:pPr>
      <w:r w:rsidRPr="003024E5">
        <w:rPr>
          <w:rFonts w:asciiTheme="minorBidi" w:hAnsiTheme="minorBidi"/>
          <w:b/>
          <w:bCs/>
          <w:color w:val="000000"/>
          <w:sz w:val="28"/>
          <w:szCs w:val="28"/>
          <w:u w:val="single"/>
          <w:rtl/>
        </w:rPr>
        <w:lastRenderedPageBreak/>
        <w:t>שו"ע:</w:t>
      </w:r>
    </w:p>
    <w:p w14:paraId="34D9AE5F" w14:textId="1DF8F33A" w:rsidR="006F6308" w:rsidRDefault="006F6308" w:rsidP="006F6308">
      <w:pPr>
        <w:rPr>
          <w:rtl/>
        </w:rPr>
      </w:pPr>
      <w:r>
        <w:rPr>
          <w:rFonts w:cs="Arial"/>
          <w:rtl/>
        </w:rPr>
        <w:t>יש לאשה לעכב על בעלה שלא יצא לסחורה אלא למקום קרוב, שלא ימנע מעונתה</w:t>
      </w:r>
      <w:r w:rsidR="008858D3">
        <w:rPr>
          <w:rFonts w:cs="Arial" w:hint="cs"/>
          <w:rtl/>
        </w:rPr>
        <w:t>,</w:t>
      </w:r>
      <w:r>
        <w:rPr>
          <w:rFonts w:cs="Arial"/>
          <w:rtl/>
        </w:rPr>
        <w:t xml:space="preserve"> ולא יצא אלא ברשותה.</w:t>
      </w:r>
      <w:r w:rsidRPr="00457983">
        <w:rPr>
          <w:rFonts w:cs="Arial"/>
          <w:sz w:val="18"/>
          <w:szCs w:val="18"/>
          <w:rtl/>
        </w:rPr>
        <w:t xml:space="preserve"> </w:t>
      </w:r>
      <w:r w:rsidR="008858D3">
        <w:rPr>
          <w:rFonts w:cs="Arial" w:hint="cs"/>
          <w:sz w:val="18"/>
          <w:szCs w:val="18"/>
          <w:rtl/>
        </w:rPr>
        <w:t xml:space="preserve">[הגה] </w:t>
      </w:r>
      <w:r w:rsidRPr="00457983">
        <w:rPr>
          <w:rFonts w:cs="Arial"/>
          <w:sz w:val="18"/>
          <w:szCs w:val="18"/>
          <w:rtl/>
        </w:rPr>
        <w:t xml:space="preserve">ואפילו אם נותנת לו רשות, אין לו להתאחר, אלא חדש בחוץ וחדש בביתו (טור ורא"ש). </w:t>
      </w:r>
      <w:r>
        <w:rPr>
          <w:rFonts w:cs="Arial"/>
          <w:rtl/>
        </w:rPr>
        <w:t>וכן יש לה למונעו לצאת ממלאכה שעונתה קרובה למלאכה שעונתה רחוקה, כגון חמר שבקש להעשות גמל, או גמל להעשות מלח</w:t>
      </w:r>
      <w:r w:rsidR="008858D3">
        <w:rPr>
          <w:rFonts w:cs="Arial" w:hint="cs"/>
          <w:rtl/>
        </w:rPr>
        <w:t>.</w:t>
      </w:r>
      <w:r>
        <w:rPr>
          <w:rFonts w:cs="Arial"/>
          <w:rtl/>
        </w:rPr>
        <w:t xml:space="preserve"> ות</w:t>
      </w:r>
      <w:r w:rsidR="008858D3">
        <w:rPr>
          <w:rFonts w:cs="Arial" w:hint="cs"/>
          <w:rtl/>
        </w:rPr>
        <w:t>למידי חכמים</w:t>
      </w:r>
      <w:r>
        <w:rPr>
          <w:rFonts w:cs="Arial"/>
          <w:rtl/>
        </w:rPr>
        <w:t xml:space="preserve"> יוצאים לתלמוד תורה שלא ברשות נשותיהם ב' וג' שנים</w:t>
      </w:r>
      <w:r w:rsidR="008858D3">
        <w:rPr>
          <w:rFonts w:cs="Arial" w:hint="cs"/>
          <w:rtl/>
        </w:rPr>
        <w:t>.</w:t>
      </w:r>
      <w:r>
        <w:rPr>
          <w:rFonts w:cs="Arial"/>
          <w:rtl/>
        </w:rPr>
        <w:t xml:space="preserve"> וכן טייל שנעשה ת</w:t>
      </w:r>
      <w:r w:rsidR="008858D3">
        <w:rPr>
          <w:rFonts w:cs="Arial" w:hint="cs"/>
          <w:rtl/>
        </w:rPr>
        <w:t xml:space="preserve">למיד </w:t>
      </w:r>
      <w:r>
        <w:rPr>
          <w:rFonts w:cs="Arial"/>
          <w:rtl/>
        </w:rPr>
        <w:t>ח</w:t>
      </w:r>
      <w:r w:rsidR="008858D3">
        <w:rPr>
          <w:rFonts w:cs="Arial" w:hint="cs"/>
          <w:rtl/>
        </w:rPr>
        <w:t>כם</w:t>
      </w:r>
      <w:r>
        <w:rPr>
          <w:rFonts w:cs="Arial"/>
          <w:rtl/>
        </w:rPr>
        <w:t xml:space="preserve">, אין אשתו יכולה לעכב. </w:t>
      </w:r>
      <w:r w:rsidR="008858D3">
        <w:rPr>
          <w:rFonts w:cs="Arial" w:hint="cs"/>
          <w:sz w:val="18"/>
          <w:szCs w:val="18"/>
          <w:rtl/>
        </w:rPr>
        <w:t xml:space="preserve">[הגה] </w:t>
      </w:r>
      <w:r w:rsidRPr="00457983">
        <w:rPr>
          <w:rFonts w:cs="Arial"/>
          <w:sz w:val="18"/>
          <w:szCs w:val="18"/>
          <w:rtl/>
        </w:rPr>
        <w:t>ואם נותנת לו רשות, ת"ח יכול לילך בכל מה שתתן לו רשות (טור בשם הראב"ד).</w:t>
      </w:r>
      <w:r>
        <w:rPr>
          <w:rFonts w:cs="Arial"/>
          <w:rtl/>
        </w:rPr>
        <w:t xml:space="preserve"> </w:t>
      </w:r>
    </w:p>
    <w:p w14:paraId="45BD2062" w14:textId="77777777" w:rsidR="00457983" w:rsidRDefault="00457983" w:rsidP="006F6308">
      <w:pPr>
        <w:rPr>
          <w:rtl/>
        </w:rPr>
      </w:pPr>
    </w:p>
    <w:p w14:paraId="1E03496E" w14:textId="1C628DD8" w:rsidR="006F6308" w:rsidRDefault="006F6308" w:rsidP="000F64D0">
      <w:pPr>
        <w:pStyle w:val="2"/>
        <w:rPr>
          <w:rtl/>
        </w:rPr>
      </w:pPr>
      <w:r>
        <w:rPr>
          <w:rtl/>
        </w:rPr>
        <w:t>סעיף ו</w:t>
      </w:r>
      <w:r w:rsidR="0029670D">
        <w:rPr>
          <w:rFonts w:hint="cs"/>
          <w:rtl/>
        </w:rPr>
        <w:t>: אשה שמחלה על עונתה.</w:t>
      </w:r>
    </w:p>
    <w:p w14:paraId="0BE84B9F" w14:textId="52F5797B" w:rsidR="00922CBD" w:rsidRPr="00922CBD" w:rsidRDefault="00922CBD" w:rsidP="00922CBD">
      <w:pPr>
        <w:rPr>
          <w:u w:val="single"/>
          <w:rtl/>
        </w:rPr>
      </w:pPr>
      <w:r w:rsidRPr="00922CBD">
        <w:rPr>
          <w:rFonts w:hint="cs"/>
          <w:u w:val="single"/>
          <w:rtl/>
        </w:rPr>
        <w:t xml:space="preserve">אשה שמחלה לבעלה על עונתה </w:t>
      </w:r>
      <w:r w:rsidR="00F97626">
        <w:rPr>
          <w:u w:val="single"/>
          <w:rtl/>
        </w:rPr>
        <w:t>-</w:t>
      </w:r>
      <w:r w:rsidRPr="00922CBD">
        <w:rPr>
          <w:rFonts w:hint="cs"/>
          <w:u w:val="single"/>
          <w:rtl/>
        </w:rPr>
        <w:t xml:space="preserve"> האם פטור הבעל מעונה:</w:t>
      </w:r>
    </w:p>
    <w:p w14:paraId="6347221B" w14:textId="38BE606B" w:rsidR="0029670D" w:rsidRPr="008000C2" w:rsidRDefault="00922CBD" w:rsidP="008000C2">
      <w:pPr>
        <w:pStyle w:val="ab"/>
        <w:numPr>
          <w:ilvl w:val="0"/>
          <w:numId w:val="7"/>
        </w:numPr>
        <w:rPr>
          <w:rFonts w:cs="Arial"/>
          <w:rtl/>
        </w:rPr>
      </w:pPr>
      <w:r>
        <w:rPr>
          <w:rFonts w:cs="Arial" w:hint="cs"/>
          <w:rtl/>
        </w:rPr>
        <w:t xml:space="preserve">רמב"ם </w:t>
      </w:r>
      <w:r>
        <w:rPr>
          <w:rFonts w:cs="Arial" w:hint="cs"/>
          <w:sz w:val="16"/>
          <w:szCs w:val="16"/>
          <w:rtl/>
        </w:rPr>
        <w:t xml:space="preserve">(פט"ו מאישות ה"א) </w:t>
      </w:r>
      <w:r>
        <w:rPr>
          <w:rFonts w:cs="Arial" w:hint="cs"/>
          <w:rtl/>
        </w:rPr>
        <w:t>ו</w:t>
      </w:r>
      <w:r w:rsidR="00534510">
        <w:rPr>
          <w:rFonts w:cs="Arial" w:hint="cs"/>
          <w:rtl/>
        </w:rPr>
        <w:t xml:space="preserve">טור- </w:t>
      </w:r>
      <w:r w:rsidRPr="00922CBD">
        <w:rPr>
          <w:rFonts w:cs="Arial"/>
          <w:rtl/>
        </w:rPr>
        <w:t xml:space="preserve">האשה שהרשת את בעלה אחר הנישואין שימנע עונתה </w:t>
      </w:r>
      <w:r>
        <w:rPr>
          <w:rFonts w:cs="Arial" w:hint="cs"/>
          <w:rtl/>
        </w:rPr>
        <w:t xml:space="preserve">- </w:t>
      </w:r>
      <w:r w:rsidRPr="00922CBD">
        <w:rPr>
          <w:rFonts w:cs="Arial"/>
          <w:rtl/>
        </w:rPr>
        <w:t>הרי זה מותר</w:t>
      </w:r>
      <w:r>
        <w:rPr>
          <w:rFonts w:cs="Arial" w:hint="cs"/>
          <w:rtl/>
        </w:rPr>
        <w:t>.</w:t>
      </w:r>
      <w:r w:rsidRPr="00922CBD">
        <w:rPr>
          <w:rFonts w:cs="Arial"/>
          <w:rtl/>
        </w:rPr>
        <w:t xml:space="preserve"> במה דברים אמורים</w:t>
      </w:r>
      <w:r>
        <w:rPr>
          <w:rFonts w:cs="Arial" w:hint="cs"/>
          <w:rtl/>
        </w:rPr>
        <w:t>,</w:t>
      </w:r>
      <w:r w:rsidRPr="00922CBD">
        <w:rPr>
          <w:rFonts w:cs="Arial"/>
          <w:rtl/>
        </w:rPr>
        <w:t xml:space="preserve"> בשהיו לו בנים שכבר קיים מצות פריה ורביה</w:t>
      </w:r>
      <w:r>
        <w:rPr>
          <w:rFonts w:cs="Arial" w:hint="cs"/>
          <w:rtl/>
        </w:rPr>
        <w:t>,</w:t>
      </w:r>
      <w:r w:rsidRPr="00922CBD">
        <w:rPr>
          <w:rFonts w:cs="Arial"/>
          <w:rtl/>
        </w:rPr>
        <w:t xml:space="preserve"> אבל אם לא קיים </w:t>
      </w:r>
      <w:r>
        <w:rPr>
          <w:rFonts w:cs="Arial" w:hint="cs"/>
          <w:rtl/>
        </w:rPr>
        <w:t xml:space="preserve">- </w:t>
      </w:r>
      <w:r w:rsidRPr="00922CBD">
        <w:rPr>
          <w:rFonts w:cs="Arial"/>
          <w:rtl/>
        </w:rPr>
        <w:t>חייב לבעול בכל עונה עד שיהיו לו בנים</w:t>
      </w:r>
      <w:r>
        <w:rPr>
          <w:rFonts w:cs="Arial" w:hint="cs"/>
          <w:rtl/>
        </w:rPr>
        <w:t>,</w:t>
      </w:r>
      <w:r w:rsidRPr="00922CBD">
        <w:rPr>
          <w:rFonts w:cs="Arial"/>
          <w:rtl/>
        </w:rPr>
        <w:t xml:space="preserve"> מפני שהיא מצות עשה של תורה שנ' פרו ורבו</w:t>
      </w:r>
      <w:r w:rsidR="008000C2">
        <w:rPr>
          <w:rStyle w:val="a7"/>
          <w:rFonts w:cs="Arial"/>
          <w:rtl/>
        </w:rPr>
        <w:footnoteReference w:id="478"/>
      </w:r>
      <w:r>
        <w:rPr>
          <w:rFonts w:cs="Arial" w:hint="cs"/>
          <w:sz w:val="16"/>
          <w:szCs w:val="16"/>
          <w:rtl/>
        </w:rPr>
        <w:t xml:space="preserve"> (ל' הרמב"ם)</w:t>
      </w:r>
      <w:r w:rsidRPr="00922CBD">
        <w:rPr>
          <w:rFonts w:cs="Arial"/>
          <w:rtl/>
        </w:rPr>
        <w:t>.</w:t>
      </w:r>
      <w:r w:rsidR="008000C2" w:rsidRPr="008000C2">
        <w:rPr>
          <w:rFonts w:hint="cs"/>
          <w:color w:val="E36C0A" w:themeColor="accent6" w:themeShade="BF"/>
          <w:rtl/>
        </w:rPr>
        <w:t xml:space="preserve"> </w:t>
      </w:r>
      <w:r w:rsidR="008000C2" w:rsidRPr="004B3BCF">
        <w:rPr>
          <w:rFonts w:hint="cs"/>
          <w:color w:val="E36C0A" w:themeColor="accent6" w:themeShade="BF"/>
          <w:rtl/>
        </w:rPr>
        <w:t>(וכ"פ בשו"ע</w:t>
      </w:r>
      <w:r w:rsidR="008000C2">
        <w:rPr>
          <w:rFonts w:hint="cs"/>
          <w:color w:val="E36C0A" w:themeColor="accent6" w:themeShade="BF"/>
          <w:rtl/>
        </w:rPr>
        <w:t>)</w:t>
      </w:r>
    </w:p>
    <w:p w14:paraId="7A85F0AC" w14:textId="77777777" w:rsidR="006F6308" w:rsidRDefault="006F6308" w:rsidP="006F6308">
      <w:pPr>
        <w:rPr>
          <w:rFonts w:cs="Arial"/>
          <w:rtl/>
        </w:rPr>
      </w:pPr>
      <w:r w:rsidRPr="003024E5">
        <w:rPr>
          <w:rFonts w:asciiTheme="minorBidi" w:hAnsiTheme="minorBidi"/>
          <w:b/>
          <w:bCs/>
          <w:color w:val="000000"/>
          <w:sz w:val="28"/>
          <w:szCs w:val="28"/>
          <w:u w:val="single"/>
          <w:rtl/>
        </w:rPr>
        <w:t>שו"ע:</w:t>
      </w:r>
    </w:p>
    <w:p w14:paraId="7F24CF68" w14:textId="7940A9A3" w:rsidR="006F6308" w:rsidRDefault="006F6308" w:rsidP="006F6308">
      <w:pPr>
        <w:rPr>
          <w:rtl/>
        </w:rPr>
      </w:pPr>
      <w:r>
        <w:rPr>
          <w:rFonts w:cs="Arial"/>
          <w:rtl/>
        </w:rPr>
        <w:t>האשה שהרשית את בעלה אחר שנשאת</w:t>
      </w:r>
      <w:r w:rsidR="008000C2">
        <w:rPr>
          <w:rStyle w:val="a7"/>
          <w:rFonts w:cs="Arial"/>
          <w:rtl/>
        </w:rPr>
        <w:footnoteReference w:id="479"/>
      </w:r>
      <w:r>
        <w:rPr>
          <w:rFonts w:cs="Arial"/>
          <w:rtl/>
        </w:rPr>
        <w:t xml:space="preserve"> שימנע עונתה, ה</w:t>
      </w:r>
      <w:r w:rsidR="008000C2">
        <w:rPr>
          <w:rFonts w:cs="Arial" w:hint="cs"/>
          <w:rtl/>
        </w:rPr>
        <w:t xml:space="preserve">רי </w:t>
      </w:r>
      <w:r>
        <w:rPr>
          <w:rFonts w:cs="Arial"/>
          <w:rtl/>
        </w:rPr>
        <w:t>ז</w:t>
      </w:r>
      <w:r w:rsidR="008000C2">
        <w:rPr>
          <w:rFonts w:cs="Arial" w:hint="cs"/>
          <w:rtl/>
        </w:rPr>
        <w:t>ה</w:t>
      </w:r>
      <w:r>
        <w:rPr>
          <w:rFonts w:cs="Arial"/>
          <w:rtl/>
        </w:rPr>
        <w:t xml:space="preserve"> מותר. ב</w:t>
      </w:r>
      <w:r w:rsidR="008000C2">
        <w:rPr>
          <w:rFonts w:cs="Arial" w:hint="cs"/>
          <w:rtl/>
        </w:rPr>
        <w:t>מה דברים אמורים</w:t>
      </w:r>
      <w:r>
        <w:rPr>
          <w:rFonts w:cs="Arial"/>
          <w:rtl/>
        </w:rPr>
        <w:t xml:space="preserve">, שקיים מצות פריה ורביה. אבל אם לא קיים, חייב לבעול בכל עונה עד שיקיים. </w:t>
      </w:r>
    </w:p>
    <w:p w14:paraId="48CD3BBF" w14:textId="77777777" w:rsidR="0029670D" w:rsidRDefault="0029670D" w:rsidP="006F6308">
      <w:pPr>
        <w:rPr>
          <w:rtl/>
        </w:rPr>
      </w:pPr>
    </w:p>
    <w:p w14:paraId="4235CFCD" w14:textId="4D1E745B" w:rsidR="006F6308" w:rsidRDefault="006F6308" w:rsidP="000F64D0">
      <w:pPr>
        <w:pStyle w:val="2"/>
        <w:rPr>
          <w:rtl/>
        </w:rPr>
      </w:pPr>
      <w:r>
        <w:rPr>
          <w:rtl/>
        </w:rPr>
        <w:t>סעיף ז</w:t>
      </w:r>
      <w:r w:rsidR="0029670D">
        <w:rPr>
          <w:rFonts w:hint="cs"/>
          <w:rtl/>
        </w:rPr>
        <w:t>: חיוב עונה כשיש לו כמה נשים.</w:t>
      </w:r>
    </w:p>
    <w:p w14:paraId="2462AFCF" w14:textId="722C42C5" w:rsidR="008000C2" w:rsidRDefault="00D54221" w:rsidP="008000C2">
      <w:pPr>
        <w:rPr>
          <w:rtl/>
        </w:rPr>
      </w:pPr>
      <w:r>
        <w:rPr>
          <w:rFonts w:cs="Arial" w:hint="cs"/>
          <w:b/>
          <w:bCs/>
          <w:rtl/>
        </w:rPr>
        <w:t xml:space="preserve">יבמות </w:t>
      </w:r>
      <w:r>
        <w:rPr>
          <w:rFonts w:cs="Arial" w:hint="cs"/>
          <w:b/>
          <w:bCs/>
          <w:sz w:val="16"/>
          <w:szCs w:val="16"/>
          <w:rtl/>
        </w:rPr>
        <w:t>(פ' הבא על יבמתו)</w:t>
      </w:r>
      <w:r>
        <w:rPr>
          <w:rFonts w:cs="Arial" w:hint="cs"/>
          <w:b/>
          <w:bCs/>
          <w:rtl/>
        </w:rPr>
        <w:t xml:space="preserve"> סה ע"א: </w:t>
      </w:r>
      <w:r w:rsidR="00073EC4" w:rsidRPr="00073EC4">
        <w:rPr>
          <w:rFonts w:cs="Arial"/>
          <w:u w:val="single"/>
          <w:rtl/>
        </w:rPr>
        <w:t>אמר רבי אמי</w:t>
      </w:r>
      <w:r w:rsidR="00073EC4" w:rsidRPr="00073EC4">
        <w:rPr>
          <w:rFonts w:cs="Arial"/>
          <w:rtl/>
        </w:rPr>
        <w:t>:</w:t>
      </w:r>
      <w:r w:rsidR="00073EC4">
        <w:rPr>
          <w:rFonts w:cs="Arial" w:hint="cs"/>
          <w:rtl/>
        </w:rPr>
        <w:t>...</w:t>
      </w:r>
      <w:r w:rsidR="00073EC4" w:rsidRPr="00073EC4">
        <w:rPr>
          <w:rFonts w:cs="Arial"/>
          <w:rtl/>
        </w:rPr>
        <w:t xml:space="preserve"> כל הנושא אשה על אשתו - יוציא ויתן כתובה. </w:t>
      </w:r>
      <w:r w:rsidR="00073EC4" w:rsidRPr="00073EC4">
        <w:rPr>
          <w:rFonts w:cs="Arial"/>
          <w:u w:val="single"/>
          <w:rtl/>
        </w:rPr>
        <w:t>רבא אמר</w:t>
      </w:r>
      <w:r w:rsidR="00073EC4" w:rsidRPr="00073EC4">
        <w:rPr>
          <w:rFonts w:cs="Arial"/>
          <w:rtl/>
        </w:rPr>
        <w:t>: נושא אדם כמה נשים על אשתו</w:t>
      </w:r>
      <w:r w:rsidR="00073EC4">
        <w:rPr>
          <w:rFonts w:cs="Arial" w:hint="cs"/>
          <w:rtl/>
        </w:rPr>
        <w:t>.</w:t>
      </w:r>
      <w:r w:rsidR="00073EC4" w:rsidRPr="00073EC4">
        <w:rPr>
          <w:rFonts w:cs="Arial"/>
          <w:rtl/>
        </w:rPr>
        <w:t xml:space="preserve"> והוא, דאית ליה למיזיינינהי.</w:t>
      </w:r>
      <w:r w:rsidRPr="00D54221">
        <w:rPr>
          <w:rFonts w:cs="Arial"/>
          <w:sz w:val="16"/>
          <w:szCs w:val="16"/>
          <w:rtl/>
        </w:rPr>
        <w:t xml:space="preserve"> </w:t>
      </w:r>
      <w:r>
        <w:rPr>
          <w:rFonts w:cs="Arial" w:hint="cs"/>
          <w:sz w:val="16"/>
          <w:szCs w:val="16"/>
          <w:rtl/>
        </w:rPr>
        <w:t>(</w:t>
      </w:r>
      <w:r w:rsidRPr="00D54221">
        <w:rPr>
          <w:rFonts w:cs="Arial"/>
          <w:sz w:val="16"/>
          <w:szCs w:val="16"/>
          <w:rtl/>
        </w:rPr>
        <w:t>ופסקו הרי"ף (כא.) והרא"ש (סי' יז) כרבא</w:t>
      </w:r>
      <w:r>
        <w:rPr>
          <w:rFonts w:cs="Arial" w:hint="cs"/>
          <w:sz w:val="16"/>
          <w:szCs w:val="16"/>
          <w:rtl/>
        </w:rPr>
        <w:t>,</w:t>
      </w:r>
      <w:r w:rsidRPr="00D54221">
        <w:rPr>
          <w:rFonts w:cs="Arial"/>
          <w:sz w:val="16"/>
          <w:szCs w:val="16"/>
          <w:rtl/>
        </w:rPr>
        <w:t xml:space="preserve"> וכ"פ הרמב"ם בפי"ד</w:t>
      </w:r>
      <w:r>
        <w:rPr>
          <w:rFonts w:cs="Arial" w:hint="cs"/>
          <w:sz w:val="16"/>
          <w:szCs w:val="16"/>
          <w:rtl/>
        </w:rPr>
        <w:t>, ב"י)</w:t>
      </w:r>
    </w:p>
    <w:p w14:paraId="270A7FC5" w14:textId="67775903" w:rsidR="00D54221" w:rsidRDefault="00D54221" w:rsidP="008000C2">
      <w:pPr>
        <w:rPr>
          <w:rtl/>
        </w:rPr>
      </w:pPr>
      <w:r>
        <w:rPr>
          <w:rFonts w:cs="Arial" w:hint="cs"/>
          <w:b/>
          <w:bCs/>
          <w:rtl/>
        </w:rPr>
        <w:t xml:space="preserve">יבמות </w:t>
      </w:r>
      <w:r>
        <w:rPr>
          <w:rFonts w:cs="Arial" w:hint="cs"/>
          <w:b/>
          <w:bCs/>
          <w:sz w:val="16"/>
          <w:szCs w:val="16"/>
          <w:rtl/>
        </w:rPr>
        <w:t xml:space="preserve">(פ' החולץ) </w:t>
      </w:r>
      <w:r>
        <w:rPr>
          <w:rFonts w:cs="Arial" w:hint="cs"/>
          <w:b/>
          <w:bCs/>
          <w:rtl/>
        </w:rPr>
        <w:t>מג</w:t>
      </w:r>
      <w:r w:rsidR="00032D16">
        <w:rPr>
          <w:rStyle w:val="a7"/>
          <w:rFonts w:cs="Arial"/>
          <w:b/>
          <w:bCs/>
          <w:rtl/>
        </w:rPr>
        <w:footnoteReference w:id="480"/>
      </w:r>
      <w:r>
        <w:rPr>
          <w:rFonts w:cs="Arial" w:hint="cs"/>
          <w:b/>
          <w:bCs/>
          <w:rtl/>
        </w:rPr>
        <w:t xml:space="preserve"> ע"ב: </w:t>
      </w:r>
      <w:r w:rsidRPr="00D54221">
        <w:rPr>
          <w:rFonts w:cs="Arial"/>
          <w:u w:val="double"/>
          <w:rtl/>
        </w:rPr>
        <w:t>מתני'</w:t>
      </w:r>
      <w:r>
        <w:rPr>
          <w:rFonts w:cs="Arial" w:hint="cs"/>
          <w:rtl/>
        </w:rPr>
        <w:t>:</w:t>
      </w:r>
      <w:r w:rsidRPr="00D54221">
        <w:rPr>
          <w:rFonts w:cs="Arial"/>
          <w:rtl/>
        </w:rPr>
        <w:t xml:space="preserve"> ארבעה אחין נשואין ארבע נשים, ומתו, אם רצה הגדול שבהם לייבם את כולן - הרשות בידו.</w:t>
      </w:r>
      <w:r>
        <w:rPr>
          <w:rFonts w:cs="Arial" w:hint="cs"/>
          <w:rtl/>
        </w:rPr>
        <w:t>..</w:t>
      </w:r>
      <w:r w:rsidRPr="00D54221">
        <w:rPr>
          <w:rFonts w:cs="Arial"/>
          <w:rtl/>
        </w:rPr>
        <w:t xml:space="preserve"> </w:t>
      </w:r>
      <w:r>
        <w:rPr>
          <w:rFonts w:cs="Arial" w:hint="cs"/>
          <w:rtl/>
        </w:rPr>
        <w:t xml:space="preserve">    </w:t>
      </w:r>
      <w:r w:rsidRPr="00D54221">
        <w:rPr>
          <w:rFonts w:cs="Arial" w:hint="cs"/>
          <w:u w:val="double"/>
          <w:rtl/>
        </w:rPr>
        <w:t>גמ'</w:t>
      </w:r>
      <w:r w:rsidRPr="00D54221">
        <w:rPr>
          <w:rFonts w:cs="Arial" w:hint="cs"/>
          <w:sz w:val="14"/>
          <w:szCs w:val="14"/>
          <w:u w:val="double"/>
          <w:rtl/>
        </w:rPr>
        <w:t>(מד.)</w:t>
      </w:r>
      <w:r w:rsidRPr="00D54221">
        <w:rPr>
          <w:rFonts w:cs="Arial" w:hint="cs"/>
          <w:u w:val="double"/>
          <w:rtl/>
        </w:rPr>
        <w:t>:</w:t>
      </w:r>
      <w:r>
        <w:rPr>
          <w:rFonts w:cs="Arial" w:hint="cs"/>
          <w:rtl/>
        </w:rPr>
        <w:t xml:space="preserve"> </w:t>
      </w:r>
      <w:r w:rsidRPr="00D54221">
        <w:rPr>
          <w:rFonts w:cs="Arial"/>
          <w:rtl/>
        </w:rPr>
        <w:t>הרשות בידו. ושבקי ליה</w:t>
      </w:r>
      <w:r>
        <w:rPr>
          <w:rStyle w:val="a7"/>
          <w:rFonts w:cs="Arial"/>
          <w:rtl/>
        </w:rPr>
        <w:footnoteReference w:id="481"/>
      </w:r>
      <w:r w:rsidRPr="00D54221">
        <w:rPr>
          <w:rFonts w:cs="Arial"/>
          <w:rtl/>
        </w:rPr>
        <w:t>? והתניא: וקראו לו זקני עירו - הן ולא שלוחן, ודברו אליו - מלמד, שמשיאין לו עצה הוגנת לו, שאם היה הוא ילד והיא זקנה, הוא זקן והיא ילדה, אומרין לו: מה לך אצל ילדה, מה לך אצל זקנה, כלך אצל שכמותך ואל תשים קטטה בביתך! לא צריכא, דאפשר ליה</w:t>
      </w:r>
      <w:r>
        <w:rPr>
          <w:rStyle w:val="a7"/>
          <w:rFonts w:cs="Arial"/>
          <w:rtl/>
        </w:rPr>
        <w:footnoteReference w:id="482"/>
      </w:r>
      <w:r w:rsidRPr="00D54221">
        <w:rPr>
          <w:rFonts w:cs="Arial"/>
          <w:rtl/>
        </w:rPr>
        <w:t>. א"ה, אפילו טובא נמי! עצה טובה קמ"ל ד' אין, טפי לא, כי היכי דנמטייה עונה בחדש</w:t>
      </w:r>
      <w:r>
        <w:rPr>
          <w:rStyle w:val="a7"/>
          <w:rFonts w:cs="Arial"/>
          <w:rtl/>
        </w:rPr>
        <w:footnoteReference w:id="483"/>
      </w:r>
      <w:r w:rsidRPr="00D54221">
        <w:rPr>
          <w:rFonts w:cs="Arial"/>
          <w:rtl/>
        </w:rPr>
        <w:t>.</w:t>
      </w:r>
    </w:p>
    <w:p w14:paraId="22E1172C" w14:textId="17765B74" w:rsidR="009360F3" w:rsidRPr="009360F3" w:rsidRDefault="009360F3" w:rsidP="008000C2">
      <w:pPr>
        <w:rPr>
          <w:u w:val="single"/>
          <w:rtl/>
        </w:rPr>
      </w:pPr>
      <w:r w:rsidRPr="009360F3">
        <w:rPr>
          <w:rFonts w:hint="cs"/>
          <w:u w:val="single"/>
          <w:rtl/>
        </w:rPr>
        <w:t>חיוב עונה לאיש שיש לו כמה נשים:</w:t>
      </w:r>
    </w:p>
    <w:p w14:paraId="45F9BDF5" w14:textId="7FDEBAB8" w:rsidR="00457983" w:rsidRPr="009360F3" w:rsidRDefault="009360F3" w:rsidP="009360F3">
      <w:pPr>
        <w:pStyle w:val="ab"/>
        <w:numPr>
          <w:ilvl w:val="0"/>
          <w:numId w:val="7"/>
        </w:numPr>
        <w:rPr>
          <w:rFonts w:cs="Arial"/>
          <w:rtl/>
        </w:rPr>
      </w:pPr>
      <w:r>
        <w:rPr>
          <w:rFonts w:cs="Arial" w:hint="cs"/>
          <w:rtl/>
        </w:rPr>
        <w:t xml:space="preserve">רמב"ם </w:t>
      </w:r>
      <w:r>
        <w:rPr>
          <w:rFonts w:cs="Arial" w:hint="cs"/>
          <w:sz w:val="16"/>
          <w:szCs w:val="16"/>
          <w:rtl/>
        </w:rPr>
        <w:t>(פי"ד מאישות ה"ג-ד)</w:t>
      </w:r>
      <w:r>
        <w:rPr>
          <w:rFonts w:cs="Arial" w:hint="cs"/>
          <w:rtl/>
        </w:rPr>
        <w:t xml:space="preserve"> ו</w:t>
      </w:r>
      <w:r w:rsidR="00534510">
        <w:rPr>
          <w:rFonts w:cs="Arial" w:hint="cs"/>
          <w:rtl/>
        </w:rPr>
        <w:t xml:space="preserve">טור- </w:t>
      </w:r>
      <w:r w:rsidRPr="009360F3">
        <w:rPr>
          <w:rFonts w:cs="Arial"/>
          <w:rtl/>
        </w:rPr>
        <w:t>נושא אדם כמה נשים אפילו מאה בין בבת אחת בין בזו אחר זו ואין אשתו יכולה לעכב, והוא שיהיה יכול ליתן שאר כסות ועונה כראוי לכל אחת ואחת</w:t>
      </w:r>
      <w:r>
        <w:rPr>
          <w:rFonts w:cs="Arial" w:hint="cs"/>
          <w:rtl/>
        </w:rPr>
        <w:t>.</w:t>
      </w:r>
      <w:r w:rsidRPr="009360F3">
        <w:rPr>
          <w:rFonts w:cs="Arial"/>
          <w:rtl/>
        </w:rPr>
        <w:t xml:space="preserve"> ואינו יכול לכוף אותן לשכון בחצר אחת אלא כל אחת ואחת לעצמה. </w:t>
      </w:r>
      <w:r>
        <w:rPr>
          <w:rFonts w:cs="Arial" w:hint="cs"/>
          <w:rtl/>
        </w:rPr>
        <w:t>ו</w:t>
      </w:r>
      <w:r w:rsidRPr="009360F3">
        <w:rPr>
          <w:rFonts w:cs="Arial"/>
          <w:rtl/>
        </w:rPr>
        <w:t>כמה היא עונתן, לפי מנין, כיצד</w:t>
      </w:r>
      <w:r>
        <w:rPr>
          <w:rFonts w:cs="Arial" w:hint="cs"/>
          <w:rtl/>
        </w:rPr>
        <w:t>,</w:t>
      </w:r>
      <w:r w:rsidRPr="009360F3">
        <w:rPr>
          <w:rFonts w:cs="Arial"/>
          <w:rtl/>
        </w:rPr>
        <w:t xml:space="preserve"> פועל שהיו לו שתי נשים יש לזו עונה אחת בשבת ולזו עונה אחת בשבת, היו לו ארבע נשים נמצאת עונת כל אחת מהן פעם אחת בשתי שבתות, וכן אם היה מלח ויש לו ארבע נשים תהיה עונת כל אחת מהן פעם אחת בשתי שנים. לפיכך צוו חכמים שלא ישא אדם יתר על ארבע נשים אף על פי שיש לו ממון הרבה כדי שתגיע להן עונה פעם אחת בחדש</w:t>
      </w:r>
      <w:r w:rsidR="00D54221" w:rsidRPr="009360F3">
        <w:rPr>
          <w:rFonts w:cs="Arial" w:hint="cs"/>
          <w:rtl/>
        </w:rPr>
        <w:t>.</w:t>
      </w:r>
      <w:r w:rsidR="008E36BA" w:rsidRPr="008E36BA">
        <w:rPr>
          <w:rFonts w:hint="cs"/>
          <w:color w:val="E36C0A" w:themeColor="accent6" w:themeShade="BF"/>
          <w:rtl/>
        </w:rPr>
        <w:t xml:space="preserve"> </w:t>
      </w:r>
      <w:r w:rsidR="008E36BA" w:rsidRPr="004B3BCF">
        <w:rPr>
          <w:rFonts w:hint="cs"/>
          <w:color w:val="E36C0A" w:themeColor="accent6" w:themeShade="BF"/>
          <w:rtl/>
        </w:rPr>
        <w:t>(וכ"פ בשו"ע</w:t>
      </w:r>
      <w:r w:rsidR="008E36BA">
        <w:rPr>
          <w:rFonts w:hint="cs"/>
          <w:color w:val="E36C0A" w:themeColor="accent6" w:themeShade="BF"/>
          <w:rtl/>
        </w:rPr>
        <w:t>)</w:t>
      </w:r>
    </w:p>
    <w:p w14:paraId="7F6EFDBA" w14:textId="77777777" w:rsidR="006F6308" w:rsidRDefault="006F6308" w:rsidP="006F6308">
      <w:pPr>
        <w:rPr>
          <w:rFonts w:cs="Arial"/>
          <w:rtl/>
        </w:rPr>
      </w:pPr>
      <w:r w:rsidRPr="003024E5">
        <w:rPr>
          <w:rFonts w:asciiTheme="minorBidi" w:hAnsiTheme="minorBidi"/>
          <w:b/>
          <w:bCs/>
          <w:color w:val="000000"/>
          <w:sz w:val="28"/>
          <w:szCs w:val="28"/>
          <w:u w:val="single"/>
          <w:rtl/>
        </w:rPr>
        <w:t>שו"ע:</w:t>
      </w:r>
    </w:p>
    <w:p w14:paraId="2571D19A" w14:textId="57F6435D" w:rsidR="006F6308" w:rsidRDefault="006F6308" w:rsidP="006F6308">
      <w:pPr>
        <w:rPr>
          <w:rtl/>
        </w:rPr>
      </w:pPr>
      <w:r>
        <w:rPr>
          <w:rFonts w:cs="Arial"/>
          <w:rtl/>
        </w:rPr>
        <w:lastRenderedPageBreak/>
        <w:t>נושא אדם כמה נשים, אפילו מאה, בין בבת אחת בין בזו אחר זו, ואין אשתו יכולה לעכב, והוא שיהיה יכול ליתן שאר כסות ועונה כראוי לכל אחת ואחת</w:t>
      </w:r>
      <w:r w:rsidR="009360F3">
        <w:rPr>
          <w:rFonts w:cs="Arial" w:hint="cs"/>
          <w:rtl/>
        </w:rPr>
        <w:t>.</w:t>
      </w:r>
      <w:r>
        <w:rPr>
          <w:rFonts w:cs="Arial"/>
          <w:rtl/>
        </w:rPr>
        <w:t xml:space="preserve"> ואינו יכול לכוף אותן לדור בחצר אחד, אלא כל אחת לעצמה. וכמה היא עונתן, לפי מנין. כיצד, פועל שהיו לו שתי נשים, יש לזו עונה אחת בשבת ויש לזו עונה אחת בשבת. היו לו ארבעה נשים, נמצא עונת כל אחת מהן פעם אחת בב' שבתות</w:t>
      </w:r>
      <w:r w:rsidR="009360F3">
        <w:rPr>
          <w:rFonts w:cs="Arial" w:hint="cs"/>
          <w:rtl/>
        </w:rPr>
        <w:t>.</w:t>
      </w:r>
      <w:r>
        <w:rPr>
          <w:rFonts w:cs="Arial"/>
          <w:rtl/>
        </w:rPr>
        <w:t xml:space="preserve"> וכן אם היה מלח ויש לו ד' נשים, תהיה עונת כל אחת מהן פעם אחת בב' שנים</w:t>
      </w:r>
      <w:r w:rsidR="009360F3">
        <w:rPr>
          <w:rFonts w:cs="Arial" w:hint="cs"/>
          <w:rtl/>
        </w:rPr>
        <w:t>.</w:t>
      </w:r>
      <w:r>
        <w:rPr>
          <w:rFonts w:cs="Arial"/>
          <w:rtl/>
        </w:rPr>
        <w:t xml:space="preserve"> לפיכך צוו חכמים שלא ישא אדם יותר על ד' נשים, אף על פי שיש לו ממון הרבה, כדי שתגיע להן עונה פעם אחת בחדש. </w:t>
      </w:r>
    </w:p>
    <w:p w14:paraId="11260BA7" w14:textId="77777777" w:rsidR="0029670D" w:rsidRDefault="0029670D" w:rsidP="006F6308">
      <w:pPr>
        <w:rPr>
          <w:rtl/>
        </w:rPr>
      </w:pPr>
    </w:p>
    <w:p w14:paraId="1A82CA87" w14:textId="75E8CDEC" w:rsidR="006F6308" w:rsidRDefault="006F6308" w:rsidP="000F64D0">
      <w:pPr>
        <w:pStyle w:val="2"/>
        <w:rPr>
          <w:rtl/>
        </w:rPr>
      </w:pPr>
      <w:r>
        <w:rPr>
          <w:rtl/>
        </w:rPr>
        <w:t>סעיף ח</w:t>
      </w:r>
      <w:r w:rsidR="0029670D">
        <w:rPr>
          <w:rFonts w:hint="cs"/>
          <w:rtl/>
        </w:rPr>
        <w:t xml:space="preserve">: מקום שנהגו שלא </w:t>
      </w:r>
      <w:r w:rsidR="00B91FB6">
        <w:rPr>
          <w:rFonts w:hint="cs"/>
          <w:rtl/>
        </w:rPr>
        <w:t>לישא אשה על אשתו.</w:t>
      </w:r>
    </w:p>
    <w:p w14:paraId="7C1E79CF" w14:textId="13B35D40" w:rsidR="00B91FB6" w:rsidRPr="00B91FB6" w:rsidRDefault="00B91FB6" w:rsidP="00B91FB6">
      <w:pPr>
        <w:rPr>
          <w:u w:val="single"/>
          <w:rtl/>
        </w:rPr>
      </w:pPr>
      <w:r w:rsidRPr="00B91FB6">
        <w:rPr>
          <w:rFonts w:hint="cs"/>
          <w:u w:val="single"/>
          <w:rtl/>
        </w:rPr>
        <w:t>מקום שנהגו שלא לישא אשה על אשתו:</w:t>
      </w:r>
    </w:p>
    <w:p w14:paraId="0DBD7E5C" w14:textId="3FEFE79A" w:rsidR="0029670D" w:rsidRPr="00B91FB6" w:rsidRDefault="008E36BA" w:rsidP="009000E3">
      <w:pPr>
        <w:pStyle w:val="ab"/>
        <w:numPr>
          <w:ilvl w:val="0"/>
          <w:numId w:val="27"/>
        </w:numPr>
        <w:rPr>
          <w:rFonts w:cs="Arial"/>
          <w:rtl/>
        </w:rPr>
      </w:pPr>
      <w:r w:rsidRPr="00B91FB6">
        <w:rPr>
          <w:rFonts w:cs="Arial" w:hint="cs"/>
          <w:rtl/>
        </w:rPr>
        <w:t xml:space="preserve">נמוק"י </w:t>
      </w:r>
      <w:r w:rsidRPr="00B91FB6">
        <w:rPr>
          <w:rFonts w:cs="Arial" w:hint="cs"/>
          <w:sz w:val="16"/>
          <w:szCs w:val="16"/>
          <w:rtl/>
        </w:rPr>
        <w:t>(</w:t>
      </w:r>
      <w:r w:rsidR="00457983" w:rsidRPr="00B91FB6">
        <w:rPr>
          <w:rFonts w:cs="Arial"/>
          <w:sz w:val="16"/>
          <w:szCs w:val="16"/>
          <w:rtl/>
        </w:rPr>
        <w:t>פרק החולץ יד: ד"ה גמרא)</w:t>
      </w:r>
      <w:r w:rsidRPr="00B91FB6">
        <w:rPr>
          <w:rFonts w:cs="Arial" w:hint="cs"/>
          <w:rtl/>
        </w:rPr>
        <w:t>-</w:t>
      </w:r>
      <w:r w:rsidR="00457983" w:rsidRPr="00B91FB6">
        <w:rPr>
          <w:rFonts w:cs="Arial"/>
          <w:rtl/>
        </w:rPr>
        <w:t xml:space="preserve"> כתב הריטב"א </w:t>
      </w:r>
      <w:r w:rsidR="00457983" w:rsidRPr="00B91FB6">
        <w:rPr>
          <w:rFonts w:cs="Arial"/>
          <w:sz w:val="16"/>
          <w:szCs w:val="16"/>
          <w:rtl/>
        </w:rPr>
        <w:t xml:space="preserve">(שם ד"ה לא) </w:t>
      </w:r>
      <w:r w:rsidR="00457983" w:rsidRPr="00B91FB6">
        <w:rPr>
          <w:rFonts w:cs="Arial"/>
          <w:rtl/>
        </w:rPr>
        <w:t xml:space="preserve">בשם רבו שאמר בשם רבותיו דבמקום שנהגו שלא לישא אלא אשה אחת </w:t>
      </w:r>
      <w:r w:rsidRPr="00B91FB6">
        <w:rPr>
          <w:rFonts w:cs="Arial" w:hint="cs"/>
          <w:rtl/>
        </w:rPr>
        <w:t xml:space="preserve">- </w:t>
      </w:r>
      <w:r w:rsidR="00457983" w:rsidRPr="00B91FB6">
        <w:rPr>
          <w:rFonts w:cs="Arial"/>
          <w:rtl/>
        </w:rPr>
        <w:t>אינו רשאי לישא אשה אחרת על אשתו</w:t>
      </w:r>
      <w:r w:rsidRPr="00B91FB6">
        <w:rPr>
          <w:rFonts w:cs="Arial" w:hint="cs"/>
          <w:rtl/>
        </w:rPr>
        <w:t>,</w:t>
      </w:r>
      <w:r w:rsidR="00457983" w:rsidRPr="00B91FB6">
        <w:rPr>
          <w:rFonts w:cs="Arial"/>
          <w:rtl/>
        </w:rPr>
        <w:t xml:space="preserve"> דאומדנא דמוכח היא דאדעתא דהכי אינסיבא ליה דלא לינסוב אחריתי</w:t>
      </w:r>
      <w:r w:rsidRPr="00B91FB6">
        <w:rPr>
          <w:rFonts w:cs="Arial" w:hint="cs"/>
          <w:rtl/>
        </w:rPr>
        <w:t>,</w:t>
      </w:r>
      <w:r w:rsidR="00457983" w:rsidRPr="00B91FB6">
        <w:rPr>
          <w:rFonts w:cs="Arial"/>
          <w:rtl/>
        </w:rPr>
        <w:t xml:space="preserve"> והוה ליה כחמר שאינו רשאי ליעשות גמל</w:t>
      </w:r>
      <w:r w:rsidRPr="00B91FB6">
        <w:rPr>
          <w:rFonts w:cs="Arial" w:hint="cs"/>
          <w:rtl/>
        </w:rPr>
        <w:t>.</w:t>
      </w:r>
      <w:r w:rsidR="00457983" w:rsidRPr="00B91FB6">
        <w:rPr>
          <w:rFonts w:cs="Arial"/>
          <w:rtl/>
        </w:rPr>
        <w:t xml:space="preserve"> ובתוספות כתבו שרבינו גרשום החרים על הנושא אשה על אשתו</w:t>
      </w:r>
      <w:r w:rsidRPr="00B91FB6">
        <w:rPr>
          <w:rFonts w:cs="Arial" w:hint="cs"/>
          <w:rtl/>
        </w:rPr>
        <w:t>,</w:t>
      </w:r>
      <w:r w:rsidR="00457983" w:rsidRPr="00B91FB6">
        <w:rPr>
          <w:rFonts w:cs="Arial"/>
          <w:rtl/>
        </w:rPr>
        <w:t xml:space="preserve"> וחייבים לכוף על החרם שלו</w:t>
      </w:r>
      <w:r w:rsidRPr="00B91FB6">
        <w:rPr>
          <w:rFonts w:cs="Arial" w:hint="cs"/>
          <w:rtl/>
        </w:rPr>
        <w:t>,</w:t>
      </w:r>
      <w:r w:rsidR="00457983" w:rsidRPr="00B91FB6">
        <w:rPr>
          <w:rFonts w:cs="Arial"/>
          <w:rtl/>
        </w:rPr>
        <w:t xml:space="preserve"> אבל ביבמה לא החרים</w:t>
      </w:r>
      <w:r w:rsidR="00B91FB6">
        <w:rPr>
          <w:rStyle w:val="a7"/>
          <w:rFonts w:cs="Arial"/>
          <w:rtl/>
        </w:rPr>
        <w:footnoteReference w:id="484"/>
      </w:r>
      <w:r w:rsidR="00B91FB6" w:rsidRPr="00B91FB6">
        <w:rPr>
          <w:rFonts w:cs="Arial" w:hint="cs"/>
          <w:rtl/>
        </w:rPr>
        <w:t>.</w:t>
      </w:r>
      <w:r w:rsidR="00BA5291" w:rsidRPr="008E36BA">
        <w:rPr>
          <w:rFonts w:hint="cs"/>
          <w:color w:val="E36C0A" w:themeColor="accent6" w:themeShade="BF"/>
          <w:rtl/>
        </w:rPr>
        <w:t xml:space="preserve"> </w:t>
      </w:r>
      <w:r w:rsidR="00BA5291" w:rsidRPr="004B3BCF">
        <w:rPr>
          <w:rFonts w:hint="cs"/>
          <w:color w:val="E36C0A" w:themeColor="accent6" w:themeShade="BF"/>
          <w:rtl/>
        </w:rPr>
        <w:t>(וכ"פ בשו"ע</w:t>
      </w:r>
      <w:r w:rsidR="00BA5291">
        <w:rPr>
          <w:rFonts w:hint="cs"/>
          <w:color w:val="E36C0A" w:themeColor="accent6" w:themeShade="BF"/>
          <w:rtl/>
        </w:rPr>
        <w:t>)</w:t>
      </w:r>
    </w:p>
    <w:p w14:paraId="6008C387" w14:textId="77777777" w:rsidR="006F6308" w:rsidRDefault="006F6308" w:rsidP="006F6308">
      <w:pPr>
        <w:rPr>
          <w:rFonts w:cs="Arial"/>
          <w:rtl/>
        </w:rPr>
      </w:pPr>
      <w:r w:rsidRPr="003024E5">
        <w:rPr>
          <w:rFonts w:asciiTheme="minorBidi" w:hAnsiTheme="minorBidi"/>
          <w:b/>
          <w:bCs/>
          <w:color w:val="000000"/>
          <w:sz w:val="28"/>
          <w:szCs w:val="28"/>
          <w:u w:val="single"/>
          <w:rtl/>
        </w:rPr>
        <w:t>שו"ע:</w:t>
      </w:r>
    </w:p>
    <w:p w14:paraId="26A05EC2" w14:textId="1ED91070" w:rsidR="006F6308" w:rsidRDefault="006F6308" w:rsidP="006F6308">
      <w:pPr>
        <w:rPr>
          <w:rtl/>
        </w:rPr>
      </w:pPr>
      <w:r>
        <w:rPr>
          <w:rFonts w:cs="Arial"/>
          <w:rtl/>
        </w:rPr>
        <w:t>ב</w:t>
      </w:r>
      <w:r w:rsidR="00B91FB6">
        <w:rPr>
          <w:rFonts w:cs="Arial" w:hint="cs"/>
          <w:rtl/>
        </w:rPr>
        <w:t>מה דברים אמורים</w:t>
      </w:r>
      <w:r>
        <w:rPr>
          <w:rFonts w:cs="Arial"/>
          <w:rtl/>
        </w:rPr>
        <w:t>, במקום שנוהגים לישא שתים ושלש נשים. אבל במקום שנהגו שלא לישא אלא אשה אחת, אין רשאי לישא אשה על אשתו שלא ברשותה, וכל שכן אם התנה בכתובתה שלא ישא אשה אחרת עליה</w:t>
      </w:r>
      <w:r w:rsidR="00BA5291">
        <w:rPr>
          <w:rFonts w:cs="Arial" w:hint="cs"/>
          <w:rtl/>
        </w:rPr>
        <w:t>.</w:t>
      </w:r>
      <w:r>
        <w:rPr>
          <w:rFonts w:cs="Arial"/>
          <w:rtl/>
        </w:rPr>
        <w:t xml:space="preserve"> </w:t>
      </w:r>
      <w:r w:rsidR="00BA5291">
        <w:rPr>
          <w:rFonts w:cs="Arial" w:hint="cs"/>
          <w:sz w:val="18"/>
          <w:szCs w:val="18"/>
          <w:rtl/>
        </w:rPr>
        <w:t xml:space="preserve">[הגה] </w:t>
      </w:r>
      <w:r w:rsidRPr="00B91FB6">
        <w:rPr>
          <w:rFonts w:cs="Arial"/>
          <w:sz w:val="18"/>
          <w:szCs w:val="18"/>
          <w:rtl/>
        </w:rPr>
        <w:t>ועיין לעיל סימן א'</w:t>
      </w:r>
      <w:r>
        <w:rPr>
          <w:rFonts w:cs="Arial"/>
          <w:rtl/>
        </w:rPr>
        <w:t xml:space="preserve">. </w:t>
      </w:r>
    </w:p>
    <w:p w14:paraId="20525235" w14:textId="77777777" w:rsidR="0029670D" w:rsidRDefault="0029670D" w:rsidP="006F6308">
      <w:pPr>
        <w:rPr>
          <w:rtl/>
        </w:rPr>
      </w:pPr>
    </w:p>
    <w:p w14:paraId="715FF76A" w14:textId="39DA5879" w:rsidR="006F6308" w:rsidRDefault="006F6308" w:rsidP="000F64D0">
      <w:pPr>
        <w:pStyle w:val="2"/>
        <w:rPr>
          <w:rtl/>
        </w:rPr>
      </w:pPr>
      <w:r>
        <w:rPr>
          <w:rtl/>
        </w:rPr>
        <w:t>סעיף ט</w:t>
      </w:r>
      <w:r w:rsidR="0029670D">
        <w:rPr>
          <w:rFonts w:hint="cs"/>
          <w:rtl/>
        </w:rPr>
        <w:t>: המדיר את אשתו מתשמיש המטה.</w:t>
      </w:r>
    </w:p>
    <w:p w14:paraId="2D4BC9FC" w14:textId="371CB12B" w:rsidR="00D51558" w:rsidRDefault="00802B62" w:rsidP="00802B62">
      <w:pPr>
        <w:rPr>
          <w:rFonts w:cs="Arial"/>
          <w:rtl/>
        </w:rPr>
      </w:pPr>
      <w:r w:rsidRPr="00AA00D2">
        <w:rPr>
          <w:rFonts w:cs="Arial"/>
          <w:b/>
          <w:bCs/>
          <w:rtl/>
        </w:rPr>
        <w:t xml:space="preserve">כתובות </w:t>
      </w:r>
      <w:r w:rsidRPr="00AA00D2">
        <w:rPr>
          <w:rFonts w:cs="Arial" w:hint="cs"/>
          <w:b/>
          <w:bCs/>
          <w:sz w:val="16"/>
          <w:szCs w:val="16"/>
          <w:rtl/>
        </w:rPr>
        <w:t>(</w:t>
      </w:r>
      <w:r w:rsidRPr="00AA00D2">
        <w:rPr>
          <w:rFonts w:cs="Arial"/>
          <w:b/>
          <w:bCs/>
          <w:sz w:val="16"/>
          <w:szCs w:val="16"/>
          <w:rtl/>
        </w:rPr>
        <w:t xml:space="preserve">פ' </w:t>
      </w:r>
      <w:r>
        <w:rPr>
          <w:rFonts w:cs="Arial" w:hint="cs"/>
          <w:b/>
          <w:bCs/>
          <w:sz w:val="16"/>
          <w:szCs w:val="16"/>
          <w:rtl/>
        </w:rPr>
        <w:t>אף על פי</w:t>
      </w:r>
      <w:r w:rsidRPr="00AA00D2">
        <w:rPr>
          <w:rFonts w:cs="Arial" w:hint="cs"/>
          <w:b/>
          <w:bCs/>
          <w:sz w:val="16"/>
          <w:szCs w:val="16"/>
          <w:rtl/>
        </w:rPr>
        <w:t>)</w:t>
      </w:r>
      <w:r w:rsidRPr="00AA00D2">
        <w:rPr>
          <w:rFonts w:cs="Arial"/>
          <w:b/>
          <w:bCs/>
          <w:rtl/>
        </w:rPr>
        <w:t xml:space="preserve"> </w:t>
      </w:r>
      <w:r>
        <w:rPr>
          <w:rFonts w:cs="Arial" w:hint="cs"/>
          <w:b/>
          <w:bCs/>
          <w:rtl/>
        </w:rPr>
        <w:t>סא</w:t>
      </w:r>
      <w:r w:rsidR="000E2114">
        <w:rPr>
          <w:rStyle w:val="a7"/>
          <w:rFonts w:cs="Arial"/>
          <w:b/>
          <w:bCs/>
          <w:rtl/>
        </w:rPr>
        <w:footnoteReference w:id="485"/>
      </w:r>
      <w:r w:rsidRPr="00AA00D2">
        <w:rPr>
          <w:rFonts w:cs="Arial" w:hint="cs"/>
          <w:b/>
          <w:bCs/>
          <w:rtl/>
        </w:rPr>
        <w:t xml:space="preserve"> ע"</w:t>
      </w:r>
      <w:r>
        <w:rPr>
          <w:rFonts w:cs="Arial" w:hint="cs"/>
          <w:b/>
          <w:bCs/>
          <w:rtl/>
        </w:rPr>
        <w:t>ב</w:t>
      </w:r>
      <w:r w:rsidRPr="00AA00D2">
        <w:rPr>
          <w:rFonts w:cs="Arial"/>
          <w:b/>
          <w:bCs/>
          <w:rtl/>
        </w:rPr>
        <w:t>:</w:t>
      </w:r>
      <w:r w:rsidRPr="00AA00D2">
        <w:rPr>
          <w:rFonts w:cs="Arial" w:hint="cs"/>
          <w:rtl/>
        </w:rPr>
        <w:t xml:space="preserve"> </w:t>
      </w:r>
      <w:r w:rsidRPr="00AA00D2">
        <w:rPr>
          <w:rFonts w:cs="Arial"/>
          <w:u w:val="double"/>
          <w:rtl/>
        </w:rPr>
        <w:t>מתני'</w:t>
      </w:r>
      <w:r w:rsidRPr="00AA00D2">
        <w:rPr>
          <w:rFonts w:cs="Arial" w:hint="cs"/>
          <w:rtl/>
        </w:rPr>
        <w:t>:</w:t>
      </w:r>
      <w:r w:rsidRPr="00DE6B68">
        <w:rPr>
          <w:rFonts w:cs="Arial"/>
          <w:rtl/>
        </w:rPr>
        <w:t xml:space="preserve"> המדיר את אשתו מתשמיש המטה, </w:t>
      </w:r>
      <w:r w:rsidRPr="00DE6B68">
        <w:rPr>
          <w:rFonts w:cs="Arial"/>
          <w:u w:val="single"/>
          <w:rtl/>
        </w:rPr>
        <w:t>ב"ש אומרים</w:t>
      </w:r>
      <w:r w:rsidRPr="00DE6B68">
        <w:rPr>
          <w:rFonts w:cs="Arial"/>
          <w:rtl/>
        </w:rPr>
        <w:t xml:space="preserve">: שתי שבתות, </w:t>
      </w:r>
      <w:r w:rsidRPr="00DE6B68">
        <w:rPr>
          <w:rFonts w:cs="Arial"/>
          <w:u w:val="single"/>
          <w:rtl/>
        </w:rPr>
        <w:t>בית הלל אומרים</w:t>
      </w:r>
      <w:r w:rsidRPr="00DE6B68">
        <w:rPr>
          <w:rFonts w:cs="Arial"/>
          <w:rtl/>
        </w:rPr>
        <w:t>: שבת אחת</w:t>
      </w:r>
      <w:r>
        <w:rPr>
          <w:rStyle w:val="a7"/>
          <w:rFonts w:cs="Arial"/>
          <w:rtl/>
        </w:rPr>
        <w:footnoteReference w:id="486"/>
      </w:r>
      <w:r w:rsidRPr="005A5F73">
        <w:rPr>
          <w:rFonts w:cs="Arial"/>
          <w:rtl/>
        </w:rPr>
        <w:t>.</w:t>
      </w:r>
      <w:r>
        <w:rPr>
          <w:rFonts w:cs="Arial" w:hint="cs"/>
          <w:rtl/>
        </w:rPr>
        <w:t xml:space="preserve"> </w:t>
      </w:r>
      <w:r w:rsidRPr="00DE6B68">
        <w:rPr>
          <w:rFonts w:cs="Arial"/>
          <w:rtl/>
        </w:rPr>
        <w:t xml:space="preserve">התלמידים יוצאין לתלמוד תורה שלא ברשות שלשים יום, הפועלים - שבת אחת. העונה האמורה בתורה, הטיילין - בכל יום, הפועלים - שתים בשבת, החמרים - אחת בשבת, הגמלים - אחת לשלשים יום, הספנים - אחת לששה חדשים, </w:t>
      </w:r>
      <w:r w:rsidRPr="00DE6B68">
        <w:rPr>
          <w:rFonts w:cs="Arial"/>
          <w:u w:val="single"/>
          <w:rtl/>
        </w:rPr>
        <w:t>דברי רבי אליעזר</w:t>
      </w:r>
      <w:r w:rsidRPr="00DE6B68">
        <w:rPr>
          <w:rFonts w:cs="Arial"/>
          <w:rtl/>
        </w:rPr>
        <w:t>.</w:t>
      </w:r>
      <w:r>
        <w:rPr>
          <w:rFonts w:hint="cs"/>
          <w:rtl/>
        </w:rPr>
        <w:t xml:space="preserve">      </w:t>
      </w:r>
      <w:r w:rsidRPr="00802B62">
        <w:rPr>
          <w:rFonts w:cs="Arial" w:hint="cs"/>
          <w:u w:val="double"/>
          <w:rtl/>
        </w:rPr>
        <w:t>גמ'</w:t>
      </w:r>
      <w:r w:rsidRPr="00802B62">
        <w:rPr>
          <w:rFonts w:cs="Arial" w:hint="cs"/>
          <w:sz w:val="14"/>
          <w:szCs w:val="14"/>
          <w:u w:val="double"/>
          <w:rtl/>
        </w:rPr>
        <w:t>(</w:t>
      </w:r>
      <w:r w:rsidR="00D51558">
        <w:rPr>
          <w:rFonts w:cs="Arial" w:hint="cs"/>
          <w:sz w:val="14"/>
          <w:szCs w:val="14"/>
          <w:u w:val="double"/>
          <w:rtl/>
        </w:rPr>
        <w:t>סב</w:t>
      </w:r>
      <w:r w:rsidRPr="00802B62">
        <w:rPr>
          <w:rFonts w:cs="Arial" w:hint="cs"/>
          <w:sz w:val="14"/>
          <w:szCs w:val="14"/>
          <w:u w:val="double"/>
          <w:rtl/>
        </w:rPr>
        <w:t>.)</w:t>
      </w:r>
      <w:r w:rsidRPr="00802B62">
        <w:rPr>
          <w:rFonts w:cs="Arial" w:hint="cs"/>
          <w:u w:val="double"/>
          <w:rtl/>
        </w:rPr>
        <w:t>:</w:t>
      </w:r>
      <w:r>
        <w:rPr>
          <w:rFonts w:cs="Arial" w:hint="cs"/>
          <w:rtl/>
        </w:rPr>
        <w:t xml:space="preserve"> </w:t>
      </w:r>
      <w:r w:rsidR="00D51558" w:rsidRPr="00DE6B68">
        <w:rPr>
          <w:rFonts w:cs="Arial"/>
          <w:rtl/>
        </w:rPr>
        <w:t xml:space="preserve">החמרים - אחת בשבת. </w:t>
      </w:r>
      <w:r w:rsidR="00D51558" w:rsidRPr="00CB1695">
        <w:rPr>
          <w:rFonts w:cs="Arial"/>
          <w:u w:val="single"/>
          <w:rtl/>
        </w:rPr>
        <w:t>אמר ליה רבה בר רב חנן לאביי</w:t>
      </w:r>
      <w:r w:rsidR="00D51558" w:rsidRPr="00DE6B68">
        <w:rPr>
          <w:rFonts w:cs="Arial"/>
          <w:rtl/>
        </w:rPr>
        <w:t>: איכפל תנא לאשמועינן טייל ופועל</w:t>
      </w:r>
      <w:r w:rsidR="00D51558">
        <w:rPr>
          <w:rStyle w:val="a7"/>
          <w:rFonts w:cs="Arial"/>
          <w:rtl/>
        </w:rPr>
        <w:footnoteReference w:id="487"/>
      </w:r>
      <w:r w:rsidR="00D51558" w:rsidRPr="00DE6B68">
        <w:rPr>
          <w:rFonts w:cs="Arial"/>
          <w:rtl/>
        </w:rPr>
        <w:t xml:space="preserve">? </w:t>
      </w:r>
      <w:r w:rsidR="00D51558" w:rsidRPr="00D51558">
        <w:rPr>
          <w:rFonts w:cs="Arial"/>
          <w:u w:val="single"/>
          <w:rtl/>
        </w:rPr>
        <w:t>אמר ליה</w:t>
      </w:r>
      <w:r w:rsidR="00D51558" w:rsidRPr="00DE6B68">
        <w:rPr>
          <w:rFonts w:cs="Arial"/>
          <w:rtl/>
        </w:rPr>
        <w:t>: לא,</w:t>
      </w:r>
      <w:r w:rsidR="00D51558" w:rsidRPr="00DB78F6">
        <w:rPr>
          <w:rtl/>
        </w:rPr>
        <w:t xml:space="preserve"> </w:t>
      </w:r>
      <w:r w:rsidR="00D51558">
        <w:rPr>
          <w:rFonts w:hint="cs"/>
          <w:sz w:val="14"/>
          <w:szCs w:val="14"/>
          <w:rtl/>
        </w:rPr>
        <w:t xml:space="preserve">(סב:) </w:t>
      </w:r>
      <w:r w:rsidR="00D51558" w:rsidRPr="00DB78F6">
        <w:rPr>
          <w:rFonts w:cs="Arial"/>
          <w:rtl/>
        </w:rPr>
        <w:t>אכולהו</w:t>
      </w:r>
      <w:r w:rsidR="00D51558">
        <w:rPr>
          <w:rStyle w:val="a7"/>
          <w:rFonts w:cs="Arial"/>
          <w:rtl/>
        </w:rPr>
        <w:footnoteReference w:id="488"/>
      </w:r>
      <w:r w:rsidR="00D51558" w:rsidRPr="00DB78F6">
        <w:rPr>
          <w:rFonts w:cs="Arial"/>
          <w:rtl/>
        </w:rPr>
        <w:t>. והא</w:t>
      </w:r>
      <w:r w:rsidR="00D51558">
        <w:rPr>
          <w:rStyle w:val="a7"/>
          <w:rFonts w:cs="Arial"/>
          <w:rtl/>
        </w:rPr>
        <w:footnoteReference w:id="489"/>
      </w:r>
      <w:r w:rsidR="00D51558" w:rsidRPr="00DB78F6">
        <w:rPr>
          <w:rFonts w:cs="Arial"/>
          <w:rtl/>
        </w:rPr>
        <w:t xml:space="preserve"> ששה חדשים קאמר! אינו דומה</w:t>
      </w:r>
      <w:r w:rsidR="00D51558">
        <w:rPr>
          <w:rStyle w:val="a7"/>
          <w:rFonts w:cs="Arial"/>
          <w:rtl/>
        </w:rPr>
        <w:footnoteReference w:id="490"/>
      </w:r>
      <w:r w:rsidR="00D51558" w:rsidRPr="00DB78F6">
        <w:rPr>
          <w:rFonts w:cs="Arial"/>
          <w:rtl/>
        </w:rPr>
        <w:t xml:space="preserve"> מי שיש לו פת בסלו למי שאין לו פת בסלו</w:t>
      </w:r>
      <w:r w:rsidR="00D51558">
        <w:rPr>
          <w:rFonts w:cs="Arial" w:hint="cs"/>
          <w:rtl/>
        </w:rPr>
        <w:t>.</w:t>
      </w:r>
    </w:p>
    <w:p w14:paraId="6FA4DC28" w14:textId="2CA5D014" w:rsidR="00802B62" w:rsidRPr="00802B62" w:rsidRDefault="00D51558" w:rsidP="00802B62">
      <w:pPr>
        <w:rPr>
          <w:rFonts w:cs="Arial"/>
          <w:rtl/>
        </w:rPr>
      </w:pPr>
      <w:r w:rsidRPr="00C60E3E">
        <w:rPr>
          <w:rFonts w:cs="Arial"/>
          <w:b/>
          <w:bCs/>
          <w:rtl/>
        </w:rPr>
        <w:t xml:space="preserve">כתובות </w:t>
      </w:r>
      <w:r w:rsidRPr="00C60E3E">
        <w:rPr>
          <w:rFonts w:cs="Arial"/>
          <w:b/>
          <w:bCs/>
          <w:sz w:val="16"/>
          <w:szCs w:val="16"/>
          <w:rtl/>
        </w:rPr>
        <w:t>(</w:t>
      </w:r>
      <w:r w:rsidRPr="00C60E3E">
        <w:rPr>
          <w:rFonts w:cs="Arial" w:hint="cs"/>
          <w:b/>
          <w:bCs/>
          <w:sz w:val="16"/>
          <w:szCs w:val="16"/>
          <w:rtl/>
        </w:rPr>
        <w:t>פ</w:t>
      </w:r>
      <w:r w:rsidR="00404BCC">
        <w:rPr>
          <w:rFonts w:cs="Arial" w:hint="cs"/>
          <w:b/>
          <w:bCs/>
          <w:sz w:val="16"/>
          <w:szCs w:val="16"/>
          <w:rtl/>
        </w:rPr>
        <w:t>'</w:t>
      </w:r>
      <w:r w:rsidRPr="00C60E3E">
        <w:rPr>
          <w:rFonts w:cs="Arial" w:hint="cs"/>
          <w:b/>
          <w:bCs/>
          <w:sz w:val="16"/>
          <w:szCs w:val="16"/>
          <w:rtl/>
        </w:rPr>
        <w:t xml:space="preserve"> המדיר) </w:t>
      </w:r>
      <w:r w:rsidRPr="00C60E3E">
        <w:rPr>
          <w:rFonts w:cs="Arial"/>
          <w:b/>
          <w:bCs/>
          <w:rtl/>
        </w:rPr>
        <w:t>ע</w:t>
      </w:r>
      <w:r>
        <w:rPr>
          <w:rFonts w:cs="Arial" w:hint="cs"/>
          <w:b/>
          <w:bCs/>
          <w:rtl/>
        </w:rPr>
        <w:t>א</w:t>
      </w:r>
      <w:r w:rsidRPr="00C60E3E">
        <w:rPr>
          <w:rFonts w:cs="Arial" w:hint="cs"/>
          <w:b/>
          <w:bCs/>
          <w:rtl/>
        </w:rPr>
        <w:t xml:space="preserve"> ע"א:</w:t>
      </w:r>
      <w:r>
        <w:rPr>
          <w:rFonts w:cs="Arial"/>
          <w:rtl/>
        </w:rPr>
        <w:t xml:space="preserve"> </w:t>
      </w:r>
      <w:r w:rsidR="00802B62" w:rsidRPr="00650052">
        <w:rPr>
          <w:rFonts w:cs="Arial"/>
          <w:u w:val="single"/>
          <w:rtl/>
        </w:rPr>
        <w:t>אמר רב</w:t>
      </w:r>
      <w:r w:rsidR="00802B62" w:rsidRPr="00650052">
        <w:rPr>
          <w:rFonts w:cs="Arial"/>
          <w:rtl/>
        </w:rPr>
        <w:t>: לא שנו אלא במפרש</w:t>
      </w:r>
      <w:r w:rsidR="00802B62">
        <w:rPr>
          <w:rStyle w:val="a7"/>
          <w:rFonts w:cs="Arial"/>
          <w:rtl/>
        </w:rPr>
        <w:footnoteReference w:id="491"/>
      </w:r>
      <w:r w:rsidR="00802B62" w:rsidRPr="00650052">
        <w:rPr>
          <w:rFonts w:cs="Arial"/>
          <w:rtl/>
        </w:rPr>
        <w:t>, אבל בסתם - יוציא לאלתר ויתן כתובה</w:t>
      </w:r>
      <w:r w:rsidR="00802B62">
        <w:rPr>
          <w:rFonts w:cs="Arial" w:hint="cs"/>
          <w:rtl/>
        </w:rPr>
        <w:t>.</w:t>
      </w:r>
      <w:r w:rsidR="00802B62" w:rsidRPr="00650052">
        <w:rPr>
          <w:rFonts w:cs="Arial"/>
          <w:rtl/>
        </w:rPr>
        <w:t xml:space="preserve"> </w:t>
      </w:r>
      <w:r w:rsidR="00802B62" w:rsidRPr="00650052">
        <w:rPr>
          <w:rFonts w:cs="Arial"/>
          <w:u w:val="single"/>
          <w:rtl/>
        </w:rPr>
        <w:t>ושמואל אמר</w:t>
      </w:r>
      <w:r w:rsidR="00802B62" w:rsidRPr="00650052">
        <w:rPr>
          <w:rFonts w:cs="Arial"/>
          <w:rtl/>
        </w:rPr>
        <w:t>: אפילו בסתם - לא יוציא, שמא ימצא פתח לנדרו</w:t>
      </w:r>
      <w:r w:rsidR="00802B62">
        <w:rPr>
          <w:rStyle w:val="a7"/>
          <w:rFonts w:cs="Arial"/>
          <w:rtl/>
        </w:rPr>
        <w:footnoteReference w:id="492"/>
      </w:r>
      <w:r w:rsidR="00802B62" w:rsidRPr="00650052">
        <w:rPr>
          <w:rFonts w:cs="Arial"/>
          <w:rtl/>
        </w:rPr>
        <w:t>.</w:t>
      </w:r>
      <w:r w:rsidR="00802B62">
        <w:rPr>
          <w:rFonts w:cs="Arial"/>
          <w:rtl/>
        </w:rPr>
        <w:t xml:space="preserve"> </w:t>
      </w:r>
      <w:r w:rsidR="00802B62" w:rsidRPr="00802B62">
        <w:rPr>
          <w:rFonts w:cs="Arial" w:hint="cs"/>
          <w:sz w:val="16"/>
          <w:szCs w:val="16"/>
          <w:rtl/>
        </w:rPr>
        <w:t>(</w:t>
      </w:r>
      <w:r w:rsidR="00802B62" w:rsidRPr="00802B62">
        <w:rPr>
          <w:rFonts w:cs="Arial"/>
          <w:sz w:val="16"/>
          <w:szCs w:val="16"/>
          <w:rtl/>
        </w:rPr>
        <w:t>ופסקו הפוסקים הלכה כשמואל</w:t>
      </w:r>
      <w:r w:rsidR="00802B62" w:rsidRPr="00802B62">
        <w:rPr>
          <w:rFonts w:cs="Arial" w:hint="cs"/>
          <w:sz w:val="16"/>
          <w:szCs w:val="16"/>
          <w:rtl/>
        </w:rPr>
        <w:t>, ב"י)</w:t>
      </w:r>
    </w:p>
    <w:p w14:paraId="1A2BB8CA" w14:textId="72ADF7FB" w:rsidR="00404BCC" w:rsidRDefault="00404BCC" w:rsidP="00404BCC">
      <w:pPr>
        <w:rPr>
          <w:rFonts w:cs="Arial"/>
          <w:rtl/>
        </w:rPr>
      </w:pPr>
      <w:r w:rsidRPr="006C3CF4">
        <w:rPr>
          <w:rFonts w:cs="Arial" w:hint="cs"/>
          <w:b/>
          <w:bCs/>
          <w:rtl/>
        </w:rPr>
        <w:t>כתובות</w:t>
      </w:r>
      <w:r>
        <w:rPr>
          <w:rFonts w:cs="Arial" w:hint="cs"/>
          <w:b/>
          <w:bCs/>
          <w:rtl/>
        </w:rPr>
        <w:t xml:space="preserve"> </w:t>
      </w:r>
      <w:r>
        <w:rPr>
          <w:rFonts w:cs="Arial" w:hint="cs"/>
          <w:b/>
          <w:bCs/>
          <w:sz w:val="16"/>
          <w:szCs w:val="16"/>
          <w:rtl/>
        </w:rPr>
        <w:t>(ר"פ המדיר)</w:t>
      </w:r>
      <w:r w:rsidRPr="006C3CF4">
        <w:rPr>
          <w:rFonts w:cs="Arial" w:hint="cs"/>
          <w:b/>
          <w:bCs/>
          <w:rtl/>
        </w:rPr>
        <w:t xml:space="preserve"> ע ע"</w:t>
      </w:r>
      <w:r>
        <w:rPr>
          <w:rFonts w:cs="Arial" w:hint="cs"/>
          <w:b/>
          <w:bCs/>
          <w:rtl/>
        </w:rPr>
        <w:t>א</w:t>
      </w:r>
      <w:r>
        <w:rPr>
          <w:rStyle w:val="a7"/>
          <w:rFonts w:cs="Arial"/>
          <w:b/>
          <w:bCs/>
          <w:rtl/>
        </w:rPr>
        <w:footnoteReference w:id="493"/>
      </w:r>
      <w:r w:rsidRPr="006C3CF4">
        <w:rPr>
          <w:rFonts w:cs="Arial" w:hint="cs"/>
          <w:b/>
          <w:bCs/>
          <w:rtl/>
        </w:rPr>
        <w:t xml:space="preserve">: </w:t>
      </w:r>
      <w:r w:rsidRPr="005D047B">
        <w:rPr>
          <w:rFonts w:cs="Arial"/>
          <w:u w:val="double"/>
          <w:rtl/>
        </w:rPr>
        <w:t>מתני'</w:t>
      </w:r>
      <w:r>
        <w:rPr>
          <w:rFonts w:cs="Arial" w:hint="cs"/>
          <w:rtl/>
        </w:rPr>
        <w:t>:</w:t>
      </w:r>
      <w:r w:rsidRPr="005D047B">
        <w:rPr>
          <w:rFonts w:cs="Arial"/>
          <w:rtl/>
        </w:rPr>
        <w:t xml:space="preserve"> המדיר את אשתו מליהנות לו, עד ל' יום - יעמיד פרנס, יתר מיכן - יוציא ויתן כתובה</w:t>
      </w:r>
      <w:r>
        <w:rPr>
          <w:rFonts w:cs="Arial" w:hint="cs"/>
          <w:rtl/>
        </w:rPr>
        <w:t>...</w:t>
      </w:r>
      <w:r w:rsidRPr="005D047B">
        <w:rPr>
          <w:rFonts w:cs="Arial"/>
          <w:rtl/>
        </w:rPr>
        <w:t xml:space="preserve"> </w:t>
      </w:r>
      <w:r>
        <w:rPr>
          <w:rFonts w:cs="Arial" w:hint="cs"/>
          <w:rtl/>
        </w:rPr>
        <w:t xml:space="preserve">    </w:t>
      </w:r>
      <w:r w:rsidRPr="005D047B">
        <w:rPr>
          <w:rFonts w:cs="Arial" w:hint="cs"/>
          <w:u w:val="double"/>
          <w:rtl/>
        </w:rPr>
        <w:t>גמ'</w:t>
      </w:r>
      <w:r>
        <w:rPr>
          <w:rFonts w:cs="Arial" w:hint="cs"/>
          <w:rtl/>
        </w:rPr>
        <w:t xml:space="preserve">: </w:t>
      </w:r>
      <w:r w:rsidRPr="009C1E95">
        <w:rPr>
          <w:rFonts w:cs="Arial"/>
          <w:rtl/>
        </w:rPr>
        <w:t>וכיון דמשועבד לה היכי מצי מדיר לה? כל כמיניה דמפקע לה לשיעבודה? והתנן: קונם שאיני עושה לפיך - אינו צריך להפר</w:t>
      </w:r>
      <w:r>
        <w:rPr>
          <w:rFonts w:cs="Arial" w:hint="cs"/>
          <w:rtl/>
        </w:rPr>
        <w:t>.</w:t>
      </w:r>
      <w:r w:rsidRPr="009C1E95">
        <w:rPr>
          <w:rFonts w:cs="Arial"/>
          <w:rtl/>
        </w:rPr>
        <w:t xml:space="preserve"> אלמא כיון דמשעבדא ליה - לאו כל כמינה דמפקע ליה לשיעבודיה, הכא נמי כיון דמשועבד לה - לאו כל כמיניה דמפקע לה לשיעבודה! </w:t>
      </w:r>
    </w:p>
    <w:p w14:paraId="1A5CEAD8" w14:textId="56BB9D50" w:rsidR="00404BCC" w:rsidRDefault="00404BCC" w:rsidP="00404BCC">
      <w:pPr>
        <w:rPr>
          <w:rFonts w:cs="Arial"/>
          <w:rtl/>
        </w:rPr>
      </w:pPr>
      <w:r w:rsidRPr="006C3CF4">
        <w:rPr>
          <w:rFonts w:cs="Arial" w:hint="cs"/>
          <w:b/>
          <w:bCs/>
          <w:rtl/>
        </w:rPr>
        <w:lastRenderedPageBreak/>
        <w:t>כתובות</w:t>
      </w:r>
      <w:r>
        <w:rPr>
          <w:rFonts w:cs="Arial" w:hint="cs"/>
          <w:b/>
          <w:bCs/>
          <w:rtl/>
        </w:rPr>
        <w:t xml:space="preserve"> </w:t>
      </w:r>
      <w:r>
        <w:rPr>
          <w:rFonts w:cs="Arial" w:hint="cs"/>
          <w:b/>
          <w:bCs/>
          <w:sz w:val="16"/>
          <w:szCs w:val="16"/>
          <w:rtl/>
        </w:rPr>
        <w:t>(פ' המדיר)</w:t>
      </w:r>
      <w:r w:rsidRPr="006C3CF4">
        <w:rPr>
          <w:rFonts w:cs="Arial" w:hint="cs"/>
          <w:b/>
          <w:bCs/>
          <w:rtl/>
        </w:rPr>
        <w:t xml:space="preserve"> ע</w:t>
      </w:r>
      <w:r>
        <w:rPr>
          <w:rFonts w:cs="Arial" w:hint="cs"/>
          <w:b/>
          <w:bCs/>
          <w:rtl/>
        </w:rPr>
        <w:t>א</w:t>
      </w:r>
      <w:r w:rsidRPr="006C3CF4">
        <w:rPr>
          <w:rFonts w:cs="Arial" w:hint="cs"/>
          <w:b/>
          <w:bCs/>
          <w:rtl/>
        </w:rPr>
        <w:t xml:space="preserve"> ע"</w:t>
      </w:r>
      <w:r>
        <w:rPr>
          <w:rFonts w:cs="Arial" w:hint="cs"/>
          <w:b/>
          <w:bCs/>
          <w:rtl/>
        </w:rPr>
        <w:t>ב</w:t>
      </w:r>
      <w:r w:rsidRPr="006C3CF4">
        <w:rPr>
          <w:rFonts w:cs="Arial" w:hint="cs"/>
          <w:b/>
          <w:bCs/>
          <w:rtl/>
        </w:rPr>
        <w:t xml:space="preserve">: </w:t>
      </w:r>
      <w:r w:rsidRPr="00140E5C">
        <w:rPr>
          <w:rFonts w:cs="Arial"/>
          <w:u w:val="single"/>
          <w:rtl/>
        </w:rPr>
        <w:t>דאמר רב כהנא</w:t>
      </w:r>
      <w:r w:rsidRPr="00560D36">
        <w:rPr>
          <w:rFonts w:cs="Arial"/>
          <w:rtl/>
        </w:rPr>
        <w:t>: הנאת תשמישי עליך - כופה ומשמשתו, הנאת תשמישך עלי - יפר, לפי שאין מאכילין לאדם דבר האסור לו.</w:t>
      </w:r>
      <w:r w:rsidRPr="00404BCC">
        <w:rPr>
          <w:rFonts w:cs="Arial"/>
          <w:sz w:val="16"/>
          <w:szCs w:val="16"/>
          <w:rtl/>
        </w:rPr>
        <w:t xml:space="preserve"> </w:t>
      </w:r>
      <w:r>
        <w:rPr>
          <w:rFonts w:cs="Arial" w:hint="cs"/>
          <w:sz w:val="16"/>
          <w:szCs w:val="16"/>
          <w:rtl/>
        </w:rPr>
        <w:t>(</w:t>
      </w:r>
      <w:r w:rsidRPr="00404BCC">
        <w:rPr>
          <w:rFonts w:cs="Arial"/>
          <w:sz w:val="16"/>
          <w:szCs w:val="16"/>
          <w:rtl/>
        </w:rPr>
        <w:t>ומינה ילפינן לכשהדירה איהו</w:t>
      </w:r>
      <w:r>
        <w:rPr>
          <w:rFonts w:cs="Arial" w:hint="cs"/>
          <w:sz w:val="16"/>
          <w:szCs w:val="16"/>
          <w:rtl/>
        </w:rPr>
        <w:t>, ב"י)</w:t>
      </w:r>
    </w:p>
    <w:p w14:paraId="768EE42B" w14:textId="67856936" w:rsidR="002E3F2E" w:rsidRPr="002E3F2E" w:rsidRDefault="002E3F2E" w:rsidP="00404BCC">
      <w:pPr>
        <w:rPr>
          <w:rFonts w:cs="Arial"/>
          <w:u w:val="single"/>
          <w:rtl/>
        </w:rPr>
      </w:pPr>
      <w:r w:rsidRPr="002E3F2E">
        <w:rPr>
          <w:rFonts w:cs="Arial"/>
          <w:u w:val="single"/>
          <w:rtl/>
        </w:rPr>
        <w:t>המדיר את אשתו מתשמיש המטה</w:t>
      </w:r>
      <w:r w:rsidRPr="002E3F2E">
        <w:rPr>
          <w:rFonts w:cs="Arial" w:hint="cs"/>
          <w:u w:val="single"/>
          <w:rtl/>
        </w:rPr>
        <w:t>:</w:t>
      </w:r>
    </w:p>
    <w:p w14:paraId="3E811BBC" w14:textId="2E682ECC" w:rsidR="00534510" w:rsidRPr="002E3F2E" w:rsidRDefault="00404BCC" w:rsidP="009000E3">
      <w:pPr>
        <w:pStyle w:val="ab"/>
        <w:numPr>
          <w:ilvl w:val="0"/>
          <w:numId w:val="27"/>
        </w:numPr>
        <w:rPr>
          <w:rFonts w:cs="Arial"/>
        </w:rPr>
      </w:pPr>
      <w:r w:rsidRPr="00404BCC">
        <w:rPr>
          <w:rFonts w:cs="Arial"/>
          <w:rtl/>
        </w:rPr>
        <w:t xml:space="preserve">רמב"ם </w:t>
      </w:r>
      <w:r w:rsidRPr="00404BCC">
        <w:rPr>
          <w:rFonts w:cs="Arial" w:hint="cs"/>
          <w:sz w:val="16"/>
          <w:szCs w:val="16"/>
          <w:rtl/>
        </w:rPr>
        <w:t>(</w:t>
      </w:r>
      <w:r w:rsidRPr="00404BCC">
        <w:rPr>
          <w:rFonts w:cs="Arial"/>
          <w:sz w:val="16"/>
          <w:szCs w:val="16"/>
          <w:rtl/>
        </w:rPr>
        <w:t>פי"ד מאישות ה"ו)</w:t>
      </w:r>
      <w:r w:rsidR="002E3F2E">
        <w:rPr>
          <w:rFonts w:cs="Arial" w:hint="cs"/>
          <w:rtl/>
        </w:rPr>
        <w:t xml:space="preserve"> וטור</w:t>
      </w:r>
      <w:r w:rsidRPr="00404BCC">
        <w:rPr>
          <w:rFonts w:cs="Arial" w:hint="cs"/>
          <w:rtl/>
        </w:rPr>
        <w:t xml:space="preserve">- </w:t>
      </w:r>
      <w:r w:rsidR="00534510" w:rsidRPr="002E3F2E">
        <w:rPr>
          <w:rFonts w:cs="Arial"/>
          <w:rtl/>
        </w:rPr>
        <w:t>המדיר את אשתו מתשמיש המטה</w:t>
      </w:r>
      <w:r w:rsidR="002E3F2E">
        <w:rPr>
          <w:rFonts w:cs="Arial" w:hint="cs"/>
          <w:rtl/>
        </w:rPr>
        <w:t>,</w:t>
      </w:r>
      <w:r w:rsidR="00534510" w:rsidRPr="002E3F2E">
        <w:rPr>
          <w:rFonts w:cs="Arial"/>
          <w:rtl/>
        </w:rPr>
        <w:t xml:space="preserve"> בין שהדירה סתם או ז' ימים או יותר</w:t>
      </w:r>
      <w:r w:rsidR="00D51558" w:rsidRPr="002E3F2E">
        <w:rPr>
          <w:rFonts w:cs="Arial" w:hint="cs"/>
          <w:rtl/>
        </w:rPr>
        <w:t xml:space="preserve"> -</w:t>
      </w:r>
      <w:r w:rsidR="00534510" w:rsidRPr="002E3F2E">
        <w:rPr>
          <w:rFonts w:cs="Arial"/>
          <w:rtl/>
        </w:rPr>
        <w:t xml:space="preserve"> יקיים שבעה ולאח"כ יוציאה ויתן כתובה</w:t>
      </w:r>
      <w:r w:rsidR="002E3F2E">
        <w:rPr>
          <w:rStyle w:val="a7"/>
          <w:rFonts w:cs="Arial"/>
          <w:rtl/>
        </w:rPr>
        <w:footnoteReference w:id="494"/>
      </w:r>
      <w:r w:rsidR="00D51558" w:rsidRPr="002E3F2E">
        <w:rPr>
          <w:rFonts w:cs="Arial" w:hint="cs"/>
          <w:rtl/>
        </w:rPr>
        <w:t>,</w:t>
      </w:r>
      <w:r w:rsidR="00534510" w:rsidRPr="002E3F2E">
        <w:rPr>
          <w:rFonts w:cs="Arial"/>
          <w:rtl/>
        </w:rPr>
        <w:t xml:space="preserve"> אפי' הוא ספן שעונתו לו' חדשים</w:t>
      </w:r>
      <w:r w:rsidR="00D51558" w:rsidRPr="002E3F2E">
        <w:rPr>
          <w:rFonts w:cs="Arial" w:hint="cs"/>
          <w:rtl/>
        </w:rPr>
        <w:t>.</w:t>
      </w:r>
      <w:r w:rsidR="00534510" w:rsidRPr="002E3F2E">
        <w:rPr>
          <w:rFonts w:cs="Arial"/>
          <w:rtl/>
        </w:rPr>
        <w:t xml:space="preserve"> וכיצד מדירה</w:t>
      </w:r>
      <w:r w:rsidR="00D51558" w:rsidRPr="002E3F2E">
        <w:rPr>
          <w:rFonts w:cs="Arial" w:hint="cs"/>
          <w:rtl/>
        </w:rPr>
        <w:t>,</w:t>
      </w:r>
      <w:r w:rsidR="00534510" w:rsidRPr="002E3F2E">
        <w:rPr>
          <w:rFonts w:cs="Arial"/>
          <w:rtl/>
        </w:rPr>
        <w:t xml:space="preserve"> אמר הנאת תשמישך אסור עלי שאז הוא נאסר שאין מאכילין את האדם דבר האסור לו אבל אם אמר הנאת תשמישי עליך או נשבע שלא לשמשה אינו חל</w:t>
      </w:r>
      <w:r w:rsidR="002E3F2E">
        <w:rPr>
          <w:rFonts w:cs="Arial" w:hint="cs"/>
          <w:sz w:val="16"/>
          <w:szCs w:val="16"/>
          <w:rtl/>
        </w:rPr>
        <w:t xml:space="preserve"> (ל' הטור)</w:t>
      </w:r>
      <w:r w:rsidR="00802B62" w:rsidRPr="002E3F2E">
        <w:rPr>
          <w:rFonts w:cs="Arial" w:hint="cs"/>
          <w:rtl/>
        </w:rPr>
        <w:t>.</w:t>
      </w:r>
      <w:r w:rsidR="002E3F2E" w:rsidRPr="002E3F2E">
        <w:rPr>
          <w:rFonts w:hint="cs"/>
          <w:color w:val="E36C0A" w:themeColor="accent6" w:themeShade="BF"/>
          <w:rtl/>
        </w:rPr>
        <w:t xml:space="preserve"> </w:t>
      </w:r>
      <w:r w:rsidR="002E3F2E" w:rsidRPr="000A3BE3">
        <w:rPr>
          <w:rFonts w:hint="cs"/>
          <w:color w:val="E36C0A" w:themeColor="accent6" w:themeShade="BF"/>
          <w:rtl/>
        </w:rPr>
        <w:t>(וכ"פ בשו"ע</w:t>
      </w:r>
      <w:r w:rsidR="002E3F2E">
        <w:rPr>
          <w:rFonts w:hint="cs"/>
          <w:sz w:val="16"/>
          <w:szCs w:val="16"/>
          <w:rtl/>
        </w:rPr>
        <w:t xml:space="preserve"> [כאן ובסע' הבא]</w:t>
      </w:r>
      <w:r w:rsidR="002E3F2E" w:rsidRPr="000A3BE3">
        <w:rPr>
          <w:rFonts w:hint="cs"/>
          <w:color w:val="E36C0A" w:themeColor="accent6" w:themeShade="BF"/>
          <w:rtl/>
        </w:rPr>
        <w:t>)</w:t>
      </w:r>
    </w:p>
    <w:p w14:paraId="4B41EEBB" w14:textId="77777777" w:rsidR="006F6308" w:rsidRDefault="006F6308" w:rsidP="006F6308">
      <w:pPr>
        <w:rPr>
          <w:rFonts w:cs="Arial"/>
          <w:rtl/>
        </w:rPr>
      </w:pPr>
      <w:r w:rsidRPr="003024E5">
        <w:rPr>
          <w:rFonts w:asciiTheme="minorBidi" w:hAnsiTheme="minorBidi"/>
          <w:b/>
          <w:bCs/>
          <w:color w:val="000000"/>
          <w:sz w:val="28"/>
          <w:szCs w:val="28"/>
          <w:u w:val="single"/>
          <w:rtl/>
        </w:rPr>
        <w:t>שו"ע:</w:t>
      </w:r>
    </w:p>
    <w:p w14:paraId="09A38D87" w14:textId="30EF0F6A" w:rsidR="006F6308" w:rsidRDefault="006F6308" w:rsidP="006F6308">
      <w:pPr>
        <w:rPr>
          <w:rtl/>
        </w:rPr>
      </w:pPr>
      <w:r>
        <w:rPr>
          <w:rFonts w:cs="Arial"/>
          <w:rtl/>
        </w:rPr>
        <w:t>המדיר את אשתו מתשמיש המטה, בין שהדירה סתם או ז' ימים או יותר, יקיים ז' ימים, ואח</w:t>
      </w:r>
      <w:r w:rsidR="002E3F2E">
        <w:rPr>
          <w:rFonts w:cs="Arial" w:hint="cs"/>
          <w:rtl/>
        </w:rPr>
        <w:t xml:space="preserve">ר </w:t>
      </w:r>
      <w:r>
        <w:rPr>
          <w:rFonts w:cs="Arial"/>
          <w:rtl/>
        </w:rPr>
        <w:t>כ</w:t>
      </w:r>
      <w:r w:rsidR="002E3F2E">
        <w:rPr>
          <w:rFonts w:cs="Arial" w:hint="cs"/>
          <w:rtl/>
        </w:rPr>
        <w:t>ך</w:t>
      </w:r>
      <w:r>
        <w:rPr>
          <w:rFonts w:cs="Arial"/>
          <w:rtl/>
        </w:rPr>
        <w:t xml:space="preserve"> יוציא ויתן כתובתה</w:t>
      </w:r>
      <w:r w:rsidR="002E3F2E">
        <w:rPr>
          <w:rFonts w:cs="Arial" w:hint="cs"/>
          <w:rtl/>
        </w:rPr>
        <w:t>,</w:t>
      </w:r>
      <w:r>
        <w:rPr>
          <w:rFonts w:cs="Arial"/>
          <w:rtl/>
        </w:rPr>
        <w:t xml:space="preserve"> אפילו הוא מלח שעונתו לששה חדשים. </w:t>
      </w:r>
    </w:p>
    <w:p w14:paraId="4503D586" w14:textId="77777777" w:rsidR="0029670D" w:rsidRDefault="0029670D" w:rsidP="006F6308">
      <w:pPr>
        <w:rPr>
          <w:rtl/>
        </w:rPr>
      </w:pPr>
    </w:p>
    <w:p w14:paraId="62793CCC" w14:textId="6DD803E6" w:rsidR="006F6308" w:rsidRDefault="006F6308" w:rsidP="000F64D0">
      <w:pPr>
        <w:pStyle w:val="2"/>
        <w:rPr>
          <w:rtl/>
        </w:rPr>
      </w:pPr>
      <w:r>
        <w:rPr>
          <w:rtl/>
        </w:rPr>
        <w:t>סעיף י</w:t>
      </w:r>
      <w:r w:rsidR="0029670D">
        <w:rPr>
          <w:rFonts w:hint="cs"/>
          <w:rtl/>
        </w:rPr>
        <w:t>:</w:t>
      </w:r>
      <w:r w:rsidR="00B762F2">
        <w:rPr>
          <w:rFonts w:hint="cs"/>
          <w:rtl/>
        </w:rPr>
        <w:t xml:space="preserve"> נשבע שלא לשמש עם אשתו. האומר 'הנאת תשמישך עלי'.</w:t>
      </w:r>
    </w:p>
    <w:p w14:paraId="131A8CD0" w14:textId="1C60457C" w:rsidR="002E3F2E" w:rsidRPr="009825F4" w:rsidRDefault="000D1B6F" w:rsidP="000D1B6F">
      <w:pPr>
        <w:rPr>
          <w:u w:val="single"/>
          <w:rtl/>
        </w:rPr>
      </w:pPr>
      <w:r w:rsidRPr="000D1B6F">
        <w:rPr>
          <w:rFonts w:cs="Arial"/>
          <w:u w:val="single"/>
          <w:rtl/>
        </w:rPr>
        <w:t>אחד שנדר שלא לשמש עם אשתו ע"מ שאין איסור בדבר</w:t>
      </w:r>
      <w:r w:rsidR="009825F4" w:rsidRPr="009825F4">
        <w:rPr>
          <w:rFonts w:hint="cs"/>
          <w:u w:val="single"/>
          <w:rtl/>
        </w:rPr>
        <w:t>:</w:t>
      </w:r>
    </w:p>
    <w:p w14:paraId="2AF0F246" w14:textId="1E0A57BF" w:rsidR="00B558F2" w:rsidRPr="000D1B6F" w:rsidRDefault="000D1B6F" w:rsidP="009000E3">
      <w:pPr>
        <w:pStyle w:val="ab"/>
        <w:numPr>
          <w:ilvl w:val="0"/>
          <w:numId w:val="27"/>
        </w:numPr>
        <w:rPr>
          <w:rFonts w:cs="Arial"/>
        </w:rPr>
      </w:pPr>
      <w:r>
        <w:rPr>
          <w:rFonts w:cs="Arial" w:hint="cs"/>
          <w:rtl/>
        </w:rPr>
        <w:t xml:space="preserve">מהר"ם </w:t>
      </w:r>
      <w:r w:rsidRPr="000D1B6F">
        <w:rPr>
          <w:rFonts w:cs="Arial" w:hint="cs"/>
          <w:sz w:val="16"/>
          <w:szCs w:val="16"/>
          <w:rtl/>
        </w:rPr>
        <w:t>(ספר סיני וליקוטים סי' תקל, וכ"כ בשמו ה</w:t>
      </w:r>
      <w:r w:rsidR="00404BCC" w:rsidRPr="000D1B6F">
        <w:rPr>
          <w:rFonts w:cs="Arial" w:hint="cs"/>
          <w:sz w:val="16"/>
          <w:szCs w:val="16"/>
          <w:rtl/>
        </w:rPr>
        <w:t>הגה"מ (פי"ד מאישות</w:t>
      </w:r>
      <w:r w:rsidR="00EF52BA" w:rsidRPr="000D1B6F">
        <w:rPr>
          <w:rFonts w:cs="Arial" w:hint="cs"/>
          <w:sz w:val="16"/>
          <w:szCs w:val="16"/>
          <w:rtl/>
        </w:rPr>
        <w:t xml:space="preserve"> ה"ו</w:t>
      </w:r>
      <w:r w:rsidR="00404BCC" w:rsidRPr="000D1B6F">
        <w:rPr>
          <w:rFonts w:cs="Arial" w:hint="cs"/>
          <w:sz w:val="16"/>
          <w:szCs w:val="16"/>
          <w:rtl/>
        </w:rPr>
        <w:t xml:space="preserve"> </w:t>
      </w:r>
      <w:r w:rsidR="00457983" w:rsidRPr="000D1B6F">
        <w:rPr>
          <w:rFonts w:cs="Arial"/>
          <w:sz w:val="16"/>
          <w:szCs w:val="16"/>
          <w:rtl/>
        </w:rPr>
        <w:t>אות ג)</w:t>
      </w:r>
      <w:r w:rsidR="009825F4" w:rsidRPr="000D1B6F">
        <w:rPr>
          <w:rFonts w:cs="Arial" w:hint="cs"/>
          <w:sz w:val="16"/>
          <w:szCs w:val="16"/>
          <w:rtl/>
        </w:rPr>
        <w:t xml:space="preserve"> והגמ"ר</w:t>
      </w:r>
      <w:r w:rsidR="009825F4" w:rsidRPr="000D1B6F">
        <w:rPr>
          <w:rFonts w:cs="Arial"/>
          <w:sz w:val="16"/>
          <w:szCs w:val="16"/>
          <w:rtl/>
        </w:rPr>
        <w:t xml:space="preserve"> </w:t>
      </w:r>
      <w:r w:rsidR="009825F4" w:rsidRPr="000D1B6F">
        <w:rPr>
          <w:rFonts w:cs="Arial" w:hint="cs"/>
          <w:sz w:val="16"/>
          <w:szCs w:val="16"/>
          <w:rtl/>
        </w:rPr>
        <w:t>(</w:t>
      </w:r>
      <w:r w:rsidR="009825F4" w:rsidRPr="000D1B6F">
        <w:rPr>
          <w:rFonts w:cs="Arial"/>
          <w:sz w:val="16"/>
          <w:szCs w:val="16"/>
          <w:rtl/>
        </w:rPr>
        <w:t>קידושין סי' תקנ</w:t>
      </w:r>
      <w:r w:rsidRPr="000D1B6F">
        <w:rPr>
          <w:rFonts w:cs="Arial" w:hint="cs"/>
          <w:sz w:val="16"/>
          <w:szCs w:val="16"/>
          <w:rtl/>
        </w:rPr>
        <w:t>)</w:t>
      </w:r>
      <w:r w:rsidR="00404BCC" w:rsidRPr="00404BCC">
        <w:rPr>
          <w:rFonts w:cs="Arial" w:hint="cs"/>
          <w:rtl/>
        </w:rPr>
        <w:t>-</w:t>
      </w:r>
      <w:r w:rsidR="00457983" w:rsidRPr="00404BCC">
        <w:rPr>
          <w:rFonts w:cs="Arial"/>
          <w:rtl/>
        </w:rPr>
        <w:t xml:space="preserve"> </w:t>
      </w:r>
      <w:r w:rsidRPr="000D1B6F">
        <w:rPr>
          <w:rFonts w:cs="Arial"/>
          <w:rtl/>
        </w:rPr>
        <w:t>מעשה באחד שנדר שלא לשמש עם אשתו ע"מ שאין איסור בדבר. אם אשתך לא נתרצית לנדריך</w:t>
      </w:r>
      <w:r>
        <w:rPr>
          <w:rFonts w:cs="Arial" w:hint="cs"/>
          <w:rtl/>
        </w:rPr>
        <w:t xml:space="preserve"> -</w:t>
      </w:r>
      <w:r w:rsidRPr="000D1B6F">
        <w:rPr>
          <w:rFonts w:cs="Arial"/>
          <w:rtl/>
        </w:rPr>
        <w:t xml:space="preserve"> אין בדבריך כלום, שכן אמרת על מנת שלא יהא איסור. ועוד הא אמר פרק שני דנדרים </w:t>
      </w:r>
      <w:r>
        <w:rPr>
          <w:rFonts w:cs="Arial" w:hint="cs"/>
          <w:rtl/>
        </w:rPr>
        <w:t>(</w:t>
      </w:r>
      <w:r w:rsidRPr="000D1B6F">
        <w:rPr>
          <w:rFonts w:cs="Arial"/>
          <w:rtl/>
        </w:rPr>
        <w:t>יד</w:t>
      </w:r>
      <w:r>
        <w:rPr>
          <w:rFonts w:cs="Arial" w:hint="cs"/>
          <w:rtl/>
        </w:rPr>
        <w:t>:)</w:t>
      </w:r>
      <w:r w:rsidRPr="000D1B6F">
        <w:rPr>
          <w:rFonts w:cs="Arial"/>
          <w:rtl/>
        </w:rPr>
        <w:t xml:space="preserve"> האומר לאשתו קונם שאיני משמשך הרי זה בבל יחל, פירוש וצריך לקיים הנדר. ופריך בגמ' והא משועבד לה, פירוש ואיך יפקיע שיעבודה ואפילו בקונם, ואע</w:t>
      </w:r>
      <w:r>
        <w:rPr>
          <w:rFonts w:cs="Arial" w:hint="cs"/>
          <w:rtl/>
        </w:rPr>
        <w:t>"</w:t>
      </w:r>
      <w:r w:rsidRPr="000D1B6F">
        <w:rPr>
          <w:rFonts w:cs="Arial"/>
          <w:rtl/>
        </w:rPr>
        <w:t xml:space="preserve">ג דנדרים חלים על דבר מצוה כדבר הרשות, הני מילי דברים שאינו משועבד לה אבל דברים המשועבדים לאשתו לא, דאלמוה רבנן לשיעבודא דבעל בפרק אף על פי </w:t>
      </w:r>
      <w:r>
        <w:rPr>
          <w:rFonts w:cs="Arial" w:hint="cs"/>
          <w:rtl/>
        </w:rPr>
        <w:t>(</w:t>
      </w:r>
      <w:r w:rsidRPr="000D1B6F">
        <w:rPr>
          <w:rFonts w:cs="Arial"/>
          <w:rtl/>
        </w:rPr>
        <w:t>כתובות נט</w:t>
      </w:r>
      <w:r>
        <w:rPr>
          <w:rFonts w:cs="Arial" w:hint="cs"/>
          <w:rtl/>
        </w:rPr>
        <w:t>:)</w:t>
      </w:r>
      <w:r w:rsidRPr="000D1B6F">
        <w:rPr>
          <w:rFonts w:cs="Arial"/>
          <w:rtl/>
        </w:rPr>
        <w:t xml:space="preserve"> ואין קונמות מפקיעין מידי שיעבוד דאשה או דבעל. אבל אם אשתך נתרצית </w:t>
      </w:r>
      <w:r>
        <w:rPr>
          <w:rFonts w:cs="Arial" w:hint="cs"/>
          <w:rtl/>
        </w:rPr>
        <w:t xml:space="preserve">- </w:t>
      </w:r>
      <w:r w:rsidRPr="000D1B6F">
        <w:rPr>
          <w:rFonts w:cs="Arial"/>
          <w:rtl/>
        </w:rPr>
        <w:t>אתה צריך התרה בשלשה הדיוטות</w:t>
      </w:r>
      <w:r w:rsidR="00B558F2" w:rsidRPr="000D1B6F">
        <w:rPr>
          <w:rFonts w:cs="Arial" w:hint="cs"/>
          <w:rtl/>
        </w:rPr>
        <w:t>.</w:t>
      </w:r>
      <w:r w:rsidR="00B558F2" w:rsidRPr="000D1B6F">
        <w:rPr>
          <w:rFonts w:cs="Arial" w:hint="cs"/>
          <w:color w:val="00B0F0"/>
          <w:rtl/>
        </w:rPr>
        <w:t xml:space="preserve"> (וכ"פ הרמ"א)</w:t>
      </w:r>
    </w:p>
    <w:p w14:paraId="2AC17935" w14:textId="589E5079" w:rsidR="009825F4" w:rsidRPr="00B558F2" w:rsidRDefault="009825F4" w:rsidP="00B558F2">
      <w:pPr>
        <w:rPr>
          <w:rFonts w:cs="Arial"/>
          <w:u w:val="single"/>
          <w:rtl/>
        </w:rPr>
      </w:pPr>
      <w:r w:rsidRPr="00B558F2">
        <w:rPr>
          <w:rFonts w:cs="Arial" w:hint="cs"/>
          <w:u w:val="single"/>
          <w:rtl/>
        </w:rPr>
        <w:t>האם מותר ל</w:t>
      </w:r>
      <w:r w:rsidR="00B558F2">
        <w:rPr>
          <w:rFonts w:cs="Arial" w:hint="cs"/>
          <w:u w:val="single"/>
          <w:rtl/>
        </w:rPr>
        <w:t>מי</w:t>
      </w:r>
      <w:r w:rsidRPr="00B558F2">
        <w:rPr>
          <w:rFonts w:cs="Arial" w:hint="cs"/>
          <w:u w:val="single"/>
          <w:rtl/>
        </w:rPr>
        <w:t xml:space="preserve"> שהדיר את אשתו מתשמיש המטה להתייחד עמה:</w:t>
      </w:r>
    </w:p>
    <w:p w14:paraId="28B068F3" w14:textId="7CDE73EB" w:rsidR="00B558F2" w:rsidRPr="00B558F2" w:rsidRDefault="00404BCC" w:rsidP="009000E3">
      <w:pPr>
        <w:pStyle w:val="ab"/>
        <w:numPr>
          <w:ilvl w:val="0"/>
          <w:numId w:val="27"/>
        </w:numPr>
      </w:pPr>
      <w:r w:rsidRPr="00404BCC">
        <w:rPr>
          <w:rFonts w:cs="Arial" w:hint="cs"/>
          <w:rtl/>
        </w:rPr>
        <w:t xml:space="preserve">הגה"מ </w:t>
      </w:r>
      <w:r w:rsidRPr="00404BCC">
        <w:rPr>
          <w:rFonts w:cs="Arial" w:hint="cs"/>
          <w:sz w:val="16"/>
          <w:szCs w:val="16"/>
          <w:rtl/>
        </w:rPr>
        <w:t xml:space="preserve">(פי"ד מאישות </w:t>
      </w:r>
      <w:r w:rsidRPr="00404BCC">
        <w:rPr>
          <w:rFonts w:cs="Arial"/>
          <w:sz w:val="16"/>
          <w:szCs w:val="16"/>
          <w:rtl/>
        </w:rPr>
        <w:t>אות ג)</w:t>
      </w:r>
      <w:r w:rsidRPr="00404BCC">
        <w:rPr>
          <w:rFonts w:cs="Arial" w:hint="cs"/>
          <w:rtl/>
        </w:rPr>
        <w:t xml:space="preserve">- </w:t>
      </w:r>
      <w:r w:rsidR="00EF52BA" w:rsidRPr="00B558F2">
        <w:rPr>
          <w:rFonts w:cs="Arial"/>
          <w:rtl/>
        </w:rPr>
        <w:t>פסק ריצב"א דמותר להתייחד עמה מק"ו מנדה</w:t>
      </w:r>
      <w:r w:rsidR="00EF52BA" w:rsidRPr="00B558F2">
        <w:rPr>
          <w:rFonts w:cs="Arial" w:hint="cs"/>
          <w:rtl/>
        </w:rPr>
        <w:t>,</w:t>
      </w:r>
      <w:r w:rsidR="00EF52BA" w:rsidRPr="00B558F2">
        <w:rPr>
          <w:rFonts w:cs="Arial"/>
          <w:rtl/>
        </w:rPr>
        <w:t xml:space="preserve"> כדאשכחן בפ</w:t>
      </w:r>
      <w:r w:rsidR="00EF52BA" w:rsidRPr="00B558F2">
        <w:rPr>
          <w:rFonts w:cs="Arial" w:hint="cs"/>
          <w:rtl/>
        </w:rPr>
        <w:t>"ק</w:t>
      </w:r>
      <w:r w:rsidR="00EF52BA" w:rsidRPr="00B558F2">
        <w:rPr>
          <w:rFonts w:cs="Arial"/>
          <w:rtl/>
        </w:rPr>
        <w:t xml:space="preserve"> דסוטה ומה נדה שהיא בכרת בעלה נאמן עליה סוטה שהיא בלאו לא כ"ש</w:t>
      </w:r>
      <w:r w:rsidR="00EF52BA" w:rsidRPr="00B558F2">
        <w:rPr>
          <w:rFonts w:cs="Arial" w:hint="cs"/>
          <w:rtl/>
        </w:rPr>
        <w:t>.</w:t>
      </w:r>
      <w:r w:rsidR="00EF52BA" w:rsidRPr="00B558F2">
        <w:rPr>
          <w:rFonts w:cs="Arial"/>
          <w:rtl/>
        </w:rPr>
        <w:t xml:space="preserve"> ורבנן לא פליגי אלא מטעם לא אם אמרת בנדה שכן יש לה היתר תאמר בסוטה וכו' וא"כ זאת יש לה היתר ע"י ג' הדיוטות דפת בסלו קרינן ביה יתר מנדה דנדה ביומי תלאה רחמנא וזאת כל שעה יכול לשאול על נדרה א"כ אין לבו רודף אחריה אפי' כמו אחר הנדה ע"כ. והרב האריך בתשובה וכתב דלא שייך למימר כאן מי יימר דמיזדקקי ליה בי תלתא לקרותה אין לה היתר ואפילו אם דר בעיר שאין בה ישראל</w:t>
      </w:r>
      <w:r w:rsidR="00B558F2">
        <w:rPr>
          <w:rStyle w:val="a7"/>
          <w:rFonts w:cs="Arial"/>
          <w:rtl/>
        </w:rPr>
        <w:footnoteReference w:id="495"/>
      </w:r>
      <w:r w:rsidR="00B558F2" w:rsidRPr="00404BCC">
        <w:rPr>
          <w:rFonts w:cs="Arial" w:hint="cs"/>
          <w:rtl/>
        </w:rPr>
        <w:t>.</w:t>
      </w:r>
      <w:r w:rsidR="00B558F2">
        <w:rPr>
          <w:rFonts w:cs="Arial" w:hint="cs"/>
          <w:color w:val="00B0F0"/>
          <w:rtl/>
        </w:rPr>
        <w:t xml:space="preserve"> </w:t>
      </w:r>
      <w:r w:rsidR="00B558F2" w:rsidRPr="008858D3">
        <w:rPr>
          <w:rFonts w:cs="Arial" w:hint="cs"/>
          <w:color w:val="00B0F0"/>
          <w:rtl/>
        </w:rPr>
        <w:t>(וכ"פ הרמ"א)</w:t>
      </w:r>
      <w:r w:rsidR="00EF52BA" w:rsidRPr="00B558F2">
        <w:rPr>
          <w:rFonts w:cs="Arial"/>
          <w:rtl/>
        </w:rPr>
        <w:t xml:space="preserve"> </w:t>
      </w:r>
    </w:p>
    <w:p w14:paraId="5EE2EA06" w14:textId="77777777" w:rsidR="006F6308" w:rsidRDefault="006F6308" w:rsidP="006F6308">
      <w:pPr>
        <w:rPr>
          <w:rFonts w:cs="Arial"/>
          <w:rtl/>
        </w:rPr>
      </w:pPr>
      <w:r w:rsidRPr="003024E5">
        <w:rPr>
          <w:rFonts w:asciiTheme="minorBidi" w:hAnsiTheme="minorBidi"/>
          <w:b/>
          <w:bCs/>
          <w:color w:val="000000"/>
          <w:sz w:val="28"/>
          <w:szCs w:val="28"/>
          <w:u w:val="single"/>
          <w:rtl/>
        </w:rPr>
        <w:t>שו"ע:</w:t>
      </w:r>
    </w:p>
    <w:p w14:paraId="601E4642" w14:textId="21999346" w:rsidR="006F6308" w:rsidRDefault="006F6308" w:rsidP="006F6308">
      <w:pPr>
        <w:rPr>
          <w:rtl/>
        </w:rPr>
      </w:pPr>
      <w:r>
        <w:rPr>
          <w:rFonts w:cs="Arial"/>
          <w:rtl/>
        </w:rPr>
        <w:t>וכיצד מדירה, שאמר: הנאת תשמישך אסור עלי</w:t>
      </w:r>
      <w:r w:rsidR="002E3F2E">
        <w:rPr>
          <w:rFonts w:cs="Arial" w:hint="cs"/>
          <w:rtl/>
        </w:rPr>
        <w:t>.</w:t>
      </w:r>
      <w:r>
        <w:rPr>
          <w:rFonts w:cs="Arial"/>
          <w:rtl/>
        </w:rPr>
        <w:t xml:space="preserve"> אבל אם אמר: הנאת תשמישי עליך, או נשבע שלא לשמש עמה, אינו חל. </w:t>
      </w:r>
      <w:r w:rsidR="00B762F2" w:rsidRPr="00B762F2">
        <w:rPr>
          <w:rFonts w:cs="Arial" w:hint="cs"/>
          <w:sz w:val="18"/>
          <w:szCs w:val="18"/>
          <w:rtl/>
        </w:rPr>
        <w:t xml:space="preserve">[הגה] </w:t>
      </w:r>
      <w:r w:rsidRPr="00B762F2">
        <w:rPr>
          <w:rFonts w:cs="Arial"/>
          <w:sz w:val="18"/>
          <w:szCs w:val="18"/>
          <w:rtl/>
        </w:rPr>
        <w:t>מיהו אם נדר ברשותה, הנדר חל, ומותר להתייחד עמה אע</w:t>
      </w:r>
      <w:r w:rsidR="00B558F2">
        <w:rPr>
          <w:rFonts w:cs="Arial" w:hint="cs"/>
          <w:sz w:val="18"/>
          <w:szCs w:val="18"/>
          <w:rtl/>
        </w:rPr>
        <w:t>"</w:t>
      </w:r>
      <w:r w:rsidRPr="00B762F2">
        <w:rPr>
          <w:rFonts w:cs="Arial"/>
          <w:sz w:val="18"/>
          <w:szCs w:val="18"/>
          <w:rtl/>
        </w:rPr>
        <w:t>ג דאסור לשמש עמה (הגה</w:t>
      </w:r>
      <w:r w:rsidR="009825F4">
        <w:rPr>
          <w:rFonts w:cs="Arial" w:hint="cs"/>
          <w:sz w:val="18"/>
          <w:szCs w:val="18"/>
          <w:rtl/>
        </w:rPr>
        <w:t>"</w:t>
      </w:r>
      <w:r w:rsidRPr="00B762F2">
        <w:rPr>
          <w:rFonts w:cs="Arial"/>
          <w:sz w:val="18"/>
          <w:szCs w:val="18"/>
          <w:rtl/>
        </w:rPr>
        <w:t>מ). ועיין ביו"ד סימן רל"ד סעיף ס"ז.</w:t>
      </w:r>
      <w:r>
        <w:rPr>
          <w:rFonts w:cs="Arial"/>
          <w:rtl/>
        </w:rPr>
        <w:t xml:space="preserve"> </w:t>
      </w:r>
    </w:p>
    <w:p w14:paraId="46C84E7A" w14:textId="77777777" w:rsidR="00B762F2" w:rsidRDefault="00B762F2" w:rsidP="006F6308">
      <w:pPr>
        <w:rPr>
          <w:rtl/>
        </w:rPr>
      </w:pPr>
    </w:p>
    <w:p w14:paraId="047A3E40" w14:textId="1D2E4D86" w:rsidR="006F6308" w:rsidRDefault="006F6308" w:rsidP="000F64D0">
      <w:pPr>
        <w:pStyle w:val="2"/>
        <w:rPr>
          <w:rtl/>
        </w:rPr>
      </w:pPr>
      <w:r>
        <w:rPr>
          <w:rtl/>
        </w:rPr>
        <w:t>סעיף יא</w:t>
      </w:r>
      <w:r w:rsidR="00B762F2">
        <w:rPr>
          <w:rFonts w:hint="cs"/>
          <w:rtl/>
        </w:rPr>
        <w:t>: בעל שמנע מאשתו את עונתה.</w:t>
      </w:r>
    </w:p>
    <w:p w14:paraId="1460D1DE" w14:textId="32003976" w:rsidR="00B558F2" w:rsidRPr="0036300B" w:rsidRDefault="0036300B" w:rsidP="00B558F2">
      <w:pPr>
        <w:rPr>
          <w:u w:val="single"/>
          <w:rtl/>
        </w:rPr>
      </w:pPr>
      <w:r w:rsidRPr="0036300B">
        <w:rPr>
          <w:rFonts w:hint="cs"/>
          <w:u w:val="single"/>
          <w:rtl/>
        </w:rPr>
        <w:t>בעל שמנע מאשתו את עונתה:</w:t>
      </w:r>
    </w:p>
    <w:p w14:paraId="37DF1EA2" w14:textId="578247DF" w:rsidR="00534510" w:rsidRDefault="000D1B6F" w:rsidP="00534510">
      <w:pPr>
        <w:pStyle w:val="ab"/>
        <w:numPr>
          <w:ilvl w:val="0"/>
          <w:numId w:val="7"/>
        </w:numPr>
        <w:rPr>
          <w:rFonts w:cs="Arial"/>
        </w:rPr>
      </w:pPr>
      <w:r>
        <w:rPr>
          <w:rFonts w:cs="Arial" w:hint="cs"/>
          <w:rtl/>
        </w:rPr>
        <w:t xml:space="preserve">רמב"ם </w:t>
      </w:r>
      <w:r>
        <w:rPr>
          <w:rFonts w:cs="Arial" w:hint="cs"/>
          <w:sz w:val="16"/>
          <w:szCs w:val="16"/>
          <w:rtl/>
        </w:rPr>
        <w:t>(פי"ד מאישות ה"ז)</w:t>
      </w:r>
      <w:r>
        <w:rPr>
          <w:rFonts w:cs="Arial" w:hint="cs"/>
          <w:rtl/>
        </w:rPr>
        <w:t xml:space="preserve"> ו</w:t>
      </w:r>
      <w:r w:rsidR="00534510">
        <w:rPr>
          <w:rFonts w:cs="Arial" w:hint="cs"/>
          <w:rtl/>
        </w:rPr>
        <w:t xml:space="preserve">טור- </w:t>
      </w:r>
      <w:r w:rsidRPr="000D1B6F">
        <w:rPr>
          <w:rFonts w:cs="Arial"/>
          <w:rtl/>
        </w:rPr>
        <w:t>אסור לאדם למנוע אשתו מעונתה</w:t>
      </w:r>
      <w:r w:rsidR="00104273">
        <w:rPr>
          <w:rFonts w:cs="Arial" w:hint="cs"/>
          <w:rtl/>
        </w:rPr>
        <w:t>.</w:t>
      </w:r>
      <w:r w:rsidRPr="000D1B6F">
        <w:rPr>
          <w:rFonts w:cs="Arial"/>
          <w:rtl/>
        </w:rPr>
        <w:t xml:space="preserve"> ואם מנע כדי לצערה</w:t>
      </w:r>
      <w:r w:rsidR="00104273">
        <w:rPr>
          <w:rFonts w:cs="Arial" w:hint="cs"/>
          <w:rtl/>
        </w:rPr>
        <w:t>,</w:t>
      </w:r>
      <w:r w:rsidRPr="000D1B6F">
        <w:rPr>
          <w:rFonts w:cs="Arial"/>
          <w:rtl/>
        </w:rPr>
        <w:t xml:space="preserve"> עבר בלא תעשה שבתורה</w:t>
      </w:r>
      <w:r w:rsidR="00104273">
        <w:rPr>
          <w:rFonts w:cs="Arial" w:hint="cs"/>
          <w:rtl/>
        </w:rPr>
        <w:t>,</w:t>
      </w:r>
      <w:r w:rsidRPr="000D1B6F">
        <w:rPr>
          <w:rFonts w:cs="Arial"/>
          <w:rtl/>
        </w:rPr>
        <w:t xml:space="preserve"> שנאמר שארה כסותה ועונתה לא יגרע</w:t>
      </w:r>
      <w:r w:rsidR="00104273">
        <w:rPr>
          <w:rFonts w:cs="Arial" w:hint="cs"/>
          <w:rtl/>
        </w:rPr>
        <w:t>.</w:t>
      </w:r>
      <w:r w:rsidRPr="000D1B6F">
        <w:rPr>
          <w:rFonts w:cs="Arial"/>
          <w:rtl/>
        </w:rPr>
        <w:t xml:space="preserve"> ואם חלה או תשש כחו ואינו יכול לבעול ימתין ששה </w:t>
      </w:r>
      <w:r w:rsidRPr="000D1B6F">
        <w:rPr>
          <w:rFonts w:cs="Arial"/>
          <w:rtl/>
        </w:rPr>
        <w:lastRenderedPageBreak/>
        <w:t>חדשים עד שיבריא שאין לך עונה גדולה מזו</w:t>
      </w:r>
      <w:r w:rsidR="00104273">
        <w:rPr>
          <w:rFonts w:cs="Arial" w:hint="cs"/>
          <w:rtl/>
        </w:rPr>
        <w:t>,</w:t>
      </w:r>
      <w:r w:rsidRPr="000D1B6F">
        <w:rPr>
          <w:rFonts w:cs="Arial"/>
          <w:rtl/>
        </w:rPr>
        <w:t xml:space="preserve"> ואחר כך או יטול ממנה רשות או יוציא ויתן כתובה</w:t>
      </w:r>
      <w:r w:rsidR="00534510">
        <w:rPr>
          <w:rStyle w:val="a7"/>
          <w:rFonts w:cs="Arial"/>
          <w:rtl/>
        </w:rPr>
        <w:footnoteReference w:id="496"/>
      </w:r>
      <w:r>
        <w:rPr>
          <w:rFonts w:cs="Arial" w:hint="cs"/>
          <w:sz w:val="16"/>
          <w:szCs w:val="16"/>
          <w:rtl/>
        </w:rPr>
        <w:t xml:space="preserve"> (ל' הרמב"ם)</w:t>
      </w:r>
      <w:r w:rsidR="00534510">
        <w:rPr>
          <w:rFonts w:cs="Arial" w:hint="cs"/>
          <w:rtl/>
        </w:rPr>
        <w:t>.</w:t>
      </w:r>
      <w:r w:rsidR="00534510" w:rsidRPr="007D3451">
        <w:rPr>
          <w:rFonts w:cs="Arial"/>
          <w:rtl/>
        </w:rPr>
        <w:t xml:space="preserve"> </w:t>
      </w:r>
      <w:r w:rsidR="0036300B" w:rsidRPr="000A3BE3">
        <w:rPr>
          <w:rFonts w:hint="cs"/>
          <w:color w:val="E36C0A" w:themeColor="accent6" w:themeShade="BF"/>
          <w:rtl/>
        </w:rPr>
        <w:t>(וכ"פ בשו"ע</w:t>
      </w:r>
      <w:r w:rsidR="0036300B">
        <w:rPr>
          <w:rFonts w:hint="cs"/>
          <w:color w:val="E36C0A" w:themeColor="accent6" w:themeShade="BF"/>
          <w:rtl/>
        </w:rPr>
        <w:t>)</w:t>
      </w:r>
    </w:p>
    <w:p w14:paraId="05D5BB54" w14:textId="3B5429C4" w:rsidR="006F6308" w:rsidRDefault="006F6308" w:rsidP="006F6308">
      <w:pPr>
        <w:rPr>
          <w:rFonts w:cs="Arial"/>
          <w:rtl/>
        </w:rPr>
      </w:pPr>
      <w:r w:rsidRPr="003024E5">
        <w:rPr>
          <w:rFonts w:asciiTheme="minorBidi" w:hAnsiTheme="minorBidi"/>
          <w:b/>
          <w:bCs/>
          <w:color w:val="000000"/>
          <w:sz w:val="28"/>
          <w:szCs w:val="28"/>
          <w:u w:val="single"/>
          <w:rtl/>
        </w:rPr>
        <w:t>שו"ע:</w:t>
      </w:r>
    </w:p>
    <w:p w14:paraId="60B2E2C8" w14:textId="71EAEAB8" w:rsidR="006F6308" w:rsidRDefault="006F6308" w:rsidP="006F6308">
      <w:pPr>
        <w:rPr>
          <w:rtl/>
        </w:rPr>
      </w:pPr>
      <w:r>
        <w:rPr>
          <w:rFonts w:cs="Arial"/>
          <w:rtl/>
        </w:rPr>
        <w:t>אסור לאדם למנוע מאשתו עונתה</w:t>
      </w:r>
      <w:r w:rsidR="00B762F2">
        <w:rPr>
          <w:rFonts w:cs="Arial" w:hint="cs"/>
          <w:rtl/>
        </w:rPr>
        <w:t>.</w:t>
      </w:r>
      <w:r>
        <w:rPr>
          <w:rFonts w:cs="Arial"/>
          <w:rtl/>
        </w:rPr>
        <w:t xml:space="preserve"> ואם מנעה כדי לצערה, עובר בלא תעשה דעונתה לא יגרע </w:t>
      </w:r>
      <w:r w:rsidRPr="005A2954">
        <w:rPr>
          <w:rFonts w:cs="Arial"/>
          <w:sz w:val="16"/>
          <w:szCs w:val="16"/>
          <w:rtl/>
        </w:rPr>
        <w:t>(שמות כא, י)</w:t>
      </w:r>
      <w:r w:rsidR="00B762F2">
        <w:rPr>
          <w:rFonts w:cs="Arial" w:hint="cs"/>
          <w:rtl/>
        </w:rPr>
        <w:t>.</w:t>
      </w:r>
      <w:r>
        <w:rPr>
          <w:rFonts w:cs="Arial"/>
          <w:rtl/>
        </w:rPr>
        <w:t xml:space="preserve"> ואם חלה או תשש כחו ואינו יכול לבעול, ימתין ששה חדשים עד שיבריא, שאין לך עונה גדולה מזו, אחר כך, או יטול ממנה רשות או יוציא ויתן כתובה. </w:t>
      </w:r>
    </w:p>
    <w:p w14:paraId="5C3B7E91" w14:textId="77777777" w:rsidR="00B762F2" w:rsidRDefault="00B762F2" w:rsidP="006F6308">
      <w:pPr>
        <w:rPr>
          <w:rtl/>
        </w:rPr>
      </w:pPr>
    </w:p>
    <w:p w14:paraId="49B30213" w14:textId="79321AB4" w:rsidR="006F6308" w:rsidRDefault="006F6308" w:rsidP="000F64D0">
      <w:pPr>
        <w:pStyle w:val="2"/>
        <w:rPr>
          <w:rtl/>
        </w:rPr>
      </w:pPr>
      <w:r>
        <w:rPr>
          <w:rtl/>
        </w:rPr>
        <w:t>סעיף יב</w:t>
      </w:r>
      <w:r w:rsidR="00B762F2">
        <w:rPr>
          <w:rFonts w:hint="cs"/>
          <w:rtl/>
        </w:rPr>
        <w:t>: בעל שמוכן להפר נדר אשתו על מנת שתעשה מעשה שוטים.</w:t>
      </w:r>
    </w:p>
    <w:p w14:paraId="1237551E" w14:textId="6C0EA234" w:rsidR="00370379" w:rsidRPr="00370379" w:rsidRDefault="00257B6C" w:rsidP="00370379">
      <w:pPr>
        <w:rPr>
          <w:rtl/>
        </w:rPr>
      </w:pPr>
      <w:r w:rsidRPr="006C3CF4">
        <w:rPr>
          <w:rFonts w:cs="Arial" w:hint="cs"/>
          <w:b/>
          <w:bCs/>
          <w:rtl/>
        </w:rPr>
        <w:t>כתובות</w:t>
      </w:r>
      <w:r>
        <w:rPr>
          <w:rFonts w:cs="Arial" w:hint="cs"/>
          <w:b/>
          <w:bCs/>
          <w:rtl/>
        </w:rPr>
        <w:t xml:space="preserve"> </w:t>
      </w:r>
      <w:r>
        <w:rPr>
          <w:rFonts w:cs="Arial" w:hint="cs"/>
          <w:b/>
          <w:bCs/>
          <w:sz w:val="16"/>
          <w:szCs w:val="16"/>
          <w:rtl/>
        </w:rPr>
        <w:t>(ר"פ המדיר)</w:t>
      </w:r>
      <w:r w:rsidRPr="006C3CF4">
        <w:rPr>
          <w:rFonts w:cs="Arial" w:hint="cs"/>
          <w:b/>
          <w:bCs/>
          <w:rtl/>
        </w:rPr>
        <w:t xml:space="preserve"> ע</w:t>
      </w:r>
      <w:r>
        <w:rPr>
          <w:rFonts w:cs="Arial" w:hint="cs"/>
          <w:b/>
          <w:bCs/>
          <w:rtl/>
        </w:rPr>
        <w:t>א</w:t>
      </w:r>
      <w:r w:rsidRPr="006C3CF4">
        <w:rPr>
          <w:rFonts w:cs="Arial" w:hint="cs"/>
          <w:b/>
          <w:bCs/>
          <w:rtl/>
        </w:rPr>
        <w:t xml:space="preserve"> ע"</w:t>
      </w:r>
      <w:r>
        <w:rPr>
          <w:rFonts w:cs="Arial" w:hint="cs"/>
          <w:b/>
          <w:bCs/>
          <w:rtl/>
        </w:rPr>
        <w:t>א</w:t>
      </w:r>
      <w:r w:rsidRPr="006C3CF4">
        <w:rPr>
          <w:rFonts w:cs="Arial" w:hint="cs"/>
          <w:b/>
          <w:bCs/>
          <w:rtl/>
        </w:rPr>
        <w:t xml:space="preserve">: </w:t>
      </w:r>
      <w:r w:rsidRPr="005D047B">
        <w:rPr>
          <w:rFonts w:cs="Arial"/>
          <w:u w:val="double"/>
          <w:rtl/>
        </w:rPr>
        <w:t>מתני'</w:t>
      </w:r>
      <w:r>
        <w:rPr>
          <w:rFonts w:cs="Arial" w:hint="cs"/>
          <w:rtl/>
        </w:rPr>
        <w:t>:</w:t>
      </w:r>
      <w:r w:rsidRPr="00257B6C">
        <w:rPr>
          <w:rtl/>
        </w:rPr>
        <w:t xml:space="preserve"> </w:t>
      </w:r>
      <w:r w:rsidRPr="00257B6C">
        <w:rPr>
          <w:rFonts w:cs="Arial"/>
          <w:rtl/>
        </w:rPr>
        <w:t>המדיר את אשתו</w:t>
      </w:r>
      <w:r>
        <w:rPr>
          <w:rFonts w:cs="Arial" w:hint="cs"/>
          <w:rtl/>
        </w:rPr>
        <w:t xml:space="preserve">... </w:t>
      </w:r>
      <w:r w:rsidRPr="00257B6C">
        <w:rPr>
          <w:rFonts w:cs="Arial"/>
          <w:rtl/>
        </w:rPr>
        <w:t>אמר לה ע"מ שתאמרי לפלוני מה שאמרת לי או מה שאמרתי לך, או שתהא ממלאה ומערה לאשפה - יוציא ויתן כתובה.</w:t>
      </w:r>
      <w:r>
        <w:rPr>
          <w:rFonts w:hint="cs"/>
          <w:rtl/>
        </w:rPr>
        <w:t xml:space="preserve">     </w:t>
      </w:r>
      <w:r w:rsidRPr="00257B6C">
        <w:rPr>
          <w:rFonts w:hint="cs"/>
          <w:u w:val="double"/>
          <w:rtl/>
        </w:rPr>
        <w:t>גמ'</w:t>
      </w:r>
      <w:r w:rsidRPr="00257B6C">
        <w:rPr>
          <w:rFonts w:hint="cs"/>
          <w:sz w:val="14"/>
          <w:szCs w:val="14"/>
          <w:u w:val="double"/>
          <w:rtl/>
        </w:rPr>
        <w:t>(עב.)</w:t>
      </w:r>
      <w:r w:rsidRPr="00257B6C">
        <w:rPr>
          <w:rFonts w:hint="cs"/>
          <w:u w:val="double"/>
          <w:rtl/>
        </w:rPr>
        <w:t>:</w:t>
      </w:r>
      <w:r w:rsidRPr="00257B6C">
        <w:rPr>
          <w:rtl/>
        </w:rPr>
        <w:t xml:space="preserve"> </w:t>
      </w:r>
      <w:r w:rsidRPr="00257B6C">
        <w:rPr>
          <w:rFonts w:cs="Arial"/>
          <w:rtl/>
        </w:rPr>
        <w:t xml:space="preserve">ואם אמר לה ע"מ שתאמרי. ותימא! </w:t>
      </w:r>
      <w:r w:rsidRPr="00257B6C">
        <w:rPr>
          <w:rFonts w:cs="Arial"/>
          <w:u w:val="single"/>
          <w:rtl/>
        </w:rPr>
        <w:t>אמר רב יהודה אמר שמואל</w:t>
      </w:r>
      <w:r w:rsidRPr="00257B6C">
        <w:rPr>
          <w:rFonts w:cs="Arial"/>
          <w:rtl/>
        </w:rPr>
        <w:t>: דברים של קלון.</w:t>
      </w:r>
      <w:r w:rsidRPr="00257B6C">
        <w:rPr>
          <w:rtl/>
        </w:rPr>
        <w:t xml:space="preserve"> </w:t>
      </w:r>
      <w:r w:rsidRPr="00257B6C">
        <w:rPr>
          <w:rFonts w:cs="Arial"/>
          <w:rtl/>
        </w:rPr>
        <w:t xml:space="preserve">או שתהא ממלאה ומערה לאשפה. ותיעביד! </w:t>
      </w:r>
      <w:r w:rsidRPr="00B22D30">
        <w:rPr>
          <w:rFonts w:cs="Arial"/>
          <w:u w:val="single"/>
          <w:rtl/>
        </w:rPr>
        <w:t>א"ר יהודה אמר שמואל</w:t>
      </w:r>
      <w:r w:rsidRPr="00257B6C">
        <w:rPr>
          <w:rFonts w:cs="Arial"/>
          <w:rtl/>
        </w:rPr>
        <w:t>: שתמלא ונופצת</w:t>
      </w:r>
      <w:r w:rsidR="00B22D30">
        <w:rPr>
          <w:rStyle w:val="a7"/>
          <w:rFonts w:cs="Arial"/>
          <w:rtl/>
        </w:rPr>
        <w:footnoteReference w:id="497"/>
      </w:r>
      <w:r w:rsidRPr="00257B6C">
        <w:rPr>
          <w:rFonts w:cs="Arial"/>
          <w:rtl/>
        </w:rPr>
        <w:t xml:space="preserve">. במתניתא תנא: שתמלא עשרה כדי מים ותערה לאשפה. בשלמא לשמואל, משום הכי יוציא ויתן כתובה, אלא למתניתא, מאי נפקא לה מינה? תיעביד! </w:t>
      </w:r>
      <w:r w:rsidRPr="00B22D30">
        <w:rPr>
          <w:rFonts w:cs="Arial"/>
          <w:u w:val="single"/>
          <w:rtl/>
        </w:rPr>
        <w:t>אמר רבה בר בר חנה אמר רבי יוחנן</w:t>
      </w:r>
      <w:r w:rsidRPr="00257B6C">
        <w:rPr>
          <w:rFonts w:cs="Arial"/>
          <w:rtl/>
        </w:rPr>
        <w:t>: מפני שנראית כשוטה.</w:t>
      </w:r>
      <w:r w:rsidR="00B22D30" w:rsidRPr="00B22D30">
        <w:rPr>
          <w:rFonts w:cs="Arial"/>
          <w:sz w:val="16"/>
          <w:szCs w:val="16"/>
          <w:rtl/>
        </w:rPr>
        <w:t xml:space="preserve"> </w:t>
      </w:r>
      <w:r w:rsidR="00B22D30">
        <w:rPr>
          <w:rFonts w:cs="Arial" w:hint="cs"/>
          <w:sz w:val="16"/>
          <w:szCs w:val="16"/>
          <w:rtl/>
        </w:rPr>
        <w:t>(</w:t>
      </w:r>
      <w:r w:rsidR="00B22D30" w:rsidRPr="00B22D30">
        <w:rPr>
          <w:rFonts w:cs="Arial"/>
          <w:sz w:val="16"/>
          <w:szCs w:val="16"/>
          <w:rtl/>
        </w:rPr>
        <w:t>וכתבו הרי"ף (שם) והרא"ש (סי' ז) והרמב"ם ז"ל (פי"ד ה"ה) אוקמתא דרב יהודה ואוקמתא דמתני' למימרא דתרווייהו איתנהו דמר אמר חדא ומר אמר חדא ולא פליגי וכך הם דברי רבינו</w:t>
      </w:r>
      <w:r w:rsidR="00B22D30">
        <w:rPr>
          <w:rFonts w:cs="Arial" w:hint="cs"/>
          <w:sz w:val="16"/>
          <w:szCs w:val="16"/>
          <w:rtl/>
        </w:rPr>
        <w:t>, ב"י)</w:t>
      </w:r>
    </w:p>
    <w:p w14:paraId="47D8D5B8" w14:textId="6524844D" w:rsidR="0036300B" w:rsidRPr="0036300B" w:rsidRDefault="0036300B" w:rsidP="0036300B">
      <w:pPr>
        <w:rPr>
          <w:u w:val="single"/>
          <w:rtl/>
        </w:rPr>
      </w:pPr>
      <w:r w:rsidRPr="0036300B">
        <w:rPr>
          <w:rFonts w:hint="cs"/>
          <w:u w:val="single"/>
          <w:rtl/>
        </w:rPr>
        <w:t>בעל שמוכן להפר נדר אשתו על מנת שתעשה מעשה שוטים:</w:t>
      </w:r>
    </w:p>
    <w:p w14:paraId="41403CAB" w14:textId="3A59AFAB" w:rsidR="00B762F2" w:rsidRPr="008D7E9D" w:rsidRDefault="008D7E9D" w:rsidP="008D7E9D">
      <w:pPr>
        <w:pStyle w:val="ab"/>
        <w:numPr>
          <w:ilvl w:val="0"/>
          <w:numId w:val="7"/>
        </w:numPr>
        <w:rPr>
          <w:rFonts w:cs="Arial"/>
          <w:rtl/>
        </w:rPr>
      </w:pPr>
      <w:r>
        <w:rPr>
          <w:rFonts w:cs="Arial" w:hint="cs"/>
          <w:rtl/>
        </w:rPr>
        <w:t>רמב"ם</w:t>
      </w:r>
      <w:r>
        <w:rPr>
          <w:rStyle w:val="a7"/>
          <w:rFonts w:cs="Arial"/>
          <w:rtl/>
        </w:rPr>
        <w:footnoteReference w:id="498"/>
      </w:r>
      <w:r>
        <w:rPr>
          <w:rFonts w:cs="Arial" w:hint="cs"/>
          <w:rtl/>
        </w:rPr>
        <w:t xml:space="preserve"> </w:t>
      </w:r>
      <w:r>
        <w:rPr>
          <w:rFonts w:cs="Arial" w:hint="cs"/>
          <w:sz w:val="16"/>
          <w:szCs w:val="16"/>
          <w:rtl/>
        </w:rPr>
        <w:t>(פי"ד מאישות ה"ה)</w:t>
      </w:r>
      <w:r>
        <w:rPr>
          <w:rFonts w:cs="Arial" w:hint="cs"/>
          <w:rtl/>
        </w:rPr>
        <w:t xml:space="preserve"> ו</w:t>
      </w:r>
      <w:r w:rsidR="00534510">
        <w:rPr>
          <w:rFonts w:cs="Arial" w:hint="cs"/>
          <w:rtl/>
        </w:rPr>
        <w:t xml:space="preserve">טור- </w:t>
      </w:r>
      <w:r w:rsidR="00534510" w:rsidRPr="007D3451">
        <w:rPr>
          <w:rFonts w:cs="Arial"/>
          <w:rtl/>
        </w:rPr>
        <w:t>האשה שנדרה</w:t>
      </w:r>
      <w:r>
        <w:rPr>
          <w:rStyle w:val="a7"/>
          <w:rFonts w:cs="Arial"/>
          <w:rtl/>
        </w:rPr>
        <w:footnoteReference w:id="499"/>
      </w:r>
      <w:r w:rsidR="00534510" w:rsidRPr="007D3451">
        <w:rPr>
          <w:rFonts w:cs="Arial"/>
          <w:rtl/>
        </w:rPr>
        <w:t xml:space="preserve"> נדר של עינוי נפש או מדברים שבינו לבינה</w:t>
      </w:r>
      <w:r w:rsidR="00257B6C">
        <w:rPr>
          <w:rFonts w:cs="Arial" w:hint="cs"/>
          <w:rtl/>
        </w:rPr>
        <w:t>,</w:t>
      </w:r>
      <w:r w:rsidR="00534510" w:rsidRPr="007D3451">
        <w:rPr>
          <w:rFonts w:cs="Arial"/>
          <w:rtl/>
        </w:rPr>
        <w:t xml:space="preserve"> שעליו להפר</w:t>
      </w:r>
      <w:r w:rsidR="00257B6C">
        <w:rPr>
          <w:rFonts w:cs="Arial" w:hint="cs"/>
          <w:rtl/>
        </w:rPr>
        <w:t>,</w:t>
      </w:r>
      <w:r w:rsidR="00534510" w:rsidRPr="007D3451">
        <w:rPr>
          <w:rFonts w:cs="Arial"/>
          <w:rtl/>
        </w:rPr>
        <w:t xml:space="preserve"> ואמר לה </w:t>
      </w:r>
      <w:r w:rsidR="00257B6C">
        <w:rPr>
          <w:rFonts w:cs="Arial" w:hint="cs"/>
          <w:rtl/>
        </w:rPr>
        <w:t>'</w:t>
      </w:r>
      <w:r w:rsidR="00534510" w:rsidRPr="007D3451">
        <w:rPr>
          <w:rFonts w:cs="Arial"/>
          <w:rtl/>
        </w:rPr>
        <w:t>אני מיפר לך על מנת שתאמר</w:t>
      </w:r>
      <w:r>
        <w:rPr>
          <w:rFonts w:cs="Arial" w:hint="cs"/>
          <w:rtl/>
        </w:rPr>
        <w:t>י</w:t>
      </w:r>
      <w:r w:rsidR="00534510" w:rsidRPr="007D3451">
        <w:rPr>
          <w:rFonts w:cs="Arial"/>
          <w:rtl/>
        </w:rPr>
        <w:t xml:space="preserve"> לפלוני מה שדברנו יחד בדברים של שחוק שאדם מדבר על עסקי תשמיש</w:t>
      </w:r>
      <w:r w:rsidR="00257B6C">
        <w:rPr>
          <w:rFonts w:cs="Arial" w:hint="cs"/>
          <w:rtl/>
        </w:rPr>
        <w:t>'</w:t>
      </w:r>
      <w:r w:rsidR="00534510" w:rsidRPr="007D3451">
        <w:rPr>
          <w:rFonts w:cs="Arial"/>
          <w:rtl/>
        </w:rPr>
        <w:t xml:space="preserve"> </w:t>
      </w:r>
      <w:r w:rsidR="00257B6C">
        <w:rPr>
          <w:rFonts w:cs="Arial" w:hint="cs"/>
          <w:rtl/>
        </w:rPr>
        <w:t xml:space="preserve">- </w:t>
      </w:r>
      <w:r w:rsidR="00534510" w:rsidRPr="007D3451">
        <w:rPr>
          <w:rFonts w:cs="Arial"/>
          <w:rtl/>
        </w:rPr>
        <w:t>הרי זה יוציא ויתן כתובה</w:t>
      </w:r>
      <w:r w:rsidR="00257B6C">
        <w:rPr>
          <w:rFonts w:cs="Arial" w:hint="cs"/>
          <w:rtl/>
        </w:rPr>
        <w:t>,</w:t>
      </w:r>
      <w:r w:rsidR="00534510" w:rsidRPr="007D3451">
        <w:rPr>
          <w:rFonts w:cs="Arial"/>
          <w:rtl/>
        </w:rPr>
        <w:t xml:space="preserve"> שאינה יכולה להעיז פניה ולומר אלו הדברים ונמצא שלא הותר הנדר</w:t>
      </w:r>
      <w:r w:rsidR="00257B6C">
        <w:rPr>
          <w:rFonts w:cs="Arial" w:hint="cs"/>
          <w:rtl/>
        </w:rPr>
        <w:t>.</w:t>
      </w:r>
      <w:r w:rsidR="00534510" w:rsidRPr="007D3451">
        <w:rPr>
          <w:rFonts w:cs="Arial"/>
          <w:rtl/>
        </w:rPr>
        <w:t xml:space="preserve"> וכן אם אמר ע"מ שתתהפך בשעה תשמיש כדי שלא תתעבר</w:t>
      </w:r>
      <w:r>
        <w:rPr>
          <w:rFonts w:cs="Arial" w:hint="cs"/>
          <w:rtl/>
        </w:rPr>
        <w:t>,</w:t>
      </w:r>
      <w:r w:rsidR="00534510" w:rsidRPr="007D3451">
        <w:rPr>
          <w:rFonts w:cs="Arial"/>
          <w:rtl/>
        </w:rPr>
        <w:t xml:space="preserve"> או ע"מ שתעשה מעשה שוטים כגון שתמלא עשרה כדי מים ותערה לאשפה</w:t>
      </w:r>
      <w:r>
        <w:rPr>
          <w:rFonts w:cs="Arial" w:hint="cs"/>
          <w:rtl/>
        </w:rPr>
        <w:t>,</w:t>
      </w:r>
      <w:r w:rsidR="00534510" w:rsidRPr="007D3451">
        <w:rPr>
          <w:rFonts w:cs="Arial"/>
          <w:rtl/>
        </w:rPr>
        <w:t xml:space="preserve"> וכיוצא באלו </w:t>
      </w:r>
      <w:r>
        <w:rPr>
          <w:rFonts w:cs="Arial" w:hint="cs"/>
          <w:rtl/>
        </w:rPr>
        <w:t xml:space="preserve">- </w:t>
      </w:r>
      <w:r w:rsidR="00534510" w:rsidRPr="007D3451">
        <w:rPr>
          <w:rFonts w:cs="Arial"/>
          <w:rtl/>
        </w:rPr>
        <w:t>יוציא ויתן כתובה</w:t>
      </w:r>
      <w:r w:rsidR="00534510">
        <w:rPr>
          <w:rFonts w:cs="Arial" w:hint="cs"/>
          <w:rtl/>
        </w:rPr>
        <w:t>.</w:t>
      </w:r>
      <w:r w:rsidR="00534510" w:rsidRPr="007D3451">
        <w:rPr>
          <w:rFonts w:cs="Arial"/>
          <w:rtl/>
        </w:rPr>
        <w:t xml:space="preserve"> </w:t>
      </w:r>
      <w:r w:rsidRPr="000A3BE3">
        <w:rPr>
          <w:rFonts w:hint="cs"/>
          <w:color w:val="E36C0A" w:themeColor="accent6" w:themeShade="BF"/>
          <w:rtl/>
        </w:rPr>
        <w:t>(וכ"פ בשו"ע</w:t>
      </w:r>
      <w:r>
        <w:rPr>
          <w:rFonts w:hint="cs"/>
          <w:color w:val="E36C0A" w:themeColor="accent6" w:themeShade="BF"/>
          <w:rtl/>
        </w:rPr>
        <w:t>)</w:t>
      </w:r>
      <w:r w:rsidRPr="008D7E9D">
        <w:rPr>
          <w:rFonts w:cs="Arial" w:hint="cs"/>
          <w:color w:val="00B0F0"/>
          <w:rtl/>
        </w:rPr>
        <w:t xml:space="preserve"> (כ"פ הרמ"א)</w:t>
      </w:r>
    </w:p>
    <w:p w14:paraId="390F2409" w14:textId="77777777" w:rsidR="006F6308" w:rsidRDefault="006F6308" w:rsidP="006F6308">
      <w:pPr>
        <w:rPr>
          <w:rFonts w:cs="Arial"/>
          <w:rtl/>
        </w:rPr>
      </w:pPr>
      <w:r w:rsidRPr="003024E5">
        <w:rPr>
          <w:rFonts w:asciiTheme="minorBidi" w:hAnsiTheme="minorBidi"/>
          <w:b/>
          <w:bCs/>
          <w:color w:val="000000"/>
          <w:sz w:val="28"/>
          <w:szCs w:val="28"/>
          <w:u w:val="single"/>
          <w:rtl/>
        </w:rPr>
        <w:t>שו"ע:</w:t>
      </w:r>
    </w:p>
    <w:p w14:paraId="7363708F" w14:textId="7AC2E99E" w:rsidR="006F6308" w:rsidRDefault="006F6308" w:rsidP="006F6308">
      <w:pPr>
        <w:rPr>
          <w:rtl/>
        </w:rPr>
      </w:pPr>
      <w:r>
        <w:rPr>
          <w:rFonts w:cs="Arial"/>
          <w:rtl/>
        </w:rPr>
        <w:t>האשה שנדרה נדר של עינוי נפש, או מדברים שבינו לבינה, שיכול להפר, ואמר לה: אני מיפר לך ע</w:t>
      </w:r>
      <w:r w:rsidR="008D7E9D">
        <w:rPr>
          <w:rFonts w:cs="Arial" w:hint="cs"/>
          <w:rtl/>
        </w:rPr>
        <w:t xml:space="preserve">ל </w:t>
      </w:r>
      <w:r>
        <w:rPr>
          <w:rFonts w:cs="Arial"/>
          <w:rtl/>
        </w:rPr>
        <w:t>מ</w:t>
      </w:r>
      <w:r w:rsidR="008D7E9D">
        <w:rPr>
          <w:rFonts w:cs="Arial" w:hint="cs"/>
          <w:rtl/>
        </w:rPr>
        <w:t>נת</w:t>
      </w:r>
      <w:r>
        <w:rPr>
          <w:rFonts w:cs="Arial"/>
          <w:rtl/>
        </w:rPr>
        <w:t xml:space="preserve"> שתאמרי לפלוני מה שדברנו יחד בדברים של שחוק שאדם מדבר על עסקי תשמיש, או על מנת </w:t>
      </w:r>
      <w:r w:rsidR="008D7E9D">
        <w:rPr>
          <w:rFonts w:cs="Arial" w:hint="cs"/>
          <w:sz w:val="18"/>
          <w:szCs w:val="18"/>
          <w:rtl/>
        </w:rPr>
        <w:t xml:space="preserve">[הגה] </w:t>
      </w:r>
      <w:r w:rsidRPr="008D7E9D">
        <w:rPr>
          <w:rFonts w:cs="Arial"/>
          <w:sz w:val="18"/>
          <w:szCs w:val="18"/>
          <w:rtl/>
        </w:rPr>
        <w:t>שתתהפך לאחר התשמיש ולא תתעבר (טור), או על מנת</w:t>
      </w:r>
      <w:r w:rsidR="008D7E9D">
        <w:rPr>
          <w:rFonts w:cs="Arial" w:hint="cs"/>
          <w:sz w:val="18"/>
          <w:szCs w:val="18"/>
          <w:rtl/>
        </w:rPr>
        <w:t>.</w:t>
      </w:r>
      <w:r w:rsidRPr="008D7E9D">
        <w:rPr>
          <w:rFonts w:cs="Arial"/>
          <w:sz w:val="18"/>
          <w:szCs w:val="18"/>
          <w:rtl/>
        </w:rPr>
        <w:t xml:space="preserve"> </w:t>
      </w:r>
      <w:r>
        <w:rPr>
          <w:rFonts w:cs="Arial"/>
          <w:rtl/>
        </w:rPr>
        <w:t xml:space="preserve">שתעשה מעשה שוטים, כגון שתמלא </w:t>
      </w:r>
      <w:r w:rsidR="007506EB">
        <w:rPr>
          <w:rFonts w:cs="Arial" w:hint="cs"/>
          <w:rtl/>
        </w:rPr>
        <w:t xml:space="preserve">עשרה </w:t>
      </w:r>
      <w:r>
        <w:rPr>
          <w:rFonts w:cs="Arial"/>
          <w:rtl/>
        </w:rPr>
        <w:t xml:space="preserve">כדי מים ותערם לאשפה וכיוצא באלו, יוציא מיד ויתן כתובה. </w:t>
      </w:r>
    </w:p>
    <w:p w14:paraId="1C49A41B" w14:textId="77777777" w:rsidR="00B762F2" w:rsidRDefault="00B762F2" w:rsidP="006F6308">
      <w:pPr>
        <w:rPr>
          <w:rtl/>
        </w:rPr>
      </w:pPr>
    </w:p>
    <w:p w14:paraId="7BF328C5" w14:textId="7F9AA349" w:rsidR="00B762F2" w:rsidRDefault="006F6308" w:rsidP="000F64D0">
      <w:pPr>
        <w:pStyle w:val="2"/>
        <w:rPr>
          <w:rtl/>
        </w:rPr>
      </w:pPr>
      <w:r>
        <w:rPr>
          <w:rtl/>
        </w:rPr>
        <w:lastRenderedPageBreak/>
        <w:t>סעיף יג</w:t>
      </w:r>
      <w:r w:rsidR="00B762F2">
        <w:rPr>
          <w:rFonts w:hint="cs"/>
          <w:rtl/>
        </w:rPr>
        <w:t xml:space="preserve">: הרוצה לשמש כשהוא בבגדיו </w:t>
      </w:r>
      <w:r w:rsidR="00B762F2" w:rsidRPr="00B762F2">
        <w:rPr>
          <w:rFonts w:hint="cs"/>
          <w:sz w:val="18"/>
          <w:szCs w:val="18"/>
          <w:rtl/>
        </w:rPr>
        <w:t>(וכן להפך)</w:t>
      </w:r>
      <w:r w:rsidR="00B762F2">
        <w:rPr>
          <w:rFonts w:hint="cs"/>
          <w:rtl/>
        </w:rPr>
        <w:t>.</w:t>
      </w:r>
    </w:p>
    <w:p w14:paraId="1A3949BD" w14:textId="542E9B62" w:rsidR="00842C22" w:rsidRDefault="0036300B" w:rsidP="00842C22">
      <w:pPr>
        <w:rPr>
          <w:rFonts w:cs="Arial"/>
          <w:rtl/>
        </w:rPr>
      </w:pPr>
      <w:r w:rsidRPr="003D067B">
        <w:rPr>
          <w:rFonts w:hint="cs"/>
          <w:b/>
          <w:bCs/>
          <w:rtl/>
        </w:rPr>
        <w:t xml:space="preserve">כתובות </w:t>
      </w:r>
      <w:r w:rsidRPr="003D067B">
        <w:rPr>
          <w:rFonts w:hint="cs"/>
          <w:b/>
          <w:bCs/>
          <w:sz w:val="16"/>
          <w:szCs w:val="16"/>
          <w:rtl/>
        </w:rPr>
        <w:t>(פ' נערה שנתפתתה)</w:t>
      </w:r>
      <w:r w:rsidRPr="003D067B">
        <w:rPr>
          <w:rFonts w:hint="cs"/>
          <w:b/>
          <w:bCs/>
          <w:rtl/>
        </w:rPr>
        <w:t xml:space="preserve"> מח</w:t>
      </w:r>
      <w:r w:rsidR="00754B64">
        <w:rPr>
          <w:rStyle w:val="a7"/>
          <w:b/>
          <w:bCs/>
          <w:rtl/>
        </w:rPr>
        <w:footnoteReference w:id="500"/>
      </w:r>
      <w:r w:rsidRPr="003D067B">
        <w:rPr>
          <w:rFonts w:hint="cs"/>
          <w:b/>
          <w:bCs/>
          <w:rtl/>
        </w:rPr>
        <w:t xml:space="preserve"> ע"א:</w:t>
      </w:r>
      <w:r>
        <w:rPr>
          <w:rFonts w:hint="cs"/>
          <w:rtl/>
        </w:rPr>
        <w:t xml:space="preserve"> </w:t>
      </w:r>
      <w:r w:rsidRPr="0036300B">
        <w:rPr>
          <w:rFonts w:cs="Arial"/>
          <w:u w:val="single"/>
          <w:rtl/>
        </w:rPr>
        <w:t>תני רב יוסף</w:t>
      </w:r>
      <w:r w:rsidRPr="0036300B">
        <w:rPr>
          <w:rFonts w:cs="Arial"/>
          <w:rtl/>
        </w:rPr>
        <w:t>:</w:t>
      </w:r>
      <w:r>
        <w:rPr>
          <w:rFonts w:cs="Arial" w:hint="cs"/>
          <w:rtl/>
        </w:rPr>
        <w:t xml:space="preserve">... </w:t>
      </w:r>
      <w:r w:rsidRPr="0036300B">
        <w:rPr>
          <w:rFonts w:cs="Arial"/>
          <w:rtl/>
        </w:rPr>
        <w:t xml:space="preserve">שלא ינהג בה מנהג פרסיים, שמשמשין מטותיהן בלבושיהן. מסייע ליה לרב הונא, </w:t>
      </w:r>
      <w:r w:rsidRPr="0036300B">
        <w:rPr>
          <w:rFonts w:cs="Arial"/>
          <w:u w:val="single"/>
          <w:rtl/>
        </w:rPr>
        <w:t>דאמר רב הונא</w:t>
      </w:r>
      <w:r w:rsidRPr="0036300B">
        <w:rPr>
          <w:rFonts w:cs="Arial"/>
          <w:rtl/>
        </w:rPr>
        <w:t>: האומר אי אפשי אלא אני בבגדי והיא בבגדה - יוציא ונותן כתובה.</w:t>
      </w:r>
    </w:p>
    <w:p w14:paraId="691CEE78" w14:textId="303137FE" w:rsidR="00842C22" w:rsidRPr="00842C22" w:rsidRDefault="00842C22" w:rsidP="00842C22">
      <w:pPr>
        <w:rPr>
          <w:rFonts w:cs="Arial"/>
          <w:u w:val="single"/>
          <w:rtl/>
        </w:rPr>
      </w:pPr>
      <w:r w:rsidRPr="00842C22">
        <w:rPr>
          <w:rFonts w:cs="Arial"/>
          <w:u w:val="single"/>
          <w:rtl/>
        </w:rPr>
        <w:t>האומר אי אפשי אלא אני בבגדי והיא בבגדה</w:t>
      </w:r>
      <w:r w:rsidRPr="00842C22">
        <w:rPr>
          <w:rFonts w:cs="Arial" w:hint="cs"/>
          <w:sz w:val="16"/>
          <w:szCs w:val="16"/>
          <w:u w:val="single"/>
          <w:rtl/>
        </w:rPr>
        <w:t xml:space="preserve"> (וכן להפך)</w:t>
      </w:r>
      <w:r w:rsidRPr="00842C22">
        <w:rPr>
          <w:rFonts w:cs="Arial" w:hint="cs"/>
          <w:u w:val="single"/>
          <w:rtl/>
        </w:rPr>
        <w:t>:</w:t>
      </w:r>
    </w:p>
    <w:p w14:paraId="037C35FF" w14:textId="300E62B7" w:rsidR="0036300B" w:rsidRPr="00842C22" w:rsidRDefault="00842C22" w:rsidP="00842C22">
      <w:pPr>
        <w:pStyle w:val="ab"/>
        <w:numPr>
          <w:ilvl w:val="0"/>
          <w:numId w:val="27"/>
        </w:numPr>
        <w:rPr>
          <w:rtl/>
        </w:rPr>
      </w:pPr>
      <w:r w:rsidRPr="00842C22">
        <w:rPr>
          <w:rFonts w:cs="Arial" w:hint="cs"/>
          <w:rtl/>
        </w:rPr>
        <w:t>ריטב"א</w:t>
      </w:r>
      <w:r w:rsidRPr="00842C22">
        <w:rPr>
          <w:rFonts w:cs="Arial" w:hint="cs"/>
          <w:sz w:val="16"/>
          <w:szCs w:val="16"/>
          <w:rtl/>
        </w:rPr>
        <w:t xml:space="preserve"> (מח. ד"ה כל האומר)</w:t>
      </w:r>
      <w:r w:rsidRPr="00842C22">
        <w:rPr>
          <w:rFonts w:cs="Arial" w:hint="cs"/>
          <w:rtl/>
        </w:rPr>
        <w:t xml:space="preserve">- </w:t>
      </w:r>
      <w:r w:rsidRPr="00842C22">
        <w:rPr>
          <w:rFonts w:cs="Arial"/>
          <w:rtl/>
        </w:rPr>
        <w:t>כל האומר אי אפשי אלא הוא בבגדו וכו' יוציא ויתן כתובה. פירוש ואף על פי שעושה כן לצניעות, וה"ה כשהיא אומרת כן מורדת מתשמיש חשיבא שאין דרך חיבה, וכל שכן בשאינו נזקק לה כלל שיוציא ויתן כתובה וכדכתיבנא בשילהי נדרים.</w:t>
      </w:r>
      <w:r>
        <w:rPr>
          <w:rFonts w:cs="Arial" w:hint="cs"/>
          <w:rtl/>
        </w:rPr>
        <w:t xml:space="preserve"> </w:t>
      </w:r>
      <w:r>
        <w:rPr>
          <w:rFonts w:cs="Arial" w:hint="cs"/>
          <w:color w:val="E36C0A" w:themeColor="accent6" w:themeShade="BF"/>
          <w:rtl/>
        </w:rPr>
        <w:t>(</w:t>
      </w:r>
      <w:r w:rsidR="00E943BA" w:rsidRPr="00842C22">
        <w:rPr>
          <w:rFonts w:cs="Arial" w:hint="cs"/>
          <w:color w:val="E36C0A" w:themeColor="accent6" w:themeShade="BF"/>
          <w:rtl/>
        </w:rPr>
        <w:t>וכ"פ בשו"ע</w:t>
      </w:r>
      <w:r>
        <w:rPr>
          <w:rFonts w:cs="Arial" w:hint="cs"/>
          <w:color w:val="E36C0A" w:themeColor="accent6" w:themeShade="BF"/>
          <w:rtl/>
        </w:rPr>
        <w:t>)</w:t>
      </w:r>
      <w:r w:rsidR="00E943BA" w:rsidRPr="00842C22">
        <w:rPr>
          <w:rFonts w:cs="Arial" w:hint="cs"/>
          <w:rtl/>
        </w:rPr>
        <w:t xml:space="preserve"> </w:t>
      </w:r>
      <w:r>
        <w:rPr>
          <w:rFonts w:cs="Arial" w:hint="cs"/>
          <w:color w:val="00B0F0"/>
          <w:rtl/>
        </w:rPr>
        <w:t>(</w:t>
      </w:r>
      <w:r w:rsidR="00E943BA" w:rsidRPr="00842C22">
        <w:rPr>
          <w:rFonts w:cs="Arial" w:hint="cs"/>
          <w:color w:val="00B0F0"/>
          <w:rtl/>
        </w:rPr>
        <w:t>וכ"פ הרמ"א</w:t>
      </w:r>
      <w:r>
        <w:rPr>
          <w:rFonts w:cs="Arial" w:hint="cs"/>
          <w:color w:val="00B0F0"/>
          <w:rtl/>
        </w:rPr>
        <w:t>)</w:t>
      </w:r>
    </w:p>
    <w:p w14:paraId="6C60BC57" w14:textId="77777777" w:rsidR="006F6308" w:rsidRDefault="006F6308" w:rsidP="006F6308">
      <w:pPr>
        <w:rPr>
          <w:rFonts w:cs="Arial"/>
          <w:rtl/>
        </w:rPr>
      </w:pPr>
      <w:r w:rsidRPr="003024E5">
        <w:rPr>
          <w:rFonts w:asciiTheme="minorBidi" w:hAnsiTheme="minorBidi"/>
          <w:b/>
          <w:bCs/>
          <w:color w:val="000000"/>
          <w:sz w:val="28"/>
          <w:szCs w:val="28"/>
          <w:u w:val="single"/>
          <w:rtl/>
        </w:rPr>
        <w:t>שו"ע:</w:t>
      </w:r>
    </w:p>
    <w:p w14:paraId="26A11C25" w14:textId="258E743B" w:rsidR="006F6308" w:rsidRPr="006F6308" w:rsidRDefault="006F6308" w:rsidP="006F6308">
      <w:pPr>
        <w:rPr>
          <w:rtl/>
        </w:rPr>
      </w:pPr>
      <w:r>
        <w:rPr>
          <w:rFonts w:cs="Arial"/>
          <w:rtl/>
        </w:rPr>
        <w:t>האומר: אי אפשי אלא אני בבגדי והיא בבגדה, יוציא ויתן כתובה; וכ</w:t>
      </w:r>
      <w:r w:rsidR="0036300B">
        <w:rPr>
          <w:rFonts w:cs="Arial" w:hint="cs"/>
          <w:rtl/>
        </w:rPr>
        <w:t xml:space="preserve">ל </w:t>
      </w:r>
      <w:r>
        <w:rPr>
          <w:rFonts w:cs="Arial"/>
          <w:rtl/>
        </w:rPr>
        <w:t>ש</w:t>
      </w:r>
      <w:r w:rsidR="0036300B">
        <w:rPr>
          <w:rFonts w:cs="Arial" w:hint="cs"/>
          <w:rtl/>
        </w:rPr>
        <w:t>כן</w:t>
      </w:r>
      <w:r>
        <w:rPr>
          <w:rFonts w:cs="Arial"/>
          <w:rtl/>
        </w:rPr>
        <w:t xml:space="preserve"> אם אינו נזקק לה כלל. </w:t>
      </w:r>
      <w:r w:rsidR="00B762F2">
        <w:rPr>
          <w:rFonts w:cs="Arial" w:hint="cs"/>
          <w:sz w:val="18"/>
          <w:szCs w:val="18"/>
          <w:rtl/>
        </w:rPr>
        <w:t xml:space="preserve">[הגה] </w:t>
      </w:r>
      <w:r w:rsidRPr="00B762F2">
        <w:rPr>
          <w:rFonts w:cs="Arial"/>
          <w:sz w:val="18"/>
          <w:szCs w:val="18"/>
          <w:rtl/>
        </w:rPr>
        <w:t>וכן היא אומרת: אי אפשי אלא אני בבגדי והוא בבגדו, תצא בלא כתובה (נ</w:t>
      </w:r>
      <w:r w:rsidR="00B762F2">
        <w:rPr>
          <w:rFonts w:cs="Arial" w:hint="cs"/>
          <w:sz w:val="18"/>
          <w:szCs w:val="18"/>
          <w:rtl/>
        </w:rPr>
        <w:t>מוק</w:t>
      </w:r>
      <w:r w:rsidRPr="00B762F2">
        <w:rPr>
          <w:rFonts w:cs="Arial"/>
          <w:sz w:val="18"/>
          <w:szCs w:val="18"/>
          <w:rtl/>
        </w:rPr>
        <w:t>"י בשם הריטב"א).</w:t>
      </w:r>
    </w:p>
    <w:p w14:paraId="6B8D6899" w14:textId="7DBC8A1C" w:rsidR="006F6308" w:rsidRPr="006F6308" w:rsidRDefault="006F6308" w:rsidP="006F6308">
      <w:pPr>
        <w:rPr>
          <w:rFonts w:asciiTheme="minorBidi" w:hAnsiTheme="minorBidi"/>
          <w:b/>
          <w:bCs/>
          <w:color w:val="000000"/>
          <w:sz w:val="28"/>
          <w:szCs w:val="28"/>
          <w:u w:val="single"/>
          <w:rtl/>
        </w:rPr>
        <w:sectPr w:rsidR="006F6308" w:rsidRPr="006F6308" w:rsidSect="00A347B3">
          <w:headerReference w:type="default" r:id="rId19"/>
          <w:footnotePr>
            <w:numRestart w:val="eachSect"/>
          </w:footnotePr>
          <w:pgSz w:w="11906" w:h="16838"/>
          <w:pgMar w:top="720" w:right="1134" w:bottom="720" w:left="1134" w:header="0" w:footer="0" w:gutter="0"/>
          <w:cols w:space="720"/>
          <w:bidi/>
          <w:rtlGutter/>
          <w:docGrid w:linePitch="360"/>
        </w:sectPr>
      </w:pPr>
    </w:p>
    <w:p w14:paraId="5FEE7DDE" w14:textId="5B5F8490" w:rsidR="005A2954" w:rsidRPr="005A2954" w:rsidRDefault="00942887" w:rsidP="005A2954">
      <w:pPr>
        <w:pStyle w:val="1"/>
        <w:rPr>
          <w:rtl/>
        </w:rPr>
      </w:pPr>
      <w:r>
        <w:rPr>
          <w:rFonts w:hint="cs"/>
          <w:rtl/>
        </w:rPr>
        <w:lastRenderedPageBreak/>
        <w:t>סימן ע</w:t>
      </w:r>
      <w:r w:rsidR="001E098A">
        <w:rPr>
          <w:rFonts w:hint="cs"/>
          <w:rtl/>
        </w:rPr>
        <w:t>ז</w:t>
      </w:r>
      <w:r>
        <w:rPr>
          <w:rFonts w:hint="cs"/>
          <w:rtl/>
        </w:rPr>
        <w:t>:</w:t>
      </w:r>
      <w:r w:rsidRPr="00C12B74">
        <w:rPr>
          <w:rtl/>
        </w:rPr>
        <w:t xml:space="preserve"> </w:t>
      </w:r>
      <w:r w:rsidR="000D2069">
        <w:rPr>
          <w:rFonts w:cs="Arial"/>
          <w:rtl/>
        </w:rPr>
        <w:t xml:space="preserve">דין מורד ומורדת, או אומרת: מאיס עלי, ובו ה' סעיפים. </w:t>
      </w:r>
    </w:p>
    <w:p w14:paraId="0A9A9711" w14:textId="6CD14E23" w:rsidR="000D2069" w:rsidRDefault="000D2069" w:rsidP="000F64D0">
      <w:pPr>
        <w:pStyle w:val="2"/>
        <w:rPr>
          <w:rtl/>
        </w:rPr>
      </w:pPr>
      <w:r>
        <w:rPr>
          <w:rtl/>
        </w:rPr>
        <w:t>סעיף א</w:t>
      </w:r>
      <w:r w:rsidR="004C403E">
        <w:rPr>
          <w:rFonts w:hint="cs"/>
          <w:rtl/>
        </w:rPr>
        <w:t xml:space="preserve">: מורד </w:t>
      </w:r>
      <w:r w:rsidR="005A6BAC">
        <w:rPr>
          <w:rFonts w:hint="cs"/>
          <w:rtl/>
        </w:rPr>
        <w:t>על אשתו</w:t>
      </w:r>
      <w:r w:rsidR="004C403E">
        <w:rPr>
          <w:rFonts w:hint="cs"/>
          <w:rtl/>
        </w:rPr>
        <w:t>.</w:t>
      </w:r>
    </w:p>
    <w:p w14:paraId="693A263B" w14:textId="3D759507" w:rsidR="003D067B" w:rsidRDefault="003D067B" w:rsidP="003D067B">
      <w:pPr>
        <w:rPr>
          <w:rFonts w:cs="Arial"/>
          <w:rtl/>
        </w:rPr>
      </w:pPr>
      <w:r w:rsidRPr="00AA00D2">
        <w:rPr>
          <w:rFonts w:cs="Arial"/>
          <w:b/>
          <w:bCs/>
          <w:rtl/>
        </w:rPr>
        <w:t xml:space="preserve">כתובות </w:t>
      </w:r>
      <w:r w:rsidRPr="00AA00D2">
        <w:rPr>
          <w:rFonts w:cs="Arial" w:hint="cs"/>
          <w:b/>
          <w:bCs/>
          <w:sz w:val="16"/>
          <w:szCs w:val="16"/>
          <w:rtl/>
        </w:rPr>
        <w:t>(</w:t>
      </w:r>
      <w:r w:rsidRPr="00AA00D2">
        <w:rPr>
          <w:rFonts w:cs="Arial"/>
          <w:b/>
          <w:bCs/>
          <w:sz w:val="16"/>
          <w:szCs w:val="16"/>
          <w:rtl/>
        </w:rPr>
        <w:t xml:space="preserve">פ' </w:t>
      </w:r>
      <w:r>
        <w:rPr>
          <w:rFonts w:cs="Arial" w:hint="cs"/>
          <w:b/>
          <w:bCs/>
          <w:sz w:val="16"/>
          <w:szCs w:val="16"/>
          <w:rtl/>
        </w:rPr>
        <w:t>אף על פי</w:t>
      </w:r>
      <w:r w:rsidRPr="00AA00D2">
        <w:rPr>
          <w:rFonts w:cs="Arial" w:hint="cs"/>
          <w:b/>
          <w:bCs/>
          <w:sz w:val="16"/>
          <w:szCs w:val="16"/>
          <w:rtl/>
        </w:rPr>
        <w:t>)</w:t>
      </w:r>
      <w:r w:rsidRPr="00AA00D2">
        <w:rPr>
          <w:rFonts w:cs="Arial"/>
          <w:b/>
          <w:bCs/>
          <w:rtl/>
        </w:rPr>
        <w:t xml:space="preserve"> </w:t>
      </w:r>
      <w:r>
        <w:rPr>
          <w:rFonts w:cs="Arial" w:hint="cs"/>
          <w:b/>
          <w:bCs/>
          <w:rtl/>
        </w:rPr>
        <w:t>סג</w:t>
      </w:r>
      <w:r w:rsidR="00155907">
        <w:rPr>
          <w:rStyle w:val="a7"/>
          <w:rFonts w:cs="Arial"/>
          <w:b/>
          <w:bCs/>
          <w:rtl/>
        </w:rPr>
        <w:footnoteReference w:id="501"/>
      </w:r>
      <w:r w:rsidRPr="00AA00D2">
        <w:rPr>
          <w:rFonts w:cs="Arial" w:hint="cs"/>
          <w:b/>
          <w:bCs/>
          <w:rtl/>
        </w:rPr>
        <w:t xml:space="preserve"> ע"</w:t>
      </w:r>
      <w:r>
        <w:rPr>
          <w:rFonts w:cs="Arial" w:hint="cs"/>
          <w:b/>
          <w:bCs/>
          <w:rtl/>
        </w:rPr>
        <w:t>א</w:t>
      </w:r>
      <w:r w:rsidRPr="00AA00D2">
        <w:rPr>
          <w:rFonts w:cs="Arial"/>
          <w:b/>
          <w:bCs/>
          <w:rtl/>
        </w:rPr>
        <w:t>:</w:t>
      </w:r>
      <w:r w:rsidRPr="00AA00D2">
        <w:rPr>
          <w:rFonts w:cs="Arial" w:hint="cs"/>
          <w:rtl/>
        </w:rPr>
        <w:t xml:space="preserve"> </w:t>
      </w:r>
      <w:r w:rsidRPr="00AA00D2">
        <w:rPr>
          <w:rFonts w:cs="Arial"/>
          <w:u w:val="double"/>
          <w:rtl/>
        </w:rPr>
        <w:t>מתני'</w:t>
      </w:r>
      <w:r w:rsidRPr="00AA00D2">
        <w:rPr>
          <w:rFonts w:cs="Arial" w:hint="cs"/>
          <w:rtl/>
        </w:rPr>
        <w:t>:</w:t>
      </w:r>
      <w:r w:rsidR="00416F56">
        <w:rPr>
          <w:rFonts w:cs="Arial" w:hint="cs"/>
          <w:rtl/>
        </w:rPr>
        <w:t>...</w:t>
      </w:r>
      <w:r w:rsidRPr="003D067B">
        <w:rPr>
          <w:rFonts w:cs="Arial"/>
          <w:rtl/>
        </w:rPr>
        <w:t xml:space="preserve"> וכן המורד על אשתו - מוסיפין על כתובתה שלשה דינרין</w:t>
      </w:r>
      <w:r w:rsidR="00D71625">
        <w:rPr>
          <w:rStyle w:val="a7"/>
          <w:rFonts w:cs="Arial"/>
          <w:rtl/>
        </w:rPr>
        <w:footnoteReference w:id="502"/>
      </w:r>
      <w:r w:rsidRPr="003D067B">
        <w:rPr>
          <w:rFonts w:cs="Arial"/>
          <w:rtl/>
        </w:rPr>
        <w:t xml:space="preserve"> בשבת, </w:t>
      </w:r>
      <w:r w:rsidRPr="00416F56">
        <w:rPr>
          <w:rFonts w:cs="Arial"/>
          <w:u w:val="single"/>
          <w:rtl/>
        </w:rPr>
        <w:t>ר' יהודה אומר</w:t>
      </w:r>
      <w:r w:rsidRPr="003D067B">
        <w:rPr>
          <w:rFonts w:cs="Arial"/>
          <w:rtl/>
        </w:rPr>
        <w:t>: שלשה טרפעיקין.</w:t>
      </w:r>
      <w:r>
        <w:rPr>
          <w:rFonts w:cs="Arial" w:hint="cs"/>
          <w:rtl/>
        </w:rPr>
        <w:t xml:space="preserve">     </w:t>
      </w:r>
      <w:r w:rsidR="00F5024F">
        <w:rPr>
          <w:rFonts w:cs="Arial" w:hint="cs"/>
          <w:rtl/>
        </w:rPr>
        <w:t xml:space="preserve">  </w:t>
      </w:r>
      <w:r>
        <w:rPr>
          <w:rFonts w:cs="Arial" w:hint="cs"/>
          <w:rtl/>
        </w:rPr>
        <w:t xml:space="preserve"> </w:t>
      </w:r>
      <w:r w:rsidRPr="003D067B">
        <w:rPr>
          <w:rFonts w:cs="Arial" w:hint="cs"/>
          <w:u w:val="double"/>
          <w:rtl/>
        </w:rPr>
        <w:t>גמ'</w:t>
      </w:r>
      <w:r>
        <w:rPr>
          <w:rFonts w:cs="Arial" w:hint="cs"/>
          <w:rtl/>
        </w:rPr>
        <w:t>:</w:t>
      </w:r>
      <w:r w:rsidRPr="003D067B">
        <w:rPr>
          <w:rtl/>
        </w:rPr>
        <w:t xml:space="preserve"> </w:t>
      </w:r>
      <w:r w:rsidRPr="003D067B">
        <w:rPr>
          <w:rFonts w:cs="Arial"/>
          <w:rtl/>
        </w:rPr>
        <w:t xml:space="preserve">מורדת ממאי? </w:t>
      </w:r>
      <w:r w:rsidRPr="003D067B">
        <w:rPr>
          <w:rFonts w:cs="Arial"/>
          <w:u w:val="single"/>
          <w:rtl/>
        </w:rPr>
        <w:t>רב הונא אמר</w:t>
      </w:r>
      <w:r w:rsidRPr="003D067B">
        <w:rPr>
          <w:rFonts w:cs="Arial"/>
          <w:rtl/>
        </w:rPr>
        <w:t>: מתשמיש המטה</w:t>
      </w:r>
      <w:r>
        <w:rPr>
          <w:rFonts w:cs="Arial" w:hint="cs"/>
          <w:rtl/>
        </w:rPr>
        <w:t>.</w:t>
      </w:r>
      <w:r w:rsidRPr="003D067B">
        <w:rPr>
          <w:rFonts w:cs="Arial"/>
          <w:rtl/>
        </w:rPr>
        <w:t xml:space="preserve"> </w:t>
      </w:r>
      <w:r w:rsidRPr="003D067B">
        <w:rPr>
          <w:rFonts w:cs="Arial"/>
          <w:u w:val="single"/>
          <w:rtl/>
        </w:rPr>
        <w:t>ר' יוסי ברבי חנינא אמר</w:t>
      </w:r>
      <w:r w:rsidRPr="003D067B">
        <w:rPr>
          <w:rFonts w:cs="Arial"/>
          <w:rtl/>
        </w:rPr>
        <w:t>: ממלאכה. תנן: וכן המורד על אשתו</w:t>
      </w:r>
      <w:r>
        <w:rPr>
          <w:rFonts w:cs="Arial" w:hint="cs"/>
          <w:rtl/>
        </w:rPr>
        <w:t>.</w:t>
      </w:r>
      <w:r w:rsidRPr="003D067B">
        <w:rPr>
          <w:rFonts w:cs="Arial"/>
          <w:rtl/>
        </w:rPr>
        <w:t xml:space="preserve"> בשלמא למ"ד מתשמיש - לחיי, אלא למאן דאמר ממלאכה - מי משועבד לה? אין, באומר איני זן ואיני מפרנס. והאמר רב: האומר איני זן ואיני מפרנס - יוציא ויתן כתובה</w:t>
      </w:r>
      <w:r w:rsidR="00416F56">
        <w:rPr>
          <w:rStyle w:val="a7"/>
          <w:rFonts w:cs="Arial"/>
          <w:rtl/>
        </w:rPr>
        <w:footnoteReference w:id="503"/>
      </w:r>
      <w:r w:rsidRPr="003D067B">
        <w:rPr>
          <w:rFonts w:cs="Arial"/>
          <w:rtl/>
        </w:rPr>
        <w:t>! ולאו לאמלוכי ביה בעי</w:t>
      </w:r>
      <w:r w:rsidR="00C5779D">
        <w:rPr>
          <w:rStyle w:val="a7"/>
          <w:rFonts w:cs="Arial"/>
          <w:rtl/>
        </w:rPr>
        <w:footnoteReference w:id="504"/>
      </w:r>
      <w:r w:rsidRPr="003D067B">
        <w:rPr>
          <w:rFonts w:cs="Arial"/>
          <w:rtl/>
        </w:rPr>
        <w:t>?</w:t>
      </w:r>
      <w:r w:rsidR="00416F56">
        <w:rPr>
          <w:rFonts w:cs="Arial" w:hint="cs"/>
          <w:rtl/>
        </w:rPr>
        <w:t>.</w:t>
      </w:r>
      <w:r w:rsidR="00842C22">
        <w:rPr>
          <w:rFonts w:cs="Arial" w:hint="cs"/>
          <w:rtl/>
        </w:rPr>
        <w:t xml:space="preserve"> </w:t>
      </w:r>
    </w:p>
    <w:p w14:paraId="4D26674F" w14:textId="34AF88B4" w:rsidR="00635D6D" w:rsidRPr="00635D6D" w:rsidRDefault="00635D6D" w:rsidP="003D067B">
      <w:pPr>
        <w:rPr>
          <w:rFonts w:cs="Arial"/>
          <w:u w:val="single"/>
          <w:rtl/>
        </w:rPr>
      </w:pPr>
      <w:r w:rsidRPr="00635D6D">
        <w:rPr>
          <w:rFonts w:cs="Arial" w:hint="cs"/>
          <w:u w:val="single"/>
          <w:rtl/>
        </w:rPr>
        <w:t>מורד על אשתו:</w:t>
      </w:r>
    </w:p>
    <w:p w14:paraId="1F7CAB98" w14:textId="31BB74A6" w:rsidR="00D71625" w:rsidRDefault="00416F56" w:rsidP="009000E3">
      <w:pPr>
        <w:pStyle w:val="ab"/>
        <w:numPr>
          <w:ilvl w:val="0"/>
          <w:numId w:val="27"/>
        </w:numPr>
        <w:rPr>
          <w:rFonts w:cs="Arial"/>
        </w:rPr>
      </w:pPr>
      <w:r w:rsidRPr="00A74C2B">
        <w:rPr>
          <w:rFonts w:cs="Arial"/>
          <w:rtl/>
        </w:rPr>
        <w:t xml:space="preserve">רא"ש </w:t>
      </w:r>
      <w:r w:rsidRPr="00416F56">
        <w:rPr>
          <w:rFonts w:cs="Arial"/>
          <w:sz w:val="16"/>
          <w:szCs w:val="16"/>
          <w:rtl/>
        </w:rPr>
        <w:t>(</w:t>
      </w:r>
      <w:r w:rsidR="00635D6D">
        <w:rPr>
          <w:rFonts w:cs="Arial" w:hint="cs"/>
          <w:sz w:val="16"/>
          <w:szCs w:val="16"/>
          <w:rtl/>
        </w:rPr>
        <w:t xml:space="preserve">פ"ה </w:t>
      </w:r>
      <w:r w:rsidRPr="00416F56">
        <w:rPr>
          <w:rFonts w:cs="Arial"/>
          <w:sz w:val="16"/>
          <w:szCs w:val="16"/>
          <w:rtl/>
        </w:rPr>
        <w:t>סי' לב)</w:t>
      </w:r>
      <w:r>
        <w:rPr>
          <w:rFonts w:cs="Arial" w:hint="cs"/>
          <w:rtl/>
        </w:rPr>
        <w:t xml:space="preserve"> ו</w:t>
      </w:r>
      <w:r w:rsidR="00897A64">
        <w:rPr>
          <w:rFonts w:cs="Arial" w:hint="cs"/>
          <w:rtl/>
        </w:rPr>
        <w:t xml:space="preserve">טור- </w:t>
      </w:r>
      <w:r w:rsidR="00897A64" w:rsidRPr="00897A64">
        <w:rPr>
          <w:rFonts w:cs="Arial"/>
          <w:rtl/>
        </w:rPr>
        <w:t>המורד על אשתו שאינו רוצה לשמש עמה</w:t>
      </w:r>
      <w:r w:rsidR="003D067B">
        <w:rPr>
          <w:rFonts w:cs="Arial" w:hint="cs"/>
          <w:rtl/>
        </w:rPr>
        <w:t>,</w:t>
      </w:r>
      <w:r w:rsidR="00897A64" w:rsidRPr="00897A64">
        <w:rPr>
          <w:rFonts w:cs="Arial"/>
          <w:rtl/>
        </w:rPr>
        <w:t xml:space="preserve"> או שאינו רוצה לזונה</w:t>
      </w:r>
      <w:r w:rsidR="003D067B">
        <w:rPr>
          <w:rFonts w:cs="Arial" w:hint="cs"/>
          <w:rtl/>
        </w:rPr>
        <w:t>,</w:t>
      </w:r>
      <w:r w:rsidR="00897A64" w:rsidRPr="00897A64">
        <w:rPr>
          <w:rFonts w:cs="Arial"/>
          <w:rtl/>
        </w:rPr>
        <w:t xml:space="preserve"> אם היא רוצה כופין</w:t>
      </w:r>
      <w:r w:rsidR="00E5373C">
        <w:rPr>
          <w:rStyle w:val="a7"/>
          <w:rFonts w:cs="Arial"/>
          <w:rtl/>
        </w:rPr>
        <w:footnoteReference w:id="505"/>
      </w:r>
      <w:r w:rsidR="00897A64" w:rsidRPr="00897A64">
        <w:rPr>
          <w:rFonts w:cs="Arial"/>
          <w:rtl/>
        </w:rPr>
        <w:t xml:space="preserve"> אותו מיד להוציא וליתן כתוב</w:t>
      </w:r>
      <w:r w:rsidR="003D067B">
        <w:rPr>
          <w:rFonts w:cs="Arial" w:hint="cs"/>
          <w:rtl/>
        </w:rPr>
        <w:t>ה.</w:t>
      </w:r>
      <w:r w:rsidR="00897A64" w:rsidRPr="00897A64">
        <w:rPr>
          <w:rFonts w:cs="Arial"/>
          <w:rtl/>
        </w:rPr>
        <w:t xml:space="preserve"> ואם היא רוצה להמתין אולי יחזור בו</w:t>
      </w:r>
      <w:r w:rsidR="00635D6D">
        <w:rPr>
          <w:rFonts w:cs="Arial" w:hint="cs"/>
          <w:rtl/>
        </w:rPr>
        <w:t>,</w:t>
      </w:r>
      <w:r w:rsidR="00897A64" w:rsidRPr="00897A64">
        <w:rPr>
          <w:rFonts w:cs="Arial"/>
          <w:rtl/>
        </w:rPr>
        <w:t xml:space="preserve"> ממתינין לו</w:t>
      </w:r>
      <w:r w:rsidR="00897A64">
        <w:rPr>
          <w:rStyle w:val="a7"/>
          <w:rFonts w:cs="Arial"/>
          <w:rtl/>
        </w:rPr>
        <w:footnoteReference w:id="506"/>
      </w:r>
      <w:r w:rsidR="00897A64" w:rsidRPr="00897A64">
        <w:rPr>
          <w:rFonts w:cs="Arial"/>
          <w:rtl/>
        </w:rPr>
        <w:t xml:space="preserve"> ומוסיפין לה על כתובתה לכל שבוע ג' דינרין שהן ל"ו שעורים של כסף</w:t>
      </w:r>
      <w:r w:rsidR="00635D6D">
        <w:rPr>
          <w:rFonts w:cs="Arial" w:hint="cs"/>
          <w:rtl/>
        </w:rPr>
        <w:t>.</w:t>
      </w:r>
      <w:r w:rsidR="00897A64" w:rsidRPr="00897A64">
        <w:rPr>
          <w:rFonts w:cs="Arial"/>
          <w:rtl/>
        </w:rPr>
        <w:t xml:space="preserve"> וכל ימי עומדו במורדו כופין אותו לזונה ואפ"ה מוסיפין לה על כתובתה</w:t>
      </w:r>
      <w:r>
        <w:rPr>
          <w:rFonts w:cs="Arial" w:hint="cs"/>
          <w:sz w:val="16"/>
          <w:szCs w:val="16"/>
          <w:rtl/>
        </w:rPr>
        <w:t xml:space="preserve"> (ל' הטור)</w:t>
      </w:r>
      <w:r w:rsidR="00897A64">
        <w:rPr>
          <w:rFonts w:cs="Arial" w:hint="cs"/>
          <w:rtl/>
        </w:rPr>
        <w:t>.</w:t>
      </w:r>
      <w:r w:rsidR="00897A64" w:rsidRPr="00897A64">
        <w:rPr>
          <w:rFonts w:cs="Arial"/>
          <w:rtl/>
        </w:rPr>
        <w:t xml:space="preserve"> </w:t>
      </w:r>
    </w:p>
    <w:p w14:paraId="7720D38E" w14:textId="6957A4C8" w:rsidR="004C33D1" w:rsidRPr="00F5024F" w:rsidRDefault="00A74C2B" w:rsidP="009000E3">
      <w:pPr>
        <w:pStyle w:val="ab"/>
        <w:numPr>
          <w:ilvl w:val="0"/>
          <w:numId w:val="27"/>
        </w:numPr>
        <w:rPr>
          <w:rFonts w:cs="Arial"/>
          <w:rtl/>
        </w:rPr>
      </w:pPr>
      <w:r w:rsidRPr="00D71625">
        <w:rPr>
          <w:rFonts w:cs="Arial"/>
          <w:rtl/>
        </w:rPr>
        <w:t xml:space="preserve">רמב"ם </w:t>
      </w:r>
      <w:r w:rsidRPr="00D71625">
        <w:rPr>
          <w:rFonts w:cs="Arial"/>
          <w:sz w:val="16"/>
          <w:szCs w:val="16"/>
          <w:rtl/>
        </w:rPr>
        <w:t>(פי"ד מאישות הט"ו)</w:t>
      </w:r>
      <w:r w:rsidR="00D71625" w:rsidRPr="00D71625">
        <w:rPr>
          <w:rFonts w:cs="Arial" w:hint="cs"/>
          <w:rtl/>
        </w:rPr>
        <w:t xml:space="preserve">- </w:t>
      </w:r>
      <w:r w:rsidR="00D71625" w:rsidRPr="00D71625">
        <w:rPr>
          <w:rFonts w:cs="Arial"/>
          <w:rtl/>
        </w:rPr>
        <w:t>המורד על אשתו ואמר הריני זן ומפרנס אבל איני בא עליה מפני ששנאתיה</w:t>
      </w:r>
      <w:r w:rsidR="00D71625">
        <w:rPr>
          <w:rFonts w:cs="Arial" w:hint="cs"/>
          <w:rtl/>
        </w:rPr>
        <w:t xml:space="preserve"> -</w:t>
      </w:r>
      <w:r w:rsidR="00D71625" w:rsidRPr="00D71625">
        <w:rPr>
          <w:rFonts w:cs="Arial"/>
          <w:rtl/>
        </w:rPr>
        <w:t xml:space="preserve"> מוסיפין לה על כתובתה</w:t>
      </w:r>
      <w:r w:rsidR="00F5024F">
        <w:rPr>
          <w:rStyle w:val="a7"/>
          <w:rFonts w:cs="Arial"/>
          <w:rtl/>
        </w:rPr>
        <w:footnoteReference w:id="507"/>
      </w:r>
      <w:r w:rsidR="00D71625" w:rsidRPr="00D71625">
        <w:rPr>
          <w:rFonts w:cs="Arial"/>
          <w:rtl/>
        </w:rPr>
        <w:t xml:space="preserve"> משקל שש ושלשים שעורה של כסף בכל שבת ושבת</w:t>
      </w:r>
      <w:r w:rsidR="00D71625">
        <w:rPr>
          <w:rFonts w:cs="Arial" w:hint="cs"/>
          <w:rtl/>
        </w:rPr>
        <w:t>,</w:t>
      </w:r>
      <w:r w:rsidR="00D71625" w:rsidRPr="00D71625">
        <w:rPr>
          <w:rFonts w:cs="Arial"/>
          <w:rtl/>
        </w:rPr>
        <w:t xml:space="preserve"> וישב ולא ישמש כל זמן שתרצה היא לישב</w:t>
      </w:r>
      <w:r w:rsidR="00D71625">
        <w:rPr>
          <w:rFonts w:cs="Arial" w:hint="cs"/>
          <w:rtl/>
        </w:rPr>
        <w:t>.</w:t>
      </w:r>
      <w:r w:rsidR="00D71625" w:rsidRPr="00D71625">
        <w:rPr>
          <w:rFonts w:cs="Arial"/>
          <w:rtl/>
        </w:rPr>
        <w:t xml:space="preserve"> ואע</w:t>
      </w:r>
      <w:r w:rsidR="00994233">
        <w:rPr>
          <w:rFonts w:cs="Arial" w:hint="cs"/>
          <w:rtl/>
        </w:rPr>
        <w:t>"</w:t>
      </w:r>
      <w:r w:rsidR="00D71625" w:rsidRPr="00D71625">
        <w:rPr>
          <w:rFonts w:cs="Arial"/>
          <w:rtl/>
        </w:rPr>
        <w:t>פ שכתובתה הולכת ונוספת הרי הוא עובר בלא תעשה</w:t>
      </w:r>
      <w:r w:rsidR="00D71625">
        <w:rPr>
          <w:rFonts w:cs="Arial" w:hint="cs"/>
          <w:rtl/>
        </w:rPr>
        <w:t>,</w:t>
      </w:r>
      <w:r w:rsidR="00D71625" w:rsidRPr="00D71625">
        <w:rPr>
          <w:rFonts w:cs="Arial"/>
          <w:rtl/>
        </w:rPr>
        <w:t xml:space="preserve"> שנ</w:t>
      </w:r>
      <w:r w:rsidR="00D71625">
        <w:rPr>
          <w:rFonts w:cs="Arial" w:hint="cs"/>
          <w:rtl/>
        </w:rPr>
        <w:t>אמר</w:t>
      </w:r>
      <w:r w:rsidR="00D71625" w:rsidRPr="00D71625">
        <w:rPr>
          <w:rFonts w:cs="Arial"/>
          <w:sz w:val="16"/>
          <w:szCs w:val="16"/>
          <w:rtl/>
        </w:rPr>
        <w:t xml:space="preserve"> </w:t>
      </w:r>
      <w:r w:rsidR="00D71625" w:rsidRPr="00D71625">
        <w:rPr>
          <w:rFonts w:cs="Arial" w:hint="cs"/>
          <w:sz w:val="16"/>
          <w:szCs w:val="16"/>
          <w:rtl/>
        </w:rPr>
        <w:t>(</w:t>
      </w:r>
      <w:r w:rsidR="00D71625" w:rsidRPr="00D71625">
        <w:rPr>
          <w:rFonts w:cs="Arial"/>
          <w:sz w:val="16"/>
          <w:szCs w:val="16"/>
          <w:rtl/>
        </w:rPr>
        <w:t>שמות כא</w:t>
      </w:r>
      <w:r w:rsidR="00F5024F">
        <w:rPr>
          <w:rFonts w:cs="Arial" w:hint="cs"/>
          <w:sz w:val="16"/>
          <w:szCs w:val="16"/>
          <w:rtl/>
        </w:rPr>
        <w:t>, י</w:t>
      </w:r>
      <w:r w:rsidR="00D71625" w:rsidRPr="00D71625">
        <w:rPr>
          <w:rFonts w:cs="Arial" w:hint="cs"/>
          <w:sz w:val="16"/>
          <w:szCs w:val="16"/>
          <w:rtl/>
        </w:rPr>
        <w:t>)</w:t>
      </w:r>
      <w:r w:rsidR="00D71625" w:rsidRPr="00D71625">
        <w:rPr>
          <w:rFonts w:cs="Arial"/>
          <w:rtl/>
        </w:rPr>
        <w:t xml:space="preserve"> לא יגרע, שאם שנא ישלח אבל לענות אסור</w:t>
      </w:r>
      <w:r w:rsidR="00F5024F">
        <w:rPr>
          <w:rStyle w:val="a7"/>
          <w:rtl/>
        </w:rPr>
        <w:footnoteReference w:id="508"/>
      </w:r>
      <w:r w:rsidR="00D71625">
        <w:rPr>
          <w:rFonts w:cs="Arial" w:hint="cs"/>
          <w:rtl/>
        </w:rPr>
        <w:t>.</w:t>
      </w:r>
      <w:r w:rsidR="00D71625" w:rsidRPr="00D71625">
        <w:rPr>
          <w:rFonts w:cs="Arial"/>
          <w:rtl/>
        </w:rPr>
        <w:t xml:space="preserve"> ולמה לא ילקה על לאו זה</w:t>
      </w:r>
      <w:r w:rsidR="00D71625">
        <w:rPr>
          <w:rFonts w:cs="Arial" w:hint="cs"/>
          <w:rtl/>
        </w:rPr>
        <w:t>,</w:t>
      </w:r>
      <w:r w:rsidR="00D71625" w:rsidRPr="00D71625">
        <w:rPr>
          <w:rFonts w:cs="Arial"/>
          <w:rtl/>
        </w:rPr>
        <w:t xml:space="preserve"> מפני שאין בו מעשה</w:t>
      </w:r>
      <w:r w:rsidR="00F5024F">
        <w:rPr>
          <w:rFonts w:cs="Arial" w:hint="cs"/>
          <w:rtl/>
        </w:rPr>
        <w:t>.</w:t>
      </w:r>
      <w:r w:rsidR="005A6BAC" w:rsidRPr="005A6BAC">
        <w:rPr>
          <w:rFonts w:hint="cs"/>
          <w:color w:val="E36C0A" w:themeColor="accent6" w:themeShade="BF"/>
          <w:rtl/>
        </w:rPr>
        <w:t xml:space="preserve"> </w:t>
      </w:r>
      <w:r w:rsidR="005A6BAC" w:rsidRPr="000A3BE3">
        <w:rPr>
          <w:rFonts w:hint="cs"/>
          <w:color w:val="E36C0A" w:themeColor="accent6" w:themeShade="BF"/>
          <w:rtl/>
        </w:rPr>
        <w:t>(וכ"פ בשו"ע</w:t>
      </w:r>
      <w:r w:rsidR="005A6BAC">
        <w:rPr>
          <w:rFonts w:hint="cs"/>
          <w:color w:val="E36C0A" w:themeColor="accent6" w:themeShade="BF"/>
          <w:rtl/>
        </w:rPr>
        <w:t>)</w:t>
      </w:r>
    </w:p>
    <w:p w14:paraId="484B5149" w14:textId="77777777" w:rsidR="005A2954" w:rsidRDefault="005A2954" w:rsidP="005A2954">
      <w:pPr>
        <w:rPr>
          <w:rFonts w:cs="Arial"/>
          <w:rtl/>
        </w:rPr>
      </w:pPr>
      <w:r w:rsidRPr="003024E5">
        <w:rPr>
          <w:rFonts w:asciiTheme="minorBidi" w:hAnsiTheme="minorBidi"/>
          <w:b/>
          <w:bCs/>
          <w:color w:val="000000"/>
          <w:sz w:val="28"/>
          <w:szCs w:val="28"/>
          <w:u w:val="single"/>
          <w:rtl/>
        </w:rPr>
        <w:t>שו"ע:</w:t>
      </w:r>
    </w:p>
    <w:p w14:paraId="67A212DB" w14:textId="0E81893A" w:rsidR="000D2069" w:rsidRDefault="000D2069" w:rsidP="000D2069">
      <w:pPr>
        <w:rPr>
          <w:rtl/>
        </w:rPr>
      </w:pPr>
      <w:r>
        <w:rPr>
          <w:rFonts w:cs="Arial"/>
          <w:rtl/>
        </w:rPr>
        <w:t>המורד על אשתו ואמר: הריני זן ומפרנס אבל איני בא עליה מפני ששנאתיה, מוסיפין לה על כתובתה משקל ל"ו שעורים של כסף בכל שבוע, וישב ולא ישמש כל זמן שתרצה היא לישב</w:t>
      </w:r>
      <w:r w:rsidR="004C403E">
        <w:rPr>
          <w:rFonts w:cs="Arial" w:hint="cs"/>
          <w:rtl/>
        </w:rPr>
        <w:t>.</w:t>
      </w:r>
      <w:r>
        <w:rPr>
          <w:rFonts w:cs="Arial"/>
          <w:rtl/>
        </w:rPr>
        <w:t xml:space="preserve"> ואף על פי שכתובתה הולכת ונוספת, הרי הוא עובר בל</w:t>
      </w:r>
      <w:r w:rsidR="00326D42">
        <w:rPr>
          <w:rFonts w:cs="Arial" w:hint="cs"/>
          <w:rtl/>
        </w:rPr>
        <w:t xml:space="preserve">א </w:t>
      </w:r>
      <w:r>
        <w:rPr>
          <w:rFonts w:cs="Arial"/>
          <w:rtl/>
        </w:rPr>
        <w:t>ת</w:t>
      </w:r>
      <w:r w:rsidR="00326D42">
        <w:rPr>
          <w:rFonts w:cs="Arial" w:hint="cs"/>
          <w:rtl/>
        </w:rPr>
        <w:t>עשה</w:t>
      </w:r>
      <w:r>
        <w:rPr>
          <w:rFonts w:cs="Arial"/>
          <w:rtl/>
        </w:rPr>
        <w:t>, שנא</w:t>
      </w:r>
      <w:r w:rsidR="00326D42">
        <w:rPr>
          <w:rFonts w:cs="Arial" w:hint="cs"/>
          <w:rtl/>
        </w:rPr>
        <w:t>מר</w:t>
      </w:r>
      <w:r>
        <w:rPr>
          <w:rFonts w:cs="Arial"/>
          <w:rtl/>
        </w:rPr>
        <w:t xml:space="preserve">: לא יגרע </w:t>
      </w:r>
      <w:r w:rsidRPr="005A6BAC">
        <w:rPr>
          <w:rFonts w:cs="Arial"/>
          <w:sz w:val="16"/>
          <w:szCs w:val="16"/>
          <w:rtl/>
        </w:rPr>
        <w:t>(שמות כא, י)</w:t>
      </w:r>
      <w:r w:rsidR="004C403E">
        <w:rPr>
          <w:rFonts w:cs="Arial" w:hint="cs"/>
          <w:rtl/>
        </w:rPr>
        <w:t>.</w:t>
      </w:r>
      <w:r>
        <w:rPr>
          <w:rFonts w:cs="Arial"/>
          <w:rtl/>
        </w:rPr>
        <w:t xml:space="preserve"> ואם היא רוצה, כופין אותו מיד להוציא וליתן כתובה. </w:t>
      </w:r>
      <w:r w:rsidR="004C403E">
        <w:rPr>
          <w:rFonts w:cs="Arial" w:hint="cs"/>
          <w:sz w:val="18"/>
          <w:szCs w:val="18"/>
          <w:rtl/>
        </w:rPr>
        <w:t xml:space="preserve">[הגה] </w:t>
      </w:r>
      <w:r w:rsidRPr="004C403E">
        <w:rPr>
          <w:rFonts w:cs="Arial"/>
          <w:sz w:val="18"/>
          <w:szCs w:val="18"/>
          <w:rtl/>
        </w:rPr>
        <w:t>י"א דאם רוצה לגרש מיד וליתן לה הכתובה, אין מוסיפין לה על כתובתה</w:t>
      </w:r>
      <w:r w:rsidR="00B47ACE">
        <w:rPr>
          <w:rStyle w:val="a7"/>
          <w:rFonts w:cs="Arial"/>
          <w:sz w:val="18"/>
          <w:szCs w:val="18"/>
          <w:rtl/>
        </w:rPr>
        <w:footnoteReference w:id="509"/>
      </w:r>
      <w:r w:rsidRPr="004C403E">
        <w:rPr>
          <w:rFonts w:cs="Arial"/>
          <w:sz w:val="18"/>
          <w:szCs w:val="18"/>
          <w:rtl/>
        </w:rPr>
        <w:t xml:space="preserve"> (</w:t>
      </w:r>
      <w:r w:rsidR="00326D42">
        <w:rPr>
          <w:rFonts w:cs="Arial" w:hint="cs"/>
          <w:sz w:val="18"/>
          <w:szCs w:val="18"/>
          <w:rtl/>
        </w:rPr>
        <w:t>ד"ע ב</w:t>
      </w:r>
      <w:r w:rsidRPr="004C403E">
        <w:rPr>
          <w:rFonts w:cs="Arial"/>
          <w:sz w:val="18"/>
          <w:szCs w:val="18"/>
          <w:rtl/>
        </w:rPr>
        <w:t>רמב"ם</w:t>
      </w:r>
      <w:r w:rsidR="00326D42">
        <w:rPr>
          <w:rFonts w:cs="Arial" w:hint="cs"/>
          <w:sz w:val="18"/>
          <w:szCs w:val="18"/>
          <w:rtl/>
        </w:rPr>
        <w:t xml:space="preserve"> ו</w:t>
      </w:r>
      <w:r w:rsidR="00E47AF6">
        <w:rPr>
          <w:rFonts w:cs="Arial" w:hint="cs"/>
          <w:sz w:val="18"/>
          <w:szCs w:val="18"/>
          <w:rtl/>
        </w:rPr>
        <w:t>שלט"ג</w:t>
      </w:r>
      <w:r w:rsidRPr="004C403E">
        <w:rPr>
          <w:rFonts w:cs="Arial"/>
          <w:sz w:val="18"/>
          <w:szCs w:val="18"/>
          <w:rtl/>
        </w:rPr>
        <w:t>)</w:t>
      </w:r>
      <w:r w:rsidR="00F5024F">
        <w:rPr>
          <w:rFonts w:cs="Arial" w:hint="cs"/>
          <w:sz w:val="18"/>
          <w:szCs w:val="18"/>
          <w:rtl/>
        </w:rPr>
        <w:t>.</w:t>
      </w:r>
      <w:r w:rsidRPr="004C403E">
        <w:rPr>
          <w:rFonts w:cs="Arial"/>
          <w:sz w:val="18"/>
          <w:szCs w:val="18"/>
          <w:rtl/>
        </w:rPr>
        <w:t xml:space="preserve"> ונ"ל דאף בלאו דלא יגרע אינו עובר. </w:t>
      </w:r>
    </w:p>
    <w:p w14:paraId="3E8D4EF1" w14:textId="77777777" w:rsidR="004C33D1" w:rsidRDefault="004C33D1" w:rsidP="000D2069">
      <w:pPr>
        <w:rPr>
          <w:rtl/>
        </w:rPr>
      </w:pPr>
    </w:p>
    <w:p w14:paraId="4FBA57CA" w14:textId="3E51D0A6" w:rsidR="000D2069" w:rsidRDefault="000D2069" w:rsidP="000F64D0">
      <w:pPr>
        <w:pStyle w:val="2"/>
        <w:rPr>
          <w:rtl/>
        </w:rPr>
      </w:pPr>
      <w:r>
        <w:rPr>
          <w:rtl/>
        </w:rPr>
        <w:t>סעיף ב</w:t>
      </w:r>
      <w:r w:rsidR="004C403E">
        <w:rPr>
          <w:rFonts w:hint="cs"/>
          <w:rtl/>
        </w:rPr>
        <w:t xml:space="preserve">: מורדת </w:t>
      </w:r>
      <w:r w:rsidR="005A6BAC">
        <w:rPr>
          <w:rFonts w:hint="cs"/>
          <w:rtl/>
        </w:rPr>
        <w:t>על בעלה</w:t>
      </w:r>
      <w:r w:rsidR="004C403E">
        <w:rPr>
          <w:rFonts w:hint="cs"/>
          <w:rtl/>
        </w:rPr>
        <w:t>.</w:t>
      </w:r>
    </w:p>
    <w:p w14:paraId="63BE35C3" w14:textId="185F7A11" w:rsidR="005A6BAC" w:rsidRPr="00530F9D" w:rsidRDefault="00530F9D" w:rsidP="00187BBC">
      <w:pPr>
        <w:rPr>
          <w:rFonts w:cs="Arial"/>
          <w:rtl/>
        </w:rPr>
      </w:pPr>
      <w:r w:rsidRPr="005A6BAC">
        <w:rPr>
          <w:rFonts w:cs="Arial"/>
          <w:b/>
          <w:bCs/>
          <w:rtl/>
        </w:rPr>
        <w:t xml:space="preserve">כתובות </w:t>
      </w:r>
      <w:r w:rsidRPr="005A6BAC">
        <w:rPr>
          <w:rFonts w:cs="Arial" w:hint="cs"/>
          <w:b/>
          <w:bCs/>
          <w:sz w:val="16"/>
          <w:szCs w:val="16"/>
          <w:rtl/>
        </w:rPr>
        <w:t>(</w:t>
      </w:r>
      <w:r w:rsidRPr="005A6BAC">
        <w:rPr>
          <w:rFonts w:cs="Arial"/>
          <w:b/>
          <w:bCs/>
          <w:sz w:val="16"/>
          <w:szCs w:val="16"/>
          <w:rtl/>
        </w:rPr>
        <w:t xml:space="preserve">פ' </w:t>
      </w:r>
      <w:r w:rsidRPr="005A6BAC">
        <w:rPr>
          <w:rFonts w:cs="Arial" w:hint="cs"/>
          <w:b/>
          <w:bCs/>
          <w:sz w:val="16"/>
          <w:szCs w:val="16"/>
          <w:rtl/>
        </w:rPr>
        <w:t>אף על פי)</w:t>
      </w:r>
      <w:r w:rsidRPr="005A6BAC">
        <w:rPr>
          <w:rFonts w:cs="Arial"/>
          <w:b/>
          <w:bCs/>
          <w:rtl/>
        </w:rPr>
        <w:t xml:space="preserve"> </w:t>
      </w:r>
      <w:r w:rsidRPr="005A6BAC">
        <w:rPr>
          <w:rFonts w:cs="Arial" w:hint="cs"/>
          <w:b/>
          <w:bCs/>
          <w:rtl/>
        </w:rPr>
        <w:t>סג</w:t>
      </w:r>
      <w:r w:rsidR="001B39EB">
        <w:rPr>
          <w:rStyle w:val="a7"/>
          <w:rFonts w:cs="Arial"/>
          <w:b/>
          <w:bCs/>
          <w:rtl/>
        </w:rPr>
        <w:footnoteReference w:id="510"/>
      </w:r>
      <w:r w:rsidRPr="005A6BAC">
        <w:rPr>
          <w:rFonts w:cs="Arial" w:hint="cs"/>
          <w:b/>
          <w:bCs/>
          <w:rtl/>
        </w:rPr>
        <w:t xml:space="preserve"> ע"א</w:t>
      </w:r>
      <w:r w:rsidRPr="005A6BAC">
        <w:rPr>
          <w:rFonts w:cs="Arial"/>
          <w:b/>
          <w:bCs/>
          <w:rtl/>
        </w:rPr>
        <w:t>:</w:t>
      </w:r>
      <w:r w:rsidRPr="005A6BAC">
        <w:rPr>
          <w:rFonts w:cs="Arial" w:hint="cs"/>
          <w:rtl/>
        </w:rPr>
        <w:t xml:space="preserve"> </w:t>
      </w:r>
      <w:r w:rsidRPr="005A6BAC">
        <w:rPr>
          <w:rFonts w:cs="Arial"/>
          <w:u w:val="double"/>
          <w:rtl/>
        </w:rPr>
        <w:t>מתני'</w:t>
      </w:r>
      <w:r w:rsidRPr="005A6BAC">
        <w:rPr>
          <w:rFonts w:cs="Arial" w:hint="cs"/>
          <w:rtl/>
        </w:rPr>
        <w:t>:</w:t>
      </w:r>
      <w:r w:rsidRPr="005A6BAC">
        <w:rPr>
          <w:rtl/>
        </w:rPr>
        <w:t xml:space="preserve"> </w:t>
      </w:r>
      <w:r w:rsidRPr="005A6BAC">
        <w:rPr>
          <w:rFonts w:cs="Arial"/>
          <w:rtl/>
        </w:rPr>
        <w:t>המורדת על בעלה - פוחתין לה מכתובתה שבעה דינרין בשבת</w:t>
      </w:r>
      <w:r>
        <w:rPr>
          <w:rFonts w:cs="Arial" w:hint="cs"/>
          <w:rtl/>
        </w:rPr>
        <w:t>.</w:t>
      </w:r>
      <w:r w:rsidRPr="005A6BAC">
        <w:rPr>
          <w:rFonts w:cs="Arial"/>
          <w:rtl/>
        </w:rPr>
        <w:t xml:space="preserve"> </w:t>
      </w:r>
      <w:r w:rsidRPr="005A6BAC">
        <w:rPr>
          <w:rFonts w:cs="Arial"/>
          <w:u w:val="single"/>
          <w:rtl/>
        </w:rPr>
        <w:t>ר' יהודה אומר</w:t>
      </w:r>
      <w:r w:rsidRPr="005A6BAC">
        <w:rPr>
          <w:rFonts w:cs="Arial"/>
          <w:rtl/>
        </w:rPr>
        <w:t>: שבעה טרפעיקין. עד מתי הוא פוחת? עד כנגד כתובתה</w:t>
      </w:r>
      <w:r>
        <w:rPr>
          <w:rStyle w:val="a7"/>
          <w:rFonts w:cs="Arial"/>
          <w:rtl/>
        </w:rPr>
        <w:footnoteReference w:id="511"/>
      </w:r>
      <w:r>
        <w:rPr>
          <w:rFonts w:cs="Arial" w:hint="cs"/>
          <w:rtl/>
        </w:rPr>
        <w:t>.</w:t>
      </w:r>
      <w:r w:rsidRPr="005A6BAC">
        <w:rPr>
          <w:rFonts w:cs="Arial"/>
          <w:rtl/>
        </w:rPr>
        <w:t xml:space="preserve"> </w:t>
      </w:r>
      <w:r w:rsidRPr="005A6BAC">
        <w:rPr>
          <w:rFonts w:cs="Arial"/>
          <w:u w:val="single"/>
          <w:rtl/>
        </w:rPr>
        <w:t>ר' יוסי אומר</w:t>
      </w:r>
      <w:r w:rsidRPr="005A6BAC">
        <w:rPr>
          <w:rFonts w:cs="Arial"/>
          <w:rtl/>
        </w:rPr>
        <w:t>: לעולם הוא פוחת והולך, עד שאם תפול לה ירושה ממקום אחר גובה הימנה.</w:t>
      </w:r>
      <w:r>
        <w:rPr>
          <w:rFonts w:cs="Arial" w:hint="cs"/>
          <w:rtl/>
        </w:rPr>
        <w:t>.</w:t>
      </w:r>
      <w:r w:rsidRPr="005A6BAC">
        <w:rPr>
          <w:rFonts w:cs="Arial"/>
          <w:rtl/>
        </w:rPr>
        <w:t>.</w:t>
      </w:r>
      <w:r w:rsidRPr="005A6BAC">
        <w:rPr>
          <w:rFonts w:cs="Arial" w:hint="cs"/>
          <w:rtl/>
        </w:rPr>
        <w:t xml:space="preserve">        </w:t>
      </w:r>
      <w:r w:rsidRPr="005A6BAC">
        <w:rPr>
          <w:rFonts w:cs="Arial" w:hint="cs"/>
          <w:u w:val="double"/>
          <w:rtl/>
        </w:rPr>
        <w:t>גמ'</w:t>
      </w:r>
      <w:r w:rsidRPr="005A6BAC">
        <w:rPr>
          <w:rFonts w:cs="Arial" w:hint="cs"/>
          <w:rtl/>
        </w:rPr>
        <w:t>:</w:t>
      </w:r>
      <w:r w:rsidRPr="003D067B">
        <w:rPr>
          <w:rtl/>
        </w:rPr>
        <w:t xml:space="preserve"> </w:t>
      </w:r>
      <w:r w:rsidRPr="005A6BAC">
        <w:rPr>
          <w:rFonts w:cs="Arial"/>
          <w:rtl/>
        </w:rPr>
        <w:t xml:space="preserve">מורדת ממאי? </w:t>
      </w:r>
      <w:r w:rsidRPr="005A6BAC">
        <w:rPr>
          <w:rFonts w:cs="Arial"/>
          <w:u w:val="single"/>
          <w:rtl/>
        </w:rPr>
        <w:t>רב הונא אמר</w:t>
      </w:r>
      <w:r w:rsidRPr="005A6BAC">
        <w:rPr>
          <w:rFonts w:cs="Arial"/>
          <w:rtl/>
        </w:rPr>
        <w:t>: מתשמיש המטה</w:t>
      </w:r>
      <w:r w:rsidRPr="005A6BAC">
        <w:rPr>
          <w:rFonts w:cs="Arial" w:hint="cs"/>
          <w:rtl/>
        </w:rPr>
        <w:t>.</w:t>
      </w:r>
      <w:r w:rsidRPr="005A6BAC">
        <w:rPr>
          <w:rFonts w:cs="Arial"/>
          <w:rtl/>
        </w:rPr>
        <w:t xml:space="preserve"> </w:t>
      </w:r>
      <w:r w:rsidRPr="005A6BAC">
        <w:rPr>
          <w:rFonts w:cs="Arial"/>
          <w:u w:val="single"/>
          <w:rtl/>
        </w:rPr>
        <w:t>ר' יוסי ברבי חנינא אמר</w:t>
      </w:r>
      <w:r w:rsidRPr="005A6BAC">
        <w:rPr>
          <w:rFonts w:cs="Arial"/>
          <w:rtl/>
        </w:rPr>
        <w:t>: ממלאכה.</w:t>
      </w:r>
      <w:r>
        <w:rPr>
          <w:rFonts w:cs="Arial" w:hint="cs"/>
          <w:rtl/>
        </w:rPr>
        <w:t>..</w:t>
      </w:r>
      <w:r w:rsidRPr="005A6BAC">
        <w:rPr>
          <w:rFonts w:cs="Arial"/>
          <w:rtl/>
        </w:rPr>
        <w:t xml:space="preserve"> </w:t>
      </w:r>
      <w:r>
        <w:rPr>
          <w:rFonts w:cs="Arial" w:hint="cs"/>
          <w:sz w:val="14"/>
          <w:szCs w:val="14"/>
          <w:rtl/>
        </w:rPr>
        <w:t xml:space="preserve">(סג:) </w:t>
      </w:r>
      <w:r w:rsidRPr="002C438C">
        <w:rPr>
          <w:rFonts w:cs="Arial"/>
          <w:rtl/>
        </w:rPr>
        <w:t>מתשמיש - כולי עלמא לא פליגי דהויא מורדת</w:t>
      </w:r>
      <w:r>
        <w:rPr>
          <w:rStyle w:val="a7"/>
          <w:rFonts w:cs="Arial"/>
          <w:rtl/>
        </w:rPr>
        <w:footnoteReference w:id="512"/>
      </w:r>
      <w:r w:rsidRPr="002C438C">
        <w:rPr>
          <w:rFonts w:cs="Arial"/>
          <w:rtl/>
        </w:rPr>
        <w:t>, כי פליגי - ממלאכה, מר סבר: ממלאכה לא הויא מורדת, ומר סבר: ממלאכה נמי הויא מורדת. גופא: המורדת על בעלה - פוחתין לה מכתובתה שבעה דינרים בשבת, רבי יהודה אומר: שבעה טרפעיקין. רבותינו חזרו ונמנו</w:t>
      </w:r>
      <w:r>
        <w:rPr>
          <w:rStyle w:val="a7"/>
          <w:rFonts w:cs="Arial"/>
          <w:rtl/>
        </w:rPr>
        <w:footnoteReference w:id="513"/>
      </w:r>
      <w:r w:rsidRPr="002C438C">
        <w:rPr>
          <w:rFonts w:cs="Arial"/>
          <w:rtl/>
        </w:rPr>
        <w:t xml:space="preserve">, שיהו מכריזין עליה ארבע שבתות זו אחר זו, ושולחין לה ב"ד: הוי יודעת, שאפי' כתובתיך מאה מנה הפסדת. אחת לי ארוסה ונשואה, אפילו נדה, אפי' חולה, ואפי' שומרת יבם. </w:t>
      </w:r>
      <w:r w:rsidRPr="00A276E7">
        <w:rPr>
          <w:rFonts w:cs="Arial"/>
          <w:u w:val="single"/>
          <w:rtl/>
        </w:rPr>
        <w:t>אמר ליה ר' חייא בר יוסף לשמואל</w:t>
      </w:r>
      <w:r w:rsidRPr="002C438C">
        <w:rPr>
          <w:rFonts w:cs="Arial"/>
          <w:rtl/>
        </w:rPr>
        <w:t xml:space="preserve">: נדה בת תשמיש היא? </w:t>
      </w:r>
      <w:r w:rsidRPr="00A276E7">
        <w:rPr>
          <w:rFonts w:cs="Arial"/>
          <w:u w:val="single"/>
          <w:rtl/>
        </w:rPr>
        <w:t>אמר ליה</w:t>
      </w:r>
      <w:r w:rsidRPr="002C438C">
        <w:rPr>
          <w:rFonts w:cs="Arial"/>
          <w:rtl/>
        </w:rPr>
        <w:t xml:space="preserve">: אינו דומה מי שיש לו פת בסלו למי שאין לו פת בסלו. </w:t>
      </w:r>
      <w:r w:rsidRPr="00A276E7">
        <w:rPr>
          <w:rFonts w:cs="Arial"/>
          <w:u w:val="single"/>
          <w:rtl/>
        </w:rPr>
        <w:t>אמר רמי בר חמא</w:t>
      </w:r>
      <w:r w:rsidRPr="002C438C">
        <w:rPr>
          <w:rFonts w:cs="Arial"/>
          <w:rtl/>
        </w:rPr>
        <w:t xml:space="preserve">: אין מכריזין עליה אלא בבתי כנסיות ובבתי מדרשות. </w:t>
      </w:r>
      <w:r w:rsidRPr="00A276E7">
        <w:rPr>
          <w:rFonts w:cs="Arial"/>
          <w:u w:val="single"/>
          <w:rtl/>
        </w:rPr>
        <w:t>אמר רבא</w:t>
      </w:r>
      <w:r w:rsidRPr="002C438C">
        <w:rPr>
          <w:rFonts w:cs="Arial"/>
          <w:rtl/>
        </w:rPr>
        <w:t>: דיקא נמי, דקתני: ארבע שבתות</w:t>
      </w:r>
      <w:r>
        <w:rPr>
          <w:rStyle w:val="a7"/>
          <w:rFonts w:cs="Arial"/>
          <w:rtl/>
        </w:rPr>
        <w:footnoteReference w:id="514"/>
      </w:r>
      <w:r w:rsidRPr="002C438C">
        <w:rPr>
          <w:rFonts w:cs="Arial"/>
          <w:rtl/>
        </w:rPr>
        <w:t xml:space="preserve"> זו אחר זו, ש"מ. </w:t>
      </w:r>
      <w:r w:rsidRPr="00A276E7">
        <w:rPr>
          <w:rFonts w:cs="Arial"/>
          <w:u w:val="single"/>
          <w:rtl/>
        </w:rPr>
        <w:t>אמר רמי בר חמא</w:t>
      </w:r>
      <w:r w:rsidRPr="002C438C">
        <w:rPr>
          <w:rFonts w:cs="Arial"/>
          <w:rtl/>
        </w:rPr>
        <w:t xml:space="preserve">: פעמים שולחין לה מבית דין, אחת קודם הכרזה ואחת לאחר הכרזה. </w:t>
      </w:r>
      <w:r w:rsidRPr="00A276E7">
        <w:rPr>
          <w:rFonts w:cs="Arial"/>
          <w:u w:val="single"/>
          <w:rtl/>
        </w:rPr>
        <w:t>דרש רב נחמן בר רב חסדא</w:t>
      </w:r>
      <w:r w:rsidRPr="002C438C">
        <w:rPr>
          <w:rFonts w:cs="Arial"/>
          <w:rtl/>
        </w:rPr>
        <w:t>: הלכה כרבותינו.</w:t>
      </w:r>
      <w:r w:rsidRPr="00A276E7">
        <w:rPr>
          <w:rtl/>
        </w:rPr>
        <w:t xml:space="preserve"> </w:t>
      </w:r>
      <w:r w:rsidRPr="00A276E7">
        <w:rPr>
          <w:rFonts w:cs="Arial"/>
          <w:u w:val="single"/>
          <w:rtl/>
        </w:rPr>
        <w:t>אמר רבא</w:t>
      </w:r>
      <w:r w:rsidRPr="00A276E7">
        <w:rPr>
          <w:rFonts w:cs="Arial"/>
          <w:rtl/>
        </w:rPr>
        <w:t>: האי בורכא</w:t>
      </w:r>
      <w:r>
        <w:rPr>
          <w:rStyle w:val="a7"/>
          <w:rFonts w:cs="Arial"/>
          <w:rtl/>
        </w:rPr>
        <w:footnoteReference w:id="515"/>
      </w:r>
      <w:r w:rsidRPr="00A276E7">
        <w:rPr>
          <w:rFonts w:cs="Arial"/>
          <w:rtl/>
        </w:rPr>
        <w:t xml:space="preserve">! </w:t>
      </w:r>
      <w:r w:rsidRPr="00A276E7">
        <w:rPr>
          <w:rFonts w:cs="Arial"/>
          <w:u w:val="single"/>
          <w:rtl/>
        </w:rPr>
        <w:t>אמר ליה רב נחמן בר יצחק</w:t>
      </w:r>
      <w:r w:rsidRPr="00A276E7">
        <w:rPr>
          <w:rFonts w:cs="Arial"/>
          <w:rtl/>
        </w:rPr>
        <w:t>: מאי בורכתיה? אנא אמריתה ניהליה, ומשמיה דגברא רבה אמריתה ניהליה, ומנו? רבי יוסי בר' חנינא</w:t>
      </w:r>
      <w:r>
        <w:rPr>
          <w:rFonts w:cs="Arial" w:hint="cs"/>
          <w:rtl/>
        </w:rPr>
        <w:t>.</w:t>
      </w:r>
      <w:r w:rsidRPr="00A276E7">
        <w:rPr>
          <w:rFonts w:cs="Arial"/>
          <w:rtl/>
        </w:rPr>
        <w:t xml:space="preserve"> ואיהו כמאן סבר</w:t>
      </w:r>
      <w:r>
        <w:rPr>
          <w:rStyle w:val="a7"/>
          <w:rFonts w:cs="Arial"/>
          <w:rtl/>
        </w:rPr>
        <w:footnoteReference w:id="516"/>
      </w:r>
      <w:r w:rsidRPr="00A276E7">
        <w:rPr>
          <w:rFonts w:cs="Arial"/>
          <w:rtl/>
        </w:rPr>
        <w:t>? כי הא דאתמר רבא אמר רב ששת</w:t>
      </w:r>
      <w:r>
        <w:rPr>
          <w:rFonts w:cs="Arial" w:hint="cs"/>
          <w:rtl/>
        </w:rPr>
        <w:t>:</w:t>
      </w:r>
      <w:r w:rsidRPr="00A276E7">
        <w:rPr>
          <w:rFonts w:cs="Arial"/>
          <w:rtl/>
        </w:rPr>
        <w:t xml:space="preserve"> הלכה</w:t>
      </w:r>
      <w:r>
        <w:rPr>
          <w:rFonts w:cs="Arial" w:hint="cs"/>
          <w:rtl/>
        </w:rPr>
        <w:t>,</w:t>
      </w:r>
      <w:r w:rsidRPr="00A276E7">
        <w:rPr>
          <w:rFonts w:cs="Arial"/>
          <w:rtl/>
        </w:rPr>
        <w:t xml:space="preserve"> נמלכין בה</w:t>
      </w:r>
      <w:r>
        <w:rPr>
          <w:rStyle w:val="a7"/>
          <w:rFonts w:cs="Arial"/>
          <w:rtl/>
        </w:rPr>
        <w:footnoteReference w:id="517"/>
      </w:r>
      <w:r>
        <w:rPr>
          <w:rFonts w:cs="Arial" w:hint="cs"/>
          <w:rtl/>
        </w:rPr>
        <w:t>.</w:t>
      </w:r>
      <w:r w:rsidRPr="00A276E7">
        <w:rPr>
          <w:rFonts w:cs="Arial"/>
          <w:rtl/>
        </w:rPr>
        <w:t xml:space="preserve"> רב הונא בר יהודה אמר רב ששת</w:t>
      </w:r>
      <w:r>
        <w:rPr>
          <w:rFonts w:cs="Arial" w:hint="cs"/>
          <w:rtl/>
        </w:rPr>
        <w:t>:</w:t>
      </w:r>
      <w:r w:rsidRPr="00A276E7">
        <w:rPr>
          <w:rFonts w:cs="Arial"/>
          <w:rtl/>
        </w:rPr>
        <w:t xml:space="preserve"> הלכה</w:t>
      </w:r>
      <w:r>
        <w:rPr>
          <w:rFonts w:cs="Arial" w:hint="cs"/>
          <w:rtl/>
        </w:rPr>
        <w:t>,</w:t>
      </w:r>
      <w:r w:rsidRPr="00A276E7">
        <w:rPr>
          <w:rFonts w:cs="Arial"/>
          <w:rtl/>
        </w:rPr>
        <w:t xml:space="preserve"> אין נמלכין בה.</w:t>
      </w:r>
      <w:r>
        <w:rPr>
          <w:rFonts w:cs="Arial" w:hint="cs"/>
          <w:rtl/>
        </w:rPr>
        <w:t xml:space="preserve"> </w:t>
      </w:r>
      <w:r w:rsidRPr="00530F9D">
        <w:rPr>
          <w:rFonts w:cs="Arial" w:hint="cs"/>
          <w:sz w:val="16"/>
          <w:szCs w:val="16"/>
          <w:rtl/>
        </w:rPr>
        <w:t>(</w:t>
      </w:r>
      <w:r w:rsidR="00187BBC">
        <w:rPr>
          <w:rFonts w:cs="Arial" w:hint="cs"/>
          <w:sz w:val="16"/>
          <w:szCs w:val="16"/>
          <w:rtl/>
        </w:rPr>
        <w:t>ובפיר</w:t>
      </w:r>
      <w:r w:rsidR="00A2162F">
        <w:rPr>
          <w:rFonts w:cs="Arial" w:hint="cs"/>
          <w:sz w:val="16"/>
          <w:szCs w:val="16"/>
          <w:rtl/>
        </w:rPr>
        <w:t>ו</w:t>
      </w:r>
      <w:r w:rsidR="00187BBC">
        <w:rPr>
          <w:rFonts w:cs="Arial" w:hint="cs"/>
          <w:sz w:val="16"/>
          <w:szCs w:val="16"/>
          <w:rtl/>
        </w:rPr>
        <w:t>ש דברי סוף הגמ'</w:t>
      </w:r>
      <w:r w:rsidR="00A2162F">
        <w:rPr>
          <w:rFonts w:cs="Arial" w:hint="cs"/>
          <w:sz w:val="16"/>
          <w:szCs w:val="16"/>
          <w:rtl/>
        </w:rPr>
        <w:t xml:space="preserve"> גבי לשלוח לה ולימלך בה נחלקו הראשונים</w:t>
      </w:r>
      <w:r w:rsidR="008260F7">
        <w:rPr>
          <w:rFonts w:cs="Arial" w:hint="cs"/>
          <w:sz w:val="16"/>
          <w:szCs w:val="16"/>
          <w:rtl/>
        </w:rPr>
        <w:t>,</w:t>
      </w:r>
      <w:r w:rsidR="00A2162F">
        <w:rPr>
          <w:rFonts w:cs="Arial" w:hint="cs"/>
          <w:sz w:val="16"/>
          <w:szCs w:val="16"/>
          <w:rtl/>
        </w:rPr>
        <w:t xml:space="preserve"> </w:t>
      </w:r>
      <w:r w:rsidR="008260F7">
        <w:rPr>
          <w:rFonts w:cs="Arial" w:hint="cs"/>
          <w:sz w:val="16"/>
          <w:szCs w:val="16"/>
          <w:rtl/>
        </w:rPr>
        <w:t>ו</w:t>
      </w:r>
      <w:r w:rsidR="00A2162F">
        <w:rPr>
          <w:rFonts w:cs="Arial" w:hint="cs"/>
          <w:sz w:val="16"/>
          <w:szCs w:val="16"/>
          <w:rtl/>
        </w:rPr>
        <w:t>כתב הב"י וז"ל</w:t>
      </w:r>
      <w:r w:rsidR="008260F7">
        <w:rPr>
          <w:rFonts w:cs="Arial" w:hint="cs"/>
          <w:sz w:val="16"/>
          <w:szCs w:val="16"/>
          <w:rtl/>
        </w:rPr>
        <w:t>:</w:t>
      </w:r>
      <w:r w:rsidR="00A2162F">
        <w:rPr>
          <w:rFonts w:cs="Arial" w:hint="cs"/>
          <w:sz w:val="16"/>
          <w:szCs w:val="16"/>
          <w:rtl/>
        </w:rPr>
        <w:t xml:space="preserve"> </w:t>
      </w:r>
      <w:r w:rsidRPr="00530F9D">
        <w:rPr>
          <w:rFonts w:cs="Arial"/>
          <w:sz w:val="16"/>
          <w:szCs w:val="16"/>
          <w:rtl/>
        </w:rPr>
        <w:t xml:space="preserve">התוספות (שם ד"ה ואינהו) כתבו </w:t>
      </w:r>
      <w:r w:rsidRPr="00530F9D">
        <w:rPr>
          <w:rFonts w:cs="Arial" w:hint="cs"/>
          <w:sz w:val="16"/>
          <w:szCs w:val="16"/>
          <w:rtl/>
        </w:rPr>
        <w:t>'</w:t>
      </w:r>
      <w:r w:rsidRPr="00530F9D">
        <w:rPr>
          <w:rFonts w:cs="Arial"/>
          <w:sz w:val="16"/>
          <w:szCs w:val="16"/>
          <w:rtl/>
        </w:rPr>
        <w:t>ואינהו כמאן סברוה</w:t>
      </w:r>
      <w:r w:rsidRPr="00530F9D">
        <w:rPr>
          <w:rFonts w:cs="Arial" w:hint="cs"/>
          <w:sz w:val="16"/>
          <w:szCs w:val="16"/>
          <w:rtl/>
        </w:rPr>
        <w:t>'-</w:t>
      </w:r>
      <w:r w:rsidRPr="00530F9D">
        <w:rPr>
          <w:rFonts w:cs="Arial"/>
          <w:sz w:val="16"/>
          <w:szCs w:val="16"/>
          <w:rtl/>
        </w:rPr>
        <w:t xml:space="preserve"> רש"י גריס </w:t>
      </w:r>
      <w:r w:rsidRPr="00530F9D">
        <w:rPr>
          <w:rFonts w:cs="Arial" w:hint="cs"/>
          <w:sz w:val="16"/>
          <w:szCs w:val="16"/>
          <w:rtl/>
        </w:rPr>
        <w:t>'</w:t>
      </w:r>
      <w:r w:rsidRPr="00530F9D">
        <w:rPr>
          <w:rFonts w:cs="Arial"/>
          <w:sz w:val="16"/>
          <w:szCs w:val="16"/>
          <w:rtl/>
        </w:rPr>
        <w:t>ואיהו כמאן סבר</w:t>
      </w:r>
      <w:r w:rsidRPr="00530F9D">
        <w:rPr>
          <w:rFonts w:cs="Arial" w:hint="cs"/>
          <w:sz w:val="16"/>
          <w:szCs w:val="16"/>
          <w:rtl/>
        </w:rPr>
        <w:t>',</w:t>
      </w:r>
      <w:r w:rsidRPr="00530F9D">
        <w:rPr>
          <w:rFonts w:cs="Arial"/>
          <w:sz w:val="16"/>
          <w:szCs w:val="16"/>
          <w:rtl/>
        </w:rPr>
        <w:t xml:space="preserve"> פירוש</w:t>
      </w:r>
      <w:r w:rsidRPr="00530F9D">
        <w:rPr>
          <w:rFonts w:cs="Arial" w:hint="cs"/>
          <w:sz w:val="16"/>
          <w:szCs w:val="16"/>
          <w:rtl/>
        </w:rPr>
        <w:t>,</w:t>
      </w:r>
      <w:r w:rsidRPr="00530F9D">
        <w:rPr>
          <w:rFonts w:cs="Arial"/>
          <w:sz w:val="16"/>
          <w:szCs w:val="16"/>
          <w:rtl/>
        </w:rPr>
        <w:t xml:space="preserve"> רבא דאמר בורכא</w:t>
      </w:r>
      <w:r w:rsidRPr="00530F9D">
        <w:rPr>
          <w:rFonts w:cs="Arial" w:hint="cs"/>
          <w:sz w:val="16"/>
          <w:szCs w:val="16"/>
          <w:rtl/>
        </w:rPr>
        <w:t>,</w:t>
      </w:r>
      <w:r w:rsidRPr="00530F9D">
        <w:rPr>
          <w:rFonts w:cs="Arial"/>
          <w:sz w:val="16"/>
          <w:szCs w:val="16"/>
          <w:rtl/>
        </w:rPr>
        <w:t xml:space="preserve"> ור</w:t>
      </w:r>
      <w:r w:rsidR="001E7485">
        <w:rPr>
          <w:rFonts w:cs="Arial" w:hint="cs"/>
          <w:sz w:val="16"/>
          <w:szCs w:val="16"/>
          <w:rtl/>
        </w:rPr>
        <w:t>צונו לומר</w:t>
      </w:r>
      <w:r w:rsidRPr="00530F9D">
        <w:rPr>
          <w:rFonts w:cs="Arial"/>
          <w:sz w:val="16"/>
          <w:szCs w:val="16"/>
          <w:rtl/>
        </w:rPr>
        <w:t xml:space="preserve"> דלרבא אין הלכה כרבותינו אלא כמתניתין דפוחתין לה עד כדי כתובתה</w:t>
      </w:r>
      <w:r w:rsidRPr="00530F9D">
        <w:rPr>
          <w:rFonts w:cs="Arial" w:hint="cs"/>
          <w:sz w:val="16"/>
          <w:szCs w:val="16"/>
          <w:rtl/>
        </w:rPr>
        <w:t>,</w:t>
      </w:r>
      <w:r w:rsidRPr="00530F9D">
        <w:rPr>
          <w:rFonts w:cs="Arial"/>
          <w:sz w:val="16"/>
          <w:szCs w:val="16"/>
          <w:rtl/>
        </w:rPr>
        <w:t xml:space="preserve"> ו</w:t>
      </w:r>
      <w:r w:rsidRPr="00530F9D">
        <w:rPr>
          <w:rFonts w:cs="Arial" w:hint="cs"/>
          <w:sz w:val="16"/>
          <w:szCs w:val="16"/>
          <w:rtl/>
        </w:rPr>
        <w:t>-'</w:t>
      </w:r>
      <w:r w:rsidRPr="00530F9D">
        <w:rPr>
          <w:rFonts w:cs="Arial"/>
          <w:sz w:val="16"/>
          <w:szCs w:val="16"/>
          <w:rtl/>
        </w:rPr>
        <w:t>נמלכין בה</w:t>
      </w:r>
      <w:r w:rsidRPr="00530F9D">
        <w:rPr>
          <w:rFonts w:cs="Arial" w:hint="cs"/>
          <w:sz w:val="16"/>
          <w:szCs w:val="16"/>
          <w:rtl/>
        </w:rPr>
        <w:t>'</w:t>
      </w:r>
      <w:r w:rsidRPr="00530F9D">
        <w:rPr>
          <w:rFonts w:cs="Arial"/>
          <w:sz w:val="16"/>
          <w:szCs w:val="16"/>
          <w:rtl/>
        </w:rPr>
        <w:t xml:space="preserve"> היינו נמי דפוחתין ולא תפסיד מיד אחר ארבע שבתות</w:t>
      </w:r>
      <w:r w:rsidRPr="00530F9D">
        <w:rPr>
          <w:rFonts w:cs="Arial" w:hint="cs"/>
          <w:sz w:val="16"/>
          <w:szCs w:val="16"/>
          <w:rtl/>
        </w:rPr>
        <w:t>.</w:t>
      </w:r>
      <w:r w:rsidRPr="00530F9D">
        <w:rPr>
          <w:rFonts w:cs="Arial"/>
          <w:sz w:val="16"/>
          <w:szCs w:val="16"/>
          <w:rtl/>
        </w:rPr>
        <w:t xml:space="preserve"> ור"ת מפרש דרמי בר חמא בא להוסיף על דברי רבותינו</w:t>
      </w:r>
      <w:r w:rsidRPr="00530F9D">
        <w:rPr>
          <w:rFonts w:cs="Arial" w:hint="cs"/>
          <w:sz w:val="16"/>
          <w:szCs w:val="16"/>
          <w:rtl/>
        </w:rPr>
        <w:t>,</w:t>
      </w:r>
      <w:r w:rsidRPr="00530F9D">
        <w:rPr>
          <w:rFonts w:cs="Arial"/>
          <w:sz w:val="16"/>
          <w:szCs w:val="16"/>
          <w:rtl/>
        </w:rPr>
        <w:t xml:space="preserve"> אע</w:t>
      </w:r>
      <w:r w:rsidRPr="00530F9D">
        <w:rPr>
          <w:rFonts w:cs="Arial" w:hint="cs"/>
          <w:sz w:val="16"/>
          <w:szCs w:val="16"/>
          <w:rtl/>
        </w:rPr>
        <w:t>"</w:t>
      </w:r>
      <w:r w:rsidRPr="00530F9D">
        <w:rPr>
          <w:rFonts w:cs="Arial"/>
          <w:sz w:val="16"/>
          <w:szCs w:val="16"/>
          <w:rtl/>
        </w:rPr>
        <w:t>ג דלא קתני דשולחין לה אלא אחר הכרזה</w:t>
      </w:r>
      <w:r w:rsidRPr="00530F9D">
        <w:rPr>
          <w:rFonts w:cs="Arial" w:hint="cs"/>
          <w:sz w:val="16"/>
          <w:szCs w:val="16"/>
          <w:rtl/>
        </w:rPr>
        <w:t>,</w:t>
      </w:r>
      <w:r w:rsidRPr="00530F9D">
        <w:rPr>
          <w:rFonts w:cs="Arial"/>
          <w:sz w:val="16"/>
          <w:szCs w:val="16"/>
          <w:rtl/>
        </w:rPr>
        <w:t xml:space="preserve"> קאמר רמי בר חמא דה"נ היו אומרים דשולחין לה קודם הכרזה</w:t>
      </w:r>
      <w:r w:rsidRPr="00530F9D">
        <w:rPr>
          <w:rFonts w:cs="Arial" w:hint="cs"/>
          <w:sz w:val="16"/>
          <w:szCs w:val="16"/>
          <w:rtl/>
        </w:rPr>
        <w:t>.</w:t>
      </w:r>
      <w:r w:rsidRPr="00530F9D">
        <w:rPr>
          <w:rFonts w:cs="Arial"/>
          <w:sz w:val="16"/>
          <w:szCs w:val="16"/>
          <w:rtl/>
        </w:rPr>
        <w:t xml:space="preserve"> </w:t>
      </w:r>
      <w:r w:rsidRPr="00530F9D">
        <w:rPr>
          <w:rFonts w:cs="Arial" w:hint="cs"/>
          <w:sz w:val="16"/>
          <w:szCs w:val="16"/>
          <w:rtl/>
        </w:rPr>
        <w:t>'</w:t>
      </w:r>
      <w:r w:rsidRPr="00530F9D">
        <w:rPr>
          <w:rFonts w:cs="Arial"/>
          <w:sz w:val="16"/>
          <w:szCs w:val="16"/>
          <w:rtl/>
        </w:rPr>
        <w:t>דרש רב נחמן בר רב חסדא הלכה כרבותינו</w:t>
      </w:r>
      <w:r w:rsidRPr="00530F9D">
        <w:rPr>
          <w:rFonts w:cs="Arial" w:hint="cs"/>
          <w:sz w:val="16"/>
          <w:szCs w:val="16"/>
          <w:rtl/>
        </w:rPr>
        <w:t>'</w:t>
      </w:r>
      <w:r w:rsidRPr="00530F9D">
        <w:rPr>
          <w:rFonts w:cs="Arial"/>
          <w:sz w:val="16"/>
          <w:szCs w:val="16"/>
          <w:rtl/>
        </w:rPr>
        <w:t xml:space="preserve"> כלומר ממש כרבותינו דלא קתני שליחות של קודם הכרזה</w:t>
      </w:r>
      <w:r w:rsidRPr="00530F9D">
        <w:rPr>
          <w:rFonts w:cs="Arial" w:hint="cs"/>
          <w:sz w:val="16"/>
          <w:szCs w:val="16"/>
          <w:rtl/>
        </w:rPr>
        <w:t>,</w:t>
      </w:r>
      <w:r w:rsidRPr="00530F9D">
        <w:rPr>
          <w:rFonts w:cs="Arial"/>
          <w:sz w:val="16"/>
          <w:szCs w:val="16"/>
          <w:rtl/>
        </w:rPr>
        <w:t xml:space="preserve"> ופליגא דרמי בר חמא</w:t>
      </w:r>
      <w:r w:rsidRPr="00530F9D">
        <w:rPr>
          <w:rFonts w:cs="Arial" w:hint="cs"/>
          <w:sz w:val="16"/>
          <w:szCs w:val="16"/>
          <w:rtl/>
        </w:rPr>
        <w:t>.</w:t>
      </w:r>
      <w:r w:rsidRPr="00530F9D">
        <w:rPr>
          <w:rFonts w:cs="Arial"/>
          <w:sz w:val="16"/>
          <w:szCs w:val="16"/>
          <w:rtl/>
        </w:rPr>
        <w:t xml:space="preserve"> </w:t>
      </w:r>
      <w:r w:rsidRPr="00530F9D">
        <w:rPr>
          <w:rFonts w:cs="Arial" w:hint="cs"/>
          <w:sz w:val="16"/>
          <w:szCs w:val="16"/>
          <w:rtl/>
        </w:rPr>
        <w:t>'</w:t>
      </w:r>
      <w:r w:rsidRPr="00530F9D">
        <w:rPr>
          <w:rFonts w:cs="Arial"/>
          <w:sz w:val="16"/>
          <w:szCs w:val="16"/>
          <w:rtl/>
        </w:rPr>
        <w:t>אמר רבא האי בורכא</w:t>
      </w:r>
      <w:r w:rsidRPr="00530F9D">
        <w:rPr>
          <w:rFonts w:cs="Arial" w:hint="cs"/>
          <w:sz w:val="16"/>
          <w:szCs w:val="16"/>
          <w:rtl/>
        </w:rPr>
        <w:t>'</w:t>
      </w:r>
      <w:r w:rsidRPr="00530F9D">
        <w:rPr>
          <w:rFonts w:cs="Arial"/>
          <w:sz w:val="16"/>
          <w:szCs w:val="16"/>
          <w:rtl/>
        </w:rPr>
        <w:t xml:space="preserve"> אלא הלכה כרמי בר חמא דפעמי</w:t>
      </w:r>
      <w:r w:rsidR="00C86F50">
        <w:rPr>
          <w:rFonts w:cs="Arial" w:hint="cs"/>
          <w:sz w:val="16"/>
          <w:szCs w:val="16"/>
          <w:rtl/>
        </w:rPr>
        <w:t>י</w:t>
      </w:r>
      <w:r w:rsidRPr="00530F9D">
        <w:rPr>
          <w:rFonts w:cs="Arial"/>
          <w:sz w:val="16"/>
          <w:szCs w:val="16"/>
          <w:rtl/>
        </w:rPr>
        <w:t>ם שולחין לה</w:t>
      </w:r>
      <w:r w:rsidRPr="00530F9D">
        <w:rPr>
          <w:rFonts w:cs="Arial" w:hint="cs"/>
          <w:sz w:val="16"/>
          <w:szCs w:val="16"/>
          <w:rtl/>
        </w:rPr>
        <w:t>.</w:t>
      </w:r>
      <w:r w:rsidRPr="00530F9D">
        <w:rPr>
          <w:rFonts w:cs="Arial"/>
          <w:sz w:val="16"/>
          <w:szCs w:val="16"/>
          <w:rtl/>
        </w:rPr>
        <w:t xml:space="preserve"> וגרסינן </w:t>
      </w:r>
      <w:r w:rsidRPr="00530F9D">
        <w:rPr>
          <w:rFonts w:cs="Arial" w:hint="cs"/>
          <w:sz w:val="16"/>
          <w:szCs w:val="16"/>
          <w:rtl/>
        </w:rPr>
        <w:t>'</w:t>
      </w:r>
      <w:r w:rsidRPr="00530F9D">
        <w:rPr>
          <w:rFonts w:cs="Arial"/>
          <w:sz w:val="16"/>
          <w:szCs w:val="16"/>
          <w:rtl/>
        </w:rPr>
        <w:t>אינהו כמאן סברוה</w:t>
      </w:r>
      <w:r w:rsidRPr="00530F9D">
        <w:rPr>
          <w:rFonts w:cs="Arial" w:hint="cs"/>
          <w:sz w:val="16"/>
          <w:szCs w:val="16"/>
          <w:rtl/>
        </w:rPr>
        <w:t>',</w:t>
      </w:r>
      <w:r w:rsidRPr="00530F9D">
        <w:rPr>
          <w:rFonts w:cs="Arial"/>
          <w:sz w:val="16"/>
          <w:szCs w:val="16"/>
          <w:rtl/>
        </w:rPr>
        <w:t xml:space="preserve"> וכ"כ בספרים ישנים ובה</w:t>
      </w:r>
      <w:r w:rsidR="001E7485">
        <w:rPr>
          <w:rFonts w:cs="Arial" w:hint="cs"/>
          <w:sz w:val="16"/>
          <w:szCs w:val="16"/>
          <w:rtl/>
        </w:rPr>
        <w:t>לכות גדולות</w:t>
      </w:r>
      <w:r w:rsidRPr="00530F9D">
        <w:rPr>
          <w:rFonts w:cs="Arial"/>
          <w:sz w:val="16"/>
          <w:szCs w:val="16"/>
          <w:rtl/>
        </w:rPr>
        <w:t xml:space="preserve"> (הל' כתובות עא ע"ב)</w:t>
      </w:r>
      <w:r w:rsidRPr="00530F9D">
        <w:rPr>
          <w:rFonts w:cs="Arial" w:hint="cs"/>
          <w:sz w:val="16"/>
          <w:szCs w:val="16"/>
          <w:rtl/>
        </w:rPr>
        <w:t>,</w:t>
      </w:r>
      <w:r w:rsidRPr="00530F9D">
        <w:rPr>
          <w:rFonts w:cs="Arial"/>
          <w:sz w:val="16"/>
          <w:szCs w:val="16"/>
          <w:rtl/>
        </w:rPr>
        <w:t xml:space="preserve"> ולא קאי ארב נחמן בר יצחק ורב נחמן בר רב חסדא</w:t>
      </w:r>
      <w:r w:rsidRPr="00530F9D">
        <w:rPr>
          <w:rFonts w:cs="Arial" w:hint="cs"/>
          <w:sz w:val="16"/>
          <w:szCs w:val="16"/>
          <w:rtl/>
        </w:rPr>
        <w:t>,</w:t>
      </w:r>
      <w:r w:rsidRPr="00530F9D">
        <w:rPr>
          <w:rFonts w:cs="Arial"/>
          <w:sz w:val="16"/>
          <w:szCs w:val="16"/>
          <w:rtl/>
        </w:rPr>
        <w:t xml:space="preserve"> דאינהו סברי כרבי חנינא שהיה גדול הרבה מרב ששת</w:t>
      </w:r>
      <w:r w:rsidRPr="00530F9D">
        <w:rPr>
          <w:rFonts w:cs="Arial" w:hint="cs"/>
          <w:sz w:val="16"/>
          <w:szCs w:val="16"/>
          <w:rtl/>
        </w:rPr>
        <w:t>,</w:t>
      </w:r>
      <w:r w:rsidRPr="00530F9D">
        <w:rPr>
          <w:rFonts w:cs="Arial"/>
          <w:sz w:val="16"/>
          <w:szCs w:val="16"/>
          <w:rtl/>
        </w:rPr>
        <w:t xml:space="preserve"> אלא ארמי בר חמא ורבא קאי</w:t>
      </w:r>
      <w:r w:rsidRPr="00530F9D">
        <w:rPr>
          <w:rFonts w:cs="Arial" w:hint="cs"/>
          <w:sz w:val="16"/>
          <w:szCs w:val="16"/>
          <w:rtl/>
        </w:rPr>
        <w:t>.</w:t>
      </w:r>
      <w:r w:rsidRPr="00530F9D">
        <w:rPr>
          <w:rFonts w:cs="Arial"/>
          <w:sz w:val="16"/>
          <w:szCs w:val="16"/>
          <w:rtl/>
        </w:rPr>
        <w:t xml:space="preserve"> </w:t>
      </w:r>
      <w:r w:rsidRPr="00530F9D">
        <w:rPr>
          <w:rFonts w:cs="Arial" w:hint="cs"/>
          <w:sz w:val="16"/>
          <w:szCs w:val="16"/>
          <w:rtl/>
        </w:rPr>
        <w:t>'</w:t>
      </w:r>
      <w:r w:rsidRPr="00530F9D">
        <w:rPr>
          <w:rFonts w:cs="Arial"/>
          <w:sz w:val="16"/>
          <w:szCs w:val="16"/>
          <w:rtl/>
        </w:rPr>
        <w:t>הלכה נמלכין בה</w:t>
      </w:r>
      <w:r w:rsidRPr="00530F9D">
        <w:rPr>
          <w:rFonts w:cs="Arial" w:hint="cs"/>
          <w:sz w:val="16"/>
          <w:szCs w:val="16"/>
          <w:rtl/>
        </w:rPr>
        <w:t>',</w:t>
      </w:r>
      <w:r w:rsidRPr="00530F9D">
        <w:rPr>
          <w:rFonts w:cs="Arial"/>
          <w:sz w:val="16"/>
          <w:szCs w:val="16"/>
          <w:rtl/>
        </w:rPr>
        <w:t xml:space="preserve"> פירוש קודם הכרזה</w:t>
      </w:r>
      <w:r w:rsidRPr="00530F9D">
        <w:rPr>
          <w:rFonts w:cs="Arial" w:hint="cs"/>
          <w:sz w:val="16"/>
          <w:szCs w:val="16"/>
          <w:rtl/>
        </w:rPr>
        <w:t>.</w:t>
      </w:r>
      <w:r w:rsidRPr="00530F9D">
        <w:rPr>
          <w:rFonts w:cs="Arial"/>
          <w:sz w:val="16"/>
          <w:szCs w:val="16"/>
          <w:rtl/>
        </w:rPr>
        <w:t xml:space="preserve"> ו</w:t>
      </w:r>
      <w:r w:rsidRPr="00530F9D">
        <w:rPr>
          <w:rFonts w:cs="Arial" w:hint="cs"/>
          <w:sz w:val="16"/>
          <w:szCs w:val="16"/>
          <w:rtl/>
        </w:rPr>
        <w:t>-'</w:t>
      </w:r>
      <w:r w:rsidRPr="00530F9D">
        <w:rPr>
          <w:rFonts w:cs="Arial"/>
          <w:sz w:val="16"/>
          <w:szCs w:val="16"/>
          <w:rtl/>
        </w:rPr>
        <w:t>הלכה אין נמלכין בה</w:t>
      </w:r>
      <w:r w:rsidRPr="00530F9D">
        <w:rPr>
          <w:rFonts w:cs="Arial" w:hint="cs"/>
          <w:sz w:val="16"/>
          <w:szCs w:val="16"/>
          <w:rtl/>
        </w:rPr>
        <w:t>',</w:t>
      </w:r>
      <w:r w:rsidRPr="00530F9D">
        <w:rPr>
          <w:rFonts w:cs="Arial"/>
          <w:sz w:val="16"/>
          <w:szCs w:val="16"/>
          <w:rtl/>
        </w:rPr>
        <w:t xml:space="preserve"> נמי היינו קודם הכרזה</w:t>
      </w:r>
      <w:r w:rsidRPr="00530F9D">
        <w:rPr>
          <w:rFonts w:cs="Arial" w:hint="cs"/>
          <w:sz w:val="16"/>
          <w:szCs w:val="16"/>
          <w:rtl/>
        </w:rPr>
        <w:t>,</w:t>
      </w:r>
      <w:r w:rsidRPr="00530F9D">
        <w:rPr>
          <w:rFonts w:cs="Arial"/>
          <w:sz w:val="16"/>
          <w:szCs w:val="16"/>
          <w:rtl/>
        </w:rPr>
        <w:t xml:space="preserve"> אבל אחר הכרזה מודה כדתניא בהדיא בדברי רבותינו</w:t>
      </w:r>
      <w:r w:rsidRPr="00530F9D">
        <w:rPr>
          <w:rFonts w:cs="Arial" w:hint="cs"/>
          <w:sz w:val="16"/>
          <w:szCs w:val="16"/>
          <w:rtl/>
        </w:rPr>
        <w:t>.</w:t>
      </w:r>
      <w:r w:rsidRPr="00530F9D">
        <w:rPr>
          <w:rFonts w:cs="Arial"/>
          <w:sz w:val="16"/>
          <w:szCs w:val="16"/>
          <w:rtl/>
        </w:rPr>
        <w:t xml:space="preserve"> וכן נראה מתוך דברי ר"ח דפסק דאע"ג דאמר רב נחמן בר רב חסדא הלכה כדברי רבותינו הלכה כרבא דאמר משמיה דרב ששת הלכה נמלכין בה דהא רמי בר חמא דאמר פעמים שולחים לה מסייע לה עכ"ל. </w:t>
      </w:r>
      <w:r w:rsidR="008939D0">
        <w:rPr>
          <w:rFonts w:cs="Arial" w:hint="cs"/>
          <w:sz w:val="16"/>
          <w:szCs w:val="16"/>
          <w:rtl/>
        </w:rPr>
        <w:t xml:space="preserve">  </w:t>
      </w:r>
      <w:r w:rsidR="001E7485">
        <w:rPr>
          <w:rFonts w:cs="Arial" w:hint="cs"/>
          <w:sz w:val="16"/>
          <w:szCs w:val="16"/>
          <w:rtl/>
        </w:rPr>
        <w:t xml:space="preserve">    </w:t>
      </w:r>
      <w:r w:rsidRPr="00530F9D">
        <w:rPr>
          <w:rFonts w:cs="Arial"/>
          <w:sz w:val="16"/>
          <w:szCs w:val="16"/>
          <w:rtl/>
        </w:rPr>
        <w:t>והרא"ש (סי' לג) כתב דברי התוספות וכתב שכן עיקר ודלא כפירש"י</w:t>
      </w:r>
      <w:r w:rsidRPr="00530F9D">
        <w:rPr>
          <w:rFonts w:cs="Arial" w:hint="cs"/>
          <w:sz w:val="16"/>
          <w:szCs w:val="16"/>
          <w:rtl/>
        </w:rPr>
        <w:t>.</w:t>
      </w:r>
      <w:r w:rsidRPr="00530F9D">
        <w:rPr>
          <w:rFonts w:cs="Arial"/>
          <w:sz w:val="16"/>
          <w:szCs w:val="16"/>
          <w:rtl/>
        </w:rPr>
        <w:t xml:space="preserve"> וכך הם דברי רבינו</w:t>
      </w:r>
      <w:r w:rsidRPr="00530F9D">
        <w:rPr>
          <w:rFonts w:cs="Arial" w:hint="cs"/>
          <w:sz w:val="16"/>
          <w:szCs w:val="16"/>
          <w:rtl/>
        </w:rPr>
        <w:t>.</w:t>
      </w:r>
      <w:r w:rsidRPr="00530F9D">
        <w:rPr>
          <w:rFonts w:cs="Arial"/>
          <w:sz w:val="16"/>
          <w:szCs w:val="16"/>
          <w:rtl/>
        </w:rPr>
        <w:t xml:space="preserve"> </w:t>
      </w:r>
      <w:r w:rsidR="00334EDA">
        <w:rPr>
          <w:rFonts w:cs="Arial" w:hint="cs"/>
          <w:sz w:val="16"/>
          <w:szCs w:val="16"/>
          <w:rtl/>
        </w:rPr>
        <w:t xml:space="preserve">      </w:t>
      </w:r>
      <w:r w:rsidRPr="00530F9D">
        <w:rPr>
          <w:rFonts w:cs="Arial"/>
          <w:sz w:val="16"/>
          <w:szCs w:val="16"/>
          <w:rtl/>
        </w:rPr>
        <w:t>וגם הר"ן (כז דיבור ראשון) כתב דל"נ פרש"י</w:t>
      </w:r>
      <w:r w:rsidRPr="00530F9D">
        <w:rPr>
          <w:rFonts w:cs="Arial" w:hint="cs"/>
          <w:sz w:val="16"/>
          <w:szCs w:val="16"/>
          <w:rtl/>
        </w:rPr>
        <w:t>,</w:t>
      </w:r>
      <w:r w:rsidRPr="00530F9D">
        <w:rPr>
          <w:rFonts w:cs="Arial"/>
          <w:sz w:val="16"/>
          <w:szCs w:val="16"/>
          <w:rtl/>
        </w:rPr>
        <w:t xml:space="preserve"> דאם איתא ה"ל לרבא למימר הלכה כמתניתין</w:t>
      </w:r>
      <w:r w:rsidRPr="00530F9D">
        <w:rPr>
          <w:rFonts w:cs="Arial" w:hint="cs"/>
          <w:sz w:val="16"/>
          <w:szCs w:val="16"/>
          <w:rtl/>
        </w:rPr>
        <w:t>,</w:t>
      </w:r>
      <w:r w:rsidRPr="00530F9D">
        <w:rPr>
          <w:rFonts w:cs="Arial"/>
          <w:sz w:val="16"/>
          <w:szCs w:val="16"/>
          <w:rtl/>
        </w:rPr>
        <w:t xml:space="preserve"> ואף דעת הרי"ף אינו כן שהרי הביא (כו:) הלכה כרבותינו והלכה נמלכין בה</w:t>
      </w:r>
      <w:r w:rsidRPr="00530F9D">
        <w:rPr>
          <w:rFonts w:cs="Arial" w:hint="cs"/>
          <w:sz w:val="16"/>
          <w:szCs w:val="16"/>
          <w:rtl/>
        </w:rPr>
        <w:t>,</w:t>
      </w:r>
      <w:r w:rsidRPr="00530F9D">
        <w:rPr>
          <w:rFonts w:cs="Arial"/>
          <w:sz w:val="16"/>
          <w:szCs w:val="16"/>
          <w:rtl/>
        </w:rPr>
        <w:t xml:space="preserve"> אלמא ישנן לשתיהן</w:t>
      </w:r>
      <w:r w:rsidRPr="00530F9D">
        <w:rPr>
          <w:rFonts w:cs="Arial" w:hint="cs"/>
          <w:sz w:val="16"/>
          <w:szCs w:val="16"/>
          <w:rtl/>
        </w:rPr>
        <w:t>.</w:t>
      </w:r>
      <w:r w:rsidRPr="00530F9D">
        <w:rPr>
          <w:rFonts w:cs="Arial"/>
          <w:sz w:val="16"/>
          <w:szCs w:val="16"/>
          <w:rtl/>
        </w:rPr>
        <w:t xml:space="preserve"> והראב"ד (ס' כתוב שם בסוגיין) פירש דנמלכין בה במאי ניחא לה טפי אי במאי דתנן במתניתין אי במאי דקאמרי ז"ל</w:t>
      </w:r>
      <w:r w:rsidRPr="00530F9D">
        <w:rPr>
          <w:rFonts w:cs="Arial" w:hint="cs"/>
          <w:sz w:val="16"/>
          <w:szCs w:val="16"/>
          <w:rtl/>
        </w:rPr>
        <w:t>,</w:t>
      </w:r>
      <w:r w:rsidRPr="00530F9D">
        <w:rPr>
          <w:rFonts w:cs="Arial"/>
          <w:sz w:val="16"/>
          <w:szCs w:val="16"/>
          <w:rtl/>
        </w:rPr>
        <w:t xml:space="preserve"> ואיפשר שזה היה דעת הרי"ף</w:t>
      </w:r>
      <w:r w:rsidRPr="00530F9D">
        <w:rPr>
          <w:rFonts w:cs="Arial" w:hint="cs"/>
          <w:sz w:val="16"/>
          <w:szCs w:val="16"/>
          <w:rtl/>
        </w:rPr>
        <w:t>.</w:t>
      </w:r>
      <w:r w:rsidRPr="00530F9D">
        <w:rPr>
          <w:rFonts w:cs="Arial"/>
          <w:sz w:val="16"/>
          <w:szCs w:val="16"/>
          <w:rtl/>
        </w:rPr>
        <w:t xml:space="preserve"> ולי נראה דהכי קאמר הלכה דנמלכין דלא סגי בששולחין לה מבית דין לומר הוי יודעת</w:t>
      </w:r>
      <w:r w:rsidRPr="00530F9D">
        <w:rPr>
          <w:rFonts w:cs="Arial" w:hint="cs"/>
          <w:sz w:val="16"/>
          <w:szCs w:val="16"/>
          <w:rtl/>
        </w:rPr>
        <w:t>,</w:t>
      </w:r>
      <w:r w:rsidRPr="00530F9D">
        <w:rPr>
          <w:rFonts w:cs="Arial"/>
          <w:sz w:val="16"/>
          <w:szCs w:val="16"/>
          <w:rtl/>
        </w:rPr>
        <w:t xml:space="preserve"> אלא הבית דין בעצמם נמלכין בה קודם שיפסקו הדין להפסידה כתובתה</w:t>
      </w:r>
      <w:r w:rsidRPr="00530F9D">
        <w:rPr>
          <w:rFonts w:cs="Arial" w:hint="cs"/>
          <w:sz w:val="16"/>
          <w:szCs w:val="16"/>
          <w:rtl/>
        </w:rPr>
        <w:t>.</w:t>
      </w:r>
      <w:r w:rsidRPr="00530F9D">
        <w:rPr>
          <w:rFonts w:cs="Arial"/>
          <w:sz w:val="16"/>
          <w:szCs w:val="16"/>
          <w:rtl/>
        </w:rPr>
        <w:t xml:space="preserve"> ואיפשר שזהו דעת הרמב"ם שכתב בפי"ד (ה"י) ואחר ההכרזה שולחין לה פעם שנייה ואומרים לה וכו' ואם עמדה במרדה ולא חזרה נמלכין בה ותאבד כתובתה עכ"ל</w:t>
      </w:r>
      <w:r>
        <w:rPr>
          <w:rFonts w:cs="Arial" w:hint="cs"/>
          <w:sz w:val="14"/>
          <w:szCs w:val="14"/>
          <w:rtl/>
        </w:rPr>
        <w:t xml:space="preserve"> {הר"ן}</w:t>
      </w:r>
      <w:r w:rsidR="00187BBC">
        <w:rPr>
          <w:rFonts w:cs="Arial" w:hint="cs"/>
          <w:sz w:val="16"/>
          <w:szCs w:val="16"/>
          <w:rtl/>
        </w:rPr>
        <w:t>.</w:t>
      </w:r>
      <w:r w:rsidR="001E7485">
        <w:rPr>
          <w:rFonts w:cs="Arial" w:hint="cs"/>
          <w:sz w:val="16"/>
          <w:szCs w:val="16"/>
          <w:rtl/>
        </w:rPr>
        <w:t xml:space="preserve">     </w:t>
      </w:r>
      <w:r w:rsidR="00187BBC">
        <w:rPr>
          <w:rFonts w:cs="Arial" w:hint="cs"/>
          <w:sz w:val="16"/>
          <w:szCs w:val="16"/>
          <w:rtl/>
        </w:rPr>
        <w:t xml:space="preserve"> וכתב עוד הב"י ד</w:t>
      </w:r>
      <w:r w:rsidR="00187BBC" w:rsidRPr="00187BBC">
        <w:rPr>
          <w:rFonts w:cs="Arial"/>
          <w:sz w:val="16"/>
          <w:szCs w:val="16"/>
          <w:rtl/>
        </w:rPr>
        <w:t>נראה שה</w:t>
      </w:r>
      <w:r w:rsidR="00187BBC">
        <w:rPr>
          <w:rFonts w:cs="Arial" w:hint="cs"/>
          <w:sz w:val="16"/>
          <w:szCs w:val="16"/>
          <w:rtl/>
        </w:rPr>
        <w:t xml:space="preserve">רמב"ם </w:t>
      </w:r>
      <w:r w:rsidR="00187BBC" w:rsidRPr="00187BBC">
        <w:rPr>
          <w:rFonts w:cs="Arial"/>
          <w:sz w:val="16"/>
          <w:szCs w:val="16"/>
          <w:rtl/>
        </w:rPr>
        <w:t>ז"ל</w:t>
      </w:r>
      <w:r w:rsidR="00187BBC">
        <w:rPr>
          <w:rFonts w:cs="Arial" w:hint="cs"/>
          <w:sz w:val="16"/>
          <w:szCs w:val="16"/>
          <w:rtl/>
        </w:rPr>
        <w:t xml:space="preserve"> (שם)</w:t>
      </w:r>
      <w:r w:rsidR="00187BBC" w:rsidRPr="00187BBC">
        <w:rPr>
          <w:rFonts w:cs="Arial"/>
          <w:sz w:val="16"/>
          <w:szCs w:val="16"/>
          <w:rtl/>
        </w:rPr>
        <w:t xml:space="preserve"> פוסק כרבותינו וכרמי בר חמא דאמר פעמיים שולחין לה אחת קודם הכרזה ואחת לאחר הכרזה</w:t>
      </w:r>
      <w:r w:rsidR="00A2162F">
        <w:rPr>
          <w:rFonts w:cs="Arial" w:hint="cs"/>
          <w:sz w:val="16"/>
          <w:szCs w:val="16"/>
          <w:rtl/>
        </w:rPr>
        <w:t>,</w:t>
      </w:r>
      <w:r w:rsidR="00187BBC" w:rsidRPr="00187BBC">
        <w:rPr>
          <w:rFonts w:cs="Arial"/>
          <w:sz w:val="16"/>
          <w:szCs w:val="16"/>
          <w:rtl/>
        </w:rPr>
        <w:t xml:space="preserve"> ומפרש דהא דאמר רבא אמר רב ששת נמלכין בה הוא מלבד הפעמיים ששולחין לה</w:t>
      </w:r>
      <w:r w:rsidR="00A2162F">
        <w:rPr>
          <w:rFonts w:cs="Arial" w:hint="cs"/>
          <w:sz w:val="16"/>
          <w:szCs w:val="16"/>
          <w:rtl/>
        </w:rPr>
        <w:t>.</w:t>
      </w:r>
      <w:r w:rsidR="00187BBC" w:rsidRPr="00187BBC">
        <w:rPr>
          <w:rFonts w:cs="Arial"/>
          <w:sz w:val="16"/>
          <w:szCs w:val="16"/>
          <w:rtl/>
        </w:rPr>
        <w:t xml:space="preserve"> ולפי זה צריך לפרש דמאי דאמר רבא </w:t>
      </w:r>
      <w:r w:rsidR="00A2162F">
        <w:rPr>
          <w:rFonts w:cs="Arial" w:hint="cs"/>
          <w:sz w:val="16"/>
          <w:szCs w:val="16"/>
          <w:rtl/>
        </w:rPr>
        <w:t>'</w:t>
      </w:r>
      <w:r w:rsidR="00187BBC" w:rsidRPr="00187BBC">
        <w:rPr>
          <w:rFonts w:cs="Arial"/>
          <w:sz w:val="16"/>
          <w:szCs w:val="16"/>
          <w:rtl/>
        </w:rPr>
        <w:t>האי בורכתה</w:t>
      </w:r>
      <w:r w:rsidR="00A2162F">
        <w:rPr>
          <w:rFonts w:cs="Arial" w:hint="cs"/>
          <w:sz w:val="16"/>
          <w:szCs w:val="16"/>
          <w:rtl/>
        </w:rPr>
        <w:t>'</w:t>
      </w:r>
      <w:r w:rsidR="00187BBC" w:rsidRPr="00187BBC">
        <w:rPr>
          <w:rFonts w:cs="Arial"/>
          <w:sz w:val="16"/>
          <w:szCs w:val="16"/>
          <w:rtl/>
        </w:rPr>
        <w:t xml:space="preserve"> היינו לומר דמדאמר הלכה כרבותינו משמע דכיון שאחר ההכרזה שלחו לומר לה הוי יודעת שאפילו כתובתך ק' מנה הפסדת אותה וכו'</w:t>
      </w:r>
      <w:r w:rsidR="00A2162F">
        <w:rPr>
          <w:rFonts w:cs="Arial" w:hint="cs"/>
          <w:sz w:val="16"/>
          <w:szCs w:val="16"/>
          <w:rtl/>
        </w:rPr>
        <w:t xml:space="preserve"> </w:t>
      </w:r>
      <w:r w:rsidR="00187BBC" w:rsidRPr="00187BBC">
        <w:rPr>
          <w:rFonts w:cs="Arial"/>
          <w:sz w:val="16"/>
          <w:szCs w:val="16"/>
          <w:rtl/>
        </w:rPr>
        <w:t>מיד מפסדת כתובתה</w:t>
      </w:r>
      <w:r w:rsidR="00A2162F">
        <w:rPr>
          <w:rFonts w:cs="Arial" w:hint="cs"/>
          <w:sz w:val="16"/>
          <w:szCs w:val="16"/>
          <w:rtl/>
        </w:rPr>
        <w:t xml:space="preserve"> -</w:t>
      </w:r>
      <w:r w:rsidR="00187BBC" w:rsidRPr="00187BBC">
        <w:rPr>
          <w:rFonts w:cs="Arial"/>
          <w:sz w:val="16"/>
          <w:szCs w:val="16"/>
          <w:rtl/>
        </w:rPr>
        <w:t xml:space="preserve"> והא ליתא</w:t>
      </w:r>
      <w:r w:rsidR="00A2162F">
        <w:rPr>
          <w:rFonts w:cs="Arial" w:hint="cs"/>
          <w:sz w:val="16"/>
          <w:szCs w:val="16"/>
          <w:rtl/>
        </w:rPr>
        <w:t>,</w:t>
      </w:r>
      <w:r w:rsidR="00187BBC" w:rsidRPr="00187BBC">
        <w:rPr>
          <w:rFonts w:cs="Arial"/>
          <w:sz w:val="16"/>
          <w:szCs w:val="16"/>
          <w:rtl/>
        </w:rPr>
        <w:t xml:space="preserve"> אלא אינה מפסדתה עד שנמלכין בה</w:t>
      </w:r>
      <w:r w:rsidR="00A2162F">
        <w:rPr>
          <w:rFonts w:cs="Arial" w:hint="cs"/>
          <w:sz w:val="16"/>
          <w:szCs w:val="16"/>
          <w:rtl/>
        </w:rPr>
        <w:t>)</w:t>
      </w:r>
      <w:r w:rsidRPr="00530F9D">
        <w:rPr>
          <w:rFonts w:cs="Arial"/>
          <w:sz w:val="16"/>
          <w:szCs w:val="16"/>
          <w:rtl/>
        </w:rPr>
        <w:t xml:space="preserve"> </w:t>
      </w:r>
    </w:p>
    <w:p w14:paraId="50218C35" w14:textId="52CAB988" w:rsidR="005A6BAC" w:rsidRPr="005A6BAC" w:rsidRDefault="005A6BAC" w:rsidP="005A6BAC">
      <w:pPr>
        <w:rPr>
          <w:u w:val="single"/>
          <w:rtl/>
        </w:rPr>
      </w:pPr>
      <w:r w:rsidRPr="005A6BAC">
        <w:rPr>
          <w:rFonts w:hint="cs"/>
          <w:u w:val="single"/>
          <w:rtl/>
        </w:rPr>
        <w:t>מורדת על בעלה</w:t>
      </w:r>
      <w:r w:rsidR="00530F9D">
        <w:rPr>
          <w:rFonts w:hint="cs"/>
          <w:u w:val="single"/>
          <w:rtl/>
        </w:rPr>
        <w:t xml:space="preserve"> </w:t>
      </w:r>
      <w:r w:rsidR="009256BE">
        <w:rPr>
          <w:rFonts w:hint="cs"/>
          <w:u w:val="single"/>
          <w:rtl/>
        </w:rPr>
        <w:t>-</w:t>
      </w:r>
      <w:r w:rsidR="00530F9D">
        <w:rPr>
          <w:rFonts w:hint="cs"/>
          <w:u w:val="single"/>
          <w:rtl/>
        </w:rPr>
        <w:t xml:space="preserve"> </w:t>
      </w:r>
      <w:r w:rsidR="00B7619E">
        <w:rPr>
          <w:rFonts w:hint="cs"/>
          <w:u w:val="single"/>
          <w:rtl/>
        </w:rPr>
        <w:t>תקנת המשנה</w:t>
      </w:r>
      <w:r w:rsidRPr="005A6BAC">
        <w:rPr>
          <w:rFonts w:hint="cs"/>
          <w:u w:val="single"/>
          <w:rtl/>
        </w:rPr>
        <w:t>:</w:t>
      </w:r>
    </w:p>
    <w:p w14:paraId="1A0EF1C1" w14:textId="081B4DA6" w:rsidR="00577FF6" w:rsidRDefault="00897A64" w:rsidP="009000E3">
      <w:pPr>
        <w:pStyle w:val="ab"/>
        <w:numPr>
          <w:ilvl w:val="0"/>
          <w:numId w:val="27"/>
        </w:numPr>
        <w:rPr>
          <w:rFonts w:cs="Arial"/>
        </w:rPr>
      </w:pPr>
      <w:r>
        <w:rPr>
          <w:rFonts w:cs="Arial" w:hint="cs"/>
          <w:rtl/>
        </w:rPr>
        <w:lastRenderedPageBreak/>
        <w:t xml:space="preserve">טור- </w:t>
      </w:r>
      <w:r w:rsidRPr="00897A64">
        <w:rPr>
          <w:rFonts w:cs="Arial"/>
          <w:rtl/>
        </w:rPr>
        <w:t>והאשה שמרדה על בעלה מתשמיש</w:t>
      </w:r>
      <w:r w:rsidR="005A6BAC">
        <w:rPr>
          <w:rFonts w:cs="Arial" w:hint="cs"/>
          <w:rtl/>
        </w:rPr>
        <w:t>,</w:t>
      </w:r>
      <w:r w:rsidRPr="00897A64">
        <w:rPr>
          <w:rFonts w:cs="Arial"/>
          <w:rtl/>
        </w:rPr>
        <w:t xml:space="preserve"> הרבה תקנות תקנו בה</w:t>
      </w:r>
      <w:r w:rsidR="005A6BAC">
        <w:rPr>
          <w:rFonts w:cs="Arial" w:hint="cs"/>
          <w:rtl/>
        </w:rPr>
        <w:t>.</w:t>
      </w:r>
      <w:r w:rsidRPr="00897A64">
        <w:rPr>
          <w:rFonts w:cs="Arial"/>
          <w:rtl/>
        </w:rPr>
        <w:t xml:space="preserve"> בתחילה תקנו בימי חכמי המשנה שיפחתו לה מכתובתה ז' דינרין לשבוע עד כדי כתובתה ואז יוציאנה</w:t>
      </w:r>
      <w:r>
        <w:rPr>
          <w:rStyle w:val="a7"/>
          <w:rFonts w:cs="Arial"/>
          <w:rtl/>
        </w:rPr>
        <w:footnoteReference w:id="518"/>
      </w:r>
      <w:r w:rsidR="008D4FDF">
        <w:rPr>
          <w:rFonts w:cs="Arial" w:hint="cs"/>
          <w:rtl/>
        </w:rPr>
        <w:t>.</w:t>
      </w:r>
      <w:r w:rsidRPr="00897A64">
        <w:rPr>
          <w:rFonts w:cs="Arial"/>
          <w:rtl/>
        </w:rPr>
        <w:t xml:space="preserve"> ואפילו אם ישמש עמה במרדה יפחות לה</w:t>
      </w:r>
      <w:r w:rsidR="005A6BAC">
        <w:rPr>
          <w:rFonts w:cs="Arial" w:hint="cs"/>
          <w:rtl/>
        </w:rPr>
        <w:t>,</w:t>
      </w:r>
      <w:r w:rsidRPr="00897A64">
        <w:rPr>
          <w:rFonts w:cs="Arial"/>
          <w:rtl/>
        </w:rPr>
        <w:t xml:space="preserve"> כיון שהוא בעל כרחה</w:t>
      </w:r>
      <w:r w:rsidR="005A6BAC">
        <w:rPr>
          <w:rFonts w:cs="Arial" w:hint="cs"/>
          <w:rtl/>
        </w:rPr>
        <w:t>.</w:t>
      </w:r>
      <w:r w:rsidRPr="00897A64">
        <w:rPr>
          <w:rFonts w:cs="Arial"/>
          <w:rtl/>
        </w:rPr>
        <w:t xml:space="preserve"> </w:t>
      </w:r>
    </w:p>
    <w:p w14:paraId="64BAADEF" w14:textId="324FB044" w:rsidR="00577FF6" w:rsidRPr="00577FF6" w:rsidRDefault="00577FF6" w:rsidP="00577FF6">
      <w:pPr>
        <w:ind w:left="360"/>
        <w:rPr>
          <w:rFonts w:cs="Arial"/>
          <w:u w:val="dotted"/>
        </w:rPr>
      </w:pPr>
      <w:r w:rsidRPr="00577FF6">
        <w:rPr>
          <w:rFonts w:cs="Arial" w:hint="cs"/>
          <w:u w:val="dotted"/>
          <w:rtl/>
        </w:rPr>
        <w:t>ומה הדין אם חזרה בה ממרדה קודם/לאחר כלות כתובתה:</w:t>
      </w:r>
    </w:p>
    <w:p w14:paraId="39352EF8" w14:textId="0525DA95" w:rsidR="00577FF6" w:rsidRDefault="00577FF6" w:rsidP="009000E3">
      <w:pPr>
        <w:pStyle w:val="ab"/>
        <w:numPr>
          <w:ilvl w:val="0"/>
          <w:numId w:val="27"/>
        </w:numPr>
        <w:rPr>
          <w:rFonts w:cs="Arial"/>
        </w:rPr>
      </w:pPr>
      <w:r>
        <w:rPr>
          <w:rFonts w:cs="Arial" w:hint="cs"/>
          <w:rtl/>
        </w:rPr>
        <w:t xml:space="preserve">הגה"מ </w:t>
      </w:r>
      <w:r w:rsidRPr="00577FF6">
        <w:rPr>
          <w:rFonts w:cs="Arial"/>
          <w:sz w:val="16"/>
          <w:szCs w:val="16"/>
          <w:rtl/>
        </w:rPr>
        <w:t>(פי"ד אות ח)</w:t>
      </w:r>
      <w:r>
        <w:rPr>
          <w:rFonts w:cs="Arial" w:hint="cs"/>
          <w:rtl/>
        </w:rPr>
        <w:t>-</w:t>
      </w:r>
      <w:r>
        <w:rPr>
          <w:rFonts w:cs="Arial"/>
          <w:rtl/>
        </w:rPr>
        <w:t xml:space="preserve"> אם חזרה בה ממרדה קודם כלות כתובתה ולא גירשה אפילו כתובתה אלף זוז לא הפסידה כלום</w:t>
      </w:r>
      <w:r w:rsidR="002C438C">
        <w:rPr>
          <w:rFonts w:cs="Arial" w:hint="cs"/>
          <w:rtl/>
        </w:rPr>
        <w:t>.</w:t>
      </w:r>
      <w:r>
        <w:rPr>
          <w:rFonts w:cs="Arial"/>
          <w:rtl/>
        </w:rPr>
        <w:t xml:space="preserve"> אבל אם מרדה כל כך עד שהפסידה כל כתובתה כתב הר"מ </w:t>
      </w:r>
      <w:r w:rsidRPr="00577FF6">
        <w:rPr>
          <w:rFonts w:cs="Arial"/>
          <w:sz w:val="16"/>
          <w:szCs w:val="16"/>
          <w:rtl/>
        </w:rPr>
        <w:t xml:space="preserve">(ד"פ סי' תתקמו) </w:t>
      </w:r>
      <w:r>
        <w:rPr>
          <w:rFonts w:cs="Arial"/>
          <w:rtl/>
        </w:rPr>
        <w:t>דהוי דבר פשוט דאפילו הדרה בה אין לה כתובה ולא תנאי כתובה</w:t>
      </w:r>
      <w:r>
        <w:rPr>
          <w:rStyle w:val="a7"/>
          <w:rFonts w:cs="Arial"/>
          <w:rtl/>
        </w:rPr>
        <w:footnoteReference w:id="519"/>
      </w:r>
      <w:r>
        <w:rPr>
          <w:rFonts w:cs="Arial" w:hint="cs"/>
          <w:rtl/>
        </w:rPr>
        <w:t>.</w:t>
      </w:r>
    </w:p>
    <w:p w14:paraId="7780E09D" w14:textId="0224352B" w:rsidR="00577FF6" w:rsidRPr="00577FF6" w:rsidRDefault="00530F9D" w:rsidP="00577FF6">
      <w:pPr>
        <w:rPr>
          <w:rFonts w:cs="Arial"/>
        </w:rPr>
      </w:pPr>
      <w:r w:rsidRPr="005A6BAC">
        <w:rPr>
          <w:rFonts w:hint="cs"/>
          <w:u w:val="single"/>
          <w:rtl/>
        </w:rPr>
        <w:t>מורדת על בעלה</w:t>
      </w:r>
      <w:r>
        <w:rPr>
          <w:rFonts w:hint="cs"/>
          <w:u w:val="single"/>
          <w:rtl/>
        </w:rPr>
        <w:t xml:space="preserve"> </w:t>
      </w:r>
      <w:r w:rsidR="003E29A6">
        <w:rPr>
          <w:rFonts w:hint="cs"/>
          <w:u w:val="single"/>
          <w:rtl/>
        </w:rPr>
        <w:t>-</w:t>
      </w:r>
      <w:r>
        <w:rPr>
          <w:rFonts w:hint="cs"/>
          <w:u w:val="single"/>
          <w:rtl/>
        </w:rPr>
        <w:t xml:space="preserve"> תקנ</w:t>
      </w:r>
      <w:r w:rsidR="00A31827">
        <w:rPr>
          <w:rFonts w:hint="cs"/>
          <w:u w:val="single"/>
          <w:rtl/>
        </w:rPr>
        <w:t xml:space="preserve">ת רבותינו </w:t>
      </w:r>
      <w:r w:rsidR="00DD0BB0" w:rsidRPr="00DD0BB0">
        <w:rPr>
          <w:rFonts w:hint="cs"/>
          <w:sz w:val="16"/>
          <w:szCs w:val="16"/>
          <w:u w:val="single"/>
          <w:rtl/>
        </w:rPr>
        <w:t>(</w:t>
      </w:r>
      <w:r w:rsidR="003A6A88">
        <w:rPr>
          <w:rFonts w:hint="cs"/>
          <w:sz w:val="16"/>
          <w:szCs w:val="16"/>
          <w:u w:val="single"/>
          <w:rtl/>
        </w:rPr>
        <w:t xml:space="preserve">שתיקנו </w:t>
      </w:r>
      <w:r w:rsidR="00DD0BB0" w:rsidRPr="00DD0BB0">
        <w:rPr>
          <w:rFonts w:hint="cs"/>
          <w:sz w:val="16"/>
          <w:szCs w:val="16"/>
          <w:u w:val="single"/>
          <w:rtl/>
        </w:rPr>
        <w:t>לאחר</w:t>
      </w:r>
      <w:r w:rsidRPr="00DD0BB0">
        <w:rPr>
          <w:rFonts w:hint="cs"/>
          <w:sz w:val="16"/>
          <w:szCs w:val="16"/>
          <w:u w:val="single"/>
          <w:rtl/>
        </w:rPr>
        <w:t xml:space="preserve"> </w:t>
      </w:r>
      <w:r w:rsidR="00B7619E">
        <w:rPr>
          <w:rFonts w:hint="cs"/>
          <w:sz w:val="16"/>
          <w:szCs w:val="16"/>
          <w:u w:val="single"/>
          <w:rtl/>
        </w:rPr>
        <w:t>תקנת המשנה</w:t>
      </w:r>
      <w:r w:rsidR="00DD0BB0">
        <w:rPr>
          <w:rFonts w:hint="cs"/>
          <w:sz w:val="16"/>
          <w:szCs w:val="16"/>
          <w:u w:val="single"/>
          <w:rtl/>
        </w:rPr>
        <w:t>)</w:t>
      </w:r>
      <w:r w:rsidRPr="005A6BAC">
        <w:rPr>
          <w:rFonts w:hint="cs"/>
          <w:u w:val="single"/>
          <w:rtl/>
        </w:rPr>
        <w:t>:</w:t>
      </w:r>
    </w:p>
    <w:p w14:paraId="6EB4D7D7" w14:textId="4733D393" w:rsidR="00530F9D" w:rsidRDefault="00577FF6" w:rsidP="009000E3">
      <w:pPr>
        <w:pStyle w:val="ab"/>
        <w:numPr>
          <w:ilvl w:val="0"/>
          <w:numId w:val="27"/>
        </w:numPr>
        <w:rPr>
          <w:rFonts w:cs="Arial"/>
        </w:rPr>
      </w:pPr>
      <w:r>
        <w:rPr>
          <w:rFonts w:cs="Arial" w:hint="cs"/>
          <w:rtl/>
        </w:rPr>
        <w:t xml:space="preserve">טור- </w:t>
      </w:r>
      <w:r w:rsidR="00897A64" w:rsidRPr="00897A64">
        <w:rPr>
          <w:rFonts w:cs="Arial"/>
          <w:rtl/>
        </w:rPr>
        <w:t>ושוב תקנו שישלחו מבית דין שתחזור בה</w:t>
      </w:r>
      <w:r w:rsidR="00FE4684">
        <w:rPr>
          <w:rFonts w:cs="Arial" w:hint="cs"/>
          <w:rtl/>
        </w:rPr>
        <w:t>.</w:t>
      </w:r>
      <w:r w:rsidR="00897A64" w:rsidRPr="00897A64">
        <w:rPr>
          <w:rFonts w:cs="Arial"/>
          <w:rtl/>
        </w:rPr>
        <w:t xml:space="preserve"> לא חזרה בה</w:t>
      </w:r>
      <w:r w:rsidR="00FE4684">
        <w:rPr>
          <w:rFonts w:cs="Arial" w:hint="cs"/>
          <w:rtl/>
        </w:rPr>
        <w:t>,</w:t>
      </w:r>
      <w:r w:rsidR="00897A64" w:rsidRPr="00897A64">
        <w:rPr>
          <w:rFonts w:cs="Arial"/>
          <w:rtl/>
        </w:rPr>
        <w:t xml:space="preserve"> מכריזין עליה ד' פעמים בד' שבתות זו אחר זו בבתי כנסיות ובבתי מדרשות </w:t>
      </w:r>
      <w:r w:rsidR="003E29A6">
        <w:rPr>
          <w:rFonts w:cs="Arial" w:hint="cs"/>
          <w:rtl/>
        </w:rPr>
        <w:t>"</w:t>
      </w:r>
      <w:r w:rsidR="00897A64" w:rsidRPr="00897A64">
        <w:rPr>
          <w:rFonts w:cs="Arial"/>
          <w:rtl/>
        </w:rPr>
        <w:t>פלונית מורדת על בעלה</w:t>
      </w:r>
      <w:r w:rsidR="003E29A6">
        <w:rPr>
          <w:rFonts w:cs="Arial" w:hint="cs"/>
          <w:rtl/>
        </w:rPr>
        <w:t>"</w:t>
      </w:r>
      <w:r w:rsidR="00FE4684">
        <w:rPr>
          <w:rFonts w:cs="Arial" w:hint="cs"/>
          <w:rtl/>
        </w:rPr>
        <w:t>,</w:t>
      </w:r>
      <w:r w:rsidR="00897A64" w:rsidRPr="00897A64">
        <w:rPr>
          <w:rFonts w:cs="Arial"/>
          <w:rtl/>
        </w:rPr>
        <w:t xml:space="preserve"> כדי לביישה</w:t>
      </w:r>
      <w:r w:rsidR="00FE4684">
        <w:rPr>
          <w:rFonts w:cs="Arial" w:hint="cs"/>
          <w:rtl/>
        </w:rPr>
        <w:t>.</w:t>
      </w:r>
      <w:r w:rsidR="00897A64" w:rsidRPr="00897A64">
        <w:rPr>
          <w:rFonts w:cs="Arial"/>
          <w:rtl/>
        </w:rPr>
        <w:t xml:space="preserve"> לא חזרה בה</w:t>
      </w:r>
      <w:r w:rsidR="00FE4684">
        <w:rPr>
          <w:rFonts w:cs="Arial" w:hint="cs"/>
          <w:rtl/>
        </w:rPr>
        <w:t>,</w:t>
      </w:r>
      <w:r w:rsidR="00897A64" w:rsidRPr="00897A64">
        <w:rPr>
          <w:rFonts w:cs="Arial"/>
          <w:rtl/>
        </w:rPr>
        <w:t xml:space="preserve"> שולחין לה </w:t>
      </w:r>
      <w:r w:rsidR="003E29A6">
        <w:rPr>
          <w:rFonts w:cs="Arial" w:hint="cs"/>
          <w:rtl/>
        </w:rPr>
        <w:t>"</w:t>
      </w:r>
      <w:r w:rsidR="00897A64" w:rsidRPr="00897A64">
        <w:rPr>
          <w:rFonts w:cs="Arial"/>
          <w:rtl/>
        </w:rPr>
        <w:t>הוי יודעת שאפילו כתובתך ק' מנה הפסדת</w:t>
      </w:r>
      <w:r w:rsidR="003E29A6">
        <w:rPr>
          <w:rFonts w:cs="Arial" w:hint="cs"/>
          <w:rtl/>
        </w:rPr>
        <w:t>"</w:t>
      </w:r>
      <w:r w:rsidR="00FE4684">
        <w:rPr>
          <w:rFonts w:cs="Arial" w:hint="cs"/>
          <w:rtl/>
        </w:rPr>
        <w:t>,</w:t>
      </w:r>
      <w:r w:rsidR="00897A64" w:rsidRPr="00897A64">
        <w:rPr>
          <w:rFonts w:cs="Arial"/>
          <w:rtl/>
        </w:rPr>
        <w:t xml:space="preserve"> ומגרשה</w:t>
      </w:r>
      <w:r w:rsidR="00FE4684">
        <w:rPr>
          <w:rFonts w:cs="Arial" w:hint="cs"/>
          <w:rtl/>
        </w:rPr>
        <w:t>.</w:t>
      </w:r>
      <w:r w:rsidR="00897A64" w:rsidRPr="00897A64">
        <w:rPr>
          <w:rFonts w:cs="Arial"/>
          <w:rtl/>
        </w:rPr>
        <w:t xml:space="preserve"> </w:t>
      </w:r>
    </w:p>
    <w:p w14:paraId="0BAB4A66" w14:textId="2833B531" w:rsidR="00F94CC8" w:rsidRDefault="00F94CC8" w:rsidP="009000E3">
      <w:pPr>
        <w:pStyle w:val="ab"/>
        <w:numPr>
          <w:ilvl w:val="0"/>
          <w:numId w:val="27"/>
        </w:numPr>
        <w:rPr>
          <w:rFonts w:cs="Arial"/>
        </w:rPr>
      </w:pPr>
      <w:r>
        <w:rPr>
          <w:rFonts w:cs="Arial" w:hint="cs"/>
          <w:rtl/>
        </w:rPr>
        <w:t xml:space="preserve">רמב"ם </w:t>
      </w:r>
      <w:r>
        <w:rPr>
          <w:rFonts w:cs="Arial" w:hint="cs"/>
          <w:sz w:val="16"/>
          <w:szCs w:val="16"/>
          <w:rtl/>
        </w:rPr>
        <w:t>(פי"ד מאישות ה"ט-י)</w:t>
      </w:r>
      <w:r>
        <w:rPr>
          <w:rFonts w:cs="Arial" w:hint="cs"/>
          <w:rtl/>
        </w:rPr>
        <w:t xml:space="preserve">- </w:t>
      </w:r>
      <w:r w:rsidRPr="00F94CC8">
        <w:rPr>
          <w:rFonts w:cs="Arial"/>
          <w:rtl/>
        </w:rPr>
        <w:t xml:space="preserve">שולחים לה מבית דין ואומרין לה </w:t>
      </w:r>
      <w:r w:rsidR="003E29A6">
        <w:rPr>
          <w:rFonts w:cs="Arial" w:hint="cs"/>
          <w:rtl/>
        </w:rPr>
        <w:t>"</w:t>
      </w:r>
      <w:r w:rsidRPr="00F94CC8">
        <w:rPr>
          <w:rFonts w:cs="Arial"/>
          <w:rtl/>
        </w:rPr>
        <w:t>הוי יודעת שאם את עומדת במרדך אפילו כתובתך מאה מנה הפסדת אותה</w:t>
      </w:r>
      <w:r w:rsidR="003E29A6">
        <w:rPr>
          <w:rFonts w:cs="Arial" w:hint="cs"/>
          <w:rtl/>
        </w:rPr>
        <w:t>"</w:t>
      </w:r>
      <w:r>
        <w:rPr>
          <w:rFonts w:cs="Arial" w:hint="cs"/>
          <w:rtl/>
        </w:rPr>
        <w:t>.</w:t>
      </w:r>
      <w:r w:rsidRPr="00F94CC8">
        <w:rPr>
          <w:rFonts w:cs="Arial"/>
          <w:rtl/>
        </w:rPr>
        <w:t xml:space="preserve"> ואחר כך מכריזין עליה בבתי כנסיות ובבתי מדרשות בכל יום</w:t>
      </w:r>
      <w:r w:rsidR="00242295">
        <w:rPr>
          <w:rStyle w:val="a7"/>
          <w:rFonts w:cs="Arial"/>
          <w:rtl/>
        </w:rPr>
        <w:footnoteReference w:id="520"/>
      </w:r>
      <w:r w:rsidRPr="00F94CC8">
        <w:rPr>
          <w:rFonts w:cs="Arial"/>
          <w:rtl/>
        </w:rPr>
        <w:t xml:space="preserve"> ארבע שבתות זו אחר זו ואומרים </w:t>
      </w:r>
      <w:r w:rsidR="003E29A6">
        <w:rPr>
          <w:rFonts w:cs="Arial" w:hint="cs"/>
          <w:rtl/>
        </w:rPr>
        <w:t>"</w:t>
      </w:r>
      <w:r w:rsidRPr="00F94CC8">
        <w:rPr>
          <w:rFonts w:cs="Arial"/>
          <w:rtl/>
        </w:rPr>
        <w:t>פלונית מרדה על בעלה</w:t>
      </w:r>
      <w:r w:rsidR="003E29A6">
        <w:rPr>
          <w:rFonts w:cs="Arial" w:hint="cs"/>
          <w:rtl/>
        </w:rPr>
        <w:t>"</w:t>
      </w:r>
      <w:r>
        <w:rPr>
          <w:rFonts w:cs="Arial" w:hint="cs"/>
          <w:rtl/>
        </w:rPr>
        <w:t>.</w:t>
      </w:r>
      <w:r w:rsidRPr="00F94CC8">
        <w:rPr>
          <w:rtl/>
        </w:rPr>
        <w:t xml:space="preserve"> </w:t>
      </w:r>
      <w:r w:rsidRPr="00F94CC8">
        <w:rPr>
          <w:rFonts w:cs="Arial"/>
          <w:rtl/>
        </w:rPr>
        <w:t xml:space="preserve">ואחר ההכרזה שולחין לה פעם שנייה ואומרים לה </w:t>
      </w:r>
      <w:r w:rsidR="003E29A6">
        <w:rPr>
          <w:rFonts w:cs="Arial" w:hint="cs"/>
          <w:rtl/>
        </w:rPr>
        <w:t>"</w:t>
      </w:r>
      <w:r w:rsidRPr="00F94CC8">
        <w:rPr>
          <w:rFonts w:cs="Arial"/>
          <w:rtl/>
        </w:rPr>
        <w:t>אם את עומדת במרדך הפסדת כתובתיך</w:t>
      </w:r>
      <w:r w:rsidR="003E29A6">
        <w:rPr>
          <w:rFonts w:cs="Arial" w:hint="cs"/>
          <w:rtl/>
        </w:rPr>
        <w:t>"</w:t>
      </w:r>
      <w:r w:rsidRPr="00F94CC8">
        <w:rPr>
          <w:rFonts w:cs="Arial"/>
          <w:rtl/>
        </w:rPr>
        <w:t>. אם עמדה במרדה ולא חזרה נמלכין בה ותאבד כתובתה ולא יהיה לה כתובה כלל</w:t>
      </w:r>
      <w:r>
        <w:rPr>
          <w:rFonts w:cs="Arial" w:hint="cs"/>
          <w:rtl/>
        </w:rPr>
        <w:t>.</w:t>
      </w:r>
      <w:r w:rsidR="00DD4860">
        <w:rPr>
          <w:rFonts w:cs="Arial" w:hint="cs"/>
          <w:rtl/>
        </w:rPr>
        <w:t xml:space="preserve"> </w:t>
      </w:r>
      <w:r w:rsidR="00DD4860" w:rsidRPr="00DD4860">
        <w:rPr>
          <w:rFonts w:cs="Arial" w:hint="cs"/>
          <w:color w:val="E36C0A" w:themeColor="accent6" w:themeShade="BF"/>
          <w:rtl/>
        </w:rPr>
        <w:t>(וכ"פ בשו"ע)</w:t>
      </w:r>
    </w:p>
    <w:p w14:paraId="431826C9" w14:textId="1CD1EBC7" w:rsidR="00242295" w:rsidRPr="00242295" w:rsidRDefault="00242295" w:rsidP="00242295">
      <w:pPr>
        <w:ind w:left="360"/>
        <w:rPr>
          <w:rFonts w:cs="Arial"/>
          <w:u w:val="dotted"/>
        </w:rPr>
      </w:pPr>
      <w:r w:rsidRPr="00242295">
        <w:rPr>
          <w:rFonts w:cs="Arial" w:hint="cs"/>
          <w:u w:val="dotted"/>
          <w:rtl/>
        </w:rPr>
        <w:t xml:space="preserve">ומה הדין אם חזרה בה ממרדה קודם/לאחר </w:t>
      </w:r>
      <w:r>
        <w:rPr>
          <w:rFonts w:cs="Arial" w:hint="cs"/>
          <w:u w:val="dotted"/>
          <w:rtl/>
        </w:rPr>
        <w:t>ד' שבתות</w:t>
      </w:r>
      <w:r w:rsidRPr="00242295">
        <w:rPr>
          <w:rFonts w:cs="Arial" w:hint="cs"/>
          <w:u w:val="dotted"/>
          <w:rtl/>
        </w:rPr>
        <w:t>:</w:t>
      </w:r>
    </w:p>
    <w:p w14:paraId="3E9E44BE" w14:textId="0DC883DE" w:rsidR="00A74C2B" w:rsidRPr="00242295" w:rsidRDefault="00A74C2B" w:rsidP="009000E3">
      <w:pPr>
        <w:pStyle w:val="ab"/>
        <w:numPr>
          <w:ilvl w:val="0"/>
          <w:numId w:val="28"/>
        </w:numPr>
        <w:rPr>
          <w:rFonts w:cs="Arial"/>
          <w:rtl/>
        </w:rPr>
      </w:pPr>
      <w:r w:rsidRPr="00242295">
        <w:rPr>
          <w:rFonts w:cs="Arial"/>
          <w:rtl/>
        </w:rPr>
        <w:t xml:space="preserve">ר"ן </w:t>
      </w:r>
      <w:r w:rsidRPr="00242295">
        <w:rPr>
          <w:rFonts w:cs="Arial"/>
          <w:sz w:val="16"/>
          <w:szCs w:val="16"/>
          <w:rtl/>
        </w:rPr>
        <w:t>(כו: ד"ה חזרו)</w:t>
      </w:r>
      <w:r w:rsidR="00242295">
        <w:rPr>
          <w:rFonts w:cs="Arial" w:hint="cs"/>
          <w:rtl/>
        </w:rPr>
        <w:t>-</w:t>
      </w:r>
      <w:r w:rsidRPr="00242295">
        <w:rPr>
          <w:rFonts w:cs="Arial"/>
          <w:rtl/>
        </w:rPr>
        <w:t xml:space="preserve"> דעת הגאון שאם חזרה בה תוך ד' שבתות לא הפסידה כלום</w:t>
      </w:r>
      <w:r w:rsidR="00242295">
        <w:rPr>
          <w:rFonts w:cs="Arial" w:hint="cs"/>
          <w:rtl/>
        </w:rPr>
        <w:t xml:space="preserve">. </w:t>
      </w:r>
      <w:r w:rsidRPr="00242295">
        <w:rPr>
          <w:rFonts w:cs="Arial"/>
          <w:rtl/>
        </w:rPr>
        <w:t>וכ"ת אתיא לאיערומי דמרדה ג' שב' ובד' הדרה בה וכן לעולם</w:t>
      </w:r>
      <w:r w:rsidR="00242295">
        <w:rPr>
          <w:rFonts w:cs="Arial" w:hint="cs"/>
          <w:rtl/>
        </w:rPr>
        <w:t xml:space="preserve"> </w:t>
      </w:r>
      <w:r w:rsidR="007D5EA3">
        <w:rPr>
          <w:rFonts w:cs="Arial" w:hint="cs"/>
          <w:rtl/>
        </w:rPr>
        <w:t>-</w:t>
      </w:r>
      <w:r w:rsidRPr="00242295">
        <w:rPr>
          <w:rFonts w:cs="Arial"/>
          <w:rtl/>
        </w:rPr>
        <w:t xml:space="preserve"> ליתא</w:t>
      </w:r>
      <w:r w:rsidR="00242295">
        <w:rPr>
          <w:rFonts w:cs="Arial" w:hint="cs"/>
          <w:rtl/>
        </w:rPr>
        <w:t>,</w:t>
      </w:r>
      <w:r w:rsidRPr="00242295">
        <w:rPr>
          <w:rFonts w:cs="Arial"/>
          <w:rtl/>
        </w:rPr>
        <w:t xml:space="preserve"> דאיפשר דכל שעברו עליה ד' שבתות של הכרזה בין הפעמים כולם הפסידה כתובתה</w:t>
      </w:r>
      <w:r w:rsidR="00242295">
        <w:rPr>
          <w:rFonts w:cs="Arial" w:hint="cs"/>
          <w:rtl/>
        </w:rPr>
        <w:t>.</w:t>
      </w:r>
      <w:r w:rsidRPr="00242295">
        <w:rPr>
          <w:rFonts w:cs="Arial"/>
          <w:rtl/>
        </w:rPr>
        <w:t xml:space="preserve"> ואחרים אומרים דבתוך ד' שבתות פוחתין ז' ז'</w:t>
      </w:r>
      <w:r w:rsidR="00242295">
        <w:rPr>
          <w:rFonts w:cs="Arial" w:hint="cs"/>
          <w:rtl/>
        </w:rPr>
        <w:t>,</w:t>
      </w:r>
      <w:r w:rsidRPr="00242295">
        <w:rPr>
          <w:rFonts w:cs="Arial"/>
          <w:rtl/>
        </w:rPr>
        <w:t xml:space="preserve"> ומשום הכי לא אתיא לאיערומי</w:t>
      </w:r>
      <w:r w:rsidR="00242295">
        <w:rPr>
          <w:rFonts w:cs="Arial" w:hint="cs"/>
          <w:rtl/>
        </w:rPr>
        <w:t>,</w:t>
      </w:r>
      <w:r w:rsidRPr="00242295">
        <w:rPr>
          <w:rFonts w:cs="Arial"/>
          <w:rtl/>
        </w:rPr>
        <w:t xml:space="preserve"> אבל אינה מפסדת כתובתה בבת אחת אלא בד' שבתות רצופים</w:t>
      </w:r>
      <w:r w:rsidR="00242295">
        <w:rPr>
          <w:rFonts w:cs="Arial" w:hint="cs"/>
          <w:rtl/>
        </w:rPr>
        <w:t>.</w:t>
      </w:r>
    </w:p>
    <w:p w14:paraId="3B6EA269" w14:textId="4DCF3D4F" w:rsidR="00BA5CCA" w:rsidRDefault="00BA5CCA" w:rsidP="00530F9D">
      <w:pPr>
        <w:rPr>
          <w:u w:val="single"/>
          <w:rtl/>
        </w:rPr>
      </w:pPr>
      <w:r w:rsidRPr="005A6BAC">
        <w:rPr>
          <w:rFonts w:cs="Arial"/>
          <w:b/>
          <w:bCs/>
          <w:rtl/>
        </w:rPr>
        <w:t xml:space="preserve">כתובות </w:t>
      </w:r>
      <w:r w:rsidRPr="005A6BAC">
        <w:rPr>
          <w:rFonts w:cs="Arial" w:hint="cs"/>
          <w:b/>
          <w:bCs/>
          <w:sz w:val="16"/>
          <w:szCs w:val="16"/>
          <w:rtl/>
        </w:rPr>
        <w:t>(</w:t>
      </w:r>
      <w:r w:rsidRPr="005A6BAC">
        <w:rPr>
          <w:rFonts w:cs="Arial"/>
          <w:b/>
          <w:bCs/>
          <w:sz w:val="16"/>
          <w:szCs w:val="16"/>
          <w:rtl/>
        </w:rPr>
        <w:t xml:space="preserve">פ' </w:t>
      </w:r>
      <w:r w:rsidRPr="005A6BAC">
        <w:rPr>
          <w:rFonts w:cs="Arial" w:hint="cs"/>
          <w:b/>
          <w:bCs/>
          <w:sz w:val="16"/>
          <w:szCs w:val="16"/>
          <w:rtl/>
        </w:rPr>
        <w:t>אף על פי)</w:t>
      </w:r>
      <w:r w:rsidRPr="005A6BAC">
        <w:rPr>
          <w:rFonts w:cs="Arial"/>
          <w:b/>
          <w:bCs/>
          <w:rtl/>
        </w:rPr>
        <w:t xml:space="preserve"> </w:t>
      </w:r>
      <w:r w:rsidRPr="005A6BAC">
        <w:rPr>
          <w:rFonts w:cs="Arial" w:hint="cs"/>
          <w:b/>
          <w:bCs/>
          <w:rtl/>
        </w:rPr>
        <w:t>סג ע"</w:t>
      </w:r>
      <w:r>
        <w:rPr>
          <w:rFonts w:cs="Arial" w:hint="cs"/>
          <w:b/>
          <w:bCs/>
          <w:rtl/>
        </w:rPr>
        <w:t>ב</w:t>
      </w:r>
      <w:r w:rsidRPr="005A6BAC">
        <w:rPr>
          <w:rFonts w:cs="Arial"/>
          <w:b/>
          <w:bCs/>
          <w:rtl/>
        </w:rPr>
        <w:t>:</w:t>
      </w:r>
      <w:r>
        <w:rPr>
          <w:rFonts w:cs="Arial" w:hint="cs"/>
          <w:rtl/>
        </w:rPr>
        <w:t xml:space="preserve"> </w:t>
      </w:r>
      <w:r w:rsidRPr="00BA5CCA">
        <w:rPr>
          <w:rFonts w:cs="Arial"/>
          <w:rtl/>
        </w:rPr>
        <w:t>כלתיה דרב זביד אימרדא</w:t>
      </w:r>
      <w:r w:rsidR="003A0E8F">
        <w:rPr>
          <w:rStyle w:val="a7"/>
          <w:rFonts w:cs="Arial"/>
          <w:rtl/>
        </w:rPr>
        <w:footnoteReference w:id="521"/>
      </w:r>
      <w:r w:rsidRPr="00BA5CCA">
        <w:rPr>
          <w:rFonts w:cs="Arial"/>
          <w:rtl/>
        </w:rPr>
        <w:t>, הוה תפיסא חד שירא</w:t>
      </w:r>
      <w:r w:rsidR="003A0E8F">
        <w:rPr>
          <w:rStyle w:val="a7"/>
          <w:rFonts w:cs="Arial"/>
          <w:rtl/>
        </w:rPr>
        <w:footnoteReference w:id="522"/>
      </w:r>
      <w:r w:rsidRPr="00BA5CCA">
        <w:rPr>
          <w:rFonts w:cs="Arial"/>
          <w:rtl/>
        </w:rPr>
        <w:t xml:space="preserve">, יתיב אמימר ומר זוטרא ורב אשי ויתיב רב גמדא גבייהו, </w:t>
      </w:r>
      <w:r w:rsidRPr="00BA5CCA">
        <w:rPr>
          <w:rFonts w:cs="Arial"/>
          <w:u w:val="single"/>
          <w:rtl/>
        </w:rPr>
        <w:t>יתבי וקאמרי</w:t>
      </w:r>
      <w:r w:rsidRPr="00BA5CCA">
        <w:rPr>
          <w:rFonts w:cs="Arial"/>
          <w:rtl/>
        </w:rPr>
        <w:t>: מרדה - הפסידה בלאותיה קיימין</w:t>
      </w:r>
      <w:r w:rsidR="003A0E8F">
        <w:rPr>
          <w:rStyle w:val="a7"/>
          <w:rFonts w:cs="Arial"/>
          <w:rtl/>
        </w:rPr>
        <w:footnoteReference w:id="523"/>
      </w:r>
      <w:r w:rsidRPr="00BA5CCA">
        <w:rPr>
          <w:rFonts w:cs="Arial"/>
          <w:rtl/>
        </w:rPr>
        <w:t xml:space="preserve">. </w:t>
      </w:r>
      <w:r w:rsidRPr="00BA5CCA">
        <w:rPr>
          <w:rFonts w:cs="Arial"/>
          <w:u w:val="single"/>
          <w:rtl/>
        </w:rPr>
        <w:t>אמר להו רב גמדא</w:t>
      </w:r>
      <w:r w:rsidRPr="00BA5CCA">
        <w:rPr>
          <w:rFonts w:cs="Arial"/>
          <w:rtl/>
        </w:rPr>
        <w:t>: משום דרב זביד גברא רבה מחניפיתו ליה? והאמר רב כהנא: מיבעיא בעי</w:t>
      </w:r>
      <w:r w:rsidR="002616BC">
        <w:rPr>
          <w:rStyle w:val="a7"/>
          <w:rFonts w:cs="Arial"/>
          <w:rtl/>
        </w:rPr>
        <w:footnoteReference w:id="524"/>
      </w:r>
      <w:r w:rsidRPr="00BA5CCA">
        <w:rPr>
          <w:rFonts w:cs="Arial"/>
          <w:rtl/>
        </w:rPr>
        <w:t xml:space="preserve"> רבא ולא פשיט. </w:t>
      </w:r>
      <w:r w:rsidRPr="00BA5CCA">
        <w:rPr>
          <w:rFonts w:cs="Arial"/>
          <w:u w:val="dotted"/>
          <w:rtl/>
        </w:rPr>
        <w:t>איכא דאמרי</w:t>
      </w:r>
      <w:r w:rsidRPr="00BA5CCA">
        <w:rPr>
          <w:rFonts w:cs="Arial"/>
          <w:rtl/>
        </w:rPr>
        <w:t xml:space="preserve">, </w:t>
      </w:r>
      <w:r w:rsidRPr="00BA5CCA">
        <w:rPr>
          <w:rFonts w:cs="Arial"/>
          <w:u w:val="single"/>
          <w:rtl/>
        </w:rPr>
        <w:t>יתבי וקאמרי</w:t>
      </w:r>
      <w:r w:rsidRPr="00BA5CCA">
        <w:rPr>
          <w:rFonts w:cs="Arial"/>
          <w:rtl/>
        </w:rPr>
        <w:t xml:space="preserve">: מרדה - לא הפסידה בלאותיה קיימין. </w:t>
      </w:r>
      <w:r w:rsidRPr="00BA5CCA">
        <w:rPr>
          <w:rFonts w:cs="Arial"/>
          <w:u w:val="single"/>
          <w:rtl/>
        </w:rPr>
        <w:t>אמר להו רב גמדא</w:t>
      </w:r>
      <w:r w:rsidRPr="00BA5CCA">
        <w:rPr>
          <w:rFonts w:cs="Arial"/>
          <w:rtl/>
        </w:rPr>
        <w:t>:</w:t>
      </w:r>
      <w:r>
        <w:rPr>
          <w:rFonts w:hint="cs"/>
          <w:sz w:val="14"/>
          <w:szCs w:val="14"/>
          <w:rtl/>
        </w:rPr>
        <w:t xml:space="preserve"> (סד.)</w:t>
      </w:r>
      <w:r w:rsidRPr="005A6BAC">
        <w:rPr>
          <w:rtl/>
        </w:rPr>
        <w:t xml:space="preserve"> </w:t>
      </w:r>
      <w:r w:rsidRPr="00BA5CCA">
        <w:rPr>
          <w:rFonts w:cs="Arial"/>
          <w:rtl/>
        </w:rPr>
        <w:t>משום דרב זביד גברא רבה הוא</w:t>
      </w:r>
      <w:r w:rsidR="002616BC">
        <w:rPr>
          <w:rStyle w:val="a7"/>
          <w:rFonts w:cs="Arial"/>
          <w:rtl/>
        </w:rPr>
        <w:footnoteReference w:id="525"/>
      </w:r>
      <w:r w:rsidRPr="00BA5CCA">
        <w:rPr>
          <w:rFonts w:cs="Arial"/>
          <w:rtl/>
        </w:rPr>
        <w:t xml:space="preserve"> אפכיתו ליה לדינא</w:t>
      </w:r>
      <w:r w:rsidR="002616BC">
        <w:rPr>
          <w:rStyle w:val="a7"/>
          <w:rFonts w:cs="Arial"/>
          <w:rtl/>
        </w:rPr>
        <w:footnoteReference w:id="526"/>
      </w:r>
      <w:r w:rsidRPr="00BA5CCA">
        <w:rPr>
          <w:rFonts w:cs="Arial"/>
          <w:rtl/>
        </w:rPr>
        <w:t xml:space="preserve"> עילויה? האמר רב כהנא: מיבעיא בעי לה רבא ולא פשיט. השתא דלא אתמר לא הכי ולא הכי, תפסה - לא מפקינן מינה, לא תפסה - לא יהבינן לה, ומשהינן לה</w:t>
      </w:r>
      <w:r w:rsidR="002616BC">
        <w:rPr>
          <w:rStyle w:val="a7"/>
          <w:rFonts w:cs="Arial"/>
          <w:rtl/>
        </w:rPr>
        <w:footnoteReference w:id="527"/>
      </w:r>
      <w:r w:rsidRPr="00BA5CCA">
        <w:rPr>
          <w:rFonts w:cs="Arial"/>
          <w:rtl/>
        </w:rPr>
        <w:t xml:space="preserve"> תריסר ירחי שתא אגיטא, ובהנך תריסר ירחי שתא לית לה מזוני מבעל.</w:t>
      </w:r>
    </w:p>
    <w:p w14:paraId="064F3A11" w14:textId="3D754277" w:rsidR="00530F9D" w:rsidRPr="00530F9D" w:rsidRDefault="00530F9D" w:rsidP="00530F9D">
      <w:pPr>
        <w:rPr>
          <w:rFonts w:cs="Arial"/>
        </w:rPr>
      </w:pPr>
      <w:r w:rsidRPr="005A6BAC">
        <w:rPr>
          <w:rFonts w:hint="cs"/>
          <w:u w:val="single"/>
          <w:rtl/>
        </w:rPr>
        <w:t>מורדת על בעלה</w:t>
      </w:r>
      <w:r>
        <w:rPr>
          <w:rFonts w:hint="cs"/>
          <w:u w:val="single"/>
          <w:rtl/>
        </w:rPr>
        <w:t xml:space="preserve"> </w:t>
      </w:r>
      <w:r w:rsidR="00BC69B3">
        <w:rPr>
          <w:rFonts w:hint="cs"/>
          <w:u w:val="single"/>
          <w:rtl/>
        </w:rPr>
        <w:t>-</w:t>
      </w:r>
      <w:r>
        <w:rPr>
          <w:rFonts w:hint="cs"/>
          <w:u w:val="single"/>
          <w:rtl/>
        </w:rPr>
        <w:t xml:space="preserve"> תקנה </w:t>
      </w:r>
      <w:r w:rsidR="003A6A88">
        <w:rPr>
          <w:rFonts w:hint="cs"/>
          <w:u w:val="single"/>
          <w:rtl/>
        </w:rPr>
        <w:t>שלישית</w:t>
      </w:r>
      <w:r w:rsidR="00DD0BB0">
        <w:rPr>
          <w:rFonts w:hint="cs"/>
          <w:u w:val="single"/>
          <w:rtl/>
        </w:rPr>
        <w:t xml:space="preserve"> </w:t>
      </w:r>
      <w:r w:rsidR="00DD0BB0" w:rsidRPr="00DD0BB0">
        <w:rPr>
          <w:rFonts w:hint="cs"/>
          <w:sz w:val="16"/>
          <w:szCs w:val="16"/>
          <w:u w:val="single"/>
          <w:rtl/>
        </w:rPr>
        <w:t xml:space="preserve">(לאחר </w:t>
      </w:r>
      <w:r w:rsidR="00A258BE">
        <w:rPr>
          <w:rFonts w:hint="cs"/>
          <w:sz w:val="16"/>
          <w:szCs w:val="16"/>
          <w:u w:val="single"/>
          <w:rtl/>
        </w:rPr>
        <w:t>תקנת</w:t>
      </w:r>
      <w:r w:rsidR="00DD0BB0">
        <w:rPr>
          <w:rFonts w:hint="cs"/>
          <w:sz w:val="16"/>
          <w:szCs w:val="16"/>
          <w:u w:val="single"/>
          <w:rtl/>
        </w:rPr>
        <w:t xml:space="preserve"> </w:t>
      </w:r>
      <w:r w:rsidR="00A258BE">
        <w:rPr>
          <w:rFonts w:hint="cs"/>
          <w:sz w:val="16"/>
          <w:szCs w:val="16"/>
          <w:u w:val="single"/>
          <w:rtl/>
        </w:rPr>
        <w:t xml:space="preserve">המשנה </w:t>
      </w:r>
      <w:r w:rsidR="00DD0BB0">
        <w:rPr>
          <w:rFonts w:hint="cs"/>
          <w:sz w:val="16"/>
          <w:szCs w:val="16"/>
          <w:u w:val="single"/>
          <w:rtl/>
        </w:rPr>
        <w:t>ותקנ</w:t>
      </w:r>
      <w:r w:rsidR="003A6A88">
        <w:rPr>
          <w:rFonts w:hint="cs"/>
          <w:sz w:val="16"/>
          <w:szCs w:val="16"/>
          <w:u w:val="single"/>
          <w:rtl/>
        </w:rPr>
        <w:t>ת רבותינו</w:t>
      </w:r>
      <w:r w:rsidR="00DD0BB0">
        <w:rPr>
          <w:rFonts w:hint="cs"/>
          <w:sz w:val="16"/>
          <w:szCs w:val="16"/>
          <w:u w:val="single"/>
          <w:rtl/>
        </w:rPr>
        <w:t>)</w:t>
      </w:r>
      <w:r w:rsidRPr="005A6BAC">
        <w:rPr>
          <w:rFonts w:hint="cs"/>
          <w:u w:val="single"/>
          <w:rtl/>
        </w:rPr>
        <w:t>:</w:t>
      </w:r>
    </w:p>
    <w:p w14:paraId="298E85C4" w14:textId="737C8830" w:rsidR="003A0E8F" w:rsidRPr="001F501A" w:rsidRDefault="00551669" w:rsidP="009000E3">
      <w:pPr>
        <w:pStyle w:val="ab"/>
        <w:numPr>
          <w:ilvl w:val="0"/>
          <w:numId w:val="27"/>
        </w:numPr>
        <w:rPr>
          <w:rFonts w:cs="Arial"/>
        </w:rPr>
      </w:pPr>
      <w:r>
        <w:rPr>
          <w:rFonts w:cs="Arial" w:hint="cs"/>
          <w:rtl/>
        </w:rPr>
        <w:lastRenderedPageBreak/>
        <w:t xml:space="preserve">רא"ש </w:t>
      </w:r>
      <w:r>
        <w:rPr>
          <w:rFonts w:cs="Arial" w:hint="cs"/>
          <w:sz w:val="16"/>
          <w:szCs w:val="16"/>
          <w:rtl/>
        </w:rPr>
        <w:t>(פ"ה סי' לד)</w:t>
      </w:r>
      <w:r>
        <w:rPr>
          <w:rFonts w:cs="Arial" w:hint="cs"/>
          <w:rtl/>
        </w:rPr>
        <w:t xml:space="preserve"> ו</w:t>
      </w:r>
      <w:r w:rsidR="00530F9D">
        <w:rPr>
          <w:rFonts w:cs="Arial" w:hint="cs"/>
          <w:rtl/>
        </w:rPr>
        <w:t xml:space="preserve">טור- </w:t>
      </w:r>
      <w:r w:rsidR="00530F9D" w:rsidRPr="00897A64">
        <w:rPr>
          <w:rFonts w:cs="Arial"/>
          <w:rtl/>
        </w:rPr>
        <w:t>ושוב הוסיפו לתקן</w:t>
      </w:r>
      <w:r w:rsidR="00764391">
        <w:rPr>
          <w:rStyle w:val="a7"/>
          <w:rFonts w:cs="Arial"/>
          <w:rtl/>
        </w:rPr>
        <w:footnoteReference w:id="528"/>
      </w:r>
      <w:r w:rsidR="00530F9D" w:rsidRPr="00897A64">
        <w:rPr>
          <w:rFonts w:cs="Arial"/>
          <w:rtl/>
        </w:rPr>
        <w:t xml:space="preserve"> שימתינו לה י"ב חדש ואז יגרשנה אם ירצה בלא כתובה</w:t>
      </w:r>
      <w:r w:rsidR="008F7F12">
        <w:rPr>
          <w:rStyle w:val="a7"/>
          <w:rFonts w:cs="Arial"/>
          <w:rtl/>
        </w:rPr>
        <w:footnoteReference w:id="529"/>
      </w:r>
      <w:r w:rsidR="00534FB8">
        <w:rPr>
          <w:rFonts w:cs="Arial" w:hint="cs"/>
          <w:rtl/>
        </w:rPr>
        <w:t>.</w:t>
      </w:r>
      <w:r w:rsidR="00530F9D" w:rsidRPr="00897A64">
        <w:rPr>
          <w:rFonts w:cs="Arial"/>
          <w:rtl/>
        </w:rPr>
        <w:t xml:space="preserve"> ובתוך השנה אם בא לגרשה צריך ליתן לה כתובה</w:t>
      </w:r>
      <w:r w:rsidR="00534FB8">
        <w:rPr>
          <w:rFonts w:cs="Arial" w:hint="cs"/>
          <w:rtl/>
        </w:rPr>
        <w:t>.</w:t>
      </w:r>
      <w:r w:rsidR="00530F9D" w:rsidRPr="00897A64">
        <w:rPr>
          <w:rFonts w:cs="Arial"/>
          <w:rtl/>
        </w:rPr>
        <w:t xml:space="preserve"> ובתוך השנה אין נותן לה מזונות</w:t>
      </w:r>
      <w:r w:rsidR="00530F9D">
        <w:rPr>
          <w:rFonts w:cs="Arial" w:hint="cs"/>
          <w:rtl/>
        </w:rPr>
        <w:t>,</w:t>
      </w:r>
      <w:r w:rsidR="00530F9D" w:rsidRPr="00897A64">
        <w:rPr>
          <w:rFonts w:cs="Arial"/>
          <w:rtl/>
        </w:rPr>
        <w:t xml:space="preserve"> ומעשה ידיה שלה</w:t>
      </w:r>
      <w:r w:rsidR="00530F9D">
        <w:rPr>
          <w:rFonts w:cs="Arial" w:hint="cs"/>
          <w:rtl/>
        </w:rPr>
        <w:t>,</w:t>
      </w:r>
      <w:r w:rsidR="00530F9D" w:rsidRPr="00897A64">
        <w:rPr>
          <w:rFonts w:cs="Arial"/>
          <w:rtl/>
        </w:rPr>
        <w:t xml:space="preserve"> אבל נוטל פירותיה ויורשה אם תמות</w:t>
      </w:r>
      <w:r w:rsidR="00530F9D">
        <w:rPr>
          <w:rFonts w:cs="Arial" w:hint="cs"/>
          <w:rtl/>
        </w:rPr>
        <w:t>,</w:t>
      </w:r>
      <w:r w:rsidR="00530F9D" w:rsidRPr="00897A64">
        <w:rPr>
          <w:rFonts w:cs="Arial"/>
          <w:rtl/>
        </w:rPr>
        <w:t xml:space="preserve"> וחייב בפדיונה ובקבורתה</w:t>
      </w:r>
      <w:r>
        <w:rPr>
          <w:rFonts w:cs="Arial" w:hint="cs"/>
          <w:sz w:val="16"/>
          <w:szCs w:val="16"/>
          <w:rtl/>
        </w:rPr>
        <w:t xml:space="preserve"> (ל' הטור)</w:t>
      </w:r>
      <w:r w:rsidR="00530F9D">
        <w:rPr>
          <w:rFonts w:cs="Arial" w:hint="cs"/>
          <w:rtl/>
        </w:rPr>
        <w:t>.</w:t>
      </w:r>
      <w:r w:rsidR="00530F9D" w:rsidRPr="00897A64">
        <w:rPr>
          <w:rFonts w:cs="Arial"/>
          <w:rtl/>
        </w:rPr>
        <w:t xml:space="preserve"> </w:t>
      </w:r>
      <w:r w:rsidR="001F501A" w:rsidRPr="0087405A">
        <w:rPr>
          <w:rFonts w:cs="Arial" w:hint="cs"/>
          <w:color w:val="00B0F0"/>
          <w:rtl/>
        </w:rPr>
        <w:t>(וכ"פ הרמ"א)</w:t>
      </w:r>
    </w:p>
    <w:p w14:paraId="068A843F" w14:textId="0B24C1DC" w:rsidR="00225FB6" w:rsidRDefault="00225FB6" w:rsidP="009000E3">
      <w:pPr>
        <w:pStyle w:val="ab"/>
        <w:numPr>
          <w:ilvl w:val="0"/>
          <w:numId w:val="27"/>
        </w:numPr>
        <w:rPr>
          <w:rFonts w:cs="Arial"/>
        </w:rPr>
      </w:pPr>
      <w:r>
        <w:rPr>
          <w:rFonts w:cs="Arial" w:hint="cs"/>
          <w:rtl/>
        </w:rPr>
        <w:t xml:space="preserve">רמב"ם </w:t>
      </w:r>
      <w:r>
        <w:rPr>
          <w:rFonts w:cs="Arial" w:hint="cs"/>
          <w:sz w:val="16"/>
          <w:szCs w:val="16"/>
          <w:rtl/>
        </w:rPr>
        <w:t>(פי"ד מאישות ה"י)</w:t>
      </w:r>
      <w:r>
        <w:rPr>
          <w:rFonts w:cs="Arial" w:hint="cs"/>
          <w:rtl/>
        </w:rPr>
        <w:t xml:space="preserve">- </w:t>
      </w:r>
      <w:r w:rsidRPr="00225FB6">
        <w:rPr>
          <w:rFonts w:cs="Arial"/>
          <w:rtl/>
        </w:rPr>
        <w:t>אין נותנין לה גט עד שנים עשר חדש ואין לה מזונות כל שנים עשר חדש, ואם מתה קודם הגט בעלה יורשה</w:t>
      </w:r>
      <w:r>
        <w:rPr>
          <w:rFonts w:cs="Arial" w:hint="cs"/>
          <w:rtl/>
        </w:rPr>
        <w:t>.</w:t>
      </w:r>
      <w:r w:rsidR="00DD4860" w:rsidRPr="00DD4860">
        <w:rPr>
          <w:rFonts w:cs="Arial" w:hint="cs"/>
          <w:color w:val="E36C0A" w:themeColor="accent6" w:themeShade="BF"/>
          <w:rtl/>
        </w:rPr>
        <w:t xml:space="preserve"> (וכ"פ בשו"ע)</w:t>
      </w:r>
    </w:p>
    <w:p w14:paraId="63057D9A" w14:textId="37498740" w:rsidR="00522F20" w:rsidRPr="00522F20" w:rsidRDefault="00522F20" w:rsidP="00522F20">
      <w:pPr>
        <w:ind w:left="360"/>
        <w:rPr>
          <w:rFonts w:cs="Arial"/>
          <w:u w:val="dotted"/>
        </w:rPr>
      </w:pPr>
      <w:r w:rsidRPr="00522F20">
        <w:rPr>
          <w:rFonts w:cs="Arial" w:hint="cs"/>
          <w:u w:val="dotted"/>
          <w:rtl/>
        </w:rPr>
        <w:t>ומה הדין אם הוא/היא חזרו בהם:</w:t>
      </w:r>
      <w:r w:rsidRPr="00522F20">
        <w:rPr>
          <w:rFonts w:cs="Arial" w:hint="cs"/>
          <w:sz w:val="16"/>
          <w:szCs w:val="16"/>
          <w:rtl/>
        </w:rPr>
        <w:t xml:space="preserve"> </w:t>
      </w:r>
      <w:r>
        <w:rPr>
          <w:rFonts w:cs="Arial" w:hint="cs"/>
          <w:sz w:val="16"/>
          <w:szCs w:val="16"/>
          <w:rtl/>
        </w:rPr>
        <w:t xml:space="preserve"> (דרכ"מ אות ח)</w:t>
      </w:r>
    </w:p>
    <w:p w14:paraId="172AD647" w14:textId="1CA45086" w:rsidR="00393867" w:rsidRDefault="00522F20" w:rsidP="009000E3">
      <w:pPr>
        <w:pStyle w:val="ab"/>
        <w:numPr>
          <w:ilvl w:val="0"/>
          <w:numId w:val="27"/>
        </w:numPr>
        <w:rPr>
          <w:rFonts w:cs="Arial"/>
        </w:rPr>
      </w:pPr>
      <w:r w:rsidRPr="00897A64">
        <w:rPr>
          <w:rFonts w:cs="Arial"/>
          <w:rtl/>
        </w:rPr>
        <w:t xml:space="preserve">רשב"א </w:t>
      </w:r>
      <w:r w:rsidRPr="00393867">
        <w:rPr>
          <w:rFonts w:cs="Arial"/>
          <w:sz w:val="16"/>
          <w:szCs w:val="16"/>
          <w:rtl/>
        </w:rPr>
        <w:t>(ח"א סי</w:t>
      </w:r>
      <w:r w:rsidRPr="00393867">
        <w:rPr>
          <w:rFonts w:cs="Arial" w:hint="cs"/>
          <w:sz w:val="16"/>
          <w:szCs w:val="16"/>
          <w:rtl/>
        </w:rPr>
        <w:t>'</w:t>
      </w:r>
      <w:r w:rsidRPr="00393867">
        <w:rPr>
          <w:rFonts w:cs="Arial"/>
          <w:sz w:val="16"/>
          <w:szCs w:val="16"/>
          <w:rtl/>
        </w:rPr>
        <w:t xml:space="preserve"> תתסא</w:t>
      </w:r>
      <w:r w:rsidRPr="00393867">
        <w:rPr>
          <w:rFonts w:cs="Arial" w:hint="cs"/>
          <w:sz w:val="16"/>
          <w:szCs w:val="16"/>
          <w:rtl/>
        </w:rPr>
        <w:t>)</w:t>
      </w:r>
      <w:r w:rsidRPr="00897A64">
        <w:rPr>
          <w:rFonts w:cs="Arial"/>
          <w:rtl/>
        </w:rPr>
        <w:t xml:space="preserve"> ר"ן </w:t>
      </w:r>
      <w:r w:rsidRPr="00393867">
        <w:rPr>
          <w:rFonts w:cs="Arial" w:hint="cs"/>
          <w:sz w:val="16"/>
          <w:szCs w:val="16"/>
          <w:rtl/>
        </w:rPr>
        <w:t xml:space="preserve">(שם </w:t>
      </w:r>
      <w:r w:rsidRPr="00393867">
        <w:rPr>
          <w:rFonts w:cs="Arial"/>
          <w:sz w:val="16"/>
          <w:szCs w:val="16"/>
          <w:rtl/>
        </w:rPr>
        <w:t>כז: דיבור ראשון)</w:t>
      </w:r>
      <w:r>
        <w:rPr>
          <w:rFonts w:cs="Arial" w:hint="cs"/>
          <w:sz w:val="16"/>
          <w:szCs w:val="16"/>
          <w:rtl/>
        </w:rPr>
        <w:t xml:space="preserve"> </w:t>
      </w:r>
      <w:r>
        <w:rPr>
          <w:rFonts w:cs="Arial" w:hint="cs"/>
          <w:rtl/>
        </w:rPr>
        <w:t>והה"מ</w:t>
      </w:r>
      <w:r w:rsidRPr="00897A64">
        <w:rPr>
          <w:rFonts w:cs="Arial"/>
          <w:rtl/>
        </w:rPr>
        <w:t xml:space="preserve"> </w:t>
      </w:r>
      <w:r w:rsidRPr="00393867">
        <w:rPr>
          <w:rFonts w:cs="Arial" w:hint="cs"/>
          <w:sz w:val="16"/>
          <w:szCs w:val="16"/>
          <w:rtl/>
        </w:rPr>
        <w:t>(</w:t>
      </w:r>
      <w:r w:rsidRPr="00393867">
        <w:rPr>
          <w:rFonts w:cs="Arial"/>
          <w:sz w:val="16"/>
          <w:szCs w:val="16"/>
          <w:rtl/>
        </w:rPr>
        <w:t>פי"ד דאישות ה"ח)</w:t>
      </w:r>
      <w:r>
        <w:rPr>
          <w:rFonts w:cs="Arial" w:hint="cs"/>
          <w:rtl/>
        </w:rPr>
        <w:t xml:space="preserve">- </w:t>
      </w:r>
      <w:r w:rsidRPr="00897A64">
        <w:rPr>
          <w:rFonts w:cs="Arial"/>
          <w:rtl/>
        </w:rPr>
        <w:t>לאחר י"ב חודש אינה יכולה לחזור</w:t>
      </w:r>
      <w:r w:rsidR="007A761E">
        <w:rPr>
          <w:rFonts w:cs="Arial" w:hint="cs"/>
          <w:rtl/>
        </w:rPr>
        <w:t>,</w:t>
      </w:r>
      <w:r w:rsidRPr="00897A64">
        <w:rPr>
          <w:rFonts w:cs="Arial"/>
          <w:rtl/>
        </w:rPr>
        <w:t xml:space="preserve"> אבל תוך י"ב חודש יכולה לחזור</w:t>
      </w:r>
      <w:r>
        <w:rPr>
          <w:rFonts w:cs="Arial" w:hint="cs"/>
          <w:rtl/>
        </w:rPr>
        <w:t>.</w:t>
      </w:r>
      <w:r w:rsidRPr="00897A64">
        <w:rPr>
          <w:rFonts w:cs="Arial"/>
          <w:rtl/>
        </w:rPr>
        <w:t xml:space="preserve"> ואם מת הבעל תוך י"ב חודש גובה כתובתה מן היורשים</w:t>
      </w:r>
      <w:r>
        <w:rPr>
          <w:rFonts w:cs="Arial" w:hint="cs"/>
          <w:rtl/>
        </w:rPr>
        <w:t>.</w:t>
      </w:r>
      <w:r w:rsidRPr="00897A64">
        <w:rPr>
          <w:rFonts w:cs="Arial"/>
          <w:rtl/>
        </w:rPr>
        <w:t xml:space="preserve"> ולאחר י"ב חודש אם רוצה הבעל לקיימה כותב לה כתובה אחרת</w:t>
      </w:r>
      <w:r>
        <w:rPr>
          <w:rStyle w:val="a7"/>
          <w:rFonts w:cs="Arial"/>
          <w:rtl/>
        </w:rPr>
        <w:footnoteReference w:id="530"/>
      </w:r>
      <w:r>
        <w:rPr>
          <w:rFonts w:cs="Arial" w:hint="cs"/>
          <w:rtl/>
        </w:rPr>
        <w:t xml:space="preserve"> </w:t>
      </w:r>
      <w:r>
        <w:rPr>
          <w:rFonts w:cs="Arial" w:hint="cs"/>
          <w:sz w:val="16"/>
          <w:szCs w:val="16"/>
          <w:rtl/>
        </w:rPr>
        <w:t>(ל' הדרכ"מ בשם הה"מ)</w:t>
      </w:r>
      <w:r>
        <w:rPr>
          <w:rFonts w:cs="Arial" w:hint="cs"/>
          <w:rtl/>
        </w:rPr>
        <w:t>.</w:t>
      </w:r>
      <w:r w:rsidR="001F501A" w:rsidRPr="001F501A">
        <w:rPr>
          <w:rFonts w:cs="Arial" w:hint="cs"/>
          <w:color w:val="00B0F0"/>
          <w:rtl/>
        </w:rPr>
        <w:t xml:space="preserve"> </w:t>
      </w:r>
      <w:r w:rsidR="001F501A" w:rsidRPr="0087405A">
        <w:rPr>
          <w:rFonts w:cs="Arial" w:hint="cs"/>
          <w:color w:val="00B0F0"/>
          <w:rtl/>
        </w:rPr>
        <w:t>(וכ"פ הרמ"א)</w:t>
      </w:r>
    </w:p>
    <w:p w14:paraId="60543F1E" w14:textId="00EBF9C0" w:rsidR="00225FB6" w:rsidRPr="00225FB6" w:rsidRDefault="00393867" w:rsidP="00225FB6">
      <w:pPr>
        <w:ind w:left="360"/>
        <w:rPr>
          <w:rFonts w:cs="Arial"/>
          <w:u w:val="dotted"/>
        </w:rPr>
      </w:pPr>
      <w:r>
        <w:rPr>
          <w:rFonts w:cs="Arial" w:hint="cs"/>
          <w:u w:val="dotted"/>
          <w:rtl/>
        </w:rPr>
        <w:t xml:space="preserve">עמדה במרדה </w:t>
      </w:r>
      <w:r w:rsidR="00522F20">
        <w:rPr>
          <w:rFonts w:cs="Arial" w:hint="cs"/>
          <w:u w:val="dotted"/>
          <w:rtl/>
        </w:rPr>
        <w:t>גם ל</w:t>
      </w:r>
      <w:r w:rsidR="00225FB6" w:rsidRPr="00225FB6">
        <w:rPr>
          <w:rFonts w:cs="Arial" w:hint="cs"/>
          <w:u w:val="dotted"/>
          <w:rtl/>
        </w:rPr>
        <w:t xml:space="preserve">אחר י"ב: </w:t>
      </w:r>
    </w:p>
    <w:p w14:paraId="069195D2" w14:textId="1E52427D" w:rsidR="00CC6C48" w:rsidRDefault="00551669" w:rsidP="009000E3">
      <w:pPr>
        <w:pStyle w:val="ab"/>
        <w:numPr>
          <w:ilvl w:val="0"/>
          <w:numId w:val="27"/>
        </w:numPr>
        <w:rPr>
          <w:rFonts w:cs="Arial"/>
        </w:rPr>
      </w:pPr>
      <w:r>
        <w:rPr>
          <w:rFonts w:cs="Arial" w:hint="cs"/>
          <w:rtl/>
        </w:rPr>
        <w:t xml:space="preserve">רא"ש </w:t>
      </w:r>
      <w:r>
        <w:rPr>
          <w:rFonts w:cs="Arial" w:hint="cs"/>
          <w:sz w:val="16"/>
          <w:szCs w:val="16"/>
          <w:rtl/>
        </w:rPr>
        <w:t>(פ"ה סי' לד</w:t>
      </w:r>
      <w:r w:rsidR="00620C2F">
        <w:rPr>
          <w:rFonts w:cs="Arial" w:hint="cs"/>
          <w:sz w:val="16"/>
          <w:szCs w:val="16"/>
          <w:rtl/>
        </w:rPr>
        <w:t>, ובתשו' כלל מג סי' ו</w:t>
      </w:r>
      <w:r>
        <w:rPr>
          <w:rFonts w:cs="Arial" w:hint="cs"/>
          <w:sz w:val="16"/>
          <w:szCs w:val="16"/>
          <w:rtl/>
        </w:rPr>
        <w:t>)</w:t>
      </w:r>
      <w:r>
        <w:rPr>
          <w:rFonts w:cs="Arial" w:hint="cs"/>
          <w:rtl/>
        </w:rPr>
        <w:t xml:space="preserve"> וטור</w:t>
      </w:r>
      <w:r w:rsidR="003A0E8F">
        <w:rPr>
          <w:rFonts w:cs="Arial" w:hint="cs"/>
          <w:rtl/>
        </w:rPr>
        <w:t xml:space="preserve">- </w:t>
      </w:r>
      <w:r w:rsidR="00530F9D" w:rsidRPr="00897A64">
        <w:rPr>
          <w:rFonts w:cs="Arial"/>
          <w:rtl/>
        </w:rPr>
        <w:t>וכשיוצאת לאחר השנה אין לה לא מנה ולא מאתים ולא תוספת</w:t>
      </w:r>
      <w:r w:rsidR="00530F9D">
        <w:rPr>
          <w:rStyle w:val="a7"/>
          <w:rFonts w:cs="Arial"/>
          <w:rtl/>
        </w:rPr>
        <w:footnoteReference w:id="531"/>
      </w:r>
      <w:r w:rsidR="00530F9D">
        <w:rPr>
          <w:rFonts w:cs="Arial" w:hint="cs"/>
          <w:rtl/>
        </w:rPr>
        <w:t>,</w:t>
      </w:r>
      <w:r w:rsidR="00530F9D" w:rsidRPr="00897A64">
        <w:rPr>
          <w:rFonts w:cs="Arial"/>
          <w:rtl/>
        </w:rPr>
        <w:t xml:space="preserve"> ואפילו בגדים שקנה לה יפשוט מעליה</w:t>
      </w:r>
      <w:r w:rsidR="00530F9D">
        <w:rPr>
          <w:rFonts w:cs="Arial" w:hint="cs"/>
          <w:rtl/>
        </w:rPr>
        <w:t>,</w:t>
      </w:r>
      <w:r w:rsidR="00530F9D" w:rsidRPr="00897A64">
        <w:rPr>
          <w:rFonts w:cs="Arial"/>
          <w:rtl/>
        </w:rPr>
        <w:t xml:space="preserve"> דאדעתא למישקל ולמיפק לא זבין לה</w:t>
      </w:r>
      <w:r w:rsidR="00530F9D">
        <w:rPr>
          <w:rFonts w:cs="Arial" w:hint="cs"/>
          <w:rtl/>
        </w:rPr>
        <w:t>.</w:t>
      </w:r>
      <w:r w:rsidR="00530F9D" w:rsidRPr="00897A64">
        <w:rPr>
          <w:rFonts w:cs="Arial"/>
          <w:rtl/>
        </w:rPr>
        <w:t xml:space="preserve"> ונכסי צאן ברזל שלה</w:t>
      </w:r>
      <w:r w:rsidR="00530F9D">
        <w:rPr>
          <w:rFonts w:cs="Arial" w:hint="cs"/>
          <w:rtl/>
        </w:rPr>
        <w:t>,</w:t>
      </w:r>
      <w:r w:rsidR="00530F9D" w:rsidRPr="00897A64">
        <w:rPr>
          <w:rFonts w:cs="Arial"/>
          <w:rtl/>
        </w:rPr>
        <w:t xml:space="preserve"> אם הכניסה לו קרקע </w:t>
      </w:r>
      <w:r w:rsidR="00530F9D">
        <w:rPr>
          <w:rFonts w:cs="Arial" w:hint="cs"/>
          <w:rtl/>
        </w:rPr>
        <w:t xml:space="preserve">- </w:t>
      </w:r>
      <w:r w:rsidR="00530F9D" w:rsidRPr="00897A64">
        <w:rPr>
          <w:rFonts w:cs="Arial"/>
          <w:rtl/>
        </w:rPr>
        <w:t>ברשותה הוא ונוטלתן</w:t>
      </w:r>
      <w:r w:rsidR="00530F9D">
        <w:rPr>
          <w:rFonts w:cs="Arial" w:hint="cs"/>
          <w:rtl/>
        </w:rPr>
        <w:t>,</w:t>
      </w:r>
      <w:r w:rsidR="00530F9D" w:rsidRPr="00897A64">
        <w:rPr>
          <w:rFonts w:cs="Arial"/>
          <w:rtl/>
        </w:rPr>
        <w:t xml:space="preserve"> ואם הם מטלטלין </w:t>
      </w:r>
      <w:r w:rsidR="00530F9D">
        <w:rPr>
          <w:rFonts w:cs="Arial" w:hint="cs"/>
          <w:rtl/>
        </w:rPr>
        <w:t xml:space="preserve">- </w:t>
      </w:r>
      <w:r w:rsidR="00530F9D" w:rsidRPr="00897A64">
        <w:rPr>
          <w:rFonts w:cs="Arial"/>
          <w:rtl/>
        </w:rPr>
        <w:t>מה שתפסה מהן אין מוציאין מידה</w:t>
      </w:r>
      <w:r w:rsidR="00530F9D">
        <w:rPr>
          <w:rFonts w:cs="Arial" w:hint="cs"/>
          <w:rtl/>
        </w:rPr>
        <w:t>,</w:t>
      </w:r>
      <w:r w:rsidR="00530F9D" w:rsidRPr="00897A64">
        <w:rPr>
          <w:rFonts w:cs="Arial"/>
          <w:rtl/>
        </w:rPr>
        <w:t xml:space="preserve"> ומה שלא תפסה </w:t>
      </w:r>
      <w:r w:rsidR="00530F9D">
        <w:rPr>
          <w:rFonts w:cs="Arial" w:hint="cs"/>
          <w:rtl/>
        </w:rPr>
        <w:t xml:space="preserve">- </w:t>
      </w:r>
      <w:r w:rsidR="00530F9D" w:rsidRPr="00897A64">
        <w:rPr>
          <w:rFonts w:cs="Arial"/>
          <w:rtl/>
        </w:rPr>
        <w:t>אין מוציאין מן הבעל</w:t>
      </w:r>
      <w:r w:rsidR="00530F9D">
        <w:rPr>
          <w:rFonts w:cs="Arial" w:hint="cs"/>
          <w:rtl/>
        </w:rPr>
        <w:t>.</w:t>
      </w:r>
      <w:r w:rsidR="00530F9D" w:rsidRPr="00897A64">
        <w:rPr>
          <w:rFonts w:cs="Arial"/>
          <w:rtl/>
        </w:rPr>
        <w:t xml:space="preserve"> ונכסי מלוג ברשותה הן ונוטלתם</w:t>
      </w:r>
      <w:r w:rsidR="00534FB8">
        <w:rPr>
          <w:rFonts w:hint="cs"/>
          <w:sz w:val="16"/>
          <w:szCs w:val="16"/>
          <w:rtl/>
        </w:rPr>
        <w:t xml:space="preserve"> </w:t>
      </w:r>
      <w:r w:rsidR="00534FB8" w:rsidRPr="00534FB8">
        <w:rPr>
          <w:rFonts w:hint="cs"/>
          <w:sz w:val="16"/>
          <w:szCs w:val="16"/>
          <w:rtl/>
        </w:rPr>
        <w:t>(ל' הטור)</w:t>
      </w:r>
      <w:r w:rsidR="00530F9D">
        <w:rPr>
          <w:rFonts w:cs="Arial" w:hint="cs"/>
          <w:rtl/>
        </w:rPr>
        <w:t>.</w:t>
      </w:r>
      <w:r w:rsidR="00530F9D" w:rsidRPr="00897A64">
        <w:rPr>
          <w:rFonts w:cs="Arial"/>
          <w:rtl/>
        </w:rPr>
        <w:t xml:space="preserve"> </w:t>
      </w:r>
      <w:r w:rsidR="0013364A" w:rsidRPr="0087405A">
        <w:rPr>
          <w:rFonts w:cs="Arial" w:hint="cs"/>
          <w:color w:val="00B0F0"/>
          <w:rtl/>
        </w:rPr>
        <w:t>(וכ"פ הרמ"א</w:t>
      </w:r>
      <w:r w:rsidR="004A1C38">
        <w:rPr>
          <w:rFonts w:cs="Arial" w:hint="cs"/>
          <w:color w:val="000000" w:themeColor="text1"/>
          <w:sz w:val="16"/>
          <w:szCs w:val="16"/>
          <w:rtl/>
        </w:rPr>
        <w:t xml:space="preserve"> </w:t>
      </w:r>
      <w:r w:rsidR="004A1C38" w:rsidRPr="004A1C38">
        <w:rPr>
          <w:rFonts w:cs="Arial" w:hint="cs"/>
          <w:color w:val="000000" w:themeColor="text1"/>
          <w:sz w:val="16"/>
          <w:szCs w:val="16"/>
          <w:rtl/>
        </w:rPr>
        <w:t>[</w:t>
      </w:r>
      <w:r w:rsidR="004A1C38">
        <w:rPr>
          <w:rFonts w:cs="Arial" w:hint="cs"/>
          <w:color w:val="000000" w:themeColor="text1"/>
          <w:sz w:val="16"/>
          <w:szCs w:val="16"/>
          <w:rtl/>
        </w:rPr>
        <w:t>בסע' ג</w:t>
      </w:r>
      <w:r w:rsidR="004A1C38" w:rsidRPr="004A1C38">
        <w:rPr>
          <w:rFonts w:cs="Arial" w:hint="cs"/>
          <w:color w:val="000000" w:themeColor="text1"/>
          <w:sz w:val="16"/>
          <w:szCs w:val="16"/>
          <w:rtl/>
        </w:rPr>
        <w:t>]</w:t>
      </w:r>
      <w:r w:rsidR="0013364A" w:rsidRPr="0087405A">
        <w:rPr>
          <w:rFonts w:cs="Arial" w:hint="cs"/>
          <w:color w:val="00B0F0"/>
          <w:rtl/>
        </w:rPr>
        <w:t>)</w:t>
      </w:r>
    </w:p>
    <w:p w14:paraId="57B5C390" w14:textId="00581457" w:rsidR="00CC6C48" w:rsidRDefault="00CC6C48" w:rsidP="009000E3">
      <w:pPr>
        <w:pStyle w:val="ab"/>
        <w:numPr>
          <w:ilvl w:val="0"/>
          <w:numId w:val="27"/>
        </w:numPr>
        <w:rPr>
          <w:rFonts w:cs="Arial"/>
        </w:rPr>
      </w:pPr>
      <w:r>
        <w:rPr>
          <w:rFonts w:cs="Arial" w:hint="cs"/>
          <w:rtl/>
        </w:rPr>
        <w:t xml:space="preserve">רמב"ם </w:t>
      </w:r>
      <w:r>
        <w:rPr>
          <w:rFonts w:cs="Arial" w:hint="cs"/>
          <w:sz w:val="16"/>
          <w:szCs w:val="16"/>
          <w:rtl/>
        </w:rPr>
        <w:t>(פי"ד מאישות הי"ג)</w:t>
      </w:r>
      <w:r>
        <w:rPr>
          <w:rFonts w:cs="Arial" w:hint="cs"/>
          <w:rtl/>
        </w:rPr>
        <w:t xml:space="preserve">- </w:t>
      </w:r>
      <w:r w:rsidRPr="00423C55">
        <w:rPr>
          <w:rFonts w:cs="Arial"/>
          <w:rtl/>
        </w:rPr>
        <w:t>המורדת הזאת כשהיא יוצאת אחר שנים עשר חדש בלא כתובה תחזיר כל דבר שהוא של בעל, אבל נכסים שהכניסה לו ובלאותיהן קיימים אם תפשה אין מוציאים מידה</w:t>
      </w:r>
      <w:r w:rsidR="005B17D8">
        <w:rPr>
          <w:rFonts w:cs="Arial" w:hint="cs"/>
          <w:rtl/>
        </w:rPr>
        <w:t>,</w:t>
      </w:r>
      <w:r w:rsidRPr="00423C55">
        <w:rPr>
          <w:rFonts w:cs="Arial"/>
          <w:rtl/>
        </w:rPr>
        <w:t xml:space="preserve"> ואם תפשן הבעל</w:t>
      </w:r>
      <w:r>
        <w:rPr>
          <w:rStyle w:val="a7"/>
          <w:rFonts w:cs="Arial"/>
          <w:rtl/>
        </w:rPr>
        <w:footnoteReference w:id="532"/>
      </w:r>
      <w:r w:rsidRPr="00423C55">
        <w:rPr>
          <w:rFonts w:cs="Arial"/>
          <w:rtl/>
        </w:rPr>
        <w:t xml:space="preserve"> אין מוציאין מידו, וכן כל מה שאבד מנכסיה שקיבל הבעל אחריותן עליו אינו משלם לה כלום. זה הוא דין התלמוד במורדת.</w:t>
      </w:r>
      <w:r w:rsidR="00DD4860" w:rsidRPr="00DD4860">
        <w:rPr>
          <w:rFonts w:cs="Arial" w:hint="cs"/>
          <w:color w:val="E36C0A" w:themeColor="accent6" w:themeShade="BF"/>
          <w:rtl/>
        </w:rPr>
        <w:t xml:space="preserve"> (וכ"פ בשו"ע</w:t>
      </w:r>
      <w:r w:rsidR="00DD4860">
        <w:rPr>
          <w:rFonts w:cs="Arial" w:hint="cs"/>
          <w:color w:val="E36C0A" w:themeColor="accent6" w:themeShade="BF"/>
          <w:sz w:val="16"/>
          <w:szCs w:val="16"/>
          <w:rtl/>
        </w:rPr>
        <w:t xml:space="preserve"> </w:t>
      </w:r>
      <w:r w:rsidR="00DD4860">
        <w:rPr>
          <w:rFonts w:cs="Arial" w:hint="cs"/>
          <w:color w:val="000000" w:themeColor="text1"/>
          <w:sz w:val="16"/>
          <w:szCs w:val="16"/>
          <w:rtl/>
        </w:rPr>
        <w:t>[בסע' ג]</w:t>
      </w:r>
      <w:r w:rsidR="00DD4860" w:rsidRPr="00DD4860">
        <w:rPr>
          <w:rFonts w:cs="Arial" w:hint="cs"/>
          <w:color w:val="E36C0A" w:themeColor="accent6" w:themeShade="BF"/>
          <w:rtl/>
        </w:rPr>
        <w:t>)</w:t>
      </w:r>
    </w:p>
    <w:p w14:paraId="179D8DE4" w14:textId="2A975AC7" w:rsidR="00CC6C48" w:rsidRPr="00F41AD2" w:rsidRDefault="00D24631" w:rsidP="00F41AD2">
      <w:pPr>
        <w:rPr>
          <w:rFonts w:cs="Arial"/>
          <w:u w:val="single"/>
        </w:rPr>
      </w:pPr>
      <w:r w:rsidRPr="00F41AD2">
        <w:rPr>
          <w:rFonts w:cs="Arial" w:hint="cs"/>
          <w:u w:val="single"/>
          <w:rtl/>
        </w:rPr>
        <w:t>על איזו מורדת תיקנו את כל הנ"ל</w:t>
      </w:r>
      <w:r w:rsidR="002B68E3" w:rsidRPr="00F41AD2">
        <w:rPr>
          <w:rFonts w:cs="Arial" w:hint="cs"/>
          <w:u w:val="single"/>
          <w:rtl/>
        </w:rPr>
        <w:t xml:space="preserve"> - </w:t>
      </w:r>
      <w:r w:rsidR="00F729B7" w:rsidRPr="00F41AD2">
        <w:rPr>
          <w:rFonts w:cs="Arial" w:hint="cs"/>
          <w:u w:val="single"/>
          <w:rtl/>
        </w:rPr>
        <w:t>על ה</w:t>
      </w:r>
      <w:r w:rsidR="00CC6C48" w:rsidRPr="00F41AD2">
        <w:rPr>
          <w:rFonts w:cs="Arial" w:hint="cs"/>
          <w:u w:val="single"/>
          <w:rtl/>
        </w:rPr>
        <w:t xml:space="preserve">אומרת 'בעינא ליה ומצערנא ליה' או </w:t>
      </w:r>
      <w:r w:rsidR="00F729B7" w:rsidRPr="00F41AD2">
        <w:rPr>
          <w:rFonts w:cs="Arial" w:hint="cs"/>
          <w:u w:val="single"/>
          <w:rtl/>
        </w:rPr>
        <w:t>כש</w:t>
      </w:r>
      <w:r w:rsidR="00CC6C48" w:rsidRPr="00F41AD2">
        <w:rPr>
          <w:rFonts w:cs="Arial" w:hint="cs"/>
          <w:u w:val="single"/>
          <w:rtl/>
        </w:rPr>
        <w:t>אומרת 'מאיס עלי':</w:t>
      </w:r>
    </w:p>
    <w:p w14:paraId="31C0E904" w14:textId="1250ED55" w:rsidR="00B23DF0" w:rsidRPr="0035110E" w:rsidRDefault="008F7F12" w:rsidP="0035110E">
      <w:pPr>
        <w:pStyle w:val="ab"/>
        <w:numPr>
          <w:ilvl w:val="0"/>
          <w:numId w:val="27"/>
        </w:numPr>
        <w:rPr>
          <w:rFonts w:cs="Arial"/>
        </w:rPr>
      </w:pPr>
      <w:r w:rsidRPr="00897A64">
        <w:rPr>
          <w:rFonts w:cs="Arial"/>
          <w:rtl/>
        </w:rPr>
        <w:t>ר"ת</w:t>
      </w:r>
      <w:r w:rsidR="00E77915">
        <w:rPr>
          <w:rStyle w:val="a7"/>
          <w:rFonts w:cs="Arial"/>
          <w:rtl/>
        </w:rPr>
        <w:footnoteReference w:id="533"/>
      </w:r>
      <w:r w:rsidRPr="00897A64">
        <w:rPr>
          <w:rFonts w:cs="Arial"/>
          <w:rtl/>
        </w:rPr>
        <w:t xml:space="preserve"> </w:t>
      </w:r>
      <w:r w:rsidRPr="008F7F12">
        <w:rPr>
          <w:rFonts w:cs="Arial" w:hint="cs"/>
          <w:sz w:val="16"/>
          <w:szCs w:val="16"/>
          <w:rtl/>
        </w:rPr>
        <w:t xml:space="preserve"> (</w:t>
      </w:r>
      <w:r w:rsidR="009679F3">
        <w:rPr>
          <w:rFonts w:cs="Arial" w:hint="cs"/>
          <w:sz w:val="16"/>
          <w:szCs w:val="16"/>
          <w:rtl/>
        </w:rPr>
        <w:t xml:space="preserve">כ"כ בשמו </w:t>
      </w:r>
      <w:r w:rsidR="0046124B">
        <w:rPr>
          <w:rFonts w:cs="Arial" w:hint="cs"/>
          <w:sz w:val="16"/>
          <w:szCs w:val="16"/>
          <w:rtl/>
        </w:rPr>
        <w:t xml:space="preserve">תוס' </w:t>
      </w:r>
      <w:r w:rsidR="009679F3">
        <w:rPr>
          <w:rFonts w:cs="Arial" w:hint="cs"/>
          <w:sz w:val="16"/>
          <w:szCs w:val="16"/>
          <w:rtl/>
        </w:rPr>
        <w:t>[</w:t>
      </w:r>
      <w:r w:rsidR="0046124B" w:rsidRPr="0046124B">
        <w:rPr>
          <w:rFonts w:cs="Arial"/>
          <w:sz w:val="16"/>
          <w:szCs w:val="16"/>
          <w:rtl/>
        </w:rPr>
        <w:t>סג: ד"ה אבל</w:t>
      </w:r>
      <w:r w:rsidR="009679F3">
        <w:rPr>
          <w:rFonts w:cs="Arial" w:hint="cs"/>
          <w:sz w:val="16"/>
          <w:szCs w:val="16"/>
          <w:rtl/>
        </w:rPr>
        <w:t>]</w:t>
      </w:r>
      <w:r w:rsidR="0046124B">
        <w:rPr>
          <w:rFonts w:cs="Arial" w:hint="cs"/>
          <w:sz w:val="16"/>
          <w:szCs w:val="16"/>
          <w:rtl/>
        </w:rPr>
        <w:t xml:space="preserve"> </w:t>
      </w:r>
      <w:r w:rsidRPr="008F7F12">
        <w:rPr>
          <w:rFonts w:cs="Arial" w:hint="cs"/>
          <w:sz w:val="16"/>
          <w:szCs w:val="16"/>
          <w:rtl/>
        </w:rPr>
        <w:t xml:space="preserve">רא"ש </w:t>
      </w:r>
      <w:r>
        <w:rPr>
          <w:rFonts w:cs="Arial" w:hint="cs"/>
          <w:sz w:val="16"/>
          <w:szCs w:val="16"/>
          <w:rtl/>
        </w:rPr>
        <w:t xml:space="preserve">[שם] </w:t>
      </w:r>
      <w:r w:rsidRPr="008F7F12">
        <w:rPr>
          <w:rFonts w:cs="Arial" w:hint="cs"/>
          <w:sz w:val="16"/>
          <w:szCs w:val="16"/>
          <w:rtl/>
        </w:rPr>
        <w:t>וטור)</w:t>
      </w:r>
      <w:r>
        <w:rPr>
          <w:rFonts w:cs="Arial" w:hint="cs"/>
          <w:rtl/>
        </w:rPr>
        <w:t xml:space="preserve"> רא"ש </w:t>
      </w:r>
      <w:r w:rsidRPr="008F7F12">
        <w:rPr>
          <w:rFonts w:cs="Arial" w:hint="cs"/>
          <w:sz w:val="16"/>
          <w:szCs w:val="16"/>
          <w:rtl/>
        </w:rPr>
        <w:t>(פ"ה סי' לד,</w:t>
      </w:r>
      <w:r w:rsidR="00F66083">
        <w:rPr>
          <w:rFonts w:cs="Arial" w:hint="cs"/>
          <w:sz w:val="16"/>
          <w:szCs w:val="16"/>
          <w:rtl/>
        </w:rPr>
        <w:t xml:space="preserve"> ו</w:t>
      </w:r>
      <w:r w:rsidR="009679F3">
        <w:rPr>
          <w:rFonts w:cs="Arial" w:hint="cs"/>
          <w:sz w:val="16"/>
          <w:szCs w:val="16"/>
          <w:rtl/>
        </w:rPr>
        <w:t xml:space="preserve">בתשו' </w:t>
      </w:r>
      <w:r w:rsidR="00F66083">
        <w:rPr>
          <w:rFonts w:cs="Arial" w:hint="cs"/>
          <w:sz w:val="16"/>
          <w:szCs w:val="16"/>
          <w:rtl/>
        </w:rPr>
        <w:t>בכלל מג סי' ו</w:t>
      </w:r>
      <w:r w:rsidRPr="008F7F12">
        <w:rPr>
          <w:rFonts w:cs="Arial" w:hint="cs"/>
          <w:sz w:val="16"/>
          <w:szCs w:val="16"/>
          <w:rtl/>
        </w:rPr>
        <w:t>)</w:t>
      </w:r>
      <w:r>
        <w:rPr>
          <w:rFonts w:cs="Arial" w:hint="cs"/>
          <w:rtl/>
        </w:rPr>
        <w:t xml:space="preserve"> </w:t>
      </w:r>
      <w:r w:rsidR="00CD759E">
        <w:rPr>
          <w:rFonts w:cs="Arial" w:hint="cs"/>
          <w:rtl/>
        </w:rPr>
        <w:t>ו</w:t>
      </w:r>
      <w:r w:rsidR="00CC6C48">
        <w:rPr>
          <w:rFonts w:cs="Arial" w:hint="cs"/>
          <w:rtl/>
        </w:rPr>
        <w:t xml:space="preserve">טור- </w:t>
      </w:r>
      <w:r w:rsidR="00530F9D" w:rsidRPr="00577FF6">
        <w:rPr>
          <w:rFonts w:cs="Arial"/>
          <w:rtl/>
        </w:rPr>
        <w:t>האי תקנתא</w:t>
      </w:r>
      <w:r w:rsidR="00745066">
        <w:rPr>
          <w:rFonts w:cs="Arial" w:hint="cs"/>
          <w:sz w:val="16"/>
          <w:szCs w:val="16"/>
          <w:rtl/>
        </w:rPr>
        <w:t xml:space="preserve"> {השלישית}</w:t>
      </w:r>
      <w:r w:rsidR="00530F9D" w:rsidRPr="00577FF6">
        <w:rPr>
          <w:rFonts w:cs="Arial"/>
          <w:rtl/>
        </w:rPr>
        <w:t xml:space="preserve"> איתא בין באומרת בעינא ליה ומצערנא ליה שאינה מבקשת להתגרש מיד</w:t>
      </w:r>
      <w:r w:rsidR="00530F9D" w:rsidRPr="00577FF6">
        <w:rPr>
          <w:rFonts w:cs="Arial" w:hint="cs"/>
          <w:rtl/>
        </w:rPr>
        <w:t>,</w:t>
      </w:r>
      <w:r w:rsidR="00530F9D" w:rsidRPr="00577FF6">
        <w:rPr>
          <w:rFonts w:cs="Arial"/>
          <w:rtl/>
        </w:rPr>
        <w:t xml:space="preserve"> בין באומרת מאיס עלי ומבקשת שיגרשנה מיד בלא כתובה</w:t>
      </w:r>
      <w:r>
        <w:rPr>
          <w:rFonts w:cs="Arial" w:hint="cs"/>
          <w:sz w:val="16"/>
          <w:szCs w:val="16"/>
          <w:rtl/>
        </w:rPr>
        <w:t xml:space="preserve"> (ל' הטור)</w:t>
      </w:r>
      <w:r w:rsidR="00A077AD" w:rsidRPr="008F7F12">
        <w:rPr>
          <w:rFonts w:cs="Arial" w:hint="cs"/>
          <w:rtl/>
        </w:rPr>
        <w:t>.</w:t>
      </w:r>
    </w:p>
    <w:p w14:paraId="3F1F7D62" w14:textId="0DD181ED" w:rsidR="00A077AD" w:rsidRDefault="00697C4E" w:rsidP="009000E3">
      <w:pPr>
        <w:pStyle w:val="ab"/>
        <w:numPr>
          <w:ilvl w:val="0"/>
          <w:numId w:val="27"/>
        </w:numPr>
        <w:rPr>
          <w:rFonts w:cs="Arial"/>
        </w:rPr>
      </w:pPr>
      <w:r>
        <w:rPr>
          <w:rFonts w:cs="Arial" w:hint="cs"/>
          <w:rtl/>
        </w:rPr>
        <w:t>רי"ף</w:t>
      </w:r>
      <w:r>
        <w:rPr>
          <w:rStyle w:val="a7"/>
          <w:rFonts w:cs="Arial"/>
          <w:rtl/>
        </w:rPr>
        <w:footnoteReference w:id="534"/>
      </w:r>
      <w:r>
        <w:rPr>
          <w:rFonts w:cs="Arial" w:hint="cs"/>
          <w:rtl/>
        </w:rPr>
        <w:t xml:space="preserve"> </w:t>
      </w:r>
      <w:r>
        <w:rPr>
          <w:rFonts w:cs="Arial" w:hint="cs"/>
          <w:sz w:val="16"/>
          <w:szCs w:val="16"/>
          <w:rtl/>
        </w:rPr>
        <w:t>(כז., כ"כ הר"ן [כז.] בשמו)</w:t>
      </w:r>
      <w:r>
        <w:rPr>
          <w:rFonts w:cs="Arial" w:hint="cs"/>
          <w:rtl/>
        </w:rPr>
        <w:t xml:space="preserve"> </w:t>
      </w:r>
      <w:r w:rsidR="00D514ED" w:rsidRPr="00897A64">
        <w:rPr>
          <w:rFonts w:cs="Arial"/>
          <w:rtl/>
        </w:rPr>
        <w:t>רשב"ם</w:t>
      </w:r>
      <w:r w:rsidR="00D514ED">
        <w:rPr>
          <w:rFonts w:cs="Arial" w:hint="cs"/>
          <w:rtl/>
        </w:rPr>
        <w:t xml:space="preserve"> </w:t>
      </w:r>
      <w:r w:rsidR="00D514ED" w:rsidRPr="008F7F12">
        <w:rPr>
          <w:rFonts w:cs="Arial" w:hint="cs"/>
          <w:sz w:val="16"/>
          <w:szCs w:val="16"/>
          <w:rtl/>
        </w:rPr>
        <w:t xml:space="preserve">(כ"כ בשמו הרא"ש </w:t>
      </w:r>
      <w:r w:rsidR="00D514ED">
        <w:rPr>
          <w:rFonts w:cs="Arial" w:hint="cs"/>
          <w:sz w:val="16"/>
          <w:szCs w:val="16"/>
          <w:rtl/>
        </w:rPr>
        <w:t xml:space="preserve">[שם] </w:t>
      </w:r>
      <w:r w:rsidR="00D514ED" w:rsidRPr="008F7F12">
        <w:rPr>
          <w:rFonts w:cs="Arial" w:hint="cs"/>
          <w:sz w:val="16"/>
          <w:szCs w:val="16"/>
          <w:rtl/>
        </w:rPr>
        <w:t>והטור)</w:t>
      </w:r>
      <w:r w:rsidR="003B37DC">
        <w:rPr>
          <w:rFonts w:cs="Arial" w:hint="cs"/>
          <w:rtl/>
        </w:rPr>
        <w:t xml:space="preserve"> </w:t>
      </w:r>
      <w:r w:rsidR="00D514ED">
        <w:rPr>
          <w:rFonts w:cs="Arial" w:hint="cs"/>
          <w:rtl/>
        </w:rPr>
        <w:t>ו</w:t>
      </w:r>
      <w:r w:rsidR="00CC6C48">
        <w:rPr>
          <w:rFonts w:cs="Arial" w:hint="cs"/>
          <w:rtl/>
        </w:rPr>
        <w:t xml:space="preserve">רמב"ם </w:t>
      </w:r>
      <w:r w:rsidR="00CC6C48">
        <w:rPr>
          <w:rFonts w:cs="Arial" w:hint="cs"/>
          <w:sz w:val="16"/>
          <w:szCs w:val="16"/>
          <w:rtl/>
        </w:rPr>
        <w:t>(פי"ד מאישות ה"ח-ט)</w:t>
      </w:r>
      <w:r w:rsidR="00CC6C48">
        <w:rPr>
          <w:rFonts w:cs="Arial" w:hint="cs"/>
          <w:rtl/>
        </w:rPr>
        <w:t xml:space="preserve">- </w:t>
      </w:r>
      <w:r w:rsidR="00CC6C48" w:rsidRPr="00CC6C48">
        <w:rPr>
          <w:rFonts w:cs="Arial"/>
          <w:rtl/>
        </w:rPr>
        <w:t xml:space="preserve">האשה שמנעה בעלה מתשמיש המטה היא הנקראת מורדת, ושואלין אותה מפני מה מרדה, אם אמרה מאסתיהו ואיני יכולה </w:t>
      </w:r>
      <w:r w:rsidR="00CC6C48" w:rsidRPr="00CC6C48">
        <w:rPr>
          <w:rFonts w:cs="Arial"/>
          <w:rtl/>
        </w:rPr>
        <w:lastRenderedPageBreak/>
        <w:t xml:space="preserve">להבעל לו מדעתי </w:t>
      </w:r>
      <w:r w:rsidR="00A077AD">
        <w:rPr>
          <w:rFonts w:cs="Arial" w:hint="cs"/>
          <w:rtl/>
        </w:rPr>
        <w:t xml:space="preserve">- </w:t>
      </w:r>
      <w:r w:rsidR="00CC6C48" w:rsidRPr="00CC6C48">
        <w:rPr>
          <w:rFonts w:cs="Arial"/>
          <w:rtl/>
        </w:rPr>
        <w:t>כופין אותו להוציא</w:t>
      </w:r>
      <w:r w:rsidR="0035110E">
        <w:rPr>
          <w:rStyle w:val="a7"/>
          <w:rFonts w:cs="Arial"/>
          <w:rtl/>
        </w:rPr>
        <w:footnoteReference w:id="535"/>
      </w:r>
      <w:r w:rsidR="00CC6C48" w:rsidRPr="00CC6C48">
        <w:rPr>
          <w:rFonts w:cs="Arial"/>
          <w:rtl/>
        </w:rPr>
        <w:t xml:space="preserve"> לשעתו</w:t>
      </w:r>
      <w:r w:rsidR="00A077AD">
        <w:rPr>
          <w:rFonts w:cs="Arial" w:hint="cs"/>
          <w:rtl/>
        </w:rPr>
        <w:t>,</w:t>
      </w:r>
      <w:r w:rsidR="00CC6C48" w:rsidRPr="00CC6C48">
        <w:rPr>
          <w:rFonts w:cs="Arial"/>
          <w:rtl/>
        </w:rPr>
        <w:t xml:space="preserve"> לפי שאינה כשבויה שתבעל לשנוי לה, ותצא בלא כתובה כלל</w:t>
      </w:r>
      <w:r w:rsidR="0071732E">
        <w:rPr>
          <w:rStyle w:val="a7"/>
          <w:rFonts w:cs="Arial"/>
          <w:rtl/>
        </w:rPr>
        <w:footnoteReference w:id="536"/>
      </w:r>
      <w:r w:rsidR="0071732E">
        <w:rPr>
          <w:rFonts w:cs="Arial" w:hint="cs"/>
          <w:rtl/>
        </w:rPr>
        <w:t>..</w:t>
      </w:r>
      <w:r w:rsidR="00CC6C48" w:rsidRPr="00CC6C48">
        <w:rPr>
          <w:rFonts w:cs="Arial"/>
          <w:rtl/>
        </w:rPr>
        <w:t xml:space="preserve">. ואם מרדה מתחת בעלה כדי לצערו ואמרה הריני מצערת אותו בכך מפני שעשה לי כך וכך או מפני שקללני או מפני שעשה עמי מריבה וכיוצא בדברים אלו </w:t>
      </w:r>
      <w:r w:rsidR="00A077AD">
        <w:rPr>
          <w:rFonts w:cs="Arial" w:hint="cs"/>
          <w:rtl/>
        </w:rPr>
        <w:t xml:space="preserve">- </w:t>
      </w:r>
      <w:r w:rsidR="00CC6C48" w:rsidRPr="00CC6C48">
        <w:rPr>
          <w:rFonts w:cs="Arial"/>
          <w:rtl/>
        </w:rPr>
        <w:t>שולחים לה מבית דין ואומרין לה הוי יודעת</w:t>
      </w:r>
      <w:r w:rsidR="00D514ED">
        <w:rPr>
          <w:rFonts w:cs="Arial" w:hint="cs"/>
          <w:rtl/>
        </w:rPr>
        <w:t xml:space="preserve"> </w:t>
      </w:r>
      <w:r w:rsidR="007F1192">
        <w:rPr>
          <w:rFonts w:cs="Arial" w:hint="cs"/>
          <w:sz w:val="16"/>
          <w:szCs w:val="16"/>
          <w:rtl/>
        </w:rPr>
        <w:t>{</w:t>
      </w:r>
      <w:r w:rsidR="0069052E">
        <w:rPr>
          <w:rFonts w:cs="Arial" w:hint="cs"/>
          <w:sz w:val="16"/>
          <w:szCs w:val="16"/>
          <w:rtl/>
        </w:rPr>
        <w:t xml:space="preserve">וכל סדר שלש התקנות} </w:t>
      </w:r>
      <w:r w:rsidR="00D514ED">
        <w:rPr>
          <w:rFonts w:cs="Arial" w:hint="cs"/>
          <w:rtl/>
        </w:rPr>
        <w:t>וכו'</w:t>
      </w:r>
      <w:r w:rsidR="00D514ED">
        <w:rPr>
          <w:rFonts w:cs="Arial" w:hint="cs"/>
          <w:sz w:val="16"/>
          <w:szCs w:val="16"/>
          <w:rtl/>
        </w:rPr>
        <w:t xml:space="preserve"> (ל' הרמב"ם)</w:t>
      </w:r>
      <w:r w:rsidR="00CC6C48">
        <w:rPr>
          <w:rFonts w:cs="Arial" w:hint="cs"/>
          <w:rtl/>
        </w:rPr>
        <w:t>.</w:t>
      </w:r>
      <w:r w:rsidR="00DD4860" w:rsidRPr="00DD4860">
        <w:rPr>
          <w:rFonts w:cs="Arial" w:hint="cs"/>
          <w:color w:val="E36C0A" w:themeColor="accent6" w:themeShade="BF"/>
          <w:rtl/>
        </w:rPr>
        <w:t xml:space="preserve"> </w:t>
      </w:r>
      <w:r w:rsidR="007F1192" w:rsidRPr="00DD4860">
        <w:rPr>
          <w:rFonts w:cs="Arial" w:hint="cs"/>
          <w:color w:val="E36C0A" w:themeColor="accent6" w:themeShade="BF"/>
          <w:rtl/>
        </w:rPr>
        <w:t>(וכ"פ בשו"ע)</w:t>
      </w:r>
    </w:p>
    <w:p w14:paraId="2991310D" w14:textId="617DB6C7" w:rsidR="0087405A" w:rsidRDefault="00A74C2B" w:rsidP="009000E3">
      <w:pPr>
        <w:pStyle w:val="ab"/>
        <w:numPr>
          <w:ilvl w:val="0"/>
          <w:numId w:val="27"/>
        </w:numPr>
        <w:rPr>
          <w:rFonts w:cs="Arial"/>
        </w:rPr>
      </w:pPr>
      <w:r w:rsidRPr="00A077AD">
        <w:rPr>
          <w:rFonts w:cs="Arial"/>
          <w:rtl/>
        </w:rPr>
        <w:t xml:space="preserve">רשב"א </w:t>
      </w:r>
      <w:r w:rsidR="00A5733B" w:rsidRPr="00A5733B">
        <w:rPr>
          <w:rFonts w:cs="Arial" w:hint="cs"/>
          <w:sz w:val="16"/>
          <w:szCs w:val="16"/>
          <w:rtl/>
        </w:rPr>
        <w:t>(</w:t>
      </w:r>
      <w:r w:rsidRPr="00A5733B">
        <w:rPr>
          <w:rFonts w:cs="Arial"/>
          <w:sz w:val="16"/>
          <w:szCs w:val="16"/>
          <w:rtl/>
        </w:rPr>
        <w:t>בתשו</w:t>
      </w:r>
      <w:r w:rsidR="00A5733B" w:rsidRPr="00A5733B">
        <w:rPr>
          <w:rFonts w:cs="Arial" w:hint="cs"/>
          <w:sz w:val="16"/>
          <w:szCs w:val="16"/>
          <w:rtl/>
        </w:rPr>
        <w:t>', כ"כ הב"י בשמו</w:t>
      </w:r>
      <w:r w:rsidR="002B68E3">
        <w:rPr>
          <w:rFonts w:cs="Arial" w:hint="cs"/>
          <w:sz w:val="16"/>
          <w:szCs w:val="16"/>
          <w:rtl/>
        </w:rPr>
        <w:t>, ועי' בתשובות הרשב"א ח"א סי' אלף רלה</w:t>
      </w:r>
      <w:r w:rsidR="002B68E3">
        <w:rPr>
          <w:rStyle w:val="a7"/>
          <w:rFonts w:cs="Arial"/>
          <w:sz w:val="16"/>
          <w:szCs w:val="16"/>
          <w:rtl/>
        </w:rPr>
        <w:footnoteReference w:id="537"/>
      </w:r>
      <w:r w:rsidR="00A5733B" w:rsidRPr="00A5733B">
        <w:rPr>
          <w:rFonts w:cs="Arial" w:hint="cs"/>
          <w:sz w:val="16"/>
          <w:szCs w:val="16"/>
          <w:rtl/>
        </w:rPr>
        <w:t>)</w:t>
      </w:r>
      <w:r w:rsidR="00A5733B">
        <w:rPr>
          <w:rFonts w:cs="Arial" w:hint="cs"/>
          <w:rtl/>
        </w:rPr>
        <w:t xml:space="preserve">- </w:t>
      </w:r>
      <w:r w:rsidR="00633D92">
        <w:rPr>
          <w:rStyle w:val="a7"/>
          <w:rFonts w:cs="Arial"/>
          <w:rtl/>
        </w:rPr>
        <w:footnoteReference w:id="538"/>
      </w:r>
      <w:r w:rsidRPr="00A077AD">
        <w:rPr>
          <w:rFonts w:cs="Arial"/>
          <w:rtl/>
        </w:rPr>
        <w:t xml:space="preserve">מורדת האומרת בעינא ליה ומצערנא ליה </w:t>
      </w:r>
      <w:r w:rsidR="007A3B5D">
        <w:rPr>
          <w:rFonts w:cs="Arial" w:hint="cs"/>
          <w:rtl/>
        </w:rPr>
        <w:t xml:space="preserve">- </w:t>
      </w:r>
      <w:r w:rsidRPr="00A077AD">
        <w:rPr>
          <w:rFonts w:cs="Arial"/>
          <w:rtl/>
        </w:rPr>
        <w:t>כופין אותה בהכרזת ארבע שבתות בבתי כנסיות ובבתי מדרשות ואם לא חזרה בה הפסידה כתובתה כדאיתא בפרק אף על פי</w:t>
      </w:r>
      <w:r w:rsidR="007A3B5D">
        <w:rPr>
          <w:rFonts w:cs="Arial" w:hint="cs"/>
          <w:rtl/>
        </w:rPr>
        <w:t>,</w:t>
      </w:r>
      <w:r w:rsidRPr="00A077AD">
        <w:rPr>
          <w:rFonts w:cs="Arial"/>
          <w:rtl/>
        </w:rPr>
        <w:t xml:space="preserve"> ואם ירצה מגרש בגט</w:t>
      </w:r>
      <w:r w:rsidR="007A3B5D">
        <w:rPr>
          <w:rFonts w:cs="Arial" w:hint="cs"/>
          <w:rtl/>
        </w:rPr>
        <w:t>,</w:t>
      </w:r>
      <w:r w:rsidRPr="00A077AD">
        <w:rPr>
          <w:rFonts w:cs="Arial"/>
          <w:rtl/>
        </w:rPr>
        <w:t xml:space="preserve"> ואם לא רצה לגרש אינו מגרש</w:t>
      </w:r>
      <w:r w:rsidR="007A3B5D">
        <w:rPr>
          <w:rFonts w:cs="Arial" w:hint="cs"/>
          <w:rtl/>
        </w:rPr>
        <w:t>.</w:t>
      </w:r>
      <w:r w:rsidRPr="00A077AD">
        <w:rPr>
          <w:rFonts w:cs="Arial"/>
          <w:rtl/>
        </w:rPr>
        <w:t xml:space="preserve"> ואפילו נמלכה לאחר זמן מה שהפסידה הפסידה</w:t>
      </w:r>
      <w:r w:rsidR="007A3B5D">
        <w:rPr>
          <w:rFonts w:cs="Arial" w:hint="cs"/>
          <w:rtl/>
        </w:rPr>
        <w:t>,</w:t>
      </w:r>
      <w:r w:rsidRPr="00A077AD">
        <w:rPr>
          <w:rFonts w:cs="Arial"/>
          <w:rtl/>
        </w:rPr>
        <w:t xml:space="preserve"> ואסור להשהותה בלא כתובה אחרת של מנה</w:t>
      </w:r>
      <w:r w:rsidR="00753B35">
        <w:rPr>
          <w:rStyle w:val="a7"/>
          <w:rFonts w:cs="Arial"/>
          <w:rtl/>
        </w:rPr>
        <w:footnoteReference w:id="539"/>
      </w:r>
      <w:r w:rsidR="007A3B5D">
        <w:rPr>
          <w:rFonts w:cs="Arial" w:hint="cs"/>
          <w:rtl/>
        </w:rPr>
        <w:t>.</w:t>
      </w:r>
      <w:r w:rsidRPr="00A077AD">
        <w:rPr>
          <w:rFonts w:cs="Arial"/>
          <w:rtl/>
        </w:rPr>
        <w:t xml:space="preserve"> אבל הבאה בטענת מאיס עלי אין כופין אותה בכפיית הכרזה של בתי כנסיות לפי שאנוסה היא זו</w:t>
      </w:r>
      <w:r w:rsidR="007A3B5D">
        <w:rPr>
          <w:rFonts w:cs="Arial" w:hint="cs"/>
          <w:rtl/>
        </w:rPr>
        <w:t>,</w:t>
      </w:r>
      <w:r w:rsidRPr="00A077AD">
        <w:rPr>
          <w:rFonts w:cs="Arial"/>
          <w:rtl/>
        </w:rPr>
        <w:t xml:space="preserve"> אבל משהין אותה י"ב חדש שמא יסור המיאוס מלבה</w:t>
      </w:r>
      <w:r w:rsidR="009611AE">
        <w:rPr>
          <w:rStyle w:val="a7"/>
          <w:rFonts w:cs="Arial"/>
          <w:rtl/>
        </w:rPr>
        <w:footnoteReference w:id="540"/>
      </w:r>
      <w:r w:rsidR="00620C2F" w:rsidRPr="00A077AD">
        <w:rPr>
          <w:rFonts w:cs="Arial" w:hint="cs"/>
          <w:rtl/>
        </w:rPr>
        <w:t>.</w:t>
      </w:r>
      <w:r w:rsidRPr="00A077AD">
        <w:rPr>
          <w:rFonts w:cs="Arial"/>
          <w:rtl/>
        </w:rPr>
        <w:t xml:space="preserve"> </w:t>
      </w:r>
    </w:p>
    <w:p w14:paraId="2EA027E6" w14:textId="00B65553" w:rsidR="003B37DC" w:rsidRPr="009611AE" w:rsidRDefault="00CD759E" w:rsidP="00E931D1">
      <w:pPr>
        <w:pStyle w:val="ab"/>
        <w:numPr>
          <w:ilvl w:val="0"/>
          <w:numId w:val="27"/>
        </w:numPr>
        <w:rPr>
          <w:rFonts w:cs="Arial"/>
        </w:rPr>
      </w:pPr>
      <w:r w:rsidRPr="003A3D3F">
        <w:rPr>
          <w:rFonts w:cs="Arial"/>
          <w:rtl/>
        </w:rPr>
        <w:t xml:space="preserve">ר"ן </w:t>
      </w:r>
      <w:r w:rsidRPr="003A3D3F">
        <w:rPr>
          <w:rFonts w:cs="Arial" w:hint="cs"/>
          <w:sz w:val="16"/>
          <w:szCs w:val="16"/>
          <w:rtl/>
        </w:rPr>
        <w:t>(</w:t>
      </w:r>
      <w:r w:rsidRPr="003A3D3F">
        <w:rPr>
          <w:rFonts w:cs="Arial"/>
          <w:sz w:val="16"/>
          <w:szCs w:val="16"/>
          <w:rtl/>
        </w:rPr>
        <w:t>כתובות כז. ד"ה דאמרה)</w:t>
      </w:r>
      <w:r>
        <w:rPr>
          <w:rFonts w:cs="Arial" w:hint="cs"/>
          <w:rtl/>
        </w:rPr>
        <w:t>-</w:t>
      </w:r>
      <w:r w:rsidRPr="003A3D3F">
        <w:rPr>
          <w:rFonts w:cs="Arial"/>
          <w:rtl/>
        </w:rPr>
        <w:t xml:space="preserve"> </w:t>
      </w:r>
      <w:r w:rsidR="00DC614E">
        <w:rPr>
          <w:rStyle w:val="a7"/>
          <w:rFonts w:cs="Arial"/>
          <w:rtl/>
        </w:rPr>
        <w:footnoteReference w:id="541"/>
      </w:r>
      <w:r w:rsidRPr="003A3D3F">
        <w:rPr>
          <w:rFonts w:cs="Arial"/>
          <w:rtl/>
        </w:rPr>
        <w:t>דוקא כי אמרה בעינא ליה ומצערנא ליה הוא דקנסינן לה</w:t>
      </w:r>
      <w:r w:rsidRPr="003A3D3F">
        <w:rPr>
          <w:rFonts w:cs="Arial" w:hint="cs"/>
          <w:rtl/>
        </w:rPr>
        <w:t>,</w:t>
      </w:r>
      <w:r w:rsidRPr="003A3D3F">
        <w:rPr>
          <w:rFonts w:cs="Arial"/>
          <w:rtl/>
        </w:rPr>
        <w:t xml:space="preserve"> דכיון דבעיא ליה אין זה כי אם רוע לב</w:t>
      </w:r>
      <w:r w:rsidRPr="003A3D3F">
        <w:rPr>
          <w:rFonts w:cs="Arial" w:hint="cs"/>
          <w:rtl/>
        </w:rPr>
        <w:t>.</w:t>
      </w:r>
      <w:r w:rsidRPr="003A3D3F">
        <w:rPr>
          <w:rFonts w:cs="Arial"/>
          <w:rtl/>
        </w:rPr>
        <w:t xml:space="preserve"> אבל אמרה מאיס עלי אין קונסין אותה כלום שהרי אנוסה היא</w:t>
      </w:r>
      <w:r w:rsidRPr="003A3D3F">
        <w:rPr>
          <w:rFonts w:cs="Arial" w:hint="cs"/>
          <w:rtl/>
        </w:rPr>
        <w:t>,</w:t>
      </w:r>
      <w:r w:rsidRPr="003A3D3F">
        <w:rPr>
          <w:rFonts w:cs="Arial"/>
          <w:rtl/>
        </w:rPr>
        <w:t xml:space="preserve"> ולפיכך אם רצה להוציא יתן כתובה</w:t>
      </w:r>
      <w:r w:rsidRPr="003A3D3F">
        <w:rPr>
          <w:rFonts w:cs="Arial" w:hint="cs"/>
          <w:rtl/>
        </w:rPr>
        <w:t>.</w:t>
      </w:r>
      <w:r w:rsidRPr="003A3D3F">
        <w:rPr>
          <w:rFonts w:cs="Arial"/>
          <w:rtl/>
        </w:rPr>
        <w:t xml:space="preserve"> וזהו שלא פירשו בדיני מאיס עלי כלום</w:t>
      </w:r>
      <w:r w:rsidRPr="003A3D3F">
        <w:rPr>
          <w:rFonts w:cs="Arial" w:hint="cs"/>
          <w:rtl/>
        </w:rPr>
        <w:t>,</w:t>
      </w:r>
      <w:r w:rsidRPr="003A3D3F">
        <w:rPr>
          <w:rFonts w:cs="Arial"/>
          <w:rtl/>
        </w:rPr>
        <w:t xml:space="preserve"> שאין ב"ד נזקקין בדבר</w:t>
      </w:r>
      <w:r w:rsidR="00E931D1">
        <w:rPr>
          <w:rFonts w:cs="Arial" w:hint="cs"/>
          <w:rtl/>
        </w:rPr>
        <w:t xml:space="preserve"> </w:t>
      </w:r>
      <w:r w:rsidR="00E931D1">
        <w:rPr>
          <w:rFonts w:cs="Arial" w:hint="cs"/>
          <w:sz w:val="16"/>
          <w:szCs w:val="16"/>
          <w:rtl/>
        </w:rPr>
        <w:t>(</w:t>
      </w:r>
      <w:r w:rsidR="00E931D1" w:rsidRPr="00E931D1">
        <w:rPr>
          <w:rFonts w:cs="Arial"/>
          <w:sz w:val="16"/>
          <w:szCs w:val="16"/>
          <w:rtl/>
        </w:rPr>
        <w:t>וכלתיה דרב זביד אימרדא ממש</w:t>
      </w:r>
      <w:r w:rsidR="00E931D1" w:rsidRPr="00E931D1">
        <w:rPr>
          <w:rFonts w:cs="Arial" w:hint="cs"/>
          <w:sz w:val="16"/>
          <w:szCs w:val="16"/>
          <w:rtl/>
        </w:rPr>
        <w:t>.</w:t>
      </w:r>
      <w:r w:rsidR="00E931D1" w:rsidRPr="00E931D1">
        <w:rPr>
          <w:rFonts w:cs="Arial"/>
          <w:sz w:val="16"/>
          <w:szCs w:val="16"/>
          <w:rtl/>
        </w:rPr>
        <w:t xml:space="preserve"> ומאי דשקלינן וטרינן במרדה אם הפסידה בלאותיה הקיימים אם לאו </w:t>
      </w:r>
      <w:r w:rsidR="00E931D1" w:rsidRPr="00E931D1">
        <w:rPr>
          <w:rFonts w:cs="Arial" w:hint="cs"/>
          <w:sz w:val="16"/>
          <w:szCs w:val="16"/>
          <w:rtl/>
        </w:rPr>
        <w:t xml:space="preserve">- </w:t>
      </w:r>
      <w:r w:rsidR="00E931D1" w:rsidRPr="00E931D1">
        <w:rPr>
          <w:rFonts w:cs="Arial"/>
          <w:sz w:val="16"/>
          <w:szCs w:val="16"/>
          <w:rtl/>
        </w:rPr>
        <w:t>במורדת ממש עסקינן</w:t>
      </w:r>
      <w:r w:rsidR="00E931D1" w:rsidRPr="00E931D1">
        <w:rPr>
          <w:rFonts w:cs="Arial" w:hint="cs"/>
          <w:sz w:val="16"/>
          <w:szCs w:val="16"/>
          <w:rtl/>
        </w:rPr>
        <w:t>,</w:t>
      </w:r>
      <w:r w:rsidR="00E931D1" w:rsidRPr="00E931D1">
        <w:rPr>
          <w:rFonts w:cs="Arial"/>
          <w:sz w:val="16"/>
          <w:szCs w:val="16"/>
          <w:rtl/>
        </w:rPr>
        <w:t xml:space="preserve"> ואחר שחזרו ונמנו דכיון שעוקרין הכתובה מיד איכא למימר דלא הפסידה</w:t>
      </w:r>
      <w:r w:rsidR="00E931D1" w:rsidRPr="00E931D1">
        <w:rPr>
          <w:rFonts w:cs="Arial" w:hint="cs"/>
          <w:sz w:val="16"/>
          <w:szCs w:val="16"/>
          <w:rtl/>
        </w:rPr>
        <w:t>,</w:t>
      </w:r>
      <w:r w:rsidR="00E931D1" w:rsidRPr="00E931D1">
        <w:rPr>
          <w:rFonts w:cs="Arial"/>
          <w:sz w:val="16"/>
          <w:szCs w:val="16"/>
          <w:rtl/>
        </w:rPr>
        <w:t xml:space="preserve"> לפי שכיון שהאישות כאילו נעקר לאלתר אין ראוי שתפסיד בלאות הקיימים</w:t>
      </w:r>
      <w:r w:rsidR="00E931D1" w:rsidRPr="00E931D1">
        <w:rPr>
          <w:rFonts w:cs="Arial" w:hint="cs"/>
          <w:sz w:val="16"/>
          <w:szCs w:val="16"/>
          <w:rtl/>
        </w:rPr>
        <w:t>,</w:t>
      </w:r>
      <w:r w:rsidR="00E931D1" w:rsidRPr="00E931D1">
        <w:rPr>
          <w:rFonts w:cs="Arial"/>
          <w:sz w:val="16"/>
          <w:szCs w:val="16"/>
          <w:rtl/>
        </w:rPr>
        <w:t xml:space="preserve"> ולפיכך נסתפקו בזה בגמרא</w:t>
      </w:r>
      <w:r w:rsidR="00E931D1" w:rsidRPr="00E931D1">
        <w:rPr>
          <w:rFonts w:cs="Arial" w:hint="cs"/>
          <w:sz w:val="16"/>
          <w:szCs w:val="16"/>
          <w:rtl/>
        </w:rPr>
        <w:t>.</w:t>
      </w:r>
      <w:r w:rsidR="00E931D1" w:rsidRPr="00E931D1">
        <w:rPr>
          <w:rFonts w:cs="Arial"/>
          <w:sz w:val="16"/>
          <w:szCs w:val="16"/>
          <w:rtl/>
        </w:rPr>
        <w:t xml:space="preserve"> אבל האומרת מאיס עלי אינה </w:t>
      </w:r>
      <w:r w:rsidR="00E931D1" w:rsidRPr="00E931D1">
        <w:rPr>
          <w:rFonts w:cs="Arial"/>
          <w:sz w:val="16"/>
          <w:szCs w:val="16"/>
          <w:rtl/>
        </w:rPr>
        <w:lastRenderedPageBreak/>
        <w:t>מפסדת כלום</w:t>
      </w:r>
      <w:r w:rsidR="00E931D1">
        <w:rPr>
          <w:rFonts w:cs="Arial" w:hint="cs"/>
          <w:sz w:val="16"/>
          <w:szCs w:val="16"/>
          <w:rtl/>
        </w:rPr>
        <w:t>)</w:t>
      </w:r>
      <w:r w:rsidR="00E931D1">
        <w:rPr>
          <w:rFonts w:cs="Arial" w:hint="cs"/>
          <w:rtl/>
        </w:rPr>
        <w:t>,</w:t>
      </w:r>
      <w:r w:rsidRPr="003A3D3F">
        <w:rPr>
          <w:rFonts w:cs="Arial"/>
          <w:rtl/>
        </w:rPr>
        <w:t xml:space="preserve"> ומשהינן לה י"ב ירחי שתא אגיטא</w:t>
      </w:r>
      <w:r w:rsidR="00E931D1">
        <w:rPr>
          <w:rFonts w:cs="Arial" w:hint="cs"/>
          <w:rtl/>
        </w:rPr>
        <w:t xml:space="preserve">, </w:t>
      </w:r>
      <w:r w:rsidRPr="003A3D3F">
        <w:rPr>
          <w:rFonts w:cs="Arial"/>
          <w:rtl/>
        </w:rPr>
        <w:t>כלומר</w:t>
      </w:r>
      <w:r w:rsidRPr="003A3D3F">
        <w:rPr>
          <w:rFonts w:cs="Arial" w:hint="cs"/>
          <w:rtl/>
        </w:rPr>
        <w:t xml:space="preserve"> </w:t>
      </w:r>
      <w:r w:rsidRPr="003A3D3F">
        <w:rPr>
          <w:rFonts w:cs="Arial"/>
          <w:rtl/>
        </w:rPr>
        <w:t>בין במורדת בין באומרת מאיס עלי</w:t>
      </w:r>
      <w:r w:rsidRPr="003A3D3F">
        <w:rPr>
          <w:rFonts w:cs="Arial" w:hint="cs"/>
          <w:rtl/>
        </w:rPr>
        <w:t>,</w:t>
      </w:r>
      <w:r w:rsidRPr="003A3D3F">
        <w:rPr>
          <w:rFonts w:cs="Arial"/>
          <w:rtl/>
        </w:rPr>
        <w:t xml:space="preserve"> לעולם אינה יוצאה בגט אלא בתר י"ב ירחי שתא דילמא הדרה בה</w:t>
      </w:r>
      <w:r>
        <w:rPr>
          <w:rStyle w:val="a7"/>
          <w:rFonts w:cs="Arial"/>
          <w:rtl/>
        </w:rPr>
        <w:footnoteReference w:id="542"/>
      </w:r>
      <w:r>
        <w:rPr>
          <w:rFonts w:cs="Arial" w:hint="cs"/>
          <w:rtl/>
        </w:rPr>
        <w:t>.</w:t>
      </w:r>
    </w:p>
    <w:p w14:paraId="4F36C721" w14:textId="542890A2" w:rsidR="009F3556" w:rsidRPr="009F3556" w:rsidRDefault="009F3556" w:rsidP="009F3556">
      <w:pPr>
        <w:ind w:left="360"/>
        <w:rPr>
          <w:rFonts w:cs="Arial"/>
          <w:u w:val="dotted"/>
        </w:rPr>
      </w:pPr>
      <w:r w:rsidRPr="009F3556">
        <w:rPr>
          <w:rFonts w:cs="Arial" w:hint="cs"/>
          <w:u w:val="dotted"/>
          <w:rtl/>
        </w:rPr>
        <w:t xml:space="preserve">מה לוקחת עמה האומרת </w:t>
      </w:r>
      <w:r>
        <w:rPr>
          <w:rFonts w:cs="Arial" w:hint="cs"/>
          <w:u w:val="dotted"/>
          <w:rtl/>
        </w:rPr>
        <w:t>'</w:t>
      </w:r>
      <w:r w:rsidRPr="009F3556">
        <w:rPr>
          <w:rFonts w:cs="Arial" w:hint="cs"/>
          <w:u w:val="dotted"/>
          <w:rtl/>
        </w:rPr>
        <w:t>מאיס עלי</w:t>
      </w:r>
      <w:r>
        <w:rPr>
          <w:rFonts w:cs="Arial" w:hint="cs"/>
          <w:u w:val="dotted"/>
          <w:rtl/>
        </w:rPr>
        <w:t>'</w:t>
      </w:r>
      <w:r w:rsidRPr="009F3556">
        <w:rPr>
          <w:rFonts w:cs="Arial" w:hint="cs"/>
          <w:u w:val="dotted"/>
          <w:rtl/>
        </w:rPr>
        <w:t>:</w:t>
      </w:r>
    </w:p>
    <w:p w14:paraId="422CA0A0" w14:textId="6D0EB346" w:rsidR="003B37DC" w:rsidRDefault="009F3556" w:rsidP="009000E3">
      <w:pPr>
        <w:pStyle w:val="ab"/>
        <w:numPr>
          <w:ilvl w:val="0"/>
          <w:numId w:val="27"/>
        </w:numPr>
        <w:rPr>
          <w:rFonts w:cs="Arial"/>
        </w:rPr>
      </w:pPr>
      <w:r>
        <w:rPr>
          <w:rFonts w:cs="Arial" w:hint="cs"/>
          <w:rtl/>
        </w:rPr>
        <w:t>רמב"ם</w:t>
      </w:r>
      <w:r>
        <w:rPr>
          <w:rFonts w:cs="Arial" w:hint="cs"/>
          <w:sz w:val="16"/>
          <w:szCs w:val="16"/>
          <w:rtl/>
        </w:rPr>
        <w:t xml:space="preserve"> (פי"ד ה"ח)</w:t>
      </w:r>
      <w:r>
        <w:rPr>
          <w:rFonts w:cs="Arial" w:hint="cs"/>
          <w:rtl/>
        </w:rPr>
        <w:t xml:space="preserve">- </w:t>
      </w:r>
      <w:r w:rsidRPr="009F3556">
        <w:rPr>
          <w:rFonts w:cs="Arial"/>
          <w:rtl/>
        </w:rPr>
        <w:t>אם אמרה מאסתיהו ואיני יכולה להבעל לו מדעתי</w:t>
      </w:r>
      <w:r w:rsidR="00432438">
        <w:rPr>
          <w:rFonts w:cs="Arial" w:hint="cs"/>
          <w:rtl/>
        </w:rPr>
        <w:t xml:space="preserve"> -</w:t>
      </w:r>
      <w:r w:rsidR="00DD4860">
        <w:rPr>
          <w:rFonts w:cs="Arial" w:hint="cs"/>
          <w:rtl/>
        </w:rPr>
        <w:t>...</w:t>
      </w:r>
      <w:r w:rsidRPr="009F3556">
        <w:rPr>
          <w:rFonts w:cs="Arial"/>
          <w:rtl/>
        </w:rPr>
        <w:t xml:space="preserve"> תצא בלא כתובה כלל ותטול בלאותיה הקיימין בין מנכסים שהכניסה לבעלה ונתחייב באחריותן בין מנכסים שלא נתחייב באחריותן, ואינה נוטלת משל בעל כלום ואפילו מנעל שברגליה ומטפחת שבראשה שלקחן לה פושטת ונותנת וכן כל שנתן לה מתנה מחזרת אותו שלא נתן לה על מנת שתטול ותצא</w:t>
      </w:r>
      <w:r w:rsidR="00807159">
        <w:rPr>
          <w:rStyle w:val="a7"/>
          <w:rFonts w:cs="Arial"/>
          <w:rtl/>
        </w:rPr>
        <w:footnoteReference w:id="543"/>
      </w:r>
      <w:r w:rsidRPr="009F3556">
        <w:rPr>
          <w:rFonts w:cs="Arial"/>
          <w:rtl/>
        </w:rPr>
        <w:t>.</w:t>
      </w:r>
      <w:r w:rsidR="00DD4860">
        <w:rPr>
          <w:rFonts w:cs="Arial" w:hint="cs"/>
          <w:rtl/>
        </w:rPr>
        <w:t xml:space="preserve"> </w:t>
      </w:r>
      <w:r w:rsidR="00DD4860" w:rsidRPr="00DD4860">
        <w:rPr>
          <w:rFonts w:cs="Arial" w:hint="cs"/>
          <w:color w:val="E36C0A" w:themeColor="accent6" w:themeShade="BF"/>
          <w:rtl/>
        </w:rPr>
        <w:t>(וכ"פ בשו"ע)</w:t>
      </w:r>
    </w:p>
    <w:p w14:paraId="4353565F" w14:textId="10C6137F" w:rsidR="008F33F1" w:rsidRDefault="004D76B2" w:rsidP="009000E3">
      <w:pPr>
        <w:pStyle w:val="ab"/>
        <w:numPr>
          <w:ilvl w:val="0"/>
          <w:numId w:val="27"/>
        </w:numPr>
        <w:rPr>
          <w:rFonts w:cs="Arial"/>
        </w:rPr>
      </w:pPr>
      <w:r>
        <w:rPr>
          <w:rFonts w:cs="Arial" w:hint="cs"/>
          <w:rtl/>
        </w:rPr>
        <w:t xml:space="preserve">רא"ש </w:t>
      </w:r>
      <w:r>
        <w:rPr>
          <w:rFonts w:cs="Arial" w:hint="cs"/>
          <w:sz w:val="16"/>
          <w:szCs w:val="16"/>
          <w:rtl/>
        </w:rPr>
        <w:t>(כלל מג סי' יד)</w:t>
      </w:r>
      <w:r>
        <w:rPr>
          <w:rFonts w:cs="Arial" w:hint="cs"/>
          <w:rtl/>
        </w:rPr>
        <w:t xml:space="preserve">- </w:t>
      </w:r>
      <w:r w:rsidR="008F33F1" w:rsidRPr="008F33F1">
        <w:rPr>
          <w:rFonts w:cs="Arial"/>
          <w:rtl/>
        </w:rPr>
        <w:t>ולענין הממון אם הכניס לה ממון והוא עדיין בעין שלא הוציאוהו יקח מה שהכניס לה. אבל ממונה ישאר בידה נכסי מלוג ונכסי צאן ברזל ומכל מה שהכניסה לו לא יקח מאומה.</w:t>
      </w:r>
    </w:p>
    <w:p w14:paraId="72A3AFEA" w14:textId="4CA02377" w:rsidR="00CC6FE8" w:rsidRDefault="00CC6FE8" w:rsidP="009000E3">
      <w:pPr>
        <w:pStyle w:val="ab"/>
        <w:numPr>
          <w:ilvl w:val="0"/>
          <w:numId w:val="27"/>
        </w:numPr>
        <w:rPr>
          <w:rFonts w:cs="Arial"/>
        </w:rPr>
      </w:pPr>
      <w:r w:rsidRPr="00CC6FE8">
        <w:rPr>
          <w:rFonts w:cs="Arial"/>
          <w:rtl/>
        </w:rPr>
        <w:t xml:space="preserve">רשב"א </w:t>
      </w:r>
      <w:r w:rsidRPr="00CC6FE8">
        <w:rPr>
          <w:rFonts w:cs="Arial"/>
          <w:sz w:val="16"/>
          <w:szCs w:val="16"/>
          <w:rtl/>
        </w:rPr>
        <w:t>(כתובות סד. ד"ה ולענין האומרת)</w:t>
      </w:r>
      <w:r>
        <w:rPr>
          <w:rFonts w:cs="Arial" w:hint="cs"/>
          <w:rtl/>
        </w:rPr>
        <w:t xml:space="preserve"> </w:t>
      </w:r>
      <w:r w:rsidRPr="00CC6FE8">
        <w:rPr>
          <w:rFonts w:cs="Arial"/>
          <w:rtl/>
        </w:rPr>
        <w:t>ו</w:t>
      </w:r>
      <w:r>
        <w:rPr>
          <w:rFonts w:cs="Arial" w:hint="cs"/>
          <w:rtl/>
        </w:rPr>
        <w:t xml:space="preserve">הה"מ </w:t>
      </w:r>
      <w:r>
        <w:rPr>
          <w:rFonts w:cs="Arial" w:hint="cs"/>
          <w:sz w:val="16"/>
          <w:szCs w:val="16"/>
          <w:rtl/>
        </w:rPr>
        <w:t>(שם)</w:t>
      </w:r>
      <w:r>
        <w:rPr>
          <w:rFonts w:cs="Arial" w:hint="cs"/>
          <w:rtl/>
        </w:rPr>
        <w:t xml:space="preserve">- </w:t>
      </w:r>
      <w:r>
        <w:rPr>
          <w:rStyle w:val="a7"/>
          <w:rFonts w:cs="Arial"/>
          <w:rtl/>
        </w:rPr>
        <w:footnoteReference w:id="544"/>
      </w:r>
      <w:r w:rsidRPr="00CC6FE8">
        <w:rPr>
          <w:rFonts w:cs="Arial"/>
          <w:rtl/>
        </w:rPr>
        <w:t>הפסידה כל עיקר כתובה ותוספת וכל מה שנתן לה הבעל ונדונייתה</w:t>
      </w:r>
      <w:r w:rsidRPr="00CC6FE8">
        <w:rPr>
          <w:rFonts w:cs="Arial" w:hint="cs"/>
          <w:rtl/>
        </w:rPr>
        <w:t>,</w:t>
      </w:r>
      <w:r w:rsidRPr="00CC6FE8">
        <w:rPr>
          <w:rFonts w:cs="Arial"/>
          <w:rtl/>
        </w:rPr>
        <w:t xml:space="preserve"> אלא שאם היו שם בלאות קיימים ותפסה אותם אין מוציאין מידה</w:t>
      </w:r>
      <w:r w:rsidRPr="00CC6FE8">
        <w:rPr>
          <w:rFonts w:cs="Arial" w:hint="cs"/>
          <w:rtl/>
        </w:rPr>
        <w:t>,</w:t>
      </w:r>
      <w:r w:rsidRPr="00CC6FE8">
        <w:rPr>
          <w:rFonts w:cs="Arial"/>
          <w:rtl/>
        </w:rPr>
        <w:t xml:space="preserve"> ונכסי מלוג לא הפסידה כלל אלא נוטלת מה שהוא קיים מהם</w:t>
      </w:r>
      <w:r w:rsidR="00CD4FF8">
        <w:rPr>
          <w:rStyle w:val="a7"/>
          <w:rFonts w:cs="Arial"/>
          <w:rtl/>
        </w:rPr>
        <w:footnoteReference w:id="545"/>
      </w:r>
      <w:r w:rsidR="00CD4FF8">
        <w:rPr>
          <w:rFonts w:cs="Arial" w:hint="cs"/>
          <w:sz w:val="16"/>
          <w:szCs w:val="16"/>
          <w:rtl/>
        </w:rPr>
        <w:t xml:space="preserve"> (ל' הה"מ)</w:t>
      </w:r>
      <w:r>
        <w:rPr>
          <w:rFonts w:cs="Arial" w:hint="cs"/>
          <w:rtl/>
        </w:rPr>
        <w:t>.</w:t>
      </w:r>
    </w:p>
    <w:p w14:paraId="367D69AB" w14:textId="1DBC90BF" w:rsidR="0047162F" w:rsidRDefault="0047162F" w:rsidP="009000E3">
      <w:pPr>
        <w:pStyle w:val="ab"/>
        <w:numPr>
          <w:ilvl w:val="0"/>
          <w:numId w:val="27"/>
        </w:numPr>
        <w:rPr>
          <w:rFonts w:cs="Arial"/>
        </w:rPr>
      </w:pPr>
      <w:r>
        <w:rPr>
          <w:rFonts w:cs="Arial" w:hint="cs"/>
          <w:rtl/>
        </w:rPr>
        <w:t xml:space="preserve">מהר"ם </w:t>
      </w:r>
      <w:r>
        <w:rPr>
          <w:rFonts w:cs="Arial" w:hint="cs"/>
          <w:sz w:val="16"/>
          <w:szCs w:val="16"/>
          <w:rtl/>
        </w:rPr>
        <w:t xml:space="preserve">(ספר סיני וליקוטים סי' תקסב, וכ"כ </w:t>
      </w:r>
      <w:r w:rsidR="00A93E28">
        <w:rPr>
          <w:rFonts w:cs="Arial" w:hint="cs"/>
          <w:sz w:val="16"/>
          <w:szCs w:val="16"/>
          <w:rtl/>
        </w:rPr>
        <w:t xml:space="preserve">בשמו </w:t>
      </w:r>
      <w:r>
        <w:rPr>
          <w:rFonts w:cs="Arial" w:hint="cs"/>
          <w:sz w:val="16"/>
          <w:szCs w:val="16"/>
          <w:rtl/>
        </w:rPr>
        <w:t>מרדכי [כתובות סי' קפו]</w:t>
      </w:r>
      <w:r w:rsidR="00A93E28">
        <w:rPr>
          <w:rFonts w:cs="Arial" w:hint="cs"/>
          <w:sz w:val="16"/>
          <w:szCs w:val="16"/>
          <w:rtl/>
        </w:rPr>
        <w:t xml:space="preserve"> רא"ש</w:t>
      </w:r>
      <w:r w:rsidR="00A93E28">
        <w:rPr>
          <w:rStyle w:val="a7"/>
          <w:rFonts w:cs="Arial"/>
          <w:sz w:val="16"/>
          <w:szCs w:val="16"/>
          <w:rtl/>
        </w:rPr>
        <w:footnoteReference w:id="546"/>
      </w:r>
      <w:r w:rsidR="00A93E28">
        <w:rPr>
          <w:rFonts w:cs="Arial" w:hint="cs"/>
          <w:sz w:val="16"/>
          <w:szCs w:val="16"/>
          <w:rtl/>
        </w:rPr>
        <w:t xml:space="preserve"> [פ"ה סי' לה] הגה"מ</w:t>
      </w:r>
      <w:r w:rsidR="00564655" w:rsidRPr="00A93E28">
        <w:rPr>
          <w:rStyle w:val="a7"/>
          <w:rFonts w:cs="Arial"/>
          <w:sz w:val="16"/>
          <w:szCs w:val="16"/>
          <w:rtl/>
        </w:rPr>
        <w:footnoteReference w:id="547"/>
      </w:r>
      <w:r w:rsidR="00A93E28">
        <w:rPr>
          <w:rFonts w:cs="Arial" w:hint="cs"/>
          <w:sz w:val="16"/>
          <w:szCs w:val="16"/>
          <w:rtl/>
        </w:rPr>
        <w:t xml:space="preserve"> [</w:t>
      </w:r>
      <w:r w:rsidR="00564655" w:rsidRPr="003B37DC">
        <w:rPr>
          <w:rFonts w:cs="Arial" w:hint="cs"/>
          <w:sz w:val="16"/>
          <w:szCs w:val="16"/>
          <w:rtl/>
        </w:rPr>
        <w:t xml:space="preserve">פי"ד </w:t>
      </w:r>
      <w:r w:rsidR="00564655" w:rsidRPr="003B37DC">
        <w:rPr>
          <w:rFonts w:cs="Arial"/>
          <w:sz w:val="16"/>
          <w:szCs w:val="16"/>
          <w:rtl/>
        </w:rPr>
        <w:t>אות ה</w:t>
      </w:r>
      <w:r w:rsidR="00A93E28">
        <w:rPr>
          <w:rFonts w:cs="Arial" w:hint="cs"/>
          <w:sz w:val="16"/>
          <w:szCs w:val="16"/>
          <w:rtl/>
        </w:rPr>
        <w:t>] וטור</w:t>
      </w:r>
      <w:r w:rsidR="00A372C1">
        <w:rPr>
          <w:rFonts w:cs="Arial" w:hint="cs"/>
          <w:sz w:val="16"/>
          <w:szCs w:val="16"/>
          <w:rtl/>
        </w:rPr>
        <w:t>)</w:t>
      </w:r>
      <w:r>
        <w:rPr>
          <w:rFonts w:cs="Arial" w:hint="cs"/>
          <w:rtl/>
        </w:rPr>
        <w:t>-</w:t>
      </w:r>
      <w:r w:rsidRPr="009C7606">
        <w:rPr>
          <w:rFonts w:cs="Arial"/>
          <w:rtl/>
        </w:rPr>
        <w:t xml:space="preserve"> נדוניא דהנעלת ליה, אי תפסה</w:t>
      </w:r>
      <w:r w:rsidR="00F639B7">
        <w:rPr>
          <w:rStyle w:val="a7"/>
          <w:rFonts w:cs="Arial"/>
          <w:rtl/>
        </w:rPr>
        <w:footnoteReference w:id="548"/>
      </w:r>
      <w:r w:rsidR="00CF4FE3">
        <w:rPr>
          <w:rFonts w:cs="Arial" w:hint="cs"/>
          <w:rtl/>
        </w:rPr>
        <w:t>,</w:t>
      </w:r>
      <w:r w:rsidRPr="009C7606">
        <w:rPr>
          <w:rFonts w:cs="Arial"/>
          <w:rtl/>
        </w:rPr>
        <w:t xml:space="preserve"> ליה לא מפקינן מינה לרשות הבעל</w:t>
      </w:r>
      <w:r w:rsidR="00CF4FE3">
        <w:rPr>
          <w:rFonts w:cs="Arial" w:hint="cs"/>
          <w:rtl/>
        </w:rPr>
        <w:t>.</w:t>
      </w:r>
      <w:r w:rsidRPr="009C7606">
        <w:rPr>
          <w:rFonts w:cs="Arial"/>
          <w:rtl/>
        </w:rPr>
        <w:t xml:space="preserve"> אבל מה שהוא מכניס</w:t>
      </w:r>
      <w:r w:rsidR="00CF4FE3">
        <w:rPr>
          <w:rFonts w:cs="Arial" w:hint="cs"/>
          <w:rtl/>
        </w:rPr>
        <w:t>,</w:t>
      </w:r>
      <w:r w:rsidRPr="009C7606">
        <w:rPr>
          <w:rFonts w:cs="Arial"/>
          <w:rtl/>
        </w:rPr>
        <w:t xml:space="preserve"> מפקינן מינה ויהבינן ליה</w:t>
      </w:r>
      <w:r w:rsidR="004523F2">
        <w:rPr>
          <w:rStyle w:val="a7"/>
          <w:rFonts w:cs="Arial"/>
          <w:rtl/>
        </w:rPr>
        <w:footnoteReference w:id="549"/>
      </w:r>
      <w:r w:rsidR="00113260">
        <w:rPr>
          <w:rFonts w:cs="Arial" w:hint="cs"/>
          <w:rtl/>
        </w:rPr>
        <w:t xml:space="preserve"> </w:t>
      </w:r>
      <w:r w:rsidR="00564655" w:rsidRPr="0069700C">
        <w:rPr>
          <w:rFonts w:hint="cs"/>
          <w:sz w:val="16"/>
          <w:szCs w:val="16"/>
          <w:rtl/>
        </w:rPr>
        <w:t xml:space="preserve">(ל' </w:t>
      </w:r>
      <w:r w:rsidR="00564655">
        <w:rPr>
          <w:rFonts w:hint="cs"/>
          <w:sz w:val="16"/>
          <w:szCs w:val="16"/>
          <w:rtl/>
        </w:rPr>
        <w:t>מהר"ם</w:t>
      </w:r>
      <w:r w:rsidR="00564655" w:rsidRPr="0069700C">
        <w:rPr>
          <w:rFonts w:hint="cs"/>
          <w:sz w:val="16"/>
          <w:szCs w:val="16"/>
          <w:rtl/>
        </w:rPr>
        <w:t>)</w:t>
      </w:r>
      <w:r w:rsidR="00564655">
        <w:rPr>
          <w:rFonts w:cs="Arial" w:hint="cs"/>
          <w:rtl/>
        </w:rPr>
        <w:t>.</w:t>
      </w:r>
      <w:r w:rsidR="00B2631C">
        <w:rPr>
          <w:rFonts w:cs="Arial" w:hint="cs"/>
          <w:rtl/>
        </w:rPr>
        <w:t xml:space="preserve"> </w:t>
      </w:r>
    </w:p>
    <w:p w14:paraId="614534B8" w14:textId="2F84CAC9" w:rsidR="00342AF8" w:rsidRPr="00342AF8" w:rsidRDefault="003A3D3F" w:rsidP="00342AF8">
      <w:pPr>
        <w:pStyle w:val="ab"/>
        <w:numPr>
          <w:ilvl w:val="0"/>
          <w:numId w:val="27"/>
        </w:numPr>
        <w:rPr>
          <w:rFonts w:cs="Arial"/>
        </w:rPr>
      </w:pPr>
      <w:r w:rsidRPr="003A3D3F">
        <w:rPr>
          <w:rFonts w:cs="Arial"/>
          <w:rtl/>
        </w:rPr>
        <w:t xml:space="preserve">ר"ן </w:t>
      </w:r>
      <w:r w:rsidRPr="003A3D3F">
        <w:rPr>
          <w:rFonts w:cs="Arial" w:hint="cs"/>
          <w:sz w:val="16"/>
          <w:szCs w:val="16"/>
          <w:rtl/>
        </w:rPr>
        <w:t>(</w:t>
      </w:r>
      <w:r w:rsidRPr="003A3D3F">
        <w:rPr>
          <w:rFonts w:cs="Arial"/>
          <w:sz w:val="16"/>
          <w:szCs w:val="16"/>
          <w:rtl/>
        </w:rPr>
        <w:t>כתובות כז. ד"ה דאמרה)</w:t>
      </w:r>
      <w:r>
        <w:rPr>
          <w:rFonts w:cs="Arial" w:hint="cs"/>
          <w:rtl/>
        </w:rPr>
        <w:t>-</w:t>
      </w:r>
      <w:r w:rsidRPr="003A3D3F">
        <w:rPr>
          <w:rFonts w:cs="Arial"/>
          <w:rtl/>
        </w:rPr>
        <w:t xml:space="preserve"> דוקא כי אמרה בעינא ליה ומצערנא ליה הוא דקנסינן לה</w:t>
      </w:r>
      <w:r w:rsidRPr="003A3D3F">
        <w:rPr>
          <w:rFonts w:cs="Arial" w:hint="cs"/>
          <w:rtl/>
        </w:rPr>
        <w:t>,</w:t>
      </w:r>
      <w:r w:rsidRPr="003A3D3F">
        <w:rPr>
          <w:rFonts w:cs="Arial"/>
          <w:rtl/>
        </w:rPr>
        <w:t xml:space="preserve"> דכיון דבעיא ליה אין זה כי אם רוע לב</w:t>
      </w:r>
      <w:r w:rsidRPr="003A3D3F">
        <w:rPr>
          <w:rFonts w:cs="Arial" w:hint="cs"/>
          <w:rtl/>
        </w:rPr>
        <w:t>.</w:t>
      </w:r>
      <w:r w:rsidRPr="003A3D3F">
        <w:rPr>
          <w:rFonts w:cs="Arial"/>
          <w:rtl/>
        </w:rPr>
        <w:t xml:space="preserve"> אבל אמרה מאיס עלי אין קונסין אותה כלום שהרי אנוסה היא</w:t>
      </w:r>
      <w:r w:rsidRPr="003A3D3F">
        <w:rPr>
          <w:rFonts w:cs="Arial" w:hint="cs"/>
          <w:rtl/>
        </w:rPr>
        <w:t>,</w:t>
      </w:r>
      <w:r w:rsidRPr="003A3D3F">
        <w:rPr>
          <w:rFonts w:cs="Arial"/>
          <w:rtl/>
        </w:rPr>
        <w:t xml:space="preserve"> ולפיכך אם רצה להוציא יתן כתובה</w:t>
      </w:r>
      <w:r w:rsidRPr="003A3D3F">
        <w:rPr>
          <w:rFonts w:cs="Arial" w:hint="cs"/>
          <w:rtl/>
        </w:rPr>
        <w:t>.</w:t>
      </w:r>
      <w:r w:rsidRPr="003A3D3F">
        <w:rPr>
          <w:rFonts w:cs="Arial"/>
          <w:rtl/>
        </w:rPr>
        <w:t xml:space="preserve"> וזהו שלא פירשו בדיני מאיס עלי כלום</w:t>
      </w:r>
      <w:r w:rsidRPr="003A3D3F">
        <w:rPr>
          <w:rFonts w:cs="Arial" w:hint="cs"/>
          <w:rtl/>
        </w:rPr>
        <w:t>,</w:t>
      </w:r>
      <w:r w:rsidRPr="003A3D3F">
        <w:rPr>
          <w:rFonts w:cs="Arial"/>
          <w:rtl/>
        </w:rPr>
        <w:t xml:space="preserve"> שאין ב"ד נזקקין בדבר</w:t>
      </w:r>
      <w:r w:rsidR="00517B13">
        <w:rPr>
          <w:rFonts w:cs="Arial" w:hint="cs"/>
          <w:rtl/>
        </w:rPr>
        <w:t>..</w:t>
      </w:r>
      <w:r w:rsidRPr="003A3D3F">
        <w:rPr>
          <w:rFonts w:cs="Arial" w:hint="cs"/>
          <w:rtl/>
        </w:rPr>
        <w:t>.</w:t>
      </w:r>
      <w:r w:rsidR="00517B13" w:rsidRPr="00517B13">
        <w:rPr>
          <w:rFonts w:cs="Arial"/>
          <w:rtl/>
        </w:rPr>
        <w:t xml:space="preserve"> </w:t>
      </w:r>
      <w:r w:rsidR="00517B13">
        <w:rPr>
          <w:rFonts w:cs="Arial" w:hint="cs"/>
          <w:rtl/>
        </w:rPr>
        <w:t>ו</w:t>
      </w:r>
      <w:r w:rsidR="00517B13" w:rsidRPr="003A3D3F">
        <w:rPr>
          <w:rFonts w:cs="Arial"/>
          <w:rtl/>
        </w:rPr>
        <w:t>אינה מפסדת כלום</w:t>
      </w:r>
      <w:r w:rsidR="00092727">
        <w:rPr>
          <w:rStyle w:val="a7"/>
          <w:rFonts w:cs="Arial"/>
          <w:rtl/>
        </w:rPr>
        <w:footnoteReference w:id="550"/>
      </w:r>
      <w:r w:rsidR="00517B13">
        <w:rPr>
          <w:rFonts w:cs="Arial" w:hint="cs"/>
          <w:rtl/>
        </w:rPr>
        <w:t>.</w:t>
      </w:r>
    </w:p>
    <w:p w14:paraId="33539BD4" w14:textId="7F11BA11" w:rsidR="003B37DC" w:rsidRPr="003B37DC" w:rsidRDefault="00937ED7" w:rsidP="003B37DC">
      <w:pPr>
        <w:ind w:left="360"/>
        <w:rPr>
          <w:rFonts w:cs="Arial"/>
        </w:rPr>
      </w:pPr>
      <w:r>
        <w:rPr>
          <w:rFonts w:cs="Arial" w:hint="cs"/>
          <w:u w:val="dotted"/>
          <w:rtl/>
        </w:rPr>
        <w:lastRenderedPageBreak/>
        <w:t xml:space="preserve">אשה שטוענת </w:t>
      </w:r>
      <w:r w:rsidR="00660DE9">
        <w:rPr>
          <w:rFonts w:cs="Arial" w:hint="cs"/>
          <w:u w:val="dotted"/>
          <w:rtl/>
        </w:rPr>
        <w:t>'</w:t>
      </w:r>
      <w:r>
        <w:rPr>
          <w:rFonts w:cs="Arial" w:hint="cs"/>
          <w:u w:val="dotted"/>
          <w:rtl/>
        </w:rPr>
        <w:t>מאיס</w:t>
      </w:r>
      <w:r w:rsidR="00660DE9">
        <w:rPr>
          <w:rFonts w:cs="Arial" w:hint="cs"/>
          <w:u w:val="dotted"/>
          <w:rtl/>
        </w:rPr>
        <w:t>'</w:t>
      </w:r>
      <w:r>
        <w:rPr>
          <w:rFonts w:cs="Arial" w:hint="cs"/>
          <w:u w:val="dotted"/>
          <w:rtl/>
        </w:rPr>
        <w:t xml:space="preserve"> אבל לא נותנת אמתלא מבוררת </w:t>
      </w:r>
      <w:r w:rsidR="003B37DC">
        <w:rPr>
          <w:rFonts w:cs="Arial" w:hint="cs"/>
          <w:u w:val="dotted"/>
          <w:rtl/>
        </w:rPr>
        <w:t>לדבר:</w:t>
      </w:r>
      <w:r w:rsidRPr="00937ED7">
        <w:rPr>
          <w:rFonts w:cs="Arial" w:hint="cs"/>
          <w:sz w:val="16"/>
          <w:szCs w:val="16"/>
          <w:rtl/>
        </w:rPr>
        <w:t xml:space="preserve"> </w:t>
      </w:r>
      <w:r>
        <w:rPr>
          <w:rFonts w:cs="Arial" w:hint="cs"/>
          <w:sz w:val="16"/>
          <w:szCs w:val="16"/>
          <w:rtl/>
        </w:rPr>
        <w:t>(</w:t>
      </w:r>
      <w:r w:rsidR="00113260">
        <w:rPr>
          <w:rFonts w:cs="Arial" w:hint="cs"/>
          <w:sz w:val="16"/>
          <w:szCs w:val="16"/>
          <w:rtl/>
        </w:rPr>
        <w:t>ב"י ו</w:t>
      </w:r>
      <w:r>
        <w:rPr>
          <w:rFonts w:cs="Arial" w:hint="cs"/>
          <w:sz w:val="16"/>
          <w:szCs w:val="16"/>
          <w:rtl/>
        </w:rPr>
        <w:t xml:space="preserve">דרכ"מ </w:t>
      </w:r>
      <w:r w:rsidR="00113260">
        <w:rPr>
          <w:rFonts w:cs="Arial" w:hint="cs"/>
          <w:sz w:val="16"/>
          <w:szCs w:val="16"/>
          <w:rtl/>
        </w:rPr>
        <w:t>[</w:t>
      </w:r>
      <w:r>
        <w:rPr>
          <w:rFonts w:cs="Arial" w:hint="cs"/>
          <w:sz w:val="16"/>
          <w:szCs w:val="16"/>
          <w:rtl/>
        </w:rPr>
        <w:t>אות יד</w:t>
      </w:r>
      <w:r w:rsidR="00113260">
        <w:rPr>
          <w:rFonts w:cs="Arial" w:hint="cs"/>
          <w:sz w:val="16"/>
          <w:szCs w:val="16"/>
          <w:rtl/>
        </w:rPr>
        <w:t>]</w:t>
      </w:r>
      <w:r>
        <w:rPr>
          <w:rFonts w:cs="Arial" w:hint="cs"/>
          <w:sz w:val="16"/>
          <w:szCs w:val="16"/>
          <w:rtl/>
        </w:rPr>
        <w:t>)</w:t>
      </w:r>
    </w:p>
    <w:p w14:paraId="661C25CB" w14:textId="674D7A16" w:rsidR="00113260" w:rsidRDefault="00113260" w:rsidP="00113260">
      <w:pPr>
        <w:pStyle w:val="ab"/>
        <w:numPr>
          <w:ilvl w:val="0"/>
          <w:numId w:val="27"/>
        </w:numPr>
        <w:rPr>
          <w:rFonts w:cs="Arial"/>
        </w:rPr>
      </w:pPr>
      <w:r>
        <w:rPr>
          <w:rFonts w:cs="Arial" w:hint="cs"/>
          <w:rtl/>
        </w:rPr>
        <w:t xml:space="preserve">מהר"ם </w:t>
      </w:r>
      <w:r>
        <w:rPr>
          <w:rFonts w:cs="Arial" w:hint="cs"/>
          <w:sz w:val="16"/>
          <w:szCs w:val="16"/>
          <w:rtl/>
        </w:rPr>
        <w:t>(ספר סיני וליקוטים סי' תקסב, וכ"כ בשמו מרדכי [כתובות סי' קפו] רא"ש</w:t>
      </w:r>
      <w:r>
        <w:rPr>
          <w:rStyle w:val="a7"/>
          <w:rFonts w:cs="Arial"/>
          <w:sz w:val="16"/>
          <w:szCs w:val="16"/>
          <w:rtl/>
        </w:rPr>
        <w:footnoteReference w:id="551"/>
      </w:r>
      <w:r>
        <w:rPr>
          <w:rFonts w:cs="Arial" w:hint="cs"/>
          <w:sz w:val="16"/>
          <w:szCs w:val="16"/>
          <w:rtl/>
        </w:rPr>
        <w:t xml:space="preserve"> [פ"ה סי' לה] הגה"מ</w:t>
      </w:r>
      <w:r w:rsidRPr="00A93E28">
        <w:rPr>
          <w:rStyle w:val="a7"/>
          <w:rFonts w:cs="Arial"/>
          <w:sz w:val="16"/>
          <w:szCs w:val="16"/>
          <w:rtl/>
        </w:rPr>
        <w:footnoteReference w:id="552"/>
      </w:r>
      <w:r>
        <w:rPr>
          <w:rFonts w:cs="Arial" w:hint="cs"/>
          <w:sz w:val="16"/>
          <w:szCs w:val="16"/>
          <w:rtl/>
        </w:rPr>
        <w:t xml:space="preserve"> [</w:t>
      </w:r>
      <w:r w:rsidRPr="003B37DC">
        <w:rPr>
          <w:rFonts w:cs="Arial" w:hint="cs"/>
          <w:sz w:val="16"/>
          <w:szCs w:val="16"/>
          <w:rtl/>
        </w:rPr>
        <w:t xml:space="preserve">פי"ד </w:t>
      </w:r>
      <w:r w:rsidRPr="003B37DC">
        <w:rPr>
          <w:rFonts w:cs="Arial"/>
          <w:sz w:val="16"/>
          <w:szCs w:val="16"/>
          <w:rtl/>
        </w:rPr>
        <w:t>אות ה</w:t>
      </w:r>
      <w:r>
        <w:rPr>
          <w:rFonts w:cs="Arial" w:hint="cs"/>
          <w:sz w:val="16"/>
          <w:szCs w:val="16"/>
          <w:rtl/>
        </w:rPr>
        <w:t>] וטור)</w:t>
      </w:r>
      <w:r>
        <w:rPr>
          <w:rFonts w:cs="Arial" w:hint="cs"/>
          <w:rtl/>
        </w:rPr>
        <w:t>-</w:t>
      </w:r>
      <w:r w:rsidRPr="009C7606">
        <w:rPr>
          <w:rFonts w:cs="Arial"/>
          <w:rtl/>
        </w:rPr>
        <w:t xml:space="preserve"> </w:t>
      </w:r>
      <w:r w:rsidRPr="0047162F">
        <w:rPr>
          <w:rFonts w:cs="Arial"/>
          <w:rtl/>
        </w:rPr>
        <w:t>כל היכא דאמרה מאיס עלי, והדברים מוכיחין שאין כן אלא מחמת ממון או כעס שהיה לה עם בעלה או מחמת אביה ואמה והקרובין דארגילו קטטה ואלפוה שקרא לומר מאיס עלי ואינו כן</w:t>
      </w:r>
      <w:r>
        <w:rPr>
          <w:rFonts w:cs="Arial" w:hint="cs"/>
          <w:rtl/>
        </w:rPr>
        <w:t xml:space="preserve"> -</w:t>
      </w:r>
      <w:r w:rsidRPr="0047162F">
        <w:rPr>
          <w:rFonts w:cs="Arial"/>
          <w:rtl/>
        </w:rPr>
        <w:t xml:space="preserve"> יהבינן ליה כולה לדידיה בין מה שהכניס הוא בין מה שהכניסה היא, ולית לה מזונות כדין מורדת דבעינא ליה, דמדינה מה שקנתה אשה קנה בעלה אפילו מעשה ידיה ומציאתה וירושתה דבתר הכי נפלו לה, וכל שכן נדוניתה שכבר זכה מאן מפיק ליה מיניה</w:t>
      </w:r>
      <w:r>
        <w:rPr>
          <w:rFonts w:cs="Arial" w:hint="cs"/>
          <w:rtl/>
        </w:rPr>
        <w:t>.</w:t>
      </w:r>
      <w:r w:rsidRPr="0047162F">
        <w:rPr>
          <w:rFonts w:cs="Arial"/>
          <w:rtl/>
        </w:rPr>
        <w:t xml:space="preserve"> אלא שתקנו רבנן סבוראי תקנתא דמתיבתא שלא תצאנה בנות ישראל לתרבות רעה, וכל כה</w:t>
      </w:r>
      <w:r>
        <w:rPr>
          <w:rFonts w:cs="Arial" w:hint="cs"/>
          <w:rtl/>
        </w:rPr>
        <w:t>"</w:t>
      </w:r>
      <w:r w:rsidRPr="0047162F">
        <w:rPr>
          <w:rFonts w:cs="Arial"/>
          <w:rtl/>
        </w:rPr>
        <w:t>ג לא תקינו אלא אוקמוה אדאורייתא, דאל</w:t>
      </w:r>
      <w:r>
        <w:rPr>
          <w:rFonts w:cs="Arial" w:hint="cs"/>
          <w:rtl/>
        </w:rPr>
        <w:t>"</w:t>
      </w:r>
      <w:r w:rsidRPr="0047162F">
        <w:rPr>
          <w:rFonts w:cs="Arial"/>
          <w:rtl/>
        </w:rPr>
        <w:t>כ היינו פותחין לפרוצות ונותנין יד לפושעות. וכן משמע מדברי האלפס</w:t>
      </w:r>
      <w:r>
        <w:rPr>
          <w:rFonts w:cs="Arial" w:hint="cs"/>
          <w:rtl/>
        </w:rPr>
        <w:t xml:space="preserve"> </w:t>
      </w:r>
      <w:r w:rsidRPr="004523F2">
        <w:rPr>
          <w:rFonts w:cs="Arial"/>
          <w:rtl/>
        </w:rPr>
        <w:t>שכתב היכא דאיכא עלה חשש מיתה ואימרדה כי היכי דלא לירות, לית לה תקנתא</w:t>
      </w:r>
      <w:r>
        <w:rPr>
          <w:rFonts w:hint="cs"/>
          <w:sz w:val="16"/>
          <w:szCs w:val="16"/>
          <w:rtl/>
        </w:rPr>
        <w:t xml:space="preserve"> </w:t>
      </w:r>
      <w:r w:rsidRPr="0069700C">
        <w:rPr>
          <w:rFonts w:hint="cs"/>
          <w:sz w:val="16"/>
          <w:szCs w:val="16"/>
          <w:rtl/>
        </w:rPr>
        <w:t xml:space="preserve">(ל' </w:t>
      </w:r>
      <w:r>
        <w:rPr>
          <w:rFonts w:hint="cs"/>
          <w:sz w:val="16"/>
          <w:szCs w:val="16"/>
          <w:rtl/>
        </w:rPr>
        <w:t>מהר"ם</w:t>
      </w:r>
      <w:r w:rsidRPr="0069700C">
        <w:rPr>
          <w:rFonts w:hint="cs"/>
          <w:sz w:val="16"/>
          <w:szCs w:val="16"/>
          <w:rtl/>
        </w:rPr>
        <w:t>)</w:t>
      </w:r>
      <w:r>
        <w:rPr>
          <w:rFonts w:cs="Arial" w:hint="cs"/>
          <w:rtl/>
        </w:rPr>
        <w:t xml:space="preserve">. </w:t>
      </w:r>
      <w:r w:rsidRPr="00B2631C">
        <w:rPr>
          <w:rFonts w:cs="Arial" w:hint="cs"/>
          <w:color w:val="00B0F0"/>
          <w:rtl/>
        </w:rPr>
        <w:t>(וכ"</w:t>
      </w:r>
      <w:r>
        <w:rPr>
          <w:rFonts w:cs="Arial" w:hint="cs"/>
          <w:color w:val="00B0F0"/>
          <w:rtl/>
        </w:rPr>
        <w:t>פ</w:t>
      </w:r>
      <w:r w:rsidRPr="00B2631C">
        <w:rPr>
          <w:rFonts w:cs="Arial" w:hint="cs"/>
          <w:color w:val="00B0F0"/>
          <w:rtl/>
        </w:rPr>
        <w:t xml:space="preserve"> הרמ"א</w:t>
      </w:r>
      <w:r>
        <w:rPr>
          <w:rFonts w:cs="Arial" w:hint="cs"/>
          <w:color w:val="000000" w:themeColor="text1"/>
          <w:sz w:val="16"/>
          <w:szCs w:val="16"/>
          <w:rtl/>
        </w:rPr>
        <w:t xml:space="preserve"> </w:t>
      </w:r>
      <w:r w:rsidRPr="004A1C38">
        <w:rPr>
          <w:rFonts w:cs="Arial" w:hint="cs"/>
          <w:color w:val="000000" w:themeColor="text1"/>
          <w:sz w:val="16"/>
          <w:szCs w:val="16"/>
          <w:rtl/>
        </w:rPr>
        <w:t>[</w:t>
      </w:r>
      <w:r>
        <w:rPr>
          <w:rFonts w:cs="Arial" w:hint="cs"/>
          <w:color w:val="000000" w:themeColor="text1"/>
          <w:sz w:val="16"/>
          <w:szCs w:val="16"/>
          <w:rtl/>
        </w:rPr>
        <w:t>בסע' ג</w:t>
      </w:r>
      <w:r w:rsidRPr="004A1C38">
        <w:rPr>
          <w:rFonts w:cs="Arial" w:hint="cs"/>
          <w:color w:val="000000" w:themeColor="text1"/>
          <w:sz w:val="16"/>
          <w:szCs w:val="16"/>
          <w:rtl/>
        </w:rPr>
        <w:t>]</w:t>
      </w:r>
      <w:r w:rsidRPr="00B2631C">
        <w:rPr>
          <w:rFonts w:cs="Arial" w:hint="cs"/>
          <w:color w:val="00B0F0"/>
          <w:rtl/>
        </w:rPr>
        <w:t>)</w:t>
      </w:r>
    </w:p>
    <w:p w14:paraId="717BC1F9" w14:textId="6F4FCA9C" w:rsidR="003E1DBB" w:rsidRDefault="00536916" w:rsidP="009000E3">
      <w:pPr>
        <w:pStyle w:val="ab"/>
        <w:numPr>
          <w:ilvl w:val="0"/>
          <w:numId w:val="27"/>
        </w:numPr>
        <w:rPr>
          <w:rFonts w:cs="Arial"/>
        </w:rPr>
      </w:pPr>
      <w:r w:rsidRPr="00FA71CF">
        <w:rPr>
          <w:rFonts w:cs="Arial"/>
          <w:rtl/>
        </w:rPr>
        <w:t>הג</w:t>
      </w:r>
      <w:r>
        <w:rPr>
          <w:rFonts w:cs="Arial" w:hint="cs"/>
          <w:rtl/>
        </w:rPr>
        <w:t>מ"ר</w:t>
      </w:r>
      <w:r w:rsidRPr="00FA71CF">
        <w:rPr>
          <w:rFonts w:cs="Arial"/>
          <w:rtl/>
        </w:rPr>
        <w:t xml:space="preserve"> </w:t>
      </w:r>
      <w:r w:rsidRPr="003E1DBB">
        <w:rPr>
          <w:rFonts w:cs="Arial"/>
          <w:sz w:val="16"/>
          <w:szCs w:val="16"/>
          <w:rtl/>
        </w:rPr>
        <w:t>(סי' רצ)</w:t>
      </w:r>
      <w:r w:rsidR="003E1DBB">
        <w:rPr>
          <w:rFonts w:cs="Arial" w:hint="cs"/>
          <w:rtl/>
        </w:rPr>
        <w:t>-</w:t>
      </w:r>
      <w:r w:rsidRPr="00FA71CF">
        <w:rPr>
          <w:rFonts w:cs="Arial"/>
          <w:rtl/>
        </w:rPr>
        <w:t xml:space="preserve"> לא מקרי אמתלא אלא כשהיא נותנת אמתלא המבוררת לטובי העיר ואז נותנין לה כל מה שהכניסה לו</w:t>
      </w:r>
      <w:r w:rsidR="00937ED7">
        <w:rPr>
          <w:rFonts w:cs="Arial" w:hint="cs"/>
          <w:rtl/>
        </w:rPr>
        <w:t>,</w:t>
      </w:r>
      <w:r w:rsidRPr="00FA71CF">
        <w:rPr>
          <w:rFonts w:cs="Arial"/>
          <w:rtl/>
        </w:rPr>
        <w:t xml:space="preserve"> אבל אם אינה נותנת אמתלא מבוררת אז אין נותנין לה כלום</w:t>
      </w:r>
      <w:r w:rsidR="0069669D">
        <w:rPr>
          <w:rFonts w:cs="Arial" w:hint="cs"/>
          <w:rtl/>
        </w:rPr>
        <w:t>,</w:t>
      </w:r>
      <w:r w:rsidRPr="00FA71CF">
        <w:rPr>
          <w:rFonts w:cs="Arial"/>
          <w:rtl/>
        </w:rPr>
        <w:t xml:space="preserve"> מיהו מה שתפסה משלה אין מוציאין מידה</w:t>
      </w:r>
      <w:r w:rsidR="0069700C">
        <w:rPr>
          <w:rFonts w:cs="Arial" w:hint="cs"/>
          <w:rtl/>
        </w:rPr>
        <w:t>.</w:t>
      </w:r>
      <w:r w:rsidR="00386CF1" w:rsidRPr="00386CF1">
        <w:rPr>
          <w:rFonts w:cs="Arial" w:hint="cs"/>
          <w:color w:val="00B0F0"/>
          <w:rtl/>
        </w:rPr>
        <w:t xml:space="preserve"> </w:t>
      </w:r>
      <w:r w:rsidR="00386CF1" w:rsidRPr="00B2631C">
        <w:rPr>
          <w:rFonts w:cs="Arial" w:hint="cs"/>
          <w:color w:val="00B0F0"/>
          <w:rtl/>
        </w:rPr>
        <w:t>(וכ"</w:t>
      </w:r>
      <w:r w:rsidR="00386CF1">
        <w:rPr>
          <w:rFonts w:cs="Arial" w:hint="cs"/>
          <w:color w:val="00B0F0"/>
          <w:rtl/>
        </w:rPr>
        <w:t>פ</w:t>
      </w:r>
      <w:r w:rsidR="00386CF1" w:rsidRPr="00B2631C">
        <w:rPr>
          <w:rFonts w:cs="Arial" w:hint="cs"/>
          <w:color w:val="00B0F0"/>
          <w:rtl/>
        </w:rPr>
        <w:t xml:space="preserve"> הרמ"א</w:t>
      </w:r>
      <w:r w:rsidR="00386CF1">
        <w:rPr>
          <w:rFonts w:cs="Arial" w:hint="cs"/>
          <w:color w:val="000000" w:themeColor="text1"/>
          <w:sz w:val="16"/>
          <w:szCs w:val="16"/>
          <w:rtl/>
        </w:rPr>
        <w:t xml:space="preserve"> </w:t>
      </w:r>
      <w:r w:rsidR="00386CF1" w:rsidRPr="004A1C38">
        <w:rPr>
          <w:rFonts w:cs="Arial" w:hint="cs"/>
          <w:color w:val="000000" w:themeColor="text1"/>
          <w:sz w:val="16"/>
          <w:szCs w:val="16"/>
          <w:rtl/>
        </w:rPr>
        <w:t>[</w:t>
      </w:r>
      <w:r w:rsidR="00386CF1">
        <w:rPr>
          <w:rFonts w:cs="Arial" w:hint="cs"/>
          <w:color w:val="000000" w:themeColor="text1"/>
          <w:sz w:val="16"/>
          <w:szCs w:val="16"/>
          <w:rtl/>
        </w:rPr>
        <w:t>בסע' ג</w:t>
      </w:r>
      <w:r w:rsidR="00386CF1" w:rsidRPr="004A1C38">
        <w:rPr>
          <w:rFonts w:cs="Arial" w:hint="cs"/>
          <w:color w:val="000000" w:themeColor="text1"/>
          <w:sz w:val="16"/>
          <w:szCs w:val="16"/>
          <w:rtl/>
        </w:rPr>
        <w:t>]</w:t>
      </w:r>
      <w:r w:rsidR="00386CF1" w:rsidRPr="00B2631C">
        <w:rPr>
          <w:rFonts w:cs="Arial" w:hint="cs"/>
          <w:color w:val="00B0F0"/>
          <w:rtl/>
        </w:rPr>
        <w:t>)</w:t>
      </w:r>
    </w:p>
    <w:p w14:paraId="657160C2" w14:textId="5A7F0A4E" w:rsidR="00536916" w:rsidRPr="00937ED7" w:rsidRDefault="00536916" w:rsidP="009000E3">
      <w:pPr>
        <w:pStyle w:val="ab"/>
        <w:numPr>
          <w:ilvl w:val="0"/>
          <w:numId w:val="27"/>
        </w:numPr>
        <w:rPr>
          <w:rFonts w:cs="Arial"/>
        </w:rPr>
      </w:pPr>
      <w:r w:rsidRPr="00FA71CF">
        <w:rPr>
          <w:rFonts w:cs="Arial"/>
          <w:rtl/>
        </w:rPr>
        <w:t xml:space="preserve">מהרי"ו </w:t>
      </w:r>
      <w:r w:rsidR="003E1DBB" w:rsidRPr="003E1DBB">
        <w:rPr>
          <w:rFonts w:cs="Arial" w:hint="cs"/>
          <w:sz w:val="16"/>
          <w:szCs w:val="16"/>
          <w:rtl/>
        </w:rPr>
        <w:t>(</w:t>
      </w:r>
      <w:r w:rsidRPr="003E1DBB">
        <w:rPr>
          <w:rFonts w:cs="Arial"/>
          <w:sz w:val="16"/>
          <w:szCs w:val="16"/>
          <w:rtl/>
        </w:rPr>
        <w:t>בתשובותיו סי</w:t>
      </w:r>
      <w:r w:rsidR="003E1DBB" w:rsidRPr="003E1DBB">
        <w:rPr>
          <w:rFonts w:cs="Arial" w:hint="cs"/>
          <w:sz w:val="16"/>
          <w:szCs w:val="16"/>
          <w:rtl/>
        </w:rPr>
        <w:t>'</w:t>
      </w:r>
      <w:r w:rsidRPr="003E1DBB">
        <w:rPr>
          <w:rFonts w:cs="Arial"/>
          <w:sz w:val="16"/>
          <w:szCs w:val="16"/>
          <w:rtl/>
        </w:rPr>
        <w:t xml:space="preserve"> כ</w:t>
      </w:r>
      <w:r w:rsidR="003E1DBB" w:rsidRPr="003E1DBB">
        <w:rPr>
          <w:rFonts w:cs="Arial" w:hint="cs"/>
          <w:sz w:val="16"/>
          <w:szCs w:val="16"/>
          <w:rtl/>
        </w:rPr>
        <w:t>)</w:t>
      </w:r>
      <w:r w:rsidR="003E1DBB">
        <w:rPr>
          <w:rFonts w:cs="Arial" w:hint="cs"/>
          <w:rtl/>
        </w:rPr>
        <w:t>-</w:t>
      </w:r>
      <w:r w:rsidRPr="00FA71CF">
        <w:rPr>
          <w:rFonts w:cs="Arial"/>
          <w:rtl/>
        </w:rPr>
        <w:t xml:space="preserve"> הלכה למעשה שהאשה צריכה לישבע שטוענת אמת שמאיס עליה ואינה טוענת כן מחמת שרצונה להוציא ממנו</w:t>
      </w:r>
      <w:r w:rsidR="003E1DBB">
        <w:rPr>
          <w:rFonts w:cs="Arial" w:hint="cs"/>
          <w:rtl/>
        </w:rPr>
        <w:t>,</w:t>
      </w:r>
      <w:r w:rsidRPr="00FA71CF">
        <w:rPr>
          <w:rFonts w:cs="Arial"/>
          <w:rtl/>
        </w:rPr>
        <w:t xml:space="preserve"> ואז לא כייפינן אותה להיות עמו</w:t>
      </w:r>
      <w:r w:rsidR="003E1DBB">
        <w:rPr>
          <w:rFonts w:cs="Arial" w:hint="cs"/>
          <w:rtl/>
        </w:rPr>
        <w:t>,</w:t>
      </w:r>
      <w:r w:rsidRPr="00FA71CF">
        <w:rPr>
          <w:rFonts w:cs="Arial"/>
          <w:rtl/>
        </w:rPr>
        <w:t xml:space="preserve"> ואז דינה הכי</w:t>
      </w:r>
      <w:r w:rsidR="003E1DBB">
        <w:rPr>
          <w:rFonts w:cs="Arial" w:hint="cs"/>
          <w:rtl/>
        </w:rPr>
        <w:t xml:space="preserve"> -</w:t>
      </w:r>
      <w:r w:rsidRPr="00FA71CF">
        <w:rPr>
          <w:rFonts w:cs="Arial"/>
          <w:rtl/>
        </w:rPr>
        <w:t xml:space="preserve"> דבכל מה שהאשה מוחזקת ממה שהכניסה לו הן בגדים הן נדוניא גם טבעת הקידושין אין מוציאין מידה</w:t>
      </w:r>
      <w:r w:rsidR="003E1DBB">
        <w:rPr>
          <w:rFonts w:cs="Arial" w:hint="cs"/>
          <w:rtl/>
        </w:rPr>
        <w:t>,</w:t>
      </w:r>
      <w:r w:rsidRPr="00FA71CF">
        <w:rPr>
          <w:rFonts w:cs="Arial"/>
          <w:rtl/>
        </w:rPr>
        <w:t xml:space="preserve"> אבל כל שאר דברים בין שבח שהשביחו הנכסים בין כל מה שהכניס הבעל או נתנו לה קרובים מחמת אביו או קרוביו בין בשעת נישואין או אחר כך אפילו סבלונות הכל תחזיר ומוציאין ממנה</w:t>
      </w:r>
      <w:r w:rsidR="003E1DBB">
        <w:rPr>
          <w:rFonts w:cs="Arial" w:hint="cs"/>
          <w:rtl/>
        </w:rPr>
        <w:t>,</w:t>
      </w:r>
      <w:r w:rsidRPr="00FA71CF">
        <w:rPr>
          <w:rFonts w:cs="Arial"/>
          <w:rtl/>
        </w:rPr>
        <w:t xml:space="preserve"> גם מוטל עליה שלא תבזבז נדונייתה הנשאר בידה או ליתנה לאחרים כי אם מתה יורשה הבעל גם השטר חצי זכר נשאר בתקפו ואין לה למחול או ליתנו לאחרים בלי רשות בעלה</w:t>
      </w:r>
      <w:r w:rsidR="003E1DBB">
        <w:rPr>
          <w:rFonts w:cs="Arial" w:hint="cs"/>
          <w:rtl/>
        </w:rPr>
        <w:t>...</w:t>
      </w:r>
      <w:r w:rsidRPr="00FA71CF">
        <w:rPr>
          <w:rFonts w:cs="Arial"/>
          <w:rtl/>
        </w:rPr>
        <w:t xml:space="preserve"> ומאחר שהיא מורדת וקבלה עליה הדין לא נשאר לבעל עוד שום כפייה ונגישה עליה</w:t>
      </w:r>
      <w:r w:rsidR="007435BA">
        <w:rPr>
          <w:rStyle w:val="a7"/>
          <w:rFonts w:cs="Arial"/>
          <w:rtl/>
        </w:rPr>
        <w:footnoteReference w:id="553"/>
      </w:r>
      <w:r w:rsidR="003E1DBB">
        <w:rPr>
          <w:rFonts w:cs="Arial" w:hint="cs"/>
          <w:rtl/>
        </w:rPr>
        <w:t>.</w:t>
      </w:r>
      <w:r w:rsidRPr="00FA71CF">
        <w:rPr>
          <w:rFonts w:cs="Arial"/>
          <w:rtl/>
        </w:rPr>
        <w:t xml:space="preserve"> </w:t>
      </w:r>
      <w:r w:rsidR="00937ED7" w:rsidRPr="00B2631C">
        <w:rPr>
          <w:rFonts w:cs="Arial" w:hint="cs"/>
          <w:color w:val="00B0F0"/>
          <w:rtl/>
        </w:rPr>
        <w:t>(וכ"</w:t>
      </w:r>
      <w:r w:rsidR="00937ED7">
        <w:rPr>
          <w:rFonts w:cs="Arial" w:hint="cs"/>
          <w:color w:val="00B0F0"/>
          <w:rtl/>
        </w:rPr>
        <w:t>פ</w:t>
      </w:r>
      <w:r w:rsidR="00937ED7" w:rsidRPr="00B2631C">
        <w:rPr>
          <w:rFonts w:cs="Arial" w:hint="cs"/>
          <w:color w:val="00B0F0"/>
          <w:rtl/>
        </w:rPr>
        <w:t xml:space="preserve"> הרמ"א</w:t>
      </w:r>
      <w:r w:rsidR="00937ED7">
        <w:rPr>
          <w:rFonts w:cs="Arial" w:hint="cs"/>
          <w:color w:val="000000" w:themeColor="text1"/>
          <w:sz w:val="16"/>
          <w:szCs w:val="16"/>
          <w:rtl/>
        </w:rPr>
        <w:t xml:space="preserve"> </w:t>
      </w:r>
      <w:r w:rsidR="00937ED7" w:rsidRPr="004A1C38">
        <w:rPr>
          <w:rFonts w:cs="Arial" w:hint="cs"/>
          <w:color w:val="000000" w:themeColor="text1"/>
          <w:sz w:val="16"/>
          <w:szCs w:val="16"/>
          <w:rtl/>
        </w:rPr>
        <w:t>[</w:t>
      </w:r>
      <w:r w:rsidR="00937ED7">
        <w:rPr>
          <w:rFonts w:cs="Arial" w:hint="cs"/>
          <w:color w:val="000000" w:themeColor="text1"/>
          <w:sz w:val="16"/>
          <w:szCs w:val="16"/>
          <w:rtl/>
        </w:rPr>
        <w:t>בסע' ג</w:t>
      </w:r>
      <w:r w:rsidR="00937ED7" w:rsidRPr="004A1C38">
        <w:rPr>
          <w:rFonts w:cs="Arial" w:hint="cs"/>
          <w:color w:val="000000" w:themeColor="text1"/>
          <w:sz w:val="16"/>
          <w:szCs w:val="16"/>
          <w:rtl/>
        </w:rPr>
        <w:t>]</w:t>
      </w:r>
      <w:r w:rsidR="00937ED7" w:rsidRPr="00B2631C">
        <w:rPr>
          <w:rFonts w:cs="Arial" w:hint="cs"/>
          <w:color w:val="00B0F0"/>
          <w:rtl/>
        </w:rPr>
        <w:t>)</w:t>
      </w:r>
    </w:p>
    <w:p w14:paraId="461C8081" w14:textId="256B7C7C" w:rsidR="001F501A" w:rsidRPr="0035110E" w:rsidRDefault="001F501A" w:rsidP="0035110E">
      <w:pPr>
        <w:rPr>
          <w:rFonts w:cs="Arial"/>
          <w:u w:val="single"/>
        </w:rPr>
      </w:pPr>
      <w:r w:rsidRPr="0035110E">
        <w:rPr>
          <w:rFonts w:cs="Arial" w:hint="cs"/>
          <w:u w:val="single"/>
          <w:rtl/>
        </w:rPr>
        <w:t xml:space="preserve">אשה מעוברת שאומרת 'מאיס עלי' </w:t>
      </w:r>
      <w:r w:rsidR="009F63F5" w:rsidRPr="0035110E">
        <w:rPr>
          <w:rFonts w:cs="Arial" w:hint="cs"/>
          <w:u w:val="single"/>
          <w:rtl/>
        </w:rPr>
        <w:t>-</w:t>
      </w:r>
      <w:r w:rsidRPr="0035110E">
        <w:rPr>
          <w:rFonts w:cs="Arial" w:hint="cs"/>
          <w:u w:val="single"/>
          <w:rtl/>
        </w:rPr>
        <w:t xml:space="preserve"> האם חייב במזונותיה מחמת העובר שבמעיה:</w:t>
      </w:r>
    </w:p>
    <w:p w14:paraId="16EA5FDD" w14:textId="63ADB5C3" w:rsidR="001F501A" w:rsidRPr="001F501A" w:rsidRDefault="001F501A" w:rsidP="009000E3">
      <w:pPr>
        <w:pStyle w:val="ab"/>
        <w:numPr>
          <w:ilvl w:val="0"/>
          <w:numId w:val="27"/>
        </w:numPr>
        <w:rPr>
          <w:rFonts w:cs="Arial"/>
        </w:rPr>
      </w:pPr>
      <w:r w:rsidRPr="00A077AD">
        <w:rPr>
          <w:rFonts w:cs="Arial"/>
          <w:rtl/>
        </w:rPr>
        <w:t xml:space="preserve">רשב"א </w:t>
      </w:r>
      <w:r w:rsidRPr="00A5733B">
        <w:rPr>
          <w:rFonts w:cs="Arial" w:hint="cs"/>
          <w:sz w:val="16"/>
          <w:szCs w:val="16"/>
          <w:rtl/>
        </w:rPr>
        <w:t>(</w:t>
      </w:r>
      <w:r w:rsidRPr="00A5733B">
        <w:rPr>
          <w:rFonts w:cs="Arial"/>
          <w:sz w:val="16"/>
          <w:szCs w:val="16"/>
          <w:rtl/>
        </w:rPr>
        <w:t>בתשו</w:t>
      </w:r>
      <w:r w:rsidRPr="00A5733B">
        <w:rPr>
          <w:rFonts w:cs="Arial" w:hint="cs"/>
          <w:sz w:val="16"/>
          <w:szCs w:val="16"/>
          <w:rtl/>
        </w:rPr>
        <w:t>', כ"כ הב"י בשמו)</w:t>
      </w:r>
      <w:r>
        <w:rPr>
          <w:rFonts w:cs="Arial" w:hint="cs"/>
          <w:rtl/>
        </w:rPr>
        <w:t xml:space="preserve">- </w:t>
      </w:r>
      <w:r w:rsidRPr="00A077AD">
        <w:rPr>
          <w:rFonts w:cs="Arial"/>
          <w:rtl/>
        </w:rPr>
        <w:t>ואם היא מעוברת כמו שאמרת</w:t>
      </w:r>
      <w:r w:rsidRPr="00A077AD">
        <w:rPr>
          <w:rFonts w:cs="Arial" w:hint="cs"/>
          <w:rtl/>
        </w:rPr>
        <w:t>,</w:t>
      </w:r>
      <w:r w:rsidRPr="00A077AD">
        <w:rPr>
          <w:rFonts w:cs="Arial"/>
          <w:rtl/>
        </w:rPr>
        <w:t xml:space="preserve"> אינו חייב במזונותיה מחמת העובר שבמעיה</w:t>
      </w:r>
      <w:r w:rsidRPr="00A077AD">
        <w:rPr>
          <w:rFonts w:cs="Arial" w:hint="cs"/>
          <w:rtl/>
        </w:rPr>
        <w:t>.</w:t>
      </w:r>
      <w:r w:rsidRPr="00A077AD">
        <w:rPr>
          <w:rFonts w:cs="Arial"/>
          <w:rtl/>
        </w:rPr>
        <w:t xml:space="preserve"> אבל לכשתלד אם אינה רוצה להניק לו את הילד אינה חייבת אלא אם הניקתהו עד שיהא מכירה כדאיתא בפרק אף על פי (נט:) והוא נותן לה שכרה</w:t>
      </w:r>
      <w:r w:rsidRPr="00A077AD">
        <w:rPr>
          <w:rFonts w:cs="Arial" w:hint="cs"/>
          <w:rtl/>
        </w:rPr>
        <w:t>,</w:t>
      </w:r>
      <w:r w:rsidRPr="00A077AD">
        <w:rPr>
          <w:rFonts w:cs="Arial"/>
          <w:rtl/>
        </w:rPr>
        <w:t xml:space="preserve"> וקודם הזמן הזה אם אינה רוצה אינה מניקתו אפילו בשכר</w:t>
      </w:r>
      <w:r w:rsidRPr="00A077AD">
        <w:rPr>
          <w:rFonts w:cs="Arial" w:hint="cs"/>
          <w:rtl/>
        </w:rPr>
        <w:t>.</w:t>
      </w:r>
      <w:r w:rsidRPr="0087405A">
        <w:rPr>
          <w:rFonts w:cs="Arial" w:hint="cs"/>
          <w:color w:val="00B0F0"/>
          <w:rtl/>
        </w:rPr>
        <w:t xml:space="preserve"> (וכ"פ הרמ"א)</w:t>
      </w:r>
    </w:p>
    <w:p w14:paraId="788BC196" w14:textId="7127FCB5" w:rsidR="00565719" w:rsidRPr="00565719" w:rsidRDefault="00565719" w:rsidP="00565719">
      <w:pPr>
        <w:rPr>
          <w:rFonts w:cs="Arial"/>
          <w:u w:val="single"/>
        </w:rPr>
      </w:pPr>
      <w:r w:rsidRPr="00565719">
        <w:rPr>
          <w:rFonts w:cs="Arial" w:hint="cs"/>
          <w:u w:val="single"/>
          <w:rtl/>
        </w:rPr>
        <w:t xml:space="preserve">תקנת הגאונים לגרש כל אשה שאומרת </w:t>
      </w:r>
      <w:r>
        <w:rPr>
          <w:rFonts w:cs="Arial" w:hint="cs"/>
          <w:u w:val="single"/>
          <w:rtl/>
        </w:rPr>
        <w:t>'</w:t>
      </w:r>
      <w:r w:rsidRPr="00565719">
        <w:rPr>
          <w:rFonts w:cs="Arial" w:hint="cs"/>
          <w:u w:val="single"/>
          <w:rtl/>
        </w:rPr>
        <w:t>לא בעינא ל</w:t>
      </w:r>
      <w:r>
        <w:rPr>
          <w:rFonts w:cs="Arial" w:hint="cs"/>
          <w:u w:val="single"/>
          <w:rtl/>
        </w:rPr>
        <w:t>יה'</w:t>
      </w:r>
      <w:r w:rsidRPr="00565719">
        <w:rPr>
          <w:rFonts w:cs="Arial" w:hint="cs"/>
          <w:u w:val="single"/>
          <w:rtl/>
        </w:rPr>
        <w:t>:</w:t>
      </w:r>
    </w:p>
    <w:p w14:paraId="344CE01C" w14:textId="70BD340B" w:rsidR="00386CF1" w:rsidRPr="00386CF1" w:rsidRDefault="00565719" w:rsidP="009000E3">
      <w:pPr>
        <w:pStyle w:val="ab"/>
        <w:numPr>
          <w:ilvl w:val="0"/>
          <w:numId w:val="27"/>
        </w:numPr>
        <w:rPr>
          <w:rFonts w:cs="Arial"/>
        </w:rPr>
      </w:pPr>
      <w:r>
        <w:rPr>
          <w:rFonts w:cs="Arial" w:hint="cs"/>
          <w:rtl/>
        </w:rPr>
        <w:t xml:space="preserve">רי"ף </w:t>
      </w:r>
      <w:r>
        <w:rPr>
          <w:rFonts w:cs="Arial" w:hint="cs"/>
          <w:sz w:val="16"/>
          <w:szCs w:val="16"/>
          <w:rtl/>
        </w:rPr>
        <w:t>(כז.)</w:t>
      </w:r>
      <w:r>
        <w:rPr>
          <w:rFonts w:cs="Arial" w:hint="cs"/>
          <w:rtl/>
        </w:rPr>
        <w:t xml:space="preserve">- </w:t>
      </w:r>
      <w:r w:rsidRPr="00565719">
        <w:rPr>
          <w:rFonts w:cs="Arial"/>
          <w:rtl/>
        </w:rPr>
        <w:t>כלתיה דרב זביד אימרדא</w:t>
      </w:r>
      <w:r>
        <w:rPr>
          <w:rFonts w:cs="Arial" w:hint="cs"/>
          <w:rtl/>
        </w:rPr>
        <w:t>...</w:t>
      </w:r>
      <w:r w:rsidRPr="00565719">
        <w:rPr>
          <w:rFonts w:cs="Arial"/>
          <w:rtl/>
        </w:rPr>
        <w:t xml:space="preserve"> תפסה לא מפקינן מינה לא תפסה לא יהבינן לה ומשהינן לה תריסר ירחי שתא אגיטא ובהלין תריסר ירחי שתא לית לה מזוני מבעל. הדין הוא דינא דגמרא</w:t>
      </w:r>
      <w:r>
        <w:rPr>
          <w:rFonts w:cs="Arial" w:hint="cs"/>
          <w:rtl/>
        </w:rPr>
        <w:t>,</w:t>
      </w:r>
      <w:r w:rsidRPr="00565719">
        <w:rPr>
          <w:rFonts w:cs="Arial"/>
          <w:rtl/>
        </w:rPr>
        <w:t xml:space="preserve"> אבל האידנא בבי דינא דמתיבתא הכי דייני במורדת</w:t>
      </w:r>
      <w:r>
        <w:rPr>
          <w:rFonts w:cs="Arial" w:hint="cs"/>
          <w:rtl/>
        </w:rPr>
        <w:t>,</w:t>
      </w:r>
      <w:r w:rsidRPr="00565719">
        <w:rPr>
          <w:rFonts w:cs="Arial"/>
          <w:rtl/>
        </w:rPr>
        <w:t xml:space="preserve"> כד אתיא ואמרה לא בעינא ליה להאי גברא ניתיב לי גיטא</w:t>
      </w:r>
      <w:r>
        <w:rPr>
          <w:rFonts w:cs="Arial" w:hint="cs"/>
          <w:rtl/>
        </w:rPr>
        <w:t xml:space="preserve"> -</w:t>
      </w:r>
      <w:r w:rsidRPr="00565719">
        <w:rPr>
          <w:rFonts w:cs="Arial"/>
          <w:rtl/>
        </w:rPr>
        <w:t xml:space="preserve"> יהיב לה גיטא לאלתר</w:t>
      </w:r>
      <w:r w:rsidR="00337362">
        <w:rPr>
          <w:rStyle w:val="a7"/>
          <w:rFonts w:cs="Arial"/>
          <w:rtl/>
        </w:rPr>
        <w:footnoteReference w:id="554"/>
      </w:r>
      <w:r>
        <w:rPr>
          <w:rFonts w:cs="Arial" w:hint="cs"/>
          <w:rtl/>
        </w:rPr>
        <w:t>.</w:t>
      </w:r>
      <w:r w:rsidR="00337362">
        <w:rPr>
          <w:rFonts w:cs="Arial" w:hint="cs"/>
          <w:rtl/>
        </w:rPr>
        <w:t>..</w:t>
      </w:r>
      <w:r w:rsidRPr="00565719">
        <w:rPr>
          <w:rFonts w:cs="Arial"/>
          <w:rtl/>
        </w:rPr>
        <w:t xml:space="preserve"> וחזינן לגאון דאמר דיהיב לה עיקר כתובה מנה מאתים בלחוד</w:t>
      </w:r>
      <w:r>
        <w:rPr>
          <w:rFonts w:cs="Arial" w:hint="cs"/>
          <w:rtl/>
        </w:rPr>
        <w:t>,</w:t>
      </w:r>
      <w:r w:rsidRPr="00565719">
        <w:rPr>
          <w:rFonts w:cs="Arial"/>
          <w:rtl/>
        </w:rPr>
        <w:t xml:space="preserve"> כי היכי דלא להווין בנות ישראל </w:t>
      </w:r>
      <w:r w:rsidRPr="00565719">
        <w:rPr>
          <w:rFonts w:cs="Arial"/>
          <w:rtl/>
        </w:rPr>
        <w:lastRenderedPageBreak/>
        <w:t>הפקר</w:t>
      </w:r>
      <w:r>
        <w:rPr>
          <w:rFonts w:cs="Arial" w:hint="cs"/>
          <w:rtl/>
        </w:rPr>
        <w:t>,</w:t>
      </w:r>
      <w:r w:rsidRPr="00565719">
        <w:rPr>
          <w:rFonts w:cs="Arial"/>
          <w:rtl/>
        </w:rPr>
        <w:t xml:space="preserve"> אבל מאי דכתיב לה מדיליה בין תוספת בין מתנה לא יהבינן לה מידי</w:t>
      </w:r>
      <w:r>
        <w:rPr>
          <w:rFonts w:cs="Arial" w:hint="cs"/>
          <w:rtl/>
        </w:rPr>
        <w:t>.</w:t>
      </w:r>
      <w:r w:rsidRPr="00565719">
        <w:rPr>
          <w:rFonts w:cs="Arial"/>
          <w:rtl/>
        </w:rPr>
        <w:t xml:space="preserve"> ודינא דגמרא אפילו עיקר כתובה לא יהבינן לה</w:t>
      </w:r>
      <w:r>
        <w:rPr>
          <w:rFonts w:cs="Arial" w:hint="cs"/>
          <w:rtl/>
        </w:rPr>
        <w:t>,</w:t>
      </w:r>
      <w:r w:rsidRPr="00565719">
        <w:rPr>
          <w:rFonts w:cs="Arial"/>
          <w:rtl/>
        </w:rPr>
        <w:t xml:space="preserve"> כדאמרינן בריש פירקא </w:t>
      </w:r>
      <w:r>
        <w:rPr>
          <w:rFonts w:cs="Arial" w:hint="cs"/>
          <w:rtl/>
        </w:rPr>
        <w:t>(</w:t>
      </w:r>
      <w:r w:rsidRPr="00565719">
        <w:rPr>
          <w:rFonts w:cs="Arial"/>
          <w:rtl/>
        </w:rPr>
        <w:t>נד</w:t>
      </w:r>
      <w:r>
        <w:rPr>
          <w:rFonts w:cs="Arial" w:hint="cs"/>
          <w:rtl/>
        </w:rPr>
        <w:t>:)</w:t>
      </w:r>
      <w:r w:rsidRPr="00565719">
        <w:rPr>
          <w:rFonts w:cs="Arial"/>
          <w:rtl/>
        </w:rPr>
        <w:t xml:space="preserve"> תנאי כתובה ככתובה נפקא מינה למוכרת למוחלת ולמורדת</w:t>
      </w:r>
      <w:r>
        <w:rPr>
          <w:rFonts w:cs="Arial" w:hint="cs"/>
          <w:rtl/>
        </w:rPr>
        <w:t>.</w:t>
      </w:r>
      <w:r w:rsidRPr="00565719">
        <w:rPr>
          <w:rFonts w:cs="Arial"/>
          <w:rtl/>
        </w:rPr>
        <w:t xml:space="preserve"> אלמא מורדת אין לה לא עיקר ולא תוספת</w:t>
      </w:r>
      <w:r>
        <w:rPr>
          <w:rFonts w:cs="Arial" w:hint="cs"/>
          <w:rtl/>
        </w:rPr>
        <w:t>.</w:t>
      </w:r>
      <w:r w:rsidRPr="00565719">
        <w:rPr>
          <w:rFonts w:cs="Arial"/>
          <w:rtl/>
        </w:rPr>
        <w:t xml:space="preserve"> הדין הוא דינא דמורדת דנהיגין רבנן במתיבתא מכמה שני עד השתא</w:t>
      </w:r>
      <w:r w:rsidR="00337362">
        <w:rPr>
          <w:rStyle w:val="a7"/>
          <w:rFonts w:cs="Arial"/>
          <w:rtl/>
        </w:rPr>
        <w:footnoteReference w:id="555"/>
      </w:r>
      <w:r>
        <w:rPr>
          <w:rFonts w:cs="Arial" w:hint="cs"/>
          <w:rtl/>
        </w:rPr>
        <w:t>.</w:t>
      </w:r>
      <w:r w:rsidR="00697C4E" w:rsidRPr="00697C4E">
        <w:rPr>
          <w:rtl/>
        </w:rPr>
        <w:t xml:space="preserve"> </w:t>
      </w:r>
    </w:p>
    <w:p w14:paraId="0BAA51AB" w14:textId="449B6AC6" w:rsidR="00534969" w:rsidRDefault="00534969" w:rsidP="009000E3">
      <w:pPr>
        <w:pStyle w:val="ab"/>
        <w:numPr>
          <w:ilvl w:val="0"/>
          <w:numId w:val="27"/>
        </w:numPr>
        <w:rPr>
          <w:rFonts w:cs="Arial"/>
        </w:rPr>
      </w:pPr>
      <w:r>
        <w:rPr>
          <w:rFonts w:cs="Arial" w:hint="cs"/>
          <w:rtl/>
        </w:rPr>
        <w:t xml:space="preserve">רמב"ם </w:t>
      </w:r>
      <w:r>
        <w:rPr>
          <w:rFonts w:cs="Arial" w:hint="cs"/>
          <w:sz w:val="16"/>
          <w:szCs w:val="16"/>
          <w:rtl/>
        </w:rPr>
        <w:t>(פי"ד הי"ד)</w:t>
      </w:r>
      <w:r>
        <w:rPr>
          <w:rFonts w:cs="Arial" w:hint="cs"/>
          <w:rtl/>
        </w:rPr>
        <w:t xml:space="preserve">- </w:t>
      </w:r>
      <w:r w:rsidRPr="00534969">
        <w:rPr>
          <w:rFonts w:cs="Arial"/>
          <w:rtl/>
        </w:rPr>
        <w:t>ואמרו הגאונים שיש להם בבבל מנהגות אחרות במורדת, ולא פשטו אותן המנהגות ברוב ישראל ורבים וגדולים חולקין עליהם ברוב המקומות ובדין התלמוד ראוי לתפוש ולדון.</w:t>
      </w:r>
    </w:p>
    <w:p w14:paraId="60A65ACF" w14:textId="0CD01CDF" w:rsidR="00504C02" w:rsidRDefault="00697C4E" w:rsidP="009000E3">
      <w:pPr>
        <w:pStyle w:val="ab"/>
        <w:numPr>
          <w:ilvl w:val="0"/>
          <w:numId w:val="27"/>
        </w:numPr>
        <w:rPr>
          <w:rFonts w:cs="Arial"/>
        </w:rPr>
      </w:pPr>
      <w:r>
        <w:rPr>
          <w:rFonts w:cs="Arial"/>
          <w:rtl/>
        </w:rPr>
        <w:t xml:space="preserve">רז"ה </w:t>
      </w:r>
      <w:r w:rsidRPr="00697C4E">
        <w:rPr>
          <w:rFonts w:cs="Arial"/>
          <w:sz w:val="16"/>
          <w:szCs w:val="16"/>
          <w:rtl/>
        </w:rPr>
        <w:t>(כז.)</w:t>
      </w:r>
      <w:r>
        <w:rPr>
          <w:rFonts w:cs="Arial" w:hint="cs"/>
          <w:rtl/>
        </w:rPr>
        <w:t xml:space="preserve"> רמב"ן </w:t>
      </w:r>
      <w:r w:rsidR="009459D3" w:rsidRPr="00697C4E">
        <w:rPr>
          <w:rFonts w:cs="Arial"/>
          <w:sz w:val="16"/>
          <w:szCs w:val="16"/>
          <w:rtl/>
        </w:rPr>
        <w:t xml:space="preserve">(סג:) </w:t>
      </w:r>
      <w:r w:rsidR="00606E18" w:rsidRPr="00C414B1">
        <w:rPr>
          <w:rFonts w:cs="Arial"/>
          <w:rtl/>
        </w:rPr>
        <w:t>רשב"א</w:t>
      </w:r>
      <w:r w:rsidR="00606E18">
        <w:rPr>
          <w:rStyle w:val="a7"/>
          <w:rFonts w:cs="Arial"/>
          <w:rtl/>
        </w:rPr>
        <w:footnoteReference w:id="556"/>
      </w:r>
      <w:r w:rsidR="00606E18" w:rsidRPr="00C414B1">
        <w:rPr>
          <w:rFonts w:cs="Arial"/>
          <w:rtl/>
        </w:rPr>
        <w:t xml:space="preserve"> </w:t>
      </w:r>
      <w:r w:rsidR="00606E18" w:rsidRPr="00C414B1">
        <w:rPr>
          <w:rFonts w:cs="Arial" w:hint="cs"/>
          <w:sz w:val="16"/>
          <w:szCs w:val="16"/>
          <w:rtl/>
        </w:rPr>
        <w:t>(ח"א סי' אלף קצב)</w:t>
      </w:r>
      <w:r w:rsidR="00606E18" w:rsidRPr="00606E18">
        <w:rPr>
          <w:rFonts w:cs="Arial" w:hint="cs"/>
          <w:rtl/>
        </w:rPr>
        <w:t xml:space="preserve"> </w:t>
      </w:r>
      <w:r w:rsidR="00C414B1">
        <w:rPr>
          <w:rFonts w:cs="Arial" w:hint="cs"/>
          <w:rtl/>
        </w:rPr>
        <w:t xml:space="preserve">רא"ש </w:t>
      </w:r>
      <w:r w:rsidR="00C414B1" w:rsidRPr="00F66083">
        <w:rPr>
          <w:rFonts w:cs="Arial"/>
          <w:sz w:val="16"/>
          <w:szCs w:val="16"/>
          <w:rtl/>
        </w:rPr>
        <w:t xml:space="preserve">(כלל מג </w:t>
      </w:r>
      <w:r w:rsidR="00C414B1">
        <w:rPr>
          <w:rFonts w:cs="Arial" w:hint="cs"/>
          <w:sz w:val="16"/>
          <w:szCs w:val="16"/>
          <w:rtl/>
        </w:rPr>
        <w:t>סי' ח</w:t>
      </w:r>
      <w:r w:rsidR="008F33F1">
        <w:rPr>
          <w:rFonts w:cs="Arial" w:hint="cs"/>
          <w:sz w:val="16"/>
          <w:szCs w:val="16"/>
          <w:rtl/>
        </w:rPr>
        <w:t>, וסי' יב</w:t>
      </w:r>
      <w:r w:rsidR="00C414B1" w:rsidRPr="00F66083">
        <w:rPr>
          <w:rFonts w:cs="Arial"/>
          <w:sz w:val="16"/>
          <w:szCs w:val="16"/>
          <w:rtl/>
        </w:rPr>
        <w:t>)</w:t>
      </w:r>
      <w:r w:rsidR="00606E18" w:rsidRPr="00606E18">
        <w:rPr>
          <w:rFonts w:cs="Arial"/>
          <w:rtl/>
        </w:rPr>
        <w:t xml:space="preserve"> </w:t>
      </w:r>
      <w:r w:rsidR="009459D3">
        <w:rPr>
          <w:rFonts w:cs="Arial"/>
          <w:rtl/>
        </w:rPr>
        <w:t>ר"ן</w:t>
      </w:r>
      <w:r w:rsidR="00DA0FBD">
        <w:rPr>
          <w:rStyle w:val="a7"/>
          <w:rFonts w:cs="Arial"/>
          <w:rtl/>
        </w:rPr>
        <w:footnoteReference w:id="557"/>
      </w:r>
      <w:r w:rsidR="009459D3">
        <w:rPr>
          <w:rFonts w:cs="Arial"/>
          <w:rtl/>
        </w:rPr>
        <w:t xml:space="preserve"> </w:t>
      </w:r>
      <w:r w:rsidR="009459D3" w:rsidRPr="009459D3">
        <w:rPr>
          <w:rFonts w:cs="Arial" w:hint="cs"/>
          <w:sz w:val="16"/>
          <w:szCs w:val="16"/>
          <w:rtl/>
        </w:rPr>
        <w:t>(</w:t>
      </w:r>
      <w:r w:rsidR="009459D3" w:rsidRPr="009459D3">
        <w:rPr>
          <w:rFonts w:cs="Arial"/>
          <w:sz w:val="16"/>
          <w:szCs w:val="16"/>
          <w:rtl/>
        </w:rPr>
        <w:t>כז:)</w:t>
      </w:r>
      <w:r w:rsidR="009459D3">
        <w:rPr>
          <w:rFonts w:cs="Arial" w:hint="cs"/>
          <w:rtl/>
        </w:rPr>
        <w:t xml:space="preserve"> </w:t>
      </w:r>
      <w:r w:rsidR="00606E18">
        <w:rPr>
          <w:rFonts w:cs="Arial" w:hint="cs"/>
          <w:rtl/>
        </w:rPr>
        <w:t>ו</w:t>
      </w:r>
      <w:r w:rsidR="00606E18">
        <w:rPr>
          <w:rFonts w:cs="Arial"/>
          <w:rtl/>
        </w:rPr>
        <w:t>ריב"ש</w:t>
      </w:r>
      <w:r w:rsidR="00606E18">
        <w:rPr>
          <w:rStyle w:val="a7"/>
          <w:rFonts w:cs="Arial"/>
          <w:rtl/>
        </w:rPr>
        <w:footnoteReference w:id="558"/>
      </w:r>
      <w:r w:rsidR="00606E18" w:rsidRPr="00606E18">
        <w:rPr>
          <w:rFonts w:cs="Arial"/>
          <w:sz w:val="16"/>
          <w:szCs w:val="16"/>
          <w:rtl/>
        </w:rPr>
        <w:t xml:space="preserve"> (סי' קד)</w:t>
      </w:r>
      <w:r w:rsidR="00C414B1">
        <w:rPr>
          <w:rFonts w:cs="Arial" w:hint="cs"/>
          <w:rtl/>
        </w:rPr>
        <w:t xml:space="preserve">- </w:t>
      </w:r>
      <w:r w:rsidR="00C414B1" w:rsidRPr="009A227D">
        <w:rPr>
          <w:rFonts w:cs="Arial"/>
          <w:rtl/>
        </w:rPr>
        <w:t>אותה תקנה לא פשטה בכל הארצות</w:t>
      </w:r>
      <w:r w:rsidR="00C414B1">
        <w:rPr>
          <w:rFonts w:cs="Arial" w:hint="cs"/>
          <w:rtl/>
        </w:rPr>
        <w:t>,</w:t>
      </w:r>
      <w:r w:rsidR="00C414B1" w:rsidRPr="009A227D">
        <w:rPr>
          <w:rFonts w:cs="Arial"/>
          <w:rtl/>
        </w:rPr>
        <w:t xml:space="preserve"> ואף אם יש מקומות שנהגו לכוף לא נהגו מנהג זה על פי תקנת הגאונים כגון שבשעה שתקנו הגאונים את התקנה ששלחוה לאותן המקומות וקיבלו אותה עליהם</w:t>
      </w:r>
      <w:r w:rsidR="00862248">
        <w:rPr>
          <w:rFonts w:cs="Arial" w:hint="cs"/>
          <w:rtl/>
        </w:rPr>
        <w:t>,</w:t>
      </w:r>
      <w:r w:rsidR="00C414B1" w:rsidRPr="009A227D">
        <w:rPr>
          <w:rFonts w:cs="Arial"/>
          <w:rtl/>
        </w:rPr>
        <w:t xml:space="preserve"> ואם כן היה הדבר ידוע על פי הקבלה דור אחר דור היאך קיבלו עליהם תקנה זו בציווי הגאונים כי תקנה קבועה כזאת אם קיבלוה עליהם לא היתה עומדת לישכח מפי דורות הבאים</w:t>
      </w:r>
      <w:r w:rsidR="00862248">
        <w:rPr>
          <w:rFonts w:cs="Arial" w:hint="cs"/>
          <w:rtl/>
        </w:rPr>
        <w:t>,</w:t>
      </w:r>
      <w:r w:rsidR="00C414B1" w:rsidRPr="009A227D">
        <w:rPr>
          <w:rFonts w:cs="Arial"/>
          <w:rtl/>
        </w:rPr>
        <w:t xml:space="preserve"> אלא אני רואה שבאלו הארצות רוב הגיונם בספרי הרי"ף ז"ל ולפי שראו כפייה זו כתובה בהלכות (כז.) נהגו ביש מקומות לדון כן</w:t>
      </w:r>
      <w:r w:rsidR="00C414B1">
        <w:rPr>
          <w:rFonts w:cs="Arial" w:hint="cs"/>
          <w:rtl/>
        </w:rPr>
        <w:t>.</w:t>
      </w:r>
      <w:r w:rsidR="00C414B1" w:rsidRPr="009A227D">
        <w:rPr>
          <w:rFonts w:cs="Arial"/>
          <w:rtl/>
        </w:rPr>
        <w:t xml:space="preserve"> ועוד אני אומר שהגאונים שתקנו התקנה תקנוה לפי הדור ההוא שהיה נראה להם לפי צורך השעה בשביל בנות ישראל</w:t>
      </w:r>
      <w:r w:rsidR="00C414B1">
        <w:rPr>
          <w:rFonts w:cs="Arial" w:hint="cs"/>
          <w:rtl/>
        </w:rPr>
        <w:t>,</w:t>
      </w:r>
      <w:r w:rsidR="00C414B1" w:rsidRPr="009A227D">
        <w:rPr>
          <w:rFonts w:cs="Arial"/>
          <w:rtl/>
        </w:rPr>
        <w:t xml:space="preserve"> והאידנא נראה הענין בהיפך</w:t>
      </w:r>
      <w:r w:rsidR="00862248">
        <w:rPr>
          <w:rFonts w:cs="Arial" w:hint="cs"/>
          <w:rtl/>
        </w:rPr>
        <w:t>,</w:t>
      </w:r>
      <w:r w:rsidR="00C414B1" w:rsidRPr="009A227D">
        <w:rPr>
          <w:rFonts w:cs="Arial"/>
          <w:rtl/>
        </w:rPr>
        <w:t xml:space="preserve"> בנות ישראל בדור הזה שחצניות הן</w:t>
      </w:r>
      <w:r w:rsidR="00EF5F3E">
        <w:rPr>
          <w:rFonts w:cs="Arial" w:hint="cs"/>
          <w:rtl/>
        </w:rPr>
        <w:t>,</w:t>
      </w:r>
      <w:r w:rsidR="00C414B1" w:rsidRPr="009A227D">
        <w:rPr>
          <w:rFonts w:cs="Arial"/>
          <w:rtl/>
        </w:rPr>
        <w:t xml:space="preserve"> ואם תוכל האשה להפקיע את עצמה מתחת בעלה באומרת לא בעינא ליה לא הנחת בת לאברהם אבינו יושבת תחת בעלה ויתנו עיניהן באחר וימרדו בבעליהן</w:t>
      </w:r>
      <w:r w:rsidR="00C414B1">
        <w:rPr>
          <w:rFonts w:cs="Arial" w:hint="cs"/>
          <w:rtl/>
        </w:rPr>
        <w:t>,</w:t>
      </w:r>
      <w:r w:rsidR="00C414B1" w:rsidRPr="009A227D">
        <w:rPr>
          <w:rFonts w:cs="Arial"/>
          <w:rtl/>
        </w:rPr>
        <w:t xml:space="preserve"> על כן טוב להרחיק הכפייה</w:t>
      </w:r>
      <w:r w:rsidR="00606E18">
        <w:rPr>
          <w:rFonts w:cs="Arial" w:hint="cs"/>
          <w:sz w:val="16"/>
          <w:szCs w:val="16"/>
          <w:rtl/>
        </w:rPr>
        <w:t xml:space="preserve"> (ל' הרא"ש</w:t>
      </w:r>
      <w:r w:rsidR="008F33F1">
        <w:rPr>
          <w:rFonts w:cs="Arial" w:hint="cs"/>
          <w:sz w:val="16"/>
          <w:szCs w:val="16"/>
          <w:rtl/>
        </w:rPr>
        <w:t xml:space="preserve"> [בסי' ח]</w:t>
      </w:r>
      <w:r w:rsidR="00606E18">
        <w:rPr>
          <w:rFonts w:cs="Arial" w:hint="cs"/>
          <w:sz w:val="16"/>
          <w:szCs w:val="16"/>
          <w:rtl/>
        </w:rPr>
        <w:t>)</w:t>
      </w:r>
      <w:r w:rsidR="00C414B1">
        <w:rPr>
          <w:rFonts w:cs="Arial" w:hint="cs"/>
          <w:rtl/>
        </w:rPr>
        <w:t>.</w:t>
      </w:r>
      <w:r w:rsidR="004D76B2" w:rsidRPr="004D76B2">
        <w:rPr>
          <w:rFonts w:cs="Arial"/>
          <w:rtl/>
        </w:rPr>
        <w:t xml:space="preserve"> </w:t>
      </w:r>
      <w:r w:rsidR="004D76B2" w:rsidRPr="00897A64">
        <w:rPr>
          <w:rFonts w:cs="Arial"/>
          <w:rtl/>
        </w:rPr>
        <w:t>והסכימו חכמי אשכנז וצרפת שבטענת מאיס עלי אין לכוף לבעל לגרש לכן יזהר כל דיין שלא לכוף לגרש בטענת מאיס עלי וכן אין כופין אותה להיות אצלו</w:t>
      </w:r>
      <w:r w:rsidR="004D76B2">
        <w:rPr>
          <w:rFonts w:cs="Arial" w:hint="cs"/>
          <w:sz w:val="16"/>
          <w:szCs w:val="16"/>
          <w:rtl/>
        </w:rPr>
        <w:t xml:space="preserve"> (ל' הטור בשם הרא"ש)</w:t>
      </w:r>
      <w:r w:rsidR="009C7606">
        <w:rPr>
          <w:rStyle w:val="a7"/>
          <w:rFonts w:cs="Arial"/>
          <w:rtl/>
        </w:rPr>
        <w:footnoteReference w:id="559"/>
      </w:r>
      <w:r w:rsidR="004D76B2">
        <w:rPr>
          <w:rFonts w:cs="Arial" w:hint="cs"/>
          <w:rtl/>
        </w:rPr>
        <w:t>.</w:t>
      </w:r>
      <w:r w:rsidR="004A1C38" w:rsidRPr="004A1C38">
        <w:rPr>
          <w:rFonts w:cs="Arial" w:hint="cs"/>
          <w:color w:val="00B0F0"/>
          <w:rtl/>
        </w:rPr>
        <w:t xml:space="preserve"> (וכ"פ הרמ"א</w:t>
      </w:r>
      <w:r w:rsidR="004A1C38">
        <w:rPr>
          <w:rFonts w:cs="Arial" w:hint="cs"/>
          <w:color w:val="000000" w:themeColor="text1"/>
          <w:sz w:val="16"/>
          <w:szCs w:val="16"/>
          <w:rtl/>
        </w:rPr>
        <w:t xml:space="preserve"> </w:t>
      </w:r>
      <w:r w:rsidR="004A1C38" w:rsidRPr="004A1C38">
        <w:rPr>
          <w:rFonts w:cs="Arial" w:hint="cs"/>
          <w:color w:val="000000" w:themeColor="text1"/>
          <w:sz w:val="16"/>
          <w:szCs w:val="16"/>
          <w:rtl/>
        </w:rPr>
        <w:t>[</w:t>
      </w:r>
      <w:r w:rsidR="004A1C38">
        <w:rPr>
          <w:rFonts w:cs="Arial" w:hint="cs"/>
          <w:color w:val="000000" w:themeColor="text1"/>
          <w:sz w:val="16"/>
          <w:szCs w:val="16"/>
          <w:rtl/>
        </w:rPr>
        <w:t>בסע' ג</w:t>
      </w:r>
      <w:r w:rsidR="004A1C38" w:rsidRPr="004A1C38">
        <w:rPr>
          <w:rFonts w:cs="Arial" w:hint="cs"/>
          <w:color w:val="000000" w:themeColor="text1"/>
          <w:sz w:val="16"/>
          <w:szCs w:val="16"/>
          <w:rtl/>
        </w:rPr>
        <w:t>]</w:t>
      </w:r>
      <w:r w:rsidR="004A1C38" w:rsidRPr="004A1C38">
        <w:rPr>
          <w:rFonts w:cs="Arial" w:hint="cs"/>
          <w:color w:val="00B0F0"/>
          <w:rtl/>
        </w:rPr>
        <w:t>)</w:t>
      </w:r>
    </w:p>
    <w:p w14:paraId="33B5B05D" w14:textId="2636F7CB" w:rsidR="00CD4FF8" w:rsidRPr="00F639B7" w:rsidRDefault="00CD4FF8" w:rsidP="009000E3">
      <w:pPr>
        <w:pStyle w:val="ab"/>
        <w:numPr>
          <w:ilvl w:val="0"/>
          <w:numId w:val="27"/>
        </w:numPr>
        <w:rPr>
          <w:rFonts w:cs="Arial"/>
        </w:rPr>
      </w:pPr>
      <w:r w:rsidRPr="00897A64">
        <w:rPr>
          <w:rFonts w:cs="Arial"/>
          <w:rtl/>
        </w:rPr>
        <w:t xml:space="preserve">רא"ש </w:t>
      </w:r>
      <w:r w:rsidRPr="00164C05">
        <w:rPr>
          <w:rFonts w:cs="Arial" w:hint="cs"/>
          <w:sz w:val="16"/>
          <w:szCs w:val="16"/>
          <w:rtl/>
        </w:rPr>
        <w:t xml:space="preserve">(פ"ה </w:t>
      </w:r>
      <w:r w:rsidRPr="00164C05">
        <w:rPr>
          <w:rFonts w:cs="Arial"/>
          <w:sz w:val="16"/>
          <w:szCs w:val="16"/>
          <w:rtl/>
        </w:rPr>
        <w:t>סי' לה)</w:t>
      </w:r>
      <w:r w:rsidR="00FD0328">
        <w:rPr>
          <w:rFonts w:cs="Arial" w:hint="cs"/>
          <w:rtl/>
        </w:rPr>
        <w:t xml:space="preserve">- </w:t>
      </w:r>
      <w:r w:rsidR="00FD0328" w:rsidRPr="00FD0328">
        <w:rPr>
          <w:rFonts w:cs="Arial"/>
          <w:rtl/>
        </w:rPr>
        <w:t>ואפשר לפי שראו הקלקול בבנות ישראל וכי משהו להו תריסר ירחי שתא תולות עצמן בעובדי כוכבים ויוצאות לתרבות רעה בטלו שהייה ונתנו רשות לבעל לגרשה מיד בלא שהייה</w:t>
      </w:r>
      <w:r w:rsidR="00D72F29">
        <w:rPr>
          <w:rFonts w:cs="Arial" w:hint="cs"/>
          <w:rtl/>
        </w:rPr>
        <w:t>,</w:t>
      </w:r>
      <w:r w:rsidR="00FD0328" w:rsidRPr="00FD0328">
        <w:rPr>
          <w:rFonts w:cs="Arial"/>
          <w:rtl/>
        </w:rPr>
        <w:t xml:space="preserve"> אבל לא שיכפוהו לגרשה</w:t>
      </w:r>
      <w:r w:rsidR="00502895">
        <w:rPr>
          <w:rStyle w:val="a7"/>
          <w:rFonts w:cs="Arial"/>
          <w:rtl/>
        </w:rPr>
        <w:footnoteReference w:id="560"/>
      </w:r>
      <w:r w:rsidR="00502895">
        <w:rPr>
          <w:rFonts w:cs="Arial" w:hint="cs"/>
          <w:rtl/>
        </w:rPr>
        <w:t>,</w:t>
      </w:r>
      <w:r w:rsidR="00FD0328" w:rsidRPr="00FD0328">
        <w:rPr>
          <w:rFonts w:cs="Arial"/>
          <w:rtl/>
        </w:rPr>
        <w:t xml:space="preserve"> דאף במונע ממנה תשמיש או מזונות אין כופין אותו להוציא כדאיתא בירושלמי אין מעשין אלא לפסולות כ"ש כשהיא מונעת לעצמה</w:t>
      </w:r>
      <w:r w:rsidR="00502895">
        <w:rPr>
          <w:rFonts w:cs="Arial" w:hint="cs"/>
          <w:rtl/>
        </w:rPr>
        <w:t>,</w:t>
      </w:r>
      <w:r w:rsidR="00FD0328" w:rsidRPr="00FD0328">
        <w:rPr>
          <w:rFonts w:cs="Arial"/>
          <w:rtl/>
        </w:rPr>
        <w:t xml:space="preserve"> שלא תקנו להרבות ממזרין בישראל</w:t>
      </w:r>
      <w:r w:rsidR="00502895">
        <w:rPr>
          <w:rStyle w:val="a7"/>
          <w:rFonts w:cs="Arial"/>
          <w:rtl/>
        </w:rPr>
        <w:footnoteReference w:id="561"/>
      </w:r>
      <w:r w:rsidR="00FD0328" w:rsidRPr="00FD0328">
        <w:rPr>
          <w:rFonts w:cs="Arial"/>
          <w:rtl/>
        </w:rPr>
        <w:t xml:space="preserve"> מוטב שבנות ישראל הרעות יתגרשו ולא שיוסיפו רעה על רעתן.</w:t>
      </w:r>
      <w:r w:rsidRPr="00F639B7">
        <w:rPr>
          <w:rFonts w:cs="Arial"/>
          <w:rtl/>
        </w:rPr>
        <w:t xml:space="preserve"> </w:t>
      </w:r>
    </w:p>
    <w:p w14:paraId="70D2040C" w14:textId="34D7637F" w:rsidR="009C7606" w:rsidRDefault="009C7606" w:rsidP="009000E3">
      <w:pPr>
        <w:pStyle w:val="ab"/>
        <w:numPr>
          <w:ilvl w:val="0"/>
          <w:numId w:val="27"/>
        </w:numPr>
        <w:rPr>
          <w:rFonts w:cs="Arial"/>
        </w:rPr>
      </w:pPr>
      <w:r>
        <w:rPr>
          <w:rFonts w:cs="Arial" w:hint="cs"/>
          <w:rtl/>
        </w:rPr>
        <w:t xml:space="preserve">מהר"ם </w:t>
      </w:r>
      <w:r>
        <w:rPr>
          <w:rFonts w:cs="Arial" w:hint="cs"/>
          <w:sz w:val="16"/>
          <w:szCs w:val="16"/>
          <w:rtl/>
        </w:rPr>
        <w:t xml:space="preserve">(ספר סיני וליקוטים סי' תקסב, וכ"כ המרדכי בשמו </w:t>
      </w:r>
      <w:r w:rsidR="005F6884">
        <w:rPr>
          <w:rFonts w:cs="Arial" w:hint="cs"/>
          <w:sz w:val="16"/>
          <w:szCs w:val="16"/>
          <w:rtl/>
        </w:rPr>
        <w:t>[כתובות סי' קפו])</w:t>
      </w:r>
      <w:r w:rsidR="005F6884">
        <w:rPr>
          <w:rFonts w:cs="Arial" w:hint="cs"/>
          <w:rtl/>
        </w:rPr>
        <w:t xml:space="preserve">- </w:t>
      </w:r>
      <w:r w:rsidRPr="009C7606">
        <w:rPr>
          <w:rFonts w:cs="Arial"/>
          <w:rtl/>
        </w:rPr>
        <w:t>ששאלת על ענין המורדת, דיינינן דינא דמורדת כמו שכתבו הרי"ף זצ"ל</w:t>
      </w:r>
      <w:r w:rsidRPr="0047162F">
        <w:rPr>
          <w:rFonts w:cs="Arial"/>
          <w:sz w:val="16"/>
          <w:szCs w:val="16"/>
          <w:rtl/>
        </w:rPr>
        <w:t xml:space="preserve"> </w:t>
      </w:r>
      <w:r w:rsidR="005F6884" w:rsidRPr="0047162F">
        <w:rPr>
          <w:rFonts w:cs="Arial" w:hint="cs"/>
          <w:sz w:val="16"/>
          <w:szCs w:val="16"/>
          <w:rtl/>
        </w:rPr>
        <w:t>(</w:t>
      </w:r>
      <w:r w:rsidRPr="0047162F">
        <w:rPr>
          <w:rFonts w:cs="Arial"/>
          <w:sz w:val="16"/>
          <w:szCs w:val="16"/>
          <w:rtl/>
        </w:rPr>
        <w:t>כתובות כז</w:t>
      </w:r>
      <w:r w:rsidR="005F6884" w:rsidRPr="0047162F">
        <w:rPr>
          <w:rFonts w:cs="Arial" w:hint="cs"/>
          <w:sz w:val="16"/>
          <w:szCs w:val="16"/>
          <w:rtl/>
        </w:rPr>
        <w:t>.)</w:t>
      </w:r>
      <w:r w:rsidRPr="0047162F">
        <w:rPr>
          <w:rFonts w:cs="Arial"/>
          <w:sz w:val="16"/>
          <w:szCs w:val="16"/>
          <w:rtl/>
        </w:rPr>
        <w:t xml:space="preserve"> </w:t>
      </w:r>
      <w:r w:rsidRPr="009C7606">
        <w:rPr>
          <w:rFonts w:cs="Arial"/>
          <w:rtl/>
        </w:rPr>
        <w:t>ורוב הגאונים ע"ה. סוף דבר</w:t>
      </w:r>
      <w:r w:rsidR="0047162F">
        <w:rPr>
          <w:rFonts w:cs="Arial" w:hint="cs"/>
          <w:rtl/>
        </w:rPr>
        <w:t>...</w:t>
      </w:r>
      <w:r w:rsidRPr="009C7606">
        <w:rPr>
          <w:rFonts w:cs="Arial"/>
          <w:rtl/>
        </w:rPr>
        <w:t xml:space="preserve"> מכל מקום לדידן דלא נהגו לכופו לגרש</w:t>
      </w:r>
      <w:r w:rsidR="0047162F">
        <w:rPr>
          <w:rFonts w:cs="Arial" w:hint="cs"/>
          <w:rtl/>
        </w:rPr>
        <w:t>..</w:t>
      </w:r>
      <w:r w:rsidRPr="009C7606">
        <w:rPr>
          <w:rFonts w:cs="Arial"/>
          <w:rtl/>
        </w:rPr>
        <w:t>. ופעמים רבות בא כזה מעשה ודננו כך, דיהבינן לה מה דעיילא, ומעגנינן לה עד שתתפייס להיות עמו או עד שיתפייס הוא ליתן גט</w:t>
      </w:r>
      <w:r w:rsidR="002F0E7A">
        <w:rPr>
          <w:rStyle w:val="a7"/>
          <w:rFonts w:cs="Arial"/>
          <w:rtl/>
        </w:rPr>
        <w:footnoteReference w:id="562"/>
      </w:r>
      <w:r w:rsidRPr="009C7606">
        <w:rPr>
          <w:rFonts w:cs="Arial"/>
          <w:rtl/>
        </w:rPr>
        <w:t>.</w:t>
      </w:r>
    </w:p>
    <w:p w14:paraId="4610D8AD" w14:textId="522B8E9B" w:rsidR="000F6886" w:rsidRPr="000F6886" w:rsidRDefault="000F6886" w:rsidP="000F6886">
      <w:pPr>
        <w:ind w:left="360"/>
        <w:rPr>
          <w:rFonts w:cs="Arial"/>
          <w:u w:val="dotted"/>
        </w:rPr>
      </w:pPr>
      <w:r w:rsidRPr="000F6886">
        <w:rPr>
          <w:rFonts w:cs="Arial" w:hint="cs"/>
          <w:u w:val="dotted"/>
          <w:rtl/>
        </w:rPr>
        <w:lastRenderedPageBreak/>
        <w:t>האם דנים לפי תקנת הגאונים לפחות לעניין ממון:</w:t>
      </w:r>
    </w:p>
    <w:p w14:paraId="40322593" w14:textId="1703917C" w:rsidR="006F6BB1" w:rsidRPr="00050974" w:rsidRDefault="000F6886" w:rsidP="009000E3">
      <w:pPr>
        <w:pStyle w:val="ab"/>
        <w:numPr>
          <w:ilvl w:val="0"/>
          <w:numId w:val="27"/>
        </w:numPr>
      </w:pPr>
      <w:r>
        <w:rPr>
          <w:rFonts w:cs="Arial" w:hint="cs"/>
          <w:rtl/>
        </w:rPr>
        <w:t xml:space="preserve">ב"י- </w:t>
      </w:r>
      <w:r>
        <w:rPr>
          <w:rStyle w:val="a7"/>
          <w:rFonts w:cs="Arial"/>
          <w:rtl/>
        </w:rPr>
        <w:footnoteReference w:id="563"/>
      </w:r>
      <w:r w:rsidR="006F6BB1" w:rsidRPr="006F6BB1">
        <w:rPr>
          <w:rFonts w:cs="Arial"/>
          <w:rtl/>
        </w:rPr>
        <w:t>אע</w:t>
      </w:r>
      <w:r w:rsidR="00653D88">
        <w:rPr>
          <w:rFonts w:cs="Arial" w:hint="cs"/>
          <w:rtl/>
        </w:rPr>
        <w:t>"</w:t>
      </w:r>
      <w:r w:rsidR="006F6BB1" w:rsidRPr="006F6BB1">
        <w:rPr>
          <w:rFonts w:cs="Arial"/>
          <w:rtl/>
        </w:rPr>
        <w:t>פ שבענין לכפות לגרש לא קיי</w:t>
      </w:r>
      <w:r w:rsidR="00653D88">
        <w:rPr>
          <w:rFonts w:cs="Arial" w:hint="cs"/>
          <w:rtl/>
        </w:rPr>
        <w:t>"</w:t>
      </w:r>
      <w:r w:rsidR="006F6BB1" w:rsidRPr="006F6BB1">
        <w:rPr>
          <w:rFonts w:cs="Arial"/>
          <w:rtl/>
        </w:rPr>
        <w:t>ל כדינא דמתיבתא מכל מקום בענין ממונא איפשר דנקטינן בההוא דינא</w:t>
      </w:r>
      <w:r w:rsidR="007802D3">
        <w:rPr>
          <w:rFonts w:cs="Arial" w:hint="cs"/>
          <w:rtl/>
        </w:rPr>
        <w:t>,</w:t>
      </w:r>
      <w:r w:rsidR="006F6BB1" w:rsidRPr="006F6BB1">
        <w:rPr>
          <w:rFonts w:cs="Arial"/>
          <w:rtl/>
        </w:rPr>
        <w:t xml:space="preserve"> וכמו שכתב</w:t>
      </w:r>
      <w:r>
        <w:rPr>
          <w:rFonts w:cs="Arial" w:hint="cs"/>
          <w:sz w:val="16"/>
          <w:szCs w:val="16"/>
          <w:rtl/>
        </w:rPr>
        <w:t xml:space="preserve"> {הטור}</w:t>
      </w:r>
      <w:r w:rsidR="006F6BB1" w:rsidRPr="006F6BB1">
        <w:rPr>
          <w:rFonts w:cs="Arial"/>
          <w:rtl/>
        </w:rPr>
        <w:t xml:space="preserve"> בסמוך שכך היה דן ר"מ ז"ל</w:t>
      </w:r>
      <w:r w:rsidR="007802D3">
        <w:rPr>
          <w:rFonts w:cs="Arial" w:hint="cs"/>
          <w:rtl/>
        </w:rPr>
        <w:t>,</w:t>
      </w:r>
      <w:r w:rsidR="006F6BB1" w:rsidRPr="006F6BB1">
        <w:rPr>
          <w:rFonts w:cs="Arial"/>
          <w:rtl/>
        </w:rPr>
        <w:t xml:space="preserve"> ומשום הכי כתב אחר דברי הרמב"ם ז"ל</w:t>
      </w:r>
      <w:r w:rsidR="007802D3">
        <w:rPr>
          <w:rFonts w:cs="Arial" w:hint="cs"/>
          <w:rtl/>
        </w:rPr>
        <w:t>:</w:t>
      </w:r>
      <w:r w:rsidR="006F6BB1" w:rsidRPr="006F6BB1">
        <w:rPr>
          <w:rFonts w:cs="Arial"/>
          <w:rtl/>
        </w:rPr>
        <w:t xml:space="preserve"> </w:t>
      </w:r>
      <w:r w:rsidR="007802D3">
        <w:rPr>
          <w:rFonts w:cs="Arial" w:hint="cs"/>
          <w:rtl/>
        </w:rPr>
        <w:t>"</w:t>
      </w:r>
      <w:r w:rsidR="006F6BB1" w:rsidRPr="006F6BB1">
        <w:rPr>
          <w:rFonts w:cs="Arial"/>
          <w:rtl/>
        </w:rPr>
        <w:t>אבל רי"ף ז"ל כתב</w:t>
      </w:r>
      <w:r w:rsidR="007802D3">
        <w:rPr>
          <w:rFonts w:cs="Arial" w:hint="cs"/>
          <w:rtl/>
        </w:rPr>
        <w:t>"</w:t>
      </w:r>
      <w:r>
        <w:rPr>
          <w:rFonts w:cs="Arial" w:hint="cs"/>
          <w:rtl/>
        </w:rPr>
        <w:t>,</w:t>
      </w:r>
      <w:r w:rsidR="006F6BB1" w:rsidRPr="006F6BB1">
        <w:rPr>
          <w:rFonts w:cs="Arial"/>
          <w:rtl/>
        </w:rPr>
        <w:t xml:space="preserve"> לומר דאע</w:t>
      </w:r>
      <w:r w:rsidR="007802D3">
        <w:rPr>
          <w:rFonts w:cs="Arial" w:hint="cs"/>
          <w:rtl/>
        </w:rPr>
        <w:t>"</w:t>
      </w:r>
      <w:r w:rsidR="006F6BB1" w:rsidRPr="006F6BB1">
        <w:rPr>
          <w:rFonts w:cs="Arial"/>
          <w:rtl/>
        </w:rPr>
        <w:t>פ שכתב הרמב"ם שבדין התלמוד יש לדון גם בענין הממון רי"ף כתב דינא דמתיבתא שהוא שלא כדברי התלמוד</w:t>
      </w:r>
      <w:r>
        <w:rPr>
          <w:rFonts w:cs="Arial" w:hint="cs"/>
          <w:rtl/>
        </w:rPr>
        <w:t>,</w:t>
      </w:r>
      <w:r w:rsidR="006F6BB1" w:rsidRPr="006F6BB1">
        <w:rPr>
          <w:rFonts w:cs="Arial"/>
          <w:rtl/>
        </w:rPr>
        <w:t xml:space="preserve"> ור"מ</w:t>
      </w:r>
      <w:r w:rsidR="007D5147">
        <w:rPr>
          <w:rStyle w:val="a7"/>
          <w:rFonts w:cs="Arial"/>
          <w:rtl/>
        </w:rPr>
        <w:footnoteReference w:id="564"/>
      </w:r>
      <w:r w:rsidR="006F6BB1" w:rsidRPr="006F6BB1">
        <w:rPr>
          <w:rFonts w:cs="Arial"/>
          <w:rtl/>
        </w:rPr>
        <w:t xml:space="preserve"> היה דן כדינא דמתיבתא לענין הממון</w:t>
      </w:r>
      <w:r w:rsidR="007D5147">
        <w:rPr>
          <w:rStyle w:val="a7"/>
          <w:rFonts w:cs="Arial"/>
          <w:rtl/>
        </w:rPr>
        <w:footnoteReference w:id="565"/>
      </w:r>
      <w:r w:rsidR="006F6BB1" w:rsidRPr="006F6BB1">
        <w:rPr>
          <w:rFonts w:cs="Arial"/>
          <w:rtl/>
        </w:rPr>
        <w:t xml:space="preserve">. </w:t>
      </w:r>
    </w:p>
    <w:p w14:paraId="7863FC65" w14:textId="32438803" w:rsidR="00050974" w:rsidRPr="00E67778" w:rsidRDefault="00E67778" w:rsidP="00A248CD">
      <w:pPr>
        <w:rPr>
          <w:u w:val="single"/>
        </w:rPr>
      </w:pPr>
      <w:r w:rsidRPr="00E67778">
        <w:rPr>
          <w:rFonts w:hint="cs"/>
          <w:u w:val="single"/>
          <w:rtl/>
        </w:rPr>
        <w:t>בעל</w:t>
      </w:r>
      <w:r w:rsidR="00A248CD" w:rsidRPr="00E67778">
        <w:rPr>
          <w:rFonts w:hint="cs"/>
          <w:u w:val="single"/>
          <w:rtl/>
        </w:rPr>
        <w:t xml:space="preserve"> שכפוהו</w:t>
      </w:r>
      <w:r w:rsidRPr="00E67778">
        <w:rPr>
          <w:rFonts w:hint="cs"/>
          <w:u w:val="single"/>
          <w:rtl/>
        </w:rPr>
        <w:t xml:space="preserve"> להוציא</w:t>
      </w:r>
      <w:r w:rsidRPr="00E67778">
        <w:rPr>
          <w:rFonts w:hint="cs"/>
          <w:sz w:val="16"/>
          <w:szCs w:val="16"/>
          <w:u w:val="single"/>
          <w:rtl/>
        </w:rPr>
        <w:t xml:space="preserve"> (במקרה שכופין או לפי התקנה הנ"ל)</w:t>
      </w:r>
      <w:r w:rsidR="00A248CD" w:rsidRPr="00E67778">
        <w:rPr>
          <w:rFonts w:hint="cs"/>
          <w:u w:val="single"/>
          <w:rtl/>
        </w:rPr>
        <w:t xml:space="preserve"> </w:t>
      </w:r>
      <w:r w:rsidR="00050974" w:rsidRPr="00E67778">
        <w:rPr>
          <w:rFonts w:hint="cs"/>
          <w:u w:val="single"/>
          <w:rtl/>
        </w:rPr>
        <w:t>ומתה האשה קודם שהוציא</w:t>
      </w:r>
      <w:r w:rsidRPr="00E67778">
        <w:rPr>
          <w:rFonts w:hint="cs"/>
          <w:u w:val="single"/>
          <w:rtl/>
        </w:rPr>
        <w:t xml:space="preserve"> -</w:t>
      </w:r>
      <w:r w:rsidR="00050974" w:rsidRPr="00E67778">
        <w:rPr>
          <w:rFonts w:hint="cs"/>
          <w:u w:val="single"/>
          <w:rtl/>
        </w:rPr>
        <w:t xml:space="preserve"> האם בעלה יורש אותה:</w:t>
      </w:r>
    </w:p>
    <w:p w14:paraId="384EEECF" w14:textId="2E8BA07E" w:rsidR="00050974" w:rsidRPr="00050974" w:rsidRDefault="00050974" w:rsidP="009000E3">
      <w:pPr>
        <w:pStyle w:val="ab"/>
        <w:numPr>
          <w:ilvl w:val="0"/>
          <w:numId w:val="27"/>
        </w:numPr>
        <w:rPr>
          <w:rFonts w:cs="Arial"/>
        </w:rPr>
      </w:pPr>
      <w:r>
        <w:rPr>
          <w:rFonts w:cs="Arial" w:hint="cs"/>
          <w:rtl/>
        </w:rPr>
        <w:t xml:space="preserve">רי"ף </w:t>
      </w:r>
      <w:r>
        <w:rPr>
          <w:rFonts w:cs="Arial" w:hint="cs"/>
          <w:sz w:val="16"/>
          <w:szCs w:val="16"/>
          <w:rtl/>
        </w:rPr>
        <w:t>(כז.)</w:t>
      </w:r>
      <w:r>
        <w:rPr>
          <w:rFonts w:cs="Arial" w:hint="cs"/>
          <w:rtl/>
        </w:rPr>
        <w:t xml:space="preserve">- </w:t>
      </w:r>
      <w:r w:rsidRPr="00697C4E">
        <w:rPr>
          <w:rFonts w:cs="Arial"/>
          <w:rtl/>
        </w:rPr>
        <w:t>ולדברי הכל</w:t>
      </w:r>
      <w:r w:rsidR="00A248CD">
        <w:rPr>
          <w:rFonts w:cs="Arial" w:hint="cs"/>
          <w:rtl/>
        </w:rPr>
        <w:t>,</w:t>
      </w:r>
      <w:r w:rsidRPr="00697C4E">
        <w:rPr>
          <w:rFonts w:cs="Arial"/>
          <w:rtl/>
        </w:rPr>
        <w:t xml:space="preserve"> כל מאן דכייפינן ליה לאפוקי</w:t>
      </w:r>
      <w:r>
        <w:rPr>
          <w:rFonts w:cs="Arial" w:hint="cs"/>
          <w:rtl/>
        </w:rPr>
        <w:t>,</w:t>
      </w:r>
      <w:r w:rsidRPr="00697C4E">
        <w:rPr>
          <w:rFonts w:cs="Arial"/>
          <w:rtl/>
        </w:rPr>
        <w:t xml:space="preserve"> בין מעיקר דינא כדתנן </w:t>
      </w:r>
      <w:r>
        <w:rPr>
          <w:rFonts w:cs="Arial" w:hint="cs"/>
          <w:rtl/>
        </w:rPr>
        <w:t>(עז.)</w:t>
      </w:r>
      <w:r w:rsidRPr="00697C4E">
        <w:rPr>
          <w:rFonts w:cs="Arial"/>
          <w:rtl/>
        </w:rPr>
        <w:t xml:space="preserve"> אלו שכופין אותן להוציא ומאי דדמו להו</w:t>
      </w:r>
      <w:r>
        <w:rPr>
          <w:rFonts w:cs="Arial" w:hint="cs"/>
          <w:rtl/>
        </w:rPr>
        <w:t>,</w:t>
      </w:r>
      <w:r w:rsidRPr="00697C4E">
        <w:rPr>
          <w:rFonts w:cs="Arial"/>
          <w:rtl/>
        </w:rPr>
        <w:t xml:space="preserve"> בין מעיקר דתקנתא</w:t>
      </w:r>
      <w:r>
        <w:rPr>
          <w:rFonts w:cs="Arial" w:hint="cs"/>
          <w:rtl/>
        </w:rPr>
        <w:t>,</w:t>
      </w:r>
      <w:r w:rsidRPr="00697C4E">
        <w:rPr>
          <w:rFonts w:cs="Arial"/>
          <w:rtl/>
        </w:rPr>
        <w:t xml:space="preserve"> אי מיתא לה איתתא מקמי דתיפוק מיניה דבעל בגט </w:t>
      </w:r>
      <w:r>
        <w:rPr>
          <w:rFonts w:cs="Arial" w:hint="cs"/>
          <w:rtl/>
        </w:rPr>
        <w:t xml:space="preserve">- </w:t>
      </w:r>
      <w:r w:rsidRPr="00697C4E">
        <w:rPr>
          <w:rFonts w:cs="Arial"/>
          <w:rtl/>
        </w:rPr>
        <w:t>בעלה ירית לה דלא מיפקע ירושה דבעל אלא בגירושין גמורין</w:t>
      </w:r>
      <w:r>
        <w:rPr>
          <w:rFonts w:cs="Arial" w:hint="cs"/>
          <w:rtl/>
        </w:rPr>
        <w:t>.</w:t>
      </w:r>
      <w:r w:rsidRPr="00697C4E">
        <w:rPr>
          <w:rFonts w:cs="Arial"/>
          <w:rtl/>
        </w:rPr>
        <w:t xml:space="preserve"> וכן</w:t>
      </w:r>
      <w:r>
        <w:rPr>
          <w:rFonts w:cs="Arial" w:hint="cs"/>
          <w:rtl/>
        </w:rPr>
        <w:t xml:space="preserve"> הלכתא.</w:t>
      </w:r>
      <w:r w:rsidRPr="00386CF1">
        <w:rPr>
          <w:rFonts w:cs="Arial" w:hint="cs"/>
          <w:color w:val="00B0F0"/>
          <w:rtl/>
        </w:rPr>
        <w:t xml:space="preserve"> </w:t>
      </w:r>
      <w:r w:rsidRPr="00B2631C">
        <w:rPr>
          <w:rFonts w:cs="Arial" w:hint="cs"/>
          <w:color w:val="00B0F0"/>
          <w:rtl/>
        </w:rPr>
        <w:t>(וכ"</w:t>
      </w:r>
      <w:r>
        <w:rPr>
          <w:rFonts w:cs="Arial" w:hint="cs"/>
          <w:color w:val="00B0F0"/>
          <w:rtl/>
        </w:rPr>
        <w:t>פ</w:t>
      </w:r>
      <w:r w:rsidRPr="00B2631C">
        <w:rPr>
          <w:rFonts w:cs="Arial" w:hint="cs"/>
          <w:color w:val="00B0F0"/>
          <w:rtl/>
        </w:rPr>
        <w:t xml:space="preserve"> הרמ"א</w:t>
      </w:r>
      <w:r>
        <w:rPr>
          <w:rFonts w:cs="Arial" w:hint="cs"/>
          <w:color w:val="000000" w:themeColor="text1"/>
          <w:sz w:val="16"/>
          <w:szCs w:val="16"/>
          <w:rtl/>
        </w:rPr>
        <w:t xml:space="preserve"> </w:t>
      </w:r>
      <w:r w:rsidRPr="004A1C38">
        <w:rPr>
          <w:rFonts w:cs="Arial" w:hint="cs"/>
          <w:color w:val="000000" w:themeColor="text1"/>
          <w:sz w:val="16"/>
          <w:szCs w:val="16"/>
          <w:rtl/>
        </w:rPr>
        <w:t>[</w:t>
      </w:r>
      <w:r>
        <w:rPr>
          <w:rFonts w:cs="Arial" w:hint="cs"/>
          <w:color w:val="000000" w:themeColor="text1"/>
          <w:sz w:val="16"/>
          <w:szCs w:val="16"/>
          <w:rtl/>
        </w:rPr>
        <w:t>בסע' ג</w:t>
      </w:r>
      <w:r w:rsidRPr="004A1C38">
        <w:rPr>
          <w:rFonts w:cs="Arial" w:hint="cs"/>
          <w:color w:val="000000" w:themeColor="text1"/>
          <w:sz w:val="16"/>
          <w:szCs w:val="16"/>
          <w:rtl/>
        </w:rPr>
        <w:t>]</w:t>
      </w:r>
      <w:r w:rsidRPr="00B2631C">
        <w:rPr>
          <w:rFonts w:cs="Arial" w:hint="cs"/>
          <w:color w:val="00B0F0"/>
          <w:rtl/>
        </w:rPr>
        <w:t>)</w:t>
      </w:r>
    </w:p>
    <w:p w14:paraId="31D93086" w14:textId="7B215D35" w:rsidR="009C7606" w:rsidRPr="009C7606" w:rsidRDefault="009C7606" w:rsidP="009C7606">
      <w:pPr>
        <w:rPr>
          <w:rFonts w:cs="Arial"/>
          <w:sz w:val="16"/>
          <w:szCs w:val="16"/>
        </w:rPr>
      </w:pPr>
      <w:r w:rsidRPr="009C7606">
        <w:rPr>
          <w:rFonts w:cs="Arial" w:hint="cs"/>
          <w:u w:val="single"/>
          <w:rtl/>
        </w:rPr>
        <w:t>בדורות הללו שאין נושאים שתי נשים האם אפשר לא להשהות י"ב חודש את האומרת מאיס:</w:t>
      </w:r>
      <w:r>
        <w:rPr>
          <w:rFonts w:cs="Arial" w:hint="cs"/>
          <w:sz w:val="16"/>
          <w:szCs w:val="16"/>
          <w:rtl/>
        </w:rPr>
        <w:t xml:space="preserve">  (דרכ"מ אות יא)</w:t>
      </w:r>
    </w:p>
    <w:p w14:paraId="49BF704B" w14:textId="4D82476E" w:rsidR="009C7606" w:rsidRDefault="009C7606" w:rsidP="009000E3">
      <w:pPr>
        <w:pStyle w:val="ab"/>
        <w:numPr>
          <w:ilvl w:val="0"/>
          <w:numId w:val="27"/>
        </w:numPr>
        <w:rPr>
          <w:rFonts w:cs="Arial"/>
        </w:rPr>
      </w:pPr>
      <w:r w:rsidRPr="005741DC">
        <w:rPr>
          <w:rFonts w:cs="Arial"/>
          <w:rtl/>
        </w:rPr>
        <w:t xml:space="preserve">ראב"ן </w:t>
      </w:r>
      <w:r w:rsidRPr="009C7606">
        <w:rPr>
          <w:rFonts w:cs="Arial"/>
          <w:sz w:val="16"/>
          <w:szCs w:val="16"/>
          <w:rtl/>
        </w:rPr>
        <w:t>(כתובות רסא ע"ג סוד"ה המורדת</w:t>
      </w:r>
      <w:r w:rsidRPr="009C7606">
        <w:rPr>
          <w:rFonts w:cs="Arial" w:hint="cs"/>
          <w:sz w:val="16"/>
          <w:szCs w:val="16"/>
          <w:rtl/>
        </w:rPr>
        <w:t>, כ"כ בשמו המרדכי סי' קפו</w:t>
      </w:r>
      <w:r w:rsidRPr="009C7606">
        <w:rPr>
          <w:rFonts w:cs="Arial"/>
          <w:sz w:val="16"/>
          <w:szCs w:val="16"/>
          <w:rtl/>
        </w:rPr>
        <w:t>)</w:t>
      </w:r>
      <w:r>
        <w:rPr>
          <w:rFonts w:cs="Arial" w:hint="cs"/>
          <w:rtl/>
        </w:rPr>
        <w:t>-</w:t>
      </w:r>
      <w:r w:rsidRPr="005741DC">
        <w:rPr>
          <w:rFonts w:cs="Arial"/>
          <w:rtl/>
        </w:rPr>
        <w:t xml:space="preserve"> בדורות הללו שאין אדם נושא שתי נשים ביחד לא משהינן לה</w:t>
      </w:r>
      <w:r w:rsidR="00CB795D">
        <w:rPr>
          <w:rFonts w:cs="Arial" w:hint="cs"/>
          <w:rtl/>
        </w:rPr>
        <w:t>.</w:t>
      </w:r>
      <w:r w:rsidRPr="005741DC">
        <w:rPr>
          <w:rFonts w:cs="Arial"/>
          <w:rtl/>
        </w:rPr>
        <w:t xml:space="preserve"> ואם בשביל הנשים שתוסרנה </w:t>
      </w:r>
      <w:r w:rsidR="00CB795D">
        <w:rPr>
          <w:rFonts w:cs="Arial" w:hint="cs"/>
          <w:rtl/>
        </w:rPr>
        <w:t xml:space="preserve">- </w:t>
      </w:r>
      <w:r w:rsidRPr="005741DC">
        <w:rPr>
          <w:rFonts w:cs="Arial"/>
          <w:rtl/>
        </w:rPr>
        <w:t>קנסינן לה להתיר לו לישא אשה אחרת</w:t>
      </w:r>
      <w:r w:rsidR="00CB795D">
        <w:rPr>
          <w:rFonts w:cs="Arial" w:hint="cs"/>
          <w:rtl/>
        </w:rPr>
        <w:t>,</w:t>
      </w:r>
      <w:r w:rsidRPr="005741DC">
        <w:rPr>
          <w:rFonts w:cs="Arial"/>
          <w:rtl/>
        </w:rPr>
        <w:t xml:space="preserve"> והיא תשב ותתעגן</w:t>
      </w:r>
      <w:r>
        <w:rPr>
          <w:rFonts w:cs="Arial" w:hint="cs"/>
          <w:rtl/>
        </w:rPr>
        <w:t>.</w:t>
      </w:r>
    </w:p>
    <w:p w14:paraId="41F61581" w14:textId="1C55A2F2" w:rsidR="0026469F" w:rsidRDefault="0026469F" w:rsidP="009000E3">
      <w:pPr>
        <w:pStyle w:val="ab"/>
        <w:numPr>
          <w:ilvl w:val="0"/>
          <w:numId w:val="27"/>
        </w:numPr>
        <w:rPr>
          <w:rFonts w:cs="Arial"/>
        </w:rPr>
      </w:pPr>
      <w:r w:rsidRPr="005741DC">
        <w:rPr>
          <w:rFonts w:cs="Arial"/>
          <w:rtl/>
        </w:rPr>
        <w:t xml:space="preserve">רשב"א </w:t>
      </w:r>
      <w:r w:rsidRPr="0026469F">
        <w:rPr>
          <w:rFonts w:cs="Arial"/>
          <w:sz w:val="16"/>
          <w:szCs w:val="16"/>
          <w:rtl/>
        </w:rPr>
        <w:t>(ח"א סי</w:t>
      </w:r>
      <w:r w:rsidRPr="0026469F">
        <w:rPr>
          <w:rFonts w:cs="Arial" w:hint="cs"/>
          <w:sz w:val="16"/>
          <w:szCs w:val="16"/>
          <w:rtl/>
        </w:rPr>
        <w:t>'</w:t>
      </w:r>
      <w:r w:rsidRPr="0026469F">
        <w:rPr>
          <w:rFonts w:cs="Arial"/>
          <w:sz w:val="16"/>
          <w:szCs w:val="16"/>
          <w:rtl/>
        </w:rPr>
        <w:t xml:space="preserve"> תתס</w:t>
      </w:r>
      <w:r w:rsidRPr="0026469F">
        <w:rPr>
          <w:rFonts w:cs="Arial" w:hint="cs"/>
          <w:sz w:val="16"/>
          <w:szCs w:val="16"/>
          <w:rtl/>
        </w:rPr>
        <w:t>)</w:t>
      </w:r>
      <w:r w:rsidRPr="005741DC">
        <w:rPr>
          <w:rFonts w:cs="Arial"/>
          <w:rtl/>
        </w:rPr>
        <w:t xml:space="preserve"> </w:t>
      </w:r>
      <w:r>
        <w:rPr>
          <w:rFonts w:cs="Arial" w:hint="cs"/>
          <w:rtl/>
        </w:rPr>
        <w:t xml:space="preserve">י"א </w:t>
      </w:r>
      <w:r w:rsidRPr="0026469F">
        <w:rPr>
          <w:rFonts w:cs="Arial" w:hint="cs"/>
          <w:sz w:val="16"/>
          <w:szCs w:val="16"/>
          <w:rtl/>
        </w:rPr>
        <w:t xml:space="preserve">(הביאו ההגמ"ר </w:t>
      </w:r>
      <w:r w:rsidRPr="0026469F">
        <w:rPr>
          <w:rFonts w:cs="Arial"/>
          <w:sz w:val="16"/>
          <w:szCs w:val="16"/>
          <w:rtl/>
        </w:rPr>
        <w:t>סי' רצ)</w:t>
      </w:r>
      <w:r w:rsidRPr="0026469F">
        <w:rPr>
          <w:rFonts w:cs="Arial" w:hint="cs"/>
          <w:rtl/>
        </w:rPr>
        <w:t xml:space="preserve"> </w:t>
      </w:r>
      <w:r>
        <w:rPr>
          <w:rFonts w:cs="Arial" w:hint="cs"/>
          <w:rtl/>
        </w:rPr>
        <w:t>ו</w:t>
      </w:r>
      <w:r w:rsidRPr="005741DC">
        <w:rPr>
          <w:rFonts w:cs="Arial"/>
          <w:rtl/>
        </w:rPr>
        <w:t xml:space="preserve">מהרי"ק </w:t>
      </w:r>
      <w:r w:rsidRPr="0026469F">
        <w:rPr>
          <w:rFonts w:cs="Arial" w:hint="cs"/>
          <w:sz w:val="16"/>
          <w:szCs w:val="16"/>
          <w:rtl/>
        </w:rPr>
        <w:t>(</w:t>
      </w:r>
      <w:r w:rsidRPr="0026469F">
        <w:rPr>
          <w:rFonts w:cs="Arial"/>
          <w:sz w:val="16"/>
          <w:szCs w:val="16"/>
          <w:rtl/>
        </w:rPr>
        <w:t>שורש סג ענף ה)</w:t>
      </w:r>
      <w:r>
        <w:rPr>
          <w:rFonts w:cs="Arial" w:hint="cs"/>
          <w:rtl/>
        </w:rPr>
        <w:t xml:space="preserve">- </w:t>
      </w:r>
      <w:r w:rsidRPr="005741DC">
        <w:rPr>
          <w:rFonts w:cs="Arial"/>
          <w:rtl/>
        </w:rPr>
        <w:t>אין מתירין לו לישא אשה אחרת</w:t>
      </w:r>
      <w:r>
        <w:rPr>
          <w:rStyle w:val="a7"/>
          <w:rFonts w:cs="Arial"/>
          <w:rtl/>
        </w:rPr>
        <w:footnoteReference w:id="566"/>
      </w:r>
      <w:r>
        <w:rPr>
          <w:rFonts w:cs="Arial" w:hint="cs"/>
          <w:rtl/>
        </w:rPr>
        <w:t>.</w:t>
      </w:r>
      <w:r w:rsidRPr="005741DC">
        <w:rPr>
          <w:rFonts w:cs="Arial"/>
          <w:rtl/>
        </w:rPr>
        <w:t xml:space="preserve"> </w:t>
      </w:r>
      <w:r w:rsidRPr="0026469F">
        <w:rPr>
          <w:rFonts w:cs="Arial" w:hint="cs"/>
          <w:color w:val="00B0F0"/>
          <w:rtl/>
        </w:rPr>
        <w:t>(וכ"פ הרמ"א)</w:t>
      </w:r>
    </w:p>
    <w:p w14:paraId="4E134C20" w14:textId="5808F9E8" w:rsidR="009C7606" w:rsidRPr="009C7606" w:rsidRDefault="009C7606" w:rsidP="009000E3">
      <w:pPr>
        <w:pStyle w:val="ab"/>
        <w:numPr>
          <w:ilvl w:val="0"/>
          <w:numId w:val="27"/>
        </w:numPr>
        <w:rPr>
          <w:rFonts w:cs="Arial"/>
        </w:rPr>
      </w:pPr>
      <w:r w:rsidRPr="005741DC">
        <w:rPr>
          <w:rFonts w:cs="Arial"/>
          <w:rtl/>
        </w:rPr>
        <w:t xml:space="preserve">ראבי"ה </w:t>
      </w:r>
      <w:r>
        <w:rPr>
          <w:rFonts w:cs="Arial" w:hint="cs"/>
          <w:sz w:val="16"/>
          <w:szCs w:val="16"/>
          <w:rtl/>
        </w:rPr>
        <w:t>(כ"כ בשמו המרדכי שם)</w:t>
      </w:r>
      <w:r>
        <w:rPr>
          <w:rFonts w:cs="Arial" w:hint="cs"/>
          <w:rtl/>
        </w:rPr>
        <w:t xml:space="preserve">- </w:t>
      </w:r>
      <w:r w:rsidRPr="005741DC">
        <w:rPr>
          <w:rFonts w:cs="Arial"/>
          <w:rtl/>
        </w:rPr>
        <w:t>אחרי אשר ראינו בזה פלוגתא דרבוותא</w:t>
      </w:r>
      <w:r w:rsidR="00FD1AB5">
        <w:rPr>
          <w:rFonts w:cs="Arial" w:hint="cs"/>
          <w:rtl/>
        </w:rPr>
        <w:t>,</w:t>
      </w:r>
      <w:r w:rsidRPr="005741DC">
        <w:rPr>
          <w:rFonts w:cs="Arial"/>
          <w:rtl/>
        </w:rPr>
        <w:t xml:space="preserve"> חכמי הדור יתנו לב לפי הענין להעמיד דבר על אופניו שלא תצאנה בנות ישראל לתרבות רעה ח"ו וכו'</w:t>
      </w:r>
      <w:r>
        <w:rPr>
          <w:rFonts w:cs="Arial" w:hint="cs"/>
          <w:rtl/>
        </w:rPr>
        <w:t>.</w:t>
      </w:r>
      <w:r w:rsidRPr="005741DC">
        <w:rPr>
          <w:rFonts w:cs="Arial"/>
          <w:rtl/>
        </w:rPr>
        <w:t xml:space="preserve"> </w:t>
      </w:r>
    </w:p>
    <w:p w14:paraId="79C9D5DD" w14:textId="457ED5BD" w:rsidR="00DA0FBD" w:rsidRPr="00DA0FBD" w:rsidRDefault="00DA0FBD" w:rsidP="00DA0FBD">
      <w:pPr>
        <w:rPr>
          <w:rFonts w:cs="Arial"/>
          <w:u w:val="single"/>
        </w:rPr>
      </w:pPr>
      <w:r w:rsidRPr="00DA0FBD">
        <w:rPr>
          <w:rFonts w:cs="Arial" w:hint="cs"/>
          <w:u w:val="single"/>
          <w:rtl/>
        </w:rPr>
        <w:t xml:space="preserve">מקומות שנוהגים לפסוק ע"פ הרמב"ם </w:t>
      </w:r>
      <w:r w:rsidR="00E33262">
        <w:rPr>
          <w:rFonts w:cs="Arial" w:hint="cs"/>
          <w:u w:val="single"/>
          <w:rtl/>
        </w:rPr>
        <w:t>-</w:t>
      </w:r>
      <w:r w:rsidRPr="00DA0FBD">
        <w:rPr>
          <w:rFonts w:cs="Arial" w:hint="cs"/>
          <w:u w:val="single"/>
          <w:rtl/>
        </w:rPr>
        <w:t xml:space="preserve"> כיצד דנין להם בדין מורדת:</w:t>
      </w:r>
    </w:p>
    <w:p w14:paraId="205BE3CA" w14:textId="4E32C086" w:rsidR="00DA0FBD" w:rsidRPr="00C139A5" w:rsidRDefault="00C139A5" w:rsidP="009000E3">
      <w:pPr>
        <w:pStyle w:val="ab"/>
        <w:numPr>
          <w:ilvl w:val="0"/>
          <w:numId w:val="27"/>
        </w:numPr>
        <w:rPr>
          <w:rFonts w:cs="Arial"/>
        </w:rPr>
      </w:pPr>
      <w:r>
        <w:rPr>
          <w:rFonts w:cs="Arial" w:hint="cs"/>
          <w:rtl/>
        </w:rPr>
        <w:t>תשב"ץ</w:t>
      </w:r>
      <w:r w:rsidR="00DA0FBD">
        <w:rPr>
          <w:rFonts w:cs="Arial" w:hint="cs"/>
          <w:sz w:val="16"/>
          <w:szCs w:val="16"/>
          <w:rtl/>
        </w:rPr>
        <w:t xml:space="preserve"> (</w:t>
      </w:r>
      <w:r>
        <w:rPr>
          <w:rFonts w:cs="Arial" w:hint="cs"/>
          <w:sz w:val="16"/>
          <w:szCs w:val="16"/>
          <w:rtl/>
        </w:rPr>
        <w:t>ח"ב סי' רנו, וכן בח"ד [חוט המשולש</w:t>
      </w:r>
      <w:r w:rsidR="00B523E7">
        <w:rPr>
          <w:rStyle w:val="a7"/>
          <w:rFonts w:cs="Arial"/>
          <w:sz w:val="16"/>
          <w:szCs w:val="16"/>
          <w:rtl/>
        </w:rPr>
        <w:footnoteReference w:id="567"/>
      </w:r>
      <w:r>
        <w:rPr>
          <w:rFonts w:cs="Arial" w:hint="cs"/>
          <w:sz w:val="16"/>
          <w:szCs w:val="16"/>
          <w:rtl/>
        </w:rPr>
        <w:t>] טור ג סי' לה ד"ה ומ"מ ראיתי</w:t>
      </w:r>
      <w:r w:rsidR="00DA0FBD">
        <w:rPr>
          <w:rFonts w:cs="Arial" w:hint="cs"/>
          <w:sz w:val="16"/>
          <w:szCs w:val="16"/>
          <w:rtl/>
        </w:rPr>
        <w:t>)</w:t>
      </w:r>
      <w:r w:rsidR="00DA0FBD">
        <w:rPr>
          <w:rFonts w:cs="Arial" w:hint="cs"/>
          <w:rtl/>
        </w:rPr>
        <w:t>-</w:t>
      </w:r>
      <w:r w:rsidR="00DA0FBD" w:rsidRPr="00DA0FBD">
        <w:rPr>
          <w:rFonts w:cs="Arial"/>
          <w:rtl/>
        </w:rPr>
        <w:t xml:space="preserve"> </w:t>
      </w:r>
      <w:r w:rsidRPr="00C139A5">
        <w:rPr>
          <w:rFonts w:cs="Arial"/>
          <w:rtl/>
        </w:rPr>
        <w:t>עוד שאלת</w:t>
      </w:r>
      <w:r w:rsidR="00E33262">
        <w:rPr>
          <w:rFonts w:cs="Arial" w:hint="cs"/>
          <w:rtl/>
        </w:rPr>
        <w:t>:</w:t>
      </w:r>
      <w:r w:rsidR="00B523E7">
        <w:rPr>
          <w:rFonts w:cs="Arial" w:hint="cs"/>
          <w:rtl/>
        </w:rPr>
        <w:t>...</w:t>
      </w:r>
      <w:r w:rsidRPr="00C139A5">
        <w:rPr>
          <w:rFonts w:cs="Arial"/>
          <w:rtl/>
        </w:rPr>
        <w:t xml:space="preserve"> אנא אדוני תודיעני במקום שקבלו עליהם לדון על פי פסקי הרב ז"ל אם יעשו אותו לגרש בטענת מאיס עלי</w:t>
      </w:r>
      <w:r w:rsidR="00440735">
        <w:rPr>
          <w:rFonts w:cs="Arial" w:hint="cs"/>
          <w:rtl/>
        </w:rPr>
        <w:t>.</w:t>
      </w:r>
      <w:r w:rsidRPr="00C139A5">
        <w:rPr>
          <w:rFonts w:cs="Arial"/>
          <w:rtl/>
        </w:rPr>
        <w:t xml:space="preserve"> ואם יכופו לגרש אם אין הבעל רוצה לתת גט אלא על תנאי כגון שלא תנשאי או תתני או תשמשי</w:t>
      </w:r>
      <w:r w:rsidR="00440735">
        <w:rPr>
          <w:rFonts w:cs="Arial" w:hint="cs"/>
          <w:rtl/>
        </w:rPr>
        <w:t>,</w:t>
      </w:r>
      <w:r w:rsidRPr="00C139A5">
        <w:rPr>
          <w:rFonts w:cs="Arial"/>
          <w:rtl/>
        </w:rPr>
        <w:t xml:space="preserve"> היוכל או יכריחוהו לגרש בלא שום תנאי</w:t>
      </w:r>
      <w:r>
        <w:rPr>
          <w:rFonts w:cs="Arial" w:hint="cs"/>
          <w:rtl/>
        </w:rPr>
        <w:t>.</w:t>
      </w:r>
      <w:r w:rsidRPr="00C139A5">
        <w:rPr>
          <w:rFonts w:cs="Arial"/>
          <w:rtl/>
        </w:rPr>
        <w:t xml:space="preserve"> </w:t>
      </w:r>
      <w:r w:rsidR="00E33262">
        <w:rPr>
          <w:rFonts w:cs="Arial" w:hint="cs"/>
          <w:rtl/>
        </w:rPr>
        <w:t xml:space="preserve">     </w:t>
      </w:r>
      <w:r w:rsidRPr="00C139A5">
        <w:rPr>
          <w:rFonts w:cs="Arial"/>
          <w:rtl/>
        </w:rPr>
        <w:t>תשובה</w:t>
      </w:r>
      <w:r w:rsidR="00E33262">
        <w:rPr>
          <w:rFonts w:cs="Arial" w:hint="cs"/>
          <w:rtl/>
        </w:rPr>
        <w:t>:</w:t>
      </w:r>
      <w:r w:rsidR="00B523E7">
        <w:rPr>
          <w:rFonts w:cs="Arial" w:hint="cs"/>
          <w:rtl/>
        </w:rPr>
        <w:t>..</w:t>
      </w:r>
      <w:r w:rsidRPr="00C139A5">
        <w:rPr>
          <w:rFonts w:cs="Arial"/>
          <w:rtl/>
        </w:rPr>
        <w:t>. ולענין דינא דמורדת ששאלת אם יש לכוף לגרש על פי ספרי הרמב"ם ז"ל במקומות שנהגו לדון על פי ספריו. כבר ידעת איך החמירו האחרוני' ז"ל בזה וקראו על הכופה שהוא מרבה ממזרים בעולם וא"כ מי הוא זה אשר מלאו לבו לעשו' מעשה בדבר</w:t>
      </w:r>
      <w:r w:rsidR="00B523E7">
        <w:rPr>
          <w:rFonts w:cs="Arial" w:hint="cs"/>
          <w:rtl/>
        </w:rPr>
        <w:t>.</w:t>
      </w:r>
      <w:r w:rsidRPr="00C139A5">
        <w:rPr>
          <w:rFonts w:cs="Arial"/>
          <w:rtl/>
        </w:rPr>
        <w:t xml:space="preserve"> ובמקומנו זה מיום שנתישבו בו הסכמנו לדון על פי ספרי הרמב"ם ז"ל מלבד קצת דברים אחד מהם דין מורדת. ודע כי זה לו קרוב לשלשים שנה בא דין מורדת ליד מורי הקדוש ר' אפרים וידאל ז"ל ואמרו לו קצת ממנהיגי הקהל שיכוף ע"פ ספרי הרמב"ם ז"ל כי כן היתה הסכמת הקהל ההוא</w:t>
      </w:r>
      <w:r w:rsidR="00B523E7">
        <w:rPr>
          <w:rFonts w:cs="Arial" w:hint="cs"/>
          <w:rtl/>
        </w:rPr>
        <w:t>,</w:t>
      </w:r>
      <w:r w:rsidRPr="00C139A5">
        <w:rPr>
          <w:rFonts w:cs="Arial"/>
          <w:rtl/>
        </w:rPr>
        <w:t xml:space="preserve"> והוא ז"ל חקר הדבר ואמרו לו כי מעולם לא נעשה מעשה בכפיה שם</w:t>
      </w:r>
      <w:r w:rsidR="00B523E7">
        <w:rPr>
          <w:rFonts w:cs="Arial" w:hint="cs"/>
          <w:rtl/>
        </w:rPr>
        <w:t>.</w:t>
      </w:r>
      <w:r w:rsidRPr="00C139A5">
        <w:rPr>
          <w:rFonts w:cs="Arial"/>
          <w:rtl/>
        </w:rPr>
        <w:t xml:space="preserve"> והוא נמלך עמי אם יש כח ביד הצבור להסכים על כיוצא בזה</w:t>
      </w:r>
      <w:r w:rsidR="00B523E7">
        <w:rPr>
          <w:rFonts w:cs="Arial" w:hint="cs"/>
          <w:rtl/>
        </w:rPr>
        <w:t>.</w:t>
      </w:r>
      <w:r w:rsidRPr="00C139A5">
        <w:rPr>
          <w:rFonts w:cs="Arial"/>
          <w:rtl/>
        </w:rPr>
        <w:t xml:space="preserve"> ואני אמרתי לא</w:t>
      </w:r>
      <w:r w:rsidR="00440735">
        <w:rPr>
          <w:rFonts w:cs="Arial" w:hint="cs"/>
          <w:rtl/>
        </w:rPr>
        <w:t>,</w:t>
      </w:r>
      <w:r w:rsidRPr="00C139A5">
        <w:rPr>
          <w:rFonts w:cs="Arial"/>
          <w:rtl/>
        </w:rPr>
        <w:t xml:space="preserve"> כי אין הצבור רשאין להסכים בעניני אישות מפני חומר הערוה ושראוי לו לדון על פי הסכמת האחרונים ז"ל</w:t>
      </w:r>
      <w:r w:rsidR="00B523E7">
        <w:rPr>
          <w:rFonts w:cs="Arial" w:hint="cs"/>
          <w:rtl/>
        </w:rPr>
        <w:t>.</w:t>
      </w:r>
      <w:r w:rsidRPr="00C139A5">
        <w:rPr>
          <w:rFonts w:cs="Arial"/>
          <w:rtl/>
        </w:rPr>
        <w:t xml:space="preserve"> והוא ז"ל אמר לי כי יותר מעשרים שנה הי' </w:t>
      </w:r>
      <w:r w:rsidRPr="00C139A5">
        <w:rPr>
          <w:rFonts w:cs="Arial"/>
          <w:rtl/>
        </w:rPr>
        <w:lastRenderedPageBreak/>
        <w:t>באותו פרק שהוא שאל בזה לרבו הרב ר' נסים ז"ל והשיב לו כדברי</w:t>
      </w:r>
      <w:r w:rsidR="00C51E98">
        <w:rPr>
          <w:rFonts w:cs="Arial" w:hint="cs"/>
          <w:rtl/>
        </w:rPr>
        <w:t>,</w:t>
      </w:r>
      <w:r w:rsidRPr="00C139A5">
        <w:rPr>
          <w:rFonts w:cs="Arial"/>
          <w:rtl/>
        </w:rPr>
        <w:t xml:space="preserve"> ושמחתי. מ"מ זה הוא לכתחל</w:t>
      </w:r>
      <w:r w:rsidR="00C51E98">
        <w:rPr>
          <w:rFonts w:cs="Arial" w:hint="cs"/>
          <w:rtl/>
        </w:rPr>
        <w:t>ה,</w:t>
      </w:r>
      <w:r w:rsidRPr="00C139A5">
        <w:rPr>
          <w:rFonts w:cs="Arial"/>
          <w:rtl/>
        </w:rPr>
        <w:t xml:space="preserve"> אבל אם נעש</w:t>
      </w:r>
      <w:r w:rsidR="00C51E98">
        <w:rPr>
          <w:rFonts w:cs="Arial" w:hint="cs"/>
          <w:rtl/>
        </w:rPr>
        <w:t>ה</w:t>
      </w:r>
      <w:r w:rsidRPr="00C139A5">
        <w:rPr>
          <w:rFonts w:cs="Arial"/>
          <w:rtl/>
        </w:rPr>
        <w:t xml:space="preserve"> מעש</w:t>
      </w:r>
      <w:r w:rsidR="00C51E98">
        <w:rPr>
          <w:rFonts w:cs="Arial" w:hint="cs"/>
          <w:rtl/>
        </w:rPr>
        <w:t>ה</w:t>
      </w:r>
      <w:r w:rsidRPr="00C139A5">
        <w:rPr>
          <w:rFonts w:cs="Arial"/>
          <w:rtl/>
        </w:rPr>
        <w:t xml:space="preserve"> במקומו</w:t>
      </w:r>
      <w:r w:rsidR="00C51E98">
        <w:rPr>
          <w:rFonts w:cs="Arial" w:hint="cs"/>
          <w:rtl/>
        </w:rPr>
        <w:t>ת</w:t>
      </w:r>
      <w:r w:rsidRPr="00C139A5">
        <w:rPr>
          <w:rFonts w:cs="Arial"/>
          <w:rtl/>
        </w:rPr>
        <w:t xml:space="preserve"> שנוהגין על פי ספריו ז"ל כ</w:t>
      </w:r>
      <w:r w:rsidR="00C51E98">
        <w:rPr>
          <w:rFonts w:cs="Arial" w:hint="cs"/>
          <w:rtl/>
        </w:rPr>
        <w:t>תב</w:t>
      </w:r>
      <w:r w:rsidRPr="00C139A5">
        <w:rPr>
          <w:rFonts w:cs="Arial"/>
          <w:rtl/>
        </w:rPr>
        <w:t xml:space="preserve"> הרא"ש ז"ל שאין מחזירין הדבר. ואני אומר דהיינו אם נשאת שלא תצא. אבל להתיר</w:t>
      </w:r>
      <w:r w:rsidR="00C51E98">
        <w:rPr>
          <w:rFonts w:cs="Arial" w:hint="cs"/>
          <w:rtl/>
        </w:rPr>
        <w:t>ה</w:t>
      </w:r>
      <w:r w:rsidRPr="00C139A5">
        <w:rPr>
          <w:rFonts w:cs="Arial"/>
          <w:rtl/>
        </w:rPr>
        <w:t xml:space="preserve"> לינשא לכתחל</w:t>
      </w:r>
      <w:r w:rsidR="00C51E98">
        <w:rPr>
          <w:rFonts w:cs="Arial" w:hint="cs"/>
          <w:rtl/>
        </w:rPr>
        <w:t>ה</w:t>
      </w:r>
      <w:r w:rsidRPr="00C139A5">
        <w:rPr>
          <w:rFonts w:cs="Arial"/>
          <w:rtl/>
        </w:rPr>
        <w:t xml:space="preserve"> הדבר קשה. ונר</w:t>
      </w:r>
      <w:r w:rsidR="00C51E98">
        <w:rPr>
          <w:rFonts w:cs="Arial" w:hint="cs"/>
          <w:rtl/>
        </w:rPr>
        <w:t>אה</w:t>
      </w:r>
      <w:r w:rsidRPr="00C139A5">
        <w:rPr>
          <w:rFonts w:cs="Arial"/>
          <w:rtl/>
        </w:rPr>
        <w:t xml:space="preserve"> לי לדון להלכ</w:t>
      </w:r>
      <w:r w:rsidR="00C51E98">
        <w:rPr>
          <w:rFonts w:cs="Arial" w:hint="cs"/>
          <w:rtl/>
        </w:rPr>
        <w:t>ה</w:t>
      </w:r>
      <w:r w:rsidRPr="00C139A5">
        <w:rPr>
          <w:rFonts w:cs="Arial"/>
          <w:rtl/>
        </w:rPr>
        <w:t xml:space="preserve"> שהדין שוה בכל המקומו</w:t>
      </w:r>
      <w:r w:rsidR="00443645">
        <w:rPr>
          <w:rFonts w:cs="Arial" w:hint="cs"/>
          <w:rtl/>
        </w:rPr>
        <w:t>ת</w:t>
      </w:r>
      <w:r w:rsidRPr="00C139A5">
        <w:rPr>
          <w:rFonts w:cs="Arial"/>
          <w:rtl/>
        </w:rPr>
        <w:t xml:space="preserve"> שלא תנשא ואם נשאת שלא תצא</w:t>
      </w:r>
      <w:r w:rsidR="00DA0FBD">
        <w:rPr>
          <w:rStyle w:val="a7"/>
          <w:rFonts w:cs="Arial"/>
          <w:rtl/>
        </w:rPr>
        <w:footnoteReference w:id="568"/>
      </w:r>
      <w:r w:rsidR="00DA0FBD" w:rsidRPr="00C139A5">
        <w:rPr>
          <w:rFonts w:cs="Arial" w:hint="cs"/>
          <w:rtl/>
        </w:rPr>
        <w:t>.</w:t>
      </w:r>
    </w:p>
    <w:p w14:paraId="1825E9C9" w14:textId="3DD5BCBC" w:rsidR="00504C02" w:rsidRDefault="00A74C2B" w:rsidP="009000E3">
      <w:pPr>
        <w:pStyle w:val="ab"/>
        <w:numPr>
          <w:ilvl w:val="0"/>
          <w:numId w:val="27"/>
        </w:numPr>
        <w:rPr>
          <w:rFonts w:cs="Arial"/>
        </w:rPr>
      </w:pPr>
      <w:r w:rsidRPr="00504C02">
        <w:rPr>
          <w:rFonts w:cs="Arial"/>
          <w:rtl/>
        </w:rPr>
        <w:t xml:space="preserve">ר"ן </w:t>
      </w:r>
      <w:r w:rsidRPr="00504C02">
        <w:rPr>
          <w:rFonts w:cs="Arial"/>
          <w:sz w:val="16"/>
          <w:szCs w:val="16"/>
          <w:rtl/>
        </w:rPr>
        <w:t>(סי' סב)</w:t>
      </w:r>
      <w:r w:rsidR="00504C02">
        <w:rPr>
          <w:rFonts w:cs="Arial" w:hint="cs"/>
          <w:rtl/>
        </w:rPr>
        <w:t>- שאלת</w:t>
      </w:r>
      <w:r w:rsidR="00BE1D95">
        <w:rPr>
          <w:rFonts w:cs="Arial" w:hint="cs"/>
          <w:rtl/>
        </w:rPr>
        <w:t>:</w:t>
      </w:r>
      <w:r w:rsidR="00504C02">
        <w:rPr>
          <w:rFonts w:cs="Arial" w:hint="cs"/>
          <w:rtl/>
        </w:rPr>
        <w:t xml:space="preserve"> </w:t>
      </w:r>
      <w:r w:rsidRPr="00504C02">
        <w:rPr>
          <w:rFonts w:cs="Arial"/>
          <w:rtl/>
        </w:rPr>
        <w:t>על בני עיר אחת שקיבלו עליהם להתנהג בכל הוראותיהם על פי הרמב"ם</w:t>
      </w:r>
      <w:r w:rsidR="00BE1D95">
        <w:rPr>
          <w:rFonts w:cs="Arial" w:hint="cs"/>
          <w:rtl/>
        </w:rPr>
        <w:t>,</w:t>
      </w:r>
      <w:r w:rsidRPr="00504C02">
        <w:rPr>
          <w:rFonts w:cs="Arial"/>
          <w:rtl/>
        </w:rPr>
        <w:t xml:space="preserve"> ובא אחד מחוץ לעיר וקידש אשה שם והלך לו והיא רוצה להתגרש ממנו בטענת מאיס עלי</w:t>
      </w:r>
      <w:r w:rsidR="00606E18" w:rsidRPr="00504C02">
        <w:rPr>
          <w:rFonts w:cs="Arial" w:hint="cs"/>
          <w:rtl/>
        </w:rPr>
        <w:t xml:space="preserve">. </w:t>
      </w:r>
      <w:r w:rsidR="00BE1D95">
        <w:rPr>
          <w:rFonts w:cs="Arial" w:hint="cs"/>
          <w:rtl/>
        </w:rPr>
        <w:t xml:space="preserve">     </w:t>
      </w:r>
      <w:r w:rsidR="00606E18" w:rsidRPr="00504C02">
        <w:rPr>
          <w:rFonts w:cs="Arial" w:hint="cs"/>
          <w:rtl/>
        </w:rPr>
        <w:t>תש</w:t>
      </w:r>
      <w:r w:rsidR="00BE1D95">
        <w:rPr>
          <w:rFonts w:cs="Arial" w:hint="cs"/>
          <w:rtl/>
        </w:rPr>
        <w:t>ו</w:t>
      </w:r>
      <w:r w:rsidR="00606E18" w:rsidRPr="00504C02">
        <w:rPr>
          <w:rFonts w:cs="Arial" w:hint="cs"/>
          <w:rtl/>
        </w:rPr>
        <w:t>בה</w:t>
      </w:r>
      <w:r w:rsidR="00BE1D95">
        <w:rPr>
          <w:rFonts w:cs="Arial" w:hint="cs"/>
          <w:rtl/>
        </w:rPr>
        <w:t>:</w:t>
      </w:r>
      <w:r w:rsidRPr="00504C02">
        <w:rPr>
          <w:rFonts w:cs="Arial"/>
          <w:rtl/>
        </w:rPr>
        <w:t xml:space="preserve"> מיראי הוראה אני</w:t>
      </w:r>
      <w:r w:rsidR="00606E18" w:rsidRPr="00504C02">
        <w:rPr>
          <w:rFonts w:cs="Arial" w:hint="cs"/>
          <w:rtl/>
        </w:rPr>
        <w:t>,</w:t>
      </w:r>
      <w:r w:rsidRPr="00504C02">
        <w:rPr>
          <w:rFonts w:cs="Arial"/>
          <w:rtl/>
        </w:rPr>
        <w:t xml:space="preserve"> לפי שזה בשעה שקידש לא היה מאנשי אותה העיר והרשות היה בידו להוציא את אשתו מעיר לעיר כיוצא בה</w:t>
      </w:r>
      <w:r w:rsidR="00606E18" w:rsidRPr="00504C02">
        <w:rPr>
          <w:rFonts w:cs="Arial" w:hint="cs"/>
          <w:rtl/>
        </w:rPr>
        <w:t>,</w:t>
      </w:r>
      <w:r w:rsidRPr="00504C02">
        <w:rPr>
          <w:rFonts w:cs="Arial"/>
          <w:rtl/>
        </w:rPr>
        <w:t xml:space="preserve"> ולפיכך אין כח ביד אנשי אותה העיר לכופו להתנהג בתקנותיהם</w:t>
      </w:r>
      <w:r w:rsidR="00504C02" w:rsidRPr="00504C02">
        <w:rPr>
          <w:rFonts w:cs="Arial" w:hint="cs"/>
          <w:rtl/>
        </w:rPr>
        <w:t>.</w:t>
      </w:r>
    </w:p>
    <w:p w14:paraId="6340D158" w14:textId="77777777" w:rsidR="00810AC2" w:rsidRDefault="00504C02" w:rsidP="00504C02">
      <w:pPr>
        <w:rPr>
          <w:rFonts w:cs="Arial"/>
          <w:u w:val="single"/>
          <w:rtl/>
        </w:rPr>
      </w:pPr>
      <w:r w:rsidRPr="00504C02">
        <w:rPr>
          <w:rFonts w:cs="Arial" w:hint="cs"/>
          <w:u w:val="single"/>
          <w:rtl/>
        </w:rPr>
        <w:t xml:space="preserve">לסוברים שאין כופים לגרש בטענת מאיס </w:t>
      </w:r>
      <w:r w:rsidR="00B93B31">
        <w:rPr>
          <w:rFonts w:cs="Arial" w:hint="cs"/>
          <w:u w:val="single"/>
          <w:rtl/>
        </w:rPr>
        <w:t>-</w:t>
      </w:r>
      <w:r w:rsidRPr="00504C02">
        <w:rPr>
          <w:rFonts w:cs="Arial" w:hint="cs"/>
          <w:u w:val="single"/>
          <w:rtl/>
        </w:rPr>
        <w:t xml:space="preserve"> </w:t>
      </w:r>
      <w:r w:rsidR="00810AC2">
        <w:rPr>
          <w:rFonts w:cs="Arial" w:hint="cs"/>
          <w:u w:val="single"/>
          <w:rtl/>
        </w:rPr>
        <w:t>מה הדין במקרים הבאים:</w:t>
      </w:r>
    </w:p>
    <w:p w14:paraId="1E52986F" w14:textId="1D5865A9" w:rsidR="00504C02" w:rsidRPr="00810AC2" w:rsidRDefault="00504C02" w:rsidP="00810AC2">
      <w:pPr>
        <w:ind w:left="360"/>
        <w:rPr>
          <w:rFonts w:cs="Arial"/>
          <w:u w:val="dotted"/>
        </w:rPr>
      </w:pPr>
      <w:r w:rsidRPr="00810AC2">
        <w:rPr>
          <w:rFonts w:cs="Arial" w:hint="cs"/>
          <w:u w:val="dotted"/>
          <w:rtl/>
        </w:rPr>
        <w:t>מה הדין אם ה</w:t>
      </w:r>
      <w:r w:rsidRPr="00810AC2">
        <w:rPr>
          <w:rFonts w:cs="Arial"/>
          <w:u w:val="dotted"/>
          <w:rtl/>
        </w:rPr>
        <w:t xml:space="preserve">אשה טענה </w:t>
      </w:r>
      <w:r w:rsidRPr="00810AC2">
        <w:rPr>
          <w:rFonts w:cs="Arial" w:hint="cs"/>
          <w:u w:val="dotted"/>
          <w:rtl/>
        </w:rPr>
        <w:t xml:space="preserve">שכבר </w:t>
      </w:r>
      <w:r w:rsidRPr="00810AC2">
        <w:rPr>
          <w:rFonts w:cs="Arial"/>
          <w:u w:val="dotted"/>
          <w:rtl/>
        </w:rPr>
        <w:t xml:space="preserve">קודם </w:t>
      </w:r>
      <w:r w:rsidRPr="00810AC2">
        <w:rPr>
          <w:rFonts w:cs="Arial" w:hint="cs"/>
          <w:u w:val="dotted"/>
          <w:rtl/>
        </w:rPr>
        <w:t>ה</w:t>
      </w:r>
      <w:r w:rsidRPr="00810AC2">
        <w:rPr>
          <w:rFonts w:cs="Arial"/>
          <w:u w:val="dotted"/>
          <w:rtl/>
        </w:rPr>
        <w:t>נישואין היתה מואסת אותו</w:t>
      </w:r>
      <w:r w:rsidRPr="00810AC2">
        <w:rPr>
          <w:rFonts w:cs="Arial" w:hint="cs"/>
          <w:u w:val="dotted"/>
          <w:rtl/>
        </w:rPr>
        <w:t>:</w:t>
      </w:r>
    </w:p>
    <w:p w14:paraId="1CC4A127" w14:textId="26A4A7F6" w:rsidR="004C69FE" w:rsidRDefault="00A74C2B" w:rsidP="009000E3">
      <w:pPr>
        <w:pStyle w:val="ab"/>
        <w:numPr>
          <w:ilvl w:val="0"/>
          <w:numId w:val="27"/>
        </w:numPr>
        <w:rPr>
          <w:rFonts w:cs="Arial"/>
        </w:rPr>
      </w:pPr>
      <w:r w:rsidRPr="00504C02">
        <w:rPr>
          <w:rFonts w:cs="Arial"/>
          <w:rtl/>
        </w:rPr>
        <w:t>רשב"ש</w:t>
      </w:r>
      <w:r w:rsidRPr="00504C02">
        <w:rPr>
          <w:rFonts w:cs="Arial"/>
          <w:sz w:val="16"/>
          <w:szCs w:val="16"/>
          <w:rtl/>
        </w:rPr>
        <w:t xml:space="preserve"> </w:t>
      </w:r>
      <w:r w:rsidR="00504C02" w:rsidRPr="00504C02">
        <w:rPr>
          <w:rFonts w:cs="Arial" w:hint="cs"/>
          <w:sz w:val="16"/>
          <w:szCs w:val="16"/>
          <w:rtl/>
        </w:rPr>
        <w:t>(</w:t>
      </w:r>
      <w:r w:rsidRPr="00504C02">
        <w:rPr>
          <w:rFonts w:cs="Arial"/>
          <w:sz w:val="16"/>
          <w:szCs w:val="16"/>
          <w:rtl/>
        </w:rPr>
        <w:t>סי' צג)</w:t>
      </w:r>
      <w:r w:rsidR="00504C02" w:rsidRPr="00504C02">
        <w:rPr>
          <w:rFonts w:cs="Arial" w:hint="cs"/>
          <w:rtl/>
        </w:rPr>
        <w:t>-</w:t>
      </w:r>
      <w:r w:rsidRPr="00504C02">
        <w:rPr>
          <w:rFonts w:cs="Arial"/>
          <w:rtl/>
        </w:rPr>
        <w:t xml:space="preserve"> אשה שטענה מאיס עלי שקודם נישואין היתה מואסת אותו ואמה השיאתה לו בעל כרחה</w:t>
      </w:r>
      <w:r w:rsidR="00B93B31">
        <w:rPr>
          <w:rFonts w:cs="Arial" w:hint="cs"/>
          <w:rtl/>
        </w:rPr>
        <w:t>,</w:t>
      </w:r>
      <w:r w:rsidRPr="00504C02">
        <w:rPr>
          <w:rFonts w:cs="Arial"/>
          <w:rtl/>
        </w:rPr>
        <w:t xml:space="preserve"> נראה דאפילו לאומ</w:t>
      </w:r>
      <w:r w:rsidR="00504C02" w:rsidRPr="00504C02">
        <w:rPr>
          <w:rFonts w:cs="Arial" w:hint="cs"/>
          <w:rtl/>
        </w:rPr>
        <w:t>רים</w:t>
      </w:r>
      <w:r w:rsidRPr="00504C02">
        <w:rPr>
          <w:rFonts w:cs="Arial"/>
          <w:rtl/>
        </w:rPr>
        <w:t xml:space="preserve"> שאין כופין לגרש בטענת מאיס עלי יודו בזה</w:t>
      </w:r>
      <w:r w:rsidR="00B93B31">
        <w:rPr>
          <w:rFonts w:cs="Arial" w:hint="cs"/>
          <w:rtl/>
        </w:rPr>
        <w:t>,</w:t>
      </w:r>
      <w:r w:rsidRPr="00504C02">
        <w:rPr>
          <w:rFonts w:cs="Arial"/>
          <w:rtl/>
        </w:rPr>
        <w:t xml:space="preserve"> שמה שאמרו שלא לכוף משום דחיישינן שמא עיניה נתנה באחר</w:t>
      </w:r>
      <w:r w:rsidR="007752BB">
        <w:rPr>
          <w:rFonts w:cs="Arial" w:hint="cs"/>
          <w:rtl/>
        </w:rPr>
        <w:t>,</w:t>
      </w:r>
      <w:r w:rsidRPr="00504C02">
        <w:rPr>
          <w:rFonts w:cs="Arial"/>
          <w:rtl/>
        </w:rPr>
        <w:t xml:space="preserve"> אם הדבר מפורסם שבעל כרחה נישאת לו נסתלקה חששא זו</w:t>
      </w:r>
      <w:r w:rsidR="007752BB">
        <w:rPr>
          <w:rFonts w:cs="Arial" w:hint="cs"/>
          <w:rtl/>
        </w:rPr>
        <w:t>,</w:t>
      </w:r>
      <w:r w:rsidRPr="00504C02">
        <w:rPr>
          <w:rFonts w:cs="Arial"/>
          <w:rtl/>
        </w:rPr>
        <w:t xml:space="preserve"> דהא ה"ר מאיר כשהיתה נותנת האשה טענה ואמתלאה לדבריה למה הוא מאוס עליה היה כופה לגרשה</w:t>
      </w:r>
      <w:r w:rsidR="00504C02" w:rsidRPr="00504C02">
        <w:rPr>
          <w:rFonts w:cs="Arial" w:hint="cs"/>
          <w:rtl/>
        </w:rPr>
        <w:t>... ו</w:t>
      </w:r>
      <w:r w:rsidRPr="00504C02">
        <w:rPr>
          <w:rFonts w:cs="Arial"/>
          <w:rtl/>
        </w:rPr>
        <w:t>לענין מעשה לא הי</w:t>
      </w:r>
      <w:r w:rsidR="00504C02" w:rsidRPr="00504C02">
        <w:rPr>
          <w:rFonts w:cs="Arial" w:hint="cs"/>
          <w:rtl/>
        </w:rPr>
        <w:t>יתי</w:t>
      </w:r>
      <w:r w:rsidRPr="00504C02">
        <w:rPr>
          <w:rFonts w:cs="Arial"/>
          <w:rtl/>
        </w:rPr>
        <w:t xml:space="preserve"> מיקל בכך. וגם מהרי"ק בשורש כ"ט ובשורש ס"ג (ענף ד) כתב מה שכתבת דאין לנו לכוף לגרש</w:t>
      </w:r>
      <w:r w:rsidR="00504C02" w:rsidRPr="00504C02">
        <w:rPr>
          <w:rFonts w:cs="Arial" w:hint="cs"/>
          <w:rtl/>
        </w:rPr>
        <w:t>,</w:t>
      </w:r>
      <w:r w:rsidRPr="00504C02">
        <w:rPr>
          <w:rFonts w:cs="Arial"/>
          <w:rtl/>
        </w:rPr>
        <w:t xml:space="preserve"> פשיטא שכן הוא</w:t>
      </w:r>
      <w:r w:rsidR="00504C02" w:rsidRPr="00504C02">
        <w:rPr>
          <w:rFonts w:cs="Arial" w:hint="cs"/>
          <w:rtl/>
        </w:rPr>
        <w:t>,</w:t>
      </w:r>
      <w:r w:rsidRPr="00504C02">
        <w:rPr>
          <w:rFonts w:cs="Arial"/>
          <w:rtl/>
        </w:rPr>
        <w:t xml:space="preserve"> וזהו דבר פשוט שכן הסכימו כל הפוסקים האחרונים</w:t>
      </w:r>
      <w:r w:rsidR="009459D3">
        <w:rPr>
          <w:rFonts w:cs="Arial" w:hint="cs"/>
          <w:rtl/>
        </w:rPr>
        <w:t>.</w:t>
      </w:r>
    </w:p>
    <w:p w14:paraId="601139AE" w14:textId="0B4A30CB" w:rsidR="00810AC2" w:rsidRPr="00810AC2" w:rsidRDefault="00810AC2" w:rsidP="00810AC2">
      <w:pPr>
        <w:ind w:left="360"/>
      </w:pPr>
      <w:r w:rsidRPr="00810AC2">
        <w:rPr>
          <w:rFonts w:cs="Arial" w:hint="cs"/>
          <w:u w:val="dotted"/>
          <w:rtl/>
        </w:rPr>
        <w:t>איש שקידש את אשתו ברמאות והיא אינה חפצה בו ולכן מורדת מתשמיש:</w:t>
      </w:r>
      <w:r w:rsidRPr="00810AC2">
        <w:rPr>
          <w:rFonts w:cs="Arial" w:hint="cs"/>
          <w:rtl/>
        </w:rPr>
        <w:t xml:space="preserve"> </w:t>
      </w:r>
      <w:r w:rsidRPr="00810AC2">
        <w:rPr>
          <w:rFonts w:cs="Arial" w:hint="cs"/>
          <w:sz w:val="16"/>
          <w:szCs w:val="16"/>
          <w:rtl/>
        </w:rPr>
        <w:t xml:space="preserve">(דרכ"מ אות </w:t>
      </w:r>
      <w:r w:rsidRPr="00810AC2">
        <w:rPr>
          <w:rFonts w:cs="Arial"/>
          <w:sz w:val="16"/>
          <w:szCs w:val="16"/>
          <w:rtl/>
        </w:rPr>
        <w:t xml:space="preserve">יב) </w:t>
      </w:r>
    </w:p>
    <w:p w14:paraId="0FDEBC21" w14:textId="72CEBE6D" w:rsidR="00810AC2" w:rsidRPr="007D5147" w:rsidRDefault="00810AC2" w:rsidP="00810AC2">
      <w:pPr>
        <w:pStyle w:val="ab"/>
        <w:numPr>
          <w:ilvl w:val="0"/>
          <w:numId w:val="27"/>
        </w:numPr>
      </w:pPr>
      <w:r w:rsidRPr="00A74C2B">
        <w:rPr>
          <w:rFonts w:cs="Arial"/>
          <w:rtl/>
        </w:rPr>
        <w:t xml:space="preserve">רא"ש </w:t>
      </w:r>
      <w:r w:rsidRPr="00164B97">
        <w:rPr>
          <w:rFonts w:cs="Arial" w:hint="cs"/>
          <w:sz w:val="16"/>
          <w:szCs w:val="16"/>
          <w:rtl/>
        </w:rPr>
        <w:t>(</w:t>
      </w:r>
      <w:r w:rsidRPr="00164B97">
        <w:rPr>
          <w:rFonts w:cs="Arial"/>
          <w:sz w:val="16"/>
          <w:szCs w:val="16"/>
          <w:rtl/>
        </w:rPr>
        <w:t>כלל לה ס</w:t>
      </w:r>
      <w:r w:rsidRPr="00164B97">
        <w:rPr>
          <w:rFonts w:cs="Arial" w:hint="cs"/>
          <w:sz w:val="16"/>
          <w:szCs w:val="16"/>
          <w:rtl/>
        </w:rPr>
        <w:t>"ס א)</w:t>
      </w:r>
      <w:r w:rsidRPr="00164B97">
        <w:rPr>
          <w:rFonts w:cs="Arial"/>
          <w:sz w:val="16"/>
          <w:szCs w:val="16"/>
          <w:rtl/>
        </w:rPr>
        <w:t xml:space="preserve"> </w:t>
      </w:r>
      <w:r>
        <w:rPr>
          <w:rFonts w:cs="Arial" w:hint="cs"/>
          <w:rtl/>
        </w:rPr>
        <w:t>ו</w:t>
      </w:r>
      <w:r w:rsidRPr="00A74C2B">
        <w:rPr>
          <w:rFonts w:cs="Arial"/>
          <w:rtl/>
        </w:rPr>
        <w:t xml:space="preserve">מהרי"ו </w:t>
      </w:r>
      <w:r w:rsidRPr="00164B97">
        <w:rPr>
          <w:rFonts w:cs="Arial" w:hint="cs"/>
          <w:sz w:val="16"/>
          <w:szCs w:val="16"/>
          <w:rtl/>
        </w:rPr>
        <w:t>(</w:t>
      </w:r>
      <w:r w:rsidRPr="00164B97">
        <w:rPr>
          <w:rFonts w:cs="Arial"/>
          <w:sz w:val="16"/>
          <w:szCs w:val="16"/>
          <w:rtl/>
        </w:rPr>
        <w:t>סי</w:t>
      </w:r>
      <w:r w:rsidRPr="00164B97">
        <w:rPr>
          <w:rFonts w:cs="Arial" w:hint="cs"/>
          <w:sz w:val="16"/>
          <w:szCs w:val="16"/>
          <w:rtl/>
        </w:rPr>
        <w:t>'</w:t>
      </w:r>
      <w:r w:rsidRPr="00164B97">
        <w:rPr>
          <w:rFonts w:cs="Arial"/>
          <w:sz w:val="16"/>
          <w:szCs w:val="16"/>
          <w:rtl/>
        </w:rPr>
        <w:t xml:space="preserve"> קלז</w:t>
      </w:r>
      <w:r w:rsidRPr="00164B97">
        <w:rPr>
          <w:rFonts w:cs="Arial" w:hint="cs"/>
          <w:sz w:val="16"/>
          <w:szCs w:val="16"/>
          <w:rtl/>
        </w:rPr>
        <w:t>)</w:t>
      </w:r>
      <w:r>
        <w:rPr>
          <w:rFonts w:cs="Arial" w:hint="cs"/>
          <w:rtl/>
        </w:rPr>
        <w:t xml:space="preserve">- </w:t>
      </w:r>
      <w:r w:rsidRPr="00A74C2B">
        <w:rPr>
          <w:rFonts w:cs="Arial"/>
          <w:rtl/>
        </w:rPr>
        <w:t>מיהו אם קדשה ברמאות ועשה שלא כהוגן והיא מורדת בו יש לסמוך ארבותינו האומרים שכופין אותו לגרש</w:t>
      </w:r>
      <w:r>
        <w:rPr>
          <w:rStyle w:val="a7"/>
          <w:rFonts w:cs="Arial"/>
          <w:rtl/>
        </w:rPr>
        <w:footnoteReference w:id="569"/>
      </w:r>
      <w:r>
        <w:rPr>
          <w:rFonts w:cs="Arial" w:hint="cs"/>
          <w:sz w:val="16"/>
          <w:szCs w:val="16"/>
          <w:rtl/>
        </w:rPr>
        <w:t xml:space="preserve"> (ל' הדרכ"מ בשם הרא"ש)</w:t>
      </w:r>
      <w:r>
        <w:rPr>
          <w:rFonts w:cs="Arial" w:hint="cs"/>
          <w:rtl/>
        </w:rPr>
        <w:t>.</w:t>
      </w:r>
      <w:r w:rsidR="000629A3" w:rsidRPr="000629A3">
        <w:rPr>
          <w:rFonts w:cs="Arial" w:hint="cs"/>
          <w:color w:val="00B0F0"/>
          <w:rtl/>
        </w:rPr>
        <w:t xml:space="preserve"> </w:t>
      </w:r>
      <w:r w:rsidR="000629A3" w:rsidRPr="00B2631C">
        <w:rPr>
          <w:rFonts w:cs="Arial" w:hint="cs"/>
          <w:color w:val="00B0F0"/>
          <w:rtl/>
        </w:rPr>
        <w:t>(וכ"</w:t>
      </w:r>
      <w:r w:rsidR="000629A3">
        <w:rPr>
          <w:rFonts w:cs="Arial" w:hint="cs"/>
          <w:color w:val="00B0F0"/>
          <w:rtl/>
        </w:rPr>
        <w:t>פ</w:t>
      </w:r>
      <w:r w:rsidR="000629A3" w:rsidRPr="00B2631C">
        <w:rPr>
          <w:rFonts w:cs="Arial" w:hint="cs"/>
          <w:color w:val="00B0F0"/>
          <w:rtl/>
        </w:rPr>
        <w:t xml:space="preserve"> הרמ"א</w:t>
      </w:r>
      <w:r w:rsidR="000629A3">
        <w:rPr>
          <w:rFonts w:cs="Arial" w:hint="cs"/>
          <w:color w:val="000000" w:themeColor="text1"/>
          <w:sz w:val="16"/>
          <w:szCs w:val="16"/>
          <w:rtl/>
        </w:rPr>
        <w:t xml:space="preserve"> </w:t>
      </w:r>
      <w:r w:rsidR="000629A3" w:rsidRPr="004A1C38">
        <w:rPr>
          <w:rFonts w:cs="Arial" w:hint="cs"/>
          <w:color w:val="000000" w:themeColor="text1"/>
          <w:sz w:val="16"/>
          <w:szCs w:val="16"/>
          <w:rtl/>
        </w:rPr>
        <w:t>[</w:t>
      </w:r>
      <w:r w:rsidR="000629A3">
        <w:rPr>
          <w:rFonts w:cs="Arial" w:hint="cs"/>
          <w:color w:val="000000" w:themeColor="text1"/>
          <w:sz w:val="16"/>
          <w:szCs w:val="16"/>
          <w:rtl/>
        </w:rPr>
        <w:t>בסע' ג</w:t>
      </w:r>
      <w:r w:rsidR="000629A3" w:rsidRPr="004A1C38">
        <w:rPr>
          <w:rFonts w:cs="Arial" w:hint="cs"/>
          <w:color w:val="000000" w:themeColor="text1"/>
          <w:sz w:val="16"/>
          <w:szCs w:val="16"/>
          <w:rtl/>
        </w:rPr>
        <w:t>]</w:t>
      </w:r>
      <w:r w:rsidR="000629A3" w:rsidRPr="00B2631C">
        <w:rPr>
          <w:rFonts w:cs="Arial" w:hint="cs"/>
          <w:color w:val="00B0F0"/>
          <w:rtl/>
        </w:rPr>
        <w:t>)</w:t>
      </w:r>
    </w:p>
    <w:p w14:paraId="6EE3F163" w14:textId="48AC0BB6" w:rsidR="00810AC2" w:rsidRPr="00810AC2" w:rsidRDefault="00810AC2" w:rsidP="00810AC2">
      <w:pPr>
        <w:ind w:left="360"/>
      </w:pPr>
      <w:r w:rsidRPr="00810AC2">
        <w:rPr>
          <w:rFonts w:cs="Arial" w:hint="cs"/>
          <w:u w:val="dotted"/>
          <w:rtl/>
        </w:rPr>
        <w:t xml:space="preserve">איש שקידש את אשתו ואינה חפצה בו </w:t>
      </w:r>
      <w:r w:rsidRPr="00810AC2">
        <w:rPr>
          <w:rFonts w:cs="Arial"/>
          <w:u w:val="dotted"/>
          <w:rtl/>
        </w:rPr>
        <w:t>-</w:t>
      </w:r>
      <w:r w:rsidRPr="00810AC2">
        <w:rPr>
          <w:rFonts w:cs="Arial" w:hint="cs"/>
          <w:u w:val="dotted"/>
          <w:rtl/>
        </w:rPr>
        <w:t xml:space="preserve"> והאיש נתפס אצל הגוים:</w:t>
      </w:r>
      <w:r w:rsidRPr="00810AC2">
        <w:rPr>
          <w:rFonts w:cs="Arial" w:hint="cs"/>
          <w:rtl/>
        </w:rPr>
        <w:t xml:space="preserve"> </w:t>
      </w:r>
      <w:r w:rsidRPr="00810AC2">
        <w:rPr>
          <w:rFonts w:cs="Arial" w:hint="cs"/>
          <w:sz w:val="16"/>
          <w:szCs w:val="16"/>
          <w:rtl/>
        </w:rPr>
        <w:t xml:space="preserve">(דרכ"מ אות </w:t>
      </w:r>
      <w:r w:rsidRPr="00810AC2">
        <w:rPr>
          <w:rFonts w:cs="Arial"/>
          <w:sz w:val="16"/>
          <w:szCs w:val="16"/>
          <w:rtl/>
        </w:rPr>
        <w:t xml:space="preserve">יב) </w:t>
      </w:r>
    </w:p>
    <w:p w14:paraId="39B05408" w14:textId="77777777" w:rsidR="00810AC2" w:rsidRPr="007D5147" w:rsidRDefault="00810AC2" w:rsidP="00810AC2">
      <w:pPr>
        <w:pStyle w:val="ab"/>
        <w:numPr>
          <w:ilvl w:val="0"/>
          <w:numId w:val="27"/>
        </w:numPr>
      </w:pPr>
      <w:r>
        <w:rPr>
          <w:rFonts w:cs="Arial" w:hint="cs"/>
          <w:rtl/>
        </w:rPr>
        <w:t>הגמ"ר</w:t>
      </w:r>
      <w:r w:rsidRPr="00A74C2B">
        <w:rPr>
          <w:rFonts w:cs="Arial"/>
          <w:rtl/>
        </w:rPr>
        <w:t xml:space="preserve"> </w:t>
      </w:r>
      <w:r w:rsidRPr="00164B97">
        <w:rPr>
          <w:rFonts w:cs="Arial" w:hint="cs"/>
          <w:sz w:val="16"/>
          <w:szCs w:val="16"/>
          <w:rtl/>
        </w:rPr>
        <w:t>(</w:t>
      </w:r>
      <w:r w:rsidRPr="00164B97">
        <w:rPr>
          <w:rFonts w:cs="Arial"/>
          <w:sz w:val="16"/>
          <w:szCs w:val="16"/>
          <w:rtl/>
        </w:rPr>
        <w:t>גיטין</w:t>
      </w:r>
      <w:r w:rsidRPr="00164B97">
        <w:rPr>
          <w:rFonts w:cs="Arial" w:hint="cs"/>
          <w:sz w:val="16"/>
          <w:szCs w:val="16"/>
          <w:rtl/>
        </w:rPr>
        <w:t xml:space="preserve"> </w:t>
      </w:r>
      <w:r w:rsidRPr="00164B97">
        <w:rPr>
          <w:rFonts w:cs="Arial"/>
          <w:sz w:val="16"/>
          <w:szCs w:val="16"/>
          <w:rtl/>
        </w:rPr>
        <w:t>סי' תסט)</w:t>
      </w:r>
      <w:r>
        <w:rPr>
          <w:rFonts w:cs="Arial" w:hint="cs"/>
          <w:rtl/>
        </w:rPr>
        <w:t>-</w:t>
      </w:r>
      <w:r w:rsidRPr="00A74C2B">
        <w:rPr>
          <w:rFonts w:cs="Arial"/>
          <w:rtl/>
        </w:rPr>
        <w:t xml:space="preserve"> אומר רבינו תם שאם קידש אשה ואינה חפצה בו אע</w:t>
      </w:r>
      <w:r>
        <w:rPr>
          <w:rFonts w:cs="Arial" w:hint="cs"/>
          <w:rtl/>
        </w:rPr>
        <w:t>"</w:t>
      </w:r>
      <w:r w:rsidRPr="00A74C2B">
        <w:rPr>
          <w:rFonts w:cs="Arial"/>
          <w:rtl/>
        </w:rPr>
        <w:t>ג דאין כופין אותו לגרש אך אם נתפס יכולין לומר לו לא נעזור לך לצאת עד שתגרש דאין זה כפייה רק שאין עוזרים לו</w:t>
      </w:r>
      <w:r>
        <w:rPr>
          <w:rFonts w:cs="Arial" w:hint="cs"/>
          <w:rtl/>
        </w:rPr>
        <w:t>.</w:t>
      </w:r>
    </w:p>
    <w:p w14:paraId="72A4CF51" w14:textId="77777777" w:rsidR="009A7475" w:rsidRDefault="009A7475" w:rsidP="009A7475">
      <w:pPr>
        <w:rPr>
          <w:rtl/>
        </w:rPr>
      </w:pPr>
      <w:r w:rsidRPr="00D01043">
        <w:rPr>
          <w:rFonts w:cs="Arial" w:hint="cs"/>
          <w:b/>
          <w:bCs/>
          <w:rtl/>
        </w:rPr>
        <w:t xml:space="preserve">כתובות </w:t>
      </w:r>
      <w:r>
        <w:rPr>
          <w:rFonts w:cs="Arial" w:hint="cs"/>
          <w:b/>
          <w:bCs/>
          <w:sz w:val="16"/>
          <w:szCs w:val="16"/>
          <w:rtl/>
        </w:rPr>
        <w:t xml:space="preserve">(פ' אף על פי) </w:t>
      </w:r>
      <w:r w:rsidRPr="00D01043">
        <w:rPr>
          <w:rFonts w:cs="Arial" w:hint="cs"/>
          <w:b/>
          <w:bCs/>
          <w:rtl/>
        </w:rPr>
        <w:t>סג ע"א</w:t>
      </w:r>
      <w:r>
        <w:rPr>
          <w:rFonts w:cs="Arial" w:hint="cs"/>
          <w:b/>
          <w:bCs/>
          <w:rtl/>
        </w:rPr>
        <w:t>:</w:t>
      </w:r>
      <w:r w:rsidRPr="00D01043">
        <w:rPr>
          <w:rFonts w:cs="Arial"/>
          <w:rtl/>
        </w:rPr>
        <w:t xml:space="preserve"> מורדת ממאי? </w:t>
      </w:r>
      <w:r w:rsidRPr="00D01043">
        <w:rPr>
          <w:rFonts w:cs="Arial"/>
          <w:u w:val="single"/>
          <w:rtl/>
        </w:rPr>
        <w:t>רב הונא אמר</w:t>
      </w:r>
      <w:r w:rsidRPr="00D01043">
        <w:rPr>
          <w:rFonts w:cs="Arial"/>
          <w:rtl/>
        </w:rPr>
        <w:t>: מתשמיש המטה</w:t>
      </w:r>
      <w:r>
        <w:rPr>
          <w:rFonts w:cs="Arial" w:hint="cs"/>
          <w:rtl/>
        </w:rPr>
        <w:t>.</w:t>
      </w:r>
      <w:r w:rsidRPr="00D01043">
        <w:rPr>
          <w:rFonts w:cs="Arial"/>
          <w:rtl/>
        </w:rPr>
        <w:t xml:space="preserve"> </w:t>
      </w:r>
      <w:r w:rsidRPr="00D01043">
        <w:rPr>
          <w:rFonts w:cs="Arial"/>
          <w:u w:val="single"/>
          <w:rtl/>
        </w:rPr>
        <w:t>ר' יוסי ברבי חנינא אמר</w:t>
      </w:r>
      <w:r w:rsidRPr="00D01043">
        <w:rPr>
          <w:rFonts w:cs="Arial"/>
          <w:rtl/>
        </w:rPr>
        <w:t>: ממלאכה.</w:t>
      </w:r>
      <w:r>
        <w:rPr>
          <w:rFonts w:cs="Arial" w:hint="cs"/>
          <w:rtl/>
        </w:rPr>
        <w:t>..</w:t>
      </w:r>
      <w:r w:rsidRPr="00D01043">
        <w:rPr>
          <w:rFonts w:cs="Arial"/>
          <w:rtl/>
        </w:rPr>
        <w:t xml:space="preserve"> מיתבי: אחת לי ארוסה ונשואה, ואפי' נדה, ואפילו חולה, ואפי' שומרת יבם</w:t>
      </w:r>
      <w:r>
        <w:rPr>
          <w:rFonts w:cs="Arial" w:hint="cs"/>
          <w:rtl/>
        </w:rPr>
        <w:t>...</w:t>
      </w:r>
      <w:r>
        <w:rPr>
          <w:rFonts w:cs="Arial" w:hint="cs"/>
          <w:sz w:val="14"/>
          <w:szCs w:val="14"/>
          <w:rtl/>
        </w:rPr>
        <w:t xml:space="preserve"> (סג:)</w:t>
      </w:r>
      <w:r w:rsidRPr="00D01043">
        <w:rPr>
          <w:rFonts w:cs="Arial"/>
          <w:rtl/>
        </w:rPr>
        <w:t xml:space="preserve"> </w:t>
      </w:r>
      <w:r w:rsidRPr="00D01043">
        <w:rPr>
          <w:rFonts w:cs="Arial"/>
          <w:u w:val="single"/>
          <w:rtl/>
        </w:rPr>
        <w:t>אמר ליה ר' חייא בר יוסף לשמואל</w:t>
      </w:r>
      <w:r w:rsidRPr="00D01043">
        <w:rPr>
          <w:rFonts w:cs="Arial"/>
          <w:rtl/>
        </w:rPr>
        <w:t xml:space="preserve">: נדה בת תשמיש היא? </w:t>
      </w:r>
      <w:r w:rsidRPr="00D01043">
        <w:rPr>
          <w:rFonts w:cs="Arial"/>
          <w:u w:val="single"/>
          <w:rtl/>
        </w:rPr>
        <w:t>אמר ליה</w:t>
      </w:r>
      <w:r w:rsidRPr="00D01043">
        <w:rPr>
          <w:rFonts w:cs="Arial"/>
          <w:rtl/>
        </w:rPr>
        <w:t>: אינו דומה מי שיש לו פת בסלו למי שאין לו פת בסלו.</w:t>
      </w:r>
    </w:p>
    <w:p w14:paraId="37B23CB4" w14:textId="77777777" w:rsidR="009A7475" w:rsidRPr="00E6113D" w:rsidRDefault="009A7475" w:rsidP="009A7475">
      <w:pPr>
        <w:rPr>
          <w:rFonts w:cs="Arial"/>
          <w:u w:val="single"/>
        </w:rPr>
      </w:pPr>
      <w:r w:rsidRPr="00E6113D">
        <w:rPr>
          <w:rFonts w:cs="Arial" w:hint="cs"/>
          <w:u w:val="single"/>
          <w:rtl/>
        </w:rPr>
        <w:t xml:space="preserve">אשה שמורדת </w:t>
      </w:r>
      <w:r>
        <w:rPr>
          <w:rFonts w:cs="Arial" w:hint="cs"/>
          <w:u w:val="single"/>
          <w:rtl/>
        </w:rPr>
        <w:t xml:space="preserve">מתשמיש </w:t>
      </w:r>
      <w:r w:rsidRPr="00E6113D">
        <w:rPr>
          <w:rFonts w:cs="Arial" w:hint="cs"/>
          <w:u w:val="single"/>
          <w:rtl/>
        </w:rPr>
        <w:t>בזמן שגם ככה אי אפשר לשמש:</w:t>
      </w:r>
    </w:p>
    <w:p w14:paraId="4BCF9CFB" w14:textId="77777777" w:rsidR="009A7475" w:rsidRDefault="009A7475" w:rsidP="009000E3">
      <w:pPr>
        <w:pStyle w:val="ab"/>
        <w:numPr>
          <w:ilvl w:val="0"/>
          <w:numId w:val="27"/>
        </w:numPr>
        <w:rPr>
          <w:rFonts w:cs="Arial"/>
        </w:rPr>
      </w:pPr>
      <w:r>
        <w:rPr>
          <w:rFonts w:cs="Arial" w:hint="cs"/>
          <w:rtl/>
        </w:rPr>
        <w:t xml:space="preserve">טור- </w:t>
      </w:r>
      <w:r w:rsidRPr="00897A64">
        <w:rPr>
          <w:rFonts w:cs="Arial"/>
          <w:rtl/>
        </w:rPr>
        <w:t>אפי' נדה וחולה שאינן בנות תשמיש</w:t>
      </w:r>
      <w:r>
        <w:rPr>
          <w:rStyle w:val="a7"/>
          <w:rFonts w:cs="Arial"/>
          <w:rtl/>
        </w:rPr>
        <w:footnoteReference w:id="570"/>
      </w:r>
      <w:r w:rsidRPr="00897A64">
        <w:rPr>
          <w:rFonts w:cs="Arial"/>
          <w:rtl/>
        </w:rPr>
        <w:t xml:space="preserve"> ומורדות בימי נדותן וחוליין</w:t>
      </w:r>
      <w:r>
        <w:rPr>
          <w:rFonts w:cs="Arial" w:hint="cs"/>
          <w:rtl/>
        </w:rPr>
        <w:t>,</w:t>
      </w:r>
      <w:r w:rsidRPr="00897A64">
        <w:rPr>
          <w:rFonts w:cs="Arial"/>
          <w:rtl/>
        </w:rPr>
        <w:t xml:space="preserve"> או שבעלה ספן שאין עתה זמן עונתה </w:t>
      </w:r>
      <w:r>
        <w:rPr>
          <w:rFonts w:cs="Arial" w:hint="cs"/>
          <w:rtl/>
        </w:rPr>
        <w:t xml:space="preserve">- </w:t>
      </w:r>
      <w:r w:rsidRPr="00897A64">
        <w:rPr>
          <w:rFonts w:cs="Arial"/>
          <w:rtl/>
        </w:rPr>
        <w:t>בכולן דינן כשאר מורדת</w:t>
      </w:r>
      <w:r>
        <w:rPr>
          <w:rStyle w:val="a7"/>
          <w:rFonts w:cs="Arial"/>
          <w:rtl/>
        </w:rPr>
        <w:footnoteReference w:id="571"/>
      </w:r>
      <w:r>
        <w:rPr>
          <w:rFonts w:cs="Arial" w:hint="cs"/>
          <w:rtl/>
        </w:rPr>
        <w:t>.</w:t>
      </w:r>
      <w:r w:rsidRPr="00897A64">
        <w:rPr>
          <w:rFonts w:cs="Arial"/>
          <w:rtl/>
        </w:rPr>
        <w:t xml:space="preserve"> וכן ארוסה שאינה רוצה לינשא </w:t>
      </w:r>
      <w:r>
        <w:rPr>
          <w:rFonts w:cs="Arial" w:hint="cs"/>
          <w:rtl/>
        </w:rPr>
        <w:t xml:space="preserve">- </w:t>
      </w:r>
      <w:r w:rsidRPr="00897A64">
        <w:rPr>
          <w:rFonts w:cs="Arial"/>
          <w:rtl/>
        </w:rPr>
        <w:t>דינה כשאר מורדת</w:t>
      </w:r>
      <w:r>
        <w:rPr>
          <w:rStyle w:val="a7"/>
          <w:rFonts w:cs="Arial"/>
          <w:rtl/>
        </w:rPr>
        <w:footnoteReference w:id="572"/>
      </w:r>
      <w:r>
        <w:rPr>
          <w:rFonts w:cs="Arial" w:hint="cs"/>
          <w:rtl/>
        </w:rPr>
        <w:t>.</w:t>
      </w:r>
      <w:r w:rsidRPr="00897A64">
        <w:rPr>
          <w:rFonts w:cs="Arial"/>
          <w:rtl/>
        </w:rPr>
        <w:t xml:space="preserve"> </w:t>
      </w:r>
    </w:p>
    <w:p w14:paraId="76C62FFB" w14:textId="5569D54C" w:rsidR="009A7475" w:rsidRDefault="009A7475" w:rsidP="009000E3">
      <w:pPr>
        <w:pStyle w:val="ab"/>
        <w:numPr>
          <w:ilvl w:val="0"/>
          <w:numId w:val="27"/>
        </w:numPr>
        <w:rPr>
          <w:rFonts w:cs="Arial"/>
        </w:rPr>
      </w:pPr>
      <w:r>
        <w:rPr>
          <w:rFonts w:cs="Arial" w:hint="cs"/>
          <w:rtl/>
        </w:rPr>
        <w:t xml:space="preserve">רמב"ם </w:t>
      </w:r>
      <w:r>
        <w:rPr>
          <w:rFonts w:cs="Arial" w:hint="cs"/>
          <w:sz w:val="16"/>
          <w:szCs w:val="16"/>
          <w:rtl/>
        </w:rPr>
        <w:t>(פי"ד הי"א-יב)</w:t>
      </w:r>
      <w:r>
        <w:rPr>
          <w:rFonts w:cs="Arial" w:hint="cs"/>
          <w:rtl/>
        </w:rPr>
        <w:t xml:space="preserve">- </w:t>
      </w:r>
      <w:r w:rsidRPr="00DB1490">
        <w:rPr>
          <w:rFonts w:cs="Arial"/>
          <w:rtl/>
        </w:rPr>
        <w:t>כסדר הזה עושין לה אם מרדה כדי לצערו, ואפילו היתה נדה או חולה שאינה ראויה לתשמיש</w:t>
      </w:r>
      <w:r>
        <w:rPr>
          <w:rFonts w:cs="Arial" w:hint="cs"/>
          <w:rtl/>
        </w:rPr>
        <w:t>,</w:t>
      </w:r>
      <w:r w:rsidRPr="00DB1490">
        <w:rPr>
          <w:rFonts w:cs="Arial"/>
          <w:rtl/>
        </w:rPr>
        <w:t xml:space="preserve"> ואפילו היה בעלה מלח שעונתו לששה חדשים</w:t>
      </w:r>
      <w:r>
        <w:rPr>
          <w:rStyle w:val="a7"/>
          <w:rFonts w:cs="Arial"/>
          <w:rtl/>
        </w:rPr>
        <w:footnoteReference w:id="573"/>
      </w:r>
      <w:r>
        <w:rPr>
          <w:rFonts w:cs="Arial" w:hint="cs"/>
          <w:rtl/>
        </w:rPr>
        <w:t>,</w:t>
      </w:r>
      <w:r w:rsidRPr="00DB1490">
        <w:rPr>
          <w:rFonts w:cs="Arial"/>
          <w:rtl/>
        </w:rPr>
        <w:t xml:space="preserve"> ואפילו יש לו אשה אחרת. וכן ארוסה שהגיע זמנה להנשא ומרדה כדי לצערו ולא נשאת הרי זו מורדת מתשמיש</w:t>
      </w:r>
      <w:r>
        <w:rPr>
          <w:rFonts w:cs="Arial" w:hint="cs"/>
          <w:rtl/>
        </w:rPr>
        <w:t>.</w:t>
      </w:r>
      <w:r w:rsidR="0013364A">
        <w:rPr>
          <w:rFonts w:cs="Arial" w:hint="cs"/>
          <w:rtl/>
        </w:rPr>
        <w:t xml:space="preserve"> </w:t>
      </w:r>
      <w:r w:rsidR="0013364A" w:rsidRPr="0013364A">
        <w:rPr>
          <w:rFonts w:cs="Arial" w:hint="cs"/>
          <w:color w:val="E36C0A" w:themeColor="accent6" w:themeShade="BF"/>
          <w:rtl/>
        </w:rPr>
        <w:t>(וכ"פ בשו"ע)</w:t>
      </w:r>
    </w:p>
    <w:p w14:paraId="2C2BB87B" w14:textId="40BD6927" w:rsidR="009A7475" w:rsidRPr="001806F1" w:rsidRDefault="009A7475" w:rsidP="009A7475">
      <w:pPr>
        <w:rPr>
          <w:rFonts w:cs="Arial"/>
        </w:rPr>
      </w:pPr>
      <w:r w:rsidRPr="00D01043">
        <w:rPr>
          <w:rFonts w:cs="Arial" w:hint="cs"/>
          <w:b/>
          <w:bCs/>
          <w:rtl/>
        </w:rPr>
        <w:t xml:space="preserve">כתובות </w:t>
      </w:r>
      <w:r>
        <w:rPr>
          <w:rFonts w:cs="Arial" w:hint="cs"/>
          <w:b/>
          <w:bCs/>
          <w:sz w:val="16"/>
          <w:szCs w:val="16"/>
          <w:rtl/>
        </w:rPr>
        <w:t xml:space="preserve">(פ' אף על פי) </w:t>
      </w:r>
      <w:r w:rsidRPr="00D01043">
        <w:rPr>
          <w:rFonts w:cs="Arial" w:hint="cs"/>
          <w:b/>
          <w:bCs/>
          <w:rtl/>
        </w:rPr>
        <w:t>ס</w:t>
      </w:r>
      <w:r>
        <w:rPr>
          <w:rFonts w:cs="Arial" w:hint="cs"/>
          <w:b/>
          <w:bCs/>
          <w:rtl/>
        </w:rPr>
        <w:t>ד</w:t>
      </w:r>
      <w:r w:rsidRPr="00D01043">
        <w:rPr>
          <w:rFonts w:cs="Arial" w:hint="cs"/>
          <w:b/>
          <w:bCs/>
          <w:rtl/>
        </w:rPr>
        <w:t xml:space="preserve"> ע"א</w:t>
      </w:r>
      <w:r>
        <w:rPr>
          <w:rFonts w:cs="Arial" w:hint="cs"/>
          <w:b/>
          <w:bCs/>
          <w:rtl/>
        </w:rPr>
        <w:t>:</w:t>
      </w:r>
      <w:r>
        <w:rPr>
          <w:rFonts w:cs="Arial" w:hint="cs"/>
          <w:rtl/>
        </w:rPr>
        <w:t xml:space="preserve"> </w:t>
      </w:r>
      <w:r w:rsidRPr="001806F1">
        <w:rPr>
          <w:rFonts w:cs="Arial"/>
          <w:u w:val="single"/>
          <w:rtl/>
        </w:rPr>
        <w:t>אמר רב טובי בר קיסנא אמר שמואל</w:t>
      </w:r>
      <w:r w:rsidRPr="001806F1">
        <w:rPr>
          <w:rFonts w:cs="Arial"/>
          <w:rtl/>
        </w:rPr>
        <w:t xml:space="preserve">: כותבין אגרת מרד על ארוסה, ואין כותבין אגרת מרד על שומרת יבם. מיתיבי: אחת לי ארוסה ונשואה, אפילו נדה, אפילו חולה, ואפילו שומרת יבם! לא קשיא: כאן שתבע הוא, כאן שתבעה היא, דאמר רב תחליפא בר אבימי אמר שמואל: תבע הוא - נזקקין לו, תבעה היא - אין נזקקין לה. במאי אוקימתא להא דשמואל? בשתבעה היא, האי כותבין אגרת מרד על ארוסה, לארוסה מיבעי ליה! הא </w:t>
      </w:r>
      <w:r w:rsidRPr="001806F1">
        <w:rPr>
          <w:rFonts w:cs="Arial"/>
          <w:rtl/>
        </w:rPr>
        <w:lastRenderedPageBreak/>
        <w:t>לא קשיא, תני: לארוסה. מאי שנא שומרת יבם דלא? דאמרינן לה זיל לא מפקדת, ארוסה נמי, נימא לה זיל לא מפקדת. אלא בבאה מחמת טענה, דאמרה בעינא חוטרא לידא ומרה לקבורה, ה"נ שומרת יבם בבאה מחמת טענה! אלא אידי ואידי שתבע הוא, ולא קשיא: כאן לחלוץ, וכאן לייבם, דאמר ר' פדת אמר ר' יוחנן: תבע לחלוץ - נזקקין לו, תבע לייבם - אין נזקקין לו. מאי שנא לייבם דלא? דאמרינן ליה, זיל ונסיב איתתא אחריתי, לחלוץ נמי, נימא ליה זיל ונסיב איתתא אחריתי! אלא דאמר כיון דאגידא בי לא קא יהבו לי אחריתי, הכא נמי כיון דאגידא בי לא קא יהבו לי אחריתי: אלא אידי ואידי שתבע לייבם, ולא קשיא: כאן כמשנה ראשונה, כאן כמשנה אחרונה, דתנן: מצות יבום קודמת למצות חליצה בראשונה שהיו מתכוונין לשום מצוה, עכשיו שאין מתכוונין לשום מצוה, אמרו: מצות חליצה קודמת למצות יבום.</w:t>
      </w:r>
      <w:r w:rsidRPr="00B529AC">
        <w:rPr>
          <w:rFonts w:cs="Arial"/>
          <w:sz w:val="16"/>
          <w:szCs w:val="16"/>
          <w:rtl/>
        </w:rPr>
        <w:t xml:space="preserve"> </w:t>
      </w:r>
      <w:r>
        <w:rPr>
          <w:rFonts w:cs="Arial" w:hint="cs"/>
          <w:sz w:val="16"/>
          <w:szCs w:val="16"/>
          <w:rtl/>
        </w:rPr>
        <w:t>(</w:t>
      </w:r>
      <w:r w:rsidRPr="00B529AC">
        <w:rPr>
          <w:rFonts w:cs="Arial"/>
          <w:sz w:val="16"/>
          <w:szCs w:val="16"/>
          <w:rtl/>
        </w:rPr>
        <w:t>וכתב הרי"ף (כז:) וליתא למשנה אחרונה כדאיתא בפרק החולץ (יבמות לט:) וכיון שכן בטיל ליה מימרא דשמואל</w:t>
      </w:r>
      <w:r w:rsidR="000F6194">
        <w:rPr>
          <w:rFonts w:cs="Arial" w:hint="cs"/>
          <w:sz w:val="16"/>
          <w:szCs w:val="16"/>
          <w:rtl/>
        </w:rPr>
        <w:t>,</w:t>
      </w:r>
      <w:r w:rsidRPr="00B529AC">
        <w:rPr>
          <w:rFonts w:cs="Arial"/>
          <w:sz w:val="16"/>
          <w:szCs w:val="16"/>
          <w:rtl/>
        </w:rPr>
        <w:t xml:space="preserve"> וכן פי' הרמב"ם בפי"ד מהל</w:t>
      </w:r>
      <w:r w:rsidR="000F6194">
        <w:rPr>
          <w:rFonts w:cs="Arial" w:hint="cs"/>
          <w:sz w:val="16"/>
          <w:szCs w:val="16"/>
          <w:rtl/>
        </w:rPr>
        <w:t>'</w:t>
      </w:r>
      <w:r w:rsidRPr="00B529AC">
        <w:rPr>
          <w:rFonts w:cs="Arial"/>
          <w:sz w:val="16"/>
          <w:szCs w:val="16"/>
          <w:rtl/>
        </w:rPr>
        <w:t xml:space="preserve"> אישות (הי"ב) שכותבין אגרת מרד על שומרת יבם. והרא"ש (סי' לו) כתב ואני כתבתי בפרק החולץ (סי' יז) בשם ר"ת (תוס' יבמות לט: ד"ה אמר) דהלכה כמשנה אחרונה ואיתא נמי להא דשמואל עכ"ל</w:t>
      </w:r>
      <w:r>
        <w:rPr>
          <w:rFonts w:cs="Arial" w:hint="cs"/>
          <w:sz w:val="16"/>
          <w:szCs w:val="16"/>
          <w:rtl/>
        </w:rPr>
        <w:t>, ב"י)</w:t>
      </w:r>
    </w:p>
    <w:p w14:paraId="245109BF" w14:textId="357EA54E" w:rsidR="009A7475" w:rsidRPr="001806F1" w:rsidRDefault="009A7475" w:rsidP="009A7475">
      <w:pPr>
        <w:rPr>
          <w:rFonts w:cs="Arial"/>
          <w:u w:val="single"/>
        </w:rPr>
      </w:pPr>
      <w:r w:rsidRPr="001806F1">
        <w:rPr>
          <w:rFonts w:cs="Arial"/>
          <w:u w:val="single"/>
          <w:rtl/>
        </w:rPr>
        <w:t>שומרת יבם שאינה רוצה להתייבם</w:t>
      </w:r>
      <w:r>
        <w:rPr>
          <w:rFonts w:cs="Arial" w:hint="cs"/>
          <w:u w:val="single"/>
          <w:rtl/>
        </w:rPr>
        <w:t xml:space="preserve"> </w:t>
      </w:r>
      <w:r w:rsidR="000C4D6B">
        <w:rPr>
          <w:rFonts w:cs="Arial" w:hint="cs"/>
          <w:u w:val="single"/>
          <w:rtl/>
        </w:rPr>
        <w:t>-</w:t>
      </w:r>
      <w:r>
        <w:rPr>
          <w:rFonts w:cs="Arial" w:hint="cs"/>
          <w:u w:val="single"/>
          <w:rtl/>
        </w:rPr>
        <w:t xml:space="preserve"> האם חשיבא מורדת</w:t>
      </w:r>
      <w:r w:rsidRPr="001806F1">
        <w:rPr>
          <w:rFonts w:cs="Arial" w:hint="cs"/>
          <w:u w:val="single"/>
          <w:rtl/>
        </w:rPr>
        <w:t>:</w:t>
      </w:r>
      <w:r w:rsidRPr="001806F1">
        <w:rPr>
          <w:rFonts w:cs="Arial"/>
          <w:u w:val="single"/>
          <w:rtl/>
        </w:rPr>
        <w:t xml:space="preserve"> </w:t>
      </w:r>
    </w:p>
    <w:p w14:paraId="53EFADAA" w14:textId="7D61289C" w:rsidR="009A7475" w:rsidRDefault="009A7475" w:rsidP="009000E3">
      <w:pPr>
        <w:pStyle w:val="ab"/>
        <w:numPr>
          <w:ilvl w:val="0"/>
          <w:numId w:val="27"/>
        </w:numPr>
        <w:rPr>
          <w:rFonts w:cs="Arial"/>
        </w:rPr>
      </w:pPr>
      <w:r>
        <w:rPr>
          <w:rFonts w:cs="Arial" w:hint="cs"/>
          <w:rtl/>
        </w:rPr>
        <w:t xml:space="preserve">רי"ף </w:t>
      </w:r>
      <w:r w:rsidRPr="00B529AC">
        <w:rPr>
          <w:rFonts w:cs="Arial"/>
          <w:sz w:val="16"/>
          <w:szCs w:val="16"/>
          <w:rtl/>
        </w:rPr>
        <w:t xml:space="preserve">(כז:) </w:t>
      </w:r>
      <w:r w:rsidRPr="00897A64">
        <w:rPr>
          <w:rFonts w:cs="Arial"/>
          <w:rtl/>
        </w:rPr>
        <w:t>רמב"ם</w:t>
      </w:r>
      <w:r>
        <w:rPr>
          <w:rFonts w:cs="Arial" w:hint="cs"/>
          <w:sz w:val="16"/>
          <w:szCs w:val="16"/>
          <w:rtl/>
        </w:rPr>
        <w:t xml:space="preserve"> (פי"ד מאישות הי"ב)</w:t>
      </w:r>
      <w:r w:rsidR="00770C67" w:rsidRPr="00770C67">
        <w:rPr>
          <w:rFonts w:cs="Arial"/>
          <w:rtl/>
        </w:rPr>
        <w:t xml:space="preserve"> </w:t>
      </w:r>
      <w:r w:rsidR="00770C67" w:rsidRPr="00331055">
        <w:rPr>
          <w:rFonts w:cs="Arial"/>
          <w:rtl/>
        </w:rPr>
        <w:t xml:space="preserve">ר"ן </w:t>
      </w:r>
      <w:r w:rsidR="00770C67" w:rsidRPr="00331055">
        <w:rPr>
          <w:rFonts w:cs="Arial"/>
          <w:sz w:val="16"/>
          <w:szCs w:val="16"/>
          <w:rtl/>
        </w:rPr>
        <w:t>(שו"ת סי' כא-כב)</w:t>
      </w:r>
      <w:r w:rsidR="00770C67">
        <w:rPr>
          <w:rFonts w:cs="Arial" w:hint="cs"/>
          <w:rtl/>
        </w:rPr>
        <w:t xml:space="preserve"> וריב"ש</w:t>
      </w:r>
      <w:r w:rsidR="00770C67">
        <w:rPr>
          <w:rFonts w:cs="Arial" w:hint="cs"/>
          <w:sz w:val="16"/>
          <w:szCs w:val="16"/>
          <w:rtl/>
        </w:rPr>
        <w:t xml:space="preserve"> (סי' שסא)</w:t>
      </w:r>
      <w:r>
        <w:rPr>
          <w:rFonts w:cs="Arial" w:hint="cs"/>
          <w:rtl/>
        </w:rPr>
        <w:t xml:space="preserve">- וכן </w:t>
      </w:r>
      <w:r w:rsidRPr="00DB1490">
        <w:rPr>
          <w:rFonts w:cs="Arial"/>
          <w:rtl/>
        </w:rPr>
        <w:t xml:space="preserve">יבמה שלא רצת להתיבם כדי לצערו </w:t>
      </w:r>
      <w:r>
        <w:rPr>
          <w:rFonts w:cs="Arial" w:hint="cs"/>
          <w:rtl/>
        </w:rPr>
        <w:t xml:space="preserve">- </w:t>
      </w:r>
      <w:r w:rsidRPr="00DB1490">
        <w:rPr>
          <w:rFonts w:cs="Arial"/>
          <w:rtl/>
        </w:rPr>
        <w:t>כסדר הזה עושין להן</w:t>
      </w:r>
      <w:r>
        <w:rPr>
          <w:rStyle w:val="a7"/>
          <w:rFonts w:cs="Arial"/>
          <w:rtl/>
        </w:rPr>
        <w:footnoteReference w:id="574"/>
      </w:r>
      <w:r>
        <w:rPr>
          <w:rFonts w:cs="Arial" w:hint="cs"/>
          <w:sz w:val="16"/>
          <w:szCs w:val="16"/>
          <w:rtl/>
        </w:rPr>
        <w:t xml:space="preserve"> (ל' הרמב"ם)</w:t>
      </w:r>
      <w:r>
        <w:rPr>
          <w:rFonts w:cs="Arial" w:hint="cs"/>
          <w:rtl/>
        </w:rPr>
        <w:t>.</w:t>
      </w:r>
      <w:r w:rsidRPr="00897A64">
        <w:rPr>
          <w:rFonts w:cs="Arial"/>
          <w:rtl/>
        </w:rPr>
        <w:t xml:space="preserve"> </w:t>
      </w:r>
      <w:r w:rsidR="0069052E" w:rsidRPr="00DD4860">
        <w:rPr>
          <w:rFonts w:cs="Arial" w:hint="cs"/>
          <w:color w:val="E36C0A" w:themeColor="accent6" w:themeShade="BF"/>
          <w:rtl/>
        </w:rPr>
        <w:t>(וכ"</w:t>
      </w:r>
      <w:r w:rsidR="0069052E">
        <w:rPr>
          <w:rFonts w:cs="Arial" w:hint="cs"/>
          <w:color w:val="E36C0A" w:themeColor="accent6" w:themeShade="BF"/>
          <w:rtl/>
        </w:rPr>
        <w:t>כ</w:t>
      </w:r>
      <w:r w:rsidR="0069052E" w:rsidRPr="00DD4860">
        <w:rPr>
          <w:rFonts w:cs="Arial" w:hint="cs"/>
          <w:color w:val="E36C0A" w:themeColor="accent6" w:themeShade="BF"/>
          <w:rtl/>
        </w:rPr>
        <w:t xml:space="preserve"> בשו"ע)</w:t>
      </w:r>
    </w:p>
    <w:p w14:paraId="2CE64553" w14:textId="77777777" w:rsidR="009A7475" w:rsidRDefault="009A7475" w:rsidP="009000E3">
      <w:pPr>
        <w:pStyle w:val="ab"/>
        <w:numPr>
          <w:ilvl w:val="0"/>
          <w:numId w:val="27"/>
        </w:numPr>
        <w:rPr>
          <w:rFonts w:cs="Arial"/>
        </w:rPr>
      </w:pPr>
      <w:r w:rsidRPr="00897A64">
        <w:rPr>
          <w:rFonts w:cs="Arial"/>
          <w:rtl/>
        </w:rPr>
        <w:t>ר"ת</w:t>
      </w:r>
      <w:r>
        <w:rPr>
          <w:rFonts w:cs="Arial" w:hint="cs"/>
          <w:rtl/>
        </w:rPr>
        <w:t xml:space="preserve"> </w:t>
      </w:r>
      <w:r w:rsidRPr="00B529AC">
        <w:rPr>
          <w:rFonts w:cs="Arial"/>
          <w:sz w:val="16"/>
          <w:szCs w:val="16"/>
          <w:rtl/>
        </w:rPr>
        <w:t>(תוס' יבמות לט: ד"ה אמר)</w:t>
      </w:r>
      <w:r w:rsidRPr="00897A64">
        <w:rPr>
          <w:rFonts w:cs="Arial"/>
          <w:rtl/>
        </w:rPr>
        <w:t xml:space="preserve"> </w:t>
      </w:r>
      <w:r>
        <w:rPr>
          <w:rFonts w:cs="Arial" w:hint="cs"/>
          <w:rtl/>
        </w:rPr>
        <w:t>ורא"ש</w:t>
      </w:r>
      <w:r w:rsidRPr="00331055">
        <w:rPr>
          <w:rFonts w:cs="Arial"/>
          <w:sz w:val="16"/>
          <w:szCs w:val="16"/>
          <w:rtl/>
        </w:rPr>
        <w:t xml:space="preserve"> </w:t>
      </w:r>
      <w:r>
        <w:rPr>
          <w:rFonts w:cs="Arial" w:hint="cs"/>
          <w:sz w:val="16"/>
          <w:szCs w:val="16"/>
          <w:rtl/>
        </w:rPr>
        <w:t xml:space="preserve">(פ' </w:t>
      </w:r>
      <w:r w:rsidRPr="00B529AC">
        <w:rPr>
          <w:rFonts w:cs="Arial"/>
          <w:sz w:val="16"/>
          <w:szCs w:val="16"/>
          <w:rtl/>
        </w:rPr>
        <w:t>החולץ סי' יז)</w:t>
      </w:r>
      <w:r>
        <w:rPr>
          <w:rFonts w:cs="Arial" w:hint="cs"/>
          <w:rtl/>
        </w:rPr>
        <w:t xml:space="preserve">- </w:t>
      </w:r>
      <w:r w:rsidRPr="00897A64">
        <w:rPr>
          <w:rFonts w:cs="Arial"/>
          <w:rtl/>
        </w:rPr>
        <w:t>מצות חליצה קודמת לפיכך אין דינה כמורדת</w:t>
      </w:r>
      <w:r>
        <w:rPr>
          <w:rFonts w:cs="Arial" w:hint="cs"/>
          <w:sz w:val="16"/>
          <w:szCs w:val="16"/>
          <w:rtl/>
        </w:rPr>
        <w:t xml:space="preserve"> (ל' הטור בשם ר"ת)</w:t>
      </w:r>
      <w:r>
        <w:rPr>
          <w:rFonts w:cs="Arial" w:hint="cs"/>
          <w:rtl/>
        </w:rPr>
        <w:t>.</w:t>
      </w:r>
    </w:p>
    <w:p w14:paraId="18FE5094" w14:textId="73DAA7EB" w:rsidR="009A7475" w:rsidRPr="00331055" w:rsidRDefault="009A7475" w:rsidP="009A7475">
      <w:pPr>
        <w:ind w:left="360"/>
        <w:rPr>
          <w:rFonts w:cs="Arial"/>
          <w:u w:val="dotted"/>
        </w:rPr>
      </w:pPr>
      <w:r w:rsidRPr="00331055">
        <w:rPr>
          <w:rFonts w:cs="Arial" w:hint="cs"/>
          <w:u w:val="dotted"/>
          <w:rtl/>
        </w:rPr>
        <w:t xml:space="preserve">לרי"ף וסיעתו </w:t>
      </w:r>
      <w:r w:rsidR="00F97626">
        <w:rPr>
          <w:rFonts w:cs="Arial" w:hint="cs"/>
          <w:u w:val="dotted"/>
          <w:rtl/>
        </w:rPr>
        <w:t>-</w:t>
      </w:r>
      <w:r w:rsidRPr="00331055">
        <w:rPr>
          <w:rFonts w:cs="Arial" w:hint="cs"/>
          <w:u w:val="dotted"/>
          <w:rtl/>
        </w:rPr>
        <w:t xml:space="preserve"> מה הדין אם היבמה אסרה על עצמה את היבם</w:t>
      </w:r>
      <w:r>
        <w:rPr>
          <w:rFonts w:cs="Arial" w:hint="cs"/>
          <w:u w:val="dotted"/>
          <w:rtl/>
        </w:rPr>
        <w:t xml:space="preserve"> מהדין</w:t>
      </w:r>
      <w:r w:rsidRPr="00331055">
        <w:rPr>
          <w:rFonts w:cs="Arial" w:hint="cs"/>
          <w:u w:val="dotted"/>
          <w:rtl/>
        </w:rPr>
        <w:t>:</w:t>
      </w:r>
    </w:p>
    <w:p w14:paraId="6F6605EB" w14:textId="5680D6DB" w:rsidR="009A7475" w:rsidRDefault="009A7475" w:rsidP="009000E3">
      <w:pPr>
        <w:pStyle w:val="ab"/>
        <w:numPr>
          <w:ilvl w:val="0"/>
          <w:numId w:val="27"/>
        </w:numPr>
      </w:pPr>
      <w:r w:rsidRPr="00331055">
        <w:rPr>
          <w:rFonts w:cs="Arial"/>
          <w:rtl/>
        </w:rPr>
        <w:t xml:space="preserve">רשב"א </w:t>
      </w:r>
      <w:r w:rsidRPr="00331055">
        <w:rPr>
          <w:rFonts w:cs="Arial" w:hint="cs"/>
          <w:sz w:val="16"/>
          <w:szCs w:val="16"/>
          <w:rtl/>
        </w:rPr>
        <w:t>(</w:t>
      </w:r>
      <w:r w:rsidRPr="00331055">
        <w:rPr>
          <w:rFonts w:cs="Arial"/>
          <w:sz w:val="16"/>
          <w:szCs w:val="16"/>
          <w:rtl/>
        </w:rPr>
        <w:t>סי</w:t>
      </w:r>
      <w:r w:rsidRPr="00331055">
        <w:rPr>
          <w:rFonts w:cs="Arial" w:hint="cs"/>
          <w:sz w:val="16"/>
          <w:szCs w:val="16"/>
          <w:rtl/>
        </w:rPr>
        <w:t xml:space="preserve">' </w:t>
      </w:r>
      <w:r w:rsidRPr="00331055">
        <w:rPr>
          <w:rFonts w:cs="Arial"/>
          <w:sz w:val="16"/>
          <w:szCs w:val="16"/>
          <w:rtl/>
        </w:rPr>
        <w:t xml:space="preserve">אלף </w:t>
      </w:r>
      <w:r w:rsidRPr="00331055">
        <w:rPr>
          <w:rFonts w:cs="Arial" w:hint="cs"/>
          <w:sz w:val="16"/>
          <w:szCs w:val="16"/>
          <w:rtl/>
        </w:rPr>
        <w:t>ר</w:t>
      </w:r>
      <w:r w:rsidRPr="00331055">
        <w:rPr>
          <w:rFonts w:cs="Arial"/>
          <w:sz w:val="16"/>
          <w:szCs w:val="16"/>
          <w:rtl/>
        </w:rPr>
        <w:t>ב</w:t>
      </w:r>
      <w:r w:rsidRPr="00331055">
        <w:rPr>
          <w:rFonts w:cs="Arial" w:hint="cs"/>
          <w:sz w:val="16"/>
          <w:szCs w:val="16"/>
          <w:rtl/>
        </w:rPr>
        <w:t>)</w:t>
      </w:r>
      <w:r>
        <w:rPr>
          <w:rFonts w:cs="Arial" w:hint="cs"/>
          <w:rtl/>
        </w:rPr>
        <w:t>-</w:t>
      </w:r>
      <w:r w:rsidRPr="00331055">
        <w:rPr>
          <w:rFonts w:cs="Arial"/>
          <w:rtl/>
        </w:rPr>
        <w:t xml:space="preserve"> </w:t>
      </w:r>
      <w:r>
        <w:rPr>
          <w:rFonts w:cs="Arial" w:hint="cs"/>
          <w:rtl/>
        </w:rPr>
        <w:t>שאלת</w:t>
      </w:r>
      <w:r w:rsidR="00EE52FF">
        <w:rPr>
          <w:rFonts w:cs="Arial" w:hint="cs"/>
          <w:rtl/>
        </w:rPr>
        <w:t>:</w:t>
      </w:r>
      <w:r>
        <w:rPr>
          <w:rFonts w:cs="Arial" w:hint="cs"/>
          <w:rtl/>
        </w:rPr>
        <w:t xml:space="preserve"> </w:t>
      </w:r>
      <w:r w:rsidRPr="00331055">
        <w:rPr>
          <w:rFonts w:cs="Arial"/>
          <w:rtl/>
        </w:rPr>
        <w:t>על העושה מאמר ביבמתו</w:t>
      </w:r>
      <w:r>
        <w:rPr>
          <w:rFonts w:cs="Arial" w:hint="cs"/>
          <w:rtl/>
        </w:rPr>
        <w:t>,</w:t>
      </w:r>
      <w:r w:rsidRPr="00331055">
        <w:rPr>
          <w:rFonts w:cs="Arial"/>
          <w:rtl/>
        </w:rPr>
        <w:t xml:space="preserve"> וחזרה וקיבלה מאמר מאחיו</w:t>
      </w:r>
      <w:r>
        <w:rPr>
          <w:rFonts w:cs="Arial" w:hint="cs"/>
          <w:rtl/>
        </w:rPr>
        <w:t>,</w:t>
      </w:r>
      <w:r w:rsidRPr="00331055">
        <w:rPr>
          <w:rFonts w:cs="Arial"/>
          <w:rtl/>
        </w:rPr>
        <w:t xml:space="preserve"> ואסרה עצמה על שניהם</w:t>
      </w:r>
      <w:r>
        <w:rPr>
          <w:rFonts w:cs="Arial" w:hint="cs"/>
          <w:rtl/>
        </w:rPr>
        <w:t>,</w:t>
      </w:r>
      <w:r w:rsidRPr="00331055">
        <w:rPr>
          <w:rFonts w:cs="Arial"/>
          <w:rtl/>
        </w:rPr>
        <w:t xml:space="preserve"> אי דיינינן לה כמורדת</w:t>
      </w:r>
      <w:r>
        <w:rPr>
          <w:rFonts w:cs="Arial" w:hint="cs"/>
          <w:rtl/>
        </w:rPr>
        <w:t>.</w:t>
      </w:r>
      <w:r w:rsidRPr="00331055">
        <w:rPr>
          <w:rFonts w:cs="Arial"/>
          <w:rtl/>
        </w:rPr>
        <w:t xml:space="preserve"> </w:t>
      </w:r>
      <w:r w:rsidR="00EE52FF">
        <w:rPr>
          <w:rFonts w:cs="Arial" w:hint="cs"/>
          <w:rtl/>
        </w:rPr>
        <w:t xml:space="preserve">     </w:t>
      </w:r>
      <w:r>
        <w:rPr>
          <w:rFonts w:cs="Arial" w:hint="cs"/>
          <w:rtl/>
        </w:rPr>
        <w:t>תשובה</w:t>
      </w:r>
      <w:r w:rsidR="00F97626">
        <w:rPr>
          <w:rFonts w:cs="Arial" w:hint="cs"/>
          <w:rtl/>
        </w:rPr>
        <w:t>:</w:t>
      </w:r>
      <w:r>
        <w:rPr>
          <w:rFonts w:cs="Arial" w:hint="cs"/>
          <w:rtl/>
        </w:rPr>
        <w:t xml:space="preserve"> </w:t>
      </w:r>
      <w:r w:rsidRPr="00331055">
        <w:rPr>
          <w:rFonts w:cs="Arial"/>
          <w:rtl/>
        </w:rPr>
        <w:t>אין אגרת מרד אלא כדי שתחזור בה ותתייבם לו</w:t>
      </w:r>
      <w:r>
        <w:rPr>
          <w:rFonts w:cs="Arial" w:hint="cs"/>
          <w:rtl/>
        </w:rPr>
        <w:t>,</w:t>
      </w:r>
      <w:r w:rsidRPr="00331055">
        <w:rPr>
          <w:rFonts w:cs="Arial"/>
          <w:rtl/>
        </w:rPr>
        <w:t xml:space="preserve"> אבל זו שנאסרה על האחים למה כותבין עליה</w:t>
      </w:r>
      <w:r>
        <w:rPr>
          <w:rFonts w:cs="Arial" w:hint="cs"/>
          <w:rtl/>
        </w:rPr>
        <w:t>,</w:t>
      </w:r>
      <w:r w:rsidRPr="00331055">
        <w:rPr>
          <w:rFonts w:cs="Arial"/>
          <w:rtl/>
        </w:rPr>
        <w:t xml:space="preserve"> והא אי אפשר להתייבם לו מעתה. </w:t>
      </w:r>
    </w:p>
    <w:p w14:paraId="37FE0581" w14:textId="75091AC2" w:rsidR="009A7475" w:rsidRPr="001B1490" w:rsidRDefault="009A7475" w:rsidP="009A7475">
      <w:pPr>
        <w:ind w:left="360"/>
        <w:rPr>
          <w:rFonts w:cs="Arial"/>
          <w:u w:val="dotted"/>
        </w:rPr>
      </w:pPr>
      <w:r w:rsidRPr="001B1490">
        <w:rPr>
          <w:rFonts w:cs="Arial" w:hint="cs"/>
          <w:u w:val="dotted"/>
          <w:rtl/>
        </w:rPr>
        <w:t xml:space="preserve">לרי"ף וסיעתו </w:t>
      </w:r>
      <w:r w:rsidR="00F97626">
        <w:rPr>
          <w:rFonts w:cs="Arial" w:hint="cs"/>
          <w:u w:val="dotted"/>
          <w:rtl/>
        </w:rPr>
        <w:t>-</w:t>
      </w:r>
      <w:r w:rsidRPr="001B1490">
        <w:rPr>
          <w:rFonts w:cs="Arial" w:hint="cs"/>
          <w:u w:val="dotted"/>
          <w:rtl/>
        </w:rPr>
        <w:t xml:space="preserve"> מה הדין אם היבמה אסרה על עצמה את היבם </w:t>
      </w:r>
      <w:r>
        <w:rPr>
          <w:rFonts w:cs="Arial" w:hint="cs"/>
          <w:u w:val="dotted"/>
          <w:rtl/>
        </w:rPr>
        <w:t>בנדר</w:t>
      </w:r>
      <w:r w:rsidRPr="001B1490">
        <w:rPr>
          <w:rFonts w:cs="Arial" w:hint="cs"/>
          <w:u w:val="dotted"/>
          <w:rtl/>
        </w:rPr>
        <w:t>:</w:t>
      </w:r>
    </w:p>
    <w:p w14:paraId="2725E687" w14:textId="4BD13B63" w:rsidR="009A7475" w:rsidRDefault="009A7475" w:rsidP="009000E3">
      <w:pPr>
        <w:pStyle w:val="ab"/>
        <w:numPr>
          <w:ilvl w:val="0"/>
          <w:numId w:val="27"/>
        </w:numPr>
        <w:rPr>
          <w:rtl/>
        </w:rPr>
      </w:pPr>
      <w:r w:rsidRPr="00331055">
        <w:rPr>
          <w:rFonts w:cs="Arial"/>
          <w:rtl/>
        </w:rPr>
        <w:t xml:space="preserve">ר"ן </w:t>
      </w:r>
      <w:r w:rsidRPr="00331055">
        <w:rPr>
          <w:rFonts w:cs="Arial"/>
          <w:sz w:val="16"/>
          <w:szCs w:val="16"/>
          <w:rtl/>
        </w:rPr>
        <w:t>(שו"ת סי' כא-כב)</w:t>
      </w:r>
      <w:r>
        <w:rPr>
          <w:rFonts w:cs="Arial" w:hint="cs"/>
          <w:rtl/>
        </w:rPr>
        <w:t>-</w:t>
      </w:r>
      <w:r w:rsidRPr="00331055">
        <w:rPr>
          <w:rFonts w:cs="Arial"/>
          <w:rtl/>
        </w:rPr>
        <w:t xml:space="preserve"> ש</w:t>
      </w:r>
      <w:r>
        <w:rPr>
          <w:rFonts w:cs="Arial" w:hint="cs"/>
          <w:rtl/>
        </w:rPr>
        <w:t>אלת</w:t>
      </w:r>
      <w:r w:rsidR="00FE210D">
        <w:rPr>
          <w:rFonts w:cs="Arial" w:hint="cs"/>
          <w:rtl/>
        </w:rPr>
        <w:t>:</w:t>
      </w:r>
      <w:r w:rsidRPr="00331055">
        <w:rPr>
          <w:rFonts w:cs="Arial"/>
          <w:rtl/>
        </w:rPr>
        <w:t xml:space="preserve"> אשה שבראותה שהכביד החולי על בעלה</w:t>
      </w:r>
      <w:r>
        <w:rPr>
          <w:rFonts w:cs="Arial" w:hint="cs"/>
          <w:rtl/>
        </w:rPr>
        <w:t>,</w:t>
      </w:r>
      <w:r w:rsidRPr="00331055">
        <w:rPr>
          <w:rFonts w:cs="Arial"/>
          <w:rtl/>
        </w:rPr>
        <w:t xml:space="preserve"> בלי שום קטטה ומריבה נדרה הנאה מיבמיה</w:t>
      </w:r>
      <w:r>
        <w:rPr>
          <w:rFonts w:cs="Arial" w:hint="cs"/>
          <w:rtl/>
        </w:rPr>
        <w:t>,</w:t>
      </w:r>
      <w:r w:rsidRPr="00331055">
        <w:rPr>
          <w:rFonts w:cs="Arial"/>
          <w:rtl/>
        </w:rPr>
        <w:t xml:space="preserve"> אם דינה כמורדת</w:t>
      </w:r>
      <w:r>
        <w:rPr>
          <w:rFonts w:cs="Arial" w:hint="cs"/>
          <w:rtl/>
        </w:rPr>
        <w:t>.</w:t>
      </w:r>
      <w:r w:rsidRPr="00331055">
        <w:rPr>
          <w:rFonts w:cs="Arial"/>
          <w:rtl/>
        </w:rPr>
        <w:t xml:space="preserve"> </w:t>
      </w:r>
      <w:r w:rsidR="00FE210D">
        <w:rPr>
          <w:rFonts w:cs="Arial" w:hint="cs"/>
          <w:rtl/>
        </w:rPr>
        <w:t xml:space="preserve">   </w:t>
      </w:r>
      <w:r w:rsidR="00CE179A">
        <w:rPr>
          <w:rFonts w:cs="Arial" w:hint="cs"/>
          <w:rtl/>
        </w:rPr>
        <w:t xml:space="preserve"> </w:t>
      </w:r>
      <w:r w:rsidR="00FE210D">
        <w:rPr>
          <w:rFonts w:cs="Arial" w:hint="cs"/>
          <w:rtl/>
        </w:rPr>
        <w:t xml:space="preserve"> </w:t>
      </w:r>
      <w:r>
        <w:rPr>
          <w:rFonts w:cs="Arial" w:hint="cs"/>
          <w:rtl/>
        </w:rPr>
        <w:t>תשובה</w:t>
      </w:r>
      <w:r w:rsidR="00FE210D">
        <w:rPr>
          <w:rFonts w:cs="Arial" w:hint="cs"/>
          <w:rtl/>
        </w:rPr>
        <w:t>:</w:t>
      </w:r>
      <w:r>
        <w:rPr>
          <w:rFonts w:cs="Arial" w:hint="cs"/>
          <w:rtl/>
        </w:rPr>
        <w:t xml:space="preserve"> </w:t>
      </w:r>
      <w:r w:rsidRPr="00331055">
        <w:rPr>
          <w:rFonts w:cs="Arial"/>
          <w:rtl/>
        </w:rPr>
        <w:t>מחלוקת בין הראשונים אם כותבין אגרת מרד על שומרת יבם</w:t>
      </w:r>
      <w:r w:rsidR="00770C67">
        <w:rPr>
          <w:rFonts w:cs="Arial" w:hint="cs"/>
          <w:rtl/>
        </w:rPr>
        <w:t>,</w:t>
      </w:r>
      <w:r w:rsidRPr="00331055">
        <w:rPr>
          <w:rFonts w:cs="Arial"/>
          <w:rtl/>
        </w:rPr>
        <w:t xml:space="preserve"> והרי"ף והרמב"ם וגדולי האחרונים הסכימו שכותבין</w:t>
      </w:r>
      <w:r w:rsidR="00770C67">
        <w:rPr>
          <w:rFonts w:cs="Arial" w:hint="cs"/>
          <w:rtl/>
        </w:rPr>
        <w:t>,</w:t>
      </w:r>
      <w:r w:rsidRPr="00331055">
        <w:rPr>
          <w:rFonts w:cs="Arial"/>
          <w:rtl/>
        </w:rPr>
        <w:t xml:space="preserve"> וכן ראוי להורות ולדון הלכה למעשה</w:t>
      </w:r>
      <w:r>
        <w:rPr>
          <w:rStyle w:val="a7"/>
          <w:rFonts w:cs="Arial"/>
          <w:rtl/>
        </w:rPr>
        <w:footnoteReference w:id="575"/>
      </w:r>
      <w:r>
        <w:rPr>
          <w:rFonts w:cs="Arial" w:hint="cs"/>
          <w:rtl/>
        </w:rPr>
        <w:t>.</w:t>
      </w:r>
      <w:r w:rsidRPr="00331055">
        <w:rPr>
          <w:rFonts w:cs="Arial"/>
          <w:rtl/>
        </w:rPr>
        <w:t xml:space="preserve"> ואם כן זו ששנינו בפרק בית שמאי (יבמות קיא:) אם נתכוונה לכך אפילו בחיי בעלה מבקשין ממנו שיחלוץ לה אף לענין שתהא דינה כמורדת איתניא</w:t>
      </w:r>
      <w:r>
        <w:rPr>
          <w:rFonts w:cs="Arial" w:hint="cs"/>
          <w:rtl/>
        </w:rPr>
        <w:t>.</w:t>
      </w:r>
      <w:r w:rsidRPr="00331055">
        <w:rPr>
          <w:rFonts w:cs="Arial"/>
          <w:rtl/>
        </w:rPr>
        <w:t xml:space="preserve"> ובנדון שלפנינו אין ספק שהדבר מוכיח שנתכוונה לכך</w:t>
      </w:r>
      <w:r>
        <w:rPr>
          <w:rFonts w:cs="Arial" w:hint="cs"/>
          <w:rtl/>
        </w:rPr>
        <w:t>,</w:t>
      </w:r>
      <w:r w:rsidRPr="00331055">
        <w:rPr>
          <w:rFonts w:cs="Arial"/>
          <w:rtl/>
        </w:rPr>
        <w:t xml:space="preserve"> וכיון שכן דינה כמורדת והפסידה עיקר כתובה ותוספת ונכסי צאן ברזל שאינם קיימים</w:t>
      </w:r>
      <w:r w:rsidR="008E00A3">
        <w:rPr>
          <w:rFonts w:cs="Arial" w:hint="cs"/>
          <w:rtl/>
        </w:rPr>
        <w:t>.</w:t>
      </w:r>
      <w:r w:rsidRPr="00331055">
        <w:rPr>
          <w:rFonts w:cs="Arial"/>
          <w:rtl/>
        </w:rPr>
        <w:t xml:space="preserve"> ולענין בלאותיה הקיימים אם תפסתן לא הפסידתן לפי שזו כמורדת האומרת מאיס עלי</w:t>
      </w:r>
      <w:r>
        <w:rPr>
          <w:rStyle w:val="a7"/>
          <w:rFonts w:cs="Arial"/>
          <w:rtl/>
        </w:rPr>
        <w:footnoteReference w:id="576"/>
      </w:r>
      <w:r>
        <w:rPr>
          <w:rFonts w:cs="Arial" w:hint="cs"/>
          <w:rtl/>
        </w:rPr>
        <w:t>.</w:t>
      </w:r>
      <w:r w:rsidRPr="00331055">
        <w:rPr>
          <w:rFonts w:cs="Arial"/>
          <w:rtl/>
        </w:rPr>
        <w:t xml:space="preserve"> ולענין ממון שהניח הבעל ביד שליש לאחריות כתובתה נראה לי שאפילו הוא מממון הנדוניא אין לו דין בלאות הקיימים כלל</w:t>
      </w:r>
      <w:r>
        <w:rPr>
          <w:rFonts w:cs="Arial" w:hint="cs"/>
          <w:rtl/>
        </w:rPr>
        <w:t>,</w:t>
      </w:r>
      <w:r w:rsidRPr="00331055">
        <w:rPr>
          <w:rFonts w:cs="Arial"/>
          <w:rtl/>
        </w:rPr>
        <w:t xml:space="preserve"> שממון הנדוניא אין לו עליו אלא שעבוד בלבד והבעל דוחה אותה ממנו כמו שרוצה ואין כאן משום שבח בית אביה</w:t>
      </w:r>
      <w:r>
        <w:rPr>
          <w:rFonts w:cs="Arial" w:hint="cs"/>
          <w:rtl/>
        </w:rPr>
        <w:t>,</w:t>
      </w:r>
      <w:r w:rsidRPr="00331055">
        <w:rPr>
          <w:rFonts w:cs="Arial"/>
          <w:rtl/>
        </w:rPr>
        <w:t xml:space="preserve"> וכל שכן בנדון שלפנינו שאין מוכיח מעסק האחריות שהיה מממון הנדוניא שאיני מספק שאפילו תפסה יוציאנו מידה</w:t>
      </w:r>
      <w:r>
        <w:rPr>
          <w:rFonts w:cs="Arial" w:hint="cs"/>
          <w:rtl/>
        </w:rPr>
        <w:t>.</w:t>
      </w:r>
    </w:p>
    <w:p w14:paraId="15BF93F2" w14:textId="37E14439" w:rsidR="009A51F3" w:rsidRPr="009A51F3" w:rsidRDefault="00E305A0" w:rsidP="009A51F3">
      <w:pPr>
        <w:rPr>
          <w:rFonts w:cs="Arial"/>
          <w:u w:val="single"/>
        </w:rPr>
      </w:pPr>
      <w:r>
        <w:rPr>
          <w:rFonts w:cs="Arial" w:hint="cs"/>
          <w:u w:val="single"/>
          <w:rtl/>
        </w:rPr>
        <w:t>ארוסה ש</w:t>
      </w:r>
      <w:r w:rsidR="009A51F3" w:rsidRPr="009A51F3">
        <w:rPr>
          <w:rFonts w:cs="Arial" w:hint="cs"/>
          <w:u w:val="single"/>
          <w:rtl/>
        </w:rPr>
        <w:t xml:space="preserve">מרדה </w:t>
      </w:r>
      <w:r>
        <w:rPr>
          <w:rFonts w:cs="Arial" w:hint="cs"/>
          <w:u w:val="single"/>
          <w:rtl/>
        </w:rPr>
        <w:t>ו</w:t>
      </w:r>
      <w:r w:rsidR="009A51F3" w:rsidRPr="009A51F3">
        <w:rPr>
          <w:rFonts w:cs="Arial" w:hint="cs"/>
          <w:u w:val="single"/>
          <w:rtl/>
        </w:rPr>
        <w:t xml:space="preserve">נשא </w:t>
      </w:r>
      <w:r>
        <w:rPr>
          <w:rFonts w:cs="Arial" w:hint="cs"/>
          <w:u w:val="single"/>
          <w:rtl/>
        </w:rPr>
        <w:t xml:space="preserve">הארוס </w:t>
      </w:r>
      <w:r w:rsidR="009A51F3" w:rsidRPr="009A51F3">
        <w:rPr>
          <w:rFonts w:cs="Arial" w:hint="cs"/>
          <w:u w:val="single"/>
          <w:rtl/>
        </w:rPr>
        <w:t xml:space="preserve">אחת אחרת עליה </w:t>
      </w:r>
      <w:r w:rsidR="00F97626">
        <w:rPr>
          <w:rFonts w:cs="Arial"/>
          <w:u w:val="single"/>
          <w:rtl/>
        </w:rPr>
        <w:t>-</w:t>
      </w:r>
      <w:r w:rsidR="009A51F3" w:rsidRPr="009A51F3">
        <w:rPr>
          <w:rFonts w:cs="Arial" w:hint="cs"/>
          <w:u w:val="single"/>
          <w:rtl/>
        </w:rPr>
        <w:t xml:space="preserve"> האם כופים אותו להוציא:</w:t>
      </w:r>
      <w:r w:rsidR="009A51F3" w:rsidRPr="009A51F3">
        <w:rPr>
          <w:rFonts w:cs="Arial" w:hint="cs"/>
          <w:sz w:val="16"/>
          <w:szCs w:val="16"/>
          <w:rtl/>
        </w:rPr>
        <w:t xml:space="preserve"> (דרכ"מ אות יט)</w:t>
      </w:r>
    </w:p>
    <w:p w14:paraId="506EF19F" w14:textId="369D0DBD" w:rsidR="009A51F3" w:rsidRDefault="009A51F3" w:rsidP="009000E3">
      <w:pPr>
        <w:pStyle w:val="ab"/>
        <w:numPr>
          <w:ilvl w:val="0"/>
          <w:numId w:val="27"/>
        </w:numPr>
        <w:rPr>
          <w:rFonts w:cs="Arial"/>
        </w:rPr>
      </w:pPr>
      <w:r w:rsidRPr="00A74C2B">
        <w:rPr>
          <w:rFonts w:cs="Arial"/>
          <w:rtl/>
        </w:rPr>
        <w:t xml:space="preserve">מהרי"ק </w:t>
      </w:r>
      <w:r w:rsidRPr="009A51F3">
        <w:rPr>
          <w:rFonts w:cs="Arial" w:hint="cs"/>
          <w:sz w:val="16"/>
          <w:szCs w:val="16"/>
          <w:rtl/>
        </w:rPr>
        <w:t>(</w:t>
      </w:r>
      <w:r w:rsidRPr="009A51F3">
        <w:rPr>
          <w:rFonts w:cs="Arial"/>
          <w:sz w:val="16"/>
          <w:szCs w:val="16"/>
          <w:rtl/>
        </w:rPr>
        <w:t>שורש כט</w:t>
      </w:r>
      <w:r w:rsidR="00E305A0">
        <w:rPr>
          <w:rFonts w:cs="Arial" w:hint="cs"/>
          <w:sz w:val="16"/>
          <w:szCs w:val="16"/>
          <w:rtl/>
        </w:rPr>
        <w:t>, ועי' בשורש סג</w:t>
      </w:r>
      <w:r w:rsidRPr="009A51F3">
        <w:rPr>
          <w:rFonts w:cs="Arial" w:hint="cs"/>
          <w:sz w:val="16"/>
          <w:szCs w:val="16"/>
          <w:rtl/>
        </w:rPr>
        <w:t>)</w:t>
      </w:r>
      <w:r>
        <w:rPr>
          <w:rFonts w:cs="Arial" w:hint="cs"/>
          <w:rtl/>
        </w:rPr>
        <w:t>-</w:t>
      </w:r>
      <w:r w:rsidRPr="00A74C2B">
        <w:rPr>
          <w:rFonts w:cs="Arial"/>
          <w:rtl/>
        </w:rPr>
        <w:t xml:space="preserve"> היכא דמרדה והוא לקח אשה אחרת אין כופין אותו להוציאה משום חרם ר"ג אלא אמרינן היא עשתה שלא כהוגן וכו'</w:t>
      </w:r>
      <w:r>
        <w:rPr>
          <w:rFonts w:cs="Arial" w:hint="cs"/>
          <w:rtl/>
        </w:rPr>
        <w:t>.</w:t>
      </w:r>
      <w:r w:rsidR="00E305A0" w:rsidRPr="00E305A0">
        <w:rPr>
          <w:rFonts w:cs="Arial" w:hint="cs"/>
          <w:color w:val="00B0F0"/>
          <w:rtl/>
        </w:rPr>
        <w:t xml:space="preserve"> </w:t>
      </w:r>
      <w:r w:rsidR="00E305A0" w:rsidRPr="0087405A">
        <w:rPr>
          <w:rFonts w:cs="Arial" w:hint="cs"/>
          <w:color w:val="00B0F0"/>
          <w:rtl/>
        </w:rPr>
        <w:t>(וכ"פ הרמ"א)</w:t>
      </w:r>
    </w:p>
    <w:p w14:paraId="0D427ABE" w14:textId="05F73A5A" w:rsidR="00CD759E" w:rsidRPr="00CD759E" w:rsidRDefault="00CD759E" w:rsidP="00CD759E">
      <w:pPr>
        <w:rPr>
          <w:rFonts w:cs="Arial"/>
          <w:u w:val="single"/>
        </w:rPr>
      </w:pPr>
      <w:r w:rsidRPr="00CD759E">
        <w:rPr>
          <w:rFonts w:cs="Arial" w:hint="cs"/>
          <w:u w:val="single"/>
          <w:rtl/>
        </w:rPr>
        <w:t>אשה ש</w:t>
      </w:r>
      <w:r w:rsidR="00DA2C7B">
        <w:rPr>
          <w:rFonts w:cs="Arial" w:hint="cs"/>
          <w:u w:val="single"/>
          <w:rtl/>
        </w:rPr>
        <w:t>בעלה ה</w:t>
      </w:r>
      <w:r w:rsidRPr="00CD759E">
        <w:rPr>
          <w:rFonts w:cs="Arial" w:hint="cs"/>
          <w:u w:val="single"/>
          <w:rtl/>
        </w:rPr>
        <w:t>ניח</w:t>
      </w:r>
      <w:r w:rsidR="00DA2C7B">
        <w:rPr>
          <w:rFonts w:cs="Arial" w:hint="cs"/>
          <w:u w:val="single"/>
          <w:rtl/>
        </w:rPr>
        <w:t xml:space="preserve"> אותה בבית אביו ויצא מן העיר, וחלתה, ולוותה לרפואתה ומזונותיה, ודורשת מבעלה לשלם:</w:t>
      </w:r>
    </w:p>
    <w:p w14:paraId="2BB0DB11" w14:textId="77777777" w:rsidR="006F6BB1" w:rsidRDefault="00A74C2B" w:rsidP="009000E3">
      <w:pPr>
        <w:pStyle w:val="ab"/>
        <w:numPr>
          <w:ilvl w:val="0"/>
          <w:numId w:val="27"/>
        </w:numPr>
        <w:rPr>
          <w:rFonts w:cs="Arial"/>
        </w:rPr>
      </w:pPr>
      <w:r w:rsidRPr="00CD759E">
        <w:rPr>
          <w:rFonts w:cs="Arial"/>
          <w:rtl/>
        </w:rPr>
        <w:t xml:space="preserve">רשב"א </w:t>
      </w:r>
      <w:r w:rsidR="00CD759E" w:rsidRPr="00CD759E">
        <w:rPr>
          <w:rFonts w:cs="Arial" w:hint="cs"/>
          <w:sz w:val="16"/>
          <w:szCs w:val="16"/>
          <w:rtl/>
        </w:rPr>
        <w:t>(</w:t>
      </w:r>
      <w:r w:rsidR="00803EE9">
        <w:rPr>
          <w:rFonts w:cs="Arial" w:hint="cs"/>
          <w:sz w:val="16"/>
          <w:szCs w:val="16"/>
          <w:rtl/>
        </w:rPr>
        <w:t>בשו"ת החדשות מכת"י סי' קעח-קעט</w:t>
      </w:r>
      <w:r w:rsidR="00CD759E" w:rsidRPr="00CD759E">
        <w:rPr>
          <w:rFonts w:cs="Arial" w:hint="cs"/>
          <w:sz w:val="16"/>
          <w:szCs w:val="16"/>
          <w:rtl/>
        </w:rPr>
        <w:t>)</w:t>
      </w:r>
      <w:r w:rsidR="00CD759E">
        <w:rPr>
          <w:rFonts w:cs="Arial" w:hint="cs"/>
          <w:rtl/>
        </w:rPr>
        <w:t>-</w:t>
      </w:r>
      <w:r w:rsidRPr="00CD759E">
        <w:rPr>
          <w:rFonts w:cs="Arial"/>
          <w:rtl/>
        </w:rPr>
        <w:t xml:space="preserve"> אשה שהניח</w:t>
      </w:r>
      <w:r w:rsidR="00803EE9">
        <w:rPr>
          <w:rFonts w:cs="Arial" w:hint="cs"/>
          <w:rtl/>
        </w:rPr>
        <w:t xml:space="preserve"> אותה</w:t>
      </w:r>
      <w:r w:rsidRPr="00CD759E">
        <w:rPr>
          <w:rFonts w:cs="Arial"/>
          <w:rtl/>
        </w:rPr>
        <w:t xml:space="preserve"> בעלה בבית אביו והלך חוץ לעיר</w:t>
      </w:r>
      <w:r w:rsidR="00803EE9">
        <w:rPr>
          <w:rFonts w:cs="Arial" w:hint="cs"/>
          <w:rtl/>
        </w:rPr>
        <w:t>,</w:t>
      </w:r>
      <w:r w:rsidRPr="00CD759E">
        <w:rPr>
          <w:rFonts w:cs="Arial"/>
          <w:rtl/>
        </w:rPr>
        <w:t xml:space="preserve"> וחלתה והלכה לבית אביה ולותה למזונותיה ולרפואתה </w:t>
      </w:r>
      <w:r w:rsidR="00803EE9">
        <w:rPr>
          <w:rFonts w:cs="Arial" w:hint="cs"/>
          <w:rtl/>
        </w:rPr>
        <w:t xml:space="preserve">- </w:t>
      </w:r>
      <w:r w:rsidRPr="00CD759E">
        <w:rPr>
          <w:rFonts w:cs="Arial"/>
          <w:rtl/>
        </w:rPr>
        <w:t>הדין עמה וכל שלותה לצורך מזונותיה ורפואתה בעוד שלא היה בעלה בעיר בודאי חייב הבעל לשלם מה שלותה</w:t>
      </w:r>
      <w:r w:rsidR="00803EE9">
        <w:rPr>
          <w:rFonts w:cs="Arial" w:hint="cs"/>
          <w:rtl/>
        </w:rPr>
        <w:t>,</w:t>
      </w:r>
      <w:r w:rsidRPr="00CD759E">
        <w:rPr>
          <w:rFonts w:cs="Arial"/>
          <w:rtl/>
        </w:rPr>
        <w:t xml:space="preserve"> ואפילו לחנן</w:t>
      </w:r>
      <w:r w:rsidR="00803EE9">
        <w:rPr>
          <w:rFonts w:cs="Arial" w:hint="cs"/>
          <w:rtl/>
        </w:rPr>
        <w:t>.</w:t>
      </w:r>
      <w:r w:rsidRPr="00CD759E">
        <w:rPr>
          <w:rFonts w:cs="Arial"/>
          <w:rtl/>
        </w:rPr>
        <w:t xml:space="preserve"> ואפילו לאחר שבא בעלה אם עדיין חולה ואינה זנה ומפרנסה ועמדה ולותה </w:t>
      </w:r>
      <w:r w:rsidR="00803EE9">
        <w:rPr>
          <w:rFonts w:cs="Arial" w:hint="cs"/>
          <w:rtl/>
        </w:rPr>
        <w:t xml:space="preserve">- </w:t>
      </w:r>
      <w:r w:rsidRPr="00CD759E">
        <w:rPr>
          <w:rFonts w:cs="Arial"/>
          <w:rtl/>
        </w:rPr>
        <w:t>חייב לפרוע מה שלותה בין למזונותיה בין לרפואתה הדומה למזונות דהיינו שאין לה קצבה</w:t>
      </w:r>
      <w:r w:rsidR="00803EE9">
        <w:rPr>
          <w:rFonts w:cs="Arial" w:hint="cs"/>
          <w:rtl/>
        </w:rPr>
        <w:t>.</w:t>
      </w:r>
      <w:r w:rsidRPr="00CD759E">
        <w:rPr>
          <w:rFonts w:cs="Arial"/>
          <w:rtl/>
        </w:rPr>
        <w:t xml:space="preserve"> ומה שטען שהוא לא שלחה מביתו</w:t>
      </w:r>
      <w:r w:rsidR="00803EE9">
        <w:rPr>
          <w:rFonts w:cs="Arial" w:hint="cs"/>
          <w:rtl/>
        </w:rPr>
        <w:t>,</w:t>
      </w:r>
      <w:r w:rsidRPr="00CD759E">
        <w:rPr>
          <w:rFonts w:cs="Arial"/>
          <w:rtl/>
        </w:rPr>
        <w:t xml:space="preserve"> אינה טענה</w:t>
      </w:r>
      <w:r w:rsidR="00803EE9">
        <w:rPr>
          <w:rFonts w:cs="Arial" w:hint="cs"/>
          <w:rtl/>
        </w:rPr>
        <w:t>,</w:t>
      </w:r>
      <w:r w:rsidRPr="00CD759E">
        <w:rPr>
          <w:rFonts w:cs="Arial"/>
          <w:rtl/>
        </w:rPr>
        <w:t xml:space="preserve"> שהרי הוצרכה לצאת אצל אביה שמשתדל ברפואתה</w:t>
      </w:r>
      <w:r w:rsidR="00803EE9">
        <w:rPr>
          <w:rFonts w:cs="Arial" w:hint="cs"/>
          <w:rtl/>
        </w:rPr>
        <w:t>.</w:t>
      </w:r>
      <w:r w:rsidRPr="00CD759E">
        <w:rPr>
          <w:rFonts w:cs="Arial"/>
          <w:rtl/>
        </w:rPr>
        <w:t xml:space="preserve"> ואפילו היה חמיה משתדל ברפאותה</w:t>
      </w:r>
      <w:r w:rsidR="00803EE9">
        <w:rPr>
          <w:rFonts w:cs="Arial" w:hint="cs"/>
          <w:rtl/>
        </w:rPr>
        <w:t>,</w:t>
      </w:r>
      <w:r w:rsidRPr="00CD759E">
        <w:rPr>
          <w:rFonts w:cs="Arial"/>
          <w:rtl/>
        </w:rPr>
        <w:t xml:space="preserve"> מה הנאה יש לראובן בין עומדת כאן בין עומדת כאן והיא אינה מורדת</w:t>
      </w:r>
      <w:r w:rsidR="00803EE9">
        <w:rPr>
          <w:rFonts w:cs="Arial" w:hint="cs"/>
          <w:rtl/>
        </w:rPr>
        <w:t>.</w:t>
      </w:r>
      <w:r w:rsidRPr="00CD759E">
        <w:rPr>
          <w:rFonts w:cs="Arial"/>
          <w:rtl/>
        </w:rPr>
        <w:t xml:space="preserve"> ואי משום מלאכה</w:t>
      </w:r>
      <w:r w:rsidR="00803EE9">
        <w:rPr>
          <w:rFonts w:cs="Arial" w:hint="cs"/>
          <w:rtl/>
        </w:rPr>
        <w:t>,</w:t>
      </w:r>
      <w:r w:rsidRPr="00CD759E">
        <w:rPr>
          <w:rFonts w:cs="Arial"/>
          <w:rtl/>
        </w:rPr>
        <w:t xml:space="preserve"> חולה לאו בת מלאכה היא</w:t>
      </w:r>
      <w:r w:rsidR="00803EE9">
        <w:rPr>
          <w:rFonts w:cs="Arial" w:hint="cs"/>
          <w:rtl/>
        </w:rPr>
        <w:t>.</w:t>
      </w:r>
      <w:r w:rsidRPr="00CD759E">
        <w:rPr>
          <w:rFonts w:cs="Arial"/>
          <w:rtl/>
        </w:rPr>
        <w:t xml:space="preserve"> אבל אם לאחר שבא ראובן ונתרפאת אף על פי שאינה מורדת מתשמיש אם אינה רוצה לשוב לו ולעשות לו דברים שהיא חייבת לעשות לבעלה</w:t>
      </w:r>
      <w:r w:rsidR="00803EE9">
        <w:rPr>
          <w:rFonts w:cs="Arial" w:hint="cs"/>
          <w:rtl/>
        </w:rPr>
        <w:t>,</w:t>
      </w:r>
      <w:r w:rsidRPr="00CD759E">
        <w:rPr>
          <w:rFonts w:cs="Arial"/>
          <w:rtl/>
        </w:rPr>
        <w:t xml:space="preserve"> ולפי מה שהיא אשה כי יש נשים שמכניסות לבעל שפחות ויש שאינן מכניסות וכפי מה שיש לו עליה מהמלאכות </w:t>
      </w:r>
      <w:r w:rsidRPr="00CD759E">
        <w:rPr>
          <w:rFonts w:cs="Arial"/>
          <w:rtl/>
        </w:rPr>
        <w:lastRenderedPageBreak/>
        <w:t>הקטנות כעושה מטתו ומרחצת פניו ידיו ורגליו</w:t>
      </w:r>
      <w:r w:rsidR="00803EE9">
        <w:rPr>
          <w:rFonts w:cs="Arial" w:hint="cs"/>
          <w:rtl/>
        </w:rPr>
        <w:t>,</w:t>
      </w:r>
      <w:r w:rsidRPr="00CD759E">
        <w:rPr>
          <w:rFonts w:cs="Arial"/>
          <w:rtl/>
        </w:rPr>
        <w:t xml:space="preserve"> מעכב מהמזונות כנגד שכר מי שישמשנו באותן מלאכות או שוכר עליה ממקום אחר</w:t>
      </w:r>
      <w:r w:rsidR="00803EE9">
        <w:rPr>
          <w:rFonts w:cs="Arial" w:hint="cs"/>
          <w:rtl/>
        </w:rPr>
        <w:t>,</w:t>
      </w:r>
      <w:r w:rsidRPr="00CD759E">
        <w:rPr>
          <w:rFonts w:cs="Arial"/>
          <w:rtl/>
        </w:rPr>
        <w:t xml:space="preserve"> הא יתר מכאן לא</w:t>
      </w:r>
      <w:r w:rsidR="00803EE9">
        <w:rPr>
          <w:rFonts w:cs="Arial" w:hint="cs"/>
          <w:rtl/>
        </w:rPr>
        <w:t>.</w:t>
      </w:r>
      <w:r w:rsidRPr="00CD759E">
        <w:rPr>
          <w:rFonts w:cs="Arial"/>
          <w:rtl/>
        </w:rPr>
        <w:t xml:space="preserve"> ואף על גב דקיימא לן כמאן דאמר מורדת מתשמיש ולא ממלאכה היינו דלא קנסינן בטרפעיקין</w:t>
      </w:r>
      <w:r w:rsidR="00803EE9">
        <w:rPr>
          <w:rFonts w:cs="Arial" w:hint="cs"/>
          <w:rtl/>
        </w:rPr>
        <w:t>,</w:t>
      </w:r>
      <w:r w:rsidRPr="00CD759E">
        <w:rPr>
          <w:rFonts w:cs="Arial"/>
          <w:rtl/>
        </w:rPr>
        <w:t xml:space="preserve"> אבל מסתברא שאם ירצה שוכר עליה מי שישמשנו</w:t>
      </w:r>
      <w:r w:rsidR="00803EE9">
        <w:rPr>
          <w:rFonts w:cs="Arial" w:hint="cs"/>
          <w:rtl/>
        </w:rPr>
        <w:t>.</w:t>
      </w:r>
      <w:r w:rsidRPr="00CD759E">
        <w:rPr>
          <w:rFonts w:cs="Arial"/>
          <w:rtl/>
        </w:rPr>
        <w:t xml:space="preserve"> ואף על פי שראיתי לראשונים ז"ל שאמרו שאין קונסין אותה בממון אלא שמשמתין אותה</w:t>
      </w:r>
      <w:r w:rsidR="00803EE9">
        <w:rPr>
          <w:rFonts w:cs="Arial" w:hint="cs"/>
          <w:rtl/>
        </w:rPr>
        <w:t>,</w:t>
      </w:r>
      <w:r w:rsidRPr="00CD759E">
        <w:rPr>
          <w:rFonts w:cs="Arial"/>
          <w:rtl/>
        </w:rPr>
        <w:t xml:space="preserve"> נראה בעיני שלא אמרו אלא שאין קונסין אותה בקנס השנוי במורדת אלא אם רצה לשכור מי שישמשנו עושה ואם אינו רוצה לשכור מנדין אותה עד שתשוב</w:t>
      </w:r>
      <w:r w:rsidR="00803EE9">
        <w:rPr>
          <w:rFonts w:cs="Arial" w:hint="cs"/>
          <w:rtl/>
        </w:rPr>
        <w:t>.</w:t>
      </w:r>
      <w:r w:rsidRPr="00CD759E">
        <w:rPr>
          <w:rFonts w:cs="Arial"/>
          <w:rtl/>
        </w:rPr>
        <w:t xml:space="preserve"> ואם אינה רוצה לעשות וליתן לבעלה מעשה ידיה אין לה מזונות</w:t>
      </w:r>
      <w:r w:rsidR="00803EE9">
        <w:rPr>
          <w:rFonts w:cs="Arial" w:hint="cs"/>
          <w:rtl/>
        </w:rPr>
        <w:t>,</w:t>
      </w:r>
      <w:r w:rsidRPr="00CD759E">
        <w:rPr>
          <w:rFonts w:cs="Arial"/>
          <w:rtl/>
        </w:rPr>
        <w:t xml:space="preserve"> ואף על פי שהמזונות עיקר כבר תקנו לבעל מעשה ידיה תחת מזונות</w:t>
      </w:r>
      <w:r w:rsidR="00803EE9">
        <w:rPr>
          <w:rFonts w:cs="Arial" w:hint="cs"/>
          <w:rtl/>
        </w:rPr>
        <w:t>.</w:t>
      </w:r>
      <w:r w:rsidRPr="00CD759E">
        <w:rPr>
          <w:rFonts w:cs="Arial"/>
          <w:rtl/>
        </w:rPr>
        <w:t xml:space="preserve"> ואם היא אינה רוצה לעשות תפסיד מזונות</w:t>
      </w:r>
      <w:r w:rsidR="00803EE9">
        <w:rPr>
          <w:rFonts w:cs="Arial" w:hint="cs"/>
          <w:rtl/>
        </w:rPr>
        <w:t>,</w:t>
      </w:r>
      <w:r w:rsidRPr="00CD759E">
        <w:rPr>
          <w:rFonts w:cs="Arial"/>
          <w:rtl/>
        </w:rPr>
        <w:t xml:space="preserve"> שאין לך נזונת ואומרת איני עושה</w:t>
      </w:r>
      <w:r w:rsidR="00803EE9">
        <w:rPr>
          <w:rFonts w:cs="Arial" w:hint="cs"/>
          <w:rtl/>
        </w:rPr>
        <w:t>.</w:t>
      </w:r>
      <w:r w:rsidRPr="00CD759E">
        <w:rPr>
          <w:rFonts w:cs="Arial"/>
          <w:rtl/>
        </w:rPr>
        <w:t xml:space="preserve"> ואפילו עושה ואינה משמשת באותן מלאכות קטנות השנויות במשנתינו (נט:) והוא צריך לשכור מי שישמשנו בהם</w:t>
      </w:r>
      <w:r w:rsidR="00803EE9">
        <w:rPr>
          <w:rFonts w:cs="Arial" w:hint="cs"/>
          <w:rtl/>
        </w:rPr>
        <w:t>,</w:t>
      </w:r>
      <w:r w:rsidRPr="00CD759E">
        <w:rPr>
          <w:rFonts w:cs="Arial"/>
          <w:rtl/>
        </w:rPr>
        <w:t xml:space="preserve"> שוכר עליה כמו שאמר</w:t>
      </w:r>
      <w:r w:rsidR="00803EE9">
        <w:rPr>
          <w:rFonts w:cs="Arial" w:hint="cs"/>
          <w:rtl/>
        </w:rPr>
        <w:t>,</w:t>
      </w:r>
      <w:r w:rsidRPr="00CD759E">
        <w:rPr>
          <w:rFonts w:cs="Arial"/>
          <w:rtl/>
        </w:rPr>
        <w:t xml:space="preserve"> אבל תפסיד מזונותיה לא. ולפי שלא נתבאר לי מלשון השאלה מה שהיא טוענת שתשוב לבית בעלה אם יביאה אל ביתו ויפרע מה שלותה</w:t>
      </w:r>
      <w:r w:rsidR="00803EE9">
        <w:rPr>
          <w:rFonts w:cs="Arial" w:hint="cs"/>
          <w:rtl/>
        </w:rPr>
        <w:t>,</w:t>
      </w:r>
      <w:r w:rsidRPr="00CD759E">
        <w:rPr>
          <w:rFonts w:cs="Arial"/>
          <w:rtl/>
        </w:rPr>
        <w:t xml:space="preserve"> ונסתפקתי אם היא מתעכבת בלבד מחמת שהוא אינו קורא לה</w:t>
      </w:r>
      <w:r w:rsidR="00803EE9">
        <w:rPr>
          <w:rFonts w:cs="Arial" w:hint="cs"/>
          <w:rtl/>
        </w:rPr>
        <w:t>,</w:t>
      </w:r>
      <w:r w:rsidRPr="00CD759E">
        <w:rPr>
          <w:rFonts w:cs="Arial"/>
          <w:rtl/>
        </w:rPr>
        <w:t xml:space="preserve"> או שאינה רוצה לשוב אליו עד שיפרע מה שלותה ואחר כך יביאנה ואז תשוב אליו. על כן אני אומר שאם מחמת שהוא אינו רוצה להביאה ולקרוא לה</w:t>
      </w:r>
      <w:r w:rsidR="00803EE9">
        <w:rPr>
          <w:rFonts w:cs="Arial" w:hint="cs"/>
          <w:rtl/>
        </w:rPr>
        <w:t>,</w:t>
      </w:r>
      <w:r w:rsidRPr="00CD759E">
        <w:rPr>
          <w:rFonts w:cs="Arial"/>
          <w:rtl/>
        </w:rPr>
        <w:t xml:space="preserve"> מסתברא שאינה מפסדת על זה כלום לפי שהוא אינו רוצה בשימושה כי שמא בושה ממנו אחר שלא הראה לה פנים בעוד שהיתה חולה ואחר שנתרפאת מפני שיצאה שלא ברשות ואין כאן מרד כלל לא מתשמיש ולא ממלאכה</w:t>
      </w:r>
      <w:r w:rsidR="00803EE9">
        <w:rPr>
          <w:rFonts w:cs="Arial" w:hint="cs"/>
          <w:rtl/>
        </w:rPr>
        <w:t>.</w:t>
      </w:r>
      <w:r w:rsidRPr="00CD759E">
        <w:rPr>
          <w:rFonts w:cs="Arial"/>
          <w:rtl/>
        </w:rPr>
        <w:t xml:space="preserve"> ועוד שאם יבוא הוא אצלה אינה מונעתו מכלום</w:t>
      </w:r>
      <w:r w:rsidR="00803EE9">
        <w:rPr>
          <w:rFonts w:cs="Arial" w:hint="cs"/>
          <w:rtl/>
        </w:rPr>
        <w:t>.</w:t>
      </w:r>
      <w:r w:rsidRPr="00CD759E">
        <w:rPr>
          <w:rFonts w:cs="Arial"/>
          <w:rtl/>
        </w:rPr>
        <w:t xml:space="preserve"> אבל אם היא מעכבת אף מחמת פרעון מה שלותה בזה יראה שאינו חייב לזונה דקרוב הוא בעיני לומר שזה אחד מדרכי המורדת באומרת בעינא ליה ומצערנא ליה דכל האומרת כך טענה יש לה על הצער שהיא רוצה לצערו וגם זו עילה מצאה לצערו ותולה בפרעון מה שלותה וכל זה שאבדה מזונות במרדה זהו לדעת הר"מ ז"ל והרי"ף ז"ל אבל מעיקר הגמרא אינו נראה כן שלא נראה כן בגמרא בשום מקום ואין במורדת אלא פחת כתובה בלבד ומזונות ומעשה ידיה שהם זה כנגד זה שאם אמרה איני עושה אינה נזונת ומדרבנן. ומכל מקום הטענה שתלה עצמו עליה מי שאומר שהדין עמה שכל שלא הפסידה כתובה לא הפסידה מזונות וכדמשמע בפרק יש מותרות </w:t>
      </w:r>
      <w:r w:rsidR="00017A8F">
        <w:rPr>
          <w:rFonts w:cs="Arial" w:hint="cs"/>
          <w:rtl/>
        </w:rPr>
        <w:t xml:space="preserve">- </w:t>
      </w:r>
      <w:r w:rsidRPr="00CD759E">
        <w:rPr>
          <w:rFonts w:cs="Arial"/>
          <w:rtl/>
        </w:rPr>
        <w:t>לא דק</w:t>
      </w:r>
      <w:r w:rsidR="00017A8F">
        <w:rPr>
          <w:rFonts w:cs="Arial" w:hint="cs"/>
          <w:rtl/>
        </w:rPr>
        <w:t>,</w:t>
      </w:r>
      <w:r w:rsidRPr="00CD759E">
        <w:rPr>
          <w:rFonts w:cs="Arial"/>
          <w:rtl/>
        </w:rPr>
        <w:t xml:space="preserve"> דלא אמרו שם אלא בפסולות אבל בכשרות יש אומרת איני נזונת ואיני עושה שיש לה כתובה ואין לה מזונות ומוחלת כתובה לבעלה שיש לה מזונות בחייו ואין לה כתובה עד שיחזור ויכתוב לה. ולענין מה שאמרת אם צריכה להראות כתובתה לפני בית דין כשתובעת מזונות אלו מבעלה מסתברא שאינה צריכה להראות שהרי יושבת תחת בעלה וחזקה של זו שיש לה כתובה ומזונות עד שיטעון הבעל בריא שמכרה או מחלה לו כתובתה ולא עוד אלא אפילו מכרה או מחלה כתובתה לבעלה יש לה מזונות בחייו דעד כאן לא אמרו (נג.) המוחלת כתובתה לבעלה אין לה מזונות אלא מזונות שלאחר מיתה ומן היתומים לפי שהם מתנאי כתובה אבל מן הבעל אית לה שאין מזונות אלו מתנאי כתובה אלא מדאורייתא</w:t>
      </w:r>
      <w:r w:rsidR="00DA2C7B">
        <w:rPr>
          <w:rFonts w:cs="Arial" w:hint="cs"/>
          <w:rtl/>
        </w:rPr>
        <w:t>,</w:t>
      </w:r>
      <w:r w:rsidRPr="00CD759E">
        <w:rPr>
          <w:rFonts w:cs="Arial"/>
          <w:rtl/>
        </w:rPr>
        <w:t xml:space="preserve"> ואף רש"י כן פירש (נג. ד"ה אין)</w:t>
      </w:r>
      <w:r w:rsidR="00DA2C7B">
        <w:rPr>
          <w:rFonts w:cs="Arial" w:hint="cs"/>
          <w:rtl/>
        </w:rPr>
        <w:t>,</w:t>
      </w:r>
      <w:r w:rsidRPr="00CD759E">
        <w:rPr>
          <w:rFonts w:cs="Arial"/>
          <w:rtl/>
        </w:rPr>
        <w:t xml:space="preserve"> לפיכך עד שיביא הבעל ראיה שמחלה לו המזונות בפירוש חייב ואפילו במזונות שעברו אם לא טען בבריא אין טוענין לו ואפילו טען הוא חייב שבועת היסת דלא גרע ממלוה על פה וכופר בכל דמחייב מדרב נחמן (שבועות מ:) וכל שכן במזונות העתידין שאינו נאמן עד שיביא ראיה והיינו נמי טעמיה דרב דאמר בפרק שני דייני גזירות (קז.) פוסקין מזונות לאשת איש משום דאפילו אתי בעל ואמר התפסתיה צררי למזונות העתידים אינו נאמן דאם כן אין לך אשה נזונת משל בעלה ולא מן היתומים ואף הרי"ף כתב כן בתשובה שהבעל שאמר לאשה התפסתיך צררי אי נמי את מחלת לי מזוני אינו נאמן והיא נאמנת בלא שבועה</w:t>
      </w:r>
      <w:r w:rsidR="00CD759E">
        <w:rPr>
          <w:rStyle w:val="a7"/>
          <w:rFonts w:cs="Arial"/>
          <w:rtl/>
        </w:rPr>
        <w:footnoteReference w:id="577"/>
      </w:r>
      <w:r w:rsidR="00CD759E">
        <w:rPr>
          <w:rFonts w:cs="Arial" w:hint="cs"/>
          <w:rtl/>
        </w:rPr>
        <w:t>.</w:t>
      </w:r>
      <w:r w:rsidRPr="00CD759E">
        <w:rPr>
          <w:rFonts w:cs="Arial"/>
          <w:rtl/>
        </w:rPr>
        <w:t xml:space="preserve"> </w:t>
      </w:r>
    </w:p>
    <w:p w14:paraId="16ED3E1A" w14:textId="6F8D4C77" w:rsidR="006F6BB1" w:rsidRPr="006F6BB1" w:rsidRDefault="006F6BB1" w:rsidP="006F6BB1">
      <w:pPr>
        <w:rPr>
          <w:rFonts w:cs="Arial"/>
          <w:u w:val="single"/>
        </w:rPr>
      </w:pPr>
      <w:r w:rsidRPr="006F6BB1">
        <w:rPr>
          <w:rFonts w:cs="Arial" w:hint="cs"/>
          <w:u w:val="single"/>
          <w:rtl/>
        </w:rPr>
        <w:t>אשה שמרדה בבעלה וחלתה אח"כ:</w:t>
      </w:r>
    </w:p>
    <w:p w14:paraId="0B9D774C" w14:textId="5463F791" w:rsidR="006F6BB1" w:rsidRDefault="00A74C2B" w:rsidP="009000E3">
      <w:pPr>
        <w:pStyle w:val="ab"/>
        <w:numPr>
          <w:ilvl w:val="0"/>
          <w:numId w:val="27"/>
        </w:numPr>
        <w:rPr>
          <w:rFonts w:cs="Arial"/>
        </w:rPr>
      </w:pPr>
      <w:r w:rsidRPr="006F6BB1">
        <w:rPr>
          <w:rFonts w:cs="Arial"/>
          <w:rtl/>
        </w:rPr>
        <w:t>מרדכי</w:t>
      </w:r>
      <w:r w:rsidRPr="006F6BB1">
        <w:rPr>
          <w:rFonts w:cs="Arial"/>
          <w:sz w:val="16"/>
          <w:szCs w:val="16"/>
          <w:rtl/>
        </w:rPr>
        <w:t xml:space="preserve"> </w:t>
      </w:r>
      <w:r w:rsidR="006F6BB1" w:rsidRPr="006F6BB1">
        <w:rPr>
          <w:rFonts w:cs="Arial" w:hint="cs"/>
          <w:sz w:val="16"/>
          <w:szCs w:val="16"/>
          <w:rtl/>
        </w:rPr>
        <w:t>(</w:t>
      </w:r>
      <w:r w:rsidRPr="006F6BB1">
        <w:rPr>
          <w:rFonts w:cs="Arial"/>
          <w:sz w:val="16"/>
          <w:szCs w:val="16"/>
          <w:rtl/>
        </w:rPr>
        <w:t>פ</w:t>
      </w:r>
      <w:r w:rsidR="006F6BB1" w:rsidRPr="006F6BB1">
        <w:rPr>
          <w:rFonts w:cs="Arial" w:hint="cs"/>
          <w:sz w:val="16"/>
          <w:szCs w:val="16"/>
          <w:rtl/>
        </w:rPr>
        <w:t>'</w:t>
      </w:r>
      <w:r w:rsidRPr="006F6BB1">
        <w:rPr>
          <w:rFonts w:cs="Arial"/>
          <w:sz w:val="16"/>
          <w:szCs w:val="16"/>
          <w:rtl/>
        </w:rPr>
        <w:t xml:space="preserve"> אף על פי סי' קפד)</w:t>
      </w:r>
      <w:r w:rsidRPr="006F6BB1">
        <w:rPr>
          <w:rFonts w:cs="Arial"/>
          <w:rtl/>
        </w:rPr>
        <w:t xml:space="preserve"> </w:t>
      </w:r>
      <w:r w:rsidR="006F6BB1" w:rsidRPr="006F6BB1">
        <w:rPr>
          <w:rFonts w:cs="Arial" w:hint="cs"/>
          <w:rtl/>
        </w:rPr>
        <w:t>בשם</w:t>
      </w:r>
      <w:r w:rsidRPr="006F6BB1">
        <w:rPr>
          <w:rFonts w:cs="Arial"/>
          <w:rtl/>
        </w:rPr>
        <w:t xml:space="preserve"> ראבי"ה</w:t>
      </w:r>
      <w:r w:rsidR="006F6BB1" w:rsidRPr="006F6BB1">
        <w:rPr>
          <w:rFonts w:cs="Arial" w:hint="cs"/>
          <w:rtl/>
        </w:rPr>
        <w:t>-</w:t>
      </w:r>
      <w:r w:rsidRPr="006F6BB1">
        <w:rPr>
          <w:rFonts w:cs="Arial"/>
          <w:rtl/>
        </w:rPr>
        <w:t xml:space="preserve"> אשה המורדת על בעלה ושוב חלתה</w:t>
      </w:r>
      <w:r w:rsidR="00D013B6">
        <w:rPr>
          <w:rFonts w:cs="Arial" w:hint="cs"/>
          <w:rtl/>
        </w:rPr>
        <w:t>,</w:t>
      </w:r>
      <w:r w:rsidRPr="006F6BB1">
        <w:rPr>
          <w:rFonts w:cs="Arial"/>
          <w:rtl/>
        </w:rPr>
        <w:t xml:space="preserve"> אע</w:t>
      </w:r>
      <w:r w:rsidR="00D41D59">
        <w:rPr>
          <w:rFonts w:cs="Arial" w:hint="cs"/>
          <w:rtl/>
        </w:rPr>
        <w:t>"</w:t>
      </w:r>
      <w:r w:rsidRPr="006F6BB1">
        <w:rPr>
          <w:rFonts w:cs="Arial"/>
          <w:rtl/>
        </w:rPr>
        <w:t>פ שמאותו חולי אינה ש</w:t>
      </w:r>
      <w:r w:rsidR="00D41D59">
        <w:rPr>
          <w:rFonts w:cs="Arial" w:hint="cs"/>
          <w:rtl/>
        </w:rPr>
        <w:t>ב</w:t>
      </w:r>
      <w:r w:rsidRPr="006F6BB1">
        <w:rPr>
          <w:rFonts w:cs="Arial"/>
          <w:rtl/>
        </w:rPr>
        <w:t xml:space="preserve">ה לבעלה </w:t>
      </w:r>
      <w:r w:rsidR="00D013B6">
        <w:rPr>
          <w:rFonts w:cs="Arial" w:hint="cs"/>
          <w:rtl/>
        </w:rPr>
        <w:t xml:space="preserve">- </w:t>
      </w:r>
      <w:r w:rsidRPr="006F6BB1">
        <w:rPr>
          <w:rFonts w:cs="Arial"/>
          <w:rtl/>
        </w:rPr>
        <w:t>אפילו הכי איבדה מזונותיה</w:t>
      </w:r>
      <w:r w:rsidR="00D013B6">
        <w:rPr>
          <w:rFonts w:cs="Arial" w:hint="cs"/>
          <w:rtl/>
        </w:rPr>
        <w:t>,</w:t>
      </w:r>
      <w:r w:rsidRPr="006F6BB1">
        <w:rPr>
          <w:rFonts w:cs="Arial"/>
          <w:rtl/>
        </w:rPr>
        <w:t xml:space="preserve"> וראיה מירושלמי דקידושין (פ"א ה"ב) דפסק דגבי עבד עברי דברח ואחר כך חלה מדמה ליה התם למורדת. </w:t>
      </w:r>
    </w:p>
    <w:p w14:paraId="31138C82" w14:textId="34EE7B1C" w:rsidR="006F6BB1" w:rsidRPr="006F6BB1" w:rsidRDefault="006F6BB1" w:rsidP="006F6BB1">
      <w:pPr>
        <w:rPr>
          <w:rFonts w:cs="Arial"/>
          <w:u w:val="single"/>
        </w:rPr>
      </w:pPr>
      <w:r w:rsidRPr="006F6BB1">
        <w:rPr>
          <w:rFonts w:cs="Arial" w:hint="cs"/>
          <w:u w:val="single"/>
          <w:rtl/>
        </w:rPr>
        <w:t xml:space="preserve">מי שהתרצה להנשא לחולה </w:t>
      </w:r>
      <w:r w:rsidR="00F97626">
        <w:rPr>
          <w:rFonts w:cs="Arial"/>
          <w:u w:val="single"/>
          <w:rtl/>
        </w:rPr>
        <w:t>-</w:t>
      </w:r>
      <w:r w:rsidRPr="006F6BB1">
        <w:rPr>
          <w:rFonts w:cs="Arial" w:hint="cs"/>
          <w:u w:val="single"/>
          <w:rtl/>
        </w:rPr>
        <w:t xml:space="preserve"> ואינה רוצה לטבול מחמת חוליה:</w:t>
      </w:r>
    </w:p>
    <w:p w14:paraId="56991932" w14:textId="762A1E6A" w:rsidR="00A74C2B" w:rsidRDefault="006F6BB1" w:rsidP="009000E3">
      <w:pPr>
        <w:pStyle w:val="ab"/>
        <w:numPr>
          <w:ilvl w:val="0"/>
          <w:numId w:val="27"/>
        </w:numPr>
        <w:rPr>
          <w:rFonts w:cs="Arial"/>
        </w:rPr>
      </w:pPr>
      <w:r w:rsidRPr="006F6BB1">
        <w:rPr>
          <w:rFonts w:cs="Arial"/>
          <w:rtl/>
        </w:rPr>
        <w:t>מרדכי</w:t>
      </w:r>
      <w:r w:rsidRPr="006F6BB1">
        <w:rPr>
          <w:rFonts w:cs="Arial"/>
          <w:sz w:val="16"/>
          <w:szCs w:val="16"/>
          <w:rtl/>
        </w:rPr>
        <w:t xml:space="preserve"> </w:t>
      </w:r>
      <w:r w:rsidRPr="006F6BB1">
        <w:rPr>
          <w:rFonts w:cs="Arial" w:hint="cs"/>
          <w:sz w:val="16"/>
          <w:szCs w:val="16"/>
          <w:rtl/>
        </w:rPr>
        <w:t>(</w:t>
      </w:r>
      <w:r w:rsidRPr="006F6BB1">
        <w:rPr>
          <w:rFonts w:cs="Arial"/>
          <w:sz w:val="16"/>
          <w:szCs w:val="16"/>
          <w:rtl/>
        </w:rPr>
        <w:t>פ</w:t>
      </w:r>
      <w:r w:rsidRPr="006F6BB1">
        <w:rPr>
          <w:rFonts w:cs="Arial" w:hint="cs"/>
          <w:sz w:val="16"/>
          <w:szCs w:val="16"/>
          <w:rtl/>
        </w:rPr>
        <w:t>'</w:t>
      </w:r>
      <w:r w:rsidRPr="006F6BB1">
        <w:rPr>
          <w:rFonts w:cs="Arial"/>
          <w:sz w:val="16"/>
          <w:szCs w:val="16"/>
          <w:rtl/>
        </w:rPr>
        <w:t xml:space="preserve"> אף על פי סי' קפד)</w:t>
      </w:r>
      <w:r w:rsidRPr="006F6BB1">
        <w:rPr>
          <w:rFonts w:cs="Arial"/>
          <w:rtl/>
        </w:rPr>
        <w:t xml:space="preserve"> </w:t>
      </w:r>
      <w:r w:rsidRPr="006F6BB1">
        <w:rPr>
          <w:rFonts w:cs="Arial" w:hint="cs"/>
          <w:rtl/>
        </w:rPr>
        <w:t>בשם</w:t>
      </w:r>
      <w:r w:rsidRPr="006F6BB1">
        <w:rPr>
          <w:rFonts w:cs="Arial"/>
          <w:rtl/>
        </w:rPr>
        <w:t xml:space="preserve"> </w:t>
      </w:r>
      <w:r w:rsidRPr="006F6BB1">
        <w:rPr>
          <w:rFonts w:cs="Arial" w:hint="cs"/>
          <w:rtl/>
        </w:rPr>
        <w:t>מהר"ם-</w:t>
      </w:r>
      <w:r w:rsidRPr="006F6BB1">
        <w:rPr>
          <w:rFonts w:cs="Arial"/>
          <w:rtl/>
        </w:rPr>
        <w:t xml:space="preserve"> </w:t>
      </w:r>
      <w:r w:rsidRPr="006F6BB1">
        <w:rPr>
          <w:rFonts w:cs="Arial" w:hint="cs"/>
          <w:rtl/>
        </w:rPr>
        <w:t xml:space="preserve">על </w:t>
      </w:r>
      <w:r w:rsidR="00A74C2B" w:rsidRPr="006F6BB1">
        <w:rPr>
          <w:rFonts w:cs="Arial"/>
          <w:rtl/>
        </w:rPr>
        <w:t>ראובן שאמר לחמיו תן לי זוגתי אם חולה היא אעפ</w:t>
      </w:r>
      <w:r w:rsidR="00D013B6">
        <w:rPr>
          <w:rFonts w:cs="Arial" w:hint="cs"/>
          <w:rtl/>
        </w:rPr>
        <w:t>"</w:t>
      </w:r>
      <w:r w:rsidR="00A74C2B" w:rsidRPr="006F6BB1">
        <w:rPr>
          <w:rFonts w:cs="Arial"/>
          <w:rtl/>
        </w:rPr>
        <w:t>כ יש לה לטבול ואם אינה רוצה לטבול ולשמש הויא מורדת</w:t>
      </w:r>
      <w:r w:rsidR="009A40C2" w:rsidRPr="006F6BB1">
        <w:rPr>
          <w:rFonts w:cs="Arial" w:hint="cs"/>
          <w:rtl/>
        </w:rPr>
        <w:t>.</w:t>
      </w:r>
    </w:p>
    <w:p w14:paraId="5656C688" w14:textId="44F8E323" w:rsidR="007D5147" w:rsidRPr="007F1F00" w:rsidRDefault="007F1F00" w:rsidP="007D5147">
      <w:pPr>
        <w:rPr>
          <w:rFonts w:cs="Arial"/>
          <w:u w:val="single"/>
          <w:rtl/>
        </w:rPr>
      </w:pPr>
      <w:r w:rsidRPr="007F1F00">
        <w:rPr>
          <w:rFonts w:cs="Arial" w:hint="cs"/>
          <w:u w:val="single"/>
          <w:rtl/>
        </w:rPr>
        <w:t>מורדת תבע</w:t>
      </w:r>
      <w:r>
        <w:rPr>
          <w:rFonts w:cs="Arial" w:hint="cs"/>
          <w:u w:val="single"/>
          <w:rtl/>
        </w:rPr>
        <w:t>ה</w:t>
      </w:r>
      <w:r w:rsidRPr="007F1F00">
        <w:rPr>
          <w:rFonts w:cs="Arial" w:hint="cs"/>
          <w:u w:val="single"/>
          <w:rtl/>
        </w:rPr>
        <w:t xml:space="preserve"> גט ע"פ מנהג מקומם, ואמר לה בעלה הביאי כתובתיך ו</w:t>
      </w:r>
      <w:r>
        <w:rPr>
          <w:rFonts w:cs="Arial" w:hint="cs"/>
          <w:u w:val="single"/>
          <w:rtl/>
        </w:rPr>
        <w:t>אעשה כ</w:t>
      </w:r>
      <w:r w:rsidRPr="007F1F00">
        <w:rPr>
          <w:rFonts w:cs="Arial" w:hint="cs"/>
          <w:u w:val="single"/>
          <w:rtl/>
        </w:rPr>
        <w:t>פס</w:t>
      </w:r>
      <w:r>
        <w:rPr>
          <w:rFonts w:cs="Arial" w:hint="cs"/>
          <w:u w:val="single"/>
          <w:rtl/>
        </w:rPr>
        <w:t>י</w:t>
      </w:r>
      <w:r w:rsidRPr="007F1F00">
        <w:rPr>
          <w:rFonts w:cs="Arial" w:hint="cs"/>
          <w:u w:val="single"/>
          <w:rtl/>
        </w:rPr>
        <w:t>ק</w:t>
      </w:r>
      <w:r>
        <w:rPr>
          <w:rFonts w:cs="Arial" w:hint="cs"/>
          <w:u w:val="single"/>
          <w:rtl/>
        </w:rPr>
        <w:t>ת</w:t>
      </w:r>
      <w:r w:rsidRPr="007F1F00">
        <w:rPr>
          <w:rFonts w:cs="Arial" w:hint="cs"/>
          <w:u w:val="single"/>
          <w:rtl/>
        </w:rPr>
        <w:t xml:space="preserve"> ב"ד</w:t>
      </w:r>
      <w:r>
        <w:rPr>
          <w:rFonts w:cs="Arial" w:hint="cs"/>
          <w:u w:val="single"/>
          <w:rtl/>
        </w:rPr>
        <w:t xml:space="preserve"> </w:t>
      </w:r>
      <w:r w:rsidR="00F97626">
        <w:rPr>
          <w:rFonts w:cs="Arial"/>
          <w:u w:val="single"/>
          <w:rtl/>
        </w:rPr>
        <w:t>-</w:t>
      </w:r>
      <w:r w:rsidRPr="007F1F00">
        <w:rPr>
          <w:rFonts w:cs="Arial" w:hint="cs"/>
          <w:u w:val="single"/>
          <w:rtl/>
        </w:rPr>
        <w:t xml:space="preserve"> והיא רוצה </w:t>
      </w:r>
      <w:r>
        <w:rPr>
          <w:rFonts w:cs="Arial" w:hint="cs"/>
          <w:u w:val="single"/>
          <w:rtl/>
        </w:rPr>
        <w:t xml:space="preserve">עכשיו </w:t>
      </w:r>
      <w:r w:rsidRPr="007F1F00">
        <w:rPr>
          <w:rFonts w:cs="Arial" w:hint="cs"/>
          <w:u w:val="single"/>
          <w:rtl/>
        </w:rPr>
        <w:t>רק גט:</w:t>
      </w:r>
    </w:p>
    <w:p w14:paraId="50994146" w14:textId="6734734C" w:rsidR="007D5147" w:rsidRDefault="007D5147" w:rsidP="009000E3">
      <w:pPr>
        <w:pStyle w:val="ab"/>
        <w:numPr>
          <w:ilvl w:val="0"/>
          <w:numId w:val="27"/>
        </w:numPr>
      </w:pPr>
      <w:r w:rsidRPr="006F6BB1">
        <w:rPr>
          <w:rFonts w:cs="Arial"/>
          <w:rtl/>
        </w:rPr>
        <w:t xml:space="preserve">רשב"א </w:t>
      </w:r>
      <w:r w:rsidR="007F1F00">
        <w:rPr>
          <w:rFonts w:cs="Arial" w:hint="cs"/>
          <w:rtl/>
        </w:rPr>
        <w:t xml:space="preserve">- </w:t>
      </w:r>
      <w:r w:rsidRPr="006F6BB1">
        <w:rPr>
          <w:rFonts w:cs="Arial"/>
          <w:rtl/>
        </w:rPr>
        <w:t>ש</w:t>
      </w:r>
      <w:r w:rsidR="007F1F00">
        <w:rPr>
          <w:rFonts w:cs="Arial" w:hint="cs"/>
          <w:rtl/>
        </w:rPr>
        <w:t>אלת</w:t>
      </w:r>
      <w:r w:rsidRPr="006F6BB1">
        <w:rPr>
          <w:rFonts w:cs="Arial"/>
          <w:rtl/>
        </w:rPr>
        <w:t xml:space="preserve"> על מורדת התובעת גט לפי מנהג מקומם ואמר לה הבא כתובתיך ומה שידינו בית דין על פי התקנה או על פי התלמוד אפרע לך מיד שאין אני מוצא קונה לנכסי בעוד ששטר כתובתיך קיים</w:t>
      </w:r>
      <w:r w:rsidR="003B712B">
        <w:rPr>
          <w:rFonts w:cs="Arial" w:hint="cs"/>
          <w:rtl/>
        </w:rPr>
        <w:t>,</w:t>
      </w:r>
      <w:r w:rsidRPr="006F6BB1">
        <w:rPr>
          <w:rFonts w:cs="Arial"/>
          <w:rtl/>
        </w:rPr>
        <w:t xml:space="preserve"> והיא אומרת איני רוצה לתבוע חובי עכשיו ואיני תובעת אלא גט </w:t>
      </w:r>
      <w:r w:rsidR="007F1F00">
        <w:rPr>
          <w:rFonts w:cs="Arial" w:hint="cs"/>
          <w:rtl/>
        </w:rPr>
        <w:t xml:space="preserve">- </w:t>
      </w:r>
      <w:r w:rsidRPr="006F6BB1">
        <w:rPr>
          <w:rFonts w:cs="Arial"/>
          <w:rtl/>
        </w:rPr>
        <w:t>הדין עם הבעל</w:t>
      </w:r>
      <w:r w:rsidR="007F1F00">
        <w:rPr>
          <w:rFonts w:cs="Arial" w:hint="cs"/>
          <w:rtl/>
        </w:rPr>
        <w:t>.</w:t>
      </w:r>
    </w:p>
    <w:p w14:paraId="2868D44C" w14:textId="7A36E97A" w:rsidR="001806F1" w:rsidRPr="001806F1" w:rsidRDefault="001806F1" w:rsidP="00A74C2B">
      <w:pPr>
        <w:rPr>
          <w:rFonts w:cs="Arial"/>
          <w:u w:val="single"/>
          <w:rtl/>
        </w:rPr>
      </w:pPr>
      <w:r w:rsidRPr="001806F1">
        <w:rPr>
          <w:rFonts w:cs="Arial" w:hint="cs"/>
          <w:u w:val="single"/>
          <w:rtl/>
        </w:rPr>
        <w:t>ארוסה שאומרת שהארוס שלה מורד:</w:t>
      </w:r>
    </w:p>
    <w:p w14:paraId="2C9B6E9B" w14:textId="3C001343" w:rsidR="00331055" w:rsidRPr="00331055" w:rsidRDefault="001806F1" w:rsidP="009000E3">
      <w:pPr>
        <w:pStyle w:val="ab"/>
        <w:numPr>
          <w:ilvl w:val="0"/>
          <w:numId w:val="30"/>
        </w:numPr>
      </w:pPr>
      <w:r w:rsidRPr="001806F1">
        <w:rPr>
          <w:rFonts w:cs="Arial" w:hint="cs"/>
          <w:rtl/>
        </w:rPr>
        <w:lastRenderedPageBreak/>
        <w:t xml:space="preserve">רי"ו </w:t>
      </w:r>
      <w:r w:rsidRPr="001806F1">
        <w:rPr>
          <w:rFonts w:cs="Arial" w:hint="cs"/>
          <w:sz w:val="16"/>
          <w:szCs w:val="16"/>
          <w:rtl/>
        </w:rPr>
        <w:t>(</w:t>
      </w:r>
      <w:r w:rsidR="00A74C2B" w:rsidRPr="001806F1">
        <w:rPr>
          <w:rFonts w:cs="Arial"/>
          <w:sz w:val="16"/>
          <w:szCs w:val="16"/>
          <w:rtl/>
        </w:rPr>
        <w:t>מישרים נכ"ג ח"ח סא ע"א)</w:t>
      </w:r>
      <w:r w:rsidRPr="001806F1">
        <w:rPr>
          <w:rFonts w:cs="Arial" w:hint="cs"/>
          <w:rtl/>
        </w:rPr>
        <w:t>-</w:t>
      </w:r>
      <w:r w:rsidR="00A74C2B" w:rsidRPr="001806F1">
        <w:rPr>
          <w:rFonts w:cs="Arial"/>
          <w:rtl/>
        </w:rPr>
        <w:t xml:space="preserve"> כותבין אגרת מרד לארוסה על הארוס אם אינו רוצה לישא אחר שהגיע הזמן</w:t>
      </w:r>
      <w:r w:rsidR="00CA66EF">
        <w:rPr>
          <w:rFonts w:cs="Arial" w:hint="cs"/>
          <w:rtl/>
        </w:rPr>
        <w:t>,</w:t>
      </w:r>
      <w:r w:rsidR="00A74C2B" w:rsidRPr="001806F1">
        <w:rPr>
          <w:rFonts w:cs="Arial"/>
          <w:rtl/>
        </w:rPr>
        <w:t xml:space="preserve"> ודוקא בבאה מחמת טענה דאמרה בעינא חוטרא לידא וכו'</w:t>
      </w:r>
      <w:r w:rsidRPr="001806F1">
        <w:rPr>
          <w:rFonts w:cs="Arial" w:hint="cs"/>
          <w:rtl/>
        </w:rPr>
        <w:t>,</w:t>
      </w:r>
      <w:r w:rsidR="00A74C2B" w:rsidRPr="001806F1">
        <w:rPr>
          <w:rFonts w:cs="Arial"/>
          <w:rtl/>
        </w:rPr>
        <w:t xml:space="preserve"> כי אשת איש אם הוא מורד אינה צריכה טענה מאחר שהוא משועבד לעונה</w:t>
      </w:r>
      <w:r w:rsidRPr="001806F1">
        <w:rPr>
          <w:rFonts w:cs="Arial" w:hint="cs"/>
          <w:rtl/>
        </w:rPr>
        <w:t>.</w:t>
      </w:r>
    </w:p>
    <w:p w14:paraId="37216502" w14:textId="7DB73A5C" w:rsidR="007F1F00" w:rsidRDefault="007F1F00" w:rsidP="00A74C2B">
      <w:pPr>
        <w:rPr>
          <w:rFonts w:cs="Arial"/>
          <w:rtl/>
        </w:rPr>
      </w:pPr>
      <w:r w:rsidRPr="007F1F00">
        <w:rPr>
          <w:rFonts w:cs="Arial"/>
          <w:u w:val="single"/>
          <w:rtl/>
        </w:rPr>
        <w:t>איש אחד שתפס כל מה שהיה לאשתו ואמר שהיא מורדת</w:t>
      </w:r>
      <w:r w:rsidRPr="007F1F00">
        <w:rPr>
          <w:rFonts w:cs="Arial" w:hint="cs"/>
          <w:u w:val="single"/>
          <w:rtl/>
        </w:rPr>
        <w:t>:</w:t>
      </w:r>
      <w:r>
        <w:rPr>
          <w:rFonts w:cs="Arial" w:hint="cs"/>
          <w:rtl/>
        </w:rPr>
        <w:t xml:space="preserve"> </w:t>
      </w:r>
      <w:r w:rsidR="00242295" w:rsidRPr="007F1F00">
        <w:rPr>
          <w:rFonts w:cs="Arial" w:hint="cs"/>
          <w:sz w:val="16"/>
          <w:szCs w:val="16"/>
          <w:rtl/>
        </w:rPr>
        <w:t xml:space="preserve">(דרכ"מ אות </w:t>
      </w:r>
      <w:r w:rsidR="00242295" w:rsidRPr="007F1F00">
        <w:rPr>
          <w:rFonts w:cs="Arial"/>
          <w:sz w:val="16"/>
          <w:szCs w:val="16"/>
          <w:rtl/>
        </w:rPr>
        <w:t xml:space="preserve">ו) </w:t>
      </w:r>
    </w:p>
    <w:p w14:paraId="099C6A33" w14:textId="65D3BF48" w:rsidR="00242295" w:rsidRPr="004C33D1" w:rsidRDefault="00242295" w:rsidP="009000E3">
      <w:pPr>
        <w:pStyle w:val="ab"/>
        <w:numPr>
          <w:ilvl w:val="0"/>
          <w:numId w:val="29"/>
        </w:numPr>
        <w:rPr>
          <w:rtl/>
        </w:rPr>
      </w:pPr>
      <w:r w:rsidRPr="007F1F00">
        <w:rPr>
          <w:rFonts w:cs="Arial"/>
          <w:rtl/>
        </w:rPr>
        <w:t xml:space="preserve">מהרי"ק </w:t>
      </w:r>
      <w:r w:rsidR="007F1F00" w:rsidRPr="007F1F00">
        <w:rPr>
          <w:rFonts w:cs="Arial" w:hint="cs"/>
          <w:sz w:val="16"/>
          <w:szCs w:val="16"/>
          <w:rtl/>
        </w:rPr>
        <w:t>(</w:t>
      </w:r>
      <w:r w:rsidRPr="007F1F00">
        <w:rPr>
          <w:rFonts w:cs="Arial"/>
          <w:sz w:val="16"/>
          <w:szCs w:val="16"/>
          <w:rtl/>
        </w:rPr>
        <w:t>שורש נז</w:t>
      </w:r>
      <w:r w:rsidR="007F1F00" w:rsidRPr="007F1F00">
        <w:rPr>
          <w:rFonts w:cs="Arial" w:hint="cs"/>
          <w:sz w:val="16"/>
          <w:szCs w:val="16"/>
          <w:rtl/>
        </w:rPr>
        <w:t>)</w:t>
      </w:r>
      <w:r w:rsidR="007F1F00" w:rsidRPr="007F1F00">
        <w:rPr>
          <w:rFonts w:cs="Arial" w:hint="cs"/>
          <w:rtl/>
        </w:rPr>
        <w:t>-</w:t>
      </w:r>
      <w:r w:rsidRPr="007F1F00">
        <w:rPr>
          <w:rFonts w:cs="Arial"/>
          <w:rtl/>
        </w:rPr>
        <w:t xml:space="preserve"> על איש אחד שתפס כל מה שהיה לאשתו ואמר שהיא מורדת </w:t>
      </w:r>
      <w:r w:rsidR="00CA66EF">
        <w:rPr>
          <w:rFonts w:cs="Arial" w:hint="cs"/>
          <w:rtl/>
        </w:rPr>
        <w:t xml:space="preserve">- </w:t>
      </w:r>
      <w:r w:rsidRPr="007F1F00">
        <w:rPr>
          <w:rFonts w:cs="Arial"/>
          <w:rtl/>
        </w:rPr>
        <w:t>אינו נאמן אלא עליו להביא ראיה שאין אשתו נוהגת כשורה הן על פי עדים גמורים הן על פי שכנים ושכנות</w:t>
      </w:r>
      <w:r w:rsidR="00CA66EF">
        <w:rPr>
          <w:rFonts w:cs="Arial" w:hint="cs"/>
          <w:rtl/>
        </w:rPr>
        <w:t>,</w:t>
      </w:r>
      <w:r w:rsidRPr="007F1F00">
        <w:rPr>
          <w:rFonts w:cs="Arial"/>
          <w:rtl/>
        </w:rPr>
        <w:t xml:space="preserve"> ובלבד שלא יהיו השכנים ההם קרובים</w:t>
      </w:r>
      <w:r w:rsidR="00CA66EF">
        <w:rPr>
          <w:rFonts w:cs="Arial" w:hint="cs"/>
          <w:rtl/>
        </w:rPr>
        <w:t>.</w:t>
      </w:r>
      <w:r w:rsidRPr="007F1F00">
        <w:rPr>
          <w:rFonts w:cs="Arial"/>
          <w:rtl/>
        </w:rPr>
        <w:t xml:space="preserve"> אבל בלאו הכי אינו נאמן אלא צריך להחזיר הכל למקום שלקח</w:t>
      </w:r>
      <w:r w:rsidR="00CA66EF">
        <w:rPr>
          <w:rFonts w:cs="Arial" w:hint="cs"/>
          <w:rtl/>
        </w:rPr>
        <w:t>,</w:t>
      </w:r>
      <w:r w:rsidRPr="007F1F00">
        <w:rPr>
          <w:rFonts w:cs="Arial"/>
          <w:rtl/>
        </w:rPr>
        <w:t xml:space="preserve"> ואפילו מה שהכניס הוא ואח"כ ידונו ביחד וכו'</w:t>
      </w:r>
      <w:r w:rsidR="00E6113D">
        <w:rPr>
          <w:rStyle w:val="a7"/>
          <w:rFonts w:cs="Arial"/>
          <w:rtl/>
        </w:rPr>
        <w:footnoteReference w:id="578"/>
      </w:r>
      <w:r w:rsidR="00E6113D">
        <w:rPr>
          <w:rFonts w:cs="Arial" w:hint="cs"/>
          <w:rtl/>
        </w:rPr>
        <w:t>.</w:t>
      </w:r>
    </w:p>
    <w:p w14:paraId="0C7A271A" w14:textId="77777777" w:rsidR="005A2954" w:rsidRDefault="005A2954" w:rsidP="005A2954">
      <w:pPr>
        <w:rPr>
          <w:rFonts w:cs="Arial"/>
          <w:rtl/>
        </w:rPr>
      </w:pPr>
      <w:r w:rsidRPr="003024E5">
        <w:rPr>
          <w:rFonts w:asciiTheme="minorBidi" w:hAnsiTheme="minorBidi"/>
          <w:b/>
          <w:bCs/>
          <w:color w:val="000000"/>
          <w:sz w:val="28"/>
          <w:szCs w:val="28"/>
          <w:u w:val="single"/>
          <w:rtl/>
        </w:rPr>
        <w:t>שו"ע:</w:t>
      </w:r>
    </w:p>
    <w:p w14:paraId="3AC6C05E" w14:textId="4A4BAE5E" w:rsidR="000D2069" w:rsidRDefault="000D2069" w:rsidP="000D2069">
      <w:pPr>
        <w:rPr>
          <w:rtl/>
        </w:rPr>
      </w:pPr>
      <w:r>
        <w:rPr>
          <w:rFonts w:cs="Arial"/>
          <w:rtl/>
        </w:rPr>
        <w:t>האשה שמנעה בעלה מתשמיש, היא הנקראת מורדת</w:t>
      </w:r>
      <w:r w:rsidR="004C403E">
        <w:rPr>
          <w:rFonts w:cs="Arial" w:hint="cs"/>
          <w:rtl/>
        </w:rPr>
        <w:t>.</w:t>
      </w:r>
      <w:r>
        <w:rPr>
          <w:rFonts w:cs="Arial"/>
          <w:rtl/>
        </w:rPr>
        <w:t xml:space="preserve"> ושואלין אותה מפני מה מרדה, אם אמרה: מאסתיהו ואיני יכולה להבעל לו מדעתי, </w:t>
      </w:r>
      <w:r w:rsidR="004C403E">
        <w:rPr>
          <w:rFonts w:cs="Arial" w:hint="cs"/>
          <w:sz w:val="18"/>
          <w:szCs w:val="18"/>
          <w:rtl/>
        </w:rPr>
        <w:t xml:space="preserve">[הגה] </w:t>
      </w:r>
      <w:r w:rsidRPr="004C403E">
        <w:rPr>
          <w:rFonts w:cs="Arial"/>
          <w:sz w:val="18"/>
          <w:szCs w:val="18"/>
          <w:rtl/>
        </w:rPr>
        <w:t>ודוקא שמבקשת גט בלא כתובה, אבל אם אומרת: יתן לי גט וכתובתי, חיישינן שמא נתנה עיניה באחר, ויש לה דין מורדת דבעינא ומצערנא ליה (ר"ן)</w:t>
      </w:r>
      <w:r>
        <w:rPr>
          <w:rFonts w:cs="Arial"/>
          <w:rtl/>
        </w:rPr>
        <w:t xml:space="preserve">, אם רצה הבעל לגרשה אין לה כתובה כלל, ותטול בלאותיה הקיימים, בין מנכסים שהכניסה לבעלה ונתחייב באחריותן, בין נכסי מלוג שלא נתחייב באחריותן, ואינה נוטלת משל בעלה כלום, ואפילו מנעל שברגליה ומטפחת שבראשה שלקחם לה, פושטת ונותנה, וכל מה שנתן לה מתנה מחזרת אותו. </w:t>
      </w:r>
      <w:r w:rsidR="004C403E">
        <w:rPr>
          <w:rFonts w:cs="Arial" w:hint="cs"/>
          <w:sz w:val="18"/>
          <w:szCs w:val="18"/>
          <w:rtl/>
        </w:rPr>
        <w:t xml:space="preserve">[הגה] </w:t>
      </w:r>
      <w:r w:rsidRPr="004C403E">
        <w:rPr>
          <w:rFonts w:cs="Arial"/>
          <w:sz w:val="18"/>
          <w:szCs w:val="18"/>
          <w:rtl/>
        </w:rPr>
        <w:t xml:space="preserve">וי"א דאף מנכסי צאן ברזל אינה נוטלת אלא מה שתפסה. וי"א דאפילו </w:t>
      </w:r>
      <w:r w:rsidR="00750751">
        <w:rPr>
          <w:rFonts w:cs="Arial"/>
          <w:sz w:val="18"/>
          <w:szCs w:val="18"/>
          <w:rtl/>
        </w:rPr>
        <w:t>נכסי מלוג</w:t>
      </w:r>
      <w:r w:rsidRPr="004C403E">
        <w:rPr>
          <w:rFonts w:cs="Arial"/>
          <w:sz w:val="18"/>
          <w:szCs w:val="18"/>
          <w:rtl/>
        </w:rPr>
        <w:t xml:space="preserve"> אינה נוטלת אלא מה שתפסה (ב"י בשם הר"ן שכ"כ בשם הרשב"א).</w:t>
      </w:r>
      <w:r>
        <w:rPr>
          <w:rFonts w:cs="Arial"/>
          <w:rtl/>
        </w:rPr>
        <w:t xml:space="preserve"> ואם מרדה מתחת בעלה כדי לצערו, ואמרה: הריני מצערת אותו בכך, מפני שעשה לי כך וכך, או מפני שקללני, או מפני שעשה עמי מריבה וכיוצא בדברים אלו, שולחין לה מב</w:t>
      </w:r>
      <w:r w:rsidR="004C403E">
        <w:rPr>
          <w:rFonts w:cs="Arial" w:hint="cs"/>
          <w:rtl/>
        </w:rPr>
        <w:t xml:space="preserve">ית </w:t>
      </w:r>
      <w:r>
        <w:rPr>
          <w:rFonts w:cs="Arial"/>
          <w:rtl/>
        </w:rPr>
        <w:t>ד</w:t>
      </w:r>
      <w:r w:rsidR="004C403E">
        <w:rPr>
          <w:rFonts w:cs="Arial" w:hint="cs"/>
          <w:rtl/>
        </w:rPr>
        <w:t>ין</w:t>
      </w:r>
      <w:r>
        <w:rPr>
          <w:rFonts w:cs="Arial"/>
          <w:rtl/>
        </w:rPr>
        <w:t xml:space="preserve"> ואומרים לה: הוי יודעת שאם את עומדת במרדך, אפילו כתובתיך ק' מנה הפסדת אותם. ואחר כך מכריזין עליה בבתי כנסיות ובתי מדרשות בכל יום, ד' שבתות זו אחר זו. </w:t>
      </w:r>
      <w:r w:rsidR="004C403E">
        <w:rPr>
          <w:rFonts w:cs="Arial" w:hint="cs"/>
          <w:sz w:val="18"/>
          <w:szCs w:val="18"/>
          <w:rtl/>
        </w:rPr>
        <w:t xml:space="preserve">[הגה] </w:t>
      </w:r>
      <w:r w:rsidRPr="004C403E">
        <w:rPr>
          <w:rFonts w:cs="Arial"/>
          <w:sz w:val="18"/>
          <w:szCs w:val="18"/>
          <w:rtl/>
        </w:rPr>
        <w:t>וי"א דא"צ להכריז בכל יום, אלא ד' שבתות ממש (הר"ן והגה</w:t>
      </w:r>
      <w:r w:rsidR="0032002E">
        <w:rPr>
          <w:rFonts w:cs="Arial" w:hint="cs"/>
          <w:sz w:val="18"/>
          <w:szCs w:val="18"/>
          <w:rtl/>
        </w:rPr>
        <w:t>"מ, וכ"מ</w:t>
      </w:r>
      <w:r w:rsidRPr="004C403E">
        <w:rPr>
          <w:rFonts w:cs="Arial"/>
          <w:sz w:val="18"/>
          <w:szCs w:val="18"/>
          <w:rtl/>
        </w:rPr>
        <w:t xml:space="preserve"> לשון הטור), וכן נ"ל עיקר.</w:t>
      </w:r>
      <w:r>
        <w:rPr>
          <w:rFonts w:cs="Arial"/>
          <w:rtl/>
        </w:rPr>
        <w:t xml:space="preserve"> ואומרים: פלונית מרדה על בעלה. ואחר ההכרזה שולחין לה ב</w:t>
      </w:r>
      <w:r w:rsidR="004C403E">
        <w:rPr>
          <w:rFonts w:cs="Arial" w:hint="cs"/>
          <w:rtl/>
        </w:rPr>
        <w:t xml:space="preserve">ית </w:t>
      </w:r>
      <w:r>
        <w:rPr>
          <w:rFonts w:cs="Arial"/>
          <w:rtl/>
        </w:rPr>
        <w:t>ד</w:t>
      </w:r>
      <w:r w:rsidR="004C403E">
        <w:rPr>
          <w:rFonts w:cs="Arial" w:hint="cs"/>
          <w:rtl/>
        </w:rPr>
        <w:t>ין</w:t>
      </w:r>
      <w:r>
        <w:rPr>
          <w:rFonts w:cs="Arial"/>
          <w:rtl/>
        </w:rPr>
        <w:t xml:space="preserve"> פעם שנית: אם את עומדת במרדך הפסדת כתובתיך, אם עמדה במרדה ולא חזרה, נמלכין בה ותאבד כתובתה, ולא יהיה לה כתובתה כלל</w:t>
      </w:r>
      <w:r w:rsidR="004C403E">
        <w:rPr>
          <w:rFonts w:cs="Arial" w:hint="cs"/>
          <w:rtl/>
        </w:rPr>
        <w:t>.</w:t>
      </w:r>
      <w:r>
        <w:rPr>
          <w:rFonts w:cs="Arial"/>
          <w:rtl/>
        </w:rPr>
        <w:t xml:space="preserve"> ואין נותנים לה גט עד י"ב חדש</w:t>
      </w:r>
      <w:r w:rsidR="004C403E">
        <w:rPr>
          <w:rFonts w:cs="Arial" w:hint="cs"/>
          <w:rtl/>
        </w:rPr>
        <w:t>,</w:t>
      </w:r>
      <w:r>
        <w:rPr>
          <w:rFonts w:cs="Arial"/>
          <w:rtl/>
        </w:rPr>
        <w:t xml:space="preserve"> ואין לה מזונות כל י"ב חדש, </w:t>
      </w:r>
      <w:r w:rsidR="004C403E">
        <w:rPr>
          <w:rFonts w:cs="Arial" w:hint="cs"/>
          <w:sz w:val="18"/>
          <w:szCs w:val="18"/>
          <w:rtl/>
        </w:rPr>
        <w:t xml:space="preserve">[הגה] </w:t>
      </w:r>
      <w:r w:rsidRPr="004C403E">
        <w:rPr>
          <w:rFonts w:cs="Arial"/>
          <w:sz w:val="18"/>
          <w:szCs w:val="18"/>
          <w:rtl/>
        </w:rPr>
        <w:t>ואפילו היא מעוברת</w:t>
      </w:r>
      <w:r w:rsidR="003D2852">
        <w:rPr>
          <w:rStyle w:val="a7"/>
          <w:rFonts w:cs="Arial"/>
          <w:sz w:val="18"/>
          <w:szCs w:val="18"/>
          <w:rtl/>
        </w:rPr>
        <w:footnoteReference w:id="579"/>
      </w:r>
      <w:r w:rsidRPr="004C403E">
        <w:rPr>
          <w:rFonts w:cs="Arial"/>
          <w:sz w:val="18"/>
          <w:szCs w:val="18"/>
          <w:rtl/>
        </w:rPr>
        <w:t xml:space="preserve"> (ב"י בשם </w:t>
      </w:r>
      <w:r w:rsidR="0032002E">
        <w:rPr>
          <w:rFonts w:cs="Arial" w:hint="cs"/>
          <w:sz w:val="18"/>
          <w:szCs w:val="18"/>
          <w:rtl/>
        </w:rPr>
        <w:t>תשו'</w:t>
      </w:r>
      <w:r w:rsidRPr="004C403E">
        <w:rPr>
          <w:rFonts w:cs="Arial"/>
          <w:sz w:val="18"/>
          <w:szCs w:val="18"/>
          <w:rtl/>
        </w:rPr>
        <w:t xml:space="preserve"> רשב"א)</w:t>
      </w:r>
      <w:r w:rsidR="004C403E" w:rsidRPr="004C403E">
        <w:rPr>
          <w:rFonts w:cs="Arial" w:hint="cs"/>
          <w:sz w:val="18"/>
          <w:szCs w:val="18"/>
          <w:rtl/>
        </w:rPr>
        <w:t>.</w:t>
      </w:r>
      <w:r w:rsidRPr="004C403E">
        <w:rPr>
          <w:rFonts w:cs="Arial"/>
          <w:sz w:val="18"/>
          <w:szCs w:val="18"/>
          <w:rtl/>
        </w:rPr>
        <w:t xml:space="preserve"> ומעשה ידיה שלה, אבל נוטל פירות (טור</w:t>
      </w:r>
      <w:r w:rsidRPr="00B83963">
        <w:rPr>
          <w:rFonts w:cs="Arial"/>
          <w:sz w:val="18"/>
          <w:szCs w:val="18"/>
          <w:rtl/>
        </w:rPr>
        <w:t xml:space="preserve">); </w:t>
      </w:r>
      <w:r w:rsidRPr="00B83963">
        <w:rPr>
          <w:rFonts w:cs="Arial"/>
          <w:rtl/>
        </w:rPr>
        <w:t>ואם מתה קודם הגט, בעלה יורשה</w:t>
      </w:r>
      <w:r w:rsidR="007F1192">
        <w:rPr>
          <w:rFonts w:cs="Arial" w:hint="cs"/>
          <w:rtl/>
        </w:rPr>
        <w:t>.</w:t>
      </w:r>
      <w:r w:rsidRPr="00B83963">
        <w:rPr>
          <w:rFonts w:cs="Arial"/>
          <w:sz w:val="18"/>
          <w:szCs w:val="18"/>
          <w:rtl/>
        </w:rPr>
        <w:t xml:space="preserve"> </w:t>
      </w:r>
      <w:r w:rsidR="00B83963">
        <w:rPr>
          <w:rFonts w:cs="Arial" w:hint="cs"/>
          <w:sz w:val="18"/>
          <w:szCs w:val="18"/>
          <w:rtl/>
        </w:rPr>
        <w:t xml:space="preserve">[הגה] </w:t>
      </w:r>
      <w:r w:rsidRPr="004C403E">
        <w:rPr>
          <w:rFonts w:cs="Arial"/>
          <w:sz w:val="18"/>
          <w:szCs w:val="18"/>
          <w:rtl/>
        </w:rPr>
        <w:t>וחייב בפדיונה וקבורתה (טור)</w:t>
      </w:r>
      <w:r w:rsidR="00B113CD">
        <w:rPr>
          <w:rFonts w:cs="Arial" w:hint="cs"/>
          <w:sz w:val="18"/>
          <w:szCs w:val="18"/>
          <w:rtl/>
        </w:rPr>
        <w:t>.</w:t>
      </w:r>
      <w:r w:rsidRPr="004C403E">
        <w:rPr>
          <w:rFonts w:cs="Arial"/>
          <w:sz w:val="18"/>
          <w:szCs w:val="18"/>
          <w:rtl/>
        </w:rPr>
        <w:t xml:space="preserve"> ולאחר י"ב חדש אין לבעל עליה כלום, וכן היא עליו</w:t>
      </w:r>
      <w:r w:rsidR="00BD29D0">
        <w:rPr>
          <w:rFonts w:cs="Arial" w:hint="cs"/>
          <w:sz w:val="18"/>
          <w:szCs w:val="18"/>
          <w:rtl/>
        </w:rPr>
        <w:t>,</w:t>
      </w:r>
      <w:r w:rsidRPr="004C403E">
        <w:rPr>
          <w:rFonts w:cs="Arial"/>
          <w:sz w:val="18"/>
          <w:szCs w:val="18"/>
          <w:rtl/>
        </w:rPr>
        <w:t xml:space="preserve"> מאחר שאבדה הכתובה, אין לה כל תנאי כתובה, מאחר שיוכל לגרשה בלא כתובה והוא מעכבה מרצונו (דברי הרב וכ</w:t>
      </w:r>
      <w:r w:rsidR="00247586">
        <w:rPr>
          <w:rFonts w:cs="Arial" w:hint="cs"/>
          <w:sz w:val="18"/>
          <w:szCs w:val="18"/>
          <w:rtl/>
        </w:rPr>
        <w:t>"מ</w:t>
      </w:r>
      <w:r w:rsidRPr="004C403E">
        <w:rPr>
          <w:rFonts w:cs="Arial"/>
          <w:sz w:val="18"/>
          <w:szCs w:val="18"/>
          <w:rtl/>
        </w:rPr>
        <w:t xml:space="preserve"> במהרי"ל סי</w:t>
      </w:r>
      <w:r w:rsidR="00247586">
        <w:rPr>
          <w:rFonts w:cs="Arial" w:hint="cs"/>
          <w:sz w:val="18"/>
          <w:szCs w:val="18"/>
          <w:rtl/>
        </w:rPr>
        <w:t>'</w:t>
      </w:r>
      <w:r w:rsidRPr="004C403E">
        <w:rPr>
          <w:rFonts w:cs="Arial"/>
          <w:sz w:val="18"/>
          <w:szCs w:val="18"/>
          <w:rtl/>
        </w:rPr>
        <w:t xml:space="preserve"> כ).</w:t>
      </w:r>
      <w:r>
        <w:rPr>
          <w:rFonts w:cs="Arial"/>
          <w:rtl/>
        </w:rPr>
        <w:t xml:space="preserve"> כסדר הזה עושין לה, אם מרדה כדי לצערו</w:t>
      </w:r>
      <w:r w:rsidR="00B83963">
        <w:rPr>
          <w:rFonts w:cs="Arial" w:hint="cs"/>
          <w:rtl/>
        </w:rPr>
        <w:t>.</w:t>
      </w:r>
      <w:r>
        <w:rPr>
          <w:rFonts w:cs="Arial"/>
          <w:rtl/>
        </w:rPr>
        <w:t xml:space="preserve"> </w:t>
      </w:r>
      <w:r w:rsidR="00B83963">
        <w:rPr>
          <w:rFonts w:cs="Arial" w:hint="cs"/>
          <w:sz w:val="18"/>
          <w:szCs w:val="18"/>
          <w:rtl/>
        </w:rPr>
        <w:t xml:space="preserve">[הגה] </w:t>
      </w:r>
      <w:r w:rsidRPr="00B83963">
        <w:rPr>
          <w:rFonts w:cs="Arial"/>
          <w:sz w:val="18"/>
          <w:szCs w:val="18"/>
          <w:rtl/>
        </w:rPr>
        <w:t xml:space="preserve">ולאחר י"ב חדש לא מהני חזרתה, אלא אבדה כתובתה, ואם רוצה לקיימה, צריך לכתוב לה כתובה אחרת. אבל תוך י"ב חדש יכולה לחזור בה, ויש לה כתובה. ואם מת תוך י"ב חדש, יש לה כתובה מן היורשים (כל זה בר"ן). ואם רוצה לגרשה תוך י"ב חדש נותן לה </w:t>
      </w:r>
      <w:r w:rsidR="007A617E">
        <w:rPr>
          <w:rFonts w:cs="Arial"/>
          <w:sz w:val="18"/>
          <w:szCs w:val="18"/>
          <w:rtl/>
        </w:rPr>
        <w:t>צאן ברזל</w:t>
      </w:r>
      <w:r w:rsidRPr="00B83963">
        <w:rPr>
          <w:rFonts w:cs="Arial"/>
          <w:sz w:val="18"/>
          <w:szCs w:val="18"/>
          <w:rtl/>
        </w:rPr>
        <w:t xml:space="preserve"> שלה, וכתובתה </w:t>
      </w:r>
      <w:r w:rsidR="00247586">
        <w:rPr>
          <w:rStyle w:val="a7"/>
          <w:rFonts w:cs="Arial"/>
          <w:sz w:val="18"/>
          <w:szCs w:val="18"/>
          <w:rtl/>
        </w:rPr>
        <w:footnoteReference w:id="580"/>
      </w:r>
      <w:r w:rsidR="00247586">
        <w:rPr>
          <w:rFonts w:cs="Arial" w:hint="cs"/>
          <w:sz w:val="18"/>
          <w:szCs w:val="18"/>
          <w:rtl/>
        </w:rPr>
        <w:t>[אבל לא]</w:t>
      </w:r>
      <w:r w:rsidRPr="00B83963">
        <w:rPr>
          <w:rFonts w:cs="Arial"/>
          <w:sz w:val="18"/>
          <w:szCs w:val="18"/>
          <w:rtl/>
        </w:rPr>
        <w:t xml:space="preserve"> מה שכתב לה (ב"י בשם תש</w:t>
      </w:r>
      <w:r w:rsidR="00247586">
        <w:rPr>
          <w:rFonts w:cs="Arial" w:hint="cs"/>
          <w:sz w:val="18"/>
          <w:szCs w:val="18"/>
          <w:rtl/>
        </w:rPr>
        <w:t>ו'</w:t>
      </w:r>
      <w:r w:rsidRPr="00B83963">
        <w:rPr>
          <w:rFonts w:cs="Arial"/>
          <w:sz w:val="18"/>
          <w:szCs w:val="18"/>
          <w:rtl/>
        </w:rPr>
        <w:t xml:space="preserve"> הרשב"א). וי"א דבזמן הזה שאין נושאין שתי נשים, לא משהינן לה י"ב חדש אם רוצה לגרשה, ואם אינה רוצה, מתירין לו לישא אחרת (מרדכי בשם ראב"ן). ויש חולקין שאין להתיר לו לישא אחרת (שם בהג</w:t>
      </w:r>
      <w:r w:rsidR="00247586">
        <w:rPr>
          <w:rFonts w:cs="Arial" w:hint="cs"/>
          <w:sz w:val="18"/>
          <w:szCs w:val="18"/>
          <w:rtl/>
        </w:rPr>
        <w:t>מ"ר</w:t>
      </w:r>
      <w:r w:rsidRPr="00B83963">
        <w:rPr>
          <w:rFonts w:cs="Arial"/>
          <w:sz w:val="18"/>
          <w:szCs w:val="18"/>
          <w:rtl/>
        </w:rPr>
        <w:t xml:space="preserve"> ותשובת הרשב"א סי</w:t>
      </w:r>
      <w:r w:rsidR="00247586">
        <w:rPr>
          <w:rFonts w:cs="Arial" w:hint="cs"/>
          <w:sz w:val="18"/>
          <w:szCs w:val="18"/>
          <w:rtl/>
        </w:rPr>
        <w:t>'</w:t>
      </w:r>
      <w:r w:rsidRPr="00B83963">
        <w:rPr>
          <w:rFonts w:cs="Arial"/>
          <w:sz w:val="18"/>
          <w:szCs w:val="18"/>
          <w:rtl/>
        </w:rPr>
        <w:t xml:space="preserve"> תתס</w:t>
      </w:r>
      <w:r w:rsidR="00247586">
        <w:rPr>
          <w:rFonts w:cs="Arial" w:hint="cs"/>
          <w:sz w:val="18"/>
          <w:szCs w:val="18"/>
          <w:rtl/>
        </w:rPr>
        <w:t>,</w:t>
      </w:r>
      <w:r w:rsidRPr="00B83963">
        <w:rPr>
          <w:rFonts w:cs="Arial"/>
          <w:sz w:val="18"/>
          <w:szCs w:val="18"/>
          <w:rtl/>
        </w:rPr>
        <w:t xml:space="preserve"> ומהרי"ק שורש סג), וכן עיקר. ודוקא בנשואה, אבל ארוסה המורדת על בעלה ואינה רוצה להכנס לו, יגרשנה בעל כרחה, או ישא אחרת, ומתירין לו (שם). ונ"ל דוקא תוך י"ב חדש, אבל לאחר י"ב חדש אם הוא רוצה לגרש צריכה לקבל ממנו בעל כרחה, או מתירין לו לישא</w:t>
      </w:r>
      <w:r w:rsidR="00B113CD">
        <w:rPr>
          <w:rStyle w:val="a7"/>
          <w:rFonts w:cs="Arial"/>
          <w:sz w:val="18"/>
          <w:szCs w:val="18"/>
          <w:rtl/>
        </w:rPr>
        <w:footnoteReference w:id="581"/>
      </w:r>
      <w:r w:rsidRPr="00B83963">
        <w:rPr>
          <w:rFonts w:cs="Arial"/>
          <w:sz w:val="18"/>
          <w:szCs w:val="18"/>
          <w:rtl/>
        </w:rPr>
        <w:t xml:space="preserve"> אחרת, דאין כח ביד האשה לעגנו לעולם</w:t>
      </w:r>
      <w:r w:rsidR="00B113CD">
        <w:rPr>
          <w:rStyle w:val="a7"/>
          <w:rFonts w:cs="Arial"/>
          <w:sz w:val="18"/>
          <w:szCs w:val="18"/>
          <w:rtl/>
        </w:rPr>
        <w:footnoteReference w:id="582"/>
      </w:r>
      <w:r w:rsidRPr="00B83963">
        <w:rPr>
          <w:rFonts w:cs="Arial"/>
          <w:sz w:val="18"/>
          <w:szCs w:val="18"/>
          <w:rtl/>
        </w:rPr>
        <w:t>, וכן נראה להורות. וי"א</w:t>
      </w:r>
      <w:r w:rsidR="00E305A0">
        <w:rPr>
          <w:rStyle w:val="a7"/>
          <w:rFonts w:cs="Arial"/>
          <w:sz w:val="18"/>
          <w:szCs w:val="18"/>
          <w:rtl/>
        </w:rPr>
        <w:footnoteReference w:id="583"/>
      </w:r>
      <w:r w:rsidRPr="00B83963">
        <w:rPr>
          <w:rFonts w:cs="Arial"/>
          <w:sz w:val="18"/>
          <w:szCs w:val="18"/>
          <w:rtl/>
        </w:rPr>
        <w:t xml:space="preserve"> דאפילו תוך י"ב חדש אם עבר ונשא אחרת מחמת מרידתה, אין כופין לגרש (מהרי"ק שורש כט)</w:t>
      </w:r>
      <w:r w:rsidR="00BD29D0">
        <w:rPr>
          <w:rFonts w:cs="Arial" w:hint="cs"/>
          <w:sz w:val="18"/>
          <w:szCs w:val="18"/>
          <w:rtl/>
        </w:rPr>
        <w:t>.</w:t>
      </w:r>
      <w:r>
        <w:rPr>
          <w:rFonts w:cs="Arial"/>
          <w:rtl/>
        </w:rPr>
        <w:t xml:space="preserve"> ואפילו היתה נדה או חולה שאינה ראויה לתשמיש</w:t>
      </w:r>
      <w:r w:rsidR="00B83963">
        <w:rPr>
          <w:rFonts w:cs="Arial" w:hint="cs"/>
          <w:rtl/>
        </w:rPr>
        <w:t>.</w:t>
      </w:r>
      <w:r w:rsidRPr="00B83963">
        <w:rPr>
          <w:rFonts w:cs="Arial"/>
          <w:sz w:val="18"/>
          <w:szCs w:val="18"/>
          <w:rtl/>
        </w:rPr>
        <w:t xml:space="preserve"> </w:t>
      </w:r>
      <w:r w:rsidR="00B83963">
        <w:rPr>
          <w:rFonts w:cs="Arial" w:hint="cs"/>
          <w:sz w:val="18"/>
          <w:szCs w:val="18"/>
          <w:rtl/>
        </w:rPr>
        <w:t xml:space="preserve">[הגה] </w:t>
      </w:r>
      <w:r w:rsidRPr="00B83963">
        <w:rPr>
          <w:rFonts w:cs="Arial"/>
          <w:sz w:val="18"/>
          <w:szCs w:val="18"/>
          <w:rtl/>
        </w:rPr>
        <w:t>ואין חילוק בין התחילה למרוד קודם חליה או אח"כ (ר"ן, וכ</w:t>
      </w:r>
      <w:r w:rsidR="00247586">
        <w:rPr>
          <w:rFonts w:cs="Arial" w:hint="cs"/>
          <w:sz w:val="18"/>
          <w:szCs w:val="18"/>
          <w:rtl/>
        </w:rPr>
        <w:t>"מ</w:t>
      </w:r>
      <w:r w:rsidRPr="00B83963">
        <w:rPr>
          <w:rFonts w:cs="Arial"/>
          <w:sz w:val="18"/>
          <w:szCs w:val="18"/>
          <w:rtl/>
        </w:rPr>
        <w:t xml:space="preserve"> במרדכי בשם ראבי"ה ובהגהות אלפסי), ויש חולקים (שם בשם מוהר"ם)</w:t>
      </w:r>
      <w:r w:rsidR="00BD29D0">
        <w:rPr>
          <w:rFonts w:cs="Arial" w:hint="cs"/>
          <w:sz w:val="18"/>
          <w:szCs w:val="18"/>
          <w:rtl/>
        </w:rPr>
        <w:t>.</w:t>
      </w:r>
      <w:r w:rsidRPr="00B83963">
        <w:rPr>
          <w:rFonts w:cs="Arial"/>
          <w:sz w:val="18"/>
          <w:szCs w:val="18"/>
          <w:rtl/>
        </w:rPr>
        <w:t xml:space="preserve"> </w:t>
      </w:r>
      <w:r>
        <w:rPr>
          <w:rFonts w:cs="Arial"/>
          <w:rtl/>
        </w:rPr>
        <w:t>ואפילו היה בעלה מלח שעונתו לששה חדשים, ואפילו יש לו אשה אחרת. וכן ארוסה שהגיע זמנה לינשא, ומרדה כדי לצערו ולא נשאת, הרי זו מורדת מתשמיש. וי</w:t>
      </w:r>
      <w:r w:rsidR="00B83963">
        <w:rPr>
          <w:rFonts w:cs="Arial" w:hint="cs"/>
          <w:rtl/>
        </w:rPr>
        <w:t xml:space="preserve">ש </w:t>
      </w:r>
      <w:r>
        <w:rPr>
          <w:rFonts w:cs="Arial"/>
          <w:rtl/>
        </w:rPr>
        <w:t>א</w:t>
      </w:r>
      <w:r w:rsidR="00B83963">
        <w:rPr>
          <w:rFonts w:cs="Arial" w:hint="cs"/>
          <w:rtl/>
        </w:rPr>
        <w:t>ומרים</w:t>
      </w:r>
      <w:r>
        <w:rPr>
          <w:rFonts w:cs="Arial"/>
          <w:rtl/>
        </w:rPr>
        <w:t xml:space="preserve"> שגם יבמה שלא רצתה להתייבם כדי לצערו, כסדר הזה עושין לה. </w:t>
      </w:r>
    </w:p>
    <w:p w14:paraId="3BCA8CB1" w14:textId="77777777" w:rsidR="004C33D1" w:rsidRDefault="004C33D1" w:rsidP="000D2069">
      <w:pPr>
        <w:rPr>
          <w:rtl/>
        </w:rPr>
      </w:pPr>
    </w:p>
    <w:p w14:paraId="75CEA3C5" w14:textId="1A499DC3" w:rsidR="000D2069" w:rsidRDefault="000D2069" w:rsidP="000F64D0">
      <w:pPr>
        <w:pStyle w:val="2"/>
        <w:rPr>
          <w:rtl/>
        </w:rPr>
      </w:pPr>
      <w:r>
        <w:rPr>
          <w:rtl/>
        </w:rPr>
        <w:lastRenderedPageBreak/>
        <w:t>סעיף ג</w:t>
      </w:r>
      <w:r w:rsidR="004C33D1">
        <w:rPr>
          <w:rFonts w:hint="cs"/>
          <w:rtl/>
        </w:rPr>
        <w:t>:</w:t>
      </w:r>
      <w:r w:rsidR="004637B4">
        <w:rPr>
          <w:rFonts w:hint="cs"/>
          <w:rtl/>
        </w:rPr>
        <w:t xml:space="preserve"> עם איזה נכסים יוצאת המורדת.</w:t>
      </w:r>
    </w:p>
    <w:p w14:paraId="1B7F01AD" w14:textId="1A975084" w:rsidR="00937ED7" w:rsidRPr="00937ED7" w:rsidRDefault="004637B4" w:rsidP="00B1698B">
      <w:pPr>
        <w:rPr>
          <w:rtl/>
        </w:rPr>
      </w:pPr>
      <w:r>
        <w:rPr>
          <w:rFonts w:hint="cs"/>
          <w:rtl/>
        </w:rPr>
        <w:t>עיין במקורות בסעיף ב.</w:t>
      </w:r>
    </w:p>
    <w:p w14:paraId="6F843956" w14:textId="77777777" w:rsidR="00050974" w:rsidRPr="004C69FE" w:rsidRDefault="00050974" w:rsidP="00050974">
      <w:pPr>
        <w:rPr>
          <w:rFonts w:cs="Arial"/>
          <w:u w:val="single"/>
        </w:rPr>
      </w:pPr>
      <w:r w:rsidRPr="004C69FE">
        <w:rPr>
          <w:rFonts w:cs="Arial" w:hint="cs"/>
          <w:u w:val="single"/>
          <w:rtl/>
        </w:rPr>
        <w:t xml:space="preserve">האם מלבושים שהכניסה הכלה עליה יכולים להחשב מנכסי צאן ברזל: </w:t>
      </w:r>
    </w:p>
    <w:p w14:paraId="3E989513" w14:textId="1FE58E47" w:rsidR="00050974" w:rsidRDefault="00050974" w:rsidP="009000E3">
      <w:pPr>
        <w:pStyle w:val="ab"/>
        <w:numPr>
          <w:ilvl w:val="0"/>
          <w:numId w:val="27"/>
        </w:numPr>
        <w:rPr>
          <w:rFonts w:cs="Arial"/>
        </w:rPr>
      </w:pPr>
      <w:r w:rsidRPr="004C69FE">
        <w:rPr>
          <w:rFonts w:cs="Arial" w:hint="cs"/>
          <w:rtl/>
        </w:rPr>
        <w:t xml:space="preserve">רא"ש </w:t>
      </w:r>
      <w:r w:rsidRPr="004C69FE">
        <w:rPr>
          <w:rFonts w:cs="Arial" w:hint="cs"/>
          <w:sz w:val="16"/>
          <w:szCs w:val="16"/>
          <w:rtl/>
        </w:rPr>
        <w:t>(</w:t>
      </w:r>
      <w:r w:rsidRPr="00164C05">
        <w:rPr>
          <w:rFonts w:cs="Arial"/>
          <w:sz w:val="16"/>
          <w:szCs w:val="16"/>
          <w:rtl/>
        </w:rPr>
        <w:t>כלל מג סי</w:t>
      </w:r>
      <w:r w:rsidRPr="00164C05">
        <w:rPr>
          <w:rFonts w:cs="Arial" w:hint="cs"/>
          <w:sz w:val="16"/>
          <w:szCs w:val="16"/>
          <w:rtl/>
        </w:rPr>
        <w:t>'</w:t>
      </w:r>
      <w:r w:rsidRPr="00164C05">
        <w:rPr>
          <w:rFonts w:cs="Arial"/>
          <w:sz w:val="16"/>
          <w:szCs w:val="16"/>
          <w:rtl/>
        </w:rPr>
        <w:t xml:space="preserve"> ט</w:t>
      </w:r>
      <w:r w:rsidRPr="004C69FE">
        <w:rPr>
          <w:rFonts w:cs="Arial" w:hint="cs"/>
          <w:sz w:val="16"/>
          <w:szCs w:val="16"/>
          <w:rtl/>
        </w:rPr>
        <w:t>, כ"כ הטור בשמו)</w:t>
      </w:r>
      <w:r w:rsidRPr="004C69FE">
        <w:rPr>
          <w:rFonts w:cs="Arial" w:hint="cs"/>
          <w:rtl/>
        </w:rPr>
        <w:t xml:space="preserve">- </w:t>
      </w:r>
      <w:r w:rsidRPr="004C69FE">
        <w:rPr>
          <w:rFonts w:cs="Arial"/>
          <w:rtl/>
        </w:rPr>
        <w:t>אשה שהכניסה לבעלה מלבושים לבושים עליה אין אני קורא בהם נכסי צאן ברזל שאין דרך לשום המלבושים שעל הכלה</w:t>
      </w:r>
      <w:r w:rsidRPr="004C69FE">
        <w:rPr>
          <w:rFonts w:cs="Arial" w:hint="cs"/>
          <w:rtl/>
        </w:rPr>
        <w:t>.</w:t>
      </w:r>
      <w:r w:rsidRPr="004C69FE">
        <w:rPr>
          <w:rFonts w:cs="Arial"/>
          <w:rtl/>
        </w:rPr>
        <w:t xml:space="preserve"> ונכסי צאן ברזל היינו שומא שהאשה מכנסת לבעלה</w:t>
      </w:r>
      <w:r w:rsidRPr="004C69FE">
        <w:rPr>
          <w:rFonts w:cs="Arial" w:hint="cs"/>
          <w:rtl/>
        </w:rPr>
        <w:t>.</w:t>
      </w:r>
      <w:r w:rsidRPr="00050974">
        <w:rPr>
          <w:rFonts w:cs="Arial" w:hint="cs"/>
          <w:color w:val="00B0F0"/>
          <w:rtl/>
        </w:rPr>
        <w:t xml:space="preserve"> </w:t>
      </w:r>
      <w:r w:rsidRPr="0087405A">
        <w:rPr>
          <w:rFonts w:cs="Arial" w:hint="cs"/>
          <w:color w:val="00B0F0"/>
          <w:rtl/>
        </w:rPr>
        <w:t>(וכ"פ הרמ"א)</w:t>
      </w:r>
    </w:p>
    <w:p w14:paraId="453AD228" w14:textId="77777777" w:rsidR="005A2954" w:rsidRDefault="005A2954" w:rsidP="005A2954">
      <w:pPr>
        <w:rPr>
          <w:rFonts w:cs="Arial"/>
          <w:rtl/>
        </w:rPr>
      </w:pPr>
      <w:r w:rsidRPr="003024E5">
        <w:rPr>
          <w:rFonts w:asciiTheme="minorBidi" w:hAnsiTheme="minorBidi"/>
          <w:b/>
          <w:bCs/>
          <w:color w:val="000000"/>
          <w:sz w:val="28"/>
          <w:szCs w:val="28"/>
          <w:u w:val="single"/>
          <w:rtl/>
        </w:rPr>
        <w:t>שו"ע:</w:t>
      </w:r>
    </w:p>
    <w:p w14:paraId="136DC3AA" w14:textId="0A3DD067" w:rsidR="000D2069" w:rsidRDefault="000D2069" w:rsidP="000D2069">
      <w:pPr>
        <w:rPr>
          <w:rtl/>
        </w:rPr>
      </w:pPr>
      <w:r>
        <w:rPr>
          <w:rFonts w:cs="Arial"/>
          <w:rtl/>
        </w:rPr>
        <w:t>המורדת הזאת, כשהיא יוצאת אחר י"ב חדש בלא כתובה, תחזיר כל דבר שהוא של בעל, אבל נכסים שהכניסה לו, ובלאותיה קיימים, אם תפסה אין מוציאין מידה</w:t>
      </w:r>
      <w:r w:rsidR="0013364A">
        <w:rPr>
          <w:rFonts w:cs="Arial" w:hint="cs"/>
          <w:rtl/>
        </w:rPr>
        <w:t>.</w:t>
      </w:r>
      <w:r>
        <w:rPr>
          <w:rFonts w:cs="Arial"/>
          <w:rtl/>
        </w:rPr>
        <w:t xml:space="preserve"> ואם לא תפסה אין נותנין לה</w:t>
      </w:r>
      <w:r w:rsidR="00247586">
        <w:rPr>
          <w:rFonts w:cs="Arial" w:hint="cs"/>
          <w:rtl/>
        </w:rPr>
        <w:t>.</w:t>
      </w:r>
      <w:r>
        <w:rPr>
          <w:rFonts w:cs="Arial"/>
          <w:rtl/>
        </w:rPr>
        <w:t xml:space="preserve"> </w:t>
      </w:r>
      <w:r w:rsidR="00247586">
        <w:rPr>
          <w:rFonts w:cs="Arial" w:hint="cs"/>
          <w:sz w:val="18"/>
          <w:szCs w:val="18"/>
          <w:rtl/>
        </w:rPr>
        <w:t xml:space="preserve">[הגה] </w:t>
      </w:r>
      <w:r w:rsidRPr="00BD29D0">
        <w:rPr>
          <w:rFonts w:cs="Arial"/>
          <w:sz w:val="18"/>
          <w:szCs w:val="18"/>
          <w:rtl/>
        </w:rPr>
        <w:t>וקרקעות של צאן ברזל היא נוטלתן (טור)</w:t>
      </w:r>
      <w:r>
        <w:rPr>
          <w:rFonts w:cs="Arial"/>
          <w:rtl/>
        </w:rPr>
        <w:t xml:space="preserve">, וכן כל מה שאבד מנכסיה שקבל הבעל אחריותן עליו, אינו משלם לה כלום. </w:t>
      </w:r>
      <w:r w:rsidRPr="00BD29D0">
        <w:rPr>
          <w:rFonts w:cs="Arial"/>
          <w:sz w:val="18"/>
          <w:szCs w:val="18"/>
          <w:rtl/>
        </w:rPr>
        <w:t>הגה: וכל זה בנכסי צאן ברזל, אבל נכסי מלוג שלה, ברשותה הם והיא נוטלתן (טור). וי"א דכל זה באינה נותנת אמתלא וטעם לדבריה למה אומרת מאיס עלי; אבל בנותנת אמתלא לדבריה, כגון שאומרת שאינו הולך בדרך ישרה</w:t>
      </w:r>
      <w:r w:rsidR="00050974">
        <w:rPr>
          <w:rFonts w:cs="Arial" w:hint="cs"/>
          <w:sz w:val="18"/>
          <w:szCs w:val="18"/>
          <w:rtl/>
        </w:rPr>
        <w:t>,</w:t>
      </w:r>
      <w:r w:rsidRPr="00BD29D0">
        <w:rPr>
          <w:rFonts w:cs="Arial"/>
          <w:sz w:val="18"/>
          <w:szCs w:val="18"/>
          <w:rtl/>
        </w:rPr>
        <w:t xml:space="preserve"> ומכלה ממונו וכיוצא בזה, אז דיינינן לה כדינא שתקנו הגאונים (טור בשם מהר"ם) ונקרא דינא דמתיבתא, שהבעל צריך להחזיר לה כל מה שהכניסה לו בנדונייתא, דהיינו צאן ברזל אם הם בעין וראויין למלאכתם הראשונה נוטלת הכל כמו שהוא</w:t>
      </w:r>
      <w:r w:rsidR="00A11062">
        <w:rPr>
          <w:rFonts w:cs="Arial" w:hint="cs"/>
          <w:sz w:val="18"/>
          <w:szCs w:val="18"/>
          <w:rtl/>
        </w:rPr>
        <w:t>.</w:t>
      </w:r>
      <w:r w:rsidRPr="00BD29D0">
        <w:rPr>
          <w:rFonts w:cs="Arial"/>
          <w:sz w:val="18"/>
          <w:szCs w:val="18"/>
          <w:rtl/>
        </w:rPr>
        <w:t xml:space="preserve"> ואם אינן ראוין למלאכתם הראשונה, וכל שכן אם נגנבו או נאבדו, צריך הבעל לשלם הכל</w:t>
      </w:r>
      <w:r w:rsidR="004A1C38">
        <w:rPr>
          <w:rFonts w:cs="Arial" w:hint="cs"/>
          <w:sz w:val="18"/>
          <w:szCs w:val="18"/>
          <w:rtl/>
        </w:rPr>
        <w:t>.</w:t>
      </w:r>
      <w:r w:rsidRPr="00BD29D0">
        <w:rPr>
          <w:rFonts w:cs="Arial"/>
          <w:sz w:val="18"/>
          <w:szCs w:val="18"/>
          <w:rtl/>
        </w:rPr>
        <w:t xml:space="preserve"> ו</w:t>
      </w:r>
      <w:r w:rsidR="00750751">
        <w:rPr>
          <w:rFonts w:cs="Arial"/>
          <w:sz w:val="18"/>
          <w:szCs w:val="18"/>
          <w:rtl/>
        </w:rPr>
        <w:t>נכסי מלוג</w:t>
      </w:r>
      <w:r w:rsidRPr="00BD29D0">
        <w:rPr>
          <w:rFonts w:cs="Arial"/>
          <w:sz w:val="18"/>
          <w:szCs w:val="18"/>
          <w:rtl/>
        </w:rPr>
        <w:t xml:space="preserve"> שלה, אם הם בעין או דבר הבא מכחם, נוטלתן, אבל אם כלו לגמרי אין הבעל צריך לשלם (דינא דמתיבתא טור בשם הרי"ף), אבל כל מה שנתן לה או כתב לה אינה נוטלת כלום, ואפילו תפסה צריכה להחזיר (מרדכי). ואין כופין אותו לגרש, ולא אותה להיות אצלו (טור ב</w:t>
      </w:r>
      <w:r w:rsidR="004A1C38">
        <w:rPr>
          <w:rFonts w:cs="Arial" w:hint="cs"/>
          <w:sz w:val="18"/>
          <w:szCs w:val="18"/>
          <w:rtl/>
        </w:rPr>
        <w:t>שם הרא"ש בתשו'</w:t>
      </w:r>
      <w:r w:rsidRPr="00BD29D0">
        <w:rPr>
          <w:rFonts w:cs="Arial"/>
          <w:sz w:val="18"/>
          <w:szCs w:val="18"/>
          <w:rtl/>
        </w:rPr>
        <w:t>). ואם עשה שלא כהוגן שקדשה ברמאות ובתחבולות, כופין אותו לגרש (רא"ש). וי"א עוד דמטילין חרם (טור בשם מוהר"ם). אם בני אדם למדוה למרוד, או שעושה כך משום כעס וקטטה, או להוציא ממונו ממנו, אז אפילו מה שתפסה מנכסיה נוטלין מידה ומחזירין לבעל (מרדכי). ואין חילוק בין אם תפסה או לא, אלא בטוענת מאיס ואינה נותנת אמתלא מבוררת לדבריה, אבל מ"מ נותנת אמתלא ואין בזה רמאות</w:t>
      </w:r>
      <w:r w:rsidR="00386CF1">
        <w:rPr>
          <w:rFonts w:cs="Arial" w:hint="cs"/>
          <w:sz w:val="18"/>
          <w:szCs w:val="18"/>
          <w:rtl/>
        </w:rPr>
        <w:t xml:space="preserve"> (הגמ"ר).</w:t>
      </w:r>
      <w:r w:rsidRPr="00BD29D0">
        <w:rPr>
          <w:rFonts w:cs="Arial"/>
          <w:sz w:val="18"/>
          <w:szCs w:val="18"/>
          <w:rtl/>
        </w:rPr>
        <w:t xml:space="preserve"> והב"ד ידונו בזה לפי ראות עיניהם</w:t>
      </w:r>
      <w:r w:rsidR="00386CF1">
        <w:rPr>
          <w:rFonts w:cs="Arial" w:hint="cs"/>
          <w:sz w:val="18"/>
          <w:szCs w:val="18"/>
          <w:rtl/>
        </w:rPr>
        <w:t>,</w:t>
      </w:r>
      <w:r w:rsidRPr="00BD29D0">
        <w:rPr>
          <w:rFonts w:cs="Arial"/>
          <w:sz w:val="18"/>
          <w:szCs w:val="18"/>
          <w:rtl/>
        </w:rPr>
        <w:t xml:space="preserve"> ויכולין להשביע אותה על כך, אם טוענת באמת מאיס עלי </w:t>
      </w:r>
      <w:r w:rsidR="00386CF1" w:rsidRPr="00BD29D0">
        <w:rPr>
          <w:rFonts w:cs="Arial"/>
          <w:sz w:val="18"/>
          <w:szCs w:val="18"/>
          <w:rtl/>
        </w:rPr>
        <w:t>(מהרי"ו סי</w:t>
      </w:r>
      <w:r w:rsidR="00386CF1">
        <w:rPr>
          <w:rFonts w:cs="Arial" w:hint="cs"/>
          <w:sz w:val="18"/>
          <w:szCs w:val="18"/>
          <w:rtl/>
        </w:rPr>
        <w:t xml:space="preserve">' </w:t>
      </w:r>
      <w:r w:rsidR="00386CF1" w:rsidRPr="00BD29D0">
        <w:rPr>
          <w:rFonts w:cs="Arial"/>
          <w:sz w:val="18"/>
          <w:szCs w:val="18"/>
          <w:rtl/>
        </w:rPr>
        <w:t>כ)</w:t>
      </w:r>
      <w:r w:rsidR="00386CF1">
        <w:rPr>
          <w:rFonts w:cs="Arial" w:hint="cs"/>
          <w:sz w:val="18"/>
          <w:szCs w:val="18"/>
          <w:rtl/>
        </w:rPr>
        <w:t>.</w:t>
      </w:r>
      <w:r w:rsidRPr="00BD29D0">
        <w:rPr>
          <w:rFonts w:cs="Arial"/>
          <w:sz w:val="18"/>
          <w:szCs w:val="18"/>
          <w:rtl/>
        </w:rPr>
        <w:t xml:space="preserve"> וכן ראוי להורות. וכל זמן שלא נתן גט, אין לו כפייה ונגישה עליה, אבל מ"מ אין לה ליתן משלה לאחרים, ויכול למחות בה, דאם מתה ירשנה (שם). אפילו במקום שכופין אותו לגרש, במורדת, אם מתה קודם שגרשה, יורש אותה, דאין ירושתה נפקעת אלא בגירושין (טור בשם גאון). אם אביה תפס מנדוניא שהכניסה לבעלה, מהני כאלו תפסה היא בעצמה (מרדכי </w:t>
      </w:r>
      <w:r w:rsidR="00386CF1">
        <w:rPr>
          <w:rFonts w:cs="Arial" w:hint="cs"/>
          <w:sz w:val="18"/>
          <w:szCs w:val="18"/>
          <w:rtl/>
        </w:rPr>
        <w:t xml:space="preserve">והגה"מ </w:t>
      </w:r>
      <w:r w:rsidRPr="00BD29D0">
        <w:rPr>
          <w:rFonts w:cs="Arial"/>
          <w:sz w:val="18"/>
          <w:szCs w:val="18"/>
          <w:rtl/>
        </w:rPr>
        <w:t xml:space="preserve">בשם תשובת מוהר"ם). הבגדים שהכניסה הכלה אין להם דין </w:t>
      </w:r>
      <w:r w:rsidR="007A617E">
        <w:rPr>
          <w:rFonts w:cs="Arial"/>
          <w:sz w:val="18"/>
          <w:szCs w:val="18"/>
          <w:rtl/>
        </w:rPr>
        <w:t>צאן ברזל</w:t>
      </w:r>
      <w:r w:rsidRPr="00BD29D0">
        <w:rPr>
          <w:rFonts w:cs="Arial"/>
          <w:sz w:val="18"/>
          <w:szCs w:val="18"/>
          <w:rtl/>
        </w:rPr>
        <w:t xml:space="preserve">, ואין </w:t>
      </w:r>
      <w:r w:rsidR="007A617E">
        <w:rPr>
          <w:rFonts w:cs="Arial"/>
          <w:sz w:val="18"/>
          <w:szCs w:val="18"/>
          <w:rtl/>
        </w:rPr>
        <w:t>צאן ברזל</w:t>
      </w:r>
      <w:r w:rsidRPr="00BD29D0">
        <w:rPr>
          <w:rFonts w:cs="Arial"/>
          <w:sz w:val="18"/>
          <w:szCs w:val="18"/>
          <w:rtl/>
        </w:rPr>
        <w:t xml:space="preserve"> אלא השומא שמכנסת האשה לבעלה (טור בשם הרא"ש).</w:t>
      </w:r>
      <w:r>
        <w:rPr>
          <w:rFonts w:cs="Arial"/>
          <w:rtl/>
        </w:rPr>
        <w:t xml:space="preserve"> </w:t>
      </w:r>
    </w:p>
    <w:p w14:paraId="5D0BE813" w14:textId="77777777" w:rsidR="004C33D1" w:rsidRDefault="004C33D1" w:rsidP="000D2069">
      <w:pPr>
        <w:rPr>
          <w:rtl/>
        </w:rPr>
      </w:pPr>
    </w:p>
    <w:p w14:paraId="74F8176A" w14:textId="24CCBF93" w:rsidR="000D2069" w:rsidRDefault="000D2069" w:rsidP="000F64D0">
      <w:pPr>
        <w:pStyle w:val="2"/>
        <w:rPr>
          <w:rtl/>
        </w:rPr>
      </w:pPr>
      <w:r>
        <w:rPr>
          <w:rtl/>
        </w:rPr>
        <w:t>סעיף ד</w:t>
      </w:r>
      <w:r w:rsidR="00050974">
        <w:rPr>
          <w:rFonts w:hint="cs"/>
          <w:rtl/>
        </w:rPr>
        <w:t xml:space="preserve">: הבעל אומר 'היא מורדת' והאשה אומרת 'איני מורדת' </w:t>
      </w:r>
      <w:r w:rsidR="00050974">
        <w:rPr>
          <w:rFonts w:hint="cs"/>
          <w:sz w:val="18"/>
          <w:szCs w:val="18"/>
          <w:rtl/>
        </w:rPr>
        <w:t>(וכן להפך)</w:t>
      </w:r>
      <w:r w:rsidR="00050974">
        <w:rPr>
          <w:rFonts w:hint="cs"/>
          <w:rtl/>
        </w:rPr>
        <w:t>.</w:t>
      </w:r>
    </w:p>
    <w:p w14:paraId="5E76E88C" w14:textId="3F9642FB" w:rsidR="005B2FE8" w:rsidRDefault="005B2FE8" w:rsidP="00C1620F">
      <w:pPr>
        <w:rPr>
          <w:sz w:val="16"/>
          <w:szCs w:val="16"/>
          <w:rtl/>
        </w:rPr>
      </w:pPr>
      <w:r w:rsidRPr="005B2FE8">
        <w:rPr>
          <w:rFonts w:cs="Arial" w:hint="cs"/>
          <w:b/>
          <w:bCs/>
          <w:rtl/>
        </w:rPr>
        <w:t xml:space="preserve">ירושלמי נדרים פי"א הי"ב: </w:t>
      </w:r>
      <w:r w:rsidRPr="005B2FE8">
        <w:rPr>
          <w:rFonts w:cs="Arial"/>
          <w:u w:val="double"/>
          <w:rtl/>
        </w:rPr>
        <w:t>מתני'</w:t>
      </w:r>
      <w:r>
        <w:rPr>
          <w:rFonts w:cs="Arial" w:hint="cs"/>
          <w:rtl/>
        </w:rPr>
        <w:t>:</w:t>
      </w:r>
      <w:r w:rsidRPr="005B2FE8">
        <w:rPr>
          <w:rFonts w:cs="Arial"/>
          <w:rtl/>
        </w:rPr>
        <w:t xml:space="preserve"> בראשונה היו אומרי' שלש נשים יוצאות ונוטלות כתוב'</w:t>
      </w:r>
      <w:r>
        <w:rPr>
          <w:rFonts w:cs="Arial" w:hint="cs"/>
          <w:rtl/>
        </w:rPr>
        <w:t>,</w:t>
      </w:r>
      <w:r w:rsidRPr="005B2FE8">
        <w:rPr>
          <w:rFonts w:cs="Arial"/>
          <w:rtl/>
        </w:rPr>
        <w:t xml:space="preserve"> האומרת טמאה אני לך</w:t>
      </w:r>
      <w:r>
        <w:rPr>
          <w:rFonts w:cs="Arial" w:hint="cs"/>
          <w:rtl/>
        </w:rPr>
        <w:t>,</w:t>
      </w:r>
      <w:r w:rsidRPr="005B2FE8">
        <w:rPr>
          <w:rFonts w:cs="Arial"/>
          <w:rtl/>
        </w:rPr>
        <w:t xml:space="preserve"> שמים ביני לבינך</w:t>
      </w:r>
      <w:r>
        <w:rPr>
          <w:rFonts w:cs="Arial" w:hint="cs"/>
          <w:rtl/>
        </w:rPr>
        <w:t>,</w:t>
      </w:r>
      <w:r w:rsidRPr="005B2FE8">
        <w:rPr>
          <w:rFonts w:cs="Arial"/>
          <w:rtl/>
        </w:rPr>
        <w:t xml:space="preserve"> ונטולה אני מן היהודים</w:t>
      </w:r>
      <w:r>
        <w:rPr>
          <w:rFonts w:cs="Arial" w:hint="cs"/>
          <w:rtl/>
        </w:rPr>
        <w:t>.</w:t>
      </w:r>
      <w:r w:rsidRPr="005B2FE8">
        <w:rPr>
          <w:rFonts w:cs="Arial"/>
          <w:rtl/>
        </w:rPr>
        <w:t xml:space="preserve"> חזרו לומר שלא תהא אשה נותנת עיניה באחר ומקלקלת על בעלה</w:t>
      </w:r>
      <w:r>
        <w:rPr>
          <w:rFonts w:cs="Arial" w:hint="cs"/>
          <w:rtl/>
        </w:rPr>
        <w:t>,</w:t>
      </w:r>
      <w:r w:rsidRPr="005B2FE8">
        <w:rPr>
          <w:rFonts w:cs="Arial"/>
          <w:rtl/>
        </w:rPr>
        <w:t xml:space="preserve"> האומרת טמאה אני לך תביא ראייה לדבריה</w:t>
      </w:r>
      <w:r>
        <w:rPr>
          <w:rFonts w:cs="Arial" w:hint="cs"/>
          <w:rtl/>
        </w:rPr>
        <w:t>,</w:t>
      </w:r>
      <w:r w:rsidRPr="005B2FE8">
        <w:rPr>
          <w:rFonts w:cs="Arial"/>
          <w:rtl/>
        </w:rPr>
        <w:t xml:space="preserve"> שמים ביני לבינך יעשו דרך בקשה</w:t>
      </w:r>
      <w:r>
        <w:rPr>
          <w:rFonts w:cs="Arial" w:hint="cs"/>
          <w:rtl/>
        </w:rPr>
        <w:t>,</w:t>
      </w:r>
      <w:r w:rsidRPr="005B2FE8">
        <w:rPr>
          <w:rFonts w:cs="Arial"/>
          <w:rtl/>
        </w:rPr>
        <w:t xml:space="preserve"> ונטולה אני מן היהודים יפר חלקו ומשמשתו ותהא נטולה מן היהודים</w:t>
      </w:r>
      <w:r>
        <w:rPr>
          <w:rFonts w:cs="Arial" w:hint="cs"/>
          <w:rtl/>
        </w:rPr>
        <w:t>.</w:t>
      </w:r>
      <w:r w:rsidRPr="005B2FE8">
        <w:rPr>
          <w:rFonts w:cs="Arial"/>
          <w:rtl/>
        </w:rPr>
        <w:t xml:space="preserve"> </w:t>
      </w:r>
      <w:r>
        <w:rPr>
          <w:rFonts w:cs="Arial" w:hint="cs"/>
          <w:rtl/>
        </w:rPr>
        <w:t xml:space="preserve">     </w:t>
      </w:r>
      <w:r w:rsidRPr="005B2FE8">
        <w:rPr>
          <w:rFonts w:cs="Arial"/>
          <w:u w:val="double"/>
          <w:rtl/>
        </w:rPr>
        <w:t>גמ'</w:t>
      </w:r>
      <w:r>
        <w:rPr>
          <w:rFonts w:cs="Arial" w:hint="cs"/>
          <w:rtl/>
        </w:rPr>
        <w:t>:</w:t>
      </w:r>
      <w:r w:rsidRPr="005B2FE8">
        <w:rPr>
          <w:rFonts w:cs="Arial"/>
          <w:rtl/>
        </w:rPr>
        <w:t xml:space="preserve"> שמים ביני לבינך. כמא דשמיא רחיקין מן ארעא כן תהא האי איתתא רחיקא מן ההוא גברא. יעשו דרך בקשה. </w:t>
      </w:r>
      <w:r w:rsidRPr="005B2FE8">
        <w:rPr>
          <w:rFonts w:cs="Arial"/>
          <w:u w:val="single"/>
          <w:rtl/>
        </w:rPr>
        <w:t>אמר רב הונא</w:t>
      </w:r>
      <w:r>
        <w:rPr>
          <w:rFonts w:cs="Arial" w:hint="cs"/>
          <w:rtl/>
        </w:rPr>
        <w:t>:</w:t>
      </w:r>
      <w:r w:rsidRPr="005B2FE8">
        <w:rPr>
          <w:rFonts w:cs="Arial"/>
          <w:rtl/>
        </w:rPr>
        <w:t xml:space="preserve"> יעשו סעודה והן מתרגלין לבוא דרך סעודה</w:t>
      </w:r>
      <w:r w:rsidR="00872C45" w:rsidRPr="00872C45">
        <w:rPr>
          <w:rFonts w:cs="Arial"/>
          <w:rtl/>
        </w:rPr>
        <w:t>.</w:t>
      </w:r>
      <w:r w:rsidR="00C1620F">
        <w:rPr>
          <w:rFonts w:cs="Arial" w:hint="cs"/>
          <w:rtl/>
        </w:rPr>
        <w:t xml:space="preserve"> </w:t>
      </w:r>
      <w:r w:rsidR="00C1620F">
        <w:rPr>
          <w:rFonts w:cs="Arial" w:hint="cs"/>
          <w:sz w:val="16"/>
          <w:szCs w:val="16"/>
          <w:rtl/>
        </w:rPr>
        <w:t xml:space="preserve">(ומשנה זו מובאת בבבלי בסוף נדרים (צ:), ושם מתפרש דמה שאמרה 'השמים בינו לבינה' היינו שאינו יורה כחץ, וזהו שלא כפירוש הירושלמי, ואעפ"כ למד הרמב"ם </w:t>
      </w:r>
      <w:r w:rsidR="00436B33">
        <w:rPr>
          <w:rFonts w:cs="Arial" w:hint="cs"/>
          <w:sz w:val="16"/>
          <w:szCs w:val="16"/>
          <w:rtl/>
        </w:rPr>
        <w:t xml:space="preserve">(פי"ד הט"ז) </w:t>
      </w:r>
      <w:r w:rsidR="00C1620F">
        <w:rPr>
          <w:rFonts w:cs="Arial" w:hint="cs"/>
          <w:sz w:val="16"/>
          <w:szCs w:val="16"/>
          <w:rtl/>
        </w:rPr>
        <w:t>מהירושלמי</w:t>
      </w:r>
      <w:r w:rsidR="00C1620F" w:rsidRPr="00C1620F">
        <w:rPr>
          <w:rFonts w:cs="Arial"/>
          <w:rtl/>
        </w:rPr>
        <w:t xml:space="preserve"> </w:t>
      </w:r>
      <w:r w:rsidR="00C1620F" w:rsidRPr="00C1620F">
        <w:rPr>
          <w:rFonts w:cs="Arial"/>
          <w:sz w:val="16"/>
          <w:szCs w:val="16"/>
          <w:rtl/>
        </w:rPr>
        <w:t>שאף בטוענת שאינו עמה והוא מכחיש יעשו פשרה</w:t>
      </w:r>
      <w:r w:rsidR="00624664">
        <w:rPr>
          <w:rFonts w:cs="Arial" w:hint="cs"/>
          <w:sz w:val="16"/>
          <w:szCs w:val="16"/>
          <w:rtl/>
        </w:rPr>
        <w:t>,</w:t>
      </w:r>
      <w:r w:rsidR="00C1620F" w:rsidRPr="00C1620F">
        <w:rPr>
          <w:rFonts w:cs="Arial"/>
          <w:sz w:val="16"/>
          <w:szCs w:val="16"/>
          <w:rtl/>
        </w:rPr>
        <w:t xml:space="preserve"> </w:t>
      </w:r>
      <w:r w:rsidR="00624664">
        <w:rPr>
          <w:rFonts w:cs="Arial" w:hint="cs"/>
          <w:sz w:val="16"/>
          <w:szCs w:val="16"/>
          <w:rtl/>
        </w:rPr>
        <w:t>ע"פ הה"מ (שם</w:t>
      </w:r>
      <w:r w:rsidR="00C1620F">
        <w:rPr>
          <w:rFonts w:cs="Arial" w:hint="cs"/>
          <w:sz w:val="16"/>
          <w:szCs w:val="16"/>
          <w:rtl/>
        </w:rPr>
        <w:t>)</w:t>
      </w:r>
      <w:r w:rsidR="00624664">
        <w:rPr>
          <w:rFonts w:cs="Arial" w:hint="cs"/>
          <w:sz w:val="16"/>
          <w:szCs w:val="16"/>
          <w:rtl/>
        </w:rPr>
        <w:t>)</w:t>
      </w:r>
    </w:p>
    <w:p w14:paraId="2296C6F3" w14:textId="510AA52F" w:rsidR="00E52E9A" w:rsidRPr="00E52E9A" w:rsidRDefault="00E52E9A" w:rsidP="00E52E9A">
      <w:pPr>
        <w:rPr>
          <w:rFonts w:cs="Arial"/>
          <w:rtl/>
        </w:rPr>
      </w:pPr>
      <w:r>
        <w:rPr>
          <w:rFonts w:cs="Arial" w:hint="cs"/>
          <w:b/>
          <w:bCs/>
          <w:rtl/>
        </w:rPr>
        <w:t xml:space="preserve">נדה </w:t>
      </w:r>
      <w:r w:rsidR="00485E7A">
        <w:rPr>
          <w:rFonts w:cs="Arial" w:hint="cs"/>
          <w:b/>
          <w:bCs/>
          <w:sz w:val="16"/>
          <w:szCs w:val="16"/>
          <w:rtl/>
        </w:rPr>
        <w:t>(פ</w:t>
      </w:r>
      <w:r w:rsidR="000215E2">
        <w:rPr>
          <w:rFonts w:cs="Arial" w:hint="cs"/>
          <w:b/>
          <w:bCs/>
          <w:sz w:val="16"/>
          <w:szCs w:val="16"/>
          <w:rtl/>
        </w:rPr>
        <w:t>"ב</w:t>
      </w:r>
      <w:r w:rsidR="00485E7A">
        <w:rPr>
          <w:rFonts w:cs="Arial" w:hint="cs"/>
          <w:b/>
          <w:bCs/>
          <w:sz w:val="16"/>
          <w:szCs w:val="16"/>
          <w:rtl/>
        </w:rPr>
        <w:t xml:space="preserve">) </w:t>
      </w:r>
      <w:r>
        <w:rPr>
          <w:rFonts w:cs="Arial" w:hint="cs"/>
          <w:b/>
          <w:bCs/>
          <w:rtl/>
        </w:rPr>
        <w:t xml:space="preserve">טז ע"ב: </w:t>
      </w:r>
      <w:r w:rsidRPr="006A5634">
        <w:rPr>
          <w:rFonts w:cs="Arial"/>
          <w:u w:val="single"/>
          <w:rtl/>
        </w:rPr>
        <w:t>אמר רבי שמעון בן יוחאי</w:t>
      </w:r>
      <w:r w:rsidRPr="00C1620F">
        <w:rPr>
          <w:rFonts w:cs="Arial"/>
          <w:rtl/>
        </w:rPr>
        <w:t>: ארבעה דברים הקדוש ברוך הוא שונאן ואני איני אוהבן; הנכנס לביתו פתאום, ואצ"ל - לבית חבירו, והאוחז באמה ומשתין מים,</w:t>
      </w:r>
      <w:r w:rsidRPr="006A5634">
        <w:rPr>
          <w:rtl/>
        </w:rPr>
        <w:t xml:space="preserve"> </w:t>
      </w:r>
      <w:r>
        <w:rPr>
          <w:rFonts w:hint="cs"/>
          <w:sz w:val="14"/>
          <w:szCs w:val="14"/>
          <w:rtl/>
        </w:rPr>
        <w:t xml:space="preserve">(יז.) </w:t>
      </w:r>
      <w:r w:rsidRPr="006A5634">
        <w:rPr>
          <w:rFonts w:cs="Arial"/>
          <w:rtl/>
        </w:rPr>
        <w:t xml:space="preserve">ומשתין מים ערום לפני מטתו, והמשמש מטתו בפני כל חי. </w:t>
      </w:r>
      <w:r w:rsidRPr="006A5634">
        <w:rPr>
          <w:rFonts w:cs="Arial"/>
          <w:u w:val="single"/>
          <w:rtl/>
        </w:rPr>
        <w:t>אמר ליה רב יהודה לשמואל</w:t>
      </w:r>
      <w:r w:rsidRPr="006A5634">
        <w:rPr>
          <w:rFonts w:cs="Arial"/>
          <w:rtl/>
        </w:rPr>
        <w:t>: ואפי' לפני עכברים? א"ל: שיננא, לא, אלא כגון של בית פלוני - שמשמשין מטותיהן בפני עבדיהם ושפחותיהם. ואינהו מאי דרוש? שבו לכם פה עם החמור. עַם הדומה לחמור.</w:t>
      </w:r>
      <w:r w:rsidRPr="006A5634">
        <w:rPr>
          <w:rtl/>
        </w:rPr>
        <w:t xml:space="preserve"> </w:t>
      </w:r>
      <w:r w:rsidRPr="006A5634">
        <w:rPr>
          <w:rFonts w:cs="Arial"/>
          <w:rtl/>
        </w:rPr>
        <w:t>רבה בר רב הונא מקרקש זגי דכילתא, אביי באלי דידבי, רבא באלי פרוחי.</w:t>
      </w:r>
    </w:p>
    <w:p w14:paraId="473F2F3E" w14:textId="77777777" w:rsidR="004637B4" w:rsidRPr="004F4727" w:rsidRDefault="004637B4" w:rsidP="004637B4">
      <w:pPr>
        <w:rPr>
          <w:rFonts w:cs="Arial"/>
          <w:u w:val="single"/>
        </w:rPr>
      </w:pPr>
      <w:r w:rsidRPr="004F4727">
        <w:rPr>
          <w:rFonts w:cs="Arial"/>
          <w:u w:val="single"/>
          <w:rtl/>
        </w:rPr>
        <w:t xml:space="preserve">הוא אומר </w:t>
      </w:r>
      <w:r>
        <w:rPr>
          <w:rFonts w:cs="Arial" w:hint="cs"/>
          <w:u w:val="single"/>
          <w:rtl/>
        </w:rPr>
        <w:t>'</w:t>
      </w:r>
      <w:r w:rsidRPr="004F4727">
        <w:rPr>
          <w:rFonts w:cs="Arial"/>
          <w:u w:val="single"/>
          <w:rtl/>
        </w:rPr>
        <w:t>מורדת</w:t>
      </w:r>
      <w:r>
        <w:rPr>
          <w:rFonts w:cs="Arial" w:hint="cs"/>
          <w:u w:val="single"/>
          <w:rtl/>
        </w:rPr>
        <w:t xml:space="preserve"> היא</w:t>
      </w:r>
      <w:r w:rsidRPr="004F4727">
        <w:rPr>
          <w:rFonts w:cs="Arial"/>
          <w:u w:val="single"/>
          <w:rtl/>
        </w:rPr>
        <w:t xml:space="preserve"> מתשמיש</w:t>
      </w:r>
      <w:r>
        <w:rPr>
          <w:rFonts w:cs="Arial" w:hint="cs"/>
          <w:u w:val="single"/>
          <w:rtl/>
        </w:rPr>
        <w:t>'</w:t>
      </w:r>
      <w:r w:rsidRPr="004F4727">
        <w:rPr>
          <w:rFonts w:cs="Arial"/>
          <w:u w:val="single"/>
          <w:rtl/>
        </w:rPr>
        <w:t xml:space="preserve"> והיא אומרת </w:t>
      </w:r>
      <w:r>
        <w:rPr>
          <w:rFonts w:cs="Arial" w:hint="cs"/>
          <w:u w:val="single"/>
          <w:rtl/>
        </w:rPr>
        <w:t>'</w:t>
      </w:r>
      <w:r w:rsidRPr="004F4727">
        <w:rPr>
          <w:rFonts w:cs="Arial"/>
          <w:u w:val="single"/>
          <w:rtl/>
        </w:rPr>
        <w:t>כדרך כל הארץ אני עמו</w:t>
      </w:r>
      <w:r>
        <w:rPr>
          <w:rFonts w:cs="Arial" w:hint="cs"/>
          <w:u w:val="single"/>
          <w:rtl/>
        </w:rPr>
        <w:t>'</w:t>
      </w:r>
      <w:r>
        <w:rPr>
          <w:rFonts w:cs="Arial" w:hint="cs"/>
          <w:sz w:val="16"/>
          <w:szCs w:val="16"/>
          <w:u w:val="single"/>
          <w:rtl/>
        </w:rPr>
        <w:t xml:space="preserve"> (וכן להפך)</w:t>
      </w:r>
      <w:r w:rsidRPr="004F4727">
        <w:rPr>
          <w:rFonts w:cs="Arial" w:hint="cs"/>
          <w:u w:val="single"/>
          <w:rtl/>
        </w:rPr>
        <w:t>:</w:t>
      </w:r>
    </w:p>
    <w:p w14:paraId="5E0435B6" w14:textId="1BED36AB" w:rsidR="004637B4" w:rsidRDefault="004637B4" w:rsidP="009000E3">
      <w:pPr>
        <w:pStyle w:val="ab"/>
        <w:numPr>
          <w:ilvl w:val="0"/>
          <w:numId w:val="27"/>
        </w:numPr>
        <w:rPr>
          <w:rFonts w:cs="Arial"/>
        </w:rPr>
      </w:pPr>
      <w:r w:rsidRPr="00897A64">
        <w:rPr>
          <w:rFonts w:cs="Arial"/>
          <w:rtl/>
        </w:rPr>
        <w:t>רמב"ם</w:t>
      </w:r>
      <w:r>
        <w:rPr>
          <w:rFonts w:cs="Arial" w:hint="cs"/>
          <w:rtl/>
        </w:rPr>
        <w:t xml:space="preserve"> </w:t>
      </w:r>
      <w:r>
        <w:rPr>
          <w:rFonts w:cs="Arial" w:hint="cs"/>
          <w:sz w:val="16"/>
          <w:szCs w:val="16"/>
          <w:rtl/>
        </w:rPr>
        <w:t>(פי"ד הט"ז)</w:t>
      </w:r>
      <w:r>
        <w:rPr>
          <w:rFonts w:cs="Arial" w:hint="cs"/>
          <w:rtl/>
        </w:rPr>
        <w:t xml:space="preserve"> וטור-</w:t>
      </w:r>
      <w:r w:rsidRPr="00897A64">
        <w:rPr>
          <w:rFonts w:cs="Arial"/>
          <w:rtl/>
        </w:rPr>
        <w:t xml:space="preserve"> </w:t>
      </w:r>
      <w:r w:rsidRPr="00DB1490">
        <w:rPr>
          <w:rFonts w:cs="Arial"/>
          <w:rtl/>
        </w:rPr>
        <w:t>איש ואשתו שבאו לבית דין</w:t>
      </w:r>
      <w:r w:rsidR="008D34AA">
        <w:rPr>
          <w:rFonts w:cs="Arial" w:hint="cs"/>
          <w:rtl/>
        </w:rPr>
        <w:t>,</w:t>
      </w:r>
      <w:r w:rsidRPr="00DB1490">
        <w:rPr>
          <w:rFonts w:cs="Arial"/>
          <w:rtl/>
        </w:rPr>
        <w:t xml:space="preserve"> הוא אומר זו מורדת מתשמיש</w:t>
      </w:r>
      <w:r w:rsidR="008D34AA">
        <w:rPr>
          <w:rFonts w:cs="Arial" w:hint="cs"/>
          <w:rtl/>
        </w:rPr>
        <w:t>,</w:t>
      </w:r>
      <w:r w:rsidRPr="00DB1490">
        <w:rPr>
          <w:rFonts w:cs="Arial"/>
          <w:rtl/>
        </w:rPr>
        <w:t xml:space="preserve"> והיא אומרת לא כי אלא כדרך כל הארץ אני עמו</w:t>
      </w:r>
      <w:r w:rsidR="008D34AA">
        <w:rPr>
          <w:rFonts w:cs="Arial" w:hint="cs"/>
          <w:rtl/>
        </w:rPr>
        <w:t>.</w:t>
      </w:r>
      <w:r w:rsidRPr="00DB1490">
        <w:rPr>
          <w:rFonts w:cs="Arial"/>
          <w:rtl/>
        </w:rPr>
        <w:t xml:space="preserve"> וכן אם טענה היא ואמרה שהוא מורד מתשמיש</w:t>
      </w:r>
      <w:r w:rsidR="008D34AA">
        <w:rPr>
          <w:rFonts w:cs="Arial" w:hint="cs"/>
          <w:rtl/>
        </w:rPr>
        <w:t>,</w:t>
      </w:r>
      <w:r w:rsidRPr="00DB1490">
        <w:rPr>
          <w:rFonts w:cs="Arial"/>
          <w:rtl/>
        </w:rPr>
        <w:t xml:space="preserve"> והוא אומר לא כי אלא כדרך כל הארץ אני עמה</w:t>
      </w:r>
      <w:r w:rsidR="008D34AA">
        <w:rPr>
          <w:rFonts w:cs="Arial" w:hint="cs"/>
          <w:rtl/>
        </w:rPr>
        <w:t>.</w:t>
      </w:r>
      <w:r w:rsidRPr="00DB1490">
        <w:rPr>
          <w:rFonts w:cs="Arial"/>
          <w:rtl/>
        </w:rPr>
        <w:t xml:space="preserve"> מחרימין בתחלה על מי שהוא מורד ולא יודה בבית דין</w:t>
      </w:r>
      <w:r w:rsidR="008D34AA">
        <w:rPr>
          <w:rFonts w:cs="Arial" w:hint="cs"/>
          <w:rtl/>
        </w:rPr>
        <w:t>.</w:t>
      </w:r>
      <w:r w:rsidRPr="00DB1490">
        <w:rPr>
          <w:rFonts w:cs="Arial"/>
          <w:rtl/>
        </w:rPr>
        <w:t xml:space="preserve"> ואח</w:t>
      </w:r>
      <w:r w:rsidR="008D34AA">
        <w:rPr>
          <w:rFonts w:cs="Arial" w:hint="cs"/>
          <w:rtl/>
        </w:rPr>
        <w:t>"</w:t>
      </w:r>
      <w:r w:rsidRPr="00DB1490">
        <w:rPr>
          <w:rFonts w:cs="Arial"/>
          <w:rtl/>
        </w:rPr>
        <w:t>כ אם לא הודו אומרין להם התיחדו בפני עדים, נתיחדו ועדיין הם טוענין</w:t>
      </w:r>
      <w:r w:rsidR="008D34AA">
        <w:rPr>
          <w:rFonts w:cs="Arial" w:hint="cs"/>
          <w:rtl/>
        </w:rPr>
        <w:t>,</w:t>
      </w:r>
      <w:r w:rsidRPr="00DB1490">
        <w:rPr>
          <w:rFonts w:cs="Arial"/>
          <w:rtl/>
        </w:rPr>
        <w:t xml:space="preserve"> מבקשין מן הנטען ועושין פשרה כפי כח הדיין</w:t>
      </w:r>
      <w:r w:rsidR="00A92CF5">
        <w:rPr>
          <w:rFonts w:cs="Arial" w:hint="cs"/>
          <w:rtl/>
        </w:rPr>
        <w:t>.</w:t>
      </w:r>
      <w:r w:rsidRPr="00DB1490">
        <w:rPr>
          <w:rFonts w:cs="Arial"/>
          <w:rtl/>
        </w:rPr>
        <w:t xml:space="preserve"> אבל לבעול בפני בני אדם אי אפשר</w:t>
      </w:r>
      <w:r w:rsidR="00A92CF5">
        <w:rPr>
          <w:rFonts w:cs="Arial" w:hint="cs"/>
          <w:rtl/>
        </w:rPr>
        <w:t>,</w:t>
      </w:r>
      <w:r w:rsidRPr="00DB1490">
        <w:rPr>
          <w:rFonts w:cs="Arial"/>
          <w:rtl/>
        </w:rPr>
        <w:t xml:space="preserve"> לפי שאסור לבעול בפני כל בריה</w:t>
      </w:r>
      <w:r>
        <w:rPr>
          <w:rFonts w:cs="Arial" w:hint="cs"/>
          <w:sz w:val="16"/>
          <w:szCs w:val="16"/>
          <w:rtl/>
        </w:rPr>
        <w:t xml:space="preserve"> (ל' הרמב"ם)</w:t>
      </w:r>
      <w:r w:rsidR="00E52E9A">
        <w:rPr>
          <w:rStyle w:val="a7"/>
          <w:rFonts w:cs="Arial"/>
          <w:rtl/>
        </w:rPr>
        <w:footnoteReference w:id="584"/>
      </w:r>
      <w:r>
        <w:rPr>
          <w:rFonts w:cs="Arial" w:hint="cs"/>
          <w:rtl/>
        </w:rPr>
        <w:t>.</w:t>
      </w:r>
      <w:r w:rsidR="00485E7A" w:rsidRPr="00485E7A">
        <w:rPr>
          <w:rFonts w:hint="cs"/>
          <w:color w:val="E36C0A" w:themeColor="accent6" w:themeShade="BF"/>
          <w:rtl/>
        </w:rPr>
        <w:t xml:space="preserve"> </w:t>
      </w:r>
      <w:r w:rsidR="00485E7A" w:rsidRPr="007B74FB">
        <w:rPr>
          <w:rFonts w:hint="cs"/>
          <w:color w:val="E36C0A" w:themeColor="accent6" w:themeShade="BF"/>
          <w:rtl/>
        </w:rPr>
        <w:t>(וכ"פ בשו"ע)</w:t>
      </w:r>
    </w:p>
    <w:p w14:paraId="53003F98" w14:textId="0CCB8A8D" w:rsidR="00C1620F" w:rsidRPr="00897A64" w:rsidRDefault="00C1620F" w:rsidP="009000E3">
      <w:pPr>
        <w:pStyle w:val="ab"/>
        <w:numPr>
          <w:ilvl w:val="0"/>
          <w:numId w:val="27"/>
        </w:numPr>
        <w:rPr>
          <w:rFonts w:cs="Arial"/>
          <w:rtl/>
        </w:rPr>
      </w:pPr>
      <w:r>
        <w:rPr>
          <w:rFonts w:cs="Arial" w:hint="cs"/>
          <w:rtl/>
        </w:rPr>
        <w:lastRenderedPageBreak/>
        <w:t>ראב"</w:t>
      </w:r>
      <w:r w:rsidRPr="00C1620F">
        <w:rPr>
          <w:rFonts w:cs="Arial" w:hint="cs"/>
          <w:rtl/>
        </w:rPr>
        <w:t>ד</w:t>
      </w:r>
      <w:r>
        <w:rPr>
          <w:rFonts w:cs="Arial" w:hint="cs"/>
          <w:rtl/>
        </w:rPr>
        <w:t xml:space="preserve"> </w:t>
      </w:r>
      <w:r>
        <w:rPr>
          <w:rFonts w:cs="Arial" w:hint="cs"/>
          <w:sz w:val="16"/>
          <w:szCs w:val="16"/>
          <w:rtl/>
        </w:rPr>
        <w:t>(שם בהשגות)</w:t>
      </w:r>
      <w:r>
        <w:rPr>
          <w:rFonts w:cs="Arial" w:hint="cs"/>
          <w:rtl/>
        </w:rPr>
        <w:t xml:space="preserve">- </w:t>
      </w:r>
      <w:r w:rsidRPr="00C1620F">
        <w:rPr>
          <w:rFonts w:cs="Arial"/>
          <w:rtl/>
        </w:rPr>
        <w:t>אין אני רואה בכאן פשרה לדיין</w:t>
      </w:r>
      <w:r w:rsidR="00A92CF5">
        <w:rPr>
          <w:rFonts w:cs="Arial" w:hint="cs"/>
          <w:rtl/>
        </w:rPr>
        <w:t>,</w:t>
      </w:r>
      <w:r w:rsidRPr="00C1620F">
        <w:rPr>
          <w:rFonts w:cs="Arial"/>
          <w:rtl/>
        </w:rPr>
        <w:t xml:space="preserve"> ומשנתנו היא (סוף נדרים) השמים בינו לבינה ואמרו בירושלמי כמא דשמיא רחיקין מן ארעא תהא האי אתתא רחיקא מן ההוא גברא כלומר שהוא פרוש ממנה</w:t>
      </w:r>
      <w:r w:rsidR="00A92CF5">
        <w:rPr>
          <w:rFonts w:cs="Arial" w:hint="cs"/>
          <w:rtl/>
        </w:rPr>
        <w:t>.</w:t>
      </w:r>
      <w:r w:rsidRPr="00C1620F">
        <w:rPr>
          <w:rFonts w:cs="Arial"/>
          <w:rtl/>
        </w:rPr>
        <w:t xml:space="preserve"> וכן אמרו באגדה שרה אמנו אמרה לאברהם אבינו השמים בינו לבינה שהרחיקה בשביל הגר</w:t>
      </w:r>
      <w:r w:rsidR="00A92CF5">
        <w:rPr>
          <w:rFonts w:cs="Arial" w:hint="cs"/>
          <w:rtl/>
        </w:rPr>
        <w:t>.</w:t>
      </w:r>
      <w:r w:rsidRPr="00C1620F">
        <w:rPr>
          <w:rFonts w:cs="Arial"/>
          <w:rtl/>
        </w:rPr>
        <w:t xml:space="preserve"> ואם כמשנה ראשונה הרי האמינוה מפני שיכולה לומר אינו יורה כחץ</w:t>
      </w:r>
      <w:r w:rsidR="00A92CF5">
        <w:rPr>
          <w:rFonts w:cs="Arial" w:hint="cs"/>
          <w:rtl/>
        </w:rPr>
        <w:t>.</w:t>
      </w:r>
      <w:r w:rsidRPr="00C1620F">
        <w:rPr>
          <w:rFonts w:cs="Arial"/>
          <w:rtl/>
        </w:rPr>
        <w:t xml:space="preserve"> ואם כמשנה אחרונה הרי אמרו יעשו סעודה והן מתרגלין זה עם זה</w:t>
      </w:r>
      <w:r w:rsidR="00A92CF5">
        <w:rPr>
          <w:rFonts w:cs="Arial" w:hint="cs"/>
          <w:rtl/>
        </w:rPr>
        <w:t>.</w:t>
      </w:r>
      <w:r w:rsidRPr="00C1620F">
        <w:rPr>
          <w:rFonts w:cs="Arial"/>
          <w:rtl/>
        </w:rPr>
        <w:t xml:space="preserve"> ואין כאן מקום לחרמות מפני שהוא גנאי להן</w:t>
      </w:r>
      <w:r>
        <w:rPr>
          <w:rStyle w:val="a7"/>
          <w:rFonts w:cs="Arial"/>
          <w:rtl/>
        </w:rPr>
        <w:footnoteReference w:id="585"/>
      </w:r>
      <w:r w:rsidRPr="00C1620F">
        <w:rPr>
          <w:rFonts w:cs="Arial"/>
          <w:rtl/>
        </w:rPr>
        <w:t>.</w:t>
      </w:r>
    </w:p>
    <w:p w14:paraId="7C9D2DD5" w14:textId="77777777" w:rsidR="005A2954" w:rsidRDefault="005A2954" w:rsidP="005A2954">
      <w:pPr>
        <w:rPr>
          <w:rFonts w:cs="Arial"/>
          <w:rtl/>
        </w:rPr>
      </w:pPr>
      <w:r w:rsidRPr="003024E5">
        <w:rPr>
          <w:rFonts w:asciiTheme="minorBidi" w:hAnsiTheme="minorBidi"/>
          <w:b/>
          <w:bCs/>
          <w:color w:val="000000"/>
          <w:sz w:val="28"/>
          <w:szCs w:val="28"/>
          <w:u w:val="single"/>
          <w:rtl/>
        </w:rPr>
        <w:t>שו"ע:</w:t>
      </w:r>
    </w:p>
    <w:p w14:paraId="6CA7225C" w14:textId="408E621B" w:rsidR="000D2069" w:rsidRDefault="000D2069" w:rsidP="000D2069">
      <w:pPr>
        <w:rPr>
          <w:rtl/>
        </w:rPr>
      </w:pPr>
      <w:r>
        <w:rPr>
          <w:rFonts w:cs="Arial"/>
          <w:rtl/>
        </w:rPr>
        <w:t>איש ואשתו שבאו לב</w:t>
      </w:r>
      <w:r w:rsidR="00E52E9A">
        <w:rPr>
          <w:rFonts w:cs="Arial" w:hint="cs"/>
          <w:rtl/>
        </w:rPr>
        <w:t xml:space="preserve">ית </w:t>
      </w:r>
      <w:r>
        <w:rPr>
          <w:rFonts w:cs="Arial"/>
          <w:rtl/>
        </w:rPr>
        <w:t>ד</w:t>
      </w:r>
      <w:r w:rsidR="00E52E9A">
        <w:rPr>
          <w:rFonts w:cs="Arial" w:hint="cs"/>
          <w:rtl/>
        </w:rPr>
        <w:t>ין</w:t>
      </w:r>
      <w:r>
        <w:rPr>
          <w:rFonts w:cs="Arial"/>
          <w:rtl/>
        </w:rPr>
        <w:t>, הוא אומר: זו מורדת מתשמיש, והיא אומרת: לא כי אלא כדרך כל הארץ אני עמו</w:t>
      </w:r>
      <w:r w:rsidR="00E52E9A">
        <w:rPr>
          <w:rFonts w:cs="Arial" w:hint="cs"/>
          <w:rtl/>
        </w:rPr>
        <w:t>,</w:t>
      </w:r>
      <w:r>
        <w:rPr>
          <w:rFonts w:cs="Arial"/>
          <w:rtl/>
        </w:rPr>
        <w:t xml:space="preserve"> וכן אם טענה היא ואמרה שהוא מורד מתשמיש, והוא אומר: לא כי אלא כדרך כל הארץ אני עמה, מחרימין תחלה על מי שהוא מורד ולא יודה בב</w:t>
      </w:r>
      <w:r w:rsidR="00E52E9A">
        <w:rPr>
          <w:rFonts w:cs="Arial" w:hint="cs"/>
          <w:rtl/>
        </w:rPr>
        <w:t xml:space="preserve">ית </w:t>
      </w:r>
      <w:r>
        <w:rPr>
          <w:rFonts w:cs="Arial"/>
          <w:rtl/>
        </w:rPr>
        <w:t>ד</w:t>
      </w:r>
      <w:r w:rsidR="00E52E9A">
        <w:rPr>
          <w:rFonts w:cs="Arial" w:hint="cs"/>
          <w:rtl/>
        </w:rPr>
        <w:t>ין</w:t>
      </w:r>
      <w:r>
        <w:rPr>
          <w:rFonts w:cs="Arial"/>
          <w:rtl/>
        </w:rPr>
        <w:t>, ואח</w:t>
      </w:r>
      <w:r w:rsidR="00E52E9A">
        <w:rPr>
          <w:rFonts w:cs="Arial" w:hint="cs"/>
          <w:rtl/>
        </w:rPr>
        <w:t xml:space="preserve">ר </w:t>
      </w:r>
      <w:r>
        <w:rPr>
          <w:rFonts w:cs="Arial"/>
          <w:rtl/>
        </w:rPr>
        <w:t>כ</w:t>
      </w:r>
      <w:r w:rsidR="00E52E9A">
        <w:rPr>
          <w:rFonts w:cs="Arial" w:hint="cs"/>
          <w:rtl/>
        </w:rPr>
        <w:t>ך</w:t>
      </w:r>
      <w:r>
        <w:rPr>
          <w:rFonts w:cs="Arial"/>
          <w:rtl/>
        </w:rPr>
        <w:t xml:space="preserve">, אם לא הודו, אומרים להם: התייחדו בפני עדים. נתייחדו ועדיין הם טוענים, מבקשים מן הנטען ועושין פשרה כפי כח הדיין. </w:t>
      </w:r>
    </w:p>
    <w:p w14:paraId="2D91E8E8" w14:textId="77777777" w:rsidR="004C33D1" w:rsidRDefault="004C33D1" w:rsidP="000D2069">
      <w:pPr>
        <w:rPr>
          <w:rtl/>
        </w:rPr>
      </w:pPr>
    </w:p>
    <w:p w14:paraId="62DE1024" w14:textId="241730C0" w:rsidR="000D2069" w:rsidRDefault="000D2069" w:rsidP="000F64D0">
      <w:pPr>
        <w:pStyle w:val="2"/>
        <w:rPr>
          <w:rtl/>
        </w:rPr>
      </w:pPr>
      <w:r>
        <w:rPr>
          <w:rtl/>
        </w:rPr>
        <w:t>סעיף ה</w:t>
      </w:r>
      <w:r w:rsidR="004C33D1">
        <w:rPr>
          <w:rFonts w:hint="cs"/>
          <w:rtl/>
        </w:rPr>
        <w:t>:</w:t>
      </w:r>
      <w:r w:rsidR="009611AE">
        <w:rPr>
          <w:rFonts w:hint="cs"/>
          <w:rtl/>
        </w:rPr>
        <w:t xml:space="preserve"> ארוסה שטוענת 'מאיס', האם אביה צריך עדיין ליתן את הנדוניא.</w:t>
      </w:r>
    </w:p>
    <w:p w14:paraId="28B60699" w14:textId="18E307FC" w:rsidR="007B74FB" w:rsidRPr="007B74FB" w:rsidRDefault="007B74FB" w:rsidP="007B74FB">
      <w:pPr>
        <w:rPr>
          <w:u w:val="single"/>
          <w:rtl/>
        </w:rPr>
      </w:pPr>
      <w:r w:rsidRPr="007B74FB">
        <w:rPr>
          <w:rFonts w:hint="cs"/>
          <w:u w:val="single"/>
          <w:rtl/>
        </w:rPr>
        <w:t>ארוסה שטוענת 'מאיס', האם אביה צריך עדיין ליתן את הנדוניא</w:t>
      </w:r>
      <w:r>
        <w:rPr>
          <w:rFonts w:hint="cs"/>
          <w:u w:val="single"/>
          <w:rtl/>
        </w:rPr>
        <w:t xml:space="preserve"> שהתחייב ליתן לחתן</w:t>
      </w:r>
      <w:r w:rsidRPr="007B74FB">
        <w:rPr>
          <w:rFonts w:hint="cs"/>
          <w:u w:val="single"/>
          <w:rtl/>
        </w:rPr>
        <w:t>:</w:t>
      </w:r>
    </w:p>
    <w:p w14:paraId="2486867D" w14:textId="69A36F26" w:rsidR="004C33D1" w:rsidRPr="004C33D1" w:rsidRDefault="007B74FB" w:rsidP="009000E3">
      <w:pPr>
        <w:pStyle w:val="ab"/>
        <w:numPr>
          <w:ilvl w:val="0"/>
          <w:numId w:val="27"/>
        </w:numPr>
        <w:rPr>
          <w:rtl/>
        </w:rPr>
      </w:pPr>
      <w:r w:rsidRPr="007B74FB">
        <w:rPr>
          <w:rFonts w:cs="Arial" w:hint="cs"/>
          <w:rtl/>
        </w:rPr>
        <w:t xml:space="preserve">טור </w:t>
      </w:r>
      <w:r w:rsidRPr="007B74FB">
        <w:rPr>
          <w:rFonts w:cs="Arial" w:hint="cs"/>
          <w:sz w:val="16"/>
          <w:szCs w:val="16"/>
          <w:rtl/>
        </w:rPr>
        <w:t>(בסי' קנד)</w:t>
      </w:r>
      <w:r w:rsidRPr="007B74FB">
        <w:rPr>
          <w:rFonts w:cs="Arial" w:hint="cs"/>
          <w:rtl/>
        </w:rPr>
        <w:t xml:space="preserve">- </w:t>
      </w:r>
      <w:r w:rsidRPr="007B74FB">
        <w:rPr>
          <w:rFonts w:cs="Arial"/>
          <w:rtl/>
        </w:rPr>
        <w:t>ואם היא ארוסה ואינה רוצה לינשא בטענת מאיס עלי</w:t>
      </w:r>
      <w:r w:rsidR="007A4791">
        <w:rPr>
          <w:rFonts w:cs="Arial" w:hint="cs"/>
          <w:rtl/>
        </w:rPr>
        <w:t>,</w:t>
      </w:r>
      <w:r w:rsidRPr="007B74FB">
        <w:rPr>
          <w:rFonts w:cs="Arial"/>
          <w:rtl/>
        </w:rPr>
        <w:t xml:space="preserve"> ואביה פסק ליתן עליה ממון</w:t>
      </w:r>
      <w:r w:rsidR="007A4791">
        <w:rPr>
          <w:rFonts w:cs="Arial" w:hint="cs"/>
          <w:rtl/>
        </w:rPr>
        <w:t>,</w:t>
      </w:r>
      <w:r w:rsidRPr="007B74FB">
        <w:rPr>
          <w:rFonts w:cs="Arial"/>
          <w:rtl/>
        </w:rPr>
        <w:t xml:space="preserve"> והארוס שואל מה שפסק</w:t>
      </w:r>
      <w:r w:rsidR="007A4791">
        <w:rPr>
          <w:rFonts w:cs="Arial" w:hint="cs"/>
          <w:rtl/>
        </w:rPr>
        <w:t>.</w:t>
      </w:r>
      <w:r w:rsidRPr="007B74FB">
        <w:rPr>
          <w:rFonts w:cs="Arial"/>
          <w:rtl/>
        </w:rPr>
        <w:t xml:space="preserve"> ודאי כיון שבתו אינה רוצה לינשא לו </w:t>
      </w:r>
      <w:r w:rsidR="007A4791">
        <w:rPr>
          <w:rFonts w:cs="Arial" w:hint="cs"/>
          <w:rtl/>
        </w:rPr>
        <w:t xml:space="preserve">- </w:t>
      </w:r>
      <w:r w:rsidRPr="007B74FB">
        <w:rPr>
          <w:rFonts w:cs="Arial"/>
          <w:rtl/>
        </w:rPr>
        <w:t>אינו חייב ליתן</w:t>
      </w:r>
      <w:r w:rsidR="004C155F">
        <w:rPr>
          <w:rFonts w:cs="Arial" w:hint="cs"/>
          <w:rtl/>
        </w:rPr>
        <w:t>,</w:t>
      </w:r>
      <w:r w:rsidRPr="007B74FB">
        <w:rPr>
          <w:rFonts w:cs="Arial"/>
          <w:rtl/>
        </w:rPr>
        <w:t xml:space="preserve"> שלא פסק לו אלא ע"מ שתינשא לו</w:t>
      </w:r>
      <w:r w:rsidR="004C155F">
        <w:rPr>
          <w:rFonts w:cs="Arial" w:hint="cs"/>
          <w:rtl/>
        </w:rPr>
        <w:t>,</w:t>
      </w:r>
      <w:r w:rsidRPr="007B74FB">
        <w:rPr>
          <w:rFonts w:cs="Arial"/>
          <w:rtl/>
        </w:rPr>
        <w:t xml:space="preserve"> והיא אינה ברשותו לכופה שתינשא לו</w:t>
      </w:r>
      <w:r>
        <w:rPr>
          <w:rStyle w:val="a7"/>
          <w:rFonts w:cs="Arial"/>
          <w:rtl/>
        </w:rPr>
        <w:footnoteReference w:id="586"/>
      </w:r>
      <w:r w:rsidRPr="007B74FB">
        <w:rPr>
          <w:rFonts w:cs="Arial" w:hint="cs"/>
          <w:rtl/>
        </w:rPr>
        <w:t>.</w:t>
      </w:r>
      <w:r>
        <w:rPr>
          <w:rFonts w:hint="cs"/>
          <w:rtl/>
        </w:rPr>
        <w:t xml:space="preserve"> </w:t>
      </w:r>
      <w:r w:rsidRPr="007B74FB">
        <w:rPr>
          <w:rFonts w:hint="cs"/>
          <w:color w:val="E36C0A" w:themeColor="accent6" w:themeShade="BF"/>
          <w:rtl/>
        </w:rPr>
        <w:t>(וכ"פ בשו"ע)</w:t>
      </w:r>
    </w:p>
    <w:p w14:paraId="34F43466" w14:textId="77777777" w:rsidR="005A2954" w:rsidRDefault="005A2954" w:rsidP="005A2954">
      <w:pPr>
        <w:rPr>
          <w:rFonts w:cs="Arial"/>
          <w:rtl/>
        </w:rPr>
      </w:pPr>
      <w:r w:rsidRPr="003024E5">
        <w:rPr>
          <w:rFonts w:asciiTheme="minorBidi" w:hAnsiTheme="minorBidi"/>
          <w:b/>
          <w:bCs/>
          <w:color w:val="000000"/>
          <w:sz w:val="28"/>
          <w:szCs w:val="28"/>
          <w:u w:val="single"/>
          <w:rtl/>
        </w:rPr>
        <w:t>שו"ע:</w:t>
      </w:r>
    </w:p>
    <w:p w14:paraId="3829E053" w14:textId="0DD64364" w:rsidR="000D2069" w:rsidRPr="000D2069" w:rsidRDefault="000D2069" w:rsidP="000D2069">
      <w:pPr>
        <w:rPr>
          <w:rtl/>
        </w:rPr>
        <w:sectPr w:rsidR="000D2069" w:rsidRPr="000D2069" w:rsidSect="00A347B3">
          <w:headerReference w:type="default" r:id="rId20"/>
          <w:footnotePr>
            <w:numRestart w:val="eachSect"/>
          </w:footnotePr>
          <w:pgSz w:w="11906" w:h="16838"/>
          <w:pgMar w:top="720" w:right="1134" w:bottom="720" w:left="1134" w:header="0" w:footer="0" w:gutter="0"/>
          <w:cols w:space="720"/>
          <w:bidi/>
          <w:rtlGutter/>
          <w:docGrid w:linePitch="360"/>
        </w:sectPr>
      </w:pPr>
      <w:r>
        <w:rPr>
          <w:rFonts w:cs="Arial"/>
          <w:rtl/>
        </w:rPr>
        <w:t>ארוסה שאינה רוצה לינשא בטענת מאיס עלי, אין אביה חייב ליתן לו מה שפסק ליתן לו בנדונייתא</w:t>
      </w:r>
      <w:r w:rsidR="00150190">
        <w:rPr>
          <w:rStyle w:val="a7"/>
          <w:rFonts w:cs="Arial"/>
          <w:rtl/>
        </w:rPr>
        <w:footnoteReference w:id="587"/>
      </w:r>
      <w:r>
        <w:rPr>
          <w:rFonts w:cs="Arial"/>
          <w:rtl/>
        </w:rPr>
        <w:t>.</w:t>
      </w:r>
    </w:p>
    <w:p w14:paraId="45DCA528" w14:textId="3F44BF43" w:rsidR="000D2069" w:rsidRDefault="00942887" w:rsidP="000D2069">
      <w:pPr>
        <w:pStyle w:val="1"/>
        <w:rPr>
          <w:rtl/>
        </w:rPr>
      </w:pPr>
      <w:r>
        <w:rPr>
          <w:rFonts w:hint="cs"/>
          <w:rtl/>
        </w:rPr>
        <w:lastRenderedPageBreak/>
        <w:t xml:space="preserve">סימן </w:t>
      </w:r>
      <w:r w:rsidR="001E098A">
        <w:rPr>
          <w:rFonts w:hint="cs"/>
          <w:rtl/>
        </w:rPr>
        <w:t>עח</w:t>
      </w:r>
      <w:r>
        <w:rPr>
          <w:rFonts w:hint="cs"/>
          <w:rtl/>
        </w:rPr>
        <w:t>:</w:t>
      </w:r>
      <w:r w:rsidRPr="00C12B74">
        <w:rPr>
          <w:rtl/>
        </w:rPr>
        <w:t xml:space="preserve"> </w:t>
      </w:r>
      <w:r w:rsidR="000D2069">
        <w:rPr>
          <w:rFonts w:cs="Arial"/>
          <w:rtl/>
        </w:rPr>
        <w:t xml:space="preserve">חיוב פדיונה, ובו ח' סעיפים. </w:t>
      </w:r>
    </w:p>
    <w:p w14:paraId="3CB8C6D3" w14:textId="5F7881A3" w:rsidR="000D2069" w:rsidRDefault="000D2069" w:rsidP="000F64D0">
      <w:pPr>
        <w:pStyle w:val="2"/>
        <w:rPr>
          <w:rtl/>
        </w:rPr>
      </w:pPr>
      <w:r>
        <w:rPr>
          <w:rtl/>
        </w:rPr>
        <w:t>סעיף א</w:t>
      </w:r>
      <w:r w:rsidR="002C478C">
        <w:rPr>
          <w:rFonts w:hint="cs"/>
          <w:rtl/>
        </w:rPr>
        <w:t>: חיוב פדיונה.</w:t>
      </w:r>
    </w:p>
    <w:p w14:paraId="2D12264E" w14:textId="1329C3BF" w:rsidR="002C478C" w:rsidRPr="002C478C" w:rsidRDefault="002C478C" w:rsidP="002C478C">
      <w:pPr>
        <w:rPr>
          <w:rFonts w:cs="Arial"/>
          <w:rtl/>
        </w:rPr>
      </w:pPr>
      <w:r w:rsidRPr="00AB0AB9">
        <w:rPr>
          <w:rFonts w:cs="Arial" w:hint="cs"/>
          <w:b/>
          <w:bCs/>
          <w:rtl/>
        </w:rPr>
        <w:t>כתובות</w:t>
      </w:r>
      <w:r>
        <w:rPr>
          <w:rFonts w:cs="Arial" w:hint="cs"/>
          <w:b/>
          <w:bCs/>
          <w:rtl/>
        </w:rPr>
        <w:t xml:space="preserve"> </w:t>
      </w:r>
      <w:r>
        <w:rPr>
          <w:rFonts w:cs="Arial" w:hint="cs"/>
          <w:b/>
          <w:bCs/>
          <w:sz w:val="16"/>
          <w:szCs w:val="16"/>
          <w:rtl/>
        </w:rPr>
        <w:t>(פ' נערה שנתפתתה)</w:t>
      </w:r>
      <w:r w:rsidRPr="00AB0AB9">
        <w:rPr>
          <w:rFonts w:cs="Arial" w:hint="cs"/>
          <w:b/>
          <w:bCs/>
          <w:rtl/>
        </w:rPr>
        <w:t xml:space="preserve"> </w:t>
      </w:r>
      <w:r>
        <w:rPr>
          <w:rFonts w:cs="Arial" w:hint="cs"/>
          <w:b/>
          <w:bCs/>
          <w:rtl/>
        </w:rPr>
        <w:t>נא</w:t>
      </w:r>
      <w:r w:rsidRPr="00AB0AB9">
        <w:rPr>
          <w:rFonts w:cs="Arial" w:hint="cs"/>
          <w:b/>
          <w:bCs/>
          <w:rtl/>
        </w:rPr>
        <w:t xml:space="preserve"> ע"</w:t>
      </w:r>
      <w:r>
        <w:rPr>
          <w:rFonts w:cs="Arial" w:hint="cs"/>
          <w:b/>
          <w:bCs/>
          <w:rtl/>
        </w:rPr>
        <w:t>א</w:t>
      </w:r>
      <w:r w:rsidRPr="00AB0AB9">
        <w:rPr>
          <w:rFonts w:cs="Arial" w:hint="cs"/>
          <w:b/>
          <w:bCs/>
          <w:rtl/>
        </w:rPr>
        <w:t xml:space="preserve">: </w:t>
      </w:r>
      <w:r w:rsidRPr="00AB0AB9">
        <w:rPr>
          <w:rFonts w:cs="Arial"/>
          <w:u w:val="double"/>
          <w:rtl/>
        </w:rPr>
        <w:t>מתני'</w:t>
      </w:r>
      <w:r>
        <w:rPr>
          <w:rFonts w:cs="Arial" w:hint="cs"/>
          <w:rtl/>
        </w:rPr>
        <w:t>:</w:t>
      </w:r>
      <w:r w:rsidRPr="00F42A20">
        <w:rPr>
          <w:rFonts w:cs="Arial"/>
          <w:rtl/>
        </w:rPr>
        <w:t xml:space="preserve"> לא כתב לה כתובה - בתולה גובה מאתים ואלמנה מנה, מפני שהוא תנאי בית דין.</w:t>
      </w:r>
      <w:r>
        <w:rPr>
          <w:rFonts w:cs="Arial" w:hint="cs"/>
          <w:rtl/>
        </w:rPr>
        <w:t>.</w:t>
      </w:r>
      <w:r w:rsidRPr="00F42A20">
        <w:rPr>
          <w:rFonts w:cs="Arial"/>
          <w:rtl/>
        </w:rPr>
        <w:t>. לא כתב לה אם תשתבאי אפרקינך ואותבינך לי לאינתו, ובכהנת אהדרינך למדינתך - חייב, שהוא תנאי בית דין. נשבית - חייב לפדותה, ואם אמר הרי גיטה וכתובתה ותפדה את עצמה - אינו רשאי. לקתה - חייב לרפאותה</w:t>
      </w:r>
      <w:r w:rsidR="002E6A90">
        <w:rPr>
          <w:rFonts w:cs="Arial" w:hint="cs"/>
          <w:rtl/>
        </w:rPr>
        <w:t>,</w:t>
      </w:r>
      <w:r w:rsidRPr="00F42A20">
        <w:rPr>
          <w:rFonts w:cs="Arial"/>
          <w:rtl/>
        </w:rPr>
        <w:t xml:space="preserve"> אמר הרי גיטה וכתובתה תרפא את עצמה - רשאי.</w:t>
      </w:r>
    </w:p>
    <w:p w14:paraId="0B25BFCA" w14:textId="44E1AE9D" w:rsidR="002C478C" w:rsidRPr="002C478C" w:rsidRDefault="002C478C" w:rsidP="002C478C">
      <w:pPr>
        <w:rPr>
          <w:u w:val="single"/>
          <w:rtl/>
        </w:rPr>
      </w:pPr>
      <w:r w:rsidRPr="002C478C">
        <w:rPr>
          <w:rFonts w:hint="cs"/>
          <w:u w:val="single"/>
          <w:rtl/>
        </w:rPr>
        <w:t>חיוב פדיונה:</w:t>
      </w:r>
    </w:p>
    <w:p w14:paraId="2B01A899" w14:textId="621A3963" w:rsidR="002C478C" w:rsidRDefault="002C478C" w:rsidP="009000E3">
      <w:pPr>
        <w:pStyle w:val="ab"/>
        <w:numPr>
          <w:ilvl w:val="0"/>
          <w:numId w:val="27"/>
        </w:numPr>
      </w:pPr>
      <w:r>
        <w:rPr>
          <w:rFonts w:cs="Arial" w:hint="cs"/>
          <w:rtl/>
        </w:rPr>
        <w:t xml:space="preserve">טור- </w:t>
      </w:r>
      <w:r w:rsidR="00825FED" w:rsidRPr="00825FED">
        <w:rPr>
          <w:rFonts w:cs="Arial"/>
          <w:rtl/>
        </w:rPr>
        <w:t>בפדיונה כיצד</w:t>
      </w:r>
      <w:r>
        <w:rPr>
          <w:rFonts w:cs="Arial" w:hint="cs"/>
          <w:rtl/>
        </w:rPr>
        <w:t>,</w:t>
      </w:r>
      <w:r w:rsidR="00825FED" w:rsidRPr="00825FED">
        <w:rPr>
          <w:rFonts w:cs="Arial"/>
          <w:rtl/>
        </w:rPr>
        <w:t xml:space="preserve"> נשבית </w:t>
      </w:r>
      <w:r>
        <w:rPr>
          <w:rFonts w:cs="Arial" w:hint="cs"/>
          <w:rtl/>
        </w:rPr>
        <w:t xml:space="preserve">- </w:t>
      </w:r>
      <w:r w:rsidR="00825FED" w:rsidRPr="00825FED">
        <w:rPr>
          <w:rFonts w:cs="Arial"/>
          <w:rtl/>
        </w:rPr>
        <w:t>חייב לפדותה</w:t>
      </w:r>
      <w:r>
        <w:rPr>
          <w:rFonts w:cs="Arial" w:hint="cs"/>
          <w:rtl/>
        </w:rPr>
        <w:t>,</w:t>
      </w:r>
      <w:r w:rsidR="00825FED" w:rsidRPr="00825FED">
        <w:rPr>
          <w:rFonts w:cs="Arial"/>
          <w:rtl/>
        </w:rPr>
        <w:t xml:space="preserve"> ואינו יכול לומר הרי זה גיטך וכתובתיך ותפדה את עצמך</w:t>
      </w:r>
      <w:r>
        <w:rPr>
          <w:rFonts w:cs="Arial" w:hint="cs"/>
          <w:rtl/>
        </w:rPr>
        <w:t>.</w:t>
      </w:r>
      <w:r w:rsidR="00825FED" w:rsidRPr="00825FED">
        <w:rPr>
          <w:rFonts w:cs="Arial"/>
          <w:rtl/>
        </w:rPr>
        <w:t xml:space="preserve"> ואפי' אם יאמר איני פודך ולא אטול פירותיך</w:t>
      </w:r>
      <w:r>
        <w:rPr>
          <w:rFonts w:cs="Arial" w:hint="cs"/>
          <w:rtl/>
        </w:rPr>
        <w:t xml:space="preserve"> -</w:t>
      </w:r>
      <w:r w:rsidR="00825FED" w:rsidRPr="00825FED">
        <w:rPr>
          <w:rFonts w:cs="Arial"/>
          <w:rtl/>
        </w:rPr>
        <w:t xml:space="preserve"> אין שומעין לו</w:t>
      </w:r>
      <w:r w:rsidR="00825FED">
        <w:rPr>
          <w:rStyle w:val="a7"/>
          <w:rFonts w:cs="Arial"/>
          <w:rtl/>
        </w:rPr>
        <w:footnoteReference w:id="588"/>
      </w:r>
      <w:r>
        <w:rPr>
          <w:rFonts w:cs="Arial" w:hint="cs"/>
          <w:rtl/>
        </w:rPr>
        <w:t>,</w:t>
      </w:r>
      <w:r w:rsidR="00825FED" w:rsidRPr="00825FED">
        <w:rPr>
          <w:rFonts w:cs="Arial"/>
          <w:rtl/>
        </w:rPr>
        <w:t xml:space="preserve"> אע</w:t>
      </w:r>
      <w:r>
        <w:rPr>
          <w:rFonts w:cs="Arial" w:hint="cs"/>
          <w:rtl/>
        </w:rPr>
        <w:t>"</w:t>
      </w:r>
      <w:r w:rsidR="00825FED" w:rsidRPr="00825FED">
        <w:rPr>
          <w:rFonts w:cs="Arial"/>
          <w:rtl/>
        </w:rPr>
        <w:t>פ שתקנו פרקונה תחת פירות שאוכל משלה אפ"ה אין שומעין לו אלא צריך לפדותה</w:t>
      </w:r>
      <w:r>
        <w:rPr>
          <w:rStyle w:val="a7"/>
          <w:rFonts w:cs="Arial"/>
          <w:rtl/>
        </w:rPr>
        <w:footnoteReference w:id="589"/>
      </w:r>
      <w:r>
        <w:rPr>
          <w:rFonts w:cs="Arial" w:hint="cs"/>
          <w:rtl/>
        </w:rPr>
        <w:t>.</w:t>
      </w:r>
      <w:r w:rsidR="00825FED" w:rsidRPr="00825FED">
        <w:rPr>
          <w:rFonts w:cs="Arial"/>
          <w:rtl/>
        </w:rPr>
        <w:t xml:space="preserve"> </w:t>
      </w:r>
      <w:r w:rsidRPr="007B74FB">
        <w:rPr>
          <w:rFonts w:hint="cs"/>
          <w:color w:val="E36C0A" w:themeColor="accent6" w:themeShade="BF"/>
          <w:rtl/>
        </w:rPr>
        <w:t>(וכ"פ בשו"ע)</w:t>
      </w:r>
    </w:p>
    <w:p w14:paraId="23186674" w14:textId="290124C5" w:rsidR="001967C9" w:rsidRPr="001967C9" w:rsidRDefault="001967C9" w:rsidP="001967C9">
      <w:pPr>
        <w:ind w:left="360"/>
        <w:rPr>
          <w:rFonts w:cs="Arial"/>
        </w:rPr>
      </w:pPr>
      <w:r w:rsidRPr="001967C9">
        <w:rPr>
          <w:rFonts w:hint="cs"/>
          <w:u w:val="dotted"/>
          <w:rtl/>
        </w:rPr>
        <w:t>ומה הדין אם אמר</w:t>
      </w:r>
      <w:r w:rsidR="00713E0B">
        <w:rPr>
          <w:rFonts w:hint="cs"/>
          <w:u w:val="dotted"/>
          <w:rtl/>
        </w:rPr>
        <w:t xml:space="preserve"> לה</w:t>
      </w:r>
      <w:r w:rsidRPr="001967C9">
        <w:rPr>
          <w:rFonts w:hint="cs"/>
          <w:u w:val="dotted"/>
          <w:rtl/>
        </w:rPr>
        <w:t xml:space="preserve"> </w:t>
      </w:r>
      <w:r w:rsidRPr="001967C9">
        <w:rPr>
          <w:rFonts w:hint="cs"/>
          <w:b/>
          <w:bCs/>
          <w:u w:val="dotted"/>
          <w:rtl/>
        </w:rPr>
        <w:t xml:space="preserve">קודם </w:t>
      </w:r>
      <w:r w:rsidR="00713E0B">
        <w:rPr>
          <w:rFonts w:hint="cs"/>
          <w:b/>
          <w:bCs/>
          <w:u w:val="dotted"/>
          <w:rtl/>
        </w:rPr>
        <w:t>ה</w:t>
      </w:r>
      <w:r w:rsidRPr="001967C9">
        <w:rPr>
          <w:rFonts w:hint="cs"/>
          <w:b/>
          <w:bCs/>
          <w:u w:val="dotted"/>
          <w:rtl/>
        </w:rPr>
        <w:t>אירוסין</w:t>
      </w:r>
      <w:r>
        <w:rPr>
          <w:rFonts w:hint="cs"/>
          <w:u w:val="dotted"/>
          <w:rtl/>
        </w:rPr>
        <w:t xml:space="preserve"> 'איני נוטל פירות ואיני פודה אותה':</w:t>
      </w:r>
      <w:r w:rsidRPr="001967C9">
        <w:rPr>
          <w:rFonts w:cs="Arial" w:hint="cs"/>
          <w:rtl/>
        </w:rPr>
        <w:t xml:space="preserve"> </w:t>
      </w:r>
    </w:p>
    <w:p w14:paraId="2A06A38F" w14:textId="77777777" w:rsidR="001A615B" w:rsidRDefault="001967C9" w:rsidP="009000E3">
      <w:pPr>
        <w:pStyle w:val="ab"/>
        <w:numPr>
          <w:ilvl w:val="0"/>
          <w:numId w:val="27"/>
        </w:numPr>
      </w:pPr>
      <w:r>
        <w:rPr>
          <w:rFonts w:cs="Arial" w:hint="cs"/>
          <w:rtl/>
        </w:rPr>
        <w:t xml:space="preserve">רשב"ם </w:t>
      </w:r>
      <w:r>
        <w:rPr>
          <w:rFonts w:cs="Arial" w:hint="cs"/>
          <w:sz w:val="16"/>
          <w:szCs w:val="16"/>
          <w:rtl/>
        </w:rPr>
        <w:t>(מט: ד"ה כדרב הונא)</w:t>
      </w:r>
      <w:r>
        <w:rPr>
          <w:rFonts w:cs="Arial" w:hint="cs"/>
          <w:rtl/>
        </w:rPr>
        <w:t xml:space="preserve">- </w:t>
      </w:r>
      <w:r w:rsidRPr="001967C9">
        <w:rPr>
          <w:rFonts w:cs="Arial"/>
          <w:rtl/>
        </w:rPr>
        <w:t>וה"ה לפירות של נכסי מלוג שתקנו חכמים לבעל פירותיה תחת פרקונה כ"ש וכ"ש שאם אמר איני מקבל עלי תקנת פרקונה ואיני חושש בפירות נכסי מלוג שתקנו לי דמועיל התנאי בעודה ארוסה שעדיין לא זכה בקרקעותיה לפירות</w:t>
      </w:r>
      <w:r w:rsidR="002E6A90">
        <w:rPr>
          <w:rStyle w:val="a7"/>
          <w:rtl/>
        </w:rPr>
        <w:footnoteReference w:id="590"/>
      </w:r>
      <w:r>
        <w:rPr>
          <w:rFonts w:hint="cs"/>
          <w:rtl/>
        </w:rPr>
        <w:t>.</w:t>
      </w:r>
    </w:p>
    <w:p w14:paraId="1AC10829" w14:textId="2D0C4B8E" w:rsidR="001967C9" w:rsidRPr="002C478C" w:rsidRDefault="001A615B" w:rsidP="009000E3">
      <w:pPr>
        <w:pStyle w:val="ab"/>
        <w:numPr>
          <w:ilvl w:val="0"/>
          <w:numId w:val="27"/>
        </w:numPr>
      </w:pPr>
      <w:r>
        <w:rPr>
          <w:rFonts w:cs="Arial" w:hint="cs"/>
          <w:rtl/>
        </w:rPr>
        <w:t xml:space="preserve">תוס' </w:t>
      </w:r>
      <w:r>
        <w:rPr>
          <w:rFonts w:cs="Arial" w:hint="cs"/>
          <w:sz w:val="16"/>
          <w:szCs w:val="16"/>
          <w:rtl/>
        </w:rPr>
        <w:t xml:space="preserve">(מט: ד"ה </w:t>
      </w:r>
      <w:r w:rsidR="00A843B6">
        <w:rPr>
          <w:rFonts w:cs="Arial" w:hint="cs"/>
          <w:sz w:val="16"/>
          <w:szCs w:val="16"/>
          <w:rtl/>
        </w:rPr>
        <w:t>יכולה אשה</w:t>
      </w:r>
      <w:r>
        <w:rPr>
          <w:rFonts w:cs="Arial" w:hint="cs"/>
          <w:sz w:val="16"/>
          <w:szCs w:val="16"/>
          <w:rtl/>
        </w:rPr>
        <w:t>)</w:t>
      </w:r>
      <w:r>
        <w:rPr>
          <w:rFonts w:cs="Arial" w:hint="cs"/>
          <w:rtl/>
        </w:rPr>
        <w:t xml:space="preserve">- </w:t>
      </w:r>
      <w:r w:rsidRPr="001A615B">
        <w:rPr>
          <w:rFonts w:cs="Arial"/>
          <w:rtl/>
        </w:rPr>
        <w:t xml:space="preserve">וקצת היה נראה לרשב"א להביא ראיה לדבריו </w:t>
      </w:r>
      <w:r>
        <w:rPr>
          <w:rFonts w:cs="Arial" w:hint="cs"/>
          <w:sz w:val="16"/>
          <w:szCs w:val="16"/>
          <w:rtl/>
        </w:rPr>
        <w:t>{של רשב"ם}</w:t>
      </w:r>
      <w:r>
        <w:rPr>
          <w:rFonts w:cs="Arial" w:hint="cs"/>
          <w:rtl/>
        </w:rPr>
        <w:t>...</w:t>
      </w:r>
      <w:r w:rsidRPr="001A615B">
        <w:rPr>
          <w:rFonts w:cs="Arial"/>
          <w:rtl/>
        </w:rPr>
        <w:t xml:space="preserve"> ומ"מ אומר רשב"א דאי אפשר לומר כן</w:t>
      </w:r>
      <w:r w:rsidR="00A843B6">
        <w:rPr>
          <w:rFonts w:cs="Arial" w:hint="cs"/>
          <w:rtl/>
        </w:rPr>
        <w:t>,</w:t>
      </w:r>
      <w:r w:rsidRPr="001A615B">
        <w:rPr>
          <w:rFonts w:cs="Arial"/>
          <w:rtl/>
        </w:rPr>
        <w:t xml:space="preserve"> דאדרבה פרקונה עיקר כמו שמדקדק ר"י בכתובות פ' נערה (דף מז:) דאמר מאי לפיכך בעל אוכל פירות מהו דתימא מיכל לא ניכלינהו אנוחי נינחינהו כו' קמ"ל דהא עדיפא דזימנין דלא מלו ופריק לה מדידיה</w:t>
      </w:r>
      <w:r w:rsidR="00A843B6">
        <w:rPr>
          <w:rFonts w:cs="Arial" w:hint="cs"/>
          <w:rtl/>
        </w:rPr>
        <w:t>.</w:t>
      </w:r>
      <w:r w:rsidRPr="001A615B">
        <w:rPr>
          <w:rFonts w:cs="Arial"/>
          <w:rtl/>
        </w:rPr>
        <w:t xml:space="preserve"> וקאמר נמי התם לעיל בשלמא בעל תקינו ליה רבנן פירות דאי אישתבאי הויא ליה איבה ומימנע ולא פריק</w:t>
      </w:r>
      <w:r w:rsidR="00A843B6">
        <w:rPr>
          <w:rFonts w:cs="Arial" w:hint="cs"/>
          <w:rtl/>
        </w:rPr>
        <w:t>,</w:t>
      </w:r>
      <w:r w:rsidRPr="001A615B">
        <w:rPr>
          <w:rFonts w:cs="Arial"/>
          <w:rtl/>
        </w:rPr>
        <w:t xml:space="preserve"> משמע דלטובת האשה נתקן</w:t>
      </w:r>
      <w:r w:rsidR="00A843B6">
        <w:rPr>
          <w:rFonts w:cs="Arial" w:hint="cs"/>
          <w:rtl/>
        </w:rPr>
        <w:t>.</w:t>
      </w:r>
      <w:r w:rsidRPr="001A615B">
        <w:rPr>
          <w:rFonts w:cs="Arial"/>
          <w:rtl/>
        </w:rPr>
        <w:t xml:space="preserve"> ובירושל' פ' נערה קאמר בהדיא אהא דתנן נשאת יתר עליו הבעל שאוכל פירות בחייה בעל שאמר אי אפשי לאכול ולא לפרוק אין שומעין לו</w:t>
      </w:r>
      <w:r w:rsidR="00A843B6">
        <w:rPr>
          <w:rFonts w:cs="Arial" w:hint="cs"/>
          <w:rtl/>
        </w:rPr>
        <w:t>.</w:t>
      </w:r>
      <w:r w:rsidRPr="001A615B">
        <w:rPr>
          <w:rFonts w:cs="Arial"/>
          <w:rtl/>
        </w:rPr>
        <w:t xml:space="preserve"> והא דתנן פרקונה תחת פירות אע</w:t>
      </w:r>
      <w:r w:rsidR="00A843B6">
        <w:rPr>
          <w:rFonts w:cs="Arial" w:hint="cs"/>
          <w:rtl/>
        </w:rPr>
        <w:t>"</w:t>
      </w:r>
      <w:r w:rsidRPr="001A615B">
        <w:rPr>
          <w:rFonts w:cs="Arial"/>
          <w:rtl/>
        </w:rPr>
        <w:t>ג דפרקונה עיקר לא תני הכא אלא לאשמועי' שלא תוכל האשה לומר איני נפדית ואיני נותנת פירות ואע</w:t>
      </w:r>
      <w:r w:rsidR="00A843B6">
        <w:rPr>
          <w:rFonts w:cs="Arial" w:hint="cs"/>
          <w:rtl/>
        </w:rPr>
        <w:t>"</w:t>
      </w:r>
      <w:r w:rsidRPr="001A615B">
        <w:rPr>
          <w:rFonts w:cs="Arial"/>
          <w:rtl/>
        </w:rPr>
        <w:t>ג דלטובתה נתקן שלא תטמע בין העובדי כוכבים</w:t>
      </w:r>
      <w:r w:rsidR="00F80025">
        <w:rPr>
          <w:rStyle w:val="a7"/>
          <w:rtl/>
        </w:rPr>
        <w:footnoteReference w:id="591"/>
      </w:r>
      <w:r w:rsidR="00A843B6">
        <w:rPr>
          <w:rFonts w:hint="cs"/>
          <w:rtl/>
        </w:rPr>
        <w:t>.</w:t>
      </w:r>
    </w:p>
    <w:p w14:paraId="62B40B4B" w14:textId="77777777" w:rsidR="00393142" w:rsidRDefault="00393142" w:rsidP="00393142">
      <w:pPr>
        <w:rPr>
          <w:rFonts w:cs="Arial"/>
          <w:rtl/>
        </w:rPr>
      </w:pPr>
      <w:r w:rsidRPr="003024E5">
        <w:rPr>
          <w:rFonts w:asciiTheme="minorBidi" w:hAnsiTheme="minorBidi"/>
          <w:b/>
          <w:bCs/>
          <w:color w:val="000000"/>
          <w:sz w:val="28"/>
          <w:szCs w:val="28"/>
          <w:u w:val="single"/>
          <w:rtl/>
        </w:rPr>
        <w:t>שו"ע:</w:t>
      </w:r>
    </w:p>
    <w:p w14:paraId="17B05795" w14:textId="71DC37C1" w:rsidR="000D2069" w:rsidRDefault="000D2069" w:rsidP="000D2069">
      <w:pPr>
        <w:rPr>
          <w:rtl/>
        </w:rPr>
      </w:pPr>
      <w:r>
        <w:rPr>
          <w:rFonts w:cs="Arial"/>
          <w:rtl/>
        </w:rPr>
        <w:t>פדיונה כיצד, נשבית, חייב לפדותה ואינו יכול לומר לה: הרי גיטך וכתובתיך ופדי את עצמך</w:t>
      </w:r>
      <w:r w:rsidR="00825FED">
        <w:rPr>
          <w:rFonts w:cs="Arial" w:hint="cs"/>
          <w:rtl/>
        </w:rPr>
        <w:t>.</w:t>
      </w:r>
      <w:r>
        <w:rPr>
          <w:rFonts w:cs="Arial"/>
          <w:rtl/>
        </w:rPr>
        <w:t xml:space="preserve"> ואפילו אם יאמר: איני פודך ולא אטול פירות, אין שומעין לו</w:t>
      </w:r>
      <w:r w:rsidR="00E242D0">
        <w:rPr>
          <w:rStyle w:val="a7"/>
          <w:rFonts w:cs="Arial"/>
          <w:rtl/>
        </w:rPr>
        <w:footnoteReference w:id="592"/>
      </w:r>
      <w:r>
        <w:rPr>
          <w:rFonts w:cs="Arial"/>
          <w:rtl/>
        </w:rPr>
        <w:t xml:space="preserve">, אלא חייב לפדותה. </w:t>
      </w:r>
    </w:p>
    <w:p w14:paraId="55459B2A" w14:textId="6ABCA1E8" w:rsidR="00A813FA" w:rsidRPr="00A813FA" w:rsidRDefault="00A813FA" w:rsidP="000D2069">
      <w:pPr>
        <w:rPr>
          <w:rFonts w:cs="Arial"/>
          <w:sz w:val="16"/>
          <w:szCs w:val="16"/>
          <w:rtl/>
        </w:rPr>
      </w:pPr>
      <w:r w:rsidRPr="00A813FA">
        <w:rPr>
          <w:rFonts w:cs="Arial" w:hint="cs"/>
          <w:u w:val="single"/>
          <w:rtl/>
        </w:rPr>
        <w:t>אשה שנשבית בגלל פשיעתה:</w:t>
      </w:r>
      <w:r>
        <w:rPr>
          <w:rFonts w:cs="Arial" w:hint="cs"/>
          <w:rtl/>
        </w:rPr>
        <w:t xml:space="preserve"> </w:t>
      </w:r>
    </w:p>
    <w:p w14:paraId="421AC498" w14:textId="53F60520" w:rsidR="00A813FA" w:rsidRPr="00A813FA" w:rsidRDefault="00E242D0" w:rsidP="009000E3">
      <w:pPr>
        <w:pStyle w:val="ab"/>
        <w:numPr>
          <w:ilvl w:val="0"/>
          <w:numId w:val="27"/>
        </w:numPr>
      </w:pPr>
      <w:r w:rsidRPr="00A813FA">
        <w:rPr>
          <w:rFonts w:cs="Arial"/>
          <w:rtl/>
        </w:rPr>
        <w:t>גאוני ק"ק פפ</w:t>
      </w:r>
      <w:r w:rsidR="00D95516">
        <w:rPr>
          <w:rFonts w:cs="Arial" w:hint="cs"/>
          <w:rtl/>
        </w:rPr>
        <w:t>"ד</w:t>
      </w:r>
      <w:r w:rsidR="00D95516">
        <w:rPr>
          <w:rFonts w:cs="Arial" w:hint="cs"/>
          <w:sz w:val="16"/>
          <w:szCs w:val="16"/>
          <w:rtl/>
        </w:rPr>
        <w:t xml:space="preserve"> (כ"כ הב</w:t>
      </w:r>
      <w:r w:rsidR="00E4643A">
        <w:rPr>
          <w:rFonts w:cs="Arial" w:hint="cs"/>
          <w:sz w:val="16"/>
          <w:szCs w:val="16"/>
          <w:rtl/>
        </w:rPr>
        <w:t>"</w:t>
      </w:r>
      <w:r w:rsidR="00D95516">
        <w:rPr>
          <w:rFonts w:cs="Arial" w:hint="cs"/>
          <w:sz w:val="16"/>
          <w:szCs w:val="16"/>
          <w:rtl/>
        </w:rPr>
        <w:t>מ בשמם)</w:t>
      </w:r>
      <w:r w:rsidR="00D95516" w:rsidRPr="00D95516">
        <w:rPr>
          <w:rFonts w:cs="Arial" w:hint="cs"/>
          <w:rtl/>
        </w:rPr>
        <w:t xml:space="preserve"> </w:t>
      </w:r>
      <w:r w:rsidR="00D95516" w:rsidRPr="00A813FA">
        <w:rPr>
          <w:rFonts w:cs="Arial"/>
          <w:rtl/>
        </w:rPr>
        <w:t xml:space="preserve">מעיל צדקה </w:t>
      </w:r>
      <w:r w:rsidR="00D95516" w:rsidRPr="00D95516">
        <w:rPr>
          <w:rFonts w:cs="Arial" w:hint="cs"/>
          <w:sz w:val="16"/>
          <w:szCs w:val="16"/>
          <w:rtl/>
        </w:rPr>
        <w:t>(</w:t>
      </w:r>
      <w:r w:rsidR="00D95516" w:rsidRPr="00D95516">
        <w:rPr>
          <w:rFonts w:cs="Arial"/>
          <w:sz w:val="16"/>
          <w:szCs w:val="16"/>
          <w:rtl/>
        </w:rPr>
        <w:t>סי' טו</w:t>
      </w:r>
      <w:r w:rsidR="00D95516" w:rsidRPr="00D95516">
        <w:rPr>
          <w:rFonts w:cs="Arial" w:hint="cs"/>
          <w:sz w:val="16"/>
          <w:szCs w:val="16"/>
          <w:rtl/>
        </w:rPr>
        <w:t>)</w:t>
      </w:r>
      <w:r w:rsidR="00D95516">
        <w:rPr>
          <w:rFonts w:cs="Arial" w:hint="cs"/>
          <w:rtl/>
        </w:rPr>
        <w:t xml:space="preserve"> </w:t>
      </w:r>
      <w:r w:rsidR="00E4643A">
        <w:rPr>
          <w:rFonts w:cs="Arial" w:hint="cs"/>
          <w:rtl/>
        </w:rPr>
        <w:t xml:space="preserve">בית יעקב </w:t>
      </w:r>
      <w:r w:rsidR="00E4643A">
        <w:rPr>
          <w:rFonts w:cs="Arial" w:hint="cs"/>
          <w:sz w:val="16"/>
          <w:szCs w:val="16"/>
          <w:rtl/>
        </w:rPr>
        <w:t xml:space="preserve">(כ"כ הראש פינה בשמו) </w:t>
      </w:r>
      <w:r w:rsidR="00D95516">
        <w:rPr>
          <w:rFonts w:cs="Arial" w:hint="cs"/>
          <w:rtl/>
        </w:rPr>
        <w:t xml:space="preserve">וראש פינה </w:t>
      </w:r>
      <w:r w:rsidR="00D95516">
        <w:rPr>
          <w:rFonts w:cs="Arial" w:hint="cs"/>
          <w:sz w:val="16"/>
          <w:szCs w:val="16"/>
          <w:rtl/>
        </w:rPr>
        <w:t>(על השו"ע כאן)</w:t>
      </w:r>
      <w:r w:rsidR="00A813FA">
        <w:rPr>
          <w:rFonts w:cs="Arial" w:hint="cs"/>
          <w:rtl/>
        </w:rPr>
        <w:t xml:space="preserve">- הא דחייב לפדותה הוא </w:t>
      </w:r>
      <w:r w:rsidRPr="00A813FA">
        <w:rPr>
          <w:rFonts w:cs="Arial"/>
          <w:rtl/>
        </w:rPr>
        <w:t>דוקא אם נשבית ממילא</w:t>
      </w:r>
      <w:r w:rsidR="009E763A">
        <w:rPr>
          <w:rFonts w:cs="Arial" w:hint="cs"/>
          <w:rtl/>
        </w:rPr>
        <w:t>,</w:t>
      </w:r>
      <w:r w:rsidRPr="00A813FA">
        <w:rPr>
          <w:rFonts w:cs="Arial"/>
          <w:rtl/>
        </w:rPr>
        <w:t xml:space="preserve"> אבל אם נשבית בשביל שגנבה אין מחוייב כלל הבעל לפדות</w:t>
      </w:r>
      <w:r w:rsidRPr="00A813FA">
        <w:rPr>
          <w:rFonts w:cs="Arial" w:hint="cs"/>
          <w:rtl/>
        </w:rPr>
        <w:t>ה</w:t>
      </w:r>
      <w:r w:rsidR="00A813FA">
        <w:rPr>
          <w:rFonts w:cs="Arial" w:hint="cs"/>
          <w:rtl/>
        </w:rPr>
        <w:t>.</w:t>
      </w:r>
    </w:p>
    <w:p w14:paraId="3840E7D5" w14:textId="64682740" w:rsidR="00825FED" w:rsidRDefault="00A813FA" w:rsidP="009000E3">
      <w:pPr>
        <w:pStyle w:val="ab"/>
        <w:numPr>
          <w:ilvl w:val="0"/>
          <w:numId w:val="27"/>
        </w:numPr>
      </w:pPr>
      <w:r>
        <w:rPr>
          <w:rFonts w:cs="Arial" w:hint="cs"/>
          <w:rtl/>
        </w:rPr>
        <w:t>בית מאיר</w:t>
      </w:r>
      <w:r w:rsidR="00D46FEE">
        <w:rPr>
          <w:rFonts w:cs="Arial" w:hint="cs"/>
          <w:rtl/>
        </w:rPr>
        <w:t xml:space="preserve"> </w:t>
      </w:r>
      <w:r w:rsidR="00D46FEE">
        <w:rPr>
          <w:rFonts w:cs="Arial" w:hint="cs"/>
          <w:sz w:val="16"/>
          <w:szCs w:val="16"/>
          <w:rtl/>
        </w:rPr>
        <w:t>(על השו"ע כאן</w:t>
      </w:r>
      <w:r w:rsidR="006577D2">
        <w:rPr>
          <w:rFonts w:cs="Arial" w:hint="cs"/>
          <w:sz w:val="16"/>
          <w:szCs w:val="16"/>
          <w:rtl/>
        </w:rPr>
        <w:t>, הביאו הפת"ש [סק"א]</w:t>
      </w:r>
      <w:r w:rsidR="00D46FEE">
        <w:rPr>
          <w:rFonts w:cs="Arial" w:hint="cs"/>
          <w:sz w:val="16"/>
          <w:szCs w:val="16"/>
          <w:rtl/>
        </w:rPr>
        <w:t>)</w:t>
      </w:r>
      <w:r>
        <w:rPr>
          <w:rFonts w:cs="Arial" w:hint="cs"/>
          <w:rtl/>
        </w:rPr>
        <w:t xml:space="preserve">- </w:t>
      </w:r>
      <w:r w:rsidR="00E242D0" w:rsidRPr="00A813FA">
        <w:rPr>
          <w:rFonts w:cs="Arial"/>
          <w:rtl/>
        </w:rPr>
        <w:t>אפי' נשבית מכח גרמא שלה בשביל שגנבה מ"מ חייב לפדותה</w:t>
      </w:r>
      <w:r w:rsidR="00D95516">
        <w:rPr>
          <w:rFonts w:cs="Arial" w:hint="cs"/>
          <w:rtl/>
        </w:rPr>
        <w:t>.</w:t>
      </w:r>
      <w:r w:rsidR="00E242D0" w:rsidRPr="00A813FA">
        <w:rPr>
          <w:rFonts w:cs="Arial"/>
          <w:rtl/>
        </w:rPr>
        <w:t xml:space="preserve"> וכן גבי רפואתה אף אם אכלה בפשיעת' דברים המזיקים לתאוות' עד שחלתה מ"מ חייב ברפואת</w:t>
      </w:r>
      <w:r>
        <w:rPr>
          <w:rFonts w:cs="Arial" w:hint="cs"/>
          <w:rtl/>
        </w:rPr>
        <w:t>ה</w:t>
      </w:r>
      <w:r w:rsidR="00D95516">
        <w:rPr>
          <w:rStyle w:val="a7"/>
          <w:rFonts w:cs="Arial"/>
          <w:rtl/>
        </w:rPr>
        <w:footnoteReference w:id="593"/>
      </w:r>
      <w:r w:rsidR="00E242D0" w:rsidRPr="00A813FA">
        <w:rPr>
          <w:rFonts w:cs="Arial"/>
          <w:rtl/>
        </w:rPr>
        <w:t xml:space="preserve">. </w:t>
      </w:r>
    </w:p>
    <w:p w14:paraId="4981F30A" w14:textId="40BDE37F" w:rsidR="00D0366F" w:rsidRDefault="00D0366F" w:rsidP="009000E3">
      <w:pPr>
        <w:pStyle w:val="ab"/>
        <w:numPr>
          <w:ilvl w:val="0"/>
          <w:numId w:val="27"/>
        </w:numPr>
        <w:rPr>
          <w:rtl/>
        </w:rPr>
      </w:pPr>
      <w:r>
        <w:rPr>
          <w:rFonts w:hint="cs"/>
          <w:rtl/>
        </w:rPr>
        <w:t xml:space="preserve">כתב סופר </w:t>
      </w:r>
      <w:r>
        <w:rPr>
          <w:rFonts w:hint="cs"/>
          <w:sz w:val="16"/>
          <w:szCs w:val="16"/>
          <w:rtl/>
        </w:rPr>
        <w:t>(</w:t>
      </w:r>
      <w:r w:rsidR="006577D2">
        <w:rPr>
          <w:rFonts w:hint="cs"/>
          <w:sz w:val="16"/>
          <w:szCs w:val="16"/>
          <w:rtl/>
        </w:rPr>
        <w:t>אהע"ז סי' מו)</w:t>
      </w:r>
      <w:r>
        <w:rPr>
          <w:rFonts w:hint="cs"/>
          <w:rtl/>
        </w:rPr>
        <w:t>-</w:t>
      </w:r>
      <w:r w:rsidRPr="00D0366F">
        <w:rPr>
          <w:rtl/>
        </w:rPr>
        <w:t xml:space="preserve"> </w:t>
      </w:r>
      <w:r w:rsidRPr="00D0366F">
        <w:rPr>
          <w:rFonts w:cs="Arial"/>
          <w:rtl/>
        </w:rPr>
        <w:t>אם אשת ישראל היא שנשבית ע"י גרמא שלה, נשאר לנו בספיקא דדינא ואין להוציא ממנו בפ</w:t>
      </w:r>
      <w:r w:rsidR="00B67B05">
        <w:rPr>
          <w:rFonts w:cs="Arial" w:hint="cs"/>
          <w:rtl/>
        </w:rPr>
        <w:t>עם ראשונה.</w:t>
      </w:r>
      <w:r w:rsidRPr="00D0366F">
        <w:rPr>
          <w:rFonts w:cs="Arial"/>
          <w:rtl/>
        </w:rPr>
        <w:t xml:space="preserve"> ובפעם שני אינה יכולה לומר לו תן לי כתובתי או פדאני, דאין מוציאים מיד המוחזק מספק</w:t>
      </w:r>
      <w:r w:rsidR="00B67B05">
        <w:rPr>
          <w:rFonts w:cs="Arial" w:hint="cs"/>
          <w:rtl/>
        </w:rPr>
        <w:t>.</w:t>
      </w:r>
      <w:r w:rsidRPr="00D0366F">
        <w:rPr>
          <w:rFonts w:cs="Arial"/>
          <w:rtl/>
        </w:rPr>
        <w:t xml:space="preserve"> ואם תפסה עד כדי כתובתה אין מוציאים ממנה, אבל יוכל לומר לה אפי' בפ</w:t>
      </w:r>
      <w:r w:rsidR="00B67B05">
        <w:rPr>
          <w:rFonts w:cs="Arial" w:hint="cs"/>
          <w:rtl/>
        </w:rPr>
        <w:t>עם ראשונה</w:t>
      </w:r>
      <w:r w:rsidRPr="00D0366F">
        <w:rPr>
          <w:rFonts w:cs="Arial"/>
          <w:rtl/>
        </w:rPr>
        <w:t xml:space="preserve"> יהי' זה לכתובתה ותפדה עצמה</w:t>
      </w:r>
      <w:r w:rsidR="00B67B05">
        <w:rPr>
          <w:rFonts w:cs="Arial" w:hint="cs"/>
          <w:rtl/>
        </w:rPr>
        <w:t>.</w:t>
      </w:r>
      <w:r w:rsidRPr="00D0366F">
        <w:rPr>
          <w:rFonts w:cs="Arial"/>
          <w:rtl/>
        </w:rPr>
        <w:t xml:space="preserve"> ואם תפסה יותר מכדי כתובתה לפדות עצמה כשדמי פדיה עולים יותר או אפי' דמי פדיה פחות אינו יכול לומר לה החזיר לי מה שתפסת יותר מכתובתך</w:t>
      </w:r>
      <w:r w:rsidR="00B67B05">
        <w:rPr>
          <w:rFonts w:cs="Arial" w:hint="cs"/>
          <w:rtl/>
        </w:rPr>
        <w:t>,</w:t>
      </w:r>
      <w:r w:rsidRPr="00D0366F">
        <w:rPr>
          <w:rFonts w:cs="Arial"/>
          <w:rtl/>
        </w:rPr>
        <w:t xml:space="preserve"> דתוכל לומר לו אולי אתה מחויב </w:t>
      </w:r>
      <w:r w:rsidRPr="00D0366F">
        <w:rPr>
          <w:rFonts w:cs="Arial"/>
          <w:rtl/>
        </w:rPr>
        <w:lastRenderedPageBreak/>
        <w:t>לפדאני משלך</w:t>
      </w:r>
      <w:r w:rsidR="00B67B05">
        <w:rPr>
          <w:rFonts w:cs="Arial" w:hint="cs"/>
          <w:rtl/>
        </w:rPr>
        <w:t>.</w:t>
      </w:r>
      <w:r w:rsidRPr="00D0366F">
        <w:rPr>
          <w:rFonts w:cs="Arial"/>
          <w:rtl/>
        </w:rPr>
        <w:t xml:space="preserve"> וא"א לו לנכות דמי הפדי' מכתובתה ותחזיק בכתובתה לעצמה ופודת עצמה ביותר מכדי כתובתה מספק שמא מחויב הוא לפדותה משלו</w:t>
      </w:r>
      <w:r>
        <w:rPr>
          <w:rFonts w:cs="Arial" w:hint="cs"/>
          <w:rtl/>
        </w:rPr>
        <w:t>.</w:t>
      </w:r>
    </w:p>
    <w:p w14:paraId="5ADA9880" w14:textId="77777777" w:rsidR="00E242D0" w:rsidRDefault="00E242D0" w:rsidP="000D2069">
      <w:pPr>
        <w:rPr>
          <w:rtl/>
        </w:rPr>
      </w:pPr>
    </w:p>
    <w:p w14:paraId="631CBB2E" w14:textId="0AB6B6D8" w:rsidR="000D2069" w:rsidRDefault="000D2069" w:rsidP="000F64D0">
      <w:pPr>
        <w:pStyle w:val="2"/>
        <w:rPr>
          <w:rtl/>
        </w:rPr>
      </w:pPr>
      <w:r>
        <w:rPr>
          <w:rtl/>
        </w:rPr>
        <w:t>סעיף ב</w:t>
      </w:r>
      <w:r w:rsidR="003164BC">
        <w:rPr>
          <w:rFonts w:hint="cs"/>
          <w:rtl/>
        </w:rPr>
        <w:t>:</w:t>
      </w:r>
      <w:r w:rsidR="00146FB6">
        <w:rPr>
          <w:rFonts w:hint="cs"/>
          <w:rtl/>
        </w:rPr>
        <w:t xml:space="preserve"> פדיונה כשדורשים יותר משוויה.</w:t>
      </w:r>
    </w:p>
    <w:p w14:paraId="1E9121DC" w14:textId="6255899F" w:rsidR="006577D2" w:rsidRPr="006577D2" w:rsidRDefault="006577D2" w:rsidP="006577D2">
      <w:pPr>
        <w:rPr>
          <w:rtl/>
        </w:rPr>
      </w:pPr>
      <w:r w:rsidRPr="006577D2">
        <w:rPr>
          <w:rFonts w:cs="Arial" w:hint="cs"/>
          <w:b/>
          <w:bCs/>
          <w:rtl/>
        </w:rPr>
        <w:t xml:space="preserve">גיטין </w:t>
      </w:r>
      <w:r>
        <w:rPr>
          <w:rFonts w:cs="Arial" w:hint="cs"/>
          <w:b/>
          <w:bCs/>
          <w:sz w:val="16"/>
          <w:szCs w:val="16"/>
          <w:rtl/>
        </w:rPr>
        <w:t>(פ' השולח)</w:t>
      </w:r>
      <w:r>
        <w:rPr>
          <w:rFonts w:cs="Arial" w:hint="cs"/>
          <w:b/>
          <w:bCs/>
          <w:rtl/>
        </w:rPr>
        <w:t xml:space="preserve"> </w:t>
      </w:r>
      <w:r w:rsidRPr="006577D2">
        <w:rPr>
          <w:rFonts w:cs="Arial" w:hint="cs"/>
          <w:b/>
          <w:bCs/>
          <w:rtl/>
        </w:rPr>
        <w:t xml:space="preserve">מה ע"א: </w:t>
      </w:r>
      <w:r w:rsidRPr="006577D2">
        <w:rPr>
          <w:rFonts w:cs="Arial"/>
          <w:u w:val="double"/>
          <w:rtl/>
        </w:rPr>
        <w:t>מתני'</w:t>
      </w:r>
      <w:r>
        <w:rPr>
          <w:rFonts w:cs="Arial" w:hint="cs"/>
          <w:rtl/>
        </w:rPr>
        <w:t>:</w:t>
      </w:r>
      <w:r w:rsidRPr="006577D2">
        <w:rPr>
          <w:rFonts w:cs="Arial"/>
          <w:rtl/>
        </w:rPr>
        <w:t xml:space="preserve"> אין פודין את השבויין יתר על כדי דמיהן</w:t>
      </w:r>
      <w:r w:rsidR="00235310">
        <w:rPr>
          <w:rStyle w:val="a7"/>
          <w:rFonts w:cs="Arial"/>
          <w:rtl/>
        </w:rPr>
        <w:footnoteReference w:id="594"/>
      </w:r>
      <w:r w:rsidRPr="006577D2">
        <w:rPr>
          <w:rFonts w:cs="Arial"/>
          <w:rtl/>
        </w:rPr>
        <w:t>, מפני תיקון העול</w:t>
      </w:r>
      <w:r>
        <w:rPr>
          <w:rFonts w:cs="Arial" w:hint="cs"/>
          <w:rtl/>
        </w:rPr>
        <w:t>ם.</w:t>
      </w:r>
      <w:r w:rsidRPr="006577D2">
        <w:rPr>
          <w:rFonts w:cs="Arial"/>
          <w:rtl/>
        </w:rPr>
        <w:t xml:space="preserve"> ואין מבריחין את השבויין, מפני תיקון העולם</w:t>
      </w:r>
      <w:r w:rsidR="008D61D6">
        <w:rPr>
          <w:rStyle w:val="a7"/>
          <w:rFonts w:cs="Arial"/>
          <w:rtl/>
        </w:rPr>
        <w:footnoteReference w:id="595"/>
      </w:r>
      <w:r>
        <w:rPr>
          <w:rFonts w:cs="Arial" w:hint="cs"/>
          <w:rtl/>
        </w:rPr>
        <w:t>.</w:t>
      </w:r>
      <w:r w:rsidRPr="006577D2">
        <w:rPr>
          <w:rFonts w:cs="Arial"/>
          <w:rtl/>
        </w:rPr>
        <w:t xml:space="preserve"> </w:t>
      </w:r>
      <w:r w:rsidRPr="006577D2">
        <w:rPr>
          <w:rFonts w:cs="Arial"/>
          <w:u w:val="single"/>
          <w:rtl/>
        </w:rPr>
        <w:t>רשב"ג אומר</w:t>
      </w:r>
      <w:r w:rsidRPr="006577D2">
        <w:rPr>
          <w:rFonts w:cs="Arial"/>
          <w:rtl/>
        </w:rPr>
        <w:t>: מפני תקנת השבויין.</w:t>
      </w:r>
    </w:p>
    <w:p w14:paraId="3A0B5B19" w14:textId="3B43B3F3" w:rsidR="00723480" w:rsidRDefault="00723480" w:rsidP="00723480">
      <w:pPr>
        <w:rPr>
          <w:rFonts w:cs="Arial"/>
          <w:rtl/>
        </w:rPr>
      </w:pPr>
      <w:r w:rsidRPr="00AB0AB9">
        <w:rPr>
          <w:rFonts w:cs="Arial" w:hint="cs"/>
          <w:b/>
          <w:bCs/>
          <w:rtl/>
        </w:rPr>
        <w:t>כתובות</w:t>
      </w:r>
      <w:r>
        <w:rPr>
          <w:rFonts w:cs="Arial" w:hint="cs"/>
          <w:b/>
          <w:bCs/>
          <w:rtl/>
        </w:rPr>
        <w:t xml:space="preserve"> </w:t>
      </w:r>
      <w:r>
        <w:rPr>
          <w:rFonts w:cs="Arial" w:hint="cs"/>
          <w:b/>
          <w:bCs/>
          <w:sz w:val="16"/>
          <w:szCs w:val="16"/>
          <w:rtl/>
        </w:rPr>
        <w:t>(פ' נערה שנתפתתה)</w:t>
      </w:r>
      <w:r w:rsidRPr="00AB0AB9">
        <w:rPr>
          <w:rFonts w:cs="Arial" w:hint="cs"/>
          <w:b/>
          <w:bCs/>
          <w:rtl/>
        </w:rPr>
        <w:t xml:space="preserve"> </w:t>
      </w:r>
      <w:r>
        <w:rPr>
          <w:rFonts w:cs="Arial" w:hint="cs"/>
          <w:b/>
          <w:bCs/>
          <w:rtl/>
        </w:rPr>
        <w:t>נב</w:t>
      </w:r>
      <w:r w:rsidR="001879A3">
        <w:rPr>
          <w:rStyle w:val="a7"/>
          <w:rFonts w:cs="Arial"/>
          <w:b/>
          <w:bCs/>
          <w:rtl/>
        </w:rPr>
        <w:footnoteReference w:id="596"/>
      </w:r>
      <w:r w:rsidRPr="00AB0AB9">
        <w:rPr>
          <w:rFonts w:cs="Arial" w:hint="cs"/>
          <w:b/>
          <w:bCs/>
          <w:rtl/>
        </w:rPr>
        <w:t xml:space="preserve"> ע"</w:t>
      </w:r>
      <w:r>
        <w:rPr>
          <w:rFonts w:cs="Arial" w:hint="cs"/>
          <w:b/>
          <w:bCs/>
          <w:rtl/>
        </w:rPr>
        <w:t>א</w:t>
      </w:r>
      <w:r w:rsidRPr="00AB0AB9">
        <w:rPr>
          <w:rFonts w:cs="Arial" w:hint="cs"/>
          <w:b/>
          <w:bCs/>
          <w:rtl/>
        </w:rPr>
        <w:t xml:space="preserve">: </w:t>
      </w:r>
      <w:r w:rsidRPr="00146FB6">
        <w:rPr>
          <w:rFonts w:cs="Arial"/>
          <w:rtl/>
        </w:rPr>
        <w:t>תנו רבנן: נשבית, והיו מבקשין ממנו עד עשרה בדמיה - פעם ראשונה פודה, מכאן ואילך, רצה - פודה, רצה - אינו פודה</w:t>
      </w:r>
      <w:r>
        <w:rPr>
          <w:rFonts w:cs="Arial" w:hint="cs"/>
          <w:rtl/>
        </w:rPr>
        <w:t>.</w:t>
      </w:r>
      <w:r w:rsidRPr="00146FB6">
        <w:rPr>
          <w:rFonts w:cs="Arial"/>
          <w:rtl/>
        </w:rPr>
        <w:t xml:space="preserve"> </w:t>
      </w:r>
      <w:r w:rsidRPr="00146FB6">
        <w:rPr>
          <w:rFonts w:cs="Arial"/>
          <w:u w:val="single"/>
          <w:rtl/>
        </w:rPr>
        <w:t>רבן שמעון בן גמליאל אומר</w:t>
      </w:r>
      <w:r w:rsidRPr="00146FB6">
        <w:rPr>
          <w:rFonts w:cs="Arial"/>
          <w:rtl/>
        </w:rPr>
        <w:t xml:space="preserve">: </w:t>
      </w:r>
      <w:r>
        <w:rPr>
          <w:rFonts w:cs="Arial" w:hint="cs"/>
          <w:sz w:val="14"/>
          <w:szCs w:val="14"/>
          <w:rtl/>
        </w:rPr>
        <w:t xml:space="preserve">(נב:) </w:t>
      </w:r>
      <w:r w:rsidRPr="00146FB6">
        <w:rPr>
          <w:rFonts w:cs="Arial"/>
          <w:rtl/>
        </w:rPr>
        <w:t>אין פודין את השבויין יותר על כדי דמיהם, מפני תקון העולם. הא בכדי דמיהן פודין, אף על גב דפרקונה יותר על כתובתה</w:t>
      </w:r>
      <w:r>
        <w:rPr>
          <w:rFonts w:cs="Arial" w:hint="cs"/>
          <w:rtl/>
        </w:rPr>
        <w:t>.</w:t>
      </w:r>
      <w:r w:rsidRPr="00146FB6">
        <w:rPr>
          <w:rFonts w:cs="Arial"/>
          <w:rtl/>
        </w:rPr>
        <w:t xml:space="preserve"> ורמינהי: נשבית, והיו מבקשין ממנו עד עשרה בכתובתה - פעם ראשונה פודה, מכאן ואילך, רצה - פודה, רצה - אינו פודה</w:t>
      </w:r>
      <w:r w:rsidR="005703DC">
        <w:rPr>
          <w:rFonts w:cs="Arial" w:hint="cs"/>
          <w:rtl/>
        </w:rPr>
        <w:t xml:space="preserve">, </w:t>
      </w:r>
      <w:r w:rsidR="005703DC">
        <w:rPr>
          <w:rStyle w:val="a7"/>
          <w:rFonts w:cs="Arial"/>
          <w:rtl/>
        </w:rPr>
        <w:footnoteReference w:id="597"/>
      </w:r>
      <w:r w:rsidR="005703DC">
        <w:rPr>
          <w:rFonts w:cs="Arial" w:hint="cs"/>
          <w:rtl/>
        </w:rPr>
        <w:t>[דברי רבי]</w:t>
      </w:r>
      <w:r>
        <w:rPr>
          <w:rFonts w:cs="Arial" w:hint="cs"/>
          <w:rtl/>
        </w:rPr>
        <w:t>.</w:t>
      </w:r>
      <w:r w:rsidRPr="00146FB6">
        <w:rPr>
          <w:rFonts w:cs="Arial"/>
          <w:rtl/>
        </w:rPr>
        <w:t xml:space="preserve"> </w:t>
      </w:r>
      <w:r w:rsidRPr="00146FB6">
        <w:rPr>
          <w:rFonts w:cs="Arial"/>
          <w:u w:val="single"/>
          <w:rtl/>
        </w:rPr>
        <w:t>ר"ש בן גמליאל אומר</w:t>
      </w:r>
      <w:r w:rsidRPr="00146FB6">
        <w:rPr>
          <w:rFonts w:cs="Arial"/>
          <w:rtl/>
        </w:rPr>
        <w:t xml:space="preserve">: אם היה פרקונה כנגד כתובתה - פודה, אם לאו - אינו פודה! רבן שמעון בן גמליאל תרי קולי אית ליה. </w:t>
      </w:r>
    </w:p>
    <w:p w14:paraId="60A557D5" w14:textId="64568FCB" w:rsidR="003164BC" w:rsidRPr="00146FB6" w:rsidRDefault="00146FB6" w:rsidP="003164BC">
      <w:pPr>
        <w:rPr>
          <w:u w:val="single"/>
          <w:rtl/>
        </w:rPr>
      </w:pPr>
      <w:r w:rsidRPr="00146FB6">
        <w:rPr>
          <w:rFonts w:hint="cs"/>
          <w:u w:val="single"/>
          <w:rtl/>
        </w:rPr>
        <w:t>האם האיש חייב לפדות את אשתו כשדורשים ממנו יותר משוויה:</w:t>
      </w:r>
    </w:p>
    <w:p w14:paraId="6C9CAB06" w14:textId="5E69BB62" w:rsidR="001D274C" w:rsidRDefault="00C65A3A" w:rsidP="009000E3">
      <w:pPr>
        <w:pStyle w:val="ab"/>
        <w:numPr>
          <w:ilvl w:val="0"/>
          <w:numId w:val="27"/>
        </w:numPr>
      </w:pPr>
      <w:r>
        <w:rPr>
          <w:rFonts w:cs="Arial" w:hint="cs"/>
          <w:rtl/>
        </w:rPr>
        <w:t xml:space="preserve">רמ"ה </w:t>
      </w:r>
      <w:r>
        <w:rPr>
          <w:rFonts w:cs="Arial" w:hint="cs"/>
          <w:sz w:val="16"/>
          <w:szCs w:val="16"/>
          <w:rtl/>
        </w:rPr>
        <w:t>(כ"כ הרא"ש בשמו)</w:t>
      </w:r>
      <w:r>
        <w:rPr>
          <w:rFonts w:cs="Arial" w:hint="cs"/>
          <w:rtl/>
        </w:rPr>
        <w:t xml:space="preserve"> </w:t>
      </w:r>
      <w:r w:rsidR="00146FB6">
        <w:rPr>
          <w:rFonts w:cs="Arial" w:hint="cs"/>
          <w:rtl/>
        </w:rPr>
        <w:t>רא"ש</w:t>
      </w:r>
      <w:r>
        <w:rPr>
          <w:rFonts w:cs="Arial" w:hint="cs"/>
          <w:rtl/>
        </w:rPr>
        <w:t xml:space="preserve"> </w:t>
      </w:r>
      <w:r w:rsidRPr="00C65A3A">
        <w:rPr>
          <w:rFonts w:cs="Arial"/>
          <w:sz w:val="16"/>
          <w:szCs w:val="16"/>
          <w:rtl/>
        </w:rPr>
        <w:t>(כתובות שם סי' כב)</w:t>
      </w:r>
      <w:r w:rsidR="00146FB6">
        <w:rPr>
          <w:rFonts w:cs="Arial" w:hint="cs"/>
          <w:rtl/>
        </w:rPr>
        <w:t xml:space="preserve"> ו</w:t>
      </w:r>
      <w:r w:rsidR="002C478C">
        <w:rPr>
          <w:rFonts w:cs="Arial" w:hint="cs"/>
          <w:rtl/>
        </w:rPr>
        <w:t>טור-</w:t>
      </w:r>
      <w:r w:rsidR="002C478C" w:rsidRPr="00825FED">
        <w:rPr>
          <w:rFonts w:cs="Arial"/>
          <w:rtl/>
        </w:rPr>
        <w:t xml:space="preserve"> </w:t>
      </w:r>
      <w:r w:rsidR="001D274C" w:rsidRPr="00694CEB">
        <w:rPr>
          <w:rFonts w:cs="Arial"/>
          <w:rtl/>
        </w:rPr>
        <w:t>צריך לפדותה</w:t>
      </w:r>
      <w:r w:rsidR="001D274C" w:rsidRPr="00694CEB">
        <w:rPr>
          <w:rFonts w:cs="Arial" w:hint="cs"/>
          <w:rtl/>
        </w:rPr>
        <w:t>...</w:t>
      </w:r>
      <w:r w:rsidR="001D274C" w:rsidRPr="00694CEB">
        <w:rPr>
          <w:rFonts w:cs="Arial"/>
          <w:rtl/>
        </w:rPr>
        <w:t xml:space="preserve"> </w:t>
      </w:r>
      <w:r w:rsidR="00694CEB">
        <w:rPr>
          <w:rFonts w:cs="Arial" w:hint="cs"/>
          <w:rtl/>
        </w:rPr>
        <w:t xml:space="preserve">אפי' </w:t>
      </w:r>
      <w:r w:rsidR="001D274C" w:rsidRPr="00694CEB">
        <w:rPr>
          <w:rFonts w:cs="Arial"/>
          <w:rtl/>
        </w:rPr>
        <w:t>יותר מכדי שויה</w:t>
      </w:r>
      <w:r w:rsidR="001D274C" w:rsidRPr="00694CEB">
        <w:rPr>
          <w:rFonts w:cs="Arial" w:hint="cs"/>
          <w:rtl/>
        </w:rPr>
        <w:t>...</w:t>
      </w:r>
      <w:r w:rsidR="001D274C" w:rsidRPr="00694CEB">
        <w:rPr>
          <w:rFonts w:cs="Arial"/>
          <w:rtl/>
        </w:rPr>
        <w:t xml:space="preserve"> ואינו חייב לפדותה אלא פעם אחת</w:t>
      </w:r>
      <w:r w:rsidR="008818A3">
        <w:rPr>
          <w:rFonts w:cs="Arial" w:hint="cs"/>
          <w:rtl/>
        </w:rPr>
        <w:t>.</w:t>
      </w:r>
      <w:r w:rsidR="001D274C" w:rsidRPr="00694CEB">
        <w:rPr>
          <w:rFonts w:cs="Arial"/>
          <w:rtl/>
        </w:rPr>
        <w:t xml:space="preserve"> נשבית שנית</w:t>
      </w:r>
      <w:r w:rsidR="001D274C" w:rsidRPr="00694CEB">
        <w:rPr>
          <w:rFonts w:cs="Arial" w:hint="cs"/>
          <w:rtl/>
        </w:rPr>
        <w:t xml:space="preserve">... - </w:t>
      </w:r>
      <w:r w:rsidR="001D274C" w:rsidRPr="00694CEB">
        <w:rPr>
          <w:rFonts w:cs="Arial"/>
          <w:rtl/>
        </w:rPr>
        <w:t>אינו חייב בפדיונה כלל</w:t>
      </w:r>
      <w:r w:rsidR="00694CEB">
        <w:rPr>
          <w:rStyle w:val="a7"/>
          <w:rFonts w:cs="Arial"/>
          <w:rtl/>
        </w:rPr>
        <w:footnoteReference w:id="598"/>
      </w:r>
      <w:r w:rsidR="00694CEB" w:rsidRPr="00694CEB">
        <w:rPr>
          <w:rFonts w:cs="Arial" w:hint="cs"/>
          <w:sz w:val="16"/>
          <w:szCs w:val="16"/>
          <w:rtl/>
        </w:rPr>
        <w:t xml:space="preserve"> (ל' הטור)</w:t>
      </w:r>
      <w:r w:rsidR="00694CEB" w:rsidRPr="00694CEB">
        <w:rPr>
          <w:rFonts w:cs="Arial" w:hint="cs"/>
          <w:rtl/>
        </w:rPr>
        <w:t>.</w:t>
      </w:r>
      <w:r w:rsidR="00694CEB">
        <w:rPr>
          <w:rFonts w:hint="cs"/>
          <w:rtl/>
        </w:rPr>
        <w:t xml:space="preserve"> </w:t>
      </w:r>
      <w:r w:rsidR="00694CEB" w:rsidRPr="00694CEB">
        <w:rPr>
          <w:rFonts w:hint="cs"/>
          <w:color w:val="00B0F0"/>
          <w:rtl/>
        </w:rPr>
        <w:t>(וכ"פ הרמ"א</w:t>
      </w:r>
      <w:r w:rsidR="00694CEB">
        <w:rPr>
          <w:rFonts w:hint="cs"/>
          <w:color w:val="00B0F0"/>
          <w:sz w:val="16"/>
          <w:szCs w:val="16"/>
          <w:rtl/>
        </w:rPr>
        <w:t xml:space="preserve"> </w:t>
      </w:r>
      <w:r w:rsidR="00694CEB" w:rsidRPr="00694CEB">
        <w:rPr>
          <w:rFonts w:hint="cs"/>
          <w:color w:val="000000" w:themeColor="text1"/>
          <w:sz w:val="16"/>
          <w:szCs w:val="16"/>
          <w:rtl/>
        </w:rPr>
        <w:t>[</w:t>
      </w:r>
      <w:r w:rsidR="00694CEB">
        <w:rPr>
          <w:rFonts w:hint="cs"/>
          <w:color w:val="000000" w:themeColor="text1"/>
          <w:sz w:val="16"/>
          <w:szCs w:val="16"/>
          <w:rtl/>
        </w:rPr>
        <w:t>כאן ובסע' הבא</w:t>
      </w:r>
      <w:r w:rsidR="00694CEB" w:rsidRPr="00694CEB">
        <w:rPr>
          <w:rFonts w:hint="cs"/>
          <w:color w:val="000000" w:themeColor="text1"/>
          <w:sz w:val="16"/>
          <w:szCs w:val="16"/>
          <w:rtl/>
        </w:rPr>
        <w:t>]</w:t>
      </w:r>
      <w:r w:rsidR="00694CEB" w:rsidRPr="00694CEB">
        <w:rPr>
          <w:rFonts w:hint="cs"/>
          <w:color w:val="00B0F0"/>
          <w:rtl/>
        </w:rPr>
        <w:t>)</w:t>
      </w:r>
    </w:p>
    <w:p w14:paraId="5252AE14" w14:textId="51A545E2" w:rsidR="00E877C8" w:rsidRPr="00C65A3A" w:rsidRDefault="00146FB6" w:rsidP="009000E3">
      <w:pPr>
        <w:pStyle w:val="ab"/>
        <w:numPr>
          <w:ilvl w:val="0"/>
          <w:numId w:val="27"/>
        </w:numPr>
        <w:rPr>
          <w:rtl/>
        </w:rPr>
      </w:pPr>
      <w:r>
        <w:rPr>
          <w:rFonts w:cs="Arial" w:hint="cs"/>
          <w:rtl/>
        </w:rPr>
        <w:t>רי"ף</w:t>
      </w:r>
      <w:r w:rsidR="00FE0CA6">
        <w:rPr>
          <w:rFonts w:cs="Arial" w:hint="cs"/>
          <w:sz w:val="16"/>
          <w:szCs w:val="16"/>
          <w:rtl/>
        </w:rPr>
        <w:t xml:space="preserve"> (יט.)</w:t>
      </w:r>
      <w:r>
        <w:rPr>
          <w:rFonts w:cs="Arial" w:hint="cs"/>
          <w:rtl/>
        </w:rPr>
        <w:t xml:space="preserve"> ורמב"ם</w:t>
      </w:r>
      <w:r w:rsidR="00723480">
        <w:rPr>
          <w:rFonts w:cs="Arial" w:hint="cs"/>
          <w:rtl/>
        </w:rPr>
        <w:t xml:space="preserve"> </w:t>
      </w:r>
      <w:r w:rsidR="00723480" w:rsidRPr="00723480">
        <w:rPr>
          <w:rFonts w:cs="Arial"/>
          <w:sz w:val="16"/>
          <w:szCs w:val="16"/>
          <w:rtl/>
        </w:rPr>
        <w:t>(פי"ד מאישות הי"ט)</w:t>
      </w:r>
      <w:r>
        <w:rPr>
          <w:rFonts w:cs="Arial" w:hint="cs"/>
          <w:rtl/>
        </w:rPr>
        <w:t xml:space="preserve">- </w:t>
      </w:r>
      <w:r w:rsidR="00723480" w:rsidRPr="00723480">
        <w:rPr>
          <w:rFonts w:cs="Arial"/>
          <w:rtl/>
        </w:rPr>
        <w:t>אין מחייבין את הבעל לפדות את אשתו ביתר על דמיה אלא כמה שהיא שוה כשאר השבויות</w:t>
      </w:r>
      <w:r w:rsidR="00C65A3A">
        <w:rPr>
          <w:rStyle w:val="a7"/>
          <w:rFonts w:cs="Arial"/>
          <w:rtl/>
        </w:rPr>
        <w:footnoteReference w:id="599"/>
      </w:r>
      <w:r w:rsidR="00C65A3A">
        <w:rPr>
          <w:rFonts w:cs="Arial" w:hint="cs"/>
          <w:rtl/>
        </w:rPr>
        <w:t>.</w:t>
      </w:r>
      <w:r w:rsidR="00723480" w:rsidRPr="00723480">
        <w:rPr>
          <w:rFonts w:cs="Arial"/>
          <w:rtl/>
        </w:rPr>
        <w:t xml:space="preserve"> </w:t>
      </w:r>
      <w:r w:rsidR="00FE0CA6" w:rsidRPr="007B74FB">
        <w:rPr>
          <w:rFonts w:hint="cs"/>
          <w:color w:val="E36C0A" w:themeColor="accent6" w:themeShade="BF"/>
          <w:rtl/>
        </w:rPr>
        <w:t>(וכ"פ בשו"ע)</w:t>
      </w:r>
    </w:p>
    <w:p w14:paraId="48A5D946" w14:textId="13341693" w:rsidR="00E877C8" w:rsidRPr="00C65A3A" w:rsidRDefault="00C65A3A" w:rsidP="00825FED">
      <w:pPr>
        <w:rPr>
          <w:rFonts w:cs="Arial"/>
          <w:u w:val="single"/>
          <w:rtl/>
        </w:rPr>
      </w:pPr>
      <w:r w:rsidRPr="00C65A3A">
        <w:rPr>
          <w:rFonts w:cs="Arial" w:hint="cs"/>
          <w:u w:val="single"/>
          <w:rtl/>
        </w:rPr>
        <w:t xml:space="preserve">איש ואישה שנשבו אצל שבאים שונים </w:t>
      </w:r>
      <w:r w:rsidR="00F97626">
        <w:rPr>
          <w:rFonts w:cs="Arial"/>
          <w:u w:val="single"/>
          <w:rtl/>
        </w:rPr>
        <w:t>-</w:t>
      </w:r>
      <w:r w:rsidRPr="00C65A3A">
        <w:rPr>
          <w:rFonts w:cs="Arial" w:hint="cs"/>
          <w:u w:val="single"/>
          <w:rtl/>
        </w:rPr>
        <w:t xml:space="preserve"> את מי פודים קודם מהממון של הבעל:</w:t>
      </w:r>
    </w:p>
    <w:p w14:paraId="0B6B82A4" w14:textId="26576480" w:rsidR="00E877C8" w:rsidRPr="00825FED" w:rsidRDefault="00C65A3A" w:rsidP="009000E3">
      <w:pPr>
        <w:pStyle w:val="ab"/>
        <w:numPr>
          <w:ilvl w:val="0"/>
          <w:numId w:val="32"/>
        </w:numPr>
        <w:rPr>
          <w:rtl/>
        </w:rPr>
      </w:pPr>
      <w:r>
        <w:rPr>
          <w:rFonts w:cs="Arial" w:hint="cs"/>
          <w:rtl/>
        </w:rPr>
        <w:t xml:space="preserve">מהר"ם </w:t>
      </w:r>
      <w:r w:rsidRPr="00C65A3A">
        <w:rPr>
          <w:rFonts w:cs="Arial" w:hint="cs"/>
          <w:sz w:val="16"/>
          <w:szCs w:val="16"/>
          <w:rtl/>
        </w:rPr>
        <w:t>(</w:t>
      </w:r>
      <w:r w:rsidRPr="00C65A3A">
        <w:rPr>
          <w:rFonts w:cs="Arial"/>
          <w:sz w:val="16"/>
          <w:szCs w:val="16"/>
          <w:rtl/>
        </w:rPr>
        <w:t>ספר סיני וליקוטים סי</w:t>
      </w:r>
      <w:r w:rsidRPr="00C65A3A">
        <w:rPr>
          <w:rFonts w:cs="Arial" w:hint="cs"/>
          <w:sz w:val="16"/>
          <w:szCs w:val="16"/>
          <w:rtl/>
        </w:rPr>
        <w:t>'</w:t>
      </w:r>
      <w:r w:rsidRPr="00C65A3A">
        <w:rPr>
          <w:rFonts w:cs="Arial"/>
          <w:sz w:val="16"/>
          <w:szCs w:val="16"/>
          <w:rtl/>
        </w:rPr>
        <w:t xml:space="preserve"> תקלג</w:t>
      </w:r>
      <w:r w:rsidRPr="00C65A3A">
        <w:rPr>
          <w:rFonts w:cs="Arial" w:hint="cs"/>
          <w:sz w:val="16"/>
          <w:szCs w:val="16"/>
          <w:rtl/>
        </w:rPr>
        <w:t xml:space="preserve">, וכ"כ בשמו </w:t>
      </w:r>
      <w:r w:rsidR="00E877C8" w:rsidRPr="00C65A3A">
        <w:rPr>
          <w:rFonts w:cs="Arial" w:hint="cs"/>
          <w:sz w:val="16"/>
          <w:szCs w:val="16"/>
          <w:rtl/>
        </w:rPr>
        <w:t>ה</w:t>
      </w:r>
      <w:r w:rsidRPr="00C65A3A">
        <w:rPr>
          <w:rFonts w:cs="Arial" w:hint="cs"/>
          <w:sz w:val="16"/>
          <w:szCs w:val="16"/>
          <w:rtl/>
        </w:rPr>
        <w:t>ה</w:t>
      </w:r>
      <w:r w:rsidR="00E877C8" w:rsidRPr="00C65A3A">
        <w:rPr>
          <w:rFonts w:cs="Arial" w:hint="cs"/>
          <w:sz w:val="16"/>
          <w:szCs w:val="16"/>
          <w:rtl/>
        </w:rPr>
        <w:t xml:space="preserve">גמ"ר </w:t>
      </w:r>
      <w:r w:rsidRPr="00C65A3A">
        <w:rPr>
          <w:rFonts w:cs="Arial" w:hint="cs"/>
          <w:sz w:val="16"/>
          <w:szCs w:val="16"/>
          <w:rtl/>
        </w:rPr>
        <w:t>[</w:t>
      </w:r>
      <w:r w:rsidR="00825FED" w:rsidRPr="00C65A3A">
        <w:rPr>
          <w:rFonts w:cs="Arial"/>
          <w:sz w:val="16"/>
          <w:szCs w:val="16"/>
          <w:rtl/>
        </w:rPr>
        <w:t>כתובות סי' רפח</w:t>
      </w:r>
      <w:r w:rsidRPr="00C65A3A">
        <w:rPr>
          <w:rFonts w:cs="Arial" w:hint="cs"/>
          <w:sz w:val="16"/>
          <w:szCs w:val="16"/>
          <w:rtl/>
        </w:rPr>
        <w:t>]</w:t>
      </w:r>
      <w:r w:rsidR="00825FED" w:rsidRPr="00C65A3A">
        <w:rPr>
          <w:rFonts w:cs="Arial"/>
          <w:sz w:val="16"/>
          <w:szCs w:val="16"/>
          <w:rtl/>
        </w:rPr>
        <w:t>)</w:t>
      </w:r>
      <w:r>
        <w:rPr>
          <w:rFonts w:cs="Arial" w:hint="cs"/>
          <w:rtl/>
        </w:rPr>
        <w:t xml:space="preserve">- </w:t>
      </w:r>
      <w:r w:rsidR="00825FED" w:rsidRPr="00C65A3A">
        <w:rPr>
          <w:rFonts w:cs="Arial"/>
          <w:rtl/>
        </w:rPr>
        <w:t>ראובן נתפס וגם אשתו נתפסה מצד אחר</w:t>
      </w:r>
      <w:r>
        <w:rPr>
          <w:rFonts w:cs="Arial" w:hint="cs"/>
          <w:rtl/>
        </w:rPr>
        <w:t>,</w:t>
      </w:r>
      <w:r w:rsidR="00825FED" w:rsidRPr="00C65A3A">
        <w:rPr>
          <w:rFonts w:cs="Arial"/>
          <w:rtl/>
        </w:rPr>
        <w:t xml:space="preserve"> ומייסרין אותה</w:t>
      </w:r>
      <w:r>
        <w:rPr>
          <w:rFonts w:cs="Arial" w:hint="cs"/>
          <w:rtl/>
        </w:rPr>
        <w:t>,</w:t>
      </w:r>
      <w:r w:rsidR="00825FED" w:rsidRPr="00C65A3A">
        <w:rPr>
          <w:rFonts w:cs="Arial"/>
          <w:rtl/>
        </w:rPr>
        <w:t xml:space="preserve"> ועמדו קרוביה ופשרו בעבורה</w:t>
      </w:r>
      <w:r>
        <w:rPr>
          <w:rFonts w:cs="Arial" w:hint="cs"/>
          <w:rtl/>
        </w:rPr>
        <w:t>,</w:t>
      </w:r>
      <w:r w:rsidR="00825FED" w:rsidRPr="00C65A3A">
        <w:rPr>
          <w:rFonts w:cs="Arial"/>
          <w:rtl/>
        </w:rPr>
        <w:t xml:space="preserve"> אם יכולים להוציא דמי פדיונה מיד שמעון שיש בידו פקדון אחד משל ראובן בעלה</w:t>
      </w:r>
      <w:r>
        <w:rPr>
          <w:rFonts w:cs="Arial" w:hint="cs"/>
          <w:rtl/>
        </w:rPr>
        <w:t>,</w:t>
      </w:r>
      <w:r w:rsidR="00825FED" w:rsidRPr="00C65A3A">
        <w:rPr>
          <w:rFonts w:cs="Arial"/>
          <w:rtl/>
        </w:rPr>
        <w:t xml:space="preserve"> מי אמרינן כל כמה שלא נתפשר איהו גופיה עם השבאי ולא נודע כמה יעלו דמי פדיונו ואם יפדנה תחלה אז לא יוכל לפדות עצמו חייו קודמין לשל אשתו או לא</w:t>
      </w:r>
      <w:r w:rsidR="009D7D86">
        <w:rPr>
          <w:rFonts w:cs="Arial" w:hint="cs"/>
          <w:rtl/>
        </w:rPr>
        <w:t xml:space="preserve">. </w:t>
      </w:r>
      <w:r w:rsidR="00FE210D">
        <w:rPr>
          <w:rFonts w:cs="Arial" w:hint="cs"/>
          <w:rtl/>
        </w:rPr>
        <w:t xml:space="preserve">      תשובה:</w:t>
      </w:r>
      <w:r w:rsidR="009D7D86">
        <w:rPr>
          <w:rFonts w:cs="Arial" w:hint="cs"/>
          <w:rtl/>
        </w:rPr>
        <w:t xml:space="preserve"> </w:t>
      </w:r>
      <w:r w:rsidR="00825FED" w:rsidRPr="00C65A3A">
        <w:rPr>
          <w:rFonts w:cs="Arial"/>
          <w:rtl/>
        </w:rPr>
        <w:t>להוציא מבית השביה אשתו עדיפא</w:t>
      </w:r>
      <w:r w:rsidR="0026573C">
        <w:rPr>
          <w:rStyle w:val="a7"/>
          <w:rFonts w:cs="Arial"/>
          <w:rtl/>
        </w:rPr>
        <w:footnoteReference w:id="600"/>
      </w:r>
      <w:r w:rsidR="00825FED" w:rsidRPr="00C65A3A">
        <w:rPr>
          <w:rFonts w:cs="Arial"/>
          <w:rtl/>
        </w:rPr>
        <w:t xml:space="preserve"> כדתנן בסוף הוריות (יג.)</w:t>
      </w:r>
      <w:r w:rsidR="00E75328">
        <w:rPr>
          <w:rFonts w:cs="Arial" w:hint="cs"/>
          <w:rtl/>
        </w:rPr>
        <w:t>.</w:t>
      </w:r>
      <w:r w:rsidR="00825FED" w:rsidRPr="00C65A3A">
        <w:rPr>
          <w:rFonts w:cs="Arial"/>
          <w:rtl/>
        </w:rPr>
        <w:t xml:space="preserve"> ואם שניהם עומדים לקלקלה כלומר שרגילים במשכב זכור </w:t>
      </w:r>
      <w:r w:rsidR="00E75328">
        <w:rPr>
          <w:rFonts w:cs="Arial" w:hint="cs"/>
          <w:rtl/>
        </w:rPr>
        <w:t xml:space="preserve">- </w:t>
      </w:r>
      <w:r w:rsidR="00825FED" w:rsidRPr="00C65A3A">
        <w:rPr>
          <w:rFonts w:cs="Arial"/>
          <w:rtl/>
        </w:rPr>
        <w:t>האיש קודם לאשה</w:t>
      </w:r>
      <w:r w:rsidR="00E877C8">
        <w:rPr>
          <w:rStyle w:val="a7"/>
          <w:rFonts w:cs="Arial"/>
          <w:rtl/>
        </w:rPr>
        <w:footnoteReference w:id="601"/>
      </w:r>
      <w:r w:rsidR="00B42545">
        <w:rPr>
          <w:rFonts w:cs="Arial" w:hint="cs"/>
          <w:sz w:val="12"/>
          <w:szCs w:val="12"/>
          <w:rtl/>
        </w:rPr>
        <w:t xml:space="preserve"> </w:t>
      </w:r>
      <w:r w:rsidR="00B42545">
        <w:rPr>
          <w:rFonts w:cs="Arial" w:hint="cs"/>
          <w:sz w:val="16"/>
          <w:szCs w:val="16"/>
          <w:rtl/>
        </w:rPr>
        <w:t>(ל' ההגמ"ר בשמו)</w:t>
      </w:r>
      <w:r w:rsidR="00E877C8" w:rsidRPr="00C65A3A">
        <w:rPr>
          <w:rFonts w:cs="Arial" w:hint="cs"/>
          <w:rtl/>
        </w:rPr>
        <w:t>.</w:t>
      </w:r>
    </w:p>
    <w:p w14:paraId="30222C1E" w14:textId="77777777" w:rsidR="00393142" w:rsidRDefault="00393142" w:rsidP="00393142">
      <w:pPr>
        <w:rPr>
          <w:rFonts w:cs="Arial"/>
          <w:rtl/>
        </w:rPr>
      </w:pPr>
      <w:r w:rsidRPr="003024E5">
        <w:rPr>
          <w:rFonts w:asciiTheme="minorBidi" w:hAnsiTheme="minorBidi"/>
          <w:b/>
          <w:bCs/>
          <w:color w:val="000000"/>
          <w:sz w:val="28"/>
          <w:szCs w:val="28"/>
          <w:u w:val="single"/>
          <w:rtl/>
        </w:rPr>
        <w:t>שו"ע:</w:t>
      </w:r>
    </w:p>
    <w:p w14:paraId="6045BB8F" w14:textId="12F4478C" w:rsidR="000D2069" w:rsidRDefault="000D2069" w:rsidP="000D2069">
      <w:pPr>
        <w:rPr>
          <w:rtl/>
        </w:rPr>
      </w:pPr>
      <w:r>
        <w:rPr>
          <w:rFonts w:cs="Arial"/>
          <w:rtl/>
        </w:rPr>
        <w:t>אין מחייבים</w:t>
      </w:r>
      <w:r w:rsidR="00F44CF9">
        <w:rPr>
          <w:rStyle w:val="a7"/>
          <w:rFonts w:cs="Arial"/>
          <w:rtl/>
        </w:rPr>
        <w:footnoteReference w:id="602"/>
      </w:r>
      <w:r>
        <w:rPr>
          <w:rFonts w:cs="Arial"/>
          <w:rtl/>
        </w:rPr>
        <w:t xml:space="preserve"> את הבעל לפדות את אשתו יותר על דמיה, אלא כמו שהיא שוה</w:t>
      </w:r>
      <w:r w:rsidR="00F84E60">
        <w:rPr>
          <w:rFonts w:cs="Arial" w:hint="cs"/>
          <w:rtl/>
        </w:rPr>
        <w:t>,</w:t>
      </w:r>
      <w:r>
        <w:rPr>
          <w:rFonts w:cs="Arial"/>
          <w:rtl/>
        </w:rPr>
        <w:t xml:space="preserve"> כשאר השבויות. </w:t>
      </w:r>
      <w:r w:rsidR="00825FED" w:rsidRPr="00825FED">
        <w:rPr>
          <w:rFonts w:cs="Arial" w:hint="cs"/>
          <w:sz w:val="18"/>
          <w:szCs w:val="18"/>
          <w:rtl/>
        </w:rPr>
        <w:t xml:space="preserve">[הגה] </w:t>
      </w:r>
      <w:r w:rsidRPr="00825FED">
        <w:rPr>
          <w:rFonts w:cs="Arial"/>
          <w:sz w:val="18"/>
          <w:szCs w:val="18"/>
          <w:rtl/>
        </w:rPr>
        <w:t>וי"א דאשתו כגופו דמי, ויכול</w:t>
      </w:r>
      <w:r w:rsidR="00FE0CA6">
        <w:rPr>
          <w:rStyle w:val="a7"/>
          <w:rFonts w:cs="Arial"/>
          <w:sz w:val="18"/>
          <w:szCs w:val="18"/>
          <w:rtl/>
        </w:rPr>
        <w:footnoteReference w:id="603"/>
      </w:r>
      <w:r w:rsidRPr="00825FED">
        <w:rPr>
          <w:rFonts w:cs="Arial"/>
          <w:sz w:val="18"/>
          <w:szCs w:val="18"/>
          <w:rtl/>
        </w:rPr>
        <w:t xml:space="preserve"> לפדות בכל אשר לו</w:t>
      </w:r>
      <w:r w:rsidR="008D61D6">
        <w:rPr>
          <w:rStyle w:val="a7"/>
          <w:rFonts w:cs="Arial"/>
          <w:sz w:val="18"/>
          <w:szCs w:val="18"/>
          <w:rtl/>
        </w:rPr>
        <w:footnoteReference w:id="604"/>
      </w:r>
      <w:r w:rsidR="00825FED">
        <w:rPr>
          <w:rFonts w:cs="Arial" w:hint="cs"/>
          <w:sz w:val="18"/>
          <w:szCs w:val="18"/>
          <w:rtl/>
        </w:rPr>
        <w:t xml:space="preserve"> </w:t>
      </w:r>
      <w:r w:rsidRPr="00825FED">
        <w:rPr>
          <w:rFonts w:cs="Arial"/>
          <w:sz w:val="18"/>
          <w:szCs w:val="18"/>
          <w:rtl/>
        </w:rPr>
        <w:t xml:space="preserve">(טור והרא"ש בשם הרמ"ה). </w:t>
      </w:r>
    </w:p>
    <w:p w14:paraId="2241987D" w14:textId="77777777" w:rsidR="00825FED" w:rsidRDefault="00825FED" w:rsidP="000D2069">
      <w:pPr>
        <w:rPr>
          <w:rtl/>
        </w:rPr>
      </w:pPr>
    </w:p>
    <w:p w14:paraId="6E3953B5" w14:textId="592ACDD7" w:rsidR="000D2069" w:rsidRDefault="000D2069" w:rsidP="000F64D0">
      <w:pPr>
        <w:pStyle w:val="2"/>
        <w:rPr>
          <w:rtl/>
        </w:rPr>
      </w:pPr>
      <w:r>
        <w:rPr>
          <w:rtl/>
        </w:rPr>
        <w:lastRenderedPageBreak/>
        <w:t>סעיף ג</w:t>
      </w:r>
      <w:r w:rsidR="00F44CF9">
        <w:rPr>
          <w:rFonts w:hint="cs"/>
          <w:rtl/>
        </w:rPr>
        <w:t>:</w:t>
      </w:r>
      <w:r w:rsidR="00F44CF9" w:rsidRPr="00F44CF9">
        <w:rPr>
          <w:rFonts w:hint="cs"/>
          <w:rtl/>
        </w:rPr>
        <w:t xml:space="preserve"> </w:t>
      </w:r>
      <w:r w:rsidR="00F44CF9">
        <w:rPr>
          <w:rFonts w:hint="cs"/>
          <w:rtl/>
        </w:rPr>
        <w:t>פדיונה כשדורשים יותר מכתובתה.</w:t>
      </w:r>
    </w:p>
    <w:p w14:paraId="348BD788" w14:textId="518E5A0B" w:rsidR="00F44CF9" w:rsidRDefault="00F44CF9" w:rsidP="00F44CF9">
      <w:pPr>
        <w:rPr>
          <w:rFonts w:cs="Arial"/>
          <w:rtl/>
        </w:rPr>
      </w:pPr>
      <w:r w:rsidRPr="00AB0AB9">
        <w:rPr>
          <w:rFonts w:cs="Arial" w:hint="cs"/>
          <w:b/>
          <w:bCs/>
          <w:rtl/>
        </w:rPr>
        <w:t>כתובות</w:t>
      </w:r>
      <w:r>
        <w:rPr>
          <w:rFonts w:cs="Arial" w:hint="cs"/>
          <w:b/>
          <w:bCs/>
          <w:rtl/>
        </w:rPr>
        <w:t xml:space="preserve"> </w:t>
      </w:r>
      <w:r>
        <w:rPr>
          <w:rFonts w:cs="Arial" w:hint="cs"/>
          <w:b/>
          <w:bCs/>
          <w:sz w:val="16"/>
          <w:szCs w:val="16"/>
          <w:rtl/>
        </w:rPr>
        <w:t>(פ' נערה שנתפתתה)</w:t>
      </w:r>
      <w:r w:rsidRPr="00AB0AB9">
        <w:rPr>
          <w:rFonts w:cs="Arial" w:hint="cs"/>
          <w:b/>
          <w:bCs/>
          <w:rtl/>
        </w:rPr>
        <w:t xml:space="preserve"> </w:t>
      </w:r>
      <w:r>
        <w:rPr>
          <w:rFonts w:cs="Arial" w:hint="cs"/>
          <w:b/>
          <w:bCs/>
          <w:rtl/>
        </w:rPr>
        <w:t>נב</w:t>
      </w:r>
      <w:r w:rsidR="00DE23D1">
        <w:rPr>
          <w:rStyle w:val="a7"/>
          <w:rFonts w:cs="Arial"/>
          <w:b/>
          <w:bCs/>
          <w:rtl/>
        </w:rPr>
        <w:footnoteReference w:id="605"/>
      </w:r>
      <w:r w:rsidRPr="00AB0AB9">
        <w:rPr>
          <w:rFonts w:cs="Arial" w:hint="cs"/>
          <w:b/>
          <w:bCs/>
          <w:rtl/>
        </w:rPr>
        <w:t xml:space="preserve"> ע"</w:t>
      </w:r>
      <w:r w:rsidR="00ED51F5">
        <w:rPr>
          <w:rFonts w:cs="Arial" w:hint="cs"/>
          <w:b/>
          <w:bCs/>
          <w:rtl/>
        </w:rPr>
        <w:t>ב</w:t>
      </w:r>
      <w:r w:rsidRPr="00AB0AB9">
        <w:rPr>
          <w:rFonts w:cs="Arial" w:hint="cs"/>
          <w:b/>
          <w:bCs/>
          <w:rtl/>
        </w:rPr>
        <w:t xml:space="preserve">: </w:t>
      </w:r>
      <w:r w:rsidRPr="00146FB6">
        <w:rPr>
          <w:rFonts w:cs="Arial"/>
          <w:rtl/>
        </w:rPr>
        <w:t>ורמינהי: נשבית, והיו מבקשין ממנו עד עשרה בכתובתה - פעם ראשונה פודה, מכאן ואילך, רצה - פודה, רצה - אינו פודה</w:t>
      </w:r>
      <w:r w:rsidR="000A77F1">
        <w:rPr>
          <w:rFonts w:cs="Arial" w:hint="cs"/>
          <w:rtl/>
        </w:rPr>
        <w:t xml:space="preserve">, </w:t>
      </w:r>
      <w:r w:rsidR="000A77F1">
        <w:rPr>
          <w:rStyle w:val="a7"/>
          <w:rFonts w:cs="Arial"/>
          <w:rtl/>
        </w:rPr>
        <w:footnoteReference w:id="606"/>
      </w:r>
      <w:r w:rsidR="000A77F1">
        <w:rPr>
          <w:rFonts w:cs="Arial" w:hint="cs"/>
          <w:rtl/>
        </w:rPr>
        <w:t>[דברי רבי]</w:t>
      </w:r>
      <w:r>
        <w:rPr>
          <w:rFonts w:cs="Arial" w:hint="cs"/>
          <w:rtl/>
        </w:rPr>
        <w:t>.</w:t>
      </w:r>
      <w:r w:rsidRPr="00146FB6">
        <w:rPr>
          <w:rFonts w:cs="Arial"/>
          <w:rtl/>
        </w:rPr>
        <w:t xml:space="preserve"> </w:t>
      </w:r>
      <w:r w:rsidRPr="00146FB6">
        <w:rPr>
          <w:rFonts w:cs="Arial"/>
          <w:u w:val="single"/>
          <w:rtl/>
        </w:rPr>
        <w:t>ר"ש בן גמליאל אומר</w:t>
      </w:r>
      <w:r w:rsidRPr="00146FB6">
        <w:rPr>
          <w:rFonts w:cs="Arial"/>
          <w:rtl/>
        </w:rPr>
        <w:t>: אם היה פרקונה כנגד כתובתה - פודה, אם לאו - אינו פודה</w:t>
      </w:r>
      <w:r w:rsidR="00ED51F5">
        <w:rPr>
          <w:rFonts w:cs="Arial" w:hint="cs"/>
          <w:rtl/>
        </w:rPr>
        <w:t>.</w:t>
      </w:r>
      <w:r w:rsidRPr="00146FB6">
        <w:rPr>
          <w:rFonts w:cs="Arial"/>
          <w:rtl/>
        </w:rPr>
        <w:t xml:space="preserve"> </w:t>
      </w:r>
      <w:r w:rsidR="00ED51F5">
        <w:rPr>
          <w:rFonts w:cs="Arial" w:hint="cs"/>
          <w:sz w:val="16"/>
          <w:szCs w:val="16"/>
          <w:rtl/>
        </w:rPr>
        <w:t>(</w:t>
      </w:r>
      <w:r w:rsidR="00ED51F5" w:rsidRPr="00ED51F5">
        <w:rPr>
          <w:rFonts w:cs="Arial"/>
          <w:sz w:val="16"/>
          <w:szCs w:val="16"/>
          <w:rtl/>
        </w:rPr>
        <w:t>ופסק הרי"ף (יט.) כרבי</w:t>
      </w:r>
      <w:r w:rsidR="006D2078">
        <w:rPr>
          <w:rFonts w:cs="Arial" w:hint="cs"/>
          <w:sz w:val="16"/>
          <w:szCs w:val="16"/>
          <w:rtl/>
        </w:rPr>
        <w:t>,</w:t>
      </w:r>
      <w:r w:rsidR="00ED51F5" w:rsidRPr="00ED51F5">
        <w:rPr>
          <w:rFonts w:cs="Arial"/>
          <w:sz w:val="16"/>
          <w:szCs w:val="16"/>
          <w:rtl/>
        </w:rPr>
        <w:t xml:space="preserve"> וכן פירש הרמב"ם בפי"ד (שם) וכתב שאפילו אין לו אלא כדי פדיונה חייב לפדותה. וכתב הרא"ש (שם) ואע"ג דקיי"ל הלכה כרבי מחבירו</w:t>
      </w:r>
      <w:r w:rsidR="00ED51F5" w:rsidRPr="00ED51F5">
        <w:rPr>
          <w:rFonts w:cs="Arial" w:hint="cs"/>
          <w:sz w:val="16"/>
          <w:szCs w:val="16"/>
          <w:rtl/>
        </w:rPr>
        <w:t>,</w:t>
      </w:r>
      <w:r w:rsidR="00ED51F5" w:rsidRPr="00ED51F5">
        <w:rPr>
          <w:rFonts w:cs="Arial"/>
          <w:sz w:val="16"/>
          <w:szCs w:val="16"/>
          <w:rtl/>
        </w:rPr>
        <w:t xml:space="preserve"> ורשב"ג אביו היה</w:t>
      </w:r>
      <w:r w:rsidR="00ED51F5" w:rsidRPr="00ED51F5">
        <w:rPr>
          <w:rFonts w:cs="Arial" w:hint="cs"/>
          <w:sz w:val="16"/>
          <w:szCs w:val="16"/>
          <w:rtl/>
        </w:rPr>
        <w:t>,</w:t>
      </w:r>
      <w:r w:rsidR="00ED51F5" w:rsidRPr="00ED51F5">
        <w:rPr>
          <w:rFonts w:cs="Arial"/>
          <w:sz w:val="16"/>
          <w:szCs w:val="16"/>
          <w:rtl/>
        </w:rPr>
        <w:t xml:space="preserve"> מתניתין דייקא כרבי דקתני סתם </w:t>
      </w:r>
      <w:r w:rsidR="00ED51F5" w:rsidRPr="00ED51F5">
        <w:rPr>
          <w:rFonts w:cs="Arial" w:hint="cs"/>
          <w:sz w:val="16"/>
          <w:szCs w:val="16"/>
          <w:rtl/>
        </w:rPr>
        <w:t>'</w:t>
      </w:r>
      <w:r w:rsidR="00ED51F5" w:rsidRPr="00ED51F5">
        <w:rPr>
          <w:rFonts w:cs="Arial"/>
          <w:sz w:val="16"/>
          <w:szCs w:val="16"/>
          <w:rtl/>
        </w:rPr>
        <w:t>נשבית חייב לפדותה</w:t>
      </w:r>
      <w:r w:rsidR="00ED51F5" w:rsidRPr="00ED51F5">
        <w:rPr>
          <w:rFonts w:cs="Arial" w:hint="cs"/>
          <w:sz w:val="16"/>
          <w:szCs w:val="16"/>
          <w:rtl/>
        </w:rPr>
        <w:t>' -</w:t>
      </w:r>
      <w:r w:rsidR="00ED51F5" w:rsidRPr="00ED51F5">
        <w:rPr>
          <w:rFonts w:cs="Arial"/>
          <w:sz w:val="16"/>
          <w:szCs w:val="16"/>
          <w:rtl/>
        </w:rPr>
        <w:t xml:space="preserve"> בכל מקום שנשבית</w:t>
      </w:r>
      <w:r w:rsidR="00ED51F5" w:rsidRPr="00ED51F5">
        <w:rPr>
          <w:rFonts w:cs="Arial" w:hint="cs"/>
          <w:sz w:val="16"/>
          <w:szCs w:val="16"/>
          <w:rtl/>
        </w:rPr>
        <w:t>,</w:t>
      </w:r>
      <w:r w:rsidR="00ED51F5" w:rsidRPr="00ED51F5">
        <w:rPr>
          <w:rFonts w:cs="Arial"/>
          <w:sz w:val="16"/>
          <w:szCs w:val="16"/>
          <w:rtl/>
        </w:rPr>
        <w:t xml:space="preserve"> אפילו ביותר מכתובתה. וכתב עוד הא דקאמר </w:t>
      </w:r>
      <w:r w:rsidR="00ED51F5" w:rsidRPr="00ED51F5">
        <w:rPr>
          <w:rFonts w:cs="Arial" w:hint="cs"/>
          <w:sz w:val="16"/>
          <w:szCs w:val="16"/>
          <w:rtl/>
        </w:rPr>
        <w:t>'</w:t>
      </w:r>
      <w:r w:rsidR="00ED51F5" w:rsidRPr="00ED51F5">
        <w:rPr>
          <w:rFonts w:cs="Arial"/>
          <w:sz w:val="16"/>
          <w:szCs w:val="16"/>
          <w:rtl/>
        </w:rPr>
        <w:t>רצה אינו פודה</w:t>
      </w:r>
      <w:r w:rsidR="00ED51F5" w:rsidRPr="00ED51F5">
        <w:rPr>
          <w:rFonts w:cs="Arial" w:hint="cs"/>
          <w:sz w:val="16"/>
          <w:szCs w:val="16"/>
          <w:rtl/>
        </w:rPr>
        <w:t>'</w:t>
      </w:r>
      <w:r w:rsidR="00ED51F5" w:rsidRPr="00ED51F5">
        <w:rPr>
          <w:rFonts w:cs="Arial"/>
          <w:sz w:val="16"/>
          <w:szCs w:val="16"/>
          <w:rtl/>
        </w:rPr>
        <w:t xml:space="preserve"> פירש רש"י (נב</w:t>
      </w:r>
      <w:r w:rsidR="00196BE0">
        <w:rPr>
          <w:rFonts w:cs="Arial" w:hint="cs"/>
          <w:sz w:val="16"/>
          <w:szCs w:val="16"/>
          <w:rtl/>
        </w:rPr>
        <w:t>.</w:t>
      </w:r>
      <w:r w:rsidR="00ED51F5" w:rsidRPr="00ED51F5">
        <w:rPr>
          <w:rFonts w:cs="Arial"/>
          <w:sz w:val="16"/>
          <w:szCs w:val="16"/>
          <w:rtl/>
        </w:rPr>
        <w:t xml:space="preserve"> ד"ה רצה) אינו פודה כלל דלא תקינו לאשה אלא פדיון אחד</w:t>
      </w:r>
      <w:r w:rsidR="00ED51F5" w:rsidRPr="00ED51F5">
        <w:rPr>
          <w:rFonts w:cs="Arial" w:hint="cs"/>
          <w:sz w:val="16"/>
          <w:szCs w:val="16"/>
          <w:rtl/>
        </w:rPr>
        <w:t>.</w:t>
      </w:r>
      <w:r w:rsidR="00ED51F5" w:rsidRPr="00ED51F5">
        <w:rPr>
          <w:rFonts w:cs="Arial"/>
          <w:sz w:val="16"/>
          <w:szCs w:val="16"/>
          <w:rtl/>
        </w:rPr>
        <w:t xml:space="preserve"> וי"מ ביתר מכדי כתובתה</w:t>
      </w:r>
      <w:r w:rsidR="00ED51F5" w:rsidRPr="00ED51F5">
        <w:rPr>
          <w:rFonts w:cs="Arial" w:hint="cs"/>
          <w:sz w:val="16"/>
          <w:szCs w:val="16"/>
          <w:rtl/>
        </w:rPr>
        <w:t>.</w:t>
      </w:r>
      <w:r w:rsidR="00ED51F5" w:rsidRPr="00ED51F5">
        <w:rPr>
          <w:rFonts w:cs="Arial"/>
          <w:sz w:val="16"/>
          <w:szCs w:val="16"/>
          <w:rtl/>
        </w:rPr>
        <w:t xml:space="preserve"> ומסתבר כפרש"י דמאי שנא פדיון ראשון מפדיון שני אם חייבוהו חכמים בפרקונה לעולם</w:t>
      </w:r>
      <w:r w:rsidR="00ED51F5" w:rsidRPr="00ED51F5">
        <w:rPr>
          <w:rFonts w:cs="Arial" w:hint="cs"/>
          <w:sz w:val="16"/>
          <w:szCs w:val="16"/>
          <w:rtl/>
        </w:rPr>
        <w:t>,</w:t>
      </w:r>
      <w:r w:rsidR="00ED51F5" w:rsidRPr="00ED51F5">
        <w:rPr>
          <w:rFonts w:cs="Arial"/>
          <w:sz w:val="16"/>
          <w:szCs w:val="16"/>
          <w:rtl/>
        </w:rPr>
        <w:t xml:space="preserve"> כי היכי דבפדיון ראשון עבדי טפל חמור מן העיקר</w:t>
      </w:r>
      <w:r w:rsidR="00ED51F5" w:rsidRPr="00ED51F5">
        <w:rPr>
          <w:rFonts w:cs="Arial" w:hint="cs"/>
          <w:sz w:val="16"/>
          <w:szCs w:val="16"/>
          <w:rtl/>
        </w:rPr>
        <w:t>,</w:t>
      </w:r>
      <w:r w:rsidR="00ED51F5" w:rsidRPr="00ED51F5">
        <w:rPr>
          <w:rFonts w:cs="Arial"/>
          <w:sz w:val="16"/>
          <w:szCs w:val="16"/>
          <w:rtl/>
        </w:rPr>
        <w:t xml:space="preserve"> הוא הדין בפדיון שני</w:t>
      </w:r>
      <w:r w:rsidR="00ED51F5">
        <w:rPr>
          <w:rFonts w:cs="Arial" w:hint="cs"/>
          <w:sz w:val="16"/>
          <w:szCs w:val="16"/>
          <w:rtl/>
        </w:rPr>
        <w:t xml:space="preserve"> </w:t>
      </w:r>
      <w:r w:rsidR="00ED51F5" w:rsidRPr="00196BE0">
        <w:rPr>
          <w:rFonts w:cs="Arial" w:hint="cs"/>
          <w:sz w:val="14"/>
          <w:szCs w:val="14"/>
          <w:rtl/>
        </w:rPr>
        <w:t>[עכ"ל</w:t>
      </w:r>
      <w:r w:rsidR="00196BE0" w:rsidRPr="00196BE0">
        <w:rPr>
          <w:rFonts w:cs="Arial" w:hint="cs"/>
          <w:sz w:val="14"/>
          <w:szCs w:val="14"/>
          <w:rtl/>
        </w:rPr>
        <w:t xml:space="preserve"> הרא"ש</w:t>
      </w:r>
      <w:r w:rsidR="00ED51F5" w:rsidRPr="00196BE0">
        <w:rPr>
          <w:rFonts w:cs="Arial" w:hint="cs"/>
          <w:sz w:val="14"/>
          <w:szCs w:val="14"/>
          <w:rtl/>
        </w:rPr>
        <w:t>]</w:t>
      </w:r>
      <w:r w:rsidR="00ED51F5">
        <w:rPr>
          <w:rFonts w:cs="Arial" w:hint="cs"/>
          <w:sz w:val="16"/>
          <w:szCs w:val="16"/>
          <w:rtl/>
        </w:rPr>
        <w:t>, ב"י)</w:t>
      </w:r>
    </w:p>
    <w:p w14:paraId="1B26A4C5" w14:textId="6427C10C" w:rsidR="00F44CF9" w:rsidRPr="00F44CF9" w:rsidRDefault="00F44CF9" w:rsidP="00F44CF9">
      <w:pPr>
        <w:rPr>
          <w:u w:val="single"/>
          <w:rtl/>
        </w:rPr>
      </w:pPr>
      <w:r w:rsidRPr="00146FB6">
        <w:rPr>
          <w:rFonts w:hint="cs"/>
          <w:u w:val="single"/>
          <w:rtl/>
        </w:rPr>
        <w:t xml:space="preserve">האם האיש חייב לפדות את אשתו כשדורשים ממנו יותר </w:t>
      </w:r>
      <w:r>
        <w:rPr>
          <w:rFonts w:hint="cs"/>
          <w:u w:val="single"/>
          <w:rtl/>
        </w:rPr>
        <w:t>מכתובתה</w:t>
      </w:r>
      <w:r w:rsidRPr="00146FB6">
        <w:rPr>
          <w:rFonts w:hint="cs"/>
          <w:u w:val="single"/>
          <w:rtl/>
        </w:rPr>
        <w:t>:</w:t>
      </w:r>
    </w:p>
    <w:p w14:paraId="3717C23A" w14:textId="3BD0C93F" w:rsidR="00F72A17" w:rsidRDefault="00723480" w:rsidP="009000E3">
      <w:pPr>
        <w:pStyle w:val="ab"/>
        <w:numPr>
          <w:ilvl w:val="0"/>
          <w:numId w:val="31"/>
        </w:numPr>
      </w:pPr>
      <w:r w:rsidRPr="00723480">
        <w:rPr>
          <w:rFonts w:cs="Arial" w:hint="cs"/>
          <w:rtl/>
        </w:rPr>
        <w:t xml:space="preserve">רמב"ם </w:t>
      </w:r>
      <w:r w:rsidRPr="00723480">
        <w:rPr>
          <w:rFonts w:cs="Arial"/>
          <w:sz w:val="16"/>
          <w:szCs w:val="16"/>
          <w:rtl/>
        </w:rPr>
        <w:t>(פי"ד מאישות הי"ט)</w:t>
      </w:r>
      <w:r w:rsidRPr="00723480">
        <w:rPr>
          <w:rFonts w:cs="Arial" w:hint="cs"/>
          <w:rtl/>
        </w:rPr>
        <w:t xml:space="preserve">- </w:t>
      </w:r>
      <w:r w:rsidRPr="00723480">
        <w:rPr>
          <w:rFonts w:cs="Arial"/>
          <w:rtl/>
        </w:rPr>
        <w:t xml:space="preserve">היו דמיה יתר על כדי כתובתה ואמר הריני מגרשה וזו כתובתה ותלך ותפדה את עצמה </w:t>
      </w:r>
      <w:r w:rsidR="00F44CF9">
        <w:rPr>
          <w:rFonts w:cs="Arial" w:hint="cs"/>
          <w:rtl/>
        </w:rPr>
        <w:t xml:space="preserve">- </w:t>
      </w:r>
      <w:r w:rsidRPr="00723480">
        <w:rPr>
          <w:rFonts w:cs="Arial"/>
          <w:rtl/>
        </w:rPr>
        <w:t>אין שומעין לו</w:t>
      </w:r>
      <w:r w:rsidR="00F44CF9">
        <w:rPr>
          <w:rFonts w:cs="Arial" w:hint="cs"/>
          <w:rtl/>
        </w:rPr>
        <w:t>,</w:t>
      </w:r>
      <w:r w:rsidRPr="00723480">
        <w:rPr>
          <w:rFonts w:cs="Arial"/>
          <w:rtl/>
        </w:rPr>
        <w:t xml:space="preserve"> אלא כופין אותו ופודה אותה אפילו היו דמיה עד עשרה בכתובתה</w:t>
      </w:r>
      <w:r w:rsidR="00F44CF9">
        <w:rPr>
          <w:rFonts w:cs="Arial" w:hint="cs"/>
          <w:rtl/>
        </w:rPr>
        <w:t>,</w:t>
      </w:r>
      <w:r w:rsidRPr="00723480">
        <w:rPr>
          <w:rFonts w:cs="Arial"/>
          <w:rtl/>
        </w:rPr>
        <w:t xml:space="preserve"> ואפילו אין לו אלא כדי פדיונה</w:t>
      </w:r>
      <w:r w:rsidR="00F44CF9">
        <w:rPr>
          <w:rFonts w:cs="Arial" w:hint="cs"/>
          <w:rtl/>
        </w:rPr>
        <w:t>.</w:t>
      </w:r>
      <w:r w:rsidRPr="00723480">
        <w:rPr>
          <w:rFonts w:cs="Arial"/>
          <w:rtl/>
        </w:rPr>
        <w:t xml:space="preserve"> במה דברים אמורים </w:t>
      </w:r>
      <w:r w:rsidR="00F44CF9">
        <w:rPr>
          <w:rFonts w:cs="Arial" w:hint="cs"/>
          <w:rtl/>
        </w:rPr>
        <w:t xml:space="preserve">- </w:t>
      </w:r>
      <w:r w:rsidRPr="00723480">
        <w:rPr>
          <w:rFonts w:cs="Arial"/>
          <w:rtl/>
        </w:rPr>
        <w:t>בפעם ראשונה</w:t>
      </w:r>
      <w:r w:rsidR="00F44CF9">
        <w:rPr>
          <w:rFonts w:cs="Arial" w:hint="cs"/>
          <w:rtl/>
        </w:rPr>
        <w:t>,</w:t>
      </w:r>
      <w:r w:rsidRPr="00723480">
        <w:rPr>
          <w:rFonts w:cs="Arial"/>
          <w:rtl/>
        </w:rPr>
        <w:t xml:space="preserve"> אבל אם פדאה ונשבית פעם שנייה ורצה לגרשה </w:t>
      </w:r>
      <w:r w:rsidR="00F44CF9">
        <w:rPr>
          <w:rFonts w:cs="Arial" w:hint="cs"/>
          <w:rtl/>
        </w:rPr>
        <w:t xml:space="preserve">- </w:t>
      </w:r>
      <w:r w:rsidRPr="00723480">
        <w:rPr>
          <w:rFonts w:cs="Arial"/>
          <w:rtl/>
        </w:rPr>
        <w:t>הרי זה מגרש ויתן כתובה</w:t>
      </w:r>
      <w:r w:rsidR="00847267">
        <w:rPr>
          <w:rStyle w:val="a7"/>
          <w:rFonts w:cs="Arial"/>
          <w:rtl/>
        </w:rPr>
        <w:footnoteReference w:id="607"/>
      </w:r>
      <w:r w:rsidRPr="00723480">
        <w:rPr>
          <w:rFonts w:cs="Arial"/>
          <w:rtl/>
        </w:rPr>
        <w:t xml:space="preserve"> והיא תפדה את עצמה</w:t>
      </w:r>
      <w:r w:rsidR="00196BE0">
        <w:rPr>
          <w:rFonts w:cs="Arial" w:hint="cs"/>
          <w:sz w:val="16"/>
          <w:szCs w:val="16"/>
          <w:rtl/>
        </w:rPr>
        <w:t xml:space="preserve"> (ל' הרמב"ם)</w:t>
      </w:r>
      <w:r w:rsidRPr="00723480">
        <w:rPr>
          <w:rFonts w:cs="Arial" w:hint="cs"/>
          <w:rtl/>
        </w:rPr>
        <w:t>.</w:t>
      </w:r>
      <w:r w:rsidR="00196BE0" w:rsidRPr="00723480">
        <w:rPr>
          <w:rFonts w:cs="Arial"/>
          <w:rtl/>
        </w:rPr>
        <w:t xml:space="preserve"> </w:t>
      </w:r>
      <w:r w:rsidR="00196BE0" w:rsidRPr="007B74FB">
        <w:rPr>
          <w:rFonts w:hint="cs"/>
          <w:color w:val="E36C0A" w:themeColor="accent6" w:themeShade="BF"/>
          <w:rtl/>
        </w:rPr>
        <w:t>(וכ"פ בשו"ע)</w:t>
      </w:r>
      <w:r w:rsidR="00934DA0">
        <w:rPr>
          <w:rFonts w:hint="cs"/>
          <w:rtl/>
        </w:rPr>
        <w:t xml:space="preserve"> </w:t>
      </w:r>
    </w:p>
    <w:p w14:paraId="01DBDA6F" w14:textId="605B7A88" w:rsidR="00AA5BF9" w:rsidRDefault="00AA5BF9" w:rsidP="009000E3">
      <w:pPr>
        <w:pStyle w:val="ab"/>
        <w:numPr>
          <w:ilvl w:val="0"/>
          <w:numId w:val="31"/>
        </w:numPr>
        <w:rPr>
          <w:rtl/>
        </w:rPr>
      </w:pPr>
      <w:r>
        <w:rPr>
          <w:rFonts w:cs="Arial" w:hint="cs"/>
          <w:rtl/>
        </w:rPr>
        <w:t xml:space="preserve">רא"ש </w:t>
      </w:r>
      <w:r>
        <w:rPr>
          <w:rFonts w:cs="Arial" w:hint="cs"/>
          <w:sz w:val="16"/>
          <w:szCs w:val="16"/>
          <w:rtl/>
        </w:rPr>
        <w:t>(</w:t>
      </w:r>
      <w:r w:rsidRPr="00AA5BF9">
        <w:rPr>
          <w:rFonts w:hint="cs"/>
          <w:sz w:val="16"/>
          <w:szCs w:val="16"/>
          <w:rtl/>
        </w:rPr>
        <w:t>פ"ד סי' כב</w:t>
      </w:r>
      <w:r>
        <w:rPr>
          <w:rFonts w:cs="Arial" w:hint="cs"/>
          <w:sz w:val="16"/>
          <w:szCs w:val="16"/>
          <w:rtl/>
        </w:rPr>
        <w:t>)</w:t>
      </w:r>
      <w:r>
        <w:rPr>
          <w:rFonts w:cs="Arial" w:hint="cs"/>
          <w:rtl/>
        </w:rPr>
        <w:t xml:space="preserve"> וטור- </w:t>
      </w:r>
      <w:r w:rsidRPr="00AA5BF9">
        <w:rPr>
          <w:rFonts w:cs="Arial"/>
          <w:rtl/>
        </w:rPr>
        <w:t>בפדיונה כיצד</w:t>
      </w:r>
      <w:r>
        <w:rPr>
          <w:rFonts w:cs="Arial" w:hint="cs"/>
          <w:rtl/>
        </w:rPr>
        <w:t>,</w:t>
      </w:r>
      <w:r w:rsidRPr="00AA5BF9">
        <w:rPr>
          <w:rFonts w:cs="Arial"/>
          <w:rtl/>
        </w:rPr>
        <w:t xml:space="preserve"> נשבית חייב לפדותה</w:t>
      </w:r>
      <w:r>
        <w:rPr>
          <w:rFonts w:cs="Arial" w:hint="cs"/>
          <w:rtl/>
        </w:rPr>
        <w:t>...</w:t>
      </w:r>
      <w:r w:rsidRPr="00AA5BF9">
        <w:rPr>
          <w:rFonts w:cs="Arial"/>
          <w:rtl/>
        </w:rPr>
        <w:t xml:space="preserve"> אפילו אם פדיונה עולה יותר מכתובתה</w:t>
      </w:r>
      <w:r>
        <w:rPr>
          <w:rFonts w:cs="Arial" w:hint="cs"/>
          <w:rtl/>
        </w:rPr>
        <w:t>...</w:t>
      </w:r>
      <w:r w:rsidRPr="00AA5BF9">
        <w:rPr>
          <w:rFonts w:cs="Arial"/>
          <w:rtl/>
        </w:rPr>
        <w:t xml:space="preserve"> ואינו חייב לפדותה אלא פעם אחת</w:t>
      </w:r>
      <w:r w:rsidR="00C03523">
        <w:rPr>
          <w:rFonts w:cs="Arial" w:hint="cs"/>
          <w:rtl/>
        </w:rPr>
        <w:t>.</w:t>
      </w:r>
      <w:r w:rsidRPr="00AA5BF9">
        <w:rPr>
          <w:rFonts w:cs="Arial"/>
          <w:rtl/>
        </w:rPr>
        <w:t xml:space="preserve"> נשבית שנית</w:t>
      </w:r>
      <w:r>
        <w:rPr>
          <w:rFonts w:cs="Arial" w:hint="cs"/>
          <w:rtl/>
        </w:rPr>
        <w:t xml:space="preserve"> -...</w:t>
      </w:r>
      <w:r w:rsidRPr="00AA5BF9">
        <w:rPr>
          <w:rFonts w:cs="Arial"/>
          <w:rtl/>
        </w:rPr>
        <w:t xml:space="preserve"> אינו חייב בפדיונה כלל</w:t>
      </w:r>
      <w:r>
        <w:rPr>
          <w:rFonts w:cs="Arial" w:hint="cs"/>
          <w:sz w:val="16"/>
          <w:szCs w:val="16"/>
          <w:rtl/>
        </w:rPr>
        <w:t xml:space="preserve"> (ל' הטור)</w:t>
      </w:r>
      <w:r>
        <w:rPr>
          <w:rFonts w:cs="Arial" w:hint="cs"/>
          <w:rtl/>
        </w:rPr>
        <w:t>.</w:t>
      </w:r>
    </w:p>
    <w:p w14:paraId="2A0335A5" w14:textId="77777777" w:rsidR="00393142" w:rsidRDefault="00393142" w:rsidP="00393142">
      <w:pPr>
        <w:rPr>
          <w:rFonts w:cs="Arial"/>
          <w:rtl/>
        </w:rPr>
      </w:pPr>
      <w:r w:rsidRPr="003024E5">
        <w:rPr>
          <w:rFonts w:asciiTheme="minorBidi" w:hAnsiTheme="minorBidi"/>
          <w:b/>
          <w:bCs/>
          <w:color w:val="000000"/>
          <w:sz w:val="28"/>
          <w:szCs w:val="28"/>
          <w:u w:val="single"/>
          <w:rtl/>
        </w:rPr>
        <w:t>שו"ע:</w:t>
      </w:r>
    </w:p>
    <w:p w14:paraId="284D4323" w14:textId="621CD86E" w:rsidR="000D2069" w:rsidRDefault="000D2069" w:rsidP="000D2069">
      <w:pPr>
        <w:rPr>
          <w:rtl/>
        </w:rPr>
      </w:pPr>
      <w:r>
        <w:rPr>
          <w:rFonts w:cs="Arial"/>
          <w:rtl/>
        </w:rPr>
        <w:t>היו דמיה יותר על כדי כתובתה, ואמר: הריני מגרשה וזו כתובתה ותלך ותפדה את עצמה, אין שומעין לו, אלא כופין אותו ופודה אותה אפילו היו דמיה עד י' בכתובתה</w:t>
      </w:r>
      <w:r w:rsidR="00AA5BF9">
        <w:rPr>
          <w:rStyle w:val="a7"/>
          <w:rFonts w:cs="Arial"/>
          <w:rtl/>
        </w:rPr>
        <w:footnoteReference w:id="608"/>
      </w:r>
      <w:r w:rsidR="00AA5BF9">
        <w:rPr>
          <w:rFonts w:cs="Arial" w:hint="cs"/>
          <w:rtl/>
        </w:rPr>
        <w:t>.</w:t>
      </w:r>
      <w:r>
        <w:rPr>
          <w:rFonts w:cs="Arial"/>
          <w:rtl/>
        </w:rPr>
        <w:t xml:space="preserve"> ואפילו אין לו אלא כדי פדיונה. ב</w:t>
      </w:r>
      <w:r w:rsidR="00F44CF9">
        <w:rPr>
          <w:rFonts w:cs="Arial" w:hint="cs"/>
          <w:rtl/>
        </w:rPr>
        <w:t xml:space="preserve">מה </w:t>
      </w:r>
      <w:r>
        <w:rPr>
          <w:rFonts w:cs="Arial"/>
          <w:rtl/>
        </w:rPr>
        <w:t>ד</w:t>
      </w:r>
      <w:r w:rsidR="00F44CF9">
        <w:rPr>
          <w:rFonts w:cs="Arial" w:hint="cs"/>
          <w:rtl/>
        </w:rPr>
        <w:t xml:space="preserve">ברים </w:t>
      </w:r>
      <w:r>
        <w:rPr>
          <w:rFonts w:cs="Arial"/>
          <w:rtl/>
        </w:rPr>
        <w:t>א</w:t>
      </w:r>
      <w:r w:rsidR="00F44CF9">
        <w:rPr>
          <w:rFonts w:cs="Arial" w:hint="cs"/>
          <w:rtl/>
        </w:rPr>
        <w:t>מורים</w:t>
      </w:r>
      <w:r>
        <w:rPr>
          <w:rFonts w:cs="Arial"/>
          <w:rtl/>
        </w:rPr>
        <w:t>, בפעם ראשונה</w:t>
      </w:r>
      <w:r w:rsidR="00F44CF9">
        <w:rPr>
          <w:rFonts w:cs="Arial" w:hint="cs"/>
          <w:rtl/>
        </w:rPr>
        <w:t>,</w:t>
      </w:r>
      <w:r>
        <w:rPr>
          <w:rFonts w:cs="Arial"/>
          <w:rtl/>
        </w:rPr>
        <w:t xml:space="preserve"> אבל אם פדאה ונשבית פעם שנייה, ורצה לגרשה, מגרשה ונותן לה כתובתה והיא תפדה את עצמה</w:t>
      </w:r>
      <w:r w:rsidR="00825FED">
        <w:rPr>
          <w:rFonts w:cs="Arial" w:hint="cs"/>
          <w:rtl/>
        </w:rPr>
        <w:t>.</w:t>
      </w:r>
      <w:r w:rsidRPr="00825FED">
        <w:rPr>
          <w:rFonts w:cs="Arial"/>
          <w:sz w:val="18"/>
          <w:szCs w:val="18"/>
          <w:rtl/>
        </w:rPr>
        <w:t xml:space="preserve"> </w:t>
      </w:r>
      <w:r w:rsidR="00825FED">
        <w:rPr>
          <w:rFonts w:cs="Arial" w:hint="cs"/>
          <w:sz w:val="18"/>
          <w:szCs w:val="18"/>
          <w:rtl/>
        </w:rPr>
        <w:t xml:space="preserve">[הגה] </w:t>
      </w:r>
      <w:r w:rsidRPr="00825FED">
        <w:rPr>
          <w:rFonts w:cs="Arial"/>
          <w:sz w:val="18"/>
          <w:szCs w:val="18"/>
          <w:rtl/>
        </w:rPr>
        <w:t>אבל בלאו הכי אינו חייב לפדותה בפעם שניה</w:t>
      </w:r>
      <w:r w:rsidR="00AA5BF9">
        <w:rPr>
          <w:rStyle w:val="a7"/>
          <w:rFonts w:cs="Arial"/>
          <w:sz w:val="18"/>
          <w:szCs w:val="18"/>
          <w:rtl/>
        </w:rPr>
        <w:footnoteReference w:id="609"/>
      </w:r>
      <w:r w:rsidRPr="00825FED">
        <w:rPr>
          <w:rFonts w:cs="Arial"/>
          <w:sz w:val="18"/>
          <w:szCs w:val="18"/>
          <w:rtl/>
        </w:rPr>
        <w:t xml:space="preserve"> (ב"י).</w:t>
      </w:r>
      <w:r>
        <w:rPr>
          <w:rFonts w:cs="Arial"/>
          <w:rtl/>
        </w:rPr>
        <w:t xml:space="preserve"> </w:t>
      </w:r>
    </w:p>
    <w:p w14:paraId="141E16D6" w14:textId="77777777" w:rsidR="00825FED" w:rsidRDefault="00825FED" w:rsidP="000D2069">
      <w:pPr>
        <w:rPr>
          <w:rtl/>
        </w:rPr>
      </w:pPr>
    </w:p>
    <w:p w14:paraId="37155D46" w14:textId="0333B6F7" w:rsidR="000D2069" w:rsidRDefault="000D2069" w:rsidP="000F64D0">
      <w:pPr>
        <w:pStyle w:val="2"/>
        <w:rPr>
          <w:rtl/>
        </w:rPr>
      </w:pPr>
      <w:r>
        <w:rPr>
          <w:rtl/>
        </w:rPr>
        <w:t>סעיף ד</w:t>
      </w:r>
      <w:r w:rsidR="005712AA">
        <w:rPr>
          <w:rFonts w:hint="cs"/>
          <w:rtl/>
        </w:rPr>
        <w:t xml:space="preserve">: </w:t>
      </w:r>
      <w:r w:rsidR="005712AA">
        <w:rPr>
          <w:rtl/>
        </w:rPr>
        <w:t>מי שנשבית אשתו</w:t>
      </w:r>
      <w:r w:rsidR="00570B9F">
        <w:rPr>
          <w:rFonts w:hint="cs"/>
          <w:rtl/>
        </w:rPr>
        <w:t>,</w:t>
      </w:r>
      <w:r w:rsidR="005712AA">
        <w:rPr>
          <w:rtl/>
        </w:rPr>
        <w:t xml:space="preserve"> והוא במדינת הים</w:t>
      </w:r>
      <w:r w:rsidR="005712AA">
        <w:rPr>
          <w:rFonts w:hint="cs"/>
          <w:rtl/>
        </w:rPr>
        <w:t>.</w:t>
      </w:r>
    </w:p>
    <w:p w14:paraId="03A8F92F" w14:textId="71FECE16" w:rsidR="00E877C8" w:rsidRPr="005712AA" w:rsidRDefault="005712AA" w:rsidP="00E877C8">
      <w:pPr>
        <w:rPr>
          <w:u w:val="single"/>
          <w:rtl/>
        </w:rPr>
      </w:pPr>
      <w:r w:rsidRPr="005712AA">
        <w:rPr>
          <w:rFonts w:cs="Arial"/>
          <w:u w:val="single"/>
          <w:rtl/>
        </w:rPr>
        <w:t>מי שנשבית אשתו</w:t>
      </w:r>
      <w:r w:rsidR="00570B9F">
        <w:rPr>
          <w:rFonts w:cs="Arial" w:hint="cs"/>
          <w:u w:val="single"/>
          <w:rtl/>
        </w:rPr>
        <w:t>,</w:t>
      </w:r>
      <w:r w:rsidRPr="005712AA">
        <w:rPr>
          <w:rFonts w:cs="Arial"/>
          <w:u w:val="single"/>
          <w:rtl/>
        </w:rPr>
        <w:t xml:space="preserve"> והוא במדינת הים</w:t>
      </w:r>
      <w:r w:rsidRPr="005712AA">
        <w:rPr>
          <w:rFonts w:hint="cs"/>
          <w:u w:val="single"/>
          <w:rtl/>
        </w:rPr>
        <w:t>:</w:t>
      </w:r>
    </w:p>
    <w:p w14:paraId="4EEB285A" w14:textId="15F289FD" w:rsidR="005712AA" w:rsidRDefault="005712AA" w:rsidP="009000E3">
      <w:pPr>
        <w:pStyle w:val="ab"/>
        <w:numPr>
          <w:ilvl w:val="0"/>
          <w:numId w:val="27"/>
        </w:numPr>
      </w:pPr>
      <w:r>
        <w:rPr>
          <w:rFonts w:cs="Arial" w:hint="cs"/>
          <w:rtl/>
        </w:rPr>
        <w:t xml:space="preserve">רמב"ם </w:t>
      </w:r>
      <w:r>
        <w:rPr>
          <w:rFonts w:cs="Arial" w:hint="cs"/>
          <w:sz w:val="16"/>
          <w:szCs w:val="16"/>
          <w:rtl/>
        </w:rPr>
        <w:t>(פי"ד ה"כ)</w:t>
      </w:r>
      <w:r>
        <w:rPr>
          <w:rFonts w:cs="Arial" w:hint="cs"/>
          <w:rtl/>
        </w:rPr>
        <w:t xml:space="preserve"> ו</w:t>
      </w:r>
      <w:r w:rsidR="002C478C">
        <w:rPr>
          <w:rFonts w:cs="Arial" w:hint="cs"/>
          <w:rtl/>
        </w:rPr>
        <w:t xml:space="preserve">טור- </w:t>
      </w:r>
      <w:r w:rsidRPr="005712AA">
        <w:rPr>
          <w:rFonts w:cs="Arial"/>
          <w:rtl/>
        </w:rPr>
        <w:t>מי שנשבית אשתו</w:t>
      </w:r>
      <w:r w:rsidR="002541F6">
        <w:rPr>
          <w:rFonts w:cs="Arial" w:hint="cs"/>
          <w:rtl/>
        </w:rPr>
        <w:t>,</w:t>
      </w:r>
      <w:r w:rsidRPr="005712AA">
        <w:rPr>
          <w:rFonts w:cs="Arial"/>
          <w:rtl/>
        </w:rPr>
        <w:t xml:space="preserve"> והוא במדינת הים</w:t>
      </w:r>
      <w:r w:rsidR="002541F6">
        <w:rPr>
          <w:rFonts w:cs="Arial" w:hint="cs"/>
          <w:rtl/>
        </w:rPr>
        <w:t>,</w:t>
      </w:r>
      <w:r w:rsidRPr="005712AA">
        <w:rPr>
          <w:rFonts w:cs="Arial"/>
          <w:rtl/>
        </w:rPr>
        <w:t xml:space="preserve"> בית דין יורדין לנכסיו ומוכרין בהכרזה ופודין אותה כדרך שהבעל פודה</w:t>
      </w:r>
      <w:r>
        <w:rPr>
          <w:rStyle w:val="a7"/>
          <w:rFonts w:cs="Arial"/>
          <w:rtl/>
        </w:rPr>
        <w:footnoteReference w:id="610"/>
      </w:r>
      <w:r>
        <w:rPr>
          <w:rFonts w:cs="Arial" w:hint="cs"/>
          <w:sz w:val="16"/>
          <w:szCs w:val="16"/>
          <w:rtl/>
        </w:rPr>
        <w:t xml:space="preserve"> (ל' הרמב"ם)</w:t>
      </w:r>
      <w:r w:rsidRPr="005712AA">
        <w:rPr>
          <w:rFonts w:cs="Arial"/>
          <w:rtl/>
        </w:rPr>
        <w:t>.</w:t>
      </w:r>
      <w:r w:rsidRPr="005712AA">
        <w:rPr>
          <w:rFonts w:hint="cs"/>
          <w:color w:val="E36C0A" w:themeColor="accent6" w:themeShade="BF"/>
          <w:rtl/>
        </w:rPr>
        <w:t xml:space="preserve"> </w:t>
      </w:r>
      <w:r w:rsidRPr="007B74FB">
        <w:rPr>
          <w:rFonts w:hint="cs"/>
          <w:color w:val="E36C0A" w:themeColor="accent6" w:themeShade="BF"/>
          <w:rtl/>
        </w:rPr>
        <w:t>(וכ"פ בשו"ע)</w:t>
      </w:r>
    </w:p>
    <w:p w14:paraId="4875B5DF" w14:textId="59DC2B11" w:rsidR="005712AA" w:rsidRPr="00567396" w:rsidRDefault="00567396" w:rsidP="005712AA">
      <w:pPr>
        <w:rPr>
          <w:u w:val="single"/>
        </w:rPr>
      </w:pPr>
      <w:r w:rsidRPr="00567396">
        <w:rPr>
          <w:rFonts w:hint="cs"/>
          <w:u w:val="single"/>
          <w:rtl/>
        </w:rPr>
        <w:t>פדיון אשה שנאסרה על בעלה בשביה:</w:t>
      </w:r>
    </w:p>
    <w:p w14:paraId="6146EC56" w14:textId="11262BFD" w:rsidR="002C478C" w:rsidRPr="002C478C" w:rsidRDefault="005712AA" w:rsidP="009000E3">
      <w:pPr>
        <w:pStyle w:val="ab"/>
        <w:numPr>
          <w:ilvl w:val="0"/>
          <w:numId w:val="27"/>
        </w:numPr>
        <w:rPr>
          <w:rtl/>
        </w:rPr>
      </w:pPr>
      <w:r w:rsidRPr="005712AA">
        <w:rPr>
          <w:rFonts w:cs="Arial" w:hint="cs"/>
          <w:rtl/>
        </w:rPr>
        <w:t xml:space="preserve">רי"ו </w:t>
      </w:r>
      <w:r w:rsidRPr="005712AA">
        <w:rPr>
          <w:rFonts w:cs="Arial" w:hint="cs"/>
          <w:sz w:val="16"/>
          <w:szCs w:val="16"/>
          <w:rtl/>
        </w:rPr>
        <w:t>(</w:t>
      </w:r>
      <w:r w:rsidR="00E877C8" w:rsidRPr="005712AA">
        <w:rPr>
          <w:rFonts w:cs="Arial"/>
          <w:sz w:val="16"/>
          <w:szCs w:val="16"/>
          <w:rtl/>
        </w:rPr>
        <w:t>מישרים נכ"ג ח"ה נז ע"ד)</w:t>
      </w:r>
      <w:r w:rsidRPr="005712AA">
        <w:rPr>
          <w:rFonts w:cs="Arial" w:hint="cs"/>
          <w:rtl/>
        </w:rPr>
        <w:t>-</w:t>
      </w:r>
      <w:r w:rsidR="00E877C8" w:rsidRPr="005712AA">
        <w:rPr>
          <w:rFonts w:cs="Arial"/>
          <w:rtl/>
        </w:rPr>
        <w:t xml:space="preserve"> לפי פירוש רש"י ושאר מפרשים בפרק נערה שנתפתתה (נא:) על ההיא דשבויי מלכות הרי הן כשבויין אין לך שבויה מותרת לבעלה אלא אותה שנשבית למלך או לסטים</w:t>
      </w:r>
      <w:r w:rsidR="002541F6">
        <w:rPr>
          <w:rFonts w:cs="Arial" w:hint="cs"/>
          <w:rtl/>
        </w:rPr>
        <w:t>.</w:t>
      </w:r>
      <w:r w:rsidR="00E877C8" w:rsidRPr="005712AA">
        <w:rPr>
          <w:rFonts w:cs="Arial"/>
          <w:rtl/>
        </w:rPr>
        <w:t xml:space="preserve"> אבל נשבית ביד אדם גדול ועשיר אסורה לבעלה</w:t>
      </w:r>
      <w:r w:rsidR="002541F6">
        <w:rPr>
          <w:rFonts w:cs="Arial" w:hint="cs"/>
          <w:rtl/>
        </w:rPr>
        <w:t>,</w:t>
      </w:r>
      <w:r w:rsidR="00E877C8" w:rsidRPr="005712AA">
        <w:rPr>
          <w:rFonts w:cs="Arial"/>
          <w:rtl/>
        </w:rPr>
        <w:t xml:space="preserve"> ומאחר שהיא אסורה אין חייב לפדותה</w:t>
      </w:r>
      <w:r w:rsidR="002541F6">
        <w:rPr>
          <w:rFonts w:cs="Arial" w:hint="cs"/>
          <w:rtl/>
        </w:rPr>
        <w:t>.</w:t>
      </w:r>
      <w:r w:rsidR="00E877C8" w:rsidRPr="005712AA">
        <w:rPr>
          <w:rFonts w:cs="Arial"/>
          <w:rtl/>
        </w:rPr>
        <w:t xml:space="preserve"> ולפי שאר מפרשים כל השבויות שלנו בזמן הזה כולן מותרות לבעליהן</w:t>
      </w:r>
      <w:r>
        <w:rPr>
          <w:rStyle w:val="a7"/>
          <w:rFonts w:cs="Arial"/>
          <w:rtl/>
        </w:rPr>
        <w:footnoteReference w:id="611"/>
      </w:r>
      <w:r w:rsidRPr="005712AA">
        <w:rPr>
          <w:rFonts w:cs="Arial" w:hint="cs"/>
          <w:rtl/>
        </w:rPr>
        <w:t>.</w:t>
      </w:r>
    </w:p>
    <w:p w14:paraId="582DBE00" w14:textId="77777777" w:rsidR="00393142" w:rsidRDefault="00393142" w:rsidP="00393142">
      <w:pPr>
        <w:rPr>
          <w:rFonts w:cs="Arial"/>
          <w:rtl/>
        </w:rPr>
      </w:pPr>
      <w:r w:rsidRPr="003024E5">
        <w:rPr>
          <w:rFonts w:asciiTheme="minorBidi" w:hAnsiTheme="minorBidi"/>
          <w:b/>
          <w:bCs/>
          <w:color w:val="000000"/>
          <w:sz w:val="28"/>
          <w:szCs w:val="28"/>
          <w:u w:val="single"/>
          <w:rtl/>
        </w:rPr>
        <w:t>שו"ע:</w:t>
      </w:r>
    </w:p>
    <w:p w14:paraId="49A80BD0" w14:textId="1D848213" w:rsidR="000D2069" w:rsidRDefault="000D2069" w:rsidP="000D2069">
      <w:pPr>
        <w:rPr>
          <w:rtl/>
        </w:rPr>
      </w:pPr>
      <w:r>
        <w:rPr>
          <w:rFonts w:cs="Arial"/>
          <w:rtl/>
        </w:rPr>
        <w:lastRenderedPageBreak/>
        <w:t>מי שנשבית אשתו</w:t>
      </w:r>
      <w:r w:rsidR="002541F6">
        <w:rPr>
          <w:rFonts w:cs="Arial" w:hint="cs"/>
          <w:rtl/>
        </w:rPr>
        <w:t>,</w:t>
      </w:r>
      <w:r>
        <w:rPr>
          <w:rFonts w:cs="Arial"/>
          <w:rtl/>
        </w:rPr>
        <w:t xml:space="preserve"> והוא במדינת הים, ב</w:t>
      </w:r>
      <w:r w:rsidR="005712AA">
        <w:rPr>
          <w:rFonts w:cs="Arial" w:hint="cs"/>
          <w:rtl/>
        </w:rPr>
        <w:t xml:space="preserve">ית </w:t>
      </w:r>
      <w:r>
        <w:rPr>
          <w:rFonts w:cs="Arial"/>
          <w:rtl/>
        </w:rPr>
        <w:t>ד</w:t>
      </w:r>
      <w:r w:rsidR="005712AA">
        <w:rPr>
          <w:rFonts w:cs="Arial" w:hint="cs"/>
          <w:rtl/>
        </w:rPr>
        <w:t>ין</w:t>
      </w:r>
      <w:r>
        <w:rPr>
          <w:rFonts w:cs="Arial"/>
          <w:rtl/>
        </w:rPr>
        <w:t xml:space="preserve"> יורדים לנכסיו ומוכרין בהכרזה, ופודין אותה כדרך שהבעל פודה</w:t>
      </w:r>
      <w:r w:rsidR="005712AA">
        <w:rPr>
          <w:rFonts w:cs="Arial" w:hint="cs"/>
          <w:rtl/>
        </w:rPr>
        <w:t>.</w:t>
      </w:r>
      <w:r>
        <w:rPr>
          <w:rFonts w:cs="Arial"/>
          <w:rtl/>
        </w:rPr>
        <w:t xml:space="preserve"> </w:t>
      </w:r>
      <w:r w:rsidR="002541F6">
        <w:rPr>
          <w:rFonts w:cs="Arial" w:hint="cs"/>
          <w:sz w:val="18"/>
          <w:szCs w:val="18"/>
          <w:rtl/>
        </w:rPr>
        <w:t xml:space="preserve">[הגה] </w:t>
      </w:r>
      <w:r w:rsidRPr="005712AA">
        <w:rPr>
          <w:rFonts w:cs="Arial"/>
          <w:sz w:val="18"/>
          <w:szCs w:val="18"/>
          <w:rtl/>
        </w:rPr>
        <w:t>אם הוא ואשתו בשביה עיין ביו"ד סימן רנ"ב.</w:t>
      </w:r>
      <w:r>
        <w:rPr>
          <w:rFonts w:cs="Arial"/>
          <w:rtl/>
        </w:rPr>
        <w:t xml:space="preserve"> </w:t>
      </w:r>
    </w:p>
    <w:p w14:paraId="4C964903" w14:textId="77777777" w:rsidR="00825FED" w:rsidRDefault="00825FED" w:rsidP="000D2069">
      <w:pPr>
        <w:rPr>
          <w:rtl/>
        </w:rPr>
      </w:pPr>
    </w:p>
    <w:p w14:paraId="4EDA0C0B" w14:textId="7F7ED6B5" w:rsidR="000D2069" w:rsidRDefault="000D2069" w:rsidP="000F64D0">
      <w:pPr>
        <w:pStyle w:val="2"/>
        <w:rPr>
          <w:rtl/>
        </w:rPr>
      </w:pPr>
      <w:r>
        <w:rPr>
          <w:rtl/>
        </w:rPr>
        <w:t>סעיף ה</w:t>
      </w:r>
      <w:r w:rsidR="00567396">
        <w:rPr>
          <w:rFonts w:hint="cs"/>
          <w:rtl/>
        </w:rPr>
        <w:t>: הדיר את אשתו בנדר שמחייבו לגרשה</w:t>
      </w:r>
      <w:r w:rsidR="002541F6">
        <w:rPr>
          <w:rFonts w:hint="cs"/>
          <w:rtl/>
        </w:rPr>
        <w:t>,</w:t>
      </w:r>
      <w:r w:rsidR="00567396">
        <w:rPr>
          <w:rFonts w:hint="cs"/>
          <w:rtl/>
        </w:rPr>
        <w:t xml:space="preserve"> ונשבתה לפני שגרשה.</w:t>
      </w:r>
    </w:p>
    <w:p w14:paraId="0F56897F" w14:textId="25CDA145" w:rsidR="00485132" w:rsidRPr="00485132" w:rsidRDefault="00485132" w:rsidP="00485132">
      <w:pPr>
        <w:rPr>
          <w:rtl/>
        </w:rPr>
      </w:pPr>
      <w:r w:rsidRPr="00AB0AB9">
        <w:rPr>
          <w:rFonts w:cs="Arial" w:hint="cs"/>
          <w:b/>
          <w:bCs/>
          <w:rtl/>
        </w:rPr>
        <w:t>כתובות</w:t>
      </w:r>
      <w:r>
        <w:rPr>
          <w:rFonts w:cs="Arial" w:hint="cs"/>
          <w:b/>
          <w:bCs/>
          <w:rtl/>
        </w:rPr>
        <w:t xml:space="preserve"> </w:t>
      </w:r>
      <w:r>
        <w:rPr>
          <w:rFonts w:cs="Arial" w:hint="cs"/>
          <w:b/>
          <w:bCs/>
          <w:sz w:val="16"/>
          <w:szCs w:val="16"/>
          <w:rtl/>
        </w:rPr>
        <w:t>(פ' נערה שנתפתתה)</w:t>
      </w:r>
      <w:r w:rsidRPr="00AB0AB9">
        <w:rPr>
          <w:rFonts w:cs="Arial" w:hint="cs"/>
          <w:b/>
          <w:bCs/>
          <w:rtl/>
        </w:rPr>
        <w:t xml:space="preserve"> </w:t>
      </w:r>
      <w:r>
        <w:rPr>
          <w:rFonts w:cs="Arial" w:hint="cs"/>
          <w:b/>
          <w:bCs/>
          <w:rtl/>
        </w:rPr>
        <w:t>נא</w:t>
      </w:r>
      <w:r w:rsidR="00F471A5">
        <w:rPr>
          <w:rStyle w:val="a7"/>
          <w:rFonts w:cs="Arial"/>
          <w:b/>
          <w:bCs/>
          <w:rtl/>
        </w:rPr>
        <w:footnoteReference w:id="612"/>
      </w:r>
      <w:r w:rsidRPr="00AB0AB9">
        <w:rPr>
          <w:rFonts w:cs="Arial" w:hint="cs"/>
          <w:b/>
          <w:bCs/>
          <w:rtl/>
        </w:rPr>
        <w:t xml:space="preserve"> ע"</w:t>
      </w:r>
      <w:r>
        <w:rPr>
          <w:rFonts w:cs="Arial" w:hint="cs"/>
          <w:b/>
          <w:bCs/>
          <w:rtl/>
        </w:rPr>
        <w:t>ב</w:t>
      </w:r>
      <w:r w:rsidRPr="00AB0AB9">
        <w:rPr>
          <w:rFonts w:cs="Arial" w:hint="cs"/>
          <w:b/>
          <w:bCs/>
          <w:rtl/>
        </w:rPr>
        <w:t xml:space="preserve">: </w:t>
      </w:r>
      <w:r w:rsidRPr="00485132">
        <w:rPr>
          <w:rFonts w:cs="Arial"/>
          <w:u w:val="single"/>
          <w:rtl/>
        </w:rPr>
        <w:t>אמר אביי</w:t>
      </w:r>
      <w:r w:rsidRPr="00485132">
        <w:rPr>
          <w:rFonts w:cs="Arial"/>
          <w:rtl/>
        </w:rPr>
        <w:t>: אלמנה לכ"ג - חייב לפדותה, שאני קורא בה: ובכהנת אהדרינך למדינתך</w:t>
      </w:r>
      <w:r w:rsidR="009B34C7">
        <w:rPr>
          <w:rFonts w:cs="Arial" w:hint="cs"/>
          <w:rtl/>
        </w:rPr>
        <w:t>.</w:t>
      </w:r>
      <w:r w:rsidRPr="00485132">
        <w:rPr>
          <w:rFonts w:cs="Arial"/>
          <w:rtl/>
        </w:rPr>
        <w:t xml:space="preserve"> </w:t>
      </w:r>
      <w:r>
        <w:rPr>
          <w:rFonts w:cs="Arial" w:hint="cs"/>
          <w:sz w:val="14"/>
          <w:szCs w:val="14"/>
          <w:rtl/>
        </w:rPr>
        <w:t xml:space="preserve">(נב.) </w:t>
      </w:r>
      <w:r w:rsidRPr="00485132">
        <w:rPr>
          <w:rFonts w:cs="Arial"/>
          <w:rtl/>
        </w:rPr>
        <w:t xml:space="preserve">ממזרת ונתינה לישראל - אינו חייב לפדותה, שאין אני קורא בה ואותבינך לי לאנתו. </w:t>
      </w:r>
      <w:r w:rsidRPr="00891804">
        <w:rPr>
          <w:rFonts w:cs="Arial"/>
          <w:u w:val="single"/>
          <w:rtl/>
        </w:rPr>
        <w:t>רבא אמר</w:t>
      </w:r>
      <w:r w:rsidRPr="00485132">
        <w:rPr>
          <w:rFonts w:cs="Arial"/>
          <w:rtl/>
        </w:rPr>
        <w:t xml:space="preserve">: כל שאיסור שבייה גורם לה - חייב לפדותה, איסור דבר אחר גורם לה - אינו חייב לפדותה. לימא כתנאי: המדיר את אשתו ונשבית, </w:t>
      </w:r>
      <w:r w:rsidRPr="00485132">
        <w:rPr>
          <w:rFonts w:cs="Arial"/>
          <w:u w:val="single"/>
          <w:rtl/>
        </w:rPr>
        <w:t>רבי אליעזר אומר</w:t>
      </w:r>
      <w:r w:rsidRPr="00485132">
        <w:rPr>
          <w:rFonts w:cs="Arial"/>
          <w:rtl/>
        </w:rPr>
        <w:t xml:space="preserve">: פודה ונותן לה כתובתה, </w:t>
      </w:r>
      <w:r w:rsidRPr="00485132">
        <w:rPr>
          <w:rFonts w:cs="Arial"/>
          <w:u w:val="single"/>
          <w:rtl/>
        </w:rPr>
        <w:t>רבי יהושע אומר</w:t>
      </w:r>
      <w:r w:rsidRPr="00485132">
        <w:rPr>
          <w:rFonts w:cs="Arial"/>
          <w:rtl/>
        </w:rPr>
        <w:t>: נותן לה כתובתה ואינו פודה</w:t>
      </w:r>
      <w:r>
        <w:rPr>
          <w:rFonts w:cs="Arial" w:hint="cs"/>
          <w:rtl/>
        </w:rPr>
        <w:t>.</w:t>
      </w:r>
      <w:r w:rsidRPr="00485132">
        <w:rPr>
          <w:rFonts w:cs="Arial"/>
          <w:rtl/>
        </w:rPr>
        <w:t xml:space="preserve"> </w:t>
      </w:r>
      <w:r w:rsidRPr="009B34C7">
        <w:rPr>
          <w:rFonts w:cs="Arial"/>
          <w:u w:val="single"/>
          <w:rtl/>
        </w:rPr>
        <w:t>אמר רבי נתן</w:t>
      </w:r>
      <w:r w:rsidR="009B34C7">
        <w:rPr>
          <w:rFonts w:cs="Arial" w:hint="cs"/>
          <w:rtl/>
        </w:rPr>
        <w:t>:</w:t>
      </w:r>
      <w:r w:rsidRPr="00485132">
        <w:rPr>
          <w:rFonts w:cs="Arial"/>
          <w:rtl/>
        </w:rPr>
        <w:t xml:space="preserve"> שאלתי את סומכוס</w:t>
      </w:r>
      <w:r w:rsidR="009B34C7">
        <w:rPr>
          <w:rFonts w:cs="Arial" w:hint="cs"/>
          <w:rtl/>
        </w:rPr>
        <w:t>,</w:t>
      </w:r>
      <w:r w:rsidRPr="00485132">
        <w:rPr>
          <w:rFonts w:cs="Arial"/>
          <w:rtl/>
        </w:rPr>
        <w:t xml:space="preserve"> כשאמר רבי יהושע נותן לה כתובתה ואינו פודה, כשהדירה ולבסוף נשבית, או בנשבית ולבסוף הדירה? </w:t>
      </w:r>
      <w:r w:rsidRPr="009B34C7">
        <w:rPr>
          <w:rFonts w:cs="Arial"/>
          <w:u w:val="single"/>
          <w:rtl/>
        </w:rPr>
        <w:t>ואמר לי</w:t>
      </w:r>
      <w:r w:rsidRPr="00485132">
        <w:rPr>
          <w:rFonts w:cs="Arial"/>
          <w:rtl/>
        </w:rPr>
        <w:t>: לא שמעתי, ונראין דברים שהדירה ולבסוף נשבית, דאי אמרת נשבית ולבסוף הדירה אתי לאיערומי</w:t>
      </w:r>
      <w:r>
        <w:rPr>
          <w:rFonts w:hint="cs"/>
          <w:rtl/>
        </w:rPr>
        <w:t>.</w:t>
      </w:r>
    </w:p>
    <w:p w14:paraId="5A98B573" w14:textId="5801CE32" w:rsidR="00567396" w:rsidRPr="00567396" w:rsidRDefault="00567396" w:rsidP="00567396">
      <w:pPr>
        <w:rPr>
          <w:u w:val="single"/>
          <w:rtl/>
        </w:rPr>
      </w:pPr>
      <w:r w:rsidRPr="00567396">
        <w:rPr>
          <w:rFonts w:hint="cs"/>
          <w:u w:val="single"/>
          <w:rtl/>
        </w:rPr>
        <w:t>הדיר את אשתו בנדר שמחייבו לגרשה ונשבתה לפני שגרשה:</w:t>
      </w:r>
    </w:p>
    <w:p w14:paraId="74DE2997" w14:textId="3FFFECB8" w:rsidR="00120A70" w:rsidRPr="00120A70" w:rsidRDefault="00120A70" w:rsidP="009000E3">
      <w:pPr>
        <w:pStyle w:val="ab"/>
        <w:numPr>
          <w:ilvl w:val="0"/>
          <w:numId w:val="27"/>
        </w:numPr>
        <w:rPr>
          <w:rtl/>
        </w:rPr>
      </w:pPr>
      <w:r>
        <w:rPr>
          <w:rFonts w:cs="Arial" w:hint="cs"/>
          <w:rtl/>
        </w:rPr>
        <w:t xml:space="preserve">טור- </w:t>
      </w:r>
      <w:r w:rsidR="00891804" w:rsidRPr="00891804">
        <w:rPr>
          <w:rFonts w:cs="Arial"/>
          <w:rtl/>
        </w:rPr>
        <w:t>כתב הרמב"ם</w:t>
      </w:r>
      <w:r w:rsidR="00891804">
        <w:rPr>
          <w:rStyle w:val="a7"/>
          <w:rFonts w:cs="Arial"/>
          <w:rtl/>
        </w:rPr>
        <w:footnoteReference w:id="613"/>
      </w:r>
      <w:r w:rsidR="00891804">
        <w:rPr>
          <w:rFonts w:cs="Arial" w:hint="cs"/>
          <w:rtl/>
        </w:rPr>
        <w:t xml:space="preserve"> </w:t>
      </w:r>
      <w:r w:rsidR="00891804">
        <w:rPr>
          <w:rFonts w:cs="Arial" w:hint="cs"/>
          <w:sz w:val="16"/>
          <w:szCs w:val="16"/>
          <w:rtl/>
        </w:rPr>
        <w:t>(פי"ד הכ"א)</w:t>
      </w:r>
      <w:r w:rsidR="00891804" w:rsidRPr="00891804">
        <w:rPr>
          <w:rFonts w:cs="Arial"/>
          <w:rtl/>
        </w:rPr>
        <w:t xml:space="preserve"> המדיר את אשתו נדר שהוא חייב בגללו לגרשה וליתן לה כתובתה</w:t>
      </w:r>
      <w:r w:rsidR="002541F6">
        <w:rPr>
          <w:rFonts w:cs="Arial" w:hint="cs"/>
          <w:rtl/>
        </w:rPr>
        <w:t>,</w:t>
      </w:r>
      <w:r w:rsidR="00891804" w:rsidRPr="00891804">
        <w:rPr>
          <w:rFonts w:cs="Arial"/>
          <w:rtl/>
        </w:rPr>
        <w:t xml:space="preserve"> ונשבית אחר שהדירה </w:t>
      </w:r>
      <w:r w:rsidR="002F1FC8">
        <w:rPr>
          <w:rFonts w:cs="Arial" w:hint="cs"/>
          <w:rtl/>
        </w:rPr>
        <w:t xml:space="preserve">- </w:t>
      </w:r>
      <w:r w:rsidR="00891804" w:rsidRPr="00891804">
        <w:rPr>
          <w:rFonts w:cs="Arial"/>
          <w:rtl/>
        </w:rPr>
        <w:t>אינו חייב לפדותה</w:t>
      </w:r>
      <w:r w:rsidR="002F1FC8">
        <w:rPr>
          <w:rFonts w:cs="Arial" w:hint="cs"/>
          <w:rtl/>
        </w:rPr>
        <w:t>,</w:t>
      </w:r>
      <w:r w:rsidR="00891804" w:rsidRPr="00891804">
        <w:rPr>
          <w:rFonts w:cs="Arial"/>
          <w:rtl/>
        </w:rPr>
        <w:t xml:space="preserve"> שבשעה שהדירה נתחייב לגרשה וליתן לה כתובה</w:t>
      </w:r>
      <w:r>
        <w:rPr>
          <w:rFonts w:cs="Arial" w:hint="cs"/>
          <w:rtl/>
        </w:rPr>
        <w:t xml:space="preserve">. </w:t>
      </w:r>
      <w:r w:rsidR="002F1FC8" w:rsidRPr="007B74FB">
        <w:rPr>
          <w:rFonts w:hint="cs"/>
          <w:color w:val="E36C0A" w:themeColor="accent6" w:themeShade="BF"/>
          <w:rtl/>
        </w:rPr>
        <w:t>(וכ"פ בשו"ע)</w:t>
      </w:r>
    </w:p>
    <w:p w14:paraId="6DDEF5A4" w14:textId="77777777" w:rsidR="00393142" w:rsidRDefault="00393142" w:rsidP="00393142">
      <w:pPr>
        <w:rPr>
          <w:rFonts w:cs="Arial"/>
          <w:rtl/>
        </w:rPr>
      </w:pPr>
      <w:r w:rsidRPr="003024E5">
        <w:rPr>
          <w:rFonts w:asciiTheme="minorBidi" w:hAnsiTheme="minorBidi"/>
          <w:b/>
          <w:bCs/>
          <w:color w:val="000000"/>
          <w:sz w:val="28"/>
          <w:szCs w:val="28"/>
          <w:u w:val="single"/>
          <w:rtl/>
        </w:rPr>
        <w:t>שו"ע:</w:t>
      </w:r>
    </w:p>
    <w:p w14:paraId="1E0CE7E7" w14:textId="7B0E4CDE" w:rsidR="000D2069" w:rsidRDefault="000D2069" w:rsidP="000D2069">
      <w:pPr>
        <w:rPr>
          <w:rtl/>
        </w:rPr>
      </w:pPr>
      <w:r>
        <w:rPr>
          <w:rFonts w:cs="Arial"/>
          <w:rtl/>
        </w:rPr>
        <w:t>המדיר את אשתו נדר שהוא חייב בגללו לגרשה וליתן כתובתה, ונשבית אחר שהדירה</w:t>
      </w:r>
      <w:r w:rsidR="002F1FC8">
        <w:rPr>
          <w:rStyle w:val="a7"/>
          <w:rFonts w:cs="Arial"/>
          <w:rtl/>
        </w:rPr>
        <w:footnoteReference w:id="614"/>
      </w:r>
      <w:r>
        <w:rPr>
          <w:rFonts w:cs="Arial"/>
          <w:rtl/>
        </w:rPr>
        <w:t xml:space="preserve">, אינו חייב לפדותה, שמשעה שהדירה נתחייב לגרשה וליתן לה כתובתה. </w:t>
      </w:r>
    </w:p>
    <w:p w14:paraId="7570A649" w14:textId="6AF26FE2" w:rsidR="00825FED" w:rsidRDefault="00825FED" w:rsidP="000D2069">
      <w:pPr>
        <w:rPr>
          <w:rtl/>
        </w:rPr>
      </w:pPr>
    </w:p>
    <w:p w14:paraId="70293D97" w14:textId="1CFF6895" w:rsidR="000D2069" w:rsidRDefault="000D2069" w:rsidP="000F64D0">
      <w:pPr>
        <w:pStyle w:val="2"/>
        <w:rPr>
          <w:rtl/>
        </w:rPr>
      </w:pPr>
      <w:r>
        <w:rPr>
          <w:rtl/>
        </w:rPr>
        <w:t>סעיף ו</w:t>
      </w:r>
      <w:r w:rsidR="00825FED">
        <w:rPr>
          <w:rFonts w:hint="cs"/>
          <w:rtl/>
        </w:rPr>
        <w:t>:</w:t>
      </w:r>
      <w:r w:rsidR="002F1FC8">
        <w:rPr>
          <w:rFonts w:hint="cs"/>
          <w:rtl/>
        </w:rPr>
        <w:t xml:space="preserve"> כהן שאשתו נשבית.</w:t>
      </w:r>
    </w:p>
    <w:p w14:paraId="0D5BCE09" w14:textId="6CC17627" w:rsidR="002F1FC8" w:rsidRPr="009110AE" w:rsidRDefault="002F1FC8" w:rsidP="002F1FC8">
      <w:pPr>
        <w:rPr>
          <w:rtl/>
        </w:rPr>
      </w:pPr>
      <w:r w:rsidRPr="00AB0AB9">
        <w:rPr>
          <w:rFonts w:cs="Arial" w:hint="cs"/>
          <w:b/>
          <w:bCs/>
          <w:rtl/>
        </w:rPr>
        <w:t>כתובות</w:t>
      </w:r>
      <w:r>
        <w:rPr>
          <w:rFonts w:cs="Arial" w:hint="cs"/>
          <w:b/>
          <w:bCs/>
          <w:rtl/>
        </w:rPr>
        <w:t xml:space="preserve"> </w:t>
      </w:r>
      <w:r>
        <w:rPr>
          <w:rFonts w:cs="Arial" w:hint="cs"/>
          <w:b/>
          <w:bCs/>
          <w:sz w:val="16"/>
          <w:szCs w:val="16"/>
          <w:rtl/>
        </w:rPr>
        <w:t>(פ' נערה שנתפתתה)</w:t>
      </w:r>
      <w:r w:rsidRPr="00AB0AB9">
        <w:rPr>
          <w:rFonts w:cs="Arial" w:hint="cs"/>
          <w:b/>
          <w:bCs/>
          <w:rtl/>
        </w:rPr>
        <w:t xml:space="preserve"> </w:t>
      </w:r>
      <w:r>
        <w:rPr>
          <w:rFonts w:cs="Arial" w:hint="cs"/>
          <w:b/>
          <w:bCs/>
          <w:rtl/>
        </w:rPr>
        <w:t>נא</w:t>
      </w:r>
      <w:r w:rsidR="00F471A5">
        <w:rPr>
          <w:rStyle w:val="a7"/>
          <w:rFonts w:cs="Arial"/>
          <w:b/>
          <w:bCs/>
          <w:rtl/>
        </w:rPr>
        <w:footnoteReference w:id="615"/>
      </w:r>
      <w:r w:rsidRPr="00AB0AB9">
        <w:rPr>
          <w:rFonts w:cs="Arial" w:hint="cs"/>
          <w:b/>
          <w:bCs/>
          <w:rtl/>
        </w:rPr>
        <w:t xml:space="preserve"> ע"</w:t>
      </w:r>
      <w:r w:rsidR="009110AE">
        <w:rPr>
          <w:rFonts w:cs="Arial" w:hint="cs"/>
          <w:b/>
          <w:bCs/>
          <w:rtl/>
        </w:rPr>
        <w:t>א</w:t>
      </w:r>
      <w:r w:rsidRPr="00AB0AB9">
        <w:rPr>
          <w:rFonts w:cs="Arial" w:hint="cs"/>
          <w:b/>
          <w:bCs/>
          <w:rtl/>
        </w:rPr>
        <w:t>:</w:t>
      </w:r>
      <w:r w:rsidR="009B34C7">
        <w:rPr>
          <w:rFonts w:cs="Arial" w:hint="cs"/>
          <w:rtl/>
        </w:rPr>
        <w:t xml:space="preserve"> </w:t>
      </w:r>
      <w:r w:rsidR="009B34C7" w:rsidRPr="009B34C7">
        <w:rPr>
          <w:rFonts w:cs="Arial" w:hint="cs"/>
          <w:u w:val="double"/>
          <w:rtl/>
        </w:rPr>
        <w:t>מתני'</w:t>
      </w:r>
      <w:r w:rsidR="009B34C7">
        <w:rPr>
          <w:rFonts w:cs="Arial" w:hint="cs"/>
          <w:rtl/>
        </w:rPr>
        <w:t xml:space="preserve">:... </w:t>
      </w:r>
      <w:r w:rsidR="009B34C7" w:rsidRPr="009B34C7">
        <w:rPr>
          <w:rFonts w:cs="Arial"/>
          <w:rtl/>
        </w:rPr>
        <w:t xml:space="preserve">לא כתב לה אם תשתבאי אפרקינך ואותבינך לי לאינתו, ובכהנת אהדרינך למדינתך - חייב, שהוא תנאי בית דין. </w:t>
      </w:r>
      <w:r w:rsidR="009110AE">
        <w:rPr>
          <w:rFonts w:cs="Arial" w:hint="cs"/>
          <w:rtl/>
        </w:rPr>
        <w:t xml:space="preserve">   </w:t>
      </w:r>
      <w:r w:rsidR="009110AE" w:rsidRPr="009110AE">
        <w:rPr>
          <w:rFonts w:cs="Arial" w:hint="cs"/>
          <w:u w:val="double"/>
          <w:rtl/>
        </w:rPr>
        <w:t>גמ'</w:t>
      </w:r>
      <w:r w:rsidR="009110AE" w:rsidRPr="009110AE">
        <w:rPr>
          <w:rFonts w:cs="Arial" w:hint="cs"/>
          <w:sz w:val="14"/>
          <w:szCs w:val="14"/>
          <w:u w:val="double"/>
          <w:rtl/>
        </w:rPr>
        <w:t>(נא:)</w:t>
      </w:r>
      <w:r w:rsidR="009110AE" w:rsidRPr="009110AE">
        <w:rPr>
          <w:rFonts w:cs="Arial" w:hint="cs"/>
          <w:u w:val="double"/>
          <w:rtl/>
        </w:rPr>
        <w:t>:</w:t>
      </w:r>
      <w:r w:rsidR="009110AE" w:rsidRPr="009110AE">
        <w:rPr>
          <w:rtl/>
        </w:rPr>
        <w:t xml:space="preserve"> </w:t>
      </w:r>
      <w:r w:rsidR="009110AE" w:rsidRPr="009110AE">
        <w:rPr>
          <w:rFonts w:cs="Arial"/>
          <w:rtl/>
        </w:rPr>
        <w:t xml:space="preserve">ובכהנת אהדרינך למדינתך וכו'. </w:t>
      </w:r>
      <w:r w:rsidR="009110AE" w:rsidRPr="00F471A5">
        <w:rPr>
          <w:rFonts w:cs="Arial"/>
          <w:u w:val="single"/>
          <w:rtl/>
        </w:rPr>
        <w:t>אמר אביי</w:t>
      </w:r>
      <w:r w:rsidR="009110AE" w:rsidRPr="009110AE">
        <w:rPr>
          <w:rFonts w:cs="Arial"/>
          <w:rtl/>
        </w:rPr>
        <w:t>: אלמנה לכ"ג - חייב לפדותה, שאני קורא בה: ובכהנת אהדרינך למדינתך</w:t>
      </w:r>
      <w:r w:rsidR="00A97FD4">
        <w:rPr>
          <w:rFonts w:cs="Arial" w:hint="cs"/>
          <w:rtl/>
        </w:rPr>
        <w:t>.</w:t>
      </w:r>
      <w:r w:rsidR="00A97FD4">
        <w:rPr>
          <w:rFonts w:cs="Arial" w:hint="cs"/>
          <w:sz w:val="14"/>
          <w:szCs w:val="14"/>
          <w:rtl/>
        </w:rPr>
        <w:t xml:space="preserve"> </w:t>
      </w:r>
      <w:r w:rsidR="009110AE">
        <w:rPr>
          <w:rFonts w:cs="Arial" w:hint="cs"/>
          <w:sz w:val="14"/>
          <w:szCs w:val="14"/>
          <w:rtl/>
        </w:rPr>
        <w:t xml:space="preserve">(נב.) </w:t>
      </w:r>
      <w:r w:rsidR="009110AE" w:rsidRPr="00485132">
        <w:rPr>
          <w:rFonts w:cs="Arial"/>
          <w:rtl/>
        </w:rPr>
        <w:t xml:space="preserve">ממזרת ונתינה לישראל - אינו חייב לפדותה, שאין אני קורא בה ואותבינך לי לאנתו. </w:t>
      </w:r>
      <w:r w:rsidR="009110AE" w:rsidRPr="00891804">
        <w:rPr>
          <w:rFonts w:cs="Arial"/>
          <w:u w:val="single"/>
          <w:rtl/>
        </w:rPr>
        <w:t>רבא אמר</w:t>
      </w:r>
      <w:r w:rsidR="009110AE" w:rsidRPr="00485132">
        <w:rPr>
          <w:rFonts w:cs="Arial"/>
          <w:rtl/>
        </w:rPr>
        <w:t>: כל שאיסור שבייה גורם לה - חייב לפדותה, איסור דבר אחר גורם לה - אינו חייב לפדותה.</w:t>
      </w:r>
      <w:r w:rsidR="009110AE" w:rsidRPr="009110AE">
        <w:rPr>
          <w:rFonts w:cs="Arial"/>
          <w:rtl/>
        </w:rPr>
        <w:t xml:space="preserve"> </w:t>
      </w:r>
      <w:r w:rsidR="009110AE">
        <w:rPr>
          <w:rFonts w:cs="Arial" w:hint="cs"/>
          <w:sz w:val="16"/>
          <w:szCs w:val="16"/>
          <w:rtl/>
        </w:rPr>
        <w:t>(</w:t>
      </w:r>
      <w:r w:rsidR="009110AE" w:rsidRPr="009110AE">
        <w:rPr>
          <w:rFonts w:cs="Arial"/>
          <w:sz w:val="16"/>
          <w:szCs w:val="16"/>
          <w:rtl/>
        </w:rPr>
        <w:t>וידוע דהלכה כרבא וכן פסקו הפוסקים</w:t>
      </w:r>
      <w:r w:rsidR="009110AE" w:rsidRPr="009110AE">
        <w:rPr>
          <w:rFonts w:cs="Arial" w:hint="cs"/>
          <w:sz w:val="16"/>
          <w:szCs w:val="16"/>
          <w:rtl/>
        </w:rPr>
        <w:t>, ב"י)</w:t>
      </w:r>
    </w:p>
    <w:p w14:paraId="0E8AC926" w14:textId="12ECC5FF" w:rsidR="002F1FC8" w:rsidRPr="002F1FC8" w:rsidRDefault="002F1FC8" w:rsidP="002F1FC8">
      <w:pPr>
        <w:rPr>
          <w:u w:val="single"/>
          <w:rtl/>
        </w:rPr>
      </w:pPr>
      <w:r w:rsidRPr="002F1FC8">
        <w:rPr>
          <w:rFonts w:hint="cs"/>
          <w:u w:val="single"/>
          <w:rtl/>
        </w:rPr>
        <w:t xml:space="preserve">כהן שאשתו נשבית </w:t>
      </w:r>
      <w:r w:rsidR="00F97626">
        <w:rPr>
          <w:u w:val="single"/>
          <w:rtl/>
        </w:rPr>
        <w:t>-</w:t>
      </w:r>
      <w:r w:rsidRPr="002F1FC8">
        <w:rPr>
          <w:rFonts w:hint="cs"/>
          <w:u w:val="single"/>
          <w:rtl/>
        </w:rPr>
        <w:t xml:space="preserve"> האם חייב לפדותה:</w:t>
      </w:r>
    </w:p>
    <w:p w14:paraId="17C11601" w14:textId="77777777" w:rsidR="008B03CA" w:rsidRPr="008B03CA" w:rsidRDefault="00825FED" w:rsidP="009000E3">
      <w:pPr>
        <w:pStyle w:val="ab"/>
        <w:numPr>
          <w:ilvl w:val="0"/>
          <w:numId w:val="27"/>
        </w:numPr>
      </w:pPr>
      <w:r>
        <w:rPr>
          <w:rFonts w:cs="Arial" w:hint="cs"/>
          <w:rtl/>
        </w:rPr>
        <w:t xml:space="preserve">טור- </w:t>
      </w:r>
      <w:r w:rsidRPr="00825FED">
        <w:rPr>
          <w:rFonts w:cs="Arial"/>
          <w:rtl/>
        </w:rPr>
        <w:t xml:space="preserve">כהן שנשבית אשתו </w:t>
      </w:r>
      <w:r w:rsidR="009B34C7">
        <w:rPr>
          <w:rFonts w:cs="Arial" w:hint="cs"/>
          <w:rtl/>
        </w:rPr>
        <w:t xml:space="preserve">- </w:t>
      </w:r>
      <w:r w:rsidRPr="00825FED">
        <w:rPr>
          <w:rFonts w:cs="Arial"/>
          <w:rtl/>
        </w:rPr>
        <w:t>חייב לפדותה אף על פי שאסורה לו</w:t>
      </w:r>
      <w:r w:rsidR="009B34C7">
        <w:rPr>
          <w:rFonts w:cs="Arial" w:hint="cs"/>
          <w:rtl/>
        </w:rPr>
        <w:t>,</w:t>
      </w:r>
      <w:r w:rsidRPr="00825FED">
        <w:rPr>
          <w:rFonts w:cs="Arial"/>
          <w:rtl/>
        </w:rPr>
        <w:t xml:space="preserve"> כיון שמתחלתה היתה מותרת ואיסור שבויה גרם לה ליאסר חייב לפדותה ומחזירה לבית אביה אפי' הוא בעיר אחרת</w:t>
      </w:r>
      <w:r w:rsidR="009B34C7">
        <w:rPr>
          <w:rFonts w:cs="Arial" w:hint="cs"/>
          <w:rtl/>
        </w:rPr>
        <w:t>,</w:t>
      </w:r>
      <w:r w:rsidRPr="00825FED">
        <w:rPr>
          <w:rFonts w:cs="Arial"/>
          <w:rtl/>
        </w:rPr>
        <w:t xml:space="preserve"> ונותן לה כתובתה</w:t>
      </w:r>
      <w:r w:rsidR="009B34C7">
        <w:rPr>
          <w:rFonts w:cs="Arial" w:hint="cs"/>
          <w:rtl/>
        </w:rPr>
        <w:t>.</w:t>
      </w:r>
      <w:r w:rsidRPr="00825FED">
        <w:rPr>
          <w:rFonts w:cs="Arial"/>
          <w:rtl/>
        </w:rPr>
        <w:t xml:space="preserve"> </w:t>
      </w:r>
    </w:p>
    <w:p w14:paraId="360A3087" w14:textId="6E882E81" w:rsidR="009B34C7" w:rsidRDefault="009B34C7" w:rsidP="009000E3">
      <w:pPr>
        <w:pStyle w:val="ab"/>
        <w:numPr>
          <w:ilvl w:val="0"/>
          <w:numId w:val="27"/>
        </w:numPr>
      </w:pPr>
      <w:r>
        <w:rPr>
          <w:rFonts w:cs="Arial" w:hint="cs"/>
          <w:rtl/>
        </w:rPr>
        <w:lastRenderedPageBreak/>
        <w:t xml:space="preserve">רמב"ם </w:t>
      </w:r>
      <w:r>
        <w:rPr>
          <w:rFonts w:cs="Arial" w:hint="cs"/>
          <w:sz w:val="16"/>
          <w:szCs w:val="16"/>
          <w:rtl/>
        </w:rPr>
        <w:t>(פי"ד הי"ח)</w:t>
      </w:r>
      <w:r>
        <w:rPr>
          <w:rFonts w:cs="Arial" w:hint="cs"/>
          <w:rtl/>
        </w:rPr>
        <w:t xml:space="preserve">- </w:t>
      </w:r>
      <w:r w:rsidRPr="009B34C7">
        <w:rPr>
          <w:rFonts w:cs="Arial"/>
          <w:rtl/>
        </w:rPr>
        <w:t xml:space="preserve">נשבית חייב לפדותה, ואם היה כהן שכבר נאסרה עליו </w:t>
      </w:r>
      <w:r>
        <w:rPr>
          <w:rFonts w:cs="Arial" w:hint="cs"/>
          <w:rtl/>
        </w:rPr>
        <w:t xml:space="preserve">- </w:t>
      </w:r>
      <w:r w:rsidRPr="009B34C7">
        <w:rPr>
          <w:rFonts w:cs="Arial"/>
          <w:rtl/>
        </w:rPr>
        <w:t>פודה אותה ומחזירה לבית אביה, אפילו היה בעיר אחרת מטפל בה עד שמחזירה למדינתה ומגרשה ונותן לה כל כתובתה</w:t>
      </w:r>
      <w:r>
        <w:rPr>
          <w:rFonts w:cs="Arial" w:hint="cs"/>
          <w:rtl/>
        </w:rPr>
        <w:t>.</w:t>
      </w:r>
      <w:r w:rsidRPr="009B34C7">
        <w:rPr>
          <w:rFonts w:cs="Arial"/>
          <w:rtl/>
        </w:rPr>
        <w:t xml:space="preserve"> היה בעלה ישראל שהשבויה מותרת לו</w:t>
      </w:r>
      <w:r w:rsidR="009110AE">
        <w:rPr>
          <w:rStyle w:val="a7"/>
          <w:rtl/>
        </w:rPr>
        <w:footnoteReference w:id="616"/>
      </w:r>
      <w:r>
        <w:rPr>
          <w:rFonts w:cs="Arial" w:hint="cs"/>
          <w:rtl/>
        </w:rPr>
        <w:t>,</w:t>
      </w:r>
      <w:r w:rsidRPr="009B34C7">
        <w:rPr>
          <w:rFonts w:cs="Arial"/>
          <w:rtl/>
        </w:rPr>
        <w:t xml:space="preserve"> מחזירה לו לאשה כמות שהיתה</w:t>
      </w:r>
      <w:r>
        <w:rPr>
          <w:rFonts w:cs="Arial" w:hint="cs"/>
          <w:rtl/>
        </w:rPr>
        <w:t>,</w:t>
      </w:r>
      <w:r w:rsidRPr="009B34C7">
        <w:rPr>
          <w:rFonts w:cs="Arial"/>
          <w:rtl/>
        </w:rPr>
        <w:t xml:space="preserve"> ואם רצה אחר כך מגרשה ונותן לה כתובתה.</w:t>
      </w:r>
      <w:r w:rsidR="000628DF">
        <w:rPr>
          <w:rFonts w:cs="Arial" w:hint="cs"/>
          <w:rtl/>
        </w:rPr>
        <w:t xml:space="preserve"> </w:t>
      </w:r>
      <w:r w:rsidR="000628DF" w:rsidRPr="007B74FB">
        <w:rPr>
          <w:rFonts w:hint="cs"/>
          <w:color w:val="E36C0A" w:themeColor="accent6" w:themeShade="BF"/>
          <w:rtl/>
        </w:rPr>
        <w:t>(וכ"פ בשו"ע)</w:t>
      </w:r>
    </w:p>
    <w:p w14:paraId="151C763C" w14:textId="67710B3E" w:rsidR="008B03CA" w:rsidRPr="008B03CA" w:rsidRDefault="008B03CA" w:rsidP="008B03CA">
      <w:pPr>
        <w:ind w:left="360"/>
        <w:rPr>
          <w:u w:val="dotted"/>
        </w:rPr>
      </w:pPr>
      <w:r w:rsidRPr="008B03CA">
        <w:rPr>
          <w:rFonts w:hint="cs"/>
          <w:u w:val="dotted"/>
          <w:rtl/>
        </w:rPr>
        <w:t>ומה הדין אם נשא אותה באיסור:</w:t>
      </w:r>
    </w:p>
    <w:p w14:paraId="273BACCC" w14:textId="109D5FBC" w:rsidR="008B03CA" w:rsidRDefault="008B03CA" w:rsidP="009000E3">
      <w:pPr>
        <w:pStyle w:val="ab"/>
        <w:numPr>
          <w:ilvl w:val="0"/>
          <w:numId w:val="27"/>
        </w:numPr>
      </w:pPr>
      <w:r>
        <w:rPr>
          <w:rFonts w:cs="Arial" w:hint="cs"/>
          <w:rtl/>
        </w:rPr>
        <w:t xml:space="preserve">טור- </w:t>
      </w:r>
      <w:r w:rsidRPr="009B34C7">
        <w:rPr>
          <w:rFonts w:cs="Arial"/>
          <w:rtl/>
        </w:rPr>
        <w:t xml:space="preserve">אבל אם נשאת לו באיסור כגון אלמנה לכ"ג גרושה וחלוצה לכהן הדיוט ממזרת ונתינה לישראל </w:t>
      </w:r>
      <w:r>
        <w:rPr>
          <w:rFonts w:cs="Arial" w:hint="cs"/>
          <w:rtl/>
        </w:rPr>
        <w:t xml:space="preserve">- </w:t>
      </w:r>
      <w:r w:rsidRPr="009B34C7">
        <w:rPr>
          <w:rFonts w:cs="Arial"/>
          <w:rtl/>
        </w:rPr>
        <w:t>אינו חייב לפדותה</w:t>
      </w:r>
      <w:r>
        <w:rPr>
          <w:rFonts w:cs="Arial" w:hint="cs"/>
          <w:rtl/>
        </w:rPr>
        <w:t>.</w:t>
      </w:r>
    </w:p>
    <w:p w14:paraId="64913AC9" w14:textId="55DC215C" w:rsidR="00120A70" w:rsidRPr="00825FED" w:rsidRDefault="008B03CA" w:rsidP="009000E3">
      <w:pPr>
        <w:pStyle w:val="ab"/>
        <w:numPr>
          <w:ilvl w:val="0"/>
          <w:numId w:val="27"/>
        </w:numPr>
        <w:rPr>
          <w:rtl/>
        </w:rPr>
      </w:pPr>
      <w:r>
        <w:rPr>
          <w:rFonts w:cs="Arial" w:hint="cs"/>
          <w:rtl/>
        </w:rPr>
        <w:t xml:space="preserve">רמב"ם </w:t>
      </w:r>
      <w:r>
        <w:rPr>
          <w:rFonts w:cs="Arial" w:hint="cs"/>
          <w:sz w:val="16"/>
          <w:szCs w:val="16"/>
          <w:rtl/>
        </w:rPr>
        <w:t>(פי"ד היכ"ב)</w:t>
      </w:r>
      <w:r>
        <w:rPr>
          <w:rFonts w:cs="Arial" w:hint="cs"/>
          <w:rtl/>
        </w:rPr>
        <w:t>-</w:t>
      </w:r>
      <w:r>
        <w:rPr>
          <w:rFonts w:hint="cs"/>
          <w:rtl/>
        </w:rPr>
        <w:t xml:space="preserve"> </w:t>
      </w:r>
      <w:r w:rsidRPr="008B03CA">
        <w:rPr>
          <w:rFonts w:cs="Arial"/>
          <w:rtl/>
        </w:rPr>
        <w:t xml:space="preserve">האשה שהיתה אסורה על בעלה מאיסורי לאוין ונשבית </w:t>
      </w:r>
      <w:r>
        <w:rPr>
          <w:rFonts w:cs="Arial" w:hint="cs"/>
          <w:rtl/>
        </w:rPr>
        <w:t xml:space="preserve">- </w:t>
      </w:r>
      <w:r w:rsidRPr="008B03CA">
        <w:rPr>
          <w:rFonts w:cs="Arial"/>
          <w:rtl/>
        </w:rPr>
        <w:t>אינו חייב לפדותה</w:t>
      </w:r>
      <w:r>
        <w:rPr>
          <w:rStyle w:val="a7"/>
          <w:rtl/>
        </w:rPr>
        <w:footnoteReference w:id="617"/>
      </w:r>
      <w:r w:rsidRPr="008B03CA">
        <w:rPr>
          <w:rFonts w:cs="Arial"/>
          <w:rtl/>
        </w:rPr>
        <w:t xml:space="preserve"> אלא נותן לה כתובתה והיא תפדה את עצמה</w:t>
      </w:r>
      <w:r>
        <w:rPr>
          <w:rFonts w:cs="Arial" w:hint="cs"/>
          <w:rtl/>
        </w:rPr>
        <w:t>.</w:t>
      </w:r>
      <w:r w:rsidRPr="008B03CA">
        <w:rPr>
          <w:rFonts w:cs="Arial"/>
          <w:rtl/>
        </w:rPr>
        <w:t xml:space="preserve"> והלא השבויה אסורה לכהן והרי הוא פודה אותה, מפני שלא היתה אסורה מקודם ואיסור השביה הוא שגרם לה</w:t>
      </w:r>
      <w:r>
        <w:rPr>
          <w:rFonts w:cs="Arial" w:hint="cs"/>
          <w:rtl/>
        </w:rPr>
        <w:t>.</w:t>
      </w:r>
      <w:r w:rsidR="000628DF">
        <w:rPr>
          <w:rFonts w:cs="Arial" w:hint="cs"/>
          <w:rtl/>
        </w:rPr>
        <w:t xml:space="preserve"> </w:t>
      </w:r>
      <w:r w:rsidR="000628DF" w:rsidRPr="007B74FB">
        <w:rPr>
          <w:rFonts w:hint="cs"/>
          <w:color w:val="E36C0A" w:themeColor="accent6" w:themeShade="BF"/>
          <w:rtl/>
        </w:rPr>
        <w:t>(וכ"פ בשו"ע</w:t>
      </w:r>
      <w:r w:rsidR="000628DF">
        <w:rPr>
          <w:rFonts w:hint="cs"/>
          <w:color w:val="E36C0A" w:themeColor="accent6" w:themeShade="BF"/>
          <w:sz w:val="16"/>
          <w:szCs w:val="16"/>
          <w:rtl/>
        </w:rPr>
        <w:t xml:space="preserve"> </w:t>
      </w:r>
      <w:r w:rsidR="000628DF" w:rsidRPr="000628DF">
        <w:rPr>
          <w:rFonts w:hint="cs"/>
          <w:color w:val="000000" w:themeColor="text1"/>
          <w:sz w:val="16"/>
          <w:szCs w:val="16"/>
          <w:rtl/>
        </w:rPr>
        <w:t>[</w:t>
      </w:r>
      <w:r w:rsidR="000628DF">
        <w:rPr>
          <w:rFonts w:hint="cs"/>
          <w:color w:val="000000" w:themeColor="text1"/>
          <w:sz w:val="16"/>
          <w:szCs w:val="16"/>
          <w:rtl/>
        </w:rPr>
        <w:t>בסע' הבא</w:t>
      </w:r>
      <w:r w:rsidR="000628DF" w:rsidRPr="000628DF">
        <w:rPr>
          <w:rFonts w:hint="cs"/>
          <w:color w:val="000000" w:themeColor="text1"/>
          <w:sz w:val="16"/>
          <w:szCs w:val="16"/>
          <w:rtl/>
        </w:rPr>
        <w:t>]</w:t>
      </w:r>
      <w:r w:rsidR="000628DF" w:rsidRPr="007B74FB">
        <w:rPr>
          <w:rFonts w:hint="cs"/>
          <w:color w:val="E36C0A" w:themeColor="accent6" w:themeShade="BF"/>
          <w:rtl/>
        </w:rPr>
        <w:t>)</w:t>
      </w:r>
    </w:p>
    <w:p w14:paraId="1D828725" w14:textId="77777777" w:rsidR="00393142" w:rsidRDefault="00393142" w:rsidP="00393142">
      <w:pPr>
        <w:rPr>
          <w:rFonts w:cs="Arial"/>
          <w:rtl/>
        </w:rPr>
      </w:pPr>
      <w:r w:rsidRPr="003024E5">
        <w:rPr>
          <w:rFonts w:asciiTheme="minorBidi" w:hAnsiTheme="minorBidi"/>
          <w:b/>
          <w:bCs/>
          <w:color w:val="000000"/>
          <w:sz w:val="28"/>
          <w:szCs w:val="28"/>
          <w:u w:val="single"/>
          <w:rtl/>
        </w:rPr>
        <w:t>שו"ע:</w:t>
      </w:r>
    </w:p>
    <w:p w14:paraId="792CBE4A" w14:textId="51469115" w:rsidR="000D2069" w:rsidRDefault="000D2069" w:rsidP="000D2069">
      <w:pPr>
        <w:rPr>
          <w:rFonts w:cs="Arial"/>
          <w:rtl/>
        </w:rPr>
      </w:pPr>
      <w:r>
        <w:rPr>
          <w:rFonts w:cs="Arial"/>
          <w:rtl/>
        </w:rPr>
        <w:t>כהן שנשבית אשתו, אף על פי שנאסרה עליו, הואיל ומקודם היתה מותרת לו פודה ומחזירה לבית אביה</w:t>
      </w:r>
      <w:r w:rsidR="000628DF">
        <w:rPr>
          <w:rFonts w:cs="Arial" w:hint="cs"/>
          <w:rtl/>
        </w:rPr>
        <w:t>,</w:t>
      </w:r>
      <w:r>
        <w:rPr>
          <w:rFonts w:cs="Arial"/>
          <w:rtl/>
        </w:rPr>
        <w:t xml:space="preserve"> אפילו היה בעיר אחרת מיטפל לה עד שמחזירה למדינתה, ומגרשה ונותן לה כל כתובתה. ואם היה בעלה ישראל, שהשבויה מותרת לו, מחזירה לו לאשה כמו שהיתה, ואם רצה אח</w:t>
      </w:r>
      <w:r w:rsidR="000628DF">
        <w:rPr>
          <w:rFonts w:cs="Arial" w:hint="cs"/>
          <w:rtl/>
        </w:rPr>
        <w:t xml:space="preserve">ר </w:t>
      </w:r>
      <w:r>
        <w:rPr>
          <w:rFonts w:cs="Arial"/>
          <w:rtl/>
        </w:rPr>
        <w:t>כ</w:t>
      </w:r>
      <w:r w:rsidR="000628DF">
        <w:rPr>
          <w:rFonts w:cs="Arial" w:hint="cs"/>
          <w:rtl/>
        </w:rPr>
        <w:t>ך</w:t>
      </w:r>
      <w:r>
        <w:rPr>
          <w:rFonts w:cs="Arial"/>
          <w:rtl/>
        </w:rPr>
        <w:t xml:space="preserve"> מגרשה ונותן לה כתובתה.</w:t>
      </w:r>
      <w:r w:rsidRPr="00120A70">
        <w:rPr>
          <w:rFonts w:cs="Arial"/>
          <w:sz w:val="18"/>
          <w:szCs w:val="18"/>
          <w:rtl/>
        </w:rPr>
        <w:t xml:space="preserve"> </w:t>
      </w:r>
      <w:r w:rsidR="00120A70">
        <w:rPr>
          <w:rFonts w:cs="Arial" w:hint="cs"/>
          <w:sz w:val="18"/>
          <w:szCs w:val="18"/>
          <w:rtl/>
        </w:rPr>
        <w:t xml:space="preserve">[הגה] </w:t>
      </w:r>
      <w:r w:rsidRPr="00120A70">
        <w:rPr>
          <w:rFonts w:cs="Arial"/>
          <w:sz w:val="18"/>
          <w:szCs w:val="18"/>
          <w:rtl/>
        </w:rPr>
        <w:t>שבויה שנאסרה אף לבעלה ישראל, שחוששים שמא נבעלה ברצון, כדרך שנתבאר סימן ז', אין בעלה חייב לפדותה</w:t>
      </w:r>
      <w:r w:rsidR="00371891">
        <w:rPr>
          <w:rStyle w:val="a7"/>
          <w:rFonts w:cs="Arial"/>
          <w:sz w:val="18"/>
          <w:szCs w:val="18"/>
          <w:rtl/>
        </w:rPr>
        <w:footnoteReference w:id="618"/>
      </w:r>
      <w:r w:rsidRPr="00120A70">
        <w:rPr>
          <w:rFonts w:cs="Arial"/>
          <w:sz w:val="18"/>
          <w:szCs w:val="18"/>
          <w:rtl/>
        </w:rPr>
        <w:t xml:space="preserve"> (ר"ן ורי</w:t>
      </w:r>
      <w:r w:rsidR="00593286">
        <w:rPr>
          <w:rFonts w:cs="Arial" w:hint="cs"/>
          <w:sz w:val="18"/>
          <w:szCs w:val="18"/>
          <w:rtl/>
        </w:rPr>
        <w:t>"ו</w:t>
      </w:r>
      <w:r w:rsidRPr="00120A70">
        <w:rPr>
          <w:rFonts w:cs="Arial"/>
          <w:sz w:val="18"/>
          <w:szCs w:val="18"/>
          <w:rtl/>
        </w:rPr>
        <w:t>).</w:t>
      </w:r>
      <w:r>
        <w:rPr>
          <w:rFonts w:cs="Arial"/>
          <w:rtl/>
        </w:rPr>
        <w:t xml:space="preserve"> </w:t>
      </w:r>
    </w:p>
    <w:p w14:paraId="0AA4E45D" w14:textId="757F7A71" w:rsidR="00120A70" w:rsidRPr="00371891" w:rsidRDefault="00371891" w:rsidP="000D2069">
      <w:pPr>
        <w:rPr>
          <w:u w:val="single"/>
          <w:rtl/>
        </w:rPr>
      </w:pPr>
      <w:r w:rsidRPr="00371891">
        <w:rPr>
          <w:rFonts w:hint="cs"/>
          <w:u w:val="single"/>
          <w:rtl/>
        </w:rPr>
        <w:t>אשה שנשבית ולקח אותה השבאי לו לאשה:</w:t>
      </w:r>
    </w:p>
    <w:p w14:paraId="1308163E" w14:textId="64C08713" w:rsidR="00371891" w:rsidRPr="00371891" w:rsidRDefault="00371891" w:rsidP="009000E3">
      <w:pPr>
        <w:pStyle w:val="ab"/>
        <w:numPr>
          <w:ilvl w:val="0"/>
          <w:numId w:val="33"/>
        </w:numPr>
      </w:pPr>
      <w:r>
        <w:rPr>
          <w:rFonts w:cs="Arial" w:hint="cs"/>
          <w:rtl/>
        </w:rPr>
        <w:t xml:space="preserve">ט"ז </w:t>
      </w:r>
      <w:r>
        <w:rPr>
          <w:rFonts w:cs="Arial" w:hint="cs"/>
          <w:sz w:val="16"/>
          <w:szCs w:val="16"/>
          <w:rtl/>
        </w:rPr>
        <w:t>(סק"ב)</w:t>
      </w:r>
      <w:r>
        <w:rPr>
          <w:rFonts w:cs="Arial" w:hint="cs"/>
          <w:rtl/>
        </w:rPr>
        <w:t xml:space="preserve">- </w:t>
      </w:r>
      <w:r w:rsidRPr="00371891">
        <w:rPr>
          <w:rFonts w:cs="Arial"/>
          <w:rtl/>
        </w:rPr>
        <w:t>בתשובה סי' י"ב כתבתי בהוכחות וראיות שאם השבאי נשאה לאשה נאסרה על בעלה ואע</w:t>
      </w:r>
      <w:r w:rsidR="006C5C96">
        <w:rPr>
          <w:rFonts w:cs="Arial" w:hint="cs"/>
          <w:rtl/>
        </w:rPr>
        <w:t>"</w:t>
      </w:r>
      <w:r w:rsidRPr="00371891">
        <w:rPr>
          <w:rFonts w:cs="Arial"/>
          <w:rtl/>
        </w:rPr>
        <w:t>פ שתחילה בשעת הנשואין היה לה אונס ע"כ אין עליו חיוב לפדותה</w:t>
      </w:r>
      <w:r>
        <w:rPr>
          <w:rFonts w:cs="Arial" w:hint="cs"/>
          <w:rtl/>
        </w:rPr>
        <w:t>.</w:t>
      </w:r>
    </w:p>
    <w:p w14:paraId="3689332B" w14:textId="3A80C632" w:rsidR="00371891" w:rsidRDefault="00471F0D" w:rsidP="009000E3">
      <w:pPr>
        <w:pStyle w:val="ab"/>
        <w:numPr>
          <w:ilvl w:val="0"/>
          <w:numId w:val="33"/>
        </w:numPr>
        <w:rPr>
          <w:rtl/>
        </w:rPr>
      </w:pPr>
      <w:r>
        <w:rPr>
          <w:rFonts w:cs="Arial" w:hint="cs"/>
          <w:rtl/>
        </w:rPr>
        <w:t xml:space="preserve">ב"ש </w:t>
      </w:r>
      <w:r>
        <w:rPr>
          <w:rFonts w:cs="Arial" w:hint="cs"/>
          <w:sz w:val="16"/>
          <w:szCs w:val="16"/>
          <w:rtl/>
        </w:rPr>
        <w:t>(סק"ז)</w:t>
      </w:r>
      <w:r>
        <w:rPr>
          <w:rFonts w:cs="Arial" w:hint="cs"/>
          <w:rtl/>
        </w:rPr>
        <w:t xml:space="preserve">- </w:t>
      </w:r>
      <w:r w:rsidR="00371891" w:rsidRPr="00371891">
        <w:rPr>
          <w:rFonts w:cs="Arial"/>
          <w:rtl/>
        </w:rPr>
        <w:t>הנה בסוגיא זו דף נ"א מבואר לרש"י כשנשבית ביד השר דהיא סבורה שישא אותה לאשה אז היא אסורה לבעלה כי נבעלת לו ברצון אז אינו חייב לפדותה</w:t>
      </w:r>
      <w:r>
        <w:rPr>
          <w:rFonts w:cs="Arial" w:hint="cs"/>
          <w:rtl/>
        </w:rPr>
        <w:t>,</w:t>
      </w:r>
      <w:r w:rsidR="00371891" w:rsidRPr="00371891">
        <w:rPr>
          <w:rFonts w:cs="Arial"/>
          <w:rtl/>
        </w:rPr>
        <w:t xml:space="preserve"> וכ' ב"ח היינו דוקא כשידוע דנבעלה לו</w:t>
      </w:r>
      <w:r>
        <w:rPr>
          <w:rFonts w:cs="Arial" w:hint="cs"/>
          <w:rtl/>
        </w:rPr>
        <w:t>,</w:t>
      </w:r>
      <w:r w:rsidR="00371891" w:rsidRPr="00371891">
        <w:rPr>
          <w:rFonts w:cs="Arial"/>
          <w:rtl/>
        </w:rPr>
        <w:t xml:space="preserve"> אבל אם א</w:t>
      </w:r>
      <w:r>
        <w:rPr>
          <w:rFonts w:cs="Arial" w:hint="cs"/>
          <w:rtl/>
        </w:rPr>
        <w:t>ינו ידוע</w:t>
      </w:r>
      <w:r w:rsidR="00371891" w:rsidRPr="00371891">
        <w:rPr>
          <w:rFonts w:cs="Arial"/>
          <w:rtl/>
        </w:rPr>
        <w:t xml:space="preserve"> אמרי</w:t>
      </w:r>
      <w:r>
        <w:rPr>
          <w:rFonts w:cs="Arial" w:hint="cs"/>
          <w:rtl/>
        </w:rPr>
        <w:t>נן</w:t>
      </w:r>
      <w:r w:rsidR="00371891" w:rsidRPr="00371891">
        <w:rPr>
          <w:rFonts w:cs="Arial"/>
          <w:rtl/>
        </w:rPr>
        <w:t xml:space="preserve"> דלא בא עליה אלא אמרינן דשבה אותה כדי למוכרה או כדי לפדותה דרובן הכי עבדי</w:t>
      </w:r>
      <w:r>
        <w:rPr>
          <w:rFonts w:cs="Arial" w:hint="cs"/>
          <w:rtl/>
        </w:rPr>
        <w:t>.</w:t>
      </w:r>
      <w:r w:rsidR="00371891" w:rsidRPr="00371891">
        <w:rPr>
          <w:rFonts w:cs="Arial"/>
          <w:rtl/>
        </w:rPr>
        <w:t xml:space="preserve"> מיהו אע</w:t>
      </w:r>
      <w:r w:rsidR="006C5C96">
        <w:rPr>
          <w:rFonts w:cs="Arial" w:hint="cs"/>
          <w:rtl/>
        </w:rPr>
        <w:t>"</w:t>
      </w:r>
      <w:r w:rsidR="00371891" w:rsidRPr="00371891">
        <w:rPr>
          <w:rFonts w:cs="Arial"/>
          <w:rtl/>
        </w:rPr>
        <w:t>ג דהוא כתב דין זה בפשיטות צ"ע למעשה אם תלינן לקולא</w:t>
      </w:r>
      <w:r>
        <w:rPr>
          <w:rFonts w:cs="Arial" w:hint="cs"/>
          <w:rtl/>
        </w:rPr>
        <w:t>,</w:t>
      </w:r>
      <w:r w:rsidR="00371891" w:rsidRPr="00371891">
        <w:rPr>
          <w:rFonts w:cs="Arial"/>
          <w:rtl/>
        </w:rPr>
        <w:t xml:space="preserve"> דהא בסי' זה מבואר דחיישינן שמא נבעלה</w:t>
      </w:r>
      <w:r>
        <w:rPr>
          <w:rFonts w:cs="Arial" w:hint="cs"/>
          <w:rtl/>
        </w:rPr>
        <w:t>,</w:t>
      </w:r>
      <w:r w:rsidR="00371891" w:rsidRPr="00371891">
        <w:rPr>
          <w:rFonts w:cs="Arial"/>
          <w:rtl/>
        </w:rPr>
        <w:t xml:space="preserve"> והר"ן ס"ל כל שאין לה מציל אפילו אם נשבית להשר מותר</w:t>
      </w:r>
      <w:r>
        <w:rPr>
          <w:rFonts w:cs="Arial" w:hint="cs"/>
          <w:rtl/>
        </w:rPr>
        <w:t>ת</w:t>
      </w:r>
      <w:r w:rsidR="00371891" w:rsidRPr="00371891">
        <w:rPr>
          <w:rFonts w:cs="Arial"/>
          <w:rtl/>
        </w:rPr>
        <w:t xml:space="preserve"> לבעלה דאפילו אם בא עליה היא נבעלה באונס אלא היכא דאפשר לה לצווח ולא צוחה אז רגלים לדבר דהיא מרוצה</w:t>
      </w:r>
      <w:r w:rsidR="006C5C96">
        <w:rPr>
          <w:rFonts w:cs="Arial" w:hint="cs"/>
          <w:rtl/>
        </w:rPr>
        <w:t>,</w:t>
      </w:r>
      <w:r w:rsidR="00371891" w:rsidRPr="00371891">
        <w:rPr>
          <w:rFonts w:cs="Arial"/>
          <w:rtl/>
        </w:rPr>
        <w:t xml:space="preserve"> אבל במקום דאין לה מציל מה היה לה לצווח</w:t>
      </w:r>
      <w:r>
        <w:rPr>
          <w:rFonts w:cs="Arial" w:hint="cs"/>
          <w:rtl/>
        </w:rPr>
        <w:t>.</w:t>
      </w:r>
      <w:r w:rsidR="00371891" w:rsidRPr="00371891">
        <w:rPr>
          <w:rFonts w:cs="Arial"/>
          <w:rtl/>
        </w:rPr>
        <w:t xml:space="preserve"> ורי"ו הביא שני דיעות הללו ולא הכריע ביניהם</w:t>
      </w:r>
      <w:r>
        <w:rPr>
          <w:rFonts w:cs="Arial" w:hint="cs"/>
          <w:rtl/>
        </w:rPr>
        <w:t>.</w:t>
      </w:r>
      <w:r w:rsidR="00371891" w:rsidRPr="00371891">
        <w:rPr>
          <w:rFonts w:cs="Arial"/>
          <w:rtl/>
        </w:rPr>
        <w:t xml:space="preserve"> וב"ח פסק כהר"ן</w:t>
      </w:r>
      <w:r>
        <w:rPr>
          <w:rFonts w:cs="Arial" w:hint="cs"/>
          <w:rtl/>
        </w:rPr>
        <w:t>.</w:t>
      </w:r>
      <w:r w:rsidR="00371891" w:rsidRPr="00371891">
        <w:rPr>
          <w:rFonts w:cs="Arial"/>
          <w:rtl/>
        </w:rPr>
        <w:t xml:space="preserve"> וצ"ע</w:t>
      </w:r>
      <w:r>
        <w:rPr>
          <w:rFonts w:cs="Arial" w:hint="cs"/>
          <w:rtl/>
        </w:rPr>
        <w:t>.</w:t>
      </w:r>
      <w:r w:rsidR="00371891" w:rsidRPr="00371891">
        <w:rPr>
          <w:rFonts w:cs="Arial"/>
          <w:rtl/>
        </w:rPr>
        <w:t xml:space="preserve"> וכ' ב"ח היכא דאיכא שני עדים דשבאי לקח אותה לאשה והבינו מדברי האש</w:t>
      </w:r>
      <w:r>
        <w:rPr>
          <w:rFonts w:cs="Arial" w:hint="cs"/>
          <w:rtl/>
        </w:rPr>
        <w:t>ה</w:t>
      </w:r>
      <w:r w:rsidR="00371891" w:rsidRPr="00371891">
        <w:rPr>
          <w:rFonts w:cs="Arial"/>
          <w:rtl/>
        </w:rPr>
        <w:t xml:space="preserve"> שאינ</w:t>
      </w:r>
      <w:r>
        <w:rPr>
          <w:rFonts w:cs="Arial" w:hint="cs"/>
          <w:rtl/>
        </w:rPr>
        <w:t>ה</w:t>
      </w:r>
      <w:r w:rsidR="00371891" w:rsidRPr="00371891">
        <w:rPr>
          <w:rFonts w:cs="Arial"/>
          <w:rtl/>
        </w:rPr>
        <w:t xml:space="preserve"> חפיצה שיפדו אות</w:t>
      </w:r>
      <w:r>
        <w:rPr>
          <w:rFonts w:cs="Arial" w:hint="cs"/>
          <w:rtl/>
        </w:rPr>
        <w:t>ה</w:t>
      </w:r>
      <w:r w:rsidR="00371891" w:rsidRPr="00371891">
        <w:rPr>
          <w:rFonts w:cs="Arial"/>
          <w:rtl/>
        </w:rPr>
        <w:t xml:space="preserve"> אז בודאי נבעלת לו ברצון ואסורה לבעלה ואין חייב לפדות</w:t>
      </w:r>
      <w:r>
        <w:rPr>
          <w:rFonts w:cs="Arial" w:hint="cs"/>
          <w:rtl/>
        </w:rPr>
        <w:t>ה</w:t>
      </w:r>
      <w:r w:rsidR="00371891" w:rsidRPr="00371891">
        <w:rPr>
          <w:rFonts w:cs="Arial"/>
          <w:rtl/>
        </w:rPr>
        <w:t xml:space="preserve"> ומותר לישא אשה אחרת וא"צ לזכות לה גט וא"צ ליחד לה הכתובה מיהו במקום דנוהגים ליבם צריך לזכות לה גט מטעם שכתב בד"מ סימן א'</w:t>
      </w:r>
      <w:r>
        <w:rPr>
          <w:rFonts w:cs="Arial" w:hint="cs"/>
          <w:rtl/>
        </w:rPr>
        <w:t>.</w:t>
      </w:r>
    </w:p>
    <w:p w14:paraId="08C8B8CF" w14:textId="77777777" w:rsidR="00371891" w:rsidRDefault="00371891" w:rsidP="000D2069">
      <w:pPr>
        <w:rPr>
          <w:rtl/>
        </w:rPr>
      </w:pPr>
    </w:p>
    <w:p w14:paraId="448D2793" w14:textId="735B7DF4" w:rsidR="000D2069" w:rsidRDefault="000D2069" w:rsidP="000F64D0">
      <w:pPr>
        <w:pStyle w:val="2"/>
        <w:rPr>
          <w:rtl/>
        </w:rPr>
      </w:pPr>
      <w:r>
        <w:rPr>
          <w:rtl/>
        </w:rPr>
        <w:t>סעיף ז</w:t>
      </w:r>
      <w:r w:rsidR="00C7751E">
        <w:rPr>
          <w:rFonts w:hint="cs"/>
          <w:rtl/>
        </w:rPr>
        <w:t>: אשה שהיתה אסורה על בעלה.</w:t>
      </w:r>
    </w:p>
    <w:p w14:paraId="11FE5033" w14:textId="04005E38" w:rsidR="00120A70" w:rsidRPr="00120A70" w:rsidRDefault="000628DF" w:rsidP="00120A70">
      <w:pPr>
        <w:rPr>
          <w:rtl/>
        </w:rPr>
      </w:pPr>
      <w:r>
        <w:rPr>
          <w:rFonts w:hint="cs"/>
          <w:rtl/>
        </w:rPr>
        <w:t>עיין במקורות בסעיף ו.</w:t>
      </w:r>
    </w:p>
    <w:p w14:paraId="338765F1" w14:textId="77777777" w:rsidR="00393142" w:rsidRDefault="00393142" w:rsidP="00393142">
      <w:pPr>
        <w:rPr>
          <w:rFonts w:cs="Arial"/>
          <w:rtl/>
        </w:rPr>
      </w:pPr>
      <w:r w:rsidRPr="003024E5">
        <w:rPr>
          <w:rFonts w:asciiTheme="minorBidi" w:hAnsiTheme="minorBidi"/>
          <w:b/>
          <w:bCs/>
          <w:color w:val="000000"/>
          <w:sz w:val="28"/>
          <w:szCs w:val="28"/>
          <w:u w:val="single"/>
          <w:rtl/>
        </w:rPr>
        <w:t>שו"ע:</w:t>
      </w:r>
    </w:p>
    <w:p w14:paraId="763414A1" w14:textId="6414B439" w:rsidR="000D2069" w:rsidRDefault="000D2069" w:rsidP="000D2069">
      <w:pPr>
        <w:rPr>
          <w:rFonts w:cs="Arial"/>
          <w:rtl/>
        </w:rPr>
      </w:pPr>
      <w:r>
        <w:rPr>
          <w:rFonts w:cs="Arial"/>
          <w:rtl/>
        </w:rPr>
        <w:t>האשה שהיתה אסורה על בעלה מחייבי לאוין</w:t>
      </w:r>
      <w:r w:rsidR="00594C06">
        <w:rPr>
          <w:rStyle w:val="a7"/>
          <w:rFonts w:cs="Arial"/>
          <w:rtl/>
        </w:rPr>
        <w:footnoteReference w:id="619"/>
      </w:r>
      <w:r>
        <w:rPr>
          <w:rFonts w:cs="Arial"/>
          <w:rtl/>
        </w:rPr>
        <w:t xml:space="preserve">, ונשבית, אינו חייב לפדותה אלא נותן לה כתובתה והיא תפדה את עצמה. </w:t>
      </w:r>
      <w:r w:rsidR="00120A70" w:rsidRPr="00120A70">
        <w:rPr>
          <w:rFonts w:cs="Arial" w:hint="cs"/>
          <w:sz w:val="18"/>
          <w:szCs w:val="18"/>
          <w:rtl/>
        </w:rPr>
        <w:t xml:space="preserve">[הגה] </w:t>
      </w:r>
      <w:r w:rsidRPr="00120A70">
        <w:rPr>
          <w:rFonts w:cs="Arial"/>
          <w:sz w:val="18"/>
          <w:szCs w:val="18"/>
          <w:rtl/>
        </w:rPr>
        <w:t>ומשלם לה</w:t>
      </w:r>
      <w:r w:rsidR="00CD6EC1">
        <w:rPr>
          <w:rStyle w:val="a7"/>
          <w:rFonts w:cs="Arial"/>
          <w:sz w:val="18"/>
          <w:szCs w:val="18"/>
          <w:rtl/>
        </w:rPr>
        <w:footnoteReference w:id="620"/>
      </w:r>
      <w:r w:rsidRPr="00120A70">
        <w:rPr>
          <w:rFonts w:cs="Arial"/>
          <w:sz w:val="18"/>
          <w:szCs w:val="18"/>
          <w:rtl/>
        </w:rPr>
        <w:t xml:space="preserve"> הפירות שאכל מנכסיה</w:t>
      </w:r>
      <w:r w:rsidR="00594C06">
        <w:rPr>
          <w:rStyle w:val="a7"/>
          <w:rFonts w:cs="Arial"/>
          <w:sz w:val="18"/>
          <w:szCs w:val="18"/>
          <w:rtl/>
        </w:rPr>
        <w:footnoteReference w:id="621"/>
      </w:r>
      <w:r w:rsidRPr="00120A70">
        <w:rPr>
          <w:rFonts w:cs="Arial"/>
          <w:sz w:val="18"/>
          <w:szCs w:val="18"/>
          <w:rtl/>
        </w:rPr>
        <w:t xml:space="preserve"> (ר"ן).</w:t>
      </w:r>
      <w:r>
        <w:rPr>
          <w:rFonts w:cs="Arial"/>
          <w:rtl/>
        </w:rPr>
        <w:t xml:space="preserve"> </w:t>
      </w:r>
    </w:p>
    <w:p w14:paraId="0C7A74B4" w14:textId="77777777" w:rsidR="00120A70" w:rsidRDefault="00120A70" w:rsidP="000D2069">
      <w:pPr>
        <w:rPr>
          <w:rtl/>
        </w:rPr>
      </w:pPr>
    </w:p>
    <w:p w14:paraId="470869B6" w14:textId="6EE52DFB" w:rsidR="000D2069" w:rsidRDefault="000D2069" w:rsidP="000F64D0">
      <w:pPr>
        <w:pStyle w:val="2"/>
        <w:rPr>
          <w:rtl/>
        </w:rPr>
      </w:pPr>
      <w:r>
        <w:rPr>
          <w:rtl/>
        </w:rPr>
        <w:t>סעיף ח</w:t>
      </w:r>
      <w:r w:rsidR="00E41D2C">
        <w:rPr>
          <w:rFonts w:hint="cs"/>
          <w:rtl/>
        </w:rPr>
        <w:t>: פדיון אלמנתו מנכסיו.</w:t>
      </w:r>
    </w:p>
    <w:p w14:paraId="6921E24E" w14:textId="7E84CAC4" w:rsidR="00481B24" w:rsidRPr="00481B24" w:rsidRDefault="002F72EE" w:rsidP="00481B24">
      <w:pPr>
        <w:rPr>
          <w:rtl/>
        </w:rPr>
      </w:pPr>
      <w:r w:rsidRPr="00AB0AB9">
        <w:rPr>
          <w:rFonts w:cs="Arial" w:hint="cs"/>
          <w:b/>
          <w:bCs/>
          <w:rtl/>
        </w:rPr>
        <w:t>כתובות</w:t>
      </w:r>
      <w:r>
        <w:rPr>
          <w:rFonts w:cs="Arial" w:hint="cs"/>
          <w:b/>
          <w:bCs/>
          <w:rtl/>
        </w:rPr>
        <w:t xml:space="preserve"> </w:t>
      </w:r>
      <w:r>
        <w:rPr>
          <w:rFonts w:cs="Arial" w:hint="cs"/>
          <w:b/>
          <w:bCs/>
          <w:sz w:val="16"/>
          <w:szCs w:val="16"/>
          <w:rtl/>
        </w:rPr>
        <w:t>(פ' נערה שנתפתתה)</w:t>
      </w:r>
      <w:r w:rsidRPr="00AB0AB9">
        <w:rPr>
          <w:rFonts w:cs="Arial" w:hint="cs"/>
          <w:b/>
          <w:bCs/>
          <w:rtl/>
        </w:rPr>
        <w:t xml:space="preserve"> </w:t>
      </w:r>
      <w:r>
        <w:rPr>
          <w:rFonts w:cs="Arial" w:hint="cs"/>
          <w:b/>
          <w:bCs/>
          <w:rtl/>
        </w:rPr>
        <w:t>נב</w:t>
      </w:r>
      <w:r w:rsidRPr="00AB0AB9">
        <w:rPr>
          <w:rFonts w:cs="Arial" w:hint="cs"/>
          <w:b/>
          <w:bCs/>
          <w:rtl/>
        </w:rPr>
        <w:t xml:space="preserve"> ע"</w:t>
      </w:r>
      <w:r>
        <w:rPr>
          <w:rFonts w:cs="Arial" w:hint="cs"/>
          <w:b/>
          <w:bCs/>
          <w:rtl/>
        </w:rPr>
        <w:t>א</w:t>
      </w:r>
      <w:r w:rsidRPr="00AB0AB9">
        <w:rPr>
          <w:rFonts w:cs="Arial" w:hint="cs"/>
          <w:b/>
          <w:bCs/>
          <w:rtl/>
        </w:rPr>
        <w:t>:</w:t>
      </w:r>
      <w:r>
        <w:rPr>
          <w:rFonts w:cs="Arial" w:hint="cs"/>
          <w:rtl/>
        </w:rPr>
        <w:t xml:space="preserve"> </w:t>
      </w:r>
      <w:r w:rsidR="00481B24" w:rsidRPr="00481B24">
        <w:rPr>
          <w:rFonts w:cs="Arial"/>
          <w:rtl/>
        </w:rPr>
        <w:t xml:space="preserve">נשבית - חייב לפדותה וכו'. ת"ר: נשבית בחיי בעלה ואח"כ מת בעלה, הכיר בה בעלה - יורשין חייבין לפדותה, לא הכיר בה בעלה - אין יורשין חייבין לפדותה. לוי סבר למיעבד עובדא כי הא מתניתא, </w:t>
      </w:r>
      <w:r w:rsidR="00481B24" w:rsidRPr="00481B24">
        <w:rPr>
          <w:rFonts w:cs="Arial"/>
          <w:u w:val="single"/>
          <w:rtl/>
        </w:rPr>
        <w:t>א"ל רב</w:t>
      </w:r>
      <w:r w:rsidR="00481B24">
        <w:rPr>
          <w:rFonts w:cs="Arial" w:hint="cs"/>
          <w:rtl/>
        </w:rPr>
        <w:t>:</w:t>
      </w:r>
      <w:r w:rsidR="00481B24" w:rsidRPr="00481B24">
        <w:rPr>
          <w:rFonts w:cs="Arial"/>
          <w:rtl/>
        </w:rPr>
        <w:t xml:space="preserve"> הכי אמר חביבי</w:t>
      </w:r>
      <w:r w:rsidR="00AF35FF">
        <w:rPr>
          <w:rFonts w:cs="Arial" w:hint="cs"/>
          <w:rtl/>
        </w:rPr>
        <w:t>:</w:t>
      </w:r>
      <w:r w:rsidR="00481B24" w:rsidRPr="00481B24">
        <w:rPr>
          <w:rFonts w:cs="Arial"/>
          <w:rtl/>
        </w:rPr>
        <w:t xml:space="preserve"> לית הלכתא כי הא מתניתא, אלא כי הא דתניא: נשבית לאחר מיתת בעלה - אין היתומין חייבין לפדותה</w:t>
      </w:r>
      <w:r w:rsidR="00481B24">
        <w:rPr>
          <w:rFonts w:cs="Arial" w:hint="cs"/>
          <w:rtl/>
        </w:rPr>
        <w:t>.</w:t>
      </w:r>
      <w:r w:rsidR="00481B24" w:rsidRPr="00481B24">
        <w:rPr>
          <w:rFonts w:cs="Arial"/>
          <w:rtl/>
        </w:rPr>
        <w:t xml:space="preserve"> ולא עוד, אלא אפילו נשבית בחיי בעלה ואחר כך מת בעלה - אין היתומין חייבין לפדותה, שאין אני קורא בה ואותבינך לאינתו.</w:t>
      </w:r>
    </w:p>
    <w:p w14:paraId="160A840E" w14:textId="2ADC6650" w:rsidR="00E41D2C" w:rsidRPr="00E41D2C" w:rsidRDefault="00735236" w:rsidP="00E41D2C">
      <w:pPr>
        <w:rPr>
          <w:u w:val="single"/>
          <w:rtl/>
        </w:rPr>
      </w:pPr>
      <w:r>
        <w:rPr>
          <w:rFonts w:hint="cs"/>
          <w:u w:val="single"/>
          <w:rtl/>
        </w:rPr>
        <w:t>פדיון</w:t>
      </w:r>
      <w:r w:rsidR="00E41D2C" w:rsidRPr="00E41D2C">
        <w:rPr>
          <w:rFonts w:hint="cs"/>
          <w:u w:val="single"/>
          <w:rtl/>
        </w:rPr>
        <w:t xml:space="preserve"> אלמנתו מנכסיו:</w:t>
      </w:r>
    </w:p>
    <w:p w14:paraId="2B9FD12F" w14:textId="280509DF" w:rsidR="00120A70" w:rsidRPr="00393142" w:rsidRDefault="00120A70" w:rsidP="009000E3">
      <w:pPr>
        <w:pStyle w:val="ab"/>
        <w:numPr>
          <w:ilvl w:val="0"/>
          <w:numId w:val="27"/>
        </w:numPr>
        <w:rPr>
          <w:rtl/>
        </w:rPr>
      </w:pPr>
      <w:r>
        <w:rPr>
          <w:rFonts w:cs="Arial" w:hint="cs"/>
          <w:rtl/>
        </w:rPr>
        <w:t xml:space="preserve">טור- </w:t>
      </w:r>
      <w:r w:rsidRPr="00825FED">
        <w:rPr>
          <w:rFonts w:cs="Arial"/>
          <w:rtl/>
        </w:rPr>
        <w:t>אין חיוב פדיונה עליו אלא בחייו</w:t>
      </w:r>
      <w:r w:rsidR="00E41D2C">
        <w:rPr>
          <w:rFonts w:cs="Arial" w:hint="cs"/>
          <w:rtl/>
        </w:rPr>
        <w:t>,</w:t>
      </w:r>
      <w:r w:rsidRPr="00825FED">
        <w:rPr>
          <w:rFonts w:cs="Arial"/>
          <w:rtl/>
        </w:rPr>
        <w:t xml:space="preserve"> אבל אלמנתו </w:t>
      </w:r>
      <w:r w:rsidR="00E41D2C">
        <w:rPr>
          <w:rFonts w:cs="Arial" w:hint="cs"/>
          <w:rtl/>
        </w:rPr>
        <w:t xml:space="preserve">- </w:t>
      </w:r>
      <w:r w:rsidRPr="00825FED">
        <w:rPr>
          <w:rFonts w:cs="Arial"/>
          <w:rtl/>
        </w:rPr>
        <w:t>אינה נפדית מנכסיו</w:t>
      </w:r>
      <w:r w:rsidR="00E41D2C">
        <w:rPr>
          <w:rFonts w:cs="Arial" w:hint="cs"/>
          <w:rtl/>
        </w:rPr>
        <w:t>,</w:t>
      </w:r>
      <w:r w:rsidRPr="00825FED">
        <w:rPr>
          <w:rFonts w:cs="Arial"/>
          <w:rtl/>
        </w:rPr>
        <w:t xml:space="preserve"> לא מיבעיא אם נשבית אחר מותו</w:t>
      </w:r>
      <w:r w:rsidR="00E41D2C">
        <w:rPr>
          <w:rFonts w:cs="Arial" w:hint="cs"/>
          <w:rtl/>
        </w:rPr>
        <w:t>,</w:t>
      </w:r>
      <w:r w:rsidRPr="00825FED">
        <w:rPr>
          <w:rFonts w:cs="Arial"/>
          <w:rtl/>
        </w:rPr>
        <w:t xml:space="preserve"> אלא אפי' נשבית בחייו ולא הספיק לפדותה עד שמת </w:t>
      </w:r>
      <w:r w:rsidR="00E41D2C">
        <w:rPr>
          <w:rFonts w:cs="Arial" w:hint="cs"/>
          <w:rtl/>
        </w:rPr>
        <w:t xml:space="preserve">- </w:t>
      </w:r>
      <w:r w:rsidRPr="00825FED">
        <w:rPr>
          <w:rFonts w:cs="Arial"/>
          <w:rtl/>
        </w:rPr>
        <w:t>אין היורשין חייבין לפדותה</w:t>
      </w:r>
      <w:r w:rsidR="00E41D2C">
        <w:rPr>
          <w:rFonts w:cs="Arial" w:hint="cs"/>
          <w:rtl/>
        </w:rPr>
        <w:t>,</w:t>
      </w:r>
      <w:r w:rsidRPr="00825FED">
        <w:rPr>
          <w:rFonts w:cs="Arial"/>
          <w:rtl/>
        </w:rPr>
        <w:t xml:space="preserve"> ואפי' אם היא זקוקה ליבם</w:t>
      </w:r>
      <w:r w:rsidR="00E41D2C">
        <w:rPr>
          <w:rFonts w:cs="Arial" w:hint="cs"/>
          <w:rtl/>
        </w:rPr>
        <w:t>,</w:t>
      </w:r>
      <w:r w:rsidRPr="00825FED">
        <w:rPr>
          <w:rFonts w:cs="Arial"/>
          <w:rtl/>
        </w:rPr>
        <w:t xml:space="preserve"> אלא נפדית משל עצמה או תטול כתובתה ותפדה את עצמה</w:t>
      </w:r>
      <w:r w:rsidR="00E41D2C">
        <w:rPr>
          <w:rFonts w:cs="Arial" w:hint="cs"/>
          <w:rtl/>
        </w:rPr>
        <w:t>.</w:t>
      </w:r>
      <w:r w:rsidR="00B778E4">
        <w:rPr>
          <w:rFonts w:cs="Arial" w:hint="cs"/>
          <w:rtl/>
        </w:rPr>
        <w:t xml:space="preserve"> </w:t>
      </w:r>
      <w:r w:rsidR="00B778E4" w:rsidRPr="007B74FB">
        <w:rPr>
          <w:rFonts w:hint="cs"/>
          <w:color w:val="E36C0A" w:themeColor="accent6" w:themeShade="BF"/>
          <w:rtl/>
        </w:rPr>
        <w:t>(וכ"פ בשו"ע)</w:t>
      </w:r>
    </w:p>
    <w:p w14:paraId="21EBCA92" w14:textId="66AF0AD7" w:rsidR="002F72EE" w:rsidRPr="00026843" w:rsidRDefault="002F72EE" w:rsidP="00026843">
      <w:pPr>
        <w:ind w:left="360"/>
        <w:rPr>
          <w:rFonts w:cs="Arial"/>
          <w:u w:val="dotted"/>
          <w:rtl/>
        </w:rPr>
      </w:pPr>
      <w:r w:rsidRPr="00026843">
        <w:rPr>
          <w:rFonts w:cs="Arial" w:hint="cs"/>
          <w:u w:val="dotted"/>
          <w:rtl/>
        </w:rPr>
        <w:t xml:space="preserve">האם </w:t>
      </w:r>
      <w:r w:rsidR="004F1A8B">
        <w:rPr>
          <w:rFonts w:cs="Arial" w:hint="cs"/>
          <w:u w:val="dotted"/>
          <w:rtl/>
        </w:rPr>
        <w:t>ה</w:t>
      </w:r>
      <w:r w:rsidR="00026843">
        <w:rPr>
          <w:rFonts w:cs="Arial" w:hint="cs"/>
          <w:u w:val="dotted"/>
          <w:rtl/>
        </w:rPr>
        <w:t>יורשי</w:t>
      </w:r>
      <w:r w:rsidR="004F1A8B">
        <w:rPr>
          <w:rFonts w:cs="Arial" w:hint="cs"/>
          <w:u w:val="dotted"/>
          <w:rtl/>
        </w:rPr>
        <w:t xml:space="preserve">ן </w:t>
      </w:r>
      <w:r w:rsidRPr="00026843">
        <w:rPr>
          <w:rFonts w:cs="Arial" w:hint="cs"/>
          <w:u w:val="dotted"/>
          <w:rtl/>
        </w:rPr>
        <w:t>א</w:t>
      </w:r>
      <w:r w:rsidR="004F1A8B">
        <w:rPr>
          <w:rFonts w:cs="Arial" w:hint="cs"/>
          <w:u w:val="dotted"/>
          <w:rtl/>
        </w:rPr>
        <w:t>ו</w:t>
      </w:r>
      <w:r w:rsidRPr="00026843">
        <w:rPr>
          <w:rFonts w:cs="Arial" w:hint="cs"/>
          <w:u w:val="dotted"/>
          <w:rtl/>
        </w:rPr>
        <w:t>כל</w:t>
      </w:r>
      <w:r w:rsidR="004F1A8B">
        <w:rPr>
          <w:rFonts w:cs="Arial" w:hint="cs"/>
          <w:u w:val="dotted"/>
          <w:rtl/>
        </w:rPr>
        <w:t>ים</w:t>
      </w:r>
      <w:r w:rsidRPr="00026843">
        <w:rPr>
          <w:rFonts w:cs="Arial" w:hint="cs"/>
          <w:u w:val="dotted"/>
          <w:rtl/>
        </w:rPr>
        <w:t xml:space="preserve"> פירותיה:</w:t>
      </w:r>
    </w:p>
    <w:p w14:paraId="7E0584B1" w14:textId="27C57A9E" w:rsidR="002F72EE" w:rsidRPr="002F72EE" w:rsidRDefault="00120A70" w:rsidP="009000E3">
      <w:pPr>
        <w:pStyle w:val="ab"/>
        <w:numPr>
          <w:ilvl w:val="0"/>
          <w:numId w:val="27"/>
        </w:numPr>
      </w:pPr>
      <w:r w:rsidRPr="002F72EE">
        <w:rPr>
          <w:rFonts w:cs="Arial"/>
          <w:rtl/>
        </w:rPr>
        <w:t xml:space="preserve">רי"ף </w:t>
      </w:r>
      <w:r w:rsidRPr="002F72EE">
        <w:rPr>
          <w:rFonts w:cs="Arial"/>
          <w:sz w:val="16"/>
          <w:szCs w:val="16"/>
          <w:rtl/>
        </w:rPr>
        <w:t>(יט.)</w:t>
      </w:r>
      <w:r w:rsidR="002F72EE" w:rsidRPr="002F72EE">
        <w:rPr>
          <w:rFonts w:cs="Arial"/>
          <w:rtl/>
        </w:rPr>
        <w:t xml:space="preserve"> </w:t>
      </w:r>
      <w:r w:rsidR="002F72EE">
        <w:rPr>
          <w:rFonts w:cs="Arial" w:hint="cs"/>
          <w:rtl/>
        </w:rPr>
        <w:t>ו</w:t>
      </w:r>
      <w:r w:rsidR="002F72EE" w:rsidRPr="002F72EE">
        <w:rPr>
          <w:rFonts w:cs="Arial"/>
          <w:rtl/>
        </w:rPr>
        <w:t xml:space="preserve">רא"ש </w:t>
      </w:r>
      <w:r w:rsidR="002F72EE" w:rsidRPr="002F72EE">
        <w:rPr>
          <w:rFonts w:cs="Arial"/>
          <w:sz w:val="16"/>
          <w:szCs w:val="16"/>
          <w:rtl/>
        </w:rPr>
        <w:t>(סי' כב)</w:t>
      </w:r>
      <w:r w:rsidR="002F72EE">
        <w:rPr>
          <w:rFonts w:cs="Arial" w:hint="cs"/>
          <w:rtl/>
        </w:rPr>
        <w:t>-</w:t>
      </w:r>
      <w:r w:rsidRPr="002F72EE">
        <w:rPr>
          <w:rFonts w:cs="Arial"/>
          <w:rtl/>
        </w:rPr>
        <w:t xml:space="preserve"> לית להו פירי</w:t>
      </w:r>
      <w:r w:rsidR="002F72EE" w:rsidRPr="002F72EE">
        <w:rPr>
          <w:rFonts w:cs="Arial" w:hint="cs"/>
          <w:rtl/>
        </w:rPr>
        <w:t>,</w:t>
      </w:r>
      <w:r w:rsidRPr="002F72EE">
        <w:rPr>
          <w:rFonts w:cs="Arial"/>
          <w:rtl/>
        </w:rPr>
        <w:t xml:space="preserve"> דכי תקינו רבנן פירות לבעל תחת פרקונה הוא דתקינו</w:t>
      </w:r>
      <w:r w:rsidR="002F72EE" w:rsidRPr="002F72EE">
        <w:rPr>
          <w:rFonts w:cs="Arial" w:hint="cs"/>
          <w:rtl/>
        </w:rPr>
        <w:t>,</w:t>
      </w:r>
      <w:r w:rsidRPr="002F72EE">
        <w:rPr>
          <w:rFonts w:cs="Arial"/>
          <w:rtl/>
        </w:rPr>
        <w:t xml:space="preserve"> והני כיון דלא מחייבי בפרקונה לית להו פירי</w:t>
      </w:r>
      <w:r w:rsidR="002F72EE">
        <w:rPr>
          <w:rFonts w:cs="Arial" w:hint="cs"/>
          <w:sz w:val="16"/>
          <w:szCs w:val="16"/>
          <w:rtl/>
        </w:rPr>
        <w:t xml:space="preserve"> (ל' הרי"ף)</w:t>
      </w:r>
      <w:r w:rsidRPr="002F72EE">
        <w:rPr>
          <w:rFonts w:cs="Arial"/>
          <w:rtl/>
        </w:rPr>
        <w:t xml:space="preserve">. </w:t>
      </w:r>
    </w:p>
    <w:p w14:paraId="545CB8E3" w14:textId="6DDB0B50" w:rsidR="002F72EE" w:rsidRPr="002F72EE" w:rsidRDefault="002F72EE" w:rsidP="002F72EE">
      <w:pPr>
        <w:ind w:left="360"/>
        <w:rPr>
          <w:u w:val="dotted"/>
        </w:rPr>
      </w:pPr>
      <w:r w:rsidRPr="002F72EE">
        <w:rPr>
          <w:rFonts w:hint="cs"/>
          <w:u w:val="dotted"/>
          <w:rtl/>
        </w:rPr>
        <w:t>ומה הדין ביבם:</w:t>
      </w:r>
    </w:p>
    <w:p w14:paraId="718F904D" w14:textId="2E9A4595" w:rsidR="00120A70" w:rsidRPr="00120A70" w:rsidRDefault="00120A70" w:rsidP="009000E3">
      <w:pPr>
        <w:pStyle w:val="ab"/>
        <w:numPr>
          <w:ilvl w:val="0"/>
          <w:numId w:val="27"/>
        </w:numPr>
        <w:rPr>
          <w:rtl/>
        </w:rPr>
      </w:pPr>
      <w:r w:rsidRPr="002F72EE">
        <w:rPr>
          <w:rFonts w:cs="Arial"/>
          <w:rtl/>
        </w:rPr>
        <w:t xml:space="preserve">רא"ש </w:t>
      </w:r>
      <w:r w:rsidRPr="002F72EE">
        <w:rPr>
          <w:rFonts w:cs="Arial"/>
          <w:sz w:val="16"/>
          <w:szCs w:val="16"/>
          <w:rtl/>
        </w:rPr>
        <w:t>(סי' כב)</w:t>
      </w:r>
      <w:r w:rsidR="002F72EE" w:rsidRPr="002F72EE">
        <w:rPr>
          <w:rFonts w:cs="Arial" w:hint="cs"/>
          <w:rtl/>
        </w:rPr>
        <w:t>-</w:t>
      </w:r>
      <w:r w:rsidRPr="002F72EE">
        <w:rPr>
          <w:rFonts w:cs="Arial"/>
          <w:rtl/>
        </w:rPr>
        <w:t xml:space="preserve"> וכן יבם נמי לא אכיל פירי ואינו חייב בפרקונה</w:t>
      </w:r>
      <w:r w:rsidR="002F72EE" w:rsidRPr="002F72EE">
        <w:rPr>
          <w:rFonts w:cs="Arial" w:hint="cs"/>
          <w:rtl/>
        </w:rPr>
        <w:t>,</w:t>
      </w:r>
      <w:r w:rsidRPr="002F72EE">
        <w:rPr>
          <w:rFonts w:cs="Arial"/>
          <w:rtl/>
        </w:rPr>
        <w:t xml:space="preserve"> ואית ספרים דגרסי שאין היבמים חייבים לפדותה</w:t>
      </w:r>
      <w:r w:rsidR="002F72EE" w:rsidRPr="002F72EE">
        <w:rPr>
          <w:rFonts w:cs="Arial" w:hint="cs"/>
          <w:rtl/>
        </w:rPr>
        <w:t>,</w:t>
      </w:r>
      <w:r w:rsidRPr="002F72EE">
        <w:rPr>
          <w:rFonts w:cs="Arial"/>
          <w:rtl/>
        </w:rPr>
        <w:t xml:space="preserve"> וכן גורס הרי"ף</w:t>
      </w:r>
      <w:r w:rsidR="002F72EE" w:rsidRPr="002F72EE">
        <w:rPr>
          <w:rFonts w:cs="Arial" w:hint="cs"/>
          <w:rtl/>
        </w:rPr>
        <w:t>.</w:t>
      </w:r>
      <w:r w:rsidRPr="002F72EE">
        <w:rPr>
          <w:rFonts w:cs="Arial"/>
          <w:rtl/>
        </w:rPr>
        <w:t xml:space="preserve"> והא דיבם לא אכיל פירות היינו בנכסים שנפלו לה כשהיא שומרת יבם</w:t>
      </w:r>
      <w:r w:rsidR="002F72EE" w:rsidRPr="002F72EE">
        <w:rPr>
          <w:rFonts w:cs="Arial" w:hint="cs"/>
          <w:rtl/>
        </w:rPr>
        <w:t>,</w:t>
      </w:r>
      <w:r w:rsidRPr="002F72EE">
        <w:rPr>
          <w:rFonts w:cs="Arial"/>
          <w:rtl/>
        </w:rPr>
        <w:t xml:space="preserve"> אבל נכסים</w:t>
      </w:r>
      <w:r w:rsidR="002F72EE" w:rsidRPr="002F72EE">
        <w:rPr>
          <w:rFonts w:cs="Arial" w:hint="cs"/>
          <w:rtl/>
        </w:rPr>
        <w:t xml:space="preserve"> </w:t>
      </w:r>
      <w:r w:rsidRPr="002F72EE">
        <w:rPr>
          <w:rFonts w:cs="Arial"/>
          <w:rtl/>
        </w:rPr>
        <w:t xml:space="preserve">שנפלו לה כשהיא תחתיו דבעל </w:t>
      </w:r>
      <w:r w:rsidR="002F72EE" w:rsidRPr="002F72EE">
        <w:rPr>
          <w:rFonts w:cs="Arial" w:hint="cs"/>
          <w:rtl/>
        </w:rPr>
        <w:t xml:space="preserve">- </w:t>
      </w:r>
      <w:r w:rsidRPr="002F72EE">
        <w:rPr>
          <w:rFonts w:cs="Arial"/>
          <w:rtl/>
        </w:rPr>
        <w:t>אכיל יבם פירי לרבא דאמר בר</w:t>
      </w:r>
      <w:r w:rsidR="002F72EE" w:rsidRPr="002F72EE">
        <w:rPr>
          <w:rFonts w:cs="Arial" w:hint="cs"/>
          <w:rtl/>
        </w:rPr>
        <w:t>"</w:t>
      </w:r>
      <w:r w:rsidRPr="002F72EE">
        <w:rPr>
          <w:rFonts w:cs="Arial"/>
          <w:rtl/>
        </w:rPr>
        <w:t>פ הכותב (פג.) דידו עדיפא מידה כדמוכח בפרק החולץ (יבמות לט.)</w:t>
      </w:r>
      <w:r w:rsidR="002F72EE" w:rsidRPr="002F72EE">
        <w:rPr>
          <w:rFonts w:cs="Arial" w:hint="cs"/>
          <w:rtl/>
        </w:rPr>
        <w:t>,</w:t>
      </w:r>
      <w:r w:rsidRPr="002F72EE">
        <w:rPr>
          <w:rFonts w:cs="Arial"/>
          <w:rtl/>
        </w:rPr>
        <w:t xml:space="preserve"> ומיהו לא מחייב בפרקונה כל זמן שלא כנסה דלא קרינא ביה ואותבינך לי לאנתו</w:t>
      </w:r>
      <w:r w:rsidR="00432ED2">
        <w:rPr>
          <w:rStyle w:val="a7"/>
          <w:rFonts w:cs="Arial"/>
          <w:rtl/>
        </w:rPr>
        <w:footnoteReference w:id="622"/>
      </w:r>
      <w:r w:rsidR="002F72EE">
        <w:rPr>
          <w:rFonts w:hint="cs"/>
          <w:rtl/>
        </w:rPr>
        <w:t>.</w:t>
      </w:r>
      <w:r w:rsidR="00432ED2">
        <w:rPr>
          <w:rFonts w:hint="cs"/>
          <w:rtl/>
        </w:rPr>
        <w:t xml:space="preserve"> (וכ"כ ח"מ </w:t>
      </w:r>
      <w:r w:rsidR="00432ED2">
        <w:rPr>
          <w:rFonts w:hint="cs"/>
          <w:sz w:val="16"/>
          <w:szCs w:val="16"/>
          <w:rtl/>
        </w:rPr>
        <w:t xml:space="preserve">[סקי"ב] </w:t>
      </w:r>
      <w:r w:rsidR="00432ED2">
        <w:rPr>
          <w:rFonts w:hint="cs"/>
          <w:rtl/>
        </w:rPr>
        <w:t>וב"ש</w:t>
      </w:r>
      <w:r w:rsidR="00432ED2">
        <w:rPr>
          <w:rFonts w:hint="cs"/>
          <w:sz w:val="16"/>
          <w:szCs w:val="16"/>
          <w:rtl/>
        </w:rPr>
        <w:t xml:space="preserve"> [סקי"א]</w:t>
      </w:r>
      <w:r w:rsidR="00432ED2">
        <w:rPr>
          <w:rFonts w:hint="cs"/>
          <w:rtl/>
        </w:rPr>
        <w:t>)</w:t>
      </w:r>
    </w:p>
    <w:p w14:paraId="6C5E9DAC" w14:textId="77777777" w:rsidR="00393142" w:rsidRDefault="00393142" w:rsidP="00393142">
      <w:pPr>
        <w:rPr>
          <w:rFonts w:cs="Arial"/>
          <w:rtl/>
        </w:rPr>
      </w:pPr>
      <w:r w:rsidRPr="003024E5">
        <w:rPr>
          <w:rFonts w:asciiTheme="minorBidi" w:hAnsiTheme="minorBidi"/>
          <w:b/>
          <w:bCs/>
          <w:color w:val="000000"/>
          <w:sz w:val="28"/>
          <w:szCs w:val="28"/>
          <w:u w:val="single"/>
          <w:rtl/>
        </w:rPr>
        <w:t>שו"ע:</w:t>
      </w:r>
    </w:p>
    <w:p w14:paraId="5690716B" w14:textId="66D7EE5B" w:rsidR="000D2069" w:rsidRPr="000D2069" w:rsidRDefault="000D2069" w:rsidP="000D2069">
      <w:pPr>
        <w:rPr>
          <w:rtl/>
        </w:rPr>
        <w:sectPr w:rsidR="000D2069" w:rsidRPr="000D2069" w:rsidSect="00A347B3">
          <w:headerReference w:type="default" r:id="rId21"/>
          <w:footnotePr>
            <w:numRestart w:val="eachSect"/>
          </w:footnotePr>
          <w:pgSz w:w="11906" w:h="16838"/>
          <w:pgMar w:top="720" w:right="1134" w:bottom="720" w:left="1134" w:header="0" w:footer="0" w:gutter="0"/>
          <w:cols w:space="720"/>
          <w:bidi/>
          <w:rtlGutter/>
          <w:docGrid w:linePitch="360"/>
        </w:sectPr>
      </w:pPr>
      <w:r>
        <w:rPr>
          <w:rFonts w:cs="Arial"/>
          <w:rtl/>
        </w:rPr>
        <w:t>אין חיוב פדיונה עליו אלא בחייו, אבל אלמנותו אינה נפדית מנכסיו</w:t>
      </w:r>
      <w:r w:rsidR="00120A70">
        <w:rPr>
          <w:rFonts w:cs="Arial" w:hint="cs"/>
          <w:rtl/>
        </w:rPr>
        <w:t>,</w:t>
      </w:r>
      <w:r>
        <w:rPr>
          <w:rFonts w:cs="Arial"/>
          <w:rtl/>
        </w:rPr>
        <w:t xml:space="preserve"> אפילו נשבית בחייו ולא הספיק לפדותה עד שמת, אין היורשים חייבין לפדותה</w:t>
      </w:r>
      <w:r w:rsidR="00594C06">
        <w:rPr>
          <w:rStyle w:val="a7"/>
          <w:rFonts w:cs="Arial"/>
          <w:rtl/>
        </w:rPr>
        <w:footnoteReference w:id="623"/>
      </w:r>
      <w:r>
        <w:rPr>
          <w:rFonts w:cs="Arial"/>
          <w:rtl/>
        </w:rPr>
        <w:t>, ואפילו היא זקוקה ליבם, אלא נפדית משל עצמה או תטול כתובתה ותפדה את עצמה.</w:t>
      </w:r>
    </w:p>
    <w:p w14:paraId="5B3E7A36" w14:textId="690B6D97" w:rsidR="000D2069" w:rsidRDefault="00942887" w:rsidP="000D2069">
      <w:pPr>
        <w:pStyle w:val="1"/>
        <w:rPr>
          <w:rtl/>
        </w:rPr>
      </w:pPr>
      <w:r>
        <w:rPr>
          <w:rFonts w:hint="cs"/>
          <w:rtl/>
        </w:rPr>
        <w:lastRenderedPageBreak/>
        <w:t xml:space="preserve">סימן </w:t>
      </w:r>
      <w:r w:rsidR="001E098A">
        <w:rPr>
          <w:rFonts w:hint="cs"/>
          <w:rtl/>
        </w:rPr>
        <w:t>עט</w:t>
      </w:r>
      <w:r>
        <w:rPr>
          <w:rFonts w:hint="cs"/>
          <w:rtl/>
        </w:rPr>
        <w:t>:</w:t>
      </w:r>
      <w:r w:rsidRPr="00C12B74">
        <w:rPr>
          <w:rtl/>
        </w:rPr>
        <w:t xml:space="preserve"> </w:t>
      </w:r>
      <w:r w:rsidR="000D2069">
        <w:rPr>
          <w:rFonts w:cs="Arial"/>
          <w:rtl/>
        </w:rPr>
        <w:t xml:space="preserve">חיוב רפואתה, ובו ג' סעיפים. </w:t>
      </w:r>
    </w:p>
    <w:p w14:paraId="06E342EF" w14:textId="4CE98E3C" w:rsidR="000D2069" w:rsidRDefault="000D2069" w:rsidP="000F64D0">
      <w:pPr>
        <w:pStyle w:val="2"/>
        <w:rPr>
          <w:rtl/>
        </w:rPr>
      </w:pPr>
      <w:r>
        <w:rPr>
          <w:rtl/>
        </w:rPr>
        <w:t>סעיף א</w:t>
      </w:r>
      <w:r w:rsidR="00AF4F10">
        <w:rPr>
          <w:rFonts w:hint="cs"/>
          <w:rtl/>
        </w:rPr>
        <w:t>:</w:t>
      </w:r>
      <w:r w:rsidR="00EC5ABC">
        <w:rPr>
          <w:rFonts w:hint="cs"/>
          <w:rtl/>
        </w:rPr>
        <w:t xml:space="preserve"> חיוב רפואתה.</w:t>
      </w:r>
    </w:p>
    <w:p w14:paraId="0578F5F7" w14:textId="6C112074" w:rsidR="00AF4F10" w:rsidRDefault="00AF4F10" w:rsidP="00AF4F10">
      <w:pPr>
        <w:rPr>
          <w:rtl/>
        </w:rPr>
      </w:pPr>
      <w:r w:rsidRPr="00AB0AB9">
        <w:rPr>
          <w:rFonts w:cs="Arial" w:hint="cs"/>
          <w:b/>
          <w:bCs/>
          <w:rtl/>
        </w:rPr>
        <w:t>כתובות</w:t>
      </w:r>
      <w:r>
        <w:rPr>
          <w:rFonts w:cs="Arial" w:hint="cs"/>
          <w:b/>
          <w:bCs/>
          <w:rtl/>
        </w:rPr>
        <w:t xml:space="preserve"> </w:t>
      </w:r>
      <w:r>
        <w:rPr>
          <w:rFonts w:cs="Arial" w:hint="cs"/>
          <w:b/>
          <w:bCs/>
          <w:sz w:val="16"/>
          <w:szCs w:val="16"/>
          <w:rtl/>
        </w:rPr>
        <w:t>(פ' נערה שנתפתתה)</w:t>
      </w:r>
      <w:r w:rsidRPr="00AB0AB9">
        <w:rPr>
          <w:rFonts w:cs="Arial" w:hint="cs"/>
          <w:b/>
          <w:bCs/>
          <w:rtl/>
        </w:rPr>
        <w:t xml:space="preserve"> </w:t>
      </w:r>
      <w:r>
        <w:rPr>
          <w:rFonts w:cs="Arial" w:hint="cs"/>
          <w:b/>
          <w:bCs/>
          <w:rtl/>
        </w:rPr>
        <w:t>נא</w:t>
      </w:r>
      <w:r w:rsidRPr="00AB0AB9">
        <w:rPr>
          <w:rFonts w:cs="Arial" w:hint="cs"/>
          <w:b/>
          <w:bCs/>
          <w:rtl/>
        </w:rPr>
        <w:t xml:space="preserve"> ע"</w:t>
      </w:r>
      <w:r>
        <w:rPr>
          <w:rFonts w:cs="Arial" w:hint="cs"/>
          <w:b/>
          <w:bCs/>
          <w:rtl/>
        </w:rPr>
        <w:t>א</w:t>
      </w:r>
      <w:r w:rsidRPr="00AB0AB9">
        <w:rPr>
          <w:rFonts w:cs="Arial" w:hint="cs"/>
          <w:b/>
          <w:bCs/>
          <w:rtl/>
        </w:rPr>
        <w:t xml:space="preserve">: </w:t>
      </w:r>
      <w:r w:rsidRPr="00AB0AB9">
        <w:rPr>
          <w:rFonts w:cs="Arial"/>
          <w:u w:val="double"/>
          <w:rtl/>
        </w:rPr>
        <w:t>מתני'</w:t>
      </w:r>
      <w:r>
        <w:rPr>
          <w:rFonts w:cs="Arial" w:hint="cs"/>
          <w:rtl/>
        </w:rPr>
        <w:t>:...</w:t>
      </w:r>
      <w:r w:rsidRPr="00AF4F10">
        <w:rPr>
          <w:rtl/>
        </w:rPr>
        <w:t xml:space="preserve"> </w:t>
      </w:r>
      <w:r w:rsidRPr="00AF4F10">
        <w:rPr>
          <w:rFonts w:cs="Arial"/>
          <w:rtl/>
        </w:rPr>
        <w:t>לקתה - חייב לרפאותה</w:t>
      </w:r>
      <w:r w:rsidR="00E126A9">
        <w:rPr>
          <w:rFonts w:cs="Arial" w:hint="cs"/>
          <w:rtl/>
        </w:rPr>
        <w:t>..</w:t>
      </w:r>
      <w:r w:rsidRPr="00AF4F10">
        <w:rPr>
          <w:rFonts w:cs="Arial"/>
          <w:rtl/>
        </w:rPr>
        <w:t>.</w:t>
      </w:r>
      <w:r w:rsidRPr="00AF4F10">
        <w:rPr>
          <w:rtl/>
        </w:rPr>
        <w:t xml:space="preserve"> </w:t>
      </w:r>
      <w:r>
        <w:rPr>
          <w:rFonts w:cs="Arial" w:hint="cs"/>
          <w:rtl/>
        </w:rPr>
        <w:t xml:space="preserve">     </w:t>
      </w:r>
      <w:r w:rsidRPr="00AF4F10">
        <w:rPr>
          <w:rFonts w:cs="Arial" w:hint="cs"/>
          <w:u w:val="double"/>
          <w:rtl/>
        </w:rPr>
        <w:t>גמ'</w:t>
      </w:r>
      <w:r w:rsidRPr="00AF4F10">
        <w:rPr>
          <w:rFonts w:cs="Arial" w:hint="cs"/>
          <w:sz w:val="14"/>
          <w:szCs w:val="14"/>
          <w:u w:val="double"/>
          <w:rtl/>
        </w:rPr>
        <w:t>(נב:)</w:t>
      </w:r>
      <w:r w:rsidRPr="00AF4F10">
        <w:rPr>
          <w:rFonts w:cs="Arial" w:hint="cs"/>
          <w:u w:val="double"/>
          <w:rtl/>
        </w:rPr>
        <w:t>:</w:t>
      </w:r>
      <w:r>
        <w:rPr>
          <w:rFonts w:cs="Arial" w:hint="cs"/>
          <w:rtl/>
        </w:rPr>
        <w:t xml:space="preserve"> </w:t>
      </w:r>
      <w:r w:rsidRPr="00AF4F10">
        <w:rPr>
          <w:rFonts w:cs="Arial"/>
          <w:rtl/>
        </w:rPr>
        <w:t>לקתה - חייב לרפאותה. תנו רבנן: אלמנה ניזונת מנכסי יתומין, וצריכה רפואה - הרי היא כמזונות</w:t>
      </w:r>
      <w:r w:rsidR="00FB5C17">
        <w:rPr>
          <w:rStyle w:val="a7"/>
          <w:rFonts w:cs="Arial"/>
          <w:rtl/>
        </w:rPr>
        <w:footnoteReference w:id="624"/>
      </w:r>
      <w:r w:rsidR="00FB5C17">
        <w:rPr>
          <w:rFonts w:cs="Arial" w:hint="cs"/>
          <w:rtl/>
        </w:rPr>
        <w:t>.</w:t>
      </w:r>
      <w:r w:rsidRPr="00AF4F10">
        <w:rPr>
          <w:rFonts w:cs="Arial"/>
          <w:rtl/>
        </w:rPr>
        <w:t xml:space="preserve"> </w:t>
      </w:r>
      <w:r w:rsidRPr="00FB5C17">
        <w:rPr>
          <w:rFonts w:cs="Arial"/>
          <w:u w:val="single"/>
          <w:rtl/>
        </w:rPr>
        <w:t>רבן שמעון בן גמליאל אומר</w:t>
      </w:r>
      <w:r w:rsidRPr="00AF4F10">
        <w:rPr>
          <w:rFonts w:cs="Arial"/>
          <w:rtl/>
        </w:rPr>
        <w:t>: רפואה שיש לה קצבה - נתרפאת מכתובתה</w:t>
      </w:r>
      <w:r w:rsidR="00293DC3">
        <w:rPr>
          <w:rStyle w:val="a7"/>
          <w:rFonts w:cs="Arial"/>
          <w:rtl/>
        </w:rPr>
        <w:footnoteReference w:id="625"/>
      </w:r>
      <w:r w:rsidRPr="00AF4F10">
        <w:rPr>
          <w:rFonts w:cs="Arial"/>
          <w:rtl/>
        </w:rPr>
        <w:t xml:space="preserve">, שאין לה קצבה - הרי היא כמזונות. </w:t>
      </w:r>
      <w:r w:rsidRPr="009F1A3C">
        <w:rPr>
          <w:rFonts w:cs="Arial"/>
          <w:u w:val="single"/>
          <w:rtl/>
        </w:rPr>
        <w:t>אמר רבי יוחנן</w:t>
      </w:r>
      <w:r w:rsidRPr="00AF4F10">
        <w:rPr>
          <w:rFonts w:cs="Arial"/>
          <w:rtl/>
        </w:rPr>
        <w:t>: עשו הקזת דם בארץ ישראל כרפואה שאין לה קצבה. קריביה דרבי יוחנן הוה להו איתת אבא דהות צריכה רפואה כל יומא, אתו לקמיה דר' יוחנן, אמר להו: איזילו קוצו ליה מידי לרופא</w:t>
      </w:r>
      <w:r w:rsidR="00293DC3">
        <w:rPr>
          <w:rStyle w:val="a7"/>
          <w:rFonts w:cs="Arial"/>
          <w:rtl/>
        </w:rPr>
        <w:footnoteReference w:id="626"/>
      </w:r>
      <w:r w:rsidRPr="00AF4F10">
        <w:rPr>
          <w:rFonts w:cs="Arial"/>
          <w:rtl/>
        </w:rPr>
        <w:t>. אמר רבי יוחנן: עשינו עצמינו כעורכי הדיינין</w:t>
      </w:r>
      <w:r w:rsidR="00293DC3">
        <w:rPr>
          <w:rStyle w:val="a7"/>
          <w:rFonts w:cs="Arial"/>
          <w:rtl/>
        </w:rPr>
        <w:footnoteReference w:id="627"/>
      </w:r>
      <w:r w:rsidRPr="00AF4F10">
        <w:rPr>
          <w:rFonts w:cs="Arial"/>
          <w:rtl/>
        </w:rPr>
        <w:t>. מעיקרא מאי סבר, ולבסוף מאי סבר? מעיקרא סבר: ומבשרך לא תתעלם, ולבסוף סבר: אדם חשוב שאני.</w:t>
      </w:r>
      <w:r w:rsidR="00F81064" w:rsidRPr="00F81064">
        <w:rPr>
          <w:rFonts w:cs="Arial" w:hint="cs"/>
          <w:sz w:val="16"/>
          <w:szCs w:val="16"/>
          <w:rtl/>
        </w:rPr>
        <w:t xml:space="preserve"> (</w:t>
      </w:r>
      <w:r w:rsidR="00F81064" w:rsidRPr="00F81064">
        <w:rPr>
          <w:rFonts w:cs="Arial"/>
          <w:sz w:val="16"/>
          <w:szCs w:val="16"/>
          <w:rtl/>
        </w:rPr>
        <w:t>וכתב הרא"ש (סי' כג) עשו הקזת דם בארץ ישראל וכו' לפי שבארץ ישראל היו רגילים להקיז דם תדיר ואין להם קצבה הוא כמזונות</w:t>
      </w:r>
      <w:r w:rsidR="005E4134">
        <w:rPr>
          <w:rFonts w:cs="Arial" w:hint="cs"/>
          <w:sz w:val="16"/>
          <w:szCs w:val="16"/>
          <w:rtl/>
        </w:rPr>
        <w:t>,</w:t>
      </w:r>
      <w:r w:rsidR="00F81064" w:rsidRPr="00F81064">
        <w:rPr>
          <w:rFonts w:cs="Arial"/>
          <w:sz w:val="16"/>
          <w:szCs w:val="16"/>
          <w:rtl/>
        </w:rPr>
        <w:t xml:space="preserve"> אבל רפואה שיש לה קצבה דמיא לפרקונה דאתו בבת אחת וכי היכי דאין היורשין חייבין בפרקונה הכי נמי לא מחייבי בה</w:t>
      </w:r>
      <w:r w:rsidR="005E4134">
        <w:rPr>
          <w:rFonts w:cs="Arial" w:hint="cs"/>
          <w:sz w:val="16"/>
          <w:szCs w:val="16"/>
          <w:rtl/>
        </w:rPr>
        <w:t>,</w:t>
      </w:r>
      <w:r w:rsidR="00F81064" w:rsidRPr="00F81064">
        <w:rPr>
          <w:rFonts w:cs="Arial"/>
          <w:sz w:val="16"/>
          <w:szCs w:val="16"/>
          <w:rtl/>
        </w:rPr>
        <w:t xml:space="preserve"> ופסקו הפוסקים הלכה כרשב"ג. וכתב הר"ן (יט. ד"ה גמ' רוצה) דטעמא משום דרבי יוחנן קאי כוותיה</w:t>
      </w:r>
      <w:r w:rsidR="00F81064">
        <w:rPr>
          <w:rFonts w:cs="Arial" w:hint="cs"/>
          <w:sz w:val="16"/>
          <w:szCs w:val="16"/>
          <w:rtl/>
        </w:rPr>
        <w:t>, ב"י)</w:t>
      </w:r>
    </w:p>
    <w:p w14:paraId="024C1D59" w14:textId="245745D8" w:rsidR="003319C5" w:rsidRDefault="003319C5" w:rsidP="00AF4F10">
      <w:pPr>
        <w:rPr>
          <w:rtl/>
        </w:rPr>
      </w:pPr>
      <w:r w:rsidRPr="003319C5">
        <w:rPr>
          <w:rFonts w:cs="Arial"/>
          <w:b/>
          <w:bCs/>
          <w:rtl/>
        </w:rPr>
        <w:t>ירושלמי בבא בתרא פ</w:t>
      </w:r>
      <w:r w:rsidRPr="003319C5">
        <w:rPr>
          <w:rFonts w:cs="Arial" w:hint="cs"/>
          <w:b/>
          <w:bCs/>
          <w:rtl/>
        </w:rPr>
        <w:t xml:space="preserve">"ט ה"ד: </w:t>
      </w:r>
      <w:r w:rsidRPr="003319C5">
        <w:rPr>
          <w:rFonts w:cs="Arial"/>
          <w:rtl/>
        </w:rPr>
        <w:t>תני</w:t>
      </w:r>
      <w:r>
        <w:rPr>
          <w:rFonts w:cs="Arial" w:hint="cs"/>
          <w:rtl/>
        </w:rPr>
        <w:t>,</w:t>
      </w:r>
      <w:r w:rsidRPr="003319C5">
        <w:rPr>
          <w:rFonts w:cs="Arial"/>
          <w:rtl/>
        </w:rPr>
        <w:t xml:space="preserve"> </w:t>
      </w:r>
      <w:r w:rsidRPr="003319C5">
        <w:rPr>
          <w:rFonts w:cs="Arial"/>
          <w:u w:val="single"/>
          <w:rtl/>
        </w:rPr>
        <w:t>רשב"ג אומר</w:t>
      </w:r>
      <w:r>
        <w:rPr>
          <w:rFonts w:cs="Arial" w:hint="cs"/>
          <w:rtl/>
        </w:rPr>
        <w:t>:</w:t>
      </w:r>
      <w:r w:rsidRPr="003319C5">
        <w:rPr>
          <w:rFonts w:cs="Arial"/>
          <w:rtl/>
        </w:rPr>
        <w:t xml:space="preserve"> כל מכה שיש לה קיצה</w:t>
      </w:r>
      <w:r>
        <w:rPr>
          <w:rStyle w:val="a7"/>
          <w:rFonts w:cs="Arial"/>
          <w:rtl/>
        </w:rPr>
        <w:footnoteReference w:id="628"/>
      </w:r>
      <w:r w:rsidRPr="003319C5">
        <w:rPr>
          <w:rFonts w:cs="Arial"/>
          <w:rtl/>
        </w:rPr>
        <w:t xml:space="preserve"> </w:t>
      </w:r>
      <w:r>
        <w:rPr>
          <w:rFonts w:cs="Arial" w:hint="cs"/>
          <w:rtl/>
        </w:rPr>
        <w:t xml:space="preserve">- </w:t>
      </w:r>
      <w:r w:rsidRPr="003319C5">
        <w:rPr>
          <w:rFonts w:cs="Arial"/>
          <w:rtl/>
        </w:rPr>
        <w:t>מתרפא מכתובתה</w:t>
      </w:r>
      <w:r>
        <w:rPr>
          <w:rFonts w:cs="Arial" w:hint="cs"/>
          <w:rtl/>
        </w:rPr>
        <w:t>.</w:t>
      </w:r>
      <w:r w:rsidRPr="003319C5">
        <w:rPr>
          <w:rFonts w:cs="Arial"/>
          <w:rtl/>
        </w:rPr>
        <w:t xml:space="preserve"> שאין לה קיצה </w:t>
      </w:r>
      <w:r>
        <w:rPr>
          <w:rFonts w:cs="Arial" w:hint="cs"/>
          <w:rtl/>
        </w:rPr>
        <w:t xml:space="preserve">- </w:t>
      </w:r>
      <w:r w:rsidRPr="003319C5">
        <w:rPr>
          <w:rFonts w:cs="Arial"/>
          <w:rtl/>
        </w:rPr>
        <w:t>מתרפא מן הנכסים. כהדא קריבתיה דר' שמעון בר ווא</w:t>
      </w:r>
      <w:r>
        <w:rPr>
          <w:rFonts w:cs="Arial" w:hint="cs"/>
          <w:rtl/>
        </w:rPr>
        <w:t>,</w:t>
      </w:r>
      <w:r w:rsidRPr="003319C5">
        <w:rPr>
          <w:rFonts w:cs="Arial"/>
          <w:rtl/>
        </w:rPr>
        <w:t xml:space="preserve"> הוות חששה עיינה</w:t>
      </w:r>
      <w:r>
        <w:rPr>
          <w:rStyle w:val="a7"/>
          <w:rFonts w:cs="Arial"/>
          <w:rtl/>
        </w:rPr>
        <w:footnoteReference w:id="629"/>
      </w:r>
      <w:r>
        <w:rPr>
          <w:rFonts w:cs="Arial" w:hint="cs"/>
          <w:rtl/>
        </w:rPr>
        <w:t>,</w:t>
      </w:r>
      <w:r w:rsidRPr="003319C5">
        <w:rPr>
          <w:rFonts w:cs="Arial"/>
          <w:rtl/>
        </w:rPr>
        <w:t xml:space="preserve"> אתת גבי ר' יוחנן</w:t>
      </w:r>
      <w:r>
        <w:rPr>
          <w:rFonts w:cs="Arial" w:hint="cs"/>
          <w:rtl/>
        </w:rPr>
        <w:t>,</w:t>
      </w:r>
      <w:r w:rsidRPr="003319C5">
        <w:rPr>
          <w:rFonts w:cs="Arial"/>
          <w:rtl/>
        </w:rPr>
        <w:t xml:space="preserve"> </w:t>
      </w:r>
      <w:r w:rsidRPr="003319C5">
        <w:rPr>
          <w:rFonts w:cs="Arial"/>
          <w:u w:val="single"/>
          <w:rtl/>
        </w:rPr>
        <w:t>אמר לה</w:t>
      </w:r>
      <w:r>
        <w:rPr>
          <w:rFonts w:cs="Arial" w:hint="cs"/>
          <w:rtl/>
        </w:rPr>
        <w:t>:</w:t>
      </w:r>
      <w:r w:rsidRPr="003319C5">
        <w:rPr>
          <w:rFonts w:cs="Arial"/>
          <w:rtl/>
        </w:rPr>
        <w:t xml:space="preserve"> קציץ הוא אהין אסייך</w:t>
      </w:r>
      <w:r>
        <w:rPr>
          <w:rFonts w:cs="Arial" w:hint="cs"/>
          <w:rtl/>
        </w:rPr>
        <w:t>,</w:t>
      </w:r>
      <w:r w:rsidRPr="003319C5">
        <w:rPr>
          <w:rFonts w:cs="Arial"/>
          <w:rtl/>
        </w:rPr>
        <w:t xml:space="preserve"> אין קציץ</w:t>
      </w:r>
      <w:r>
        <w:rPr>
          <w:rStyle w:val="a7"/>
          <w:rFonts w:cs="Arial"/>
          <w:rtl/>
        </w:rPr>
        <w:footnoteReference w:id="630"/>
      </w:r>
      <w:r w:rsidRPr="003319C5">
        <w:rPr>
          <w:rFonts w:cs="Arial"/>
          <w:rtl/>
        </w:rPr>
        <w:t xml:space="preserve"> </w:t>
      </w:r>
      <w:r>
        <w:rPr>
          <w:rFonts w:cs="Arial" w:hint="cs"/>
          <w:rtl/>
        </w:rPr>
        <w:t xml:space="preserve">- </w:t>
      </w:r>
      <w:r w:rsidRPr="003319C5">
        <w:rPr>
          <w:rFonts w:cs="Arial"/>
          <w:rtl/>
        </w:rPr>
        <w:t>מן פרניך</w:t>
      </w:r>
      <w:r>
        <w:rPr>
          <w:rStyle w:val="a7"/>
          <w:rFonts w:cs="Arial"/>
          <w:rtl/>
        </w:rPr>
        <w:footnoteReference w:id="631"/>
      </w:r>
      <w:r w:rsidRPr="003319C5">
        <w:rPr>
          <w:rFonts w:cs="Arial"/>
          <w:rtl/>
        </w:rPr>
        <w:t xml:space="preserve">. אין לא קציץ </w:t>
      </w:r>
      <w:r>
        <w:rPr>
          <w:rFonts w:cs="Arial" w:hint="cs"/>
          <w:rtl/>
        </w:rPr>
        <w:t xml:space="preserve">- </w:t>
      </w:r>
      <w:r w:rsidRPr="003319C5">
        <w:rPr>
          <w:rFonts w:cs="Arial"/>
          <w:rtl/>
        </w:rPr>
        <w:t>בעליך יהיב ליך.</w:t>
      </w:r>
    </w:p>
    <w:p w14:paraId="61984FE6" w14:textId="2AE3757E" w:rsidR="00AF4F10" w:rsidRPr="00AF4F10" w:rsidRDefault="00AF4F10" w:rsidP="00AF4F10">
      <w:pPr>
        <w:rPr>
          <w:u w:val="single"/>
          <w:rtl/>
        </w:rPr>
      </w:pPr>
      <w:r w:rsidRPr="00AF4F10">
        <w:rPr>
          <w:rFonts w:hint="cs"/>
          <w:u w:val="single"/>
          <w:rtl/>
        </w:rPr>
        <w:t>חיוב רפואתה</w:t>
      </w:r>
      <w:r>
        <w:rPr>
          <w:rFonts w:hint="cs"/>
          <w:u w:val="single"/>
          <w:rtl/>
        </w:rPr>
        <w:t xml:space="preserve"> -</w:t>
      </w:r>
      <w:r w:rsidRPr="00AF4F10">
        <w:rPr>
          <w:rFonts w:hint="cs"/>
          <w:u w:val="single"/>
          <w:rtl/>
        </w:rPr>
        <w:t xml:space="preserve"> כיצד:</w:t>
      </w:r>
    </w:p>
    <w:p w14:paraId="1DD1D99D" w14:textId="23FAEE5C" w:rsidR="00AF4F10" w:rsidRPr="00AF4F10" w:rsidRDefault="00F81064" w:rsidP="009000E3">
      <w:pPr>
        <w:pStyle w:val="ab"/>
        <w:numPr>
          <w:ilvl w:val="0"/>
          <w:numId w:val="27"/>
        </w:numPr>
      </w:pPr>
      <w:r>
        <w:rPr>
          <w:rFonts w:cs="Arial" w:hint="cs"/>
          <w:rtl/>
        </w:rPr>
        <w:t xml:space="preserve">רמב"ם </w:t>
      </w:r>
      <w:r>
        <w:rPr>
          <w:rFonts w:cs="Arial" w:hint="cs"/>
          <w:sz w:val="16"/>
          <w:szCs w:val="16"/>
          <w:rtl/>
        </w:rPr>
        <w:t xml:space="preserve">(פי"ח ה"ה) </w:t>
      </w:r>
      <w:r w:rsidR="00AF4F10">
        <w:rPr>
          <w:rFonts w:cs="Arial" w:hint="cs"/>
          <w:rtl/>
        </w:rPr>
        <w:t xml:space="preserve">רא"ש </w:t>
      </w:r>
      <w:r w:rsidRPr="00F81064">
        <w:rPr>
          <w:rFonts w:cs="Arial"/>
          <w:sz w:val="16"/>
          <w:szCs w:val="16"/>
          <w:rtl/>
        </w:rPr>
        <w:t xml:space="preserve">(סי' כג) </w:t>
      </w:r>
      <w:r w:rsidR="00C65959" w:rsidRPr="00C65959">
        <w:rPr>
          <w:rFonts w:cs="Arial" w:hint="cs"/>
          <w:rtl/>
        </w:rPr>
        <w:t>טור</w:t>
      </w:r>
      <w:r w:rsidRPr="00F81064">
        <w:rPr>
          <w:rFonts w:cs="Arial"/>
          <w:rtl/>
        </w:rPr>
        <w:t xml:space="preserve"> </w:t>
      </w:r>
      <w:r>
        <w:rPr>
          <w:rFonts w:cs="Arial" w:hint="cs"/>
          <w:rtl/>
        </w:rPr>
        <w:t>ו</w:t>
      </w:r>
      <w:r>
        <w:rPr>
          <w:rFonts w:cs="Arial"/>
          <w:rtl/>
        </w:rPr>
        <w:t xml:space="preserve">ר"ן </w:t>
      </w:r>
      <w:r w:rsidRPr="00F81064">
        <w:rPr>
          <w:rFonts w:cs="Arial"/>
          <w:sz w:val="16"/>
          <w:szCs w:val="16"/>
          <w:rtl/>
        </w:rPr>
        <w:t>(יט. ד"ה גמ' רוצה)</w:t>
      </w:r>
      <w:r w:rsidR="00C65959" w:rsidRPr="00C65959">
        <w:rPr>
          <w:rFonts w:cs="Arial" w:hint="cs"/>
          <w:rtl/>
        </w:rPr>
        <w:t xml:space="preserve">- </w:t>
      </w:r>
      <w:r w:rsidR="00C65959" w:rsidRPr="00C65959">
        <w:rPr>
          <w:rFonts w:cs="Arial"/>
          <w:rtl/>
        </w:rPr>
        <w:t>רפואתה כיצד</w:t>
      </w:r>
      <w:r w:rsidR="00AF4F10">
        <w:rPr>
          <w:rFonts w:cs="Arial" w:hint="cs"/>
          <w:rtl/>
        </w:rPr>
        <w:t>,</w:t>
      </w:r>
      <w:r w:rsidR="00C65959" w:rsidRPr="00C65959">
        <w:rPr>
          <w:rFonts w:cs="Arial"/>
          <w:rtl/>
        </w:rPr>
        <w:t xml:space="preserve"> לקתה </w:t>
      </w:r>
      <w:r w:rsidR="00AF4F10">
        <w:rPr>
          <w:rFonts w:cs="Arial" w:hint="cs"/>
          <w:rtl/>
        </w:rPr>
        <w:t xml:space="preserve">- </w:t>
      </w:r>
      <w:r w:rsidR="00C65959" w:rsidRPr="00C65959">
        <w:rPr>
          <w:rFonts w:cs="Arial"/>
          <w:rtl/>
        </w:rPr>
        <w:t>חייב לרפאותה</w:t>
      </w:r>
      <w:r w:rsidR="00AF4F10">
        <w:rPr>
          <w:rFonts w:cs="Arial" w:hint="cs"/>
          <w:rtl/>
        </w:rPr>
        <w:t>,</w:t>
      </w:r>
      <w:r w:rsidR="00C65959" w:rsidRPr="00C65959">
        <w:rPr>
          <w:rFonts w:cs="Arial"/>
          <w:rtl/>
        </w:rPr>
        <w:t xml:space="preserve"> בין רפואה שיש לה קצבה בין רפואה שאין לה קצבה</w:t>
      </w:r>
      <w:r w:rsidR="00AF4F10">
        <w:rPr>
          <w:rFonts w:cs="Arial" w:hint="cs"/>
          <w:rtl/>
        </w:rPr>
        <w:t>.</w:t>
      </w:r>
      <w:r w:rsidR="00C65959" w:rsidRPr="00C65959">
        <w:rPr>
          <w:rFonts w:cs="Arial"/>
          <w:rtl/>
        </w:rPr>
        <w:t xml:space="preserve"> </w:t>
      </w:r>
      <w:r w:rsidR="00C65959" w:rsidRPr="00AF4F10">
        <w:rPr>
          <w:rFonts w:cs="Arial"/>
          <w:rtl/>
        </w:rPr>
        <w:t>אבל אלמנתו אינה מתרפאת מנכסיו אלא ברפואה שאין לה קצבה</w:t>
      </w:r>
      <w:r w:rsidR="00AF4F10" w:rsidRPr="00AF4F10">
        <w:rPr>
          <w:rFonts w:cs="Arial" w:hint="cs"/>
          <w:rtl/>
        </w:rPr>
        <w:t>,</w:t>
      </w:r>
      <w:r w:rsidR="00C65959" w:rsidRPr="00AF4F10">
        <w:rPr>
          <w:rFonts w:cs="Arial"/>
          <w:rtl/>
        </w:rPr>
        <w:t xml:space="preserve"> שדומה למזונות</w:t>
      </w:r>
      <w:r w:rsidR="00AF4F10" w:rsidRPr="00AF4F10">
        <w:rPr>
          <w:rFonts w:cs="Arial" w:hint="cs"/>
          <w:rtl/>
        </w:rPr>
        <w:t>,</w:t>
      </w:r>
      <w:r w:rsidR="00C65959" w:rsidRPr="00AF4F10">
        <w:rPr>
          <w:rFonts w:cs="Arial"/>
          <w:rtl/>
        </w:rPr>
        <w:t xml:space="preserve"> אבל אם יש לה קצבה דומה לפדיונה ואין חייבין בה</w:t>
      </w:r>
      <w:r>
        <w:rPr>
          <w:rStyle w:val="a7"/>
          <w:rFonts w:cs="Arial"/>
          <w:rtl/>
        </w:rPr>
        <w:footnoteReference w:id="632"/>
      </w:r>
      <w:r w:rsidR="00C65959" w:rsidRPr="00AF4F10">
        <w:rPr>
          <w:rFonts w:cs="Arial"/>
          <w:rtl/>
        </w:rPr>
        <w:t xml:space="preserve"> כמו שאין חייבין בפדיונה</w:t>
      </w:r>
      <w:r w:rsidR="00AF4F10">
        <w:rPr>
          <w:rFonts w:cs="Arial" w:hint="cs"/>
          <w:sz w:val="16"/>
          <w:szCs w:val="16"/>
          <w:rtl/>
        </w:rPr>
        <w:t xml:space="preserve"> (ל' הטור)</w:t>
      </w:r>
      <w:r w:rsidR="00AF4F10" w:rsidRPr="00AF4F10">
        <w:rPr>
          <w:rFonts w:cs="Arial" w:hint="cs"/>
          <w:rtl/>
        </w:rPr>
        <w:t>.</w:t>
      </w:r>
      <w:r w:rsidR="00C65959" w:rsidRPr="00AF4F10">
        <w:rPr>
          <w:rFonts w:cs="Arial"/>
          <w:rtl/>
        </w:rPr>
        <w:t xml:space="preserve"> </w:t>
      </w:r>
      <w:r w:rsidR="00EC5ABC" w:rsidRPr="00EC5ABC">
        <w:rPr>
          <w:rFonts w:hint="cs"/>
          <w:color w:val="E36C0A" w:themeColor="accent6" w:themeShade="BF"/>
          <w:rtl/>
        </w:rPr>
        <w:t>(וכ"פ בשו"ע)</w:t>
      </w:r>
    </w:p>
    <w:p w14:paraId="7D22815A" w14:textId="42881EFD" w:rsidR="00F81064" w:rsidRPr="00F81064" w:rsidRDefault="00C65959" w:rsidP="009000E3">
      <w:pPr>
        <w:pStyle w:val="ab"/>
        <w:numPr>
          <w:ilvl w:val="0"/>
          <w:numId w:val="27"/>
        </w:numPr>
        <w:rPr>
          <w:rtl/>
        </w:rPr>
      </w:pPr>
      <w:r w:rsidRPr="00C65959">
        <w:rPr>
          <w:rFonts w:cs="Arial"/>
          <w:rtl/>
        </w:rPr>
        <w:t>בהעי</w:t>
      </w:r>
      <w:r w:rsidR="00AF4F10">
        <w:rPr>
          <w:rFonts w:cs="Arial" w:hint="cs"/>
          <w:rtl/>
        </w:rPr>
        <w:t>"</w:t>
      </w:r>
      <w:r w:rsidRPr="00C65959">
        <w:rPr>
          <w:rFonts w:cs="Arial"/>
          <w:rtl/>
        </w:rPr>
        <w:t>ט</w:t>
      </w:r>
      <w:r w:rsidR="00F81064">
        <w:rPr>
          <w:rFonts w:cs="Arial" w:hint="cs"/>
          <w:rtl/>
        </w:rPr>
        <w:t xml:space="preserve"> </w:t>
      </w:r>
      <w:r w:rsidR="00F81064" w:rsidRPr="00F81064">
        <w:rPr>
          <w:rFonts w:cs="Arial"/>
          <w:sz w:val="16"/>
          <w:szCs w:val="16"/>
          <w:rtl/>
        </w:rPr>
        <w:t>(אות כ כתובות לז ע"ב ח"א)</w:t>
      </w:r>
      <w:r w:rsidR="00AF4F10">
        <w:rPr>
          <w:rFonts w:cs="Arial" w:hint="cs"/>
          <w:rtl/>
        </w:rPr>
        <w:t xml:space="preserve">- </w:t>
      </w:r>
      <w:r w:rsidR="003319C5" w:rsidRPr="003319C5">
        <w:rPr>
          <w:rFonts w:cs="Arial"/>
          <w:rtl/>
        </w:rPr>
        <w:t>רשב"ג אמר רפואה שיש לה קצבה נתרפאת מכתובתה ושאין לה קצבה הרי כמזונות. והילכתא כותיה</w:t>
      </w:r>
      <w:r w:rsidR="003319C5">
        <w:rPr>
          <w:rFonts w:cs="Arial" w:hint="cs"/>
          <w:rtl/>
        </w:rPr>
        <w:t>,</w:t>
      </w:r>
      <w:r w:rsidR="003319C5" w:rsidRPr="003319C5">
        <w:rPr>
          <w:rFonts w:cs="Arial"/>
          <w:rtl/>
        </w:rPr>
        <w:t xml:space="preserve"> ו</w:t>
      </w:r>
      <w:r w:rsidR="003319C5">
        <w:rPr>
          <w:rFonts w:cs="Arial" w:hint="cs"/>
          <w:rtl/>
        </w:rPr>
        <w:t>מ</w:t>
      </w:r>
      <w:r w:rsidR="00293DC3" w:rsidRPr="00293DC3">
        <w:rPr>
          <w:rFonts w:cs="Arial"/>
          <w:rtl/>
        </w:rPr>
        <w:t>סתברא הוא הדין בחיי בעלה מדגרסי' בירושלמי בפרק מי שמת קריבתיה דר' שמי בר אבא חששה עיניה</w:t>
      </w:r>
      <w:r w:rsidR="003319C5">
        <w:rPr>
          <w:rFonts w:cs="Arial" w:hint="cs"/>
          <w:rtl/>
        </w:rPr>
        <w:t xml:space="preserve"> וכו'</w:t>
      </w:r>
      <w:r w:rsidR="00AF4F10">
        <w:rPr>
          <w:rFonts w:cs="Arial" w:hint="cs"/>
          <w:rtl/>
        </w:rPr>
        <w:t>.</w:t>
      </w:r>
      <w:r w:rsidRPr="00C65959">
        <w:rPr>
          <w:rFonts w:cs="Arial"/>
          <w:rtl/>
        </w:rPr>
        <w:t xml:space="preserve"> </w:t>
      </w:r>
    </w:p>
    <w:p w14:paraId="4D309579" w14:textId="77777777" w:rsidR="00C65959" w:rsidRDefault="00C65959" w:rsidP="00C65959">
      <w:pPr>
        <w:rPr>
          <w:rFonts w:cs="Arial"/>
          <w:rtl/>
        </w:rPr>
      </w:pPr>
      <w:r w:rsidRPr="003024E5">
        <w:rPr>
          <w:rFonts w:asciiTheme="minorBidi" w:hAnsiTheme="minorBidi"/>
          <w:b/>
          <w:bCs/>
          <w:color w:val="000000"/>
          <w:sz w:val="28"/>
          <w:szCs w:val="28"/>
          <w:u w:val="single"/>
          <w:rtl/>
        </w:rPr>
        <w:t>שו"ע:</w:t>
      </w:r>
    </w:p>
    <w:p w14:paraId="578B9214" w14:textId="0947ED35" w:rsidR="000D2069" w:rsidRDefault="000D2069" w:rsidP="000D2069">
      <w:pPr>
        <w:rPr>
          <w:rtl/>
        </w:rPr>
      </w:pPr>
      <w:r>
        <w:rPr>
          <w:rFonts w:cs="Arial"/>
          <w:rtl/>
        </w:rPr>
        <w:t>רפואתה כיצד, לקתה, חייב לרפאותה</w:t>
      </w:r>
      <w:r w:rsidR="00606810">
        <w:rPr>
          <w:rStyle w:val="a7"/>
          <w:rFonts w:cs="Arial"/>
          <w:rtl/>
        </w:rPr>
        <w:footnoteReference w:id="633"/>
      </w:r>
      <w:r>
        <w:rPr>
          <w:rFonts w:cs="Arial"/>
          <w:rtl/>
        </w:rPr>
        <w:t>, בין רפואה שיש לה קצבה</w:t>
      </w:r>
      <w:r w:rsidR="00BC316A">
        <w:rPr>
          <w:rStyle w:val="a7"/>
          <w:rFonts w:cs="Arial"/>
          <w:rtl/>
        </w:rPr>
        <w:footnoteReference w:id="634"/>
      </w:r>
      <w:r>
        <w:rPr>
          <w:rFonts w:cs="Arial"/>
          <w:rtl/>
        </w:rPr>
        <w:t xml:space="preserve"> בין רפואה שאין לה קצבה</w:t>
      </w:r>
      <w:r w:rsidR="000B20B3">
        <w:rPr>
          <w:rFonts w:cs="Arial" w:hint="cs"/>
          <w:rtl/>
        </w:rPr>
        <w:t>.</w:t>
      </w:r>
      <w:r>
        <w:rPr>
          <w:rFonts w:cs="Arial"/>
          <w:rtl/>
        </w:rPr>
        <w:t xml:space="preserve"> אבל אלמנתו אינה מתרפאת מנכסיו, אלא ברפואה שאין לה קצבה</w:t>
      </w:r>
      <w:r w:rsidR="00606810">
        <w:rPr>
          <w:rStyle w:val="a7"/>
          <w:rFonts w:cs="Arial"/>
          <w:rtl/>
        </w:rPr>
        <w:footnoteReference w:id="635"/>
      </w:r>
      <w:r>
        <w:rPr>
          <w:rFonts w:cs="Arial"/>
          <w:rtl/>
        </w:rPr>
        <w:t>, שהיא דומה למזונות</w:t>
      </w:r>
      <w:r w:rsidR="00BC316A">
        <w:rPr>
          <w:rStyle w:val="a7"/>
          <w:rFonts w:cs="Arial"/>
          <w:rtl/>
        </w:rPr>
        <w:footnoteReference w:id="636"/>
      </w:r>
      <w:r>
        <w:rPr>
          <w:rFonts w:cs="Arial"/>
          <w:rtl/>
        </w:rPr>
        <w:t xml:space="preserve">. </w:t>
      </w:r>
    </w:p>
    <w:p w14:paraId="011D672B" w14:textId="77777777" w:rsidR="00F81064" w:rsidRPr="00F81064" w:rsidRDefault="00F81064" w:rsidP="000D2069">
      <w:pPr>
        <w:rPr>
          <w:u w:val="single"/>
          <w:rtl/>
        </w:rPr>
      </w:pPr>
      <w:r w:rsidRPr="00F81064">
        <w:rPr>
          <w:rFonts w:hint="cs"/>
          <w:u w:val="single"/>
          <w:rtl/>
        </w:rPr>
        <w:lastRenderedPageBreak/>
        <w:t xml:space="preserve">אשה שחלתה מחמת פשיעתה: </w:t>
      </w:r>
    </w:p>
    <w:p w14:paraId="484B7C7A" w14:textId="76201CF0" w:rsidR="00F71203" w:rsidRPr="00F71203" w:rsidRDefault="00F71203" w:rsidP="009000E3">
      <w:pPr>
        <w:pStyle w:val="ab"/>
        <w:numPr>
          <w:ilvl w:val="0"/>
          <w:numId w:val="34"/>
        </w:numPr>
      </w:pPr>
      <w:r>
        <w:rPr>
          <w:rFonts w:hint="cs"/>
          <w:rtl/>
        </w:rPr>
        <w:t xml:space="preserve">ריטב"א </w:t>
      </w:r>
      <w:r w:rsidRPr="00F71203">
        <w:rPr>
          <w:rFonts w:hint="cs"/>
          <w:sz w:val="16"/>
          <w:szCs w:val="16"/>
          <w:rtl/>
        </w:rPr>
        <w:t>(כתובות נא. ד"ה לקתה</w:t>
      </w:r>
      <w:r w:rsidR="004C3A87">
        <w:rPr>
          <w:rFonts w:hint="cs"/>
          <w:sz w:val="16"/>
          <w:szCs w:val="16"/>
          <w:rtl/>
        </w:rPr>
        <w:t>, וכ"כ בשטמ"ק</w:t>
      </w:r>
      <w:r w:rsidR="00EC5ABC">
        <w:rPr>
          <w:rFonts w:hint="cs"/>
          <w:sz w:val="16"/>
          <w:szCs w:val="16"/>
          <w:rtl/>
        </w:rPr>
        <w:t>, הביאו הפת"ש בסי' עח סק"א</w:t>
      </w:r>
      <w:r w:rsidRPr="00F71203">
        <w:rPr>
          <w:rFonts w:hint="cs"/>
          <w:sz w:val="16"/>
          <w:szCs w:val="16"/>
          <w:rtl/>
        </w:rPr>
        <w:t>)</w:t>
      </w:r>
      <w:r w:rsidR="004C3A87">
        <w:rPr>
          <w:rFonts w:hint="cs"/>
          <w:sz w:val="16"/>
          <w:szCs w:val="16"/>
          <w:rtl/>
        </w:rPr>
        <w:t xml:space="preserve"> </w:t>
      </w:r>
      <w:r w:rsidR="004C3A87">
        <w:rPr>
          <w:rFonts w:cs="Arial" w:hint="cs"/>
          <w:rtl/>
        </w:rPr>
        <w:t xml:space="preserve">וראש פינה </w:t>
      </w:r>
      <w:r w:rsidR="004C3A87">
        <w:rPr>
          <w:rFonts w:cs="Arial" w:hint="cs"/>
          <w:sz w:val="16"/>
          <w:szCs w:val="16"/>
          <w:rtl/>
        </w:rPr>
        <w:t>(על השו"ע בסי' עח סע' א)</w:t>
      </w:r>
      <w:r>
        <w:rPr>
          <w:rFonts w:hint="cs"/>
          <w:rtl/>
        </w:rPr>
        <w:t xml:space="preserve">- </w:t>
      </w:r>
      <w:r w:rsidRPr="00F71203">
        <w:rPr>
          <w:rFonts w:cs="Arial"/>
          <w:rtl/>
        </w:rPr>
        <w:t>פירש רבינו דלהכי קתני לקתה ולא קתני חלתה, לאשמועינן שאם חלתה בפשיעותא אינו חייב לרפאותה</w:t>
      </w:r>
      <w:r w:rsidR="004C3A87">
        <w:rPr>
          <w:rStyle w:val="a7"/>
          <w:rFonts w:cs="Arial"/>
          <w:rtl/>
        </w:rPr>
        <w:footnoteReference w:id="637"/>
      </w:r>
      <w:r>
        <w:rPr>
          <w:rFonts w:cs="Arial" w:hint="cs"/>
          <w:sz w:val="16"/>
          <w:szCs w:val="16"/>
          <w:rtl/>
        </w:rPr>
        <w:t xml:space="preserve"> (ל' הריטב"א)</w:t>
      </w:r>
      <w:r>
        <w:rPr>
          <w:rFonts w:cs="Arial" w:hint="cs"/>
          <w:rtl/>
        </w:rPr>
        <w:t>.</w:t>
      </w:r>
    </w:p>
    <w:p w14:paraId="1AECD1F9" w14:textId="3A26EC2D" w:rsidR="00D0366F" w:rsidRDefault="00D0366F" w:rsidP="009000E3">
      <w:pPr>
        <w:pStyle w:val="ab"/>
        <w:numPr>
          <w:ilvl w:val="0"/>
          <w:numId w:val="34"/>
        </w:numPr>
      </w:pPr>
      <w:r>
        <w:rPr>
          <w:rFonts w:hint="cs"/>
          <w:rtl/>
        </w:rPr>
        <w:t xml:space="preserve">כתב סופר </w:t>
      </w:r>
      <w:r w:rsidRPr="00F81064">
        <w:rPr>
          <w:rFonts w:hint="cs"/>
          <w:sz w:val="16"/>
          <w:szCs w:val="16"/>
          <w:rtl/>
        </w:rPr>
        <w:t>(אהע"ז סי' מו)</w:t>
      </w:r>
      <w:r>
        <w:rPr>
          <w:rFonts w:hint="cs"/>
          <w:rtl/>
        </w:rPr>
        <w:t xml:space="preserve">- </w:t>
      </w:r>
      <w:r w:rsidRPr="00F81064">
        <w:rPr>
          <w:rFonts w:cs="Arial"/>
          <w:rtl/>
        </w:rPr>
        <w:t>אם חלתה מחמת פשיעתה שאכלה הרבה עד שחלתה</w:t>
      </w:r>
      <w:r w:rsidR="004A43A0">
        <w:rPr>
          <w:rFonts w:cs="Arial" w:hint="cs"/>
          <w:rtl/>
        </w:rPr>
        <w:t>,</w:t>
      </w:r>
      <w:r w:rsidRPr="00F81064">
        <w:rPr>
          <w:rFonts w:cs="Arial"/>
          <w:rtl/>
        </w:rPr>
        <w:t xml:space="preserve"> וה"ה כשלא שמרה נפשה מצינים ופחים </w:t>
      </w:r>
      <w:r w:rsidR="004C3A87">
        <w:rPr>
          <w:rFonts w:cs="Arial" w:hint="cs"/>
          <w:rtl/>
        </w:rPr>
        <w:t xml:space="preserve">- </w:t>
      </w:r>
      <w:r w:rsidRPr="00F81064">
        <w:rPr>
          <w:rFonts w:cs="Arial"/>
          <w:rtl/>
        </w:rPr>
        <w:t>חייב לרפאותה בין רפואה שיש לה קצבה לאין לה</w:t>
      </w:r>
      <w:r w:rsidR="004C3A87">
        <w:rPr>
          <w:rFonts w:cs="Arial" w:hint="cs"/>
          <w:rtl/>
        </w:rPr>
        <w:t>,</w:t>
      </w:r>
      <w:r w:rsidRPr="00F81064">
        <w:rPr>
          <w:rFonts w:cs="Arial"/>
          <w:rtl/>
        </w:rPr>
        <w:t xml:space="preserve"> ע"פ אבני מלואי' שחולק הב"ש, ודבריו נראים, וכן היורשים מחויבים לרפאותה רפואה שאין לה קצבה</w:t>
      </w:r>
      <w:r w:rsidRPr="00F81064">
        <w:rPr>
          <w:rFonts w:cs="Arial" w:hint="cs"/>
          <w:rtl/>
        </w:rPr>
        <w:t>.</w:t>
      </w:r>
    </w:p>
    <w:p w14:paraId="3283D3DA" w14:textId="0AF8F626" w:rsidR="00F81064" w:rsidRDefault="00F81064" w:rsidP="009000E3">
      <w:pPr>
        <w:pStyle w:val="ab"/>
        <w:numPr>
          <w:ilvl w:val="0"/>
          <w:numId w:val="27"/>
        </w:numPr>
        <w:rPr>
          <w:rtl/>
        </w:rPr>
      </w:pPr>
      <w:r>
        <w:rPr>
          <w:rFonts w:cs="Arial" w:hint="cs"/>
          <w:rtl/>
        </w:rPr>
        <w:t xml:space="preserve">בית מאיר </w:t>
      </w:r>
      <w:r>
        <w:rPr>
          <w:rFonts w:cs="Arial" w:hint="cs"/>
          <w:sz w:val="16"/>
          <w:szCs w:val="16"/>
          <w:rtl/>
        </w:rPr>
        <w:t>(על השו"ע כאן, הביאו הפת"ש [סק"א])</w:t>
      </w:r>
      <w:r>
        <w:rPr>
          <w:rFonts w:cs="Arial" w:hint="cs"/>
          <w:rtl/>
        </w:rPr>
        <w:t xml:space="preserve">- </w:t>
      </w:r>
      <w:r w:rsidRPr="00A813FA">
        <w:rPr>
          <w:rFonts w:cs="Arial"/>
          <w:rtl/>
        </w:rPr>
        <w:t>אף אם אכלה בפשיעת</w:t>
      </w:r>
      <w:r w:rsidR="00F71203">
        <w:rPr>
          <w:rFonts w:cs="Arial" w:hint="cs"/>
          <w:rtl/>
        </w:rPr>
        <w:t>ה</w:t>
      </w:r>
      <w:r w:rsidRPr="00A813FA">
        <w:rPr>
          <w:rFonts w:cs="Arial"/>
          <w:rtl/>
        </w:rPr>
        <w:t xml:space="preserve"> דברים המזיקים לתאוות</w:t>
      </w:r>
      <w:r w:rsidR="00F71203">
        <w:rPr>
          <w:rFonts w:cs="Arial" w:hint="cs"/>
          <w:rtl/>
        </w:rPr>
        <w:t>ה</w:t>
      </w:r>
      <w:r w:rsidRPr="00A813FA">
        <w:rPr>
          <w:rFonts w:cs="Arial"/>
          <w:rtl/>
        </w:rPr>
        <w:t xml:space="preserve"> עד שחלתה מ"מ חייב ברפואת</w:t>
      </w:r>
      <w:r>
        <w:rPr>
          <w:rFonts w:cs="Arial" w:hint="cs"/>
          <w:rtl/>
        </w:rPr>
        <w:t>ה</w:t>
      </w:r>
      <w:r w:rsidRPr="00A813FA">
        <w:rPr>
          <w:rFonts w:cs="Arial"/>
          <w:rtl/>
        </w:rPr>
        <w:t xml:space="preserve">. </w:t>
      </w:r>
    </w:p>
    <w:p w14:paraId="0024261F" w14:textId="77777777" w:rsidR="000B20B3" w:rsidRDefault="000B20B3" w:rsidP="000D2069">
      <w:pPr>
        <w:rPr>
          <w:rtl/>
        </w:rPr>
      </w:pPr>
    </w:p>
    <w:p w14:paraId="206FFF81" w14:textId="454C3EC2" w:rsidR="000D2069" w:rsidRDefault="000D2069" w:rsidP="000F64D0">
      <w:pPr>
        <w:pStyle w:val="2"/>
        <w:rPr>
          <w:rtl/>
        </w:rPr>
      </w:pPr>
      <w:r>
        <w:rPr>
          <w:rtl/>
        </w:rPr>
        <w:t>סעיף ב</w:t>
      </w:r>
      <w:r w:rsidR="00EC5ABC">
        <w:rPr>
          <w:rFonts w:hint="cs"/>
          <w:rtl/>
        </w:rPr>
        <w:t>: יורשים שרוצים לקצוב עם הרופא קצבה לרפואתה.</w:t>
      </w:r>
    </w:p>
    <w:p w14:paraId="764B18AC" w14:textId="38EAC6B4" w:rsidR="00EC5ABC" w:rsidRDefault="00EC5ABC" w:rsidP="00EC5ABC">
      <w:pPr>
        <w:rPr>
          <w:rtl/>
        </w:rPr>
      </w:pPr>
      <w:r w:rsidRPr="00AB0AB9">
        <w:rPr>
          <w:rFonts w:cs="Arial" w:hint="cs"/>
          <w:b/>
          <w:bCs/>
          <w:rtl/>
        </w:rPr>
        <w:t>כתובות</w:t>
      </w:r>
      <w:r>
        <w:rPr>
          <w:rFonts w:cs="Arial" w:hint="cs"/>
          <w:b/>
          <w:bCs/>
          <w:rtl/>
        </w:rPr>
        <w:t xml:space="preserve"> </w:t>
      </w:r>
      <w:r>
        <w:rPr>
          <w:rFonts w:cs="Arial" w:hint="cs"/>
          <w:b/>
          <w:bCs/>
          <w:sz w:val="16"/>
          <w:szCs w:val="16"/>
          <w:rtl/>
        </w:rPr>
        <w:t>(פ' נערה שנתפתתה)</w:t>
      </w:r>
      <w:r w:rsidRPr="00AB0AB9">
        <w:rPr>
          <w:rFonts w:cs="Arial" w:hint="cs"/>
          <w:b/>
          <w:bCs/>
          <w:rtl/>
        </w:rPr>
        <w:t xml:space="preserve"> </w:t>
      </w:r>
      <w:r>
        <w:rPr>
          <w:rFonts w:cs="Arial" w:hint="cs"/>
          <w:b/>
          <w:bCs/>
          <w:rtl/>
        </w:rPr>
        <w:t>נב</w:t>
      </w:r>
      <w:r w:rsidRPr="00AB0AB9">
        <w:rPr>
          <w:rFonts w:cs="Arial" w:hint="cs"/>
          <w:b/>
          <w:bCs/>
          <w:rtl/>
        </w:rPr>
        <w:t xml:space="preserve"> ע</w:t>
      </w:r>
      <w:r>
        <w:rPr>
          <w:rFonts w:cs="Arial" w:hint="cs"/>
          <w:b/>
          <w:bCs/>
          <w:rtl/>
        </w:rPr>
        <w:t>"ב</w:t>
      </w:r>
      <w:r w:rsidRPr="00AB0AB9">
        <w:rPr>
          <w:rFonts w:cs="Arial" w:hint="cs"/>
          <w:b/>
          <w:bCs/>
          <w:rtl/>
        </w:rPr>
        <w:t xml:space="preserve">: </w:t>
      </w:r>
      <w:r w:rsidRPr="00AF4F10">
        <w:rPr>
          <w:rFonts w:cs="Arial"/>
          <w:rtl/>
        </w:rPr>
        <w:t xml:space="preserve">קריביה דרבי יוחנן הוה להו איתת אבא דהות צריכה רפואה כל יומא, אתו לקמיה דר' יוחנן, </w:t>
      </w:r>
      <w:r w:rsidRPr="00EC5ABC">
        <w:rPr>
          <w:rFonts w:cs="Arial"/>
          <w:u w:val="single"/>
          <w:rtl/>
        </w:rPr>
        <w:t>אמר להו</w:t>
      </w:r>
      <w:r w:rsidRPr="00AF4F10">
        <w:rPr>
          <w:rFonts w:cs="Arial"/>
          <w:rtl/>
        </w:rPr>
        <w:t>: איזילו קוצו ליה מידי לרופא</w:t>
      </w:r>
      <w:r>
        <w:rPr>
          <w:rStyle w:val="a7"/>
          <w:rFonts w:cs="Arial"/>
          <w:rtl/>
        </w:rPr>
        <w:footnoteReference w:id="638"/>
      </w:r>
      <w:r w:rsidRPr="00AF4F10">
        <w:rPr>
          <w:rFonts w:cs="Arial"/>
          <w:rtl/>
        </w:rPr>
        <w:t xml:space="preserve">. </w:t>
      </w:r>
      <w:r w:rsidRPr="00EC5ABC">
        <w:rPr>
          <w:rFonts w:cs="Arial"/>
          <w:u w:val="single"/>
          <w:rtl/>
        </w:rPr>
        <w:t>אמר רבי יוחנן</w:t>
      </w:r>
      <w:r w:rsidRPr="00AF4F10">
        <w:rPr>
          <w:rFonts w:cs="Arial"/>
          <w:rtl/>
        </w:rPr>
        <w:t>: עשינו עצמינו כעורכי הדיינין</w:t>
      </w:r>
      <w:r>
        <w:rPr>
          <w:rStyle w:val="a7"/>
          <w:rFonts w:cs="Arial"/>
          <w:rtl/>
        </w:rPr>
        <w:footnoteReference w:id="639"/>
      </w:r>
      <w:r w:rsidRPr="00AF4F10">
        <w:rPr>
          <w:rFonts w:cs="Arial"/>
          <w:rtl/>
        </w:rPr>
        <w:t>. מעיקרא מאי סבר, ולבסוף מאי סבר? מעיקרא סבר: ומבשרך לא תתעלם, ולבסוף סבר: אדם חשוב שאני.</w:t>
      </w:r>
      <w:r w:rsidRPr="00EC5ABC">
        <w:rPr>
          <w:rFonts w:cs="Arial"/>
          <w:sz w:val="16"/>
          <w:szCs w:val="16"/>
          <w:rtl/>
        </w:rPr>
        <w:t xml:space="preserve"> </w:t>
      </w:r>
      <w:r>
        <w:rPr>
          <w:rFonts w:cs="Arial" w:hint="cs"/>
          <w:sz w:val="16"/>
          <w:szCs w:val="16"/>
          <w:rtl/>
        </w:rPr>
        <w:t>(</w:t>
      </w:r>
      <w:r w:rsidRPr="00EC5ABC">
        <w:rPr>
          <w:rFonts w:cs="Arial"/>
          <w:sz w:val="16"/>
          <w:szCs w:val="16"/>
          <w:rtl/>
        </w:rPr>
        <w:t xml:space="preserve">וכתב הרא"ש (שם) דהכי איתא בירושלמי (שם) שאם היורשים רוצים לקצוץ עם הרופא והיא אינה רוצה שיקצצו </w:t>
      </w:r>
      <w:r w:rsidRPr="00EC5ABC">
        <w:rPr>
          <w:rFonts w:cs="Arial" w:hint="cs"/>
          <w:sz w:val="16"/>
          <w:szCs w:val="16"/>
          <w:rtl/>
        </w:rPr>
        <w:t xml:space="preserve">- </w:t>
      </w:r>
      <w:r w:rsidRPr="00EC5ABC">
        <w:rPr>
          <w:rFonts w:cs="Arial"/>
          <w:sz w:val="16"/>
          <w:szCs w:val="16"/>
          <w:rtl/>
        </w:rPr>
        <w:t>להם שומעים</w:t>
      </w:r>
      <w:r>
        <w:rPr>
          <w:rFonts w:cs="Arial" w:hint="cs"/>
          <w:sz w:val="16"/>
          <w:szCs w:val="16"/>
          <w:rtl/>
        </w:rPr>
        <w:t>, ב"י)</w:t>
      </w:r>
    </w:p>
    <w:p w14:paraId="39FE7000" w14:textId="77777777" w:rsidR="00EC5ABC" w:rsidRDefault="00EC5ABC" w:rsidP="00EC5ABC">
      <w:pPr>
        <w:rPr>
          <w:rtl/>
        </w:rPr>
      </w:pPr>
      <w:r w:rsidRPr="003319C5">
        <w:rPr>
          <w:rFonts w:cs="Arial"/>
          <w:b/>
          <w:bCs/>
          <w:rtl/>
        </w:rPr>
        <w:t>ירושלמי בבא בתרא פ</w:t>
      </w:r>
      <w:r w:rsidRPr="003319C5">
        <w:rPr>
          <w:rFonts w:cs="Arial" w:hint="cs"/>
          <w:b/>
          <w:bCs/>
          <w:rtl/>
        </w:rPr>
        <w:t xml:space="preserve">"ט ה"ד: </w:t>
      </w:r>
      <w:r w:rsidRPr="003319C5">
        <w:rPr>
          <w:rFonts w:cs="Arial"/>
          <w:rtl/>
        </w:rPr>
        <w:t>תני</w:t>
      </w:r>
      <w:r>
        <w:rPr>
          <w:rFonts w:cs="Arial" w:hint="cs"/>
          <w:rtl/>
        </w:rPr>
        <w:t>,</w:t>
      </w:r>
      <w:r w:rsidRPr="003319C5">
        <w:rPr>
          <w:rFonts w:cs="Arial"/>
          <w:rtl/>
        </w:rPr>
        <w:t xml:space="preserve"> </w:t>
      </w:r>
      <w:r w:rsidRPr="003319C5">
        <w:rPr>
          <w:rFonts w:cs="Arial"/>
          <w:u w:val="single"/>
          <w:rtl/>
        </w:rPr>
        <w:t>רשב"ג אומר</w:t>
      </w:r>
      <w:r>
        <w:rPr>
          <w:rFonts w:cs="Arial" w:hint="cs"/>
          <w:rtl/>
        </w:rPr>
        <w:t>:</w:t>
      </w:r>
      <w:r w:rsidRPr="003319C5">
        <w:rPr>
          <w:rFonts w:cs="Arial"/>
          <w:rtl/>
        </w:rPr>
        <w:t xml:space="preserve"> כל מכה שיש לה קיצה</w:t>
      </w:r>
      <w:r>
        <w:rPr>
          <w:rStyle w:val="a7"/>
          <w:rFonts w:cs="Arial"/>
          <w:rtl/>
        </w:rPr>
        <w:footnoteReference w:id="640"/>
      </w:r>
      <w:r w:rsidRPr="003319C5">
        <w:rPr>
          <w:rFonts w:cs="Arial"/>
          <w:rtl/>
        </w:rPr>
        <w:t xml:space="preserve"> </w:t>
      </w:r>
      <w:r>
        <w:rPr>
          <w:rFonts w:cs="Arial" w:hint="cs"/>
          <w:rtl/>
        </w:rPr>
        <w:t xml:space="preserve">- </w:t>
      </w:r>
      <w:r w:rsidRPr="003319C5">
        <w:rPr>
          <w:rFonts w:cs="Arial"/>
          <w:rtl/>
        </w:rPr>
        <w:t>מתרפא מכתובתה</w:t>
      </w:r>
      <w:r>
        <w:rPr>
          <w:rFonts w:cs="Arial" w:hint="cs"/>
          <w:rtl/>
        </w:rPr>
        <w:t>.</w:t>
      </w:r>
      <w:r w:rsidRPr="003319C5">
        <w:rPr>
          <w:rFonts w:cs="Arial"/>
          <w:rtl/>
        </w:rPr>
        <w:t xml:space="preserve"> שאין לה קיצה </w:t>
      </w:r>
      <w:r>
        <w:rPr>
          <w:rFonts w:cs="Arial" w:hint="cs"/>
          <w:rtl/>
        </w:rPr>
        <w:t xml:space="preserve">- </w:t>
      </w:r>
      <w:r w:rsidRPr="003319C5">
        <w:rPr>
          <w:rFonts w:cs="Arial"/>
          <w:rtl/>
        </w:rPr>
        <w:t>מתרפא מן הנכסים. כהדא קריבתיה דר' שמעון בר ווא</w:t>
      </w:r>
      <w:r>
        <w:rPr>
          <w:rFonts w:cs="Arial" w:hint="cs"/>
          <w:rtl/>
        </w:rPr>
        <w:t>,</w:t>
      </w:r>
      <w:r w:rsidRPr="003319C5">
        <w:rPr>
          <w:rFonts w:cs="Arial"/>
          <w:rtl/>
        </w:rPr>
        <w:t xml:space="preserve"> הוות חששה עיינה</w:t>
      </w:r>
      <w:r>
        <w:rPr>
          <w:rStyle w:val="a7"/>
          <w:rFonts w:cs="Arial"/>
          <w:rtl/>
        </w:rPr>
        <w:footnoteReference w:id="641"/>
      </w:r>
      <w:r>
        <w:rPr>
          <w:rFonts w:cs="Arial" w:hint="cs"/>
          <w:rtl/>
        </w:rPr>
        <w:t>,</w:t>
      </w:r>
      <w:r w:rsidRPr="003319C5">
        <w:rPr>
          <w:rFonts w:cs="Arial"/>
          <w:rtl/>
        </w:rPr>
        <w:t xml:space="preserve"> אתת גבי ר' יוחנן</w:t>
      </w:r>
      <w:r>
        <w:rPr>
          <w:rFonts w:cs="Arial" w:hint="cs"/>
          <w:rtl/>
        </w:rPr>
        <w:t>,</w:t>
      </w:r>
      <w:r w:rsidRPr="003319C5">
        <w:rPr>
          <w:rFonts w:cs="Arial"/>
          <w:rtl/>
        </w:rPr>
        <w:t xml:space="preserve"> </w:t>
      </w:r>
      <w:r w:rsidRPr="003319C5">
        <w:rPr>
          <w:rFonts w:cs="Arial"/>
          <w:u w:val="single"/>
          <w:rtl/>
        </w:rPr>
        <w:t>אמר לה</w:t>
      </w:r>
      <w:r>
        <w:rPr>
          <w:rFonts w:cs="Arial" w:hint="cs"/>
          <w:rtl/>
        </w:rPr>
        <w:t>:</w:t>
      </w:r>
      <w:r w:rsidRPr="003319C5">
        <w:rPr>
          <w:rFonts w:cs="Arial"/>
          <w:rtl/>
        </w:rPr>
        <w:t xml:space="preserve"> קציץ הוא אהין אסייך</w:t>
      </w:r>
      <w:r>
        <w:rPr>
          <w:rFonts w:cs="Arial" w:hint="cs"/>
          <w:rtl/>
        </w:rPr>
        <w:t>,</w:t>
      </w:r>
      <w:r w:rsidRPr="003319C5">
        <w:rPr>
          <w:rFonts w:cs="Arial"/>
          <w:rtl/>
        </w:rPr>
        <w:t xml:space="preserve"> אין קציץ</w:t>
      </w:r>
      <w:r>
        <w:rPr>
          <w:rStyle w:val="a7"/>
          <w:rFonts w:cs="Arial"/>
          <w:rtl/>
        </w:rPr>
        <w:footnoteReference w:id="642"/>
      </w:r>
      <w:r w:rsidRPr="003319C5">
        <w:rPr>
          <w:rFonts w:cs="Arial"/>
          <w:rtl/>
        </w:rPr>
        <w:t xml:space="preserve"> </w:t>
      </w:r>
      <w:r>
        <w:rPr>
          <w:rFonts w:cs="Arial" w:hint="cs"/>
          <w:rtl/>
        </w:rPr>
        <w:t xml:space="preserve">- </w:t>
      </w:r>
      <w:r w:rsidRPr="003319C5">
        <w:rPr>
          <w:rFonts w:cs="Arial"/>
          <w:rtl/>
        </w:rPr>
        <w:t>מן פרניך</w:t>
      </w:r>
      <w:r>
        <w:rPr>
          <w:rStyle w:val="a7"/>
          <w:rFonts w:cs="Arial"/>
          <w:rtl/>
        </w:rPr>
        <w:footnoteReference w:id="643"/>
      </w:r>
      <w:r w:rsidRPr="003319C5">
        <w:rPr>
          <w:rFonts w:cs="Arial"/>
          <w:rtl/>
        </w:rPr>
        <w:t xml:space="preserve">. אין לא קציץ </w:t>
      </w:r>
      <w:r>
        <w:rPr>
          <w:rFonts w:cs="Arial" w:hint="cs"/>
          <w:rtl/>
        </w:rPr>
        <w:t xml:space="preserve">- </w:t>
      </w:r>
      <w:r w:rsidRPr="003319C5">
        <w:rPr>
          <w:rFonts w:cs="Arial"/>
          <w:rtl/>
        </w:rPr>
        <w:t>בעליך יהיב ליך.</w:t>
      </w:r>
    </w:p>
    <w:p w14:paraId="1910649B" w14:textId="050E882A" w:rsidR="00EC5ABC" w:rsidRPr="00EC5ABC" w:rsidRDefault="00EC5ABC" w:rsidP="00EC5ABC">
      <w:pPr>
        <w:rPr>
          <w:u w:val="single"/>
          <w:rtl/>
        </w:rPr>
      </w:pPr>
      <w:r w:rsidRPr="00EC5ABC">
        <w:rPr>
          <w:rFonts w:hint="cs"/>
          <w:u w:val="single"/>
          <w:rtl/>
        </w:rPr>
        <w:t>יורשים שרוצים לקצוב עם הרופא קצבה לרפואתה</w:t>
      </w:r>
      <w:r w:rsidR="00BC316A">
        <w:rPr>
          <w:rFonts w:hint="cs"/>
          <w:u w:val="single"/>
          <w:rtl/>
        </w:rPr>
        <w:t xml:space="preserve"> ובכך תחשב מחלתה לדבר שיש לו קצבה</w:t>
      </w:r>
      <w:r w:rsidRPr="00EC5ABC">
        <w:rPr>
          <w:rFonts w:hint="cs"/>
          <w:u w:val="single"/>
          <w:rtl/>
        </w:rPr>
        <w:t>:</w:t>
      </w:r>
    </w:p>
    <w:p w14:paraId="50A25A6F" w14:textId="46CDBE14" w:rsidR="000B20B3" w:rsidRPr="000B20B3" w:rsidRDefault="00C65959" w:rsidP="009000E3">
      <w:pPr>
        <w:pStyle w:val="ab"/>
        <w:numPr>
          <w:ilvl w:val="0"/>
          <w:numId w:val="27"/>
        </w:numPr>
      </w:pPr>
      <w:r>
        <w:rPr>
          <w:rFonts w:cs="Arial" w:hint="cs"/>
          <w:rtl/>
        </w:rPr>
        <w:t xml:space="preserve">טור- </w:t>
      </w:r>
      <w:r w:rsidRPr="00C65959">
        <w:rPr>
          <w:rFonts w:cs="Arial"/>
          <w:rtl/>
        </w:rPr>
        <w:t>רוצים היורשים לקצוב עם הרופא כדי שיהא לו קצבה ויפטרו ממנה</w:t>
      </w:r>
      <w:r w:rsidR="00BC316A">
        <w:rPr>
          <w:rFonts w:cs="Arial" w:hint="cs"/>
          <w:rtl/>
        </w:rPr>
        <w:t xml:space="preserve"> -</w:t>
      </w:r>
      <w:r w:rsidRPr="00C65959">
        <w:rPr>
          <w:rFonts w:cs="Arial"/>
          <w:rtl/>
        </w:rPr>
        <w:t xml:space="preserve"> הרשות בידם</w:t>
      </w:r>
      <w:r w:rsidR="000B20B3">
        <w:rPr>
          <w:rFonts w:cs="Arial" w:hint="cs"/>
          <w:rtl/>
        </w:rPr>
        <w:t>.</w:t>
      </w:r>
      <w:r w:rsidRPr="00C65959">
        <w:rPr>
          <w:rFonts w:cs="Arial"/>
          <w:rtl/>
        </w:rPr>
        <w:t xml:space="preserve"> </w:t>
      </w:r>
      <w:r w:rsidR="00EC5ABC" w:rsidRPr="00EC5ABC">
        <w:rPr>
          <w:rFonts w:hint="cs"/>
          <w:color w:val="E36C0A" w:themeColor="accent6" w:themeShade="BF"/>
          <w:rtl/>
        </w:rPr>
        <w:t>(וכ"פ בשו"ע)</w:t>
      </w:r>
    </w:p>
    <w:p w14:paraId="5BE3337F" w14:textId="77777777" w:rsidR="00C65959" w:rsidRDefault="00C65959" w:rsidP="00C65959">
      <w:pPr>
        <w:rPr>
          <w:rFonts w:cs="Arial"/>
          <w:rtl/>
        </w:rPr>
      </w:pPr>
      <w:r w:rsidRPr="003024E5">
        <w:rPr>
          <w:rFonts w:asciiTheme="minorBidi" w:hAnsiTheme="minorBidi"/>
          <w:b/>
          <w:bCs/>
          <w:color w:val="000000"/>
          <w:sz w:val="28"/>
          <w:szCs w:val="28"/>
          <w:u w:val="single"/>
          <w:rtl/>
        </w:rPr>
        <w:t>שו"ע:</w:t>
      </w:r>
    </w:p>
    <w:p w14:paraId="03A9C378" w14:textId="05D73414" w:rsidR="000D2069" w:rsidRDefault="000D2069" w:rsidP="000D2069">
      <w:pPr>
        <w:rPr>
          <w:rtl/>
        </w:rPr>
      </w:pPr>
      <w:r>
        <w:rPr>
          <w:rFonts w:cs="Arial"/>
          <w:rtl/>
        </w:rPr>
        <w:t xml:space="preserve">רצו היורשין לקצוב עם הרופא, כדי שיהיה לה קצבה ויפטרו ממנה, הרשות בידם. </w:t>
      </w:r>
    </w:p>
    <w:p w14:paraId="2BF59B51" w14:textId="77777777" w:rsidR="000B20B3" w:rsidRDefault="000B20B3" w:rsidP="000D2069">
      <w:pPr>
        <w:rPr>
          <w:rtl/>
        </w:rPr>
      </w:pPr>
    </w:p>
    <w:p w14:paraId="22BC90A3" w14:textId="29FCF374" w:rsidR="000D2069" w:rsidRDefault="000D2069" w:rsidP="000F64D0">
      <w:pPr>
        <w:pStyle w:val="2"/>
        <w:rPr>
          <w:rtl/>
        </w:rPr>
      </w:pPr>
      <w:r>
        <w:rPr>
          <w:rtl/>
        </w:rPr>
        <w:t>סעיף ג</w:t>
      </w:r>
      <w:r w:rsidR="00EC5ABC">
        <w:rPr>
          <w:rFonts w:hint="cs"/>
          <w:rtl/>
        </w:rPr>
        <w:t>: בעל שרוצה לגרש אשתו החולה וליתן לה כתובתה.</w:t>
      </w:r>
    </w:p>
    <w:p w14:paraId="68147770" w14:textId="5BE700E1" w:rsidR="00E126A9" w:rsidRPr="00E126A9" w:rsidRDefault="00E126A9" w:rsidP="00E126A9">
      <w:pPr>
        <w:rPr>
          <w:rtl/>
        </w:rPr>
      </w:pPr>
      <w:r w:rsidRPr="00AB0AB9">
        <w:rPr>
          <w:rFonts w:cs="Arial" w:hint="cs"/>
          <w:b/>
          <w:bCs/>
          <w:rtl/>
        </w:rPr>
        <w:t>כתובות</w:t>
      </w:r>
      <w:r>
        <w:rPr>
          <w:rFonts w:cs="Arial" w:hint="cs"/>
          <w:b/>
          <w:bCs/>
          <w:rtl/>
        </w:rPr>
        <w:t xml:space="preserve"> </w:t>
      </w:r>
      <w:r>
        <w:rPr>
          <w:rFonts w:cs="Arial" w:hint="cs"/>
          <w:b/>
          <w:bCs/>
          <w:sz w:val="16"/>
          <w:szCs w:val="16"/>
          <w:rtl/>
        </w:rPr>
        <w:t>(פ' נערה שנתפתתה)</w:t>
      </w:r>
      <w:r w:rsidRPr="00AB0AB9">
        <w:rPr>
          <w:rFonts w:cs="Arial" w:hint="cs"/>
          <w:b/>
          <w:bCs/>
          <w:rtl/>
        </w:rPr>
        <w:t xml:space="preserve"> </w:t>
      </w:r>
      <w:r>
        <w:rPr>
          <w:rFonts w:cs="Arial" w:hint="cs"/>
          <w:b/>
          <w:bCs/>
          <w:rtl/>
        </w:rPr>
        <w:t>נא</w:t>
      </w:r>
      <w:r w:rsidRPr="00AB0AB9">
        <w:rPr>
          <w:rFonts w:cs="Arial" w:hint="cs"/>
          <w:b/>
          <w:bCs/>
          <w:rtl/>
        </w:rPr>
        <w:t xml:space="preserve"> ע"</w:t>
      </w:r>
      <w:r>
        <w:rPr>
          <w:rFonts w:cs="Arial" w:hint="cs"/>
          <w:b/>
          <w:bCs/>
          <w:rtl/>
        </w:rPr>
        <w:t>א</w:t>
      </w:r>
      <w:r w:rsidRPr="00AB0AB9">
        <w:rPr>
          <w:rFonts w:cs="Arial" w:hint="cs"/>
          <w:b/>
          <w:bCs/>
          <w:rtl/>
        </w:rPr>
        <w:t xml:space="preserve">: </w:t>
      </w:r>
      <w:r w:rsidRPr="00AB0AB9">
        <w:rPr>
          <w:rFonts w:cs="Arial"/>
          <w:u w:val="double"/>
          <w:rtl/>
        </w:rPr>
        <w:t>מתני'</w:t>
      </w:r>
      <w:r>
        <w:rPr>
          <w:rFonts w:cs="Arial" w:hint="cs"/>
          <w:rtl/>
        </w:rPr>
        <w:t>:...</w:t>
      </w:r>
      <w:r w:rsidRPr="00AF4F10">
        <w:rPr>
          <w:rtl/>
        </w:rPr>
        <w:t xml:space="preserve"> </w:t>
      </w:r>
      <w:r w:rsidRPr="00AF4F10">
        <w:rPr>
          <w:rFonts w:cs="Arial"/>
          <w:rtl/>
        </w:rPr>
        <w:t>לקתה - חייב לרפאותה, אמר הרי גיטה וכתובתה תרפא את עצמה - רשאי.</w:t>
      </w:r>
      <w:r w:rsidRPr="00E126A9">
        <w:rPr>
          <w:rFonts w:cs="Arial"/>
          <w:rtl/>
        </w:rPr>
        <w:t xml:space="preserve"> </w:t>
      </w:r>
      <w:r>
        <w:rPr>
          <w:rFonts w:cs="Arial" w:hint="cs"/>
          <w:sz w:val="16"/>
          <w:szCs w:val="16"/>
          <w:rtl/>
        </w:rPr>
        <w:t>(</w:t>
      </w:r>
      <w:r w:rsidRPr="00E126A9">
        <w:rPr>
          <w:rFonts w:cs="Arial"/>
          <w:sz w:val="16"/>
          <w:szCs w:val="16"/>
          <w:rtl/>
        </w:rPr>
        <w:t>וכתבו התוספות (נב: ד"ה אמר) דטעמא משום דרפואה בכלל מזונות</w:t>
      </w:r>
      <w:r w:rsidRPr="00E126A9">
        <w:rPr>
          <w:rFonts w:cs="Arial" w:hint="cs"/>
          <w:sz w:val="16"/>
          <w:szCs w:val="16"/>
          <w:rtl/>
        </w:rPr>
        <w:t>,</w:t>
      </w:r>
      <w:r w:rsidRPr="00E126A9">
        <w:rPr>
          <w:rFonts w:cs="Arial"/>
          <w:sz w:val="16"/>
          <w:szCs w:val="16"/>
          <w:rtl/>
        </w:rPr>
        <w:t xml:space="preserve"> והרי קיבלה כנגד מעשה ידיה שעד עכשיו</w:t>
      </w:r>
      <w:r w:rsidRPr="00E126A9">
        <w:rPr>
          <w:rFonts w:cs="Arial" w:hint="cs"/>
          <w:sz w:val="16"/>
          <w:szCs w:val="16"/>
          <w:rtl/>
        </w:rPr>
        <w:t>.</w:t>
      </w:r>
      <w:r w:rsidRPr="00E126A9">
        <w:rPr>
          <w:rFonts w:cs="Arial"/>
          <w:sz w:val="16"/>
          <w:szCs w:val="16"/>
          <w:rtl/>
        </w:rPr>
        <w:t xml:space="preserve"> אבל אינו רשאי לומר תקבל את גיטה ותפדה את עצמה</w:t>
      </w:r>
      <w:r w:rsidRPr="00E126A9">
        <w:rPr>
          <w:rFonts w:cs="Arial" w:hint="cs"/>
          <w:sz w:val="16"/>
          <w:szCs w:val="16"/>
          <w:rtl/>
        </w:rPr>
        <w:t>,</w:t>
      </w:r>
      <w:r w:rsidRPr="00E126A9">
        <w:rPr>
          <w:rFonts w:cs="Arial"/>
          <w:sz w:val="16"/>
          <w:szCs w:val="16"/>
          <w:rtl/>
        </w:rPr>
        <w:t xml:space="preserve"> לפי שלא קיבלה תשלום מפירות שאכל עד עכשיו</w:t>
      </w:r>
      <w:r>
        <w:rPr>
          <w:rFonts w:cs="Arial" w:hint="cs"/>
          <w:sz w:val="16"/>
          <w:szCs w:val="16"/>
          <w:rtl/>
        </w:rPr>
        <w:t>, ב"י)</w:t>
      </w:r>
    </w:p>
    <w:p w14:paraId="09A59F46" w14:textId="58FF1787" w:rsidR="00EC5ABC" w:rsidRPr="00EC5ABC" w:rsidRDefault="00EC5ABC" w:rsidP="00EC5ABC">
      <w:pPr>
        <w:rPr>
          <w:u w:val="single"/>
          <w:rtl/>
        </w:rPr>
      </w:pPr>
      <w:r w:rsidRPr="00EC5ABC">
        <w:rPr>
          <w:rFonts w:hint="cs"/>
          <w:u w:val="single"/>
          <w:rtl/>
        </w:rPr>
        <w:t>בעל שרוצה לגרש אשתו החולה וליתן לה כתובתה:</w:t>
      </w:r>
    </w:p>
    <w:p w14:paraId="039B91E2" w14:textId="37F4ED23" w:rsidR="00B11643" w:rsidRPr="00B11643" w:rsidRDefault="000B20B3" w:rsidP="009000E3">
      <w:pPr>
        <w:pStyle w:val="ab"/>
        <w:numPr>
          <w:ilvl w:val="0"/>
          <w:numId w:val="27"/>
        </w:numPr>
      </w:pPr>
      <w:r>
        <w:rPr>
          <w:rFonts w:cs="Arial" w:hint="cs"/>
          <w:rtl/>
        </w:rPr>
        <w:t xml:space="preserve">טור- </w:t>
      </w:r>
      <w:r w:rsidRPr="00C65959">
        <w:rPr>
          <w:rFonts w:cs="Arial"/>
          <w:rtl/>
        </w:rPr>
        <w:t>אם ראה הבעל שהחולי ארוך וא</w:t>
      </w:r>
      <w:r w:rsidR="00EC5ABC">
        <w:rPr>
          <w:rFonts w:cs="Arial" w:hint="cs"/>
          <w:rtl/>
        </w:rPr>
        <w:t xml:space="preserve">מר </w:t>
      </w:r>
      <w:r w:rsidRPr="00C65959">
        <w:rPr>
          <w:rFonts w:cs="Arial"/>
          <w:rtl/>
        </w:rPr>
        <w:t>ל</w:t>
      </w:r>
      <w:r w:rsidR="00EC5ABC">
        <w:rPr>
          <w:rFonts w:cs="Arial" w:hint="cs"/>
          <w:rtl/>
        </w:rPr>
        <w:t>ה</w:t>
      </w:r>
      <w:r w:rsidRPr="00C65959">
        <w:rPr>
          <w:rFonts w:cs="Arial"/>
          <w:rtl/>
        </w:rPr>
        <w:t xml:space="preserve"> </w:t>
      </w:r>
      <w:r w:rsidR="00FD67C7">
        <w:rPr>
          <w:rFonts w:cs="Arial" w:hint="cs"/>
          <w:rtl/>
        </w:rPr>
        <w:t>"</w:t>
      </w:r>
      <w:r w:rsidRPr="00C65959">
        <w:rPr>
          <w:rFonts w:cs="Arial"/>
          <w:rtl/>
        </w:rPr>
        <w:t>ה</w:t>
      </w:r>
      <w:r w:rsidR="00EC5ABC">
        <w:rPr>
          <w:rFonts w:cs="Arial" w:hint="cs"/>
          <w:rtl/>
        </w:rPr>
        <w:t xml:space="preserve">רי </w:t>
      </w:r>
      <w:r w:rsidRPr="00C65959">
        <w:rPr>
          <w:rFonts w:cs="Arial"/>
          <w:rtl/>
        </w:rPr>
        <w:t>ז</w:t>
      </w:r>
      <w:r w:rsidR="00EC5ABC">
        <w:rPr>
          <w:rFonts w:cs="Arial" w:hint="cs"/>
          <w:rtl/>
        </w:rPr>
        <w:t>ה</w:t>
      </w:r>
      <w:r w:rsidRPr="00C65959">
        <w:rPr>
          <w:rFonts w:cs="Arial"/>
          <w:rtl/>
        </w:rPr>
        <w:t xml:space="preserve"> גיטך וכתובתיך ורפאי את עצמך</w:t>
      </w:r>
      <w:r w:rsidR="00FD67C7">
        <w:rPr>
          <w:rFonts w:cs="Arial" w:hint="cs"/>
          <w:rtl/>
        </w:rPr>
        <w:t>"</w:t>
      </w:r>
      <w:r w:rsidRPr="00C65959">
        <w:rPr>
          <w:rFonts w:cs="Arial"/>
          <w:rtl/>
        </w:rPr>
        <w:t xml:space="preserve"> </w:t>
      </w:r>
      <w:r w:rsidR="00EC5ABC">
        <w:rPr>
          <w:rFonts w:cs="Arial" w:hint="cs"/>
          <w:rtl/>
        </w:rPr>
        <w:t xml:space="preserve">- </w:t>
      </w:r>
      <w:r w:rsidRPr="00C65959">
        <w:rPr>
          <w:rFonts w:cs="Arial"/>
          <w:rtl/>
        </w:rPr>
        <w:t>רשאי</w:t>
      </w:r>
      <w:r>
        <w:rPr>
          <w:rFonts w:cs="Arial" w:hint="cs"/>
          <w:rtl/>
        </w:rPr>
        <w:t>.</w:t>
      </w:r>
      <w:r w:rsidRPr="00C65959">
        <w:rPr>
          <w:rFonts w:cs="Arial"/>
          <w:rtl/>
        </w:rPr>
        <w:t xml:space="preserve"> </w:t>
      </w:r>
    </w:p>
    <w:p w14:paraId="61D6D895" w14:textId="7F8687CB" w:rsidR="00B11643" w:rsidRPr="00B11643" w:rsidRDefault="00B11643" w:rsidP="00B11643">
      <w:pPr>
        <w:ind w:left="360"/>
        <w:rPr>
          <w:u w:val="dotted"/>
          <w:rtl/>
        </w:rPr>
      </w:pPr>
      <w:r w:rsidRPr="00B11643">
        <w:rPr>
          <w:rFonts w:hint="cs"/>
          <w:u w:val="dotted"/>
          <w:rtl/>
        </w:rPr>
        <w:t xml:space="preserve">האם רשאי הבעל להציב לה תנאי </w:t>
      </w:r>
      <w:r w:rsidR="00FD67C7">
        <w:rPr>
          <w:rFonts w:hint="cs"/>
          <w:u w:val="dotted"/>
          <w:rtl/>
        </w:rPr>
        <w:t>"</w:t>
      </w:r>
      <w:r w:rsidRPr="00B11643">
        <w:rPr>
          <w:rFonts w:hint="cs"/>
          <w:u w:val="dotted"/>
          <w:rtl/>
        </w:rPr>
        <w:t>או שתתרפאי מכתובתך או שאגרשך</w:t>
      </w:r>
      <w:r w:rsidR="00FD67C7">
        <w:rPr>
          <w:rFonts w:hint="cs"/>
          <w:u w:val="dotted"/>
          <w:rtl/>
        </w:rPr>
        <w:t>"</w:t>
      </w:r>
      <w:r w:rsidRPr="00B11643">
        <w:rPr>
          <w:rFonts w:hint="cs"/>
          <w:u w:val="dotted"/>
          <w:rtl/>
        </w:rPr>
        <w:t xml:space="preserve">: </w:t>
      </w:r>
    </w:p>
    <w:p w14:paraId="77F97721" w14:textId="7E1840AD" w:rsidR="00C65959" w:rsidRDefault="00C65959" w:rsidP="009000E3">
      <w:pPr>
        <w:pStyle w:val="ab"/>
        <w:numPr>
          <w:ilvl w:val="0"/>
          <w:numId w:val="27"/>
        </w:numPr>
      </w:pPr>
      <w:r w:rsidRPr="00C65959">
        <w:rPr>
          <w:rFonts w:cs="Arial"/>
          <w:rtl/>
        </w:rPr>
        <w:lastRenderedPageBreak/>
        <w:t>רמב"ם</w:t>
      </w:r>
      <w:r w:rsidR="0081407D">
        <w:rPr>
          <w:rFonts w:cs="Arial" w:hint="cs"/>
          <w:rtl/>
        </w:rPr>
        <w:t xml:space="preserve"> </w:t>
      </w:r>
      <w:r w:rsidR="0081407D">
        <w:rPr>
          <w:rFonts w:cs="Arial" w:hint="cs"/>
          <w:sz w:val="16"/>
          <w:szCs w:val="16"/>
          <w:rtl/>
        </w:rPr>
        <w:t>(פי"ד הי"ז)</w:t>
      </w:r>
      <w:r w:rsidR="00B11643">
        <w:rPr>
          <w:rFonts w:cs="Arial" w:hint="cs"/>
          <w:rtl/>
        </w:rPr>
        <w:t xml:space="preserve"> רא"ש </w:t>
      </w:r>
      <w:r w:rsidR="00B11643">
        <w:rPr>
          <w:rFonts w:cs="Arial" w:hint="cs"/>
          <w:sz w:val="16"/>
          <w:szCs w:val="16"/>
          <w:rtl/>
        </w:rPr>
        <w:t>(כ"כ הב"ש [סק"ד] בשמו)</w:t>
      </w:r>
      <w:r w:rsidR="00B11643">
        <w:rPr>
          <w:rFonts w:cs="Arial" w:hint="cs"/>
          <w:rtl/>
        </w:rPr>
        <w:t xml:space="preserve"> וטור</w:t>
      </w:r>
      <w:r w:rsidR="0081407D">
        <w:rPr>
          <w:rFonts w:cs="Arial" w:hint="cs"/>
          <w:rtl/>
        </w:rPr>
        <w:t>-</w:t>
      </w:r>
      <w:r w:rsidRPr="00C65959">
        <w:rPr>
          <w:rFonts w:cs="Arial"/>
          <w:rtl/>
        </w:rPr>
        <w:t xml:space="preserve"> </w:t>
      </w:r>
      <w:r w:rsidR="00B11643" w:rsidRPr="00B11643">
        <w:rPr>
          <w:rFonts w:cs="Arial"/>
          <w:rtl/>
        </w:rPr>
        <w:t xml:space="preserve">ראה שהחולי ארוך ויפסיד ממון הרבה לרפואה ואמר לה </w:t>
      </w:r>
      <w:r w:rsidR="00B03340">
        <w:rPr>
          <w:rFonts w:cs="Arial" w:hint="cs"/>
          <w:rtl/>
        </w:rPr>
        <w:t>"</w:t>
      </w:r>
      <w:r w:rsidR="00B11643" w:rsidRPr="00B11643">
        <w:rPr>
          <w:rFonts w:cs="Arial"/>
          <w:rtl/>
        </w:rPr>
        <w:t>הרי כתובתיך מונחת או רפאי עצמך מכתובתיך או הריני מגרשך ונותן כתובה והולך</w:t>
      </w:r>
      <w:r w:rsidR="00B03340">
        <w:rPr>
          <w:rFonts w:cs="Arial" w:hint="cs"/>
          <w:rtl/>
        </w:rPr>
        <w:t>"</w:t>
      </w:r>
      <w:r w:rsidR="00B11643">
        <w:rPr>
          <w:rFonts w:cs="Arial" w:hint="cs"/>
          <w:rtl/>
        </w:rPr>
        <w:t xml:space="preserve"> -</w:t>
      </w:r>
      <w:r w:rsidR="00B11643" w:rsidRPr="00B11643">
        <w:rPr>
          <w:rFonts w:cs="Arial"/>
          <w:rtl/>
        </w:rPr>
        <w:t xml:space="preserve"> שומעין לו, ואין ראוי לעשות כן מפני דרך ארץ </w:t>
      </w:r>
      <w:r w:rsidR="00B11643">
        <w:rPr>
          <w:rFonts w:cs="Arial" w:hint="cs"/>
          <w:sz w:val="16"/>
          <w:szCs w:val="16"/>
          <w:rtl/>
        </w:rPr>
        <w:t>(ל' הרמב"ם)</w:t>
      </w:r>
      <w:r w:rsidR="00E126A9">
        <w:rPr>
          <w:rFonts w:cs="Arial" w:hint="cs"/>
          <w:rtl/>
        </w:rPr>
        <w:t>.</w:t>
      </w:r>
      <w:r w:rsidR="0081407D" w:rsidRPr="0081407D">
        <w:rPr>
          <w:rFonts w:hint="cs"/>
          <w:color w:val="E36C0A" w:themeColor="accent6" w:themeShade="BF"/>
          <w:rtl/>
        </w:rPr>
        <w:t xml:space="preserve"> </w:t>
      </w:r>
      <w:r w:rsidR="0081407D" w:rsidRPr="00EC5ABC">
        <w:rPr>
          <w:rFonts w:hint="cs"/>
          <w:color w:val="E36C0A" w:themeColor="accent6" w:themeShade="BF"/>
          <w:rtl/>
        </w:rPr>
        <w:t>(וכ"פ בשו"ע)</w:t>
      </w:r>
    </w:p>
    <w:p w14:paraId="348FEF86" w14:textId="3853C179" w:rsidR="00C65959" w:rsidRPr="00C65959" w:rsidRDefault="0081407D" w:rsidP="009000E3">
      <w:pPr>
        <w:pStyle w:val="ab"/>
        <w:numPr>
          <w:ilvl w:val="0"/>
          <w:numId w:val="27"/>
        </w:numPr>
        <w:rPr>
          <w:rtl/>
        </w:rPr>
      </w:pPr>
      <w:r>
        <w:rPr>
          <w:rFonts w:cs="Arial"/>
          <w:rtl/>
        </w:rPr>
        <w:t xml:space="preserve">רשב"א </w:t>
      </w:r>
      <w:r w:rsidRPr="0081407D">
        <w:rPr>
          <w:rFonts w:cs="Arial"/>
          <w:sz w:val="16"/>
          <w:szCs w:val="16"/>
          <w:rtl/>
        </w:rPr>
        <w:t>(נב: ד"ה אמר</w:t>
      </w:r>
      <w:r>
        <w:rPr>
          <w:rFonts w:cs="Arial" w:hint="cs"/>
          <w:sz w:val="16"/>
          <w:szCs w:val="16"/>
          <w:rtl/>
        </w:rPr>
        <w:t>, הביאו הה"מ [שם]</w:t>
      </w:r>
      <w:r w:rsidRPr="0081407D">
        <w:rPr>
          <w:rFonts w:cs="Arial"/>
          <w:sz w:val="16"/>
          <w:szCs w:val="16"/>
          <w:rtl/>
        </w:rPr>
        <w:t>)</w:t>
      </w:r>
      <w:r w:rsidRPr="0081407D">
        <w:rPr>
          <w:rFonts w:cs="Arial"/>
          <w:rtl/>
        </w:rPr>
        <w:t xml:space="preserve"> </w:t>
      </w:r>
      <w:r>
        <w:rPr>
          <w:rFonts w:cs="Arial"/>
          <w:rtl/>
        </w:rPr>
        <w:t xml:space="preserve">ור"ן </w:t>
      </w:r>
      <w:r w:rsidRPr="0081407D">
        <w:rPr>
          <w:rFonts w:cs="Arial" w:hint="cs"/>
          <w:sz w:val="16"/>
          <w:szCs w:val="16"/>
          <w:rtl/>
        </w:rPr>
        <w:t>(</w:t>
      </w:r>
      <w:r w:rsidRPr="0081407D">
        <w:rPr>
          <w:rFonts w:cs="Arial"/>
          <w:sz w:val="16"/>
          <w:szCs w:val="16"/>
          <w:rtl/>
        </w:rPr>
        <w:t>פרק נערה שנתפתתה יט. ד"ה מתני')</w:t>
      </w:r>
      <w:r>
        <w:rPr>
          <w:rFonts w:cs="Arial" w:hint="cs"/>
          <w:rtl/>
        </w:rPr>
        <w:t>-</w:t>
      </w:r>
      <w:r>
        <w:rPr>
          <w:rFonts w:cs="Arial"/>
          <w:rtl/>
        </w:rPr>
        <w:t xml:space="preserve"> תניא בספרי </w:t>
      </w:r>
      <w:r w:rsidRPr="0081407D">
        <w:rPr>
          <w:rFonts w:cs="Arial"/>
          <w:sz w:val="16"/>
          <w:szCs w:val="16"/>
          <w:rtl/>
        </w:rPr>
        <w:t>(כי תצא פסקא ריד)</w:t>
      </w:r>
      <w:r>
        <w:rPr>
          <w:rFonts w:cs="Arial"/>
          <w:rtl/>
        </w:rPr>
        <w:t xml:space="preserve"> ושלחתה לנפשה </w:t>
      </w:r>
      <w:r w:rsidRPr="0081407D">
        <w:rPr>
          <w:rFonts w:cs="Arial"/>
          <w:sz w:val="16"/>
          <w:szCs w:val="16"/>
          <w:rtl/>
        </w:rPr>
        <w:t xml:space="preserve">(דברים כא יד) </w:t>
      </w:r>
      <w:r>
        <w:rPr>
          <w:rFonts w:cs="Arial"/>
          <w:rtl/>
        </w:rPr>
        <w:t>מלמד שאם היתה חולה תמתין לה עד שתתרפא</w:t>
      </w:r>
      <w:r>
        <w:rPr>
          <w:rFonts w:cs="Arial" w:hint="cs"/>
          <w:rtl/>
        </w:rPr>
        <w:t>,</w:t>
      </w:r>
      <w:r>
        <w:rPr>
          <w:rFonts w:cs="Arial"/>
          <w:rtl/>
        </w:rPr>
        <w:t xml:space="preserve"> ופירשה הראב"ד במוטלת על המטה</w:t>
      </w:r>
      <w:r>
        <w:rPr>
          <w:rFonts w:cs="Arial" w:hint="cs"/>
          <w:rtl/>
        </w:rPr>
        <w:t>.</w:t>
      </w:r>
      <w:r>
        <w:rPr>
          <w:rFonts w:cs="Arial"/>
          <w:rtl/>
        </w:rPr>
        <w:t xml:space="preserve"> </w:t>
      </w:r>
      <w:r w:rsidRPr="0081407D">
        <w:rPr>
          <w:rFonts w:cs="Arial"/>
          <w:rtl/>
        </w:rPr>
        <w:t xml:space="preserve">וכיון דביפת תואר אמרו </w:t>
      </w:r>
      <w:r w:rsidR="00F97626">
        <w:rPr>
          <w:rFonts w:cs="Arial"/>
          <w:rtl/>
        </w:rPr>
        <w:t>-</w:t>
      </w:r>
      <w:r>
        <w:rPr>
          <w:rFonts w:cs="Arial" w:hint="cs"/>
          <w:rtl/>
        </w:rPr>
        <w:t xml:space="preserve"> </w:t>
      </w:r>
      <w:r w:rsidRPr="0081407D">
        <w:rPr>
          <w:rFonts w:cs="Arial"/>
          <w:rtl/>
        </w:rPr>
        <w:t>כ</w:t>
      </w:r>
      <w:r>
        <w:rPr>
          <w:rFonts w:cs="Arial" w:hint="cs"/>
          <w:rtl/>
        </w:rPr>
        <w:t xml:space="preserve">ל </w:t>
      </w:r>
      <w:r w:rsidRPr="0081407D">
        <w:rPr>
          <w:rFonts w:cs="Arial"/>
          <w:rtl/>
        </w:rPr>
        <w:t>ש</w:t>
      </w:r>
      <w:r>
        <w:rPr>
          <w:rFonts w:cs="Arial" w:hint="cs"/>
          <w:rtl/>
        </w:rPr>
        <w:t>כן</w:t>
      </w:r>
      <w:r w:rsidRPr="0081407D">
        <w:rPr>
          <w:rFonts w:cs="Arial"/>
          <w:rtl/>
        </w:rPr>
        <w:t xml:space="preserve"> בבנות ישראל הקדושות שאם היא מוטלת על המטה שאינו יכול לגרשה עד שתתרפא</w:t>
      </w:r>
      <w:r>
        <w:rPr>
          <w:rFonts w:cs="Arial" w:hint="cs"/>
          <w:rtl/>
        </w:rPr>
        <w:t>,</w:t>
      </w:r>
      <w:r w:rsidRPr="0081407D">
        <w:rPr>
          <w:rFonts w:cs="Arial"/>
          <w:rtl/>
        </w:rPr>
        <w:t xml:space="preserve"> ומתני' בשאינה מוטלת על המטה</w:t>
      </w:r>
      <w:r>
        <w:rPr>
          <w:rFonts w:cs="Arial" w:hint="cs"/>
          <w:sz w:val="16"/>
          <w:szCs w:val="16"/>
          <w:rtl/>
        </w:rPr>
        <w:t xml:space="preserve"> (ל' הרשב"א)</w:t>
      </w:r>
      <w:r>
        <w:rPr>
          <w:rStyle w:val="a7"/>
          <w:rtl/>
        </w:rPr>
        <w:footnoteReference w:id="644"/>
      </w:r>
      <w:r>
        <w:rPr>
          <w:rFonts w:hint="cs"/>
          <w:rtl/>
        </w:rPr>
        <w:t>.</w:t>
      </w:r>
    </w:p>
    <w:p w14:paraId="363B8899" w14:textId="77777777" w:rsidR="00C65959" w:rsidRDefault="00C65959" w:rsidP="00C65959">
      <w:pPr>
        <w:rPr>
          <w:rFonts w:cs="Arial"/>
          <w:rtl/>
        </w:rPr>
      </w:pPr>
      <w:r w:rsidRPr="003024E5">
        <w:rPr>
          <w:rFonts w:asciiTheme="minorBidi" w:hAnsiTheme="minorBidi"/>
          <w:b/>
          <w:bCs/>
          <w:color w:val="000000"/>
          <w:sz w:val="28"/>
          <w:szCs w:val="28"/>
          <w:u w:val="single"/>
          <w:rtl/>
        </w:rPr>
        <w:t>שו"ע:</w:t>
      </w:r>
    </w:p>
    <w:p w14:paraId="2BFE9D23" w14:textId="310ACF1D" w:rsidR="000D2069" w:rsidRPr="000D2069" w:rsidRDefault="000D2069" w:rsidP="000D2069">
      <w:pPr>
        <w:rPr>
          <w:rtl/>
        </w:rPr>
        <w:sectPr w:rsidR="000D2069" w:rsidRPr="000D2069" w:rsidSect="00A347B3">
          <w:headerReference w:type="default" r:id="rId22"/>
          <w:footnotePr>
            <w:numRestart w:val="eachSect"/>
          </w:footnotePr>
          <w:pgSz w:w="11906" w:h="16838"/>
          <w:pgMar w:top="720" w:right="1134" w:bottom="720" w:left="1134" w:header="0" w:footer="0" w:gutter="0"/>
          <w:cols w:space="720"/>
          <w:bidi/>
          <w:rtlGutter/>
          <w:docGrid w:linePitch="360"/>
        </w:sectPr>
      </w:pPr>
      <w:r>
        <w:rPr>
          <w:rFonts w:cs="Arial"/>
          <w:rtl/>
        </w:rPr>
        <w:t>אם ראה הבעל שהחולי ארוך</w:t>
      </w:r>
      <w:r w:rsidR="00B11643">
        <w:rPr>
          <w:rStyle w:val="a7"/>
          <w:rFonts w:cs="Arial"/>
          <w:rtl/>
        </w:rPr>
        <w:footnoteReference w:id="645"/>
      </w:r>
      <w:r>
        <w:rPr>
          <w:rFonts w:cs="Arial"/>
          <w:rtl/>
        </w:rPr>
        <w:t>, יכול לומר לה: הרי כתובתיך מונחת, או רפאי עצמך מכתובתיך או הריני מגרשך ונותן כתובה</w:t>
      </w:r>
      <w:r w:rsidR="001702D1">
        <w:rPr>
          <w:rStyle w:val="a7"/>
          <w:rFonts w:cs="Arial"/>
          <w:rtl/>
        </w:rPr>
        <w:footnoteReference w:id="646"/>
      </w:r>
      <w:r w:rsidR="00E126A9">
        <w:rPr>
          <w:rFonts w:cs="Arial" w:hint="cs"/>
          <w:rtl/>
        </w:rPr>
        <w:t>.</w:t>
      </w:r>
      <w:r>
        <w:rPr>
          <w:rFonts w:cs="Arial"/>
          <w:rtl/>
        </w:rPr>
        <w:t xml:space="preserve"> ואין ראוי לעשות כן מפני דרך ארץ.</w:t>
      </w:r>
    </w:p>
    <w:p w14:paraId="08EF827E" w14:textId="75080FCF" w:rsidR="000D2069" w:rsidRDefault="00942887" w:rsidP="000D2069">
      <w:pPr>
        <w:pStyle w:val="1"/>
        <w:rPr>
          <w:rtl/>
        </w:rPr>
      </w:pPr>
      <w:r>
        <w:rPr>
          <w:rFonts w:hint="cs"/>
          <w:rtl/>
        </w:rPr>
        <w:lastRenderedPageBreak/>
        <w:t xml:space="preserve">סימן </w:t>
      </w:r>
      <w:r w:rsidR="001E098A">
        <w:rPr>
          <w:rFonts w:hint="cs"/>
          <w:rtl/>
        </w:rPr>
        <w:t>פ</w:t>
      </w:r>
      <w:r>
        <w:rPr>
          <w:rFonts w:hint="cs"/>
          <w:rtl/>
        </w:rPr>
        <w:t>:</w:t>
      </w:r>
      <w:r w:rsidRPr="00C12B74">
        <w:rPr>
          <w:rtl/>
        </w:rPr>
        <w:t xml:space="preserve"> </w:t>
      </w:r>
      <w:r w:rsidR="000D2069">
        <w:rPr>
          <w:rFonts w:cs="Arial"/>
          <w:rtl/>
        </w:rPr>
        <w:t xml:space="preserve">מעשה ידיה שהיא חייבת לבעלה, ודיני מניקה ושאינה רוצה לעשות מלאכה, ובו י"ח סעיפים. </w:t>
      </w:r>
    </w:p>
    <w:p w14:paraId="676DDED5" w14:textId="36BC0F51" w:rsidR="000D2069" w:rsidRDefault="000D2069" w:rsidP="000F64D0">
      <w:pPr>
        <w:pStyle w:val="2"/>
        <w:rPr>
          <w:rtl/>
        </w:rPr>
      </w:pPr>
      <w:r>
        <w:rPr>
          <w:rtl/>
        </w:rPr>
        <w:t>סעיף א</w:t>
      </w:r>
      <w:r w:rsidR="004D0526">
        <w:rPr>
          <w:rFonts w:hint="cs"/>
          <w:rtl/>
        </w:rPr>
        <w:t>:</w:t>
      </w:r>
      <w:r w:rsidR="003E7259">
        <w:rPr>
          <w:rFonts w:hint="cs"/>
          <w:rtl/>
        </w:rPr>
        <w:t xml:space="preserve"> מעשה ידיה שהיא חייבת לבעלה.</w:t>
      </w:r>
    </w:p>
    <w:p w14:paraId="2A72BDE0" w14:textId="2D430524" w:rsidR="00FC47B7" w:rsidRDefault="00FC47B7" w:rsidP="00FC47B7">
      <w:pPr>
        <w:rPr>
          <w:rtl/>
        </w:rPr>
      </w:pPr>
      <w:r w:rsidRPr="00AB0AB9">
        <w:rPr>
          <w:rFonts w:cs="Arial" w:hint="cs"/>
          <w:b/>
          <w:bCs/>
          <w:rtl/>
        </w:rPr>
        <w:t>כתובות</w:t>
      </w:r>
      <w:r>
        <w:rPr>
          <w:rFonts w:cs="Arial" w:hint="cs"/>
          <w:b/>
          <w:bCs/>
          <w:rtl/>
        </w:rPr>
        <w:t xml:space="preserve"> </w:t>
      </w:r>
      <w:r>
        <w:rPr>
          <w:rFonts w:cs="Arial" w:hint="cs"/>
          <w:b/>
          <w:bCs/>
          <w:sz w:val="16"/>
          <w:szCs w:val="16"/>
          <w:rtl/>
        </w:rPr>
        <w:t>(</w:t>
      </w:r>
      <w:r w:rsidR="00104E5F">
        <w:rPr>
          <w:rFonts w:cs="Arial" w:hint="cs"/>
          <w:b/>
          <w:bCs/>
          <w:sz w:val="16"/>
          <w:szCs w:val="16"/>
          <w:rtl/>
        </w:rPr>
        <w:t>ר"</w:t>
      </w:r>
      <w:r>
        <w:rPr>
          <w:rFonts w:cs="Arial" w:hint="cs"/>
          <w:b/>
          <w:bCs/>
          <w:sz w:val="16"/>
          <w:szCs w:val="16"/>
          <w:rtl/>
        </w:rPr>
        <w:t xml:space="preserve">פ </w:t>
      </w:r>
      <w:r w:rsidR="00104E5F">
        <w:rPr>
          <w:rFonts w:cs="Arial" w:hint="cs"/>
          <w:b/>
          <w:bCs/>
          <w:sz w:val="16"/>
          <w:szCs w:val="16"/>
          <w:rtl/>
        </w:rPr>
        <w:t>מציאת האשה</w:t>
      </w:r>
      <w:r>
        <w:rPr>
          <w:rFonts w:cs="Arial" w:hint="cs"/>
          <w:b/>
          <w:bCs/>
          <w:sz w:val="16"/>
          <w:szCs w:val="16"/>
          <w:rtl/>
        </w:rPr>
        <w:t>)</w:t>
      </w:r>
      <w:r w:rsidRPr="00AB0AB9">
        <w:rPr>
          <w:rFonts w:cs="Arial" w:hint="cs"/>
          <w:b/>
          <w:bCs/>
          <w:rtl/>
        </w:rPr>
        <w:t xml:space="preserve"> </w:t>
      </w:r>
      <w:r w:rsidR="00104E5F">
        <w:rPr>
          <w:rFonts w:cs="Arial" w:hint="cs"/>
          <w:b/>
          <w:bCs/>
          <w:rtl/>
        </w:rPr>
        <w:t>סה</w:t>
      </w:r>
      <w:r w:rsidRPr="00AB0AB9">
        <w:rPr>
          <w:rFonts w:cs="Arial" w:hint="cs"/>
          <w:b/>
          <w:bCs/>
          <w:rtl/>
        </w:rPr>
        <w:t xml:space="preserve"> ע"ב: </w:t>
      </w:r>
      <w:r w:rsidR="00104E5F" w:rsidRPr="00390A65">
        <w:rPr>
          <w:rFonts w:cs="Arial"/>
          <w:u w:val="double"/>
          <w:rtl/>
        </w:rPr>
        <w:t>מתני'</w:t>
      </w:r>
      <w:r w:rsidR="00104E5F">
        <w:rPr>
          <w:rFonts w:cs="Arial" w:hint="cs"/>
          <w:rtl/>
        </w:rPr>
        <w:t>:</w:t>
      </w:r>
      <w:r w:rsidR="00104E5F" w:rsidRPr="00104E5F">
        <w:rPr>
          <w:rFonts w:cs="Arial"/>
          <w:rtl/>
        </w:rPr>
        <w:t xml:space="preserve"> מציאת האשה ומעשה ידיה </w:t>
      </w:r>
      <w:r w:rsidR="000B6127">
        <w:rPr>
          <w:rFonts w:cs="Arial" w:hint="cs"/>
          <w:rtl/>
        </w:rPr>
        <w:t xml:space="preserve">- </w:t>
      </w:r>
      <w:r w:rsidR="00104E5F" w:rsidRPr="00104E5F">
        <w:rPr>
          <w:rFonts w:cs="Arial"/>
          <w:rtl/>
        </w:rPr>
        <w:t>לבעלה</w:t>
      </w:r>
      <w:r>
        <w:rPr>
          <w:rFonts w:hint="cs"/>
          <w:rtl/>
        </w:rPr>
        <w:t>.</w:t>
      </w:r>
    </w:p>
    <w:p w14:paraId="1157688F" w14:textId="74182701" w:rsidR="00B9555E" w:rsidRDefault="00390A65" w:rsidP="00390A65">
      <w:pPr>
        <w:rPr>
          <w:rtl/>
        </w:rPr>
      </w:pPr>
      <w:r w:rsidRPr="00AB0AB9">
        <w:rPr>
          <w:rFonts w:cs="Arial" w:hint="cs"/>
          <w:b/>
          <w:bCs/>
          <w:rtl/>
        </w:rPr>
        <w:t>כתובות</w:t>
      </w:r>
      <w:r>
        <w:rPr>
          <w:rFonts w:cs="Arial" w:hint="cs"/>
          <w:b/>
          <w:bCs/>
          <w:rtl/>
        </w:rPr>
        <w:t xml:space="preserve"> </w:t>
      </w:r>
      <w:r>
        <w:rPr>
          <w:rFonts w:cs="Arial" w:hint="cs"/>
          <w:b/>
          <w:bCs/>
          <w:sz w:val="16"/>
          <w:szCs w:val="16"/>
          <w:rtl/>
        </w:rPr>
        <w:t>(פ' אף על פי)</w:t>
      </w:r>
      <w:r w:rsidRPr="00AB0AB9">
        <w:rPr>
          <w:rFonts w:cs="Arial" w:hint="cs"/>
          <w:b/>
          <w:bCs/>
          <w:rtl/>
        </w:rPr>
        <w:t xml:space="preserve"> </w:t>
      </w:r>
      <w:r>
        <w:rPr>
          <w:rFonts w:cs="Arial" w:hint="cs"/>
          <w:b/>
          <w:bCs/>
          <w:rtl/>
        </w:rPr>
        <w:t>נט</w:t>
      </w:r>
      <w:r w:rsidR="007D5E49">
        <w:rPr>
          <w:rStyle w:val="a7"/>
          <w:rFonts w:cs="Arial"/>
          <w:b/>
          <w:bCs/>
          <w:rtl/>
        </w:rPr>
        <w:footnoteReference w:id="647"/>
      </w:r>
      <w:r w:rsidRPr="00AB0AB9">
        <w:rPr>
          <w:rFonts w:cs="Arial" w:hint="cs"/>
          <w:b/>
          <w:bCs/>
          <w:rtl/>
        </w:rPr>
        <w:t xml:space="preserve"> ע"ב: </w:t>
      </w:r>
      <w:r w:rsidRPr="00390A65">
        <w:rPr>
          <w:rFonts w:cs="Arial"/>
          <w:u w:val="double"/>
          <w:rtl/>
        </w:rPr>
        <w:t>מתני'</w:t>
      </w:r>
      <w:r>
        <w:rPr>
          <w:rFonts w:cs="Arial" w:hint="cs"/>
          <w:rtl/>
        </w:rPr>
        <w:t>:</w:t>
      </w:r>
      <w:r>
        <w:rPr>
          <w:rFonts w:cs="Arial"/>
          <w:rtl/>
        </w:rPr>
        <w:t xml:space="preserve"> ואלו מלאכות שהאשה עושה לבעלה: טוחנת, ואופה, ומכבסת, מבשלת, ומניקה את בנה, מצעת לו המטה, ועושה בצמר.</w:t>
      </w:r>
      <w:r w:rsidR="00B35BDB" w:rsidRPr="00B35BDB">
        <w:rPr>
          <w:rtl/>
        </w:rPr>
        <w:t xml:space="preserve"> </w:t>
      </w:r>
      <w:r w:rsidR="00B35BDB" w:rsidRPr="00B35BDB">
        <w:rPr>
          <w:rFonts w:cs="Arial"/>
          <w:rtl/>
        </w:rPr>
        <w:t>הכניסה לו שפחה אחת - לא טוחנת ולא אופה ולא מכבסת</w:t>
      </w:r>
      <w:r w:rsidR="00B35BDB">
        <w:rPr>
          <w:rFonts w:cs="Arial" w:hint="cs"/>
          <w:rtl/>
        </w:rPr>
        <w:t>.</w:t>
      </w:r>
      <w:r w:rsidR="00B35BDB" w:rsidRPr="00B35BDB">
        <w:rPr>
          <w:rFonts w:cs="Arial"/>
          <w:rtl/>
        </w:rPr>
        <w:t xml:space="preserve"> שתים - אין מבשלת ואין מניקה את בנה</w:t>
      </w:r>
      <w:r w:rsidR="00B35BDB">
        <w:rPr>
          <w:rFonts w:cs="Arial" w:hint="cs"/>
          <w:rtl/>
        </w:rPr>
        <w:t>.</w:t>
      </w:r>
      <w:r w:rsidR="00B35BDB" w:rsidRPr="00B35BDB">
        <w:rPr>
          <w:rFonts w:cs="Arial"/>
          <w:rtl/>
        </w:rPr>
        <w:t xml:space="preserve"> שלש - אין מצעת לו המטה ואין עושה בצמר</w:t>
      </w:r>
      <w:r w:rsidR="00B35BDB">
        <w:rPr>
          <w:rFonts w:cs="Arial" w:hint="cs"/>
          <w:rtl/>
        </w:rPr>
        <w:t>.</w:t>
      </w:r>
      <w:r w:rsidR="00B35BDB" w:rsidRPr="00B35BDB">
        <w:rPr>
          <w:rFonts w:cs="Arial"/>
          <w:rtl/>
        </w:rPr>
        <w:t xml:space="preserve"> ארבע - יושבת בקתדרא</w:t>
      </w:r>
      <w:r w:rsidR="00B35BDB">
        <w:rPr>
          <w:rFonts w:cs="Arial" w:hint="cs"/>
          <w:rtl/>
        </w:rPr>
        <w:t>.</w:t>
      </w:r>
      <w:r w:rsidR="00B35BDB" w:rsidRPr="00B35BDB">
        <w:rPr>
          <w:rFonts w:cs="Arial"/>
          <w:rtl/>
        </w:rPr>
        <w:t xml:space="preserve"> </w:t>
      </w:r>
      <w:r w:rsidR="00B35BDB" w:rsidRPr="00B35BDB">
        <w:rPr>
          <w:rFonts w:cs="Arial"/>
          <w:u w:val="single"/>
          <w:rtl/>
        </w:rPr>
        <w:t>רבי אליעזר אומר</w:t>
      </w:r>
      <w:r w:rsidR="00B35BDB" w:rsidRPr="00B35BDB">
        <w:rPr>
          <w:rFonts w:cs="Arial"/>
          <w:rtl/>
        </w:rPr>
        <w:t xml:space="preserve">: אפי' הכניסה לו מאה שפחות - כופה לעשות בצמר, שהבטלה מביאה לידי זימה. </w:t>
      </w:r>
      <w:r w:rsidR="00B35BDB" w:rsidRPr="00986CA6">
        <w:rPr>
          <w:rFonts w:cs="Arial"/>
          <w:u w:val="single"/>
          <w:rtl/>
        </w:rPr>
        <w:t>רשב"ג אומר</w:t>
      </w:r>
      <w:r w:rsidR="00B35BDB" w:rsidRPr="00B35BDB">
        <w:rPr>
          <w:rFonts w:cs="Arial"/>
          <w:rtl/>
        </w:rPr>
        <w:t>: אף המדיר את אשתו מלעשות מלאכה - יוציא ויתן כתובה, שהבטלה מביאה לידי שיעמום</w:t>
      </w:r>
      <w:r>
        <w:rPr>
          <w:rFonts w:cs="Arial"/>
          <w:rtl/>
        </w:rPr>
        <w:t xml:space="preserve">. </w:t>
      </w:r>
      <w:r>
        <w:rPr>
          <w:rFonts w:hint="cs"/>
          <w:rtl/>
        </w:rPr>
        <w:t xml:space="preserve">      </w:t>
      </w:r>
      <w:r w:rsidRPr="00390A65">
        <w:rPr>
          <w:rFonts w:cs="Arial"/>
          <w:u w:val="double"/>
          <w:rtl/>
        </w:rPr>
        <w:t>גמ'</w:t>
      </w:r>
      <w:r>
        <w:rPr>
          <w:rFonts w:cs="Arial" w:hint="cs"/>
          <w:rtl/>
        </w:rPr>
        <w:t>:</w:t>
      </w:r>
      <w:r>
        <w:rPr>
          <w:rFonts w:cs="Arial"/>
          <w:rtl/>
        </w:rPr>
        <w:t xml:space="preserve"> טוחנת ס"ד</w:t>
      </w:r>
      <w:r w:rsidR="00296704">
        <w:rPr>
          <w:rStyle w:val="a7"/>
          <w:rFonts w:cs="Arial"/>
          <w:rtl/>
        </w:rPr>
        <w:footnoteReference w:id="648"/>
      </w:r>
      <w:r>
        <w:rPr>
          <w:rFonts w:cs="Arial"/>
          <w:rtl/>
        </w:rPr>
        <w:t>? אלא אימא: מטחנת</w:t>
      </w:r>
      <w:r w:rsidR="00E45CC9">
        <w:rPr>
          <w:rStyle w:val="a7"/>
          <w:rFonts w:cs="Arial"/>
          <w:rtl/>
        </w:rPr>
        <w:footnoteReference w:id="649"/>
      </w:r>
      <w:r>
        <w:rPr>
          <w:rFonts w:cs="Arial"/>
          <w:rtl/>
        </w:rPr>
        <w:t>. ואיבעית אימא</w:t>
      </w:r>
      <w:r w:rsidR="00E45CC9">
        <w:rPr>
          <w:rStyle w:val="a7"/>
          <w:rFonts w:cs="Arial"/>
          <w:rtl/>
        </w:rPr>
        <w:footnoteReference w:id="650"/>
      </w:r>
      <w:r>
        <w:rPr>
          <w:rFonts w:cs="Arial"/>
          <w:rtl/>
        </w:rPr>
        <w:t>: בריחיא דידא</w:t>
      </w:r>
      <w:r w:rsidR="00E45CC9">
        <w:rPr>
          <w:rStyle w:val="a7"/>
          <w:rFonts w:cs="Arial"/>
          <w:rtl/>
        </w:rPr>
        <w:footnoteReference w:id="651"/>
      </w:r>
      <w:r>
        <w:rPr>
          <w:rFonts w:cs="Arial"/>
          <w:rtl/>
        </w:rPr>
        <w:t>.</w:t>
      </w:r>
      <w:r w:rsidR="00F92E28">
        <w:rPr>
          <w:rFonts w:hint="cs"/>
          <w:rtl/>
        </w:rPr>
        <w:t xml:space="preserve">.. </w:t>
      </w:r>
      <w:r w:rsidR="00F92E28">
        <w:rPr>
          <w:rFonts w:hint="cs"/>
          <w:sz w:val="14"/>
          <w:szCs w:val="14"/>
          <w:rtl/>
        </w:rPr>
        <w:t xml:space="preserve">(סא:) </w:t>
      </w:r>
      <w:r w:rsidR="00F92E28" w:rsidRPr="00F92E28">
        <w:rPr>
          <w:rFonts w:cs="Arial"/>
          <w:rtl/>
        </w:rPr>
        <w:t>ועושה בצמר. בצמר אין, בפשתים לא, מתני' מני? ר' יהודה היא</w:t>
      </w:r>
      <w:r w:rsidR="00F92E28">
        <w:rPr>
          <w:rFonts w:cs="Arial" w:hint="cs"/>
          <w:rtl/>
        </w:rPr>
        <w:t>,</w:t>
      </w:r>
      <w:r w:rsidR="00F92E28" w:rsidRPr="00F92E28">
        <w:rPr>
          <w:rFonts w:cs="Arial"/>
          <w:rtl/>
        </w:rPr>
        <w:t xml:space="preserve"> דתניא: אינו כופה לא לעמוד לפני אביו, ולא לעמוד לפני בנו, ולא ליתן תבן לפני בהמתו, אבל כופה ליתן תבן לפני בקרו</w:t>
      </w:r>
      <w:r w:rsidR="00F92E28">
        <w:rPr>
          <w:rFonts w:cs="Arial" w:hint="cs"/>
          <w:rtl/>
        </w:rPr>
        <w:t>.</w:t>
      </w:r>
      <w:r w:rsidR="00F92E28" w:rsidRPr="00F92E28">
        <w:rPr>
          <w:rFonts w:cs="Arial"/>
          <w:rtl/>
        </w:rPr>
        <w:t xml:space="preserve"> </w:t>
      </w:r>
      <w:r w:rsidR="00F92E28" w:rsidRPr="00F92E28">
        <w:rPr>
          <w:rFonts w:cs="Arial"/>
          <w:u w:val="single"/>
          <w:rtl/>
        </w:rPr>
        <w:t>רבי יהודה אומר</w:t>
      </w:r>
      <w:r w:rsidR="00F92E28" w:rsidRPr="00F92E28">
        <w:rPr>
          <w:rFonts w:cs="Arial"/>
          <w:rtl/>
        </w:rPr>
        <w:t>: אף אינו כופה לעשות בפשתן, מפני שפשתן מסריח את הפה ומשרבט את השפתים. והני מילי בכיתנא רומאה.</w:t>
      </w:r>
      <w:r w:rsidR="001C664D">
        <w:rPr>
          <w:rFonts w:hint="cs"/>
          <w:rtl/>
        </w:rPr>
        <w:t xml:space="preserve">.. </w:t>
      </w:r>
      <w:r w:rsidR="001C664D" w:rsidRPr="001C664D">
        <w:rPr>
          <w:rFonts w:cs="Arial"/>
          <w:rtl/>
        </w:rPr>
        <w:t xml:space="preserve">ר' אליעזר אומר: אפילו הכניסה לו מאה שפחות. </w:t>
      </w:r>
      <w:r w:rsidR="001C664D" w:rsidRPr="001C664D">
        <w:rPr>
          <w:rFonts w:cs="Arial"/>
          <w:u w:val="single"/>
          <w:rtl/>
        </w:rPr>
        <w:t>אמר רב מלכיו אמר רב אדא בר אהבה</w:t>
      </w:r>
      <w:r w:rsidR="001C664D" w:rsidRPr="001C664D">
        <w:rPr>
          <w:rFonts w:cs="Arial"/>
          <w:rtl/>
        </w:rPr>
        <w:t>: הלכה כרבי אליעזר</w:t>
      </w:r>
      <w:r w:rsidR="00D04A54">
        <w:rPr>
          <w:rFonts w:cs="Arial" w:hint="cs"/>
          <w:rtl/>
        </w:rPr>
        <w:t>..</w:t>
      </w:r>
      <w:r w:rsidR="001C664D" w:rsidRPr="001C664D">
        <w:rPr>
          <w:rFonts w:cs="Arial"/>
          <w:rtl/>
        </w:rPr>
        <w:t>.</w:t>
      </w:r>
      <w:r w:rsidR="00D04A54" w:rsidRPr="00D04A54">
        <w:rPr>
          <w:rtl/>
        </w:rPr>
        <w:t xml:space="preserve"> </w:t>
      </w:r>
      <w:r w:rsidR="00D04A54" w:rsidRPr="00D04A54">
        <w:rPr>
          <w:rFonts w:cs="Arial"/>
          <w:rtl/>
        </w:rPr>
        <w:t>רשב"ג אומר וכו'. היינו תנא קמא</w:t>
      </w:r>
      <w:r w:rsidR="00D04A54">
        <w:rPr>
          <w:rStyle w:val="a7"/>
          <w:rFonts w:cs="Arial"/>
          <w:rtl/>
        </w:rPr>
        <w:footnoteReference w:id="652"/>
      </w:r>
      <w:r w:rsidR="00D04A54" w:rsidRPr="00D04A54">
        <w:rPr>
          <w:rFonts w:cs="Arial"/>
          <w:rtl/>
        </w:rPr>
        <w:t>! איכא בינייהו, דמיטללא בגורייתא קיטנייתא ונדרשיר</w:t>
      </w:r>
      <w:r w:rsidR="00D04A54">
        <w:rPr>
          <w:rStyle w:val="a7"/>
          <w:rFonts w:cs="Arial"/>
          <w:rtl/>
        </w:rPr>
        <w:footnoteReference w:id="653"/>
      </w:r>
      <w:r w:rsidR="00D04A54" w:rsidRPr="00D04A54">
        <w:rPr>
          <w:rFonts w:cs="Arial"/>
          <w:rtl/>
        </w:rPr>
        <w:t>.</w:t>
      </w:r>
    </w:p>
    <w:p w14:paraId="0D8C8FB0" w14:textId="31026199" w:rsidR="00F92E28" w:rsidRDefault="00F92E28" w:rsidP="00390A65">
      <w:pPr>
        <w:rPr>
          <w:rtl/>
        </w:rPr>
      </w:pPr>
      <w:r w:rsidRPr="00AB0AB9">
        <w:rPr>
          <w:rFonts w:cs="Arial" w:hint="cs"/>
          <w:b/>
          <w:bCs/>
          <w:rtl/>
        </w:rPr>
        <w:t>כתובות</w:t>
      </w:r>
      <w:r>
        <w:rPr>
          <w:rFonts w:cs="Arial" w:hint="cs"/>
          <w:b/>
          <w:bCs/>
          <w:rtl/>
        </w:rPr>
        <w:t xml:space="preserve"> </w:t>
      </w:r>
      <w:r>
        <w:rPr>
          <w:rFonts w:cs="Arial" w:hint="cs"/>
          <w:b/>
          <w:bCs/>
          <w:sz w:val="16"/>
          <w:szCs w:val="16"/>
          <w:rtl/>
        </w:rPr>
        <w:t>(פ' אף על פי)</w:t>
      </w:r>
      <w:r w:rsidRPr="00AB0AB9">
        <w:rPr>
          <w:rFonts w:cs="Arial" w:hint="cs"/>
          <w:b/>
          <w:bCs/>
          <w:rtl/>
        </w:rPr>
        <w:t xml:space="preserve"> </w:t>
      </w:r>
      <w:r>
        <w:rPr>
          <w:rFonts w:cs="Arial" w:hint="cs"/>
          <w:b/>
          <w:bCs/>
          <w:rtl/>
        </w:rPr>
        <w:t>סד</w:t>
      </w:r>
      <w:r w:rsidR="008D551F">
        <w:rPr>
          <w:rStyle w:val="a7"/>
          <w:rFonts w:cs="Arial"/>
          <w:b/>
          <w:bCs/>
          <w:rtl/>
        </w:rPr>
        <w:footnoteReference w:id="654"/>
      </w:r>
      <w:r w:rsidRPr="00AB0AB9">
        <w:rPr>
          <w:rFonts w:cs="Arial" w:hint="cs"/>
          <w:b/>
          <w:bCs/>
          <w:rtl/>
        </w:rPr>
        <w:t xml:space="preserve"> ע"ב: </w:t>
      </w:r>
      <w:r w:rsidRPr="00390A65">
        <w:rPr>
          <w:rFonts w:cs="Arial"/>
          <w:u w:val="double"/>
          <w:rtl/>
        </w:rPr>
        <w:t>מתני'</w:t>
      </w:r>
      <w:r>
        <w:rPr>
          <w:rFonts w:cs="Arial" w:hint="cs"/>
          <w:rtl/>
        </w:rPr>
        <w:t xml:space="preserve">: </w:t>
      </w:r>
      <w:r w:rsidRPr="00F92E28">
        <w:rPr>
          <w:rFonts w:cs="Arial"/>
          <w:rtl/>
        </w:rPr>
        <w:t>המשרה את אשתו על ידי שליש</w:t>
      </w:r>
      <w:r>
        <w:rPr>
          <w:rFonts w:cs="Arial" w:hint="cs"/>
          <w:rtl/>
        </w:rPr>
        <w:t>...</w:t>
      </w:r>
      <w:r w:rsidRPr="00F92E28">
        <w:rPr>
          <w:rFonts w:cs="Arial"/>
          <w:rtl/>
        </w:rPr>
        <w:t xml:space="preserve"> נותן לה מעה כסף לצורכה.</w:t>
      </w:r>
      <w:r>
        <w:rPr>
          <w:rFonts w:cs="Arial" w:hint="cs"/>
          <w:rtl/>
        </w:rPr>
        <w:t>..</w:t>
      </w:r>
      <w:r w:rsidRPr="00F92E28">
        <w:rPr>
          <w:rFonts w:cs="Arial"/>
          <w:rtl/>
        </w:rPr>
        <w:t xml:space="preserve"> ואם אין נותן לה מעה כסף לצורכה - מעשה ידיה שלה. ומה היא עושה לו? משקל חמש סלעים שתי ביהודה שהן עשר סלעים בגליל, או משקל עשר סלעים ערב ביהודה שהן עשרים סלעים בגליל. ואם היתה מניקה - פוחתין לה ממעשה ידיה</w:t>
      </w:r>
      <w:r w:rsidR="004C44EF">
        <w:rPr>
          <w:rFonts w:cs="Arial" w:hint="cs"/>
          <w:rtl/>
        </w:rPr>
        <w:t>,</w:t>
      </w:r>
      <w:r w:rsidRPr="00F92E28">
        <w:rPr>
          <w:rFonts w:cs="Arial"/>
          <w:rtl/>
        </w:rPr>
        <w:t xml:space="preserve"> ומוסיפין לה על מזונותיה. במה דברים אמורים - בעני שבישראל, אבל במכובד הכל לפי כבודו.</w:t>
      </w:r>
    </w:p>
    <w:p w14:paraId="3E6FE8C5" w14:textId="0AB16B3D" w:rsidR="00D4035D" w:rsidRPr="00D4035D" w:rsidRDefault="00D4035D" w:rsidP="00D4035D">
      <w:pPr>
        <w:rPr>
          <w:rFonts w:cs="Arial"/>
          <w:rtl/>
        </w:rPr>
      </w:pPr>
      <w:r w:rsidRPr="001C664D">
        <w:rPr>
          <w:rFonts w:cs="Arial" w:hint="cs"/>
          <w:b/>
          <w:bCs/>
          <w:rtl/>
        </w:rPr>
        <w:t xml:space="preserve">תוספתא כתובות פ"ה ה"ד: </w:t>
      </w:r>
      <w:r w:rsidRPr="001C664D">
        <w:rPr>
          <w:rFonts w:cs="Arial"/>
          <w:rtl/>
        </w:rPr>
        <w:t>מלאכות שהאשה עושה לבעלה</w:t>
      </w:r>
      <w:r>
        <w:rPr>
          <w:rFonts w:cs="Arial" w:hint="cs"/>
          <w:rtl/>
        </w:rPr>
        <w:t>,</w:t>
      </w:r>
      <w:r w:rsidRPr="001C664D">
        <w:rPr>
          <w:rFonts w:cs="Arial"/>
          <w:rtl/>
        </w:rPr>
        <w:t xml:space="preserve"> שבעה גופי מלאכות מנו</w:t>
      </w:r>
      <w:r>
        <w:rPr>
          <w:rFonts w:cs="Arial" w:hint="cs"/>
          <w:rtl/>
        </w:rPr>
        <w:t>,</w:t>
      </w:r>
      <w:r w:rsidRPr="001C664D">
        <w:rPr>
          <w:rFonts w:cs="Arial"/>
          <w:rtl/>
        </w:rPr>
        <w:t xml:space="preserve"> ושאר לא הוצרכו לימנות</w:t>
      </w:r>
      <w:r>
        <w:rPr>
          <w:rFonts w:cs="Arial" w:hint="cs"/>
          <w:rtl/>
        </w:rPr>
        <w:t>.</w:t>
      </w:r>
      <w:r w:rsidRPr="001C664D">
        <w:rPr>
          <w:rFonts w:cs="Arial"/>
          <w:rtl/>
        </w:rPr>
        <w:t xml:space="preserve"> הכניסה לו בין משלו ובין משלה לא טוחנת ולא אופה ולא מכבסת</w:t>
      </w:r>
      <w:r>
        <w:rPr>
          <w:rFonts w:cs="Arial" w:hint="cs"/>
          <w:rtl/>
        </w:rPr>
        <w:t>.</w:t>
      </w:r>
      <w:r w:rsidRPr="001C664D">
        <w:rPr>
          <w:rFonts w:cs="Arial"/>
          <w:rtl/>
        </w:rPr>
        <w:t xml:space="preserve"> כופה לעשות לבנו ולבתה לאחיו ולאחיה ולהטיל לפני בהמתו</w:t>
      </w:r>
      <w:r>
        <w:rPr>
          <w:rFonts w:cs="Arial" w:hint="cs"/>
          <w:rtl/>
        </w:rPr>
        <w:t>.</w:t>
      </w:r>
      <w:r w:rsidRPr="001C664D">
        <w:rPr>
          <w:rFonts w:cs="Arial"/>
          <w:rtl/>
        </w:rPr>
        <w:t xml:space="preserve"> מקום שנהגו שלא לעשות אחת מכל אילו </w:t>
      </w:r>
      <w:r>
        <w:rPr>
          <w:rFonts w:cs="Arial" w:hint="cs"/>
          <w:rtl/>
        </w:rPr>
        <w:t xml:space="preserve">- </w:t>
      </w:r>
      <w:r w:rsidRPr="001C664D">
        <w:rPr>
          <w:rFonts w:cs="Arial"/>
          <w:rtl/>
        </w:rPr>
        <w:t>אינו יכול לכופה</w:t>
      </w:r>
      <w:r>
        <w:rPr>
          <w:rStyle w:val="a7"/>
          <w:rFonts w:cs="Arial"/>
          <w:rtl/>
        </w:rPr>
        <w:footnoteReference w:id="655"/>
      </w:r>
      <w:r>
        <w:rPr>
          <w:rFonts w:cs="Arial" w:hint="cs"/>
          <w:rtl/>
        </w:rPr>
        <w:t>...</w:t>
      </w:r>
    </w:p>
    <w:p w14:paraId="436B2467" w14:textId="305E5789" w:rsidR="00867395" w:rsidRPr="00867395" w:rsidRDefault="003E7259" w:rsidP="00390A65">
      <w:pPr>
        <w:rPr>
          <w:u w:val="single"/>
          <w:rtl/>
        </w:rPr>
      </w:pPr>
      <w:r>
        <w:rPr>
          <w:rFonts w:hint="cs"/>
          <w:u w:val="single"/>
          <w:rtl/>
        </w:rPr>
        <w:t>מעשה ידיה לבעלה - כיצד</w:t>
      </w:r>
      <w:r w:rsidR="00867395" w:rsidRPr="00867395">
        <w:rPr>
          <w:rFonts w:hint="cs"/>
          <w:u w:val="single"/>
          <w:rtl/>
        </w:rPr>
        <w:t>:</w:t>
      </w:r>
    </w:p>
    <w:p w14:paraId="4437F3F3" w14:textId="23B76F97" w:rsidR="00693219" w:rsidRPr="00693219" w:rsidRDefault="00233322" w:rsidP="009000E3">
      <w:pPr>
        <w:pStyle w:val="ab"/>
        <w:numPr>
          <w:ilvl w:val="0"/>
          <w:numId w:val="35"/>
        </w:numPr>
      </w:pPr>
      <w:r>
        <w:rPr>
          <w:rFonts w:cs="Arial" w:hint="cs"/>
          <w:rtl/>
        </w:rPr>
        <w:t xml:space="preserve">טור- </w:t>
      </w:r>
      <w:r w:rsidR="000A7A9C" w:rsidRPr="000A7A9C">
        <w:rPr>
          <w:rFonts w:cs="Arial"/>
          <w:rtl/>
        </w:rPr>
        <w:t>מעשה ידי האשה לבעלה</w:t>
      </w:r>
      <w:r w:rsidR="00B9555E">
        <w:rPr>
          <w:rFonts w:cs="Arial" w:hint="cs"/>
          <w:rtl/>
        </w:rPr>
        <w:t>.</w:t>
      </w:r>
      <w:r w:rsidR="000A7A9C" w:rsidRPr="000A7A9C">
        <w:rPr>
          <w:rFonts w:cs="Arial"/>
          <w:rtl/>
        </w:rPr>
        <w:t xml:space="preserve"> ומה הן מעשה ידיה שחייבת בהן</w:t>
      </w:r>
      <w:r w:rsidR="00B9555E">
        <w:rPr>
          <w:rFonts w:cs="Arial" w:hint="cs"/>
          <w:rtl/>
        </w:rPr>
        <w:t>,</w:t>
      </w:r>
      <w:r w:rsidR="000A7A9C" w:rsidRPr="000A7A9C">
        <w:rPr>
          <w:rFonts w:cs="Arial"/>
          <w:rtl/>
        </w:rPr>
        <w:t xml:space="preserve"> כדתנן</w:t>
      </w:r>
      <w:r w:rsidR="00B9555E">
        <w:rPr>
          <w:rFonts w:cs="Arial" w:hint="cs"/>
          <w:rtl/>
        </w:rPr>
        <w:t>,</w:t>
      </w:r>
      <w:r w:rsidR="000A7A9C" w:rsidRPr="000A7A9C">
        <w:rPr>
          <w:rFonts w:cs="Arial"/>
          <w:rtl/>
        </w:rPr>
        <w:t xml:space="preserve"> אלו מלאכות שהאשה עושה לבעלה</w:t>
      </w:r>
      <w:r w:rsidR="00B9555E">
        <w:rPr>
          <w:rFonts w:cs="Arial" w:hint="cs"/>
          <w:rtl/>
        </w:rPr>
        <w:t>,</w:t>
      </w:r>
      <w:r w:rsidR="000A7A9C" w:rsidRPr="000A7A9C">
        <w:rPr>
          <w:rFonts w:cs="Arial"/>
          <w:rtl/>
        </w:rPr>
        <w:t xml:space="preserve"> טוחנת</w:t>
      </w:r>
      <w:r w:rsidR="002024D9">
        <w:rPr>
          <w:rStyle w:val="a7"/>
          <w:rFonts w:cs="Arial"/>
          <w:rtl/>
        </w:rPr>
        <w:footnoteReference w:id="656"/>
      </w:r>
      <w:r w:rsidR="00B9555E">
        <w:rPr>
          <w:rFonts w:cs="Arial" w:hint="cs"/>
          <w:rtl/>
        </w:rPr>
        <w:t>,</w:t>
      </w:r>
      <w:r w:rsidR="000A7A9C" w:rsidRPr="000A7A9C">
        <w:rPr>
          <w:rFonts w:cs="Arial"/>
          <w:rtl/>
        </w:rPr>
        <w:t xml:space="preserve"> פירוש יושבת בריחים ושומרת ומחמרת אחר החמור</w:t>
      </w:r>
      <w:r w:rsidR="00B9555E">
        <w:rPr>
          <w:rFonts w:cs="Arial" w:hint="cs"/>
          <w:rtl/>
        </w:rPr>
        <w:t>.</w:t>
      </w:r>
      <w:r w:rsidR="000A7A9C" w:rsidRPr="000A7A9C">
        <w:rPr>
          <w:rFonts w:cs="Arial"/>
          <w:rtl/>
        </w:rPr>
        <w:t xml:space="preserve"> ובמקום שדרך לטחון בריחים של יד</w:t>
      </w:r>
      <w:r w:rsidR="00B9555E">
        <w:rPr>
          <w:rFonts w:cs="Arial" w:hint="cs"/>
          <w:rtl/>
        </w:rPr>
        <w:t>,</w:t>
      </w:r>
      <w:r w:rsidR="000A7A9C" w:rsidRPr="000A7A9C">
        <w:rPr>
          <w:rFonts w:cs="Arial"/>
          <w:rtl/>
        </w:rPr>
        <w:t xml:space="preserve"> טוחנת בידה</w:t>
      </w:r>
      <w:r w:rsidR="00B9555E">
        <w:rPr>
          <w:rFonts w:cs="Arial" w:hint="cs"/>
          <w:rtl/>
        </w:rPr>
        <w:t>.</w:t>
      </w:r>
      <w:r w:rsidR="000A7A9C" w:rsidRPr="000A7A9C">
        <w:rPr>
          <w:rFonts w:cs="Arial"/>
          <w:rtl/>
        </w:rPr>
        <w:t xml:space="preserve"> ואופה הפת</w:t>
      </w:r>
      <w:r w:rsidR="00B9555E">
        <w:rPr>
          <w:rFonts w:cs="Arial" w:hint="cs"/>
          <w:rtl/>
        </w:rPr>
        <w:t>.</w:t>
      </w:r>
      <w:r w:rsidR="000A7A9C" w:rsidRPr="000A7A9C">
        <w:rPr>
          <w:rFonts w:cs="Arial"/>
          <w:rtl/>
        </w:rPr>
        <w:t xml:space="preserve"> ומבשלת התבשיל</w:t>
      </w:r>
      <w:r w:rsidR="00B9555E">
        <w:rPr>
          <w:rFonts w:cs="Arial" w:hint="cs"/>
          <w:rtl/>
        </w:rPr>
        <w:t>.</w:t>
      </w:r>
      <w:r w:rsidR="000A7A9C" w:rsidRPr="000A7A9C">
        <w:rPr>
          <w:rFonts w:cs="Arial"/>
          <w:rtl/>
        </w:rPr>
        <w:t xml:space="preserve"> ומכבסת הבגדים</w:t>
      </w:r>
      <w:r w:rsidR="00B9555E">
        <w:rPr>
          <w:rFonts w:cs="Arial" w:hint="cs"/>
          <w:rtl/>
        </w:rPr>
        <w:t>.</w:t>
      </w:r>
      <w:r w:rsidR="000A7A9C" w:rsidRPr="000A7A9C">
        <w:rPr>
          <w:rFonts w:cs="Arial"/>
          <w:rtl/>
        </w:rPr>
        <w:t xml:space="preserve"> ומניקה את בנה</w:t>
      </w:r>
      <w:r w:rsidR="004C0CB6">
        <w:rPr>
          <w:rFonts w:cs="Arial" w:hint="cs"/>
          <w:rtl/>
        </w:rPr>
        <w:t>.</w:t>
      </w:r>
      <w:r w:rsidR="006D571C" w:rsidRPr="00390A65">
        <w:rPr>
          <w:rFonts w:cs="Arial" w:hint="cs"/>
          <w:rtl/>
        </w:rPr>
        <w:t xml:space="preserve"> </w:t>
      </w:r>
      <w:r w:rsidR="000A7A9C" w:rsidRPr="00390A65">
        <w:rPr>
          <w:rFonts w:cs="Arial"/>
          <w:rtl/>
        </w:rPr>
        <w:t>ומצעת לו המטה</w:t>
      </w:r>
      <w:r w:rsidR="00B9555E" w:rsidRPr="00390A65">
        <w:rPr>
          <w:rFonts w:cs="Arial" w:hint="cs"/>
          <w:rtl/>
        </w:rPr>
        <w:t>.</w:t>
      </w:r>
      <w:r w:rsidR="000A7A9C" w:rsidRPr="00390A65">
        <w:rPr>
          <w:rFonts w:cs="Arial"/>
          <w:rtl/>
        </w:rPr>
        <w:t xml:space="preserve"> ועושה בצמר או בכל מיני פשתן</w:t>
      </w:r>
      <w:r w:rsidR="00B9555E" w:rsidRPr="00390A65">
        <w:rPr>
          <w:rFonts w:cs="Arial" w:hint="cs"/>
          <w:rtl/>
        </w:rPr>
        <w:t>,</w:t>
      </w:r>
      <w:r w:rsidR="000A7A9C" w:rsidRPr="00390A65">
        <w:rPr>
          <w:rFonts w:cs="Arial"/>
          <w:rtl/>
        </w:rPr>
        <w:t xml:space="preserve"> בר מכיתנא רומאה</w:t>
      </w:r>
      <w:r w:rsidR="00F92E28">
        <w:rPr>
          <w:rStyle w:val="a7"/>
          <w:rFonts w:cs="Arial"/>
          <w:rtl/>
        </w:rPr>
        <w:footnoteReference w:id="657"/>
      </w:r>
      <w:r w:rsidR="000A7A9C" w:rsidRPr="00390A65">
        <w:rPr>
          <w:rFonts w:cs="Arial"/>
          <w:rtl/>
        </w:rPr>
        <w:t xml:space="preserve"> שהוא מזיק לפה ולשפתים</w:t>
      </w:r>
      <w:r w:rsidR="00B9555E" w:rsidRPr="00390A65">
        <w:rPr>
          <w:rFonts w:cs="Arial" w:hint="cs"/>
          <w:rtl/>
        </w:rPr>
        <w:t>.</w:t>
      </w:r>
      <w:r w:rsidR="000A7A9C" w:rsidRPr="00390A65">
        <w:rPr>
          <w:rFonts w:cs="Arial"/>
          <w:rtl/>
        </w:rPr>
        <w:t xml:space="preserve"> וכמה עושה לשבוע</w:t>
      </w:r>
      <w:r w:rsidR="00B9555E" w:rsidRPr="00390A65">
        <w:rPr>
          <w:rFonts w:cs="Arial" w:hint="cs"/>
          <w:rtl/>
        </w:rPr>
        <w:t>,</w:t>
      </w:r>
      <w:r w:rsidR="000A7A9C" w:rsidRPr="00390A65">
        <w:rPr>
          <w:rFonts w:cs="Arial"/>
          <w:rtl/>
        </w:rPr>
        <w:t xml:space="preserve"> משקל ה' סלעים שתי ביהודה שהן עשר בגליל</w:t>
      </w:r>
      <w:r w:rsidR="00B9555E" w:rsidRPr="00390A65">
        <w:rPr>
          <w:rFonts w:cs="Arial" w:hint="cs"/>
          <w:rtl/>
        </w:rPr>
        <w:t>.</w:t>
      </w:r>
      <w:r w:rsidR="000A7A9C" w:rsidRPr="00390A65">
        <w:rPr>
          <w:rFonts w:cs="Arial"/>
          <w:rtl/>
        </w:rPr>
        <w:t xml:space="preserve"> </w:t>
      </w:r>
      <w:r w:rsidR="0041665F" w:rsidRPr="00390A65">
        <w:rPr>
          <w:rFonts w:cs="Arial"/>
          <w:rtl/>
        </w:rPr>
        <w:t>וזה השיעור</w:t>
      </w:r>
      <w:r w:rsidR="0041665F">
        <w:rPr>
          <w:rStyle w:val="a7"/>
          <w:rFonts w:cs="Arial"/>
          <w:rtl/>
        </w:rPr>
        <w:footnoteReference w:id="658"/>
      </w:r>
      <w:r w:rsidR="0041665F" w:rsidRPr="00390A65">
        <w:rPr>
          <w:rFonts w:cs="Arial"/>
          <w:rtl/>
        </w:rPr>
        <w:t xml:space="preserve"> </w:t>
      </w:r>
      <w:r w:rsidR="0041665F">
        <w:rPr>
          <w:rFonts w:cs="Arial" w:hint="cs"/>
          <w:sz w:val="16"/>
          <w:szCs w:val="16"/>
          <w:rtl/>
        </w:rPr>
        <w:t>{שנתנו בצמר}</w:t>
      </w:r>
      <w:r w:rsidR="0041665F">
        <w:rPr>
          <w:rFonts w:cs="Arial" w:hint="cs"/>
          <w:rtl/>
        </w:rPr>
        <w:t xml:space="preserve"> </w:t>
      </w:r>
      <w:r w:rsidR="0041665F" w:rsidRPr="00390A65">
        <w:rPr>
          <w:rFonts w:cs="Arial"/>
          <w:rtl/>
        </w:rPr>
        <w:t xml:space="preserve">לא נתנו אלא במשרה אשתו על ידי שליש </w:t>
      </w:r>
      <w:r w:rsidR="0041665F" w:rsidRPr="00390A65">
        <w:rPr>
          <w:rFonts w:cs="Arial"/>
          <w:rtl/>
        </w:rPr>
        <w:lastRenderedPageBreak/>
        <w:t>שאינה עמו בבית ואין עושה לו שום דבר</w:t>
      </w:r>
      <w:r w:rsidR="0041665F" w:rsidRPr="00390A65">
        <w:rPr>
          <w:rFonts w:cs="Arial" w:hint="cs"/>
          <w:rtl/>
        </w:rPr>
        <w:t>,</w:t>
      </w:r>
      <w:r w:rsidR="0041665F" w:rsidRPr="00390A65">
        <w:rPr>
          <w:rFonts w:cs="Arial"/>
          <w:rtl/>
        </w:rPr>
        <w:t xml:space="preserve"> אבל אם היא עמו בבית ועושה כל צרכי הבית אינה חייבת לעשות כ"כ אלא לפי המנהג שדרך נשים לעשות</w:t>
      </w:r>
      <w:r w:rsidR="0041665F" w:rsidRPr="00390A65">
        <w:rPr>
          <w:rFonts w:cs="Arial" w:hint="cs"/>
          <w:rtl/>
        </w:rPr>
        <w:t>.</w:t>
      </w:r>
    </w:p>
    <w:p w14:paraId="5CD267AA" w14:textId="03BE3BBD" w:rsidR="00B25F6F" w:rsidRPr="00B25F6F" w:rsidRDefault="000C6D57" w:rsidP="009000E3">
      <w:pPr>
        <w:pStyle w:val="ab"/>
        <w:numPr>
          <w:ilvl w:val="0"/>
          <w:numId w:val="35"/>
        </w:numPr>
      </w:pPr>
      <w:r w:rsidRPr="000A7A9C">
        <w:rPr>
          <w:rFonts w:cs="Arial"/>
          <w:rtl/>
        </w:rPr>
        <w:t>רמב"ם</w:t>
      </w:r>
      <w:r>
        <w:rPr>
          <w:rFonts w:cs="Arial" w:hint="cs"/>
          <w:rtl/>
        </w:rPr>
        <w:t xml:space="preserve"> </w:t>
      </w:r>
      <w:r w:rsidRPr="001C664D">
        <w:rPr>
          <w:rFonts w:cs="Arial" w:hint="cs"/>
          <w:sz w:val="16"/>
          <w:szCs w:val="16"/>
          <w:rtl/>
        </w:rPr>
        <w:t>(</w:t>
      </w:r>
      <w:r w:rsidRPr="001C664D">
        <w:rPr>
          <w:rFonts w:cs="Arial"/>
          <w:sz w:val="16"/>
          <w:szCs w:val="16"/>
          <w:rtl/>
        </w:rPr>
        <w:t>פכ"א ה</w:t>
      </w:r>
      <w:r w:rsidRPr="001C664D">
        <w:rPr>
          <w:rFonts w:cs="Arial" w:hint="cs"/>
          <w:sz w:val="16"/>
          <w:szCs w:val="16"/>
          <w:rtl/>
        </w:rPr>
        <w:t>"</w:t>
      </w:r>
      <w:r w:rsidRPr="001C664D">
        <w:rPr>
          <w:rFonts w:cs="Arial"/>
          <w:sz w:val="16"/>
          <w:szCs w:val="16"/>
          <w:rtl/>
        </w:rPr>
        <w:t>א</w:t>
      </w:r>
      <w:r>
        <w:rPr>
          <w:rFonts w:cs="Arial" w:hint="cs"/>
          <w:sz w:val="16"/>
          <w:szCs w:val="16"/>
          <w:rtl/>
        </w:rPr>
        <w:t>)</w:t>
      </w:r>
      <w:r>
        <w:rPr>
          <w:rFonts w:cs="Arial" w:hint="cs"/>
          <w:rtl/>
        </w:rPr>
        <w:t xml:space="preserve">- </w:t>
      </w:r>
      <w:r>
        <w:rPr>
          <w:rFonts w:cs="Arial"/>
          <w:rtl/>
        </w:rPr>
        <w:t>מציאת האשה ומעשה ידיה לבעלה</w:t>
      </w:r>
      <w:r w:rsidR="00F547E1">
        <w:rPr>
          <w:rFonts w:cs="Arial" w:hint="cs"/>
          <w:rtl/>
        </w:rPr>
        <w:t>.</w:t>
      </w:r>
      <w:r>
        <w:rPr>
          <w:rFonts w:cs="Arial"/>
          <w:rtl/>
        </w:rPr>
        <w:t xml:space="preserve"> ומה היא עושה לו, הכל כמנהג המדינה, מקום שדרכן לארוג אורגת, לרקום רוקמת, לטוות צמר או פשתים טווה, ואם לא היה דרך נשי העיר לעשות כל המלאכות האלו אינו כופה אלא לטוות הצמר בלבד</w:t>
      </w:r>
      <w:r w:rsidR="0041665F">
        <w:rPr>
          <w:rStyle w:val="a7"/>
          <w:rFonts w:cs="Arial"/>
          <w:rtl/>
        </w:rPr>
        <w:footnoteReference w:id="659"/>
      </w:r>
      <w:r>
        <w:rPr>
          <w:rFonts w:cs="Arial"/>
          <w:rtl/>
        </w:rPr>
        <w:t xml:space="preserve">, שהפשתן מזיק את הפה ואת השפתים, והטווי היא המלאכה המיוחדת לנשים שנאמר </w:t>
      </w:r>
      <w:r w:rsidRPr="000C6D57">
        <w:rPr>
          <w:rFonts w:cs="Arial" w:hint="cs"/>
          <w:sz w:val="16"/>
          <w:szCs w:val="16"/>
          <w:rtl/>
        </w:rPr>
        <w:t>(</w:t>
      </w:r>
      <w:r w:rsidRPr="000C6D57">
        <w:rPr>
          <w:rFonts w:cs="Arial"/>
          <w:sz w:val="16"/>
          <w:szCs w:val="16"/>
          <w:rtl/>
        </w:rPr>
        <w:t>שמות לה כה</w:t>
      </w:r>
      <w:r w:rsidRPr="000C6D57">
        <w:rPr>
          <w:rFonts w:cs="Arial" w:hint="cs"/>
          <w:sz w:val="16"/>
          <w:szCs w:val="16"/>
          <w:rtl/>
        </w:rPr>
        <w:t>)</w:t>
      </w:r>
      <w:r>
        <w:rPr>
          <w:rFonts w:cs="Arial"/>
          <w:rtl/>
        </w:rPr>
        <w:t xml:space="preserve"> וכל אשה חכמת לב בידיה טוו.</w:t>
      </w:r>
      <w:r w:rsidR="0041665F">
        <w:rPr>
          <w:rFonts w:hint="cs"/>
          <w:rtl/>
        </w:rPr>
        <w:t xml:space="preserve"> </w:t>
      </w:r>
      <w:r w:rsidR="00D04A54" w:rsidRPr="00EC5ABC">
        <w:rPr>
          <w:rFonts w:hint="cs"/>
          <w:color w:val="E36C0A" w:themeColor="accent6" w:themeShade="BF"/>
          <w:rtl/>
        </w:rPr>
        <w:t>(וכ"פ בשו"ע)</w:t>
      </w:r>
    </w:p>
    <w:p w14:paraId="4075D227" w14:textId="50066FA0" w:rsidR="00104E5F" w:rsidRDefault="00104E5F" w:rsidP="00DC4762">
      <w:pPr>
        <w:rPr>
          <w:rFonts w:cs="Arial"/>
          <w:rtl/>
        </w:rPr>
      </w:pPr>
      <w:r w:rsidRPr="00AB0AB9">
        <w:rPr>
          <w:rFonts w:cs="Arial" w:hint="cs"/>
          <w:b/>
          <w:bCs/>
          <w:rtl/>
        </w:rPr>
        <w:t>כתובות</w:t>
      </w:r>
      <w:r>
        <w:rPr>
          <w:rFonts w:cs="Arial" w:hint="cs"/>
          <w:b/>
          <w:bCs/>
          <w:rtl/>
        </w:rPr>
        <w:t xml:space="preserve"> </w:t>
      </w:r>
      <w:r>
        <w:rPr>
          <w:rFonts w:cs="Arial" w:hint="cs"/>
          <w:b/>
          <w:bCs/>
          <w:sz w:val="16"/>
          <w:szCs w:val="16"/>
          <w:rtl/>
        </w:rPr>
        <w:t>(פ' אף על פי)</w:t>
      </w:r>
      <w:r w:rsidRPr="00AB0AB9">
        <w:rPr>
          <w:rFonts w:cs="Arial" w:hint="cs"/>
          <w:b/>
          <w:bCs/>
          <w:rtl/>
        </w:rPr>
        <w:t xml:space="preserve"> </w:t>
      </w:r>
      <w:r>
        <w:rPr>
          <w:rFonts w:cs="Arial" w:hint="cs"/>
          <w:b/>
          <w:bCs/>
          <w:rtl/>
        </w:rPr>
        <w:t>ס</w:t>
      </w:r>
      <w:r w:rsidR="003A6A82">
        <w:rPr>
          <w:rFonts w:cs="Arial" w:hint="cs"/>
          <w:b/>
          <w:bCs/>
          <w:rtl/>
        </w:rPr>
        <w:t>ה</w:t>
      </w:r>
      <w:r w:rsidR="008D551F">
        <w:rPr>
          <w:rStyle w:val="a7"/>
          <w:rFonts w:cs="Arial"/>
          <w:b/>
          <w:bCs/>
          <w:rtl/>
        </w:rPr>
        <w:footnoteReference w:id="660"/>
      </w:r>
      <w:r w:rsidRPr="00AB0AB9">
        <w:rPr>
          <w:rFonts w:cs="Arial" w:hint="cs"/>
          <w:b/>
          <w:bCs/>
          <w:rtl/>
        </w:rPr>
        <w:t xml:space="preserve"> ע"</w:t>
      </w:r>
      <w:r w:rsidR="003A6A82">
        <w:rPr>
          <w:rFonts w:cs="Arial" w:hint="cs"/>
          <w:b/>
          <w:bCs/>
          <w:rtl/>
        </w:rPr>
        <w:t>ב</w:t>
      </w:r>
      <w:r w:rsidRPr="00AB0AB9">
        <w:rPr>
          <w:rFonts w:cs="Arial" w:hint="cs"/>
          <w:b/>
          <w:bCs/>
          <w:rtl/>
        </w:rPr>
        <w:t>:</w:t>
      </w:r>
      <w:r>
        <w:rPr>
          <w:rFonts w:cs="Arial" w:hint="cs"/>
          <w:rtl/>
        </w:rPr>
        <w:t xml:space="preserve"> </w:t>
      </w:r>
      <w:r w:rsidR="003A6A82" w:rsidRPr="003A6A82">
        <w:rPr>
          <w:rFonts w:cs="Arial"/>
          <w:u w:val="single"/>
          <w:rtl/>
        </w:rPr>
        <w:t>תני תנא קמיה דרבא</w:t>
      </w:r>
      <w:r w:rsidR="003A6A82" w:rsidRPr="003A6A82">
        <w:rPr>
          <w:rFonts w:cs="Arial"/>
          <w:rtl/>
        </w:rPr>
        <w:t xml:space="preserve">: מציאת האשה לעצמה, </w:t>
      </w:r>
      <w:r w:rsidR="003A6A82" w:rsidRPr="003A6A82">
        <w:rPr>
          <w:rFonts w:cs="Arial"/>
          <w:u w:val="single"/>
          <w:rtl/>
        </w:rPr>
        <w:t>רבי עקיבא אומר</w:t>
      </w:r>
      <w:r w:rsidR="003A6A82" w:rsidRPr="003A6A82">
        <w:rPr>
          <w:rFonts w:cs="Arial"/>
          <w:rtl/>
        </w:rPr>
        <w:t xml:space="preserve">: לבעלה. </w:t>
      </w:r>
      <w:r w:rsidR="003A6A82" w:rsidRPr="003A6A82">
        <w:rPr>
          <w:rFonts w:cs="Arial"/>
          <w:u w:val="single"/>
          <w:rtl/>
        </w:rPr>
        <w:t>אמר ליה</w:t>
      </w:r>
      <w:r w:rsidR="003A6A82" w:rsidRPr="003A6A82">
        <w:rPr>
          <w:rFonts w:cs="Arial"/>
          <w:rtl/>
        </w:rPr>
        <w:t>: השתא ומה העדפה,</w:t>
      </w:r>
      <w:r w:rsidR="003A6A82">
        <w:rPr>
          <w:rFonts w:cs="Arial" w:hint="cs"/>
          <w:rtl/>
        </w:rPr>
        <w:t xml:space="preserve"> </w:t>
      </w:r>
      <w:r w:rsidR="003A6A82">
        <w:rPr>
          <w:rFonts w:cs="Arial" w:hint="cs"/>
          <w:sz w:val="14"/>
          <w:szCs w:val="14"/>
          <w:rtl/>
        </w:rPr>
        <w:t>(סו.)</w:t>
      </w:r>
      <w:r w:rsidR="003A6A82" w:rsidRPr="003A6A82">
        <w:rPr>
          <w:rFonts w:cs="Arial"/>
          <w:rtl/>
        </w:rPr>
        <w:t xml:space="preserve"> דמעשה ידיה</w:t>
      </w:r>
      <w:r w:rsidR="003A6A82">
        <w:rPr>
          <w:rStyle w:val="a7"/>
          <w:rFonts w:cs="Arial"/>
          <w:rtl/>
        </w:rPr>
        <w:footnoteReference w:id="661"/>
      </w:r>
      <w:r w:rsidR="003A6A82" w:rsidRPr="003A6A82">
        <w:rPr>
          <w:rFonts w:cs="Arial"/>
          <w:rtl/>
        </w:rPr>
        <w:t xml:space="preserve"> היא, אמר רבי עקיבא לעצמה, מציאתה לא כ"ש! </w:t>
      </w:r>
      <w:r w:rsidRPr="00104E5F">
        <w:rPr>
          <w:rFonts w:cs="Arial"/>
          <w:rtl/>
        </w:rPr>
        <w:t>דתנן: קונם שאני עושה לפיך</w:t>
      </w:r>
      <w:r w:rsidR="003A6A82">
        <w:rPr>
          <w:rStyle w:val="a7"/>
          <w:rFonts w:cs="Arial"/>
          <w:rtl/>
        </w:rPr>
        <w:footnoteReference w:id="662"/>
      </w:r>
      <w:r w:rsidRPr="00104E5F">
        <w:rPr>
          <w:rFonts w:cs="Arial"/>
          <w:rtl/>
        </w:rPr>
        <w:t xml:space="preserve"> - אינו צריך להפר</w:t>
      </w:r>
      <w:r w:rsidR="003A6A82">
        <w:rPr>
          <w:rStyle w:val="a7"/>
          <w:rFonts w:cs="Arial"/>
          <w:rtl/>
        </w:rPr>
        <w:footnoteReference w:id="663"/>
      </w:r>
      <w:r w:rsidRPr="00104E5F">
        <w:rPr>
          <w:rFonts w:cs="Arial"/>
          <w:rtl/>
        </w:rPr>
        <w:t xml:space="preserve">, </w:t>
      </w:r>
      <w:r w:rsidRPr="003A6A82">
        <w:rPr>
          <w:rFonts w:cs="Arial"/>
          <w:u w:val="single"/>
          <w:rtl/>
        </w:rPr>
        <w:t>רבי עקיבא אומר</w:t>
      </w:r>
      <w:r w:rsidRPr="00104E5F">
        <w:rPr>
          <w:rFonts w:cs="Arial"/>
          <w:rtl/>
        </w:rPr>
        <w:t>: יפר, שמא תעדיף</w:t>
      </w:r>
      <w:r w:rsidR="003A6A82">
        <w:rPr>
          <w:rStyle w:val="a7"/>
          <w:rFonts w:cs="Arial"/>
          <w:rtl/>
        </w:rPr>
        <w:footnoteReference w:id="664"/>
      </w:r>
      <w:r w:rsidRPr="00104E5F">
        <w:rPr>
          <w:rFonts w:cs="Arial"/>
          <w:rtl/>
        </w:rPr>
        <w:t xml:space="preserve"> עליו יותר מן הראוי לו! אלא איפוך: מציאת האשה לבעלה, רבי עקיבא אומר: לעצמה. והא כי אתא רבין אמר רבי יוחנן: בהעדפה שלא על ידי הדחק</w:t>
      </w:r>
      <w:r w:rsidR="003A6A82">
        <w:rPr>
          <w:rStyle w:val="a7"/>
          <w:rFonts w:cs="Arial"/>
          <w:rtl/>
        </w:rPr>
        <w:footnoteReference w:id="665"/>
      </w:r>
      <w:r w:rsidRPr="00104E5F">
        <w:rPr>
          <w:rFonts w:cs="Arial"/>
          <w:rtl/>
        </w:rPr>
        <w:t xml:space="preserve"> - כולי עלמא לא פליגי דבעל הוי</w:t>
      </w:r>
      <w:r w:rsidR="0077215F">
        <w:rPr>
          <w:rStyle w:val="a7"/>
          <w:rFonts w:cs="Arial"/>
          <w:rtl/>
        </w:rPr>
        <w:footnoteReference w:id="666"/>
      </w:r>
      <w:r w:rsidRPr="00104E5F">
        <w:rPr>
          <w:rFonts w:cs="Arial"/>
          <w:rtl/>
        </w:rPr>
        <w:t>, כי פליגי - בהעדפה שעל ידי הדחק</w:t>
      </w:r>
      <w:r w:rsidR="003A6A82" w:rsidRPr="007D4256">
        <w:rPr>
          <w:rStyle w:val="a7"/>
          <w:rFonts w:cs="Arial"/>
          <w:rtl/>
        </w:rPr>
        <w:footnoteReference w:id="667"/>
      </w:r>
      <w:r w:rsidRPr="007D4256">
        <w:rPr>
          <w:rFonts w:cs="Arial"/>
          <w:rtl/>
        </w:rPr>
        <w:t>, תנא קמא סבר: לבעלה, ורבי עקיבא סבר:</w:t>
      </w:r>
      <w:r w:rsidRPr="00104E5F">
        <w:rPr>
          <w:rFonts w:cs="Arial"/>
          <w:rtl/>
        </w:rPr>
        <w:t xml:space="preserve"> לעצמה! </w:t>
      </w:r>
      <w:r w:rsidRPr="007E3C6C">
        <w:rPr>
          <w:rFonts w:cs="Arial"/>
          <w:u w:val="single"/>
          <w:rtl/>
        </w:rPr>
        <w:t>אמר רב פפא</w:t>
      </w:r>
      <w:r w:rsidRPr="00104E5F">
        <w:rPr>
          <w:rFonts w:cs="Arial"/>
          <w:rtl/>
        </w:rPr>
        <w:t>: מציאתה - כהעדפה שעל ידי הדחק דמי</w:t>
      </w:r>
      <w:r w:rsidR="003A6A82">
        <w:rPr>
          <w:rStyle w:val="a7"/>
          <w:rFonts w:cs="Arial"/>
          <w:rtl/>
        </w:rPr>
        <w:footnoteReference w:id="668"/>
      </w:r>
      <w:r w:rsidRPr="00104E5F">
        <w:rPr>
          <w:rFonts w:cs="Arial"/>
          <w:rtl/>
        </w:rPr>
        <w:t xml:space="preserve">, פלוגתא דרבי עקיבא ורבנן. </w:t>
      </w:r>
      <w:r w:rsidRPr="007E3C6C">
        <w:rPr>
          <w:rFonts w:cs="Arial"/>
          <w:u w:val="single"/>
          <w:rtl/>
        </w:rPr>
        <w:t>בעי רב פפא</w:t>
      </w:r>
      <w:r w:rsidRPr="00104E5F">
        <w:rPr>
          <w:rFonts w:cs="Arial"/>
          <w:rtl/>
        </w:rPr>
        <w:t xml:space="preserve">: עשתה לו שתים בבת אחת, מהו? </w:t>
      </w:r>
      <w:r w:rsidRPr="007E3C6C">
        <w:rPr>
          <w:rFonts w:cs="Arial"/>
          <w:u w:val="single"/>
          <w:rtl/>
        </w:rPr>
        <w:t>בעי רבינא</w:t>
      </w:r>
      <w:r w:rsidRPr="00104E5F">
        <w:rPr>
          <w:rFonts w:cs="Arial"/>
          <w:rtl/>
        </w:rPr>
        <w:t>: שלשה או ד' בבת אחת</w:t>
      </w:r>
      <w:r w:rsidR="0077215F">
        <w:rPr>
          <w:rStyle w:val="a7"/>
          <w:rFonts w:cs="Arial"/>
          <w:rtl/>
        </w:rPr>
        <w:footnoteReference w:id="669"/>
      </w:r>
      <w:r w:rsidRPr="00104E5F">
        <w:rPr>
          <w:rFonts w:cs="Arial"/>
          <w:rtl/>
        </w:rPr>
        <w:t>, מהו</w:t>
      </w:r>
      <w:r w:rsidR="0077215F">
        <w:rPr>
          <w:rStyle w:val="a7"/>
          <w:rFonts w:cs="Arial"/>
          <w:rtl/>
        </w:rPr>
        <w:footnoteReference w:id="670"/>
      </w:r>
      <w:r w:rsidRPr="00104E5F">
        <w:rPr>
          <w:rFonts w:cs="Arial"/>
          <w:rtl/>
        </w:rPr>
        <w:t xml:space="preserve">? תיקו. </w:t>
      </w:r>
    </w:p>
    <w:p w14:paraId="7BA2F2A3" w14:textId="77777777" w:rsidR="00E55B2F" w:rsidRPr="00E55B2F" w:rsidRDefault="00E55B2F" w:rsidP="00E55B2F">
      <w:pPr>
        <w:rPr>
          <w:u w:val="single"/>
        </w:rPr>
      </w:pPr>
      <w:r w:rsidRPr="00E55B2F">
        <w:rPr>
          <w:rFonts w:hint="cs"/>
          <w:u w:val="single"/>
          <w:rtl/>
        </w:rPr>
        <w:t>אשה שדחקה עצמה ועשתה יותר ממה שהיא חייבת:</w:t>
      </w:r>
    </w:p>
    <w:p w14:paraId="755D8018" w14:textId="368CB2E8" w:rsidR="00E55B2F" w:rsidRDefault="003120B2" w:rsidP="009000E3">
      <w:pPr>
        <w:pStyle w:val="ab"/>
        <w:numPr>
          <w:ilvl w:val="0"/>
          <w:numId w:val="35"/>
        </w:numPr>
      </w:pPr>
      <w:r>
        <w:rPr>
          <w:rFonts w:cs="Arial" w:hint="cs"/>
          <w:rtl/>
        </w:rPr>
        <w:t xml:space="preserve">רב האי </w:t>
      </w:r>
      <w:r>
        <w:rPr>
          <w:rFonts w:cs="Arial" w:hint="cs"/>
          <w:sz w:val="16"/>
          <w:szCs w:val="16"/>
          <w:rtl/>
        </w:rPr>
        <w:t>(כ"כ בשמו הרי"ף והרא"ש)</w:t>
      </w:r>
      <w:r>
        <w:rPr>
          <w:rFonts w:cs="Arial" w:hint="cs"/>
          <w:rtl/>
        </w:rPr>
        <w:t xml:space="preserve"> רי"ף </w:t>
      </w:r>
      <w:r>
        <w:rPr>
          <w:rFonts w:cs="Arial" w:hint="cs"/>
          <w:sz w:val="16"/>
          <w:szCs w:val="16"/>
          <w:rtl/>
        </w:rPr>
        <w:t xml:space="preserve">(כד רע"א, כח סוע"ב) </w:t>
      </w:r>
      <w:r w:rsidRPr="000A7A9C">
        <w:rPr>
          <w:rFonts w:cs="Arial"/>
          <w:rtl/>
        </w:rPr>
        <w:t>רמב"ם</w:t>
      </w:r>
      <w:r>
        <w:rPr>
          <w:rFonts w:cs="Arial" w:hint="cs"/>
          <w:rtl/>
        </w:rPr>
        <w:t xml:space="preserve"> </w:t>
      </w:r>
      <w:r w:rsidRPr="001C664D">
        <w:rPr>
          <w:rFonts w:cs="Arial" w:hint="cs"/>
          <w:sz w:val="16"/>
          <w:szCs w:val="16"/>
          <w:rtl/>
        </w:rPr>
        <w:t>(</w:t>
      </w:r>
      <w:r w:rsidRPr="001C664D">
        <w:rPr>
          <w:rFonts w:cs="Arial"/>
          <w:sz w:val="16"/>
          <w:szCs w:val="16"/>
          <w:rtl/>
        </w:rPr>
        <w:t>פכ"א ה</w:t>
      </w:r>
      <w:r w:rsidRPr="001C664D">
        <w:rPr>
          <w:rFonts w:cs="Arial" w:hint="cs"/>
          <w:sz w:val="16"/>
          <w:szCs w:val="16"/>
          <w:rtl/>
        </w:rPr>
        <w:t>"</w:t>
      </w:r>
      <w:r w:rsidRPr="001C664D">
        <w:rPr>
          <w:rFonts w:cs="Arial"/>
          <w:sz w:val="16"/>
          <w:szCs w:val="16"/>
          <w:rtl/>
        </w:rPr>
        <w:t>ב</w:t>
      </w:r>
      <w:r>
        <w:rPr>
          <w:rFonts w:cs="Arial" w:hint="cs"/>
          <w:sz w:val="16"/>
          <w:szCs w:val="16"/>
          <w:rtl/>
        </w:rPr>
        <w:t xml:space="preserve">) </w:t>
      </w:r>
      <w:r>
        <w:rPr>
          <w:rFonts w:cs="Arial" w:hint="cs"/>
          <w:rtl/>
        </w:rPr>
        <w:t>ו</w:t>
      </w:r>
      <w:r>
        <w:rPr>
          <w:rFonts w:cs="Arial"/>
          <w:rtl/>
        </w:rPr>
        <w:t xml:space="preserve">רא"ש </w:t>
      </w:r>
      <w:r w:rsidRPr="007E3C6C">
        <w:rPr>
          <w:rFonts w:cs="Arial"/>
          <w:sz w:val="16"/>
          <w:szCs w:val="16"/>
          <w:rtl/>
        </w:rPr>
        <w:t>(</w:t>
      </w:r>
      <w:r>
        <w:rPr>
          <w:rFonts w:cs="Arial" w:hint="cs"/>
          <w:sz w:val="16"/>
          <w:szCs w:val="16"/>
          <w:rtl/>
        </w:rPr>
        <w:t xml:space="preserve">פ"ה סי' טו, פ"ו </w:t>
      </w:r>
      <w:r w:rsidRPr="007E3C6C">
        <w:rPr>
          <w:rFonts w:cs="Arial"/>
          <w:sz w:val="16"/>
          <w:szCs w:val="16"/>
          <w:rtl/>
        </w:rPr>
        <w:t>סי' ב)</w:t>
      </w:r>
      <w:r w:rsidR="00E55B2F">
        <w:rPr>
          <w:rFonts w:cs="Arial" w:hint="cs"/>
          <w:rtl/>
        </w:rPr>
        <w:t xml:space="preserve">- </w:t>
      </w:r>
      <w:r w:rsidR="00D51BAF" w:rsidRPr="00E55B2F">
        <w:rPr>
          <w:rFonts w:cs="Arial"/>
          <w:rtl/>
        </w:rPr>
        <w:t>בהעדפה שע"י הדחק</w:t>
      </w:r>
      <w:r w:rsidR="00D51BAF">
        <w:rPr>
          <w:rStyle w:val="a7"/>
          <w:rFonts w:cs="Arial"/>
          <w:rtl/>
        </w:rPr>
        <w:footnoteReference w:id="671"/>
      </w:r>
      <w:r w:rsidR="00D51BAF">
        <w:rPr>
          <w:rFonts w:cs="Arial" w:hint="cs"/>
          <w:rtl/>
        </w:rPr>
        <w:t>...-</w:t>
      </w:r>
      <w:r w:rsidR="00D51BAF" w:rsidRPr="00E55B2F">
        <w:rPr>
          <w:rFonts w:cs="Arial"/>
          <w:rtl/>
        </w:rPr>
        <w:t xml:space="preserve"> הלכה כת"ק</w:t>
      </w:r>
      <w:r w:rsidR="00FB56DC">
        <w:rPr>
          <w:rStyle w:val="a7"/>
          <w:rFonts w:cs="Arial"/>
          <w:rtl/>
        </w:rPr>
        <w:footnoteReference w:id="672"/>
      </w:r>
      <w:r w:rsidR="00D51BAF">
        <w:rPr>
          <w:rFonts w:cs="Arial" w:hint="cs"/>
          <w:sz w:val="16"/>
          <w:szCs w:val="16"/>
          <w:rtl/>
        </w:rPr>
        <w:t xml:space="preserve"> (ל' הרי"ף והרא"ש)</w:t>
      </w:r>
      <w:r w:rsidR="00D51BAF">
        <w:rPr>
          <w:rFonts w:cs="Arial" w:hint="cs"/>
          <w:rtl/>
        </w:rPr>
        <w:t xml:space="preserve">, לכן, </w:t>
      </w:r>
      <w:r w:rsidR="00E55B2F" w:rsidRPr="000C6D57">
        <w:rPr>
          <w:rFonts w:cs="Arial"/>
          <w:rtl/>
        </w:rPr>
        <w:t xml:space="preserve">דחקה עצמה ועשת יתר מן הראוי לה </w:t>
      </w:r>
      <w:r w:rsidR="00E55B2F">
        <w:rPr>
          <w:rFonts w:cs="Arial" w:hint="cs"/>
          <w:rtl/>
        </w:rPr>
        <w:t xml:space="preserve">- </w:t>
      </w:r>
      <w:r w:rsidR="00E55B2F" w:rsidRPr="000C6D57">
        <w:rPr>
          <w:rFonts w:cs="Arial"/>
          <w:rtl/>
        </w:rPr>
        <w:t>המותר לבעל</w:t>
      </w:r>
      <w:r w:rsidR="00D51BAF">
        <w:rPr>
          <w:rFonts w:cs="Arial" w:hint="cs"/>
          <w:sz w:val="16"/>
          <w:szCs w:val="16"/>
          <w:rtl/>
        </w:rPr>
        <w:t xml:space="preserve"> (ל' הרמב"ם)</w:t>
      </w:r>
      <w:r w:rsidR="00E55B2F" w:rsidRPr="000C6D57">
        <w:rPr>
          <w:rFonts w:cs="Arial"/>
          <w:rtl/>
        </w:rPr>
        <w:t xml:space="preserve">. </w:t>
      </w:r>
      <w:r w:rsidR="00E55B2F" w:rsidRPr="00EC5ABC">
        <w:rPr>
          <w:rFonts w:hint="cs"/>
          <w:color w:val="E36C0A" w:themeColor="accent6" w:themeShade="BF"/>
          <w:rtl/>
        </w:rPr>
        <w:t>(וכ"פ בשו"ע)</w:t>
      </w:r>
      <w:r w:rsidR="00E55B2F" w:rsidRPr="00E55B2F">
        <w:rPr>
          <w:rtl/>
        </w:rPr>
        <w:t xml:space="preserve"> </w:t>
      </w:r>
    </w:p>
    <w:p w14:paraId="0E04668D" w14:textId="541C937E" w:rsidR="00C40697" w:rsidRDefault="00C40697" w:rsidP="009000E3">
      <w:pPr>
        <w:pStyle w:val="ab"/>
        <w:numPr>
          <w:ilvl w:val="0"/>
          <w:numId w:val="35"/>
        </w:numPr>
      </w:pPr>
      <w:r>
        <w:rPr>
          <w:rFonts w:hint="cs"/>
          <w:rtl/>
        </w:rPr>
        <w:t>ר"ח</w:t>
      </w:r>
      <w:r w:rsidR="00D51BAF">
        <w:rPr>
          <w:rFonts w:hint="cs"/>
          <w:sz w:val="16"/>
          <w:szCs w:val="16"/>
          <w:rtl/>
        </w:rPr>
        <w:t xml:space="preserve"> (כ"כ בשמו הרא"ש הטור והר"ן)</w:t>
      </w:r>
      <w:r w:rsidR="00D51BAF">
        <w:rPr>
          <w:rFonts w:hint="cs"/>
          <w:rtl/>
        </w:rPr>
        <w:t xml:space="preserve">- </w:t>
      </w:r>
      <w:r w:rsidR="003120B2" w:rsidRPr="000C6D57">
        <w:rPr>
          <w:rFonts w:cs="Arial"/>
          <w:rtl/>
        </w:rPr>
        <w:t xml:space="preserve">דחקה עצמה ועשת יתר מן הראוי לה </w:t>
      </w:r>
      <w:r w:rsidR="003120B2">
        <w:rPr>
          <w:rFonts w:cs="Arial" w:hint="cs"/>
          <w:rtl/>
        </w:rPr>
        <w:t xml:space="preserve">- </w:t>
      </w:r>
      <w:r w:rsidR="003120B2" w:rsidRPr="000C6D57">
        <w:rPr>
          <w:rFonts w:cs="Arial"/>
          <w:rtl/>
        </w:rPr>
        <w:t xml:space="preserve">המותר </w:t>
      </w:r>
      <w:r w:rsidR="00D51BAF">
        <w:rPr>
          <w:rFonts w:hint="cs"/>
          <w:rtl/>
        </w:rPr>
        <w:t>לעצמה</w:t>
      </w:r>
      <w:r w:rsidR="003120B2">
        <w:rPr>
          <w:rFonts w:hint="cs"/>
          <w:rtl/>
        </w:rPr>
        <w:t>, כרבי עקיבא</w:t>
      </w:r>
      <w:r w:rsidR="00D51BAF">
        <w:rPr>
          <w:rFonts w:hint="cs"/>
          <w:rtl/>
        </w:rPr>
        <w:t>.</w:t>
      </w:r>
    </w:p>
    <w:p w14:paraId="54B41090" w14:textId="14C0A1EE" w:rsidR="004E61B7" w:rsidRPr="004E61B7" w:rsidRDefault="00C146F0" w:rsidP="004E61B7">
      <w:pPr>
        <w:ind w:left="360"/>
        <w:rPr>
          <w:rFonts w:cs="Arial"/>
          <w:u w:val="dotted"/>
          <w:rtl/>
        </w:rPr>
      </w:pPr>
      <w:r>
        <w:rPr>
          <w:rFonts w:cs="Arial" w:hint="cs"/>
          <w:u w:val="dotted"/>
          <w:rtl/>
        </w:rPr>
        <w:t xml:space="preserve">ומה הדין </w:t>
      </w:r>
      <w:r w:rsidR="004E61B7" w:rsidRPr="004E61B7">
        <w:rPr>
          <w:rFonts w:cs="Arial" w:hint="cs"/>
          <w:u w:val="dotted"/>
          <w:rtl/>
        </w:rPr>
        <w:t xml:space="preserve">אם </w:t>
      </w:r>
      <w:r w:rsidR="00E55B2F" w:rsidRPr="004E61B7">
        <w:rPr>
          <w:rFonts w:cs="Arial"/>
          <w:u w:val="dotted"/>
          <w:rtl/>
        </w:rPr>
        <w:t>עושה ב' וג' מלאכות ביחד</w:t>
      </w:r>
      <w:r w:rsidR="004E61B7" w:rsidRPr="004E61B7">
        <w:rPr>
          <w:rFonts w:cs="Arial" w:hint="cs"/>
          <w:u w:val="dotted"/>
          <w:rtl/>
        </w:rPr>
        <w:t xml:space="preserve">: </w:t>
      </w:r>
    </w:p>
    <w:p w14:paraId="7F72891F" w14:textId="6CC32633" w:rsidR="004B36AC" w:rsidRPr="004B36AC" w:rsidRDefault="004B36AC" w:rsidP="009000E3">
      <w:pPr>
        <w:pStyle w:val="ab"/>
        <w:numPr>
          <w:ilvl w:val="0"/>
          <w:numId w:val="37"/>
        </w:numPr>
      </w:pPr>
      <w:r>
        <w:rPr>
          <w:rFonts w:cs="Arial" w:hint="cs"/>
          <w:rtl/>
        </w:rPr>
        <w:t xml:space="preserve">(רי"ף ורמב"ם </w:t>
      </w:r>
      <w:r>
        <w:rPr>
          <w:rFonts w:cs="Arial" w:hint="cs"/>
          <w:sz w:val="16"/>
          <w:szCs w:val="16"/>
          <w:rtl/>
        </w:rPr>
        <w:t>להבנת הב"ש [סק"ב]</w:t>
      </w:r>
      <w:r>
        <w:rPr>
          <w:rFonts w:hint="cs"/>
          <w:rtl/>
        </w:rPr>
        <w:t xml:space="preserve">)- </w:t>
      </w:r>
      <w:r w:rsidRPr="004B36AC">
        <w:rPr>
          <w:rFonts w:cs="Arial"/>
          <w:rtl/>
        </w:rPr>
        <w:t>הן שעשתה בלילה הן שעשתה ב' וג' מלאכות בפעם אחת הכל נקר</w:t>
      </w:r>
      <w:r>
        <w:rPr>
          <w:rFonts w:cs="Arial" w:hint="cs"/>
          <w:rtl/>
        </w:rPr>
        <w:t>א</w:t>
      </w:r>
      <w:r w:rsidRPr="004B36AC">
        <w:rPr>
          <w:rFonts w:cs="Arial"/>
          <w:rtl/>
        </w:rPr>
        <w:t xml:space="preserve"> מחמת דחק</w:t>
      </w:r>
      <w:r>
        <w:rPr>
          <w:rFonts w:cs="Arial" w:hint="cs"/>
          <w:sz w:val="16"/>
          <w:szCs w:val="16"/>
          <w:rtl/>
        </w:rPr>
        <w:t xml:space="preserve"> (ל' הב"ש בשמם)</w:t>
      </w:r>
      <w:r>
        <w:rPr>
          <w:rFonts w:cs="Arial" w:hint="cs"/>
          <w:rtl/>
        </w:rPr>
        <w:t>.</w:t>
      </w:r>
    </w:p>
    <w:p w14:paraId="7BD119D1" w14:textId="30EC973B" w:rsidR="004E61B7" w:rsidRPr="004E61B7" w:rsidRDefault="004E61B7" w:rsidP="009000E3">
      <w:pPr>
        <w:pStyle w:val="ab"/>
        <w:numPr>
          <w:ilvl w:val="0"/>
          <w:numId w:val="37"/>
        </w:numPr>
      </w:pPr>
      <w:r>
        <w:rPr>
          <w:rFonts w:cs="Arial" w:hint="cs"/>
          <w:rtl/>
        </w:rPr>
        <w:t>רב האי</w:t>
      </w:r>
      <w:r w:rsidR="00AD4A80">
        <w:rPr>
          <w:rFonts w:cs="Arial" w:hint="cs"/>
          <w:sz w:val="16"/>
          <w:szCs w:val="16"/>
          <w:rtl/>
        </w:rPr>
        <w:t xml:space="preserve"> (כ"כ הרא"ש [</w:t>
      </w:r>
      <w:r w:rsidR="000D281E">
        <w:rPr>
          <w:rFonts w:cs="Arial" w:hint="cs"/>
          <w:sz w:val="16"/>
          <w:szCs w:val="16"/>
          <w:rtl/>
        </w:rPr>
        <w:t>פ"ו סי' ב</w:t>
      </w:r>
      <w:r w:rsidR="00AD4A80">
        <w:rPr>
          <w:rFonts w:cs="Arial" w:hint="cs"/>
          <w:sz w:val="16"/>
          <w:szCs w:val="16"/>
          <w:rtl/>
        </w:rPr>
        <w:t>] והטור בשמו)</w:t>
      </w:r>
      <w:r>
        <w:rPr>
          <w:rFonts w:cs="Arial" w:hint="cs"/>
          <w:rtl/>
        </w:rPr>
        <w:t xml:space="preserve">- </w:t>
      </w:r>
      <w:r w:rsidR="00AD4A80">
        <w:rPr>
          <w:rFonts w:cs="Arial" w:hint="cs"/>
          <w:rtl/>
        </w:rPr>
        <w:t>כיון דסלקא בתיקו הוי לעצמה</w:t>
      </w:r>
      <w:r w:rsidR="00C146F0">
        <w:rPr>
          <w:rStyle w:val="a7"/>
          <w:rFonts w:cs="Arial"/>
          <w:rtl/>
        </w:rPr>
        <w:footnoteReference w:id="673"/>
      </w:r>
      <w:r w:rsidR="00AD4A80">
        <w:rPr>
          <w:rFonts w:cs="Arial" w:hint="cs"/>
          <w:rtl/>
        </w:rPr>
        <w:t xml:space="preserve"> </w:t>
      </w:r>
      <w:r w:rsidR="00AD4A80">
        <w:rPr>
          <w:rFonts w:cs="Arial" w:hint="cs"/>
          <w:sz w:val="16"/>
          <w:szCs w:val="16"/>
          <w:rtl/>
        </w:rPr>
        <w:t>(ל' הרא"ש בשמו)</w:t>
      </w:r>
      <w:r>
        <w:rPr>
          <w:rFonts w:cs="Arial" w:hint="cs"/>
          <w:rtl/>
        </w:rPr>
        <w:t>.</w:t>
      </w:r>
      <w:r w:rsidR="00270F2B">
        <w:rPr>
          <w:rFonts w:hint="cs"/>
          <w:rtl/>
        </w:rPr>
        <w:t xml:space="preserve"> (וכ"כ הח"מ</w:t>
      </w:r>
      <w:r w:rsidR="00270F2B">
        <w:rPr>
          <w:rStyle w:val="a7"/>
          <w:rtl/>
        </w:rPr>
        <w:footnoteReference w:id="674"/>
      </w:r>
      <w:r w:rsidR="00270F2B">
        <w:rPr>
          <w:rFonts w:hint="cs"/>
          <w:sz w:val="16"/>
          <w:szCs w:val="16"/>
          <w:rtl/>
        </w:rPr>
        <w:t xml:space="preserve"> [סק"ב]</w:t>
      </w:r>
      <w:r w:rsidR="00270F2B">
        <w:rPr>
          <w:rFonts w:hint="cs"/>
          <w:rtl/>
        </w:rPr>
        <w:t>)</w:t>
      </w:r>
    </w:p>
    <w:p w14:paraId="23DA43EC" w14:textId="602E447F" w:rsidR="00DC4762" w:rsidRPr="000D281E" w:rsidRDefault="00E55B2F" w:rsidP="009000E3">
      <w:pPr>
        <w:pStyle w:val="ab"/>
        <w:numPr>
          <w:ilvl w:val="0"/>
          <w:numId w:val="37"/>
        </w:numPr>
      </w:pPr>
      <w:r w:rsidRPr="004E61B7">
        <w:rPr>
          <w:rFonts w:cs="Arial"/>
          <w:rtl/>
        </w:rPr>
        <w:t>ר"ח</w:t>
      </w:r>
      <w:r w:rsidR="004E61B7">
        <w:rPr>
          <w:rFonts w:cs="Arial" w:hint="cs"/>
          <w:sz w:val="16"/>
          <w:szCs w:val="16"/>
          <w:rtl/>
        </w:rPr>
        <w:t xml:space="preserve"> (כ"כ </w:t>
      </w:r>
      <w:r w:rsidR="000D281E">
        <w:rPr>
          <w:rFonts w:cs="Arial" w:hint="cs"/>
          <w:sz w:val="16"/>
          <w:szCs w:val="16"/>
          <w:rtl/>
        </w:rPr>
        <w:t>הרא"ש [שם] ו</w:t>
      </w:r>
      <w:r w:rsidR="004E61B7">
        <w:rPr>
          <w:rFonts w:cs="Arial" w:hint="cs"/>
          <w:sz w:val="16"/>
          <w:szCs w:val="16"/>
          <w:rtl/>
        </w:rPr>
        <w:t>הטור בשמו)</w:t>
      </w:r>
      <w:r w:rsidR="004E61B7">
        <w:rPr>
          <w:rFonts w:cs="Arial" w:hint="cs"/>
          <w:rtl/>
        </w:rPr>
        <w:t xml:space="preserve">- </w:t>
      </w:r>
      <w:r w:rsidRPr="004E61B7">
        <w:rPr>
          <w:rFonts w:cs="Arial"/>
          <w:rtl/>
        </w:rPr>
        <w:t>לא הוי המותר לבעל אלא במותר שלא ע"י הדחק אבל בכל שדחקה בין שעושה בלילה או שעשתה ב' וג' מלאכות ביחד הכל לעצמה</w:t>
      </w:r>
      <w:r w:rsidR="000D281E">
        <w:rPr>
          <w:rStyle w:val="a7"/>
          <w:rFonts w:cs="Arial"/>
          <w:rtl/>
        </w:rPr>
        <w:footnoteReference w:id="675"/>
      </w:r>
      <w:r w:rsidR="000D281E">
        <w:rPr>
          <w:rFonts w:cs="Arial" w:hint="cs"/>
          <w:sz w:val="16"/>
          <w:szCs w:val="16"/>
          <w:rtl/>
        </w:rPr>
        <w:t xml:space="preserve"> </w:t>
      </w:r>
      <w:r w:rsidR="003120B2">
        <w:rPr>
          <w:rFonts w:cs="Arial" w:hint="cs"/>
          <w:sz w:val="16"/>
          <w:szCs w:val="16"/>
          <w:rtl/>
        </w:rPr>
        <w:t>(ל' הטור בשמו)</w:t>
      </w:r>
      <w:r w:rsidR="0028436B">
        <w:rPr>
          <w:rStyle w:val="a7"/>
          <w:rFonts w:cs="Arial"/>
          <w:rtl/>
        </w:rPr>
        <w:footnoteReference w:id="676"/>
      </w:r>
      <w:r w:rsidR="004E61B7">
        <w:rPr>
          <w:rFonts w:cs="Arial" w:hint="cs"/>
          <w:rtl/>
        </w:rPr>
        <w:t>.</w:t>
      </w:r>
    </w:p>
    <w:p w14:paraId="2E70717A" w14:textId="5E82C46D" w:rsidR="002800E3" w:rsidRPr="003E7259" w:rsidRDefault="002800E3" w:rsidP="003E7259">
      <w:pPr>
        <w:ind w:left="360"/>
        <w:rPr>
          <w:u w:val="dotted"/>
        </w:rPr>
      </w:pPr>
      <w:r w:rsidRPr="003E7259">
        <w:rPr>
          <w:rFonts w:hint="cs"/>
          <w:u w:val="dotted"/>
          <w:rtl/>
        </w:rPr>
        <w:lastRenderedPageBreak/>
        <w:t>האם יכולה האשה לומר איני נוטלת מעה כסף ואיני נותנת את המותר:</w:t>
      </w:r>
    </w:p>
    <w:p w14:paraId="0194EC48" w14:textId="70CA70C7" w:rsidR="002800E3" w:rsidRPr="002800E3" w:rsidRDefault="00233322" w:rsidP="009000E3">
      <w:pPr>
        <w:pStyle w:val="ab"/>
        <w:numPr>
          <w:ilvl w:val="0"/>
          <w:numId w:val="35"/>
        </w:numPr>
      </w:pPr>
      <w:r w:rsidRPr="000A7A9C">
        <w:rPr>
          <w:rFonts w:cs="Arial"/>
          <w:rtl/>
        </w:rPr>
        <w:t>ה"ר יונה</w:t>
      </w:r>
      <w:r w:rsidR="002800E3">
        <w:rPr>
          <w:rFonts w:cs="Arial" w:hint="cs"/>
          <w:sz w:val="16"/>
          <w:szCs w:val="16"/>
          <w:rtl/>
        </w:rPr>
        <w:t xml:space="preserve"> (כ"כ הטור בשמו)</w:t>
      </w:r>
      <w:r w:rsidR="002800E3">
        <w:rPr>
          <w:rFonts w:cs="Arial" w:hint="cs"/>
          <w:rtl/>
        </w:rPr>
        <w:t>-</w:t>
      </w:r>
      <w:r w:rsidRPr="000A7A9C">
        <w:rPr>
          <w:rFonts w:cs="Arial"/>
          <w:rtl/>
        </w:rPr>
        <w:t xml:space="preserve"> דוקא בעיקר מעשה ידיה</w:t>
      </w:r>
      <w:r w:rsidR="002800E3">
        <w:rPr>
          <w:rFonts w:cs="Arial" w:hint="cs"/>
          <w:rtl/>
        </w:rPr>
        <w:t>,</w:t>
      </w:r>
      <w:r w:rsidRPr="000A7A9C">
        <w:rPr>
          <w:rFonts w:cs="Arial"/>
          <w:rtl/>
        </w:rPr>
        <w:t xml:space="preserve"> אבל המותר על ה' סלעים שהוא שלו ותקנו לה כנגדו מעה כסף </w:t>
      </w:r>
      <w:r w:rsidR="002800E3">
        <w:rPr>
          <w:rFonts w:cs="Arial" w:hint="cs"/>
          <w:rtl/>
        </w:rPr>
        <w:t xml:space="preserve">- </w:t>
      </w:r>
      <w:r w:rsidRPr="000A7A9C">
        <w:rPr>
          <w:rFonts w:cs="Arial"/>
          <w:rtl/>
        </w:rPr>
        <w:t>אינה יכולה לומר איני נוטלת מעה כסף ואיני נותנת מותר</w:t>
      </w:r>
      <w:r w:rsidR="002800E3">
        <w:rPr>
          <w:rFonts w:cs="Arial" w:hint="cs"/>
          <w:rtl/>
        </w:rPr>
        <w:t>,</w:t>
      </w:r>
      <w:r w:rsidRPr="000A7A9C">
        <w:rPr>
          <w:rFonts w:cs="Arial"/>
          <w:rtl/>
        </w:rPr>
        <w:t xml:space="preserve"> לפי שתקנו לו מותר משום חינא ובתר הכי תקנו לה כנגדו מעה כסף</w:t>
      </w:r>
      <w:r w:rsidR="002800E3">
        <w:rPr>
          <w:rFonts w:cs="Arial" w:hint="cs"/>
          <w:rtl/>
        </w:rPr>
        <w:t>.</w:t>
      </w:r>
      <w:r w:rsidRPr="000A7A9C">
        <w:rPr>
          <w:rFonts w:cs="Arial"/>
          <w:rtl/>
        </w:rPr>
        <w:t xml:space="preserve"> </w:t>
      </w:r>
    </w:p>
    <w:p w14:paraId="770C1ED3" w14:textId="0766BF7A" w:rsidR="00DC4762" w:rsidRDefault="002800E3" w:rsidP="009000E3">
      <w:pPr>
        <w:pStyle w:val="ab"/>
        <w:numPr>
          <w:ilvl w:val="0"/>
          <w:numId w:val="35"/>
        </w:numPr>
        <w:rPr>
          <w:rtl/>
        </w:rPr>
      </w:pPr>
      <w:r>
        <w:rPr>
          <w:rFonts w:cs="Arial" w:hint="cs"/>
          <w:rtl/>
        </w:rPr>
        <w:t xml:space="preserve">רב אחא גאון </w:t>
      </w:r>
      <w:r w:rsidRPr="002800E3">
        <w:rPr>
          <w:rFonts w:cs="Arial" w:hint="cs"/>
          <w:sz w:val="16"/>
          <w:szCs w:val="16"/>
          <w:rtl/>
        </w:rPr>
        <w:t>(</w:t>
      </w:r>
      <w:r w:rsidRPr="002800E3">
        <w:rPr>
          <w:rFonts w:cs="Arial"/>
          <w:sz w:val="16"/>
          <w:szCs w:val="16"/>
          <w:rtl/>
        </w:rPr>
        <w:t>בשאילתות פרשת ואלה המשפטים שאילתא ס</w:t>
      </w:r>
      <w:r w:rsidRPr="002800E3">
        <w:rPr>
          <w:rFonts w:cs="Arial" w:hint="cs"/>
          <w:sz w:val="16"/>
          <w:szCs w:val="16"/>
          <w:rtl/>
        </w:rPr>
        <w:t xml:space="preserve">) </w:t>
      </w:r>
      <w:r w:rsidR="00233322" w:rsidRPr="000A7A9C">
        <w:rPr>
          <w:rFonts w:cs="Arial"/>
          <w:rtl/>
        </w:rPr>
        <w:t>רמ"ה</w:t>
      </w:r>
      <w:r>
        <w:rPr>
          <w:rFonts w:cs="Arial" w:hint="cs"/>
          <w:sz w:val="16"/>
          <w:szCs w:val="16"/>
          <w:rtl/>
        </w:rPr>
        <w:t xml:space="preserve"> (כ"כ הטור בשמו)</w:t>
      </w:r>
      <w:r w:rsidRPr="002800E3">
        <w:rPr>
          <w:rFonts w:cs="Arial"/>
          <w:rtl/>
        </w:rPr>
        <w:t xml:space="preserve"> </w:t>
      </w:r>
      <w:r>
        <w:rPr>
          <w:rFonts w:cs="Arial" w:hint="cs"/>
          <w:rtl/>
        </w:rPr>
        <w:t>ו</w:t>
      </w:r>
      <w:r w:rsidRPr="000A7A9C">
        <w:rPr>
          <w:rFonts w:cs="Arial"/>
          <w:rtl/>
        </w:rPr>
        <w:t>ר"ן</w:t>
      </w:r>
      <w:r>
        <w:rPr>
          <w:rFonts w:cs="Arial" w:hint="cs"/>
          <w:rtl/>
        </w:rPr>
        <w:t xml:space="preserve"> </w:t>
      </w:r>
      <w:r w:rsidRPr="002800E3">
        <w:rPr>
          <w:rFonts w:cs="Arial" w:hint="cs"/>
          <w:sz w:val="16"/>
          <w:szCs w:val="16"/>
          <w:rtl/>
        </w:rPr>
        <w:t>(</w:t>
      </w:r>
      <w:r w:rsidRPr="002800E3">
        <w:rPr>
          <w:rFonts w:cs="Arial"/>
          <w:sz w:val="16"/>
          <w:szCs w:val="16"/>
          <w:rtl/>
        </w:rPr>
        <w:t>פ</w:t>
      </w:r>
      <w:r w:rsidRPr="002800E3">
        <w:rPr>
          <w:rFonts w:cs="Arial" w:hint="cs"/>
          <w:sz w:val="16"/>
          <w:szCs w:val="16"/>
          <w:rtl/>
        </w:rPr>
        <w:t>'</w:t>
      </w:r>
      <w:r w:rsidRPr="002800E3">
        <w:rPr>
          <w:rFonts w:cs="Arial"/>
          <w:sz w:val="16"/>
          <w:szCs w:val="16"/>
          <w:rtl/>
        </w:rPr>
        <w:t xml:space="preserve"> אף על פי </w:t>
      </w:r>
      <w:r w:rsidRPr="002800E3">
        <w:rPr>
          <w:rFonts w:cs="Arial" w:hint="cs"/>
          <w:sz w:val="16"/>
          <w:szCs w:val="16"/>
          <w:rtl/>
        </w:rPr>
        <w:t>כד. ד"ה וגרסינן</w:t>
      </w:r>
      <w:r w:rsidRPr="002800E3">
        <w:rPr>
          <w:rFonts w:cs="Arial"/>
          <w:sz w:val="16"/>
          <w:szCs w:val="16"/>
          <w:rtl/>
        </w:rPr>
        <w:t>)</w:t>
      </w:r>
      <w:r>
        <w:rPr>
          <w:rFonts w:cs="Arial" w:hint="cs"/>
          <w:rtl/>
        </w:rPr>
        <w:t xml:space="preserve">- </w:t>
      </w:r>
      <w:r w:rsidR="00233322" w:rsidRPr="000A7A9C">
        <w:rPr>
          <w:rFonts w:cs="Arial"/>
          <w:rtl/>
        </w:rPr>
        <w:t>גם במותר יכולה לומר איני נוטלת מעה כסף ואיני נותנת מותר</w:t>
      </w:r>
      <w:r>
        <w:rPr>
          <w:rStyle w:val="a7"/>
          <w:rFonts w:cs="Arial"/>
          <w:rtl/>
        </w:rPr>
        <w:footnoteReference w:id="677"/>
      </w:r>
      <w:r>
        <w:rPr>
          <w:rFonts w:cs="Arial" w:hint="cs"/>
          <w:sz w:val="16"/>
          <w:szCs w:val="16"/>
          <w:rtl/>
        </w:rPr>
        <w:t xml:space="preserve"> (ל' הטור בשם הרמ"ה)</w:t>
      </w:r>
      <w:r>
        <w:rPr>
          <w:rFonts w:cs="Arial" w:hint="cs"/>
          <w:rtl/>
        </w:rPr>
        <w:t>.</w:t>
      </w:r>
      <w:r w:rsidR="005D608E" w:rsidRPr="005D608E">
        <w:rPr>
          <w:rFonts w:hint="cs"/>
          <w:color w:val="00B0F0"/>
          <w:rtl/>
        </w:rPr>
        <w:t xml:space="preserve"> (וכ"פ הרמ"א)</w:t>
      </w:r>
    </w:p>
    <w:p w14:paraId="695E5C6F" w14:textId="77777777" w:rsidR="004900BE" w:rsidRDefault="004900BE" w:rsidP="004900BE">
      <w:pPr>
        <w:rPr>
          <w:rFonts w:cs="Arial"/>
          <w:rtl/>
        </w:rPr>
      </w:pPr>
      <w:r w:rsidRPr="003024E5">
        <w:rPr>
          <w:rFonts w:asciiTheme="minorBidi" w:hAnsiTheme="minorBidi"/>
          <w:b/>
          <w:bCs/>
          <w:color w:val="000000"/>
          <w:sz w:val="28"/>
          <w:szCs w:val="28"/>
          <w:u w:val="single"/>
          <w:rtl/>
        </w:rPr>
        <w:t>שו"ע:</w:t>
      </w:r>
    </w:p>
    <w:p w14:paraId="7D0A8105" w14:textId="6AB24E2E" w:rsidR="000D2069" w:rsidRDefault="000D2069" w:rsidP="000D2069">
      <w:pPr>
        <w:rPr>
          <w:rFonts w:cs="Arial"/>
          <w:sz w:val="18"/>
          <w:szCs w:val="18"/>
          <w:rtl/>
        </w:rPr>
      </w:pPr>
      <w:r>
        <w:rPr>
          <w:rFonts w:cs="Arial"/>
          <w:rtl/>
        </w:rPr>
        <w:t>מעשה ידיה לבעלה</w:t>
      </w:r>
      <w:r w:rsidR="00E47041">
        <w:rPr>
          <w:rStyle w:val="a7"/>
          <w:rFonts w:cs="Arial"/>
          <w:rtl/>
        </w:rPr>
        <w:footnoteReference w:id="678"/>
      </w:r>
      <w:r>
        <w:rPr>
          <w:rFonts w:cs="Arial"/>
          <w:rtl/>
        </w:rPr>
        <w:t>, כיצד, הכל כמנהג המדינה</w:t>
      </w:r>
      <w:r w:rsidR="00D04A54">
        <w:rPr>
          <w:rFonts w:cs="Arial" w:hint="cs"/>
          <w:rtl/>
        </w:rPr>
        <w:t>,</w:t>
      </w:r>
      <w:r>
        <w:rPr>
          <w:rFonts w:cs="Arial"/>
          <w:rtl/>
        </w:rPr>
        <w:t xml:space="preserve"> מקום שדרכן לארוג, אורגת</w:t>
      </w:r>
      <w:r w:rsidR="00DC4762">
        <w:rPr>
          <w:rFonts w:cs="Arial" w:hint="cs"/>
          <w:rtl/>
        </w:rPr>
        <w:t>.</w:t>
      </w:r>
      <w:r>
        <w:rPr>
          <w:rFonts w:cs="Arial"/>
          <w:rtl/>
        </w:rPr>
        <w:t xml:space="preserve"> לרקום, רוקמת</w:t>
      </w:r>
      <w:r w:rsidR="00DC4762">
        <w:rPr>
          <w:rFonts w:cs="Arial" w:hint="cs"/>
          <w:rtl/>
        </w:rPr>
        <w:t>.</w:t>
      </w:r>
      <w:r>
        <w:rPr>
          <w:rFonts w:cs="Arial"/>
          <w:rtl/>
        </w:rPr>
        <w:t xml:space="preserve"> לטוות צמר או פשתים, טווה</w:t>
      </w:r>
      <w:r w:rsidR="00DC4762">
        <w:rPr>
          <w:rFonts w:cs="Arial" w:hint="cs"/>
          <w:rtl/>
        </w:rPr>
        <w:t>.</w:t>
      </w:r>
      <w:r>
        <w:rPr>
          <w:rFonts w:cs="Arial"/>
          <w:rtl/>
        </w:rPr>
        <w:t xml:space="preserve"> ואם לא היה דרך נשי העיר לעשות כל המלאכות האלו</w:t>
      </w:r>
      <w:r w:rsidR="00270F2B">
        <w:rPr>
          <w:rStyle w:val="a7"/>
          <w:rFonts w:cs="Arial"/>
          <w:rtl/>
        </w:rPr>
        <w:footnoteReference w:id="679"/>
      </w:r>
      <w:r>
        <w:rPr>
          <w:rFonts w:cs="Arial"/>
          <w:rtl/>
        </w:rPr>
        <w:t xml:space="preserve">, אינו כופה אלא לטוות הצמר בלבד. דחקה עצמה ועשתה יותר מהראוי לה, המותר לבעל. </w:t>
      </w:r>
      <w:r w:rsidRPr="004D0526">
        <w:rPr>
          <w:rFonts w:cs="Arial"/>
          <w:sz w:val="18"/>
          <w:szCs w:val="18"/>
          <w:rtl/>
        </w:rPr>
        <w:t>הגה: ודוקא שנותן לה מעה כסף כל שבוע</w:t>
      </w:r>
      <w:r w:rsidR="00270F2B">
        <w:rPr>
          <w:rStyle w:val="a7"/>
          <w:rFonts w:cs="Arial"/>
          <w:sz w:val="18"/>
          <w:szCs w:val="18"/>
          <w:rtl/>
        </w:rPr>
        <w:footnoteReference w:id="680"/>
      </w:r>
      <w:r w:rsidRPr="004D0526">
        <w:rPr>
          <w:rFonts w:cs="Arial"/>
          <w:sz w:val="18"/>
          <w:szCs w:val="18"/>
          <w:rtl/>
        </w:rPr>
        <w:t>, כמו שנתבאר לעיל סימן ע'. ויכולה אשה לומר: איני נוטלת מעה כסף ואיני נותן המותר</w:t>
      </w:r>
      <w:r w:rsidR="00DC4762">
        <w:rPr>
          <w:rFonts w:cs="Arial" w:hint="cs"/>
          <w:sz w:val="18"/>
          <w:szCs w:val="18"/>
          <w:rtl/>
        </w:rPr>
        <w:t>,</w:t>
      </w:r>
      <w:r w:rsidRPr="004D0526">
        <w:rPr>
          <w:rFonts w:cs="Arial"/>
          <w:sz w:val="18"/>
          <w:szCs w:val="18"/>
          <w:rtl/>
        </w:rPr>
        <w:t xml:space="preserve"> אבל הבעל לא יוכל לומר כן (טור בשם הרמ"ה וכ"כ הר"ן </w:t>
      </w:r>
      <w:r w:rsidR="003E7259">
        <w:rPr>
          <w:rFonts w:cs="Arial" w:hint="cs"/>
          <w:sz w:val="18"/>
          <w:szCs w:val="18"/>
          <w:rtl/>
        </w:rPr>
        <w:t>ו</w:t>
      </w:r>
      <w:r w:rsidRPr="004D0526">
        <w:rPr>
          <w:rFonts w:cs="Arial"/>
          <w:sz w:val="18"/>
          <w:szCs w:val="18"/>
          <w:rtl/>
        </w:rPr>
        <w:t>השאלתות</w:t>
      </w:r>
      <w:r w:rsidR="003E7259">
        <w:rPr>
          <w:rFonts w:cs="Arial" w:hint="cs"/>
          <w:sz w:val="18"/>
          <w:szCs w:val="18"/>
          <w:rtl/>
        </w:rPr>
        <w:t>)</w:t>
      </w:r>
      <w:r w:rsidRPr="004D0526">
        <w:rPr>
          <w:rFonts w:cs="Arial"/>
          <w:sz w:val="18"/>
          <w:szCs w:val="18"/>
          <w:rtl/>
        </w:rPr>
        <w:t xml:space="preserve">. </w:t>
      </w:r>
    </w:p>
    <w:p w14:paraId="2B0FA3FE" w14:textId="1A41FA90" w:rsidR="00066AA5" w:rsidRPr="00E47041" w:rsidRDefault="00066AA5" w:rsidP="000D2069">
      <w:pPr>
        <w:rPr>
          <w:u w:val="single"/>
          <w:rtl/>
        </w:rPr>
      </w:pPr>
      <w:r w:rsidRPr="00E47041">
        <w:rPr>
          <w:rFonts w:cs="Arial" w:hint="cs"/>
          <w:u w:val="single"/>
          <w:rtl/>
        </w:rPr>
        <w:t>אשה שמפר</w:t>
      </w:r>
      <w:r w:rsidR="00E47041">
        <w:rPr>
          <w:rFonts w:cs="Arial" w:hint="cs"/>
          <w:u w:val="single"/>
          <w:rtl/>
        </w:rPr>
        <w:t>ס</w:t>
      </w:r>
      <w:r w:rsidRPr="00E47041">
        <w:rPr>
          <w:rFonts w:cs="Arial" w:hint="cs"/>
          <w:u w:val="single"/>
          <w:rtl/>
        </w:rPr>
        <w:t>נ</w:t>
      </w:r>
      <w:r w:rsidR="00E47041" w:rsidRPr="00E47041">
        <w:rPr>
          <w:rFonts w:cs="Arial" w:hint="cs"/>
          <w:u w:val="single"/>
          <w:rtl/>
        </w:rPr>
        <w:t xml:space="preserve">ת את בעלה </w:t>
      </w:r>
      <w:r w:rsidR="00F97626">
        <w:rPr>
          <w:rFonts w:cs="Arial"/>
          <w:u w:val="single"/>
          <w:rtl/>
        </w:rPr>
        <w:t>-</w:t>
      </w:r>
      <w:r w:rsidR="00E47041" w:rsidRPr="00E47041">
        <w:rPr>
          <w:rFonts w:cs="Arial" w:hint="cs"/>
          <w:u w:val="single"/>
          <w:rtl/>
        </w:rPr>
        <w:t xml:space="preserve"> מעשה ידיה למי:</w:t>
      </w:r>
    </w:p>
    <w:p w14:paraId="0157DDBD" w14:textId="5A8ABE68" w:rsidR="00E47041" w:rsidRPr="00E47041" w:rsidRDefault="00066AA5" w:rsidP="009000E3">
      <w:pPr>
        <w:pStyle w:val="ab"/>
        <w:numPr>
          <w:ilvl w:val="0"/>
          <w:numId w:val="40"/>
        </w:numPr>
      </w:pPr>
      <w:r w:rsidRPr="00066AA5">
        <w:rPr>
          <w:rFonts w:cs="Arial" w:hint="cs"/>
          <w:rtl/>
        </w:rPr>
        <w:t>באה"ט</w:t>
      </w:r>
      <w:r w:rsidRPr="00066AA5">
        <w:rPr>
          <w:rFonts w:cs="Arial" w:hint="cs"/>
          <w:sz w:val="16"/>
          <w:szCs w:val="16"/>
          <w:rtl/>
        </w:rPr>
        <w:t xml:space="preserve"> (סק"א)</w:t>
      </w:r>
      <w:r w:rsidRPr="00066AA5">
        <w:rPr>
          <w:rFonts w:cs="Arial" w:hint="cs"/>
          <w:rtl/>
        </w:rPr>
        <w:t>-</w:t>
      </w:r>
      <w:r w:rsidRPr="00066AA5">
        <w:rPr>
          <w:rFonts w:cs="Arial"/>
          <w:rtl/>
        </w:rPr>
        <w:t xml:space="preserve"> נשים הללו גבירות ונכנסות בחצירות שרי המלכים והמה כאניות סוחר להביא טרף לביתם ומכלכלים את בעליהם </w:t>
      </w:r>
      <w:r w:rsidR="00E47041">
        <w:rPr>
          <w:rFonts w:cs="Arial" w:hint="cs"/>
          <w:rtl/>
        </w:rPr>
        <w:t xml:space="preserve">- </w:t>
      </w:r>
      <w:r w:rsidRPr="00066AA5">
        <w:rPr>
          <w:rFonts w:cs="Arial"/>
          <w:rtl/>
        </w:rPr>
        <w:t>מעשה ידיהם לבעליהן</w:t>
      </w:r>
      <w:r w:rsidR="00E47041">
        <w:rPr>
          <w:rStyle w:val="a7"/>
          <w:rFonts w:cs="Arial"/>
          <w:rtl/>
        </w:rPr>
        <w:footnoteReference w:id="681"/>
      </w:r>
      <w:r w:rsidR="00E47041">
        <w:rPr>
          <w:rFonts w:cs="Arial" w:hint="cs"/>
          <w:rtl/>
        </w:rPr>
        <w:t>,</w:t>
      </w:r>
      <w:r w:rsidRPr="00066AA5">
        <w:rPr>
          <w:rFonts w:cs="Arial"/>
          <w:rtl/>
        </w:rPr>
        <w:t xml:space="preserve"> מהרי"ט</w:t>
      </w:r>
      <w:r w:rsidR="00E47041">
        <w:rPr>
          <w:rStyle w:val="a7"/>
          <w:rFonts w:cs="Arial"/>
          <w:rtl/>
        </w:rPr>
        <w:footnoteReference w:id="682"/>
      </w:r>
      <w:r w:rsidRPr="00066AA5">
        <w:rPr>
          <w:rFonts w:cs="Arial"/>
          <w:rtl/>
        </w:rPr>
        <w:t xml:space="preserve"> </w:t>
      </w:r>
      <w:r w:rsidR="00F04683">
        <w:rPr>
          <w:rFonts w:cs="Arial" w:hint="cs"/>
          <w:rtl/>
        </w:rPr>
        <w:t>(</w:t>
      </w:r>
      <w:r w:rsidRPr="00066AA5">
        <w:rPr>
          <w:rFonts w:cs="Arial"/>
          <w:rtl/>
        </w:rPr>
        <w:t>ח"ב חח"מ סי' סז</w:t>
      </w:r>
      <w:r w:rsidR="00DC0389">
        <w:rPr>
          <w:rFonts w:cs="Arial" w:hint="cs"/>
          <w:rtl/>
        </w:rPr>
        <w:t>)</w:t>
      </w:r>
      <w:r w:rsidRPr="00066AA5">
        <w:rPr>
          <w:rFonts w:cs="Arial"/>
          <w:rtl/>
        </w:rPr>
        <w:t>.</w:t>
      </w:r>
    </w:p>
    <w:p w14:paraId="13A3BCBE" w14:textId="3F87D92A" w:rsidR="00E47041" w:rsidRPr="00E47041" w:rsidRDefault="00E47041" w:rsidP="00E47041">
      <w:pPr>
        <w:rPr>
          <w:u w:val="single"/>
        </w:rPr>
      </w:pPr>
      <w:r w:rsidRPr="00E47041">
        <w:rPr>
          <w:rFonts w:hint="cs"/>
          <w:u w:val="single"/>
          <w:rtl/>
        </w:rPr>
        <w:t>מגורשת ואינה מגורשת, וכן שכ"מ שנתן לאשתו גט על תנאי:</w:t>
      </w:r>
    </w:p>
    <w:p w14:paraId="4C133172" w14:textId="2723F3F2" w:rsidR="00066AA5" w:rsidRDefault="00E47041" w:rsidP="009000E3">
      <w:pPr>
        <w:pStyle w:val="ab"/>
        <w:numPr>
          <w:ilvl w:val="0"/>
          <w:numId w:val="40"/>
        </w:numPr>
        <w:rPr>
          <w:rtl/>
        </w:rPr>
      </w:pPr>
      <w:r w:rsidRPr="00066AA5">
        <w:rPr>
          <w:rFonts w:cs="Arial" w:hint="cs"/>
          <w:rtl/>
        </w:rPr>
        <w:t>באה"ט</w:t>
      </w:r>
      <w:r w:rsidRPr="00066AA5">
        <w:rPr>
          <w:rFonts w:cs="Arial" w:hint="cs"/>
          <w:sz w:val="16"/>
          <w:szCs w:val="16"/>
          <w:rtl/>
        </w:rPr>
        <w:t xml:space="preserve"> (סק"א)</w:t>
      </w:r>
      <w:r w:rsidRPr="00066AA5">
        <w:rPr>
          <w:rFonts w:cs="Arial" w:hint="cs"/>
          <w:rtl/>
        </w:rPr>
        <w:t>-</w:t>
      </w:r>
      <w:r w:rsidRPr="00066AA5">
        <w:rPr>
          <w:rFonts w:cs="Arial"/>
          <w:rtl/>
        </w:rPr>
        <w:t xml:space="preserve"> </w:t>
      </w:r>
      <w:r w:rsidR="00066AA5" w:rsidRPr="00066AA5">
        <w:rPr>
          <w:rFonts w:cs="Arial"/>
          <w:rtl/>
        </w:rPr>
        <w:t>מגורשת ואינה מגורשת וכן ש"מ שנתן גט לאשתו בתנאי מעכשיו</w:t>
      </w:r>
      <w:r w:rsidR="00073B6D">
        <w:rPr>
          <w:rFonts w:cs="Arial" w:hint="cs"/>
          <w:rtl/>
        </w:rPr>
        <w:t>,</w:t>
      </w:r>
      <w:r w:rsidR="00066AA5" w:rsidRPr="00066AA5">
        <w:rPr>
          <w:rFonts w:cs="Arial"/>
          <w:rtl/>
        </w:rPr>
        <w:t xml:space="preserve"> אע</w:t>
      </w:r>
      <w:r w:rsidR="00073B6D">
        <w:rPr>
          <w:rFonts w:cs="Arial" w:hint="cs"/>
          <w:rtl/>
        </w:rPr>
        <w:t>"</w:t>
      </w:r>
      <w:r w:rsidR="00066AA5" w:rsidRPr="00066AA5">
        <w:rPr>
          <w:rFonts w:cs="Arial"/>
          <w:rtl/>
        </w:rPr>
        <w:t xml:space="preserve">פ שחייב במזונותיה </w:t>
      </w:r>
      <w:r>
        <w:rPr>
          <w:rFonts w:cs="Arial" w:hint="cs"/>
          <w:rtl/>
        </w:rPr>
        <w:t xml:space="preserve">- </w:t>
      </w:r>
      <w:r w:rsidR="00066AA5" w:rsidRPr="00066AA5">
        <w:rPr>
          <w:rFonts w:cs="Arial"/>
          <w:rtl/>
        </w:rPr>
        <w:t>מעשה ידיה שלה</w:t>
      </w:r>
      <w:r>
        <w:rPr>
          <w:rFonts w:cs="Arial" w:hint="cs"/>
          <w:rtl/>
        </w:rPr>
        <w:t>,</w:t>
      </w:r>
      <w:r w:rsidR="00066AA5" w:rsidRPr="00066AA5">
        <w:rPr>
          <w:rFonts w:cs="Arial"/>
          <w:rtl/>
        </w:rPr>
        <w:t xml:space="preserve"> הרא"ם </w:t>
      </w:r>
      <w:r w:rsidR="00073B6D">
        <w:rPr>
          <w:rFonts w:cs="Arial" w:hint="cs"/>
          <w:rtl/>
        </w:rPr>
        <w:t>(</w:t>
      </w:r>
      <w:r w:rsidR="00066AA5" w:rsidRPr="00066AA5">
        <w:rPr>
          <w:rFonts w:cs="Arial"/>
          <w:rtl/>
        </w:rPr>
        <w:t>ח"א סי' לד</w:t>
      </w:r>
      <w:r w:rsidR="00073B6D">
        <w:rPr>
          <w:rFonts w:cs="Arial" w:hint="cs"/>
          <w:rtl/>
        </w:rPr>
        <w:t>)</w:t>
      </w:r>
      <w:r>
        <w:rPr>
          <w:rFonts w:cs="Arial" w:hint="cs"/>
          <w:rtl/>
        </w:rPr>
        <w:t>.</w:t>
      </w:r>
    </w:p>
    <w:p w14:paraId="695FA0CD" w14:textId="69B895B1" w:rsidR="004A5CA6" w:rsidRPr="004A5CA6" w:rsidRDefault="004A5CA6" w:rsidP="000D2069">
      <w:pPr>
        <w:rPr>
          <w:sz w:val="16"/>
          <w:szCs w:val="16"/>
          <w:u w:val="single"/>
          <w:rtl/>
        </w:rPr>
      </w:pPr>
      <w:r w:rsidRPr="004A5CA6">
        <w:rPr>
          <w:rFonts w:hint="cs"/>
          <w:u w:val="single"/>
          <w:rtl/>
        </w:rPr>
        <w:lastRenderedPageBreak/>
        <w:t xml:space="preserve">זוג שהתחתנו ומקבלים מזונות מאבי הכלה לשנים הראשונות, והכלה עושה מלאכה </w:t>
      </w:r>
      <w:r w:rsidR="00F97626">
        <w:rPr>
          <w:u w:val="single"/>
          <w:rtl/>
        </w:rPr>
        <w:t>-</w:t>
      </w:r>
      <w:r w:rsidRPr="004A5CA6">
        <w:rPr>
          <w:rFonts w:hint="cs"/>
          <w:u w:val="single"/>
          <w:rtl/>
        </w:rPr>
        <w:t xml:space="preserve"> מעשה ידיה למי:</w:t>
      </w:r>
      <w:r w:rsidRPr="004A5CA6">
        <w:rPr>
          <w:rFonts w:hint="cs"/>
          <w:sz w:val="16"/>
          <w:szCs w:val="16"/>
          <w:rtl/>
        </w:rPr>
        <w:t xml:space="preserve"> (פת"ש סק"א)</w:t>
      </w:r>
    </w:p>
    <w:p w14:paraId="78D81D48" w14:textId="7FD1D350" w:rsidR="004D0526" w:rsidRDefault="004A5CA6" w:rsidP="009000E3">
      <w:pPr>
        <w:pStyle w:val="ab"/>
        <w:numPr>
          <w:ilvl w:val="0"/>
          <w:numId w:val="35"/>
        </w:numPr>
        <w:rPr>
          <w:rtl/>
        </w:rPr>
      </w:pPr>
      <w:r w:rsidRPr="004A5CA6">
        <w:rPr>
          <w:rFonts w:cs="Arial"/>
          <w:rtl/>
        </w:rPr>
        <w:t xml:space="preserve">גבעת שאול </w:t>
      </w:r>
      <w:r w:rsidRPr="004A5CA6">
        <w:rPr>
          <w:rFonts w:cs="Arial" w:hint="cs"/>
          <w:sz w:val="16"/>
          <w:szCs w:val="16"/>
          <w:rtl/>
        </w:rPr>
        <w:t>(</w:t>
      </w:r>
      <w:r w:rsidRPr="004A5CA6">
        <w:rPr>
          <w:rFonts w:cs="Arial"/>
          <w:sz w:val="16"/>
          <w:szCs w:val="16"/>
          <w:rtl/>
        </w:rPr>
        <w:t>סי' לג</w:t>
      </w:r>
      <w:r w:rsidRPr="004A5CA6">
        <w:rPr>
          <w:rFonts w:cs="Arial" w:hint="cs"/>
          <w:sz w:val="16"/>
          <w:szCs w:val="16"/>
          <w:rtl/>
        </w:rPr>
        <w:t>)</w:t>
      </w:r>
      <w:r w:rsidRPr="004A5CA6">
        <w:rPr>
          <w:rFonts w:cs="Arial" w:hint="cs"/>
          <w:rtl/>
        </w:rPr>
        <w:t>-</w:t>
      </w:r>
      <w:r w:rsidRPr="004A5CA6">
        <w:rPr>
          <w:rFonts w:cs="Arial"/>
          <w:rtl/>
        </w:rPr>
        <w:t xml:space="preserve"> </w:t>
      </w:r>
      <w:r w:rsidRPr="004A5CA6">
        <w:rPr>
          <w:rFonts w:cs="Arial" w:hint="cs"/>
          <w:rtl/>
        </w:rPr>
        <w:t xml:space="preserve">נשאלתי על </w:t>
      </w:r>
      <w:r w:rsidRPr="004A5CA6">
        <w:rPr>
          <w:rFonts w:cs="Arial"/>
          <w:rtl/>
        </w:rPr>
        <w:t>ראובן השיא לבנו את בת שמעון והתחייבו עצמם בק"ס ליתן מזונות להזוג כמה שנים כנהוג במדינותינו ובתוך משך זמן המזונות שזנו אותן אביהן עסקה אשת בן ראובן במלאכ' והרויחה מעשה ידיה למי</w:t>
      </w:r>
      <w:r w:rsidR="00073B6D">
        <w:rPr>
          <w:rFonts w:cs="Arial" w:hint="cs"/>
          <w:rtl/>
        </w:rPr>
        <w:t>.</w:t>
      </w:r>
      <w:r w:rsidRPr="004A5CA6">
        <w:rPr>
          <w:rFonts w:cs="Arial"/>
          <w:rtl/>
        </w:rPr>
        <w:t xml:space="preserve"> אביהן ודאי לא זכה בהן</w:t>
      </w:r>
      <w:r w:rsidR="00073B6D">
        <w:rPr>
          <w:rFonts w:cs="Arial" w:hint="cs"/>
          <w:rtl/>
        </w:rPr>
        <w:t>,</w:t>
      </w:r>
      <w:r w:rsidRPr="004A5CA6">
        <w:rPr>
          <w:rFonts w:cs="Arial"/>
          <w:rtl/>
        </w:rPr>
        <w:t xml:space="preserve"> אך יש לספק אם זכה בהן הבעל</w:t>
      </w:r>
      <w:r w:rsidR="00073B6D">
        <w:rPr>
          <w:rFonts w:cs="Arial" w:hint="cs"/>
          <w:rtl/>
        </w:rPr>
        <w:t>,</w:t>
      </w:r>
      <w:r w:rsidRPr="004A5CA6">
        <w:rPr>
          <w:rFonts w:cs="Arial"/>
          <w:rtl/>
        </w:rPr>
        <w:t xml:space="preserve"> דהא מ</w:t>
      </w:r>
      <w:r w:rsidR="00073B6D">
        <w:rPr>
          <w:rFonts w:cs="Arial" w:hint="cs"/>
          <w:rtl/>
        </w:rPr>
        <w:t>עשה ידיה</w:t>
      </w:r>
      <w:r w:rsidRPr="004A5CA6">
        <w:rPr>
          <w:rFonts w:cs="Arial"/>
          <w:rtl/>
        </w:rPr>
        <w:t xml:space="preserve"> תקנו תחת מזונות והרי אינה ניזונת משל בעל.</w:t>
      </w:r>
      <w:r w:rsidR="0004384E">
        <w:rPr>
          <w:rFonts w:cs="Arial" w:hint="cs"/>
          <w:rtl/>
        </w:rPr>
        <w:t xml:space="preserve"> ו</w:t>
      </w:r>
      <w:r w:rsidRPr="004A5CA6">
        <w:rPr>
          <w:rFonts w:cs="Arial"/>
          <w:rtl/>
        </w:rPr>
        <w:t xml:space="preserve">ראיה דזכה בהן הבעל מדברי הרמב"ם </w:t>
      </w:r>
      <w:r w:rsidR="00073B6D">
        <w:rPr>
          <w:rFonts w:cs="Arial" w:hint="cs"/>
          <w:rtl/>
        </w:rPr>
        <w:t>(</w:t>
      </w:r>
      <w:r w:rsidRPr="004A5CA6">
        <w:rPr>
          <w:rFonts w:cs="Arial"/>
          <w:rtl/>
        </w:rPr>
        <w:t xml:space="preserve">פ"ג מהל' עבדים </w:t>
      </w:r>
      <w:r w:rsidR="00073B6D">
        <w:rPr>
          <w:rFonts w:cs="Arial" w:hint="cs"/>
          <w:rtl/>
        </w:rPr>
        <w:t>ה"</w:t>
      </w:r>
      <w:r w:rsidRPr="004A5CA6">
        <w:rPr>
          <w:rFonts w:cs="Arial"/>
          <w:rtl/>
        </w:rPr>
        <w:t>ב</w:t>
      </w:r>
      <w:r w:rsidR="00073B6D">
        <w:rPr>
          <w:rFonts w:cs="Arial" w:hint="cs"/>
          <w:rtl/>
        </w:rPr>
        <w:t>)</w:t>
      </w:r>
      <w:r w:rsidRPr="004A5CA6">
        <w:rPr>
          <w:rFonts w:cs="Arial"/>
          <w:rtl/>
        </w:rPr>
        <w:t xml:space="preserve"> בעבד עברי שהאדון חייב במזונות אשתו אף שנשאה אחר המכירה</w:t>
      </w:r>
      <w:r w:rsidR="0004384E">
        <w:rPr>
          <w:rFonts w:cs="Arial" w:hint="cs"/>
          <w:rtl/>
        </w:rPr>
        <w:t>,</w:t>
      </w:r>
      <w:r w:rsidRPr="004A5CA6">
        <w:rPr>
          <w:rFonts w:cs="Arial"/>
          <w:rtl/>
        </w:rPr>
        <w:t xml:space="preserve"> ואפ"ה מ</w:t>
      </w:r>
      <w:r w:rsidR="0004384E">
        <w:rPr>
          <w:rFonts w:cs="Arial" w:hint="cs"/>
          <w:rtl/>
        </w:rPr>
        <w:t>עשה ידיה</w:t>
      </w:r>
      <w:r w:rsidRPr="004A5CA6">
        <w:rPr>
          <w:rFonts w:cs="Arial"/>
          <w:rtl/>
        </w:rPr>
        <w:t xml:space="preserve"> ומציאתה לבעלה כמבואר שם. </w:t>
      </w:r>
      <w:r w:rsidR="0004384E">
        <w:rPr>
          <w:rFonts w:cs="Arial" w:hint="cs"/>
          <w:rtl/>
        </w:rPr>
        <w:t xml:space="preserve">    תשובה: </w:t>
      </w:r>
      <w:r w:rsidRPr="004A5CA6">
        <w:rPr>
          <w:rFonts w:cs="Arial"/>
          <w:rtl/>
        </w:rPr>
        <w:t>אין מדברי הרמב"ם ראיה</w:t>
      </w:r>
      <w:r w:rsidR="0004384E">
        <w:rPr>
          <w:rFonts w:cs="Arial" w:hint="cs"/>
          <w:rtl/>
        </w:rPr>
        <w:t>,</w:t>
      </w:r>
      <w:r w:rsidRPr="004A5CA6">
        <w:rPr>
          <w:rFonts w:cs="Arial"/>
          <w:rtl/>
        </w:rPr>
        <w:t xml:space="preserve"> דשם מה שהאדון נותן המזונות לאשת העבד הוא מכח מ"י של בעלה העבד</w:t>
      </w:r>
      <w:r w:rsidR="0004384E">
        <w:rPr>
          <w:rFonts w:cs="Arial" w:hint="cs"/>
          <w:rtl/>
        </w:rPr>
        <w:t>,</w:t>
      </w:r>
      <w:r w:rsidRPr="004A5CA6">
        <w:rPr>
          <w:rFonts w:cs="Arial"/>
          <w:rtl/>
        </w:rPr>
        <w:t xml:space="preserve"> דהא אם מת העבד אינו נותן מזונות לאשתו משא"כ הכא דהמזונו' הוא מחמת חוב ואף אם מת הבן מחוייב ליתן לכלתו עד תשלום הזמן כמ"ש הב"ש בסי' קי"ד (עמ"ש שם סק"א). אמנם להלכה הדין עמו דברור הוא כל היכא דמ"י שלה זכה בהן הבעל מתנאי כתובה</w:t>
      </w:r>
      <w:r w:rsidR="00C47E0F">
        <w:rPr>
          <w:rFonts w:cs="Arial" w:hint="cs"/>
          <w:rtl/>
        </w:rPr>
        <w:t>.</w:t>
      </w:r>
      <w:r w:rsidRPr="004A5CA6">
        <w:rPr>
          <w:rFonts w:cs="Arial"/>
          <w:rtl/>
        </w:rPr>
        <w:t xml:space="preserve"> וכן הוא להדיא בהרא"ש ר"פ הנושא בשם הירושלמי והובא בב"י סי' קי"ד בקיצור</w:t>
      </w:r>
      <w:r w:rsidR="00C47E0F">
        <w:rPr>
          <w:rFonts w:cs="Arial" w:hint="cs"/>
          <w:rtl/>
        </w:rPr>
        <w:t>.</w:t>
      </w:r>
      <w:r w:rsidRPr="004A5CA6">
        <w:rPr>
          <w:rFonts w:cs="Arial"/>
          <w:rtl/>
        </w:rPr>
        <w:t xml:space="preserve"> וגם המ"מ </w:t>
      </w:r>
      <w:r w:rsidR="00C47E0F">
        <w:rPr>
          <w:rFonts w:cs="Arial" w:hint="cs"/>
          <w:rtl/>
        </w:rPr>
        <w:t>(</w:t>
      </w:r>
      <w:r w:rsidRPr="004A5CA6">
        <w:rPr>
          <w:rFonts w:cs="Arial"/>
          <w:rtl/>
        </w:rPr>
        <w:t xml:space="preserve">פכ"ג מה"א </w:t>
      </w:r>
      <w:r w:rsidR="00C47E0F">
        <w:rPr>
          <w:rFonts w:cs="Arial" w:hint="cs"/>
          <w:rtl/>
        </w:rPr>
        <w:t>ה</w:t>
      </w:r>
      <w:r w:rsidRPr="004A5CA6">
        <w:rPr>
          <w:rFonts w:cs="Arial"/>
          <w:rtl/>
        </w:rPr>
        <w:t>י"ח</w:t>
      </w:r>
      <w:r w:rsidR="00C47E0F">
        <w:rPr>
          <w:rFonts w:cs="Arial" w:hint="cs"/>
          <w:rtl/>
        </w:rPr>
        <w:t>)</w:t>
      </w:r>
      <w:r w:rsidRPr="004A5CA6">
        <w:rPr>
          <w:rFonts w:cs="Arial"/>
          <w:rtl/>
        </w:rPr>
        <w:t xml:space="preserve"> הביא ג"כ דברי הירוש' הזה דמי שפסק לזון את כלתו</w:t>
      </w:r>
      <w:r w:rsidR="00C47E0F">
        <w:rPr>
          <w:rFonts w:cs="Arial" w:hint="cs"/>
          <w:rtl/>
        </w:rPr>
        <w:t>,</w:t>
      </w:r>
      <w:r w:rsidRPr="004A5CA6">
        <w:rPr>
          <w:rFonts w:cs="Arial"/>
          <w:rtl/>
        </w:rPr>
        <w:t xml:space="preserve"> זנה ומעשה ידיה של בנו. ואין לחלק בין פוסק לכלתו או לבתו דמאי שנא</w:t>
      </w:r>
      <w:r>
        <w:rPr>
          <w:rFonts w:hint="cs"/>
          <w:rtl/>
        </w:rPr>
        <w:t>.</w:t>
      </w:r>
    </w:p>
    <w:p w14:paraId="0B6717C5" w14:textId="77777777" w:rsidR="004A5CA6" w:rsidRDefault="004A5CA6" w:rsidP="000D2069">
      <w:pPr>
        <w:rPr>
          <w:rtl/>
        </w:rPr>
      </w:pPr>
    </w:p>
    <w:p w14:paraId="17048F62" w14:textId="2F15A761" w:rsidR="000D2069" w:rsidRDefault="000D2069" w:rsidP="000F64D0">
      <w:pPr>
        <w:pStyle w:val="2"/>
        <w:rPr>
          <w:rtl/>
        </w:rPr>
      </w:pPr>
      <w:r>
        <w:rPr>
          <w:rtl/>
        </w:rPr>
        <w:t>סעיף ב</w:t>
      </w:r>
      <w:r w:rsidR="004D0526">
        <w:rPr>
          <w:rFonts w:hint="cs"/>
          <w:rtl/>
        </w:rPr>
        <w:t>:</w:t>
      </w:r>
      <w:r w:rsidR="00D04A54">
        <w:rPr>
          <w:rFonts w:hint="cs"/>
          <w:rtl/>
        </w:rPr>
        <w:t xml:space="preserve"> חיוב מ</w:t>
      </w:r>
      <w:r w:rsidR="00854925">
        <w:rPr>
          <w:rFonts w:hint="cs"/>
          <w:rtl/>
        </w:rPr>
        <w:t xml:space="preserve">עשה ידיה </w:t>
      </w:r>
      <w:r w:rsidR="00D04A54">
        <w:rPr>
          <w:rFonts w:hint="cs"/>
          <w:rtl/>
        </w:rPr>
        <w:t>באשה שיש לה הרבה ממון/שפחות.</w:t>
      </w:r>
    </w:p>
    <w:p w14:paraId="3FAE4EC5" w14:textId="23462343" w:rsidR="00986CA6" w:rsidRPr="00986CA6" w:rsidRDefault="00986CA6" w:rsidP="00986CA6">
      <w:pPr>
        <w:rPr>
          <w:rtl/>
        </w:rPr>
      </w:pPr>
      <w:r w:rsidRPr="00AB0AB9">
        <w:rPr>
          <w:rFonts w:cs="Arial" w:hint="cs"/>
          <w:b/>
          <w:bCs/>
          <w:rtl/>
        </w:rPr>
        <w:t>כתובות</w:t>
      </w:r>
      <w:r>
        <w:rPr>
          <w:rFonts w:cs="Arial" w:hint="cs"/>
          <w:b/>
          <w:bCs/>
          <w:rtl/>
        </w:rPr>
        <w:t xml:space="preserve"> </w:t>
      </w:r>
      <w:r>
        <w:rPr>
          <w:rFonts w:cs="Arial" w:hint="cs"/>
          <w:b/>
          <w:bCs/>
          <w:sz w:val="16"/>
          <w:szCs w:val="16"/>
          <w:rtl/>
        </w:rPr>
        <w:t>(פ' אף על פי)</w:t>
      </w:r>
      <w:r w:rsidRPr="00AB0AB9">
        <w:rPr>
          <w:rFonts w:cs="Arial" w:hint="cs"/>
          <w:b/>
          <w:bCs/>
          <w:rtl/>
        </w:rPr>
        <w:t xml:space="preserve"> </w:t>
      </w:r>
      <w:r>
        <w:rPr>
          <w:rFonts w:cs="Arial" w:hint="cs"/>
          <w:b/>
          <w:bCs/>
          <w:rtl/>
        </w:rPr>
        <w:t>נט</w:t>
      </w:r>
      <w:r w:rsidR="003500D9">
        <w:rPr>
          <w:rStyle w:val="a7"/>
          <w:rFonts w:cs="Arial"/>
          <w:b/>
          <w:bCs/>
          <w:rtl/>
        </w:rPr>
        <w:footnoteReference w:id="683"/>
      </w:r>
      <w:r w:rsidRPr="00AB0AB9">
        <w:rPr>
          <w:rFonts w:cs="Arial" w:hint="cs"/>
          <w:b/>
          <w:bCs/>
          <w:rtl/>
        </w:rPr>
        <w:t xml:space="preserve"> ע"ב: </w:t>
      </w:r>
      <w:r w:rsidRPr="00390A65">
        <w:rPr>
          <w:rFonts w:cs="Arial"/>
          <w:u w:val="double"/>
          <w:rtl/>
        </w:rPr>
        <w:t>מתני'</w:t>
      </w:r>
      <w:r>
        <w:rPr>
          <w:rFonts w:cs="Arial" w:hint="cs"/>
          <w:rtl/>
        </w:rPr>
        <w:t>:</w:t>
      </w:r>
      <w:r>
        <w:rPr>
          <w:rFonts w:cs="Arial"/>
          <w:rtl/>
        </w:rPr>
        <w:t xml:space="preserve"> ואלו מלאכות שהאשה עושה לבעלה</w:t>
      </w:r>
      <w:r>
        <w:rPr>
          <w:rFonts w:cs="Arial" w:hint="cs"/>
          <w:rtl/>
        </w:rPr>
        <w:t>...</w:t>
      </w:r>
      <w:r w:rsidRPr="00B35BDB">
        <w:rPr>
          <w:rFonts w:cs="Arial"/>
          <w:rtl/>
        </w:rPr>
        <w:t xml:space="preserve"> </w:t>
      </w:r>
      <w:r w:rsidRPr="00B35BDB">
        <w:rPr>
          <w:rFonts w:cs="Arial"/>
          <w:u w:val="single"/>
          <w:rtl/>
        </w:rPr>
        <w:t>רבי אליעזר אומר</w:t>
      </w:r>
      <w:r w:rsidRPr="00B35BDB">
        <w:rPr>
          <w:rFonts w:cs="Arial"/>
          <w:rtl/>
        </w:rPr>
        <w:t xml:space="preserve">: אפי' הכניסה לו מאה שפחות - כופה לעשות בצמר, שהבטלה מביאה לידי זימה. </w:t>
      </w:r>
      <w:r w:rsidRPr="00986CA6">
        <w:rPr>
          <w:rFonts w:cs="Arial"/>
          <w:u w:val="single"/>
          <w:rtl/>
        </w:rPr>
        <w:t>רשב"ג אומר</w:t>
      </w:r>
      <w:r w:rsidRPr="00B35BDB">
        <w:rPr>
          <w:rFonts w:cs="Arial"/>
          <w:rtl/>
        </w:rPr>
        <w:t>: אף המדיר את אשתו מלעשות מלאכה - יוציא ויתן כתובה, שהבטלה מביאה לידי שיעמום</w:t>
      </w:r>
      <w:r>
        <w:rPr>
          <w:rFonts w:cs="Arial"/>
          <w:rtl/>
        </w:rPr>
        <w:t xml:space="preserve">. </w:t>
      </w:r>
      <w:r>
        <w:rPr>
          <w:rFonts w:hint="cs"/>
          <w:rtl/>
        </w:rPr>
        <w:t xml:space="preserve">      </w:t>
      </w:r>
      <w:r w:rsidRPr="00390A65">
        <w:rPr>
          <w:rFonts w:cs="Arial"/>
          <w:u w:val="double"/>
          <w:rtl/>
        </w:rPr>
        <w:t>גמ'</w:t>
      </w:r>
      <w:r>
        <w:rPr>
          <w:rFonts w:cs="Arial" w:hint="cs"/>
          <w:sz w:val="14"/>
          <w:szCs w:val="14"/>
          <w:u w:val="double"/>
          <w:rtl/>
        </w:rPr>
        <w:t>(סא:)</w:t>
      </w:r>
      <w:r>
        <w:rPr>
          <w:rFonts w:cs="Arial" w:hint="cs"/>
          <w:u w:val="double"/>
          <w:rtl/>
        </w:rPr>
        <w:t>:</w:t>
      </w:r>
      <w:r>
        <w:rPr>
          <w:rFonts w:cs="Arial"/>
          <w:rtl/>
        </w:rPr>
        <w:t xml:space="preserve"> </w:t>
      </w:r>
      <w:r w:rsidR="001B4F87" w:rsidRPr="001C664D">
        <w:rPr>
          <w:rFonts w:cs="Arial"/>
          <w:rtl/>
        </w:rPr>
        <w:t xml:space="preserve">ר' אליעזר אומר: אפילו הכניסה לו מאה שפחות. </w:t>
      </w:r>
      <w:r w:rsidR="001B4F87" w:rsidRPr="001C664D">
        <w:rPr>
          <w:rFonts w:cs="Arial"/>
          <w:u w:val="single"/>
          <w:rtl/>
        </w:rPr>
        <w:t>אמר רב מלכיו אמר רב אדא בר אהבה</w:t>
      </w:r>
      <w:r w:rsidR="001B4F87" w:rsidRPr="001C664D">
        <w:rPr>
          <w:rFonts w:cs="Arial"/>
          <w:rtl/>
        </w:rPr>
        <w:t>: הלכה כרבי אליעזר</w:t>
      </w:r>
      <w:r w:rsidR="001B4F87">
        <w:rPr>
          <w:rFonts w:cs="Arial" w:hint="cs"/>
          <w:rtl/>
        </w:rPr>
        <w:t>..</w:t>
      </w:r>
      <w:r w:rsidR="001B4F87" w:rsidRPr="001C664D">
        <w:rPr>
          <w:rFonts w:cs="Arial"/>
          <w:rtl/>
        </w:rPr>
        <w:t>.</w:t>
      </w:r>
      <w:r w:rsidR="001B4F87" w:rsidRPr="00D04A54">
        <w:rPr>
          <w:rtl/>
        </w:rPr>
        <w:t xml:space="preserve"> </w:t>
      </w:r>
      <w:r w:rsidRPr="00D04A54">
        <w:rPr>
          <w:rFonts w:cs="Arial"/>
          <w:rtl/>
        </w:rPr>
        <w:t>רשב"ג אומר וכו'. היינו תנא קמא</w:t>
      </w:r>
      <w:r>
        <w:rPr>
          <w:rStyle w:val="a7"/>
          <w:rFonts w:cs="Arial"/>
          <w:rtl/>
        </w:rPr>
        <w:footnoteReference w:id="684"/>
      </w:r>
      <w:r w:rsidRPr="00D04A54">
        <w:rPr>
          <w:rFonts w:cs="Arial"/>
          <w:rtl/>
        </w:rPr>
        <w:t>! איכא בינייהו, דמיטללא בגורייתא קיטנייתא ונדרשיר</w:t>
      </w:r>
      <w:r>
        <w:rPr>
          <w:rStyle w:val="a7"/>
          <w:rFonts w:cs="Arial"/>
          <w:rtl/>
        </w:rPr>
        <w:footnoteReference w:id="685"/>
      </w:r>
      <w:r w:rsidRPr="00D04A54">
        <w:rPr>
          <w:rFonts w:cs="Arial"/>
          <w:rtl/>
        </w:rPr>
        <w:t>.</w:t>
      </w:r>
    </w:p>
    <w:p w14:paraId="46BF27E2" w14:textId="46C9EE81" w:rsidR="00D04A54" w:rsidRPr="00D04A54" w:rsidRDefault="00D04A54" w:rsidP="00D04A54">
      <w:pPr>
        <w:rPr>
          <w:u w:val="single"/>
        </w:rPr>
      </w:pPr>
      <w:r w:rsidRPr="00D04A54">
        <w:rPr>
          <w:rFonts w:hint="cs"/>
          <w:u w:val="single"/>
          <w:rtl/>
        </w:rPr>
        <w:t xml:space="preserve">אשה שיש לה הרבה ממון/שפחות </w:t>
      </w:r>
      <w:r w:rsidR="00F97626">
        <w:rPr>
          <w:u w:val="single"/>
          <w:rtl/>
        </w:rPr>
        <w:t>-</w:t>
      </w:r>
      <w:r w:rsidRPr="00D04A54">
        <w:rPr>
          <w:rFonts w:hint="cs"/>
          <w:u w:val="single"/>
          <w:rtl/>
        </w:rPr>
        <w:t xml:space="preserve"> האם חייבת במלאכות הנ"ל:</w:t>
      </w:r>
    </w:p>
    <w:p w14:paraId="2E69EA6F" w14:textId="52CE4611" w:rsidR="00D04A54" w:rsidRPr="001C664D" w:rsidRDefault="00D04A54" w:rsidP="009000E3">
      <w:pPr>
        <w:pStyle w:val="ab"/>
        <w:numPr>
          <w:ilvl w:val="0"/>
          <w:numId w:val="35"/>
        </w:numPr>
      </w:pPr>
      <w:r>
        <w:rPr>
          <w:rFonts w:cs="Arial" w:hint="cs"/>
          <w:rtl/>
        </w:rPr>
        <w:t xml:space="preserve">טור- </w:t>
      </w:r>
      <w:r w:rsidRPr="000A7A9C">
        <w:rPr>
          <w:rFonts w:cs="Arial"/>
          <w:rtl/>
        </w:rPr>
        <w:t>וכן צריכה לעשות בצמר אפי' יש לה כמה שפחות שהבטלה מביאה לידי זימה</w:t>
      </w:r>
      <w:r>
        <w:rPr>
          <w:rFonts w:cs="Arial" w:hint="cs"/>
          <w:rtl/>
        </w:rPr>
        <w:t>.</w:t>
      </w:r>
      <w:r w:rsidRPr="000A7A9C">
        <w:rPr>
          <w:rFonts w:cs="Arial"/>
          <w:rtl/>
        </w:rPr>
        <w:t xml:space="preserve"> </w:t>
      </w:r>
    </w:p>
    <w:p w14:paraId="40CBABC4" w14:textId="63DAE2AC" w:rsidR="004D0526" w:rsidRDefault="00D04A54" w:rsidP="009000E3">
      <w:pPr>
        <w:pStyle w:val="ab"/>
        <w:numPr>
          <w:ilvl w:val="0"/>
          <w:numId w:val="35"/>
        </w:numPr>
      </w:pPr>
      <w:r w:rsidRPr="000A7A9C">
        <w:rPr>
          <w:rFonts w:cs="Arial"/>
          <w:rtl/>
        </w:rPr>
        <w:t>רמב"ם</w:t>
      </w:r>
      <w:r>
        <w:rPr>
          <w:rFonts w:cs="Arial" w:hint="cs"/>
          <w:rtl/>
        </w:rPr>
        <w:t xml:space="preserve"> </w:t>
      </w:r>
      <w:r w:rsidRPr="001C664D">
        <w:rPr>
          <w:rFonts w:cs="Arial" w:hint="cs"/>
          <w:sz w:val="16"/>
          <w:szCs w:val="16"/>
          <w:rtl/>
        </w:rPr>
        <w:t>(</w:t>
      </w:r>
      <w:r w:rsidRPr="001C664D">
        <w:rPr>
          <w:rFonts w:cs="Arial"/>
          <w:sz w:val="16"/>
          <w:szCs w:val="16"/>
          <w:rtl/>
        </w:rPr>
        <w:t>פכ"א ה</w:t>
      </w:r>
      <w:r w:rsidRPr="001C664D">
        <w:rPr>
          <w:rFonts w:cs="Arial" w:hint="cs"/>
          <w:sz w:val="16"/>
          <w:szCs w:val="16"/>
          <w:rtl/>
        </w:rPr>
        <w:t>"</w:t>
      </w:r>
      <w:r w:rsidRPr="001C664D">
        <w:rPr>
          <w:rFonts w:cs="Arial"/>
          <w:sz w:val="16"/>
          <w:szCs w:val="16"/>
          <w:rtl/>
        </w:rPr>
        <w:t>ב</w:t>
      </w:r>
      <w:r>
        <w:rPr>
          <w:rFonts w:cs="Arial" w:hint="cs"/>
          <w:sz w:val="16"/>
          <w:szCs w:val="16"/>
          <w:rtl/>
        </w:rPr>
        <w:t>)</w:t>
      </w:r>
      <w:r>
        <w:rPr>
          <w:rFonts w:cs="Arial" w:hint="cs"/>
          <w:rtl/>
        </w:rPr>
        <w:t xml:space="preserve">- </w:t>
      </w:r>
      <w:r w:rsidRPr="000C6D57">
        <w:rPr>
          <w:rFonts w:cs="Arial"/>
          <w:rtl/>
        </w:rPr>
        <w:t>היה לו ולה ממון הרבה אפילו היו להן כמה שפחות אינה יושבת לבטלה בלא מלאכה שהבטלה מביאה לידי זמה, אבל אין כופין אותה לעשות מלאכה כל היום כולו אלא לפי רוב הממון ממעטת במלאכה.</w:t>
      </w:r>
      <w:r w:rsidRPr="0081407D">
        <w:rPr>
          <w:rFonts w:hint="cs"/>
          <w:color w:val="E36C0A" w:themeColor="accent6" w:themeShade="BF"/>
          <w:rtl/>
        </w:rPr>
        <w:t xml:space="preserve"> </w:t>
      </w:r>
      <w:r w:rsidRPr="00EC5ABC">
        <w:rPr>
          <w:rFonts w:hint="cs"/>
          <w:color w:val="E36C0A" w:themeColor="accent6" w:themeShade="BF"/>
          <w:rtl/>
        </w:rPr>
        <w:t>(וכ"פ בשו"ע)</w:t>
      </w:r>
    </w:p>
    <w:p w14:paraId="5F36C09E" w14:textId="78391BB2" w:rsidR="001B4F87" w:rsidRPr="00E73332" w:rsidRDefault="001B4F87" w:rsidP="001B4F87">
      <w:pPr>
        <w:ind w:left="360"/>
        <w:rPr>
          <w:sz w:val="16"/>
          <w:szCs w:val="16"/>
          <w:u w:val="single"/>
        </w:rPr>
      </w:pPr>
      <w:r w:rsidRPr="001B4F87">
        <w:rPr>
          <w:rFonts w:hint="cs"/>
          <w:u w:val="dotted"/>
          <w:rtl/>
        </w:rPr>
        <w:t>כש</w:t>
      </w:r>
      <w:r>
        <w:rPr>
          <w:rFonts w:hint="cs"/>
          <w:u w:val="dotted"/>
          <w:rtl/>
        </w:rPr>
        <w:t>מ</w:t>
      </w:r>
      <w:r w:rsidRPr="001B4F87">
        <w:rPr>
          <w:rFonts w:hint="cs"/>
          <w:u w:val="dotted"/>
          <w:rtl/>
        </w:rPr>
        <w:t>חייבים אותה לעבוד כדי שלא תבוא לידי זימה</w:t>
      </w:r>
      <w:r>
        <w:rPr>
          <w:rFonts w:hint="cs"/>
          <w:u w:val="dotted"/>
          <w:rtl/>
        </w:rPr>
        <w:t xml:space="preserve"> כנ"ל</w:t>
      </w:r>
      <w:r w:rsidRPr="001B4F87">
        <w:rPr>
          <w:rFonts w:hint="cs"/>
          <w:u w:val="dotted"/>
          <w:rtl/>
        </w:rPr>
        <w:t xml:space="preserve"> </w:t>
      </w:r>
      <w:r w:rsidR="00F97626">
        <w:rPr>
          <w:u w:val="dotted"/>
          <w:rtl/>
        </w:rPr>
        <w:t>-</w:t>
      </w:r>
      <w:r w:rsidRPr="001B4F87">
        <w:rPr>
          <w:rFonts w:hint="cs"/>
          <w:u w:val="dotted"/>
          <w:rtl/>
        </w:rPr>
        <w:t xml:space="preserve"> למי שייכים </w:t>
      </w:r>
      <w:r>
        <w:rPr>
          <w:rFonts w:hint="cs"/>
          <w:u w:val="dotted"/>
          <w:rtl/>
        </w:rPr>
        <w:t>מ</w:t>
      </w:r>
      <w:r w:rsidRPr="001B4F87">
        <w:rPr>
          <w:rFonts w:hint="cs"/>
          <w:u w:val="dotted"/>
          <w:rtl/>
        </w:rPr>
        <w:t>עשה ידיה:</w:t>
      </w:r>
      <w:r w:rsidR="00E73332" w:rsidRPr="00E73332">
        <w:rPr>
          <w:rFonts w:hint="cs"/>
          <w:sz w:val="16"/>
          <w:szCs w:val="16"/>
          <w:rtl/>
        </w:rPr>
        <w:t xml:space="preserve"> (</w:t>
      </w:r>
      <w:r w:rsidR="00E73332">
        <w:rPr>
          <w:rFonts w:hint="cs"/>
          <w:sz w:val="16"/>
          <w:szCs w:val="16"/>
          <w:rtl/>
        </w:rPr>
        <w:t xml:space="preserve">דרכ"מ </w:t>
      </w:r>
      <w:r w:rsidR="00966133">
        <w:rPr>
          <w:rFonts w:hint="cs"/>
          <w:sz w:val="16"/>
          <w:szCs w:val="16"/>
          <w:rtl/>
        </w:rPr>
        <w:t xml:space="preserve">[כאן </w:t>
      </w:r>
      <w:r w:rsidR="00E73332">
        <w:rPr>
          <w:rFonts w:hint="cs"/>
          <w:sz w:val="16"/>
          <w:szCs w:val="16"/>
          <w:rtl/>
        </w:rPr>
        <w:t>אות ד</w:t>
      </w:r>
      <w:r w:rsidR="00966133">
        <w:rPr>
          <w:rFonts w:hint="cs"/>
          <w:sz w:val="16"/>
          <w:szCs w:val="16"/>
          <w:rtl/>
        </w:rPr>
        <w:t>] וב"י [סוף סי' פא]</w:t>
      </w:r>
      <w:r w:rsidR="00E73332">
        <w:rPr>
          <w:rFonts w:hint="cs"/>
          <w:sz w:val="16"/>
          <w:szCs w:val="16"/>
          <w:rtl/>
        </w:rPr>
        <w:t>)</w:t>
      </w:r>
    </w:p>
    <w:p w14:paraId="666A87E3" w14:textId="68CB57C4" w:rsidR="001B4F87" w:rsidRPr="004D0526" w:rsidRDefault="00D54E0D" w:rsidP="009000E3">
      <w:pPr>
        <w:pStyle w:val="ab"/>
        <w:numPr>
          <w:ilvl w:val="0"/>
          <w:numId w:val="35"/>
        </w:numPr>
        <w:rPr>
          <w:rtl/>
        </w:rPr>
      </w:pPr>
      <w:r>
        <w:rPr>
          <w:rFonts w:cs="Arial" w:hint="cs"/>
          <w:rtl/>
        </w:rPr>
        <w:t xml:space="preserve">רשב"א </w:t>
      </w:r>
      <w:r>
        <w:rPr>
          <w:rFonts w:cs="Arial" w:hint="cs"/>
          <w:sz w:val="16"/>
          <w:szCs w:val="16"/>
          <w:rtl/>
        </w:rPr>
        <w:t>(סא. דיבור ראשון)</w:t>
      </w:r>
      <w:r>
        <w:rPr>
          <w:rFonts w:cs="Arial" w:hint="cs"/>
          <w:rtl/>
        </w:rPr>
        <w:t xml:space="preserve">- </w:t>
      </w:r>
      <w:r w:rsidRPr="00D54E0D">
        <w:rPr>
          <w:rFonts w:cs="Arial"/>
          <w:rtl/>
        </w:rPr>
        <w:t>שמא מלאכתה דידה הויא</w:t>
      </w:r>
      <w:r w:rsidR="0004094F">
        <w:rPr>
          <w:rFonts w:cs="Arial" w:hint="cs"/>
          <w:rtl/>
        </w:rPr>
        <w:t>,</w:t>
      </w:r>
      <w:r w:rsidRPr="00D54E0D">
        <w:rPr>
          <w:rFonts w:cs="Arial"/>
          <w:rtl/>
        </w:rPr>
        <w:t xml:space="preserve"> דהא טעמא אינו אלא משום שלא תבא לידי זימה</w:t>
      </w:r>
      <w:r w:rsidR="0004094F">
        <w:rPr>
          <w:rFonts w:cs="Arial" w:hint="cs"/>
          <w:rtl/>
        </w:rPr>
        <w:t>,</w:t>
      </w:r>
      <w:r w:rsidRPr="00D54E0D">
        <w:rPr>
          <w:rFonts w:cs="Arial"/>
          <w:rtl/>
        </w:rPr>
        <w:t xml:space="preserve"> וכל שעושה בין לעצמה בין לאחרים אזל ליה ההוא טעמא</w:t>
      </w:r>
      <w:r w:rsidR="0004094F">
        <w:rPr>
          <w:rFonts w:cs="Arial" w:hint="cs"/>
          <w:rtl/>
        </w:rPr>
        <w:t>.</w:t>
      </w:r>
      <w:r w:rsidRPr="00D54E0D">
        <w:rPr>
          <w:rFonts w:cs="Arial"/>
          <w:rtl/>
        </w:rPr>
        <w:t xml:space="preserve"> ומסתברא דלא עדיף מהעדפה שע"י הדחק דהויא דבעל אע</w:t>
      </w:r>
      <w:r w:rsidR="008D551F">
        <w:rPr>
          <w:rFonts w:cs="Arial" w:hint="cs"/>
          <w:rtl/>
        </w:rPr>
        <w:t>"</w:t>
      </w:r>
      <w:r w:rsidRPr="00D54E0D">
        <w:rPr>
          <w:rFonts w:cs="Arial"/>
          <w:rtl/>
        </w:rPr>
        <w:t>פ שעושה מרצונה ולא מתורת חיוב</w:t>
      </w:r>
      <w:r>
        <w:rPr>
          <w:rStyle w:val="a7"/>
          <w:rFonts w:cs="Arial"/>
          <w:rtl/>
        </w:rPr>
        <w:footnoteReference w:id="686"/>
      </w:r>
      <w:r w:rsidRPr="00D54E0D">
        <w:rPr>
          <w:rFonts w:cs="Arial"/>
          <w:rtl/>
        </w:rPr>
        <w:t>.</w:t>
      </w:r>
      <w:r w:rsidRPr="00D54E0D">
        <w:rPr>
          <w:rFonts w:cs="Arial" w:hint="cs"/>
          <w:rtl/>
        </w:rPr>
        <w:t xml:space="preserve"> </w:t>
      </w:r>
    </w:p>
    <w:p w14:paraId="640CFA5E" w14:textId="77777777" w:rsidR="004900BE" w:rsidRDefault="004900BE" w:rsidP="004900BE">
      <w:pPr>
        <w:rPr>
          <w:rFonts w:cs="Arial"/>
          <w:rtl/>
        </w:rPr>
      </w:pPr>
      <w:r w:rsidRPr="003024E5">
        <w:rPr>
          <w:rFonts w:asciiTheme="minorBidi" w:hAnsiTheme="minorBidi"/>
          <w:b/>
          <w:bCs/>
          <w:color w:val="000000"/>
          <w:sz w:val="28"/>
          <w:szCs w:val="28"/>
          <w:u w:val="single"/>
          <w:rtl/>
        </w:rPr>
        <w:t>שו"ע:</w:t>
      </w:r>
    </w:p>
    <w:p w14:paraId="24FD721A" w14:textId="3C839B2E" w:rsidR="000D2069" w:rsidRDefault="000D2069" w:rsidP="000D2069">
      <w:pPr>
        <w:rPr>
          <w:rtl/>
        </w:rPr>
      </w:pPr>
      <w:r>
        <w:rPr>
          <w:rFonts w:cs="Arial"/>
          <w:rtl/>
        </w:rPr>
        <w:t>היה לו ממון הרבה, אפילו היה לה כמה שפחות, אינה יושבת לבטלה בלא מלאכה, שהבטלה מביאה לידי זמה</w:t>
      </w:r>
      <w:r w:rsidR="00B35BDB">
        <w:rPr>
          <w:rFonts w:cs="Arial" w:hint="cs"/>
          <w:rtl/>
        </w:rPr>
        <w:t>.</w:t>
      </w:r>
      <w:r>
        <w:rPr>
          <w:rFonts w:cs="Arial"/>
          <w:rtl/>
        </w:rPr>
        <w:t xml:space="preserve"> אבל אין כופין אותה לעשות מלאכה כל היום כולו, אלא לפי רוב הממון ממעטת במלאכה. </w:t>
      </w:r>
    </w:p>
    <w:p w14:paraId="0CCA227C" w14:textId="77777777" w:rsidR="004D0526" w:rsidRDefault="004D0526" w:rsidP="000D2069">
      <w:pPr>
        <w:rPr>
          <w:rtl/>
        </w:rPr>
      </w:pPr>
    </w:p>
    <w:p w14:paraId="2A0F1E92" w14:textId="376B5530" w:rsidR="000D2069" w:rsidRDefault="000D2069" w:rsidP="000F64D0">
      <w:pPr>
        <w:pStyle w:val="2"/>
        <w:rPr>
          <w:rtl/>
        </w:rPr>
      </w:pPr>
      <w:r>
        <w:rPr>
          <w:rtl/>
        </w:rPr>
        <w:lastRenderedPageBreak/>
        <w:t>סעיף ג</w:t>
      </w:r>
      <w:r w:rsidR="004D0526">
        <w:rPr>
          <w:rFonts w:hint="cs"/>
          <w:rtl/>
        </w:rPr>
        <w:t>:</w:t>
      </w:r>
      <w:r w:rsidR="00986CA6" w:rsidRPr="00986CA6">
        <w:rPr>
          <w:rtl/>
        </w:rPr>
        <w:t xml:space="preserve"> </w:t>
      </w:r>
      <w:r w:rsidR="00986CA6">
        <w:rPr>
          <w:rtl/>
        </w:rPr>
        <w:t>המדיר את אשתו שלא תעשה מלאכה</w:t>
      </w:r>
      <w:r w:rsidR="00986CA6">
        <w:rPr>
          <w:rFonts w:hint="cs"/>
          <w:rtl/>
        </w:rPr>
        <w:t>.</w:t>
      </w:r>
    </w:p>
    <w:p w14:paraId="2C637D9D" w14:textId="3E7BFB70" w:rsidR="00986CA6" w:rsidRPr="00EC687D" w:rsidRDefault="00986CA6" w:rsidP="00EC687D">
      <w:pPr>
        <w:rPr>
          <w:rFonts w:cs="Arial"/>
          <w:sz w:val="16"/>
          <w:szCs w:val="16"/>
          <w:rtl/>
        </w:rPr>
      </w:pPr>
      <w:r w:rsidRPr="00AB0AB9">
        <w:rPr>
          <w:rFonts w:cs="Arial" w:hint="cs"/>
          <w:b/>
          <w:bCs/>
          <w:rtl/>
        </w:rPr>
        <w:t>כתובות</w:t>
      </w:r>
      <w:r>
        <w:rPr>
          <w:rFonts w:cs="Arial" w:hint="cs"/>
          <w:b/>
          <w:bCs/>
          <w:rtl/>
        </w:rPr>
        <w:t xml:space="preserve"> </w:t>
      </w:r>
      <w:r>
        <w:rPr>
          <w:rFonts w:cs="Arial" w:hint="cs"/>
          <w:b/>
          <w:bCs/>
          <w:sz w:val="16"/>
          <w:szCs w:val="16"/>
          <w:rtl/>
        </w:rPr>
        <w:t>(פ' אף על פי)</w:t>
      </w:r>
      <w:r w:rsidRPr="00AB0AB9">
        <w:rPr>
          <w:rFonts w:cs="Arial" w:hint="cs"/>
          <w:b/>
          <w:bCs/>
          <w:rtl/>
        </w:rPr>
        <w:t xml:space="preserve"> </w:t>
      </w:r>
      <w:r>
        <w:rPr>
          <w:rFonts w:cs="Arial" w:hint="cs"/>
          <w:b/>
          <w:bCs/>
          <w:rtl/>
        </w:rPr>
        <w:t>נט</w:t>
      </w:r>
      <w:r w:rsidRPr="00AB0AB9">
        <w:rPr>
          <w:rFonts w:cs="Arial" w:hint="cs"/>
          <w:b/>
          <w:bCs/>
          <w:rtl/>
        </w:rPr>
        <w:t xml:space="preserve"> ע"ב: </w:t>
      </w:r>
      <w:r w:rsidRPr="00390A65">
        <w:rPr>
          <w:rFonts w:cs="Arial"/>
          <w:u w:val="double"/>
          <w:rtl/>
        </w:rPr>
        <w:t>מתני'</w:t>
      </w:r>
      <w:r>
        <w:rPr>
          <w:rFonts w:cs="Arial" w:hint="cs"/>
          <w:rtl/>
        </w:rPr>
        <w:t>:</w:t>
      </w:r>
      <w:r>
        <w:rPr>
          <w:rFonts w:cs="Arial"/>
          <w:rtl/>
        </w:rPr>
        <w:t xml:space="preserve"> ואלו מלאכות שהאשה עושה לבעלה</w:t>
      </w:r>
      <w:r>
        <w:rPr>
          <w:rFonts w:cs="Arial" w:hint="cs"/>
          <w:rtl/>
        </w:rPr>
        <w:t>...</w:t>
      </w:r>
      <w:r w:rsidRPr="00B35BDB">
        <w:rPr>
          <w:rFonts w:cs="Arial"/>
          <w:rtl/>
        </w:rPr>
        <w:t xml:space="preserve"> </w:t>
      </w:r>
      <w:r w:rsidRPr="00B35BDB">
        <w:rPr>
          <w:rFonts w:cs="Arial"/>
          <w:u w:val="single"/>
          <w:rtl/>
        </w:rPr>
        <w:t>רבי אליעזר אומר</w:t>
      </w:r>
      <w:r w:rsidRPr="00B35BDB">
        <w:rPr>
          <w:rFonts w:cs="Arial"/>
          <w:rtl/>
        </w:rPr>
        <w:t xml:space="preserve">: אפי' הכניסה לו מאה שפחות - כופה לעשות בצמר, שהבטלה מביאה לידי זימה. </w:t>
      </w:r>
      <w:r w:rsidRPr="00986CA6">
        <w:rPr>
          <w:rFonts w:cs="Arial"/>
          <w:u w:val="single"/>
          <w:rtl/>
        </w:rPr>
        <w:t>רשב"ג אומר</w:t>
      </w:r>
      <w:r w:rsidRPr="00B35BDB">
        <w:rPr>
          <w:rFonts w:cs="Arial"/>
          <w:rtl/>
        </w:rPr>
        <w:t>: אף המדיר את אשתו מלעשות מלאכה - יוציא ויתן כתובה, שהבטלה מביאה לידי שיעמום</w:t>
      </w:r>
      <w:r>
        <w:rPr>
          <w:rFonts w:cs="Arial"/>
          <w:rtl/>
        </w:rPr>
        <w:t xml:space="preserve">. </w:t>
      </w:r>
      <w:r>
        <w:rPr>
          <w:rFonts w:hint="cs"/>
          <w:rtl/>
        </w:rPr>
        <w:t xml:space="preserve">      </w:t>
      </w:r>
      <w:r w:rsidRPr="00390A65">
        <w:rPr>
          <w:rFonts w:cs="Arial"/>
          <w:u w:val="double"/>
          <w:rtl/>
        </w:rPr>
        <w:t>גמ'</w:t>
      </w:r>
      <w:r>
        <w:rPr>
          <w:rFonts w:cs="Arial" w:hint="cs"/>
          <w:sz w:val="14"/>
          <w:szCs w:val="14"/>
          <w:u w:val="double"/>
          <w:rtl/>
        </w:rPr>
        <w:t>(סא:)</w:t>
      </w:r>
      <w:r>
        <w:rPr>
          <w:rFonts w:cs="Arial" w:hint="cs"/>
          <w:u w:val="double"/>
          <w:rtl/>
        </w:rPr>
        <w:t>:</w:t>
      </w:r>
      <w:r>
        <w:rPr>
          <w:rFonts w:cs="Arial"/>
          <w:rtl/>
        </w:rPr>
        <w:t xml:space="preserve"> </w:t>
      </w:r>
      <w:r w:rsidRPr="00D04A54">
        <w:rPr>
          <w:rFonts w:cs="Arial"/>
          <w:rtl/>
        </w:rPr>
        <w:t>רשב"ג אומר וכו'. היינו תנא קמא</w:t>
      </w:r>
      <w:r>
        <w:rPr>
          <w:rStyle w:val="a7"/>
          <w:rFonts w:cs="Arial"/>
          <w:rtl/>
        </w:rPr>
        <w:footnoteReference w:id="687"/>
      </w:r>
      <w:r w:rsidRPr="00D04A54">
        <w:rPr>
          <w:rFonts w:cs="Arial"/>
          <w:rtl/>
        </w:rPr>
        <w:t>! איכא בינייהו, דמיטללא בגורייתא קיטנייתא ונדרשיר</w:t>
      </w:r>
      <w:r>
        <w:rPr>
          <w:rStyle w:val="a7"/>
          <w:rFonts w:cs="Arial"/>
          <w:rtl/>
        </w:rPr>
        <w:footnoteReference w:id="688"/>
      </w:r>
      <w:r w:rsidRPr="00D04A54">
        <w:rPr>
          <w:rFonts w:cs="Arial"/>
          <w:rtl/>
        </w:rPr>
        <w:t>.</w:t>
      </w:r>
      <w:r w:rsidR="00E73332" w:rsidRPr="00E73332">
        <w:rPr>
          <w:rtl/>
        </w:rPr>
        <w:t xml:space="preserve"> </w:t>
      </w:r>
      <w:r w:rsidR="00E73332" w:rsidRPr="00E73332">
        <w:rPr>
          <w:rFonts w:cs="Arial" w:hint="cs"/>
          <w:sz w:val="16"/>
          <w:szCs w:val="16"/>
          <w:rtl/>
        </w:rPr>
        <w:t>(</w:t>
      </w:r>
      <w:r w:rsidR="00E73332" w:rsidRPr="00E73332">
        <w:rPr>
          <w:rFonts w:cs="Arial"/>
          <w:sz w:val="16"/>
          <w:szCs w:val="16"/>
          <w:rtl/>
        </w:rPr>
        <w:t>למאן דאמר שהבטלה מביאה לידי זימה הא נמי מביאה לידי זימה</w:t>
      </w:r>
      <w:r w:rsidR="00AE29F2">
        <w:rPr>
          <w:rFonts w:cs="Arial" w:hint="cs"/>
          <w:sz w:val="16"/>
          <w:szCs w:val="16"/>
          <w:rtl/>
        </w:rPr>
        <w:t>,</w:t>
      </w:r>
      <w:r w:rsidR="00E73332" w:rsidRPr="00E73332">
        <w:rPr>
          <w:rFonts w:cs="Arial"/>
          <w:sz w:val="16"/>
          <w:szCs w:val="16"/>
          <w:rtl/>
        </w:rPr>
        <w:t xml:space="preserve"> ולמאן דאמר מביאה לידי שעמום הא אין מביאה לידי שעמום</w:t>
      </w:r>
      <w:r w:rsidR="00A83A7B">
        <w:rPr>
          <w:rFonts w:cs="Arial" w:hint="cs"/>
          <w:sz w:val="16"/>
          <w:szCs w:val="16"/>
          <w:rtl/>
        </w:rPr>
        <w:t>,</w:t>
      </w:r>
      <w:r w:rsidR="00E73332" w:rsidRPr="00E73332">
        <w:rPr>
          <w:rFonts w:cs="Arial"/>
          <w:sz w:val="16"/>
          <w:szCs w:val="16"/>
          <w:rtl/>
        </w:rPr>
        <w:t xml:space="preserve"> וכבר אפסיקא הלכתא כרבי אליעזר דחייש לזימה</w:t>
      </w:r>
      <w:r w:rsidR="00E73332">
        <w:rPr>
          <w:rFonts w:cs="Arial" w:hint="cs"/>
          <w:sz w:val="16"/>
          <w:szCs w:val="16"/>
          <w:rtl/>
        </w:rPr>
        <w:t xml:space="preserve">, </w:t>
      </w:r>
      <w:r w:rsidR="00E73332" w:rsidRPr="003E7A8C">
        <w:rPr>
          <w:rFonts w:cs="Arial" w:hint="cs"/>
          <w:b/>
          <w:bCs/>
          <w:sz w:val="16"/>
          <w:szCs w:val="16"/>
          <w:rtl/>
        </w:rPr>
        <w:t>רי"ף</w:t>
      </w:r>
      <w:r w:rsidR="00E73332">
        <w:rPr>
          <w:rFonts w:cs="Arial" w:hint="cs"/>
          <w:sz w:val="16"/>
          <w:szCs w:val="16"/>
          <w:rtl/>
        </w:rPr>
        <w:t xml:space="preserve"> (כה:). </w:t>
      </w:r>
      <w:r w:rsidR="00EC687D" w:rsidRPr="00E73332">
        <w:rPr>
          <w:rFonts w:cs="Arial"/>
          <w:sz w:val="16"/>
          <w:szCs w:val="16"/>
          <w:rtl/>
        </w:rPr>
        <w:t>הילכך מדיר את אשתו ממלאכה אע</w:t>
      </w:r>
      <w:r w:rsidR="00A83A7B">
        <w:rPr>
          <w:rFonts w:cs="Arial" w:hint="cs"/>
          <w:sz w:val="16"/>
          <w:szCs w:val="16"/>
          <w:rtl/>
        </w:rPr>
        <w:t>"</w:t>
      </w:r>
      <w:r w:rsidR="00EC687D" w:rsidRPr="00E73332">
        <w:rPr>
          <w:rFonts w:cs="Arial"/>
          <w:sz w:val="16"/>
          <w:szCs w:val="16"/>
          <w:rtl/>
        </w:rPr>
        <w:t>פ שהיא רשאה לטייל בגורייתא ונרדשיר יוציא ויתן כתובה</w:t>
      </w:r>
      <w:r w:rsidR="00EC687D">
        <w:rPr>
          <w:rFonts w:cs="Arial" w:hint="cs"/>
          <w:sz w:val="16"/>
          <w:szCs w:val="16"/>
          <w:rtl/>
        </w:rPr>
        <w:t xml:space="preserve">, </w:t>
      </w:r>
      <w:r w:rsidR="00EC687D" w:rsidRPr="003E7A8C">
        <w:rPr>
          <w:rFonts w:cs="Arial" w:hint="cs"/>
          <w:b/>
          <w:bCs/>
          <w:sz w:val="16"/>
          <w:szCs w:val="16"/>
          <w:rtl/>
        </w:rPr>
        <w:t>ר"ן</w:t>
      </w:r>
      <w:r w:rsidR="00EC687D">
        <w:rPr>
          <w:rFonts w:cs="Arial" w:hint="cs"/>
          <w:sz w:val="16"/>
          <w:szCs w:val="16"/>
          <w:rtl/>
        </w:rPr>
        <w:t xml:space="preserve"> (כה: ד"ה וכבר). וכ"פ הרמב"ם (פכ"א ה"ג). </w:t>
      </w:r>
      <w:r w:rsidR="003E7A8C">
        <w:rPr>
          <w:rFonts w:cs="Arial" w:hint="cs"/>
          <w:sz w:val="16"/>
          <w:szCs w:val="16"/>
          <w:rtl/>
        </w:rPr>
        <w:t xml:space="preserve">    </w:t>
      </w:r>
      <w:r w:rsidR="00804695">
        <w:rPr>
          <w:rFonts w:cs="Arial" w:hint="cs"/>
          <w:sz w:val="16"/>
          <w:szCs w:val="16"/>
          <w:rtl/>
        </w:rPr>
        <w:t xml:space="preserve">אך </w:t>
      </w:r>
      <w:r w:rsidR="00804695" w:rsidRPr="003E7A8C">
        <w:rPr>
          <w:rFonts w:cs="Arial" w:hint="cs"/>
          <w:b/>
          <w:bCs/>
          <w:sz w:val="16"/>
          <w:szCs w:val="16"/>
          <w:rtl/>
        </w:rPr>
        <w:t>הרא"ש</w:t>
      </w:r>
      <w:r w:rsidR="00804695">
        <w:rPr>
          <w:rFonts w:cs="Arial" w:hint="cs"/>
          <w:sz w:val="16"/>
          <w:szCs w:val="16"/>
          <w:rtl/>
        </w:rPr>
        <w:t xml:space="preserve"> (פ"ה ס"ס כז) כתב על דברי הרי"ף ד</w:t>
      </w:r>
      <w:r w:rsidR="00804695" w:rsidRPr="00804695">
        <w:rPr>
          <w:rFonts w:cs="Arial"/>
          <w:sz w:val="16"/>
          <w:szCs w:val="16"/>
          <w:rtl/>
        </w:rPr>
        <w:t>אינה ראיה כל כך</w:t>
      </w:r>
      <w:r w:rsidR="00EC687D">
        <w:rPr>
          <w:rFonts w:cs="Arial" w:hint="cs"/>
          <w:sz w:val="16"/>
          <w:szCs w:val="16"/>
          <w:rtl/>
        </w:rPr>
        <w:t xml:space="preserve"> הא ד</w:t>
      </w:r>
      <w:r w:rsidR="00EC687D" w:rsidRPr="00EC687D">
        <w:rPr>
          <w:rFonts w:cs="Arial"/>
          <w:sz w:val="16"/>
          <w:szCs w:val="16"/>
          <w:rtl/>
        </w:rPr>
        <w:t>כבר איפסיק הלכתא כר' אליעזר</w:t>
      </w:r>
      <w:r w:rsidR="00EC687D">
        <w:rPr>
          <w:rFonts w:cs="Arial" w:hint="cs"/>
          <w:sz w:val="16"/>
          <w:szCs w:val="16"/>
          <w:rtl/>
        </w:rPr>
        <w:t>.</w:t>
      </w:r>
      <w:r w:rsidR="00804695" w:rsidRPr="00804695">
        <w:rPr>
          <w:rFonts w:cs="Arial"/>
          <w:sz w:val="16"/>
          <w:szCs w:val="16"/>
          <w:rtl/>
        </w:rPr>
        <w:t xml:space="preserve"> דפסיק הלכתא כרבי אליעזר במאי דפליג אתנא קמא</w:t>
      </w:r>
      <w:r w:rsidR="00EC687D">
        <w:rPr>
          <w:rFonts w:cs="Arial" w:hint="cs"/>
          <w:sz w:val="16"/>
          <w:szCs w:val="16"/>
          <w:rtl/>
        </w:rPr>
        <w:t>,</w:t>
      </w:r>
      <w:r w:rsidR="00804695" w:rsidRPr="00804695">
        <w:rPr>
          <w:rFonts w:cs="Arial"/>
          <w:sz w:val="16"/>
          <w:szCs w:val="16"/>
          <w:rtl/>
        </w:rPr>
        <w:t xml:space="preserve"> אבל במאי דפליג ארשב"ג כ"מ ששנה רשב"ג הלכה כמותו</w:t>
      </w:r>
      <w:r w:rsidR="00EC687D">
        <w:rPr>
          <w:rFonts w:cs="Arial" w:hint="cs"/>
          <w:sz w:val="16"/>
          <w:szCs w:val="16"/>
          <w:rtl/>
        </w:rPr>
        <w:t>)</w:t>
      </w:r>
    </w:p>
    <w:p w14:paraId="5B58B167" w14:textId="77777777" w:rsidR="00994836" w:rsidRPr="006B455F" w:rsidRDefault="00994836" w:rsidP="00994836">
      <w:pPr>
        <w:rPr>
          <w:rFonts w:cs="Arial"/>
          <w:u w:val="single"/>
          <w:rtl/>
        </w:rPr>
      </w:pPr>
      <w:r w:rsidRPr="006B455F">
        <w:rPr>
          <w:rFonts w:cs="Arial"/>
          <w:u w:val="single"/>
          <w:rtl/>
        </w:rPr>
        <w:t>המדיר את אשתו שלא תעשה מלאכה</w:t>
      </w:r>
      <w:r w:rsidRPr="006B455F">
        <w:rPr>
          <w:rFonts w:cs="Arial" w:hint="cs"/>
          <w:u w:val="single"/>
          <w:rtl/>
        </w:rPr>
        <w:t>:</w:t>
      </w:r>
    </w:p>
    <w:p w14:paraId="749AAE88" w14:textId="6C396233" w:rsidR="00994836" w:rsidRDefault="00994836" w:rsidP="009000E3">
      <w:pPr>
        <w:pStyle w:val="ab"/>
        <w:numPr>
          <w:ilvl w:val="0"/>
          <w:numId w:val="35"/>
        </w:numPr>
        <w:rPr>
          <w:rFonts w:cs="Arial"/>
        </w:rPr>
      </w:pPr>
      <w:r>
        <w:rPr>
          <w:rFonts w:cs="Arial" w:hint="cs"/>
          <w:rtl/>
        </w:rPr>
        <w:t xml:space="preserve">טור- </w:t>
      </w:r>
      <w:r w:rsidRPr="004A7B98">
        <w:rPr>
          <w:rFonts w:cs="Arial"/>
          <w:rtl/>
        </w:rPr>
        <w:t xml:space="preserve">המדיר את אשתו שלא תעשה מלאכה </w:t>
      </w:r>
      <w:r>
        <w:rPr>
          <w:rFonts w:cs="Arial" w:hint="cs"/>
          <w:rtl/>
        </w:rPr>
        <w:t xml:space="preserve">- </w:t>
      </w:r>
      <w:r w:rsidRPr="004A7B98">
        <w:rPr>
          <w:rFonts w:cs="Arial"/>
          <w:rtl/>
        </w:rPr>
        <w:t>יוציא ויתן כתובה</w:t>
      </w:r>
      <w:r>
        <w:rPr>
          <w:rFonts w:cs="Arial" w:hint="cs"/>
          <w:rtl/>
        </w:rPr>
        <w:t>.</w:t>
      </w:r>
      <w:r w:rsidRPr="004A7B98">
        <w:rPr>
          <w:rFonts w:cs="Arial"/>
          <w:rtl/>
        </w:rPr>
        <w:t xml:space="preserve"> </w:t>
      </w:r>
      <w:r w:rsidRPr="00EC5ABC">
        <w:rPr>
          <w:rFonts w:hint="cs"/>
          <w:color w:val="E36C0A" w:themeColor="accent6" w:themeShade="BF"/>
          <w:rtl/>
        </w:rPr>
        <w:t>(וכ"פ בשו"ע)</w:t>
      </w:r>
    </w:p>
    <w:p w14:paraId="6D2689BF" w14:textId="52995CEF" w:rsidR="00994836" w:rsidRPr="0051329A" w:rsidRDefault="00994836" w:rsidP="00994836">
      <w:pPr>
        <w:ind w:left="360"/>
        <w:rPr>
          <w:rFonts w:cs="Arial"/>
        </w:rPr>
      </w:pPr>
      <w:r w:rsidRPr="0051329A">
        <w:rPr>
          <w:rFonts w:cs="Arial" w:hint="cs"/>
          <w:u w:val="dotted"/>
          <w:rtl/>
        </w:rPr>
        <w:t>ומה הדין אם התיר לה מ</w:t>
      </w:r>
      <w:r w:rsidR="0070444E">
        <w:rPr>
          <w:rFonts w:cs="Arial" w:hint="cs"/>
          <w:u w:val="dotted"/>
          <w:rtl/>
        </w:rPr>
        <w:t>שחק וטיול וכדו'</w:t>
      </w:r>
      <w:r w:rsidRPr="0051329A">
        <w:rPr>
          <w:rFonts w:cs="Arial" w:hint="cs"/>
          <w:u w:val="dotted"/>
          <w:rtl/>
        </w:rPr>
        <w:t>:</w:t>
      </w:r>
    </w:p>
    <w:p w14:paraId="7A7F456A" w14:textId="7F2C53AD" w:rsidR="00994836" w:rsidRDefault="00994836" w:rsidP="009000E3">
      <w:pPr>
        <w:pStyle w:val="ab"/>
        <w:numPr>
          <w:ilvl w:val="0"/>
          <w:numId w:val="38"/>
        </w:numPr>
      </w:pPr>
      <w:r>
        <w:rPr>
          <w:rFonts w:cs="Arial" w:hint="cs"/>
          <w:rtl/>
        </w:rPr>
        <w:t xml:space="preserve">רי"ף </w:t>
      </w:r>
      <w:r>
        <w:rPr>
          <w:rFonts w:cs="Arial" w:hint="cs"/>
          <w:sz w:val="16"/>
          <w:szCs w:val="16"/>
          <w:rtl/>
        </w:rPr>
        <w:t>(כה:)</w:t>
      </w:r>
      <w:r>
        <w:rPr>
          <w:rFonts w:cs="Arial" w:hint="cs"/>
          <w:rtl/>
        </w:rPr>
        <w:t xml:space="preserve"> </w:t>
      </w:r>
      <w:r w:rsidRPr="00986CA6">
        <w:rPr>
          <w:rFonts w:cs="Arial" w:hint="cs"/>
          <w:rtl/>
        </w:rPr>
        <w:t xml:space="preserve">רמב"ם </w:t>
      </w:r>
      <w:r w:rsidRPr="00986CA6">
        <w:rPr>
          <w:rFonts w:cs="Arial" w:hint="cs"/>
          <w:sz w:val="16"/>
          <w:szCs w:val="16"/>
          <w:rtl/>
        </w:rPr>
        <w:t>(פכ"א ה"ג)</w:t>
      </w:r>
      <w:r>
        <w:rPr>
          <w:rFonts w:cs="Arial" w:hint="cs"/>
          <w:rtl/>
        </w:rPr>
        <w:t xml:space="preserve"> ור"ן </w:t>
      </w:r>
      <w:r>
        <w:rPr>
          <w:rFonts w:cs="Arial" w:hint="cs"/>
          <w:sz w:val="16"/>
          <w:szCs w:val="16"/>
          <w:rtl/>
        </w:rPr>
        <w:t>(כה: ד"ה וכבר)</w:t>
      </w:r>
      <w:r w:rsidRPr="00986CA6">
        <w:rPr>
          <w:rFonts w:cs="Arial" w:hint="cs"/>
          <w:rtl/>
        </w:rPr>
        <w:t xml:space="preserve">- </w:t>
      </w:r>
      <w:r w:rsidRPr="00986CA6">
        <w:rPr>
          <w:rFonts w:cs="Arial"/>
          <w:rtl/>
        </w:rPr>
        <w:t xml:space="preserve">המדיר את אשתו שלא תעשה מלאכה כלל </w:t>
      </w:r>
      <w:r>
        <w:rPr>
          <w:rFonts w:cs="Arial" w:hint="cs"/>
          <w:rtl/>
        </w:rPr>
        <w:t xml:space="preserve">- </w:t>
      </w:r>
      <w:r w:rsidRPr="00986CA6">
        <w:rPr>
          <w:rFonts w:cs="Arial"/>
          <w:rtl/>
        </w:rPr>
        <w:t>יוציא ויתן כתובה, שהבטלה מביאה לידי זמה</w:t>
      </w:r>
      <w:r>
        <w:rPr>
          <w:rFonts w:cs="Arial" w:hint="cs"/>
          <w:sz w:val="16"/>
          <w:szCs w:val="16"/>
          <w:rtl/>
        </w:rPr>
        <w:t xml:space="preserve"> (ל' הרמב"ם)</w:t>
      </w:r>
      <w:r w:rsidRPr="00986CA6">
        <w:rPr>
          <w:rFonts w:cs="Arial"/>
          <w:rtl/>
        </w:rPr>
        <w:t>.</w:t>
      </w:r>
      <w:r w:rsidRPr="00986CA6">
        <w:rPr>
          <w:rFonts w:hint="cs"/>
          <w:color w:val="E36C0A" w:themeColor="accent6" w:themeShade="BF"/>
          <w:rtl/>
        </w:rPr>
        <w:t xml:space="preserve"> </w:t>
      </w:r>
      <w:r w:rsidRPr="00EC5ABC">
        <w:rPr>
          <w:rFonts w:hint="cs"/>
          <w:color w:val="E36C0A" w:themeColor="accent6" w:themeShade="BF"/>
          <w:rtl/>
        </w:rPr>
        <w:t>(וכ"פ בשו"ע)</w:t>
      </w:r>
    </w:p>
    <w:p w14:paraId="7F96FC66" w14:textId="77777777" w:rsidR="00994836" w:rsidRPr="004D0526" w:rsidRDefault="00994836" w:rsidP="009000E3">
      <w:pPr>
        <w:pStyle w:val="ab"/>
        <w:numPr>
          <w:ilvl w:val="0"/>
          <w:numId w:val="38"/>
        </w:numPr>
        <w:rPr>
          <w:rtl/>
        </w:rPr>
      </w:pPr>
      <w:r w:rsidRPr="00EC687D">
        <w:rPr>
          <w:rFonts w:cs="Arial" w:hint="cs"/>
          <w:rtl/>
        </w:rPr>
        <w:t>רא"ש</w:t>
      </w:r>
      <w:r>
        <w:rPr>
          <w:rFonts w:cs="Arial" w:hint="cs"/>
          <w:sz w:val="16"/>
          <w:szCs w:val="16"/>
          <w:rtl/>
        </w:rPr>
        <w:t xml:space="preserve"> (פ"ה ס"ס כז, הביאו הטור בס"ס פא)</w:t>
      </w:r>
      <w:r>
        <w:rPr>
          <w:rFonts w:hint="cs"/>
          <w:rtl/>
        </w:rPr>
        <w:t xml:space="preserve">- </w:t>
      </w:r>
      <w:r w:rsidRPr="00EC687D">
        <w:rPr>
          <w:rFonts w:cs="Arial"/>
          <w:rtl/>
        </w:rPr>
        <w:t>התיר לה מלאכה כל שהוא כגון לשחק בכלבים וכיוצא בהן</w:t>
      </w:r>
      <w:r>
        <w:rPr>
          <w:rFonts w:cs="Arial" w:hint="cs"/>
          <w:rtl/>
        </w:rPr>
        <w:t>...- לא יוציא</w:t>
      </w:r>
      <w:r>
        <w:rPr>
          <w:rFonts w:cs="Arial" w:hint="cs"/>
          <w:sz w:val="16"/>
          <w:szCs w:val="16"/>
          <w:rtl/>
        </w:rPr>
        <w:t xml:space="preserve"> (ל' הטור בשם הרא"ש)</w:t>
      </w:r>
      <w:r>
        <w:rPr>
          <w:rFonts w:cs="Arial" w:hint="cs"/>
          <w:rtl/>
        </w:rPr>
        <w:t>.</w:t>
      </w:r>
    </w:p>
    <w:p w14:paraId="60EDE580" w14:textId="77777777" w:rsidR="004900BE" w:rsidRDefault="004900BE" w:rsidP="004900BE">
      <w:pPr>
        <w:rPr>
          <w:rFonts w:cs="Arial"/>
          <w:rtl/>
        </w:rPr>
      </w:pPr>
      <w:r w:rsidRPr="003024E5">
        <w:rPr>
          <w:rFonts w:asciiTheme="minorBidi" w:hAnsiTheme="minorBidi"/>
          <w:b/>
          <w:bCs/>
          <w:color w:val="000000"/>
          <w:sz w:val="28"/>
          <w:szCs w:val="28"/>
          <w:u w:val="single"/>
          <w:rtl/>
        </w:rPr>
        <w:t>שו"ע:</w:t>
      </w:r>
    </w:p>
    <w:p w14:paraId="211499B0" w14:textId="67350D1C" w:rsidR="000D2069" w:rsidRDefault="000D2069" w:rsidP="000D2069">
      <w:pPr>
        <w:rPr>
          <w:rtl/>
        </w:rPr>
      </w:pPr>
      <w:r>
        <w:rPr>
          <w:rFonts w:cs="Arial"/>
          <w:rtl/>
        </w:rPr>
        <w:t>המדיר</w:t>
      </w:r>
      <w:r w:rsidR="00804695">
        <w:rPr>
          <w:rStyle w:val="a7"/>
          <w:rFonts w:cs="Arial"/>
          <w:rtl/>
        </w:rPr>
        <w:footnoteReference w:id="689"/>
      </w:r>
      <w:r>
        <w:rPr>
          <w:rFonts w:cs="Arial"/>
          <w:rtl/>
        </w:rPr>
        <w:t xml:space="preserve"> את אשתו שלא תעשה מלאכה</w:t>
      </w:r>
      <w:r w:rsidR="004A5CA6">
        <w:rPr>
          <w:rStyle w:val="a7"/>
          <w:rFonts w:cs="Arial"/>
          <w:rtl/>
        </w:rPr>
        <w:footnoteReference w:id="690"/>
      </w:r>
      <w:r>
        <w:rPr>
          <w:rFonts w:cs="Arial"/>
          <w:rtl/>
        </w:rPr>
        <w:t xml:space="preserve">, יוציא ויתן כתובה, שהבטלה מביאה לידי זימה. </w:t>
      </w:r>
    </w:p>
    <w:p w14:paraId="3FC5CBCA" w14:textId="77777777" w:rsidR="004D0526" w:rsidRDefault="004D0526" w:rsidP="000D2069">
      <w:pPr>
        <w:rPr>
          <w:rtl/>
        </w:rPr>
      </w:pPr>
    </w:p>
    <w:p w14:paraId="2E58B5D4" w14:textId="3D7409EA" w:rsidR="000D2069" w:rsidRDefault="000D2069" w:rsidP="000F64D0">
      <w:pPr>
        <w:pStyle w:val="2"/>
        <w:rPr>
          <w:rtl/>
        </w:rPr>
      </w:pPr>
      <w:r>
        <w:rPr>
          <w:rtl/>
        </w:rPr>
        <w:t>סעיף ד</w:t>
      </w:r>
      <w:r w:rsidR="004D0526">
        <w:rPr>
          <w:rFonts w:hint="cs"/>
          <w:rtl/>
        </w:rPr>
        <w:t>:</w:t>
      </w:r>
      <w:r w:rsidR="001901C7">
        <w:rPr>
          <w:rFonts w:hint="cs"/>
          <w:rtl/>
        </w:rPr>
        <w:t xml:space="preserve"> מלאכות ש</w:t>
      </w:r>
      <w:r w:rsidR="001D1949">
        <w:rPr>
          <w:rFonts w:hint="cs"/>
          <w:rtl/>
        </w:rPr>
        <w:t xml:space="preserve">כל </w:t>
      </w:r>
      <w:r w:rsidR="001901C7">
        <w:rPr>
          <w:rFonts w:hint="cs"/>
          <w:rtl/>
        </w:rPr>
        <w:t xml:space="preserve">אשה </w:t>
      </w:r>
      <w:r w:rsidR="001D1949">
        <w:rPr>
          <w:rFonts w:hint="cs"/>
          <w:rtl/>
        </w:rPr>
        <w:t>צריכה לעשות</w:t>
      </w:r>
      <w:r w:rsidR="001901C7">
        <w:rPr>
          <w:rFonts w:hint="cs"/>
          <w:rtl/>
        </w:rPr>
        <w:t xml:space="preserve"> לבעלה.</w:t>
      </w:r>
    </w:p>
    <w:p w14:paraId="26577CBF" w14:textId="79D5E0E2" w:rsidR="003E3BC6" w:rsidRDefault="00A9300B" w:rsidP="003E3BC6">
      <w:pPr>
        <w:rPr>
          <w:rtl/>
        </w:rPr>
      </w:pPr>
      <w:r w:rsidRPr="001901C7">
        <w:rPr>
          <w:rFonts w:cs="Arial" w:hint="cs"/>
          <w:b/>
          <w:bCs/>
          <w:rtl/>
        </w:rPr>
        <w:t xml:space="preserve">ירושלמי </w:t>
      </w:r>
      <w:r w:rsidR="001901C7" w:rsidRPr="001901C7">
        <w:rPr>
          <w:rFonts w:cs="Arial" w:hint="cs"/>
          <w:b/>
          <w:bCs/>
          <w:rtl/>
        </w:rPr>
        <w:t>כתובות פ"ה ה"ו:</w:t>
      </w:r>
      <w:r w:rsidR="001901C7">
        <w:rPr>
          <w:rFonts w:cs="Arial" w:hint="cs"/>
          <w:rtl/>
        </w:rPr>
        <w:t xml:space="preserve"> </w:t>
      </w:r>
      <w:r w:rsidRPr="001901C7">
        <w:rPr>
          <w:rFonts w:cs="Arial"/>
          <w:u w:val="double"/>
          <w:rtl/>
        </w:rPr>
        <w:t>מתני'</w:t>
      </w:r>
      <w:r w:rsidR="001901C7">
        <w:rPr>
          <w:rFonts w:cs="Arial" w:hint="cs"/>
          <w:rtl/>
        </w:rPr>
        <w:t>:</w:t>
      </w:r>
      <w:r w:rsidRPr="00A9300B">
        <w:rPr>
          <w:rFonts w:cs="Arial"/>
          <w:rtl/>
        </w:rPr>
        <w:t xml:space="preserve"> אילו מלאכות שהאשה עושה לבעלה</w:t>
      </w:r>
      <w:r w:rsidR="006F45C0">
        <w:rPr>
          <w:rFonts w:cs="Arial" w:hint="cs"/>
          <w:rtl/>
        </w:rPr>
        <w:t>:</w:t>
      </w:r>
      <w:r w:rsidRPr="00A9300B">
        <w:rPr>
          <w:rFonts w:cs="Arial"/>
          <w:rtl/>
        </w:rPr>
        <w:t xml:space="preserve"> טוחנת ואופה ומכבסת ומבשלת ומיניקה את בנה ומצעת המיטה ועושה בצמר</w:t>
      </w:r>
      <w:r w:rsidR="001901C7">
        <w:rPr>
          <w:rFonts w:cs="Arial" w:hint="cs"/>
          <w:rtl/>
        </w:rPr>
        <w:t xml:space="preserve">...   </w:t>
      </w:r>
      <w:r w:rsidRPr="00A9300B">
        <w:rPr>
          <w:rFonts w:cs="Arial"/>
          <w:rtl/>
        </w:rPr>
        <w:t xml:space="preserve"> </w:t>
      </w:r>
      <w:r w:rsidRPr="001901C7">
        <w:rPr>
          <w:rFonts w:cs="Arial"/>
          <w:u w:val="double"/>
          <w:rtl/>
        </w:rPr>
        <w:t>גמ'</w:t>
      </w:r>
      <w:r w:rsidR="001901C7">
        <w:rPr>
          <w:rFonts w:cs="Arial" w:hint="cs"/>
          <w:rtl/>
        </w:rPr>
        <w:t>:</w:t>
      </w:r>
      <w:r w:rsidRPr="00A9300B">
        <w:rPr>
          <w:rFonts w:cs="Arial"/>
          <w:rtl/>
        </w:rPr>
        <w:t xml:space="preserve"> תני שבעה גופי מלאכות מנו והשאר לא צרכו חכמים למנותן</w:t>
      </w:r>
      <w:r w:rsidR="004F74B7">
        <w:rPr>
          <w:rStyle w:val="a7"/>
          <w:rFonts w:cs="Arial"/>
          <w:rtl/>
        </w:rPr>
        <w:footnoteReference w:id="691"/>
      </w:r>
      <w:r w:rsidRPr="00A9300B">
        <w:rPr>
          <w:rFonts w:cs="Arial"/>
          <w:rtl/>
        </w:rPr>
        <w:t>.</w:t>
      </w:r>
      <w:r w:rsidR="001901C7" w:rsidRPr="001901C7">
        <w:rPr>
          <w:rFonts w:cs="Arial"/>
          <w:sz w:val="16"/>
          <w:szCs w:val="16"/>
          <w:rtl/>
        </w:rPr>
        <w:t xml:space="preserve"> </w:t>
      </w:r>
      <w:r w:rsidR="001901C7">
        <w:rPr>
          <w:rFonts w:cs="Arial" w:hint="cs"/>
          <w:sz w:val="16"/>
          <w:szCs w:val="16"/>
          <w:rtl/>
        </w:rPr>
        <w:t>(</w:t>
      </w:r>
      <w:r w:rsidR="004B0A46">
        <w:rPr>
          <w:rFonts w:cs="Arial" w:hint="cs"/>
          <w:sz w:val="16"/>
          <w:szCs w:val="16"/>
          <w:rtl/>
        </w:rPr>
        <w:t>וכתבוהו הרא"ש (פ"ה ר"ס יז)</w:t>
      </w:r>
      <w:r w:rsidR="001901C7" w:rsidRPr="001901C7">
        <w:rPr>
          <w:rFonts w:cs="Arial"/>
          <w:sz w:val="16"/>
          <w:szCs w:val="16"/>
          <w:rtl/>
        </w:rPr>
        <w:t xml:space="preserve"> </w:t>
      </w:r>
      <w:r w:rsidR="004B0A46">
        <w:rPr>
          <w:rFonts w:cs="Arial" w:hint="cs"/>
          <w:sz w:val="16"/>
          <w:szCs w:val="16"/>
          <w:rtl/>
        </w:rPr>
        <w:t>ו</w:t>
      </w:r>
      <w:r w:rsidR="001901C7" w:rsidRPr="001901C7">
        <w:rPr>
          <w:rFonts w:cs="Arial"/>
          <w:sz w:val="16"/>
          <w:szCs w:val="16"/>
          <w:rtl/>
        </w:rPr>
        <w:t>הר"ן (כד. ד"ה מתני')</w:t>
      </w:r>
      <w:r w:rsidR="001901C7">
        <w:rPr>
          <w:rFonts w:cs="Arial" w:hint="cs"/>
          <w:sz w:val="16"/>
          <w:szCs w:val="16"/>
          <w:rtl/>
        </w:rPr>
        <w:t>)</w:t>
      </w:r>
    </w:p>
    <w:p w14:paraId="16FF322D" w14:textId="4E37DE55" w:rsidR="004B0A46" w:rsidRPr="00400677" w:rsidRDefault="004B0A46" w:rsidP="00400677">
      <w:pPr>
        <w:rPr>
          <w:rFonts w:cs="Arial"/>
          <w:sz w:val="16"/>
          <w:szCs w:val="16"/>
          <w:rtl/>
        </w:rPr>
      </w:pPr>
      <w:r w:rsidRPr="00AB0AB9">
        <w:rPr>
          <w:rFonts w:cs="Arial" w:hint="cs"/>
          <w:b/>
          <w:bCs/>
          <w:rtl/>
        </w:rPr>
        <w:t>כתובות</w:t>
      </w:r>
      <w:r>
        <w:rPr>
          <w:rFonts w:cs="Arial" w:hint="cs"/>
          <w:b/>
          <w:bCs/>
          <w:rtl/>
        </w:rPr>
        <w:t xml:space="preserve"> </w:t>
      </w:r>
      <w:r>
        <w:rPr>
          <w:rFonts w:cs="Arial" w:hint="cs"/>
          <w:b/>
          <w:bCs/>
          <w:sz w:val="16"/>
          <w:szCs w:val="16"/>
          <w:rtl/>
        </w:rPr>
        <w:t>(פ' אף על פי)</w:t>
      </w:r>
      <w:r w:rsidRPr="00AB0AB9">
        <w:rPr>
          <w:rFonts w:cs="Arial" w:hint="cs"/>
          <w:b/>
          <w:bCs/>
          <w:rtl/>
        </w:rPr>
        <w:t xml:space="preserve"> </w:t>
      </w:r>
      <w:r>
        <w:rPr>
          <w:rFonts w:cs="Arial" w:hint="cs"/>
          <w:b/>
          <w:bCs/>
          <w:rtl/>
        </w:rPr>
        <w:t>סא</w:t>
      </w:r>
      <w:r w:rsidRPr="00AB0AB9">
        <w:rPr>
          <w:rFonts w:cs="Arial" w:hint="cs"/>
          <w:b/>
          <w:bCs/>
          <w:rtl/>
        </w:rPr>
        <w:t xml:space="preserve"> ע"ב: </w:t>
      </w:r>
      <w:r w:rsidRPr="004B0A46">
        <w:rPr>
          <w:rFonts w:cs="Arial"/>
          <w:rtl/>
        </w:rPr>
        <w:t>דתניא: אינו כופה לא לעמוד</w:t>
      </w:r>
      <w:r w:rsidR="00F819D1">
        <w:rPr>
          <w:rStyle w:val="a7"/>
          <w:rFonts w:cs="Arial"/>
          <w:rtl/>
        </w:rPr>
        <w:footnoteReference w:id="692"/>
      </w:r>
      <w:r w:rsidRPr="004B0A46">
        <w:rPr>
          <w:rFonts w:cs="Arial"/>
          <w:rtl/>
        </w:rPr>
        <w:t xml:space="preserve"> לפני אביו, ולא לעמוד לפני בנו</w:t>
      </w:r>
      <w:r>
        <w:rPr>
          <w:rFonts w:cs="Arial" w:hint="cs"/>
          <w:rtl/>
        </w:rPr>
        <w:t>...</w:t>
      </w:r>
      <w:r w:rsidR="003F7C7C" w:rsidRPr="003F7C7C">
        <w:rPr>
          <w:rFonts w:cs="Arial" w:hint="cs"/>
          <w:sz w:val="16"/>
          <w:szCs w:val="16"/>
          <w:rtl/>
        </w:rPr>
        <w:t xml:space="preserve"> (</w:t>
      </w:r>
      <w:r w:rsidR="003F7C7C" w:rsidRPr="003F7C7C">
        <w:rPr>
          <w:rFonts w:cs="Arial"/>
          <w:sz w:val="16"/>
          <w:szCs w:val="16"/>
          <w:rtl/>
        </w:rPr>
        <w:t>משמע הא לפניו כופה לעמוד</w:t>
      </w:r>
      <w:r w:rsidR="003F7C7C">
        <w:rPr>
          <w:rFonts w:cs="Arial" w:hint="cs"/>
          <w:sz w:val="16"/>
          <w:szCs w:val="16"/>
          <w:rtl/>
        </w:rPr>
        <w:t>, ב"י</w:t>
      </w:r>
      <w:r w:rsidR="00F819D1">
        <w:rPr>
          <w:rFonts w:cs="Arial" w:hint="cs"/>
          <w:sz w:val="16"/>
          <w:szCs w:val="16"/>
          <w:rtl/>
        </w:rPr>
        <w:t xml:space="preserve">. </w:t>
      </w:r>
      <w:r w:rsidR="00400677">
        <w:rPr>
          <w:rFonts w:cs="Arial" w:hint="cs"/>
          <w:sz w:val="16"/>
          <w:szCs w:val="16"/>
          <w:rtl/>
        </w:rPr>
        <w:t>אך הה"מ</w:t>
      </w:r>
      <w:r w:rsidR="00EF0CDE">
        <w:rPr>
          <w:rFonts w:cs="Arial" w:hint="cs"/>
          <w:sz w:val="16"/>
          <w:szCs w:val="16"/>
          <w:rtl/>
        </w:rPr>
        <w:t xml:space="preserve"> כתב</w:t>
      </w:r>
      <w:r w:rsidR="00400677">
        <w:rPr>
          <w:rFonts w:cs="Arial" w:hint="cs"/>
          <w:sz w:val="16"/>
          <w:szCs w:val="16"/>
          <w:rtl/>
        </w:rPr>
        <w:t xml:space="preserve"> (פכ"א) </w:t>
      </w:r>
      <w:r w:rsidR="00400677" w:rsidRPr="00F819D1">
        <w:rPr>
          <w:rFonts w:cs="Arial"/>
          <w:sz w:val="16"/>
          <w:szCs w:val="16"/>
          <w:rtl/>
        </w:rPr>
        <w:t>דק"ו הוא מהצעת המט</w:t>
      </w:r>
      <w:r w:rsidR="00400677">
        <w:rPr>
          <w:rFonts w:cs="Arial" w:hint="cs"/>
          <w:sz w:val="16"/>
          <w:szCs w:val="16"/>
          <w:rtl/>
        </w:rPr>
        <w:t xml:space="preserve">ה. וכתב </w:t>
      </w:r>
      <w:r w:rsidR="00F819D1">
        <w:rPr>
          <w:rFonts w:cs="Arial" w:hint="cs"/>
          <w:sz w:val="16"/>
          <w:szCs w:val="16"/>
          <w:rtl/>
        </w:rPr>
        <w:t xml:space="preserve">הח"מ (סקי"א) </w:t>
      </w:r>
      <w:r w:rsidR="00400677">
        <w:rPr>
          <w:rFonts w:cs="Arial" w:hint="cs"/>
          <w:sz w:val="16"/>
          <w:szCs w:val="16"/>
          <w:rtl/>
        </w:rPr>
        <w:t>דאילו היו לומדים מגמרא זו כדברי הב"י היינו אומרים דרק ענייה משרתת את בעלה. לכן, יש ללמוד את החיוב לשרת ממה שכתב הה"מ (</w:t>
      </w:r>
      <w:r w:rsidR="00F819D1" w:rsidRPr="00F819D1">
        <w:rPr>
          <w:rFonts w:cs="Arial"/>
          <w:sz w:val="16"/>
          <w:szCs w:val="16"/>
          <w:rtl/>
        </w:rPr>
        <w:t>פכ"א</w:t>
      </w:r>
      <w:r w:rsidR="00400677">
        <w:rPr>
          <w:rFonts w:cs="Arial" w:hint="cs"/>
          <w:sz w:val="16"/>
          <w:szCs w:val="16"/>
          <w:rtl/>
        </w:rPr>
        <w:t xml:space="preserve">), דמינה </w:t>
      </w:r>
      <w:r w:rsidR="00F819D1" w:rsidRPr="00F819D1">
        <w:rPr>
          <w:rFonts w:cs="Arial"/>
          <w:sz w:val="16"/>
          <w:szCs w:val="16"/>
          <w:rtl/>
        </w:rPr>
        <w:t>ילי</w:t>
      </w:r>
      <w:r w:rsidR="00400677">
        <w:rPr>
          <w:rFonts w:cs="Arial" w:hint="cs"/>
          <w:sz w:val="16"/>
          <w:szCs w:val="16"/>
          <w:rtl/>
        </w:rPr>
        <w:t>פינן</w:t>
      </w:r>
      <w:r w:rsidR="00F819D1" w:rsidRPr="00F819D1">
        <w:rPr>
          <w:rFonts w:cs="Arial"/>
          <w:sz w:val="16"/>
          <w:szCs w:val="16"/>
          <w:rtl/>
        </w:rPr>
        <w:t xml:space="preserve"> דכל אשה צריכה לעשות שירות קטן לבעלה </w:t>
      </w:r>
      <w:r w:rsidR="00400677">
        <w:rPr>
          <w:rFonts w:cs="Arial" w:hint="cs"/>
          <w:sz w:val="16"/>
          <w:szCs w:val="16"/>
          <w:rtl/>
        </w:rPr>
        <w:t>ד</w:t>
      </w:r>
      <w:r w:rsidR="00F819D1" w:rsidRPr="00F819D1">
        <w:rPr>
          <w:rFonts w:cs="Arial"/>
          <w:sz w:val="16"/>
          <w:szCs w:val="16"/>
          <w:rtl/>
        </w:rPr>
        <w:t>ק"ו</w:t>
      </w:r>
      <w:r w:rsidR="00400677">
        <w:rPr>
          <w:rFonts w:cs="Arial" w:hint="cs"/>
          <w:sz w:val="16"/>
          <w:szCs w:val="16"/>
          <w:rtl/>
        </w:rPr>
        <w:t xml:space="preserve"> הוא</w:t>
      </w:r>
      <w:r w:rsidR="00F819D1" w:rsidRPr="00F819D1">
        <w:rPr>
          <w:rFonts w:cs="Arial"/>
          <w:sz w:val="16"/>
          <w:szCs w:val="16"/>
          <w:rtl/>
        </w:rPr>
        <w:t xml:space="preserve"> מהצעת מטתו מכ"ש להושיט לו כלי אחד</w:t>
      </w:r>
      <w:r w:rsidR="003F7C7C">
        <w:rPr>
          <w:rFonts w:cs="Arial" w:hint="cs"/>
          <w:sz w:val="16"/>
          <w:szCs w:val="16"/>
          <w:rtl/>
        </w:rPr>
        <w:t>)</w:t>
      </w:r>
    </w:p>
    <w:p w14:paraId="6568429F" w14:textId="04DB3E65" w:rsidR="00604FDD" w:rsidRDefault="00604FDD" w:rsidP="003E3BC6">
      <w:pPr>
        <w:rPr>
          <w:rtl/>
        </w:rPr>
      </w:pPr>
      <w:r w:rsidRPr="001901C7">
        <w:rPr>
          <w:rFonts w:cs="Arial" w:hint="cs"/>
          <w:b/>
          <w:bCs/>
          <w:rtl/>
        </w:rPr>
        <w:t>ירושלמי כתובות פ"ה ה"ו:</w:t>
      </w:r>
      <w:r>
        <w:rPr>
          <w:rFonts w:cs="Arial" w:hint="cs"/>
          <w:rtl/>
        </w:rPr>
        <w:t xml:space="preserve"> </w:t>
      </w:r>
      <w:r w:rsidRPr="00604FDD">
        <w:rPr>
          <w:rFonts w:cs="Arial"/>
          <w:u w:val="single"/>
          <w:rtl/>
        </w:rPr>
        <w:t>רב הונא אמר</w:t>
      </w:r>
      <w:r>
        <w:rPr>
          <w:rFonts w:cs="Arial" w:hint="cs"/>
          <w:rtl/>
        </w:rPr>
        <w:t>:</w:t>
      </w:r>
      <w:r w:rsidRPr="00604FDD">
        <w:rPr>
          <w:rFonts w:cs="Arial"/>
          <w:rtl/>
        </w:rPr>
        <w:t xml:space="preserve"> אפילו הכניסה לו מאה שפחות כופה לעשות לו דברים של יחיד</w:t>
      </w:r>
      <w:r>
        <w:rPr>
          <w:rFonts w:cs="Arial" w:hint="cs"/>
          <w:rtl/>
        </w:rPr>
        <w:t>.</w:t>
      </w:r>
      <w:r w:rsidRPr="00604FDD">
        <w:rPr>
          <w:rFonts w:cs="Arial"/>
          <w:rtl/>
        </w:rPr>
        <w:t xml:space="preserve"> מהו דברים של יחיד</w:t>
      </w:r>
      <w:r>
        <w:rPr>
          <w:rFonts w:cs="Arial" w:hint="cs"/>
          <w:rtl/>
        </w:rPr>
        <w:t>,</w:t>
      </w:r>
      <w:r w:rsidRPr="00604FDD">
        <w:rPr>
          <w:rFonts w:cs="Arial"/>
          <w:rtl/>
        </w:rPr>
        <w:t xml:space="preserve"> סכת לו את גופו</w:t>
      </w:r>
      <w:r>
        <w:rPr>
          <w:rFonts w:cs="Arial" w:hint="cs"/>
          <w:rtl/>
        </w:rPr>
        <w:t>,</w:t>
      </w:r>
      <w:r w:rsidRPr="00604FDD">
        <w:rPr>
          <w:rFonts w:cs="Arial"/>
          <w:rtl/>
        </w:rPr>
        <w:t xml:space="preserve"> ומרחצת לו את רגליו</w:t>
      </w:r>
      <w:r>
        <w:rPr>
          <w:rFonts w:cs="Arial" w:hint="cs"/>
          <w:rtl/>
        </w:rPr>
        <w:t>,</w:t>
      </w:r>
      <w:r w:rsidRPr="00604FDD">
        <w:rPr>
          <w:rFonts w:cs="Arial"/>
          <w:rtl/>
        </w:rPr>
        <w:t xml:space="preserve"> ומוזגת לו את הכוס</w:t>
      </w:r>
      <w:r>
        <w:rPr>
          <w:rFonts w:cs="Arial" w:hint="cs"/>
          <w:rtl/>
        </w:rPr>
        <w:t>.</w:t>
      </w:r>
      <w:r w:rsidRPr="00604FDD">
        <w:rPr>
          <w:rFonts w:cs="Arial"/>
          <w:rtl/>
        </w:rPr>
        <w:t xml:space="preserve"> למה</w:t>
      </w:r>
      <w:r>
        <w:rPr>
          <w:rFonts w:cs="Arial" w:hint="cs"/>
          <w:rtl/>
        </w:rPr>
        <w:t xml:space="preserve">? </w:t>
      </w:r>
      <w:r w:rsidRPr="00604FDD">
        <w:rPr>
          <w:rFonts w:cs="Arial"/>
          <w:rtl/>
        </w:rPr>
        <w:t>משום שהיא חייבת לעשות לו</w:t>
      </w:r>
      <w:r>
        <w:rPr>
          <w:rFonts w:cs="Arial" w:hint="cs"/>
          <w:rtl/>
        </w:rPr>
        <w:t>,</w:t>
      </w:r>
      <w:r w:rsidRPr="00604FDD">
        <w:rPr>
          <w:rFonts w:cs="Arial"/>
          <w:rtl/>
        </w:rPr>
        <w:t xml:space="preserve"> או משום שאינן ראויין להשתמש בשפחה</w:t>
      </w:r>
      <w:r>
        <w:rPr>
          <w:rFonts w:cs="Arial" w:hint="cs"/>
          <w:rtl/>
        </w:rPr>
        <w:t>.</w:t>
      </w:r>
      <w:r w:rsidRPr="00604FDD">
        <w:rPr>
          <w:rFonts w:cs="Arial"/>
          <w:rtl/>
        </w:rPr>
        <w:t xml:space="preserve"> מה נפק מן ביניהון</w:t>
      </w:r>
      <w:r>
        <w:rPr>
          <w:rFonts w:cs="Arial" w:hint="cs"/>
          <w:rtl/>
        </w:rPr>
        <w:t>?</w:t>
      </w:r>
      <w:r w:rsidRPr="00604FDD">
        <w:rPr>
          <w:rFonts w:cs="Arial"/>
          <w:rtl/>
        </w:rPr>
        <w:t xml:space="preserve"> הכניסה לו עבדים</w:t>
      </w:r>
      <w:r>
        <w:rPr>
          <w:rFonts w:cs="Arial" w:hint="cs"/>
          <w:rtl/>
        </w:rPr>
        <w:t>.</w:t>
      </w:r>
      <w:r w:rsidRPr="00604FDD">
        <w:rPr>
          <w:rFonts w:cs="Arial"/>
          <w:rtl/>
        </w:rPr>
        <w:t xml:space="preserve"> אין תימר משום שאין ראויין להשתמש בשפחה </w:t>
      </w:r>
      <w:r>
        <w:rPr>
          <w:rFonts w:cs="Arial" w:hint="cs"/>
          <w:rtl/>
        </w:rPr>
        <w:t xml:space="preserve">- </w:t>
      </w:r>
      <w:r w:rsidRPr="00604FDD">
        <w:rPr>
          <w:rFonts w:cs="Arial"/>
          <w:rtl/>
        </w:rPr>
        <w:t>הרי הכניסה לו עבדים</w:t>
      </w:r>
      <w:r>
        <w:rPr>
          <w:rFonts w:cs="Arial" w:hint="cs"/>
          <w:rtl/>
        </w:rPr>
        <w:t xml:space="preserve">, </w:t>
      </w:r>
      <w:r w:rsidRPr="00604FDD">
        <w:rPr>
          <w:rFonts w:cs="Arial"/>
          <w:rtl/>
        </w:rPr>
        <w:t>הוי לית טעמא</w:t>
      </w:r>
      <w:r w:rsidR="00BD23C6">
        <w:rPr>
          <w:rFonts w:cs="Arial" w:hint="cs"/>
          <w:rtl/>
        </w:rPr>
        <w:t xml:space="preserve"> </w:t>
      </w:r>
      <w:r w:rsidR="00BD23C6">
        <w:rPr>
          <w:rStyle w:val="a7"/>
          <w:rFonts w:cs="Arial"/>
          <w:rtl/>
        </w:rPr>
        <w:footnoteReference w:id="693"/>
      </w:r>
      <w:r w:rsidR="00BD23C6">
        <w:rPr>
          <w:rFonts w:cs="Arial" w:hint="cs"/>
          <w:rtl/>
        </w:rPr>
        <w:t>[אלא]</w:t>
      </w:r>
      <w:r w:rsidRPr="00604FDD">
        <w:rPr>
          <w:rFonts w:cs="Arial"/>
          <w:rtl/>
        </w:rPr>
        <w:t xml:space="preserve"> משום שהיא חייבת לו</w:t>
      </w:r>
      <w:r w:rsidR="00E768A8">
        <w:rPr>
          <w:rStyle w:val="a7"/>
          <w:rFonts w:cs="Arial"/>
          <w:rtl/>
        </w:rPr>
        <w:footnoteReference w:id="694"/>
      </w:r>
      <w:r>
        <w:rPr>
          <w:rFonts w:cs="Arial" w:hint="cs"/>
          <w:rtl/>
        </w:rPr>
        <w:t>.</w:t>
      </w:r>
      <w:r w:rsidRPr="00604FDD">
        <w:rPr>
          <w:rFonts w:cs="Arial"/>
          <w:rtl/>
        </w:rPr>
        <w:t xml:space="preserve"> </w:t>
      </w:r>
      <w:r w:rsidRPr="00FE7204">
        <w:rPr>
          <w:rFonts w:cs="Arial"/>
          <w:u w:val="single"/>
          <w:rtl/>
        </w:rPr>
        <w:t>ר' אבודימא בצפרין בעי קומי ר' מנא</w:t>
      </w:r>
      <w:r w:rsidR="00FE7204">
        <w:rPr>
          <w:rFonts w:cs="Arial" w:hint="cs"/>
          <w:rtl/>
        </w:rPr>
        <w:t>:</w:t>
      </w:r>
      <w:r w:rsidRPr="00604FDD">
        <w:rPr>
          <w:rFonts w:cs="Arial"/>
          <w:rtl/>
        </w:rPr>
        <w:t xml:space="preserve"> לא מסתברא משום שהיא חייבת לו</w:t>
      </w:r>
      <w:r w:rsidR="00A13E9B">
        <w:rPr>
          <w:rStyle w:val="a7"/>
          <w:rFonts w:cs="Arial"/>
          <w:rtl/>
        </w:rPr>
        <w:footnoteReference w:id="695"/>
      </w:r>
      <w:r w:rsidR="0035330E">
        <w:rPr>
          <w:rFonts w:cs="Arial" w:hint="cs"/>
          <w:rtl/>
        </w:rPr>
        <w:t>?</w:t>
      </w:r>
      <w:r w:rsidR="00A13E9B">
        <w:rPr>
          <w:rFonts w:cs="Arial" w:hint="cs"/>
          <w:rtl/>
        </w:rPr>
        <w:t>!</w:t>
      </w:r>
      <w:r w:rsidRPr="00604FDD">
        <w:rPr>
          <w:rFonts w:cs="Arial"/>
          <w:rtl/>
        </w:rPr>
        <w:t xml:space="preserve"> </w:t>
      </w:r>
      <w:r w:rsidRPr="00FE7204">
        <w:rPr>
          <w:rFonts w:cs="Arial"/>
          <w:u w:val="single"/>
          <w:rtl/>
        </w:rPr>
        <w:t>אמר לו</w:t>
      </w:r>
      <w:r w:rsidR="00FE7204">
        <w:rPr>
          <w:rFonts w:cs="Arial" w:hint="cs"/>
          <w:rtl/>
        </w:rPr>
        <w:t>:</w:t>
      </w:r>
      <w:r w:rsidRPr="00604FDD">
        <w:rPr>
          <w:rFonts w:cs="Arial"/>
          <w:rtl/>
        </w:rPr>
        <w:t xml:space="preserve"> אוף אנא סבר כן</w:t>
      </w:r>
      <w:r w:rsidR="00FE7204">
        <w:rPr>
          <w:rStyle w:val="a7"/>
          <w:rFonts w:cs="Arial"/>
          <w:rtl/>
        </w:rPr>
        <w:footnoteReference w:id="696"/>
      </w:r>
      <w:r w:rsidR="00FE7204">
        <w:rPr>
          <w:rFonts w:cs="Arial" w:hint="cs"/>
          <w:rtl/>
        </w:rPr>
        <w:t>,</w:t>
      </w:r>
      <w:r w:rsidRPr="00604FDD">
        <w:rPr>
          <w:rFonts w:cs="Arial"/>
          <w:rtl/>
        </w:rPr>
        <w:t xml:space="preserve"> ותני כן</w:t>
      </w:r>
      <w:r w:rsidR="00FE7204">
        <w:rPr>
          <w:rStyle w:val="a7"/>
          <w:rFonts w:cs="Arial"/>
          <w:rtl/>
        </w:rPr>
        <w:footnoteReference w:id="697"/>
      </w:r>
      <w:r w:rsidRPr="00604FDD">
        <w:rPr>
          <w:rFonts w:cs="Arial"/>
          <w:rtl/>
        </w:rPr>
        <w:t xml:space="preserve"> כופה לעשות בצמר אבל לא </w:t>
      </w:r>
      <w:r w:rsidRPr="00604FDD">
        <w:rPr>
          <w:rFonts w:cs="Arial"/>
          <w:rtl/>
        </w:rPr>
        <w:lastRenderedPageBreak/>
        <w:t>בפשתן מפני שהיא מסרחת את הפה ומשלבקת את השפיות</w:t>
      </w:r>
      <w:r w:rsidR="00FE7204">
        <w:rPr>
          <w:rStyle w:val="a7"/>
          <w:rFonts w:cs="Arial"/>
          <w:rtl/>
        </w:rPr>
        <w:footnoteReference w:id="698"/>
      </w:r>
      <w:r>
        <w:rPr>
          <w:rFonts w:cs="Arial" w:hint="cs"/>
          <w:rtl/>
        </w:rPr>
        <w:t>.</w:t>
      </w:r>
      <w:r w:rsidR="00E768A8" w:rsidRPr="00E768A8">
        <w:rPr>
          <w:rFonts w:cs="Arial"/>
          <w:sz w:val="16"/>
          <w:szCs w:val="16"/>
          <w:rtl/>
        </w:rPr>
        <w:t xml:space="preserve"> </w:t>
      </w:r>
      <w:r w:rsidR="00E768A8">
        <w:rPr>
          <w:rFonts w:cs="Arial" w:hint="cs"/>
          <w:sz w:val="16"/>
          <w:szCs w:val="16"/>
          <w:rtl/>
        </w:rPr>
        <w:t>(</w:t>
      </w:r>
      <w:r w:rsidR="00E768A8" w:rsidRPr="00E768A8">
        <w:rPr>
          <w:rFonts w:cs="Arial"/>
          <w:sz w:val="16"/>
          <w:szCs w:val="16"/>
          <w:rtl/>
        </w:rPr>
        <w:t>וכתב ה</w:t>
      </w:r>
      <w:r w:rsidR="00E768A8">
        <w:rPr>
          <w:rFonts w:cs="Arial" w:hint="cs"/>
          <w:sz w:val="16"/>
          <w:szCs w:val="16"/>
          <w:rtl/>
        </w:rPr>
        <w:t>ה"מ</w:t>
      </w:r>
      <w:r w:rsidR="00E768A8" w:rsidRPr="00E768A8">
        <w:rPr>
          <w:rFonts w:cs="Arial"/>
          <w:sz w:val="16"/>
          <w:szCs w:val="16"/>
          <w:rtl/>
        </w:rPr>
        <w:t xml:space="preserve"> </w:t>
      </w:r>
      <w:r w:rsidR="00E768A8">
        <w:rPr>
          <w:rFonts w:cs="Arial" w:hint="cs"/>
          <w:sz w:val="16"/>
          <w:szCs w:val="16"/>
          <w:rtl/>
        </w:rPr>
        <w:t>דבדברי ה</w:t>
      </w:r>
      <w:r w:rsidR="00E768A8" w:rsidRPr="00E768A8">
        <w:rPr>
          <w:rFonts w:cs="Arial"/>
          <w:sz w:val="16"/>
          <w:szCs w:val="16"/>
          <w:rtl/>
        </w:rPr>
        <w:t xml:space="preserve">ירושלמי (סה"ו) </w:t>
      </w:r>
      <w:r w:rsidR="00E768A8">
        <w:rPr>
          <w:rFonts w:cs="Arial" w:hint="cs"/>
          <w:sz w:val="16"/>
          <w:szCs w:val="16"/>
          <w:rtl/>
        </w:rPr>
        <w:t xml:space="preserve">הללו </w:t>
      </w:r>
      <w:r w:rsidR="00E768A8" w:rsidRPr="00E768A8">
        <w:rPr>
          <w:rFonts w:cs="Arial"/>
          <w:sz w:val="16"/>
          <w:szCs w:val="16"/>
          <w:rtl/>
        </w:rPr>
        <w:t>מפורש שאפילו הכניסה לו עבדים חייבת לו בדברים אלו</w:t>
      </w:r>
      <w:r w:rsidR="00E768A8">
        <w:rPr>
          <w:rFonts w:cs="Arial" w:hint="cs"/>
          <w:sz w:val="16"/>
          <w:szCs w:val="16"/>
          <w:rtl/>
        </w:rPr>
        <w:t>)</w:t>
      </w:r>
    </w:p>
    <w:p w14:paraId="283156E9" w14:textId="59427D92" w:rsidR="001901C7" w:rsidRPr="001D1949" w:rsidRDefault="001D1949" w:rsidP="003E3BC6">
      <w:pPr>
        <w:rPr>
          <w:u w:val="single"/>
          <w:rtl/>
        </w:rPr>
      </w:pPr>
      <w:r w:rsidRPr="001D1949">
        <w:rPr>
          <w:rFonts w:hint="cs"/>
          <w:u w:val="single"/>
          <w:rtl/>
        </w:rPr>
        <w:t>מלאכות שכל אשה צריכה לעשות לבעלה</w:t>
      </w:r>
      <w:r w:rsidR="001901C7" w:rsidRPr="001D1949">
        <w:rPr>
          <w:rFonts w:hint="cs"/>
          <w:u w:val="single"/>
          <w:rtl/>
        </w:rPr>
        <w:t>:</w:t>
      </w:r>
    </w:p>
    <w:p w14:paraId="74CE06CC" w14:textId="7BEFDDA5" w:rsidR="00DC4762" w:rsidRPr="004B0A46" w:rsidRDefault="00233322" w:rsidP="009000E3">
      <w:pPr>
        <w:pStyle w:val="ab"/>
        <w:numPr>
          <w:ilvl w:val="0"/>
          <w:numId w:val="35"/>
        </w:numPr>
      </w:pPr>
      <w:r>
        <w:rPr>
          <w:rFonts w:cs="Arial" w:hint="cs"/>
          <w:rtl/>
        </w:rPr>
        <w:t xml:space="preserve">טור- </w:t>
      </w:r>
      <w:r w:rsidRPr="000A7A9C">
        <w:rPr>
          <w:rFonts w:cs="Arial"/>
          <w:rtl/>
        </w:rPr>
        <w:t>ירושלמי שבעה גופי מלאכות מנו חכמים והשאר לא הוצרכו למנות</w:t>
      </w:r>
      <w:r w:rsidR="00D53FCC">
        <w:rPr>
          <w:rFonts w:cs="Arial" w:hint="cs"/>
          <w:rtl/>
        </w:rPr>
        <w:t>,</w:t>
      </w:r>
      <w:r w:rsidRPr="000A7A9C">
        <w:rPr>
          <w:rFonts w:cs="Arial"/>
          <w:rtl/>
        </w:rPr>
        <w:t xml:space="preserve"> דפשיטא שצריכה לעשות כל צרכי הבית ולעמוד לפני בעלה לשרתו</w:t>
      </w:r>
      <w:r w:rsidR="00D53FCC">
        <w:rPr>
          <w:rFonts w:cs="Arial" w:hint="cs"/>
          <w:rtl/>
        </w:rPr>
        <w:t>.</w:t>
      </w:r>
      <w:r w:rsidRPr="000A7A9C">
        <w:rPr>
          <w:rFonts w:cs="Arial"/>
          <w:rtl/>
        </w:rPr>
        <w:t xml:space="preserve"> אבל אינה צריכה לשרת לא לבנו ולא לאביו</w:t>
      </w:r>
      <w:r w:rsidR="004B0A46">
        <w:rPr>
          <w:rFonts w:cs="Arial" w:hint="cs"/>
          <w:sz w:val="16"/>
          <w:szCs w:val="16"/>
          <w:rtl/>
        </w:rPr>
        <w:t xml:space="preserve"> (ל' הטור)</w:t>
      </w:r>
      <w:r>
        <w:rPr>
          <w:rFonts w:cs="Arial" w:hint="cs"/>
          <w:rtl/>
        </w:rPr>
        <w:t>.</w:t>
      </w:r>
    </w:p>
    <w:p w14:paraId="4D2CF396" w14:textId="363A62C8" w:rsidR="004D0526" w:rsidRDefault="003F7C7C" w:rsidP="009000E3">
      <w:pPr>
        <w:pStyle w:val="ab"/>
        <w:numPr>
          <w:ilvl w:val="0"/>
          <w:numId w:val="35"/>
        </w:numPr>
      </w:pPr>
      <w:r>
        <w:rPr>
          <w:rFonts w:cs="Arial" w:hint="cs"/>
          <w:rtl/>
        </w:rPr>
        <w:t xml:space="preserve">רמב"ם </w:t>
      </w:r>
      <w:r>
        <w:rPr>
          <w:rFonts w:cs="Arial" w:hint="cs"/>
          <w:sz w:val="16"/>
          <w:szCs w:val="16"/>
          <w:rtl/>
        </w:rPr>
        <w:t>(פכ"א ה"ג)</w:t>
      </w:r>
      <w:r>
        <w:rPr>
          <w:rFonts w:cs="Arial" w:hint="cs"/>
          <w:rtl/>
        </w:rPr>
        <w:t xml:space="preserve">- </w:t>
      </w:r>
      <w:r w:rsidR="004B0A46" w:rsidRPr="004B0A46">
        <w:rPr>
          <w:rFonts w:cs="Arial"/>
          <w:rtl/>
        </w:rPr>
        <w:t>וכן כל אשה רוחצת לבעלה פניו ידיו ורגליו ומוזגת לו את הכוס ומצעת לו את המטה ועומדת ומשמשת בפני בעלה כגון שתתן לו מים או כלי או תטול מלפניו וכיוצא בדברים אלו, אבל אינה עומדת ומשמשת בפני אביו או בפני בנו</w:t>
      </w:r>
      <w:r w:rsidR="00E768A8">
        <w:rPr>
          <w:rFonts w:cs="Arial" w:hint="cs"/>
          <w:rtl/>
        </w:rPr>
        <w:t>.</w:t>
      </w:r>
      <w:r w:rsidR="00672512">
        <w:rPr>
          <w:rFonts w:hint="cs"/>
          <w:rtl/>
        </w:rPr>
        <w:t xml:space="preserve"> </w:t>
      </w:r>
      <w:r w:rsidR="00672512" w:rsidRPr="00EC5ABC">
        <w:rPr>
          <w:rFonts w:hint="cs"/>
          <w:color w:val="E36C0A" w:themeColor="accent6" w:themeShade="BF"/>
          <w:rtl/>
        </w:rPr>
        <w:t>(וכ"פ בשו"ע)</w:t>
      </w:r>
    </w:p>
    <w:p w14:paraId="7069E97E" w14:textId="3BAD24F1" w:rsidR="00672512" w:rsidRPr="00672512" w:rsidRDefault="00672512" w:rsidP="00672512">
      <w:pPr>
        <w:ind w:left="360"/>
        <w:rPr>
          <w:u w:val="dotted"/>
        </w:rPr>
      </w:pPr>
      <w:r w:rsidRPr="00672512">
        <w:rPr>
          <w:rFonts w:hint="cs"/>
          <w:u w:val="dotted"/>
          <w:rtl/>
        </w:rPr>
        <w:t>האם אינה צריכה לשרת את בנו או אביו אפילו כשהם סמוכים על שולחנו:</w:t>
      </w:r>
    </w:p>
    <w:p w14:paraId="61E068E1" w14:textId="1A632DC9" w:rsidR="00672512" w:rsidRDefault="00672512" w:rsidP="009000E3">
      <w:pPr>
        <w:pStyle w:val="ab"/>
        <w:numPr>
          <w:ilvl w:val="0"/>
          <w:numId w:val="35"/>
        </w:numPr>
        <w:rPr>
          <w:rtl/>
        </w:rPr>
      </w:pPr>
      <w:r>
        <w:rPr>
          <w:rFonts w:cs="Arial"/>
          <w:rtl/>
        </w:rPr>
        <w:t xml:space="preserve">ר"ן </w:t>
      </w:r>
      <w:r w:rsidRPr="00672512">
        <w:rPr>
          <w:rFonts w:cs="Arial"/>
          <w:sz w:val="16"/>
          <w:szCs w:val="16"/>
          <w:rtl/>
        </w:rPr>
        <w:t>(כה: ד"ה אין)</w:t>
      </w:r>
      <w:r>
        <w:rPr>
          <w:rFonts w:cs="Arial" w:hint="cs"/>
          <w:rtl/>
        </w:rPr>
        <w:t>-</w:t>
      </w:r>
      <w:r>
        <w:rPr>
          <w:rFonts w:cs="Arial"/>
          <w:rtl/>
        </w:rPr>
        <w:t xml:space="preserve"> </w:t>
      </w:r>
      <w:r>
        <w:rPr>
          <w:rFonts w:cs="Arial" w:hint="cs"/>
          <w:rtl/>
        </w:rPr>
        <w:t xml:space="preserve">הא </w:t>
      </w:r>
      <w:r w:rsidRPr="004B0A46">
        <w:rPr>
          <w:rFonts w:cs="Arial"/>
          <w:rtl/>
        </w:rPr>
        <w:t>דתניא אינו כופה לא לעמוד לפני אביו, ולא לעמוד לפני בנו</w:t>
      </w:r>
      <w:r>
        <w:rPr>
          <w:rFonts w:cs="Arial"/>
          <w:rtl/>
        </w:rPr>
        <w:t xml:space="preserve"> </w:t>
      </w:r>
      <w:r>
        <w:rPr>
          <w:rFonts w:cs="Arial" w:hint="cs"/>
          <w:rtl/>
        </w:rPr>
        <w:t xml:space="preserve">- </w:t>
      </w:r>
      <w:r>
        <w:rPr>
          <w:rFonts w:cs="Arial"/>
          <w:rtl/>
        </w:rPr>
        <w:t>בשאין סמוכין על שלחנו מיירי</w:t>
      </w:r>
      <w:r>
        <w:rPr>
          <w:rFonts w:cs="Arial" w:hint="cs"/>
          <w:rtl/>
        </w:rPr>
        <w:t>,</w:t>
      </w:r>
      <w:r>
        <w:rPr>
          <w:rFonts w:cs="Arial"/>
          <w:rtl/>
        </w:rPr>
        <w:t xml:space="preserve"> דאילו בסמוכין </w:t>
      </w:r>
      <w:r>
        <w:rPr>
          <w:rFonts w:cs="Arial" w:hint="cs"/>
          <w:rtl/>
        </w:rPr>
        <w:t xml:space="preserve">- </w:t>
      </w:r>
      <w:r>
        <w:rPr>
          <w:rFonts w:cs="Arial"/>
          <w:rtl/>
        </w:rPr>
        <w:t>חייבת</w:t>
      </w:r>
      <w:r>
        <w:rPr>
          <w:rFonts w:cs="Arial" w:hint="cs"/>
          <w:rtl/>
        </w:rPr>
        <w:t>,</w:t>
      </w:r>
      <w:r>
        <w:rPr>
          <w:rFonts w:cs="Arial"/>
          <w:rtl/>
        </w:rPr>
        <w:t xml:space="preserve"> מדאמרינן לעיל בגמרא (סא.) קמי אורחי ופרחי מאן טרח</w:t>
      </w:r>
      <w:r>
        <w:rPr>
          <w:rFonts w:cs="Arial" w:hint="cs"/>
          <w:rtl/>
        </w:rPr>
        <w:t>,</w:t>
      </w:r>
      <w:r>
        <w:rPr>
          <w:rFonts w:cs="Arial"/>
          <w:rtl/>
        </w:rPr>
        <w:t xml:space="preserve"> דמשמע שהיא חייבת לטרוח לפני כל בני הבית הסמוכים עליו</w:t>
      </w:r>
      <w:r>
        <w:rPr>
          <w:rFonts w:hint="cs"/>
          <w:rtl/>
        </w:rPr>
        <w:t xml:space="preserve">. </w:t>
      </w:r>
      <w:r w:rsidRPr="00672512">
        <w:rPr>
          <w:rFonts w:hint="cs"/>
          <w:color w:val="00B0F0"/>
          <w:rtl/>
        </w:rPr>
        <w:t>(וכ"</w:t>
      </w:r>
      <w:r>
        <w:rPr>
          <w:rFonts w:hint="cs"/>
          <w:color w:val="00B0F0"/>
          <w:rtl/>
        </w:rPr>
        <w:t>כ</w:t>
      </w:r>
      <w:r w:rsidRPr="00672512">
        <w:rPr>
          <w:rFonts w:hint="cs"/>
          <w:color w:val="00B0F0"/>
          <w:rtl/>
        </w:rPr>
        <w:t xml:space="preserve"> הרמ"א)</w:t>
      </w:r>
    </w:p>
    <w:p w14:paraId="218A5B49" w14:textId="77777777" w:rsidR="004900BE" w:rsidRDefault="004900BE" w:rsidP="004900BE">
      <w:pPr>
        <w:rPr>
          <w:rFonts w:cs="Arial"/>
          <w:rtl/>
        </w:rPr>
      </w:pPr>
      <w:r w:rsidRPr="003024E5">
        <w:rPr>
          <w:rFonts w:asciiTheme="minorBidi" w:hAnsiTheme="minorBidi"/>
          <w:b/>
          <w:bCs/>
          <w:color w:val="000000"/>
          <w:sz w:val="28"/>
          <w:szCs w:val="28"/>
          <w:u w:val="single"/>
          <w:rtl/>
        </w:rPr>
        <w:t>שו"ע:</w:t>
      </w:r>
    </w:p>
    <w:p w14:paraId="4B7D4D84" w14:textId="7FC27B0F" w:rsidR="004D0526" w:rsidRDefault="000D2069" w:rsidP="000D2069">
      <w:pPr>
        <w:rPr>
          <w:rFonts w:cs="Arial"/>
          <w:rtl/>
        </w:rPr>
      </w:pPr>
      <w:r>
        <w:rPr>
          <w:rFonts w:cs="Arial"/>
          <w:rtl/>
        </w:rPr>
        <w:t>וכן</w:t>
      </w:r>
      <w:r w:rsidR="00672512">
        <w:rPr>
          <w:rStyle w:val="a7"/>
          <w:rFonts w:cs="Arial"/>
          <w:rtl/>
        </w:rPr>
        <w:footnoteReference w:id="699"/>
      </w:r>
      <w:r>
        <w:rPr>
          <w:rFonts w:cs="Arial"/>
          <w:rtl/>
        </w:rPr>
        <w:t xml:space="preserve"> כל אשה רוחצת לבעלה פניו ידיו ורגליו</w:t>
      </w:r>
      <w:r w:rsidR="00D53FCC">
        <w:rPr>
          <w:rFonts w:cs="Arial" w:hint="cs"/>
          <w:rtl/>
        </w:rPr>
        <w:t>.</w:t>
      </w:r>
      <w:r>
        <w:rPr>
          <w:rFonts w:cs="Arial"/>
          <w:rtl/>
        </w:rPr>
        <w:t xml:space="preserve"> ומוזגת לו את הכוס</w:t>
      </w:r>
      <w:r w:rsidR="00D53FCC">
        <w:rPr>
          <w:rFonts w:cs="Arial" w:hint="cs"/>
          <w:rtl/>
        </w:rPr>
        <w:t>.</w:t>
      </w:r>
      <w:r>
        <w:rPr>
          <w:rFonts w:cs="Arial"/>
          <w:rtl/>
        </w:rPr>
        <w:t xml:space="preserve"> ומצעת לו את המטה</w:t>
      </w:r>
      <w:r w:rsidR="00D53FCC">
        <w:rPr>
          <w:rFonts w:cs="Arial" w:hint="cs"/>
          <w:rtl/>
        </w:rPr>
        <w:t>.</w:t>
      </w:r>
      <w:r>
        <w:rPr>
          <w:rFonts w:cs="Arial"/>
          <w:rtl/>
        </w:rPr>
        <w:t xml:space="preserve"> </w:t>
      </w:r>
      <w:r w:rsidR="00A9300B">
        <w:rPr>
          <w:rFonts w:cs="Arial" w:hint="cs"/>
          <w:sz w:val="18"/>
          <w:szCs w:val="18"/>
          <w:rtl/>
        </w:rPr>
        <w:t xml:space="preserve">[הגה] </w:t>
      </w:r>
      <w:r w:rsidRPr="004D0526">
        <w:rPr>
          <w:rFonts w:cs="Arial"/>
          <w:sz w:val="18"/>
          <w:szCs w:val="18"/>
          <w:rtl/>
        </w:rPr>
        <w:t>וי"א דמחוייבת להציע כל מטות הבית</w:t>
      </w:r>
      <w:r w:rsidR="00C8566E" w:rsidRPr="00C8566E">
        <w:rPr>
          <w:rStyle w:val="a7"/>
          <w:rFonts w:cs="Arial"/>
          <w:sz w:val="18"/>
          <w:szCs w:val="18"/>
          <w:rtl/>
        </w:rPr>
        <w:footnoteReference w:id="700"/>
      </w:r>
      <w:r w:rsidRPr="004D0526">
        <w:rPr>
          <w:rFonts w:cs="Arial"/>
          <w:sz w:val="18"/>
          <w:szCs w:val="18"/>
          <w:rtl/>
        </w:rPr>
        <w:t xml:space="preserve"> (ה</w:t>
      </w:r>
      <w:r w:rsidR="00C8566E">
        <w:rPr>
          <w:rFonts w:cs="Arial" w:hint="cs"/>
          <w:sz w:val="18"/>
          <w:szCs w:val="18"/>
          <w:rtl/>
        </w:rPr>
        <w:t>ה</w:t>
      </w:r>
      <w:r w:rsidRPr="004D0526">
        <w:rPr>
          <w:rFonts w:cs="Arial"/>
          <w:sz w:val="18"/>
          <w:szCs w:val="18"/>
          <w:rtl/>
        </w:rPr>
        <w:t>"מ ור"ן)</w:t>
      </w:r>
      <w:r w:rsidR="00D53FCC">
        <w:rPr>
          <w:rFonts w:cs="Arial" w:hint="cs"/>
          <w:rtl/>
        </w:rPr>
        <w:t>.</w:t>
      </w:r>
      <w:r>
        <w:rPr>
          <w:rFonts w:cs="Arial"/>
          <w:rtl/>
        </w:rPr>
        <w:t xml:space="preserve"> ועומדת ומשמשת בפני בעלה, כגון שתתן לו מים או כלי או שתטול מלפניו, וכיוצא בדברים אלו</w:t>
      </w:r>
      <w:r w:rsidR="00D53FCC">
        <w:rPr>
          <w:rFonts w:cs="Arial" w:hint="cs"/>
          <w:rtl/>
        </w:rPr>
        <w:t>.</w:t>
      </w:r>
      <w:r>
        <w:rPr>
          <w:rFonts w:cs="Arial"/>
          <w:rtl/>
        </w:rPr>
        <w:t xml:space="preserve"> אבל אינה עומדת ומשמשת בפני אביו או בפני בנו</w:t>
      </w:r>
      <w:r w:rsidR="00A9300B">
        <w:rPr>
          <w:rFonts w:cs="Arial" w:hint="cs"/>
          <w:rtl/>
        </w:rPr>
        <w:t>.</w:t>
      </w:r>
      <w:r>
        <w:rPr>
          <w:rFonts w:cs="Arial"/>
          <w:rtl/>
        </w:rPr>
        <w:t xml:space="preserve"> </w:t>
      </w:r>
      <w:r w:rsidR="00A9300B">
        <w:rPr>
          <w:rFonts w:cs="Arial" w:hint="cs"/>
          <w:sz w:val="18"/>
          <w:szCs w:val="18"/>
          <w:rtl/>
        </w:rPr>
        <w:t xml:space="preserve">[הגה] </w:t>
      </w:r>
      <w:r w:rsidRPr="004D0526">
        <w:rPr>
          <w:rFonts w:cs="Arial"/>
          <w:sz w:val="18"/>
          <w:szCs w:val="18"/>
          <w:rtl/>
        </w:rPr>
        <w:t>וי"א דוקא באינן סמוכין על שלחן בעלה</w:t>
      </w:r>
      <w:r w:rsidR="00F147B9">
        <w:rPr>
          <w:rStyle w:val="a7"/>
          <w:rFonts w:cs="Arial"/>
          <w:sz w:val="18"/>
          <w:szCs w:val="18"/>
          <w:rtl/>
        </w:rPr>
        <w:footnoteReference w:id="701"/>
      </w:r>
      <w:r w:rsidRPr="004D0526">
        <w:rPr>
          <w:rFonts w:cs="Arial"/>
          <w:sz w:val="18"/>
          <w:szCs w:val="18"/>
          <w:rtl/>
        </w:rPr>
        <w:t xml:space="preserve"> (ר"ן).</w:t>
      </w:r>
    </w:p>
    <w:p w14:paraId="1C444508" w14:textId="7EFD6A14" w:rsidR="000D2069" w:rsidRDefault="000D2069" w:rsidP="000D2069">
      <w:pPr>
        <w:rPr>
          <w:rtl/>
        </w:rPr>
      </w:pPr>
    </w:p>
    <w:p w14:paraId="02191488" w14:textId="36FBAB72" w:rsidR="000D2069" w:rsidRDefault="000D2069" w:rsidP="000F64D0">
      <w:pPr>
        <w:pStyle w:val="2"/>
        <w:rPr>
          <w:rtl/>
        </w:rPr>
      </w:pPr>
      <w:r>
        <w:rPr>
          <w:rtl/>
        </w:rPr>
        <w:t>סעיף ה</w:t>
      </w:r>
      <w:r w:rsidR="004D4BB6">
        <w:rPr>
          <w:rFonts w:hint="cs"/>
          <w:rtl/>
        </w:rPr>
        <w:t>:</w:t>
      </w:r>
      <w:r w:rsidR="003C0668">
        <w:rPr>
          <w:rFonts w:hint="cs"/>
          <w:rtl/>
        </w:rPr>
        <w:t xml:space="preserve"> </w:t>
      </w:r>
      <w:r w:rsidR="00BF69BA">
        <w:rPr>
          <w:rFonts w:hint="cs"/>
          <w:rtl/>
        </w:rPr>
        <w:t>ה</w:t>
      </w:r>
      <w:r w:rsidR="003C0668">
        <w:rPr>
          <w:rFonts w:hint="cs"/>
          <w:rtl/>
        </w:rPr>
        <w:t xml:space="preserve">מלאכות </w:t>
      </w:r>
      <w:r w:rsidR="00BF69BA">
        <w:rPr>
          <w:rFonts w:hint="cs"/>
          <w:rtl/>
        </w:rPr>
        <w:t xml:space="preserve">הנ"ל </w:t>
      </w:r>
      <w:r w:rsidR="001D1949">
        <w:rPr>
          <w:rFonts w:hint="cs"/>
          <w:rtl/>
        </w:rPr>
        <w:t xml:space="preserve">באשה </w:t>
      </w:r>
      <w:r w:rsidR="003C0668">
        <w:rPr>
          <w:rFonts w:hint="cs"/>
          <w:rtl/>
        </w:rPr>
        <w:t>שיש לה שפחות.</w:t>
      </w:r>
    </w:p>
    <w:p w14:paraId="01732CE1" w14:textId="04FF7FAA" w:rsidR="004D4BB6" w:rsidRDefault="009C4A6E" w:rsidP="00C04A10">
      <w:pPr>
        <w:rPr>
          <w:rtl/>
        </w:rPr>
      </w:pPr>
      <w:r w:rsidRPr="00AB0AB9">
        <w:rPr>
          <w:rFonts w:cs="Arial" w:hint="cs"/>
          <w:b/>
          <w:bCs/>
          <w:rtl/>
        </w:rPr>
        <w:t>כתובות</w:t>
      </w:r>
      <w:r>
        <w:rPr>
          <w:rFonts w:cs="Arial" w:hint="cs"/>
          <w:b/>
          <w:bCs/>
          <w:rtl/>
        </w:rPr>
        <w:t xml:space="preserve"> </w:t>
      </w:r>
      <w:r>
        <w:rPr>
          <w:rFonts w:cs="Arial" w:hint="cs"/>
          <w:b/>
          <w:bCs/>
          <w:sz w:val="16"/>
          <w:szCs w:val="16"/>
          <w:rtl/>
        </w:rPr>
        <w:t>(פ' אף על פי)</w:t>
      </w:r>
      <w:r w:rsidRPr="00AB0AB9">
        <w:rPr>
          <w:rFonts w:cs="Arial" w:hint="cs"/>
          <w:b/>
          <w:bCs/>
          <w:rtl/>
        </w:rPr>
        <w:t xml:space="preserve"> </w:t>
      </w:r>
      <w:r>
        <w:rPr>
          <w:rFonts w:cs="Arial" w:hint="cs"/>
          <w:b/>
          <w:bCs/>
          <w:rtl/>
        </w:rPr>
        <w:t>נט</w:t>
      </w:r>
      <w:r w:rsidRPr="00AB0AB9">
        <w:rPr>
          <w:rFonts w:cs="Arial" w:hint="cs"/>
          <w:b/>
          <w:bCs/>
          <w:rtl/>
        </w:rPr>
        <w:t xml:space="preserve"> ע"ב: </w:t>
      </w:r>
      <w:r w:rsidRPr="00390A65">
        <w:rPr>
          <w:rFonts w:cs="Arial"/>
          <w:u w:val="double"/>
          <w:rtl/>
        </w:rPr>
        <w:t>מתני'</w:t>
      </w:r>
      <w:r>
        <w:rPr>
          <w:rFonts w:cs="Arial" w:hint="cs"/>
          <w:rtl/>
        </w:rPr>
        <w:t>:</w:t>
      </w:r>
      <w:r>
        <w:rPr>
          <w:rFonts w:cs="Arial"/>
          <w:rtl/>
        </w:rPr>
        <w:t xml:space="preserve"> ואלו מלאכות שהאשה עושה לבעלה</w:t>
      </w:r>
      <w:r w:rsidR="00737A01">
        <w:rPr>
          <w:rFonts w:cs="Arial" w:hint="cs"/>
          <w:rtl/>
        </w:rPr>
        <w:t>:</w:t>
      </w:r>
      <w:r w:rsidR="00737A01" w:rsidRPr="00737A01">
        <w:rPr>
          <w:rFonts w:cs="Arial"/>
          <w:rtl/>
        </w:rPr>
        <w:t xml:space="preserve"> </w:t>
      </w:r>
      <w:r w:rsidR="00737A01">
        <w:rPr>
          <w:rFonts w:cs="Arial"/>
          <w:rtl/>
        </w:rPr>
        <w:t>טוחנת, ואופה, ומכבסת, מבשלת, ומניקה את בנה, מצעת לו המטה, ועושה בצמר</w:t>
      </w:r>
      <w:r>
        <w:rPr>
          <w:rFonts w:cs="Arial" w:hint="cs"/>
          <w:rtl/>
        </w:rPr>
        <w:t>.</w:t>
      </w:r>
      <w:r w:rsidRPr="00B35BDB">
        <w:rPr>
          <w:rtl/>
        </w:rPr>
        <w:t xml:space="preserve"> </w:t>
      </w:r>
      <w:r w:rsidRPr="00B35BDB">
        <w:rPr>
          <w:rFonts w:cs="Arial"/>
          <w:rtl/>
        </w:rPr>
        <w:t>הכניסה לו שפחה אחת - לא טוחנת ולא אופה ולא מכבסת</w:t>
      </w:r>
      <w:r>
        <w:rPr>
          <w:rFonts w:cs="Arial" w:hint="cs"/>
          <w:rtl/>
        </w:rPr>
        <w:t>.</w:t>
      </w:r>
      <w:r w:rsidRPr="00B35BDB">
        <w:rPr>
          <w:rFonts w:cs="Arial"/>
          <w:rtl/>
        </w:rPr>
        <w:t xml:space="preserve"> שתים - אין מבשלת ואין מניקה את בנה</w:t>
      </w:r>
      <w:r>
        <w:rPr>
          <w:rFonts w:cs="Arial" w:hint="cs"/>
          <w:rtl/>
        </w:rPr>
        <w:t>.</w:t>
      </w:r>
      <w:r w:rsidRPr="00B35BDB">
        <w:rPr>
          <w:rFonts w:cs="Arial"/>
          <w:rtl/>
        </w:rPr>
        <w:t xml:space="preserve"> שלש - אין מצעת לו המטה ואין עושה בצמר</w:t>
      </w:r>
      <w:r>
        <w:rPr>
          <w:rFonts w:cs="Arial" w:hint="cs"/>
          <w:rtl/>
        </w:rPr>
        <w:t>.</w:t>
      </w:r>
      <w:r w:rsidRPr="00B35BDB">
        <w:rPr>
          <w:rFonts w:cs="Arial"/>
          <w:rtl/>
        </w:rPr>
        <w:t xml:space="preserve"> ארבע - יושבת בקתדרא</w:t>
      </w:r>
      <w:r>
        <w:rPr>
          <w:rFonts w:cs="Arial" w:hint="cs"/>
          <w:rtl/>
        </w:rPr>
        <w:t>.</w:t>
      </w:r>
      <w:r w:rsidRPr="00B35BDB">
        <w:rPr>
          <w:rFonts w:cs="Arial"/>
          <w:rtl/>
        </w:rPr>
        <w:t xml:space="preserve"> </w:t>
      </w:r>
      <w:r w:rsidRPr="00B35BDB">
        <w:rPr>
          <w:rFonts w:cs="Arial"/>
          <w:u w:val="single"/>
          <w:rtl/>
        </w:rPr>
        <w:t>רבי אליעזר אומר</w:t>
      </w:r>
      <w:r w:rsidRPr="00B35BDB">
        <w:rPr>
          <w:rFonts w:cs="Arial"/>
          <w:rtl/>
        </w:rPr>
        <w:t>: אפי' הכניסה לו מאה שפחות - כופה לעשות בצמר, שהבטלה מביאה לידי זימה</w:t>
      </w:r>
      <w:r w:rsidR="0004676C">
        <w:rPr>
          <w:rFonts w:cs="Arial" w:hint="cs"/>
          <w:rtl/>
        </w:rPr>
        <w:t>..</w:t>
      </w:r>
      <w:r w:rsidRPr="00B35BDB">
        <w:rPr>
          <w:rFonts w:cs="Arial"/>
          <w:rtl/>
        </w:rPr>
        <w:t>.</w:t>
      </w:r>
      <w:r w:rsidR="00C04A10">
        <w:rPr>
          <w:rFonts w:cs="Arial" w:hint="cs"/>
          <w:rtl/>
        </w:rPr>
        <w:t xml:space="preserve">       </w:t>
      </w:r>
      <w:r w:rsidR="00C04A10" w:rsidRPr="00C04A10">
        <w:rPr>
          <w:rFonts w:cs="Arial" w:hint="cs"/>
          <w:u w:val="double"/>
          <w:rtl/>
        </w:rPr>
        <w:t>גמ'</w:t>
      </w:r>
      <w:r w:rsidR="00C04A10" w:rsidRPr="00C04A10">
        <w:rPr>
          <w:rFonts w:cs="Arial" w:hint="cs"/>
          <w:sz w:val="14"/>
          <w:szCs w:val="14"/>
          <w:u w:val="double"/>
          <w:rtl/>
        </w:rPr>
        <w:t>(סא.)</w:t>
      </w:r>
      <w:r w:rsidR="00C04A10" w:rsidRPr="00C04A10">
        <w:rPr>
          <w:rFonts w:cs="Arial" w:hint="cs"/>
          <w:u w:val="double"/>
          <w:rtl/>
        </w:rPr>
        <w:t>:</w:t>
      </w:r>
      <w:r w:rsidR="00C04A10">
        <w:rPr>
          <w:rFonts w:cs="Arial" w:hint="cs"/>
          <w:rtl/>
        </w:rPr>
        <w:t xml:space="preserve"> </w:t>
      </w:r>
      <w:r w:rsidR="0038747A" w:rsidRPr="0038747A">
        <w:rPr>
          <w:rFonts w:cs="Arial"/>
          <w:rtl/>
        </w:rPr>
        <w:t xml:space="preserve">ארבע - יושבת בקתדרא. </w:t>
      </w:r>
      <w:r w:rsidR="0038747A" w:rsidRPr="009C4A6E">
        <w:rPr>
          <w:rFonts w:cs="Arial"/>
          <w:u w:val="single"/>
          <w:rtl/>
        </w:rPr>
        <w:t>אמר רב יצחק בר חנניא אמר רב הונא</w:t>
      </w:r>
      <w:r w:rsidR="0038747A" w:rsidRPr="0038747A">
        <w:rPr>
          <w:rFonts w:cs="Arial"/>
          <w:rtl/>
        </w:rPr>
        <w:t>: אף על פי שאמרו יושבת בקתדרא, אבל מוזגת לו כוס, ומצעת לו את המטה, ומרחצת לו פניו ידיו ורגליו.</w:t>
      </w:r>
    </w:p>
    <w:p w14:paraId="17B4D4D8" w14:textId="77777777" w:rsidR="00646B86" w:rsidRPr="00273A55" w:rsidRDefault="00646B86" w:rsidP="00646B86">
      <w:pPr>
        <w:rPr>
          <w:sz w:val="16"/>
          <w:szCs w:val="16"/>
          <w:rtl/>
        </w:rPr>
      </w:pPr>
      <w:r w:rsidRPr="001901C7">
        <w:rPr>
          <w:rFonts w:cs="Arial" w:hint="cs"/>
          <w:b/>
          <w:bCs/>
          <w:rtl/>
        </w:rPr>
        <w:t>ירושלמי כתובות פ"ה ה"ו:</w:t>
      </w:r>
      <w:r>
        <w:rPr>
          <w:rFonts w:cs="Arial" w:hint="cs"/>
          <w:rtl/>
        </w:rPr>
        <w:t xml:space="preserve"> </w:t>
      </w:r>
      <w:r w:rsidRPr="00604FDD">
        <w:rPr>
          <w:rFonts w:cs="Arial"/>
          <w:u w:val="single"/>
          <w:rtl/>
        </w:rPr>
        <w:t>רב הונא אמר</w:t>
      </w:r>
      <w:r>
        <w:rPr>
          <w:rFonts w:cs="Arial" w:hint="cs"/>
          <w:rtl/>
        </w:rPr>
        <w:t>:</w:t>
      </w:r>
      <w:r w:rsidRPr="003B333A">
        <w:rPr>
          <w:rFonts w:cs="Arial"/>
          <w:rtl/>
        </w:rPr>
        <w:t xml:space="preserve"> אפילו הכניסה לו מאה שפחות כופה לעשות לו דברים של יחיד מהו דברים של יחיד סכת לו את גופו ומרחצת לו את רגליו ומוזגת לו את הכוס</w:t>
      </w:r>
      <w:r>
        <w:rPr>
          <w:rFonts w:hint="cs"/>
          <w:rtl/>
        </w:rPr>
        <w:t xml:space="preserve">. </w:t>
      </w:r>
    </w:p>
    <w:p w14:paraId="0F560F34" w14:textId="2D2A284F" w:rsidR="00646B86" w:rsidRPr="0004676C" w:rsidRDefault="00646B86" w:rsidP="00646B86">
      <w:pPr>
        <w:rPr>
          <w:rtl/>
        </w:rPr>
      </w:pPr>
      <w:r w:rsidRPr="0004676C">
        <w:rPr>
          <w:rFonts w:hint="cs"/>
          <w:u w:val="single"/>
          <w:rtl/>
        </w:rPr>
        <w:t>קשה</w:t>
      </w:r>
      <w:r w:rsidR="00C20E03">
        <w:rPr>
          <w:rFonts w:hint="cs"/>
          <w:u w:val="single"/>
          <w:rtl/>
        </w:rPr>
        <w:t xml:space="preserve"> על דברי רב הונא</w:t>
      </w:r>
      <w:r w:rsidR="00C20E03">
        <w:rPr>
          <w:rFonts w:hint="cs"/>
          <w:sz w:val="16"/>
          <w:szCs w:val="16"/>
          <w:u w:val="single"/>
          <w:rtl/>
        </w:rPr>
        <w:t xml:space="preserve"> (בבבלי ובירושלמי)</w:t>
      </w:r>
      <w:r w:rsidRPr="0004676C">
        <w:rPr>
          <w:rFonts w:hint="cs"/>
          <w:u w:val="single"/>
          <w:rtl/>
        </w:rPr>
        <w:t>, דהרי כתוב במשנה שאם הכניסה לו שלש שפחות אינה מצעת לו את המטה:</w:t>
      </w:r>
    </w:p>
    <w:p w14:paraId="73920239" w14:textId="7BB3B7FF" w:rsidR="00646B86" w:rsidRPr="0004676C" w:rsidRDefault="00646B86" w:rsidP="009000E3">
      <w:pPr>
        <w:pStyle w:val="ab"/>
        <w:numPr>
          <w:ilvl w:val="0"/>
          <w:numId w:val="39"/>
        </w:numPr>
      </w:pPr>
      <w:r w:rsidRPr="0004676C">
        <w:rPr>
          <w:rtl/>
        </w:rPr>
        <w:lastRenderedPageBreak/>
        <w:t xml:space="preserve">רש"י </w:t>
      </w:r>
      <w:r w:rsidRPr="0004676C">
        <w:rPr>
          <w:rFonts w:hint="cs"/>
          <w:sz w:val="16"/>
          <w:szCs w:val="16"/>
          <w:rtl/>
        </w:rPr>
        <w:t xml:space="preserve">(סא. ד"ה </w:t>
      </w:r>
      <w:r w:rsidRPr="0004676C">
        <w:rPr>
          <w:sz w:val="16"/>
          <w:szCs w:val="16"/>
          <w:rtl/>
        </w:rPr>
        <w:t>אבל מוזגת לו כוס ומצעת לו מטה</w:t>
      </w:r>
      <w:r w:rsidRPr="0004676C">
        <w:rPr>
          <w:rFonts w:hint="cs"/>
          <w:sz w:val="16"/>
          <w:szCs w:val="16"/>
          <w:rtl/>
        </w:rPr>
        <w:t>)</w:t>
      </w:r>
      <w:r>
        <w:rPr>
          <w:rFonts w:hint="cs"/>
          <w:rtl/>
        </w:rPr>
        <w:t xml:space="preserve"> וטור</w:t>
      </w:r>
      <w:r>
        <w:rPr>
          <w:rStyle w:val="a7"/>
          <w:rFonts w:cs="Arial"/>
          <w:rtl/>
        </w:rPr>
        <w:footnoteReference w:id="702"/>
      </w:r>
      <w:r w:rsidRPr="0004676C">
        <w:rPr>
          <w:rFonts w:hint="cs"/>
          <w:rtl/>
        </w:rPr>
        <w:t xml:space="preserve">- </w:t>
      </w:r>
      <w:r w:rsidRPr="0004676C">
        <w:rPr>
          <w:rFonts w:hint="cs"/>
          <w:sz w:val="16"/>
          <w:szCs w:val="16"/>
          <w:rtl/>
        </w:rPr>
        <w:t xml:space="preserve">{רב הונא אמר שצריכה-} </w:t>
      </w:r>
      <w:r w:rsidRPr="0004676C">
        <w:rPr>
          <w:rtl/>
        </w:rPr>
        <w:t>לפרוס סדין ולבדין</w:t>
      </w:r>
      <w:r w:rsidRPr="0004676C">
        <w:rPr>
          <w:rFonts w:hint="cs"/>
          <w:rtl/>
        </w:rPr>
        <w:t>,</w:t>
      </w:r>
      <w:r w:rsidRPr="0004676C">
        <w:rPr>
          <w:rtl/>
        </w:rPr>
        <w:t xml:space="preserve"> דבר שאינו של טורח</w:t>
      </w:r>
      <w:r w:rsidRPr="0004676C">
        <w:rPr>
          <w:rFonts w:hint="cs"/>
          <w:rtl/>
        </w:rPr>
        <w:t>,</w:t>
      </w:r>
      <w:r w:rsidRPr="0004676C">
        <w:rPr>
          <w:rtl/>
        </w:rPr>
        <w:t xml:space="preserve"> ומשום דמילי דחיבה נינהו כדי שתתחבב עליו</w:t>
      </w:r>
      <w:r w:rsidRPr="0004676C">
        <w:rPr>
          <w:rFonts w:hint="cs"/>
          <w:rtl/>
        </w:rPr>
        <w:t>.</w:t>
      </w:r>
      <w:r w:rsidRPr="0004676C">
        <w:rPr>
          <w:rtl/>
        </w:rPr>
        <w:t xml:space="preserve"> ולא דמי למצעת דמתניתין דהוי דבר של טורח ובכפיה</w:t>
      </w:r>
      <w:r w:rsidRPr="0004676C">
        <w:rPr>
          <w:rFonts w:hint="cs"/>
          <w:rtl/>
        </w:rPr>
        <w:t>,</w:t>
      </w:r>
      <w:r w:rsidRPr="0004676C">
        <w:rPr>
          <w:rtl/>
        </w:rPr>
        <w:t xml:space="preserve"> הני לא כפי לה אלא חכמים השיאוה עצה טובה להנהיג זאת בישראל</w:t>
      </w:r>
      <w:r>
        <w:rPr>
          <w:rStyle w:val="a7"/>
          <w:rFonts w:cs="Arial"/>
          <w:rtl/>
        </w:rPr>
        <w:footnoteReference w:id="703"/>
      </w:r>
      <w:r w:rsidR="00B8779C">
        <w:rPr>
          <w:rFonts w:hint="cs"/>
          <w:sz w:val="16"/>
          <w:szCs w:val="16"/>
          <w:rtl/>
        </w:rPr>
        <w:t xml:space="preserve"> (ל' רש"י)</w:t>
      </w:r>
      <w:r w:rsidRPr="0004676C">
        <w:rPr>
          <w:rFonts w:cs="Arial"/>
          <w:rtl/>
        </w:rPr>
        <w:t xml:space="preserve">. </w:t>
      </w:r>
    </w:p>
    <w:p w14:paraId="436C37B9" w14:textId="2B2E396D" w:rsidR="00646B86" w:rsidRDefault="00646B86" w:rsidP="009000E3">
      <w:pPr>
        <w:pStyle w:val="ab"/>
        <w:numPr>
          <w:ilvl w:val="0"/>
          <w:numId w:val="39"/>
        </w:numPr>
      </w:pPr>
      <w:r>
        <w:rPr>
          <w:rFonts w:cs="Arial" w:hint="cs"/>
          <w:rtl/>
        </w:rPr>
        <w:t xml:space="preserve">ר"ת </w:t>
      </w:r>
      <w:r>
        <w:rPr>
          <w:rFonts w:cs="Arial" w:hint="cs"/>
          <w:sz w:val="16"/>
          <w:szCs w:val="16"/>
          <w:rtl/>
        </w:rPr>
        <w:t>(כ"כ המרדכי בשמו [סי' קפב])</w:t>
      </w:r>
      <w:r>
        <w:rPr>
          <w:rFonts w:cs="Arial" w:hint="cs"/>
          <w:rtl/>
        </w:rPr>
        <w:t xml:space="preserve"> מרדכי </w:t>
      </w:r>
      <w:r>
        <w:rPr>
          <w:rFonts w:cs="Arial" w:hint="cs"/>
          <w:sz w:val="16"/>
          <w:szCs w:val="16"/>
          <w:rtl/>
        </w:rPr>
        <w:t xml:space="preserve">(סי' קפב) </w:t>
      </w:r>
      <w:r>
        <w:rPr>
          <w:rFonts w:cs="Arial" w:hint="cs"/>
          <w:rtl/>
        </w:rPr>
        <w:t>ויש אומרים</w:t>
      </w:r>
      <w:r w:rsidRPr="0004676C">
        <w:rPr>
          <w:rFonts w:cs="Arial"/>
          <w:rtl/>
        </w:rPr>
        <w:t xml:space="preserve"> </w:t>
      </w:r>
      <w:r>
        <w:rPr>
          <w:rFonts w:cs="Arial" w:hint="cs"/>
          <w:sz w:val="16"/>
          <w:szCs w:val="16"/>
          <w:rtl/>
        </w:rPr>
        <w:t>(כ"כ בשמם הה"מ [פכ"א ה"ה] והר"ן [כה.])</w:t>
      </w:r>
      <w:r w:rsidR="00703D9B">
        <w:rPr>
          <w:rStyle w:val="a7"/>
          <w:rFonts w:cs="Arial"/>
          <w:rtl/>
        </w:rPr>
        <w:footnoteReference w:id="704"/>
      </w:r>
      <w:r>
        <w:rPr>
          <w:rFonts w:cs="Arial" w:hint="cs"/>
          <w:rtl/>
        </w:rPr>
        <w:t xml:space="preserve">- </w:t>
      </w:r>
      <w:r w:rsidRPr="0004676C">
        <w:rPr>
          <w:rFonts w:cs="Arial"/>
          <w:rtl/>
        </w:rPr>
        <w:t>מתניתין להציע המטות כולן</w:t>
      </w:r>
      <w:r>
        <w:rPr>
          <w:rFonts w:cs="Arial" w:hint="cs"/>
          <w:rtl/>
        </w:rPr>
        <w:t>,</w:t>
      </w:r>
      <w:r w:rsidRPr="0004676C">
        <w:rPr>
          <w:rFonts w:cs="Arial"/>
          <w:rtl/>
        </w:rPr>
        <w:t xml:space="preserve"> אבל הכא להציע מטתו בלבד</w:t>
      </w:r>
      <w:r>
        <w:rPr>
          <w:rFonts w:cs="Arial" w:hint="cs"/>
          <w:rtl/>
        </w:rPr>
        <w:t>.</w:t>
      </w:r>
      <w:r w:rsidRPr="0004676C">
        <w:rPr>
          <w:rFonts w:cs="Arial"/>
          <w:rtl/>
        </w:rPr>
        <w:t xml:space="preserve"> ובמתניתין לא גרסינן </w:t>
      </w:r>
      <w:r>
        <w:rPr>
          <w:rFonts w:cs="Arial" w:hint="cs"/>
          <w:rtl/>
        </w:rPr>
        <w:t>'</w:t>
      </w:r>
      <w:r w:rsidRPr="0004676C">
        <w:rPr>
          <w:rFonts w:cs="Arial"/>
          <w:rtl/>
        </w:rPr>
        <w:t>ומצעת לו</w:t>
      </w:r>
      <w:r>
        <w:rPr>
          <w:rFonts w:cs="Arial" w:hint="cs"/>
          <w:rtl/>
        </w:rPr>
        <w:t>'</w:t>
      </w:r>
      <w:r w:rsidRPr="0004676C">
        <w:rPr>
          <w:rFonts w:cs="Arial"/>
          <w:rtl/>
        </w:rPr>
        <w:t xml:space="preserve"> אלא </w:t>
      </w:r>
      <w:r>
        <w:rPr>
          <w:rFonts w:cs="Arial" w:hint="cs"/>
          <w:rtl/>
        </w:rPr>
        <w:t>'</w:t>
      </w:r>
      <w:r w:rsidRPr="0004676C">
        <w:rPr>
          <w:rFonts w:cs="Arial"/>
          <w:rtl/>
        </w:rPr>
        <w:t>ומצעת את המטה</w:t>
      </w:r>
      <w:r>
        <w:rPr>
          <w:rFonts w:cs="Arial" w:hint="cs"/>
          <w:rtl/>
        </w:rPr>
        <w:t>'</w:t>
      </w:r>
      <w:r w:rsidRPr="0004676C">
        <w:rPr>
          <w:rFonts w:cs="Arial"/>
          <w:rtl/>
        </w:rPr>
        <w:t xml:space="preserve"> והכא גרסינן </w:t>
      </w:r>
      <w:r>
        <w:rPr>
          <w:rFonts w:cs="Arial" w:hint="cs"/>
          <w:rtl/>
        </w:rPr>
        <w:t>'</w:t>
      </w:r>
      <w:r w:rsidRPr="0004676C">
        <w:rPr>
          <w:rFonts w:cs="Arial"/>
          <w:rtl/>
        </w:rPr>
        <w:t>ומצעת לו</w:t>
      </w:r>
      <w:r>
        <w:rPr>
          <w:rFonts w:cs="Arial" w:hint="cs"/>
          <w:rtl/>
        </w:rPr>
        <w:t>'</w:t>
      </w:r>
      <w:r w:rsidRPr="0004676C">
        <w:rPr>
          <w:rFonts w:cs="Arial"/>
          <w:rtl/>
        </w:rPr>
        <w:t xml:space="preserve"> בלבד</w:t>
      </w:r>
      <w:r>
        <w:rPr>
          <w:rFonts w:cs="Arial" w:hint="cs"/>
          <w:sz w:val="16"/>
          <w:szCs w:val="16"/>
          <w:rtl/>
        </w:rPr>
        <w:t xml:space="preserve"> (ל' הר"ן בשמם)</w:t>
      </w:r>
      <w:r w:rsidRPr="0004676C">
        <w:rPr>
          <w:rFonts w:cs="Arial" w:hint="cs"/>
          <w:rtl/>
        </w:rPr>
        <w:t>.</w:t>
      </w:r>
      <w:r w:rsidRPr="0004676C">
        <w:rPr>
          <w:rFonts w:cs="Arial"/>
          <w:rtl/>
        </w:rPr>
        <w:t xml:space="preserve"> </w:t>
      </w:r>
    </w:p>
    <w:p w14:paraId="078F18BE" w14:textId="45C32952" w:rsidR="00646B86" w:rsidRPr="00646B86" w:rsidRDefault="00646B86" w:rsidP="009000E3">
      <w:pPr>
        <w:pStyle w:val="ab"/>
        <w:numPr>
          <w:ilvl w:val="0"/>
          <w:numId w:val="39"/>
        </w:numPr>
        <w:rPr>
          <w:rtl/>
        </w:rPr>
      </w:pPr>
      <w:r w:rsidRPr="0004676C">
        <w:rPr>
          <w:rFonts w:cs="Arial"/>
          <w:rtl/>
        </w:rPr>
        <w:t xml:space="preserve">רמב"ם </w:t>
      </w:r>
      <w:r w:rsidRPr="0004676C">
        <w:rPr>
          <w:rFonts w:cs="Arial" w:hint="cs"/>
          <w:sz w:val="16"/>
          <w:szCs w:val="16"/>
          <w:rtl/>
        </w:rPr>
        <w:t>(</w:t>
      </w:r>
      <w:r w:rsidRPr="0004676C">
        <w:rPr>
          <w:rFonts w:cs="Arial"/>
          <w:sz w:val="16"/>
          <w:szCs w:val="16"/>
          <w:rtl/>
        </w:rPr>
        <w:t>פכ"א ה</w:t>
      </w:r>
      <w:r w:rsidRPr="0004676C">
        <w:rPr>
          <w:rFonts w:cs="Arial" w:hint="cs"/>
          <w:sz w:val="16"/>
          <w:szCs w:val="16"/>
          <w:rtl/>
        </w:rPr>
        <w:t>"</w:t>
      </w:r>
      <w:r w:rsidRPr="0004676C">
        <w:rPr>
          <w:rFonts w:cs="Arial"/>
          <w:sz w:val="16"/>
          <w:szCs w:val="16"/>
          <w:rtl/>
        </w:rPr>
        <w:t>ג-ז</w:t>
      </w:r>
      <w:r>
        <w:rPr>
          <w:rFonts w:cs="Arial" w:hint="cs"/>
          <w:sz w:val="16"/>
          <w:szCs w:val="16"/>
          <w:rtl/>
        </w:rPr>
        <w:t>, להב' הה"מ והב"י</w:t>
      </w:r>
      <w:r w:rsidRPr="0004676C">
        <w:rPr>
          <w:rFonts w:cs="Arial"/>
          <w:sz w:val="16"/>
          <w:szCs w:val="16"/>
          <w:rtl/>
        </w:rPr>
        <w:t>)</w:t>
      </w:r>
      <w:r w:rsidRPr="0004676C">
        <w:rPr>
          <w:rFonts w:cs="Arial" w:hint="cs"/>
          <w:rtl/>
        </w:rPr>
        <w:t>-</w:t>
      </w:r>
      <w:r w:rsidR="00A0244C">
        <w:rPr>
          <w:rFonts w:cs="Arial" w:hint="cs"/>
          <w:rtl/>
        </w:rPr>
        <w:t xml:space="preserve"> </w:t>
      </w:r>
      <w:r w:rsidRPr="00DC4762">
        <w:rPr>
          <w:rFonts w:cs="Arial"/>
          <w:rtl/>
        </w:rPr>
        <w:t>אע</w:t>
      </w:r>
      <w:r>
        <w:rPr>
          <w:rFonts w:cs="Arial" w:hint="cs"/>
          <w:rtl/>
        </w:rPr>
        <w:t>"</w:t>
      </w:r>
      <w:r w:rsidRPr="00DC4762">
        <w:rPr>
          <w:rFonts w:cs="Arial"/>
          <w:rtl/>
        </w:rPr>
        <w:t>פ שמן הדין היה ראוי שתשב בקתדרא כמו ששנינו במתניתין</w:t>
      </w:r>
      <w:r>
        <w:rPr>
          <w:rFonts w:hint="cs"/>
          <w:sz w:val="16"/>
          <w:szCs w:val="16"/>
          <w:rtl/>
        </w:rPr>
        <w:t xml:space="preserve"> (ל' הה"מ)</w:t>
      </w:r>
      <w:r>
        <w:rPr>
          <w:rFonts w:hint="cs"/>
          <w:rtl/>
        </w:rPr>
        <w:t xml:space="preserve"> </w:t>
      </w:r>
      <w:r w:rsidR="00F97626">
        <w:rPr>
          <w:rtl/>
        </w:rPr>
        <w:t>-</w:t>
      </w:r>
      <w:r w:rsidRPr="00AE32B4">
        <w:rPr>
          <w:rFonts w:cs="Arial"/>
          <w:rtl/>
        </w:rPr>
        <w:t xml:space="preserve"> </w:t>
      </w:r>
      <w:r w:rsidRPr="00DC4762">
        <w:rPr>
          <w:rFonts w:cs="Arial"/>
          <w:rtl/>
        </w:rPr>
        <w:t xml:space="preserve">אזדא ליה הא דקתני בה </w:t>
      </w:r>
      <w:r>
        <w:rPr>
          <w:rFonts w:cs="Arial" w:hint="cs"/>
          <w:rtl/>
        </w:rPr>
        <w:t>'</w:t>
      </w:r>
      <w:r w:rsidRPr="00DC4762">
        <w:rPr>
          <w:rFonts w:cs="Arial"/>
          <w:rtl/>
        </w:rPr>
        <w:t>אינה מצעת את המטה</w:t>
      </w:r>
      <w:r>
        <w:rPr>
          <w:rFonts w:cs="Arial" w:hint="cs"/>
          <w:rtl/>
        </w:rPr>
        <w:t>'</w:t>
      </w:r>
      <w:r w:rsidRPr="00DC4762">
        <w:rPr>
          <w:rFonts w:cs="Arial"/>
          <w:rtl/>
        </w:rPr>
        <w:t xml:space="preserve"> מהא דאמר רב הונא </w:t>
      </w:r>
      <w:r>
        <w:rPr>
          <w:rFonts w:cs="Arial" w:hint="cs"/>
          <w:rtl/>
        </w:rPr>
        <w:t>'</w:t>
      </w:r>
      <w:r w:rsidRPr="00DC4762">
        <w:rPr>
          <w:rFonts w:cs="Arial"/>
          <w:rtl/>
        </w:rPr>
        <w:t>אע</w:t>
      </w:r>
      <w:r>
        <w:rPr>
          <w:rFonts w:cs="Arial" w:hint="cs"/>
          <w:rtl/>
        </w:rPr>
        <w:t>"</w:t>
      </w:r>
      <w:r w:rsidRPr="00DC4762">
        <w:rPr>
          <w:rFonts w:cs="Arial"/>
          <w:rtl/>
        </w:rPr>
        <w:t>פ שאמרו יושבת בקתדרא וכו' ומצעת לו את המטה</w:t>
      </w:r>
      <w:r>
        <w:rPr>
          <w:rFonts w:cs="Arial" w:hint="cs"/>
          <w:rtl/>
        </w:rPr>
        <w:t>'</w:t>
      </w:r>
      <w:r>
        <w:rPr>
          <w:rFonts w:cs="Arial" w:hint="cs"/>
          <w:sz w:val="16"/>
          <w:szCs w:val="16"/>
          <w:rtl/>
        </w:rPr>
        <w:t xml:space="preserve"> (ל' הב"י)</w:t>
      </w:r>
      <w:r>
        <w:rPr>
          <w:rFonts w:cs="Arial" w:hint="cs"/>
          <w:rtl/>
        </w:rPr>
        <w:t xml:space="preserve">. </w:t>
      </w:r>
      <w:r w:rsidRPr="00BF69BA">
        <w:rPr>
          <w:rFonts w:hint="cs"/>
          <w:color w:val="E36C0A" w:themeColor="accent6" w:themeShade="BF"/>
          <w:rtl/>
        </w:rPr>
        <w:t>(וכ"פ בשו"ע)</w:t>
      </w:r>
    </w:p>
    <w:p w14:paraId="18FC41C8" w14:textId="75C69F6C" w:rsidR="00AE32B4" w:rsidRPr="00B65C55" w:rsidRDefault="00AE32B4" w:rsidP="00AE32B4">
      <w:pPr>
        <w:rPr>
          <w:b/>
          <w:bCs/>
          <w:u w:val="single"/>
        </w:rPr>
      </w:pPr>
      <w:r w:rsidRPr="00B65C55">
        <w:rPr>
          <w:rFonts w:hint="cs"/>
          <w:u w:val="single"/>
          <w:rtl/>
        </w:rPr>
        <w:t>המלאכות הנ"ל</w:t>
      </w:r>
      <w:r w:rsidR="00B65C55" w:rsidRPr="00B65C55">
        <w:rPr>
          <w:rFonts w:hint="cs"/>
          <w:sz w:val="16"/>
          <w:szCs w:val="16"/>
          <w:u w:val="single"/>
          <w:rtl/>
        </w:rPr>
        <w:t xml:space="preserve"> (בסע' </w:t>
      </w:r>
      <w:r w:rsidR="00B65C55">
        <w:rPr>
          <w:rFonts w:hint="cs"/>
          <w:sz w:val="16"/>
          <w:szCs w:val="16"/>
          <w:u w:val="single"/>
          <w:rtl/>
        </w:rPr>
        <w:t>ד</w:t>
      </w:r>
      <w:r w:rsidR="00B65C55" w:rsidRPr="00B65C55">
        <w:rPr>
          <w:rFonts w:hint="cs"/>
          <w:sz w:val="16"/>
          <w:szCs w:val="16"/>
          <w:u w:val="single"/>
          <w:rtl/>
        </w:rPr>
        <w:t>)</w:t>
      </w:r>
      <w:r w:rsidRPr="00B65C55">
        <w:rPr>
          <w:rFonts w:hint="cs"/>
          <w:u w:val="single"/>
          <w:rtl/>
        </w:rPr>
        <w:t xml:space="preserve"> </w:t>
      </w:r>
      <w:r w:rsidR="001D1949">
        <w:rPr>
          <w:rFonts w:hint="cs"/>
          <w:u w:val="single"/>
          <w:rtl/>
        </w:rPr>
        <w:t>באשה</w:t>
      </w:r>
      <w:r w:rsidRPr="00B65C55">
        <w:rPr>
          <w:rFonts w:hint="cs"/>
          <w:u w:val="single"/>
          <w:rtl/>
        </w:rPr>
        <w:t xml:space="preserve"> שיש לה שפחות</w:t>
      </w:r>
      <w:r w:rsidR="00B65C55" w:rsidRPr="00B65C55">
        <w:rPr>
          <w:rFonts w:hint="cs"/>
          <w:u w:val="single"/>
          <w:rtl/>
        </w:rPr>
        <w:t>:</w:t>
      </w:r>
    </w:p>
    <w:p w14:paraId="299A9541" w14:textId="4D17815A" w:rsidR="00AE32B4" w:rsidRPr="004D0526" w:rsidRDefault="00AE32B4" w:rsidP="009000E3">
      <w:pPr>
        <w:pStyle w:val="ab"/>
        <w:numPr>
          <w:ilvl w:val="0"/>
          <w:numId w:val="39"/>
        </w:numPr>
        <w:rPr>
          <w:rtl/>
        </w:rPr>
      </w:pPr>
      <w:r w:rsidRPr="0004676C">
        <w:rPr>
          <w:rFonts w:cs="Arial"/>
          <w:rtl/>
        </w:rPr>
        <w:t xml:space="preserve">רמב"ם </w:t>
      </w:r>
      <w:r w:rsidRPr="0004676C">
        <w:rPr>
          <w:rFonts w:cs="Arial" w:hint="cs"/>
          <w:sz w:val="16"/>
          <w:szCs w:val="16"/>
          <w:rtl/>
        </w:rPr>
        <w:t>(</w:t>
      </w:r>
      <w:r w:rsidRPr="0004676C">
        <w:rPr>
          <w:rFonts w:cs="Arial"/>
          <w:sz w:val="16"/>
          <w:szCs w:val="16"/>
          <w:rtl/>
        </w:rPr>
        <w:t>פכ"א ה</w:t>
      </w:r>
      <w:r w:rsidRPr="0004676C">
        <w:rPr>
          <w:rFonts w:cs="Arial" w:hint="cs"/>
          <w:sz w:val="16"/>
          <w:szCs w:val="16"/>
          <w:rtl/>
        </w:rPr>
        <w:t>"</w:t>
      </w:r>
      <w:r w:rsidRPr="0004676C">
        <w:rPr>
          <w:rFonts w:cs="Arial"/>
          <w:sz w:val="16"/>
          <w:szCs w:val="16"/>
          <w:rtl/>
        </w:rPr>
        <w:t>ג-</w:t>
      </w:r>
      <w:r>
        <w:rPr>
          <w:rFonts w:cs="Arial" w:hint="cs"/>
          <w:sz w:val="16"/>
          <w:szCs w:val="16"/>
          <w:rtl/>
        </w:rPr>
        <w:t>ד</w:t>
      </w:r>
      <w:r w:rsidRPr="0004676C">
        <w:rPr>
          <w:rFonts w:cs="Arial"/>
          <w:sz w:val="16"/>
          <w:szCs w:val="16"/>
          <w:rtl/>
        </w:rPr>
        <w:t>)</w:t>
      </w:r>
      <w:r w:rsidRPr="0004676C">
        <w:rPr>
          <w:rFonts w:cs="Arial" w:hint="cs"/>
          <w:rtl/>
        </w:rPr>
        <w:t>-</w:t>
      </w:r>
      <w:r w:rsidRPr="0004676C">
        <w:rPr>
          <w:rFonts w:cs="Arial"/>
          <w:rtl/>
        </w:rPr>
        <w:t xml:space="preserve"> </w:t>
      </w:r>
      <w:r w:rsidRPr="00695839">
        <w:rPr>
          <w:rFonts w:cs="Arial"/>
          <w:rtl/>
        </w:rPr>
        <w:t>וכן כל אשה רוחצת לבעלה פניו ידיו ורגליו ומוזגת לו את הכוס ומצעת לו את המטה</w:t>
      </w:r>
      <w:r>
        <w:rPr>
          <w:rStyle w:val="a7"/>
          <w:rFonts w:cs="Arial"/>
          <w:rtl/>
        </w:rPr>
        <w:footnoteReference w:id="705"/>
      </w:r>
      <w:r w:rsidRPr="00695839">
        <w:rPr>
          <w:rFonts w:cs="Arial"/>
          <w:rtl/>
        </w:rPr>
        <w:t xml:space="preserve"> ועומדת ומשמשת בפני בעלה כגון שתתן לו מים או כלי או תטול מלפניו וכיוצא בדברים אלו</w:t>
      </w:r>
      <w:r w:rsidRPr="00695839">
        <w:rPr>
          <w:rFonts w:cs="Arial" w:hint="cs"/>
          <w:rtl/>
        </w:rPr>
        <w:t>..</w:t>
      </w:r>
      <w:r w:rsidRPr="00695839">
        <w:rPr>
          <w:rFonts w:cs="Arial"/>
          <w:rtl/>
        </w:rPr>
        <w:t>. ומלאכות אלו עושה אותן היא בעצמה ואפילו היו להן כמה שפחות אין עושין מלאכות אלו לבעל אלא אשתו.</w:t>
      </w:r>
      <w:r>
        <w:rPr>
          <w:rFonts w:hint="cs"/>
          <w:rtl/>
        </w:rPr>
        <w:t xml:space="preserve"> </w:t>
      </w:r>
      <w:r w:rsidRPr="00BF69BA">
        <w:rPr>
          <w:rFonts w:hint="cs"/>
          <w:color w:val="E36C0A" w:themeColor="accent6" w:themeShade="BF"/>
          <w:rtl/>
        </w:rPr>
        <w:t>(וכ"פ בשו"ע)</w:t>
      </w:r>
    </w:p>
    <w:p w14:paraId="53DCB5B1" w14:textId="77777777" w:rsidR="004900BE" w:rsidRDefault="004900BE" w:rsidP="004900BE">
      <w:pPr>
        <w:rPr>
          <w:rFonts w:cs="Arial"/>
          <w:rtl/>
        </w:rPr>
      </w:pPr>
      <w:r w:rsidRPr="003024E5">
        <w:rPr>
          <w:rFonts w:asciiTheme="minorBidi" w:hAnsiTheme="minorBidi"/>
          <w:b/>
          <w:bCs/>
          <w:color w:val="000000"/>
          <w:sz w:val="28"/>
          <w:szCs w:val="28"/>
          <w:u w:val="single"/>
          <w:rtl/>
        </w:rPr>
        <w:t>שו"ע:</w:t>
      </w:r>
    </w:p>
    <w:p w14:paraId="173569F8" w14:textId="01981899" w:rsidR="000D2069" w:rsidRDefault="000D2069" w:rsidP="000D2069">
      <w:pPr>
        <w:rPr>
          <w:rFonts w:cs="Arial"/>
          <w:sz w:val="18"/>
          <w:szCs w:val="18"/>
          <w:rtl/>
        </w:rPr>
      </w:pPr>
      <w:r>
        <w:rPr>
          <w:rFonts w:cs="Arial"/>
          <w:rtl/>
        </w:rPr>
        <w:t xml:space="preserve">מלאכות אלו עושה אותן היא בעצמה, ואפילו היה לה כמה שפחות אין עושין מלאכות אלו לבעל, אלא אשתו. </w:t>
      </w:r>
      <w:r w:rsidR="00ED4383">
        <w:rPr>
          <w:rFonts w:cs="Arial" w:hint="cs"/>
          <w:sz w:val="18"/>
          <w:szCs w:val="18"/>
          <w:rtl/>
        </w:rPr>
        <w:t xml:space="preserve">[הגה] </w:t>
      </w:r>
      <w:r w:rsidRPr="004D0526">
        <w:rPr>
          <w:rFonts w:cs="Arial"/>
          <w:sz w:val="18"/>
          <w:szCs w:val="18"/>
          <w:rtl/>
        </w:rPr>
        <w:t>ויש מחלוקת בהצעת המטה</w:t>
      </w:r>
      <w:r w:rsidR="000E2AF6">
        <w:rPr>
          <w:rStyle w:val="a7"/>
          <w:rFonts w:cs="Arial"/>
          <w:sz w:val="18"/>
          <w:szCs w:val="18"/>
          <w:rtl/>
        </w:rPr>
        <w:footnoteReference w:id="706"/>
      </w:r>
      <w:r w:rsidRPr="004D0526">
        <w:rPr>
          <w:rFonts w:cs="Arial"/>
          <w:sz w:val="18"/>
          <w:szCs w:val="18"/>
          <w:rtl/>
        </w:rPr>
        <w:t xml:space="preserve">, ועיין למטה סעיף ח'. </w:t>
      </w:r>
    </w:p>
    <w:p w14:paraId="35219718" w14:textId="77777777" w:rsidR="004D0526" w:rsidRDefault="004D0526" w:rsidP="000D2069">
      <w:pPr>
        <w:rPr>
          <w:rtl/>
        </w:rPr>
      </w:pPr>
    </w:p>
    <w:p w14:paraId="772F0A49" w14:textId="2DC08851" w:rsidR="000D2069" w:rsidRDefault="000D2069" w:rsidP="000F64D0">
      <w:pPr>
        <w:pStyle w:val="2"/>
        <w:rPr>
          <w:rtl/>
        </w:rPr>
      </w:pPr>
      <w:r>
        <w:rPr>
          <w:rtl/>
        </w:rPr>
        <w:t>סעיף ו</w:t>
      </w:r>
      <w:r w:rsidR="00BF69BA">
        <w:rPr>
          <w:rFonts w:hint="cs"/>
          <w:rtl/>
        </w:rPr>
        <w:t>:</w:t>
      </w:r>
      <w:r w:rsidR="002F5520">
        <w:rPr>
          <w:rFonts w:hint="cs"/>
          <w:rtl/>
        </w:rPr>
        <w:t xml:space="preserve"> מלאכות נוספות שהאשה עושה</w:t>
      </w:r>
      <w:r w:rsidR="00DB7B15">
        <w:rPr>
          <w:rFonts w:hint="cs"/>
          <w:rtl/>
        </w:rPr>
        <w:t xml:space="preserve"> לבעלה</w:t>
      </w:r>
      <w:r w:rsidR="002F5520">
        <w:rPr>
          <w:rFonts w:hint="cs"/>
          <w:rtl/>
        </w:rPr>
        <w:t xml:space="preserve"> בזמן שהם עניים.</w:t>
      </w:r>
    </w:p>
    <w:p w14:paraId="45831F19" w14:textId="70D54279" w:rsidR="002F2941" w:rsidRDefault="002F2941" w:rsidP="002F2941">
      <w:pPr>
        <w:rPr>
          <w:rtl/>
        </w:rPr>
      </w:pPr>
      <w:r w:rsidRPr="00AB0AB9">
        <w:rPr>
          <w:rFonts w:cs="Arial" w:hint="cs"/>
          <w:b/>
          <w:bCs/>
          <w:rtl/>
        </w:rPr>
        <w:t>כתובות</w:t>
      </w:r>
      <w:r>
        <w:rPr>
          <w:rFonts w:cs="Arial" w:hint="cs"/>
          <w:b/>
          <w:bCs/>
          <w:rtl/>
        </w:rPr>
        <w:t xml:space="preserve"> </w:t>
      </w:r>
      <w:r>
        <w:rPr>
          <w:rFonts w:cs="Arial" w:hint="cs"/>
          <w:b/>
          <w:bCs/>
          <w:sz w:val="16"/>
          <w:szCs w:val="16"/>
          <w:rtl/>
        </w:rPr>
        <w:t>(פ' אף על פי)</w:t>
      </w:r>
      <w:r w:rsidRPr="00AB0AB9">
        <w:rPr>
          <w:rFonts w:cs="Arial" w:hint="cs"/>
          <w:b/>
          <w:bCs/>
          <w:rtl/>
        </w:rPr>
        <w:t xml:space="preserve"> </w:t>
      </w:r>
      <w:r>
        <w:rPr>
          <w:rFonts w:cs="Arial" w:hint="cs"/>
          <w:b/>
          <w:bCs/>
          <w:rtl/>
        </w:rPr>
        <w:t>סא</w:t>
      </w:r>
      <w:r w:rsidRPr="00AB0AB9">
        <w:rPr>
          <w:rFonts w:cs="Arial" w:hint="cs"/>
          <w:b/>
          <w:bCs/>
          <w:rtl/>
        </w:rPr>
        <w:t xml:space="preserve"> ע"ב: </w:t>
      </w:r>
      <w:r w:rsidRPr="00F92E28">
        <w:rPr>
          <w:rFonts w:cs="Arial"/>
          <w:rtl/>
        </w:rPr>
        <w:t>דתניא: אינו כופה לא לעמוד לפני אביו, ולא לעמוד לפני בנו, ולא ליתן תבן לפני בהמתו, אבל כופה ליתן תבן לפני בקרו</w:t>
      </w:r>
      <w:r>
        <w:rPr>
          <w:rFonts w:cs="Arial" w:hint="cs"/>
          <w:rtl/>
        </w:rPr>
        <w:t>.</w:t>
      </w:r>
      <w:r w:rsidRPr="002F5520">
        <w:rPr>
          <w:rFonts w:cs="Arial"/>
          <w:sz w:val="16"/>
          <w:szCs w:val="16"/>
          <w:rtl/>
        </w:rPr>
        <w:t xml:space="preserve"> </w:t>
      </w:r>
      <w:r>
        <w:rPr>
          <w:rFonts w:cs="Arial" w:hint="cs"/>
          <w:sz w:val="16"/>
          <w:szCs w:val="16"/>
          <w:rtl/>
        </w:rPr>
        <w:t>(</w:t>
      </w:r>
      <w:r w:rsidRPr="002F5520">
        <w:rPr>
          <w:rFonts w:cs="Arial"/>
          <w:sz w:val="16"/>
          <w:szCs w:val="16"/>
          <w:rtl/>
        </w:rPr>
        <w:t>והרי"ף (כה:) גורס בהפך</w:t>
      </w:r>
      <w:r w:rsidRPr="002F5520">
        <w:rPr>
          <w:rFonts w:cs="Arial" w:hint="cs"/>
          <w:sz w:val="16"/>
          <w:szCs w:val="16"/>
          <w:rtl/>
        </w:rPr>
        <w:t>:</w:t>
      </w:r>
      <w:r w:rsidRPr="002F5520">
        <w:rPr>
          <w:rFonts w:cs="Arial"/>
          <w:sz w:val="16"/>
          <w:szCs w:val="16"/>
          <w:rtl/>
        </w:rPr>
        <w:t xml:space="preserve"> </w:t>
      </w:r>
      <w:r w:rsidRPr="002F5520">
        <w:rPr>
          <w:rFonts w:cs="Arial" w:hint="cs"/>
          <w:sz w:val="16"/>
          <w:szCs w:val="16"/>
          <w:rtl/>
        </w:rPr>
        <w:t>'</w:t>
      </w:r>
      <w:r w:rsidRPr="002F5520">
        <w:rPr>
          <w:rFonts w:cs="Arial"/>
          <w:sz w:val="16"/>
          <w:szCs w:val="16"/>
          <w:rtl/>
        </w:rPr>
        <w:t>ולא ליתן תבן לפני בקרו אבל כופה ליתן תבן לפני בהמתו</w:t>
      </w:r>
      <w:r w:rsidRPr="002F5520">
        <w:rPr>
          <w:rFonts w:cs="Arial" w:hint="cs"/>
          <w:sz w:val="16"/>
          <w:szCs w:val="16"/>
          <w:rtl/>
        </w:rPr>
        <w:t>'</w:t>
      </w:r>
      <w:r>
        <w:rPr>
          <w:rFonts w:cs="Arial" w:hint="cs"/>
          <w:sz w:val="16"/>
          <w:szCs w:val="16"/>
          <w:rtl/>
        </w:rPr>
        <w:t>.</w:t>
      </w:r>
      <w:r w:rsidRPr="002F5520">
        <w:rPr>
          <w:rFonts w:cs="Arial" w:hint="cs"/>
          <w:sz w:val="16"/>
          <w:szCs w:val="16"/>
          <w:rtl/>
        </w:rPr>
        <w:t xml:space="preserve"> </w:t>
      </w:r>
      <w:r w:rsidRPr="002F5520">
        <w:rPr>
          <w:rFonts w:cs="Arial"/>
          <w:sz w:val="16"/>
          <w:szCs w:val="16"/>
          <w:rtl/>
        </w:rPr>
        <w:t>וכתב עליו הרא"ש (סי' כו) לפני בהמתו שהוא רוכב עליה</w:t>
      </w:r>
      <w:r>
        <w:rPr>
          <w:rFonts w:cs="Arial" w:hint="cs"/>
          <w:sz w:val="16"/>
          <w:szCs w:val="16"/>
          <w:rtl/>
        </w:rPr>
        <w:t>,</w:t>
      </w:r>
      <w:r w:rsidRPr="002F5520">
        <w:rPr>
          <w:rFonts w:cs="Arial" w:hint="cs"/>
          <w:sz w:val="16"/>
          <w:szCs w:val="16"/>
          <w:rtl/>
        </w:rPr>
        <w:t xml:space="preserve"> ב"י</w:t>
      </w:r>
      <w:r>
        <w:rPr>
          <w:rFonts w:cs="Arial" w:hint="cs"/>
          <w:sz w:val="16"/>
          <w:szCs w:val="16"/>
          <w:rtl/>
        </w:rPr>
        <w:t xml:space="preserve">. וגם הרמב"ם (פכ"א ה"ה) גרס כהרי"ף. והביא הב"י </w:t>
      </w:r>
      <w:r w:rsidR="00CF2260">
        <w:rPr>
          <w:rFonts w:cs="Arial" w:hint="cs"/>
          <w:sz w:val="16"/>
          <w:szCs w:val="16"/>
          <w:rtl/>
        </w:rPr>
        <w:t xml:space="preserve">עוד </w:t>
      </w:r>
      <w:r>
        <w:rPr>
          <w:rFonts w:cs="Arial" w:hint="cs"/>
          <w:sz w:val="16"/>
          <w:szCs w:val="16"/>
          <w:rtl/>
        </w:rPr>
        <w:t xml:space="preserve">את דברי </w:t>
      </w:r>
      <w:r w:rsidRPr="002F2941">
        <w:rPr>
          <w:rFonts w:cs="Arial"/>
          <w:sz w:val="16"/>
          <w:szCs w:val="16"/>
          <w:rtl/>
        </w:rPr>
        <w:t xml:space="preserve">הר"ן (שם) </w:t>
      </w:r>
      <w:r w:rsidR="00CF2260">
        <w:rPr>
          <w:rFonts w:cs="Arial" w:hint="cs"/>
          <w:sz w:val="16"/>
          <w:szCs w:val="16"/>
          <w:rtl/>
        </w:rPr>
        <w:t xml:space="preserve">שכתב </w:t>
      </w:r>
      <w:r>
        <w:rPr>
          <w:rFonts w:cs="Arial" w:hint="cs"/>
          <w:sz w:val="16"/>
          <w:szCs w:val="16"/>
          <w:rtl/>
        </w:rPr>
        <w:t>וז"ל</w:t>
      </w:r>
      <w:r w:rsidR="00CF2260">
        <w:rPr>
          <w:rFonts w:cs="Arial" w:hint="cs"/>
          <w:sz w:val="16"/>
          <w:szCs w:val="16"/>
          <w:rtl/>
        </w:rPr>
        <w:t>:</w:t>
      </w:r>
      <w:r>
        <w:rPr>
          <w:rFonts w:cs="Arial" w:hint="cs"/>
          <w:sz w:val="16"/>
          <w:szCs w:val="16"/>
          <w:rtl/>
        </w:rPr>
        <w:t xml:space="preserve"> </w:t>
      </w:r>
      <w:r w:rsidRPr="002F2941">
        <w:rPr>
          <w:rFonts w:cs="Arial"/>
          <w:sz w:val="16"/>
          <w:szCs w:val="16"/>
          <w:rtl/>
        </w:rPr>
        <w:t xml:space="preserve">ואיכא למידק מדתניא בפרק בתרא דנדרים (פא:) קונם שלא אתן תבן לפני בהמתך ולפני בקרך </w:t>
      </w:r>
      <w:r w:rsidRPr="002F2941">
        <w:rPr>
          <w:rFonts w:cs="Arial" w:hint="cs"/>
          <w:sz w:val="16"/>
          <w:szCs w:val="16"/>
          <w:rtl/>
        </w:rPr>
        <w:t xml:space="preserve">- </w:t>
      </w:r>
      <w:r w:rsidRPr="002F2941">
        <w:rPr>
          <w:rFonts w:cs="Arial"/>
          <w:sz w:val="16"/>
          <w:szCs w:val="16"/>
          <w:rtl/>
        </w:rPr>
        <w:t>אינו יכול להפר</w:t>
      </w:r>
      <w:r w:rsidRPr="002F2941">
        <w:rPr>
          <w:rFonts w:cs="Arial" w:hint="cs"/>
          <w:sz w:val="16"/>
          <w:szCs w:val="16"/>
          <w:rtl/>
        </w:rPr>
        <w:t>.</w:t>
      </w:r>
      <w:r w:rsidRPr="002F2941">
        <w:rPr>
          <w:rFonts w:cs="Arial"/>
          <w:sz w:val="16"/>
          <w:szCs w:val="16"/>
          <w:rtl/>
        </w:rPr>
        <w:t xml:space="preserve"> ואי משעבדא ליה ליתן לפני בהמתו או לפני בקרו אמאי אינו יכול להפר</w:t>
      </w:r>
      <w:r w:rsidRPr="002F2941">
        <w:rPr>
          <w:rFonts w:cs="Arial" w:hint="cs"/>
          <w:sz w:val="16"/>
          <w:szCs w:val="16"/>
          <w:rtl/>
        </w:rPr>
        <w:t>,</w:t>
      </w:r>
      <w:r w:rsidRPr="002F2941">
        <w:rPr>
          <w:rFonts w:cs="Arial"/>
          <w:sz w:val="16"/>
          <w:szCs w:val="16"/>
          <w:rtl/>
        </w:rPr>
        <w:t xml:space="preserve"> אדרבה לא היה צריך להפר דכיון דמשעבדא ליה לא חייל נדרה</w:t>
      </w:r>
      <w:r w:rsidRPr="002F2941">
        <w:rPr>
          <w:rFonts w:cs="Arial" w:hint="cs"/>
          <w:sz w:val="16"/>
          <w:szCs w:val="16"/>
          <w:rtl/>
        </w:rPr>
        <w:t>.</w:t>
      </w:r>
      <w:r w:rsidRPr="002F2941">
        <w:rPr>
          <w:rFonts w:cs="Arial"/>
          <w:sz w:val="16"/>
          <w:szCs w:val="16"/>
          <w:rtl/>
        </w:rPr>
        <w:t xml:space="preserve"> י"ל דהכא בשלא הכניסה לו שפחות והתם כשהכניסה לו שפחות</w:t>
      </w:r>
      <w:r w:rsidRPr="002F2941">
        <w:rPr>
          <w:rFonts w:cs="Arial" w:hint="cs"/>
          <w:sz w:val="16"/>
          <w:szCs w:val="16"/>
          <w:rtl/>
        </w:rPr>
        <w:t>.</w:t>
      </w:r>
      <w:r w:rsidRPr="002F2941">
        <w:rPr>
          <w:rFonts w:cs="Arial"/>
          <w:sz w:val="16"/>
          <w:szCs w:val="16"/>
          <w:rtl/>
        </w:rPr>
        <w:t xml:space="preserve"> וכך נראה מדברי הרמב"ם שמנה נותנת תבן לפני בהמתו בעניות בפכ"א מהלכות אישות</w:t>
      </w:r>
      <w:r>
        <w:rPr>
          <w:rFonts w:cs="Arial" w:hint="cs"/>
          <w:sz w:val="14"/>
          <w:szCs w:val="14"/>
          <w:rtl/>
        </w:rPr>
        <w:t xml:space="preserve"> [עכ"ל הר"ן]</w:t>
      </w:r>
      <w:r w:rsidRPr="002F5520">
        <w:rPr>
          <w:rFonts w:cs="Arial" w:hint="cs"/>
          <w:sz w:val="16"/>
          <w:szCs w:val="16"/>
          <w:rtl/>
        </w:rPr>
        <w:t>)</w:t>
      </w:r>
    </w:p>
    <w:p w14:paraId="524CD6FA" w14:textId="77777777" w:rsidR="002F2941" w:rsidRPr="002F5520" w:rsidRDefault="002F2941" w:rsidP="002F2941">
      <w:pPr>
        <w:rPr>
          <w:u w:val="single"/>
          <w:rtl/>
        </w:rPr>
      </w:pPr>
      <w:r>
        <w:rPr>
          <w:rFonts w:hint="cs"/>
          <w:u w:val="single"/>
          <w:rtl/>
        </w:rPr>
        <w:t>לפני מה אשתו צריכה ליתן תבן</w:t>
      </w:r>
      <w:r w:rsidRPr="002F5520">
        <w:rPr>
          <w:rFonts w:hint="cs"/>
          <w:u w:val="single"/>
          <w:rtl/>
        </w:rPr>
        <w:t>:</w:t>
      </w:r>
    </w:p>
    <w:p w14:paraId="68E006F1" w14:textId="342AEF38" w:rsidR="002F2941" w:rsidRPr="002F5520" w:rsidRDefault="002F2941" w:rsidP="009000E3">
      <w:pPr>
        <w:pStyle w:val="ab"/>
        <w:numPr>
          <w:ilvl w:val="0"/>
          <w:numId w:val="35"/>
        </w:numPr>
        <w:rPr>
          <w:rFonts w:cs="Arial"/>
        </w:rPr>
      </w:pPr>
      <w:r>
        <w:rPr>
          <w:rFonts w:cs="Arial" w:hint="cs"/>
          <w:rtl/>
        </w:rPr>
        <w:t xml:space="preserve">רי"ף </w:t>
      </w:r>
      <w:r w:rsidRPr="002F5520">
        <w:rPr>
          <w:rFonts w:cs="Arial"/>
          <w:sz w:val="16"/>
          <w:szCs w:val="16"/>
          <w:rtl/>
        </w:rPr>
        <w:t>(כה:)</w:t>
      </w:r>
      <w:r>
        <w:rPr>
          <w:rFonts w:cs="Arial" w:hint="cs"/>
          <w:rtl/>
        </w:rPr>
        <w:t xml:space="preserve">- </w:t>
      </w:r>
      <w:r w:rsidRPr="002F5520">
        <w:rPr>
          <w:rFonts w:cs="Arial"/>
          <w:rtl/>
        </w:rPr>
        <w:t>צריכה ליתן לפני בהמתו המיוחדת לו למרכבתו</w:t>
      </w:r>
      <w:r w:rsidR="001A15E5">
        <w:rPr>
          <w:rFonts w:cs="Arial" w:hint="cs"/>
          <w:rtl/>
        </w:rPr>
        <w:t>,</w:t>
      </w:r>
      <w:r w:rsidRPr="002F5520">
        <w:rPr>
          <w:rFonts w:cs="Arial"/>
          <w:rtl/>
        </w:rPr>
        <w:t xml:space="preserve"> אבל לא לפני שאר בהמות ולא לבקר וצאן שלו</w:t>
      </w:r>
      <w:r>
        <w:rPr>
          <w:rFonts w:cs="Arial" w:hint="cs"/>
          <w:sz w:val="16"/>
          <w:szCs w:val="16"/>
          <w:rtl/>
        </w:rPr>
        <w:t xml:space="preserve"> (ל' הטור בש</w:t>
      </w:r>
      <w:r w:rsidR="001A15E5">
        <w:rPr>
          <w:rFonts w:cs="Arial" w:hint="cs"/>
          <w:sz w:val="16"/>
          <w:szCs w:val="16"/>
          <w:rtl/>
        </w:rPr>
        <w:t>מו</w:t>
      </w:r>
      <w:r>
        <w:rPr>
          <w:rFonts w:cs="Arial" w:hint="cs"/>
          <w:sz w:val="16"/>
          <w:szCs w:val="16"/>
          <w:rtl/>
        </w:rPr>
        <w:t>)</w:t>
      </w:r>
      <w:r w:rsidRPr="002F5520">
        <w:rPr>
          <w:rFonts w:cs="Arial" w:hint="cs"/>
          <w:rtl/>
        </w:rPr>
        <w:t>.</w:t>
      </w:r>
    </w:p>
    <w:p w14:paraId="75772862" w14:textId="6E281287" w:rsidR="002F2941" w:rsidRDefault="002F2941" w:rsidP="009000E3">
      <w:pPr>
        <w:pStyle w:val="ab"/>
        <w:numPr>
          <w:ilvl w:val="0"/>
          <w:numId w:val="35"/>
        </w:numPr>
        <w:rPr>
          <w:rtl/>
        </w:rPr>
      </w:pPr>
      <w:r w:rsidRPr="00BF69BA">
        <w:rPr>
          <w:rFonts w:cs="Arial"/>
          <w:rtl/>
        </w:rPr>
        <w:t xml:space="preserve">רש"י </w:t>
      </w:r>
      <w:r w:rsidRPr="002F5520">
        <w:rPr>
          <w:rFonts w:cs="Arial" w:hint="cs"/>
          <w:sz w:val="16"/>
          <w:szCs w:val="16"/>
          <w:rtl/>
        </w:rPr>
        <w:t>(</w:t>
      </w:r>
      <w:r>
        <w:rPr>
          <w:rFonts w:cs="Arial" w:hint="cs"/>
          <w:sz w:val="16"/>
          <w:szCs w:val="16"/>
          <w:rtl/>
        </w:rPr>
        <w:t>ד"ה בהמתו</w:t>
      </w:r>
      <w:r w:rsidRPr="002F5520">
        <w:rPr>
          <w:rFonts w:cs="Arial" w:hint="cs"/>
          <w:sz w:val="16"/>
          <w:szCs w:val="16"/>
          <w:rtl/>
        </w:rPr>
        <w:t>)</w:t>
      </w:r>
      <w:r>
        <w:rPr>
          <w:rFonts w:cs="Arial" w:hint="cs"/>
          <w:rtl/>
        </w:rPr>
        <w:t xml:space="preserve">- </w:t>
      </w:r>
      <w:r w:rsidRPr="002F5520">
        <w:rPr>
          <w:rFonts w:cs="Arial"/>
          <w:rtl/>
        </w:rPr>
        <w:t>סוס וחמור שהן מזויינין וצוהלים לרביעה</w:t>
      </w:r>
      <w:r w:rsidR="001A15E5">
        <w:rPr>
          <w:rFonts w:cs="Arial" w:hint="cs"/>
          <w:rtl/>
        </w:rPr>
        <w:t>,</w:t>
      </w:r>
      <w:r w:rsidRPr="002F5520">
        <w:rPr>
          <w:rFonts w:cs="Arial"/>
          <w:rtl/>
        </w:rPr>
        <w:t xml:space="preserve"> אבל בקר אינו להוט אחר רביעת אשה ואין יצרו ניכר כל כך לפיכך אין אשה נסתית לו</w:t>
      </w:r>
      <w:r w:rsidR="005A54B7">
        <w:rPr>
          <w:rFonts w:cs="Arial" w:hint="cs"/>
          <w:rtl/>
        </w:rPr>
        <w:t>.</w:t>
      </w:r>
      <w:r w:rsidRPr="002F5520">
        <w:rPr>
          <w:rFonts w:cs="Arial"/>
          <w:rtl/>
        </w:rPr>
        <w:t xml:space="preserve"> ואני שמעתי בקרו נקבות בהמתו זכרים</w:t>
      </w:r>
      <w:r w:rsidRPr="00BF69BA">
        <w:rPr>
          <w:rFonts w:cs="Arial"/>
          <w:rtl/>
        </w:rPr>
        <w:t xml:space="preserve">. </w:t>
      </w:r>
    </w:p>
    <w:p w14:paraId="71178E44" w14:textId="2FB9AE41" w:rsidR="00B65C55" w:rsidRPr="00B65C55" w:rsidRDefault="00B65C55" w:rsidP="00B65C55">
      <w:pPr>
        <w:rPr>
          <w:rtl/>
        </w:rPr>
      </w:pPr>
      <w:r w:rsidRPr="00AB0AB9">
        <w:rPr>
          <w:rFonts w:cs="Arial" w:hint="cs"/>
          <w:b/>
          <w:bCs/>
          <w:rtl/>
        </w:rPr>
        <w:t>כתובות</w:t>
      </w:r>
      <w:r>
        <w:rPr>
          <w:rFonts w:cs="Arial" w:hint="cs"/>
          <w:b/>
          <w:bCs/>
          <w:rtl/>
        </w:rPr>
        <w:t xml:space="preserve"> </w:t>
      </w:r>
      <w:r>
        <w:rPr>
          <w:rFonts w:cs="Arial" w:hint="cs"/>
          <w:b/>
          <w:bCs/>
          <w:sz w:val="16"/>
          <w:szCs w:val="16"/>
          <w:rtl/>
        </w:rPr>
        <w:t>(פ' אף על פי)</w:t>
      </w:r>
      <w:r w:rsidRPr="00AB0AB9">
        <w:rPr>
          <w:rFonts w:cs="Arial" w:hint="cs"/>
          <w:b/>
          <w:bCs/>
          <w:rtl/>
        </w:rPr>
        <w:t xml:space="preserve"> </w:t>
      </w:r>
      <w:r>
        <w:rPr>
          <w:rFonts w:cs="Arial" w:hint="cs"/>
          <w:b/>
          <w:bCs/>
          <w:rtl/>
        </w:rPr>
        <w:t>נט</w:t>
      </w:r>
      <w:r w:rsidRPr="00AB0AB9">
        <w:rPr>
          <w:rFonts w:cs="Arial" w:hint="cs"/>
          <w:b/>
          <w:bCs/>
          <w:rtl/>
        </w:rPr>
        <w:t xml:space="preserve"> ע"ב: </w:t>
      </w:r>
      <w:r w:rsidRPr="00390A65">
        <w:rPr>
          <w:rFonts w:cs="Arial"/>
          <w:u w:val="double"/>
          <w:rtl/>
        </w:rPr>
        <w:t>מתני'</w:t>
      </w:r>
      <w:r>
        <w:rPr>
          <w:rFonts w:cs="Arial" w:hint="cs"/>
          <w:rtl/>
        </w:rPr>
        <w:t>:</w:t>
      </w:r>
      <w:r>
        <w:rPr>
          <w:rFonts w:cs="Arial"/>
          <w:rtl/>
        </w:rPr>
        <w:t xml:space="preserve"> ואלו מלאכות שהאשה עושה לבעלה</w:t>
      </w:r>
      <w:r>
        <w:rPr>
          <w:rFonts w:cs="Arial" w:hint="cs"/>
          <w:rtl/>
        </w:rPr>
        <w:t>:</w:t>
      </w:r>
      <w:r w:rsidRPr="00737A01">
        <w:rPr>
          <w:rFonts w:cs="Arial"/>
          <w:rtl/>
        </w:rPr>
        <w:t xml:space="preserve"> </w:t>
      </w:r>
      <w:r>
        <w:rPr>
          <w:rFonts w:cs="Arial"/>
          <w:rtl/>
        </w:rPr>
        <w:t>טוחנת, ואופה, ומכבסת, מבשלת, ומניקה את בנה, מצעת לו המטה, ועושה בצמר</w:t>
      </w:r>
      <w:r>
        <w:rPr>
          <w:rFonts w:cs="Arial" w:hint="cs"/>
          <w:rtl/>
        </w:rPr>
        <w:t>.</w:t>
      </w:r>
    </w:p>
    <w:p w14:paraId="31B1EA3E" w14:textId="7942F752" w:rsidR="00B65C55" w:rsidRPr="00B65C55" w:rsidRDefault="00B65C55" w:rsidP="00B65C55">
      <w:pPr>
        <w:rPr>
          <w:u w:val="single"/>
          <w:rtl/>
        </w:rPr>
      </w:pPr>
      <w:r w:rsidRPr="00B65C55">
        <w:rPr>
          <w:rFonts w:hint="cs"/>
          <w:u w:val="single"/>
          <w:rtl/>
        </w:rPr>
        <w:t>מלאכות נוספות שהאשה עושה</w:t>
      </w:r>
      <w:r w:rsidR="00DB7B15">
        <w:rPr>
          <w:rFonts w:hint="cs"/>
          <w:u w:val="single"/>
          <w:rtl/>
        </w:rPr>
        <w:t xml:space="preserve"> לבעלה</w:t>
      </w:r>
      <w:r w:rsidRPr="00B65C55">
        <w:rPr>
          <w:rFonts w:hint="cs"/>
          <w:u w:val="single"/>
          <w:rtl/>
        </w:rPr>
        <w:t xml:space="preserve"> בזמן שהם עניים:</w:t>
      </w:r>
    </w:p>
    <w:p w14:paraId="0518AFB6" w14:textId="2E98C86F" w:rsidR="00DC4762" w:rsidRDefault="00B65C55" w:rsidP="009000E3">
      <w:pPr>
        <w:pStyle w:val="ab"/>
        <w:numPr>
          <w:ilvl w:val="0"/>
          <w:numId w:val="39"/>
        </w:numPr>
      </w:pPr>
      <w:r w:rsidRPr="0004676C">
        <w:rPr>
          <w:rFonts w:cs="Arial"/>
          <w:rtl/>
        </w:rPr>
        <w:t xml:space="preserve">רמב"ם </w:t>
      </w:r>
      <w:r w:rsidRPr="0004676C">
        <w:rPr>
          <w:rFonts w:cs="Arial" w:hint="cs"/>
          <w:sz w:val="16"/>
          <w:szCs w:val="16"/>
          <w:rtl/>
        </w:rPr>
        <w:t>(</w:t>
      </w:r>
      <w:r w:rsidRPr="0004676C">
        <w:rPr>
          <w:rFonts w:cs="Arial"/>
          <w:sz w:val="16"/>
          <w:szCs w:val="16"/>
          <w:rtl/>
        </w:rPr>
        <w:t>פכ"א ה</w:t>
      </w:r>
      <w:r w:rsidRPr="0004676C">
        <w:rPr>
          <w:rFonts w:cs="Arial" w:hint="cs"/>
          <w:sz w:val="16"/>
          <w:szCs w:val="16"/>
          <w:rtl/>
        </w:rPr>
        <w:t>"</w:t>
      </w:r>
      <w:r>
        <w:rPr>
          <w:rFonts w:cs="Arial" w:hint="cs"/>
          <w:sz w:val="16"/>
          <w:szCs w:val="16"/>
          <w:rtl/>
        </w:rPr>
        <w:t>ה</w:t>
      </w:r>
      <w:r w:rsidRPr="0004676C">
        <w:rPr>
          <w:rFonts w:cs="Arial"/>
          <w:sz w:val="16"/>
          <w:szCs w:val="16"/>
          <w:rtl/>
        </w:rPr>
        <w:t>)</w:t>
      </w:r>
      <w:r w:rsidRPr="0004676C">
        <w:rPr>
          <w:rFonts w:cs="Arial" w:hint="cs"/>
          <w:rtl/>
        </w:rPr>
        <w:t>-</w:t>
      </w:r>
      <w:r w:rsidRPr="0004676C">
        <w:rPr>
          <w:rFonts w:cs="Arial"/>
          <w:rtl/>
        </w:rPr>
        <w:t xml:space="preserve"> </w:t>
      </w:r>
      <w:r w:rsidRPr="00695839">
        <w:rPr>
          <w:rFonts w:cs="Arial"/>
          <w:rtl/>
        </w:rPr>
        <w:t>יש מלאכות אחרות שהאשה עושה לבעלה בזמן שהן עניים ואלו הן</w:t>
      </w:r>
      <w:r>
        <w:rPr>
          <w:rStyle w:val="a7"/>
          <w:rFonts w:cs="Arial"/>
          <w:rtl/>
        </w:rPr>
        <w:footnoteReference w:id="707"/>
      </w:r>
      <w:r w:rsidRPr="00695839">
        <w:rPr>
          <w:rFonts w:cs="Arial"/>
          <w:rtl/>
        </w:rPr>
        <w:t>: אופה את הפת בתנור, ועזרא תיקן שתהיה אשה משכמת ואופה כדי שתהיה הפת מצויה לעניים, ומבשלת את התבשילין ומכבסת את הבגדים, ומניקה את בנה, ונותנת תבן לפני בהמתו אבל לא לפני בקרו, ומטחנת.</w:t>
      </w:r>
      <w:r>
        <w:rPr>
          <w:rFonts w:hint="cs"/>
          <w:rtl/>
        </w:rPr>
        <w:t xml:space="preserve"> </w:t>
      </w:r>
      <w:r w:rsidRPr="00BF69BA">
        <w:rPr>
          <w:rFonts w:hint="cs"/>
          <w:color w:val="E36C0A" w:themeColor="accent6" w:themeShade="BF"/>
          <w:rtl/>
        </w:rPr>
        <w:t>(וכ"פ בשו"ע)</w:t>
      </w:r>
    </w:p>
    <w:p w14:paraId="364E2211" w14:textId="7643AF8B" w:rsidR="00C219A3" w:rsidRPr="004D0526" w:rsidRDefault="00C219A3" w:rsidP="00C219A3">
      <w:pPr>
        <w:rPr>
          <w:rtl/>
        </w:rPr>
      </w:pPr>
      <w:r>
        <w:rPr>
          <w:rFonts w:cs="Arial" w:hint="cs"/>
          <w:b/>
          <w:bCs/>
          <w:rtl/>
        </w:rPr>
        <w:lastRenderedPageBreak/>
        <w:t xml:space="preserve">ירושלמי כתובות פ"ה ה"ו: </w:t>
      </w:r>
      <w:r w:rsidRPr="00EE0F3A">
        <w:rPr>
          <w:rFonts w:cs="Arial"/>
          <w:rtl/>
        </w:rPr>
        <w:t xml:space="preserve">מניקה את בנה. </w:t>
      </w:r>
      <w:r w:rsidRPr="00EE0F3A">
        <w:rPr>
          <w:rFonts w:cs="Arial"/>
          <w:u w:val="single"/>
          <w:rtl/>
        </w:rPr>
        <w:t>אמר רבי חגיי</w:t>
      </w:r>
      <w:r>
        <w:rPr>
          <w:rFonts w:cs="Arial" w:hint="cs"/>
          <w:rtl/>
        </w:rPr>
        <w:t>:</w:t>
      </w:r>
      <w:r w:rsidRPr="00EE0F3A">
        <w:rPr>
          <w:rFonts w:cs="Arial"/>
          <w:rtl/>
        </w:rPr>
        <w:t xml:space="preserve"> לא אמר אלא בנה</w:t>
      </w:r>
      <w:r>
        <w:rPr>
          <w:rFonts w:cs="Arial" w:hint="cs"/>
          <w:rtl/>
        </w:rPr>
        <w:t>,</w:t>
      </w:r>
      <w:r w:rsidRPr="00EE0F3A">
        <w:rPr>
          <w:rFonts w:cs="Arial"/>
          <w:rtl/>
        </w:rPr>
        <w:t xml:space="preserve"> הא תאומים</w:t>
      </w:r>
      <w:r>
        <w:rPr>
          <w:rFonts w:cs="Arial" w:hint="cs"/>
          <w:rtl/>
        </w:rPr>
        <w:t xml:space="preserve"> </w:t>
      </w:r>
      <w:r w:rsidRPr="00EE0F3A">
        <w:rPr>
          <w:rFonts w:cs="Arial"/>
          <w:rtl/>
        </w:rPr>
        <w:t>לא</w:t>
      </w:r>
      <w:r>
        <w:rPr>
          <w:rFonts w:cs="Arial" w:hint="cs"/>
          <w:rtl/>
        </w:rPr>
        <w:t xml:space="preserve">? </w:t>
      </w:r>
      <w:r w:rsidRPr="00EE0F3A">
        <w:rPr>
          <w:rFonts w:cs="Arial"/>
          <w:rtl/>
        </w:rPr>
        <w:t>ולמה אמר בנה</w:t>
      </w:r>
      <w:r>
        <w:rPr>
          <w:rFonts w:cs="Arial" w:hint="cs"/>
          <w:rtl/>
        </w:rPr>
        <w:t>?</w:t>
      </w:r>
      <w:r w:rsidRPr="00EE0F3A">
        <w:rPr>
          <w:rFonts w:cs="Arial"/>
          <w:rtl/>
        </w:rPr>
        <w:t xml:space="preserve"> שלא תיניק בן חבירתה</w:t>
      </w:r>
      <w:r>
        <w:rPr>
          <w:rFonts w:cs="Arial" w:hint="cs"/>
          <w:rtl/>
        </w:rPr>
        <w:t>.</w:t>
      </w:r>
      <w:r w:rsidRPr="00EE0F3A">
        <w:rPr>
          <w:rFonts w:cs="Arial"/>
          <w:rtl/>
        </w:rPr>
        <w:t xml:space="preserve"> כהדין דתני</w:t>
      </w:r>
      <w:r>
        <w:rPr>
          <w:rFonts w:cs="Arial" w:hint="cs"/>
          <w:rtl/>
        </w:rPr>
        <w:t>:</w:t>
      </w:r>
      <w:r w:rsidRPr="00EE0F3A">
        <w:rPr>
          <w:rFonts w:cs="Arial"/>
          <w:rtl/>
        </w:rPr>
        <w:t xml:space="preserve"> אין האיש כופף את אשתו שתניק בנו של חבירו ולא האשה כופה את בעלה שתניק בן חבירתה</w:t>
      </w:r>
      <w:r>
        <w:rPr>
          <w:rFonts w:hint="cs"/>
          <w:rtl/>
        </w:rPr>
        <w:t>.</w:t>
      </w:r>
      <w:r w:rsidRPr="00C219A3">
        <w:rPr>
          <w:rtl/>
        </w:rPr>
        <w:t xml:space="preserve"> </w:t>
      </w:r>
      <w:r w:rsidRPr="00C219A3">
        <w:rPr>
          <w:rFonts w:cs="Arial" w:hint="cs"/>
          <w:sz w:val="16"/>
          <w:szCs w:val="16"/>
          <w:rtl/>
        </w:rPr>
        <w:t>(</w:t>
      </w:r>
      <w:r w:rsidR="00DF7D38" w:rsidRPr="008C039C">
        <w:rPr>
          <w:rFonts w:cs="Arial"/>
          <w:sz w:val="16"/>
          <w:szCs w:val="16"/>
          <w:rtl/>
        </w:rPr>
        <w:t>ו</w:t>
      </w:r>
      <w:r w:rsidR="00DF7D38">
        <w:rPr>
          <w:rFonts w:cs="Arial" w:hint="cs"/>
          <w:sz w:val="16"/>
          <w:szCs w:val="16"/>
          <w:rtl/>
        </w:rPr>
        <w:t>כתב ה</w:t>
      </w:r>
      <w:r w:rsidR="00DF7D38" w:rsidRPr="008C039C">
        <w:rPr>
          <w:rFonts w:cs="Arial" w:hint="cs"/>
          <w:sz w:val="16"/>
          <w:szCs w:val="16"/>
          <w:rtl/>
        </w:rPr>
        <w:t xml:space="preserve">רא"ש </w:t>
      </w:r>
      <w:r w:rsidR="00DF7D38" w:rsidRPr="008C039C">
        <w:rPr>
          <w:rFonts w:cs="Arial"/>
          <w:sz w:val="16"/>
          <w:szCs w:val="16"/>
          <w:rtl/>
        </w:rPr>
        <w:t>(סי' יז)</w:t>
      </w:r>
      <w:r w:rsidR="00DF7D38">
        <w:rPr>
          <w:rFonts w:cs="Arial" w:hint="cs"/>
          <w:sz w:val="16"/>
          <w:szCs w:val="16"/>
          <w:rtl/>
        </w:rPr>
        <w:t xml:space="preserve"> דהכי </w:t>
      </w:r>
      <w:r w:rsidR="00DF7D38" w:rsidRPr="008C039C">
        <w:rPr>
          <w:rFonts w:cs="Arial"/>
          <w:sz w:val="16"/>
          <w:szCs w:val="16"/>
          <w:rtl/>
        </w:rPr>
        <w:t>פ</w:t>
      </w:r>
      <w:r w:rsidR="00DF7D38">
        <w:rPr>
          <w:rFonts w:cs="Arial" w:hint="cs"/>
          <w:sz w:val="16"/>
          <w:szCs w:val="16"/>
          <w:rtl/>
        </w:rPr>
        <w:t>ירושו-</w:t>
      </w:r>
      <w:r w:rsidR="00DF7D38" w:rsidRPr="008C039C">
        <w:rPr>
          <w:rFonts w:cs="Arial"/>
          <w:sz w:val="16"/>
          <w:szCs w:val="16"/>
          <w:rtl/>
        </w:rPr>
        <w:t xml:space="preserve"> </w:t>
      </w:r>
      <w:r w:rsidR="00DF7D38">
        <w:rPr>
          <w:rFonts w:cs="Arial" w:hint="cs"/>
          <w:sz w:val="16"/>
          <w:szCs w:val="16"/>
          <w:rtl/>
        </w:rPr>
        <w:t>'</w:t>
      </w:r>
      <w:r w:rsidR="00DF7D38" w:rsidRPr="008C039C">
        <w:rPr>
          <w:rFonts w:cs="Arial"/>
          <w:sz w:val="16"/>
          <w:szCs w:val="16"/>
          <w:rtl/>
        </w:rPr>
        <w:t>הא תאומים לא</w:t>
      </w:r>
      <w:r w:rsidR="00DF7D38">
        <w:rPr>
          <w:rFonts w:cs="Arial" w:hint="cs"/>
          <w:sz w:val="16"/>
          <w:szCs w:val="16"/>
          <w:rtl/>
        </w:rPr>
        <w:t>'</w:t>
      </w:r>
      <w:r w:rsidR="00DF7D38" w:rsidRPr="008C039C">
        <w:rPr>
          <w:rFonts w:cs="Arial"/>
          <w:sz w:val="16"/>
          <w:szCs w:val="16"/>
          <w:rtl/>
        </w:rPr>
        <w:t xml:space="preserve"> בתמיה</w:t>
      </w:r>
      <w:r w:rsidR="00DF7D38">
        <w:rPr>
          <w:rFonts w:cs="Arial" w:hint="cs"/>
          <w:sz w:val="16"/>
          <w:szCs w:val="16"/>
          <w:rtl/>
        </w:rPr>
        <w:t>,</w:t>
      </w:r>
      <w:r w:rsidR="00DF7D38" w:rsidRPr="008C039C">
        <w:rPr>
          <w:rFonts w:cs="Arial"/>
          <w:sz w:val="16"/>
          <w:szCs w:val="16"/>
          <w:rtl/>
        </w:rPr>
        <w:t xml:space="preserve"> והלא יכולה להניק שניהם למה לא תניקם</w:t>
      </w:r>
      <w:r w:rsidR="007568B9">
        <w:rPr>
          <w:rFonts w:cs="Arial" w:hint="cs"/>
          <w:sz w:val="16"/>
          <w:szCs w:val="16"/>
          <w:rtl/>
        </w:rPr>
        <w:t>,</w:t>
      </w:r>
      <w:r w:rsidR="00DF7D38" w:rsidRPr="008C039C">
        <w:rPr>
          <w:rFonts w:cs="Arial"/>
          <w:sz w:val="16"/>
          <w:szCs w:val="16"/>
          <w:rtl/>
        </w:rPr>
        <w:t xml:space="preserve"> אלא ודאי חייבת להניק שניהם</w:t>
      </w:r>
      <w:r w:rsidR="007568B9">
        <w:rPr>
          <w:rFonts w:cs="Arial" w:hint="cs"/>
          <w:sz w:val="16"/>
          <w:szCs w:val="16"/>
          <w:rtl/>
        </w:rPr>
        <w:t>,</w:t>
      </w:r>
      <w:r w:rsidR="00DF7D38" w:rsidRPr="008C039C">
        <w:rPr>
          <w:rFonts w:cs="Arial"/>
          <w:sz w:val="16"/>
          <w:szCs w:val="16"/>
          <w:rtl/>
        </w:rPr>
        <w:t xml:space="preserve"> ואם כן </w:t>
      </w:r>
      <w:r w:rsidR="00DF7D38">
        <w:rPr>
          <w:rFonts w:cs="Arial" w:hint="cs"/>
          <w:sz w:val="16"/>
          <w:szCs w:val="16"/>
          <w:rtl/>
        </w:rPr>
        <w:t>'</w:t>
      </w:r>
      <w:r w:rsidR="00DF7D38" w:rsidRPr="008C039C">
        <w:rPr>
          <w:rFonts w:cs="Arial"/>
          <w:sz w:val="16"/>
          <w:szCs w:val="16"/>
          <w:rtl/>
        </w:rPr>
        <w:t>למה אמרו בנה</w:t>
      </w:r>
      <w:r w:rsidR="00DF7D38">
        <w:rPr>
          <w:rFonts w:cs="Arial" w:hint="cs"/>
          <w:sz w:val="16"/>
          <w:szCs w:val="16"/>
          <w:rtl/>
        </w:rPr>
        <w:t>'</w:t>
      </w:r>
      <w:r w:rsidR="00DF7D38" w:rsidRPr="008C039C">
        <w:rPr>
          <w:rFonts w:cs="Arial"/>
          <w:sz w:val="16"/>
          <w:szCs w:val="16"/>
          <w:rtl/>
        </w:rPr>
        <w:t xml:space="preserve"> </w:t>
      </w:r>
      <w:r w:rsidR="007568B9">
        <w:rPr>
          <w:rFonts w:cs="Arial" w:hint="cs"/>
          <w:sz w:val="16"/>
          <w:szCs w:val="16"/>
          <w:rtl/>
        </w:rPr>
        <w:t xml:space="preserve">- </w:t>
      </w:r>
      <w:r w:rsidR="00DF7D38" w:rsidRPr="008C039C">
        <w:rPr>
          <w:rFonts w:cs="Arial"/>
          <w:sz w:val="16"/>
          <w:szCs w:val="16"/>
          <w:rtl/>
        </w:rPr>
        <w:t>למעוטי בן חבירתה ואפילו הוא בן בעלה</w:t>
      </w:r>
      <w:r w:rsidR="00DF7D38">
        <w:rPr>
          <w:rFonts w:cs="Arial" w:hint="cs"/>
          <w:sz w:val="16"/>
          <w:szCs w:val="16"/>
          <w:rtl/>
        </w:rPr>
        <w:t>. עכ"ל.</w:t>
      </w:r>
      <w:r w:rsidR="00DF7D38" w:rsidRPr="008C039C">
        <w:rPr>
          <w:rFonts w:cs="Arial"/>
          <w:sz w:val="16"/>
          <w:szCs w:val="16"/>
          <w:rtl/>
        </w:rPr>
        <w:t xml:space="preserve"> והר"ן (כד. ד"ה ירושלמי) כתב על דברי הירושלמי כלומר למה אמרו בנה ולא אמרו את הבן דש"מ דדוקא בן אבל תאומים לא</w:t>
      </w:r>
      <w:r w:rsidR="007568B9">
        <w:rPr>
          <w:rFonts w:cs="Arial" w:hint="cs"/>
          <w:sz w:val="16"/>
          <w:szCs w:val="16"/>
          <w:rtl/>
        </w:rPr>
        <w:t>,</w:t>
      </w:r>
      <w:r w:rsidR="00DF7D38" w:rsidRPr="008C039C">
        <w:rPr>
          <w:rFonts w:cs="Arial"/>
          <w:sz w:val="16"/>
          <w:szCs w:val="16"/>
          <w:rtl/>
        </w:rPr>
        <w:t xml:space="preserve"> לאשמועינן דדוקא בנה ולא בן חבירתה</w:t>
      </w:r>
      <w:r w:rsidR="007568B9">
        <w:rPr>
          <w:rFonts w:cs="Arial" w:hint="cs"/>
          <w:sz w:val="16"/>
          <w:szCs w:val="16"/>
          <w:rtl/>
        </w:rPr>
        <w:t>,</w:t>
      </w:r>
      <w:r w:rsidR="00DF7D38" w:rsidRPr="008C039C">
        <w:rPr>
          <w:rFonts w:cs="Arial"/>
          <w:sz w:val="16"/>
          <w:szCs w:val="16"/>
          <w:rtl/>
        </w:rPr>
        <w:t xml:space="preserve"> כלומר שאם מת בנה אינה חייבת להניק בשכר</w:t>
      </w:r>
      <w:r w:rsidR="007568B9">
        <w:rPr>
          <w:rFonts w:cs="Arial" w:hint="cs"/>
          <w:sz w:val="16"/>
          <w:szCs w:val="16"/>
          <w:rtl/>
        </w:rPr>
        <w:t>,</w:t>
      </w:r>
      <w:r w:rsidR="00DF7D38" w:rsidRPr="008C039C">
        <w:rPr>
          <w:rFonts w:cs="Arial"/>
          <w:sz w:val="16"/>
          <w:szCs w:val="16"/>
          <w:rtl/>
        </w:rPr>
        <w:t xml:space="preserve"> וכן נמי אינה חייבת להניק בן שיש לו מאשה אחרת</w:t>
      </w:r>
      <w:r w:rsidR="007568B9">
        <w:rPr>
          <w:rFonts w:cs="Arial" w:hint="cs"/>
          <w:sz w:val="16"/>
          <w:szCs w:val="16"/>
          <w:rtl/>
        </w:rPr>
        <w:t>,</w:t>
      </w:r>
      <w:r w:rsidR="00DF7D38" w:rsidRPr="008C039C">
        <w:rPr>
          <w:rFonts w:cs="Arial"/>
          <w:sz w:val="16"/>
          <w:szCs w:val="16"/>
          <w:rtl/>
        </w:rPr>
        <w:t xml:space="preserve"> וכן נמי הבעל מעכב עליה מלהניק בן חבירתה עם בנה עכ"ל</w:t>
      </w:r>
      <w:r w:rsidR="00DF7D38">
        <w:rPr>
          <w:rFonts w:cs="Arial" w:hint="cs"/>
          <w:sz w:val="16"/>
          <w:szCs w:val="16"/>
          <w:rtl/>
        </w:rPr>
        <w:t xml:space="preserve">, ב"י. </w:t>
      </w:r>
      <w:r w:rsidR="007568B9">
        <w:rPr>
          <w:rFonts w:cs="Arial" w:hint="cs"/>
          <w:color w:val="00B0F0"/>
          <w:sz w:val="16"/>
          <w:szCs w:val="16"/>
          <w:rtl/>
        </w:rPr>
        <w:t>(</w:t>
      </w:r>
      <w:r w:rsidR="00DF7D38" w:rsidRPr="00DF7D38">
        <w:rPr>
          <w:rFonts w:cs="Arial" w:hint="cs"/>
          <w:color w:val="00B0F0"/>
          <w:sz w:val="16"/>
          <w:szCs w:val="16"/>
          <w:rtl/>
        </w:rPr>
        <w:t>וכ"פ הרמ"א</w:t>
      </w:r>
      <w:r w:rsidR="007568B9">
        <w:rPr>
          <w:rFonts w:cs="Arial" w:hint="cs"/>
          <w:color w:val="00B0F0"/>
          <w:sz w:val="16"/>
          <w:szCs w:val="16"/>
          <w:rtl/>
        </w:rPr>
        <w:t>)</w:t>
      </w:r>
      <w:r w:rsidR="00DF7D38" w:rsidRPr="008C039C">
        <w:rPr>
          <w:rFonts w:cs="Arial" w:hint="cs"/>
          <w:sz w:val="16"/>
          <w:szCs w:val="16"/>
          <w:rtl/>
        </w:rPr>
        <w:t>)</w:t>
      </w:r>
    </w:p>
    <w:p w14:paraId="3F06CA3E" w14:textId="77777777" w:rsidR="004D0526" w:rsidRDefault="004D0526" w:rsidP="004D0526">
      <w:pPr>
        <w:rPr>
          <w:rFonts w:cs="Arial"/>
          <w:rtl/>
        </w:rPr>
      </w:pPr>
      <w:r w:rsidRPr="003024E5">
        <w:rPr>
          <w:rFonts w:asciiTheme="minorBidi" w:hAnsiTheme="minorBidi"/>
          <w:b/>
          <w:bCs/>
          <w:color w:val="000000"/>
          <w:sz w:val="28"/>
          <w:szCs w:val="28"/>
          <w:u w:val="single"/>
          <w:rtl/>
        </w:rPr>
        <w:t>שו"ע:</w:t>
      </w:r>
    </w:p>
    <w:p w14:paraId="62AA9664" w14:textId="1DB26348" w:rsidR="000D2069" w:rsidRDefault="000D2069" w:rsidP="000D2069">
      <w:pPr>
        <w:rPr>
          <w:rtl/>
        </w:rPr>
      </w:pPr>
      <w:r>
        <w:rPr>
          <w:rFonts w:cs="Arial"/>
          <w:rtl/>
        </w:rPr>
        <w:t>יש מלאכות שהאשה עושה לבעלה בזמן שהם עניים, ואלו הם: מטחנת</w:t>
      </w:r>
      <w:r w:rsidR="00D22EAF">
        <w:rPr>
          <w:rStyle w:val="a7"/>
          <w:rFonts w:cs="Arial"/>
          <w:rtl/>
        </w:rPr>
        <w:footnoteReference w:id="708"/>
      </w:r>
      <w:r>
        <w:rPr>
          <w:rFonts w:cs="Arial"/>
          <w:rtl/>
        </w:rPr>
        <w:t xml:space="preserve">, ואופה, ומכבסת, ומבשלת, ומניקה את בנה, ונותנת תבן לפני בהמתו, אבל לא לפני בקרו. </w:t>
      </w:r>
      <w:r w:rsidRPr="004D0526">
        <w:rPr>
          <w:rFonts w:cs="Arial"/>
          <w:sz w:val="18"/>
          <w:szCs w:val="18"/>
          <w:rtl/>
        </w:rPr>
        <w:t xml:space="preserve">הגה: מת בנה, אינה מחוייבת להניק בשכר וליתן לו השכר, וכן בנו מאשה אחרת, אינה מחוייבת להניקו (ר"ן). </w:t>
      </w:r>
    </w:p>
    <w:p w14:paraId="4C9EBE69" w14:textId="77777777" w:rsidR="004D0526" w:rsidRDefault="004D0526" w:rsidP="000D2069">
      <w:pPr>
        <w:rPr>
          <w:rtl/>
        </w:rPr>
      </w:pPr>
    </w:p>
    <w:p w14:paraId="45586E8B" w14:textId="6E493DC5" w:rsidR="000D2069" w:rsidRDefault="000D2069" w:rsidP="000F64D0">
      <w:pPr>
        <w:pStyle w:val="2"/>
        <w:rPr>
          <w:rtl/>
        </w:rPr>
      </w:pPr>
      <w:r>
        <w:rPr>
          <w:rtl/>
        </w:rPr>
        <w:t>סעיף ז</w:t>
      </w:r>
      <w:r w:rsidR="00287172">
        <w:rPr>
          <w:rFonts w:hint="cs"/>
          <w:rtl/>
        </w:rPr>
        <w:t xml:space="preserve">: היה לו או הכניסה לו שפחה אחת, או שיש לה/לו ממון לקנות שפחה. </w:t>
      </w:r>
    </w:p>
    <w:p w14:paraId="6DE19700" w14:textId="2823C705" w:rsidR="005B7097" w:rsidRPr="00813DF5" w:rsidRDefault="00287172" w:rsidP="00806434">
      <w:pPr>
        <w:rPr>
          <w:rtl/>
        </w:rPr>
      </w:pPr>
      <w:r w:rsidRPr="00AB0AB9">
        <w:rPr>
          <w:rFonts w:cs="Arial" w:hint="cs"/>
          <w:b/>
          <w:bCs/>
          <w:rtl/>
        </w:rPr>
        <w:t>כתובות</w:t>
      </w:r>
      <w:r>
        <w:rPr>
          <w:rFonts w:cs="Arial" w:hint="cs"/>
          <w:b/>
          <w:bCs/>
          <w:rtl/>
        </w:rPr>
        <w:t xml:space="preserve"> </w:t>
      </w:r>
      <w:r>
        <w:rPr>
          <w:rFonts w:cs="Arial" w:hint="cs"/>
          <w:b/>
          <w:bCs/>
          <w:sz w:val="16"/>
          <w:szCs w:val="16"/>
          <w:rtl/>
        </w:rPr>
        <w:t>(פ' אף על פי)</w:t>
      </w:r>
      <w:r w:rsidRPr="00AB0AB9">
        <w:rPr>
          <w:rFonts w:cs="Arial" w:hint="cs"/>
          <w:b/>
          <w:bCs/>
          <w:rtl/>
        </w:rPr>
        <w:t xml:space="preserve"> </w:t>
      </w:r>
      <w:r>
        <w:rPr>
          <w:rFonts w:cs="Arial" w:hint="cs"/>
          <w:b/>
          <w:bCs/>
          <w:rtl/>
        </w:rPr>
        <w:t>נט</w:t>
      </w:r>
      <w:r w:rsidRPr="00AB0AB9">
        <w:rPr>
          <w:rFonts w:cs="Arial" w:hint="cs"/>
          <w:b/>
          <w:bCs/>
          <w:rtl/>
        </w:rPr>
        <w:t xml:space="preserve"> ע"ב: </w:t>
      </w:r>
      <w:r w:rsidRPr="00390A65">
        <w:rPr>
          <w:rFonts w:cs="Arial"/>
          <w:u w:val="double"/>
          <w:rtl/>
        </w:rPr>
        <w:t>מתני'</w:t>
      </w:r>
      <w:r>
        <w:rPr>
          <w:rFonts w:cs="Arial" w:hint="cs"/>
          <w:rtl/>
        </w:rPr>
        <w:t>:</w:t>
      </w:r>
      <w:r>
        <w:rPr>
          <w:rFonts w:cs="Arial"/>
          <w:rtl/>
        </w:rPr>
        <w:t xml:space="preserve"> ואלו מלאכות שהאשה עושה לבעלה</w:t>
      </w:r>
      <w:r>
        <w:rPr>
          <w:rFonts w:cs="Arial" w:hint="cs"/>
          <w:rtl/>
        </w:rPr>
        <w:t>:</w:t>
      </w:r>
      <w:r w:rsidRPr="00737A01">
        <w:rPr>
          <w:rFonts w:cs="Arial"/>
          <w:rtl/>
        </w:rPr>
        <w:t xml:space="preserve"> </w:t>
      </w:r>
      <w:r>
        <w:rPr>
          <w:rFonts w:cs="Arial"/>
          <w:rtl/>
        </w:rPr>
        <w:t>טוחנת, ואופה, ומכבסת, מבשלת, ומניקה את בנה, מצעת לו המטה, ועושה בצמר</w:t>
      </w:r>
      <w:r>
        <w:rPr>
          <w:rFonts w:cs="Arial" w:hint="cs"/>
          <w:rtl/>
        </w:rPr>
        <w:t>.</w:t>
      </w:r>
      <w:r w:rsidRPr="00B35BDB">
        <w:rPr>
          <w:rtl/>
        </w:rPr>
        <w:t xml:space="preserve"> </w:t>
      </w:r>
      <w:r w:rsidRPr="00B35BDB">
        <w:rPr>
          <w:rFonts w:cs="Arial"/>
          <w:rtl/>
        </w:rPr>
        <w:t>הכניסה לו שפחה אחת - לא טוחנת ולא אופה ולא מכבסת</w:t>
      </w:r>
      <w:r>
        <w:rPr>
          <w:rFonts w:cs="Arial" w:hint="cs"/>
          <w:rtl/>
        </w:rPr>
        <w:t>.</w:t>
      </w:r>
      <w:r w:rsidR="00806434">
        <w:rPr>
          <w:rFonts w:cs="Arial" w:hint="cs"/>
          <w:rtl/>
        </w:rPr>
        <w:t xml:space="preserve">       </w:t>
      </w:r>
      <w:r w:rsidR="00806434" w:rsidRPr="00C04A10">
        <w:rPr>
          <w:rFonts w:cs="Arial" w:hint="cs"/>
          <w:u w:val="double"/>
          <w:rtl/>
        </w:rPr>
        <w:t>גמ'</w:t>
      </w:r>
      <w:r w:rsidR="00806434" w:rsidRPr="00C04A10">
        <w:rPr>
          <w:rFonts w:cs="Arial" w:hint="cs"/>
          <w:sz w:val="14"/>
          <w:szCs w:val="14"/>
          <w:u w:val="double"/>
          <w:rtl/>
        </w:rPr>
        <w:t>(סא.)</w:t>
      </w:r>
      <w:r w:rsidR="00806434" w:rsidRPr="00C04A10">
        <w:rPr>
          <w:rFonts w:cs="Arial" w:hint="cs"/>
          <w:u w:val="double"/>
          <w:rtl/>
        </w:rPr>
        <w:t>:</w:t>
      </w:r>
      <w:r w:rsidR="00806434">
        <w:rPr>
          <w:rFonts w:cs="Arial" w:hint="cs"/>
          <w:rtl/>
        </w:rPr>
        <w:t xml:space="preserve"> </w:t>
      </w:r>
      <w:r w:rsidR="005B7097" w:rsidRPr="005B7097">
        <w:rPr>
          <w:rFonts w:cs="Arial"/>
          <w:rtl/>
        </w:rPr>
        <w:t>הכניסה לו שפחה וכו'.</w:t>
      </w:r>
      <w:r w:rsidR="00806434">
        <w:rPr>
          <w:rFonts w:cs="Arial" w:hint="cs"/>
          <w:rtl/>
        </w:rPr>
        <w:t>..</w:t>
      </w:r>
      <w:r w:rsidR="005B7097" w:rsidRPr="005B7097">
        <w:rPr>
          <w:rFonts w:cs="Arial"/>
          <w:rtl/>
        </w:rPr>
        <w:t xml:space="preserve"> </w:t>
      </w:r>
      <w:r w:rsidR="005B7097" w:rsidRPr="00806434">
        <w:rPr>
          <w:rFonts w:cs="Arial"/>
          <w:u w:val="single"/>
          <w:rtl/>
        </w:rPr>
        <w:t>א"ר חנא ואיתימא ר' שמואל בר נחמני</w:t>
      </w:r>
      <w:r w:rsidR="005B7097" w:rsidRPr="005B7097">
        <w:rPr>
          <w:rFonts w:cs="Arial"/>
          <w:rtl/>
        </w:rPr>
        <w:t>: לא הכניסה לו ממש, אלא כיון שראויה להכניס</w:t>
      </w:r>
      <w:r w:rsidR="00806434">
        <w:rPr>
          <w:rStyle w:val="a7"/>
          <w:rFonts w:cs="Arial"/>
          <w:rtl/>
        </w:rPr>
        <w:footnoteReference w:id="709"/>
      </w:r>
      <w:r w:rsidR="005B7097" w:rsidRPr="005B7097">
        <w:rPr>
          <w:rFonts w:cs="Arial"/>
          <w:rtl/>
        </w:rPr>
        <w:t xml:space="preserve"> אף על פי שלא הכניסה. תנא: אחד שהכניסה לו</w:t>
      </w:r>
      <w:r w:rsidR="00813DF5">
        <w:rPr>
          <w:rFonts w:cs="Arial" w:hint="cs"/>
          <w:rtl/>
        </w:rPr>
        <w:t xml:space="preserve">, </w:t>
      </w:r>
      <w:r w:rsidR="00901F1B" w:rsidRPr="005B7097">
        <w:rPr>
          <w:rFonts w:cs="Arial"/>
          <w:rtl/>
        </w:rPr>
        <w:t>ואחד שצמצמה לו משלה</w:t>
      </w:r>
      <w:r w:rsidR="00901F1B">
        <w:rPr>
          <w:rStyle w:val="a7"/>
          <w:rFonts w:cs="Arial"/>
          <w:rtl/>
        </w:rPr>
        <w:footnoteReference w:id="710"/>
      </w:r>
      <w:r w:rsidR="00813DF5">
        <w:rPr>
          <w:rFonts w:cs="Arial" w:hint="cs"/>
          <w:rtl/>
        </w:rPr>
        <w:t>.</w:t>
      </w:r>
      <w:r w:rsidR="00813DF5" w:rsidRPr="00DC4762">
        <w:rPr>
          <w:rFonts w:cs="Arial"/>
          <w:rtl/>
        </w:rPr>
        <w:t xml:space="preserve"> </w:t>
      </w:r>
    </w:p>
    <w:p w14:paraId="5C256C74" w14:textId="393BADA8" w:rsidR="00287172" w:rsidRPr="00287172" w:rsidRDefault="00287172" w:rsidP="00287172">
      <w:pPr>
        <w:rPr>
          <w:u w:val="single"/>
          <w:rtl/>
        </w:rPr>
      </w:pPr>
      <w:r w:rsidRPr="00287172">
        <w:rPr>
          <w:rFonts w:hint="cs"/>
          <w:u w:val="single"/>
          <w:rtl/>
        </w:rPr>
        <w:t>היה לו או הכניסה לו שפחה אחת, או שיש לה/לו ממון לקנות שפחה:</w:t>
      </w:r>
    </w:p>
    <w:p w14:paraId="10B2705A" w14:textId="7C9F6D6A" w:rsidR="00B65C55" w:rsidRDefault="00B65C55" w:rsidP="009000E3">
      <w:pPr>
        <w:pStyle w:val="ab"/>
        <w:numPr>
          <w:ilvl w:val="0"/>
          <w:numId w:val="39"/>
        </w:numPr>
      </w:pPr>
      <w:r w:rsidRPr="0004676C">
        <w:rPr>
          <w:rFonts w:cs="Arial"/>
          <w:rtl/>
        </w:rPr>
        <w:t xml:space="preserve">רמב"ם </w:t>
      </w:r>
      <w:r w:rsidRPr="0004676C">
        <w:rPr>
          <w:rFonts w:cs="Arial" w:hint="cs"/>
          <w:sz w:val="16"/>
          <w:szCs w:val="16"/>
          <w:rtl/>
        </w:rPr>
        <w:t>(</w:t>
      </w:r>
      <w:r w:rsidRPr="0004676C">
        <w:rPr>
          <w:rFonts w:cs="Arial"/>
          <w:sz w:val="16"/>
          <w:szCs w:val="16"/>
          <w:rtl/>
        </w:rPr>
        <w:t>פכ"א ה</w:t>
      </w:r>
      <w:r w:rsidRPr="0004676C">
        <w:rPr>
          <w:rFonts w:cs="Arial" w:hint="cs"/>
          <w:sz w:val="16"/>
          <w:szCs w:val="16"/>
          <w:rtl/>
        </w:rPr>
        <w:t>"</w:t>
      </w:r>
      <w:r w:rsidR="00287172">
        <w:rPr>
          <w:rFonts w:cs="Arial" w:hint="cs"/>
          <w:sz w:val="16"/>
          <w:szCs w:val="16"/>
          <w:rtl/>
        </w:rPr>
        <w:t>ה</w:t>
      </w:r>
      <w:r w:rsidRPr="0004676C">
        <w:rPr>
          <w:rFonts w:cs="Arial"/>
          <w:sz w:val="16"/>
          <w:szCs w:val="16"/>
          <w:rtl/>
        </w:rPr>
        <w:t>-ז)</w:t>
      </w:r>
      <w:r w:rsidRPr="0004676C">
        <w:rPr>
          <w:rFonts w:cs="Arial" w:hint="cs"/>
          <w:rtl/>
        </w:rPr>
        <w:t>-</w:t>
      </w:r>
      <w:r w:rsidRPr="0004676C">
        <w:rPr>
          <w:rFonts w:cs="Arial"/>
          <w:rtl/>
        </w:rPr>
        <w:t xml:space="preserve"> </w:t>
      </w:r>
      <w:r w:rsidRPr="00695839">
        <w:rPr>
          <w:rFonts w:cs="Arial"/>
          <w:rtl/>
        </w:rPr>
        <w:t>יש מלאכות אחרות שהאשה עושה לבעלה בזמן שהן עניים</w:t>
      </w:r>
      <w:r w:rsidRPr="00695839">
        <w:rPr>
          <w:rFonts w:cs="Arial" w:hint="cs"/>
          <w:rtl/>
        </w:rPr>
        <w:t>..</w:t>
      </w:r>
      <w:r w:rsidRPr="00695839">
        <w:rPr>
          <w:rFonts w:cs="Arial"/>
          <w:rtl/>
        </w:rPr>
        <w:t>. במה דברים אמורים בעניים</w:t>
      </w:r>
      <w:r>
        <w:rPr>
          <w:rFonts w:cs="Arial" w:hint="cs"/>
          <w:rtl/>
        </w:rPr>
        <w:t>,</w:t>
      </w:r>
      <w:r w:rsidRPr="00695839">
        <w:rPr>
          <w:rFonts w:cs="Arial"/>
          <w:rtl/>
        </w:rPr>
        <w:t xml:space="preserve"> אבל אם הכניסה לו שפחה אחת או נכסים שראוין לקנות מהן שפחה אחת או שהיתה לו שפחה</w:t>
      </w:r>
      <w:r w:rsidR="005A54B7">
        <w:rPr>
          <w:rStyle w:val="a7"/>
          <w:rFonts w:cs="Arial"/>
          <w:rtl/>
        </w:rPr>
        <w:footnoteReference w:id="711"/>
      </w:r>
      <w:r w:rsidRPr="00695839">
        <w:rPr>
          <w:rFonts w:cs="Arial"/>
          <w:rtl/>
        </w:rPr>
        <w:t xml:space="preserve"> אחת או שהיה לו ממון כדי לקנות ממנו שפחה אחת </w:t>
      </w:r>
      <w:r>
        <w:rPr>
          <w:rFonts w:cs="Arial" w:hint="cs"/>
          <w:rtl/>
        </w:rPr>
        <w:t xml:space="preserve">- </w:t>
      </w:r>
      <w:r w:rsidRPr="00695839">
        <w:rPr>
          <w:rFonts w:cs="Arial"/>
          <w:rtl/>
        </w:rPr>
        <w:t>אינה מטחנת ולא אופה ולא מכבסת ולא נותנת תבן לפני בהמתו</w:t>
      </w:r>
      <w:r w:rsidR="001A15E5">
        <w:rPr>
          <w:rFonts w:cs="Arial" w:hint="cs"/>
          <w:sz w:val="16"/>
          <w:szCs w:val="16"/>
          <w:rtl/>
        </w:rPr>
        <w:t xml:space="preserve"> (ל' הרמב"ם)</w:t>
      </w:r>
      <w:r w:rsidRPr="00695839">
        <w:rPr>
          <w:rFonts w:cs="Arial"/>
          <w:rtl/>
        </w:rPr>
        <w:t xml:space="preserve">. </w:t>
      </w:r>
      <w:r w:rsidRPr="00C20E03">
        <w:rPr>
          <w:rFonts w:hint="cs"/>
          <w:color w:val="E36C0A" w:themeColor="accent6" w:themeShade="BF"/>
          <w:rtl/>
        </w:rPr>
        <w:t>(וכ"פ בשו"ע)</w:t>
      </w:r>
    </w:p>
    <w:p w14:paraId="45C66878" w14:textId="1EF44D71" w:rsidR="00FC30B6" w:rsidRPr="00B65C55" w:rsidRDefault="00FC30B6" w:rsidP="009000E3">
      <w:pPr>
        <w:pStyle w:val="ab"/>
        <w:numPr>
          <w:ilvl w:val="0"/>
          <w:numId w:val="39"/>
        </w:numPr>
        <w:rPr>
          <w:rtl/>
        </w:rPr>
      </w:pPr>
      <w:r>
        <w:rPr>
          <w:rFonts w:cs="Arial" w:hint="cs"/>
          <w:rtl/>
        </w:rPr>
        <w:t xml:space="preserve">טור- </w:t>
      </w:r>
      <w:r w:rsidRPr="00FC30B6">
        <w:rPr>
          <w:rFonts w:cs="Arial"/>
          <w:rtl/>
        </w:rPr>
        <w:t>הכניסה לו שפחה אחת או דמים שראוי לקנותה מהן או שמצאה לו שפחה או דמים לקנותה אינה טוחנת ואינה אופה ואינה מכבסת</w:t>
      </w:r>
      <w:r>
        <w:rPr>
          <w:rFonts w:hint="cs"/>
          <w:rtl/>
        </w:rPr>
        <w:t>.</w:t>
      </w:r>
    </w:p>
    <w:p w14:paraId="028992BB" w14:textId="77777777" w:rsidR="004D0526" w:rsidRDefault="004D0526" w:rsidP="004D0526">
      <w:pPr>
        <w:rPr>
          <w:rFonts w:cs="Arial"/>
          <w:rtl/>
        </w:rPr>
      </w:pPr>
      <w:r w:rsidRPr="003024E5">
        <w:rPr>
          <w:rFonts w:asciiTheme="minorBidi" w:hAnsiTheme="minorBidi"/>
          <w:b/>
          <w:bCs/>
          <w:color w:val="000000"/>
          <w:sz w:val="28"/>
          <w:szCs w:val="28"/>
          <w:u w:val="single"/>
          <w:rtl/>
        </w:rPr>
        <w:t>שו"ע:</w:t>
      </w:r>
    </w:p>
    <w:p w14:paraId="6C9599C5" w14:textId="3DFB45BD" w:rsidR="000D2069" w:rsidRDefault="000D2069" w:rsidP="000D2069">
      <w:pPr>
        <w:rPr>
          <w:rtl/>
        </w:rPr>
      </w:pPr>
      <w:r>
        <w:rPr>
          <w:rFonts w:cs="Arial"/>
          <w:rtl/>
        </w:rPr>
        <w:t>הכניסה לו שפחה אחת, או נכסים</w:t>
      </w:r>
      <w:r w:rsidR="00D22EAF">
        <w:rPr>
          <w:rStyle w:val="a7"/>
          <w:rFonts w:cs="Arial"/>
          <w:rtl/>
        </w:rPr>
        <w:footnoteReference w:id="712"/>
      </w:r>
      <w:r>
        <w:rPr>
          <w:rFonts w:cs="Arial"/>
          <w:rtl/>
        </w:rPr>
        <w:t xml:space="preserve"> שראוי לקנות מהן שפחה אחת, או שהיה לו ממון כדי לקנות ממנו שפחה אחת, אינה מטחנת ולא אופה ולא מכבסת ולא נותנת תבן</w:t>
      </w:r>
      <w:r w:rsidR="00FC30B6">
        <w:rPr>
          <w:rStyle w:val="a7"/>
          <w:rFonts w:cs="Arial"/>
          <w:rtl/>
        </w:rPr>
        <w:footnoteReference w:id="713"/>
      </w:r>
      <w:r>
        <w:rPr>
          <w:rFonts w:cs="Arial"/>
          <w:rtl/>
        </w:rPr>
        <w:t xml:space="preserve"> לפני בהמתו. </w:t>
      </w:r>
    </w:p>
    <w:p w14:paraId="56F61AAF" w14:textId="056BC81B" w:rsidR="00313EFE" w:rsidRPr="00313EFE" w:rsidRDefault="00313EFE" w:rsidP="000D2069">
      <w:pPr>
        <w:rPr>
          <w:u w:val="single"/>
          <w:rtl/>
        </w:rPr>
      </w:pPr>
      <w:r w:rsidRPr="00313EFE">
        <w:rPr>
          <w:rFonts w:hint="cs"/>
          <w:u w:val="single"/>
          <w:rtl/>
        </w:rPr>
        <w:t>יש לבעל כסף לקנות שפחה, אך אינו רוצה לקנות</w:t>
      </w:r>
      <w:r w:rsidR="005A004E">
        <w:rPr>
          <w:rFonts w:hint="cs"/>
          <w:u w:val="single"/>
          <w:rtl/>
        </w:rPr>
        <w:t>, ועוד מקרים בעניין זה</w:t>
      </w:r>
      <w:r w:rsidRPr="00313EFE">
        <w:rPr>
          <w:rFonts w:hint="cs"/>
          <w:u w:val="single"/>
          <w:rtl/>
        </w:rPr>
        <w:t>:</w:t>
      </w:r>
    </w:p>
    <w:p w14:paraId="25F5AF98" w14:textId="1C0F5C27" w:rsidR="005A004E" w:rsidRPr="005A004E" w:rsidRDefault="005A004E" w:rsidP="009000E3">
      <w:pPr>
        <w:pStyle w:val="ab"/>
        <w:numPr>
          <w:ilvl w:val="0"/>
          <w:numId w:val="41"/>
        </w:numPr>
        <w:rPr>
          <w:rFonts w:cs="Arial"/>
        </w:rPr>
      </w:pPr>
      <w:r>
        <w:rPr>
          <w:rFonts w:cs="Arial" w:hint="cs"/>
          <w:rtl/>
        </w:rPr>
        <w:t xml:space="preserve">רדב"ז </w:t>
      </w:r>
      <w:r>
        <w:rPr>
          <w:rFonts w:cs="Arial" w:hint="cs"/>
          <w:sz w:val="16"/>
          <w:szCs w:val="16"/>
          <w:rtl/>
        </w:rPr>
        <w:t>(ח"א סי' שיח)</w:t>
      </w:r>
      <w:r>
        <w:rPr>
          <w:rFonts w:cs="Arial" w:hint="cs"/>
          <w:rtl/>
        </w:rPr>
        <w:t xml:space="preserve">- </w:t>
      </w:r>
      <w:r w:rsidRPr="005A004E">
        <w:rPr>
          <w:rFonts w:cs="Arial"/>
          <w:rtl/>
        </w:rPr>
        <w:t xml:space="preserve">שאלת ממני אודיעך דעתי בראובן שנשא אשה והכניסה לו נדוניא שיש בה לקנות שפחה ואינה רוצה לעשות המלאכות שהאשה חייבת לעשות לבעלה אם כופין זה את זה לקנות שפחה או לא. </w:t>
      </w:r>
      <w:r w:rsidR="00FE210D">
        <w:rPr>
          <w:rFonts w:cs="Arial"/>
          <w:rtl/>
        </w:rPr>
        <w:t xml:space="preserve">      תשובה:</w:t>
      </w:r>
      <w:r w:rsidRPr="005A004E">
        <w:rPr>
          <w:rFonts w:cs="Arial"/>
          <w:rtl/>
        </w:rPr>
        <w:t xml:space="preserve"> אם הבעל יש לו ממון וראוי לקנות שפחה הדבר ברור שאינו כופה אותה לעשות המלאכות דהיינו טוחנת ואופה ומכבסת ונותנת תבן לפני בהמתו שהרי אומרת לו יש לך ממון שאתה ראוי לקנות שפחה ואם הוא טוען איני רוצה לקנות אין כופין אותו לקנות ואין כופין אותה לעשות המלאכות</w:t>
      </w:r>
      <w:r>
        <w:rPr>
          <w:rStyle w:val="a7"/>
          <w:rFonts w:cs="Arial"/>
          <w:rtl/>
        </w:rPr>
        <w:footnoteReference w:id="714"/>
      </w:r>
      <w:r>
        <w:rPr>
          <w:rFonts w:cs="Arial" w:hint="cs"/>
          <w:rtl/>
        </w:rPr>
        <w:t>.</w:t>
      </w:r>
      <w:r w:rsidRPr="005A004E">
        <w:rPr>
          <w:rFonts w:cs="Arial"/>
          <w:rtl/>
        </w:rPr>
        <w:t xml:space="preserve"> ואם היא אומרת לקנות מהנדוניא והוא אומר איני רוצה שמא תמות ואני חייב באחריות הנדוניא הדין עמה שהרי יכולה היא לומר איני </w:t>
      </w:r>
      <w:r w:rsidRPr="005A004E">
        <w:rPr>
          <w:rFonts w:cs="Arial"/>
          <w:rtl/>
        </w:rPr>
        <w:lastRenderedPageBreak/>
        <w:t>רוצה שתשיאני שם רע בשכנותי שאין צרכי הבית מתוקנים ומיתה לא שכיחא טפי מגניבה ואבידה הילכך כופין אותו וקונה שפחה מהנדוניא והוי כאלו הכניסה אותה עמה</w:t>
      </w:r>
      <w:r>
        <w:rPr>
          <w:rFonts w:cs="Arial" w:hint="cs"/>
          <w:rtl/>
        </w:rPr>
        <w:t>.</w:t>
      </w:r>
      <w:r w:rsidRPr="005A004E">
        <w:rPr>
          <w:rFonts w:cs="Arial"/>
          <w:rtl/>
        </w:rPr>
        <w:t xml:space="preserve"> ואם הבעל אין לו ממון שראוי לקנות לו שפחה אף על גב שיש לו כדי שפחה אין כופין אותו לקנות במה שבידו שפחה וישאל על הפתחים ומ"מ כיון שהכניסה לו נדוניא רבה שיש בה כדי לקנות ממקצתה שפחה אין כופה אותה לעשות מלאכה ואם היא אומרת לקנות מהנדוניא לה שומעין וכדכתיבנא. ואם הוא אומר לקנות והיא אומרת שלא לקנות </w:t>
      </w:r>
      <w:r>
        <w:rPr>
          <w:rFonts w:cs="Arial" w:hint="cs"/>
          <w:rtl/>
        </w:rPr>
        <w:t xml:space="preserve">- </w:t>
      </w:r>
      <w:r w:rsidRPr="005A004E">
        <w:rPr>
          <w:rFonts w:cs="Arial"/>
          <w:rtl/>
        </w:rPr>
        <w:t>לו שומעין</w:t>
      </w:r>
      <w:r>
        <w:rPr>
          <w:rStyle w:val="a7"/>
          <w:rFonts w:cs="Arial"/>
          <w:rtl/>
        </w:rPr>
        <w:footnoteReference w:id="715"/>
      </w:r>
      <w:r>
        <w:rPr>
          <w:rFonts w:cs="Arial" w:hint="cs"/>
          <w:rtl/>
        </w:rPr>
        <w:t>,</w:t>
      </w:r>
      <w:r w:rsidRPr="005A004E">
        <w:rPr>
          <w:rFonts w:cs="Arial"/>
          <w:rtl/>
        </w:rPr>
        <w:t xml:space="preserve"> כיון שאין לו מי יעשה לו מלאכות הנזכר ואחריות הנדוניא עליו מאי איכפת לה זה נהנה וזה אינו חסר הוא</w:t>
      </w:r>
      <w:r>
        <w:rPr>
          <w:rFonts w:cs="Arial" w:hint="cs"/>
          <w:rtl/>
        </w:rPr>
        <w:t>.</w:t>
      </w:r>
      <w:r w:rsidRPr="005A004E">
        <w:rPr>
          <w:rFonts w:cs="Arial"/>
          <w:rtl/>
        </w:rPr>
        <w:t xml:space="preserve"> אבל מה שיש להסתפק אם היא לא הכניסה נדוניא וגם הוא עני אבל בני משפחתו דרכם להיות להם שפחות דקי"ל עולה עמו ואינה יורדת עמו אם כופה אותה לעשות המלאכות הנזכר כיון דשניהם עניים: או דלמא אמרינן אפילו בזה עולה עמו ואינה יורדת עמו. ובירושלמי משמע דאפילו בהא אמרינן עולה עמו ואינו יורדת עמו דגרסינן התם אמר רב שמואל לא סוף דבר שהכניסה אלא אפילו ראויה היא להכניס בהא דתניא אשתו עולה עמו ואינה יורדת עמו הילכך מסתברא לי דבין אם בני משפחתה דרכם להשתמש בשפחות או בני משפחתו אינו כופה אותה לעשות המלאכות הנזכר ואין דין משנתינו אלא בששניהם עניים ובני משפחתם עניים</w:t>
      </w:r>
      <w:r>
        <w:rPr>
          <w:rFonts w:cs="Arial" w:hint="cs"/>
          <w:rtl/>
        </w:rPr>
        <w:t>.</w:t>
      </w:r>
    </w:p>
    <w:p w14:paraId="00826BCC" w14:textId="77777777" w:rsidR="00313EFE" w:rsidRDefault="00313EFE" w:rsidP="00313EFE">
      <w:pPr>
        <w:rPr>
          <w:rtl/>
        </w:rPr>
      </w:pPr>
    </w:p>
    <w:p w14:paraId="4238FB26" w14:textId="4CCB55F1" w:rsidR="000D2069" w:rsidRDefault="000D2069" w:rsidP="000F64D0">
      <w:pPr>
        <w:pStyle w:val="2"/>
        <w:rPr>
          <w:rtl/>
        </w:rPr>
      </w:pPr>
      <w:r>
        <w:rPr>
          <w:rtl/>
        </w:rPr>
        <w:t>סעיף ח</w:t>
      </w:r>
      <w:r w:rsidR="00287172">
        <w:rPr>
          <w:rFonts w:hint="cs"/>
          <w:rtl/>
        </w:rPr>
        <w:t>:</w:t>
      </w:r>
      <w:r w:rsidR="00646B86" w:rsidRPr="00646B86">
        <w:rPr>
          <w:rFonts w:hint="cs"/>
          <w:rtl/>
        </w:rPr>
        <w:t xml:space="preserve"> </w:t>
      </w:r>
      <w:r w:rsidR="00646B86">
        <w:rPr>
          <w:rFonts w:hint="cs"/>
          <w:rtl/>
        </w:rPr>
        <w:t>היה לו או הכניסה לו שתי שפחות, או שיש לה/לו ממון לקנות שתי שפחות.</w:t>
      </w:r>
    </w:p>
    <w:p w14:paraId="2B81C718" w14:textId="727B7334" w:rsidR="00646B86" w:rsidRDefault="00646B86" w:rsidP="00646B86">
      <w:pPr>
        <w:rPr>
          <w:rtl/>
        </w:rPr>
      </w:pPr>
      <w:r w:rsidRPr="00AB0AB9">
        <w:rPr>
          <w:rFonts w:cs="Arial" w:hint="cs"/>
          <w:b/>
          <w:bCs/>
          <w:rtl/>
        </w:rPr>
        <w:t>כתובות</w:t>
      </w:r>
      <w:r>
        <w:rPr>
          <w:rFonts w:cs="Arial" w:hint="cs"/>
          <w:b/>
          <w:bCs/>
          <w:rtl/>
        </w:rPr>
        <w:t xml:space="preserve"> </w:t>
      </w:r>
      <w:r>
        <w:rPr>
          <w:rFonts w:cs="Arial" w:hint="cs"/>
          <w:b/>
          <w:bCs/>
          <w:sz w:val="16"/>
          <w:szCs w:val="16"/>
          <w:rtl/>
        </w:rPr>
        <w:t>(פ' אף על פי)</w:t>
      </w:r>
      <w:r w:rsidRPr="00AB0AB9">
        <w:rPr>
          <w:rFonts w:cs="Arial" w:hint="cs"/>
          <w:b/>
          <w:bCs/>
          <w:rtl/>
        </w:rPr>
        <w:t xml:space="preserve"> </w:t>
      </w:r>
      <w:r>
        <w:rPr>
          <w:rFonts w:cs="Arial" w:hint="cs"/>
          <w:b/>
          <w:bCs/>
          <w:rtl/>
        </w:rPr>
        <w:t>נט</w:t>
      </w:r>
      <w:r w:rsidRPr="00AB0AB9">
        <w:rPr>
          <w:rFonts w:cs="Arial" w:hint="cs"/>
          <w:b/>
          <w:bCs/>
          <w:rtl/>
        </w:rPr>
        <w:t xml:space="preserve"> ע"ב: </w:t>
      </w:r>
      <w:r w:rsidRPr="00390A65">
        <w:rPr>
          <w:rFonts w:cs="Arial"/>
          <w:u w:val="double"/>
          <w:rtl/>
        </w:rPr>
        <w:t>מתני'</w:t>
      </w:r>
      <w:r>
        <w:rPr>
          <w:rFonts w:cs="Arial" w:hint="cs"/>
          <w:rtl/>
        </w:rPr>
        <w:t>:</w:t>
      </w:r>
      <w:r>
        <w:rPr>
          <w:rFonts w:cs="Arial"/>
          <w:rtl/>
        </w:rPr>
        <w:t xml:space="preserve"> ואלו מלאכות שהאשה עושה לבעלה</w:t>
      </w:r>
      <w:r>
        <w:rPr>
          <w:rFonts w:cs="Arial" w:hint="cs"/>
          <w:rtl/>
        </w:rPr>
        <w:t>:</w:t>
      </w:r>
      <w:r w:rsidRPr="00737A01">
        <w:rPr>
          <w:rFonts w:cs="Arial"/>
          <w:rtl/>
        </w:rPr>
        <w:t xml:space="preserve"> </w:t>
      </w:r>
      <w:r>
        <w:rPr>
          <w:rFonts w:cs="Arial"/>
          <w:rtl/>
        </w:rPr>
        <w:t>טוחנת, ואופה, ומכבסת, מבשלת, ומניקה את בנה, מצעת לו המטה, ועושה בצמר</w:t>
      </w:r>
      <w:r>
        <w:rPr>
          <w:rFonts w:cs="Arial" w:hint="cs"/>
          <w:rtl/>
        </w:rPr>
        <w:t>.</w:t>
      </w:r>
      <w:r w:rsidRPr="00B35BDB">
        <w:rPr>
          <w:rtl/>
        </w:rPr>
        <w:t xml:space="preserve"> </w:t>
      </w:r>
      <w:r w:rsidRPr="00B35BDB">
        <w:rPr>
          <w:rFonts w:cs="Arial"/>
          <w:rtl/>
        </w:rPr>
        <w:t>הכניסה לו שפחה אחת - לא טוחנת ולא אופה ולא מכבסת</w:t>
      </w:r>
      <w:r>
        <w:rPr>
          <w:rFonts w:cs="Arial" w:hint="cs"/>
          <w:rtl/>
        </w:rPr>
        <w:t>.</w:t>
      </w:r>
      <w:r w:rsidRPr="00B35BDB">
        <w:rPr>
          <w:rFonts w:cs="Arial"/>
          <w:rtl/>
        </w:rPr>
        <w:t xml:space="preserve"> שתים - אין מבשלת ואין מניקה את בנה</w:t>
      </w:r>
      <w:r>
        <w:rPr>
          <w:rFonts w:cs="Arial" w:hint="cs"/>
          <w:rtl/>
        </w:rPr>
        <w:t>.</w:t>
      </w:r>
      <w:r w:rsidRPr="00B35BDB">
        <w:rPr>
          <w:rFonts w:cs="Arial"/>
          <w:rtl/>
        </w:rPr>
        <w:t xml:space="preserve"> שלש - אין מצעת לו המטה ואין עושה בצמר</w:t>
      </w:r>
      <w:r>
        <w:rPr>
          <w:rFonts w:cs="Arial" w:hint="cs"/>
          <w:rtl/>
        </w:rPr>
        <w:t>.</w:t>
      </w:r>
      <w:r w:rsidRPr="00B35BDB">
        <w:rPr>
          <w:rFonts w:cs="Arial"/>
          <w:rtl/>
        </w:rPr>
        <w:t xml:space="preserve"> ארבע - יושבת בקתדרא</w:t>
      </w:r>
      <w:r>
        <w:rPr>
          <w:rFonts w:cs="Arial" w:hint="cs"/>
          <w:rtl/>
        </w:rPr>
        <w:t>.</w:t>
      </w:r>
      <w:r w:rsidRPr="00B35BDB">
        <w:rPr>
          <w:rFonts w:cs="Arial"/>
          <w:rtl/>
        </w:rPr>
        <w:t xml:space="preserve"> </w:t>
      </w:r>
      <w:r w:rsidRPr="00B35BDB">
        <w:rPr>
          <w:rFonts w:cs="Arial"/>
          <w:u w:val="single"/>
          <w:rtl/>
        </w:rPr>
        <w:t>רבי אליעזר אומר</w:t>
      </w:r>
      <w:r w:rsidRPr="00B35BDB">
        <w:rPr>
          <w:rFonts w:cs="Arial"/>
          <w:rtl/>
        </w:rPr>
        <w:t>: אפי' הכניסה לו מאה שפחות - כופה לעשות בצמר, שהבטלה מביאה לידי זימה</w:t>
      </w:r>
      <w:r>
        <w:rPr>
          <w:rFonts w:cs="Arial" w:hint="cs"/>
          <w:rtl/>
        </w:rPr>
        <w:t>..</w:t>
      </w:r>
      <w:r w:rsidRPr="00B35BDB">
        <w:rPr>
          <w:rFonts w:cs="Arial"/>
          <w:rtl/>
        </w:rPr>
        <w:t>.</w:t>
      </w:r>
      <w:r>
        <w:rPr>
          <w:rFonts w:cs="Arial" w:hint="cs"/>
          <w:rtl/>
        </w:rPr>
        <w:t xml:space="preserve">       </w:t>
      </w:r>
      <w:r w:rsidRPr="00C04A10">
        <w:rPr>
          <w:rFonts w:cs="Arial" w:hint="cs"/>
          <w:u w:val="double"/>
          <w:rtl/>
        </w:rPr>
        <w:t>גמ'</w:t>
      </w:r>
      <w:r w:rsidRPr="00C04A10">
        <w:rPr>
          <w:rFonts w:cs="Arial" w:hint="cs"/>
          <w:sz w:val="14"/>
          <w:szCs w:val="14"/>
          <w:u w:val="double"/>
          <w:rtl/>
        </w:rPr>
        <w:t>(סא.)</w:t>
      </w:r>
      <w:r w:rsidRPr="00C04A10">
        <w:rPr>
          <w:rFonts w:cs="Arial" w:hint="cs"/>
          <w:u w:val="double"/>
          <w:rtl/>
        </w:rPr>
        <w:t>:</w:t>
      </w:r>
      <w:r>
        <w:rPr>
          <w:rFonts w:cs="Arial" w:hint="cs"/>
          <w:rtl/>
        </w:rPr>
        <w:t xml:space="preserve"> </w:t>
      </w:r>
      <w:r w:rsidRPr="0038747A">
        <w:rPr>
          <w:rFonts w:cs="Arial"/>
          <w:rtl/>
        </w:rPr>
        <w:t xml:space="preserve">ארבע - יושבת בקתדרא. </w:t>
      </w:r>
      <w:r w:rsidRPr="009C4A6E">
        <w:rPr>
          <w:rFonts w:cs="Arial"/>
          <w:u w:val="single"/>
          <w:rtl/>
        </w:rPr>
        <w:t>אמר רב יצחק בר חנניא אמר רב הונא</w:t>
      </w:r>
      <w:r w:rsidRPr="0038747A">
        <w:rPr>
          <w:rFonts w:cs="Arial"/>
          <w:rtl/>
        </w:rPr>
        <w:t>: אף על פי שאמרו יושבת בקתדרא, אבל מוזגת לו כוס, ומצעת לו את המטה, ומרחצת לו פניו ידיו ורגליו.</w:t>
      </w:r>
    </w:p>
    <w:p w14:paraId="42F82443" w14:textId="4A0AE42C" w:rsidR="00646B86" w:rsidRPr="00646B86" w:rsidRDefault="00646B86" w:rsidP="00646B86">
      <w:pPr>
        <w:rPr>
          <w:u w:val="single"/>
          <w:rtl/>
        </w:rPr>
      </w:pPr>
      <w:r w:rsidRPr="00646B86">
        <w:rPr>
          <w:rFonts w:hint="cs"/>
          <w:u w:val="single"/>
          <w:rtl/>
        </w:rPr>
        <w:t>היה לו או הכניסה לו שתי שפחות, או שיש לה/לו ממון לקנות שתי שפחות:</w:t>
      </w:r>
    </w:p>
    <w:p w14:paraId="259443C1" w14:textId="2AD589DE" w:rsidR="00287172" w:rsidRPr="00B65C55" w:rsidRDefault="00287172" w:rsidP="009000E3">
      <w:pPr>
        <w:pStyle w:val="ab"/>
        <w:numPr>
          <w:ilvl w:val="0"/>
          <w:numId w:val="39"/>
        </w:numPr>
        <w:rPr>
          <w:rtl/>
        </w:rPr>
      </w:pPr>
      <w:r w:rsidRPr="0004676C">
        <w:rPr>
          <w:rFonts w:cs="Arial"/>
          <w:rtl/>
        </w:rPr>
        <w:t xml:space="preserve">רמב"ם </w:t>
      </w:r>
      <w:r w:rsidRPr="0004676C">
        <w:rPr>
          <w:rFonts w:cs="Arial" w:hint="cs"/>
          <w:sz w:val="16"/>
          <w:szCs w:val="16"/>
          <w:rtl/>
        </w:rPr>
        <w:t>(</w:t>
      </w:r>
      <w:r w:rsidRPr="0004676C">
        <w:rPr>
          <w:rFonts w:cs="Arial"/>
          <w:sz w:val="16"/>
          <w:szCs w:val="16"/>
          <w:rtl/>
        </w:rPr>
        <w:t>פכ"א ה</w:t>
      </w:r>
      <w:r w:rsidRPr="0004676C">
        <w:rPr>
          <w:rFonts w:cs="Arial" w:hint="cs"/>
          <w:sz w:val="16"/>
          <w:szCs w:val="16"/>
          <w:rtl/>
        </w:rPr>
        <w:t>"</w:t>
      </w:r>
      <w:r w:rsidR="00646B86">
        <w:rPr>
          <w:rFonts w:cs="Arial" w:hint="cs"/>
          <w:sz w:val="16"/>
          <w:szCs w:val="16"/>
          <w:rtl/>
        </w:rPr>
        <w:t>ה</w:t>
      </w:r>
      <w:r w:rsidRPr="0004676C">
        <w:rPr>
          <w:rFonts w:cs="Arial"/>
          <w:sz w:val="16"/>
          <w:szCs w:val="16"/>
          <w:rtl/>
        </w:rPr>
        <w:t>-</w:t>
      </w:r>
      <w:r w:rsidR="00646B86">
        <w:rPr>
          <w:rFonts w:cs="Arial" w:hint="cs"/>
          <w:sz w:val="16"/>
          <w:szCs w:val="16"/>
          <w:rtl/>
        </w:rPr>
        <w:t>ו</w:t>
      </w:r>
      <w:r w:rsidRPr="0004676C">
        <w:rPr>
          <w:rFonts w:cs="Arial"/>
          <w:sz w:val="16"/>
          <w:szCs w:val="16"/>
          <w:rtl/>
        </w:rPr>
        <w:t>)</w:t>
      </w:r>
      <w:r w:rsidR="005A54B7">
        <w:rPr>
          <w:rFonts w:cs="Arial" w:hint="cs"/>
          <w:rtl/>
        </w:rPr>
        <w:t xml:space="preserve"> וטור</w:t>
      </w:r>
      <w:r w:rsidRPr="0004676C">
        <w:rPr>
          <w:rFonts w:cs="Arial" w:hint="cs"/>
          <w:rtl/>
        </w:rPr>
        <w:t>-</w:t>
      </w:r>
      <w:r w:rsidRPr="0004676C">
        <w:rPr>
          <w:rFonts w:cs="Arial"/>
          <w:rtl/>
        </w:rPr>
        <w:t xml:space="preserve"> </w:t>
      </w:r>
      <w:r w:rsidRPr="00695839">
        <w:rPr>
          <w:rFonts w:cs="Arial"/>
          <w:rtl/>
        </w:rPr>
        <w:t>יש מלאכות אחרות שהאשה עושה לבעלה בזמן שהן עניים</w:t>
      </w:r>
      <w:r w:rsidRPr="00695839">
        <w:rPr>
          <w:rFonts w:cs="Arial" w:hint="cs"/>
          <w:rtl/>
        </w:rPr>
        <w:t>..</w:t>
      </w:r>
      <w:r w:rsidRPr="00695839">
        <w:rPr>
          <w:rFonts w:cs="Arial"/>
          <w:rtl/>
        </w:rPr>
        <w:t>.</w:t>
      </w:r>
      <w:r w:rsidRPr="00695839">
        <w:rPr>
          <w:rFonts w:cs="Arial" w:hint="cs"/>
          <w:rtl/>
        </w:rPr>
        <w:t xml:space="preserve"> </w:t>
      </w:r>
      <w:r w:rsidRPr="00695839">
        <w:rPr>
          <w:rFonts w:cs="Arial"/>
          <w:rtl/>
        </w:rPr>
        <w:t>במה דברים אמורים בעניים</w:t>
      </w:r>
      <w:r>
        <w:rPr>
          <w:rFonts w:cs="Arial" w:hint="cs"/>
          <w:rtl/>
        </w:rPr>
        <w:t>,</w:t>
      </w:r>
      <w:r w:rsidRPr="00695839">
        <w:rPr>
          <w:rFonts w:cs="Arial"/>
          <w:rtl/>
        </w:rPr>
        <w:t xml:space="preserve"> אבל אם</w:t>
      </w:r>
      <w:r w:rsidR="00646B86">
        <w:rPr>
          <w:rFonts w:cs="Arial" w:hint="cs"/>
          <w:rtl/>
        </w:rPr>
        <w:t>...</w:t>
      </w:r>
      <w:r w:rsidRPr="00695839">
        <w:rPr>
          <w:rFonts w:cs="Arial"/>
          <w:rtl/>
        </w:rPr>
        <w:t xml:space="preserve"> הכניסה לו שתי שפחות או נכסים הראויין לקנות מהן שתי שפחות או שהיו לו שתי שפחות או שהיה ראוי לקנות שתי שפחות </w:t>
      </w:r>
      <w:r>
        <w:rPr>
          <w:rFonts w:cs="Arial" w:hint="cs"/>
          <w:rtl/>
        </w:rPr>
        <w:t xml:space="preserve">- </w:t>
      </w:r>
      <w:r w:rsidRPr="00695839">
        <w:rPr>
          <w:rFonts w:cs="Arial"/>
          <w:rtl/>
        </w:rPr>
        <w:t>אינה מבשלת ואינה מניקה את בנה אלא נותנת אותו לשפחה להניק</w:t>
      </w:r>
      <w:r>
        <w:rPr>
          <w:rStyle w:val="a7"/>
          <w:rFonts w:cs="Arial"/>
          <w:rtl/>
        </w:rPr>
        <w:footnoteReference w:id="716"/>
      </w:r>
      <w:r w:rsidR="001A15E5">
        <w:rPr>
          <w:rFonts w:cs="Arial" w:hint="cs"/>
          <w:sz w:val="16"/>
          <w:szCs w:val="16"/>
          <w:rtl/>
        </w:rPr>
        <w:t xml:space="preserve"> (ל' הרמב"ם)</w:t>
      </w:r>
      <w:r w:rsidRPr="00695839">
        <w:rPr>
          <w:rFonts w:cs="Arial"/>
          <w:rtl/>
        </w:rPr>
        <w:t>.</w:t>
      </w:r>
      <w:r>
        <w:rPr>
          <w:rFonts w:hint="cs"/>
          <w:rtl/>
        </w:rPr>
        <w:t xml:space="preserve"> </w:t>
      </w:r>
      <w:r w:rsidRPr="00BF69BA">
        <w:rPr>
          <w:rFonts w:hint="cs"/>
          <w:color w:val="E36C0A" w:themeColor="accent6" w:themeShade="BF"/>
          <w:rtl/>
        </w:rPr>
        <w:t>(וכ"פ בשו"ע)</w:t>
      </w:r>
    </w:p>
    <w:p w14:paraId="18D10407" w14:textId="788CD51A" w:rsidR="00287172" w:rsidRPr="00646B86" w:rsidRDefault="00646B86" w:rsidP="00287172">
      <w:pPr>
        <w:rPr>
          <w:u w:val="single"/>
          <w:rtl/>
        </w:rPr>
      </w:pPr>
      <w:r w:rsidRPr="00646B86">
        <w:rPr>
          <w:rFonts w:hint="cs"/>
          <w:u w:val="single"/>
          <w:rtl/>
        </w:rPr>
        <w:t xml:space="preserve">הכניסה לו שלש שפחות </w:t>
      </w:r>
      <w:r w:rsidR="00F97626">
        <w:rPr>
          <w:u w:val="single"/>
          <w:rtl/>
        </w:rPr>
        <w:t>-</w:t>
      </w:r>
      <w:r w:rsidRPr="00646B86">
        <w:rPr>
          <w:rFonts w:hint="cs"/>
          <w:u w:val="single"/>
          <w:rtl/>
        </w:rPr>
        <w:t xml:space="preserve"> האם חייבת עדיין בהצעת המטה:</w:t>
      </w:r>
    </w:p>
    <w:p w14:paraId="7CE7BE53" w14:textId="4D5DC1C6" w:rsidR="00646B86" w:rsidRPr="00287172" w:rsidRDefault="00646B86" w:rsidP="009000E3">
      <w:pPr>
        <w:pStyle w:val="ab"/>
        <w:numPr>
          <w:ilvl w:val="0"/>
          <w:numId w:val="39"/>
        </w:numPr>
        <w:rPr>
          <w:rtl/>
        </w:rPr>
      </w:pPr>
      <w:r>
        <w:rPr>
          <w:rFonts w:hint="cs"/>
          <w:rtl/>
        </w:rPr>
        <w:t>עיין במקורות בסעיף ה.</w:t>
      </w:r>
    </w:p>
    <w:p w14:paraId="72CEBA1E" w14:textId="77777777" w:rsidR="004D0526" w:rsidRDefault="004D0526" w:rsidP="004D0526">
      <w:pPr>
        <w:rPr>
          <w:rFonts w:cs="Arial"/>
          <w:rtl/>
        </w:rPr>
      </w:pPr>
      <w:r w:rsidRPr="003024E5">
        <w:rPr>
          <w:rFonts w:asciiTheme="minorBidi" w:hAnsiTheme="minorBidi"/>
          <w:b/>
          <w:bCs/>
          <w:color w:val="000000"/>
          <w:sz w:val="28"/>
          <w:szCs w:val="28"/>
          <w:u w:val="single"/>
          <w:rtl/>
        </w:rPr>
        <w:t>שו"ע:</w:t>
      </w:r>
    </w:p>
    <w:p w14:paraId="1F07BFE4" w14:textId="4F249B1B" w:rsidR="000D2069" w:rsidRDefault="000D2069" w:rsidP="000D2069">
      <w:pPr>
        <w:rPr>
          <w:rtl/>
        </w:rPr>
      </w:pPr>
      <w:r>
        <w:rPr>
          <w:rFonts w:cs="Arial"/>
          <w:rtl/>
        </w:rPr>
        <w:t xml:space="preserve">הכניסה לו שתי שפחות, או נכסים הראוים לקנות מהם שתי שפחות, או שהיו לו שתי שפחות, או שהיה ראוי לקנות שתי שפחות, אינה מבשלת ואינה מניקה את בנה. </w:t>
      </w:r>
      <w:r w:rsidRPr="004D0526">
        <w:rPr>
          <w:rFonts w:cs="Arial"/>
          <w:sz w:val="18"/>
          <w:szCs w:val="18"/>
          <w:rtl/>
        </w:rPr>
        <w:t>הגה: הכניסה לו שלש שפחות, או ממון, או שיש לו ממון שיכול לקנות או לשכור, אינה מצעת המטות, רק מטתו (הר"ן בשם י"מ</w:t>
      </w:r>
      <w:r w:rsidR="00417CAE">
        <w:rPr>
          <w:rFonts w:cs="Arial" w:hint="cs"/>
          <w:sz w:val="18"/>
          <w:szCs w:val="18"/>
          <w:rtl/>
        </w:rPr>
        <w:t>).</w:t>
      </w:r>
      <w:r w:rsidRPr="004D0526">
        <w:rPr>
          <w:rFonts w:cs="Arial"/>
          <w:sz w:val="18"/>
          <w:szCs w:val="18"/>
          <w:rtl/>
        </w:rPr>
        <w:t xml:space="preserve"> י"א דאף מטתו אינה מצעת, רק בפריסת סדינין, ומסדרת לו מטתו שהוא דרך חיבה, וכל אשה תעשה זה אפילו יש לה כמה שפחות (טור).</w:t>
      </w:r>
      <w:r>
        <w:rPr>
          <w:rFonts w:cs="Arial"/>
          <w:rtl/>
        </w:rPr>
        <w:t xml:space="preserve"> </w:t>
      </w:r>
    </w:p>
    <w:p w14:paraId="4A5F4C41" w14:textId="3E643511" w:rsidR="001A15E5" w:rsidRDefault="001A15E5" w:rsidP="000D2069">
      <w:pPr>
        <w:rPr>
          <w:rtl/>
        </w:rPr>
      </w:pPr>
    </w:p>
    <w:p w14:paraId="69FD59ED" w14:textId="77777777" w:rsidR="0041366C" w:rsidRDefault="000D2069" w:rsidP="000F64D0">
      <w:pPr>
        <w:pStyle w:val="2"/>
        <w:rPr>
          <w:rtl/>
        </w:rPr>
      </w:pPr>
      <w:r>
        <w:rPr>
          <w:rtl/>
        </w:rPr>
        <w:t>סעיף ט</w:t>
      </w:r>
      <w:r w:rsidR="004202AD">
        <w:rPr>
          <w:rFonts w:hint="cs"/>
          <w:rtl/>
        </w:rPr>
        <w:t xml:space="preserve">: </w:t>
      </w:r>
      <w:r w:rsidR="0041366C" w:rsidRPr="000E736B">
        <w:rPr>
          <w:rtl/>
        </w:rPr>
        <w:t xml:space="preserve">היא אומרת </w:t>
      </w:r>
      <w:r w:rsidR="0041366C">
        <w:rPr>
          <w:rFonts w:hint="cs"/>
          <w:rtl/>
        </w:rPr>
        <w:t>'</w:t>
      </w:r>
      <w:r w:rsidR="0041366C" w:rsidRPr="000E736B">
        <w:rPr>
          <w:rtl/>
        </w:rPr>
        <w:t>ראוי הוא לשכור</w:t>
      </w:r>
      <w:r w:rsidR="0041366C">
        <w:rPr>
          <w:rFonts w:hint="cs"/>
          <w:rtl/>
        </w:rPr>
        <w:t>/</w:t>
      </w:r>
      <w:r w:rsidR="0041366C" w:rsidRPr="000E736B">
        <w:rPr>
          <w:rtl/>
        </w:rPr>
        <w:t>לקנות שפחה</w:t>
      </w:r>
      <w:r w:rsidR="0041366C">
        <w:rPr>
          <w:rFonts w:hint="cs"/>
          <w:rtl/>
        </w:rPr>
        <w:t>'</w:t>
      </w:r>
      <w:r w:rsidR="0041366C" w:rsidRPr="000E736B">
        <w:rPr>
          <w:rtl/>
        </w:rPr>
        <w:t xml:space="preserve"> והוא אומר </w:t>
      </w:r>
      <w:r w:rsidR="0041366C">
        <w:rPr>
          <w:rFonts w:hint="cs"/>
          <w:rtl/>
        </w:rPr>
        <w:t>'</w:t>
      </w:r>
      <w:r w:rsidR="0041366C" w:rsidRPr="000E736B">
        <w:rPr>
          <w:rtl/>
        </w:rPr>
        <w:t>איני ראוי</w:t>
      </w:r>
      <w:r w:rsidR="0041366C">
        <w:rPr>
          <w:rFonts w:hint="cs"/>
          <w:rtl/>
        </w:rPr>
        <w:t>'.</w:t>
      </w:r>
    </w:p>
    <w:p w14:paraId="22FD726C" w14:textId="122294DE" w:rsidR="004202AD" w:rsidRPr="0041366C" w:rsidRDefault="0041366C" w:rsidP="0041366C">
      <w:pPr>
        <w:rPr>
          <w:u w:val="single"/>
          <w:rtl/>
        </w:rPr>
      </w:pPr>
      <w:r w:rsidRPr="000E736B">
        <w:rPr>
          <w:rFonts w:cs="Arial"/>
          <w:u w:val="single"/>
          <w:rtl/>
        </w:rPr>
        <w:t xml:space="preserve">היא אומרת </w:t>
      </w:r>
      <w:r w:rsidRPr="000E736B">
        <w:rPr>
          <w:rFonts w:cs="Arial" w:hint="cs"/>
          <w:u w:val="single"/>
          <w:rtl/>
        </w:rPr>
        <w:t>'</w:t>
      </w:r>
      <w:r w:rsidRPr="000E736B">
        <w:rPr>
          <w:rFonts w:cs="Arial"/>
          <w:u w:val="single"/>
          <w:rtl/>
        </w:rPr>
        <w:t>ראוי הוא לשכור</w:t>
      </w:r>
      <w:r w:rsidRPr="000E736B">
        <w:rPr>
          <w:rFonts w:cs="Arial" w:hint="cs"/>
          <w:u w:val="single"/>
          <w:rtl/>
        </w:rPr>
        <w:t>/</w:t>
      </w:r>
      <w:r w:rsidRPr="000E736B">
        <w:rPr>
          <w:rFonts w:cs="Arial"/>
          <w:u w:val="single"/>
          <w:rtl/>
        </w:rPr>
        <w:t>לקנות שפחה</w:t>
      </w:r>
      <w:r w:rsidRPr="000E736B">
        <w:rPr>
          <w:rFonts w:cs="Arial" w:hint="cs"/>
          <w:u w:val="single"/>
          <w:rtl/>
        </w:rPr>
        <w:t>'</w:t>
      </w:r>
      <w:r w:rsidRPr="000E736B">
        <w:rPr>
          <w:rFonts w:cs="Arial"/>
          <w:u w:val="single"/>
          <w:rtl/>
        </w:rPr>
        <w:t xml:space="preserve"> והוא אומר </w:t>
      </w:r>
      <w:r w:rsidRPr="000E736B">
        <w:rPr>
          <w:rFonts w:cs="Arial" w:hint="cs"/>
          <w:u w:val="single"/>
          <w:rtl/>
        </w:rPr>
        <w:t>'</w:t>
      </w:r>
      <w:r w:rsidRPr="000E736B">
        <w:rPr>
          <w:rFonts w:cs="Arial"/>
          <w:u w:val="single"/>
          <w:rtl/>
        </w:rPr>
        <w:t>איני ראוי</w:t>
      </w:r>
      <w:r w:rsidRPr="000E736B">
        <w:rPr>
          <w:rFonts w:cs="Arial" w:hint="cs"/>
          <w:u w:val="single"/>
          <w:rtl/>
        </w:rPr>
        <w:t>'</w:t>
      </w:r>
      <w:r w:rsidRPr="00F4316E">
        <w:rPr>
          <w:rFonts w:hint="cs"/>
          <w:u w:val="single"/>
          <w:rtl/>
        </w:rPr>
        <w:t>:</w:t>
      </w:r>
    </w:p>
    <w:p w14:paraId="0DA6BDE5" w14:textId="1B79BA54" w:rsidR="0060187B" w:rsidRPr="0060187B" w:rsidRDefault="0060187B" w:rsidP="009000E3">
      <w:pPr>
        <w:pStyle w:val="ab"/>
        <w:numPr>
          <w:ilvl w:val="0"/>
          <w:numId w:val="35"/>
        </w:numPr>
        <w:rPr>
          <w:rtl/>
        </w:rPr>
      </w:pPr>
      <w:r>
        <w:rPr>
          <w:rFonts w:cs="Arial" w:hint="cs"/>
          <w:rtl/>
        </w:rPr>
        <w:lastRenderedPageBreak/>
        <w:t xml:space="preserve">רמב"ם </w:t>
      </w:r>
      <w:r>
        <w:rPr>
          <w:rFonts w:cs="Arial" w:hint="cs"/>
          <w:sz w:val="16"/>
          <w:szCs w:val="16"/>
          <w:rtl/>
        </w:rPr>
        <w:t>(פכ"א הט"ו)</w:t>
      </w:r>
      <w:r>
        <w:rPr>
          <w:rFonts w:cs="Arial" w:hint="cs"/>
          <w:rtl/>
        </w:rPr>
        <w:t xml:space="preserve"> וטור- </w:t>
      </w:r>
      <w:r w:rsidRPr="0060187B">
        <w:rPr>
          <w:rFonts w:cs="Arial"/>
          <w:rtl/>
        </w:rPr>
        <w:t>היא אומרת ראוי הוא לשכור או לקנות שפחה והוא אומר איני ראוי</w:t>
      </w:r>
      <w:r>
        <w:rPr>
          <w:rFonts w:cs="Arial" w:hint="cs"/>
          <w:rtl/>
        </w:rPr>
        <w:t xml:space="preserve"> -</w:t>
      </w:r>
      <w:r w:rsidRPr="0060187B">
        <w:rPr>
          <w:rFonts w:cs="Arial"/>
          <w:rtl/>
        </w:rPr>
        <w:t xml:space="preserve"> עליה להביא ראיה</w:t>
      </w:r>
      <w:r>
        <w:rPr>
          <w:rStyle w:val="a7"/>
          <w:rFonts w:cs="Arial"/>
          <w:rtl/>
        </w:rPr>
        <w:footnoteReference w:id="717"/>
      </w:r>
      <w:r>
        <w:rPr>
          <w:rFonts w:cs="Arial" w:hint="cs"/>
          <w:rtl/>
        </w:rPr>
        <w:t>,</w:t>
      </w:r>
      <w:r w:rsidRPr="0060187B">
        <w:rPr>
          <w:rFonts w:cs="Arial"/>
          <w:rtl/>
        </w:rPr>
        <w:t xml:space="preserve"> ואין כאן מקום לשבועה</w:t>
      </w:r>
      <w:r>
        <w:rPr>
          <w:rStyle w:val="a7"/>
          <w:rFonts w:cs="Arial"/>
          <w:rtl/>
        </w:rPr>
        <w:footnoteReference w:id="718"/>
      </w:r>
      <w:r>
        <w:rPr>
          <w:rFonts w:cs="Arial" w:hint="cs"/>
          <w:sz w:val="16"/>
          <w:szCs w:val="16"/>
          <w:rtl/>
        </w:rPr>
        <w:t xml:space="preserve"> (ל' הרמב"ם)</w:t>
      </w:r>
      <w:r w:rsidR="006D571C">
        <w:rPr>
          <w:rFonts w:cs="Arial" w:hint="cs"/>
          <w:rtl/>
        </w:rPr>
        <w:t>.</w:t>
      </w:r>
      <w:r w:rsidR="006D571C" w:rsidRPr="000A7A9C">
        <w:rPr>
          <w:rFonts w:cs="Arial"/>
          <w:rtl/>
        </w:rPr>
        <w:t xml:space="preserve"> </w:t>
      </w:r>
      <w:r w:rsidRPr="00BF69BA">
        <w:rPr>
          <w:rFonts w:hint="cs"/>
          <w:color w:val="E36C0A" w:themeColor="accent6" w:themeShade="BF"/>
          <w:rtl/>
        </w:rPr>
        <w:t>(וכ"פ בשו"ע)</w:t>
      </w:r>
    </w:p>
    <w:p w14:paraId="7FC6F4DA" w14:textId="77777777" w:rsidR="004D0526" w:rsidRDefault="004D0526" w:rsidP="004D0526">
      <w:pPr>
        <w:rPr>
          <w:rFonts w:cs="Arial"/>
          <w:rtl/>
        </w:rPr>
      </w:pPr>
      <w:r w:rsidRPr="003024E5">
        <w:rPr>
          <w:rFonts w:asciiTheme="minorBidi" w:hAnsiTheme="minorBidi"/>
          <w:b/>
          <w:bCs/>
          <w:color w:val="000000"/>
          <w:sz w:val="28"/>
          <w:szCs w:val="28"/>
          <w:u w:val="single"/>
          <w:rtl/>
        </w:rPr>
        <w:t>שו"ע:</w:t>
      </w:r>
    </w:p>
    <w:p w14:paraId="090DDDC6" w14:textId="3B2A52AD" w:rsidR="000D2069" w:rsidRDefault="000D2069" w:rsidP="000D2069">
      <w:pPr>
        <w:rPr>
          <w:rtl/>
        </w:rPr>
      </w:pPr>
      <w:r>
        <w:rPr>
          <w:rFonts w:cs="Arial"/>
          <w:rtl/>
        </w:rPr>
        <w:t xml:space="preserve">היא אומרת: ראוי הוא לקנות, או לשכור שפחה, והוא אומר שאינו ראוי, עליה להביא ראיה. </w:t>
      </w:r>
    </w:p>
    <w:p w14:paraId="61B28A05" w14:textId="77777777" w:rsidR="004D0526" w:rsidRDefault="004D0526" w:rsidP="000D2069">
      <w:pPr>
        <w:rPr>
          <w:rtl/>
        </w:rPr>
      </w:pPr>
    </w:p>
    <w:p w14:paraId="7401B703" w14:textId="5F20C95F" w:rsidR="000D2069" w:rsidRDefault="000D2069" w:rsidP="000F64D0">
      <w:pPr>
        <w:pStyle w:val="2"/>
        <w:rPr>
          <w:rtl/>
        </w:rPr>
      </w:pPr>
      <w:r>
        <w:rPr>
          <w:rtl/>
        </w:rPr>
        <w:t>סעיף י</w:t>
      </w:r>
      <w:r w:rsidR="00652E6A">
        <w:rPr>
          <w:rFonts w:hint="cs"/>
          <w:rtl/>
        </w:rPr>
        <w:t>: חיוב מלאכ</w:t>
      </w:r>
      <w:r w:rsidR="00B55E22">
        <w:rPr>
          <w:rFonts w:hint="cs"/>
          <w:rtl/>
        </w:rPr>
        <w:t>ה</w:t>
      </w:r>
      <w:r w:rsidR="00652E6A">
        <w:rPr>
          <w:rFonts w:hint="cs"/>
          <w:rtl/>
        </w:rPr>
        <w:t xml:space="preserve"> כשאין דרך משפחתם לעשות כן.</w:t>
      </w:r>
    </w:p>
    <w:p w14:paraId="31374C91" w14:textId="0F19420F" w:rsidR="00344295" w:rsidRDefault="00344295" w:rsidP="00344295">
      <w:pPr>
        <w:rPr>
          <w:rFonts w:cs="Arial"/>
          <w:rtl/>
        </w:rPr>
      </w:pPr>
      <w:r w:rsidRPr="00AB0AB9">
        <w:rPr>
          <w:rFonts w:cs="Arial" w:hint="cs"/>
          <w:b/>
          <w:bCs/>
          <w:rtl/>
        </w:rPr>
        <w:t>כתובות</w:t>
      </w:r>
      <w:r>
        <w:rPr>
          <w:rFonts w:cs="Arial" w:hint="cs"/>
          <w:b/>
          <w:bCs/>
          <w:rtl/>
        </w:rPr>
        <w:t xml:space="preserve"> </w:t>
      </w:r>
      <w:r>
        <w:rPr>
          <w:rFonts w:cs="Arial" w:hint="cs"/>
          <w:b/>
          <w:bCs/>
          <w:sz w:val="16"/>
          <w:szCs w:val="16"/>
          <w:rtl/>
        </w:rPr>
        <w:t>(פ' אף על פי)</w:t>
      </w:r>
      <w:r w:rsidRPr="00AB0AB9">
        <w:rPr>
          <w:rFonts w:cs="Arial" w:hint="cs"/>
          <w:b/>
          <w:bCs/>
          <w:rtl/>
        </w:rPr>
        <w:t xml:space="preserve"> </w:t>
      </w:r>
      <w:r>
        <w:rPr>
          <w:rFonts w:cs="Arial" w:hint="cs"/>
          <w:b/>
          <w:bCs/>
          <w:rtl/>
        </w:rPr>
        <w:t>סא</w:t>
      </w:r>
      <w:r w:rsidRPr="00AB0AB9">
        <w:rPr>
          <w:rFonts w:cs="Arial" w:hint="cs"/>
          <w:b/>
          <w:bCs/>
          <w:rtl/>
        </w:rPr>
        <w:t xml:space="preserve"> ע"</w:t>
      </w:r>
      <w:r>
        <w:rPr>
          <w:rFonts w:cs="Arial" w:hint="cs"/>
          <w:b/>
          <w:bCs/>
          <w:rtl/>
        </w:rPr>
        <w:t>א</w:t>
      </w:r>
      <w:r w:rsidRPr="00AB0AB9">
        <w:rPr>
          <w:rFonts w:cs="Arial" w:hint="cs"/>
          <w:b/>
          <w:bCs/>
          <w:rtl/>
        </w:rPr>
        <w:t xml:space="preserve">: </w:t>
      </w:r>
      <w:r w:rsidRPr="00344295">
        <w:rPr>
          <w:rFonts w:cs="Arial"/>
          <w:u w:val="single"/>
          <w:rtl/>
        </w:rPr>
        <w:t>אמר רב הונא</w:t>
      </w:r>
      <w:r>
        <w:rPr>
          <w:rFonts w:cs="Arial" w:hint="cs"/>
          <w:u w:val="single"/>
          <w:rtl/>
        </w:rPr>
        <w:t>:</w:t>
      </w:r>
      <w:r>
        <w:rPr>
          <w:rFonts w:cs="Arial" w:hint="cs"/>
          <w:rtl/>
        </w:rPr>
        <w:t xml:space="preserve"> </w:t>
      </w:r>
      <w:r w:rsidRPr="00344295">
        <w:rPr>
          <w:rFonts w:cs="Arial"/>
          <w:rtl/>
        </w:rPr>
        <w:t>בדק לן רב הונא בר חיננא</w:t>
      </w:r>
      <w:r>
        <w:rPr>
          <w:rFonts w:cs="Arial" w:hint="cs"/>
          <w:rtl/>
        </w:rPr>
        <w:t>,</w:t>
      </w:r>
      <w:r w:rsidRPr="00344295">
        <w:rPr>
          <w:rFonts w:cs="Arial"/>
          <w:rtl/>
        </w:rPr>
        <w:t xml:space="preserve"> היא אומרת להניק והוא אומר שלא להניק - שומעין לה, צערא דידה הוא</w:t>
      </w:r>
      <w:r>
        <w:rPr>
          <w:rStyle w:val="a7"/>
          <w:rFonts w:cs="Arial"/>
          <w:rtl/>
        </w:rPr>
        <w:footnoteReference w:id="719"/>
      </w:r>
      <w:r>
        <w:rPr>
          <w:rFonts w:cs="Arial" w:hint="cs"/>
          <w:rtl/>
        </w:rPr>
        <w:t>.</w:t>
      </w:r>
      <w:r w:rsidRPr="00344295">
        <w:rPr>
          <w:rFonts w:cs="Arial"/>
          <w:rtl/>
        </w:rPr>
        <w:t xml:space="preserve"> הוא אומר להניק והיא אומרת שלא להניק, מהו? כל היכא דלאו אורחה</w:t>
      </w:r>
      <w:r w:rsidR="003810EC">
        <w:rPr>
          <w:rStyle w:val="a7"/>
          <w:rFonts w:cs="Arial"/>
          <w:rtl/>
        </w:rPr>
        <w:footnoteReference w:id="720"/>
      </w:r>
      <w:r>
        <w:rPr>
          <w:rFonts w:cs="Arial" w:hint="cs"/>
          <w:rtl/>
        </w:rPr>
        <w:t xml:space="preserve"> -</w:t>
      </w:r>
      <w:r w:rsidRPr="00344295">
        <w:rPr>
          <w:rFonts w:cs="Arial"/>
          <w:rtl/>
        </w:rPr>
        <w:t xml:space="preserve"> שומעין לה</w:t>
      </w:r>
      <w:r>
        <w:rPr>
          <w:rFonts w:cs="Arial" w:hint="cs"/>
          <w:rtl/>
        </w:rPr>
        <w:t>.</w:t>
      </w:r>
      <w:r w:rsidRPr="00344295">
        <w:rPr>
          <w:rFonts w:cs="Arial"/>
          <w:rtl/>
        </w:rPr>
        <w:t xml:space="preserve"> היא אורחה והוא לאו אורחיה, מאי</w:t>
      </w:r>
      <w:r>
        <w:rPr>
          <w:rFonts w:cs="Arial" w:hint="cs"/>
          <w:rtl/>
        </w:rPr>
        <w:t>,</w:t>
      </w:r>
      <w:r w:rsidRPr="00344295">
        <w:rPr>
          <w:rFonts w:cs="Arial"/>
          <w:rtl/>
        </w:rPr>
        <w:t xml:space="preserve"> בתר דידיה אזלינן או בתר דידה אזלינן? ופשיטנא ליה מהא: עולה עמו ואינה יורדת עמו. </w:t>
      </w:r>
      <w:r w:rsidRPr="00344295">
        <w:rPr>
          <w:rFonts w:cs="Arial"/>
          <w:u w:val="single"/>
          <w:rtl/>
        </w:rPr>
        <w:t>אמר רב הונא</w:t>
      </w:r>
      <w:r w:rsidRPr="00344295">
        <w:rPr>
          <w:rFonts w:cs="Arial"/>
          <w:rtl/>
        </w:rPr>
        <w:t xml:space="preserve">: מאי קראה? והיא בעולת בעל, בעלייתו של בעל ולא בירידתו של בעל. </w:t>
      </w:r>
      <w:r w:rsidRPr="00344295">
        <w:rPr>
          <w:rFonts w:cs="Arial"/>
          <w:u w:val="single"/>
          <w:rtl/>
        </w:rPr>
        <w:t>ר' אלעזר אמר</w:t>
      </w:r>
      <w:r>
        <w:rPr>
          <w:rFonts w:cs="Arial" w:hint="cs"/>
          <w:rtl/>
        </w:rPr>
        <w:t>:</w:t>
      </w:r>
      <w:r w:rsidRPr="00344295">
        <w:rPr>
          <w:rFonts w:cs="Arial"/>
          <w:rtl/>
        </w:rPr>
        <w:t xml:space="preserve"> מהכא</w:t>
      </w:r>
      <w:r>
        <w:rPr>
          <w:rFonts w:cs="Arial" w:hint="cs"/>
          <w:rtl/>
        </w:rPr>
        <w:t>,</w:t>
      </w:r>
      <w:r w:rsidRPr="00344295">
        <w:rPr>
          <w:rFonts w:cs="Arial"/>
          <w:rtl/>
        </w:rPr>
        <w:t xml:space="preserve"> כי היא היתה אם כל חי, לחיים ניתנה ולא לצער ניתנה. </w:t>
      </w:r>
    </w:p>
    <w:p w14:paraId="5707F979" w14:textId="06320E43" w:rsidR="00854925" w:rsidRDefault="00854925" w:rsidP="00854925">
      <w:pPr>
        <w:rPr>
          <w:rFonts w:cs="Arial"/>
          <w:rtl/>
        </w:rPr>
      </w:pPr>
      <w:r w:rsidRPr="001C664D">
        <w:rPr>
          <w:rFonts w:cs="Arial" w:hint="cs"/>
          <w:b/>
          <w:bCs/>
          <w:rtl/>
        </w:rPr>
        <w:t xml:space="preserve">תוספתא כתובות פ"ה ה"ד: </w:t>
      </w:r>
      <w:r w:rsidRPr="001C664D">
        <w:rPr>
          <w:rFonts w:cs="Arial"/>
          <w:rtl/>
        </w:rPr>
        <w:t>מלאכות שהאשה עושה לבעלה</w:t>
      </w:r>
      <w:r>
        <w:rPr>
          <w:rFonts w:cs="Arial" w:hint="cs"/>
          <w:rtl/>
        </w:rPr>
        <w:t>,</w:t>
      </w:r>
      <w:r w:rsidRPr="001C664D">
        <w:rPr>
          <w:rFonts w:cs="Arial"/>
          <w:rtl/>
        </w:rPr>
        <w:t xml:space="preserve"> שבעה גופי מלאכות מנו</w:t>
      </w:r>
      <w:r>
        <w:rPr>
          <w:rFonts w:cs="Arial" w:hint="cs"/>
          <w:rtl/>
        </w:rPr>
        <w:t>,</w:t>
      </w:r>
      <w:r w:rsidRPr="001C664D">
        <w:rPr>
          <w:rFonts w:cs="Arial"/>
          <w:rtl/>
        </w:rPr>
        <w:t xml:space="preserve"> ושאר לא הוצרכו לימנות</w:t>
      </w:r>
      <w:r>
        <w:rPr>
          <w:rFonts w:cs="Arial" w:hint="cs"/>
          <w:rtl/>
        </w:rPr>
        <w:t>.</w:t>
      </w:r>
      <w:r w:rsidRPr="001C664D">
        <w:rPr>
          <w:rFonts w:cs="Arial"/>
          <w:rtl/>
        </w:rPr>
        <w:t xml:space="preserve"> הכניסה לו בין משלו ובין משלה לא טוחנת ולא אופה ולא מכבסת</w:t>
      </w:r>
      <w:r>
        <w:rPr>
          <w:rFonts w:cs="Arial" w:hint="cs"/>
          <w:rtl/>
        </w:rPr>
        <w:t>.</w:t>
      </w:r>
      <w:r w:rsidRPr="001C664D">
        <w:rPr>
          <w:rFonts w:cs="Arial"/>
          <w:rtl/>
        </w:rPr>
        <w:t xml:space="preserve"> כופה לעשות לבנו ולבתה לאחיו ולאחיה ולהטיל לפני בהמתו</w:t>
      </w:r>
      <w:r>
        <w:rPr>
          <w:rFonts w:cs="Arial" w:hint="cs"/>
          <w:rtl/>
        </w:rPr>
        <w:t>.</w:t>
      </w:r>
      <w:r w:rsidRPr="001C664D">
        <w:rPr>
          <w:rFonts w:cs="Arial"/>
          <w:rtl/>
        </w:rPr>
        <w:t xml:space="preserve"> מקום שנהגו שלא לעשות אחת מכל אילו </w:t>
      </w:r>
      <w:r>
        <w:rPr>
          <w:rFonts w:cs="Arial" w:hint="cs"/>
          <w:rtl/>
        </w:rPr>
        <w:t xml:space="preserve">- </w:t>
      </w:r>
      <w:r w:rsidRPr="001C664D">
        <w:rPr>
          <w:rFonts w:cs="Arial"/>
          <w:rtl/>
        </w:rPr>
        <w:t>אינו יכול לכופה</w:t>
      </w:r>
      <w:r>
        <w:rPr>
          <w:rStyle w:val="a7"/>
          <w:rFonts w:cs="Arial"/>
          <w:rtl/>
        </w:rPr>
        <w:footnoteReference w:id="721"/>
      </w:r>
      <w:r>
        <w:rPr>
          <w:rFonts w:cs="Arial" w:hint="cs"/>
          <w:rtl/>
        </w:rPr>
        <w:t>...</w:t>
      </w:r>
    </w:p>
    <w:p w14:paraId="6958359D" w14:textId="593660C7" w:rsidR="00652E6A" w:rsidRPr="00652E6A" w:rsidRDefault="00652E6A" w:rsidP="00652E6A">
      <w:pPr>
        <w:rPr>
          <w:u w:val="single"/>
          <w:rtl/>
        </w:rPr>
      </w:pPr>
      <w:r w:rsidRPr="00652E6A">
        <w:rPr>
          <w:rFonts w:hint="cs"/>
          <w:u w:val="single"/>
          <w:rtl/>
        </w:rPr>
        <w:t>חיוב מלאכ</w:t>
      </w:r>
      <w:r w:rsidR="00B55E22">
        <w:rPr>
          <w:rFonts w:hint="cs"/>
          <w:u w:val="single"/>
          <w:rtl/>
        </w:rPr>
        <w:t>ה</w:t>
      </w:r>
      <w:r w:rsidRPr="00652E6A">
        <w:rPr>
          <w:rFonts w:hint="cs"/>
          <w:u w:val="single"/>
          <w:rtl/>
        </w:rPr>
        <w:t xml:space="preserve"> כשאין דרך משפחתם לעשות כן:</w:t>
      </w:r>
    </w:p>
    <w:p w14:paraId="7D6CE8F4" w14:textId="6A35BD30" w:rsidR="004C0CB6" w:rsidRPr="004C0CB6" w:rsidRDefault="004C0CB6" w:rsidP="009000E3">
      <w:pPr>
        <w:pStyle w:val="ab"/>
        <w:numPr>
          <w:ilvl w:val="0"/>
          <w:numId w:val="35"/>
        </w:numPr>
      </w:pPr>
      <w:r>
        <w:rPr>
          <w:rFonts w:cs="Arial" w:hint="cs"/>
          <w:rtl/>
        </w:rPr>
        <w:t xml:space="preserve">טור- </w:t>
      </w:r>
      <w:r w:rsidRPr="000A7A9C">
        <w:rPr>
          <w:rFonts w:cs="Arial"/>
          <w:rtl/>
        </w:rPr>
        <w:t>וכל אלו המלאכות אין מחייבין אותה לא מכולן ולא במקצתן אא"כ יהיה דרך משפחתו ומשפחתה לעשותן</w:t>
      </w:r>
      <w:r w:rsidR="003810EC">
        <w:rPr>
          <w:rFonts w:cs="Arial" w:hint="cs"/>
          <w:rtl/>
        </w:rPr>
        <w:t>,</w:t>
      </w:r>
      <w:r w:rsidRPr="000A7A9C">
        <w:rPr>
          <w:rFonts w:cs="Arial"/>
          <w:rtl/>
        </w:rPr>
        <w:t xml:space="preserve"> אבל אם אין דרכן לעשותן </w:t>
      </w:r>
      <w:r w:rsidR="003810EC">
        <w:rPr>
          <w:rFonts w:cs="Arial" w:hint="cs"/>
          <w:rtl/>
        </w:rPr>
        <w:t xml:space="preserve">- </w:t>
      </w:r>
      <w:r w:rsidRPr="000A7A9C">
        <w:rPr>
          <w:rFonts w:cs="Arial"/>
          <w:rtl/>
        </w:rPr>
        <w:t>אינה חייבת בהן</w:t>
      </w:r>
      <w:r w:rsidR="00344295">
        <w:rPr>
          <w:rFonts w:cs="Arial" w:hint="cs"/>
          <w:rtl/>
        </w:rPr>
        <w:t>.</w:t>
      </w:r>
      <w:r w:rsidR="003810EC" w:rsidRPr="003810EC">
        <w:rPr>
          <w:rFonts w:hint="cs"/>
          <w:color w:val="E36C0A" w:themeColor="accent6" w:themeShade="BF"/>
          <w:rtl/>
        </w:rPr>
        <w:t xml:space="preserve"> </w:t>
      </w:r>
      <w:r w:rsidR="003810EC" w:rsidRPr="00BF69BA">
        <w:rPr>
          <w:rFonts w:hint="cs"/>
          <w:color w:val="E36C0A" w:themeColor="accent6" w:themeShade="BF"/>
          <w:rtl/>
        </w:rPr>
        <w:t>(וכ"פ בשו"ע)</w:t>
      </w:r>
    </w:p>
    <w:p w14:paraId="0EAC4BF4" w14:textId="77777777" w:rsidR="004D0526" w:rsidRDefault="004D0526" w:rsidP="004D0526">
      <w:pPr>
        <w:rPr>
          <w:rFonts w:cs="Arial"/>
          <w:rtl/>
        </w:rPr>
      </w:pPr>
      <w:r w:rsidRPr="003024E5">
        <w:rPr>
          <w:rFonts w:asciiTheme="minorBidi" w:hAnsiTheme="minorBidi"/>
          <w:b/>
          <w:bCs/>
          <w:color w:val="000000"/>
          <w:sz w:val="28"/>
          <w:szCs w:val="28"/>
          <w:u w:val="single"/>
          <w:rtl/>
        </w:rPr>
        <w:t>שו"ע:</w:t>
      </w:r>
    </w:p>
    <w:p w14:paraId="00D6F63D" w14:textId="048716BD" w:rsidR="000D2069" w:rsidRDefault="000D2069" w:rsidP="000D2069">
      <w:pPr>
        <w:rPr>
          <w:rtl/>
        </w:rPr>
      </w:pPr>
      <w:r>
        <w:rPr>
          <w:rFonts w:cs="Arial"/>
          <w:rtl/>
        </w:rPr>
        <w:t>כל אלו המלאכות</w:t>
      </w:r>
      <w:r w:rsidR="003810EC">
        <w:rPr>
          <w:rStyle w:val="a7"/>
          <w:rFonts w:cs="Arial"/>
          <w:rtl/>
        </w:rPr>
        <w:footnoteReference w:id="722"/>
      </w:r>
      <w:r>
        <w:rPr>
          <w:rFonts w:cs="Arial"/>
          <w:rtl/>
        </w:rPr>
        <w:t xml:space="preserve"> אין מחייבים אותה, א</w:t>
      </w:r>
      <w:r w:rsidR="004D0526">
        <w:rPr>
          <w:rFonts w:cs="Arial" w:hint="cs"/>
          <w:rtl/>
        </w:rPr>
        <w:t>ל</w:t>
      </w:r>
      <w:r>
        <w:rPr>
          <w:rFonts w:cs="Arial"/>
          <w:rtl/>
        </w:rPr>
        <w:t>א</w:t>
      </w:r>
      <w:r w:rsidR="004D0526">
        <w:rPr>
          <w:rFonts w:cs="Arial" w:hint="cs"/>
          <w:rtl/>
        </w:rPr>
        <w:t xml:space="preserve"> אם </w:t>
      </w:r>
      <w:r>
        <w:rPr>
          <w:rFonts w:cs="Arial"/>
          <w:rtl/>
        </w:rPr>
        <w:t>כ</w:t>
      </w:r>
      <w:r w:rsidR="004D0526">
        <w:rPr>
          <w:rFonts w:cs="Arial" w:hint="cs"/>
          <w:rtl/>
        </w:rPr>
        <w:t>ן</w:t>
      </w:r>
      <w:r>
        <w:rPr>
          <w:rFonts w:cs="Arial"/>
          <w:rtl/>
        </w:rPr>
        <w:t xml:space="preserve"> יהיה דרך משפחתו ומשפחתה לעשותן. </w:t>
      </w:r>
    </w:p>
    <w:p w14:paraId="7021BF16" w14:textId="77777777" w:rsidR="004D0526" w:rsidRDefault="004D0526" w:rsidP="000D2069">
      <w:pPr>
        <w:rPr>
          <w:rtl/>
        </w:rPr>
      </w:pPr>
    </w:p>
    <w:p w14:paraId="51B13749" w14:textId="6562AB64" w:rsidR="000D2069" w:rsidRDefault="000D2069" w:rsidP="000F64D0">
      <w:pPr>
        <w:pStyle w:val="2"/>
        <w:rPr>
          <w:rtl/>
        </w:rPr>
      </w:pPr>
      <w:r>
        <w:rPr>
          <w:rtl/>
        </w:rPr>
        <w:t>סעיף יא</w:t>
      </w:r>
      <w:r w:rsidR="00734106">
        <w:rPr>
          <w:rFonts w:hint="cs"/>
          <w:rtl/>
        </w:rPr>
        <w:t xml:space="preserve">: </w:t>
      </w:r>
      <w:r w:rsidR="00A60730">
        <w:rPr>
          <w:rFonts w:hint="cs"/>
          <w:rtl/>
        </w:rPr>
        <w:t>מלאכה לאשה מניקה.</w:t>
      </w:r>
    </w:p>
    <w:p w14:paraId="7E4012B1" w14:textId="4B46F272" w:rsidR="00A60730" w:rsidRDefault="00A60730" w:rsidP="00A60730">
      <w:pPr>
        <w:rPr>
          <w:rFonts w:cs="Arial"/>
          <w:rtl/>
        </w:rPr>
      </w:pPr>
      <w:r w:rsidRPr="00A60730">
        <w:rPr>
          <w:rFonts w:cs="Arial" w:hint="cs"/>
          <w:b/>
          <w:bCs/>
          <w:rtl/>
        </w:rPr>
        <w:t xml:space="preserve">כתובות </w:t>
      </w:r>
      <w:r w:rsidRPr="00A60730">
        <w:rPr>
          <w:rFonts w:cs="Arial" w:hint="cs"/>
          <w:b/>
          <w:bCs/>
          <w:sz w:val="16"/>
          <w:szCs w:val="16"/>
          <w:rtl/>
        </w:rPr>
        <w:t xml:space="preserve">(ס"פ אף על פי) </w:t>
      </w:r>
      <w:r w:rsidRPr="00A60730">
        <w:rPr>
          <w:rFonts w:cs="Arial" w:hint="cs"/>
          <w:b/>
          <w:bCs/>
          <w:rtl/>
        </w:rPr>
        <w:t xml:space="preserve">סד ע"ב: </w:t>
      </w:r>
      <w:r w:rsidRPr="00A60730">
        <w:rPr>
          <w:rFonts w:cs="Arial"/>
          <w:u w:val="double"/>
          <w:rtl/>
        </w:rPr>
        <w:t>מתני'</w:t>
      </w:r>
      <w:r w:rsidRPr="00A60730">
        <w:rPr>
          <w:rFonts w:cs="Arial" w:hint="cs"/>
          <w:rtl/>
        </w:rPr>
        <w:t>:</w:t>
      </w:r>
      <w:r w:rsidRPr="00A60730">
        <w:rPr>
          <w:rFonts w:cs="Arial"/>
          <w:rtl/>
        </w:rPr>
        <w:t xml:space="preserve"> המשרה את אשתו על ידי שליש</w:t>
      </w:r>
      <w:r w:rsidRPr="00A60730">
        <w:rPr>
          <w:rFonts w:cs="Arial" w:hint="cs"/>
          <w:rtl/>
        </w:rPr>
        <w:t xml:space="preserve">... </w:t>
      </w:r>
      <w:r w:rsidRPr="00A60730">
        <w:rPr>
          <w:rFonts w:cs="Arial"/>
          <w:rtl/>
        </w:rPr>
        <w:t>ואם היתה מניקה - פוחתין לה ממעשה ידיה ומוסיפין לה על מזונותיה.</w:t>
      </w:r>
      <w:r w:rsidRPr="00A60730">
        <w:rPr>
          <w:rFonts w:cs="Arial" w:hint="cs"/>
          <w:rtl/>
        </w:rPr>
        <w:t xml:space="preserve">..      </w:t>
      </w:r>
      <w:r w:rsidRPr="00A60730">
        <w:rPr>
          <w:rFonts w:cs="Arial" w:hint="cs"/>
          <w:u w:val="double"/>
          <w:rtl/>
        </w:rPr>
        <w:t>גמ'</w:t>
      </w:r>
      <w:r w:rsidRPr="00A60730">
        <w:rPr>
          <w:rFonts w:cs="Arial" w:hint="cs"/>
          <w:sz w:val="14"/>
          <w:szCs w:val="14"/>
          <w:u w:val="double"/>
          <w:rtl/>
        </w:rPr>
        <w:t>(סה:)</w:t>
      </w:r>
      <w:r w:rsidRPr="00A60730">
        <w:rPr>
          <w:rFonts w:cs="Arial" w:hint="cs"/>
          <w:u w:val="double"/>
          <w:rtl/>
        </w:rPr>
        <w:t>:</w:t>
      </w:r>
      <w:r w:rsidRPr="00A60730">
        <w:rPr>
          <w:rFonts w:cs="Arial"/>
          <w:rtl/>
        </w:rPr>
        <w:t xml:space="preserve"> ואם היתה מניקה</w:t>
      </w:r>
      <w:r w:rsidRPr="00A60730">
        <w:rPr>
          <w:rFonts w:cs="Arial" w:hint="cs"/>
          <w:rtl/>
        </w:rPr>
        <w:t>..</w:t>
      </w:r>
      <w:r w:rsidRPr="00A60730">
        <w:rPr>
          <w:rFonts w:cs="Arial"/>
          <w:rtl/>
        </w:rPr>
        <w:t xml:space="preserve">. </w:t>
      </w:r>
      <w:r w:rsidRPr="00A60730">
        <w:rPr>
          <w:rFonts w:cs="Arial"/>
          <w:u w:val="single"/>
          <w:rtl/>
        </w:rPr>
        <w:t>אמר רבי יהושע בן לוי</w:t>
      </w:r>
      <w:r w:rsidRPr="00A60730">
        <w:rPr>
          <w:rFonts w:cs="Arial"/>
          <w:rtl/>
        </w:rPr>
        <w:t>: מוסיפין לה יין, שהיין יפה לחלב.</w:t>
      </w:r>
      <w:r w:rsidR="00A96332" w:rsidRPr="00A96332">
        <w:rPr>
          <w:rFonts w:cs="Arial"/>
          <w:rtl/>
        </w:rPr>
        <w:t xml:space="preserve"> </w:t>
      </w:r>
      <w:r w:rsidR="00A96332">
        <w:rPr>
          <w:rFonts w:cs="Arial" w:hint="cs"/>
          <w:sz w:val="16"/>
          <w:szCs w:val="16"/>
          <w:rtl/>
        </w:rPr>
        <w:t>(</w:t>
      </w:r>
      <w:r w:rsidR="00A96332" w:rsidRPr="00A96332">
        <w:rPr>
          <w:rFonts w:cs="Arial"/>
          <w:sz w:val="16"/>
          <w:szCs w:val="16"/>
          <w:rtl/>
        </w:rPr>
        <w:t>ומשמע לרבינו</w:t>
      </w:r>
      <w:r w:rsidR="003341B1">
        <w:rPr>
          <w:rFonts w:cs="Arial" w:hint="cs"/>
          <w:sz w:val="14"/>
          <w:szCs w:val="14"/>
          <w:rtl/>
        </w:rPr>
        <w:t xml:space="preserve"> {הטור}</w:t>
      </w:r>
      <w:r w:rsidR="00A96332" w:rsidRPr="00A96332">
        <w:rPr>
          <w:rFonts w:cs="Arial"/>
          <w:sz w:val="16"/>
          <w:szCs w:val="16"/>
          <w:rtl/>
        </w:rPr>
        <w:t xml:space="preserve"> דלדוגמא נקט יין ולפיכך כתב כגון יין וכיוצא בו</w:t>
      </w:r>
      <w:r w:rsidR="003341B1">
        <w:rPr>
          <w:rFonts w:cs="Arial" w:hint="cs"/>
          <w:sz w:val="16"/>
          <w:szCs w:val="16"/>
          <w:rtl/>
        </w:rPr>
        <w:t>,</w:t>
      </w:r>
      <w:r w:rsidR="00A96332" w:rsidRPr="00A96332">
        <w:rPr>
          <w:rFonts w:cs="Arial"/>
          <w:sz w:val="16"/>
          <w:szCs w:val="16"/>
          <w:rtl/>
        </w:rPr>
        <w:t xml:space="preserve"> וכך הם דברי הרמב"ם בפכ"א (הי"א)</w:t>
      </w:r>
      <w:r w:rsidR="00A96332" w:rsidRPr="00A96332">
        <w:rPr>
          <w:rFonts w:cs="Arial" w:hint="cs"/>
          <w:sz w:val="16"/>
          <w:szCs w:val="16"/>
          <w:rtl/>
        </w:rPr>
        <w:t>, ב"י)</w:t>
      </w:r>
    </w:p>
    <w:p w14:paraId="4946C508" w14:textId="2385681B" w:rsidR="00A96332" w:rsidRDefault="00A96332" w:rsidP="00A60730">
      <w:pPr>
        <w:rPr>
          <w:rFonts w:cs="Arial"/>
          <w:rtl/>
        </w:rPr>
      </w:pPr>
      <w:r w:rsidRPr="00A60730">
        <w:rPr>
          <w:rFonts w:cs="Arial" w:hint="cs"/>
          <w:b/>
          <w:bCs/>
          <w:rtl/>
        </w:rPr>
        <w:lastRenderedPageBreak/>
        <w:t xml:space="preserve">כתובות </w:t>
      </w:r>
      <w:r w:rsidRPr="00A60730">
        <w:rPr>
          <w:rFonts w:cs="Arial" w:hint="cs"/>
          <w:b/>
          <w:bCs/>
          <w:sz w:val="16"/>
          <w:szCs w:val="16"/>
          <w:rtl/>
        </w:rPr>
        <w:t xml:space="preserve">(ס"פ אף על פי) </w:t>
      </w:r>
      <w:r w:rsidRPr="00A60730">
        <w:rPr>
          <w:rFonts w:cs="Arial" w:hint="cs"/>
          <w:b/>
          <w:bCs/>
          <w:rtl/>
        </w:rPr>
        <w:t xml:space="preserve">ס ע"ב: </w:t>
      </w:r>
      <w:r w:rsidRPr="00A96332">
        <w:rPr>
          <w:rFonts w:cs="Arial"/>
          <w:rtl/>
        </w:rPr>
        <w:t>תנו רבנן: הרי שנתנו לה בן להניק - הרי זו לא תניק עמו לא בנה ולא בן חברתה, פסקה קימעא</w:t>
      </w:r>
      <w:r>
        <w:rPr>
          <w:rStyle w:val="a7"/>
          <w:rFonts w:cs="Arial"/>
          <w:rtl/>
        </w:rPr>
        <w:footnoteReference w:id="723"/>
      </w:r>
      <w:r w:rsidRPr="00A96332">
        <w:rPr>
          <w:rFonts w:cs="Arial"/>
          <w:rtl/>
        </w:rPr>
        <w:t xml:space="preserve"> אוכלת הרבה</w:t>
      </w:r>
      <w:r>
        <w:rPr>
          <w:rStyle w:val="a7"/>
          <w:rFonts w:cs="Arial"/>
          <w:rtl/>
        </w:rPr>
        <w:footnoteReference w:id="724"/>
      </w:r>
      <w:r w:rsidRPr="00A96332">
        <w:rPr>
          <w:rFonts w:cs="Arial"/>
          <w:rtl/>
        </w:rPr>
        <w:t>, לא תאכל עמו דברים הרעים לחלב.</w:t>
      </w:r>
      <w:r>
        <w:rPr>
          <w:rFonts w:cs="Arial" w:hint="cs"/>
          <w:rtl/>
        </w:rPr>
        <w:t>.</w:t>
      </w:r>
      <w:r w:rsidRPr="00A96332">
        <w:rPr>
          <w:rFonts w:cs="Arial"/>
          <w:rtl/>
        </w:rPr>
        <w:t xml:space="preserve">. פסקה קימעא אוכלת הרבה. מהיכא? </w:t>
      </w:r>
      <w:r w:rsidRPr="00A96332">
        <w:rPr>
          <w:rFonts w:cs="Arial"/>
          <w:u w:val="single"/>
          <w:rtl/>
        </w:rPr>
        <w:t>אמר רב ששת</w:t>
      </w:r>
      <w:r w:rsidRPr="00A96332">
        <w:rPr>
          <w:rFonts w:cs="Arial"/>
          <w:rtl/>
        </w:rPr>
        <w:t>: משלה.</w:t>
      </w:r>
    </w:p>
    <w:p w14:paraId="70B0519B" w14:textId="63A73834" w:rsidR="00A60730" w:rsidRPr="00A60730" w:rsidRDefault="00A60730" w:rsidP="00A60730">
      <w:pPr>
        <w:rPr>
          <w:rFonts w:cs="Arial"/>
          <w:u w:val="single"/>
          <w:rtl/>
        </w:rPr>
      </w:pPr>
      <w:r w:rsidRPr="00A60730">
        <w:rPr>
          <w:rFonts w:hint="cs"/>
          <w:u w:val="single"/>
          <w:rtl/>
        </w:rPr>
        <w:t>מלאכה לאשה מניקה</w:t>
      </w:r>
      <w:r w:rsidRPr="00A60730">
        <w:rPr>
          <w:rFonts w:cs="Arial" w:hint="cs"/>
          <w:u w:val="single"/>
          <w:rtl/>
        </w:rPr>
        <w:t>:</w:t>
      </w:r>
    </w:p>
    <w:p w14:paraId="25A3BEA1" w14:textId="02BBCD1D" w:rsidR="00A96332" w:rsidRDefault="00A60730" w:rsidP="009000E3">
      <w:pPr>
        <w:pStyle w:val="ab"/>
        <w:numPr>
          <w:ilvl w:val="0"/>
          <w:numId w:val="35"/>
        </w:numPr>
      </w:pPr>
      <w:r>
        <w:rPr>
          <w:rFonts w:cs="Arial" w:hint="cs"/>
          <w:rtl/>
        </w:rPr>
        <w:t xml:space="preserve">רמב"ם </w:t>
      </w:r>
      <w:r>
        <w:rPr>
          <w:rFonts w:cs="Arial" w:hint="cs"/>
          <w:sz w:val="16"/>
          <w:szCs w:val="16"/>
          <w:rtl/>
        </w:rPr>
        <w:t>(פכ"א הי"א)</w:t>
      </w:r>
      <w:r w:rsidR="004C0CB6">
        <w:rPr>
          <w:rFonts w:cs="Arial" w:hint="cs"/>
          <w:rtl/>
        </w:rPr>
        <w:t xml:space="preserve">- </w:t>
      </w:r>
      <w:r w:rsidR="00A96332" w:rsidRPr="00A96332">
        <w:rPr>
          <w:rFonts w:cs="Arial"/>
          <w:rtl/>
        </w:rPr>
        <w:t>האשה כל זמן שהיא מניקה את בנה פוחתין לה ממעשה ידיה ומוסיפין לה על מזונותיה יין ודברים שיפין לחלב</w:t>
      </w:r>
      <w:r w:rsidR="00734106">
        <w:rPr>
          <w:rFonts w:cs="Arial" w:hint="cs"/>
          <w:rtl/>
        </w:rPr>
        <w:t>.</w:t>
      </w:r>
      <w:r w:rsidR="004C0CB6" w:rsidRPr="000A7A9C">
        <w:rPr>
          <w:rFonts w:cs="Arial"/>
          <w:rtl/>
        </w:rPr>
        <w:t xml:space="preserve"> </w:t>
      </w:r>
      <w:r w:rsidR="00A96332" w:rsidRPr="00BF69BA">
        <w:rPr>
          <w:rFonts w:hint="cs"/>
          <w:color w:val="E36C0A" w:themeColor="accent6" w:themeShade="BF"/>
          <w:rtl/>
        </w:rPr>
        <w:t>(וכ"פ בשו"ע)</w:t>
      </w:r>
    </w:p>
    <w:p w14:paraId="7A128C86" w14:textId="16691658" w:rsidR="003341B1" w:rsidRPr="00A96332" w:rsidRDefault="003341B1" w:rsidP="009000E3">
      <w:pPr>
        <w:pStyle w:val="ab"/>
        <w:numPr>
          <w:ilvl w:val="0"/>
          <w:numId w:val="35"/>
        </w:numPr>
      </w:pPr>
      <w:r>
        <w:rPr>
          <w:rFonts w:cs="Arial" w:hint="cs"/>
          <w:rtl/>
        </w:rPr>
        <w:t xml:space="preserve">טור- </w:t>
      </w:r>
      <w:r w:rsidRPr="003341B1">
        <w:rPr>
          <w:rFonts w:cs="Arial"/>
          <w:rtl/>
        </w:rPr>
        <w:t>אם היא מניקה פוחתין לה ממעשה ידיה ומוסיפין לה על מזונותיה ונותנין לה דברים היפים לחלב כגון יין וכיוצא בו</w:t>
      </w:r>
      <w:r>
        <w:rPr>
          <w:rFonts w:hint="cs"/>
          <w:rtl/>
        </w:rPr>
        <w:t>.</w:t>
      </w:r>
    </w:p>
    <w:p w14:paraId="237D9A20" w14:textId="7D0846B0" w:rsidR="00A96332" w:rsidRPr="00A96332" w:rsidRDefault="00A96332" w:rsidP="00A96332">
      <w:pPr>
        <w:ind w:left="360"/>
        <w:rPr>
          <w:u w:val="dotted"/>
        </w:rPr>
      </w:pPr>
      <w:r w:rsidRPr="00A96332">
        <w:rPr>
          <w:rFonts w:hint="cs"/>
          <w:u w:val="dotted"/>
          <w:rtl/>
        </w:rPr>
        <w:t>ומה הדין אם לא הוסיפו לה על מזונותיה:</w:t>
      </w:r>
    </w:p>
    <w:p w14:paraId="207503E0" w14:textId="2D7CB56E" w:rsidR="00DC4762" w:rsidRPr="00DC4762" w:rsidRDefault="00A96332" w:rsidP="009000E3">
      <w:pPr>
        <w:pStyle w:val="ab"/>
        <w:numPr>
          <w:ilvl w:val="0"/>
          <w:numId w:val="35"/>
        </w:numPr>
        <w:rPr>
          <w:rtl/>
        </w:rPr>
      </w:pPr>
      <w:r>
        <w:rPr>
          <w:rFonts w:cs="Arial" w:hint="cs"/>
          <w:rtl/>
        </w:rPr>
        <w:t xml:space="preserve">טור- </w:t>
      </w:r>
      <w:r w:rsidR="004C0CB6" w:rsidRPr="000A7A9C">
        <w:rPr>
          <w:rFonts w:cs="Arial"/>
          <w:rtl/>
        </w:rPr>
        <w:t>לא הוסיפו לה על מזונותיה</w:t>
      </w:r>
      <w:r>
        <w:rPr>
          <w:rFonts w:cs="Arial" w:hint="cs"/>
          <w:rtl/>
        </w:rPr>
        <w:t>,</w:t>
      </w:r>
      <w:r w:rsidR="00734106">
        <w:rPr>
          <w:rFonts w:cs="Arial" w:hint="cs"/>
          <w:rtl/>
        </w:rPr>
        <w:t xml:space="preserve"> </w:t>
      </w:r>
      <w:r w:rsidR="004C0CB6" w:rsidRPr="000A7A9C">
        <w:rPr>
          <w:rFonts w:cs="Arial"/>
          <w:rtl/>
        </w:rPr>
        <w:t>צריכה לאכול משלה אם יש לה</w:t>
      </w:r>
      <w:r>
        <w:rPr>
          <w:rStyle w:val="a7"/>
          <w:rFonts w:cs="Arial"/>
          <w:rtl/>
        </w:rPr>
        <w:footnoteReference w:id="725"/>
      </w:r>
      <w:r w:rsidR="004C0CB6">
        <w:rPr>
          <w:rFonts w:cs="Arial" w:hint="cs"/>
          <w:rtl/>
        </w:rPr>
        <w:t>.</w:t>
      </w:r>
      <w:r w:rsidR="004C0CB6" w:rsidRPr="000A7A9C">
        <w:rPr>
          <w:rFonts w:cs="Arial"/>
          <w:rtl/>
        </w:rPr>
        <w:t xml:space="preserve"> </w:t>
      </w:r>
      <w:r w:rsidRPr="00A96332">
        <w:rPr>
          <w:rFonts w:hint="cs"/>
          <w:color w:val="00B0F0"/>
          <w:rtl/>
        </w:rPr>
        <w:t>(וכ"פ הרמ"א)</w:t>
      </w:r>
    </w:p>
    <w:p w14:paraId="02EA93C1" w14:textId="77777777" w:rsidR="004D0526" w:rsidRDefault="004D0526" w:rsidP="004D0526">
      <w:pPr>
        <w:rPr>
          <w:rFonts w:cs="Arial"/>
          <w:rtl/>
        </w:rPr>
      </w:pPr>
      <w:r w:rsidRPr="003024E5">
        <w:rPr>
          <w:rFonts w:asciiTheme="minorBidi" w:hAnsiTheme="minorBidi"/>
          <w:b/>
          <w:bCs/>
          <w:color w:val="000000"/>
          <w:sz w:val="28"/>
          <w:szCs w:val="28"/>
          <w:u w:val="single"/>
          <w:rtl/>
        </w:rPr>
        <w:t>שו"ע:</w:t>
      </w:r>
    </w:p>
    <w:p w14:paraId="16A2BD0C" w14:textId="7BB3B9D7" w:rsidR="000D2069" w:rsidRDefault="000D2069" w:rsidP="000D2069">
      <w:pPr>
        <w:rPr>
          <w:rFonts w:cs="Arial"/>
          <w:sz w:val="18"/>
          <w:szCs w:val="18"/>
          <w:rtl/>
        </w:rPr>
      </w:pPr>
      <w:r>
        <w:rPr>
          <w:rFonts w:cs="Arial"/>
          <w:rtl/>
        </w:rPr>
        <w:t>כל זמן שהיא מניקה את בנה, פוחתין לה ממעשה ידיה ומוסיפין לה על מזונותיה</w:t>
      </w:r>
      <w:r w:rsidR="009146AD">
        <w:rPr>
          <w:rStyle w:val="a7"/>
          <w:rFonts w:cs="Arial"/>
          <w:rtl/>
        </w:rPr>
        <w:footnoteReference w:id="726"/>
      </w:r>
      <w:r>
        <w:rPr>
          <w:rFonts w:cs="Arial"/>
          <w:rtl/>
        </w:rPr>
        <w:t xml:space="preserve"> יין ודברים שיפים לחלב</w:t>
      </w:r>
      <w:r w:rsidR="004D0526">
        <w:rPr>
          <w:rFonts w:cs="Arial" w:hint="cs"/>
          <w:rtl/>
        </w:rPr>
        <w:t>.</w:t>
      </w:r>
      <w:r>
        <w:rPr>
          <w:rFonts w:cs="Arial"/>
          <w:rtl/>
        </w:rPr>
        <w:t xml:space="preserve"> </w:t>
      </w:r>
      <w:r w:rsidR="00A96332">
        <w:rPr>
          <w:rFonts w:cs="Arial" w:hint="cs"/>
          <w:sz w:val="18"/>
          <w:szCs w:val="18"/>
          <w:rtl/>
        </w:rPr>
        <w:t xml:space="preserve">[הגה] </w:t>
      </w:r>
      <w:r w:rsidRPr="004D0526">
        <w:rPr>
          <w:rFonts w:cs="Arial"/>
          <w:sz w:val="18"/>
          <w:szCs w:val="18"/>
          <w:rtl/>
        </w:rPr>
        <w:t>לא הוסיפו לה, צריכה לאכול משלה</w:t>
      </w:r>
      <w:r w:rsidR="009146AD">
        <w:rPr>
          <w:rStyle w:val="a7"/>
          <w:rFonts w:cs="Arial"/>
          <w:sz w:val="18"/>
          <w:szCs w:val="18"/>
          <w:rtl/>
        </w:rPr>
        <w:footnoteReference w:id="727"/>
      </w:r>
      <w:r w:rsidRPr="004D0526">
        <w:rPr>
          <w:rFonts w:cs="Arial"/>
          <w:sz w:val="18"/>
          <w:szCs w:val="18"/>
          <w:rtl/>
        </w:rPr>
        <w:t xml:space="preserve">, אם יש לה (טור). </w:t>
      </w:r>
    </w:p>
    <w:p w14:paraId="4FB96FD2" w14:textId="77777777" w:rsidR="004D0526" w:rsidRDefault="004D0526" w:rsidP="000D2069">
      <w:pPr>
        <w:rPr>
          <w:rtl/>
        </w:rPr>
      </w:pPr>
    </w:p>
    <w:p w14:paraId="7C3B25E9" w14:textId="4244AF34" w:rsidR="000D2069" w:rsidRDefault="000D2069" w:rsidP="000F64D0">
      <w:pPr>
        <w:pStyle w:val="2"/>
        <w:rPr>
          <w:rtl/>
        </w:rPr>
      </w:pPr>
      <w:r>
        <w:rPr>
          <w:rtl/>
        </w:rPr>
        <w:t>סעיף יב</w:t>
      </w:r>
      <w:r w:rsidR="009146AD">
        <w:rPr>
          <w:rFonts w:hint="cs"/>
          <w:rtl/>
        </w:rPr>
        <w:t xml:space="preserve">: מינקת שרוצה לאכול מאכלים </w:t>
      </w:r>
      <w:r w:rsidR="006E3BCF">
        <w:rPr>
          <w:rFonts w:hint="cs"/>
          <w:rtl/>
        </w:rPr>
        <w:t>הרעים לחלב.</w:t>
      </w:r>
    </w:p>
    <w:p w14:paraId="0A6E8FA0" w14:textId="73987E19" w:rsidR="00EB5A75" w:rsidRPr="00EB5A75" w:rsidRDefault="00EB5A75" w:rsidP="00EB5A75">
      <w:pPr>
        <w:rPr>
          <w:rFonts w:cs="Arial"/>
          <w:rtl/>
        </w:rPr>
      </w:pPr>
      <w:r w:rsidRPr="00A60730">
        <w:rPr>
          <w:rFonts w:cs="Arial" w:hint="cs"/>
          <w:b/>
          <w:bCs/>
          <w:rtl/>
        </w:rPr>
        <w:t xml:space="preserve">כתובות </w:t>
      </w:r>
      <w:r w:rsidRPr="00A60730">
        <w:rPr>
          <w:rFonts w:cs="Arial" w:hint="cs"/>
          <w:b/>
          <w:bCs/>
          <w:sz w:val="16"/>
          <w:szCs w:val="16"/>
          <w:rtl/>
        </w:rPr>
        <w:t xml:space="preserve">(ס"פ אף על פי) </w:t>
      </w:r>
      <w:r w:rsidRPr="00A60730">
        <w:rPr>
          <w:rFonts w:cs="Arial" w:hint="cs"/>
          <w:b/>
          <w:bCs/>
          <w:rtl/>
        </w:rPr>
        <w:t xml:space="preserve">ס ע"ב: </w:t>
      </w:r>
      <w:r w:rsidRPr="00A96332">
        <w:rPr>
          <w:rFonts w:cs="Arial"/>
          <w:rtl/>
        </w:rPr>
        <w:t>תנו רבנן: הרי שנתנו לה בן להניק - הרי זו לא תניק עמו לא בנה ולא בן חברתה, פסקה קימעא</w:t>
      </w:r>
      <w:r>
        <w:rPr>
          <w:rStyle w:val="a7"/>
          <w:rFonts w:cs="Arial"/>
          <w:rtl/>
        </w:rPr>
        <w:footnoteReference w:id="728"/>
      </w:r>
      <w:r w:rsidRPr="00A96332">
        <w:rPr>
          <w:rFonts w:cs="Arial"/>
          <w:rtl/>
        </w:rPr>
        <w:t xml:space="preserve"> אוכלת הרבה</w:t>
      </w:r>
      <w:r>
        <w:rPr>
          <w:rStyle w:val="a7"/>
          <w:rFonts w:cs="Arial"/>
          <w:rtl/>
        </w:rPr>
        <w:footnoteReference w:id="729"/>
      </w:r>
      <w:r w:rsidRPr="00A96332">
        <w:rPr>
          <w:rFonts w:cs="Arial"/>
          <w:rtl/>
        </w:rPr>
        <w:t>, לא תאכל עמו דברים הרעים לחלב.</w:t>
      </w:r>
      <w:r>
        <w:rPr>
          <w:rFonts w:cs="Arial" w:hint="cs"/>
          <w:rtl/>
        </w:rPr>
        <w:t>.</w:t>
      </w:r>
      <w:r w:rsidRPr="00A96332">
        <w:rPr>
          <w:rFonts w:cs="Arial"/>
          <w:rtl/>
        </w:rPr>
        <w:t xml:space="preserve">. פסקה קימעא אוכלת הרבה. מהיכא? </w:t>
      </w:r>
      <w:r w:rsidRPr="00A96332">
        <w:rPr>
          <w:rFonts w:cs="Arial"/>
          <w:u w:val="single"/>
          <w:rtl/>
        </w:rPr>
        <w:t>אמר רב ששת</w:t>
      </w:r>
      <w:r w:rsidRPr="00A96332">
        <w:rPr>
          <w:rFonts w:cs="Arial"/>
          <w:rtl/>
        </w:rPr>
        <w:t>: משלה.</w:t>
      </w:r>
    </w:p>
    <w:p w14:paraId="0228076E" w14:textId="1E514A3B" w:rsidR="00EB5A75" w:rsidRPr="00EB5A75" w:rsidRDefault="006E3BCF" w:rsidP="006E3BCF">
      <w:pPr>
        <w:rPr>
          <w:u w:val="single"/>
          <w:rtl/>
        </w:rPr>
      </w:pPr>
      <w:r w:rsidRPr="006E3BCF">
        <w:rPr>
          <w:rFonts w:hint="cs"/>
          <w:u w:val="single"/>
          <w:rtl/>
        </w:rPr>
        <w:t>מינקת שרוצה לאכול מאכלים הרעים לחלב</w:t>
      </w:r>
      <w:r w:rsidR="00EB5A75" w:rsidRPr="00EB5A75">
        <w:rPr>
          <w:rFonts w:hint="cs"/>
          <w:u w:val="single"/>
          <w:rtl/>
        </w:rPr>
        <w:t>:</w:t>
      </w:r>
    </w:p>
    <w:p w14:paraId="61EC9B8A" w14:textId="2F0C3C4F" w:rsidR="00A60730" w:rsidRDefault="00A60730" w:rsidP="009000E3">
      <w:pPr>
        <w:pStyle w:val="ab"/>
        <w:numPr>
          <w:ilvl w:val="0"/>
          <w:numId w:val="35"/>
        </w:numPr>
        <w:rPr>
          <w:rFonts w:cs="Arial"/>
        </w:rPr>
      </w:pPr>
      <w:r>
        <w:rPr>
          <w:rFonts w:cs="Arial" w:hint="cs"/>
          <w:rtl/>
        </w:rPr>
        <w:t>רמב"ם</w:t>
      </w:r>
      <w:r w:rsidR="00EB5A75">
        <w:rPr>
          <w:rFonts w:cs="Arial" w:hint="cs"/>
          <w:rtl/>
        </w:rPr>
        <w:t xml:space="preserve"> </w:t>
      </w:r>
      <w:r w:rsidR="00EB5A75">
        <w:rPr>
          <w:rFonts w:cs="Arial" w:hint="cs"/>
          <w:sz w:val="16"/>
          <w:szCs w:val="16"/>
          <w:rtl/>
        </w:rPr>
        <w:t>(פכ"א הי"א)</w:t>
      </w:r>
      <w:r>
        <w:rPr>
          <w:rFonts w:cs="Arial" w:hint="cs"/>
          <w:rtl/>
        </w:rPr>
        <w:t xml:space="preserve">- </w:t>
      </w:r>
      <w:r w:rsidRPr="00A60730">
        <w:rPr>
          <w:rFonts w:cs="Arial"/>
          <w:rtl/>
        </w:rPr>
        <w:t xml:space="preserve">האשה כל זמן שהיא מניקה את בנה פוחתין לה ממעשה ידיה ומוסיפין לה על מזונותיה יין ודברים שיפין לחלב, פסקו לה מזונות הראויות לה והרי היא מתאוה לאכול יתר או לאכול מאכלות אחרות מפני חלי התאוה שיש לה בבטנה </w:t>
      </w:r>
      <w:r w:rsidR="00EB5A75">
        <w:rPr>
          <w:rFonts w:cs="Arial" w:hint="cs"/>
          <w:rtl/>
        </w:rPr>
        <w:t xml:space="preserve">- </w:t>
      </w:r>
      <w:r w:rsidRPr="00A60730">
        <w:rPr>
          <w:rFonts w:cs="Arial"/>
          <w:rtl/>
        </w:rPr>
        <w:t>הרי זו אוכלת משלה כל מה שתרצה</w:t>
      </w:r>
      <w:r w:rsidR="006B5613">
        <w:rPr>
          <w:rStyle w:val="a7"/>
          <w:rFonts w:cs="Arial"/>
          <w:rtl/>
        </w:rPr>
        <w:footnoteReference w:id="730"/>
      </w:r>
      <w:r w:rsidR="006B5613">
        <w:rPr>
          <w:rFonts w:cs="Arial" w:hint="cs"/>
          <w:rtl/>
        </w:rPr>
        <w:t>,</w:t>
      </w:r>
      <w:r w:rsidRPr="00A60730">
        <w:rPr>
          <w:rFonts w:cs="Arial"/>
          <w:rtl/>
        </w:rPr>
        <w:t xml:space="preserve"> ואין הבעל יכול לעכב ולומר שאם תאכל יתר מדאי או תאכל מאכל רע ימות הולד</w:t>
      </w:r>
      <w:r w:rsidR="00EB5A75">
        <w:rPr>
          <w:rFonts w:cs="Arial" w:hint="cs"/>
          <w:rtl/>
        </w:rPr>
        <w:t>,</w:t>
      </w:r>
      <w:r w:rsidRPr="00A60730">
        <w:rPr>
          <w:rFonts w:cs="Arial"/>
          <w:rtl/>
        </w:rPr>
        <w:t xml:space="preserve"> מפני שצער גופה קודם</w:t>
      </w:r>
      <w:r w:rsidR="006E3BCF">
        <w:rPr>
          <w:rStyle w:val="a7"/>
          <w:rFonts w:cs="Arial"/>
          <w:rtl/>
        </w:rPr>
        <w:footnoteReference w:id="731"/>
      </w:r>
      <w:r w:rsidRPr="00A60730">
        <w:rPr>
          <w:rFonts w:cs="Arial"/>
          <w:rtl/>
        </w:rPr>
        <w:t>.</w:t>
      </w:r>
    </w:p>
    <w:p w14:paraId="61C2938D" w14:textId="2D0F8198" w:rsidR="004D0526" w:rsidRPr="006E3BCF" w:rsidRDefault="00EB5A75" w:rsidP="009000E3">
      <w:pPr>
        <w:pStyle w:val="ab"/>
        <w:numPr>
          <w:ilvl w:val="0"/>
          <w:numId w:val="35"/>
        </w:numPr>
        <w:rPr>
          <w:rFonts w:cs="Arial"/>
          <w:rtl/>
        </w:rPr>
      </w:pPr>
      <w:r>
        <w:rPr>
          <w:rFonts w:cs="Arial" w:hint="cs"/>
          <w:rtl/>
        </w:rPr>
        <w:t>טור-</w:t>
      </w:r>
      <w:r w:rsidR="006E3BCF">
        <w:rPr>
          <w:rFonts w:cs="Arial" w:hint="cs"/>
          <w:rtl/>
        </w:rPr>
        <w:t xml:space="preserve"> הבעל יכול לעכבה מלאכול דברים הרעים לחלב</w:t>
      </w:r>
      <w:r w:rsidRPr="006D571C">
        <w:rPr>
          <w:rFonts w:cs="Arial" w:hint="cs"/>
          <w:rtl/>
        </w:rPr>
        <w:t>.</w:t>
      </w:r>
      <w:r w:rsidRPr="006D571C">
        <w:rPr>
          <w:rFonts w:cs="Arial"/>
          <w:rtl/>
        </w:rPr>
        <w:t xml:space="preserve"> </w:t>
      </w:r>
      <w:r w:rsidR="006E3BCF" w:rsidRPr="006E3BCF">
        <w:rPr>
          <w:rFonts w:cs="Arial" w:hint="cs"/>
          <w:color w:val="E36C0A" w:themeColor="accent6" w:themeShade="BF"/>
          <w:rtl/>
        </w:rPr>
        <w:t>(וכ"פ בשו"ע)</w:t>
      </w:r>
    </w:p>
    <w:p w14:paraId="7C330ADB" w14:textId="77777777" w:rsidR="004D0526" w:rsidRDefault="004D0526" w:rsidP="004D0526">
      <w:pPr>
        <w:rPr>
          <w:rFonts w:cs="Arial"/>
          <w:rtl/>
        </w:rPr>
      </w:pPr>
      <w:r w:rsidRPr="003024E5">
        <w:rPr>
          <w:rFonts w:asciiTheme="minorBidi" w:hAnsiTheme="minorBidi"/>
          <w:b/>
          <w:bCs/>
          <w:color w:val="000000"/>
          <w:sz w:val="28"/>
          <w:szCs w:val="28"/>
          <w:u w:val="single"/>
          <w:rtl/>
        </w:rPr>
        <w:t>שו"ע:</w:t>
      </w:r>
    </w:p>
    <w:p w14:paraId="042A5076" w14:textId="21C19538" w:rsidR="000D2069" w:rsidRDefault="000D2069" w:rsidP="000D2069">
      <w:pPr>
        <w:rPr>
          <w:rtl/>
        </w:rPr>
      </w:pPr>
      <w:r>
        <w:rPr>
          <w:rFonts w:cs="Arial"/>
          <w:rtl/>
        </w:rPr>
        <w:lastRenderedPageBreak/>
        <w:t>פסקו לה מזונות הראויים לה, והרי היא מתאוה לאכול יותר, או לאכול מאכלות אחרות, יש מי שאומר שאין הבעל יכול לעכב מפני סכנת הולד, שצער גופה קודם</w:t>
      </w:r>
      <w:r w:rsidR="00A60730">
        <w:rPr>
          <w:rFonts w:cs="Arial" w:hint="cs"/>
          <w:rtl/>
        </w:rPr>
        <w:t>.</w:t>
      </w:r>
      <w:r>
        <w:rPr>
          <w:rFonts w:cs="Arial"/>
          <w:rtl/>
        </w:rPr>
        <w:t xml:space="preserve"> ויש מי שאומר שיכול לעכב. </w:t>
      </w:r>
    </w:p>
    <w:p w14:paraId="49B1041B" w14:textId="77777777" w:rsidR="004D0526" w:rsidRDefault="004D0526" w:rsidP="000D2069">
      <w:pPr>
        <w:rPr>
          <w:rtl/>
        </w:rPr>
      </w:pPr>
    </w:p>
    <w:p w14:paraId="665D793C" w14:textId="50C099A0" w:rsidR="000D2069" w:rsidRDefault="000D2069" w:rsidP="000F64D0">
      <w:pPr>
        <w:pStyle w:val="2"/>
        <w:rPr>
          <w:rtl/>
        </w:rPr>
      </w:pPr>
      <w:r>
        <w:rPr>
          <w:rtl/>
        </w:rPr>
        <w:t>סעיף יג</w:t>
      </w:r>
      <w:r w:rsidR="00EE0F3A">
        <w:rPr>
          <w:rFonts w:hint="cs"/>
          <w:rtl/>
        </w:rPr>
        <w:t xml:space="preserve">: </w:t>
      </w:r>
      <w:r w:rsidR="00A658B6">
        <w:rPr>
          <w:rFonts w:hint="cs"/>
          <w:rtl/>
        </w:rPr>
        <w:t>הנקת תאומים.</w:t>
      </w:r>
    </w:p>
    <w:p w14:paraId="5B910549" w14:textId="77777777" w:rsidR="00186208" w:rsidRPr="00EE0F3A" w:rsidRDefault="00186208" w:rsidP="00186208">
      <w:pPr>
        <w:rPr>
          <w:rtl/>
        </w:rPr>
      </w:pPr>
      <w:r w:rsidRPr="008C039C">
        <w:rPr>
          <w:rFonts w:cs="Arial"/>
          <w:b/>
          <w:bCs/>
          <w:rtl/>
        </w:rPr>
        <w:t>ירושלמי כתובות פ"ה ה"ו</w:t>
      </w:r>
      <w:r>
        <w:rPr>
          <w:rFonts w:cs="Arial" w:hint="cs"/>
          <w:b/>
          <w:bCs/>
          <w:sz w:val="16"/>
          <w:szCs w:val="16"/>
          <w:rtl/>
        </w:rPr>
        <w:t xml:space="preserve"> (גירסת הרי"ף)</w:t>
      </w:r>
      <w:r w:rsidRPr="008C039C">
        <w:rPr>
          <w:rFonts w:cs="Arial" w:hint="cs"/>
          <w:b/>
          <w:bCs/>
          <w:rtl/>
        </w:rPr>
        <w:t>:</w:t>
      </w:r>
      <w:r>
        <w:rPr>
          <w:rFonts w:cs="Arial"/>
          <w:rtl/>
        </w:rPr>
        <w:t xml:space="preserve"> </w:t>
      </w:r>
      <w:r w:rsidRPr="008C039C">
        <w:rPr>
          <w:rFonts w:cs="Arial"/>
          <w:u w:val="single"/>
          <w:rtl/>
        </w:rPr>
        <w:t>אמר רבי חנינא</w:t>
      </w:r>
      <w:r>
        <w:rPr>
          <w:rFonts w:cs="Arial" w:hint="cs"/>
          <w:rtl/>
        </w:rPr>
        <w:t>:</w:t>
      </w:r>
      <w:r>
        <w:rPr>
          <w:rFonts w:cs="Arial"/>
          <w:rtl/>
        </w:rPr>
        <w:t xml:space="preserve"> לא אמרו אלא אחד אבל תאומים לא ולא בן חבירתה.</w:t>
      </w:r>
    </w:p>
    <w:p w14:paraId="18E4B0B1" w14:textId="35179FC3" w:rsidR="00EE0F3A" w:rsidRDefault="00EE0F3A" w:rsidP="00EE0F3A">
      <w:pPr>
        <w:rPr>
          <w:rtl/>
        </w:rPr>
      </w:pPr>
      <w:r>
        <w:rPr>
          <w:rFonts w:cs="Arial" w:hint="cs"/>
          <w:b/>
          <w:bCs/>
          <w:rtl/>
        </w:rPr>
        <w:t>ירושלמי כתובות פ"ה ה"ו</w:t>
      </w:r>
      <w:r w:rsidR="008C039C">
        <w:rPr>
          <w:rFonts w:cs="Arial" w:hint="cs"/>
          <w:b/>
          <w:bCs/>
          <w:sz w:val="16"/>
          <w:szCs w:val="16"/>
          <w:rtl/>
        </w:rPr>
        <w:t xml:space="preserve"> (גירסת הרא"ש וגירסתנו)</w:t>
      </w:r>
      <w:r>
        <w:rPr>
          <w:rFonts w:cs="Arial" w:hint="cs"/>
          <w:b/>
          <w:bCs/>
          <w:rtl/>
        </w:rPr>
        <w:t xml:space="preserve">: </w:t>
      </w:r>
      <w:r w:rsidRPr="00EE0F3A">
        <w:rPr>
          <w:rFonts w:cs="Arial"/>
          <w:rtl/>
        </w:rPr>
        <w:t xml:space="preserve">מניקה את בנה. </w:t>
      </w:r>
      <w:r w:rsidRPr="00EE0F3A">
        <w:rPr>
          <w:rFonts w:cs="Arial"/>
          <w:u w:val="single"/>
          <w:rtl/>
        </w:rPr>
        <w:t>אמר רבי חגיי</w:t>
      </w:r>
      <w:r>
        <w:rPr>
          <w:rFonts w:cs="Arial" w:hint="cs"/>
          <w:rtl/>
        </w:rPr>
        <w:t>:</w:t>
      </w:r>
      <w:r w:rsidRPr="00EE0F3A">
        <w:rPr>
          <w:rFonts w:cs="Arial"/>
          <w:rtl/>
        </w:rPr>
        <w:t xml:space="preserve"> לא אמר אלא בנה</w:t>
      </w:r>
      <w:r>
        <w:rPr>
          <w:rFonts w:cs="Arial" w:hint="cs"/>
          <w:rtl/>
        </w:rPr>
        <w:t>,</w:t>
      </w:r>
      <w:r w:rsidRPr="00EE0F3A">
        <w:rPr>
          <w:rFonts w:cs="Arial"/>
          <w:rtl/>
        </w:rPr>
        <w:t xml:space="preserve"> הא תאומים</w:t>
      </w:r>
      <w:r>
        <w:rPr>
          <w:rFonts w:cs="Arial" w:hint="cs"/>
          <w:rtl/>
        </w:rPr>
        <w:t xml:space="preserve"> </w:t>
      </w:r>
      <w:r w:rsidRPr="00EE0F3A">
        <w:rPr>
          <w:rFonts w:cs="Arial"/>
          <w:rtl/>
        </w:rPr>
        <w:t>לא</w:t>
      </w:r>
      <w:r>
        <w:rPr>
          <w:rFonts w:cs="Arial" w:hint="cs"/>
          <w:rtl/>
        </w:rPr>
        <w:t xml:space="preserve">? </w:t>
      </w:r>
      <w:r w:rsidRPr="00EE0F3A">
        <w:rPr>
          <w:rFonts w:cs="Arial"/>
          <w:rtl/>
        </w:rPr>
        <w:t>ולמה אמר בנה</w:t>
      </w:r>
      <w:r>
        <w:rPr>
          <w:rFonts w:cs="Arial" w:hint="cs"/>
          <w:rtl/>
        </w:rPr>
        <w:t>?</w:t>
      </w:r>
      <w:r w:rsidRPr="00EE0F3A">
        <w:rPr>
          <w:rFonts w:cs="Arial"/>
          <w:rtl/>
        </w:rPr>
        <w:t xml:space="preserve"> שלא תיניק בן חבירתה</w:t>
      </w:r>
      <w:r>
        <w:rPr>
          <w:rFonts w:cs="Arial" w:hint="cs"/>
          <w:rtl/>
        </w:rPr>
        <w:t>.</w:t>
      </w:r>
      <w:r w:rsidRPr="00EE0F3A">
        <w:rPr>
          <w:rFonts w:cs="Arial"/>
          <w:rtl/>
        </w:rPr>
        <w:t xml:space="preserve"> כהדין דתני</w:t>
      </w:r>
      <w:r>
        <w:rPr>
          <w:rFonts w:cs="Arial" w:hint="cs"/>
          <w:rtl/>
        </w:rPr>
        <w:t>:</w:t>
      </w:r>
      <w:r w:rsidRPr="00EE0F3A">
        <w:rPr>
          <w:rFonts w:cs="Arial"/>
          <w:rtl/>
        </w:rPr>
        <w:t xml:space="preserve"> אין האיש כופף את אשתו שתניק בנו של חבירו ולא האשה כופה את בעלה שתניק בן חבירתה</w:t>
      </w:r>
      <w:r>
        <w:rPr>
          <w:rFonts w:hint="cs"/>
          <w:rtl/>
        </w:rPr>
        <w:t>.</w:t>
      </w:r>
      <w:r w:rsidR="008C039C" w:rsidRPr="008C039C">
        <w:rPr>
          <w:rFonts w:cs="Arial" w:hint="cs"/>
          <w:sz w:val="16"/>
          <w:szCs w:val="16"/>
          <w:rtl/>
        </w:rPr>
        <w:t xml:space="preserve"> (</w:t>
      </w:r>
      <w:r w:rsidR="008C039C" w:rsidRPr="008C039C">
        <w:rPr>
          <w:rFonts w:cs="Arial"/>
          <w:sz w:val="16"/>
          <w:szCs w:val="16"/>
          <w:rtl/>
        </w:rPr>
        <w:t>ו</w:t>
      </w:r>
      <w:r w:rsidR="008C039C">
        <w:rPr>
          <w:rFonts w:cs="Arial" w:hint="cs"/>
          <w:sz w:val="16"/>
          <w:szCs w:val="16"/>
          <w:rtl/>
        </w:rPr>
        <w:t>כתב ה</w:t>
      </w:r>
      <w:r w:rsidR="008C039C" w:rsidRPr="008C039C">
        <w:rPr>
          <w:rFonts w:cs="Arial" w:hint="cs"/>
          <w:sz w:val="16"/>
          <w:szCs w:val="16"/>
          <w:rtl/>
        </w:rPr>
        <w:t xml:space="preserve">רא"ש </w:t>
      </w:r>
      <w:r w:rsidR="008C039C" w:rsidRPr="008C039C">
        <w:rPr>
          <w:rFonts w:cs="Arial"/>
          <w:sz w:val="16"/>
          <w:szCs w:val="16"/>
          <w:rtl/>
        </w:rPr>
        <w:t>(סי' יז)</w:t>
      </w:r>
      <w:r w:rsidR="00C219A3">
        <w:rPr>
          <w:rFonts w:cs="Arial" w:hint="cs"/>
          <w:sz w:val="16"/>
          <w:szCs w:val="16"/>
          <w:rtl/>
        </w:rPr>
        <w:t xml:space="preserve"> </w:t>
      </w:r>
      <w:r w:rsidR="008C039C">
        <w:rPr>
          <w:rFonts w:cs="Arial" w:hint="cs"/>
          <w:sz w:val="16"/>
          <w:szCs w:val="16"/>
          <w:rtl/>
        </w:rPr>
        <w:t xml:space="preserve">דהכי </w:t>
      </w:r>
      <w:r w:rsidR="008C039C" w:rsidRPr="008C039C">
        <w:rPr>
          <w:rFonts w:cs="Arial"/>
          <w:sz w:val="16"/>
          <w:szCs w:val="16"/>
          <w:rtl/>
        </w:rPr>
        <w:t>פ</w:t>
      </w:r>
      <w:r w:rsidR="008C039C">
        <w:rPr>
          <w:rFonts w:cs="Arial" w:hint="cs"/>
          <w:sz w:val="16"/>
          <w:szCs w:val="16"/>
          <w:rtl/>
        </w:rPr>
        <w:t>ירושו-</w:t>
      </w:r>
      <w:r w:rsidR="008C039C" w:rsidRPr="008C039C">
        <w:rPr>
          <w:rFonts w:cs="Arial"/>
          <w:sz w:val="16"/>
          <w:szCs w:val="16"/>
          <w:rtl/>
        </w:rPr>
        <w:t xml:space="preserve"> </w:t>
      </w:r>
      <w:r w:rsidR="008C039C">
        <w:rPr>
          <w:rFonts w:cs="Arial" w:hint="cs"/>
          <w:sz w:val="16"/>
          <w:szCs w:val="16"/>
          <w:rtl/>
        </w:rPr>
        <w:t>'</w:t>
      </w:r>
      <w:r w:rsidR="008C039C" w:rsidRPr="008C039C">
        <w:rPr>
          <w:rFonts w:cs="Arial"/>
          <w:sz w:val="16"/>
          <w:szCs w:val="16"/>
          <w:rtl/>
        </w:rPr>
        <w:t>הא תאומים לא</w:t>
      </w:r>
      <w:r w:rsidR="008C039C">
        <w:rPr>
          <w:rFonts w:cs="Arial" w:hint="cs"/>
          <w:sz w:val="16"/>
          <w:szCs w:val="16"/>
          <w:rtl/>
        </w:rPr>
        <w:t>'</w:t>
      </w:r>
      <w:r w:rsidR="008C039C" w:rsidRPr="008C039C">
        <w:rPr>
          <w:rFonts w:cs="Arial"/>
          <w:sz w:val="16"/>
          <w:szCs w:val="16"/>
          <w:rtl/>
        </w:rPr>
        <w:t xml:space="preserve"> בתמיה</w:t>
      </w:r>
      <w:r w:rsidR="008C039C">
        <w:rPr>
          <w:rFonts w:cs="Arial" w:hint="cs"/>
          <w:sz w:val="16"/>
          <w:szCs w:val="16"/>
          <w:rtl/>
        </w:rPr>
        <w:t>,</w:t>
      </w:r>
      <w:r w:rsidR="008C039C" w:rsidRPr="008C039C">
        <w:rPr>
          <w:rFonts w:cs="Arial"/>
          <w:sz w:val="16"/>
          <w:szCs w:val="16"/>
          <w:rtl/>
        </w:rPr>
        <w:t xml:space="preserve"> והלא יכולה להניק שניהם למה לא תניקם אלא ודאי חייבת להניק שניהם</w:t>
      </w:r>
      <w:r w:rsidR="008C039C" w:rsidRPr="008C039C">
        <w:rPr>
          <w:rFonts w:cs="Arial" w:hint="cs"/>
          <w:sz w:val="16"/>
          <w:szCs w:val="16"/>
          <w:rtl/>
        </w:rPr>
        <w:t>,</w:t>
      </w:r>
      <w:r w:rsidR="008C039C" w:rsidRPr="008C039C">
        <w:rPr>
          <w:rFonts w:cs="Arial"/>
          <w:sz w:val="16"/>
          <w:szCs w:val="16"/>
          <w:rtl/>
        </w:rPr>
        <w:t xml:space="preserve"> ואם כן </w:t>
      </w:r>
      <w:r w:rsidR="008C039C">
        <w:rPr>
          <w:rFonts w:cs="Arial" w:hint="cs"/>
          <w:sz w:val="16"/>
          <w:szCs w:val="16"/>
          <w:rtl/>
        </w:rPr>
        <w:t>'</w:t>
      </w:r>
      <w:r w:rsidR="008C039C" w:rsidRPr="008C039C">
        <w:rPr>
          <w:rFonts w:cs="Arial"/>
          <w:sz w:val="16"/>
          <w:szCs w:val="16"/>
          <w:rtl/>
        </w:rPr>
        <w:t>למה אמרו בנה</w:t>
      </w:r>
      <w:r w:rsidR="008C039C">
        <w:rPr>
          <w:rFonts w:cs="Arial" w:hint="cs"/>
          <w:sz w:val="16"/>
          <w:szCs w:val="16"/>
          <w:rtl/>
        </w:rPr>
        <w:t>'</w:t>
      </w:r>
      <w:r w:rsidR="008C039C" w:rsidRPr="008C039C">
        <w:rPr>
          <w:rFonts w:cs="Arial"/>
          <w:sz w:val="16"/>
          <w:szCs w:val="16"/>
          <w:rtl/>
        </w:rPr>
        <w:t xml:space="preserve"> </w:t>
      </w:r>
      <w:r w:rsidR="007019F8">
        <w:rPr>
          <w:rFonts w:cs="Arial" w:hint="cs"/>
          <w:sz w:val="16"/>
          <w:szCs w:val="16"/>
          <w:rtl/>
        </w:rPr>
        <w:t xml:space="preserve">- </w:t>
      </w:r>
      <w:r w:rsidR="008C039C" w:rsidRPr="008C039C">
        <w:rPr>
          <w:rFonts w:cs="Arial"/>
          <w:sz w:val="16"/>
          <w:szCs w:val="16"/>
          <w:rtl/>
        </w:rPr>
        <w:t>למעוטי בן חבירתה ואפילו הוא בן בעלה</w:t>
      </w:r>
      <w:r w:rsidR="008C039C">
        <w:rPr>
          <w:rFonts w:cs="Arial" w:hint="cs"/>
          <w:sz w:val="16"/>
          <w:szCs w:val="16"/>
          <w:rtl/>
        </w:rPr>
        <w:t>. עכ"ל.</w:t>
      </w:r>
      <w:r w:rsidR="008C039C" w:rsidRPr="008C039C">
        <w:rPr>
          <w:rFonts w:cs="Arial"/>
          <w:sz w:val="16"/>
          <w:szCs w:val="16"/>
          <w:rtl/>
        </w:rPr>
        <w:t xml:space="preserve"> והר"ן (כד. ד"ה ירושלמי) כתב על דברי הירושלמי כלומר למה אמרו בנה ולא אמרו את הבן דש"מ דדוקא בן אבל תאומים לא</w:t>
      </w:r>
      <w:r w:rsidR="006817F8">
        <w:rPr>
          <w:rFonts w:cs="Arial" w:hint="cs"/>
          <w:sz w:val="16"/>
          <w:szCs w:val="16"/>
          <w:rtl/>
        </w:rPr>
        <w:t>,</w:t>
      </w:r>
      <w:r w:rsidR="008C039C" w:rsidRPr="008C039C">
        <w:rPr>
          <w:rFonts w:cs="Arial"/>
          <w:sz w:val="16"/>
          <w:szCs w:val="16"/>
          <w:rtl/>
        </w:rPr>
        <w:t xml:space="preserve"> לאשמועינן דדוקא בנה ולא בן חבירתה</w:t>
      </w:r>
      <w:r w:rsidR="006817F8">
        <w:rPr>
          <w:rFonts w:cs="Arial" w:hint="cs"/>
          <w:sz w:val="16"/>
          <w:szCs w:val="16"/>
          <w:rtl/>
        </w:rPr>
        <w:t>,</w:t>
      </w:r>
      <w:r w:rsidR="008C039C" w:rsidRPr="008C039C">
        <w:rPr>
          <w:rFonts w:cs="Arial"/>
          <w:sz w:val="16"/>
          <w:szCs w:val="16"/>
          <w:rtl/>
        </w:rPr>
        <w:t xml:space="preserve"> כלומר שאם מת בנה אינה חייבת להניק בשכר</w:t>
      </w:r>
      <w:r w:rsidR="006817F8">
        <w:rPr>
          <w:rFonts w:cs="Arial" w:hint="cs"/>
          <w:sz w:val="16"/>
          <w:szCs w:val="16"/>
          <w:rtl/>
        </w:rPr>
        <w:t>,</w:t>
      </w:r>
      <w:r w:rsidR="008C039C" w:rsidRPr="008C039C">
        <w:rPr>
          <w:rFonts w:cs="Arial"/>
          <w:sz w:val="16"/>
          <w:szCs w:val="16"/>
          <w:rtl/>
        </w:rPr>
        <w:t xml:space="preserve"> וכן נמי אינה חייבת להניק בן שיש לו מאשה אחרת</w:t>
      </w:r>
      <w:r w:rsidR="006817F8">
        <w:rPr>
          <w:rFonts w:cs="Arial" w:hint="cs"/>
          <w:sz w:val="16"/>
          <w:szCs w:val="16"/>
          <w:rtl/>
        </w:rPr>
        <w:t>,</w:t>
      </w:r>
      <w:r w:rsidR="008C039C" w:rsidRPr="008C039C">
        <w:rPr>
          <w:rFonts w:cs="Arial"/>
          <w:sz w:val="16"/>
          <w:szCs w:val="16"/>
          <w:rtl/>
        </w:rPr>
        <w:t xml:space="preserve"> וכן נמי הבעל מעכב עליה מלהניק בן חבירתה עם בנה עכ"ל</w:t>
      </w:r>
      <w:r w:rsidR="008C039C">
        <w:rPr>
          <w:rFonts w:cs="Arial" w:hint="cs"/>
          <w:sz w:val="16"/>
          <w:szCs w:val="16"/>
          <w:rtl/>
        </w:rPr>
        <w:t>, ב"י</w:t>
      </w:r>
      <w:r w:rsidR="008C039C" w:rsidRPr="008C039C">
        <w:rPr>
          <w:rFonts w:cs="Arial" w:hint="cs"/>
          <w:sz w:val="16"/>
          <w:szCs w:val="16"/>
          <w:rtl/>
        </w:rPr>
        <w:t>)</w:t>
      </w:r>
    </w:p>
    <w:p w14:paraId="2F175E41" w14:textId="7A04A38A" w:rsidR="00186208" w:rsidRPr="00186208" w:rsidRDefault="00186208" w:rsidP="00EE0F3A">
      <w:pPr>
        <w:rPr>
          <w:u w:val="single"/>
          <w:rtl/>
        </w:rPr>
      </w:pPr>
      <w:r w:rsidRPr="00186208">
        <w:rPr>
          <w:rFonts w:hint="cs"/>
          <w:u w:val="single"/>
          <w:rtl/>
        </w:rPr>
        <w:t xml:space="preserve">ילדה תאומים </w:t>
      </w:r>
      <w:r w:rsidR="00F97626">
        <w:rPr>
          <w:u w:val="single"/>
          <w:rtl/>
        </w:rPr>
        <w:t>-</w:t>
      </w:r>
      <w:r w:rsidRPr="00186208">
        <w:rPr>
          <w:rFonts w:hint="cs"/>
          <w:u w:val="single"/>
          <w:rtl/>
        </w:rPr>
        <w:t xml:space="preserve"> האם היא חייבת להניק את שניהם:</w:t>
      </w:r>
    </w:p>
    <w:p w14:paraId="3E15D25A" w14:textId="7CB1D85B" w:rsidR="00EE0F3A" w:rsidRPr="00EE0F3A" w:rsidRDefault="004C0CB6" w:rsidP="009000E3">
      <w:pPr>
        <w:pStyle w:val="ab"/>
        <w:numPr>
          <w:ilvl w:val="0"/>
          <w:numId w:val="35"/>
        </w:numPr>
      </w:pPr>
      <w:r w:rsidRPr="000A7A9C">
        <w:rPr>
          <w:rFonts w:cs="Arial"/>
          <w:rtl/>
        </w:rPr>
        <w:t>רי"ף</w:t>
      </w:r>
      <w:r w:rsidR="00EE0F3A">
        <w:rPr>
          <w:rFonts w:cs="Arial" w:hint="cs"/>
          <w:rtl/>
        </w:rPr>
        <w:t xml:space="preserve"> </w:t>
      </w:r>
      <w:r w:rsidR="00EE0F3A" w:rsidRPr="00EE0F3A">
        <w:rPr>
          <w:rFonts w:cs="Arial"/>
          <w:sz w:val="16"/>
          <w:szCs w:val="16"/>
          <w:rtl/>
        </w:rPr>
        <w:t>(כד.)</w:t>
      </w:r>
      <w:r w:rsidR="00EE0F3A">
        <w:rPr>
          <w:rFonts w:cs="Arial" w:hint="cs"/>
          <w:sz w:val="16"/>
          <w:szCs w:val="16"/>
          <w:rtl/>
        </w:rPr>
        <w:t xml:space="preserve"> </w:t>
      </w:r>
      <w:r w:rsidR="00EE0F3A">
        <w:rPr>
          <w:rFonts w:cs="Arial" w:hint="cs"/>
          <w:rtl/>
        </w:rPr>
        <w:t>ורמב"ם</w:t>
      </w:r>
      <w:r w:rsidR="00EE0F3A">
        <w:rPr>
          <w:rFonts w:cs="Arial" w:hint="cs"/>
          <w:sz w:val="16"/>
          <w:szCs w:val="16"/>
          <w:rtl/>
        </w:rPr>
        <w:t xml:space="preserve"> (פכ"א הי"ב)</w:t>
      </w:r>
      <w:r w:rsidR="00EE0F3A">
        <w:rPr>
          <w:rFonts w:cs="Arial" w:hint="cs"/>
          <w:rtl/>
        </w:rPr>
        <w:t xml:space="preserve">- </w:t>
      </w:r>
      <w:r w:rsidR="00EE0F3A" w:rsidRPr="00EE0F3A">
        <w:rPr>
          <w:rFonts w:cs="Arial"/>
          <w:rtl/>
        </w:rPr>
        <w:t>ילדה תאומים אין כופין אותה להניק שניהם אלא מניקה אחד ושוכר הבעל מניקה לשני</w:t>
      </w:r>
      <w:r w:rsidR="00E42BA2">
        <w:rPr>
          <w:rFonts w:cs="Arial" w:hint="cs"/>
          <w:rtl/>
        </w:rPr>
        <w:t xml:space="preserve"> </w:t>
      </w:r>
      <w:r w:rsidR="00EE0F3A">
        <w:rPr>
          <w:rFonts w:cs="Arial" w:hint="cs"/>
          <w:sz w:val="16"/>
          <w:szCs w:val="16"/>
          <w:rtl/>
        </w:rPr>
        <w:t>(ל' הרמב"ם)</w:t>
      </w:r>
      <w:r w:rsidR="00EE0F3A">
        <w:rPr>
          <w:rFonts w:cs="Arial" w:hint="cs"/>
          <w:rtl/>
        </w:rPr>
        <w:t>.</w:t>
      </w:r>
      <w:r w:rsidR="00A658B6" w:rsidRPr="00A658B6">
        <w:rPr>
          <w:rFonts w:cs="Arial" w:hint="cs"/>
          <w:color w:val="E36C0A" w:themeColor="accent6" w:themeShade="BF"/>
          <w:rtl/>
        </w:rPr>
        <w:t xml:space="preserve"> </w:t>
      </w:r>
      <w:r w:rsidR="00A658B6" w:rsidRPr="006E3BCF">
        <w:rPr>
          <w:rFonts w:cs="Arial" w:hint="cs"/>
          <w:color w:val="E36C0A" w:themeColor="accent6" w:themeShade="BF"/>
          <w:rtl/>
        </w:rPr>
        <w:t>(וכ"פ בשו"ע)</w:t>
      </w:r>
    </w:p>
    <w:p w14:paraId="3FCFF70D" w14:textId="7F7BD90A" w:rsidR="00DC4762" w:rsidRDefault="00EE0F3A" w:rsidP="009000E3">
      <w:pPr>
        <w:pStyle w:val="ab"/>
        <w:numPr>
          <w:ilvl w:val="0"/>
          <w:numId w:val="35"/>
        </w:numPr>
        <w:rPr>
          <w:rtl/>
        </w:rPr>
      </w:pPr>
      <w:r>
        <w:rPr>
          <w:rFonts w:cs="Arial" w:hint="cs"/>
          <w:rtl/>
        </w:rPr>
        <w:t>רא"ש</w:t>
      </w:r>
      <w:r w:rsidR="008C039C">
        <w:rPr>
          <w:rFonts w:cs="Arial" w:hint="cs"/>
          <w:rtl/>
        </w:rPr>
        <w:t xml:space="preserve"> </w:t>
      </w:r>
      <w:r w:rsidR="008C039C" w:rsidRPr="008C039C">
        <w:rPr>
          <w:rFonts w:cs="Arial"/>
          <w:sz w:val="16"/>
          <w:szCs w:val="16"/>
          <w:rtl/>
        </w:rPr>
        <w:t>(סי' יז)</w:t>
      </w:r>
      <w:r>
        <w:rPr>
          <w:rFonts w:cs="Arial" w:hint="cs"/>
          <w:rtl/>
        </w:rPr>
        <w:t xml:space="preserve">- </w:t>
      </w:r>
      <w:r w:rsidR="004C0CB6" w:rsidRPr="000A7A9C">
        <w:rPr>
          <w:rFonts w:cs="Arial"/>
          <w:rtl/>
        </w:rPr>
        <w:t>אם יכולה להניק שניהם צריכה להניק שניהם</w:t>
      </w:r>
      <w:r>
        <w:rPr>
          <w:rFonts w:cs="Arial" w:hint="cs"/>
          <w:rtl/>
        </w:rPr>
        <w:t>.</w:t>
      </w:r>
      <w:r w:rsidR="004C0CB6" w:rsidRPr="000A7A9C">
        <w:rPr>
          <w:rFonts w:cs="Arial"/>
          <w:rtl/>
        </w:rPr>
        <w:t xml:space="preserve"> אבל אם יש לו בן מאשה אחרת אינה חייבת להניקו</w:t>
      </w:r>
      <w:r w:rsidR="00186208">
        <w:rPr>
          <w:rFonts w:cs="Arial" w:hint="cs"/>
          <w:sz w:val="16"/>
          <w:szCs w:val="16"/>
          <w:rtl/>
        </w:rPr>
        <w:t xml:space="preserve"> (ל' הטור בשמו)</w:t>
      </w:r>
      <w:r>
        <w:rPr>
          <w:rFonts w:cs="Arial" w:hint="cs"/>
          <w:rtl/>
        </w:rPr>
        <w:t>.</w:t>
      </w:r>
      <w:r w:rsidR="00A658B6" w:rsidRPr="00A658B6">
        <w:rPr>
          <w:rFonts w:hint="cs"/>
          <w:color w:val="00B0F0"/>
          <w:rtl/>
        </w:rPr>
        <w:t xml:space="preserve"> </w:t>
      </w:r>
      <w:r w:rsidR="00A658B6" w:rsidRPr="00A96332">
        <w:rPr>
          <w:rFonts w:hint="cs"/>
          <w:color w:val="00B0F0"/>
          <w:rtl/>
        </w:rPr>
        <w:t>(וכ"פ הרמ"א)</w:t>
      </w:r>
    </w:p>
    <w:p w14:paraId="4D347928" w14:textId="77777777" w:rsidR="004D0526" w:rsidRDefault="004D0526" w:rsidP="004D0526">
      <w:pPr>
        <w:rPr>
          <w:rFonts w:cs="Arial"/>
          <w:rtl/>
        </w:rPr>
      </w:pPr>
      <w:r w:rsidRPr="003024E5">
        <w:rPr>
          <w:rFonts w:asciiTheme="minorBidi" w:hAnsiTheme="minorBidi"/>
          <w:b/>
          <w:bCs/>
          <w:color w:val="000000"/>
          <w:sz w:val="28"/>
          <w:szCs w:val="28"/>
          <w:u w:val="single"/>
          <w:rtl/>
        </w:rPr>
        <w:t>שו"ע:</w:t>
      </w:r>
    </w:p>
    <w:p w14:paraId="2B00DFBF" w14:textId="2C7CC9DD" w:rsidR="000D2069" w:rsidRDefault="000D2069" w:rsidP="000D2069">
      <w:pPr>
        <w:rPr>
          <w:rtl/>
        </w:rPr>
      </w:pPr>
      <w:r>
        <w:rPr>
          <w:rFonts w:cs="Arial"/>
          <w:rtl/>
        </w:rPr>
        <w:t>ילדה תאומים, אין כופין אותה להניק שניהם, אלא מניקה אחד ושוכר הבעל מניקה לשני</w:t>
      </w:r>
      <w:r w:rsidR="00A658B6">
        <w:rPr>
          <w:rFonts w:cs="Arial" w:hint="cs"/>
          <w:rtl/>
        </w:rPr>
        <w:t>.</w:t>
      </w:r>
      <w:r>
        <w:rPr>
          <w:rFonts w:cs="Arial"/>
          <w:rtl/>
        </w:rPr>
        <w:t xml:space="preserve"> </w:t>
      </w:r>
      <w:r w:rsidR="00A658B6">
        <w:rPr>
          <w:rFonts w:cs="Arial" w:hint="cs"/>
          <w:sz w:val="18"/>
          <w:szCs w:val="18"/>
          <w:rtl/>
        </w:rPr>
        <w:t xml:space="preserve">[הגה] </w:t>
      </w:r>
      <w:r w:rsidRPr="004D0526">
        <w:rPr>
          <w:rFonts w:cs="Arial"/>
          <w:sz w:val="18"/>
          <w:szCs w:val="18"/>
          <w:rtl/>
        </w:rPr>
        <w:t>וי"א דמניקה שניהם</w:t>
      </w:r>
      <w:r w:rsidR="00977430">
        <w:rPr>
          <w:rStyle w:val="a7"/>
          <w:rFonts w:cs="Arial"/>
          <w:sz w:val="18"/>
          <w:szCs w:val="18"/>
          <w:rtl/>
        </w:rPr>
        <w:footnoteReference w:id="732"/>
      </w:r>
      <w:r w:rsidRPr="004D0526">
        <w:rPr>
          <w:rFonts w:cs="Arial"/>
          <w:sz w:val="18"/>
          <w:szCs w:val="18"/>
          <w:rtl/>
        </w:rPr>
        <w:t xml:space="preserve"> (טור בשם הרא"ש). </w:t>
      </w:r>
    </w:p>
    <w:p w14:paraId="6441F0D1" w14:textId="58F3162B" w:rsidR="00EE1BFB" w:rsidRPr="00EE1BFB" w:rsidRDefault="00EE1BFB" w:rsidP="000D2069">
      <w:pPr>
        <w:rPr>
          <w:rFonts w:cs="Arial"/>
          <w:sz w:val="16"/>
          <w:szCs w:val="16"/>
          <w:rtl/>
        </w:rPr>
      </w:pPr>
      <w:r w:rsidRPr="00EE1BFB">
        <w:rPr>
          <w:rFonts w:cs="Arial"/>
          <w:u w:val="single"/>
          <w:rtl/>
        </w:rPr>
        <w:t>מת הבעל תוך זמן ההנקה והאלמנה רוצה ללכת לעיר אחרת</w:t>
      </w:r>
      <w:r w:rsidRPr="00EE1BFB">
        <w:rPr>
          <w:rFonts w:cs="Arial" w:hint="cs"/>
          <w:u w:val="single"/>
          <w:rtl/>
        </w:rPr>
        <w:t>:</w:t>
      </w:r>
      <w:r w:rsidRPr="00EE1BFB">
        <w:rPr>
          <w:rFonts w:cs="Arial"/>
          <w:rtl/>
        </w:rPr>
        <w:t xml:space="preserve"> </w:t>
      </w:r>
      <w:r>
        <w:rPr>
          <w:rFonts w:cs="Arial" w:hint="cs"/>
          <w:sz w:val="16"/>
          <w:szCs w:val="16"/>
          <w:rtl/>
        </w:rPr>
        <w:t>(באה"ט סקט"ו)</w:t>
      </w:r>
    </w:p>
    <w:p w14:paraId="6B9F4A54" w14:textId="77777777" w:rsidR="00EE1BFB" w:rsidRPr="00EE1BFB" w:rsidRDefault="00EE1BFB" w:rsidP="009000E3">
      <w:pPr>
        <w:pStyle w:val="ab"/>
        <w:numPr>
          <w:ilvl w:val="0"/>
          <w:numId w:val="42"/>
        </w:numPr>
      </w:pPr>
      <w:r w:rsidRPr="00EE1BFB">
        <w:rPr>
          <w:rFonts w:cs="Arial"/>
          <w:rtl/>
        </w:rPr>
        <w:t xml:space="preserve">מהריב"ל </w:t>
      </w:r>
      <w:r w:rsidRPr="00EE1BFB">
        <w:rPr>
          <w:rFonts w:cs="Arial" w:hint="cs"/>
          <w:sz w:val="16"/>
          <w:szCs w:val="16"/>
          <w:rtl/>
        </w:rPr>
        <w:t>(</w:t>
      </w:r>
      <w:r w:rsidRPr="00EE1BFB">
        <w:rPr>
          <w:rFonts w:cs="Arial"/>
          <w:sz w:val="16"/>
          <w:szCs w:val="16"/>
          <w:rtl/>
        </w:rPr>
        <w:t>ח"א כלל יא סי</w:t>
      </w:r>
      <w:r w:rsidRPr="00EE1BFB">
        <w:rPr>
          <w:rFonts w:cs="Arial" w:hint="cs"/>
          <w:sz w:val="16"/>
          <w:szCs w:val="16"/>
          <w:rtl/>
        </w:rPr>
        <w:t>'</w:t>
      </w:r>
      <w:r w:rsidRPr="00EE1BFB">
        <w:rPr>
          <w:rFonts w:cs="Arial"/>
          <w:sz w:val="16"/>
          <w:szCs w:val="16"/>
          <w:rtl/>
        </w:rPr>
        <w:t xml:space="preserve"> נו</w:t>
      </w:r>
      <w:r w:rsidRPr="00EE1BFB">
        <w:rPr>
          <w:rFonts w:cs="Arial" w:hint="cs"/>
          <w:sz w:val="16"/>
          <w:szCs w:val="16"/>
          <w:rtl/>
        </w:rPr>
        <w:t>)</w:t>
      </w:r>
      <w:r>
        <w:rPr>
          <w:rFonts w:cs="Arial" w:hint="cs"/>
          <w:rtl/>
        </w:rPr>
        <w:t>-</w:t>
      </w:r>
      <w:r w:rsidRPr="00EE1BFB">
        <w:rPr>
          <w:rFonts w:cs="Arial"/>
          <w:rtl/>
        </w:rPr>
        <w:t xml:space="preserve"> אין כופין אותה שתשב באותו העיר לזון את בנה. </w:t>
      </w:r>
    </w:p>
    <w:p w14:paraId="687D5FA7" w14:textId="2BB7D596" w:rsidR="004D0526" w:rsidRDefault="00EE1BFB" w:rsidP="009000E3">
      <w:pPr>
        <w:pStyle w:val="ab"/>
        <w:numPr>
          <w:ilvl w:val="0"/>
          <w:numId w:val="42"/>
        </w:numPr>
        <w:rPr>
          <w:rtl/>
        </w:rPr>
      </w:pPr>
      <w:r w:rsidRPr="00EE1BFB">
        <w:rPr>
          <w:rFonts w:cs="Arial"/>
          <w:rtl/>
        </w:rPr>
        <w:t xml:space="preserve">רשד"ם </w:t>
      </w:r>
      <w:r w:rsidRPr="00977430">
        <w:rPr>
          <w:rFonts w:cs="Arial" w:hint="cs"/>
          <w:sz w:val="16"/>
          <w:szCs w:val="16"/>
          <w:rtl/>
        </w:rPr>
        <w:t>(</w:t>
      </w:r>
      <w:r w:rsidRPr="00977430">
        <w:rPr>
          <w:rFonts w:cs="Arial"/>
          <w:sz w:val="16"/>
          <w:szCs w:val="16"/>
          <w:rtl/>
        </w:rPr>
        <w:t>חא"ה סי' קכג</w:t>
      </w:r>
      <w:r w:rsidRPr="00977430">
        <w:rPr>
          <w:rFonts w:cs="Arial" w:hint="cs"/>
          <w:sz w:val="16"/>
          <w:szCs w:val="16"/>
          <w:rtl/>
        </w:rPr>
        <w:t>)</w:t>
      </w:r>
      <w:r w:rsidR="00977430" w:rsidRPr="00977430">
        <w:rPr>
          <w:rFonts w:cs="Arial" w:hint="cs"/>
          <w:sz w:val="16"/>
          <w:szCs w:val="16"/>
          <w:rtl/>
        </w:rPr>
        <w:t xml:space="preserve"> </w:t>
      </w:r>
      <w:r w:rsidR="00977430">
        <w:rPr>
          <w:rFonts w:cs="Arial" w:hint="cs"/>
          <w:rtl/>
        </w:rPr>
        <w:t xml:space="preserve">ורדב"ז </w:t>
      </w:r>
      <w:r w:rsidR="00977430">
        <w:rPr>
          <w:rFonts w:cs="Arial" w:hint="cs"/>
          <w:sz w:val="16"/>
          <w:szCs w:val="16"/>
          <w:rtl/>
        </w:rPr>
        <w:t>(כ"כ הבאה"ט בשמו, עיין כנה"ג)</w:t>
      </w:r>
      <w:r>
        <w:rPr>
          <w:rFonts w:cs="Arial" w:hint="cs"/>
          <w:rtl/>
        </w:rPr>
        <w:t xml:space="preserve">- </w:t>
      </w:r>
      <w:r w:rsidRPr="00EE1BFB">
        <w:rPr>
          <w:rFonts w:cs="Arial"/>
          <w:rtl/>
        </w:rPr>
        <w:t>כופין אותה לשבת באותה העיר עד זמן ההנקה</w:t>
      </w:r>
      <w:r w:rsidR="00977430">
        <w:rPr>
          <w:rFonts w:cs="Arial" w:hint="cs"/>
          <w:rtl/>
        </w:rPr>
        <w:t xml:space="preserve">. </w:t>
      </w:r>
    </w:p>
    <w:p w14:paraId="2CE20F79" w14:textId="77777777" w:rsidR="00EE1BFB" w:rsidRDefault="00EE1BFB" w:rsidP="000D2069">
      <w:pPr>
        <w:rPr>
          <w:rtl/>
        </w:rPr>
      </w:pPr>
    </w:p>
    <w:p w14:paraId="5B9459E8" w14:textId="68413934" w:rsidR="000D2069" w:rsidRDefault="000D2069" w:rsidP="000F64D0">
      <w:pPr>
        <w:pStyle w:val="2"/>
        <w:rPr>
          <w:rtl/>
        </w:rPr>
      </w:pPr>
      <w:r>
        <w:rPr>
          <w:rtl/>
        </w:rPr>
        <w:t>סעיף יד</w:t>
      </w:r>
      <w:r w:rsidR="00186208">
        <w:rPr>
          <w:rFonts w:hint="cs"/>
          <w:rtl/>
        </w:rPr>
        <w:t xml:space="preserve">: רצתה להניק </w:t>
      </w:r>
      <w:r w:rsidR="00E42BA2">
        <w:rPr>
          <w:rFonts w:hint="cs"/>
          <w:rtl/>
        </w:rPr>
        <w:t>עוד בן בנוסף לבנם.</w:t>
      </w:r>
    </w:p>
    <w:p w14:paraId="2B5ECC93" w14:textId="42426AB3" w:rsidR="00186208" w:rsidRDefault="00186208" w:rsidP="00186208">
      <w:pPr>
        <w:rPr>
          <w:rtl/>
        </w:rPr>
      </w:pPr>
      <w:r>
        <w:rPr>
          <w:rFonts w:cs="Arial" w:hint="cs"/>
          <w:b/>
          <w:bCs/>
          <w:rtl/>
        </w:rPr>
        <w:t xml:space="preserve">ירושלמי כתובות פ"ה ה"ו: </w:t>
      </w:r>
      <w:r w:rsidRPr="00EE0F3A">
        <w:rPr>
          <w:rFonts w:cs="Arial"/>
          <w:rtl/>
        </w:rPr>
        <w:t>מניקה את בנה.</w:t>
      </w:r>
      <w:r>
        <w:rPr>
          <w:rFonts w:cs="Arial" w:hint="cs"/>
          <w:rtl/>
        </w:rPr>
        <w:t>..</w:t>
      </w:r>
      <w:r w:rsidRPr="00EE0F3A">
        <w:rPr>
          <w:rFonts w:cs="Arial"/>
          <w:rtl/>
        </w:rPr>
        <w:t xml:space="preserve"> ולמה אמר בנה</w:t>
      </w:r>
      <w:r>
        <w:rPr>
          <w:rFonts w:cs="Arial" w:hint="cs"/>
          <w:rtl/>
        </w:rPr>
        <w:t>?</w:t>
      </w:r>
      <w:r w:rsidRPr="00EE0F3A">
        <w:rPr>
          <w:rFonts w:cs="Arial"/>
          <w:rtl/>
        </w:rPr>
        <w:t xml:space="preserve"> שלא תיניק בן חבירתה</w:t>
      </w:r>
      <w:r>
        <w:rPr>
          <w:rFonts w:cs="Arial" w:hint="cs"/>
          <w:rtl/>
        </w:rPr>
        <w:t>.</w:t>
      </w:r>
      <w:r w:rsidRPr="00EE0F3A">
        <w:rPr>
          <w:rFonts w:cs="Arial"/>
          <w:rtl/>
        </w:rPr>
        <w:t xml:space="preserve"> כהדין דתני</w:t>
      </w:r>
      <w:r>
        <w:rPr>
          <w:rFonts w:cs="Arial" w:hint="cs"/>
          <w:rtl/>
        </w:rPr>
        <w:t>:</w:t>
      </w:r>
      <w:r w:rsidRPr="00EE0F3A">
        <w:rPr>
          <w:rFonts w:cs="Arial"/>
          <w:rtl/>
        </w:rPr>
        <w:t xml:space="preserve"> אין האיש כופף את אשתו שתניק בנו של חבירו</w:t>
      </w:r>
      <w:r w:rsidR="00E71967">
        <w:rPr>
          <w:rFonts w:cs="Arial" w:hint="cs"/>
          <w:rtl/>
        </w:rPr>
        <w:t>,</w:t>
      </w:r>
      <w:r w:rsidRPr="00EE0F3A">
        <w:rPr>
          <w:rFonts w:cs="Arial"/>
          <w:rtl/>
        </w:rPr>
        <w:t xml:space="preserve"> ולא האשה כופה את בעלה שתניק בן חבירתה</w:t>
      </w:r>
      <w:r>
        <w:rPr>
          <w:rFonts w:hint="cs"/>
          <w:rtl/>
        </w:rPr>
        <w:t>.</w:t>
      </w:r>
      <w:r w:rsidRPr="008C039C">
        <w:rPr>
          <w:rFonts w:cs="Arial" w:hint="cs"/>
          <w:sz w:val="16"/>
          <w:szCs w:val="16"/>
          <w:rtl/>
        </w:rPr>
        <w:t xml:space="preserve"> </w:t>
      </w:r>
    </w:p>
    <w:p w14:paraId="5E82B490" w14:textId="68B3C389" w:rsidR="00A658B6" w:rsidRDefault="00A658B6" w:rsidP="00186208">
      <w:pPr>
        <w:rPr>
          <w:rtl/>
        </w:rPr>
      </w:pPr>
      <w:r w:rsidRPr="00A60730">
        <w:rPr>
          <w:rFonts w:cs="Arial" w:hint="cs"/>
          <w:b/>
          <w:bCs/>
          <w:rtl/>
        </w:rPr>
        <w:t xml:space="preserve">כתובות </w:t>
      </w:r>
      <w:r w:rsidRPr="00A60730">
        <w:rPr>
          <w:rFonts w:cs="Arial" w:hint="cs"/>
          <w:b/>
          <w:bCs/>
          <w:sz w:val="16"/>
          <w:szCs w:val="16"/>
          <w:rtl/>
        </w:rPr>
        <w:t xml:space="preserve">(ס"פ אף על פי) </w:t>
      </w:r>
      <w:r w:rsidRPr="00A60730">
        <w:rPr>
          <w:rFonts w:cs="Arial" w:hint="cs"/>
          <w:b/>
          <w:bCs/>
          <w:rtl/>
        </w:rPr>
        <w:t xml:space="preserve">ס ע"ב: </w:t>
      </w:r>
      <w:r w:rsidRPr="00A658B6">
        <w:rPr>
          <w:rFonts w:cs="Arial"/>
          <w:rtl/>
        </w:rPr>
        <w:t>תנו רבנן: הרי שנתנו לה בן להניק - הרי זו לא תניק עמו לא בנה ולא בן חברתה, פסקה קימעא אוכלת הרבה, לא תאכל עמו דברים הרעים לחלב. השתא בנה אמרת לא, בן חברתה מיבעיא? מהו דתימא, בנה הוא דחייס עילויה ממציא ליה טפי, אבל בן חברתה, אי לאו דהוה לה מותר לא הוה ממציא ליה, קא משמע לן.</w:t>
      </w:r>
    </w:p>
    <w:p w14:paraId="5E8ED66C" w14:textId="5218A2E2" w:rsidR="00186208" w:rsidRPr="00E42BA2" w:rsidRDefault="00E42BA2" w:rsidP="00186208">
      <w:pPr>
        <w:rPr>
          <w:u w:val="single"/>
          <w:rtl/>
        </w:rPr>
      </w:pPr>
      <w:r w:rsidRPr="00E42BA2">
        <w:rPr>
          <w:rFonts w:cs="Arial"/>
          <w:u w:val="single"/>
          <w:rtl/>
        </w:rPr>
        <w:t>רצתה להניק בן חבירתה עם ב</w:t>
      </w:r>
      <w:r w:rsidRPr="00E42BA2">
        <w:rPr>
          <w:rFonts w:cs="Arial" w:hint="cs"/>
          <w:u w:val="single"/>
          <w:rtl/>
        </w:rPr>
        <w:t>נם:</w:t>
      </w:r>
    </w:p>
    <w:p w14:paraId="40B25E08" w14:textId="42366080" w:rsidR="00E42BA2" w:rsidRPr="00E42BA2" w:rsidRDefault="00E42BA2" w:rsidP="009000E3">
      <w:pPr>
        <w:pStyle w:val="ab"/>
        <w:numPr>
          <w:ilvl w:val="0"/>
          <w:numId w:val="36"/>
        </w:numPr>
      </w:pPr>
      <w:r>
        <w:rPr>
          <w:rFonts w:cs="Arial" w:hint="cs"/>
          <w:rtl/>
        </w:rPr>
        <w:t>רמב"ם</w:t>
      </w:r>
      <w:r>
        <w:rPr>
          <w:rFonts w:cs="Arial" w:hint="cs"/>
          <w:sz w:val="16"/>
          <w:szCs w:val="16"/>
          <w:rtl/>
        </w:rPr>
        <w:t xml:space="preserve"> (פכ"א הי"ב)</w:t>
      </w:r>
      <w:r>
        <w:rPr>
          <w:rFonts w:cs="Arial" w:hint="cs"/>
          <w:rtl/>
        </w:rPr>
        <w:t xml:space="preserve"> וטור- </w:t>
      </w:r>
      <w:r w:rsidRPr="00EE0F3A">
        <w:rPr>
          <w:rFonts w:cs="Arial"/>
          <w:rtl/>
        </w:rPr>
        <w:t xml:space="preserve">הרי שרצת האשה להניק בן חבירתה עם בנה </w:t>
      </w:r>
      <w:r>
        <w:rPr>
          <w:rFonts w:cs="Arial" w:hint="cs"/>
          <w:rtl/>
        </w:rPr>
        <w:t xml:space="preserve">- </w:t>
      </w:r>
      <w:r w:rsidRPr="00EE0F3A">
        <w:rPr>
          <w:rFonts w:cs="Arial"/>
          <w:rtl/>
        </w:rPr>
        <w:t>הבעל מעכב</w:t>
      </w:r>
      <w:r>
        <w:rPr>
          <w:rFonts w:cs="Arial" w:hint="cs"/>
          <w:rtl/>
        </w:rPr>
        <w:t>,</w:t>
      </w:r>
      <w:r w:rsidRPr="00EE0F3A">
        <w:rPr>
          <w:rFonts w:cs="Arial"/>
          <w:rtl/>
        </w:rPr>
        <w:t xml:space="preserve"> ואינו מניחה אלא להניק בנו בלבד</w:t>
      </w:r>
      <w:r>
        <w:rPr>
          <w:rFonts w:cs="Arial" w:hint="cs"/>
          <w:sz w:val="16"/>
          <w:szCs w:val="16"/>
          <w:rtl/>
        </w:rPr>
        <w:t xml:space="preserve"> (ל' הרמב"ם)</w:t>
      </w:r>
      <w:r>
        <w:rPr>
          <w:rFonts w:cs="Arial" w:hint="cs"/>
          <w:rtl/>
        </w:rPr>
        <w:t>.</w:t>
      </w:r>
      <w:r w:rsidR="00A658B6" w:rsidRPr="00A658B6">
        <w:rPr>
          <w:rFonts w:cs="Arial" w:hint="cs"/>
          <w:color w:val="E36C0A" w:themeColor="accent6" w:themeShade="BF"/>
          <w:rtl/>
        </w:rPr>
        <w:t xml:space="preserve"> </w:t>
      </w:r>
      <w:r w:rsidR="00A658B6" w:rsidRPr="006E3BCF">
        <w:rPr>
          <w:rFonts w:cs="Arial" w:hint="cs"/>
          <w:color w:val="E36C0A" w:themeColor="accent6" w:themeShade="BF"/>
          <w:rtl/>
        </w:rPr>
        <w:t>(וכ"פ בשו"ע)</w:t>
      </w:r>
    </w:p>
    <w:p w14:paraId="42A10580" w14:textId="25245044" w:rsidR="00E42BA2" w:rsidRPr="00E42BA2" w:rsidRDefault="00E42BA2" w:rsidP="00E42BA2">
      <w:pPr>
        <w:ind w:left="360"/>
        <w:rPr>
          <w:u w:val="dotted"/>
        </w:rPr>
      </w:pPr>
      <w:r w:rsidRPr="00E42BA2">
        <w:rPr>
          <w:rFonts w:hint="cs"/>
          <w:u w:val="dotted"/>
          <w:rtl/>
        </w:rPr>
        <w:t>ומה הדין אם זה בנה מאיש אחר:</w:t>
      </w:r>
    </w:p>
    <w:p w14:paraId="58BB3673" w14:textId="067AF386" w:rsidR="005A54B7" w:rsidRPr="005A54B7" w:rsidRDefault="00E42BA2" w:rsidP="009000E3">
      <w:pPr>
        <w:pStyle w:val="ab"/>
        <w:numPr>
          <w:ilvl w:val="0"/>
          <w:numId w:val="36"/>
        </w:numPr>
        <w:rPr>
          <w:rtl/>
        </w:rPr>
      </w:pPr>
      <w:r>
        <w:rPr>
          <w:rFonts w:cs="Arial" w:hint="cs"/>
          <w:rtl/>
        </w:rPr>
        <w:t xml:space="preserve">טור- </w:t>
      </w:r>
      <w:r w:rsidR="005A54B7" w:rsidRPr="000A7A9C">
        <w:rPr>
          <w:rFonts w:cs="Arial"/>
          <w:rtl/>
        </w:rPr>
        <w:t>נ"ל דאפילו על בנה שיש לה מאיש אחר מעכב</w:t>
      </w:r>
      <w:r w:rsidR="00D72E67">
        <w:rPr>
          <w:rFonts w:cs="Arial" w:hint="cs"/>
          <w:rtl/>
        </w:rPr>
        <w:t>,</w:t>
      </w:r>
      <w:r w:rsidR="005A54B7" w:rsidRPr="000A7A9C">
        <w:rPr>
          <w:rFonts w:cs="Arial"/>
          <w:rtl/>
        </w:rPr>
        <w:t xml:space="preserve"> דתניא </w:t>
      </w:r>
      <w:r w:rsidR="00D72E67">
        <w:rPr>
          <w:rFonts w:cs="Arial" w:hint="cs"/>
          <w:rtl/>
        </w:rPr>
        <w:t>'</w:t>
      </w:r>
      <w:r w:rsidR="005A54B7" w:rsidRPr="000A7A9C">
        <w:rPr>
          <w:rFonts w:cs="Arial"/>
          <w:rtl/>
        </w:rPr>
        <w:t>הרי שנתנו לה בן להניק לא תניק עמו לא בן חבירתה ולא בנה</w:t>
      </w:r>
      <w:r w:rsidR="00D72E67">
        <w:rPr>
          <w:rFonts w:cs="Arial" w:hint="cs"/>
          <w:rtl/>
        </w:rPr>
        <w:t>',</w:t>
      </w:r>
      <w:r w:rsidR="005A54B7" w:rsidRPr="000A7A9C">
        <w:rPr>
          <w:rFonts w:cs="Arial"/>
          <w:rtl/>
        </w:rPr>
        <w:t xml:space="preserve"> ואין חילוק בין אם נתנו לה בן להניק בין אם מניקה בן בעלה</w:t>
      </w:r>
      <w:r w:rsidR="00186208">
        <w:rPr>
          <w:rStyle w:val="a7"/>
          <w:rFonts w:cs="Arial"/>
          <w:rtl/>
        </w:rPr>
        <w:footnoteReference w:id="733"/>
      </w:r>
      <w:r w:rsidR="00A658B6">
        <w:rPr>
          <w:rFonts w:cs="Arial" w:hint="cs"/>
          <w:rtl/>
        </w:rPr>
        <w:t xml:space="preserve">. </w:t>
      </w:r>
      <w:r w:rsidR="00A658B6" w:rsidRPr="00A96332">
        <w:rPr>
          <w:rFonts w:hint="cs"/>
          <w:color w:val="00B0F0"/>
          <w:rtl/>
        </w:rPr>
        <w:t>(וכ"פ הרמ"א)</w:t>
      </w:r>
    </w:p>
    <w:p w14:paraId="7118DF33" w14:textId="77777777" w:rsidR="004D0526" w:rsidRDefault="004D0526" w:rsidP="004D0526">
      <w:pPr>
        <w:rPr>
          <w:rFonts w:cs="Arial"/>
          <w:rtl/>
        </w:rPr>
      </w:pPr>
      <w:r w:rsidRPr="003024E5">
        <w:rPr>
          <w:rFonts w:asciiTheme="minorBidi" w:hAnsiTheme="minorBidi"/>
          <w:b/>
          <w:bCs/>
          <w:color w:val="000000"/>
          <w:sz w:val="28"/>
          <w:szCs w:val="28"/>
          <w:u w:val="single"/>
          <w:rtl/>
        </w:rPr>
        <w:lastRenderedPageBreak/>
        <w:t>שו"ע:</w:t>
      </w:r>
    </w:p>
    <w:p w14:paraId="44F55ACA" w14:textId="0A3EBDCA" w:rsidR="004D0526" w:rsidRDefault="000D2069" w:rsidP="004D0526">
      <w:pPr>
        <w:rPr>
          <w:rFonts w:cs="Arial"/>
          <w:rtl/>
        </w:rPr>
      </w:pPr>
      <w:r>
        <w:rPr>
          <w:rFonts w:cs="Arial"/>
          <w:rtl/>
        </w:rPr>
        <w:t>הרי שרצתה להניק בן חברתה עם בנה, הבעל מעכב</w:t>
      </w:r>
      <w:r w:rsidR="00186208">
        <w:rPr>
          <w:rFonts w:cs="Arial" w:hint="cs"/>
          <w:rtl/>
        </w:rPr>
        <w:t>.</w:t>
      </w:r>
      <w:r w:rsidRPr="004D0526">
        <w:rPr>
          <w:rFonts w:cs="Arial"/>
          <w:sz w:val="18"/>
          <w:szCs w:val="18"/>
          <w:rtl/>
        </w:rPr>
        <w:t xml:space="preserve"> </w:t>
      </w:r>
      <w:r w:rsidR="00186208">
        <w:rPr>
          <w:rFonts w:cs="Arial" w:hint="cs"/>
          <w:sz w:val="18"/>
          <w:szCs w:val="18"/>
          <w:rtl/>
        </w:rPr>
        <w:t xml:space="preserve">[הגה] </w:t>
      </w:r>
      <w:r w:rsidRPr="004D0526">
        <w:rPr>
          <w:rFonts w:cs="Arial"/>
          <w:sz w:val="18"/>
          <w:szCs w:val="18"/>
          <w:rtl/>
        </w:rPr>
        <w:t>ואפילו בנה מאיש אחר הוא</w:t>
      </w:r>
      <w:r w:rsidR="00186208">
        <w:rPr>
          <w:rFonts w:cs="Arial" w:hint="cs"/>
          <w:sz w:val="18"/>
          <w:szCs w:val="18"/>
          <w:rtl/>
        </w:rPr>
        <w:t>,</w:t>
      </w:r>
      <w:r w:rsidRPr="004D0526">
        <w:rPr>
          <w:rFonts w:cs="Arial"/>
          <w:sz w:val="18"/>
          <w:szCs w:val="18"/>
          <w:rtl/>
        </w:rPr>
        <w:t xml:space="preserve"> יכול לעכב (טור).</w:t>
      </w:r>
    </w:p>
    <w:p w14:paraId="08B86C4A" w14:textId="4A70253B" w:rsidR="004D0526" w:rsidRPr="00977430" w:rsidRDefault="00977430" w:rsidP="004D0526">
      <w:pPr>
        <w:rPr>
          <w:rFonts w:cs="Arial"/>
          <w:u w:val="single"/>
          <w:rtl/>
        </w:rPr>
      </w:pPr>
      <w:r w:rsidRPr="00977430">
        <w:rPr>
          <w:rFonts w:cs="Arial" w:hint="cs"/>
          <w:u w:val="single"/>
          <w:rtl/>
        </w:rPr>
        <w:t xml:space="preserve">אין לה בן ורוצה להניק בן חבירתה </w:t>
      </w:r>
      <w:r w:rsidR="00F97626">
        <w:rPr>
          <w:rFonts w:cs="Arial"/>
          <w:u w:val="single"/>
          <w:rtl/>
        </w:rPr>
        <w:t>-</w:t>
      </w:r>
      <w:r w:rsidRPr="00977430">
        <w:rPr>
          <w:rFonts w:cs="Arial" w:hint="cs"/>
          <w:u w:val="single"/>
          <w:rtl/>
        </w:rPr>
        <w:t xml:space="preserve"> האם בעלה יכול לעכב:</w:t>
      </w:r>
    </w:p>
    <w:p w14:paraId="50F2FB9C" w14:textId="6144EDD9" w:rsidR="00977430" w:rsidRDefault="00977430" w:rsidP="009000E3">
      <w:pPr>
        <w:pStyle w:val="ab"/>
        <w:numPr>
          <w:ilvl w:val="0"/>
          <w:numId w:val="36"/>
        </w:numPr>
        <w:rPr>
          <w:rFonts w:cs="Arial"/>
        </w:rPr>
      </w:pPr>
      <w:r w:rsidRPr="002471E8">
        <w:rPr>
          <w:rFonts w:cs="Arial" w:hint="cs"/>
          <w:rtl/>
        </w:rPr>
        <w:t xml:space="preserve">ב"ש </w:t>
      </w:r>
      <w:r w:rsidRPr="002471E8">
        <w:rPr>
          <w:rFonts w:cs="Arial" w:hint="cs"/>
          <w:sz w:val="16"/>
          <w:szCs w:val="16"/>
          <w:rtl/>
        </w:rPr>
        <w:t>(סקי"ז)</w:t>
      </w:r>
      <w:r w:rsidRPr="002471E8">
        <w:rPr>
          <w:rFonts w:cs="Arial" w:hint="cs"/>
          <w:rtl/>
        </w:rPr>
        <w:t>-</w:t>
      </w:r>
      <w:r w:rsidRPr="002471E8">
        <w:rPr>
          <w:rFonts w:cs="Arial"/>
          <w:rtl/>
        </w:rPr>
        <w:t xml:space="preserve"> משמע </w:t>
      </w:r>
      <w:r w:rsidR="002471E8" w:rsidRPr="002471E8">
        <w:rPr>
          <w:rFonts w:cs="Arial" w:hint="cs"/>
          <w:sz w:val="16"/>
          <w:szCs w:val="16"/>
          <w:rtl/>
        </w:rPr>
        <w:t>{מדברי הרמב"ם והשו"ע שכתבו 'עם בנה'}</w:t>
      </w:r>
      <w:r w:rsidR="002471E8" w:rsidRPr="002471E8">
        <w:rPr>
          <w:rFonts w:cs="Arial" w:hint="cs"/>
          <w:rtl/>
        </w:rPr>
        <w:t xml:space="preserve"> </w:t>
      </w:r>
      <w:r w:rsidRPr="002471E8">
        <w:rPr>
          <w:rFonts w:cs="Arial"/>
          <w:rtl/>
        </w:rPr>
        <w:t>אם אין לה בן אין הבעל מעכב לה</w:t>
      </w:r>
      <w:r w:rsidR="002471E8">
        <w:rPr>
          <w:rStyle w:val="a7"/>
          <w:rFonts w:cs="Arial"/>
          <w:rtl/>
        </w:rPr>
        <w:footnoteReference w:id="734"/>
      </w:r>
      <w:r w:rsidR="002471E8" w:rsidRPr="002471E8">
        <w:rPr>
          <w:rFonts w:cs="Arial" w:hint="cs"/>
          <w:rtl/>
        </w:rPr>
        <w:t>.</w:t>
      </w:r>
    </w:p>
    <w:p w14:paraId="2C659A5D" w14:textId="14865AEF" w:rsidR="002471E8" w:rsidRDefault="002471E8" w:rsidP="009000E3">
      <w:pPr>
        <w:pStyle w:val="ab"/>
        <w:numPr>
          <w:ilvl w:val="0"/>
          <w:numId w:val="36"/>
        </w:numPr>
        <w:rPr>
          <w:rFonts w:cs="Arial"/>
        </w:rPr>
      </w:pPr>
      <w:r>
        <w:rPr>
          <w:rFonts w:cs="Arial" w:hint="cs"/>
          <w:rtl/>
        </w:rPr>
        <w:t xml:space="preserve">ח"מ </w:t>
      </w:r>
      <w:r>
        <w:rPr>
          <w:rFonts w:cs="Arial" w:hint="cs"/>
          <w:sz w:val="16"/>
          <w:szCs w:val="16"/>
          <w:rtl/>
        </w:rPr>
        <w:t>(סקכ"ד)</w:t>
      </w:r>
      <w:r>
        <w:rPr>
          <w:rFonts w:cs="Arial" w:hint="cs"/>
          <w:rtl/>
        </w:rPr>
        <w:t xml:space="preserve">- </w:t>
      </w:r>
      <w:r w:rsidRPr="002471E8">
        <w:rPr>
          <w:rFonts w:cs="Arial"/>
          <w:rtl/>
        </w:rPr>
        <w:t xml:space="preserve">בירושל' אמרו סתם </w:t>
      </w:r>
      <w:r>
        <w:rPr>
          <w:rFonts w:cs="Arial" w:hint="cs"/>
          <w:rtl/>
        </w:rPr>
        <w:t>'</w:t>
      </w:r>
      <w:r w:rsidRPr="002471E8">
        <w:rPr>
          <w:rFonts w:cs="Arial"/>
          <w:rtl/>
        </w:rPr>
        <w:t>אין האיש כופה את אשתו להניק בנו של חבירו ולא האשה כופה את בעלה שתניק בנה של חברתה</w:t>
      </w:r>
      <w:r>
        <w:rPr>
          <w:rFonts w:cs="Arial" w:hint="cs"/>
          <w:rtl/>
        </w:rPr>
        <w:t>'</w:t>
      </w:r>
      <w:r w:rsidRPr="002471E8">
        <w:rPr>
          <w:rFonts w:cs="Arial"/>
          <w:rtl/>
        </w:rPr>
        <w:t xml:space="preserve"> משמע דסיפ</w:t>
      </w:r>
      <w:r>
        <w:rPr>
          <w:rFonts w:cs="Arial" w:hint="cs"/>
          <w:rtl/>
        </w:rPr>
        <w:t>א</w:t>
      </w:r>
      <w:r w:rsidRPr="002471E8">
        <w:rPr>
          <w:rFonts w:cs="Arial"/>
          <w:rtl/>
        </w:rPr>
        <w:t xml:space="preserve"> דומיא דריש</w:t>
      </w:r>
      <w:r>
        <w:rPr>
          <w:rFonts w:cs="Arial" w:hint="cs"/>
          <w:rtl/>
        </w:rPr>
        <w:t>א</w:t>
      </w:r>
      <w:r w:rsidRPr="002471E8">
        <w:rPr>
          <w:rFonts w:cs="Arial"/>
          <w:rtl/>
        </w:rPr>
        <w:t xml:space="preserve"> אף שאין לה בן</w:t>
      </w:r>
      <w:r>
        <w:rPr>
          <w:rStyle w:val="a7"/>
          <w:rFonts w:cs="Arial"/>
          <w:rtl/>
        </w:rPr>
        <w:footnoteReference w:id="735"/>
      </w:r>
      <w:r>
        <w:rPr>
          <w:rFonts w:cs="Arial" w:hint="cs"/>
          <w:rtl/>
        </w:rPr>
        <w:t>.</w:t>
      </w:r>
    </w:p>
    <w:p w14:paraId="68E7A8DF" w14:textId="77777777" w:rsidR="002471E8" w:rsidRPr="002471E8" w:rsidRDefault="002471E8" w:rsidP="002471E8">
      <w:pPr>
        <w:rPr>
          <w:rFonts w:cs="Arial"/>
          <w:rtl/>
        </w:rPr>
      </w:pPr>
    </w:p>
    <w:p w14:paraId="646D767D" w14:textId="314D027A" w:rsidR="000D2069" w:rsidRDefault="000D2069" w:rsidP="000F64D0">
      <w:pPr>
        <w:pStyle w:val="2"/>
        <w:rPr>
          <w:rtl/>
        </w:rPr>
      </w:pPr>
      <w:r>
        <w:rPr>
          <w:rtl/>
        </w:rPr>
        <w:t>סעיף טו</w:t>
      </w:r>
      <w:r w:rsidR="00C65089">
        <w:rPr>
          <w:rFonts w:hint="cs"/>
          <w:rtl/>
        </w:rPr>
        <w:t>: מורדת ממלאכה.</w:t>
      </w:r>
    </w:p>
    <w:p w14:paraId="7264DB08" w14:textId="281370C6" w:rsidR="00C65089" w:rsidRDefault="00C65089" w:rsidP="00C65089">
      <w:pPr>
        <w:rPr>
          <w:rFonts w:cs="Arial"/>
          <w:sz w:val="16"/>
          <w:szCs w:val="16"/>
          <w:rtl/>
        </w:rPr>
      </w:pPr>
      <w:r w:rsidRPr="005A6BAC">
        <w:rPr>
          <w:rFonts w:cs="Arial"/>
          <w:b/>
          <w:bCs/>
          <w:rtl/>
        </w:rPr>
        <w:t xml:space="preserve">כתובות </w:t>
      </w:r>
      <w:r w:rsidRPr="005A6BAC">
        <w:rPr>
          <w:rFonts w:cs="Arial" w:hint="cs"/>
          <w:b/>
          <w:bCs/>
          <w:sz w:val="16"/>
          <w:szCs w:val="16"/>
          <w:rtl/>
        </w:rPr>
        <w:t>(</w:t>
      </w:r>
      <w:r w:rsidRPr="005A6BAC">
        <w:rPr>
          <w:rFonts w:cs="Arial"/>
          <w:b/>
          <w:bCs/>
          <w:sz w:val="16"/>
          <w:szCs w:val="16"/>
          <w:rtl/>
        </w:rPr>
        <w:t xml:space="preserve">פ' </w:t>
      </w:r>
      <w:r w:rsidRPr="005A6BAC">
        <w:rPr>
          <w:rFonts w:cs="Arial" w:hint="cs"/>
          <w:b/>
          <w:bCs/>
          <w:sz w:val="16"/>
          <w:szCs w:val="16"/>
          <w:rtl/>
        </w:rPr>
        <w:t>אף על פי)</w:t>
      </w:r>
      <w:r w:rsidRPr="005A6BAC">
        <w:rPr>
          <w:rFonts w:cs="Arial"/>
          <w:b/>
          <w:bCs/>
          <w:rtl/>
        </w:rPr>
        <w:t xml:space="preserve"> </w:t>
      </w:r>
      <w:r w:rsidRPr="005A6BAC">
        <w:rPr>
          <w:rFonts w:cs="Arial" w:hint="cs"/>
          <w:b/>
          <w:bCs/>
          <w:rtl/>
        </w:rPr>
        <w:t>סג ע"א</w:t>
      </w:r>
      <w:r w:rsidRPr="005A6BAC">
        <w:rPr>
          <w:rFonts w:cs="Arial"/>
          <w:b/>
          <w:bCs/>
          <w:rtl/>
        </w:rPr>
        <w:t>:</w:t>
      </w:r>
      <w:r w:rsidRPr="005A6BAC">
        <w:rPr>
          <w:rFonts w:cs="Arial" w:hint="cs"/>
          <w:rtl/>
        </w:rPr>
        <w:t xml:space="preserve"> </w:t>
      </w:r>
      <w:r w:rsidRPr="005A6BAC">
        <w:rPr>
          <w:rFonts w:cs="Arial"/>
          <w:u w:val="double"/>
          <w:rtl/>
        </w:rPr>
        <w:t>מתני'</w:t>
      </w:r>
      <w:r w:rsidRPr="005A6BAC">
        <w:rPr>
          <w:rFonts w:cs="Arial" w:hint="cs"/>
          <w:rtl/>
        </w:rPr>
        <w:t>:</w:t>
      </w:r>
      <w:r w:rsidRPr="005A6BAC">
        <w:rPr>
          <w:rtl/>
        </w:rPr>
        <w:t xml:space="preserve"> </w:t>
      </w:r>
      <w:r w:rsidRPr="005A6BAC">
        <w:rPr>
          <w:rFonts w:cs="Arial"/>
          <w:rtl/>
        </w:rPr>
        <w:t>המורדת על בעלה</w:t>
      </w:r>
      <w:r>
        <w:rPr>
          <w:rFonts w:cs="Arial" w:hint="cs"/>
          <w:rtl/>
        </w:rPr>
        <w:t>...</w:t>
      </w:r>
      <w:r w:rsidRPr="005A6BAC">
        <w:rPr>
          <w:rFonts w:cs="Arial" w:hint="cs"/>
          <w:rtl/>
        </w:rPr>
        <w:t xml:space="preserve">        </w:t>
      </w:r>
      <w:r w:rsidRPr="005A6BAC">
        <w:rPr>
          <w:rFonts w:cs="Arial" w:hint="cs"/>
          <w:u w:val="double"/>
          <w:rtl/>
        </w:rPr>
        <w:t>גמ'</w:t>
      </w:r>
      <w:r w:rsidRPr="005A6BAC">
        <w:rPr>
          <w:rFonts w:cs="Arial" w:hint="cs"/>
          <w:rtl/>
        </w:rPr>
        <w:t>:</w:t>
      </w:r>
      <w:r w:rsidRPr="003D067B">
        <w:rPr>
          <w:rtl/>
        </w:rPr>
        <w:t xml:space="preserve"> </w:t>
      </w:r>
      <w:r w:rsidRPr="005A6BAC">
        <w:rPr>
          <w:rFonts w:cs="Arial"/>
          <w:rtl/>
        </w:rPr>
        <w:t xml:space="preserve">מורדת ממאי? </w:t>
      </w:r>
      <w:r w:rsidRPr="005A6BAC">
        <w:rPr>
          <w:rFonts w:cs="Arial"/>
          <w:u w:val="single"/>
          <w:rtl/>
        </w:rPr>
        <w:t>רב הונא אמר</w:t>
      </w:r>
      <w:r w:rsidRPr="005A6BAC">
        <w:rPr>
          <w:rFonts w:cs="Arial"/>
          <w:rtl/>
        </w:rPr>
        <w:t>: מתשמיש המטה</w:t>
      </w:r>
      <w:r w:rsidRPr="005A6BAC">
        <w:rPr>
          <w:rFonts w:cs="Arial" w:hint="cs"/>
          <w:rtl/>
        </w:rPr>
        <w:t>.</w:t>
      </w:r>
      <w:r w:rsidRPr="005A6BAC">
        <w:rPr>
          <w:rFonts w:cs="Arial"/>
          <w:rtl/>
        </w:rPr>
        <w:t xml:space="preserve"> </w:t>
      </w:r>
      <w:r w:rsidRPr="005A6BAC">
        <w:rPr>
          <w:rFonts w:cs="Arial"/>
          <w:u w:val="single"/>
          <w:rtl/>
        </w:rPr>
        <w:t>ר' יוסי ברבי חנינא אמר</w:t>
      </w:r>
      <w:r w:rsidRPr="005A6BAC">
        <w:rPr>
          <w:rFonts w:cs="Arial"/>
          <w:rtl/>
        </w:rPr>
        <w:t>: ממלאכה.</w:t>
      </w:r>
      <w:r>
        <w:rPr>
          <w:rFonts w:cs="Arial" w:hint="cs"/>
          <w:rtl/>
        </w:rPr>
        <w:t>..</w:t>
      </w:r>
      <w:r w:rsidRPr="005A6BAC">
        <w:rPr>
          <w:rFonts w:cs="Arial"/>
          <w:rtl/>
        </w:rPr>
        <w:t xml:space="preserve"> </w:t>
      </w:r>
      <w:r>
        <w:rPr>
          <w:rFonts w:cs="Arial" w:hint="cs"/>
          <w:sz w:val="14"/>
          <w:szCs w:val="14"/>
          <w:rtl/>
        </w:rPr>
        <w:t xml:space="preserve">(סג:) </w:t>
      </w:r>
      <w:r w:rsidRPr="002C438C">
        <w:rPr>
          <w:rFonts w:cs="Arial"/>
          <w:rtl/>
        </w:rPr>
        <w:t>מתשמיש - כולי עלמא לא פליגי דהויא מורדת</w:t>
      </w:r>
      <w:r>
        <w:rPr>
          <w:rStyle w:val="a7"/>
          <w:rFonts w:cs="Arial"/>
          <w:rtl/>
        </w:rPr>
        <w:footnoteReference w:id="736"/>
      </w:r>
      <w:r w:rsidRPr="002C438C">
        <w:rPr>
          <w:rFonts w:cs="Arial"/>
          <w:rtl/>
        </w:rPr>
        <w:t>, כי פליגי - ממלאכה, מר סבר: ממלאכה לא הויא מורדת, ומר סבר: ממלאכה נמי הויא מורדת.</w:t>
      </w:r>
      <w:r>
        <w:rPr>
          <w:rFonts w:cs="Arial" w:hint="cs"/>
          <w:rtl/>
        </w:rPr>
        <w:t xml:space="preserve"> </w:t>
      </w:r>
      <w:r w:rsidRPr="00C65089">
        <w:rPr>
          <w:rFonts w:cs="Arial" w:hint="cs"/>
          <w:sz w:val="16"/>
          <w:szCs w:val="16"/>
          <w:rtl/>
        </w:rPr>
        <w:t>(</w:t>
      </w:r>
      <w:r w:rsidRPr="00C65089">
        <w:rPr>
          <w:rFonts w:cs="Arial"/>
          <w:sz w:val="16"/>
          <w:szCs w:val="16"/>
          <w:rtl/>
        </w:rPr>
        <w:t>והלכתא כרב הונא</w:t>
      </w:r>
      <w:r w:rsidR="000402B2">
        <w:rPr>
          <w:rFonts w:cs="Arial" w:hint="cs"/>
          <w:sz w:val="16"/>
          <w:szCs w:val="16"/>
          <w:rtl/>
        </w:rPr>
        <w:t>,</w:t>
      </w:r>
      <w:r w:rsidRPr="00C65089">
        <w:rPr>
          <w:rFonts w:cs="Arial"/>
          <w:sz w:val="16"/>
          <w:szCs w:val="16"/>
          <w:rtl/>
        </w:rPr>
        <w:t xml:space="preserve"> דאמרינן לקמן </w:t>
      </w:r>
      <w:r w:rsidRPr="00C65089">
        <w:rPr>
          <w:rFonts w:cs="Arial" w:hint="cs"/>
          <w:sz w:val="16"/>
          <w:szCs w:val="16"/>
          <w:rtl/>
        </w:rPr>
        <w:t>(סג:)</w:t>
      </w:r>
      <w:r w:rsidRPr="00C65089">
        <w:rPr>
          <w:rFonts w:cs="Arial"/>
          <w:sz w:val="16"/>
          <w:szCs w:val="16"/>
          <w:rtl/>
        </w:rPr>
        <w:t xml:space="preserve"> </w:t>
      </w:r>
      <w:r w:rsidR="000402B2">
        <w:rPr>
          <w:rFonts w:cs="Arial" w:hint="cs"/>
          <w:sz w:val="16"/>
          <w:szCs w:val="16"/>
          <w:rtl/>
        </w:rPr>
        <w:t>'</w:t>
      </w:r>
      <w:r w:rsidRPr="00C65089">
        <w:rPr>
          <w:rFonts w:cs="Arial"/>
          <w:sz w:val="16"/>
          <w:szCs w:val="16"/>
          <w:rtl/>
        </w:rPr>
        <w:t>היכי דמיא מורדת אמר אמימר דאמרה בעינא ליה ומצערנא ליה</w:t>
      </w:r>
      <w:r w:rsidR="000402B2">
        <w:rPr>
          <w:rFonts w:cs="Arial" w:hint="cs"/>
          <w:sz w:val="16"/>
          <w:szCs w:val="16"/>
          <w:rtl/>
        </w:rPr>
        <w:t>',</w:t>
      </w:r>
      <w:r w:rsidRPr="00C65089">
        <w:rPr>
          <w:rFonts w:cs="Arial"/>
          <w:sz w:val="16"/>
          <w:szCs w:val="16"/>
          <w:rtl/>
        </w:rPr>
        <w:t xml:space="preserve"> שמע מינה דמתשמיש הויא מורדת כרב הונא</w:t>
      </w:r>
      <w:r w:rsidRPr="00C65089">
        <w:rPr>
          <w:rFonts w:cs="Arial" w:hint="cs"/>
          <w:sz w:val="16"/>
          <w:szCs w:val="16"/>
          <w:rtl/>
        </w:rPr>
        <w:t>, רי"ף (כו:)</w:t>
      </w:r>
      <w:r>
        <w:rPr>
          <w:rFonts w:cs="Arial" w:hint="cs"/>
          <w:sz w:val="16"/>
          <w:szCs w:val="16"/>
          <w:rtl/>
        </w:rPr>
        <w:t>.</w:t>
      </w:r>
      <w:r w:rsidR="001D642C">
        <w:rPr>
          <w:rFonts w:cs="Arial" w:hint="cs"/>
          <w:sz w:val="16"/>
          <w:szCs w:val="16"/>
          <w:rtl/>
        </w:rPr>
        <w:t xml:space="preserve"> והראב"ד (הביאו הרשב"א סד. ד"ה ולענין פסק)</w:t>
      </w:r>
      <w:r>
        <w:rPr>
          <w:rFonts w:cs="Arial" w:hint="cs"/>
          <w:sz w:val="16"/>
          <w:szCs w:val="16"/>
          <w:rtl/>
        </w:rPr>
        <w:t xml:space="preserve"> </w:t>
      </w:r>
      <w:r w:rsidR="001D642C">
        <w:rPr>
          <w:rFonts w:cs="Arial" w:hint="cs"/>
          <w:sz w:val="16"/>
          <w:szCs w:val="16"/>
          <w:rtl/>
        </w:rPr>
        <w:t xml:space="preserve">כתב שאין זו ראיה והביא ראיה אחרת. והרשב"א כתב על ראייתו של הראב"ד שאין זו ראיה והביא ראיה אחרת. ומדברי כולם נלמד </w:t>
      </w:r>
      <w:r>
        <w:rPr>
          <w:rFonts w:cs="Arial" w:hint="cs"/>
          <w:sz w:val="16"/>
          <w:szCs w:val="16"/>
          <w:rtl/>
        </w:rPr>
        <w:t>שאין למורדת ממלאכה דין מורדת, ולכן לא שיי</w:t>
      </w:r>
      <w:r w:rsidR="006870F5">
        <w:rPr>
          <w:rFonts w:cs="Arial" w:hint="cs"/>
          <w:sz w:val="16"/>
          <w:szCs w:val="16"/>
          <w:rtl/>
        </w:rPr>
        <w:t>ך כל מה שאמרו חכמים במשנה שקונסים אותה. אם כן מה עושים לה כדי לחייבה לעשות את המלאכות שחייבת בהם</w:t>
      </w:r>
      <w:r w:rsidR="0011779D">
        <w:rPr>
          <w:rFonts w:cs="Arial" w:hint="cs"/>
          <w:sz w:val="16"/>
          <w:szCs w:val="16"/>
          <w:rtl/>
        </w:rPr>
        <w:t>, בזה נחלקו הראשונים לקמן</w:t>
      </w:r>
      <w:r w:rsidRPr="00C65089">
        <w:rPr>
          <w:rFonts w:cs="Arial" w:hint="cs"/>
          <w:sz w:val="16"/>
          <w:szCs w:val="16"/>
          <w:rtl/>
        </w:rPr>
        <w:t>)</w:t>
      </w:r>
    </w:p>
    <w:p w14:paraId="1BA39480" w14:textId="6A139C36" w:rsidR="00C65089" w:rsidRPr="00C65089" w:rsidRDefault="00C65089" w:rsidP="00C65089">
      <w:pPr>
        <w:rPr>
          <w:rFonts w:cs="Arial"/>
          <w:u w:val="single"/>
          <w:rtl/>
        </w:rPr>
      </w:pPr>
      <w:r w:rsidRPr="00C65089">
        <w:rPr>
          <w:rFonts w:cs="Arial" w:hint="cs"/>
          <w:u w:val="single"/>
          <w:rtl/>
        </w:rPr>
        <w:t>המורדת ממלאכה:</w:t>
      </w:r>
    </w:p>
    <w:p w14:paraId="735B4C24" w14:textId="0CB2CEEE" w:rsidR="00365D98" w:rsidRPr="00365D98" w:rsidRDefault="00365D98" w:rsidP="009000E3">
      <w:pPr>
        <w:pStyle w:val="ab"/>
        <w:numPr>
          <w:ilvl w:val="0"/>
          <w:numId w:val="35"/>
        </w:numPr>
      </w:pPr>
      <w:r>
        <w:rPr>
          <w:rFonts w:cs="Arial" w:hint="cs"/>
          <w:rtl/>
        </w:rPr>
        <w:t xml:space="preserve">רמב"ם </w:t>
      </w:r>
      <w:r>
        <w:rPr>
          <w:rFonts w:cs="Arial" w:hint="cs"/>
          <w:sz w:val="16"/>
          <w:szCs w:val="16"/>
          <w:rtl/>
        </w:rPr>
        <w:t>(פכ"א ה"י)</w:t>
      </w:r>
      <w:r w:rsidR="00B80EBF" w:rsidRPr="00B80EBF">
        <w:rPr>
          <w:rFonts w:cs="Arial"/>
          <w:rtl/>
        </w:rPr>
        <w:t xml:space="preserve"> </w:t>
      </w:r>
      <w:r w:rsidR="00B80EBF">
        <w:rPr>
          <w:rFonts w:cs="Arial"/>
          <w:rtl/>
        </w:rPr>
        <w:t xml:space="preserve">רמב"ן </w:t>
      </w:r>
      <w:r w:rsidR="00B80EBF" w:rsidRPr="00B80EBF">
        <w:rPr>
          <w:rFonts w:cs="Arial"/>
          <w:sz w:val="16"/>
          <w:szCs w:val="16"/>
          <w:rtl/>
        </w:rPr>
        <w:t>(סג. ד"ה מורדת)</w:t>
      </w:r>
      <w:r w:rsidR="00B80EBF">
        <w:rPr>
          <w:rFonts w:cs="Arial" w:hint="cs"/>
          <w:rtl/>
        </w:rPr>
        <w:t xml:space="preserve"> והה"מ</w:t>
      </w:r>
      <w:r w:rsidR="00B80EBF">
        <w:rPr>
          <w:rFonts w:cs="Arial" w:hint="cs"/>
          <w:sz w:val="16"/>
          <w:szCs w:val="16"/>
          <w:rtl/>
        </w:rPr>
        <w:t xml:space="preserve"> (שם)</w:t>
      </w:r>
      <w:r>
        <w:rPr>
          <w:rFonts w:cs="Arial" w:hint="cs"/>
          <w:rtl/>
        </w:rPr>
        <w:t xml:space="preserve">- </w:t>
      </w:r>
      <w:r w:rsidRPr="00365D98">
        <w:rPr>
          <w:rFonts w:cs="Arial"/>
          <w:rtl/>
        </w:rPr>
        <w:t xml:space="preserve">כל אשה שתמנע מלעשות מלאכה מן המלאכות שהיא חייבת לעשותן </w:t>
      </w:r>
      <w:r>
        <w:rPr>
          <w:rFonts w:cs="Arial" w:hint="cs"/>
          <w:rtl/>
        </w:rPr>
        <w:t xml:space="preserve">- </w:t>
      </w:r>
      <w:r w:rsidRPr="00365D98">
        <w:rPr>
          <w:rFonts w:cs="Arial"/>
          <w:rtl/>
        </w:rPr>
        <w:t>כופין אותה ועושה אפילו בשוט</w:t>
      </w:r>
      <w:r>
        <w:rPr>
          <w:rStyle w:val="a7"/>
          <w:rFonts w:cs="Arial"/>
          <w:rtl/>
        </w:rPr>
        <w:footnoteReference w:id="737"/>
      </w:r>
      <w:r w:rsidR="00B80EBF">
        <w:rPr>
          <w:rFonts w:cs="Arial" w:hint="cs"/>
          <w:sz w:val="16"/>
          <w:szCs w:val="16"/>
          <w:rtl/>
        </w:rPr>
        <w:t xml:space="preserve"> (ל' הרמב"ם)</w:t>
      </w:r>
      <w:r w:rsidRPr="00365D98">
        <w:rPr>
          <w:rFonts w:cs="Arial"/>
          <w:rtl/>
        </w:rPr>
        <w:t xml:space="preserve">. </w:t>
      </w:r>
    </w:p>
    <w:p w14:paraId="561DD671" w14:textId="7D71A24E" w:rsidR="00365D98" w:rsidRPr="00365D98" w:rsidRDefault="00365D98" w:rsidP="009000E3">
      <w:pPr>
        <w:pStyle w:val="ab"/>
        <w:numPr>
          <w:ilvl w:val="0"/>
          <w:numId w:val="35"/>
        </w:numPr>
      </w:pPr>
      <w:r>
        <w:rPr>
          <w:rFonts w:cs="Arial" w:hint="cs"/>
          <w:rtl/>
        </w:rPr>
        <w:t>ראב"ד</w:t>
      </w:r>
      <w:r w:rsidR="00B80EBF">
        <w:rPr>
          <w:rFonts w:cs="Arial" w:hint="cs"/>
          <w:sz w:val="16"/>
          <w:szCs w:val="16"/>
          <w:rtl/>
        </w:rPr>
        <w:t xml:space="preserve"> (שם בהשגות)</w:t>
      </w:r>
      <w:r>
        <w:rPr>
          <w:rFonts w:cs="Arial" w:hint="cs"/>
          <w:rtl/>
        </w:rPr>
        <w:t>-</w:t>
      </w:r>
      <w:r w:rsidRPr="00365D98">
        <w:rPr>
          <w:rFonts w:cs="Arial"/>
          <w:rtl/>
        </w:rPr>
        <w:t xml:space="preserve"> מעולם לא שמעתי יסור שוטים לנשים אלא שממעט לה צרכיה ומזונותיה עד שתכנע.</w:t>
      </w:r>
    </w:p>
    <w:p w14:paraId="04CD26DA" w14:textId="29F5B17E" w:rsidR="004C0CB6" w:rsidRPr="00233322" w:rsidRDefault="004C0CB6" w:rsidP="009000E3">
      <w:pPr>
        <w:pStyle w:val="ab"/>
        <w:numPr>
          <w:ilvl w:val="0"/>
          <w:numId w:val="35"/>
        </w:numPr>
      </w:pPr>
      <w:r w:rsidRPr="000A7A9C">
        <w:rPr>
          <w:rFonts w:cs="Arial"/>
          <w:rtl/>
        </w:rPr>
        <w:t>רא"ש</w:t>
      </w:r>
      <w:r w:rsidR="00B80EBF">
        <w:rPr>
          <w:rFonts w:cs="Arial" w:hint="cs"/>
          <w:sz w:val="16"/>
          <w:szCs w:val="16"/>
          <w:rtl/>
        </w:rPr>
        <w:t xml:space="preserve"> (פ"ה סי' לא, כ"כ הטור הטור בשמו)</w:t>
      </w:r>
      <w:r w:rsidR="00365D98">
        <w:rPr>
          <w:rFonts w:cs="Arial" w:hint="cs"/>
          <w:rtl/>
        </w:rPr>
        <w:t xml:space="preserve">- </w:t>
      </w:r>
      <w:r w:rsidRPr="000A7A9C">
        <w:rPr>
          <w:rFonts w:cs="Arial"/>
          <w:rtl/>
        </w:rPr>
        <w:t>אין כופין אותה דקי"ל כרב הונא דאמר אשה יכולה לומר לבעל איני ניזונית ואיני עושה</w:t>
      </w:r>
      <w:r w:rsidR="0011779D">
        <w:rPr>
          <w:rFonts w:cs="Arial" w:hint="cs"/>
          <w:rtl/>
        </w:rPr>
        <w:t>,</w:t>
      </w:r>
      <w:r w:rsidRPr="000A7A9C">
        <w:rPr>
          <w:rFonts w:cs="Arial"/>
          <w:rtl/>
        </w:rPr>
        <w:t xml:space="preserve"> לפיכך אם תרצה לא תעשה ולא תזון</w:t>
      </w:r>
      <w:r w:rsidR="00B80EBF">
        <w:rPr>
          <w:rFonts w:cs="Arial" w:hint="cs"/>
          <w:sz w:val="16"/>
          <w:szCs w:val="16"/>
          <w:rtl/>
        </w:rPr>
        <w:t xml:space="preserve"> (ל' הטור בשם הרא"ש)</w:t>
      </w:r>
      <w:r w:rsidR="00365D98">
        <w:rPr>
          <w:rFonts w:cs="Arial" w:hint="cs"/>
          <w:rtl/>
        </w:rPr>
        <w:t>.</w:t>
      </w:r>
      <w:r w:rsidRPr="000A7A9C">
        <w:rPr>
          <w:rFonts w:cs="Arial"/>
          <w:rtl/>
        </w:rPr>
        <w:t xml:space="preserve"> </w:t>
      </w:r>
    </w:p>
    <w:p w14:paraId="338FAB7E" w14:textId="52ED394E" w:rsidR="000402B2" w:rsidRPr="00C65089" w:rsidRDefault="000402B2" w:rsidP="009000E3">
      <w:pPr>
        <w:pStyle w:val="ab"/>
        <w:numPr>
          <w:ilvl w:val="0"/>
          <w:numId w:val="35"/>
        </w:numPr>
      </w:pPr>
      <w:r>
        <w:rPr>
          <w:rFonts w:cs="Arial"/>
          <w:rtl/>
        </w:rPr>
        <w:t xml:space="preserve">רשב"א </w:t>
      </w:r>
      <w:r w:rsidRPr="00C65089">
        <w:rPr>
          <w:rFonts w:cs="Arial"/>
          <w:sz w:val="16"/>
          <w:szCs w:val="16"/>
          <w:rtl/>
        </w:rPr>
        <w:t>(סד. סוד"ה ולענין פסק)</w:t>
      </w:r>
      <w:r>
        <w:rPr>
          <w:rFonts w:cs="Arial" w:hint="cs"/>
          <w:rtl/>
        </w:rPr>
        <w:t xml:space="preserve"> ור"ן </w:t>
      </w:r>
      <w:r w:rsidRPr="008A085F">
        <w:rPr>
          <w:rFonts w:cs="Arial"/>
          <w:sz w:val="16"/>
          <w:szCs w:val="16"/>
          <w:rtl/>
        </w:rPr>
        <w:t>(כו: ד"ה גמ'</w:t>
      </w:r>
      <w:r>
        <w:rPr>
          <w:rFonts w:cs="Arial" w:hint="cs"/>
          <w:sz w:val="16"/>
          <w:szCs w:val="16"/>
          <w:rtl/>
        </w:rPr>
        <w:t>, וכ"כ בשם הגאונים</w:t>
      </w:r>
      <w:r w:rsidRPr="008A085F">
        <w:rPr>
          <w:rFonts w:cs="Arial"/>
          <w:sz w:val="16"/>
          <w:szCs w:val="16"/>
          <w:rtl/>
        </w:rPr>
        <w:t>)</w:t>
      </w:r>
      <w:r>
        <w:rPr>
          <w:rFonts w:cs="Arial" w:hint="cs"/>
          <w:rtl/>
        </w:rPr>
        <w:t>-</w:t>
      </w:r>
      <w:r>
        <w:rPr>
          <w:rFonts w:cs="Arial"/>
          <w:rtl/>
        </w:rPr>
        <w:t xml:space="preserve"> </w:t>
      </w:r>
      <w:r w:rsidR="001D642C" w:rsidRPr="001D642C">
        <w:rPr>
          <w:rFonts w:cs="Arial"/>
          <w:rtl/>
        </w:rPr>
        <w:t xml:space="preserve">באומרת </w:t>
      </w:r>
      <w:r w:rsidR="001D642C">
        <w:rPr>
          <w:rFonts w:cs="Arial" w:hint="cs"/>
          <w:rtl/>
        </w:rPr>
        <w:t>'</w:t>
      </w:r>
      <w:r w:rsidR="001D642C" w:rsidRPr="001D642C">
        <w:rPr>
          <w:rFonts w:cs="Arial"/>
          <w:rtl/>
        </w:rPr>
        <w:t>איני עושה</w:t>
      </w:r>
      <w:r w:rsidR="001D642C">
        <w:rPr>
          <w:rFonts w:cs="Arial" w:hint="cs"/>
          <w:rtl/>
        </w:rPr>
        <w:t>'</w:t>
      </w:r>
      <w:r w:rsidR="001D642C" w:rsidRPr="001D642C">
        <w:rPr>
          <w:rFonts w:cs="Arial"/>
          <w:rtl/>
        </w:rPr>
        <w:t xml:space="preserve"> כופה אותה בשוט או שאינו זנה או ב"ד מוכרין לו מכתובתה בטובת הנאה כדי שישכור עליה עבד או שפחה לשמשו </w:t>
      </w:r>
      <w:r w:rsidR="001D642C">
        <w:rPr>
          <w:rFonts w:cs="Arial" w:hint="cs"/>
          <w:sz w:val="16"/>
          <w:szCs w:val="16"/>
          <w:rtl/>
        </w:rPr>
        <w:t>(ל' הרשב"א)</w:t>
      </w:r>
      <w:r>
        <w:rPr>
          <w:rFonts w:cs="Arial" w:hint="cs"/>
          <w:rtl/>
        </w:rPr>
        <w:t>.</w:t>
      </w:r>
      <w:r>
        <w:rPr>
          <w:rFonts w:cs="Arial"/>
          <w:rtl/>
        </w:rPr>
        <w:t xml:space="preserve"> </w:t>
      </w:r>
    </w:p>
    <w:p w14:paraId="527D1546" w14:textId="5ED47E33" w:rsidR="008A085F" w:rsidRPr="00561C12" w:rsidRDefault="000402B2" w:rsidP="009000E3">
      <w:pPr>
        <w:pStyle w:val="ab"/>
        <w:numPr>
          <w:ilvl w:val="0"/>
          <w:numId w:val="35"/>
        </w:numPr>
        <w:rPr>
          <w:rtl/>
        </w:rPr>
      </w:pPr>
      <w:r>
        <w:rPr>
          <w:rFonts w:cs="Arial"/>
          <w:rtl/>
        </w:rPr>
        <w:lastRenderedPageBreak/>
        <w:t>מקצת ראשונים</w:t>
      </w:r>
      <w:r>
        <w:rPr>
          <w:rFonts w:cs="Arial" w:hint="cs"/>
          <w:sz w:val="16"/>
          <w:szCs w:val="16"/>
          <w:rtl/>
        </w:rPr>
        <w:t xml:space="preserve"> (כ"כ בשמם הה"מ [שם] והר"ן [</w:t>
      </w:r>
      <w:r w:rsidRPr="008A0FC9">
        <w:rPr>
          <w:rFonts w:cs="Arial"/>
          <w:sz w:val="16"/>
          <w:szCs w:val="16"/>
          <w:rtl/>
        </w:rPr>
        <w:t>כ</w:t>
      </w:r>
      <w:r>
        <w:rPr>
          <w:rFonts w:cs="Arial" w:hint="cs"/>
          <w:sz w:val="16"/>
          <w:szCs w:val="16"/>
          <w:rtl/>
        </w:rPr>
        <w:t>ו</w:t>
      </w:r>
      <w:r w:rsidRPr="008A0FC9">
        <w:rPr>
          <w:rFonts w:cs="Arial"/>
          <w:sz w:val="16"/>
          <w:szCs w:val="16"/>
          <w:rtl/>
        </w:rPr>
        <w:t>: ד"ה גמ'</w:t>
      </w:r>
      <w:r>
        <w:rPr>
          <w:rFonts w:cs="Arial" w:hint="cs"/>
          <w:sz w:val="16"/>
          <w:szCs w:val="16"/>
          <w:rtl/>
        </w:rPr>
        <w:t>]</w:t>
      </w:r>
      <w:r w:rsidRPr="008A0FC9">
        <w:rPr>
          <w:rFonts w:cs="Arial"/>
          <w:sz w:val="16"/>
          <w:szCs w:val="16"/>
          <w:rtl/>
        </w:rPr>
        <w:t xml:space="preserve">) </w:t>
      </w:r>
      <w:r>
        <w:rPr>
          <w:rFonts w:cs="Arial" w:hint="cs"/>
          <w:rtl/>
        </w:rPr>
        <w:t xml:space="preserve">- </w:t>
      </w:r>
      <w:r>
        <w:rPr>
          <w:rFonts w:cs="Arial"/>
          <w:rtl/>
        </w:rPr>
        <w:t>משמתין אותה</w:t>
      </w:r>
      <w:r>
        <w:rPr>
          <w:rFonts w:cs="Arial" w:hint="cs"/>
          <w:rtl/>
        </w:rPr>
        <w:t>.</w:t>
      </w:r>
    </w:p>
    <w:p w14:paraId="70CA110A" w14:textId="03FE3933" w:rsidR="008A085F" w:rsidRPr="008A085F" w:rsidRDefault="008A085F" w:rsidP="00DC4762">
      <w:pPr>
        <w:rPr>
          <w:rFonts w:cs="Arial"/>
          <w:u w:val="single"/>
          <w:rtl/>
        </w:rPr>
      </w:pPr>
      <w:r w:rsidRPr="008A085F">
        <w:rPr>
          <w:rFonts w:cs="Arial" w:hint="cs"/>
          <w:u w:val="single"/>
          <w:rtl/>
        </w:rPr>
        <w:t xml:space="preserve">אשה שאמרה </w:t>
      </w:r>
      <w:r>
        <w:rPr>
          <w:rFonts w:cs="Arial" w:hint="cs"/>
          <w:u w:val="single"/>
          <w:rtl/>
        </w:rPr>
        <w:t>'</w:t>
      </w:r>
      <w:r w:rsidRPr="008A085F">
        <w:rPr>
          <w:rFonts w:cs="Arial" w:hint="cs"/>
          <w:u w:val="single"/>
          <w:rtl/>
        </w:rPr>
        <w:t>איני ניזונת ואיני עושה</w:t>
      </w:r>
      <w:r>
        <w:rPr>
          <w:rFonts w:cs="Arial" w:hint="cs"/>
          <w:u w:val="single"/>
          <w:rtl/>
        </w:rPr>
        <w:t>'</w:t>
      </w:r>
      <w:r w:rsidRPr="008A085F">
        <w:rPr>
          <w:rFonts w:cs="Arial" w:hint="cs"/>
          <w:u w:val="single"/>
          <w:rtl/>
        </w:rPr>
        <w:t xml:space="preserve"> </w:t>
      </w:r>
      <w:r w:rsidR="00F97626">
        <w:rPr>
          <w:rFonts w:cs="Arial"/>
          <w:u w:val="single"/>
          <w:rtl/>
        </w:rPr>
        <w:t>-</w:t>
      </w:r>
      <w:r w:rsidRPr="008A085F">
        <w:rPr>
          <w:rFonts w:cs="Arial" w:hint="cs"/>
          <w:u w:val="single"/>
          <w:rtl/>
        </w:rPr>
        <w:t xml:space="preserve"> ורוצה לחזור בה:</w:t>
      </w:r>
    </w:p>
    <w:p w14:paraId="0E9091D8" w14:textId="77777777" w:rsidR="008A0FC9" w:rsidRPr="008A0FC9" w:rsidRDefault="00DC4762" w:rsidP="009000E3">
      <w:pPr>
        <w:pStyle w:val="ab"/>
        <w:numPr>
          <w:ilvl w:val="0"/>
          <w:numId w:val="43"/>
        </w:numPr>
      </w:pPr>
      <w:r w:rsidRPr="008A085F">
        <w:rPr>
          <w:rFonts w:cs="Arial"/>
          <w:rtl/>
        </w:rPr>
        <w:t xml:space="preserve">ר"ן </w:t>
      </w:r>
      <w:r w:rsidRPr="008A0FC9">
        <w:rPr>
          <w:rFonts w:cs="Arial"/>
          <w:sz w:val="16"/>
          <w:szCs w:val="16"/>
          <w:rtl/>
        </w:rPr>
        <w:t xml:space="preserve">(כג: ד"ה גמ') </w:t>
      </w:r>
      <w:r w:rsidRPr="008A085F">
        <w:rPr>
          <w:rFonts w:cs="Arial"/>
          <w:rtl/>
        </w:rPr>
        <w:t xml:space="preserve">בשם הרא"ה </w:t>
      </w:r>
      <w:r w:rsidRPr="008A0FC9">
        <w:rPr>
          <w:rFonts w:cs="Arial"/>
          <w:sz w:val="16"/>
          <w:szCs w:val="16"/>
          <w:rtl/>
        </w:rPr>
        <w:t>(נח: ד"ה אמר)</w:t>
      </w:r>
      <w:r w:rsidR="008A085F">
        <w:rPr>
          <w:rFonts w:cs="Arial" w:hint="cs"/>
          <w:rtl/>
        </w:rPr>
        <w:t xml:space="preserve">- </w:t>
      </w:r>
      <w:r w:rsidRPr="008A085F">
        <w:rPr>
          <w:rFonts w:cs="Arial"/>
          <w:rtl/>
        </w:rPr>
        <w:t xml:space="preserve">כל שאמרה איני נזונת ואיני עושה כבר נתבטלה תקנתא ושוב אינה יכולה לומר </w:t>
      </w:r>
      <w:r w:rsidR="008A085F" w:rsidRPr="008A085F">
        <w:rPr>
          <w:rFonts w:cs="Arial" w:hint="cs"/>
          <w:rtl/>
        </w:rPr>
        <w:t>'</w:t>
      </w:r>
      <w:r w:rsidRPr="008A085F">
        <w:rPr>
          <w:rFonts w:cs="Arial"/>
          <w:rtl/>
        </w:rPr>
        <w:t>נזונת אני ועושה</w:t>
      </w:r>
      <w:r w:rsidR="008A085F" w:rsidRPr="008A085F">
        <w:rPr>
          <w:rFonts w:cs="Arial" w:hint="cs"/>
          <w:rtl/>
        </w:rPr>
        <w:t>',</w:t>
      </w:r>
      <w:r w:rsidRPr="008A085F">
        <w:rPr>
          <w:rFonts w:cs="Arial"/>
          <w:rtl/>
        </w:rPr>
        <w:t xml:space="preserve"> שאינו בדין שיהא הרשות בידה לשנות הדבר כל פעם כמו שתרצה</w:t>
      </w:r>
      <w:r w:rsidR="008A085F" w:rsidRPr="008A085F">
        <w:rPr>
          <w:rFonts w:cs="Arial" w:hint="cs"/>
          <w:rtl/>
        </w:rPr>
        <w:t>,</w:t>
      </w:r>
      <w:r w:rsidRPr="008A085F">
        <w:rPr>
          <w:rFonts w:cs="Arial"/>
          <w:rtl/>
        </w:rPr>
        <w:t xml:space="preserve"> שאם כן כשלא תמצא מלאכה תרצה להיות נזונת וכשתמצא תאמר איני נזונת ולקתה מדת הדין</w:t>
      </w:r>
      <w:r w:rsidR="008A085F" w:rsidRPr="008A085F">
        <w:rPr>
          <w:rFonts w:cs="Arial" w:hint="cs"/>
          <w:rtl/>
        </w:rPr>
        <w:t>,</w:t>
      </w:r>
      <w:r w:rsidRPr="008A085F">
        <w:rPr>
          <w:rFonts w:cs="Arial"/>
          <w:rtl/>
        </w:rPr>
        <w:t xml:space="preserve"> אלא ודאי מיד שאמרה אי אפשי בתקנת חכמים הפסידה ושוב אין לה מזונות</w:t>
      </w:r>
      <w:r w:rsidR="008A085F" w:rsidRPr="008A085F">
        <w:rPr>
          <w:rFonts w:cs="Arial" w:hint="cs"/>
          <w:rtl/>
        </w:rPr>
        <w:t>,</w:t>
      </w:r>
      <w:r w:rsidRPr="008A085F">
        <w:rPr>
          <w:rFonts w:cs="Arial"/>
          <w:rtl/>
        </w:rPr>
        <w:t xml:space="preserve"> והוא הדין נמי דאין לה כסות דכסות בכלל מזונות הוא. </w:t>
      </w:r>
    </w:p>
    <w:p w14:paraId="2A619D9B" w14:textId="4C155263" w:rsidR="00DC4762" w:rsidRPr="00DC4762" w:rsidRDefault="008A0FC9" w:rsidP="009000E3">
      <w:pPr>
        <w:pStyle w:val="ab"/>
        <w:numPr>
          <w:ilvl w:val="0"/>
          <w:numId w:val="43"/>
        </w:numPr>
        <w:rPr>
          <w:rtl/>
        </w:rPr>
      </w:pPr>
      <w:r>
        <w:rPr>
          <w:rFonts w:cs="Arial" w:hint="cs"/>
          <w:rtl/>
        </w:rPr>
        <w:t xml:space="preserve">רי"ו </w:t>
      </w:r>
      <w:r w:rsidRPr="008A0FC9">
        <w:rPr>
          <w:rFonts w:cs="Arial" w:hint="cs"/>
          <w:sz w:val="16"/>
          <w:szCs w:val="16"/>
          <w:rtl/>
        </w:rPr>
        <w:t>(</w:t>
      </w:r>
      <w:r w:rsidR="00DC4762" w:rsidRPr="008A0FC9">
        <w:rPr>
          <w:rFonts w:cs="Arial"/>
          <w:sz w:val="16"/>
          <w:szCs w:val="16"/>
          <w:rtl/>
        </w:rPr>
        <w:t>מישרים נכ"ג ח"ה נז ע"ד)</w:t>
      </w:r>
      <w:r w:rsidR="00DC4762" w:rsidRPr="008A085F">
        <w:rPr>
          <w:rFonts w:cs="Arial"/>
          <w:rtl/>
        </w:rPr>
        <w:t xml:space="preserve"> בשם המפרשים</w:t>
      </w:r>
      <w:r>
        <w:rPr>
          <w:rFonts w:cs="Arial" w:hint="cs"/>
          <w:rtl/>
        </w:rPr>
        <w:t>-</w:t>
      </w:r>
      <w:r w:rsidR="00DC4762" w:rsidRPr="008A085F">
        <w:rPr>
          <w:rFonts w:cs="Arial"/>
          <w:rtl/>
        </w:rPr>
        <w:t xml:space="preserve"> יכולה לחזור בה כל זמן שתרצה</w:t>
      </w:r>
      <w:r w:rsidR="008A085F" w:rsidRPr="008A085F">
        <w:rPr>
          <w:rFonts w:cs="Arial" w:hint="cs"/>
          <w:rtl/>
        </w:rPr>
        <w:t>.</w:t>
      </w:r>
    </w:p>
    <w:p w14:paraId="6237A867" w14:textId="77777777" w:rsidR="004D0526" w:rsidRDefault="004D0526" w:rsidP="004D0526">
      <w:pPr>
        <w:rPr>
          <w:rFonts w:cs="Arial"/>
          <w:rtl/>
        </w:rPr>
      </w:pPr>
      <w:r w:rsidRPr="003024E5">
        <w:rPr>
          <w:rFonts w:asciiTheme="minorBidi" w:hAnsiTheme="minorBidi"/>
          <w:b/>
          <w:bCs/>
          <w:color w:val="000000"/>
          <w:sz w:val="28"/>
          <w:szCs w:val="28"/>
          <w:u w:val="single"/>
          <w:rtl/>
        </w:rPr>
        <w:t>שו"ע:</w:t>
      </w:r>
    </w:p>
    <w:p w14:paraId="56677BDD" w14:textId="3278995F" w:rsidR="000D2069" w:rsidRDefault="000D2069" w:rsidP="000D2069">
      <w:pPr>
        <w:rPr>
          <w:rtl/>
        </w:rPr>
      </w:pPr>
      <w:r>
        <w:rPr>
          <w:rFonts w:cs="Arial"/>
          <w:rtl/>
        </w:rPr>
        <w:t xml:space="preserve">כל אשה שתמנע מלעשות מלאכה ממלאכות שהיא חייבת לעשותן, כופין אותה לעשות. </w:t>
      </w:r>
      <w:r w:rsidRPr="004D0526">
        <w:rPr>
          <w:rFonts w:cs="Arial"/>
          <w:sz w:val="18"/>
          <w:szCs w:val="18"/>
          <w:rtl/>
        </w:rPr>
        <w:t>הגה: ואינו זנה עד שתעשה</w:t>
      </w:r>
      <w:r w:rsidR="008A0FC9">
        <w:rPr>
          <w:rFonts w:cs="Arial" w:hint="cs"/>
          <w:sz w:val="18"/>
          <w:szCs w:val="18"/>
          <w:rtl/>
        </w:rPr>
        <w:t>,</w:t>
      </w:r>
      <w:r w:rsidRPr="004D0526">
        <w:rPr>
          <w:rFonts w:cs="Arial"/>
          <w:sz w:val="18"/>
          <w:szCs w:val="18"/>
          <w:rtl/>
        </w:rPr>
        <w:t xml:space="preserve"> וכן</w:t>
      </w:r>
      <w:r w:rsidR="00061631">
        <w:rPr>
          <w:rStyle w:val="a7"/>
          <w:rFonts w:cs="Arial"/>
          <w:sz w:val="18"/>
          <w:szCs w:val="18"/>
          <w:rtl/>
        </w:rPr>
        <w:footnoteReference w:id="738"/>
      </w:r>
      <w:r w:rsidRPr="004D0526">
        <w:rPr>
          <w:rFonts w:cs="Arial"/>
          <w:sz w:val="18"/>
          <w:szCs w:val="18"/>
          <w:rtl/>
        </w:rPr>
        <w:t xml:space="preserve"> ב"ד משמתין אותה </w:t>
      </w:r>
      <w:r w:rsidR="00F27B78">
        <w:rPr>
          <w:rFonts w:cs="Arial" w:hint="cs"/>
          <w:sz w:val="18"/>
          <w:szCs w:val="18"/>
          <w:rtl/>
        </w:rPr>
        <w:t>(מקצת ראשונים)</w:t>
      </w:r>
      <w:r w:rsidR="00616A6E">
        <w:rPr>
          <w:rFonts w:cs="Arial" w:hint="cs"/>
          <w:sz w:val="18"/>
          <w:szCs w:val="18"/>
          <w:rtl/>
        </w:rPr>
        <w:t>,</w:t>
      </w:r>
      <w:r w:rsidR="00F27B78">
        <w:rPr>
          <w:rFonts w:cs="Arial" w:hint="cs"/>
          <w:sz w:val="18"/>
          <w:szCs w:val="18"/>
          <w:rtl/>
        </w:rPr>
        <w:t xml:space="preserve"> </w:t>
      </w:r>
      <w:r w:rsidRPr="004D0526">
        <w:rPr>
          <w:rFonts w:cs="Arial"/>
          <w:sz w:val="18"/>
          <w:szCs w:val="18"/>
          <w:rtl/>
        </w:rPr>
        <w:t>או מוכרין כתובתה לשכור עליה עבד או שפחה (רשב"א</w:t>
      </w:r>
      <w:r w:rsidR="00561C12">
        <w:rPr>
          <w:rFonts w:cs="Arial" w:hint="cs"/>
          <w:sz w:val="18"/>
          <w:szCs w:val="18"/>
          <w:rtl/>
        </w:rPr>
        <w:t xml:space="preserve"> ור"ן</w:t>
      </w:r>
      <w:r w:rsidRPr="004D0526">
        <w:rPr>
          <w:rFonts w:cs="Arial"/>
          <w:sz w:val="18"/>
          <w:szCs w:val="18"/>
          <w:rtl/>
        </w:rPr>
        <w:t>)</w:t>
      </w:r>
      <w:r w:rsidR="008A0FC9">
        <w:rPr>
          <w:rFonts w:cs="Arial" w:hint="cs"/>
          <w:sz w:val="18"/>
          <w:szCs w:val="18"/>
          <w:rtl/>
        </w:rPr>
        <w:t>.</w:t>
      </w:r>
      <w:r w:rsidRPr="004D0526">
        <w:rPr>
          <w:rFonts w:cs="Arial"/>
          <w:sz w:val="18"/>
          <w:szCs w:val="18"/>
          <w:rtl/>
        </w:rPr>
        <w:t xml:space="preserve"> וי"א דהיו כופין אותה בשוטים (רמב"ם</w:t>
      </w:r>
      <w:r w:rsidR="00561C12">
        <w:rPr>
          <w:rFonts w:cs="Arial" w:hint="cs"/>
          <w:sz w:val="18"/>
          <w:szCs w:val="18"/>
          <w:rtl/>
        </w:rPr>
        <w:t xml:space="preserve"> ורמב"ן</w:t>
      </w:r>
      <w:r w:rsidRPr="004D0526">
        <w:rPr>
          <w:rFonts w:cs="Arial"/>
          <w:sz w:val="18"/>
          <w:szCs w:val="18"/>
          <w:rtl/>
        </w:rPr>
        <w:t>)</w:t>
      </w:r>
      <w:r w:rsidR="008A0FC9">
        <w:rPr>
          <w:rFonts w:cs="Arial" w:hint="cs"/>
          <w:sz w:val="18"/>
          <w:szCs w:val="18"/>
          <w:rtl/>
        </w:rPr>
        <w:t>.</w:t>
      </w:r>
      <w:r w:rsidRPr="004D0526">
        <w:rPr>
          <w:rFonts w:cs="Arial"/>
          <w:sz w:val="18"/>
          <w:szCs w:val="18"/>
          <w:rtl/>
        </w:rPr>
        <w:t xml:space="preserve"> וכל זה באומרת: איני עושה וניזונית</w:t>
      </w:r>
      <w:r w:rsidR="008A0FC9">
        <w:rPr>
          <w:rFonts w:cs="Arial" w:hint="cs"/>
          <w:sz w:val="18"/>
          <w:szCs w:val="18"/>
          <w:rtl/>
        </w:rPr>
        <w:t>,</w:t>
      </w:r>
      <w:r w:rsidRPr="004D0526">
        <w:rPr>
          <w:rFonts w:cs="Arial"/>
          <w:sz w:val="18"/>
          <w:szCs w:val="18"/>
          <w:rtl/>
        </w:rPr>
        <w:t xml:space="preserve"> אבל אם אומרת: איני ניזונית ואיני עושה, הרשות בידה</w:t>
      </w:r>
      <w:r w:rsidR="00061631">
        <w:rPr>
          <w:rStyle w:val="a7"/>
          <w:rFonts w:cs="Arial"/>
          <w:sz w:val="18"/>
          <w:szCs w:val="18"/>
          <w:rtl/>
        </w:rPr>
        <w:footnoteReference w:id="739"/>
      </w:r>
      <w:r w:rsidRPr="004D0526">
        <w:rPr>
          <w:rFonts w:cs="Arial"/>
          <w:sz w:val="18"/>
          <w:szCs w:val="18"/>
          <w:rtl/>
        </w:rPr>
        <w:t xml:space="preserve"> (ב"י </w:t>
      </w:r>
      <w:r w:rsidR="00561C12">
        <w:rPr>
          <w:rFonts w:cs="Arial" w:hint="cs"/>
          <w:sz w:val="18"/>
          <w:szCs w:val="18"/>
          <w:rtl/>
        </w:rPr>
        <w:t xml:space="preserve">בחד שינויא </w:t>
      </w:r>
      <w:r w:rsidRPr="004D0526">
        <w:rPr>
          <w:rFonts w:cs="Arial"/>
          <w:sz w:val="18"/>
          <w:szCs w:val="18"/>
          <w:rtl/>
        </w:rPr>
        <w:t>לדעת הרמב"ם</w:t>
      </w:r>
      <w:r w:rsidR="00561C12">
        <w:rPr>
          <w:rFonts w:cs="Arial" w:hint="cs"/>
          <w:sz w:val="18"/>
          <w:szCs w:val="18"/>
          <w:rtl/>
        </w:rPr>
        <w:t>,</w:t>
      </w:r>
      <w:r w:rsidRPr="004D0526">
        <w:rPr>
          <w:rFonts w:cs="Arial"/>
          <w:sz w:val="18"/>
          <w:szCs w:val="18"/>
          <w:rtl/>
        </w:rPr>
        <w:t xml:space="preserve"> </w:t>
      </w:r>
      <w:r w:rsidR="00561C12">
        <w:rPr>
          <w:rFonts w:cs="Arial" w:hint="cs"/>
          <w:sz w:val="18"/>
          <w:szCs w:val="18"/>
          <w:rtl/>
        </w:rPr>
        <w:t xml:space="preserve">רא"ש </w:t>
      </w:r>
      <w:r w:rsidRPr="004D0526">
        <w:rPr>
          <w:rFonts w:cs="Arial"/>
          <w:sz w:val="18"/>
          <w:szCs w:val="18"/>
          <w:rtl/>
        </w:rPr>
        <w:t>ור"ן), וכמו שנתבאר לעיל סימן ס"ט</w:t>
      </w:r>
      <w:r w:rsidR="008A0FC9">
        <w:rPr>
          <w:rFonts w:cs="Arial" w:hint="cs"/>
          <w:sz w:val="18"/>
          <w:szCs w:val="18"/>
          <w:rtl/>
        </w:rPr>
        <w:t>.</w:t>
      </w:r>
      <w:r w:rsidRPr="004D0526">
        <w:rPr>
          <w:rFonts w:cs="Arial"/>
          <w:sz w:val="18"/>
          <w:szCs w:val="18"/>
          <w:rtl/>
        </w:rPr>
        <w:t xml:space="preserve"> וי"א דאפילו באומרת: איני ניזונית ואיני עושה, צריכה לעשות צרכי הבית</w:t>
      </w:r>
      <w:r w:rsidR="00274C11">
        <w:rPr>
          <w:rStyle w:val="a7"/>
          <w:rFonts w:cs="Arial"/>
          <w:sz w:val="18"/>
          <w:szCs w:val="18"/>
          <w:rtl/>
        </w:rPr>
        <w:footnoteReference w:id="740"/>
      </w:r>
      <w:r w:rsidRPr="004D0526">
        <w:rPr>
          <w:rFonts w:cs="Arial"/>
          <w:sz w:val="18"/>
          <w:szCs w:val="18"/>
          <w:rtl/>
        </w:rPr>
        <w:t>, ולזה כופין אותה אע</w:t>
      </w:r>
      <w:r w:rsidR="008A0FC9">
        <w:rPr>
          <w:rFonts w:cs="Arial" w:hint="cs"/>
          <w:sz w:val="18"/>
          <w:szCs w:val="18"/>
          <w:rtl/>
        </w:rPr>
        <w:t>"</w:t>
      </w:r>
      <w:r w:rsidRPr="004D0526">
        <w:rPr>
          <w:rFonts w:cs="Arial"/>
          <w:sz w:val="18"/>
          <w:szCs w:val="18"/>
          <w:rtl/>
        </w:rPr>
        <w:t>פ שאינה ניזונית (ב"י ל</w:t>
      </w:r>
      <w:r w:rsidR="00561C12">
        <w:rPr>
          <w:rFonts w:cs="Arial" w:hint="cs"/>
          <w:sz w:val="18"/>
          <w:szCs w:val="18"/>
          <w:rtl/>
        </w:rPr>
        <w:t>אידך שינויא ב</w:t>
      </w:r>
      <w:r w:rsidRPr="004D0526">
        <w:rPr>
          <w:rFonts w:cs="Arial"/>
          <w:sz w:val="18"/>
          <w:szCs w:val="18"/>
          <w:rtl/>
        </w:rPr>
        <w:t xml:space="preserve">דעת הרמב"ם). </w:t>
      </w:r>
    </w:p>
    <w:p w14:paraId="57A0AC8C" w14:textId="4EE61FE8" w:rsidR="00274C11" w:rsidRPr="00274C11" w:rsidRDefault="00274C11" w:rsidP="000D2069">
      <w:pPr>
        <w:rPr>
          <w:u w:val="single"/>
          <w:rtl/>
        </w:rPr>
      </w:pPr>
      <w:r w:rsidRPr="00274C11">
        <w:rPr>
          <w:rFonts w:hint="cs"/>
          <w:u w:val="single"/>
          <w:rtl/>
        </w:rPr>
        <w:t xml:space="preserve">הניקה הולד עד שהכיר בה </w:t>
      </w:r>
      <w:r w:rsidR="00F97626">
        <w:rPr>
          <w:u w:val="single"/>
          <w:rtl/>
        </w:rPr>
        <w:t>-</w:t>
      </w:r>
      <w:r w:rsidRPr="00274C11">
        <w:rPr>
          <w:rFonts w:hint="cs"/>
          <w:u w:val="single"/>
          <w:rtl/>
        </w:rPr>
        <w:t xml:space="preserve"> ועכשיו אומרת 'איני ניזונת ואיני עושה':</w:t>
      </w:r>
    </w:p>
    <w:p w14:paraId="05A3F157" w14:textId="2C9EE156" w:rsidR="004D0526" w:rsidRPr="00274C11" w:rsidRDefault="00274C11" w:rsidP="009000E3">
      <w:pPr>
        <w:pStyle w:val="ab"/>
        <w:numPr>
          <w:ilvl w:val="0"/>
          <w:numId w:val="45"/>
        </w:numPr>
        <w:rPr>
          <w:rFonts w:cs="Arial"/>
          <w:rtl/>
        </w:rPr>
      </w:pPr>
      <w:r>
        <w:rPr>
          <w:rFonts w:hint="cs"/>
          <w:rtl/>
        </w:rPr>
        <w:t xml:space="preserve">פת"ש </w:t>
      </w:r>
      <w:r w:rsidRPr="00274C11">
        <w:rPr>
          <w:rFonts w:hint="cs"/>
          <w:sz w:val="16"/>
          <w:szCs w:val="16"/>
          <w:rtl/>
        </w:rPr>
        <w:t>(סק"ט)</w:t>
      </w:r>
      <w:r>
        <w:rPr>
          <w:rFonts w:hint="cs"/>
          <w:rtl/>
        </w:rPr>
        <w:t xml:space="preserve">- </w:t>
      </w:r>
      <w:r w:rsidRPr="00274C11">
        <w:rPr>
          <w:rFonts w:cs="Arial" w:hint="cs"/>
          <w:rtl/>
        </w:rPr>
        <w:t xml:space="preserve">מה שכתב הב"ש </w:t>
      </w:r>
      <w:r w:rsidRPr="00274C11">
        <w:rPr>
          <w:rFonts w:cs="Arial" w:hint="cs"/>
          <w:sz w:val="16"/>
          <w:szCs w:val="16"/>
          <w:rtl/>
        </w:rPr>
        <w:t>(סקכ"א, והבאה"ט סק"כ)</w:t>
      </w:r>
      <w:r w:rsidRPr="00274C11">
        <w:rPr>
          <w:rFonts w:cs="Arial" w:hint="cs"/>
          <w:rtl/>
        </w:rPr>
        <w:t xml:space="preserve"> ד</w:t>
      </w:r>
      <w:r w:rsidRPr="00274C11">
        <w:rPr>
          <w:rFonts w:cs="Arial"/>
          <w:rtl/>
        </w:rPr>
        <w:t>במקום פלוגתא היא פטורה</w:t>
      </w:r>
      <w:r w:rsidRPr="00274C11">
        <w:rPr>
          <w:rFonts w:cs="Arial" w:hint="cs"/>
          <w:rtl/>
        </w:rPr>
        <w:t xml:space="preserve">, </w:t>
      </w:r>
      <w:r w:rsidRPr="00274C11">
        <w:rPr>
          <w:rFonts w:cs="Arial"/>
          <w:rtl/>
        </w:rPr>
        <w:t>משמע דהוא מטעם קים לי. ולפ"ז נלע"ד היכא שכבר הניק</w:t>
      </w:r>
      <w:r w:rsidRPr="00274C11">
        <w:rPr>
          <w:rFonts w:cs="Arial" w:hint="cs"/>
          <w:rtl/>
        </w:rPr>
        <w:t>ה</w:t>
      </w:r>
      <w:r w:rsidRPr="00274C11">
        <w:rPr>
          <w:rFonts w:cs="Arial"/>
          <w:rtl/>
        </w:rPr>
        <w:t xml:space="preserve"> הולד עד שמכירה</w:t>
      </w:r>
      <w:r w:rsidRPr="00274C11">
        <w:rPr>
          <w:rFonts w:cs="Arial" w:hint="cs"/>
          <w:rtl/>
        </w:rPr>
        <w:t>,</w:t>
      </w:r>
      <w:r w:rsidRPr="00274C11">
        <w:rPr>
          <w:rFonts w:cs="Arial"/>
          <w:rtl/>
        </w:rPr>
        <w:t xml:space="preserve"> כיון דלכל הדיעות היא מחוייבת להניקו מפני סכנת הולד כדלקמן סי' פ"ב ס"ה אלא שלדעת תוס' והרא"ש מחוייב הבעל ליתן לה שכר</w:t>
      </w:r>
      <w:r w:rsidRPr="00274C11">
        <w:rPr>
          <w:rFonts w:cs="Arial" w:hint="cs"/>
          <w:rtl/>
        </w:rPr>
        <w:t>,</w:t>
      </w:r>
      <w:r w:rsidRPr="00274C11">
        <w:rPr>
          <w:rFonts w:cs="Arial"/>
          <w:rtl/>
        </w:rPr>
        <w:t xml:space="preserve"> א"כ יכול הבעל לומר בהיפך קים לי כהר"ן דהיא מחוייבת להניק בלא שכר</w:t>
      </w:r>
      <w:r w:rsidRPr="00274C11">
        <w:rPr>
          <w:rFonts w:cs="Arial" w:hint="cs"/>
          <w:rtl/>
        </w:rPr>
        <w:t>,</w:t>
      </w:r>
      <w:r w:rsidRPr="00274C11">
        <w:rPr>
          <w:rFonts w:cs="Arial"/>
          <w:rtl/>
        </w:rPr>
        <w:t xml:space="preserve"> ודוגמא לזה מצינו בגמרא דב"ב דף כ"ד ע"ב ע"ש</w:t>
      </w:r>
      <w:r w:rsidRPr="00274C11">
        <w:rPr>
          <w:rFonts w:cs="Arial" w:hint="cs"/>
          <w:rtl/>
        </w:rPr>
        <w:t>,</w:t>
      </w:r>
      <w:r w:rsidRPr="00274C11">
        <w:rPr>
          <w:rFonts w:cs="Arial"/>
          <w:rtl/>
        </w:rPr>
        <w:t xml:space="preserve"> וצ"ע</w:t>
      </w:r>
      <w:r w:rsidRPr="00274C11">
        <w:rPr>
          <w:rFonts w:cs="Arial" w:hint="cs"/>
          <w:rtl/>
        </w:rPr>
        <w:t>.</w:t>
      </w:r>
    </w:p>
    <w:p w14:paraId="1B829403" w14:textId="77777777" w:rsidR="00274C11" w:rsidRDefault="00274C11" w:rsidP="000D2069">
      <w:pPr>
        <w:rPr>
          <w:rtl/>
        </w:rPr>
      </w:pPr>
    </w:p>
    <w:p w14:paraId="5B07C10C" w14:textId="4DF89F27" w:rsidR="000D2069" w:rsidRDefault="000D2069" w:rsidP="000F64D0">
      <w:pPr>
        <w:pStyle w:val="2"/>
        <w:rPr>
          <w:rtl/>
        </w:rPr>
      </w:pPr>
      <w:r>
        <w:rPr>
          <w:rtl/>
        </w:rPr>
        <w:t>סעיף טז</w:t>
      </w:r>
      <w:r w:rsidR="008A0FC9">
        <w:rPr>
          <w:rFonts w:hint="cs"/>
          <w:rtl/>
        </w:rPr>
        <w:t>: הבעל טוען שאינה עושה מלאכה, והיא טוענת שכן.</w:t>
      </w:r>
    </w:p>
    <w:p w14:paraId="7E398FF5" w14:textId="6C9F2DC3" w:rsidR="008A0FC9" w:rsidRPr="008A0FC9" w:rsidRDefault="008A0FC9" w:rsidP="008A0FC9">
      <w:pPr>
        <w:rPr>
          <w:u w:val="single"/>
          <w:rtl/>
        </w:rPr>
      </w:pPr>
      <w:r w:rsidRPr="008A0FC9">
        <w:rPr>
          <w:rFonts w:hint="cs"/>
          <w:u w:val="single"/>
          <w:rtl/>
        </w:rPr>
        <w:t>הבעל טוען שאינה עושה מלאכה, והיא טוענת שכן:</w:t>
      </w:r>
    </w:p>
    <w:p w14:paraId="0999205C" w14:textId="2C900CB3" w:rsidR="008A0FC9" w:rsidRPr="008A0FC9" w:rsidRDefault="008A0FC9" w:rsidP="009000E3">
      <w:pPr>
        <w:pStyle w:val="ab"/>
        <w:numPr>
          <w:ilvl w:val="0"/>
          <w:numId w:val="44"/>
        </w:numPr>
        <w:rPr>
          <w:rtl/>
        </w:rPr>
      </w:pPr>
      <w:r w:rsidRPr="008A0FC9">
        <w:rPr>
          <w:rFonts w:cs="Arial" w:hint="cs"/>
          <w:rtl/>
        </w:rPr>
        <w:t xml:space="preserve">רמב"ם </w:t>
      </w:r>
      <w:r w:rsidRPr="008A0FC9">
        <w:rPr>
          <w:rFonts w:cs="Arial" w:hint="cs"/>
          <w:sz w:val="16"/>
          <w:szCs w:val="16"/>
          <w:rtl/>
        </w:rPr>
        <w:t>(פכ"א ה"י)</w:t>
      </w:r>
      <w:r>
        <w:rPr>
          <w:rFonts w:cs="Arial" w:hint="cs"/>
          <w:rtl/>
        </w:rPr>
        <w:t xml:space="preserve"> וטור</w:t>
      </w:r>
      <w:r w:rsidRPr="008A0FC9">
        <w:rPr>
          <w:rFonts w:cs="Arial" w:hint="cs"/>
          <w:rtl/>
        </w:rPr>
        <w:t xml:space="preserve">- </w:t>
      </w:r>
      <w:r w:rsidRPr="008A0FC9">
        <w:rPr>
          <w:rFonts w:cs="Arial"/>
          <w:rtl/>
        </w:rPr>
        <w:t xml:space="preserve">טען הוא שאינה עושה והיא אומרת שאינה נמנעת מלעשות </w:t>
      </w:r>
      <w:r>
        <w:rPr>
          <w:rFonts w:cs="Arial" w:hint="cs"/>
          <w:rtl/>
        </w:rPr>
        <w:t xml:space="preserve">- </w:t>
      </w:r>
      <w:r w:rsidRPr="008A0FC9">
        <w:rPr>
          <w:rFonts w:cs="Arial"/>
          <w:rtl/>
        </w:rPr>
        <w:t>מושיבין אשה ביניהן או שכנים, ודבר זה כפי מה שיראה הדיין שאפשר בדבר</w:t>
      </w:r>
      <w:r>
        <w:rPr>
          <w:rFonts w:cs="Arial" w:hint="cs"/>
          <w:sz w:val="16"/>
          <w:szCs w:val="16"/>
          <w:rtl/>
        </w:rPr>
        <w:t xml:space="preserve"> (ל' הרמב"ם)</w:t>
      </w:r>
      <w:r w:rsidRPr="008A0FC9">
        <w:rPr>
          <w:rFonts w:cs="Arial"/>
          <w:rtl/>
        </w:rPr>
        <w:t>.</w:t>
      </w:r>
      <w:r w:rsidR="00561C12" w:rsidRPr="00561C12">
        <w:rPr>
          <w:rFonts w:cs="Arial" w:hint="cs"/>
          <w:color w:val="E36C0A" w:themeColor="accent6" w:themeShade="BF"/>
          <w:rtl/>
        </w:rPr>
        <w:t xml:space="preserve"> </w:t>
      </w:r>
      <w:r w:rsidR="00561C12" w:rsidRPr="006E3BCF">
        <w:rPr>
          <w:rFonts w:cs="Arial" w:hint="cs"/>
          <w:color w:val="E36C0A" w:themeColor="accent6" w:themeShade="BF"/>
          <w:rtl/>
        </w:rPr>
        <w:t>(וכ"פ בשו"ע)</w:t>
      </w:r>
    </w:p>
    <w:p w14:paraId="0C446172" w14:textId="77777777" w:rsidR="004D0526" w:rsidRDefault="004D0526" w:rsidP="004D0526">
      <w:pPr>
        <w:rPr>
          <w:rFonts w:cs="Arial"/>
          <w:rtl/>
        </w:rPr>
      </w:pPr>
      <w:r w:rsidRPr="003024E5">
        <w:rPr>
          <w:rFonts w:asciiTheme="minorBidi" w:hAnsiTheme="minorBidi"/>
          <w:b/>
          <w:bCs/>
          <w:color w:val="000000"/>
          <w:sz w:val="28"/>
          <w:szCs w:val="28"/>
          <w:u w:val="single"/>
          <w:rtl/>
        </w:rPr>
        <w:t>שו"ע:</w:t>
      </w:r>
    </w:p>
    <w:p w14:paraId="5385DB8D" w14:textId="136F31DE" w:rsidR="000D2069" w:rsidRDefault="000D2069" w:rsidP="000D2069">
      <w:pPr>
        <w:rPr>
          <w:rtl/>
        </w:rPr>
      </w:pPr>
      <w:r>
        <w:rPr>
          <w:rFonts w:cs="Arial"/>
          <w:rtl/>
        </w:rPr>
        <w:t>טען הוא שאינה עושה, והיא אומרת שאינה נמנעת מלעשות, מושיבין אשה ביניהם</w:t>
      </w:r>
      <w:r w:rsidR="00080682">
        <w:rPr>
          <w:rStyle w:val="a7"/>
          <w:rFonts w:cs="Arial"/>
          <w:rtl/>
        </w:rPr>
        <w:footnoteReference w:id="741"/>
      </w:r>
      <w:r>
        <w:rPr>
          <w:rFonts w:cs="Arial"/>
          <w:rtl/>
        </w:rPr>
        <w:t xml:space="preserve">, או שכנים. </w:t>
      </w:r>
    </w:p>
    <w:p w14:paraId="0A7BE08C" w14:textId="77777777" w:rsidR="004D0526" w:rsidRDefault="004D0526" w:rsidP="000D2069">
      <w:pPr>
        <w:rPr>
          <w:rtl/>
        </w:rPr>
      </w:pPr>
    </w:p>
    <w:p w14:paraId="5144832B" w14:textId="69201FB8" w:rsidR="000D2069" w:rsidRDefault="000D2069" w:rsidP="000F64D0">
      <w:pPr>
        <w:pStyle w:val="2"/>
        <w:rPr>
          <w:rtl/>
        </w:rPr>
      </w:pPr>
      <w:r>
        <w:rPr>
          <w:rtl/>
        </w:rPr>
        <w:lastRenderedPageBreak/>
        <w:t>סעיף יז</w:t>
      </w:r>
      <w:r w:rsidR="008A0FC9">
        <w:rPr>
          <w:rFonts w:hint="cs"/>
          <w:rtl/>
        </w:rPr>
        <w:t>:</w:t>
      </w:r>
      <w:r w:rsidR="00860AF7" w:rsidRPr="00860AF7">
        <w:rPr>
          <w:rtl/>
        </w:rPr>
        <w:t xml:space="preserve"> </w:t>
      </w:r>
      <w:r w:rsidR="00860AF7" w:rsidRPr="00561C12">
        <w:rPr>
          <w:rtl/>
        </w:rPr>
        <w:t>אשה ששברה כלים בעת שעושה מלאכותיה</w:t>
      </w:r>
      <w:r w:rsidR="00860AF7">
        <w:rPr>
          <w:rFonts w:hint="cs"/>
          <w:rtl/>
        </w:rPr>
        <w:t>.</w:t>
      </w:r>
    </w:p>
    <w:p w14:paraId="106DC8DD" w14:textId="7EE518BB" w:rsidR="00860AF7" w:rsidRPr="00860AF7" w:rsidRDefault="00860AF7" w:rsidP="00860AF7">
      <w:pPr>
        <w:rPr>
          <w:rtl/>
        </w:rPr>
      </w:pPr>
      <w:r>
        <w:rPr>
          <w:rFonts w:cs="Arial" w:hint="cs"/>
          <w:b/>
          <w:bCs/>
          <w:rtl/>
        </w:rPr>
        <w:t xml:space="preserve">ירושלמי </w:t>
      </w:r>
      <w:r w:rsidRPr="00860AF7">
        <w:rPr>
          <w:rFonts w:cs="Arial" w:hint="cs"/>
          <w:b/>
          <w:bCs/>
          <w:rtl/>
        </w:rPr>
        <w:t xml:space="preserve">כתובות פ"ט ה"ד: </w:t>
      </w:r>
      <w:r w:rsidRPr="00860AF7">
        <w:rPr>
          <w:rFonts w:cs="Arial"/>
          <w:rtl/>
        </w:rPr>
        <w:t>שיברה את הכלים</w:t>
      </w:r>
      <w:r w:rsidR="00634AE3">
        <w:rPr>
          <w:rFonts w:cs="Arial" w:hint="cs"/>
          <w:rtl/>
        </w:rPr>
        <w:t>,</w:t>
      </w:r>
      <w:r w:rsidRPr="00860AF7">
        <w:rPr>
          <w:rFonts w:cs="Arial"/>
          <w:rtl/>
        </w:rPr>
        <w:t xml:space="preserve"> מה את עבד לה</w:t>
      </w:r>
      <w:r w:rsidR="00634AE3">
        <w:rPr>
          <w:rFonts w:cs="Arial" w:hint="cs"/>
          <w:rtl/>
        </w:rPr>
        <w:t>,</w:t>
      </w:r>
      <w:r w:rsidRPr="00860AF7">
        <w:rPr>
          <w:rFonts w:cs="Arial"/>
          <w:rtl/>
        </w:rPr>
        <w:t xml:space="preserve"> כשומרת חנם או כשומרת שכר</w:t>
      </w:r>
      <w:r w:rsidR="00634AE3">
        <w:rPr>
          <w:rFonts w:cs="Arial" w:hint="cs"/>
          <w:rtl/>
        </w:rPr>
        <w:t>?</w:t>
      </w:r>
      <w:r w:rsidRPr="00860AF7">
        <w:rPr>
          <w:rFonts w:cs="Arial"/>
          <w:rtl/>
        </w:rPr>
        <w:t xml:space="preserve"> מסתברא מיעבדינה כשומרת שכר</w:t>
      </w:r>
      <w:r w:rsidR="00634AE3">
        <w:rPr>
          <w:rFonts w:cs="Arial" w:hint="cs"/>
          <w:rtl/>
        </w:rPr>
        <w:t>.</w:t>
      </w:r>
      <w:r w:rsidRPr="00860AF7">
        <w:rPr>
          <w:rFonts w:cs="Arial"/>
          <w:rtl/>
        </w:rPr>
        <w:t xml:space="preserve"> </w:t>
      </w:r>
      <w:r w:rsidRPr="00634AE3">
        <w:rPr>
          <w:rFonts w:cs="Arial"/>
          <w:u w:val="single"/>
          <w:rtl/>
        </w:rPr>
        <w:t>אמרין</w:t>
      </w:r>
      <w:r w:rsidR="00634AE3">
        <w:rPr>
          <w:rFonts w:cs="Arial" w:hint="cs"/>
          <w:rtl/>
        </w:rPr>
        <w:t>:</w:t>
      </w:r>
      <w:r w:rsidRPr="00860AF7">
        <w:rPr>
          <w:rFonts w:cs="Arial"/>
          <w:rtl/>
        </w:rPr>
        <w:t xml:space="preserve"> אפילו כשומרת חנם אינה</w:t>
      </w:r>
      <w:r w:rsidR="00634AE3">
        <w:rPr>
          <w:rFonts w:cs="Arial" w:hint="cs"/>
          <w:rtl/>
        </w:rPr>
        <w:t>,</w:t>
      </w:r>
      <w:r w:rsidRPr="00860AF7">
        <w:rPr>
          <w:rFonts w:cs="Arial"/>
          <w:rtl/>
        </w:rPr>
        <w:t xml:space="preserve"> אם אומר את כן אין שלום בתוך ביתו לעולם</w:t>
      </w:r>
      <w:r>
        <w:rPr>
          <w:rFonts w:hint="cs"/>
          <w:rtl/>
        </w:rPr>
        <w:t>.</w:t>
      </w:r>
    </w:p>
    <w:p w14:paraId="43B72627" w14:textId="2ED110D2" w:rsidR="008A0FC9" w:rsidRPr="00860AF7" w:rsidRDefault="00860AF7" w:rsidP="008A0FC9">
      <w:pPr>
        <w:rPr>
          <w:u w:val="single"/>
          <w:rtl/>
        </w:rPr>
      </w:pPr>
      <w:r w:rsidRPr="00860AF7">
        <w:rPr>
          <w:rFonts w:cs="Arial"/>
          <w:u w:val="single"/>
          <w:rtl/>
        </w:rPr>
        <w:t>אשה ששברה כלים בעת שעושה מלאכותיה</w:t>
      </w:r>
      <w:r w:rsidRPr="00860AF7">
        <w:rPr>
          <w:rFonts w:hint="cs"/>
          <w:u w:val="single"/>
          <w:rtl/>
        </w:rPr>
        <w:t>:</w:t>
      </w:r>
    </w:p>
    <w:p w14:paraId="22C891FF" w14:textId="2A9690DD" w:rsidR="00561C12" w:rsidRDefault="00561C12" w:rsidP="009000E3">
      <w:pPr>
        <w:pStyle w:val="ab"/>
        <w:numPr>
          <w:ilvl w:val="0"/>
          <w:numId w:val="35"/>
        </w:numPr>
      </w:pPr>
      <w:r>
        <w:rPr>
          <w:rFonts w:cs="Arial" w:hint="cs"/>
          <w:rtl/>
        </w:rPr>
        <w:t xml:space="preserve">רמב"ם </w:t>
      </w:r>
      <w:r>
        <w:rPr>
          <w:rFonts w:cs="Arial" w:hint="cs"/>
          <w:sz w:val="16"/>
          <w:szCs w:val="16"/>
          <w:rtl/>
        </w:rPr>
        <w:t xml:space="preserve">(פכ"א ה"ט) </w:t>
      </w:r>
      <w:r>
        <w:rPr>
          <w:rFonts w:cs="Arial" w:hint="cs"/>
          <w:rtl/>
        </w:rPr>
        <w:t>ו</w:t>
      </w:r>
      <w:r w:rsidR="004C0CB6">
        <w:rPr>
          <w:rFonts w:cs="Arial" w:hint="cs"/>
          <w:rtl/>
        </w:rPr>
        <w:t xml:space="preserve">טור- </w:t>
      </w:r>
      <w:r w:rsidRPr="00561C12">
        <w:rPr>
          <w:rFonts w:cs="Arial"/>
          <w:rtl/>
        </w:rPr>
        <w:t>האשה ששברה כלים בעת שעושה מלאכותיה בתוך ביתה פטורה, ואין זה מן הדין אלא תקנה</w:t>
      </w:r>
      <w:r w:rsidR="00616A6E">
        <w:rPr>
          <w:rStyle w:val="a7"/>
          <w:rFonts w:cs="Arial"/>
          <w:rtl/>
        </w:rPr>
        <w:footnoteReference w:id="742"/>
      </w:r>
      <w:r w:rsidRPr="00561C12">
        <w:rPr>
          <w:rFonts w:cs="Arial"/>
          <w:rtl/>
        </w:rPr>
        <w:t>, שאם אין אתה אומר כן אין שלום בתוך הבית לעולם אלא נמצאת נזהרת ונמנעת מרוב המלאכות ונמצאת קטטה ביניהם</w:t>
      </w:r>
      <w:r>
        <w:rPr>
          <w:rFonts w:cs="Arial" w:hint="cs"/>
          <w:sz w:val="16"/>
          <w:szCs w:val="16"/>
          <w:rtl/>
        </w:rPr>
        <w:t xml:space="preserve"> (ל' הרמב"ם)</w:t>
      </w:r>
      <w:r w:rsidRPr="00561C12">
        <w:rPr>
          <w:rFonts w:cs="Arial"/>
          <w:rtl/>
        </w:rPr>
        <w:t>.</w:t>
      </w:r>
      <w:r>
        <w:rPr>
          <w:rFonts w:cs="Arial" w:hint="cs"/>
          <w:rtl/>
        </w:rPr>
        <w:t xml:space="preserve"> </w:t>
      </w:r>
      <w:r w:rsidRPr="006E3BCF">
        <w:rPr>
          <w:rFonts w:cs="Arial" w:hint="cs"/>
          <w:color w:val="E36C0A" w:themeColor="accent6" w:themeShade="BF"/>
          <w:rtl/>
        </w:rPr>
        <w:t>(וכ"פ בשו"ע)</w:t>
      </w:r>
    </w:p>
    <w:p w14:paraId="6D402DAC" w14:textId="38085201" w:rsidR="00860AF7" w:rsidRDefault="00860AF7" w:rsidP="00860AF7">
      <w:r w:rsidRPr="005A6BAC">
        <w:rPr>
          <w:rFonts w:cs="Arial"/>
          <w:b/>
          <w:bCs/>
          <w:rtl/>
        </w:rPr>
        <w:t xml:space="preserve">כתובות </w:t>
      </w:r>
      <w:r w:rsidRPr="005A6BAC">
        <w:rPr>
          <w:rFonts w:cs="Arial" w:hint="cs"/>
          <w:b/>
          <w:bCs/>
          <w:sz w:val="16"/>
          <w:szCs w:val="16"/>
          <w:rtl/>
        </w:rPr>
        <w:t>(</w:t>
      </w:r>
      <w:r w:rsidRPr="005A6BAC">
        <w:rPr>
          <w:rFonts w:cs="Arial"/>
          <w:b/>
          <w:bCs/>
          <w:sz w:val="16"/>
          <w:szCs w:val="16"/>
          <w:rtl/>
        </w:rPr>
        <w:t xml:space="preserve">פ' </w:t>
      </w:r>
      <w:r w:rsidRPr="005A6BAC">
        <w:rPr>
          <w:rFonts w:cs="Arial" w:hint="cs"/>
          <w:b/>
          <w:bCs/>
          <w:sz w:val="16"/>
          <w:szCs w:val="16"/>
          <w:rtl/>
        </w:rPr>
        <w:t>אף על פי)</w:t>
      </w:r>
      <w:r w:rsidRPr="005A6BAC">
        <w:rPr>
          <w:rFonts w:cs="Arial"/>
          <w:b/>
          <w:bCs/>
          <w:rtl/>
        </w:rPr>
        <w:t xml:space="preserve"> </w:t>
      </w:r>
      <w:r w:rsidRPr="005A6BAC">
        <w:rPr>
          <w:rFonts w:cs="Arial" w:hint="cs"/>
          <w:b/>
          <w:bCs/>
          <w:rtl/>
        </w:rPr>
        <w:t>ס</w:t>
      </w:r>
      <w:r>
        <w:rPr>
          <w:rFonts w:cs="Arial" w:hint="cs"/>
          <w:b/>
          <w:bCs/>
          <w:rtl/>
        </w:rPr>
        <w:t>א</w:t>
      </w:r>
      <w:r w:rsidRPr="005A6BAC">
        <w:rPr>
          <w:rFonts w:cs="Arial" w:hint="cs"/>
          <w:b/>
          <w:bCs/>
          <w:rtl/>
        </w:rPr>
        <w:t xml:space="preserve"> ע"א</w:t>
      </w:r>
      <w:r w:rsidRPr="005A6BAC">
        <w:rPr>
          <w:rFonts w:cs="Arial"/>
          <w:b/>
          <w:bCs/>
          <w:rtl/>
        </w:rPr>
        <w:t>:</w:t>
      </w:r>
      <w:r w:rsidRPr="005A6BAC">
        <w:rPr>
          <w:rFonts w:cs="Arial" w:hint="cs"/>
          <w:rtl/>
        </w:rPr>
        <w:t xml:space="preserve"> </w:t>
      </w:r>
      <w:r w:rsidRPr="00860AF7">
        <w:rPr>
          <w:rFonts w:cs="Arial"/>
          <w:u w:val="single"/>
          <w:rtl/>
        </w:rPr>
        <w:t>אמר רב יצחק בר חנניא אמר רב הונא</w:t>
      </w:r>
      <w:r w:rsidRPr="00860AF7">
        <w:rPr>
          <w:rFonts w:cs="Arial"/>
          <w:rtl/>
        </w:rPr>
        <w:t xml:space="preserve">: כל מלאכות שהאשה עושה לבעלה - נדה עושה לבעלה, חוץ ממזיגת הכוס, והצעת המטה, והרחצת פניו ידיו ורגליו. והצעת המטה, </w:t>
      </w:r>
      <w:r w:rsidRPr="00860AF7">
        <w:rPr>
          <w:rFonts w:cs="Arial"/>
          <w:u w:val="single"/>
          <w:rtl/>
        </w:rPr>
        <w:t>אמר רבא</w:t>
      </w:r>
      <w:r w:rsidRPr="00860AF7">
        <w:rPr>
          <w:rFonts w:cs="Arial"/>
          <w:rtl/>
        </w:rPr>
        <w:t>: לא אמרן אלא בפניו, אבל שלא בפניו לית לן בה. ומזיגת הכוס. שמואל, מחלפא ליה דביתהו בידא דשמאלא. אביי, מנחא ליה אפומא דכובא. רבא, אבי סדיא. רב פפא, אשרשיפא.</w:t>
      </w:r>
    </w:p>
    <w:p w14:paraId="51BF4616" w14:textId="70E01FA4" w:rsidR="00616A6E" w:rsidRPr="00860AF7" w:rsidRDefault="00860AF7" w:rsidP="00616A6E">
      <w:pPr>
        <w:rPr>
          <w:u w:val="single"/>
        </w:rPr>
      </w:pPr>
      <w:r w:rsidRPr="00860AF7">
        <w:rPr>
          <w:rFonts w:hint="cs"/>
          <w:u w:val="single"/>
          <w:rtl/>
        </w:rPr>
        <w:t>המלאכות שעושה אשה לבעלה בזמן שהיא נדה:</w:t>
      </w:r>
    </w:p>
    <w:p w14:paraId="5FF096C8" w14:textId="2618B941" w:rsidR="00DC4762" w:rsidRPr="00DC4762" w:rsidRDefault="00616A6E" w:rsidP="009000E3">
      <w:pPr>
        <w:pStyle w:val="ab"/>
        <w:numPr>
          <w:ilvl w:val="0"/>
          <w:numId w:val="35"/>
        </w:numPr>
        <w:rPr>
          <w:rtl/>
        </w:rPr>
      </w:pPr>
      <w:r>
        <w:rPr>
          <w:rFonts w:cs="Arial" w:hint="cs"/>
          <w:rtl/>
        </w:rPr>
        <w:t xml:space="preserve">טור- </w:t>
      </w:r>
      <w:r w:rsidR="004C0CB6" w:rsidRPr="000A7A9C">
        <w:rPr>
          <w:rFonts w:cs="Arial"/>
          <w:rtl/>
        </w:rPr>
        <w:t>כל המלאכות שהאשה עושה לבעלה נדה עושה לבעלה חוץ מהצעת המטה בפניו</w:t>
      </w:r>
      <w:r w:rsidR="00860AF7">
        <w:rPr>
          <w:rFonts w:cs="Arial" w:hint="cs"/>
          <w:rtl/>
        </w:rPr>
        <w:t>,</w:t>
      </w:r>
      <w:r w:rsidR="004C0CB6" w:rsidRPr="000A7A9C">
        <w:rPr>
          <w:rFonts w:cs="Arial"/>
          <w:rtl/>
        </w:rPr>
        <w:t xml:space="preserve"> אבל שלא בפניו מותר</w:t>
      </w:r>
      <w:r w:rsidR="00860AF7">
        <w:rPr>
          <w:rFonts w:cs="Arial" w:hint="cs"/>
          <w:rtl/>
        </w:rPr>
        <w:t>.</w:t>
      </w:r>
      <w:r w:rsidR="004C0CB6" w:rsidRPr="000A7A9C">
        <w:rPr>
          <w:rFonts w:cs="Arial"/>
          <w:rtl/>
        </w:rPr>
        <w:t xml:space="preserve"> ולא תמזוג לו כוס אפי' להניחו בפניו על השלחן אם לא שינתה כגון ביד שמאל או תניחנו על הארץ או על ד"א</w:t>
      </w:r>
      <w:r w:rsidR="00860AF7">
        <w:rPr>
          <w:rFonts w:cs="Arial" w:hint="cs"/>
          <w:rtl/>
        </w:rPr>
        <w:t>.</w:t>
      </w:r>
      <w:r w:rsidR="004C0CB6" w:rsidRPr="000A7A9C">
        <w:rPr>
          <w:rFonts w:cs="Arial"/>
          <w:rtl/>
        </w:rPr>
        <w:t xml:space="preserve"> ולא תצוק לו מים לרחוץ פניו ידיו ורגליו</w:t>
      </w:r>
      <w:r w:rsidR="00860AF7">
        <w:rPr>
          <w:rFonts w:cs="Arial" w:hint="cs"/>
          <w:rtl/>
        </w:rPr>
        <w:t>.</w:t>
      </w:r>
      <w:r w:rsidR="004C0CB6" w:rsidRPr="000A7A9C">
        <w:rPr>
          <w:rFonts w:cs="Arial"/>
          <w:rtl/>
        </w:rPr>
        <w:t xml:space="preserve"> ואסור ליקח שום דבר מידו לידה או ליתנו לידה</w:t>
      </w:r>
      <w:r w:rsidR="00860AF7">
        <w:rPr>
          <w:rStyle w:val="a7"/>
          <w:rFonts w:cs="Arial"/>
          <w:rtl/>
        </w:rPr>
        <w:footnoteReference w:id="743"/>
      </w:r>
      <w:r w:rsidR="00860AF7">
        <w:rPr>
          <w:rFonts w:cs="Arial" w:hint="cs"/>
          <w:rtl/>
        </w:rPr>
        <w:t>.</w:t>
      </w:r>
      <w:r w:rsidR="004C0CB6" w:rsidRPr="000A7A9C">
        <w:rPr>
          <w:rFonts w:cs="Arial"/>
          <w:rtl/>
        </w:rPr>
        <w:t xml:space="preserve"> </w:t>
      </w:r>
    </w:p>
    <w:p w14:paraId="365B06B7" w14:textId="77777777" w:rsidR="004D0526" w:rsidRDefault="004D0526" w:rsidP="004D0526">
      <w:pPr>
        <w:rPr>
          <w:rFonts w:cs="Arial"/>
          <w:rtl/>
        </w:rPr>
      </w:pPr>
      <w:r w:rsidRPr="003024E5">
        <w:rPr>
          <w:rFonts w:asciiTheme="minorBidi" w:hAnsiTheme="minorBidi"/>
          <w:b/>
          <w:bCs/>
          <w:color w:val="000000"/>
          <w:sz w:val="28"/>
          <w:szCs w:val="28"/>
          <w:u w:val="single"/>
          <w:rtl/>
        </w:rPr>
        <w:t>שו"ע:</w:t>
      </w:r>
    </w:p>
    <w:p w14:paraId="4C68E562" w14:textId="35F2C781" w:rsidR="000D2069" w:rsidRDefault="000D2069" w:rsidP="000D2069">
      <w:pPr>
        <w:rPr>
          <w:rtl/>
        </w:rPr>
      </w:pPr>
      <w:r>
        <w:rPr>
          <w:rFonts w:cs="Arial"/>
          <w:rtl/>
        </w:rPr>
        <w:t>האשה ששברה כלים בעת</w:t>
      </w:r>
      <w:r w:rsidR="00634AE3">
        <w:rPr>
          <w:rStyle w:val="a7"/>
          <w:rFonts w:cs="Arial"/>
          <w:rtl/>
        </w:rPr>
        <w:footnoteReference w:id="744"/>
      </w:r>
      <w:r>
        <w:rPr>
          <w:rFonts w:cs="Arial"/>
          <w:rtl/>
        </w:rPr>
        <w:t xml:space="preserve"> שעשתה מלאכותיה בתוך ביתה, פטורה. </w:t>
      </w:r>
    </w:p>
    <w:p w14:paraId="45D84A66" w14:textId="77777777" w:rsidR="004D0526" w:rsidRDefault="004D0526" w:rsidP="000D2069">
      <w:pPr>
        <w:rPr>
          <w:rtl/>
        </w:rPr>
      </w:pPr>
    </w:p>
    <w:p w14:paraId="6F34B57E" w14:textId="43A169B5" w:rsidR="000D2069" w:rsidRDefault="000D2069" w:rsidP="000F64D0">
      <w:pPr>
        <w:pStyle w:val="2"/>
        <w:rPr>
          <w:rtl/>
        </w:rPr>
      </w:pPr>
      <w:r>
        <w:rPr>
          <w:rtl/>
        </w:rPr>
        <w:t>סעיף יח</w:t>
      </w:r>
      <w:r w:rsidR="008A0FC9">
        <w:rPr>
          <w:rFonts w:hint="cs"/>
          <w:rtl/>
        </w:rPr>
        <w:t xml:space="preserve">: </w:t>
      </w:r>
      <w:r w:rsidR="009C039A">
        <w:rPr>
          <w:rFonts w:hint="cs"/>
          <w:rtl/>
        </w:rPr>
        <w:t>התנה עם אשתו שאין לה מזונות ושאין לו את מעשה ידיה, וחזר אח"כ והתחייב לה.</w:t>
      </w:r>
    </w:p>
    <w:p w14:paraId="16D7FD2D" w14:textId="6A090C13" w:rsidR="008A0FC9" w:rsidRPr="009C039A" w:rsidRDefault="009C039A" w:rsidP="008A0FC9">
      <w:pPr>
        <w:rPr>
          <w:u w:val="single"/>
          <w:rtl/>
        </w:rPr>
      </w:pPr>
      <w:r w:rsidRPr="009C039A">
        <w:rPr>
          <w:rFonts w:hint="cs"/>
          <w:u w:val="single"/>
          <w:rtl/>
        </w:rPr>
        <w:t>התנה עם אשתו שאין לה מזונות ושאין לו את מעשה ידיה, וחזר אח"כ והתחייב לה:</w:t>
      </w:r>
    </w:p>
    <w:p w14:paraId="64343E27" w14:textId="37F76039" w:rsidR="000A7A9C" w:rsidRDefault="000A7A9C" w:rsidP="009000E3">
      <w:pPr>
        <w:pStyle w:val="ab"/>
        <w:numPr>
          <w:ilvl w:val="0"/>
          <w:numId w:val="35"/>
        </w:numPr>
      </w:pPr>
      <w:r w:rsidRPr="008A0FC9">
        <w:rPr>
          <w:rFonts w:cs="Arial"/>
          <w:rtl/>
        </w:rPr>
        <w:t>ריב"ש</w:t>
      </w:r>
      <w:r w:rsidRPr="008A0FC9">
        <w:rPr>
          <w:rFonts w:cs="Arial"/>
          <w:sz w:val="16"/>
          <w:szCs w:val="16"/>
          <w:rtl/>
        </w:rPr>
        <w:t xml:space="preserve"> </w:t>
      </w:r>
      <w:r w:rsidR="008A0FC9" w:rsidRPr="008A0FC9">
        <w:rPr>
          <w:rFonts w:cs="Arial" w:hint="cs"/>
          <w:sz w:val="16"/>
          <w:szCs w:val="16"/>
          <w:rtl/>
        </w:rPr>
        <w:t>(</w:t>
      </w:r>
      <w:r w:rsidRPr="008A0FC9">
        <w:rPr>
          <w:rFonts w:cs="Arial"/>
          <w:sz w:val="16"/>
          <w:szCs w:val="16"/>
          <w:rtl/>
        </w:rPr>
        <w:t>סי</w:t>
      </w:r>
      <w:r w:rsidR="008A0FC9" w:rsidRPr="008A0FC9">
        <w:rPr>
          <w:rFonts w:cs="Arial" w:hint="cs"/>
          <w:sz w:val="16"/>
          <w:szCs w:val="16"/>
          <w:rtl/>
        </w:rPr>
        <w:t>'</w:t>
      </w:r>
      <w:r w:rsidRPr="008A0FC9">
        <w:rPr>
          <w:rFonts w:cs="Arial"/>
          <w:sz w:val="16"/>
          <w:szCs w:val="16"/>
          <w:rtl/>
        </w:rPr>
        <w:t xml:space="preserve"> תפ</w:t>
      </w:r>
      <w:r w:rsidR="008A0FC9" w:rsidRPr="008A0FC9">
        <w:rPr>
          <w:rFonts w:cs="Arial" w:hint="cs"/>
          <w:sz w:val="16"/>
          <w:szCs w:val="16"/>
          <w:rtl/>
        </w:rPr>
        <w:t>)</w:t>
      </w:r>
      <w:r w:rsidR="008A0FC9" w:rsidRPr="008A0FC9">
        <w:rPr>
          <w:rFonts w:cs="Arial" w:hint="cs"/>
          <w:rtl/>
        </w:rPr>
        <w:t>-</w:t>
      </w:r>
      <w:r w:rsidRPr="008A0FC9">
        <w:rPr>
          <w:rFonts w:cs="Arial"/>
          <w:rtl/>
        </w:rPr>
        <w:t xml:space="preserve"> האיש שהתנה עם אשתו שלא יתחייב במזונותיה וכן היא לא תתחייב לו במעשה ידיה</w:t>
      </w:r>
      <w:r w:rsidR="009C039A">
        <w:rPr>
          <w:rFonts w:cs="Arial" w:hint="cs"/>
          <w:rtl/>
        </w:rPr>
        <w:t>,</w:t>
      </w:r>
      <w:r w:rsidRPr="008A0FC9">
        <w:rPr>
          <w:rFonts w:cs="Arial"/>
          <w:rtl/>
        </w:rPr>
        <w:t xml:space="preserve"> אם אח"כ רצה הוא לתת לה במתנה ונתחייב לה במזונותיה</w:t>
      </w:r>
      <w:r w:rsidR="009C039A">
        <w:rPr>
          <w:rFonts w:cs="Arial" w:hint="cs"/>
          <w:rtl/>
        </w:rPr>
        <w:t>,</w:t>
      </w:r>
      <w:r w:rsidRPr="008A0FC9">
        <w:rPr>
          <w:rFonts w:cs="Arial"/>
          <w:rtl/>
        </w:rPr>
        <w:t xml:space="preserve"> כיון שאינה אוכלת בתקנת חכמים אלא מן הדין מכח המתנה </w:t>
      </w:r>
      <w:r w:rsidR="009C039A">
        <w:rPr>
          <w:rFonts w:cs="Arial" w:hint="cs"/>
          <w:rtl/>
        </w:rPr>
        <w:t xml:space="preserve">- </w:t>
      </w:r>
      <w:r w:rsidRPr="008A0FC9">
        <w:rPr>
          <w:rFonts w:cs="Arial"/>
          <w:rtl/>
        </w:rPr>
        <w:t>ליכא למימר מעשה ידיה שלו משום איבה</w:t>
      </w:r>
      <w:r w:rsidR="009C039A">
        <w:rPr>
          <w:rFonts w:cs="Arial" w:hint="cs"/>
          <w:rtl/>
        </w:rPr>
        <w:t>,</w:t>
      </w:r>
      <w:r w:rsidRPr="008A0FC9">
        <w:rPr>
          <w:rFonts w:cs="Arial"/>
          <w:rtl/>
        </w:rPr>
        <w:t xml:space="preserve"> דליתיה להאי טעמא אלא כשאוכלת מן התקנה ולא מן הדין</w:t>
      </w:r>
      <w:r w:rsidR="009C039A">
        <w:rPr>
          <w:rFonts w:cs="Arial" w:hint="cs"/>
          <w:rtl/>
        </w:rPr>
        <w:t>.</w:t>
      </w:r>
    </w:p>
    <w:p w14:paraId="28333DCE" w14:textId="075A3D4E" w:rsidR="00576485" w:rsidRPr="00576485" w:rsidRDefault="00576485" w:rsidP="00576485">
      <w:pPr>
        <w:rPr>
          <w:u w:val="single"/>
        </w:rPr>
      </w:pPr>
      <w:r w:rsidRPr="00576485">
        <w:rPr>
          <w:rFonts w:cs="Arial"/>
          <w:u w:val="single"/>
          <w:rtl/>
        </w:rPr>
        <w:t>אשה ששתקה ולא תבעה מזונות</w:t>
      </w:r>
      <w:r w:rsidRPr="00576485">
        <w:rPr>
          <w:rFonts w:cs="Arial" w:hint="cs"/>
          <w:u w:val="single"/>
          <w:rtl/>
        </w:rPr>
        <w:t>/</w:t>
      </w:r>
      <w:r w:rsidRPr="00576485">
        <w:rPr>
          <w:rFonts w:cs="Arial"/>
          <w:u w:val="single"/>
          <w:rtl/>
        </w:rPr>
        <w:t>מעה כסף</w:t>
      </w:r>
      <w:r w:rsidRPr="00576485">
        <w:rPr>
          <w:rFonts w:hint="cs"/>
          <w:u w:val="single"/>
          <w:rtl/>
        </w:rPr>
        <w:t xml:space="preserve"> </w:t>
      </w:r>
      <w:r w:rsidR="00F97626">
        <w:rPr>
          <w:u w:val="single"/>
          <w:rtl/>
        </w:rPr>
        <w:t>-</w:t>
      </w:r>
      <w:r w:rsidRPr="00576485">
        <w:rPr>
          <w:rFonts w:hint="cs"/>
          <w:u w:val="single"/>
          <w:rtl/>
        </w:rPr>
        <w:t xml:space="preserve"> האם מעשה ידיה/המותר שלה:</w:t>
      </w:r>
    </w:p>
    <w:p w14:paraId="3A82851C" w14:textId="06F6A7D3" w:rsidR="00576485" w:rsidRPr="000A7A9C" w:rsidRDefault="00576485" w:rsidP="009000E3">
      <w:pPr>
        <w:pStyle w:val="ab"/>
        <w:numPr>
          <w:ilvl w:val="0"/>
          <w:numId w:val="35"/>
        </w:numPr>
        <w:rPr>
          <w:rtl/>
        </w:rPr>
      </w:pPr>
      <w:r>
        <w:rPr>
          <w:rFonts w:cs="Arial" w:hint="cs"/>
          <w:rtl/>
        </w:rPr>
        <w:t xml:space="preserve">תוס' </w:t>
      </w:r>
      <w:r w:rsidRPr="006C3CF4">
        <w:rPr>
          <w:rFonts w:cs="Arial"/>
          <w:sz w:val="16"/>
          <w:szCs w:val="16"/>
          <w:rtl/>
        </w:rPr>
        <w:t>(כתובות ע: תוד"ה והאידנא</w:t>
      </w:r>
      <w:r>
        <w:rPr>
          <w:rFonts w:cs="Arial" w:hint="cs"/>
          <w:sz w:val="16"/>
          <w:szCs w:val="16"/>
          <w:rtl/>
        </w:rPr>
        <w:t>)</w:t>
      </w:r>
      <w:r>
        <w:rPr>
          <w:rFonts w:cs="Arial" w:hint="cs"/>
          <w:rtl/>
        </w:rPr>
        <w:t xml:space="preserve"> </w:t>
      </w:r>
      <w:r>
        <w:rPr>
          <w:rFonts w:cs="Arial"/>
          <w:rtl/>
        </w:rPr>
        <w:t xml:space="preserve">רא"ש </w:t>
      </w:r>
      <w:r>
        <w:rPr>
          <w:rFonts w:cs="Arial" w:hint="cs"/>
          <w:sz w:val="16"/>
          <w:szCs w:val="16"/>
          <w:rtl/>
        </w:rPr>
        <w:t>(</w:t>
      </w:r>
      <w:r w:rsidRPr="00513959">
        <w:rPr>
          <w:rFonts w:cs="Arial"/>
          <w:sz w:val="16"/>
          <w:szCs w:val="16"/>
          <w:rtl/>
        </w:rPr>
        <w:t>סי' ג)</w:t>
      </w:r>
      <w:r>
        <w:rPr>
          <w:rFonts w:cs="Arial" w:hint="cs"/>
          <w:rtl/>
        </w:rPr>
        <w:t xml:space="preserve"> וטור</w:t>
      </w:r>
      <w:r>
        <w:rPr>
          <w:rFonts w:cs="Arial" w:hint="cs"/>
          <w:sz w:val="16"/>
          <w:szCs w:val="16"/>
          <w:rtl/>
        </w:rPr>
        <w:t xml:space="preserve"> (סי' ע)</w:t>
      </w:r>
      <w:r>
        <w:rPr>
          <w:rFonts w:cs="Arial" w:hint="cs"/>
          <w:rtl/>
        </w:rPr>
        <w:t xml:space="preserve">- </w:t>
      </w:r>
      <w:r w:rsidRPr="009826B1">
        <w:rPr>
          <w:rFonts w:cs="Arial"/>
          <w:rtl/>
        </w:rPr>
        <w:t>ונותן לה מעה כסף לשבוע לצורך דברים קטנים</w:t>
      </w:r>
      <w:r>
        <w:rPr>
          <w:rFonts w:cs="Arial" w:hint="cs"/>
          <w:rtl/>
        </w:rPr>
        <w:t>,</w:t>
      </w:r>
      <w:r w:rsidRPr="009826B1">
        <w:rPr>
          <w:rFonts w:cs="Arial"/>
          <w:rtl/>
        </w:rPr>
        <w:t xml:space="preserve"> ואם אינו נותנו לה</w:t>
      </w:r>
      <w:r>
        <w:rPr>
          <w:rStyle w:val="a7"/>
          <w:rFonts w:cs="Arial"/>
          <w:rtl/>
        </w:rPr>
        <w:footnoteReference w:id="745"/>
      </w:r>
      <w:r w:rsidRPr="009826B1">
        <w:rPr>
          <w:rFonts w:cs="Arial"/>
          <w:rtl/>
        </w:rPr>
        <w:t xml:space="preserve"> מה שעשתה מותר על המעשה ידיה הקצוב שחייבת לתת לו</w:t>
      </w:r>
      <w:r>
        <w:rPr>
          <w:rFonts w:cs="Arial" w:hint="cs"/>
          <w:rtl/>
        </w:rPr>
        <w:t>...</w:t>
      </w:r>
      <w:r>
        <w:rPr>
          <w:rFonts w:cs="Arial" w:hint="cs"/>
          <w:sz w:val="16"/>
          <w:szCs w:val="16"/>
          <w:rtl/>
        </w:rPr>
        <w:t xml:space="preserve"> </w:t>
      </w:r>
      <w:r>
        <w:rPr>
          <w:rFonts w:cs="Arial" w:hint="cs"/>
          <w:rtl/>
        </w:rPr>
        <w:t xml:space="preserve">- </w:t>
      </w:r>
      <w:r w:rsidRPr="009826B1">
        <w:rPr>
          <w:rFonts w:cs="Arial"/>
          <w:rtl/>
        </w:rPr>
        <w:t>הוא שלה</w:t>
      </w:r>
      <w:r>
        <w:rPr>
          <w:rFonts w:hint="cs"/>
          <w:sz w:val="16"/>
          <w:szCs w:val="16"/>
          <w:rtl/>
        </w:rPr>
        <w:t xml:space="preserve"> </w:t>
      </w:r>
      <w:r w:rsidRPr="00576485">
        <w:rPr>
          <w:rFonts w:hint="cs"/>
          <w:sz w:val="16"/>
          <w:szCs w:val="16"/>
          <w:rtl/>
        </w:rPr>
        <w:t>(ל' הטור)</w:t>
      </w:r>
      <w:r>
        <w:rPr>
          <w:rFonts w:cs="Arial" w:hint="cs"/>
          <w:rtl/>
        </w:rPr>
        <w:t>.</w:t>
      </w:r>
    </w:p>
    <w:p w14:paraId="42466F2D" w14:textId="7AB68C8F" w:rsidR="00F374F0" w:rsidRPr="00827F1B" w:rsidRDefault="00F374F0" w:rsidP="00F374F0">
      <w:pPr>
        <w:rPr>
          <w:u w:val="single"/>
        </w:rPr>
      </w:pPr>
      <w:r w:rsidRPr="00827F1B">
        <w:rPr>
          <w:rFonts w:hint="cs"/>
          <w:u w:val="single"/>
          <w:rtl/>
        </w:rPr>
        <w:t xml:space="preserve">אשה שאינה עושה את מלאכות הבית שמוטלות עליה </w:t>
      </w:r>
      <w:r w:rsidR="00F97626">
        <w:rPr>
          <w:u w:val="single"/>
          <w:rtl/>
        </w:rPr>
        <w:t>-</w:t>
      </w:r>
      <w:r w:rsidRPr="00827F1B">
        <w:rPr>
          <w:rFonts w:hint="cs"/>
          <w:u w:val="single"/>
          <w:rtl/>
        </w:rPr>
        <w:t xml:space="preserve"> ובעלה רוצה להוריד ממזונותיה כדי לשכור מי שתעשה:</w:t>
      </w:r>
    </w:p>
    <w:p w14:paraId="2323EA37" w14:textId="449F4BEC" w:rsidR="00F374F0" w:rsidRPr="00E17CFB" w:rsidRDefault="00F374F0" w:rsidP="00F374F0">
      <w:pPr>
        <w:pStyle w:val="ab"/>
        <w:numPr>
          <w:ilvl w:val="0"/>
          <w:numId w:val="7"/>
        </w:numPr>
      </w:pPr>
      <w:r w:rsidRPr="000E571B">
        <w:rPr>
          <w:rFonts w:cs="Arial"/>
          <w:rtl/>
        </w:rPr>
        <w:t>רשב"א</w:t>
      </w:r>
      <w:r w:rsidRPr="000E571B">
        <w:rPr>
          <w:rFonts w:cs="Arial"/>
          <w:sz w:val="16"/>
          <w:szCs w:val="16"/>
          <w:rtl/>
        </w:rPr>
        <w:t xml:space="preserve"> </w:t>
      </w:r>
      <w:r w:rsidRPr="000E571B">
        <w:rPr>
          <w:rFonts w:cs="Arial" w:hint="cs"/>
          <w:sz w:val="16"/>
          <w:szCs w:val="16"/>
          <w:rtl/>
        </w:rPr>
        <w:t>(</w:t>
      </w:r>
      <w:r w:rsidR="00F913DF">
        <w:rPr>
          <w:rFonts w:cs="Arial" w:hint="cs"/>
          <w:sz w:val="16"/>
          <w:szCs w:val="16"/>
          <w:rtl/>
        </w:rPr>
        <w:t>החדשות סי' קעח,</w:t>
      </w:r>
      <w:r w:rsidRPr="000E571B">
        <w:rPr>
          <w:rFonts w:cs="Arial" w:hint="cs"/>
          <w:sz w:val="16"/>
          <w:szCs w:val="16"/>
          <w:rtl/>
        </w:rPr>
        <w:t xml:space="preserve"> הביאה הב"י בסי' עז)</w:t>
      </w:r>
      <w:r>
        <w:rPr>
          <w:rFonts w:cs="Arial" w:hint="cs"/>
          <w:rtl/>
        </w:rPr>
        <w:t>-</w:t>
      </w:r>
      <w:r w:rsidRPr="000E571B">
        <w:rPr>
          <w:rFonts w:cs="Arial"/>
          <w:rtl/>
        </w:rPr>
        <w:t xml:space="preserve"> אשה שהניחה בעלה בבית אביו והלך חוץ לעיר וחלתה והלכה לבית אביה ולותה למזונותיה ולרפואתה</w:t>
      </w:r>
      <w:r>
        <w:rPr>
          <w:rFonts w:cs="Arial" w:hint="cs"/>
          <w:rtl/>
        </w:rPr>
        <w:t>.</w:t>
      </w:r>
      <w:r w:rsidRPr="000E571B">
        <w:rPr>
          <w:rFonts w:cs="Arial"/>
          <w:rtl/>
        </w:rPr>
        <w:t xml:space="preserve"> הדין עמה</w:t>
      </w:r>
      <w:r>
        <w:rPr>
          <w:rFonts w:cs="Arial" w:hint="cs"/>
          <w:rtl/>
        </w:rPr>
        <w:t>,</w:t>
      </w:r>
      <w:r w:rsidRPr="000E571B">
        <w:rPr>
          <w:rFonts w:cs="Arial"/>
          <w:rtl/>
        </w:rPr>
        <w:t xml:space="preserve"> וכל שלותה לצורך מזונותיה ורפואתה בעוד שלא היה בעלה </w:t>
      </w:r>
      <w:r w:rsidRPr="000E571B">
        <w:rPr>
          <w:rFonts w:cs="Arial"/>
          <w:rtl/>
        </w:rPr>
        <w:lastRenderedPageBreak/>
        <w:t>בעיר בודאי חייב הבעל לשלם מה שלותה</w:t>
      </w:r>
      <w:r>
        <w:rPr>
          <w:rFonts w:cs="Arial" w:hint="cs"/>
          <w:rtl/>
        </w:rPr>
        <w:t>,</w:t>
      </w:r>
      <w:r w:rsidRPr="000E571B">
        <w:rPr>
          <w:rFonts w:cs="Arial"/>
          <w:rtl/>
        </w:rPr>
        <w:t xml:space="preserve"> ואפילו לחנן ואפילו לאחר שבא בעלה אם עדיין חולה ואינה זנה ומפרנסה ועמדה ולותה חייב לפרוע מה שלותה בין למזונותיה בין לרפואתה הדומה למזונות דהיינו שאין לה קצבה</w:t>
      </w:r>
      <w:r>
        <w:rPr>
          <w:rFonts w:cs="Arial" w:hint="cs"/>
          <w:rtl/>
        </w:rPr>
        <w:t>.</w:t>
      </w:r>
      <w:r w:rsidRPr="000E571B">
        <w:rPr>
          <w:rFonts w:cs="Arial"/>
          <w:rtl/>
        </w:rPr>
        <w:t xml:space="preserve"> ומה שטען שהוא לא שלחה מביתו אינה טענה שהרי הוצרכה לצאת אצל אביה שמשתדל ברפואתה</w:t>
      </w:r>
      <w:r>
        <w:rPr>
          <w:rFonts w:cs="Arial" w:hint="cs"/>
          <w:rtl/>
        </w:rPr>
        <w:t>,</w:t>
      </w:r>
      <w:r w:rsidRPr="000E571B">
        <w:rPr>
          <w:rFonts w:cs="Arial"/>
          <w:rtl/>
        </w:rPr>
        <w:t xml:space="preserve"> ואפילו היה חמיה משתדל ברפאותה מה הנאה יש לראובן בין עומדת כאן בין עומדת כאן והיא אינה מורדת</w:t>
      </w:r>
      <w:r>
        <w:rPr>
          <w:rFonts w:cs="Arial" w:hint="cs"/>
          <w:rtl/>
        </w:rPr>
        <w:t>,</w:t>
      </w:r>
      <w:r w:rsidRPr="000E571B">
        <w:rPr>
          <w:rFonts w:cs="Arial"/>
          <w:rtl/>
        </w:rPr>
        <w:t xml:space="preserve"> ואי משום מלאכה חולה לאו בת מלאכה היא</w:t>
      </w:r>
      <w:r>
        <w:rPr>
          <w:rFonts w:cs="Arial" w:hint="cs"/>
          <w:rtl/>
        </w:rPr>
        <w:t>.</w:t>
      </w:r>
      <w:r w:rsidRPr="000E571B">
        <w:rPr>
          <w:rFonts w:cs="Arial"/>
          <w:rtl/>
        </w:rPr>
        <w:t xml:space="preserve"> אבל אם לאחר שבא ראובן ונתרפאת אף על פי שאינה מורדת מתשמיש אם אינה רוצה לשוב לו ולעשות לו דברים שהיא חייבת לעשות לבעלה ולפי מה שהיא אשה</w:t>
      </w:r>
      <w:r>
        <w:rPr>
          <w:rFonts w:cs="Arial" w:hint="cs"/>
          <w:rtl/>
        </w:rPr>
        <w:t>,</w:t>
      </w:r>
      <w:r w:rsidRPr="000E571B">
        <w:rPr>
          <w:rFonts w:cs="Arial"/>
          <w:rtl/>
        </w:rPr>
        <w:t xml:space="preserve"> כי יש נשים שמכניסות לבעל שפחות ויש שאינן מכניסות</w:t>
      </w:r>
      <w:r>
        <w:rPr>
          <w:rFonts w:cs="Arial" w:hint="cs"/>
          <w:rtl/>
        </w:rPr>
        <w:t>,</w:t>
      </w:r>
      <w:r w:rsidRPr="000E571B">
        <w:rPr>
          <w:rFonts w:cs="Arial"/>
          <w:rtl/>
        </w:rPr>
        <w:t xml:space="preserve"> וכפי מה שיש לו עליה מהמלאכות הקטנות כעושה מטתו ומרחצת פניו ידיו ורגליו מעכב מהמזונות כנגד שכר מי שישמשנו באותן מלאכות או שוכר עליה ממקום אחר</w:t>
      </w:r>
      <w:r>
        <w:rPr>
          <w:rFonts w:cs="Arial" w:hint="cs"/>
          <w:rtl/>
        </w:rPr>
        <w:t>,</w:t>
      </w:r>
      <w:r w:rsidRPr="000E571B">
        <w:rPr>
          <w:rFonts w:cs="Arial"/>
          <w:rtl/>
        </w:rPr>
        <w:t xml:space="preserve"> הא יתר מכאן לא</w:t>
      </w:r>
      <w:r>
        <w:rPr>
          <w:rFonts w:cs="Arial" w:hint="cs"/>
          <w:rtl/>
        </w:rPr>
        <w:t>...</w:t>
      </w:r>
      <w:r w:rsidRPr="000E571B">
        <w:rPr>
          <w:rFonts w:cs="Arial"/>
          <w:rtl/>
        </w:rPr>
        <w:t xml:space="preserve"> ואם אינה רוצה לעשות וליתן לבעלה מעשה ידיה אין לה מזונות ואף על פי שהמזונות עיקר כבר תקנו לבעל מעשה ידיה תחת מזונות ואם היא אינה רוצה לעשות תפסיד מזונות שאין לך נזונת ואומרת איני עושה</w:t>
      </w:r>
      <w:r>
        <w:rPr>
          <w:rFonts w:cs="Arial" w:hint="cs"/>
          <w:rtl/>
        </w:rPr>
        <w:t>.</w:t>
      </w:r>
      <w:r w:rsidRPr="000E571B">
        <w:rPr>
          <w:rFonts w:cs="Arial"/>
          <w:rtl/>
        </w:rPr>
        <w:t xml:space="preserve"> ואפילו עושה ואינה משמשת באותן מלאכות קטנות השנויות במשנתינו (נט:) והוא צריך לשכור מי שישמשנו בהם </w:t>
      </w:r>
      <w:r>
        <w:rPr>
          <w:rFonts w:cs="Arial" w:hint="cs"/>
          <w:rtl/>
        </w:rPr>
        <w:t xml:space="preserve">- </w:t>
      </w:r>
      <w:r w:rsidRPr="000E571B">
        <w:rPr>
          <w:rFonts w:cs="Arial"/>
          <w:rtl/>
        </w:rPr>
        <w:t>שוכר עליה כמו שאמר אבל תפסיד מזונותיה לא. ולפי שלא נתבאר לי מלשון השאלה מה שהיא טוענת שתשוב לבית בעלה אם יביאה אל ביתו ויפרע מה שלותה</w:t>
      </w:r>
      <w:r>
        <w:rPr>
          <w:rFonts w:cs="Arial" w:hint="cs"/>
          <w:rtl/>
        </w:rPr>
        <w:t>,</w:t>
      </w:r>
      <w:r w:rsidRPr="000E571B">
        <w:rPr>
          <w:rFonts w:cs="Arial"/>
          <w:rtl/>
        </w:rPr>
        <w:t xml:space="preserve"> ונסתפקתי אם היא מתעכבת בלבד מחמת שהוא אינו קורא לה או שאינה רוצה לשוב אליו עד שיפרע מה שלותה ואחר כך יביאנה ואז תשוב אליו. על כן אני אומר שאם מחמת שהוא אינו רוצה להביאה ולקרוא לה מסתברא שאינה מפסדת על זה כלום לפי שהוא אינו רוצה בשימושה כי שמא בושה ממנו אחר שלא הראה לה פנים בעוד שהיתה חולה ואחר שנתרפאת מפני שיצאה שלא ברשות ואין כאן מרד כלל לא מתשמיש ולא ממלאכה ועוד שאם יבוא הוא אצלה אינה מונעתו מכלום</w:t>
      </w:r>
      <w:r>
        <w:rPr>
          <w:rFonts w:cs="Arial" w:hint="cs"/>
          <w:rtl/>
        </w:rPr>
        <w:t>.</w:t>
      </w:r>
      <w:r w:rsidRPr="000E571B">
        <w:rPr>
          <w:rFonts w:cs="Arial"/>
          <w:rtl/>
        </w:rPr>
        <w:t xml:space="preserve"> אבל אם היא מעכבת אף מחמת פרעון מה שלותה בזה יראה שאינו חייב לזונה דקרוב הוא בעיני לומר שזה אחד מדרכי המורדת באומרת בעינא ליה ומצערנא ליה דכל האומרת כך טענה יש לה על הצער שהיא רוצה לצערו וגם זו עילה מצאה לצערו ותולה בפרעון מה שלותה</w:t>
      </w:r>
      <w:r>
        <w:rPr>
          <w:rFonts w:cs="Arial" w:hint="cs"/>
          <w:rtl/>
        </w:rPr>
        <w:t>.</w:t>
      </w:r>
      <w:r w:rsidRPr="000E571B">
        <w:rPr>
          <w:rFonts w:cs="Arial"/>
          <w:rtl/>
        </w:rPr>
        <w:t xml:space="preserve"> וכל זה שאבדה מזונות במרדה זהו לדעת הר"מ ז"ל והרי"ף ז"ל</w:t>
      </w:r>
      <w:r>
        <w:rPr>
          <w:rFonts w:cs="Arial" w:hint="cs"/>
          <w:rtl/>
        </w:rPr>
        <w:t>,</w:t>
      </w:r>
      <w:r w:rsidRPr="000E571B">
        <w:rPr>
          <w:rFonts w:cs="Arial"/>
          <w:rtl/>
        </w:rPr>
        <w:t xml:space="preserve"> אבל מעיקר הגמרא אינו נראה כן</w:t>
      </w:r>
      <w:r>
        <w:rPr>
          <w:rFonts w:cs="Arial" w:hint="cs"/>
          <w:rtl/>
        </w:rPr>
        <w:t>,</w:t>
      </w:r>
      <w:r w:rsidRPr="000E571B">
        <w:rPr>
          <w:rFonts w:cs="Arial"/>
          <w:rtl/>
        </w:rPr>
        <w:t xml:space="preserve"> שלא נראה כן בגמרא בשום מקום ואין במורדת אלא פחת כתובה בלבד ומזונות ומעשה ידיה שהם זה כנגד זה</w:t>
      </w:r>
      <w:r>
        <w:rPr>
          <w:rFonts w:cs="Arial" w:hint="cs"/>
          <w:rtl/>
        </w:rPr>
        <w:t>,</w:t>
      </w:r>
      <w:r w:rsidRPr="000E571B">
        <w:rPr>
          <w:rFonts w:cs="Arial"/>
          <w:rtl/>
        </w:rPr>
        <w:t xml:space="preserve"> שאם אמרה איני עושה אינה נזונת ומדרבנן.</w:t>
      </w:r>
      <w:r>
        <w:rPr>
          <w:rFonts w:hint="cs"/>
          <w:rtl/>
        </w:rPr>
        <w:t xml:space="preserve"> </w:t>
      </w:r>
      <w:r w:rsidRPr="00827F1B">
        <w:rPr>
          <w:rFonts w:hint="cs"/>
          <w:color w:val="00B0F0"/>
          <w:rtl/>
        </w:rPr>
        <w:t>(וכ"פ הרמ"א)</w:t>
      </w:r>
    </w:p>
    <w:p w14:paraId="5D1D6C13" w14:textId="77777777" w:rsidR="004D0526" w:rsidRDefault="004D0526" w:rsidP="004D0526">
      <w:pPr>
        <w:rPr>
          <w:rFonts w:cs="Arial"/>
          <w:rtl/>
        </w:rPr>
      </w:pPr>
      <w:r w:rsidRPr="003024E5">
        <w:rPr>
          <w:rFonts w:asciiTheme="minorBidi" w:hAnsiTheme="minorBidi"/>
          <w:b/>
          <w:bCs/>
          <w:color w:val="000000"/>
          <w:sz w:val="28"/>
          <w:szCs w:val="28"/>
          <w:u w:val="single"/>
          <w:rtl/>
        </w:rPr>
        <w:t>שו"ע:</w:t>
      </w:r>
    </w:p>
    <w:p w14:paraId="4B491B3F" w14:textId="30A1DDFF" w:rsidR="000D2069" w:rsidRPr="00F12350" w:rsidRDefault="000D2069" w:rsidP="00F12350">
      <w:pPr>
        <w:rPr>
          <w:rFonts w:cs="Arial"/>
          <w:sz w:val="18"/>
          <w:szCs w:val="18"/>
          <w:rtl/>
        </w:rPr>
      </w:pPr>
      <w:r>
        <w:rPr>
          <w:rFonts w:cs="Arial"/>
          <w:rtl/>
        </w:rPr>
        <w:t>מי שהתנה עם אשתו שלא יתחייב במזונותיה וכן היא לא תתחייב לו במעשה ידיה, אם אחר כך רצה ונתחייב הוא לתת לה (במתנה) מזונותיה, אין מעשה ידיה שלו</w:t>
      </w:r>
      <w:r w:rsidR="00F04A75">
        <w:rPr>
          <w:rStyle w:val="a7"/>
          <w:rFonts w:cs="Arial"/>
          <w:rtl/>
        </w:rPr>
        <w:footnoteReference w:id="746"/>
      </w:r>
      <w:r>
        <w:rPr>
          <w:rFonts w:cs="Arial"/>
          <w:rtl/>
        </w:rPr>
        <w:t xml:space="preserve">. </w:t>
      </w:r>
      <w:r w:rsidRPr="004D0526">
        <w:rPr>
          <w:rFonts w:cs="Arial"/>
          <w:sz w:val="18"/>
          <w:szCs w:val="18"/>
          <w:rtl/>
        </w:rPr>
        <w:t>הגה: אשה ששתקה ולא תבעה מזונות ולא מעה כסף, מן הסתם מעשה ידיה עם המותר שלה, ולא אמרינן שמחלה מעשה ידיה (ר"ן</w:t>
      </w:r>
      <w:r w:rsidR="00576485">
        <w:rPr>
          <w:rFonts w:cs="Arial" w:hint="cs"/>
          <w:sz w:val="18"/>
          <w:szCs w:val="18"/>
          <w:rtl/>
        </w:rPr>
        <w:t xml:space="preserve"> ורמב"ן</w:t>
      </w:r>
      <w:r w:rsidRPr="004D0526">
        <w:rPr>
          <w:rFonts w:cs="Arial"/>
          <w:sz w:val="18"/>
          <w:szCs w:val="18"/>
          <w:rtl/>
        </w:rPr>
        <w:t>)</w:t>
      </w:r>
      <w:r w:rsidR="00F12350">
        <w:rPr>
          <w:rFonts w:cs="Arial" w:hint="cs"/>
          <w:sz w:val="18"/>
          <w:szCs w:val="18"/>
          <w:rtl/>
        </w:rPr>
        <w:t>.</w:t>
      </w:r>
      <w:r w:rsidRPr="004D0526">
        <w:rPr>
          <w:rFonts w:cs="Arial"/>
          <w:sz w:val="18"/>
          <w:szCs w:val="18"/>
          <w:rtl/>
        </w:rPr>
        <w:t xml:space="preserve"> אבל מה שאינו מספיק לה, אין הבעל צריך לשלם לה</w:t>
      </w:r>
      <w:r w:rsidR="00E73D09">
        <w:rPr>
          <w:rStyle w:val="a7"/>
          <w:rFonts w:cs="Arial"/>
          <w:sz w:val="18"/>
          <w:szCs w:val="18"/>
          <w:rtl/>
        </w:rPr>
        <w:footnoteReference w:id="747"/>
      </w:r>
      <w:r w:rsidRPr="004D0526">
        <w:rPr>
          <w:rFonts w:cs="Arial"/>
          <w:sz w:val="18"/>
          <w:szCs w:val="18"/>
          <w:rtl/>
        </w:rPr>
        <w:t>, דודאי מחלה. אשה שהלכה מבית בעלה מכח קטטה, ואינה רוצה לשוב לביתו עד שיקרא לה בעלה, לא הפסידה משום זה מזונותיה, דבושה ממנו לשוב, מאחר שיצאת בלא רשותו ואינו מראה לה פנים, ואם הוא יבא אצלה אינה מונעתו מכלום, אבל אם אינה רוצה לבא אצלו עד שיפרע מה שלותה, אבדה מזונותיה, דהוי כמורדת, דכל מורדת טענה אית לה. וכל אשה יש לה מזונות אף על פי שאין כתובתה בידה, ואינו נאמן לומר שמחלה לו, רק בראיה ברורה</w:t>
      </w:r>
      <w:r w:rsidR="00F12350">
        <w:rPr>
          <w:rFonts w:cs="Arial" w:hint="cs"/>
          <w:sz w:val="18"/>
          <w:szCs w:val="18"/>
          <w:rtl/>
        </w:rPr>
        <w:t>.</w:t>
      </w:r>
      <w:r w:rsidRPr="004D0526">
        <w:rPr>
          <w:rFonts w:cs="Arial"/>
          <w:sz w:val="18"/>
          <w:szCs w:val="18"/>
          <w:rtl/>
        </w:rPr>
        <w:t xml:space="preserve"> ואפילו על מזונות שעברו, אם לא טען לא טענינן ליה, וצריך לישבע שמחלה לו (רשב"א </w:t>
      </w:r>
      <w:r w:rsidR="00A35574">
        <w:rPr>
          <w:rFonts w:cs="Arial" w:hint="cs"/>
          <w:sz w:val="18"/>
          <w:szCs w:val="18"/>
          <w:rtl/>
        </w:rPr>
        <w:t>בתשו'</w:t>
      </w:r>
      <w:r w:rsidRPr="004D0526">
        <w:rPr>
          <w:rFonts w:cs="Arial"/>
          <w:sz w:val="18"/>
          <w:szCs w:val="18"/>
          <w:rtl/>
        </w:rPr>
        <w:t>)</w:t>
      </w:r>
      <w:r w:rsidR="00672512">
        <w:rPr>
          <w:rFonts w:cs="Arial" w:hint="cs"/>
          <w:sz w:val="18"/>
          <w:szCs w:val="18"/>
          <w:rtl/>
        </w:rPr>
        <w:t>.</w:t>
      </w:r>
    </w:p>
    <w:p w14:paraId="487E919A" w14:textId="4EA72CD5" w:rsidR="00672512" w:rsidRPr="000D2069" w:rsidRDefault="00672512" w:rsidP="000D2069">
      <w:pPr>
        <w:rPr>
          <w:rtl/>
        </w:rPr>
        <w:sectPr w:rsidR="00672512" w:rsidRPr="000D2069" w:rsidSect="00A347B3">
          <w:headerReference w:type="default" r:id="rId23"/>
          <w:footnotePr>
            <w:numRestart w:val="eachSect"/>
          </w:footnotePr>
          <w:pgSz w:w="11906" w:h="16838"/>
          <w:pgMar w:top="720" w:right="1134" w:bottom="720" w:left="1134" w:header="0" w:footer="0" w:gutter="0"/>
          <w:cols w:space="720"/>
          <w:bidi/>
          <w:rtlGutter/>
          <w:docGrid w:linePitch="360"/>
        </w:sectPr>
      </w:pPr>
    </w:p>
    <w:p w14:paraId="7DDAFB96" w14:textId="3282DBF8" w:rsidR="000D2069" w:rsidRDefault="00942887" w:rsidP="000D2069">
      <w:pPr>
        <w:pStyle w:val="1"/>
        <w:rPr>
          <w:rtl/>
        </w:rPr>
      </w:pPr>
      <w:r>
        <w:rPr>
          <w:rFonts w:hint="cs"/>
          <w:rtl/>
        </w:rPr>
        <w:lastRenderedPageBreak/>
        <w:t xml:space="preserve">סימן </w:t>
      </w:r>
      <w:r w:rsidR="001E098A">
        <w:rPr>
          <w:rFonts w:hint="cs"/>
          <w:rtl/>
        </w:rPr>
        <w:t>פא</w:t>
      </w:r>
      <w:r>
        <w:rPr>
          <w:rFonts w:hint="cs"/>
          <w:rtl/>
        </w:rPr>
        <w:t>:</w:t>
      </w:r>
      <w:r w:rsidRPr="00C12B74">
        <w:rPr>
          <w:rtl/>
        </w:rPr>
        <w:t xml:space="preserve"> </w:t>
      </w:r>
      <w:r w:rsidR="000D2069">
        <w:rPr>
          <w:rFonts w:cs="Arial"/>
          <w:rtl/>
        </w:rPr>
        <w:t xml:space="preserve">המקדיש מעשה ידי אשתו, ובו ב' סעיפים. </w:t>
      </w:r>
    </w:p>
    <w:p w14:paraId="54F2A366" w14:textId="1DDD7700" w:rsidR="000D2069" w:rsidRDefault="000D2069" w:rsidP="000F64D0">
      <w:pPr>
        <w:pStyle w:val="2"/>
        <w:rPr>
          <w:rtl/>
        </w:rPr>
      </w:pPr>
      <w:r>
        <w:rPr>
          <w:rtl/>
        </w:rPr>
        <w:t>סעיף א</w:t>
      </w:r>
      <w:r w:rsidR="006C75BB">
        <w:rPr>
          <w:rFonts w:hint="cs"/>
          <w:rtl/>
        </w:rPr>
        <w:t>:</w:t>
      </w:r>
      <w:r w:rsidR="00702703" w:rsidRPr="00702703">
        <w:rPr>
          <w:rtl/>
        </w:rPr>
        <w:t xml:space="preserve"> </w:t>
      </w:r>
      <w:r w:rsidR="00702703" w:rsidRPr="004A7B98">
        <w:rPr>
          <w:rtl/>
        </w:rPr>
        <w:t>המקדיש מעשה ידי אשתו</w:t>
      </w:r>
      <w:r w:rsidR="00702703">
        <w:rPr>
          <w:rFonts w:hint="cs"/>
          <w:rtl/>
        </w:rPr>
        <w:t>.</w:t>
      </w:r>
    </w:p>
    <w:p w14:paraId="53302A86" w14:textId="542A46EF" w:rsidR="00465A3A" w:rsidRDefault="00814879" w:rsidP="00003C37">
      <w:pPr>
        <w:rPr>
          <w:rFonts w:cs="Arial"/>
          <w:rtl/>
        </w:rPr>
      </w:pPr>
      <w:r w:rsidRPr="005A6BAC">
        <w:rPr>
          <w:rFonts w:cs="Arial"/>
          <w:b/>
          <w:bCs/>
          <w:rtl/>
        </w:rPr>
        <w:t xml:space="preserve">כתובות </w:t>
      </w:r>
      <w:r w:rsidRPr="005A6BAC">
        <w:rPr>
          <w:rFonts w:cs="Arial" w:hint="cs"/>
          <w:b/>
          <w:bCs/>
          <w:sz w:val="16"/>
          <w:szCs w:val="16"/>
          <w:rtl/>
        </w:rPr>
        <w:t>(</w:t>
      </w:r>
      <w:r w:rsidRPr="005A6BAC">
        <w:rPr>
          <w:rFonts w:cs="Arial"/>
          <w:b/>
          <w:bCs/>
          <w:sz w:val="16"/>
          <w:szCs w:val="16"/>
          <w:rtl/>
        </w:rPr>
        <w:t xml:space="preserve">פ' </w:t>
      </w:r>
      <w:r w:rsidRPr="005A6BAC">
        <w:rPr>
          <w:rFonts w:cs="Arial" w:hint="cs"/>
          <w:b/>
          <w:bCs/>
          <w:sz w:val="16"/>
          <w:szCs w:val="16"/>
          <w:rtl/>
        </w:rPr>
        <w:t>אף על פי)</w:t>
      </w:r>
      <w:r w:rsidRPr="005A6BAC">
        <w:rPr>
          <w:rFonts w:cs="Arial"/>
          <w:b/>
          <w:bCs/>
          <w:rtl/>
        </w:rPr>
        <w:t xml:space="preserve"> </w:t>
      </w:r>
      <w:r>
        <w:rPr>
          <w:rFonts w:cs="Arial" w:hint="cs"/>
          <w:b/>
          <w:bCs/>
          <w:rtl/>
        </w:rPr>
        <w:t>נח</w:t>
      </w:r>
      <w:r w:rsidRPr="005A6BAC">
        <w:rPr>
          <w:rFonts w:cs="Arial" w:hint="cs"/>
          <w:b/>
          <w:bCs/>
          <w:rtl/>
        </w:rPr>
        <w:t xml:space="preserve"> ע"</w:t>
      </w:r>
      <w:r>
        <w:rPr>
          <w:rFonts w:cs="Arial" w:hint="cs"/>
          <w:b/>
          <w:bCs/>
          <w:rtl/>
        </w:rPr>
        <w:t>ב</w:t>
      </w:r>
      <w:r w:rsidRPr="005A6BAC">
        <w:rPr>
          <w:rFonts w:cs="Arial"/>
          <w:b/>
          <w:bCs/>
          <w:rtl/>
        </w:rPr>
        <w:t>:</w:t>
      </w:r>
      <w:r w:rsidRPr="005A6BAC">
        <w:rPr>
          <w:rFonts w:cs="Arial" w:hint="cs"/>
          <w:rtl/>
        </w:rPr>
        <w:t xml:space="preserve"> </w:t>
      </w:r>
      <w:r w:rsidR="00410ECD" w:rsidRPr="00410ECD">
        <w:rPr>
          <w:rFonts w:cs="Arial"/>
          <w:u w:val="double"/>
          <w:rtl/>
        </w:rPr>
        <w:t>מתני'</w:t>
      </w:r>
      <w:r w:rsidR="00410ECD">
        <w:rPr>
          <w:rFonts w:cs="Arial" w:hint="cs"/>
          <w:rtl/>
        </w:rPr>
        <w:t>:</w:t>
      </w:r>
      <w:r w:rsidR="00410ECD" w:rsidRPr="00410ECD">
        <w:rPr>
          <w:rFonts w:cs="Arial"/>
          <w:rtl/>
        </w:rPr>
        <w:t xml:space="preserve"> המקדיש מעשה ידי אשתו</w:t>
      </w:r>
      <w:r w:rsidR="00410ECD">
        <w:rPr>
          <w:rStyle w:val="a7"/>
          <w:rFonts w:cs="Arial"/>
          <w:rtl/>
        </w:rPr>
        <w:footnoteReference w:id="748"/>
      </w:r>
      <w:r w:rsidR="00410ECD" w:rsidRPr="00410ECD">
        <w:rPr>
          <w:rFonts w:cs="Arial"/>
          <w:rtl/>
        </w:rPr>
        <w:t xml:space="preserve"> - הרי זו עושה ואוכלת</w:t>
      </w:r>
      <w:r w:rsidR="00410ECD">
        <w:rPr>
          <w:rStyle w:val="a7"/>
          <w:rFonts w:cs="Arial"/>
          <w:rtl/>
        </w:rPr>
        <w:footnoteReference w:id="749"/>
      </w:r>
      <w:r w:rsidR="00410ECD" w:rsidRPr="00410ECD">
        <w:rPr>
          <w:rFonts w:cs="Arial"/>
          <w:rtl/>
        </w:rPr>
        <w:t>. המותר</w:t>
      </w:r>
      <w:r w:rsidR="00410ECD">
        <w:rPr>
          <w:rStyle w:val="a7"/>
          <w:rFonts w:cs="Arial"/>
          <w:rtl/>
        </w:rPr>
        <w:footnoteReference w:id="750"/>
      </w:r>
      <w:r w:rsidR="00410ECD" w:rsidRPr="00410ECD">
        <w:rPr>
          <w:rFonts w:cs="Arial"/>
          <w:rtl/>
        </w:rPr>
        <w:t xml:space="preserve"> - </w:t>
      </w:r>
      <w:r w:rsidR="00410ECD" w:rsidRPr="00410ECD">
        <w:rPr>
          <w:rFonts w:cs="Arial"/>
          <w:u w:val="single"/>
          <w:rtl/>
        </w:rPr>
        <w:t>רבי מאיר אומר</w:t>
      </w:r>
      <w:r w:rsidR="00410ECD" w:rsidRPr="00410ECD">
        <w:rPr>
          <w:rFonts w:cs="Arial"/>
          <w:rtl/>
        </w:rPr>
        <w:t xml:space="preserve">: הקדש, </w:t>
      </w:r>
      <w:r w:rsidR="00410ECD" w:rsidRPr="00410ECD">
        <w:rPr>
          <w:rFonts w:cs="Arial"/>
          <w:u w:val="single"/>
          <w:rtl/>
        </w:rPr>
        <w:t>רבי יוחנן הסנדלר אומר</w:t>
      </w:r>
      <w:r w:rsidR="00410ECD" w:rsidRPr="00410ECD">
        <w:rPr>
          <w:rFonts w:cs="Arial"/>
          <w:rtl/>
        </w:rPr>
        <w:t xml:space="preserve">: חולין. </w:t>
      </w:r>
      <w:r w:rsidR="00410ECD">
        <w:rPr>
          <w:rFonts w:cs="Arial" w:hint="cs"/>
          <w:rtl/>
        </w:rPr>
        <w:t xml:space="preserve">      </w:t>
      </w:r>
      <w:r w:rsidR="00410ECD" w:rsidRPr="00410ECD">
        <w:rPr>
          <w:rFonts w:cs="Arial" w:hint="cs"/>
          <w:u w:val="double"/>
          <w:rtl/>
        </w:rPr>
        <w:t>גמ'</w:t>
      </w:r>
      <w:r w:rsidR="00410ECD">
        <w:rPr>
          <w:rFonts w:cs="Arial" w:hint="cs"/>
          <w:sz w:val="14"/>
          <w:szCs w:val="14"/>
          <w:u w:val="double"/>
          <w:rtl/>
        </w:rPr>
        <w:t>(נט.)</w:t>
      </w:r>
      <w:r w:rsidR="00410ECD" w:rsidRPr="00410ECD">
        <w:rPr>
          <w:rFonts w:cs="Arial" w:hint="cs"/>
          <w:u w:val="double"/>
          <w:rtl/>
        </w:rPr>
        <w:t>:</w:t>
      </w:r>
      <w:r w:rsidR="00410ECD" w:rsidRPr="00410ECD">
        <w:rPr>
          <w:rtl/>
        </w:rPr>
        <w:t xml:space="preserve"> </w:t>
      </w:r>
      <w:r w:rsidR="00410ECD" w:rsidRPr="00410ECD">
        <w:rPr>
          <w:rFonts w:cs="Arial"/>
          <w:u w:val="single"/>
          <w:rtl/>
        </w:rPr>
        <w:t>אמר שמואל</w:t>
      </w:r>
      <w:r w:rsidR="00410ECD" w:rsidRPr="00410ECD">
        <w:rPr>
          <w:rFonts w:cs="Arial"/>
          <w:rtl/>
        </w:rPr>
        <w:t>: הלכה כרבי יוחנן הסנדלר</w:t>
      </w:r>
      <w:r w:rsidR="002200E5">
        <w:rPr>
          <w:rStyle w:val="a7"/>
          <w:rFonts w:cs="Arial"/>
          <w:rtl/>
        </w:rPr>
        <w:footnoteReference w:id="751"/>
      </w:r>
      <w:r w:rsidR="00410ECD" w:rsidRPr="00410ECD">
        <w:rPr>
          <w:rFonts w:cs="Arial"/>
          <w:rtl/>
        </w:rPr>
        <w:t>.</w:t>
      </w:r>
      <w:r w:rsidR="00003C37">
        <w:rPr>
          <w:rFonts w:cs="Arial" w:hint="cs"/>
          <w:rtl/>
        </w:rPr>
        <w:t xml:space="preserve"> </w:t>
      </w:r>
      <w:r w:rsidR="00465A3A" w:rsidRPr="00465A3A">
        <w:rPr>
          <w:rFonts w:cs="Arial"/>
          <w:rtl/>
        </w:rPr>
        <w:t>ומי אמר שמואל הכי? והתנן: קונם שאני עושה לפיך</w:t>
      </w:r>
      <w:r w:rsidR="00003C37">
        <w:rPr>
          <w:rStyle w:val="a7"/>
          <w:rFonts w:cs="Arial"/>
          <w:rtl/>
        </w:rPr>
        <w:footnoteReference w:id="752"/>
      </w:r>
      <w:r w:rsidR="00465A3A" w:rsidRPr="00465A3A">
        <w:rPr>
          <w:rFonts w:cs="Arial"/>
          <w:rtl/>
        </w:rPr>
        <w:t xml:space="preserve"> - אינו צריך להפר</w:t>
      </w:r>
      <w:r w:rsidR="00003C37">
        <w:rPr>
          <w:rStyle w:val="a7"/>
          <w:rFonts w:cs="Arial"/>
          <w:rtl/>
        </w:rPr>
        <w:footnoteReference w:id="753"/>
      </w:r>
      <w:r w:rsidR="00465A3A" w:rsidRPr="00465A3A">
        <w:rPr>
          <w:rFonts w:cs="Arial"/>
          <w:rtl/>
        </w:rPr>
        <w:t xml:space="preserve">, </w:t>
      </w:r>
      <w:r w:rsidR="00465A3A" w:rsidRPr="005E64C1">
        <w:rPr>
          <w:rFonts w:cs="Arial"/>
          <w:u w:val="single"/>
          <w:rtl/>
        </w:rPr>
        <w:t>רבי עקיבא אומר</w:t>
      </w:r>
      <w:r w:rsidR="00465A3A" w:rsidRPr="00465A3A">
        <w:rPr>
          <w:rFonts w:cs="Arial"/>
          <w:rtl/>
        </w:rPr>
        <w:t>: יפר, שמא תעדיף עליו</w:t>
      </w:r>
      <w:r w:rsidR="00003C37">
        <w:rPr>
          <w:rStyle w:val="a7"/>
          <w:rFonts w:cs="Arial"/>
          <w:rtl/>
        </w:rPr>
        <w:footnoteReference w:id="754"/>
      </w:r>
      <w:r w:rsidR="00465A3A" w:rsidRPr="00465A3A">
        <w:rPr>
          <w:rFonts w:cs="Arial"/>
          <w:rtl/>
        </w:rPr>
        <w:t xml:space="preserve"> יתר מן הראוי לו, </w:t>
      </w:r>
      <w:r w:rsidR="00465A3A" w:rsidRPr="005E64C1">
        <w:rPr>
          <w:rFonts w:cs="Arial"/>
          <w:u w:val="single"/>
          <w:rtl/>
        </w:rPr>
        <w:t>רבי יוחנן בן נורי אמר</w:t>
      </w:r>
      <w:r w:rsidR="00465A3A" w:rsidRPr="00465A3A">
        <w:rPr>
          <w:rFonts w:cs="Arial"/>
          <w:rtl/>
        </w:rPr>
        <w:t>:</w:t>
      </w:r>
      <w:r w:rsidR="002200E5">
        <w:rPr>
          <w:rStyle w:val="a7"/>
          <w:rFonts w:cs="Arial"/>
          <w:rtl/>
        </w:rPr>
        <w:footnoteReference w:id="755"/>
      </w:r>
      <w:r w:rsidR="00465A3A" w:rsidRPr="00465A3A">
        <w:rPr>
          <w:rFonts w:cs="Arial"/>
          <w:rtl/>
        </w:rPr>
        <w:t xml:space="preserve"> יפר, שמא יגרשנה</w:t>
      </w:r>
      <w:r w:rsidR="002200E5">
        <w:rPr>
          <w:rStyle w:val="a7"/>
          <w:rFonts w:cs="Arial"/>
          <w:rtl/>
        </w:rPr>
        <w:footnoteReference w:id="756"/>
      </w:r>
      <w:r w:rsidR="00465A3A" w:rsidRPr="00465A3A">
        <w:rPr>
          <w:rFonts w:cs="Arial"/>
          <w:rtl/>
        </w:rPr>
        <w:t xml:space="preserve"> ותהא אסורה לחזור</w:t>
      </w:r>
      <w:r w:rsidR="002200E5">
        <w:rPr>
          <w:rStyle w:val="a7"/>
          <w:rFonts w:cs="Arial"/>
          <w:rtl/>
        </w:rPr>
        <w:footnoteReference w:id="757"/>
      </w:r>
      <w:r w:rsidR="002200E5">
        <w:rPr>
          <w:rFonts w:cs="Arial" w:hint="cs"/>
          <w:rtl/>
        </w:rPr>
        <w:t>.</w:t>
      </w:r>
      <w:r w:rsidR="00465A3A" w:rsidRPr="00465A3A">
        <w:rPr>
          <w:rFonts w:cs="Arial"/>
          <w:rtl/>
        </w:rPr>
        <w:t xml:space="preserve"> </w:t>
      </w:r>
      <w:r w:rsidR="00465A3A" w:rsidRPr="002200E5">
        <w:rPr>
          <w:rFonts w:cs="Arial"/>
          <w:u w:val="single"/>
          <w:rtl/>
        </w:rPr>
        <w:t>ואמר שמואל</w:t>
      </w:r>
      <w:r w:rsidR="00465A3A" w:rsidRPr="00465A3A">
        <w:rPr>
          <w:rFonts w:cs="Arial"/>
          <w:rtl/>
        </w:rPr>
        <w:t>: הלכה כרבי יוחנן בן נורי</w:t>
      </w:r>
      <w:r w:rsidR="002200E5">
        <w:rPr>
          <w:rStyle w:val="a7"/>
          <w:rFonts w:cs="Arial"/>
          <w:rtl/>
        </w:rPr>
        <w:footnoteReference w:id="758"/>
      </w:r>
      <w:r w:rsidR="00465A3A" w:rsidRPr="00465A3A">
        <w:rPr>
          <w:rFonts w:cs="Arial"/>
          <w:rtl/>
        </w:rPr>
        <w:t>!</w:t>
      </w:r>
      <w:r w:rsidR="005E64C1">
        <w:rPr>
          <w:rFonts w:cs="Arial" w:hint="cs"/>
          <w:rtl/>
        </w:rPr>
        <w:t>...</w:t>
      </w:r>
      <w:r w:rsidR="00465A3A" w:rsidRPr="00465A3A">
        <w:rPr>
          <w:rFonts w:cs="Arial"/>
          <w:rtl/>
        </w:rPr>
        <w:t xml:space="preserve"> </w:t>
      </w:r>
      <w:r w:rsidR="00465A3A" w:rsidRPr="005E64C1">
        <w:rPr>
          <w:rFonts w:cs="Arial"/>
          <w:u w:val="single"/>
          <w:rtl/>
        </w:rPr>
        <w:t>אלא אמר רב הונא בריה דרב יהושע</w:t>
      </w:r>
      <w:r w:rsidR="00465A3A" w:rsidRPr="00465A3A">
        <w:rPr>
          <w:rFonts w:cs="Arial"/>
          <w:rtl/>
        </w:rPr>
        <w:t xml:space="preserve">: באומרת </w:t>
      </w:r>
      <w:r w:rsidR="00003C37">
        <w:rPr>
          <w:rFonts w:cs="Arial" w:hint="cs"/>
          <w:rtl/>
        </w:rPr>
        <w:t>'</w:t>
      </w:r>
      <w:r w:rsidR="00465A3A" w:rsidRPr="00465A3A">
        <w:rPr>
          <w:rFonts w:cs="Arial"/>
          <w:rtl/>
        </w:rPr>
        <w:t>יקדשו ידי לעושיהם</w:t>
      </w:r>
      <w:r w:rsidR="00003C37">
        <w:rPr>
          <w:rFonts w:cs="Arial" w:hint="cs"/>
          <w:rtl/>
        </w:rPr>
        <w:t>'</w:t>
      </w:r>
      <w:r w:rsidR="00465A3A" w:rsidRPr="00465A3A">
        <w:rPr>
          <w:rFonts w:cs="Arial"/>
          <w:rtl/>
        </w:rPr>
        <w:t xml:space="preserve">, דידים איתנהו בעולם. וכי קאמרה הכי מי מקדש? הא משעבדא ליה! דאמרה </w:t>
      </w:r>
      <w:r w:rsidR="00003C37">
        <w:rPr>
          <w:rFonts w:cs="Arial" w:hint="cs"/>
          <w:rtl/>
        </w:rPr>
        <w:t>'</w:t>
      </w:r>
      <w:r w:rsidR="00465A3A" w:rsidRPr="00465A3A">
        <w:rPr>
          <w:rFonts w:cs="Arial"/>
          <w:rtl/>
        </w:rPr>
        <w:t>לכי מיגרשה</w:t>
      </w:r>
      <w:r w:rsidR="00003C37">
        <w:rPr>
          <w:rFonts w:cs="Arial" w:hint="cs"/>
          <w:rtl/>
        </w:rPr>
        <w:t>'</w:t>
      </w:r>
      <w:r w:rsidR="00465A3A" w:rsidRPr="00465A3A">
        <w:rPr>
          <w:rFonts w:cs="Arial"/>
          <w:rtl/>
        </w:rPr>
        <w:t>. ומי איכא מידי, דאילו השתא לא קדיש ולקמיה קדיש</w:t>
      </w:r>
      <w:r w:rsidR="009046A7">
        <w:rPr>
          <w:rStyle w:val="a7"/>
          <w:rFonts w:cs="Arial"/>
          <w:rtl/>
        </w:rPr>
        <w:footnoteReference w:id="759"/>
      </w:r>
      <w:r w:rsidR="00465A3A" w:rsidRPr="00465A3A">
        <w:rPr>
          <w:rFonts w:cs="Arial"/>
          <w:rtl/>
        </w:rPr>
        <w:t>?</w:t>
      </w:r>
      <w:r w:rsidR="00003C37">
        <w:rPr>
          <w:rFonts w:cs="Arial" w:hint="cs"/>
          <w:rtl/>
        </w:rPr>
        <w:t>...</w:t>
      </w:r>
      <w:r w:rsidR="00465A3A" w:rsidRPr="00465A3A">
        <w:rPr>
          <w:rFonts w:cs="Arial"/>
          <w:rtl/>
        </w:rPr>
        <w:t xml:space="preserve"> </w:t>
      </w:r>
      <w:r w:rsidR="00465A3A">
        <w:rPr>
          <w:rFonts w:cs="Arial" w:hint="cs"/>
          <w:sz w:val="14"/>
          <w:szCs w:val="14"/>
          <w:rtl/>
        </w:rPr>
        <w:t xml:space="preserve">(נט:) </w:t>
      </w:r>
      <w:r w:rsidR="00465A3A" w:rsidRPr="00003C37">
        <w:rPr>
          <w:rFonts w:cs="Arial"/>
          <w:u w:val="single"/>
          <w:rtl/>
        </w:rPr>
        <w:t>אלא אמר רב אשי</w:t>
      </w:r>
      <w:r w:rsidR="00465A3A" w:rsidRPr="00465A3A">
        <w:rPr>
          <w:rFonts w:cs="Arial"/>
          <w:rtl/>
        </w:rPr>
        <w:t>: קונמות קא אמרת? שאני קונמות, דקדושת הגוף נינהו</w:t>
      </w:r>
      <w:r w:rsidR="009046A7">
        <w:rPr>
          <w:rStyle w:val="a7"/>
          <w:rFonts w:cs="Arial"/>
          <w:rtl/>
        </w:rPr>
        <w:footnoteReference w:id="760"/>
      </w:r>
      <w:r w:rsidR="00003C37">
        <w:rPr>
          <w:rFonts w:cs="Arial" w:hint="cs"/>
          <w:rtl/>
        </w:rPr>
        <w:t>,</w:t>
      </w:r>
      <w:r w:rsidR="00465A3A" w:rsidRPr="00465A3A">
        <w:rPr>
          <w:rFonts w:cs="Arial"/>
          <w:rtl/>
        </w:rPr>
        <w:t xml:space="preserve"> וכדרבא, דאמר רבא: הקדש</w:t>
      </w:r>
      <w:r w:rsidR="009046A7">
        <w:rPr>
          <w:rStyle w:val="a7"/>
          <w:rFonts w:cs="Arial"/>
          <w:rtl/>
        </w:rPr>
        <w:footnoteReference w:id="761"/>
      </w:r>
      <w:r w:rsidR="00465A3A" w:rsidRPr="00465A3A">
        <w:rPr>
          <w:rFonts w:cs="Arial"/>
          <w:rtl/>
        </w:rPr>
        <w:t>, חמץ</w:t>
      </w:r>
      <w:r w:rsidR="009046A7">
        <w:rPr>
          <w:rStyle w:val="a7"/>
          <w:rFonts w:cs="Arial"/>
          <w:rtl/>
        </w:rPr>
        <w:footnoteReference w:id="762"/>
      </w:r>
      <w:r w:rsidR="00465A3A" w:rsidRPr="00465A3A">
        <w:rPr>
          <w:rFonts w:cs="Arial"/>
          <w:rtl/>
        </w:rPr>
        <w:t>, ושחרור</w:t>
      </w:r>
      <w:r w:rsidR="009046A7">
        <w:rPr>
          <w:rStyle w:val="a7"/>
          <w:rFonts w:cs="Arial"/>
          <w:rtl/>
        </w:rPr>
        <w:footnoteReference w:id="763"/>
      </w:r>
      <w:r w:rsidR="00465A3A" w:rsidRPr="00465A3A">
        <w:rPr>
          <w:rFonts w:cs="Arial"/>
          <w:rtl/>
        </w:rPr>
        <w:t xml:space="preserve"> - מפקיעין מידי שיעבוד. ונקדשו מהשתא</w:t>
      </w:r>
      <w:r w:rsidR="00ED6178">
        <w:rPr>
          <w:rStyle w:val="a7"/>
          <w:rFonts w:cs="Arial"/>
          <w:rtl/>
        </w:rPr>
        <w:footnoteReference w:id="764"/>
      </w:r>
      <w:r w:rsidR="00465A3A" w:rsidRPr="00465A3A">
        <w:rPr>
          <w:rFonts w:cs="Arial"/>
          <w:rtl/>
        </w:rPr>
        <w:t>! אלמוה רבנן לשיעבודיה דבעל</w:t>
      </w:r>
      <w:r w:rsidR="00797EDF">
        <w:rPr>
          <w:rStyle w:val="a7"/>
          <w:rFonts w:cs="Arial"/>
          <w:rtl/>
        </w:rPr>
        <w:footnoteReference w:id="765"/>
      </w:r>
      <w:r w:rsidR="00465A3A" w:rsidRPr="00465A3A">
        <w:rPr>
          <w:rFonts w:cs="Arial"/>
          <w:rtl/>
        </w:rPr>
        <w:t>, כי היכי דלא תיקדש מהשתא.</w:t>
      </w:r>
      <w:r w:rsidR="00B452AA">
        <w:rPr>
          <w:rFonts w:cs="Arial" w:hint="cs"/>
          <w:rtl/>
        </w:rPr>
        <w:t xml:space="preserve"> </w:t>
      </w:r>
    </w:p>
    <w:p w14:paraId="510C5E8C" w14:textId="252080B9" w:rsidR="00702703" w:rsidRPr="00702703" w:rsidRDefault="00702703" w:rsidP="00702703">
      <w:pPr>
        <w:rPr>
          <w:u w:val="single"/>
          <w:rtl/>
        </w:rPr>
      </w:pPr>
      <w:r w:rsidRPr="00702703">
        <w:rPr>
          <w:rFonts w:cs="Arial"/>
          <w:u w:val="single"/>
          <w:rtl/>
        </w:rPr>
        <w:t>המקדיש מעשה ידי אשתו</w:t>
      </w:r>
      <w:r w:rsidRPr="00702703">
        <w:rPr>
          <w:rFonts w:hint="cs"/>
          <w:u w:val="single"/>
          <w:rtl/>
        </w:rPr>
        <w:t>:</w:t>
      </w:r>
    </w:p>
    <w:p w14:paraId="6293FAB2" w14:textId="4C9CD275" w:rsidR="00702703" w:rsidRDefault="00702703" w:rsidP="009000E3">
      <w:pPr>
        <w:pStyle w:val="ab"/>
        <w:numPr>
          <w:ilvl w:val="0"/>
          <w:numId w:val="35"/>
        </w:numPr>
        <w:rPr>
          <w:rFonts w:cs="Arial"/>
        </w:rPr>
      </w:pPr>
      <w:r w:rsidRPr="004A7B98">
        <w:rPr>
          <w:rFonts w:cs="Arial" w:hint="cs"/>
          <w:rtl/>
        </w:rPr>
        <w:t xml:space="preserve">טור- </w:t>
      </w:r>
      <w:r w:rsidRPr="004A7B98">
        <w:rPr>
          <w:rFonts w:cs="Arial"/>
          <w:rtl/>
        </w:rPr>
        <w:t>המקדיש מעשה ידי אשתו אין ההקדש חל</w:t>
      </w:r>
      <w:r>
        <w:rPr>
          <w:rFonts w:cs="Arial" w:hint="cs"/>
          <w:rtl/>
        </w:rPr>
        <w:t>.</w:t>
      </w:r>
      <w:r w:rsidRPr="004A7B98">
        <w:rPr>
          <w:rFonts w:cs="Arial"/>
          <w:rtl/>
        </w:rPr>
        <w:t xml:space="preserve"> לא מיבעיא על עיקר מעשה ידיה שאינו חל שהרי אינו ברשותו</w:t>
      </w:r>
      <w:r>
        <w:rPr>
          <w:rFonts w:cs="Arial" w:hint="cs"/>
          <w:rtl/>
        </w:rPr>
        <w:t>,</w:t>
      </w:r>
      <w:r w:rsidRPr="004A7B98">
        <w:rPr>
          <w:rFonts w:cs="Arial"/>
          <w:rtl/>
        </w:rPr>
        <w:t xml:space="preserve"> שאם תרצה לא תעשה ולא תיזון</w:t>
      </w:r>
      <w:r>
        <w:rPr>
          <w:rFonts w:cs="Arial" w:hint="cs"/>
          <w:rtl/>
        </w:rPr>
        <w:t>,</w:t>
      </w:r>
      <w:r w:rsidRPr="004A7B98">
        <w:rPr>
          <w:rFonts w:cs="Arial"/>
          <w:rtl/>
        </w:rPr>
        <w:t xml:space="preserve"> אלא אפילו על המותר שהוא שלו על כרחה </w:t>
      </w:r>
      <w:r>
        <w:rPr>
          <w:rFonts w:cs="Arial" w:hint="cs"/>
          <w:rtl/>
        </w:rPr>
        <w:t>כ</w:t>
      </w:r>
      <w:r w:rsidRPr="004A7B98">
        <w:rPr>
          <w:rFonts w:cs="Arial"/>
          <w:rtl/>
        </w:rPr>
        <w:t>דפי</w:t>
      </w:r>
      <w:r>
        <w:rPr>
          <w:rFonts w:cs="Arial" w:hint="cs"/>
          <w:rtl/>
        </w:rPr>
        <w:t>רשתי</w:t>
      </w:r>
      <w:r w:rsidRPr="004A7B98">
        <w:rPr>
          <w:rFonts w:cs="Arial"/>
          <w:rtl/>
        </w:rPr>
        <w:t xml:space="preserve"> אינו חל</w:t>
      </w:r>
      <w:r>
        <w:rPr>
          <w:rFonts w:cs="Arial" w:hint="cs"/>
          <w:rtl/>
        </w:rPr>
        <w:t>,</w:t>
      </w:r>
      <w:r w:rsidRPr="004A7B98">
        <w:rPr>
          <w:rFonts w:cs="Arial"/>
          <w:rtl/>
        </w:rPr>
        <w:t xml:space="preserve"> שאין אדם מקדיש דבר שלא בא לעולם</w:t>
      </w:r>
      <w:r>
        <w:rPr>
          <w:rFonts w:cs="Arial" w:hint="cs"/>
          <w:rtl/>
        </w:rPr>
        <w:t>.</w:t>
      </w:r>
      <w:r w:rsidRPr="004A7B98">
        <w:rPr>
          <w:rFonts w:cs="Arial"/>
          <w:rtl/>
        </w:rPr>
        <w:t xml:space="preserve"> </w:t>
      </w:r>
      <w:r w:rsidRPr="00702703">
        <w:rPr>
          <w:rFonts w:cs="Arial" w:hint="cs"/>
          <w:color w:val="E36C0A" w:themeColor="accent6" w:themeShade="BF"/>
          <w:rtl/>
        </w:rPr>
        <w:t>(וכ"פ בשו"ע</w:t>
      </w:r>
      <w:r>
        <w:rPr>
          <w:rFonts w:cs="Arial" w:hint="cs"/>
          <w:color w:val="E36C0A" w:themeColor="accent6" w:themeShade="BF"/>
          <w:rtl/>
        </w:rPr>
        <w:t>)</w:t>
      </w:r>
    </w:p>
    <w:p w14:paraId="2D04E764" w14:textId="3A81461C" w:rsidR="00C53332" w:rsidRPr="00C53332" w:rsidRDefault="00C53332" w:rsidP="00C53332">
      <w:pPr>
        <w:ind w:left="360"/>
        <w:rPr>
          <w:rFonts w:cs="Arial"/>
          <w:u w:val="dotted"/>
        </w:rPr>
      </w:pPr>
      <w:r w:rsidRPr="00C53332">
        <w:rPr>
          <w:rFonts w:cs="Arial" w:hint="cs"/>
          <w:u w:val="dotted"/>
          <w:rtl/>
        </w:rPr>
        <w:t>ומה הדין אם אמר לה 'יקדשו ידיך לעושיהן':</w:t>
      </w:r>
    </w:p>
    <w:p w14:paraId="3742A1DB" w14:textId="420D0729" w:rsidR="00C53332" w:rsidRDefault="00C53332" w:rsidP="009000E3">
      <w:pPr>
        <w:pStyle w:val="ab"/>
        <w:numPr>
          <w:ilvl w:val="0"/>
          <w:numId w:val="35"/>
        </w:numPr>
        <w:rPr>
          <w:rFonts w:cs="Arial"/>
        </w:rPr>
      </w:pPr>
      <w:r>
        <w:rPr>
          <w:rFonts w:cs="Arial" w:hint="cs"/>
          <w:rtl/>
        </w:rPr>
        <w:t>רמב"ם</w:t>
      </w:r>
      <w:r w:rsidR="001F6116">
        <w:rPr>
          <w:rFonts w:cs="Arial" w:hint="cs"/>
          <w:sz w:val="16"/>
          <w:szCs w:val="16"/>
          <w:rtl/>
        </w:rPr>
        <w:t xml:space="preserve"> (פ"ו מערכין הכ"ו והכ"ח)</w:t>
      </w:r>
      <w:r>
        <w:rPr>
          <w:rFonts w:cs="Arial" w:hint="cs"/>
          <w:rtl/>
        </w:rPr>
        <w:t xml:space="preserve">- </w:t>
      </w:r>
      <w:r w:rsidRPr="00C53332">
        <w:rPr>
          <w:rFonts w:cs="Arial"/>
          <w:rtl/>
        </w:rPr>
        <w:t xml:space="preserve">אין אדם מקדיש דבר שלא בא לעולם, כיצד מה שתעלה מצודתי מן הים קדש, מה שתוציא שדה זו מן הפירות חרם </w:t>
      </w:r>
      <w:r w:rsidR="001F6116">
        <w:rPr>
          <w:rFonts w:cs="Arial" w:hint="cs"/>
          <w:rtl/>
        </w:rPr>
        <w:t xml:space="preserve">- </w:t>
      </w:r>
      <w:r w:rsidRPr="00C53332">
        <w:rPr>
          <w:rFonts w:cs="Arial"/>
          <w:rtl/>
        </w:rPr>
        <w:t>לא אמר כלום</w:t>
      </w:r>
      <w:r w:rsidR="001F6116">
        <w:rPr>
          <w:rFonts w:cs="Arial" w:hint="cs"/>
          <w:rtl/>
        </w:rPr>
        <w:t>..</w:t>
      </w:r>
      <w:r w:rsidRPr="00C53332">
        <w:rPr>
          <w:rFonts w:cs="Arial"/>
          <w:rtl/>
        </w:rPr>
        <w:t>.</w:t>
      </w:r>
      <w:r w:rsidRPr="00C53332">
        <w:rPr>
          <w:rtl/>
        </w:rPr>
        <w:t xml:space="preserve"> </w:t>
      </w:r>
      <w:r w:rsidRPr="00C53332">
        <w:rPr>
          <w:rFonts w:cs="Arial"/>
          <w:rtl/>
        </w:rPr>
        <w:t xml:space="preserve">וכן המקדיש מעשה ידי אשתו </w:t>
      </w:r>
      <w:r w:rsidR="001F6116">
        <w:rPr>
          <w:rFonts w:cs="Arial" w:hint="cs"/>
          <w:rtl/>
        </w:rPr>
        <w:t xml:space="preserve">- </w:t>
      </w:r>
      <w:r w:rsidRPr="00C53332">
        <w:rPr>
          <w:rFonts w:cs="Arial"/>
          <w:rtl/>
        </w:rPr>
        <w:t>הרי זו עושה ואוכלת והמותר חולין</w:t>
      </w:r>
      <w:r w:rsidR="001F6116">
        <w:rPr>
          <w:rFonts w:cs="Arial" w:hint="cs"/>
          <w:rtl/>
        </w:rPr>
        <w:t>.</w:t>
      </w:r>
      <w:r w:rsidRPr="00C53332">
        <w:rPr>
          <w:rFonts w:cs="Arial"/>
          <w:rtl/>
        </w:rPr>
        <w:t xml:space="preserve"> אמר לה </w:t>
      </w:r>
      <w:r w:rsidR="001F6116">
        <w:rPr>
          <w:rFonts w:cs="Arial" w:hint="cs"/>
          <w:rtl/>
        </w:rPr>
        <w:t>'</w:t>
      </w:r>
      <w:r w:rsidRPr="00C53332">
        <w:rPr>
          <w:rFonts w:cs="Arial"/>
          <w:rtl/>
        </w:rPr>
        <w:t>יקדשו ידיך לעושיהן</w:t>
      </w:r>
      <w:r w:rsidR="001F6116">
        <w:rPr>
          <w:rFonts w:cs="Arial" w:hint="cs"/>
          <w:rtl/>
        </w:rPr>
        <w:t>',</w:t>
      </w:r>
      <w:r w:rsidRPr="00C53332">
        <w:rPr>
          <w:rFonts w:cs="Arial"/>
          <w:rtl/>
        </w:rPr>
        <w:t xml:space="preserve"> הואיל והן משועבדין לו </w:t>
      </w:r>
      <w:r w:rsidR="001F6116">
        <w:rPr>
          <w:rFonts w:cs="Arial" w:hint="cs"/>
          <w:rtl/>
        </w:rPr>
        <w:t xml:space="preserve">- </w:t>
      </w:r>
      <w:r w:rsidRPr="00C53332">
        <w:rPr>
          <w:rFonts w:cs="Arial"/>
          <w:rtl/>
        </w:rPr>
        <w:t>הרי כל מעשה ידיה קדש</w:t>
      </w:r>
      <w:r w:rsidR="001F6116">
        <w:rPr>
          <w:rFonts w:cs="Arial" w:hint="cs"/>
          <w:rtl/>
        </w:rPr>
        <w:t>.</w:t>
      </w:r>
      <w:r w:rsidRPr="00C53332">
        <w:rPr>
          <w:rFonts w:cs="Arial"/>
          <w:rtl/>
        </w:rPr>
        <w:t xml:space="preserve"> הא למה זה דומה לאומר </w:t>
      </w:r>
      <w:r w:rsidR="001F6116">
        <w:rPr>
          <w:rFonts w:cs="Arial" w:hint="cs"/>
          <w:rtl/>
        </w:rPr>
        <w:t>'</w:t>
      </w:r>
      <w:r w:rsidRPr="00C53332">
        <w:rPr>
          <w:rFonts w:cs="Arial"/>
          <w:rtl/>
        </w:rPr>
        <w:t>אילן זה קדש</w:t>
      </w:r>
      <w:r w:rsidR="001F6116">
        <w:rPr>
          <w:rFonts w:cs="Arial" w:hint="cs"/>
          <w:rtl/>
        </w:rPr>
        <w:t>'</w:t>
      </w:r>
      <w:r w:rsidRPr="00C53332">
        <w:rPr>
          <w:rFonts w:cs="Arial"/>
          <w:rtl/>
        </w:rPr>
        <w:t xml:space="preserve"> שכל פירות שיעשה להבא קדש, וכן כל כיוצא בזה.</w:t>
      </w:r>
      <w:r w:rsidR="007F6DB4" w:rsidRPr="007F6DB4">
        <w:rPr>
          <w:rFonts w:cs="Arial" w:hint="cs"/>
          <w:color w:val="E36C0A" w:themeColor="accent6" w:themeShade="BF"/>
          <w:rtl/>
        </w:rPr>
        <w:t xml:space="preserve"> </w:t>
      </w:r>
      <w:r w:rsidR="007F6DB4" w:rsidRPr="00702703">
        <w:rPr>
          <w:rFonts w:cs="Arial" w:hint="cs"/>
          <w:color w:val="E36C0A" w:themeColor="accent6" w:themeShade="BF"/>
          <w:rtl/>
        </w:rPr>
        <w:t>(וכ"פ בשו"ע</w:t>
      </w:r>
      <w:r w:rsidR="007F6DB4">
        <w:rPr>
          <w:rFonts w:cs="Arial" w:hint="cs"/>
          <w:color w:val="E36C0A" w:themeColor="accent6" w:themeShade="BF"/>
          <w:rtl/>
        </w:rPr>
        <w:t>)</w:t>
      </w:r>
    </w:p>
    <w:p w14:paraId="17EC75BC" w14:textId="5F43A856" w:rsidR="0042435E" w:rsidRPr="0042435E" w:rsidRDefault="0042435E" w:rsidP="009000E3">
      <w:pPr>
        <w:pStyle w:val="ab"/>
        <w:numPr>
          <w:ilvl w:val="0"/>
          <w:numId w:val="35"/>
        </w:numPr>
      </w:pPr>
      <w:r w:rsidRPr="0042435E">
        <w:rPr>
          <w:rFonts w:cs="Arial"/>
          <w:rtl/>
        </w:rPr>
        <w:t xml:space="preserve">ר"ן </w:t>
      </w:r>
      <w:r w:rsidRPr="0042435E">
        <w:rPr>
          <w:rFonts w:cs="Arial"/>
          <w:sz w:val="16"/>
          <w:szCs w:val="16"/>
          <w:rtl/>
        </w:rPr>
        <w:t>(כג: ד"ה גמ')</w:t>
      </w:r>
      <w:r w:rsidRPr="0042435E">
        <w:rPr>
          <w:rFonts w:cs="Arial" w:hint="cs"/>
          <w:rtl/>
        </w:rPr>
        <w:t xml:space="preserve">- </w:t>
      </w:r>
      <w:r>
        <w:rPr>
          <w:rStyle w:val="a7"/>
          <w:rFonts w:cs="Arial"/>
          <w:rtl/>
        </w:rPr>
        <w:footnoteReference w:id="766"/>
      </w:r>
      <w:r w:rsidRPr="0042435E">
        <w:rPr>
          <w:rFonts w:cs="Arial"/>
          <w:rtl/>
        </w:rPr>
        <w:t xml:space="preserve">לדידן דקיי"ל לקמן (קז:) דיכולה אשה </w:t>
      </w:r>
      <w:r w:rsidRPr="0042435E">
        <w:rPr>
          <w:rFonts w:cs="Arial" w:hint="cs"/>
          <w:rtl/>
        </w:rPr>
        <w:t>לומר איני ניזונת ואיני עושה</w:t>
      </w:r>
      <w:r w:rsidRPr="0042435E">
        <w:rPr>
          <w:rFonts w:cs="Arial"/>
          <w:rtl/>
        </w:rPr>
        <w:t xml:space="preserve"> אפילו כי אמר הכי </w:t>
      </w:r>
      <w:r w:rsidRPr="0042435E">
        <w:rPr>
          <w:rFonts w:cs="Arial" w:hint="cs"/>
          <w:sz w:val="16"/>
          <w:szCs w:val="16"/>
          <w:rtl/>
        </w:rPr>
        <w:t xml:space="preserve">{'יקדשו ידיך לעושיהן'} </w:t>
      </w:r>
      <w:r w:rsidRPr="0042435E">
        <w:rPr>
          <w:rFonts w:cs="Arial" w:hint="cs"/>
          <w:rtl/>
        </w:rPr>
        <w:t xml:space="preserve">- </w:t>
      </w:r>
      <w:r w:rsidRPr="0042435E">
        <w:rPr>
          <w:rFonts w:cs="Arial"/>
          <w:rtl/>
        </w:rPr>
        <w:t>לא מהני</w:t>
      </w:r>
      <w:r w:rsidRPr="0042435E">
        <w:rPr>
          <w:rFonts w:cs="Arial" w:hint="cs"/>
          <w:rtl/>
        </w:rPr>
        <w:t>,</w:t>
      </w:r>
      <w:r w:rsidRPr="0042435E">
        <w:rPr>
          <w:rFonts w:cs="Arial"/>
          <w:rtl/>
        </w:rPr>
        <w:t xml:space="preserve"> כיון דלאו דידיה נינהו כיון שהיא יכולה להפקיעם משעבודו</w:t>
      </w:r>
      <w:r>
        <w:rPr>
          <w:rStyle w:val="a7"/>
          <w:rFonts w:cs="Arial"/>
          <w:rtl/>
        </w:rPr>
        <w:footnoteReference w:id="767"/>
      </w:r>
      <w:r w:rsidRPr="0042435E">
        <w:rPr>
          <w:rFonts w:cs="Arial" w:hint="cs"/>
          <w:rtl/>
        </w:rPr>
        <w:t>.</w:t>
      </w:r>
      <w:r>
        <w:rPr>
          <w:rFonts w:cs="Arial" w:hint="cs"/>
          <w:rtl/>
        </w:rPr>
        <w:t xml:space="preserve"> </w:t>
      </w:r>
      <w:r w:rsidRPr="0042435E">
        <w:rPr>
          <w:rFonts w:cs="Arial" w:hint="cs"/>
          <w:color w:val="00B0F0"/>
          <w:rtl/>
        </w:rPr>
        <w:t>(וכ"פ הרמ"א)</w:t>
      </w:r>
    </w:p>
    <w:p w14:paraId="10F8127D" w14:textId="5ABBC544" w:rsidR="00702703" w:rsidRPr="001F6116" w:rsidRDefault="001F6116" w:rsidP="001F6116">
      <w:pPr>
        <w:rPr>
          <w:rFonts w:cs="Arial"/>
          <w:u w:val="single"/>
        </w:rPr>
      </w:pPr>
      <w:r w:rsidRPr="006B455F">
        <w:rPr>
          <w:rFonts w:cs="Arial" w:hint="cs"/>
          <w:u w:val="single"/>
          <w:rtl/>
        </w:rPr>
        <w:lastRenderedPageBreak/>
        <w:t>אשה ש</w:t>
      </w:r>
      <w:r w:rsidR="00702703" w:rsidRPr="006B455F">
        <w:rPr>
          <w:rFonts w:cs="Arial" w:hint="cs"/>
          <w:u w:val="single"/>
          <w:rtl/>
        </w:rPr>
        <w:t>אסרה מעשה ידיה על</w:t>
      </w:r>
      <w:r w:rsidRPr="006B455F">
        <w:rPr>
          <w:rFonts w:cs="Arial" w:hint="cs"/>
          <w:u w:val="single"/>
          <w:rtl/>
        </w:rPr>
        <w:t xml:space="preserve"> בעלה</w:t>
      </w:r>
      <w:r w:rsidR="00702703" w:rsidRPr="001F6116">
        <w:rPr>
          <w:rFonts w:cs="Arial" w:hint="cs"/>
          <w:u w:val="single"/>
          <w:rtl/>
        </w:rPr>
        <w:t>:</w:t>
      </w:r>
    </w:p>
    <w:p w14:paraId="620576B3" w14:textId="6DA29493" w:rsidR="00702703" w:rsidRDefault="00702703" w:rsidP="009000E3">
      <w:pPr>
        <w:pStyle w:val="ab"/>
        <w:numPr>
          <w:ilvl w:val="0"/>
          <w:numId w:val="35"/>
        </w:numPr>
        <w:rPr>
          <w:rFonts w:cs="Arial"/>
        </w:rPr>
      </w:pPr>
      <w:r>
        <w:rPr>
          <w:rFonts w:cs="Arial" w:hint="cs"/>
          <w:rtl/>
        </w:rPr>
        <w:t xml:space="preserve">רא"ש </w:t>
      </w:r>
      <w:r w:rsidRPr="00702703">
        <w:rPr>
          <w:rFonts w:cs="Arial" w:hint="cs"/>
          <w:sz w:val="16"/>
          <w:szCs w:val="16"/>
          <w:rtl/>
        </w:rPr>
        <w:t>(</w:t>
      </w:r>
      <w:r w:rsidRPr="00702703">
        <w:rPr>
          <w:rFonts w:cs="Arial"/>
          <w:sz w:val="16"/>
          <w:szCs w:val="16"/>
          <w:rtl/>
        </w:rPr>
        <w:t>בפסקיו שם סי' טו</w:t>
      </w:r>
      <w:r w:rsidRPr="00702703">
        <w:rPr>
          <w:rFonts w:cs="Arial" w:hint="cs"/>
          <w:sz w:val="16"/>
          <w:szCs w:val="16"/>
          <w:rtl/>
        </w:rPr>
        <w:t>,</w:t>
      </w:r>
      <w:r w:rsidRPr="00702703">
        <w:rPr>
          <w:rFonts w:cs="Arial"/>
          <w:sz w:val="16"/>
          <w:szCs w:val="16"/>
          <w:rtl/>
        </w:rPr>
        <w:t xml:space="preserve"> ופרק בתרא דנדרים</w:t>
      </w:r>
      <w:r w:rsidRPr="00702703">
        <w:rPr>
          <w:rFonts w:cs="Arial" w:hint="cs"/>
          <w:sz w:val="16"/>
          <w:szCs w:val="16"/>
          <w:rtl/>
        </w:rPr>
        <w:t>)</w:t>
      </w:r>
      <w:r w:rsidRPr="00702703">
        <w:rPr>
          <w:rFonts w:cs="Arial"/>
          <w:sz w:val="16"/>
          <w:szCs w:val="16"/>
          <w:rtl/>
        </w:rPr>
        <w:t xml:space="preserve"> </w:t>
      </w:r>
      <w:r>
        <w:rPr>
          <w:rFonts w:cs="Arial" w:hint="cs"/>
          <w:rtl/>
        </w:rPr>
        <w:t xml:space="preserve">וטור- </w:t>
      </w:r>
      <w:r w:rsidRPr="004A7B98">
        <w:rPr>
          <w:rFonts w:cs="Arial"/>
          <w:rtl/>
        </w:rPr>
        <w:t>ואם היא אסרה מעשה ידיה עליו</w:t>
      </w:r>
      <w:r>
        <w:rPr>
          <w:rFonts w:cs="Arial" w:hint="cs"/>
          <w:rtl/>
        </w:rPr>
        <w:t>,</w:t>
      </w:r>
      <w:r w:rsidRPr="004A7B98">
        <w:rPr>
          <w:rFonts w:cs="Arial"/>
          <w:rtl/>
        </w:rPr>
        <w:t xml:space="preserve"> כגון שאומרת </w:t>
      </w:r>
      <w:r>
        <w:rPr>
          <w:rFonts w:cs="Arial" w:hint="cs"/>
          <w:rtl/>
        </w:rPr>
        <w:t>'</w:t>
      </w:r>
      <w:r w:rsidRPr="004A7B98">
        <w:rPr>
          <w:rFonts w:cs="Arial"/>
          <w:rtl/>
        </w:rPr>
        <w:t>קונם מה שאני עושה לפיך</w:t>
      </w:r>
      <w:r>
        <w:rPr>
          <w:rFonts w:cs="Arial" w:hint="cs"/>
          <w:rtl/>
        </w:rPr>
        <w:t>'</w:t>
      </w:r>
      <w:r w:rsidRPr="004A7B98">
        <w:rPr>
          <w:rFonts w:cs="Arial"/>
          <w:rtl/>
        </w:rPr>
        <w:t xml:space="preserve"> וכגון שאומרת </w:t>
      </w:r>
      <w:r>
        <w:rPr>
          <w:rFonts w:cs="Arial" w:hint="cs"/>
          <w:rtl/>
        </w:rPr>
        <w:t>'</w:t>
      </w:r>
      <w:r w:rsidRPr="004A7B98">
        <w:rPr>
          <w:rFonts w:cs="Arial"/>
          <w:rtl/>
        </w:rPr>
        <w:t>יתקדשו ידי לעושיהן</w:t>
      </w:r>
      <w:r>
        <w:rPr>
          <w:rFonts w:cs="Arial" w:hint="cs"/>
          <w:rtl/>
        </w:rPr>
        <w:t>'</w:t>
      </w:r>
      <w:r>
        <w:rPr>
          <w:rStyle w:val="a7"/>
          <w:rFonts w:cs="Arial"/>
          <w:rtl/>
        </w:rPr>
        <w:footnoteReference w:id="768"/>
      </w:r>
      <w:r w:rsidRPr="004A7B98">
        <w:rPr>
          <w:rFonts w:cs="Arial"/>
          <w:rtl/>
        </w:rPr>
        <w:t xml:space="preserve"> דהשתא לא הוי דבר שאינו בעולם</w:t>
      </w:r>
      <w:r>
        <w:rPr>
          <w:rFonts w:cs="Arial" w:hint="cs"/>
          <w:rtl/>
        </w:rPr>
        <w:t>,</w:t>
      </w:r>
      <w:r w:rsidRPr="004A7B98">
        <w:rPr>
          <w:rFonts w:cs="Arial"/>
          <w:rtl/>
        </w:rPr>
        <w:t xml:space="preserve"> שידיה ישנן בעולם </w:t>
      </w:r>
      <w:r>
        <w:rPr>
          <w:rFonts w:cs="Arial" w:hint="cs"/>
          <w:rtl/>
        </w:rPr>
        <w:t xml:space="preserve">- </w:t>
      </w:r>
      <w:r w:rsidRPr="004A7B98">
        <w:rPr>
          <w:rFonts w:cs="Arial"/>
          <w:rtl/>
        </w:rPr>
        <w:t>יפר</w:t>
      </w:r>
      <w:r>
        <w:rPr>
          <w:rFonts w:cs="Arial" w:hint="cs"/>
          <w:rtl/>
        </w:rPr>
        <w:t>,</w:t>
      </w:r>
      <w:r w:rsidRPr="004A7B98">
        <w:rPr>
          <w:rFonts w:cs="Arial"/>
          <w:rtl/>
        </w:rPr>
        <w:t xml:space="preserve"> שהוא מדברים שבינו לבינה אף על פי שאין הנדר חל לאוסרם עליו שהרי הם שלו ואפילו המותר</w:t>
      </w:r>
      <w:r>
        <w:rPr>
          <w:rFonts w:cs="Arial" w:hint="cs"/>
          <w:rtl/>
        </w:rPr>
        <w:t>,</w:t>
      </w:r>
      <w:r w:rsidRPr="004A7B98">
        <w:rPr>
          <w:rFonts w:cs="Arial"/>
          <w:rtl/>
        </w:rPr>
        <w:t xml:space="preserve"> מ"מ כיון שאם יגרשנה יחול הנדר ותיאסר עליו חשיב דברים שבינו לבינה</w:t>
      </w:r>
      <w:r>
        <w:rPr>
          <w:rFonts w:cs="Arial" w:hint="cs"/>
          <w:rtl/>
        </w:rPr>
        <w:t>.</w:t>
      </w:r>
      <w:r w:rsidRPr="004A7B98">
        <w:rPr>
          <w:rFonts w:cs="Arial"/>
          <w:rtl/>
        </w:rPr>
        <w:t xml:space="preserve"> </w:t>
      </w:r>
    </w:p>
    <w:p w14:paraId="091404E6" w14:textId="3626A019" w:rsidR="00DB730B" w:rsidRDefault="00702703" w:rsidP="009000E3">
      <w:pPr>
        <w:pStyle w:val="ab"/>
        <w:numPr>
          <w:ilvl w:val="0"/>
          <w:numId w:val="35"/>
        </w:numPr>
        <w:rPr>
          <w:rFonts w:cs="Arial"/>
        </w:rPr>
      </w:pPr>
      <w:r>
        <w:rPr>
          <w:rFonts w:cs="Arial" w:hint="cs"/>
          <w:rtl/>
        </w:rPr>
        <w:t xml:space="preserve">רמב"ם </w:t>
      </w:r>
      <w:r>
        <w:rPr>
          <w:rFonts w:cs="Arial" w:hint="cs"/>
          <w:sz w:val="16"/>
          <w:szCs w:val="16"/>
          <w:rtl/>
        </w:rPr>
        <w:t>(פי"ב מנדרים ה"י)</w:t>
      </w:r>
      <w:r>
        <w:rPr>
          <w:rFonts w:cs="Arial" w:hint="cs"/>
          <w:rtl/>
        </w:rPr>
        <w:t xml:space="preserve">- </w:t>
      </w:r>
      <w:r w:rsidRPr="00E42E2E">
        <w:rPr>
          <w:rFonts w:cs="Arial"/>
          <w:rtl/>
        </w:rPr>
        <w:t xml:space="preserve">אמרה יקדשו ידי לעושיהן או שנדרה שלא יהנה במעשה ידיה </w:t>
      </w:r>
      <w:r w:rsidR="007F6DB4">
        <w:rPr>
          <w:rFonts w:cs="Arial" w:hint="cs"/>
          <w:rtl/>
        </w:rPr>
        <w:t xml:space="preserve">- </w:t>
      </w:r>
      <w:r w:rsidRPr="00E42E2E">
        <w:rPr>
          <w:rFonts w:cs="Arial"/>
          <w:rtl/>
        </w:rPr>
        <w:t>אינו נאסר במעשה ידיה</w:t>
      </w:r>
      <w:r w:rsidR="007F6DB4">
        <w:rPr>
          <w:rFonts w:cs="Arial" w:hint="cs"/>
          <w:rtl/>
        </w:rPr>
        <w:t>,</w:t>
      </w:r>
      <w:r w:rsidRPr="00E42E2E">
        <w:rPr>
          <w:rFonts w:cs="Arial"/>
          <w:rtl/>
        </w:rPr>
        <w:t xml:space="preserve"> מפני שידיה משועבדין לו</w:t>
      </w:r>
      <w:r w:rsidR="007F6DB4">
        <w:rPr>
          <w:rFonts w:cs="Arial" w:hint="cs"/>
          <w:rtl/>
        </w:rPr>
        <w:t>.</w:t>
      </w:r>
      <w:r w:rsidRPr="00E42E2E">
        <w:rPr>
          <w:rFonts w:cs="Arial"/>
          <w:rtl/>
        </w:rPr>
        <w:t xml:space="preserve"> שאע"פ שאמרו השחרור והחמץ וההקדש מפקיעין השעבוד</w:t>
      </w:r>
      <w:r w:rsidR="007F6DB4">
        <w:rPr>
          <w:rFonts w:cs="Arial" w:hint="cs"/>
          <w:rtl/>
        </w:rPr>
        <w:t>,</w:t>
      </w:r>
      <w:r w:rsidRPr="00E42E2E">
        <w:rPr>
          <w:rFonts w:cs="Arial"/>
          <w:rtl/>
        </w:rPr>
        <w:t xml:space="preserve"> חכמים עשו חזוק לשעבוד הבעל שאינה יכולה להפקיעו מפני שהוא מדבריהם, אבל צריך הוא להפר שמא יגרשנה ותהיה אסורה לחזור לו</w:t>
      </w:r>
      <w:r>
        <w:rPr>
          <w:rStyle w:val="a7"/>
          <w:rFonts w:cs="Arial"/>
          <w:rtl/>
        </w:rPr>
        <w:footnoteReference w:id="769"/>
      </w:r>
      <w:r w:rsidRPr="00E42E2E">
        <w:rPr>
          <w:rFonts w:cs="Arial"/>
          <w:rtl/>
        </w:rPr>
        <w:t>.</w:t>
      </w:r>
      <w:r>
        <w:rPr>
          <w:rFonts w:cs="Arial" w:hint="cs"/>
          <w:rtl/>
        </w:rPr>
        <w:t xml:space="preserve"> </w:t>
      </w:r>
      <w:r w:rsidRPr="00702703">
        <w:rPr>
          <w:rFonts w:cs="Arial" w:hint="cs"/>
          <w:color w:val="E36C0A" w:themeColor="accent6" w:themeShade="BF"/>
          <w:rtl/>
        </w:rPr>
        <w:t>(וכ"פ בשו"ע</w:t>
      </w:r>
      <w:r w:rsidRPr="00702703">
        <w:rPr>
          <w:rFonts w:cs="Arial" w:hint="cs"/>
          <w:color w:val="E36C0A" w:themeColor="accent6" w:themeShade="BF"/>
          <w:sz w:val="16"/>
          <w:szCs w:val="16"/>
          <w:rtl/>
        </w:rPr>
        <w:t xml:space="preserve"> </w:t>
      </w:r>
      <w:r>
        <w:rPr>
          <w:rFonts w:cs="Arial" w:hint="cs"/>
          <w:sz w:val="16"/>
          <w:szCs w:val="16"/>
          <w:rtl/>
        </w:rPr>
        <w:t>[בסע' הבא]</w:t>
      </w:r>
      <w:r w:rsidRPr="00702703">
        <w:rPr>
          <w:rFonts w:cs="Arial" w:hint="cs"/>
          <w:color w:val="E36C0A" w:themeColor="accent6" w:themeShade="BF"/>
          <w:rtl/>
        </w:rPr>
        <w:t>)</w:t>
      </w:r>
    </w:p>
    <w:p w14:paraId="1794C368" w14:textId="2D957071" w:rsidR="007F6DB4" w:rsidRPr="00EC687D" w:rsidRDefault="007F6DB4" w:rsidP="007F6DB4">
      <w:pPr>
        <w:rPr>
          <w:rFonts w:cs="Arial"/>
          <w:sz w:val="16"/>
          <w:szCs w:val="16"/>
          <w:rtl/>
        </w:rPr>
      </w:pPr>
      <w:r w:rsidRPr="00AB0AB9">
        <w:rPr>
          <w:rFonts w:cs="Arial" w:hint="cs"/>
          <w:b/>
          <w:bCs/>
          <w:rtl/>
        </w:rPr>
        <w:t>כתובות</w:t>
      </w:r>
      <w:r>
        <w:rPr>
          <w:rFonts w:cs="Arial" w:hint="cs"/>
          <w:b/>
          <w:bCs/>
          <w:rtl/>
        </w:rPr>
        <w:t xml:space="preserve"> </w:t>
      </w:r>
      <w:r>
        <w:rPr>
          <w:rFonts w:cs="Arial" w:hint="cs"/>
          <w:b/>
          <w:bCs/>
          <w:sz w:val="16"/>
          <w:szCs w:val="16"/>
          <w:rtl/>
        </w:rPr>
        <w:t>(פ' אף על פי)</w:t>
      </w:r>
      <w:r w:rsidRPr="00AB0AB9">
        <w:rPr>
          <w:rFonts w:cs="Arial" w:hint="cs"/>
          <w:b/>
          <w:bCs/>
          <w:rtl/>
        </w:rPr>
        <w:t xml:space="preserve"> </w:t>
      </w:r>
      <w:r>
        <w:rPr>
          <w:rFonts w:cs="Arial" w:hint="cs"/>
          <w:b/>
          <w:bCs/>
          <w:rtl/>
        </w:rPr>
        <w:t>נט</w:t>
      </w:r>
      <w:r w:rsidRPr="00AB0AB9">
        <w:rPr>
          <w:rFonts w:cs="Arial" w:hint="cs"/>
          <w:b/>
          <w:bCs/>
          <w:rtl/>
        </w:rPr>
        <w:t xml:space="preserve"> ע"ב: </w:t>
      </w:r>
      <w:r w:rsidRPr="00390A65">
        <w:rPr>
          <w:rFonts w:cs="Arial"/>
          <w:u w:val="double"/>
          <w:rtl/>
        </w:rPr>
        <w:t>מתני'</w:t>
      </w:r>
      <w:r>
        <w:rPr>
          <w:rFonts w:cs="Arial" w:hint="cs"/>
          <w:rtl/>
        </w:rPr>
        <w:t>:</w:t>
      </w:r>
      <w:r>
        <w:rPr>
          <w:rFonts w:cs="Arial"/>
          <w:rtl/>
        </w:rPr>
        <w:t xml:space="preserve"> ואלו מלאכות שהאשה עושה לבעלה</w:t>
      </w:r>
      <w:r>
        <w:rPr>
          <w:rFonts w:cs="Arial" w:hint="cs"/>
          <w:rtl/>
        </w:rPr>
        <w:t>...</w:t>
      </w:r>
      <w:r w:rsidRPr="00B35BDB">
        <w:rPr>
          <w:rFonts w:cs="Arial"/>
          <w:rtl/>
        </w:rPr>
        <w:t xml:space="preserve"> </w:t>
      </w:r>
      <w:r w:rsidRPr="00B35BDB">
        <w:rPr>
          <w:rFonts w:cs="Arial"/>
          <w:u w:val="single"/>
          <w:rtl/>
        </w:rPr>
        <w:t>רבי אליעזר אומר</w:t>
      </w:r>
      <w:r w:rsidRPr="00B35BDB">
        <w:rPr>
          <w:rFonts w:cs="Arial"/>
          <w:rtl/>
        </w:rPr>
        <w:t xml:space="preserve">: אפי' הכניסה לו מאה שפחות - כופה לעשות בצמר, שהבטלה מביאה לידי זימה. </w:t>
      </w:r>
      <w:r w:rsidRPr="00986CA6">
        <w:rPr>
          <w:rFonts w:cs="Arial"/>
          <w:u w:val="single"/>
          <w:rtl/>
        </w:rPr>
        <w:t>רשב"ג אומר</w:t>
      </w:r>
      <w:r w:rsidRPr="00B35BDB">
        <w:rPr>
          <w:rFonts w:cs="Arial"/>
          <w:rtl/>
        </w:rPr>
        <w:t>: אף המדיר את אשתו מלעשות מלאכה - יוציא ויתן כתובה, שהבטלה מביאה לידי שיעמום</w:t>
      </w:r>
      <w:r>
        <w:rPr>
          <w:rFonts w:cs="Arial"/>
          <w:rtl/>
        </w:rPr>
        <w:t xml:space="preserve">. </w:t>
      </w:r>
      <w:r>
        <w:rPr>
          <w:rFonts w:hint="cs"/>
          <w:rtl/>
        </w:rPr>
        <w:t xml:space="preserve">      </w:t>
      </w:r>
      <w:r w:rsidRPr="00390A65">
        <w:rPr>
          <w:rFonts w:cs="Arial"/>
          <w:u w:val="double"/>
          <w:rtl/>
        </w:rPr>
        <w:t>גמ'</w:t>
      </w:r>
      <w:r>
        <w:rPr>
          <w:rFonts w:cs="Arial" w:hint="cs"/>
          <w:sz w:val="14"/>
          <w:szCs w:val="14"/>
          <w:u w:val="double"/>
          <w:rtl/>
        </w:rPr>
        <w:t>(סא:)</w:t>
      </w:r>
      <w:r>
        <w:rPr>
          <w:rFonts w:cs="Arial" w:hint="cs"/>
          <w:u w:val="double"/>
          <w:rtl/>
        </w:rPr>
        <w:t>:</w:t>
      </w:r>
      <w:r>
        <w:rPr>
          <w:rFonts w:cs="Arial"/>
          <w:rtl/>
        </w:rPr>
        <w:t xml:space="preserve"> </w:t>
      </w:r>
      <w:r w:rsidRPr="00D04A54">
        <w:rPr>
          <w:rFonts w:cs="Arial"/>
          <w:rtl/>
        </w:rPr>
        <w:t>רשב"ג אומר וכו'. היינו תנא קמא</w:t>
      </w:r>
      <w:r>
        <w:rPr>
          <w:rStyle w:val="a7"/>
          <w:rFonts w:cs="Arial"/>
          <w:rtl/>
        </w:rPr>
        <w:footnoteReference w:id="770"/>
      </w:r>
      <w:r w:rsidRPr="00D04A54">
        <w:rPr>
          <w:rFonts w:cs="Arial"/>
          <w:rtl/>
        </w:rPr>
        <w:t>! איכא בינייהו, דמיטללא בגורייתא קיטנייתא ונדרשיר</w:t>
      </w:r>
      <w:r>
        <w:rPr>
          <w:rStyle w:val="a7"/>
          <w:rFonts w:cs="Arial"/>
          <w:rtl/>
        </w:rPr>
        <w:footnoteReference w:id="771"/>
      </w:r>
      <w:r w:rsidRPr="00D04A54">
        <w:rPr>
          <w:rFonts w:cs="Arial"/>
          <w:rtl/>
        </w:rPr>
        <w:t>.</w:t>
      </w:r>
      <w:r w:rsidRPr="00E73332">
        <w:rPr>
          <w:rtl/>
        </w:rPr>
        <w:t xml:space="preserve"> </w:t>
      </w:r>
      <w:r w:rsidRPr="00E73332">
        <w:rPr>
          <w:rFonts w:cs="Arial" w:hint="cs"/>
          <w:sz w:val="16"/>
          <w:szCs w:val="16"/>
          <w:rtl/>
        </w:rPr>
        <w:t>(</w:t>
      </w:r>
      <w:r w:rsidRPr="00E73332">
        <w:rPr>
          <w:rFonts w:cs="Arial"/>
          <w:sz w:val="16"/>
          <w:szCs w:val="16"/>
          <w:rtl/>
        </w:rPr>
        <w:t>למאן דאמר שהבטלה מביאה לידי זימה הא נמי מביאה לידי זימה ולמאן דאמר מביאה לידי שעמום הא אין מביאה לידי שעמום וכבר אפסיקא הלכתא כרבי אליעזר דחייש לזימה</w:t>
      </w:r>
      <w:r>
        <w:rPr>
          <w:rFonts w:cs="Arial" w:hint="cs"/>
          <w:sz w:val="16"/>
          <w:szCs w:val="16"/>
          <w:rtl/>
        </w:rPr>
        <w:t xml:space="preserve">, רי"ף (כה:). </w:t>
      </w:r>
      <w:r w:rsidRPr="00E73332">
        <w:rPr>
          <w:rFonts w:cs="Arial"/>
          <w:sz w:val="16"/>
          <w:szCs w:val="16"/>
          <w:rtl/>
        </w:rPr>
        <w:t>הילכך מדיר את אשתו ממלאכה אף על פי שהיא רשאה לטייל בגורייתא ונרדשיר יוציא ויתן כתובה</w:t>
      </w:r>
      <w:r>
        <w:rPr>
          <w:rFonts w:cs="Arial" w:hint="cs"/>
          <w:sz w:val="16"/>
          <w:szCs w:val="16"/>
          <w:rtl/>
        </w:rPr>
        <w:t>, ר"ן (כה: ד"ה וכבר). וכ"פ הרמב"ם (פכ"א ה"ג</w:t>
      </w:r>
      <w:r w:rsidR="00994836">
        <w:rPr>
          <w:rFonts w:cs="Arial" w:hint="cs"/>
          <w:sz w:val="16"/>
          <w:szCs w:val="16"/>
          <w:rtl/>
        </w:rPr>
        <w:t>, כן הסביר הב"י דבריו</w:t>
      </w:r>
      <w:r>
        <w:rPr>
          <w:rFonts w:cs="Arial" w:hint="cs"/>
          <w:sz w:val="16"/>
          <w:szCs w:val="16"/>
          <w:rtl/>
        </w:rPr>
        <w:t>). אך הרא"ש (פ"ה ס"ס כז) כתב על דברי הרי"ף ד</w:t>
      </w:r>
      <w:r w:rsidRPr="00804695">
        <w:rPr>
          <w:rFonts w:cs="Arial"/>
          <w:sz w:val="16"/>
          <w:szCs w:val="16"/>
          <w:rtl/>
        </w:rPr>
        <w:t>אינה ראיה כל כך</w:t>
      </w:r>
      <w:r>
        <w:rPr>
          <w:rFonts w:cs="Arial" w:hint="cs"/>
          <w:sz w:val="16"/>
          <w:szCs w:val="16"/>
          <w:rtl/>
        </w:rPr>
        <w:t xml:space="preserve"> הא ד</w:t>
      </w:r>
      <w:r w:rsidRPr="00EC687D">
        <w:rPr>
          <w:rFonts w:cs="Arial"/>
          <w:sz w:val="16"/>
          <w:szCs w:val="16"/>
          <w:rtl/>
        </w:rPr>
        <w:t>כבר איפסיק הלכתא כר' אליעזר</w:t>
      </w:r>
      <w:r>
        <w:rPr>
          <w:rFonts w:cs="Arial" w:hint="cs"/>
          <w:sz w:val="16"/>
          <w:szCs w:val="16"/>
          <w:rtl/>
        </w:rPr>
        <w:t>.</w:t>
      </w:r>
      <w:r w:rsidRPr="00804695">
        <w:rPr>
          <w:rFonts w:cs="Arial"/>
          <w:sz w:val="16"/>
          <w:szCs w:val="16"/>
          <w:rtl/>
        </w:rPr>
        <w:t xml:space="preserve"> דפסיק הלכתא כרבי אליעזר במאי דפליג אתנא קמא</w:t>
      </w:r>
      <w:r>
        <w:rPr>
          <w:rFonts w:cs="Arial" w:hint="cs"/>
          <w:sz w:val="16"/>
          <w:szCs w:val="16"/>
          <w:rtl/>
        </w:rPr>
        <w:t>,</w:t>
      </w:r>
      <w:r w:rsidRPr="00804695">
        <w:rPr>
          <w:rFonts w:cs="Arial"/>
          <w:sz w:val="16"/>
          <w:szCs w:val="16"/>
          <w:rtl/>
        </w:rPr>
        <w:t xml:space="preserve"> אבל במאי דפליג ארשב"ג כ</w:t>
      </w:r>
      <w:r w:rsidR="001E0C14">
        <w:rPr>
          <w:rFonts w:cs="Arial" w:hint="cs"/>
          <w:sz w:val="16"/>
          <w:szCs w:val="16"/>
          <w:rtl/>
        </w:rPr>
        <w:t xml:space="preserve">ל </w:t>
      </w:r>
      <w:r w:rsidRPr="00804695">
        <w:rPr>
          <w:rFonts w:cs="Arial"/>
          <w:sz w:val="16"/>
          <w:szCs w:val="16"/>
          <w:rtl/>
        </w:rPr>
        <w:t>מ</w:t>
      </w:r>
      <w:r w:rsidR="001E0C14">
        <w:rPr>
          <w:rFonts w:cs="Arial" w:hint="cs"/>
          <w:sz w:val="16"/>
          <w:szCs w:val="16"/>
          <w:rtl/>
        </w:rPr>
        <w:t>קום</w:t>
      </w:r>
      <w:r w:rsidRPr="00804695">
        <w:rPr>
          <w:rFonts w:cs="Arial"/>
          <w:sz w:val="16"/>
          <w:szCs w:val="16"/>
          <w:rtl/>
        </w:rPr>
        <w:t xml:space="preserve"> ששנה רשב"ג הלכה כמותו</w:t>
      </w:r>
      <w:r>
        <w:rPr>
          <w:rFonts w:cs="Arial" w:hint="cs"/>
          <w:sz w:val="16"/>
          <w:szCs w:val="16"/>
          <w:rtl/>
        </w:rPr>
        <w:t>)</w:t>
      </w:r>
    </w:p>
    <w:p w14:paraId="1792EEE9" w14:textId="77777777" w:rsidR="00994836" w:rsidRPr="006B455F" w:rsidRDefault="00994836" w:rsidP="00994836">
      <w:pPr>
        <w:rPr>
          <w:rFonts w:cs="Arial"/>
          <w:u w:val="single"/>
          <w:rtl/>
        </w:rPr>
      </w:pPr>
      <w:r w:rsidRPr="006B455F">
        <w:rPr>
          <w:rFonts w:cs="Arial"/>
          <w:u w:val="single"/>
          <w:rtl/>
        </w:rPr>
        <w:t>המדיר את אשתו שלא תעשה מלאכה</w:t>
      </w:r>
      <w:r w:rsidRPr="006B455F">
        <w:rPr>
          <w:rFonts w:cs="Arial" w:hint="cs"/>
          <w:u w:val="single"/>
          <w:rtl/>
        </w:rPr>
        <w:t>:</w:t>
      </w:r>
    </w:p>
    <w:p w14:paraId="7AE4122B" w14:textId="48F56D51" w:rsidR="00994836" w:rsidRDefault="00994836" w:rsidP="009000E3">
      <w:pPr>
        <w:pStyle w:val="ab"/>
        <w:numPr>
          <w:ilvl w:val="0"/>
          <w:numId w:val="35"/>
        </w:numPr>
        <w:rPr>
          <w:rFonts w:cs="Arial"/>
        </w:rPr>
      </w:pPr>
      <w:r>
        <w:rPr>
          <w:rFonts w:cs="Arial" w:hint="cs"/>
          <w:rtl/>
        </w:rPr>
        <w:t xml:space="preserve">טור- </w:t>
      </w:r>
      <w:r w:rsidRPr="004A7B98">
        <w:rPr>
          <w:rFonts w:cs="Arial"/>
          <w:rtl/>
        </w:rPr>
        <w:t xml:space="preserve">המדיר את אשתו שלא תעשה מלאכה </w:t>
      </w:r>
      <w:r>
        <w:rPr>
          <w:rFonts w:cs="Arial" w:hint="cs"/>
          <w:rtl/>
        </w:rPr>
        <w:t xml:space="preserve">- </w:t>
      </w:r>
      <w:r w:rsidRPr="004A7B98">
        <w:rPr>
          <w:rFonts w:cs="Arial"/>
          <w:rtl/>
        </w:rPr>
        <w:t>יוציא ויתן כתובה</w:t>
      </w:r>
      <w:r>
        <w:rPr>
          <w:rFonts w:cs="Arial" w:hint="cs"/>
          <w:rtl/>
        </w:rPr>
        <w:t>.</w:t>
      </w:r>
      <w:r w:rsidRPr="004A7B98">
        <w:rPr>
          <w:rFonts w:cs="Arial"/>
          <w:rtl/>
        </w:rPr>
        <w:t xml:space="preserve"> </w:t>
      </w:r>
      <w:r w:rsidRPr="00EC5ABC">
        <w:rPr>
          <w:rFonts w:hint="cs"/>
          <w:color w:val="E36C0A" w:themeColor="accent6" w:themeShade="BF"/>
          <w:rtl/>
        </w:rPr>
        <w:t>(וכ"פ בשו"ע</w:t>
      </w:r>
      <w:r>
        <w:rPr>
          <w:rFonts w:hint="cs"/>
          <w:color w:val="E36C0A" w:themeColor="accent6" w:themeShade="BF"/>
          <w:rtl/>
        </w:rPr>
        <w:t xml:space="preserve"> </w:t>
      </w:r>
      <w:r w:rsidRPr="0051329A">
        <w:rPr>
          <w:rFonts w:hint="cs"/>
          <w:color w:val="000000" w:themeColor="text1"/>
          <w:sz w:val="16"/>
          <w:szCs w:val="16"/>
          <w:rtl/>
        </w:rPr>
        <w:t>[</w:t>
      </w:r>
      <w:r>
        <w:rPr>
          <w:rFonts w:hint="cs"/>
          <w:color w:val="000000" w:themeColor="text1"/>
          <w:sz w:val="16"/>
          <w:szCs w:val="16"/>
          <w:rtl/>
        </w:rPr>
        <w:t>בסי' פ ס"ג</w:t>
      </w:r>
      <w:r w:rsidRPr="0051329A">
        <w:rPr>
          <w:rFonts w:hint="cs"/>
          <w:color w:val="000000" w:themeColor="text1"/>
          <w:sz w:val="16"/>
          <w:szCs w:val="16"/>
          <w:rtl/>
        </w:rPr>
        <w:t>]</w:t>
      </w:r>
      <w:r w:rsidRPr="00EC5ABC">
        <w:rPr>
          <w:rFonts w:hint="cs"/>
          <w:color w:val="E36C0A" w:themeColor="accent6" w:themeShade="BF"/>
          <w:rtl/>
        </w:rPr>
        <w:t>)</w:t>
      </w:r>
    </w:p>
    <w:p w14:paraId="1A99FE4C" w14:textId="77777777" w:rsidR="00994836" w:rsidRPr="0051329A" w:rsidRDefault="00994836" w:rsidP="00994836">
      <w:pPr>
        <w:ind w:left="360"/>
        <w:rPr>
          <w:rFonts w:cs="Arial"/>
        </w:rPr>
      </w:pPr>
      <w:r w:rsidRPr="0051329A">
        <w:rPr>
          <w:rFonts w:cs="Arial" w:hint="cs"/>
          <w:u w:val="dotted"/>
          <w:rtl/>
        </w:rPr>
        <w:t>ומה הדין אם התיר לה מלאכה כל שהיא:</w:t>
      </w:r>
    </w:p>
    <w:p w14:paraId="20BD7B0F" w14:textId="6ECD3D2D" w:rsidR="00994836" w:rsidRDefault="00994836" w:rsidP="009000E3">
      <w:pPr>
        <w:pStyle w:val="ab"/>
        <w:numPr>
          <w:ilvl w:val="0"/>
          <w:numId w:val="38"/>
        </w:numPr>
      </w:pPr>
      <w:r>
        <w:rPr>
          <w:rFonts w:cs="Arial" w:hint="cs"/>
          <w:rtl/>
        </w:rPr>
        <w:t xml:space="preserve">רי"ף </w:t>
      </w:r>
      <w:r>
        <w:rPr>
          <w:rFonts w:cs="Arial" w:hint="cs"/>
          <w:sz w:val="16"/>
          <w:szCs w:val="16"/>
          <w:rtl/>
        </w:rPr>
        <w:t>(כה:)</w:t>
      </w:r>
      <w:r>
        <w:rPr>
          <w:rFonts w:cs="Arial" w:hint="cs"/>
          <w:rtl/>
        </w:rPr>
        <w:t xml:space="preserve"> </w:t>
      </w:r>
      <w:r w:rsidRPr="00986CA6">
        <w:rPr>
          <w:rFonts w:cs="Arial" w:hint="cs"/>
          <w:rtl/>
        </w:rPr>
        <w:t xml:space="preserve">רמב"ם </w:t>
      </w:r>
      <w:r w:rsidRPr="00986CA6">
        <w:rPr>
          <w:rFonts w:cs="Arial" w:hint="cs"/>
          <w:sz w:val="16"/>
          <w:szCs w:val="16"/>
          <w:rtl/>
        </w:rPr>
        <w:t>(פכ"א ה"ג)</w:t>
      </w:r>
      <w:r>
        <w:rPr>
          <w:rFonts w:cs="Arial" w:hint="cs"/>
          <w:rtl/>
        </w:rPr>
        <w:t xml:space="preserve"> ור"ן </w:t>
      </w:r>
      <w:r>
        <w:rPr>
          <w:rFonts w:cs="Arial" w:hint="cs"/>
          <w:sz w:val="16"/>
          <w:szCs w:val="16"/>
          <w:rtl/>
        </w:rPr>
        <w:t>(כה: ד"ה וכבר)</w:t>
      </w:r>
      <w:r w:rsidRPr="00986CA6">
        <w:rPr>
          <w:rFonts w:cs="Arial" w:hint="cs"/>
          <w:rtl/>
        </w:rPr>
        <w:t xml:space="preserve">- </w:t>
      </w:r>
      <w:r w:rsidRPr="00986CA6">
        <w:rPr>
          <w:rFonts w:cs="Arial"/>
          <w:rtl/>
        </w:rPr>
        <w:t xml:space="preserve">המדיר את אשתו שלא תעשה מלאכה כלל </w:t>
      </w:r>
      <w:r>
        <w:rPr>
          <w:rFonts w:cs="Arial" w:hint="cs"/>
          <w:rtl/>
        </w:rPr>
        <w:t xml:space="preserve">- </w:t>
      </w:r>
      <w:r w:rsidRPr="00986CA6">
        <w:rPr>
          <w:rFonts w:cs="Arial"/>
          <w:rtl/>
        </w:rPr>
        <w:t>יוציא ויתן כתובה, שהבטלה מביאה לידי זמה</w:t>
      </w:r>
      <w:r>
        <w:rPr>
          <w:rFonts w:cs="Arial" w:hint="cs"/>
          <w:sz w:val="16"/>
          <w:szCs w:val="16"/>
          <w:rtl/>
        </w:rPr>
        <w:t xml:space="preserve"> (ל' הרמב"ם)</w:t>
      </w:r>
      <w:r w:rsidRPr="00986CA6">
        <w:rPr>
          <w:rFonts w:cs="Arial"/>
          <w:rtl/>
        </w:rPr>
        <w:t>.</w:t>
      </w:r>
      <w:r w:rsidRPr="00986CA6">
        <w:rPr>
          <w:rFonts w:hint="cs"/>
          <w:color w:val="E36C0A" w:themeColor="accent6" w:themeShade="BF"/>
          <w:rtl/>
        </w:rPr>
        <w:t xml:space="preserve"> </w:t>
      </w:r>
      <w:r w:rsidRPr="00EC5ABC">
        <w:rPr>
          <w:rFonts w:hint="cs"/>
          <w:color w:val="E36C0A" w:themeColor="accent6" w:themeShade="BF"/>
          <w:rtl/>
        </w:rPr>
        <w:t>(וכ"פ בשו"ע</w:t>
      </w:r>
      <w:r>
        <w:rPr>
          <w:rFonts w:hint="cs"/>
          <w:color w:val="E36C0A" w:themeColor="accent6" w:themeShade="BF"/>
          <w:sz w:val="16"/>
          <w:szCs w:val="16"/>
          <w:rtl/>
        </w:rPr>
        <w:t xml:space="preserve"> </w:t>
      </w:r>
      <w:r w:rsidRPr="0051329A">
        <w:rPr>
          <w:rFonts w:hint="cs"/>
          <w:color w:val="000000" w:themeColor="text1"/>
          <w:sz w:val="16"/>
          <w:szCs w:val="16"/>
          <w:rtl/>
        </w:rPr>
        <w:t>[</w:t>
      </w:r>
      <w:r>
        <w:rPr>
          <w:rFonts w:hint="cs"/>
          <w:color w:val="000000" w:themeColor="text1"/>
          <w:sz w:val="16"/>
          <w:szCs w:val="16"/>
          <w:rtl/>
        </w:rPr>
        <w:t>בסי' פ ס"ג</w:t>
      </w:r>
      <w:r w:rsidRPr="0051329A">
        <w:rPr>
          <w:rFonts w:hint="cs"/>
          <w:color w:val="000000" w:themeColor="text1"/>
          <w:sz w:val="16"/>
          <w:szCs w:val="16"/>
          <w:rtl/>
        </w:rPr>
        <w:t>]</w:t>
      </w:r>
      <w:r w:rsidRPr="00EC5ABC">
        <w:rPr>
          <w:rFonts w:hint="cs"/>
          <w:color w:val="E36C0A" w:themeColor="accent6" w:themeShade="BF"/>
          <w:rtl/>
        </w:rPr>
        <w:t>)</w:t>
      </w:r>
    </w:p>
    <w:p w14:paraId="456ABA6D" w14:textId="77777777" w:rsidR="001267E5" w:rsidRPr="001267E5" w:rsidRDefault="00994836" w:rsidP="009000E3">
      <w:pPr>
        <w:pStyle w:val="ab"/>
        <w:numPr>
          <w:ilvl w:val="0"/>
          <w:numId w:val="38"/>
        </w:numPr>
      </w:pPr>
      <w:r w:rsidRPr="00EC687D">
        <w:rPr>
          <w:rFonts w:cs="Arial" w:hint="cs"/>
          <w:rtl/>
        </w:rPr>
        <w:t>רא"ש</w:t>
      </w:r>
      <w:r>
        <w:rPr>
          <w:rFonts w:cs="Arial" w:hint="cs"/>
          <w:sz w:val="16"/>
          <w:szCs w:val="16"/>
          <w:rtl/>
        </w:rPr>
        <w:t xml:space="preserve"> (פ"ה ס"ס כז, הביאו הטור בס"ס פא)</w:t>
      </w:r>
      <w:r>
        <w:rPr>
          <w:rFonts w:hint="cs"/>
          <w:rtl/>
        </w:rPr>
        <w:t xml:space="preserve">- </w:t>
      </w:r>
      <w:r w:rsidRPr="00EC687D">
        <w:rPr>
          <w:rFonts w:cs="Arial"/>
          <w:rtl/>
        </w:rPr>
        <w:t>התיר לה מלאכה כל שהוא כגון לשחק בכלבים וכיוצא בהן</w:t>
      </w:r>
      <w:r>
        <w:rPr>
          <w:rFonts w:cs="Arial" w:hint="cs"/>
          <w:rtl/>
        </w:rPr>
        <w:t>...- לא יוציא</w:t>
      </w:r>
      <w:r>
        <w:rPr>
          <w:rFonts w:cs="Arial" w:hint="cs"/>
          <w:sz w:val="16"/>
          <w:szCs w:val="16"/>
          <w:rtl/>
        </w:rPr>
        <w:t xml:space="preserve"> (ל' הטור בשם הרא"ש)</w:t>
      </w:r>
      <w:r>
        <w:rPr>
          <w:rFonts w:cs="Arial" w:hint="cs"/>
          <w:rtl/>
        </w:rPr>
        <w:t>.</w:t>
      </w:r>
    </w:p>
    <w:p w14:paraId="5993B118" w14:textId="25676FEC" w:rsidR="001267E5" w:rsidRPr="001267E5" w:rsidRDefault="001267E5" w:rsidP="001267E5">
      <w:pPr>
        <w:ind w:left="360"/>
        <w:rPr>
          <w:u w:val="dotted"/>
        </w:rPr>
      </w:pPr>
      <w:r w:rsidRPr="001267E5">
        <w:rPr>
          <w:rFonts w:hint="cs"/>
          <w:u w:val="dotted"/>
          <w:rtl/>
        </w:rPr>
        <w:t>האם</w:t>
      </w:r>
      <w:r>
        <w:rPr>
          <w:rFonts w:hint="cs"/>
          <w:u w:val="dotted"/>
          <w:rtl/>
        </w:rPr>
        <w:t xml:space="preserve"> בכה"ג</w:t>
      </w:r>
      <w:r w:rsidRPr="001267E5">
        <w:rPr>
          <w:rFonts w:hint="cs"/>
          <w:u w:val="dotted"/>
          <w:rtl/>
        </w:rPr>
        <w:t xml:space="preserve"> </w:t>
      </w:r>
      <w:r w:rsidR="00C80240" w:rsidRPr="00C80240">
        <w:rPr>
          <w:rFonts w:hint="cs"/>
          <w:sz w:val="16"/>
          <w:szCs w:val="16"/>
          <w:u w:val="dotted"/>
          <w:rtl/>
        </w:rPr>
        <w:t>(שעושה רק כדי שלא תבוא לידי זימה</w:t>
      </w:r>
      <w:r w:rsidR="00C80240">
        <w:rPr>
          <w:rFonts w:hint="cs"/>
          <w:sz w:val="16"/>
          <w:szCs w:val="16"/>
          <w:u w:val="dotted"/>
          <w:rtl/>
        </w:rPr>
        <w:t>)</w:t>
      </w:r>
      <w:r w:rsidR="00C80240">
        <w:rPr>
          <w:rFonts w:hint="cs"/>
          <w:u w:val="dotted"/>
          <w:rtl/>
        </w:rPr>
        <w:t xml:space="preserve"> </w:t>
      </w:r>
      <w:r w:rsidRPr="001267E5">
        <w:rPr>
          <w:rFonts w:hint="cs"/>
          <w:u w:val="dotted"/>
          <w:rtl/>
        </w:rPr>
        <w:t xml:space="preserve">מעשי ידיה עדיין שייכים לבעלה: </w:t>
      </w:r>
    </w:p>
    <w:p w14:paraId="19C14FF3" w14:textId="2AE5DB23" w:rsidR="00C80240" w:rsidRPr="00C80240" w:rsidRDefault="004A7B98" w:rsidP="009000E3">
      <w:pPr>
        <w:pStyle w:val="ab"/>
        <w:numPr>
          <w:ilvl w:val="0"/>
          <w:numId w:val="38"/>
        </w:numPr>
      </w:pPr>
      <w:r w:rsidRPr="001267E5">
        <w:rPr>
          <w:rFonts w:cs="Arial"/>
          <w:rtl/>
        </w:rPr>
        <w:t xml:space="preserve">ר"ן </w:t>
      </w:r>
      <w:r w:rsidRPr="00C80240">
        <w:rPr>
          <w:rFonts w:cs="Arial"/>
          <w:sz w:val="16"/>
          <w:szCs w:val="16"/>
          <w:rtl/>
        </w:rPr>
        <w:t>(כה: ד"ה הלכה)</w:t>
      </w:r>
      <w:r w:rsidR="00C80240">
        <w:rPr>
          <w:rFonts w:cs="Arial" w:hint="cs"/>
          <w:rtl/>
        </w:rPr>
        <w:t xml:space="preserve">- הלכה כר' אליעזר </w:t>
      </w:r>
      <w:r w:rsidR="00C80240" w:rsidRPr="001267E5">
        <w:rPr>
          <w:rFonts w:cs="Arial"/>
          <w:rtl/>
        </w:rPr>
        <w:t>ומיהו משמע שאינה חייבת לעשות משקל חמש סלעים אלא כדי שלא תהא יושבת ובטלה</w:t>
      </w:r>
      <w:r w:rsidR="00C80240">
        <w:rPr>
          <w:rFonts w:cs="Arial" w:hint="cs"/>
          <w:rtl/>
        </w:rPr>
        <w:t>,</w:t>
      </w:r>
      <w:r w:rsidR="00C80240" w:rsidRPr="001267E5">
        <w:rPr>
          <w:rFonts w:cs="Arial"/>
          <w:rtl/>
        </w:rPr>
        <w:t xml:space="preserve"> ויש אומרים דמלאכתה </w:t>
      </w:r>
      <w:r w:rsidR="00C80240">
        <w:rPr>
          <w:rFonts w:cs="Arial" w:hint="cs"/>
          <w:rtl/>
        </w:rPr>
        <w:t xml:space="preserve">- </w:t>
      </w:r>
      <w:r w:rsidR="00C80240" w:rsidRPr="001267E5">
        <w:rPr>
          <w:rFonts w:cs="Arial"/>
          <w:rtl/>
        </w:rPr>
        <w:t>דידה הויא</w:t>
      </w:r>
      <w:r w:rsidR="00C80240">
        <w:rPr>
          <w:rFonts w:cs="Arial" w:hint="cs"/>
          <w:rtl/>
        </w:rPr>
        <w:t>,</w:t>
      </w:r>
      <w:r w:rsidR="00C80240" w:rsidRPr="001267E5">
        <w:rPr>
          <w:rFonts w:cs="Arial"/>
          <w:rtl/>
        </w:rPr>
        <w:t xml:space="preserve"> דכיון שאין מחייבין אותה אלא כדי שלא תבא לידי זימה כל שעושה בין לאחרים בין לעצמה אזל ליה ההוא טעמא</w:t>
      </w:r>
      <w:r w:rsidR="00C80240">
        <w:rPr>
          <w:rFonts w:cs="Arial" w:hint="cs"/>
          <w:rtl/>
        </w:rPr>
        <w:t>.</w:t>
      </w:r>
      <w:r w:rsidR="00C80240" w:rsidRPr="001267E5">
        <w:rPr>
          <w:rFonts w:cs="Arial"/>
          <w:rtl/>
        </w:rPr>
        <w:t xml:space="preserve"> אבל הרשב"א ז"ל </w:t>
      </w:r>
      <w:r w:rsidR="00C80240" w:rsidRPr="00C80240">
        <w:rPr>
          <w:rFonts w:cs="Arial"/>
          <w:sz w:val="16"/>
          <w:szCs w:val="16"/>
          <w:rtl/>
        </w:rPr>
        <w:t>(סא. ד"ה מתני')</w:t>
      </w:r>
      <w:r w:rsidR="00C80240">
        <w:rPr>
          <w:rFonts w:cs="Arial" w:hint="cs"/>
          <w:rtl/>
        </w:rPr>
        <w:t xml:space="preserve"> </w:t>
      </w:r>
      <w:r w:rsidR="00C80240" w:rsidRPr="001267E5">
        <w:rPr>
          <w:rFonts w:cs="Arial"/>
          <w:rtl/>
        </w:rPr>
        <w:t>כתב דמסתברא דלא עדיף מהעדפה דעל ידי הדחק דהויא דבעל אף על פי שעושה מרצונה ולא מתורת חיוב</w:t>
      </w:r>
      <w:r w:rsidR="00C80240">
        <w:rPr>
          <w:rFonts w:cs="Arial" w:hint="cs"/>
          <w:rtl/>
        </w:rPr>
        <w:t>.</w:t>
      </w:r>
      <w:r w:rsidR="00C80240" w:rsidRPr="001267E5">
        <w:rPr>
          <w:rFonts w:cs="Arial"/>
          <w:rtl/>
        </w:rPr>
        <w:t xml:space="preserve"> ולא ידעתי מהו</w:t>
      </w:r>
      <w:r w:rsidR="00C80240">
        <w:rPr>
          <w:rFonts w:cs="Arial" w:hint="cs"/>
          <w:rtl/>
        </w:rPr>
        <w:t>,</w:t>
      </w:r>
      <w:r w:rsidR="00C80240" w:rsidRPr="001267E5">
        <w:rPr>
          <w:rFonts w:cs="Arial"/>
          <w:rtl/>
        </w:rPr>
        <w:t xml:space="preserve"> דכל העדפה ברצונה נעשית ואעפ"כ הקנוה לבעל תחת מעה כסף</w:t>
      </w:r>
      <w:r w:rsidR="00C80240">
        <w:rPr>
          <w:rFonts w:cs="Arial" w:hint="cs"/>
          <w:rtl/>
        </w:rPr>
        <w:t>,</w:t>
      </w:r>
      <w:r w:rsidR="00C80240" w:rsidRPr="001267E5">
        <w:rPr>
          <w:rFonts w:cs="Arial"/>
          <w:rtl/>
        </w:rPr>
        <w:t xml:space="preserve"> ואפילו העדפה שע"י הדחק למי שפוסק כן</w:t>
      </w:r>
      <w:r w:rsidR="00C80240">
        <w:rPr>
          <w:rFonts w:cs="Arial" w:hint="cs"/>
          <w:rtl/>
        </w:rPr>
        <w:t>,</w:t>
      </w:r>
      <w:r w:rsidR="00C80240" w:rsidRPr="001267E5">
        <w:rPr>
          <w:rFonts w:cs="Arial"/>
          <w:rtl/>
        </w:rPr>
        <w:t xml:space="preserve"> ומה ענין זה לכאן</w:t>
      </w:r>
      <w:r w:rsidR="00C80240">
        <w:rPr>
          <w:rFonts w:cs="Arial" w:hint="cs"/>
          <w:rtl/>
        </w:rPr>
        <w:t>.</w:t>
      </w:r>
      <w:r w:rsidR="00C80240" w:rsidRPr="001267E5">
        <w:rPr>
          <w:rFonts w:cs="Arial"/>
          <w:rtl/>
        </w:rPr>
        <w:t xml:space="preserve"> אבל קרוב הדבר לומר שאם תהא מלאכתה לעצמה כיון שלא תצטריך לחשוב עם הבעל תתבטל ותבא לידי זימה</w:t>
      </w:r>
      <w:r w:rsidR="00C80240">
        <w:rPr>
          <w:rFonts w:hint="cs"/>
          <w:rtl/>
        </w:rPr>
        <w:t>.</w:t>
      </w:r>
    </w:p>
    <w:p w14:paraId="12195ADC" w14:textId="77777777" w:rsidR="004A7B98" w:rsidRDefault="004A7B98" w:rsidP="004A7B98">
      <w:pPr>
        <w:rPr>
          <w:rFonts w:cs="Arial"/>
          <w:rtl/>
        </w:rPr>
      </w:pPr>
      <w:r w:rsidRPr="003024E5">
        <w:rPr>
          <w:rFonts w:asciiTheme="minorBidi" w:hAnsiTheme="minorBidi"/>
          <w:b/>
          <w:bCs/>
          <w:color w:val="000000"/>
          <w:sz w:val="28"/>
          <w:szCs w:val="28"/>
          <w:u w:val="single"/>
          <w:rtl/>
        </w:rPr>
        <w:lastRenderedPageBreak/>
        <w:t>שו"ע:</w:t>
      </w:r>
    </w:p>
    <w:p w14:paraId="7B736E45" w14:textId="40E9EEEF" w:rsidR="000D2069" w:rsidRDefault="000D2069" w:rsidP="000D2069">
      <w:pPr>
        <w:rPr>
          <w:rtl/>
        </w:rPr>
      </w:pPr>
      <w:r>
        <w:rPr>
          <w:rFonts w:cs="Arial"/>
          <w:rtl/>
        </w:rPr>
        <w:t>המקדיש מעשה ידי אשתו, הרי זו עושה ואוכלת</w:t>
      </w:r>
      <w:r w:rsidR="001600AB">
        <w:rPr>
          <w:rStyle w:val="a7"/>
          <w:rFonts w:cs="Arial"/>
          <w:rtl/>
        </w:rPr>
        <w:footnoteReference w:id="772"/>
      </w:r>
      <w:r>
        <w:rPr>
          <w:rFonts w:cs="Arial"/>
          <w:rtl/>
        </w:rPr>
        <w:t>, והמותר חולי</w:t>
      </w:r>
      <w:r w:rsidR="001600AB">
        <w:rPr>
          <w:rStyle w:val="a7"/>
          <w:rFonts w:cs="Arial"/>
          <w:rtl/>
        </w:rPr>
        <w:footnoteReference w:id="773"/>
      </w:r>
      <w:r>
        <w:rPr>
          <w:rFonts w:cs="Arial"/>
          <w:rtl/>
        </w:rPr>
        <w:t>ן. אמר לה: יקדשו ידיך לעושיהן, הרי כל מעשה ידיה קדש</w:t>
      </w:r>
      <w:r w:rsidR="001600AB">
        <w:rPr>
          <w:rStyle w:val="a7"/>
          <w:rFonts w:cs="Arial"/>
          <w:rtl/>
        </w:rPr>
        <w:footnoteReference w:id="774"/>
      </w:r>
      <w:r>
        <w:rPr>
          <w:rFonts w:cs="Arial"/>
          <w:rtl/>
        </w:rPr>
        <w:t xml:space="preserve">. </w:t>
      </w:r>
      <w:r w:rsidR="006C75BB">
        <w:rPr>
          <w:rFonts w:cs="Arial" w:hint="cs"/>
          <w:sz w:val="18"/>
          <w:szCs w:val="18"/>
          <w:rtl/>
        </w:rPr>
        <w:t xml:space="preserve">[הגה] </w:t>
      </w:r>
      <w:r w:rsidRPr="006C75BB">
        <w:rPr>
          <w:rFonts w:cs="Arial"/>
          <w:sz w:val="18"/>
          <w:szCs w:val="18"/>
          <w:rtl/>
        </w:rPr>
        <w:t>וי"א דאינו קדש, דהרי היא יכולה לומר: איני ניזונית ואיני עושה (הר"ן פרק אף על פי, וכן משמע לשון הטור).</w:t>
      </w:r>
      <w:r>
        <w:rPr>
          <w:rFonts w:cs="Arial"/>
          <w:rtl/>
        </w:rPr>
        <w:t xml:space="preserve"> </w:t>
      </w:r>
    </w:p>
    <w:p w14:paraId="2C8CC388" w14:textId="77777777" w:rsidR="006C75BB" w:rsidRDefault="006C75BB" w:rsidP="000D2069">
      <w:pPr>
        <w:rPr>
          <w:rtl/>
        </w:rPr>
      </w:pPr>
    </w:p>
    <w:p w14:paraId="165A54B1" w14:textId="19763A38" w:rsidR="000D2069" w:rsidRDefault="000D2069" w:rsidP="000F64D0">
      <w:pPr>
        <w:pStyle w:val="2"/>
        <w:rPr>
          <w:rtl/>
        </w:rPr>
      </w:pPr>
      <w:r>
        <w:rPr>
          <w:rtl/>
        </w:rPr>
        <w:t>סעיף ב</w:t>
      </w:r>
      <w:r w:rsidR="006C75BB">
        <w:rPr>
          <w:rFonts w:hint="cs"/>
          <w:rtl/>
        </w:rPr>
        <w:t xml:space="preserve">: </w:t>
      </w:r>
      <w:r w:rsidR="006B455F" w:rsidRPr="006B455F">
        <w:rPr>
          <w:rFonts w:hint="cs"/>
          <w:rtl/>
        </w:rPr>
        <w:t>אשה שאסרה מעשה ידיה על בעלה</w:t>
      </w:r>
      <w:r w:rsidR="006B455F">
        <w:rPr>
          <w:rFonts w:hint="cs"/>
          <w:rtl/>
        </w:rPr>
        <w:t>.</w:t>
      </w:r>
    </w:p>
    <w:p w14:paraId="3E94B90F" w14:textId="13D5AAB6" w:rsidR="006C75BB" w:rsidRPr="006C75BB" w:rsidRDefault="006B455F" w:rsidP="006C75BB">
      <w:pPr>
        <w:rPr>
          <w:rtl/>
        </w:rPr>
      </w:pPr>
      <w:r>
        <w:rPr>
          <w:rFonts w:hint="cs"/>
          <w:rtl/>
        </w:rPr>
        <w:t>עיין במקורות בסעיף הקודם.</w:t>
      </w:r>
    </w:p>
    <w:p w14:paraId="14E436DC"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58851AAC" w14:textId="54D6476F" w:rsidR="000D2069" w:rsidRPr="000D2069" w:rsidRDefault="000D2069" w:rsidP="000D2069">
      <w:pPr>
        <w:rPr>
          <w:rtl/>
        </w:rPr>
        <w:sectPr w:rsidR="000D2069" w:rsidRPr="000D2069" w:rsidSect="00A347B3">
          <w:headerReference w:type="default" r:id="rId24"/>
          <w:footnotePr>
            <w:numRestart w:val="eachSect"/>
          </w:footnotePr>
          <w:pgSz w:w="11906" w:h="16838"/>
          <w:pgMar w:top="720" w:right="1134" w:bottom="720" w:left="1134" w:header="0" w:footer="0" w:gutter="0"/>
          <w:cols w:space="720"/>
          <w:bidi/>
          <w:rtlGutter/>
          <w:docGrid w:linePitch="360"/>
        </w:sectPr>
      </w:pPr>
      <w:r>
        <w:rPr>
          <w:rFonts w:cs="Arial"/>
          <w:rtl/>
        </w:rPr>
        <w:t>האשה שאמרה: יקדשו ידי לעושיהן, או שנדרה שלא יהנה ממעשה ידיה, אינו נאסר במעשה ידיה, מפני שידיה משועבדים לו</w:t>
      </w:r>
      <w:r w:rsidR="006C75BB">
        <w:rPr>
          <w:rFonts w:cs="Arial" w:hint="cs"/>
          <w:rtl/>
        </w:rPr>
        <w:t>.</w:t>
      </w:r>
      <w:r>
        <w:rPr>
          <w:rFonts w:cs="Arial"/>
          <w:rtl/>
        </w:rPr>
        <w:t xml:space="preserve"> אבל צריך הוא להפר לה, שמא יגרשנה</w:t>
      </w:r>
      <w:r w:rsidR="001600AB">
        <w:rPr>
          <w:rStyle w:val="a7"/>
          <w:rFonts w:cs="Arial"/>
          <w:rtl/>
        </w:rPr>
        <w:footnoteReference w:id="775"/>
      </w:r>
      <w:r>
        <w:rPr>
          <w:rFonts w:cs="Arial"/>
          <w:rtl/>
        </w:rPr>
        <w:t xml:space="preserve"> ותהיה אסורה לחזור לו.</w:t>
      </w:r>
    </w:p>
    <w:p w14:paraId="6FAC2310" w14:textId="467FCB2C" w:rsidR="000D2069" w:rsidRDefault="00942887" w:rsidP="000D2069">
      <w:pPr>
        <w:pStyle w:val="1"/>
        <w:rPr>
          <w:rtl/>
        </w:rPr>
      </w:pPr>
      <w:r>
        <w:rPr>
          <w:rFonts w:hint="cs"/>
          <w:rtl/>
        </w:rPr>
        <w:lastRenderedPageBreak/>
        <w:t xml:space="preserve">סימן </w:t>
      </w:r>
      <w:r w:rsidR="001E098A">
        <w:rPr>
          <w:rFonts w:hint="cs"/>
          <w:rtl/>
        </w:rPr>
        <w:t>פב</w:t>
      </w:r>
      <w:r>
        <w:rPr>
          <w:rFonts w:hint="cs"/>
          <w:rtl/>
        </w:rPr>
        <w:t>:</w:t>
      </w:r>
      <w:r w:rsidRPr="00C12B74">
        <w:rPr>
          <w:rtl/>
        </w:rPr>
        <w:t xml:space="preserve"> </w:t>
      </w:r>
      <w:r w:rsidR="000D2069">
        <w:rPr>
          <w:rFonts w:cs="Arial"/>
          <w:rtl/>
        </w:rPr>
        <w:t xml:space="preserve">נדרה שלא להניק, ודין מניקה שנתגרשה, ובו ח' סעיפים. </w:t>
      </w:r>
    </w:p>
    <w:p w14:paraId="39CA0F61" w14:textId="6AC3DB0A" w:rsidR="000D2069" w:rsidRDefault="000D2069" w:rsidP="000F64D0">
      <w:pPr>
        <w:pStyle w:val="2"/>
        <w:rPr>
          <w:rtl/>
        </w:rPr>
      </w:pPr>
      <w:r>
        <w:rPr>
          <w:rtl/>
        </w:rPr>
        <w:t>סעיף א</w:t>
      </w:r>
      <w:r w:rsidR="00F4316E">
        <w:rPr>
          <w:rFonts w:hint="cs"/>
          <w:rtl/>
        </w:rPr>
        <w:t>: נדרה שלא להניק את בנה.</w:t>
      </w:r>
    </w:p>
    <w:p w14:paraId="6F8BC058" w14:textId="3EAC6F9C" w:rsidR="007B430E" w:rsidRDefault="00695385" w:rsidP="00695385">
      <w:pPr>
        <w:rPr>
          <w:rFonts w:cs="Arial"/>
          <w:rtl/>
        </w:rPr>
      </w:pPr>
      <w:r w:rsidRPr="00AB0AB9">
        <w:rPr>
          <w:rFonts w:cs="Arial" w:hint="cs"/>
          <w:b/>
          <w:bCs/>
          <w:rtl/>
        </w:rPr>
        <w:t>כתובות</w:t>
      </w:r>
      <w:r>
        <w:rPr>
          <w:rFonts w:cs="Arial" w:hint="cs"/>
          <w:b/>
          <w:bCs/>
          <w:rtl/>
        </w:rPr>
        <w:t xml:space="preserve"> </w:t>
      </w:r>
      <w:r>
        <w:rPr>
          <w:rFonts w:cs="Arial" w:hint="cs"/>
          <w:b/>
          <w:bCs/>
          <w:sz w:val="16"/>
          <w:szCs w:val="16"/>
          <w:rtl/>
        </w:rPr>
        <w:t>(פ' אף על פי)</w:t>
      </w:r>
      <w:r w:rsidRPr="00AB0AB9">
        <w:rPr>
          <w:rFonts w:cs="Arial" w:hint="cs"/>
          <w:b/>
          <w:bCs/>
          <w:rtl/>
        </w:rPr>
        <w:t xml:space="preserve"> </w:t>
      </w:r>
      <w:r>
        <w:rPr>
          <w:rFonts w:cs="Arial" w:hint="cs"/>
          <w:b/>
          <w:bCs/>
          <w:rtl/>
        </w:rPr>
        <w:t>נט</w:t>
      </w:r>
      <w:r w:rsidRPr="00AB0AB9">
        <w:rPr>
          <w:rFonts w:cs="Arial" w:hint="cs"/>
          <w:b/>
          <w:bCs/>
          <w:rtl/>
        </w:rPr>
        <w:t xml:space="preserve"> ע"ב: </w:t>
      </w:r>
      <w:r w:rsidRPr="00390A65">
        <w:rPr>
          <w:rFonts w:cs="Arial"/>
          <w:u w:val="double"/>
          <w:rtl/>
        </w:rPr>
        <w:t>מתני'</w:t>
      </w:r>
      <w:r>
        <w:rPr>
          <w:rFonts w:cs="Arial" w:hint="cs"/>
          <w:rtl/>
        </w:rPr>
        <w:t>:</w:t>
      </w:r>
      <w:r w:rsidRPr="00695385">
        <w:rPr>
          <w:rFonts w:cs="Arial"/>
          <w:rtl/>
        </w:rPr>
        <w:t xml:space="preserve"> ואלו מלאכות שהאשה עושה לבעלה</w:t>
      </w:r>
      <w:r>
        <w:rPr>
          <w:rFonts w:cs="Arial" w:hint="cs"/>
          <w:rtl/>
        </w:rPr>
        <w:t>...</w:t>
      </w:r>
      <w:r w:rsidRPr="00695385">
        <w:rPr>
          <w:rFonts w:cs="Arial"/>
          <w:rtl/>
        </w:rPr>
        <w:t xml:space="preserve"> ומניקה את בנה</w:t>
      </w:r>
      <w:r>
        <w:rPr>
          <w:rFonts w:cs="Arial" w:hint="cs"/>
          <w:rtl/>
        </w:rPr>
        <w:t xml:space="preserve">... </w:t>
      </w:r>
      <w:r w:rsidRPr="00695385">
        <w:rPr>
          <w:rFonts w:cs="Arial"/>
          <w:rtl/>
        </w:rPr>
        <w:t>הכניסה לו שפחה</w:t>
      </w:r>
      <w:r>
        <w:rPr>
          <w:rFonts w:cs="Arial" w:hint="cs"/>
          <w:rtl/>
        </w:rPr>
        <w:t xml:space="preserve">... </w:t>
      </w:r>
      <w:r w:rsidRPr="00695385">
        <w:rPr>
          <w:rFonts w:cs="Arial"/>
          <w:rtl/>
        </w:rPr>
        <w:t>שתים - אין מבשלת ואין מניקה את בנה</w:t>
      </w:r>
      <w:r>
        <w:rPr>
          <w:rFonts w:cs="Arial" w:hint="cs"/>
          <w:rtl/>
        </w:rPr>
        <w:t xml:space="preserve">...       </w:t>
      </w:r>
      <w:r w:rsidRPr="00695385">
        <w:rPr>
          <w:rtl/>
        </w:rPr>
        <w:t xml:space="preserve"> </w:t>
      </w:r>
      <w:r w:rsidRPr="00695385">
        <w:rPr>
          <w:rFonts w:cs="Arial" w:hint="cs"/>
          <w:u w:val="double"/>
          <w:rtl/>
        </w:rPr>
        <w:t>גמ'</w:t>
      </w:r>
      <w:r>
        <w:rPr>
          <w:rFonts w:cs="Arial" w:hint="cs"/>
          <w:rtl/>
        </w:rPr>
        <w:t xml:space="preserve">: </w:t>
      </w:r>
      <w:r w:rsidRPr="00695385">
        <w:rPr>
          <w:rFonts w:cs="Arial"/>
          <w:rtl/>
        </w:rPr>
        <w:t>ומניקה את בנה. לימא, מתניתין דלא כבית שמאי</w:t>
      </w:r>
      <w:r>
        <w:rPr>
          <w:rFonts w:cs="Arial" w:hint="cs"/>
          <w:rtl/>
        </w:rPr>
        <w:t>.</w:t>
      </w:r>
      <w:r w:rsidRPr="00695385">
        <w:rPr>
          <w:rFonts w:cs="Arial"/>
          <w:rtl/>
        </w:rPr>
        <w:t xml:space="preserve"> דתניא: נדרה שלא להניק את בנה, </w:t>
      </w:r>
      <w:r w:rsidRPr="00695385">
        <w:rPr>
          <w:rFonts w:cs="Arial"/>
          <w:u w:val="single"/>
          <w:rtl/>
        </w:rPr>
        <w:t>בש"א</w:t>
      </w:r>
      <w:r w:rsidRPr="00695385">
        <w:rPr>
          <w:rFonts w:cs="Arial"/>
          <w:rtl/>
        </w:rPr>
        <w:t xml:space="preserve">: שומטת דד מפיו, </w:t>
      </w:r>
      <w:r w:rsidRPr="00695385">
        <w:rPr>
          <w:rFonts w:cs="Arial"/>
          <w:u w:val="single"/>
          <w:rtl/>
        </w:rPr>
        <w:t>בה"א</w:t>
      </w:r>
      <w:r w:rsidRPr="00695385">
        <w:rPr>
          <w:rFonts w:cs="Arial"/>
          <w:rtl/>
        </w:rPr>
        <w:t>: כופה ומניקתו</w:t>
      </w:r>
      <w:r w:rsidR="007B430E">
        <w:rPr>
          <w:rFonts w:cs="Arial" w:hint="cs"/>
          <w:rtl/>
        </w:rPr>
        <w:t>.</w:t>
      </w:r>
      <w:r w:rsidR="007B430E" w:rsidRPr="007B430E">
        <w:rPr>
          <w:rFonts w:cs="Arial" w:hint="cs"/>
          <w:sz w:val="16"/>
          <w:szCs w:val="16"/>
          <w:rtl/>
        </w:rPr>
        <w:t xml:space="preserve"> (</w:t>
      </w:r>
      <w:r w:rsidR="007B430E" w:rsidRPr="007B430E">
        <w:rPr>
          <w:rFonts w:cs="Arial"/>
          <w:sz w:val="16"/>
          <w:szCs w:val="16"/>
          <w:rtl/>
        </w:rPr>
        <w:t>וידוע דהלכה כבית הלל</w:t>
      </w:r>
      <w:r w:rsidR="007B430E">
        <w:rPr>
          <w:rFonts w:cs="Arial" w:hint="cs"/>
          <w:sz w:val="16"/>
          <w:szCs w:val="16"/>
          <w:rtl/>
        </w:rPr>
        <w:t>,</w:t>
      </w:r>
      <w:r w:rsidR="007B430E" w:rsidRPr="007B430E">
        <w:rPr>
          <w:rFonts w:cs="Arial"/>
          <w:sz w:val="16"/>
          <w:szCs w:val="16"/>
          <w:rtl/>
        </w:rPr>
        <w:t xml:space="preserve"> ושיעור זמן היניקה דהוי כ"ד חדש מסקנא דגמ' שם (ס:)</w:t>
      </w:r>
      <w:r w:rsidR="007B430E" w:rsidRPr="007B430E">
        <w:rPr>
          <w:rFonts w:cs="Arial" w:hint="cs"/>
          <w:sz w:val="16"/>
          <w:szCs w:val="16"/>
          <w:rtl/>
        </w:rPr>
        <w:t>, ב"י)</w:t>
      </w:r>
    </w:p>
    <w:p w14:paraId="33847001" w14:textId="229CB90D" w:rsidR="00F4316E" w:rsidRPr="00F4316E" w:rsidRDefault="00F4316E" w:rsidP="00F4316E">
      <w:pPr>
        <w:rPr>
          <w:u w:val="single"/>
          <w:rtl/>
        </w:rPr>
      </w:pPr>
      <w:r w:rsidRPr="00F4316E">
        <w:rPr>
          <w:rFonts w:hint="cs"/>
          <w:u w:val="single"/>
          <w:rtl/>
        </w:rPr>
        <w:t>נדרה שלא להניק את בנה:</w:t>
      </w:r>
    </w:p>
    <w:p w14:paraId="69771DDA" w14:textId="674390B8" w:rsidR="00F4316E" w:rsidRDefault="007B430E" w:rsidP="009000E3">
      <w:pPr>
        <w:pStyle w:val="ab"/>
        <w:numPr>
          <w:ilvl w:val="0"/>
          <w:numId w:val="35"/>
        </w:numPr>
      </w:pPr>
      <w:r>
        <w:rPr>
          <w:rFonts w:cs="Arial" w:hint="cs"/>
          <w:rtl/>
        </w:rPr>
        <w:t xml:space="preserve">רמב"ם </w:t>
      </w:r>
      <w:r>
        <w:rPr>
          <w:rFonts w:cs="Arial" w:hint="cs"/>
          <w:sz w:val="16"/>
          <w:szCs w:val="16"/>
          <w:rtl/>
        </w:rPr>
        <w:t>(פכ"א מאישות הי"ג)</w:t>
      </w:r>
      <w:r>
        <w:rPr>
          <w:rFonts w:cs="Arial" w:hint="cs"/>
          <w:rtl/>
        </w:rPr>
        <w:t xml:space="preserve"> ו</w:t>
      </w:r>
      <w:r w:rsidR="001941C7" w:rsidRPr="001941C7">
        <w:rPr>
          <w:rFonts w:cs="Arial" w:hint="cs"/>
          <w:rtl/>
        </w:rPr>
        <w:t xml:space="preserve">טור- </w:t>
      </w:r>
      <w:r w:rsidR="001941C7" w:rsidRPr="001941C7">
        <w:rPr>
          <w:rFonts w:cs="Arial"/>
          <w:rtl/>
        </w:rPr>
        <w:t xml:space="preserve">נדרה שלא להניק בנו </w:t>
      </w:r>
      <w:r w:rsidR="00F4316E">
        <w:rPr>
          <w:rFonts w:cs="Arial" w:hint="cs"/>
          <w:rtl/>
        </w:rPr>
        <w:t xml:space="preserve">- </w:t>
      </w:r>
      <w:r w:rsidR="001941C7" w:rsidRPr="001941C7">
        <w:rPr>
          <w:rFonts w:cs="Arial"/>
          <w:rtl/>
        </w:rPr>
        <w:t>אינו חל</w:t>
      </w:r>
      <w:r w:rsidR="00F4316E">
        <w:rPr>
          <w:rFonts w:cs="Arial" w:hint="cs"/>
          <w:rtl/>
        </w:rPr>
        <w:t>,</w:t>
      </w:r>
      <w:r w:rsidR="001941C7" w:rsidRPr="001941C7">
        <w:rPr>
          <w:rFonts w:cs="Arial"/>
          <w:rtl/>
        </w:rPr>
        <w:t xml:space="preserve"> שהרי חייבת להניקו עד שישלמו לו כ"ד חרשים</w:t>
      </w:r>
      <w:r>
        <w:rPr>
          <w:rFonts w:cs="Arial" w:hint="cs"/>
          <w:sz w:val="16"/>
          <w:szCs w:val="16"/>
          <w:rtl/>
        </w:rPr>
        <w:t xml:space="preserve"> (ל' הטור)</w:t>
      </w:r>
      <w:r w:rsidR="00F4316E">
        <w:rPr>
          <w:rFonts w:cs="Arial" w:hint="cs"/>
          <w:rtl/>
        </w:rPr>
        <w:t>.</w:t>
      </w:r>
      <w:r w:rsidR="001941C7" w:rsidRPr="001941C7">
        <w:rPr>
          <w:rFonts w:cs="Arial"/>
          <w:rtl/>
        </w:rPr>
        <w:t xml:space="preserve"> </w:t>
      </w:r>
      <w:r w:rsidRPr="007B430E">
        <w:rPr>
          <w:rFonts w:hint="cs"/>
          <w:color w:val="E36C0A" w:themeColor="accent6" w:themeShade="BF"/>
          <w:rtl/>
        </w:rPr>
        <w:t>(וכ"פ בשו"ע)</w:t>
      </w:r>
    </w:p>
    <w:p w14:paraId="71BF6197"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17BCCBBD" w14:textId="3BE247EC" w:rsidR="000D2069" w:rsidRDefault="000D2069" w:rsidP="000D2069">
      <w:pPr>
        <w:rPr>
          <w:rtl/>
        </w:rPr>
      </w:pPr>
      <w:r>
        <w:rPr>
          <w:rFonts w:cs="Arial"/>
          <w:rtl/>
        </w:rPr>
        <w:t>נדרה שלא להניק את בנה, כופין אותה</w:t>
      </w:r>
      <w:r w:rsidR="00483EA1">
        <w:rPr>
          <w:rStyle w:val="a7"/>
          <w:rFonts w:cs="Arial"/>
          <w:rtl/>
        </w:rPr>
        <w:footnoteReference w:id="776"/>
      </w:r>
      <w:r>
        <w:rPr>
          <w:rFonts w:cs="Arial"/>
          <w:rtl/>
        </w:rPr>
        <w:t xml:space="preserve"> ומניקתו עד שיהיה בן כ"ד חדש, אחד הזכר ואחד הנקבה. </w:t>
      </w:r>
    </w:p>
    <w:p w14:paraId="3615DD49" w14:textId="27C80C47" w:rsidR="00AB376E" w:rsidRPr="000603E4" w:rsidRDefault="00AB376E" w:rsidP="000D2069">
      <w:pPr>
        <w:rPr>
          <w:rFonts w:cs="Arial"/>
          <w:u w:val="single"/>
          <w:rtl/>
        </w:rPr>
      </w:pPr>
      <w:r w:rsidRPr="000603E4">
        <w:rPr>
          <w:rFonts w:cs="Arial" w:hint="cs"/>
          <w:u w:val="single"/>
          <w:rtl/>
        </w:rPr>
        <w:t>אשה ש</w:t>
      </w:r>
      <w:r w:rsidRPr="000603E4">
        <w:rPr>
          <w:rFonts w:cs="Arial"/>
          <w:u w:val="single"/>
          <w:rtl/>
        </w:rPr>
        <w:t xml:space="preserve">אסרה על עצמה </w:t>
      </w:r>
      <w:r w:rsidRPr="000603E4">
        <w:rPr>
          <w:rFonts w:cs="Arial" w:hint="cs"/>
          <w:u w:val="single"/>
          <w:rtl/>
        </w:rPr>
        <w:t xml:space="preserve">את </w:t>
      </w:r>
      <w:r w:rsidRPr="000603E4">
        <w:rPr>
          <w:rFonts w:cs="Arial"/>
          <w:u w:val="single"/>
          <w:rtl/>
        </w:rPr>
        <w:t xml:space="preserve">הנאת </w:t>
      </w:r>
      <w:r w:rsidR="000603E4" w:rsidRPr="000603E4">
        <w:rPr>
          <w:rFonts w:cs="Arial" w:hint="cs"/>
          <w:u w:val="single"/>
          <w:rtl/>
        </w:rPr>
        <w:t>ה</w:t>
      </w:r>
      <w:r w:rsidRPr="000603E4">
        <w:rPr>
          <w:rFonts w:cs="Arial"/>
          <w:u w:val="single"/>
          <w:rtl/>
        </w:rPr>
        <w:t>הנקה</w:t>
      </w:r>
      <w:r w:rsidR="000603E4" w:rsidRPr="000603E4">
        <w:rPr>
          <w:rFonts w:cs="Arial" w:hint="cs"/>
          <w:u w:val="single"/>
          <w:rtl/>
        </w:rPr>
        <w:t>:</w:t>
      </w:r>
      <w:r w:rsidRPr="000603E4">
        <w:rPr>
          <w:rFonts w:cs="Arial"/>
          <w:u w:val="single"/>
          <w:rtl/>
        </w:rPr>
        <w:t xml:space="preserve"> </w:t>
      </w:r>
    </w:p>
    <w:p w14:paraId="72EDEC77" w14:textId="51E1F5AB" w:rsidR="00AB376E" w:rsidRDefault="000603E4" w:rsidP="009000E3">
      <w:pPr>
        <w:pStyle w:val="ab"/>
        <w:numPr>
          <w:ilvl w:val="0"/>
          <w:numId w:val="35"/>
        </w:numPr>
      </w:pPr>
      <w:r w:rsidRPr="000603E4">
        <w:rPr>
          <w:rFonts w:cs="Arial" w:hint="cs"/>
          <w:rtl/>
        </w:rPr>
        <w:t xml:space="preserve">ח"מ </w:t>
      </w:r>
      <w:r w:rsidRPr="000603E4">
        <w:rPr>
          <w:rFonts w:cs="Arial" w:hint="cs"/>
          <w:sz w:val="16"/>
          <w:szCs w:val="16"/>
          <w:rtl/>
        </w:rPr>
        <w:t>(סק"א)</w:t>
      </w:r>
      <w:r w:rsidRPr="000603E4">
        <w:rPr>
          <w:rFonts w:cs="Arial" w:hint="cs"/>
          <w:rtl/>
        </w:rPr>
        <w:t xml:space="preserve">- </w:t>
      </w:r>
      <w:r w:rsidR="00AB376E" w:rsidRPr="000603E4">
        <w:rPr>
          <w:rFonts w:cs="Arial"/>
          <w:rtl/>
        </w:rPr>
        <w:t>בעניה נמי יש חילוק אם נדרה שאסרה הנאת הנקה על עצמה שהיא נהנת בהנקה כדאמרי' בגמרא דף ס"א משום דרבוי החלב צער הוא לה אז הנדר חל וצריכה לשכור לו מנקת</w:t>
      </w:r>
      <w:r>
        <w:rPr>
          <w:rFonts w:cs="Arial" w:hint="cs"/>
          <w:rtl/>
        </w:rPr>
        <w:t>.</w:t>
      </w:r>
      <w:r w:rsidR="00AB376E" w:rsidRPr="000603E4">
        <w:rPr>
          <w:rFonts w:cs="Arial"/>
          <w:rtl/>
        </w:rPr>
        <w:t xml:space="preserve"> אבל אם אסרה הנאת יניקתה עליו אין הנדר חל דהא משעבד' ליה</w:t>
      </w:r>
      <w:r>
        <w:rPr>
          <w:rFonts w:cs="Arial" w:hint="cs"/>
          <w:rtl/>
        </w:rPr>
        <w:t>,</w:t>
      </w:r>
      <w:r w:rsidR="00AB376E" w:rsidRPr="000603E4">
        <w:rPr>
          <w:rFonts w:cs="Arial"/>
          <w:rtl/>
        </w:rPr>
        <w:t xml:space="preserve"> כ"כ בתוס' </w:t>
      </w:r>
      <w:r w:rsidRPr="000603E4">
        <w:rPr>
          <w:rFonts w:cs="Arial" w:hint="cs"/>
          <w:sz w:val="16"/>
          <w:szCs w:val="16"/>
          <w:rtl/>
        </w:rPr>
        <w:t xml:space="preserve">(נט: </w:t>
      </w:r>
      <w:r w:rsidR="00AB376E" w:rsidRPr="000603E4">
        <w:rPr>
          <w:rFonts w:cs="Arial"/>
          <w:sz w:val="16"/>
          <w:szCs w:val="16"/>
          <w:rtl/>
        </w:rPr>
        <w:t>ד"ה כגון שנדר</w:t>
      </w:r>
      <w:r w:rsidRPr="000603E4">
        <w:rPr>
          <w:rFonts w:cs="Arial" w:hint="cs"/>
          <w:sz w:val="16"/>
          <w:szCs w:val="16"/>
          <w:rtl/>
        </w:rPr>
        <w:t>ה)</w:t>
      </w:r>
      <w:r w:rsidR="00AB376E" w:rsidRPr="000603E4">
        <w:rPr>
          <w:rFonts w:cs="Arial"/>
          <w:sz w:val="16"/>
          <w:szCs w:val="16"/>
          <w:rtl/>
        </w:rPr>
        <w:t xml:space="preserve"> </w:t>
      </w:r>
      <w:r w:rsidR="00AB376E" w:rsidRPr="000603E4">
        <w:rPr>
          <w:rFonts w:cs="Arial"/>
          <w:rtl/>
        </w:rPr>
        <w:t>וכן הוא בהג"ה ע"ש</w:t>
      </w:r>
      <w:r w:rsidRPr="000603E4">
        <w:rPr>
          <w:rFonts w:cs="Arial" w:hint="cs"/>
          <w:rtl/>
        </w:rPr>
        <w:t>.</w:t>
      </w:r>
    </w:p>
    <w:p w14:paraId="1617FB1A" w14:textId="29BBC597" w:rsidR="000603E4" w:rsidRDefault="000603E4" w:rsidP="009000E3">
      <w:pPr>
        <w:pStyle w:val="ab"/>
        <w:numPr>
          <w:ilvl w:val="0"/>
          <w:numId w:val="35"/>
        </w:numPr>
      </w:pPr>
      <w:r>
        <w:rPr>
          <w:rFonts w:cs="Arial" w:hint="cs"/>
          <w:rtl/>
        </w:rPr>
        <w:t xml:space="preserve">ב"ש </w:t>
      </w:r>
      <w:r>
        <w:rPr>
          <w:rFonts w:cs="Arial" w:hint="cs"/>
          <w:sz w:val="16"/>
          <w:szCs w:val="16"/>
          <w:rtl/>
        </w:rPr>
        <w:t>(סק"א)</w:t>
      </w:r>
      <w:r>
        <w:rPr>
          <w:rFonts w:cs="Arial" w:hint="cs"/>
          <w:rtl/>
        </w:rPr>
        <w:t xml:space="preserve">- </w:t>
      </w:r>
      <w:r w:rsidRPr="00483EA1">
        <w:rPr>
          <w:rFonts w:cs="Arial"/>
          <w:rtl/>
        </w:rPr>
        <w:t xml:space="preserve">אם אסרה הנאת הנקה עליה </w:t>
      </w:r>
      <w:r>
        <w:rPr>
          <w:rFonts w:cs="Arial" w:hint="cs"/>
          <w:rtl/>
        </w:rPr>
        <w:t xml:space="preserve">- </w:t>
      </w:r>
      <w:r w:rsidRPr="00483EA1">
        <w:rPr>
          <w:rFonts w:cs="Arial"/>
          <w:rtl/>
        </w:rPr>
        <w:t>חל הנדר אפילו אם היא עניה</w:t>
      </w:r>
      <w:r>
        <w:rPr>
          <w:rFonts w:cs="Arial" w:hint="cs"/>
          <w:rtl/>
        </w:rPr>
        <w:t>...</w:t>
      </w:r>
      <w:r w:rsidRPr="00483EA1">
        <w:rPr>
          <w:rFonts w:cs="Arial"/>
          <w:rtl/>
        </w:rPr>
        <w:t xml:space="preserve"> ואם אמרה הנאת הנקה עלי חל הנדר כמ"ש והוא לא היפר והיה יכול להפר</w:t>
      </w:r>
      <w:r>
        <w:rPr>
          <w:rFonts w:cs="Arial" w:hint="cs"/>
          <w:rtl/>
        </w:rPr>
        <w:t>,</w:t>
      </w:r>
      <w:r w:rsidRPr="00483EA1">
        <w:rPr>
          <w:rFonts w:cs="Arial"/>
          <w:rtl/>
        </w:rPr>
        <w:t xml:space="preserve"> נראה דאז אין שום חיוב עליה</w:t>
      </w:r>
      <w:r>
        <w:rPr>
          <w:rFonts w:cs="Arial" w:hint="cs"/>
          <w:rtl/>
        </w:rPr>
        <w:t>,</w:t>
      </w:r>
      <w:r w:rsidRPr="00483EA1">
        <w:rPr>
          <w:rFonts w:cs="Arial"/>
          <w:rtl/>
        </w:rPr>
        <w:t xml:space="preserve"> כיון שהוא לא היפר קי"ל הוא נותן אצבע בין שיניה והוא חייב שכר הנקה</w:t>
      </w:r>
      <w:r>
        <w:rPr>
          <w:rStyle w:val="a7"/>
          <w:rFonts w:cs="Arial"/>
          <w:rtl/>
        </w:rPr>
        <w:footnoteReference w:id="777"/>
      </w:r>
      <w:r>
        <w:rPr>
          <w:rFonts w:cs="Arial" w:hint="cs"/>
          <w:rtl/>
        </w:rPr>
        <w:t>.</w:t>
      </w:r>
    </w:p>
    <w:p w14:paraId="78E55208" w14:textId="227F2F9C" w:rsidR="0087423E" w:rsidRPr="00A9123C" w:rsidRDefault="0087423E" w:rsidP="0087423E">
      <w:pPr>
        <w:rPr>
          <w:sz w:val="16"/>
          <w:szCs w:val="16"/>
          <w:u w:val="single"/>
        </w:rPr>
      </w:pPr>
      <w:r w:rsidRPr="00A9123C">
        <w:rPr>
          <w:rFonts w:hint="cs"/>
          <w:u w:val="single"/>
          <w:rtl/>
        </w:rPr>
        <w:t>אשה ש</w:t>
      </w:r>
      <w:r w:rsidR="00A9123C" w:rsidRPr="00A9123C">
        <w:rPr>
          <w:rFonts w:hint="cs"/>
          <w:u w:val="single"/>
          <w:rtl/>
        </w:rPr>
        <w:t xml:space="preserve">מתו כמה בניה מחמת הנקתה </w:t>
      </w:r>
      <w:r w:rsidR="00F97626">
        <w:rPr>
          <w:u w:val="single"/>
          <w:rtl/>
        </w:rPr>
        <w:t>-</w:t>
      </w:r>
      <w:r w:rsidR="00A9123C">
        <w:rPr>
          <w:rFonts w:hint="cs"/>
          <w:u w:val="single"/>
          <w:rtl/>
        </w:rPr>
        <w:t xml:space="preserve"> האם אוסרים עליה להניק את בניה:</w:t>
      </w:r>
      <w:r w:rsidR="00A9123C" w:rsidRPr="00A9123C">
        <w:rPr>
          <w:rFonts w:hint="cs"/>
          <w:sz w:val="16"/>
          <w:szCs w:val="16"/>
          <w:rtl/>
        </w:rPr>
        <w:t xml:space="preserve">  (פת"ש סק"א)</w:t>
      </w:r>
    </w:p>
    <w:p w14:paraId="239800AF" w14:textId="7FF52249" w:rsidR="00CA741A" w:rsidRDefault="00A9123C" w:rsidP="009000E3">
      <w:pPr>
        <w:pStyle w:val="ab"/>
        <w:numPr>
          <w:ilvl w:val="0"/>
          <w:numId w:val="35"/>
        </w:numPr>
        <w:rPr>
          <w:rtl/>
        </w:rPr>
      </w:pPr>
      <w:r>
        <w:rPr>
          <w:rFonts w:cs="Arial" w:hint="cs"/>
          <w:rtl/>
        </w:rPr>
        <w:t xml:space="preserve">חת"ס </w:t>
      </w:r>
      <w:r w:rsidRPr="00A9123C">
        <w:rPr>
          <w:rFonts w:cs="Arial" w:hint="cs"/>
          <w:sz w:val="16"/>
          <w:szCs w:val="16"/>
          <w:rtl/>
        </w:rPr>
        <w:t>(</w:t>
      </w:r>
      <w:r w:rsidR="00CA741A" w:rsidRPr="00A9123C">
        <w:rPr>
          <w:rFonts w:cs="Arial"/>
          <w:sz w:val="16"/>
          <w:szCs w:val="16"/>
          <w:rtl/>
        </w:rPr>
        <w:t>סי' קלו</w:t>
      </w:r>
      <w:r w:rsidRPr="00A9123C">
        <w:rPr>
          <w:rFonts w:cs="Arial" w:hint="cs"/>
          <w:sz w:val="16"/>
          <w:szCs w:val="16"/>
          <w:rtl/>
        </w:rPr>
        <w:t>)</w:t>
      </w:r>
      <w:r>
        <w:rPr>
          <w:rFonts w:cs="Arial" w:hint="cs"/>
          <w:rtl/>
        </w:rPr>
        <w:t>-</w:t>
      </w:r>
      <w:r w:rsidR="00CA741A" w:rsidRPr="00CA741A">
        <w:rPr>
          <w:rFonts w:cs="Arial"/>
          <w:rtl/>
        </w:rPr>
        <w:t xml:space="preserve"> בענין אשה שהוחזקה למות בני' ע"י הנקתה ועתה עומדת על פרקי לידה וקשה לו להבעל לשכור מינקת מדוחק פרנסתו אי אסור לו להניח אשתו להניק.</w:t>
      </w:r>
      <w:r>
        <w:rPr>
          <w:rFonts w:cs="Arial" w:hint="cs"/>
          <w:rtl/>
        </w:rPr>
        <w:t xml:space="preserve">.. </w:t>
      </w:r>
      <w:r w:rsidR="00CA741A" w:rsidRPr="00CA741A">
        <w:rPr>
          <w:rFonts w:cs="Arial"/>
          <w:rtl/>
        </w:rPr>
        <w:t xml:space="preserve">בתשו' ח"צ </w:t>
      </w:r>
      <w:r>
        <w:rPr>
          <w:rFonts w:cs="Arial" w:hint="cs"/>
          <w:rtl/>
        </w:rPr>
        <w:t>(</w:t>
      </w:r>
      <w:r w:rsidR="00CA741A" w:rsidRPr="00CA741A">
        <w:rPr>
          <w:rFonts w:cs="Arial"/>
          <w:rtl/>
        </w:rPr>
        <w:t>סי' סד</w:t>
      </w:r>
      <w:r>
        <w:rPr>
          <w:rFonts w:cs="Arial" w:hint="cs"/>
          <w:rtl/>
        </w:rPr>
        <w:t>-</w:t>
      </w:r>
      <w:r w:rsidR="00CA741A" w:rsidRPr="00CA741A">
        <w:rPr>
          <w:rFonts w:cs="Arial"/>
          <w:rtl/>
        </w:rPr>
        <w:t>סה</w:t>
      </w:r>
      <w:r>
        <w:rPr>
          <w:rFonts w:cs="Arial" w:hint="cs"/>
          <w:rtl/>
        </w:rPr>
        <w:t xml:space="preserve">, </w:t>
      </w:r>
      <w:r w:rsidR="00CA741A" w:rsidRPr="00CA741A">
        <w:rPr>
          <w:rFonts w:cs="Arial"/>
          <w:rtl/>
        </w:rPr>
        <w:t>הובא בקצרה בבה"ט לעיל סי' יג סקכ"א) מבואר דפשיטא ליה וכן להגאון מו"ה אברהם ברודא ז"ל דלולא עדות הרופא שחלב</w:t>
      </w:r>
      <w:r>
        <w:rPr>
          <w:rFonts w:cs="Arial" w:hint="cs"/>
          <w:rtl/>
        </w:rPr>
        <w:t>ה</w:t>
      </w:r>
      <w:r w:rsidR="00CA741A" w:rsidRPr="00CA741A">
        <w:rPr>
          <w:rFonts w:cs="Arial"/>
          <w:rtl/>
        </w:rPr>
        <w:t xml:space="preserve"> ארסיי לא הוה אסרינן לה להניק מחמת חזקה לחוד. והטעם דפשיטא להו להני גאונים כך דלא נימא הכא חזקה כמו במילה וקטלנית צ"ל דהוא ע"פ דברי הרא"ש בתשובה </w:t>
      </w:r>
      <w:r w:rsidR="0041226A">
        <w:rPr>
          <w:rFonts w:cs="Arial" w:hint="cs"/>
          <w:rtl/>
        </w:rPr>
        <w:t>(</w:t>
      </w:r>
      <w:r w:rsidR="00CA741A" w:rsidRPr="00CA741A">
        <w:rPr>
          <w:rFonts w:cs="Arial"/>
          <w:rtl/>
        </w:rPr>
        <w:t>כלל יג סי' ח</w:t>
      </w:r>
      <w:r w:rsidR="0041226A">
        <w:rPr>
          <w:rFonts w:cs="Arial" w:hint="cs"/>
          <w:rtl/>
        </w:rPr>
        <w:t>)</w:t>
      </w:r>
      <w:r w:rsidR="00CA741A" w:rsidRPr="00CA741A">
        <w:rPr>
          <w:rFonts w:cs="Arial"/>
          <w:rtl/>
        </w:rPr>
        <w:t xml:space="preserve"> בענין מי שנשא ב' נשים ומתו שתיהן מן ההריון אם יש לחוש שהוא קטלן כו' (הובא בקצרה בב"י לעיל ס"ס ט') דמבואר מדבריו דכל שלא הוזכר בש"ס אין לנו לחוש דחזקה דלא הוו שתקי חז"ל להזהירנו על חיי נפש. ואפילו לדעת הר"ר מנחם שהובא ביו"ד סי' רס"ג ס"ב גבי מילה שלמד מסברא דתלוי גם באב היינו דשם איכא ק"ו לתלות באב יותר</w:t>
      </w:r>
      <w:r w:rsidR="00241C35">
        <w:rPr>
          <w:rFonts w:cs="Arial" w:hint="cs"/>
          <w:rtl/>
        </w:rPr>
        <w:t>,</w:t>
      </w:r>
      <w:r w:rsidR="00CA741A" w:rsidRPr="00CA741A">
        <w:rPr>
          <w:rFonts w:cs="Arial"/>
          <w:rtl/>
        </w:rPr>
        <w:t xml:space="preserve"> וא"כ י"ל דחז"ל סמכו על הק"ו</w:t>
      </w:r>
      <w:r w:rsidR="00241C35">
        <w:rPr>
          <w:rFonts w:cs="Arial" w:hint="cs"/>
          <w:rtl/>
        </w:rPr>
        <w:t>,</w:t>
      </w:r>
      <w:r w:rsidR="00CA741A" w:rsidRPr="00CA741A">
        <w:rPr>
          <w:rFonts w:cs="Arial"/>
          <w:rtl/>
        </w:rPr>
        <w:t xml:space="preserve"> אבל הכא נהפוך הוא דמי לימא לן שמתו מחמת חלב כלל אף על גב דאחרי' שהניקו ממינקת חיו דילמא מ"מ מקרה הוא והני מתו בעון אבותם ולא הני כו' וליכא למילף הך ממילה וקטלנית</w:t>
      </w:r>
      <w:r w:rsidR="00241C35">
        <w:rPr>
          <w:rFonts w:cs="Arial" w:hint="cs"/>
          <w:rtl/>
        </w:rPr>
        <w:t>.</w:t>
      </w:r>
      <w:r w:rsidR="00CA741A" w:rsidRPr="00CA741A">
        <w:rPr>
          <w:rFonts w:cs="Arial"/>
          <w:rtl/>
        </w:rPr>
        <w:t xml:space="preserve"> וא"כ כיון שלא הזכירו חז"ל ולא היה להם על מה לסמוך ש"מ דליכא מאן דחש לזה. וכל זה היינו צריכים אי היה כאן חזקה אבל באמת (בנדון השאלה כפי שהובא שם באורך) אין כאן חזקה כלל כי הילד הא' לא מת והב' מת והג' לא מת והד' מת נמצא אפי' נימא תרי זימני הוי חזקה אין כאן חזקה בצירוף אלא בסירוגין וכיוצא בזה לא שמענו בענינים כאלו</w:t>
      </w:r>
      <w:r w:rsidR="00241C35">
        <w:rPr>
          <w:rFonts w:cs="Arial" w:hint="cs"/>
          <w:rtl/>
        </w:rPr>
        <w:t>,</w:t>
      </w:r>
      <w:r w:rsidR="00CA741A" w:rsidRPr="00CA741A">
        <w:rPr>
          <w:rFonts w:cs="Arial"/>
          <w:rtl/>
        </w:rPr>
        <w:t xml:space="preserve"> והחמישי שמת אחר היותו בן ג' שני' אין לתלות בהנקה אחר שכבר חלפו ימי הנקה אדרבה הוא מפסיק בין הד' שמת ובין התאומה שמתה אחריו כו'</w:t>
      </w:r>
      <w:r w:rsidR="0087643B">
        <w:rPr>
          <w:rFonts w:cs="Arial" w:hint="cs"/>
          <w:rtl/>
        </w:rPr>
        <w:t>.</w:t>
      </w:r>
      <w:r w:rsidR="00CA741A" w:rsidRPr="00CA741A">
        <w:rPr>
          <w:rFonts w:cs="Arial"/>
          <w:rtl/>
        </w:rPr>
        <w:t xml:space="preserve"> היות לדעתי צריך עדות רופאים מומחים אם חלבה ארסיי או לא ולא יוודע זה עד שתלד ותניק איזה שבועות ואז יוכל הרופא לשפוט ואם יאמר שהחלב ארסיי מהימן לאסור הדד על הילד. וה"מ אם יהי' יכולת ביד ב"ד להוציא ממון מהבעל לשכור מינקת ולירד לנכסיו כדרך שכופים לפרנס בניו הקטנים זה צ"ע כו'</w:t>
      </w:r>
      <w:r w:rsidR="0087643B">
        <w:rPr>
          <w:rFonts w:cs="Arial" w:hint="cs"/>
          <w:rtl/>
        </w:rPr>
        <w:t>,</w:t>
      </w:r>
      <w:r w:rsidR="00CA741A" w:rsidRPr="00CA741A">
        <w:rPr>
          <w:rFonts w:cs="Arial"/>
          <w:rtl/>
        </w:rPr>
        <w:t xml:space="preserve"> ונהי דהב"ד יחושו על ספק נפשות ולא יניחו התינוק לינק מ"מ מן הבעל אינם יכולים להוציא אלא ישכרו לו מינקת מקופת הצבור כו'</w:t>
      </w:r>
      <w:r>
        <w:rPr>
          <w:rFonts w:cs="Arial" w:hint="cs"/>
          <w:rtl/>
        </w:rPr>
        <w:t>.</w:t>
      </w:r>
    </w:p>
    <w:p w14:paraId="088657C4" w14:textId="77777777" w:rsidR="00695385" w:rsidRDefault="00695385" w:rsidP="000D2069">
      <w:pPr>
        <w:rPr>
          <w:rtl/>
        </w:rPr>
      </w:pPr>
    </w:p>
    <w:p w14:paraId="40E0E0C9" w14:textId="0DE518DD" w:rsidR="000D2069" w:rsidRDefault="000D2069" w:rsidP="000F64D0">
      <w:pPr>
        <w:pStyle w:val="2"/>
        <w:rPr>
          <w:rtl/>
        </w:rPr>
      </w:pPr>
      <w:r>
        <w:rPr>
          <w:rtl/>
        </w:rPr>
        <w:t>סעיף ב</w:t>
      </w:r>
      <w:r w:rsidR="00F4316E">
        <w:rPr>
          <w:rFonts w:hint="cs"/>
          <w:rtl/>
        </w:rPr>
        <w:t>:</w:t>
      </w:r>
      <w:r w:rsidR="00F4316E" w:rsidRPr="00F4316E">
        <w:rPr>
          <w:rFonts w:hint="cs"/>
          <w:rtl/>
        </w:rPr>
        <w:t xml:space="preserve"> היא </w:t>
      </w:r>
      <w:r w:rsidR="007B430E">
        <w:rPr>
          <w:rFonts w:hint="cs"/>
          <w:rtl/>
        </w:rPr>
        <w:t>אומרת</w:t>
      </w:r>
      <w:r w:rsidR="00F4316E" w:rsidRPr="00F4316E">
        <w:rPr>
          <w:rFonts w:hint="cs"/>
          <w:rtl/>
        </w:rPr>
        <w:t xml:space="preserve"> להניק והוא </w:t>
      </w:r>
      <w:r w:rsidR="000E736B">
        <w:rPr>
          <w:rFonts w:hint="cs"/>
          <w:rtl/>
        </w:rPr>
        <w:t>אומר</w:t>
      </w:r>
      <w:r w:rsidR="00F4316E" w:rsidRPr="00F4316E">
        <w:rPr>
          <w:rFonts w:hint="cs"/>
          <w:rtl/>
        </w:rPr>
        <w:t xml:space="preserve"> </w:t>
      </w:r>
      <w:r w:rsidR="000E736B">
        <w:rPr>
          <w:rFonts w:hint="cs"/>
          <w:rtl/>
        </w:rPr>
        <w:t>שלא להניק</w:t>
      </w:r>
      <w:r w:rsidR="00F4316E">
        <w:rPr>
          <w:rFonts w:hint="cs"/>
          <w:rtl/>
        </w:rPr>
        <w:t>.</w:t>
      </w:r>
    </w:p>
    <w:p w14:paraId="329C7522" w14:textId="646A28E6" w:rsidR="007B430E" w:rsidRPr="007B430E" w:rsidRDefault="007B430E" w:rsidP="007B430E">
      <w:pPr>
        <w:rPr>
          <w:rtl/>
        </w:rPr>
      </w:pPr>
      <w:r w:rsidRPr="00AB0AB9">
        <w:rPr>
          <w:rFonts w:cs="Arial" w:hint="cs"/>
          <w:b/>
          <w:bCs/>
          <w:rtl/>
        </w:rPr>
        <w:t>כתובות</w:t>
      </w:r>
      <w:r>
        <w:rPr>
          <w:rFonts w:cs="Arial" w:hint="cs"/>
          <w:b/>
          <w:bCs/>
          <w:rtl/>
        </w:rPr>
        <w:t xml:space="preserve"> </w:t>
      </w:r>
      <w:r>
        <w:rPr>
          <w:rFonts w:cs="Arial" w:hint="cs"/>
          <w:b/>
          <w:bCs/>
          <w:sz w:val="16"/>
          <w:szCs w:val="16"/>
          <w:rtl/>
        </w:rPr>
        <w:t>(פ' אף על פי)</w:t>
      </w:r>
      <w:r w:rsidRPr="00AB0AB9">
        <w:rPr>
          <w:rFonts w:cs="Arial" w:hint="cs"/>
          <w:b/>
          <w:bCs/>
          <w:rtl/>
        </w:rPr>
        <w:t xml:space="preserve"> </w:t>
      </w:r>
      <w:r>
        <w:rPr>
          <w:rFonts w:cs="Arial" w:hint="cs"/>
          <w:b/>
          <w:bCs/>
          <w:rtl/>
        </w:rPr>
        <w:t>סא</w:t>
      </w:r>
      <w:r w:rsidRPr="00AB0AB9">
        <w:rPr>
          <w:rFonts w:cs="Arial" w:hint="cs"/>
          <w:b/>
          <w:bCs/>
          <w:rtl/>
        </w:rPr>
        <w:t xml:space="preserve"> ע"</w:t>
      </w:r>
      <w:r>
        <w:rPr>
          <w:rFonts w:cs="Arial" w:hint="cs"/>
          <w:b/>
          <w:bCs/>
          <w:rtl/>
        </w:rPr>
        <w:t>א</w:t>
      </w:r>
      <w:r w:rsidRPr="00AB0AB9">
        <w:rPr>
          <w:rFonts w:cs="Arial" w:hint="cs"/>
          <w:b/>
          <w:bCs/>
          <w:rtl/>
        </w:rPr>
        <w:t>:</w:t>
      </w:r>
      <w:r>
        <w:rPr>
          <w:rFonts w:cs="Arial" w:hint="cs"/>
          <w:rtl/>
        </w:rPr>
        <w:t xml:space="preserve"> </w:t>
      </w:r>
      <w:r w:rsidRPr="007B430E">
        <w:rPr>
          <w:rFonts w:cs="Arial"/>
          <w:u w:val="single"/>
          <w:rtl/>
        </w:rPr>
        <w:t>אמר רב הונא</w:t>
      </w:r>
      <w:r>
        <w:rPr>
          <w:rFonts w:cs="Arial" w:hint="cs"/>
          <w:rtl/>
        </w:rPr>
        <w:t>:</w:t>
      </w:r>
      <w:r w:rsidRPr="007B430E">
        <w:rPr>
          <w:rFonts w:cs="Arial"/>
          <w:rtl/>
        </w:rPr>
        <w:t xml:space="preserve"> בדק לן רב הונא בר חיננא</w:t>
      </w:r>
      <w:r>
        <w:rPr>
          <w:rFonts w:cs="Arial" w:hint="cs"/>
          <w:rtl/>
        </w:rPr>
        <w:t>,</w:t>
      </w:r>
      <w:r w:rsidRPr="007B430E">
        <w:rPr>
          <w:rFonts w:cs="Arial"/>
          <w:rtl/>
        </w:rPr>
        <w:t xml:space="preserve"> היא אומרת להניק והוא אומר שלא להניק - שומעין לה, צערא דידה הוא</w:t>
      </w:r>
      <w:r w:rsidR="000E736B">
        <w:rPr>
          <w:rFonts w:cs="Arial" w:hint="cs"/>
          <w:rtl/>
        </w:rPr>
        <w:t>.</w:t>
      </w:r>
      <w:r w:rsidRPr="007B430E">
        <w:rPr>
          <w:rFonts w:cs="Arial"/>
          <w:rtl/>
        </w:rPr>
        <w:t xml:space="preserve"> </w:t>
      </w:r>
    </w:p>
    <w:p w14:paraId="13A8A570" w14:textId="6B4C8050" w:rsidR="00782C6B" w:rsidRPr="000E736B" w:rsidRDefault="000E736B" w:rsidP="00782C6B">
      <w:pPr>
        <w:rPr>
          <w:u w:val="single"/>
        </w:rPr>
      </w:pPr>
      <w:r w:rsidRPr="000E736B">
        <w:rPr>
          <w:rFonts w:hint="cs"/>
          <w:u w:val="single"/>
          <w:rtl/>
        </w:rPr>
        <w:t>היא אומרת להניק והוא אומר שלא להניק</w:t>
      </w:r>
      <w:r w:rsidR="00782C6B" w:rsidRPr="000E736B">
        <w:rPr>
          <w:rFonts w:hint="cs"/>
          <w:u w:val="single"/>
          <w:rtl/>
        </w:rPr>
        <w:t>:</w:t>
      </w:r>
    </w:p>
    <w:p w14:paraId="62BB0362" w14:textId="53D9F4C9" w:rsidR="007B430E" w:rsidRPr="00782C6B" w:rsidRDefault="007B430E" w:rsidP="009000E3">
      <w:pPr>
        <w:pStyle w:val="ab"/>
        <w:numPr>
          <w:ilvl w:val="0"/>
          <w:numId w:val="35"/>
        </w:numPr>
        <w:rPr>
          <w:rtl/>
        </w:rPr>
      </w:pPr>
      <w:r>
        <w:rPr>
          <w:rFonts w:cs="Arial" w:hint="cs"/>
          <w:rtl/>
        </w:rPr>
        <w:t>רמב"ם</w:t>
      </w:r>
      <w:r>
        <w:rPr>
          <w:rStyle w:val="a7"/>
          <w:rFonts w:cs="Arial"/>
          <w:rtl/>
        </w:rPr>
        <w:footnoteReference w:id="778"/>
      </w:r>
      <w:r w:rsidR="000E736B">
        <w:rPr>
          <w:rFonts w:cs="Arial" w:hint="cs"/>
          <w:sz w:val="16"/>
          <w:szCs w:val="16"/>
          <w:rtl/>
        </w:rPr>
        <w:t xml:space="preserve"> </w:t>
      </w:r>
      <w:r>
        <w:rPr>
          <w:rFonts w:cs="Arial" w:hint="cs"/>
          <w:sz w:val="16"/>
          <w:szCs w:val="16"/>
          <w:rtl/>
        </w:rPr>
        <w:t>(פכ"א מאישות הי"ג)</w:t>
      </w:r>
      <w:r>
        <w:rPr>
          <w:rFonts w:cs="Arial" w:hint="cs"/>
          <w:rtl/>
        </w:rPr>
        <w:t xml:space="preserve"> ו</w:t>
      </w:r>
      <w:r w:rsidR="00782C6B">
        <w:rPr>
          <w:rFonts w:cs="Arial" w:hint="cs"/>
          <w:rtl/>
        </w:rPr>
        <w:t xml:space="preserve">טור- </w:t>
      </w:r>
      <w:r w:rsidR="00782C6B" w:rsidRPr="001941C7">
        <w:rPr>
          <w:rFonts w:cs="Arial"/>
          <w:rtl/>
        </w:rPr>
        <w:t>ואם היא אומרת אני אניק</w:t>
      </w:r>
      <w:r w:rsidR="00782C6B">
        <w:rPr>
          <w:rFonts w:cs="Arial" w:hint="cs"/>
          <w:rtl/>
        </w:rPr>
        <w:t>,</w:t>
      </w:r>
      <w:r w:rsidR="00782C6B" w:rsidRPr="001941C7">
        <w:rPr>
          <w:rFonts w:cs="Arial"/>
          <w:rtl/>
        </w:rPr>
        <w:t xml:space="preserve"> והוא אינו רוצה שתניק כדי שלא תתנוול </w:t>
      </w:r>
      <w:r w:rsidR="00782C6B">
        <w:rPr>
          <w:rFonts w:cs="Arial" w:hint="cs"/>
          <w:rtl/>
        </w:rPr>
        <w:t xml:space="preserve">- </w:t>
      </w:r>
      <w:r w:rsidR="00782C6B" w:rsidRPr="001941C7">
        <w:rPr>
          <w:rFonts w:cs="Arial"/>
          <w:rtl/>
        </w:rPr>
        <w:t>שומעין לה</w:t>
      </w:r>
      <w:r w:rsidR="00782C6B">
        <w:rPr>
          <w:rFonts w:cs="Arial" w:hint="cs"/>
          <w:rtl/>
        </w:rPr>
        <w:t>,</w:t>
      </w:r>
      <w:r w:rsidR="00782C6B" w:rsidRPr="001941C7">
        <w:rPr>
          <w:rFonts w:cs="Arial"/>
          <w:rtl/>
        </w:rPr>
        <w:t xml:space="preserve"> שהחלב מצער אותה</w:t>
      </w:r>
      <w:r>
        <w:rPr>
          <w:rFonts w:cs="Arial" w:hint="cs"/>
          <w:sz w:val="16"/>
          <w:szCs w:val="16"/>
          <w:rtl/>
        </w:rPr>
        <w:t xml:space="preserve"> (ל' הטור)</w:t>
      </w:r>
      <w:r w:rsidR="00782C6B">
        <w:rPr>
          <w:rFonts w:cs="Arial" w:hint="cs"/>
          <w:rtl/>
        </w:rPr>
        <w:t>.</w:t>
      </w:r>
      <w:r w:rsidR="000E736B" w:rsidRPr="000E736B">
        <w:rPr>
          <w:rFonts w:hint="cs"/>
          <w:color w:val="E36C0A" w:themeColor="accent6" w:themeShade="BF"/>
          <w:rtl/>
        </w:rPr>
        <w:t xml:space="preserve"> </w:t>
      </w:r>
      <w:r w:rsidR="000E736B" w:rsidRPr="007B430E">
        <w:rPr>
          <w:rFonts w:hint="cs"/>
          <w:color w:val="E36C0A" w:themeColor="accent6" w:themeShade="BF"/>
          <w:rtl/>
        </w:rPr>
        <w:t>(וכ"פ בשו"ע)</w:t>
      </w:r>
    </w:p>
    <w:p w14:paraId="560FDC7C"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0E1C51AB" w14:textId="60FC54E6" w:rsidR="000D2069" w:rsidRDefault="000D2069" w:rsidP="000D2069">
      <w:pPr>
        <w:rPr>
          <w:rtl/>
        </w:rPr>
      </w:pPr>
      <w:r>
        <w:rPr>
          <w:rFonts w:cs="Arial"/>
          <w:rtl/>
        </w:rPr>
        <w:t>היא אומרת: אני אניק את בני, והוא אינו רוצה, שומעין לה</w:t>
      </w:r>
      <w:r w:rsidR="005B171D">
        <w:rPr>
          <w:rStyle w:val="a7"/>
          <w:rFonts w:cs="Arial"/>
          <w:rtl/>
        </w:rPr>
        <w:footnoteReference w:id="779"/>
      </w:r>
      <w:r>
        <w:rPr>
          <w:rFonts w:cs="Arial"/>
          <w:rtl/>
        </w:rPr>
        <w:t xml:space="preserve">. </w:t>
      </w:r>
    </w:p>
    <w:p w14:paraId="6C53E18F" w14:textId="77777777" w:rsidR="001941C7" w:rsidRDefault="001941C7" w:rsidP="000D2069">
      <w:pPr>
        <w:rPr>
          <w:rtl/>
        </w:rPr>
      </w:pPr>
    </w:p>
    <w:p w14:paraId="6F75CE02" w14:textId="6BA56477" w:rsidR="000D2069" w:rsidRDefault="000D2069" w:rsidP="000F64D0">
      <w:pPr>
        <w:pStyle w:val="2"/>
        <w:rPr>
          <w:rtl/>
        </w:rPr>
      </w:pPr>
      <w:r>
        <w:rPr>
          <w:rtl/>
        </w:rPr>
        <w:t>סעיף ג</w:t>
      </w:r>
      <w:r w:rsidR="000E736B">
        <w:rPr>
          <w:rFonts w:hint="cs"/>
          <w:rtl/>
        </w:rPr>
        <w:t xml:space="preserve">: </w:t>
      </w:r>
      <w:r w:rsidR="000E736B" w:rsidRPr="007B430E">
        <w:rPr>
          <w:rtl/>
        </w:rPr>
        <w:t>הוא אומר להניק והיא אומרת שלא להניק</w:t>
      </w:r>
      <w:r w:rsidR="000E736B">
        <w:rPr>
          <w:rFonts w:hint="cs"/>
          <w:rtl/>
        </w:rPr>
        <w:t>.</w:t>
      </w:r>
    </w:p>
    <w:p w14:paraId="1BD3D80B" w14:textId="77777777" w:rsidR="000E736B" w:rsidRPr="007B430E" w:rsidRDefault="000E736B" w:rsidP="000E736B">
      <w:pPr>
        <w:rPr>
          <w:rtl/>
        </w:rPr>
      </w:pPr>
      <w:r w:rsidRPr="00AB0AB9">
        <w:rPr>
          <w:rFonts w:cs="Arial" w:hint="cs"/>
          <w:b/>
          <w:bCs/>
          <w:rtl/>
        </w:rPr>
        <w:t>כתובות</w:t>
      </w:r>
      <w:r>
        <w:rPr>
          <w:rFonts w:cs="Arial" w:hint="cs"/>
          <w:b/>
          <w:bCs/>
          <w:rtl/>
        </w:rPr>
        <w:t xml:space="preserve"> </w:t>
      </w:r>
      <w:r>
        <w:rPr>
          <w:rFonts w:cs="Arial" w:hint="cs"/>
          <w:b/>
          <w:bCs/>
          <w:sz w:val="16"/>
          <w:szCs w:val="16"/>
          <w:rtl/>
        </w:rPr>
        <w:t>(פ' אף על פי)</w:t>
      </w:r>
      <w:r w:rsidRPr="00AB0AB9">
        <w:rPr>
          <w:rFonts w:cs="Arial" w:hint="cs"/>
          <w:b/>
          <w:bCs/>
          <w:rtl/>
        </w:rPr>
        <w:t xml:space="preserve"> </w:t>
      </w:r>
      <w:r>
        <w:rPr>
          <w:rFonts w:cs="Arial" w:hint="cs"/>
          <w:b/>
          <w:bCs/>
          <w:rtl/>
        </w:rPr>
        <w:t>סא</w:t>
      </w:r>
      <w:r w:rsidRPr="00AB0AB9">
        <w:rPr>
          <w:rFonts w:cs="Arial" w:hint="cs"/>
          <w:b/>
          <w:bCs/>
          <w:rtl/>
        </w:rPr>
        <w:t xml:space="preserve"> ע"</w:t>
      </w:r>
      <w:r>
        <w:rPr>
          <w:rFonts w:cs="Arial" w:hint="cs"/>
          <w:b/>
          <w:bCs/>
          <w:rtl/>
        </w:rPr>
        <w:t>א</w:t>
      </w:r>
      <w:r w:rsidRPr="00AB0AB9">
        <w:rPr>
          <w:rFonts w:cs="Arial" w:hint="cs"/>
          <w:b/>
          <w:bCs/>
          <w:rtl/>
        </w:rPr>
        <w:t>:</w:t>
      </w:r>
      <w:r>
        <w:rPr>
          <w:rFonts w:cs="Arial" w:hint="cs"/>
          <w:rtl/>
        </w:rPr>
        <w:t xml:space="preserve"> </w:t>
      </w:r>
      <w:r w:rsidRPr="007B430E">
        <w:rPr>
          <w:rFonts w:cs="Arial"/>
          <w:u w:val="single"/>
          <w:rtl/>
        </w:rPr>
        <w:t>אמר רב הונא</w:t>
      </w:r>
      <w:r>
        <w:rPr>
          <w:rFonts w:cs="Arial" w:hint="cs"/>
          <w:rtl/>
        </w:rPr>
        <w:t>:</w:t>
      </w:r>
      <w:r w:rsidRPr="007B430E">
        <w:rPr>
          <w:rFonts w:cs="Arial"/>
          <w:rtl/>
        </w:rPr>
        <w:t xml:space="preserve"> בדק לן רב הונא בר חיננא</w:t>
      </w:r>
      <w:r>
        <w:rPr>
          <w:rFonts w:cs="Arial" w:hint="cs"/>
          <w:rtl/>
        </w:rPr>
        <w:t>,</w:t>
      </w:r>
      <w:r w:rsidRPr="007B430E">
        <w:rPr>
          <w:rFonts w:cs="Arial"/>
          <w:rtl/>
        </w:rPr>
        <w:t xml:space="preserve"> היא אומרת להניק והוא אומר שלא להניק - שומעין לה, צערא דידה הוא</w:t>
      </w:r>
      <w:r>
        <w:rPr>
          <w:rFonts w:cs="Arial" w:hint="cs"/>
          <w:rtl/>
        </w:rPr>
        <w:t>.</w:t>
      </w:r>
      <w:r w:rsidRPr="007B430E">
        <w:rPr>
          <w:rFonts w:cs="Arial"/>
          <w:rtl/>
        </w:rPr>
        <w:t xml:space="preserve"> הוא אומר להניק והיא אומרת שלא להניק, מהו? כל היכא דלאו אורחה שומעין לה, היא אורחה והוא לאו אורחיה, מאי? בתר דידיה אזלינן, או בתר דידה אזלינן? ופשיטנא ליה מהא: עולה עמו ואינה יורדת עמו.</w:t>
      </w:r>
    </w:p>
    <w:p w14:paraId="6D276829" w14:textId="355718CD" w:rsidR="000E736B" w:rsidRPr="000E736B" w:rsidRDefault="000E736B" w:rsidP="000E736B">
      <w:pPr>
        <w:rPr>
          <w:u w:val="single"/>
          <w:rtl/>
        </w:rPr>
      </w:pPr>
      <w:r w:rsidRPr="000E736B">
        <w:rPr>
          <w:rFonts w:cs="Arial"/>
          <w:u w:val="single"/>
          <w:rtl/>
        </w:rPr>
        <w:t>הוא אומר להניק והיא אומרת שלא להניק</w:t>
      </w:r>
      <w:r w:rsidRPr="000E736B">
        <w:rPr>
          <w:rFonts w:hint="cs"/>
          <w:u w:val="single"/>
          <w:rtl/>
        </w:rPr>
        <w:t>:</w:t>
      </w:r>
    </w:p>
    <w:p w14:paraId="74E27F30" w14:textId="23A13E04" w:rsidR="000E736B" w:rsidRPr="000E736B" w:rsidRDefault="000E736B" w:rsidP="009000E3">
      <w:pPr>
        <w:pStyle w:val="ab"/>
        <w:numPr>
          <w:ilvl w:val="0"/>
          <w:numId w:val="35"/>
        </w:numPr>
        <w:rPr>
          <w:rtl/>
        </w:rPr>
      </w:pPr>
      <w:r>
        <w:rPr>
          <w:rFonts w:cs="Arial" w:hint="cs"/>
          <w:rtl/>
        </w:rPr>
        <w:t>רמב"ם</w:t>
      </w:r>
      <w:r>
        <w:rPr>
          <w:rFonts w:cs="Arial" w:hint="cs"/>
          <w:sz w:val="16"/>
          <w:szCs w:val="16"/>
          <w:rtl/>
        </w:rPr>
        <w:t xml:space="preserve"> (פכ"א מאישות הי"</w:t>
      </w:r>
      <w:r w:rsidR="0041366C">
        <w:rPr>
          <w:rFonts w:cs="Arial" w:hint="cs"/>
          <w:sz w:val="16"/>
          <w:szCs w:val="16"/>
          <w:rtl/>
        </w:rPr>
        <w:t>ד</w:t>
      </w:r>
      <w:r>
        <w:rPr>
          <w:rFonts w:cs="Arial" w:hint="cs"/>
          <w:sz w:val="16"/>
          <w:szCs w:val="16"/>
          <w:rtl/>
        </w:rPr>
        <w:t>)</w:t>
      </w:r>
      <w:r w:rsidRPr="000E736B">
        <w:rPr>
          <w:rFonts w:cs="Arial" w:hint="cs"/>
          <w:rtl/>
        </w:rPr>
        <w:t xml:space="preserve"> </w:t>
      </w:r>
      <w:r>
        <w:rPr>
          <w:rFonts w:cs="Arial" w:hint="cs"/>
          <w:rtl/>
        </w:rPr>
        <w:t>וטור</w:t>
      </w:r>
      <w:r>
        <w:rPr>
          <w:rStyle w:val="a7"/>
          <w:rFonts w:cs="Arial"/>
          <w:rtl/>
        </w:rPr>
        <w:footnoteReference w:id="780"/>
      </w:r>
      <w:r>
        <w:rPr>
          <w:rFonts w:cs="Arial" w:hint="cs"/>
          <w:rtl/>
        </w:rPr>
        <w:t xml:space="preserve">- </w:t>
      </w:r>
      <w:r w:rsidRPr="000E736B">
        <w:rPr>
          <w:rFonts w:cs="Arial"/>
          <w:rtl/>
        </w:rPr>
        <w:t>היתה ענייה שהיא חייבת להניק את בנה</w:t>
      </w:r>
      <w:r>
        <w:rPr>
          <w:rFonts w:cs="Arial" w:hint="cs"/>
          <w:rtl/>
        </w:rPr>
        <w:t>,</w:t>
      </w:r>
      <w:r w:rsidRPr="000E736B">
        <w:rPr>
          <w:rFonts w:cs="Arial"/>
          <w:rtl/>
        </w:rPr>
        <w:t xml:space="preserve"> והרי הוא עשיר שראוי לו שלא תניק אשתו</w:t>
      </w:r>
      <w:r>
        <w:rPr>
          <w:rFonts w:cs="Arial" w:hint="cs"/>
          <w:rtl/>
        </w:rPr>
        <w:t>,</w:t>
      </w:r>
      <w:r w:rsidRPr="000E736B">
        <w:rPr>
          <w:rFonts w:cs="Arial"/>
          <w:rtl/>
        </w:rPr>
        <w:t xml:space="preserve"> אף על פי שאין לו שפחות אם לא רצת להניק </w:t>
      </w:r>
      <w:r>
        <w:rPr>
          <w:rFonts w:cs="Arial" w:hint="cs"/>
          <w:rtl/>
        </w:rPr>
        <w:t xml:space="preserve">- </w:t>
      </w:r>
      <w:r w:rsidRPr="000E736B">
        <w:rPr>
          <w:rFonts w:cs="Arial"/>
          <w:rtl/>
        </w:rPr>
        <w:t>שוכר מניקה או קונה שפחה</w:t>
      </w:r>
      <w:r>
        <w:rPr>
          <w:rFonts w:cs="Arial" w:hint="cs"/>
          <w:rtl/>
        </w:rPr>
        <w:t>,</w:t>
      </w:r>
      <w:r w:rsidRPr="000E736B">
        <w:rPr>
          <w:rFonts w:cs="Arial"/>
          <w:rtl/>
        </w:rPr>
        <w:t xml:space="preserve"> מפני שהאשה עולה עם בעלה ואינה יורדת</w:t>
      </w:r>
      <w:r>
        <w:rPr>
          <w:rFonts w:cs="Arial" w:hint="cs"/>
          <w:sz w:val="16"/>
          <w:szCs w:val="16"/>
          <w:rtl/>
        </w:rPr>
        <w:t xml:space="preserve"> (ל' הרמב"ם)</w:t>
      </w:r>
      <w:r>
        <w:rPr>
          <w:rFonts w:cs="Arial" w:hint="cs"/>
          <w:rtl/>
        </w:rPr>
        <w:t>.</w:t>
      </w:r>
      <w:r w:rsidRPr="000E736B">
        <w:rPr>
          <w:rFonts w:hint="cs"/>
          <w:color w:val="E36C0A" w:themeColor="accent6" w:themeShade="BF"/>
          <w:rtl/>
        </w:rPr>
        <w:t xml:space="preserve"> </w:t>
      </w:r>
      <w:r w:rsidRPr="007B430E">
        <w:rPr>
          <w:rFonts w:hint="cs"/>
          <w:color w:val="E36C0A" w:themeColor="accent6" w:themeShade="BF"/>
          <w:rtl/>
        </w:rPr>
        <w:t>(וכ"פ בשו"ע)</w:t>
      </w:r>
    </w:p>
    <w:p w14:paraId="398A59FD"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156D081C" w14:textId="211834D1" w:rsidR="000D2069" w:rsidRDefault="000D2069" w:rsidP="000D2069">
      <w:pPr>
        <w:rPr>
          <w:rtl/>
        </w:rPr>
      </w:pPr>
      <w:r>
        <w:rPr>
          <w:rFonts w:cs="Arial"/>
          <w:rtl/>
        </w:rPr>
        <w:t>היתה ענייה שחייבת להניק את בנה, והוא עשיר שראוי לו שלא תניק אשתו, אם רצתה, שוכר מניקה או קונה שפחה, מפני שעולה עמו ואינה יורדת</w:t>
      </w:r>
      <w:r w:rsidR="001B5F1A">
        <w:rPr>
          <w:rStyle w:val="a7"/>
          <w:rFonts w:cs="Arial"/>
          <w:rtl/>
        </w:rPr>
        <w:footnoteReference w:id="781"/>
      </w:r>
      <w:r>
        <w:rPr>
          <w:rFonts w:cs="Arial"/>
          <w:rtl/>
        </w:rPr>
        <w:t xml:space="preserve">. </w:t>
      </w:r>
    </w:p>
    <w:p w14:paraId="7A31462A" w14:textId="77777777" w:rsidR="001941C7" w:rsidRDefault="001941C7" w:rsidP="000D2069">
      <w:pPr>
        <w:rPr>
          <w:rtl/>
        </w:rPr>
      </w:pPr>
    </w:p>
    <w:p w14:paraId="12DCC482" w14:textId="295240DC" w:rsidR="000D2069" w:rsidRDefault="000D2069" w:rsidP="000F64D0">
      <w:pPr>
        <w:pStyle w:val="2"/>
        <w:rPr>
          <w:rtl/>
        </w:rPr>
      </w:pPr>
      <w:r>
        <w:rPr>
          <w:rtl/>
        </w:rPr>
        <w:t>סעיף ד</w:t>
      </w:r>
      <w:r w:rsidR="000E736B">
        <w:rPr>
          <w:rFonts w:hint="cs"/>
          <w:rtl/>
        </w:rPr>
        <w:t xml:space="preserve">: </w:t>
      </w:r>
      <w:r w:rsidR="000E736B" w:rsidRPr="000E736B">
        <w:rPr>
          <w:rtl/>
        </w:rPr>
        <w:t xml:space="preserve">היא אומרת </w:t>
      </w:r>
      <w:r w:rsidR="000E736B">
        <w:rPr>
          <w:rFonts w:hint="cs"/>
          <w:rtl/>
        </w:rPr>
        <w:t>'</w:t>
      </w:r>
      <w:r w:rsidR="000E736B" w:rsidRPr="000E736B">
        <w:rPr>
          <w:rtl/>
        </w:rPr>
        <w:t>ראוי הוא לשכור</w:t>
      </w:r>
      <w:r w:rsidR="000E736B">
        <w:rPr>
          <w:rFonts w:hint="cs"/>
          <w:rtl/>
        </w:rPr>
        <w:t>/</w:t>
      </w:r>
      <w:r w:rsidR="000E736B" w:rsidRPr="000E736B">
        <w:rPr>
          <w:rtl/>
        </w:rPr>
        <w:t>לקנות שפחה</w:t>
      </w:r>
      <w:r w:rsidR="000E736B">
        <w:rPr>
          <w:rFonts w:hint="cs"/>
          <w:rtl/>
        </w:rPr>
        <w:t>'</w:t>
      </w:r>
      <w:r w:rsidR="000E736B" w:rsidRPr="000E736B">
        <w:rPr>
          <w:rtl/>
        </w:rPr>
        <w:t xml:space="preserve"> והוא אומר </w:t>
      </w:r>
      <w:r w:rsidR="000E736B">
        <w:rPr>
          <w:rFonts w:hint="cs"/>
          <w:rtl/>
        </w:rPr>
        <w:t>'</w:t>
      </w:r>
      <w:r w:rsidR="000E736B" w:rsidRPr="000E736B">
        <w:rPr>
          <w:rtl/>
        </w:rPr>
        <w:t>איני ראוי</w:t>
      </w:r>
      <w:r w:rsidR="000E736B">
        <w:rPr>
          <w:rFonts w:hint="cs"/>
          <w:rtl/>
        </w:rPr>
        <w:t>'.</w:t>
      </w:r>
    </w:p>
    <w:p w14:paraId="7C8BCE2D" w14:textId="76FCC86C" w:rsidR="00782C6B" w:rsidRPr="00F4316E" w:rsidRDefault="000E736B" w:rsidP="00782C6B">
      <w:pPr>
        <w:rPr>
          <w:u w:val="single"/>
        </w:rPr>
      </w:pPr>
      <w:r w:rsidRPr="000E736B">
        <w:rPr>
          <w:rFonts w:cs="Arial"/>
          <w:u w:val="single"/>
          <w:rtl/>
        </w:rPr>
        <w:t xml:space="preserve">היא אומרת </w:t>
      </w:r>
      <w:r w:rsidRPr="000E736B">
        <w:rPr>
          <w:rFonts w:cs="Arial" w:hint="cs"/>
          <w:u w:val="single"/>
          <w:rtl/>
        </w:rPr>
        <w:t>'</w:t>
      </w:r>
      <w:r w:rsidRPr="000E736B">
        <w:rPr>
          <w:rFonts w:cs="Arial"/>
          <w:u w:val="single"/>
          <w:rtl/>
        </w:rPr>
        <w:t>ראוי הוא לשכור</w:t>
      </w:r>
      <w:r w:rsidRPr="000E736B">
        <w:rPr>
          <w:rFonts w:cs="Arial" w:hint="cs"/>
          <w:u w:val="single"/>
          <w:rtl/>
        </w:rPr>
        <w:t>/</w:t>
      </w:r>
      <w:r w:rsidRPr="000E736B">
        <w:rPr>
          <w:rFonts w:cs="Arial"/>
          <w:u w:val="single"/>
          <w:rtl/>
        </w:rPr>
        <w:t>לקנות שפחה</w:t>
      </w:r>
      <w:r w:rsidRPr="000E736B">
        <w:rPr>
          <w:rFonts w:cs="Arial" w:hint="cs"/>
          <w:u w:val="single"/>
          <w:rtl/>
        </w:rPr>
        <w:t>'</w:t>
      </w:r>
      <w:r w:rsidRPr="000E736B">
        <w:rPr>
          <w:rFonts w:cs="Arial"/>
          <w:u w:val="single"/>
          <w:rtl/>
        </w:rPr>
        <w:t xml:space="preserve"> והוא אומר </w:t>
      </w:r>
      <w:r w:rsidRPr="000E736B">
        <w:rPr>
          <w:rFonts w:cs="Arial" w:hint="cs"/>
          <w:u w:val="single"/>
          <w:rtl/>
        </w:rPr>
        <w:t>'</w:t>
      </w:r>
      <w:r w:rsidRPr="000E736B">
        <w:rPr>
          <w:rFonts w:cs="Arial"/>
          <w:u w:val="single"/>
          <w:rtl/>
        </w:rPr>
        <w:t>איני ראוי</w:t>
      </w:r>
      <w:r w:rsidRPr="000E736B">
        <w:rPr>
          <w:rFonts w:cs="Arial" w:hint="cs"/>
          <w:u w:val="single"/>
          <w:rtl/>
        </w:rPr>
        <w:t>'</w:t>
      </w:r>
      <w:r w:rsidR="00782C6B" w:rsidRPr="00F4316E">
        <w:rPr>
          <w:rFonts w:hint="cs"/>
          <w:u w:val="single"/>
          <w:rtl/>
        </w:rPr>
        <w:t>:</w:t>
      </w:r>
    </w:p>
    <w:p w14:paraId="6D465142" w14:textId="4BB5D2AF" w:rsidR="000E736B" w:rsidRPr="00782C6B" w:rsidRDefault="000E736B" w:rsidP="009000E3">
      <w:pPr>
        <w:pStyle w:val="ab"/>
        <w:numPr>
          <w:ilvl w:val="0"/>
          <w:numId w:val="35"/>
        </w:numPr>
        <w:rPr>
          <w:rtl/>
        </w:rPr>
      </w:pPr>
      <w:r>
        <w:rPr>
          <w:rFonts w:cs="Arial" w:hint="cs"/>
          <w:rtl/>
        </w:rPr>
        <w:t>רמב"ם</w:t>
      </w:r>
      <w:r w:rsidR="0041366C">
        <w:rPr>
          <w:rFonts w:cs="Arial" w:hint="cs"/>
          <w:rtl/>
        </w:rPr>
        <w:t xml:space="preserve"> </w:t>
      </w:r>
      <w:r w:rsidR="0041366C">
        <w:rPr>
          <w:rFonts w:cs="Arial" w:hint="cs"/>
          <w:sz w:val="16"/>
          <w:szCs w:val="16"/>
          <w:rtl/>
        </w:rPr>
        <w:t>(פכ"א הט"ו)</w:t>
      </w:r>
      <w:r>
        <w:rPr>
          <w:rFonts w:cs="Arial" w:hint="cs"/>
          <w:rtl/>
        </w:rPr>
        <w:t xml:space="preserve">- </w:t>
      </w:r>
      <w:r w:rsidRPr="000E736B">
        <w:rPr>
          <w:rFonts w:cs="Arial"/>
          <w:rtl/>
        </w:rPr>
        <w:t>היא אומרת ראוי הוא לשכור או לקנות שפחה והוא אומר איני ראוי, עליה להביא ראיה ואין כאן מקום לשבועה.</w:t>
      </w:r>
      <w:r w:rsidRPr="000E736B">
        <w:rPr>
          <w:rFonts w:hint="cs"/>
          <w:color w:val="E36C0A" w:themeColor="accent6" w:themeShade="BF"/>
          <w:rtl/>
        </w:rPr>
        <w:t xml:space="preserve"> </w:t>
      </w:r>
      <w:r w:rsidRPr="007B430E">
        <w:rPr>
          <w:rFonts w:hint="cs"/>
          <w:color w:val="E36C0A" w:themeColor="accent6" w:themeShade="BF"/>
          <w:rtl/>
        </w:rPr>
        <w:t>(וכ"פ בשו"ע)</w:t>
      </w:r>
    </w:p>
    <w:p w14:paraId="0BAB09B1"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3A6B7AC1" w14:textId="7D148B0B" w:rsidR="000D2069" w:rsidRDefault="000D2069" w:rsidP="000D2069">
      <w:pPr>
        <w:rPr>
          <w:rtl/>
        </w:rPr>
      </w:pPr>
      <w:r>
        <w:rPr>
          <w:rFonts w:cs="Arial"/>
          <w:rtl/>
        </w:rPr>
        <w:t>היא אומרת: ראוי לשכור או לקנות שפחה, והוא אומר: איני ראוי, עליה להביא ראיה</w:t>
      </w:r>
      <w:r w:rsidR="001B5F1A">
        <w:rPr>
          <w:rStyle w:val="a7"/>
          <w:rFonts w:cs="Arial"/>
          <w:rtl/>
        </w:rPr>
        <w:footnoteReference w:id="782"/>
      </w:r>
      <w:r>
        <w:rPr>
          <w:rFonts w:cs="Arial"/>
          <w:rtl/>
        </w:rPr>
        <w:t xml:space="preserve">. </w:t>
      </w:r>
    </w:p>
    <w:p w14:paraId="14D8D62B" w14:textId="77777777" w:rsidR="001941C7" w:rsidRDefault="001941C7" w:rsidP="000D2069">
      <w:pPr>
        <w:rPr>
          <w:rtl/>
        </w:rPr>
      </w:pPr>
    </w:p>
    <w:p w14:paraId="48511B8C" w14:textId="5B68A0DE" w:rsidR="000D2069" w:rsidRDefault="000D2069" w:rsidP="000F64D0">
      <w:pPr>
        <w:pStyle w:val="2"/>
        <w:rPr>
          <w:rtl/>
        </w:rPr>
      </w:pPr>
      <w:r>
        <w:rPr>
          <w:rtl/>
        </w:rPr>
        <w:t>סעיף ה</w:t>
      </w:r>
      <w:r w:rsidR="00782C6B">
        <w:rPr>
          <w:rFonts w:hint="cs"/>
          <w:rtl/>
        </w:rPr>
        <w:t>:</w:t>
      </w:r>
      <w:r w:rsidR="0041366C">
        <w:rPr>
          <w:rFonts w:hint="cs"/>
          <w:rtl/>
        </w:rPr>
        <w:t xml:space="preserve"> </w:t>
      </w:r>
      <w:r w:rsidR="004C57C6" w:rsidRPr="004C57C6">
        <w:rPr>
          <w:rFonts w:hint="cs"/>
          <w:rtl/>
        </w:rPr>
        <w:t>נתגרשה ויש לה בן יונק</w:t>
      </w:r>
      <w:r w:rsidR="0041366C">
        <w:rPr>
          <w:rFonts w:hint="cs"/>
          <w:rtl/>
        </w:rPr>
        <w:t>.</w:t>
      </w:r>
    </w:p>
    <w:p w14:paraId="3DFD4197" w14:textId="70B1E099" w:rsidR="00F2115F" w:rsidRPr="00F2115F" w:rsidRDefault="00F2115F" w:rsidP="00F2115F">
      <w:pPr>
        <w:rPr>
          <w:rFonts w:cs="Arial"/>
          <w:rtl/>
        </w:rPr>
      </w:pPr>
      <w:r w:rsidRPr="00F2115F">
        <w:rPr>
          <w:rFonts w:cs="Arial" w:hint="cs"/>
          <w:b/>
          <w:bCs/>
          <w:rtl/>
        </w:rPr>
        <w:t xml:space="preserve">ירושלמי כתובות פ"ה ה"ו: </w:t>
      </w:r>
      <w:r w:rsidRPr="00F2115F">
        <w:rPr>
          <w:rFonts w:cs="Arial"/>
          <w:rtl/>
        </w:rPr>
        <w:t>נדרה שלא להניק את בנה</w:t>
      </w:r>
      <w:r w:rsidR="008404C2">
        <w:rPr>
          <w:rFonts w:cs="Arial" w:hint="cs"/>
          <w:rtl/>
        </w:rPr>
        <w:t>,</w:t>
      </w:r>
      <w:r w:rsidRPr="00F2115F">
        <w:rPr>
          <w:rFonts w:cs="Arial"/>
          <w:rtl/>
        </w:rPr>
        <w:t xml:space="preserve"> </w:t>
      </w:r>
      <w:r w:rsidRPr="008404C2">
        <w:rPr>
          <w:rFonts w:cs="Arial"/>
          <w:u w:val="single"/>
          <w:rtl/>
        </w:rPr>
        <w:t>ב"ש אומרים</w:t>
      </w:r>
      <w:r w:rsidR="008404C2">
        <w:rPr>
          <w:rFonts w:cs="Arial" w:hint="cs"/>
          <w:rtl/>
        </w:rPr>
        <w:t>:</w:t>
      </w:r>
      <w:r w:rsidRPr="00F2115F">
        <w:rPr>
          <w:rFonts w:cs="Arial"/>
          <w:rtl/>
        </w:rPr>
        <w:t xml:space="preserve"> שומטין את הדד מתוך פיו</w:t>
      </w:r>
      <w:r w:rsidR="008404C2">
        <w:rPr>
          <w:rFonts w:cs="Arial" w:hint="cs"/>
          <w:rtl/>
        </w:rPr>
        <w:t>.</w:t>
      </w:r>
      <w:r w:rsidRPr="00F2115F">
        <w:rPr>
          <w:rFonts w:cs="Arial"/>
          <w:rtl/>
        </w:rPr>
        <w:t xml:space="preserve"> </w:t>
      </w:r>
      <w:r w:rsidRPr="008404C2">
        <w:rPr>
          <w:rFonts w:cs="Arial"/>
          <w:u w:val="single"/>
          <w:rtl/>
        </w:rPr>
        <w:t>וב"ה אומרים</w:t>
      </w:r>
      <w:r w:rsidR="008404C2">
        <w:rPr>
          <w:rFonts w:cs="Arial" w:hint="cs"/>
          <w:rtl/>
        </w:rPr>
        <w:t>:</w:t>
      </w:r>
      <w:r w:rsidRPr="00F2115F">
        <w:rPr>
          <w:rFonts w:cs="Arial"/>
          <w:rtl/>
        </w:rPr>
        <w:t xml:space="preserve"> כופין אותה</w:t>
      </w:r>
      <w:r w:rsidR="008404C2">
        <w:rPr>
          <w:rFonts w:cs="Arial" w:hint="cs"/>
          <w:rtl/>
        </w:rPr>
        <w:t>.</w:t>
      </w:r>
      <w:r w:rsidRPr="00F2115F">
        <w:rPr>
          <w:rFonts w:cs="Arial"/>
          <w:rtl/>
        </w:rPr>
        <w:t xml:space="preserve"> נתגרשה </w:t>
      </w:r>
      <w:r w:rsidR="00DD0041">
        <w:rPr>
          <w:rFonts w:cs="Arial" w:hint="cs"/>
          <w:rtl/>
        </w:rPr>
        <w:t xml:space="preserve">- </w:t>
      </w:r>
      <w:r w:rsidRPr="00F2115F">
        <w:rPr>
          <w:rFonts w:cs="Arial"/>
          <w:rtl/>
        </w:rPr>
        <w:t>אין כופין אותה</w:t>
      </w:r>
      <w:r w:rsidR="00DD0041">
        <w:rPr>
          <w:rFonts w:cs="Arial" w:hint="cs"/>
          <w:rtl/>
        </w:rPr>
        <w:t>.</w:t>
      </w:r>
      <w:r w:rsidRPr="00F2115F">
        <w:rPr>
          <w:rFonts w:cs="Arial"/>
          <w:rtl/>
        </w:rPr>
        <w:t xml:space="preserve"> במה דברים אמורים בזמן שאינו מכירה</w:t>
      </w:r>
      <w:r w:rsidR="00DD0041">
        <w:rPr>
          <w:rFonts w:cs="Arial" w:hint="cs"/>
          <w:rtl/>
        </w:rPr>
        <w:t>,</w:t>
      </w:r>
      <w:r w:rsidRPr="00F2115F">
        <w:rPr>
          <w:rFonts w:cs="Arial"/>
          <w:rtl/>
        </w:rPr>
        <w:t xml:space="preserve"> אבל אם היה מכירה </w:t>
      </w:r>
      <w:r w:rsidR="00DD0041">
        <w:rPr>
          <w:rFonts w:cs="Arial" w:hint="cs"/>
          <w:rtl/>
        </w:rPr>
        <w:t xml:space="preserve">- </w:t>
      </w:r>
      <w:r w:rsidRPr="00F2115F">
        <w:rPr>
          <w:rFonts w:cs="Arial"/>
          <w:rtl/>
        </w:rPr>
        <w:t>כופין אותה ונותנין לה שכרה שתניק את בנה</w:t>
      </w:r>
      <w:r w:rsidR="00DD0041">
        <w:rPr>
          <w:rFonts w:cs="Arial" w:hint="cs"/>
          <w:rtl/>
        </w:rPr>
        <w:t>.</w:t>
      </w:r>
      <w:r w:rsidRPr="00F2115F">
        <w:rPr>
          <w:rFonts w:cs="Arial"/>
          <w:rtl/>
        </w:rPr>
        <w:t xml:space="preserve"> כמה יהא לו ויהא מכירה</w:t>
      </w:r>
      <w:r w:rsidR="00DD0041">
        <w:rPr>
          <w:rFonts w:cs="Arial" w:hint="cs"/>
          <w:rtl/>
        </w:rPr>
        <w:t>?</w:t>
      </w:r>
      <w:r w:rsidRPr="00F2115F">
        <w:rPr>
          <w:rFonts w:cs="Arial"/>
          <w:rtl/>
        </w:rPr>
        <w:t xml:space="preserve"> </w:t>
      </w:r>
      <w:r w:rsidRPr="00DD0041">
        <w:rPr>
          <w:rFonts w:cs="Arial"/>
          <w:u w:val="single"/>
          <w:rtl/>
        </w:rPr>
        <w:t>ר' ירמיה בשם רב</w:t>
      </w:r>
      <w:r w:rsidR="00DD0041">
        <w:rPr>
          <w:rFonts w:cs="Arial" w:hint="cs"/>
          <w:rtl/>
        </w:rPr>
        <w:t>:</w:t>
      </w:r>
      <w:r w:rsidRPr="00F2115F">
        <w:rPr>
          <w:rFonts w:cs="Arial"/>
          <w:rtl/>
        </w:rPr>
        <w:t xml:space="preserve"> שלשה חדשים</w:t>
      </w:r>
      <w:r w:rsidR="00DD0041">
        <w:rPr>
          <w:rFonts w:cs="Arial" w:hint="cs"/>
          <w:rtl/>
        </w:rPr>
        <w:t>.</w:t>
      </w:r>
      <w:r w:rsidRPr="00F2115F">
        <w:rPr>
          <w:rFonts w:cs="Arial"/>
          <w:rtl/>
        </w:rPr>
        <w:t xml:space="preserve"> והוה רבי זעירא מסתכל ביה</w:t>
      </w:r>
      <w:r w:rsidR="00DD0041">
        <w:rPr>
          <w:rFonts w:cs="Arial" w:hint="cs"/>
          <w:rtl/>
        </w:rPr>
        <w:t>,</w:t>
      </w:r>
      <w:r w:rsidRPr="00F2115F">
        <w:rPr>
          <w:rFonts w:cs="Arial"/>
          <w:rtl/>
        </w:rPr>
        <w:t xml:space="preserve"> </w:t>
      </w:r>
      <w:r w:rsidRPr="00DD0041">
        <w:rPr>
          <w:rFonts w:cs="Arial"/>
          <w:u w:val="single"/>
          <w:rtl/>
        </w:rPr>
        <w:t>אמר ליה</w:t>
      </w:r>
      <w:r w:rsidR="00DD0041">
        <w:rPr>
          <w:rFonts w:cs="Arial" w:hint="cs"/>
          <w:rtl/>
        </w:rPr>
        <w:t>:</w:t>
      </w:r>
      <w:r w:rsidRPr="00F2115F">
        <w:rPr>
          <w:rFonts w:cs="Arial"/>
          <w:rtl/>
        </w:rPr>
        <w:t xml:space="preserve"> מה את מסתכל בי</w:t>
      </w:r>
      <w:r w:rsidR="00B71110">
        <w:rPr>
          <w:rFonts w:cs="Arial" w:hint="cs"/>
          <w:rtl/>
        </w:rPr>
        <w:t>?</w:t>
      </w:r>
      <w:r w:rsidRPr="00F2115F">
        <w:rPr>
          <w:rFonts w:cs="Arial"/>
          <w:rtl/>
        </w:rPr>
        <w:t xml:space="preserve"> נימר לך מן ההיא דשמואל</w:t>
      </w:r>
      <w:r w:rsidR="00B71110">
        <w:rPr>
          <w:rFonts w:cs="Arial" w:hint="cs"/>
          <w:rtl/>
        </w:rPr>
        <w:t>,</w:t>
      </w:r>
      <w:r w:rsidRPr="00F2115F">
        <w:rPr>
          <w:rFonts w:cs="Arial"/>
          <w:rtl/>
        </w:rPr>
        <w:t xml:space="preserve"> דאמר שמואל שלשה ימים</w:t>
      </w:r>
      <w:r w:rsidR="00B71110">
        <w:rPr>
          <w:rFonts w:cs="Arial" w:hint="cs"/>
          <w:rtl/>
        </w:rPr>
        <w:t>.</w:t>
      </w:r>
      <w:r w:rsidRPr="00F2115F">
        <w:rPr>
          <w:rFonts w:cs="Arial"/>
          <w:rtl/>
        </w:rPr>
        <w:t xml:space="preserve"> שמואל כדעתיה</w:t>
      </w:r>
      <w:r w:rsidR="00B71110">
        <w:rPr>
          <w:rFonts w:cs="Arial" w:hint="cs"/>
          <w:rtl/>
        </w:rPr>
        <w:t>,</w:t>
      </w:r>
      <w:r w:rsidRPr="00F2115F">
        <w:rPr>
          <w:rFonts w:cs="Arial"/>
          <w:rtl/>
        </w:rPr>
        <w:t xml:space="preserve"> שמואל אמר חכים אנא לחייתא דילדין לי</w:t>
      </w:r>
      <w:r w:rsidR="00B71110">
        <w:rPr>
          <w:rFonts w:cs="Arial" w:hint="cs"/>
          <w:rtl/>
        </w:rPr>
        <w:t>.</w:t>
      </w:r>
      <w:r w:rsidRPr="00F2115F">
        <w:rPr>
          <w:rFonts w:cs="Arial"/>
          <w:rtl/>
        </w:rPr>
        <w:t xml:space="preserve"> ר' יהושע בן לוי אמר חכים אנא לגזורה דגזרין לי</w:t>
      </w:r>
      <w:r w:rsidR="00B71110">
        <w:rPr>
          <w:rFonts w:cs="Arial" w:hint="cs"/>
          <w:rtl/>
        </w:rPr>
        <w:t>.</w:t>
      </w:r>
      <w:r w:rsidRPr="00F2115F">
        <w:rPr>
          <w:rFonts w:cs="Arial"/>
          <w:rtl/>
        </w:rPr>
        <w:t xml:space="preserve"> ר' יוחנן אמר חכים אנא לנשייא דצבתין עם אימא</w:t>
      </w:r>
      <w:r w:rsidRPr="00F2115F">
        <w:rPr>
          <w:rFonts w:cs="Arial" w:hint="cs"/>
          <w:rtl/>
        </w:rPr>
        <w:t>.</w:t>
      </w:r>
      <w:r w:rsidR="00BA198C">
        <w:rPr>
          <w:rFonts w:cs="Arial" w:hint="cs"/>
          <w:rtl/>
        </w:rPr>
        <w:t xml:space="preserve"> </w:t>
      </w:r>
    </w:p>
    <w:p w14:paraId="06311DD7" w14:textId="70DEB160" w:rsidR="0041366C" w:rsidRDefault="009C7F6A" w:rsidP="004C57C6">
      <w:pPr>
        <w:rPr>
          <w:rFonts w:cs="Arial"/>
          <w:rtl/>
        </w:rPr>
      </w:pPr>
      <w:r w:rsidRPr="00AB0AB9">
        <w:rPr>
          <w:rFonts w:cs="Arial" w:hint="cs"/>
          <w:b/>
          <w:bCs/>
          <w:rtl/>
        </w:rPr>
        <w:t>כתובות</w:t>
      </w:r>
      <w:r>
        <w:rPr>
          <w:rFonts w:cs="Arial" w:hint="cs"/>
          <w:b/>
          <w:bCs/>
          <w:rtl/>
        </w:rPr>
        <w:t xml:space="preserve"> </w:t>
      </w:r>
      <w:r>
        <w:rPr>
          <w:rFonts w:cs="Arial" w:hint="cs"/>
          <w:b/>
          <w:bCs/>
          <w:sz w:val="16"/>
          <w:szCs w:val="16"/>
          <w:rtl/>
        </w:rPr>
        <w:t>(פ' אף על פי)</w:t>
      </w:r>
      <w:r w:rsidRPr="00AB0AB9">
        <w:rPr>
          <w:rFonts w:cs="Arial" w:hint="cs"/>
          <w:b/>
          <w:bCs/>
          <w:rtl/>
        </w:rPr>
        <w:t xml:space="preserve"> </w:t>
      </w:r>
      <w:r>
        <w:rPr>
          <w:rFonts w:cs="Arial" w:hint="cs"/>
          <w:b/>
          <w:bCs/>
          <w:rtl/>
        </w:rPr>
        <w:t>נט</w:t>
      </w:r>
      <w:r w:rsidRPr="00AB0AB9">
        <w:rPr>
          <w:rFonts w:cs="Arial" w:hint="cs"/>
          <w:b/>
          <w:bCs/>
          <w:rtl/>
        </w:rPr>
        <w:t xml:space="preserve"> ע"</w:t>
      </w:r>
      <w:r>
        <w:rPr>
          <w:rFonts w:cs="Arial" w:hint="cs"/>
          <w:b/>
          <w:bCs/>
          <w:rtl/>
        </w:rPr>
        <w:t>ב</w:t>
      </w:r>
      <w:r w:rsidRPr="00AB0AB9">
        <w:rPr>
          <w:rFonts w:cs="Arial" w:hint="cs"/>
          <w:b/>
          <w:bCs/>
          <w:rtl/>
        </w:rPr>
        <w:t>:</w:t>
      </w:r>
      <w:r w:rsidRPr="009C7F6A">
        <w:rPr>
          <w:rFonts w:cs="Arial"/>
          <w:rtl/>
        </w:rPr>
        <w:t xml:space="preserve"> דתניא: נדרה שלא להניק את בנה, </w:t>
      </w:r>
      <w:r w:rsidRPr="00160E1F">
        <w:rPr>
          <w:rFonts w:cs="Arial"/>
          <w:u w:val="single"/>
          <w:rtl/>
        </w:rPr>
        <w:t>בש"א</w:t>
      </w:r>
      <w:r w:rsidRPr="009C7F6A">
        <w:rPr>
          <w:rFonts w:cs="Arial"/>
          <w:rtl/>
        </w:rPr>
        <w:t xml:space="preserve">: שומטת דד מפיו, </w:t>
      </w:r>
      <w:r w:rsidRPr="00160E1F">
        <w:rPr>
          <w:rFonts w:cs="Arial"/>
          <w:u w:val="single"/>
          <w:rtl/>
        </w:rPr>
        <w:t>בה"א</w:t>
      </w:r>
      <w:r w:rsidRPr="009C7F6A">
        <w:rPr>
          <w:rFonts w:cs="Arial"/>
          <w:rtl/>
        </w:rPr>
        <w:t>: כופה ומניקתו, נתגרשה - אינו כופה, ואם היה מכירה - נותן לה שכרה וכופה ומניקתו, מפני הסכנה</w:t>
      </w:r>
      <w:r w:rsidR="00160E1F">
        <w:rPr>
          <w:rFonts w:cs="Arial" w:hint="cs"/>
          <w:rtl/>
        </w:rPr>
        <w:t>...</w:t>
      </w:r>
      <w:r w:rsidRPr="009C7F6A">
        <w:rPr>
          <w:rFonts w:cs="Arial"/>
          <w:rtl/>
        </w:rPr>
        <w:t xml:space="preserve"> אם היה מכירה.</w:t>
      </w:r>
      <w:r w:rsidR="00160E1F">
        <w:rPr>
          <w:rFonts w:hint="cs"/>
          <w:sz w:val="14"/>
          <w:szCs w:val="14"/>
          <w:rtl/>
        </w:rPr>
        <w:t xml:space="preserve"> (ס.)</w:t>
      </w:r>
      <w:r w:rsidR="00160E1F" w:rsidRPr="00160E1F">
        <w:rPr>
          <w:rtl/>
        </w:rPr>
        <w:t xml:space="preserve"> </w:t>
      </w:r>
      <w:r w:rsidR="00160E1F" w:rsidRPr="00160E1F">
        <w:rPr>
          <w:rFonts w:cs="Arial"/>
          <w:rtl/>
        </w:rPr>
        <w:t>עד כמה</w:t>
      </w:r>
      <w:r w:rsidR="00561297">
        <w:rPr>
          <w:rStyle w:val="a7"/>
          <w:rFonts w:cs="Arial"/>
          <w:rtl/>
        </w:rPr>
        <w:footnoteReference w:id="783"/>
      </w:r>
      <w:r w:rsidR="00160E1F" w:rsidRPr="00160E1F">
        <w:rPr>
          <w:rFonts w:cs="Arial"/>
          <w:rtl/>
        </w:rPr>
        <w:t xml:space="preserve">? </w:t>
      </w:r>
      <w:r w:rsidR="00160E1F" w:rsidRPr="00160E1F">
        <w:rPr>
          <w:rFonts w:cs="Arial"/>
          <w:u w:val="single"/>
          <w:rtl/>
        </w:rPr>
        <w:t>אמר רבא אמר רב ירמיה בר אבא אמר רב</w:t>
      </w:r>
      <w:r w:rsidR="00160E1F" w:rsidRPr="00160E1F">
        <w:rPr>
          <w:rFonts w:cs="Arial"/>
          <w:rtl/>
        </w:rPr>
        <w:t xml:space="preserve">: שלשה חדשים, </w:t>
      </w:r>
      <w:r w:rsidR="00160E1F" w:rsidRPr="00160E1F">
        <w:rPr>
          <w:rFonts w:cs="Arial"/>
          <w:u w:val="single"/>
          <w:rtl/>
        </w:rPr>
        <w:t>ושמואל אמר</w:t>
      </w:r>
      <w:r w:rsidR="00160E1F" w:rsidRPr="00160E1F">
        <w:rPr>
          <w:rFonts w:cs="Arial"/>
          <w:rtl/>
        </w:rPr>
        <w:t xml:space="preserve">: שלשים יום, </w:t>
      </w:r>
      <w:r w:rsidR="00160E1F" w:rsidRPr="00160E1F">
        <w:rPr>
          <w:rFonts w:cs="Arial"/>
          <w:u w:val="single"/>
          <w:rtl/>
        </w:rPr>
        <w:t>ורבי יצחק אמר ר' יוחנן</w:t>
      </w:r>
      <w:r w:rsidR="00160E1F" w:rsidRPr="00160E1F">
        <w:rPr>
          <w:rFonts w:cs="Arial"/>
          <w:rtl/>
        </w:rPr>
        <w:t xml:space="preserve">: חמשים יום. </w:t>
      </w:r>
      <w:r w:rsidR="00160E1F" w:rsidRPr="00160E1F">
        <w:rPr>
          <w:rFonts w:cs="Arial"/>
          <w:u w:val="single"/>
          <w:rtl/>
        </w:rPr>
        <w:t>אמר רב שימי בר אביי</w:t>
      </w:r>
      <w:r w:rsidR="00160E1F" w:rsidRPr="00160E1F">
        <w:rPr>
          <w:rFonts w:cs="Arial"/>
          <w:rtl/>
        </w:rPr>
        <w:t>: הלכה כרבי יצחק שאמר משום רבי יוחנן. בשלמא רב ורבי יוחנן, כל חד וחד כי חורפיה</w:t>
      </w:r>
      <w:r w:rsidR="00561297">
        <w:rPr>
          <w:rStyle w:val="a7"/>
          <w:rFonts w:cs="Arial"/>
          <w:rtl/>
        </w:rPr>
        <w:footnoteReference w:id="784"/>
      </w:r>
      <w:r w:rsidR="00160E1F" w:rsidRPr="00160E1F">
        <w:rPr>
          <w:rFonts w:cs="Arial"/>
          <w:rtl/>
        </w:rPr>
        <w:t xml:space="preserve">, אלא לשמואל, כי האי גוונא מי משכחת לה? </w:t>
      </w:r>
      <w:r w:rsidR="00160E1F" w:rsidRPr="00160E1F">
        <w:rPr>
          <w:rFonts w:cs="Arial"/>
          <w:u w:val="single"/>
          <w:rtl/>
        </w:rPr>
        <w:t>כי אתא רמי בר יחזקאל אמר</w:t>
      </w:r>
      <w:r w:rsidR="00160E1F" w:rsidRPr="00160E1F">
        <w:rPr>
          <w:rFonts w:cs="Arial"/>
          <w:rtl/>
        </w:rPr>
        <w:t>: לא תציתינהו להני כללי דכייל יהודה אחי משמיה דשמואל, הכי אמר שמואל: כל זמן שמכירה</w:t>
      </w:r>
      <w:r w:rsidR="00561297">
        <w:rPr>
          <w:rStyle w:val="a7"/>
          <w:rFonts w:cs="Arial"/>
          <w:rtl/>
        </w:rPr>
        <w:footnoteReference w:id="785"/>
      </w:r>
      <w:r w:rsidR="00160E1F" w:rsidRPr="00160E1F">
        <w:rPr>
          <w:rFonts w:cs="Arial"/>
          <w:rtl/>
        </w:rPr>
        <w:t>. ההיא דאתאי לקמיה דשמואל, אמר ליה לרב דימי בר יוסף: זיל בדקה. אזל אותבה בדרי דנשי, ושקליה לברה וקמהדר ליה עלייהו, כי מטא לגבה הות קא מסוי לאפה, כבשתנהי לעינה מיניה, אמר לה: נטף עיניך, קום דרי בריך.</w:t>
      </w:r>
      <w:r w:rsidR="00903CC4" w:rsidRPr="00903CC4">
        <w:rPr>
          <w:rtl/>
        </w:rPr>
        <w:t xml:space="preserve"> </w:t>
      </w:r>
      <w:r w:rsidR="00903CC4" w:rsidRPr="00903CC4">
        <w:rPr>
          <w:rFonts w:cs="Arial"/>
          <w:rtl/>
        </w:rPr>
        <w:t xml:space="preserve">סומא מנא ידע? </w:t>
      </w:r>
      <w:r w:rsidR="00903CC4" w:rsidRPr="00903CC4">
        <w:rPr>
          <w:rFonts w:cs="Arial"/>
          <w:u w:val="single"/>
          <w:rtl/>
        </w:rPr>
        <w:t>אמר רב אשי</w:t>
      </w:r>
      <w:r w:rsidR="00903CC4" w:rsidRPr="00903CC4">
        <w:rPr>
          <w:rFonts w:cs="Arial"/>
          <w:rtl/>
        </w:rPr>
        <w:t>: בריחא ובטעמא.</w:t>
      </w:r>
      <w:r w:rsidR="004C57C6">
        <w:rPr>
          <w:rFonts w:cs="Arial" w:hint="cs"/>
          <w:rtl/>
        </w:rPr>
        <w:t xml:space="preserve"> </w:t>
      </w:r>
      <w:r w:rsidR="004C57C6" w:rsidRPr="004C57C6">
        <w:rPr>
          <w:rFonts w:cs="Arial" w:hint="cs"/>
          <w:sz w:val="16"/>
          <w:szCs w:val="16"/>
          <w:rtl/>
        </w:rPr>
        <w:t>(</w:t>
      </w:r>
      <w:r w:rsidR="001941C7" w:rsidRPr="004C57C6">
        <w:rPr>
          <w:rFonts w:cs="Arial"/>
          <w:sz w:val="16"/>
          <w:szCs w:val="16"/>
          <w:rtl/>
        </w:rPr>
        <w:t>ופסקו הרי"ף (כד:) והרא"ש (סי' יז) כרבי יצחק שאמר משום רבי יוחנן</w:t>
      </w:r>
      <w:r w:rsidR="004C57C6">
        <w:rPr>
          <w:rFonts w:cs="Arial" w:hint="cs"/>
          <w:sz w:val="16"/>
          <w:szCs w:val="16"/>
          <w:rtl/>
        </w:rPr>
        <w:t>, ב"י</w:t>
      </w:r>
      <w:r w:rsidR="00804320">
        <w:rPr>
          <w:rFonts w:cs="Arial" w:hint="cs"/>
          <w:sz w:val="16"/>
          <w:szCs w:val="16"/>
          <w:rtl/>
        </w:rPr>
        <w:t>. אך הרמב"ם (פכ"א הט"ז) פסק כהא דאמר רמי בר יחזקאל בשם שמואל</w:t>
      </w:r>
      <w:r w:rsidR="004C57C6">
        <w:rPr>
          <w:rFonts w:cs="Arial" w:hint="cs"/>
          <w:sz w:val="16"/>
          <w:szCs w:val="16"/>
          <w:rtl/>
        </w:rPr>
        <w:t>)</w:t>
      </w:r>
    </w:p>
    <w:p w14:paraId="4B98A829" w14:textId="77777777" w:rsidR="006C5126" w:rsidRPr="00782C6B" w:rsidRDefault="006C5126" w:rsidP="006C5126">
      <w:pPr>
        <w:rPr>
          <w:u w:val="single"/>
        </w:rPr>
      </w:pPr>
      <w:r w:rsidRPr="004C57C6">
        <w:rPr>
          <w:rFonts w:hint="cs"/>
          <w:u w:val="single"/>
          <w:rtl/>
        </w:rPr>
        <w:t>נתגרשה ויש לה בן יונק</w:t>
      </w:r>
      <w:r w:rsidRPr="00782C6B">
        <w:rPr>
          <w:rFonts w:hint="cs"/>
          <w:u w:val="single"/>
          <w:rtl/>
        </w:rPr>
        <w:t>:</w:t>
      </w:r>
    </w:p>
    <w:p w14:paraId="3A77F846" w14:textId="7D759029" w:rsidR="006C5126" w:rsidRPr="00F4316E" w:rsidRDefault="00804320" w:rsidP="009000E3">
      <w:pPr>
        <w:pStyle w:val="ab"/>
        <w:numPr>
          <w:ilvl w:val="0"/>
          <w:numId w:val="35"/>
        </w:numPr>
      </w:pPr>
      <w:r w:rsidRPr="00F2115F">
        <w:rPr>
          <w:rFonts w:cs="Arial"/>
          <w:rtl/>
        </w:rPr>
        <w:t>רא"ש</w:t>
      </w:r>
      <w:r>
        <w:rPr>
          <w:rStyle w:val="a7"/>
          <w:rFonts w:cs="Arial"/>
          <w:rtl/>
        </w:rPr>
        <w:footnoteReference w:id="786"/>
      </w:r>
      <w:r w:rsidRPr="00F2115F">
        <w:rPr>
          <w:rFonts w:cs="Arial"/>
          <w:rtl/>
        </w:rPr>
        <w:t xml:space="preserve"> </w:t>
      </w:r>
      <w:r w:rsidRPr="00F2115F">
        <w:rPr>
          <w:rFonts w:cs="Arial" w:hint="cs"/>
          <w:sz w:val="16"/>
          <w:szCs w:val="16"/>
          <w:rtl/>
        </w:rPr>
        <w:t>(פ"ה סי' יז)</w:t>
      </w:r>
      <w:r>
        <w:rPr>
          <w:rFonts w:cs="Arial" w:hint="cs"/>
          <w:rtl/>
        </w:rPr>
        <w:t xml:space="preserve"> ו</w:t>
      </w:r>
      <w:r w:rsidR="006C5126">
        <w:rPr>
          <w:rFonts w:cs="Arial" w:hint="cs"/>
          <w:rtl/>
        </w:rPr>
        <w:t xml:space="preserve">טור- </w:t>
      </w:r>
      <w:r w:rsidR="006C5126" w:rsidRPr="001941C7">
        <w:rPr>
          <w:rFonts w:cs="Arial"/>
          <w:rtl/>
        </w:rPr>
        <w:t>נתגרשה</w:t>
      </w:r>
      <w:r w:rsidR="006C5126">
        <w:rPr>
          <w:rFonts w:cs="Arial" w:hint="cs"/>
          <w:rtl/>
        </w:rPr>
        <w:t xml:space="preserve">, </w:t>
      </w:r>
      <w:r w:rsidR="006C5126" w:rsidRPr="001941C7">
        <w:rPr>
          <w:rFonts w:cs="Arial"/>
          <w:rtl/>
        </w:rPr>
        <w:t>אינה חייבת להניקו</w:t>
      </w:r>
      <w:r w:rsidR="006C5126">
        <w:rPr>
          <w:rFonts w:cs="Arial" w:hint="cs"/>
          <w:rtl/>
        </w:rPr>
        <w:t>,</w:t>
      </w:r>
      <w:r w:rsidR="006C5126" w:rsidRPr="001941C7">
        <w:rPr>
          <w:rFonts w:cs="Arial"/>
          <w:rtl/>
        </w:rPr>
        <w:t xml:space="preserve"> אא"כ מכירה שאינו רוצה לינק מאחרת אז כופין אותה</w:t>
      </w:r>
      <w:r w:rsidR="006C5126">
        <w:rPr>
          <w:rFonts w:cs="Arial" w:hint="cs"/>
          <w:rtl/>
        </w:rPr>
        <w:t>,</w:t>
      </w:r>
      <w:r w:rsidR="006C5126" w:rsidRPr="001941C7">
        <w:rPr>
          <w:rFonts w:cs="Arial"/>
          <w:rtl/>
        </w:rPr>
        <w:t xml:space="preserve"> ונותן לה שכרה ומניקתו</w:t>
      </w:r>
      <w:r w:rsidR="006C5126">
        <w:rPr>
          <w:rFonts w:cs="Arial" w:hint="cs"/>
          <w:rtl/>
        </w:rPr>
        <w:t>.</w:t>
      </w:r>
      <w:r w:rsidR="006C5126" w:rsidRPr="001941C7">
        <w:rPr>
          <w:rFonts w:cs="Arial"/>
          <w:rtl/>
        </w:rPr>
        <w:t xml:space="preserve"> ובתוך נ' יום ללידתו ודאי הוא בחזקת שאינו מכירה וא"צ לבדוק אם מכירה</w:t>
      </w:r>
      <w:r w:rsidR="00685AED">
        <w:rPr>
          <w:rFonts w:cs="Arial" w:hint="cs"/>
          <w:rtl/>
        </w:rPr>
        <w:t>,</w:t>
      </w:r>
      <w:r w:rsidR="006C5126" w:rsidRPr="001941C7">
        <w:rPr>
          <w:rFonts w:cs="Arial"/>
          <w:rtl/>
        </w:rPr>
        <w:t xml:space="preserve"> ואפי' אם נראה כאילו אינו רוצה לינק מאחרת</w:t>
      </w:r>
      <w:r w:rsidR="006C5126">
        <w:rPr>
          <w:rFonts w:cs="Arial" w:hint="cs"/>
          <w:rtl/>
        </w:rPr>
        <w:t>,</w:t>
      </w:r>
      <w:r w:rsidR="006C5126" w:rsidRPr="001941C7">
        <w:rPr>
          <w:rFonts w:cs="Arial"/>
          <w:rtl/>
        </w:rPr>
        <w:t xml:space="preserve"> אקראי בעלמא הוא ולא בעי בדיקה</w:t>
      </w:r>
      <w:r w:rsidR="006C5126">
        <w:rPr>
          <w:rFonts w:cs="Arial" w:hint="cs"/>
          <w:rtl/>
        </w:rPr>
        <w:t>.</w:t>
      </w:r>
      <w:r w:rsidR="006C5126" w:rsidRPr="001941C7">
        <w:rPr>
          <w:rFonts w:cs="Arial"/>
          <w:rtl/>
        </w:rPr>
        <w:t xml:space="preserve"> ו</w:t>
      </w:r>
      <w:r w:rsidR="006C5126">
        <w:rPr>
          <w:rFonts w:cs="Arial" w:hint="cs"/>
          <w:rtl/>
        </w:rPr>
        <w:t>ב</w:t>
      </w:r>
      <w:r w:rsidR="006C5126" w:rsidRPr="001941C7">
        <w:rPr>
          <w:rFonts w:cs="Arial"/>
          <w:rtl/>
        </w:rPr>
        <w:t>ן נ' ואילך אם אינו רוצה לינק מאחרת צריך לבדוק אחריו</w:t>
      </w:r>
      <w:r w:rsidR="006C5126">
        <w:rPr>
          <w:rFonts w:cs="Arial" w:hint="cs"/>
          <w:rtl/>
        </w:rPr>
        <w:t>,</w:t>
      </w:r>
      <w:r w:rsidR="006C5126" w:rsidRPr="001941C7">
        <w:rPr>
          <w:rFonts w:cs="Arial"/>
          <w:rtl/>
        </w:rPr>
        <w:t xml:space="preserve"> אם הוא מכירה </w:t>
      </w:r>
      <w:r w:rsidR="006C5126">
        <w:rPr>
          <w:rFonts w:cs="Arial" w:hint="cs"/>
          <w:rtl/>
        </w:rPr>
        <w:t xml:space="preserve">- </w:t>
      </w:r>
      <w:r w:rsidR="006C5126" w:rsidRPr="001941C7">
        <w:rPr>
          <w:rFonts w:cs="Arial"/>
          <w:rtl/>
        </w:rPr>
        <w:t>כופין אותה</w:t>
      </w:r>
      <w:r w:rsidR="006C5126">
        <w:rPr>
          <w:rFonts w:cs="Arial" w:hint="cs"/>
          <w:rtl/>
        </w:rPr>
        <w:t>,</w:t>
      </w:r>
      <w:r w:rsidR="006C5126" w:rsidRPr="001941C7">
        <w:rPr>
          <w:rFonts w:cs="Arial"/>
          <w:rtl/>
        </w:rPr>
        <w:t xml:space="preserve"> אבל אם רוצה לינק מאחרת </w:t>
      </w:r>
      <w:r w:rsidR="006C5126">
        <w:rPr>
          <w:rFonts w:cs="Arial" w:hint="cs"/>
          <w:rtl/>
        </w:rPr>
        <w:t xml:space="preserve">- </w:t>
      </w:r>
      <w:r w:rsidR="006C5126" w:rsidRPr="001941C7">
        <w:rPr>
          <w:rFonts w:cs="Arial"/>
          <w:rtl/>
        </w:rPr>
        <w:t>אפי' בן שנה אין כופין אותה</w:t>
      </w:r>
      <w:r w:rsidR="006C5126">
        <w:rPr>
          <w:rFonts w:cs="Arial" w:hint="cs"/>
          <w:rtl/>
        </w:rPr>
        <w:t>.</w:t>
      </w:r>
      <w:r w:rsidR="006C5126" w:rsidRPr="001941C7">
        <w:rPr>
          <w:rFonts w:cs="Arial"/>
          <w:rtl/>
        </w:rPr>
        <w:t xml:space="preserve"> ואם אינו רוצה לינק מאחרת כלל </w:t>
      </w:r>
      <w:r w:rsidR="006C5126">
        <w:rPr>
          <w:rFonts w:cs="Arial" w:hint="cs"/>
          <w:rtl/>
        </w:rPr>
        <w:t xml:space="preserve">- </w:t>
      </w:r>
      <w:r w:rsidR="006C5126" w:rsidRPr="001941C7">
        <w:rPr>
          <w:rFonts w:cs="Arial"/>
          <w:rtl/>
        </w:rPr>
        <w:t>אפילו קטן הרבה כופה ומניקתו מפני הסכנה</w:t>
      </w:r>
      <w:r>
        <w:rPr>
          <w:rFonts w:cs="Arial" w:hint="cs"/>
          <w:sz w:val="16"/>
          <w:szCs w:val="16"/>
          <w:rtl/>
        </w:rPr>
        <w:t xml:space="preserve"> (ל' הטור)</w:t>
      </w:r>
      <w:r w:rsidR="006C5126">
        <w:rPr>
          <w:rFonts w:cs="Arial" w:hint="cs"/>
          <w:rtl/>
        </w:rPr>
        <w:t>.</w:t>
      </w:r>
      <w:r w:rsidR="006C5126" w:rsidRPr="001941C7">
        <w:rPr>
          <w:rFonts w:cs="Arial"/>
          <w:rtl/>
        </w:rPr>
        <w:t xml:space="preserve"> </w:t>
      </w:r>
    </w:p>
    <w:p w14:paraId="6B479F13" w14:textId="2DBFF9F6" w:rsidR="006C5126" w:rsidRPr="00804320" w:rsidRDefault="001941C7" w:rsidP="009000E3">
      <w:pPr>
        <w:pStyle w:val="ab"/>
        <w:numPr>
          <w:ilvl w:val="0"/>
          <w:numId w:val="46"/>
        </w:numPr>
        <w:rPr>
          <w:rFonts w:cs="Arial"/>
        </w:rPr>
      </w:pPr>
      <w:r w:rsidRPr="00804320">
        <w:rPr>
          <w:rFonts w:cs="Arial"/>
          <w:rtl/>
        </w:rPr>
        <w:t xml:space="preserve">רמב"ם </w:t>
      </w:r>
      <w:r w:rsidR="00F2115F" w:rsidRPr="00804320">
        <w:rPr>
          <w:rFonts w:cs="Arial" w:hint="cs"/>
          <w:sz w:val="16"/>
          <w:szCs w:val="16"/>
          <w:rtl/>
        </w:rPr>
        <w:t>(פכ"א הט"ז)</w:t>
      </w:r>
      <w:r w:rsidR="00F2115F" w:rsidRPr="00804320">
        <w:rPr>
          <w:rFonts w:cs="Arial" w:hint="cs"/>
          <w:rtl/>
        </w:rPr>
        <w:t xml:space="preserve">- </w:t>
      </w:r>
      <w:r w:rsidR="00F2115F" w:rsidRPr="00804320">
        <w:rPr>
          <w:rFonts w:cs="Arial"/>
          <w:rtl/>
        </w:rPr>
        <w:t>האשה שנתגרשה אין כופין אותה להניק, אלא אם רצת נותן לה שכרה ומניקתו</w:t>
      </w:r>
      <w:r w:rsidR="004C57C6" w:rsidRPr="00804320">
        <w:rPr>
          <w:rFonts w:cs="Arial" w:hint="cs"/>
          <w:rtl/>
        </w:rPr>
        <w:t>,</w:t>
      </w:r>
      <w:r w:rsidR="00F2115F" w:rsidRPr="00804320">
        <w:rPr>
          <w:rFonts w:cs="Arial"/>
          <w:rtl/>
        </w:rPr>
        <w:t xml:space="preserve"> ואם לא רצת נותנת לו את בנו והוא מטפל בו</w:t>
      </w:r>
      <w:r w:rsidR="004C57C6" w:rsidRPr="00804320">
        <w:rPr>
          <w:rFonts w:cs="Arial" w:hint="cs"/>
          <w:rtl/>
        </w:rPr>
        <w:t>.</w:t>
      </w:r>
      <w:r w:rsidR="00F2115F" w:rsidRPr="00804320">
        <w:rPr>
          <w:rFonts w:cs="Arial"/>
          <w:rtl/>
        </w:rPr>
        <w:t xml:space="preserve"> במה דברים אמורים שלא הניקה אותו עד שהכירה, אבל אם הכירה ואפילו היה סומא </w:t>
      </w:r>
      <w:r w:rsidR="004C57C6" w:rsidRPr="00804320">
        <w:rPr>
          <w:rFonts w:cs="Arial" w:hint="cs"/>
          <w:rtl/>
        </w:rPr>
        <w:t xml:space="preserve">- </w:t>
      </w:r>
      <w:r w:rsidR="00F2115F" w:rsidRPr="00804320">
        <w:rPr>
          <w:rFonts w:cs="Arial"/>
          <w:rtl/>
        </w:rPr>
        <w:t>אין מפרישין אותו מאמו מפני סכנת הולד</w:t>
      </w:r>
      <w:r w:rsidR="004C57C6" w:rsidRPr="00804320">
        <w:rPr>
          <w:rFonts w:cs="Arial" w:hint="cs"/>
          <w:rtl/>
        </w:rPr>
        <w:t>,</w:t>
      </w:r>
      <w:r w:rsidR="00F2115F" w:rsidRPr="00804320">
        <w:rPr>
          <w:rFonts w:cs="Arial"/>
          <w:rtl/>
        </w:rPr>
        <w:t xml:space="preserve"> אלא כופין אותה ומניקה אותו בשכר עד עשרים וארבעה חדש</w:t>
      </w:r>
      <w:r w:rsidR="00C83ED4">
        <w:rPr>
          <w:rStyle w:val="a7"/>
          <w:rFonts w:cs="Arial"/>
          <w:rtl/>
        </w:rPr>
        <w:footnoteReference w:id="787"/>
      </w:r>
      <w:r w:rsidR="00F2115F" w:rsidRPr="00804320">
        <w:rPr>
          <w:rFonts w:cs="Arial"/>
          <w:rtl/>
        </w:rPr>
        <w:t xml:space="preserve">. </w:t>
      </w:r>
      <w:r w:rsidR="00804320" w:rsidRPr="007B430E">
        <w:rPr>
          <w:rFonts w:hint="cs"/>
          <w:color w:val="E36C0A" w:themeColor="accent6" w:themeShade="BF"/>
          <w:rtl/>
        </w:rPr>
        <w:t>(וכ"פ בשו"ע)</w:t>
      </w:r>
    </w:p>
    <w:p w14:paraId="38E51641" w14:textId="7C6FE491" w:rsidR="00804320" w:rsidRPr="00BA354F" w:rsidRDefault="00BA354F" w:rsidP="00804320">
      <w:pPr>
        <w:ind w:left="360"/>
        <w:rPr>
          <w:rFonts w:cs="Arial"/>
          <w:u w:val="dotted"/>
        </w:rPr>
      </w:pPr>
      <w:r w:rsidRPr="00BA354F">
        <w:rPr>
          <w:rFonts w:cs="Arial" w:hint="cs"/>
          <w:u w:val="dotted"/>
          <w:rtl/>
        </w:rPr>
        <w:t>ומה הדין אם הוא לא מוצא מינקה או שאין כסף לשכור מניקה:</w:t>
      </w:r>
    </w:p>
    <w:p w14:paraId="35AE9CC8" w14:textId="264D39BC" w:rsidR="006C5126" w:rsidRDefault="006C5126" w:rsidP="009000E3">
      <w:pPr>
        <w:pStyle w:val="ab"/>
        <w:numPr>
          <w:ilvl w:val="0"/>
          <w:numId w:val="47"/>
        </w:numPr>
        <w:rPr>
          <w:rFonts w:cs="Arial"/>
        </w:rPr>
      </w:pPr>
      <w:r w:rsidRPr="00C83ED4">
        <w:rPr>
          <w:rFonts w:cs="Arial" w:hint="cs"/>
          <w:rtl/>
        </w:rPr>
        <w:t xml:space="preserve">רי"ו </w:t>
      </w:r>
      <w:r w:rsidRPr="00C83ED4">
        <w:rPr>
          <w:rFonts w:cs="Arial"/>
          <w:sz w:val="16"/>
          <w:szCs w:val="16"/>
          <w:rtl/>
        </w:rPr>
        <w:t>(מישרים נכ"ג ח"ה נח ע"א)</w:t>
      </w:r>
      <w:r w:rsidRPr="00C83ED4">
        <w:rPr>
          <w:rFonts w:cs="Arial" w:hint="cs"/>
          <w:rtl/>
        </w:rPr>
        <w:t>-</w:t>
      </w:r>
      <w:r w:rsidRPr="00C83ED4">
        <w:rPr>
          <w:rFonts w:cs="Arial"/>
          <w:rtl/>
        </w:rPr>
        <w:t xml:space="preserve"> הא דנתגרשה אינו כופה דוקא כשמוצא מניקה</w:t>
      </w:r>
      <w:r w:rsidR="00984DBD">
        <w:rPr>
          <w:rFonts w:cs="Arial" w:hint="cs"/>
          <w:rtl/>
        </w:rPr>
        <w:t>,</w:t>
      </w:r>
      <w:r w:rsidRPr="00C83ED4">
        <w:rPr>
          <w:rFonts w:cs="Arial"/>
          <w:rtl/>
        </w:rPr>
        <w:t xml:space="preserve"> אבל אינו מוצא או שאין לו שכר המניקה </w:t>
      </w:r>
      <w:r w:rsidR="00984DBD">
        <w:rPr>
          <w:rFonts w:cs="Arial" w:hint="cs"/>
          <w:rtl/>
        </w:rPr>
        <w:t xml:space="preserve">- </w:t>
      </w:r>
      <w:r w:rsidRPr="00C83ED4">
        <w:rPr>
          <w:rFonts w:cs="Arial"/>
          <w:rtl/>
        </w:rPr>
        <w:t>כופה ומניקתו אפילו אינו מכירה</w:t>
      </w:r>
      <w:r w:rsidRPr="00C83ED4">
        <w:rPr>
          <w:rFonts w:cs="Arial" w:hint="cs"/>
          <w:rtl/>
        </w:rPr>
        <w:t>.</w:t>
      </w:r>
      <w:r w:rsidR="00BA354F">
        <w:rPr>
          <w:rFonts w:cs="Arial" w:hint="cs"/>
          <w:rtl/>
        </w:rPr>
        <w:t xml:space="preserve"> </w:t>
      </w:r>
      <w:r w:rsidR="00BA354F" w:rsidRPr="00BA354F">
        <w:rPr>
          <w:rFonts w:cs="Arial" w:hint="cs"/>
          <w:color w:val="00B0F0"/>
          <w:rtl/>
        </w:rPr>
        <w:t>(וכ"פ הרמ"א)</w:t>
      </w:r>
    </w:p>
    <w:p w14:paraId="70520332" w14:textId="77777777" w:rsidR="00BA354F" w:rsidRPr="006C5126" w:rsidRDefault="00BA354F" w:rsidP="00BA354F">
      <w:pPr>
        <w:rPr>
          <w:rFonts w:cs="Arial"/>
          <w:u w:val="single"/>
        </w:rPr>
      </w:pPr>
      <w:r w:rsidRPr="006C5126">
        <w:rPr>
          <w:rFonts w:cs="Arial" w:hint="cs"/>
          <w:u w:val="single"/>
          <w:rtl/>
        </w:rPr>
        <w:t>אשה לא נשואה ילדה</w:t>
      </w:r>
      <w:r>
        <w:rPr>
          <w:rFonts w:cs="Arial" w:hint="cs"/>
          <w:u w:val="single"/>
          <w:rtl/>
        </w:rPr>
        <w:t xml:space="preserve"> בן</w:t>
      </w:r>
      <w:r w:rsidRPr="006C5126">
        <w:rPr>
          <w:rFonts w:cs="Arial" w:hint="cs"/>
          <w:u w:val="single"/>
          <w:rtl/>
        </w:rPr>
        <w:t>, ונתן אותו אביו למינקת, והאשה השכירה עצמה להניק בן אחר, והמינקת של בנה הלכה:</w:t>
      </w:r>
    </w:p>
    <w:p w14:paraId="1551949F" w14:textId="481D5A90" w:rsidR="00BA354F" w:rsidRPr="00C83ED4" w:rsidRDefault="00BA354F" w:rsidP="009000E3">
      <w:pPr>
        <w:pStyle w:val="ab"/>
        <w:numPr>
          <w:ilvl w:val="0"/>
          <w:numId w:val="47"/>
        </w:numPr>
        <w:rPr>
          <w:rFonts w:cs="Arial"/>
          <w:rtl/>
        </w:rPr>
      </w:pPr>
      <w:r w:rsidRPr="00C83ED4">
        <w:rPr>
          <w:rFonts w:cs="Arial"/>
          <w:rtl/>
        </w:rPr>
        <w:t xml:space="preserve">רא"ש </w:t>
      </w:r>
      <w:r w:rsidRPr="00C83ED4">
        <w:rPr>
          <w:rFonts w:cs="Arial" w:hint="cs"/>
          <w:sz w:val="16"/>
          <w:szCs w:val="16"/>
          <w:rtl/>
        </w:rPr>
        <w:t>(</w:t>
      </w:r>
      <w:r w:rsidRPr="00C83ED4">
        <w:rPr>
          <w:rFonts w:cs="Arial"/>
          <w:sz w:val="16"/>
          <w:szCs w:val="16"/>
          <w:rtl/>
        </w:rPr>
        <w:t>כלל יז סי</w:t>
      </w:r>
      <w:r w:rsidRPr="00C83ED4">
        <w:rPr>
          <w:rFonts w:cs="Arial" w:hint="cs"/>
          <w:sz w:val="16"/>
          <w:szCs w:val="16"/>
          <w:rtl/>
        </w:rPr>
        <w:t>'</w:t>
      </w:r>
      <w:r w:rsidRPr="00C83ED4">
        <w:rPr>
          <w:rFonts w:cs="Arial"/>
          <w:sz w:val="16"/>
          <w:szCs w:val="16"/>
          <w:rtl/>
        </w:rPr>
        <w:t xml:space="preserve"> ז</w:t>
      </w:r>
      <w:r w:rsidRPr="00C83ED4">
        <w:rPr>
          <w:rFonts w:cs="Arial" w:hint="cs"/>
          <w:sz w:val="16"/>
          <w:szCs w:val="16"/>
          <w:rtl/>
        </w:rPr>
        <w:t>)</w:t>
      </w:r>
      <w:r w:rsidRPr="00C83ED4">
        <w:rPr>
          <w:rFonts w:cs="Arial" w:hint="cs"/>
          <w:rtl/>
        </w:rPr>
        <w:t>-</w:t>
      </w:r>
      <w:r w:rsidRPr="00C83ED4">
        <w:rPr>
          <w:rFonts w:cs="Arial"/>
          <w:rtl/>
        </w:rPr>
        <w:t xml:space="preserve"> </w:t>
      </w:r>
      <w:r>
        <w:rPr>
          <w:rFonts w:cs="Arial" w:hint="cs"/>
          <w:rtl/>
        </w:rPr>
        <w:t xml:space="preserve">שאלת על </w:t>
      </w:r>
      <w:r w:rsidRPr="00C83ED4">
        <w:rPr>
          <w:rFonts w:cs="Arial"/>
          <w:rtl/>
        </w:rPr>
        <w:t>רחל שהיתה מעוברת מראובן</w:t>
      </w:r>
      <w:r>
        <w:rPr>
          <w:rFonts w:cs="Arial" w:hint="cs"/>
          <w:rtl/>
        </w:rPr>
        <w:t>.</w:t>
      </w:r>
      <w:r w:rsidRPr="00C83ED4">
        <w:rPr>
          <w:rFonts w:cs="Arial"/>
          <w:rtl/>
        </w:rPr>
        <w:t xml:space="preserve"> אח</w:t>
      </w:r>
      <w:r>
        <w:rPr>
          <w:rFonts w:cs="Arial" w:hint="cs"/>
          <w:rtl/>
        </w:rPr>
        <w:t>"</w:t>
      </w:r>
      <w:r w:rsidRPr="00C83ED4">
        <w:rPr>
          <w:rFonts w:cs="Arial"/>
          <w:rtl/>
        </w:rPr>
        <w:t>כ קדשה</w:t>
      </w:r>
      <w:r>
        <w:rPr>
          <w:rFonts w:cs="Arial" w:hint="cs"/>
          <w:rtl/>
        </w:rPr>
        <w:t>,</w:t>
      </w:r>
      <w:r w:rsidRPr="00C83ED4">
        <w:rPr>
          <w:rFonts w:cs="Arial"/>
          <w:rtl/>
        </w:rPr>
        <w:t xml:space="preserve"> וילדה בן ונתן הוא הבן למניקה</w:t>
      </w:r>
      <w:r>
        <w:rPr>
          <w:rFonts w:cs="Arial" w:hint="cs"/>
          <w:rtl/>
        </w:rPr>
        <w:t>.</w:t>
      </w:r>
      <w:r w:rsidRPr="00C83ED4">
        <w:rPr>
          <w:rFonts w:cs="Arial"/>
          <w:rtl/>
        </w:rPr>
        <w:t xml:space="preserve"> אח</w:t>
      </w:r>
      <w:r>
        <w:rPr>
          <w:rFonts w:cs="Arial" w:hint="cs"/>
          <w:rtl/>
        </w:rPr>
        <w:t>"</w:t>
      </w:r>
      <w:r w:rsidRPr="00C83ED4">
        <w:rPr>
          <w:rFonts w:cs="Arial"/>
          <w:rtl/>
        </w:rPr>
        <w:t>כ הלך ממנה לעיר אחרת</w:t>
      </w:r>
      <w:r>
        <w:rPr>
          <w:rFonts w:cs="Arial" w:hint="cs"/>
          <w:rtl/>
        </w:rPr>
        <w:t>,</w:t>
      </w:r>
      <w:r w:rsidRPr="00C83ED4">
        <w:rPr>
          <w:rFonts w:cs="Arial"/>
          <w:rtl/>
        </w:rPr>
        <w:t xml:space="preserve"> והיא השכירה עצמה לבעל הבית אחר להיות מניקת</w:t>
      </w:r>
      <w:r>
        <w:rPr>
          <w:rFonts w:cs="Arial" w:hint="cs"/>
          <w:rtl/>
        </w:rPr>
        <w:t>,</w:t>
      </w:r>
      <w:r w:rsidRPr="00C83ED4">
        <w:rPr>
          <w:rFonts w:cs="Arial"/>
          <w:rtl/>
        </w:rPr>
        <w:t xml:space="preserve"> וקבלה עליה להניק בנו עד זמן ידוע</w:t>
      </w:r>
      <w:r>
        <w:rPr>
          <w:rFonts w:cs="Arial" w:hint="cs"/>
          <w:rtl/>
        </w:rPr>
        <w:t>.</w:t>
      </w:r>
      <w:r w:rsidRPr="00C83ED4">
        <w:rPr>
          <w:rFonts w:cs="Arial"/>
          <w:rtl/>
        </w:rPr>
        <w:t xml:space="preserve"> ואחר שהכירה התינוק ואינו רוצה לינק מאחרת משכה ידה המניקת שמניקה את בנה מלהניקו מפני שהלך אביו לעיר אחרת ואין מי יפרענה</w:t>
      </w:r>
      <w:r>
        <w:rPr>
          <w:rFonts w:cs="Arial" w:hint="cs"/>
          <w:rtl/>
        </w:rPr>
        <w:t>.</w:t>
      </w:r>
      <w:r w:rsidRPr="00C83ED4">
        <w:rPr>
          <w:rFonts w:cs="Arial"/>
          <w:rtl/>
        </w:rPr>
        <w:t xml:space="preserve"> ואומרים לה שתניק את בנה</w:t>
      </w:r>
      <w:r>
        <w:rPr>
          <w:rFonts w:cs="Arial" w:hint="cs"/>
          <w:rtl/>
        </w:rPr>
        <w:t>,</w:t>
      </w:r>
      <w:r w:rsidRPr="00C83ED4">
        <w:rPr>
          <w:rFonts w:cs="Arial"/>
          <w:rtl/>
        </w:rPr>
        <w:t xml:space="preserve"> והיא אומרת שאינה יכולה כיון </w:t>
      </w:r>
      <w:r w:rsidRPr="00C83ED4">
        <w:rPr>
          <w:rFonts w:cs="Arial"/>
          <w:rtl/>
        </w:rPr>
        <w:lastRenderedPageBreak/>
        <w:t>שהיא משועבדת להניק בן בעל הבית</w:t>
      </w:r>
      <w:r>
        <w:rPr>
          <w:rFonts w:cs="Arial" w:hint="cs"/>
          <w:rtl/>
        </w:rPr>
        <w:t>.</w:t>
      </w:r>
      <w:r w:rsidRPr="00C83ED4">
        <w:rPr>
          <w:rFonts w:cs="Arial"/>
          <w:rtl/>
        </w:rPr>
        <w:t xml:space="preserve"> וגם בעל הבית שלה אומר שלא יניחנה כי כבר פרע לה שכרה וגם שבנו מסוכן שאינו יונק מאחרת ואין דוחים נפש מפני נפש</w:t>
      </w:r>
      <w:r>
        <w:rPr>
          <w:rFonts w:cs="Arial" w:hint="cs"/>
          <w:rtl/>
        </w:rPr>
        <w:t>.</w:t>
      </w:r>
      <w:r w:rsidRPr="00C83ED4">
        <w:rPr>
          <w:rFonts w:cs="Arial"/>
          <w:rtl/>
        </w:rPr>
        <w:t xml:space="preserve"> ועוד שאינה משועבדת לו להניק בנה כיון שאינה אשתו בחופה וקידושין</w:t>
      </w:r>
      <w:r>
        <w:rPr>
          <w:rFonts w:cs="Arial" w:hint="cs"/>
          <w:rtl/>
        </w:rPr>
        <w:t>.</w:t>
      </w:r>
      <w:r w:rsidRPr="00C83ED4">
        <w:rPr>
          <w:rFonts w:cs="Arial"/>
          <w:rtl/>
        </w:rPr>
        <w:t xml:space="preserve"> </w:t>
      </w:r>
      <w:r w:rsidR="00FE210D">
        <w:rPr>
          <w:rFonts w:cs="Arial" w:hint="cs"/>
          <w:rtl/>
        </w:rPr>
        <w:t xml:space="preserve">      תשובה:</w:t>
      </w:r>
      <w:r w:rsidRPr="00C83ED4">
        <w:rPr>
          <w:rFonts w:cs="Arial"/>
          <w:rtl/>
        </w:rPr>
        <w:t xml:space="preserve"> הדין עם אבי התינוק</w:t>
      </w:r>
      <w:r>
        <w:rPr>
          <w:rFonts w:cs="Arial" w:hint="cs"/>
          <w:rtl/>
        </w:rPr>
        <w:t>,</w:t>
      </w:r>
      <w:r w:rsidRPr="00C83ED4">
        <w:rPr>
          <w:rFonts w:cs="Arial"/>
          <w:rtl/>
        </w:rPr>
        <w:t xml:space="preserve"> כי היא שעבדה עצמה להניקו ומחוייבת להניק שלא להמית התינוק ואינה מצווה להניק את בנה</w:t>
      </w:r>
      <w:r>
        <w:rPr>
          <w:rFonts w:cs="Arial" w:hint="cs"/>
          <w:rtl/>
        </w:rPr>
        <w:t>,</w:t>
      </w:r>
      <w:r w:rsidRPr="00C83ED4">
        <w:rPr>
          <w:rFonts w:cs="Arial"/>
          <w:rtl/>
        </w:rPr>
        <w:t xml:space="preserve"> ואפילו היתה נשואה כיון שאבי הבן אינו מעלה לה מזונות אי איפשר לה למות ברעב</w:t>
      </w:r>
      <w:r>
        <w:rPr>
          <w:rFonts w:cs="Arial" w:hint="cs"/>
          <w:rtl/>
        </w:rPr>
        <w:t>,</w:t>
      </w:r>
      <w:r w:rsidRPr="00C83ED4">
        <w:rPr>
          <w:rFonts w:cs="Arial"/>
          <w:rtl/>
        </w:rPr>
        <w:t xml:space="preserve"> כל שכן זאת שאינה נשואה ואינה משועבדת לו להניק את בנו</w:t>
      </w:r>
      <w:r>
        <w:rPr>
          <w:rFonts w:cs="Arial" w:hint="cs"/>
          <w:rtl/>
        </w:rPr>
        <w:t>,</w:t>
      </w:r>
      <w:r w:rsidRPr="00C83ED4">
        <w:rPr>
          <w:rFonts w:cs="Arial"/>
          <w:rtl/>
        </w:rPr>
        <w:t xml:space="preserve"> ועוד שבנה כבר הורגל לינק מאשה אחרת והתינוק הורגל בחלבה ולא יינק מאחרת ואין דוחין נפש מפני נפש</w:t>
      </w:r>
      <w:r>
        <w:rPr>
          <w:rFonts w:cs="Arial" w:hint="cs"/>
          <w:rtl/>
        </w:rPr>
        <w:t>.</w:t>
      </w:r>
      <w:r w:rsidRPr="00C83ED4">
        <w:rPr>
          <w:rFonts w:cs="Arial"/>
          <w:rtl/>
        </w:rPr>
        <w:t xml:space="preserve"> אלא בית דין ישכירו לו מניקת ויכופו אבי הבן לפרוע השכר</w:t>
      </w:r>
      <w:r>
        <w:rPr>
          <w:rFonts w:cs="Arial" w:hint="cs"/>
          <w:rtl/>
        </w:rPr>
        <w:t>.</w:t>
      </w:r>
      <w:r w:rsidRPr="00C83ED4">
        <w:rPr>
          <w:rFonts w:cs="Arial"/>
          <w:rtl/>
        </w:rPr>
        <w:t xml:space="preserve"> ואם לא יוכלו בית דין לכופו יפרעו בית דין השכר</w:t>
      </w:r>
      <w:r>
        <w:rPr>
          <w:rFonts w:cs="Arial" w:hint="cs"/>
          <w:rtl/>
        </w:rPr>
        <w:t>.</w:t>
      </w:r>
      <w:r w:rsidRPr="00BA354F">
        <w:rPr>
          <w:rFonts w:cs="Arial" w:hint="cs"/>
          <w:color w:val="00B0F0"/>
          <w:rtl/>
        </w:rPr>
        <w:t xml:space="preserve"> (וכ"פ הרמ"א)</w:t>
      </w:r>
    </w:p>
    <w:p w14:paraId="52B49AB2" w14:textId="2AE2117B" w:rsidR="004C57C6" w:rsidRPr="004C57C6" w:rsidRDefault="004C57C6" w:rsidP="001941C7">
      <w:pPr>
        <w:rPr>
          <w:rFonts w:cs="Arial"/>
          <w:sz w:val="16"/>
          <w:szCs w:val="16"/>
          <w:u w:val="single"/>
          <w:rtl/>
        </w:rPr>
      </w:pPr>
      <w:r w:rsidRPr="004C57C6">
        <w:rPr>
          <w:rFonts w:cs="Arial"/>
          <w:u w:val="single"/>
          <w:rtl/>
        </w:rPr>
        <w:t xml:space="preserve">אשה </w:t>
      </w:r>
      <w:r w:rsidR="004A4F13">
        <w:rPr>
          <w:rFonts w:cs="Arial" w:hint="cs"/>
          <w:u w:val="single"/>
          <w:rtl/>
        </w:rPr>
        <w:t>זרה</w:t>
      </w:r>
      <w:r w:rsidRPr="004C57C6">
        <w:rPr>
          <w:rFonts w:cs="Arial"/>
          <w:u w:val="single"/>
          <w:rtl/>
        </w:rPr>
        <w:t xml:space="preserve"> שקיבלה בן להניק והניקתו עד שהוא מכירה</w:t>
      </w:r>
      <w:r w:rsidRPr="004C57C6">
        <w:rPr>
          <w:rFonts w:cs="Arial" w:hint="cs"/>
          <w:u w:val="single"/>
          <w:rtl/>
        </w:rPr>
        <w:t>:</w:t>
      </w:r>
      <w:r w:rsidRPr="004C57C6">
        <w:rPr>
          <w:rFonts w:cs="Arial" w:hint="cs"/>
          <w:sz w:val="16"/>
          <w:szCs w:val="16"/>
          <w:rtl/>
        </w:rPr>
        <w:t xml:space="preserve">  (דרכ"מ אות א)</w:t>
      </w:r>
    </w:p>
    <w:p w14:paraId="581D02FB" w14:textId="5FB06219" w:rsidR="00C83ED4" w:rsidRDefault="004C57C6" w:rsidP="009000E3">
      <w:pPr>
        <w:pStyle w:val="ab"/>
        <w:numPr>
          <w:ilvl w:val="0"/>
          <w:numId w:val="47"/>
        </w:numPr>
        <w:rPr>
          <w:rFonts w:cs="Arial"/>
        </w:rPr>
      </w:pPr>
      <w:r w:rsidRPr="004C57C6">
        <w:rPr>
          <w:rFonts w:cs="Arial" w:hint="cs"/>
          <w:rtl/>
        </w:rPr>
        <w:t xml:space="preserve">שלט"ג </w:t>
      </w:r>
      <w:r w:rsidRPr="004C57C6">
        <w:rPr>
          <w:rFonts w:cs="Arial" w:hint="cs"/>
          <w:sz w:val="16"/>
          <w:szCs w:val="16"/>
          <w:rtl/>
        </w:rPr>
        <w:t>(</w:t>
      </w:r>
      <w:r w:rsidRPr="004C57C6">
        <w:rPr>
          <w:rFonts w:cs="Arial"/>
          <w:sz w:val="16"/>
          <w:szCs w:val="16"/>
          <w:rtl/>
        </w:rPr>
        <w:t>כד: אות ב)</w:t>
      </w:r>
      <w:r w:rsidRPr="004C57C6">
        <w:rPr>
          <w:rFonts w:cs="Arial" w:hint="cs"/>
          <w:rtl/>
        </w:rPr>
        <w:t xml:space="preserve"> בשם </w:t>
      </w:r>
      <w:r w:rsidRPr="004C57C6">
        <w:rPr>
          <w:rFonts w:cs="Arial"/>
          <w:rtl/>
        </w:rPr>
        <w:t>ריא"ז</w:t>
      </w:r>
      <w:r w:rsidRPr="004C57C6">
        <w:rPr>
          <w:rFonts w:cs="Arial"/>
          <w:sz w:val="16"/>
          <w:szCs w:val="16"/>
          <w:rtl/>
        </w:rPr>
        <w:t xml:space="preserve"> (פסקי ריא"ז עמ' רא)</w:t>
      </w:r>
      <w:r w:rsidRPr="004C57C6">
        <w:rPr>
          <w:rFonts w:cs="Arial" w:hint="cs"/>
          <w:rtl/>
        </w:rPr>
        <w:t>-</w:t>
      </w:r>
      <w:r w:rsidRPr="004C57C6">
        <w:rPr>
          <w:rFonts w:cs="Arial"/>
          <w:rtl/>
        </w:rPr>
        <w:t xml:space="preserve"> נראה דאפילו אשה נכרית שקיבלה בן להניק והניקתו עד שהוא מכירה </w:t>
      </w:r>
      <w:r w:rsidR="008B24EC">
        <w:rPr>
          <w:rFonts w:cs="Arial" w:hint="cs"/>
          <w:rtl/>
        </w:rPr>
        <w:t xml:space="preserve">- </w:t>
      </w:r>
      <w:r w:rsidRPr="004C57C6">
        <w:rPr>
          <w:rFonts w:cs="Arial"/>
          <w:rtl/>
        </w:rPr>
        <w:t>כופין אותה להניק בשכר מפני סכנת הולד</w:t>
      </w:r>
      <w:r w:rsidRPr="004C57C6">
        <w:rPr>
          <w:rFonts w:cs="Arial" w:hint="cs"/>
          <w:rtl/>
        </w:rPr>
        <w:t>.</w:t>
      </w:r>
      <w:r w:rsidR="00BA354F" w:rsidRPr="00BA354F">
        <w:rPr>
          <w:rFonts w:cs="Arial" w:hint="cs"/>
          <w:color w:val="00B0F0"/>
          <w:rtl/>
        </w:rPr>
        <w:t xml:space="preserve"> (וכ"פ הרמ"א)</w:t>
      </w:r>
    </w:p>
    <w:p w14:paraId="3B9F896B"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6A9AB71A" w14:textId="58AB2013" w:rsidR="000D2069" w:rsidRDefault="000D2069" w:rsidP="000D2069">
      <w:pPr>
        <w:rPr>
          <w:rtl/>
        </w:rPr>
      </w:pPr>
      <w:r>
        <w:rPr>
          <w:rFonts w:cs="Arial"/>
          <w:rtl/>
        </w:rPr>
        <w:t>האשה שנתגרשה, אין כופין אותה להניק את בנה</w:t>
      </w:r>
      <w:r w:rsidR="00804320">
        <w:rPr>
          <w:rFonts w:cs="Arial" w:hint="cs"/>
          <w:rtl/>
        </w:rPr>
        <w:t>.</w:t>
      </w:r>
      <w:r>
        <w:rPr>
          <w:rFonts w:cs="Arial"/>
          <w:rtl/>
        </w:rPr>
        <w:t xml:space="preserve"> אלא</w:t>
      </w:r>
      <w:r w:rsidR="00804320">
        <w:rPr>
          <w:rFonts w:cs="Arial" w:hint="cs"/>
          <w:rtl/>
        </w:rPr>
        <w:t>,</w:t>
      </w:r>
      <w:r>
        <w:rPr>
          <w:rFonts w:cs="Arial"/>
          <w:rtl/>
        </w:rPr>
        <w:t xml:space="preserve"> אם רצתה, נותן לה שכרה ומניקתו</w:t>
      </w:r>
      <w:r w:rsidR="00804320">
        <w:rPr>
          <w:rFonts w:cs="Arial" w:hint="cs"/>
          <w:rtl/>
        </w:rPr>
        <w:t>.</w:t>
      </w:r>
      <w:r>
        <w:rPr>
          <w:rFonts w:cs="Arial"/>
          <w:rtl/>
        </w:rPr>
        <w:t xml:space="preserve"> ואם לא רצתה, נותנת לו את בנו והוא מטפל בו. ב</w:t>
      </w:r>
      <w:r w:rsidR="00804320">
        <w:rPr>
          <w:rFonts w:cs="Arial" w:hint="cs"/>
          <w:rtl/>
        </w:rPr>
        <w:t xml:space="preserve">מה דברים </w:t>
      </w:r>
      <w:r>
        <w:rPr>
          <w:rFonts w:cs="Arial"/>
          <w:rtl/>
        </w:rPr>
        <w:t>א</w:t>
      </w:r>
      <w:r w:rsidR="00804320">
        <w:rPr>
          <w:rFonts w:cs="Arial" w:hint="cs"/>
          <w:rtl/>
        </w:rPr>
        <w:t>מורים</w:t>
      </w:r>
      <w:r>
        <w:rPr>
          <w:rFonts w:cs="Arial"/>
          <w:rtl/>
        </w:rPr>
        <w:t xml:space="preserve">, שלא הניקה אותו עד שהכירה, אבל אם הכירה </w:t>
      </w:r>
      <w:r w:rsidR="00804320">
        <w:rPr>
          <w:rFonts w:cs="Arial" w:hint="cs"/>
          <w:sz w:val="18"/>
          <w:szCs w:val="18"/>
          <w:rtl/>
        </w:rPr>
        <w:t xml:space="preserve">[הגה] </w:t>
      </w:r>
      <w:r w:rsidRPr="00782C6B">
        <w:rPr>
          <w:rFonts w:cs="Arial"/>
          <w:sz w:val="18"/>
          <w:szCs w:val="18"/>
          <w:rtl/>
        </w:rPr>
        <w:t>ואינו רוצה להניק מאחרת (טור)</w:t>
      </w:r>
      <w:r>
        <w:rPr>
          <w:rFonts w:cs="Arial"/>
          <w:rtl/>
        </w:rPr>
        <w:t xml:space="preserve">, אפילו הוא סומא, אין מפרישין אותו, מפני סכנת הולד, אלא כופין אותה ומינקתו עד כ"ד חדש. </w:t>
      </w:r>
      <w:r w:rsidRPr="00782C6B">
        <w:rPr>
          <w:rFonts w:cs="Arial"/>
          <w:sz w:val="18"/>
          <w:szCs w:val="18"/>
          <w:rtl/>
        </w:rPr>
        <w:t>הגה: והוא נותן לה שכר הנקה (טור). וי"א דאפילו אשה אחרת שהניקה ולד עד שמכירה, כופין אותה ומניקה אותו בשכר, מפני סכנת הולד (</w:t>
      </w:r>
      <w:r w:rsidR="00BA354F">
        <w:rPr>
          <w:rFonts w:cs="Arial" w:hint="cs"/>
          <w:sz w:val="18"/>
          <w:szCs w:val="18"/>
          <w:rtl/>
        </w:rPr>
        <w:t>שלט"ג</w:t>
      </w:r>
      <w:r w:rsidRPr="00782C6B">
        <w:rPr>
          <w:rFonts w:cs="Arial"/>
          <w:sz w:val="18"/>
          <w:szCs w:val="18"/>
          <w:rtl/>
        </w:rPr>
        <w:t>). וי"א הא דגרושה אינה מחוייבת להניק אם אינו מכירה, היינו כשמוצא מינקת אחרת ויש לו להשכיר, אבל אם אין לו, כופה אותה ומניקתו</w:t>
      </w:r>
      <w:r w:rsidR="00BA354F">
        <w:rPr>
          <w:rStyle w:val="a7"/>
          <w:rFonts w:cs="Arial"/>
          <w:sz w:val="18"/>
          <w:szCs w:val="18"/>
          <w:rtl/>
        </w:rPr>
        <w:footnoteReference w:id="788"/>
      </w:r>
      <w:r w:rsidRPr="00782C6B">
        <w:rPr>
          <w:rFonts w:cs="Arial"/>
          <w:sz w:val="18"/>
          <w:szCs w:val="18"/>
          <w:rtl/>
        </w:rPr>
        <w:t xml:space="preserve"> (רי</w:t>
      </w:r>
      <w:r w:rsidR="00BA354F">
        <w:rPr>
          <w:rFonts w:cs="Arial" w:hint="cs"/>
          <w:sz w:val="18"/>
          <w:szCs w:val="18"/>
          <w:rtl/>
        </w:rPr>
        <w:t>"ו</w:t>
      </w:r>
      <w:r w:rsidRPr="00782C6B">
        <w:rPr>
          <w:rFonts w:cs="Arial"/>
          <w:sz w:val="18"/>
          <w:szCs w:val="18"/>
          <w:rtl/>
        </w:rPr>
        <w:t>)</w:t>
      </w:r>
      <w:r w:rsidR="00BA354F">
        <w:rPr>
          <w:rFonts w:cs="Arial" w:hint="cs"/>
          <w:sz w:val="18"/>
          <w:szCs w:val="18"/>
          <w:rtl/>
        </w:rPr>
        <w:t>.</w:t>
      </w:r>
      <w:r w:rsidRPr="00782C6B">
        <w:rPr>
          <w:rFonts w:cs="Arial"/>
          <w:sz w:val="18"/>
          <w:szCs w:val="18"/>
          <w:rtl/>
        </w:rPr>
        <w:t xml:space="preserve"> אבל אם השכירה כבר עצמה לאחרים, ואותו ולד מכירה, אין דוחין אותו ולד מפני בנה</w:t>
      </w:r>
      <w:r w:rsidR="00BA354F">
        <w:rPr>
          <w:rStyle w:val="a7"/>
          <w:rFonts w:cs="Arial"/>
          <w:sz w:val="18"/>
          <w:szCs w:val="18"/>
          <w:rtl/>
        </w:rPr>
        <w:footnoteReference w:id="789"/>
      </w:r>
      <w:r w:rsidRPr="00782C6B">
        <w:rPr>
          <w:rFonts w:cs="Arial"/>
          <w:sz w:val="18"/>
          <w:szCs w:val="18"/>
          <w:rtl/>
        </w:rPr>
        <w:t>, אלא ב"ד משכירין לבנה מניקה אחרת (רא"ש).</w:t>
      </w:r>
      <w:r>
        <w:rPr>
          <w:rFonts w:cs="Arial"/>
          <w:rtl/>
        </w:rPr>
        <w:t xml:space="preserve"> </w:t>
      </w:r>
    </w:p>
    <w:p w14:paraId="5445ACBE" w14:textId="2EB2ED02" w:rsidR="001012D8" w:rsidRDefault="001012D8" w:rsidP="000D2069">
      <w:pPr>
        <w:rPr>
          <w:rFonts w:cs="Arial"/>
          <w:rtl/>
        </w:rPr>
      </w:pPr>
      <w:r w:rsidRPr="001012D8">
        <w:rPr>
          <w:rFonts w:cs="Arial"/>
          <w:u w:val="single"/>
          <w:rtl/>
        </w:rPr>
        <w:t>מינקת חבירו שעברו כ"ד חודש וה</w:t>
      </w:r>
      <w:r w:rsidRPr="001012D8">
        <w:rPr>
          <w:rFonts w:cs="Arial" w:hint="cs"/>
          <w:u w:val="single"/>
          <w:rtl/>
        </w:rPr>
        <w:t>י</w:t>
      </w:r>
      <w:r w:rsidRPr="001012D8">
        <w:rPr>
          <w:rFonts w:cs="Arial"/>
          <w:u w:val="single"/>
          <w:rtl/>
        </w:rPr>
        <w:t>לד חולה</w:t>
      </w:r>
      <w:r>
        <w:rPr>
          <w:rFonts w:cs="Arial" w:hint="cs"/>
          <w:u w:val="single"/>
          <w:rtl/>
        </w:rPr>
        <w:t>,</w:t>
      </w:r>
      <w:r w:rsidRPr="001012D8">
        <w:rPr>
          <w:rFonts w:cs="Arial"/>
          <w:u w:val="single"/>
          <w:rtl/>
        </w:rPr>
        <w:t xml:space="preserve"> ו</w:t>
      </w:r>
      <w:r>
        <w:rPr>
          <w:rFonts w:cs="Arial" w:hint="cs"/>
          <w:u w:val="single"/>
          <w:rtl/>
        </w:rPr>
        <w:t xml:space="preserve">יהיה מסוכן </w:t>
      </w:r>
      <w:r w:rsidRPr="001012D8">
        <w:rPr>
          <w:rFonts w:cs="Arial"/>
          <w:u w:val="single"/>
          <w:rtl/>
        </w:rPr>
        <w:t>אם תגמלהו</w:t>
      </w:r>
      <w:r w:rsidRPr="001012D8">
        <w:rPr>
          <w:rFonts w:cs="Arial" w:hint="cs"/>
          <w:u w:val="single"/>
          <w:rtl/>
        </w:rPr>
        <w:t>,</w:t>
      </w:r>
      <w:r w:rsidRPr="001012D8">
        <w:rPr>
          <w:rFonts w:cs="Arial"/>
          <w:u w:val="single"/>
          <w:rtl/>
        </w:rPr>
        <w:t xml:space="preserve"> ואי</w:t>
      </w:r>
      <w:r w:rsidRPr="001012D8">
        <w:rPr>
          <w:rFonts w:cs="Arial" w:hint="cs"/>
          <w:u w:val="single"/>
          <w:rtl/>
        </w:rPr>
        <w:t>נו</w:t>
      </w:r>
      <w:r w:rsidRPr="001012D8">
        <w:rPr>
          <w:rFonts w:cs="Arial"/>
          <w:u w:val="single"/>
          <w:rtl/>
        </w:rPr>
        <w:t xml:space="preserve"> רוצה לינק מאחרת</w:t>
      </w:r>
      <w:r w:rsidRPr="001012D8">
        <w:rPr>
          <w:rFonts w:cs="Arial" w:hint="cs"/>
          <w:u w:val="single"/>
          <w:rtl/>
        </w:rPr>
        <w:t>:</w:t>
      </w:r>
      <w:r w:rsidRPr="00BA354F">
        <w:rPr>
          <w:rFonts w:cs="Arial"/>
          <w:rtl/>
        </w:rPr>
        <w:t xml:space="preserve"> </w:t>
      </w:r>
      <w:r w:rsidRPr="001012D8">
        <w:rPr>
          <w:rFonts w:cs="Arial" w:hint="cs"/>
          <w:sz w:val="16"/>
          <w:szCs w:val="16"/>
          <w:rtl/>
        </w:rPr>
        <w:t>(פת"ש סק"ב)</w:t>
      </w:r>
    </w:p>
    <w:p w14:paraId="1DF126BD" w14:textId="010D84E0" w:rsidR="00782C6B" w:rsidRDefault="00BA354F" w:rsidP="009000E3">
      <w:pPr>
        <w:pStyle w:val="ab"/>
        <w:numPr>
          <w:ilvl w:val="0"/>
          <w:numId w:val="47"/>
        </w:numPr>
      </w:pPr>
      <w:r w:rsidRPr="001012D8">
        <w:rPr>
          <w:rFonts w:cs="Arial"/>
          <w:rtl/>
        </w:rPr>
        <w:t xml:space="preserve">רדב"ז </w:t>
      </w:r>
      <w:r w:rsidR="001012D8" w:rsidRPr="001012D8">
        <w:rPr>
          <w:rFonts w:cs="Arial" w:hint="cs"/>
          <w:sz w:val="16"/>
          <w:szCs w:val="16"/>
          <w:rtl/>
        </w:rPr>
        <w:t>(</w:t>
      </w:r>
      <w:r w:rsidRPr="001012D8">
        <w:rPr>
          <w:rFonts w:cs="Arial"/>
          <w:sz w:val="16"/>
          <w:szCs w:val="16"/>
          <w:rtl/>
        </w:rPr>
        <w:t>ח"א סי</w:t>
      </w:r>
      <w:r w:rsidR="001012D8" w:rsidRPr="001012D8">
        <w:rPr>
          <w:rFonts w:cs="Arial" w:hint="cs"/>
          <w:sz w:val="16"/>
          <w:szCs w:val="16"/>
          <w:rtl/>
        </w:rPr>
        <w:t>'</w:t>
      </w:r>
      <w:r w:rsidRPr="001012D8">
        <w:rPr>
          <w:rFonts w:cs="Arial"/>
          <w:sz w:val="16"/>
          <w:szCs w:val="16"/>
          <w:rtl/>
        </w:rPr>
        <w:t xml:space="preserve"> שמט</w:t>
      </w:r>
      <w:r w:rsidR="001012D8" w:rsidRPr="001012D8">
        <w:rPr>
          <w:rFonts w:cs="Arial" w:hint="cs"/>
          <w:sz w:val="16"/>
          <w:szCs w:val="16"/>
          <w:rtl/>
        </w:rPr>
        <w:t>)</w:t>
      </w:r>
      <w:r w:rsidR="001012D8" w:rsidRPr="001012D8">
        <w:rPr>
          <w:rFonts w:cs="Arial" w:hint="cs"/>
          <w:rtl/>
        </w:rPr>
        <w:t>-</w:t>
      </w:r>
      <w:r w:rsidRPr="001012D8">
        <w:rPr>
          <w:rFonts w:cs="Arial"/>
          <w:rtl/>
        </w:rPr>
        <w:t xml:space="preserve"> מינקת חבירו שעברו כ"ד חודש והולד חולה וחלש ואם תגמלהו יבא לידי סכנה ואין הולד רוצה לינק מאחרת</w:t>
      </w:r>
      <w:r w:rsidR="001012D8">
        <w:rPr>
          <w:rFonts w:cs="Arial" w:hint="cs"/>
          <w:rtl/>
        </w:rPr>
        <w:t>,</w:t>
      </w:r>
      <w:r w:rsidRPr="001012D8">
        <w:rPr>
          <w:rFonts w:cs="Arial"/>
          <w:rtl/>
        </w:rPr>
        <w:t xml:space="preserve"> אם כופין אותה להניקו מפני הסכנה</w:t>
      </w:r>
      <w:r w:rsidR="001012D8">
        <w:rPr>
          <w:rFonts w:cs="Arial" w:hint="cs"/>
          <w:rtl/>
        </w:rPr>
        <w:t>,</w:t>
      </w:r>
      <w:r w:rsidRPr="001012D8">
        <w:rPr>
          <w:rFonts w:cs="Arial"/>
          <w:rtl/>
        </w:rPr>
        <w:t xml:space="preserve"> ואם יכולה לומר אני רוצה להנשא. </w:t>
      </w:r>
      <w:r w:rsidR="00FE210D">
        <w:rPr>
          <w:rFonts w:cs="Arial" w:hint="cs"/>
          <w:rtl/>
        </w:rPr>
        <w:t xml:space="preserve">      תשובה:</w:t>
      </w:r>
      <w:r w:rsidRPr="001012D8">
        <w:rPr>
          <w:rFonts w:cs="Arial"/>
          <w:rtl/>
        </w:rPr>
        <w:t xml:space="preserve"> אם הולד יש לו אב</w:t>
      </w:r>
      <w:r w:rsidR="001012D8" w:rsidRPr="001012D8">
        <w:rPr>
          <w:rFonts w:cs="Arial" w:hint="cs"/>
          <w:rtl/>
        </w:rPr>
        <w:t>,</w:t>
      </w:r>
      <w:r w:rsidRPr="001012D8">
        <w:rPr>
          <w:rFonts w:cs="Arial"/>
          <w:rtl/>
        </w:rPr>
        <w:t xml:space="preserve"> כופין אותו לרצותה במעות עד שיבריא הולד ויגמל</w:t>
      </w:r>
      <w:r w:rsidR="001012D8" w:rsidRPr="001012D8">
        <w:rPr>
          <w:rFonts w:cs="Arial" w:hint="cs"/>
          <w:rtl/>
        </w:rPr>
        <w:t>.</w:t>
      </w:r>
      <w:r w:rsidRPr="001012D8">
        <w:rPr>
          <w:rFonts w:cs="Arial"/>
          <w:rtl/>
        </w:rPr>
        <w:t xml:space="preserve"> ואם אין לו אב או שהוא עני</w:t>
      </w:r>
      <w:r w:rsidR="001012D8" w:rsidRPr="001012D8">
        <w:rPr>
          <w:rFonts w:cs="Arial" w:hint="cs"/>
          <w:rtl/>
        </w:rPr>
        <w:t>,</w:t>
      </w:r>
      <w:r w:rsidRPr="001012D8">
        <w:rPr>
          <w:rFonts w:cs="Arial"/>
          <w:rtl/>
        </w:rPr>
        <w:t xml:space="preserve"> מצותו בכל ישראל ונותנין לה ממון עד שתתרצה משום הצלת נפשות</w:t>
      </w:r>
      <w:r w:rsidR="001012D8" w:rsidRPr="001012D8">
        <w:rPr>
          <w:rFonts w:cs="Arial" w:hint="cs"/>
          <w:rtl/>
        </w:rPr>
        <w:t>.</w:t>
      </w:r>
      <w:r w:rsidRPr="001012D8">
        <w:rPr>
          <w:rFonts w:cs="Arial"/>
          <w:rtl/>
        </w:rPr>
        <w:t xml:space="preserve"> ואם לא נתרצית</w:t>
      </w:r>
      <w:r w:rsidR="001012D8" w:rsidRPr="001012D8">
        <w:rPr>
          <w:rFonts w:cs="Arial" w:hint="cs"/>
          <w:rtl/>
        </w:rPr>
        <w:t>,</w:t>
      </w:r>
      <w:r w:rsidRPr="001012D8">
        <w:rPr>
          <w:rFonts w:cs="Arial"/>
          <w:rtl/>
        </w:rPr>
        <w:t xml:space="preserve"> מתירין אותה לינשא ולא תגמלנו מפני הסכנ</w:t>
      </w:r>
      <w:r w:rsidR="001012D8" w:rsidRPr="001012D8">
        <w:rPr>
          <w:rFonts w:cs="Arial" w:hint="cs"/>
          <w:rtl/>
        </w:rPr>
        <w:t>ה.</w:t>
      </w:r>
      <w:r w:rsidRPr="001012D8">
        <w:rPr>
          <w:rFonts w:cs="Arial"/>
          <w:rtl/>
        </w:rPr>
        <w:t xml:space="preserve"> ואם אינה רוצה</w:t>
      </w:r>
      <w:r w:rsidR="001012D8" w:rsidRPr="001012D8">
        <w:rPr>
          <w:rFonts w:cs="Arial" w:hint="cs"/>
          <w:rtl/>
        </w:rPr>
        <w:t>,</w:t>
      </w:r>
      <w:r w:rsidRPr="001012D8">
        <w:rPr>
          <w:rFonts w:cs="Arial"/>
          <w:rtl/>
        </w:rPr>
        <w:t xml:space="preserve"> כופין אותה להניקו בשכר</w:t>
      </w:r>
      <w:r w:rsidR="001012D8" w:rsidRPr="001012D8">
        <w:rPr>
          <w:rFonts w:cs="Arial" w:hint="cs"/>
          <w:rtl/>
        </w:rPr>
        <w:t>,</w:t>
      </w:r>
      <w:r w:rsidRPr="001012D8">
        <w:rPr>
          <w:rFonts w:cs="Arial"/>
          <w:rtl/>
        </w:rPr>
        <w:t xml:space="preserve"> שהרי מצוה זו מוטלת עליה לבדה להחיותו</w:t>
      </w:r>
      <w:r w:rsidR="001012D8" w:rsidRPr="001012D8">
        <w:rPr>
          <w:rFonts w:cs="Arial" w:hint="cs"/>
          <w:rtl/>
        </w:rPr>
        <w:t>.</w:t>
      </w:r>
      <w:r w:rsidRPr="001012D8">
        <w:rPr>
          <w:rFonts w:cs="Arial"/>
          <w:rtl/>
        </w:rPr>
        <w:t xml:space="preserve"> והכל הוא לפי אומד הרופאים שיאמרו שאם תגמלהו יבא לידי ספק נפשות</w:t>
      </w:r>
      <w:r w:rsidR="001012D8" w:rsidRPr="001012D8">
        <w:rPr>
          <w:rFonts w:cs="Arial" w:hint="cs"/>
          <w:rtl/>
        </w:rPr>
        <w:t>.</w:t>
      </w:r>
    </w:p>
    <w:p w14:paraId="1A28FBD5" w14:textId="77777777" w:rsidR="001012D8" w:rsidRDefault="001012D8" w:rsidP="00896E1A">
      <w:pPr>
        <w:rPr>
          <w:rtl/>
        </w:rPr>
      </w:pPr>
    </w:p>
    <w:p w14:paraId="4C6F5A34" w14:textId="34AE4AD4" w:rsidR="000D2069" w:rsidRDefault="000D2069" w:rsidP="000F64D0">
      <w:pPr>
        <w:pStyle w:val="2"/>
        <w:rPr>
          <w:rtl/>
        </w:rPr>
      </w:pPr>
      <w:r>
        <w:rPr>
          <w:rtl/>
        </w:rPr>
        <w:t>סעיף ו</w:t>
      </w:r>
      <w:r w:rsidR="00685AED">
        <w:rPr>
          <w:rFonts w:hint="cs"/>
          <w:rtl/>
        </w:rPr>
        <w:t>: מזונות לגרושה או מעוברת.</w:t>
      </w:r>
    </w:p>
    <w:p w14:paraId="70E4C174" w14:textId="2D9B8A8A" w:rsidR="00685AED" w:rsidRPr="00685AED" w:rsidRDefault="00685AED" w:rsidP="00685AED">
      <w:pPr>
        <w:rPr>
          <w:u w:val="single"/>
          <w:rtl/>
        </w:rPr>
      </w:pPr>
      <w:r>
        <w:rPr>
          <w:rFonts w:hint="cs"/>
          <w:u w:val="single"/>
          <w:rtl/>
        </w:rPr>
        <w:t xml:space="preserve">חיוב </w:t>
      </w:r>
      <w:r w:rsidRPr="00685AED">
        <w:rPr>
          <w:rFonts w:hint="cs"/>
          <w:u w:val="single"/>
          <w:rtl/>
        </w:rPr>
        <w:t>מזונות לגרושה או מעוברת:</w:t>
      </w:r>
    </w:p>
    <w:p w14:paraId="60FF59D2" w14:textId="12BD09F3" w:rsidR="00685AED" w:rsidRPr="00685AED" w:rsidRDefault="00685AED" w:rsidP="009000E3">
      <w:pPr>
        <w:pStyle w:val="ab"/>
        <w:numPr>
          <w:ilvl w:val="0"/>
          <w:numId w:val="47"/>
        </w:numPr>
        <w:rPr>
          <w:rFonts w:cs="Arial"/>
          <w:rtl/>
        </w:rPr>
      </w:pPr>
      <w:r w:rsidRPr="00685AED">
        <w:rPr>
          <w:rFonts w:cs="Arial" w:hint="cs"/>
          <w:rtl/>
        </w:rPr>
        <w:t xml:space="preserve">רמב"ם </w:t>
      </w:r>
      <w:r w:rsidR="00097C04" w:rsidRPr="00685AED">
        <w:rPr>
          <w:rFonts w:cs="Arial"/>
          <w:sz w:val="16"/>
          <w:szCs w:val="16"/>
          <w:rtl/>
        </w:rPr>
        <w:t>(</w:t>
      </w:r>
      <w:r w:rsidRPr="00685AED">
        <w:rPr>
          <w:rFonts w:cs="Arial" w:hint="cs"/>
          <w:sz w:val="16"/>
          <w:szCs w:val="16"/>
          <w:rtl/>
        </w:rPr>
        <w:t xml:space="preserve">פכ"א </w:t>
      </w:r>
      <w:r w:rsidR="00097C04" w:rsidRPr="00685AED">
        <w:rPr>
          <w:rFonts w:cs="Arial"/>
          <w:sz w:val="16"/>
          <w:szCs w:val="16"/>
          <w:rtl/>
        </w:rPr>
        <w:t>הי"ז)</w:t>
      </w:r>
      <w:r w:rsidRPr="00685AED">
        <w:rPr>
          <w:rFonts w:cs="Arial" w:hint="cs"/>
          <w:rtl/>
        </w:rPr>
        <w:t xml:space="preserve">- </w:t>
      </w:r>
      <w:r w:rsidRPr="00685AED">
        <w:rPr>
          <w:rFonts w:cs="Arial"/>
          <w:rtl/>
        </w:rPr>
        <w:t>הגרושה אין לה מזונות אע</w:t>
      </w:r>
      <w:r w:rsidR="003E5B4A">
        <w:rPr>
          <w:rFonts w:cs="Arial" w:hint="cs"/>
          <w:rtl/>
        </w:rPr>
        <w:t>"</w:t>
      </w:r>
      <w:r w:rsidRPr="00685AED">
        <w:rPr>
          <w:rFonts w:cs="Arial"/>
          <w:rtl/>
        </w:rPr>
        <w:t>פ שהיא מניקה את בנה</w:t>
      </w:r>
      <w:r w:rsidR="00132E61">
        <w:rPr>
          <w:rFonts w:cs="Arial" w:hint="cs"/>
          <w:rtl/>
        </w:rPr>
        <w:t>,</w:t>
      </w:r>
      <w:r w:rsidRPr="00685AED">
        <w:rPr>
          <w:rFonts w:cs="Arial"/>
          <w:rtl/>
        </w:rPr>
        <w:t xml:space="preserve"> אבל נותן לה יתר על שכרה דברים שהקטן צריך להן מכסות ומאכל ומשקה וסיכה וכיוצא בזה</w:t>
      </w:r>
      <w:r w:rsidR="00132E61">
        <w:rPr>
          <w:rFonts w:cs="Arial" w:hint="cs"/>
          <w:rtl/>
        </w:rPr>
        <w:t>.</w:t>
      </w:r>
      <w:r w:rsidRPr="00685AED">
        <w:rPr>
          <w:rFonts w:cs="Arial"/>
          <w:rtl/>
        </w:rPr>
        <w:t xml:space="preserve"> אבל המעוברת אין לה כלום.</w:t>
      </w:r>
      <w:r w:rsidRPr="00685AED">
        <w:rPr>
          <w:rFonts w:hint="cs"/>
          <w:color w:val="E36C0A" w:themeColor="accent6" w:themeShade="BF"/>
          <w:rtl/>
        </w:rPr>
        <w:t xml:space="preserve"> </w:t>
      </w:r>
      <w:r w:rsidRPr="007B430E">
        <w:rPr>
          <w:rFonts w:hint="cs"/>
          <w:color w:val="E36C0A" w:themeColor="accent6" w:themeShade="BF"/>
          <w:rtl/>
        </w:rPr>
        <w:t>(וכ"פ בשו"ע)</w:t>
      </w:r>
    </w:p>
    <w:p w14:paraId="72679799"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66E45D19" w14:textId="7A77A2C0" w:rsidR="000D2069" w:rsidRDefault="000D2069" w:rsidP="000D2069">
      <w:pPr>
        <w:rPr>
          <w:rtl/>
        </w:rPr>
      </w:pPr>
      <w:r>
        <w:rPr>
          <w:rFonts w:cs="Arial"/>
          <w:rtl/>
        </w:rPr>
        <w:t>הגרושה אין לה מזונות, אף על פי שהיא מניקה את בנה, אבל נותן לה יותר על שכרה דברים שהקטן צריך להם</w:t>
      </w:r>
      <w:r w:rsidR="00685AED">
        <w:rPr>
          <w:rStyle w:val="a7"/>
          <w:rFonts w:cs="Arial"/>
          <w:rtl/>
        </w:rPr>
        <w:footnoteReference w:id="790"/>
      </w:r>
      <w:r>
        <w:rPr>
          <w:rFonts w:cs="Arial"/>
          <w:rtl/>
        </w:rPr>
        <w:t>, מכסות ומאכל ומשקה וסיכה וכיוצא בזה</w:t>
      </w:r>
      <w:r w:rsidR="00685AED">
        <w:rPr>
          <w:rFonts w:cs="Arial" w:hint="cs"/>
          <w:rtl/>
        </w:rPr>
        <w:t>.</w:t>
      </w:r>
      <w:r>
        <w:rPr>
          <w:rFonts w:cs="Arial"/>
          <w:rtl/>
        </w:rPr>
        <w:t xml:space="preserve"> אבל המעוברת, אין לה כלום. </w:t>
      </w:r>
    </w:p>
    <w:p w14:paraId="049295C6" w14:textId="77777777" w:rsidR="00782C6B" w:rsidRDefault="00782C6B" w:rsidP="000D2069">
      <w:pPr>
        <w:rPr>
          <w:rtl/>
        </w:rPr>
      </w:pPr>
    </w:p>
    <w:p w14:paraId="61D46A9C" w14:textId="30BBF689" w:rsidR="000D2069" w:rsidRDefault="000D2069" w:rsidP="000F64D0">
      <w:pPr>
        <w:pStyle w:val="2"/>
        <w:rPr>
          <w:rtl/>
        </w:rPr>
      </w:pPr>
      <w:r>
        <w:rPr>
          <w:rtl/>
        </w:rPr>
        <w:lastRenderedPageBreak/>
        <w:t>סעיף ז</w:t>
      </w:r>
      <w:r w:rsidR="00685AED">
        <w:rPr>
          <w:rFonts w:hint="cs"/>
          <w:rtl/>
        </w:rPr>
        <w:t>:</w:t>
      </w:r>
      <w:r w:rsidR="00816056">
        <w:rPr>
          <w:rFonts w:hint="cs"/>
          <w:rtl/>
        </w:rPr>
        <w:t xml:space="preserve"> ברשות מי הילד לאחר שנגמל.</w:t>
      </w:r>
    </w:p>
    <w:p w14:paraId="2759A11B" w14:textId="7145D376" w:rsidR="006C5126" w:rsidRDefault="003E00A2" w:rsidP="006C5126">
      <w:pPr>
        <w:rPr>
          <w:rtl/>
        </w:rPr>
      </w:pPr>
      <w:r w:rsidRPr="003E00A2">
        <w:rPr>
          <w:rFonts w:cs="Arial" w:hint="cs"/>
          <w:b/>
          <w:bCs/>
          <w:rtl/>
        </w:rPr>
        <w:t xml:space="preserve">כתובות </w:t>
      </w:r>
      <w:r w:rsidRPr="003E00A2">
        <w:rPr>
          <w:rFonts w:cs="Arial" w:hint="cs"/>
          <w:b/>
          <w:bCs/>
          <w:sz w:val="16"/>
          <w:szCs w:val="16"/>
          <w:rtl/>
        </w:rPr>
        <w:t>(</w:t>
      </w:r>
      <w:r>
        <w:rPr>
          <w:rFonts w:cs="Arial" w:hint="cs"/>
          <w:b/>
          <w:bCs/>
          <w:sz w:val="16"/>
          <w:szCs w:val="16"/>
          <w:rtl/>
        </w:rPr>
        <w:t>פ' אף על פי</w:t>
      </w:r>
      <w:r w:rsidRPr="003E00A2">
        <w:rPr>
          <w:rFonts w:cs="Arial" w:hint="cs"/>
          <w:b/>
          <w:bCs/>
          <w:sz w:val="16"/>
          <w:szCs w:val="16"/>
          <w:rtl/>
        </w:rPr>
        <w:t xml:space="preserve">) </w:t>
      </w:r>
      <w:r w:rsidRPr="003E00A2">
        <w:rPr>
          <w:rFonts w:cs="Arial" w:hint="cs"/>
          <w:b/>
          <w:bCs/>
          <w:rtl/>
        </w:rPr>
        <w:t xml:space="preserve">סה ע"ב: </w:t>
      </w:r>
      <w:r w:rsidRPr="003E00A2">
        <w:rPr>
          <w:rFonts w:cs="Arial"/>
          <w:u w:val="single"/>
          <w:rtl/>
        </w:rPr>
        <w:t>דרש רבי עולא רבה אפיתחא דבי נשיאה</w:t>
      </w:r>
      <w:r w:rsidRPr="003E00A2">
        <w:rPr>
          <w:rFonts w:cs="Arial"/>
          <w:rtl/>
        </w:rPr>
        <w:t>: אף על פי שאמרו אין אדם זן את בניו ובנותיו כשהן קטנים, אבל זן קטני קטנים. עד כמה? עד בן שש</w:t>
      </w:r>
      <w:r w:rsidR="00107AF4">
        <w:rPr>
          <w:rFonts w:cs="Arial" w:hint="cs"/>
          <w:rtl/>
        </w:rPr>
        <w:t>.</w:t>
      </w:r>
      <w:r w:rsidRPr="003E00A2">
        <w:rPr>
          <w:rFonts w:cs="Arial"/>
          <w:rtl/>
        </w:rPr>
        <w:t xml:space="preserve"> כדרב אסי, </w:t>
      </w:r>
      <w:r w:rsidRPr="003E00A2">
        <w:rPr>
          <w:rFonts w:cs="Arial"/>
          <w:u w:val="single"/>
          <w:rtl/>
        </w:rPr>
        <w:t>דאמר רב אסי</w:t>
      </w:r>
      <w:r w:rsidRPr="003E00A2">
        <w:rPr>
          <w:rFonts w:cs="Arial"/>
          <w:rtl/>
        </w:rPr>
        <w:t>: קטן בן שש יוצא בעירוב אמו</w:t>
      </w:r>
      <w:r>
        <w:rPr>
          <w:rStyle w:val="a7"/>
          <w:rFonts w:cs="Arial"/>
          <w:rtl/>
        </w:rPr>
        <w:footnoteReference w:id="791"/>
      </w:r>
      <w:r w:rsidRPr="003E00A2">
        <w:rPr>
          <w:rFonts w:cs="Arial"/>
          <w:rtl/>
        </w:rPr>
        <w:t>. ממאי? מדקתני: היתה מניקה - פוחתין לה ממעשה ידיה ומוסיפין לה על מזונותיה; מ"ט? לאו משום דבעי למיכל בהדה.</w:t>
      </w:r>
    </w:p>
    <w:p w14:paraId="5E77C13C" w14:textId="399EC977" w:rsidR="00216C4D" w:rsidRDefault="00216C4D" w:rsidP="006C5126">
      <w:pPr>
        <w:rPr>
          <w:rtl/>
        </w:rPr>
      </w:pPr>
      <w:r w:rsidRPr="00216C4D">
        <w:rPr>
          <w:rFonts w:cs="Arial" w:hint="cs"/>
          <w:b/>
          <w:bCs/>
          <w:rtl/>
        </w:rPr>
        <w:t xml:space="preserve">ערובין </w:t>
      </w:r>
      <w:r>
        <w:rPr>
          <w:rFonts w:cs="Arial" w:hint="cs"/>
          <w:b/>
          <w:bCs/>
          <w:sz w:val="16"/>
          <w:szCs w:val="16"/>
          <w:rtl/>
        </w:rPr>
        <w:t>(</w:t>
      </w:r>
      <w:r w:rsidR="00165F2F">
        <w:rPr>
          <w:rFonts w:cs="Arial" w:hint="cs"/>
          <w:b/>
          <w:bCs/>
          <w:sz w:val="16"/>
          <w:szCs w:val="16"/>
          <w:rtl/>
        </w:rPr>
        <w:t>פ' חלון</w:t>
      </w:r>
      <w:r>
        <w:rPr>
          <w:rFonts w:cs="Arial" w:hint="cs"/>
          <w:b/>
          <w:bCs/>
          <w:sz w:val="16"/>
          <w:szCs w:val="16"/>
          <w:rtl/>
        </w:rPr>
        <w:t xml:space="preserve">) </w:t>
      </w:r>
      <w:r w:rsidRPr="00216C4D">
        <w:rPr>
          <w:rFonts w:cs="Arial" w:hint="cs"/>
          <w:b/>
          <w:bCs/>
          <w:rtl/>
        </w:rPr>
        <w:t xml:space="preserve">פב ע"א: </w:t>
      </w:r>
      <w:r w:rsidRPr="00107AF4">
        <w:rPr>
          <w:rFonts w:cs="Arial"/>
          <w:u w:val="single"/>
          <w:rtl/>
        </w:rPr>
        <w:t>אמר רב אסי</w:t>
      </w:r>
      <w:r w:rsidRPr="00216C4D">
        <w:rPr>
          <w:rFonts w:cs="Arial"/>
          <w:rtl/>
        </w:rPr>
        <w:t>: קטן בן שש יוצא בעירוב אמו.</w:t>
      </w:r>
      <w:r w:rsidR="00165F2F">
        <w:rPr>
          <w:rFonts w:cs="Arial" w:hint="cs"/>
          <w:rtl/>
        </w:rPr>
        <w:t>..</w:t>
      </w:r>
      <w:r w:rsidR="00107AF4">
        <w:rPr>
          <w:rFonts w:cs="Arial" w:hint="cs"/>
          <w:sz w:val="14"/>
          <w:szCs w:val="14"/>
          <w:rtl/>
        </w:rPr>
        <w:t xml:space="preserve"> (פב:)</w:t>
      </w:r>
      <w:r w:rsidR="00165F2F" w:rsidRPr="00165F2F">
        <w:rPr>
          <w:rtl/>
        </w:rPr>
        <w:t xml:space="preserve"> </w:t>
      </w:r>
      <w:r w:rsidR="00165F2F" w:rsidRPr="00107AF4">
        <w:rPr>
          <w:rFonts w:cs="Arial"/>
          <w:u w:val="single"/>
          <w:rtl/>
        </w:rPr>
        <w:t>אמר רב יהושע בריה דרב אידי</w:t>
      </w:r>
      <w:r w:rsidR="00165F2F" w:rsidRPr="00165F2F">
        <w:rPr>
          <w:rFonts w:cs="Arial"/>
          <w:rtl/>
        </w:rPr>
        <w:t>: כי קאמר רב אסי - כגון שעירב עליו אביו לצפון, ואמו לדרום. דאפילו בר שש נמי, בצוותא דאמיה ניחא ליה.</w:t>
      </w:r>
      <w:r w:rsidR="00107AF4">
        <w:rPr>
          <w:rFonts w:hint="cs"/>
          <w:rtl/>
        </w:rPr>
        <w:t>..</w:t>
      </w:r>
      <w:r w:rsidR="00107AF4" w:rsidRPr="00107AF4">
        <w:rPr>
          <w:rtl/>
        </w:rPr>
        <w:t xml:space="preserve"> </w:t>
      </w:r>
      <w:r w:rsidR="00107AF4" w:rsidRPr="00107AF4">
        <w:rPr>
          <w:rFonts w:cs="Arial"/>
          <w:u w:val="single"/>
          <w:rtl/>
        </w:rPr>
        <w:t>אמר לך רב אסי</w:t>
      </w:r>
      <w:r w:rsidR="00107AF4" w:rsidRPr="00107AF4">
        <w:rPr>
          <w:rFonts w:cs="Arial"/>
          <w:rtl/>
        </w:rPr>
        <w:t>: עד ועד בכלל.</w:t>
      </w:r>
    </w:p>
    <w:p w14:paraId="79751271" w14:textId="3A00F36C" w:rsidR="00816056" w:rsidRDefault="00816056" w:rsidP="006C5126">
      <w:pPr>
        <w:rPr>
          <w:rtl/>
        </w:rPr>
      </w:pPr>
      <w:r w:rsidRPr="00AB0AB9">
        <w:rPr>
          <w:rFonts w:cs="Arial" w:hint="cs"/>
          <w:b/>
          <w:bCs/>
          <w:rtl/>
        </w:rPr>
        <w:t>כתובות</w:t>
      </w:r>
      <w:r>
        <w:rPr>
          <w:rFonts w:cs="Arial" w:hint="cs"/>
          <w:b/>
          <w:bCs/>
          <w:rtl/>
        </w:rPr>
        <w:t xml:space="preserve"> </w:t>
      </w:r>
      <w:r>
        <w:rPr>
          <w:rFonts w:cs="Arial" w:hint="cs"/>
          <w:b/>
          <w:bCs/>
          <w:sz w:val="16"/>
          <w:szCs w:val="16"/>
          <w:rtl/>
        </w:rPr>
        <w:t>(פ' הנושא)</w:t>
      </w:r>
      <w:r w:rsidRPr="00AB0AB9">
        <w:rPr>
          <w:rFonts w:cs="Arial" w:hint="cs"/>
          <w:b/>
          <w:bCs/>
          <w:rtl/>
        </w:rPr>
        <w:t xml:space="preserve"> </w:t>
      </w:r>
      <w:r>
        <w:rPr>
          <w:rFonts w:cs="Arial" w:hint="cs"/>
          <w:b/>
          <w:bCs/>
          <w:rtl/>
        </w:rPr>
        <w:t>ק</w:t>
      </w:r>
      <w:r w:rsidR="00D11B11">
        <w:rPr>
          <w:rFonts w:cs="Arial" w:hint="cs"/>
          <w:b/>
          <w:bCs/>
          <w:rtl/>
        </w:rPr>
        <w:t>א</w:t>
      </w:r>
      <w:r w:rsidR="008451D9">
        <w:rPr>
          <w:rStyle w:val="a7"/>
          <w:rFonts w:cs="Arial"/>
          <w:b/>
          <w:bCs/>
          <w:rtl/>
        </w:rPr>
        <w:footnoteReference w:id="792"/>
      </w:r>
      <w:r w:rsidRPr="00AB0AB9">
        <w:rPr>
          <w:rFonts w:cs="Arial" w:hint="cs"/>
          <w:b/>
          <w:bCs/>
          <w:rtl/>
        </w:rPr>
        <w:t xml:space="preserve"> ע"</w:t>
      </w:r>
      <w:r>
        <w:rPr>
          <w:rFonts w:cs="Arial" w:hint="cs"/>
          <w:b/>
          <w:bCs/>
          <w:rtl/>
        </w:rPr>
        <w:t>ב</w:t>
      </w:r>
      <w:r w:rsidRPr="00AB0AB9">
        <w:rPr>
          <w:rFonts w:cs="Arial" w:hint="cs"/>
          <w:b/>
          <w:bCs/>
          <w:rtl/>
        </w:rPr>
        <w:t>:</w:t>
      </w:r>
      <w:r w:rsidRPr="009C7F6A">
        <w:rPr>
          <w:rFonts w:cs="Arial"/>
          <w:rtl/>
        </w:rPr>
        <w:t xml:space="preserve"> </w:t>
      </w:r>
      <w:r w:rsidRPr="00816056">
        <w:rPr>
          <w:rFonts w:cs="Arial"/>
          <w:u w:val="double"/>
          <w:rtl/>
        </w:rPr>
        <w:t>מתני'</w:t>
      </w:r>
      <w:r w:rsidRPr="00816056">
        <w:rPr>
          <w:rFonts w:cs="Arial" w:hint="cs"/>
          <w:u w:val="double"/>
          <w:rtl/>
        </w:rPr>
        <w:t>:</w:t>
      </w:r>
      <w:r w:rsidRPr="00816056">
        <w:rPr>
          <w:rFonts w:cs="Arial"/>
          <w:rtl/>
        </w:rPr>
        <w:t xml:space="preserve"> הנושא את האשה, ופסקה עמו כדי שיזון את בתה חמש שנים - חייב לזונה חמש שנים. ניסת לאחר, ופסקה עמו כדי שיזון את בתה חמש שנים - חייב לזונה חמש שנים. לא יאמר הראשון לכשתבא אצלי אזונה, אלא מוליך לה מזונותיה למקום שאמה.</w:t>
      </w:r>
      <w:r>
        <w:rPr>
          <w:rFonts w:cs="Arial" w:hint="cs"/>
          <w:rtl/>
        </w:rPr>
        <w:t>..</w:t>
      </w:r>
      <w:r w:rsidRPr="00816056">
        <w:rPr>
          <w:rFonts w:cs="Arial"/>
          <w:rtl/>
        </w:rPr>
        <w:t xml:space="preserve"> </w:t>
      </w:r>
      <w:r>
        <w:rPr>
          <w:rFonts w:cs="Arial" w:hint="cs"/>
          <w:rtl/>
        </w:rPr>
        <w:t xml:space="preserve">      </w:t>
      </w:r>
      <w:r w:rsidRPr="00816056">
        <w:rPr>
          <w:rFonts w:cs="Arial" w:hint="cs"/>
          <w:u w:val="double"/>
          <w:rtl/>
        </w:rPr>
        <w:t>גמ'</w:t>
      </w:r>
      <w:r w:rsidRPr="00816056">
        <w:rPr>
          <w:rFonts w:cs="Arial" w:hint="cs"/>
          <w:sz w:val="14"/>
          <w:szCs w:val="14"/>
          <w:u w:val="double"/>
          <w:rtl/>
        </w:rPr>
        <w:t>(ק</w:t>
      </w:r>
      <w:r w:rsidR="00D11B11">
        <w:rPr>
          <w:rFonts w:cs="Arial" w:hint="cs"/>
          <w:sz w:val="14"/>
          <w:szCs w:val="14"/>
          <w:u w:val="double"/>
          <w:rtl/>
        </w:rPr>
        <w:t>ב</w:t>
      </w:r>
      <w:r w:rsidRPr="00816056">
        <w:rPr>
          <w:rFonts w:cs="Arial" w:hint="cs"/>
          <w:sz w:val="14"/>
          <w:szCs w:val="14"/>
          <w:u w:val="double"/>
          <w:rtl/>
        </w:rPr>
        <w:t>:)</w:t>
      </w:r>
      <w:r w:rsidRPr="00816056">
        <w:rPr>
          <w:rFonts w:cs="Arial" w:hint="cs"/>
          <w:u w:val="double"/>
          <w:rtl/>
        </w:rPr>
        <w:t>:</w:t>
      </w:r>
      <w:r>
        <w:rPr>
          <w:rFonts w:cs="Arial" w:hint="cs"/>
          <w:rtl/>
        </w:rPr>
        <w:t xml:space="preserve"> </w:t>
      </w:r>
      <w:r w:rsidRPr="00816056">
        <w:rPr>
          <w:rFonts w:cs="Arial"/>
          <w:rtl/>
        </w:rPr>
        <w:t xml:space="preserve">לא יאמר הראשון. </w:t>
      </w:r>
      <w:r w:rsidRPr="00816056">
        <w:rPr>
          <w:rFonts w:cs="Arial"/>
          <w:u w:val="single"/>
          <w:rtl/>
        </w:rPr>
        <w:t>אמר רב חסדא</w:t>
      </w:r>
      <w:r w:rsidRPr="00816056">
        <w:rPr>
          <w:rFonts w:cs="Arial"/>
          <w:rtl/>
        </w:rPr>
        <w:t xml:space="preserve">: זאת אומרת, בת אצל אמה. ממאי דבגדולה עסקינן? דלמא בקטנה עסקינן, ומשום מעשה שהיה! דתניא: מי שמת והניח בן קטן לאמו, יורשי האב אומרים יהא גדל אצלנו, ואמו אומרת יהא בני גדל אצלי - מניחין אותו אצל אמו ואין מניחין אותו אצל ראוי ליורשו, מעשה היה ושחטוהו </w:t>
      </w:r>
      <w:r w:rsidR="004B4571">
        <w:rPr>
          <w:rFonts w:cs="Arial" w:hint="cs"/>
          <w:rtl/>
        </w:rPr>
        <w:t>[</w:t>
      </w:r>
      <w:r w:rsidRPr="00816056">
        <w:rPr>
          <w:rFonts w:cs="Arial"/>
          <w:rtl/>
        </w:rPr>
        <w:t>ער"ה</w:t>
      </w:r>
      <w:r w:rsidR="004B4571">
        <w:rPr>
          <w:rFonts w:cs="Arial" w:hint="cs"/>
          <w:rtl/>
        </w:rPr>
        <w:t>]</w:t>
      </w:r>
      <w:r w:rsidR="004B4571">
        <w:rPr>
          <w:rStyle w:val="a7"/>
          <w:rFonts w:cs="Arial"/>
          <w:rtl/>
        </w:rPr>
        <w:footnoteReference w:id="793"/>
      </w:r>
      <w:r w:rsidRPr="00816056">
        <w:rPr>
          <w:rFonts w:cs="Arial"/>
          <w:rtl/>
        </w:rPr>
        <w:t xml:space="preserve">! אם כן, ליתני למקום שהיא, </w:t>
      </w:r>
      <w:r>
        <w:rPr>
          <w:rFonts w:cs="Arial" w:hint="cs"/>
          <w:sz w:val="14"/>
          <w:szCs w:val="14"/>
          <w:rtl/>
        </w:rPr>
        <w:t>(קג.)</w:t>
      </w:r>
      <w:r>
        <w:rPr>
          <w:rFonts w:cs="Arial" w:hint="cs"/>
          <w:rtl/>
        </w:rPr>
        <w:t xml:space="preserve"> </w:t>
      </w:r>
      <w:r w:rsidRPr="00816056">
        <w:rPr>
          <w:rFonts w:cs="Arial"/>
          <w:rtl/>
        </w:rPr>
        <w:t>מאי למקום שאמה? שמעת מינה, בת אצל האם, לא שנא גדולה ולא שנא קטנה.</w:t>
      </w:r>
    </w:p>
    <w:p w14:paraId="2330E7D9" w14:textId="1126AED1" w:rsidR="003E00A2" w:rsidRDefault="00816056" w:rsidP="006C5126">
      <w:pPr>
        <w:rPr>
          <w:u w:val="single"/>
          <w:rtl/>
        </w:rPr>
      </w:pPr>
      <w:r w:rsidRPr="00816056">
        <w:rPr>
          <w:rFonts w:hint="cs"/>
          <w:u w:val="single"/>
          <w:rtl/>
        </w:rPr>
        <w:t>ברשות מי הילד לאחר שנגמל:</w:t>
      </w:r>
    </w:p>
    <w:p w14:paraId="447BAA7A" w14:textId="51003B98" w:rsidR="00525F14" w:rsidRDefault="005D40EA" w:rsidP="009000E3">
      <w:pPr>
        <w:pStyle w:val="ab"/>
        <w:numPr>
          <w:ilvl w:val="0"/>
          <w:numId w:val="47"/>
        </w:numPr>
      </w:pPr>
      <w:r>
        <w:rPr>
          <w:rFonts w:cs="Arial" w:hint="cs"/>
          <w:rtl/>
        </w:rPr>
        <w:t xml:space="preserve">רא"ש </w:t>
      </w:r>
      <w:r>
        <w:rPr>
          <w:rFonts w:cs="Arial" w:hint="cs"/>
          <w:sz w:val="16"/>
          <w:szCs w:val="16"/>
          <w:rtl/>
        </w:rPr>
        <w:t>(פי"ב סי' ד</w:t>
      </w:r>
      <w:r w:rsidR="009B2A3C">
        <w:rPr>
          <w:rFonts w:cs="Arial" w:hint="cs"/>
          <w:sz w:val="16"/>
          <w:szCs w:val="16"/>
          <w:rtl/>
        </w:rPr>
        <w:t>, ובתשו' כלל פב סי' ב</w:t>
      </w:r>
      <w:r>
        <w:rPr>
          <w:rFonts w:cs="Arial" w:hint="cs"/>
          <w:sz w:val="16"/>
          <w:szCs w:val="16"/>
          <w:rtl/>
        </w:rPr>
        <w:t>)</w:t>
      </w:r>
      <w:r>
        <w:rPr>
          <w:rFonts w:cs="Arial" w:hint="cs"/>
          <w:rtl/>
        </w:rPr>
        <w:t xml:space="preserve"> וטור- </w:t>
      </w:r>
      <w:r w:rsidRPr="005D40EA">
        <w:rPr>
          <w:rFonts w:cs="Arial"/>
          <w:rtl/>
        </w:rPr>
        <w:t>לאחר שיגמל הנער י</w:t>
      </w:r>
      <w:r>
        <w:rPr>
          <w:rFonts w:cs="Arial" w:hint="cs"/>
          <w:rtl/>
        </w:rPr>
        <w:t xml:space="preserve">ש </w:t>
      </w:r>
      <w:r w:rsidRPr="005D40EA">
        <w:rPr>
          <w:rFonts w:cs="Arial"/>
          <w:rtl/>
        </w:rPr>
        <w:t>א</w:t>
      </w:r>
      <w:r>
        <w:rPr>
          <w:rFonts w:cs="Arial" w:hint="cs"/>
          <w:rtl/>
        </w:rPr>
        <w:t>ומרים</w:t>
      </w:r>
      <w:r w:rsidRPr="005D40EA">
        <w:rPr>
          <w:rFonts w:cs="Arial"/>
          <w:rtl/>
        </w:rPr>
        <w:t xml:space="preserve"> שברשות האב</w:t>
      </w:r>
      <w:r w:rsidR="00042294">
        <w:rPr>
          <w:rFonts w:cs="Arial" w:hint="cs"/>
          <w:rtl/>
        </w:rPr>
        <w:t>,</w:t>
      </w:r>
      <w:r w:rsidR="006C5126" w:rsidRPr="001941C7">
        <w:rPr>
          <w:rFonts w:cs="Arial"/>
          <w:rtl/>
        </w:rPr>
        <w:t xml:space="preserve"> אם ירצה יקחנו אצלו</w:t>
      </w:r>
      <w:r w:rsidR="00E945E8">
        <w:rPr>
          <w:rFonts w:cs="Arial" w:hint="cs"/>
          <w:rtl/>
        </w:rPr>
        <w:t>,</w:t>
      </w:r>
      <w:r w:rsidR="006C5126" w:rsidRPr="001941C7">
        <w:rPr>
          <w:rFonts w:cs="Arial"/>
          <w:rtl/>
        </w:rPr>
        <w:t xml:space="preserve"> ואם ירצה יניחנו עמה</w:t>
      </w:r>
      <w:r w:rsidR="001A32AF">
        <w:rPr>
          <w:rFonts w:cs="Arial" w:hint="cs"/>
          <w:rtl/>
        </w:rPr>
        <w:t>.</w:t>
      </w:r>
      <w:r w:rsidR="006C5126" w:rsidRPr="001941C7">
        <w:rPr>
          <w:rFonts w:cs="Arial"/>
          <w:rtl/>
        </w:rPr>
        <w:t xml:space="preserve"> דהא דאמרי' בת אצל האם</w:t>
      </w:r>
      <w:r w:rsidR="00042294">
        <w:rPr>
          <w:rFonts w:cs="Arial" w:hint="cs"/>
          <w:rtl/>
        </w:rPr>
        <w:t xml:space="preserve"> </w:t>
      </w:r>
      <w:r w:rsidR="006C5126" w:rsidRPr="001941C7">
        <w:rPr>
          <w:rFonts w:cs="Arial"/>
          <w:rtl/>
        </w:rPr>
        <w:t>היינו דוקא באלמנה לא שבקינן לה בהדי קרובי אביה שראויין ליורשה</w:t>
      </w:r>
      <w:r w:rsidR="00042294">
        <w:rPr>
          <w:rFonts w:cs="Arial" w:hint="cs"/>
          <w:rtl/>
        </w:rPr>
        <w:t>,</w:t>
      </w:r>
      <w:r w:rsidR="006C5126" w:rsidRPr="001941C7">
        <w:rPr>
          <w:rFonts w:cs="Arial"/>
          <w:rtl/>
        </w:rPr>
        <w:t xml:space="preserve"> א</w:t>
      </w:r>
      <w:r w:rsidR="00F60D6E">
        <w:rPr>
          <w:rFonts w:cs="Arial" w:hint="cs"/>
          <w:rtl/>
        </w:rPr>
        <w:t>ב</w:t>
      </w:r>
      <w:r w:rsidR="006C5126" w:rsidRPr="001941C7">
        <w:rPr>
          <w:rFonts w:cs="Arial"/>
          <w:rtl/>
        </w:rPr>
        <w:t>ל בגרושה שבקינן לה אצל אביה</w:t>
      </w:r>
      <w:r w:rsidR="00042294">
        <w:rPr>
          <w:rFonts w:cs="Arial" w:hint="cs"/>
          <w:rtl/>
        </w:rPr>
        <w:t>.</w:t>
      </w:r>
      <w:r>
        <w:rPr>
          <w:rFonts w:cs="Arial" w:hint="cs"/>
          <w:rtl/>
        </w:rPr>
        <w:t xml:space="preserve"> </w:t>
      </w:r>
      <w:r w:rsidR="00525F14" w:rsidRPr="005D40EA">
        <w:rPr>
          <w:rFonts w:cs="Arial"/>
          <w:rtl/>
        </w:rPr>
        <w:t>וה</w:t>
      </w:r>
      <w:r w:rsidR="001310B8">
        <w:rPr>
          <w:rFonts w:cs="Arial" w:hint="cs"/>
          <w:rtl/>
        </w:rPr>
        <w:t xml:space="preserve">רמ"ה </w:t>
      </w:r>
      <w:r w:rsidR="00525F14" w:rsidRPr="005D40EA">
        <w:rPr>
          <w:rFonts w:cs="Arial"/>
          <w:rtl/>
        </w:rPr>
        <w:t xml:space="preserve">כתב </w:t>
      </w:r>
      <w:r w:rsidR="001310B8">
        <w:rPr>
          <w:rFonts w:cs="Arial" w:hint="cs"/>
          <w:rtl/>
        </w:rPr>
        <w:t>בשם</w:t>
      </w:r>
      <w:r w:rsidR="00525F14" w:rsidRPr="005D40EA">
        <w:rPr>
          <w:rFonts w:cs="Arial"/>
          <w:rtl/>
        </w:rPr>
        <w:t xml:space="preserve"> הגאונים דה"ה </w:t>
      </w:r>
      <w:r w:rsidR="00CF6685">
        <w:rPr>
          <w:rFonts w:cs="Arial" w:hint="cs"/>
          <w:rtl/>
        </w:rPr>
        <w:t xml:space="preserve">נמי </w:t>
      </w:r>
      <w:r w:rsidR="00525F14" w:rsidRPr="005D40EA">
        <w:rPr>
          <w:rFonts w:cs="Arial"/>
          <w:rtl/>
        </w:rPr>
        <w:t>בגרושה</w:t>
      </w:r>
      <w:r w:rsidR="00CF6685">
        <w:rPr>
          <w:rStyle w:val="a7"/>
          <w:rFonts w:cs="Arial"/>
          <w:rtl/>
        </w:rPr>
        <w:footnoteReference w:id="794"/>
      </w:r>
      <w:r w:rsidR="00CF6685">
        <w:rPr>
          <w:rFonts w:cs="Arial" w:hint="cs"/>
          <w:rtl/>
        </w:rPr>
        <w:t xml:space="preserve"> </w:t>
      </w:r>
      <w:r w:rsidR="00525F14" w:rsidRPr="005D40EA">
        <w:rPr>
          <w:rFonts w:cs="Arial" w:hint="cs"/>
          <w:sz w:val="16"/>
          <w:szCs w:val="16"/>
          <w:rtl/>
        </w:rPr>
        <w:t>(ל' ה</w:t>
      </w:r>
      <w:r w:rsidR="00CF6685">
        <w:rPr>
          <w:rFonts w:cs="Arial" w:hint="cs"/>
          <w:sz w:val="16"/>
          <w:szCs w:val="16"/>
          <w:rtl/>
        </w:rPr>
        <w:t>טור</w:t>
      </w:r>
      <w:r w:rsidR="00525F14" w:rsidRPr="005D40EA">
        <w:rPr>
          <w:rFonts w:cs="Arial" w:hint="cs"/>
          <w:sz w:val="16"/>
          <w:szCs w:val="16"/>
          <w:rtl/>
        </w:rPr>
        <w:t>)</w:t>
      </w:r>
      <w:r w:rsidR="00525F14">
        <w:rPr>
          <w:rFonts w:hint="cs"/>
          <w:rtl/>
        </w:rPr>
        <w:t>.</w:t>
      </w:r>
    </w:p>
    <w:p w14:paraId="22F955EC" w14:textId="2C24DCEF" w:rsidR="00200ED0" w:rsidRDefault="00042294" w:rsidP="009000E3">
      <w:pPr>
        <w:pStyle w:val="ab"/>
        <w:numPr>
          <w:ilvl w:val="0"/>
          <w:numId w:val="47"/>
        </w:numPr>
        <w:rPr>
          <w:rFonts w:cs="Arial"/>
        </w:rPr>
      </w:pPr>
      <w:r>
        <w:rPr>
          <w:rFonts w:cs="Arial" w:hint="cs"/>
          <w:rtl/>
        </w:rPr>
        <w:t xml:space="preserve">רמב"ם </w:t>
      </w:r>
      <w:r>
        <w:rPr>
          <w:rFonts w:cs="Arial" w:hint="cs"/>
          <w:sz w:val="16"/>
          <w:szCs w:val="16"/>
          <w:rtl/>
        </w:rPr>
        <w:t>(פכ"א הי"ז</w:t>
      </w:r>
      <w:r w:rsidR="00200ED0">
        <w:rPr>
          <w:rFonts w:cs="Arial" w:hint="cs"/>
          <w:sz w:val="16"/>
          <w:szCs w:val="16"/>
          <w:rtl/>
        </w:rPr>
        <w:t>-יח</w:t>
      </w:r>
      <w:r>
        <w:rPr>
          <w:rFonts w:cs="Arial" w:hint="cs"/>
          <w:sz w:val="16"/>
          <w:szCs w:val="16"/>
          <w:rtl/>
        </w:rPr>
        <w:t>)</w:t>
      </w:r>
      <w:r>
        <w:rPr>
          <w:rFonts w:cs="Arial" w:hint="cs"/>
          <w:rtl/>
        </w:rPr>
        <w:t xml:space="preserve">- </w:t>
      </w:r>
      <w:r w:rsidR="00F60D6E" w:rsidRPr="00F60D6E">
        <w:rPr>
          <w:rFonts w:cs="Arial"/>
          <w:rtl/>
        </w:rPr>
        <w:t xml:space="preserve">שלמו </w:t>
      </w:r>
      <w:r w:rsidR="00AA363F">
        <w:rPr>
          <w:rFonts w:cs="Arial" w:hint="cs"/>
          <w:sz w:val="16"/>
          <w:szCs w:val="16"/>
          <w:rtl/>
        </w:rPr>
        <w:t xml:space="preserve">{כ"ד} </w:t>
      </w:r>
      <w:r w:rsidR="00F60D6E" w:rsidRPr="00F60D6E">
        <w:rPr>
          <w:rFonts w:cs="Arial"/>
          <w:rtl/>
        </w:rPr>
        <w:t>חדשיו וגמלתו</w:t>
      </w:r>
      <w:r w:rsidR="00107AF4">
        <w:rPr>
          <w:rFonts w:cs="Arial" w:hint="cs"/>
          <w:rtl/>
        </w:rPr>
        <w:t>,</w:t>
      </w:r>
      <w:r w:rsidR="00F60D6E" w:rsidRPr="00F60D6E">
        <w:rPr>
          <w:rFonts w:cs="Arial"/>
          <w:rtl/>
        </w:rPr>
        <w:t xml:space="preserve"> אם רצת המגורשת שיהיה בנה אצלה אין מפרישין אותו ממנה עד שיהיה בן שש שנים גמורות</w:t>
      </w:r>
      <w:r>
        <w:rPr>
          <w:rStyle w:val="a7"/>
          <w:rFonts w:cs="Arial"/>
          <w:rtl/>
        </w:rPr>
        <w:footnoteReference w:id="795"/>
      </w:r>
      <w:r w:rsidR="00107AF4">
        <w:rPr>
          <w:rFonts w:cs="Arial" w:hint="cs"/>
          <w:rtl/>
        </w:rPr>
        <w:t>,</w:t>
      </w:r>
      <w:r w:rsidR="00F60D6E" w:rsidRPr="00F60D6E">
        <w:rPr>
          <w:rFonts w:cs="Arial"/>
          <w:rtl/>
        </w:rPr>
        <w:t xml:space="preserve"> אלא כופין את אביו ונותן לו מזונות והוא אצל אמו</w:t>
      </w:r>
      <w:r w:rsidR="00107AF4">
        <w:rPr>
          <w:rStyle w:val="a7"/>
          <w:rFonts w:cs="Arial"/>
          <w:rtl/>
        </w:rPr>
        <w:footnoteReference w:id="796"/>
      </w:r>
      <w:r w:rsidR="001F604D">
        <w:rPr>
          <w:rFonts w:cs="Arial" w:hint="cs"/>
          <w:rtl/>
        </w:rPr>
        <w:t>.</w:t>
      </w:r>
      <w:r w:rsidR="00F60D6E" w:rsidRPr="00F60D6E">
        <w:rPr>
          <w:rFonts w:cs="Arial"/>
          <w:rtl/>
        </w:rPr>
        <w:t xml:space="preserve"> ואחר שש שנים יש לאב לומר </w:t>
      </w:r>
      <w:r w:rsidR="00107AF4">
        <w:rPr>
          <w:rFonts w:cs="Arial" w:hint="cs"/>
          <w:rtl/>
        </w:rPr>
        <w:t>'</w:t>
      </w:r>
      <w:r w:rsidR="00F60D6E" w:rsidRPr="00F60D6E">
        <w:rPr>
          <w:rFonts w:cs="Arial"/>
          <w:rtl/>
        </w:rPr>
        <w:t>אם הוא אצלי אתן לו מזונות ואם הוא אצל אמו איני נותן לו כלום</w:t>
      </w:r>
      <w:r w:rsidR="00107AF4">
        <w:rPr>
          <w:rFonts w:cs="Arial" w:hint="cs"/>
          <w:rtl/>
        </w:rPr>
        <w:t>'.</w:t>
      </w:r>
      <w:r w:rsidR="00F60D6E" w:rsidRPr="00F60D6E">
        <w:rPr>
          <w:rFonts w:cs="Arial"/>
          <w:rtl/>
        </w:rPr>
        <w:t xml:space="preserve"> והבת אצל אמה לעולם ואפילו לאחר שש. </w:t>
      </w:r>
      <w:r w:rsidR="00F60D6E" w:rsidRPr="00200ED0">
        <w:rPr>
          <w:rFonts w:cs="Arial"/>
          <w:rtl/>
        </w:rPr>
        <w:t>כיצד</w:t>
      </w:r>
      <w:r w:rsidR="00200ED0">
        <w:rPr>
          <w:rFonts w:cs="Arial" w:hint="cs"/>
          <w:rtl/>
        </w:rPr>
        <w:t>,</w:t>
      </w:r>
      <w:r w:rsidR="00F60D6E" w:rsidRPr="00200ED0">
        <w:rPr>
          <w:rFonts w:cs="Arial"/>
          <w:rtl/>
        </w:rPr>
        <w:t xml:space="preserve"> היה האב ראוי לצדקה</w:t>
      </w:r>
      <w:r w:rsidR="00200ED0">
        <w:rPr>
          <w:rFonts w:cs="Arial" w:hint="cs"/>
          <w:rtl/>
        </w:rPr>
        <w:t>,</w:t>
      </w:r>
      <w:r w:rsidR="00F60D6E" w:rsidRPr="00200ED0">
        <w:rPr>
          <w:rFonts w:cs="Arial"/>
          <w:rtl/>
        </w:rPr>
        <w:t xml:space="preserve"> מוציאין ממנו הראוי לו בעל כרחו וזנין אותה והיא אצל אמה</w:t>
      </w:r>
      <w:r w:rsidR="00200ED0">
        <w:rPr>
          <w:rFonts w:cs="Arial" w:hint="cs"/>
          <w:rtl/>
        </w:rPr>
        <w:t>.</w:t>
      </w:r>
      <w:r w:rsidR="00F60D6E" w:rsidRPr="00200ED0">
        <w:rPr>
          <w:rFonts w:cs="Arial"/>
          <w:rtl/>
        </w:rPr>
        <w:t xml:space="preserve"> ואפילו נשאת האם לאחר</w:t>
      </w:r>
      <w:r w:rsidR="00200ED0">
        <w:rPr>
          <w:rFonts w:cs="Arial" w:hint="cs"/>
          <w:rtl/>
        </w:rPr>
        <w:t>,</w:t>
      </w:r>
      <w:r w:rsidR="00F60D6E" w:rsidRPr="00200ED0">
        <w:rPr>
          <w:rFonts w:cs="Arial"/>
          <w:rtl/>
        </w:rPr>
        <w:t xml:space="preserve"> בתה אצלה</w:t>
      </w:r>
      <w:r w:rsidR="00200ED0">
        <w:rPr>
          <w:rFonts w:cs="Arial" w:hint="cs"/>
          <w:rtl/>
        </w:rPr>
        <w:t>,</w:t>
      </w:r>
      <w:r w:rsidR="00F60D6E" w:rsidRPr="00200ED0">
        <w:rPr>
          <w:rFonts w:cs="Arial"/>
          <w:rtl/>
        </w:rPr>
        <w:t xml:space="preserve"> ואביה זן אותה משום צדקה עד שימות האב ותזון מנכסיו אחר מותו בתנאי כתובה והיא אצל אמה</w:t>
      </w:r>
      <w:r w:rsidR="00200ED0">
        <w:rPr>
          <w:rFonts w:cs="Arial" w:hint="cs"/>
          <w:rtl/>
        </w:rPr>
        <w:t>.</w:t>
      </w:r>
      <w:r w:rsidR="00F60D6E" w:rsidRPr="00200ED0">
        <w:rPr>
          <w:rFonts w:cs="Arial"/>
          <w:rtl/>
        </w:rPr>
        <w:t xml:space="preserve"> </w:t>
      </w:r>
      <w:r w:rsidR="00200ED0" w:rsidRPr="007B430E">
        <w:rPr>
          <w:rFonts w:hint="cs"/>
          <w:color w:val="E36C0A" w:themeColor="accent6" w:themeShade="BF"/>
          <w:rtl/>
        </w:rPr>
        <w:t>(וכ"פ בשו"ע)</w:t>
      </w:r>
    </w:p>
    <w:p w14:paraId="534E0C01" w14:textId="77777777" w:rsidR="0054244A" w:rsidRPr="0054244A" w:rsidRDefault="0054244A" w:rsidP="0054244A">
      <w:pPr>
        <w:rPr>
          <w:rFonts w:cs="Arial"/>
          <w:u w:val="single"/>
          <w:rtl/>
        </w:rPr>
      </w:pPr>
      <w:r w:rsidRPr="0054244A">
        <w:rPr>
          <w:rFonts w:cs="Arial" w:hint="cs"/>
          <w:u w:val="single"/>
          <w:rtl/>
        </w:rPr>
        <w:t>אלמנה שיש לה בנים ובנות, והיא רוצה שהם יהיו אצלה</w:t>
      </w:r>
      <w:r>
        <w:rPr>
          <w:rFonts w:cs="Arial" w:hint="cs"/>
          <w:u w:val="single"/>
          <w:rtl/>
        </w:rPr>
        <w:t>,</w:t>
      </w:r>
      <w:r w:rsidRPr="0054244A">
        <w:rPr>
          <w:rFonts w:cs="Arial" w:hint="cs"/>
          <w:u w:val="single"/>
          <w:rtl/>
        </w:rPr>
        <w:t xml:space="preserve"> והאפוטרופסים רוצים שיבואו אצלם:</w:t>
      </w:r>
    </w:p>
    <w:p w14:paraId="1582BB09" w14:textId="669D4651" w:rsidR="0054244A" w:rsidRPr="0054244A" w:rsidRDefault="0054244A" w:rsidP="009000E3">
      <w:pPr>
        <w:pStyle w:val="ab"/>
        <w:numPr>
          <w:ilvl w:val="0"/>
          <w:numId w:val="48"/>
        </w:numPr>
        <w:rPr>
          <w:rFonts w:cs="Arial"/>
          <w:rtl/>
        </w:rPr>
      </w:pPr>
      <w:r w:rsidRPr="0054244A">
        <w:rPr>
          <w:rFonts w:cs="Arial" w:hint="cs"/>
          <w:rtl/>
        </w:rPr>
        <w:t>רשב"א</w:t>
      </w:r>
      <w:r w:rsidRPr="0054244A">
        <w:rPr>
          <w:rFonts w:cs="Arial"/>
          <w:rtl/>
        </w:rPr>
        <w:t xml:space="preserve"> </w:t>
      </w:r>
      <w:r w:rsidRPr="0054244A">
        <w:rPr>
          <w:rFonts w:cs="Arial"/>
          <w:sz w:val="16"/>
          <w:szCs w:val="16"/>
          <w:rtl/>
        </w:rPr>
        <w:t>(במיוחסות סי</w:t>
      </w:r>
      <w:r w:rsidRPr="0054244A">
        <w:rPr>
          <w:rFonts w:cs="Arial" w:hint="cs"/>
          <w:sz w:val="16"/>
          <w:szCs w:val="16"/>
          <w:rtl/>
        </w:rPr>
        <w:t>'</w:t>
      </w:r>
      <w:r w:rsidRPr="0054244A">
        <w:rPr>
          <w:rFonts w:cs="Arial"/>
          <w:sz w:val="16"/>
          <w:szCs w:val="16"/>
          <w:rtl/>
        </w:rPr>
        <w:t xml:space="preserve"> לח</w:t>
      </w:r>
      <w:r w:rsidRPr="0054244A">
        <w:rPr>
          <w:rFonts w:cs="Arial" w:hint="cs"/>
          <w:sz w:val="16"/>
          <w:szCs w:val="16"/>
          <w:rtl/>
        </w:rPr>
        <w:t>)</w:t>
      </w:r>
      <w:r w:rsidRPr="0054244A">
        <w:rPr>
          <w:rFonts w:cs="Arial" w:hint="cs"/>
          <w:rtl/>
        </w:rPr>
        <w:t>-</w:t>
      </w:r>
      <w:r w:rsidRPr="0054244A">
        <w:rPr>
          <w:rFonts w:cs="Arial"/>
          <w:rtl/>
        </w:rPr>
        <w:t xml:space="preserve"> שאלה</w:t>
      </w:r>
      <w:r w:rsidR="00844C4C">
        <w:rPr>
          <w:rFonts w:cs="Arial" w:hint="cs"/>
          <w:rtl/>
        </w:rPr>
        <w:t>:</w:t>
      </w:r>
      <w:r w:rsidRPr="0054244A">
        <w:rPr>
          <w:rFonts w:cs="Arial"/>
          <w:rtl/>
        </w:rPr>
        <w:t xml:space="preserve"> ראובן שמת והניח בנים</w:t>
      </w:r>
      <w:r w:rsidR="00B3354E">
        <w:rPr>
          <w:rFonts w:cs="Arial" w:hint="cs"/>
          <w:rtl/>
        </w:rPr>
        <w:t>,</w:t>
      </w:r>
      <w:r w:rsidRPr="0054244A">
        <w:rPr>
          <w:rFonts w:cs="Arial"/>
          <w:rtl/>
        </w:rPr>
        <w:t xml:space="preserve"> והאלמנה תובעת מן האפוטרופסים מזונות מחמת היתומים בניה. והאפוטרופוסים אומרים יבואו היתומים אצלנו ונפרנס השנים מהם משלנו. והאחרים נקל עליהם מן ההוצאה. והאלמנה אומרת איני רוצה שיהיו בני אצל אחרים אלא אצלי</w:t>
      </w:r>
      <w:r w:rsidR="00957E8D">
        <w:rPr>
          <w:rFonts w:cs="Arial" w:hint="cs"/>
          <w:rtl/>
        </w:rPr>
        <w:t>,</w:t>
      </w:r>
      <w:r w:rsidRPr="0054244A">
        <w:rPr>
          <w:rFonts w:cs="Arial"/>
          <w:rtl/>
        </w:rPr>
        <w:t xml:space="preserve"> ואע</w:t>
      </w:r>
      <w:r w:rsidR="00B3354E">
        <w:rPr>
          <w:rFonts w:cs="Arial" w:hint="cs"/>
          <w:rtl/>
        </w:rPr>
        <w:t>"</w:t>
      </w:r>
      <w:r w:rsidRPr="0054244A">
        <w:rPr>
          <w:rFonts w:cs="Arial"/>
          <w:rtl/>
        </w:rPr>
        <w:t>פ שהאפוטרופסים קרובים הם ואינם ראויים לירש. הדין עם מי</w:t>
      </w:r>
      <w:r w:rsidRPr="0054244A">
        <w:rPr>
          <w:rFonts w:cs="Arial" w:hint="cs"/>
          <w:rtl/>
        </w:rPr>
        <w:t xml:space="preserve">. </w:t>
      </w:r>
      <w:r w:rsidR="00FE210D">
        <w:rPr>
          <w:rFonts w:cs="Arial"/>
          <w:rtl/>
        </w:rPr>
        <w:t xml:space="preserve">     תשובה:</w:t>
      </w:r>
      <w:r w:rsidRPr="0054244A">
        <w:rPr>
          <w:rFonts w:cs="Arial"/>
          <w:rtl/>
        </w:rPr>
        <w:t xml:space="preserve"> הבת לעולם אצל האם ואפילו נשאת האם</w:t>
      </w:r>
      <w:r w:rsidR="00957E8D">
        <w:rPr>
          <w:rFonts w:cs="Arial" w:hint="cs"/>
          <w:rtl/>
        </w:rPr>
        <w:t>,</w:t>
      </w:r>
      <w:r w:rsidRPr="0054244A">
        <w:rPr>
          <w:rFonts w:cs="Arial"/>
          <w:rtl/>
        </w:rPr>
        <w:t xml:space="preserve"> לא שנא גדולה או קטנה כדאיתא פרק הנושא (קב:)</w:t>
      </w:r>
      <w:r w:rsidR="00957E8D">
        <w:rPr>
          <w:rFonts w:cs="Arial" w:hint="cs"/>
          <w:rtl/>
        </w:rPr>
        <w:t>.</w:t>
      </w:r>
      <w:r w:rsidRPr="0054244A">
        <w:rPr>
          <w:rFonts w:cs="Arial"/>
          <w:rtl/>
        </w:rPr>
        <w:t xml:space="preserve"> והטעם כדי שתרגיל האם לבת ותלמדה דרך נשים ושלא תרגיל עצמה בפריצות. אבל הבן יותר ראוי להיות אצל האנשים הקרובים. שהם ירגילוהו וילמדוהו דרך הלמוד ודרך אנשים יותר מן האם</w:t>
      </w:r>
      <w:r w:rsidR="00957E8D">
        <w:rPr>
          <w:rFonts w:cs="Arial" w:hint="cs"/>
          <w:rtl/>
        </w:rPr>
        <w:t>,</w:t>
      </w:r>
      <w:r w:rsidRPr="0054244A">
        <w:rPr>
          <w:rFonts w:cs="Arial"/>
          <w:rtl/>
        </w:rPr>
        <w:t xml:space="preserve"> שבני האלמנה דרכם דרך זר. ולא אמרו שלא יהא הבן אצל קרוב אלא בעודו קטן ואצל </w:t>
      </w:r>
      <w:r w:rsidRPr="0054244A">
        <w:rPr>
          <w:rFonts w:cs="Arial"/>
          <w:rtl/>
        </w:rPr>
        <w:lastRenderedPageBreak/>
        <w:t>מי שראוי ליורשו ומשום מעשה שהיה. וכדתניא ריש פרק הנושא (קב</w:t>
      </w:r>
      <w:r w:rsidRPr="0054244A">
        <w:rPr>
          <w:rFonts w:cs="Arial" w:hint="cs"/>
          <w:rtl/>
        </w:rPr>
        <w:t>.</w:t>
      </w:r>
      <w:r w:rsidRPr="0054244A">
        <w:rPr>
          <w:rFonts w:cs="Arial"/>
          <w:rtl/>
        </w:rPr>
        <w:t>) מי שמת והניח בן קטן לאמו יורשי האב אומרים יהא גדל אצלנו</w:t>
      </w:r>
      <w:r w:rsidR="00F13251">
        <w:rPr>
          <w:rFonts w:cs="Arial" w:hint="cs"/>
          <w:rtl/>
        </w:rPr>
        <w:t>,</w:t>
      </w:r>
      <w:r w:rsidRPr="0054244A">
        <w:rPr>
          <w:rFonts w:cs="Arial"/>
          <w:rtl/>
        </w:rPr>
        <w:t xml:space="preserve"> ואמו אומרת יהא גדל אצלי</w:t>
      </w:r>
      <w:r w:rsidR="00F13251">
        <w:rPr>
          <w:rFonts w:cs="Arial" w:hint="cs"/>
          <w:rtl/>
        </w:rPr>
        <w:t>,</w:t>
      </w:r>
      <w:r w:rsidRPr="0054244A">
        <w:rPr>
          <w:rFonts w:cs="Arial"/>
          <w:rtl/>
        </w:rPr>
        <w:t xml:space="preserve"> אין מניחים אותו אצל מי שראוי ליורשו</w:t>
      </w:r>
      <w:r w:rsidR="00F13251">
        <w:rPr>
          <w:rFonts w:cs="Arial" w:hint="cs"/>
          <w:rtl/>
        </w:rPr>
        <w:t>,</w:t>
      </w:r>
      <w:r w:rsidRPr="0054244A">
        <w:rPr>
          <w:rFonts w:cs="Arial"/>
          <w:rtl/>
        </w:rPr>
        <w:t xml:space="preserve"> מעשה היה ושחטוהו ער</w:t>
      </w:r>
      <w:r w:rsidR="004B4571">
        <w:rPr>
          <w:rFonts w:cs="Arial" w:hint="cs"/>
          <w:rtl/>
        </w:rPr>
        <w:t>"פ</w:t>
      </w:r>
      <w:r w:rsidRPr="0054244A">
        <w:rPr>
          <w:rFonts w:cs="Arial"/>
          <w:rtl/>
        </w:rPr>
        <w:t xml:space="preserve">. אלמא דוקא קטן ואצל מי שראוי ליורשו. הא כל שאין קטן שאין בו חשש רציחה וא"נ קטן אצל קרוב שאינו ראוי ליורשו </w:t>
      </w:r>
      <w:r w:rsidR="00F13251">
        <w:rPr>
          <w:rFonts w:cs="Arial" w:hint="cs"/>
          <w:rtl/>
        </w:rPr>
        <w:t xml:space="preserve">- </w:t>
      </w:r>
      <w:r w:rsidRPr="0054244A">
        <w:rPr>
          <w:rFonts w:cs="Arial"/>
          <w:rtl/>
        </w:rPr>
        <w:t>מניחים אותו אצל הקרובים ולא אצל האם. ולעולם צריך לדקדק בכלל לדברים אלו אחר מה שיראה בעיני ב"ד בכל מקום ומקום שיש בו יותר תיקון ליתומים. שב"ד אביהם של יתומים לחזור אחר תקונן</w:t>
      </w:r>
      <w:r w:rsidRPr="0054244A">
        <w:rPr>
          <w:rFonts w:cs="Arial" w:hint="cs"/>
          <w:rtl/>
        </w:rPr>
        <w:t>.</w:t>
      </w:r>
    </w:p>
    <w:p w14:paraId="4EAA7B77" w14:textId="77777777" w:rsidR="00685AED" w:rsidRPr="00685AED" w:rsidRDefault="00685AED" w:rsidP="00685AED">
      <w:pPr>
        <w:rPr>
          <w:u w:val="single"/>
          <w:rtl/>
        </w:rPr>
      </w:pPr>
      <w:r w:rsidRPr="00685AED">
        <w:rPr>
          <w:rFonts w:cs="Arial"/>
          <w:u w:val="single"/>
          <w:rtl/>
        </w:rPr>
        <w:t>תינוק שמתה אמו</w:t>
      </w:r>
      <w:r>
        <w:rPr>
          <w:rFonts w:cs="Arial" w:hint="cs"/>
          <w:u w:val="single"/>
          <w:rtl/>
        </w:rPr>
        <w:t>,</w:t>
      </w:r>
      <w:r w:rsidRPr="00685AED">
        <w:rPr>
          <w:rFonts w:cs="Arial"/>
          <w:u w:val="single"/>
          <w:rtl/>
        </w:rPr>
        <w:t xml:space="preserve"> ורוצה אם אמו לגדלו ולשכור לו מניקת</w:t>
      </w:r>
      <w:r>
        <w:rPr>
          <w:rFonts w:cs="Arial" w:hint="cs"/>
          <w:u w:val="single"/>
          <w:rtl/>
        </w:rPr>
        <w:t>,</w:t>
      </w:r>
      <w:r w:rsidRPr="00685AED">
        <w:rPr>
          <w:rFonts w:cs="Arial"/>
          <w:u w:val="single"/>
          <w:rtl/>
        </w:rPr>
        <w:t xml:space="preserve"> ואביו אינו רוצה</w:t>
      </w:r>
      <w:r w:rsidRPr="00685AED">
        <w:rPr>
          <w:rFonts w:hint="cs"/>
          <w:u w:val="single"/>
          <w:rtl/>
        </w:rPr>
        <w:t>:</w:t>
      </w:r>
    </w:p>
    <w:p w14:paraId="0DE2BE48" w14:textId="112ABE25" w:rsidR="00685AED" w:rsidRPr="00685AED" w:rsidRDefault="00685AED" w:rsidP="009000E3">
      <w:pPr>
        <w:pStyle w:val="ab"/>
        <w:numPr>
          <w:ilvl w:val="0"/>
          <w:numId w:val="47"/>
        </w:numPr>
        <w:rPr>
          <w:rtl/>
        </w:rPr>
      </w:pPr>
      <w:r w:rsidRPr="00C83ED4">
        <w:rPr>
          <w:rFonts w:cs="Arial"/>
          <w:rtl/>
        </w:rPr>
        <w:t xml:space="preserve">תשב"ץ </w:t>
      </w:r>
      <w:r w:rsidRPr="00C83ED4">
        <w:rPr>
          <w:rFonts w:cs="Arial" w:hint="cs"/>
          <w:sz w:val="16"/>
          <w:szCs w:val="16"/>
          <w:rtl/>
        </w:rPr>
        <w:t>(</w:t>
      </w:r>
      <w:r w:rsidRPr="00C83ED4">
        <w:rPr>
          <w:rFonts w:cs="Arial"/>
          <w:sz w:val="16"/>
          <w:szCs w:val="16"/>
          <w:rtl/>
        </w:rPr>
        <w:t>ח"א סי' מ)</w:t>
      </w:r>
      <w:r w:rsidRPr="00C83ED4">
        <w:rPr>
          <w:rFonts w:cs="Arial" w:hint="cs"/>
          <w:rtl/>
        </w:rPr>
        <w:t>-</w:t>
      </w:r>
      <w:r w:rsidRPr="00C83ED4">
        <w:rPr>
          <w:rFonts w:cs="Arial"/>
          <w:rtl/>
        </w:rPr>
        <w:t xml:space="preserve"> על תינוק שמתה אמו</w:t>
      </w:r>
      <w:r w:rsidR="00844C4C">
        <w:rPr>
          <w:rFonts w:cs="Arial" w:hint="cs"/>
          <w:rtl/>
        </w:rPr>
        <w:t>,</w:t>
      </w:r>
      <w:r w:rsidRPr="00C83ED4">
        <w:rPr>
          <w:rFonts w:cs="Arial"/>
          <w:rtl/>
        </w:rPr>
        <w:t xml:space="preserve"> ורוצה אם אמו לגדלו ולשכור לו מניקת</w:t>
      </w:r>
      <w:r w:rsidR="00844C4C">
        <w:rPr>
          <w:rFonts w:cs="Arial" w:hint="cs"/>
          <w:rtl/>
        </w:rPr>
        <w:t>,</w:t>
      </w:r>
      <w:r w:rsidRPr="00C83ED4">
        <w:rPr>
          <w:rFonts w:cs="Arial"/>
          <w:rtl/>
        </w:rPr>
        <w:t xml:space="preserve"> ואביו אינו רוצה </w:t>
      </w:r>
      <w:r>
        <w:rPr>
          <w:rFonts w:cs="Arial" w:hint="cs"/>
          <w:rtl/>
        </w:rPr>
        <w:t xml:space="preserve">- </w:t>
      </w:r>
      <w:r w:rsidRPr="00C83ED4">
        <w:rPr>
          <w:rFonts w:cs="Arial"/>
          <w:rtl/>
        </w:rPr>
        <w:t>הדין עם האב</w:t>
      </w:r>
      <w:r>
        <w:rPr>
          <w:rFonts w:cs="Arial" w:hint="cs"/>
          <w:rtl/>
        </w:rPr>
        <w:t>.</w:t>
      </w:r>
      <w:r w:rsidRPr="00685AED">
        <w:rPr>
          <w:rFonts w:cs="Arial" w:hint="cs"/>
          <w:color w:val="00B0F0"/>
          <w:rtl/>
        </w:rPr>
        <w:t xml:space="preserve"> </w:t>
      </w:r>
      <w:r w:rsidRPr="00BA354F">
        <w:rPr>
          <w:rFonts w:cs="Arial" w:hint="cs"/>
          <w:color w:val="00B0F0"/>
          <w:rtl/>
        </w:rPr>
        <w:t>(וכ"פ הרמ"א)</w:t>
      </w:r>
    </w:p>
    <w:p w14:paraId="7444945C" w14:textId="77777777" w:rsidR="00C64B72" w:rsidRDefault="00C64B72" w:rsidP="00C64B72">
      <w:pPr>
        <w:rPr>
          <w:rFonts w:cs="Arial"/>
          <w:rtl/>
        </w:rPr>
      </w:pPr>
      <w:r w:rsidRPr="00C64B72">
        <w:rPr>
          <w:rFonts w:cs="Arial" w:hint="cs"/>
          <w:u w:val="single"/>
          <w:rtl/>
        </w:rPr>
        <w:t>בית דין שנראה להם שיהיה טוב יותר לבת להיות אצל אחיה ולא אצל אמה:</w:t>
      </w:r>
      <w:r>
        <w:rPr>
          <w:rFonts w:cs="Arial" w:hint="cs"/>
          <w:rtl/>
        </w:rPr>
        <w:t xml:space="preserve"> </w:t>
      </w:r>
      <w:r w:rsidRPr="00C64B72">
        <w:rPr>
          <w:rFonts w:cs="Arial"/>
          <w:sz w:val="16"/>
          <w:szCs w:val="16"/>
          <w:rtl/>
        </w:rPr>
        <w:t>(</w:t>
      </w:r>
      <w:r w:rsidRPr="00C64B72">
        <w:rPr>
          <w:rFonts w:cs="Arial" w:hint="cs"/>
          <w:sz w:val="16"/>
          <w:szCs w:val="16"/>
          <w:rtl/>
        </w:rPr>
        <w:t xml:space="preserve">דרכ"מ אות </w:t>
      </w:r>
      <w:r w:rsidRPr="00C64B72">
        <w:rPr>
          <w:rFonts w:cs="Arial"/>
          <w:sz w:val="16"/>
          <w:szCs w:val="16"/>
          <w:rtl/>
        </w:rPr>
        <w:t>ב)</w:t>
      </w:r>
    </w:p>
    <w:p w14:paraId="05FC79B2" w14:textId="33905583" w:rsidR="00C64B72" w:rsidRPr="00C64B72" w:rsidRDefault="00C64B72" w:rsidP="009000E3">
      <w:pPr>
        <w:pStyle w:val="ab"/>
        <w:numPr>
          <w:ilvl w:val="0"/>
          <w:numId w:val="49"/>
        </w:numPr>
        <w:rPr>
          <w:rFonts w:cs="Arial"/>
          <w:rtl/>
        </w:rPr>
      </w:pPr>
      <w:r w:rsidRPr="00C64B72">
        <w:rPr>
          <w:rFonts w:cs="Arial"/>
          <w:rtl/>
        </w:rPr>
        <w:t xml:space="preserve">מהר"ם פאדו"ה </w:t>
      </w:r>
      <w:r w:rsidRPr="00C64B72">
        <w:rPr>
          <w:rFonts w:cs="Arial" w:hint="cs"/>
          <w:sz w:val="16"/>
          <w:szCs w:val="16"/>
          <w:rtl/>
        </w:rPr>
        <w:t>(</w:t>
      </w:r>
      <w:r w:rsidRPr="00C64B72">
        <w:rPr>
          <w:rFonts w:cs="Arial"/>
          <w:sz w:val="16"/>
          <w:szCs w:val="16"/>
          <w:rtl/>
        </w:rPr>
        <w:t>סי</w:t>
      </w:r>
      <w:r w:rsidRPr="00C64B72">
        <w:rPr>
          <w:rFonts w:cs="Arial" w:hint="cs"/>
          <w:sz w:val="16"/>
          <w:szCs w:val="16"/>
          <w:rtl/>
        </w:rPr>
        <w:t>'</w:t>
      </w:r>
      <w:r w:rsidRPr="00C64B72">
        <w:rPr>
          <w:rFonts w:cs="Arial"/>
          <w:sz w:val="16"/>
          <w:szCs w:val="16"/>
          <w:rtl/>
        </w:rPr>
        <w:t xml:space="preserve"> נג</w:t>
      </w:r>
      <w:r w:rsidRPr="00C64B72">
        <w:rPr>
          <w:rFonts w:cs="Arial" w:hint="cs"/>
          <w:sz w:val="16"/>
          <w:szCs w:val="16"/>
          <w:rtl/>
        </w:rPr>
        <w:t>)</w:t>
      </w:r>
      <w:r w:rsidRPr="00C64B72">
        <w:rPr>
          <w:rFonts w:cs="Arial" w:hint="cs"/>
          <w:rtl/>
        </w:rPr>
        <w:t>-</w:t>
      </w:r>
      <w:r w:rsidRPr="00C64B72">
        <w:rPr>
          <w:rFonts w:cs="Arial"/>
          <w:rtl/>
        </w:rPr>
        <w:t xml:space="preserve"> אע</w:t>
      </w:r>
      <w:r w:rsidR="00844C4C">
        <w:rPr>
          <w:rFonts w:cs="Arial" w:hint="cs"/>
          <w:rtl/>
        </w:rPr>
        <w:t>"</w:t>
      </w:r>
      <w:r w:rsidRPr="00C64B72">
        <w:rPr>
          <w:rFonts w:cs="Arial"/>
          <w:rtl/>
        </w:rPr>
        <w:t>ג דאמרינן הבת אצל האם לעולם היינו דוקא אם נראה לב"ד שטוב לה לשבת עם אמה אז צריכין אפילו יתומים ליתן לה מזונותיה אצל אמה</w:t>
      </w:r>
      <w:r w:rsidRPr="00C64B72">
        <w:rPr>
          <w:rFonts w:cs="Arial" w:hint="cs"/>
          <w:rtl/>
        </w:rPr>
        <w:t>,</w:t>
      </w:r>
      <w:r w:rsidRPr="00C64B72">
        <w:rPr>
          <w:rFonts w:cs="Arial"/>
          <w:rtl/>
        </w:rPr>
        <w:t xml:space="preserve"> אבל אם נראה שטוב לה יותר בבית אחיה </w:t>
      </w:r>
      <w:r w:rsidR="00C87D62">
        <w:rPr>
          <w:rFonts w:cs="Arial" w:hint="cs"/>
          <w:rtl/>
        </w:rPr>
        <w:t xml:space="preserve">- </w:t>
      </w:r>
      <w:r w:rsidRPr="00C64B72">
        <w:rPr>
          <w:rFonts w:cs="Arial"/>
          <w:rtl/>
        </w:rPr>
        <w:t>אין אמה יכולה לכופן שתהיה עמה וכו'</w:t>
      </w:r>
      <w:r w:rsidRPr="00C64B72">
        <w:rPr>
          <w:rFonts w:cs="Arial" w:hint="cs"/>
          <w:rtl/>
        </w:rPr>
        <w:t>.</w:t>
      </w:r>
      <w:r w:rsidR="00200ED0" w:rsidRPr="00685AED">
        <w:rPr>
          <w:rFonts w:cs="Arial" w:hint="cs"/>
          <w:color w:val="00B0F0"/>
          <w:rtl/>
        </w:rPr>
        <w:t xml:space="preserve"> </w:t>
      </w:r>
      <w:r w:rsidR="00200ED0" w:rsidRPr="00BA354F">
        <w:rPr>
          <w:rFonts w:cs="Arial" w:hint="cs"/>
          <w:color w:val="00B0F0"/>
          <w:rtl/>
        </w:rPr>
        <w:t>(וכ"פ הרמ"א)</w:t>
      </w:r>
    </w:p>
    <w:p w14:paraId="0B2FBE99"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2D0ADD68" w14:textId="436E40BB" w:rsidR="000D2069" w:rsidRDefault="000D2069" w:rsidP="000D2069">
      <w:pPr>
        <w:rPr>
          <w:rtl/>
        </w:rPr>
      </w:pPr>
      <w:r>
        <w:rPr>
          <w:rFonts w:cs="Arial"/>
          <w:rtl/>
        </w:rPr>
        <w:t>שלמו חדשיו וגמלתו, אם רצתה המגורשת שיהיה בנה אצלה, אין מפרישין אותו ממנה</w:t>
      </w:r>
      <w:r w:rsidR="00C91C6F">
        <w:rPr>
          <w:rStyle w:val="a7"/>
          <w:rFonts w:cs="Arial"/>
          <w:rtl/>
        </w:rPr>
        <w:footnoteReference w:id="797"/>
      </w:r>
      <w:r>
        <w:rPr>
          <w:rFonts w:cs="Arial"/>
          <w:rtl/>
        </w:rPr>
        <w:t xml:space="preserve"> עד שיהיה בן שש שנים גמורות, אלא כופין את אביו ונותן לו מזונות והוא אצל אמו</w:t>
      </w:r>
      <w:r w:rsidR="00685AED">
        <w:rPr>
          <w:rFonts w:cs="Arial" w:hint="cs"/>
          <w:rtl/>
        </w:rPr>
        <w:t>.</w:t>
      </w:r>
      <w:r>
        <w:rPr>
          <w:rFonts w:cs="Arial"/>
          <w:rtl/>
        </w:rPr>
        <w:t xml:space="preserve"> ואחר </w:t>
      </w:r>
      <w:r w:rsidR="00200ED0">
        <w:rPr>
          <w:rFonts w:cs="Arial" w:hint="cs"/>
          <w:rtl/>
        </w:rPr>
        <w:t>שש</w:t>
      </w:r>
      <w:r>
        <w:rPr>
          <w:rFonts w:cs="Arial"/>
          <w:rtl/>
        </w:rPr>
        <w:t xml:space="preserve"> שנים יש לאב לומר: אם אינו אצלי לא אתן לו מזונות</w:t>
      </w:r>
      <w:r w:rsidR="00C91C6F">
        <w:rPr>
          <w:rStyle w:val="a7"/>
          <w:rFonts w:cs="Arial"/>
          <w:rtl/>
        </w:rPr>
        <w:footnoteReference w:id="798"/>
      </w:r>
      <w:r>
        <w:rPr>
          <w:rFonts w:cs="Arial"/>
          <w:rtl/>
        </w:rPr>
        <w:t>. והבת אצל אמה</w:t>
      </w:r>
      <w:r w:rsidR="00EB33DF">
        <w:rPr>
          <w:rStyle w:val="a7"/>
          <w:rFonts w:cs="Arial"/>
          <w:rtl/>
        </w:rPr>
        <w:footnoteReference w:id="799"/>
      </w:r>
      <w:r>
        <w:rPr>
          <w:rFonts w:cs="Arial"/>
          <w:rtl/>
        </w:rPr>
        <w:t xml:space="preserve"> לעולם</w:t>
      </w:r>
      <w:r w:rsidR="00470E2C">
        <w:rPr>
          <w:rStyle w:val="a7"/>
          <w:rFonts w:cs="Arial"/>
          <w:rtl/>
        </w:rPr>
        <w:footnoteReference w:id="800"/>
      </w:r>
      <w:r>
        <w:rPr>
          <w:rFonts w:cs="Arial"/>
          <w:rtl/>
        </w:rPr>
        <w:t xml:space="preserve">, ואפילו לאחר </w:t>
      </w:r>
      <w:r w:rsidR="00200ED0">
        <w:rPr>
          <w:rFonts w:cs="Arial" w:hint="cs"/>
          <w:rtl/>
        </w:rPr>
        <w:t>שש</w:t>
      </w:r>
      <w:r>
        <w:rPr>
          <w:rFonts w:cs="Arial"/>
          <w:rtl/>
        </w:rPr>
        <w:t>. כיצד, היה האב ראוי לצדקה, מוציאין ממנו הראוי לה בעל כרחו, וזנין אותה והיא אצל אמה</w:t>
      </w:r>
      <w:r w:rsidR="00685AED">
        <w:rPr>
          <w:rFonts w:cs="Arial" w:hint="cs"/>
          <w:rtl/>
        </w:rPr>
        <w:t>.</w:t>
      </w:r>
      <w:r>
        <w:rPr>
          <w:rFonts w:cs="Arial"/>
          <w:rtl/>
        </w:rPr>
        <w:t xml:space="preserve"> ואפילו נשאת האם לאחר, בתה אצלה ואביה זן אותה משום צדקה, עד שימות האב ותיזון אח</w:t>
      </w:r>
      <w:r w:rsidR="00685AED">
        <w:rPr>
          <w:rFonts w:cs="Arial" w:hint="cs"/>
          <w:rtl/>
        </w:rPr>
        <w:t xml:space="preserve">ר </w:t>
      </w:r>
      <w:r>
        <w:rPr>
          <w:rFonts w:cs="Arial"/>
          <w:rtl/>
        </w:rPr>
        <w:t>כ</w:t>
      </w:r>
      <w:r w:rsidR="00685AED">
        <w:rPr>
          <w:rFonts w:cs="Arial" w:hint="cs"/>
          <w:rtl/>
        </w:rPr>
        <w:t>ך</w:t>
      </w:r>
      <w:r>
        <w:rPr>
          <w:rFonts w:cs="Arial"/>
          <w:rtl/>
        </w:rPr>
        <w:t xml:space="preserve"> מנכסיו בתנאי כתובתה והיא אצל אמה. </w:t>
      </w:r>
      <w:r w:rsidRPr="00782C6B">
        <w:rPr>
          <w:rFonts w:cs="Arial"/>
          <w:sz w:val="18"/>
          <w:szCs w:val="18"/>
          <w:rtl/>
        </w:rPr>
        <w:t>הגה: ודוקא שנראה לב"ד שטוב לבת להיות עם אמה, אבל אם נראה להם שטוב לה יותר לישב עם בית אביה, אין האם יכולה לכוף שתהיה עמה</w:t>
      </w:r>
      <w:r w:rsidR="00EB33DF">
        <w:rPr>
          <w:rStyle w:val="a7"/>
          <w:rFonts w:cs="Arial"/>
          <w:sz w:val="18"/>
          <w:szCs w:val="18"/>
          <w:rtl/>
        </w:rPr>
        <w:footnoteReference w:id="801"/>
      </w:r>
      <w:r w:rsidRPr="00782C6B">
        <w:rPr>
          <w:rFonts w:cs="Arial"/>
          <w:sz w:val="18"/>
          <w:szCs w:val="18"/>
          <w:rtl/>
        </w:rPr>
        <w:t xml:space="preserve"> (ר"מ פדוואה). מתה האם, אין אם אמה יכולה לכוף שיהיו הבנים עמה</w:t>
      </w:r>
      <w:r w:rsidR="003215D7">
        <w:rPr>
          <w:rStyle w:val="a7"/>
          <w:rFonts w:cs="Arial"/>
          <w:sz w:val="18"/>
          <w:szCs w:val="18"/>
          <w:rtl/>
        </w:rPr>
        <w:footnoteReference w:id="802"/>
      </w:r>
      <w:r w:rsidRPr="00782C6B">
        <w:rPr>
          <w:rFonts w:cs="Arial"/>
          <w:sz w:val="18"/>
          <w:szCs w:val="18"/>
          <w:rtl/>
        </w:rPr>
        <w:t xml:space="preserve"> </w:t>
      </w:r>
      <w:r w:rsidR="00200ED0">
        <w:rPr>
          <w:rFonts w:cs="Arial" w:hint="cs"/>
          <w:sz w:val="18"/>
          <w:szCs w:val="18"/>
          <w:rtl/>
        </w:rPr>
        <w:t>(</w:t>
      </w:r>
      <w:r w:rsidRPr="00782C6B">
        <w:rPr>
          <w:rFonts w:cs="Arial"/>
          <w:sz w:val="18"/>
          <w:szCs w:val="18"/>
          <w:rtl/>
        </w:rPr>
        <w:t>רשב"ץ).</w:t>
      </w:r>
      <w:r>
        <w:rPr>
          <w:rFonts w:cs="Arial"/>
          <w:rtl/>
        </w:rPr>
        <w:t xml:space="preserve"> </w:t>
      </w:r>
    </w:p>
    <w:p w14:paraId="7E44FA12" w14:textId="7C361D11" w:rsidR="00782C6B" w:rsidRPr="00E31FD6" w:rsidRDefault="00E31FD6" w:rsidP="000D2069">
      <w:pPr>
        <w:rPr>
          <w:sz w:val="16"/>
          <w:szCs w:val="16"/>
          <w:rtl/>
        </w:rPr>
      </w:pPr>
      <w:r w:rsidRPr="00E31FD6">
        <w:rPr>
          <w:rFonts w:hint="cs"/>
          <w:u w:val="single"/>
          <w:rtl/>
        </w:rPr>
        <w:t xml:space="preserve">בני זוג שהתגרשו וכל אחד גר בעיר אחרת </w:t>
      </w:r>
      <w:r w:rsidR="00F97626">
        <w:rPr>
          <w:u w:val="single"/>
          <w:rtl/>
        </w:rPr>
        <w:t>-</w:t>
      </w:r>
      <w:r w:rsidRPr="00E31FD6">
        <w:rPr>
          <w:rFonts w:hint="cs"/>
          <w:u w:val="single"/>
          <w:rtl/>
        </w:rPr>
        <w:t xml:space="preserve"> אצל מי יהיו הבנים כשהם פחות מגיל שש:</w:t>
      </w:r>
      <w:r>
        <w:rPr>
          <w:rFonts w:hint="cs"/>
          <w:sz w:val="16"/>
          <w:szCs w:val="16"/>
          <w:rtl/>
        </w:rPr>
        <w:t xml:space="preserve">  (פת"ש סק"ד)</w:t>
      </w:r>
    </w:p>
    <w:p w14:paraId="48D4B924" w14:textId="6E9337C5" w:rsidR="00E31FD6" w:rsidRDefault="00E31FD6" w:rsidP="009000E3">
      <w:pPr>
        <w:pStyle w:val="ab"/>
        <w:numPr>
          <w:ilvl w:val="0"/>
          <w:numId w:val="49"/>
        </w:numPr>
      </w:pPr>
      <w:r w:rsidRPr="00E31FD6">
        <w:rPr>
          <w:rFonts w:cs="Arial"/>
          <w:rtl/>
        </w:rPr>
        <w:lastRenderedPageBreak/>
        <w:t>נו"ב</w:t>
      </w:r>
      <w:r w:rsidRPr="00E31FD6">
        <w:rPr>
          <w:rFonts w:cs="Arial"/>
          <w:sz w:val="16"/>
          <w:szCs w:val="16"/>
          <w:rtl/>
        </w:rPr>
        <w:t xml:space="preserve"> </w:t>
      </w:r>
      <w:r w:rsidRPr="00E31FD6">
        <w:rPr>
          <w:rFonts w:cs="Arial" w:hint="cs"/>
          <w:sz w:val="16"/>
          <w:szCs w:val="16"/>
          <w:rtl/>
        </w:rPr>
        <w:t>(</w:t>
      </w:r>
      <w:r w:rsidRPr="00E31FD6">
        <w:rPr>
          <w:rFonts w:cs="Arial"/>
          <w:sz w:val="16"/>
          <w:szCs w:val="16"/>
          <w:rtl/>
        </w:rPr>
        <w:t>תניינא ס"ס פט</w:t>
      </w:r>
      <w:r w:rsidRPr="00E31FD6">
        <w:rPr>
          <w:rFonts w:cs="Arial" w:hint="cs"/>
          <w:sz w:val="16"/>
          <w:szCs w:val="16"/>
          <w:rtl/>
        </w:rPr>
        <w:t>)</w:t>
      </w:r>
      <w:r>
        <w:rPr>
          <w:rFonts w:cs="Arial" w:hint="cs"/>
          <w:rtl/>
        </w:rPr>
        <w:t>-</w:t>
      </w:r>
      <w:r w:rsidRPr="00E31FD6">
        <w:rPr>
          <w:rFonts w:cs="Arial"/>
          <w:rtl/>
        </w:rPr>
        <w:t xml:space="preserve"> הלכה למעשה שאם אחר הגירושין אין המגרש והמתגרשת בעיר אחת אז הדין שישאר הבן אצל האב אפילו פחות מבן שש כדי לחנכו וללמדו תורה</w:t>
      </w:r>
      <w:r>
        <w:rPr>
          <w:rStyle w:val="a7"/>
          <w:rFonts w:cs="Arial"/>
          <w:rtl/>
        </w:rPr>
        <w:footnoteReference w:id="803"/>
      </w:r>
      <w:r>
        <w:rPr>
          <w:rFonts w:cs="Arial" w:hint="cs"/>
          <w:rtl/>
        </w:rPr>
        <w:t>.</w:t>
      </w:r>
    </w:p>
    <w:p w14:paraId="20CF6A11" w14:textId="531BB7CA" w:rsidR="002A0D59" w:rsidRPr="002A0D59" w:rsidRDefault="002349AD" w:rsidP="002A0D59">
      <w:pPr>
        <w:rPr>
          <w:sz w:val="16"/>
          <w:szCs w:val="16"/>
        </w:rPr>
      </w:pPr>
      <w:r>
        <w:rPr>
          <w:rFonts w:hint="cs"/>
          <w:u w:val="single"/>
          <w:rtl/>
        </w:rPr>
        <w:t xml:space="preserve">מי שגרש את אשתו ויש לו בת ממנה, והיא אצלה, והתחילה האם לזנות </w:t>
      </w:r>
      <w:r w:rsidR="00F97626">
        <w:rPr>
          <w:u w:val="single"/>
          <w:rtl/>
        </w:rPr>
        <w:t>-</w:t>
      </w:r>
      <w:r>
        <w:rPr>
          <w:rFonts w:hint="cs"/>
          <w:u w:val="single"/>
          <w:rtl/>
        </w:rPr>
        <w:t xml:space="preserve"> האם יכול להוציאה</w:t>
      </w:r>
      <w:r w:rsidR="002A0D59" w:rsidRPr="002A0D59">
        <w:rPr>
          <w:rFonts w:hint="cs"/>
          <w:u w:val="single"/>
          <w:rtl/>
        </w:rPr>
        <w:t>:</w:t>
      </w:r>
      <w:r w:rsidR="002A0D59" w:rsidRPr="002A0D59">
        <w:rPr>
          <w:rFonts w:hint="cs"/>
          <w:sz w:val="16"/>
          <w:szCs w:val="16"/>
          <w:rtl/>
        </w:rPr>
        <w:t xml:space="preserve"> </w:t>
      </w:r>
      <w:r w:rsidR="003109BC">
        <w:rPr>
          <w:rFonts w:hint="cs"/>
          <w:sz w:val="16"/>
          <w:szCs w:val="16"/>
          <w:rtl/>
        </w:rPr>
        <w:t xml:space="preserve"> </w:t>
      </w:r>
      <w:r w:rsidR="002A0D59" w:rsidRPr="002A0D59">
        <w:rPr>
          <w:rFonts w:hint="cs"/>
          <w:sz w:val="16"/>
          <w:szCs w:val="16"/>
          <w:rtl/>
        </w:rPr>
        <w:t>(פת"ש סק"</w:t>
      </w:r>
      <w:r w:rsidR="002A0D59">
        <w:rPr>
          <w:rFonts w:hint="cs"/>
          <w:sz w:val="16"/>
          <w:szCs w:val="16"/>
          <w:rtl/>
        </w:rPr>
        <w:t>ו</w:t>
      </w:r>
      <w:r w:rsidR="002A0D59" w:rsidRPr="002A0D59">
        <w:rPr>
          <w:rFonts w:hint="cs"/>
          <w:sz w:val="16"/>
          <w:szCs w:val="16"/>
          <w:rtl/>
        </w:rPr>
        <w:t>)</w:t>
      </w:r>
    </w:p>
    <w:p w14:paraId="3F1A54DE" w14:textId="2DE7CE15" w:rsidR="00F214BD" w:rsidRPr="00F214BD" w:rsidRDefault="002A0D59" w:rsidP="009000E3">
      <w:pPr>
        <w:pStyle w:val="ab"/>
        <w:numPr>
          <w:ilvl w:val="0"/>
          <w:numId w:val="49"/>
        </w:numPr>
        <w:rPr>
          <w:rFonts w:cs="Arial"/>
        </w:rPr>
      </w:pPr>
      <w:r w:rsidRPr="002A0D59">
        <w:rPr>
          <w:rFonts w:cs="Arial"/>
          <w:rtl/>
        </w:rPr>
        <w:t>רדב"ז</w:t>
      </w:r>
      <w:r w:rsidRPr="00F214BD">
        <w:rPr>
          <w:rFonts w:cs="Arial"/>
          <w:sz w:val="16"/>
          <w:szCs w:val="16"/>
          <w:rtl/>
        </w:rPr>
        <w:t xml:space="preserve"> </w:t>
      </w:r>
      <w:r w:rsidR="00F214BD" w:rsidRPr="00F214BD">
        <w:rPr>
          <w:rFonts w:cs="Arial" w:hint="cs"/>
          <w:sz w:val="16"/>
          <w:szCs w:val="16"/>
          <w:rtl/>
        </w:rPr>
        <w:t>(</w:t>
      </w:r>
      <w:r w:rsidRPr="00F214BD">
        <w:rPr>
          <w:rFonts w:cs="Arial"/>
          <w:sz w:val="16"/>
          <w:szCs w:val="16"/>
          <w:rtl/>
        </w:rPr>
        <w:t>ח"א סי</w:t>
      </w:r>
      <w:r w:rsidR="00F214BD" w:rsidRPr="00F214BD">
        <w:rPr>
          <w:rFonts w:cs="Arial" w:hint="cs"/>
          <w:sz w:val="16"/>
          <w:szCs w:val="16"/>
          <w:rtl/>
        </w:rPr>
        <w:t>'</w:t>
      </w:r>
      <w:r w:rsidRPr="00F214BD">
        <w:rPr>
          <w:rFonts w:cs="Arial"/>
          <w:sz w:val="16"/>
          <w:szCs w:val="16"/>
          <w:rtl/>
        </w:rPr>
        <w:t xml:space="preserve"> רסג</w:t>
      </w:r>
      <w:r w:rsidR="002349AD">
        <w:rPr>
          <w:rFonts w:cs="Arial" w:hint="cs"/>
          <w:sz w:val="16"/>
          <w:szCs w:val="16"/>
          <w:rtl/>
        </w:rPr>
        <w:t xml:space="preserve"> ובסי' שס</w:t>
      </w:r>
      <w:r w:rsidR="00F214BD" w:rsidRPr="00F214BD">
        <w:rPr>
          <w:rFonts w:cs="Arial" w:hint="cs"/>
          <w:sz w:val="16"/>
          <w:szCs w:val="16"/>
          <w:rtl/>
        </w:rPr>
        <w:t>)</w:t>
      </w:r>
      <w:r w:rsidR="00F214BD">
        <w:rPr>
          <w:rFonts w:cs="Arial" w:hint="cs"/>
          <w:rtl/>
        </w:rPr>
        <w:t>-</w:t>
      </w:r>
      <w:r w:rsidRPr="002A0D59">
        <w:rPr>
          <w:rFonts w:cs="Arial"/>
          <w:rtl/>
        </w:rPr>
        <w:t xml:space="preserve"> </w:t>
      </w:r>
      <w:r w:rsidR="00F214BD" w:rsidRPr="00F214BD">
        <w:rPr>
          <w:rFonts w:cs="Arial"/>
          <w:rtl/>
        </w:rPr>
        <w:t>שאלת ממני אודיעך דעתי בראובן שגירש את אשתו ויש לו ממנה בת</w:t>
      </w:r>
      <w:r w:rsidR="00F214BD">
        <w:rPr>
          <w:rFonts w:cs="Arial" w:hint="cs"/>
          <w:rtl/>
        </w:rPr>
        <w:t>,</w:t>
      </w:r>
      <w:r w:rsidR="00F214BD" w:rsidRPr="00F214BD">
        <w:rPr>
          <w:rFonts w:cs="Arial"/>
          <w:rtl/>
        </w:rPr>
        <w:t xml:space="preserve"> והרי היא בת שבעה והיא אצל אמה</w:t>
      </w:r>
      <w:r w:rsidR="00F214BD">
        <w:rPr>
          <w:rFonts w:cs="Arial" w:hint="cs"/>
          <w:rtl/>
        </w:rPr>
        <w:t>.</w:t>
      </w:r>
      <w:r w:rsidR="00F214BD" w:rsidRPr="00F214BD">
        <w:rPr>
          <w:rFonts w:cs="Arial"/>
          <w:rtl/>
        </w:rPr>
        <w:t xml:space="preserve"> וזינתה אמה</w:t>
      </w:r>
      <w:r w:rsidR="00CE4B7B">
        <w:rPr>
          <w:rFonts w:cs="Arial" w:hint="cs"/>
          <w:rtl/>
        </w:rPr>
        <w:t>,</w:t>
      </w:r>
      <w:r w:rsidR="00F214BD" w:rsidRPr="00F214BD">
        <w:rPr>
          <w:rFonts w:cs="Arial"/>
          <w:rtl/>
        </w:rPr>
        <w:t xml:space="preserve"> וילדה מ</w:t>
      </w:r>
      <w:r w:rsidR="00386993">
        <w:rPr>
          <w:rFonts w:cs="Arial" w:hint="cs"/>
          <w:rtl/>
        </w:rPr>
        <w:t>ִ</w:t>
      </w:r>
      <w:r w:rsidR="00F214BD" w:rsidRPr="00F214BD">
        <w:rPr>
          <w:rFonts w:cs="Arial"/>
          <w:rtl/>
        </w:rPr>
        <w:t>ז</w:t>
      </w:r>
      <w:r w:rsidR="00386993">
        <w:rPr>
          <w:rFonts w:cs="Arial" w:hint="cs"/>
          <w:rtl/>
        </w:rPr>
        <w:t>ְ</w:t>
      </w:r>
      <w:r w:rsidR="00F214BD" w:rsidRPr="00F214BD">
        <w:rPr>
          <w:rFonts w:cs="Arial"/>
          <w:rtl/>
        </w:rPr>
        <w:t>נו</w:t>
      </w:r>
      <w:r w:rsidR="00386993">
        <w:rPr>
          <w:rFonts w:cs="Arial" w:hint="cs"/>
          <w:rtl/>
        </w:rPr>
        <w:t>ּ</w:t>
      </w:r>
      <w:r w:rsidR="00F214BD" w:rsidRPr="00F214BD">
        <w:rPr>
          <w:rFonts w:cs="Arial"/>
          <w:rtl/>
        </w:rPr>
        <w:t>ת</w:t>
      </w:r>
      <w:r w:rsidR="00386993">
        <w:rPr>
          <w:rFonts w:cs="Arial" w:hint="cs"/>
          <w:rtl/>
        </w:rPr>
        <w:t>,</w:t>
      </w:r>
      <w:r w:rsidR="00F214BD" w:rsidRPr="00F214BD">
        <w:rPr>
          <w:rFonts w:cs="Arial"/>
          <w:rtl/>
        </w:rPr>
        <w:t xml:space="preserve"> וכיון שראה ראובן כן רוצה לקחת את בתו מאצלה שלא תלמד מעשה אמה.</w:t>
      </w:r>
      <w:r w:rsidR="00F214BD">
        <w:rPr>
          <w:rFonts w:cs="Arial" w:hint="cs"/>
          <w:rtl/>
        </w:rPr>
        <w:t xml:space="preserve"> </w:t>
      </w:r>
      <w:r w:rsidR="00FE210D">
        <w:rPr>
          <w:rFonts w:cs="Arial"/>
          <w:rtl/>
        </w:rPr>
        <w:t xml:space="preserve">     תשובה:</w:t>
      </w:r>
      <w:r w:rsidR="00F214BD" w:rsidRPr="00F214BD">
        <w:rPr>
          <w:rFonts w:cs="Arial"/>
          <w:rtl/>
        </w:rPr>
        <w:t xml:space="preserve"> הדבר ברור שהדין עם ראובן</w:t>
      </w:r>
      <w:r w:rsidR="002349AD">
        <w:rPr>
          <w:rFonts w:cs="Arial" w:hint="cs"/>
          <w:rtl/>
        </w:rPr>
        <w:t>,</w:t>
      </w:r>
      <w:r w:rsidR="00F214BD" w:rsidRPr="00F214BD">
        <w:rPr>
          <w:rFonts w:cs="Arial"/>
          <w:rtl/>
        </w:rPr>
        <w:t xml:space="preserve"> דהא טעמא דאמרו ז"ל הבת אצל אמה משום דבצוותא דאמה ניחא לה</w:t>
      </w:r>
      <w:r w:rsidR="002349AD">
        <w:rPr>
          <w:rFonts w:cs="Arial" w:hint="cs"/>
          <w:rtl/>
        </w:rPr>
        <w:t>,</w:t>
      </w:r>
      <w:r w:rsidR="00F214BD" w:rsidRPr="00F214BD">
        <w:rPr>
          <w:rFonts w:cs="Arial"/>
          <w:rtl/>
        </w:rPr>
        <w:t xml:space="preserve"> והכא אנן סהדי דלא ניחא ליה בצוותא דאמה</w:t>
      </w:r>
      <w:r w:rsidR="002349AD">
        <w:rPr>
          <w:rFonts w:cs="Arial" w:hint="cs"/>
          <w:rtl/>
        </w:rPr>
        <w:t>.</w:t>
      </w:r>
      <w:r w:rsidR="00F214BD" w:rsidRPr="00F214BD">
        <w:rPr>
          <w:rFonts w:cs="Arial"/>
          <w:rtl/>
        </w:rPr>
        <w:t xml:space="preserve"> ואפי' תאמר אצל אמי אני רוצה</w:t>
      </w:r>
      <w:r w:rsidR="002349AD">
        <w:rPr>
          <w:rFonts w:cs="Arial" w:hint="cs"/>
          <w:rtl/>
        </w:rPr>
        <w:t>,</w:t>
      </w:r>
      <w:r w:rsidR="00F214BD" w:rsidRPr="00F214BD">
        <w:rPr>
          <w:rFonts w:cs="Arial"/>
          <w:rtl/>
        </w:rPr>
        <w:t xml:space="preserve"> אין שומעין לה</w:t>
      </w:r>
      <w:r w:rsidR="002349AD">
        <w:rPr>
          <w:rFonts w:cs="Arial" w:hint="cs"/>
          <w:rtl/>
        </w:rPr>
        <w:t>,</w:t>
      </w:r>
      <w:r w:rsidR="00F214BD" w:rsidRPr="00F214BD">
        <w:rPr>
          <w:rFonts w:cs="Arial"/>
          <w:rtl/>
        </w:rPr>
        <w:t xml:space="preserve"> דחיישינן שמא תהיה נגררת אחר אמה</w:t>
      </w:r>
      <w:r w:rsidR="002349AD">
        <w:rPr>
          <w:rFonts w:cs="Arial" w:hint="cs"/>
          <w:rtl/>
        </w:rPr>
        <w:t>,</w:t>
      </w:r>
      <w:r w:rsidR="00F214BD" w:rsidRPr="00F214BD">
        <w:rPr>
          <w:rFonts w:cs="Arial"/>
          <w:rtl/>
        </w:rPr>
        <w:t xml:space="preserve"> וכ"ש שכבר היא בת שבע וטועמות טעם ביאה. וגדולה מזו אני אומר שאפי' לא היה ראובן אביה חי ובאים קרובים לקחת אותם</w:t>
      </w:r>
      <w:r w:rsidR="002349AD">
        <w:rPr>
          <w:rFonts w:cs="Arial" w:hint="cs"/>
          <w:rtl/>
        </w:rPr>
        <w:t>,</w:t>
      </w:r>
      <w:r w:rsidR="00F214BD" w:rsidRPr="00F214BD">
        <w:rPr>
          <w:rFonts w:cs="Arial"/>
          <w:rtl/>
        </w:rPr>
        <w:t xml:space="preserve"> שומעין להם. ולא זו בלבד אלא אפי' אין שם קרובים</w:t>
      </w:r>
      <w:r w:rsidR="002349AD">
        <w:rPr>
          <w:rFonts w:cs="Arial" w:hint="cs"/>
          <w:rtl/>
        </w:rPr>
        <w:t>,</w:t>
      </w:r>
      <w:r w:rsidR="00F214BD" w:rsidRPr="00F214BD">
        <w:rPr>
          <w:rFonts w:cs="Arial"/>
          <w:rtl/>
        </w:rPr>
        <w:t xml:space="preserve"> ב"ד אביהם של יתומים וחייבין להוציאה מעם אמה ולהפקידה בבית אחר מהכשרים כפי ראות עיניהם</w:t>
      </w:r>
      <w:r w:rsidR="002349AD">
        <w:rPr>
          <w:rFonts w:cs="Arial" w:hint="cs"/>
          <w:rtl/>
        </w:rPr>
        <w:t>,</w:t>
      </w:r>
      <w:r w:rsidR="00F214BD" w:rsidRPr="00F214BD">
        <w:rPr>
          <w:rFonts w:cs="Arial"/>
          <w:rtl/>
        </w:rPr>
        <w:t xml:space="preserve"> מק"ו מממונם</w:t>
      </w:r>
      <w:r w:rsidR="002349AD">
        <w:rPr>
          <w:rFonts w:cs="Arial" w:hint="cs"/>
          <w:rtl/>
        </w:rPr>
        <w:t>,</w:t>
      </w:r>
      <w:r w:rsidR="00F214BD" w:rsidRPr="00F214BD">
        <w:rPr>
          <w:rFonts w:cs="Arial"/>
          <w:rtl/>
        </w:rPr>
        <w:t xml:space="preserve"> ואם חייבין לפקח על ממונם כ"ש על עצמם שלא יצאו לתרבות רעה</w:t>
      </w:r>
      <w:r w:rsidR="002349AD">
        <w:rPr>
          <w:rFonts w:cs="Arial" w:hint="cs"/>
          <w:rtl/>
        </w:rPr>
        <w:t>,</w:t>
      </w:r>
      <w:r w:rsidR="00F214BD" w:rsidRPr="00F214BD">
        <w:rPr>
          <w:rFonts w:cs="Arial"/>
          <w:rtl/>
        </w:rPr>
        <w:t xml:space="preserve"> והדבר מוסכם אצל השכל כי מעשה אבות יעשו בנים וכאמה כן בתה</w:t>
      </w:r>
      <w:r w:rsidR="002349AD">
        <w:rPr>
          <w:rFonts w:cs="Arial" w:hint="cs"/>
          <w:rtl/>
        </w:rPr>
        <w:t>,</w:t>
      </w:r>
      <w:r w:rsidR="00F214BD" w:rsidRPr="00F214BD">
        <w:rPr>
          <w:rFonts w:cs="Arial"/>
          <w:rtl/>
        </w:rPr>
        <w:t xml:space="preserve"> כ"ש בעריות שהלב חומד אותם וקרובה להתהפך לדרך אמה ולא היה כדאי לישאל עליו</w:t>
      </w:r>
      <w:r w:rsidR="00F214BD">
        <w:rPr>
          <w:rFonts w:cs="Arial" w:hint="cs"/>
          <w:sz w:val="16"/>
          <w:szCs w:val="16"/>
          <w:rtl/>
        </w:rPr>
        <w:t xml:space="preserve"> (עכ"ל בסי' רסג)</w:t>
      </w:r>
      <w:r w:rsidR="00F214BD" w:rsidRPr="00F214BD">
        <w:rPr>
          <w:rFonts w:cs="Arial"/>
          <w:rtl/>
        </w:rPr>
        <w:t>.</w:t>
      </w:r>
      <w:r w:rsidR="00F214BD" w:rsidRPr="00F214BD">
        <w:rPr>
          <w:rtl/>
        </w:rPr>
        <w:t xml:space="preserve"> </w:t>
      </w:r>
      <w:r w:rsidR="00F214BD" w:rsidRPr="00F214BD">
        <w:rPr>
          <w:rFonts w:cs="Arial"/>
          <w:rtl/>
        </w:rPr>
        <w:t>ו</w:t>
      </w:r>
      <w:r w:rsidR="002349AD">
        <w:rPr>
          <w:rFonts w:cs="Arial" w:hint="cs"/>
          <w:rtl/>
        </w:rPr>
        <w:t xml:space="preserve">כן אם </w:t>
      </w:r>
      <w:r w:rsidR="00F214BD" w:rsidRPr="00F214BD">
        <w:rPr>
          <w:rFonts w:cs="Arial"/>
          <w:rtl/>
        </w:rPr>
        <w:t xml:space="preserve">האם פרוצה או שפרוצים נכנסים לביתה הרשות ביד קרובים לקחתה מאצלה </w:t>
      </w:r>
      <w:r w:rsidR="00F214BD">
        <w:rPr>
          <w:rFonts w:cs="Arial" w:hint="cs"/>
          <w:sz w:val="16"/>
          <w:szCs w:val="16"/>
          <w:rtl/>
        </w:rPr>
        <w:t>(עכ"ל בסי' שס)</w:t>
      </w:r>
      <w:r w:rsidR="00F214BD" w:rsidRPr="00F214BD">
        <w:rPr>
          <w:rFonts w:cs="Arial"/>
          <w:rtl/>
        </w:rPr>
        <w:t xml:space="preserve">.  </w:t>
      </w:r>
    </w:p>
    <w:p w14:paraId="2BA4E868" w14:textId="73565C31" w:rsidR="002A0D59" w:rsidRPr="002A0D59" w:rsidRDefault="00C07349" w:rsidP="002A0D59">
      <w:pPr>
        <w:rPr>
          <w:sz w:val="16"/>
          <w:szCs w:val="16"/>
        </w:rPr>
      </w:pPr>
      <w:r>
        <w:rPr>
          <w:rFonts w:hint="cs"/>
          <w:u w:val="single"/>
          <w:rtl/>
        </w:rPr>
        <w:t>מי שמתה אשתו והשאירה לו תינוק חולה, והתינוק אצל אם אמו, ורוצה האב לקחתו ואינו ראוי לטפל בו</w:t>
      </w:r>
      <w:r w:rsidR="002A0D59" w:rsidRPr="002A0D59">
        <w:rPr>
          <w:rFonts w:hint="cs"/>
          <w:u w:val="single"/>
          <w:rtl/>
        </w:rPr>
        <w:t>:</w:t>
      </w:r>
      <w:r w:rsidR="002A0D59" w:rsidRPr="002A0D59">
        <w:rPr>
          <w:rFonts w:hint="cs"/>
          <w:sz w:val="16"/>
          <w:szCs w:val="16"/>
          <w:rtl/>
        </w:rPr>
        <w:t xml:space="preserve">  (פת"ש סק"</w:t>
      </w:r>
      <w:r w:rsidR="002A0D59">
        <w:rPr>
          <w:rFonts w:hint="cs"/>
          <w:sz w:val="16"/>
          <w:szCs w:val="16"/>
          <w:rtl/>
        </w:rPr>
        <w:t>ז</w:t>
      </w:r>
      <w:r w:rsidR="002A0D59" w:rsidRPr="002A0D59">
        <w:rPr>
          <w:rFonts w:hint="cs"/>
          <w:sz w:val="16"/>
          <w:szCs w:val="16"/>
          <w:rtl/>
        </w:rPr>
        <w:t>)</w:t>
      </w:r>
    </w:p>
    <w:p w14:paraId="71834245" w14:textId="6930010D" w:rsidR="00E31FD6" w:rsidRPr="00FB67FE" w:rsidRDefault="002A0D59" w:rsidP="009000E3">
      <w:pPr>
        <w:pStyle w:val="ab"/>
        <w:numPr>
          <w:ilvl w:val="0"/>
          <w:numId w:val="49"/>
        </w:numPr>
        <w:rPr>
          <w:rFonts w:cs="Arial"/>
        </w:rPr>
      </w:pPr>
      <w:r w:rsidRPr="00FB67FE">
        <w:rPr>
          <w:rFonts w:cs="Arial"/>
          <w:rtl/>
        </w:rPr>
        <w:t xml:space="preserve">רדב"ז </w:t>
      </w:r>
      <w:r w:rsidR="002349AD" w:rsidRPr="00FB67FE">
        <w:rPr>
          <w:rFonts w:cs="Arial" w:hint="cs"/>
          <w:sz w:val="16"/>
          <w:szCs w:val="16"/>
          <w:rtl/>
        </w:rPr>
        <w:t>(</w:t>
      </w:r>
      <w:r w:rsidRPr="00FB67FE">
        <w:rPr>
          <w:rFonts w:cs="Arial"/>
          <w:sz w:val="16"/>
          <w:szCs w:val="16"/>
          <w:rtl/>
        </w:rPr>
        <w:t>ח"א סי' קכ</w:t>
      </w:r>
      <w:r w:rsidR="00FB67FE" w:rsidRPr="00FB67FE">
        <w:rPr>
          <w:rFonts w:cs="Arial" w:hint="cs"/>
          <w:sz w:val="16"/>
          <w:szCs w:val="16"/>
          <w:rtl/>
        </w:rPr>
        <w:t>ג</w:t>
      </w:r>
      <w:r w:rsidR="002349AD" w:rsidRPr="00FB67FE">
        <w:rPr>
          <w:rFonts w:cs="Arial" w:hint="cs"/>
          <w:sz w:val="16"/>
          <w:szCs w:val="16"/>
          <w:rtl/>
        </w:rPr>
        <w:t>)</w:t>
      </w:r>
      <w:r w:rsidR="002349AD" w:rsidRPr="00FB67FE">
        <w:rPr>
          <w:rFonts w:cs="Arial" w:hint="cs"/>
          <w:rtl/>
        </w:rPr>
        <w:t xml:space="preserve">- </w:t>
      </w:r>
      <w:r w:rsidR="00FB67FE" w:rsidRPr="00FB67FE">
        <w:rPr>
          <w:rFonts w:cs="Arial"/>
          <w:rtl/>
        </w:rPr>
        <w:t>שאלת ממני בראובן שמתה אשתו והניחה לו בן קטן יונק חולה והוא אצל אם אמו</w:t>
      </w:r>
      <w:r w:rsidR="00FB67FE">
        <w:rPr>
          <w:rFonts w:cs="Arial" w:hint="cs"/>
          <w:rtl/>
        </w:rPr>
        <w:t>,</w:t>
      </w:r>
      <w:r w:rsidR="00FB67FE" w:rsidRPr="00FB67FE">
        <w:rPr>
          <w:rFonts w:cs="Arial"/>
          <w:rtl/>
        </w:rPr>
        <w:t xml:space="preserve"> ורצה ראובן לקחת אותו</w:t>
      </w:r>
      <w:r w:rsidR="00FB67FE">
        <w:rPr>
          <w:rFonts w:cs="Arial" w:hint="cs"/>
          <w:rtl/>
        </w:rPr>
        <w:t>,</w:t>
      </w:r>
      <w:r w:rsidR="00FB67FE" w:rsidRPr="00FB67FE">
        <w:rPr>
          <w:rFonts w:cs="Arial"/>
          <w:rtl/>
        </w:rPr>
        <w:t xml:space="preserve"> והוא לא נשא אשה והוא עני ובזמן שיוצא לחוץ מניח את הבן אצל השכני</w:t>
      </w:r>
      <w:r w:rsidR="00FB67FE">
        <w:rPr>
          <w:rFonts w:cs="Arial" w:hint="cs"/>
          <w:rtl/>
        </w:rPr>
        <w:t>ם.</w:t>
      </w:r>
      <w:r w:rsidR="00FB67FE" w:rsidRPr="00FB67FE">
        <w:rPr>
          <w:rFonts w:cs="Arial"/>
          <w:rtl/>
        </w:rPr>
        <w:t xml:space="preserve"> אם טוב שיעמוד הבן אצל אם אמו או אצל אביו. </w:t>
      </w:r>
      <w:r w:rsidR="00FE210D">
        <w:rPr>
          <w:rFonts w:cs="Arial"/>
          <w:rtl/>
        </w:rPr>
        <w:t xml:space="preserve">      תשובה:</w:t>
      </w:r>
      <w:r w:rsidR="00FB67FE" w:rsidRPr="00FB67FE">
        <w:rPr>
          <w:rFonts w:cs="Arial"/>
          <w:rtl/>
        </w:rPr>
        <w:t xml:space="preserve"> הדבר ברור שהבן אצל אמו אמרו ולא אצל אם אמו</w:t>
      </w:r>
      <w:r w:rsidR="00FB67FE">
        <w:rPr>
          <w:rFonts w:cs="Arial" w:hint="cs"/>
          <w:rtl/>
        </w:rPr>
        <w:t>,</w:t>
      </w:r>
      <w:r w:rsidR="00FB67FE" w:rsidRPr="00FB67FE">
        <w:rPr>
          <w:rFonts w:cs="Arial"/>
          <w:rtl/>
        </w:rPr>
        <w:t xml:space="preserve"> אבל אם ראו ב"ד שתקנת הולד שיעמוד אצל אם אמו לפי שהיא מרחמת עליו יותר מאחרים</w:t>
      </w:r>
      <w:r w:rsidR="00FB67FE">
        <w:rPr>
          <w:rFonts w:cs="Arial" w:hint="cs"/>
          <w:rtl/>
        </w:rPr>
        <w:t>,</w:t>
      </w:r>
      <w:r w:rsidR="00FB67FE" w:rsidRPr="00FB67FE">
        <w:rPr>
          <w:rFonts w:cs="Arial"/>
          <w:rtl/>
        </w:rPr>
        <w:t xml:space="preserve"> מניחים אותו אצל אם אמו</w:t>
      </w:r>
      <w:r w:rsidR="00FB67FE">
        <w:rPr>
          <w:rFonts w:cs="Arial" w:hint="cs"/>
          <w:rtl/>
        </w:rPr>
        <w:t>.</w:t>
      </w:r>
      <w:r w:rsidR="00FB67FE" w:rsidRPr="00FB67FE">
        <w:rPr>
          <w:rFonts w:cs="Arial"/>
          <w:rtl/>
        </w:rPr>
        <w:t xml:space="preserve"> ואע</w:t>
      </w:r>
      <w:r w:rsidR="00806638">
        <w:rPr>
          <w:rFonts w:cs="Arial" w:hint="cs"/>
          <w:rtl/>
        </w:rPr>
        <w:t>"</w:t>
      </w:r>
      <w:r w:rsidR="00FB67FE" w:rsidRPr="00FB67FE">
        <w:rPr>
          <w:rFonts w:cs="Arial"/>
          <w:rtl/>
        </w:rPr>
        <w:t>פ שיאמר ראובן תנו לי בני ואני אעשה מה שארצה ואם ימות ימות</w:t>
      </w:r>
      <w:r w:rsidR="00FB67FE">
        <w:rPr>
          <w:rFonts w:cs="Arial" w:hint="cs"/>
          <w:rtl/>
        </w:rPr>
        <w:t>,</w:t>
      </w:r>
      <w:r w:rsidR="00FB67FE" w:rsidRPr="00FB67FE">
        <w:rPr>
          <w:rFonts w:cs="Arial"/>
          <w:rtl/>
        </w:rPr>
        <w:t xml:space="preserve"> אין שומעין לו</w:t>
      </w:r>
      <w:r w:rsidR="00FB67FE">
        <w:rPr>
          <w:rFonts w:cs="Arial" w:hint="cs"/>
          <w:rtl/>
        </w:rPr>
        <w:t>.</w:t>
      </w:r>
      <w:r w:rsidR="00FB67FE" w:rsidRPr="00FB67FE">
        <w:rPr>
          <w:rFonts w:cs="Arial"/>
          <w:rtl/>
        </w:rPr>
        <w:t xml:space="preserve"> ולא מבעיא אם מניחו בבית שכניו או בבית אחרים בזמן שהוא יוצא למלאכתו כאשר בא בשאלה</w:t>
      </w:r>
      <w:r w:rsidR="00FB67FE">
        <w:rPr>
          <w:rFonts w:cs="Arial" w:hint="cs"/>
          <w:rtl/>
        </w:rPr>
        <w:t>,</w:t>
      </w:r>
      <w:r w:rsidR="00FB67FE" w:rsidRPr="00FB67FE">
        <w:rPr>
          <w:rFonts w:cs="Arial"/>
          <w:rtl/>
        </w:rPr>
        <w:t xml:space="preserve"> דפשיטא דאם אמו קודמת לאחרים</w:t>
      </w:r>
      <w:r w:rsidR="00FB67FE">
        <w:rPr>
          <w:rFonts w:cs="Arial" w:hint="cs"/>
          <w:rtl/>
        </w:rPr>
        <w:t>,</w:t>
      </w:r>
      <w:r w:rsidR="00FB67FE" w:rsidRPr="00FB67FE">
        <w:rPr>
          <w:rFonts w:cs="Arial"/>
          <w:rtl/>
        </w:rPr>
        <w:t xml:space="preserve"> אלא אפי' שרוצה האב לעמוד אצלו תמיד אין שומעין לו כיון שנתברר לב"ד שתקנתו של ולד שיהיה אצל אם אמו</w:t>
      </w:r>
      <w:r w:rsidR="00806638">
        <w:rPr>
          <w:rFonts w:cs="Arial" w:hint="cs"/>
          <w:rtl/>
        </w:rPr>
        <w:t>,</w:t>
      </w:r>
      <w:r w:rsidR="00FB67FE" w:rsidRPr="00FB67FE">
        <w:rPr>
          <w:rFonts w:cs="Arial"/>
          <w:rtl/>
        </w:rPr>
        <w:t xml:space="preserve"> וזה שוטה הוא שרוצה להרוג את בנו.</w:t>
      </w:r>
    </w:p>
    <w:p w14:paraId="6388BF17" w14:textId="77777777" w:rsidR="00FB67FE" w:rsidRDefault="00FB67FE" w:rsidP="00FB67FE">
      <w:pPr>
        <w:rPr>
          <w:rtl/>
        </w:rPr>
      </w:pPr>
    </w:p>
    <w:p w14:paraId="14DCA67E" w14:textId="6A0BE9CC" w:rsidR="000D2069" w:rsidRDefault="000D2069" w:rsidP="000F64D0">
      <w:pPr>
        <w:pStyle w:val="2"/>
        <w:rPr>
          <w:rtl/>
        </w:rPr>
      </w:pPr>
      <w:r>
        <w:rPr>
          <w:rtl/>
        </w:rPr>
        <w:t>סעיף ח</w:t>
      </w:r>
      <w:r w:rsidR="00782C6B">
        <w:rPr>
          <w:rFonts w:hint="cs"/>
          <w:rtl/>
        </w:rPr>
        <w:t>:</w:t>
      </w:r>
      <w:r w:rsidR="00200ED0" w:rsidRPr="00200ED0">
        <w:rPr>
          <w:rFonts w:hint="cs"/>
          <w:rtl/>
        </w:rPr>
        <w:t xml:space="preserve"> אשה שלא רוצה שילדיה יהיו אצלה</w:t>
      </w:r>
      <w:r w:rsidR="00200ED0">
        <w:rPr>
          <w:rFonts w:hint="cs"/>
          <w:rtl/>
        </w:rPr>
        <w:t>.</w:t>
      </w:r>
    </w:p>
    <w:p w14:paraId="61C77F53" w14:textId="77777777" w:rsidR="00200ED0" w:rsidRPr="00200ED0" w:rsidRDefault="00200ED0" w:rsidP="00200ED0">
      <w:pPr>
        <w:rPr>
          <w:rFonts w:cs="Arial"/>
          <w:u w:val="single"/>
        </w:rPr>
      </w:pPr>
      <w:r w:rsidRPr="00200ED0">
        <w:rPr>
          <w:rFonts w:cs="Arial" w:hint="cs"/>
          <w:u w:val="single"/>
          <w:rtl/>
        </w:rPr>
        <w:t>אשה שלא רוצה שילדיה יהיו אצלה:</w:t>
      </w:r>
    </w:p>
    <w:p w14:paraId="24A507DD" w14:textId="5414C06E" w:rsidR="00782C6B" w:rsidRPr="00200ED0" w:rsidRDefault="00200ED0" w:rsidP="009000E3">
      <w:pPr>
        <w:pStyle w:val="ab"/>
        <w:numPr>
          <w:ilvl w:val="0"/>
          <w:numId w:val="47"/>
        </w:numPr>
        <w:rPr>
          <w:rFonts w:cs="Arial"/>
          <w:rtl/>
        </w:rPr>
      </w:pPr>
      <w:r>
        <w:rPr>
          <w:rFonts w:cs="Arial" w:hint="cs"/>
          <w:rtl/>
        </w:rPr>
        <w:t xml:space="preserve">רמב"ם </w:t>
      </w:r>
      <w:r>
        <w:rPr>
          <w:rFonts w:cs="Arial" w:hint="cs"/>
          <w:sz w:val="16"/>
          <w:szCs w:val="16"/>
          <w:rtl/>
        </w:rPr>
        <w:t>(פכ"א הי"ח)</w:t>
      </w:r>
      <w:r>
        <w:rPr>
          <w:rFonts w:cs="Arial" w:hint="cs"/>
          <w:rtl/>
        </w:rPr>
        <w:t xml:space="preserve">- </w:t>
      </w:r>
      <w:r w:rsidRPr="00200ED0">
        <w:rPr>
          <w:rFonts w:cs="Arial"/>
          <w:rtl/>
        </w:rPr>
        <w:t>ואם לא רצת האם שיהיו בניה אצלה אחר שגמלתן</w:t>
      </w:r>
      <w:r>
        <w:rPr>
          <w:rFonts w:cs="Arial" w:hint="cs"/>
          <w:rtl/>
        </w:rPr>
        <w:t>,</w:t>
      </w:r>
      <w:r w:rsidRPr="00200ED0">
        <w:rPr>
          <w:rFonts w:cs="Arial"/>
          <w:rtl/>
        </w:rPr>
        <w:t xml:space="preserve"> אחד זכרים ואחד נקבות</w:t>
      </w:r>
      <w:r>
        <w:rPr>
          <w:rFonts w:cs="Arial" w:hint="cs"/>
          <w:rtl/>
        </w:rPr>
        <w:t>,</w:t>
      </w:r>
      <w:r w:rsidRPr="00200ED0">
        <w:rPr>
          <w:rFonts w:cs="Arial"/>
          <w:rtl/>
        </w:rPr>
        <w:t xml:space="preserve"> הרשות בידה</w:t>
      </w:r>
      <w:r>
        <w:rPr>
          <w:rFonts w:cs="Arial" w:hint="cs"/>
          <w:rtl/>
        </w:rPr>
        <w:t>,</w:t>
      </w:r>
      <w:r w:rsidRPr="00200ED0">
        <w:rPr>
          <w:rFonts w:cs="Arial"/>
          <w:rtl/>
        </w:rPr>
        <w:t xml:space="preserve"> ונותנת אותן לאביהן</w:t>
      </w:r>
      <w:r>
        <w:rPr>
          <w:rFonts w:cs="Arial" w:hint="cs"/>
          <w:rtl/>
        </w:rPr>
        <w:t>,</w:t>
      </w:r>
      <w:r w:rsidRPr="00200ED0">
        <w:rPr>
          <w:rFonts w:cs="Arial"/>
          <w:rtl/>
        </w:rPr>
        <w:t xml:space="preserve"> או משלכת אותן לקהל אם אין להן אב והן מטפלין בהן.</w:t>
      </w:r>
      <w:r w:rsidRPr="00685AED">
        <w:rPr>
          <w:rFonts w:hint="cs"/>
          <w:color w:val="E36C0A" w:themeColor="accent6" w:themeShade="BF"/>
          <w:rtl/>
        </w:rPr>
        <w:t xml:space="preserve"> </w:t>
      </w:r>
      <w:r w:rsidRPr="007B430E">
        <w:rPr>
          <w:rFonts w:hint="cs"/>
          <w:color w:val="E36C0A" w:themeColor="accent6" w:themeShade="BF"/>
          <w:rtl/>
        </w:rPr>
        <w:t>(וכ"פ בשו"ע)</w:t>
      </w:r>
    </w:p>
    <w:p w14:paraId="41AFAA5B"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6077B619" w14:textId="06F289B0" w:rsidR="000D2069" w:rsidRPr="000D2069" w:rsidRDefault="000D2069" w:rsidP="000D2069">
      <w:pPr>
        <w:rPr>
          <w:rtl/>
        </w:rPr>
        <w:sectPr w:rsidR="000D2069" w:rsidRPr="000D2069" w:rsidSect="00A347B3">
          <w:headerReference w:type="default" r:id="rId25"/>
          <w:footnotePr>
            <w:numRestart w:val="eachSect"/>
          </w:footnotePr>
          <w:pgSz w:w="11906" w:h="16838"/>
          <w:pgMar w:top="720" w:right="1134" w:bottom="720" w:left="1134" w:header="0" w:footer="0" w:gutter="0"/>
          <w:cols w:space="720"/>
          <w:bidi/>
          <w:rtlGutter/>
          <w:docGrid w:linePitch="360"/>
        </w:sectPr>
      </w:pPr>
      <w:r>
        <w:rPr>
          <w:rFonts w:cs="Arial"/>
          <w:rtl/>
        </w:rPr>
        <w:t>אם לא רצתה האם שיהיו בניה עמה אחר שגמלתן, אחד זכרים ואחד נקבות, הרשות בידה, ונותנת אותם לאביהם, או משלכת אותם לקהל</w:t>
      </w:r>
      <w:r w:rsidR="00E31FD6">
        <w:rPr>
          <w:rStyle w:val="a7"/>
          <w:rFonts w:cs="Arial"/>
          <w:rtl/>
        </w:rPr>
        <w:footnoteReference w:id="804"/>
      </w:r>
      <w:r>
        <w:rPr>
          <w:rFonts w:cs="Arial"/>
          <w:rtl/>
        </w:rPr>
        <w:t xml:space="preserve"> אם אין להם אב, והם מטפלים בהם, אחד זכרים ואחד נקבות.</w:t>
      </w:r>
    </w:p>
    <w:p w14:paraId="4E59145C" w14:textId="6461D1B8" w:rsidR="000D2069" w:rsidRDefault="00942887" w:rsidP="000D2069">
      <w:pPr>
        <w:pStyle w:val="1"/>
        <w:rPr>
          <w:rtl/>
        </w:rPr>
      </w:pPr>
      <w:r>
        <w:rPr>
          <w:rFonts w:hint="cs"/>
          <w:rtl/>
        </w:rPr>
        <w:lastRenderedPageBreak/>
        <w:t xml:space="preserve">סימן </w:t>
      </w:r>
      <w:r w:rsidR="001E098A">
        <w:rPr>
          <w:rFonts w:hint="cs"/>
          <w:rtl/>
        </w:rPr>
        <w:t>פג</w:t>
      </w:r>
      <w:r>
        <w:rPr>
          <w:rFonts w:hint="cs"/>
          <w:rtl/>
        </w:rPr>
        <w:t>:</w:t>
      </w:r>
      <w:r w:rsidRPr="00C12B74">
        <w:rPr>
          <w:rtl/>
        </w:rPr>
        <w:t xml:space="preserve"> </w:t>
      </w:r>
      <w:r w:rsidR="000D2069">
        <w:rPr>
          <w:rFonts w:cs="Arial"/>
          <w:rtl/>
        </w:rPr>
        <w:t xml:space="preserve">חבלת אשת איש למי הוא, ובו ב' סעיפים. </w:t>
      </w:r>
    </w:p>
    <w:p w14:paraId="4A6EE338" w14:textId="03B1F801" w:rsidR="000D2069" w:rsidRDefault="000D2069" w:rsidP="000F64D0">
      <w:pPr>
        <w:pStyle w:val="2"/>
        <w:rPr>
          <w:rtl/>
        </w:rPr>
      </w:pPr>
      <w:r>
        <w:rPr>
          <w:rtl/>
        </w:rPr>
        <w:t>סעיף א</w:t>
      </w:r>
      <w:r w:rsidR="006265B1">
        <w:rPr>
          <w:rFonts w:hint="cs"/>
          <w:rtl/>
        </w:rPr>
        <w:t>: אשת איש שחבלו בה.</w:t>
      </w:r>
    </w:p>
    <w:p w14:paraId="2A0CB4D7" w14:textId="1C0D90AD" w:rsidR="00755AE8" w:rsidRPr="00755AE8" w:rsidRDefault="00755AE8" w:rsidP="00755AE8">
      <w:pPr>
        <w:rPr>
          <w:rFonts w:cs="Arial"/>
          <w:rtl/>
        </w:rPr>
      </w:pPr>
      <w:r w:rsidRPr="003E00A2">
        <w:rPr>
          <w:rFonts w:cs="Arial" w:hint="cs"/>
          <w:b/>
          <w:bCs/>
          <w:rtl/>
        </w:rPr>
        <w:t xml:space="preserve">כתובות </w:t>
      </w:r>
      <w:r w:rsidRPr="003E00A2">
        <w:rPr>
          <w:rFonts w:cs="Arial" w:hint="cs"/>
          <w:b/>
          <w:bCs/>
          <w:sz w:val="16"/>
          <w:szCs w:val="16"/>
          <w:rtl/>
        </w:rPr>
        <w:t>(</w:t>
      </w:r>
      <w:r w:rsidR="004C03CA">
        <w:rPr>
          <w:rFonts w:cs="Arial" w:hint="cs"/>
          <w:b/>
          <w:bCs/>
          <w:sz w:val="16"/>
          <w:szCs w:val="16"/>
          <w:rtl/>
        </w:rPr>
        <w:t>ר"פ מציאת האשה</w:t>
      </w:r>
      <w:r w:rsidRPr="003E00A2">
        <w:rPr>
          <w:rFonts w:cs="Arial" w:hint="cs"/>
          <w:b/>
          <w:bCs/>
          <w:sz w:val="16"/>
          <w:szCs w:val="16"/>
          <w:rtl/>
        </w:rPr>
        <w:t xml:space="preserve">) </w:t>
      </w:r>
      <w:r w:rsidRPr="003E00A2">
        <w:rPr>
          <w:rFonts w:cs="Arial" w:hint="cs"/>
          <w:b/>
          <w:bCs/>
          <w:rtl/>
        </w:rPr>
        <w:t>סה</w:t>
      </w:r>
      <w:r w:rsidR="009A7DA9">
        <w:rPr>
          <w:rStyle w:val="a7"/>
          <w:rFonts w:cs="Arial"/>
          <w:b/>
          <w:bCs/>
          <w:rtl/>
        </w:rPr>
        <w:footnoteReference w:id="805"/>
      </w:r>
      <w:r w:rsidRPr="003E00A2">
        <w:rPr>
          <w:rFonts w:cs="Arial" w:hint="cs"/>
          <w:b/>
          <w:bCs/>
          <w:rtl/>
        </w:rPr>
        <w:t xml:space="preserve"> ע"ב: </w:t>
      </w:r>
      <w:r w:rsidRPr="00E142C1">
        <w:rPr>
          <w:rFonts w:cs="Arial"/>
          <w:u w:val="double"/>
          <w:rtl/>
        </w:rPr>
        <w:t>מתני'</w:t>
      </w:r>
      <w:r>
        <w:rPr>
          <w:rFonts w:cs="Arial" w:hint="cs"/>
          <w:rtl/>
        </w:rPr>
        <w:t>:</w:t>
      </w:r>
      <w:r w:rsidRPr="00E142C1">
        <w:rPr>
          <w:rFonts w:cs="Arial"/>
          <w:rtl/>
        </w:rPr>
        <w:t xml:space="preserve"> מציאת האשה ומעשה ידיה לבעלה, וירושתה - הוא אוכל פירות בחייה, בושתה ופגמה שלה</w:t>
      </w:r>
      <w:r>
        <w:rPr>
          <w:rFonts w:cs="Arial" w:hint="cs"/>
          <w:rtl/>
        </w:rPr>
        <w:t>.</w:t>
      </w:r>
      <w:r w:rsidRPr="00E142C1">
        <w:rPr>
          <w:rFonts w:cs="Arial"/>
          <w:rtl/>
        </w:rPr>
        <w:t xml:space="preserve"> </w:t>
      </w:r>
      <w:r w:rsidRPr="00E142C1">
        <w:rPr>
          <w:rFonts w:cs="Arial"/>
          <w:u w:val="single"/>
          <w:rtl/>
        </w:rPr>
        <w:t>רבי יהודה בן בתירא אומר</w:t>
      </w:r>
      <w:r w:rsidRPr="00E142C1">
        <w:rPr>
          <w:rFonts w:cs="Arial"/>
          <w:rtl/>
        </w:rPr>
        <w:t>: בזמן שבסתר - לה שני חלקים ולו אחד, ובזמן שבגלוי - לו שני חלקים ולה אחד</w:t>
      </w:r>
      <w:r>
        <w:rPr>
          <w:rStyle w:val="a7"/>
          <w:rFonts w:cs="Arial"/>
          <w:rtl/>
        </w:rPr>
        <w:footnoteReference w:id="806"/>
      </w:r>
      <w:r>
        <w:rPr>
          <w:rFonts w:cs="Arial" w:hint="cs"/>
          <w:rtl/>
        </w:rPr>
        <w:t>.</w:t>
      </w:r>
      <w:r w:rsidRPr="00E142C1">
        <w:rPr>
          <w:rFonts w:cs="Arial"/>
          <w:rtl/>
        </w:rPr>
        <w:t xml:space="preserve"> שלו ינתן מיד, ושלה ילקח בהן קרקע והוא אוכל פירות. </w:t>
      </w:r>
      <w:r w:rsidRPr="00755AE8">
        <w:rPr>
          <w:rFonts w:cs="Arial" w:hint="cs"/>
          <w:sz w:val="16"/>
          <w:szCs w:val="16"/>
          <w:rtl/>
        </w:rPr>
        <w:t>(</w:t>
      </w:r>
      <w:r w:rsidRPr="00755AE8">
        <w:rPr>
          <w:rFonts w:cs="Arial"/>
          <w:sz w:val="16"/>
          <w:szCs w:val="16"/>
          <w:rtl/>
        </w:rPr>
        <w:t>וכתב הרא"ש (סי' א) הא דלא תנא ש</w:t>
      </w:r>
      <w:r w:rsidR="00DB65F9">
        <w:rPr>
          <w:rFonts w:cs="Arial" w:hint="cs"/>
          <w:sz w:val="16"/>
          <w:szCs w:val="16"/>
          <w:rtl/>
        </w:rPr>
        <w:t>ֵ</w:t>
      </w:r>
      <w:r w:rsidRPr="00755AE8">
        <w:rPr>
          <w:rFonts w:cs="Arial"/>
          <w:sz w:val="16"/>
          <w:szCs w:val="16"/>
          <w:rtl/>
        </w:rPr>
        <w:t>ב</w:t>
      </w:r>
      <w:r w:rsidR="00DB65F9">
        <w:rPr>
          <w:rFonts w:cs="Arial" w:hint="cs"/>
          <w:sz w:val="16"/>
          <w:szCs w:val="16"/>
          <w:rtl/>
        </w:rPr>
        <w:t>ֵ</w:t>
      </w:r>
      <w:r w:rsidRPr="00755AE8">
        <w:rPr>
          <w:rFonts w:cs="Arial"/>
          <w:sz w:val="16"/>
          <w:szCs w:val="16"/>
          <w:rtl/>
        </w:rPr>
        <w:t>ת</w:t>
      </w:r>
      <w:r w:rsidR="00DB65F9">
        <w:rPr>
          <w:rFonts w:cs="Arial" w:hint="cs"/>
          <w:sz w:val="16"/>
          <w:szCs w:val="16"/>
          <w:rtl/>
        </w:rPr>
        <w:t>,</w:t>
      </w:r>
      <w:r w:rsidRPr="00755AE8">
        <w:rPr>
          <w:rFonts w:cs="Arial"/>
          <w:sz w:val="16"/>
          <w:szCs w:val="16"/>
          <w:rtl/>
        </w:rPr>
        <w:t xml:space="preserve"> דמילתא דפשיטא היא דהוי דבעל</w:t>
      </w:r>
      <w:r w:rsidRPr="00755AE8">
        <w:rPr>
          <w:rFonts w:cs="Arial" w:hint="cs"/>
          <w:sz w:val="16"/>
          <w:szCs w:val="16"/>
          <w:rtl/>
        </w:rPr>
        <w:t>,</w:t>
      </w:r>
      <w:r w:rsidRPr="00755AE8">
        <w:rPr>
          <w:rFonts w:cs="Arial"/>
          <w:sz w:val="16"/>
          <w:szCs w:val="16"/>
          <w:rtl/>
        </w:rPr>
        <w:t xml:space="preserve"> שהיא מתבטלת ממעשה ידיה</w:t>
      </w:r>
      <w:r w:rsidRPr="00755AE8">
        <w:rPr>
          <w:rFonts w:cs="Arial" w:hint="cs"/>
          <w:sz w:val="16"/>
          <w:szCs w:val="16"/>
          <w:rtl/>
        </w:rPr>
        <w:t>.</w:t>
      </w:r>
      <w:r w:rsidRPr="00755AE8">
        <w:rPr>
          <w:rFonts w:cs="Arial"/>
          <w:sz w:val="16"/>
          <w:szCs w:val="16"/>
          <w:rtl/>
        </w:rPr>
        <w:t xml:space="preserve"> וצער</w:t>
      </w:r>
      <w:r w:rsidRPr="00755AE8">
        <w:rPr>
          <w:rFonts w:cs="Arial" w:hint="cs"/>
          <w:sz w:val="16"/>
          <w:szCs w:val="16"/>
          <w:rtl/>
        </w:rPr>
        <w:t>,</w:t>
      </w:r>
      <w:r w:rsidRPr="00755AE8">
        <w:rPr>
          <w:rFonts w:cs="Arial"/>
          <w:sz w:val="16"/>
          <w:szCs w:val="16"/>
          <w:rtl/>
        </w:rPr>
        <w:t xml:space="preserve"> פשיטא דהוי דידה כדאמרינן בפרק החובל צערא דגופא לא תקינו ליה רבנן</w:t>
      </w:r>
      <w:r>
        <w:rPr>
          <w:rFonts w:cs="Arial" w:hint="cs"/>
          <w:sz w:val="16"/>
          <w:szCs w:val="16"/>
          <w:rtl/>
        </w:rPr>
        <w:t>..., ב"י)</w:t>
      </w:r>
    </w:p>
    <w:p w14:paraId="44825E0B" w14:textId="77777777" w:rsidR="00755AE8" w:rsidRDefault="00755AE8" w:rsidP="00755AE8">
      <w:pPr>
        <w:rPr>
          <w:rFonts w:cs="Arial"/>
          <w:rtl/>
        </w:rPr>
      </w:pPr>
      <w:r w:rsidRPr="00C11BB8">
        <w:rPr>
          <w:rFonts w:cs="Arial" w:hint="cs"/>
          <w:b/>
          <w:bCs/>
          <w:rtl/>
        </w:rPr>
        <w:t xml:space="preserve">בבא קמא </w:t>
      </w:r>
      <w:r w:rsidRPr="00C11BB8">
        <w:rPr>
          <w:rFonts w:cs="Arial" w:hint="cs"/>
          <w:b/>
          <w:bCs/>
          <w:sz w:val="16"/>
          <w:szCs w:val="16"/>
          <w:rtl/>
        </w:rPr>
        <w:t>(</w:t>
      </w:r>
      <w:r>
        <w:rPr>
          <w:rFonts w:cs="Arial" w:hint="cs"/>
          <w:b/>
          <w:bCs/>
          <w:sz w:val="16"/>
          <w:szCs w:val="16"/>
          <w:rtl/>
        </w:rPr>
        <w:t>ר"פ החובל</w:t>
      </w:r>
      <w:r w:rsidRPr="00C11BB8">
        <w:rPr>
          <w:rFonts w:cs="Arial" w:hint="cs"/>
          <w:b/>
          <w:bCs/>
          <w:sz w:val="16"/>
          <w:szCs w:val="16"/>
          <w:rtl/>
        </w:rPr>
        <w:t>)</w:t>
      </w:r>
      <w:r w:rsidRPr="00C11BB8">
        <w:rPr>
          <w:rFonts w:cs="Arial" w:hint="cs"/>
          <w:b/>
          <w:bCs/>
          <w:rtl/>
        </w:rPr>
        <w:t xml:space="preserve"> פג ע"א: </w:t>
      </w:r>
      <w:r w:rsidRPr="00C11BB8">
        <w:rPr>
          <w:rFonts w:cs="Arial"/>
          <w:u w:val="double"/>
          <w:rtl/>
        </w:rPr>
        <w:t>מתני'</w:t>
      </w:r>
      <w:r>
        <w:rPr>
          <w:rFonts w:cs="Arial" w:hint="cs"/>
          <w:rtl/>
        </w:rPr>
        <w:t>:</w:t>
      </w:r>
      <w:r w:rsidRPr="00C11BB8">
        <w:rPr>
          <w:rFonts w:cs="Arial"/>
          <w:rtl/>
        </w:rPr>
        <w:t xml:space="preserve"> החובל בחבירו - חייב עליו משום חמשה דברים: בנזק, בצער, בריפוי, בשבת, ובושת. בנזק כיצד? סימא את עינו, קטע את ידו, שיבר את רגלו, רואין אותו כאילו הוא עבד נמכר בשוק, ושמין כמה היה יפה וכמה הוא יפה. צער - כואו בשפוד או במסמר, ואפילו על ציפורנו מקום שאינו עושה חבורה, אומדין כמה אדם כיוצא בזה רוצה ליטול להיות מצטער כך. ריפוי - הכהו חייב לרפאותו</w:t>
      </w:r>
      <w:r>
        <w:rPr>
          <w:rFonts w:cs="Arial" w:hint="cs"/>
          <w:rtl/>
        </w:rPr>
        <w:t>.</w:t>
      </w:r>
      <w:r w:rsidRPr="00C11BB8">
        <w:rPr>
          <w:rFonts w:cs="Arial"/>
          <w:rtl/>
        </w:rPr>
        <w:t xml:space="preserve"> עלה בו צמחים, אם מחמת המכה - חייב, שלא מחמת המכה - פטור</w:t>
      </w:r>
      <w:r>
        <w:rPr>
          <w:rFonts w:cs="Arial" w:hint="cs"/>
          <w:rtl/>
        </w:rPr>
        <w:t>.</w:t>
      </w:r>
      <w:r w:rsidRPr="00C11BB8">
        <w:rPr>
          <w:rFonts w:cs="Arial"/>
          <w:rtl/>
        </w:rPr>
        <w:t xml:space="preserve"> חייתה ונסתרה חייתה ונסתרה - חייב לרפאותו, חייתה כל צורכה - אינו חייב לרפאותו. שבת</w:t>
      </w:r>
      <w:r>
        <w:rPr>
          <w:rStyle w:val="a7"/>
          <w:rFonts w:cs="Arial"/>
          <w:rtl/>
        </w:rPr>
        <w:footnoteReference w:id="807"/>
      </w:r>
      <w:r w:rsidRPr="00C11BB8">
        <w:rPr>
          <w:rFonts w:cs="Arial"/>
          <w:rtl/>
        </w:rPr>
        <w:t xml:space="preserve"> - רואין אותו כאילו הוא שומר קישואין, שכבר נתן לו דמי ידו ודמי רגלו. בושת - הכל לפי המבייש והמתבייש.</w:t>
      </w:r>
      <w:r>
        <w:rPr>
          <w:rFonts w:cs="Arial" w:hint="cs"/>
          <w:rtl/>
        </w:rPr>
        <w:t xml:space="preserve">        </w:t>
      </w:r>
    </w:p>
    <w:p w14:paraId="5D83F2F6" w14:textId="4CE618B9" w:rsidR="00755AE8" w:rsidRPr="00755AE8" w:rsidRDefault="00D06CE2" w:rsidP="00755AE8">
      <w:pPr>
        <w:rPr>
          <w:rFonts w:cs="Arial"/>
          <w:rtl/>
        </w:rPr>
      </w:pPr>
      <w:r w:rsidRPr="00C11BB8">
        <w:rPr>
          <w:rFonts w:cs="Arial" w:hint="cs"/>
          <w:b/>
          <w:bCs/>
          <w:rtl/>
        </w:rPr>
        <w:t xml:space="preserve">בבא קמא </w:t>
      </w:r>
      <w:r w:rsidRPr="00C11BB8">
        <w:rPr>
          <w:rFonts w:cs="Arial" w:hint="cs"/>
          <w:b/>
          <w:bCs/>
          <w:sz w:val="16"/>
          <w:szCs w:val="16"/>
          <w:rtl/>
        </w:rPr>
        <w:t>(</w:t>
      </w:r>
      <w:r>
        <w:rPr>
          <w:rFonts w:cs="Arial" w:hint="cs"/>
          <w:b/>
          <w:bCs/>
          <w:sz w:val="16"/>
          <w:szCs w:val="16"/>
          <w:rtl/>
        </w:rPr>
        <w:t>פ' החובל</w:t>
      </w:r>
      <w:r w:rsidRPr="00C11BB8">
        <w:rPr>
          <w:rFonts w:cs="Arial" w:hint="cs"/>
          <w:b/>
          <w:bCs/>
          <w:sz w:val="16"/>
          <w:szCs w:val="16"/>
          <w:rtl/>
        </w:rPr>
        <w:t>)</w:t>
      </w:r>
      <w:r w:rsidRPr="00C11BB8">
        <w:rPr>
          <w:rFonts w:cs="Arial" w:hint="cs"/>
          <w:b/>
          <w:bCs/>
          <w:rtl/>
        </w:rPr>
        <w:t xml:space="preserve"> פ</w:t>
      </w:r>
      <w:r>
        <w:rPr>
          <w:rFonts w:cs="Arial" w:hint="cs"/>
          <w:b/>
          <w:bCs/>
          <w:rtl/>
        </w:rPr>
        <w:t>ו</w:t>
      </w:r>
      <w:r w:rsidRPr="00C11BB8">
        <w:rPr>
          <w:rFonts w:cs="Arial" w:hint="cs"/>
          <w:b/>
          <w:bCs/>
          <w:rtl/>
        </w:rPr>
        <w:t xml:space="preserve"> ע"א:</w:t>
      </w:r>
      <w:r>
        <w:rPr>
          <w:rFonts w:cs="Arial" w:hint="cs"/>
          <w:b/>
          <w:bCs/>
          <w:rtl/>
        </w:rPr>
        <w:t xml:space="preserve"> </w:t>
      </w:r>
      <w:r w:rsidR="00755AE8" w:rsidRPr="004C599D">
        <w:rPr>
          <w:rFonts w:cs="Arial"/>
          <w:rtl/>
        </w:rPr>
        <w:t>דאתמר: הכהו על ידו וצמתה וסופה לחזור</w:t>
      </w:r>
      <w:r w:rsidR="00AE1E0A">
        <w:rPr>
          <w:rFonts w:cs="Arial" w:hint="cs"/>
          <w:rtl/>
        </w:rPr>
        <w:t>,</w:t>
      </w:r>
      <w:r w:rsidR="00755AE8" w:rsidRPr="004C599D">
        <w:rPr>
          <w:rFonts w:cs="Arial"/>
          <w:rtl/>
        </w:rPr>
        <w:t xml:space="preserve"> </w:t>
      </w:r>
      <w:r w:rsidR="00755AE8" w:rsidRPr="004C599D">
        <w:rPr>
          <w:rFonts w:cs="Arial"/>
          <w:u w:val="single"/>
          <w:rtl/>
        </w:rPr>
        <w:t>אביי אמר</w:t>
      </w:r>
      <w:r w:rsidR="00755AE8" w:rsidRPr="004C599D">
        <w:rPr>
          <w:rFonts w:cs="Arial"/>
          <w:rtl/>
        </w:rPr>
        <w:t>: נותן לו שבת גדולה</w:t>
      </w:r>
      <w:r w:rsidR="00755AE8">
        <w:rPr>
          <w:rStyle w:val="a7"/>
          <w:rFonts w:cs="Arial"/>
          <w:rtl/>
        </w:rPr>
        <w:footnoteReference w:id="808"/>
      </w:r>
      <w:r w:rsidR="00755AE8" w:rsidRPr="004C599D">
        <w:rPr>
          <w:rFonts w:cs="Arial"/>
          <w:rtl/>
        </w:rPr>
        <w:t xml:space="preserve"> ושבת קטנה</w:t>
      </w:r>
      <w:r w:rsidR="00755AE8">
        <w:rPr>
          <w:rStyle w:val="a7"/>
          <w:rFonts w:cs="Arial"/>
          <w:rtl/>
        </w:rPr>
        <w:footnoteReference w:id="809"/>
      </w:r>
      <w:r w:rsidR="00755AE8" w:rsidRPr="004C599D">
        <w:rPr>
          <w:rFonts w:cs="Arial"/>
          <w:rtl/>
        </w:rPr>
        <w:t xml:space="preserve">, </w:t>
      </w:r>
      <w:r w:rsidR="00755AE8" w:rsidRPr="004C599D">
        <w:rPr>
          <w:rFonts w:cs="Arial"/>
          <w:u w:val="single"/>
          <w:rtl/>
        </w:rPr>
        <w:t>ורבא אמר</w:t>
      </w:r>
      <w:r w:rsidR="00755AE8" w:rsidRPr="004C599D">
        <w:rPr>
          <w:rFonts w:cs="Arial"/>
          <w:rtl/>
        </w:rPr>
        <w:t>: אינו נותן לו אלא דמי שבתו שבכל יום ויום</w:t>
      </w:r>
      <w:r w:rsidR="00755AE8">
        <w:rPr>
          <w:rStyle w:val="a7"/>
          <w:rFonts w:cs="Arial"/>
          <w:rtl/>
        </w:rPr>
        <w:footnoteReference w:id="810"/>
      </w:r>
      <w:r w:rsidR="00755AE8" w:rsidRPr="004C599D">
        <w:rPr>
          <w:rFonts w:cs="Arial"/>
          <w:rtl/>
        </w:rPr>
        <w:t>.</w:t>
      </w:r>
      <w:r w:rsidR="00755AE8">
        <w:rPr>
          <w:rFonts w:cs="Arial" w:hint="cs"/>
          <w:rtl/>
        </w:rPr>
        <w:t xml:space="preserve"> </w:t>
      </w:r>
      <w:r w:rsidR="00755AE8" w:rsidRPr="00D2158C">
        <w:rPr>
          <w:rFonts w:cs="Arial" w:hint="cs"/>
          <w:sz w:val="16"/>
          <w:szCs w:val="16"/>
          <w:rtl/>
        </w:rPr>
        <w:t>(</w:t>
      </w:r>
      <w:r w:rsidR="00755AE8" w:rsidRPr="00D2158C">
        <w:rPr>
          <w:rFonts w:cs="Arial"/>
          <w:sz w:val="16"/>
          <w:szCs w:val="16"/>
          <w:rtl/>
        </w:rPr>
        <w:t>וידוע דהלכה כרבא</w:t>
      </w:r>
      <w:r w:rsidR="000647C0">
        <w:rPr>
          <w:rFonts w:cs="Arial" w:hint="cs"/>
          <w:sz w:val="16"/>
          <w:szCs w:val="16"/>
          <w:rtl/>
        </w:rPr>
        <w:t>,</w:t>
      </w:r>
      <w:r w:rsidR="00755AE8" w:rsidRPr="00D2158C">
        <w:rPr>
          <w:rFonts w:cs="Arial"/>
          <w:sz w:val="16"/>
          <w:szCs w:val="16"/>
          <w:rtl/>
        </w:rPr>
        <w:t xml:space="preserve"> וכבר כתב רבינו דינים אלו בארוכה בטור חושן משפט סימן ת"כ</w:t>
      </w:r>
      <w:r w:rsidR="00755AE8">
        <w:rPr>
          <w:rFonts w:cs="Arial" w:hint="cs"/>
          <w:sz w:val="16"/>
          <w:szCs w:val="16"/>
          <w:rtl/>
        </w:rPr>
        <w:t>, ב"י)</w:t>
      </w:r>
    </w:p>
    <w:p w14:paraId="5B72400D" w14:textId="307474BE" w:rsidR="0092024D" w:rsidRPr="0092024D" w:rsidRDefault="0092024D" w:rsidP="0092024D">
      <w:pPr>
        <w:rPr>
          <w:u w:val="single"/>
          <w:rtl/>
        </w:rPr>
      </w:pPr>
      <w:r w:rsidRPr="0092024D">
        <w:rPr>
          <w:rFonts w:cs="Arial"/>
          <w:u w:val="single"/>
          <w:rtl/>
        </w:rPr>
        <w:t>אשת איש שחבלו בה</w:t>
      </w:r>
      <w:r w:rsidR="00D06CE2">
        <w:rPr>
          <w:rStyle w:val="a7"/>
          <w:rFonts w:cs="Arial"/>
          <w:u w:val="single"/>
          <w:rtl/>
        </w:rPr>
        <w:footnoteReference w:id="811"/>
      </w:r>
      <w:r w:rsidRPr="0092024D">
        <w:rPr>
          <w:rFonts w:hint="cs"/>
          <w:u w:val="single"/>
          <w:rtl/>
        </w:rPr>
        <w:t>:</w:t>
      </w:r>
    </w:p>
    <w:p w14:paraId="2E5E9C48" w14:textId="3D957B0B" w:rsidR="0092024D" w:rsidRPr="0092024D" w:rsidRDefault="0092024D" w:rsidP="0092024D">
      <w:pPr>
        <w:ind w:left="360"/>
        <w:rPr>
          <w:u w:val="dotted"/>
        </w:rPr>
      </w:pPr>
      <w:r w:rsidRPr="0092024D">
        <w:rPr>
          <w:rFonts w:hint="cs"/>
          <w:u w:val="dotted"/>
          <w:rtl/>
        </w:rPr>
        <w:t>שבת</w:t>
      </w:r>
      <w:r>
        <w:rPr>
          <w:rFonts w:hint="cs"/>
          <w:u w:val="dotted"/>
          <w:rtl/>
        </w:rPr>
        <w:t xml:space="preserve"> צער</w:t>
      </w:r>
      <w:r w:rsidR="006E41FE">
        <w:rPr>
          <w:rFonts w:hint="cs"/>
          <w:u w:val="dotted"/>
          <w:rtl/>
        </w:rPr>
        <w:t xml:space="preserve"> וריפוי</w:t>
      </w:r>
      <w:r w:rsidRPr="0092024D">
        <w:rPr>
          <w:rFonts w:hint="cs"/>
          <w:u w:val="dotted"/>
          <w:rtl/>
        </w:rPr>
        <w:t>:</w:t>
      </w:r>
    </w:p>
    <w:p w14:paraId="3D5FB2E3" w14:textId="20C09E8B" w:rsidR="0092024D" w:rsidRDefault="006E41FE" w:rsidP="009000E3">
      <w:pPr>
        <w:pStyle w:val="ab"/>
        <w:numPr>
          <w:ilvl w:val="0"/>
          <w:numId w:val="47"/>
        </w:numPr>
      </w:pPr>
      <w:r>
        <w:rPr>
          <w:rFonts w:cs="Arial" w:hint="cs"/>
          <w:rtl/>
        </w:rPr>
        <w:t>רא"ש</w:t>
      </w:r>
      <w:r w:rsidRPr="00D95442">
        <w:rPr>
          <w:rFonts w:cs="Arial" w:hint="cs"/>
          <w:sz w:val="16"/>
          <w:szCs w:val="16"/>
          <w:rtl/>
        </w:rPr>
        <w:t xml:space="preserve"> </w:t>
      </w:r>
      <w:r w:rsidR="00D95442" w:rsidRPr="00D95442">
        <w:rPr>
          <w:rFonts w:cs="Arial"/>
          <w:sz w:val="16"/>
          <w:szCs w:val="16"/>
          <w:rtl/>
        </w:rPr>
        <w:t>(</w:t>
      </w:r>
      <w:r w:rsidR="00D95442">
        <w:rPr>
          <w:rFonts w:cs="Arial" w:hint="cs"/>
          <w:sz w:val="16"/>
          <w:szCs w:val="16"/>
          <w:rtl/>
        </w:rPr>
        <w:t xml:space="preserve">כתובות פ' מציאת האשה </w:t>
      </w:r>
      <w:r w:rsidR="00D95442" w:rsidRPr="00D95442">
        <w:rPr>
          <w:rFonts w:cs="Arial"/>
          <w:sz w:val="16"/>
          <w:szCs w:val="16"/>
          <w:rtl/>
        </w:rPr>
        <w:t>סי' א)</w:t>
      </w:r>
      <w:r w:rsidR="00D95442" w:rsidRPr="00D95442">
        <w:rPr>
          <w:rFonts w:cs="Arial"/>
          <w:rtl/>
        </w:rPr>
        <w:t xml:space="preserve"> </w:t>
      </w:r>
      <w:r>
        <w:rPr>
          <w:rFonts w:cs="Arial" w:hint="cs"/>
          <w:rtl/>
        </w:rPr>
        <w:t>ו</w:t>
      </w:r>
      <w:r w:rsidR="006265B1" w:rsidRPr="006265B1">
        <w:rPr>
          <w:rFonts w:cs="Arial" w:hint="cs"/>
          <w:rtl/>
        </w:rPr>
        <w:t xml:space="preserve">טור- </w:t>
      </w:r>
      <w:r w:rsidR="006265B1" w:rsidRPr="006265B1">
        <w:rPr>
          <w:rFonts w:cs="Arial"/>
          <w:rtl/>
        </w:rPr>
        <w:t>אשת איש שחבלו בה</w:t>
      </w:r>
      <w:r w:rsidR="006265B1">
        <w:rPr>
          <w:rFonts w:cs="Arial" w:hint="cs"/>
          <w:rtl/>
        </w:rPr>
        <w:t>,</w:t>
      </w:r>
      <w:r w:rsidR="006265B1" w:rsidRPr="006265B1">
        <w:rPr>
          <w:rFonts w:cs="Arial"/>
          <w:rtl/>
        </w:rPr>
        <w:t xml:space="preserve"> השבת לבעלה</w:t>
      </w:r>
      <w:r w:rsidR="006265B1">
        <w:rPr>
          <w:rFonts w:cs="Arial" w:hint="cs"/>
          <w:rtl/>
        </w:rPr>
        <w:t>,</w:t>
      </w:r>
      <w:r w:rsidR="006265B1" w:rsidRPr="006265B1">
        <w:rPr>
          <w:rFonts w:cs="Arial"/>
          <w:rtl/>
        </w:rPr>
        <w:t xml:space="preserve"> כיון שמעשה ידיה שלו והרי היא מתבטלת ממעשה ידיה</w:t>
      </w:r>
      <w:r w:rsidR="006265B1">
        <w:rPr>
          <w:rFonts w:cs="Arial" w:hint="cs"/>
          <w:rtl/>
        </w:rPr>
        <w:t>.</w:t>
      </w:r>
      <w:r w:rsidR="006265B1" w:rsidRPr="006265B1">
        <w:rPr>
          <w:rFonts w:cs="Arial"/>
          <w:rtl/>
        </w:rPr>
        <w:t xml:space="preserve"> ולא כל מה שמתבטלת ממלאכתה הראשונה</w:t>
      </w:r>
      <w:r w:rsidR="006265B1">
        <w:rPr>
          <w:rFonts w:cs="Arial" w:hint="cs"/>
          <w:rtl/>
        </w:rPr>
        <w:t>,</w:t>
      </w:r>
      <w:r w:rsidR="006265B1" w:rsidRPr="006265B1">
        <w:rPr>
          <w:rFonts w:cs="Arial"/>
          <w:rtl/>
        </w:rPr>
        <w:t xml:space="preserve"> שאם היתה טווה מתחילה וחתך ידיה והרי אינה ראויה אלא לשמור קישואין</w:t>
      </w:r>
      <w:r w:rsidR="006265B1">
        <w:rPr>
          <w:rFonts w:cs="Arial" w:hint="cs"/>
          <w:rtl/>
        </w:rPr>
        <w:t>,</w:t>
      </w:r>
      <w:r w:rsidR="006265B1" w:rsidRPr="006265B1">
        <w:rPr>
          <w:rFonts w:cs="Arial"/>
          <w:rtl/>
        </w:rPr>
        <w:t xml:space="preserve"> היינו בכלל פגם שהוא נזק והוא שלו</w:t>
      </w:r>
      <w:r w:rsidR="004C599D">
        <w:rPr>
          <w:rStyle w:val="a7"/>
          <w:rFonts w:cs="Arial"/>
          <w:rtl/>
        </w:rPr>
        <w:footnoteReference w:id="812"/>
      </w:r>
      <w:r w:rsidR="006265B1">
        <w:rPr>
          <w:rFonts w:cs="Arial" w:hint="cs"/>
          <w:rtl/>
        </w:rPr>
        <w:t>,</w:t>
      </w:r>
      <w:r w:rsidR="006265B1" w:rsidRPr="006265B1">
        <w:rPr>
          <w:rFonts w:cs="Arial"/>
          <w:rtl/>
        </w:rPr>
        <w:t xml:space="preserve"> אלא נותן לו כל ימי חליה ביטול של שמירת קישואין</w:t>
      </w:r>
      <w:r w:rsidR="006265B1">
        <w:rPr>
          <w:rFonts w:cs="Arial" w:hint="cs"/>
          <w:rtl/>
        </w:rPr>
        <w:t>.</w:t>
      </w:r>
      <w:r w:rsidR="006265B1" w:rsidRPr="006265B1">
        <w:rPr>
          <w:rFonts w:cs="Arial"/>
          <w:rtl/>
        </w:rPr>
        <w:t xml:space="preserve"> ואם חבלו בה ולא איפחיתא מכספה</w:t>
      </w:r>
      <w:r w:rsidR="006265B1">
        <w:rPr>
          <w:rFonts w:cs="Arial" w:hint="cs"/>
          <w:rtl/>
        </w:rPr>
        <w:t>,</w:t>
      </w:r>
      <w:r w:rsidR="006265B1" w:rsidRPr="006265B1">
        <w:rPr>
          <w:rFonts w:cs="Arial"/>
          <w:rtl/>
        </w:rPr>
        <w:t xml:space="preserve"> כגון שצמתה ידה וסופה לחזור</w:t>
      </w:r>
      <w:r w:rsidR="006265B1">
        <w:rPr>
          <w:rFonts w:cs="Arial" w:hint="cs"/>
          <w:rtl/>
        </w:rPr>
        <w:t>,</w:t>
      </w:r>
      <w:r w:rsidR="006265B1" w:rsidRPr="006265B1">
        <w:rPr>
          <w:rFonts w:cs="Arial"/>
          <w:rtl/>
        </w:rPr>
        <w:t xml:space="preserve"> אין כאן אלא שבת לחוד</w:t>
      </w:r>
      <w:r w:rsidR="006265B1">
        <w:rPr>
          <w:rFonts w:cs="Arial" w:hint="cs"/>
          <w:rtl/>
        </w:rPr>
        <w:t>,</w:t>
      </w:r>
      <w:r w:rsidR="006265B1" w:rsidRPr="006265B1">
        <w:rPr>
          <w:rFonts w:cs="Arial"/>
          <w:rtl/>
        </w:rPr>
        <w:t xml:space="preserve"> ואותו כולו של הבעל</w:t>
      </w:r>
      <w:r w:rsidR="006265B1">
        <w:rPr>
          <w:rFonts w:cs="Arial" w:hint="cs"/>
          <w:rtl/>
        </w:rPr>
        <w:t>,</w:t>
      </w:r>
      <w:r w:rsidR="006265B1" w:rsidRPr="006265B1">
        <w:rPr>
          <w:rFonts w:cs="Arial"/>
          <w:rtl/>
        </w:rPr>
        <w:t xml:space="preserve"> והצער שלה</w:t>
      </w:r>
      <w:r w:rsidR="006265B1">
        <w:rPr>
          <w:rFonts w:cs="Arial" w:hint="cs"/>
          <w:rtl/>
        </w:rPr>
        <w:t>.</w:t>
      </w:r>
      <w:r w:rsidR="006265B1" w:rsidRPr="006265B1">
        <w:rPr>
          <w:rFonts w:cs="Arial"/>
          <w:rtl/>
        </w:rPr>
        <w:t xml:space="preserve"> ואם אמדוה שתתרפא בה' ימים ועבדו לה סמא חריפא ואיתסית בתלתא יומי היינו בכלל הצער שציערה עצמה בסם חריף כדי להשתכר המותר והוא שלה</w:t>
      </w:r>
      <w:r w:rsidR="0092024D">
        <w:rPr>
          <w:rFonts w:cs="Arial" w:hint="cs"/>
          <w:rtl/>
        </w:rPr>
        <w:t>.</w:t>
      </w:r>
      <w:r w:rsidR="006265B1" w:rsidRPr="006265B1">
        <w:rPr>
          <w:rFonts w:cs="Arial"/>
          <w:rtl/>
        </w:rPr>
        <w:t xml:space="preserve"> </w:t>
      </w:r>
      <w:r>
        <w:rPr>
          <w:rFonts w:cs="Arial" w:hint="cs"/>
          <w:rtl/>
        </w:rPr>
        <w:t>ו</w:t>
      </w:r>
      <w:r w:rsidRPr="006265B1">
        <w:rPr>
          <w:rFonts w:cs="Arial"/>
          <w:rtl/>
        </w:rPr>
        <w:t>הריפוי ינתן לרופא לרפאותה</w:t>
      </w:r>
      <w:r>
        <w:rPr>
          <w:rFonts w:cs="Arial" w:hint="cs"/>
          <w:sz w:val="16"/>
          <w:szCs w:val="16"/>
          <w:rtl/>
        </w:rPr>
        <w:t xml:space="preserve"> (ל' הטור)</w:t>
      </w:r>
      <w:r>
        <w:rPr>
          <w:rFonts w:cs="Arial" w:hint="cs"/>
          <w:rtl/>
        </w:rPr>
        <w:t>.</w:t>
      </w:r>
    </w:p>
    <w:p w14:paraId="0B6CB74B" w14:textId="1C501EAB" w:rsidR="006E41FE" w:rsidRDefault="006E41FE" w:rsidP="009000E3">
      <w:pPr>
        <w:pStyle w:val="ab"/>
        <w:numPr>
          <w:ilvl w:val="0"/>
          <w:numId w:val="47"/>
        </w:numPr>
        <w:rPr>
          <w:rtl/>
        </w:rPr>
      </w:pPr>
      <w:r>
        <w:rPr>
          <w:rFonts w:cs="Arial" w:hint="cs"/>
          <w:rtl/>
        </w:rPr>
        <w:t xml:space="preserve">רמב"ם </w:t>
      </w:r>
      <w:r>
        <w:rPr>
          <w:rFonts w:cs="Arial" w:hint="cs"/>
          <w:sz w:val="16"/>
          <w:szCs w:val="16"/>
          <w:rtl/>
        </w:rPr>
        <w:t>(פ"ד מחובל ומזיק הט"ו)</w:t>
      </w:r>
      <w:r>
        <w:rPr>
          <w:rFonts w:cs="Arial" w:hint="cs"/>
          <w:rtl/>
        </w:rPr>
        <w:t xml:space="preserve">- </w:t>
      </w:r>
      <w:r>
        <w:rPr>
          <w:rFonts w:cs="Arial"/>
          <w:rtl/>
        </w:rPr>
        <w:t>החובל באשת איש</w:t>
      </w:r>
      <w:r w:rsidR="007C4582">
        <w:rPr>
          <w:rFonts w:cs="Arial" w:hint="cs"/>
          <w:rtl/>
        </w:rPr>
        <w:t>,</w:t>
      </w:r>
      <w:r>
        <w:rPr>
          <w:rFonts w:cs="Arial"/>
          <w:rtl/>
        </w:rPr>
        <w:t xml:space="preserve"> השבת והרפוי לבעלה</w:t>
      </w:r>
      <w:r w:rsidR="00157781">
        <w:rPr>
          <w:rStyle w:val="a7"/>
          <w:rFonts w:cs="Arial"/>
          <w:rtl/>
        </w:rPr>
        <w:footnoteReference w:id="813"/>
      </w:r>
      <w:r w:rsidR="007C4582">
        <w:rPr>
          <w:rFonts w:cs="Arial" w:hint="cs"/>
          <w:rtl/>
        </w:rPr>
        <w:t>,</w:t>
      </w:r>
      <w:r>
        <w:rPr>
          <w:rFonts w:cs="Arial"/>
          <w:rtl/>
        </w:rPr>
        <w:t xml:space="preserve"> והצער שלה</w:t>
      </w:r>
      <w:r>
        <w:rPr>
          <w:rFonts w:cs="Arial" w:hint="cs"/>
          <w:rtl/>
        </w:rPr>
        <w:t>.</w:t>
      </w:r>
      <w:r w:rsidR="00D06CE2" w:rsidRPr="00D06CE2">
        <w:rPr>
          <w:rFonts w:hint="cs"/>
          <w:color w:val="E36C0A" w:themeColor="accent6" w:themeShade="BF"/>
          <w:rtl/>
        </w:rPr>
        <w:t xml:space="preserve"> </w:t>
      </w:r>
      <w:r w:rsidR="00D06CE2" w:rsidRPr="007B430E">
        <w:rPr>
          <w:rFonts w:hint="cs"/>
          <w:color w:val="E36C0A" w:themeColor="accent6" w:themeShade="BF"/>
          <w:rtl/>
        </w:rPr>
        <w:t>(וכ"פ בשו"ע)</w:t>
      </w:r>
    </w:p>
    <w:p w14:paraId="7B8EAEAA" w14:textId="4D217811" w:rsidR="0092024D" w:rsidRPr="00245718" w:rsidRDefault="0092024D" w:rsidP="00245718">
      <w:pPr>
        <w:ind w:left="360"/>
        <w:rPr>
          <w:u w:val="dotted"/>
        </w:rPr>
      </w:pPr>
      <w:r w:rsidRPr="0092024D">
        <w:rPr>
          <w:rFonts w:hint="cs"/>
          <w:u w:val="dotted"/>
          <w:rtl/>
        </w:rPr>
        <w:t xml:space="preserve">בושת </w:t>
      </w:r>
      <w:r w:rsidR="00245718">
        <w:rPr>
          <w:rFonts w:hint="cs"/>
          <w:u w:val="dotted"/>
          <w:rtl/>
        </w:rPr>
        <w:t>ונזק</w:t>
      </w:r>
      <w:r w:rsidRPr="0092024D">
        <w:rPr>
          <w:rFonts w:hint="cs"/>
          <w:u w:val="dotted"/>
          <w:rtl/>
        </w:rPr>
        <w:t>:</w:t>
      </w:r>
    </w:p>
    <w:p w14:paraId="7BABF16A" w14:textId="0E0D4C6E" w:rsidR="006E41FE" w:rsidRDefault="006E41FE" w:rsidP="009000E3">
      <w:pPr>
        <w:pStyle w:val="ab"/>
        <w:numPr>
          <w:ilvl w:val="0"/>
          <w:numId w:val="47"/>
        </w:numPr>
      </w:pPr>
      <w:r>
        <w:rPr>
          <w:rFonts w:cs="Arial" w:hint="cs"/>
          <w:rtl/>
        </w:rPr>
        <w:t xml:space="preserve">רמב"ם </w:t>
      </w:r>
      <w:r>
        <w:rPr>
          <w:rFonts w:cs="Arial" w:hint="cs"/>
          <w:sz w:val="16"/>
          <w:szCs w:val="16"/>
          <w:rtl/>
        </w:rPr>
        <w:t>(פ"ד מחובל ומזיק הט"ו)</w:t>
      </w:r>
      <w:r w:rsidR="00245718">
        <w:rPr>
          <w:rFonts w:cs="Arial" w:hint="cs"/>
          <w:rtl/>
        </w:rPr>
        <w:t xml:space="preserve"> וטור</w:t>
      </w:r>
      <w:r>
        <w:rPr>
          <w:rFonts w:cs="Arial" w:hint="cs"/>
          <w:rtl/>
        </w:rPr>
        <w:t xml:space="preserve">- </w:t>
      </w:r>
      <w:r>
        <w:rPr>
          <w:rFonts w:cs="Arial"/>
          <w:rtl/>
        </w:rPr>
        <w:t>הבושת והנזק אם בגלוי הוא</w:t>
      </w:r>
      <w:r w:rsidR="00245718">
        <w:rPr>
          <w:rFonts w:cs="Arial" w:hint="cs"/>
          <w:rtl/>
        </w:rPr>
        <w:t>,</w:t>
      </w:r>
      <w:r>
        <w:rPr>
          <w:rFonts w:cs="Arial"/>
          <w:rtl/>
        </w:rPr>
        <w:t xml:space="preserve"> כגון שחבל בפניה ובצוארה או בידיה וזרועותיה </w:t>
      </w:r>
      <w:r w:rsidR="00245718">
        <w:rPr>
          <w:rFonts w:cs="Arial" w:hint="cs"/>
          <w:rtl/>
        </w:rPr>
        <w:t xml:space="preserve">- </w:t>
      </w:r>
      <w:r>
        <w:rPr>
          <w:rFonts w:cs="Arial"/>
          <w:rtl/>
        </w:rPr>
        <w:t>השליש שלה ושני שלישים לבעל</w:t>
      </w:r>
      <w:r w:rsidR="005F5A34">
        <w:rPr>
          <w:rFonts w:cs="Arial" w:hint="cs"/>
          <w:rtl/>
        </w:rPr>
        <w:t>.</w:t>
      </w:r>
      <w:r>
        <w:rPr>
          <w:rFonts w:cs="Arial"/>
          <w:rtl/>
        </w:rPr>
        <w:t xml:space="preserve"> ואם בסתר הוא הנזק</w:t>
      </w:r>
      <w:r w:rsidR="00245718">
        <w:rPr>
          <w:rFonts w:cs="Arial" w:hint="cs"/>
          <w:rtl/>
        </w:rPr>
        <w:t xml:space="preserve"> -</w:t>
      </w:r>
      <w:r>
        <w:rPr>
          <w:rFonts w:cs="Arial"/>
          <w:rtl/>
        </w:rPr>
        <w:t xml:space="preserve"> השליש לבעל ושני שלישים לאשה</w:t>
      </w:r>
      <w:r w:rsidR="00245718">
        <w:rPr>
          <w:rFonts w:cs="Arial" w:hint="cs"/>
          <w:rtl/>
        </w:rPr>
        <w:t>.</w:t>
      </w:r>
      <w:r>
        <w:rPr>
          <w:rFonts w:cs="Arial"/>
          <w:rtl/>
        </w:rPr>
        <w:t xml:space="preserve"> של בעל נותנין לו מיד</w:t>
      </w:r>
      <w:r w:rsidR="00245718">
        <w:rPr>
          <w:rFonts w:cs="Arial" w:hint="cs"/>
          <w:rtl/>
        </w:rPr>
        <w:t>,</w:t>
      </w:r>
      <w:r>
        <w:rPr>
          <w:rFonts w:cs="Arial"/>
          <w:rtl/>
        </w:rPr>
        <w:t xml:space="preserve"> ושל אשה ילקח בהן קרקע והבעל אוכל פירות</w:t>
      </w:r>
      <w:r w:rsidR="00245718">
        <w:rPr>
          <w:rFonts w:cs="Arial" w:hint="cs"/>
          <w:sz w:val="16"/>
          <w:szCs w:val="16"/>
          <w:rtl/>
        </w:rPr>
        <w:t xml:space="preserve"> (ל' הרמב"ם)</w:t>
      </w:r>
      <w:r>
        <w:rPr>
          <w:rFonts w:cs="Arial"/>
          <w:rtl/>
        </w:rPr>
        <w:t>.</w:t>
      </w:r>
      <w:r w:rsidR="00D06CE2" w:rsidRPr="00D06CE2">
        <w:rPr>
          <w:rFonts w:hint="cs"/>
          <w:color w:val="E36C0A" w:themeColor="accent6" w:themeShade="BF"/>
          <w:rtl/>
        </w:rPr>
        <w:t xml:space="preserve"> </w:t>
      </w:r>
      <w:r w:rsidR="00D06CE2" w:rsidRPr="007B430E">
        <w:rPr>
          <w:rFonts w:hint="cs"/>
          <w:color w:val="E36C0A" w:themeColor="accent6" w:themeShade="BF"/>
          <w:rtl/>
        </w:rPr>
        <w:t>(וכ"פ בשו"ע)</w:t>
      </w:r>
    </w:p>
    <w:p w14:paraId="68A10D28" w14:textId="77777777" w:rsidR="005E62CB" w:rsidRPr="005E62CB" w:rsidRDefault="005E62CB" w:rsidP="005E62CB">
      <w:pPr>
        <w:ind w:left="360"/>
        <w:rPr>
          <w:u w:val="dotted"/>
        </w:rPr>
      </w:pPr>
      <w:r w:rsidRPr="005E62CB">
        <w:rPr>
          <w:rFonts w:hint="cs"/>
          <w:u w:val="dotted"/>
          <w:rtl/>
        </w:rPr>
        <w:t xml:space="preserve">האם יש הבדל </w:t>
      </w:r>
      <w:r>
        <w:rPr>
          <w:rFonts w:hint="cs"/>
          <w:u w:val="dotted"/>
          <w:rtl/>
        </w:rPr>
        <w:t xml:space="preserve">בכל הנ"ל </w:t>
      </w:r>
      <w:r w:rsidRPr="005E62CB">
        <w:rPr>
          <w:rFonts w:hint="cs"/>
          <w:u w:val="dotted"/>
          <w:rtl/>
        </w:rPr>
        <w:t>בין שאחר חבל בה לבין שבעלה חבל בה:</w:t>
      </w:r>
    </w:p>
    <w:p w14:paraId="05829B1D" w14:textId="1C08EA18" w:rsidR="005E62CB" w:rsidRPr="004C5E9C" w:rsidRDefault="006E41FE" w:rsidP="009000E3">
      <w:pPr>
        <w:pStyle w:val="ab"/>
        <w:numPr>
          <w:ilvl w:val="0"/>
          <w:numId w:val="47"/>
        </w:numPr>
      </w:pPr>
      <w:r>
        <w:rPr>
          <w:rFonts w:cs="Arial" w:hint="cs"/>
          <w:rtl/>
        </w:rPr>
        <w:lastRenderedPageBreak/>
        <w:t xml:space="preserve">רמב"ם </w:t>
      </w:r>
      <w:r>
        <w:rPr>
          <w:rFonts w:cs="Arial" w:hint="cs"/>
          <w:sz w:val="16"/>
          <w:szCs w:val="16"/>
          <w:rtl/>
        </w:rPr>
        <w:t>(פ"ד מחובל ומזיק הט"ז)</w:t>
      </w:r>
      <w:r>
        <w:rPr>
          <w:rFonts w:cs="Arial" w:hint="cs"/>
          <w:rtl/>
        </w:rPr>
        <w:t xml:space="preserve">- </w:t>
      </w:r>
      <w:r>
        <w:rPr>
          <w:rFonts w:cs="Arial"/>
          <w:rtl/>
        </w:rPr>
        <w:t>במה דברים אמורים בשחבלו בה אחרים</w:t>
      </w:r>
      <w:r w:rsidR="00245718">
        <w:rPr>
          <w:rFonts w:cs="Arial" w:hint="cs"/>
          <w:rtl/>
        </w:rPr>
        <w:t>,</w:t>
      </w:r>
      <w:r>
        <w:rPr>
          <w:rFonts w:cs="Arial"/>
          <w:rtl/>
        </w:rPr>
        <w:t xml:space="preserve"> אבל הבעל שחבל באשתו </w:t>
      </w:r>
      <w:r w:rsidR="00245718">
        <w:rPr>
          <w:rFonts w:cs="Arial" w:hint="cs"/>
          <w:rtl/>
        </w:rPr>
        <w:t xml:space="preserve">- </w:t>
      </w:r>
      <w:r>
        <w:rPr>
          <w:rFonts w:cs="Arial"/>
          <w:rtl/>
        </w:rPr>
        <w:t>חייב לשלם לה מיד כל הנזק והצער וכל הבושת</w:t>
      </w:r>
      <w:r w:rsidR="00245718">
        <w:rPr>
          <w:rFonts w:cs="Arial" w:hint="cs"/>
          <w:rtl/>
        </w:rPr>
        <w:t>,</w:t>
      </w:r>
      <w:r>
        <w:rPr>
          <w:rFonts w:cs="Arial"/>
          <w:rtl/>
        </w:rPr>
        <w:t xml:space="preserve"> והכל שלה ואין לבעל בהן פירות</w:t>
      </w:r>
      <w:r w:rsidR="00D06CE2">
        <w:rPr>
          <w:rStyle w:val="a7"/>
          <w:rFonts w:cs="Arial"/>
          <w:rtl/>
        </w:rPr>
        <w:footnoteReference w:id="814"/>
      </w:r>
      <w:r>
        <w:rPr>
          <w:rFonts w:cs="Arial"/>
          <w:rtl/>
        </w:rPr>
        <w:t xml:space="preserve">, ואם רצתה ליתן הדמים לאחר </w:t>
      </w:r>
      <w:r w:rsidR="00245718">
        <w:rPr>
          <w:rFonts w:cs="Arial" w:hint="cs"/>
          <w:rtl/>
        </w:rPr>
        <w:t xml:space="preserve">- </w:t>
      </w:r>
      <w:r>
        <w:rPr>
          <w:rFonts w:cs="Arial"/>
          <w:rtl/>
        </w:rPr>
        <w:t>נותנת, וכזה הורו הגאונים, והבעל מרפא אותה כדרך שמרפא כל חליה</w:t>
      </w:r>
      <w:r w:rsidR="005E62CB">
        <w:rPr>
          <w:rFonts w:cs="Arial" w:hint="cs"/>
          <w:rtl/>
        </w:rPr>
        <w:t>.</w:t>
      </w:r>
      <w:r w:rsidR="005E62CB" w:rsidRPr="006265B1">
        <w:rPr>
          <w:rFonts w:cs="Arial"/>
          <w:rtl/>
        </w:rPr>
        <w:t xml:space="preserve"> </w:t>
      </w:r>
      <w:r w:rsidR="00D06CE2" w:rsidRPr="007B430E">
        <w:rPr>
          <w:rFonts w:hint="cs"/>
          <w:color w:val="E36C0A" w:themeColor="accent6" w:themeShade="BF"/>
          <w:rtl/>
        </w:rPr>
        <w:t>(וכ"פ בשו"ע)</w:t>
      </w:r>
    </w:p>
    <w:p w14:paraId="4AB7EB33" w14:textId="3B41CF70" w:rsidR="00245718" w:rsidRPr="006E41FE" w:rsidRDefault="006E41FE" w:rsidP="009000E3">
      <w:pPr>
        <w:pStyle w:val="ab"/>
        <w:numPr>
          <w:ilvl w:val="0"/>
          <w:numId w:val="47"/>
        </w:numPr>
      </w:pPr>
      <w:r>
        <w:rPr>
          <w:rFonts w:cs="Arial"/>
          <w:rtl/>
        </w:rPr>
        <w:t>ראב"ד</w:t>
      </w:r>
      <w:r w:rsidR="003601A4">
        <w:rPr>
          <w:rStyle w:val="a7"/>
          <w:rFonts w:cs="Arial"/>
          <w:rtl/>
        </w:rPr>
        <w:footnoteReference w:id="815"/>
      </w:r>
      <w:r>
        <w:rPr>
          <w:rFonts w:cs="Arial" w:hint="cs"/>
          <w:rtl/>
        </w:rPr>
        <w:t xml:space="preserve"> </w:t>
      </w:r>
      <w:r>
        <w:rPr>
          <w:rFonts w:cs="Arial" w:hint="cs"/>
          <w:sz w:val="16"/>
          <w:szCs w:val="16"/>
          <w:rtl/>
        </w:rPr>
        <w:t>(בהשגות שם)</w:t>
      </w:r>
      <w:r w:rsidR="00302DD6">
        <w:rPr>
          <w:rFonts w:cs="Arial" w:hint="cs"/>
          <w:rtl/>
        </w:rPr>
        <w:t xml:space="preserve"> וטור </w:t>
      </w:r>
      <w:r w:rsidR="00302DD6">
        <w:rPr>
          <w:rFonts w:cs="Arial" w:hint="cs"/>
          <w:sz w:val="16"/>
          <w:szCs w:val="16"/>
          <w:rtl/>
        </w:rPr>
        <w:t xml:space="preserve">(סי' פה </w:t>
      </w:r>
      <w:r w:rsidR="003601A4">
        <w:rPr>
          <w:rFonts w:cs="Arial" w:hint="cs"/>
          <w:sz w:val="16"/>
          <w:szCs w:val="16"/>
          <w:rtl/>
        </w:rPr>
        <w:t>סי"א)</w:t>
      </w:r>
      <w:r>
        <w:rPr>
          <w:rFonts w:cs="Arial" w:hint="cs"/>
          <w:rtl/>
        </w:rPr>
        <w:t>-</w:t>
      </w:r>
      <w:r>
        <w:rPr>
          <w:rFonts w:cs="Arial"/>
          <w:rtl/>
        </w:rPr>
        <w:t xml:space="preserve"> </w:t>
      </w:r>
      <w:r w:rsidR="003601A4" w:rsidRPr="007A228B">
        <w:rPr>
          <w:rFonts w:cs="Arial"/>
          <w:rtl/>
        </w:rPr>
        <w:t>כתבו הגאונים הבעל שחבל באשתו שמתחייב לה חלקה</w:t>
      </w:r>
      <w:r w:rsidR="00E51D02">
        <w:rPr>
          <w:rStyle w:val="a7"/>
          <w:rFonts w:cs="Arial"/>
          <w:rtl/>
        </w:rPr>
        <w:footnoteReference w:id="816"/>
      </w:r>
      <w:r w:rsidR="003601A4" w:rsidRPr="007A228B">
        <w:rPr>
          <w:rFonts w:cs="Arial"/>
          <w:rtl/>
        </w:rPr>
        <w:t xml:space="preserve"> בבושתה ובפגמה</w:t>
      </w:r>
      <w:r w:rsidR="00590288">
        <w:rPr>
          <w:rFonts w:cs="Arial" w:hint="cs"/>
          <w:rtl/>
        </w:rPr>
        <w:t>,</w:t>
      </w:r>
      <w:r w:rsidR="003601A4" w:rsidRPr="007A228B">
        <w:rPr>
          <w:rFonts w:cs="Arial"/>
          <w:rtl/>
        </w:rPr>
        <w:t xml:space="preserve"> קנסו אותו שאין לו בו כלום ואינו אוכל פירותיהם</w:t>
      </w:r>
      <w:r w:rsidR="003601A4">
        <w:rPr>
          <w:rFonts w:cs="Arial" w:hint="cs"/>
          <w:rtl/>
        </w:rPr>
        <w:t xml:space="preserve"> </w:t>
      </w:r>
      <w:r w:rsidR="003601A4">
        <w:rPr>
          <w:rFonts w:cs="Arial" w:hint="cs"/>
          <w:sz w:val="16"/>
          <w:szCs w:val="16"/>
          <w:rtl/>
        </w:rPr>
        <w:t>(ל' הטור)</w:t>
      </w:r>
      <w:r>
        <w:rPr>
          <w:rFonts w:cs="Arial" w:hint="cs"/>
          <w:rtl/>
        </w:rPr>
        <w:t>.</w:t>
      </w:r>
    </w:p>
    <w:p w14:paraId="0A25F80A" w14:textId="77777777" w:rsidR="005E62CB" w:rsidRPr="005E62CB" w:rsidRDefault="005E62CB" w:rsidP="005E62CB">
      <w:pPr>
        <w:ind w:left="360"/>
        <w:rPr>
          <w:u w:val="dotted"/>
        </w:rPr>
      </w:pPr>
      <w:r w:rsidRPr="005E62CB">
        <w:rPr>
          <w:rFonts w:hint="cs"/>
          <w:u w:val="dotted"/>
          <w:rtl/>
        </w:rPr>
        <w:t>האם יכולה האשה למחול למכה:</w:t>
      </w:r>
    </w:p>
    <w:p w14:paraId="4DC3ADDB" w14:textId="266CCCBA" w:rsidR="00B122B0" w:rsidRPr="004C5E9C" w:rsidRDefault="00B122B0" w:rsidP="009000E3">
      <w:pPr>
        <w:pStyle w:val="ab"/>
        <w:numPr>
          <w:ilvl w:val="0"/>
          <w:numId w:val="47"/>
        </w:numPr>
      </w:pPr>
      <w:r>
        <w:rPr>
          <w:rFonts w:cs="Arial" w:hint="cs"/>
          <w:rtl/>
        </w:rPr>
        <w:t xml:space="preserve">רא"ש </w:t>
      </w:r>
      <w:r>
        <w:rPr>
          <w:rFonts w:cs="Arial" w:hint="cs"/>
          <w:sz w:val="16"/>
          <w:szCs w:val="16"/>
          <w:rtl/>
        </w:rPr>
        <w:t>(כלל מ סי' א)</w:t>
      </w:r>
      <w:r>
        <w:rPr>
          <w:rFonts w:cs="Arial" w:hint="cs"/>
          <w:rtl/>
        </w:rPr>
        <w:t xml:space="preserve"> ו</w:t>
      </w:r>
      <w:r w:rsidR="005E62CB">
        <w:rPr>
          <w:rFonts w:cs="Arial" w:hint="cs"/>
          <w:rtl/>
        </w:rPr>
        <w:t>טור-</w:t>
      </w:r>
      <w:r w:rsidR="005E62CB" w:rsidRPr="006265B1">
        <w:rPr>
          <w:rFonts w:cs="Arial"/>
          <w:rtl/>
        </w:rPr>
        <w:t xml:space="preserve"> אינה יכולה למחול לא על חלקה ולא על חלקו</w:t>
      </w:r>
      <w:r w:rsidR="005E62CB">
        <w:rPr>
          <w:rFonts w:cs="Arial" w:hint="cs"/>
          <w:rtl/>
        </w:rPr>
        <w:t>,</w:t>
      </w:r>
      <w:r w:rsidR="005E62CB" w:rsidRPr="006265B1">
        <w:rPr>
          <w:rFonts w:cs="Arial"/>
          <w:rtl/>
        </w:rPr>
        <w:t xml:space="preserve"> ואם מחלה אינה מחילה</w:t>
      </w:r>
      <w:r>
        <w:rPr>
          <w:rStyle w:val="a7"/>
          <w:rFonts w:cs="Arial"/>
          <w:rtl/>
        </w:rPr>
        <w:footnoteReference w:id="817"/>
      </w:r>
      <w:r w:rsidR="005E62CB">
        <w:rPr>
          <w:rFonts w:cs="Arial" w:hint="cs"/>
          <w:rtl/>
        </w:rPr>
        <w:t>.</w:t>
      </w:r>
      <w:r w:rsidR="005E62CB" w:rsidRPr="006265B1">
        <w:rPr>
          <w:rFonts w:cs="Arial"/>
          <w:rtl/>
        </w:rPr>
        <w:t xml:space="preserve"> ומ"מ אינו יכול לתובעו אלא בהרשאתה</w:t>
      </w:r>
      <w:r w:rsidR="006F3843">
        <w:rPr>
          <w:rStyle w:val="a7"/>
          <w:rFonts w:cs="Arial"/>
          <w:rtl/>
        </w:rPr>
        <w:footnoteReference w:id="818"/>
      </w:r>
      <w:r w:rsidR="00D06CE2">
        <w:rPr>
          <w:rFonts w:cs="Arial" w:hint="cs"/>
          <w:sz w:val="16"/>
          <w:szCs w:val="16"/>
          <w:rtl/>
        </w:rPr>
        <w:t xml:space="preserve"> (ל' הטור)</w:t>
      </w:r>
      <w:r w:rsidR="005E62CB">
        <w:rPr>
          <w:rFonts w:cs="Arial" w:hint="cs"/>
          <w:rtl/>
        </w:rPr>
        <w:t>.</w:t>
      </w:r>
      <w:r w:rsidR="00D06CE2">
        <w:rPr>
          <w:rFonts w:hint="cs"/>
          <w:color w:val="E36C0A" w:themeColor="accent6" w:themeShade="BF"/>
          <w:rtl/>
        </w:rPr>
        <w:t xml:space="preserve"> </w:t>
      </w:r>
      <w:r w:rsidR="00D06CE2" w:rsidRPr="007B430E">
        <w:rPr>
          <w:rFonts w:hint="cs"/>
          <w:color w:val="E36C0A" w:themeColor="accent6" w:themeShade="BF"/>
          <w:rtl/>
        </w:rPr>
        <w:t>(וכ"פ בשו"ע)</w:t>
      </w:r>
    </w:p>
    <w:p w14:paraId="0791B69C" w14:textId="149146F8" w:rsidR="0092024D" w:rsidRPr="005E62CB" w:rsidRDefault="005E62CB" w:rsidP="005E62CB">
      <w:pPr>
        <w:rPr>
          <w:u w:val="single"/>
        </w:rPr>
      </w:pPr>
      <w:r w:rsidRPr="005E62CB">
        <w:rPr>
          <w:rFonts w:hint="cs"/>
          <w:u w:val="single"/>
          <w:rtl/>
        </w:rPr>
        <w:t>אשת איש ש</w:t>
      </w:r>
      <w:r w:rsidR="0092024D" w:rsidRPr="005E62CB">
        <w:rPr>
          <w:rFonts w:hint="cs"/>
          <w:u w:val="single"/>
          <w:rtl/>
        </w:rPr>
        <w:t>חר</w:t>
      </w:r>
      <w:r w:rsidRPr="005E62CB">
        <w:rPr>
          <w:rFonts w:hint="cs"/>
          <w:u w:val="single"/>
          <w:rtl/>
        </w:rPr>
        <w:t xml:space="preserve">פו </w:t>
      </w:r>
      <w:r w:rsidR="0092024D" w:rsidRPr="005E62CB">
        <w:rPr>
          <w:rFonts w:hint="cs"/>
          <w:u w:val="single"/>
          <w:rtl/>
        </w:rPr>
        <w:t>אותה בדברים:</w:t>
      </w:r>
    </w:p>
    <w:p w14:paraId="53A3C7D6" w14:textId="69E77AEF" w:rsidR="006265B1" w:rsidRPr="00315DDC" w:rsidRDefault="0092024D" w:rsidP="009000E3">
      <w:pPr>
        <w:pStyle w:val="ab"/>
        <w:numPr>
          <w:ilvl w:val="0"/>
          <w:numId w:val="47"/>
        </w:numPr>
        <w:rPr>
          <w:rtl/>
        </w:rPr>
      </w:pPr>
      <w:r>
        <w:rPr>
          <w:rFonts w:cs="Arial" w:hint="cs"/>
          <w:rtl/>
        </w:rPr>
        <w:t xml:space="preserve">טור- </w:t>
      </w:r>
      <w:r w:rsidR="006265B1" w:rsidRPr="006265B1">
        <w:rPr>
          <w:rFonts w:cs="Arial"/>
          <w:rtl/>
        </w:rPr>
        <w:t>וכן אם חירף אותה שום אדם בדברים</w:t>
      </w:r>
      <w:r w:rsidR="004C5E9C">
        <w:rPr>
          <w:rFonts w:cs="Arial" w:hint="cs"/>
          <w:rtl/>
        </w:rPr>
        <w:t>,</w:t>
      </w:r>
      <w:r w:rsidR="006265B1" w:rsidRPr="006265B1">
        <w:rPr>
          <w:rFonts w:cs="Arial"/>
          <w:rtl/>
        </w:rPr>
        <w:t xml:space="preserve"> בגלוי לו שני חלקים</w:t>
      </w:r>
      <w:r w:rsidR="004C5E9C">
        <w:rPr>
          <w:rFonts w:cs="Arial" w:hint="cs"/>
          <w:rtl/>
        </w:rPr>
        <w:t>,</w:t>
      </w:r>
      <w:r w:rsidR="006265B1" w:rsidRPr="006265B1">
        <w:rPr>
          <w:rFonts w:cs="Arial"/>
          <w:rtl/>
        </w:rPr>
        <w:t xml:space="preserve"> ולה</w:t>
      </w:r>
      <w:r w:rsidR="004C5E9C">
        <w:rPr>
          <w:rFonts w:cs="Arial" w:hint="cs"/>
          <w:rtl/>
        </w:rPr>
        <w:t xml:space="preserve"> </w:t>
      </w:r>
      <w:r w:rsidR="006265B1" w:rsidRPr="006265B1">
        <w:rPr>
          <w:rFonts w:cs="Arial"/>
          <w:rtl/>
        </w:rPr>
        <w:t>חלק אחד</w:t>
      </w:r>
      <w:r>
        <w:rPr>
          <w:rFonts w:cs="Arial" w:hint="cs"/>
          <w:rtl/>
        </w:rPr>
        <w:t>,</w:t>
      </w:r>
      <w:r w:rsidR="006265B1" w:rsidRPr="006265B1">
        <w:rPr>
          <w:rFonts w:cs="Arial"/>
          <w:rtl/>
        </w:rPr>
        <w:t xml:space="preserve"> ואם חרפה בסתר </w:t>
      </w:r>
      <w:r w:rsidR="004C5E9C">
        <w:rPr>
          <w:rFonts w:cs="Arial" w:hint="cs"/>
          <w:rtl/>
        </w:rPr>
        <w:t xml:space="preserve">- </w:t>
      </w:r>
      <w:r w:rsidR="006265B1" w:rsidRPr="006265B1">
        <w:rPr>
          <w:rFonts w:cs="Arial"/>
          <w:rtl/>
        </w:rPr>
        <w:t>לה שני חלקים ולו חלק א'</w:t>
      </w:r>
      <w:r w:rsidR="00755AE8">
        <w:rPr>
          <w:rStyle w:val="a7"/>
          <w:rFonts w:cs="Arial"/>
          <w:rtl/>
        </w:rPr>
        <w:footnoteReference w:id="819"/>
      </w:r>
      <w:r w:rsidR="004C5E9C">
        <w:rPr>
          <w:rFonts w:cs="Arial" w:hint="cs"/>
          <w:rtl/>
        </w:rPr>
        <w:t>.</w:t>
      </w:r>
    </w:p>
    <w:p w14:paraId="34128F82"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1B0FA500" w14:textId="6B5789FE" w:rsidR="000D2069" w:rsidRDefault="000D2069" w:rsidP="000D2069">
      <w:pPr>
        <w:rPr>
          <w:rtl/>
        </w:rPr>
      </w:pPr>
      <w:r>
        <w:rPr>
          <w:rFonts w:cs="Arial"/>
          <w:rtl/>
        </w:rPr>
        <w:t>החובל באשת איש, השבת</w:t>
      </w:r>
      <w:r w:rsidR="00905EA4">
        <w:rPr>
          <w:rStyle w:val="a7"/>
          <w:rFonts w:cs="Arial"/>
          <w:rtl/>
        </w:rPr>
        <w:footnoteReference w:id="820"/>
      </w:r>
      <w:r>
        <w:rPr>
          <w:rFonts w:cs="Arial"/>
          <w:rtl/>
        </w:rPr>
        <w:t xml:space="preserve"> והריפוי</w:t>
      </w:r>
      <w:r w:rsidR="00B5155B">
        <w:rPr>
          <w:rStyle w:val="a7"/>
          <w:rFonts w:cs="Arial"/>
          <w:rtl/>
        </w:rPr>
        <w:footnoteReference w:id="821"/>
      </w:r>
      <w:r>
        <w:rPr>
          <w:rFonts w:cs="Arial"/>
          <w:rtl/>
        </w:rPr>
        <w:t xml:space="preserve"> לבעלה</w:t>
      </w:r>
      <w:r w:rsidR="00315DDC">
        <w:rPr>
          <w:rFonts w:cs="Arial" w:hint="cs"/>
          <w:rtl/>
        </w:rPr>
        <w:t>.</w:t>
      </w:r>
      <w:r>
        <w:rPr>
          <w:rFonts w:cs="Arial"/>
          <w:rtl/>
        </w:rPr>
        <w:t xml:space="preserve"> והצער, שלה</w:t>
      </w:r>
      <w:r w:rsidR="00B5155B">
        <w:rPr>
          <w:rStyle w:val="a7"/>
          <w:rFonts w:cs="Arial"/>
          <w:rtl/>
        </w:rPr>
        <w:footnoteReference w:id="822"/>
      </w:r>
      <w:r w:rsidR="00315DDC">
        <w:rPr>
          <w:rFonts w:cs="Arial" w:hint="cs"/>
          <w:rtl/>
        </w:rPr>
        <w:t>.</w:t>
      </w:r>
      <w:r>
        <w:rPr>
          <w:rFonts w:cs="Arial"/>
          <w:rtl/>
        </w:rPr>
        <w:t xml:space="preserve"> והבשת והנזק, אם בגלוי הוא, כגון שחבל בפניה ובצוארה או בידה וזרועותיה, השליש שלה</w:t>
      </w:r>
      <w:r w:rsidR="00315DDC">
        <w:rPr>
          <w:rFonts w:cs="Arial" w:hint="cs"/>
          <w:rtl/>
        </w:rPr>
        <w:t>,</w:t>
      </w:r>
      <w:r>
        <w:rPr>
          <w:rFonts w:cs="Arial"/>
          <w:rtl/>
        </w:rPr>
        <w:t xml:space="preserve"> ושני שלישים לבעל</w:t>
      </w:r>
      <w:r w:rsidR="00315DDC">
        <w:rPr>
          <w:rFonts w:cs="Arial" w:hint="cs"/>
          <w:rtl/>
        </w:rPr>
        <w:t>.</w:t>
      </w:r>
      <w:r>
        <w:rPr>
          <w:rFonts w:cs="Arial"/>
          <w:rtl/>
        </w:rPr>
        <w:t xml:space="preserve"> ואם בסתר הוא הנזק, השליש לבעל ו</w:t>
      </w:r>
      <w:r w:rsidR="00315DDC">
        <w:rPr>
          <w:rFonts w:cs="Arial" w:hint="cs"/>
          <w:rtl/>
        </w:rPr>
        <w:t>שני</w:t>
      </w:r>
      <w:r>
        <w:rPr>
          <w:rFonts w:cs="Arial"/>
          <w:rtl/>
        </w:rPr>
        <w:t xml:space="preserve"> שלישים לאשה. של בעל, נותנין לו מיד</w:t>
      </w:r>
      <w:r w:rsidR="00315DDC">
        <w:rPr>
          <w:rFonts w:cs="Arial" w:hint="cs"/>
          <w:rtl/>
        </w:rPr>
        <w:t>.</w:t>
      </w:r>
      <w:r>
        <w:rPr>
          <w:rFonts w:cs="Arial"/>
          <w:rtl/>
        </w:rPr>
        <w:t xml:space="preserve"> ושל אשה, ילקח בהם קרקע והבעל אוכל פירות</w:t>
      </w:r>
      <w:r w:rsidR="00A435CA">
        <w:rPr>
          <w:rStyle w:val="a7"/>
          <w:rFonts w:cs="Arial"/>
          <w:rtl/>
        </w:rPr>
        <w:footnoteReference w:id="823"/>
      </w:r>
      <w:r>
        <w:rPr>
          <w:rFonts w:cs="Arial"/>
          <w:rtl/>
        </w:rPr>
        <w:t>. ואינה יכולה למחול, לא על חלקו ולא על חלקה</w:t>
      </w:r>
      <w:r w:rsidR="00A435CA">
        <w:rPr>
          <w:rStyle w:val="a7"/>
          <w:rFonts w:cs="Arial"/>
          <w:rtl/>
        </w:rPr>
        <w:footnoteReference w:id="824"/>
      </w:r>
      <w:r w:rsidR="00315DDC">
        <w:rPr>
          <w:rFonts w:cs="Arial" w:hint="cs"/>
          <w:rtl/>
        </w:rPr>
        <w:t>.</w:t>
      </w:r>
      <w:r>
        <w:rPr>
          <w:rFonts w:cs="Arial"/>
          <w:rtl/>
        </w:rPr>
        <w:t xml:space="preserve"> ואם מחלה, אינה מחילה, ומ</w:t>
      </w:r>
      <w:r w:rsidR="00315DDC">
        <w:rPr>
          <w:rFonts w:cs="Arial" w:hint="cs"/>
          <w:rtl/>
        </w:rPr>
        <w:t xml:space="preserve">כל </w:t>
      </w:r>
      <w:r>
        <w:rPr>
          <w:rFonts w:cs="Arial"/>
          <w:rtl/>
        </w:rPr>
        <w:t>מ</w:t>
      </w:r>
      <w:r w:rsidR="00315DDC">
        <w:rPr>
          <w:rFonts w:cs="Arial" w:hint="cs"/>
          <w:rtl/>
        </w:rPr>
        <w:t>קום</w:t>
      </w:r>
      <w:r>
        <w:rPr>
          <w:rFonts w:cs="Arial"/>
          <w:rtl/>
        </w:rPr>
        <w:t xml:space="preserve"> אינו יכול לתבוע חלקה אלא בהרשאתה</w:t>
      </w:r>
      <w:r w:rsidR="00211973">
        <w:rPr>
          <w:rStyle w:val="a7"/>
          <w:rFonts w:cs="Arial"/>
          <w:rtl/>
        </w:rPr>
        <w:footnoteReference w:id="825"/>
      </w:r>
      <w:r>
        <w:rPr>
          <w:rFonts w:cs="Arial"/>
          <w:rtl/>
        </w:rPr>
        <w:t>. ב</w:t>
      </w:r>
      <w:r w:rsidR="00315DDC">
        <w:rPr>
          <w:rFonts w:cs="Arial" w:hint="cs"/>
          <w:rtl/>
        </w:rPr>
        <w:t xml:space="preserve">מה דברים </w:t>
      </w:r>
      <w:r w:rsidR="00315DDC">
        <w:rPr>
          <w:rFonts w:cs="Arial" w:hint="cs"/>
          <w:rtl/>
        </w:rPr>
        <w:lastRenderedPageBreak/>
        <w:t>אמורים</w:t>
      </w:r>
      <w:r>
        <w:rPr>
          <w:rFonts w:cs="Arial"/>
          <w:rtl/>
        </w:rPr>
        <w:t>, כשחבלו בה אחרים, אבל הבעל שחבל באשתו חייב לשלם לה מיד כל הנזק וכל הבשת והצער</w:t>
      </w:r>
      <w:r w:rsidR="00500A1A">
        <w:rPr>
          <w:rStyle w:val="a7"/>
          <w:rFonts w:cs="Arial"/>
          <w:rtl/>
        </w:rPr>
        <w:footnoteReference w:id="826"/>
      </w:r>
      <w:r>
        <w:rPr>
          <w:rFonts w:cs="Arial"/>
          <w:rtl/>
        </w:rPr>
        <w:t>, והכל שלה, ואין לבעל בהם פירות. ואם רצתה ליתן הדמים לאחר, נותנת</w:t>
      </w:r>
      <w:r w:rsidR="00500A1A">
        <w:rPr>
          <w:rStyle w:val="a7"/>
          <w:rFonts w:cs="Arial"/>
          <w:rtl/>
        </w:rPr>
        <w:footnoteReference w:id="827"/>
      </w:r>
      <w:r w:rsidR="00460A3F">
        <w:rPr>
          <w:rFonts w:cs="Arial" w:hint="cs"/>
          <w:rtl/>
        </w:rPr>
        <w:t>.</w:t>
      </w:r>
      <w:r>
        <w:rPr>
          <w:rFonts w:cs="Arial"/>
          <w:rtl/>
        </w:rPr>
        <w:t xml:space="preserve"> והבעל מרפא אותה כדרך שמרפא כל חוליה. </w:t>
      </w:r>
      <w:r w:rsidRPr="00315DDC">
        <w:rPr>
          <w:rFonts w:cs="Arial"/>
          <w:sz w:val="18"/>
          <w:szCs w:val="18"/>
          <w:rtl/>
        </w:rPr>
        <w:t>הגה: חירף אותה שום אדם בדברים, אף על פי שהמבייש בדברים פטור, אם פייסוה בממון (ד"ע), אם חרפוה בגלוי</w:t>
      </w:r>
      <w:r w:rsidR="00500A1A">
        <w:rPr>
          <w:rStyle w:val="a7"/>
          <w:rFonts w:cs="Arial"/>
          <w:sz w:val="18"/>
          <w:szCs w:val="18"/>
          <w:rtl/>
        </w:rPr>
        <w:footnoteReference w:id="828"/>
      </w:r>
      <w:r w:rsidRPr="00315DDC">
        <w:rPr>
          <w:rFonts w:cs="Arial"/>
          <w:sz w:val="18"/>
          <w:szCs w:val="18"/>
          <w:rtl/>
        </w:rPr>
        <w:t xml:space="preserve"> לו ב' חלקים ולה חלק א'</w:t>
      </w:r>
      <w:r w:rsidR="00460A3F">
        <w:rPr>
          <w:rFonts w:cs="Arial" w:hint="cs"/>
          <w:sz w:val="18"/>
          <w:szCs w:val="18"/>
          <w:rtl/>
        </w:rPr>
        <w:t>,</w:t>
      </w:r>
      <w:r w:rsidRPr="00315DDC">
        <w:rPr>
          <w:rFonts w:cs="Arial"/>
          <w:sz w:val="18"/>
          <w:szCs w:val="18"/>
          <w:rtl/>
        </w:rPr>
        <w:t xml:space="preserve"> ואם בסתר, לה ב' חלקים ולו חלק א' (טור).</w:t>
      </w:r>
      <w:r>
        <w:rPr>
          <w:rFonts w:cs="Arial"/>
          <w:rtl/>
        </w:rPr>
        <w:t xml:space="preserve"> </w:t>
      </w:r>
    </w:p>
    <w:p w14:paraId="51A36D97" w14:textId="77777777" w:rsidR="00315DDC" w:rsidRDefault="00315DDC" w:rsidP="000D2069">
      <w:pPr>
        <w:rPr>
          <w:rtl/>
        </w:rPr>
      </w:pPr>
    </w:p>
    <w:p w14:paraId="4239B9AE" w14:textId="072D7062" w:rsidR="000D2069" w:rsidRDefault="000D2069" w:rsidP="000F64D0">
      <w:pPr>
        <w:pStyle w:val="2"/>
        <w:rPr>
          <w:rtl/>
        </w:rPr>
      </w:pPr>
      <w:r>
        <w:rPr>
          <w:rtl/>
        </w:rPr>
        <w:t>סעיף ב</w:t>
      </w:r>
      <w:r w:rsidR="006265B1">
        <w:rPr>
          <w:rFonts w:hint="cs"/>
          <w:rtl/>
        </w:rPr>
        <w:t>: הזיק את אשתו בתשמיש המטה.</w:t>
      </w:r>
    </w:p>
    <w:p w14:paraId="753D05D0" w14:textId="6F488DB6" w:rsidR="006C3616" w:rsidRPr="006C3616" w:rsidRDefault="006C3616" w:rsidP="006C3616">
      <w:pPr>
        <w:rPr>
          <w:u w:val="single"/>
          <w:rtl/>
        </w:rPr>
      </w:pPr>
      <w:r w:rsidRPr="006C3616">
        <w:rPr>
          <w:rFonts w:cs="Arial"/>
          <w:u w:val="single"/>
          <w:rtl/>
        </w:rPr>
        <w:t>המזיק אשתו בתשמיש המטה</w:t>
      </w:r>
      <w:r w:rsidRPr="006C3616">
        <w:rPr>
          <w:rFonts w:hint="cs"/>
          <w:u w:val="single"/>
          <w:rtl/>
        </w:rPr>
        <w:t>:</w:t>
      </w:r>
    </w:p>
    <w:p w14:paraId="0DBF5465" w14:textId="35B20A3B" w:rsidR="00315DDC" w:rsidRPr="00315DDC" w:rsidRDefault="006C3616" w:rsidP="009000E3">
      <w:pPr>
        <w:pStyle w:val="ab"/>
        <w:numPr>
          <w:ilvl w:val="0"/>
          <w:numId w:val="47"/>
        </w:numPr>
        <w:rPr>
          <w:rtl/>
        </w:rPr>
      </w:pPr>
      <w:r w:rsidRPr="006C3616">
        <w:rPr>
          <w:rFonts w:cs="Arial" w:hint="cs"/>
          <w:rtl/>
        </w:rPr>
        <w:t>רמב"ם</w:t>
      </w:r>
      <w:r>
        <w:rPr>
          <w:rFonts w:cs="Arial" w:hint="cs"/>
          <w:rtl/>
        </w:rPr>
        <w:t xml:space="preserve"> </w:t>
      </w:r>
      <w:r>
        <w:rPr>
          <w:rFonts w:cs="Arial" w:hint="cs"/>
          <w:sz w:val="16"/>
          <w:szCs w:val="16"/>
          <w:rtl/>
        </w:rPr>
        <w:t>(פ"ד מחובל ומזיק הי"ז)</w:t>
      </w:r>
      <w:r>
        <w:rPr>
          <w:rFonts w:cs="Arial" w:hint="cs"/>
          <w:rtl/>
        </w:rPr>
        <w:t>-</w:t>
      </w:r>
      <w:r w:rsidRPr="006C3616">
        <w:rPr>
          <w:rFonts w:cs="Arial" w:hint="cs"/>
          <w:rtl/>
        </w:rPr>
        <w:t xml:space="preserve"> </w:t>
      </w:r>
      <w:r w:rsidRPr="006C3616">
        <w:rPr>
          <w:rFonts w:cs="Arial"/>
          <w:rtl/>
        </w:rPr>
        <w:t>המזיק אשתו בתשמיש המטה חייב בנזקיה.</w:t>
      </w:r>
      <w:r w:rsidR="00D06CE2" w:rsidRPr="00D06CE2">
        <w:rPr>
          <w:rFonts w:hint="cs"/>
          <w:color w:val="E36C0A" w:themeColor="accent6" w:themeShade="BF"/>
          <w:rtl/>
        </w:rPr>
        <w:t xml:space="preserve"> </w:t>
      </w:r>
      <w:r w:rsidR="00D06CE2" w:rsidRPr="007B430E">
        <w:rPr>
          <w:rFonts w:hint="cs"/>
          <w:color w:val="E36C0A" w:themeColor="accent6" w:themeShade="BF"/>
          <w:rtl/>
        </w:rPr>
        <w:t>(וכ"פ בשו"ע)</w:t>
      </w:r>
    </w:p>
    <w:p w14:paraId="47183B54"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4FCD1149" w14:textId="7B5DDC3E" w:rsidR="000D2069" w:rsidRPr="000D2069" w:rsidRDefault="000D2069" w:rsidP="000D2069">
      <w:pPr>
        <w:rPr>
          <w:rtl/>
        </w:rPr>
        <w:sectPr w:rsidR="000D2069" w:rsidRPr="000D2069" w:rsidSect="00A347B3">
          <w:headerReference w:type="default" r:id="rId26"/>
          <w:footnotePr>
            <w:numRestart w:val="eachSect"/>
          </w:footnotePr>
          <w:pgSz w:w="11906" w:h="16838"/>
          <w:pgMar w:top="720" w:right="1134" w:bottom="720" w:left="1134" w:header="0" w:footer="0" w:gutter="0"/>
          <w:cols w:space="720"/>
          <w:bidi/>
          <w:rtlGutter/>
          <w:docGrid w:linePitch="360"/>
        </w:sectPr>
      </w:pPr>
      <w:r>
        <w:rPr>
          <w:rFonts w:cs="Arial"/>
          <w:rtl/>
        </w:rPr>
        <w:t>המזיק את אשתו בתשמיש המטה, חייב בנזקיה</w:t>
      </w:r>
      <w:r w:rsidR="00B63DC2">
        <w:rPr>
          <w:rStyle w:val="a7"/>
          <w:rFonts w:cs="Arial"/>
          <w:rtl/>
        </w:rPr>
        <w:footnoteReference w:id="829"/>
      </w:r>
      <w:r>
        <w:rPr>
          <w:rFonts w:cs="Arial"/>
          <w:rtl/>
        </w:rPr>
        <w:t>.</w:t>
      </w:r>
    </w:p>
    <w:p w14:paraId="25176226" w14:textId="3EC7803F" w:rsidR="007A3469" w:rsidRDefault="00942887" w:rsidP="007A3469">
      <w:pPr>
        <w:pStyle w:val="1"/>
        <w:rPr>
          <w:rtl/>
        </w:rPr>
      </w:pPr>
      <w:r>
        <w:rPr>
          <w:rFonts w:hint="cs"/>
          <w:rtl/>
        </w:rPr>
        <w:lastRenderedPageBreak/>
        <w:t xml:space="preserve">סימן </w:t>
      </w:r>
      <w:r w:rsidR="001E098A">
        <w:rPr>
          <w:rFonts w:hint="cs"/>
          <w:rtl/>
        </w:rPr>
        <w:t>פד</w:t>
      </w:r>
      <w:r>
        <w:rPr>
          <w:rFonts w:hint="cs"/>
          <w:rtl/>
        </w:rPr>
        <w:t>:</w:t>
      </w:r>
      <w:r w:rsidRPr="00C12B74">
        <w:rPr>
          <w:rtl/>
        </w:rPr>
        <w:t xml:space="preserve"> </w:t>
      </w:r>
      <w:r w:rsidR="007A3469">
        <w:rPr>
          <w:rFonts w:cs="Arial"/>
          <w:rtl/>
        </w:rPr>
        <w:t xml:space="preserve">דין מציאת האשה, ובו סעיף אחד. </w:t>
      </w:r>
    </w:p>
    <w:p w14:paraId="0D1D196F" w14:textId="6DF8F89B" w:rsidR="007A3469" w:rsidRDefault="007A3469" w:rsidP="000F64D0">
      <w:pPr>
        <w:pStyle w:val="2"/>
        <w:rPr>
          <w:rtl/>
        </w:rPr>
      </w:pPr>
      <w:r>
        <w:rPr>
          <w:rtl/>
        </w:rPr>
        <w:t>סעיף א</w:t>
      </w:r>
    </w:p>
    <w:p w14:paraId="03663571" w14:textId="00AF86F5" w:rsidR="00863928" w:rsidRDefault="00863928" w:rsidP="00863928">
      <w:pPr>
        <w:rPr>
          <w:rtl/>
        </w:rPr>
      </w:pPr>
      <w:r w:rsidRPr="003E00A2">
        <w:rPr>
          <w:rFonts w:cs="Arial" w:hint="cs"/>
          <w:b/>
          <w:bCs/>
          <w:rtl/>
        </w:rPr>
        <w:t xml:space="preserve">כתובות </w:t>
      </w:r>
      <w:r w:rsidRPr="003E00A2">
        <w:rPr>
          <w:rFonts w:cs="Arial" w:hint="cs"/>
          <w:b/>
          <w:bCs/>
          <w:sz w:val="16"/>
          <w:szCs w:val="16"/>
          <w:rtl/>
        </w:rPr>
        <w:t>(</w:t>
      </w:r>
      <w:r w:rsidR="004C03CA">
        <w:rPr>
          <w:rFonts w:cs="Arial" w:hint="cs"/>
          <w:b/>
          <w:bCs/>
          <w:sz w:val="16"/>
          <w:szCs w:val="16"/>
          <w:rtl/>
        </w:rPr>
        <w:t>ר"פ מציאת האשה</w:t>
      </w:r>
      <w:r w:rsidRPr="003E00A2">
        <w:rPr>
          <w:rFonts w:cs="Arial" w:hint="cs"/>
          <w:b/>
          <w:bCs/>
          <w:sz w:val="16"/>
          <w:szCs w:val="16"/>
          <w:rtl/>
        </w:rPr>
        <w:t xml:space="preserve">) </w:t>
      </w:r>
      <w:r w:rsidRPr="003E00A2">
        <w:rPr>
          <w:rFonts w:cs="Arial" w:hint="cs"/>
          <w:b/>
          <w:bCs/>
          <w:rtl/>
        </w:rPr>
        <w:t xml:space="preserve">סה ע"ב: </w:t>
      </w:r>
      <w:r w:rsidRPr="00E142C1">
        <w:rPr>
          <w:rFonts w:cs="Arial"/>
          <w:u w:val="double"/>
          <w:rtl/>
        </w:rPr>
        <w:t>מתני'</w:t>
      </w:r>
      <w:r>
        <w:rPr>
          <w:rFonts w:cs="Arial" w:hint="cs"/>
          <w:rtl/>
        </w:rPr>
        <w:t>:</w:t>
      </w:r>
      <w:r w:rsidRPr="00E142C1">
        <w:rPr>
          <w:rFonts w:cs="Arial"/>
          <w:rtl/>
        </w:rPr>
        <w:t xml:space="preserve"> מציאת האשה ומעשה ידיה לבעלה</w:t>
      </w:r>
      <w:r>
        <w:rPr>
          <w:rFonts w:hint="cs"/>
          <w:rtl/>
        </w:rPr>
        <w:t>...</w:t>
      </w:r>
      <w:r w:rsidRPr="00863928">
        <w:rPr>
          <w:rtl/>
        </w:rPr>
        <w:t xml:space="preserve"> </w:t>
      </w:r>
      <w:r>
        <w:rPr>
          <w:rFonts w:hint="cs"/>
          <w:rtl/>
        </w:rPr>
        <w:t xml:space="preserve">      </w:t>
      </w:r>
      <w:r w:rsidRPr="00863928">
        <w:rPr>
          <w:rFonts w:hint="cs"/>
          <w:u w:val="double"/>
          <w:rtl/>
        </w:rPr>
        <w:t>גמ'</w:t>
      </w:r>
      <w:r w:rsidRPr="00863928">
        <w:rPr>
          <w:rFonts w:hint="cs"/>
          <w:sz w:val="14"/>
          <w:szCs w:val="14"/>
          <w:u w:val="double"/>
          <w:rtl/>
        </w:rPr>
        <w:t>(סו.)</w:t>
      </w:r>
      <w:r w:rsidRPr="00863928">
        <w:rPr>
          <w:rFonts w:hint="cs"/>
          <w:u w:val="double"/>
          <w:rtl/>
        </w:rPr>
        <w:t>:</w:t>
      </w:r>
      <w:r>
        <w:rPr>
          <w:rFonts w:hint="cs"/>
          <w:rtl/>
        </w:rPr>
        <w:t xml:space="preserve"> </w:t>
      </w:r>
      <w:r w:rsidRPr="00863928">
        <w:rPr>
          <w:rFonts w:cs="Arial"/>
          <w:u w:val="single"/>
          <w:rtl/>
        </w:rPr>
        <w:t>אמר רב פפא</w:t>
      </w:r>
      <w:r w:rsidRPr="00863928">
        <w:rPr>
          <w:rFonts w:cs="Arial"/>
          <w:rtl/>
        </w:rPr>
        <w:t>: מציאתה - כהעדפה שעל ידי הדחק דמי</w:t>
      </w:r>
      <w:r>
        <w:rPr>
          <w:rStyle w:val="a7"/>
          <w:rFonts w:cs="Arial"/>
          <w:rtl/>
        </w:rPr>
        <w:footnoteReference w:id="830"/>
      </w:r>
      <w:r>
        <w:rPr>
          <w:rFonts w:hint="cs"/>
          <w:rtl/>
        </w:rPr>
        <w:t>.</w:t>
      </w:r>
    </w:p>
    <w:p w14:paraId="4A5C9CD9" w14:textId="15E28F20" w:rsidR="00863928" w:rsidRPr="00050C17" w:rsidRDefault="00863928" w:rsidP="00050C17">
      <w:pPr>
        <w:rPr>
          <w:rFonts w:cs="Arial"/>
          <w:rtl/>
        </w:rPr>
      </w:pPr>
      <w:r>
        <w:rPr>
          <w:rFonts w:cs="Arial" w:hint="cs"/>
          <w:b/>
          <w:bCs/>
          <w:rtl/>
        </w:rPr>
        <w:t>בבא מציעא</w:t>
      </w:r>
      <w:r w:rsidRPr="003E00A2">
        <w:rPr>
          <w:rFonts w:cs="Arial" w:hint="cs"/>
          <w:b/>
          <w:bCs/>
          <w:rtl/>
        </w:rPr>
        <w:t xml:space="preserve"> </w:t>
      </w:r>
      <w:r w:rsidRPr="003E00A2">
        <w:rPr>
          <w:rFonts w:cs="Arial" w:hint="cs"/>
          <w:b/>
          <w:bCs/>
          <w:sz w:val="16"/>
          <w:szCs w:val="16"/>
          <w:rtl/>
        </w:rPr>
        <w:t>(</w:t>
      </w:r>
      <w:r>
        <w:rPr>
          <w:rFonts w:cs="Arial" w:hint="cs"/>
          <w:b/>
          <w:bCs/>
          <w:sz w:val="16"/>
          <w:szCs w:val="16"/>
          <w:rtl/>
        </w:rPr>
        <w:t>פ"ק</w:t>
      </w:r>
      <w:r w:rsidRPr="003E00A2">
        <w:rPr>
          <w:rFonts w:cs="Arial" w:hint="cs"/>
          <w:b/>
          <w:bCs/>
          <w:sz w:val="16"/>
          <w:szCs w:val="16"/>
          <w:rtl/>
        </w:rPr>
        <w:t xml:space="preserve">) </w:t>
      </w:r>
      <w:r>
        <w:rPr>
          <w:rFonts w:cs="Arial" w:hint="cs"/>
          <w:b/>
          <w:bCs/>
          <w:rtl/>
        </w:rPr>
        <w:t>יב</w:t>
      </w:r>
      <w:r w:rsidRPr="003E00A2">
        <w:rPr>
          <w:rFonts w:cs="Arial" w:hint="cs"/>
          <w:b/>
          <w:bCs/>
          <w:rtl/>
        </w:rPr>
        <w:t xml:space="preserve"> ע"</w:t>
      </w:r>
      <w:r>
        <w:rPr>
          <w:rFonts w:cs="Arial" w:hint="cs"/>
          <w:b/>
          <w:bCs/>
          <w:rtl/>
        </w:rPr>
        <w:t>א</w:t>
      </w:r>
      <w:r w:rsidRPr="003E00A2">
        <w:rPr>
          <w:rFonts w:cs="Arial" w:hint="cs"/>
          <w:b/>
          <w:bCs/>
          <w:rtl/>
        </w:rPr>
        <w:t xml:space="preserve">: </w:t>
      </w:r>
      <w:r w:rsidRPr="00E142C1">
        <w:rPr>
          <w:rFonts w:cs="Arial"/>
          <w:u w:val="double"/>
          <w:rtl/>
        </w:rPr>
        <w:t>מ</w:t>
      </w:r>
      <w:r>
        <w:rPr>
          <w:rFonts w:cs="Arial" w:hint="cs"/>
          <w:u w:val="double"/>
          <w:rtl/>
        </w:rPr>
        <w:t>שנה</w:t>
      </w:r>
      <w:r>
        <w:rPr>
          <w:rFonts w:cs="Arial" w:hint="cs"/>
          <w:rtl/>
        </w:rPr>
        <w:t>:</w:t>
      </w:r>
      <w:r w:rsidR="00050C17">
        <w:rPr>
          <w:rFonts w:cs="Arial" w:hint="cs"/>
          <w:rtl/>
        </w:rPr>
        <w:t xml:space="preserve">.. </w:t>
      </w:r>
      <w:r>
        <w:rPr>
          <w:rFonts w:cs="Arial"/>
          <w:rtl/>
        </w:rPr>
        <w:t>מציאת אשתו - הרי אלו שלו.</w:t>
      </w:r>
      <w:r w:rsidR="00050C17">
        <w:rPr>
          <w:rFonts w:cs="Arial" w:hint="cs"/>
          <w:rtl/>
        </w:rPr>
        <w:t>...</w:t>
      </w:r>
      <w:r>
        <w:rPr>
          <w:rFonts w:cs="Arial"/>
          <w:rtl/>
        </w:rPr>
        <w:t xml:space="preserve"> מציאת אשתו שגירשה אף על פי שלא נתן כתובה - הרי אלו שלהן. </w:t>
      </w:r>
      <w:r>
        <w:rPr>
          <w:rFonts w:hint="cs"/>
          <w:rtl/>
        </w:rPr>
        <w:t xml:space="preserve">       </w:t>
      </w:r>
      <w:r w:rsidRPr="00863928">
        <w:rPr>
          <w:rFonts w:cs="Arial"/>
          <w:u w:val="double"/>
          <w:rtl/>
        </w:rPr>
        <w:t>גמ</w:t>
      </w:r>
      <w:r w:rsidR="00DE048A">
        <w:rPr>
          <w:rFonts w:cs="Arial" w:hint="cs"/>
          <w:u w:val="double"/>
          <w:rtl/>
        </w:rPr>
        <w:t>רא</w:t>
      </w:r>
      <w:r w:rsidR="00DE048A">
        <w:rPr>
          <w:rFonts w:cs="Arial" w:hint="cs"/>
          <w:sz w:val="14"/>
          <w:szCs w:val="14"/>
          <w:u w:val="double"/>
          <w:rtl/>
        </w:rPr>
        <w:t xml:space="preserve"> </w:t>
      </w:r>
      <w:r w:rsidR="004C03CA">
        <w:rPr>
          <w:rFonts w:cs="Arial" w:hint="cs"/>
          <w:sz w:val="14"/>
          <w:szCs w:val="14"/>
          <w:u w:val="double"/>
          <w:rtl/>
        </w:rPr>
        <w:t>(יב:)</w:t>
      </w:r>
      <w:r w:rsidR="004C03CA">
        <w:rPr>
          <w:rFonts w:cs="Arial" w:hint="cs"/>
          <w:u w:val="double"/>
          <w:rtl/>
        </w:rPr>
        <w:t>:</w:t>
      </w:r>
      <w:r>
        <w:rPr>
          <w:rFonts w:cs="Arial"/>
          <w:rtl/>
        </w:rPr>
        <w:t xml:space="preserve"> </w:t>
      </w:r>
      <w:r w:rsidR="004C03CA" w:rsidRPr="004C03CA">
        <w:rPr>
          <w:rFonts w:cs="Arial"/>
          <w:rtl/>
        </w:rPr>
        <w:t>מציאת אשתו. גירשה, פשיטא! הכא במאי עסקינן - במגורשת ואינה מגורשת</w:t>
      </w:r>
      <w:r w:rsidR="004C03CA">
        <w:rPr>
          <w:rStyle w:val="a7"/>
          <w:rFonts w:cs="Arial"/>
          <w:rtl/>
        </w:rPr>
        <w:footnoteReference w:id="831"/>
      </w:r>
      <w:r w:rsidR="004C03CA" w:rsidRPr="004C03CA">
        <w:rPr>
          <w:rFonts w:cs="Arial"/>
          <w:rtl/>
        </w:rPr>
        <w:t xml:space="preserve">. </w:t>
      </w:r>
      <w:r w:rsidR="004C03CA" w:rsidRPr="004C03CA">
        <w:rPr>
          <w:rFonts w:cs="Arial"/>
          <w:u w:val="single"/>
          <w:rtl/>
        </w:rPr>
        <w:t>דאמר רבי זירא אמר שמואל</w:t>
      </w:r>
      <w:r w:rsidR="004C03CA" w:rsidRPr="004C03CA">
        <w:rPr>
          <w:rFonts w:cs="Arial"/>
          <w:rtl/>
        </w:rPr>
        <w:t>: כל מקום שאמרו חכמים מגורשת ואינה מגורשת - בעלה חייב במזונותיה</w:t>
      </w:r>
      <w:r w:rsidR="004C03CA">
        <w:rPr>
          <w:rStyle w:val="a7"/>
          <w:rFonts w:cs="Arial"/>
          <w:rtl/>
        </w:rPr>
        <w:footnoteReference w:id="832"/>
      </w:r>
      <w:r w:rsidR="004C03CA" w:rsidRPr="004C03CA">
        <w:rPr>
          <w:rFonts w:cs="Arial"/>
          <w:rtl/>
        </w:rPr>
        <w:t xml:space="preserve">. טעמא מאי אמור רבנן מציאת אשה לבעלה - כי היכי דלא תיהוי לה איבה, הכא - אית לה איבה ואיבה. </w:t>
      </w:r>
    </w:p>
    <w:p w14:paraId="26026BF4" w14:textId="735D9CFB" w:rsidR="00C11907" w:rsidRPr="00C11907" w:rsidRDefault="00C11907" w:rsidP="00C11907">
      <w:pPr>
        <w:rPr>
          <w:u w:val="single"/>
          <w:rtl/>
        </w:rPr>
      </w:pPr>
      <w:r w:rsidRPr="00C11907">
        <w:rPr>
          <w:rFonts w:hint="cs"/>
          <w:u w:val="single"/>
          <w:rtl/>
        </w:rPr>
        <w:t xml:space="preserve">מציאת האשה </w:t>
      </w:r>
      <w:r w:rsidR="00F97626">
        <w:rPr>
          <w:u w:val="single"/>
          <w:rtl/>
        </w:rPr>
        <w:t>-</w:t>
      </w:r>
      <w:r w:rsidRPr="00C11907">
        <w:rPr>
          <w:rFonts w:hint="cs"/>
          <w:u w:val="single"/>
          <w:rtl/>
        </w:rPr>
        <w:t xml:space="preserve"> למי:</w:t>
      </w:r>
    </w:p>
    <w:p w14:paraId="6AB85070" w14:textId="115867A9" w:rsidR="0067570D" w:rsidRPr="0067570D" w:rsidRDefault="00FC70DE" w:rsidP="009000E3">
      <w:pPr>
        <w:pStyle w:val="ab"/>
        <w:numPr>
          <w:ilvl w:val="0"/>
          <w:numId w:val="47"/>
        </w:numPr>
      </w:pPr>
      <w:r w:rsidRPr="00FC70DE">
        <w:rPr>
          <w:rFonts w:cs="Arial" w:hint="cs"/>
          <w:rtl/>
        </w:rPr>
        <w:t xml:space="preserve">טור- </w:t>
      </w:r>
      <w:r w:rsidRPr="00FC70DE">
        <w:rPr>
          <w:rFonts w:cs="Arial"/>
          <w:rtl/>
        </w:rPr>
        <w:t>מציאת האשה לבעלה</w:t>
      </w:r>
      <w:r w:rsidR="00C11907">
        <w:rPr>
          <w:rFonts w:cs="Arial" w:hint="cs"/>
          <w:rtl/>
        </w:rPr>
        <w:t>,</w:t>
      </w:r>
      <w:r w:rsidRPr="00FC70DE">
        <w:rPr>
          <w:rFonts w:cs="Arial"/>
          <w:rtl/>
        </w:rPr>
        <w:t xml:space="preserve"> אפי' דחקה עצמה עד שמצאה אותה</w:t>
      </w:r>
      <w:r w:rsidR="00C11907">
        <w:rPr>
          <w:rFonts w:cs="Arial" w:hint="cs"/>
          <w:rtl/>
        </w:rPr>
        <w:t>.</w:t>
      </w:r>
      <w:r w:rsidRPr="00FC70DE">
        <w:rPr>
          <w:rFonts w:cs="Arial"/>
          <w:rtl/>
        </w:rPr>
        <w:t xml:space="preserve"> </w:t>
      </w:r>
      <w:r w:rsidR="00050C17" w:rsidRPr="00FC70DE">
        <w:rPr>
          <w:rFonts w:cs="Arial"/>
          <w:rtl/>
        </w:rPr>
        <w:t>ודוקא אשת איש ודאי</w:t>
      </w:r>
      <w:r w:rsidR="00050C17">
        <w:rPr>
          <w:rFonts w:cs="Arial" w:hint="cs"/>
          <w:rtl/>
        </w:rPr>
        <w:t>,</w:t>
      </w:r>
      <w:r w:rsidR="00050C17" w:rsidRPr="00FC70DE">
        <w:rPr>
          <w:rFonts w:cs="Arial"/>
          <w:rtl/>
        </w:rPr>
        <w:t xml:space="preserve"> אבל ספק מגורשת כגון שזרק לה גט ספק קרוב לו ספק קרוב לה</w:t>
      </w:r>
      <w:r w:rsidR="00050C17">
        <w:rPr>
          <w:rFonts w:cs="Arial" w:hint="cs"/>
          <w:rtl/>
        </w:rPr>
        <w:t>,</w:t>
      </w:r>
      <w:r w:rsidR="00050C17" w:rsidRPr="00FC70DE">
        <w:rPr>
          <w:rFonts w:cs="Arial"/>
          <w:rtl/>
        </w:rPr>
        <w:t xml:space="preserve"> אף על פי שחייב במזונותיה </w:t>
      </w:r>
      <w:r w:rsidR="00050C17">
        <w:rPr>
          <w:rFonts w:cs="Arial" w:hint="cs"/>
          <w:rtl/>
        </w:rPr>
        <w:t xml:space="preserve">- </w:t>
      </w:r>
      <w:r w:rsidR="00050C17" w:rsidRPr="00FC70DE">
        <w:rPr>
          <w:rFonts w:cs="Arial"/>
          <w:rtl/>
        </w:rPr>
        <w:t>מציאתה לעצמה</w:t>
      </w:r>
      <w:r w:rsidR="00050C17">
        <w:rPr>
          <w:rFonts w:cs="Arial" w:hint="cs"/>
          <w:rtl/>
        </w:rPr>
        <w:t>.</w:t>
      </w:r>
      <w:r w:rsidR="00050C17" w:rsidRPr="007B430E">
        <w:rPr>
          <w:rFonts w:hint="cs"/>
          <w:color w:val="E36C0A" w:themeColor="accent6" w:themeShade="BF"/>
          <w:rtl/>
        </w:rPr>
        <w:t xml:space="preserve"> </w:t>
      </w:r>
      <w:r w:rsidR="0067570D" w:rsidRPr="007B430E">
        <w:rPr>
          <w:rFonts w:hint="cs"/>
          <w:color w:val="E36C0A" w:themeColor="accent6" w:themeShade="BF"/>
          <w:rtl/>
        </w:rPr>
        <w:t>(וכ"פ בשו"ע)</w:t>
      </w:r>
    </w:p>
    <w:p w14:paraId="243F9106" w14:textId="609C8F93" w:rsidR="0067570D" w:rsidRPr="00863928" w:rsidRDefault="008C64A6" w:rsidP="0067570D">
      <w:pPr>
        <w:ind w:left="360"/>
        <w:rPr>
          <w:u w:val="dotted"/>
        </w:rPr>
      </w:pPr>
      <w:r>
        <w:rPr>
          <w:rFonts w:hint="cs"/>
          <w:u w:val="dotted"/>
          <w:rtl/>
        </w:rPr>
        <w:t>ומה הדין כשה</w:t>
      </w:r>
      <w:r w:rsidR="0067570D" w:rsidRPr="00863928">
        <w:rPr>
          <w:rFonts w:hint="cs"/>
          <w:u w:val="dotted"/>
          <w:rtl/>
        </w:rPr>
        <w:t xml:space="preserve">אשה </w:t>
      </w:r>
      <w:r>
        <w:rPr>
          <w:rFonts w:hint="cs"/>
          <w:u w:val="dotted"/>
          <w:rtl/>
        </w:rPr>
        <w:t xml:space="preserve">הנשואה </w:t>
      </w:r>
      <w:r w:rsidR="0067570D" w:rsidRPr="00863928">
        <w:rPr>
          <w:rFonts w:hint="cs"/>
          <w:u w:val="dotted"/>
          <w:rtl/>
        </w:rPr>
        <w:t>אינה ניזונת:</w:t>
      </w:r>
    </w:p>
    <w:p w14:paraId="35AB6215" w14:textId="77777777" w:rsidR="0067570D" w:rsidRPr="00C11907" w:rsidRDefault="0067570D" w:rsidP="009000E3">
      <w:pPr>
        <w:pStyle w:val="ab"/>
        <w:numPr>
          <w:ilvl w:val="0"/>
          <w:numId w:val="47"/>
        </w:numPr>
      </w:pPr>
      <w:r w:rsidRPr="00FC70DE">
        <w:rPr>
          <w:rFonts w:cs="Arial"/>
          <w:rtl/>
        </w:rPr>
        <w:t>רמ"ה</w:t>
      </w:r>
      <w:r>
        <w:rPr>
          <w:rFonts w:cs="Arial" w:hint="cs"/>
          <w:sz w:val="16"/>
          <w:szCs w:val="16"/>
          <w:rtl/>
        </w:rPr>
        <w:t xml:space="preserve"> (כ"כ הטור בשמו)</w:t>
      </w:r>
      <w:r>
        <w:rPr>
          <w:rFonts w:cs="Arial" w:hint="cs"/>
          <w:rtl/>
        </w:rPr>
        <w:t>-</w:t>
      </w:r>
      <w:r w:rsidRPr="00FC70DE">
        <w:rPr>
          <w:rFonts w:cs="Arial"/>
          <w:rtl/>
        </w:rPr>
        <w:t xml:space="preserve"> הא דמציאתה לבעלה דוקא בניזונת</w:t>
      </w:r>
      <w:r>
        <w:rPr>
          <w:rFonts w:cs="Arial" w:hint="cs"/>
          <w:rtl/>
        </w:rPr>
        <w:t>,</w:t>
      </w:r>
      <w:r w:rsidRPr="00FC70DE">
        <w:rPr>
          <w:rFonts w:cs="Arial"/>
          <w:rtl/>
        </w:rPr>
        <w:t xml:space="preserve"> אבל אם אינה ניזונת </w:t>
      </w:r>
      <w:r>
        <w:rPr>
          <w:rFonts w:cs="Arial" w:hint="cs"/>
          <w:rtl/>
        </w:rPr>
        <w:t xml:space="preserve">- </w:t>
      </w:r>
      <w:r w:rsidRPr="00FC70DE">
        <w:rPr>
          <w:rFonts w:cs="Arial"/>
          <w:rtl/>
        </w:rPr>
        <w:t>מציאתה לעצמה</w:t>
      </w:r>
      <w:r>
        <w:rPr>
          <w:rFonts w:cs="Arial" w:hint="cs"/>
          <w:sz w:val="16"/>
          <w:szCs w:val="16"/>
          <w:rtl/>
        </w:rPr>
        <w:t xml:space="preserve"> (ל' הטור בשמו)</w:t>
      </w:r>
      <w:r>
        <w:rPr>
          <w:rFonts w:cs="Arial" w:hint="cs"/>
          <w:rtl/>
        </w:rPr>
        <w:t>.</w:t>
      </w:r>
      <w:r w:rsidRPr="00FC70DE">
        <w:rPr>
          <w:rFonts w:cs="Arial"/>
          <w:rtl/>
        </w:rPr>
        <w:t xml:space="preserve"> </w:t>
      </w:r>
    </w:p>
    <w:p w14:paraId="0ADE7D60" w14:textId="52F9DDBB" w:rsidR="0067570D" w:rsidRDefault="0067570D" w:rsidP="0067570D">
      <w:pPr>
        <w:pStyle w:val="ab"/>
        <w:rPr>
          <w:rtl/>
        </w:rPr>
      </w:pPr>
      <w:r w:rsidRPr="00FC70DE">
        <w:rPr>
          <w:rFonts w:cs="Arial"/>
          <w:rtl/>
        </w:rPr>
        <w:t>רא"ש</w:t>
      </w:r>
      <w:r>
        <w:rPr>
          <w:rStyle w:val="a7"/>
          <w:rFonts w:cs="Arial"/>
          <w:rtl/>
        </w:rPr>
        <w:footnoteReference w:id="833"/>
      </w:r>
      <w:r>
        <w:rPr>
          <w:rFonts w:cs="Arial" w:hint="cs"/>
          <w:sz w:val="16"/>
          <w:szCs w:val="16"/>
          <w:rtl/>
        </w:rPr>
        <w:t xml:space="preserve"> (פ"ו סי' א)</w:t>
      </w:r>
      <w:r>
        <w:rPr>
          <w:rFonts w:cs="Arial" w:hint="cs"/>
          <w:rtl/>
        </w:rPr>
        <w:t>-</w:t>
      </w:r>
      <w:r w:rsidRPr="00FC70DE">
        <w:rPr>
          <w:rFonts w:cs="Arial"/>
          <w:rtl/>
        </w:rPr>
        <w:t xml:space="preserve"> לא משכחת אינה ניזונת אלא באומרת איני ניזונת ואיני עושה או שאמר לה בעלה צאי מעשה ידיך במזונותיך</w:t>
      </w:r>
      <w:r>
        <w:rPr>
          <w:rFonts w:cs="Arial" w:hint="cs"/>
          <w:rtl/>
        </w:rPr>
        <w:t>,</w:t>
      </w:r>
      <w:r w:rsidRPr="00FC70DE">
        <w:rPr>
          <w:rFonts w:cs="Arial"/>
          <w:rtl/>
        </w:rPr>
        <w:t xml:space="preserve"> וכיון שהרשות בידם לומר כן הוי כניזונת ומציאתה לבעלה</w:t>
      </w:r>
      <w:r>
        <w:rPr>
          <w:rStyle w:val="a7"/>
          <w:rFonts w:cs="Arial"/>
          <w:rtl/>
        </w:rPr>
        <w:footnoteReference w:id="834"/>
      </w:r>
      <w:r>
        <w:rPr>
          <w:rFonts w:cs="Arial" w:hint="cs"/>
          <w:rtl/>
        </w:rPr>
        <w:t xml:space="preserve"> </w:t>
      </w:r>
      <w:r>
        <w:rPr>
          <w:rFonts w:cs="Arial" w:hint="cs"/>
          <w:sz w:val="16"/>
          <w:szCs w:val="16"/>
          <w:rtl/>
        </w:rPr>
        <w:t>(ל' הטור בשמו)</w:t>
      </w:r>
      <w:r>
        <w:rPr>
          <w:rFonts w:cs="Arial" w:hint="cs"/>
          <w:rtl/>
        </w:rPr>
        <w:t>.</w:t>
      </w:r>
    </w:p>
    <w:p w14:paraId="07A8DBD6"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3880C821" w14:textId="4A4D7D45" w:rsidR="007A3469" w:rsidRPr="007A3469" w:rsidRDefault="007A3469" w:rsidP="007A3469">
      <w:pPr>
        <w:rPr>
          <w:rtl/>
        </w:rPr>
        <w:sectPr w:rsidR="007A3469" w:rsidRPr="007A3469" w:rsidSect="00A347B3">
          <w:headerReference w:type="default" r:id="rId27"/>
          <w:footnotePr>
            <w:numRestart w:val="eachSect"/>
          </w:footnotePr>
          <w:pgSz w:w="11906" w:h="16838"/>
          <w:pgMar w:top="720" w:right="1134" w:bottom="720" w:left="1134" w:header="0" w:footer="0" w:gutter="0"/>
          <w:cols w:space="720"/>
          <w:bidi/>
          <w:rtlGutter/>
          <w:docGrid w:linePitch="360"/>
        </w:sectPr>
      </w:pPr>
      <w:r>
        <w:rPr>
          <w:rFonts w:cs="Arial"/>
          <w:rtl/>
        </w:rPr>
        <w:t>מציאת האשה, לבעלה</w:t>
      </w:r>
      <w:r w:rsidR="00050C17">
        <w:rPr>
          <w:rStyle w:val="a7"/>
          <w:rFonts w:cs="Arial"/>
          <w:rtl/>
        </w:rPr>
        <w:footnoteReference w:id="835"/>
      </w:r>
      <w:r w:rsidR="0067570D">
        <w:rPr>
          <w:rFonts w:cs="Arial" w:hint="cs"/>
          <w:rtl/>
        </w:rPr>
        <w:t>.</w:t>
      </w:r>
      <w:r>
        <w:rPr>
          <w:rFonts w:cs="Arial"/>
          <w:rtl/>
        </w:rPr>
        <w:t xml:space="preserve"> ואם היא ספק מגורשת, מציאתה לעצמה.</w:t>
      </w:r>
    </w:p>
    <w:p w14:paraId="79D9C726" w14:textId="48AA1CC4" w:rsidR="007A3469" w:rsidRDefault="00942887" w:rsidP="007A3469">
      <w:pPr>
        <w:pStyle w:val="1"/>
        <w:rPr>
          <w:rtl/>
        </w:rPr>
      </w:pPr>
      <w:r>
        <w:rPr>
          <w:rFonts w:hint="cs"/>
          <w:rtl/>
        </w:rPr>
        <w:lastRenderedPageBreak/>
        <w:t xml:space="preserve">סימן </w:t>
      </w:r>
      <w:r w:rsidR="001E098A">
        <w:rPr>
          <w:rFonts w:hint="cs"/>
          <w:rtl/>
        </w:rPr>
        <w:t>פה</w:t>
      </w:r>
      <w:r>
        <w:rPr>
          <w:rFonts w:hint="cs"/>
          <w:rtl/>
        </w:rPr>
        <w:t>:</w:t>
      </w:r>
      <w:r w:rsidRPr="00C12B74">
        <w:rPr>
          <w:rtl/>
        </w:rPr>
        <w:t xml:space="preserve"> </w:t>
      </w:r>
      <w:r w:rsidR="007A3469">
        <w:rPr>
          <w:rFonts w:cs="Arial"/>
          <w:rtl/>
        </w:rPr>
        <w:t xml:space="preserve">דין נכסי מלוג וצאן ברזל, ובו י"ט סעיפים. </w:t>
      </w:r>
    </w:p>
    <w:p w14:paraId="32B9FA03" w14:textId="3D25CF9D" w:rsidR="007A3469" w:rsidRDefault="007A3469" w:rsidP="000F64D0">
      <w:pPr>
        <w:pStyle w:val="2"/>
        <w:rPr>
          <w:rtl/>
        </w:rPr>
      </w:pPr>
      <w:r>
        <w:rPr>
          <w:rtl/>
        </w:rPr>
        <w:t>סעיף א</w:t>
      </w:r>
      <w:r w:rsidR="00CC5E7A">
        <w:rPr>
          <w:rFonts w:hint="cs"/>
          <w:rtl/>
        </w:rPr>
        <w:t xml:space="preserve">: </w:t>
      </w:r>
      <w:r w:rsidR="00035A9C">
        <w:rPr>
          <w:rFonts w:hint="cs"/>
          <w:rtl/>
        </w:rPr>
        <w:t>האיש אוכל פירותיה תחת פדיונה.</w:t>
      </w:r>
    </w:p>
    <w:p w14:paraId="74FA6EE6" w14:textId="0D02B901" w:rsidR="00187A95" w:rsidRDefault="00187A95" w:rsidP="00187A95">
      <w:pPr>
        <w:rPr>
          <w:rFonts w:cs="Arial"/>
          <w:rtl/>
        </w:rPr>
      </w:pPr>
      <w:r w:rsidRPr="00AB0AB9">
        <w:rPr>
          <w:rFonts w:cs="Arial" w:hint="cs"/>
          <w:b/>
          <w:bCs/>
          <w:rtl/>
        </w:rPr>
        <w:t>כתובות</w:t>
      </w:r>
      <w:r>
        <w:rPr>
          <w:rFonts w:cs="Arial" w:hint="cs"/>
          <w:b/>
          <w:bCs/>
          <w:rtl/>
        </w:rPr>
        <w:t xml:space="preserve"> </w:t>
      </w:r>
      <w:r>
        <w:rPr>
          <w:rFonts w:cs="Arial" w:hint="cs"/>
          <w:b/>
          <w:bCs/>
          <w:sz w:val="16"/>
          <w:szCs w:val="16"/>
          <w:rtl/>
        </w:rPr>
        <w:t>(פ' נערה שנתפתתה)</w:t>
      </w:r>
      <w:r w:rsidRPr="00AB0AB9">
        <w:rPr>
          <w:rFonts w:cs="Arial" w:hint="cs"/>
          <w:b/>
          <w:bCs/>
          <w:rtl/>
        </w:rPr>
        <w:t xml:space="preserve"> מ</w:t>
      </w:r>
      <w:r>
        <w:rPr>
          <w:rFonts w:cs="Arial" w:hint="cs"/>
          <w:b/>
          <w:bCs/>
          <w:rtl/>
        </w:rPr>
        <w:t>ו</w:t>
      </w:r>
      <w:r w:rsidR="00BC1EEE">
        <w:rPr>
          <w:rStyle w:val="a7"/>
          <w:rFonts w:cs="Arial"/>
          <w:b/>
          <w:bCs/>
          <w:rtl/>
        </w:rPr>
        <w:footnoteReference w:id="836"/>
      </w:r>
      <w:r w:rsidRPr="00AB0AB9">
        <w:rPr>
          <w:rFonts w:cs="Arial" w:hint="cs"/>
          <w:b/>
          <w:bCs/>
          <w:rtl/>
        </w:rPr>
        <w:t xml:space="preserve"> ע"ב: </w:t>
      </w:r>
      <w:r w:rsidRPr="00AB0AB9">
        <w:rPr>
          <w:rFonts w:cs="Arial"/>
          <w:u w:val="double"/>
          <w:rtl/>
        </w:rPr>
        <w:t>מתני'</w:t>
      </w:r>
      <w:r>
        <w:rPr>
          <w:rFonts w:cs="Arial" w:hint="cs"/>
          <w:rtl/>
        </w:rPr>
        <w:t>:</w:t>
      </w:r>
      <w:r w:rsidR="002E03DF">
        <w:rPr>
          <w:rFonts w:cs="Arial" w:hint="cs"/>
          <w:rtl/>
        </w:rPr>
        <w:t xml:space="preserve"> האב זכאי בבתו</w:t>
      </w:r>
      <w:r w:rsidR="00BC1EEE">
        <w:rPr>
          <w:rFonts w:cs="Arial" w:hint="cs"/>
          <w:rtl/>
        </w:rPr>
        <w:t xml:space="preserve"> בקידושיה</w:t>
      </w:r>
      <w:r>
        <w:rPr>
          <w:rFonts w:cs="Arial" w:hint="cs"/>
          <w:rtl/>
        </w:rPr>
        <w:t>...</w:t>
      </w:r>
      <w:r w:rsidRPr="00AB0AB9">
        <w:rPr>
          <w:rFonts w:cs="Arial"/>
          <w:rtl/>
        </w:rPr>
        <w:t xml:space="preserve"> נשאת, יתר עליו הבעל שאוכל פירות בחייה, וחייב במזונותיה, ובפרקונה, וקבורתה</w:t>
      </w:r>
      <w:r>
        <w:rPr>
          <w:rFonts w:cs="Arial" w:hint="cs"/>
          <w:rtl/>
        </w:rPr>
        <w:t>..</w:t>
      </w:r>
      <w:r w:rsidRPr="00AB0AB9">
        <w:rPr>
          <w:rFonts w:cs="Arial"/>
          <w:rtl/>
        </w:rPr>
        <w:t>.</w:t>
      </w:r>
      <w:r w:rsidR="006C4118">
        <w:rPr>
          <w:rFonts w:cs="Arial" w:hint="cs"/>
          <w:rtl/>
        </w:rPr>
        <w:t xml:space="preserve">      </w:t>
      </w:r>
      <w:r w:rsidR="006C4118" w:rsidRPr="00AB0AB9">
        <w:rPr>
          <w:rFonts w:cs="Arial" w:hint="cs"/>
          <w:u w:val="double"/>
          <w:rtl/>
        </w:rPr>
        <w:t>גמ'</w:t>
      </w:r>
      <w:r w:rsidR="006C4118" w:rsidRPr="00AB0AB9">
        <w:rPr>
          <w:rFonts w:cs="Arial" w:hint="cs"/>
          <w:sz w:val="14"/>
          <w:szCs w:val="14"/>
          <w:u w:val="double"/>
          <w:rtl/>
        </w:rPr>
        <w:t>(מז:)</w:t>
      </w:r>
      <w:r w:rsidR="006C4118" w:rsidRPr="00AB0AB9">
        <w:rPr>
          <w:rFonts w:cs="Arial" w:hint="cs"/>
          <w:u w:val="double"/>
          <w:rtl/>
        </w:rPr>
        <w:t>:</w:t>
      </w:r>
      <w:r w:rsidR="006C4118" w:rsidRPr="00AB0AB9">
        <w:rPr>
          <w:rFonts w:cs="Arial"/>
          <w:rtl/>
        </w:rPr>
        <w:t xml:space="preserve"> חייב במזונותיה וכו'. תנו רבנן:</w:t>
      </w:r>
      <w:r w:rsidR="006C4118">
        <w:rPr>
          <w:rFonts w:cs="Arial" w:hint="cs"/>
          <w:rtl/>
        </w:rPr>
        <w:t>...</w:t>
      </w:r>
      <w:r w:rsidR="006C4118" w:rsidRPr="00AB0AB9">
        <w:rPr>
          <w:rFonts w:cs="Arial"/>
          <w:rtl/>
        </w:rPr>
        <w:t xml:space="preserve"> תיקנו מזונותיה תחת מעשה ידיה, ופירקונה תחת פירות</w:t>
      </w:r>
      <w:r w:rsidR="006C4118">
        <w:rPr>
          <w:rStyle w:val="a7"/>
          <w:rFonts w:cs="Arial"/>
          <w:rtl/>
        </w:rPr>
        <w:footnoteReference w:id="837"/>
      </w:r>
      <w:r w:rsidR="006C4118" w:rsidRPr="00AB0AB9">
        <w:rPr>
          <w:rFonts w:cs="Arial"/>
          <w:rtl/>
        </w:rPr>
        <w:t>, וקבורתה תחת כתובתה</w:t>
      </w:r>
      <w:r w:rsidR="006C4118">
        <w:rPr>
          <w:rStyle w:val="a7"/>
          <w:rFonts w:cs="Arial"/>
          <w:rtl/>
        </w:rPr>
        <w:footnoteReference w:id="838"/>
      </w:r>
      <w:r w:rsidR="006C4118" w:rsidRPr="00AB0AB9">
        <w:rPr>
          <w:rFonts w:cs="Arial"/>
          <w:rtl/>
        </w:rPr>
        <w:t>, לפיכך בעל אוכל פירות. מאי לפיכך? מהו דתימא מיכל לא נכלינהו אנוחי ננחינהו, דאם כן מימנע ולא פריק, קמ"ל דהא עדיפא, זימנין דלא מלו</w:t>
      </w:r>
      <w:r w:rsidR="006C4118">
        <w:rPr>
          <w:rStyle w:val="a7"/>
          <w:rFonts w:cs="Arial"/>
          <w:rtl/>
        </w:rPr>
        <w:footnoteReference w:id="839"/>
      </w:r>
      <w:r w:rsidR="006C4118" w:rsidRPr="00AB0AB9">
        <w:rPr>
          <w:rFonts w:cs="Arial"/>
          <w:rtl/>
        </w:rPr>
        <w:t xml:space="preserve"> ופריק לה מדידיה. ואיפוך אנא</w:t>
      </w:r>
      <w:r w:rsidR="006C4118">
        <w:rPr>
          <w:rStyle w:val="a7"/>
          <w:rFonts w:cs="Arial"/>
          <w:rtl/>
        </w:rPr>
        <w:footnoteReference w:id="840"/>
      </w:r>
      <w:r w:rsidR="006C4118" w:rsidRPr="00AB0AB9">
        <w:rPr>
          <w:rFonts w:cs="Arial"/>
          <w:rtl/>
        </w:rPr>
        <w:t xml:space="preserve">! </w:t>
      </w:r>
      <w:r w:rsidR="006C4118" w:rsidRPr="009919C0">
        <w:rPr>
          <w:rFonts w:cs="Arial"/>
          <w:u w:val="single"/>
          <w:rtl/>
        </w:rPr>
        <w:t>אמר אביי</w:t>
      </w:r>
      <w:r w:rsidR="006C4118" w:rsidRPr="00AB0AB9">
        <w:rPr>
          <w:rFonts w:cs="Arial"/>
          <w:rtl/>
        </w:rPr>
        <w:t>: תיקנו מצוי למצוי, ושאינו מצוי לשאינו מצוי</w:t>
      </w:r>
      <w:r w:rsidR="006C4118">
        <w:rPr>
          <w:rStyle w:val="a7"/>
          <w:rFonts w:cs="Arial"/>
          <w:rtl/>
        </w:rPr>
        <w:footnoteReference w:id="841"/>
      </w:r>
      <w:r w:rsidR="006C4118" w:rsidRPr="00AB0AB9">
        <w:rPr>
          <w:rFonts w:cs="Arial"/>
          <w:rtl/>
        </w:rPr>
        <w:t>.</w:t>
      </w:r>
    </w:p>
    <w:p w14:paraId="0256BA9F" w14:textId="1BBE8A9B" w:rsidR="00CC5E7A" w:rsidRDefault="00187A95" w:rsidP="00CC5E7A">
      <w:pPr>
        <w:rPr>
          <w:rtl/>
        </w:rPr>
      </w:pPr>
      <w:r w:rsidRPr="003E00A2">
        <w:rPr>
          <w:rFonts w:cs="Arial" w:hint="cs"/>
          <w:b/>
          <w:bCs/>
          <w:rtl/>
        </w:rPr>
        <w:t xml:space="preserve">כתובות </w:t>
      </w:r>
      <w:r w:rsidRPr="003E00A2">
        <w:rPr>
          <w:rFonts w:cs="Arial" w:hint="cs"/>
          <w:b/>
          <w:bCs/>
          <w:sz w:val="16"/>
          <w:szCs w:val="16"/>
          <w:rtl/>
        </w:rPr>
        <w:t>(</w:t>
      </w:r>
      <w:r>
        <w:rPr>
          <w:rFonts w:cs="Arial" w:hint="cs"/>
          <w:b/>
          <w:bCs/>
          <w:sz w:val="16"/>
          <w:szCs w:val="16"/>
          <w:rtl/>
        </w:rPr>
        <w:t>ר"פ מציאת האשה</w:t>
      </w:r>
      <w:r w:rsidRPr="003E00A2">
        <w:rPr>
          <w:rFonts w:cs="Arial" w:hint="cs"/>
          <w:b/>
          <w:bCs/>
          <w:sz w:val="16"/>
          <w:szCs w:val="16"/>
          <w:rtl/>
        </w:rPr>
        <w:t xml:space="preserve">) </w:t>
      </w:r>
      <w:r w:rsidRPr="003E00A2">
        <w:rPr>
          <w:rFonts w:cs="Arial" w:hint="cs"/>
          <w:b/>
          <w:bCs/>
          <w:rtl/>
        </w:rPr>
        <w:t xml:space="preserve">סה ע"ב: </w:t>
      </w:r>
      <w:r w:rsidRPr="00E142C1">
        <w:rPr>
          <w:rFonts w:cs="Arial"/>
          <w:u w:val="double"/>
          <w:rtl/>
        </w:rPr>
        <w:t>מתני'</w:t>
      </w:r>
      <w:r>
        <w:rPr>
          <w:rFonts w:cs="Arial" w:hint="cs"/>
          <w:rtl/>
        </w:rPr>
        <w:t>:</w:t>
      </w:r>
      <w:r w:rsidRPr="00E142C1">
        <w:rPr>
          <w:rFonts w:cs="Arial"/>
          <w:rtl/>
        </w:rPr>
        <w:t xml:space="preserve"> מציאת האשה ומעשה ידיה לבעלה, וירושתה - הוא אוכל פירות בחייה</w:t>
      </w:r>
      <w:r>
        <w:rPr>
          <w:rFonts w:cs="Arial" w:hint="cs"/>
          <w:rtl/>
        </w:rPr>
        <w:t>..</w:t>
      </w:r>
      <w:r w:rsidRPr="00E142C1">
        <w:rPr>
          <w:rFonts w:cs="Arial"/>
          <w:rtl/>
        </w:rPr>
        <w:t>.</w:t>
      </w:r>
    </w:p>
    <w:p w14:paraId="77D8274F" w14:textId="6E17D0D9" w:rsidR="00187A95" w:rsidRPr="00422CA3" w:rsidRDefault="00422CA3" w:rsidP="00CC5E7A">
      <w:pPr>
        <w:rPr>
          <w:u w:val="single"/>
          <w:rtl/>
        </w:rPr>
      </w:pPr>
      <w:r w:rsidRPr="00422CA3">
        <w:rPr>
          <w:rFonts w:hint="cs"/>
          <w:u w:val="single"/>
          <w:rtl/>
        </w:rPr>
        <w:t>אכילת פירות תחת פדיונה:</w:t>
      </w:r>
    </w:p>
    <w:p w14:paraId="51C623C5" w14:textId="4174C0D6" w:rsidR="00035A9C" w:rsidRPr="00187A95" w:rsidRDefault="00035A9C" w:rsidP="009000E3">
      <w:pPr>
        <w:pStyle w:val="ab"/>
        <w:numPr>
          <w:ilvl w:val="0"/>
          <w:numId w:val="47"/>
        </w:numPr>
      </w:pPr>
      <w:r>
        <w:rPr>
          <w:rFonts w:cs="Arial" w:hint="cs"/>
          <w:rtl/>
        </w:rPr>
        <w:t xml:space="preserve">תוס' רמב"ם </w:t>
      </w:r>
      <w:r w:rsidRPr="00422CA3">
        <w:rPr>
          <w:rFonts w:cs="Arial"/>
          <w:rtl/>
        </w:rPr>
        <w:t xml:space="preserve">רמב"ן רשב"א רא"ש </w:t>
      </w:r>
      <w:r>
        <w:rPr>
          <w:rFonts w:cs="Arial" w:hint="cs"/>
          <w:rtl/>
        </w:rPr>
        <w:t>טור והה"מ</w:t>
      </w:r>
      <w:r>
        <w:rPr>
          <w:rStyle w:val="a7"/>
          <w:rFonts w:cs="Arial"/>
          <w:rtl/>
        </w:rPr>
        <w:footnoteReference w:id="842"/>
      </w:r>
      <w:r>
        <w:rPr>
          <w:rFonts w:cs="Arial" w:hint="cs"/>
          <w:rtl/>
        </w:rPr>
        <w:t xml:space="preserve"> </w:t>
      </w:r>
      <w:r w:rsidRPr="00422CA3">
        <w:rPr>
          <w:rFonts w:cs="Arial" w:hint="cs"/>
          <w:sz w:val="16"/>
          <w:szCs w:val="16"/>
          <w:rtl/>
        </w:rPr>
        <w:t>(</w:t>
      </w:r>
      <w:r>
        <w:rPr>
          <w:rFonts w:cs="Arial" w:hint="cs"/>
          <w:sz w:val="16"/>
          <w:szCs w:val="16"/>
          <w:rtl/>
        </w:rPr>
        <w:t>שם</w:t>
      </w:r>
      <w:r w:rsidRPr="00422CA3">
        <w:rPr>
          <w:rFonts w:cs="Arial"/>
          <w:sz w:val="16"/>
          <w:szCs w:val="16"/>
          <w:rtl/>
        </w:rPr>
        <w:t>)</w:t>
      </w:r>
      <w:r>
        <w:rPr>
          <w:rStyle w:val="a7"/>
          <w:rFonts w:cs="Arial"/>
          <w:rtl/>
        </w:rPr>
        <w:footnoteReference w:id="843"/>
      </w:r>
      <w:r w:rsidR="00121234">
        <w:rPr>
          <w:rFonts w:cs="Arial" w:hint="cs"/>
          <w:rtl/>
        </w:rPr>
        <w:t xml:space="preserve">- </w:t>
      </w:r>
      <w:r w:rsidR="007A228B" w:rsidRPr="007A228B">
        <w:rPr>
          <w:rFonts w:cs="Arial"/>
          <w:rtl/>
        </w:rPr>
        <w:t>האיש אוכל פירות של נכסי אשתו כל זמן שהיא תחתיו</w:t>
      </w:r>
      <w:r w:rsidR="008777DB">
        <w:rPr>
          <w:rFonts w:cs="Arial" w:hint="cs"/>
          <w:rtl/>
        </w:rPr>
        <w:t>,</w:t>
      </w:r>
      <w:r w:rsidR="007A228B" w:rsidRPr="007A228B">
        <w:rPr>
          <w:rFonts w:cs="Arial"/>
          <w:rtl/>
        </w:rPr>
        <w:t xml:space="preserve"> ותקנת חכמים הוא שתקנו לו זה תחת פדיונה שחייבוהו לפדותה</w:t>
      </w:r>
      <w:r w:rsidR="008777DB">
        <w:rPr>
          <w:rFonts w:cs="Arial" w:hint="cs"/>
          <w:rtl/>
        </w:rPr>
        <w:t>.</w:t>
      </w:r>
      <w:r w:rsidR="007A228B" w:rsidRPr="007A228B">
        <w:rPr>
          <w:rFonts w:cs="Arial"/>
          <w:rtl/>
        </w:rPr>
        <w:t xml:space="preserve"> </w:t>
      </w:r>
      <w:r>
        <w:rPr>
          <w:rFonts w:cs="Arial" w:hint="cs"/>
          <w:rtl/>
        </w:rPr>
        <w:t>ו</w:t>
      </w:r>
      <w:r w:rsidRPr="00035A9C">
        <w:rPr>
          <w:rFonts w:cs="Arial"/>
          <w:rtl/>
        </w:rPr>
        <w:t xml:space="preserve">אם אמר איני חפץ בפירותיה ולא אפדנה </w:t>
      </w:r>
      <w:r w:rsidRPr="00035A9C">
        <w:rPr>
          <w:rFonts w:cs="Arial" w:hint="cs"/>
          <w:rtl/>
        </w:rPr>
        <w:t xml:space="preserve">- </w:t>
      </w:r>
      <w:r w:rsidRPr="00035A9C">
        <w:rPr>
          <w:rFonts w:cs="Arial"/>
          <w:rtl/>
        </w:rPr>
        <w:t>אין שומעין לו</w:t>
      </w:r>
      <w:r w:rsidRPr="00035A9C">
        <w:rPr>
          <w:rFonts w:cs="Arial" w:hint="cs"/>
          <w:rtl/>
        </w:rPr>
        <w:t>,</w:t>
      </w:r>
      <w:r w:rsidRPr="00035A9C">
        <w:rPr>
          <w:rFonts w:cs="Arial"/>
          <w:rtl/>
        </w:rPr>
        <w:t xml:space="preserve"> דשמא לא יספיקו דמי פירותיה לפדיונה</w:t>
      </w:r>
      <w:r w:rsidRPr="00035A9C">
        <w:rPr>
          <w:rFonts w:cs="Arial" w:hint="cs"/>
          <w:rtl/>
        </w:rPr>
        <w:t>.</w:t>
      </w:r>
      <w:r w:rsidRPr="00035A9C">
        <w:rPr>
          <w:rFonts w:cs="Arial"/>
          <w:rtl/>
        </w:rPr>
        <w:t xml:space="preserve"> ואע</w:t>
      </w:r>
      <w:r w:rsidRPr="00035A9C">
        <w:rPr>
          <w:rFonts w:cs="Arial" w:hint="cs"/>
          <w:rtl/>
        </w:rPr>
        <w:t>"</w:t>
      </w:r>
      <w:r w:rsidRPr="00035A9C">
        <w:rPr>
          <w:rFonts w:cs="Arial"/>
          <w:rtl/>
        </w:rPr>
        <w:t>פ שהתקנה לטובתה א</w:t>
      </w:r>
      <w:r w:rsidRPr="00035A9C">
        <w:rPr>
          <w:rFonts w:cs="Arial" w:hint="cs"/>
          <w:rtl/>
        </w:rPr>
        <w:t xml:space="preserve">ם </w:t>
      </w:r>
      <w:r w:rsidRPr="00035A9C">
        <w:rPr>
          <w:rFonts w:cs="Arial"/>
          <w:rtl/>
        </w:rPr>
        <w:t>ת</w:t>
      </w:r>
      <w:r w:rsidRPr="00035A9C">
        <w:rPr>
          <w:rFonts w:cs="Arial" w:hint="cs"/>
          <w:rtl/>
        </w:rPr>
        <w:t>אמר</w:t>
      </w:r>
      <w:r w:rsidRPr="00035A9C">
        <w:rPr>
          <w:rFonts w:cs="Arial"/>
          <w:rtl/>
        </w:rPr>
        <w:t xml:space="preserve"> איני חפצה בה </w:t>
      </w:r>
      <w:r w:rsidRPr="00035A9C">
        <w:rPr>
          <w:rFonts w:cs="Arial" w:hint="cs"/>
          <w:rtl/>
        </w:rPr>
        <w:t xml:space="preserve">- </w:t>
      </w:r>
      <w:r w:rsidRPr="00035A9C">
        <w:rPr>
          <w:rFonts w:cs="Arial"/>
          <w:rtl/>
        </w:rPr>
        <w:t>אין שומעין לה</w:t>
      </w:r>
      <w:r w:rsidRPr="00035A9C">
        <w:rPr>
          <w:rFonts w:cs="Arial" w:hint="cs"/>
          <w:rtl/>
        </w:rPr>
        <w:t>,</w:t>
      </w:r>
      <w:r w:rsidRPr="00035A9C">
        <w:rPr>
          <w:rFonts w:cs="Arial"/>
          <w:rtl/>
        </w:rPr>
        <w:t xml:space="preserve"> כדי שלא תתערב בין ה</w:t>
      </w:r>
      <w:r w:rsidRPr="00035A9C">
        <w:rPr>
          <w:rFonts w:cs="Arial" w:hint="cs"/>
          <w:rtl/>
        </w:rPr>
        <w:t>גוים</w:t>
      </w:r>
      <w:r w:rsidR="000F3A24">
        <w:rPr>
          <w:rFonts w:cs="Arial" w:hint="cs"/>
          <w:rtl/>
        </w:rPr>
        <w:t>,</w:t>
      </w:r>
      <w:r w:rsidR="000F3A24" w:rsidRPr="000F3A24">
        <w:rPr>
          <w:rFonts w:cs="Arial"/>
          <w:rtl/>
        </w:rPr>
        <w:t xml:space="preserve"> </w:t>
      </w:r>
      <w:r w:rsidR="000F3A24" w:rsidRPr="007A228B">
        <w:rPr>
          <w:rFonts w:cs="Arial"/>
          <w:rtl/>
        </w:rPr>
        <w:t>אלא אוכל מכל נכסיה</w:t>
      </w:r>
      <w:r w:rsidR="004E3D79">
        <w:rPr>
          <w:rFonts w:cs="Arial" w:hint="cs"/>
          <w:rtl/>
        </w:rPr>
        <w:t>,</w:t>
      </w:r>
      <w:r w:rsidR="004E3D79" w:rsidRPr="004E3D79">
        <w:rPr>
          <w:rFonts w:cs="Arial"/>
          <w:rtl/>
        </w:rPr>
        <w:t xml:space="preserve"> </w:t>
      </w:r>
      <w:r w:rsidR="004E3D79" w:rsidRPr="007A228B">
        <w:rPr>
          <w:rFonts w:cs="Arial"/>
          <w:rtl/>
        </w:rPr>
        <w:t>ששני מיני נכסים יש לה</w:t>
      </w:r>
      <w:r w:rsidR="004E3D79">
        <w:rPr>
          <w:rFonts w:cs="Arial" w:hint="cs"/>
          <w:rtl/>
        </w:rPr>
        <w:t>,</w:t>
      </w:r>
      <w:r w:rsidR="004E3D79">
        <w:rPr>
          <w:rFonts w:cs="Arial" w:hint="cs"/>
          <w:sz w:val="16"/>
          <w:szCs w:val="16"/>
          <w:rtl/>
        </w:rPr>
        <w:t xml:space="preserve"> </w:t>
      </w:r>
      <w:r w:rsidR="004E3D79" w:rsidRPr="007A228B">
        <w:rPr>
          <w:rFonts w:cs="Arial"/>
          <w:rtl/>
        </w:rPr>
        <w:t>נכסי מלוג ונכסי צאן ברזל</w:t>
      </w:r>
      <w:r w:rsidRPr="00035A9C">
        <w:rPr>
          <w:rFonts w:cs="Arial" w:hint="cs"/>
          <w:sz w:val="16"/>
          <w:szCs w:val="16"/>
          <w:rtl/>
        </w:rPr>
        <w:t xml:space="preserve"> (ל' הטור)</w:t>
      </w:r>
      <w:r w:rsidRPr="00035A9C">
        <w:rPr>
          <w:rFonts w:cs="Arial" w:hint="cs"/>
          <w:rtl/>
        </w:rPr>
        <w:t>.</w:t>
      </w:r>
      <w:r w:rsidRPr="00035A9C">
        <w:rPr>
          <w:rFonts w:cs="Arial"/>
          <w:rtl/>
        </w:rPr>
        <w:t xml:space="preserve"> </w:t>
      </w:r>
      <w:r w:rsidRPr="007B430E">
        <w:rPr>
          <w:rFonts w:hint="cs"/>
          <w:color w:val="E36C0A" w:themeColor="accent6" w:themeShade="BF"/>
          <w:rtl/>
        </w:rPr>
        <w:t>(וכ"פ בשו"ע)</w:t>
      </w:r>
    </w:p>
    <w:p w14:paraId="5DB9EB60" w14:textId="77777777" w:rsidR="00B0447A" w:rsidRPr="00422CA3" w:rsidRDefault="00B0447A" w:rsidP="00B0447A">
      <w:pPr>
        <w:ind w:left="360"/>
        <w:rPr>
          <w:rFonts w:cs="Arial"/>
          <w:u w:val="dotted"/>
          <w:rtl/>
        </w:rPr>
      </w:pPr>
      <w:r w:rsidRPr="00422CA3">
        <w:rPr>
          <w:rFonts w:cs="Arial" w:hint="cs"/>
          <w:u w:val="dotted"/>
          <w:rtl/>
        </w:rPr>
        <w:t>האם האיש או האשה יכולים להיפטר באיזו דרך מתקנה זו</w:t>
      </w:r>
      <w:r>
        <w:rPr>
          <w:rFonts w:cs="Arial" w:hint="cs"/>
          <w:sz w:val="16"/>
          <w:szCs w:val="16"/>
          <w:u w:val="dotted"/>
          <w:rtl/>
        </w:rPr>
        <w:t xml:space="preserve"> (כגון אם מתנים כן קודם הנישואין)</w:t>
      </w:r>
      <w:r w:rsidRPr="00422CA3">
        <w:rPr>
          <w:rFonts w:cs="Arial" w:hint="cs"/>
          <w:u w:val="dotted"/>
          <w:rtl/>
        </w:rPr>
        <w:t xml:space="preserve">: </w:t>
      </w:r>
    </w:p>
    <w:p w14:paraId="4087B677" w14:textId="77777777" w:rsidR="00B0447A" w:rsidRPr="00422CA3" w:rsidRDefault="00B0447A" w:rsidP="009000E3">
      <w:pPr>
        <w:pStyle w:val="ab"/>
        <w:numPr>
          <w:ilvl w:val="0"/>
          <w:numId w:val="47"/>
        </w:numPr>
      </w:pPr>
      <w:r w:rsidRPr="006C4118">
        <w:rPr>
          <w:rFonts w:cs="Arial"/>
          <w:rtl/>
        </w:rPr>
        <w:t xml:space="preserve">רשב"ם </w:t>
      </w:r>
      <w:r w:rsidRPr="00422CA3">
        <w:rPr>
          <w:rFonts w:cs="Arial" w:hint="cs"/>
          <w:sz w:val="16"/>
          <w:szCs w:val="16"/>
          <w:rtl/>
        </w:rPr>
        <w:t>(</w:t>
      </w:r>
      <w:r w:rsidRPr="00422CA3">
        <w:rPr>
          <w:rFonts w:cs="Arial"/>
          <w:sz w:val="16"/>
          <w:szCs w:val="16"/>
          <w:rtl/>
        </w:rPr>
        <w:t>פרק חזקת ב"ב מט:</w:t>
      </w:r>
      <w:r w:rsidRPr="00422CA3">
        <w:rPr>
          <w:rFonts w:cs="Arial" w:hint="cs"/>
          <w:sz w:val="16"/>
          <w:szCs w:val="16"/>
          <w:rtl/>
        </w:rPr>
        <w:t xml:space="preserve"> </w:t>
      </w:r>
      <w:r w:rsidRPr="00422CA3">
        <w:rPr>
          <w:rFonts w:cs="Arial"/>
          <w:sz w:val="16"/>
          <w:szCs w:val="16"/>
          <w:rtl/>
        </w:rPr>
        <w:t>ד"ה כדרב הונא)</w:t>
      </w:r>
      <w:r>
        <w:rPr>
          <w:rFonts w:cs="Arial" w:hint="cs"/>
          <w:rtl/>
        </w:rPr>
        <w:t>-</w:t>
      </w:r>
      <w:r w:rsidRPr="006C4118">
        <w:rPr>
          <w:rFonts w:cs="Arial"/>
          <w:rtl/>
        </w:rPr>
        <w:t xml:space="preserve"> אם אמר כן בעודה ארוסה מועיל התנאי</w:t>
      </w:r>
      <w:r>
        <w:rPr>
          <w:rStyle w:val="a7"/>
          <w:rFonts w:cs="Arial"/>
          <w:rtl/>
        </w:rPr>
        <w:footnoteReference w:id="844"/>
      </w:r>
      <w:r>
        <w:rPr>
          <w:rFonts w:cs="Arial" w:hint="cs"/>
          <w:rtl/>
        </w:rPr>
        <w:t>.</w:t>
      </w:r>
      <w:r w:rsidRPr="006C4118">
        <w:rPr>
          <w:rFonts w:cs="Arial"/>
          <w:rtl/>
        </w:rPr>
        <w:t xml:space="preserve"> </w:t>
      </w:r>
    </w:p>
    <w:p w14:paraId="316FBEFC" w14:textId="17EA7ABC" w:rsidR="00B0447A" w:rsidRPr="00422CA3" w:rsidRDefault="00B0447A" w:rsidP="009000E3">
      <w:pPr>
        <w:pStyle w:val="ab"/>
        <w:numPr>
          <w:ilvl w:val="0"/>
          <w:numId w:val="47"/>
        </w:numPr>
      </w:pPr>
      <w:r>
        <w:rPr>
          <w:rFonts w:cs="Arial" w:hint="cs"/>
          <w:rtl/>
        </w:rPr>
        <w:t xml:space="preserve">תוס' </w:t>
      </w:r>
      <w:r w:rsidRPr="00422CA3">
        <w:rPr>
          <w:rFonts w:cs="Arial"/>
          <w:sz w:val="16"/>
          <w:szCs w:val="16"/>
          <w:rtl/>
        </w:rPr>
        <w:t>(</w:t>
      </w:r>
      <w:r w:rsidR="00035A9C">
        <w:rPr>
          <w:rFonts w:cs="Arial" w:hint="cs"/>
          <w:sz w:val="16"/>
          <w:szCs w:val="16"/>
          <w:rtl/>
        </w:rPr>
        <w:t>ב"ב מט:</w:t>
      </w:r>
      <w:r w:rsidRPr="00422CA3">
        <w:rPr>
          <w:rFonts w:cs="Arial"/>
          <w:sz w:val="16"/>
          <w:szCs w:val="16"/>
          <w:rtl/>
        </w:rPr>
        <w:t xml:space="preserve"> ד"ה יכולה)</w:t>
      </w:r>
      <w:r w:rsidRPr="00B0447A">
        <w:rPr>
          <w:rFonts w:cs="Arial"/>
          <w:rtl/>
        </w:rPr>
        <w:t xml:space="preserve"> </w:t>
      </w:r>
      <w:r w:rsidR="00035A9C">
        <w:rPr>
          <w:rFonts w:cs="Arial" w:hint="cs"/>
          <w:rtl/>
        </w:rPr>
        <w:t xml:space="preserve">רמב"ם </w:t>
      </w:r>
      <w:r w:rsidR="00035A9C" w:rsidRPr="00422CA3">
        <w:rPr>
          <w:rFonts w:cs="Arial" w:hint="cs"/>
          <w:sz w:val="16"/>
          <w:szCs w:val="16"/>
          <w:rtl/>
        </w:rPr>
        <w:t>(</w:t>
      </w:r>
      <w:r w:rsidR="00035A9C">
        <w:rPr>
          <w:rFonts w:cs="Arial" w:hint="cs"/>
          <w:sz w:val="16"/>
          <w:szCs w:val="16"/>
          <w:rtl/>
        </w:rPr>
        <w:t>שם</w:t>
      </w:r>
      <w:r w:rsidR="00035A9C" w:rsidRPr="00422CA3">
        <w:rPr>
          <w:rFonts w:cs="Arial"/>
          <w:sz w:val="16"/>
          <w:szCs w:val="16"/>
          <w:rtl/>
        </w:rPr>
        <w:t>)</w:t>
      </w:r>
      <w:r w:rsidR="00035A9C">
        <w:rPr>
          <w:rFonts w:cs="Arial" w:hint="cs"/>
          <w:rtl/>
        </w:rPr>
        <w:t xml:space="preserve"> </w:t>
      </w:r>
      <w:r w:rsidRPr="00422CA3">
        <w:rPr>
          <w:rFonts w:cs="Arial"/>
          <w:rtl/>
        </w:rPr>
        <w:t xml:space="preserve">רמב"ן </w:t>
      </w:r>
      <w:r w:rsidRPr="00B0447A">
        <w:rPr>
          <w:rFonts w:cs="Arial"/>
          <w:sz w:val="16"/>
          <w:szCs w:val="16"/>
          <w:rtl/>
        </w:rPr>
        <w:t>(</w:t>
      </w:r>
      <w:r w:rsidR="00035A9C">
        <w:rPr>
          <w:rFonts w:cs="Arial" w:hint="cs"/>
          <w:sz w:val="16"/>
          <w:szCs w:val="16"/>
          <w:rtl/>
        </w:rPr>
        <w:t>שם</w:t>
      </w:r>
      <w:r w:rsidRPr="00B0447A">
        <w:rPr>
          <w:rFonts w:cs="Arial"/>
          <w:sz w:val="16"/>
          <w:szCs w:val="16"/>
          <w:rtl/>
        </w:rPr>
        <w:t xml:space="preserve">) </w:t>
      </w:r>
      <w:r w:rsidRPr="00422CA3">
        <w:rPr>
          <w:rFonts w:cs="Arial"/>
          <w:rtl/>
        </w:rPr>
        <w:t xml:space="preserve">רשב"א </w:t>
      </w:r>
      <w:r w:rsidRPr="00B0447A">
        <w:rPr>
          <w:rFonts w:cs="Arial"/>
          <w:sz w:val="16"/>
          <w:szCs w:val="16"/>
          <w:rtl/>
        </w:rPr>
        <w:t>(שם)</w:t>
      </w:r>
      <w:r w:rsidRPr="00B0447A">
        <w:rPr>
          <w:rFonts w:cs="Arial" w:hint="cs"/>
          <w:rtl/>
        </w:rPr>
        <w:t xml:space="preserve"> </w:t>
      </w:r>
      <w:r w:rsidR="00035A9C">
        <w:rPr>
          <w:rFonts w:cs="Arial" w:hint="cs"/>
          <w:rtl/>
        </w:rPr>
        <w:t>והה"מ</w:t>
      </w:r>
      <w:r w:rsidR="00035A9C">
        <w:rPr>
          <w:rStyle w:val="a7"/>
          <w:rFonts w:cs="Arial"/>
          <w:rtl/>
        </w:rPr>
        <w:footnoteReference w:id="845"/>
      </w:r>
      <w:r w:rsidR="00035A9C">
        <w:rPr>
          <w:rFonts w:cs="Arial" w:hint="cs"/>
          <w:rtl/>
        </w:rPr>
        <w:t xml:space="preserve"> </w:t>
      </w:r>
      <w:r w:rsidR="00035A9C" w:rsidRPr="00422CA3">
        <w:rPr>
          <w:rFonts w:cs="Arial" w:hint="cs"/>
          <w:sz w:val="16"/>
          <w:szCs w:val="16"/>
          <w:rtl/>
        </w:rPr>
        <w:t>(</w:t>
      </w:r>
      <w:r w:rsidR="00035A9C">
        <w:rPr>
          <w:rFonts w:cs="Arial" w:hint="cs"/>
          <w:sz w:val="16"/>
          <w:szCs w:val="16"/>
          <w:rtl/>
        </w:rPr>
        <w:t>שם</w:t>
      </w:r>
      <w:r w:rsidR="00035A9C" w:rsidRPr="00422CA3">
        <w:rPr>
          <w:rFonts w:cs="Arial"/>
          <w:sz w:val="16"/>
          <w:szCs w:val="16"/>
          <w:rtl/>
        </w:rPr>
        <w:t>)</w:t>
      </w:r>
      <w:r>
        <w:rPr>
          <w:rFonts w:cs="Arial" w:hint="cs"/>
          <w:rtl/>
        </w:rPr>
        <w:t>- אינו מועיל.</w:t>
      </w:r>
      <w:r w:rsidR="00035A9C" w:rsidRPr="00035A9C">
        <w:rPr>
          <w:rFonts w:hint="cs"/>
          <w:color w:val="E36C0A" w:themeColor="accent6" w:themeShade="BF"/>
          <w:rtl/>
        </w:rPr>
        <w:t xml:space="preserve"> </w:t>
      </w:r>
      <w:r w:rsidR="00035A9C" w:rsidRPr="007B430E">
        <w:rPr>
          <w:rFonts w:hint="cs"/>
          <w:color w:val="E36C0A" w:themeColor="accent6" w:themeShade="BF"/>
          <w:rtl/>
        </w:rPr>
        <w:t>(וכ"פ בשו"ע)</w:t>
      </w:r>
    </w:p>
    <w:p w14:paraId="52E116DE" w14:textId="18B675A9" w:rsidR="00187A95" w:rsidRPr="006C4118" w:rsidRDefault="00187A95" w:rsidP="00187A95">
      <w:pPr>
        <w:rPr>
          <w:u w:val="single"/>
        </w:rPr>
      </w:pPr>
      <w:r w:rsidRPr="006C4118">
        <w:rPr>
          <w:rFonts w:hint="cs"/>
          <w:u w:val="single"/>
          <w:rtl/>
        </w:rPr>
        <w:t xml:space="preserve">אשה שהכניסה לבעלה </w:t>
      </w:r>
      <w:r w:rsidR="006C4118" w:rsidRPr="006C4118">
        <w:rPr>
          <w:rFonts w:hint="cs"/>
          <w:sz w:val="16"/>
          <w:szCs w:val="16"/>
          <w:u w:val="single"/>
          <w:rtl/>
        </w:rPr>
        <w:t>(</w:t>
      </w:r>
      <w:r w:rsidRPr="006C4118">
        <w:rPr>
          <w:rFonts w:hint="cs"/>
          <w:sz w:val="16"/>
          <w:szCs w:val="16"/>
          <w:u w:val="single"/>
          <w:rtl/>
        </w:rPr>
        <w:t>בנישואין</w:t>
      </w:r>
      <w:r w:rsidR="006C4118">
        <w:rPr>
          <w:rFonts w:hint="cs"/>
          <w:sz w:val="16"/>
          <w:szCs w:val="16"/>
          <w:u w:val="single"/>
          <w:rtl/>
        </w:rPr>
        <w:t>)</w:t>
      </w:r>
      <w:r w:rsidRPr="006C4118">
        <w:rPr>
          <w:rFonts w:hint="cs"/>
          <w:u w:val="single"/>
          <w:rtl/>
        </w:rPr>
        <w:t xml:space="preserve"> </w:t>
      </w:r>
      <w:r w:rsidR="006C4118">
        <w:rPr>
          <w:rFonts w:hint="cs"/>
          <w:u w:val="single"/>
          <w:rtl/>
        </w:rPr>
        <w:t>מלוה</w:t>
      </w:r>
      <w:r w:rsidR="006C4118" w:rsidRPr="006C4118">
        <w:rPr>
          <w:rFonts w:hint="cs"/>
          <w:u w:val="single"/>
          <w:rtl/>
        </w:rPr>
        <w:t xml:space="preserve"> </w:t>
      </w:r>
      <w:r w:rsidR="006C4118">
        <w:rPr>
          <w:rFonts w:hint="cs"/>
          <w:sz w:val="16"/>
          <w:szCs w:val="16"/>
          <w:u w:val="single"/>
          <w:rtl/>
        </w:rPr>
        <w:t xml:space="preserve">(בשט"ח/בע"פ) </w:t>
      </w:r>
      <w:r w:rsidR="006C4118" w:rsidRPr="006C4118">
        <w:rPr>
          <w:rFonts w:hint="cs"/>
          <w:u w:val="single"/>
          <w:rtl/>
        </w:rPr>
        <w:t>לזכותה:</w:t>
      </w:r>
    </w:p>
    <w:p w14:paraId="3900E605" w14:textId="796FD8E7" w:rsidR="001C326D" w:rsidRDefault="001C326D" w:rsidP="009000E3">
      <w:pPr>
        <w:pStyle w:val="ab"/>
        <w:numPr>
          <w:ilvl w:val="0"/>
          <w:numId w:val="47"/>
        </w:numPr>
        <w:rPr>
          <w:rtl/>
        </w:rPr>
      </w:pPr>
      <w:r w:rsidRPr="00187A95">
        <w:rPr>
          <w:rFonts w:cs="Arial"/>
          <w:rtl/>
        </w:rPr>
        <w:t>ספר התרומות</w:t>
      </w:r>
      <w:r w:rsidRPr="006C4118">
        <w:rPr>
          <w:rFonts w:cs="Arial"/>
          <w:sz w:val="16"/>
          <w:szCs w:val="16"/>
          <w:rtl/>
        </w:rPr>
        <w:t xml:space="preserve"> </w:t>
      </w:r>
      <w:r w:rsidR="00187A95" w:rsidRPr="006C4118">
        <w:rPr>
          <w:rFonts w:cs="Arial" w:hint="cs"/>
          <w:sz w:val="16"/>
          <w:szCs w:val="16"/>
          <w:rtl/>
        </w:rPr>
        <w:t>(</w:t>
      </w:r>
      <w:r w:rsidRPr="006C4118">
        <w:rPr>
          <w:rFonts w:cs="Arial"/>
          <w:sz w:val="16"/>
          <w:szCs w:val="16"/>
          <w:rtl/>
        </w:rPr>
        <w:t>שער נא ח"ו סי' ב)</w:t>
      </w:r>
      <w:r w:rsidR="00187A95" w:rsidRPr="00187A95">
        <w:rPr>
          <w:rFonts w:cs="Arial" w:hint="cs"/>
          <w:rtl/>
        </w:rPr>
        <w:t xml:space="preserve">- </w:t>
      </w:r>
      <w:r w:rsidRPr="00187A95">
        <w:rPr>
          <w:rFonts w:cs="Arial"/>
          <w:rtl/>
        </w:rPr>
        <w:t>המכנסת שטר חוב לבעלה</w:t>
      </w:r>
      <w:r w:rsidR="00187A95" w:rsidRPr="00187A95">
        <w:rPr>
          <w:rFonts w:cs="Arial" w:hint="cs"/>
          <w:rtl/>
        </w:rPr>
        <w:t>,</w:t>
      </w:r>
      <w:r w:rsidRPr="00187A95">
        <w:rPr>
          <w:rFonts w:cs="Arial"/>
          <w:rtl/>
        </w:rPr>
        <w:t xml:space="preserve"> אין צריך כתיבה ומסירה</w:t>
      </w:r>
      <w:r w:rsidR="00187A95" w:rsidRPr="00187A95">
        <w:rPr>
          <w:rFonts w:cs="Arial" w:hint="cs"/>
          <w:rtl/>
        </w:rPr>
        <w:t>.</w:t>
      </w:r>
      <w:r w:rsidRPr="00187A95">
        <w:rPr>
          <w:rFonts w:cs="Arial"/>
          <w:rtl/>
        </w:rPr>
        <w:t xml:space="preserve"> ומכנסת מלוה על פה לבעלה</w:t>
      </w:r>
      <w:r w:rsidR="00187A95" w:rsidRPr="00187A95">
        <w:rPr>
          <w:rFonts w:cs="Arial" w:hint="cs"/>
          <w:rtl/>
        </w:rPr>
        <w:t>,</w:t>
      </w:r>
      <w:r w:rsidRPr="00187A95">
        <w:rPr>
          <w:rFonts w:cs="Arial"/>
          <w:rtl/>
        </w:rPr>
        <w:t xml:space="preserve"> אין צריך מעמד שלשתן</w:t>
      </w:r>
      <w:r w:rsidR="00187A95" w:rsidRPr="00187A95">
        <w:rPr>
          <w:rFonts w:cs="Arial" w:hint="cs"/>
          <w:rtl/>
        </w:rPr>
        <w:t>,</w:t>
      </w:r>
      <w:r w:rsidRPr="00187A95">
        <w:rPr>
          <w:rFonts w:cs="Arial"/>
          <w:rtl/>
        </w:rPr>
        <w:t xml:space="preserve"> דה"ל דברים הנקנים באמירה מדרב גידל (שם קב.)</w:t>
      </w:r>
      <w:r w:rsidR="00187A95" w:rsidRPr="00187A95">
        <w:rPr>
          <w:rFonts w:cs="Arial" w:hint="cs"/>
          <w:rtl/>
        </w:rPr>
        <w:t>,</w:t>
      </w:r>
      <w:r w:rsidRPr="00187A95">
        <w:rPr>
          <w:rFonts w:cs="Arial"/>
          <w:rtl/>
        </w:rPr>
        <w:t xml:space="preserve"> ועוד שרבותינו תקנו שהבעל יזכה בפירות</w:t>
      </w:r>
      <w:r w:rsidR="00187A95" w:rsidRPr="00187A95">
        <w:rPr>
          <w:rFonts w:cs="Arial" w:hint="cs"/>
          <w:rtl/>
        </w:rPr>
        <w:t>,</w:t>
      </w:r>
      <w:r w:rsidRPr="00187A95">
        <w:rPr>
          <w:rFonts w:cs="Arial"/>
          <w:rtl/>
        </w:rPr>
        <w:t xml:space="preserve"> הילכך בכל מה שיש לאשה ידו כידה</w:t>
      </w:r>
      <w:r w:rsidR="00187A95" w:rsidRPr="00187A95">
        <w:rPr>
          <w:rFonts w:cs="Arial" w:hint="cs"/>
          <w:rtl/>
        </w:rPr>
        <w:t>.</w:t>
      </w:r>
    </w:p>
    <w:p w14:paraId="74065DCE"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23B90CA6" w14:textId="406F6FC1" w:rsidR="007A3469" w:rsidRDefault="007A3469" w:rsidP="007A3469">
      <w:pPr>
        <w:rPr>
          <w:rtl/>
        </w:rPr>
      </w:pPr>
      <w:r>
        <w:rPr>
          <w:rFonts w:cs="Arial"/>
          <w:rtl/>
        </w:rPr>
        <w:t xml:space="preserve">פירותיה כיצד, תקנו שיאכל פירות נכסי אשתו תחת פדיונה שחייבוהו לפדותה. ואם אמר: איני חפץ בפירותיה ולא אפדה, אין שומעין לו. וכן אם אמרה היא: איני חפצה בתקנה זו, אין שומעין לה. </w:t>
      </w:r>
    </w:p>
    <w:p w14:paraId="0E1F2372" w14:textId="77777777" w:rsidR="00F46615" w:rsidRDefault="00F46615" w:rsidP="007A3469">
      <w:pPr>
        <w:rPr>
          <w:rtl/>
        </w:rPr>
      </w:pPr>
    </w:p>
    <w:p w14:paraId="0D2701B1" w14:textId="45608B94" w:rsidR="007A3469" w:rsidRDefault="007A3469" w:rsidP="000F64D0">
      <w:pPr>
        <w:pStyle w:val="2"/>
        <w:rPr>
          <w:rtl/>
        </w:rPr>
      </w:pPr>
      <w:r>
        <w:rPr>
          <w:rtl/>
        </w:rPr>
        <w:lastRenderedPageBreak/>
        <w:t>סעיף ב</w:t>
      </w:r>
      <w:r w:rsidR="0052467B">
        <w:rPr>
          <w:rFonts w:hint="cs"/>
          <w:rtl/>
        </w:rPr>
        <w:t>:</w:t>
      </w:r>
      <w:r w:rsidR="00465630">
        <w:rPr>
          <w:rFonts w:hint="cs"/>
          <w:rtl/>
        </w:rPr>
        <w:t xml:space="preserve"> נכסי מלוג ונכסי צאן ברזל.</w:t>
      </w:r>
    </w:p>
    <w:p w14:paraId="06F920DE" w14:textId="237D1F13" w:rsidR="0052467B" w:rsidRDefault="0052467B" w:rsidP="0052467B">
      <w:pPr>
        <w:rPr>
          <w:rtl/>
        </w:rPr>
      </w:pPr>
      <w:r>
        <w:rPr>
          <w:rFonts w:cs="Arial" w:hint="cs"/>
          <w:b/>
          <w:bCs/>
          <w:rtl/>
        </w:rPr>
        <w:t>יבמות</w:t>
      </w:r>
      <w:r w:rsidR="00465630">
        <w:rPr>
          <w:rFonts w:cs="Arial" w:hint="cs"/>
          <w:b/>
          <w:bCs/>
          <w:sz w:val="16"/>
          <w:szCs w:val="16"/>
          <w:rtl/>
        </w:rPr>
        <w:t xml:space="preserve"> (ר"פ אלמנה לכה"ג)</w:t>
      </w:r>
      <w:r>
        <w:rPr>
          <w:rFonts w:cs="Arial" w:hint="cs"/>
          <w:b/>
          <w:bCs/>
          <w:rtl/>
        </w:rPr>
        <w:t xml:space="preserve"> סו</w:t>
      </w:r>
      <w:r w:rsidR="005A5C67">
        <w:rPr>
          <w:rStyle w:val="a7"/>
          <w:rFonts w:cs="Arial"/>
          <w:b/>
          <w:bCs/>
          <w:rtl/>
        </w:rPr>
        <w:footnoteReference w:id="846"/>
      </w:r>
      <w:r>
        <w:rPr>
          <w:rFonts w:cs="Arial" w:hint="cs"/>
          <w:b/>
          <w:bCs/>
          <w:rtl/>
        </w:rPr>
        <w:t xml:space="preserve"> ע"</w:t>
      </w:r>
      <w:r w:rsidR="00750751">
        <w:rPr>
          <w:rFonts w:cs="Arial" w:hint="cs"/>
          <w:b/>
          <w:bCs/>
          <w:rtl/>
        </w:rPr>
        <w:t>א</w:t>
      </w:r>
      <w:r>
        <w:rPr>
          <w:rFonts w:cs="Arial" w:hint="cs"/>
          <w:b/>
          <w:bCs/>
          <w:rtl/>
        </w:rPr>
        <w:t xml:space="preserve">: </w:t>
      </w:r>
      <w:r w:rsidRPr="0052467B">
        <w:rPr>
          <w:rFonts w:cs="Arial"/>
          <w:u w:val="double"/>
          <w:rtl/>
        </w:rPr>
        <w:t>מתני'</w:t>
      </w:r>
      <w:r>
        <w:rPr>
          <w:rFonts w:cs="Arial" w:hint="cs"/>
          <w:rtl/>
        </w:rPr>
        <w:t>:</w:t>
      </w:r>
      <w:r w:rsidRPr="0052467B">
        <w:rPr>
          <w:rFonts w:cs="Arial"/>
          <w:rtl/>
        </w:rPr>
        <w:t xml:space="preserve"> אלמנה לכהן גדול, גרושה וחלוצה לכהן הדיוט, הכניסה לו עבדי מלוג</w:t>
      </w:r>
      <w:r w:rsidR="00DE3527">
        <w:rPr>
          <w:rStyle w:val="a7"/>
          <w:rFonts w:cs="Arial"/>
          <w:rtl/>
        </w:rPr>
        <w:footnoteReference w:id="847"/>
      </w:r>
      <w:r w:rsidRPr="0052467B">
        <w:rPr>
          <w:rFonts w:cs="Arial"/>
          <w:rtl/>
        </w:rPr>
        <w:t xml:space="preserve"> ועבדי צאן ברזל, עבדי מלוג לא יאכלו</w:t>
      </w:r>
      <w:r w:rsidR="00EB63AD">
        <w:rPr>
          <w:rStyle w:val="a7"/>
          <w:rFonts w:cs="Arial"/>
          <w:rtl/>
        </w:rPr>
        <w:footnoteReference w:id="848"/>
      </w:r>
      <w:r w:rsidRPr="0052467B">
        <w:rPr>
          <w:rFonts w:cs="Arial"/>
          <w:rtl/>
        </w:rPr>
        <w:t xml:space="preserve"> בתרומה, עבדי צאן ברזל יאכלו. ואלו הן עבדי מלוג: אם מתו - מתו לה, ואם הותירו - הותירו לה, אף על פי שהוא חייב במזונותן - הרי אלו לא יאכלו בתרומה. ואלו הן עבדי צאן ברזל: אם מתו - מתו לו, ואם הותירו - הותירו לו, הואיל והוא חייב באחריותן - הרי אלו יאכלו בתרומה.</w:t>
      </w:r>
      <w:r w:rsidR="00465630">
        <w:rPr>
          <w:rFonts w:cs="Arial" w:hint="cs"/>
          <w:rtl/>
        </w:rPr>
        <w:t>..</w:t>
      </w:r>
    </w:p>
    <w:p w14:paraId="6B33B241" w14:textId="28A4AEE8" w:rsidR="00EB63AD" w:rsidRPr="00EB63AD" w:rsidRDefault="00EB63AD" w:rsidP="0052467B">
      <w:pPr>
        <w:rPr>
          <w:u w:val="single"/>
          <w:rtl/>
        </w:rPr>
      </w:pPr>
      <w:r w:rsidRPr="00EB63AD">
        <w:rPr>
          <w:rFonts w:hint="cs"/>
          <w:u w:val="single"/>
          <w:rtl/>
        </w:rPr>
        <w:t>נכסי מלוג ונכסי צאן ברזל:</w:t>
      </w:r>
    </w:p>
    <w:p w14:paraId="1839F501" w14:textId="3716A045" w:rsidR="00B31293" w:rsidRDefault="00121234" w:rsidP="009000E3">
      <w:pPr>
        <w:pStyle w:val="ab"/>
        <w:numPr>
          <w:ilvl w:val="0"/>
          <w:numId w:val="47"/>
        </w:numPr>
      </w:pPr>
      <w:r>
        <w:rPr>
          <w:rFonts w:cs="Arial" w:hint="cs"/>
          <w:rtl/>
        </w:rPr>
        <w:t xml:space="preserve">טור- </w:t>
      </w:r>
      <w:r w:rsidRPr="007A228B">
        <w:rPr>
          <w:rFonts w:cs="Arial"/>
          <w:rtl/>
        </w:rPr>
        <w:t>שני מיני נכסים יש לה</w:t>
      </w:r>
      <w:r w:rsidR="00EB63AD">
        <w:rPr>
          <w:rFonts w:cs="Arial" w:hint="cs"/>
          <w:rtl/>
        </w:rPr>
        <w:t>,</w:t>
      </w:r>
      <w:r w:rsidRPr="007A228B">
        <w:rPr>
          <w:rFonts w:cs="Arial"/>
          <w:rtl/>
        </w:rPr>
        <w:t xml:space="preserve"> נכסי מלוג ונכסי צאן ברזל</w:t>
      </w:r>
      <w:r w:rsidR="00EB63AD">
        <w:rPr>
          <w:rFonts w:cs="Arial" w:hint="cs"/>
          <w:rtl/>
        </w:rPr>
        <w:t>.</w:t>
      </w:r>
      <w:r w:rsidRPr="007A228B">
        <w:rPr>
          <w:rFonts w:cs="Arial"/>
          <w:rtl/>
        </w:rPr>
        <w:t xml:space="preserve"> נכסי צאן ברזל הם שמכנסת לו ושמין אותם וכותבין אותם בכתובתה ודא נדוניא דהנעלת ליה בגדים ותכשיטים</w:t>
      </w:r>
      <w:r w:rsidR="00EB63AD">
        <w:rPr>
          <w:rFonts w:cs="Arial" w:hint="cs"/>
          <w:rtl/>
        </w:rPr>
        <w:t>,</w:t>
      </w:r>
      <w:r w:rsidRPr="007A228B">
        <w:rPr>
          <w:rFonts w:cs="Arial"/>
          <w:rtl/>
        </w:rPr>
        <w:t xml:space="preserve"> ומקבל עליו אחריות</w:t>
      </w:r>
      <w:r w:rsidR="00EB63AD">
        <w:rPr>
          <w:rFonts w:cs="Arial" w:hint="cs"/>
          <w:rtl/>
        </w:rPr>
        <w:t>,</w:t>
      </w:r>
      <w:r w:rsidRPr="007A228B">
        <w:rPr>
          <w:rFonts w:cs="Arial"/>
          <w:rtl/>
        </w:rPr>
        <w:t xml:space="preserve"> שאם הם עבדים ובהמה ומתו </w:t>
      </w:r>
      <w:r w:rsidR="00EB63AD">
        <w:rPr>
          <w:rFonts w:cs="Arial" w:hint="cs"/>
          <w:rtl/>
        </w:rPr>
        <w:t xml:space="preserve">- </w:t>
      </w:r>
      <w:r w:rsidRPr="007A228B">
        <w:rPr>
          <w:rFonts w:cs="Arial"/>
          <w:rtl/>
        </w:rPr>
        <w:t>מתו לו</w:t>
      </w:r>
      <w:r w:rsidR="00EB63AD">
        <w:rPr>
          <w:rFonts w:cs="Arial" w:hint="cs"/>
          <w:rtl/>
        </w:rPr>
        <w:t>,</w:t>
      </w:r>
      <w:r w:rsidRPr="007A228B">
        <w:rPr>
          <w:rFonts w:cs="Arial"/>
          <w:rtl/>
        </w:rPr>
        <w:t xml:space="preserve"> ואם הותירו </w:t>
      </w:r>
      <w:r w:rsidR="00EB63AD">
        <w:rPr>
          <w:rFonts w:cs="Arial" w:hint="cs"/>
          <w:rtl/>
        </w:rPr>
        <w:t xml:space="preserve">- </w:t>
      </w:r>
      <w:r w:rsidRPr="007A228B">
        <w:rPr>
          <w:rFonts w:cs="Arial"/>
          <w:rtl/>
        </w:rPr>
        <w:t>הותירו לו</w:t>
      </w:r>
      <w:r w:rsidR="00EB63AD">
        <w:rPr>
          <w:rFonts w:cs="Arial" w:hint="cs"/>
          <w:rtl/>
        </w:rPr>
        <w:t>,</w:t>
      </w:r>
      <w:r w:rsidRPr="007A228B">
        <w:rPr>
          <w:rFonts w:cs="Arial"/>
          <w:rtl/>
        </w:rPr>
        <w:t xml:space="preserve"> ואם הם מטלטלים ופיחתו או הותירו או נגנבו או נאבדו </w:t>
      </w:r>
      <w:r w:rsidR="00EB63AD">
        <w:rPr>
          <w:rFonts w:cs="Arial" w:hint="cs"/>
          <w:rtl/>
        </w:rPr>
        <w:t xml:space="preserve">- </w:t>
      </w:r>
      <w:r w:rsidRPr="007A228B">
        <w:rPr>
          <w:rFonts w:cs="Arial"/>
          <w:rtl/>
        </w:rPr>
        <w:t>הכל הוא באחריותו</w:t>
      </w:r>
      <w:r w:rsidR="00EB63AD">
        <w:rPr>
          <w:rFonts w:cs="Arial" w:hint="cs"/>
          <w:rtl/>
        </w:rPr>
        <w:t>.</w:t>
      </w:r>
      <w:r w:rsidRPr="007A228B">
        <w:rPr>
          <w:rFonts w:cs="Arial"/>
          <w:rtl/>
        </w:rPr>
        <w:t xml:space="preserve"> ואם אינו מקבלן עליו באחריות אז נקראין נ</w:t>
      </w:r>
      <w:r w:rsidR="00EB63AD">
        <w:rPr>
          <w:rFonts w:cs="Arial" w:hint="cs"/>
          <w:rtl/>
        </w:rPr>
        <w:t xml:space="preserve">כסי </w:t>
      </w:r>
      <w:r w:rsidRPr="007A228B">
        <w:rPr>
          <w:rFonts w:cs="Arial"/>
          <w:rtl/>
        </w:rPr>
        <w:t>מ</w:t>
      </w:r>
      <w:r w:rsidR="00EB63AD">
        <w:rPr>
          <w:rFonts w:cs="Arial" w:hint="cs"/>
          <w:rtl/>
        </w:rPr>
        <w:t xml:space="preserve">לוג, </w:t>
      </w:r>
      <w:r w:rsidRPr="007A228B">
        <w:rPr>
          <w:rFonts w:cs="Arial"/>
          <w:rtl/>
        </w:rPr>
        <w:t xml:space="preserve">ואם פחתו או הותירו או נגנבו או נאבדו </w:t>
      </w:r>
      <w:r w:rsidR="00EB63AD">
        <w:rPr>
          <w:rFonts w:cs="Arial" w:hint="cs"/>
          <w:rtl/>
        </w:rPr>
        <w:t xml:space="preserve">- </w:t>
      </w:r>
      <w:r w:rsidRPr="007A228B">
        <w:rPr>
          <w:rFonts w:cs="Arial"/>
          <w:rtl/>
        </w:rPr>
        <w:t>אז הכל באחריותה</w:t>
      </w:r>
      <w:r w:rsidR="0052467B">
        <w:rPr>
          <w:rFonts w:cs="Arial" w:hint="cs"/>
          <w:rtl/>
        </w:rPr>
        <w:t>.</w:t>
      </w:r>
      <w:r w:rsidRPr="007A228B">
        <w:rPr>
          <w:rFonts w:cs="Arial"/>
          <w:rtl/>
        </w:rPr>
        <w:t xml:space="preserve"> </w:t>
      </w:r>
    </w:p>
    <w:p w14:paraId="4036F002" w14:textId="202C0740" w:rsidR="00BA73D9" w:rsidRDefault="00BA73D9" w:rsidP="009000E3">
      <w:pPr>
        <w:pStyle w:val="ab"/>
        <w:numPr>
          <w:ilvl w:val="0"/>
          <w:numId w:val="47"/>
        </w:numPr>
      </w:pPr>
      <w:r w:rsidRPr="00BA73D9">
        <w:rPr>
          <w:rFonts w:cs="Arial" w:hint="cs"/>
          <w:rtl/>
        </w:rPr>
        <w:t xml:space="preserve">רמב"ם </w:t>
      </w:r>
      <w:r w:rsidRPr="00BA73D9">
        <w:rPr>
          <w:rFonts w:cs="Arial" w:hint="cs"/>
          <w:sz w:val="16"/>
          <w:szCs w:val="16"/>
          <w:rtl/>
        </w:rPr>
        <w:t>(פט"ז מאישות ה"א-ב)</w:t>
      </w:r>
      <w:r w:rsidRPr="00BA73D9">
        <w:rPr>
          <w:rFonts w:cs="Arial" w:hint="cs"/>
          <w:rtl/>
        </w:rPr>
        <w:t xml:space="preserve">- </w:t>
      </w:r>
      <w:r w:rsidRPr="00BA73D9">
        <w:rPr>
          <w:rFonts w:cs="Arial"/>
          <w:rtl/>
        </w:rPr>
        <w:t>הנכסים שמכנסת האשה לבעלה בין קרקע בין מטלטלין בין עבדים אע</w:t>
      </w:r>
      <w:r w:rsidR="00646A69">
        <w:rPr>
          <w:rFonts w:cs="Arial" w:hint="cs"/>
          <w:rtl/>
        </w:rPr>
        <w:t>"</w:t>
      </w:r>
      <w:r w:rsidRPr="00BA73D9">
        <w:rPr>
          <w:rFonts w:cs="Arial"/>
          <w:rtl/>
        </w:rPr>
        <w:t>פ שהן נכתבין בשטר כתובה אינן נקראין כתובה</w:t>
      </w:r>
      <w:r w:rsidR="00E84812">
        <w:rPr>
          <w:rFonts w:cs="Arial" w:hint="cs"/>
          <w:rtl/>
        </w:rPr>
        <w:t>,</w:t>
      </w:r>
      <w:r w:rsidRPr="00BA73D9">
        <w:rPr>
          <w:rFonts w:cs="Arial"/>
          <w:rtl/>
        </w:rPr>
        <w:t xml:space="preserve"> אלא נדוניא שמם</w:t>
      </w:r>
      <w:r w:rsidR="00E84812">
        <w:rPr>
          <w:rFonts w:cs="Arial" w:hint="cs"/>
          <w:rtl/>
        </w:rPr>
        <w:t>.</w:t>
      </w:r>
      <w:r w:rsidRPr="00BA73D9">
        <w:rPr>
          <w:rFonts w:cs="Arial"/>
          <w:rtl/>
        </w:rPr>
        <w:t xml:space="preserve"> ואם קיבל הבעל אחריות הנדוניא עליו ונעשית ברשותו</w:t>
      </w:r>
      <w:r w:rsidR="00E84812">
        <w:rPr>
          <w:rFonts w:cs="Arial" w:hint="cs"/>
          <w:rtl/>
        </w:rPr>
        <w:t>,</w:t>
      </w:r>
      <w:r w:rsidRPr="00BA73D9">
        <w:rPr>
          <w:rFonts w:cs="Arial"/>
          <w:rtl/>
        </w:rPr>
        <w:t xml:space="preserve"> אם פחתה פחתה לו ואם הותירה הותירה לו</w:t>
      </w:r>
      <w:r w:rsidR="00E84812">
        <w:rPr>
          <w:rFonts w:cs="Arial" w:hint="cs"/>
          <w:rtl/>
        </w:rPr>
        <w:t>,</w:t>
      </w:r>
      <w:r w:rsidRPr="00BA73D9">
        <w:rPr>
          <w:rFonts w:cs="Arial"/>
          <w:rtl/>
        </w:rPr>
        <w:t xml:space="preserve"> הרי זו נקראת נכסי צאן ברזל</w:t>
      </w:r>
      <w:r w:rsidR="00E84812">
        <w:rPr>
          <w:rFonts w:cs="Arial" w:hint="cs"/>
          <w:rtl/>
        </w:rPr>
        <w:t>.</w:t>
      </w:r>
      <w:r w:rsidRPr="00BA73D9">
        <w:rPr>
          <w:rFonts w:cs="Arial"/>
          <w:rtl/>
        </w:rPr>
        <w:t xml:space="preserve"> ואם לא קיבל אחריות הנדוניא עליו</w:t>
      </w:r>
      <w:r w:rsidR="00E84812">
        <w:rPr>
          <w:rFonts w:cs="Arial" w:hint="cs"/>
          <w:rtl/>
        </w:rPr>
        <w:t>,</w:t>
      </w:r>
      <w:r w:rsidRPr="00BA73D9">
        <w:rPr>
          <w:rFonts w:cs="Arial"/>
          <w:rtl/>
        </w:rPr>
        <w:t xml:space="preserve"> אלא הרי היא ברשות האשה אם פחתה פחתה לה ואם הותירה הותירה לה</w:t>
      </w:r>
      <w:r w:rsidR="00E84812">
        <w:rPr>
          <w:rFonts w:cs="Arial" w:hint="cs"/>
          <w:rtl/>
        </w:rPr>
        <w:t>,</w:t>
      </w:r>
      <w:r w:rsidRPr="00BA73D9">
        <w:rPr>
          <w:rFonts w:cs="Arial"/>
          <w:rtl/>
        </w:rPr>
        <w:t xml:space="preserve"> הרי זו נקראת נכסי מלוג. וכן כל נכסים שיש לאשה שלא הכניסה אותן לבעלה ולא כתבה אותן בכתובה אלא נשארו לה לעצמה, או נפלו לה בירושה אחר שנתארסה או נתנו לה במתנה, הכל נקראין נכסי מלוג שכולן ברשותה הן</w:t>
      </w:r>
      <w:r w:rsidR="00646A69">
        <w:rPr>
          <w:rFonts w:cs="Arial" w:hint="cs"/>
          <w:rtl/>
        </w:rPr>
        <w:t>.</w:t>
      </w:r>
      <w:r w:rsidRPr="00BA73D9">
        <w:rPr>
          <w:rFonts w:cs="Arial"/>
          <w:rtl/>
        </w:rPr>
        <w:t xml:space="preserve"> ואין נקרא כתובה אלא עיקר כתובה שהוא מאה או מאתים עם התוספת בלבד.</w:t>
      </w:r>
    </w:p>
    <w:p w14:paraId="461D7846" w14:textId="5DB8B5D7" w:rsidR="00E84812" w:rsidRPr="00E84812" w:rsidRDefault="00E84812" w:rsidP="00E84812">
      <w:pPr>
        <w:ind w:left="360"/>
        <w:rPr>
          <w:u w:val="dotted"/>
        </w:rPr>
      </w:pPr>
      <w:r w:rsidRPr="00E84812">
        <w:rPr>
          <w:rFonts w:hint="cs"/>
          <w:u w:val="dotted"/>
          <w:rtl/>
        </w:rPr>
        <w:t>הם יש הבדל בין נדוניא לכתובה:</w:t>
      </w:r>
    </w:p>
    <w:p w14:paraId="10BA3780" w14:textId="560B6EAD" w:rsidR="002479DC" w:rsidRPr="002479DC" w:rsidRDefault="002479DC" w:rsidP="009000E3">
      <w:pPr>
        <w:pStyle w:val="ab"/>
        <w:numPr>
          <w:ilvl w:val="0"/>
          <w:numId w:val="47"/>
        </w:numPr>
      </w:pPr>
      <w:r>
        <w:rPr>
          <w:rFonts w:cs="Arial" w:hint="cs"/>
          <w:rtl/>
        </w:rPr>
        <w:t xml:space="preserve">רמב"ם </w:t>
      </w:r>
      <w:r>
        <w:rPr>
          <w:rFonts w:cs="Arial" w:hint="cs"/>
          <w:sz w:val="16"/>
          <w:szCs w:val="16"/>
          <w:rtl/>
        </w:rPr>
        <w:t>(שם)</w:t>
      </w:r>
      <w:r w:rsidR="00E84812">
        <w:rPr>
          <w:rFonts w:cs="Arial" w:hint="cs"/>
          <w:rtl/>
        </w:rPr>
        <w:t>-</w:t>
      </w:r>
      <w:r w:rsidR="00E84812" w:rsidRPr="00E84812">
        <w:rPr>
          <w:rFonts w:cs="Arial"/>
          <w:rtl/>
        </w:rPr>
        <w:t xml:space="preserve"> </w:t>
      </w:r>
      <w:r w:rsidR="00A9006E" w:rsidRPr="00BA73D9">
        <w:rPr>
          <w:rFonts w:cs="Arial"/>
          <w:rtl/>
        </w:rPr>
        <w:t>הנכסים שמכנסת האשה לבעלה בין קרקע בין מטלטלין בין עבדים אע</w:t>
      </w:r>
      <w:r w:rsidR="00A9006E">
        <w:rPr>
          <w:rFonts w:cs="Arial" w:hint="cs"/>
          <w:rtl/>
        </w:rPr>
        <w:t>"</w:t>
      </w:r>
      <w:r w:rsidR="00A9006E" w:rsidRPr="00BA73D9">
        <w:rPr>
          <w:rFonts w:cs="Arial"/>
          <w:rtl/>
        </w:rPr>
        <w:t>פ שהן נכתבין בשטר כתובה אינן נקראין כתובה</w:t>
      </w:r>
      <w:r w:rsidR="00A9006E">
        <w:rPr>
          <w:rFonts w:cs="Arial" w:hint="cs"/>
          <w:rtl/>
        </w:rPr>
        <w:t>,</w:t>
      </w:r>
      <w:r w:rsidR="00A9006E" w:rsidRPr="00BA73D9">
        <w:rPr>
          <w:rFonts w:cs="Arial"/>
          <w:rtl/>
        </w:rPr>
        <w:t xml:space="preserve"> אלא נדוניא שמם</w:t>
      </w:r>
      <w:r w:rsidR="00A9006E">
        <w:rPr>
          <w:rFonts w:cs="Arial" w:hint="cs"/>
          <w:rtl/>
        </w:rPr>
        <w:t>...</w:t>
      </w:r>
      <w:r w:rsidR="00A9006E" w:rsidRPr="00BA73D9">
        <w:rPr>
          <w:rFonts w:cs="Arial"/>
          <w:rtl/>
        </w:rPr>
        <w:t xml:space="preserve"> ואין נקרא כתובה אלא עיקר כתובה שהוא מאה או מאתים עם התוספת בלבד</w:t>
      </w:r>
      <w:r>
        <w:rPr>
          <w:rStyle w:val="a7"/>
          <w:rFonts w:cs="Arial"/>
          <w:rtl/>
        </w:rPr>
        <w:footnoteReference w:id="849"/>
      </w:r>
      <w:r>
        <w:rPr>
          <w:rFonts w:cs="Arial" w:hint="cs"/>
          <w:rtl/>
        </w:rPr>
        <w:t>.</w:t>
      </w:r>
      <w:r w:rsidR="0021779F">
        <w:rPr>
          <w:rFonts w:cs="Arial" w:hint="cs"/>
          <w:rtl/>
        </w:rPr>
        <w:t xml:space="preserve"> </w:t>
      </w:r>
      <w:r w:rsidR="00E84812" w:rsidRPr="00E84812">
        <w:rPr>
          <w:rFonts w:cs="Arial"/>
          <w:rtl/>
        </w:rPr>
        <w:t xml:space="preserve"> </w:t>
      </w:r>
    </w:p>
    <w:p w14:paraId="5BD20364" w14:textId="237039C9" w:rsidR="00593A0D" w:rsidRPr="00593A0D" w:rsidRDefault="00E84812" w:rsidP="009000E3">
      <w:pPr>
        <w:pStyle w:val="ab"/>
        <w:numPr>
          <w:ilvl w:val="0"/>
          <w:numId w:val="47"/>
        </w:numPr>
      </w:pPr>
      <w:r w:rsidRPr="00E84812">
        <w:rPr>
          <w:rFonts w:cs="Arial"/>
          <w:rtl/>
        </w:rPr>
        <w:t xml:space="preserve">רמב"ן </w:t>
      </w:r>
      <w:r w:rsidR="002479DC" w:rsidRPr="00593A0D">
        <w:rPr>
          <w:rFonts w:cs="Arial" w:hint="cs"/>
          <w:sz w:val="16"/>
          <w:szCs w:val="16"/>
          <w:rtl/>
        </w:rPr>
        <w:t>(</w:t>
      </w:r>
      <w:r w:rsidR="00593A0D" w:rsidRPr="00593A0D">
        <w:rPr>
          <w:rFonts w:cs="Arial" w:hint="cs"/>
          <w:sz w:val="16"/>
          <w:szCs w:val="16"/>
          <w:rtl/>
        </w:rPr>
        <w:t>כתובות נד: ד"ה והא</w:t>
      </w:r>
      <w:r w:rsidR="004C5DE2">
        <w:rPr>
          <w:rFonts w:cs="Arial" w:hint="cs"/>
          <w:sz w:val="16"/>
          <w:szCs w:val="16"/>
          <w:rtl/>
        </w:rPr>
        <w:t>, הביאו הה"מ</w:t>
      </w:r>
      <w:r w:rsidR="00593A0D" w:rsidRPr="00593A0D">
        <w:rPr>
          <w:rFonts w:cs="Arial" w:hint="cs"/>
          <w:sz w:val="16"/>
          <w:szCs w:val="16"/>
          <w:rtl/>
        </w:rPr>
        <w:t>)</w:t>
      </w:r>
      <w:r w:rsidR="00593A0D">
        <w:rPr>
          <w:rFonts w:cs="Arial" w:hint="cs"/>
          <w:rtl/>
        </w:rPr>
        <w:t xml:space="preserve">- </w:t>
      </w:r>
      <w:r w:rsidR="00593A0D" w:rsidRPr="00593A0D">
        <w:rPr>
          <w:rFonts w:cs="Arial"/>
          <w:rtl/>
        </w:rPr>
        <w:t>נדוניא כתובה שמה בכל מקום</w:t>
      </w:r>
      <w:r w:rsidR="00593A0D">
        <w:rPr>
          <w:rFonts w:cs="Arial" w:hint="cs"/>
          <w:rtl/>
        </w:rPr>
        <w:t>...</w:t>
      </w:r>
      <w:r w:rsidR="00593A0D" w:rsidRPr="00593A0D">
        <w:rPr>
          <w:rFonts w:cs="Arial"/>
          <w:rtl/>
        </w:rPr>
        <w:t xml:space="preserve"> הלכך כל דיני כתובה דמנה מאתים </w:t>
      </w:r>
      <w:r w:rsidR="006416D8">
        <w:rPr>
          <w:rFonts w:cs="Arial" w:hint="cs"/>
          <w:rtl/>
        </w:rPr>
        <w:t xml:space="preserve">- </w:t>
      </w:r>
      <w:r w:rsidR="00593A0D">
        <w:rPr>
          <w:rFonts w:cs="Arial" w:hint="cs"/>
          <w:rtl/>
        </w:rPr>
        <w:t>כ</w:t>
      </w:r>
      <w:r w:rsidR="00593A0D" w:rsidRPr="00593A0D">
        <w:rPr>
          <w:rFonts w:cs="Arial"/>
          <w:rtl/>
        </w:rPr>
        <w:t>נכסי צאן ברזל</w:t>
      </w:r>
      <w:r w:rsidR="006416D8">
        <w:rPr>
          <w:rFonts w:cs="Arial" w:hint="cs"/>
          <w:rtl/>
        </w:rPr>
        <w:t>.</w:t>
      </w:r>
      <w:r w:rsidR="00593A0D" w:rsidRPr="00593A0D">
        <w:rPr>
          <w:rFonts w:cs="Arial"/>
          <w:rtl/>
        </w:rPr>
        <w:t xml:space="preserve"> ומיהו דוקא בדליתנהו ובאה לגבות מנכסיו בשעבוד דכתובה</w:t>
      </w:r>
      <w:r w:rsidR="006416D8">
        <w:rPr>
          <w:rFonts w:cs="Arial" w:hint="cs"/>
          <w:rtl/>
        </w:rPr>
        <w:t>,</w:t>
      </w:r>
      <w:r w:rsidR="00593A0D" w:rsidRPr="00593A0D">
        <w:rPr>
          <w:rFonts w:cs="Arial"/>
          <w:rtl/>
        </w:rPr>
        <w:t xml:space="preserve"> אבל היכי דאיתנהו </w:t>
      </w:r>
      <w:r w:rsidR="006416D8">
        <w:rPr>
          <w:rFonts w:cs="Arial" w:hint="cs"/>
          <w:rtl/>
        </w:rPr>
        <w:t xml:space="preserve">- </w:t>
      </w:r>
      <w:r w:rsidR="00593A0D" w:rsidRPr="00593A0D">
        <w:rPr>
          <w:rFonts w:cs="Arial"/>
          <w:rtl/>
        </w:rPr>
        <w:t>לא</w:t>
      </w:r>
      <w:r w:rsidR="006416D8">
        <w:rPr>
          <w:rFonts w:cs="Arial" w:hint="cs"/>
          <w:rtl/>
        </w:rPr>
        <w:t>,</w:t>
      </w:r>
      <w:r w:rsidR="00593A0D" w:rsidRPr="00593A0D">
        <w:rPr>
          <w:rFonts w:cs="Arial"/>
          <w:rtl/>
        </w:rPr>
        <w:t xml:space="preserve"> שאפילו זנתה לא הפסידה בלאותי' הקיימין דנכסי צאן ברזל</w:t>
      </w:r>
      <w:r w:rsidR="00593A0D">
        <w:rPr>
          <w:rFonts w:cs="Arial" w:hint="cs"/>
          <w:rtl/>
        </w:rPr>
        <w:t>.</w:t>
      </w:r>
      <w:r w:rsidR="00593A0D" w:rsidRPr="00593A0D">
        <w:rPr>
          <w:rFonts w:cs="Arial"/>
          <w:rtl/>
        </w:rPr>
        <w:t xml:space="preserve"> </w:t>
      </w:r>
    </w:p>
    <w:p w14:paraId="573B7FFC" w14:textId="18066A07" w:rsidR="00E84812" w:rsidRPr="00B31293" w:rsidRDefault="00E84812" w:rsidP="009000E3">
      <w:pPr>
        <w:pStyle w:val="ab"/>
        <w:numPr>
          <w:ilvl w:val="0"/>
          <w:numId w:val="47"/>
        </w:numPr>
        <w:rPr>
          <w:rtl/>
        </w:rPr>
      </w:pPr>
      <w:r w:rsidRPr="00E84812">
        <w:rPr>
          <w:rFonts w:cs="Arial"/>
          <w:rtl/>
        </w:rPr>
        <w:t>רשב"</w:t>
      </w:r>
      <w:r w:rsidR="00593A0D">
        <w:rPr>
          <w:rFonts w:cs="Arial" w:hint="cs"/>
          <w:rtl/>
        </w:rPr>
        <w:t>א</w:t>
      </w:r>
      <w:r w:rsidR="004C5DE2" w:rsidRPr="004C5DE2">
        <w:rPr>
          <w:rFonts w:cs="Arial" w:hint="cs"/>
          <w:sz w:val="16"/>
          <w:szCs w:val="16"/>
          <w:rtl/>
        </w:rPr>
        <w:t xml:space="preserve"> </w:t>
      </w:r>
      <w:r w:rsidR="004C5DE2">
        <w:rPr>
          <w:rFonts w:cs="Arial" w:hint="cs"/>
          <w:sz w:val="16"/>
          <w:szCs w:val="16"/>
          <w:rtl/>
        </w:rPr>
        <w:t>(כ"כ הה"מ בשמו)</w:t>
      </w:r>
      <w:r w:rsidR="00593A0D">
        <w:rPr>
          <w:rFonts w:cs="Arial" w:hint="cs"/>
          <w:rtl/>
        </w:rPr>
        <w:t xml:space="preserve">- </w:t>
      </w:r>
      <w:r w:rsidRPr="00E84812">
        <w:rPr>
          <w:rFonts w:cs="Arial"/>
          <w:rtl/>
        </w:rPr>
        <w:t>ודאי הנדוניא בכלל לשון הכתובה</w:t>
      </w:r>
      <w:r w:rsidR="004F4B0D">
        <w:rPr>
          <w:rFonts w:cs="Arial" w:hint="cs"/>
          <w:rtl/>
        </w:rPr>
        <w:t>,</w:t>
      </w:r>
      <w:r w:rsidRPr="00E84812">
        <w:rPr>
          <w:rFonts w:cs="Arial"/>
          <w:rtl/>
        </w:rPr>
        <w:t xml:space="preserve"> ונפקא מינה למוכרת ומוחלת דמשום לישנא אתינן לה כלומר שבכלל מה שאמרה כתובתי מכורה לך מחולה לך</w:t>
      </w:r>
      <w:r w:rsidR="00051ECB">
        <w:rPr>
          <w:rFonts w:cs="Arial" w:hint="cs"/>
          <w:rtl/>
        </w:rPr>
        <w:t xml:space="preserve"> -</w:t>
      </w:r>
      <w:r w:rsidRPr="00E84812">
        <w:rPr>
          <w:rFonts w:cs="Arial"/>
          <w:rtl/>
        </w:rPr>
        <w:t xml:space="preserve"> היא אפילו הנדוניא</w:t>
      </w:r>
      <w:r w:rsidR="004F4B0D">
        <w:rPr>
          <w:rFonts w:cs="Arial" w:hint="cs"/>
          <w:rtl/>
        </w:rPr>
        <w:t>,</w:t>
      </w:r>
      <w:r w:rsidRPr="00E84812">
        <w:rPr>
          <w:rFonts w:cs="Arial"/>
          <w:rtl/>
        </w:rPr>
        <w:t xml:space="preserve"> שהכל נקרא כתובה והלשון כולל אותם</w:t>
      </w:r>
      <w:r w:rsidR="004F4B0D">
        <w:rPr>
          <w:rFonts w:cs="Arial" w:hint="cs"/>
          <w:rtl/>
        </w:rPr>
        <w:t>.</w:t>
      </w:r>
      <w:r w:rsidRPr="00E84812">
        <w:rPr>
          <w:rFonts w:cs="Arial"/>
          <w:rtl/>
        </w:rPr>
        <w:t xml:space="preserve"> אבל לדיניהם</w:t>
      </w:r>
      <w:r w:rsidR="004F4B0D">
        <w:rPr>
          <w:rFonts w:cs="Arial" w:hint="cs"/>
          <w:rtl/>
        </w:rPr>
        <w:t>,</w:t>
      </w:r>
      <w:r w:rsidRPr="00E84812">
        <w:rPr>
          <w:rFonts w:cs="Arial"/>
          <w:rtl/>
        </w:rPr>
        <w:t xml:space="preserve"> בכל מה שאין הלשון גורם </w:t>
      </w:r>
      <w:r w:rsidR="004F4B0D">
        <w:rPr>
          <w:rFonts w:cs="Arial" w:hint="cs"/>
          <w:rtl/>
        </w:rPr>
        <w:t xml:space="preserve">- </w:t>
      </w:r>
      <w:r w:rsidRPr="00E84812">
        <w:rPr>
          <w:rFonts w:cs="Arial"/>
          <w:rtl/>
        </w:rPr>
        <w:t>אין הנדוניא בכלל העיקר</w:t>
      </w:r>
      <w:r w:rsidR="004F4B0D">
        <w:rPr>
          <w:rFonts w:cs="Arial" w:hint="cs"/>
          <w:rtl/>
        </w:rPr>
        <w:t>,</w:t>
      </w:r>
      <w:r w:rsidRPr="00E84812">
        <w:rPr>
          <w:rFonts w:cs="Arial"/>
          <w:rtl/>
        </w:rPr>
        <w:t xml:space="preserve"> דהתם שנו קולי דכתובה משום דמדידיה יהיב לה</w:t>
      </w:r>
      <w:r w:rsidR="004C5DE2">
        <w:rPr>
          <w:rFonts w:cs="Arial" w:hint="cs"/>
          <w:rtl/>
        </w:rPr>
        <w:t>,</w:t>
      </w:r>
      <w:r w:rsidRPr="00E84812">
        <w:rPr>
          <w:rFonts w:cs="Arial"/>
          <w:rtl/>
        </w:rPr>
        <w:t xml:space="preserve"> ונדוניא משלה היא ולמה נקל יותר משאר חובות דעלמא</w:t>
      </w:r>
      <w:r w:rsidR="004F4B0D">
        <w:rPr>
          <w:rFonts w:cs="Arial" w:hint="cs"/>
          <w:sz w:val="16"/>
          <w:szCs w:val="16"/>
          <w:rtl/>
        </w:rPr>
        <w:t xml:space="preserve"> (ל' הה"מ בשמו)</w:t>
      </w:r>
      <w:r w:rsidRPr="00E84812">
        <w:rPr>
          <w:rFonts w:cs="Arial"/>
          <w:rtl/>
        </w:rPr>
        <w:t>.</w:t>
      </w:r>
    </w:p>
    <w:p w14:paraId="7E25AE0E" w14:textId="6EE5369F" w:rsidR="00B31293" w:rsidRPr="00BA73D9" w:rsidRDefault="00B31293" w:rsidP="00BA73D9">
      <w:pPr>
        <w:rPr>
          <w:rFonts w:cs="Arial"/>
          <w:rtl/>
        </w:rPr>
      </w:pPr>
      <w:r>
        <w:rPr>
          <w:rFonts w:cs="Arial" w:hint="cs"/>
          <w:b/>
          <w:bCs/>
          <w:rtl/>
        </w:rPr>
        <w:t xml:space="preserve">בבא מציעא </w:t>
      </w:r>
      <w:r w:rsidRPr="00253C68">
        <w:rPr>
          <w:rFonts w:cs="Arial" w:hint="cs"/>
          <w:b/>
          <w:bCs/>
          <w:sz w:val="16"/>
          <w:szCs w:val="16"/>
          <w:rtl/>
        </w:rPr>
        <w:t>(</w:t>
      </w:r>
      <w:r>
        <w:rPr>
          <w:rFonts w:cs="Arial" w:hint="cs"/>
          <w:b/>
          <w:bCs/>
          <w:sz w:val="16"/>
          <w:szCs w:val="16"/>
          <w:rtl/>
        </w:rPr>
        <w:t>פ' השואל</w:t>
      </w:r>
      <w:r w:rsidRPr="00253C68">
        <w:rPr>
          <w:rFonts w:cs="Arial" w:hint="cs"/>
          <w:b/>
          <w:bCs/>
          <w:sz w:val="16"/>
          <w:szCs w:val="16"/>
          <w:rtl/>
        </w:rPr>
        <w:t xml:space="preserve">) </w:t>
      </w:r>
      <w:r>
        <w:rPr>
          <w:rFonts w:cs="Arial" w:hint="cs"/>
          <w:b/>
          <w:bCs/>
          <w:rtl/>
        </w:rPr>
        <w:t xml:space="preserve">צו ע"א: </w:t>
      </w:r>
      <w:r w:rsidRPr="00253C68">
        <w:rPr>
          <w:rFonts w:cs="Arial"/>
          <w:u w:val="single"/>
          <w:rtl/>
        </w:rPr>
        <w:t>בעי רמי בר חמא</w:t>
      </w:r>
      <w:r w:rsidRPr="00253C68">
        <w:rPr>
          <w:rFonts w:cs="Arial"/>
          <w:rtl/>
        </w:rPr>
        <w:t>: בעל בנכסי אשתו</w:t>
      </w:r>
      <w:r>
        <w:rPr>
          <w:rFonts w:cs="Arial" w:hint="cs"/>
          <w:rtl/>
        </w:rPr>
        <w:t xml:space="preserve"> </w:t>
      </w:r>
      <w:r>
        <w:rPr>
          <w:rFonts w:cs="Arial" w:hint="cs"/>
          <w:sz w:val="14"/>
          <w:szCs w:val="14"/>
          <w:rtl/>
        </w:rPr>
        <w:t>(צו:)</w:t>
      </w:r>
      <w:r w:rsidRPr="00253C68">
        <w:rPr>
          <w:rFonts w:cs="Arial"/>
          <w:rtl/>
        </w:rPr>
        <w:t xml:space="preserve"> שואל הוי או שוכר הוי? </w:t>
      </w:r>
      <w:r w:rsidRPr="00253C68">
        <w:rPr>
          <w:rFonts w:cs="Arial"/>
          <w:u w:val="single"/>
          <w:rtl/>
        </w:rPr>
        <w:t>אמר רבא</w:t>
      </w:r>
      <w:r w:rsidRPr="00253C68">
        <w:rPr>
          <w:rFonts w:cs="Arial"/>
          <w:rtl/>
        </w:rPr>
        <w:t>: לפום חורפא שבשתא. מה נפשך, אי שואל הוי - שאלה בבעלים היא, אי שוכר הוי - שכירות בבעלים היא.</w:t>
      </w:r>
      <w:r>
        <w:rPr>
          <w:rFonts w:cs="Arial" w:hint="cs"/>
          <w:rtl/>
        </w:rPr>
        <w:t>..</w:t>
      </w:r>
      <w:r w:rsidRPr="00253C68">
        <w:rPr>
          <w:rFonts w:cs="Arial"/>
          <w:rtl/>
        </w:rPr>
        <w:t xml:space="preserve"> אלא, כי קא מיבעיא לרמי בר חמא כגון דאגרא איהי פרה מעלמא, והדר נסבה. ואליבא דרבנן דאמרי שואל משלם לשוכר - לא תיבעי לך, דודאי שאילה בבעלים היא. כי תיבעי לך - אליבא דרבי יוסי, דאמר: תחזיר פרה לבעלים הראשונים - מאי, שואל הוי או שוכר הוי? </w:t>
      </w:r>
      <w:r w:rsidRPr="00253C68">
        <w:rPr>
          <w:rFonts w:cs="Arial"/>
          <w:u w:val="single"/>
          <w:rtl/>
        </w:rPr>
        <w:t>אמר רבא</w:t>
      </w:r>
      <w:r w:rsidRPr="00253C68">
        <w:rPr>
          <w:rFonts w:cs="Arial"/>
          <w:rtl/>
        </w:rPr>
        <w:t>: בעל לא שואל הוי ולא שוכר הוי, אלא לוקח הוי, מדרבי יוסי ברבי חנינא. דאמר רבי יוסי ברבי חנינא: באושא התקינו: האשה שמכרה בנכסי מלוג בחיי בעלה ומתה - הבעל מוציא מיד הלקוחות.</w:t>
      </w:r>
    </w:p>
    <w:p w14:paraId="50E031F8" w14:textId="126A244E" w:rsidR="00253C68" w:rsidRPr="00B31293" w:rsidRDefault="00B31293" w:rsidP="00B31293">
      <w:pPr>
        <w:rPr>
          <w:u w:val="single"/>
        </w:rPr>
      </w:pPr>
      <w:r w:rsidRPr="00B31293">
        <w:rPr>
          <w:rFonts w:hint="cs"/>
          <w:u w:val="single"/>
          <w:rtl/>
        </w:rPr>
        <w:t>בעל ש</w:t>
      </w:r>
      <w:r w:rsidR="00253C68" w:rsidRPr="00B31293">
        <w:rPr>
          <w:rFonts w:hint="cs"/>
          <w:u w:val="single"/>
          <w:rtl/>
        </w:rPr>
        <w:t xml:space="preserve">פשע בנכסי מלוג </w:t>
      </w:r>
      <w:r w:rsidR="00F97626">
        <w:rPr>
          <w:u w:val="single"/>
          <w:rtl/>
        </w:rPr>
        <w:t>-</w:t>
      </w:r>
      <w:r w:rsidR="00253C68" w:rsidRPr="00B31293">
        <w:rPr>
          <w:rFonts w:hint="cs"/>
          <w:u w:val="single"/>
          <w:rtl/>
        </w:rPr>
        <w:t xml:space="preserve"> האם חייב עכשיו באחריותן:</w:t>
      </w:r>
    </w:p>
    <w:p w14:paraId="2B5B97C1" w14:textId="5B0558AC" w:rsidR="00121234" w:rsidRDefault="00BA73D9" w:rsidP="009000E3">
      <w:pPr>
        <w:pStyle w:val="ab"/>
        <w:numPr>
          <w:ilvl w:val="0"/>
          <w:numId w:val="47"/>
        </w:numPr>
      </w:pPr>
      <w:r>
        <w:rPr>
          <w:rFonts w:cs="Arial" w:hint="cs"/>
          <w:rtl/>
        </w:rPr>
        <w:lastRenderedPageBreak/>
        <w:t>טור-</w:t>
      </w:r>
      <w:r w:rsidR="00121234" w:rsidRPr="007A228B">
        <w:rPr>
          <w:rFonts w:cs="Arial"/>
          <w:rtl/>
        </w:rPr>
        <w:t xml:space="preserve"> </w:t>
      </w:r>
      <w:r>
        <w:rPr>
          <w:rFonts w:cs="Arial" w:hint="cs"/>
          <w:rtl/>
        </w:rPr>
        <w:t xml:space="preserve">ופירש ר"י </w:t>
      </w:r>
      <w:r w:rsidR="00121234" w:rsidRPr="007A228B">
        <w:rPr>
          <w:rFonts w:cs="Arial"/>
          <w:rtl/>
        </w:rPr>
        <w:t xml:space="preserve">אם פשע בהם ונאבדו בפשיעה </w:t>
      </w:r>
      <w:r w:rsidR="004A6DB1">
        <w:rPr>
          <w:rFonts w:cs="Arial" w:hint="cs"/>
          <w:rtl/>
        </w:rPr>
        <w:t xml:space="preserve">- </w:t>
      </w:r>
      <w:r w:rsidR="00121234" w:rsidRPr="007A228B">
        <w:rPr>
          <w:rFonts w:cs="Arial"/>
          <w:rtl/>
        </w:rPr>
        <w:t>פטור</w:t>
      </w:r>
      <w:r w:rsidR="004A6DB1">
        <w:rPr>
          <w:rFonts w:cs="Arial" w:hint="cs"/>
          <w:rtl/>
        </w:rPr>
        <w:t>,</w:t>
      </w:r>
      <w:r w:rsidR="00121234" w:rsidRPr="007A228B">
        <w:rPr>
          <w:rFonts w:cs="Arial"/>
          <w:rtl/>
        </w:rPr>
        <w:t xml:space="preserve"> שהיא עמו במלאכתו ופשיעה בבעלים פטור</w:t>
      </w:r>
      <w:r>
        <w:rPr>
          <w:rStyle w:val="a7"/>
          <w:rFonts w:cs="Arial"/>
          <w:rtl/>
        </w:rPr>
        <w:footnoteReference w:id="850"/>
      </w:r>
      <w:r w:rsidR="00121234">
        <w:rPr>
          <w:rFonts w:cs="Arial" w:hint="cs"/>
          <w:rtl/>
        </w:rPr>
        <w:t>.</w:t>
      </w:r>
      <w:r w:rsidR="00121234" w:rsidRPr="007A228B">
        <w:rPr>
          <w:rFonts w:cs="Arial"/>
          <w:rtl/>
        </w:rPr>
        <w:t xml:space="preserve"> </w:t>
      </w:r>
      <w:r w:rsidR="00253C68" w:rsidRPr="007B430E">
        <w:rPr>
          <w:rFonts w:hint="cs"/>
          <w:color w:val="E36C0A" w:themeColor="accent6" w:themeShade="BF"/>
          <w:rtl/>
        </w:rPr>
        <w:t>(וכ"פ בשו"ע)</w:t>
      </w:r>
    </w:p>
    <w:p w14:paraId="1D98843A"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2C789E6C" w14:textId="6BC87293" w:rsidR="007A3469" w:rsidRDefault="007A3469" w:rsidP="007A3469">
      <w:pPr>
        <w:rPr>
          <w:rtl/>
        </w:rPr>
      </w:pPr>
      <w:r>
        <w:rPr>
          <w:rFonts w:cs="Arial"/>
          <w:rtl/>
        </w:rPr>
        <w:t>נכסי צאן ברזל</w:t>
      </w:r>
      <w:r w:rsidR="004C5DE2">
        <w:rPr>
          <w:rStyle w:val="a7"/>
          <w:rFonts w:cs="Arial"/>
          <w:rtl/>
        </w:rPr>
        <w:footnoteReference w:id="851"/>
      </w:r>
      <w:r>
        <w:rPr>
          <w:rFonts w:cs="Arial"/>
          <w:rtl/>
        </w:rPr>
        <w:t xml:space="preserve"> </w:t>
      </w:r>
      <w:r w:rsidR="00EB63AD">
        <w:rPr>
          <w:rFonts w:cs="Arial" w:hint="cs"/>
          <w:sz w:val="18"/>
          <w:szCs w:val="18"/>
          <w:rtl/>
        </w:rPr>
        <w:t xml:space="preserve">[הגה] </w:t>
      </w:r>
      <w:r w:rsidRPr="00F46615">
        <w:rPr>
          <w:rFonts w:cs="Arial"/>
          <w:sz w:val="18"/>
          <w:szCs w:val="18"/>
          <w:rtl/>
        </w:rPr>
        <w:t>הם הנדוניא דהנעלת ליה בגדים</w:t>
      </w:r>
      <w:r w:rsidR="00DC0ABF">
        <w:rPr>
          <w:rStyle w:val="a7"/>
          <w:rFonts w:cs="Arial"/>
          <w:sz w:val="18"/>
          <w:szCs w:val="18"/>
          <w:rtl/>
        </w:rPr>
        <w:footnoteReference w:id="852"/>
      </w:r>
      <w:r w:rsidRPr="00F46615">
        <w:rPr>
          <w:rFonts w:cs="Arial"/>
          <w:sz w:val="18"/>
          <w:szCs w:val="18"/>
          <w:rtl/>
        </w:rPr>
        <w:t xml:space="preserve"> או בהמה ועבדים</w:t>
      </w:r>
      <w:r w:rsidR="004C5DE2">
        <w:rPr>
          <w:rStyle w:val="a7"/>
          <w:rFonts w:cs="Arial"/>
          <w:sz w:val="18"/>
          <w:szCs w:val="18"/>
          <w:rtl/>
        </w:rPr>
        <w:footnoteReference w:id="853"/>
      </w:r>
      <w:r w:rsidRPr="00F46615">
        <w:rPr>
          <w:rFonts w:cs="Arial"/>
          <w:sz w:val="18"/>
          <w:szCs w:val="18"/>
          <w:rtl/>
        </w:rPr>
        <w:t xml:space="preserve"> ומקבל עליו אחריות (טור)</w:t>
      </w:r>
      <w:r>
        <w:rPr>
          <w:rFonts w:cs="Arial"/>
          <w:rtl/>
        </w:rPr>
        <w:t>, אם מתו, מתו לו</w:t>
      </w:r>
      <w:r w:rsidR="00EB63AD">
        <w:rPr>
          <w:rFonts w:cs="Arial" w:hint="cs"/>
          <w:rtl/>
        </w:rPr>
        <w:t>.</w:t>
      </w:r>
      <w:r>
        <w:rPr>
          <w:rFonts w:cs="Arial"/>
          <w:rtl/>
        </w:rPr>
        <w:t xml:space="preserve"> ואם הותירו, הותירו לו</w:t>
      </w:r>
      <w:r w:rsidR="00EB63AD">
        <w:rPr>
          <w:rFonts w:cs="Arial" w:hint="cs"/>
          <w:rtl/>
        </w:rPr>
        <w:t>.</w:t>
      </w:r>
      <w:r>
        <w:rPr>
          <w:rFonts w:cs="Arial"/>
          <w:rtl/>
        </w:rPr>
        <w:t xml:space="preserve"> וכן אם פחתו או נגנבו או אבדו, הכל לו. ונכסי מלוג</w:t>
      </w:r>
      <w:r w:rsidR="00DC0ABF">
        <w:rPr>
          <w:rStyle w:val="a7"/>
          <w:rFonts w:cs="Arial"/>
          <w:rtl/>
        </w:rPr>
        <w:footnoteReference w:id="854"/>
      </w:r>
      <w:r>
        <w:rPr>
          <w:rFonts w:cs="Arial"/>
          <w:rtl/>
        </w:rPr>
        <w:t xml:space="preserve"> </w:t>
      </w:r>
      <w:r w:rsidR="00EB63AD">
        <w:rPr>
          <w:rFonts w:cs="Arial" w:hint="cs"/>
          <w:sz w:val="18"/>
          <w:szCs w:val="18"/>
          <w:rtl/>
        </w:rPr>
        <w:t xml:space="preserve">[הגה] </w:t>
      </w:r>
      <w:r w:rsidRPr="00F46615">
        <w:rPr>
          <w:rFonts w:cs="Arial"/>
          <w:sz w:val="18"/>
          <w:szCs w:val="18"/>
          <w:rtl/>
        </w:rPr>
        <w:t>הם נכסים שאינם באחריותו</w:t>
      </w:r>
      <w:r w:rsidR="00DC0ABF">
        <w:rPr>
          <w:rStyle w:val="a7"/>
          <w:rFonts w:cs="Arial"/>
          <w:sz w:val="18"/>
          <w:szCs w:val="18"/>
          <w:rtl/>
        </w:rPr>
        <w:footnoteReference w:id="855"/>
      </w:r>
      <w:r w:rsidRPr="00F46615">
        <w:rPr>
          <w:rFonts w:cs="Arial"/>
          <w:sz w:val="18"/>
          <w:szCs w:val="18"/>
          <w:rtl/>
        </w:rPr>
        <w:t xml:space="preserve"> (טור)</w:t>
      </w:r>
      <w:r>
        <w:rPr>
          <w:rFonts w:cs="Arial"/>
          <w:rtl/>
        </w:rPr>
        <w:t>, אם מתו או הותירו או פחתו או נגנבו או נאבדו, הכל לה, שאין לבעל בהם אלא אכילת פירות</w:t>
      </w:r>
      <w:r w:rsidR="00DC0ABF">
        <w:rPr>
          <w:rStyle w:val="a7"/>
          <w:rFonts w:cs="Arial"/>
          <w:rtl/>
        </w:rPr>
        <w:footnoteReference w:id="856"/>
      </w:r>
      <w:r w:rsidR="00EB63AD">
        <w:rPr>
          <w:rFonts w:cs="Arial" w:hint="cs"/>
          <w:rtl/>
        </w:rPr>
        <w:t>.</w:t>
      </w:r>
      <w:r>
        <w:rPr>
          <w:rFonts w:cs="Arial"/>
          <w:rtl/>
        </w:rPr>
        <w:t xml:space="preserve"> ואם פשע הבעל בנכסי מלוג, ונאבדו, פטור, מפני שהיא עמו במלאכתו והוי פשיעה בבעלים. </w:t>
      </w:r>
      <w:r w:rsidRPr="00F46615">
        <w:rPr>
          <w:rFonts w:cs="Arial"/>
          <w:sz w:val="18"/>
          <w:szCs w:val="18"/>
          <w:rtl/>
        </w:rPr>
        <w:t xml:space="preserve">הגה: ע"ל סימן ע"ז סעיף ג' כתבתי דין בגדי אשה אם מקרי </w:t>
      </w:r>
      <w:r w:rsidR="007A617E">
        <w:rPr>
          <w:rFonts w:cs="Arial"/>
          <w:sz w:val="18"/>
          <w:szCs w:val="18"/>
          <w:rtl/>
        </w:rPr>
        <w:t>צאן ברזל</w:t>
      </w:r>
      <w:r w:rsidRPr="00F46615">
        <w:rPr>
          <w:rFonts w:cs="Arial"/>
          <w:sz w:val="18"/>
          <w:szCs w:val="18"/>
          <w:rtl/>
        </w:rPr>
        <w:t xml:space="preserve"> או </w:t>
      </w:r>
      <w:r w:rsidR="00750751">
        <w:rPr>
          <w:rFonts w:cs="Arial"/>
          <w:sz w:val="18"/>
          <w:szCs w:val="18"/>
          <w:rtl/>
        </w:rPr>
        <w:t>נכסי מלוג</w:t>
      </w:r>
      <w:r w:rsidR="00CE3528">
        <w:rPr>
          <w:rStyle w:val="a7"/>
          <w:rFonts w:cs="Arial"/>
          <w:sz w:val="18"/>
          <w:szCs w:val="18"/>
          <w:rtl/>
        </w:rPr>
        <w:footnoteReference w:id="857"/>
      </w:r>
      <w:r w:rsidRPr="00F46615">
        <w:rPr>
          <w:rFonts w:cs="Arial"/>
          <w:sz w:val="18"/>
          <w:szCs w:val="18"/>
          <w:rtl/>
        </w:rPr>
        <w:t>. השדה שהבעל שם לה בכתובתה, דינו כ</w:t>
      </w:r>
      <w:r w:rsidR="007A617E">
        <w:rPr>
          <w:rFonts w:cs="Arial"/>
          <w:sz w:val="18"/>
          <w:szCs w:val="18"/>
          <w:rtl/>
        </w:rPr>
        <w:t>צאן ברזל</w:t>
      </w:r>
      <w:r w:rsidR="00CE3528">
        <w:rPr>
          <w:rStyle w:val="a7"/>
          <w:rFonts w:cs="Arial"/>
          <w:sz w:val="18"/>
          <w:szCs w:val="18"/>
          <w:rtl/>
        </w:rPr>
        <w:footnoteReference w:id="858"/>
      </w:r>
      <w:r w:rsidRPr="00F46615">
        <w:rPr>
          <w:rFonts w:cs="Arial"/>
          <w:sz w:val="18"/>
          <w:szCs w:val="18"/>
          <w:rtl/>
        </w:rPr>
        <w:t xml:space="preserve"> (רא"ש</w:t>
      </w:r>
      <w:r w:rsidR="00EB63AD" w:rsidRPr="00EB63AD">
        <w:rPr>
          <w:rtl/>
        </w:rPr>
        <w:t xml:space="preserve"> </w:t>
      </w:r>
      <w:r w:rsidR="00EB63AD" w:rsidRPr="00EB63AD">
        <w:rPr>
          <w:rFonts w:cs="Arial"/>
          <w:sz w:val="18"/>
          <w:szCs w:val="18"/>
          <w:rtl/>
        </w:rPr>
        <w:t>כלל לח סי' ו</w:t>
      </w:r>
      <w:r w:rsidR="00EB63AD">
        <w:rPr>
          <w:rFonts w:cs="Arial" w:hint="cs"/>
          <w:sz w:val="18"/>
          <w:szCs w:val="18"/>
          <w:rtl/>
        </w:rPr>
        <w:t>, הובא לקמן בסי' קיח</w:t>
      </w:r>
      <w:r w:rsidRPr="00F46615">
        <w:rPr>
          <w:rFonts w:cs="Arial"/>
          <w:sz w:val="18"/>
          <w:szCs w:val="18"/>
          <w:rtl/>
        </w:rPr>
        <w:t xml:space="preserve">) וע"ל סימן צ' סעיף ט"ז. </w:t>
      </w:r>
    </w:p>
    <w:p w14:paraId="4337A18F" w14:textId="77777777" w:rsidR="00F46615" w:rsidRDefault="00F46615" w:rsidP="007A3469">
      <w:pPr>
        <w:rPr>
          <w:rtl/>
        </w:rPr>
      </w:pPr>
    </w:p>
    <w:p w14:paraId="2A6254C6" w14:textId="6B9F3A09" w:rsidR="007A3469" w:rsidRDefault="007A3469" w:rsidP="000F64D0">
      <w:pPr>
        <w:pStyle w:val="2"/>
      </w:pPr>
      <w:r>
        <w:rPr>
          <w:rtl/>
        </w:rPr>
        <w:t>סעיף ג</w:t>
      </w:r>
      <w:r w:rsidR="000F3A1B">
        <w:rPr>
          <w:rFonts w:hint="cs"/>
          <w:rtl/>
        </w:rPr>
        <w:t xml:space="preserve">: </w:t>
      </w:r>
      <w:r w:rsidR="00DF7289">
        <w:rPr>
          <w:rFonts w:hint="cs"/>
          <w:rtl/>
        </w:rPr>
        <w:t>נכסי צאן ברזל שלא שמו אותם</w:t>
      </w:r>
      <w:r w:rsidR="009836F3">
        <w:rPr>
          <w:rFonts w:hint="cs"/>
          <w:rtl/>
        </w:rPr>
        <w:t xml:space="preserve"> או שלא קיבל אחריותם בפירוש.</w:t>
      </w:r>
    </w:p>
    <w:p w14:paraId="0F8ABD1F" w14:textId="7BB8AE72" w:rsidR="00121234" w:rsidRPr="009836F3" w:rsidRDefault="009836F3" w:rsidP="00121234">
      <w:pPr>
        <w:rPr>
          <w:u w:val="single"/>
          <w:rtl/>
        </w:rPr>
      </w:pPr>
      <w:r w:rsidRPr="009836F3">
        <w:rPr>
          <w:rFonts w:hint="cs"/>
          <w:u w:val="single"/>
          <w:rtl/>
        </w:rPr>
        <w:t>נכסי צאן ברזל שלא שמו אותם או שלא קיבל אחריותם בפירוש:</w:t>
      </w:r>
    </w:p>
    <w:p w14:paraId="6BCFF30D" w14:textId="4203D867" w:rsidR="007D2995" w:rsidRPr="007D2995" w:rsidRDefault="007D2995" w:rsidP="009000E3">
      <w:pPr>
        <w:pStyle w:val="ab"/>
        <w:numPr>
          <w:ilvl w:val="0"/>
          <w:numId w:val="47"/>
        </w:numPr>
      </w:pPr>
      <w:r>
        <w:rPr>
          <w:rFonts w:cs="Arial" w:hint="cs"/>
          <w:rtl/>
        </w:rPr>
        <w:t xml:space="preserve">רבינו </w:t>
      </w:r>
      <w:r w:rsidR="00121234" w:rsidRPr="007A228B">
        <w:rPr>
          <w:rFonts w:cs="Arial"/>
          <w:rtl/>
        </w:rPr>
        <w:t>אפרים</w:t>
      </w:r>
      <w:r>
        <w:rPr>
          <w:rFonts w:cs="Arial" w:hint="cs"/>
          <w:sz w:val="16"/>
          <w:szCs w:val="16"/>
          <w:rtl/>
        </w:rPr>
        <w:t xml:space="preserve"> (כ"כ הטור בשמו)</w:t>
      </w:r>
      <w:r w:rsidR="00DF7289">
        <w:rPr>
          <w:rFonts w:cs="Arial" w:hint="cs"/>
          <w:rtl/>
        </w:rPr>
        <w:t xml:space="preserve"> ורמב"ם </w:t>
      </w:r>
      <w:r w:rsidR="00DF7289">
        <w:rPr>
          <w:rFonts w:cs="Arial" w:hint="cs"/>
          <w:sz w:val="16"/>
          <w:szCs w:val="16"/>
          <w:rtl/>
        </w:rPr>
        <w:t>(פט"ז ה"א)</w:t>
      </w:r>
      <w:r>
        <w:rPr>
          <w:rFonts w:cs="Arial" w:hint="cs"/>
          <w:rtl/>
        </w:rPr>
        <w:t xml:space="preserve">- </w:t>
      </w:r>
      <w:r w:rsidR="00121234" w:rsidRPr="007A228B">
        <w:rPr>
          <w:rFonts w:cs="Arial"/>
          <w:rtl/>
        </w:rPr>
        <w:t>נכסי צאן ברזל לא מחייב בסתמא באחריותן עד דשיימינהו עליה בדמים קצובים</w:t>
      </w:r>
      <w:r>
        <w:rPr>
          <w:rFonts w:cs="Arial" w:hint="cs"/>
          <w:rtl/>
        </w:rPr>
        <w:t>.</w:t>
      </w:r>
      <w:r w:rsidR="00121234" w:rsidRPr="007A228B">
        <w:rPr>
          <w:rFonts w:cs="Arial"/>
          <w:rtl/>
        </w:rPr>
        <w:t xml:space="preserve"> בד"א</w:t>
      </w:r>
      <w:r>
        <w:rPr>
          <w:rFonts w:cs="Arial" w:hint="cs"/>
          <w:rtl/>
        </w:rPr>
        <w:t>,</w:t>
      </w:r>
      <w:r w:rsidR="00121234" w:rsidRPr="007A228B">
        <w:rPr>
          <w:rFonts w:cs="Arial"/>
          <w:rtl/>
        </w:rPr>
        <w:t xml:space="preserve"> בסתמא</w:t>
      </w:r>
      <w:r>
        <w:rPr>
          <w:rFonts w:cs="Arial" w:hint="cs"/>
          <w:rtl/>
        </w:rPr>
        <w:t>,</w:t>
      </w:r>
      <w:r w:rsidR="00121234" w:rsidRPr="007A228B">
        <w:rPr>
          <w:rFonts w:cs="Arial"/>
          <w:rtl/>
        </w:rPr>
        <w:t xml:space="preserve"> אבל אם קבל אחריותן בפירוש אע</w:t>
      </w:r>
      <w:r w:rsidR="000670E4">
        <w:rPr>
          <w:rFonts w:cs="Arial" w:hint="cs"/>
          <w:rtl/>
        </w:rPr>
        <w:t>"</w:t>
      </w:r>
      <w:r w:rsidR="00121234" w:rsidRPr="007A228B">
        <w:rPr>
          <w:rFonts w:cs="Arial"/>
          <w:rtl/>
        </w:rPr>
        <w:t>ג דלא שיימינהו עליה חייב באחריותן</w:t>
      </w:r>
      <w:r w:rsidR="00DF7289">
        <w:rPr>
          <w:rFonts w:cs="Arial" w:hint="cs"/>
          <w:sz w:val="16"/>
          <w:szCs w:val="16"/>
          <w:rtl/>
        </w:rPr>
        <w:t xml:space="preserve"> (ל' הטור בשם ר' אפרים)</w:t>
      </w:r>
      <w:r>
        <w:rPr>
          <w:rFonts w:cs="Arial" w:hint="cs"/>
          <w:rtl/>
        </w:rPr>
        <w:t>.</w:t>
      </w:r>
      <w:r w:rsidR="00121234" w:rsidRPr="007A228B">
        <w:rPr>
          <w:rFonts w:cs="Arial"/>
          <w:rtl/>
        </w:rPr>
        <w:t xml:space="preserve"> </w:t>
      </w:r>
      <w:r w:rsidR="009836F3" w:rsidRPr="007B430E">
        <w:rPr>
          <w:rFonts w:hint="cs"/>
          <w:color w:val="E36C0A" w:themeColor="accent6" w:themeShade="BF"/>
          <w:rtl/>
        </w:rPr>
        <w:t>(וכ"פ בשו"ע)</w:t>
      </w:r>
    </w:p>
    <w:p w14:paraId="291174EB" w14:textId="151ED16F" w:rsidR="00121234" w:rsidRPr="00121234" w:rsidRDefault="007D2995" w:rsidP="009000E3">
      <w:pPr>
        <w:pStyle w:val="ab"/>
        <w:numPr>
          <w:ilvl w:val="0"/>
          <w:numId w:val="47"/>
        </w:numPr>
      </w:pPr>
      <w:r>
        <w:rPr>
          <w:rFonts w:cs="Arial" w:hint="cs"/>
          <w:rtl/>
        </w:rPr>
        <w:t>בהעי"ט</w:t>
      </w:r>
      <w:r>
        <w:rPr>
          <w:rFonts w:cs="Arial" w:hint="cs"/>
          <w:sz w:val="16"/>
          <w:szCs w:val="16"/>
          <w:rtl/>
        </w:rPr>
        <w:t xml:space="preserve"> (כ"כ הטור בשמו)</w:t>
      </w:r>
      <w:r>
        <w:rPr>
          <w:rFonts w:cs="Arial" w:hint="cs"/>
          <w:rtl/>
        </w:rPr>
        <w:t xml:space="preserve">- </w:t>
      </w:r>
      <w:r w:rsidR="00121234" w:rsidRPr="007A228B">
        <w:rPr>
          <w:rFonts w:cs="Arial"/>
          <w:rtl/>
        </w:rPr>
        <w:t>כתבינהו בכתובה</w:t>
      </w:r>
      <w:r w:rsidR="002A6B94">
        <w:rPr>
          <w:rFonts w:cs="Arial" w:hint="cs"/>
          <w:rtl/>
        </w:rPr>
        <w:t>,</w:t>
      </w:r>
      <w:r w:rsidR="00121234" w:rsidRPr="007A228B">
        <w:rPr>
          <w:rFonts w:cs="Arial"/>
          <w:rtl/>
        </w:rPr>
        <w:t xml:space="preserve"> אע</w:t>
      </w:r>
      <w:r w:rsidR="000670E4">
        <w:rPr>
          <w:rFonts w:cs="Arial" w:hint="cs"/>
          <w:rtl/>
        </w:rPr>
        <w:t>"</w:t>
      </w:r>
      <w:r w:rsidR="00121234" w:rsidRPr="007A228B">
        <w:rPr>
          <w:rFonts w:cs="Arial"/>
          <w:rtl/>
        </w:rPr>
        <w:t xml:space="preserve">ג דלא כתב אחריות </w:t>
      </w:r>
      <w:r w:rsidR="002A6B94">
        <w:rPr>
          <w:rFonts w:cs="Arial" w:hint="cs"/>
          <w:rtl/>
        </w:rPr>
        <w:t xml:space="preserve">- </w:t>
      </w:r>
      <w:r w:rsidR="00121234" w:rsidRPr="007A228B">
        <w:rPr>
          <w:rFonts w:cs="Arial"/>
          <w:rtl/>
        </w:rPr>
        <w:t>כמאן דכתוב דמי אע</w:t>
      </w:r>
      <w:r>
        <w:rPr>
          <w:rFonts w:cs="Arial" w:hint="cs"/>
          <w:rtl/>
        </w:rPr>
        <w:t>"</w:t>
      </w:r>
      <w:r w:rsidR="00121234" w:rsidRPr="007A228B">
        <w:rPr>
          <w:rFonts w:cs="Arial"/>
          <w:rtl/>
        </w:rPr>
        <w:t>ג דלא שיימינהו</w:t>
      </w:r>
      <w:r w:rsidR="00DF7289">
        <w:rPr>
          <w:rFonts w:cs="Arial" w:hint="cs"/>
          <w:sz w:val="16"/>
          <w:szCs w:val="16"/>
          <w:rtl/>
        </w:rPr>
        <w:t xml:space="preserve"> (ל' הטור בשמו)</w:t>
      </w:r>
      <w:r>
        <w:rPr>
          <w:rFonts w:cs="Arial" w:hint="cs"/>
          <w:rtl/>
        </w:rPr>
        <w:t>.</w:t>
      </w:r>
      <w:r w:rsidR="00121234" w:rsidRPr="007A228B">
        <w:rPr>
          <w:rFonts w:cs="Arial"/>
          <w:rtl/>
        </w:rPr>
        <w:t xml:space="preserve"> </w:t>
      </w:r>
    </w:p>
    <w:p w14:paraId="7F1559F7"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195B0AF8" w14:textId="0299017B" w:rsidR="007A3469" w:rsidRDefault="007A3469" w:rsidP="007A3469">
      <w:pPr>
        <w:rPr>
          <w:rtl/>
        </w:rPr>
      </w:pPr>
      <w:r>
        <w:rPr>
          <w:rFonts w:cs="Arial"/>
          <w:rtl/>
        </w:rPr>
        <w:t>יש מי שאומר דנכסי צאן ברזל אינו חייב באחריותן א</w:t>
      </w:r>
      <w:r w:rsidR="008F5748">
        <w:rPr>
          <w:rFonts w:cs="Arial" w:hint="cs"/>
          <w:rtl/>
        </w:rPr>
        <w:t xml:space="preserve">לא אם </w:t>
      </w:r>
      <w:r>
        <w:rPr>
          <w:rFonts w:cs="Arial"/>
          <w:rtl/>
        </w:rPr>
        <w:t>כ</w:t>
      </w:r>
      <w:r w:rsidR="008F5748">
        <w:rPr>
          <w:rFonts w:cs="Arial" w:hint="cs"/>
          <w:rtl/>
        </w:rPr>
        <w:t>ן</w:t>
      </w:r>
      <w:r>
        <w:rPr>
          <w:rFonts w:cs="Arial"/>
          <w:rtl/>
        </w:rPr>
        <w:t xml:space="preserve"> שמו אותם עליו בדמים קצובים, או שקבל אחריותן</w:t>
      </w:r>
      <w:r w:rsidR="009836F3">
        <w:rPr>
          <w:rStyle w:val="a7"/>
          <w:rFonts w:cs="Arial"/>
          <w:rtl/>
        </w:rPr>
        <w:footnoteReference w:id="859"/>
      </w:r>
      <w:r>
        <w:rPr>
          <w:rFonts w:cs="Arial"/>
          <w:rtl/>
        </w:rPr>
        <w:t xml:space="preserve"> בפירוש. ויש מי שאומר שמאחר שכתבם בכתובה, נתחייב באחריותם אף על פי שלא שמו אותם ולא נתחייב באחריותם, והראשון עיקר. </w:t>
      </w:r>
    </w:p>
    <w:p w14:paraId="073FCDB4" w14:textId="77777777" w:rsidR="00F46615" w:rsidRDefault="00F46615" w:rsidP="007A3469">
      <w:pPr>
        <w:rPr>
          <w:rtl/>
        </w:rPr>
      </w:pPr>
    </w:p>
    <w:p w14:paraId="0EE0A919" w14:textId="1FAB4FBF" w:rsidR="009836F3" w:rsidRPr="009836F3" w:rsidRDefault="007A3469" w:rsidP="000F64D0">
      <w:pPr>
        <w:pStyle w:val="2"/>
        <w:rPr>
          <w:rtl/>
        </w:rPr>
      </w:pPr>
      <w:r>
        <w:rPr>
          <w:rtl/>
        </w:rPr>
        <w:lastRenderedPageBreak/>
        <w:t>סעיף ד</w:t>
      </w:r>
      <w:r w:rsidR="009836F3">
        <w:rPr>
          <w:rFonts w:hint="cs"/>
          <w:rtl/>
        </w:rPr>
        <w:t>:</w:t>
      </w:r>
      <w:r w:rsidR="00BE044A" w:rsidRPr="00BE044A">
        <w:rPr>
          <w:rtl/>
        </w:rPr>
        <w:t xml:space="preserve"> </w:t>
      </w:r>
      <w:r w:rsidR="00BE044A">
        <w:rPr>
          <w:rtl/>
        </w:rPr>
        <w:t>בעל הבא לדון עם אחד על נכסי אשתו</w:t>
      </w:r>
      <w:r w:rsidR="00BE044A">
        <w:rPr>
          <w:rFonts w:hint="cs"/>
          <w:rtl/>
        </w:rPr>
        <w:t>.</w:t>
      </w:r>
    </w:p>
    <w:p w14:paraId="293381A9" w14:textId="0C6BD9AF" w:rsidR="00BE044A" w:rsidRDefault="007C367E" w:rsidP="00BE044A">
      <w:pPr>
        <w:rPr>
          <w:rFonts w:cs="Arial"/>
          <w:rtl/>
        </w:rPr>
      </w:pPr>
      <w:r w:rsidRPr="007C367E">
        <w:rPr>
          <w:rFonts w:cs="Arial" w:hint="cs"/>
          <w:b/>
          <w:bCs/>
          <w:rtl/>
        </w:rPr>
        <w:t xml:space="preserve">גיטין </w:t>
      </w:r>
      <w:r>
        <w:rPr>
          <w:rFonts w:cs="Arial" w:hint="cs"/>
          <w:b/>
          <w:bCs/>
          <w:sz w:val="16"/>
          <w:szCs w:val="16"/>
          <w:rtl/>
        </w:rPr>
        <w:t xml:space="preserve">(ס"פ השולח) </w:t>
      </w:r>
      <w:r w:rsidRPr="007C367E">
        <w:rPr>
          <w:rFonts w:cs="Arial" w:hint="cs"/>
          <w:b/>
          <w:bCs/>
          <w:rtl/>
        </w:rPr>
        <w:t xml:space="preserve">מח ע"ב: </w:t>
      </w:r>
      <w:r w:rsidRPr="007C367E">
        <w:rPr>
          <w:rFonts w:cs="Arial"/>
          <w:u w:val="single"/>
          <w:rtl/>
        </w:rPr>
        <w:t>אמר אביי</w:t>
      </w:r>
      <w:r>
        <w:rPr>
          <w:rFonts w:cs="Arial" w:hint="cs"/>
          <w:rtl/>
        </w:rPr>
        <w:t>:</w:t>
      </w:r>
      <w:r w:rsidRPr="007C367E">
        <w:rPr>
          <w:rFonts w:cs="Arial"/>
          <w:rtl/>
        </w:rPr>
        <w:t xml:space="preserve"> נקטינן</w:t>
      </w:r>
      <w:r>
        <w:rPr>
          <w:rFonts w:cs="Arial" w:hint="cs"/>
          <w:rtl/>
        </w:rPr>
        <w:t>,</w:t>
      </w:r>
      <w:r w:rsidRPr="007C367E">
        <w:rPr>
          <w:rFonts w:cs="Arial"/>
          <w:rtl/>
        </w:rPr>
        <w:t xml:space="preserve"> בעל בנכסי אשתו צריך הרשאה</w:t>
      </w:r>
      <w:r w:rsidR="009D7723">
        <w:rPr>
          <w:rStyle w:val="a7"/>
          <w:rFonts w:cs="Arial"/>
          <w:rtl/>
        </w:rPr>
        <w:footnoteReference w:id="860"/>
      </w:r>
      <w:r w:rsidRPr="007C367E">
        <w:rPr>
          <w:rFonts w:cs="Arial"/>
          <w:rtl/>
        </w:rPr>
        <w:t>. ולא אמרן אלא דלא נחית</w:t>
      </w:r>
      <w:r w:rsidR="009D7723">
        <w:rPr>
          <w:rStyle w:val="a7"/>
          <w:rFonts w:cs="Arial"/>
          <w:rtl/>
        </w:rPr>
        <w:footnoteReference w:id="861"/>
      </w:r>
      <w:r w:rsidRPr="007C367E">
        <w:rPr>
          <w:rFonts w:cs="Arial"/>
          <w:rtl/>
        </w:rPr>
        <w:t xml:space="preserve"> אפירי, אבל נחית אפירי, מיגו דמשתעי דינא אפירי - משתעי דינא אגופא. </w:t>
      </w:r>
    </w:p>
    <w:p w14:paraId="0CC7CA3B" w14:textId="671ED3B1" w:rsidR="00BE044A" w:rsidRPr="00BE044A" w:rsidRDefault="00BE044A" w:rsidP="00BE044A">
      <w:pPr>
        <w:rPr>
          <w:rFonts w:cs="Arial"/>
          <w:u w:val="single"/>
          <w:rtl/>
        </w:rPr>
      </w:pPr>
      <w:r w:rsidRPr="00BE044A">
        <w:rPr>
          <w:rFonts w:cs="Arial"/>
          <w:u w:val="single"/>
          <w:rtl/>
        </w:rPr>
        <w:t>בעל הבא לדון עם אחד על נכסי אשתו</w:t>
      </w:r>
      <w:r w:rsidRPr="00BE044A">
        <w:rPr>
          <w:rFonts w:cs="Arial" w:hint="cs"/>
          <w:u w:val="single"/>
          <w:rtl/>
        </w:rPr>
        <w:t>:</w:t>
      </w:r>
    </w:p>
    <w:p w14:paraId="17116E14" w14:textId="3ED92D1B" w:rsidR="00BE044A" w:rsidRPr="00121234" w:rsidRDefault="00E461BC" w:rsidP="009000E3">
      <w:pPr>
        <w:pStyle w:val="ab"/>
        <w:numPr>
          <w:ilvl w:val="0"/>
          <w:numId w:val="47"/>
        </w:numPr>
      </w:pPr>
      <w:r>
        <w:rPr>
          <w:rFonts w:cs="Arial" w:hint="cs"/>
          <w:rtl/>
        </w:rPr>
        <w:t xml:space="preserve">רמב"ם </w:t>
      </w:r>
      <w:r>
        <w:rPr>
          <w:rFonts w:cs="Arial" w:hint="cs"/>
          <w:sz w:val="16"/>
          <w:szCs w:val="16"/>
          <w:rtl/>
        </w:rPr>
        <w:t>(</w:t>
      </w:r>
      <w:r w:rsidRPr="00BE044A">
        <w:rPr>
          <w:rFonts w:cs="Arial"/>
          <w:sz w:val="16"/>
          <w:szCs w:val="16"/>
          <w:rtl/>
        </w:rPr>
        <w:t>פ"ג מהל</w:t>
      </w:r>
      <w:r>
        <w:rPr>
          <w:rFonts w:cs="Arial" w:hint="cs"/>
          <w:sz w:val="16"/>
          <w:szCs w:val="16"/>
          <w:rtl/>
        </w:rPr>
        <w:t>'</w:t>
      </w:r>
      <w:r w:rsidRPr="00BE044A">
        <w:rPr>
          <w:rFonts w:cs="Arial"/>
          <w:sz w:val="16"/>
          <w:szCs w:val="16"/>
          <w:rtl/>
        </w:rPr>
        <w:t xml:space="preserve"> שלוחין ושותפין ה"ד)</w:t>
      </w:r>
      <w:r>
        <w:rPr>
          <w:rFonts w:cs="Arial" w:hint="cs"/>
          <w:rtl/>
        </w:rPr>
        <w:t xml:space="preserve"> וטור</w:t>
      </w:r>
      <w:r>
        <w:rPr>
          <w:rStyle w:val="a7"/>
          <w:rFonts w:cs="Arial"/>
          <w:rtl/>
        </w:rPr>
        <w:footnoteReference w:id="862"/>
      </w:r>
      <w:r>
        <w:rPr>
          <w:rFonts w:cs="Arial" w:hint="cs"/>
          <w:rtl/>
        </w:rPr>
        <w:t xml:space="preserve">- </w:t>
      </w:r>
      <w:r w:rsidRPr="00E461BC">
        <w:rPr>
          <w:rFonts w:cs="Arial"/>
          <w:rtl/>
        </w:rPr>
        <w:t>הבעל בנכסי אשתו צריך הרשאה</w:t>
      </w:r>
      <w:r w:rsidR="00627343">
        <w:rPr>
          <w:rFonts w:cs="Arial" w:hint="cs"/>
          <w:rtl/>
        </w:rPr>
        <w:t>.</w:t>
      </w:r>
      <w:r w:rsidRPr="00E461BC">
        <w:rPr>
          <w:rFonts w:cs="Arial"/>
          <w:rtl/>
        </w:rPr>
        <w:t xml:space="preserve"> ואם יש פירות בקרקע</w:t>
      </w:r>
      <w:r w:rsidR="00627343">
        <w:rPr>
          <w:rFonts w:cs="Arial" w:hint="cs"/>
          <w:rtl/>
        </w:rPr>
        <w:t>,</w:t>
      </w:r>
      <w:r w:rsidRPr="00E461BC">
        <w:rPr>
          <w:rFonts w:cs="Arial"/>
          <w:rtl/>
        </w:rPr>
        <w:t xml:space="preserve"> מתוך שיש לדון על הפירות שהרי הן שלו</w:t>
      </w:r>
      <w:r w:rsidR="00627343">
        <w:rPr>
          <w:rFonts w:cs="Arial" w:hint="cs"/>
          <w:rtl/>
        </w:rPr>
        <w:t xml:space="preserve"> -</w:t>
      </w:r>
      <w:r w:rsidRPr="00E461BC">
        <w:rPr>
          <w:rFonts w:cs="Arial"/>
          <w:rtl/>
        </w:rPr>
        <w:t xml:space="preserve"> דן על העיקר ואין צריך הרשאה מאשתו</w:t>
      </w:r>
      <w:r w:rsidR="00627343">
        <w:rPr>
          <w:rFonts w:cs="Arial" w:hint="cs"/>
          <w:rtl/>
        </w:rPr>
        <w:t>,</w:t>
      </w:r>
      <w:r w:rsidRPr="00E461BC">
        <w:rPr>
          <w:rFonts w:cs="Arial"/>
          <w:rtl/>
        </w:rPr>
        <w:t xml:space="preserve"> שאם אין לו קרקע אין לו פירות</w:t>
      </w:r>
      <w:r>
        <w:rPr>
          <w:rFonts w:cs="Arial" w:hint="cs"/>
          <w:sz w:val="16"/>
          <w:szCs w:val="16"/>
          <w:rtl/>
        </w:rPr>
        <w:t xml:space="preserve"> (ל' הרמב"ם)</w:t>
      </w:r>
      <w:r w:rsidRPr="00E461BC">
        <w:rPr>
          <w:rFonts w:cs="Arial"/>
          <w:rtl/>
        </w:rPr>
        <w:t>.</w:t>
      </w:r>
      <w:r w:rsidR="00BE044A" w:rsidRPr="00E461BC">
        <w:rPr>
          <w:rFonts w:cs="Arial"/>
          <w:rtl/>
        </w:rPr>
        <w:t xml:space="preserve"> </w:t>
      </w:r>
      <w:r w:rsidR="00627343" w:rsidRPr="007B430E">
        <w:rPr>
          <w:rFonts w:hint="cs"/>
          <w:color w:val="E36C0A" w:themeColor="accent6" w:themeShade="BF"/>
          <w:rtl/>
        </w:rPr>
        <w:t>(וכ"פ בשו"ע)</w:t>
      </w:r>
    </w:p>
    <w:p w14:paraId="7ABF4481" w14:textId="435BAD6D" w:rsidR="00627343" w:rsidRPr="00627343" w:rsidRDefault="00627343" w:rsidP="00627343">
      <w:pPr>
        <w:rPr>
          <w:u w:val="single"/>
        </w:rPr>
      </w:pPr>
      <w:r w:rsidRPr="00627343">
        <w:rPr>
          <w:rFonts w:hint="cs"/>
          <w:u w:val="single"/>
          <w:rtl/>
        </w:rPr>
        <w:t xml:space="preserve">כשיש </w:t>
      </w:r>
      <w:r>
        <w:rPr>
          <w:rFonts w:hint="cs"/>
          <w:u w:val="single"/>
          <w:rtl/>
        </w:rPr>
        <w:t>פירות בקרקע</w:t>
      </w:r>
      <w:r w:rsidRPr="00627343">
        <w:rPr>
          <w:rFonts w:hint="cs"/>
          <w:u w:val="single"/>
          <w:rtl/>
        </w:rPr>
        <w:t xml:space="preserve"> </w:t>
      </w:r>
      <w:r w:rsidR="00F97626">
        <w:rPr>
          <w:u w:val="single"/>
          <w:rtl/>
        </w:rPr>
        <w:t>-</w:t>
      </w:r>
      <w:r w:rsidRPr="00627343">
        <w:rPr>
          <w:rFonts w:hint="cs"/>
          <w:u w:val="single"/>
          <w:rtl/>
        </w:rPr>
        <w:t xml:space="preserve"> האם יכול </w:t>
      </w:r>
      <w:r w:rsidR="00EE10D6">
        <w:rPr>
          <w:rFonts w:hint="cs"/>
          <w:u w:val="single"/>
          <w:rtl/>
        </w:rPr>
        <w:t xml:space="preserve">הבעל </w:t>
      </w:r>
      <w:r w:rsidRPr="00627343">
        <w:rPr>
          <w:rFonts w:hint="cs"/>
          <w:u w:val="single"/>
          <w:rtl/>
        </w:rPr>
        <w:t>לעשות גם פשרה</w:t>
      </w:r>
      <w:r w:rsidR="00EE10D6">
        <w:rPr>
          <w:rFonts w:hint="cs"/>
          <w:u w:val="single"/>
          <w:rtl/>
        </w:rPr>
        <w:t xml:space="preserve"> בלא הרשאה מאשתו</w:t>
      </w:r>
      <w:r w:rsidRPr="00627343">
        <w:rPr>
          <w:rFonts w:hint="cs"/>
          <w:u w:val="single"/>
          <w:rtl/>
        </w:rPr>
        <w:t>:</w:t>
      </w:r>
    </w:p>
    <w:p w14:paraId="16B402B3" w14:textId="42B8E65E" w:rsidR="00627343" w:rsidRPr="001C326D" w:rsidRDefault="00627343" w:rsidP="009000E3">
      <w:pPr>
        <w:pStyle w:val="ab"/>
        <w:numPr>
          <w:ilvl w:val="0"/>
          <w:numId w:val="47"/>
        </w:numPr>
        <w:rPr>
          <w:rtl/>
        </w:rPr>
      </w:pPr>
      <w:r w:rsidRPr="00627343">
        <w:rPr>
          <w:rFonts w:cs="Arial"/>
          <w:rtl/>
        </w:rPr>
        <w:t xml:space="preserve">ריב"ש </w:t>
      </w:r>
      <w:r w:rsidRPr="00627343">
        <w:rPr>
          <w:rFonts w:cs="Arial" w:hint="cs"/>
          <w:sz w:val="16"/>
          <w:szCs w:val="16"/>
          <w:rtl/>
        </w:rPr>
        <w:t>(</w:t>
      </w:r>
      <w:r w:rsidRPr="00627343">
        <w:rPr>
          <w:rFonts w:cs="Arial"/>
          <w:sz w:val="16"/>
          <w:szCs w:val="16"/>
          <w:rtl/>
        </w:rPr>
        <w:t>סי</w:t>
      </w:r>
      <w:r w:rsidRPr="00627343">
        <w:rPr>
          <w:rFonts w:cs="Arial" w:hint="cs"/>
          <w:sz w:val="16"/>
          <w:szCs w:val="16"/>
          <w:rtl/>
        </w:rPr>
        <w:t>'</w:t>
      </w:r>
      <w:r w:rsidRPr="00627343">
        <w:rPr>
          <w:rFonts w:cs="Arial"/>
          <w:sz w:val="16"/>
          <w:szCs w:val="16"/>
          <w:rtl/>
        </w:rPr>
        <w:t xml:space="preserve"> תצו</w:t>
      </w:r>
      <w:r w:rsidRPr="00627343">
        <w:rPr>
          <w:rFonts w:cs="Arial" w:hint="cs"/>
          <w:sz w:val="16"/>
          <w:szCs w:val="16"/>
          <w:rtl/>
        </w:rPr>
        <w:t>)</w:t>
      </w:r>
      <w:r>
        <w:rPr>
          <w:rFonts w:cs="Arial" w:hint="cs"/>
          <w:rtl/>
        </w:rPr>
        <w:t>-</w:t>
      </w:r>
      <w:r w:rsidRPr="00627343">
        <w:rPr>
          <w:rFonts w:cs="Arial"/>
          <w:rtl/>
        </w:rPr>
        <w:t xml:space="preserve"> הא דאין צריך הרשאה היינו לדון</w:t>
      </w:r>
      <w:r w:rsidR="009C03AD">
        <w:rPr>
          <w:rFonts w:cs="Arial" w:hint="cs"/>
          <w:rtl/>
        </w:rPr>
        <w:t>,</w:t>
      </w:r>
      <w:r w:rsidRPr="00627343">
        <w:rPr>
          <w:rFonts w:cs="Arial"/>
          <w:rtl/>
        </w:rPr>
        <w:t xml:space="preserve"> אבל לעשות פשרה </w:t>
      </w:r>
      <w:r>
        <w:rPr>
          <w:rFonts w:cs="Arial" w:hint="cs"/>
          <w:rtl/>
        </w:rPr>
        <w:t xml:space="preserve">- </w:t>
      </w:r>
      <w:r w:rsidRPr="00627343">
        <w:rPr>
          <w:rFonts w:cs="Arial"/>
          <w:rtl/>
        </w:rPr>
        <w:t>צריך הרשאה</w:t>
      </w:r>
      <w:r>
        <w:rPr>
          <w:rFonts w:cs="Arial" w:hint="cs"/>
          <w:rtl/>
        </w:rPr>
        <w:t>.</w:t>
      </w:r>
      <w:r w:rsidRPr="00627343">
        <w:rPr>
          <w:rFonts w:hint="cs"/>
          <w:color w:val="00B0F0"/>
          <w:rtl/>
        </w:rPr>
        <w:t xml:space="preserve"> (וכ"פ הרמ"א)</w:t>
      </w:r>
    </w:p>
    <w:p w14:paraId="05C076B2" w14:textId="29A65591" w:rsidR="00E461BC" w:rsidRPr="00E461BC" w:rsidRDefault="00E461BC" w:rsidP="001C326D">
      <w:pPr>
        <w:rPr>
          <w:rFonts w:cs="Arial"/>
          <w:u w:val="single"/>
          <w:rtl/>
        </w:rPr>
      </w:pPr>
      <w:r w:rsidRPr="00E461BC">
        <w:rPr>
          <w:rFonts w:cs="Arial"/>
          <w:u w:val="single"/>
          <w:rtl/>
        </w:rPr>
        <w:t xml:space="preserve">בעל </w:t>
      </w:r>
      <w:r w:rsidRPr="00E461BC">
        <w:rPr>
          <w:rFonts w:cs="Arial" w:hint="cs"/>
          <w:u w:val="single"/>
          <w:rtl/>
        </w:rPr>
        <w:t>ש</w:t>
      </w:r>
      <w:r w:rsidRPr="00E461BC">
        <w:rPr>
          <w:rFonts w:cs="Arial"/>
          <w:u w:val="single"/>
          <w:rtl/>
        </w:rPr>
        <w:t>בא לדון מחמת מעות מזומנים שיש לאשתו ביד אחר</w:t>
      </w:r>
      <w:r w:rsidRPr="00E461BC">
        <w:rPr>
          <w:rFonts w:cs="Arial" w:hint="cs"/>
          <w:u w:val="single"/>
          <w:rtl/>
        </w:rPr>
        <w:t>:</w:t>
      </w:r>
    </w:p>
    <w:p w14:paraId="22EB64F6" w14:textId="4481DFED" w:rsidR="00627343" w:rsidRDefault="00E461BC" w:rsidP="009000E3">
      <w:pPr>
        <w:pStyle w:val="ab"/>
        <w:numPr>
          <w:ilvl w:val="0"/>
          <w:numId w:val="47"/>
        </w:numPr>
      </w:pPr>
      <w:r w:rsidRPr="00627343">
        <w:rPr>
          <w:rFonts w:cs="Arial" w:hint="cs"/>
          <w:rtl/>
        </w:rPr>
        <w:t xml:space="preserve">תרוה"ד </w:t>
      </w:r>
      <w:r w:rsidRPr="00627343">
        <w:rPr>
          <w:rFonts w:cs="Arial" w:hint="cs"/>
          <w:sz w:val="16"/>
          <w:szCs w:val="16"/>
          <w:rtl/>
        </w:rPr>
        <w:t>(</w:t>
      </w:r>
      <w:r w:rsidRPr="00627343">
        <w:rPr>
          <w:rFonts w:cs="Arial"/>
          <w:sz w:val="16"/>
          <w:szCs w:val="16"/>
          <w:rtl/>
        </w:rPr>
        <w:t>סי</w:t>
      </w:r>
      <w:r w:rsidRPr="00627343">
        <w:rPr>
          <w:rFonts w:cs="Arial" w:hint="cs"/>
          <w:sz w:val="16"/>
          <w:szCs w:val="16"/>
          <w:rtl/>
        </w:rPr>
        <w:t>'</w:t>
      </w:r>
      <w:r w:rsidRPr="00627343">
        <w:rPr>
          <w:rFonts w:cs="Arial"/>
          <w:sz w:val="16"/>
          <w:szCs w:val="16"/>
          <w:rtl/>
        </w:rPr>
        <w:t xml:space="preserve"> שיב</w:t>
      </w:r>
      <w:r w:rsidRPr="00627343">
        <w:rPr>
          <w:rFonts w:cs="Arial" w:hint="cs"/>
          <w:sz w:val="16"/>
          <w:szCs w:val="16"/>
          <w:rtl/>
        </w:rPr>
        <w:t>)</w:t>
      </w:r>
      <w:r w:rsidRPr="00627343">
        <w:rPr>
          <w:rFonts w:cs="Arial" w:hint="cs"/>
          <w:rtl/>
        </w:rPr>
        <w:t xml:space="preserve">- </w:t>
      </w:r>
      <w:r w:rsidRPr="00627343">
        <w:rPr>
          <w:rFonts w:cs="Arial"/>
          <w:rtl/>
        </w:rPr>
        <w:t xml:space="preserve">אם הבעל בא לדון מחמת מעות מזומנים שיש לאשתו ביד אחר </w:t>
      </w:r>
      <w:r w:rsidRPr="00627343">
        <w:rPr>
          <w:rFonts w:cs="Arial" w:hint="cs"/>
          <w:rtl/>
        </w:rPr>
        <w:t xml:space="preserve">- </w:t>
      </w:r>
      <w:r w:rsidRPr="00627343">
        <w:rPr>
          <w:rFonts w:cs="Arial"/>
          <w:rtl/>
        </w:rPr>
        <w:t>אין צריך הרשאה דמעות מזומנים כאילו הוי פירות בארעא דמי</w:t>
      </w:r>
      <w:r w:rsidR="00627343">
        <w:rPr>
          <w:rStyle w:val="a7"/>
          <w:rFonts w:cs="Arial"/>
          <w:rtl/>
        </w:rPr>
        <w:footnoteReference w:id="863"/>
      </w:r>
      <w:r w:rsidRPr="00627343">
        <w:rPr>
          <w:rFonts w:cs="Arial"/>
          <w:rtl/>
        </w:rPr>
        <w:t xml:space="preserve">. </w:t>
      </w:r>
      <w:r w:rsidR="00627343" w:rsidRPr="00627343">
        <w:rPr>
          <w:rFonts w:hint="cs"/>
          <w:color w:val="00B0F0"/>
          <w:rtl/>
        </w:rPr>
        <w:t>(וכ"פ הרמ"א)</w:t>
      </w:r>
    </w:p>
    <w:p w14:paraId="71296212"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18490194" w14:textId="2E542B71" w:rsidR="00F46615" w:rsidRDefault="007A3469" w:rsidP="007A3469">
      <w:pPr>
        <w:rPr>
          <w:rFonts w:cs="Arial"/>
          <w:rtl/>
        </w:rPr>
      </w:pPr>
      <w:r>
        <w:rPr>
          <w:rFonts w:cs="Arial"/>
          <w:rtl/>
        </w:rPr>
        <w:t>בעל הבא לדון עם אחד על נכסי אשתו, צריך הרשאה. ואם יש פירות בקרקע</w:t>
      </w:r>
      <w:r w:rsidR="00EE10D6">
        <w:rPr>
          <w:rStyle w:val="a7"/>
          <w:rFonts w:cs="Arial"/>
          <w:rtl/>
        </w:rPr>
        <w:footnoteReference w:id="864"/>
      </w:r>
      <w:r>
        <w:rPr>
          <w:rFonts w:cs="Arial"/>
          <w:rtl/>
        </w:rPr>
        <w:t>, מתוך שיש לו לדון על הפירות שהם שלו</w:t>
      </w:r>
      <w:r w:rsidR="000A03AB">
        <w:rPr>
          <w:rFonts w:cs="Arial" w:hint="cs"/>
          <w:rtl/>
        </w:rPr>
        <w:t>,</w:t>
      </w:r>
      <w:r>
        <w:rPr>
          <w:rFonts w:cs="Arial"/>
          <w:rtl/>
        </w:rPr>
        <w:t xml:space="preserve"> דן על העיקר</w:t>
      </w:r>
      <w:r w:rsidR="00EE10D6">
        <w:rPr>
          <w:rStyle w:val="a7"/>
          <w:rFonts w:cs="Arial"/>
          <w:rtl/>
        </w:rPr>
        <w:footnoteReference w:id="865"/>
      </w:r>
      <w:r w:rsidR="000A03AB">
        <w:rPr>
          <w:rFonts w:cs="Arial" w:hint="cs"/>
          <w:rtl/>
        </w:rPr>
        <w:t>,</w:t>
      </w:r>
      <w:r>
        <w:rPr>
          <w:rFonts w:cs="Arial"/>
          <w:rtl/>
        </w:rPr>
        <w:t xml:space="preserve"> ואינו צריך הרשאה מאשתו, שאם אין לה קרקע אין לו פירות. </w:t>
      </w:r>
      <w:r w:rsidRPr="00F46615">
        <w:rPr>
          <w:rFonts w:cs="Arial"/>
          <w:sz w:val="18"/>
          <w:szCs w:val="18"/>
          <w:rtl/>
        </w:rPr>
        <w:t>הגה: דוקא לדון, אבל לעשות פשרה, צריך הרשאה</w:t>
      </w:r>
      <w:r w:rsidR="00EE10D6">
        <w:rPr>
          <w:rStyle w:val="a7"/>
          <w:rFonts w:cs="Arial"/>
          <w:sz w:val="18"/>
          <w:szCs w:val="18"/>
          <w:rtl/>
        </w:rPr>
        <w:footnoteReference w:id="866"/>
      </w:r>
      <w:r w:rsidRPr="00F46615">
        <w:rPr>
          <w:rFonts w:cs="Arial"/>
          <w:sz w:val="18"/>
          <w:szCs w:val="18"/>
          <w:rtl/>
        </w:rPr>
        <w:t xml:space="preserve"> (ריב"ש). בא לדון על מעות מזומנים של אשתו</w:t>
      </w:r>
      <w:r w:rsidR="00EE10D6">
        <w:rPr>
          <w:rStyle w:val="a7"/>
          <w:rFonts w:cs="Arial"/>
          <w:sz w:val="18"/>
          <w:szCs w:val="18"/>
          <w:rtl/>
        </w:rPr>
        <w:footnoteReference w:id="867"/>
      </w:r>
      <w:r w:rsidRPr="00F46615">
        <w:rPr>
          <w:rFonts w:cs="Arial"/>
          <w:sz w:val="18"/>
          <w:szCs w:val="18"/>
          <w:rtl/>
        </w:rPr>
        <w:t>, אינו צריך הרשאה, דהוי כאלו היו פירות בקרקע (ת</w:t>
      </w:r>
      <w:r w:rsidR="000A03AB">
        <w:rPr>
          <w:rFonts w:cs="Arial" w:hint="cs"/>
          <w:sz w:val="18"/>
          <w:szCs w:val="18"/>
          <w:rtl/>
        </w:rPr>
        <w:t>רוה"ד</w:t>
      </w:r>
      <w:r w:rsidRPr="00F46615">
        <w:rPr>
          <w:rFonts w:cs="Arial"/>
          <w:sz w:val="18"/>
          <w:szCs w:val="18"/>
          <w:rtl/>
        </w:rPr>
        <w:t>) ועיין בח"ה סימן קכ"ב.</w:t>
      </w:r>
    </w:p>
    <w:p w14:paraId="7BE747CC" w14:textId="35C316A8" w:rsidR="007A3469" w:rsidRDefault="007A3469" w:rsidP="007A3469">
      <w:pPr>
        <w:rPr>
          <w:rtl/>
        </w:rPr>
      </w:pPr>
      <w:r>
        <w:rPr>
          <w:rFonts w:cs="Arial"/>
          <w:rtl/>
        </w:rPr>
        <w:t xml:space="preserve"> </w:t>
      </w:r>
    </w:p>
    <w:p w14:paraId="72BA57B0" w14:textId="7D2C4D13" w:rsidR="007A3469" w:rsidRDefault="007A3469" w:rsidP="000F64D0">
      <w:pPr>
        <w:pStyle w:val="2"/>
        <w:rPr>
          <w:rtl/>
        </w:rPr>
      </w:pPr>
      <w:r>
        <w:rPr>
          <w:rtl/>
        </w:rPr>
        <w:t>סעיף ה</w:t>
      </w:r>
      <w:r w:rsidR="00F85A82">
        <w:rPr>
          <w:rFonts w:hint="cs"/>
          <w:rtl/>
        </w:rPr>
        <w:t>: אשה השאילה פרה של נכסי מלוג, ובעלה נשאל עמה.</w:t>
      </w:r>
    </w:p>
    <w:p w14:paraId="2795D242" w14:textId="73344E61" w:rsidR="00F85A82" w:rsidRPr="00F85A82" w:rsidRDefault="00F85A82" w:rsidP="00F85A82">
      <w:pPr>
        <w:rPr>
          <w:rFonts w:cs="Arial"/>
          <w:rtl/>
        </w:rPr>
      </w:pPr>
      <w:r>
        <w:rPr>
          <w:rFonts w:cs="Arial" w:hint="cs"/>
          <w:b/>
          <w:bCs/>
          <w:rtl/>
        </w:rPr>
        <w:t xml:space="preserve">בבא מציעא </w:t>
      </w:r>
      <w:r w:rsidRPr="00253C68">
        <w:rPr>
          <w:rFonts w:cs="Arial" w:hint="cs"/>
          <w:b/>
          <w:bCs/>
          <w:sz w:val="16"/>
          <w:szCs w:val="16"/>
          <w:rtl/>
        </w:rPr>
        <w:t>(</w:t>
      </w:r>
      <w:r w:rsidR="00AD3F4C">
        <w:rPr>
          <w:rFonts w:cs="Arial" w:hint="cs"/>
          <w:b/>
          <w:bCs/>
          <w:sz w:val="16"/>
          <w:szCs w:val="16"/>
          <w:rtl/>
        </w:rPr>
        <w:t>ר"</w:t>
      </w:r>
      <w:r>
        <w:rPr>
          <w:rFonts w:cs="Arial" w:hint="cs"/>
          <w:b/>
          <w:bCs/>
          <w:sz w:val="16"/>
          <w:szCs w:val="16"/>
          <w:rtl/>
        </w:rPr>
        <w:t>פ השואל</w:t>
      </w:r>
      <w:r w:rsidRPr="00253C68">
        <w:rPr>
          <w:rFonts w:cs="Arial" w:hint="cs"/>
          <w:b/>
          <w:bCs/>
          <w:sz w:val="16"/>
          <w:szCs w:val="16"/>
          <w:rtl/>
        </w:rPr>
        <w:t xml:space="preserve">) </w:t>
      </w:r>
      <w:r>
        <w:rPr>
          <w:rFonts w:cs="Arial" w:hint="cs"/>
          <w:b/>
          <w:bCs/>
          <w:rtl/>
        </w:rPr>
        <w:t>צו ע"א:</w:t>
      </w:r>
      <w:r w:rsidRPr="00F85A82">
        <w:rPr>
          <w:rtl/>
        </w:rPr>
        <w:t xml:space="preserve"> </w:t>
      </w:r>
      <w:r w:rsidRPr="00F85A82">
        <w:rPr>
          <w:rFonts w:cs="Arial"/>
          <w:rtl/>
        </w:rPr>
        <w:t>שאל מהאשה</w:t>
      </w:r>
      <w:r w:rsidR="00AD3F4C">
        <w:rPr>
          <w:rStyle w:val="a7"/>
          <w:rFonts w:cs="Arial"/>
          <w:rtl/>
        </w:rPr>
        <w:footnoteReference w:id="868"/>
      </w:r>
      <w:r w:rsidRPr="00F85A82">
        <w:rPr>
          <w:rFonts w:cs="Arial"/>
          <w:rtl/>
        </w:rPr>
        <w:t xml:space="preserve"> ונשאל בעלה</w:t>
      </w:r>
      <w:r w:rsidR="00AD3F4C">
        <w:rPr>
          <w:rStyle w:val="a7"/>
          <w:rFonts w:cs="Arial"/>
          <w:rtl/>
        </w:rPr>
        <w:footnoteReference w:id="869"/>
      </w:r>
      <w:r w:rsidRPr="00F85A82">
        <w:rPr>
          <w:rFonts w:cs="Arial"/>
          <w:rtl/>
        </w:rPr>
        <w:t>, אשה ששאלה ונשאל לבעל, מהו? קנין פירות</w:t>
      </w:r>
      <w:r w:rsidR="001F63D8">
        <w:rPr>
          <w:rStyle w:val="a7"/>
          <w:rFonts w:cs="Arial"/>
          <w:rtl/>
        </w:rPr>
        <w:footnoteReference w:id="870"/>
      </w:r>
      <w:r w:rsidRPr="00F85A82">
        <w:rPr>
          <w:rFonts w:cs="Arial"/>
          <w:rtl/>
        </w:rPr>
        <w:t xml:space="preserve"> כקנין גוף דמי או לא?</w:t>
      </w:r>
      <w:r>
        <w:rPr>
          <w:rFonts w:cs="Arial" w:hint="cs"/>
          <w:rtl/>
        </w:rPr>
        <w:t>...</w:t>
      </w:r>
      <w:r w:rsidRPr="00F85A82">
        <w:rPr>
          <w:rFonts w:cs="Arial"/>
          <w:rtl/>
        </w:rPr>
        <w:t xml:space="preserve"> </w:t>
      </w:r>
      <w:r w:rsidRPr="00F85A82">
        <w:rPr>
          <w:rFonts w:cs="Arial"/>
          <w:u w:val="single"/>
          <w:rtl/>
        </w:rPr>
        <w:t>אמר ליה רב אחא בריה דרב אויא לרב אשי</w:t>
      </w:r>
      <w:r w:rsidRPr="00F85A82">
        <w:rPr>
          <w:rFonts w:cs="Arial"/>
          <w:rtl/>
        </w:rPr>
        <w:t>: בעל - פלוגתא דרבי יוחנן וריש לקיש</w:t>
      </w:r>
      <w:r>
        <w:rPr>
          <w:rFonts w:cs="Arial" w:hint="cs"/>
          <w:rtl/>
        </w:rPr>
        <w:t xml:space="preserve">... </w:t>
      </w:r>
      <w:r w:rsidRPr="00F85A82">
        <w:rPr>
          <w:rFonts w:cs="Arial"/>
          <w:rtl/>
        </w:rPr>
        <w:t xml:space="preserve">דאיתמר: </w:t>
      </w:r>
      <w:r w:rsidRPr="00F85A82">
        <w:rPr>
          <w:rFonts w:cs="Arial"/>
          <w:rtl/>
        </w:rPr>
        <w:lastRenderedPageBreak/>
        <w:t>המוכר שדהו לחבירו לפירות</w:t>
      </w:r>
      <w:r w:rsidR="001F63D8">
        <w:rPr>
          <w:rStyle w:val="a7"/>
          <w:rFonts w:cs="Arial"/>
          <w:rtl/>
        </w:rPr>
        <w:footnoteReference w:id="871"/>
      </w:r>
      <w:r w:rsidRPr="00F85A82">
        <w:rPr>
          <w:rFonts w:cs="Arial"/>
          <w:rtl/>
        </w:rPr>
        <w:t xml:space="preserve">, </w:t>
      </w:r>
      <w:r w:rsidRPr="00AD3F4C">
        <w:rPr>
          <w:rFonts w:cs="Arial"/>
          <w:u w:val="single"/>
          <w:rtl/>
        </w:rPr>
        <w:t>רבי יוחנן אומר</w:t>
      </w:r>
      <w:r w:rsidRPr="00F85A82">
        <w:rPr>
          <w:rFonts w:cs="Arial"/>
          <w:rtl/>
        </w:rPr>
        <w:t xml:space="preserve">: מביא וקורא, </w:t>
      </w:r>
      <w:r w:rsidRPr="00AD3F4C">
        <w:rPr>
          <w:rFonts w:cs="Arial"/>
          <w:u w:val="single"/>
          <w:rtl/>
        </w:rPr>
        <w:t>ריש לקיש אומר</w:t>
      </w:r>
      <w:r w:rsidRPr="00F85A82">
        <w:rPr>
          <w:rFonts w:cs="Arial"/>
          <w:rtl/>
        </w:rPr>
        <w:t>: מביא ואינו קורא. רבי יוחנן אומר: מביא וקורא, קנין פירות כקנין הגוף דמי. וריש לקיש אומר: מביא ואינו קורא, קנין פירות לאו כקנין הגוף דמי.</w:t>
      </w:r>
      <w:r w:rsidR="00AD3F4C" w:rsidRPr="00AD3F4C">
        <w:rPr>
          <w:rFonts w:cs="Arial"/>
          <w:sz w:val="16"/>
          <w:szCs w:val="16"/>
          <w:rtl/>
        </w:rPr>
        <w:t xml:space="preserve"> </w:t>
      </w:r>
      <w:r w:rsidR="00AD3F4C">
        <w:rPr>
          <w:rFonts w:cs="Arial" w:hint="cs"/>
          <w:sz w:val="16"/>
          <w:szCs w:val="16"/>
          <w:rtl/>
        </w:rPr>
        <w:t>(</w:t>
      </w:r>
      <w:r w:rsidR="00AD3F4C" w:rsidRPr="00AD3F4C">
        <w:rPr>
          <w:rFonts w:cs="Arial"/>
          <w:sz w:val="16"/>
          <w:szCs w:val="16"/>
          <w:rtl/>
        </w:rPr>
        <w:t>וכתבו הרי"ף (נה.) והרא"ש (סו"ס א) וקיימא לן בהא כריש לקיש</w:t>
      </w:r>
      <w:r w:rsidR="00E81C89">
        <w:rPr>
          <w:rFonts w:cs="Arial" w:hint="cs"/>
          <w:sz w:val="16"/>
          <w:szCs w:val="16"/>
          <w:rtl/>
        </w:rPr>
        <w:t>,</w:t>
      </w:r>
      <w:r w:rsidR="00AD3F4C" w:rsidRPr="00AD3F4C">
        <w:rPr>
          <w:rFonts w:cs="Arial"/>
          <w:sz w:val="16"/>
          <w:szCs w:val="16"/>
          <w:rtl/>
        </w:rPr>
        <w:t xml:space="preserve"> והכי אמרינן בריש פרק החולץ (יבמות לו:) דהא הויא חד מתלת דהוי הלכתא כריש לקיש</w:t>
      </w:r>
      <w:r w:rsidR="00AD3F4C">
        <w:rPr>
          <w:rFonts w:cs="Arial" w:hint="cs"/>
          <w:sz w:val="16"/>
          <w:szCs w:val="16"/>
          <w:rtl/>
        </w:rPr>
        <w:t>, ב"י)</w:t>
      </w:r>
    </w:p>
    <w:p w14:paraId="76A58E9B" w14:textId="2B3C68D3" w:rsidR="00F85A82" w:rsidRPr="00F85A82" w:rsidRDefault="00F85A82" w:rsidP="00F85A82">
      <w:pPr>
        <w:rPr>
          <w:u w:val="single"/>
          <w:rtl/>
        </w:rPr>
      </w:pPr>
      <w:r w:rsidRPr="00F85A82">
        <w:rPr>
          <w:rFonts w:hint="cs"/>
          <w:u w:val="single"/>
          <w:rtl/>
        </w:rPr>
        <w:t>אשה השאילה פרה של נכסי מלוג, ובעלה נשאל עמה:</w:t>
      </w:r>
    </w:p>
    <w:p w14:paraId="3896D668" w14:textId="35269301" w:rsidR="001F63D8" w:rsidRDefault="00605FD6" w:rsidP="009000E3">
      <w:pPr>
        <w:pStyle w:val="ab"/>
        <w:numPr>
          <w:ilvl w:val="0"/>
          <w:numId w:val="47"/>
        </w:numPr>
      </w:pPr>
      <w:r>
        <w:rPr>
          <w:rFonts w:cs="Arial" w:hint="cs"/>
          <w:rtl/>
        </w:rPr>
        <w:t xml:space="preserve">טור- </w:t>
      </w:r>
      <w:r w:rsidRPr="007A228B">
        <w:rPr>
          <w:rFonts w:cs="Arial"/>
          <w:rtl/>
        </w:rPr>
        <w:t>ואע</w:t>
      </w:r>
      <w:r w:rsidR="00F85A82">
        <w:rPr>
          <w:rFonts w:cs="Arial" w:hint="cs"/>
          <w:rtl/>
        </w:rPr>
        <w:t>"</w:t>
      </w:r>
      <w:r w:rsidRPr="007A228B">
        <w:rPr>
          <w:rFonts w:cs="Arial"/>
          <w:rtl/>
        </w:rPr>
        <w:t>פ שאוכל פירותיהם אינו כבעליו לענין שאלה בבעלים</w:t>
      </w:r>
      <w:r w:rsidR="00F85A82">
        <w:rPr>
          <w:rFonts w:cs="Arial" w:hint="cs"/>
          <w:rtl/>
        </w:rPr>
        <w:t>,</w:t>
      </w:r>
      <w:r w:rsidRPr="007A228B">
        <w:rPr>
          <w:rFonts w:cs="Arial"/>
          <w:rtl/>
        </w:rPr>
        <w:t xml:space="preserve"> שאם יש לה פרה של נכסי מלוג והשאילה</w:t>
      </w:r>
      <w:r w:rsidR="00AD3F4C">
        <w:rPr>
          <w:rStyle w:val="a7"/>
          <w:rFonts w:cs="Arial"/>
          <w:rtl/>
        </w:rPr>
        <w:footnoteReference w:id="872"/>
      </w:r>
      <w:r w:rsidRPr="007A228B">
        <w:rPr>
          <w:rFonts w:cs="Arial"/>
          <w:rtl/>
        </w:rPr>
        <w:t xml:space="preserve"> לאחר</w:t>
      </w:r>
      <w:r w:rsidR="00F85A82">
        <w:rPr>
          <w:rFonts w:cs="Arial" w:hint="cs"/>
          <w:rtl/>
        </w:rPr>
        <w:t>,</w:t>
      </w:r>
      <w:r w:rsidRPr="007A228B">
        <w:rPr>
          <w:rFonts w:cs="Arial"/>
          <w:rtl/>
        </w:rPr>
        <w:t xml:space="preserve"> ונשאל עמה </w:t>
      </w:r>
      <w:r w:rsidR="00F85A82">
        <w:rPr>
          <w:rFonts w:cs="Arial" w:hint="cs"/>
          <w:rtl/>
        </w:rPr>
        <w:t xml:space="preserve">- </w:t>
      </w:r>
      <w:r w:rsidRPr="007A228B">
        <w:rPr>
          <w:rFonts w:cs="Arial"/>
          <w:rtl/>
        </w:rPr>
        <w:t>לא חשיב שאלה בבעלים</w:t>
      </w:r>
      <w:r w:rsidR="00F85A82">
        <w:rPr>
          <w:rFonts w:cs="Arial" w:hint="cs"/>
          <w:rtl/>
        </w:rPr>
        <w:t>.</w:t>
      </w:r>
      <w:r w:rsidRPr="007A228B">
        <w:rPr>
          <w:rFonts w:cs="Arial"/>
          <w:rtl/>
        </w:rPr>
        <w:t xml:space="preserve"> </w:t>
      </w:r>
      <w:r w:rsidR="006522E5" w:rsidRPr="007B430E">
        <w:rPr>
          <w:rFonts w:hint="cs"/>
          <w:color w:val="E36C0A" w:themeColor="accent6" w:themeShade="BF"/>
          <w:rtl/>
        </w:rPr>
        <w:t>(וכ"פ בשו"ע)</w:t>
      </w:r>
    </w:p>
    <w:p w14:paraId="5BA44ACB"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71C3016E" w14:textId="0AC171F4" w:rsidR="007A3469" w:rsidRDefault="007A3469" w:rsidP="007A3469">
      <w:pPr>
        <w:rPr>
          <w:rtl/>
        </w:rPr>
      </w:pPr>
      <w:r>
        <w:rPr>
          <w:rFonts w:cs="Arial"/>
          <w:rtl/>
        </w:rPr>
        <w:t>השאילה האשה לאחר פרה של נכסי מלוג, ונשאל בעלה עמה, לא הוי שאלה בבעלים, דקנין פירות לאו כקנין הגוף דמי</w:t>
      </w:r>
      <w:r w:rsidR="00E81C89">
        <w:rPr>
          <w:rFonts w:cs="Arial" w:hint="cs"/>
          <w:rtl/>
        </w:rPr>
        <w:t xml:space="preserve">. </w:t>
      </w:r>
      <w:r w:rsidR="00E81C89" w:rsidRPr="00E81C89">
        <w:rPr>
          <w:rFonts w:cs="Arial" w:hint="cs"/>
          <w:sz w:val="18"/>
          <w:szCs w:val="18"/>
          <w:rtl/>
        </w:rPr>
        <w:t xml:space="preserve">[הגה] </w:t>
      </w:r>
      <w:r w:rsidRPr="00E81C89">
        <w:rPr>
          <w:rFonts w:cs="Arial"/>
          <w:sz w:val="18"/>
          <w:szCs w:val="18"/>
          <w:rtl/>
        </w:rPr>
        <w:t>עיין בח"ה ס' שמ"ו.</w:t>
      </w:r>
      <w:r>
        <w:rPr>
          <w:rFonts w:cs="Arial"/>
          <w:rtl/>
        </w:rPr>
        <w:t xml:space="preserve"> </w:t>
      </w:r>
    </w:p>
    <w:p w14:paraId="5908CFC6" w14:textId="77777777" w:rsidR="00F46615" w:rsidRDefault="00F46615" w:rsidP="007A3469">
      <w:pPr>
        <w:rPr>
          <w:rtl/>
        </w:rPr>
      </w:pPr>
    </w:p>
    <w:p w14:paraId="611ADAF6" w14:textId="36E9A423" w:rsidR="007A3469" w:rsidRDefault="007A3469" w:rsidP="000F64D0">
      <w:pPr>
        <w:pStyle w:val="2"/>
        <w:rPr>
          <w:rtl/>
        </w:rPr>
      </w:pPr>
      <w:r>
        <w:rPr>
          <w:rtl/>
        </w:rPr>
        <w:t>סעיף ו</w:t>
      </w:r>
      <w:r w:rsidR="001F63D8">
        <w:rPr>
          <w:rFonts w:hint="cs"/>
          <w:rtl/>
        </w:rPr>
        <w:t>:</w:t>
      </w:r>
      <w:r w:rsidR="00B41346" w:rsidRPr="00B41346">
        <w:rPr>
          <w:rtl/>
        </w:rPr>
        <w:t xml:space="preserve"> </w:t>
      </w:r>
      <w:r w:rsidR="00B41346">
        <w:rPr>
          <w:rtl/>
        </w:rPr>
        <w:t>אשה שאלה</w:t>
      </w:r>
      <w:r w:rsidR="00137671">
        <w:rPr>
          <w:rFonts w:hint="cs"/>
          <w:rtl/>
        </w:rPr>
        <w:t>/שכרה</w:t>
      </w:r>
      <w:r w:rsidR="00B41346">
        <w:rPr>
          <w:rtl/>
        </w:rPr>
        <w:t xml:space="preserve"> פרה, ואח</w:t>
      </w:r>
      <w:r w:rsidR="00B41346">
        <w:rPr>
          <w:rFonts w:hint="cs"/>
          <w:rtl/>
        </w:rPr>
        <w:t>"</w:t>
      </w:r>
      <w:r w:rsidR="00B41346">
        <w:rPr>
          <w:rtl/>
        </w:rPr>
        <w:t>כ נשאת</w:t>
      </w:r>
      <w:r w:rsidR="00B41346">
        <w:rPr>
          <w:rFonts w:hint="cs"/>
          <w:rtl/>
        </w:rPr>
        <w:t>,</w:t>
      </w:r>
      <w:r w:rsidR="00B41346">
        <w:rPr>
          <w:rtl/>
        </w:rPr>
        <w:t xml:space="preserve"> ומתה</w:t>
      </w:r>
      <w:r w:rsidR="00B41346">
        <w:rPr>
          <w:rFonts w:hint="cs"/>
          <w:rtl/>
        </w:rPr>
        <w:t xml:space="preserve"> הפרה.</w:t>
      </w:r>
    </w:p>
    <w:p w14:paraId="5B73DD43" w14:textId="11ED4B82" w:rsidR="006522E5" w:rsidRPr="00BA73D9" w:rsidRDefault="006522E5" w:rsidP="006522E5">
      <w:pPr>
        <w:rPr>
          <w:rFonts w:cs="Arial"/>
          <w:rtl/>
        </w:rPr>
      </w:pPr>
      <w:r>
        <w:rPr>
          <w:rFonts w:cs="Arial" w:hint="cs"/>
          <w:b/>
          <w:bCs/>
          <w:rtl/>
        </w:rPr>
        <w:t xml:space="preserve">בבא מציעא </w:t>
      </w:r>
      <w:r w:rsidRPr="00253C68">
        <w:rPr>
          <w:rFonts w:cs="Arial" w:hint="cs"/>
          <w:b/>
          <w:bCs/>
          <w:sz w:val="16"/>
          <w:szCs w:val="16"/>
          <w:rtl/>
        </w:rPr>
        <w:t>(</w:t>
      </w:r>
      <w:r>
        <w:rPr>
          <w:rFonts w:cs="Arial" w:hint="cs"/>
          <w:b/>
          <w:bCs/>
          <w:sz w:val="16"/>
          <w:szCs w:val="16"/>
          <w:rtl/>
        </w:rPr>
        <w:t>פ' השואל</w:t>
      </w:r>
      <w:r w:rsidRPr="00253C68">
        <w:rPr>
          <w:rFonts w:cs="Arial" w:hint="cs"/>
          <w:b/>
          <w:bCs/>
          <w:sz w:val="16"/>
          <w:szCs w:val="16"/>
          <w:rtl/>
        </w:rPr>
        <w:t xml:space="preserve">) </w:t>
      </w:r>
      <w:r>
        <w:rPr>
          <w:rFonts w:cs="Arial" w:hint="cs"/>
          <w:b/>
          <w:bCs/>
          <w:rtl/>
        </w:rPr>
        <w:t xml:space="preserve">צו ע"א: </w:t>
      </w:r>
      <w:r w:rsidRPr="00253C68">
        <w:rPr>
          <w:rFonts w:cs="Arial"/>
          <w:u w:val="single"/>
          <w:rtl/>
        </w:rPr>
        <w:t>בעי רמי בר חמא</w:t>
      </w:r>
      <w:r w:rsidRPr="00253C68">
        <w:rPr>
          <w:rFonts w:cs="Arial"/>
          <w:rtl/>
        </w:rPr>
        <w:t>: בעל בנכסי אשתו</w:t>
      </w:r>
      <w:r>
        <w:rPr>
          <w:rFonts w:cs="Arial" w:hint="cs"/>
          <w:rtl/>
        </w:rPr>
        <w:t xml:space="preserve"> </w:t>
      </w:r>
      <w:r>
        <w:rPr>
          <w:rFonts w:cs="Arial" w:hint="cs"/>
          <w:sz w:val="14"/>
          <w:szCs w:val="14"/>
          <w:rtl/>
        </w:rPr>
        <w:t>(צו:)</w:t>
      </w:r>
      <w:r w:rsidRPr="00253C68">
        <w:rPr>
          <w:rFonts w:cs="Arial"/>
          <w:rtl/>
        </w:rPr>
        <w:t xml:space="preserve"> שואל הוי</w:t>
      </w:r>
      <w:r w:rsidR="003A1745">
        <w:rPr>
          <w:rStyle w:val="a7"/>
          <w:rFonts w:cs="Arial"/>
          <w:rtl/>
        </w:rPr>
        <w:footnoteReference w:id="873"/>
      </w:r>
      <w:r w:rsidRPr="00253C68">
        <w:rPr>
          <w:rFonts w:cs="Arial"/>
          <w:rtl/>
        </w:rPr>
        <w:t xml:space="preserve"> או שוכר הוי? </w:t>
      </w:r>
      <w:r w:rsidRPr="00253C68">
        <w:rPr>
          <w:rFonts w:cs="Arial"/>
          <w:u w:val="single"/>
          <w:rtl/>
        </w:rPr>
        <w:t>אמר רבא</w:t>
      </w:r>
      <w:r w:rsidRPr="00253C68">
        <w:rPr>
          <w:rFonts w:cs="Arial"/>
          <w:rtl/>
        </w:rPr>
        <w:t>: לפום חורפא שבשתא. מה נפשך, אי שואל הוי - שאלה בבעלים היא</w:t>
      </w:r>
      <w:r w:rsidR="003A1745">
        <w:rPr>
          <w:rStyle w:val="a7"/>
          <w:rFonts w:cs="Arial"/>
          <w:rtl/>
        </w:rPr>
        <w:footnoteReference w:id="874"/>
      </w:r>
      <w:r w:rsidRPr="00253C68">
        <w:rPr>
          <w:rFonts w:cs="Arial"/>
          <w:rtl/>
        </w:rPr>
        <w:t>, אי שוכר הוי - שכירות בבעלים היא.</w:t>
      </w:r>
      <w:r>
        <w:rPr>
          <w:rFonts w:cs="Arial" w:hint="cs"/>
          <w:rtl/>
        </w:rPr>
        <w:t>..</w:t>
      </w:r>
      <w:r w:rsidRPr="00253C68">
        <w:rPr>
          <w:rFonts w:cs="Arial"/>
          <w:rtl/>
        </w:rPr>
        <w:t xml:space="preserve"> אלא, כי קא מיבעיא לרמי בר חמא כגון דאגרא</w:t>
      </w:r>
      <w:r w:rsidR="000343CE">
        <w:rPr>
          <w:rStyle w:val="a7"/>
          <w:rFonts w:cs="Arial"/>
          <w:rtl/>
        </w:rPr>
        <w:footnoteReference w:id="875"/>
      </w:r>
      <w:r w:rsidRPr="00253C68">
        <w:rPr>
          <w:rFonts w:cs="Arial"/>
          <w:rtl/>
        </w:rPr>
        <w:t xml:space="preserve"> איהי פרה מעלמא, והדר נסבה</w:t>
      </w:r>
      <w:r w:rsidR="003A1745">
        <w:rPr>
          <w:rStyle w:val="a7"/>
          <w:rFonts w:cs="Arial"/>
          <w:rtl/>
        </w:rPr>
        <w:footnoteReference w:id="876"/>
      </w:r>
      <w:r w:rsidRPr="00253C68">
        <w:rPr>
          <w:rFonts w:cs="Arial"/>
          <w:rtl/>
        </w:rPr>
        <w:t>. ואליבא דרבנן</w:t>
      </w:r>
      <w:r w:rsidR="00166B2C">
        <w:rPr>
          <w:rStyle w:val="a7"/>
          <w:rFonts w:cs="Arial"/>
          <w:rtl/>
        </w:rPr>
        <w:footnoteReference w:id="877"/>
      </w:r>
      <w:r w:rsidRPr="00253C68">
        <w:rPr>
          <w:rFonts w:cs="Arial"/>
          <w:rtl/>
        </w:rPr>
        <w:t xml:space="preserve"> דאמרי שואל משלם לשוכר - לא תיבעי לך, דודאי שאילה בבעלים היא. כי תיבעי לך - אליבא דרבי יוסי, דאמר: תחזיר פרה לבעלים הראשונים - מאי, שואל הוי או שוכר הוי? </w:t>
      </w:r>
      <w:r w:rsidRPr="00253C68">
        <w:rPr>
          <w:rFonts w:cs="Arial"/>
          <w:u w:val="single"/>
          <w:rtl/>
        </w:rPr>
        <w:t>אמר רבא</w:t>
      </w:r>
      <w:r w:rsidRPr="00253C68">
        <w:rPr>
          <w:rFonts w:cs="Arial"/>
          <w:rtl/>
        </w:rPr>
        <w:t>: בעל לא שואל הוי ולא שוכר הוי, אלא לוקח הוי</w:t>
      </w:r>
      <w:r w:rsidR="00E81756">
        <w:rPr>
          <w:rStyle w:val="a7"/>
          <w:rFonts w:cs="Arial"/>
          <w:rtl/>
        </w:rPr>
        <w:footnoteReference w:id="878"/>
      </w:r>
      <w:r w:rsidRPr="00253C68">
        <w:rPr>
          <w:rFonts w:cs="Arial"/>
          <w:rtl/>
        </w:rPr>
        <w:t>, מדרבי יוסי ברבי חנינא. דאמר רבי יוסי ברבי חנינא: באושא התקינו: האשה שמכרה בנכסי מלוג בחיי בעלה ומתה</w:t>
      </w:r>
      <w:r w:rsidR="00E81756">
        <w:rPr>
          <w:rStyle w:val="a7"/>
          <w:rFonts w:cs="Arial"/>
          <w:rtl/>
        </w:rPr>
        <w:footnoteReference w:id="879"/>
      </w:r>
      <w:r w:rsidRPr="00253C68">
        <w:rPr>
          <w:rFonts w:cs="Arial"/>
          <w:rtl/>
        </w:rPr>
        <w:t xml:space="preserve"> - הבעל מוציא מיד הלקוחות</w:t>
      </w:r>
      <w:r w:rsidR="00E81756">
        <w:rPr>
          <w:rStyle w:val="a7"/>
          <w:rFonts w:cs="Arial"/>
          <w:rtl/>
        </w:rPr>
        <w:footnoteReference w:id="880"/>
      </w:r>
      <w:r w:rsidRPr="00253C68">
        <w:rPr>
          <w:rFonts w:cs="Arial"/>
          <w:rtl/>
        </w:rPr>
        <w:t>.</w:t>
      </w:r>
    </w:p>
    <w:p w14:paraId="06FC42FD" w14:textId="5AE0A55A" w:rsidR="006522E5" w:rsidRPr="00B41346" w:rsidRDefault="00B41346" w:rsidP="006522E5">
      <w:pPr>
        <w:rPr>
          <w:u w:val="single"/>
        </w:rPr>
      </w:pPr>
      <w:r w:rsidRPr="00B41346">
        <w:rPr>
          <w:rFonts w:cs="Arial"/>
          <w:u w:val="single"/>
          <w:rtl/>
        </w:rPr>
        <w:t>שכרה</w:t>
      </w:r>
      <w:r w:rsidR="00137671">
        <w:rPr>
          <w:rFonts w:cs="Arial" w:hint="cs"/>
          <w:u w:val="single"/>
          <w:rtl/>
        </w:rPr>
        <w:t>/שאלה</w:t>
      </w:r>
      <w:r w:rsidRPr="00B41346">
        <w:rPr>
          <w:rFonts w:cs="Arial"/>
          <w:u w:val="single"/>
          <w:rtl/>
        </w:rPr>
        <w:t xml:space="preserve"> פרה מאחר</w:t>
      </w:r>
      <w:r w:rsidRPr="00B41346">
        <w:rPr>
          <w:rFonts w:cs="Arial" w:hint="cs"/>
          <w:u w:val="single"/>
          <w:rtl/>
        </w:rPr>
        <w:t>,</w:t>
      </w:r>
      <w:r w:rsidRPr="00B41346">
        <w:rPr>
          <w:rFonts w:cs="Arial"/>
          <w:u w:val="single"/>
          <w:rtl/>
        </w:rPr>
        <w:t xml:space="preserve"> וניסת</w:t>
      </w:r>
      <w:r w:rsidRPr="00B41346">
        <w:rPr>
          <w:rFonts w:cs="Arial" w:hint="cs"/>
          <w:u w:val="single"/>
          <w:rtl/>
        </w:rPr>
        <w:t>,</w:t>
      </w:r>
      <w:r w:rsidRPr="00B41346">
        <w:rPr>
          <w:rFonts w:cs="Arial"/>
          <w:u w:val="single"/>
          <w:rtl/>
        </w:rPr>
        <w:t xml:space="preserve"> ומתה</w:t>
      </w:r>
      <w:r w:rsidR="00137671">
        <w:rPr>
          <w:rFonts w:cs="Arial" w:hint="cs"/>
          <w:u w:val="single"/>
          <w:rtl/>
        </w:rPr>
        <w:t xml:space="preserve"> הפרה</w:t>
      </w:r>
      <w:r w:rsidR="006522E5" w:rsidRPr="00B41346">
        <w:rPr>
          <w:rFonts w:hint="cs"/>
          <w:u w:val="single"/>
          <w:rtl/>
        </w:rPr>
        <w:t>:</w:t>
      </w:r>
    </w:p>
    <w:p w14:paraId="1E817E92" w14:textId="13DA43CB" w:rsidR="001E2BF9" w:rsidRPr="000343CE" w:rsidRDefault="001E2BF9" w:rsidP="009000E3">
      <w:pPr>
        <w:pStyle w:val="ab"/>
        <w:numPr>
          <w:ilvl w:val="0"/>
          <w:numId w:val="47"/>
        </w:numPr>
        <w:rPr>
          <w:rFonts w:cs="Arial"/>
        </w:rPr>
      </w:pPr>
      <w:r>
        <w:rPr>
          <w:rFonts w:cs="Arial" w:hint="cs"/>
          <w:rtl/>
        </w:rPr>
        <w:t>טור</w:t>
      </w:r>
      <w:r>
        <w:rPr>
          <w:rFonts w:cs="Arial" w:hint="cs"/>
          <w:sz w:val="16"/>
          <w:szCs w:val="16"/>
          <w:rtl/>
        </w:rPr>
        <w:t xml:space="preserve"> (סי' שמו ס"כ</w:t>
      </w:r>
      <w:r>
        <w:rPr>
          <w:rStyle w:val="a7"/>
          <w:rFonts w:cs="Arial"/>
          <w:sz w:val="16"/>
          <w:szCs w:val="16"/>
          <w:rtl/>
        </w:rPr>
        <w:footnoteReference w:id="881"/>
      </w:r>
      <w:r>
        <w:rPr>
          <w:rFonts w:cs="Arial" w:hint="cs"/>
          <w:sz w:val="16"/>
          <w:szCs w:val="16"/>
          <w:rtl/>
        </w:rPr>
        <w:t>)</w:t>
      </w:r>
      <w:r>
        <w:rPr>
          <w:rFonts w:cs="Arial" w:hint="cs"/>
          <w:rtl/>
        </w:rPr>
        <w:t xml:space="preserve">- </w:t>
      </w:r>
      <w:r w:rsidRPr="000343CE">
        <w:rPr>
          <w:rFonts w:cs="Arial"/>
          <w:rtl/>
        </w:rPr>
        <w:t>אפי' שכרה פרה מאחר ואח"כ נשאת לו</w:t>
      </w:r>
      <w:r w:rsidR="00AE5A25">
        <w:rPr>
          <w:rFonts w:cs="Arial" w:hint="cs"/>
          <w:rtl/>
        </w:rPr>
        <w:t>,</w:t>
      </w:r>
      <w:r w:rsidRPr="000343CE">
        <w:rPr>
          <w:rFonts w:cs="Arial"/>
          <w:rtl/>
        </w:rPr>
        <w:t xml:space="preserve"> ומתה</w:t>
      </w:r>
      <w:r w:rsidR="00AE5A25">
        <w:rPr>
          <w:rFonts w:cs="Arial" w:hint="cs"/>
          <w:sz w:val="16"/>
          <w:szCs w:val="16"/>
          <w:rtl/>
        </w:rPr>
        <w:t xml:space="preserve"> {הפרה}</w:t>
      </w:r>
      <w:r w:rsidRPr="000343CE">
        <w:rPr>
          <w:rFonts w:cs="Arial"/>
          <w:rtl/>
        </w:rPr>
        <w:t xml:space="preserve"> או אפילו פשע בה ונגנבה </w:t>
      </w:r>
      <w:r w:rsidR="00AE5A25">
        <w:rPr>
          <w:rFonts w:cs="Arial" w:hint="cs"/>
          <w:rtl/>
        </w:rPr>
        <w:t xml:space="preserve">- </w:t>
      </w:r>
      <w:r w:rsidRPr="000343CE">
        <w:rPr>
          <w:rFonts w:cs="Arial"/>
          <w:rtl/>
        </w:rPr>
        <w:t>פטור מפני שהוא חשוב בה כלוקח</w:t>
      </w:r>
      <w:r w:rsidR="00AE5A25">
        <w:rPr>
          <w:rFonts w:cs="Arial" w:hint="cs"/>
          <w:rtl/>
        </w:rPr>
        <w:t>,</w:t>
      </w:r>
      <w:r w:rsidRPr="000343CE">
        <w:rPr>
          <w:rFonts w:cs="Arial"/>
          <w:rtl/>
        </w:rPr>
        <w:t xml:space="preserve"> והיא חייבת לשלם לכשתתאלמן או תתגרש</w:t>
      </w:r>
      <w:r>
        <w:rPr>
          <w:rFonts w:cs="Arial" w:hint="cs"/>
          <w:rtl/>
        </w:rPr>
        <w:t>.</w:t>
      </w:r>
      <w:r w:rsidR="00CF49F6">
        <w:rPr>
          <w:rFonts w:cs="Arial" w:hint="cs"/>
          <w:rtl/>
        </w:rPr>
        <w:t>.</w:t>
      </w:r>
      <w:r>
        <w:rPr>
          <w:rFonts w:cs="Arial" w:hint="cs"/>
          <w:rtl/>
        </w:rPr>
        <w:t>.</w:t>
      </w:r>
      <w:r w:rsidRPr="000343CE">
        <w:rPr>
          <w:rFonts w:cs="Arial"/>
          <w:rtl/>
        </w:rPr>
        <w:t xml:space="preserve"> כתב ר"י אע</w:t>
      </w:r>
      <w:r w:rsidR="00D162D5">
        <w:rPr>
          <w:rFonts w:cs="Arial" w:hint="cs"/>
          <w:rtl/>
        </w:rPr>
        <w:t>"</w:t>
      </w:r>
      <w:r w:rsidRPr="000343CE">
        <w:rPr>
          <w:rFonts w:cs="Arial"/>
          <w:rtl/>
        </w:rPr>
        <w:t xml:space="preserve">ג דבעל בנכסי אשתו הוי לוקח </w:t>
      </w:r>
      <w:r w:rsidR="00D162D5">
        <w:rPr>
          <w:rFonts w:cs="Arial" w:hint="cs"/>
          <w:rtl/>
        </w:rPr>
        <w:t xml:space="preserve">- </w:t>
      </w:r>
      <w:r w:rsidRPr="000343CE">
        <w:rPr>
          <w:rFonts w:cs="Arial"/>
          <w:rtl/>
        </w:rPr>
        <w:t>יש לו דין שומר חנם</w:t>
      </w:r>
      <w:r w:rsidR="00D162D5">
        <w:rPr>
          <w:rFonts w:cs="Arial" w:hint="cs"/>
          <w:rtl/>
        </w:rPr>
        <w:t>,</w:t>
      </w:r>
      <w:r w:rsidRPr="000343CE">
        <w:rPr>
          <w:rFonts w:cs="Arial"/>
          <w:rtl/>
        </w:rPr>
        <w:t xml:space="preserve"> וגבי בעל בנכסי אשתו לא נפקא מינה שאפי' אם פשע בהן ונגנבו פטור דהוי פשיעה בבעלים</w:t>
      </w:r>
      <w:r>
        <w:rPr>
          <w:rFonts w:cs="Arial" w:hint="cs"/>
          <w:rtl/>
        </w:rPr>
        <w:t>.</w:t>
      </w:r>
      <w:r w:rsidRPr="000343CE">
        <w:rPr>
          <w:rFonts w:cs="Arial"/>
          <w:rtl/>
        </w:rPr>
        <w:t xml:space="preserve"> ומיהו נפקא מינה ללוקח בהמה לשלשים יום דלא שואל הוי ולא שוכר דבלשון מקח לקחה והוא שומר חנם עליה</w:t>
      </w:r>
      <w:r w:rsidRPr="000343CE">
        <w:rPr>
          <w:rFonts w:cs="Arial" w:hint="cs"/>
          <w:rtl/>
        </w:rPr>
        <w:t xml:space="preserve">. </w:t>
      </w:r>
      <w:r w:rsidRPr="000343CE">
        <w:rPr>
          <w:rFonts w:cs="Arial"/>
          <w:rtl/>
        </w:rPr>
        <w:t>וכל אלו החילוקים של שאלה בבעלים נוהגין גם כן בכל שאר השומרים</w:t>
      </w:r>
      <w:r>
        <w:rPr>
          <w:rFonts w:cs="Arial" w:hint="cs"/>
          <w:rtl/>
        </w:rPr>
        <w:t>.</w:t>
      </w:r>
    </w:p>
    <w:p w14:paraId="1B22CEBF" w14:textId="70E0C5C7" w:rsidR="000343CE" w:rsidRPr="002A3E55" w:rsidRDefault="00B41346" w:rsidP="009000E3">
      <w:pPr>
        <w:pStyle w:val="ab"/>
        <w:numPr>
          <w:ilvl w:val="0"/>
          <w:numId w:val="47"/>
        </w:numPr>
      </w:pPr>
      <w:r>
        <w:rPr>
          <w:rFonts w:cs="Arial" w:hint="cs"/>
          <w:rtl/>
        </w:rPr>
        <w:lastRenderedPageBreak/>
        <w:t>רמב"ם</w:t>
      </w:r>
      <w:r w:rsidR="002A3E55">
        <w:rPr>
          <w:rFonts w:cs="Arial" w:hint="cs"/>
          <w:sz w:val="16"/>
          <w:szCs w:val="16"/>
          <w:rtl/>
        </w:rPr>
        <w:t xml:space="preserve"> (הל' שאלה ופקדון פ"ב הי"א)</w:t>
      </w:r>
      <w:r>
        <w:rPr>
          <w:rFonts w:cs="Arial" w:hint="cs"/>
          <w:rtl/>
        </w:rPr>
        <w:t xml:space="preserve">- </w:t>
      </w:r>
      <w:r w:rsidRPr="00B41346">
        <w:rPr>
          <w:rFonts w:cs="Arial"/>
          <w:rtl/>
        </w:rPr>
        <w:t>אשה ששאלה</w:t>
      </w:r>
      <w:r w:rsidR="001E2BF9">
        <w:rPr>
          <w:rStyle w:val="a7"/>
          <w:rFonts w:cs="Arial"/>
          <w:rtl/>
        </w:rPr>
        <w:footnoteReference w:id="882"/>
      </w:r>
      <w:r w:rsidR="002A3E55">
        <w:rPr>
          <w:rFonts w:cs="Arial" w:hint="cs"/>
          <w:rtl/>
        </w:rPr>
        <w:t>,</w:t>
      </w:r>
      <w:r w:rsidRPr="00B41346">
        <w:rPr>
          <w:rFonts w:cs="Arial"/>
          <w:rtl/>
        </w:rPr>
        <w:t xml:space="preserve"> ואח"כ נשאת</w:t>
      </w:r>
      <w:r w:rsidR="002A3E55">
        <w:rPr>
          <w:rFonts w:cs="Arial" w:hint="cs"/>
          <w:rtl/>
        </w:rPr>
        <w:t>,</w:t>
      </w:r>
      <w:r w:rsidRPr="00B41346">
        <w:rPr>
          <w:rFonts w:cs="Arial"/>
          <w:rtl/>
        </w:rPr>
        <w:t xml:space="preserve"> הרי הבעל כלוקח ממנה</w:t>
      </w:r>
      <w:r w:rsidR="002A3E55">
        <w:rPr>
          <w:rFonts w:cs="Arial" w:hint="cs"/>
          <w:rtl/>
        </w:rPr>
        <w:t>,</w:t>
      </w:r>
      <w:r w:rsidRPr="00B41346">
        <w:rPr>
          <w:rFonts w:cs="Arial"/>
          <w:rtl/>
        </w:rPr>
        <w:t xml:space="preserve"> ואינו לא ש</w:t>
      </w:r>
      <w:r w:rsidR="002A3E55">
        <w:rPr>
          <w:rFonts w:cs="Arial" w:hint="cs"/>
          <w:rtl/>
        </w:rPr>
        <w:t xml:space="preserve">ומר </w:t>
      </w:r>
      <w:r w:rsidRPr="00B41346">
        <w:rPr>
          <w:rFonts w:cs="Arial"/>
          <w:rtl/>
        </w:rPr>
        <w:t>ש</w:t>
      </w:r>
      <w:r w:rsidR="002A3E55">
        <w:rPr>
          <w:rFonts w:cs="Arial" w:hint="cs"/>
          <w:rtl/>
        </w:rPr>
        <w:t>כר</w:t>
      </w:r>
      <w:r w:rsidRPr="00B41346">
        <w:rPr>
          <w:rFonts w:cs="Arial"/>
          <w:rtl/>
        </w:rPr>
        <w:t xml:space="preserve"> ולא שואל, לפיכך אם היתה דבר השאלה בהמה</w:t>
      </w:r>
      <w:r w:rsidR="002A3E55">
        <w:rPr>
          <w:rFonts w:cs="Arial" w:hint="cs"/>
          <w:rtl/>
        </w:rPr>
        <w:t>,</w:t>
      </w:r>
      <w:r w:rsidRPr="00B41346">
        <w:rPr>
          <w:rFonts w:cs="Arial"/>
          <w:rtl/>
        </w:rPr>
        <w:t xml:space="preserve"> ומתה </w:t>
      </w:r>
      <w:r w:rsidR="002A3E55">
        <w:rPr>
          <w:rFonts w:cs="Arial" w:hint="cs"/>
          <w:rtl/>
        </w:rPr>
        <w:t xml:space="preserve">- </w:t>
      </w:r>
      <w:r w:rsidRPr="00B41346">
        <w:rPr>
          <w:rFonts w:cs="Arial"/>
          <w:rtl/>
        </w:rPr>
        <w:t>הבעל פטור אף על פי שהוא משתמש בה כל ימי שאלתה</w:t>
      </w:r>
      <w:r w:rsidR="002A3E55">
        <w:rPr>
          <w:rFonts w:cs="Arial" w:hint="cs"/>
          <w:rtl/>
        </w:rPr>
        <w:t>,</w:t>
      </w:r>
      <w:r w:rsidRPr="00B41346">
        <w:rPr>
          <w:rFonts w:cs="Arial"/>
          <w:rtl/>
        </w:rPr>
        <w:t xml:space="preserve"> אפילו פשע</w:t>
      </w:r>
      <w:r w:rsidR="002A3E55">
        <w:rPr>
          <w:rFonts w:cs="Arial" w:hint="cs"/>
          <w:rtl/>
        </w:rPr>
        <w:t>,</w:t>
      </w:r>
      <w:r w:rsidRPr="00B41346">
        <w:rPr>
          <w:rFonts w:cs="Arial"/>
          <w:rtl/>
        </w:rPr>
        <w:t xml:space="preserve"> מפני שהוא כלוקח</w:t>
      </w:r>
      <w:r w:rsidR="002A3E55">
        <w:rPr>
          <w:rFonts w:cs="Arial" w:hint="cs"/>
          <w:rtl/>
        </w:rPr>
        <w:t>,</w:t>
      </w:r>
      <w:r w:rsidRPr="00B41346">
        <w:rPr>
          <w:rFonts w:cs="Arial"/>
          <w:rtl/>
        </w:rPr>
        <w:t xml:space="preserve"> והאשה חייבת לשלם כשיהיה לה ממון</w:t>
      </w:r>
      <w:r w:rsidR="002A3E55">
        <w:rPr>
          <w:rFonts w:cs="Arial" w:hint="cs"/>
          <w:rtl/>
        </w:rPr>
        <w:t>.</w:t>
      </w:r>
      <w:r w:rsidRPr="00B41346">
        <w:rPr>
          <w:rFonts w:cs="Arial"/>
          <w:rtl/>
        </w:rPr>
        <w:t xml:space="preserve"> ואם הודיעה את בעלה שהיא שאולה </w:t>
      </w:r>
      <w:r w:rsidR="00F97626">
        <w:rPr>
          <w:rFonts w:cs="Arial"/>
          <w:rtl/>
        </w:rPr>
        <w:t>-</w:t>
      </w:r>
      <w:r w:rsidR="002A3E55">
        <w:rPr>
          <w:rFonts w:cs="Arial" w:hint="cs"/>
          <w:rtl/>
        </w:rPr>
        <w:t xml:space="preserve"> </w:t>
      </w:r>
      <w:r w:rsidRPr="00B41346">
        <w:rPr>
          <w:rFonts w:cs="Arial"/>
          <w:rtl/>
        </w:rPr>
        <w:t>ה</w:t>
      </w:r>
      <w:r w:rsidR="002A3E55">
        <w:rPr>
          <w:rFonts w:cs="Arial" w:hint="cs"/>
          <w:rtl/>
        </w:rPr>
        <w:t xml:space="preserve">רי </w:t>
      </w:r>
      <w:r w:rsidRPr="00B41346">
        <w:rPr>
          <w:rFonts w:cs="Arial"/>
          <w:rtl/>
        </w:rPr>
        <w:t>ז</w:t>
      </w:r>
      <w:r w:rsidR="002A3E55">
        <w:rPr>
          <w:rFonts w:cs="Arial" w:hint="cs"/>
          <w:rtl/>
        </w:rPr>
        <w:t>ה</w:t>
      </w:r>
      <w:r w:rsidRPr="00B41346">
        <w:rPr>
          <w:rFonts w:cs="Arial"/>
          <w:rtl/>
        </w:rPr>
        <w:t xml:space="preserve"> נכנס תחתיה</w:t>
      </w:r>
      <w:r w:rsidR="00137671">
        <w:rPr>
          <w:rStyle w:val="a7"/>
          <w:rFonts w:cs="Arial"/>
          <w:rtl/>
        </w:rPr>
        <w:footnoteReference w:id="883"/>
      </w:r>
      <w:r w:rsidR="002A3E55">
        <w:rPr>
          <w:rFonts w:cs="Arial" w:hint="cs"/>
          <w:rtl/>
        </w:rPr>
        <w:t>.</w:t>
      </w:r>
      <w:r w:rsidRPr="00B41346">
        <w:rPr>
          <w:rFonts w:cs="Arial"/>
          <w:rtl/>
        </w:rPr>
        <w:t xml:space="preserve"> </w:t>
      </w:r>
      <w:r w:rsidRPr="00137671">
        <w:rPr>
          <w:rFonts w:cs="Arial"/>
          <w:rtl/>
        </w:rPr>
        <w:t>כל שאמרנו שהיא שאלה בבעלים</w:t>
      </w:r>
      <w:r w:rsidR="00137671" w:rsidRPr="00137671">
        <w:rPr>
          <w:rFonts w:cs="Arial" w:hint="cs"/>
          <w:rtl/>
        </w:rPr>
        <w:t xml:space="preserve"> -</w:t>
      </w:r>
      <w:r w:rsidRPr="00137671">
        <w:rPr>
          <w:rFonts w:cs="Arial"/>
          <w:rtl/>
        </w:rPr>
        <w:t xml:space="preserve"> כך אם היה שוכר או נושא שכר</w:t>
      </w:r>
      <w:r w:rsidR="002A3E55" w:rsidRPr="00137671">
        <w:rPr>
          <w:rFonts w:cs="Arial" w:hint="cs"/>
          <w:rtl/>
        </w:rPr>
        <w:t xml:space="preserve"> </w:t>
      </w:r>
      <w:r w:rsidRPr="00137671">
        <w:rPr>
          <w:rFonts w:cs="Arial"/>
          <w:rtl/>
        </w:rPr>
        <w:t>הרי היא שכירות בבעלים ופטור</w:t>
      </w:r>
      <w:r w:rsidR="002A3E55" w:rsidRPr="00137671">
        <w:rPr>
          <w:rFonts w:cs="Arial" w:hint="cs"/>
          <w:rtl/>
        </w:rPr>
        <w:t>.</w:t>
      </w:r>
      <w:r w:rsidRPr="00137671">
        <w:rPr>
          <w:rFonts w:cs="Arial"/>
          <w:rtl/>
        </w:rPr>
        <w:t xml:space="preserve"> וכל שאינה שאלה בבעלים </w:t>
      </w:r>
      <w:r w:rsidR="00137671" w:rsidRPr="00137671">
        <w:rPr>
          <w:rFonts w:cs="Arial" w:hint="cs"/>
          <w:rtl/>
        </w:rPr>
        <w:t xml:space="preserve">- </w:t>
      </w:r>
      <w:r w:rsidRPr="00137671">
        <w:rPr>
          <w:rFonts w:cs="Arial"/>
          <w:rtl/>
        </w:rPr>
        <w:t>כך אינה שכירות בבעלים</w:t>
      </w:r>
      <w:r w:rsidR="00137671" w:rsidRPr="00137671">
        <w:rPr>
          <w:rFonts w:cs="Arial" w:hint="cs"/>
          <w:rtl/>
        </w:rPr>
        <w:t>.</w:t>
      </w:r>
      <w:r w:rsidRPr="00137671">
        <w:rPr>
          <w:rFonts w:cs="Arial"/>
          <w:rtl/>
        </w:rPr>
        <w:t xml:space="preserve"> וכל שהוא ספק בשאלה כך הוא ספק בשכירות. </w:t>
      </w:r>
      <w:r w:rsidR="00137671" w:rsidRPr="00137671">
        <w:rPr>
          <w:rFonts w:hint="cs"/>
          <w:color w:val="E36C0A" w:themeColor="accent6" w:themeShade="BF"/>
          <w:rtl/>
        </w:rPr>
        <w:t>(וכ"פ בשו"ע)</w:t>
      </w:r>
    </w:p>
    <w:p w14:paraId="48D62A22"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5E4EEEE6" w14:textId="76E6608E" w:rsidR="007A3469" w:rsidRDefault="007A3469" w:rsidP="007A3469">
      <w:pPr>
        <w:rPr>
          <w:rtl/>
        </w:rPr>
      </w:pPr>
      <w:r>
        <w:rPr>
          <w:rFonts w:cs="Arial"/>
          <w:rtl/>
        </w:rPr>
        <w:t>אשה ששאלה פרה, ואח</w:t>
      </w:r>
      <w:r w:rsidR="006522E5">
        <w:rPr>
          <w:rFonts w:cs="Arial" w:hint="cs"/>
          <w:rtl/>
        </w:rPr>
        <w:t xml:space="preserve">ר </w:t>
      </w:r>
      <w:r>
        <w:rPr>
          <w:rFonts w:cs="Arial"/>
          <w:rtl/>
        </w:rPr>
        <w:t>כ</w:t>
      </w:r>
      <w:r w:rsidR="006522E5">
        <w:rPr>
          <w:rFonts w:cs="Arial" w:hint="cs"/>
          <w:rtl/>
        </w:rPr>
        <w:t>ך</w:t>
      </w:r>
      <w:r>
        <w:rPr>
          <w:rFonts w:cs="Arial"/>
          <w:rtl/>
        </w:rPr>
        <w:t xml:space="preserve"> נשאת</w:t>
      </w:r>
      <w:r w:rsidR="006522E5">
        <w:rPr>
          <w:rFonts w:cs="Arial" w:hint="cs"/>
          <w:rtl/>
        </w:rPr>
        <w:t>,</w:t>
      </w:r>
      <w:r>
        <w:rPr>
          <w:rFonts w:cs="Arial"/>
          <w:rtl/>
        </w:rPr>
        <w:t xml:space="preserve"> ומתה, הבעל אף על פי שהוא משתמש בה כל ימי שאילתה, פטור, אפילו פשע, מפני שהוא כלוקח</w:t>
      </w:r>
      <w:r w:rsidR="00EF3810">
        <w:rPr>
          <w:rStyle w:val="a7"/>
          <w:rFonts w:cs="Arial"/>
          <w:rtl/>
        </w:rPr>
        <w:footnoteReference w:id="884"/>
      </w:r>
      <w:r>
        <w:rPr>
          <w:rFonts w:cs="Arial"/>
          <w:rtl/>
        </w:rPr>
        <w:t>, והאשה חייבת לשלם כשיהיה לה ממון. ואם הודיעה את בעלה שהיא שאולה, ה</w:t>
      </w:r>
      <w:r w:rsidR="006522E5">
        <w:rPr>
          <w:rFonts w:cs="Arial" w:hint="cs"/>
          <w:rtl/>
        </w:rPr>
        <w:t xml:space="preserve">רי </w:t>
      </w:r>
      <w:r>
        <w:rPr>
          <w:rFonts w:cs="Arial"/>
          <w:rtl/>
        </w:rPr>
        <w:t>ז</w:t>
      </w:r>
      <w:r w:rsidR="006522E5">
        <w:rPr>
          <w:rFonts w:cs="Arial" w:hint="cs"/>
          <w:rtl/>
        </w:rPr>
        <w:t>ה</w:t>
      </w:r>
      <w:r>
        <w:rPr>
          <w:rFonts w:cs="Arial"/>
          <w:rtl/>
        </w:rPr>
        <w:t xml:space="preserve"> נכנס תחתיה</w:t>
      </w:r>
      <w:r w:rsidR="00C45B9C">
        <w:rPr>
          <w:rStyle w:val="a7"/>
          <w:rFonts w:cs="Arial"/>
          <w:rtl/>
        </w:rPr>
        <w:footnoteReference w:id="885"/>
      </w:r>
      <w:r>
        <w:rPr>
          <w:rFonts w:cs="Arial"/>
          <w:rtl/>
        </w:rPr>
        <w:t xml:space="preserve">. </w:t>
      </w:r>
    </w:p>
    <w:p w14:paraId="24A1FD86" w14:textId="77777777" w:rsidR="00F46615" w:rsidRDefault="00F46615" w:rsidP="007A3469">
      <w:pPr>
        <w:rPr>
          <w:rtl/>
        </w:rPr>
      </w:pPr>
    </w:p>
    <w:p w14:paraId="152FDE1A" w14:textId="2C53D15F" w:rsidR="007A3469" w:rsidRDefault="007A3469" w:rsidP="000F64D0">
      <w:pPr>
        <w:pStyle w:val="2"/>
        <w:rPr>
          <w:rtl/>
        </w:rPr>
      </w:pPr>
      <w:r>
        <w:rPr>
          <w:rtl/>
        </w:rPr>
        <w:t>סעיף ז</w:t>
      </w:r>
      <w:r w:rsidR="0085257D">
        <w:rPr>
          <w:rFonts w:hint="cs"/>
          <w:rtl/>
        </w:rPr>
        <w:t>:</w:t>
      </w:r>
      <w:r w:rsidR="00972886">
        <w:rPr>
          <w:rFonts w:hint="cs"/>
          <w:rtl/>
        </w:rPr>
        <w:t xml:space="preserve"> נכסים שבאו לידה לאחר שנשאה.</w:t>
      </w:r>
    </w:p>
    <w:p w14:paraId="5CE010AB" w14:textId="3AE40802" w:rsidR="00A715B2" w:rsidRDefault="00A715B2" w:rsidP="001C326D">
      <w:pPr>
        <w:rPr>
          <w:rFonts w:cs="Arial"/>
          <w:rtl/>
        </w:rPr>
      </w:pPr>
      <w:r w:rsidRPr="00AB0AB9">
        <w:rPr>
          <w:rFonts w:cs="Arial" w:hint="cs"/>
          <w:b/>
          <w:bCs/>
          <w:rtl/>
        </w:rPr>
        <w:t>כתובות</w:t>
      </w:r>
      <w:r>
        <w:rPr>
          <w:rFonts w:cs="Arial" w:hint="cs"/>
          <w:b/>
          <w:bCs/>
          <w:rtl/>
        </w:rPr>
        <w:t xml:space="preserve"> </w:t>
      </w:r>
      <w:r>
        <w:rPr>
          <w:rFonts w:cs="Arial" w:hint="cs"/>
          <w:b/>
          <w:bCs/>
          <w:sz w:val="16"/>
          <w:szCs w:val="16"/>
          <w:rtl/>
        </w:rPr>
        <w:t>(ר"פ מציאת האשה)</w:t>
      </w:r>
      <w:r w:rsidRPr="00AB0AB9">
        <w:rPr>
          <w:rFonts w:cs="Arial" w:hint="cs"/>
          <w:b/>
          <w:bCs/>
          <w:rtl/>
        </w:rPr>
        <w:t xml:space="preserve"> </w:t>
      </w:r>
      <w:r>
        <w:rPr>
          <w:rFonts w:cs="Arial" w:hint="cs"/>
          <w:b/>
          <w:bCs/>
          <w:rtl/>
        </w:rPr>
        <w:t>סה</w:t>
      </w:r>
      <w:r w:rsidRPr="00AB0AB9">
        <w:rPr>
          <w:rFonts w:cs="Arial" w:hint="cs"/>
          <w:b/>
          <w:bCs/>
          <w:rtl/>
        </w:rPr>
        <w:t xml:space="preserve"> ע"ב: </w:t>
      </w:r>
      <w:r w:rsidRPr="00390A65">
        <w:rPr>
          <w:rFonts w:cs="Arial"/>
          <w:u w:val="double"/>
          <w:rtl/>
        </w:rPr>
        <w:t>מתני'</w:t>
      </w:r>
      <w:r>
        <w:rPr>
          <w:rFonts w:cs="Arial" w:hint="cs"/>
          <w:rtl/>
        </w:rPr>
        <w:t>:</w:t>
      </w:r>
      <w:r w:rsidRPr="00104E5F">
        <w:rPr>
          <w:rFonts w:cs="Arial"/>
          <w:rtl/>
        </w:rPr>
        <w:t xml:space="preserve"> </w:t>
      </w:r>
      <w:r>
        <w:rPr>
          <w:rFonts w:cs="Arial" w:hint="cs"/>
          <w:rtl/>
        </w:rPr>
        <w:t>מ</w:t>
      </w:r>
      <w:r w:rsidRPr="00A715B2">
        <w:rPr>
          <w:rFonts w:cs="Arial"/>
          <w:rtl/>
        </w:rPr>
        <w:t>ציאת האשה ומעשה ידיה לבעלה, וירושתה - הוא אוכל פירות בחייה</w:t>
      </w:r>
      <w:r w:rsidR="00493909">
        <w:rPr>
          <w:rFonts w:cs="Arial" w:hint="cs"/>
          <w:rtl/>
        </w:rPr>
        <w:t>..</w:t>
      </w:r>
      <w:r w:rsidRPr="00A715B2">
        <w:rPr>
          <w:rFonts w:cs="Arial"/>
          <w:rtl/>
        </w:rPr>
        <w:t>.</w:t>
      </w:r>
    </w:p>
    <w:p w14:paraId="6FD4231E" w14:textId="77777777" w:rsidR="00FA294D" w:rsidRDefault="008E4222" w:rsidP="00784C1E">
      <w:pPr>
        <w:rPr>
          <w:rFonts w:cs="Arial"/>
          <w:rtl/>
        </w:rPr>
      </w:pPr>
      <w:r w:rsidRPr="008E4222">
        <w:rPr>
          <w:rFonts w:cs="Arial" w:hint="cs"/>
          <w:b/>
          <w:bCs/>
          <w:rtl/>
        </w:rPr>
        <w:t xml:space="preserve">כתובות </w:t>
      </w:r>
      <w:r>
        <w:rPr>
          <w:rFonts w:cs="Arial" w:hint="cs"/>
          <w:b/>
          <w:bCs/>
          <w:sz w:val="16"/>
          <w:szCs w:val="16"/>
          <w:rtl/>
        </w:rPr>
        <w:t xml:space="preserve">(ר"פ האשה שנפלו) </w:t>
      </w:r>
      <w:r w:rsidRPr="008E4222">
        <w:rPr>
          <w:rFonts w:cs="Arial" w:hint="cs"/>
          <w:b/>
          <w:bCs/>
          <w:rtl/>
        </w:rPr>
        <w:t>ע</w:t>
      </w:r>
      <w:r>
        <w:rPr>
          <w:rFonts w:cs="Arial" w:hint="cs"/>
          <w:b/>
          <w:bCs/>
          <w:rtl/>
        </w:rPr>
        <w:t>ח</w:t>
      </w:r>
      <w:r w:rsidRPr="008E4222">
        <w:rPr>
          <w:rFonts w:cs="Arial" w:hint="cs"/>
          <w:b/>
          <w:bCs/>
          <w:rtl/>
        </w:rPr>
        <w:t xml:space="preserve"> ע"א:</w:t>
      </w:r>
      <w:r>
        <w:rPr>
          <w:rFonts w:cs="Arial" w:hint="cs"/>
          <w:rtl/>
        </w:rPr>
        <w:t xml:space="preserve"> </w:t>
      </w:r>
      <w:r w:rsidRPr="00493909">
        <w:rPr>
          <w:rFonts w:cs="Arial"/>
          <w:u w:val="double"/>
          <w:rtl/>
        </w:rPr>
        <w:t>מתני'</w:t>
      </w:r>
      <w:r>
        <w:rPr>
          <w:rFonts w:cs="Arial" w:hint="cs"/>
          <w:rtl/>
        </w:rPr>
        <w:t>:</w:t>
      </w:r>
      <w:r w:rsidRPr="008E4222">
        <w:rPr>
          <w:rFonts w:cs="Arial"/>
          <w:rtl/>
        </w:rPr>
        <w:t xml:space="preserve"> האשה שנפלו לה נכסים</w:t>
      </w:r>
      <w:r w:rsidR="00493909">
        <w:rPr>
          <w:rFonts w:cs="Arial" w:hint="cs"/>
          <w:rtl/>
        </w:rPr>
        <w:t>...</w:t>
      </w:r>
      <w:r w:rsidRPr="008E4222">
        <w:rPr>
          <w:rFonts w:cs="Arial"/>
          <w:rtl/>
        </w:rPr>
        <w:t xml:space="preserve"> נפלו לה משנשאת, אלו ואלו מודים, שאם מכרה ונתנה - שהבעל מוציא מיד הלקוחות.</w:t>
      </w:r>
      <w:r w:rsidR="00024CFE" w:rsidRPr="00024CFE">
        <w:rPr>
          <w:rtl/>
        </w:rPr>
        <w:t xml:space="preserve"> </w:t>
      </w:r>
      <w:r w:rsidR="00024CFE" w:rsidRPr="00024CFE">
        <w:rPr>
          <w:rFonts w:cs="Arial"/>
          <w:rtl/>
        </w:rPr>
        <w:t xml:space="preserve">עד שלא נשאת ונשאת, </w:t>
      </w:r>
      <w:r w:rsidR="00024CFE" w:rsidRPr="00024CFE">
        <w:rPr>
          <w:rFonts w:cs="Arial"/>
          <w:u w:val="single"/>
          <w:rtl/>
        </w:rPr>
        <w:t>ר"ג אומר</w:t>
      </w:r>
      <w:r w:rsidR="00024CFE" w:rsidRPr="00024CFE">
        <w:rPr>
          <w:rFonts w:cs="Arial"/>
          <w:rtl/>
        </w:rPr>
        <w:t xml:space="preserve">: אם מכרה ונתנה - קיים. </w:t>
      </w:r>
      <w:r w:rsidR="00024CFE" w:rsidRPr="00024CFE">
        <w:rPr>
          <w:rFonts w:cs="Arial"/>
          <w:u w:val="single"/>
          <w:rtl/>
        </w:rPr>
        <w:t>א"ר חנינא בן עקביא</w:t>
      </w:r>
      <w:r w:rsidR="00024CFE">
        <w:rPr>
          <w:rFonts w:cs="Arial" w:hint="cs"/>
          <w:rtl/>
        </w:rPr>
        <w:t>:</w:t>
      </w:r>
      <w:r w:rsidR="00024CFE" w:rsidRPr="00024CFE">
        <w:rPr>
          <w:rFonts w:cs="Arial"/>
          <w:rtl/>
        </w:rPr>
        <w:t xml:space="preserve"> אמרו לפני ר"ג</w:t>
      </w:r>
      <w:r w:rsidR="00024CFE">
        <w:rPr>
          <w:rFonts w:cs="Arial" w:hint="cs"/>
          <w:rtl/>
        </w:rPr>
        <w:t>,</w:t>
      </w:r>
      <w:r w:rsidR="00024CFE" w:rsidRPr="00024CFE">
        <w:rPr>
          <w:rFonts w:cs="Arial"/>
          <w:rtl/>
        </w:rPr>
        <w:t xml:space="preserve"> הואיל וזכה באשה לא יזכה בנכסים? אמר להם: על החדשים אנו בושים, אלא שאתם מגלגלין עלינו הישנים. </w:t>
      </w:r>
      <w:r w:rsidR="00024CFE" w:rsidRPr="00024CFE">
        <w:rPr>
          <w:rFonts w:cs="Arial"/>
          <w:u w:val="single"/>
          <w:rtl/>
        </w:rPr>
        <w:t>ר"ש</w:t>
      </w:r>
      <w:r w:rsidR="00024CFE">
        <w:rPr>
          <w:rFonts w:cs="Arial" w:hint="cs"/>
          <w:rtl/>
        </w:rPr>
        <w:t>:</w:t>
      </w:r>
      <w:r w:rsidR="00024CFE" w:rsidRPr="00024CFE">
        <w:rPr>
          <w:rFonts w:cs="Arial"/>
          <w:rtl/>
        </w:rPr>
        <w:t xml:space="preserve"> חולק בין נכסים לנכסים, נכסים הידועין לבעל לא תמכור, ואם מכרה ונתנה - בטל, שאינן ידועין לבעל לא תמכור, ואם מכרה ונתנה - קיים.</w:t>
      </w:r>
      <w:r w:rsidR="00784C1E">
        <w:rPr>
          <w:rFonts w:cs="Arial" w:hint="cs"/>
          <w:rtl/>
        </w:rPr>
        <w:t xml:space="preserve"> </w:t>
      </w:r>
    </w:p>
    <w:p w14:paraId="1ABF2CD7" w14:textId="28BC10DD" w:rsidR="008E4222" w:rsidRDefault="00FA294D" w:rsidP="00784C1E">
      <w:pPr>
        <w:rPr>
          <w:rFonts w:cs="Arial"/>
          <w:rtl/>
        </w:rPr>
      </w:pPr>
      <w:r w:rsidRPr="008E4222">
        <w:rPr>
          <w:rFonts w:cs="Arial" w:hint="cs"/>
          <w:b/>
          <w:bCs/>
          <w:rtl/>
        </w:rPr>
        <w:t xml:space="preserve">כתובות </w:t>
      </w:r>
      <w:r>
        <w:rPr>
          <w:rFonts w:cs="Arial" w:hint="cs"/>
          <w:b/>
          <w:bCs/>
          <w:sz w:val="16"/>
          <w:szCs w:val="16"/>
          <w:rtl/>
        </w:rPr>
        <w:t xml:space="preserve">(פ' האשה שנפלו) </w:t>
      </w:r>
      <w:r w:rsidRPr="008E4222">
        <w:rPr>
          <w:rFonts w:cs="Arial" w:hint="cs"/>
          <w:b/>
          <w:bCs/>
          <w:rtl/>
        </w:rPr>
        <w:t>ע</w:t>
      </w:r>
      <w:r>
        <w:rPr>
          <w:rFonts w:cs="Arial" w:hint="cs"/>
          <w:b/>
          <w:bCs/>
          <w:rtl/>
        </w:rPr>
        <w:t>ח</w:t>
      </w:r>
      <w:r w:rsidR="00ED1E58">
        <w:rPr>
          <w:rStyle w:val="a7"/>
          <w:rFonts w:cs="Arial"/>
          <w:b/>
          <w:bCs/>
          <w:rtl/>
        </w:rPr>
        <w:footnoteReference w:id="886"/>
      </w:r>
      <w:r w:rsidRPr="008E4222">
        <w:rPr>
          <w:rFonts w:cs="Arial" w:hint="cs"/>
          <w:b/>
          <w:bCs/>
          <w:rtl/>
        </w:rPr>
        <w:t xml:space="preserve"> ע"</w:t>
      </w:r>
      <w:r>
        <w:rPr>
          <w:rFonts w:cs="Arial" w:hint="cs"/>
          <w:b/>
          <w:bCs/>
          <w:rtl/>
        </w:rPr>
        <w:t>ב</w:t>
      </w:r>
      <w:r w:rsidRPr="008E4222">
        <w:rPr>
          <w:rFonts w:cs="Arial" w:hint="cs"/>
          <w:b/>
          <w:bCs/>
          <w:rtl/>
        </w:rPr>
        <w:t>:</w:t>
      </w:r>
      <w:r>
        <w:rPr>
          <w:rFonts w:cs="Arial" w:hint="cs"/>
          <w:rtl/>
        </w:rPr>
        <w:t xml:space="preserve"> </w:t>
      </w:r>
      <w:r w:rsidR="00784C1E" w:rsidRPr="004602D6">
        <w:rPr>
          <w:rFonts w:cs="Arial"/>
          <w:rtl/>
        </w:rPr>
        <w:t xml:space="preserve">ההיא איתתא דבעיא דתברחינהו לנכסה מגברה, כתבתינהו לברתה, אינסיבה ואיגרשה, </w:t>
      </w:r>
      <w:r w:rsidR="00784C1E" w:rsidRPr="004602D6">
        <w:rPr>
          <w:rFonts w:cs="Arial" w:hint="cs"/>
          <w:sz w:val="14"/>
          <w:szCs w:val="14"/>
          <w:rtl/>
        </w:rPr>
        <w:t>(עט.)</w:t>
      </w:r>
      <w:r w:rsidR="00784C1E">
        <w:rPr>
          <w:rFonts w:cs="Arial" w:hint="cs"/>
          <w:rtl/>
        </w:rPr>
        <w:t xml:space="preserve"> </w:t>
      </w:r>
      <w:r w:rsidR="00784C1E" w:rsidRPr="004602D6">
        <w:rPr>
          <w:rFonts w:cs="Arial"/>
          <w:rtl/>
        </w:rPr>
        <w:t>אתאי לקמיה דרב נחמן</w:t>
      </w:r>
      <w:r w:rsidR="006D295A">
        <w:rPr>
          <w:rStyle w:val="a7"/>
          <w:rFonts w:cs="Arial"/>
          <w:rtl/>
        </w:rPr>
        <w:footnoteReference w:id="887"/>
      </w:r>
      <w:r w:rsidR="00784C1E" w:rsidRPr="004602D6">
        <w:rPr>
          <w:rFonts w:cs="Arial"/>
          <w:rtl/>
        </w:rPr>
        <w:t xml:space="preserve">, קרעיה ר"נ לשטרא. אזל רב ענן לקמיה דמר עוקבא, </w:t>
      </w:r>
      <w:r w:rsidR="00784C1E" w:rsidRPr="00784C1E">
        <w:rPr>
          <w:rFonts w:cs="Arial"/>
          <w:u w:val="single"/>
          <w:rtl/>
        </w:rPr>
        <w:t>א"ל</w:t>
      </w:r>
      <w:r w:rsidR="00784C1E" w:rsidRPr="004602D6">
        <w:rPr>
          <w:rFonts w:cs="Arial"/>
          <w:rtl/>
        </w:rPr>
        <w:t>: חזי מר, נחמן חקלאה</w:t>
      </w:r>
      <w:r w:rsidR="006D295A">
        <w:rPr>
          <w:rStyle w:val="a7"/>
          <w:rFonts w:cs="Arial"/>
          <w:rtl/>
        </w:rPr>
        <w:footnoteReference w:id="888"/>
      </w:r>
      <w:r w:rsidR="00784C1E" w:rsidRPr="004602D6">
        <w:rPr>
          <w:rFonts w:cs="Arial"/>
          <w:rtl/>
        </w:rPr>
        <w:t xml:space="preserve"> היכי מקרע שטרי דאינשי! </w:t>
      </w:r>
      <w:r w:rsidR="00784C1E" w:rsidRPr="00784C1E">
        <w:rPr>
          <w:rFonts w:cs="Arial"/>
          <w:u w:val="single"/>
          <w:rtl/>
        </w:rPr>
        <w:t>א"ל</w:t>
      </w:r>
      <w:r w:rsidR="00784C1E" w:rsidRPr="004602D6">
        <w:rPr>
          <w:rFonts w:cs="Arial"/>
          <w:rtl/>
        </w:rPr>
        <w:t xml:space="preserve">: אימא לי איזי גופא דעובדא היכי הוה, </w:t>
      </w:r>
      <w:r w:rsidR="00784C1E" w:rsidRPr="00B26A8D">
        <w:rPr>
          <w:rFonts w:cs="Arial"/>
          <w:u w:val="single"/>
          <w:rtl/>
        </w:rPr>
        <w:t>א"ל</w:t>
      </w:r>
      <w:r w:rsidR="00784C1E" w:rsidRPr="004602D6">
        <w:rPr>
          <w:rFonts w:cs="Arial"/>
          <w:rtl/>
        </w:rPr>
        <w:t xml:space="preserve">: הכי והכי הוה. </w:t>
      </w:r>
      <w:r w:rsidR="00784C1E" w:rsidRPr="00784C1E">
        <w:rPr>
          <w:rFonts w:cs="Arial"/>
          <w:u w:val="single"/>
          <w:rtl/>
        </w:rPr>
        <w:t>א"ל</w:t>
      </w:r>
      <w:r w:rsidR="00784C1E" w:rsidRPr="004602D6">
        <w:rPr>
          <w:rFonts w:cs="Arial"/>
          <w:rtl/>
        </w:rPr>
        <w:t xml:space="preserve">: שטר מברחת </w:t>
      </w:r>
      <w:r w:rsidR="00784C1E" w:rsidRPr="004602D6">
        <w:rPr>
          <w:rFonts w:cs="Arial"/>
          <w:rtl/>
        </w:rPr>
        <w:lastRenderedPageBreak/>
        <w:t xml:space="preserve">קא אמרת? </w:t>
      </w:r>
      <w:r w:rsidR="00784C1E" w:rsidRPr="00784C1E">
        <w:rPr>
          <w:rFonts w:cs="Arial"/>
          <w:u w:val="single"/>
          <w:rtl/>
        </w:rPr>
        <w:t>הכי א"ר חנילאי בר אידי אמר שמואל</w:t>
      </w:r>
      <w:r w:rsidR="00784C1E" w:rsidRPr="004602D6">
        <w:rPr>
          <w:rFonts w:cs="Arial"/>
          <w:rtl/>
        </w:rPr>
        <w:t>: מורה הוראה אני, אם יבא שטר מברחת לידי</w:t>
      </w:r>
      <w:r w:rsidR="006D295A">
        <w:rPr>
          <w:rStyle w:val="a7"/>
          <w:rFonts w:cs="Arial"/>
          <w:rtl/>
        </w:rPr>
        <w:footnoteReference w:id="889"/>
      </w:r>
      <w:r w:rsidR="00784C1E" w:rsidRPr="004602D6">
        <w:rPr>
          <w:rFonts w:cs="Arial"/>
          <w:rtl/>
        </w:rPr>
        <w:t xml:space="preserve"> אקרענו. </w:t>
      </w:r>
      <w:r w:rsidR="00784C1E" w:rsidRPr="00784C1E">
        <w:rPr>
          <w:rFonts w:cs="Arial"/>
          <w:u w:val="single"/>
          <w:rtl/>
        </w:rPr>
        <w:t>א"ל</w:t>
      </w:r>
      <w:r w:rsidR="006D295A">
        <w:rPr>
          <w:rStyle w:val="a7"/>
          <w:rFonts w:cs="Arial"/>
          <w:u w:val="single"/>
          <w:rtl/>
        </w:rPr>
        <w:footnoteReference w:id="890"/>
      </w:r>
      <w:r w:rsidR="00784C1E" w:rsidRPr="00784C1E">
        <w:rPr>
          <w:rFonts w:cs="Arial"/>
          <w:u w:val="single"/>
          <w:rtl/>
        </w:rPr>
        <w:t xml:space="preserve"> רבא לרב נחמן</w:t>
      </w:r>
      <w:r w:rsidR="00784C1E" w:rsidRPr="004602D6">
        <w:rPr>
          <w:rFonts w:cs="Arial"/>
          <w:rtl/>
        </w:rPr>
        <w:t>: טעמא מאי</w:t>
      </w:r>
      <w:r w:rsidR="006D295A">
        <w:rPr>
          <w:rStyle w:val="a7"/>
          <w:rFonts w:cs="Arial"/>
          <w:rtl/>
        </w:rPr>
        <w:footnoteReference w:id="891"/>
      </w:r>
      <w:r w:rsidR="00784C1E" w:rsidRPr="004602D6">
        <w:rPr>
          <w:rFonts w:cs="Arial"/>
          <w:rtl/>
        </w:rPr>
        <w:t>? דלא שביק איניש נפשיה ויהיב לאחריני</w:t>
      </w:r>
      <w:r w:rsidR="006D295A">
        <w:rPr>
          <w:rStyle w:val="a7"/>
          <w:rFonts w:cs="Arial"/>
          <w:rtl/>
        </w:rPr>
        <w:footnoteReference w:id="892"/>
      </w:r>
      <w:r w:rsidR="00784C1E" w:rsidRPr="004602D6">
        <w:rPr>
          <w:rFonts w:cs="Arial"/>
          <w:rtl/>
        </w:rPr>
        <w:t>, ה"מ</w:t>
      </w:r>
      <w:r w:rsidR="006D295A">
        <w:rPr>
          <w:rStyle w:val="a7"/>
          <w:rFonts w:cs="Arial"/>
          <w:rtl/>
        </w:rPr>
        <w:footnoteReference w:id="893"/>
      </w:r>
      <w:r w:rsidR="00784C1E" w:rsidRPr="004602D6">
        <w:rPr>
          <w:rFonts w:cs="Arial"/>
          <w:rtl/>
        </w:rPr>
        <w:t xml:space="preserve"> לאחריני, אבל לברתה יהיבא</w:t>
      </w:r>
      <w:r w:rsidR="006D295A">
        <w:rPr>
          <w:rStyle w:val="a7"/>
          <w:rFonts w:cs="Arial"/>
          <w:rtl/>
        </w:rPr>
        <w:footnoteReference w:id="894"/>
      </w:r>
      <w:r w:rsidR="00784C1E" w:rsidRPr="004602D6">
        <w:rPr>
          <w:rFonts w:cs="Arial"/>
          <w:rtl/>
        </w:rPr>
        <w:t>! אפ"ה, במקום ברתה נפשה עדיפא לה. מיתיבי: הרוצה שתבריח נכסיה מבעלה, כיצד היא עושה? כותבת שטר פסים</w:t>
      </w:r>
      <w:r w:rsidR="006D295A">
        <w:rPr>
          <w:rStyle w:val="a7"/>
          <w:rFonts w:cs="Arial"/>
          <w:rtl/>
        </w:rPr>
        <w:footnoteReference w:id="895"/>
      </w:r>
      <w:r w:rsidR="00784C1E" w:rsidRPr="004602D6">
        <w:rPr>
          <w:rFonts w:cs="Arial"/>
          <w:rtl/>
        </w:rPr>
        <w:t xml:space="preserve"> לאחרים, </w:t>
      </w:r>
      <w:r w:rsidR="00784C1E" w:rsidRPr="00784C1E">
        <w:rPr>
          <w:rFonts w:cs="Arial"/>
          <w:u w:val="single"/>
          <w:rtl/>
        </w:rPr>
        <w:t>דברי רשב"ג</w:t>
      </w:r>
      <w:r w:rsidR="00CC040D">
        <w:rPr>
          <w:rFonts w:cs="Arial" w:hint="cs"/>
          <w:rtl/>
        </w:rPr>
        <w:t>,</w:t>
      </w:r>
      <w:r w:rsidR="00784C1E" w:rsidRPr="004602D6">
        <w:rPr>
          <w:rFonts w:cs="Arial"/>
          <w:rtl/>
        </w:rPr>
        <w:t xml:space="preserve"> </w:t>
      </w:r>
      <w:r w:rsidR="00784C1E" w:rsidRPr="00784C1E">
        <w:rPr>
          <w:rFonts w:cs="Arial"/>
          <w:u w:val="single"/>
          <w:rtl/>
        </w:rPr>
        <w:t>וחכ"א</w:t>
      </w:r>
      <w:r w:rsidR="00784C1E" w:rsidRPr="004602D6">
        <w:rPr>
          <w:rFonts w:cs="Arial"/>
          <w:rtl/>
        </w:rPr>
        <w:t>: רצה</w:t>
      </w:r>
      <w:r w:rsidR="006D295A">
        <w:rPr>
          <w:rStyle w:val="a7"/>
          <w:rFonts w:cs="Arial"/>
          <w:rtl/>
        </w:rPr>
        <w:footnoteReference w:id="896"/>
      </w:r>
      <w:r w:rsidR="00784C1E" w:rsidRPr="004602D6">
        <w:rPr>
          <w:rFonts w:cs="Arial"/>
          <w:rtl/>
        </w:rPr>
        <w:t xml:space="preserve"> מצחק בה</w:t>
      </w:r>
      <w:r w:rsidR="006D295A">
        <w:rPr>
          <w:rStyle w:val="a7"/>
          <w:rFonts w:cs="Arial"/>
          <w:rtl/>
        </w:rPr>
        <w:footnoteReference w:id="897"/>
      </w:r>
      <w:r w:rsidR="00784C1E" w:rsidRPr="004602D6">
        <w:rPr>
          <w:rFonts w:cs="Arial"/>
          <w:rtl/>
        </w:rPr>
        <w:t>, עד שתכתוב</w:t>
      </w:r>
      <w:r w:rsidR="006D295A">
        <w:rPr>
          <w:rStyle w:val="a7"/>
          <w:rFonts w:cs="Arial"/>
          <w:rtl/>
        </w:rPr>
        <w:footnoteReference w:id="898"/>
      </w:r>
      <w:r w:rsidR="00784C1E" w:rsidRPr="004602D6">
        <w:rPr>
          <w:rFonts w:cs="Arial"/>
          <w:rtl/>
        </w:rPr>
        <w:t xml:space="preserve"> לו מהיום ולכשארצה</w:t>
      </w:r>
      <w:r w:rsidR="00972886">
        <w:rPr>
          <w:rFonts w:cs="Arial" w:hint="cs"/>
          <w:rtl/>
        </w:rPr>
        <w:t>.</w:t>
      </w:r>
      <w:r w:rsidR="00784C1E" w:rsidRPr="004602D6">
        <w:rPr>
          <w:rFonts w:cs="Arial"/>
          <w:rtl/>
        </w:rPr>
        <w:t xml:space="preserve"> טעמא דכתבה ליה הכי, הא לא כתבה ליה הכי - קננהי לוקח</w:t>
      </w:r>
      <w:r w:rsidR="00B26A8D">
        <w:rPr>
          <w:rStyle w:val="a7"/>
          <w:rFonts w:cs="Arial"/>
          <w:rtl/>
        </w:rPr>
        <w:footnoteReference w:id="899"/>
      </w:r>
      <w:r w:rsidR="00784C1E" w:rsidRPr="004602D6">
        <w:rPr>
          <w:rFonts w:cs="Arial"/>
          <w:rtl/>
        </w:rPr>
        <w:t xml:space="preserve">! </w:t>
      </w:r>
      <w:r w:rsidR="00784C1E" w:rsidRPr="00784C1E">
        <w:rPr>
          <w:rFonts w:cs="Arial"/>
          <w:u w:val="single"/>
          <w:rtl/>
        </w:rPr>
        <w:t>א"ר זירא</w:t>
      </w:r>
      <w:r w:rsidR="00B26A8D">
        <w:rPr>
          <w:rFonts w:cs="Arial" w:hint="cs"/>
          <w:rtl/>
        </w:rPr>
        <w:t>:</w:t>
      </w:r>
      <w:r w:rsidR="00784C1E" w:rsidRPr="004602D6">
        <w:rPr>
          <w:rFonts w:cs="Arial"/>
          <w:rtl/>
        </w:rPr>
        <w:t xml:space="preserve"> לא קשיא</w:t>
      </w:r>
      <w:r w:rsidR="00B26A8D">
        <w:rPr>
          <w:rFonts w:cs="Arial" w:hint="cs"/>
          <w:rtl/>
        </w:rPr>
        <w:t>,</w:t>
      </w:r>
      <w:r w:rsidR="00784C1E" w:rsidRPr="004602D6">
        <w:rPr>
          <w:rFonts w:cs="Arial"/>
          <w:rtl/>
        </w:rPr>
        <w:t xml:space="preserve"> הא בכולה</w:t>
      </w:r>
      <w:r w:rsidR="00B26A8D">
        <w:rPr>
          <w:rStyle w:val="a7"/>
          <w:rFonts w:cs="Arial"/>
          <w:rtl/>
        </w:rPr>
        <w:footnoteReference w:id="900"/>
      </w:r>
      <w:r w:rsidR="00784C1E" w:rsidRPr="004602D6">
        <w:rPr>
          <w:rFonts w:cs="Arial"/>
          <w:rtl/>
        </w:rPr>
        <w:t>, הא במקצתה. ואי לא קננהי לוקח, ניקנינהו בעל</w:t>
      </w:r>
      <w:r w:rsidR="00B26A8D">
        <w:rPr>
          <w:rStyle w:val="a7"/>
          <w:rFonts w:cs="Arial"/>
          <w:rtl/>
        </w:rPr>
        <w:footnoteReference w:id="901"/>
      </w:r>
      <w:r w:rsidR="00784C1E" w:rsidRPr="004602D6">
        <w:rPr>
          <w:rFonts w:cs="Arial"/>
          <w:rtl/>
        </w:rPr>
        <w:t xml:space="preserve">! </w:t>
      </w:r>
      <w:r w:rsidR="00784C1E" w:rsidRPr="00784C1E">
        <w:rPr>
          <w:rFonts w:cs="Arial"/>
          <w:u w:val="single"/>
          <w:rtl/>
        </w:rPr>
        <w:t>אמר אביי</w:t>
      </w:r>
      <w:r w:rsidR="00784C1E" w:rsidRPr="004602D6">
        <w:rPr>
          <w:rFonts w:cs="Arial"/>
          <w:rtl/>
        </w:rPr>
        <w:t>: עשאום כנכסים שאין ידועין</w:t>
      </w:r>
      <w:r w:rsidR="00B26A8D">
        <w:rPr>
          <w:rStyle w:val="a7"/>
          <w:rFonts w:cs="Arial"/>
          <w:rtl/>
        </w:rPr>
        <w:footnoteReference w:id="902"/>
      </w:r>
      <w:r w:rsidR="00784C1E" w:rsidRPr="004602D6">
        <w:rPr>
          <w:rFonts w:cs="Arial"/>
          <w:rtl/>
        </w:rPr>
        <w:t xml:space="preserve"> לבעל, ואליבא דר"ש.</w:t>
      </w:r>
      <w:r w:rsidR="00A55E91">
        <w:rPr>
          <w:rFonts w:cs="Arial" w:hint="cs"/>
          <w:rtl/>
        </w:rPr>
        <w:t xml:space="preserve"> </w:t>
      </w:r>
      <w:r w:rsidR="00A55E91" w:rsidRPr="00A55E91">
        <w:rPr>
          <w:rFonts w:cs="Arial" w:hint="cs"/>
          <w:sz w:val="16"/>
          <w:szCs w:val="16"/>
          <w:rtl/>
        </w:rPr>
        <w:t>(ומכאן כתב הטור ד</w:t>
      </w:r>
      <w:r w:rsidR="00A55E91" w:rsidRPr="00A55E91">
        <w:rPr>
          <w:rFonts w:cs="Arial"/>
          <w:sz w:val="16"/>
          <w:szCs w:val="16"/>
          <w:rtl/>
        </w:rPr>
        <w:t>אם נתנה מתנה לאחר קודם שניסת</w:t>
      </w:r>
      <w:r w:rsidR="00A55E91" w:rsidRPr="00A55E91">
        <w:rPr>
          <w:rFonts w:cs="Arial" w:hint="cs"/>
          <w:sz w:val="16"/>
          <w:szCs w:val="16"/>
          <w:rtl/>
        </w:rPr>
        <w:t>... -</w:t>
      </w:r>
      <w:r w:rsidR="00A55E91" w:rsidRPr="00A55E91">
        <w:rPr>
          <w:rFonts w:cs="Arial"/>
          <w:sz w:val="16"/>
          <w:szCs w:val="16"/>
          <w:rtl/>
        </w:rPr>
        <w:t xml:space="preserve"> אין הבעל אוכל פירות</w:t>
      </w:r>
      <w:r w:rsidR="00A55E91" w:rsidRPr="00A55E91">
        <w:rPr>
          <w:rFonts w:cs="Arial" w:hint="cs"/>
          <w:sz w:val="16"/>
          <w:szCs w:val="16"/>
          <w:rtl/>
        </w:rPr>
        <w:t>)</w:t>
      </w:r>
    </w:p>
    <w:p w14:paraId="7186A871" w14:textId="08382FFB" w:rsidR="008E4222" w:rsidRDefault="008E4222" w:rsidP="001C326D">
      <w:pPr>
        <w:rPr>
          <w:rFonts w:cs="Arial"/>
          <w:rtl/>
        </w:rPr>
      </w:pPr>
      <w:r w:rsidRPr="008E4222">
        <w:rPr>
          <w:rFonts w:cs="Arial" w:hint="cs"/>
          <w:b/>
          <w:bCs/>
          <w:rtl/>
        </w:rPr>
        <w:t xml:space="preserve">כתובות </w:t>
      </w:r>
      <w:r>
        <w:rPr>
          <w:rFonts w:cs="Arial" w:hint="cs"/>
          <w:b/>
          <w:bCs/>
          <w:sz w:val="16"/>
          <w:szCs w:val="16"/>
          <w:rtl/>
        </w:rPr>
        <w:t xml:space="preserve">(פ' האשה שנפלו) </w:t>
      </w:r>
      <w:r w:rsidRPr="008E4222">
        <w:rPr>
          <w:rFonts w:cs="Arial" w:hint="cs"/>
          <w:b/>
          <w:bCs/>
          <w:rtl/>
        </w:rPr>
        <w:t xml:space="preserve">עט ע"א: </w:t>
      </w:r>
      <w:r w:rsidRPr="00493909">
        <w:rPr>
          <w:rFonts w:cs="Arial"/>
          <w:u w:val="double"/>
          <w:rtl/>
        </w:rPr>
        <w:t>מתני'</w:t>
      </w:r>
      <w:r>
        <w:rPr>
          <w:rFonts w:cs="Arial" w:hint="cs"/>
          <w:rtl/>
        </w:rPr>
        <w:t>:</w:t>
      </w:r>
      <w:r w:rsidRPr="008E4222">
        <w:rPr>
          <w:rFonts w:cs="Arial"/>
          <w:rtl/>
        </w:rPr>
        <w:t xml:space="preserve"> נפלו לה כספים - ילקח בהן קרקע והוא אוכל פירות</w:t>
      </w:r>
      <w:r w:rsidR="00493909">
        <w:rPr>
          <w:rFonts w:cs="Arial" w:hint="cs"/>
          <w:rtl/>
        </w:rPr>
        <w:t>.</w:t>
      </w:r>
      <w:r w:rsidR="00FA294D">
        <w:rPr>
          <w:rFonts w:cs="Arial" w:hint="cs"/>
          <w:rtl/>
        </w:rPr>
        <w:t>.</w:t>
      </w:r>
      <w:r w:rsidRPr="008E4222">
        <w:rPr>
          <w:rFonts w:cs="Arial"/>
          <w:rtl/>
        </w:rPr>
        <w:t xml:space="preserve">. </w:t>
      </w:r>
    </w:p>
    <w:p w14:paraId="2A8A358A" w14:textId="032DA84E" w:rsidR="0054417F" w:rsidRDefault="0054417F" w:rsidP="0054417F">
      <w:pPr>
        <w:rPr>
          <w:rFonts w:cs="Arial"/>
          <w:rtl/>
        </w:rPr>
      </w:pPr>
      <w:r w:rsidRPr="004602D6">
        <w:rPr>
          <w:rFonts w:cs="Arial" w:hint="cs"/>
          <w:b/>
          <w:bCs/>
          <w:rtl/>
        </w:rPr>
        <w:t xml:space="preserve">בבא קמא </w:t>
      </w:r>
      <w:r>
        <w:rPr>
          <w:rFonts w:cs="Arial" w:hint="cs"/>
          <w:b/>
          <w:bCs/>
          <w:sz w:val="16"/>
          <w:szCs w:val="16"/>
          <w:rtl/>
        </w:rPr>
        <w:t xml:space="preserve">(פ' החובל) </w:t>
      </w:r>
      <w:r w:rsidRPr="004602D6">
        <w:rPr>
          <w:rFonts w:cs="Arial" w:hint="cs"/>
          <w:b/>
          <w:bCs/>
          <w:rtl/>
        </w:rPr>
        <w:t xml:space="preserve">פט ע"א: </w:t>
      </w:r>
      <w:r w:rsidRPr="004602D6">
        <w:rPr>
          <w:rFonts w:cs="Arial"/>
          <w:u w:val="single"/>
          <w:rtl/>
        </w:rPr>
        <w:t>אמר רבא</w:t>
      </w:r>
      <w:r>
        <w:rPr>
          <w:rFonts w:cs="Arial" w:hint="cs"/>
          <w:rtl/>
        </w:rPr>
        <w:t>:</w:t>
      </w:r>
      <w:r w:rsidRPr="004602D6">
        <w:rPr>
          <w:rFonts w:cs="Arial"/>
          <w:rtl/>
        </w:rPr>
        <w:t xml:space="preserve"> הלכתא</w:t>
      </w:r>
      <w:r>
        <w:rPr>
          <w:rFonts w:cs="Arial" w:hint="cs"/>
          <w:rtl/>
        </w:rPr>
        <w:t>,</w:t>
      </w:r>
      <w:r w:rsidRPr="004602D6">
        <w:rPr>
          <w:rFonts w:cs="Arial"/>
          <w:rtl/>
        </w:rPr>
        <w:t xml:space="preserve"> טובת הנאה</w:t>
      </w:r>
      <w:r w:rsidR="001B7C46">
        <w:rPr>
          <w:rStyle w:val="a7"/>
          <w:rFonts w:cs="Arial"/>
          <w:rtl/>
        </w:rPr>
        <w:footnoteReference w:id="903"/>
      </w:r>
      <w:r w:rsidRPr="004602D6">
        <w:rPr>
          <w:rFonts w:cs="Arial"/>
          <w:rtl/>
        </w:rPr>
        <w:t xml:space="preserve"> </w:t>
      </w:r>
      <w:r w:rsidR="00CC040D">
        <w:rPr>
          <w:rFonts w:cs="Arial" w:hint="cs"/>
          <w:rtl/>
        </w:rPr>
        <w:t xml:space="preserve">- </w:t>
      </w:r>
      <w:r w:rsidRPr="004602D6">
        <w:rPr>
          <w:rFonts w:cs="Arial"/>
          <w:rtl/>
        </w:rPr>
        <w:t>לאשה, ואין הבעל אוכל פירות</w:t>
      </w:r>
      <w:r w:rsidR="001B7C46">
        <w:rPr>
          <w:rStyle w:val="a7"/>
          <w:rFonts w:cs="Arial"/>
          <w:rtl/>
        </w:rPr>
        <w:footnoteReference w:id="904"/>
      </w:r>
      <w:r>
        <w:rPr>
          <w:rFonts w:cs="Arial" w:hint="cs"/>
          <w:rtl/>
        </w:rPr>
        <w:t>.</w:t>
      </w:r>
      <w:r w:rsidRPr="004602D6">
        <w:rPr>
          <w:rFonts w:cs="Arial"/>
          <w:rtl/>
        </w:rPr>
        <w:t xml:space="preserve"> מאי טעמא? פירא תקינו ליה רבנן, פירא דפירא לא תקינו ליה רבנן.</w:t>
      </w:r>
    </w:p>
    <w:p w14:paraId="3704BF47" w14:textId="77777777" w:rsidR="00972886" w:rsidRPr="00972886" w:rsidRDefault="00972886" w:rsidP="00972886">
      <w:pPr>
        <w:rPr>
          <w:u w:val="single"/>
          <w:rtl/>
        </w:rPr>
      </w:pPr>
      <w:r w:rsidRPr="00972886">
        <w:rPr>
          <w:rFonts w:hint="cs"/>
          <w:u w:val="single"/>
          <w:rtl/>
        </w:rPr>
        <w:t>נכסים שבאו לידה לאחר שנשאה:</w:t>
      </w:r>
    </w:p>
    <w:p w14:paraId="2BD8CB87" w14:textId="71F8DF6A" w:rsidR="00972886" w:rsidRDefault="00972886" w:rsidP="009000E3">
      <w:pPr>
        <w:pStyle w:val="ab"/>
        <w:numPr>
          <w:ilvl w:val="0"/>
          <w:numId w:val="47"/>
        </w:numPr>
      </w:pPr>
      <w:r>
        <w:rPr>
          <w:rFonts w:cs="Arial" w:hint="cs"/>
          <w:rtl/>
        </w:rPr>
        <w:t xml:space="preserve">טור- </w:t>
      </w:r>
      <w:r w:rsidRPr="007A228B">
        <w:rPr>
          <w:rFonts w:cs="Arial"/>
          <w:rtl/>
        </w:rPr>
        <w:t>באו לידה אחר שנשאה</w:t>
      </w:r>
      <w:r>
        <w:rPr>
          <w:rFonts w:cs="Arial" w:hint="cs"/>
          <w:rtl/>
        </w:rPr>
        <w:t>,</w:t>
      </w:r>
      <w:r w:rsidRPr="007A228B">
        <w:rPr>
          <w:rFonts w:cs="Arial"/>
          <w:rtl/>
        </w:rPr>
        <w:t xml:space="preserve"> בין שבאו לידה בירושה או שניתנו לה במתנה או שחבלו בה ונתנו לה חלקה בבושתה ופגמה </w:t>
      </w:r>
      <w:r>
        <w:rPr>
          <w:rFonts w:cs="Arial" w:hint="cs"/>
          <w:rtl/>
        </w:rPr>
        <w:t xml:space="preserve">- </w:t>
      </w:r>
      <w:r w:rsidRPr="007A228B">
        <w:rPr>
          <w:rFonts w:cs="Arial"/>
          <w:rtl/>
        </w:rPr>
        <w:t>נקראים נכסי מלוג</w:t>
      </w:r>
      <w:r>
        <w:rPr>
          <w:rFonts w:cs="Arial" w:hint="cs"/>
          <w:rtl/>
        </w:rPr>
        <w:t>,</w:t>
      </w:r>
      <w:r w:rsidRPr="007A228B">
        <w:rPr>
          <w:rFonts w:cs="Arial"/>
          <w:rtl/>
        </w:rPr>
        <w:t xml:space="preserve"> </w:t>
      </w:r>
      <w:r>
        <w:rPr>
          <w:rFonts w:cs="Arial" w:hint="cs"/>
          <w:rtl/>
        </w:rPr>
        <w:t>כ</w:t>
      </w:r>
      <w:r w:rsidRPr="007A228B">
        <w:rPr>
          <w:rFonts w:cs="Arial"/>
          <w:rtl/>
        </w:rPr>
        <w:t>אותן שהכניסה לו ולא קבלם באחריות</w:t>
      </w:r>
      <w:r>
        <w:rPr>
          <w:rFonts w:cs="Arial" w:hint="cs"/>
          <w:rtl/>
        </w:rPr>
        <w:t>.</w:t>
      </w:r>
      <w:r w:rsidRPr="007A228B">
        <w:rPr>
          <w:rFonts w:cs="Arial"/>
          <w:rtl/>
        </w:rPr>
        <w:t xml:space="preserve"> חוץ מאשה שמכרה כתובתה ונדוניתה בטובת הנאה</w:t>
      </w:r>
      <w:r>
        <w:rPr>
          <w:rFonts w:cs="Arial" w:hint="cs"/>
          <w:rtl/>
        </w:rPr>
        <w:t>,</w:t>
      </w:r>
      <w:r w:rsidRPr="007A228B">
        <w:rPr>
          <w:rFonts w:cs="Arial"/>
          <w:rtl/>
        </w:rPr>
        <w:t xml:space="preserve"> פירוש בדבר מועט</w:t>
      </w:r>
      <w:r>
        <w:rPr>
          <w:rFonts w:cs="Arial" w:hint="cs"/>
          <w:rtl/>
        </w:rPr>
        <w:t>,</w:t>
      </w:r>
      <w:r w:rsidRPr="007A228B">
        <w:rPr>
          <w:rFonts w:cs="Arial"/>
          <w:rtl/>
        </w:rPr>
        <w:t xml:space="preserve"> שאם תתאלמן או תתגרש שיקחם הלוקח </w:t>
      </w:r>
      <w:r w:rsidR="001B7C46">
        <w:rPr>
          <w:rFonts w:cs="Arial" w:hint="cs"/>
          <w:rtl/>
        </w:rPr>
        <w:t xml:space="preserve">- </w:t>
      </w:r>
      <w:r w:rsidRPr="007A228B">
        <w:rPr>
          <w:rFonts w:cs="Arial"/>
          <w:rtl/>
        </w:rPr>
        <w:t>אותן הדמים אין הבעל אוכל פירותיהן</w:t>
      </w:r>
      <w:r>
        <w:rPr>
          <w:rFonts w:cs="Arial" w:hint="cs"/>
          <w:rtl/>
        </w:rPr>
        <w:t>.</w:t>
      </w:r>
      <w:r w:rsidRPr="007A228B">
        <w:rPr>
          <w:rFonts w:cs="Arial"/>
          <w:rtl/>
        </w:rPr>
        <w:t xml:space="preserve"> וכן אם נתנה מתנה לאחר קודם שניסת</w:t>
      </w:r>
      <w:r>
        <w:rPr>
          <w:rFonts w:cs="Arial" w:hint="cs"/>
          <w:rtl/>
        </w:rPr>
        <w:t>,</w:t>
      </w:r>
      <w:r w:rsidRPr="007A228B">
        <w:rPr>
          <w:rFonts w:cs="Arial"/>
          <w:rtl/>
        </w:rPr>
        <w:t xml:space="preserve"> אע</w:t>
      </w:r>
      <w:r w:rsidR="001B7C46">
        <w:rPr>
          <w:rFonts w:cs="Arial" w:hint="cs"/>
          <w:rtl/>
        </w:rPr>
        <w:t>"</w:t>
      </w:r>
      <w:r w:rsidRPr="007A228B">
        <w:rPr>
          <w:rFonts w:cs="Arial"/>
          <w:rtl/>
        </w:rPr>
        <w:t>פ שאין המתנה מתנה כדלקמן</w:t>
      </w:r>
      <w:r>
        <w:rPr>
          <w:rFonts w:cs="Arial" w:hint="cs"/>
          <w:rtl/>
        </w:rPr>
        <w:t>,</w:t>
      </w:r>
      <w:r w:rsidRPr="007A228B">
        <w:rPr>
          <w:rFonts w:cs="Arial"/>
          <w:rtl/>
        </w:rPr>
        <w:t xml:space="preserve"> אפ"ה אין הבעל אוכל פירות</w:t>
      </w:r>
      <w:r>
        <w:rPr>
          <w:rFonts w:cs="Arial" w:hint="cs"/>
          <w:rtl/>
        </w:rPr>
        <w:t>.</w:t>
      </w:r>
      <w:r w:rsidRPr="007A228B">
        <w:rPr>
          <w:rFonts w:cs="Arial"/>
          <w:rtl/>
        </w:rPr>
        <w:t xml:space="preserve"> </w:t>
      </w:r>
      <w:r w:rsidR="00CD0152" w:rsidRPr="00137671">
        <w:rPr>
          <w:rFonts w:hint="cs"/>
          <w:color w:val="E36C0A" w:themeColor="accent6" w:themeShade="BF"/>
          <w:rtl/>
        </w:rPr>
        <w:t>(וכ"פ בשו"ע)</w:t>
      </w:r>
    </w:p>
    <w:p w14:paraId="0131FDE9" w14:textId="1CE76D3C" w:rsidR="00182F34" w:rsidRPr="00182F34" w:rsidRDefault="00182F34" w:rsidP="00182F34">
      <w:pPr>
        <w:rPr>
          <w:rFonts w:cs="Arial"/>
          <w:rtl/>
        </w:rPr>
      </w:pPr>
      <w:r w:rsidRPr="00182F34">
        <w:rPr>
          <w:rFonts w:cs="Arial" w:hint="cs"/>
          <w:b/>
          <w:bCs/>
          <w:rtl/>
        </w:rPr>
        <w:t>גיטין</w:t>
      </w:r>
      <w:r w:rsidRPr="00182F34">
        <w:rPr>
          <w:rFonts w:cs="Arial" w:hint="cs"/>
          <w:b/>
          <w:bCs/>
          <w:sz w:val="16"/>
          <w:szCs w:val="16"/>
          <w:rtl/>
        </w:rPr>
        <w:t xml:space="preserve"> (פ' הזורק)</w:t>
      </w:r>
      <w:r w:rsidRPr="00182F34">
        <w:rPr>
          <w:rFonts w:cs="Arial" w:hint="cs"/>
          <w:b/>
          <w:bCs/>
          <w:rtl/>
        </w:rPr>
        <w:t xml:space="preserve"> עז ע"ב: </w:t>
      </w:r>
      <w:r w:rsidRPr="00182F34">
        <w:rPr>
          <w:rFonts w:cs="Arial"/>
          <w:rtl/>
        </w:rPr>
        <w:t>ההוא שכיב מרע דכתב לה גיטא לדביתהו בהדי פניא דמעלי שבתא ולא הספיק למיתביה לה, למחר תקף ליה עלמא</w:t>
      </w:r>
      <w:r w:rsidR="008528CE">
        <w:rPr>
          <w:rStyle w:val="a7"/>
          <w:rFonts w:cs="Arial"/>
          <w:rtl/>
        </w:rPr>
        <w:footnoteReference w:id="905"/>
      </w:r>
      <w:r w:rsidRPr="00182F34">
        <w:rPr>
          <w:rFonts w:cs="Arial"/>
          <w:rtl/>
        </w:rPr>
        <w:t xml:space="preserve">, </w:t>
      </w:r>
      <w:r w:rsidRPr="00182F34">
        <w:rPr>
          <w:rFonts w:cs="Arial"/>
          <w:u w:val="single"/>
          <w:rtl/>
        </w:rPr>
        <w:t>אתו לקמיה דרבא, אמר להו</w:t>
      </w:r>
      <w:r w:rsidRPr="00182F34">
        <w:rPr>
          <w:rFonts w:cs="Arial"/>
          <w:rtl/>
        </w:rPr>
        <w:t>: זילו אמרו ליה ליקניה</w:t>
      </w:r>
      <w:r w:rsidR="008528CE">
        <w:rPr>
          <w:rStyle w:val="a7"/>
          <w:rFonts w:cs="Arial"/>
          <w:rtl/>
        </w:rPr>
        <w:footnoteReference w:id="906"/>
      </w:r>
      <w:r w:rsidRPr="00182F34">
        <w:rPr>
          <w:rFonts w:cs="Arial"/>
          <w:rtl/>
        </w:rPr>
        <w:t xml:space="preserve"> ניהלה לההוא דוכתא דיתיב ביה גיטא, ותיזל איהי ותיחוד ותפתח</w:t>
      </w:r>
      <w:r w:rsidR="008528CE">
        <w:rPr>
          <w:rStyle w:val="a7"/>
          <w:rFonts w:cs="Arial"/>
          <w:rtl/>
        </w:rPr>
        <w:footnoteReference w:id="907"/>
      </w:r>
      <w:r w:rsidRPr="00182F34">
        <w:rPr>
          <w:rFonts w:cs="Arial"/>
          <w:rtl/>
        </w:rPr>
        <w:t xml:space="preserve"> ותחזיק ביה, דתנן: נעל</w:t>
      </w:r>
      <w:r w:rsidR="008528CE">
        <w:rPr>
          <w:rStyle w:val="a7"/>
          <w:rFonts w:cs="Arial"/>
          <w:rtl/>
        </w:rPr>
        <w:footnoteReference w:id="908"/>
      </w:r>
      <w:r w:rsidRPr="00182F34">
        <w:rPr>
          <w:rFonts w:cs="Arial"/>
          <w:rtl/>
        </w:rPr>
        <w:t>, גדר, פרץ כל שהוא - הרי זו חזקה</w:t>
      </w:r>
      <w:r w:rsidR="008528CE">
        <w:rPr>
          <w:rStyle w:val="a7"/>
          <w:rFonts w:cs="Arial"/>
          <w:rtl/>
        </w:rPr>
        <w:footnoteReference w:id="909"/>
      </w:r>
      <w:r w:rsidRPr="00182F34">
        <w:rPr>
          <w:rFonts w:cs="Arial"/>
          <w:rtl/>
        </w:rPr>
        <w:t xml:space="preserve">. </w:t>
      </w:r>
      <w:r w:rsidRPr="00182F34">
        <w:rPr>
          <w:rFonts w:cs="Arial"/>
          <w:u w:val="single"/>
          <w:rtl/>
        </w:rPr>
        <w:t>אמר ליה רב עיליש לרבא</w:t>
      </w:r>
      <w:r w:rsidRPr="00182F34">
        <w:rPr>
          <w:rFonts w:cs="Arial"/>
          <w:rtl/>
        </w:rPr>
        <w:t>: מה שקנתה אשה קנה בעלה! איכסיף.</w:t>
      </w:r>
      <w:r w:rsidRPr="00182F34">
        <w:rPr>
          <w:rFonts w:cs="Arial" w:hint="cs"/>
          <w:rtl/>
        </w:rPr>
        <w:t>..</w:t>
      </w:r>
      <w:r w:rsidRPr="00182F34">
        <w:rPr>
          <w:rFonts w:cs="Arial"/>
          <w:rtl/>
        </w:rPr>
        <w:t xml:space="preserve"> </w:t>
      </w:r>
    </w:p>
    <w:p w14:paraId="322930CE" w14:textId="49C7E694" w:rsidR="00F34153" w:rsidRDefault="00F34153" w:rsidP="001C326D">
      <w:pPr>
        <w:rPr>
          <w:rFonts w:cs="Arial"/>
          <w:rtl/>
        </w:rPr>
      </w:pPr>
      <w:r w:rsidRPr="004602D6">
        <w:rPr>
          <w:rFonts w:cs="Arial" w:hint="cs"/>
          <w:b/>
          <w:bCs/>
          <w:rtl/>
        </w:rPr>
        <w:t xml:space="preserve">בבא </w:t>
      </w:r>
      <w:r>
        <w:rPr>
          <w:rFonts w:cs="Arial" w:hint="cs"/>
          <w:b/>
          <w:bCs/>
          <w:rtl/>
        </w:rPr>
        <w:t>בתרא</w:t>
      </w:r>
      <w:r w:rsidRPr="004602D6">
        <w:rPr>
          <w:rFonts w:cs="Arial" w:hint="cs"/>
          <w:b/>
          <w:bCs/>
          <w:rtl/>
        </w:rPr>
        <w:t xml:space="preserve"> </w:t>
      </w:r>
      <w:r>
        <w:rPr>
          <w:rFonts w:cs="Arial" w:hint="cs"/>
          <w:b/>
          <w:bCs/>
          <w:sz w:val="16"/>
          <w:szCs w:val="16"/>
          <w:rtl/>
        </w:rPr>
        <w:t xml:space="preserve">(פ' חזקת) </w:t>
      </w:r>
      <w:r>
        <w:rPr>
          <w:rFonts w:cs="Arial" w:hint="cs"/>
          <w:b/>
          <w:bCs/>
          <w:rtl/>
        </w:rPr>
        <w:t>נא</w:t>
      </w:r>
      <w:r w:rsidR="007E1117">
        <w:rPr>
          <w:rStyle w:val="a7"/>
          <w:rFonts w:cs="Arial"/>
          <w:b/>
          <w:bCs/>
          <w:rtl/>
        </w:rPr>
        <w:footnoteReference w:id="910"/>
      </w:r>
      <w:r w:rsidRPr="004602D6">
        <w:rPr>
          <w:rFonts w:cs="Arial" w:hint="cs"/>
          <w:b/>
          <w:bCs/>
          <w:rtl/>
        </w:rPr>
        <w:t xml:space="preserve"> ע"</w:t>
      </w:r>
      <w:r>
        <w:rPr>
          <w:rFonts w:cs="Arial" w:hint="cs"/>
          <w:b/>
          <w:bCs/>
          <w:rtl/>
        </w:rPr>
        <w:t>ב</w:t>
      </w:r>
      <w:r w:rsidRPr="004602D6">
        <w:rPr>
          <w:rFonts w:cs="Arial" w:hint="cs"/>
          <w:b/>
          <w:bCs/>
          <w:rtl/>
        </w:rPr>
        <w:t>:</w:t>
      </w:r>
      <w:r>
        <w:rPr>
          <w:rFonts w:cs="Arial" w:hint="cs"/>
          <w:rtl/>
        </w:rPr>
        <w:t xml:space="preserve"> </w:t>
      </w:r>
      <w:r w:rsidRPr="00F34153">
        <w:rPr>
          <w:rFonts w:cs="Arial"/>
          <w:u w:val="single"/>
          <w:rtl/>
        </w:rPr>
        <w:t>אמר רב</w:t>
      </w:r>
      <w:r w:rsidRPr="00F34153">
        <w:rPr>
          <w:rFonts w:cs="Arial"/>
          <w:rtl/>
        </w:rPr>
        <w:t>: המוכר שדה לאשתו - קנתה, והבעל אוכל פירות</w:t>
      </w:r>
      <w:r w:rsidR="001B7C46">
        <w:rPr>
          <w:rFonts w:cs="Arial" w:hint="cs"/>
          <w:rtl/>
        </w:rPr>
        <w:t>.</w:t>
      </w:r>
      <w:r w:rsidRPr="00F34153">
        <w:rPr>
          <w:rFonts w:cs="Arial"/>
          <w:rtl/>
        </w:rPr>
        <w:t xml:space="preserve"> במתנה - קנתה, ואין הבעל אוכל פירות</w:t>
      </w:r>
      <w:r>
        <w:rPr>
          <w:rFonts w:cs="Arial" w:hint="cs"/>
          <w:rtl/>
        </w:rPr>
        <w:t>.</w:t>
      </w:r>
      <w:r w:rsidRPr="00F34153">
        <w:rPr>
          <w:rFonts w:cs="Arial"/>
          <w:rtl/>
        </w:rPr>
        <w:t xml:space="preserve"> </w:t>
      </w:r>
      <w:r w:rsidRPr="00F34153">
        <w:rPr>
          <w:rFonts w:cs="Arial"/>
          <w:u w:val="single"/>
          <w:rtl/>
        </w:rPr>
        <w:t>ורבי אלעזר אמר</w:t>
      </w:r>
      <w:r w:rsidRPr="00F34153">
        <w:rPr>
          <w:rFonts w:cs="Arial"/>
          <w:rtl/>
        </w:rPr>
        <w:t xml:space="preserve">: אחד זה ואחד זה - קנתה, ואין הבעל אוכל פירות. </w:t>
      </w:r>
      <w:r w:rsidRPr="00F34153">
        <w:rPr>
          <w:rFonts w:cs="Arial"/>
          <w:u w:val="single"/>
          <w:rtl/>
        </w:rPr>
        <w:t>עבד רב חסדא</w:t>
      </w:r>
      <w:r w:rsidRPr="00F34153">
        <w:rPr>
          <w:rFonts w:cs="Arial"/>
          <w:rtl/>
        </w:rPr>
        <w:t xml:space="preserve"> עובדא כרבי אלעזר. </w:t>
      </w:r>
      <w:r w:rsidRPr="00F34153">
        <w:rPr>
          <w:rFonts w:cs="Arial"/>
          <w:u w:val="single"/>
          <w:rtl/>
        </w:rPr>
        <w:t>אמרו ליה רבן עוקבא ורבן נחמיה בני בנתיה דרב לרב חסדא</w:t>
      </w:r>
      <w:r w:rsidRPr="00F34153">
        <w:rPr>
          <w:rFonts w:cs="Arial"/>
          <w:rtl/>
        </w:rPr>
        <w:t xml:space="preserve">: שביק מר רברבי ועביד כזוטרי? </w:t>
      </w:r>
      <w:r w:rsidRPr="00F34153">
        <w:rPr>
          <w:rFonts w:cs="Arial"/>
          <w:u w:val="single"/>
          <w:rtl/>
        </w:rPr>
        <w:t>א"ל</w:t>
      </w:r>
      <w:r w:rsidRPr="00F34153">
        <w:rPr>
          <w:rFonts w:cs="Arial"/>
          <w:rtl/>
        </w:rPr>
        <w:t xml:space="preserve">: ואנא נמי כרברבי עבדי, דכי אתא רבין אמר ר' יוחנן: אחד זה ואחד זה - קנתה, ואין הבעל אוכל פירות. </w:t>
      </w:r>
      <w:r w:rsidRPr="00F34153">
        <w:rPr>
          <w:rFonts w:cs="Arial"/>
          <w:u w:val="single"/>
          <w:rtl/>
        </w:rPr>
        <w:t>אמר רבא</w:t>
      </w:r>
      <w:r>
        <w:rPr>
          <w:rFonts w:cs="Arial" w:hint="cs"/>
          <w:rtl/>
        </w:rPr>
        <w:t>:</w:t>
      </w:r>
      <w:r w:rsidRPr="00F34153">
        <w:rPr>
          <w:rFonts w:cs="Arial"/>
          <w:rtl/>
        </w:rPr>
        <w:t xml:space="preserve"> הלכתא</w:t>
      </w:r>
      <w:r>
        <w:rPr>
          <w:rFonts w:cs="Arial" w:hint="cs"/>
          <w:rtl/>
        </w:rPr>
        <w:t>,</w:t>
      </w:r>
      <w:r w:rsidRPr="00F34153">
        <w:rPr>
          <w:rFonts w:cs="Arial"/>
          <w:rtl/>
        </w:rPr>
        <w:t xml:space="preserve"> המוכר שדה לאשתו - לא קנתה, והבעל אוכל פירות</w:t>
      </w:r>
      <w:r w:rsidR="0054417F">
        <w:rPr>
          <w:rFonts w:cs="Arial" w:hint="cs"/>
          <w:rtl/>
        </w:rPr>
        <w:t>.</w:t>
      </w:r>
      <w:r w:rsidRPr="00F34153">
        <w:rPr>
          <w:rFonts w:cs="Arial"/>
          <w:rtl/>
        </w:rPr>
        <w:t xml:space="preserve"> במתנה - קנתה, ואין הבעל אוכל פירות. </w:t>
      </w:r>
      <w:r w:rsidR="00182F34">
        <w:rPr>
          <w:rFonts w:cs="Arial" w:hint="cs"/>
          <w:sz w:val="16"/>
          <w:szCs w:val="16"/>
          <w:rtl/>
        </w:rPr>
        <w:t>(</w:t>
      </w:r>
      <w:r w:rsidR="00182F34" w:rsidRPr="00182F34">
        <w:rPr>
          <w:rFonts w:cs="Arial"/>
          <w:sz w:val="16"/>
          <w:szCs w:val="16"/>
          <w:rtl/>
        </w:rPr>
        <w:t>ו</w:t>
      </w:r>
      <w:r w:rsidR="00415CA6">
        <w:rPr>
          <w:rFonts w:cs="Arial" w:hint="cs"/>
          <w:sz w:val="16"/>
          <w:szCs w:val="16"/>
          <w:rtl/>
        </w:rPr>
        <w:t>כתב ה</w:t>
      </w:r>
      <w:r w:rsidR="00415CA6" w:rsidRPr="00182F34">
        <w:rPr>
          <w:rFonts w:cs="Arial" w:hint="cs"/>
          <w:sz w:val="16"/>
          <w:szCs w:val="16"/>
          <w:rtl/>
        </w:rPr>
        <w:t>רא"ש</w:t>
      </w:r>
      <w:r w:rsidR="00415CA6" w:rsidRPr="00182F34">
        <w:rPr>
          <w:rFonts w:cs="Arial"/>
          <w:sz w:val="16"/>
          <w:szCs w:val="16"/>
          <w:rtl/>
        </w:rPr>
        <w:t xml:space="preserve"> (</w:t>
      </w:r>
      <w:r w:rsidR="00415CA6" w:rsidRPr="00182F34">
        <w:rPr>
          <w:rFonts w:cs="Arial" w:hint="cs"/>
          <w:sz w:val="16"/>
          <w:szCs w:val="16"/>
          <w:rtl/>
        </w:rPr>
        <w:t xml:space="preserve">ב"ב פ"ג </w:t>
      </w:r>
      <w:r w:rsidR="00415CA6" w:rsidRPr="00182F34">
        <w:rPr>
          <w:rFonts w:cs="Arial"/>
          <w:sz w:val="16"/>
          <w:szCs w:val="16"/>
          <w:rtl/>
        </w:rPr>
        <w:t>סי' נד)</w:t>
      </w:r>
      <w:r w:rsidR="00415CA6">
        <w:rPr>
          <w:rFonts w:cs="Arial" w:hint="cs"/>
          <w:sz w:val="16"/>
          <w:szCs w:val="16"/>
          <w:rtl/>
        </w:rPr>
        <w:t xml:space="preserve"> ד</w:t>
      </w:r>
      <w:r w:rsidR="00182F34" w:rsidRPr="00182F34">
        <w:rPr>
          <w:rFonts w:cs="Arial"/>
          <w:sz w:val="16"/>
          <w:szCs w:val="16"/>
          <w:rtl/>
        </w:rPr>
        <w:t>קשה מהא דאמרינן בפרק הזורק (גיטין עז:) ההוא שכיב מרע דכתב גיטא לדביתהו אתא לקמיה דרבא אמר ליקנייה לההוא דוכתא דמנח ביה גיטא אמר ליה רב עיליש מה שקנתה אשה קנה בעלה איכסיף רבא</w:t>
      </w:r>
      <w:r w:rsidR="00415CA6">
        <w:rPr>
          <w:rFonts w:cs="Arial" w:hint="cs"/>
          <w:sz w:val="16"/>
          <w:szCs w:val="16"/>
          <w:rtl/>
        </w:rPr>
        <w:t>,</w:t>
      </w:r>
      <w:r w:rsidR="00182F34" w:rsidRPr="00182F34">
        <w:rPr>
          <w:rFonts w:cs="Arial" w:hint="cs"/>
          <w:sz w:val="16"/>
          <w:szCs w:val="16"/>
          <w:rtl/>
        </w:rPr>
        <w:t xml:space="preserve"> </w:t>
      </w:r>
      <w:r w:rsidR="00182F34" w:rsidRPr="00182F34">
        <w:rPr>
          <w:rFonts w:cs="Arial"/>
          <w:sz w:val="16"/>
          <w:szCs w:val="16"/>
          <w:rtl/>
        </w:rPr>
        <w:t>ואמאי איכסיף והא במתנה אין הבעל אוכל פירות ואם כן לא קנה בעלה</w:t>
      </w:r>
      <w:r w:rsidR="00182F34" w:rsidRPr="00182F34">
        <w:rPr>
          <w:rFonts w:cs="Arial" w:hint="cs"/>
          <w:sz w:val="16"/>
          <w:szCs w:val="16"/>
          <w:rtl/>
        </w:rPr>
        <w:t>.</w:t>
      </w:r>
      <w:r w:rsidR="00182F34" w:rsidRPr="00182F34">
        <w:rPr>
          <w:rFonts w:cs="Arial"/>
          <w:sz w:val="16"/>
          <w:szCs w:val="16"/>
          <w:rtl/>
        </w:rPr>
        <w:t xml:space="preserve"> ויש מתרצים דשאני התם שלא היתה </w:t>
      </w:r>
      <w:r w:rsidR="00182F34" w:rsidRPr="00182F34">
        <w:rPr>
          <w:rFonts w:cs="Arial"/>
          <w:sz w:val="16"/>
          <w:szCs w:val="16"/>
          <w:rtl/>
        </w:rPr>
        <w:lastRenderedPageBreak/>
        <w:t>מתנה גמורה אלא שאלה בעלמא עד שתתגרש</w:t>
      </w:r>
      <w:r w:rsidR="00182F34" w:rsidRPr="00182F34">
        <w:rPr>
          <w:rFonts w:cs="Arial" w:hint="cs"/>
          <w:sz w:val="16"/>
          <w:szCs w:val="16"/>
          <w:rtl/>
        </w:rPr>
        <w:t>.</w:t>
      </w:r>
      <w:r w:rsidR="00182F34" w:rsidRPr="00182F34">
        <w:rPr>
          <w:rFonts w:cs="Arial"/>
          <w:sz w:val="16"/>
          <w:szCs w:val="16"/>
          <w:rtl/>
        </w:rPr>
        <w:t xml:space="preserve"> ולא מסתבר לי</w:t>
      </w:r>
      <w:r w:rsidR="00182F34" w:rsidRPr="00182F34">
        <w:rPr>
          <w:rFonts w:cs="Arial" w:hint="cs"/>
          <w:sz w:val="16"/>
          <w:szCs w:val="16"/>
          <w:rtl/>
        </w:rPr>
        <w:t>.</w:t>
      </w:r>
      <w:r w:rsidR="00182F34" w:rsidRPr="00182F34">
        <w:rPr>
          <w:rFonts w:cs="Arial"/>
          <w:sz w:val="16"/>
          <w:szCs w:val="16"/>
          <w:rtl/>
        </w:rPr>
        <w:t xml:space="preserve"> ור"ת תירץ דזכיית הבעל אין תלויה באכילת פירות</w:t>
      </w:r>
      <w:r w:rsidR="00182F34" w:rsidRPr="00182F34">
        <w:rPr>
          <w:rFonts w:cs="Arial" w:hint="cs"/>
          <w:sz w:val="16"/>
          <w:szCs w:val="16"/>
          <w:rtl/>
        </w:rPr>
        <w:t>,</w:t>
      </w:r>
      <w:r w:rsidR="00182F34" w:rsidRPr="00182F34">
        <w:rPr>
          <w:rFonts w:cs="Arial"/>
          <w:sz w:val="16"/>
          <w:szCs w:val="16"/>
          <w:rtl/>
        </w:rPr>
        <w:t xml:space="preserve"> דהא רבא (יבמות לו.) סבר כריש לקיש דקנין פירות לאו כקנין הגוף דמי</w:t>
      </w:r>
      <w:r w:rsidR="00182F34" w:rsidRPr="00182F34">
        <w:rPr>
          <w:rFonts w:cs="Arial" w:hint="cs"/>
          <w:sz w:val="16"/>
          <w:szCs w:val="16"/>
          <w:rtl/>
        </w:rPr>
        <w:t>.</w:t>
      </w:r>
      <w:r w:rsidR="00182F34" w:rsidRPr="00182F34">
        <w:rPr>
          <w:rFonts w:cs="Arial"/>
          <w:sz w:val="16"/>
          <w:szCs w:val="16"/>
          <w:rtl/>
        </w:rPr>
        <w:t xml:space="preserve"> אם כן אפילו יש לבעל פירות אין מפקיע קנין הגוף של האשה</w:t>
      </w:r>
      <w:r w:rsidR="00182F34" w:rsidRPr="00182F34">
        <w:rPr>
          <w:rFonts w:cs="Arial" w:hint="cs"/>
          <w:sz w:val="16"/>
          <w:szCs w:val="16"/>
          <w:rtl/>
        </w:rPr>
        <w:t>,</w:t>
      </w:r>
      <w:r w:rsidR="00182F34" w:rsidRPr="00182F34">
        <w:rPr>
          <w:rFonts w:cs="Arial"/>
          <w:sz w:val="16"/>
          <w:szCs w:val="16"/>
          <w:rtl/>
        </w:rPr>
        <w:t xml:space="preserve"> אלא בהא תליא הזכייה</w:t>
      </w:r>
      <w:r w:rsidR="00182F34" w:rsidRPr="00182F34">
        <w:rPr>
          <w:rFonts w:cs="Arial" w:hint="cs"/>
          <w:sz w:val="16"/>
          <w:szCs w:val="16"/>
          <w:rtl/>
        </w:rPr>
        <w:t xml:space="preserve"> -</w:t>
      </w:r>
      <w:r w:rsidR="00182F34" w:rsidRPr="00182F34">
        <w:rPr>
          <w:rFonts w:cs="Arial"/>
          <w:sz w:val="16"/>
          <w:szCs w:val="16"/>
          <w:rtl/>
        </w:rPr>
        <w:t xml:space="preserve"> כיון דאם מכרה ונתנה בטל</w:t>
      </w:r>
      <w:r w:rsidR="008528CE">
        <w:rPr>
          <w:rFonts w:cs="Arial" w:hint="cs"/>
          <w:sz w:val="16"/>
          <w:szCs w:val="16"/>
          <w:rtl/>
        </w:rPr>
        <w:t>,</w:t>
      </w:r>
      <w:r w:rsidR="00182F34" w:rsidRPr="00182F34">
        <w:rPr>
          <w:rFonts w:cs="Arial"/>
          <w:sz w:val="16"/>
          <w:szCs w:val="16"/>
          <w:rtl/>
        </w:rPr>
        <w:t xml:space="preserve"> דהכי מסתבר</w:t>
      </w:r>
      <w:r w:rsidR="00182F34" w:rsidRPr="00182F34">
        <w:rPr>
          <w:rFonts w:cs="Arial" w:hint="cs"/>
          <w:sz w:val="16"/>
          <w:szCs w:val="16"/>
          <w:rtl/>
        </w:rPr>
        <w:t>,</w:t>
      </w:r>
      <w:r w:rsidR="00182F34" w:rsidRPr="00182F34">
        <w:rPr>
          <w:rFonts w:cs="Arial"/>
          <w:sz w:val="16"/>
          <w:szCs w:val="16"/>
          <w:rtl/>
        </w:rPr>
        <w:t xml:space="preserve"> דאע"ג שנתן לה בעין יפה שאפילו הפירות לא יאכל</w:t>
      </w:r>
      <w:r w:rsidR="00182F34" w:rsidRPr="00182F34">
        <w:rPr>
          <w:rFonts w:cs="Arial" w:hint="cs"/>
          <w:sz w:val="16"/>
          <w:szCs w:val="16"/>
          <w:rtl/>
        </w:rPr>
        <w:t>,</w:t>
      </w:r>
      <w:r w:rsidR="00182F34" w:rsidRPr="00182F34">
        <w:rPr>
          <w:rFonts w:cs="Arial"/>
          <w:sz w:val="16"/>
          <w:szCs w:val="16"/>
          <w:rtl/>
        </w:rPr>
        <w:t xml:space="preserve"> מכל מקום אין רוצה שיצא הקרקע מלפניו</w:t>
      </w:r>
      <w:r w:rsidR="00182F34" w:rsidRPr="00182F34">
        <w:rPr>
          <w:rFonts w:cs="Arial" w:hint="cs"/>
          <w:sz w:val="16"/>
          <w:szCs w:val="16"/>
          <w:rtl/>
        </w:rPr>
        <w:t>,</w:t>
      </w:r>
      <w:r w:rsidR="00182F34" w:rsidRPr="00182F34">
        <w:rPr>
          <w:rFonts w:cs="Arial"/>
          <w:sz w:val="16"/>
          <w:szCs w:val="16"/>
          <w:rtl/>
        </w:rPr>
        <w:t xml:space="preserve"> אלא נתן לה בעין יפה שתהנה מן הפירות כל ימיה ואחר מותה יחזור לידו</w:t>
      </w:r>
      <w:r w:rsidR="00182F34" w:rsidRPr="00182F34">
        <w:rPr>
          <w:rFonts w:cs="Arial" w:hint="cs"/>
          <w:sz w:val="16"/>
          <w:szCs w:val="16"/>
          <w:rtl/>
        </w:rPr>
        <w:t>.</w:t>
      </w:r>
      <w:r w:rsidR="00182F34" w:rsidRPr="00182F34">
        <w:rPr>
          <w:rFonts w:cs="Arial"/>
          <w:sz w:val="16"/>
          <w:szCs w:val="16"/>
          <w:rtl/>
        </w:rPr>
        <w:t xml:space="preserve"> ועוד מטעם אחר חשוב קנוי לבעל</w:t>
      </w:r>
      <w:r w:rsidR="00182F34" w:rsidRPr="00182F34">
        <w:rPr>
          <w:rFonts w:cs="Arial" w:hint="cs"/>
          <w:sz w:val="16"/>
          <w:szCs w:val="16"/>
          <w:rtl/>
        </w:rPr>
        <w:t>,</w:t>
      </w:r>
      <w:r w:rsidR="00182F34" w:rsidRPr="00182F34">
        <w:rPr>
          <w:rFonts w:cs="Arial"/>
          <w:sz w:val="16"/>
          <w:szCs w:val="16"/>
          <w:rtl/>
        </w:rPr>
        <w:t xml:space="preserve"> דנהי דאין הפירות הגדלים בשדה שלו</w:t>
      </w:r>
      <w:r w:rsidR="00182F34" w:rsidRPr="00182F34">
        <w:rPr>
          <w:rFonts w:cs="Arial" w:hint="cs"/>
          <w:sz w:val="16"/>
          <w:szCs w:val="16"/>
          <w:rtl/>
        </w:rPr>
        <w:t>,</w:t>
      </w:r>
      <w:r w:rsidR="00182F34" w:rsidRPr="00182F34">
        <w:rPr>
          <w:rFonts w:cs="Arial"/>
          <w:sz w:val="16"/>
          <w:szCs w:val="16"/>
          <w:rtl/>
        </w:rPr>
        <w:t xml:space="preserve"> מכל מקום נכסי מלוג הוא</w:t>
      </w:r>
      <w:r w:rsidR="008528CE">
        <w:rPr>
          <w:rFonts w:cs="Arial" w:hint="cs"/>
          <w:sz w:val="16"/>
          <w:szCs w:val="16"/>
          <w:rtl/>
        </w:rPr>
        <w:t>,</w:t>
      </w:r>
      <w:r w:rsidR="00182F34" w:rsidRPr="00182F34">
        <w:rPr>
          <w:rFonts w:cs="Arial"/>
          <w:sz w:val="16"/>
          <w:szCs w:val="16"/>
          <w:rtl/>
        </w:rPr>
        <w:t xml:space="preserve"> כמו נפלו לה נכסים ממקום אחר</w:t>
      </w:r>
      <w:r w:rsidR="00182F34" w:rsidRPr="00182F34">
        <w:rPr>
          <w:rFonts w:cs="Arial" w:hint="cs"/>
          <w:sz w:val="16"/>
          <w:szCs w:val="16"/>
          <w:rtl/>
        </w:rPr>
        <w:t>,</w:t>
      </w:r>
      <w:r w:rsidR="00182F34" w:rsidRPr="00182F34">
        <w:rPr>
          <w:rFonts w:cs="Arial"/>
          <w:sz w:val="16"/>
          <w:szCs w:val="16"/>
          <w:rtl/>
        </w:rPr>
        <w:t xml:space="preserve"> וילקח בהן קרקע ויאכל הבעל פירות</w:t>
      </w:r>
      <w:r w:rsidR="00182F34" w:rsidRPr="00182F34">
        <w:rPr>
          <w:rFonts w:cs="Arial" w:hint="cs"/>
          <w:sz w:val="16"/>
          <w:szCs w:val="16"/>
          <w:rtl/>
        </w:rPr>
        <w:t>,</w:t>
      </w:r>
      <w:r w:rsidR="00182F34" w:rsidRPr="00182F34">
        <w:rPr>
          <w:rFonts w:cs="Arial"/>
          <w:sz w:val="16"/>
          <w:szCs w:val="16"/>
          <w:rtl/>
        </w:rPr>
        <w:t xml:space="preserve"> וכיון דיש לו שייכות בשדה לפירי פירות </w:t>
      </w:r>
      <w:r w:rsidR="008528CE">
        <w:rPr>
          <w:rFonts w:cs="Arial" w:hint="cs"/>
          <w:sz w:val="16"/>
          <w:szCs w:val="16"/>
          <w:rtl/>
        </w:rPr>
        <w:t xml:space="preserve">- </w:t>
      </w:r>
      <w:r w:rsidR="00182F34" w:rsidRPr="00182F34">
        <w:rPr>
          <w:rFonts w:cs="Arial"/>
          <w:sz w:val="16"/>
          <w:szCs w:val="16"/>
          <w:rtl/>
        </w:rPr>
        <w:t>חשוב קנוי לו</w:t>
      </w:r>
      <w:r w:rsidR="00415CA6">
        <w:rPr>
          <w:rFonts w:cs="Arial" w:hint="cs"/>
          <w:sz w:val="16"/>
          <w:szCs w:val="16"/>
          <w:rtl/>
        </w:rPr>
        <w:t xml:space="preserve"> עכ"ל</w:t>
      </w:r>
      <w:r w:rsidR="00182F34">
        <w:rPr>
          <w:rFonts w:cs="Arial" w:hint="cs"/>
          <w:sz w:val="16"/>
          <w:szCs w:val="16"/>
          <w:rtl/>
        </w:rPr>
        <w:t>)</w:t>
      </w:r>
    </w:p>
    <w:p w14:paraId="3F02E667" w14:textId="77777777" w:rsidR="0054417F" w:rsidRPr="0054417F" w:rsidRDefault="0054417F" w:rsidP="0054417F">
      <w:pPr>
        <w:rPr>
          <w:u w:val="single"/>
        </w:rPr>
      </w:pPr>
      <w:r w:rsidRPr="0054417F">
        <w:rPr>
          <w:rFonts w:hint="cs"/>
          <w:u w:val="single"/>
          <w:rtl/>
        </w:rPr>
        <w:t>בעל שנתן מתנה לאשתו:</w:t>
      </w:r>
    </w:p>
    <w:p w14:paraId="22D251A0" w14:textId="64D01ED5" w:rsidR="0070753A" w:rsidRPr="0070753A" w:rsidRDefault="0054417F" w:rsidP="009000E3">
      <w:pPr>
        <w:pStyle w:val="ab"/>
        <w:numPr>
          <w:ilvl w:val="0"/>
          <w:numId w:val="47"/>
        </w:numPr>
      </w:pPr>
      <w:r>
        <w:rPr>
          <w:rFonts w:cs="Arial" w:hint="cs"/>
          <w:rtl/>
        </w:rPr>
        <w:t xml:space="preserve">טור- </w:t>
      </w:r>
      <w:r w:rsidRPr="007A228B">
        <w:rPr>
          <w:rFonts w:cs="Arial"/>
          <w:rtl/>
        </w:rPr>
        <w:t>וכן הבעל שנתן מתנה לאשתו בין קרקע בין מטלטלים</w:t>
      </w:r>
      <w:r>
        <w:rPr>
          <w:rFonts w:cs="Arial" w:hint="cs"/>
          <w:rtl/>
        </w:rPr>
        <w:t>,</w:t>
      </w:r>
      <w:r w:rsidRPr="007A228B">
        <w:rPr>
          <w:rFonts w:cs="Arial"/>
          <w:rtl/>
        </w:rPr>
        <w:t xml:space="preserve"> קנתה</w:t>
      </w:r>
      <w:r>
        <w:rPr>
          <w:rFonts w:cs="Arial" w:hint="cs"/>
          <w:rtl/>
        </w:rPr>
        <w:t>,</w:t>
      </w:r>
      <w:r w:rsidRPr="007A228B">
        <w:rPr>
          <w:rFonts w:cs="Arial"/>
          <w:rtl/>
        </w:rPr>
        <w:t xml:space="preserve"> ואין הבעל אוכל פירות</w:t>
      </w:r>
      <w:r>
        <w:rPr>
          <w:rFonts w:cs="Arial" w:hint="cs"/>
          <w:rtl/>
        </w:rPr>
        <w:t>.</w:t>
      </w:r>
      <w:r w:rsidRPr="007A228B">
        <w:rPr>
          <w:rFonts w:cs="Arial"/>
          <w:rtl/>
        </w:rPr>
        <w:t xml:space="preserve"> </w:t>
      </w:r>
      <w:r w:rsidR="00CD0152" w:rsidRPr="00137671">
        <w:rPr>
          <w:rFonts w:hint="cs"/>
          <w:color w:val="E36C0A" w:themeColor="accent6" w:themeShade="BF"/>
          <w:rtl/>
        </w:rPr>
        <w:t>(וכ"פ בשו"ע)</w:t>
      </w:r>
    </w:p>
    <w:p w14:paraId="6315C513" w14:textId="3C0226F6" w:rsidR="0070753A" w:rsidRPr="0070753A" w:rsidRDefault="0070753A" w:rsidP="0070753A">
      <w:pPr>
        <w:ind w:left="360"/>
        <w:rPr>
          <w:u w:val="dotted"/>
        </w:rPr>
      </w:pPr>
      <w:r w:rsidRPr="0070753A">
        <w:rPr>
          <w:rFonts w:hint="cs"/>
          <w:u w:val="dotted"/>
          <w:rtl/>
        </w:rPr>
        <w:t>האם יכולה האשה למכור או לתת במתנה את מה שקיבלה מבעלה:</w:t>
      </w:r>
    </w:p>
    <w:p w14:paraId="6D4DC44C" w14:textId="08508247" w:rsidR="0054417F" w:rsidRPr="00A715B2" w:rsidRDefault="00FA2EA4" w:rsidP="009000E3">
      <w:pPr>
        <w:pStyle w:val="ab"/>
        <w:numPr>
          <w:ilvl w:val="0"/>
          <w:numId w:val="47"/>
        </w:numPr>
      </w:pPr>
      <w:r>
        <w:rPr>
          <w:rFonts w:cs="Arial" w:hint="cs"/>
          <w:rtl/>
        </w:rPr>
        <w:t xml:space="preserve">גאונים </w:t>
      </w:r>
      <w:r>
        <w:rPr>
          <w:rFonts w:cs="Arial" w:hint="cs"/>
          <w:sz w:val="16"/>
          <w:szCs w:val="16"/>
          <w:rtl/>
        </w:rPr>
        <w:t>(כ"כ הרמב"ן בשמם)</w:t>
      </w:r>
      <w:r>
        <w:rPr>
          <w:rFonts w:cs="Arial" w:hint="cs"/>
          <w:rtl/>
        </w:rPr>
        <w:t xml:space="preserve"> רמב"ן</w:t>
      </w:r>
      <w:r>
        <w:rPr>
          <w:rStyle w:val="a7"/>
          <w:rFonts w:cs="Arial"/>
          <w:rtl/>
        </w:rPr>
        <w:footnoteReference w:id="911"/>
      </w:r>
      <w:r>
        <w:rPr>
          <w:rFonts w:cs="Arial" w:hint="cs"/>
          <w:rtl/>
        </w:rPr>
        <w:t xml:space="preserve"> </w:t>
      </w:r>
      <w:r>
        <w:rPr>
          <w:rFonts w:cs="Arial" w:hint="cs"/>
          <w:sz w:val="16"/>
          <w:szCs w:val="16"/>
          <w:rtl/>
        </w:rPr>
        <w:t>(ב"ב נא: ד"ה אלא)</w:t>
      </w:r>
      <w:r>
        <w:rPr>
          <w:rFonts w:cs="Arial" w:hint="cs"/>
          <w:rtl/>
        </w:rPr>
        <w:t xml:space="preserve"> </w:t>
      </w:r>
      <w:r w:rsidR="00415CA6">
        <w:rPr>
          <w:rFonts w:cs="Arial" w:hint="cs"/>
          <w:rtl/>
        </w:rPr>
        <w:t xml:space="preserve">רא"ש </w:t>
      </w:r>
      <w:r w:rsidR="00415CA6">
        <w:rPr>
          <w:rFonts w:cs="Arial" w:hint="cs"/>
          <w:sz w:val="16"/>
          <w:szCs w:val="16"/>
          <w:rtl/>
        </w:rPr>
        <w:t>(ב"ב פ"ג סי' נד)</w:t>
      </w:r>
      <w:r w:rsidR="00415CA6">
        <w:rPr>
          <w:rFonts w:cs="Arial" w:hint="cs"/>
          <w:rtl/>
        </w:rPr>
        <w:t xml:space="preserve"> </w:t>
      </w:r>
      <w:r w:rsidR="0070753A">
        <w:rPr>
          <w:rFonts w:cs="Arial" w:hint="cs"/>
          <w:rtl/>
        </w:rPr>
        <w:t>טור</w:t>
      </w:r>
      <w:r>
        <w:rPr>
          <w:rFonts w:cs="Arial" w:hint="cs"/>
          <w:rtl/>
        </w:rPr>
        <w:t xml:space="preserve"> </w:t>
      </w:r>
      <w:r w:rsidR="007E1117">
        <w:rPr>
          <w:rFonts w:cs="Arial" w:hint="cs"/>
          <w:rtl/>
        </w:rPr>
        <w:t>ו</w:t>
      </w:r>
      <w:r>
        <w:rPr>
          <w:rFonts w:cs="Arial" w:hint="cs"/>
          <w:rtl/>
        </w:rPr>
        <w:t xml:space="preserve">נמוק"י </w:t>
      </w:r>
      <w:r w:rsidRPr="00FA2EA4">
        <w:rPr>
          <w:rFonts w:cs="Arial"/>
          <w:sz w:val="16"/>
          <w:szCs w:val="16"/>
          <w:rtl/>
        </w:rPr>
        <w:t>(</w:t>
      </w:r>
      <w:r>
        <w:rPr>
          <w:rFonts w:cs="Arial" w:hint="cs"/>
          <w:sz w:val="16"/>
          <w:szCs w:val="16"/>
          <w:rtl/>
        </w:rPr>
        <w:t xml:space="preserve">ב"ב </w:t>
      </w:r>
      <w:r w:rsidRPr="00FA2EA4">
        <w:rPr>
          <w:rFonts w:cs="Arial"/>
          <w:sz w:val="16"/>
          <w:szCs w:val="16"/>
          <w:rtl/>
        </w:rPr>
        <w:t>כז:)</w:t>
      </w:r>
      <w:r w:rsidR="0070753A">
        <w:rPr>
          <w:rFonts w:cs="Arial" w:hint="cs"/>
          <w:rtl/>
        </w:rPr>
        <w:t xml:space="preserve">- </w:t>
      </w:r>
      <w:r w:rsidR="0054417F" w:rsidRPr="007A228B">
        <w:rPr>
          <w:rFonts w:cs="Arial"/>
          <w:rtl/>
        </w:rPr>
        <w:t>ומיהו אינה יכולה למכור מה שנתן לה ולא ליתנו לאחר אלא ישאר בידה</w:t>
      </w:r>
      <w:r w:rsidR="0054417F">
        <w:rPr>
          <w:rFonts w:cs="Arial" w:hint="cs"/>
          <w:rtl/>
        </w:rPr>
        <w:t>,</w:t>
      </w:r>
      <w:r w:rsidR="0054417F" w:rsidRPr="007A228B">
        <w:rPr>
          <w:rFonts w:cs="Arial"/>
          <w:rtl/>
        </w:rPr>
        <w:t xml:space="preserve"> ואם תמות ירשנה</w:t>
      </w:r>
      <w:r w:rsidR="0054417F">
        <w:rPr>
          <w:rFonts w:cs="Arial" w:hint="cs"/>
          <w:rtl/>
        </w:rPr>
        <w:t>,</w:t>
      </w:r>
      <w:r w:rsidR="0054417F" w:rsidRPr="007A228B">
        <w:rPr>
          <w:rFonts w:cs="Arial"/>
          <w:rtl/>
        </w:rPr>
        <w:t xml:space="preserve"> והפירות שיוצאין לה ממנו דינן כשאר נכסי מלוג וימכרו וילקח בהן קרקע והוא אוכל פירות</w:t>
      </w:r>
      <w:r>
        <w:rPr>
          <w:rFonts w:cs="Arial" w:hint="cs"/>
          <w:sz w:val="16"/>
          <w:szCs w:val="16"/>
          <w:rtl/>
        </w:rPr>
        <w:t xml:space="preserve"> (ל' הטור)</w:t>
      </w:r>
      <w:r w:rsidR="0054417F">
        <w:rPr>
          <w:rFonts w:cs="Arial" w:hint="cs"/>
          <w:rtl/>
        </w:rPr>
        <w:t>.</w:t>
      </w:r>
      <w:r w:rsidR="0054417F" w:rsidRPr="007A228B">
        <w:rPr>
          <w:rFonts w:cs="Arial"/>
          <w:rtl/>
        </w:rPr>
        <w:t xml:space="preserve"> </w:t>
      </w:r>
      <w:r w:rsidR="00CD0152" w:rsidRPr="00137671">
        <w:rPr>
          <w:rFonts w:hint="cs"/>
          <w:color w:val="E36C0A" w:themeColor="accent6" w:themeShade="BF"/>
          <w:rtl/>
        </w:rPr>
        <w:t>(וכ"פ בשו"ע)</w:t>
      </w:r>
    </w:p>
    <w:p w14:paraId="0885A36F" w14:textId="7D2C94A6" w:rsidR="0054417F" w:rsidRPr="00605FD6" w:rsidRDefault="0054417F" w:rsidP="009000E3">
      <w:pPr>
        <w:pStyle w:val="ab"/>
        <w:numPr>
          <w:ilvl w:val="0"/>
          <w:numId w:val="47"/>
        </w:numPr>
        <w:rPr>
          <w:rtl/>
        </w:rPr>
      </w:pPr>
      <w:r w:rsidRPr="007A228B">
        <w:rPr>
          <w:rFonts w:cs="Arial"/>
          <w:rtl/>
        </w:rPr>
        <w:t>רמ"ה</w:t>
      </w:r>
      <w:r w:rsidR="0070753A">
        <w:rPr>
          <w:rFonts w:cs="Arial" w:hint="cs"/>
          <w:sz w:val="16"/>
          <w:szCs w:val="16"/>
          <w:rtl/>
        </w:rPr>
        <w:t xml:space="preserve"> (כ"כ הטור בשמו)</w:t>
      </w:r>
      <w:r w:rsidR="0070753A">
        <w:rPr>
          <w:rFonts w:cs="Arial" w:hint="cs"/>
          <w:rtl/>
        </w:rPr>
        <w:t xml:space="preserve">- </w:t>
      </w:r>
      <w:r w:rsidRPr="007A228B">
        <w:rPr>
          <w:rFonts w:cs="Arial"/>
          <w:rtl/>
        </w:rPr>
        <w:t xml:space="preserve">אם מכרה או נתנה </w:t>
      </w:r>
      <w:r>
        <w:rPr>
          <w:rFonts w:cs="Arial" w:hint="cs"/>
          <w:rtl/>
        </w:rPr>
        <w:t xml:space="preserve">- </w:t>
      </w:r>
      <w:r w:rsidRPr="007A228B">
        <w:rPr>
          <w:rFonts w:cs="Arial"/>
          <w:rtl/>
        </w:rPr>
        <w:t>קיים</w:t>
      </w:r>
      <w:r>
        <w:rPr>
          <w:rFonts w:cs="Arial" w:hint="cs"/>
          <w:rtl/>
        </w:rPr>
        <w:t>,</w:t>
      </w:r>
      <w:r w:rsidRPr="007A228B">
        <w:rPr>
          <w:rFonts w:cs="Arial"/>
          <w:rtl/>
        </w:rPr>
        <w:t xml:space="preserve"> כיון שאין לו פירות</w:t>
      </w:r>
      <w:r>
        <w:rPr>
          <w:rStyle w:val="a7"/>
          <w:rFonts w:cs="Arial"/>
          <w:rtl/>
        </w:rPr>
        <w:footnoteReference w:id="912"/>
      </w:r>
      <w:r>
        <w:rPr>
          <w:rFonts w:cs="Arial" w:hint="cs"/>
          <w:rtl/>
        </w:rPr>
        <w:t>.</w:t>
      </w:r>
      <w:r w:rsidRPr="007A228B">
        <w:rPr>
          <w:rFonts w:cs="Arial"/>
          <w:rtl/>
        </w:rPr>
        <w:t xml:space="preserve"> </w:t>
      </w:r>
      <w:r w:rsidRPr="0070753A">
        <w:rPr>
          <w:rFonts w:cs="Arial"/>
          <w:rtl/>
        </w:rPr>
        <w:t xml:space="preserve">ואם מתה עד שלא מכרה </w:t>
      </w:r>
      <w:r w:rsidRPr="0070753A">
        <w:rPr>
          <w:rFonts w:cs="Arial" w:hint="cs"/>
          <w:rtl/>
        </w:rPr>
        <w:t xml:space="preserve">- </w:t>
      </w:r>
      <w:r w:rsidRPr="0070753A">
        <w:rPr>
          <w:rFonts w:cs="Arial"/>
          <w:rtl/>
        </w:rPr>
        <w:t>יורשה אפי' אקני לה ע"מ שלא ליורשה</w:t>
      </w:r>
      <w:r>
        <w:rPr>
          <w:rStyle w:val="a7"/>
          <w:rFonts w:cs="Arial"/>
          <w:rtl/>
        </w:rPr>
        <w:footnoteReference w:id="913"/>
      </w:r>
      <w:r w:rsidRPr="0070753A">
        <w:rPr>
          <w:rFonts w:cs="Arial" w:hint="cs"/>
          <w:rtl/>
        </w:rPr>
        <w:t>.</w:t>
      </w:r>
      <w:r w:rsidRPr="0070753A">
        <w:rPr>
          <w:rFonts w:cs="Arial"/>
          <w:rtl/>
        </w:rPr>
        <w:t xml:space="preserve"> </w:t>
      </w:r>
    </w:p>
    <w:p w14:paraId="5B1B32C4"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6868382D" w14:textId="61993E89" w:rsidR="007A3469" w:rsidRDefault="007A3469" w:rsidP="007A3469">
      <w:pPr>
        <w:rPr>
          <w:rtl/>
        </w:rPr>
      </w:pPr>
      <w:r>
        <w:rPr>
          <w:rFonts w:cs="Arial"/>
          <w:rtl/>
        </w:rPr>
        <w:t xml:space="preserve">באו לידה </w:t>
      </w:r>
      <w:r w:rsidR="008528CE">
        <w:rPr>
          <w:rFonts w:cs="Arial" w:hint="cs"/>
          <w:sz w:val="18"/>
          <w:szCs w:val="18"/>
          <w:rtl/>
        </w:rPr>
        <w:t xml:space="preserve">[הגה] </w:t>
      </w:r>
      <w:r w:rsidRPr="00D65D96">
        <w:rPr>
          <w:rFonts w:cs="Arial"/>
          <w:sz w:val="18"/>
          <w:szCs w:val="18"/>
          <w:rtl/>
        </w:rPr>
        <w:t xml:space="preserve">נכסים </w:t>
      </w:r>
      <w:r>
        <w:rPr>
          <w:rFonts w:cs="Arial"/>
          <w:rtl/>
        </w:rPr>
        <w:t>אחר שנשאת, בין שבאו לידה בירושה או שניתנו לה במתנה</w:t>
      </w:r>
      <w:r w:rsidR="00CD0152">
        <w:rPr>
          <w:rStyle w:val="a7"/>
          <w:rFonts w:cs="Arial"/>
          <w:rtl/>
        </w:rPr>
        <w:footnoteReference w:id="914"/>
      </w:r>
      <w:r>
        <w:rPr>
          <w:rFonts w:cs="Arial"/>
          <w:rtl/>
        </w:rPr>
        <w:t xml:space="preserve"> או שחבלו בה</w:t>
      </w:r>
      <w:r w:rsidR="00CD0152">
        <w:rPr>
          <w:rStyle w:val="a7"/>
          <w:rFonts w:cs="Arial"/>
          <w:rtl/>
        </w:rPr>
        <w:footnoteReference w:id="915"/>
      </w:r>
      <w:r>
        <w:rPr>
          <w:rFonts w:cs="Arial"/>
          <w:rtl/>
        </w:rPr>
        <w:t xml:space="preserve"> ונתנו לה חלקה בבושתה ופגמה, נקראים נכסי מלוג, והרי הם כאותם שהכניסה לו ולא קבלם באחריות. אבל אם מכרה כתובתה ונדונייתה, אותם הדמים אין הבעל אוכל פירותיהם. וכן אם נתנה מתנה לאחר קודם שנשאת, כדי להבריח מבעלה, אף על פי שאין מתנתה מתנה, אין הבעל אוכל פירות. וכן הבעל שנתן מתנה לאשתו, בין קרקע בין מטלטלין, קנתה, ואין הבעל אוכל פירות. ומיהו אינה יכולה למכור</w:t>
      </w:r>
      <w:r w:rsidR="00DC7251">
        <w:rPr>
          <w:rStyle w:val="a7"/>
          <w:rFonts w:cs="Arial"/>
          <w:rtl/>
        </w:rPr>
        <w:footnoteReference w:id="916"/>
      </w:r>
      <w:r>
        <w:rPr>
          <w:rFonts w:cs="Arial"/>
          <w:rtl/>
        </w:rPr>
        <w:t xml:space="preserve"> מה שנתן לה</w:t>
      </w:r>
      <w:r w:rsidR="00DC7251">
        <w:rPr>
          <w:rStyle w:val="a7"/>
          <w:rFonts w:cs="Arial"/>
          <w:rtl/>
        </w:rPr>
        <w:footnoteReference w:id="917"/>
      </w:r>
      <w:r>
        <w:rPr>
          <w:rFonts w:cs="Arial"/>
          <w:rtl/>
        </w:rPr>
        <w:t xml:space="preserve">, ולא ליתנו לאחר, אלא ישאר בידה, ואם תמות ירשנה, והפירות שיוצאין לה ממנה דינם כשאר נכסי מלוג, וימכרו וילקח בהם קרקע והוא אוכל פירות. </w:t>
      </w:r>
    </w:p>
    <w:p w14:paraId="7333AB39" w14:textId="77777777" w:rsidR="00F46615" w:rsidRDefault="00F46615" w:rsidP="007A3469">
      <w:pPr>
        <w:rPr>
          <w:rtl/>
        </w:rPr>
      </w:pPr>
    </w:p>
    <w:p w14:paraId="0140010D" w14:textId="3739A57A" w:rsidR="007A3469" w:rsidRDefault="007A3469" w:rsidP="000F64D0">
      <w:pPr>
        <w:pStyle w:val="2"/>
        <w:rPr>
          <w:rtl/>
        </w:rPr>
      </w:pPr>
      <w:r>
        <w:rPr>
          <w:rtl/>
        </w:rPr>
        <w:t>סעיף ח</w:t>
      </w:r>
      <w:r w:rsidR="00D56151">
        <w:rPr>
          <w:rFonts w:hint="cs"/>
          <w:rtl/>
        </w:rPr>
        <w:t>: נתן לה בעלה מתנה בעודה ארוסה.</w:t>
      </w:r>
    </w:p>
    <w:p w14:paraId="1DAB5722" w14:textId="3C75BED8" w:rsidR="00D56151" w:rsidRPr="00D56151" w:rsidRDefault="00D56151" w:rsidP="00D56151">
      <w:pPr>
        <w:rPr>
          <w:u w:val="single"/>
          <w:rtl/>
        </w:rPr>
      </w:pPr>
      <w:r w:rsidRPr="00D56151">
        <w:rPr>
          <w:rFonts w:hint="cs"/>
          <w:u w:val="single"/>
          <w:rtl/>
        </w:rPr>
        <w:t>נתן לה בעלה מתנה בעודה ארוסה:</w:t>
      </w:r>
    </w:p>
    <w:p w14:paraId="4E668E66" w14:textId="4992D995" w:rsidR="000214D5" w:rsidRPr="000214D5" w:rsidRDefault="00291137" w:rsidP="009000E3">
      <w:pPr>
        <w:pStyle w:val="ab"/>
        <w:numPr>
          <w:ilvl w:val="0"/>
          <w:numId w:val="47"/>
        </w:numPr>
      </w:pPr>
      <w:r>
        <w:rPr>
          <w:rFonts w:cs="Arial" w:hint="cs"/>
          <w:rtl/>
        </w:rPr>
        <w:t xml:space="preserve">רמ"ה </w:t>
      </w:r>
      <w:r>
        <w:rPr>
          <w:rFonts w:cs="Arial" w:hint="cs"/>
          <w:sz w:val="16"/>
          <w:szCs w:val="16"/>
          <w:rtl/>
        </w:rPr>
        <w:t>(כ"כ הטור והב"י בשמו)</w:t>
      </w:r>
      <w:r>
        <w:rPr>
          <w:rFonts w:cs="Arial" w:hint="cs"/>
          <w:rtl/>
        </w:rPr>
        <w:t xml:space="preserve"> ו</w:t>
      </w:r>
      <w:r w:rsidR="00605FD6">
        <w:rPr>
          <w:rFonts w:cs="Arial" w:hint="cs"/>
          <w:rtl/>
        </w:rPr>
        <w:t xml:space="preserve">טור- </w:t>
      </w:r>
      <w:r w:rsidR="00605FD6" w:rsidRPr="007A228B">
        <w:rPr>
          <w:rFonts w:cs="Arial"/>
          <w:rtl/>
        </w:rPr>
        <w:t>והני מילי שאינו אוכל פירות</w:t>
      </w:r>
      <w:r w:rsidR="00BA3C39">
        <w:rPr>
          <w:rFonts w:cs="Arial" w:hint="cs"/>
          <w:rtl/>
        </w:rPr>
        <w:t>,</w:t>
      </w:r>
      <w:r w:rsidR="00605FD6" w:rsidRPr="007A228B">
        <w:rPr>
          <w:rFonts w:cs="Arial"/>
          <w:rtl/>
        </w:rPr>
        <w:t xml:space="preserve"> כשנתן לה אחר הנישואין</w:t>
      </w:r>
      <w:r w:rsidR="00BA3C39">
        <w:rPr>
          <w:rFonts w:cs="Arial" w:hint="cs"/>
          <w:rtl/>
        </w:rPr>
        <w:t>.</w:t>
      </w:r>
      <w:r w:rsidR="00605FD6" w:rsidRPr="007A228B">
        <w:rPr>
          <w:rFonts w:cs="Arial"/>
          <w:rtl/>
        </w:rPr>
        <w:t xml:space="preserve"> אבל אם נתן לה קודם הנישואין אחר שידוכין ואירוסין</w:t>
      </w:r>
      <w:r w:rsidR="00D56151">
        <w:rPr>
          <w:rFonts w:cs="Arial" w:hint="cs"/>
          <w:rtl/>
        </w:rPr>
        <w:t>,</w:t>
      </w:r>
      <w:r w:rsidR="00605FD6" w:rsidRPr="007A228B">
        <w:rPr>
          <w:rFonts w:cs="Arial"/>
          <w:rtl/>
        </w:rPr>
        <w:t xml:space="preserve"> אפילו אם פירש במתנה בין קודם נישואין בין אחר נישואין</w:t>
      </w:r>
      <w:r w:rsidR="00D56151">
        <w:rPr>
          <w:rFonts w:cs="Arial" w:hint="cs"/>
          <w:rtl/>
        </w:rPr>
        <w:t>,</w:t>
      </w:r>
      <w:r w:rsidR="00605FD6" w:rsidRPr="007A228B">
        <w:rPr>
          <w:rFonts w:cs="Arial"/>
          <w:rtl/>
        </w:rPr>
        <w:t xml:space="preserve"> כיון שנשאה </w:t>
      </w:r>
      <w:r w:rsidR="00D56151">
        <w:rPr>
          <w:rFonts w:cs="Arial" w:hint="cs"/>
          <w:rtl/>
        </w:rPr>
        <w:t xml:space="preserve">- </w:t>
      </w:r>
      <w:r w:rsidR="00605FD6" w:rsidRPr="007A228B">
        <w:rPr>
          <w:rFonts w:cs="Arial"/>
          <w:rtl/>
        </w:rPr>
        <w:lastRenderedPageBreak/>
        <w:t>אהניא ליה זכות הנישואין עליה דהאי ארעא כדמהניא אשאר נכסי לזכות בפירותיהן</w:t>
      </w:r>
      <w:r w:rsidR="00D56151">
        <w:rPr>
          <w:rFonts w:cs="Arial" w:hint="cs"/>
          <w:rtl/>
        </w:rPr>
        <w:t>,</w:t>
      </w:r>
      <w:r w:rsidR="00605FD6" w:rsidRPr="007A228B">
        <w:rPr>
          <w:rFonts w:cs="Arial"/>
          <w:rtl/>
        </w:rPr>
        <w:t xml:space="preserve"> והוי כשאר נכסי מלוג שאוכל הפירות</w:t>
      </w:r>
      <w:r w:rsidR="00D56151">
        <w:rPr>
          <w:rFonts w:cs="Arial" w:hint="cs"/>
          <w:rtl/>
        </w:rPr>
        <w:t>.</w:t>
      </w:r>
      <w:r w:rsidR="00605FD6" w:rsidRPr="007A228B">
        <w:rPr>
          <w:rFonts w:cs="Arial"/>
          <w:rtl/>
        </w:rPr>
        <w:t xml:space="preserve"> הלכך אם נתנה ומכרה </w:t>
      </w:r>
      <w:r w:rsidR="00D56151">
        <w:rPr>
          <w:rFonts w:cs="Arial" w:hint="cs"/>
          <w:rtl/>
        </w:rPr>
        <w:t xml:space="preserve">- </w:t>
      </w:r>
      <w:r w:rsidR="00605FD6" w:rsidRPr="007A228B">
        <w:rPr>
          <w:rFonts w:cs="Arial"/>
          <w:rtl/>
        </w:rPr>
        <w:t>בטל</w:t>
      </w:r>
      <w:r w:rsidR="00D56151">
        <w:rPr>
          <w:rFonts w:cs="Arial" w:hint="cs"/>
          <w:rtl/>
        </w:rPr>
        <w:t>.</w:t>
      </w:r>
      <w:r w:rsidR="00605FD6" w:rsidRPr="007A228B">
        <w:rPr>
          <w:rFonts w:cs="Arial"/>
          <w:rtl/>
        </w:rPr>
        <w:t xml:space="preserve"> ואם נתאלמנה או נתגרשה </w:t>
      </w:r>
      <w:r w:rsidR="00D56151">
        <w:rPr>
          <w:rFonts w:cs="Arial" w:hint="cs"/>
          <w:rtl/>
        </w:rPr>
        <w:t xml:space="preserve">- </w:t>
      </w:r>
      <w:r w:rsidR="00605FD6" w:rsidRPr="007A228B">
        <w:rPr>
          <w:rFonts w:cs="Arial"/>
          <w:rtl/>
        </w:rPr>
        <w:t>שקלה להאי ארעא לבד מכתובתה</w:t>
      </w:r>
      <w:r w:rsidR="00D56151">
        <w:rPr>
          <w:rFonts w:cs="Arial" w:hint="cs"/>
          <w:rtl/>
        </w:rPr>
        <w:t>.</w:t>
      </w:r>
      <w:r w:rsidR="00605FD6" w:rsidRPr="007A228B">
        <w:rPr>
          <w:rFonts w:cs="Arial"/>
          <w:rtl/>
        </w:rPr>
        <w:t xml:space="preserve"> ודוקא שנתאלמנה או נתגרשה מן הנישואין</w:t>
      </w:r>
      <w:r w:rsidR="00D56151">
        <w:rPr>
          <w:rFonts w:cs="Arial" w:hint="cs"/>
          <w:rtl/>
        </w:rPr>
        <w:t>,</w:t>
      </w:r>
      <w:r w:rsidR="00605FD6" w:rsidRPr="007A228B">
        <w:rPr>
          <w:rFonts w:cs="Arial"/>
          <w:rtl/>
        </w:rPr>
        <w:t xml:space="preserve"> אבל מן האירוסין לית לה</w:t>
      </w:r>
      <w:r w:rsidR="00D56151">
        <w:rPr>
          <w:rFonts w:cs="Arial" w:hint="cs"/>
          <w:rtl/>
        </w:rPr>
        <w:t>,</w:t>
      </w:r>
      <w:r w:rsidR="00605FD6" w:rsidRPr="007A228B">
        <w:rPr>
          <w:rFonts w:cs="Arial"/>
          <w:rtl/>
        </w:rPr>
        <w:t xml:space="preserve"> שלא כ</w:t>
      </w:r>
      <w:r w:rsidR="00D56151">
        <w:rPr>
          <w:rFonts w:cs="Arial" w:hint="cs"/>
          <w:rtl/>
        </w:rPr>
        <w:t>תב</w:t>
      </w:r>
      <w:r w:rsidR="00605FD6" w:rsidRPr="007A228B">
        <w:rPr>
          <w:rFonts w:cs="Arial"/>
          <w:rtl/>
        </w:rPr>
        <w:t xml:space="preserve"> לה אלא ע"מ לכונסה</w:t>
      </w:r>
      <w:r w:rsidR="00D56151">
        <w:rPr>
          <w:rFonts w:cs="Arial" w:hint="cs"/>
          <w:rtl/>
        </w:rPr>
        <w:t>.</w:t>
      </w:r>
      <w:r w:rsidR="00605FD6" w:rsidRPr="007A228B">
        <w:rPr>
          <w:rFonts w:cs="Arial"/>
          <w:rtl/>
        </w:rPr>
        <w:t xml:space="preserve"> ואפי</w:t>
      </w:r>
      <w:r w:rsidR="00D56151">
        <w:rPr>
          <w:rFonts w:cs="Arial" w:hint="cs"/>
          <w:rtl/>
        </w:rPr>
        <w:t>לו</w:t>
      </w:r>
      <w:r w:rsidR="00605FD6" w:rsidRPr="007A228B">
        <w:rPr>
          <w:rFonts w:cs="Arial"/>
          <w:rtl/>
        </w:rPr>
        <w:t xml:space="preserve"> נתאלמנה או נתגרשה מן הנישואין</w:t>
      </w:r>
      <w:r w:rsidR="00D56151">
        <w:rPr>
          <w:rFonts w:cs="Arial" w:hint="cs"/>
          <w:rtl/>
        </w:rPr>
        <w:t xml:space="preserve"> -</w:t>
      </w:r>
      <w:r w:rsidR="00605FD6" w:rsidRPr="007A228B">
        <w:rPr>
          <w:rFonts w:cs="Arial"/>
          <w:rtl/>
        </w:rPr>
        <w:t xml:space="preserve"> דוקא שלא מתוך מרדה</w:t>
      </w:r>
      <w:r w:rsidR="00D56151">
        <w:rPr>
          <w:rFonts w:cs="Arial" w:hint="cs"/>
          <w:rtl/>
        </w:rPr>
        <w:t>,</w:t>
      </w:r>
      <w:r w:rsidR="00605FD6" w:rsidRPr="007A228B">
        <w:rPr>
          <w:rFonts w:cs="Arial"/>
          <w:rtl/>
        </w:rPr>
        <w:t xml:space="preserve"> אבל נתאלמנה או נתגרשה מתוך מרדה לאחר שכתבו עליה אגרת מרד שהפסידה כל כתובתה </w:t>
      </w:r>
      <w:r w:rsidR="00D56151">
        <w:rPr>
          <w:rFonts w:cs="Arial" w:hint="cs"/>
          <w:rtl/>
        </w:rPr>
        <w:t xml:space="preserve">- </w:t>
      </w:r>
      <w:r w:rsidR="00605FD6" w:rsidRPr="007A228B">
        <w:rPr>
          <w:rFonts w:cs="Arial"/>
          <w:rtl/>
        </w:rPr>
        <w:t>הפסידה כל מה שנתן לה</w:t>
      </w:r>
      <w:r>
        <w:rPr>
          <w:rFonts w:cs="Arial" w:hint="cs"/>
          <w:sz w:val="16"/>
          <w:szCs w:val="16"/>
          <w:rtl/>
        </w:rPr>
        <w:t xml:space="preserve"> (ל' הטור בשמו)</w:t>
      </w:r>
      <w:r w:rsidR="00605FD6">
        <w:rPr>
          <w:rFonts w:cs="Arial" w:hint="cs"/>
          <w:rtl/>
        </w:rPr>
        <w:t>.</w:t>
      </w:r>
      <w:r w:rsidR="00605FD6" w:rsidRPr="007A228B">
        <w:rPr>
          <w:rFonts w:cs="Arial"/>
          <w:rtl/>
        </w:rPr>
        <w:t xml:space="preserve"> </w:t>
      </w:r>
      <w:r w:rsidR="000214D5" w:rsidRPr="00137671">
        <w:rPr>
          <w:rFonts w:hint="cs"/>
          <w:color w:val="E36C0A" w:themeColor="accent6" w:themeShade="BF"/>
          <w:rtl/>
        </w:rPr>
        <w:t>(וכ"פ בשו"ע)</w:t>
      </w:r>
    </w:p>
    <w:p w14:paraId="5BA07A67" w14:textId="684C1B3E" w:rsidR="000214D5" w:rsidRPr="000214D5" w:rsidRDefault="000214D5" w:rsidP="000214D5">
      <w:pPr>
        <w:rPr>
          <w:u w:val="single"/>
        </w:rPr>
      </w:pPr>
      <w:r w:rsidRPr="000214D5">
        <w:rPr>
          <w:rFonts w:hint="cs"/>
          <w:u w:val="single"/>
          <w:rtl/>
        </w:rPr>
        <w:t>מי שכתב לאשתו שטר חוב בשעת נישואין:</w:t>
      </w:r>
    </w:p>
    <w:p w14:paraId="579E80D8" w14:textId="41860FD2" w:rsidR="001C326D" w:rsidRPr="001C326D" w:rsidRDefault="000214D5" w:rsidP="009000E3">
      <w:pPr>
        <w:pStyle w:val="ab"/>
        <w:numPr>
          <w:ilvl w:val="0"/>
          <w:numId w:val="47"/>
        </w:numPr>
        <w:rPr>
          <w:rtl/>
        </w:rPr>
      </w:pPr>
      <w:r w:rsidRPr="000214D5">
        <w:rPr>
          <w:rFonts w:cs="Arial" w:hint="cs"/>
          <w:rtl/>
        </w:rPr>
        <w:t xml:space="preserve">טור </w:t>
      </w:r>
      <w:r w:rsidRPr="000214D5">
        <w:rPr>
          <w:rFonts w:cs="Arial" w:hint="cs"/>
          <w:sz w:val="16"/>
          <w:szCs w:val="16"/>
          <w:rtl/>
        </w:rPr>
        <w:t>(</w:t>
      </w:r>
      <w:r w:rsidR="001C326D" w:rsidRPr="000214D5">
        <w:rPr>
          <w:rFonts w:cs="Arial"/>
          <w:sz w:val="16"/>
          <w:szCs w:val="16"/>
          <w:rtl/>
        </w:rPr>
        <w:t>סי</w:t>
      </w:r>
      <w:r w:rsidRPr="000214D5">
        <w:rPr>
          <w:rFonts w:cs="Arial" w:hint="cs"/>
          <w:sz w:val="16"/>
          <w:szCs w:val="16"/>
          <w:rtl/>
        </w:rPr>
        <w:t>'</w:t>
      </w:r>
      <w:r w:rsidR="001C326D" w:rsidRPr="000214D5">
        <w:rPr>
          <w:rFonts w:cs="Arial"/>
          <w:sz w:val="16"/>
          <w:szCs w:val="16"/>
          <w:rtl/>
        </w:rPr>
        <w:t xml:space="preserve"> קיח</w:t>
      </w:r>
      <w:r w:rsidRPr="000214D5">
        <w:rPr>
          <w:rFonts w:cs="Arial" w:hint="cs"/>
          <w:sz w:val="16"/>
          <w:szCs w:val="16"/>
          <w:rtl/>
        </w:rPr>
        <w:t>, הביאו הב"י)</w:t>
      </w:r>
      <w:r w:rsidRPr="000214D5">
        <w:rPr>
          <w:rFonts w:cs="Arial" w:hint="cs"/>
          <w:rtl/>
        </w:rPr>
        <w:t xml:space="preserve">- </w:t>
      </w:r>
      <w:r w:rsidR="001C326D" w:rsidRPr="000214D5">
        <w:rPr>
          <w:rFonts w:cs="Arial"/>
          <w:rtl/>
        </w:rPr>
        <w:t>יש נוהגים לכתוב שטר חוב לנשותיהם בשעת נישואין</w:t>
      </w:r>
      <w:r>
        <w:rPr>
          <w:rFonts w:cs="Arial" w:hint="cs"/>
          <w:rtl/>
        </w:rPr>
        <w:t>,</w:t>
      </w:r>
      <w:r w:rsidR="001C326D" w:rsidRPr="000214D5">
        <w:rPr>
          <w:rFonts w:cs="Arial"/>
          <w:rtl/>
        </w:rPr>
        <w:t xml:space="preserve"> שמחייבין עצמם בסכום ידוע וקורין לו נדוניא</w:t>
      </w:r>
      <w:r>
        <w:rPr>
          <w:rFonts w:cs="Arial" w:hint="cs"/>
          <w:rtl/>
        </w:rPr>
        <w:t>,</w:t>
      </w:r>
      <w:r w:rsidR="001C326D" w:rsidRPr="000214D5">
        <w:rPr>
          <w:rFonts w:cs="Arial"/>
          <w:rtl/>
        </w:rPr>
        <w:t xml:space="preserve"> ויכולה לגבותו בכל עת שתרצה</w:t>
      </w:r>
      <w:r>
        <w:rPr>
          <w:rFonts w:cs="Arial" w:hint="cs"/>
          <w:rtl/>
        </w:rPr>
        <w:t>.</w:t>
      </w:r>
      <w:r w:rsidR="001C326D" w:rsidRPr="000214D5">
        <w:rPr>
          <w:rFonts w:cs="Arial"/>
          <w:rtl/>
        </w:rPr>
        <w:t xml:space="preserve"> וכתב אדוני אבי הרא"ש ז"ל (שו"ת כלל לט סי' ג) דיש לו דין נכסי מלוג שמנחת החוב ביד בעלה כל זמן שהיא רוצה וכשתרצה תגבנו וילקח בהן קרקע והוא אוכל פירות</w:t>
      </w:r>
      <w:r w:rsidRPr="000214D5">
        <w:rPr>
          <w:rFonts w:cs="Arial" w:hint="cs"/>
          <w:rtl/>
        </w:rPr>
        <w:t>.</w:t>
      </w:r>
      <w:r w:rsidR="001C326D" w:rsidRPr="000214D5">
        <w:rPr>
          <w:rFonts w:cs="Arial"/>
          <w:rtl/>
        </w:rPr>
        <w:t xml:space="preserve"> ולא דמי להא דאמרינן (ב"ב נא:) הנותן מתנה לאשתו קנתה ואין הבעל אוכל פירות</w:t>
      </w:r>
      <w:r w:rsidRPr="000214D5">
        <w:rPr>
          <w:rFonts w:cs="Arial" w:hint="cs"/>
          <w:rtl/>
        </w:rPr>
        <w:t>,</w:t>
      </w:r>
      <w:r w:rsidR="001C326D" w:rsidRPr="000214D5">
        <w:rPr>
          <w:rFonts w:cs="Arial"/>
          <w:rtl/>
        </w:rPr>
        <w:t xml:space="preserve"> דהתם מיירי שנתן לה אחר שנשאה</w:t>
      </w:r>
      <w:r w:rsidRPr="000214D5">
        <w:rPr>
          <w:rFonts w:cs="Arial" w:hint="cs"/>
          <w:rtl/>
        </w:rPr>
        <w:t>,</w:t>
      </w:r>
      <w:r w:rsidR="001C326D" w:rsidRPr="000214D5">
        <w:rPr>
          <w:rFonts w:cs="Arial"/>
          <w:rtl/>
        </w:rPr>
        <w:t xml:space="preserve"> שבעין יפה נותן לה ואינו משייר לעצמו כלום</w:t>
      </w:r>
      <w:r w:rsidRPr="000214D5">
        <w:rPr>
          <w:rFonts w:cs="Arial" w:hint="cs"/>
          <w:rtl/>
        </w:rPr>
        <w:t>,</w:t>
      </w:r>
      <w:r w:rsidR="001C326D" w:rsidRPr="000214D5">
        <w:rPr>
          <w:rFonts w:cs="Arial"/>
          <w:rtl/>
        </w:rPr>
        <w:t xml:space="preserve"> אבל מתנה שכותב לה קודם שישאנה היא באחת משלש שדות שהכניס לה שום משלו (שם מט:)</w:t>
      </w:r>
      <w:r w:rsidRPr="000214D5">
        <w:rPr>
          <w:rFonts w:cs="Arial" w:hint="cs"/>
          <w:rtl/>
        </w:rPr>
        <w:t>,</w:t>
      </w:r>
      <w:r w:rsidR="001C326D" w:rsidRPr="000214D5">
        <w:rPr>
          <w:rFonts w:cs="Arial"/>
          <w:rtl/>
        </w:rPr>
        <w:t xml:space="preserve"> אלא שאותם נקראים שעבוד כתובה</w:t>
      </w:r>
      <w:r w:rsidRPr="000214D5">
        <w:rPr>
          <w:rFonts w:cs="Arial" w:hint="cs"/>
          <w:rtl/>
        </w:rPr>
        <w:t>,</w:t>
      </w:r>
      <w:r w:rsidR="001C326D" w:rsidRPr="000214D5">
        <w:rPr>
          <w:rFonts w:cs="Arial"/>
          <w:rtl/>
        </w:rPr>
        <w:t xml:space="preserve"> ובחוב זה יש לה יפוי כח יותר שתוכל לגבות בכל עת שתרצה וכשתגבנו יחזור נכסי מלוג</w:t>
      </w:r>
      <w:r w:rsidRPr="000214D5">
        <w:rPr>
          <w:rFonts w:cs="Arial" w:hint="cs"/>
          <w:rtl/>
        </w:rPr>
        <w:t>.</w:t>
      </w:r>
    </w:p>
    <w:p w14:paraId="3D776FEE"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0F74F604" w14:textId="78235D6F" w:rsidR="007A3469" w:rsidRDefault="007A3469" w:rsidP="007A3469">
      <w:pPr>
        <w:rPr>
          <w:rtl/>
        </w:rPr>
      </w:pPr>
      <w:r>
        <w:rPr>
          <w:rFonts w:cs="Arial"/>
          <w:rtl/>
        </w:rPr>
        <w:t>ב</w:t>
      </w:r>
      <w:r w:rsidR="00D56151">
        <w:rPr>
          <w:rFonts w:cs="Arial" w:hint="cs"/>
          <w:rtl/>
        </w:rPr>
        <w:t>מה דברים אמורים</w:t>
      </w:r>
      <w:r>
        <w:rPr>
          <w:rFonts w:cs="Arial"/>
          <w:rtl/>
        </w:rPr>
        <w:t xml:space="preserve"> שאינו אוכל פירות המתנה, כשנתן לה אחר שנשאת. אבל אם נתן לה בעודה ארוסה, כיון שנשאה, זכה במתנה זו כשאר נכסי מלוג, ואוכל פירותיה. ואם מן הנשואין נתאלמנה</w:t>
      </w:r>
      <w:r w:rsidR="00D56151">
        <w:rPr>
          <w:rFonts w:cs="Arial" w:hint="cs"/>
          <w:rtl/>
        </w:rPr>
        <w:t>,</w:t>
      </w:r>
      <w:r>
        <w:rPr>
          <w:rFonts w:cs="Arial"/>
          <w:rtl/>
        </w:rPr>
        <w:t xml:space="preserve"> או נתגרשה שלא מחמת מרדה, נוטלת מתנה זו חוץ מכתובתה. </w:t>
      </w:r>
    </w:p>
    <w:p w14:paraId="52A55D83" w14:textId="77777777" w:rsidR="00F46615" w:rsidRDefault="00F46615" w:rsidP="007A3469">
      <w:pPr>
        <w:rPr>
          <w:rtl/>
        </w:rPr>
      </w:pPr>
    </w:p>
    <w:p w14:paraId="150EA3F7" w14:textId="3A5A1CE9" w:rsidR="007A3469" w:rsidRDefault="007A3469" w:rsidP="000F64D0">
      <w:pPr>
        <w:pStyle w:val="2"/>
        <w:rPr>
          <w:rtl/>
        </w:rPr>
      </w:pPr>
      <w:r>
        <w:rPr>
          <w:rtl/>
        </w:rPr>
        <w:t>סעיף ט</w:t>
      </w:r>
      <w:r w:rsidR="000214D5">
        <w:rPr>
          <w:rFonts w:hint="cs"/>
          <w:rtl/>
        </w:rPr>
        <w:t xml:space="preserve">: </w:t>
      </w:r>
      <w:r w:rsidR="002F00EE">
        <w:rPr>
          <w:rFonts w:hint="cs"/>
          <w:rtl/>
        </w:rPr>
        <w:t>המוכר קרקע לאשתו.</w:t>
      </w:r>
    </w:p>
    <w:p w14:paraId="126493DE" w14:textId="6AD0D13A" w:rsidR="002F00EE" w:rsidRDefault="002F00EE" w:rsidP="002F00EE">
      <w:r w:rsidRPr="004602D6">
        <w:rPr>
          <w:rFonts w:cs="Arial" w:hint="cs"/>
          <w:b/>
          <w:bCs/>
          <w:rtl/>
        </w:rPr>
        <w:t xml:space="preserve">בבא </w:t>
      </w:r>
      <w:r>
        <w:rPr>
          <w:rFonts w:cs="Arial" w:hint="cs"/>
          <w:b/>
          <w:bCs/>
          <w:rtl/>
        </w:rPr>
        <w:t>בתרא</w:t>
      </w:r>
      <w:r w:rsidRPr="004602D6">
        <w:rPr>
          <w:rFonts w:cs="Arial" w:hint="cs"/>
          <w:b/>
          <w:bCs/>
          <w:rtl/>
        </w:rPr>
        <w:t xml:space="preserve"> </w:t>
      </w:r>
      <w:r>
        <w:rPr>
          <w:rFonts w:cs="Arial" w:hint="cs"/>
          <w:b/>
          <w:bCs/>
          <w:sz w:val="16"/>
          <w:szCs w:val="16"/>
          <w:rtl/>
        </w:rPr>
        <w:t xml:space="preserve">(פ' חזקת) </w:t>
      </w:r>
      <w:r>
        <w:rPr>
          <w:rFonts w:cs="Arial" w:hint="cs"/>
          <w:b/>
          <w:bCs/>
          <w:rtl/>
        </w:rPr>
        <w:t>נא</w:t>
      </w:r>
      <w:r w:rsidR="00D302B4">
        <w:rPr>
          <w:rStyle w:val="a7"/>
          <w:rFonts w:cs="Arial"/>
          <w:b/>
          <w:bCs/>
          <w:rtl/>
        </w:rPr>
        <w:footnoteReference w:id="918"/>
      </w:r>
      <w:r w:rsidRPr="004602D6">
        <w:rPr>
          <w:rFonts w:cs="Arial" w:hint="cs"/>
          <w:b/>
          <w:bCs/>
          <w:rtl/>
        </w:rPr>
        <w:t xml:space="preserve"> ע"</w:t>
      </w:r>
      <w:r>
        <w:rPr>
          <w:rFonts w:cs="Arial" w:hint="cs"/>
          <w:b/>
          <w:bCs/>
          <w:rtl/>
        </w:rPr>
        <w:t>ב</w:t>
      </w:r>
      <w:r w:rsidRPr="004602D6">
        <w:rPr>
          <w:rFonts w:cs="Arial" w:hint="cs"/>
          <w:b/>
          <w:bCs/>
          <w:rtl/>
        </w:rPr>
        <w:t>:</w:t>
      </w:r>
      <w:r>
        <w:rPr>
          <w:rFonts w:cs="Arial" w:hint="cs"/>
          <w:rtl/>
        </w:rPr>
        <w:t xml:space="preserve"> </w:t>
      </w:r>
      <w:r w:rsidRPr="00F34153">
        <w:rPr>
          <w:rFonts w:cs="Arial"/>
          <w:u w:val="single"/>
          <w:rtl/>
        </w:rPr>
        <w:t>אמר רב</w:t>
      </w:r>
      <w:r w:rsidRPr="00F34153">
        <w:rPr>
          <w:rFonts w:cs="Arial"/>
          <w:rtl/>
        </w:rPr>
        <w:t>: המוכר שדה לאשתו - קנתה, והבעל אוכל פירות, במתנה - קנתה, ואין הבעל אוכל פירות</w:t>
      </w:r>
      <w:r>
        <w:rPr>
          <w:rFonts w:cs="Arial" w:hint="cs"/>
          <w:rtl/>
        </w:rPr>
        <w:t>.</w:t>
      </w:r>
      <w:r w:rsidRPr="00F34153">
        <w:rPr>
          <w:rFonts w:cs="Arial"/>
          <w:rtl/>
        </w:rPr>
        <w:t xml:space="preserve"> </w:t>
      </w:r>
      <w:r w:rsidRPr="00F34153">
        <w:rPr>
          <w:rFonts w:cs="Arial"/>
          <w:u w:val="single"/>
          <w:rtl/>
        </w:rPr>
        <w:t>ורבי אלעזר אמר</w:t>
      </w:r>
      <w:r w:rsidRPr="00F34153">
        <w:rPr>
          <w:rFonts w:cs="Arial"/>
          <w:rtl/>
        </w:rPr>
        <w:t xml:space="preserve">: אחד זה ואחד זה - קנתה, ואין הבעל אוכל פירות. </w:t>
      </w:r>
      <w:r w:rsidRPr="00F34153">
        <w:rPr>
          <w:rFonts w:cs="Arial"/>
          <w:u w:val="single"/>
          <w:rtl/>
        </w:rPr>
        <w:t>עבד רב חסדא</w:t>
      </w:r>
      <w:r w:rsidRPr="00F34153">
        <w:rPr>
          <w:rFonts w:cs="Arial"/>
          <w:rtl/>
        </w:rPr>
        <w:t xml:space="preserve"> עובדא כרבי אלעזר. </w:t>
      </w:r>
      <w:r w:rsidRPr="00F34153">
        <w:rPr>
          <w:rFonts w:cs="Arial"/>
          <w:u w:val="single"/>
          <w:rtl/>
        </w:rPr>
        <w:t>אמרו ליה רבן עוקבא ורבן נחמיה בני בנתיה דרב לרב חסדא</w:t>
      </w:r>
      <w:r w:rsidRPr="00F34153">
        <w:rPr>
          <w:rFonts w:cs="Arial"/>
          <w:rtl/>
        </w:rPr>
        <w:t xml:space="preserve">: שביק מר רברבי ועביד כזוטרי? </w:t>
      </w:r>
      <w:r w:rsidRPr="00F34153">
        <w:rPr>
          <w:rFonts w:cs="Arial"/>
          <w:u w:val="single"/>
          <w:rtl/>
        </w:rPr>
        <w:t>א"ל</w:t>
      </w:r>
      <w:r w:rsidRPr="00F34153">
        <w:rPr>
          <w:rFonts w:cs="Arial"/>
          <w:rtl/>
        </w:rPr>
        <w:t xml:space="preserve">: ואנא נמי כרברבי עבדי, דכי אתא רבין אמר ר' יוחנן: אחד זה ואחד זה - קנתה, ואין הבעל אוכל פירות. </w:t>
      </w:r>
      <w:r w:rsidRPr="00F34153">
        <w:rPr>
          <w:rFonts w:cs="Arial"/>
          <w:u w:val="single"/>
          <w:rtl/>
        </w:rPr>
        <w:t>אמר רבא</w:t>
      </w:r>
      <w:r>
        <w:rPr>
          <w:rFonts w:cs="Arial" w:hint="cs"/>
          <w:rtl/>
        </w:rPr>
        <w:t>:</w:t>
      </w:r>
      <w:r w:rsidRPr="00F34153">
        <w:rPr>
          <w:rFonts w:cs="Arial"/>
          <w:rtl/>
        </w:rPr>
        <w:t xml:space="preserve"> הלכתא</w:t>
      </w:r>
      <w:r>
        <w:rPr>
          <w:rFonts w:cs="Arial" w:hint="cs"/>
          <w:rtl/>
        </w:rPr>
        <w:t>,</w:t>
      </w:r>
      <w:r w:rsidRPr="00F34153">
        <w:rPr>
          <w:rFonts w:cs="Arial"/>
          <w:rtl/>
        </w:rPr>
        <w:t xml:space="preserve"> המוכר שדה לאשתו - לא קנתה, והבעל אוכל פירות</w:t>
      </w:r>
      <w:r>
        <w:rPr>
          <w:rFonts w:cs="Arial" w:hint="cs"/>
          <w:rtl/>
        </w:rPr>
        <w:t>.</w:t>
      </w:r>
      <w:r w:rsidRPr="00F34153">
        <w:rPr>
          <w:rFonts w:cs="Arial"/>
          <w:rtl/>
        </w:rPr>
        <w:t xml:space="preserve"> במתנה - קנתה, ואין הבעל אוכל פירות.</w:t>
      </w:r>
      <w:r w:rsidRPr="002F00EE">
        <w:rPr>
          <w:rtl/>
        </w:rPr>
        <w:t xml:space="preserve"> </w:t>
      </w:r>
      <w:r w:rsidRPr="002F00EE">
        <w:rPr>
          <w:rFonts w:cs="Arial"/>
          <w:rtl/>
        </w:rPr>
        <w:t>תרתי</w:t>
      </w:r>
      <w:r w:rsidR="00C10D4B">
        <w:rPr>
          <w:rStyle w:val="a7"/>
          <w:rFonts w:cs="Arial"/>
          <w:rtl/>
        </w:rPr>
        <w:footnoteReference w:id="919"/>
      </w:r>
      <w:r w:rsidRPr="002F00EE">
        <w:rPr>
          <w:rFonts w:cs="Arial"/>
          <w:rtl/>
        </w:rPr>
        <w:t>? לא קשיא: כאן במעות טמונין</w:t>
      </w:r>
      <w:r w:rsidR="00155053">
        <w:rPr>
          <w:rStyle w:val="a7"/>
          <w:rFonts w:cs="Arial"/>
          <w:rtl/>
        </w:rPr>
        <w:footnoteReference w:id="920"/>
      </w:r>
      <w:r w:rsidRPr="002F00EE">
        <w:rPr>
          <w:rFonts w:cs="Arial"/>
          <w:rtl/>
        </w:rPr>
        <w:t>,</w:t>
      </w:r>
      <w:r w:rsidR="00155053" w:rsidRPr="00155053">
        <w:rPr>
          <w:rStyle w:val="a7"/>
          <w:rFonts w:cs="Arial"/>
          <w:rtl/>
        </w:rPr>
        <w:t xml:space="preserve"> </w:t>
      </w:r>
      <w:r w:rsidRPr="002F00EE">
        <w:rPr>
          <w:rFonts w:cs="Arial"/>
          <w:rtl/>
        </w:rPr>
        <w:t>כאן במעות שאין טמונין</w:t>
      </w:r>
      <w:r w:rsidR="00155053">
        <w:rPr>
          <w:rStyle w:val="a7"/>
          <w:rFonts w:cs="Arial"/>
          <w:rtl/>
        </w:rPr>
        <w:footnoteReference w:id="921"/>
      </w:r>
      <w:r w:rsidRPr="002F00EE">
        <w:rPr>
          <w:rFonts w:cs="Arial"/>
          <w:rtl/>
        </w:rPr>
        <w:t xml:space="preserve">, </w:t>
      </w:r>
      <w:r w:rsidRPr="002F00EE">
        <w:rPr>
          <w:rFonts w:cs="Arial"/>
          <w:u w:val="single"/>
          <w:rtl/>
        </w:rPr>
        <w:t>דאמר רב יהודה</w:t>
      </w:r>
      <w:r w:rsidRPr="002F00EE">
        <w:rPr>
          <w:rFonts w:cs="Arial"/>
          <w:rtl/>
        </w:rPr>
        <w:t>: מעות טמונין - לא קנתה, מעות שאינן טמונין - קנתה.</w:t>
      </w:r>
      <w:r w:rsidR="00155053">
        <w:rPr>
          <w:rFonts w:hint="cs"/>
          <w:rtl/>
        </w:rPr>
        <w:t xml:space="preserve"> </w:t>
      </w:r>
    </w:p>
    <w:p w14:paraId="54F3F9FF" w14:textId="57F91E3B" w:rsidR="000214D5" w:rsidRPr="002F00EE" w:rsidRDefault="002F00EE" w:rsidP="000214D5">
      <w:pPr>
        <w:rPr>
          <w:u w:val="single"/>
          <w:rtl/>
        </w:rPr>
      </w:pPr>
      <w:r w:rsidRPr="002F00EE">
        <w:rPr>
          <w:rFonts w:hint="cs"/>
          <w:u w:val="single"/>
          <w:rtl/>
        </w:rPr>
        <w:t>המוכר קרקע לאשתו:</w:t>
      </w:r>
    </w:p>
    <w:p w14:paraId="79BCD1F1" w14:textId="6CB14CB5" w:rsidR="002F00EE" w:rsidRDefault="00605FD6" w:rsidP="009000E3">
      <w:pPr>
        <w:pStyle w:val="ab"/>
        <w:numPr>
          <w:ilvl w:val="0"/>
          <w:numId w:val="47"/>
        </w:numPr>
      </w:pPr>
      <w:r>
        <w:rPr>
          <w:rFonts w:cs="Arial" w:hint="cs"/>
          <w:rtl/>
        </w:rPr>
        <w:t xml:space="preserve">טור- </w:t>
      </w:r>
      <w:r w:rsidRPr="007A228B">
        <w:rPr>
          <w:rFonts w:cs="Arial"/>
          <w:rtl/>
        </w:rPr>
        <w:t>מכר לה קרקע</w:t>
      </w:r>
      <w:r w:rsidR="002F00EE">
        <w:rPr>
          <w:rFonts w:cs="Arial" w:hint="cs"/>
          <w:rtl/>
        </w:rPr>
        <w:t>,</w:t>
      </w:r>
      <w:r w:rsidRPr="007A228B">
        <w:rPr>
          <w:rFonts w:cs="Arial"/>
          <w:rtl/>
        </w:rPr>
        <w:t xml:space="preserve"> אם היו המעות שקנתה בהן הקרקע גלויים וידועים לו</w:t>
      </w:r>
      <w:r w:rsidR="002F00EE">
        <w:rPr>
          <w:rFonts w:cs="Arial" w:hint="cs"/>
          <w:rtl/>
        </w:rPr>
        <w:t xml:space="preserve"> -</w:t>
      </w:r>
      <w:r w:rsidRPr="007A228B">
        <w:rPr>
          <w:rFonts w:cs="Arial"/>
          <w:rtl/>
        </w:rPr>
        <w:t xml:space="preserve"> קנתה</w:t>
      </w:r>
      <w:r w:rsidR="002F00EE">
        <w:rPr>
          <w:rFonts w:cs="Arial" w:hint="cs"/>
          <w:rtl/>
        </w:rPr>
        <w:t>,</w:t>
      </w:r>
      <w:r w:rsidRPr="007A228B">
        <w:rPr>
          <w:rFonts w:cs="Arial"/>
          <w:rtl/>
        </w:rPr>
        <w:t xml:space="preserve"> והבעל אוכל פירות</w:t>
      </w:r>
      <w:r w:rsidR="002F00EE">
        <w:rPr>
          <w:rFonts w:cs="Arial" w:hint="cs"/>
          <w:rtl/>
        </w:rPr>
        <w:t>.</w:t>
      </w:r>
      <w:r w:rsidRPr="007A228B">
        <w:rPr>
          <w:rFonts w:cs="Arial"/>
          <w:rtl/>
        </w:rPr>
        <w:t xml:space="preserve"> ואם לא היו המעות גלוים לו </w:t>
      </w:r>
      <w:r w:rsidR="002F00EE">
        <w:rPr>
          <w:rFonts w:cs="Arial" w:hint="cs"/>
          <w:rtl/>
        </w:rPr>
        <w:t xml:space="preserve">- </w:t>
      </w:r>
      <w:r w:rsidRPr="007A228B">
        <w:rPr>
          <w:rFonts w:cs="Arial"/>
          <w:rtl/>
        </w:rPr>
        <w:t>לא קנתה</w:t>
      </w:r>
      <w:r w:rsidR="002F00EE">
        <w:rPr>
          <w:rFonts w:cs="Arial" w:hint="cs"/>
          <w:rtl/>
        </w:rPr>
        <w:t>,</w:t>
      </w:r>
      <w:r w:rsidRPr="007A228B">
        <w:rPr>
          <w:rFonts w:cs="Arial"/>
          <w:rtl/>
        </w:rPr>
        <w:t xml:space="preserve"> שלא כיון במכירתו אלא להוציא המעות מידה</w:t>
      </w:r>
      <w:r w:rsidR="002F00EE">
        <w:rPr>
          <w:rFonts w:cs="Arial" w:hint="cs"/>
          <w:rtl/>
        </w:rPr>
        <w:t>,</w:t>
      </w:r>
      <w:r w:rsidRPr="007A228B">
        <w:rPr>
          <w:rFonts w:cs="Arial"/>
          <w:rtl/>
        </w:rPr>
        <w:t xml:space="preserve"> וכיון שנתגלו לו יקחם</w:t>
      </w:r>
      <w:r w:rsidR="00CD2EA5">
        <w:rPr>
          <w:rStyle w:val="a7"/>
          <w:rFonts w:cs="Arial"/>
          <w:rtl/>
        </w:rPr>
        <w:footnoteReference w:id="922"/>
      </w:r>
      <w:r w:rsidRPr="007A228B">
        <w:rPr>
          <w:rFonts w:cs="Arial"/>
          <w:rtl/>
        </w:rPr>
        <w:t xml:space="preserve"> עם הקרקע</w:t>
      </w:r>
      <w:r w:rsidR="002F00EE">
        <w:rPr>
          <w:rFonts w:cs="Arial" w:hint="cs"/>
          <w:rtl/>
        </w:rPr>
        <w:t>.</w:t>
      </w:r>
      <w:r w:rsidR="009853E1">
        <w:rPr>
          <w:rFonts w:hint="cs"/>
          <w:rtl/>
        </w:rPr>
        <w:t xml:space="preserve"> </w:t>
      </w:r>
      <w:r w:rsidR="00C26D5A" w:rsidRPr="009853E1">
        <w:rPr>
          <w:rFonts w:hint="cs"/>
          <w:color w:val="00B0F0"/>
          <w:rtl/>
        </w:rPr>
        <w:t>(וכ"</w:t>
      </w:r>
      <w:r w:rsidR="00C26D5A">
        <w:rPr>
          <w:rFonts w:hint="cs"/>
          <w:color w:val="00B0F0"/>
          <w:rtl/>
        </w:rPr>
        <w:t>כ</w:t>
      </w:r>
      <w:r w:rsidR="00C26D5A" w:rsidRPr="009853E1">
        <w:rPr>
          <w:rFonts w:hint="cs"/>
          <w:color w:val="00B0F0"/>
          <w:rtl/>
        </w:rPr>
        <w:t xml:space="preserve"> הרמ"א)</w:t>
      </w:r>
    </w:p>
    <w:p w14:paraId="7D121913" w14:textId="2E53675B" w:rsidR="00155053" w:rsidRDefault="00155053" w:rsidP="009000E3">
      <w:pPr>
        <w:pStyle w:val="ab"/>
        <w:numPr>
          <w:ilvl w:val="0"/>
          <w:numId w:val="47"/>
        </w:numPr>
      </w:pPr>
      <w:r>
        <w:rPr>
          <w:rFonts w:cs="Arial" w:hint="cs"/>
          <w:rtl/>
        </w:rPr>
        <w:t xml:space="preserve">רמב"ם </w:t>
      </w:r>
      <w:r>
        <w:rPr>
          <w:rFonts w:cs="Arial" w:hint="cs"/>
          <w:sz w:val="16"/>
          <w:szCs w:val="16"/>
          <w:rtl/>
        </w:rPr>
        <w:t>(פכ"ב מאישות הכ"ט)</w:t>
      </w:r>
      <w:r>
        <w:rPr>
          <w:rFonts w:cs="Arial" w:hint="cs"/>
          <w:rtl/>
        </w:rPr>
        <w:t xml:space="preserve">- </w:t>
      </w:r>
      <w:r w:rsidRPr="00155053">
        <w:rPr>
          <w:rFonts w:cs="Arial"/>
          <w:rtl/>
        </w:rPr>
        <w:t xml:space="preserve">המוכר קרקע לאשתו, אם היו המעות שלקחה בהן את הקרקע מבעלה גלויין וידועין לבעל </w:t>
      </w:r>
      <w:r>
        <w:rPr>
          <w:rFonts w:cs="Arial" w:hint="cs"/>
          <w:rtl/>
        </w:rPr>
        <w:t xml:space="preserve">- </w:t>
      </w:r>
      <w:r w:rsidRPr="00155053">
        <w:rPr>
          <w:rFonts w:cs="Arial"/>
          <w:rtl/>
        </w:rPr>
        <w:t>קנת</w:t>
      </w:r>
      <w:r>
        <w:rPr>
          <w:rFonts w:cs="Arial" w:hint="cs"/>
          <w:rtl/>
        </w:rPr>
        <w:t>,</w:t>
      </w:r>
      <w:r w:rsidRPr="00155053">
        <w:rPr>
          <w:rFonts w:cs="Arial"/>
          <w:rtl/>
        </w:rPr>
        <w:t xml:space="preserve"> והבעל אוכל פירות אותה קרקע</w:t>
      </w:r>
      <w:r>
        <w:rPr>
          <w:rFonts w:cs="Arial" w:hint="cs"/>
          <w:rtl/>
        </w:rPr>
        <w:t>.</w:t>
      </w:r>
      <w:r w:rsidRPr="00155053">
        <w:rPr>
          <w:rFonts w:cs="Arial"/>
          <w:rtl/>
        </w:rPr>
        <w:t xml:space="preserve"> ואם היו מעות טמונין </w:t>
      </w:r>
      <w:r>
        <w:rPr>
          <w:rFonts w:cs="Arial" w:hint="cs"/>
          <w:rtl/>
        </w:rPr>
        <w:t xml:space="preserve">- </w:t>
      </w:r>
      <w:r w:rsidRPr="00155053">
        <w:rPr>
          <w:rFonts w:cs="Arial"/>
          <w:rtl/>
        </w:rPr>
        <w:t>לא קנת</w:t>
      </w:r>
      <w:r>
        <w:rPr>
          <w:rFonts w:cs="Arial" w:hint="cs"/>
          <w:rtl/>
        </w:rPr>
        <w:t>,</w:t>
      </w:r>
      <w:r w:rsidRPr="00155053">
        <w:rPr>
          <w:rFonts w:cs="Arial"/>
          <w:rtl/>
        </w:rPr>
        <w:t xml:space="preserve"> שהבעל אומר לא מכרתי אלא כדי להראות המעות שטמנה, ואותן המעות שנראו ילקח בהן קרקע והבעל אוכל פירות</w:t>
      </w:r>
      <w:r w:rsidR="009853E1">
        <w:rPr>
          <w:rStyle w:val="a7"/>
          <w:rFonts w:cs="Arial"/>
          <w:rtl/>
        </w:rPr>
        <w:footnoteReference w:id="923"/>
      </w:r>
      <w:r w:rsidRPr="00155053">
        <w:rPr>
          <w:rFonts w:cs="Arial"/>
          <w:rtl/>
        </w:rPr>
        <w:t>.</w:t>
      </w:r>
      <w:r w:rsidR="009853E1">
        <w:rPr>
          <w:rFonts w:cs="Arial" w:hint="cs"/>
          <w:rtl/>
        </w:rPr>
        <w:t xml:space="preserve"> </w:t>
      </w:r>
      <w:r w:rsidR="009853E1" w:rsidRPr="00137671">
        <w:rPr>
          <w:rFonts w:hint="cs"/>
          <w:color w:val="E36C0A" w:themeColor="accent6" w:themeShade="BF"/>
          <w:rtl/>
        </w:rPr>
        <w:t>(וכ"פ בשו"ע)</w:t>
      </w:r>
    </w:p>
    <w:p w14:paraId="000321CD" w14:textId="3DF421E8" w:rsidR="004F3EEF" w:rsidRPr="004F3EEF" w:rsidRDefault="00CD2EA5" w:rsidP="004F3EEF">
      <w:pPr>
        <w:ind w:left="360"/>
        <w:rPr>
          <w:u w:val="dotted"/>
        </w:rPr>
      </w:pPr>
      <w:r>
        <w:rPr>
          <w:rFonts w:hint="cs"/>
          <w:u w:val="dotted"/>
          <w:rtl/>
        </w:rPr>
        <w:lastRenderedPageBreak/>
        <w:t xml:space="preserve">לטור וסיעתו - </w:t>
      </w:r>
      <w:r w:rsidR="0000251A">
        <w:rPr>
          <w:rFonts w:hint="cs"/>
          <w:u w:val="dotted"/>
          <w:rtl/>
        </w:rPr>
        <w:t>האם מדובר שהבעל טוען טענת ברי או שמא</w:t>
      </w:r>
      <w:r w:rsidR="004F3EEF" w:rsidRPr="004F3EEF">
        <w:rPr>
          <w:rFonts w:hint="cs"/>
          <w:u w:val="dotted"/>
          <w:rtl/>
        </w:rPr>
        <w:t>:</w:t>
      </w:r>
    </w:p>
    <w:p w14:paraId="70CD7339" w14:textId="0CF7236D" w:rsidR="0075102A" w:rsidRDefault="00605FD6" w:rsidP="009000E3">
      <w:pPr>
        <w:pStyle w:val="ab"/>
        <w:numPr>
          <w:ilvl w:val="0"/>
          <w:numId w:val="47"/>
        </w:numPr>
      </w:pPr>
      <w:r w:rsidRPr="007A228B">
        <w:rPr>
          <w:rFonts w:cs="Arial"/>
          <w:rtl/>
        </w:rPr>
        <w:t xml:space="preserve">ה"ר יונה </w:t>
      </w:r>
      <w:r w:rsidR="00C10D4B" w:rsidRPr="00C10D4B">
        <w:rPr>
          <w:rFonts w:cs="Arial"/>
          <w:sz w:val="16"/>
          <w:szCs w:val="16"/>
          <w:rtl/>
        </w:rPr>
        <w:t>(בעליותיו ב"ב נא: סוד"ה ת"ר)</w:t>
      </w:r>
      <w:r w:rsidR="00C10D4B">
        <w:rPr>
          <w:rFonts w:cs="Arial" w:hint="cs"/>
          <w:rtl/>
        </w:rPr>
        <w:t>-</w:t>
      </w:r>
      <w:r w:rsidRPr="007A228B">
        <w:rPr>
          <w:rFonts w:cs="Arial"/>
          <w:rtl/>
        </w:rPr>
        <w:t xml:space="preserve"> דוקא דקא טען טענת ברי דידי אינון</w:t>
      </w:r>
      <w:r w:rsidR="006821C4">
        <w:rPr>
          <w:rFonts w:cs="Arial" w:hint="cs"/>
          <w:rtl/>
        </w:rPr>
        <w:t>,</w:t>
      </w:r>
      <w:r w:rsidRPr="007A228B">
        <w:rPr>
          <w:rFonts w:cs="Arial"/>
          <w:rtl/>
        </w:rPr>
        <w:t xml:space="preserve"> אבל אי טענה איהי טענת ברי שהן שלה והוא טוען טענת שמא </w:t>
      </w:r>
      <w:r w:rsidR="006821C4">
        <w:rPr>
          <w:rFonts w:cs="Arial" w:hint="cs"/>
          <w:rtl/>
        </w:rPr>
        <w:t xml:space="preserve">- </w:t>
      </w:r>
      <w:r w:rsidRPr="007A228B">
        <w:rPr>
          <w:rFonts w:cs="Arial"/>
          <w:rtl/>
        </w:rPr>
        <w:t>צריך להחזירם לה</w:t>
      </w:r>
      <w:r w:rsidR="006821C4">
        <w:rPr>
          <w:rFonts w:cs="Arial" w:hint="cs"/>
          <w:rtl/>
        </w:rPr>
        <w:t>,</w:t>
      </w:r>
      <w:r w:rsidRPr="007A228B">
        <w:rPr>
          <w:rFonts w:cs="Arial"/>
          <w:rtl/>
        </w:rPr>
        <w:t xml:space="preserve"> דכי אמרינן לגלויי זוזי הוא דבעי היינו דוקא בטוען ברי כך וכך יש לה משלי</w:t>
      </w:r>
      <w:r w:rsidR="006821C4">
        <w:rPr>
          <w:rFonts w:cs="Arial" w:hint="cs"/>
          <w:rtl/>
        </w:rPr>
        <w:t>,</w:t>
      </w:r>
      <w:r w:rsidRPr="007A228B">
        <w:rPr>
          <w:rFonts w:cs="Arial"/>
          <w:rtl/>
        </w:rPr>
        <w:t xml:space="preserve"> אבל כשטוען שמא</w:t>
      </w:r>
      <w:r w:rsidR="006821C4">
        <w:rPr>
          <w:rFonts w:cs="Arial" w:hint="cs"/>
          <w:rtl/>
        </w:rPr>
        <w:t xml:space="preserve"> </w:t>
      </w:r>
      <w:r w:rsidRPr="007A228B">
        <w:rPr>
          <w:rFonts w:cs="Arial"/>
          <w:rtl/>
        </w:rPr>
        <w:t>צריך להחזירם לה</w:t>
      </w:r>
      <w:r w:rsidR="006821C4">
        <w:rPr>
          <w:rFonts w:cs="Arial" w:hint="cs"/>
          <w:rtl/>
        </w:rPr>
        <w:t>,</w:t>
      </w:r>
      <w:r w:rsidRPr="007A228B">
        <w:rPr>
          <w:rFonts w:cs="Arial"/>
          <w:rtl/>
        </w:rPr>
        <w:t xml:space="preserve"> וילקח בהם קרקע והוא אוכל פירות</w:t>
      </w:r>
      <w:r w:rsidR="00C10D4B">
        <w:rPr>
          <w:rFonts w:cs="Arial" w:hint="cs"/>
          <w:sz w:val="16"/>
          <w:szCs w:val="16"/>
          <w:rtl/>
        </w:rPr>
        <w:t xml:space="preserve"> (ל' הטור בשמו)</w:t>
      </w:r>
      <w:r>
        <w:rPr>
          <w:rFonts w:cs="Arial" w:hint="cs"/>
          <w:rtl/>
        </w:rPr>
        <w:t>.</w:t>
      </w:r>
      <w:r w:rsidR="00C26D5A" w:rsidRPr="00C26D5A">
        <w:rPr>
          <w:rFonts w:hint="cs"/>
          <w:color w:val="00B0F0"/>
          <w:rtl/>
        </w:rPr>
        <w:t xml:space="preserve"> </w:t>
      </w:r>
      <w:r w:rsidR="00C26D5A" w:rsidRPr="009853E1">
        <w:rPr>
          <w:rFonts w:hint="cs"/>
          <w:color w:val="00B0F0"/>
          <w:rtl/>
        </w:rPr>
        <w:t>(וכ"</w:t>
      </w:r>
      <w:r w:rsidR="00C26D5A">
        <w:rPr>
          <w:rFonts w:hint="cs"/>
          <w:color w:val="00B0F0"/>
          <w:rtl/>
        </w:rPr>
        <w:t>כ</w:t>
      </w:r>
      <w:r w:rsidR="00C26D5A" w:rsidRPr="009853E1">
        <w:rPr>
          <w:rFonts w:hint="cs"/>
          <w:color w:val="00B0F0"/>
          <w:rtl/>
        </w:rPr>
        <w:t xml:space="preserve"> הרמ"א)</w:t>
      </w:r>
    </w:p>
    <w:p w14:paraId="78B996EA" w14:textId="7B3ACDD4" w:rsidR="0075102A" w:rsidRPr="0075102A" w:rsidRDefault="009825C5" w:rsidP="0075102A">
      <w:pPr>
        <w:ind w:left="360"/>
        <w:rPr>
          <w:u w:val="dotted"/>
        </w:rPr>
      </w:pPr>
      <w:r>
        <w:rPr>
          <w:rFonts w:hint="cs"/>
          <w:u w:val="dotted"/>
          <w:rtl/>
        </w:rPr>
        <w:t>לטור וסיעתו - כשטוענת ברי וצריך להחזיר לה המעות, האם עדיין אמרינן שלא קנתה:</w:t>
      </w:r>
    </w:p>
    <w:p w14:paraId="7C293D25" w14:textId="1A79A521" w:rsidR="001C326D" w:rsidRDefault="0075102A" w:rsidP="009000E3">
      <w:pPr>
        <w:pStyle w:val="ab"/>
        <w:numPr>
          <w:ilvl w:val="0"/>
          <w:numId w:val="47"/>
        </w:numPr>
        <w:rPr>
          <w:rtl/>
        </w:rPr>
      </w:pPr>
      <w:r>
        <w:rPr>
          <w:rFonts w:cs="Arial"/>
          <w:rtl/>
        </w:rPr>
        <w:t xml:space="preserve">רמב"ן </w:t>
      </w:r>
      <w:r w:rsidRPr="0075102A">
        <w:rPr>
          <w:rFonts w:cs="Arial" w:hint="cs"/>
          <w:sz w:val="16"/>
          <w:szCs w:val="16"/>
          <w:rtl/>
        </w:rPr>
        <w:t>(</w:t>
      </w:r>
      <w:r w:rsidRPr="0075102A">
        <w:rPr>
          <w:rFonts w:cs="Arial"/>
          <w:sz w:val="16"/>
          <w:szCs w:val="16"/>
          <w:rtl/>
        </w:rPr>
        <w:t>פ</w:t>
      </w:r>
      <w:r w:rsidRPr="0075102A">
        <w:rPr>
          <w:rFonts w:cs="Arial" w:hint="cs"/>
          <w:sz w:val="16"/>
          <w:szCs w:val="16"/>
          <w:rtl/>
        </w:rPr>
        <w:t>'</w:t>
      </w:r>
      <w:r w:rsidRPr="0075102A">
        <w:rPr>
          <w:rFonts w:cs="Arial"/>
          <w:sz w:val="16"/>
          <w:szCs w:val="16"/>
          <w:rtl/>
        </w:rPr>
        <w:t xml:space="preserve"> חזקת הבתים נא: סוד"ה מן האשה)</w:t>
      </w:r>
      <w:r>
        <w:rPr>
          <w:rFonts w:cs="Arial" w:hint="cs"/>
          <w:rtl/>
        </w:rPr>
        <w:t>-</w:t>
      </w:r>
      <w:r>
        <w:rPr>
          <w:rFonts w:cs="Arial"/>
          <w:rtl/>
        </w:rPr>
        <w:t xml:space="preserve"> והא דאמרינן במעות טמונים </w:t>
      </w:r>
      <w:r>
        <w:rPr>
          <w:rFonts w:cs="Arial" w:hint="cs"/>
          <w:rtl/>
        </w:rPr>
        <w:t>'</w:t>
      </w:r>
      <w:r>
        <w:rPr>
          <w:rFonts w:cs="Arial"/>
          <w:rtl/>
        </w:rPr>
        <w:t>לא קנתה</w:t>
      </w:r>
      <w:r>
        <w:rPr>
          <w:rFonts w:cs="Arial" w:hint="cs"/>
          <w:rtl/>
        </w:rPr>
        <w:t>' -</w:t>
      </w:r>
      <w:r>
        <w:rPr>
          <w:rFonts w:cs="Arial"/>
          <w:rtl/>
        </w:rPr>
        <w:t xml:space="preserve"> כלל קאמרינן</w:t>
      </w:r>
      <w:r>
        <w:rPr>
          <w:rFonts w:cs="Arial" w:hint="cs"/>
          <w:rtl/>
        </w:rPr>
        <w:t>,</w:t>
      </w:r>
      <w:r>
        <w:rPr>
          <w:rFonts w:cs="Arial"/>
          <w:rtl/>
        </w:rPr>
        <w:t xml:space="preserve"> ואפילו בטוענת שלי הם</w:t>
      </w:r>
      <w:r>
        <w:rPr>
          <w:rFonts w:cs="Arial" w:hint="cs"/>
          <w:rtl/>
        </w:rPr>
        <w:t>.</w:t>
      </w:r>
      <w:r>
        <w:rPr>
          <w:rFonts w:cs="Arial"/>
          <w:rtl/>
        </w:rPr>
        <w:t xml:space="preserve"> ולאו למימרא דמצי אמר איהו שלי הם</w:t>
      </w:r>
      <w:r>
        <w:rPr>
          <w:rFonts w:cs="Arial" w:hint="cs"/>
          <w:rtl/>
        </w:rPr>
        <w:t>,</w:t>
      </w:r>
      <w:r>
        <w:rPr>
          <w:rFonts w:cs="Arial"/>
          <w:rtl/>
        </w:rPr>
        <w:t xml:space="preserve"> אלא שאם לא טענה איהי במתנה נתנו לי</w:t>
      </w:r>
      <w:r>
        <w:rPr>
          <w:rFonts w:cs="Arial" w:hint="cs"/>
          <w:rtl/>
        </w:rPr>
        <w:t xml:space="preserve"> -</w:t>
      </w:r>
      <w:r>
        <w:rPr>
          <w:rFonts w:cs="Arial"/>
          <w:rtl/>
        </w:rPr>
        <w:t xml:space="preserve"> אין מוציאין מידו</w:t>
      </w:r>
      <w:r w:rsidR="009825C5">
        <w:rPr>
          <w:rFonts w:cs="Arial" w:hint="cs"/>
          <w:rtl/>
        </w:rPr>
        <w:t>.</w:t>
      </w:r>
      <w:r>
        <w:rPr>
          <w:rFonts w:cs="Arial"/>
          <w:rtl/>
        </w:rPr>
        <w:t xml:space="preserve"> ובין שטענה ובין שלא טענה </w:t>
      </w:r>
      <w:r>
        <w:rPr>
          <w:rFonts w:cs="Arial" w:hint="cs"/>
          <w:rtl/>
        </w:rPr>
        <w:t xml:space="preserve">- </w:t>
      </w:r>
      <w:r>
        <w:rPr>
          <w:rFonts w:cs="Arial"/>
          <w:rtl/>
        </w:rPr>
        <w:t>המכר בטל</w:t>
      </w:r>
      <w:r>
        <w:rPr>
          <w:rFonts w:cs="Arial" w:hint="cs"/>
          <w:rtl/>
        </w:rPr>
        <w:t>,</w:t>
      </w:r>
      <w:r>
        <w:rPr>
          <w:rFonts w:cs="Arial"/>
          <w:rtl/>
        </w:rPr>
        <w:t xml:space="preserve"> דאיהו לגלויי זוזי הוא דעבד</w:t>
      </w:r>
      <w:r>
        <w:rPr>
          <w:rFonts w:cs="Arial" w:hint="cs"/>
          <w:rtl/>
        </w:rPr>
        <w:t>,</w:t>
      </w:r>
      <w:r>
        <w:rPr>
          <w:rFonts w:cs="Arial"/>
          <w:rtl/>
        </w:rPr>
        <w:t xml:space="preserve"> ועדיין הוא טוען דשלו הן</w:t>
      </w:r>
      <w:r w:rsidR="009825C5">
        <w:rPr>
          <w:rStyle w:val="a7"/>
          <w:rFonts w:cs="Arial"/>
          <w:rtl/>
        </w:rPr>
        <w:footnoteReference w:id="924"/>
      </w:r>
      <w:r>
        <w:rPr>
          <w:rFonts w:cs="Arial" w:hint="cs"/>
          <w:rtl/>
        </w:rPr>
        <w:t>.</w:t>
      </w:r>
      <w:r w:rsidR="009825C5">
        <w:rPr>
          <w:rFonts w:cs="Arial" w:hint="cs"/>
          <w:rtl/>
        </w:rPr>
        <w:t>.</w:t>
      </w:r>
      <w:r>
        <w:rPr>
          <w:rFonts w:cs="Arial" w:hint="cs"/>
          <w:rtl/>
        </w:rPr>
        <w:t>.</w:t>
      </w:r>
      <w:r>
        <w:rPr>
          <w:rFonts w:cs="Arial"/>
          <w:rtl/>
        </w:rPr>
        <w:t xml:space="preserve"> אבל אם טענה האשה דשלה היו</w:t>
      </w:r>
      <w:r>
        <w:rPr>
          <w:rFonts w:cs="Arial" w:hint="cs"/>
          <w:rtl/>
        </w:rPr>
        <w:t>,</w:t>
      </w:r>
      <w:r>
        <w:rPr>
          <w:rFonts w:cs="Arial"/>
          <w:rtl/>
        </w:rPr>
        <w:t xml:space="preserve"> אם אינה נושאת ונותנת בתוך הבית </w:t>
      </w:r>
      <w:r>
        <w:rPr>
          <w:rFonts w:cs="Arial" w:hint="cs"/>
          <w:rtl/>
        </w:rPr>
        <w:t xml:space="preserve">- </w:t>
      </w:r>
      <w:r>
        <w:rPr>
          <w:rFonts w:cs="Arial"/>
          <w:rtl/>
        </w:rPr>
        <w:t>הדין עמה</w:t>
      </w:r>
      <w:r>
        <w:rPr>
          <w:rFonts w:cs="Arial" w:hint="cs"/>
          <w:rtl/>
        </w:rPr>
        <w:t>.</w:t>
      </w:r>
      <w:r>
        <w:rPr>
          <w:rFonts w:cs="Arial"/>
          <w:rtl/>
        </w:rPr>
        <w:t xml:space="preserve"> ויש שסוברים דבמכר כיון שתפס הבעל המעות מן הסתם שלו הן</w:t>
      </w:r>
      <w:r>
        <w:rPr>
          <w:rFonts w:cs="Arial" w:hint="cs"/>
          <w:rtl/>
        </w:rPr>
        <w:t>,</w:t>
      </w:r>
      <w:r>
        <w:rPr>
          <w:rFonts w:cs="Arial"/>
          <w:rtl/>
        </w:rPr>
        <w:t xml:space="preserve"> ושוב אינה נאמנת לומר נכסי מלוג הם שאילו בעודם בידה טענה נאמנת</w:t>
      </w:r>
      <w:r>
        <w:rPr>
          <w:rFonts w:cs="Arial" w:hint="cs"/>
          <w:rtl/>
        </w:rPr>
        <w:t>,</w:t>
      </w:r>
      <w:r>
        <w:rPr>
          <w:rFonts w:cs="Arial"/>
          <w:rtl/>
        </w:rPr>
        <w:t xml:space="preserve"> וליכא למימר לגלויי זוזי הוא דעבד</w:t>
      </w:r>
      <w:r>
        <w:rPr>
          <w:rFonts w:cs="Arial" w:hint="cs"/>
          <w:rtl/>
        </w:rPr>
        <w:t>.</w:t>
      </w:r>
      <w:r w:rsidR="00605FD6" w:rsidRPr="007A228B">
        <w:rPr>
          <w:rFonts w:cs="Arial"/>
          <w:rtl/>
        </w:rPr>
        <w:t xml:space="preserve"> </w:t>
      </w:r>
    </w:p>
    <w:p w14:paraId="30203BE8" w14:textId="77777777" w:rsidR="00777F99" w:rsidRPr="008F55F8" w:rsidRDefault="00777F99" w:rsidP="00777F99">
      <w:pPr>
        <w:rPr>
          <w:rFonts w:cs="Arial"/>
          <w:u w:val="single"/>
        </w:rPr>
      </w:pPr>
      <w:r w:rsidRPr="008F55F8">
        <w:rPr>
          <w:rFonts w:cs="Arial"/>
          <w:u w:val="single"/>
          <w:rtl/>
        </w:rPr>
        <w:t>אשה שקנתה חפצים מבעלה במעות טמונים</w:t>
      </w:r>
      <w:r w:rsidRPr="008F55F8">
        <w:rPr>
          <w:rFonts w:cs="Arial" w:hint="cs"/>
          <w:u w:val="single"/>
          <w:rtl/>
        </w:rPr>
        <w:t>:</w:t>
      </w:r>
    </w:p>
    <w:p w14:paraId="5FA6F1D8" w14:textId="77777777" w:rsidR="00777F99" w:rsidRDefault="00777F99" w:rsidP="00777F99">
      <w:pPr>
        <w:pStyle w:val="ab"/>
        <w:numPr>
          <w:ilvl w:val="0"/>
          <w:numId w:val="51"/>
        </w:numPr>
        <w:rPr>
          <w:rFonts w:cs="Arial"/>
        </w:rPr>
      </w:pPr>
      <w:r w:rsidRPr="008F55F8">
        <w:rPr>
          <w:rFonts w:cs="Arial"/>
          <w:rtl/>
        </w:rPr>
        <w:t xml:space="preserve">רשב"א </w:t>
      </w:r>
      <w:r w:rsidRPr="008F55F8">
        <w:rPr>
          <w:rFonts w:cs="Arial" w:hint="cs"/>
          <w:sz w:val="16"/>
          <w:szCs w:val="16"/>
          <w:rtl/>
        </w:rPr>
        <w:t>(</w:t>
      </w:r>
      <w:r w:rsidRPr="008F55F8">
        <w:rPr>
          <w:rFonts w:cs="Arial"/>
          <w:sz w:val="16"/>
          <w:szCs w:val="16"/>
          <w:rtl/>
        </w:rPr>
        <w:t>סי</w:t>
      </w:r>
      <w:r>
        <w:rPr>
          <w:rFonts w:cs="Arial" w:hint="cs"/>
          <w:sz w:val="16"/>
          <w:szCs w:val="16"/>
          <w:rtl/>
        </w:rPr>
        <w:t>'</w:t>
      </w:r>
      <w:r w:rsidRPr="008F55F8">
        <w:rPr>
          <w:rFonts w:cs="Arial"/>
          <w:sz w:val="16"/>
          <w:szCs w:val="16"/>
          <w:rtl/>
        </w:rPr>
        <w:t xml:space="preserve"> תתקו</w:t>
      </w:r>
      <w:r w:rsidRPr="008F55F8">
        <w:rPr>
          <w:rFonts w:cs="Arial" w:hint="cs"/>
          <w:sz w:val="16"/>
          <w:szCs w:val="16"/>
          <w:rtl/>
        </w:rPr>
        <w:t>)</w:t>
      </w:r>
      <w:r w:rsidRPr="008F55F8">
        <w:rPr>
          <w:rFonts w:cs="Arial" w:hint="cs"/>
          <w:rtl/>
        </w:rPr>
        <w:t>-</w:t>
      </w:r>
      <w:r w:rsidRPr="008F55F8">
        <w:rPr>
          <w:rFonts w:cs="Arial"/>
          <w:rtl/>
        </w:rPr>
        <w:t xml:space="preserve"> אשה שקנתה חפצים מבעלה במעות טמונים</w:t>
      </w:r>
      <w:r w:rsidRPr="008F55F8">
        <w:rPr>
          <w:rFonts w:cs="Arial" w:hint="cs"/>
          <w:rtl/>
        </w:rPr>
        <w:t xml:space="preserve"> - </w:t>
      </w:r>
      <w:r w:rsidRPr="008F55F8">
        <w:rPr>
          <w:rFonts w:cs="Arial"/>
          <w:rtl/>
        </w:rPr>
        <w:t>לא קנתה כלל</w:t>
      </w:r>
      <w:r>
        <w:rPr>
          <w:rFonts w:cs="Arial" w:hint="cs"/>
          <w:rtl/>
        </w:rPr>
        <w:t>,</w:t>
      </w:r>
      <w:r w:rsidRPr="008F55F8">
        <w:rPr>
          <w:rFonts w:cs="Arial"/>
          <w:rtl/>
        </w:rPr>
        <w:t xml:space="preserve"> דלגלויי זוזי הוא דבעי כדאמרינן בפרק חזקת (נא:)</w:t>
      </w:r>
      <w:r>
        <w:rPr>
          <w:rFonts w:cs="Arial" w:hint="cs"/>
          <w:rtl/>
        </w:rPr>
        <w:t>.</w:t>
      </w:r>
      <w:r w:rsidRPr="008F55F8">
        <w:rPr>
          <w:rFonts w:cs="Arial"/>
          <w:rtl/>
        </w:rPr>
        <w:t xml:space="preserve"> הילכך ימכור מה שלקחה וילקח בהם קרקע והוא אוכל פירות</w:t>
      </w:r>
      <w:r>
        <w:rPr>
          <w:rFonts w:cs="Arial" w:hint="cs"/>
          <w:rtl/>
        </w:rPr>
        <w:t>,</w:t>
      </w:r>
      <w:r w:rsidRPr="008F55F8">
        <w:rPr>
          <w:rFonts w:cs="Arial"/>
          <w:rtl/>
        </w:rPr>
        <w:t xml:space="preserve"> אבל לתפסם כולם הבעל לא</w:t>
      </w:r>
      <w:r>
        <w:rPr>
          <w:rFonts w:cs="Arial" w:hint="cs"/>
          <w:rtl/>
        </w:rPr>
        <w:t>,</w:t>
      </w:r>
      <w:r w:rsidRPr="008F55F8">
        <w:rPr>
          <w:rFonts w:cs="Arial"/>
          <w:rtl/>
        </w:rPr>
        <w:t xml:space="preserve"> דאין לו כי אם פירות. </w:t>
      </w:r>
    </w:p>
    <w:p w14:paraId="2A0DD86D"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6DB4F5A9" w14:textId="6F1B1D9C" w:rsidR="007A3469" w:rsidRDefault="007A3469" w:rsidP="007A3469">
      <w:pPr>
        <w:rPr>
          <w:rtl/>
        </w:rPr>
      </w:pPr>
      <w:r>
        <w:rPr>
          <w:rFonts w:cs="Arial"/>
          <w:rtl/>
        </w:rPr>
        <w:t>המוכר קרקע</w:t>
      </w:r>
      <w:r w:rsidR="00BC77B4">
        <w:rPr>
          <w:rStyle w:val="a7"/>
          <w:rFonts w:cs="Arial"/>
          <w:rtl/>
        </w:rPr>
        <w:footnoteReference w:id="925"/>
      </w:r>
      <w:r>
        <w:rPr>
          <w:rFonts w:cs="Arial"/>
          <w:rtl/>
        </w:rPr>
        <w:t xml:space="preserve"> לאשתו, אם היו המעות שלקחה בהם את הקרקע מהבעל גלוים</w:t>
      </w:r>
      <w:r w:rsidR="00BC77B4">
        <w:rPr>
          <w:rStyle w:val="a7"/>
          <w:rFonts w:cs="Arial"/>
          <w:rtl/>
        </w:rPr>
        <w:footnoteReference w:id="926"/>
      </w:r>
      <w:r>
        <w:rPr>
          <w:rFonts w:cs="Arial"/>
          <w:rtl/>
        </w:rPr>
        <w:t xml:space="preserve"> וידועים לבעל, קנתה</w:t>
      </w:r>
      <w:r w:rsidR="0075102A">
        <w:rPr>
          <w:rStyle w:val="a7"/>
          <w:rFonts w:cs="Arial"/>
          <w:rtl/>
        </w:rPr>
        <w:footnoteReference w:id="927"/>
      </w:r>
      <w:r>
        <w:rPr>
          <w:rFonts w:cs="Arial"/>
          <w:rtl/>
        </w:rPr>
        <w:t xml:space="preserve">, והבעל אוכל פירות אותו קרקע. ואם היו המעות טמונים, לא קנתה, שהבעל אומר: לא מכרתי אלא כדי להראות המעות שטמנה, ואותם המעות שנראו ילקח בהם קרקע והבעל אוכל פירות. </w:t>
      </w:r>
      <w:r w:rsidRPr="00F46615">
        <w:rPr>
          <w:rFonts w:cs="Arial"/>
          <w:sz w:val="18"/>
          <w:szCs w:val="18"/>
          <w:rtl/>
        </w:rPr>
        <w:t>הגה: וי"א דאם טוען ברי שהמעות שלו, הרי הם שלו לגמרי</w:t>
      </w:r>
      <w:r w:rsidR="00BC77B4">
        <w:rPr>
          <w:rStyle w:val="a7"/>
          <w:rFonts w:cs="Arial"/>
          <w:sz w:val="18"/>
          <w:szCs w:val="18"/>
          <w:rtl/>
        </w:rPr>
        <w:footnoteReference w:id="928"/>
      </w:r>
      <w:r w:rsidRPr="00F46615">
        <w:rPr>
          <w:rFonts w:cs="Arial"/>
          <w:sz w:val="18"/>
          <w:szCs w:val="18"/>
          <w:rtl/>
        </w:rPr>
        <w:t xml:space="preserve"> (</w:t>
      </w:r>
      <w:r w:rsidR="00C26D5A">
        <w:rPr>
          <w:rFonts w:cs="Arial" w:hint="cs"/>
          <w:sz w:val="18"/>
          <w:szCs w:val="18"/>
          <w:rtl/>
        </w:rPr>
        <w:t>ה"ר יונה וכן משמע מדברי הטור</w:t>
      </w:r>
      <w:r w:rsidRPr="00F46615">
        <w:rPr>
          <w:rFonts w:cs="Arial"/>
          <w:sz w:val="18"/>
          <w:szCs w:val="18"/>
          <w:rtl/>
        </w:rPr>
        <w:t xml:space="preserve">). </w:t>
      </w:r>
    </w:p>
    <w:p w14:paraId="245D6520" w14:textId="77777777" w:rsidR="00F46615" w:rsidRDefault="00F46615" w:rsidP="007A3469">
      <w:pPr>
        <w:rPr>
          <w:rtl/>
        </w:rPr>
      </w:pPr>
    </w:p>
    <w:p w14:paraId="52413C0F" w14:textId="0F5F041B" w:rsidR="007A3469" w:rsidRDefault="007A3469" w:rsidP="000F64D0">
      <w:pPr>
        <w:pStyle w:val="2"/>
        <w:rPr>
          <w:rtl/>
        </w:rPr>
      </w:pPr>
      <w:r>
        <w:rPr>
          <w:rtl/>
        </w:rPr>
        <w:t>סעיף י</w:t>
      </w:r>
      <w:r w:rsidR="00130EF9">
        <w:rPr>
          <w:rFonts w:hint="cs"/>
          <w:rtl/>
        </w:rPr>
        <w:t xml:space="preserve">: </w:t>
      </w:r>
      <w:r w:rsidR="009B5759">
        <w:rPr>
          <w:rFonts w:hint="cs"/>
          <w:rtl/>
        </w:rPr>
        <w:t>הוא אומר 'טמונים היו', והיא אומרים 'לא היו טמונים'.</w:t>
      </w:r>
    </w:p>
    <w:p w14:paraId="71B28A9E" w14:textId="46A6C33C" w:rsidR="00130EF9" w:rsidRPr="009B5759" w:rsidRDefault="009B5759" w:rsidP="00130EF9">
      <w:pPr>
        <w:rPr>
          <w:u w:val="single"/>
          <w:rtl/>
        </w:rPr>
      </w:pPr>
      <w:r w:rsidRPr="009B5759">
        <w:rPr>
          <w:rFonts w:hint="cs"/>
          <w:u w:val="single"/>
          <w:rtl/>
        </w:rPr>
        <w:t>הוא אומר 'טמונים היו', והיא אומרים 'לא היו טמונים':</w:t>
      </w:r>
    </w:p>
    <w:p w14:paraId="7C10A9B6" w14:textId="6811CC34" w:rsidR="00605FD6" w:rsidRPr="00605FD6" w:rsidRDefault="00605FD6" w:rsidP="009000E3">
      <w:pPr>
        <w:pStyle w:val="ab"/>
        <w:numPr>
          <w:ilvl w:val="0"/>
          <w:numId w:val="47"/>
        </w:numPr>
      </w:pPr>
      <w:r w:rsidRPr="007A228B">
        <w:rPr>
          <w:rFonts w:cs="Arial"/>
          <w:rtl/>
        </w:rPr>
        <w:t>רמ"ה</w:t>
      </w:r>
      <w:r w:rsidR="00130EF9">
        <w:rPr>
          <w:rFonts w:cs="Arial" w:hint="cs"/>
          <w:rtl/>
        </w:rPr>
        <w:t xml:space="preserve"> </w:t>
      </w:r>
      <w:r w:rsidR="00130EF9" w:rsidRPr="00130EF9">
        <w:rPr>
          <w:rFonts w:cs="Arial"/>
          <w:sz w:val="16"/>
          <w:szCs w:val="16"/>
          <w:rtl/>
        </w:rPr>
        <w:t>(שם סו"ס רה</w:t>
      </w:r>
      <w:r w:rsidR="00130EF9">
        <w:rPr>
          <w:rFonts w:cs="Arial" w:hint="cs"/>
          <w:sz w:val="16"/>
          <w:szCs w:val="16"/>
          <w:rtl/>
        </w:rPr>
        <w:t>, כ"כ הטור בשמו</w:t>
      </w:r>
      <w:r w:rsidR="00130EF9" w:rsidRPr="00130EF9">
        <w:rPr>
          <w:rFonts w:cs="Arial"/>
          <w:sz w:val="16"/>
          <w:szCs w:val="16"/>
          <w:rtl/>
        </w:rPr>
        <w:t xml:space="preserve">) </w:t>
      </w:r>
      <w:r w:rsidR="00130EF9">
        <w:rPr>
          <w:rFonts w:cs="Arial" w:hint="cs"/>
          <w:rtl/>
        </w:rPr>
        <w:t>וטור-</w:t>
      </w:r>
      <w:r w:rsidRPr="007A228B">
        <w:rPr>
          <w:rFonts w:cs="Arial"/>
          <w:rtl/>
        </w:rPr>
        <w:t xml:space="preserve"> היכא דלא ידעינן אי מעות טמונין הוו אי לא</w:t>
      </w:r>
      <w:r w:rsidR="009B5759">
        <w:rPr>
          <w:rFonts w:cs="Arial" w:hint="cs"/>
          <w:rtl/>
        </w:rPr>
        <w:t>,</w:t>
      </w:r>
      <w:r w:rsidRPr="007A228B">
        <w:rPr>
          <w:rFonts w:cs="Arial"/>
          <w:rtl/>
        </w:rPr>
        <w:t xml:space="preserve"> הוא אומר טמונים הוו והיא אומרת לאו טמונים היו </w:t>
      </w:r>
      <w:r w:rsidR="009B5759">
        <w:rPr>
          <w:rFonts w:cs="Arial" w:hint="cs"/>
          <w:rtl/>
        </w:rPr>
        <w:t xml:space="preserve">- </w:t>
      </w:r>
      <w:r w:rsidRPr="007A228B">
        <w:rPr>
          <w:rFonts w:cs="Arial"/>
          <w:rtl/>
        </w:rPr>
        <w:t>עליה להביא ראיה</w:t>
      </w:r>
      <w:r w:rsidR="009B5759">
        <w:rPr>
          <w:rFonts w:cs="Arial" w:hint="cs"/>
          <w:rtl/>
        </w:rPr>
        <w:t>,</w:t>
      </w:r>
      <w:r w:rsidRPr="007A228B">
        <w:rPr>
          <w:rFonts w:cs="Arial"/>
          <w:rtl/>
        </w:rPr>
        <w:t xml:space="preserve"> דהא קרקע בחזקת בעלה עומדת</w:t>
      </w:r>
      <w:r w:rsidR="009B5759">
        <w:rPr>
          <w:rFonts w:cs="Arial" w:hint="cs"/>
          <w:rtl/>
        </w:rPr>
        <w:t>,</w:t>
      </w:r>
      <w:r w:rsidRPr="007A228B">
        <w:rPr>
          <w:rFonts w:cs="Arial"/>
          <w:rtl/>
        </w:rPr>
        <w:t xml:space="preserve"> אע</w:t>
      </w:r>
      <w:r w:rsidR="001F04AA">
        <w:rPr>
          <w:rFonts w:cs="Arial" w:hint="cs"/>
          <w:rtl/>
        </w:rPr>
        <w:t>"</w:t>
      </w:r>
      <w:r w:rsidRPr="007A228B">
        <w:rPr>
          <w:rFonts w:cs="Arial"/>
          <w:rtl/>
        </w:rPr>
        <w:t>פ שיש לה שטר עליו כל זמן שלא נתברר דלאו מעות טמונים הוו כמי שלא נתקיים השטר דמי</w:t>
      </w:r>
      <w:r w:rsidR="00130EF9">
        <w:rPr>
          <w:rFonts w:cs="Arial" w:hint="cs"/>
          <w:sz w:val="16"/>
          <w:szCs w:val="16"/>
          <w:rtl/>
        </w:rPr>
        <w:t xml:space="preserve"> (ל' הטור בשם הרמ"ה)</w:t>
      </w:r>
      <w:r>
        <w:rPr>
          <w:rFonts w:cs="Arial" w:hint="cs"/>
          <w:rtl/>
        </w:rPr>
        <w:t>.</w:t>
      </w:r>
      <w:r w:rsidR="009B5759" w:rsidRPr="009B5759">
        <w:rPr>
          <w:rFonts w:hint="cs"/>
          <w:color w:val="E36C0A" w:themeColor="accent6" w:themeShade="BF"/>
          <w:rtl/>
        </w:rPr>
        <w:t xml:space="preserve"> </w:t>
      </w:r>
      <w:r w:rsidR="009B5759" w:rsidRPr="00137671">
        <w:rPr>
          <w:rFonts w:hint="cs"/>
          <w:color w:val="E36C0A" w:themeColor="accent6" w:themeShade="BF"/>
          <w:rtl/>
        </w:rPr>
        <w:t>(וכ"פ בשו"ע)</w:t>
      </w:r>
    </w:p>
    <w:p w14:paraId="703494B4"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6A470C46" w14:textId="77777777" w:rsidR="00F46615" w:rsidRDefault="007A3469" w:rsidP="007A3469">
      <w:pPr>
        <w:rPr>
          <w:rFonts w:cs="Arial"/>
          <w:rtl/>
        </w:rPr>
      </w:pPr>
      <w:r>
        <w:rPr>
          <w:rFonts w:cs="Arial"/>
          <w:rtl/>
        </w:rPr>
        <w:t>אם הוא אומר: טמונים היו, והיא אומרת: לא היו, עליה להביא ראיה.</w:t>
      </w:r>
    </w:p>
    <w:p w14:paraId="2BA9DDA6" w14:textId="2DFD5232" w:rsidR="007A3469" w:rsidRDefault="007A3469" w:rsidP="007A3469">
      <w:pPr>
        <w:rPr>
          <w:rtl/>
        </w:rPr>
      </w:pPr>
      <w:r>
        <w:rPr>
          <w:rFonts w:cs="Arial"/>
          <w:rtl/>
        </w:rPr>
        <w:lastRenderedPageBreak/>
        <w:t xml:space="preserve"> </w:t>
      </w:r>
    </w:p>
    <w:p w14:paraId="2EA8E6BF" w14:textId="63664B0F" w:rsidR="007A3469" w:rsidRDefault="007A3469" w:rsidP="000F64D0">
      <w:pPr>
        <w:pStyle w:val="2"/>
        <w:rPr>
          <w:rtl/>
        </w:rPr>
      </w:pPr>
      <w:r>
        <w:rPr>
          <w:rtl/>
        </w:rPr>
        <w:t>סעיף יא</w:t>
      </w:r>
      <w:r w:rsidR="00C41524">
        <w:rPr>
          <w:rFonts w:hint="cs"/>
          <w:rtl/>
        </w:rPr>
        <w:t xml:space="preserve">: הנותן מתנה לאשת איש על מנת שאין לבעלה רשות בה. </w:t>
      </w:r>
    </w:p>
    <w:p w14:paraId="74FA0CC5" w14:textId="2605A894" w:rsidR="00F93ED8" w:rsidRPr="00560CFB" w:rsidRDefault="00892AA5" w:rsidP="00560CFB">
      <w:pPr>
        <w:rPr>
          <w:rFonts w:cs="Arial"/>
        </w:rPr>
      </w:pPr>
      <w:r>
        <w:rPr>
          <w:rFonts w:cs="Arial" w:hint="cs"/>
          <w:b/>
          <w:bCs/>
          <w:rtl/>
        </w:rPr>
        <w:t xml:space="preserve">נדרים </w:t>
      </w:r>
      <w:r>
        <w:rPr>
          <w:rFonts w:cs="Arial" w:hint="cs"/>
          <w:b/>
          <w:bCs/>
          <w:sz w:val="16"/>
          <w:szCs w:val="16"/>
          <w:rtl/>
        </w:rPr>
        <w:t>(פ' בתרא)</w:t>
      </w:r>
      <w:r>
        <w:rPr>
          <w:rFonts w:cs="Arial" w:hint="cs"/>
          <w:b/>
          <w:bCs/>
          <w:rtl/>
        </w:rPr>
        <w:t xml:space="preserve"> פח</w:t>
      </w:r>
      <w:r w:rsidR="00165AA2">
        <w:rPr>
          <w:rStyle w:val="a7"/>
          <w:rFonts w:cs="Arial"/>
          <w:b/>
          <w:bCs/>
          <w:rtl/>
        </w:rPr>
        <w:footnoteReference w:id="929"/>
      </w:r>
      <w:r>
        <w:rPr>
          <w:rFonts w:cs="Arial" w:hint="cs"/>
          <w:b/>
          <w:bCs/>
          <w:rtl/>
        </w:rPr>
        <w:t xml:space="preserve"> ע"א: </w:t>
      </w:r>
      <w:r w:rsidRPr="00527718">
        <w:rPr>
          <w:rFonts w:cs="Arial"/>
          <w:u w:val="double"/>
          <w:rtl/>
        </w:rPr>
        <w:t>מתני'</w:t>
      </w:r>
      <w:r>
        <w:rPr>
          <w:rFonts w:cs="Arial" w:hint="cs"/>
          <w:rtl/>
        </w:rPr>
        <w:t>:</w:t>
      </w:r>
      <w:r>
        <w:rPr>
          <w:rFonts w:cs="Arial"/>
          <w:rtl/>
        </w:rPr>
        <w:t xml:space="preserve"> המדיר הנאה מחתנו והוא רוצה לתת לבתו מעות, אומר לה: הרי המעות האלו נתונין לך במתנה, ובלבד שלא יהא לבעליך רשות בהן</w:t>
      </w:r>
      <w:r>
        <w:rPr>
          <w:rFonts w:cs="Arial" w:hint="cs"/>
          <w:rtl/>
        </w:rPr>
        <w:t>,</w:t>
      </w:r>
      <w:r>
        <w:rPr>
          <w:rFonts w:cs="Arial"/>
          <w:rtl/>
        </w:rPr>
        <w:t xml:space="preserve"> אלא מה שאת נושאת ונותנת </w:t>
      </w:r>
      <w:r>
        <w:rPr>
          <w:rFonts w:cs="Arial" w:hint="cs"/>
          <w:rtl/>
        </w:rPr>
        <w:t xml:space="preserve">- </w:t>
      </w:r>
      <w:r>
        <w:rPr>
          <w:rFonts w:cs="Arial"/>
          <w:rtl/>
        </w:rPr>
        <w:t xml:space="preserve">בפיך. </w:t>
      </w:r>
      <w:r>
        <w:rPr>
          <w:rFonts w:hint="cs"/>
          <w:rtl/>
        </w:rPr>
        <w:t xml:space="preserve">      </w:t>
      </w:r>
      <w:r w:rsidRPr="00527718">
        <w:rPr>
          <w:rFonts w:cs="Arial"/>
          <w:u w:val="double"/>
          <w:rtl/>
        </w:rPr>
        <w:t>גמ'</w:t>
      </w:r>
      <w:r>
        <w:rPr>
          <w:rFonts w:cs="Arial" w:hint="cs"/>
          <w:rtl/>
        </w:rPr>
        <w:t>:</w:t>
      </w:r>
      <w:r>
        <w:rPr>
          <w:rFonts w:cs="Arial"/>
          <w:rtl/>
        </w:rPr>
        <w:t xml:space="preserve"> </w:t>
      </w:r>
      <w:r w:rsidRPr="00527718">
        <w:rPr>
          <w:rFonts w:cs="Arial"/>
          <w:u w:val="single"/>
          <w:rtl/>
        </w:rPr>
        <w:t>אמר רב</w:t>
      </w:r>
      <w:r>
        <w:rPr>
          <w:rFonts w:cs="Arial"/>
          <w:rtl/>
        </w:rPr>
        <w:t>: לא שנו אלא דאמר לה מה שאת נושאת ונותנת בפיך</w:t>
      </w:r>
      <w:r w:rsidR="00236BCF">
        <w:rPr>
          <w:rStyle w:val="a7"/>
          <w:rFonts w:cs="Arial"/>
          <w:rtl/>
        </w:rPr>
        <w:footnoteReference w:id="930"/>
      </w:r>
      <w:r>
        <w:rPr>
          <w:rFonts w:cs="Arial"/>
          <w:rtl/>
        </w:rPr>
        <w:t>, אבל אמר מה שתרצי עשי</w:t>
      </w:r>
      <w:r w:rsidR="00236BCF">
        <w:rPr>
          <w:rStyle w:val="a7"/>
          <w:rFonts w:cs="Arial"/>
          <w:rtl/>
        </w:rPr>
        <w:footnoteReference w:id="931"/>
      </w:r>
      <w:r>
        <w:rPr>
          <w:rFonts w:cs="Arial"/>
          <w:rtl/>
        </w:rPr>
        <w:t xml:space="preserve"> - קנה יתהון בעל</w:t>
      </w:r>
      <w:r>
        <w:rPr>
          <w:rFonts w:cs="Arial" w:hint="cs"/>
          <w:rtl/>
        </w:rPr>
        <w:t>.</w:t>
      </w:r>
      <w:r>
        <w:rPr>
          <w:rFonts w:cs="Arial"/>
          <w:rtl/>
        </w:rPr>
        <w:t xml:space="preserve"> </w:t>
      </w:r>
      <w:r w:rsidRPr="00527718">
        <w:rPr>
          <w:rFonts w:cs="Arial"/>
          <w:u w:val="single"/>
          <w:rtl/>
        </w:rPr>
        <w:t>ושמואל אומר</w:t>
      </w:r>
      <w:r>
        <w:rPr>
          <w:rFonts w:cs="Arial"/>
          <w:rtl/>
        </w:rPr>
        <w:t xml:space="preserve">: אפילו אמר מה שתרצי עשי - לא קנה יתהון בעל. </w:t>
      </w:r>
      <w:r w:rsidR="003E0EE6" w:rsidRPr="003E0EE6">
        <w:rPr>
          <w:rFonts w:cs="Arial" w:hint="cs"/>
          <w:sz w:val="16"/>
          <w:szCs w:val="16"/>
          <w:rtl/>
        </w:rPr>
        <w:t>(ופירש ה</w:t>
      </w:r>
      <w:r w:rsidR="00F93ED8" w:rsidRPr="003E0EE6">
        <w:rPr>
          <w:rFonts w:cs="Arial"/>
          <w:sz w:val="16"/>
          <w:szCs w:val="16"/>
          <w:rtl/>
        </w:rPr>
        <w:t>ר"ן</w:t>
      </w:r>
      <w:r w:rsidR="00FD20D3" w:rsidRPr="003E0EE6">
        <w:rPr>
          <w:rFonts w:cs="Arial" w:hint="cs"/>
          <w:sz w:val="16"/>
          <w:szCs w:val="16"/>
          <w:rtl/>
        </w:rPr>
        <w:t xml:space="preserve"> (</w:t>
      </w:r>
      <w:r w:rsidR="00F93ED8" w:rsidRPr="003E0EE6">
        <w:rPr>
          <w:rFonts w:cs="Arial"/>
          <w:sz w:val="16"/>
          <w:szCs w:val="16"/>
          <w:rtl/>
        </w:rPr>
        <w:t>פ</w:t>
      </w:r>
      <w:r w:rsidR="00FD20D3" w:rsidRPr="003E0EE6">
        <w:rPr>
          <w:rFonts w:cs="Arial" w:hint="cs"/>
          <w:sz w:val="16"/>
          <w:szCs w:val="16"/>
          <w:rtl/>
        </w:rPr>
        <w:t>'</w:t>
      </w:r>
      <w:r w:rsidR="00F93ED8" w:rsidRPr="003E0EE6">
        <w:rPr>
          <w:rFonts w:cs="Arial"/>
          <w:sz w:val="16"/>
          <w:szCs w:val="16"/>
          <w:rtl/>
        </w:rPr>
        <w:t xml:space="preserve"> בתרא </w:t>
      </w:r>
      <w:r w:rsidR="00FD20D3" w:rsidRPr="003E0EE6">
        <w:rPr>
          <w:rFonts w:cs="Arial" w:hint="cs"/>
          <w:sz w:val="16"/>
          <w:szCs w:val="16"/>
          <w:rtl/>
        </w:rPr>
        <w:t>ד</w:t>
      </w:r>
      <w:r w:rsidR="00F93ED8" w:rsidRPr="003E0EE6">
        <w:rPr>
          <w:rFonts w:cs="Arial"/>
          <w:sz w:val="16"/>
          <w:szCs w:val="16"/>
          <w:rtl/>
        </w:rPr>
        <w:t>נדרים פח.)</w:t>
      </w:r>
      <w:r w:rsidR="003E0EE6" w:rsidRPr="003E0EE6">
        <w:rPr>
          <w:rFonts w:cs="Arial" w:hint="cs"/>
          <w:sz w:val="16"/>
          <w:szCs w:val="16"/>
          <w:rtl/>
        </w:rPr>
        <w:t xml:space="preserve"> דהא דאמר רב </w:t>
      </w:r>
      <w:r w:rsidR="003E0EE6" w:rsidRPr="003E0EE6">
        <w:rPr>
          <w:rFonts w:cs="Arial"/>
          <w:sz w:val="16"/>
          <w:szCs w:val="16"/>
          <w:rtl/>
        </w:rPr>
        <w:t>לא שנו אלא דא"ל מה שאת נותנת לפיך</w:t>
      </w:r>
      <w:r w:rsidR="003E0EE6" w:rsidRPr="003E0EE6">
        <w:rPr>
          <w:rFonts w:cs="Arial" w:hint="cs"/>
          <w:sz w:val="16"/>
          <w:szCs w:val="16"/>
          <w:rtl/>
        </w:rPr>
        <w:t>,</w:t>
      </w:r>
      <w:r w:rsidR="003E0EE6" w:rsidRPr="003E0EE6">
        <w:rPr>
          <w:rFonts w:cs="Arial"/>
          <w:sz w:val="16"/>
          <w:szCs w:val="16"/>
          <w:rtl/>
        </w:rPr>
        <w:t xml:space="preserve"> כלומר כלישנא דמתניתין דא"ל תרתי </w:t>
      </w:r>
      <w:r w:rsidR="003E0EE6" w:rsidRPr="003E0EE6">
        <w:rPr>
          <w:rFonts w:cs="Arial" w:hint="cs"/>
          <w:sz w:val="16"/>
          <w:szCs w:val="16"/>
          <w:rtl/>
        </w:rPr>
        <w:t>'</w:t>
      </w:r>
      <w:r w:rsidR="003E0EE6" w:rsidRPr="003E0EE6">
        <w:rPr>
          <w:rFonts w:cs="Arial"/>
          <w:sz w:val="16"/>
          <w:szCs w:val="16"/>
          <w:rtl/>
        </w:rPr>
        <w:t>על מנת שאין לבעליך רשות בהם אלא מה שאת נושאת ונותנת לפיך</w:t>
      </w:r>
      <w:r w:rsidR="003E0EE6" w:rsidRPr="003E0EE6">
        <w:rPr>
          <w:rFonts w:cs="Arial" w:hint="cs"/>
          <w:sz w:val="16"/>
          <w:szCs w:val="16"/>
          <w:rtl/>
        </w:rPr>
        <w:t>',</w:t>
      </w:r>
      <w:r w:rsidR="003E0EE6" w:rsidRPr="003E0EE6">
        <w:rPr>
          <w:rFonts w:cs="Arial"/>
          <w:sz w:val="16"/>
          <w:szCs w:val="16"/>
          <w:rtl/>
        </w:rPr>
        <w:t xml:space="preserve"> בכה</w:t>
      </w:r>
      <w:r w:rsidR="006028B3">
        <w:rPr>
          <w:rFonts w:cs="Arial" w:hint="cs"/>
          <w:sz w:val="16"/>
          <w:szCs w:val="16"/>
          <w:rtl/>
        </w:rPr>
        <w:t>"</w:t>
      </w:r>
      <w:r w:rsidR="003E0EE6" w:rsidRPr="003E0EE6">
        <w:rPr>
          <w:rFonts w:cs="Arial"/>
          <w:sz w:val="16"/>
          <w:szCs w:val="16"/>
          <w:rtl/>
        </w:rPr>
        <w:t>ג בלחוד הוא דלא קנה יתהון בעל</w:t>
      </w:r>
      <w:r w:rsidR="003E0EE6" w:rsidRPr="003E0EE6">
        <w:rPr>
          <w:rFonts w:cs="Arial" w:hint="cs"/>
          <w:sz w:val="16"/>
          <w:szCs w:val="16"/>
          <w:rtl/>
        </w:rPr>
        <w:t>.</w:t>
      </w:r>
      <w:r w:rsidR="003E0EE6" w:rsidRPr="003E0EE6">
        <w:rPr>
          <w:rFonts w:cs="Arial"/>
          <w:sz w:val="16"/>
          <w:szCs w:val="16"/>
          <w:rtl/>
        </w:rPr>
        <w:t xml:space="preserve"> משום ש</w:t>
      </w:r>
      <w:r w:rsidR="003E0EE6" w:rsidRPr="003E0EE6">
        <w:rPr>
          <w:rFonts w:cs="Arial" w:hint="cs"/>
          <w:sz w:val="16"/>
          <w:szCs w:val="16"/>
          <w:rtl/>
        </w:rPr>
        <w:t>'</w:t>
      </w:r>
      <w:r w:rsidR="003E0EE6" w:rsidRPr="003E0EE6">
        <w:rPr>
          <w:rFonts w:cs="Arial"/>
          <w:sz w:val="16"/>
          <w:szCs w:val="16"/>
          <w:rtl/>
        </w:rPr>
        <w:t>מה שתרצי עשי</w:t>
      </w:r>
      <w:r w:rsidR="003E0EE6" w:rsidRPr="003E0EE6">
        <w:rPr>
          <w:rFonts w:cs="Arial" w:hint="cs"/>
          <w:sz w:val="16"/>
          <w:szCs w:val="16"/>
          <w:rtl/>
        </w:rPr>
        <w:t>'</w:t>
      </w:r>
      <w:r w:rsidR="003E0EE6" w:rsidRPr="003E0EE6">
        <w:rPr>
          <w:rFonts w:cs="Arial"/>
          <w:sz w:val="16"/>
          <w:szCs w:val="16"/>
          <w:rtl/>
        </w:rPr>
        <w:t xml:space="preserve"> לא מהני טפי מ</w:t>
      </w:r>
      <w:r w:rsidR="003E0EE6" w:rsidRPr="003E0EE6">
        <w:rPr>
          <w:rFonts w:cs="Arial" w:hint="cs"/>
          <w:sz w:val="16"/>
          <w:szCs w:val="16"/>
          <w:rtl/>
        </w:rPr>
        <w:t>'</w:t>
      </w:r>
      <w:r w:rsidR="003E0EE6" w:rsidRPr="003E0EE6">
        <w:rPr>
          <w:rFonts w:cs="Arial"/>
          <w:sz w:val="16"/>
          <w:szCs w:val="16"/>
          <w:rtl/>
        </w:rPr>
        <w:t>אין לבעליך רשות בהם</w:t>
      </w:r>
      <w:r w:rsidR="003E0EE6" w:rsidRPr="003E0EE6">
        <w:rPr>
          <w:rFonts w:cs="Arial" w:hint="cs"/>
          <w:sz w:val="16"/>
          <w:szCs w:val="16"/>
          <w:rtl/>
        </w:rPr>
        <w:t>',</w:t>
      </w:r>
      <w:r w:rsidR="003E0EE6" w:rsidRPr="003E0EE6">
        <w:rPr>
          <w:rFonts w:cs="Arial"/>
          <w:sz w:val="16"/>
          <w:szCs w:val="16"/>
          <w:rtl/>
        </w:rPr>
        <w:t xml:space="preserve"> וכי היכי ד</w:t>
      </w:r>
      <w:r w:rsidR="003E0EE6" w:rsidRPr="003E0EE6">
        <w:rPr>
          <w:rFonts w:cs="Arial" w:hint="cs"/>
          <w:sz w:val="16"/>
          <w:szCs w:val="16"/>
          <w:rtl/>
        </w:rPr>
        <w:t>'</w:t>
      </w:r>
      <w:r w:rsidR="003E0EE6" w:rsidRPr="003E0EE6">
        <w:rPr>
          <w:rFonts w:cs="Arial"/>
          <w:sz w:val="16"/>
          <w:szCs w:val="16"/>
          <w:rtl/>
        </w:rPr>
        <w:t>אין לבעליך רשות בהם</w:t>
      </w:r>
      <w:r w:rsidR="003E0EE6" w:rsidRPr="003E0EE6">
        <w:rPr>
          <w:rFonts w:cs="Arial" w:hint="cs"/>
          <w:sz w:val="16"/>
          <w:szCs w:val="16"/>
          <w:rtl/>
        </w:rPr>
        <w:t>'</w:t>
      </w:r>
      <w:r w:rsidR="003E0EE6" w:rsidRPr="003E0EE6">
        <w:rPr>
          <w:rFonts w:cs="Arial"/>
          <w:sz w:val="16"/>
          <w:szCs w:val="16"/>
          <w:rtl/>
        </w:rPr>
        <w:t xml:space="preserve"> בלחוד לא מהני</w:t>
      </w:r>
      <w:r w:rsidR="006028B3">
        <w:rPr>
          <w:rFonts w:cs="Arial" w:hint="cs"/>
          <w:sz w:val="16"/>
          <w:szCs w:val="16"/>
          <w:rtl/>
        </w:rPr>
        <w:t>,</w:t>
      </w:r>
      <w:r w:rsidR="003E0EE6" w:rsidRPr="003E0EE6">
        <w:rPr>
          <w:rFonts w:cs="Arial"/>
          <w:sz w:val="16"/>
          <w:szCs w:val="16"/>
          <w:rtl/>
        </w:rPr>
        <w:t xml:space="preserve"> כי אמר להו לתרוייהו</w:t>
      </w:r>
      <w:r w:rsidR="003E0EE6" w:rsidRPr="003E0EE6">
        <w:rPr>
          <w:rFonts w:cs="Arial" w:hint="cs"/>
          <w:sz w:val="16"/>
          <w:szCs w:val="16"/>
          <w:rtl/>
        </w:rPr>
        <w:t xml:space="preserve"> </w:t>
      </w:r>
      <w:r w:rsidR="003E0EE6" w:rsidRPr="003E0EE6">
        <w:rPr>
          <w:rFonts w:cs="Arial"/>
          <w:sz w:val="16"/>
          <w:szCs w:val="16"/>
          <w:rtl/>
        </w:rPr>
        <w:t>לא מהני</w:t>
      </w:r>
      <w:r w:rsidR="003E0EE6" w:rsidRPr="003E0EE6">
        <w:rPr>
          <w:rFonts w:cs="Arial" w:hint="cs"/>
          <w:sz w:val="16"/>
          <w:szCs w:val="16"/>
          <w:rtl/>
        </w:rPr>
        <w:t>,</w:t>
      </w:r>
      <w:r w:rsidR="003E0EE6" w:rsidRPr="003E0EE6">
        <w:rPr>
          <w:rFonts w:cs="Arial"/>
          <w:sz w:val="16"/>
          <w:szCs w:val="16"/>
          <w:rtl/>
        </w:rPr>
        <w:t xml:space="preserve"> דחדא מילתא נינהו</w:t>
      </w:r>
      <w:r w:rsidR="003E0EE6" w:rsidRPr="003E0EE6">
        <w:rPr>
          <w:rFonts w:cs="Arial" w:hint="cs"/>
          <w:sz w:val="16"/>
          <w:szCs w:val="16"/>
          <w:rtl/>
        </w:rPr>
        <w:t>.</w:t>
      </w:r>
      <w:r w:rsidR="003E0EE6" w:rsidRPr="003E0EE6">
        <w:rPr>
          <w:rFonts w:cs="Arial"/>
          <w:sz w:val="16"/>
          <w:szCs w:val="16"/>
          <w:rtl/>
        </w:rPr>
        <w:t xml:space="preserve"> ושמואל אמר אפילו אמר מה שתרצי עשי לא קנה יתהון בעל</w:t>
      </w:r>
      <w:r w:rsidR="003E0EE6" w:rsidRPr="003E0EE6">
        <w:rPr>
          <w:rFonts w:cs="Arial" w:hint="cs"/>
          <w:sz w:val="16"/>
          <w:szCs w:val="16"/>
          <w:rtl/>
        </w:rPr>
        <w:t xml:space="preserve">, </w:t>
      </w:r>
      <w:r w:rsidR="00F93ED8" w:rsidRPr="003E0EE6">
        <w:rPr>
          <w:rFonts w:cs="Arial"/>
          <w:sz w:val="16"/>
          <w:szCs w:val="16"/>
          <w:rtl/>
        </w:rPr>
        <w:t>לא פליג ארב בפירושא דמתניתין</w:t>
      </w:r>
      <w:r w:rsidR="00F93ED8" w:rsidRPr="003E0EE6">
        <w:rPr>
          <w:rFonts w:cs="Arial" w:hint="cs"/>
          <w:sz w:val="16"/>
          <w:szCs w:val="16"/>
          <w:rtl/>
        </w:rPr>
        <w:t>,</w:t>
      </w:r>
      <w:r w:rsidR="00F93ED8" w:rsidRPr="003E0EE6">
        <w:rPr>
          <w:rFonts w:cs="Arial"/>
          <w:sz w:val="16"/>
          <w:szCs w:val="16"/>
          <w:rtl/>
        </w:rPr>
        <w:t xml:space="preserve"> אלא בדינא פליג עליה</w:t>
      </w:r>
      <w:r w:rsidR="00F93ED8" w:rsidRPr="003E0EE6">
        <w:rPr>
          <w:rFonts w:cs="Arial" w:hint="cs"/>
          <w:sz w:val="16"/>
          <w:szCs w:val="16"/>
          <w:rtl/>
        </w:rPr>
        <w:t>,</w:t>
      </w:r>
      <w:r w:rsidR="00F93ED8" w:rsidRPr="003E0EE6">
        <w:rPr>
          <w:rFonts w:cs="Arial"/>
          <w:sz w:val="16"/>
          <w:szCs w:val="16"/>
          <w:rtl/>
        </w:rPr>
        <w:t xml:space="preserve"> דסבירא ליה דהלכה כרבנן דפליגי אמתניתין ואמרי דלא אמרינן יד אשה כיד בעלה</w:t>
      </w:r>
      <w:r w:rsidR="00F93ED8" w:rsidRPr="003E0EE6">
        <w:rPr>
          <w:rFonts w:cs="Arial" w:hint="cs"/>
          <w:sz w:val="16"/>
          <w:szCs w:val="16"/>
          <w:rtl/>
        </w:rPr>
        <w:t>.</w:t>
      </w:r>
      <w:r w:rsidR="00F93ED8" w:rsidRPr="003E0EE6">
        <w:rPr>
          <w:rFonts w:cs="Arial"/>
          <w:sz w:val="16"/>
          <w:szCs w:val="16"/>
          <w:rtl/>
        </w:rPr>
        <w:t xml:space="preserve"> הילכך אי א"ל </w:t>
      </w:r>
      <w:r w:rsidR="00F93ED8" w:rsidRPr="003E0EE6">
        <w:rPr>
          <w:rFonts w:cs="Arial" w:hint="cs"/>
          <w:sz w:val="16"/>
          <w:szCs w:val="16"/>
          <w:rtl/>
        </w:rPr>
        <w:t>'</w:t>
      </w:r>
      <w:r w:rsidR="00F93ED8" w:rsidRPr="003E0EE6">
        <w:rPr>
          <w:rFonts w:cs="Arial"/>
          <w:sz w:val="16"/>
          <w:szCs w:val="16"/>
          <w:rtl/>
        </w:rPr>
        <w:t>מה שתרצי עשי</w:t>
      </w:r>
      <w:r w:rsidR="00F93ED8" w:rsidRPr="003E0EE6">
        <w:rPr>
          <w:rFonts w:cs="Arial" w:hint="cs"/>
          <w:sz w:val="16"/>
          <w:szCs w:val="16"/>
          <w:rtl/>
        </w:rPr>
        <w:t>',</w:t>
      </w:r>
      <w:r w:rsidR="00F93ED8" w:rsidRPr="003E0EE6">
        <w:rPr>
          <w:rFonts w:cs="Arial"/>
          <w:sz w:val="16"/>
          <w:szCs w:val="16"/>
          <w:rtl/>
        </w:rPr>
        <w:t xml:space="preserve"> אי נמי </w:t>
      </w:r>
      <w:r w:rsidR="00F93ED8" w:rsidRPr="003E0EE6">
        <w:rPr>
          <w:rFonts w:cs="Arial" w:hint="cs"/>
          <w:sz w:val="16"/>
          <w:szCs w:val="16"/>
          <w:rtl/>
        </w:rPr>
        <w:t>'</w:t>
      </w:r>
      <w:r w:rsidR="00F93ED8" w:rsidRPr="003E0EE6">
        <w:rPr>
          <w:rFonts w:cs="Arial"/>
          <w:sz w:val="16"/>
          <w:szCs w:val="16"/>
          <w:rtl/>
        </w:rPr>
        <w:t>על מנת שאין לבעליך רשות בהם</w:t>
      </w:r>
      <w:r w:rsidR="00F93ED8" w:rsidRPr="003E0EE6">
        <w:rPr>
          <w:rFonts w:cs="Arial" w:hint="cs"/>
          <w:sz w:val="16"/>
          <w:szCs w:val="16"/>
          <w:rtl/>
        </w:rPr>
        <w:t>'</w:t>
      </w:r>
      <w:r w:rsidR="00F93ED8" w:rsidRPr="003E0EE6">
        <w:rPr>
          <w:rFonts w:cs="Arial"/>
          <w:sz w:val="16"/>
          <w:szCs w:val="16"/>
          <w:rtl/>
        </w:rPr>
        <w:t xml:space="preserve"> בלחוד</w:t>
      </w:r>
      <w:r w:rsidR="006028B3">
        <w:rPr>
          <w:rFonts w:cs="Arial" w:hint="cs"/>
          <w:sz w:val="16"/>
          <w:szCs w:val="16"/>
          <w:rtl/>
        </w:rPr>
        <w:t>,</w:t>
      </w:r>
      <w:r w:rsidR="00F93ED8" w:rsidRPr="003E0EE6">
        <w:rPr>
          <w:rFonts w:cs="Arial"/>
          <w:sz w:val="16"/>
          <w:szCs w:val="16"/>
          <w:rtl/>
        </w:rPr>
        <w:t xml:space="preserve"> דכי הדדי נינהו </w:t>
      </w:r>
      <w:r w:rsidR="00F93ED8" w:rsidRPr="003E0EE6">
        <w:rPr>
          <w:rFonts w:cs="Arial" w:hint="cs"/>
          <w:sz w:val="16"/>
          <w:szCs w:val="16"/>
          <w:rtl/>
        </w:rPr>
        <w:t xml:space="preserve">- </w:t>
      </w:r>
      <w:r w:rsidR="00F93ED8" w:rsidRPr="003E0EE6">
        <w:rPr>
          <w:rFonts w:cs="Arial"/>
          <w:sz w:val="16"/>
          <w:szCs w:val="16"/>
          <w:rtl/>
        </w:rPr>
        <w:t>מהני</w:t>
      </w:r>
      <w:r w:rsidR="00F93ED8" w:rsidRPr="003E0EE6">
        <w:rPr>
          <w:rFonts w:cs="Arial" w:hint="cs"/>
          <w:sz w:val="16"/>
          <w:szCs w:val="16"/>
          <w:rtl/>
        </w:rPr>
        <w:t>.</w:t>
      </w:r>
      <w:r w:rsidR="003E0EE6">
        <w:rPr>
          <w:rFonts w:cs="Arial" w:hint="cs"/>
          <w:sz w:val="16"/>
          <w:szCs w:val="16"/>
          <w:rtl/>
        </w:rPr>
        <w:t>..</w:t>
      </w:r>
      <w:r w:rsidR="00F93ED8" w:rsidRPr="003E0EE6">
        <w:rPr>
          <w:rFonts w:cs="Arial"/>
          <w:sz w:val="16"/>
          <w:szCs w:val="16"/>
          <w:rtl/>
        </w:rPr>
        <w:t xml:space="preserve"> </w:t>
      </w:r>
      <w:r w:rsidR="003E0EE6" w:rsidRPr="003E0EE6">
        <w:rPr>
          <w:rFonts w:cs="Arial"/>
          <w:sz w:val="16"/>
          <w:szCs w:val="16"/>
          <w:rtl/>
        </w:rPr>
        <w:t>והרמב"ם ז"ל</w:t>
      </w:r>
      <w:r w:rsidR="003E0EE6" w:rsidRPr="003E0EE6">
        <w:rPr>
          <w:rFonts w:cs="Arial" w:hint="cs"/>
          <w:sz w:val="16"/>
          <w:szCs w:val="16"/>
          <w:rtl/>
        </w:rPr>
        <w:t>...</w:t>
      </w:r>
      <w:r w:rsidR="003E0EE6" w:rsidRPr="003E0EE6">
        <w:rPr>
          <w:rFonts w:cs="Arial"/>
          <w:sz w:val="16"/>
          <w:szCs w:val="16"/>
          <w:rtl/>
        </w:rPr>
        <w:t xml:space="preserve"> מפרש דרב ושמואל בהא פליגי</w:t>
      </w:r>
      <w:r w:rsidR="003E0EE6">
        <w:rPr>
          <w:rFonts w:cs="Arial" w:hint="cs"/>
          <w:sz w:val="16"/>
          <w:szCs w:val="16"/>
          <w:rtl/>
        </w:rPr>
        <w:t>,</w:t>
      </w:r>
      <w:r w:rsidR="003E0EE6" w:rsidRPr="003E0EE6">
        <w:rPr>
          <w:rFonts w:cs="Arial"/>
          <w:sz w:val="16"/>
          <w:szCs w:val="16"/>
          <w:rtl/>
        </w:rPr>
        <w:t xml:space="preserve"> דרב סבר דהא דנקט מתניתין </w:t>
      </w:r>
      <w:r w:rsidR="003E0EE6">
        <w:rPr>
          <w:rFonts w:cs="Arial" w:hint="cs"/>
          <w:sz w:val="16"/>
          <w:szCs w:val="16"/>
          <w:rtl/>
        </w:rPr>
        <w:t>'</w:t>
      </w:r>
      <w:r w:rsidR="003E0EE6" w:rsidRPr="003E0EE6">
        <w:rPr>
          <w:rFonts w:cs="Arial"/>
          <w:sz w:val="16"/>
          <w:szCs w:val="16"/>
          <w:rtl/>
        </w:rPr>
        <w:t>שאת נותנת לפיך</w:t>
      </w:r>
      <w:r w:rsidR="003E0EE6">
        <w:rPr>
          <w:rFonts w:cs="Arial" w:hint="cs"/>
          <w:sz w:val="16"/>
          <w:szCs w:val="16"/>
          <w:rtl/>
        </w:rPr>
        <w:t>'</w:t>
      </w:r>
      <w:r w:rsidR="003E0EE6" w:rsidRPr="003E0EE6">
        <w:rPr>
          <w:rFonts w:cs="Arial"/>
          <w:sz w:val="16"/>
          <w:szCs w:val="16"/>
          <w:rtl/>
        </w:rPr>
        <w:t xml:space="preserve"> דוקא הוא</w:t>
      </w:r>
      <w:r w:rsidR="003E0EE6" w:rsidRPr="003E0EE6">
        <w:rPr>
          <w:rFonts w:cs="Arial" w:hint="cs"/>
          <w:sz w:val="16"/>
          <w:szCs w:val="16"/>
          <w:rtl/>
        </w:rPr>
        <w:t>,</w:t>
      </w:r>
      <w:r w:rsidR="003E0EE6" w:rsidRPr="003E0EE6">
        <w:rPr>
          <w:rFonts w:cs="Arial"/>
          <w:sz w:val="16"/>
          <w:szCs w:val="16"/>
          <w:rtl/>
        </w:rPr>
        <w:t xml:space="preserve"> ולישנא אחרינא לא מהני ביה</w:t>
      </w:r>
      <w:r w:rsidR="003E0EE6" w:rsidRPr="003E0EE6">
        <w:rPr>
          <w:rFonts w:cs="Arial" w:hint="cs"/>
          <w:sz w:val="16"/>
          <w:szCs w:val="16"/>
          <w:rtl/>
        </w:rPr>
        <w:t>,</w:t>
      </w:r>
      <w:r w:rsidR="003E0EE6" w:rsidRPr="003E0EE6">
        <w:rPr>
          <w:rFonts w:cs="Arial"/>
          <w:sz w:val="16"/>
          <w:szCs w:val="16"/>
          <w:rtl/>
        </w:rPr>
        <w:t xml:space="preserve"> דאי אמר </w:t>
      </w:r>
      <w:r w:rsidR="003E0EE6">
        <w:rPr>
          <w:rFonts w:cs="Arial" w:hint="cs"/>
          <w:sz w:val="16"/>
          <w:szCs w:val="16"/>
          <w:rtl/>
        </w:rPr>
        <w:t>'</w:t>
      </w:r>
      <w:r w:rsidR="003E0EE6" w:rsidRPr="003E0EE6">
        <w:rPr>
          <w:rFonts w:cs="Arial"/>
          <w:sz w:val="16"/>
          <w:szCs w:val="16"/>
          <w:rtl/>
        </w:rPr>
        <w:t>מה שתרצי עשי</w:t>
      </w:r>
      <w:r w:rsidR="003E0EE6">
        <w:rPr>
          <w:rFonts w:cs="Arial" w:hint="cs"/>
          <w:sz w:val="16"/>
          <w:szCs w:val="16"/>
          <w:rtl/>
        </w:rPr>
        <w:t>'</w:t>
      </w:r>
      <w:r w:rsidR="003E0EE6" w:rsidRPr="003E0EE6">
        <w:rPr>
          <w:rFonts w:cs="Arial"/>
          <w:sz w:val="16"/>
          <w:szCs w:val="16"/>
          <w:rtl/>
        </w:rPr>
        <w:t xml:space="preserve"> לא קנה יתהון בעל</w:t>
      </w:r>
      <w:r w:rsidR="003E0EE6" w:rsidRPr="003E0EE6">
        <w:rPr>
          <w:rFonts w:cs="Arial" w:hint="cs"/>
          <w:sz w:val="16"/>
          <w:szCs w:val="16"/>
          <w:rtl/>
        </w:rPr>
        <w:t>.</w:t>
      </w:r>
      <w:r w:rsidR="003E0EE6" w:rsidRPr="003E0EE6">
        <w:rPr>
          <w:rFonts w:cs="Arial"/>
          <w:sz w:val="16"/>
          <w:szCs w:val="16"/>
          <w:rtl/>
        </w:rPr>
        <w:t xml:space="preserve"> ושמואל סבר דלאו דוקא</w:t>
      </w:r>
      <w:r w:rsidR="003E0EE6" w:rsidRPr="003E0EE6">
        <w:rPr>
          <w:rFonts w:cs="Arial" w:hint="cs"/>
          <w:sz w:val="16"/>
          <w:szCs w:val="16"/>
          <w:rtl/>
        </w:rPr>
        <w:t>,</w:t>
      </w:r>
      <w:r w:rsidR="003E0EE6" w:rsidRPr="003E0EE6">
        <w:rPr>
          <w:rFonts w:cs="Arial"/>
          <w:sz w:val="16"/>
          <w:szCs w:val="16"/>
          <w:rtl/>
        </w:rPr>
        <w:t xml:space="preserve"> דהוא הדין </w:t>
      </w:r>
      <w:r w:rsidR="003E0EE6">
        <w:rPr>
          <w:rFonts w:cs="Arial" w:hint="cs"/>
          <w:sz w:val="16"/>
          <w:szCs w:val="16"/>
          <w:rtl/>
        </w:rPr>
        <w:t>'</w:t>
      </w:r>
      <w:r w:rsidR="003E0EE6" w:rsidRPr="003E0EE6">
        <w:rPr>
          <w:rFonts w:cs="Arial"/>
          <w:sz w:val="16"/>
          <w:szCs w:val="16"/>
          <w:rtl/>
        </w:rPr>
        <w:t>מה שתרצי עשי</w:t>
      </w:r>
      <w:r w:rsidR="003E0EE6">
        <w:rPr>
          <w:rFonts w:cs="Arial" w:hint="cs"/>
          <w:sz w:val="16"/>
          <w:szCs w:val="16"/>
          <w:rtl/>
        </w:rPr>
        <w:t>'</w:t>
      </w:r>
      <w:r w:rsidR="003E0EE6" w:rsidRPr="003E0EE6">
        <w:rPr>
          <w:rFonts w:cs="Arial" w:hint="cs"/>
          <w:sz w:val="16"/>
          <w:szCs w:val="16"/>
          <w:rtl/>
        </w:rPr>
        <w:t>,</w:t>
      </w:r>
      <w:r w:rsidR="003E0EE6" w:rsidRPr="003E0EE6">
        <w:rPr>
          <w:rFonts w:cs="Arial"/>
          <w:sz w:val="16"/>
          <w:szCs w:val="16"/>
          <w:rtl/>
        </w:rPr>
        <w:t xml:space="preserve"> ומיהו לכולי עלמא תרי לישני בעינן</w:t>
      </w:r>
      <w:r w:rsidR="00560CFB">
        <w:rPr>
          <w:rStyle w:val="a7"/>
          <w:rFonts w:cs="Arial"/>
          <w:sz w:val="16"/>
          <w:szCs w:val="16"/>
          <w:rtl/>
        </w:rPr>
        <w:footnoteReference w:id="932"/>
      </w:r>
      <w:r w:rsidR="003E0EE6" w:rsidRPr="003E0EE6">
        <w:rPr>
          <w:rFonts w:cs="Arial" w:hint="cs"/>
          <w:sz w:val="16"/>
          <w:szCs w:val="16"/>
          <w:rtl/>
        </w:rPr>
        <w:t>.</w:t>
      </w:r>
      <w:r w:rsidR="003E0EE6" w:rsidRPr="003E0EE6">
        <w:rPr>
          <w:rFonts w:cs="Arial"/>
          <w:sz w:val="16"/>
          <w:szCs w:val="16"/>
          <w:rtl/>
        </w:rPr>
        <w:t xml:space="preserve"> והקשו עליו וכי מאי מוסיף במאי דא"ל תו מה שתרצי עשי</w:t>
      </w:r>
      <w:r w:rsidR="006028B3">
        <w:rPr>
          <w:rFonts w:cs="Arial" w:hint="cs"/>
          <w:sz w:val="16"/>
          <w:szCs w:val="16"/>
          <w:rtl/>
        </w:rPr>
        <w:t>,</w:t>
      </w:r>
      <w:r w:rsidR="003E0EE6" w:rsidRPr="003E0EE6">
        <w:rPr>
          <w:rFonts w:cs="Arial"/>
          <w:sz w:val="16"/>
          <w:szCs w:val="16"/>
          <w:rtl/>
        </w:rPr>
        <w:t xml:space="preserve"> הא אינו אלא כאומר על מנת שאין לבעליך רשות בהם</w:t>
      </w:r>
      <w:r w:rsidR="003E0EE6" w:rsidRPr="003E0EE6">
        <w:rPr>
          <w:rFonts w:cs="Arial" w:hint="cs"/>
          <w:sz w:val="16"/>
          <w:szCs w:val="16"/>
          <w:rtl/>
        </w:rPr>
        <w:t>.</w:t>
      </w:r>
      <w:r w:rsidR="003E0EE6" w:rsidRPr="003E0EE6">
        <w:rPr>
          <w:rFonts w:cs="Arial"/>
          <w:sz w:val="16"/>
          <w:szCs w:val="16"/>
          <w:rtl/>
        </w:rPr>
        <w:t xml:space="preserve"> ונראה לי דהיינו טעמא משום דכי א"ל מה שתרצי עשי </w:t>
      </w:r>
      <w:r w:rsidR="006028B3">
        <w:rPr>
          <w:rFonts w:cs="Arial" w:hint="cs"/>
          <w:sz w:val="16"/>
          <w:szCs w:val="16"/>
          <w:rtl/>
        </w:rPr>
        <w:t xml:space="preserve">- </w:t>
      </w:r>
      <w:r w:rsidR="003E0EE6" w:rsidRPr="003E0EE6">
        <w:rPr>
          <w:rFonts w:cs="Arial"/>
          <w:sz w:val="16"/>
          <w:szCs w:val="16"/>
          <w:rtl/>
        </w:rPr>
        <w:t>לדידה נמי לא יהיב לה לגמרי דנימא לאלתר זכה בהן בעל</w:t>
      </w:r>
      <w:r w:rsidR="003E0EE6" w:rsidRPr="003E0EE6">
        <w:rPr>
          <w:rFonts w:cs="Arial" w:hint="cs"/>
          <w:sz w:val="16"/>
          <w:szCs w:val="16"/>
          <w:rtl/>
        </w:rPr>
        <w:t>,</w:t>
      </w:r>
      <w:r w:rsidR="003E0EE6" w:rsidRPr="003E0EE6">
        <w:rPr>
          <w:rFonts w:cs="Arial"/>
          <w:sz w:val="16"/>
          <w:szCs w:val="16"/>
          <w:rtl/>
        </w:rPr>
        <w:t xml:space="preserve"> אלא הרי הוא כאומר לא יהו שלך אלא לאותו דבר שתרצי לעשות בכל שעה ושעה</w:t>
      </w:r>
      <w:r w:rsidR="003E0EE6" w:rsidRPr="003E0EE6">
        <w:rPr>
          <w:rFonts w:cs="Arial" w:hint="cs"/>
          <w:sz w:val="16"/>
          <w:szCs w:val="16"/>
          <w:rtl/>
        </w:rPr>
        <w:t>,</w:t>
      </w:r>
      <w:r w:rsidR="003E0EE6" w:rsidRPr="003E0EE6">
        <w:rPr>
          <w:rFonts w:cs="Arial"/>
          <w:sz w:val="16"/>
          <w:szCs w:val="16"/>
          <w:rtl/>
        </w:rPr>
        <w:t xml:space="preserve"> וסבירא ליה לשמואל דכי היכי דמיחד לדבר אחד מיוחד מהני</w:t>
      </w:r>
      <w:r w:rsidR="003E0EE6" w:rsidRPr="003E0EE6">
        <w:rPr>
          <w:rFonts w:cs="Arial" w:hint="cs"/>
          <w:sz w:val="16"/>
          <w:szCs w:val="16"/>
          <w:rtl/>
        </w:rPr>
        <w:t>,</w:t>
      </w:r>
      <w:r w:rsidR="003E0EE6" w:rsidRPr="003E0EE6">
        <w:rPr>
          <w:rFonts w:cs="Arial"/>
          <w:sz w:val="16"/>
          <w:szCs w:val="16"/>
          <w:rtl/>
        </w:rPr>
        <w:t xml:space="preserve"> הכי נמי כיון דמיחד לאותו דבר שתרצה לעשות מהן כל שעה ושעה מהני</w:t>
      </w:r>
      <w:r w:rsidR="003E0EE6" w:rsidRPr="003E0EE6">
        <w:rPr>
          <w:rFonts w:cs="Arial" w:hint="cs"/>
          <w:sz w:val="16"/>
          <w:szCs w:val="16"/>
          <w:rtl/>
        </w:rPr>
        <w:t>,</w:t>
      </w:r>
      <w:r w:rsidR="003E0EE6" w:rsidRPr="003E0EE6">
        <w:rPr>
          <w:rFonts w:cs="Arial"/>
          <w:sz w:val="16"/>
          <w:szCs w:val="16"/>
          <w:rtl/>
        </w:rPr>
        <w:t xml:space="preserve"> שאין קניה חל אלא באותה שעה שתרצה לעשות בהן איזה דבר לאותו דבר בלחוד</w:t>
      </w:r>
      <w:r w:rsidR="003E0EE6" w:rsidRPr="003E0EE6">
        <w:rPr>
          <w:rFonts w:cs="Arial" w:hint="cs"/>
          <w:sz w:val="16"/>
          <w:szCs w:val="16"/>
          <w:rtl/>
        </w:rPr>
        <w:t>)</w:t>
      </w:r>
    </w:p>
    <w:p w14:paraId="665A5A3C" w14:textId="6A4F4221" w:rsidR="00C41524" w:rsidRPr="00C41524" w:rsidRDefault="00C41524" w:rsidP="00C41524">
      <w:pPr>
        <w:rPr>
          <w:u w:val="single"/>
          <w:rtl/>
        </w:rPr>
      </w:pPr>
      <w:r w:rsidRPr="00C41524">
        <w:rPr>
          <w:rFonts w:hint="cs"/>
          <w:u w:val="single"/>
          <w:rtl/>
        </w:rPr>
        <w:t>הנותן מתנה לאשת איש על מנת שאין לבעלה רשות בה:</w:t>
      </w:r>
    </w:p>
    <w:p w14:paraId="39F421C3" w14:textId="430C1597" w:rsidR="001B4C81" w:rsidRDefault="009C04FF" w:rsidP="009000E3">
      <w:pPr>
        <w:pStyle w:val="ab"/>
        <w:numPr>
          <w:ilvl w:val="0"/>
          <w:numId w:val="47"/>
        </w:numPr>
      </w:pPr>
      <w:r>
        <w:rPr>
          <w:rFonts w:cs="Arial" w:hint="cs"/>
          <w:rtl/>
        </w:rPr>
        <w:t xml:space="preserve">ר"ת ראב"ד מרדכי רשב"א רא"ש </w:t>
      </w:r>
      <w:r w:rsidR="00236BCF">
        <w:rPr>
          <w:rFonts w:cs="Arial" w:hint="cs"/>
          <w:rtl/>
        </w:rPr>
        <w:t>ו</w:t>
      </w:r>
      <w:r w:rsidR="00605FD6">
        <w:rPr>
          <w:rFonts w:cs="Arial" w:hint="cs"/>
          <w:rtl/>
        </w:rPr>
        <w:t>טור</w:t>
      </w:r>
      <w:r>
        <w:rPr>
          <w:rStyle w:val="a7"/>
          <w:rFonts w:cs="Arial"/>
          <w:rtl/>
        </w:rPr>
        <w:footnoteReference w:id="933"/>
      </w:r>
      <w:r w:rsidR="00605FD6">
        <w:rPr>
          <w:rFonts w:cs="Arial" w:hint="cs"/>
          <w:rtl/>
        </w:rPr>
        <w:t>-</w:t>
      </w:r>
      <w:r w:rsidR="00605FD6" w:rsidRPr="007A228B">
        <w:rPr>
          <w:rFonts w:cs="Arial"/>
          <w:rtl/>
        </w:rPr>
        <w:t xml:space="preserve"> </w:t>
      </w:r>
      <w:r w:rsidR="001B4C81">
        <w:rPr>
          <w:rFonts w:cs="Arial" w:hint="cs"/>
          <w:rtl/>
        </w:rPr>
        <w:t xml:space="preserve">הלכתא </w:t>
      </w:r>
      <w:r w:rsidR="001B4C81" w:rsidRPr="006B4DCF">
        <w:rPr>
          <w:rFonts w:cs="Arial"/>
          <w:rtl/>
        </w:rPr>
        <w:t>כרב</w:t>
      </w:r>
      <w:r w:rsidR="001B4C81">
        <w:rPr>
          <w:rFonts w:cs="Arial" w:hint="cs"/>
          <w:rtl/>
        </w:rPr>
        <w:t>,</w:t>
      </w:r>
      <w:r w:rsidR="001B4C81" w:rsidRPr="006B4DCF">
        <w:rPr>
          <w:rFonts w:cs="Arial"/>
          <w:rtl/>
        </w:rPr>
        <w:t xml:space="preserve"> משום דגבי נדרים איתשיל קמייהו והוי לה איסורי וקי"ל כרב באיסורי, ועוד דהא אקשינן ופרקינן דשמעתין אליבא דרב דאלמא הלכתא כותיה</w:t>
      </w:r>
      <w:r w:rsidR="001B4C81">
        <w:rPr>
          <w:rFonts w:hint="cs"/>
          <w:sz w:val="16"/>
          <w:szCs w:val="16"/>
          <w:rtl/>
        </w:rPr>
        <w:t xml:space="preserve"> (ל' הרשב"א)</w:t>
      </w:r>
      <w:r w:rsidR="001B4C81">
        <w:rPr>
          <w:rFonts w:hint="cs"/>
          <w:rtl/>
        </w:rPr>
        <w:t>.</w:t>
      </w:r>
    </w:p>
    <w:p w14:paraId="0B4C0B89" w14:textId="00D27CAD" w:rsidR="001B4C81" w:rsidRPr="00F93ED8" w:rsidRDefault="001B4C81" w:rsidP="009000E3">
      <w:pPr>
        <w:pStyle w:val="ab"/>
        <w:numPr>
          <w:ilvl w:val="0"/>
          <w:numId w:val="47"/>
        </w:numPr>
      </w:pPr>
      <w:r w:rsidRPr="001B4C81">
        <w:rPr>
          <w:rFonts w:cs="Arial"/>
          <w:rtl/>
        </w:rPr>
        <w:t>רב סעדיה גאון</w:t>
      </w:r>
      <w:r w:rsidR="00F93ED8">
        <w:rPr>
          <w:rFonts w:cs="Arial" w:hint="cs"/>
          <w:rtl/>
        </w:rPr>
        <w:t xml:space="preserve"> </w:t>
      </w:r>
      <w:r>
        <w:rPr>
          <w:rFonts w:cs="Arial" w:hint="cs"/>
          <w:rtl/>
        </w:rPr>
        <w:t>רב עמרם גאון</w:t>
      </w:r>
      <w:r w:rsidRPr="001B4C81">
        <w:rPr>
          <w:rFonts w:hint="cs"/>
          <w:rtl/>
        </w:rPr>
        <w:t xml:space="preserve"> </w:t>
      </w:r>
      <w:r>
        <w:rPr>
          <w:rFonts w:hint="cs"/>
          <w:rtl/>
        </w:rPr>
        <w:t>רמב"ם רמב"ן</w:t>
      </w:r>
      <w:r w:rsidR="004613BF">
        <w:rPr>
          <w:rFonts w:hint="cs"/>
          <w:rtl/>
        </w:rPr>
        <w:t xml:space="preserve"> והה"מ</w:t>
      </w:r>
      <w:r w:rsidR="00F93ED8">
        <w:rPr>
          <w:rStyle w:val="a7"/>
          <w:rFonts w:cs="Arial"/>
          <w:rtl/>
        </w:rPr>
        <w:footnoteReference w:id="934"/>
      </w:r>
      <w:r>
        <w:rPr>
          <w:rFonts w:cs="Arial" w:hint="cs"/>
          <w:rtl/>
        </w:rPr>
        <w:t xml:space="preserve">- </w:t>
      </w:r>
      <w:r>
        <w:rPr>
          <w:rFonts w:cs="Arial"/>
          <w:rtl/>
        </w:rPr>
        <w:t>הלכה כשמואל</w:t>
      </w:r>
      <w:r>
        <w:rPr>
          <w:rFonts w:cs="Arial" w:hint="cs"/>
          <w:rtl/>
        </w:rPr>
        <w:t>,</w:t>
      </w:r>
      <w:r>
        <w:rPr>
          <w:rFonts w:cs="Arial"/>
          <w:rtl/>
        </w:rPr>
        <w:t xml:space="preserve"> דאע</w:t>
      </w:r>
      <w:r>
        <w:rPr>
          <w:rFonts w:cs="Arial" w:hint="cs"/>
          <w:rtl/>
        </w:rPr>
        <w:t>"</w:t>
      </w:r>
      <w:r>
        <w:rPr>
          <w:rFonts w:cs="Arial"/>
          <w:rtl/>
        </w:rPr>
        <w:t>ג דפלוגתייהו הכא לענין איסורא</w:t>
      </w:r>
      <w:r>
        <w:rPr>
          <w:rFonts w:cs="Arial" w:hint="cs"/>
          <w:rtl/>
        </w:rPr>
        <w:t>,</w:t>
      </w:r>
      <w:r>
        <w:rPr>
          <w:rFonts w:cs="Arial"/>
          <w:rtl/>
        </w:rPr>
        <w:t xml:space="preserve"> כיון דעיקר פלוגתייהו בדינא תלי אי אמרינן יד אשה כיד בעלה או לא נקטינן כשמואל דהלכתא כוותיה בדיני</w:t>
      </w:r>
      <w:r>
        <w:rPr>
          <w:rFonts w:cs="Arial" w:hint="cs"/>
          <w:rtl/>
        </w:rPr>
        <w:t>.</w:t>
      </w:r>
      <w:r>
        <w:rPr>
          <w:rFonts w:cs="Arial"/>
          <w:rtl/>
        </w:rPr>
        <w:t xml:space="preserve"> ועוד דרב כרבי מאיר</w:t>
      </w:r>
      <w:r w:rsidR="00165AA2">
        <w:rPr>
          <w:rFonts w:cs="Arial" w:hint="cs"/>
          <w:rtl/>
        </w:rPr>
        <w:t>,</w:t>
      </w:r>
      <w:r>
        <w:rPr>
          <w:rFonts w:cs="Arial"/>
          <w:rtl/>
        </w:rPr>
        <w:t xml:space="preserve"> ושמואל כרבנן</w:t>
      </w:r>
      <w:r>
        <w:rPr>
          <w:rFonts w:cs="Arial" w:hint="cs"/>
          <w:rtl/>
        </w:rPr>
        <w:t>,</w:t>
      </w:r>
      <w:r>
        <w:rPr>
          <w:rFonts w:cs="Arial"/>
          <w:rtl/>
        </w:rPr>
        <w:t xml:space="preserve"> הילכך נקטינן כוותיהו</w:t>
      </w:r>
      <w:r>
        <w:rPr>
          <w:rFonts w:cs="Arial" w:hint="cs"/>
          <w:rtl/>
        </w:rPr>
        <w:t>.</w:t>
      </w:r>
      <w:r>
        <w:rPr>
          <w:rFonts w:cs="Arial"/>
          <w:rtl/>
        </w:rPr>
        <w:t xml:space="preserve"> ועוד דסוגיין בעלמא בפרק מי שאמר הריני נזיר </w:t>
      </w:r>
      <w:r w:rsidRPr="00F93ED8">
        <w:rPr>
          <w:rFonts w:cs="Arial"/>
          <w:sz w:val="16"/>
          <w:szCs w:val="16"/>
          <w:rtl/>
        </w:rPr>
        <w:t xml:space="preserve">(נזיר כד:) </w:t>
      </w:r>
      <w:r>
        <w:rPr>
          <w:rFonts w:cs="Arial"/>
          <w:rtl/>
        </w:rPr>
        <w:t xml:space="preserve">ובפרק בן סורר ומורה </w:t>
      </w:r>
      <w:r w:rsidRPr="00F93ED8">
        <w:rPr>
          <w:rFonts w:cs="Arial"/>
          <w:sz w:val="16"/>
          <w:szCs w:val="16"/>
          <w:rtl/>
        </w:rPr>
        <w:t xml:space="preserve">(סנהדרין עא.) </w:t>
      </w:r>
      <w:r>
        <w:rPr>
          <w:rFonts w:cs="Arial"/>
          <w:rtl/>
        </w:rPr>
        <w:t>כשמואל</w:t>
      </w:r>
      <w:r w:rsidR="00165AA2">
        <w:rPr>
          <w:rFonts w:cs="Arial" w:hint="cs"/>
          <w:rtl/>
        </w:rPr>
        <w:t>,</w:t>
      </w:r>
      <w:r>
        <w:rPr>
          <w:rFonts w:cs="Arial"/>
          <w:rtl/>
        </w:rPr>
        <w:t xml:space="preserve"> דעל מנת שאין לבעליך רשות בהן בלחוד מהני</w:t>
      </w:r>
      <w:r>
        <w:rPr>
          <w:rFonts w:cs="Arial" w:hint="cs"/>
          <w:sz w:val="16"/>
          <w:szCs w:val="16"/>
          <w:rtl/>
        </w:rPr>
        <w:t xml:space="preserve"> (ל' הר"ן)</w:t>
      </w:r>
      <w:r>
        <w:rPr>
          <w:rFonts w:cs="Arial" w:hint="cs"/>
          <w:rtl/>
        </w:rPr>
        <w:t>.</w:t>
      </w:r>
      <w:r w:rsidR="00337B67" w:rsidRPr="00337B67">
        <w:rPr>
          <w:rFonts w:hint="cs"/>
          <w:color w:val="E36C0A" w:themeColor="accent6" w:themeShade="BF"/>
          <w:rtl/>
        </w:rPr>
        <w:t xml:space="preserve"> </w:t>
      </w:r>
      <w:r w:rsidR="00337B67" w:rsidRPr="00137671">
        <w:rPr>
          <w:rFonts w:hint="cs"/>
          <w:color w:val="E36C0A" w:themeColor="accent6" w:themeShade="BF"/>
          <w:rtl/>
        </w:rPr>
        <w:t>(וכ"פ בשו"ע)</w:t>
      </w:r>
    </w:p>
    <w:p w14:paraId="09E67195" w14:textId="0CBBFF29" w:rsidR="00F93ED8" w:rsidRPr="00F93ED8" w:rsidRDefault="00F93ED8" w:rsidP="00F93ED8">
      <w:pPr>
        <w:ind w:left="360"/>
        <w:rPr>
          <w:u w:val="dotted"/>
        </w:rPr>
      </w:pPr>
      <w:r w:rsidRPr="00F93ED8">
        <w:rPr>
          <w:rFonts w:hint="cs"/>
          <w:u w:val="dotted"/>
          <w:rtl/>
        </w:rPr>
        <w:t xml:space="preserve">למעשה </w:t>
      </w:r>
      <w:r w:rsidR="00F97626">
        <w:rPr>
          <w:u w:val="dotted"/>
          <w:rtl/>
        </w:rPr>
        <w:t>-</w:t>
      </w:r>
      <w:r w:rsidRPr="00F93ED8">
        <w:rPr>
          <w:rFonts w:hint="cs"/>
          <w:u w:val="dotted"/>
          <w:rtl/>
        </w:rPr>
        <w:t xml:space="preserve"> </w:t>
      </w:r>
      <w:r w:rsidR="00262E7E">
        <w:rPr>
          <w:rFonts w:hint="cs"/>
          <w:u w:val="dotted"/>
          <w:rtl/>
        </w:rPr>
        <w:t xml:space="preserve">כיצד צריך לומר נותן המתנה לאשה כדי שלא יקנה </w:t>
      </w:r>
      <w:r w:rsidRPr="00F93ED8">
        <w:rPr>
          <w:rFonts w:hint="cs"/>
          <w:u w:val="dotted"/>
          <w:rtl/>
        </w:rPr>
        <w:t>בעלה:</w:t>
      </w:r>
    </w:p>
    <w:p w14:paraId="2F0D0C41" w14:textId="400764EF" w:rsidR="00C41524" w:rsidRDefault="00F93ED8" w:rsidP="009000E3">
      <w:pPr>
        <w:pStyle w:val="ab"/>
        <w:numPr>
          <w:ilvl w:val="0"/>
          <w:numId w:val="47"/>
        </w:numPr>
      </w:pPr>
      <w:r>
        <w:rPr>
          <w:rFonts w:cs="Arial" w:hint="cs"/>
          <w:rtl/>
        </w:rPr>
        <w:t>ר"ת ראב"ד מרדכי רשב"א רא"ש וטור</w:t>
      </w:r>
      <w:r>
        <w:rPr>
          <w:rStyle w:val="a7"/>
          <w:rFonts w:cs="Arial"/>
          <w:rtl/>
        </w:rPr>
        <w:footnoteReference w:id="935"/>
      </w:r>
      <w:r>
        <w:rPr>
          <w:rFonts w:cs="Arial" w:hint="cs"/>
          <w:rtl/>
        </w:rPr>
        <w:t xml:space="preserve">- </w:t>
      </w:r>
      <w:r w:rsidR="00605FD6" w:rsidRPr="007A228B">
        <w:rPr>
          <w:rFonts w:cs="Arial"/>
          <w:rtl/>
        </w:rPr>
        <w:t xml:space="preserve">אחר שנתן לה מתנה אפי' אמר לה ע"מ שלא יהא כלום לבעל אני נותן לך </w:t>
      </w:r>
      <w:r w:rsidR="00C41524">
        <w:rPr>
          <w:rFonts w:cs="Arial" w:hint="cs"/>
          <w:rtl/>
        </w:rPr>
        <w:t xml:space="preserve">- </w:t>
      </w:r>
      <w:r w:rsidR="00605FD6" w:rsidRPr="007A228B">
        <w:rPr>
          <w:rFonts w:cs="Arial"/>
          <w:rtl/>
        </w:rPr>
        <w:t>אפ"ה אוכל הפירות</w:t>
      </w:r>
      <w:r w:rsidR="00C41524">
        <w:rPr>
          <w:rFonts w:cs="Arial" w:hint="cs"/>
          <w:rtl/>
        </w:rPr>
        <w:t>.</w:t>
      </w:r>
      <w:r w:rsidR="00605FD6" w:rsidRPr="007A228B">
        <w:rPr>
          <w:rFonts w:cs="Arial"/>
          <w:rtl/>
        </w:rPr>
        <w:t xml:space="preserve"> אא"כ אומר לה ע"מ כך אני נותן לך שלא יהא לבעל בהן כלום אלא שתאכל אותו את</w:t>
      </w:r>
      <w:r w:rsidR="00F675F4">
        <w:rPr>
          <w:rStyle w:val="a7"/>
          <w:rFonts w:cs="Arial"/>
          <w:rtl/>
        </w:rPr>
        <w:footnoteReference w:id="936"/>
      </w:r>
      <w:r w:rsidR="00C41524">
        <w:rPr>
          <w:rFonts w:cs="Arial" w:hint="cs"/>
          <w:rtl/>
        </w:rPr>
        <w:t>.</w:t>
      </w:r>
      <w:r w:rsidR="00605FD6" w:rsidRPr="007A228B">
        <w:rPr>
          <w:rFonts w:cs="Arial"/>
          <w:rtl/>
        </w:rPr>
        <w:t xml:space="preserve"> </w:t>
      </w:r>
    </w:p>
    <w:p w14:paraId="61F7EFFB" w14:textId="2124C43C" w:rsidR="006B4DCF" w:rsidRDefault="006B4DCF" w:rsidP="009000E3">
      <w:pPr>
        <w:pStyle w:val="ab"/>
        <w:numPr>
          <w:ilvl w:val="0"/>
          <w:numId w:val="47"/>
        </w:numPr>
      </w:pPr>
      <w:r>
        <w:rPr>
          <w:rFonts w:cs="Arial" w:hint="cs"/>
          <w:rtl/>
        </w:rPr>
        <w:t xml:space="preserve">רמב"ם </w:t>
      </w:r>
      <w:r>
        <w:rPr>
          <w:rFonts w:cs="Arial" w:hint="cs"/>
          <w:sz w:val="16"/>
          <w:szCs w:val="16"/>
          <w:rtl/>
        </w:rPr>
        <w:t>(פ"ג מזכיה ומתנה הי"ג-יד)</w:t>
      </w:r>
      <w:r>
        <w:rPr>
          <w:rFonts w:cs="Arial" w:hint="cs"/>
          <w:rtl/>
        </w:rPr>
        <w:t xml:space="preserve">- </w:t>
      </w:r>
      <w:r>
        <w:rPr>
          <w:rFonts w:cs="Arial"/>
          <w:rtl/>
        </w:rPr>
        <w:t>נתן מתנה לאשה על מנת שאין לבעלה רשות בה, ולעבד על מנת שאין לרבו רשות בו</w:t>
      </w:r>
      <w:r w:rsidR="00165AA2">
        <w:rPr>
          <w:rFonts w:cs="Arial" w:hint="cs"/>
          <w:rtl/>
        </w:rPr>
        <w:t xml:space="preserve"> -</w:t>
      </w:r>
      <w:r>
        <w:rPr>
          <w:rFonts w:cs="Arial"/>
          <w:rtl/>
        </w:rPr>
        <w:t xml:space="preserve"> קנה האדון וקנה הבעל</w:t>
      </w:r>
      <w:r w:rsidR="00165AA2">
        <w:rPr>
          <w:rFonts w:cs="Arial" w:hint="cs"/>
          <w:rtl/>
        </w:rPr>
        <w:t>.</w:t>
      </w:r>
      <w:r>
        <w:rPr>
          <w:rFonts w:cs="Arial"/>
          <w:rtl/>
        </w:rPr>
        <w:t xml:space="preserve"> אבל הנותן מתנה לאשה או לעבד והתנה עמהן הנותן בגופה של מתנה שתהיה לכך וכך</w:t>
      </w:r>
      <w:r w:rsidR="00165AA2">
        <w:rPr>
          <w:rFonts w:cs="Arial" w:hint="cs"/>
          <w:rtl/>
        </w:rPr>
        <w:t xml:space="preserve"> -</w:t>
      </w:r>
      <w:r>
        <w:rPr>
          <w:rFonts w:cs="Arial"/>
          <w:rtl/>
        </w:rPr>
        <w:t xml:space="preserve"> לא קנה האדון ולא קנה הבעל. </w:t>
      </w:r>
      <w:r w:rsidRPr="006B4DCF">
        <w:rPr>
          <w:rFonts w:cs="Arial"/>
          <w:rtl/>
        </w:rPr>
        <w:t>כיצד</w:t>
      </w:r>
      <w:r w:rsidR="001B4C81">
        <w:rPr>
          <w:rFonts w:cs="Arial" w:hint="cs"/>
          <w:rtl/>
        </w:rPr>
        <w:t>,</w:t>
      </w:r>
      <w:r w:rsidRPr="006B4DCF">
        <w:rPr>
          <w:rFonts w:cs="Arial"/>
          <w:rtl/>
        </w:rPr>
        <w:t xml:space="preserve"> הנותן מתנה לאשה ואמר לה</w:t>
      </w:r>
      <w:r w:rsidR="00262E7E">
        <w:rPr>
          <w:rFonts w:cs="Arial" w:hint="cs"/>
          <w:rtl/>
        </w:rPr>
        <w:t>:</w:t>
      </w:r>
      <w:r w:rsidRPr="006B4DCF">
        <w:rPr>
          <w:rFonts w:cs="Arial"/>
          <w:rtl/>
        </w:rPr>
        <w:t xml:space="preserve"> הרי המעות האלו נתונים לך במתנה על מנת שתלבשי בהן או על מנת שתשתי בהם ותעשי מה שתרצי בלא רשות הבעל</w:t>
      </w:r>
      <w:r w:rsidR="00165AA2">
        <w:rPr>
          <w:rFonts w:cs="Arial" w:hint="cs"/>
          <w:rtl/>
        </w:rPr>
        <w:t xml:space="preserve"> -</w:t>
      </w:r>
      <w:r w:rsidRPr="006B4DCF">
        <w:rPr>
          <w:rFonts w:cs="Arial"/>
          <w:rtl/>
        </w:rPr>
        <w:t xml:space="preserve"> לא קנה הבעל</w:t>
      </w:r>
      <w:r>
        <w:rPr>
          <w:rFonts w:cs="Arial" w:hint="cs"/>
          <w:rtl/>
        </w:rPr>
        <w:t>...</w:t>
      </w:r>
      <w:r w:rsidRPr="006B4DCF">
        <w:rPr>
          <w:rFonts w:cs="Arial"/>
          <w:rtl/>
        </w:rPr>
        <w:t xml:space="preserve"> וכן כל כיוצא בזה.</w:t>
      </w:r>
      <w:r w:rsidR="00337B67">
        <w:rPr>
          <w:rFonts w:hint="cs"/>
          <w:rtl/>
        </w:rPr>
        <w:t xml:space="preserve"> </w:t>
      </w:r>
      <w:r w:rsidR="00337B67" w:rsidRPr="00137671">
        <w:rPr>
          <w:rFonts w:hint="cs"/>
          <w:color w:val="E36C0A" w:themeColor="accent6" w:themeShade="BF"/>
          <w:rtl/>
        </w:rPr>
        <w:t>(וכ"פ בשו"ע)</w:t>
      </w:r>
    </w:p>
    <w:p w14:paraId="1CFFCFDF" w14:textId="744B2903" w:rsidR="00D167E1" w:rsidRDefault="00D167E1" w:rsidP="009000E3">
      <w:pPr>
        <w:pStyle w:val="ab"/>
        <w:numPr>
          <w:ilvl w:val="0"/>
          <w:numId w:val="47"/>
        </w:numPr>
      </w:pPr>
      <w:r>
        <w:rPr>
          <w:rFonts w:hint="cs"/>
          <w:rtl/>
        </w:rPr>
        <w:t xml:space="preserve">רמב"ן </w:t>
      </w:r>
      <w:r w:rsidRPr="001B4C81">
        <w:rPr>
          <w:rFonts w:cs="Arial"/>
          <w:sz w:val="16"/>
          <w:szCs w:val="16"/>
          <w:rtl/>
        </w:rPr>
        <w:t>(קידושין כג: ד"ה ורבי</w:t>
      </w:r>
      <w:r w:rsidR="00302DD6">
        <w:rPr>
          <w:rFonts w:cs="Arial" w:hint="cs"/>
          <w:sz w:val="16"/>
          <w:szCs w:val="16"/>
          <w:rtl/>
        </w:rPr>
        <w:t xml:space="preserve"> וד"ה והא דאמרינן</w:t>
      </w:r>
      <w:r w:rsidRPr="001B4C81">
        <w:rPr>
          <w:rFonts w:cs="Arial"/>
          <w:sz w:val="16"/>
          <w:szCs w:val="16"/>
          <w:rtl/>
        </w:rPr>
        <w:t>)</w:t>
      </w:r>
      <w:r>
        <w:rPr>
          <w:rFonts w:cs="Arial" w:hint="cs"/>
          <w:rtl/>
        </w:rPr>
        <w:t xml:space="preserve">- </w:t>
      </w:r>
      <w:r w:rsidRPr="00D167E1">
        <w:rPr>
          <w:rFonts w:cs="Arial"/>
          <w:rtl/>
        </w:rPr>
        <w:t xml:space="preserve">באשה אפילו אמר לה על מנת שאין לבעליך רשות בהן </w:t>
      </w:r>
      <w:r w:rsidR="00165AA2">
        <w:rPr>
          <w:rFonts w:cs="Arial" w:hint="cs"/>
          <w:rtl/>
        </w:rPr>
        <w:t xml:space="preserve">- </w:t>
      </w:r>
      <w:r w:rsidRPr="00D167E1">
        <w:rPr>
          <w:rFonts w:cs="Arial"/>
          <w:rtl/>
        </w:rPr>
        <w:t>קנתה היא ולא קנה הבעל כשמואל דאמר הכי דקיי"ל כוותיה</w:t>
      </w:r>
      <w:r w:rsidR="0085416B">
        <w:rPr>
          <w:rFonts w:cs="Arial" w:hint="cs"/>
          <w:rtl/>
        </w:rPr>
        <w:t>.</w:t>
      </w:r>
      <w:r w:rsidR="00302DD6">
        <w:rPr>
          <w:rFonts w:hint="cs"/>
          <w:rtl/>
        </w:rPr>
        <w:t>..</w:t>
      </w:r>
      <w:r w:rsidR="00302DD6" w:rsidRPr="00302DD6">
        <w:rPr>
          <w:rtl/>
        </w:rPr>
        <w:t xml:space="preserve"> </w:t>
      </w:r>
      <w:r w:rsidR="00302DD6" w:rsidRPr="00302DD6">
        <w:rPr>
          <w:rFonts w:cs="Arial"/>
          <w:rtl/>
        </w:rPr>
        <w:t xml:space="preserve">קיי"ל דאפי' אמר לה מה שתרצי עשי לא קנה אותם בעל </w:t>
      </w:r>
      <w:r w:rsidR="00302DD6" w:rsidRPr="00302DD6">
        <w:rPr>
          <w:rFonts w:cs="Arial"/>
          <w:rtl/>
        </w:rPr>
        <w:lastRenderedPageBreak/>
        <w:t>שהרי התנה על מנת שאין לבעליך רשות בהם</w:t>
      </w:r>
      <w:r w:rsidR="00302DD6">
        <w:rPr>
          <w:rFonts w:cs="Arial" w:hint="cs"/>
          <w:rtl/>
        </w:rPr>
        <w:t>...</w:t>
      </w:r>
      <w:r w:rsidR="00302DD6" w:rsidRPr="00302DD6">
        <w:rPr>
          <w:rFonts w:cs="Arial"/>
          <w:rtl/>
        </w:rPr>
        <w:t xml:space="preserve"> וכן מצאתי למקצת רבותינו הגאונים ז"ל שכך פסק רב סעדיה גאון ז"ל בספר המתנות ורב שמואל הלוי הנגיד ז"ל פסק כן בשם רב עמרם ז"ל</w:t>
      </w:r>
      <w:r w:rsidR="00D37159">
        <w:rPr>
          <w:rStyle w:val="a7"/>
          <w:rFonts w:cs="Arial"/>
          <w:rtl/>
        </w:rPr>
        <w:footnoteReference w:id="937"/>
      </w:r>
      <w:r w:rsidR="00302DD6" w:rsidRPr="00302DD6">
        <w:rPr>
          <w:rFonts w:cs="Arial"/>
          <w:rtl/>
        </w:rPr>
        <w:t>.</w:t>
      </w:r>
    </w:p>
    <w:p w14:paraId="48E8DBE1" w14:textId="1440CA06" w:rsidR="00F675F4" w:rsidRPr="00F675F4" w:rsidRDefault="00F675F4" w:rsidP="009000E3">
      <w:pPr>
        <w:pStyle w:val="ab"/>
        <w:numPr>
          <w:ilvl w:val="1"/>
          <w:numId w:val="47"/>
        </w:numPr>
        <w:rPr>
          <w:rFonts w:cs="Arial"/>
          <w:rtl/>
        </w:rPr>
      </w:pPr>
      <w:r w:rsidRPr="00F675F4">
        <w:rPr>
          <w:rFonts w:cs="Arial" w:hint="cs"/>
          <w:rtl/>
        </w:rPr>
        <w:t xml:space="preserve">ב"י </w:t>
      </w:r>
      <w:r w:rsidRPr="00F675F4">
        <w:rPr>
          <w:rFonts w:cs="Arial" w:hint="cs"/>
          <w:sz w:val="16"/>
          <w:szCs w:val="16"/>
          <w:rtl/>
        </w:rPr>
        <w:t>(בבדה"ב)</w:t>
      </w:r>
      <w:r w:rsidRPr="00F675F4">
        <w:rPr>
          <w:rFonts w:cs="Arial" w:hint="cs"/>
          <w:rtl/>
        </w:rPr>
        <w:t xml:space="preserve">- </w:t>
      </w:r>
      <w:r w:rsidRPr="00F675F4">
        <w:rPr>
          <w:rFonts w:cs="Arial"/>
          <w:rtl/>
        </w:rPr>
        <w:t xml:space="preserve">ולענין הלכה כיון דרוב הפוסקים סוברים דהלכה כשמואל </w:t>
      </w:r>
      <w:r w:rsidR="009C04FF">
        <w:rPr>
          <w:rFonts w:cs="Arial" w:hint="cs"/>
          <w:rtl/>
        </w:rPr>
        <w:t xml:space="preserve">- </w:t>
      </w:r>
      <w:r w:rsidRPr="00F675F4">
        <w:rPr>
          <w:rFonts w:cs="Arial"/>
          <w:rtl/>
        </w:rPr>
        <w:t>הכי נקטינן</w:t>
      </w:r>
      <w:r w:rsidR="009C04FF">
        <w:rPr>
          <w:rFonts w:cs="Arial" w:hint="cs"/>
          <w:rtl/>
        </w:rPr>
        <w:t>.</w:t>
      </w:r>
      <w:r w:rsidRPr="00F675F4">
        <w:rPr>
          <w:rFonts w:cs="Arial"/>
          <w:rtl/>
        </w:rPr>
        <w:t xml:space="preserve"> וכן כתב הריב"ש ז"ל</w:t>
      </w:r>
      <w:r>
        <w:rPr>
          <w:rFonts w:cs="Arial" w:hint="cs"/>
          <w:rtl/>
        </w:rPr>
        <w:t xml:space="preserve"> </w:t>
      </w:r>
      <w:r>
        <w:rPr>
          <w:rFonts w:cs="Arial" w:hint="cs"/>
          <w:sz w:val="16"/>
          <w:szCs w:val="16"/>
          <w:rtl/>
        </w:rPr>
        <w:t>(סי' רטו)</w:t>
      </w:r>
      <w:r w:rsidRPr="00F675F4">
        <w:rPr>
          <w:rFonts w:cs="Arial"/>
          <w:rtl/>
        </w:rPr>
        <w:t xml:space="preserve"> שהעיקר כדברי הפוסקים כשמואל</w:t>
      </w:r>
      <w:r w:rsidR="00D37159">
        <w:rPr>
          <w:rStyle w:val="a7"/>
          <w:rFonts w:cs="Arial"/>
          <w:rtl/>
        </w:rPr>
        <w:footnoteReference w:id="938"/>
      </w:r>
      <w:r w:rsidR="009C04FF">
        <w:rPr>
          <w:rFonts w:cs="Arial" w:hint="cs"/>
          <w:rtl/>
        </w:rPr>
        <w:t>,</w:t>
      </w:r>
      <w:r w:rsidRPr="00F675F4">
        <w:rPr>
          <w:rFonts w:cs="Arial"/>
          <w:rtl/>
        </w:rPr>
        <w:t xml:space="preserve"> ולרווחא דמילתא יאמר</w:t>
      </w:r>
      <w:r w:rsidR="00560CFB">
        <w:rPr>
          <w:rStyle w:val="a7"/>
          <w:rFonts w:cs="Arial"/>
          <w:rtl/>
        </w:rPr>
        <w:footnoteReference w:id="939"/>
      </w:r>
      <w:r w:rsidRPr="00F675F4">
        <w:rPr>
          <w:rFonts w:cs="Arial"/>
          <w:rtl/>
        </w:rPr>
        <w:t xml:space="preserve"> </w:t>
      </w:r>
      <w:r w:rsidR="00262E7E">
        <w:rPr>
          <w:rFonts w:cs="Arial" w:hint="cs"/>
          <w:rtl/>
        </w:rPr>
        <w:t>"</w:t>
      </w:r>
      <w:r w:rsidRPr="00F675F4">
        <w:rPr>
          <w:rFonts w:cs="Arial"/>
          <w:rtl/>
        </w:rPr>
        <w:t>על מנת שאין לבעליך רשות בהם אלא מה שתרצי בהם עשי</w:t>
      </w:r>
      <w:r w:rsidR="00262E7E">
        <w:rPr>
          <w:rFonts w:cs="Arial" w:hint="cs"/>
          <w:rtl/>
        </w:rPr>
        <w:t>"</w:t>
      </w:r>
      <w:r w:rsidRPr="00F675F4">
        <w:rPr>
          <w:rFonts w:cs="Arial"/>
          <w:rtl/>
        </w:rPr>
        <w:t xml:space="preserve"> לחוש לדברי הרמב"ם</w:t>
      </w:r>
      <w:r w:rsidRPr="00F675F4">
        <w:rPr>
          <w:rFonts w:cs="Arial" w:hint="cs"/>
          <w:rtl/>
        </w:rPr>
        <w:t>.</w:t>
      </w:r>
      <w:r w:rsidRPr="00F675F4">
        <w:rPr>
          <w:rFonts w:cs="Arial"/>
          <w:rtl/>
        </w:rPr>
        <w:t xml:space="preserve"> </w:t>
      </w:r>
    </w:p>
    <w:p w14:paraId="4F282024" w14:textId="3DCDAD94" w:rsidR="00BF0C23" w:rsidRPr="00CC3B97" w:rsidRDefault="00CC3B97" w:rsidP="00302DD6">
      <w:pPr>
        <w:rPr>
          <w:rFonts w:cs="Arial"/>
          <w:u w:val="single"/>
          <w:rtl/>
        </w:rPr>
      </w:pPr>
      <w:r>
        <w:rPr>
          <w:rFonts w:cs="Arial" w:hint="cs"/>
          <w:u w:val="single"/>
          <w:rtl/>
        </w:rPr>
        <w:t xml:space="preserve">אבא שרוצה לתת לבתו מתנה </w:t>
      </w:r>
      <w:r w:rsidRPr="00CC3B97">
        <w:rPr>
          <w:rFonts w:cs="Arial"/>
          <w:u w:val="single"/>
          <w:rtl/>
        </w:rPr>
        <w:t>מהיום ולאחר מיתה</w:t>
      </w:r>
      <w:r>
        <w:rPr>
          <w:rFonts w:cs="Arial" w:hint="cs"/>
          <w:u w:val="single"/>
          <w:rtl/>
        </w:rPr>
        <w:t xml:space="preserve"> בלי שיהיה לבעל רשות בה ולא בפירותיה:</w:t>
      </w:r>
    </w:p>
    <w:p w14:paraId="702ADC9C" w14:textId="0FA5152B" w:rsidR="00CC3B97" w:rsidRPr="00CC3B97" w:rsidRDefault="00302DD6" w:rsidP="009000E3">
      <w:pPr>
        <w:pStyle w:val="ab"/>
        <w:numPr>
          <w:ilvl w:val="0"/>
          <w:numId w:val="50"/>
        </w:numPr>
        <w:rPr>
          <w:rFonts w:cs="Arial"/>
          <w:rtl/>
        </w:rPr>
      </w:pPr>
      <w:r w:rsidRPr="00CC3B97">
        <w:rPr>
          <w:rFonts w:cs="Arial"/>
          <w:rtl/>
        </w:rPr>
        <w:t xml:space="preserve">רשב"א </w:t>
      </w:r>
      <w:r w:rsidR="00BF0C23" w:rsidRPr="00CC3B97">
        <w:rPr>
          <w:rFonts w:cs="Arial" w:hint="cs"/>
          <w:sz w:val="16"/>
          <w:szCs w:val="16"/>
          <w:rtl/>
        </w:rPr>
        <w:t>(במיוחסות</w:t>
      </w:r>
      <w:r w:rsidRPr="00CC3B97">
        <w:rPr>
          <w:rFonts w:cs="Arial"/>
          <w:sz w:val="16"/>
          <w:szCs w:val="16"/>
          <w:rtl/>
        </w:rPr>
        <w:t xml:space="preserve"> סי</w:t>
      </w:r>
      <w:r w:rsidR="00BF0C23" w:rsidRPr="00CC3B97">
        <w:rPr>
          <w:rFonts w:cs="Arial" w:hint="cs"/>
          <w:sz w:val="16"/>
          <w:szCs w:val="16"/>
          <w:rtl/>
        </w:rPr>
        <w:t>'</w:t>
      </w:r>
      <w:r w:rsidRPr="00CC3B97">
        <w:rPr>
          <w:rFonts w:cs="Arial"/>
          <w:sz w:val="16"/>
          <w:szCs w:val="16"/>
          <w:rtl/>
        </w:rPr>
        <w:t xml:space="preserve"> ק</w:t>
      </w:r>
      <w:r w:rsidR="00D37159">
        <w:rPr>
          <w:rFonts w:cs="Arial" w:hint="cs"/>
          <w:sz w:val="16"/>
          <w:szCs w:val="16"/>
          <w:rtl/>
        </w:rPr>
        <w:t>ו</w:t>
      </w:r>
      <w:r w:rsidR="00BF0C23" w:rsidRPr="00CC3B97">
        <w:rPr>
          <w:rFonts w:cs="Arial" w:hint="cs"/>
          <w:sz w:val="16"/>
          <w:szCs w:val="16"/>
          <w:rtl/>
        </w:rPr>
        <w:t>)</w:t>
      </w:r>
      <w:r w:rsidR="00BF0C23" w:rsidRPr="00CC3B97">
        <w:rPr>
          <w:rFonts w:cs="Arial" w:hint="cs"/>
          <w:rtl/>
        </w:rPr>
        <w:t>-</w:t>
      </w:r>
      <w:r w:rsidR="00CC3B97" w:rsidRPr="00CC3B97">
        <w:rPr>
          <w:rFonts w:cs="Arial" w:hint="cs"/>
          <w:rtl/>
        </w:rPr>
        <w:t xml:space="preserve"> </w:t>
      </w:r>
      <w:r w:rsidR="00CC3B97" w:rsidRPr="00CC3B97">
        <w:rPr>
          <w:rFonts w:cs="Arial"/>
          <w:rtl/>
        </w:rPr>
        <w:t>שאלה</w:t>
      </w:r>
      <w:r w:rsidR="00262E7E">
        <w:rPr>
          <w:rFonts w:cs="Arial" w:hint="cs"/>
          <w:rtl/>
        </w:rPr>
        <w:t>:</w:t>
      </w:r>
      <w:r w:rsidR="00CC3B97" w:rsidRPr="00CC3B97">
        <w:rPr>
          <w:rFonts w:cs="Arial"/>
          <w:rtl/>
        </w:rPr>
        <w:t xml:space="preserve"> ראובן יש לו בת יורשת והיא בעולת בעל. ורוצה ליתן לה מחיים או לאחר מיתה כל נכסיו שיש לו או שיהיו לו בשעת מיתתו מקרקעי ושאר נכסים ושט</w:t>
      </w:r>
      <w:r w:rsidR="00262E7E">
        <w:rPr>
          <w:rFonts w:cs="Arial" w:hint="cs"/>
          <w:rtl/>
        </w:rPr>
        <w:t>רי חוב</w:t>
      </w:r>
      <w:r w:rsidR="00CC3B97" w:rsidRPr="00CC3B97">
        <w:rPr>
          <w:rFonts w:cs="Arial"/>
          <w:rtl/>
        </w:rPr>
        <w:t xml:space="preserve"> על מנת שלא יזכה הבעל בשום דבר מכל הנכסים</w:t>
      </w:r>
      <w:r w:rsidR="00262E7E">
        <w:rPr>
          <w:rFonts w:cs="Arial" w:hint="cs"/>
          <w:rtl/>
        </w:rPr>
        <w:t>,</w:t>
      </w:r>
      <w:r w:rsidR="00CC3B97" w:rsidRPr="00CC3B97">
        <w:rPr>
          <w:rFonts w:cs="Arial"/>
          <w:rtl/>
        </w:rPr>
        <w:t xml:space="preserve"> לא בגוף ולא בפירות ולא בפירי פירות. ושיהא זה רשות גמורה לתת ולמכור הנכסים כולם או מקצתן לכל מי שתרצה בלא רשות בעלה. ושלא יוכל למחות בידה בשום ענין. הודיעני איך יהיה לשון המתנה</w:t>
      </w:r>
      <w:r w:rsidR="00262E7E">
        <w:rPr>
          <w:rFonts w:cs="Arial" w:hint="cs"/>
          <w:rtl/>
        </w:rPr>
        <w:t xml:space="preserve">.       </w:t>
      </w:r>
      <w:r w:rsidR="00FE210D">
        <w:rPr>
          <w:rFonts w:cs="Arial"/>
          <w:rtl/>
        </w:rPr>
        <w:t>תשובה:</w:t>
      </w:r>
      <w:r w:rsidR="00CC3B97" w:rsidRPr="00CC3B97">
        <w:rPr>
          <w:rFonts w:cs="Arial"/>
          <w:rtl/>
        </w:rPr>
        <w:t xml:space="preserve"> תחלת כל דבר יש לך לדעת שאין יכול ליתן במתנה בשום צד נכסים שעתיד לקנות</w:t>
      </w:r>
      <w:r w:rsidR="00057E6A">
        <w:rPr>
          <w:rFonts w:cs="Arial" w:hint="cs"/>
          <w:rtl/>
        </w:rPr>
        <w:t>,</w:t>
      </w:r>
      <w:r w:rsidR="00CC3B97" w:rsidRPr="00CC3B97">
        <w:rPr>
          <w:rFonts w:cs="Arial"/>
          <w:rtl/>
        </w:rPr>
        <w:t xml:space="preserve"> שאין אדם מקנה דשלב"ל. אבל נכסים ידועים שיש לו</w:t>
      </w:r>
      <w:r w:rsidR="00057E6A">
        <w:rPr>
          <w:rFonts w:cs="Arial" w:hint="cs"/>
          <w:rtl/>
        </w:rPr>
        <w:t>,</w:t>
      </w:r>
      <w:r w:rsidR="00CC3B97" w:rsidRPr="00CC3B97">
        <w:rPr>
          <w:rFonts w:cs="Arial"/>
          <w:rtl/>
        </w:rPr>
        <w:t xml:space="preserve"> כגון קרקע ומטלטלין</w:t>
      </w:r>
      <w:r w:rsidR="00057E6A">
        <w:rPr>
          <w:rFonts w:cs="Arial" w:hint="cs"/>
          <w:rtl/>
        </w:rPr>
        <w:t>,</w:t>
      </w:r>
      <w:r w:rsidR="00CC3B97" w:rsidRPr="00CC3B97">
        <w:rPr>
          <w:rFonts w:cs="Arial"/>
          <w:rtl/>
        </w:rPr>
        <w:t xml:space="preserve"> יכול ליתן. ונותן לבתו כל מה שיש לו מעכשיו</w:t>
      </w:r>
      <w:r w:rsidR="00057E6A">
        <w:rPr>
          <w:rFonts w:cs="Arial" w:hint="cs"/>
          <w:rtl/>
        </w:rPr>
        <w:t>,</w:t>
      </w:r>
      <w:r w:rsidR="00CC3B97" w:rsidRPr="00CC3B97">
        <w:rPr>
          <w:rFonts w:cs="Arial"/>
          <w:rtl/>
        </w:rPr>
        <w:t xml:space="preserve"> א"נ מהיום ולאחר מיתה</w:t>
      </w:r>
      <w:r w:rsidR="00262E7E">
        <w:rPr>
          <w:rFonts w:cs="Arial" w:hint="cs"/>
          <w:rtl/>
        </w:rPr>
        <w:t>,</w:t>
      </w:r>
      <w:r w:rsidR="00CC3B97" w:rsidRPr="00CC3B97">
        <w:rPr>
          <w:rFonts w:cs="Arial"/>
          <w:rtl/>
        </w:rPr>
        <w:t xml:space="preserve"> </w:t>
      </w:r>
      <w:r w:rsidR="00CC3B97" w:rsidRPr="00CC3B97">
        <w:rPr>
          <w:rFonts w:cs="Arial" w:hint="cs"/>
          <w:rtl/>
        </w:rPr>
        <w:t>ו</w:t>
      </w:r>
      <w:r w:rsidR="00CC3B97" w:rsidRPr="00CC3B97">
        <w:rPr>
          <w:rFonts w:cs="Arial"/>
          <w:rtl/>
        </w:rPr>
        <w:t>לא יהיה לאב כלום בגוף הנכסים אלא בפירות לבד. דכל הנותן מהיום ולאחר מיתה גופא מהיום ופירי לאחר מיתה כדאיתא פרק יש נוחלין (קלו</w:t>
      </w:r>
      <w:r w:rsidR="00CC3B97" w:rsidRPr="00CC3B97">
        <w:rPr>
          <w:rFonts w:cs="Arial" w:hint="cs"/>
          <w:rtl/>
        </w:rPr>
        <w:t>.</w:t>
      </w:r>
      <w:r w:rsidR="00CC3B97" w:rsidRPr="00CC3B97">
        <w:rPr>
          <w:rFonts w:cs="Arial"/>
          <w:rtl/>
        </w:rPr>
        <w:t xml:space="preserve">). אלא אם לא רצה ליתן לבת אלא מה שישאר מנכסים אחריו אומר </w:t>
      </w:r>
      <w:r w:rsidR="00057E6A">
        <w:rPr>
          <w:rFonts w:cs="Arial" w:hint="cs"/>
          <w:rtl/>
        </w:rPr>
        <w:t>'</w:t>
      </w:r>
      <w:r w:rsidR="00CC3B97" w:rsidRPr="00CC3B97">
        <w:rPr>
          <w:rFonts w:cs="Arial"/>
          <w:rtl/>
        </w:rPr>
        <w:t>הריני נותן לך כל נכסי אלו מעכשיו ולאחר מיתה</w:t>
      </w:r>
      <w:r w:rsidR="00057E6A">
        <w:rPr>
          <w:rFonts w:cs="Arial" w:hint="cs"/>
          <w:rtl/>
        </w:rPr>
        <w:t>,</w:t>
      </w:r>
      <w:r w:rsidR="00CC3B97" w:rsidRPr="00CC3B97">
        <w:rPr>
          <w:rFonts w:cs="Arial"/>
          <w:rtl/>
        </w:rPr>
        <w:t xml:space="preserve"> ושיירתי לי במתנה זו שיהא רשות בידי כל ימי חיי למכור בהם ולאכול ולעשות בכולן או במקצתן מה שארצה</w:t>
      </w:r>
      <w:r w:rsidR="00057E6A">
        <w:rPr>
          <w:rFonts w:cs="Arial" w:hint="cs"/>
          <w:rtl/>
        </w:rPr>
        <w:t>,</w:t>
      </w:r>
      <w:r w:rsidR="00CC3B97" w:rsidRPr="00CC3B97">
        <w:rPr>
          <w:rFonts w:cs="Arial"/>
          <w:rtl/>
        </w:rPr>
        <w:t xml:space="preserve"> ואפילו בגוף הנכסים</w:t>
      </w:r>
      <w:r w:rsidR="00057E6A">
        <w:rPr>
          <w:rFonts w:cs="Arial" w:hint="cs"/>
          <w:rtl/>
        </w:rPr>
        <w:t xml:space="preserve">, </w:t>
      </w:r>
      <w:r w:rsidR="00CC3B97" w:rsidRPr="00CC3B97">
        <w:rPr>
          <w:rFonts w:cs="Arial"/>
          <w:rtl/>
        </w:rPr>
        <w:t>ומה שישאר מהם אחר פטירתי בין בגוף הנכסים או בפירותיהן או בפירי פירותיהם תטול בתי</w:t>
      </w:r>
      <w:r w:rsidR="00057E6A">
        <w:rPr>
          <w:rFonts w:cs="Arial" w:hint="cs"/>
          <w:rtl/>
        </w:rPr>
        <w:t>,</w:t>
      </w:r>
      <w:r w:rsidR="00CC3B97" w:rsidRPr="00CC3B97">
        <w:rPr>
          <w:rFonts w:cs="Arial"/>
          <w:rtl/>
        </w:rPr>
        <w:t xml:space="preserve"> לפי שגוף הנכסים ופירותיהן ופירי פירותיהם נתתי לבתי הנזכרת חוץ מן השיור הנזכר ששיירתי לי בהן</w:t>
      </w:r>
      <w:r w:rsidR="00057E6A">
        <w:rPr>
          <w:rFonts w:cs="Arial" w:hint="cs"/>
          <w:rtl/>
        </w:rPr>
        <w:t>'</w:t>
      </w:r>
      <w:r w:rsidR="00CC3B97" w:rsidRPr="00CC3B97">
        <w:rPr>
          <w:rFonts w:cs="Arial"/>
          <w:rtl/>
        </w:rPr>
        <w:t>. ואם יכתוב כן או כיוצא בזה הרשות בידו לקיים</w:t>
      </w:r>
      <w:r w:rsidR="00057E6A">
        <w:rPr>
          <w:rFonts w:cs="Arial" w:hint="cs"/>
          <w:rtl/>
        </w:rPr>
        <w:t>,</w:t>
      </w:r>
      <w:r w:rsidR="00CC3B97" w:rsidRPr="00CC3B97">
        <w:rPr>
          <w:rFonts w:cs="Arial"/>
          <w:rtl/>
        </w:rPr>
        <w:t xml:space="preserve"> כיון שנותן מעכשיו ולאחר פטירתו על הדרך שכתבתי. ואם רוצה שלא יהא לבעל רשות בהן יכתוב כן </w:t>
      </w:r>
      <w:r w:rsidR="00057E6A">
        <w:rPr>
          <w:rFonts w:cs="Arial" w:hint="cs"/>
          <w:rtl/>
        </w:rPr>
        <w:t>'</w:t>
      </w:r>
      <w:r w:rsidR="00CC3B97" w:rsidRPr="00CC3B97">
        <w:rPr>
          <w:rFonts w:cs="Arial"/>
          <w:rtl/>
        </w:rPr>
        <w:t>וע"מ כן נתתי מתנה זו לבתי הנזכרת שלא יהיה במתנה זו רשות לבעלה כלל</w:t>
      </w:r>
      <w:r w:rsidR="00057E6A">
        <w:rPr>
          <w:rFonts w:cs="Arial" w:hint="cs"/>
          <w:rtl/>
        </w:rPr>
        <w:t>,</w:t>
      </w:r>
      <w:r w:rsidR="00CC3B97" w:rsidRPr="00CC3B97">
        <w:rPr>
          <w:rFonts w:cs="Arial"/>
          <w:rtl/>
        </w:rPr>
        <w:t xml:space="preserve"> לא בגוף הנכסים ולא בפירותיהן ולא בפירי פירותיהן עד עולם</w:t>
      </w:r>
      <w:r w:rsidR="00057E6A">
        <w:rPr>
          <w:rFonts w:cs="Arial" w:hint="cs"/>
          <w:rtl/>
        </w:rPr>
        <w:t>,</w:t>
      </w:r>
      <w:r w:rsidR="00CC3B97" w:rsidRPr="00CC3B97">
        <w:rPr>
          <w:rFonts w:cs="Arial"/>
          <w:rtl/>
        </w:rPr>
        <w:t xml:space="preserve"> אלא מה שאת נושאת ונותנת לתוך פי</w:t>
      </w:r>
      <w:r w:rsidR="00BE4D05">
        <w:rPr>
          <w:rFonts w:cs="Arial" w:hint="cs"/>
          <w:rtl/>
        </w:rPr>
        <w:t>ך</w:t>
      </w:r>
      <w:r w:rsidR="00057E6A">
        <w:rPr>
          <w:rFonts w:cs="Arial" w:hint="cs"/>
          <w:rtl/>
        </w:rPr>
        <w:t>,</w:t>
      </w:r>
      <w:r w:rsidR="00CC3B97" w:rsidRPr="00CC3B97">
        <w:rPr>
          <w:rFonts w:cs="Arial"/>
          <w:rtl/>
        </w:rPr>
        <w:t xml:space="preserve"> ושתלבש ושתהנה בהן</w:t>
      </w:r>
      <w:r w:rsidR="00057E6A">
        <w:rPr>
          <w:rFonts w:cs="Arial" w:hint="cs"/>
          <w:rtl/>
        </w:rPr>
        <w:t>'</w:t>
      </w:r>
      <w:r w:rsidR="00CC3B97" w:rsidRPr="00CC3B97">
        <w:rPr>
          <w:rFonts w:cs="Arial"/>
          <w:rtl/>
        </w:rPr>
        <w:t xml:space="preserve">. אבל </w:t>
      </w:r>
      <w:r w:rsidR="00057E6A">
        <w:rPr>
          <w:rFonts w:cs="Arial" w:hint="cs"/>
          <w:rtl/>
        </w:rPr>
        <w:t>'</w:t>
      </w:r>
      <w:r w:rsidR="00CC3B97" w:rsidRPr="00CC3B97">
        <w:rPr>
          <w:rFonts w:cs="Arial"/>
          <w:rtl/>
        </w:rPr>
        <w:t>על מנת שלא יהא רשות לבעלך</w:t>
      </w:r>
      <w:r w:rsidR="00057E6A">
        <w:rPr>
          <w:rFonts w:cs="Arial" w:hint="cs"/>
          <w:rtl/>
        </w:rPr>
        <w:t>'</w:t>
      </w:r>
      <w:r w:rsidR="00CC3B97" w:rsidRPr="00CC3B97">
        <w:rPr>
          <w:rFonts w:cs="Arial"/>
          <w:rtl/>
        </w:rPr>
        <w:t xml:space="preserve"> לבד אינו מועיל עד שייחד לה דבר. ופלוגתא דרב ושמואל היא (נדרים פח</w:t>
      </w:r>
      <w:r w:rsidR="00CC3B97" w:rsidRPr="00CC3B97">
        <w:rPr>
          <w:rFonts w:cs="Arial" w:hint="cs"/>
          <w:rtl/>
        </w:rPr>
        <w:t>.</w:t>
      </w:r>
      <w:r w:rsidR="00CC3B97" w:rsidRPr="00CC3B97">
        <w:rPr>
          <w:rFonts w:cs="Arial"/>
          <w:rtl/>
        </w:rPr>
        <w:t xml:space="preserve">). ואם יש שט"ח צריך לכתוב </w:t>
      </w:r>
      <w:r w:rsidR="00057E6A">
        <w:rPr>
          <w:rFonts w:cs="Arial" w:hint="cs"/>
          <w:rtl/>
        </w:rPr>
        <w:t>'</w:t>
      </w:r>
      <w:r w:rsidR="00CC3B97" w:rsidRPr="00CC3B97">
        <w:rPr>
          <w:rFonts w:cs="Arial"/>
          <w:rtl/>
        </w:rPr>
        <w:t>וכל שעבודן וכל מה שכתוב בהן</w:t>
      </w:r>
      <w:r w:rsidR="00057E6A">
        <w:rPr>
          <w:rFonts w:cs="Arial" w:hint="cs"/>
          <w:rtl/>
        </w:rPr>
        <w:t>'</w:t>
      </w:r>
      <w:r w:rsidR="00CC3B97" w:rsidRPr="00CC3B97">
        <w:rPr>
          <w:rFonts w:cs="Arial"/>
          <w:rtl/>
        </w:rPr>
        <w:t xml:space="preserve">. ודוקא שטרות דזמנן יוצא מזמן המתנה. אבל זמנו יוצא אחר המתנה הן ספק אם נעשו מן הנכסים של מתנה או מנכסים שקנה אחר מכאן. ואפשר לומר גם באלו שקנתה מן הסתם מן הנכסים שהיו כבר נעשו או מפירותיהן נעשו. ומי שיאמר שנכסים אחרים קנה לאחר מכאן עליו להביא ראיה. דודאי כך הדין בכל הנכסים שמצאנו לו לאחר מיתה ולא ידענו אם היו לו כבר או שקנאם אחר מכאן. וכן הסכימו הגאונים ז"ל ומטעם שאמרתי. ומכל מה שכתבתי לסלק זכות הבעל מהם אינו אלא בנותן לבת שאינה יורשת ובין בחיי האב בין אחר מותו אין לה בה כלום אלא מכח מתנה. אבל בבת יורשת </w:t>
      </w:r>
      <w:r w:rsidR="00BE4D05">
        <w:rPr>
          <w:rFonts w:cs="Arial" w:hint="cs"/>
          <w:rtl/>
        </w:rPr>
        <w:t xml:space="preserve">- </w:t>
      </w:r>
      <w:r w:rsidR="00CC3B97" w:rsidRPr="00CC3B97">
        <w:rPr>
          <w:rFonts w:cs="Arial"/>
          <w:rtl/>
        </w:rPr>
        <w:t xml:space="preserve">לא יועיל לה </w:t>
      </w:r>
      <w:r w:rsidR="00BF77AA" w:rsidRPr="00CC3B97">
        <w:rPr>
          <w:rFonts w:cs="Arial"/>
          <w:rtl/>
        </w:rPr>
        <w:t xml:space="preserve">אלא </w:t>
      </w:r>
      <w:r w:rsidR="00CC3B97" w:rsidRPr="00CC3B97">
        <w:rPr>
          <w:rFonts w:cs="Arial"/>
          <w:rtl/>
        </w:rPr>
        <w:t xml:space="preserve">בחיי האב </w:t>
      </w:r>
      <w:r w:rsidR="00BF77AA" w:rsidRPr="00CC3B97">
        <w:rPr>
          <w:rFonts w:cs="Arial"/>
          <w:rtl/>
        </w:rPr>
        <w:t>ששייר שלא יהיה בהן אלא מה שייחד לה עכשיו</w:t>
      </w:r>
      <w:r w:rsidR="00BF77AA">
        <w:rPr>
          <w:rFonts w:cs="Arial" w:hint="cs"/>
          <w:rtl/>
        </w:rPr>
        <w:t>,</w:t>
      </w:r>
      <w:r w:rsidR="00BF77AA" w:rsidRPr="00CC3B97">
        <w:rPr>
          <w:rFonts w:cs="Arial"/>
          <w:rtl/>
        </w:rPr>
        <w:t xml:space="preserve"> ולא </w:t>
      </w:r>
      <w:r w:rsidR="00CC3B97" w:rsidRPr="00CC3B97">
        <w:rPr>
          <w:rFonts w:cs="Arial"/>
          <w:rtl/>
        </w:rPr>
        <w:t>לאחר מיתה</w:t>
      </w:r>
      <w:r w:rsidR="00057E6A">
        <w:rPr>
          <w:rFonts w:cs="Arial" w:hint="cs"/>
          <w:rtl/>
        </w:rPr>
        <w:t>,</w:t>
      </w:r>
      <w:r w:rsidR="00CC3B97" w:rsidRPr="00CC3B97">
        <w:rPr>
          <w:rFonts w:cs="Arial"/>
          <w:rtl/>
        </w:rPr>
        <w:t xml:space="preserve"> דזוכה בכל מכח ירושה והרי הן לפניה כנכסי מלוג.</w:t>
      </w:r>
      <w:r w:rsidR="00057E6A">
        <w:rPr>
          <w:rFonts w:cs="Arial" w:hint="cs"/>
          <w:rtl/>
        </w:rPr>
        <w:t xml:space="preserve"> </w:t>
      </w:r>
      <w:r w:rsidR="00057E6A" w:rsidRPr="00057E6A">
        <w:rPr>
          <w:rFonts w:cs="Arial" w:hint="cs"/>
          <w:color w:val="00B0F0"/>
          <w:rtl/>
        </w:rPr>
        <w:t>(וכ"פ הרמ"א)</w:t>
      </w:r>
    </w:p>
    <w:p w14:paraId="2C39A5B1"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20A90521" w14:textId="77D543F4" w:rsidR="007A3469" w:rsidRDefault="007A3469" w:rsidP="007A3469">
      <w:pPr>
        <w:rPr>
          <w:rtl/>
        </w:rPr>
      </w:pPr>
      <w:r>
        <w:rPr>
          <w:rFonts w:cs="Arial"/>
          <w:rtl/>
        </w:rPr>
        <w:t>נתן לה אחד מתנה ע</w:t>
      </w:r>
      <w:r w:rsidR="00C41524">
        <w:rPr>
          <w:rFonts w:cs="Arial" w:hint="cs"/>
          <w:rtl/>
        </w:rPr>
        <w:t>ל מנת</w:t>
      </w:r>
      <w:r>
        <w:rPr>
          <w:rFonts w:cs="Arial"/>
          <w:rtl/>
        </w:rPr>
        <w:t xml:space="preserve"> שאין לבעלה רשות בה, קנה הבעל, והרי היא כשאר נ</w:t>
      </w:r>
      <w:r w:rsidR="00C41524">
        <w:rPr>
          <w:rFonts w:cs="Arial" w:hint="cs"/>
          <w:rtl/>
        </w:rPr>
        <w:t>כסי מלוג</w:t>
      </w:r>
      <w:r w:rsidR="00B91C11">
        <w:rPr>
          <w:rStyle w:val="a7"/>
          <w:rFonts w:cs="Arial"/>
          <w:rtl/>
        </w:rPr>
        <w:footnoteReference w:id="940"/>
      </w:r>
      <w:r>
        <w:rPr>
          <w:rFonts w:cs="Arial"/>
          <w:rtl/>
        </w:rPr>
        <w:t>, א</w:t>
      </w:r>
      <w:r w:rsidR="00C41524">
        <w:rPr>
          <w:rFonts w:cs="Arial" w:hint="cs"/>
          <w:rtl/>
        </w:rPr>
        <w:t>לא אם כן</w:t>
      </w:r>
      <w:r>
        <w:rPr>
          <w:rFonts w:cs="Arial"/>
          <w:rtl/>
        </w:rPr>
        <w:t xml:space="preserve"> התנה הנותן בגוף המתנה שיהיה לכך ולכך, כגון שיאמר לה: הרי המעות נתונים לך ע</w:t>
      </w:r>
      <w:r w:rsidR="00C41524">
        <w:rPr>
          <w:rFonts w:cs="Arial" w:hint="cs"/>
          <w:rtl/>
        </w:rPr>
        <w:t xml:space="preserve">ל </w:t>
      </w:r>
      <w:r>
        <w:rPr>
          <w:rFonts w:cs="Arial"/>
          <w:rtl/>
        </w:rPr>
        <w:t>מ</w:t>
      </w:r>
      <w:r w:rsidR="00C41524">
        <w:rPr>
          <w:rFonts w:cs="Arial" w:hint="cs"/>
          <w:rtl/>
        </w:rPr>
        <w:t>נת</w:t>
      </w:r>
      <w:r>
        <w:rPr>
          <w:rFonts w:cs="Arial"/>
          <w:rtl/>
        </w:rPr>
        <w:t xml:space="preserve"> שתלבשי בהם או על מנת </w:t>
      </w:r>
      <w:r>
        <w:rPr>
          <w:rFonts w:cs="Arial"/>
          <w:rtl/>
        </w:rPr>
        <w:lastRenderedPageBreak/>
        <w:t>שתעשי מה שתרצי בלא רשות הבעל</w:t>
      </w:r>
      <w:r w:rsidR="00302983">
        <w:rPr>
          <w:rStyle w:val="a7"/>
          <w:rFonts w:cs="Arial"/>
          <w:rtl/>
        </w:rPr>
        <w:footnoteReference w:id="941"/>
      </w:r>
      <w:r>
        <w:rPr>
          <w:rFonts w:cs="Arial"/>
          <w:rtl/>
        </w:rPr>
        <w:t xml:space="preserve">. </w:t>
      </w:r>
      <w:r w:rsidRPr="00F46615">
        <w:rPr>
          <w:rFonts w:cs="Arial"/>
          <w:sz w:val="18"/>
          <w:szCs w:val="18"/>
          <w:rtl/>
        </w:rPr>
        <w:t>הגה: נתן לה אביה מתנה, והתנה באחד מדרכים אלו, ואח"כ מת אביה והיא יורשה אותו, נתבטלה המתנה וזוכה בה הבעל כבשאר נכסי מלוג (</w:t>
      </w:r>
      <w:r w:rsidR="00BF0C23">
        <w:rPr>
          <w:rFonts w:cs="Arial" w:hint="cs"/>
          <w:sz w:val="18"/>
          <w:szCs w:val="18"/>
          <w:rtl/>
        </w:rPr>
        <w:t>רשב"א</w:t>
      </w:r>
      <w:r w:rsidRPr="00F46615">
        <w:rPr>
          <w:rFonts w:cs="Arial"/>
          <w:sz w:val="18"/>
          <w:szCs w:val="18"/>
          <w:rtl/>
        </w:rPr>
        <w:t xml:space="preserve">). </w:t>
      </w:r>
    </w:p>
    <w:p w14:paraId="43C4085E" w14:textId="77777777" w:rsidR="00F46615" w:rsidRDefault="00F46615" w:rsidP="007A3469">
      <w:pPr>
        <w:rPr>
          <w:rtl/>
        </w:rPr>
      </w:pPr>
    </w:p>
    <w:p w14:paraId="0F36915E" w14:textId="1CB40AAC" w:rsidR="007A3469" w:rsidRDefault="007A3469" w:rsidP="000F64D0">
      <w:pPr>
        <w:pStyle w:val="2"/>
        <w:rPr>
          <w:rtl/>
        </w:rPr>
      </w:pPr>
      <w:r>
        <w:rPr>
          <w:rtl/>
        </w:rPr>
        <w:t>סעיף יב</w:t>
      </w:r>
      <w:r w:rsidR="005C14C9">
        <w:rPr>
          <w:rFonts w:hint="cs"/>
          <w:rtl/>
        </w:rPr>
        <w:t>:</w:t>
      </w:r>
      <w:r w:rsidR="000F31AE" w:rsidRPr="000F31AE">
        <w:rPr>
          <w:rFonts w:hint="cs"/>
          <w:rtl/>
        </w:rPr>
        <w:t xml:space="preserve"> מעות/מטלטלין שנמצאו ביד אשה</w:t>
      </w:r>
      <w:r w:rsidR="000F31AE">
        <w:rPr>
          <w:rFonts w:hint="cs"/>
          <w:rtl/>
        </w:rPr>
        <w:t>,</w:t>
      </w:r>
      <w:r w:rsidR="000F31AE" w:rsidRPr="000F31AE">
        <w:rPr>
          <w:rFonts w:hint="cs"/>
          <w:rtl/>
        </w:rPr>
        <w:t xml:space="preserve"> </w:t>
      </w:r>
      <w:r w:rsidR="000F31AE">
        <w:rPr>
          <w:rFonts w:hint="cs"/>
          <w:rtl/>
        </w:rPr>
        <w:t>ו</w:t>
      </w:r>
      <w:r w:rsidR="000F31AE" w:rsidRPr="000F31AE">
        <w:rPr>
          <w:rFonts w:hint="cs"/>
          <w:rtl/>
        </w:rPr>
        <w:t xml:space="preserve">טוענת 'במתנה ניתנו לי', והוא טוען </w:t>
      </w:r>
      <w:r w:rsidR="000F31AE">
        <w:rPr>
          <w:rFonts w:hint="cs"/>
          <w:rtl/>
        </w:rPr>
        <w:t>שלא.</w:t>
      </w:r>
    </w:p>
    <w:p w14:paraId="27F75CF5" w14:textId="50CC3121" w:rsidR="005C14C9" w:rsidRDefault="00594FA6" w:rsidP="00594FA6">
      <w:pPr>
        <w:rPr>
          <w:rtl/>
        </w:rPr>
      </w:pPr>
      <w:r>
        <w:rPr>
          <w:rFonts w:cs="Arial" w:hint="cs"/>
          <w:b/>
          <w:bCs/>
          <w:rtl/>
        </w:rPr>
        <w:t xml:space="preserve">ירושלמי כתובות פ"ו ה"א: </w:t>
      </w:r>
      <w:r w:rsidR="00494E27" w:rsidRPr="00494E27">
        <w:rPr>
          <w:rFonts w:cs="Arial"/>
          <w:rtl/>
        </w:rPr>
        <w:t>תמן תנינן</w:t>
      </w:r>
      <w:r>
        <w:rPr>
          <w:rFonts w:cs="Arial" w:hint="cs"/>
          <w:rtl/>
        </w:rPr>
        <w:t>:</w:t>
      </w:r>
      <w:r w:rsidR="00494E27" w:rsidRPr="00494E27">
        <w:rPr>
          <w:rFonts w:cs="Arial"/>
          <w:rtl/>
        </w:rPr>
        <w:t xml:space="preserve"> מציאת בנו ובתו הקטנים ועבדו ושפחתו הכנענים ומציאת אשתו</w:t>
      </w:r>
      <w:r w:rsidR="003B3466">
        <w:rPr>
          <w:rFonts w:cs="Arial" w:hint="cs"/>
          <w:rtl/>
        </w:rPr>
        <w:t xml:space="preserve"> -</w:t>
      </w:r>
      <w:r w:rsidR="00494E27" w:rsidRPr="00494E27">
        <w:rPr>
          <w:rFonts w:cs="Arial"/>
          <w:rtl/>
        </w:rPr>
        <w:t xml:space="preserve"> הרי אילו שלו</w:t>
      </w:r>
      <w:r>
        <w:rPr>
          <w:rFonts w:cs="Arial" w:hint="cs"/>
          <w:rtl/>
        </w:rPr>
        <w:t>,</w:t>
      </w:r>
      <w:r w:rsidR="00494E27" w:rsidRPr="00494E27">
        <w:rPr>
          <w:rFonts w:cs="Arial"/>
          <w:rtl/>
        </w:rPr>
        <w:t xml:space="preserve"> שהוא יכול לשנותן למלאכה אחרת</w:t>
      </w:r>
      <w:r>
        <w:rPr>
          <w:rFonts w:cs="Arial" w:hint="cs"/>
          <w:rtl/>
        </w:rPr>
        <w:t>.</w:t>
      </w:r>
      <w:r w:rsidR="00494E27" w:rsidRPr="00494E27">
        <w:rPr>
          <w:rFonts w:cs="Arial"/>
          <w:rtl/>
        </w:rPr>
        <w:t xml:space="preserve"> מה טעמא אמרין מציאת בנו ובתו הגדולים ועבדו ושפחתו העברים הרי אילו שלהן</w:t>
      </w:r>
      <w:r>
        <w:rPr>
          <w:rFonts w:cs="Arial" w:hint="cs"/>
          <w:rtl/>
        </w:rPr>
        <w:t>,</w:t>
      </w:r>
      <w:r w:rsidR="00494E27" w:rsidRPr="00494E27">
        <w:rPr>
          <w:rFonts w:cs="Arial"/>
          <w:rtl/>
        </w:rPr>
        <w:t xml:space="preserve"> שאינו יכול לשנותן למלאכה אחרת</w:t>
      </w:r>
      <w:r>
        <w:rPr>
          <w:rFonts w:cs="Arial" w:hint="cs"/>
          <w:rtl/>
        </w:rPr>
        <w:t>.</w:t>
      </w:r>
      <w:r w:rsidR="00494E27" w:rsidRPr="00494E27">
        <w:rPr>
          <w:rFonts w:cs="Arial"/>
          <w:rtl/>
        </w:rPr>
        <w:t xml:space="preserve"> התיבון הרי אשתו אינו יכול לשנותה למלאכה אחרת</w:t>
      </w:r>
      <w:r>
        <w:rPr>
          <w:rFonts w:cs="Arial" w:hint="cs"/>
          <w:rtl/>
        </w:rPr>
        <w:t>,</w:t>
      </w:r>
      <w:r w:rsidR="00494E27" w:rsidRPr="00494E27">
        <w:rPr>
          <w:rFonts w:cs="Arial"/>
          <w:rtl/>
        </w:rPr>
        <w:t xml:space="preserve"> ואת אמר מציאתה שלו</w:t>
      </w:r>
      <w:r>
        <w:rPr>
          <w:rFonts w:cs="Arial" w:hint="cs"/>
          <w:rtl/>
        </w:rPr>
        <w:t>!?</w:t>
      </w:r>
      <w:r w:rsidR="00494E27" w:rsidRPr="00494E27">
        <w:rPr>
          <w:rFonts w:cs="Arial"/>
          <w:rtl/>
        </w:rPr>
        <w:t xml:space="preserve"> </w:t>
      </w:r>
      <w:r w:rsidR="00494E27" w:rsidRPr="00594FA6">
        <w:rPr>
          <w:rFonts w:cs="Arial"/>
          <w:u w:val="single"/>
          <w:rtl/>
        </w:rPr>
        <w:t>אמר רבי יוחנן</w:t>
      </w:r>
      <w:r>
        <w:rPr>
          <w:rFonts w:cs="Arial" w:hint="cs"/>
          <w:rtl/>
        </w:rPr>
        <w:t xml:space="preserve">: </w:t>
      </w:r>
      <w:r w:rsidR="00494E27" w:rsidRPr="00494E27">
        <w:rPr>
          <w:rFonts w:cs="Arial"/>
          <w:rtl/>
        </w:rPr>
        <w:t>טעם אחר יש באשה</w:t>
      </w:r>
      <w:r>
        <w:rPr>
          <w:rFonts w:cs="Arial" w:hint="cs"/>
          <w:rtl/>
        </w:rPr>
        <w:t>,</w:t>
      </w:r>
      <w:r w:rsidR="00494E27" w:rsidRPr="00494E27">
        <w:rPr>
          <w:rFonts w:cs="Arial"/>
          <w:rtl/>
        </w:rPr>
        <w:t xml:space="preserve"> מהו טעם אחר באשה</w:t>
      </w:r>
      <w:r>
        <w:rPr>
          <w:rFonts w:cs="Arial" w:hint="cs"/>
          <w:rtl/>
        </w:rPr>
        <w:t>?</w:t>
      </w:r>
      <w:r w:rsidR="00494E27" w:rsidRPr="00494E27">
        <w:rPr>
          <w:rFonts w:cs="Arial"/>
          <w:rtl/>
        </w:rPr>
        <w:t xml:space="preserve"> </w:t>
      </w:r>
      <w:r w:rsidR="00494E27" w:rsidRPr="00594FA6">
        <w:rPr>
          <w:rFonts w:cs="Arial"/>
          <w:u w:val="single"/>
          <w:rtl/>
        </w:rPr>
        <w:t>אמר רבי חגיי</w:t>
      </w:r>
      <w:r>
        <w:rPr>
          <w:rFonts w:cs="Arial" w:hint="cs"/>
          <w:rtl/>
        </w:rPr>
        <w:t>:</w:t>
      </w:r>
      <w:r w:rsidR="00494E27" w:rsidRPr="00494E27">
        <w:rPr>
          <w:rFonts w:cs="Arial"/>
          <w:rtl/>
        </w:rPr>
        <w:t xml:space="preserve"> מפני קטטה</w:t>
      </w:r>
      <w:r>
        <w:rPr>
          <w:rFonts w:cs="Arial" w:hint="cs"/>
          <w:rtl/>
        </w:rPr>
        <w:t>.</w:t>
      </w:r>
      <w:r w:rsidR="00494E27" w:rsidRPr="00494E27">
        <w:rPr>
          <w:rFonts w:cs="Arial"/>
          <w:rtl/>
        </w:rPr>
        <w:t xml:space="preserve"> </w:t>
      </w:r>
      <w:r w:rsidR="00494E27" w:rsidRPr="00594FA6">
        <w:rPr>
          <w:rFonts w:cs="Arial"/>
          <w:u w:val="single"/>
          <w:rtl/>
        </w:rPr>
        <w:t>ר' יוסי לא אמר כן אלא</w:t>
      </w:r>
      <w:r>
        <w:rPr>
          <w:rFonts w:cs="Arial" w:hint="cs"/>
          <w:rtl/>
        </w:rPr>
        <w:t>:</w:t>
      </w:r>
      <w:r w:rsidR="00494E27" w:rsidRPr="00494E27">
        <w:rPr>
          <w:rFonts w:cs="Arial"/>
          <w:rtl/>
        </w:rPr>
        <w:t xml:space="preserve"> שלא תהא מברחת משל בעלה ואומרת מציאה מצאתי</w:t>
      </w:r>
      <w:r>
        <w:rPr>
          <w:rFonts w:cs="Arial" w:hint="cs"/>
          <w:rtl/>
        </w:rPr>
        <w:t>.</w:t>
      </w:r>
      <w:r w:rsidR="00494E27" w:rsidRPr="00494E27">
        <w:rPr>
          <w:rFonts w:cs="Arial"/>
          <w:rtl/>
        </w:rPr>
        <w:t xml:space="preserve"> הגע עצמך</w:t>
      </w:r>
      <w:r>
        <w:rPr>
          <w:rFonts w:cs="Arial" w:hint="cs"/>
          <w:rtl/>
        </w:rPr>
        <w:t>,</w:t>
      </w:r>
      <w:r w:rsidR="00494E27" w:rsidRPr="00494E27">
        <w:rPr>
          <w:rFonts w:cs="Arial"/>
          <w:rtl/>
        </w:rPr>
        <w:t xml:space="preserve"> שנתן לה אחר מתנה</w:t>
      </w:r>
      <w:r>
        <w:rPr>
          <w:rFonts w:cs="Arial" w:hint="cs"/>
          <w:rtl/>
        </w:rPr>
        <w:t>!</w:t>
      </w:r>
      <w:r w:rsidR="00494E27" w:rsidRPr="00494E27">
        <w:rPr>
          <w:rFonts w:cs="Arial"/>
          <w:rtl/>
        </w:rPr>
        <w:t xml:space="preserve"> קול יוצא למתנה ואין קול יוצא</w:t>
      </w:r>
      <w:r>
        <w:rPr>
          <w:rFonts w:cs="Arial" w:hint="cs"/>
          <w:rtl/>
        </w:rPr>
        <w:t xml:space="preserve"> </w:t>
      </w:r>
      <w:r w:rsidR="00494E27" w:rsidRPr="00494E27">
        <w:rPr>
          <w:rFonts w:cs="Arial"/>
          <w:rtl/>
        </w:rPr>
        <w:t>למציאה</w:t>
      </w:r>
      <w:r>
        <w:rPr>
          <w:rFonts w:cs="Arial" w:hint="cs"/>
          <w:rtl/>
        </w:rPr>
        <w:t>!</w:t>
      </w:r>
    </w:p>
    <w:p w14:paraId="7B16B1B2" w14:textId="4147CD4E" w:rsidR="00594FA6" w:rsidRPr="008D3C30" w:rsidRDefault="008D3C30" w:rsidP="00594FA6">
      <w:pPr>
        <w:rPr>
          <w:rFonts w:cs="Arial"/>
          <w:u w:val="single"/>
          <w:rtl/>
        </w:rPr>
      </w:pPr>
      <w:r w:rsidRPr="000F31AE">
        <w:rPr>
          <w:rFonts w:hint="cs"/>
          <w:u w:val="single"/>
          <w:rtl/>
        </w:rPr>
        <w:t>מעות/מטלטלין שנמצאו ביד אשה, היא טוענת 'במתנה ניתנו לי', והוא טוען 'מעשה ידיך הם'</w:t>
      </w:r>
      <w:r w:rsidRPr="008D3C30">
        <w:rPr>
          <w:rFonts w:hint="cs"/>
          <w:u w:val="single"/>
          <w:rtl/>
        </w:rPr>
        <w:t>:</w:t>
      </w:r>
    </w:p>
    <w:p w14:paraId="1669B52F" w14:textId="02531015" w:rsidR="008B1799" w:rsidRDefault="005C14C9" w:rsidP="009000E3">
      <w:pPr>
        <w:pStyle w:val="ab"/>
        <w:numPr>
          <w:ilvl w:val="0"/>
          <w:numId w:val="50"/>
        </w:numPr>
        <w:rPr>
          <w:rFonts w:cs="Arial"/>
        </w:rPr>
      </w:pPr>
      <w:r w:rsidRPr="005C14C9">
        <w:rPr>
          <w:rFonts w:cs="Arial" w:hint="cs"/>
          <w:rtl/>
        </w:rPr>
        <w:t xml:space="preserve">רמב"ם </w:t>
      </w:r>
      <w:r w:rsidRPr="005C14C9">
        <w:rPr>
          <w:rFonts w:cs="Arial" w:hint="cs"/>
          <w:sz w:val="16"/>
          <w:szCs w:val="16"/>
          <w:rtl/>
        </w:rPr>
        <w:t>(פכ"ב מאישות ה"ל)</w:t>
      </w:r>
      <w:r w:rsidRPr="005C14C9">
        <w:rPr>
          <w:rFonts w:cs="Arial" w:hint="cs"/>
          <w:rtl/>
        </w:rPr>
        <w:t xml:space="preserve"> וטור- </w:t>
      </w:r>
      <w:r w:rsidRPr="005C14C9">
        <w:rPr>
          <w:rFonts w:cs="Arial"/>
          <w:rtl/>
        </w:rPr>
        <w:t>הרי שנמצאו מעות או מטלטלין ביד האשה</w:t>
      </w:r>
      <w:r w:rsidRPr="005C14C9">
        <w:rPr>
          <w:rFonts w:cs="Arial" w:hint="cs"/>
          <w:rtl/>
        </w:rPr>
        <w:t>,</w:t>
      </w:r>
      <w:r w:rsidRPr="005C14C9">
        <w:rPr>
          <w:rFonts w:cs="Arial"/>
          <w:rtl/>
        </w:rPr>
        <w:t xml:space="preserve"> היא אומרת במתנה נתנו לי</w:t>
      </w:r>
      <w:r w:rsidRPr="005C14C9">
        <w:rPr>
          <w:rFonts w:cs="Arial" w:hint="cs"/>
          <w:rtl/>
        </w:rPr>
        <w:t>,</w:t>
      </w:r>
      <w:r w:rsidRPr="005C14C9">
        <w:rPr>
          <w:rFonts w:cs="Arial"/>
          <w:rtl/>
        </w:rPr>
        <w:t xml:space="preserve"> והוא אומר ממעשה ידיך הם</w:t>
      </w:r>
      <w:r w:rsidRPr="005C14C9">
        <w:rPr>
          <w:rFonts w:cs="Arial" w:hint="cs"/>
          <w:rtl/>
        </w:rPr>
        <w:t>,</w:t>
      </w:r>
      <w:r w:rsidRPr="005C14C9">
        <w:rPr>
          <w:rFonts w:cs="Arial"/>
          <w:rtl/>
        </w:rPr>
        <w:t xml:space="preserve"> שהם שלי </w:t>
      </w:r>
      <w:r w:rsidRPr="005C14C9">
        <w:rPr>
          <w:rFonts w:cs="Arial" w:hint="cs"/>
          <w:rtl/>
        </w:rPr>
        <w:t xml:space="preserve">- </w:t>
      </w:r>
      <w:r w:rsidRPr="005C14C9">
        <w:rPr>
          <w:rFonts w:cs="Arial"/>
          <w:rtl/>
        </w:rPr>
        <w:t>הרי זו נאמנת</w:t>
      </w:r>
      <w:r w:rsidR="00494E27">
        <w:rPr>
          <w:rStyle w:val="a7"/>
          <w:rFonts w:cs="Arial"/>
          <w:rtl/>
        </w:rPr>
        <w:footnoteReference w:id="942"/>
      </w:r>
      <w:r w:rsidRPr="005C14C9">
        <w:rPr>
          <w:rFonts w:cs="Arial"/>
          <w:rtl/>
        </w:rPr>
        <w:t>, ויש לו להחרים</w:t>
      </w:r>
      <w:r w:rsidR="00494E27">
        <w:rPr>
          <w:rStyle w:val="a7"/>
          <w:rFonts w:cs="Arial"/>
          <w:rtl/>
        </w:rPr>
        <w:footnoteReference w:id="943"/>
      </w:r>
      <w:r w:rsidRPr="005C14C9">
        <w:rPr>
          <w:rFonts w:cs="Arial"/>
          <w:rtl/>
        </w:rPr>
        <w:t xml:space="preserve"> על מי שטוענת דבר שאינו כן, וילקח בהן קרקע והוא אוכל פירות</w:t>
      </w:r>
      <w:r w:rsidR="00A376A0" w:rsidRPr="005C14C9">
        <w:rPr>
          <w:rFonts w:cs="Arial" w:hint="cs"/>
          <w:sz w:val="16"/>
          <w:szCs w:val="16"/>
          <w:rtl/>
        </w:rPr>
        <w:t xml:space="preserve"> (ל' הרמב"ם)</w:t>
      </w:r>
      <w:r w:rsidRPr="005C14C9">
        <w:rPr>
          <w:rFonts w:cs="Arial" w:hint="cs"/>
          <w:rtl/>
        </w:rPr>
        <w:t>.</w:t>
      </w:r>
      <w:r w:rsidR="000F31AE" w:rsidRPr="000F31AE">
        <w:rPr>
          <w:rFonts w:hint="cs"/>
          <w:color w:val="E36C0A" w:themeColor="accent6" w:themeShade="BF"/>
          <w:rtl/>
        </w:rPr>
        <w:t xml:space="preserve"> </w:t>
      </w:r>
      <w:r w:rsidR="000F31AE" w:rsidRPr="00137671">
        <w:rPr>
          <w:rFonts w:hint="cs"/>
          <w:color w:val="E36C0A" w:themeColor="accent6" w:themeShade="BF"/>
          <w:rtl/>
        </w:rPr>
        <w:t>(וכ"פ בשו"ע)</w:t>
      </w:r>
    </w:p>
    <w:p w14:paraId="55F71741" w14:textId="556FC13D" w:rsidR="008B1799" w:rsidRPr="00A376A0" w:rsidRDefault="00A376A0" w:rsidP="008B1799">
      <w:pPr>
        <w:ind w:left="360"/>
        <w:rPr>
          <w:rFonts w:cs="Arial"/>
          <w:u w:val="dotted"/>
        </w:rPr>
      </w:pPr>
      <w:r w:rsidRPr="00A376A0">
        <w:rPr>
          <w:rFonts w:cs="Arial" w:hint="cs"/>
          <w:u w:val="dotted"/>
          <w:rtl/>
        </w:rPr>
        <w:t xml:space="preserve">ומה הדין אם אמרה 'נתנו לי </w:t>
      </w:r>
      <w:r w:rsidR="003B3466">
        <w:rPr>
          <w:rFonts w:cs="Arial" w:hint="cs"/>
          <w:u w:val="dotted"/>
          <w:rtl/>
        </w:rPr>
        <w:t>ב</w:t>
      </w:r>
      <w:r w:rsidRPr="00A376A0">
        <w:rPr>
          <w:rFonts w:cs="Arial" w:hint="cs"/>
          <w:u w:val="dotted"/>
          <w:rtl/>
        </w:rPr>
        <w:t>מתנה על מנת שלא יהיה לבעלי רשות בה':</w:t>
      </w:r>
    </w:p>
    <w:p w14:paraId="1771CB00" w14:textId="479CA668" w:rsidR="008B1799" w:rsidRDefault="008B1799" w:rsidP="009000E3">
      <w:pPr>
        <w:pStyle w:val="ab"/>
        <w:numPr>
          <w:ilvl w:val="0"/>
          <w:numId w:val="50"/>
        </w:numPr>
        <w:rPr>
          <w:rFonts w:cs="Arial"/>
        </w:rPr>
      </w:pPr>
      <w:r w:rsidRPr="005C14C9">
        <w:rPr>
          <w:rFonts w:cs="Arial" w:hint="cs"/>
          <w:rtl/>
        </w:rPr>
        <w:t xml:space="preserve">רמב"ם </w:t>
      </w:r>
      <w:r w:rsidRPr="005C14C9">
        <w:rPr>
          <w:rFonts w:cs="Arial" w:hint="cs"/>
          <w:sz w:val="16"/>
          <w:szCs w:val="16"/>
          <w:rtl/>
        </w:rPr>
        <w:t>(פכ"ב מאישות ה"ל)</w:t>
      </w:r>
      <w:r w:rsidRPr="005C14C9">
        <w:rPr>
          <w:rFonts w:cs="Arial" w:hint="cs"/>
          <w:rtl/>
        </w:rPr>
        <w:t xml:space="preserve"> </w:t>
      </w:r>
      <w:r w:rsidR="00A376A0">
        <w:rPr>
          <w:rFonts w:cs="Arial"/>
          <w:rtl/>
        </w:rPr>
        <w:t xml:space="preserve">רמב"ן </w:t>
      </w:r>
      <w:r w:rsidR="00A376A0" w:rsidRPr="008B1799">
        <w:rPr>
          <w:rFonts w:cs="Arial"/>
          <w:sz w:val="16"/>
          <w:szCs w:val="16"/>
          <w:rtl/>
        </w:rPr>
        <w:t>(חי' ב"ב נא: ד"ה מן האשה)</w:t>
      </w:r>
      <w:r w:rsidR="00A376A0">
        <w:rPr>
          <w:rFonts w:cs="Arial" w:hint="cs"/>
          <w:rtl/>
        </w:rPr>
        <w:t xml:space="preserve"> </w:t>
      </w:r>
      <w:r w:rsidRPr="005C14C9">
        <w:rPr>
          <w:rFonts w:cs="Arial" w:hint="cs"/>
          <w:rtl/>
        </w:rPr>
        <w:t>וטור-</w:t>
      </w:r>
      <w:r>
        <w:rPr>
          <w:rFonts w:cs="Arial" w:hint="cs"/>
          <w:rtl/>
        </w:rPr>
        <w:t xml:space="preserve"> </w:t>
      </w:r>
      <w:r w:rsidR="005C14C9" w:rsidRPr="005C14C9">
        <w:rPr>
          <w:rFonts w:cs="Arial"/>
          <w:rtl/>
        </w:rPr>
        <w:t xml:space="preserve">ואם אמרה על מנת כן נתנו לי על מנת שלא יהיה לבעלי רשות בהן אלא אעשה בהן מה שארצה </w:t>
      </w:r>
      <w:r w:rsidR="005C14C9" w:rsidRPr="005C14C9">
        <w:rPr>
          <w:rFonts w:cs="Arial" w:hint="cs"/>
          <w:rtl/>
        </w:rPr>
        <w:t xml:space="preserve">- </w:t>
      </w:r>
      <w:r w:rsidR="005C14C9" w:rsidRPr="005C14C9">
        <w:rPr>
          <w:rFonts w:cs="Arial"/>
          <w:rtl/>
        </w:rPr>
        <w:t>עליה להביא ראיה, שכל ממון הנמצא ביד האשה בחזקת הבעל הוא שיאכל פירותיו עד שתביא ראיה</w:t>
      </w:r>
      <w:r w:rsidR="00A376A0">
        <w:rPr>
          <w:rStyle w:val="a7"/>
          <w:rFonts w:cs="Arial"/>
          <w:rtl/>
        </w:rPr>
        <w:footnoteReference w:id="944"/>
      </w:r>
      <w:r w:rsidR="008D3C30" w:rsidRPr="005C14C9">
        <w:rPr>
          <w:rFonts w:cs="Arial" w:hint="cs"/>
          <w:sz w:val="16"/>
          <w:szCs w:val="16"/>
          <w:rtl/>
        </w:rPr>
        <w:t xml:space="preserve"> (ל' הרמב"ם)</w:t>
      </w:r>
      <w:r w:rsidR="005C14C9" w:rsidRPr="005C14C9">
        <w:rPr>
          <w:rFonts w:cs="Arial"/>
          <w:rtl/>
        </w:rPr>
        <w:t xml:space="preserve">. </w:t>
      </w:r>
      <w:r w:rsidR="000F31AE" w:rsidRPr="00137671">
        <w:rPr>
          <w:rFonts w:hint="cs"/>
          <w:color w:val="E36C0A" w:themeColor="accent6" w:themeShade="BF"/>
          <w:rtl/>
        </w:rPr>
        <w:t>(וכ"פ בשו"ע)</w:t>
      </w:r>
    </w:p>
    <w:p w14:paraId="70B5D53F" w14:textId="67BADE26" w:rsidR="00CB751C" w:rsidRDefault="00CB751C" w:rsidP="009000E3">
      <w:pPr>
        <w:pStyle w:val="ab"/>
        <w:numPr>
          <w:ilvl w:val="0"/>
          <w:numId w:val="50"/>
        </w:numPr>
        <w:rPr>
          <w:rFonts w:cs="Arial"/>
        </w:rPr>
      </w:pPr>
      <w:r>
        <w:rPr>
          <w:rFonts w:cs="Arial" w:hint="cs"/>
          <w:rtl/>
        </w:rPr>
        <w:t>רשב"א</w:t>
      </w:r>
      <w:r>
        <w:rPr>
          <w:rFonts w:cs="Arial"/>
          <w:rtl/>
        </w:rPr>
        <w:t xml:space="preserve"> </w:t>
      </w:r>
      <w:r w:rsidRPr="00CB751C">
        <w:rPr>
          <w:rFonts w:cs="Arial"/>
          <w:sz w:val="16"/>
          <w:szCs w:val="16"/>
          <w:rtl/>
        </w:rPr>
        <w:t>(ח"ב סי' שצה, ח"ה סי' עב)</w:t>
      </w:r>
      <w:r>
        <w:rPr>
          <w:rFonts w:cs="Arial" w:hint="cs"/>
          <w:rtl/>
        </w:rPr>
        <w:t>-</w:t>
      </w:r>
      <w:r>
        <w:rPr>
          <w:rFonts w:cs="Arial"/>
          <w:rtl/>
        </w:rPr>
        <w:t xml:space="preserve"> כבר ראית בחידושי שאני נוטה לדברי מורי ה"ר יונה </w:t>
      </w:r>
      <w:r w:rsidRPr="00CB751C">
        <w:rPr>
          <w:rFonts w:cs="Arial"/>
          <w:sz w:val="16"/>
          <w:szCs w:val="16"/>
          <w:rtl/>
        </w:rPr>
        <w:t>(עליות דר"י נא: ד"ה ת"ר)</w:t>
      </w:r>
      <w:r>
        <w:rPr>
          <w:rFonts w:cs="Arial"/>
          <w:rtl/>
        </w:rPr>
        <w:t xml:space="preserve"> שקיבל משם ר"י שהיא נאמנת</w:t>
      </w:r>
      <w:r w:rsidR="003B3466">
        <w:rPr>
          <w:rFonts w:cs="Arial" w:hint="cs"/>
          <w:rtl/>
        </w:rPr>
        <w:t>.</w:t>
      </w:r>
      <w:r>
        <w:rPr>
          <w:rFonts w:cs="Arial"/>
          <w:rtl/>
        </w:rPr>
        <w:t xml:space="preserve"> אבל מכל מקום אם למעשה אתה שואל עוד אנו צריכים להתיישב בדבר</w:t>
      </w:r>
      <w:r w:rsidR="003B3466">
        <w:rPr>
          <w:rFonts w:cs="Arial" w:hint="cs"/>
          <w:rtl/>
        </w:rPr>
        <w:t>.</w:t>
      </w:r>
      <w:r>
        <w:rPr>
          <w:rFonts w:cs="Arial"/>
          <w:rtl/>
        </w:rPr>
        <w:t xml:space="preserve"> ומיהו אם היתה נושאת ונותנת בתוך הבית זה נראה לי ברור שאינה נאמנת והרי הם של בעל לגמרי עד שתביא ראיה לדבריה</w:t>
      </w:r>
      <w:r w:rsidR="003B3466">
        <w:rPr>
          <w:rFonts w:cs="Arial" w:hint="cs"/>
          <w:rtl/>
        </w:rPr>
        <w:t>,</w:t>
      </w:r>
      <w:r>
        <w:rPr>
          <w:rFonts w:cs="Arial"/>
          <w:rtl/>
        </w:rPr>
        <w:t xml:space="preserve"> מדתניא (ב"ב נב:) וכן האשה שהיתה נושאת ונותנת בתוך הבית והיו אונות ושטרות יוצאות על שמה ואמרה שלי הן שנפלו לי מבית אבא או מבית אבי אמא עליה להביא ראיה.</w:t>
      </w:r>
    </w:p>
    <w:p w14:paraId="3A068CE0" w14:textId="4A791D14" w:rsidR="00934489" w:rsidRPr="00A376A0" w:rsidRDefault="00934489" w:rsidP="009000E3">
      <w:pPr>
        <w:pStyle w:val="ab"/>
        <w:numPr>
          <w:ilvl w:val="0"/>
          <w:numId w:val="50"/>
        </w:numPr>
        <w:rPr>
          <w:rFonts w:cs="Arial"/>
        </w:rPr>
      </w:pPr>
      <w:r>
        <w:rPr>
          <w:rFonts w:cs="Arial"/>
          <w:rtl/>
        </w:rPr>
        <w:t>תוס</w:t>
      </w:r>
      <w:r>
        <w:rPr>
          <w:rFonts w:cs="Arial" w:hint="cs"/>
          <w:rtl/>
        </w:rPr>
        <w:t>'</w:t>
      </w:r>
      <w:r>
        <w:rPr>
          <w:rFonts w:cs="Arial"/>
          <w:rtl/>
        </w:rPr>
        <w:t xml:space="preserve"> </w:t>
      </w:r>
      <w:r w:rsidRPr="00397029">
        <w:rPr>
          <w:rFonts w:cs="Arial"/>
          <w:sz w:val="16"/>
          <w:szCs w:val="16"/>
          <w:rtl/>
        </w:rPr>
        <w:t xml:space="preserve">(שם: ד"ה קבל) </w:t>
      </w:r>
      <w:r>
        <w:rPr>
          <w:rFonts w:cs="Arial"/>
          <w:rtl/>
        </w:rPr>
        <w:t xml:space="preserve">ורא"ש </w:t>
      </w:r>
      <w:r w:rsidRPr="00397029">
        <w:rPr>
          <w:rFonts w:cs="Arial"/>
          <w:sz w:val="16"/>
          <w:szCs w:val="16"/>
          <w:rtl/>
        </w:rPr>
        <w:t>(סי' נה)</w:t>
      </w:r>
      <w:r>
        <w:rPr>
          <w:rFonts w:cs="Arial" w:hint="cs"/>
          <w:rtl/>
        </w:rPr>
        <w:t>-</w:t>
      </w:r>
      <w:r>
        <w:rPr>
          <w:rFonts w:cs="Arial"/>
          <w:rtl/>
        </w:rPr>
        <w:t xml:space="preserve"> </w:t>
      </w:r>
      <w:r w:rsidR="00397029" w:rsidRPr="00397029">
        <w:rPr>
          <w:rFonts w:cs="Arial"/>
          <w:rtl/>
        </w:rPr>
        <w:t>נראה דאם אמרה האשה תן לפלוני שהם שלו</w:t>
      </w:r>
      <w:r w:rsidR="00397029">
        <w:rPr>
          <w:rFonts w:cs="Arial" w:hint="cs"/>
          <w:rtl/>
        </w:rPr>
        <w:t xml:space="preserve"> -</w:t>
      </w:r>
      <w:r w:rsidR="00397029" w:rsidRPr="00397029">
        <w:rPr>
          <w:rFonts w:cs="Arial"/>
          <w:rtl/>
        </w:rPr>
        <w:t xml:space="preserve"> דנותן לו</w:t>
      </w:r>
      <w:r w:rsidR="00397029">
        <w:rPr>
          <w:rFonts w:cs="Arial" w:hint="cs"/>
          <w:rtl/>
        </w:rPr>
        <w:t>,</w:t>
      </w:r>
      <w:r w:rsidR="00397029" w:rsidRPr="00397029">
        <w:rPr>
          <w:rFonts w:cs="Arial"/>
          <w:rtl/>
        </w:rPr>
        <w:t xml:space="preserve"> דנאמנת היא במיגו דאי בעיא שקלה איהי מיניה ויהבה ליה</w:t>
      </w:r>
      <w:r w:rsidR="00397029">
        <w:rPr>
          <w:rFonts w:cs="Arial" w:hint="cs"/>
          <w:rtl/>
        </w:rPr>
        <w:t>,</w:t>
      </w:r>
      <w:r w:rsidR="00397029" w:rsidRPr="00397029">
        <w:rPr>
          <w:rFonts w:cs="Arial"/>
          <w:rtl/>
        </w:rPr>
        <w:t xml:space="preserve"> ואפי' אומר הבעל שהממון שלו אין לו כח להוציא מידה</w:t>
      </w:r>
      <w:r w:rsidR="00397029">
        <w:rPr>
          <w:rFonts w:cs="Arial" w:hint="cs"/>
          <w:rtl/>
        </w:rPr>
        <w:t>...</w:t>
      </w:r>
      <w:r w:rsidR="00397029" w:rsidRPr="00397029">
        <w:rPr>
          <w:rFonts w:cs="Arial"/>
          <w:rtl/>
        </w:rPr>
        <w:t xml:space="preserve"> ואם תקף הבעל מידה שוב אינה יכולה להוציא מידו ולומר של פלוני הם</w:t>
      </w:r>
      <w:r w:rsidR="00397029">
        <w:rPr>
          <w:rFonts w:cs="Arial" w:hint="cs"/>
          <w:rtl/>
        </w:rPr>
        <w:t>...</w:t>
      </w:r>
      <w:r w:rsidR="00397029" w:rsidRPr="00397029">
        <w:rPr>
          <w:rFonts w:cs="Arial"/>
          <w:rtl/>
        </w:rPr>
        <w:t xml:space="preserve"> ודוקא במעות טמונות</w:t>
      </w:r>
      <w:r w:rsidR="00397029">
        <w:rPr>
          <w:rFonts w:cs="Arial" w:hint="cs"/>
          <w:rtl/>
        </w:rPr>
        <w:t>...</w:t>
      </w:r>
      <w:r w:rsidR="00397029" w:rsidRPr="00397029">
        <w:rPr>
          <w:rFonts w:cs="Arial"/>
          <w:rtl/>
        </w:rPr>
        <w:t xml:space="preserve"> אבל מעות שאינן טמונות </w:t>
      </w:r>
      <w:r w:rsidR="00397029">
        <w:rPr>
          <w:rFonts w:cs="Arial" w:hint="cs"/>
          <w:rtl/>
        </w:rPr>
        <w:t xml:space="preserve">- </w:t>
      </w:r>
      <w:r w:rsidR="00397029" w:rsidRPr="00397029">
        <w:rPr>
          <w:rFonts w:cs="Arial"/>
          <w:rtl/>
        </w:rPr>
        <w:t>יש לה עליו</w:t>
      </w:r>
      <w:r w:rsidR="00397029">
        <w:rPr>
          <w:rFonts w:cs="Arial" w:hint="cs"/>
          <w:rtl/>
        </w:rPr>
        <w:t>,</w:t>
      </w:r>
      <w:r w:rsidR="00397029" w:rsidRPr="00397029">
        <w:rPr>
          <w:rFonts w:cs="Arial"/>
          <w:rtl/>
        </w:rPr>
        <w:t xml:space="preserve"> וכן אם תקף </w:t>
      </w:r>
      <w:r w:rsidR="00397029">
        <w:rPr>
          <w:rFonts w:cs="Arial" w:hint="cs"/>
          <w:rtl/>
        </w:rPr>
        <w:t xml:space="preserve">- </w:t>
      </w:r>
      <w:r w:rsidR="00397029" w:rsidRPr="00397029">
        <w:rPr>
          <w:rFonts w:cs="Arial"/>
          <w:rtl/>
        </w:rPr>
        <w:t>מוציאין מידו</w:t>
      </w:r>
      <w:r w:rsidR="00397029">
        <w:rPr>
          <w:rFonts w:cs="Arial" w:hint="cs"/>
          <w:rtl/>
        </w:rPr>
        <w:t>...</w:t>
      </w:r>
      <w:r w:rsidR="00397029" w:rsidRPr="00397029">
        <w:rPr>
          <w:rFonts w:cs="Arial"/>
          <w:rtl/>
        </w:rPr>
        <w:t xml:space="preserve"> ואפי' בב"ד</w:t>
      </w:r>
      <w:r w:rsidR="00397029">
        <w:rPr>
          <w:rFonts w:cs="Arial" w:hint="cs"/>
          <w:rtl/>
        </w:rPr>
        <w:t>.</w:t>
      </w:r>
      <w:r w:rsidR="00397029" w:rsidRPr="00397029">
        <w:rPr>
          <w:rFonts w:cs="Arial"/>
          <w:rtl/>
        </w:rPr>
        <w:t xml:space="preserve"> ואם היא נושאת ונותנת בתוך הבית </w:t>
      </w:r>
      <w:r w:rsidR="003B3466">
        <w:rPr>
          <w:rFonts w:cs="Arial" w:hint="cs"/>
          <w:rtl/>
        </w:rPr>
        <w:t xml:space="preserve">- </w:t>
      </w:r>
      <w:r w:rsidR="00397029" w:rsidRPr="00397029">
        <w:rPr>
          <w:rFonts w:cs="Arial"/>
          <w:rtl/>
        </w:rPr>
        <w:t>אינה נאמנת לומר לא שלי ולא של פלוני הם</w:t>
      </w:r>
      <w:r w:rsidR="00397029">
        <w:rPr>
          <w:rFonts w:cs="Arial" w:hint="cs"/>
          <w:rtl/>
        </w:rPr>
        <w:t>...</w:t>
      </w:r>
      <w:r w:rsidR="00397029" w:rsidRPr="00397029">
        <w:rPr>
          <w:rFonts w:cs="Arial"/>
          <w:rtl/>
        </w:rPr>
        <w:t xml:space="preserve"> ומיהו היכא שאינה נושאת ונותנת בחיי בעלה וממון בעלה מצוי בידה יש להסתפק אם חשבינן לה כאילו נושאת ונותנת אם לאו</w:t>
      </w:r>
      <w:r w:rsidR="00397029">
        <w:rPr>
          <w:rFonts w:cs="Arial" w:hint="cs"/>
          <w:sz w:val="16"/>
          <w:szCs w:val="16"/>
          <w:rtl/>
        </w:rPr>
        <w:t xml:space="preserve"> (ל' התוס')</w:t>
      </w:r>
      <w:r>
        <w:rPr>
          <w:rFonts w:cs="Arial" w:hint="cs"/>
          <w:rtl/>
        </w:rPr>
        <w:t>.</w:t>
      </w:r>
      <w:r w:rsidR="000F31AE" w:rsidRPr="000F31AE">
        <w:rPr>
          <w:rFonts w:cs="Arial" w:hint="cs"/>
          <w:color w:val="00B0F0"/>
          <w:rtl/>
        </w:rPr>
        <w:t xml:space="preserve"> </w:t>
      </w:r>
      <w:r w:rsidR="000F31AE" w:rsidRPr="00057E6A">
        <w:rPr>
          <w:rFonts w:cs="Arial" w:hint="cs"/>
          <w:color w:val="00B0F0"/>
          <w:rtl/>
        </w:rPr>
        <w:t>(וכ"</w:t>
      </w:r>
      <w:r w:rsidR="00BE149A">
        <w:rPr>
          <w:rFonts w:cs="Arial" w:hint="cs"/>
          <w:color w:val="00B0F0"/>
          <w:rtl/>
        </w:rPr>
        <w:t>כ</w:t>
      </w:r>
      <w:r w:rsidR="000F31AE" w:rsidRPr="00057E6A">
        <w:rPr>
          <w:rFonts w:cs="Arial" w:hint="cs"/>
          <w:color w:val="00B0F0"/>
          <w:rtl/>
        </w:rPr>
        <w:t xml:space="preserve"> הרמ"א)</w:t>
      </w:r>
    </w:p>
    <w:p w14:paraId="7B07ABD0" w14:textId="3F88E4D5" w:rsidR="00BE346C" w:rsidRPr="00BE346C" w:rsidRDefault="00A376A0" w:rsidP="00BE346C">
      <w:pPr>
        <w:ind w:left="360"/>
        <w:rPr>
          <w:rFonts w:cs="Arial"/>
          <w:u w:val="dotted"/>
        </w:rPr>
      </w:pPr>
      <w:r>
        <w:rPr>
          <w:rFonts w:cs="Arial" w:hint="cs"/>
          <w:u w:val="dotted"/>
          <w:rtl/>
        </w:rPr>
        <w:t xml:space="preserve">ומה הדין אם </w:t>
      </w:r>
      <w:r w:rsidR="003B3466">
        <w:rPr>
          <w:rFonts w:cs="Arial" w:hint="cs"/>
          <w:u w:val="dotted"/>
          <w:rtl/>
        </w:rPr>
        <w:t>טוענת</w:t>
      </w:r>
      <w:r w:rsidR="00BE346C" w:rsidRPr="00BE346C">
        <w:rPr>
          <w:rFonts w:cs="Arial" w:hint="cs"/>
          <w:u w:val="dotted"/>
          <w:rtl/>
        </w:rPr>
        <w:t xml:space="preserve"> </w:t>
      </w:r>
      <w:r w:rsidR="00BE346C">
        <w:rPr>
          <w:rFonts w:cs="Arial" w:hint="cs"/>
          <w:u w:val="dotted"/>
          <w:rtl/>
        </w:rPr>
        <w:t>'</w:t>
      </w:r>
      <w:r w:rsidR="00BE346C" w:rsidRPr="00BE346C">
        <w:rPr>
          <w:rFonts w:cs="Arial" w:hint="cs"/>
          <w:u w:val="dotted"/>
          <w:rtl/>
        </w:rPr>
        <w:t>אתה נתתם לי מתנה</w:t>
      </w:r>
      <w:r w:rsidR="00BE346C">
        <w:rPr>
          <w:rFonts w:cs="Arial" w:hint="cs"/>
          <w:u w:val="dotted"/>
          <w:rtl/>
        </w:rPr>
        <w:t>'</w:t>
      </w:r>
      <w:r w:rsidR="00BE346C" w:rsidRPr="00BE346C">
        <w:rPr>
          <w:rFonts w:cs="Arial" w:hint="cs"/>
          <w:u w:val="dotted"/>
          <w:rtl/>
        </w:rPr>
        <w:t>:</w:t>
      </w:r>
    </w:p>
    <w:p w14:paraId="21E2E911" w14:textId="68EC7503" w:rsidR="00494E27" w:rsidRPr="00CB751C" w:rsidRDefault="008D3C30" w:rsidP="009000E3">
      <w:pPr>
        <w:pStyle w:val="ab"/>
        <w:numPr>
          <w:ilvl w:val="0"/>
          <w:numId w:val="50"/>
        </w:numPr>
        <w:rPr>
          <w:rFonts w:cs="Arial"/>
          <w:rtl/>
        </w:rPr>
      </w:pPr>
      <w:r w:rsidRPr="005C14C9">
        <w:rPr>
          <w:rFonts w:cs="Arial" w:hint="cs"/>
          <w:rtl/>
        </w:rPr>
        <w:t xml:space="preserve">רמב"ם </w:t>
      </w:r>
      <w:r w:rsidRPr="005C14C9">
        <w:rPr>
          <w:rFonts w:cs="Arial" w:hint="cs"/>
          <w:sz w:val="16"/>
          <w:szCs w:val="16"/>
          <w:rtl/>
        </w:rPr>
        <w:t>(פכ"ב מאישות הל</w:t>
      </w:r>
      <w:r>
        <w:rPr>
          <w:rFonts w:cs="Arial" w:hint="cs"/>
          <w:sz w:val="16"/>
          <w:szCs w:val="16"/>
          <w:rtl/>
        </w:rPr>
        <w:t>"א</w:t>
      </w:r>
      <w:r w:rsidRPr="005C14C9">
        <w:rPr>
          <w:rFonts w:cs="Arial" w:hint="cs"/>
          <w:sz w:val="16"/>
          <w:szCs w:val="16"/>
          <w:rtl/>
        </w:rPr>
        <w:t>)</w:t>
      </w:r>
      <w:r w:rsidRPr="005C14C9">
        <w:rPr>
          <w:rFonts w:cs="Arial" w:hint="cs"/>
          <w:rtl/>
        </w:rPr>
        <w:t xml:space="preserve"> וטור- </w:t>
      </w:r>
      <w:r w:rsidR="005C14C9" w:rsidRPr="005C14C9">
        <w:rPr>
          <w:rFonts w:cs="Arial"/>
          <w:rtl/>
        </w:rPr>
        <w:t xml:space="preserve">אמרה לו אתה נתתם לי מתנה </w:t>
      </w:r>
      <w:r w:rsidR="005C14C9" w:rsidRPr="005C14C9">
        <w:rPr>
          <w:rFonts w:cs="Arial" w:hint="cs"/>
          <w:rtl/>
        </w:rPr>
        <w:t xml:space="preserve">- </w:t>
      </w:r>
      <w:r w:rsidR="005C14C9" w:rsidRPr="005C14C9">
        <w:rPr>
          <w:rFonts w:cs="Arial"/>
          <w:rtl/>
        </w:rPr>
        <w:t>נשבעת שבועת הסת שנתן לה הבעל</w:t>
      </w:r>
      <w:r w:rsidR="00CB751C">
        <w:rPr>
          <w:rStyle w:val="a7"/>
          <w:rFonts w:cs="Arial"/>
          <w:rtl/>
        </w:rPr>
        <w:footnoteReference w:id="945"/>
      </w:r>
      <w:r w:rsidR="005C14C9" w:rsidRPr="005C14C9">
        <w:rPr>
          <w:rFonts w:cs="Arial" w:hint="cs"/>
          <w:rtl/>
        </w:rPr>
        <w:t>,</w:t>
      </w:r>
      <w:r w:rsidR="005C14C9" w:rsidRPr="005C14C9">
        <w:rPr>
          <w:rFonts w:cs="Arial"/>
          <w:rtl/>
        </w:rPr>
        <w:t xml:space="preserve"> ואינו אוכל פירותיהן</w:t>
      </w:r>
      <w:r w:rsidR="005C14C9" w:rsidRPr="005C14C9">
        <w:rPr>
          <w:rFonts w:cs="Arial" w:hint="cs"/>
          <w:sz w:val="16"/>
          <w:szCs w:val="16"/>
          <w:rtl/>
        </w:rPr>
        <w:t xml:space="preserve"> (ל' הרמב"ם)</w:t>
      </w:r>
      <w:r w:rsidR="005C14C9" w:rsidRPr="005C14C9">
        <w:rPr>
          <w:rFonts w:cs="Arial"/>
          <w:rtl/>
        </w:rPr>
        <w:t>.</w:t>
      </w:r>
      <w:r w:rsidR="000F31AE" w:rsidRPr="000F31AE">
        <w:rPr>
          <w:rFonts w:hint="cs"/>
          <w:color w:val="E36C0A" w:themeColor="accent6" w:themeShade="BF"/>
          <w:rtl/>
        </w:rPr>
        <w:t xml:space="preserve"> </w:t>
      </w:r>
      <w:r w:rsidR="000F31AE" w:rsidRPr="00137671">
        <w:rPr>
          <w:rFonts w:hint="cs"/>
          <w:color w:val="E36C0A" w:themeColor="accent6" w:themeShade="BF"/>
          <w:rtl/>
        </w:rPr>
        <w:t>(וכ"פ בשו"ע)</w:t>
      </w:r>
    </w:p>
    <w:p w14:paraId="382B4F3D" w14:textId="511A719C" w:rsidR="00CB751C" w:rsidRPr="00CB751C" w:rsidRDefault="00CB751C" w:rsidP="007A228B">
      <w:pPr>
        <w:rPr>
          <w:rFonts w:cs="Arial"/>
          <w:u w:val="single"/>
          <w:rtl/>
        </w:rPr>
      </w:pPr>
      <w:r>
        <w:rPr>
          <w:rFonts w:cs="Arial" w:hint="cs"/>
          <w:u w:val="single"/>
          <w:rtl/>
        </w:rPr>
        <w:lastRenderedPageBreak/>
        <w:t xml:space="preserve">האם </w:t>
      </w:r>
      <w:r w:rsidRPr="00CB751C">
        <w:rPr>
          <w:rFonts w:cs="Arial"/>
          <w:u w:val="single"/>
          <w:rtl/>
        </w:rPr>
        <w:t>הבעל נאמן לומר</w:t>
      </w:r>
      <w:r w:rsidR="00433FB2">
        <w:rPr>
          <w:rFonts w:cs="Arial" w:hint="cs"/>
          <w:u w:val="single"/>
          <w:rtl/>
        </w:rPr>
        <w:t>:</w:t>
      </w:r>
      <w:r w:rsidRPr="00CB751C">
        <w:rPr>
          <w:rFonts w:cs="Arial"/>
          <w:u w:val="single"/>
          <w:rtl/>
        </w:rPr>
        <w:t xml:space="preserve"> משלי גנב</w:t>
      </w:r>
      <w:r w:rsidR="00433FB2">
        <w:rPr>
          <w:rFonts w:cs="Arial" w:hint="cs"/>
          <w:u w:val="single"/>
          <w:rtl/>
        </w:rPr>
        <w:t>ה/</w:t>
      </w:r>
      <w:r w:rsidRPr="00CB751C">
        <w:rPr>
          <w:rFonts w:cs="Arial"/>
          <w:u w:val="single"/>
          <w:rtl/>
        </w:rPr>
        <w:t>מציאה הן</w:t>
      </w:r>
      <w:r w:rsidR="00433FB2">
        <w:rPr>
          <w:rFonts w:cs="Arial" w:hint="cs"/>
          <w:u w:val="single"/>
          <w:rtl/>
        </w:rPr>
        <w:t>/</w:t>
      </w:r>
      <w:r w:rsidRPr="00CB751C">
        <w:rPr>
          <w:rFonts w:cs="Arial"/>
          <w:u w:val="single"/>
          <w:rtl/>
        </w:rPr>
        <w:t>ממעשה ידיה קימצה</w:t>
      </w:r>
      <w:r>
        <w:rPr>
          <w:rFonts w:cs="Arial" w:hint="cs"/>
          <w:u w:val="single"/>
          <w:rtl/>
        </w:rPr>
        <w:t>:</w:t>
      </w:r>
      <w:r w:rsidRPr="00CB751C">
        <w:rPr>
          <w:rFonts w:cs="Arial"/>
          <w:u w:val="single"/>
          <w:rtl/>
        </w:rPr>
        <w:t xml:space="preserve"> </w:t>
      </w:r>
    </w:p>
    <w:p w14:paraId="4C93710B" w14:textId="7BF3433A" w:rsidR="001C326D" w:rsidRDefault="007A228B" w:rsidP="009000E3">
      <w:pPr>
        <w:pStyle w:val="ab"/>
        <w:numPr>
          <w:ilvl w:val="0"/>
          <w:numId w:val="50"/>
        </w:numPr>
        <w:rPr>
          <w:rFonts w:cs="Arial"/>
        </w:rPr>
      </w:pPr>
      <w:r w:rsidRPr="00CB751C">
        <w:rPr>
          <w:rFonts w:cs="Arial"/>
          <w:rtl/>
        </w:rPr>
        <w:t>רמב"ן</w:t>
      </w:r>
      <w:r w:rsidRPr="00CB751C">
        <w:rPr>
          <w:rFonts w:cs="Arial"/>
          <w:sz w:val="16"/>
          <w:szCs w:val="16"/>
          <w:rtl/>
        </w:rPr>
        <w:t xml:space="preserve"> </w:t>
      </w:r>
      <w:r w:rsidR="00CB751C" w:rsidRPr="00CB751C">
        <w:rPr>
          <w:rFonts w:cs="Arial" w:hint="cs"/>
          <w:sz w:val="16"/>
          <w:szCs w:val="16"/>
          <w:rtl/>
        </w:rPr>
        <w:t>(פ' חזקת ב"ב נא:)</w:t>
      </w:r>
      <w:r w:rsidR="00CB751C" w:rsidRPr="00CB751C">
        <w:rPr>
          <w:rFonts w:cs="Arial" w:hint="cs"/>
          <w:rtl/>
        </w:rPr>
        <w:t>-</w:t>
      </w:r>
      <w:r w:rsidR="00CB751C" w:rsidRPr="00CB751C">
        <w:rPr>
          <w:rFonts w:cs="Arial"/>
          <w:rtl/>
        </w:rPr>
        <w:t xml:space="preserve"> </w:t>
      </w:r>
      <w:r w:rsidRPr="00CB751C">
        <w:rPr>
          <w:rFonts w:cs="Arial"/>
          <w:rtl/>
        </w:rPr>
        <w:t>אין הבעל נאמן לומר משלי גנבה או מציאה הן או ממעשה ידיה קימצה וגוף ופירות שלי</w:t>
      </w:r>
      <w:r w:rsidR="00CB751C" w:rsidRPr="00CB751C">
        <w:rPr>
          <w:rFonts w:cs="Arial" w:hint="cs"/>
          <w:rtl/>
        </w:rPr>
        <w:t>,</w:t>
      </w:r>
      <w:r w:rsidRPr="00CB751C">
        <w:rPr>
          <w:rFonts w:cs="Arial"/>
          <w:rtl/>
        </w:rPr>
        <w:t xml:space="preserve"> אלא כנכסי מלוג הן לכל דבר</w:t>
      </w:r>
      <w:r w:rsidR="00CB751C" w:rsidRPr="00CB751C">
        <w:rPr>
          <w:rFonts w:cs="Arial" w:hint="cs"/>
          <w:rtl/>
        </w:rPr>
        <w:t>,</w:t>
      </w:r>
      <w:r w:rsidRPr="00CB751C">
        <w:rPr>
          <w:rFonts w:cs="Arial"/>
          <w:rtl/>
        </w:rPr>
        <w:t xml:space="preserve"> גוף שלה ופירות שלו</w:t>
      </w:r>
      <w:r w:rsidR="006403CA">
        <w:rPr>
          <w:rStyle w:val="a7"/>
          <w:rFonts w:cs="Arial"/>
          <w:rtl/>
        </w:rPr>
        <w:footnoteReference w:id="946"/>
      </w:r>
      <w:r w:rsidRPr="00CB751C">
        <w:rPr>
          <w:rFonts w:cs="Arial"/>
          <w:rtl/>
        </w:rPr>
        <w:t xml:space="preserve">. </w:t>
      </w:r>
    </w:p>
    <w:p w14:paraId="2F9BDEAF" w14:textId="602503EB" w:rsidR="000E56A6" w:rsidRPr="000E56A6" w:rsidRDefault="000E56A6" w:rsidP="000E56A6">
      <w:pPr>
        <w:rPr>
          <w:rFonts w:cs="Arial"/>
          <w:sz w:val="16"/>
          <w:szCs w:val="16"/>
          <w:u w:val="single"/>
          <w:rtl/>
        </w:rPr>
      </w:pPr>
      <w:r w:rsidRPr="000E56A6">
        <w:rPr>
          <w:rFonts w:cs="Arial" w:hint="cs"/>
          <w:u w:val="single"/>
          <w:rtl/>
        </w:rPr>
        <w:t>בעל שרוצה להשביע את אשתו על כסף שיש בידה והיא לא מגלה לו:</w:t>
      </w:r>
      <w:r w:rsidRPr="000E56A6">
        <w:rPr>
          <w:rFonts w:cs="Arial" w:hint="cs"/>
          <w:rtl/>
        </w:rPr>
        <w:t xml:space="preserve"> </w:t>
      </w:r>
      <w:r w:rsidRPr="000E56A6">
        <w:rPr>
          <w:rFonts w:cs="Arial" w:hint="cs"/>
          <w:sz w:val="16"/>
          <w:szCs w:val="16"/>
          <w:rtl/>
        </w:rPr>
        <w:t>(</w:t>
      </w:r>
      <w:r>
        <w:rPr>
          <w:rFonts w:cs="Arial" w:hint="cs"/>
          <w:sz w:val="16"/>
          <w:szCs w:val="16"/>
          <w:rtl/>
        </w:rPr>
        <w:t>ב"י בסוף הסימן)</w:t>
      </w:r>
    </w:p>
    <w:p w14:paraId="09BAB1A0" w14:textId="715FFDC2" w:rsidR="000E56A6" w:rsidRDefault="000E56A6" w:rsidP="009000E3">
      <w:pPr>
        <w:pStyle w:val="ab"/>
        <w:numPr>
          <w:ilvl w:val="0"/>
          <w:numId w:val="51"/>
        </w:numPr>
        <w:rPr>
          <w:rtl/>
        </w:rPr>
      </w:pPr>
      <w:r w:rsidRPr="00627CE6">
        <w:rPr>
          <w:rFonts w:cs="Arial"/>
          <w:rtl/>
        </w:rPr>
        <w:t xml:space="preserve">רשב"א </w:t>
      </w:r>
      <w:r w:rsidRPr="00431AAE">
        <w:rPr>
          <w:rFonts w:cs="Arial"/>
          <w:sz w:val="16"/>
          <w:szCs w:val="16"/>
          <w:rtl/>
        </w:rPr>
        <w:t>(ח"ב סי' קח)</w:t>
      </w:r>
      <w:r>
        <w:rPr>
          <w:rFonts w:cs="Arial" w:hint="cs"/>
          <w:rtl/>
        </w:rPr>
        <w:t>-</w:t>
      </w:r>
      <w:r w:rsidRPr="00627CE6">
        <w:rPr>
          <w:rFonts w:cs="Arial"/>
          <w:rtl/>
        </w:rPr>
        <w:t xml:space="preserve"> ש</w:t>
      </w:r>
      <w:r>
        <w:rPr>
          <w:rFonts w:cs="Arial" w:hint="cs"/>
          <w:rtl/>
        </w:rPr>
        <w:t xml:space="preserve">אלת </w:t>
      </w:r>
      <w:r w:rsidRPr="00627CE6">
        <w:rPr>
          <w:rFonts w:cs="Arial"/>
          <w:rtl/>
        </w:rPr>
        <w:t>על בת שגנבה מאביה כסף וזהב</w:t>
      </w:r>
      <w:r>
        <w:rPr>
          <w:rFonts w:cs="Arial" w:hint="cs"/>
          <w:rtl/>
        </w:rPr>
        <w:t>,</w:t>
      </w:r>
      <w:r w:rsidRPr="00627CE6">
        <w:rPr>
          <w:rFonts w:cs="Arial"/>
          <w:rtl/>
        </w:rPr>
        <w:t xml:space="preserve"> ולא הכיר בהם הבעל</w:t>
      </w:r>
      <w:r>
        <w:rPr>
          <w:rFonts w:cs="Arial" w:hint="cs"/>
          <w:rtl/>
        </w:rPr>
        <w:t>.</w:t>
      </w:r>
      <w:r w:rsidRPr="00627CE6">
        <w:rPr>
          <w:rFonts w:cs="Arial"/>
          <w:rtl/>
        </w:rPr>
        <w:t xml:space="preserve"> ועכשיו תובע הבעל שתשבע לגלות לו כל מה שיש לה</w:t>
      </w:r>
      <w:r>
        <w:rPr>
          <w:rFonts w:cs="Arial" w:hint="cs"/>
          <w:rtl/>
        </w:rPr>
        <w:t>.</w:t>
      </w:r>
      <w:r w:rsidRPr="00627CE6">
        <w:rPr>
          <w:rFonts w:cs="Arial"/>
          <w:rtl/>
        </w:rPr>
        <w:t xml:space="preserve"> </w:t>
      </w:r>
      <w:r w:rsidR="00FE210D">
        <w:rPr>
          <w:rFonts w:cs="Arial" w:hint="cs"/>
          <w:rtl/>
        </w:rPr>
        <w:t xml:space="preserve">      תשובה:</w:t>
      </w:r>
      <w:r w:rsidRPr="00627CE6">
        <w:rPr>
          <w:rFonts w:cs="Arial"/>
          <w:rtl/>
        </w:rPr>
        <w:t xml:space="preserve"> טענת לאה טענה יפה היא</w:t>
      </w:r>
      <w:r>
        <w:rPr>
          <w:rFonts w:cs="Arial" w:hint="cs"/>
          <w:rtl/>
        </w:rPr>
        <w:t>,</w:t>
      </w:r>
      <w:r w:rsidRPr="00627CE6">
        <w:rPr>
          <w:rFonts w:cs="Arial"/>
          <w:rtl/>
        </w:rPr>
        <w:t xml:space="preserve"> שאין הבעל יכול להשביע את אשתו על הספק על מה שעבר אלא חנונית וחבירותיה השנויים במשנה </w:t>
      </w:r>
      <w:r w:rsidRPr="00764603">
        <w:rPr>
          <w:rFonts w:cs="Arial"/>
          <w:sz w:val="16"/>
          <w:szCs w:val="16"/>
          <w:rtl/>
        </w:rPr>
        <w:t>(כתובות פו:)</w:t>
      </w:r>
      <w:r>
        <w:rPr>
          <w:rFonts w:cs="Arial" w:hint="cs"/>
          <w:rtl/>
        </w:rPr>
        <w:t>,</w:t>
      </w:r>
      <w:r w:rsidRPr="00627CE6">
        <w:rPr>
          <w:rFonts w:cs="Arial"/>
          <w:rtl/>
        </w:rPr>
        <w:t xml:space="preserve"> וכל שכן שאינו יכול להשביעה על העתיד שלא תגנוב ולא תבריח</w:t>
      </w:r>
      <w:r>
        <w:rPr>
          <w:rFonts w:cs="Arial" w:hint="cs"/>
          <w:rtl/>
        </w:rPr>
        <w:t>.</w:t>
      </w:r>
      <w:r w:rsidRPr="00627CE6">
        <w:rPr>
          <w:rFonts w:cs="Arial"/>
          <w:rtl/>
        </w:rPr>
        <w:t xml:space="preserve"> אבל מכל מקום כל מה שיש לאשה יש בו זכות לבעל כדין נכסי מלוג</w:t>
      </w:r>
      <w:r>
        <w:rPr>
          <w:rFonts w:cs="Arial" w:hint="cs"/>
          <w:rtl/>
        </w:rPr>
        <w:t>,</w:t>
      </w:r>
      <w:r w:rsidRPr="00627CE6">
        <w:rPr>
          <w:rFonts w:cs="Arial"/>
          <w:rtl/>
        </w:rPr>
        <w:t xml:space="preserve"> מיהו אין הבעל זוכה בנכסי אשתו לבטל מכרה ומתנתה אלא באותם הידועים לו</w:t>
      </w:r>
      <w:r>
        <w:rPr>
          <w:rFonts w:cs="Arial" w:hint="cs"/>
          <w:rtl/>
        </w:rPr>
        <w:t>,</w:t>
      </w:r>
      <w:r w:rsidRPr="00627CE6">
        <w:rPr>
          <w:rFonts w:cs="Arial"/>
          <w:rtl/>
        </w:rPr>
        <w:t xml:space="preserve"> אבל בשאינם ידועים לו לא</w:t>
      </w:r>
      <w:r>
        <w:rPr>
          <w:rFonts w:cs="Arial" w:hint="cs"/>
          <w:rtl/>
        </w:rPr>
        <w:t>,</w:t>
      </w:r>
      <w:r w:rsidRPr="00627CE6">
        <w:rPr>
          <w:rFonts w:cs="Arial"/>
          <w:rtl/>
        </w:rPr>
        <w:t xml:space="preserve"> דהלכה כרבי שמעון דפרק האשה שנפלו </w:t>
      </w:r>
      <w:r w:rsidRPr="00764603">
        <w:rPr>
          <w:rFonts w:cs="Arial"/>
          <w:sz w:val="16"/>
          <w:szCs w:val="16"/>
          <w:rtl/>
        </w:rPr>
        <w:t>(עח.)</w:t>
      </w:r>
      <w:r>
        <w:rPr>
          <w:rFonts w:cs="Arial" w:hint="cs"/>
          <w:rtl/>
        </w:rPr>
        <w:t>.</w:t>
      </w:r>
      <w:r w:rsidRPr="00627CE6">
        <w:rPr>
          <w:rFonts w:cs="Arial"/>
          <w:rtl/>
        </w:rPr>
        <w:t xml:space="preserve"> ותניא </w:t>
      </w:r>
      <w:r w:rsidRPr="00764603">
        <w:rPr>
          <w:rFonts w:cs="Arial"/>
          <w:sz w:val="16"/>
          <w:szCs w:val="16"/>
          <w:rtl/>
        </w:rPr>
        <w:t xml:space="preserve">(שם:) </w:t>
      </w:r>
      <w:r w:rsidRPr="00627CE6">
        <w:rPr>
          <w:rFonts w:cs="Arial"/>
          <w:rtl/>
        </w:rPr>
        <w:t>אלו הם שאינם ידועים כל היושבת כאן ונפלו לה נכסים במדינת הים</w:t>
      </w:r>
      <w:r>
        <w:rPr>
          <w:rFonts w:cs="Arial" w:hint="cs"/>
          <w:rtl/>
        </w:rPr>
        <w:t>,</w:t>
      </w:r>
      <w:r w:rsidRPr="00627CE6">
        <w:rPr>
          <w:rFonts w:cs="Arial"/>
          <w:rtl/>
        </w:rPr>
        <w:t xml:space="preserve"> ולאו דוקא שנפלו לה במדינת הים אלא הוא הדין אם נפלו לה במקום שהיא ובעלה יושבים שם כל זמן שלא ידע הוא כשנפלו לה ולא הספיק לדעת עד שמכרה או נתנה היא</w:t>
      </w:r>
      <w:r>
        <w:rPr>
          <w:rFonts w:cs="Arial" w:hint="cs"/>
          <w:rtl/>
        </w:rPr>
        <w:t>,</w:t>
      </w:r>
      <w:r w:rsidRPr="00627CE6">
        <w:rPr>
          <w:rFonts w:cs="Arial"/>
          <w:rtl/>
        </w:rPr>
        <w:t xml:space="preserve"> וכן פרא"ם</w:t>
      </w:r>
      <w:r>
        <w:rPr>
          <w:rFonts w:cs="Arial" w:hint="cs"/>
          <w:rtl/>
        </w:rPr>
        <w:t>.</w:t>
      </w:r>
      <w:r w:rsidRPr="00627CE6">
        <w:rPr>
          <w:rFonts w:cs="Arial"/>
          <w:rtl/>
        </w:rPr>
        <w:t xml:space="preserve"> וכן מה שאמרו כשנפלו לה נכסים</w:t>
      </w:r>
      <w:r>
        <w:rPr>
          <w:rFonts w:cs="Arial" w:hint="cs"/>
          <w:rtl/>
        </w:rPr>
        <w:t>,</w:t>
      </w:r>
      <w:r w:rsidRPr="00627CE6">
        <w:rPr>
          <w:rFonts w:cs="Arial"/>
          <w:rtl/>
        </w:rPr>
        <w:t xml:space="preserve"> כלומר בירושה</w:t>
      </w:r>
      <w:r>
        <w:rPr>
          <w:rFonts w:cs="Arial" w:hint="cs"/>
          <w:rtl/>
        </w:rPr>
        <w:t>,</w:t>
      </w:r>
      <w:r w:rsidRPr="00627CE6">
        <w:rPr>
          <w:rFonts w:cs="Arial"/>
          <w:rtl/>
        </w:rPr>
        <w:t xml:space="preserve"> לאו דוקא</w:t>
      </w:r>
      <w:r>
        <w:rPr>
          <w:rFonts w:cs="Arial" w:hint="cs"/>
          <w:rtl/>
        </w:rPr>
        <w:t>,</w:t>
      </w:r>
      <w:r w:rsidRPr="00627CE6">
        <w:rPr>
          <w:rFonts w:cs="Arial"/>
          <w:rtl/>
        </w:rPr>
        <w:t xml:space="preserve"> אלא הוא הדין אפילו ניתנו לה במתנה או שמצאה מציאה</w:t>
      </w:r>
      <w:r>
        <w:rPr>
          <w:rFonts w:cs="Arial" w:hint="cs"/>
          <w:rtl/>
        </w:rPr>
        <w:t>,</w:t>
      </w:r>
      <w:r w:rsidRPr="00627CE6">
        <w:rPr>
          <w:rFonts w:cs="Arial"/>
          <w:rtl/>
        </w:rPr>
        <w:t xml:space="preserve"> זה הכלל כל שיבואו לה ולא ידע בהם הבעל עד שמכרה או נתנה ואפילו לא נתנה אותם במתנה גמורה אלא בהברחה </w:t>
      </w:r>
      <w:r>
        <w:rPr>
          <w:rFonts w:cs="Arial" w:hint="cs"/>
          <w:rtl/>
        </w:rPr>
        <w:t xml:space="preserve">- </w:t>
      </w:r>
      <w:r w:rsidRPr="00627CE6">
        <w:rPr>
          <w:rFonts w:cs="Arial"/>
          <w:rtl/>
        </w:rPr>
        <w:t>אין הבעל מוציא מיד מקבל המתנה</w:t>
      </w:r>
      <w:r>
        <w:rPr>
          <w:rFonts w:cs="Arial" w:hint="cs"/>
          <w:rtl/>
        </w:rPr>
        <w:t>,</w:t>
      </w:r>
      <w:r w:rsidRPr="00627CE6">
        <w:rPr>
          <w:rFonts w:cs="Arial"/>
          <w:rtl/>
        </w:rPr>
        <w:t xml:space="preserve"> וכדתניא הרוצה שתבריח נכסיה מבעלה כיצד היא עושה כותבת שטר פסים לאחר וכו' כדאיתא בפרק</w:t>
      </w:r>
      <w:r>
        <w:rPr>
          <w:rFonts w:cs="Arial" w:hint="cs"/>
          <w:rtl/>
        </w:rPr>
        <w:t>.</w:t>
      </w:r>
      <w:r w:rsidRPr="00627CE6">
        <w:rPr>
          <w:rFonts w:cs="Arial"/>
          <w:rtl/>
        </w:rPr>
        <w:t xml:space="preserve"> ומעתה אשה זו שנתנה לבנותיה קודם שידע בהם הבעל</w:t>
      </w:r>
      <w:r>
        <w:rPr>
          <w:rFonts w:cs="Arial" w:hint="cs"/>
          <w:rtl/>
        </w:rPr>
        <w:t xml:space="preserve"> -</w:t>
      </w:r>
      <w:r w:rsidRPr="00627CE6">
        <w:rPr>
          <w:rFonts w:cs="Arial"/>
          <w:rtl/>
        </w:rPr>
        <w:t xml:space="preserve"> מתנה זו קיימת</w:t>
      </w:r>
      <w:r>
        <w:rPr>
          <w:rFonts w:cs="Arial" w:hint="cs"/>
          <w:rtl/>
        </w:rPr>
        <w:t>,</w:t>
      </w:r>
      <w:r w:rsidRPr="00627CE6">
        <w:rPr>
          <w:rFonts w:cs="Arial"/>
          <w:rtl/>
        </w:rPr>
        <w:t xml:space="preserve"> ומכל מקום אותם פירות ששיירה היא בנכסים עד שתמו</w:t>
      </w:r>
      <w:r>
        <w:rPr>
          <w:rFonts w:cs="Arial" w:hint="cs"/>
          <w:rtl/>
        </w:rPr>
        <w:t>ת</w:t>
      </w:r>
      <w:r w:rsidRPr="00627CE6">
        <w:rPr>
          <w:rFonts w:cs="Arial"/>
          <w:rtl/>
        </w:rPr>
        <w:t xml:space="preserve"> </w:t>
      </w:r>
      <w:r>
        <w:rPr>
          <w:rFonts w:cs="Arial" w:hint="cs"/>
          <w:rtl/>
        </w:rPr>
        <w:t xml:space="preserve">- </w:t>
      </w:r>
      <w:r w:rsidRPr="00627CE6">
        <w:rPr>
          <w:rFonts w:cs="Arial"/>
          <w:rtl/>
        </w:rPr>
        <w:t>זכה בהם הבעל לענין שילקח בהם קרקע והוא אוכל פירות</w:t>
      </w:r>
      <w:r>
        <w:rPr>
          <w:rFonts w:cs="Arial" w:hint="cs"/>
          <w:rtl/>
        </w:rPr>
        <w:t>.</w:t>
      </w:r>
      <w:r w:rsidRPr="00627CE6">
        <w:rPr>
          <w:rFonts w:cs="Arial"/>
          <w:rtl/>
        </w:rPr>
        <w:t xml:space="preserve"> ועוד תדע שאם הודית היא שיש בידה שום ממון</w:t>
      </w:r>
      <w:r>
        <w:rPr>
          <w:rFonts w:cs="Arial" w:hint="cs"/>
          <w:rtl/>
        </w:rPr>
        <w:t>,</w:t>
      </w:r>
      <w:r w:rsidRPr="00627CE6">
        <w:rPr>
          <w:rFonts w:cs="Arial"/>
          <w:rtl/>
        </w:rPr>
        <w:t xml:space="preserve"> וטוענת שהוא פקדון או שנתנו לה אחרים על מנת שאין לבעלה רשות בהם אלא מה שהיא אוכלת וכיוצא בזה </w:t>
      </w:r>
      <w:r>
        <w:rPr>
          <w:rFonts w:cs="Arial" w:hint="cs"/>
          <w:rtl/>
        </w:rPr>
        <w:t xml:space="preserve">- </w:t>
      </w:r>
      <w:r w:rsidRPr="00627CE6">
        <w:rPr>
          <w:rFonts w:cs="Arial"/>
          <w:rtl/>
        </w:rPr>
        <w:t>נאמנת בכל מה שתאמר קודם שנתגלו המעות אפילו בלא שבועה</w:t>
      </w:r>
      <w:r>
        <w:rPr>
          <w:rFonts w:cs="Arial" w:hint="cs"/>
          <w:rtl/>
        </w:rPr>
        <w:t>,</w:t>
      </w:r>
      <w:r w:rsidRPr="00627CE6">
        <w:rPr>
          <w:rFonts w:cs="Arial"/>
          <w:rtl/>
        </w:rPr>
        <w:t xml:space="preserve"> במגו דאי בעיא אמרה אין בידי כלום. ובזמן שאין האשה מודה שאמרנו שאין הבעל יכול להשביעה על הספק</w:t>
      </w:r>
      <w:r>
        <w:rPr>
          <w:rFonts w:cs="Arial" w:hint="cs"/>
          <w:rtl/>
        </w:rPr>
        <w:t>,</w:t>
      </w:r>
      <w:r w:rsidRPr="00627CE6">
        <w:rPr>
          <w:rFonts w:cs="Arial"/>
          <w:rtl/>
        </w:rPr>
        <w:t xml:space="preserve"> אם רצה להחרים חרם סתם על מי שנטל משלו כלום שלא מדעתו </w:t>
      </w:r>
      <w:r>
        <w:rPr>
          <w:rFonts w:cs="Arial" w:hint="cs"/>
          <w:rtl/>
        </w:rPr>
        <w:t xml:space="preserve">- </w:t>
      </w:r>
      <w:r w:rsidRPr="00627CE6">
        <w:rPr>
          <w:rFonts w:cs="Arial"/>
          <w:rtl/>
        </w:rPr>
        <w:t>מחרים</w:t>
      </w:r>
      <w:r>
        <w:rPr>
          <w:rFonts w:cs="Arial" w:hint="cs"/>
          <w:rtl/>
        </w:rPr>
        <w:t>.</w:t>
      </w:r>
      <w:r w:rsidRPr="00627CE6">
        <w:rPr>
          <w:rFonts w:cs="Arial"/>
          <w:rtl/>
        </w:rPr>
        <w:t xml:space="preserve"> ואלא מיהו זה שבא להחרים על כל מי שיש בידו כלום משל אשתו מסתברא שממחין בידו אם רצו</w:t>
      </w:r>
      <w:r>
        <w:rPr>
          <w:rFonts w:cs="Arial" w:hint="cs"/>
          <w:rtl/>
        </w:rPr>
        <w:t>,</w:t>
      </w:r>
      <w:r w:rsidRPr="00627CE6">
        <w:rPr>
          <w:rFonts w:cs="Arial"/>
          <w:rtl/>
        </w:rPr>
        <w:t xml:space="preserve"> לפי שאפילו מי שמקבל מן האשה אינו מחזיר לבעל אלא לאשה וכדאמרינן בפרק חזקת </w:t>
      </w:r>
      <w:r w:rsidRPr="00764603">
        <w:rPr>
          <w:rFonts w:cs="Arial"/>
          <w:sz w:val="16"/>
          <w:szCs w:val="16"/>
          <w:rtl/>
        </w:rPr>
        <w:t>(ב"ב נא:)</w:t>
      </w:r>
      <w:r>
        <w:rPr>
          <w:rFonts w:cs="Arial" w:hint="cs"/>
          <w:rtl/>
        </w:rPr>
        <w:t>,</w:t>
      </w:r>
      <w:r w:rsidRPr="00627CE6">
        <w:rPr>
          <w:rFonts w:cs="Arial"/>
          <w:rtl/>
        </w:rPr>
        <w:t xml:space="preserve"> וכל שאינו חייב להחזיר לבעל למה ישמע קול אלה להגיד לבעל מה שקבל מן האשה</w:t>
      </w:r>
      <w:r>
        <w:rPr>
          <w:rFonts w:cs="Arial" w:hint="cs"/>
          <w:rtl/>
        </w:rPr>
        <w:t>.</w:t>
      </w:r>
      <w:r w:rsidRPr="00627CE6">
        <w:rPr>
          <w:rFonts w:cs="Arial"/>
          <w:rtl/>
        </w:rPr>
        <w:t xml:space="preserve"> גם מרבותי יש שכתבו שנפקד שהחזיר לאשה אין הבעל יכול להוציא מידה כלל אילו אמרה של פלוני הם או ניתנו לי במתנה על מנת שאין לבעלי רשות בהם</w:t>
      </w:r>
      <w:r>
        <w:rPr>
          <w:rFonts w:cs="Arial" w:hint="cs"/>
          <w:rtl/>
        </w:rPr>
        <w:t>,</w:t>
      </w:r>
      <w:r w:rsidRPr="00627CE6">
        <w:rPr>
          <w:rFonts w:cs="Arial"/>
          <w:rtl/>
        </w:rPr>
        <w:t xml:space="preserve"> וכן דעת מורי ה"ר יונה ז"ל </w:t>
      </w:r>
      <w:r w:rsidRPr="00764603">
        <w:rPr>
          <w:rFonts w:cs="Arial"/>
          <w:sz w:val="16"/>
          <w:szCs w:val="16"/>
          <w:rtl/>
        </w:rPr>
        <w:t>(ב"ב נא: ד"ה ת"ר)</w:t>
      </w:r>
      <w:r>
        <w:rPr>
          <w:rFonts w:cs="Arial" w:hint="cs"/>
          <w:rtl/>
        </w:rPr>
        <w:t>,</w:t>
      </w:r>
      <w:r w:rsidRPr="00627CE6">
        <w:rPr>
          <w:rFonts w:cs="Arial"/>
          <w:rtl/>
        </w:rPr>
        <w:t xml:space="preserve"> וכן נראין דברי הרא"ם</w:t>
      </w:r>
      <w:r>
        <w:rPr>
          <w:rFonts w:cs="Arial" w:hint="cs"/>
          <w:rtl/>
        </w:rPr>
        <w:t>.</w:t>
      </w:r>
      <w:r w:rsidRPr="00627CE6">
        <w:rPr>
          <w:rFonts w:cs="Arial"/>
          <w:rtl/>
        </w:rPr>
        <w:t xml:space="preserve"> ולדבריהם כיון דאין זכות לבעל בממון זה כלל לא בקרן ולא בפירות למה יחרים ולמה ישמעו קול אלתו</w:t>
      </w:r>
      <w:r>
        <w:rPr>
          <w:rFonts w:cs="Arial" w:hint="cs"/>
          <w:rtl/>
        </w:rPr>
        <w:t>.</w:t>
      </w:r>
      <w:r w:rsidRPr="00627CE6">
        <w:rPr>
          <w:rFonts w:cs="Arial"/>
          <w:rtl/>
        </w:rPr>
        <w:t xml:space="preserve"> ומכאן נתבאר לך מה ששאלת שאין הנפקדים מחזירין לידו אלא ליד האשה ואע</w:t>
      </w:r>
      <w:r>
        <w:rPr>
          <w:rFonts w:cs="Arial" w:hint="cs"/>
          <w:rtl/>
        </w:rPr>
        <w:t>"</w:t>
      </w:r>
      <w:r w:rsidRPr="00627CE6">
        <w:rPr>
          <w:rFonts w:cs="Arial"/>
          <w:rtl/>
        </w:rPr>
        <w:t>פ שהם מודים שקיבלו ממנה הפקדון</w:t>
      </w:r>
      <w:r>
        <w:rPr>
          <w:rFonts w:cs="Arial" w:hint="cs"/>
          <w:rtl/>
        </w:rPr>
        <w:t>.</w:t>
      </w:r>
    </w:p>
    <w:p w14:paraId="3711C283" w14:textId="11694D42" w:rsidR="006403CA" w:rsidRPr="006403CA" w:rsidRDefault="006403CA" w:rsidP="006403CA">
      <w:pPr>
        <w:rPr>
          <w:rFonts w:cs="Arial"/>
        </w:rPr>
      </w:pPr>
      <w:r w:rsidRPr="006403CA">
        <w:rPr>
          <w:rFonts w:cs="Arial"/>
          <w:u w:val="single"/>
          <w:rtl/>
        </w:rPr>
        <w:t>אשה מרדה על בעלה ויצאה מביתו ותפסה חפצים שלו</w:t>
      </w:r>
      <w:r w:rsidR="00433FB2">
        <w:rPr>
          <w:rFonts w:cs="Arial" w:hint="cs"/>
          <w:u w:val="single"/>
          <w:rtl/>
        </w:rPr>
        <w:t>,</w:t>
      </w:r>
      <w:r w:rsidRPr="006403CA">
        <w:rPr>
          <w:rFonts w:cs="Arial"/>
          <w:u w:val="single"/>
          <w:rtl/>
        </w:rPr>
        <w:t xml:space="preserve"> ו</w:t>
      </w:r>
      <w:r w:rsidR="00433FB2">
        <w:rPr>
          <w:rFonts w:cs="Arial" w:hint="cs"/>
          <w:u w:val="single"/>
          <w:rtl/>
        </w:rPr>
        <w:t xml:space="preserve">אח"כ טענה שהוא </w:t>
      </w:r>
      <w:r w:rsidRPr="006403CA">
        <w:rPr>
          <w:rFonts w:cs="Arial"/>
          <w:u w:val="single"/>
          <w:rtl/>
        </w:rPr>
        <w:t>נת</w:t>
      </w:r>
      <w:r w:rsidR="00433FB2">
        <w:rPr>
          <w:rFonts w:cs="Arial" w:hint="cs"/>
          <w:u w:val="single"/>
          <w:rtl/>
        </w:rPr>
        <w:t>ן</w:t>
      </w:r>
      <w:r w:rsidRPr="006403CA">
        <w:rPr>
          <w:rFonts w:cs="Arial"/>
          <w:u w:val="single"/>
          <w:rtl/>
        </w:rPr>
        <w:t xml:space="preserve"> ל</w:t>
      </w:r>
      <w:r w:rsidR="00433FB2">
        <w:rPr>
          <w:rFonts w:cs="Arial" w:hint="cs"/>
          <w:u w:val="single"/>
          <w:rtl/>
        </w:rPr>
        <w:t xml:space="preserve">ה אותם </w:t>
      </w:r>
      <w:r w:rsidRPr="006403CA">
        <w:rPr>
          <w:rFonts w:cs="Arial"/>
          <w:u w:val="single"/>
          <w:rtl/>
        </w:rPr>
        <w:t>במתנה גמורה</w:t>
      </w:r>
      <w:r w:rsidRPr="006403CA">
        <w:rPr>
          <w:rFonts w:cs="Arial" w:hint="cs"/>
          <w:u w:val="single"/>
          <w:rtl/>
        </w:rPr>
        <w:t>:</w:t>
      </w:r>
      <w:r>
        <w:rPr>
          <w:rFonts w:cs="Arial" w:hint="cs"/>
          <w:rtl/>
        </w:rPr>
        <w:t xml:space="preserve"> </w:t>
      </w:r>
      <w:r w:rsidRPr="006403CA">
        <w:rPr>
          <w:rFonts w:cs="Arial"/>
          <w:sz w:val="16"/>
          <w:szCs w:val="16"/>
          <w:rtl/>
        </w:rPr>
        <w:t>(</w:t>
      </w:r>
      <w:r w:rsidRPr="006403CA">
        <w:rPr>
          <w:rFonts w:cs="Arial" w:hint="cs"/>
          <w:sz w:val="16"/>
          <w:szCs w:val="16"/>
          <w:rtl/>
        </w:rPr>
        <w:t xml:space="preserve">דרכ"מ אות </w:t>
      </w:r>
      <w:r w:rsidRPr="006403CA">
        <w:rPr>
          <w:rFonts w:cs="Arial"/>
          <w:sz w:val="16"/>
          <w:szCs w:val="16"/>
          <w:rtl/>
        </w:rPr>
        <w:t xml:space="preserve">ה) </w:t>
      </w:r>
    </w:p>
    <w:p w14:paraId="6104EBFF" w14:textId="1A7020DE" w:rsidR="006403CA" w:rsidRPr="006403CA" w:rsidRDefault="006403CA" w:rsidP="009000E3">
      <w:pPr>
        <w:pStyle w:val="ab"/>
        <w:numPr>
          <w:ilvl w:val="0"/>
          <w:numId w:val="50"/>
        </w:numPr>
        <w:rPr>
          <w:rFonts w:cs="Arial"/>
          <w:rtl/>
        </w:rPr>
      </w:pPr>
      <w:r w:rsidRPr="007A228B">
        <w:rPr>
          <w:rFonts w:cs="Arial"/>
          <w:rtl/>
        </w:rPr>
        <w:t xml:space="preserve">מהר"ם </w:t>
      </w:r>
      <w:r w:rsidRPr="006403CA">
        <w:rPr>
          <w:rFonts w:cs="Arial"/>
          <w:sz w:val="16"/>
          <w:szCs w:val="16"/>
          <w:rtl/>
        </w:rPr>
        <w:t>(ד"ק סי</w:t>
      </w:r>
      <w:r w:rsidRPr="006403CA">
        <w:rPr>
          <w:rFonts w:cs="Arial" w:hint="cs"/>
          <w:sz w:val="16"/>
          <w:szCs w:val="16"/>
          <w:rtl/>
        </w:rPr>
        <w:t>'</w:t>
      </w:r>
      <w:r w:rsidRPr="006403CA">
        <w:rPr>
          <w:rFonts w:cs="Arial"/>
          <w:sz w:val="16"/>
          <w:szCs w:val="16"/>
          <w:rtl/>
        </w:rPr>
        <w:t xml:space="preserve"> רסח</w:t>
      </w:r>
      <w:r w:rsidRPr="006403CA">
        <w:rPr>
          <w:rFonts w:cs="Arial" w:hint="cs"/>
          <w:sz w:val="16"/>
          <w:szCs w:val="16"/>
          <w:rtl/>
        </w:rPr>
        <w:t>)</w:t>
      </w:r>
      <w:r>
        <w:rPr>
          <w:rFonts w:cs="Arial" w:hint="cs"/>
          <w:rtl/>
        </w:rPr>
        <w:t>-</w:t>
      </w:r>
      <w:r w:rsidRPr="007A228B">
        <w:rPr>
          <w:rFonts w:cs="Arial"/>
          <w:rtl/>
        </w:rPr>
        <w:t xml:space="preserve"> </w:t>
      </w:r>
      <w:r w:rsidRPr="006403CA">
        <w:rPr>
          <w:rFonts w:cs="Arial"/>
          <w:rtl/>
        </w:rPr>
        <w:t>וששאלתם על האשה שמרדה על בעלה ויצאה מביתו ותפסה חפצים שלו ואמרה נתתה לי במתנה גמורה. וכן האשה לאחר מיתת בעלה אם יכולה לומר</w:t>
      </w:r>
      <w:r>
        <w:rPr>
          <w:rFonts w:cs="Arial" w:hint="cs"/>
          <w:rtl/>
        </w:rPr>
        <w:t xml:space="preserve"> </w:t>
      </w:r>
      <w:r w:rsidRPr="006403CA">
        <w:rPr>
          <w:rFonts w:cs="Arial"/>
          <w:rtl/>
        </w:rPr>
        <w:t xml:space="preserve">בעלי נתן לי אותם. </w:t>
      </w:r>
      <w:r w:rsidR="00FE210D">
        <w:rPr>
          <w:rFonts w:cs="Arial" w:hint="cs"/>
          <w:rtl/>
        </w:rPr>
        <w:t xml:space="preserve">      תשובה:</w:t>
      </w:r>
      <w:r>
        <w:rPr>
          <w:rFonts w:cs="Arial" w:hint="cs"/>
          <w:rtl/>
        </w:rPr>
        <w:t xml:space="preserve"> </w:t>
      </w:r>
      <w:r w:rsidRPr="006403CA">
        <w:rPr>
          <w:rFonts w:cs="Arial"/>
          <w:rtl/>
        </w:rPr>
        <w:t xml:space="preserve">כל כמה דלא חזינא לחפצים בידיה </w:t>
      </w:r>
      <w:r>
        <w:rPr>
          <w:rFonts w:cs="Arial" w:hint="cs"/>
          <w:rtl/>
        </w:rPr>
        <w:t xml:space="preserve">- </w:t>
      </w:r>
      <w:r w:rsidRPr="006403CA">
        <w:rPr>
          <w:rFonts w:cs="Arial"/>
          <w:rtl/>
        </w:rPr>
        <w:t>מהימנה במגו דאי בעיה אמרה לא היו דברים מעולם או החזרתים. אבל כי האי גוונא דחזינן להו בידה, אפילו אין עדים בדבר שאילו החפצים של בעלה</w:t>
      </w:r>
      <w:r w:rsidR="00F34677">
        <w:rPr>
          <w:rFonts w:cs="Arial" w:hint="cs"/>
          <w:rtl/>
        </w:rPr>
        <w:t xml:space="preserve"> -</w:t>
      </w:r>
      <w:r w:rsidRPr="006403CA">
        <w:rPr>
          <w:rFonts w:cs="Arial"/>
          <w:rtl/>
        </w:rPr>
        <w:t xml:space="preserve"> אינה נאמנת לומר שלי הם ולא של פלוני הם. כדתניא בהדיא בפרק חזקת הבתים </w:t>
      </w:r>
      <w:r w:rsidRPr="006403CA">
        <w:rPr>
          <w:rFonts w:cs="Arial" w:hint="cs"/>
          <w:sz w:val="16"/>
          <w:szCs w:val="16"/>
          <w:rtl/>
        </w:rPr>
        <w:t>(</w:t>
      </w:r>
      <w:r w:rsidRPr="006403CA">
        <w:rPr>
          <w:rFonts w:cs="Arial"/>
          <w:sz w:val="16"/>
          <w:szCs w:val="16"/>
          <w:rtl/>
        </w:rPr>
        <w:t>ב"ב נב</w:t>
      </w:r>
      <w:r w:rsidRPr="006403CA">
        <w:rPr>
          <w:rFonts w:cs="Arial" w:hint="cs"/>
          <w:sz w:val="16"/>
          <w:szCs w:val="16"/>
          <w:rtl/>
        </w:rPr>
        <w:t>:)</w:t>
      </w:r>
      <w:r w:rsidRPr="006403CA">
        <w:rPr>
          <w:rFonts w:cs="Arial"/>
          <w:sz w:val="16"/>
          <w:szCs w:val="16"/>
          <w:rtl/>
        </w:rPr>
        <w:t xml:space="preserve"> </w:t>
      </w:r>
      <w:r w:rsidRPr="006403CA">
        <w:rPr>
          <w:rFonts w:cs="Arial"/>
          <w:rtl/>
        </w:rPr>
        <w:t>וכן האשה הנושאת ונותנת בתוך הבית וכו</w:t>
      </w:r>
      <w:r w:rsidR="00F34677">
        <w:rPr>
          <w:rFonts w:cs="Arial" w:hint="cs"/>
          <w:rtl/>
        </w:rPr>
        <w:t>'</w:t>
      </w:r>
      <w:r w:rsidRPr="006403CA">
        <w:rPr>
          <w:rFonts w:cs="Arial"/>
          <w:rtl/>
        </w:rPr>
        <w:t xml:space="preserve"> עד עליה להביא ראייה</w:t>
      </w:r>
      <w:r>
        <w:rPr>
          <w:rFonts w:cs="Arial" w:hint="cs"/>
          <w:rtl/>
        </w:rPr>
        <w:t>.</w:t>
      </w:r>
      <w:r w:rsidRPr="006403CA">
        <w:rPr>
          <w:rFonts w:cs="Arial" w:hint="cs"/>
          <w:color w:val="00B0F0"/>
          <w:rtl/>
        </w:rPr>
        <w:t xml:space="preserve"> </w:t>
      </w:r>
      <w:r w:rsidRPr="00057E6A">
        <w:rPr>
          <w:rFonts w:cs="Arial" w:hint="cs"/>
          <w:color w:val="00B0F0"/>
          <w:rtl/>
        </w:rPr>
        <w:t>(וכ"פ הרמ"א)</w:t>
      </w:r>
    </w:p>
    <w:p w14:paraId="3A964B25"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3B73767A" w14:textId="56ADF039" w:rsidR="007A3469" w:rsidRDefault="007A3469" w:rsidP="007A3469">
      <w:pPr>
        <w:rPr>
          <w:rtl/>
        </w:rPr>
      </w:pPr>
      <w:r>
        <w:rPr>
          <w:rFonts w:cs="Arial"/>
          <w:rtl/>
        </w:rPr>
        <w:t>נמצאו ביד האשה מעות או מטלטלין, והיא אומרת: מתנה נתנו לי, והוא אומר: ממעשה ידיך הם</w:t>
      </w:r>
      <w:r w:rsidR="00991894">
        <w:rPr>
          <w:rStyle w:val="a7"/>
          <w:rFonts w:cs="Arial"/>
          <w:rtl/>
        </w:rPr>
        <w:footnoteReference w:id="947"/>
      </w:r>
      <w:r>
        <w:rPr>
          <w:rFonts w:cs="Arial"/>
          <w:rtl/>
        </w:rPr>
        <w:t>, ושלי הם, נאמנת, וילקח בהם קרקע והוא אוכל פירות. ויש לו להחרים על מי שטוען שקר. ואם אמרה: ע</w:t>
      </w:r>
      <w:r w:rsidR="00934489">
        <w:rPr>
          <w:rFonts w:cs="Arial" w:hint="cs"/>
          <w:rtl/>
        </w:rPr>
        <w:t xml:space="preserve">ל </w:t>
      </w:r>
      <w:r>
        <w:rPr>
          <w:rFonts w:cs="Arial"/>
          <w:rtl/>
        </w:rPr>
        <w:t>מ</w:t>
      </w:r>
      <w:r w:rsidR="00934489">
        <w:rPr>
          <w:rFonts w:cs="Arial" w:hint="cs"/>
          <w:rtl/>
        </w:rPr>
        <w:t>נת</w:t>
      </w:r>
      <w:r>
        <w:rPr>
          <w:rFonts w:cs="Arial"/>
          <w:rtl/>
        </w:rPr>
        <w:t xml:space="preserve"> כן נתנו לי שלא יהא לבעלי רשות בהם אלא שאעשה בהם מה שארצה, עליה להביא ראיה</w:t>
      </w:r>
      <w:r w:rsidR="00950C56">
        <w:rPr>
          <w:rStyle w:val="a7"/>
          <w:rFonts w:cs="Arial"/>
          <w:rtl/>
        </w:rPr>
        <w:footnoteReference w:id="948"/>
      </w:r>
      <w:r>
        <w:rPr>
          <w:rFonts w:cs="Arial"/>
          <w:rtl/>
        </w:rPr>
        <w:t xml:space="preserve">. </w:t>
      </w:r>
      <w:r w:rsidRPr="00F46615">
        <w:rPr>
          <w:rFonts w:cs="Arial"/>
          <w:sz w:val="18"/>
          <w:szCs w:val="18"/>
          <w:rtl/>
        </w:rPr>
        <w:t xml:space="preserve">הגה: וי"א הא דאינה נאמנת, דוקא במעות טמונים, </w:t>
      </w:r>
      <w:r w:rsidRPr="00F46615">
        <w:rPr>
          <w:rFonts w:cs="Arial"/>
          <w:sz w:val="18"/>
          <w:szCs w:val="18"/>
          <w:rtl/>
        </w:rPr>
        <w:lastRenderedPageBreak/>
        <w:t>אבל במעות שאינן טמונים נאמנת לומר שלי הם</w:t>
      </w:r>
      <w:r w:rsidR="00950C56">
        <w:rPr>
          <w:rStyle w:val="a7"/>
          <w:rFonts w:cs="Arial"/>
          <w:sz w:val="18"/>
          <w:szCs w:val="18"/>
          <w:rtl/>
        </w:rPr>
        <w:footnoteReference w:id="949"/>
      </w:r>
      <w:r w:rsidRPr="00F46615">
        <w:rPr>
          <w:rFonts w:cs="Arial"/>
          <w:sz w:val="18"/>
          <w:szCs w:val="18"/>
          <w:rtl/>
        </w:rPr>
        <w:t xml:space="preserve"> (</w:t>
      </w:r>
      <w:r w:rsidR="00BE149A">
        <w:rPr>
          <w:rFonts w:cs="Arial" w:hint="cs"/>
          <w:sz w:val="18"/>
          <w:szCs w:val="18"/>
          <w:rtl/>
        </w:rPr>
        <w:t>תוס'</w:t>
      </w:r>
      <w:r w:rsidRPr="00F46615">
        <w:rPr>
          <w:rFonts w:cs="Arial"/>
          <w:sz w:val="18"/>
          <w:szCs w:val="18"/>
          <w:rtl/>
        </w:rPr>
        <w:t xml:space="preserve"> ורא"ש). ודוקא בשאינה נושאת ונותנת</w:t>
      </w:r>
      <w:r w:rsidR="00950C56">
        <w:rPr>
          <w:rStyle w:val="a7"/>
          <w:rFonts w:cs="Arial"/>
          <w:sz w:val="18"/>
          <w:szCs w:val="18"/>
          <w:rtl/>
        </w:rPr>
        <w:footnoteReference w:id="950"/>
      </w:r>
      <w:r w:rsidRPr="00F46615">
        <w:rPr>
          <w:rFonts w:cs="Arial"/>
          <w:sz w:val="18"/>
          <w:szCs w:val="18"/>
          <w:rtl/>
        </w:rPr>
        <w:t xml:space="preserve"> תוך הבית (</w:t>
      </w:r>
      <w:r w:rsidR="00433FB2">
        <w:rPr>
          <w:rFonts w:cs="Arial" w:hint="cs"/>
          <w:sz w:val="18"/>
          <w:szCs w:val="18"/>
          <w:rtl/>
        </w:rPr>
        <w:t>תוס'</w:t>
      </w:r>
      <w:r w:rsidR="000F31AE">
        <w:rPr>
          <w:rFonts w:cs="Arial" w:hint="cs"/>
          <w:sz w:val="18"/>
          <w:szCs w:val="18"/>
          <w:rtl/>
        </w:rPr>
        <w:t xml:space="preserve"> </w:t>
      </w:r>
      <w:r w:rsidRPr="00F46615">
        <w:rPr>
          <w:rFonts w:cs="Arial"/>
          <w:sz w:val="18"/>
          <w:szCs w:val="18"/>
          <w:rtl/>
        </w:rPr>
        <w:t>רשב"א</w:t>
      </w:r>
      <w:r w:rsidR="00433FB2">
        <w:rPr>
          <w:rFonts w:cs="Arial" w:hint="cs"/>
          <w:sz w:val="18"/>
          <w:szCs w:val="18"/>
          <w:rtl/>
        </w:rPr>
        <w:t xml:space="preserve"> ורא"ש</w:t>
      </w:r>
      <w:r w:rsidR="00934489">
        <w:rPr>
          <w:rFonts w:cs="Arial" w:hint="cs"/>
          <w:sz w:val="18"/>
          <w:szCs w:val="18"/>
          <w:rtl/>
        </w:rPr>
        <w:t>,</w:t>
      </w:r>
      <w:r w:rsidRPr="00F46615">
        <w:rPr>
          <w:rFonts w:cs="Arial"/>
          <w:sz w:val="18"/>
          <w:szCs w:val="18"/>
          <w:rtl/>
        </w:rPr>
        <w:t xml:space="preserve"> וע"ל סי</w:t>
      </w:r>
      <w:r w:rsidR="00934489">
        <w:rPr>
          <w:rFonts w:cs="Arial" w:hint="cs"/>
          <w:sz w:val="18"/>
          <w:szCs w:val="18"/>
          <w:rtl/>
        </w:rPr>
        <w:t>'</w:t>
      </w:r>
      <w:r w:rsidRPr="00F46615">
        <w:rPr>
          <w:rFonts w:cs="Arial"/>
          <w:sz w:val="18"/>
          <w:szCs w:val="18"/>
          <w:rtl/>
        </w:rPr>
        <w:t xml:space="preserve"> סו). וי"א דאם לא ראו ממון בידה, ויש לה מגו לומר שאין לה או שהחזירה לו, נאמנת בכל ענין</w:t>
      </w:r>
      <w:r w:rsidR="000E374A">
        <w:rPr>
          <w:rStyle w:val="a7"/>
          <w:rFonts w:cs="Arial"/>
          <w:sz w:val="18"/>
          <w:szCs w:val="18"/>
          <w:rtl/>
        </w:rPr>
        <w:footnoteReference w:id="951"/>
      </w:r>
      <w:r w:rsidRPr="00F46615">
        <w:rPr>
          <w:rFonts w:cs="Arial"/>
          <w:sz w:val="18"/>
          <w:szCs w:val="18"/>
          <w:rtl/>
        </w:rPr>
        <w:t xml:space="preserve"> (מהר"ם סי</w:t>
      </w:r>
      <w:r w:rsidR="00934489">
        <w:rPr>
          <w:rFonts w:cs="Arial" w:hint="cs"/>
          <w:sz w:val="18"/>
          <w:szCs w:val="18"/>
          <w:rtl/>
        </w:rPr>
        <w:t>'</w:t>
      </w:r>
      <w:r w:rsidRPr="00F46615">
        <w:rPr>
          <w:rFonts w:cs="Arial"/>
          <w:sz w:val="18"/>
          <w:szCs w:val="18"/>
          <w:rtl/>
        </w:rPr>
        <w:t xml:space="preserve"> רפח</w:t>
      </w:r>
      <w:r w:rsidR="00934489">
        <w:rPr>
          <w:rFonts w:cs="Arial" w:hint="cs"/>
          <w:sz w:val="18"/>
          <w:szCs w:val="18"/>
          <w:rtl/>
        </w:rPr>
        <w:t>,</w:t>
      </w:r>
      <w:r w:rsidRPr="00F46615">
        <w:rPr>
          <w:rFonts w:cs="Arial"/>
          <w:sz w:val="18"/>
          <w:szCs w:val="18"/>
          <w:rtl/>
        </w:rPr>
        <w:t xml:space="preserve"> ועיין בח</w:t>
      </w:r>
      <w:r w:rsidR="00934489">
        <w:rPr>
          <w:rFonts w:cs="Arial" w:hint="cs"/>
          <w:sz w:val="18"/>
          <w:szCs w:val="18"/>
          <w:rtl/>
        </w:rPr>
        <w:t>ו"מ</w:t>
      </w:r>
      <w:r w:rsidRPr="00F46615">
        <w:rPr>
          <w:rFonts w:cs="Arial"/>
          <w:sz w:val="18"/>
          <w:szCs w:val="18"/>
          <w:rtl/>
        </w:rPr>
        <w:t xml:space="preserve"> סי</w:t>
      </w:r>
      <w:r w:rsidR="00934489">
        <w:rPr>
          <w:rFonts w:cs="Arial" w:hint="cs"/>
          <w:sz w:val="18"/>
          <w:szCs w:val="18"/>
          <w:rtl/>
        </w:rPr>
        <w:t>'</w:t>
      </w:r>
      <w:r w:rsidRPr="00F46615">
        <w:rPr>
          <w:rFonts w:cs="Arial"/>
          <w:sz w:val="18"/>
          <w:szCs w:val="18"/>
          <w:rtl/>
        </w:rPr>
        <w:t xml:space="preserve"> סב). </w:t>
      </w:r>
      <w:r>
        <w:rPr>
          <w:rFonts w:cs="Arial"/>
          <w:rtl/>
        </w:rPr>
        <w:t>ואם אמרה: אתה נתת לי במתנה</w:t>
      </w:r>
      <w:r w:rsidR="000E374A">
        <w:rPr>
          <w:rStyle w:val="a7"/>
          <w:rFonts w:cs="Arial"/>
          <w:rtl/>
        </w:rPr>
        <w:footnoteReference w:id="952"/>
      </w:r>
      <w:r>
        <w:rPr>
          <w:rFonts w:cs="Arial"/>
          <w:rtl/>
        </w:rPr>
        <w:t>, נשבעת שבועת היסת</w:t>
      </w:r>
      <w:r w:rsidR="00A61343">
        <w:rPr>
          <w:rStyle w:val="a7"/>
          <w:rFonts w:cs="Arial"/>
          <w:rtl/>
        </w:rPr>
        <w:footnoteReference w:id="953"/>
      </w:r>
      <w:r>
        <w:rPr>
          <w:rFonts w:cs="Arial"/>
          <w:rtl/>
        </w:rPr>
        <w:t xml:space="preserve"> שנתנם לה הבעל</w:t>
      </w:r>
      <w:r w:rsidR="00A61343">
        <w:rPr>
          <w:rStyle w:val="a7"/>
          <w:rFonts w:cs="Arial"/>
          <w:rtl/>
        </w:rPr>
        <w:footnoteReference w:id="954"/>
      </w:r>
      <w:r>
        <w:rPr>
          <w:rFonts w:cs="Arial"/>
          <w:rtl/>
        </w:rPr>
        <w:t xml:space="preserve">, ואינו אוכל פירותיהם. </w:t>
      </w:r>
    </w:p>
    <w:p w14:paraId="05762564" w14:textId="77777777" w:rsidR="007A228B" w:rsidRDefault="007A228B" w:rsidP="007A3469">
      <w:pPr>
        <w:rPr>
          <w:rtl/>
        </w:rPr>
      </w:pPr>
    </w:p>
    <w:p w14:paraId="62A931AF" w14:textId="3AD41594" w:rsidR="00950E2F" w:rsidRDefault="007A3469" w:rsidP="000F64D0">
      <w:pPr>
        <w:pStyle w:val="2"/>
        <w:rPr>
          <w:rtl/>
        </w:rPr>
      </w:pPr>
      <w:r>
        <w:rPr>
          <w:rtl/>
        </w:rPr>
        <w:t>סעיף יג</w:t>
      </w:r>
      <w:r w:rsidR="00A61343">
        <w:rPr>
          <w:rFonts w:hint="cs"/>
          <w:rtl/>
        </w:rPr>
        <w:t>:</w:t>
      </w:r>
      <w:r w:rsidR="00EB368B">
        <w:rPr>
          <w:rFonts w:hint="cs"/>
          <w:rtl/>
        </w:rPr>
        <w:t xml:space="preserve"> קיבלה </w:t>
      </w:r>
      <w:r w:rsidR="00EB368B" w:rsidRPr="007A228B">
        <w:rPr>
          <w:rtl/>
        </w:rPr>
        <w:t>ירושה</w:t>
      </w:r>
      <w:r w:rsidR="00EB368B">
        <w:rPr>
          <w:rFonts w:hint="cs"/>
          <w:rtl/>
        </w:rPr>
        <w:t>/</w:t>
      </w:r>
      <w:r w:rsidR="00EB368B" w:rsidRPr="007A228B">
        <w:rPr>
          <w:rtl/>
        </w:rPr>
        <w:t>מתנה מטלטלים דבר שאינו עושה פירות</w:t>
      </w:r>
      <w:r w:rsidR="00EB368B">
        <w:rPr>
          <w:rFonts w:hint="cs"/>
          <w:rtl/>
        </w:rPr>
        <w:t>.</w:t>
      </w:r>
    </w:p>
    <w:p w14:paraId="754C9306" w14:textId="786A9D49" w:rsidR="00C2610F" w:rsidRPr="00C2610F" w:rsidRDefault="00C2610F" w:rsidP="00C2610F">
      <w:pPr>
        <w:rPr>
          <w:rFonts w:cs="Arial"/>
          <w:rtl/>
        </w:rPr>
      </w:pPr>
      <w:r w:rsidRPr="003C240D">
        <w:rPr>
          <w:rFonts w:cs="Arial" w:hint="cs"/>
          <w:b/>
          <w:bCs/>
          <w:rtl/>
        </w:rPr>
        <w:t xml:space="preserve">כתובות </w:t>
      </w:r>
      <w:r>
        <w:rPr>
          <w:rFonts w:cs="Arial" w:hint="cs"/>
          <w:b/>
          <w:bCs/>
          <w:sz w:val="16"/>
          <w:szCs w:val="16"/>
          <w:rtl/>
        </w:rPr>
        <w:t xml:space="preserve">(פ' האשה שנפלו) </w:t>
      </w:r>
      <w:r w:rsidRPr="003C240D">
        <w:rPr>
          <w:rFonts w:cs="Arial" w:hint="cs"/>
          <w:b/>
          <w:bCs/>
          <w:rtl/>
        </w:rPr>
        <w:t xml:space="preserve">עט ע"א: </w:t>
      </w:r>
      <w:r w:rsidRPr="003C240D">
        <w:rPr>
          <w:rFonts w:cs="Arial"/>
          <w:u w:val="double"/>
          <w:rtl/>
        </w:rPr>
        <w:t>מתני</w:t>
      </w:r>
      <w:r w:rsidRPr="003C240D">
        <w:rPr>
          <w:rFonts w:cs="Arial" w:hint="cs"/>
          <w:u w:val="double"/>
          <w:rtl/>
        </w:rPr>
        <w:t>'</w:t>
      </w:r>
      <w:r>
        <w:rPr>
          <w:rFonts w:cs="Arial" w:hint="cs"/>
          <w:rtl/>
        </w:rPr>
        <w:t>:</w:t>
      </w:r>
      <w:r w:rsidRPr="003C240D">
        <w:rPr>
          <w:rFonts w:cs="Arial"/>
          <w:rtl/>
        </w:rPr>
        <w:t xml:space="preserve"> נפלו לה כספים - ילקח בהן קרקע והוא אוכל פירות</w:t>
      </w:r>
      <w:r>
        <w:rPr>
          <w:rStyle w:val="a7"/>
          <w:rFonts w:cs="Arial"/>
          <w:rtl/>
        </w:rPr>
        <w:footnoteReference w:id="955"/>
      </w:r>
      <w:r>
        <w:rPr>
          <w:rFonts w:cs="Arial" w:hint="cs"/>
          <w:rtl/>
        </w:rPr>
        <w:t>...</w:t>
      </w:r>
      <w:r w:rsidRPr="003C240D">
        <w:rPr>
          <w:rFonts w:cs="Arial"/>
          <w:rtl/>
        </w:rPr>
        <w:t xml:space="preserve"> </w:t>
      </w:r>
      <w:r>
        <w:rPr>
          <w:rFonts w:cs="Arial" w:hint="cs"/>
          <w:rtl/>
        </w:rPr>
        <w:t xml:space="preserve">     </w:t>
      </w:r>
      <w:r w:rsidRPr="003C240D">
        <w:rPr>
          <w:rFonts w:cs="Arial"/>
          <w:u w:val="double"/>
          <w:rtl/>
        </w:rPr>
        <w:t>גמ'</w:t>
      </w:r>
      <w:r>
        <w:rPr>
          <w:rFonts w:cs="Arial" w:hint="cs"/>
          <w:rtl/>
        </w:rPr>
        <w:t>:</w:t>
      </w:r>
      <w:r w:rsidRPr="003C240D">
        <w:rPr>
          <w:rFonts w:cs="Arial"/>
          <w:rtl/>
        </w:rPr>
        <w:t xml:space="preserve"> פשיטא, ארעא</w:t>
      </w:r>
      <w:r>
        <w:rPr>
          <w:rStyle w:val="a7"/>
          <w:rFonts w:cs="Arial"/>
          <w:rtl/>
        </w:rPr>
        <w:footnoteReference w:id="956"/>
      </w:r>
      <w:r w:rsidRPr="003C240D">
        <w:rPr>
          <w:rFonts w:cs="Arial"/>
          <w:rtl/>
        </w:rPr>
        <w:t xml:space="preserve"> ובתי - ארעא</w:t>
      </w:r>
      <w:r>
        <w:rPr>
          <w:rStyle w:val="a7"/>
          <w:rFonts w:cs="Arial"/>
          <w:rtl/>
        </w:rPr>
        <w:footnoteReference w:id="957"/>
      </w:r>
      <w:r w:rsidRPr="003C240D">
        <w:rPr>
          <w:rFonts w:cs="Arial"/>
          <w:rtl/>
        </w:rPr>
        <w:t>, בתי ודיקלי - בתי</w:t>
      </w:r>
      <w:r>
        <w:rPr>
          <w:rStyle w:val="a7"/>
          <w:rFonts w:cs="Arial"/>
          <w:rtl/>
        </w:rPr>
        <w:footnoteReference w:id="958"/>
      </w:r>
      <w:r w:rsidRPr="003C240D">
        <w:rPr>
          <w:rFonts w:cs="Arial"/>
          <w:rtl/>
        </w:rPr>
        <w:t>, דיקלי</w:t>
      </w:r>
      <w:r>
        <w:rPr>
          <w:rStyle w:val="a7"/>
          <w:rFonts w:cs="Arial"/>
          <w:rtl/>
        </w:rPr>
        <w:footnoteReference w:id="959"/>
      </w:r>
      <w:r w:rsidRPr="003C240D">
        <w:rPr>
          <w:rFonts w:cs="Arial"/>
          <w:rtl/>
        </w:rPr>
        <w:t xml:space="preserve"> ואילני</w:t>
      </w:r>
      <w:r>
        <w:rPr>
          <w:rStyle w:val="a7"/>
          <w:rFonts w:cs="Arial"/>
          <w:rtl/>
        </w:rPr>
        <w:footnoteReference w:id="960"/>
      </w:r>
      <w:r w:rsidRPr="003C240D">
        <w:rPr>
          <w:rFonts w:cs="Arial"/>
          <w:rtl/>
        </w:rPr>
        <w:t xml:space="preserve"> - דיקלי, אילני וגופני - אילני</w:t>
      </w:r>
      <w:r>
        <w:rPr>
          <w:rStyle w:val="a7"/>
          <w:rFonts w:cs="Arial"/>
          <w:rtl/>
        </w:rPr>
        <w:footnoteReference w:id="961"/>
      </w:r>
      <w:r>
        <w:rPr>
          <w:rFonts w:cs="Arial" w:hint="cs"/>
          <w:rtl/>
        </w:rPr>
        <w:t>.</w:t>
      </w:r>
      <w:r w:rsidRPr="003C240D">
        <w:rPr>
          <w:rFonts w:cs="Arial"/>
          <w:rtl/>
        </w:rPr>
        <w:t xml:space="preserve"> אבא</w:t>
      </w:r>
      <w:r>
        <w:rPr>
          <w:rStyle w:val="a7"/>
          <w:rFonts w:cs="Arial"/>
          <w:rtl/>
        </w:rPr>
        <w:footnoteReference w:id="962"/>
      </w:r>
      <w:r w:rsidRPr="003C240D">
        <w:rPr>
          <w:rFonts w:cs="Arial"/>
          <w:rtl/>
        </w:rPr>
        <w:t xml:space="preserve"> זרדתא</w:t>
      </w:r>
      <w:r>
        <w:rPr>
          <w:rStyle w:val="a7"/>
          <w:rFonts w:cs="Arial"/>
          <w:rtl/>
        </w:rPr>
        <w:footnoteReference w:id="963"/>
      </w:r>
      <w:r w:rsidRPr="003C240D">
        <w:rPr>
          <w:rFonts w:cs="Arial"/>
          <w:rtl/>
        </w:rPr>
        <w:t>, ופירא דכוורי</w:t>
      </w:r>
      <w:r>
        <w:rPr>
          <w:rStyle w:val="a7"/>
          <w:rFonts w:cs="Arial"/>
          <w:rtl/>
        </w:rPr>
        <w:footnoteReference w:id="964"/>
      </w:r>
      <w:r w:rsidRPr="003C240D">
        <w:rPr>
          <w:rFonts w:cs="Arial"/>
          <w:rtl/>
        </w:rPr>
        <w:t xml:space="preserve"> - אמרי לה: פירא</w:t>
      </w:r>
      <w:r>
        <w:rPr>
          <w:rStyle w:val="a7"/>
          <w:rFonts w:cs="Arial"/>
          <w:rtl/>
        </w:rPr>
        <w:footnoteReference w:id="965"/>
      </w:r>
      <w:r w:rsidRPr="003C240D">
        <w:rPr>
          <w:rFonts w:cs="Arial"/>
          <w:rtl/>
        </w:rPr>
        <w:t>, ואמרי לה</w:t>
      </w:r>
      <w:r>
        <w:rPr>
          <w:rStyle w:val="a7"/>
          <w:rFonts w:cs="Arial"/>
          <w:rtl/>
        </w:rPr>
        <w:footnoteReference w:id="966"/>
      </w:r>
      <w:r w:rsidRPr="003C240D">
        <w:rPr>
          <w:rFonts w:cs="Arial"/>
          <w:rtl/>
        </w:rPr>
        <w:t>: קרנא. כללא דמילתא: גזעו מחליף - פירא</w:t>
      </w:r>
      <w:r>
        <w:rPr>
          <w:rStyle w:val="a7"/>
          <w:rFonts w:cs="Arial"/>
          <w:rtl/>
        </w:rPr>
        <w:footnoteReference w:id="967"/>
      </w:r>
      <w:r w:rsidRPr="003C240D">
        <w:rPr>
          <w:rFonts w:cs="Arial"/>
          <w:rtl/>
        </w:rPr>
        <w:t>, אין גזעו מחליף - קרנא</w:t>
      </w:r>
      <w:r>
        <w:rPr>
          <w:rStyle w:val="a7"/>
          <w:rFonts w:cs="Arial"/>
          <w:rtl/>
        </w:rPr>
        <w:footnoteReference w:id="968"/>
      </w:r>
      <w:r w:rsidRPr="003C240D">
        <w:rPr>
          <w:rFonts w:cs="Arial"/>
          <w:rtl/>
        </w:rPr>
        <w:t xml:space="preserve">. </w:t>
      </w:r>
      <w:r>
        <w:rPr>
          <w:rFonts w:cs="Arial" w:hint="cs"/>
          <w:rtl/>
        </w:rPr>
        <w:t>[</w:t>
      </w:r>
      <w:r>
        <w:rPr>
          <w:rFonts w:cs="Arial"/>
          <w:rtl/>
        </w:rPr>
        <w:t>נ"א</w:t>
      </w:r>
      <w:r>
        <w:rPr>
          <w:rFonts w:cs="Arial" w:hint="cs"/>
          <w:rtl/>
        </w:rPr>
        <w:t>:</w:t>
      </w:r>
      <w:r>
        <w:rPr>
          <w:rFonts w:cs="Arial"/>
          <w:rtl/>
        </w:rPr>
        <w:t xml:space="preserve"> גזעו מחליף </w:t>
      </w:r>
      <w:r>
        <w:rPr>
          <w:rFonts w:cs="Arial" w:hint="cs"/>
          <w:rtl/>
        </w:rPr>
        <w:t xml:space="preserve">- </w:t>
      </w:r>
      <w:r>
        <w:rPr>
          <w:rFonts w:cs="Arial"/>
          <w:rtl/>
        </w:rPr>
        <w:t>קרנא</w:t>
      </w:r>
      <w:r>
        <w:rPr>
          <w:rFonts w:cs="Arial" w:hint="cs"/>
          <w:rtl/>
        </w:rPr>
        <w:t>,</w:t>
      </w:r>
      <w:r>
        <w:rPr>
          <w:rFonts w:cs="Arial"/>
          <w:rtl/>
        </w:rPr>
        <w:t xml:space="preserve"> אין גזעו מחליף</w:t>
      </w:r>
      <w:r>
        <w:rPr>
          <w:rFonts w:cs="Arial" w:hint="cs"/>
          <w:rtl/>
        </w:rPr>
        <w:t xml:space="preserve"> -</w:t>
      </w:r>
      <w:r>
        <w:rPr>
          <w:rFonts w:cs="Arial"/>
          <w:rtl/>
        </w:rPr>
        <w:t xml:space="preserve"> פירא</w:t>
      </w:r>
      <w:r>
        <w:rPr>
          <w:rStyle w:val="a7"/>
          <w:rFonts w:cs="Arial"/>
          <w:rtl/>
        </w:rPr>
        <w:footnoteReference w:id="969"/>
      </w:r>
      <w:r>
        <w:rPr>
          <w:rFonts w:cs="Arial" w:hint="cs"/>
          <w:rtl/>
        </w:rPr>
        <w:t>.]...</w:t>
      </w:r>
      <w:r>
        <w:rPr>
          <w:rFonts w:cs="Arial" w:hint="cs"/>
          <w:sz w:val="14"/>
          <w:szCs w:val="14"/>
          <w:rtl/>
        </w:rPr>
        <w:t xml:space="preserve"> (עט:)</w:t>
      </w:r>
      <w:r w:rsidRPr="003C240D">
        <w:rPr>
          <w:rFonts w:cs="Arial"/>
          <w:rtl/>
        </w:rPr>
        <w:t xml:space="preserve"> </w:t>
      </w:r>
      <w:r w:rsidRPr="00192E85">
        <w:rPr>
          <w:rFonts w:cs="Arial"/>
          <w:u w:val="single"/>
          <w:rtl/>
        </w:rPr>
        <w:t>אמר רבא אמר רב נחמן</w:t>
      </w:r>
      <w:r w:rsidRPr="003C240D">
        <w:rPr>
          <w:rFonts w:cs="Arial"/>
          <w:rtl/>
        </w:rPr>
        <w:t xml:space="preserve">: הכניסה לו עז </w:t>
      </w:r>
      <w:r w:rsidRPr="003C240D">
        <w:rPr>
          <w:rFonts w:cs="Arial"/>
          <w:rtl/>
        </w:rPr>
        <w:lastRenderedPageBreak/>
        <w:t>לחלבה</w:t>
      </w:r>
      <w:r>
        <w:rPr>
          <w:rStyle w:val="a7"/>
          <w:rFonts w:cs="Arial"/>
          <w:rtl/>
        </w:rPr>
        <w:footnoteReference w:id="970"/>
      </w:r>
      <w:r w:rsidRPr="003C240D">
        <w:rPr>
          <w:rFonts w:cs="Arial"/>
          <w:rtl/>
        </w:rPr>
        <w:t>, ורחל לגיזתה</w:t>
      </w:r>
      <w:r>
        <w:rPr>
          <w:rStyle w:val="a7"/>
          <w:rFonts w:cs="Arial"/>
          <w:rtl/>
        </w:rPr>
        <w:footnoteReference w:id="971"/>
      </w:r>
      <w:r w:rsidRPr="003C240D">
        <w:rPr>
          <w:rFonts w:cs="Arial"/>
          <w:rtl/>
        </w:rPr>
        <w:t>, ותרנגולת לביצתה, ודקל לפירותיו - אוכל והולך</w:t>
      </w:r>
      <w:r>
        <w:rPr>
          <w:rStyle w:val="a7"/>
          <w:rFonts w:cs="Arial"/>
          <w:rtl/>
        </w:rPr>
        <w:footnoteReference w:id="972"/>
      </w:r>
      <w:r w:rsidRPr="003C240D">
        <w:rPr>
          <w:rFonts w:cs="Arial"/>
          <w:rtl/>
        </w:rPr>
        <w:t xml:space="preserve"> עד שתכלה הקרן. </w:t>
      </w:r>
      <w:r w:rsidRPr="00192E85">
        <w:rPr>
          <w:rFonts w:cs="Arial"/>
          <w:u w:val="single"/>
          <w:rtl/>
        </w:rPr>
        <w:t>א"ר נחמן</w:t>
      </w:r>
      <w:r w:rsidRPr="003C240D">
        <w:rPr>
          <w:rFonts w:cs="Arial"/>
          <w:rtl/>
        </w:rPr>
        <w:t>: עיילא ליה גלימא</w:t>
      </w:r>
      <w:r>
        <w:rPr>
          <w:rStyle w:val="a7"/>
          <w:rFonts w:cs="Arial"/>
          <w:rtl/>
        </w:rPr>
        <w:footnoteReference w:id="973"/>
      </w:r>
      <w:r w:rsidRPr="003C240D">
        <w:rPr>
          <w:rFonts w:cs="Arial"/>
          <w:rtl/>
        </w:rPr>
        <w:t xml:space="preserve"> - פירא הוי</w:t>
      </w:r>
      <w:r>
        <w:rPr>
          <w:rStyle w:val="a7"/>
          <w:rFonts w:cs="Arial"/>
          <w:rtl/>
        </w:rPr>
        <w:footnoteReference w:id="974"/>
      </w:r>
      <w:r w:rsidRPr="003C240D">
        <w:rPr>
          <w:rFonts w:cs="Arial"/>
          <w:rtl/>
        </w:rPr>
        <w:t>, מכסי ביה ואזיל עד דכליא</w:t>
      </w:r>
      <w:r>
        <w:rPr>
          <w:rStyle w:val="a7"/>
          <w:rFonts w:cs="Arial"/>
          <w:rtl/>
        </w:rPr>
        <w:footnoteReference w:id="975"/>
      </w:r>
      <w:r w:rsidRPr="003C240D">
        <w:rPr>
          <w:rFonts w:cs="Arial"/>
          <w:rtl/>
        </w:rPr>
        <w:t>. כמאן? כי האי תנא, דתניא: המלח והחול - הרי זה פירות</w:t>
      </w:r>
      <w:r>
        <w:rPr>
          <w:rFonts w:cs="Arial" w:hint="cs"/>
          <w:rtl/>
        </w:rPr>
        <w:t>.</w:t>
      </w:r>
      <w:r w:rsidRPr="003C240D">
        <w:rPr>
          <w:rFonts w:cs="Arial"/>
          <w:rtl/>
        </w:rPr>
        <w:t xml:space="preserve"> פיר של גפרית, מחפורת של צריף - ר"מ אומר: קרן</w:t>
      </w:r>
      <w:r>
        <w:rPr>
          <w:rFonts w:cs="Arial" w:hint="cs"/>
          <w:rtl/>
        </w:rPr>
        <w:t>.</w:t>
      </w:r>
      <w:r w:rsidRPr="003C240D">
        <w:rPr>
          <w:rFonts w:cs="Arial"/>
          <w:rtl/>
        </w:rPr>
        <w:t xml:space="preserve"> וחכ"א: פירות.</w:t>
      </w:r>
    </w:p>
    <w:p w14:paraId="171C6E16" w14:textId="1C3AD3B9" w:rsidR="00A61343" w:rsidRPr="00EB368B" w:rsidRDefault="00EB368B" w:rsidP="00A61343">
      <w:pPr>
        <w:rPr>
          <w:u w:val="single"/>
          <w:rtl/>
        </w:rPr>
      </w:pPr>
      <w:r w:rsidRPr="00EB368B">
        <w:rPr>
          <w:rFonts w:cs="Arial" w:hint="cs"/>
          <w:u w:val="single"/>
          <w:rtl/>
        </w:rPr>
        <w:t xml:space="preserve">קיבלה </w:t>
      </w:r>
      <w:r w:rsidRPr="00EB368B">
        <w:rPr>
          <w:rFonts w:cs="Arial"/>
          <w:u w:val="single"/>
          <w:rtl/>
        </w:rPr>
        <w:t>ירושה</w:t>
      </w:r>
      <w:r w:rsidRPr="00EB368B">
        <w:rPr>
          <w:rFonts w:cs="Arial" w:hint="cs"/>
          <w:u w:val="single"/>
          <w:rtl/>
        </w:rPr>
        <w:t>/</w:t>
      </w:r>
      <w:r w:rsidRPr="00EB368B">
        <w:rPr>
          <w:rFonts w:cs="Arial"/>
          <w:u w:val="single"/>
          <w:rtl/>
        </w:rPr>
        <w:t>מתנה מטלטלים דבר שאינו עושה פירות</w:t>
      </w:r>
      <w:r w:rsidRPr="00EB368B">
        <w:rPr>
          <w:rFonts w:hint="cs"/>
          <w:u w:val="single"/>
          <w:rtl/>
        </w:rPr>
        <w:t>:</w:t>
      </w:r>
    </w:p>
    <w:p w14:paraId="4B66F226" w14:textId="73D9CBC1" w:rsidR="00BD71E5" w:rsidRDefault="009E5A93" w:rsidP="009000E3">
      <w:pPr>
        <w:pStyle w:val="ab"/>
        <w:numPr>
          <w:ilvl w:val="0"/>
          <w:numId w:val="47"/>
        </w:numPr>
      </w:pPr>
      <w:r>
        <w:rPr>
          <w:rFonts w:cs="Arial" w:hint="cs"/>
          <w:rtl/>
        </w:rPr>
        <w:t>רמב"ם</w:t>
      </w:r>
      <w:r>
        <w:rPr>
          <w:rStyle w:val="a7"/>
          <w:rFonts w:cs="Arial"/>
          <w:rtl/>
        </w:rPr>
        <w:footnoteReference w:id="976"/>
      </w:r>
      <w:r>
        <w:rPr>
          <w:rFonts w:cs="Arial" w:hint="cs"/>
          <w:rtl/>
        </w:rPr>
        <w:t xml:space="preserve"> </w:t>
      </w:r>
      <w:r>
        <w:rPr>
          <w:rFonts w:cs="Arial" w:hint="cs"/>
          <w:sz w:val="16"/>
          <w:szCs w:val="16"/>
          <w:rtl/>
        </w:rPr>
        <w:t>(פכ"ב מאישות הל"ג)</w:t>
      </w:r>
      <w:r>
        <w:rPr>
          <w:rFonts w:cs="Arial" w:hint="cs"/>
          <w:rtl/>
        </w:rPr>
        <w:t xml:space="preserve"> ו</w:t>
      </w:r>
      <w:r w:rsidR="00605FD6">
        <w:rPr>
          <w:rFonts w:cs="Arial" w:hint="cs"/>
          <w:rtl/>
        </w:rPr>
        <w:t xml:space="preserve">טור- </w:t>
      </w:r>
      <w:r w:rsidR="00605FD6" w:rsidRPr="007A228B">
        <w:rPr>
          <w:rFonts w:cs="Arial"/>
          <w:rtl/>
        </w:rPr>
        <w:t>כיון שאוכל פירות נכסי אשתו</w:t>
      </w:r>
      <w:r>
        <w:rPr>
          <w:rFonts w:cs="Arial" w:hint="cs"/>
          <w:rtl/>
        </w:rPr>
        <w:t>,</w:t>
      </w:r>
      <w:r w:rsidR="00605FD6" w:rsidRPr="007A228B">
        <w:rPr>
          <w:rFonts w:cs="Arial"/>
          <w:rtl/>
        </w:rPr>
        <w:t xml:space="preserve"> אם נפלו לה בירושה או נתנו לה במתנה במטלטלים דבר שאינו עושה פירות </w:t>
      </w:r>
      <w:r w:rsidR="00EB368B">
        <w:rPr>
          <w:rFonts w:cs="Arial" w:hint="cs"/>
          <w:rtl/>
        </w:rPr>
        <w:t xml:space="preserve">- </w:t>
      </w:r>
      <w:r w:rsidR="00605FD6" w:rsidRPr="007A228B">
        <w:rPr>
          <w:rFonts w:cs="Arial"/>
          <w:rtl/>
        </w:rPr>
        <w:t>ימכר וילקח בו דבר שעושה פירות</w:t>
      </w:r>
      <w:r w:rsidR="00EB368B">
        <w:rPr>
          <w:rFonts w:cs="Arial" w:hint="cs"/>
          <w:rtl/>
        </w:rPr>
        <w:t>.</w:t>
      </w:r>
      <w:r w:rsidR="00605FD6" w:rsidRPr="007A228B">
        <w:rPr>
          <w:rFonts w:cs="Arial"/>
          <w:rtl/>
        </w:rPr>
        <w:t xml:space="preserve"> לפיכך כשבא ליקח בדמים דבר העושה פירות</w:t>
      </w:r>
      <w:r w:rsidR="00EB368B">
        <w:rPr>
          <w:rFonts w:cs="Arial" w:hint="cs"/>
          <w:rtl/>
        </w:rPr>
        <w:t>,</w:t>
      </w:r>
      <w:r w:rsidR="00605FD6" w:rsidRPr="007A228B">
        <w:rPr>
          <w:rFonts w:cs="Arial"/>
          <w:rtl/>
        </w:rPr>
        <w:t xml:space="preserve"> רואין דבר שפירותיו מרובים ויציאותיו מועטין וקונין אותו</w:t>
      </w:r>
      <w:r w:rsidR="00EB368B">
        <w:rPr>
          <w:rFonts w:cs="Arial" w:hint="cs"/>
          <w:rtl/>
        </w:rPr>
        <w:t>,</w:t>
      </w:r>
      <w:r w:rsidR="00605FD6" w:rsidRPr="007A228B">
        <w:rPr>
          <w:rFonts w:cs="Arial"/>
          <w:rtl/>
        </w:rPr>
        <w:t xml:space="preserve"> בין שיהיה הדבר ברצונו או שלא ברצונו</w:t>
      </w:r>
      <w:r w:rsidR="00EB368B">
        <w:rPr>
          <w:rFonts w:cs="Arial" w:hint="cs"/>
          <w:rtl/>
        </w:rPr>
        <w:t>.</w:t>
      </w:r>
      <w:r w:rsidR="00605FD6" w:rsidRPr="007A228B">
        <w:rPr>
          <w:rFonts w:cs="Arial"/>
          <w:rtl/>
        </w:rPr>
        <w:t xml:space="preserve"> כיצד</w:t>
      </w:r>
      <w:r w:rsidR="00EB368B">
        <w:rPr>
          <w:rFonts w:cs="Arial" w:hint="cs"/>
          <w:rtl/>
        </w:rPr>
        <w:t>,</w:t>
      </w:r>
      <w:r w:rsidR="00605FD6" w:rsidRPr="007A228B">
        <w:rPr>
          <w:rFonts w:cs="Arial"/>
          <w:rtl/>
        </w:rPr>
        <w:t xml:space="preserve"> אם אחד מהן אומר לקנות קרקע ואחד אומר בית</w:t>
      </w:r>
      <w:r w:rsidR="00EB368B">
        <w:rPr>
          <w:rFonts w:cs="Arial" w:hint="cs"/>
          <w:rtl/>
        </w:rPr>
        <w:t xml:space="preserve"> -</w:t>
      </w:r>
      <w:r w:rsidR="00605FD6" w:rsidRPr="007A228B">
        <w:rPr>
          <w:rFonts w:cs="Arial"/>
          <w:rtl/>
        </w:rPr>
        <w:t xml:space="preserve"> שומעין לזה שאומר קרקע</w:t>
      </w:r>
      <w:r w:rsidR="00EB368B">
        <w:rPr>
          <w:rFonts w:cs="Arial" w:hint="cs"/>
          <w:rtl/>
        </w:rPr>
        <w:t>.</w:t>
      </w:r>
      <w:r w:rsidR="00605FD6" w:rsidRPr="007A228B">
        <w:rPr>
          <w:rFonts w:cs="Arial"/>
          <w:rtl/>
        </w:rPr>
        <w:t xml:space="preserve"> בתי ודקלי</w:t>
      </w:r>
      <w:r w:rsidR="00EB368B">
        <w:rPr>
          <w:rFonts w:cs="Arial" w:hint="cs"/>
          <w:rtl/>
        </w:rPr>
        <w:t xml:space="preserve"> -</w:t>
      </w:r>
      <w:r w:rsidR="00605FD6" w:rsidRPr="007A228B">
        <w:rPr>
          <w:rFonts w:cs="Arial"/>
          <w:rtl/>
        </w:rPr>
        <w:t xml:space="preserve"> בתי</w:t>
      </w:r>
      <w:r w:rsidR="00EB368B">
        <w:rPr>
          <w:rFonts w:cs="Arial" w:hint="cs"/>
          <w:rtl/>
        </w:rPr>
        <w:t>.</w:t>
      </w:r>
      <w:r w:rsidR="00605FD6" w:rsidRPr="007A228B">
        <w:rPr>
          <w:rFonts w:cs="Arial"/>
          <w:rtl/>
        </w:rPr>
        <w:t xml:space="preserve"> דקלי ואילני</w:t>
      </w:r>
      <w:r w:rsidR="00EB368B">
        <w:rPr>
          <w:rFonts w:cs="Arial" w:hint="cs"/>
          <w:rtl/>
        </w:rPr>
        <w:t xml:space="preserve"> -</w:t>
      </w:r>
      <w:r w:rsidR="00605FD6" w:rsidRPr="007A228B">
        <w:rPr>
          <w:rFonts w:cs="Arial"/>
          <w:rtl/>
        </w:rPr>
        <w:t xml:space="preserve"> דקלי</w:t>
      </w:r>
      <w:r w:rsidR="00EB368B">
        <w:rPr>
          <w:rFonts w:cs="Arial" w:hint="cs"/>
          <w:rtl/>
        </w:rPr>
        <w:t>.</w:t>
      </w:r>
      <w:r w:rsidR="00605FD6" w:rsidRPr="007A228B">
        <w:rPr>
          <w:rFonts w:cs="Arial"/>
          <w:rtl/>
        </w:rPr>
        <w:t xml:space="preserve"> אילני וגופני </w:t>
      </w:r>
      <w:r w:rsidR="00EB368B">
        <w:rPr>
          <w:rFonts w:cs="Arial" w:hint="cs"/>
          <w:rtl/>
        </w:rPr>
        <w:t xml:space="preserve">- </w:t>
      </w:r>
      <w:r w:rsidR="00605FD6" w:rsidRPr="007A228B">
        <w:rPr>
          <w:rFonts w:cs="Arial"/>
          <w:rtl/>
        </w:rPr>
        <w:t>אילני</w:t>
      </w:r>
      <w:r w:rsidR="00EB368B">
        <w:rPr>
          <w:rFonts w:cs="Arial" w:hint="cs"/>
          <w:rtl/>
        </w:rPr>
        <w:t>.</w:t>
      </w:r>
      <w:r w:rsidR="00605FD6" w:rsidRPr="007A228B">
        <w:rPr>
          <w:rFonts w:cs="Arial"/>
          <w:rtl/>
        </w:rPr>
        <w:t xml:space="preserve"> ואין קונין דבר שאין גזעו מחליף</w:t>
      </w:r>
      <w:r>
        <w:rPr>
          <w:rFonts w:cs="Arial" w:hint="cs"/>
          <w:sz w:val="16"/>
          <w:szCs w:val="16"/>
          <w:rtl/>
        </w:rPr>
        <w:t xml:space="preserve"> (ל' הטור)</w:t>
      </w:r>
      <w:r w:rsidR="00EB368B">
        <w:rPr>
          <w:rFonts w:cs="Arial" w:hint="cs"/>
          <w:rtl/>
        </w:rPr>
        <w:t>.</w:t>
      </w:r>
      <w:r w:rsidR="00605FD6" w:rsidRPr="007A228B">
        <w:rPr>
          <w:rFonts w:cs="Arial"/>
          <w:rtl/>
        </w:rPr>
        <w:t xml:space="preserve"> </w:t>
      </w:r>
      <w:r w:rsidRPr="00137671">
        <w:rPr>
          <w:rFonts w:hint="cs"/>
          <w:color w:val="E36C0A" w:themeColor="accent6" w:themeShade="BF"/>
          <w:rtl/>
        </w:rPr>
        <w:t>(וכ"פ בשו"ע)</w:t>
      </w:r>
    </w:p>
    <w:p w14:paraId="562ACB6F" w14:textId="471C3094" w:rsidR="009E5A93" w:rsidRPr="009E5A93" w:rsidRDefault="009E5A93" w:rsidP="009E5A93">
      <w:pPr>
        <w:ind w:left="360"/>
        <w:rPr>
          <w:u w:val="dotted"/>
        </w:rPr>
      </w:pPr>
      <w:r w:rsidRPr="009E5A93">
        <w:rPr>
          <w:rFonts w:hint="cs"/>
          <w:u w:val="dotted"/>
          <w:rtl/>
        </w:rPr>
        <w:t>נפל לה דבר שגזעו מחליף:</w:t>
      </w:r>
    </w:p>
    <w:p w14:paraId="07E9683A" w14:textId="0127E2AE" w:rsidR="009E5A93" w:rsidRPr="00522D78" w:rsidRDefault="009E5A93" w:rsidP="009000E3">
      <w:pPr>
        <w:pStyle w:val="ab"/>
        <w:numPr>
          <w:ilvl w:val="0"/>
          <w:numId w:val="47"/>
        </w:numPr>
      </w:pPr>
      <w:r>
        <w:rPr>
          <w:rFonts w:cs="Arial" w:hint="cs"/>
          <w:rtl/>
        </w:rPr>
        <w:t xml:space="preserve">טור- </w:t>
      </w:r>
      <w:r w:rsidRPr="00522D78">
        <w:rPr>
          <w:rFonts w:cs="Arial"/>
          <w:rtl/>
        </w:rPr>
        <w:t xml:space="preserve">ואם נפל לה דבר שגזעו מחליף </w:t>
      </w:r>
      <w:r w:rsidRPr="00522D78">
        <w:rPr>
          <w:rFonts w:cs="Arial" w:hint="cs"/>
          <w:rtl/>
        </w:rPr>
        <w:t xml:space="preserve">- </w:t>
      </w:r>
      <w:r w:rsidRPr="00522D78">
        <w:rPr>
          <w:rFonts w:cs="Arial"/>
          <w:rtl/>
        </w:rPr>
        <w:t>א"צ למוכרו</w:t>
      </w:r>
      <w:r w:rsidRPr="00522D78">
        <w:rPr>
          <w:rFonts w:cs="Arial" w:hint="cs"/>
          <w:rtl/>
        </w:rPr>
        <w:t>,</w:t>
      </w:r>
      <w:r w:rsidRPr="00522D78">
        <w:rPr>
          <w:rFonts w:cs="Arial"/>
          <w:rtl/>
        </w:rPr>
        <w:t xml:space="preserve"> כיון שגזעו מחליף אוכל הפירות והקרן קיימת לה</w:t>
      </w:r>
      <w:r w:rsidRPr="00522D78">
        <w:rPr>
          <w:rFonts w:cs="Arial" w:hint="cs"/>
          <w:rtl/>
        </w:rPr>
        <w:t>.</w:t>
      </w:r>
    </w:p>
    <w:p w14:paraId="6B4F4479" w14:textId="2C2EB719" w:rsidR="00522D78" w:rsidRPr="00C2610F" w:rsidRDefault="00522D78" w:rsidP="00522D78">
      <w:pPr>
        <w:ind w:left="360"/>
        <w:rPr>
          <w:u w:val="dotted"/>
        </w:rPr>
      </w:pPr>
      <w:r w:rsidRPr="00C2610F">
        <w:rPr>
          <w:rFonts w:hint="cs"/>
          <w:u w:val="dotted"/>
          <w:rtl/>
        </w:rPr>
        <w:t xml:space="preserve">נפל לה </w:t>
      </w:r>
      <w:r w:rsidR="00C2610F" w:rsidRPr="00C2610F">
        <w:rPr>
          <w:rFonts w:hint="cs"/>
          <w:u w:val="dotted"/>
          <w:rtl/>
        </w:rPr>
        <w:t>דבר שאין גזעו מחליף:</w:t>
      </w:r>
    </w:p>
    <w:p w14:paraId="664674BB" w14:textId="02ADBC71" w:rsidR="00522D78" w:rsidRDefault="00522D78" w:rsidP="009000E3">
      <w:pPr>
        <w:pStyle w:val="ab"/>
        <w:numPr>
          <w:ilvl w:val="0"/>
          <w:numId w:val="47"/>
        </w:numPr>
      </w:pPr>
      <w:r>
        <w:rPr>
          <w:rFonts w:cs="Arial" w:hint="cs"/>
          <w:rtl/>
        </w:rPr>
        <w:t xml:space="preserve">טור- </w:t>
      </w:r>
      <w:r w:rsidR="00605FD6" w:rsidRPr="00522D78">
        <w:rPr>
          <w:rFonts w:cs="Arial"/>
          <w:rtl/>
        </w:rPr>
        <w:t>ואפי' אין גזעו מחליף</w:t>
      </w:r>
      <w:r w:rsidR="00A31859" w:rsidRPr="00522D78">
        <w:rPr>
          <w:rFonts w:cs="Arial" w:hint="cs"/>
          <w:rtl/>
        </w:rPr>
        <w:t>,</w:t>
      </w:r>
      <w:r w:rsidR="00605FD6" w:rsidRPr="00522D78">
        <w:rPr>
          <w:rFonts w:cs="Arial"/>
          <w:rtl/>
        </w:rPr>
        <w:t xml:space="preserve"> אם ישאר קצת מן הקרן </w:t>
      </w:r>
      <w:r w:rsidR="00A31859" w:rsidRPr="00522D78">
        <w:rPr>
          <w:rFonts w:cs="Arial" w:hint="cs"/>
          <w:rtl/>
        </w:rPr>
        <w:t xml:space="preserve">- </w:t>
      </w:r>
      <w:r w:rsidR="00605FD6" w:rsidRPr="00522D78">
        <w:rPr>
          <w:rFonts w:cs="Arial"/>
          <w:rtl/>
        </w:rPr>
        <w:t>א"צ למוכרו</w:t>
      </w:r>
      <w:r w:rsidR="00C2610F">
        <w:rPr>
          <w:rStyle w:val="a7"/>
          <w:rFonts w:cs="Arial"/>
          <w:rtl/>
        </w:rPr>
        <w:footnoteReference w:id="977"/>
      </w:r>
      <w:r w:rsidR="00A31859" w:rsidRPr="00522D78">
        <w:rPr>
          <w:rFonts w:cs="Arial" w:hint="cs"/>
          <w:rtl/>
        </w:rPr>
        <w:t>.</w:t>
      </w:r>
      <w:r w:rsidR="00605FD6" w:rsidRPr="00522D78">
        <w:rPr>
          <w:rFonts w:cs="Arial"/>
          <w:rtl/>
        </w:rPr>
        <w:t xml:space="preserve"> כגון שנפל לה אילן שקוצצין אותו לעצים ואין גזעו מחליף </w:t>
      </w:r>
      <w:r w:rsidR="00A31859" w:rsidRPr="00522D78">
        <w:rPr>
          <w:rFonts w:cs="Arial" w:hint="cs"/>
          <w:rtl/>
        </w:rPr>
        <w:t xml:space="preserve">- </w:t>
      </w:r>
      <w:r w:rsidR="00605FD6" w:rsidRPr="00522D78">
        <w:rPr>
          <w:rFonts w:cs="Arial"/>
          <w:rtl/>
        </w:rPr>
        <w:t>קוצץ ואוכל</w:t>
      </w:r>
      <w:r w:rsidR="00A31859" w:rsidRPr="00522D78">
        <w:rPr>
          <w:rFonts w:cs="Arial" w:hint="cs"/>
          <w:rtl/>
        </w:rPr>
        <w:t>,</w:t>
      </w:r>
      <w:r w:rsidR="00605FD6" w:rsidRPr="00522D78">
        <w:rPr>
          <w:rFonts w:cs="Arial"/>
          <w:rtl/>
        </w:rPr>
        <w:t xml:space="preserve"> כיון שישאר לה המקום</w:t>
      </w:r>
      <w:r w:rsidR="00A31859" w:rsidRPr="00522D78">
        <w:rPr>
          <w:rFonts w:cs="Arial" w:hint="cs"/>
          <w:rtl/>
        </w:rPr>
        <w:t>.</w:t>
      </w:r>
      <w:r w:rsidR="00605FD6" w:rsidRPr="00522D78">
        <w:rPr>
          <w:rFonts w:cs="Arial"/>
          <w:rtl/>
        </w:rPr>
        <w:t xml:space="preserve"> וכן אם נפל לה גלימא </w:t>
      </w:r>
      <w:r w:rsidR="00A31859" w:rsidRPr="00522D78">
        <w:rPr>
          <w:rFonts w:cs="Arial" w:hint="cs"/>
          <w:rtl/>
        </w:rPr>
        <w:t xml:space="preserve">- </w:t>
      </w:r>
      <w:r w:rsidR="00605FD6" w:rsidRPr="00522D78">
        <w:rPr>
          <w:rFonts w:cs="Arial"/>
          <w:rtl/>
        </w:rPr>
        <w:t>מכסה והולך עד שתכלה</w:t>
      </w:r>
      <w:r w:rsidR="00A31859" w:rsidRPr="00522D78">
        <w:rPr>
          <w:rFonts w:cs="Arial" w:hint="cs"/>
          <w:rtl/>
        </w:rPr>
        <w:t>,</w:t>
      </w:r>
      <w:r w:rsidR="00605FD6" w:rsidRPr="00522D78">
        <w:rPr>
          <w:rFonts w:cs="Arial"/>
          <w:rtl/>
        </w:rPr>
        <w:t xml:space="preserve"> כיון שישאר לה השחקים</w:t>
      </w:r>
      <w:r w:rsidR="00A31859" w:rsidRPr="00522D78">
        <w:rPr>
          <w:rFonts w:cs="Arial" w:hint="cs"/>
          <w:rtl/>
        </w:rPr>
        <w:t>.</w:t>
      </w:r>
      <w:r w:rsidR="00605FD6" w:rsidRPr="00522D78">
        <w:rPr>
          <w:rFonts w:cs="Arial"/>
          <w:rtl/>
        </w:rPr>
        <w:t xml:space="preserve"> </w:t>
      </w:r>
    </w:p>
    <w:p w14:paraId="5253E203" w14:textId="4B507DDC" w:rsidR="00C2610F" w:rsidRPr="00C2610F" w:rsidRDefault="00C2610F" w:rsidP="00C2610F">
      <w:pPr>
        <w:ind w:left="360"/>
        <w:rPr>
          <w:u w:val="dotted"/>
        </w:rPr>
      </w:pPr>
      <w:r w:rsidRPr="00C2610F">
        <w:rPr>
          <w:rFonts w:hint="cs"/>
          <w:u w:val="dotted"/>
          <w:rtl/>
        </w:rPr>
        <w:t>נפלו לה מעות:</w:t>
      </w:r>
    </w:p>
    <w:p w14:paraId="7EBD2192" w14:textId="1DB3B161" w:rsidR="004D5697" w:rsidRDefault="00522D78" w:rsidP="009000E3">
      <w:pPr>
        <w:pStyle w:val="ab"/>
        <w:numPr>
          <w:ilvl w:val="0"/>
          <w:numId w:val="47"/>
        </w:numPr>
      </w:pPr>
      <w:r>
        <w:rPr>
          <w:rFonts w:cs="Arial" w:hint="cs"/>
          <w:rtl/>
        </w:rPr>
        <w:t xml:space="preserve">טור- </w:t>
      </w:r>
      <w:r w:rsidR="00605FD6" w:rsidRPr="007A228B">
        <w:rPr>
          <w:rFonts w:cs="Arial"/>
          <w:rtl/>
        </w:rPr>
        <w:t>ומ"מ אם נפלו לה מעות ובאים לקנות דבר שעושה פירות</w:t>
      </w:r>
      <w:r w:rsidR="00A31859">
        <w:rPr>
          <w:rFonts w:cs="Arial" w:hint="cs"/>
          <w:rtl/>
        </w:rPr>
        <w:t>,</w:t>
      </w:r>
      <w:r w:rsidR="00605FD6" w:rsidRPr="007A228B">
        <w:rPr>
          <w:rFonts w:cs="Arial"/>
          <w:rtl/>
        </w:rPr>
        <w:t xml:space="preserve"> אין קונין בה גלימא וכיוצא בה</w:t>
      </w:r>
      <w:r w:rsidR="00A31859">
        <w:rPr>
          <w:rFonts w:cs="Arial" w:hint="cs"/>
          <w:rtl/>
        </w:rPr>
        <w:t>,</w:t>
      </w:r>
      <w:r w:rsidR="00605FD6" w:rsidRPr="007A228B">
        <w:rPr>
          <w:rFonts w:cs="Arial"/>
          <w:rtl/>
        </w:rPr>
        <w:t xml:space="preserve"> אלא דבר שגזעו מחליף</w:t>
      </w:r>
      <w:r w:rsidR="004D5697">
        <w:rPr>
          <w:rStyle w:val="a7"/>
          <w:rFonts w:cs="Arial"/>
          <w:rtl/>
        </w:rPr>
        <w:footnoteReference w:id="978"/>
      </w:r>
      <w:r w:rsidR="00A31859">
        <w:rPr>
          <w:rFonts w:cs="Arial" w:hint="cs"/>
          <w:rtl/>
        </w:rPr>
        <w:t>.</w:t>
      </w:r>
      <w:r w:rsidR="00605FD6" w:rsidRPr="007A228B">
        <w:rPr>
          <w:rFonts w:cs="Arial"/>
          <w:rtl/>
        </w:rPr>
        <w:t xml:space="preserve"> </w:t>
      </w:r>
    </w:p>
    <w:p w14:paraId="3740F176" w14:textId="2CE5D72E" w:rsidR="004D5697" w:rsidRPr="00BD71E5" w:rsidRDefault="00241729" w:rsidP="00BD71E5">
      <w:pPr>
        <w:rPr>
          <w:u w:val="single"/>
        </w:rPr>
      </w:pPr>
      <w:r w:rsidRPr="00BD71E5">
        <w:rPr>
          <w:rFonts w:hint="cs"/>
          <w:u w:val="single"/>
          <w:rtl/>
        </w:rPr>
        <w:t>הכניסה לו עז לחלבה וכדו':</w:t>
      </w:r>
    </w:p>
    <w:p w14:paraId="6631F56F" w14:textId="6BCC5B8E" w:rsidR="00605FD6" w:rsidRDefault="00F71D8A" w:rsidP="009000E3">
      <w:pPr>
        <w:pStyle w:val="ab"/>
        <w:numPr>
          <w:ilvl w:val="0"/>
          <w:numId w:val="47"/>
        </w:numPr>
      </w:pPr>
      <w:r>
        <w:rPr>
          <w:rFonts w:cs="Arial" w:hint="cs"/>
          <w:rtl/>
        </w:rPr>
        <w:t xml:space="preserve">רש"י </w:t>
      </w:r>
      <w:r>
        <w:rPr>
          <w:rFonts w:cs="Arial" w:hint="cs"/>
          <w:sz w:val="16"/>
          <w:szCs w:val="16"/>
          <w:rtl/>
        </w:rPr>
        <w:t>(שם ד"ה אוכל והולך)</w:t>
      </w:r>
      <w:r>
        <w:rPr>
          <w:rFonts w:cs="Arial" w:hint="cs"/>
          <w:rtl/>
        </w:rPr>
        <w:t xml:space="preserve"> רא"ש</w:t>
      </w:r>
      <w:r w:rsidRPr="00BD71E5">
        <w:rPr>
          <w:rFonts w:cs="Arial" w:hint="cs"/>
          <w:sz w:val="16"/>
          <w:szCs w:val="16"/>
          <w:rtl/>
        </w:rPr>
        <w:t xml:space="preserve"> </w:t>
      </w:r>
      <w:r w:rsidRPr="00BD71E5">
        <w:rPr>
          <w:rFonts w:cs="Arial"/>
          <w:sz w:val="16"/>
          <w:szCs w:val="16"/>
          <w:rtl/>
        </w:rPr>
        <w:t>(סי' ז</w:t>
      </w:r>
      <w:r>
        <w:rPr>
          <w:rFonts w:cs="Arial" w:hint="cs"/>
          <w:sz w:val="16"/>
          <w:szCs w:val="16"/>
          <w:rtl/>
        </w:rPr>
        <w:t>, כ"כ הטור בשמו</w:t>
      </w:r>
      <w:r w:rsidRPr="00BD71E5">
        <w:rPr>
          <w:rFonts w:cs="Arial"/>
          <w:sz w:val="16"/>
          <w:szCs w:val="16"/>
          <w:rtl/>
        </w:rPr>
        <w:t>)</w:t>
      </w:r>
      <w:r>
        <w:rPr>
          <w:rFonts w:cs="Arial"/>
          <w:rtl/>
        </w:rPr>
        <w:t xml:space="preserve"> </w:t>
      </w:r>
      <w:r>
        <w:rPr>
          <w:rFonts w:cs="Arial" w:hint="cs"/>
          <w:rtl/>
        </w:rPr>
        <w:t>וטור</w:t>
      </w:r>
      <w:r w:rsidR="004D5697">
        <w:rPr>
          <w:rFonts w:cs="Arial" w:hint="cs"/>
          <w:rtl/>
        </w:rPr>
        <w:t xml:space="preserve">- </w:t>
      </w:r>
      <w:r w:rsidR="00605FD6" w:rsidRPr="007A228B">
        <w:rPr>
          <w:rFonts w:cs="Arial"/>
          <w:rtl/>
        </w:rPr>
        <w:t>הכניסה לו עז לחלבה</w:t>
      </w:r>
      <w:r w:rsidR="00A31859">
        <w:rPr>
          <w:rFonts w:cs="Arial" w:hint="cs"/>
          <w:rtl/>
        </w:rPr>
        <w:t>,</w:t>
      </w:r>
      <w:r w:rsidR="00605FD6" w:rsidRPr="007A228B">
        <w:rPr>
          <w:rFonts w:cs="Arial"/>
          <w:rtl/>
        </w:rPr>
        <w:t xml:space="preserve"> ורחל לגיזתה</w:t>
      </w:r>
      <w:r w:rsidR="00A31859">
        <w:rPr>
          <w:rFonts w:cs="Arial" w:hint="cs"/>
          <w:rtl/>
        </w:rPr>
        <w:t>,</w:t>
      </w:r>
      <w:r w:rsidR="00605FD6" w:rsidRPr="007A228B">
        <w:rPr>
          <w:rFonts w:cs="Arial"/>
          <w:rtl/>
        </w:rPr>
        <w:t xml:space="preserve"> ותרנגולת לביצתה</w:t>
      </w:r>
      <w:r w:rsidR="00A31859">
        <w:rPr>
          <w:rFonts w:cs="Arial" w:hint="cs"/>
          <w:rtl/>
        </w:rPr>
        <w:t>,</w:t>
      </w:r>
      <w:r w:rsidR="00605FD6" w:rsidRPr="007A228B">
        <w:rPr>
          <w:rFonts w:cs="Arial"/>
          <w:rtl/>
        </w:rPr>
        <w:t xml:space="preserve"> ודקל לפירות </w:t>
      </w:r>
      <w:r w:rsidR="00A31859">
        <w:rPr>
          <w:rFonts w:cs="Arial" w:hint="cs"/>
          <w:rtl/>
        </w:rPr>
        <w:t xml:space="preserve">- </w:t>
      </w:r>
      <w:r w:rsidR="00605FD6" w:rsidRPr="007A228B">
        <w:rPr>
          <w:rFonts w:cs="Arial"/>
          <w:rtl/>
        </w:rPr>
        <w:t>אוכל והולך עד שיכלה</w:t>
      </w:r>
      <w:r>
        <w:rPr>
          <w:rStyle w:val="a7"/>
          <w:rFonts w:cs="Arial"/>
          <w:rtl/>
        </w:rPr>
        <w:footnoteReference w:id="979"/>
      </w:r>
      <w:r w:rsidR="00BD71E5" w:rsidRPr="00F71D8A">
        <w:rPr>
          <w:rFonts w:cs="Arial" w:hint="cs"/>
          <w:sz w:val="16"/>
          <w:szCs w:val="16"/>
          <w:rtl/>
        </w:rPr>
        <w:t>(ל' הטור בשם הרא"ש)</w:t>
      </w:r>
      <w:r w:rsidR="00605FD6" w:rsidRPr="00F71D8A">
        <w:rPr>
          <w:rFonts w:cs="Arial" w:hint="cs"/>
          <w:rtl/>
        </w:rPr>
        <w:t>.</w:t>
      </w:r>
      <w:r w:rsidR="00605FD6" w:rsidRPr="00F71D8A">
        <w:rPr>
          <w:rFonts w:cs="Arial"/>
          <w:rtl/>
        </w:rPr>
        <w:t xml:space="preserve"> </w:t>
      </w:r>
    </w:p>
    <w:p w14:paraId="2F123F9E" w14:textId="7D37B473" w:rsidR="00426F08" w:rsidRPr="00426F08" w:rsidRDefault="00BD71E5" w:rsidP="009000E3">
      <w:pPr>
        <w:pStyle w:val="ab"/>
        <w:numPr>
          <w:ilvl w:val="0"/>
          <w:numId w:val="47"/>
        </w:numPr>
        <w:rPr>
          <w:rtl/>
        </w:rPr>
      </w:pPr>
      <w:r>
        <w:rPr>
          <w:rFonts w:cs="Arial" w:hint="cs"/>
          <w:rtl/>
        </w:rPr>
        <w:t xml:space="preserve">רי"ף </w:t>
      </w:r>
      <w:r>
        <w:rPr>
          <w:rFonts w:cs="Arial" w:hint="cs"/>
          <w:sz w:val="16"/>
          <w:szCs w:val="16"/>
          <w:rtl/>
        </w:rPr>
        <w:t>(לח.)</w:t>
      </w:r>
      <w:r>
        <w:rPr>
          <w:rFonts w:cs="Arial" w:hint="cs"/>
          <w:rtl/>
        </w:rPr>
        <w:t xml:space="preserve"> </w:t>
      </w:r>
      <w:r w:rsidR="00A31859">
        <w:rPr>
          <w:rFonts w:cs="Arial" w:hint="cs"/>
          <w:rtl/>
        </w:rPr>
        <w:t xml:space="preserve">רמב"ם </w:t>
      </w:r>
      <w:r w:rsidR="00A31859">
        <w:rPr>
          <w:rFonts w:cs="Arial" w:hint="cs"/>
          <w:sz w:val="16"/>
          <w:szCs w:val="16"/>
          <w:rtl/>
        </w:rPr>
        <w:t>(פכ"ב מאישות הל"ד)</w:t>
      </w:r>
      <w:r w:rsidR="00A06F30" w:rsidRPr="00A06F30">
        <w:rPr>
          <w:rFonts w:cs="Arial"/>
          <w:rtl/>
        </w:rPr>
        <w:t xml:space="preserve"> </w:t>
      </w:r>
      <w:r w:rsidR="00A06F30">
        <w:rPr>
          <w:rFonts w:cs="Arial"/>
          <w:rtl/>
        </w:rPr>
        <w:t xml:space="preserve">רשב"א </w:t>
      </w:r>
      <w:r w:rsidR="00A06F30" w:rsidRPr="00A06F30">
        <w:rPr>
          <w:rFonts w:cs="Arial"/>
          <w:sz w:val="16"/>
          <w:szCs w:val="16"/>
          <w:rtl/>
        </w:rPr>
        <w:t>(עט: ד"ה אמר</w:t>
      </w:r>
      <w:r w:rsidR="00A06F30">
        <w:rPr>
          <w:rFonts w:cs="Arial" w:hint="cs"/>
          <w:sz w:val="16"/>
          <w:szCs w:val="16"/>
          <w:rtl/>
        </w:rPr>
        <w:t>, כ"כ הה"מ בשמו</w:t>
      </w:r>
      <w:r w:rsidR="00A06F30" w:rsidRPr="00A06F30">
        <w:rPr>
          <w:rFonts w:cs="Arial"/>
          <w:sz w:val="16"/>
          <w:szCs w:val="16"/>
          <w:rtl/>
        </w:rPr>
        <w:t>)</w:t>
      </w:r>
      <w:r w:rsidR="00A06F30">
        <w:rPr>
          <w:rFonts w:cs="Arial" w:hint="cs"/>
          <w:rtl/>
        </w:rPr>
        <w:t xml:space="preserve"> והה"מ </w:t>
      </w:r>
      <w:r w:rsidR="00A06F30">
        <w:rPr>
          <w:rFonts w:cs="Arial" w:hint="cs"/>
          <w:sz w:val="16"/>
          <w:szCs w:val="16"/>
          <w:rtl/>
        </w:rPr>
        <w:t>(שם)</w:t>
      </w:r>
      <w:r w:rsidR="00A31859">
        <w:rPr>
          <w:rFonts w:cs="Arial" w:hint="cs"/>
          <w:rtl/>
        </w:rPr>
        <w:t xml:space="preserve">- </w:t>
      </w:r>
      <w:r w:rsidR="00A31859">
        <w:rPr>
          <w:rFonts w:cs="Arial"/>
          <w:rtl/>
        </w:rPr>
        <w:t>האשה שהכניסה לבעלה עז לחלבה ורחל לגיזתה ודקל לפירותיו</w:t>
      </w:r>
      <w:r w:rsidR="007C6BA1">
        <w:rPr>
          <w:rFonts w:cs="Arial" w:hint="cs"/>
          <w:rtl/>
        </w:rPr>
        <w:t>,</w:t>
      </w:r>
      <w:r w:rsidR="00A31859">
        <w:rPr>
          <w:rFonts w:cs="Arial"/>
          <w:rtl/>
        </w:rPr>
        <w:t xml:space="preserve"> אע</w:t>
      </w:r>
      <w:r w:rsidR="007C6BA1">
        <w:rPr>
          <w:rFonts w:cs="Arial" w:hint="cs"/>
          <w:rtl/>
        </w:rPr>
        <w:t>"</w:t>
      </w:r>
      <w:r w:rsidR="00A31859">
        <w:rPr>
          <w:rFonts w:cs="Arial"/>
          <w:rtl/>
        </w:rPr>
        <w:t>פ שאין לה אלא פירות אלו בלבד</w:t>
      </w:r>
      <w:r w:rsidR="00426F08">
        <w:rPr>
          <w:rStyle w:val="a7"/>
          <w:rFonts w:cs="Arial"/>
          <w:rtl/>
        </w:rPr>
        <w:footnoteReference w:id="980"/>
      </w:r>
      <w:r w:rsidR="00A31859">
        <w:rPr>
          <w:rFonts w:cs="Arial"/>
          <w:rtl/>
        </w:rPr>
        <w:t xml:space="preserve"> </w:t>
      </w:r>
      <w:r w:rsidR="007C6BA1">
        <w:rPr>
          <w:rFonts w:cs="Arial" w:hint="cs"/>
          <w:rtl/>
        </w:rPr>
        <w:t xml:space="preserve">- </w:t>
      </w:r>
      <w:r w:rsidR="00A31859">
        <w:rPr>
          <w:rFonts w:cs="Arial"/>
          <w:rtl/>
        </w:rPr>
        <w:t xml:space="preserve">הרי זה אוכל והולך עד </w:t>
      </w:r>
      <w:r w:rsidR="00A31859">
        <w:rPr>
          <w:rFonts w:cs="Arial"/>
          <w:rtl/>
        </w:rPr>
        <w:lastRenderedPageBreak/>
        <w:t>שתכלה הקרן</w:t>
      </w:r>
      <w:r w:rsidR="00426F08">
        <w:rPr>
          <w:rStyle w:val="a7"/>
          <w:rFonts w:cs="Arial"/>
          <w:rtl/>
        </w:rPr>
        <w:footnoteReference w:id="981"/>
      </w:r>
      <w:r w:rsidR="00426F08">
        <w:rPr>
          <w:rFonts w:cs="Arial" w:hint="cs"/>
          <w:rtl/>
        </w:rPr>
        <w:t>.</w:t>
      </w:r>
      <w:r w:rsidR="00A31859">
        <w:rPr>
          <w:rFonts w:cs="Arial"/>
          <w:rtl/>
        </w:rPr>
        <w:t xml:space="preserve"> וכן אם הכניסה לו כלי תשמיש בתורת נכסי מלוג הרי זה משתמש בהן ולובש ומציע ומכסה עד שיכלה הקרן</w:t>
      </w:r>
      <w:r w:rsidR="007C6BA1">
        <w:rPr>
          <w:rFonts w:cs="Arial" w:hint="cs"/>
          <w:rtl/>
        </w:rPr>
        <w:t>.</w:t>
      </w:r>
      <w:r w:rsidR="00A31859">
        <w:rPr>
          <w:rFonts w:cs="Arial"/>
          <w:rtl/>
        </w:rPr>
        <w:t xml:space="preserve"> וכשיגרש אינו חייב לשלם הבליות של נכסי מלוג</w:t>
      </w:r>
      <w:r w:rsidR="00A06F30">
        <w:rPr>
          <w:rFonts w:cs="Arial" w:hint="cs"/>
          <w:sz w:val="16"/>
          <w:szCs w:val="16"/>
          <w:rtl/>
        </w:rPr>
        <w:t xml:space="preserve"> (ל' הרמב"ם)</w:t>
      </w:r>
      <w:r w:rsidR="00A31859">
        <w:rPr>
          <w:rFonts w:cs="Arial"/>
          <w:rtl/>
        </w:rPr>
        <w:t>.</w:t>
      </w:r>
      <w:r w:rsidR="009E5A93" w:rsidRPr="000F31AE">
        <w:rPr>
          <w:rFonts w:hint="cs"/>
          <w:color w:val="E36C0A" w:themeColor="accent6" w:themeShade="BF"/>
          <w:rtl/>
        </w:rPr>
        <w:t xml:space="preserve"> </w:t>
      </w:r>
      <w:r w:rsidR="009E5A93" w:rsidRPr="00137671">
        <w:rPr>
          <w:rFonts w:hint="cs"/>
          <w:color w:val="E36C0A" w:themeColor="accent6" w:themeShade="BF"/>
          <w:rtl/>
        </w:rPr>
        <w:t>(וכ"פ בשו"ע)</w:t>
      </w:r>
    </w:p>
    <w:p w14:paraId="32CDAE19"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06E3FCB9" w14:textId="71BB105F" w:rsidR="007A3469" w:rsidRDefault="007A3469" w:rsidP="007A3469">
      <w:pPr>
        <w:rPr>
          <w:rtl/>
        </w:rPr>
      </w:pPr>
      <w:r>
        <w:rPr>
          <w:rFonts w:cs="Arial"/>
          <w:rtl/>
        </w:rPr>
        <w:t>נכסי מלוג, הבעל אוכל פירות, ואם הם דבר שאינו עושה פירות, ימכר</w:t>
      </w:r>
      <w:r w:rsidR="00120D5D">
        <w:rPr>
          <w:rStyle w:val="a7"/>
          <w:rFonts w:cs="Arial"/>
          <w:rtl/>
        </w:rPr>
        <w:footnoteReference w:id="982"/>
      </w:r>
      <w:r>
        <w:rPr>
          <w:rFonts w:cs="Arial"/>
          <w:rtl/>
        </w:rPr>
        <w:t xml:space="preserve"> וילקח בו דבר שעושה פירות. ואם הוא אומר: כך וכך ילקח בהם, והיא אומרת: איני לוקחת בהם אלא כך וכך, לוקחים דבר שפירותיו מרובים</w:t>
      </w:r>
      <w:r w:rsidR="009E5A93">
        <w:rPr>
          <w:rStyle w:val="a7"/>
          <w:rFonts w:cs="Arial"/>
          <w:rtl/>
        </w:rPr>
        <w:footnoteReference w:id="983"/>
      </w:r>
      <w:r>
        <w:rPr>
          <w:rFonts w:cs="Arial"/>
          <w:rtl/>
        </w:rPr>
        <w:t xml:space="preserve"> ויציאתו מועטה, בין שהיה הדבר כרצונו או כרצונה</w:t>
      </w:r>
      <w:r w:rsidR="009E5A93">
        <w:rPr>
          <w:rFonts w:cs="Arial" w:hint="cs"/>
          <w:rtl/>
        </w:rPr>
        <w:t>.</w:t>
      </w:r>
      <w:r>
        <w:rPr>
          <w:rFonts w:cs="Arial"/>
          <w:rtl/>
        </w:rPr>
        <w:t xml:space="preserve"> ואין קונין דבר שאין גזעו מחליף. ואם נפל לה דבר שאין גזעו מחליף, אף על פי שלא ישאר קצת מהקרן, א</w:t>
      </w:r>
      <w:r w:rsidR="00A06F30">
        <w:rPr>
          <w:rFonts w:cs="Arial" w:hint="cs"/>
          <w:rtl/>
        </w:rPr>
        <w:t xml:space="preserve">ין </w:t>
      </w:r>
      <w:r>
        <w:rPr>
          <w:rFonts w:cs="Arial"/>
          <w:rtl/>
        </w:rPr>
        <w:t>צ</w:t>
      </w:r>
      <w:r w:rsidR="00A06F30">
        <w:rPr>
          <w:rFonts w:cs="Arial" w:hint="cs"/>
          <w:rtl/>
        </w:rPr>
        <w:t>ריך</w:t>
      </w:r>
      <w:r>
        <w:rPr>
          <w:rFonts w:cs="Arial"/>
          <w:rtl/>
        </w:rPr>
        <w:t xml:space="preserve"> למוכרו</w:t>
      </w:r>
      <w:r w:rsidR="00120D5D">
        <w:rPr>
          <w:rStyle w:val="a7"/>
          <w:rFonts w:cs="Arial"/>
          <w:rtl/>
        </w:rPr>
        <w:footnoteReference w:id="984"/>
      </w:r>
      <w:r>
        <w:rPr>
          <w:rFonts w:cs="Arial"/>
          <w:rtl/>
        </w:rPr>
        <w:t>, כגון שהכניסה לו עז לחלבה, רחל לגיזתה, דקל לפירותיו, אף על פי שאין לה אלא פירות אלו בלבד, הרי זה אוכל והולך עד שתכלה הקרן. וכן אם הכניסה לו כלי בתורת נכסי מלוג, ה</w:t>
      </w:r>
      <w:r w:rsidR="00A06F30">
        <w:rPr>
          <w:rFonts w:cs="Arial" w:hint="cs"/>
          <w:rtl/>
        </w:rPr>
        <w:t xml:space="preserve">רי </w:t>
      </w:r>
      <w:r>
        <w:rPr>
          <w:rFonts w:cs="Arial"/>
          <w:rtl/>
        </w:rPr>
        <w:t>ז</w:t>
      </w:r>
      <w:r w:rsidR="00A06F30">
        <w:rPr>
          <w:rFonts w:cs="Arial" w:hint="cs"/>
          <w:rtl/>
        </w:rPr>
        <w:t>ה</w:t>
      </w:r>
      <w:r>
        <w:rPr>
          <w:rFonts w:cs="Arial"/>
          <w:rtl/>
        </w:rPr>
        <w:t xml:space="preserve"> משתמש בהם ולובש ומציע ומכסה, עד שיכלה הקרן, וכשיגרש אינו חייב לשלם הבליות של נכסי מלוג. </w:t>
      </w:r>
    </w:p>
    <w:p w14:paraId="59817F81" w14:textId="77777777" w:rsidR="00F46615" w:rsidRDefault="00F46615" w:rsidP="007A3469">
      <w:pPr>
        <w:rPr>
          <w:rtl/>
        </w:rPr>
      </w:pPr>
    </w:p>
    <w:p w14:paraId="7362EC51" w14:textId="11917D32" w:rsidR="007A3469" w:rsidRDefault="007A3469" w:rsidP="000F64D0">
      <w:pPr>
        <w:pStyle w:val="2"/>
        <w:rPr>
          <w:rtl/>
        </w:rPr>
      </w:pPr>
      <w:r>
        <w:rPr>
          <w:rtl/>
        </w:rPr>
        <w:t>סעיף יד</w:t>
      </w:r>
      <w:r w:rsidR="00120D5D">
        <w:rPr>
          <w:rFonts w:hint="cs"/>
          <w:rtl/>
        </w:rPr>
        <w:t>:</w:t>
      </w:r>
      <w:r w:rsidR="00413E86" w:rsidRPr="00413E86">
        <w:rPr>
          <w:rtl/>
        </w:rPr>
        <w:t xml:space="preserve"> </w:t>
      </w:r>
      <w:r w:rsidR="00413E86" w:rsidRPr="007A228B">
        <w:rPr>
          <w:rtl/>
        </w:rPr>
        <w:t>נפלו לה עבדים ושפחות וזקנים</w:t>
      </w:r>
      <w:r w:rsidR="00B53778">
        <w:rPr>
          <w:rFonts w:hint="cs"/>
          <w:rtl/>
        </w:rPr>
        <w:t xml:space="preserve">, או </w:t>
      </w:r>
      <w:r w:rsidR="00B53778" w:rsidRPr="00120D5D">
        <w:rPr>
          <w:rtl/>
        </w:rPr>
        <w:t>זיתים וגפנים זקנים</w:t>
      </w:r>
      <w:r w:rsidR="00413E86">
        <w:rPr>
          <w:rFonts w:hint="cs"/>
          <w:rtl/>
        </w:rPr>
        <w:t>.</w:t>
      </w:r>
    </w:p>
    <w:p w14:paraId="62C154A1" w14:textId="6770AC51" w:rsidR="006B428E" w:rsidRPr="001253D1" w:rsidRDefault="00120D5D" w:rsidP="001253D1">
      <w:pPr>
        <w:rPr>
          <w:rtl/>
        </w:rPr>
      </w:pPr>
      <w:r w:rsidRPr="003C240D">
        <w:rPr>
          <w:rFonts w:cs="Arial" w:hint="cs"/>
          <w:b/>
          <w:bCs/>
          <w:rtl/>
        </w:rPr>
        <w:t xml:space="preserve">כתובות </w:t>
      </w:r>
      <w:r>
        <w:rPr>
          <w:rFonts w:cs="Arial" w:hint="cs"/>
          <w:b/>
          <w:bCs/>
          <w:sz w:val="16"/>
          <w:szCs w:val="16"/>
          <w:rtl/>
        </w:rPr>
        <w:t xml:space="preserve">(פ' האשה שנפלו) </w:t>
      </w:r>
      <w:r w:rsidRPr="003C240D">
        <w:rPr>
          <w:rFonts w:cs="Arial" w:hint="cs"/>
          <w:b/>
          <w:bCs/>
          <w:rtl/>
        </w:rPr>
        <w:t>עט ע"</w:t>
      </w:r>
      <w:r>
        <w:rPr>
          <w:rFonts w:cs="Arial" w:hint="cs"/>
          <w:b/>
          <w:bCs/>
          <w:rtl/>
        </w:rPr>
        <w:t>ב</w:t>
      </w:r>
      <w:r w:rsidRPr="003C240D">
        <w:rPr>
          <w:rFonts w:cs="Arial" w:hint="cs"/>
          <w:b/>
          <w:bCs/>
          <w:rtl/>
        </w:rPr>
        <w:t xml:space="preserve">: </w:t>
      </w:r>
      <w:r w:rsidRPr="003C240D">
        <w:rPr>
          <w:rFonts w:cs="Arial"/>
          <w:u w:val="double"/>
          <w:rtl/>
        </w:rPr>
        <w:t>מתני</w:t>
      </w:r>
      <w:r w:rsidRPr="003C240D">
        <w:rPr>
          <w:rFonts w:cs="Arial" w:hint="cs"/>
          <w:u w:val="double"/>
          <w:rtl/>
        </w:rPr>
        <w:t>'</w:t>
      </w:r>
      <w:r>
        <w:rPr>
          <w:rFonts w:cs="Arial" w:hint="cs"/>
          <w:rtl/>
        </w:rPr>
        <w:t>:</w:t>
      </w:r>
      <w:r w:rsidRPr="00120D5D">
        <w:rPr>
          <w:rFonts w:cs="Arial"/>
          <w:rtl/>
        </w:rPr>
        <w:t xml:space="preserve"> נפלו לה עבדים ושפחות זקנים - ימכרו, וילקח מהן קרקע והוא אוכל פירות</w:t>
      </w:r>
      <w:r w:rsidR="00413E86">
        <w:rPr>
          <w:rFonts w:cs="Arial" w:hint="cs"/>
          <w:rtl/>
        </w:rPr>
        <w:t>.</w:t>
      </w:r>
      <w:r w:rsidRPr="00120D5D">
        <w:rPr>
          <w:rFonts w:cs="Arial"/>
          <w:rtl/>
        </w:rPr>
        <w:t xml:space="preserve"> </w:t>
      </w:r>
      <w:r w:rsidRPr="00413E86">
        <w:rPr>
          <w:rFonts w:cs="Arial"/>
          <w:u w:val="single"/>
          <w:rtl/>
        </w:rPr>
        <w:t>רשב"ג אומר</w:t>
      </w:r>
      <w:r w:rsidRPr="00120D5D">
        <w:rPr>
          <w:rFonts w:cs="Arial"/>
          <w:rtl/>
        </w:rPr>
        <w:t>: לא תמכור</w:t>
      </w:r>
      <w:r w:rsidR="009E35EA">
        <w:rPr>
          <w:rStyle w:val="a7"/>
          <w:rFonts w:cs="Arial"/>
          <w:rtl/>
        </w:rPr>
        <w:footnoteReference w:id="985"/>
      </w:r>
      <w:r w:rsidRPr="00120D5D">
        <w:rPr>
          <w:rFonts w:cs="Arial"/>
          <w:rtl/>
        </w:rPr>
        <w:t>, מפני שהן שבח בית אביה. נפלו לה זיתים וגפנים זקנים - ימכרו, וילקח בהן קרקע והוא אוכל פירות</w:t>
      </w:r>
      <w:r w:rsidR="00413E86">
        <w:rPr>
          <w:rFonts w:cs="Arial" w:hint="cs"/>
          <w:rtl/>
        </w:rPr>
        <w:t>.</w:t>
      </w:r>
      <w:r w:rsidRPr="00120D5D">
        <w:rPr>
          <w:rFonts w:cs="Arial"/>
          <w:rtl/>
        </w:rPr>
        <w:t xml:space="preserve"> </w:t>
      </w:r>
      <w:r w:rsidR="00413E86">
        <w:rPr>
          <w:rStyle w:val="a7"/>
          <w:rFonts w:cs="Arial"/>
          <w:rtl/>
        </w:rPr>
        <w:footnoteReference w:id="986"/>
      </w:r>
      <w:r w:rsidR="00413E86">
        <w:rPr>
          <w:rFonts w:cs="Arial" w:hint="cs"/>
          <w:u w:val="single"/>
          <w:rtl/>
        </w:rPr>
        <w:t>[</w:t>
      </w:r>
      <w:r w:rsidRPr="00413E86">
        <w:rPr>
          <w:rFonts w:cs="Arial"/>
          <w:u w:val="single"/>
          <w:rtl/>
        </w:rPr>
        <w:t>ר' יהודה אומר</w:t>
      </w:r>
      <w:r w:rsidR="00413E86">
        <w:rPr>
          <w:rFonts w:cs="Arial" w:hint="cs"/>
          <w:u w:val="single"/>
          <w:rtl/>
        </w:rPr>
        <w:t>]</w:t>
      </w:r>
      <w:r w:rsidRPr="00120D5D">
        <w:rPr>
          <w:rFonts w:cs="Arial"/>
          <w:rtl/>
        </w:rPr>
        <w:t>: לא תמכור, מפני שהן שבח בית אביה</w:t>
      </w:r>
      <w:r>
        <w:rPr>
          <w:rFonts w:cs="Arial" w:hint="cs"/>
          <w:rtl/>
        </w:rPr>
        <w:t>.</w:t>
      </w:r>
      <w:r w:rsidRPr="003C240D">
        <w:rPr>
          <w:rFonts w:cs="Arial"/>
          <w:rtl/>
        </w:rPr>
        <w:t xml:space="preserve"> </w:t>
      </w:r>
      <w:r>
        <w:rPr>
          <w:rFonts w:cs="Arial" w:hint="cs"/>
          <w:rtl/>
        </w:rPr>
        <w:t xml:space="preserve">   </w:t>
      </w:r>
      <w:r w:rsidR="009E35EA">
        <w:rPr>
          <w:rFonts w:cs="Arial" w:hint="cs"/>
          <w:rtl/>
        </w:rPr>
        <w:t xml:space="preserve"> </w:t>
      </w:r>
      <w:r>
        <w:rPr>
          <w:rFonts w:cs="Arial" w:hint="cs"/>
          <w:rtl/>
        </w:rPr>
        <w:t xml:space="preserve">  </w:t>
      </w:r>
      <w:r w:rsidRPr="003C240D">
        <w:rPr>
          <w:rFonts w:cs="Arial"/>
          <w:u w:val="double"/>
          <w:rtl/>
        </w:rPr>
        <w:t>גמ'</w:t>
      </w:r>
      <w:r>
        <w:rPr>
          <w:rFonts w:cs="Arial" w:hint="cs"/>
          <w:rtl/>
        </w:rPr>
        <w:t>:</w:t>
      </w:r>
      <w:r w:rsidRPr="003C240D">
        <w:rPr>
          <w:rFonts w:cs="Arial"/>
          <w:rtl/>
        </w:rPr>
        <w:t xml:space="preserve"> </w:t>
      </w:r>
      <w:r w:rsidR="00413E86" w:rsidRPr="00413E86">
        <w:rPr>
          <w:rFonts w:cs="Arial"/>
          <w:u w:val="single"/>
          <w:rtl/>
        </w:rPr>
        <w:t>אמר רב כהנא אמר רב</w:t>
      </w:r>
      <w:r w:rsidR="00413E86" w:rsidRPr="00413E86">
        <w:rPr>
          <w:rFonts w:cs="Arial"/>
          <w:rtl/>
        </w:rPr>
        <w:t>: מחלוקת - בשדה שאינה שלה</w:t>
      </w:r>
      <w:r w:rsidR="009E35EA">
        <w:rPr>
          <w:rStyle w:val="a7"/>
          <w:rFonts w:cs="Arial"/>
          <w:rtl/>
        </w:rPr>
        <w:footnoteReference w:id="987"/>
      </w:r>
      <w:r w:rsidR="00413E86" w:rsidRPr="00413E86">
        <w:rPr>
          <w:rFonts w:cs="Arial"/>
          <w:rtl/>
        </w:rPr>
        <w:t>, אבל בשדה שלה - דברי הכל לא תמכור, מפני שבח בית אביה.</w:t>
      </w:r>
      <w:r w:rsidR="001253D1">
        <w:rPr>
          <w:rFonts w:cs="Arial" w:hint="cs"/>
          <w:sz w:val="16"/>
          <w:szCs w:val="16"/>
          <w:rtl/>
        </w:rPr>
        <w:t xml:space="preserve"> (</w:t>
      </w:r>
      <w:r w:rsidR="006B428E" w:rsidRPr="001253D1">
        <w:rPr>
          <w:rFonts w:cs="Arial"/>
          <w:sz w:val="16"/>
          <w:szCs w:val="16"/>
          <w:rtl/>
        </w:rPr>
        <w:t>וכתבו הרי"ף (לח:) והרא"ש (סי' ח) מתניתין כשאין עושין כדי טיפולן</w:t>
      </w:r>
      <w:r w:rsidR="00514F5E">
        <w:rPr>
          <w:rStyle w:val="a7"/>
          <w:rFonts w:cs="Arial"/>
          <w:sz w:val="16"/>
          <w:szCs w:val="16"/>
          <w:rtl/>
        </w:rPr>
        <w:footnoteReference w:id="988"/>
      </w:r>
      <w:r w:rsidR="00B41A23">
        <w:rPr>
          <w:rFonts w:cs="Arial" w:hint="cs"/>
          <w:sz w:val="16"/>
          <w:szCs w:val="16"/>
          <w:rtl/>
        </w:rPr>
        <w:t>,</w:t>
      </w:r>
      <w:r w:rsidR="006B428E" w:rsidRPr="001253D1">
        <w:rPr>
          <w:rFonts w:cs="Arial"/>
          <w:sz w:val="16"/>
          <w:szCs w:val="16"/>
          <w:rtl/>
        </w:rPr>
        <w:t xml:space="preserve"> אבל אם עושים כדי טיפולן לא תמכור מפני שעדיין שבח בית אביה קיים</w:t>
      </w:r>
      <w:r w:rsidR="001253D1" w:rsidRPr="001253D1">
        <w:rPr>
          <w:rFonts w:hint="cs"/>
          <w:sz w:val="16"/>
          <w:szCs w:val="16"/>
          <w:rtl/>
        </w:rPr>
        <w:t>, ב"י)</w:t>
      </w:r>
    </w:p>
    <w:p w14:paraId="0206BF72" w14:textId="125A3F03" w:rsidR="00413E86" w:rsidRPr="00413E86" w:rsidRDefault="00413E86" w:rsidP="00120D5D">
      <w:pPr>
        <w:rPr>
          <w:u w:val="single"/>
          <w:rtl/>
        </w:rPr>
      </w:pPr>
      <w:r w:rsidRPr="00413E86">
        <w:rPr>
          <w:rFonts w:cs="Arial"/>
          <w:u w:val="single"/>
          <w:rtl/>
        </w:rPr>
        <w:t>נפלו לה עבדים ושפחות וזקנים</w:t>
      </w:r>
      <w:r w:rsidR="008B3280">
        <w:rPr>
          <w:rFonts w:cs="Arial" w:hint="cs"/>
          <w:u w:val="single"/>
          <w:rtl/>
        </w:rPr>
        <w:t xml:space="preserve"> או זיתים וגפנים זקנים</w:t>
      </w:r>
      <w:r w:rsidRPr="00413E86">
        <w:rPr>
          <w:rFonts w:hint="cs"/>
          <w:u w:val="single"/>
          <w:rtl/>
        </w:rPr>
        <w:t>:</w:t>
      </w:r>
    </w:p>
    <w:p w14:paraId="386A73AA" w14:textId="7950903C" w:rsidR="00CB4FF9" w:rsidRPr="009158E5" w:rsidRDefault="00CB4FF9" w:rsidP="009000E3">
      <w:pPr>
        <w:pStyle w:val="ab"/>
        <w:numPr>
          <w:ilvl w:val="0"/>
          <w:numId w:val="47"/>
        </w:numPr>
      </w:pPr>
      <w:r>
        <w:rPr>
          <w:rFonts w:cs="Arial" w:hint="cs"/>
          <w:rtl/>
        </w:rPr>
        <w:t xml:space="preserve">טור- </w:t>
      </w:r>
      <w:r w:rsidRPr="008B3280">
        <w:rPr>
          <w:rFonts w:cs="Arial"/>
          <w:rtl/>
        </w:rPr>
        <w:t>נפלו לה עבדים ושפחות זקנים שאין ראוין עוד למלאכה</w:t>
      </w:r>
      <w:r>
        <w:rPr>
          <w:rStyle w:val="a7"/>
          <w:rFonts w:cs="Arial"/>
          <w:rtl/>
        </w:rPr>
        <w:footnoteReference w:id="989"/>
      </w:r>
      <w:r w:rsidRPr="008B3280">
        <w:rPr>
          <w:rFonts w:cs="Arial"/>
          <w:rtl/>
        </w:rPr>
        <w:t xml:space="preserve"> </w:t>
      </w:r>
      <w:r>
        <w:rPr>
          <w:rFonts w:cs="Arial" w:hint="cs"/>
          <w:rtl/>
        </w:rPr>
        <w:t xml:space="preserve">- </w:t>
      </w:r>
      <w:r w:rsidRPr="008B3280">
        <w:rPr>
          <w:rFonts w:cs="Arial"/>
          <w:rtl/>
        </w:rPr>
        <w:t>ישתמש בהם כמו שהם ואינה יכולה לכופו למוכרן ולקנות בדמיהן קרקע כדי שיתקיים לה הקרן</w:t>
      </w:r>
      <w:r w:rsidR="00433CDA">
        <w:rPr>
          <w:rFonts w:cs="Arial" w:hint="cs"/>
          <w:rtl/>
        </w:rPr>
        <w:t>.</w:t>
      </w:r>
      <w:r w:rsidRPr="008B3280">
        <w:rPr>
          <w:rFonts w:cs="Arial"/>
          <w:rtl/>
        </w:rPr>
        <w:t xml:space="preserve"> ואם ירצה הוא למוכרן ולקנות בהן קרקע </w:t>
      </w:r>
      <w:r w:rsidR="00433CDA">
        <w:rPr>
          <w:rFonts w:cs="Arial" w:hint="cs"/>
          <w:rtl/>
        </w:rPr>
        <w:t xml:space="preserve">- </w:t>
      </w:r>
      <w:r w:rsidRPr="008B3280">
        <w:rPr>
          <w:rFonts w:cs="Arial"/>
          <w:rtl/>
        </w:rPr>
        <w:t>אינה יכולה לעכב עליו</w:t>
      </w:r>
      <w:r>
        <w:rPr>
          <w:rStyle w:val="a7"/>
          <w:rFonts w:cs="Arial"/>
          <w:rtl/>
        </w:rPr>
        <w:footnoteReference w:id="990"/>
      </w:r>
      <w:r>
        <w:rPr>
          <w:rFonts w:cs="Arial" w:hint="cs"/>
          <w:rtl/>
        </w:rPr>
        <w:t>.</w:t>
      </w:r>
      <w:r w:rsidRPr="008B3280">
        <w:rPr>
          <w:rFonts w:cs="Arial"/>
          <w:rtl/>
        </w:rPr>
        <w:t xml:space="preserve"> והרמ"ה כתב כמו שהוא יכול למוכרם בעל כרחה</w:t>
      </w:r>
      <w:r w:rsidR="00433CDA">
        <w:rPr>
          <w:rFonts w:cs="Arial" w:hint="cs"/>
          <w:rtl/>
        </w:rPr>
        <w:t>,</w:t>
      </w:r>
      <w:r w:rsidRPr="008B3280">
        <w:rPr>
          <w:rFonts w:cs="Arial"/>
          <w:rtl/>
        </w:rPr>
        <w:t xml:space="preserve"> כך היא יכולה למוכרם בע</w:t>
      </w:r>
      <w:r w:rsidR="00433CDA">
        <w:rPr>
          <w:rFonts w:cs="Arial" w:hint="cs"/>
          <w:rtl/>
        </w:rPr>
        <w:t>ל כרחו</w:t>
      </w:r>
      <w:r w:rsidRPr="008B3280">
        <w:rPr>
          <w:rFonts w:cs="Arial"/>
          <w:rtl/>
        </w:rPr>
        <w:t xml:space="preserve"> כדי שיתקיים לה הקרן</w:t>
      </w:r>
      <w:r>
        <w:rPr>
          <w:rFonts w:cs="Arial" w:hint="cs"/>
          <w:rtl/>
        </w:rPr>
        <w:t>.</w:t>
      </w:r>
      <w:r w:rsidRPr="008B3280">
        <w:rPr>
          <w:rFonts w:cs="Arial"/>
          <w:rtl/>
        </w:rPr>
        <w:t xml:space="preserve"> וא"א הרא"ש ז"ל כתב כסברא ראשונה</w:t>
      </w:r>
      <w:r w:rsidRPr="009158E5">
        <w:rPr>
          <w:rStyle w:val="a7"/>
          <w:rFonts w:cs="Arial"/>
          <w:rtl/>
        </w:rPr>
        <w:footnoteReference w:id="991"/>
      </w:r>
      <w:r>
        <w:rPr>
          <w:rFonts w:cs="Arial" w:hint="cs"/>
          <w:rtl/>
        </w:rPr>
        <w:t>...</w:t>
      </w:r>
      <w:r w:rsidRPr="008B3280">
        <w:rPr>
          <w:rFonts w:cs="Arial"/>
          <w:rtl/>
        </w:rPr>
        <w:t xml:space="preserve"> וכיוצא בזה פליגי בנפלו לה זיתים זקנים</w:t>
      </w:r>
      <w:r>
        <w:rPr>
          <w:rFonts w:cs="Arial" w:hint="cs"/>
          <w:rtl/>
        </w:rPr>
        <w:t>.</w:t>
      </w:r>
      <w:r w:rsidRPr="008B3280">
        <w:rPr>
          <w:rFonts w:cs="Arial"/>
          <w:rtl/>
        </w:rPr>
        <w:t xml:space="preserve"> ומדברי א"א הרא"ש ז"ל יראה שפוסק בשניהם כחכמים שאינה יכולה לעכב עליו מלמוכרן</w:t>
      </w:r>
      <w:r>
        <w:rPr>
          <w:rFonts w:cs="Arial" w:hint="cs"/>
          <w:rtl/>
        </w:rPr>
        <w:t>.</w:t>
      </w:r>
      <w:r w:rsidRPr="008B3280">
        <w:rPr>
          <w:rFonts w:cs="Arial"/>
          <w:rtl/>
        </w:rPr>
        <w:t xml:space="preserve"> ודוקא כשאינם נטועים בשדה שלה</w:t>
      </w:r>
      <w:r>
        <w:rPr>
          <w:rFonts w:cs="Arial" w:hint="cs"/>
          <w:rtl/>
        </w:rPr>
        <w:t>,</w:t>
      </w:r>
      <w:r w:rsidRPr="008B3280">
        <w:rPr>
          <w:rFonts w:cs="Arial"/>
          <w:rtl/>
        </w:rPr>
        <w:t xml:space="preserve"> אבל נטועים בשדה שלה או עושין כדי טיפולן </w:t>
      </w:r>
      <w:r w:rsidR="00433CDA">
        <w:rPr>
          <w:rFonts w:cs="Arial" w:hint="cs"/>
          <w:rtl/>
        </w:rPr>
        <w:t xml:space="preserve">- </w:t>
      </w:r>
      <w:r w:rsidRPr="008B3280">
        <w:rPr>
          <w:rFonts w:cs="Arial"/>
          <w:rtl/>
        </w:rPr>
        <w:t>יכולה לעכב עליו</w:t>
      </w:r>
      <w:r>
        <w:rPr>
          <w:rFonts w:hint="cs"/>
          <w:rtl/>
        </w:rPr>
        <w:t>.</w:t>
      </w:r>
    </w:p>
    <w:p w14:paraId="656152F9" w14:textId="04CF9EDE" w:rsidR="006B428E" w:rsidRPr="00120D5D" w:rsidRDefault="006B428E" w:rsidP="009000E3">
      <w:pPr>
        <w:pStyle w:val="ab"/>
        <w:numPr>
          <w:ilvl w:val="0"/>
          <w:numId w:val="47"/>
        </w:numPr>
      </w:pPr>
      <w:r w:rsidRPr="007A228B">
        <w:rPr>
          <w:rFonts w:cs="Arial"/>
          <w:rtl/>
        </w:rPr>
        <w:t>רמב"ם</w:t>
      </w:r>
      <w:r>
        <w:rPr>
          <w:rFonts w:cs="Arial" w:hint="cs"/>
          <w:sz w:val="16"/>
          <w:szCs w:val="16"/>
          <w:rtl/>
        </w:rPr>
        <w:t xml:space="preserve"> (פכ"ב מאישות הכ"ג)</w:t>
      </w:r>
      <w:r>
        <w:rPr>
          <w:rFonts w:cs="Arial" w:hint="cs"/>
          <w:rtl/>
        </w:rPr>
        <w:t>-</w:t>
      </w:r>
      <w:r w:rsidR="009158E5">
        <w:rPr>
          <w:rFonts w:cs="Arial" w:hint="cs"/>
          <w:rtl/>
        </w:rPr>
        <w:t xml:space="preserve"> </w:t>
      </w:r>
      <w:r w:rsidRPr="00233107">
        <w:rPr>
          <w:rFonts w:cs="Arial"/>
          <w:rtl/>
        </w:rPr>
        <w:t>נפלו לה עבדים אע</w:t>
      </w:r>
      <w:r w:rsidR="00433CDA">
        <w:rPr>
          <w:rFonts w:cs="Arial" w:hint="cs"/>
          <w:rtl/>
        </w:rPr>
        <w:t>"</w:t>
      </w:r>
      <w:r w:rsidRPr="00233107">
        <w:rPr>
          <w:rFonts w:cs="Arial"/>
          <w:rtl/>
        </w:rPr>
        <w:t xml:space="preserve">פ שהן זקנים </w:t>
      </w:r>
      <w:r>
        <w:rPr>
          <w:rFonts w:cs="Arial" w:hint="cs"/>
          <w:rtl/>
        </w:rPr>
        <w:t xml:space="preserve">- </w:t>
      </w:r>
      <w:r w:rsidRPr="00233107">
        <w:rPr>
          <w:rFonts w:cs="Arial"/>
          <w:rtl/>
        </w:rPr>
        <w:t>הרי אלו לא ימכרו</w:t>
      </w:r>
      <w:r>
        <w:rPr>
          <w:rFonts w:cs="Arial" w:hint="cs"/>
          <w:rtl/>
        </w:rPr>
        <w:t>,</w:t>
      </w:r>
      <w:r w:rsidRPr="00233107">
        <w:rPr>
          <w:rFonts w:cs="Arial"/>
          <w:rtl/>
        </w:rPr>
        <w:t xml:space="preserve"> מפני שבח בית אביה</w:t>
      </w:r>
      <w:r w:rsidR="008B3280">
        <w:rPr>
          <w:rFonts w:cs="Arial" w:hint="cs"/>
          <w:rtl/>
        </w:rPr>
        <w:t>.</w:t>
      </w:r>
      <w:r w:rsidR="008B3280" w:rsidRPr="008B3280">
        <w:rPr>
          <w:rFonts w:cs="Arial"/>
          <w:rtl/>
        </w:rPr>
        <w:t xml:space="preserve"> </w:t>
      </w:r>
      <w:r w:rsidR="00D31200" w:rsidRPr="00233107">
        <w:rPr>
          <w:rFonts w:cs="Arial"/>
          <w:rtl/>
        </w:rPr>
        <w:t xml:space="preserve">נפלו לה זיתים וגפנים ולא היה לה בגוף הקרקע שהאילנות בה כלום, אם עושין כדי טיפולן </w:t>
      </w:r>
      <w:r w:rsidR="00D31200">
        <w:rPr>
          <w:rFonts w:cs="Arial" w:hint="cs"/>
          <w:rtl/>
        </w:rPr>
        <w:t xml:space="preserve">- </w:t>
      </w:r>
      <w:r w:rsidR="00D31200" w:rsidRPr="00233107">
        <w:rPr>
          <w:rFonts w:cs="Arial"/>
          <w:rtl/>
        </w:rPr>
        <w:t>לא ימכרו</w:t>
      </w:r>
      <w:r w:rsidR="00D31200">
        <w:rPr>
          <w:rFonts w:cs="Arial" w:hint="cs"/>
          <w:rtl/>
        </w:rPr>
        <w:t>,</w:t>
      </w:r>
      <w:r w:rsidR="00D31200" w:rsidRPr="00233107">
        <w:rPr>
          <w:rFonts w:cs="Arial"/>
          <w:rtl/>
        </w:rPr>
        <w:t xml:space="preserve"> מפני שבח בית אביה</w:t>
      </w:r>
      <w:r w:rsidR="00D31200">
        <w:rPr>
          <w:rFonts w:cs="Arial" w:hint="cs"/>
          <w:rtl/>
        </w:rPr>
        <w:t>.</w:t>
      </w:r>
      <w:r w:rsidR="00D31200" w:rsidRPr="00233107">
        <w:rPr>
          <w:rFonts w:cs="Arial"/>
          <w:rtl/>
        </w:rPr>
        <w:t xml:space="preserve"> ואם לאו </w:t>
      </w:r>
      <w:r w:rsidR="00D31200">
        <w:rPr>
          <w:rFonts w:cs="Arial" w:hint="cs"/>
          <w:rtl/>
        </w:rPr>
        <w:t xml:space="preserve">- </w:t>
      </w:r>
      <w:r w:rsidR="00D31200" w:rsidRPr="00233107">
        <w:rPr>
          <w:rFonts w:cs="Arial"/>
          <w:rtl/>
        </w:rPr>
        <w:t>הרי אלו ימכרו לעצים וילקח בהן קרקע והוא אוכל פירות</w:t>
      </w:r>
      <w:r w:rsidR="00D31200">
        <w:rPr>
          <w:rStyle w:val="a7"/>
          <w:rFonts w:cs="Arial"/>
          <w:rtl/>
        </w:rPr>
        <w:footnoteReference w:id="992"/>
      </w:r>
      <w:r>
        <w:rPr>
          <w:rFonts w:cs="Arial" w:hint="cs"/>
          <w:rtl/>
        </w:rPr>
        <w:t>.</w:t>
      </w:r>
      <w:r w:rsidR="00CB4FF9" w:rsidRPr="000F31AE">
        <w:rPr>
          <w:rFonts w:hint="cs"/>
          <w:color w:val="E36C0A" w:themeColor="accent6" w:themeShade="BF"/>
          <w:rtl/>
        </w:rPr>
        <w:t xml:space="preserve"> </w:t>
      </w:r>
      <w:r w:rsidR="00CB4FF9" w:rsidRPr="00137671">
        <w:rPr>
          <w:rFonts w:hint="cs"/>
          <w:color w:val="E36C0A" w:themeColor="accent6" w:themeShade="BF"/>
          <w:rtl/>
        </w:rPr>
        <w:t>(וכ"פ בשו"ע)</w:t>
      </w:r>
    </w:p>
    <w:p w14:paraId="179CBEE4" w14:textId="77777777" w:rsidR="004A7B98" w:rsidRDefault="004A7B98" w:rsidP="004A7B98">
      <w:pPr>
        <w:rPr>
          <w:rFonts w:cs="Arial"/>
          <w:rtl/>
        </w:rPr>
      </w:pPr>
      <w:r w:rsidRPr="003024E5">
        <w:rPr>
          <w:rFonts w:asciiTheme="minorBidi" w:hAnsiTheme="minorBidi"/>
          <w:b/>
          <w:bCs/>
          <w:color w:val="000000"/>
          <w:sz w:val="28"/>
          <w:szCs w:val="28"/>
          <w:u w:val="single"/>
          <w:rtl/>
        </w:rPr>
        <w:lastRenderedPageBreak/>
        <w:t>שו"ע:</w:t>
      </w:r>
    </w:p>
    <w:p w14:paraId="3510D896" w14:textId="25116224" w:rsidR="007A3469" w:rsidRDefault="007A3469" w:rsidP="007A3469">
      <w:pPr>
        <w:rPr>
          <w:rtl/>
        </w:rPr>
      </w:pPr>
      <w:r>
        <w:rPr>
          <w:rFonts w:cs="Arial"/>
          <w:rtl/>
        </w:rPr>
        <w:t>נפלו לה עבדים, אף על פי שהם זקנים, לא ימכור, מפני שהם שבח בית אביה</w:t>
      </w:r>
      <w:r w:rsidR="00B53778">
        <w:rPr>
          <w:rStyle w:val="a7"/>
          <w:rFonts w:cs="Arial"/>
          <w:rtl/>
        </w:rPr>
        <w:footnoteReference w:id="993"/>
      </w:r>
      <w:r>
        <w:rPr>
          <w:rFonts w:cs="Arial"/>
          <w:rtl/>
        </w:rPr>
        <w:t>. נפלו לה זיתים וגפנים, ולא היו לה בגוף הקרקע שהאילנות בה, כלום, אם עושין כדי טיפולן לא ימכרו, מפני שבח בית אביה</w:t>
      </w:r>
      <w:r w:rsidR="00CB4FF9">
        <w:rPr>
          <w:rFonts w:cs="Arial" w:hint="cs"/>
          <w:rtl/>
        </w:rPr>
        <w:t>.</w:t>
      </w:r>
      <w:r>
        <w:rPr>
          <w:rFonts w:cs="Arial"/>
          <w:rtl/>
        </w:rPr>
        <w:t xml:space="preserve"> ואם לאו, הרי אלו ימכרו לעצים, וילקח בהם קרקע והוא אוכל פירות. </w:t>
      </w:r>
    </w:p>
    <w:p w14:paraId="61697D8D" w14:textId="77777777" w:rsidR="00F46615" w:rsidRDefault="00F46615" w:rsidP="007A3469">
      <w:pPr>
        <w:rPr>
          <w:rtl/>
        </w:rPr>
      </w:pPr>
    </w:p>
    <w:p w14:paraId="6251C164" w14:textId="17797392" w:rsidR="007A3469" w:rsidRDefault="007A3469" w:rsidP="000F64D0">
      <w:pPr>
        <w:pStyle w:val="2"/>
        <w:rPr>
          <w:rtl/>
        </w:rPr>
      </w:pPr>
      <w:r>
        <w:rPr>
          <w:rtl/>
        </w:rPr>
        <w:t>סעיף טו</w:t>
      </w:r>
      <w:r w:rsidR="00B53778">
        <w:rPr>
          <w:rFonts w:hint="cs"/>
          <w:rtl/>
        </w:rPr>
        <w:t xml:space="preserve">: </w:t>
      </w:r>
      <w:r w:rsidR="00B53778" w:rsidRPr="007A228B">
        <w:rPr>
          <w:rtl/>
        </w:rPr>
        <w:t>נפלו לה פירות תלושין</w:t>
      </w:r>
      <w:r w:rsidR="00ED6597">
        <w:rPr>
          <w:rFonts w:hint="cs"/>
          <w:rtl/>
        </w:rPr>
        <w:t>/מחוברים</w:t>
      </w:r>
      <w:r w:rsidR="00B53778">
        <w:rPr>
          <w:rFonts w:hint="cs"/>
          <w:rtl/>
        </w:rPr>
        <w:t>.</w:t>
      </w:r>
    </w:p>
    <w:p w14:paraId="38070D0C" w14:textId="16CAA33E" w:rsidR="00B53778" w:rsidRDefault="00B53778" w:rsidP="00B53778">
      <w:pPr>
        <w:rPr>
          <w:sz w:val="16"/>
          <w:szCs w:val="16"/>
          <w:rtl/>
        </w:rPr>
      </w:pPr>
      <w:r w:rsidRPr="003C240D">
        <w:rPr>
          <w:rFonts w:cs="Arial" w:hint="cs"/>
          <w:b/>
          <w:bCs/>
          <w:rtl/>
        </w:rPr>
        <w:t xml:space="preserve">כתובות </w:t>
      </w:r>
      <w:r>
        <w:rPr>
          <w:rFonts w:cs="Arial" w:hint="cs"/>
          <w:b/>
          <w:bCs/>
          <w:sz w:val="16"/>
          <w:szCs w:val="16"/>
          <w:rtl/>
        </w:rPr>
        <w:t xml:space="preserve">(פ' האשה שנפלו) </w:t>
      </w:r>
      <w:r w:rsidRPr="003C240D">
        <w:rPr>
          <w:rFonts w:cs="Arial" w:hint="cs"/>
          <w:b/>
          <w:bCs/>
          <w:rtl/>
        </w:rPr>
        <w:t>עט ע"</w:t>
      </w:r>
      <w:r>
        <w:rPr>
          <w:rFonts w:cs="Arial" w:hint="cs"/>
          <w:b/>
          <w:bCs/>
          <w:rtl/>
        </w:rPr>
        <w:t>א</w:t>
      </w:r>
      <w:r w:rsidRPr="003C240D">
        <w:rPr>
          <w:rFonts w:cs="Arial" w:hint="cs"/>
          <w:b/>
          <w:bCs/>
          <w:rtl/>
        </w:rPr>
        <w:t xml:space="preserve">: </w:t>
      </w:r>
      <w:r w:rsidRPr="003C240D">
        <w:rPr>
          <w:rFonts w:cs="Arial"/>
          <w:u w:val="double"/>
          <w:rtl/>
        </w:rPr>
        <w:t>מתני</w:t>
      </w:r>
      <w:r w:rsidRPr="003C240D">
        <w:rPr>
          <w:rFonts w:cs="Arial" w:hint="cs"/>
          <w:u w:val="double"/>
          <w:rtl/>
        </w:rPr>
        <w:t>'</w:t>
      </w:r>
      <w:r>
        <w:rPr>
          <w:rFonts w:cs="Arial" w:hint="cs"/>
          <w:rtl/>
        </w:rPr>
        <w:t>:</w:t>
      </w:r>
      <w:r w:rsidRPr="00B53778">
        <w:rPr>
          <w:rFonts w:cs="Arial"/>
          <w:rtl/>
        </w:rPr>
        <w:t xml:space="preserve"> נפלו לה</w:t>
      </w:r>
      <w:r w:rsidR="0097011F">
        <w:rPr>
          <w:rFonts w:cs="Arial" w:hint="cs"/>
          <w:rtl/>
        </w:rPr>
        <w:t>..</w:t>
      </w:r>
      <w:r w:rsidR="00D04389">
        <w:rPr>
          <w:rFonts w:cs="Arial" w:hint="cs"/>
          <w:rtl/>
        </w:rPr>
        <w:t>.</w:t>
      </w:r>
      <w:r w:rsidRPr="00B53778">
        <w:rPr>
          <w:rFonts w:cs="Arial"/>
          <w:rtl/>
        </w:rPr>
        <w:t xml:space="preserve"> פירות התלושין מן הקרקע - ילקח בהן קרקע והוא אוכל פירות</w:t>
      </w:r>
      <w:r w:rsidR="00D04389">
        <w:rPr>
          <w:rFonts w:cs="Arial" w:hint="cs"/>
          <w:rtl/>
        </w:rPr>
        <w:t>.</w:t>
      </w:r>
      <w:r w:rsidRPr="00B53778">
        <w:rPr>
          <w:rFonts w:cs="Arial"/>
          <w:rtl/>
        </w:rPr>
        <w:t xml:space="preserve"> פירות המחוברים בקרקע</w:t>
      </w:r>
      <w:r w:rsidR="00D04389">
        <w:rPr>
          <w:rFonts w:cs="Arial" w:hint="cs"/>
          <w:rtl/>
        </w:rPr>
        <w:t>,</w:t>
      </w:r>
      <w:r w:rsidRPr="00B53778">
        <w:rPr>
          <w:rFonts w:cs="Arial"/>
          <w:rtl/>
        </w:rPr>
        <w:t xml:space="preserve"> </w:t>
      </w:r>
      <w:r w:rsidRPr="00D04389">
        <w:rPr>
          <w:rFonts w:cs="Arial"/>
          <w:u w:val="single"/>
          <w:rtl/>
        </w:rPr>
        <w:t>א"ר מאיר</w:t>
      </w:r>
      <w:r w:rsidRPr="00B53778">
        <w:rPr>
          <w:rFonts w:cs="Arial"/>
          <w:rtl/>
        </w:rPr>
        <w:t>: שמין אותה כמה היא יפה בפירות וכמה היא יפה בלא פירות</w:t>
      </w:r>
      <w:r w:rsidR="0097011F">
        <w:rPr>
          <w:rStyle w:val="a7"/>
          <w:rFonts w:cs="Arial"/>
          <w:rtl/>
        </w:rPr>
        <w:footnoteReference w:id="994"/>
      </w:r>
      <w:r w:rsidRPr="00B53778">
        <w:rPr>
          <w:rFonts w:cs="Arial"/>
          <w:rtl/>
        </w:rPr>
        <w:t>, ומותר ילקח בהן קרקע והוא אוכל פירות</w:t>
      </w:r>
      <w:r w:rsidR="00D04389">
        <w:rPr>
          <w:rFonts w:cs="Arial" w:hint="cs"/>
          <w:rtl/>
        </w:rPr>
        <w:t>.</w:t>
      </w:r>
      <w:r w:rsidRPr="00B53778">
        <w:rPr>
          <w:rFonts w:cs="Arial"/>
          <w:rtl/>
        </w:rPr>
        <w:t xml:space="preserve"> </w:t>
      </w:r>
      <w:r w:rsidRPr="00D04389">
        <w:rPr>
          <w:rFonts w:cs="Arial"/>
          <w:u w:val="single"/>
          <w:rtl/>
        </w:rPr>
        <w:t>וחכ"א</w:t>
      </w:r>
      <w:r w:rsidR="0097011F">
        <w:rPr>
          <w:rStyle w:val="a7"/>
          <w:rFonts w:cs="Arial"/>
          <w:rtl/>
        </w:rPr>
        <w:footnoteReference w:id="995"/>
      </w:r>
      <w:r w:rsidRPr="00B53778">
        <w:rPr>
          <w:rFonts w:cs="Arial"/>
          <w:rtl/>
        </w:rPr>
        <w:t>: המחוברים לקרקע - שלו, והתלושין מן הקרקע - שלה, וילקח בהן קרקע והוא אוכל פירות</w:t>
      </w:r>
      <w:r w:rsidR="00D04389">
        <w:rPr>
          <w:rFonts w:cs="Arial" w:hint="cs"/>
          <w:rtl/>
        </w:rPr>
        <w:t>.</w:t>
      </w:r>
      <w:r w:rsidRPr="00B53778">
        <w:rPr>
          <w:rFonts w:cs="Arial"/>
          <w:rtl/>
        </w:rPr>
        <w:t xml:space="preserve"> </w:t>
      </w:r>
      <w:r w:rsidRPr="00D04389">
        <w:rPr>
          <w:rFonts w:cs="Arial"/>
          <w:u w:val="single"/>
          <w:rtl/>
        </w:rPr>
        <w:t>ר"ש אומר</w:t>
      </w:r>
      <w:r w:rsidRPr="00B53778">
        <w:rPr>
          <w:rFonts w:cs="Arial"/>
          <w:rtl/>
        </w:rPr>
        <w:t>: מקום שיפה כחו בכניסתה - הורע כחו ביציאתה, מקום שהורע כחו בכניסתה - יפה כחו ביציאתה, כיצד? פירות המחוברים לקרקע - בכניסתה שלו, וביציאתה שלה, והתלושין מן הקרקע - בכניסתה שלה, וביציאתה שלו.</w:t>
      </w:r>
      <w:r w:rsidR="00D04389">
        <w:rPr>
          <w:rFonts w:hint="cs"/>
          <w:rtl/>
        </w:rPr>
        <w:t xml:space="preserve"> </w:t>
      </w:r>
      <w:r w:rsidR="00D04389">
        <w:rPr>
          <w:rFonts w:hint="cs"/>
          <w:sz w:val="16"/>
          <w:szCs w:val="16"/>
          <w:rtl/>
        </w:rPr>
        <w:t>(והלכה כחמים)</w:t>
      </w:r>
    </w:p>
    <w:p w14:paraId="41FB3590" w14:textId="53FD08F1" w:rsidR="00D04389" w:rsidRPr="00D04389" w:rsidRDefault="00D04389" w:rsidP="00ED6597">
      <w:pPr>
        <w:rPr>
          <w:sz w:val="16"/>
          <w:szCs w:val="16"/>
          <w:u w:val="single"/>
          <w:rtl/>
        </w:rPr>
      </w:pPr>
      <w:r w:rsidRPr="00D04389">
        <w:rPr>
          <w:rFonts w:cs="Arial"/>
          <w:u w:val="single"/>
          <w:rtl/>
        </w:rPr>
        <w:t>נפלו לה פירות תלושין</w:t>
      </w:r>
      <w:r w:rsidR="00ED6597" w:rsidRPr="00ED6597">
        <w:rPr>
          <w:rFonts w:cs="Arial" w:hint="cs"/>
          <w:u w:val="single"/>
          <w:rtl/>
        </w:rPr>
        <w:t>/מחוברים</w:t>
      </w:r>
      <w:r w:rsidRPr="00D04389">
        <w:rPr>
          <w:rFonts w:cs="Arial" w:hint="cs"/>
          <w:u w:val="single"/>
          <w:rtl/>
        </w:rPr>
        <w:t>:</w:t>
      </w:r>
    </w:p>
    <w:p w14:paraId="7F526B90" w14:textId="0B4FB9C2" w:rsidR="00ED6597" w:rsidRDefault="00ED6597" w:rsidP="009000E3">
      <w:pPr>
        <w:pStyle w:val="ab"/>
        <w:numPr>
          <w:ilvl w:val="0"/>
          <w:numId w:val="47"/>
        </w:numPr>
      </w:pPr>
      <w:r>
        <w:rPr>
          <w:rFonts w:cs="Arial" w:hint="cs"/>
          <w:rtl/>
        </w:rPr>
        <w:t>רמב"ם</w:t>
      </w:r>
      <w:r>
        <w:rPr>
          <w:rStyle w:val="a7"/>
          <w:rFonts w:cs="Arial"/>
          <w:rtl/>
        </w:rPr>
        <w:footnoteReference w:id="996"/>
      </w:r>
      <w:r>
        <w:rPr>
          <w:rFonts w:cs="Arial" w:hint="cs"/>
          <w:rtl/>
        </w:rPr>
        <w:t xml:space="preserve"> </w:t>
      </w:r>
      <w:r>
        <w:rPr>
          <w:rFonts w:cs="Arial" w:hint="cs"/>
          <w:sz w:val="16"/>
          <w:szCs w:val="16"/>
          <w:rtl/>
        </w:rPr>
        <w:t>(פכ"ב מאישות הכ"ד)</w:t>
      </w:r>
      <w:r>
        <w:rPr>
          <w:rFonts w:cs="Arial" w:hint="cs"/>
          <w:rtl/>
        </w:rPr>
        <w:t xml:space="preserve"> וטור- </w:t>
      </w:r>
      <w:r w:rsidR="00605FD6" w:rsidRPr="007A228B">
        <w:rPr>
          <w:rFonts w:cs="Arial"/>
          <w:rtl/>
        </w:rPr>
        <w:t>נפלו לה פירות תלושין</w:t>
      </w:r>
      <w:r w:rsidR="00496040">
        <w:rPr>
          <w:rFonts w:cs="Arial" w:hint="cs"/>
          <w:rtl/>
        </w:rPr>
        <w:t xml:space="preserve"> -</w:t>
      </w:r>
      <w:r w:rsidR="00605FD6" w:rsidRPr="007A228B">
        <w:rPr>
          <w:rFonts w:cs="Arial"/>
          <w:rtl/>
        </w:rPr>
        <w:t xml:space="preserve"> דינם ככספים וימכרו וילקח בהן קרקע</w:t>
      </w:r>
      <w:r w:rsidR="00D04389">
        <w:rPr>
          <w:rFonts w:cs="Arial" w:hint="cs"/>
          <w:rtl/>
        </w:rPr>
        <w:t>.</w:t>
      </w:r>
      <w:r w:rsidR="00605FD6" w:rsidRPr="007A228B">
        <w:rPr>
          <w:rFonts w:cs="Arial"/>
          <w:rtl/>
        </w:rPr>
        <w:t xml:space="preserve"> נפלו לה פירות מחוברים </w:t>
      </w:r>
      <w:r w:rsidR="00D04389">
        <w:rPr>
          <w:rFonts w:cs="Arial" w:hint="cs"/>
          <w:rtl/>
        </w:rPr>
        <w:t xml:space="preserve">- </w:t>
      </w:r>
      <w:r w:rsidR="00605FD6" w:rsidRPr="007A228B">
        <w:rPr>
          <w:rFonts w:cs="Arial"/>
          <w:rtl/>
        </w:rPr>
        <w:t>הרי הן שלו</w:t>
      </w:r>
      <w:r>
        <w:rPr>
          <w:rFonts w:cs="Arial" w:hint="cs"/>
          <w:rtl/>
        </w:rPr>
        <w:t xml:space="preserve"> </w:t>
      </w:r>
      <w:r>
        <w:rPr>
          <w:rFonts w:cs="Arial" w:hint="cs"/>
          <w:sz w:val="16"/>
          <w:szCs w:val="16"/>
          <w:rtl/>
        </w:rPr>
        <w:t>(ל' הטור)</w:t>
      </w:r>
      <w:r>
        <w:rPr>
          <w:rFonts w:cs="Arial" w:hint="cs"/>
          <w:rtl/>
        </w:rPr>
        <w:t>.</w:t>
      </w:r>
      <w:r w:rsidR="00605FD6" w:rsidRPr="007A228B">
        <w:rPr>
          <w:rFonts w:cs="Arial"/>
          <w:rtl/>
        </w:rPr>
        <w:t xml:space="preserve"> </w:t>
      </w:r>
      <w:r w:rsidRPr="00137671">
        <w:rPr>
          <w:rFonts w:hint="cs"/>
          <w:color w:val="E36C0A" w:themeColor="accent6" w:themeShade="BF"/>
          <w:rtl/>
        </w:rPr>
        <w:t>(וכ"פ בשו"ע)</w:t>
      </w:r>
    </w:p>
    <w:p w14:paraId="609B2E62" w14:textId="1A0AB22A" w:rsidR="00ED6597" w:rsidRPr="00ED6597" w:rsidRDefault="00ED6597" w:rsidP="00ED6597">
      <w:pPr>
        <w:ind w:left="360"/>
        <w:rPr>
          <w:u w:val="dotted"/>
        </w:rPr>
      </w:pPr>
      <w:r w:rsidRPr="00ED6597">
        <w:rPr>
          <w:rFonts w:hint="cs"/>
          <w:u w:val="dotted"/>
          <w:rtl/>
        </w:rPr>
        <w:t>ומה הדין אם נפלו לה פירות מחוברים שעומדים ליקצר:</w:t>
      </w:r>
    </w:p>
    <w:p w14:paraId="4A1AA11A" w14:textId="6A3C72D4" w:rsidR="008C162E" w:rsidRPr="008C162E" w:rsidRDefault="00ED6597" w:rsidP="009000E3">
      <w:pPr>
        <w:pStyle w:val="ab"/>
        <w:numPr>
          <w:ilvl w:val="0"/>
          <w:numId w:val="47"/>
        </w:numPr>
      </w:pPr>
      <w:r>
        <w:rPr>
          <w:rFonts w:cs="Arial"/>
          <w:rtl/>
        </w:rPr>
        <w:t xml:space="preserve">ה"ר יונה </w:t>
      </w:r>
      <w:r>
        <w:rPr>
          <w:rFonts w:cs="Arial" w:hint="cs"/>
          <w:sz w:val="16"/>
          <w:szCs w:val="16"/>
          <w:rtl/>
        </w:rPr>
        <w:t xml:space="preserve">(כ"כ הרא"ש [שם] בשמו) </w:t>
      </w:r>
      <w:r>
        <w:rPr>
          <w:rFonts w:cs="Arial"/>
          <w:rtl/>
        </w:rPr>
        <w:t xml:space="preserve">רא"ש </w:t>
      </w:r>
      <w:r w:rsidRPr="00D04389">
        <w:rPr>
          <w:rFonts w:cs="Arial"/>
          <w:sz w:val="16"/>
          <w:szCs w:val="16"/>
          <w:rtl/>
        </w:rPr>
        <w:t>(סו"ס ז)</w:t>
      </w:r>
      <w:r>
        <w:rPr>
          <w:rFonts w:cs="Arial" w:hint="cs"/>
          <w:rtl/>
        </w:rPr>
        <w:t xml:space="preserve"> וטור- </w:t>
      </w:r>
      <w:r w:rsidR="00605FD6" w:rsidRPr="007A228B">
        <w:rPr>
          <w:rFonts w:cs="Arial"/>
          <w:rtl/>
        </w:rPr>
        <w:t>אפי' הגיע זמנו ליקצר</w:t>
      </w:r>
      <w:r w:rsidR="00D04389">
        <w:rPr>
          <w:rStyle w:val="a7"/>
          <w:rFonts w:cs="Arial"/>
          <w:rtl/>
        </w:rPr>
        <w:footnoteReference w:id="997"/>
      </w:r>
      <w:r w:rsidR="00D04389">
        <w:rPr>
          <w:rFonts w:cs="Arial" w:hint="cs"/>
          <w:rtl/>
        </w:rPr>
        <w:t>,</w:t>
      </w:r>
      <w:r w:rsidR="00605FD6" w:rsidRPr="007A228B">
        <w:rPr>
          <w:rFonts w:cs="Arial"/>
          <w:rtl/>
        </w:rPr>
        <w:t xml:space="preserve"> כיון שהן מחוברים זכה בהן</w:t>
      </w:r>
      <w:r w:rsidR="00D04389">
        <w:rPr>
          <w:rFonts w:cs="Arial" w:hint="cs"/>
          <w:sz w:val="16"/>
          <w:szCs w:val="16"/>
          <w:rtl/>
        </w:rPr>
        <w:t xml:space="preserve"> (ל' הטור)</w:t>
      </w:r>
      <w:r w:rsidR="00605FD6">
        <w:rPr>
          <w:rFonts w:cs="Arial" w:hint="cs"/>
          <w:rtl/>
        </w:rPr>
        <w:t>.</w:t>
      </w:r>
      <w:r w:rsidR="008C162E" w:rsidRPr="008C162E">
        <w:rPr>
          <w:rFonts w:hint="cs"/>
          <w:color w:val="E36C0A" w:themeColor="accent6" w:themeShade="BF"/>
          <w:rtl/>
        </w:rPr>
        <w:t xml:space="preserve"> </w:t>
      </w:r>
      <w:r w:rsidR="008C162E" w:rsidRPr="00137671">
        <w:rPr>
          <w:rFonts w:hint="cs"/>
          <w:color w:val="E36C0A" w:themeColor="accent6" w:themeShade="BF"/>
          <w:rtl/>
        </w:rPr>
        <w:t>(וכ"פ בשו"ע)</w:t>
      </w:r>
    </w:p>
    <w:p w14:paraId="7353E114"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7574FD6E" w14:textId="46F394CD" w:rsidR="007A3469" w:rsidRDefault="007A3469" w:rsidP="007A3469">
      <w:pPr>
        <w:rPr>
          <w:rtl/>
        </w:rPr>
      </w:pPr>
      <w:r>
        <w:rPr>
          <w:rFonts w:cs="Arial"/>
          <w:rtl/>
        </w:rPr>
        <w:t>נפלו לה פירות המחוברים לקרקע, הרי אלו של בעל</w:t>
      </w:r>
      <w:r w:rsidR="00ED6597">
        <w:rPr>
          <w:rStyle w:val="a7"/>
          <w:rFonts w:cs="Arial"/>
          <w:rtl/>
        </w:rPr>
        <w:footnoteReference w:id="998"/>
      </w:r>
      <w:r w:rsidR="008C162E">
        <w:rPr>
          <w:rFonts w:cs="Arial" w:hint="cs"/>
          <w:rtl/>
        </w:rPr>
        <w:t>,</w:t>
      </w:r>
      <w:r>
        <w:rPr>
          <w:rFonts w:cs="Arial"/>
          <w:rtl/>
        </w:rPr>
        <w:t xml:space="preserve"> אפילו הגיע זמנן ליקצר</w:t>
      </w:r>
      <w:r w:rsidR="00ED6597">
        <w:rPr>
          <w:rStyle w:val="a7"/>
          <w:rFonts w:cs="Arial"/>
          <w:rtl/>
        </w:rPr>
        <w:footnoteReference w:id="999"/>
      </w:r>
      <w:r w:rsidR="008C162E">
        <w:rPr>
          <w:rFonts w:cs="Arial" w:hint="cs"/>
          <w:rtl/>
        </w:rPr>
        <w:t>.</w:t>
      </w:r>
      <w:r>
        <w:rPr>
          <w:rFonts w:cs="Arial"/>
          <w:rtl/>
        </w:rPr>
        <w:t xml:space="preserve"> </w:t>
      </w:r>
      <w:r w:rsidR="008C162E">
        <w:rPr>
          <w:rStyle w:val="a7"/>
          <w:rFonts w:cs="Arial"/>
          <w:rtl/>
        </w:rPr>
        <w:footnoteReference w:id="1000"/>
      </w:r>
      <w:r w:rsidR="008C162E">
        <w:rPr>
          <w:rFonts w:cs="Arial" w:hint="cs"/>
          <w:rtl/>
        </w:rPr>
        <w:t>[</w:t>
      </w:r>
      <w:r>
        <w:rPr>
          <w:rFonts w:cs="Arial"/>
          <w:rtl/>
        </w:rPr>
        <w:t>תל</w:t>
      </w:r>
      <w:r w:rsidR="008C162E">
        <w:rPr>
          <w:rFonts w:cs="Arial" w:hint="cs"/>
          <w:rtl/>
        </w:rPr>
        <w:t>ו</w:t>
      </w:r>
      <w:r>
        <w:rPr>
          <w:rFonts w:cs="Arial"/>
          <w:rtl/>
        </w:rPr>
        <w:t>ש</w:t>
      </w:r>
      <w:r w:rsidR="008C162E">
        <w:rPr>
          <w:rFonts w:cs="Arial" w:hint="cs"/>
          <w:rtl/>
        </w:rPr>
        <w:t>י</w:t>
      </w:r>
      <w:r>
        <w:rPr>
          <w:rFonts w:cs="Arial"/>
          <w:rtl/>
        </w:rPr>
        <w:t>ם</w:t>
      </w:r>
      <w:r w:rsidR="008C162E">
        <w:rPr>
          <w:rFonts w:cs="Arial" w:hint="cs"/>
          <w:rtl/>
        </w:rPr>
        <w:t>]</w:t>
      </w:r>
      <w:r>
        <w:rPr>
          <w:rFonts w:cs="Arial"/>
          <w:rtl/>
        </w:rPr>
        <w:t xml:space="preserve"> מהקרקע</w:t>
      </w:r>
      <w:r w:rsidR="008C162E">
        <w:rPr>
          <w:rFonts w:cs="Arial" w:hint="cs"/>
          <w:rtl/>
        </w:rPr>
        <w:t>,</w:t>
      </w:r>
      <w:r>
        <w:rPr>
          <w:rFonts w:cs="Arial"/>
          <w:rtl/>
        </w:rPr>
        <w:t xml:space="preserve"> שלה, וימכרו, וילקח בהם קרקע והוא אוכל פירות. </w:t>
      </w:r>
      <w:r w:rsidR="008C162E" w:rsidRPr="00F46615">
        <w:rPr>
          <w:rFonts w:cs="Arial"/>
          <w:sz w:val="18"/>
          <w:szCs w:val="18"/>
          <w:rtl/>
        </w:rPr>
        <w:t>הגה: זה אינו, דכל הפירות הנלקטים תחתיו הם שלו לגמרי</w:t>
      </w:r>
      <w:r w:rsidR="008C162E">
        <w:rPr>
          <w:rFonts w:cs="Arial" w:hint="cs"/>
          <w:sz w:val="18"/>
          <w:szCs w:val="18"/>
          <w:rtl/>
        </w:rPr>
        <w:t>,</w:t>
      </w:r>
      <w:r w:rsidR="008C162E" w:rsidRPr="00F46615">
        <w:rPr>
          <w:rFonts w:cs="Arial"/>
          <w:sz w:val="18"/>
          <w:szCs w:val="18"/>
          <w:rtl/>
        </w:rPr>
        <w:t xml:space="preserve"> ואפשר דטעות נפל בספרים, וכך ראוי להיות: תלושין מן הקרקע הרי הם שלה, ובבא אחריתי היא, וכן הוא ברמב"ם פרק כ"ב דאישות</w:t>
      </w:r>
      <w:r w:rsidR="008C162E">
        <w:rPr>
          <w:rFonts w:cs="Arial" w:hint="cs"/>
          <w:sz w:val="18"/>
          <w:szCs w:val="18"/>
          <w:rtl/>
        </w:rPr>
        <w:t>.</w:t>
      </w:r>
    </w:p>
    <w:p w14:paraId="2194ADAF" w14:textId="77777777" w:rsidR="00F46615" w:rsidRDefault="00F46615" w:rsidP="007A3469">
      <w:pPr>
        <w:rPr>
          <w:rtl/>
        </w:rPr>
      </w:pPr>
    </w:p>
    <w:p w14:paraId="242B5894" w14:textId="4E5E88A4" w:rsidR="007A3469" w:rsidRDefault="007A3469" w:rsidP="000F64D0">
      <w:pPr>
        <w:pStyle w:val="2"/>
        <w:rPr>
          <w:rtl/>
        </w:rPr>
      </w:pPr>
      <w:r>
        <w:rPr>
          <w:rtl/>
        </w:rPr>
        <w:t>סעיף טז</w:t>
      </w:r>
      <w:r w:rsidR="00B53778">
        <w:rPr>
          <w:rFonts w:hint="cs"/>
          <w:rtl/>
        </w:rPr>
        <w:t>:</w:t>
      </w:r>
      <w:r w:rsidR="0059573B">
        <w:rPr>
          <w:rFonts w:hint="cs"/>
          <w:rtl/>
        </w:rPr>
        <w:t xml:space="preserve"> מזונות נכסי מלוג על הבעל, ודין ולדות נכסי מלוג.</w:t>
      </w:r>
    </w:p>
    <w:p w14:paraId="1BACDD23" w14:textId="105A84FD" w:rsidR="0059573B" w:rsidRPr="00FE2592" w:rsidRDefault="0059573B" w:rsidP="00FE2592">
      <w:pPr>
        <w:rPr>
          <w:rFonts w:cs="Arial"/>
          <w:rtl/>
        </w:rPr>
      </w:pPr>
      <w:r w:rsidRPr="0059573B">
        <w:rPr>
          <w:rFonts w:cs="Arial" w:hint="cs"/>
          <w:b/>
          <w:bCs/>
          <w:rtl/>
        </w:rPr>
        <w:t xml:space="preserve">יבמות </w:t>
      </w:r>
      <w:r w:rsidRPr="0059573B">
        <w:rPr>
          <w:rFonts w:cs="Arial" w:hint="cs"/>
          <w:b/>
          <w:bCs/>
          <w:sz w:val="16"/>
          <w:szCs w:val="16"/>
          <w:rtl/>
        </w:rPr>
        <w:t xml:space="preserve">(ר"פ אלמנה לכהן גדול) </w:t>
      </w:r>
      <w:r w:rsidRPr="0059573B">
        <w:rPr>
          <w:rFonts w:cs="Arial" w:hint="cs"/>
          <w:b/>
          <w:bCs/>
          <w:rtl/>
        </w:rPr>
        <w:t xml:space="preserve">סו ע"א: </w:t>
      </w:r>
      <w:r w:rsidRPr="0059573B">
        <w:rPr>
          <w:rFonts w:cs="Arial"/>
          <w:u w:val="double"/>
          <w:rtl/>
        </w:rPr>
        <w:t>מתני'</w:t>
      </w:r>
      <w:r>
        <w:rPr>
          <w:rFonts w:cs="Arial" w:hint="cs"/>
          <w:rtl/>
        </w:rPr>
        <w:t>:</w:t>
      </w:r>
      <w:r w:rsidR="00FE2592">
        <w:rPr>
          <w:rFonts w:cs="Arial" w:hint="cs"/>
          <w:rtl/>
        </w:rPr>
        <w:t xml:space="preserve">... </w:t>
      </w:r>
      <w:r w:rsidRPr="0059573B">
        <w:rPr>
          <w:rFonts w:cs="Arial"/>
          <w:rtl/>
        </w:rPr>
        <w:t>הכניסה לו עבדי מלוג ועבדי צאן ברזל</w:t>
      </w:r>
      <w:r w:rsidR="00FE2592">
        <w:rPr>
          <w:rFonts w:cs="Arial" w:hint="cs"/>
          <w:rtl/>
        </w:rPr>
        <w:t>..</w:t>
      </w:r>
      <w:r w:rsidRPr="0059573B">
        <w:rPr>
          <w:rFonts w:cs="Arial"/>
          <w:rtl/>
        </w:rPr>
        <w:t>. ואלו הן עבדי מלוג: אם מתו - מתו לה, ואם הותירו - הותירו לה, אף על פי שהוא חייב במזונותן</w:t>
      </w:r>
      <w:r w:rsidR="009905B5">
        <w:rPr>
          <w:rStyle w:val="a7"/>
          <w:rFonts w:cs="Arial"/>
          <w:rtl/>
        </w:rPr>
        <w:footnoteReference w:id="1001"/>
      </w:r>
      <w:r w:rsidRPr="0059573B">
        <w:rPr>
          <w:rFonts w:cs="Arial"/>
          <w:rtl/>
        </w:rPr>
        <w:t xml:space="preserve"> - הרי אלו לא יאכלו בתרומה.</w:t>
      </w:r>
      <w:r w:rsidR="009905B5">
        <w:rPr>
          <w:rFonts w:cs="Arial" w:hint="cs"/>
          <w:rtl/>
        </w:rPr>
        <w:t>.</w:t>
      </w:r>
      <w:r w:rsidRPr="0059573B">
        <w:rPr>
          <w:rFonts w:cs="Arial"/>
          <w:rtl/>
        </w:rPr>
        <w:t>.</w:t>
      </w:r>
    </w:p>
    <w:p w14:paraId="5E091436" w14:textId="77777777" w:rsidR="00672F1E" w:rsidRDefault="00672F1E" w:rsidP="00672F1E">
      <w:pPr>
        <w:rPr>
          <w:rtl/>
        </w:rPr>
      </w:pPr>
      <w:r w:rsidRPr="003C240D">
        <w:rPr>
          <w:rFonts w:cs="Arial" w:hint="cs"/>
          <w:b/>
          <w:bCs/>
          <w:rtl/>
        </w:rPr>
        <w:t xml:space="preserve">כתובות </w:t>
      </w:r>
      <w:r>
        <w:rPr>
          <w:rFonts w:cs="Arial" w:hint="cs"/>
          <w:b/>
          <w:bCs/>
          <w:sz w:val="16"/>
          <w:szCs w:val="16"/>
          <w:rtl/>
        </w:rPr>
        <w:t xml:space="preserve">(ר"פ הכותב) </w:t>
      </w:r>
      <w:r>
        <w:rPr>
          <w:rFonts w:cs="Arial" w:hint="cs"/>
          <w:b/>
          <w:bCs/>
          <w:rtl/>
        </w:rPr>
        <w:t>פג</w:t>
      </w:r>
      <w:r w:rsidRPr="003C240D">
        <w:rPr>
          <w:rFonts w:cs="Arial" w:hint="cs"/>
          <w:b/>
          <w:bCs/>
          <w:rtl/>
        </w:rPr>
        <w:t xml:space="preserve"> ע"</w:t>
      </w:r>
      <w:r>
        <w:rPr>
          <w:rFonts w:cs="Arial" w:hint="cs"/>
          <w:b/>
          <w:bCs/>
          <w:rtl/>
        </w:rPr>
        <w:t>א</w:t>
      </w:r>
      <w:r w:rsidRPr="003C240D">
        <w:rPr>
          <w:rFonts w:cs="Arial" w:hint="cs"/>
          <w:b/>
          <w:bCs/>
          <w:rtl/>
        </w:rPr>
        <w:t>:</w:t>
      </w:r>
      <w:r>
        <w:rPr>
          <w:rFonts w:cs="Arial" w:hint="cs"/>
          <w:b/>
          <w:bCs/>
          <w:rtl/>
        </w:rPr>
        <w:t xml:space="preserve"> </w:t>
      </w:r>
      <w:r w:rsidRPr="0059573B">
        <w:rPr>
          <w:rFonts w:cs="Arial"/>
          <w:u w:val="double"/>
          <w:rtl/>
        </w:rPr>
        <w:t>מתני'</w:t>
      </w:r>
      <w:r>
        <w:rPr>
          <w:rFonts w:cs="Arial" w:hint="cs"/>
          <w:rtl/>
        </w:rPr>
        <w:t>:</w:t>
      </w:r>
      <w:r w:rsidRPr="00716D27">
        <w:rPr>
          <w:rFonts w:cs="Arial"/>
          <w:rtl/>
        </w:rPr>
        <w:t xml:space="preserve"> הכותב לאשתו</w:t>
      </w:r>
      <w:r>
        <w:rPr>
          <w:rFonts w:cs="Arial" w:hint="cs"/>
          <w:rtl/>
        </w:rPr>
        <w:t>...</w:t>
      </w:r>
      <w:r w:rsidRPr="00716D27">
        <w:rPr>
          <w:rFonts w:cs="Arial"/>
          <w:rtl/>
        </w:rPr>
        <w:t>. כתב לה דין ודברים אין לי בנכסיך ובפירותיהן - הרי זה אינו אוכל פירות בחייה, ואם מתה - יורשה</w:t>
      </w:r>
      <w:r>
        <w:rPr>
          <w:rFonts w:cs="Arial" w:hint="cs"/>
          <w:rtl/>
        </w:rPr>
        <w:t>.</w:t>
      </w:r>
      <w:r w:rsidRPr="00716D27">
        <w:rPr>
          <w:rFonts w:cs="Arial"/>
          <w:rtl/>
        </w:rPr>
        <w:t xml:space="preserve"> </w:t>
      </w:r>
      <w:r w:rsidRPr="00716D27">
        <w:rPr>
          <w:rFonts w:cs="Arial"/>
          <w:u w:val="single"/>
          <w:rtl/>
        </w:rPr>
        <w:t>ר' יהודה אומר</w:t>
      </w:r>
      <w:r w:rsidRPr="00716D27">
        <w:rPr>
          <w:rFonts w:cs="Arial"/>
          <w:rtl/>
        </w:rPr>
        <w:t>: לעולם אוכל פירי פירות, עד שיכתוב לה דין ודברים אין לי בנכסיך ובפירותיהן ובפירי פירותיהן עד עולם.</w:t>
      </w:r>
      <w:r w:rsidRPr="00A018DD">
        <w:rPr>
          <w:rtl/>
        </w:rPr>
        <w:t xml:space="preserve"> </w:t>
      </w:r>
      <w:r>
        <w:rPr>
          <w:rFonts w:hint="cs"/>
          <w:rtl/>
        </w:rPr>
        <w:t xml:space="preserve">     </w:t>
      </w:r>
      <w:r w:rsidRPr="00A018DD">
        <w:rPr>
          <w:rFonts w:hint="cs"/>
          <w:u w:val="double"/>
          <w:rtl/>
        </w:rPr>
        <w:t>גמ'</w:t>
      </w:r>
      <w:r>
        <w:rPr>
          <w:rFonts w:hint="cs"/>
          <w:sz w:val="14"/>
          <w:szCs w:val="14"/>
          <w:u w:val="double"/>
          <w:rtl/>
        </w:rPr>
        <w:t>(פג:)</w:t>
      </w:r>
      <w:r w:rsidRPr="00A018DD">
        <w:rPr>
          <w:rFonts w:hint="cs"/>
          <w:u w:val="double"/>
          <w:rtl/>
        </w:rPr>
        <w:t>:</w:t>
      </w:r>
      <w:r>
        <w:rPr>
          <w:rFonts w:hint="cs"/>
          <w:rtl/>
        </w:rPr>
        <w:t xml:space="preserve"> </w:t>
      </w:r>
      <w:r w:rsidRPr="00A018DD">
        <w:rPr>
          <w:rFonts w:cs="Arial"/>
          <w:rtl/>
        </w:rPr>
        <w:t xml:space="preserve">רבי יהודה אומר: לעולם הוא אוכל פירי פירות. תנו רבנן: </w:t>
      </w:r>
      <w:r w:rsidRPr="00A018DD">
        <w:rPr>
          <w:rFonts w:cs="Arial"/>
          <w:rtl/>
        </w:rPr>
        <w:lastRenderedPageBreak/>
        <w:t>אלו הן פירות, ואלו הן פירי פירות? הכניסה לו קרקע ועשתה פירות - הרי הן פירות, מכר פירות ולקח מהן קרקע ועשתה פירות - הרי הן פירי פירות.</w:t>
      </w:r>
    </w:p>
    <w:p w14:paraId="27203129" w14:textId="7B0E4A21" w:rsidR="00A018DD" w:rsidRPr="0059573B" w:rsidRDefault="0016483C" w:rsidP="00A018DD">
      <w:pPr>
        <w:rPr>
          <w:u w:val="single"/>
          <w:rtl/>
        </w:rPr>
      </w:pPr>
      <w:r>
        <w:rPr>
          <w:rFonts w:hint="cs"/>
          <w:u w:val="single"/>
          <w:rtl/>
        </w:rPr>
        <w:t xml:space="preserve">מי חייב במזונות </w:t>
      </w:r>
      <w:r w:rsidR="00A018DD" w:rsidRPr="0059573B">
        <w:rPr>
          <w:rFonts w:hint="cs"/>
          <w:u w:val="single"/>
          <w:rtl/>
        </w:rPr>
        <w:t>מזונות נכסי מלוג</w:t>
      </w:r>
      <w:r>
        <w:rPr>
          <w:rFonts w:hint="cs"/>
          <w:u w:val="single"/>
          <w:rtl/>
        </w:rPr>
        <w:t>, ושל מי הולדות של שפחת/בהמת מלוג</w:t>
      </w:r>
      <w:r w:rsidR="00A018DD" w:rsidRPr="0059573B">
        <w:rPr>
          <w:rFonts w:hint="cs"/>
          <w:u w:val="single"/>
          <w:rtl/>
        </w:rPr>
        <w:t>:</w:t>
      </w:r>
    </w:p>
    <w:p w14:paraId="7365E005" w14:textId="5D8584CD" w:rsidR="0016483C" w:rsidRPr="0059573B" w:rsidRDefault="0016483C" w:rsidP="0016483C">
      <w:pPr>
        <w:pStyle w:val="ab"/>
        <w:numPr>
          <w:ilvl w:val="0"/>
          <w:numId w:val="47"/>
        </w:numPr>
      </w:pPr>
      <w:r>
        <w:rPr>
          <w:rFonts w:cs="Arial" w:hint="cs"/>
          <w:rtl/>
        </w:rPr>
        <w:t xml:space="preserve">רמב"ם </w:t>
      </w:r>
      <w:r>
        <w:rPr>
          <w:rFonts w:cs="Arial" w:hint="cs"/>
          <w:sz w:val="16"/>
          <w:szCs w:val="16"/>
          <w:rtl/>
        </w:rPr>
        <w:t>(פכ"ב מאישות הכ"ה)</w:t>
      </w:r>
      <w:r>
        <w:rPr>
          <w:rFonts w:cs="Arial" w:hint="cs"/>
          <w:rtl/>
        </w:rPr>
        <w:t xml:space="preserve"> וטור- </w:t>
      </w:r>
      <w:r w:rsidRPr="0027408B">
        <w:rPr>
          <w:rFonts w:cs="Arial"/>
          <w:rtl/>
        </w:rPr>
        <w:t>עבדי נכסי מלוג ובהמת נכסי מלוג הבעל חייב במזונותיהן ובכל צרכיהם והן עושין לו והוא אוכל פירותיהם</w:t>
      </w:r>
      <w:r>
        <w:rPr>
          <w:rFonts w:cs="Arial" w:hint="cs"/>
          <w:rtl/>
        </w:rPr>
        <w:t>.</w:t>
      </w:r>
      <w:r w:rsidRPr="0027408B">
        <w:rPr>
          <w:rFonts w:cs="Arial"/>
          <w:rtl/>
        </w:rPr>
        <w:t xml:space="preserve"> לפיכך ולד שפחת מלוג </w:t>
      </w:r>
      <w:r>
        <w:rPr>
          <w:rFonts w:cs="Arial" w:hint="cs"/>
          <w:rtl/>
        </w:rPr>
        <w:t xml:space="preserve">- </w:t>
      </w:r>
      <w:r w:rsidRPr="0027408B">
        <w:rPr>
          <w:rFonts w:cs="Arial"/>
          <w:rtl/>
        </w:rPr>
        <w:t xml:space="preserve">לבעל, ולד בהמת מלוג </w:t>
      </w:r>
      <w:r>
        <w:rPr>
          <w:rFonts w:cs="Arial" w:hint="cs"/>
          <w:rtl/>
        </w:rPr>
        <w:t xml:space="preserve">- </w:t>
      </w:r>
      <w:r w:rsidRPr="0027408B">
        <w:rPr>
          <w:rFonts w:cs="Arial"/>
          <w:rtl/>
        </w:rPr>
        <w:t>לבעל</w:t>
      </w:r>
      <w:r>
        <w:rPr>
          <w:rFonts w:cs="Arial" w:hint="cs"/>
          <w:rtl/>
        </w:rPr>
        <w:t>.</w:t>
      </w:r>
      <w:r w:rsidRPr="0027408B">
        <w:rPr>
          <w:rFonts w:cs="Arial"/>
          <w:rtl/>
        </w:rPr>
        <w:t xml:space="preserve"> ואם גירשה ורצת האשה ליתן דמים וליטול ולד השפחה מפני שבח בית אביה </w:t>
      </w:r>
      <w:r>
        <w:rPr>
          <w:rFonts w:cs="Arial" w:hint="cs"/>
          <w:rtl/>
        </w:rPr>
        <w:t xml:space="preserve">- </w:t>
      </w:r>
      <w:r w:rsidRPr="0027408B">
        <w:rPr>
          <w:rFonts w:cs="Arial"/>
          <w:rtl/>
        </w:rPr>
        <w:t>שומעין לה</w:t>
      </w:r>
      <w:r>
        <w:rPr>
          <w:rFonts w:cs="Arial" w:hint="cs"/>
          <w:sz w:val="16"/>
          <w:szCs w:val="16"/>
          <w:rtl/>
        </w:rPr>
        <w:t xml:space="preserve"> (ל' הרמב"ם)</w:t>
      </w:r>
      <w:r w:rsidRPr="0027408B">
        <w:rPr>
          <w:rFonts w:cs="Arial"/>
          <w:rtl/>
        </w:rPr>
        <w:t>.</w:t>
      </w:r>
      <w:r w:rsidRPr="00695580">
        <w:rPr>
          <w:rFonts w:hint="cs"/>
          <w:color w:val="E36C0A" w:themeColor="accent6" w:themeShade="BF"/>
          <w:rtl/>
        </w:rPr>
        <w:t xml:space="preserve"> </w:t>
      </w:r>
      <w:r w:rsidRPr="00137671">
        <w:rPr>
          <w:rFonts w:hint="cs"/>
          <w:color w:val="E36C0A" w:themeColor="accent6" w:themeShade="BF"/>
          <w:rtl/>
        </w:rPr>
        <w:t>(וכ"פ בשו"ע)</w:t>
      </w:r>
    </w:p>
    <w:p w14:paraId="1D380BD4" w14:textId="2EBB9CA6" w:rsidR="009905B5" w:rsidRDefault="009905B5" w:rsidP="0059573B">
      <w:pPr>
        <w:rPr>
          <w:rtl/>
        </w:rPr>
      </w:pPr>
      <w:r w:rsidRPr="003C240D">
        <w:rPr>
          <w:rFonts w:cs="Arial" w:hint="cs"/>
          <w:b/>
          <w:bCs/>
          <w:rtl/>
        </w:rPr>
        <w:t xml:space="preserve">כתובות </w:t>
      </w:r>
      <w:r>
        <w:rPr>
          <w:rFonts w:cs="Arial" w:hint="cs"/>
          <w:b/>
          <w:bCs/>
          <w:sz w:val="16"/>
          <w:szCs w:val="16"/>
          <w:rtl/>
        </w:rPr>
        <w:t xml:space="preserve">(פ' האשה שנפלו) </w:t>
      </w:r>
      <w:r w:rsidRPr="003C240D">
        <w:rPr>
          <w:rFonts w:cs="Arial" w:hint="cs"/>
          <w:b/>
          <w:bCs/>
          <w:rtl/>
        </w:rPr>
        <w:t>עט ע"</w:t>
      </w:r>
      <w:r>
        <w:rPr>
          <w:rFonts w:cs="Arial" w:hint="cs"/>
          <w:b/>
          <w:bCs/>
          <w:rtl/>
        </w:rPr>
        <w:t>א</w:t>
      </w:r>
      <w:r w:rsidRPr="003C240D">
        <w:rPr>
          <w:rFonts w:cs="Arial" w:hint="cs"/>
          <w:b/>
          <w:bCs/>
          <w:rtl/>
        </w:rPr>
        <w:t xml:space="preserve">: </w:t>
      </w:r>
      <w:r w:rsidRPr="009905B5">
        <w:rPr>
          <w:rFonts w:cs="Arial"/>
          <w:u w:val="single"/>
          <w:rtl/>
        </w:rPr>
        <w:t>א"ר זירא א"ר אושעיא אמר ר' ינאי</w:t>
      </w:r>
      <w:r w:rsidR="00A018DD">
        <w:rPr>
          <w:rFonts w:cs="Arial" w:hint="cs"/>
          <w:rtl/>
        </w:rPr>
        <w:t>,</w:t>
      </w:r>
      <w:r w:rsidRPr="009905B5">
        <w:rPr>
          <w:rFonts w:cs="Arial"/>
          <w:rtl/>
        </w:rPr>
        <w:t xml:space="preserve"> ואמרי לה</w:t>
      </w:r>
      <w:r>
        <w:rPr>
          <w:rFonts w:cs="Arial" w:hint="cs"/>
          <w:rtl/>
        </w:rPr>
        <w:t>,</w:t>
      </w:r>
      <w:r w:rsidRPr="009905B5">
        <w:rPr>
          <w:rFonts w:cs="Arial"/>
          <w:rtl/>
        </w:rPr>
        <w:t xml:space="preserve"> </w:t>
      </w:r>
      <w:r w:rsidRPr="009905B5">
        <w:rPr>
          <w:rFonts w:cs="Arial"/>
          <w:u w:val="single"/>
          <w:rtl/>
        </w:rPr>
        <w:t>אמר ר' אבא א"ר אושעיא א"ר ינאי</w:t>
      </w:r>
      <w:r w:rsidRPr="009905B5">
        <w:rPr>
          <w:rFonts w:cs="Arial"/>
          <w:rtl/>
        </w:rPr>
        <w:t>: הגונב</w:t>
      </w:r>
      <w:r>
        <w:rPr>
          <w:rFonts w:cs="Arial" w:hint="cs"/>
          <w:sz w:val="14"/>
          <w:szCs w:val="14"/>
          <w:rtl/>
        </w:rPr>
        <w:t xml:space="preserve"> (עט:)</w:t>
      </w:r>
      <w:r w:rsidRPr="009905B5">
        <w:rPr>
          <w:rtl/>
        </w:rPr>
        <w:t xml:space="preserve"> </w:t>
      </w:r>
      <w:r w:rsidRPr="009905B5">
        <w:rPr>
          <w:rFonts w:cs="Arial"/>
          <w:rtl/>
        </w:rPr>
        <w:t>ולד בהמת מלוג - משלם תשלומי כפל לאשה. כמאן? לא כרבנן ולא כחנניה! דתניא: ולד בהמת מלוג - לבעל, ולד שפחת מלוג - לאשה</w:t>
      </w:r>
      <w:r w:rsidR="00730490">
        <w:rPr>
          <w:rFonts w:cs="Arial" w:hint="cs"/>
          <w:rtl/>
        </w:rPr>
        <w:t>.</w:t>
      </w:r>
      <w:r w:rsidRPr="009905B5">
        <w:rPr>
          <w:rFonts w:cs="Arial"/>
          <w:rtl/>
        </w:rPr>
        <w:t xml:space="preserve"> </w:t>
      </w:r>
      <w:r w:rsidRPr="00730490">
        <w:rPr>
          <w:rFonts w:cs="Arial"/>
          <w:u w:val="single"/>
          <w:rtl/>
        </w:rPr>
        <w:t>וחנניה בן אחי יאשיה אמר</w:t>
      </w:r>
      <w:r w:rsidRPr="009905B5">
        <w:rPr>
          <w:rFonts w:cs="Arial"/>
          <w:rtl/>
        </w:rPr>
        <w:t>: עשו ולד שפחת מלוג כולד בהמת מלוג! אפי' תימא דברי הכל, פירא תקינו ליה רבנן, פירא דפירא לא תקינו ליה רבנן</w:t>
      </w:r>
      <w:r w:rsidR="00730490" w:rsidRPr="00730490">
        <w:rPr>
          <w:rFonts w:cs="Arial"/>
          <w:rtl/>
        </w:rPr>
        <w:t>.</w:t>
      </w:r>
    </w:p>
    <w:p w14:paraId="6E7568B0" w14:textId="24791C34" w:rsidR="005C2DC9" w:rsidRDefault="005C2DC9" w:rsidP="0059573B">
      <w:pPr>
        <w:rPr>
          <w:rtl/>
        </w:rPr>
      </w:pPr>
      <w:r>
        <w:rPr>
          <w:rFonts w:cs="Arial" w:hint="cs"/>
          <w:b/>
          <w:bCs/>
          <w:rtl/>
        </w:rPr>
        <w:t xml:space="preserve">בבא קמא </w:t>
      </w:r>
      <w:r>
        <w:rPr>
          <w:rFonts w:cs="Arial" w:hint="cs"/>
          <w:b/>
          <w:bCs/>
          <w:sz w:val="16"/>
          <w:szCs w:val="16"/>
          <w:rtl/>
        </w:rPr>
        <w:t xml:space="preserve">(פ' החובל) </w:t>
      </w:r>
      <w:r>
        <w:rPr>
          <w:rFonts w:cs="Arial" w:hint="cs"/>
          <w:b/>
          <w:bCs/>
          <w:rtl/>
        </w:rPr>
        <w:t xml:space="preserve">פט ע"א: </w:t>
      </w:r>
      <w:r w:rsidRPr="005C2DC9">
        <w:rPr>
          <w:rFonts w:cs="Arial"/>
          <w:rtl/>
        </w:rPr>
        <w:t>איזהו טובת הנאת כתובתה? אומדין כמה אדם רוצה ליתן בכתובה של זו שאם נתארמלה או נתגרשה, ואם מתה יירשנה בעלה</w:t>
      </w:r>
      <w:r>
        <w:rPr>
          <w:rFonts w:cs="Arial" w:hint="cs"/>
          <w:rtl/>
        </w:rPr>
        <w:t>...</w:t>
      </w:r>
      <w:r w:rsidRPr="005C2DC9">
        <w:rPr>
          <w:rFonts w:cs="Arial"/>
          <w:rtl/>
        </w:rPr>
        <w:t xml:space="preserve"> </w:t>
      </w:r>
      <w:r w:rsidRPr="005C2DC9">
        <w:rPr>
          <w:rFonts w:cs="Arial"/>
          <w:u w:val="single"/>
          <w:rtl/>
        </w:rPr>
        <w:t>אמר אביי</w:t>
      </w:r>
      <w:r w:rsidRPr="005C2DC9">
        <w:rPr>
          <w:rFonts w:cs="Arial"/>
          <w:rtl/>
        </w:rPr>
        <w:t>: טובת הנאה הואיל ואתא לידן, נימא בה מילתא: טובת הנאה לאשה הויא</w:t>
      </w:r>
      <w:r>
        <w:rPr>
          <w:rFonts w:cs="Arial" w:hint="cs"/>
          <w:rtl/>
        </w:rPr>
        <w:t>..</w:t>
      </w:r>
      <w:r w:rsidRPr="005C2DC9">
        <w:rPr>
          <w:rFonts w:cs="Arial"/>
          <w:rtl/>
        </w:rPr>
        <w:t xml:space="preserve">. </w:t>
      </w:r>
      <w:r w:rsidRPr="005C2DC9">
        <w:rPr>
          <w:rFonts w:cs="Arial"/>
          <w:u w:val="single"/>
          <w:rtl/>
        </w:rPr>
        <w:t>אמר רבא</w:t>
      </w:r>
      <w:r>
        <w:rPr>
          <w:rFonts w:cs="Arial" w:hint="cs"/>
          <w:rtl/>
        </w:rPr>
        <w:t>:</w:t>
      </w:r>
      <w:r w:rsidRPr="005C2DC9">
        <w:rPr>
          <w:rFonts w:cs="Arial"/>
          <w:rtl/>
        </w:rPr>
        <w:t xml:space="preserve"> הלכתא</w:t>
      </w:r>
      <w:r>
        <w:rPr>
          <w:rFonts w:cs="Arial" w:hint="cs"/>
          <w:rtl/>
        </w:rPr>
        <w:t>,</w:t>
      </w:r>
      <w:r w:rsidRPr="005C2DC9">
        <w:rPr>
          <w:rFonts w:cs="Arial"/>
          <w:rtl/>
        </w:rPr>
        <w:t xml:space="preserve"> טובת הנאה לאשה, ואין הבעל אוכל פירות; מאי טעמא? פירא תקינו ליה רבנן, פירא דפירא לא תקינו ליה רבנן.</w:t>
      </w:r>
    </w:p>
    <w:p w14:paraId="553BBA8D" w14:textId="56FDD326" w:rsidR="005C2DC9" w:rsidRPr="000F2C8D" w:rsidRDefault="000F2C8D" w:rsidP="0059573B">
      <w:pPr>
        <w:rPr>
          <w:u w:val="single"/>
          <w:rtl/>
        </w:rPr>
      </w:pPr>
      <w:r>
        <w:rPr>
          <w:rFonts w:hint="cs"/>
          <w:u w:val="single"/>
          <w:rtl/>
        </w:rPr>
        <w:t>קשה, ד</w:t>
      </w:r>
      <w:r w:rsidR="005C2DC9" w:rsidRPr="000F2C8D">
        <w:rPr>
          <w:rFonts w:hint="cs"/>
          <w:u w:val="single"/>
          <w:rtl/>
        </w:rPr>
        <w:t>ב</w:t>
      </w:r>
      <w:r w:rsidRPr="000F2C8D">
        <w:rPr>
          <w:rFonts w:hint="cs"/>
          <w:u w:val="single"/>
          <w:rtl/>
        </w:rPr>
        <w:t xml:space="preserve">ר"פ הכותב </w:t>
      </w:r>
      <w:r w:rsidRPr="000F2C8D">
        <w:rPr>
          <w:rFonts w:hint="cs"/>
          <w:sz w:val="16"/>
          <w:szCs w:val="16"/>
          <w:u w:val="single"/>
          <w:rtl/>
        </w:rPr>
        <w:t xml:space="preserve">(פג.-פג:) </w:t>
      </w:r>
      <w:r w:rsidRPr="000F2C8D">
        <w:rPr>
          <w:rFonts w:hint="cs"/>
          <w:u w:val="single"/>
          <w:rtl/>
        </w:rPr>
        <w:t>מבואר שיש לבעל פירי פירות דנכסי מלוג</w:t>
      </w:r>
      <w:r>
        <w:rPr>
          <w:rFonts w:hint="cs"/>
          <w:u w:val="single"/>
          <w:rtl/>
        </w:rPr>
        <w:t>,</w:t>
      </w:r>
      <w:r w:rsidRPr="000F2C8D">
        <w:rPr>
          <w:rFonts w:hint="cs"/>
          <w:u w:val="single"/>
          <w:rtl/>
        </w:rPr>
        <w:t xml:space="preserve"> ובפ' האשה </w:t>
      </w:r>
      <w:r w:rsidRPr="000F2C8D">
        <w:rPr>
          <w:rFonts w:hint="cs"/>
          <w:sz w:val="16"/>
          <w:szCs w:val="16"/>
          <w:u w:val="single"/>
          <w:rtl/>
        </w:rPr>
        <w:t xml:space="preserve">(עט.) </w:t>
      </w:r>
      <w:r w:rsidR="00752706">
        <w:rPr>
          <w:rFonts w:hint="cs"/>
          <w:u w:val="single"/>
          <w:rtl/>
        </w:rPr>
        <w:t xml:space="preserve">והחובל </w:t>
      </w:r>
      <w:r w:rsidR="00752706">
        <w:rPr>
          <w:rFonts w:hint="cs"/>
          <w:sz w:val="16"/>
          <w:szCs w:val="16"/>
          <w:u w:val="single"/>
          <w:rtl/>
        </w:rPr>
        <w:t xml:space="preserve">(פט.) </w:t>
      </w:r>
      <w:r w:rsidRPr="000F2C8D">
        <w:rPr>
          <w:rFonts w:hint="cs"/>
          <w:u w:val="single"/>
          <w:rtl/>
        </w:rPr>
        <w:t>מבואר שאין</w:t>
      </w:r>
      <w:r w:rsidR="00752706">
        <w:rPr>
          <w:rFonts w:hint="cs"/>
          <w:u w:val="single"/>
          <w:rtl/>
        </w:rPr>
        <w:t xml:space="preserve"> לו</w:t>
      </w:r>
      <w:r w:rsidRPr="000F2C8D">
        <w:rPr>
          <w:rFonts w:hint="cs"/>
          <w:u w:val="single"/>
          <w:rtl/>
        </w:rPr>
        <w:t>:</w:t>
      </w:r>
    </w:p>
    <w:p w14:paraId="4AD2D431" w14:textId="5DC11573" w:rsidR="00A018DD" w:rsidRDefault="00A018DD" w:rsidP="009000E3">
      <w:pPr>
        <w:pStyle w:val="ab"/>
        <w:numPr>
          <w:ilvl w:val="0"/>
          <w:numId w:val="47"/>
        </w:numPr>
        <w:rPr>
          <w:rtl/>
        </w:rPr>
      </w:pPr>
      <w:r w:rsidRPr="000F2C8D">
        <w:rPr>
          <w:rFonts w:cs="Arial" w:hint="cs"/>
          <w:rtl/>
        </w:rPr>
        <w:t>רי"ף</w:t>
      </w:r>
      <w:r w:rsidRPr="000F2C8D">
        <w:rPr>
          <w:rFonts w:cs="Arial" w:hint="cs"/>
          <w:sz w:val="16"/>
          <w:szCs w:val="16"/>
          <w:rtl/>
        </w:rPr>
        <w:t xml:space="preserve"> (</w:t>
      </w:r>
      <w:r w:rsidR="00C42FFB">
        <w:rPr>
          <w:rFonts w:cs="Arial" w:hint="cs"/>
          <w:sz w:val="16"/>
          <w:szCs w:val="16"/>
          <w:rtl/>
        </w:rPr>
        <w:t xml:space="preserve">כתובות </w:t>
      </w:r>
      <w:r w:rsidRPr="000F2C8D">
        <w:rPr>
          <w:rFonts w:cs="Arial" w:hint="cs"/>
          <w:sz w:val="16"/>
          <w:szCs w:val="16"/>
          <w:rtl/>
        </w:rPr>
        <w:t>ל</w:t>
      </w:r>
      <w:r w:rsidR="00C42FFB">
        <w:rPr>
          <w:rFonts w:cs="Arial" w:hint="cs"/>
          <w:sz w:val="16"/>
          <w:szCs w:val="16"/>
          <w:rtl/>
        </w:rPr>
        <w:t>ח.</w:t>
      </w:r>
      <w:r w:rsidRPr="000F2C8D">
        <w:rPr>
          <w:rFonts w:cs="Arial" w:hint="cs"/>
          <w:sz w:val="16"/>
          <w:szCs w:val="16"/>
          <w:rtl/>
        </w:rPr>
        <w:t>)</w:t>
      </w:r>
      <w:r w:rsidR="000F2C8D">
        <w:rPr>
          <w:rFonts w:hint="cs"/>
          <w:rtl/>
        </w:rPr>
        <w:t xml:space="preserve">- </w:t>
      </w:r>
      <w:r w:rsidR="000F2C8D" w:rsidRPr="00A018DD">
        <w:rPr>
          <w:rFonts w:cs="Arial"/>
          <w:rtl/>
        </w:rPr>
        <w:t>אמר רבי זירא א"ר ינאי ואמרי לה א"ר זירא א"ר אושעיא א"ר ינאי הגונב ולד בהמת נכסי מלוג משלם תשלומי כפל לאשה לדברי הכל מאי טעמא פירא תקינו ליה רבנן פירא דפירא לא תקינו ליה רבנן</w:t>
      </w:r>
      <w:r w:rsidR="000F2C8D">
        <w:rPr>
          <w:rFonts w:cs="Arial" w:hint="cs"/>
          <w:rtl/>
        </w:rPr>
        <w:t>.</w:t>
      </w:r>
      <w:r w:rsidR="000F2C8D" w:rsidRPr="00A018DD">
        <w:rPr>
          <w:rFonts w:cs="Arial"/>
          <w:rtl/>
        </w:rPr>
        <w:t xml:space="preserve"> ואי קשיא לך הא דתנן ר' יהודה אומר לעולם הוא אוכל פירות וכו' ות"ר אלו הן פירות ואלו הן פירי פירות הכניסה לו קרקע ועשתה לו פירות הרי הן פירות מכר פירות ולקח בהן קרקע ועשה פירות הן הן פירי פירות</w:t>
      </w:r>
      <w:r w:rsidR="00C42FFB">
        <w:rPr>
          <w:rFonts w:cs="Arial" w:hint="cs"/>
          <w:rtl/>
        </w:rPr>
        <w:t>,</w:t>
      </w:r>
      <w:r w:rsidR="000F2C8D" w:rsidRPr="00A018DD">
        <w:rPr>
          <w:rFonts w:cs="Arial"/>
          <w:rtl/>
        </w:rPr>
        <w:t xml:space="preserve"> דאלמא יש לבעל פירי פירות</w:t>
      </w:r>
      <w:r w:rsidR="00C42FFB">
        <w:rPr>
          <w:rFonts w:cs="Arial" w:hint="cs"/>
          <w:rtl/>
        </w:rPr>
        <w:t>,</w:t>
      </w:r>
      <w:r w:rsidR="000F2C8D" w:rsidRPr="00A018DD">
        <w:rPr>
          <w:rFonts w:cs="Arial"/>
          <w:rtl/>
        </w:rPr>
        <w:t xml:space="preserve"> והכא אמרינן פירי תקינו ליה רבנן פירא דפירא לא תקינו ליה רבנן</w:t>
      </w:r>
      <w:r w:rsidR="00C42FFB">
        <w:rPr>
          <w:rFonts w:cs="Arial" w:hint="cs"/>
          <w:rtl/>
        </w:rPr>
        <w:t xml:space="preserve"> -</w:t>
      </w:r>
      <w:r w:rsidR="000F2C8D" w:rsidRPr="00A018DD">
        <w:rPr>
          <w:rFonts w:cs="Arial"/>
          <w:rtl/>
        </w:rPr>
        <w:t xml:space="preserve"> לא קשיא</w:t>
      </w:r>
      <w:r w:rsidR="000F2C8D">
        <w:rPr>
          <w:rFonts w:cs="Arial" w:hint="cs"/>
          <w:rtl/>
        </w:rPr>
        <w:t>,</w:t>
      </w:r>
      <w:r w:rsidR="000F2C8D" w:rsidRPr="00A018DD">
        <w:rPr>
          <w:rFonts w:cs="Arial"/>
          <w:rtl/>
        </w:rPr>
        <w:t xml:space="preserve"> שאני הכא דקא שקיל ליה לפירא גופיה</w:t>
      </w:r>
      <w:r w:rsidR="000F2C8D">
        <w:rPr>
          <w:rFonts w:cs="Arial" w:hint="cs"/>
          <w:rtl/>
        </w:rPr>
        <w:t>,</w:t>
      </w:r>
      <w:r w:rsidR="000F2C8D" w:rsidRPr="00A018DD">
        <w:rPr>
          <w:rFonts w:cs="Arial"/>
          <w:rtl/>
        </w:rPr>
        <w:t xml:space="preserve"> ומש"ה לא שקיל ליה לכפל דה"ל פירא דפירא</w:t>
      </w:r>
      <w:r w:rsidR="000F2C8D">
        <w:rPr>
          <w:rFonts w:cs="Arial" w:hint="cs"/>
          <w:rtl/>
        </w:rPr>
        <w:t>.</w:t>
      </w:r>
      <w:r w:rsidR="000F2C8D" w:rsidRPr="00A018DD">
        <w:rPr>
          <w:rFonts w:cs="Arial"/>
          <w:rtl/>
        </w:rPr>
        <w:t xml:space="preserve"> אבל היכא דזבין ליה לפירי וזבין בהו ארעא</w:t>
      </w:r>
      <w:r w:rsidR="000F2C8D">
        <w:rPr>
          <w:rFonts w:cs="Arial" w:hint="cs"/>
          <w:rtl/>
        </w:rPr>
        <w:t>,</w:t>
      </w:r>
      <w:r w:rsidR="000F2C8D" w:rsidRPr="00A018DD">
        <w:rPr>
          <w:rFonts w:cs="Arial"/>
          <w:rtl/>
        </w:rPr>
        <w:t xml:space="preserve"> אי לא שקיל לפירא אשתכח דלא שקיל לא פירא ולא פירא דפירא</w:t>
      </w:r>
      <w:r w:rsidR="000F2C8D">
        <w:rPr>
          <w:rFonts w:cs="Arial" w:hint="cs"/>
          <w:rtl/>
        </w:rPr>
        <w:t>.</w:t>
      </w:r>
      <w:r w:rsidR="000F2C8D" w:rsidRPr="00A018DD">
        <w:rPr>
          <w:rFonts w:cs="Arial"/>
          <w:rtl/>
        </w:rPr>
        <w:t xml:space="preserve"> הילכך שקיל להו פירא דפירא</w:t>
      </w:r>
      <w:r w:rsidR="000F2C8D">
        <w:rPr>
          <w:rFonts w:cs="Arial" w:hint="cs"/>
          <w:rtl/>
        </w:rPr>
        <w:t>,</w:t>
      </w:r>
      <w:r w:rsidR="000F2C8D" w:rsidRPr="00A018DD">
        <w:rPr>
          <w:rFonts w:cs="Arial"/>
          <w:rtl/>
        </w:rPr>
        <w:t xml:space="preserve"> דבמקום פירא קיימי</w:t>
      </w:r>
      <w:r w:rsidR="000F2C8D">
        <w:rPr>
          <w:rFonts w:cs="Arial" w:hint="cs"/>
          <w:rtl/>
        </w:rPr>
        <w:t>.</w:t>
      </w:r>
    </w:p>
    <w:p w14:paraId="299F6E9E" w14:textId="4E2F954B" w:rsidR="00FE2592" w:rsidRPr="000F2C8D" w:rsidRDefault="000F2C8D" w:rsidP="00C42FFB">
      <w:pPr>
        <w:pStyle w:val="ab"/>
        <w:rPr>
          <w:rtl/>
        </w:rPr>
      </w:pPr>
      <w:r w:rsidRPr="000F2C8D">
        <w:rPr>
          <w:rFonts w:cs="Arial" w:hint="cs"/>
          <w:rtl/>
        </w:rPr>
        <w:t>תוס'</w:t>
      </w:r>
      <w:r>
        <w:rPr>
          <w:rStyle w:val="a7"/>
          <w:rFonts w:cs="Arial"/>
          <w:rtl/>
        </w:rPr>
        <w:footnoteReference w:id="1002"/>
      </w:r>
      <w:r w:rsidRPr="000F2C8D">
        <w:rPr>
          <w:rFonts w:cs="Arial" w:hint="cs"/>
          <w:rtl/>
        </w:rPr>
        <w:t xml:space="preserve"> </w:t>
      </w:r>
      <w:r w:rsidRPr="000F2C8D">
        <w:rPr>
          <w:rFonts w:cs="Arial" w:hint="cs"/>
          <w:sz w:val="16"/>
          <w:szCs w:val="16"/>
          <w:rtl/>
        </w:rPr>
        <w:t>(כתובות עט: ד"ה פירא דפירא)</w:t>
      </w:r>
      <w:r>
        <w:rPr>
          <w:rFonts w:cs="Arial" w:hint="cs"/>
          <w:rtl/>
        </w:rPr>
        <w:t xml:space="preserve"> </w:t>
      </w:r>
      <w:bookmarkStart w:id="1" w:name="_Hlk135061764"/>
      <w:r w:rsidR="00FE2592" w:rsidRPr="000F2C8D">
        <w:rPr>
          <w:rFonts w:cs="Arial"/>
          <w:rtl/>
        </w:rPr>
        <w:t xml:space="preserve">רא"ש </w:t>
      </w:r>
      <w:r w:rsidR="00FE2592" w:rsidRPr="000F2C8D">
        <w:rPr>
          <w:rFonts w:cs="Arial"/>
          <w:sz w:val="16"/>
          <w:szCs w:val="16"/>
          <w:rtl/>
        </w:rPr>
        <w:t>(סי' ו)</w:t>
      </w:r>
      <w:r w:rsidR="001C0413">
        <w:rPr>
          <w:rFonts w:cs="Arial" w:hint="cs"/>
          <w:rtl/>
        </w:rPr>
        <w:t xml:space="preserve"> וטור</w:t>
      </w:r>
      <w:r>
        <w:rPr>
          <w:rFonts w:cs="Arial" w:hint="cs"/>
          <w:rtl/>
        </w:rPr>
        <w:t xml:space="preserve">- </w:t>
      </w:r>
      <w:r w:rsidRPr="000F2C8D">
        <w:rPr>
          <w:rFonts w:cs="Arial"/>
          <w:rtl/>
        </w:rPr>
        <w:t>אמר ר' זירא אמר ר' אושעיא אמר ר' ינאי הגונב ולד בהמת מלוג משלם הכפל לאשה לדברי הכל. מ"ט</w:t>
      </w:r>
      <w:r>
        <w:rPr>
          <w:rFonts w:cs="Arial" w:hint="cs"/>
          <w:rtl/>
        </w:rPr>
        <w:t>,</w:t>
      </w:r>
      <w:r w:rsidRPr="000F2C8D">
        <w:rPr>
          <w:rFonts w:cs="Arial"/>
          <w:rtl/>
        </w:rPr>
        <w:t xml:space="preserve"> פירא תקינו ליה רבנן</w:t>
      </w:r>
      <w:r>
        <w:rPr>
          <w:rFonts w:cs="Arial" w:hint="cs"/>
          <w:rtl/>
        </w:rPr>
        <w:t>,</w:t>
      </w:r>
      <w:r w:rsidRPr="000F2C8D">
        <w:rPr>
          <w:rFonts w:cs="Arial"/>
          <w:rtl/>
        </w:rPr>
        <w:t xml:space="preserve"> פירי דפירא לא תקינו ליה רבנן. פירוש</w:t>
      </w:r>
      <w:r w:rsidR="00260391">
        <w:rPr>
          <w:rFonts w:cs="Arial" w:hint="cs"/>
          <w:rtl/>
        </w:rPr>
        <w:t xml:space="preserve"> -</w:t>
      </w:r>
      <w:r w:rsidR="00FE2592" w:rsidRPr="000F2C8D">
        <w:rPr>
          <w:rFonts w:cs="Arial"/>
          <w:rtl/>
        </w:rPr>
        <w:t xml:space="preserve"> במידי דאתי מעלמא</w:t>
      </w:r>
      <w:r w:rsidR="00C42FFB">
        <w:rPr>
          <w:rFonts w:cs="Arial" w:hint="cs"/>
          <w:rtl/>
        </w:rPr>
        <w:t>,</w:t>
      </w:r>
      <w:r w:rsidR="00FE2592" w:rsidRPr="000F2C8D">
        <w:rPr>
          <w:rFonts w:cs="Arial"/>
          <w:rtl/>
        </w:rPr>
        <w:t xml:space="preserve"> כגון כפל דולד בהמת מלוג</w:t>
      </w:r>
      <w:r w:rsidR="00C42FFB">
        <w:rPr>
          <w:rFonts w:cs="Arial" w:hint="cs"/>
          <w:rtl/>
        </w:rPr>
        <w:t>,</w:t>
      </w:r>
      <w:r w:rsidR="00FE2592" w:rsidRPr="000F2C8D">
        <w:rPr>
          <w:rFonts w:cs="Arial"/>
          <w:rtl/>
        </w:rPr>
        <w:t xml:space="preserve"> וטובת הנאה דכתובתה בפרק החובל (ב"ק פט.)</w:t>
      </w:r>
      <w:r w:rsidR="00260391">
        <w:rPr>
          <w:rFonts w:cs="Arial" w:hint="cs"/>
          <w:rtl/>
        </w:rPr>
        <w:t>.</w:t>
      </w:r>
      <w:r w:rsidR="00FE2592" w:rsidRPr="000F2C8D">
        <w:rPr>
          <w:rFonts w:cs="Arial"/>
          <w:rtl/>
        </w:rPr>
        <w:t xml:space="preserve"> אבל פירא דפירא דאתא מגופה כמו ולד בהמת מלוג </w:t>
      </w:r>
      <w:r w:rsidR="00260391">
        <w:rPr>
          <w:rFonts w:cs="Arial" w:hint="cs"/>
          <w:rtl/>
        </w:rPr>
        <w:t xml:space="preserve">- </w:t>
      </w:r>
      <w:r w:rsidR="00FE2592" w:rsidRPr="000F2C8D">
        <w:rPr>
          <w:rFonts w:cs="Arial"/>
          <w:rtl/>
        </w:rPr>
        <w:t>פשיטא דתקינו ליה רבנן</w:t>
      </w:r>
      <w:r w:rsidR="00260391">
        <w:rPr>
          <w:rFonts w:cs="Arial" w:hint="cs"/>
          <w:rtl/>
        </w:rPr>
        <w:t>,</w:t>
      </w:r>
      <w:r w:rsidR="00FE2592" w:rsidRPr="000F2C8D">
        <w:rPr>
          <w:rFonts w:cs="Arial"/>
          <w:rtl/>
        </w:rPr>
        <w:t xml:space="preserve"> כדתנן בפרק הכותב (פג.) לעולם הוא אוכל פירות ופירי פירות</w:t>
      </w:r>
      <w:r w:rsidR="00260391">
        <w:rPr>
          <w:rStyle w:val="a7"/>
          <w:rFonts w:cs="Arial"/>
          <w:rtl/>
        </w:rPr>
        <w:footnoteReference w:id="1003"/>
      </w:r>
      <w:r w:rsidR="00260391">
        <w:rPr>
          <w:rFonts w:cs="Arial" w:hint="cs"/>
          <w:sz w:val="16"/>
          <w:szCs w:val="16"/>
          <w:rtl/>
        </w:rPr>
        <w:t xml:space="preserve"> (ל' הרא"ש)</w:t>
      </w:r>
      <w:r w:rsidR="00505417" w:rsidRPr="000F2C8D">
        <w:rPr>
          <w:rFonts w:cs="Arial" w:hint="cs"/>
          <w:rtl/>
        </w:rPr>
        <w:t>.</w:t>
      </w:r>
      <w:r w:rsidR="00FE2592" w:rsidRPr="000F2C8D">
        <w:rPr>
          <w:rFonts w:cs="Arial"/>
          <w:rtl/>
        </w:rPr>
        <w:t xml:space="preserve"> </w:t>
      </w:r>
      <w:bookmarkEnd w:id="1"/>
    </w:p>
    <w:p w14:paraId="4ABDD9FE" w14:textId="77777777" w:rsidR="00F62F59" w:rsidRPr="00F62F59" w:rsidRDefault="00FE2592" w:rsidP="009000E3">
      <w:pPr>
        <w:pStyle w:val="ab"/>
        <w:numPr>
          <w:ilvl w:val="0"/>
          <w:numId w:val="47"/>
        </w:numPr>
      </w:pPr>
      <w:r w:rsidRPr="000F2C8D">
        <w:rPr>
          <w:rFonts w:cs="Arial"/>
          <w:rtl/>
        </w:rPr>
        <w:t xml:space="preserve">ר"ן </w:t>
      </w:r>
      <w:r w:rsidRPr="00260391">
        <w:rPr>
          <w:rFonts w:cs="Arial"/>
          <w:sz w:val="16"/>
          <w:szCs w:val="16"/>
          <w:rtl/>
        </w:rPr>
        <w:t>(שם ד"ה ורבי חנניה)</w:t>
      </w:r>
      <w:r w:rsidR="00260391">
        <w:rPr>
          <w:rFonts w:cs="Arial" w:hint="cs"/>
          <w:rtl/>
        </w:rPr>
        <w:t xml:space="preserve">- </w:t>
      </w:r>
      <w:r w:rsidR="00260391">
        <w:rPr>
          <w:rStyle w:val="a7"/>
          <w:rFonts w:cs="Arial"/>
          <w:rtl/>
        </w:rPr>
        <w:footnoteReference w:id="1004"/>
      </w:r>
      <w:r w:rsidRPr="000F2C8D">
        <w:rPr>
          <w:rFonts w:cs="Arial"/>
          <w:rtl/>
        </w:rPr>
        <w:t>ה</w:t>
      </w:r>
      <w:r w:rsidR="00260391">
        <w:rPr>
          <w:rFonts w:cs="Arial" w:hint="cs"/>
          <w:rtl/>
        </w:rPr>
        <w:t xml:space="preserve">כי </w:t>
      </w:r>
      <w:r w:rsidRPr="000F2C8D">
        <w:rPr>
          <w:rFonts w:cs="Arial"/>
          <w:rtl/>
        </w:rPr>
        <w:t>ק</w:t>
      </w:r>
      <w:r w:rsidR="00260391">
        <w:rPr>
          <w:rFonts w:cs="Arial" w:hint="cs"/>
          <w:rtl/>
        </w:rPr>
        <w:t>אמר,</w:t>
      </w:r>
      <w:r w:rsidRPr="000F2C8D">
        <w:rPr>
          <w:rFonts w:cs="Arial"/>
          <w:rtl/>
        </w:rPr>
        <w:t xml:space="preserve"> פירא תקינו ליה</w:t>
      </w:r>
      <w:r w:rsidR="00503BE5" w:rsidRPr="000F2C8D">
        <w:rPr>
          <w:rFonts w:cs="Arial" w:hint="cs"/>
          <w:rtl/>
        </w:rPr>
        <w:t>,</w:t>
      </w:r>
      <w:r w:rsidRPr="000F2C8D">
        <w:rPr>
          <w:rFonts w:cs="Arial"/>
          <w:rtl/>
        </w:rPr>
        <w:t xml:space="preserve"> אבל תרי גווני פירא לא תקינו ליה</w:t>
      </w:r>
      <w:r w:rsidR="00503BE5" w:rsidRPr="000F2C8D">
        <w:rPr>
          <w:rFonts w:cs="Arial" w:hint="cs"/>
          <w:rtl/>
        </w:rPr>
        <w:t>.</w:t>
      </w:r>
      <w:r w:rsidRPr="000F2C8D">
        <w:rPr>
          <w:rFonts w:cs="Arial"/>
          <w:rtl/>
        </w:rPr>
        <w:t xml:space="preserve"> כלומר</w:t>
      </w:r>
      <w:r w:rsidR="00503BE5" w:rsidRPr="000F2C8D">
        <w:rPr>
          <w:rFonts w:cs="Arial" w:hint="cs"/>
          <w:rtl/>
        </w:rPr>
        <w:t>,</w:t>
      </w:r>
      <w:r w:rsidRPr="000F2C8D">
        <w:rPr>
          <w:rFonts w:cs="Arial"/>
          <w:rtl/>
        </w:rPr>
        <w:t xml:space="preserve"> במה שיוציא מגוף הדבר בפירות או שדרכו לבא מחמתו כגון מעשה העבד ושכר הבתים שהוא דבר המצוי </w:t>
      </w:r>
      <w:r w:rsidR="00503BE5" w:rsidRPr="000F2C8D">
        <w:rPr>
          <w:rFonts w:cs="Arial" w:hint="cs"/>
          <w:rtl/>
        </w:rPr>
        <w:t xml:space="preserve">- </w:t>
      </w:r>
      <w:r w:rsidRPr="000F2C8D">
        <w:rPr>
          <w:rFonts w:cs="Arial"/>
          <w:rtl/>
        </w:rPr>
        <w:t>תיקנו לו</w:t>
      </w:r>
      <w:r w:rsidR="00503BE5" w:rsidRPr="000F2C8D">
        <w:rPr>
          <w:rFonts w:cs="Arial" w:hint="cs"/>
          <w:rtl/>
        </w:rPr>
        <w:t>,</w:t>
      </w:r>
      <w:r w:rsidRPr="000F2C8D">
        <w:rPr>
          <w:rFonts w:cs="Arial"/>
          <w:rtl/>
        </w:rPr>
        <w:t xml:space="preserve"> אבל לא תיקנו לו דבר שאינו מצוי ככפילא</w:t>
      </w:r>
      <w:r w:rsidR="00503BE5" w:rsidRPr="000F2C8D">
        <w:rPr>
          <w:rFonts w:cs="Arial" w:hint="cs"/>
          <w:rtl/>
        </w:rPr>
        <w:t>.</w:t>
      </w:r>
      <w:r w:rsidRPr="000F2C8D">
        <w:rPr>
          <w:rFonts w:cs="Arial"/>
          <w:rtl/>
        </w:rPr>
        <w:t xml:space="preserve"> ומשום הכי אמרינן בפרק החובל (שם) דאשה שמכרה כתובתה בטובת הנאה אין הבעל אוכל פירות</w:t>
      </w:r>
      <w:r w:rsidR="00994F39" w:rsidRPr="000F2C8D">
        <w:rPr>
          <w:rFonts w:cs="Arial" w:hint="cs"/>
          <w:rtl/>
        </w:rPr>
        <w:t>,</w:t>
      </w:r>
      <w:r w:rsidRPr="000F2C8D">
        <w:rPr>
          <w:rFonts w:cs="Arial"/>
          <w:rtl/>
        </w:rPr>
        <w:t xml:space="preserve"> דחד פירא תקינו ליה רבנן</w:t>
      </w:r>
      <w:r w:rsidR="00994F39" w:rsidRPr="000F2C8D">
        <w:rPr>
          <w:rFonts w:cs="Arial" w:hint="cs"/>
          <w:rtl/>
        </w:rPr>
        <w:t>,</w:t>
      </w:r>
      <w:r w:rsidRPr="000F2C8D">
        <w:rPr>
          <w:rFonts w:cs="Arial"/>
          <w:rtl/>
        </w:rPr>
        <w:t xml:space="preserve"> פירא דפירא לא תקינו ליה</w:t>
      </w:r>
      <w:r w:rsidR="00994F39" w:rsidRPr="000F2C8D">
        <w:rPr>
          <w:rFonts w:cs="Arial" w:hint="cs"/>
          <w:rtl/>
        </w:rPr>
        <w:t>.</w:t>
      </w:r>
      <w:r w:rsidRPr="000F2C8D">
        <w:rPr>
          <w:rFonts w:cs="Arial"/>
          <w:rtl/>
        </w:rPr>
        <w:t xml:space="preserve"> כלומר פירות מצויים מן הנכסים תקנו</w:t>
      </w:r>
      <w:r w:rsidR="00994F39" w:rsidRPr="000F2C8D">
        <w:rPr>
          <w:rFonts w:cs="Arial" w:hint="cs"/>
          <w:rtl/>
        </w:rPr>
        <w:t>,</w:t>
      </w:r>
      <w:r w:rsidRPr="000F2C8D">
        <w:rPr>
          <w:rFonts w:cs="Arial"/>
          <w:rtl/>
        </w:rPr>
        <w:t xml:space="preserve"> אבל לא פרי כזה</w:t>
      </w:r>
      <w:r w:rsidR="00994F39" w:rsidRPr="000F2C8D">
        <w:rPr>
          <w:rFonts w:cs="Arial" w:hint="cs"/>
          <w:rtl/>
        </w:rPr>
        <w:t>.</w:t>
      </w:r>
      <w:r w:rsidRPr="000F2C8D">
        <w:rPr>
          <w:rFonts w:cs="Arial"/>
          <w:rtl/>
        </w:rPr>
        <w:t xml:space="preserve"> </w:t>
      </w:r>
    </w:p>
    <w:p w14:paraId="187F99EA" w14:textId="1E6B54DB" w:rsidR="00730490" w:rsidRPr="00D93EC1" w:rsidRDefault="00AB0DC3" w:rsidP="00D93EC1">
      <w:pPr>
        <w:ind w:left="360"/>
        <w:rPr>
          <w:u w:val="dotted"/>
        </w:rPr>
      </w:pPr>
      <w:r w:rsidRPr="00D93EC1">
        <w:rPr>
          <w:rFonts w:hint="cs"/>
          <w:u w:val="dotted"/>
          <w:rtl/>
        </w:rPr>
        <w:t xml:space="preserve">למעשה, </w:t>
      </w:r>
      <w:r w:rsidR="00730490" w:rsidRPr="00D93EC1">
        <w:rPr>
          <w:rFonts w:hint="cs"/>
          <w:u w:val="dotted"/>
          <w:rtl/>
        </w:rPr>
        <w:t>ולד</w:t>
      </w:r>
      <w:r w:rsidR="00672F1E">
        <w:rPr>
          <w:rFonts w:hint="cs"/>
          <w:u w:val="dotted"/>
          <w:rtl/>
        </w:rPr>
        <w:t xml:space="preserve">י ולדות של </w:t>
      </w:r>
      <w:r w:rsidR="00730490" w:rsidRPr="00D93EC1">
        <w:rPr>
          <w:rFonts w:hint="cs"/>
          <w:u w:val="dotted"/>
          <w:rtl/>
        </w:rPr>
        <w:t>נכסי מלוג</w:t>
      </w:r>
      <w:r w:rsidRPr="00D93EC1">
        <w:rPr>
          <w:rFonts w:hint="cs"/>
          <w:u w:val="dotted"/>
          <w:rtl/>
        </w:rPr>
        <w:t xml:space="preserve"> - למי</w:t>
      </w:r>
      <w:r w:rsidR="00730490" w:rsidRPr="00D93EC1">
        <w:rPr>
          <w:rFonts w:hint="cs"/>
          <w:u w:val="dotted"/>
          <w:rtl/>
        </w:rPr>
        <w:t>:</w:t>
      </w:r>
    </w:p>
    <w:p w14:paraId="3BAF35CD" w14:textId="74A75D81" w:rsidR="0059573B" w:rsidRPr="0059573B" w:rsidRDefault="00AB0DC3" w:rsidP="009000E3">
      <w:pPr>
        <w:pStyle w:val="ab"/>
        <w:numPr>
          <w:ilvl w:val="0"/>
          <w:numId w:val="47"/>
        </w:numPr>
      </w:pPr>
      <w:r w:rsidRPr="000F2C8D">
        <w:rPr>
          <w:rFonts w:cs="Arial"/>
          <w:rtl/>
        </w:rPr>
        <w:t xml:space="preserve">רא"ש </w:t>
      </w:r>
      <w:r w:rsidRPr="000F2C8D">
        <w:rPr>
          <w:rFonts w:cs="Arial"/>
          <w:sz w:val="16"/>
          <w:szCs w:val="16"/>
          <w:rtl/>
        </w:rPr>
        <w:t>(סי' ו)</w:t>
      </w:r>
      <w:r>
        <w:rPr>
          <w:rFonts w:cs="Arial" w:hint="cs"/>
          <w:rtl/>
        </w:rPr>
        <w:t xml:space="preserve"> </w:t>
      </w:r>
      <w:r w:rsidR="00730490">
        <w:rPr>
          <w:rFonts w:cs="Arial" w:hint="cs"/>
          <w:rtl/>
        </w:rPr>
        <w:t>טור</w:t>
      </w:r>
      <w:r>
        <w:rPr>
          <w:rFonts w:cs="Arial" w:hint="cs"/>
          <w:rtl/>
        </w:rPr>
        <w:t xml:space="preserve"> ו</w:t>
      </w:r>
      <w:r w:rsidRPr="000F2C8D">
        <w:rPr>
          <w:rFonts w:cs="Arial"/>
          <w:rtl/>
        </w:rPr>
        <w:t xml:space="preserve">ר"ן </w:t>
      </w:r>
      <w:r w:rsidRPr="00260391">
        <w:rPr>
          <w:rFonts w:cs="Arial"/>
          <w:sz w:val="16"/>
          <w:szCs w:val="16"/>
          <w:rtl/>
        </w:rPr>
        <w:t>(שם ד"ה ורבי חנניה)</w:t>
      </w:r>
      <w:r w:rsidR="00730490">
        <w:rPr>
          <w:rFonts w:cs="Arial" w:hint="cs"/>
          <w:rtl/>
        </w:rPr>
        <w:t xml:space="preserve">- </w:t>
      </w:r>
      <w:r w:rsidR="00605FD6" w:rsidRPr="007A228B">
        <w:rPr>
          <w:rFonts w:cs="Arial"/>
          <w:rtl/>
        </w:rPr>
        <w:t>כמו שמשתמש בהן ואוכל פירותיהן כך נוטל ולדותיהן וולד ולדותיהן עד עולם</w:t>
      </w:r>
      <w:r w:rsidR="001C0413">
        <w:rPr>
          <w:rFonts w:cs="Arial" w:hint="cs"/>
          <w:rtl/>
        </w:rPr>
        <w:t xml:space="preserve"> </w:t>
      </w:r>
      <w:r>
        <w:rPr>
          <w:rFonts w:cs="Arial" w:hint="cs"/>
          <w:sz w:val="16"/>
          <w:szCs w:val="16"/>
          <w:rtl/>
        </w:rPr>
        <w:t>(ל' הטור)</w:t>
      </w:r>
      <w:r>
        <w:rPr>
          <w:rFonts w:cs="Arial" w:hint="cs"/>
          <w:rtl/>
        </w:rPr>
        <w:t>.</w:t>
      </w:r>
      <w:r w:rsidR="00605FD6" w:rsidRPr="007A228B">
        <w:rPr>
          <w:rFonts w:cs="Arial"/>
          <w:rtl/>
        </w:rPr>
        <w:t xml:space="preserve"> </w:t>
      </w:r>
      <w:r w:rsidR="00672F1E">
        <w:rPr>
          <w:rFonts w:hint="cs"/>
          <w:rtl/>
        </w:rPr>
        <w:t>(וכ"פ הח"מ</w:t>
      </w:r>
      <w:r w:rsidR="00672F1E">
        <w:rPr>
          <w:rFonts w:hint="cs"/>
          <w:sz w:val="16"/>
          <w:szCs w:val="16"/>
          <w:rtl/>
        </w:rPr>
        <w:t xml:space="preserve"> [סקל"ט]</w:t>
      </w:r>
      <w:r w:rsidR="00672F1E">
        <w:rPr>
          <w:rFonts w:hint="cs"/>
          <w:rtl/>
        </w:rPr>
        <w:t>)</w:t>
      </w:r>
    </w:p>
    <w:p w14:paraId="2F8D40CD" w14:textId="69997ED1" w:rsidR="0059573B" w:rsidRDefault="00730490" w:rsidP="009000E3">
      <w:pPr>
        <w:pStyle w:val="ab"/>
        <w:numPr>
          <w:ilvl w:val="0"/>
          <w:numId w:val="47"/>
        </w:numPr>
      </w:pPr>
      <w:r>
        <w:rPr>
          <w:rFonts w:cs="Arial" w:hint="cs"/>
          <w:rtl/>
        </w:rPr>
        <w:lastRenderedPageBreak/>
        <w:t>רי"ף</w:t>
      </w:r>
      <w:r w:rsidR="00D93EC1">
        <w:rPr>
          <w:rFonts w:cs="Arial" w:hint="cs"/>
          <w:rtl/>
        </w:rPr>
        <w:t xml:space="preserve"> </w:t>
      </w:r>
      <w:r w:rsidR="00D93EC1" w:rsidRPr="000F2C8D">
        <w:rPr>
          <w:rFonts w:cs="Arial" w:hint="cs"/>
          <w:sz w:val="16"/>
          <w:szCs w:val="16"/>
          <w:rtl/>
        </w:rPr>
        <w:t>(לו:)</w:t>
      </w:r>
      <w:r>
        <w:rPr>
          <w:rFonts w:cs="Arial" w:hint="cs"/>
          <w:rtl/>
        </w:rPr>
        <w:t>-</w:t>
      </w:r>
      <w:r w:rsidR="00605FD6" w:rsidRPr="007A228B">
        <w:rPr>
          <w:rFonts w:cs="Arial"/>
          <w:rtl/>
        </w:rPr>
        <w:t xml:space="preserve"> אינו נוטל אלא ולדות ולא ולדי ולדות דפירי דפירי לא תקינו ליה רבנן</w:t>
      </w:r>
      <w:r>
        <w:rPr>
          <w:rFonts w:cs="Arial" w:hint="cs"/>
          <w:rtl/>
        </w:rPr>
        <w:t>,</w:t>
      </w:r>
      <w:r w:rsidR="00605FD6" w:rsidRPr="007A228B">
        <w:rPr>
          <w:rFonts w:cs="Arial"/>
          <w:rtl/>
        </w:rPr>
        <w:t xml:space="preserve"> והא דתנן אוכל פירי פירותיהן עד עולם היינו שמכר פירות וקנה בדמיהן קרקע</w:t>
      </w:r>
      <w:r>
        <w:rPr>
          <w:rFonts w:cs="Arial" w:hint="cs"/>
          <w:rtl/>
        </w:rPr>
        <w:t>,</w:t>
      </w:r>
      <w:r w:rsidR="00605FD6" w:rsidRPr="007A228B">
        <w:rPr>
          <w:rFonts w:cs="Arial"/>
          <w:rtl/>
        </w:rPr>
        <w:t xml:space="preserve"> דכיון דלא אכל לפירי דיניה דליכול פירי דפירי דקיימי במקום פירי</w:t>
      </w:r>
      <w:r>
        <w:rPr>
          <w:rFonts w:cs="Arial" w:hint="cs"/>
          <w:rtl/>
        </w:rPr>
        <w:t>,</w:t>
      </w:r>
      <w:r w:rsidR="00605FD6" w:rsidRPr="007A228B">
        <w:rPr>
          <w:rFonts w:cs="Arial"/>
          <w:rtl/>
        </w:rPr>
        <w:t xml:space="preserve"> אבל אם אוכל פירות</w:t>
      </w:r>
      <w:r>
        <w:rPr>
          <w:rFonts w:cs="Arial" w:hint="cs"/>
          <w:rtl/>
        </w:rPr>
        <w:t>,</w:t>
      </w:r>
      <w:r w:rsidR="00605FD6" w:rsidRPr="007A228B">
        <w:rPr>
          <w:rFonts w:cs="Arial"/>
          <w:rtl/>
        </w:rPr>
        <w:t xml:space="preserve"> לא יאכל פירי דפירי</w:t>
      </w:r>
      <w:r w:rsidR="00AB0DC3">
        <w:rPr>
          <w:rStyle w:val="a7"/>
          <w:rFonts w:cs="Arial"/>
          <w:rtl/>
        </w:rPr>
        <w:footnoteReference w:id="1005"/>
      </w:r>
      <w:r w:rsidR="00AB0DC3">
        <w:rPr>
          <w:rFonts w:cs="Arial" w:hint="cs"/>
          <w:sz w:val="16"/>
          <w:szCs w:val="16"/>
          <w:rtl/>
        </w:rPr>
        <w:t xml:space="preserve"> (ל' הטור בשמו)</w:t>
      </w:r>
      <w:r>
        <w:rPr>
          <w:rFonts w:cs="Arial" w:hint="cs"/>
          <w:rtl/>
        </w:rPr>
        <w:t>.</w:t>
      </w:r>
      <w:r w:rsidR="00605FD6" w:rsidRPr="007A228B">
        <w:rPr>
          <w:rFonts w:cs="Arial"/>
          <w:rtl/>
        </w:rPr>
        <w:t xml:space="preserve"> </w:t>
      </w:r>
    </w:p>
    <w:p w14:paraId="5809651A" w14:textId="62B27AAA" w:rsidR="00F62F59" w:rsidRPr="00D93EC1" w:rsidRDefault="00F62F59" w:rsidP="00D93EC1">
      <w:pPr>
        <w:rPr>
          <w:u w:val="single"/>
        </w:rPr>
      </w:pPr>
      <w:r w:rsidRPr="00D93EC1">
        <w:rPr>
          <w:rFonts w:hint="cs"/>
          <w:u w:val="single"/>
          <w:rtl/>
        </w:rPr>
        <w:t xml:space="preserve">ולד בהמת מלוג או בהמת מלוג עצמה שנגנבה, ונמצא הגנב </w:t>
      </w:r>
      <w:r w:rsidR="00F97626">
        <w:rPr>
          <w:u w:val="single"/>
          <w:rtl/>
        </w:rPr>
        <w:t>-</w:t>
      </w:r>
      <w:r w:rsidRPr="00D93EC1">
        <w:rPr>
          <w:rFonts w:hint="cs"/>
          <w:u w:val="single"/>
          <w:rtl/>
        </w:rPr>
        <w:t xml:space="preserve"> הכפל למי:</w:t>
      </w:r>
    </w:p>
    <w:p w14:paraId="53DE26FC" w14:textId="732120C5" w:rsidR="00F62F59" w:rsidRDefault="00D93EC1" w:rsidP="009000E3">
      <w:pPr>
        <w:pStyle w:val="ab"/>
        <w:numPr>
          <w:ilvl w:val="0"/>
          <w:numId w:val="47"/>
        </w:numPr>
      </w:pPr>
      <w:r w:rsidRPr="000D5ED4">
        <w:rPr>
          <w:rFonts w:cs="Arial"/>
          <w:rtl/>
        </w:rPr>
        <w:t>ריב"ן</w:t>
      </w:r>
      <w:r>
        <w:rPr>
          <w:rStyle w:val="a7"/>
          <w:rFonts w:cs="Arial"/>
          <w:rtl/>
        </w:rPr>
        <w:footnoteReference w:id="1006"/>
      </w:r>
      <w:r w:rsidRPr="000F2C8D">
        <w:rPr>
          <w:rFonts w:cs="Arial" w:hint="cs"/>
          <w:rtl/>
        </w:rPr>
        <w:t xml:space="preserve"> </w:t>
      </w:r>
      <w:r w:rsidRPr="000F2C8D">
        <w:rPr>
          <w:rFonts w:cs="Arial" w:hint="cs"/>
          <w:sz w:val="16"/>
          <w:szCs w:val="16"/>
          <w:rtl/>
        </w:rPr>
        <w:t>(</w:t>
      </w:r>
      <w:r>
        <w:rPr>
          <w:rFonts w:cs="Arial" w:hint="cs"/>
          <w:sz w:val="16"/>
          <w:szCs w:val="16"/>
          <w:rtl/>
        </w:rPr>
        <w:t xml:space="preserve">כ"כ בשמו בתוס' </w:t>
      </w:r>
      <w:r w:rsidRPr="000F2C8D">
        <w:rPr>
          <w:rFonts w:cs="Arial" w:hint="cs"/>
          <w:sz w:val="16"/>
          <w:szCs w:val="16"/>
          <w:rtl/>
        </w:rPr>
        <w:t>כתובות עט: ד"ה פירא דפירא)</w:t>
      </w:r>
      <w:r>
        <w:rPr>
          <w:rFonts w:cs="Arial" w:hint="cs"/>
          <w:rtl/>
        </w:rPr>
        <w:t xml:space="preserve"> </w:t>
      </w:r>
      <w:r w:rsidRPr="000F2C8D">
        <w:rPr>
          <w:rFonts w:cs="Arial"/>
          <w:rtl/>
        </w:rPr>
        <w:t>רא"ש</w:t>
      </w:r>
      <w:r>
        <w:rPr>
          <w:rStyle w:val="a7"/>
          <w:rFonts w:cs="Arial"/>
          <w:rtl/>
        </w:rPr>
        <w:footnoteReference w:id="1007"/>
      </w:r>
      <w:r w:rsidRPr="000F2C8D">
        <w:rPr>
          <w:rFonts w:cs="Arial"/>
          <w:rtl/>
        </w:rPr>
        <w:t xml:space="preserve"> </w:t>
      </w:r>
      <w:r w:rsidRPr="000F2C8D">
        <w:rPr>
          <w:rFonts w:cs="Arial"/>
          <w:sz w:val="16"/>
          <w:szCs w:val="16"/>
          <w:rtl/>
        </w:rPr>
        <w:t>(סי' ו)</w:t>
      </w:r>
      <w:r>
        <w:rPr>
          <w:rFonts w:cs="Arial" w:hint="cs"/>
          <w:rtl/>
        </w:rPr>
        <w:t xml:space="preserve"> טור ו</w:t>
      </w:r>
      <w:r w:rsidRPr="000F2C8D">
        <w:rPr>
          <w:rFonts w:cs="Arial"/>
          <w:rtl/>
        </w:rPr>
        <w:t>ר"ן</w:t>
      </w:r>
      <w:r>
        <w:rPr>
          <w:rStyle w:val="a7"/>
          <w:rFonts w:cs="Arial"/>
          <w:rtl/>
        </w:rPr>
        <w:footnoteReference w:id="1008"/>
      </w:r>
      <w:r w:rsidRPr="000F2C8D">
        <w:rPr>
          <w:rFonts w:cs="Arial"/>
          <w:rtl/>
        </w:rPr>
        <w:t xml:space="preserve"> </w:t>
      </w:r>
      <w:r w:rsidRPr="00260391">
        <w:rPr>
          <w:rFonts w:cs="Arial"/>
          <w:sz w:val="16"/>
          <w:szCs w:val="16"/>
          <w:rtl/>
        </w:rPr>
        <w:t>(שם ד"ה ורבי חנניה)</w:t>
      </w:r>
      <w:r w:rsidR="00066EDF">
        <w:rPr>
          <w:rFonts w:cs="Arial" w:hint="cs"/>
          <w:rtl/>
        </w:rPr>
        <w:t xml:space="preserve">- </w:t>
      </w:r>
      <w:r w:rsidR="00605FD6" w:rsidRPr="007A228B">
        <w:rPr>
          <w:rFonts w:cs="Arial"/>
          <w:rtl/>
        </w:rPr>
        <w:t>אע</w:t>
      </w:r>
      <w:r w:rsidR="00AB0DC3">
        <w:rPr>
          <w:rFonts w:cs="Arial" w:hint="cs"/>
          <w:rtl/>
        </w:rPr>
        <w:t>"</w:t>
      </w:r>
      <w:r w:rsidR="00605FD6" w:rsidRPr="007A228B">
        <w:rPr>
          <w:rFonts w:cs="Arial"/>
          <w:rtl/>
        </w:rPr>
        <w:t>פ שהולד הוא לבעל</w:t>
      </w:r>
      <w:r w:rsidR="00AB0DC3">
        <w:rPr>
          <w:rFonts w:cs="Arial" w:hint="cs"/>
          <w:rtl/>
        </w:rPr>
        <w:t>,</w:t>
      </w:r>
      <w:r w:rsidR="00605FD6" w:rsidRPr="007A228B">
        <w:rPr>
          <w:rFonts w:cs="Arial"/>
          <w:rtl/>
        </w:rPr>
        <w:t xml:space="preserve"> אם נגנב ונמצא הגנב </w:t>
      </w:r>
      <w:r w:rsidR="00AB0DC3">
        <w:rPr>
          <w:rFonts w:cs="Arial" w:hint="cs"/>
          <w:rtl/>
        </w:rPr>
        <w:t xml:space="preserve">- </w:t>
      </w:r>
      <w:r w:rsidR="00605FD6" w:rsidRPr="007A228B">
        <w:rPr>
          <w:rFonts w:cs="Arial"/>
          <w:rtl/>
        </w:rPr>
        <w:t>אין הכפל לבעל</w:t>
      </w:r>
      <w:r w:rsidR="00066EDF">
        <w:rPr>
          <w:rFonts w:cs="Arial" w:hint="cs"/>
          <w:rtl/>
        </w:rPr>
        <w:t>,</w:t>
      </w:r>
      <w:r w:rsidR="00605FD6" w:rsidRPr="007A228B">
        <w:rPr>
          <w:rFonts w:cs="Arial"/>
          <w:rtl/>
        </w:rPr>
        <w:t xml:space="preserve"> ואפי</w:t>
      </w:r>
      <w:r w:rsidR="0027408B">
        <w:rPr>
          <w:rFonts w:cs="Arial" w:hint="cs"/>
          <w:rtl/>
        </w:rPr>
        <w:t>לו</w:t>
      </w:r>
      <w:r w:rsidR="0027408B">
        <w:rPr>
          <w:rStyle w:val="a7"/>
          <w:rFonts w:cs="Arial"/>
          <w:rtl/>
        </w:rPr>
        <w:footnoteReference w:id="1009"/>
      </w:r>
      <w:r w:rsidR="00605FD6" w:rsidRPr="007A228B">
        <w:rPr>
          <w:rFonts w:cs="Arial"/>
          <w:rtl/>
        </w:rPr>
        <w:t xml:space="preserve"> האם בעצמה אם נגנבה</w:t>
      </w:r>
      <w:r w:rsidR="00AB0DC3">
        <w:rPr>
          <w:rFonts w:cs="Arial" w:hint="cs"/>
          <w:rtl/>
        </w:rPr>
        <w:t xml:space="preserve"> -</w:t>
      </w:r>
      <w:r w:rsidR="00605FD6" w:rsidRPr="007A228B">
        <w:rPr>
          <w:rFonts w:cs="Arial"/>
          <w:rtl/>
        </w:rPr>
        <w:t xml:space="preserve"> אין הכפל לבעל</w:t>
      </w:r>
      <w:r>
        <w:rPr>
          <w:rFonts w:cs="Arial" w:hint="cs"/>
          <w:sz w:val="16"/>
          <w:szCs w:val="16"/>
          <w:rtl/>
        </w:rPr>
        <w:t xml:space="preserve"> (ל' הטור)</w:t>
      </w:r>
      <w:r w:rsidR="00605FD6">
        <w:rPr>
          <w:rFonts w:cs="Arial" w:hint="cs"/>
          <w:rtl/>
        </w:rPr>
        <w:t>.</w:t>
      </w:r>
      <w:r w:rsidR="00672F1E" w:rsidRPr="00672F1E">
        <w:rPr>
          <w:rFonts w:hint="cs"/>
          <w:rtl/>
        </w:rPr>
        <w:t xml:space="preserve"> </w:t>
      </w:r>
      <w:r w:rsidR="00672F1E">
        <w:rPr>
          <w:rFonts w:hint="cs"/>
          <w:rtl/>
        </w:rPr>
        <w:t>(וכ"פ הח"מ</w:t>
      </w:r>
      <w:r w:rsidR="00672F1E">
        <w:rPr>
          <w:rFonts w:hint="cs"/>
          <w:sz w:val="16"/>
          <w:szCs w:val="16"/>
          <w:rtl/>
        </w:rPr>
        <w:t xml:space="preserve"> [סקל"ט]</w:t>
      </w:r>
      <w:r w:rsidR="00672F1E">
        <w:rPr>
          <w:rFonts w:hint="cs"/>
          <w:rtl/>
        </w:rPr>
        <w:t>)</w:t>
      </w:r>
      <w:r w:rsidR="00605FD6" w:rsidRPr="007A228B">
        <w:rPr>
          <w:rFonts w:cs="Arial"/>
          <w:rtl/>
        </w:rPr>
        <w:t xml:space="preserve"> </w:t>
      </w:r>
    </w:p>
    <w:p w14:paraId="719C2CC9" w14:textId="75AEB589" w:rsidR="00AB0DC3" w:rsidRPr="00D93EC1" w:rsidRDefault="00AB0DC3" w:rsidP="00D93EC1">
      <w:pPr>
        <w:rPr>
          <w:u w:val="single"/>
        </w:rPr>
      </w:pPr>
      <w:r w:rsidRPr="00D93EC1">
        <w:rPr>
          <w:rFonts w:hint="cs"/>
          <w:u w:val="single"/>
          <w:rtl/>
        </w:rPr>
        <w:t xml:space="preserve">בהמת מלוג שמתה והולד שלה עדיין קיים </w:t>
      </w:r>
      <w:r w:rsidR="00F97626">
        <w:rPr>
          <w:u w:val="single"/>
          <w:rtl/>
        </w:rPr>
        <w:t>-</w:t>
      </w:r>
      <w:r w:rsidRPr="00D93EC1">
        <w:rPr>
          <w:rFonts w:hint="cs"/>
          <w:u w:val="single"/>
          <w:rtl/>
        </w:rPr>
        <w:t xml:space="preserve"> האם חוזר להיות קרן:</w:t>
      </w:r>
    </w:p>
    <w:p w14:paraId="720E9FD0" w14:textId="58F31F53" w:rsidR="007A228B" w:rsidRDefault="00A14E50" w:rsidP="009000E3">
      <w:pPr>
        <w:pStyle w:val="ab"/>
        <w:numPr>
          <w:ilvl w:val="0"/>
          <w:numId w:val="47"/>
        </w:numPr>
        <w:rPr>
          <w:rtl/>
        </w:rPr>
      </w:pPr>
      <w:r w:rsidRPr="00A14E50">
        <w:rPr>
          <w:rFonts w:cs="Arial"/>
          <w:rtl/>
        </w:rPr>
        <w:t xml:space="preserve">בה"ג </w:t>
      </w:r>
      <w:r w:rsidRPr="00A14E50">
        <w:rPr>
          <w:rFonts w:cs="Arial"/>
          <w:sz w:val="16"/>
          <w:szCs w:val="16"/>
          <w:rtl/>
        </w:rPr>
        <w:t>(הלכות גדולות, כתובות סח ע"ד)</w:t>
      </w:r>
      <w:r w:rsidRPr="00A14E50">
        <w:rPr>
          <w:rFonts w:cs="Arial" w:hint="cs"/>
          <w:sz w:val="16"/>
          <w:szCs w:val="16"/>
          <w:rtl/>
        </w:rPr>
        <w:t xml:space="preserve"> </w:t>
      </w:r>
      <w:r>
        <w:rPr>
          <w:rFonts w:cs="Arial" w:hint="cs"/>
          <w:rtl/>
        </w:rPr>
        <w:t>רא"ש</w:t>
      </w:r>
      <w:r>
        <w:rPr>
          <w:rFonts w:cs="Arial" w:hint="cs"/>
          <w:sz w:val="16"/>
          <w:szCs w:val="16"/>
          <w:rtl/>
        </w:rPr>
        <w:t xml:space="preserve"> (שם)</w:t>
      </w:r>
      <w:r>
        <w:rPr>
          <w:rFonts w:cs="Arial" w:hint="cs"/>
          <w:rtl/>
        </w:rPr>
        <w:t xml:space="preserve"> ו</w:t>
      </w:r>
      <w:r w:rsidR="00AB0DC3" w:rsidRPr="00A14E50">
        <w:rPr>
          <w:rFonts w:cs="Arial" w:hint="cs"/>
          <w:rtl/>
        </w:rPr>
        <w:t xml:space="preserve">טור- </w:t>
      </w:r>
      <w:r>
        <w:rPr>
          <w:rFonts w:cs="Arial" w:hint="cs"/>
          <w:rtl/>
        </w:rPr>
        <w:t>ה</w:t>
      </w:r>
      <w:r w:rsidRPr="00A14E50">
        <w:rPr>
          <w:rFonts w:cs="Arial"/>
          <w:rtl/>
        </w:rPr>
        <w:t>יכא דמתו אימותיהן</w:t>
      </w:r>
      <w:r w:rsidRPr="00A14E50">
        <w:rPr>
          <w:rFonts w:cs="Arial" w:hint="cs"/>
          <w:rtl/>
        </w:rPr>
        <w:t>,</w:t>
      </w:r>
      <w:r w:rsidRPr="00A14E50">
        <w:rPr>
          <w:rFonts w:cs="Arial"/>
          <w:rtl/>
        </w:rPr>
        <w:t xml:space="preserve"> ולדות דכל חד וחד במקום אימיה קאי</w:t>
      </w:r>
      <w:r>
        <w:rPr>
          <w:rFonts w:cs="Arial" w:hint="cs"/>
          <w:sz w:val="16"/>
          <w:szCs w:val="16"/>
          <w:rtl/>
        </w:rPr>
        <w:t xml:space="preserve"> (ל' הרא"ש בשם בה"ג)</w:t>
      </w:r>
      <w:r w:rsidRPr="00A14E50">
        <w:rPr>
          <w:rFonts w:cs="Arial"/>
          <w:rtl/>
        </w:rPr>
        <w:t xml:space="preserve">. </w:t>
      </w:r>
      <w:r w:rsidR="00672F1E">
        <w:rPr>
          <w:rFonts w:hint="cs"/>
          <w:rtl/>
        </w:rPr>
        <w:t>(וכ"פ הח"מ</w:t>
      </w:r>
      <w:r w:rsidR="00672F1E">
        <w:rPr>
          <w:rFonts w:hint="cs"/>
          <w:sz w:val="16"/>
          <w:szCs w:val="16"/>
          <w:rtl/>
        </w:rPr>
        <w:t xml:space="preserve"> [סקל"ט]</w:t>
      </w:r>
      <w:r w:rsidR="00672F1E">
        <w:rPr>
          <w:rFonts w:hint="cs"/>
          <w:rtl/>
        </w:rPr>
        <w:t>)</w:t>
      </w:r>
    </w:p>
    <w:p w14:paraId="73EEBB91"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2DF1E3BC" w14:textId="77055F63" w:rsidR="007A3469" w:rsidRDefault="007A3469" w:rsidP="007A3469">
      <w:pPr>
        <w:rPr>
          <w:rtl/>
        </w:rPr>
      </w:pPr>
      <w:r>
        <w:rPr>
          <w:rFonts w:cs="Arial"/>
          <w:rtl/>
        </w:rPr>
        <w:t>עבדי נכסי מלוג ובהמות נ</w:t>
      </w:r>
      <w:r w:rsidR="0059573B">
        <w:rPr>
          <w:rFonts w:cs="Arial" w:hint="cs"/>
          <w:rtl/>
        </w:rPr>
        <w:t xml:space="preserve">כסי </w:t>
      </w:r>
      <w:r>
        <w:rPr>
          <w:rFonts w:cs="Arial"/>
          <w:rtl/>
        </w:rPr>
        <w:t>מ</w:t>
      </w:r>
      <w:r w:rsidR="0059573B">
        <w:rPr>
          <w:rFonts w:cs="Arial" w:hint="cs"/>
          <w:rtl/>
        </w:rPr>
        <w:t>לוג</w:t>
      </w:r>
      <w:r>
        <w:rPr>
          <w:rFonts w:cs="Arial"/>
          <w:rtl/>
        </w:rPr>
        <w:t>, הבעל חייב במזונותיהם</w:t>
      </w:r>
      <w:r w:rsidR="005A2554">
        <w:rPr>
          <w:rStyle w:val="a7"/>
          <w:rFonts w:cs="Arial"/>
          <w:rtl/>
        </w:rPr>
        <w:footnoteReference w:id="1010"/>
      </w:r>
      <w:r>
        <w:rPr>
          <w:rFonts w:cs="Arial"/>
          <w:rtl/>
        </w:rPr>
        <w:t xml:space="preserve"> ובכל צרכיהם, והם עושים לו והוא אוכל פירותיהם. לפיכך ולד שפחת מלוג, לבעל</w:t>
      </w:r>
      <w:r w:rsidR="005A2554">
        <w:rPr>
          <w:rStyle w:val="a7"/>
          <w:rFonts w:cs="Arial"/>
          <w:rtl/>
        </w:rPr>
        <w:footnoteReference w:id="1011"/>
      </w:r>
      <w:r w:rsidR="0059573B">
        <w:rPr>
          <w:rFonts w:cs="Arial" w:hint="cs"/>
          <w:rtl/>
        </w:rPr>
        <w:t>.</w:t>
      </w:r>
      <w:r>
        <w:rPr>
          <w:rFonts w:cs="Arial"/>
          <w:rtl/>
        </w:rPr>
        <w:t xml:space="preserve"> ולד בהמת מלוג, לבעל</w:t>
      </w:r>
      <w:r w:rsidR="0059573B">
        <w:rPr>
          <w:rFonts w:cs="Arial" w:hint="cs"/>
          <w:rtl/>
        </w:rPr>
        <w:t>.</w:t>
      </w:r>
      <w:r>
        <w:rPr>
          <w:rFonts w:cs="Arial"/>
          <w:rtl/>
        </w:rPr>
        <w:t xml:space="preserve"> ואם גירשה, ורצתה האשה לתת דמים וליטול ולד השפחה</w:t>
      </w:r>
      <w:r w:rsidR="005A2554">
        <w:rPr>
          <w:rStyle w:val="a7"/>
          <w:rFonts w:cs="Arial"/>
          <w:rtl/>
        </w:rPr>
        <w:footnoteReference w:id="1012"/>
      </w:r>
      <w:r>
        <w:rPr>
          <w:rFonts w:cs="Arial"/>
          <w:rtl/>
        </w:rPr>
        <w:t xml:space="preserve">, מפני שבח בית אביה, שומעין לה. </w:t>
      </w:r>
    </w:p>
    <w:p w14:paraId="78845C76" w14:textId="77777777" w:rsidR="00F46615" w:rsidRDefault="00F46615" w:rsidP="007A3469">
      <w:pPr>
        <w:rPr>
          <w:rtl/>
        </w:rPr>
      </w:pPr>
    </w:p>
    <w:p w14:paraId="33BA5F17" w14:textId="39CD30B5" w:rsidR="007A3469" w:rsidRDefault="007A3469" w:rsidP="000F64D0">
      <w:pPr>
        <w:pStyle w:val="2"/>
        <w:rPr>
          <w:rtl/>
        </w:rPr>
      </w:pPr>
      <w:r>
        <w:rPr>
          <w:rtl/>
        </w:rPr>
        <w:t>סעיף יז</w:t>
      </w:r>
      <w:r w:rsidR="005A2554">
        <w:rPr>
          <w:rFonts w:hint="cs"/>
          <w:rtl/>
        </w:rPr>
        <w:t xml:space="preserve">: </w:t>
      </w:r>
      <w:r w:rsidR="007012B1">
        <w:rPr>
          <w:rFonts w:hint="cs"/>
          <w:rtl/>
        </w:rPr>
        <w:t xml:space="preserve">בעל שרוצה למכור </w:t>
      </w:r>
      <w:r w:rsidR="007F0A31">
        <w:rPr>
          <w:rFonts w:hint="cs"/>
          <w:rtl/>
        </w:rPr>
        <w:t>קרקע מלוג ל</w:t>
      </w:r>
      <w:r w:rsidR="007012B1">
        <w:rPr>
          <w:rFonts w:hint="cs"/>
          <w:rtl/>
        </w:rPr>
        <w:t>פירות.</w:t>
      </w:r>
    </w:p>
    <w:p w14:paraId="340D4860" w14:textId="5801970D" w:rsidR="00695580" w:rsidRDefault="00695580" w:rsidP="00695580">
      <w:pPr>
        <w:rPr>
          <w:rtl/>
        </w:rPr>
      </w:pPr>
      <w:r w:rsidRPr="003C240D">
        <w:rPr>
          <w:rFonts w:cs="Arial" w:hint="cs"/>
          <w:b/>
          <w:bCs/>
          <w:rtl/>
        </w:rPr>
        <w:t xml:space="preserve">כתובות </w:t>
      </w:r>
      <w:r>
        <w:rPr>
          <w:rFonts w:cs="Arial" w:hint="cs"/>
          <w:b/>
          <w:bCs/>
          <w:sz w:val="16"/>
          <w:szCs w:val="16"/>
          <w:rtl/>
        </w:rPr>
        <w:t xml:space="preserve">(פ' האשה שנפלו) </w:t>
      </w:r>
      <w:r w:rsidR="00E93E51">
        <w:rPr>
          <w:rFonts w:cs="Arial" w:hint="cs"/>
          <w:b/>
          <w:bCs/>
          <w:rtl/>
        </w:rPr>
        <w:t>פ</w:t>
      </w:r>
      <w:r w:rsidR="009A0161">
        <w:rPr>
          <w:rStyle w:val="a7"/>
          <w:rFonts w:cs="Arial"/>
          <w:b/>
          <w:bCs/>
          <w:rtl/>
        </w:rPr>
        <w:footnoteReference w:id="1013"/>
      </w:r>
      <w:r w:rsidRPr="003C240D">
        <w:rPr>
          <w:rFonts w:cs="Arial" w:hint="cs"/>
          <w:b/>
          <w:bCs/>
          <w:rtl/>
        </w:rPr>
        <w:t xml:space="preserve"> ע"</w:t>
      </w:r>
      <w:r>
        <w:rPr>
          <w:rFonts w:cs="Arial" w:hint="cs"/>
          <w:b/>
          <w:bCs/>
          <w:rtl/>
        </w:rPr>
        <w:t>א</w:t>
      </w:r>
      <w:r w:rsidRPr="003C240D">
        <w:rPr>
          <w:rFonts w:cs="Arial" w:hint="cs"/>
          <w:b/>
          <w:bCs/>
          <w:rtl/>
        </w:rPr>
        <w:t xml:space="preserve">: </w:t>
      </w:r>
      <w:r w:rsidR="00E93E51" w:rsidRPr="00E93E51">
        <w:rPr>
          <w:rFonts w:cs="Arial"/>
          <w:rtl/>
        </w:rPr>
        <w:t>איבעיא להו: בעל שמכר קרקע לפירות</w:t>
      </w:r>
      <w:r w:rsidR="001270F4">
        <w:rPr>
          <w:rStyle w:val="a7"/>
          <w:rFonts w:cs="Arial"/>
          <w:rtl/>
        </w:rPr>
        <w:footnoteReference w:id="1014"/>
      </w:r>
      <w:r w:rsidR="00E93E51" w:rsidRPr="00E93E51">
        <w:rPr>
          <w:rFonts w:cs="Arial"/>
          <w:rtl/>
        </w:rPr>
        <w:t>, מהו? מי אמרינן מאי דקני אקני, או דלמא כי תקינו ליה רבנן פירות לבעל</w:t>
      </w:r>
      <w:r w:rsidR="00E93E51">
        <w:rPr>
          <w:rFonts w:cs="Arial" w:hint="cs"/>
          <w:sz w:val="14"/>
          <w:szCs w:val="14"/>
          <w:rtl/>
        </w:rPr>
        <w:t xml:space="preserve"> (פ:)</w:t>
      </w:r>
      <w:r w:rsidR="00E93E51" w:rsidRPr="00E93E51">
        <w:rPr>
          <w:rFonts w:cs="Arial"/>
          <w:rtl/>
        </w:rPr>
        <w:t xml:space="preserve"> -</w:t>
      </w:r>
      <w:r w:rsidR="00E93E51">
        <w:rPr>
          <w:rFonts w:cs="Arial" w:hint="cs"/>
          <w:rtl/>
        </w:rPr>
        <w:t xml:space="preserve"> </w:t>
      </w:r>
      <w:r w:rsidR="00E93E51" w:rsidRPr="00E93E51">
        <w:rPr>
          <w:rFonts w:cs="Arial"/>
          <w:rtl/>
        </w:rPr>
        <w:t>משום רווח ביתא</w:t>
      </w:r>
      <w:r w:rsidR="001270F4">
        <w:rPr>
          <w:rStyle w:val="a7"/>
          <w:rFonts w:cs="Arial"/>
          <w:rtl/>
        </w:rPr>
        <w:footnoteReference w:id="1015"/>
      </w:r>
      <w:r w:rsidR="00E93E51" w:rsidRPr="00E93E51">
        <w:rPr>
          <w:rFonts w:cs="Arial"/>
          <w:rtl/>
        </w:rPr>
        <w:t xml:space="preserve">, אבל לזבוני לא? </w:t>
      </w:r>
      <w:r w:rsidR="00E93E51" w:rsidRPr="00E93E51">
        <w:rPr>
          <w:rFonts w:cs="Arial"/>
          <w:u w:val="single"/>
          <w:rtl/>
        </w:rPr>
        <w:t>יהודה מר בר מרימר משמיה דרבא אמר</w:t>
      </w:r>
      <w:r w:rsidR="00E93E51" w:rsidRPr="00E93E51">
        <w:rPr>
          <w:rFonts w:cs="Arial"/>
          <w:rtl/>
        </w:rPr>
        <w:t>: מה שעשה עשוי</w:t>
      </w:r>
      <w:r w:rsidR="00E93E51">
        <w:rPr>
          <w:rFonts w:cs="Arial" w:hint="cs"/>
          <w:rtl/>
        </w:rPr>
        <w:t>.</w:t>
      </w:r>
      <w:r w:rsidR="00E93E51" w:rsidRPr="00E93E51">
        <w:rPr>
          <w:rFonts w:cs="Arial"/>
          <w:rtl/>
        </w:rPr>
        <w:t xml:space="preserve"> </w:t>
      </w:r>
      <w:r w:rsidR="00E93E51" w:rsidRPr="00E93E51">
        <w:rPr>
          <w:rFonts w:cs="Arial"/>
          <w:u w:val="single"/>
          <w:rtl/>
        </w:rPr>
        <w:t>רב פפא אמר משמי' דרבא</w:t>
      </w:r>
      <w:r w:rsidR="00E93E51" w:rsidRPr="00E93E51">
        <w:rPr>
          <w:rFonts w:cs="Arial"/>
          <w:rtl/>
        </w:rPr>
        <w:t xml:space="preserve">: לא עשה ולא כלום. </w:t>
      </w:r>
      <w:r w:rsidR="00E93E51" w:rsidRPr="00E93E51">
        <w:rPr>
          <w:rFonts w:cs="Arial"/>
          <w:u w:val="single"/>
          <w:rtl/>
        </w:rPr>
        <w:t>אמר רב פפא</w:t>
      </w:r>
      <w:r w:rsidR="00E93E51" w:rsidRPr="00E93E51">
        <w:rPr>
          <w:rFonts w:cs="Arial"/>
          <w:rtl/>
        </w:rPr>
        <w:t>: הא דיהודה מר בר מרימר - לאו בפירוש אתמר אלא מכללא אתמר, דההיא איתתא דעיילה ליה לגברא תרתי אמהתא, אזל גברא נסיב איתתא אחריתי עייל לה חדא מנייהו, אתאי לקמיה דרבא, צווחה לא אשגח בה</w:t>
      </w:r>
      <w:r w:rsidR="007012B1">
        <w:rPr>
          <w:rFonts w:cs="Arial" w:hint="cs"/>
          <w:rtl/>
        </w:rPr>
        <w:t>.</w:t>
      </w:r>
      <w:r w:rsidR="00E93E51" w:rsidRPr="00E93E51">
        <w:rPr>
          <w:rFonts w:cs="Arial"/>
          <w:rtl/>
        </w:rPr>
        <w:t xml:space="preserve"> מאן דחזא סבר, משום דסבר: מה שעשה עשוי, ולא היא</w:t>
      </w:r>
      <w:r w:rsidR="00197DA4">
        <w:rPr>
          <w:rStyle w:val="a7"/>
          <w:rFonts w:cs="Arial"/>
          <w:rtl/>
        </w:rPr>
        <w:footnoteReference w:id="1016"/>
      </w:r>
      <w:r w:rsidR="00E93E51" w:rsidRPr="00E93E51">
        <w:rPr>
          <w:rFonts w:cs="Arial"/>
          <w:rtl/>
        </w:rPr>
        <w:t>, משום רווח ביתא, והא קא רווח</w:t>
      </w:r>
      <w:r w:rsidR="00197DA4">
        <w:rPr>
          <w:rStyle w:val="a7"/>
          <w:rFonts w:cs="Arial"/>
          <w:rtl/>
        </w:rPr>
        <w:footnoteReference w:id="1017"/>
      </w:r>
      <w:r w:rsidR="00E93E51" w:rsidRPr="00E93E51">
        <w:rPr>
          <w:rFonts w:cs="Arial"/>
          <w:rtl/>
        </w:rPr>
        <w:t xml:space="preserve">. והלכתא: בעל שמכר קרקע לפירות - לא עשה ולא כלום. מ"ט? </w:t>
      </w:r>
      <w:r w:rsidR="00E93E51" w:rsidRPr="007012B1">
        <w:rPr>
          <w:rFonts w:cs="Arial"/>
          <w:u w:val="single"/>
          <w:rtl/>
        </w:rPr>
        <w:lastRenderedPageBreak/>
        <w:t>אביי אמר</w:t>
      </w:r>
      <w:r w:rsidR="00E93E51" w:rsidRPr="00E93E51">
        <w:rPr>
          <w:rFonts w:cs="Arial"/>
          <w:rtl/>
        </w:rPr>
        <w:t>: חיישינן שמא תכסיף</w:t>
      </w:r>
      <w:r w:rsidR="00197DA4">
        <w:rPr>
          <w:rStyle w:val="a7"/>
          <w:rFonts w:cs="Arial"/>
          <w:rtl/>
        </w:rPr>
        <w:footnoteReference w:id="1018"/>
      </w:r>
      <w:r w:rsidR="007012B1">
        <w:rPr>
          <w:rFonts w:cs="Arial" w:hint="cs"/>
          <w:rtl/>
        </w:rPr>
        <w:t>.</w:t>
      </w:r>
      <w:r w:rsidR="00E93E51" w:rsidRPr="00E93E51">
        <w:rPr>
          <w:rFonts w:cs="Arial"/>
          <w:rtl/>
        </w:rPr>
        <w:t xml:space="preserve"> </w:t>
      </w:r>
      <w:r w:rsidR="00E93E51" w:rsidRPr="007012B1">
        <w:rPr>
          <w:rFonts w:cs="Arial"/>
          <w:u w:val="single"/>
          <w:rtl/>
        </w:rPr>
        <w:t>רבא אמר</w:t>
      </w:r>
      <w:r w:rsidR="00E93E51" w:rsidRPr="00E93E51">
        <w:rPr>
          <w:rFonts w:cs="Arial"/>
          <w:rtl/>
        </w:rPr>
        <w:t>: משום רווח ביתא. מאי בינייהו? איכא בינייהו: ארעא דמקרב למתא</w:t>
      </w:r>
      <w:r w:rsidR="00197DA4">
        <w:rPr>
          <w:rStyle w:val="a7"/>
          <w:rFonts w:cs="Arial"/>
          <w:rtl/>
        </w:rPr>
        <w:footnoteReference w:id="1019"/>
      </w:r>
      <w:r w:rsidR="007012B1">
        <w:rPr>
          <w:rFonts w:cs="Arial" w:hint="cs"/>
          <w:rtl/>
        </w:rPr>
        <w:t>.</w:t>
      </w:r>
      <w:r w:rsidR="00E93E51" w:rsidRPr="00E93E51">
        <w:rPr>
          <w:rFonts w:cs="Arial"/>
          <w:rtl/>
        </w:rPr>
        <w:t xml:space="preserve"> אי נמי, בעל אריס הוא</w:t>
      </w:r>
      <w:r w:rsidR="00197DA4">
        <w:rPr>
          <w:rStyle w:val="a7"/>
          <w:rFonts w:cs="Arial"/>
          <w:rtl/>
        </w:rPr>
        <w:footnoteReference w:id="1020"/>
      </w:r>
      <w:r w:rsidR="007012B1">
        <w:rPr>
          <w:rFonts w:cs="Arial" w:hint="cs"/>
          <w:rtl/>
        </w:rPr>
        <w:t>.</w:t>
      </w:r>
      <w:r w:rsidR="00E93E51" w:rsidRPr="00E93E51">
        <w:rPr>
          <w:rFonts w:cs="Arial"/>
          <w:rtl/>
        </w:rPr>
        <w:t xml:space="preserve"> אי נמי, זוזי וקא עביד בהו עיסקא</w:t>
      </w:r>
      <w:r w:rsidR="00197DA4">
        <w:rPr>
          <w:rStyle w:val="a7"/>
          <w:rFonts w:cs="Arial"/>
          <w:rtl/>
        </w:rPr>
        <w:footnoteReference w:id="1021"/>
      </w:r>
      <w:r w:rsidR="00E93E51" w:rsidRPr="00E93E51">
        <w:rPr>
          <w:rFonts w:cs="Arial"/>
          <w:rtl/>
        </w:rPr>
        <w:t>.</w:t>
      </w:r>
      <w:r w:rsidR="007012B1" w:rsidRPr="007012B1">
        <w:rPr>
          <w:rFonts w:cs="Arial"/>
          <w:rtl/>
        </w:rPr>
        <w:t xml:space="preserve"> </w:t>
      </w:r>
      <w:r w:rsidR="007012B1" w:rsidRPr="007012B1">
        <w:rPr>
          <w:rFonts w:cs="Arial" w:hint="cs"/>
          <w:sz w:val="16"/>
          <w:szCs w:val="16"/>
          <w:rtl/>
        </w:rPr>
        <w:t>(</w:t>
      </w:r>
      <w:r w:rsidR="007012B1" w:rsidRPr="007012B1">
        <w:rPr>
          <w:rFonts w:cs="Arial"/>
          <w:sz w:val="16"/>
          <w:szCs w:val="16"/>
          <w:rtl/>
        </w:rPr>
        <w:t>וידוע דהלכה כרבא. וכתב הרא"ש (סי' יא) על בעיא זו</w:t>
      </w:r>
      <w:r w:rsidR="009A0161">
        <w:rPr>
          <w:rFonts w:cs="Arial" w:hint="cs"/>
          <w:sz w:val="16"/>
          <w:szCs w:val="16"/>
          <w:rtl/>
        </w:rPr>
        <w:t>:</w:t>
      </w:r>
      <w:r w:rsidR="007012B1" w:rsidRPr="007012B1">
        <w:rPr>
          <w:rFonts w:cs="Arial"/>
          <w:sz w:val="16"/>
          <w:szCs w:val="16"/>
          <w:rtl/>
        </w:rPr>
        <w:t xml:space="preserve"> משמע דפשיטא ליה לאחר שליקט הפירות יכול למוכרן</w:t>
      </w:r>
      <w:r w:rsidR="00310BCC">
        <w:rPr>
          <w:rFonts w:cs="Arial" w:hint="cs"/>
          <w:sz w:val="16"/>
          <w:szCs w:val="16"/>
          <w:rtl/>
        </w:rPr>
        <w:t>,</w:t>
      </w:r>
      <w:r w:rsidR="007012B1" w:rsidRPr="007012B1">
        <w:rPr>
          <w:rFonts w:cs="Arial"/>
          <w:sz w:val="16"/>
          <w:szCs w:val="16"/>
          <w:rtl/>
        </w:rPr>
        <w:t xml:space="preserve"> מדלא קא מיבעיא ליה אלא במוכר קרקע לפירות</w:t>
      </w:r>
      <w:r w:rsidR="00310BCC">
        <w:rPr>
          <w:rFonts w:cs="Arial" w:hint="cs"/>
          <w:sz w:val="16"/>
          <w:szCs w:val="16"/>
          <w:rtl/>
        </w:rPr>
        <w:t>.</w:t>
      </w:r>
      <w:r w:rsidR="007012B1" w:rsidRPr="007012B1">
        <w:rPr>
          <w:rFonts w:cs="Arial"/>
          <w:sz w:val="16"/>
          <w:szCs w:val="16"/>
          <w:rtl/>
        </w:rPr>
        <w:t xml:space="preserve"> והיינו טעמא כשמוכר פירות בכל שנה ושנה איכא רווחא בדמים וגם נהנו מן הפירות קודם שמכרן</w:t>
      </w:r>
      <w:r w:rsidR="00310BCC">
        <w:rPr>
          <w:rFonts w:cs="Arial" w:hint="cs"/>
          <w:sz w:val="16"/>
          <w:szCs w:val="16"/>
          <w:rtl/>
        </w:rPr>
        <w:t>,</w:t>
      </w:r>
      <w:r w:rsidR="007012B1" w:rsidRPr="007012B1">
        <w:rPr>
          <w:rFonts w:cs="Arial"/>
          <w:sz w:val="16"/>
          <w:szCs w:val="16"/>
          <w:rtl/>
        </w:rPr>
        <w:t xml:space="preserve"> אבל כשמכר הקרקע לפירות ולשנים מרובים ומקבל הדמים ומוציאין ליכא רווח ביתא מכאן ואילך</w:t>
      </w:r>
      <w:r w:rsidR="007012B1" w:rsidRPr="007012B1">
        <w:rPr>
          <w:rFonts w:cs="Arial" w:hint="cs"/>
          <w:sz w:val="16"/>
          <w:szCs w:val="16"/>
          <w:rtl/>
        </w:rPr>
        <w:t>, ב"י)</w:t>
      </w:r>
    </w:p>
    <w:p w14:paraId="3C90CE44" w14:textId="04C5F824" w:rsidR="007012B1" w:rsidRPr="007012B1" w:rsidRDefault="00310BCC" w:rsidP="00695580">
      <w:pPr>
        <w:rPr>
          <w:u w:val="single"/>
          <w:rtl/>
        </w:rPr>
      </w:pPr>
      <w:r w:rsidRPr="00310BCC">
        <w:rPr>
          <w:rFonts w:hint="cs"/>
          <w:u w:val="single"/>
          <w:rtl/>
        </w:rPr>
        <w:t>בעל שרוצה למכור קרקע מלוג לפירות</w:t>
      </w:r>
      <w:r w:rsidR="007012B1" w:rsidRPr="007012B1">
        <w:rPr>
          <w:rFonts w:hint="cs"/>
          <w:u w:val="single"/>
          <w:rtl/>
        </w:rPr>
        <w:t>:</w:t>
      </w:r>
    </w:p>
    <w:p w14:paraId="29D33357" w14:textId="39CF1266" w:rsidR="007A228B" w:rsidRDefault="007012B1" w:rsidP="009000E3">
      <w:pPr>
        <w:pStyle w:val="ab"/>
        <w:numPr>
          <w:ilvl w:val="0"/>
          <w:numId w:val="47"/>
        </w:numPr>
      </w:pPr>
      <w:r>
        <w:rPr>
          <w:rFonts w:cs="Arial" w:hint="cs"/>
          <w:rtl/>
        </w:rPr>
        <w:t xml:space="preserve">רא"ש </w:t>
      </w:r>
      <w:r w:rsidRPr="007012B1">
        <w:rPr>
          <w:rFonts w:cs="Arial"/>
          <w:sz w:val="16"/>
          <w:szCs w:val="16"/>
          <w:rtl/>
        </w:rPr>
        <w:t xml:space="preserve">(סי' יא) </w:t>
      </w:r>
      <w:r>
        <w:rPr>
          <w:rFonts w:cs="Arial" w:hint="cs"/>
          <w:rtl/>
        </w:rPr>
        <w:t>ו</w:t>
      </w:r>
      <w:r w:rsidR="00605FD6">
        <w:rPr>
          <w:rFonts w:cs="Arial" w:hint="cs"/>
          <w:rtl/>
        </w:rPr>
        <w:t xml:space="preserve">טור- </w:t>
      </w:r>
      <w:r w:rsidR="00605FD6" w:rsidRPr="007A228B">
        <w:rPr>
          <w:rFonts w:cs="Arial"/>
          <w:rtl/>
        </w:rPr>
        <w:t>אפי</w:t>
      </w:r>
      <w:r>
        <w:rPr>
          <w:rFonts w:cs="Arial" w:hint="cs"/>
          <w:rtl/>
        </w:rPr>
        <w:t>לו</w:t>
      </w:r>
      <w:r w:rsidR="00605FD6" w:rsidRPr="007A228B">
        <w:rPr>
          <w:rFonts w:cs="Arial"/>
          <w:rtl/>
        </w:rPr>
        <w:t xml:space="preserve"> רצה הבעל למכור קרקע של נכסי מלוג לאחר</w:t>
      </w:r>
      <w:r w:rsidR="00E93E51">
        <w:rPr>
          <w:rFonts w:cs="Arial" w:hint="cs"/>
          <w:rtl/>
        </w:rPr>
        <w:t>,</w:t>
      </w:r>
      <w:r w:rsidR="00605FD6" w:rsidRPr="007A228B">
        <w:rPr>
          <w:rFonts w:cs="Arial"/>
          <w:rtl/>
        </w:rPr>
        <w:t xml:space="preserve"> שיקח פירותיו לשנים מרובות ומקדים לו המעות</w:t>
      </w:r>
      <w:r w:rsidR="00E93E51">
        <w:rPr>
          <w:rFonts w:cs="Arial" w:hint="cs"/>
          <w:rtl/>
        </w:rPr>
        <w:t xml:space="preserve"> -</w:t>
      </w:r>
      <w:r w:rsidR="00605FD6" w:rsidRPr="007A228B">
        <w:rPr>
          <w:rFonts w:cs="Arial"/>
          <w:rtl/>
        </w:rPr>
        <w:t xml:space="preserve"> אין שומעין לו אפי' אם הקרקע קרוב לו ומעיין לו בכל יום שלא יפסידנו הלוקח</w:t>
      </w:r>
      <w:r w:rsidR="00E93E51">
        <w:rPr>
          <w:rFonts w:cs="Arial" w:hint="cs"/>
          <w:rtl/>
        </w:rPr>
        <w:t>,</w:t>
      </w:r>
      <w:r w:rsidR="00605FD6" w:rsidRPr="007A228B">
        <w:rPr>
          <w:rFonts w:cs="Arial"/>
          <w:rtl/>
        </w:rPr>
        <w:t xml:space="preserve"> משום רווח ביתא</w:t>
      </w:r>
      <w:r w:rsidR="00E93E51">
        <w:rPr>
          <w:rFonts w:cs="Arial" w:hint="cs"/>
          <w:rtl/>
        </w:rPr>
        <w:t>,</w:t>
      </w:r>
      <w:r w:rsidR="00605FD6" w:rsidRPr="007A228B">
        <w:rPr>
          <w:rFonts w:cs="Arial"/>
          <w:rtl/>
        </w:rPr>
        <w:t xml:space="preserve"> פי' שטוב לה יותר שישאר בידו כדי שיהיה הוצאת הבית מרווחת</w:t>
      </w:r>
      <w:r w:rsidR="00E93E51">
        <w:rPr>
          <w:rFonts w:cs="Arial" w:hint="cs"/>
          <w:rtl/>
        </w:rPr>
        <w:t>.</w:t>
      </w:r>
      <w:r w:rsidR="00605FD6" w:rsidRPr="007A228B">
        <w:rPr>
          <w:rFonts w:cs="Arial"/>
          <w:rtl/>
        </w:rPr>
        <w:t xml:space="preserve"> שאם מוכר הפירות לשנים מרובות ונוטל הדמים ביחד ליכא רווח ביתא</w:t>
      </w:r>
      <w:r w:rsidR="00E93E51">
        <w:rPr>
          <w:rFonts w:cs="Arial" w:hint="cs"/>
          <w:rtl/>
        </w:rPr>
        <w:t>.</w:t>
      </w:r>
      <w:r w:rsidR="00605FD6" w:rsidRPr="007A228B">
        <w:rPr>
          <w:rFonts w:cs="Arial"/>
          <w:rtl/>
        </w:rPr>
        <w:t xml:space="preserve"> אבל יכול למכור הפירות בכל שנה ושנה אחר שלקטן</w:t>
      </w:r>
      <w:r w:rsidR="00E93E51">
        <w:rPr>
          <w:rFonts w:cs="Arial" w:hint="cs"/>
          <w:rtl/>
        </w:rPr>
        <w:t>,</w:t>
      </w:r>
      <w:r w:rsidR="00605FD6" w:rsidRPr="007A228B">
        <w:rPr>
          <w:rFonts w:cs="Arial"/>
          <w:rtl/>
        </w:rPr>
        <w:t xml:space="preserve"> דהא איכא רווח ביתא בכל שנה ושנה</w:t>
      </w:r>
      <w:r w:rsidR="00E93E51">
        <w:rPr>
          <w:rFonts w:cs="Arial" w:hint="cs"/>
          <w:rtl/>
        </w:rPr>
        <w:t>.</w:t>
      </w:r>
      <w:r w:rsidR="00605FD6" w:rsidRPr="007A228B">
        <w:rPr>
          <w:rFonts w:cs="Arial"/>
          <w:rtl/>
        </w:rPr>
        <w:t xml:space="preserve"> וכן אם ימכור פירותיו לשנים מרובות ועושה סחורה במעות שפיר דמי</w:t>
      </w:r>
      <w:r w:rsidR="00B55D9F">
        <w:rPr>
          <w:rFonts w:cs="Arial" w:hint="cs"/>
          <w:sz w:val="16"/>
          <w:szCs w:val="16"/>
          <w:rtl/>
        </w:rPr>
        <w:t xml:space="preserve"> (ל' הטור)</w:t>
      </w:r>
      <w:r w:rsidR="002C1AF8">
        <w:rPr>
          <w:rFonts w:cs="Arial" w:hint="cs"/>
          <w:rtl/>
        </w:rPr>
        <w:t>.</w:t>
      </w:r>
      <w:r w:rsidR="00605FD6" w:rsidRPr="007A228B">
        <w:rPr>
          <w:rFonts w:cs="Arial"/>
          <w:rtl/>
        </w:rPr>
        <w:t xml:space="preserve"> </w:t>
      </w:r>
      <w:r w:rsidR="00B55D9F" w:rsidRPr="00137671">
        <w:rPr>
          <w:rFonts w:hint="cs"/>
          <w:color w:val="E36C0A" w:themeColor="accent6" w:themeShade="BF"/>
          <w:rtl/>
        </w:rPr>
        <w:t>(וכ"פ בשו"ע)</w:t>
      </w:r>
    </w:p>
    <w:p w14:paraId="1A8F805D" w14:textId="26887AED" w:rsidR="00F62FB8" w:rsidRPr="00F62FB8" w:rsidRDefault="00F62FB8" w:rsidP="00F62FB8">
      <w:pPr>
        <w:ind w:left="360"/>
        <w:rPr>
          <w:u w:val="dotted"/>
          <w:rtl/>
        </w:rPr>
      </w:pPr>
      <w:r>
        <w:rPr>
          <w:rFonts w:hint="cs"/>
          <w:u w:val="dotted"/>
          <w:rtl/>
        </w:rPr>
        <w:t xml:space="preserve">ומה הדין אם </w:t>
      </w:r>
      <w:r w:rsidRPr="00F62FB8">
        <w:rPr>
          <w:rFonts w:hint="cs"/>
          <w:u w:val="dotted"/>
          <w:rtl/>
        </w:rPr>
        <w:t>הקרקע רחוקה</w:t>
      </w:r>
      <w:r w:rsidR="001A6DB3">
        <w:rPr>
          <w:rFonts w:hint="cs"/>
          <w:u w:val="dotted"/>
          <w:rtl/>
        </w:rPr>
        <w:t xml:space="preserve"> וירוויח יותר אם ימכור לפירות לשנים רבות:</w:t>
      </w:r>
    </w:p>
    <w:p w14:paraId="0E3C42F5" w14:textId="77777777" w:rsidR="00F62FB8" w:rsidRPr="00A45E10" w:rsidRDefault="00F62FB8" w:rsidP="00F62FB8">
      <w:pPr>
        <w:pStyle w:val="ab"/>
        <w:numPr>
          <w:ilvl w:val="0"/>
          <w:numId w:val="47"/>
        </w:numPr>
      </w:pPr>
      <w:r w:rsidRPr="007A228B">
        <w:rPr>
          <w:rFonts w:cs="Arial"/>
          <w:rtl/>
        </w:rPr>
        <w:t xml:space="preserve">רב האי </w:t>
      </w:r>
      <w:r w:rsidRPr="00A45E10">
        <w:rPr>
          <w:rFonts w:cs="Arial"/>
          <w:sz w:val="16"/>
          <w:szCs w:val="16"/>
          <w:rtl/>
        </w:rPr>
        <w:t>(המקח והממכר שער ד</w:t>
      </w:r>
      <w:r>
        <w:rPr>
          <w:rFonts w:cs="Arial" w:hint="cs"/>
          <w:sz w:val="16"/>
          <w:szCs w:val="16"/>
          <w:rtl/>
        </w:rPr>
        <w:t>, הביאוהו הרא"ש והטור</w:t>
      </w:r>
      <w:r w:rsidRPr="00A45E10">
        <w:rPr>
          <w:rFonts w:cs="Arial"/>
          <w:sz w:val="16"/>
          <w:szCs w:val="16"/>
          <w:rtl/>
        </w:rPr>
        <w:t>)</w:t>
      </w:r>
      <w:r>
        <w:rPr>
          <w:rFonts w:cs="Arial" w:hint="cs"/>
          <w:rtl/>
        </w:rPr>
        <w:t xml:space="preserve"> רא"ש </w:t>
      </w:r>
      <w:r>
        <w:rPr>
          <w:rFonts w:cs="Arial" w:hint="cs"/>
          <w:sz w:val="16"/>
          <w:szCs w:val="16"/>
          <w:rtl/>
        </w:rPr>
        <w:t>(פ"ח סי' יא)</w:t>
      </w:r>
      <w:r>
        <w:rPr>
          <w:rFonts w:cs="Arial" w:hint="cs"/>
          <w:rtl/>
        </w:rPr>
        <w:t xml:space="preserve"> וטור- </w:t>
      </w:r>
      <w:r w:rsidRPr="007A228B">
        <w:rPr>
          <w:rFonts w:cs="Arial"/>
          <w:rtl/>
        </w:rPr>
        <w:t xml:space="preserve">אם הקרקע רחוק ומכר לפירות </w:t>
      </w:r>
      <w:r>
        <w:rPr>
          <w:rFonts w:cs="Arial" w:hint="cs"/>
          <w:rtl/>
        </w:rPr>
        <w:t xml:space="preserve">- </w:t>
      </w:r>
      <w:r w:rsidRPr="007A228B">
        <w:rPr>
          <w:rFonts w:cs="Arial"/>
          <w:rtl/>
        </w:rPr>
        <w:t>מכור</w:t>
      </w:r>
      <w:r>
        <w:rPr>
          <w:rFonts w:cs="Arial" w:hint="cs"/>
          <w:rtl/>
        </w:rPr>
        <w:t>,</w:t>
      </w:r>
      <w:r w:rsidRPr="007A228B">
        <w:rPr>
          <w:rFonts w:cs="Arial"/>
          <w:rtl/>
        </w:rPr>
        <w:t xml:space="preserve"> כיון שהוא רחוק ואינו יכול להביא הפירות לבית גם מעיקרא ליכא רווח ביתא</w:t>
      </w:r>
      <w:r>
        <w:rPr>
          <w:rFonts w:cs="Arial" w:hint="cs"/>
          <w:rtl/>
        </w:rPr>
        <w:t>.</w:t>
      </w:r>
      <w:r w:rsidRPr="007A228B">
        <w:rPr>
          <w:rFonts w:cs="Arial"/>
          <w:rtl/>
        </w:rPr>
        <w:t xml:space="preserve"> ואע</w:t>
      </w:r>
      <w:r>
        <w:rPr>
          <w:rFonts w:cs="Arial" w:hint="cs"/>
          <w:rtl/>
        </w:rPr>
        <w:t>"</w:t>
      </w:r>
      <w:r w:rsidRPr="007A228B">
        <w:rPr>
          <w:rFonts w:cs="Arial"/>
          <w:rtl/>
        </w:rPr>
        <w:t>פ שאם היה מוכר הפירות בכל שנה ושנה היה לו רווח ביתא בדמים</w:t>
      </w:r>
      <w:r>
        <w:rPr>
          <w:rFonts w:cs="Arial" w:hint="cs"/>
          <w:rtl/>
        </w:rPr>
        <w:t>,</w:t>
      </w:r>
      <w:r w:rsidRPr="007A228B">
        <w:rPr>
          <w:rFonts w:cs="Arial"/>
          <w:rtl/>
        </w:rPr>
        <w:t xml:space="preserve"> כיון שהוא רחוק ממנו וצריך להוציא יציאות ולטרוח בכל שנה ושנה טוב יותר למוכרו לפירות</w:t>
      </w:r>
      <w:r>
        <w:rPr>
          <w:rFonts w:cs="Arial" w:hint="cs"/>
          <w:sz w:val="16"/>
          <w:szCs w:val="16"/>
          <w:rtl/>
        </w:rPr>
        <w:t xml:space="preserve"> (ל' הטור בשם רב האי)</w:t>
      </w:r>
      <w:r>
        <w:rPr>
          <w:rFonts w:cs="Arial" w:hint="cs"/>
          <w:rtl/>
        </w:rPr>
        <w:t>.</w:t>
      </w:r>
      <w:r w:rsidRPr="007A228B">
        <w:rPr>
          <w:rFonts w:cs="Arial"/>
          <w:rtl/>
        </w:rPr>
        <w:t xml:space="preserve"> </w:t>
      </w:r>
      <w:r w:rsidRPr="00137671">
        <w:rPr>
          <w:rFonts w:hint="cs"/>
          <w:color w:val="E36C0A" w:themeColor="accent6" w:themeShade="BF"/>
          <w:rtl/>
        </w:rPr>
        <w:t>(וכ"פ בשו"ע)</w:t>
      </w:r>
    </w:p>
    <w:p w14:paraId="38E17C4F" w14:textId="77777777" w:rsidR="00F62FB8" w:rsidRPr="00167ADF" w:rsidRDefault="00F62FB8" w:rsidP="00F62FB8">
      <w:pPr>
        <w:rPr>
          <w:u w:val="single"/>
        </w:rPr>
      </w:pPr>
      <w:r w:rsidRPr="00167ADF">
        <w:rPr>
          <w:rFonts w:cs="Arial"/>
          <w:u w:val="single"/>
          <w:rtl/>
        </w:rPr>
        <w:t>נפלו לה כספים</w:t>
      </w:r>
      <w:r w:rsidRPr="00167ADF">
        <w:rPr>
          <w:rFonts w:hint="cs"/>
          <w:u w:val="single"/>
          <w:rtl/>
        </w:rPr>
        <w:t>, ורוצה הבעל להוציא אותם בעיסקא כדי להרוויח יותר:</w:t>
      </w:r>
    </w:p>
    <w:p w14:paraId="5ED7DEE9" w14:textId="6F7BF6D6" w:rsidR="00F62FB8" w:rsidRPr="007A228B" w:rsidRDefault="00F62FB8" w:rsidP="00F62FB8">
      <w:pPr>
        <w:pStyle w:val="ab"/>
        <w:numPr>
          <w:ilvl w:val="0"/>
          <w:numId w:val="47"/>
        </w:numPr>
        <w:rPr>
          <w:rtl/>
        </w:rPr>
      </w:pPr>
      <w:r w:rsidRPr="00A45E10">
        <w:rPr>
          <w:rFonts w:cs="Arial"/>
          <w:rtl/>
        </w:rPr>
        <w:t xml:space="preserve">רשב"א </w:t>
      </w:r>
      <w:r w:rsidRPr="00A45E10">
        <w:rPr>
          <w:rFonts w:cs="Arial"/>
          <w:sz w:val="16"/>
          <w:szCs w:val="16"/>
          <w:rtl/>
        </w:rPr>
        <w:t>(ח"ב סי' שז)</w:t>
      </w:r>
      <w:r>
        <w:rPr>
          <w:rFonts w:cs="Arial" w:hint="cs"/>
          <w:rtl/>
        </w:rPr>
        <w:t>-</w:t>
      </w:r>
      <w:r w:rsidRPr="00A45E10">
        <w:rPr>
          <w:rFonts w:cs="Arial"/>
          <w:rtl/>
        </w:rPr>
        <w:t xml:space="preserve"> נפלו לה כספים</w:t>
      </w:r>
      <w:r w:rsidR="001A6DB3">
        <w:rPr>
          <w:rFonts w:cs="Arial" w:hint="cs"/>
          <w:rtl/>
        </w:rPr>
        <w:t xml:space="preserve">, </w:t>
      </w:r>
      <w:r w:rsidRPr="00A45E10">
        <w:rPr>
          <w:rFonts w:cs="Arial"/>
          <w:rtl/>
        </w:rPr>
        <w:t>ילקח בהם קרקע והוא אוכל פירות</w:t>
      </w:r>
      <w:r w:rsidR="001A6DB3">
        <w:rPr>
          <w:rFonts w:cs="Arial" w:hint="cs"/>
          <w:rtl/>
        </w:rPr>
        <w:t>.</w:t>
      </w:r>
      <w:r w:rsidRPr="00A45E10">
        <w:rPr>
          <w:rFonts w:cs="Arial"/>
          <w:rtl/>
        </w:rPr>
        <w:t xml:space="preserve"> ואם אמר הבעל עבידנא עיסקא בזוזי ומרווחנא טובא ואיכא רווח ביתא </w:t>
      </w:r>
      <w:r>
        <w:rPr>
          <w:rFonts w:cs="Arial" w:hint="cs"/>
          <w:rtl/>
        </w:rPr>
        <w:t xml:space="preserve">- </w:t>
      </w:r>
      <w:r w:rsidRPr="00A45E10">
        <w:rPr>
          <w:rFonts w:cs="Arial"/>
          <w:rtl/>
        </w:rPr>
        <w:t>אין שומעין לו</w:t>
      </w:r>
      <w:r>
        <w:rPr>
          <w:rFonts w:cs="Arial" w:hint="cs"/>
          <w:rtl/>
        </w:rPr>
        <w:t>.</w:t>
      </w:r>
      <w:r w:rsidRPr="00A45E10">
        <w:rPr>
          <w:rFonts w:cs="Arial"/>
          <w:rtl/>
        </w:rPr>
        <w:t xml:space="preserve"> ודברי רבא שאמר בזוזי ועביד בהו עיסקא דשומעין לו משום רווח ביתא לא על דרך זה נאמרו אלא על מוכר פירות נכסי מלוג</w:t>
      </w:r>
      <w:r>
        <w:rPr>
          <w:rFonts w:cs="Arial" w:hint="cs"/>
          <w:rtl/>
        </w:rPr>
        <w:t>,</w:t>
      </w:r>
      <w:r w:rsidRPr="00A45E10">
        <w:rPr>
          <w:rFonts w:cs="Arial"/>
          <w:rtl/>
        </w:rPr>
        <w:t xml:space="preserve"> אבל קרן זוזי דנפלו לה בנכסי מלוג </w:t>
      </w:r>
      <w:r>
        <w:rPr>
          <w:rFonts w:cs="Arial" w:hint="cs"/>
          <w:rtl/>
        </w:rPr>
        <w:t xml:space="preserve">- </w:t>
      </w:r>
      <w:r w:rsidRPr="00A45E10">
        <w:rPr>
          <w:rFonts w:cs="Arial"/>
          <w:rtl/>
        </w:rPr>
        <w:t>אין שומעין לו</w:t>
      </w:r>
      <w:r>
        <w:rPr>
          <w:rFonts w:cs="Arial" w:hint="cs"/>
          <w:rtl/>
        </w:rPr>
        <w:t>,</w:t>
      </w:r>
      <w:r w:rsidRPr="00A45E10">
        <w:rPr>
          <w:rFonts w:cs="Arial"/>
          <w:rtl/>
        </w:rPr>
        <w:t xml:space="preserve"> וזה פשוט מאד</w:t>
      </w:r>
      <w:r>
        <w:rPr>
          <w:rFonts w:cs="Arial" w:hint="cs"/>
          <w:rtl/>
        </w:rPr>
        <w:t>.</w:t>
      </w:r>
      <w:r>
        <w:rPr>
          <w:rFonts w:hint="cs"/>
          <w:rtl/>
        </w:rPr>
        <w:t xml:space="preserve"> (וכ"פ הח"מ</w:t>
      </w:r>
      <w:r>
        <w:rPr>
          <w:rFonts w:hint="cs"/>
          <w:sz w:val="16"/>
          <w:szCs w:val="16"/>
          <w:rtl/>
        </w:rPr>
        <w:t xml:space="preserve"> [סקמ"ב]</w:t>
      </w:r>
      <w:r>
        <w:rPr>
          <w:rFonts w:hint="cs"/>
          <w:rtl/>
        </w:rPr>
        <w:t>)</w:t>
      </w:r>
    </w:p>
    <w:p w14:paraId="289E9AE5"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0FDECD40" w14:textId="01B95905" w:rsidR="007A3469" w:rsidRDefault="007A3469" w:rsidP="007A3469">
      <w:pPr>
        <w:rPr>
          <w:rtl/>
        </w:rPr>
      </w:pPr>
      <w:r>
        <w:rPr>
          <w:rFonts w:cs="Arial"/>
          <w:rtl/>
        </w:rPr>
        <w:t xml:space="preserve">אם רצה הבעל למכור קרקע של נכסי מלוג לאחר, שיקח פירותיו לשנים מרובות, ומקדים לו המעות, אין שומעין לו. אבל יכול למכור הפירות בכל שנה, אחר שליקטן. וכן אם ימכור הפירות לשנים מרובות, ועושה סחורה במעות, שפיר דמי. </w:t>
      </w:r>
      <w:r w:rsidR="009A0161">
        <w:rPr>
          <w:rFonts w:cs="Arial" w:hint="cs"/>
          <w:sz w:val="18"/>
          <w:szCs w:val="18"/>
          <w:rtl/>
        </w:rPr>
        <w:t xml:space="preserve">[הגה] </w:t>
      </w:r>
      <w:r w:rsidRPr="00F46615">
        <w:rPr>
          <w:rFonts w:cs="Arial"/>
          <w:sz w:val="18"/>
          <w:szCs w:val="18"/>
          <w:rtl/>
        </w:rPr>
        <w:t xml:space="preserve">ואם ב"ח גובה מנדוניית האשה או </w:t>
      </w:r>
      <w:r w:rsidR="00750751">
        <w:rPr>
          <w:rFonts w:cs="Arial"/>
          <w:sz w:val="18"/>
          <w:szCs w:val="18"/>
          <w:rtl/>
        </w:rPr>
        <w:t>נכסי מלוג</w:t>
      </w:r>
      <w:r w:rsidRPr="00F46615">
        <w:rPr>
          <w:rFonts w:cs="Arial"/>
          <w:sz w:val="18"/>
          <w:szCs w:val="18"/>
          <w:rtl/>
        </w:rPr>
        <w:t xml:space="preserve"> שלה</w:t>
      </w:r>
      <w:r w:rsidR="00310BCC">
        <w:rPr>
          <w:rStyle w:val="a7"/>
          <w:rFonts w:cs="Arial"/>
          <w:sz w:val="18"/>
          <w:szCs w:val="18"/>
          <w:rtl/>
        </w:rPr>
        <w:footnoteReference w:id="1022"/>
      </w:r>
      <w:r w:rsidRPr="00F46615">
        <w:rPr>
          <w:rFonts w:cs="Arial"/>
          <w:sz w:val="18"/>
          <w:szCs w:val="18"/>
          <w:rtl/>
        </w:rPr>
        <w:t xml:space="preserve"> עיין בח"ה ס' צ"ז. </w:t>
      </w:r>
    </w:p>
    <w:p w14:paraId="0023E690" w14:textId="77777777" w:rsidR="00F46615" w:rsidRDefault="00F46615" w:rsidP="007A3469">
      <w:pPr>
        <w:rPr>
          <w:rtl/>
        </w:rPr>
      </w:pPr>
    </w:p>
    <w:p w14:paraId="7174C632" w14:textId="479F378E" w:rsidR="007A3469" w:rsidRDefault="007A3469" w:rsidP="000F64D0">
      <w:pPr>
        <w:pStyle w:val="2"/>
        <w:rPr>
          <w:rtl/>
        </w:rPr>
      </w:pPr>
      <w:r>
        <w:rPr>
          <w:rtl/>
        </w:rPr>
        <w:t>סעיף יח</w:t>
      </w:r>
      <w:r w:rsidR="00310BCC">
        <w:rPr>
          <w:rFonts w:hint="cs"/>
          <w:rtl/>
        </w:rPr>
        <w:t xml:space="preserve">: בעל שרוצה למכור קרקע מלוג לפירות - והקרקע רחוקה. </w:t>
      </w:r>
    </w:p>
    <w:p w14:paraId="22F27B4D" w14:textId="3BF013B5" w:rsidR="00F62FB8" w:rsidRPr="00F62FB8" w:rsidRDefault="00F62FB8" w:rsidP="00F62FB8">
      <w:pPr>
        <w:rPr>
          <w:rtl/>
        </w:rPr>
      </w:pPr>
      <w:r>
        <w:rPr>
          <w:rFonts w:hint="cs"/>
          <w:rtl/>
        </w:rPr>
        <w:t>עיין במקורות בסעיף יז.</w:t>
      </w:r>
    </w:p>
    <w:p w14:paraId="67A90859"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27E463FA" w14:textId="4A9489E8" w:rsidR="007A3469" w:rsidRDefault="007A3469" w:rsidP="007A3469">
      <w:pPr>
        <w:rPr>
          <w:rtl/>
        </w:rPr>
      </w:pPr>
      <w:r>
        <w:rPr>
          <w:rFonts w:cs="Arial"/>
          <w:rtl/>
        </w:rPr>
        <w:t>יש מי שאומר שאם הקרקע רחוק ומכרו לפירות לשנים מרובות מכור</w:t>
      </w:r>
      <w:r w:rsidR="00167ADF">
        <w:rPr>
          <w:rStyle w:val="a7"/>
          <w:rFonts w:cs="Arial"/>
          <w:rtl/>
        </w:rPr>
        <w:footnoteReference w:id="1023"/>
      </w:r>
      <w:r>
        <w:rPr>
          <w:rFonts w:cs="Arial"/>
          <w:rtl/>
        </w:rPr>
        <w:t xml:space="preserve">. </w:t>
      </w:r>
    </w:p>
    <w:p w14:paraId="4285AACF" w14:textId="77777777" w:rsidR="00F46615" w:rsidRDefault="00F46615" w:rsidP="007A3469">
      <w:pPr>
        <w:rPr>
          <w:rtl/>
        </w:rPr>
      </w:pPr>
    </w:p>
    <w:p w14:paraId="7FDC3260" w14:textId="6CDF97A6" w:rsidR="007A3469" w:rsidRDefault="007A3469" w:rsidP="000F64D0">
      <w:pPr>
        <w:pStyle w:val="2"/>
        <w:rPr>
          <w:rtl/>
        </w:rPr>
      </w:pPr>
      <w:r>
        <w:rPr>
          <w:rtl/>
        </w:rPr>
        <w:lastRenderedPageBreak/>
        <w:t>סעיף יט</w:t>
      </w:r>
      <w:r w:rsidR="00A45E10">
        <w:rPr>
          <w:rFonts w:hint="cs"/>
          <w:rtl/>
        </w:rPr>
        <w:t>:</w:t>
      </w:r>
      <w:r w:rsidR="00167ADF">
        <w:rPr>
          <w:rFonts w:hint="cs"/>
          <w:rtl/>
        </w:rPr>
        <w:t xml:space="preserve"> </w:t>
      </w:r>
      <w:r w:rsidR="006A451E" w:rsidRPr="007A228B">
        <w:rPr>
          <w:rtl/>
        </w:rPr>
        <w:t>הכניסה לו שתי שפחות</w:t>
      </w:r>
      <w:r w:rsidR="006A451E">
        <w:rPr>
          <w:rFonts w:hint="cs"/>
          <w:rtl/>
        </w:rPr>
        <w:t>,</w:t>
      </w:r>
      <w:r w:rsidR="006A451E" w:rsidRPr="007A228B">
        <w:rPr>
          <w:rtl/>
        </w:rPr>
        <w:t xml:space="preserve"> </w:t>
      </w:r>
      <w:r w:rsidR="006A451E">
        <w:rPr>
          <w:rFonts w:hint="cs"/>
          <w:rtl/>
        </w:rPr>
        <w:t>ורוצה</w:t>
      </w:r>
      <w:r w:rsidR="006A451E" w:rsidRPr="007A228B">
        <w:rPr>
          <w:rtl/>
        </w:rPr>
        <w:t xml:space="preserve"> לייחד אחת מהן לאשה אחרת שיש לו</w:t>
      </w:r>
      <w:r w:rsidR="006A451E">
        <w:rPr>
          <w:rFonts w:hint="cs"/>
          <w:rtl/>
        </w:rPr>
        <w:t>.</w:t>
      </w:r>
    </w:p>
    <w:p w14:paraId="2D0447DA" w14:textId="66806ADA" w:rsidR="00A45E10" w:rsidRPr="006A451E" w:rsidRDefault="00A45E10" w:rsidP="006A451E">
      <w:pPr>
        <w:rPr>
          <w:rFonts w:cs="Arial"/>
          <w:rtl/>
        </w:rPr>
      </w:pPr>
      <w:r w:rsidRPr="003C240D">
        <w:rPr>
          <w:rFonts w:cs="Arial" w:hint="cs"/>
          <w:b/>
          <w:bCs/>
          <w:rtl/>
        </w:rPr>
        <w:t xml:space="preserve">כתובות </w:t>
      </w:r>
      <w:r>
        <w:rPr>
          <w:rFonts w:cs="Arial" w:hint="cs"/>
          <w:b/>
          <w:bCs/>
          <w:sz w:val="16"/>
          <w:szCs w:val="16"/>
          <w:rtl/>
        </w:rPr>
        <w:t xml:space="preserve">(פ' האשה שנפלו) </w:t>
      </w:r>
      <w:r>
        <w:rPr>
          <w:rFonts w:cs="Arial" w:hint="cs"/>
          <w:b/>
          <w:bCs/>
          <w:rtl/>
        </w:rPr>
        <w:t>פ</w:t>
      </w:r>
      <w:r w:rsidRPr="003C240D">
        <w:rPr>
          <w:rFonts w:cs="Arial" w:hint="cs"/>
          <w:b/>
          <w:bCs/>
          <w:rtl/>
        </w:rPr>
        <w:t xml:space="preserve"> ע"</w:t>
      </w:r>
      <w:r>
        <w:rPr>
          <w:rFonts w:cs="Arial" w:hint="cs"/>
          <w:b/>
          <w:bCs/>
          <w:rtl/>
        </w:rPr>
        <w:t>א</w:t>
      </w:r>
      <w:r w:rsidRPr="003C240D">
        <w:rPr>
          <w:rFonts w:cs="Arial" w:hint="cs"/>
          <w:b/>
          <w:bCs/>
          <w:rtl/>
        </w:rPr>
        <w:t xml:space="preserve">: </w:t>
      </w:r>
      <w:r w:rsidRPr="00E93E51">
        <w:rPr>
          <w:rFonts w:cs="Arial"/>
          <w:rtl/>
        </w:rPr>
        <w:t>איבעיא להו: בעל שמכר קרקע לפירות</w:t>
      </w:r>
      <w:r>
        <w:rPr>
          <w:rStyle w:val="a7"/>
          <w:rFonts w:cs="Arial"/>
          <w:rtl/>
        </w:rPr>
        <w:footnoteReference w:id="1024"/>
      </w:r>
      <w:r w:rsidRPr="00E93E51">
        <w:rPr>
          <w:rFonts w:cs="Arial"/>
          <w:rtl/>
        </w:rPr>
        <w:t>, מהו? מי אמרינן מאי דקני אקני, או דלמא כי תקינו ליה רבנן פירות לבעל</w:t>
      </w:r>
      <w:r>
        <w:rPr>
          <w:rFonts w:cs="Arial" w:hint="cs"/>
          <w:sz w:val="14"/>
          <w:szCs w:val="14"/>
          <w:rtl/>
        </w:rPr>
        <w:t xml:space="preserve"> (פ:)</w:t>
      </w:r>
      <w:r w:rsidRPr="00E93E51">
        <w:rPr>
          <w:rFonts w:cs="Arial"/>
          <w:rtl/>
        </w:rPr>
        <w:t xml:space="preserve"> -</w:t>
      </w:r>
      <w:r>
        <w:rPr>
          <w:rFonts w:cs="Arial" w:hint="cs"/>
          <w:rtl/>
        </w:rPr>
        <w:t xml:space="preserve"> </w:t>
      </w:r>
      <w:r w:rsidRPr="00E93E51">
        <w:rPr>
          <w:rFonts w:cs="Arial"/>
          <w:rtl/>
        </w:rPr>
        <w:t>משום רווח ביתא</w:t>
      </w:r>
      <w:r>
        <w:rPr>
          <w:rStyle w:val="a7"/>
          <w:rFonts w:cs="Arial"/>
          <w:rtl/>
        </w:rPr>
        <w:footnoteReference w:id="1025"/>
      </w:r>
      <w:r w:rsidRPr="00E93E51">
        <w:rPr>
          <w:rFonts w:cs="Arial"/>
          <w:rtl/>
        </w:rPr>
        <w:t xml:space="preserve">, אבל לזבוני לא? </w:t>
      </w:r>
      <w:r w:rsidRPr="00E93E51">
        <w:rPr>
          <w:rFonts w:cs="Arial"/>
          <w:u w:val="single"/>
          <w:rtl/>
        </w:rPr>
        <w:t>יהודה מר בר מרימר משמיה דרבא אמר</w:t>
      </w:r>
      <w:r w:rsidRPr="00E93E51">
        <w:rPr>
          <w:rFonts w:cs="Arial"/>
          <w:rtl/>
        </w:rPr>
        <w:t>: מה שעשה עשוי</w:t>
      </w:r>
      <w:r>
        <w:rPr>
          <w:rFonts w:cs="Arial" w:hint="cs"/>
          <w:rtl/>
        </w:rPr>
        <w:t>.</w:t>
      </w:r>
      <w:r w:rsidRPr="00E93E51">
        <w:rPr>
          <w:rFonts w:cs="Arial"/>
          <w:rtl/>
        </w:rPr>
        <w:t xml:space="preserve"> </w:t>
      </w:r>
      <w:r w:rsidRPr="00E93E51">
        <w:rPr>
          <w:rFonts w:cs="Arial"/>
          <w:u w:val="single"/>
          <w:rtl/>
        </w:rPr>
        <w:t>רב פפא אמר משמי' דרבא</w:t>
      </w:r>
      <w:r w:rsidRPr="00E93E51">
        <w:rPr>
          <w:rFonts w:cs="Arial"/>
          <w:rtl/>
        </w:rPr>
        <w:t xml:space="preserve">: לא עשה ולא כלום. </w:t>
      </w:r>
      <w:r w:rsidRPr="00E93E51">
        <w:rPr>
          <w:rFonts w:cs="Arial"/>
          <w:u w:val="single"/>
          <w:rtl/>
        </w:rPr>
        <w:t>אמר רב פפא</w:t>
      </w:r>
      <w:r w:rsidRPr="00E93E51">
        <w:rPr>
          <w:rFonts w:cs="Arial"/>
          <w:rtl/>
        </w:rPr>
        <w:t>: הא דיהודה מר בר מרימר - לאו בפירוש אתמר אלא מכללא אתמר, דההיא איתתא דעיילה ליה לגברא תרתי אמהתא, אזל גברא נסיב איתתא אחריתי עייל לה חדא מנייהו, אתאי לקמיה דרבא, צווחה לא אשגח בה</w:t>
      </w:r>
      <w:r>
        <w:rPr>
          <w:rFonts w:cs="Arial" w:hint="cs"/>
          <w:rtl/>
        </w:rPr>
        <w:t>.</w:t>
      </w:r>
      <w:r w:rsidRPr="00E93E51">
        <w:rPr>
          <w:rFonts w:cs="Arial"/>
          <w:rtl/>
        </w:rPr>
        <w:t xml:space="preserve"> מאן דחזא סבר, משום דסבר: מה שעשה עשוי, ולא היא</w:t>
      </w:r>
      <w:r>
        <w:rPr>
          <w:rStyle w:val="a7"/>
          <w:rFonts w:cs="Arial"/>
          <w:rtl/>
        </w:rPr>
        <w:footnoteReference w:id="1026"/>
      </w:r>
      <w:r w:rsidRPr="00E93E51">
        <w:rPr>
          <w:rFonts w:cs="Arial"/>
          <w:rtl/>
        </w:rPr>
        <w:t>, משום רווח ביתא, והא קא רווח</w:t>
      </w:r>
      <w:r>
        <w:rPr>
          <w:rStyle w:val="a7"/>
          <w:rFonts w:cs="Arial"/>
          <w:rtl/>
        </w:rPr>
        <w:footnoteReference w:id="1027"/>
      </w:r>
      <w:r w:rsidRPr="00E93E51">
        <w:rPr>
          <w:rFonts w:cs="Arial"/>
          <w:rtl/>
        </w:rPr>
        <w:t xml:space="preserve">. </w:t>
      </w:r>
      <w:r w:rsidR="00B066A0">
        <w:rPr>
          <w:rFonts w:cs="Arial" w:hint="cs"/>
          <w:sz w:val="16"/>
          <w:szCs w:val="16"/>
          <w:rtl/>
        </w:rPr>
        <w:t>(</w:t>
      </w:r>
      <w:r w:rsidR="00B066A0" w:rsidRPr="00B066A0">
        <w:rPr>
          <w:rFonts w:cs="Arial"/>
          <w:sz w:val="16"/>
          <w:szCs w:val="16"/>
          <w:rtl/>
        </w:rPr>
        <w:t>וכתב הרא"ש (סי' יא)</w:t>
      </w:r>
      <w:r w:rsidR="001A6DB3">
        <w:rPr>
          <w:rFonts w:cs="Arial" w:hint="cs"/>
          <w:sz w:val="16"/>
          <w:szCs w:val="16"/>
          <w:rtl/>
        </w:rPr>
        <w:t>:</w:t>
      </w:r>
      <w:r w:rsidR="00B066A0" w:rsidRPr="00B066A0">
        <w:rPr>
          <w:rFonts w:cs="Arial"/>
          <w:sz w:val="16"/>
          <w:szCs w:val="16"/>
          <w:rtl/>
        </w:rPr>
        <w:t xml:space="preserve"> פירש הרי"ף (לט.) דהא איכא אחריתי</w:t>
      </w:r>
      <w:r w:rsidR="00B066A0">
        <w:rPr>
          <w:rFonts w:cs="Arial" w:hint="cs"/>
          <w:sz w:val="16"/>
          <w:szCs w:val="16"/>
          <w:rtl/>
        </w:rPr>
        <w:t>.</w:t>
      </w:r>
      <w:r w:rsidR="00B066A0" w:rsidRPr="00B066A0">
        <w:rPr>
          <w:rFonts w:cs="Arial"/>
          <w:sz w:val="16"/>
          <w:szCs w:val="16"/>
          <w:rtl/>
        </w:rPr>
        <w:t xml:space="preserve"> ומתוך דבריו משמע שגם היה יכול למכרה לאחר כיון דאיכא אחריתי</w:t>
      </w:r>
      <w:r w:rsidR="00B066A0">
        <w:rPr>
          <w:rFonts w:cs="Arial" w:hint="cs"/>
          <w:sz w:val="16"/>
          <w:szCs w:val="16"/>
          <w:rtl/>
        </w:rPr>
        <w:t>.</w:t>
      </w:r>
      <w:r w:rsidR="00B066A0" w:rsidRPr="00B066A0">
        <w:rPr>
          <w:rFonts w:cs="Arial"/>
          <w:sz w:val="16"/>
          <w:szCs w:val="16"/>
          <w:rtl/>
        </w:rPr>
        <w:t xml:space="preserve"> ולא מסתבר כלל</w:t>
      </w:r>
      <w:r w:rsidR="00B066A0">
        <w:rPr>
          <w:rFonts w:cs="Arial" w:hint="cs"/>
          <w:sz w:val="16"/>
          <w:szCs w:val="16"/>
          <w:rtl/>
        </w:rPr>
        <w:t>,</w:t>
      </w:r>
      <w:r w:rsidR="00B066A0" w:rsidRPr="00B066A0">
        <w:rPr>
          <w:rFonts w:cs="Arial"/>
          <w:sz w:val="16"/>
          <w:szCs w:val="16"/>
          <w:rtl/>
        </w:rPr>
        <w:t xml:space="preserve"> ולמה ימכור נכסי מלוג שלה</w:t>
      </w:r>
      <w:r w:rsidR="001A6DB3">
        <w:rPr>
          <w:rFonts w:cs="Arial" w:hint="cs"/>
          <w:sz w:val="16"/>
          <w:szCs w:val="16"/>
          <w:rtl/>
        </w:rPr>
        <w:t>,</w:t>
      </w:r>
      <w:r w:rsidR="00B066A0" w:rsidRPr="00B066A0">
        <w:rPr>
          <w:rFonts w:cs="Arial"/>
          <w:sz w:val="16"/>
          <w:szCs w:val="16"/>
          <w:rtl/>
        </w:rPr>
        <w:t xml:space="preserve"> דליכא רווח ביתא באחת כי היא רוצה להשתמש בשתיהן</w:t>
      </w:r>
      <w:r w:rsidR="00B066A0">
        <w:rPr>
          <w:rFonts w:cs="Arial" w:hint="cs"/>
          <w:sz w:val="16"/>
          <w:szCs w:val="16"/>
          <w:rtl/>
        </w:rPr>
        <w:t>.</w:t>
      </w:r>
      <w:r w:rsidR="00B066A0" w:rsidRPr="00B066A0">
        <w:rPr>
          <w:rFonts w:cs="Arial"/>
          <w:sz w:val="16"/>
          <w:szCs w:val="16"/>
          <w:rtl/>
        </w:rPr>
        <w:t xml:space="preserve"> לכן נראה כפירוש רש"י דמיירי כשהכניס צרתה לביתה והיא משמשת לכל בני הבית כבתחלה</w:t>
      </w:r>
      <w:r w:rsidR="001A6DB3">
        <w:rPr>
          <w:rFonts w:cs="Arial" w:hint="cs"/>
          <w:sz w:val="16"/>
          <w:szCs w:val="16"/>
          <w:rtl/>
        </w:rPr>
        <w:t>,</w:t>
      </w:r>
      <w:r w:rsidR="00B066A0" w:rsidRPr="00B066A0">
        <w:rPr>
          <w:rFonts w:cs="Arial"/>
          <w:sz w:val="16"/>
          <w:szCs w:val="16"/>
          <w:rtl/>
        </w:rPr>
        <w:t xml:space="preserve"> אלא שייחד אותה לצרה להיות תדירה לשימושה</w:t>
      </w:r>
      <w:r w:rsidR="00B066A0">
        <w:rPr>
          <w:rFonts w:cs="Arial" w:hint="cs"/>
          <w:sz w:val="16"/>
          <w:szCs w:val="16"/>
          <w:rtl/>
        </w:rPr>
        <w:t>,</w:t>
      </w:r>
      <w:r w:rsidR="00B066A0" w:rsidRPr="00B066A0">
        <w:rPr>
          <w:rFonts w:cs="Arial"/>
          <w:sz w:val="16"/>
          <w:szCs w:val="16"/>
          <w:rtl/>
        </w:rPr>
        <w:t xml:space="preserve"> ולא נתמעט ריוח ביתא</w:t>
      </w:r>
      <w:r w:rsidR="00B066A0">
        <w:rPr>
          <w:rFonts w:cs="Arial" w:hint="cs"/>
          <w:sz w:val="16"/>
          <w:szCs w:val="16"/>
          <w:rtl/>
        </w:rPr>
        <w:t>,</w:t>
      </w:r>
      <w:r w:rsidR="00B066A0" w:rsidRPr="00B066A0">
        <w:rPr>
          <w:rFonts w:cs="Arial"/>
          <w:sz w:val="16"/>
          <w:szCs w:val="16"/>
          <w:rtl/>
        </w:rPr>
        <w:t xml:space="preserve"> שכן דרך השפחות לשמש לארחי ופרחי ולכל הנכנסים לבית</w:t>
      </w:r>
      <w:r w:rsidR="00B066A0">
        <w:rPr>
          <w:rFonts w:cs="Arial" w:hint="cs"/>
          <w:sz w:val="16"/>
          <w:szCs w:val="16"/>
          <w:rtl/>
        </w:rPr>
        <w:t xml:space="preserve"> [עכ"ל], ב"י)</w:t>
      </w:r>
    </w:p>
    <w:p w14:paraId="2F2A85ED" w14:textId="4E63BE8B" w:rsidR="006A451E" w:rsidRPr="006A451E" w:rsidRDefault="006A451E" w:rsidP="00A45E10">
      <w:pPr>
        <w:rPr>
          <w:u w:val="single"/>
          <w:rtl/>
        </w:rPr>
      </w:pPr>
      <w:r w:rsidRPr="006A451E">
        <w:rPr>
          <w:rFonts w:cs="Arial"/>
          <w:u w:val="single"/>
          <w:rtl/>
        </w:rPr>
        <w:t>הכניסה לו שתי שפחות</w:t>
      </w:r>
      <w:r w:rsidRPr="006A451E">
        <w:rPr>
          <w:rFonts w:cs="Arial" w:hint="cs"/>
          <w:u w:val="single"/>
          <w:rtl/>
        </w:rPr>
        <w:t>,</w:t>
      </w:r>
      <w:r w:rsidRPr="006A451E">
        <w:rPr>
          <w:rFonts w:cs="Arial"/>
          <w:u w:val="single"/>
          <w:rtl/>
        </w:rPr>
        <w:t xml:space="preserve"> </w:t>
      </w:r>
      <w:r w:rsidRPr="006A451E">
        <w:rPr>
          <w:rFonts w:cs="Arial" w:hint="cs"/>
          <w:u w:val="single"/>
          <w:rtl/>
        </w:rPr>
        <w:t>ורוצה</w:t>
      </w:r>
      <w:r w:rsidRPr="006A451E">
        <w:rPr>
          <w:rFonts w:cs="Arial"/>
          <w:u w:val="single"/>
          <w:rtl/>
        </w:rPr>
        <w:t xml:space="preserve"> לייחד אחת מהן לאשה אחרת שיש לו</w:t>
      </w:r>
      <w:r w:rsidRPr="006A451E">
        <w:rPr>
          <w:rFonts w:hint="cs"/>
          <w:u w:val="single"/>
          <w:rtl/>
        </w:rPr>
        <w:t>:</w:t>
      </w:r>
    </w:p>
    <w:p w14:paraId="4D98211D" w14:textId="67902A79" w:rsidR="006A451E" w:rsidRDefault="002C1AF8" w:rsidP="009000E3">
      <w:pPr>
        <w:pStyle w:val="ab"/>
        <w:numPr>
          <w:ilvl w:val="0"/>
          <w:numId w:val="47"/>
        </w:numPr>
      </w:pPr>
      <w:r>
        <w:rPr>
          <w:rFonts w:cs="Arial" w:hint="cs"/>
          <w:rtl/>
        </w:rPr>
        <w:t xml:space="preserve">טור- </w:t>
      </w:r>
      <w:r w:rsidRPr="007A228B">
        <w:rPr>
          <w:rFonts w:cs="Arial"/>
          <w:rtl/>
        </w:rPr>
        <w:t xml:space="preserve">הכניסה לו שתי שפחות </w:t>
      </w:r>
      <w:r w:rsidR="001A6DB3">
        <w:rPr>
          <w:rFonts w:cs="Arial" w:hint="cs"/>
          <w:rtl/>
        </w:rPr>
        <w:t>,</w:t>
      </w:r>
      <w:r w:rsidRPr="007A228B">
        <w:rPr>
          <w:rFonts w:cs="Arial"/>
          <w:rtl/>
        </w:rPr>
        <w:t>יכול לייחד אחת מהן לאשה אחרת שיש לו שתשמשנה</w:t>
      </w:r>
      <w:r w:rsidR="006A451E">
        <w:rPr>
          <w:rFonts w:cs="Arial" w:hint="cs"/>
          <w:rtl/>
        </w:rPr>
        <w:t>.</w:t>
      </w:r>
      <w:r w:rsidRPr="007A228B">
        <w:rPr>
          <w:rFonts w:cs="Arial"/>
          <w:rtl/>
        </w:rPr>
        <w:t xml:space="preserve"> </w:t>
      </w:r>
      <w:r w:rsidR="00445F69" w:rsidRPr="00137671">
        <w:rPr>
          <w:rFonts w:hint="cs"/>
          <w:color w:val="E36C0A" w:themeColor="accent6" w:themeShade="BF"/>
          <w:rtl/>
        </w:rPr>
        <w:t>(וכ"פ בשו"ע)</w:t>
      </w:r>
    </w:p>
    <w:p w14:paraId="3DB71459" w14:textId="18E5C253" w:rsidR="00B066A0" w:rsidRPr="006A451E" w:rsidRDefault="00B066A0" w:rsidP="00B066A0">
      <w:pPr>
        <w:ind w:left="360"/>
      </w:pPr>
      <w:r w:rsidRPr="00B066A0">
        <w:rPr>
          <w:rFonts w:hint="cs"/>
          <w:u w:val="dotted"/>
          <w:rtl/>
        </w:rPr>
        <w:t>האם יכול ליחד לאשה האחרת אע"ג שהיא גרה בבית אחר:</w:t>
      </w:r>
    </w:p>
    <w:p w14:paraId="5ADCF8CD" w14:textId="65B56A3B" w:rsidR="006A451E" w:rsidRPr="006A451E" w:rsidRDefault="00B066A0" w:rsidP="009000E3">
      <w:pPr>
        <w:pStyle w:val="ab"/>
        <w:numPr>
          <w:ilvl w:val="0"/>
          <w:numId w:val="47"/>
        </w:numPr>
      </w:pPr>
      <w:r>
        <w:rPr>
          <w:rFonts w:cs="Arial" w:hint="cs"/>
          <w:rtl/>
        </w:rPr>
        <w:t xml:space="preserve">רמב"ם </w:t>
      </w:r>
      <w:r>
        <w:rPr>
          <w:rFonts w:cs="Arial" w:hint="cs"/>
          <w:sz w:val="16"/>
          <w:szCs w:val="16"/>
          <w:rtl/>
        </w:rPr>
        <w:t>(פכ"ב הל</w:t>
      </w:r>
      <w:r w:rsidR="00DF56B9">
        <w:rPr>
          <w:rFonts w:cs="Arial" w:hint="cs"/>
          <w:sz w:val="16"/>
          <w:szCs w:val="16"/>
          <w:rtl/>
        </w:rPr>
        <w:t>' ל</w:t>
      </w:r>
      <w:r>
        <w:rPr>
          <w:rFonts w:cs="Arial" w:hint="cs"/>
          <w:sz w:val="16"/>
          <w:szCs w:val="16"/>
          <w:rtl/>
        </w:rPr>
        <w:t>ה)</w:t>
      </w:r>
      <w:r>
        <w:rPr>
          <w:rFonts w:cs="Arial" w:hint="cs"/>
          <w:rtl/>
        </w:rPr>
        <w:t xml:space="preserve">- </w:t>
      </w:r>
      <w:r w:rsidRPr="00B066A0">
        <w:rPr>
          <w:rFonts w:cs="Arial"/>
          <w:rtl/>
        </w:rPr>
        <w:t>יש לבעל לכוף מקצת עבדי אשתו ואמהותיה שיהיו משמשין אותו בבית אשה אחרת שנשא</w:t>
      </w:r>
      <w:r w:rsidR="00DF56B9">
        <w:rPr>
          <w:rFonts w:cs="Arial" w:hint="cs"/>
          <w:rtl/>
        </w:rPr>
        <w:t>,</w:t>
      </w:r>
      <w:r w:rsidRPr="00B066A0">
        <w:rPr>
          <w:rFonts w:cs="Arial"/>
          <w:rtl/>
        </w:rPr>
        <w:t xml:space="preserve"> בין שהיו עבדי מלוג בין שהיו עבדי צאן ברזל, אבל אינו יכול להוליכן לעיר אחרת שלא מדעת אשתו</w:t>
      </w:r>
      <w:r w:rsidR="007D32B7">
        <w:rPr>
          <w:rStyle w:val="a7"/>
          <w:rFonts w:cs="Arial"/>
          <w:rtl/>
        </w:rPr>
        <w:footnoteReference w:id="1028"/>
      </w:r>
      <w:r w:rsidRPr="00B066A0">
        <w:rPr>
          <w:rFonts w:cs="Arial"/>
          <w:rtl/>
        </w:rPr>
        <w:t xml:space="preserve">. </w:t>
      </w:r>
      <w:r w:rsidR="00445F69" w:rsidRPr="00137671">
        <w:rPr>
          <w:rFonts w:hint="cs"/>
          <w:color w:val="E36C0A" w:themeColor="accent6" w:themeShade="BF"/>
          <w:rtl/>
        </w:rPr>
        <w:t>(וכ"פ בשו"ע)</w:t>
      </w:r>
    </w:p>
    <w:p w14:paraId="7C5E3F6E" w14:textId="0C5DE5AE" w:rsidR="002C1AF8" w:rsidRPr="007A228B" w:rsidRDefault="00627CE6" w:rsidP="009000E3">
      <w:pPr>
        <w:pStyle w:val="ab"/>
        <w:numPr>
          <w:ilvl w:val="0"/>
          <w:numId w:val="47"/>
        </w:numPr>
        <w:rPr>
          <w:rtl/>
        </w:rPr>
      </w:pPr>
      <w:r>
        <w:rPr>
          <w:rFonts w:cs="Arial" w:hint="cs"/>
          <w:rtl/>
        </w:rPr>
        <w:t>רש"י</w:t>
      </w:r>
      <w:r w:rsidR="002C1AF8" w:rsidRPr="007A228B">
        <w:rPr>
          <w:rFonts w:cs="Arial"/>
          <w:rtl/>
        </w:rPr>
        <w:t xml:space="preserve"> </w:t>
      </w:r>
      <w:r>
        <w:rPr>
          <w:rFonts w:cs="Arial" w:hint="cs"/>
          <w:sz w:val="16"/>
          <w:szCs w:val="16"/>
          <w:rtl/>
        </w:rPr>
        <w:t xml:space="preserve">(כ"כ הטור בשמו) </w:t>
      </w:r>
      <w:r>
        <w:rPr>
          <w:rFonts w:cs="Arial" w:hint="cs"/>
          <w:rtl/>
        </w:rPr>
        <w:t xml:space="preserve">ורא"ש </w:t>
      </w:r>
      <w:r>
        <w:rPr>
          <w:rFonts w:cs="Arial" w:hint="cs"/>
          <w:sz w:val="16"/>
          <w:szCs w:val="16"/>
          <w:rtl/>
        </w:rPr>
        <w:t>(כ"כ הטור בשמו)</w:t>
      </w:r>
      <w:r>
        <w:rPr>
          <w:rFonts w:cs="Arial" w:hint="cs"/>
          <w:rtl/>
        </w:rPr>
        <w:t xml:space="preserve">- </w:t>
      </w:r>
      <w:r w:rsidR="002C1AF8" w:rsidRPr="007A228B">
        <w:rPr>
          <w:rFonts w:cs="Arial"/>
          <w:rtl/>
        </w:rPr>
        <w:t>אינו יכול להוציאה מן הבית אלא באותו הבית יכול ליחדה שתשמש לאשתו אחרת</w:t>
      </w:r>
      <w:r>
        <w:rPr>
          <w:rFonts w:cs="Arial" w:hint="cs"/>
          <w:sz w:val="16"/>
          <w:szCs w:val="16"/>
          <w:rtl/>
        </w:rPr>
        <w:t xml:space="preserve"> (ל' הטור בשם רש"י)</w:t>
      </w:r>
      <w:r>
        <w:rPr>
          <w:rFonts w:cs="Arial" w:hint="cs"/>
          <w:rtl/>
        </w:rPr>
        <w:t>.</w:t>
      </w:r>
      <w:r w:rsidR="002C1AF8" w:rsidRPr="007A228B">
        <w:rPr>
          <w:rFonts w:cs="Arial"/>
          <w:rtl/>
        </w:rPr>
        <w:t xml:space="preserve"> </w:t>
      </w:r>
      <w:r w:rsidR="000E56A6" w:rsidRPr="000E56A6">
        <w:rPr>
          <w:rFonts w:hint="cs"/>
          <w:color w:val="00B0F0"/>
          <w:rtl/>
        </w:rPr>
        <w:t>(וכ"פ הרמ"א)</w:t>
      </w:r>
      <w:r w:rsidR="007D32B7">
        <w:rPr>
          <w:rFonts w:hint="cs"/>
          <w:rtl/>
        </w:rPr>
        <w:t xml:space="preserve"> </w:t>
      </w:r>
    </w:p>
    <w:p w14:paraId="27A07460" w14:textId="11351D02" w:rsidR="00627CE6" w:rsidRPr="00053CAA" w:rsidRDefault="00053CAA" w:rsidP="00627CE6">
      <w:pPr>
        <w:rPr>
          <w:rFonts w:cs="Arial"/>
          <w:u w:val="single"/>
          <w:rtl/>
        </w:rPr>
      </w:pPr>
      <w:r w:rsidRPr="00053CAA">
        <w:rPr>
          <w:rFonts w:cs="Arial" w:hint="cs"/>
          <w:u w:val="single"/>
          <w:rtl/>
        </w:rPr>
        <w:t>באלו נכסים של אשתו יכול הבעל להשתמש בבית האשה האחרת</w:t>
      </w:r>
      <w:r>
        <w:rPr>
          <w:rFonts w:cs="Arial" w:hint="cs"/>
          <w:u w:val="single"/>
          <w:rtl/>
        </w:rPr>
        <w:t>,</w:t>
      </w:r>
      <w:r w:rsidRPr="00053CAA">
        <w:rPr>
          <w:rFonts w:cs="Arial" w:hint="cs"/>
          <w:u w:val="single"/>
          <w:rtl/>
        </w:rPr>
        <w:t xml:space="preserve"> או אף להביאם לה:</w:t>
      </w:r>
    </w:p>
    <w:p w14:paraId="65173311" w14:textId="77777777" w:rsidR="000E56A6" w:rsidRDefault="00627CE6" w:rsidP="009000E3">
      <w:pPr>
        <w:pStyle w:val="ab"/>
        <w:numPr>
          <w:ilvl w:val="0"/>
          <w:numId w:val="51"/>
        </w:numPr>
        <w:rPr>
          <w:rFonts w:cs="Arial"/>
        </w:rPr>
      </w:pPr>
      <w:r>
        <w:rPr>
          <w:rFonts w:cs="Arial" w:hint="cs"/>
          <w:rtl/>
        </w:rPr>
        <w:t>רשב"ץ</w:t>
      </w:r>
      <w:r w:rsidR="007A228B" w:rsidRPr="00627CE6">
        <w:rPr>
          <w:rFonts w:cs="Arial"/>
          <w:rtl/>
        </w:rPr>
        <w:t xml:space="preserve"> </w:t>
      </w:r>
      <w:r w:rsidR="007A228B" w:rsidRPr="00445F69">
        <w:rPr>
          <w:rFonts w:cs="Arial"/>
          <w:sz w:val="16"/>
          <w:szCs w:val="16"/>
          <w:rtl/>
        </w:rPr>
        <w:t>(ח"א סי' צח)</w:t>
      </w:r>
      <w:r>
        <w:rPr>
          <w:rFonts w:cs="Arial" w:hint="cs"/>
          <w:rtl/>
        </w:rPr>
        <w:t>-</w:t>
      </w:r>
      <w:r w:rsidR="007A228B" w:rsidRPr="00627CE6">
        <w:rPr>
          <w:rFonts w:cs="Arial"/>
          <w:rtl/>
        </w:rPr>
        <w:t xml:space="preserve"> נכסים שהבעל יכול להשתמש בהם מדין פירות כגון גלימא דמיכסי בה עד דבליא </w:t>
      </w:r>
      <w:r w:rsidR="00B010A3">
        <w:rPr>
          <w:rFonts w:cs="Arial" w:hint="cs"/>
          <w:rtl/>
        </w:rPr>
        <w:t xml:space="preserve">- </w:t>
      </w:r>
      <w:r w:rsidR="007A228B" w:rsidRPr="00627CE6">
        <w:rPr>
          <w:rFonts w:cs="Arial"/>
          <w:rtl/>
        </w:rPr>
        <w:t>יכול להשתמש הוא בעצמו בבית אשתו האחרת</w:t>
      </w:r>
      <w:r w:rsidR="00B010A3">
        <w:rPr>
          <w:rFonts w:cs="Arial" w:hint="cs"/>
          <w:rtl/>
        </w:rPr>
        <w:t>,</w:t>
      </w:r>
      <w:r w:rsidR="007A228B" w:rsidRPr="00627CE6">
        <w:rPr>
          <w:rFonts w:cs="Arial"/>
          <w:rtl/>
        </w:rPr>
        <w:t xml:space="preserve"> שזכות פירות שתקנו לו חכמים יכול לאכלם בכל מקום שירצה</w:t>
      </w:r>
      <w:r w:rsidR="00B010A3">
        <w:rPr>
          <w:rFonts w:cs="Arial" w:hint="cs"/>
          <w:rtl/>
        </w:rPr>
        <w:t>.</w:t>
      </w:r>
      <w:r w:rsidR="007A228B" w:rsidRPr="00627CE6">
        <w:rPr>
          <w:rFonts w:cs="Arial"/>
          <w:rtl/>
        </w:rPr>
        <w:t xml:space="preserve"> ואם האשה משתמשת באותם כלים </w:t>
      </w:r>
      <w:r w:rsidR="00053CAA">
        <w:rPr>
          <w:rFonts w:cs="Arial" w:hint="cs"/>
          <w:rtl/>
        </w:rPr>
        <w:t xml:space="preserve">- </w:t>
      </w:r>
      <w:r w:rsidR="007A228B" w:rsidRPr="00627CE6">
        <w:rPr>
          <w:rFonts w:cs="Arial"/>
          <w:rtl/>
        </w:rPr>
        <w:t>היינו עובדא דההיא איתתא דעיילה ליה תרי אמהתא וכו'</w:t>
      </w:r>
      <w:r w:rsidR="00053CAA">
        <w:rPr>
          <w:rFonts w:cs="Arial" w:hint="cs"/>
          <w:rtl/>
        </w:rPr>
        <w:t>.</w:t>
      </w:r>
      <w:r w:rsidR="007A228B" w:rsidRPr="00627CE6">
        <w:rPr>
          <w:rFonts w:cs="Arial"/>
          <w:rtl/>
        </w:rPr>
        <w:t xml:space="preserve"> ואם הם מלבושים ותכשיטין שקנה לה</w:t>
      </w:r>
      <w:r w:rsidR="00053CAA">
        <w:rPr>
          <w:rFonts w:cs="Arial" w:hint="cs"/>
          <w:rtl/>
        </w:rPr>
        <w:t>,</w:t>
      </w:r>
      <w:r w:rsidR="007A228B" w:rsidRPr="00627CE6">
        <w:rPr>
          <w:rFonts w:cs="Arial"/>
          <w:rtl/>
        </w:rPr>
        <w:t xml:space="preserve"> אם היא צריכה להם</w:t>
      </w:r>
      <w:r w:rsidR="00053CAA">
        <w:rPr>
          <w:rFonts w:cs="Arial" w:hint="cs"/>
          <w:rtl/>
        </w:rPr>
        <w:t xml:space="preserve"> -</w:t>
      </w:r>
      <w:r w:rsidR="007A228B" w:rsidRPr="00627CE6">
        <w:rPr>
          <w:rFonts w:cs="Arial"/>
          <w:rtl/>
        </w:rPr>
        <w:t xml:space="preserve"> ודאי אינו יכול להוציאם מביתה</w:t>
      </w:r>
      <w:r w:rsidR="00053CAA">
        <w:rPr>
          <w:rFonts w:cs="Arial" w:hint="cs"/>
          <w:rtl/>
        </w:rPr>
        <w:t>,</w:t>
      </w:r>
      <w:r w:rsidR="007A228B" w:rsidRPr="00627CE6">
        <w:rPr>
          <w:rFonts w:cs="Arial"/>
          <w:rtl/>
        </w:rPr>
        <w:t xml:space="preserve"> ואם אינה צריכה להם כגון שהיא זקנה והם תכשיטי ילדה </w:t>
      </w:r>
      <w:r w:rsidR="00053CAA">
        <w:rPr>
          <w:rFonts w:cs="Arial" w:hint="cs"/>
          <w:rtl/>
        </w:rPr>
        <w:t xml:space="preserve">- </w:t>
      </w:r>
      <w:r w:rsidR="007A228B" w:rsidRPr="00627CE6">
        <w:rPr>
          <w:rFonts w:cs="Arial"/>
          <w:rtl/>
        </w:rPr>
        <w:t>רשאי להוציאם דאדעתא שתניחם בקופסא עד שיכלו ויאכלם סס לא אקני לה</w:t>
      </w:r>
      <w:r w:rsidRPr="00627CE6">
        <w:rPr>
          <w:rFonts w:cs="Arial" w:hint="cs"/>
          <w:rtl/>
        </w:rPr>
        <w:t>.</w:t>
      </w:r>
    </w:p>
    <w:p w14:paraId="136F473A" w14:textId="7A7E9D3D" w:rsidR="000E56A6" w:rsidRPr="000E56A6" w:rsidRDefault="001028C9" w:rsidP="000E56A6">
      <w:pPr>
        <w:rPr>
          <w:rFonts w:cs="Arial"/>
        </w:rPr>
      </w:pPr>
      <w:r w:rsidRPr="001028C9">
        <w:rPr>
          <w:rFonts w:cs="Arial"/>
          <w:u w:val="single"/>
          <w:rtl/>
        </w:rPr>
        <w:t>אשה הכניסה נדוניא לבעלה ו</w:t>
      </w:r>
      <w:r>
        <w:rPr>
          <w:rFonts w:cs="Arial" w:hint="cs"/>
          <w:u w:val="single"/>
          <w:rtl/>
        </w:rPr>
        <w:t xml:space="preserve">היא </w:t>
      </w:r>
      <w:r w:rsidRPr="001028C9">
        <w:rPr>
          <w:rFonts w:cs="Arial"/>
          <w:u w:val="single"/>
          <w:rtl/>
        </w:rPr>
        <w:t>עדיין מונחת ביד אביה</w:t>
      </w:r>
      <w:r w:rsidRPr="001028C9">
        <w:rPr>
          <w:rFonts w:cs="Arial" w:hint="cs"/>
          <w:u w:val="single"/>
          <w:rtl/>
        </w:rPr>
        <w:t>,</w:t>
      </w:r>
      <w:r w:rsidRPr="001028C9">
        <w:rPr>
          <w:rFonts w:cs="Arial"/>
          <w:u w:val="single"/>
          <w:rtl/>
        </w:rPr>
        <w:t xml:space="preserve"> ונשבה בעלה ופדאו אביו</w:t>
      </w:r>
      <w:r>
        <w:rPr>
          <w:rFonts w:cs="Arial" w:hint="cs"/>
          <w:u w:val="single"/>
          <w:rtl/>
        </w:rPr>
        <w:t>:</w:t>
      </w:r>
      <w:r>
        <w:rPr>
          <w:rFonts w:cs="Arial" w:hint="cs"/>
          <w:rtl/>
        </w:rPr>
        <w:t xml:space="preserve"> </w:t>
      </w:r>
      <w:r>
        <w:rPr>
          <w:rFonts w:cs="Arial" w:hint="cs"/>
          <w:sz w:val="16"/>
          <w:szCs w:val="16"/>
          <w:rtl/>
        </w:rPr>
        <w:t xml:space="preserve"> </w:t>
      </w:r>
      <w:r w:rsidR="000E56A6" w:rsidRPr="001028C9">
        <w:rPr>
          <w:rFonts w:cs="Arial"/>
          <w:sz w:val="16"/>
          <w:szCs w:val="16"/>
          <w:rtl/>
        </w:rPr>
        <w:t>(</w:t>
      </w:r>
      <w:r w:rsidRPr="001028C9">
        <w:rPr>
          <w:rFonts w:cs="Arial" w:hint="cs"/>
          <w:sz w:val="16"/>
          <w:szCs w:val="16"/>
          <w:rtl/>
        </w:rPr>
        <w:t xml:space="preserve">דרכ"מ אות </w:t>
      </w:r>
      <w:r w:rsidR="000E56A6" w:rsidRPr="001028C9">
        <w:rPr>
          <w:rFonts w:cs="Arial"/>
          <w:sz w:val="16"/>
          <w:szCs w:val="16"/>
          <w:rtl/>
        </w:rPr>
        <w:t>ו)</w:t>
      </w:r>
    </w:p>
    <w:p w14:paraId="54B06C40" w14:textId="0526C81C" w:rsidR="00627CE6" w:rsidRDefault="000E56A6" w:rsidP="009000E3">
      <w:pPr>
        <w:pStyle w:val="ab"/>
        <w:numPr>
          <w:ilvl w:val="0"/>
          <w:numId w:val="51"/>
        </w:numPr>
        <w:rPr>
          <w:rFonts w:cs="Arial"/>
        </w:rPr>
      </w:pPr>
      <w:r w:rsidRPr="007A228B">
        <w:rPr>
          <w:rFonts w:cs="Arial"/>
          <w:rtl/>
        </w:rPr>
        <w:t>מהרי"ו</w:t>
      </w:r>
      <w:r w:rsidRPr="000E56A6">
        <w:rPr>
          <w:rFonts w:cs="Arial"/>
          <w:sz w:val="16"/>
          <w:szCs w:val="16"/>
          <w:rtl/>
        </w:rPr>
        <w:t xml:space="preserve"> (שו"ת מהר"י ווייל סי</w:t>
      </w:r>
      <w:r w:rsidRPr="000E56A6">
        <w:rPr>
          <w:rFonts w:cs="Arial" w:hint="cs"/>
          <w:sz w:val="16"/>
          <w:szCs w:val="16"/>
          <w:rtl/>
        </w:rPr>
        <w:t>'</w:t>
      </w:r>
      <w:r w:rsidRPr="000E56A6">
        <w:rPr>
          <w:rFonts w:cs="Arial"/>
          <w:sz w:val="16"/>
          <w:szCs w:val="16"/>
          <w:rtl/>
        </w:rPr>
        <w:t xml:space="preserve"> עח</w:t>
      </w:r>
      <w:r w:rsidRPr="000E56A6">
        <w:rPr>
          <w:rFonts w:cs="Arial" w:hint="cs"/>
          <w:sz w:val="16"/>
          <w:szCs w:val="16"/>
          <w:rtl/>
        </w:rPr>
        <w:t>)</w:t>
      </w:r>
      <w:r>
        <w:rPr>
          <w:rFonts w:cs="Arial" w:hint="cs"/>
          <w:rtl/>
        </w:rPr>
        <w:t>-</w:t>
      </w:r>
      <w:r w:rsidRPr="007A228B">
        <w:rPr>
          <w:rFonts w:cs="Arial"/>
          <w:rtl/>
        </w:rPr>
        <w:t xml:space="preserve"> אשה שהכניסה נדוניא לבעלה</w:t>
      </w:r>
      <w:r>
        <w:rPr>
          <w:rFonts w:cs="Arial" w:hint="cs"/>
          <w:rtl/>
        </w:rPr>
        <w:t>,</w:t>
      </w:r>
      <w:r w:rsidRPr="007A228B">
        <w:rPr>
          <w:rFonts w:cs="Arial"/>
          <w:rtl/>
        </w:rPr>
        <w:t xml:space="preserve"> ועדיין היא מונחת ביד אביה</w:t>
      </w:r>
      <w:r>
        <w:rPr>
          <w:rFonts w:cs="Arial" w:hint="cs"/>
          <w:rtl/>
        </w:rPr>
        <w:t>,</w:t>
      </w:r>
      <w:r w:rsidRPr="007A228B">
        <w:rPr>
          <w:rFonts w:cs="Arial"/>
          <w:rtl/>
        </w:rPr>
        <w:t xml:space="preserve"> ונשבה בעלה ופדאו אביו</w:t>
      </w:r>
      <w:r>
        <w:rPr>
          <w:rFonts w:cs="Arial" w:hint="cs"/>
          <w:rtl/>
        </w:rPr>
        <w:t xml:space="preserve"> - </w:t>
      </w:r>
      <w:r w:rsidRPr="007A228B">
        <w:rPr>
          <w:rFonts w:cs="Arial"/>
          <w:rtl/>
        </w:rPr>
        <w:t>אין יכול לגבות פדיונו ממעות אלו</w:t>
      </w:r>
      <w:r>
        <w:rPr>
          <w:rFonts w:cs="Arial" w:hint="cs"/>
          <w:rtl/>
        </w:rPr>
        <w:t>,</w:t>
      </w:r>
      <w:r w:rsidRPr="007A228B">
        <w:rPr>
          <w:rFonts w:cs="Arial"/>
          <w:rtl/>
        </w:rPr>
        <w:t xml:space="preserve"> דהא דבעל חוב קודם לאשה היינו בנכסים דידיה</w:t>
      </w:r>
      <w:r>
        <w:rPr>
          <w:rFonts w:cs="Arial" w:hint="cs"/>
          <w:rtl/>
        </w:rPr>
        <w:t>,</w:t>
      </w:r>
      <w:r w:rsidRPr="007A228B">
        <w:rPr>
          <w:rFonts w:cs="Arial"/>
          <w:rtl/>
        </w:rPr>
        <w:t xml:space="preserve"> אבל בנכסים אלו שהן שלה ועדיין מונחים ברשותה אין צריך לשלם מהן</w:t>
      </w:r>
      <w:r>
        <w:rPr>
          <w:rFonts w:cs="Arial" w:hint="cs"/>
          <w:rtl/>
        </w:rPr>
        <w:t>,</w:t>
      </w:r>
      <w:r w:rsidRPr="007A228B">
        <w:rPr>
          <w:rFonts w:cs="Arial"/>
          <w:rtl/>
        </w:rPr>
        <w:t xml:space="preserve"> דהוי כבגדיה שא"צ לשלם מהן לבעל חוב</w:t>
      </w:r>
      <w:r>
        <w:rPr>
          <w:rFonts w:cs="Arial" w:hint="cs"/>
          <w:rtl/>
        </w:rPr>
        <w:t>.</w:t>
      </w:r>
      <w:r w:rsidRPr="007A228B">
        <w:rPr>
          <w:rFonts w:cs="Arial"/>
          <w:rtl/>
        </w:rPr>
        <w:t xml:space="preserve"> ועוד דהוה כמו מורדת דאין מוציאין ממנה נדונייתה במקום שיש לה טענה ואמתלא</w:t>
      </w:r>
      <w:r>
        <w:rPr>
          <w:rFonts w:cs="Arial" w:hint="cs"/>
          <w:rtl/>
        </w:rPr>
        <w:t>.</w:t>
      </w:r>
      <w:r w:rsidRPr="007A228B">
        <w:rPr>
          <w:rFonts w:cs="Arial"/>
          <w:rtl/>
        </w:rPr>
        <w:t xml:space="preserve"> ועוד דתופסת למזונות אע</w:t>
      </w:r>
      <w:r w:rsidR="007D32B7">
        <w:rPr>
          <w:rFonts w:cs="Arial" w:hint="cs"/>
          <w:rtl/>
        </w:rPr>
        <w:t>"</w:t>
      </w:r>
      <w:r w:rsidRPr="007A228B">
        <w:rPr>
          <w:rFonts w:cs="Arial"/>
          <w:rtl/>
        </w:rPr>
        <w:t>ג דאין אשה יכולה לתפוס בחיי בעלה מכל מקום בכה"ג בנכסים שהם שלה ומונחים עדיין ברשותה יכולה לתפוס</w:t>
      </w:r>
      <w:r>
        <w:rPr>
          <w:rStyle w:val="a7"/>
          <w:rFonts w:cs="Arial"/>
          <w:rtl/>
        </w:rPr>
        <w:footnoteReference w:id="1029"/>
      </w:r>
      <w:r>
        <w:rPr>
          <w:rFonts w:cs="Arial" w:hint="cs"/>
          <w:rtl/>
        </w:rPr>
        <w:t>.</w:t>
      </w:r>
      <w:r w:rsidRPr="007A228B">
        <w:rPr>
          <w:rFonts w:cs="Arial"/>
          <w:rtl/>
        </w:rPr>
        <w:t xml:space="preserve"> </w:t>
      </w:r>
    </w:p>
    <w:p w14:paraId="5AB23145"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3C36922F" w14:textId="79F08616" w:rsidR="007A3469" w:rsidRDefault="007A3469" w:rsidP="007A3469">
      <w:pPr>
        <w:rPr>
          <w:rFonts w:cs="Arial"/>
          <w:rtl/>
        </w:rPr>
      </w:pPr>
      <w:r>
        <w:rPr>
          <w:rFonts w:cs="Arial"/>
          <w:rtl/>
        </w:rPr>
        <w:lastRenderedPageBreak/>
        <w:t>יש לבעל לכוף מקצת עבדי אשתו ואמהותיה שיהיו משמשים אותו בבית אשה אחרת שנשא</w:t>
      </w:r>
      <w:r w:rsidR="006A451E">
        <w:rPr>
          <w:rFonts w:cs="Arial" w:hint="cs"/>
          <w:rtl/>
        </w:rPr>
        <w:t>,</w:t>
      </w:r>
      <w:r>
        <w:rPr>
          <w:rFonts w:cs="Arial"/>
          <w:rtl/>
        </w:rPr>
        <w:t xml:space="preserve"> בין שהיו עבדי מלוג בין שהיו עבדי צ</w:t>
      </w:r>
      <w:r w:rsidR="006A451E">
        <w:rPr>
          <w:rFonts w:cs="Arial" w:hint="cs"/>
          <w:rtl/>
        </w:rPr>
        <w:t xml:space="preserve">אן </w:t>
      </w:r>
      <w:r>
        <w:rPr>
          <w:rFonts w:cs="Arial"/>
          <w:rtl/>
        </w:rPr>
        <w:t>ב</w:t>
      </w:r>
      <w:r w:rsidR="006A451E">
        <w:rPr>
          <w:rFonts w:cs="Arial" w:hint="cs"/>
          <w:rtl/>
        </w:rPr>
        <w:t>רזל.</w:t>
      </w:r>
      <w:r>
        <w:rPr>
          <w:rFonts w:cs="Arial"/>
          <w:rtl/>
        </w:rPr>
        <w:t xml:space="preserve"> אבל אינו יכול להוליכם לעיר אחרת שלא מדעת אשתו. </w:t>
      </w:r>
      <w:r w:rsidRPr="00F46615">
        <w:rPr>
          <w:rFonts w:cs="Arial"/>
          <w:sz w:val="18"/>
          <w:szCs w:val="18"/>
          <w:rtl/>
        </w:rPr>
        <w:t xml:space="preserve">הגה: אבל אינו יכול להכריחם שישמשו לאשתו האחרת בבית אחר (טור בשם רש"י </w:t>
      </w:r>
      <w:r w:rsidR="0028146B">
        <w:rPr>
          <w:rFonts w:cs="Arial" w:hint="cs"/>
          <w:sz w:val="18"/>
          <w:szCs w:val="18"/>
          <w:rtl/>
        </w:rPr>
        <w:t>ורא"ש</w:t>
      </w:r>
      <w:r w:rsidRPr="00F46615">
        <w:rPr>
          <w:rFonts w:cs="Arial"/>
          <w:sz w:val="18"/>
          <w:szCs w:val="18"/>
          <w:rtl/>
        </w:rPr>
        <w:t>)</w:t>
      </w:r>
      <w:r w:rsidR="006A451E">
        <w:rPr>
          <w:rFonts w:cs="Arial" w:hint="cs"/>
          <w:sz w:val="18"/>
          <w:szCs w:val="18"/>
          <w:rtl/>
        </w:rPr>
        <w:t>.</w:t>
      </w:r>
      <w:r w:rsidRPr="00F46615">
        <w:rPr>
          <w:rFonts w:cs="Arial"/>
          <w:sz w:val="18"/>
          <w:szCs w:val="18"/>
          <w:rtl/>
        </w:rPr>
        <w:t xml:space="preserve"> וי"א דאם הם תכשיטים שאינן ראויין לה, שיכול ליתנם לאחרת דלא הכניסה לו כדי שיכלו ויפסדו ולא ישתמש בהם אדם (רשב"ץ).</w:t>
      </w:r>
    </w:p>
    <w:p w14:paraId="651ACAB6" w14:textId="77777777" w:rsidR="00F46615" w:rsidRDefault="00F46615" w:rsidP="007A3469">
      <w:pPr>
        <w:rPr>
          <w:rFonts w:cs="Arial"/>
          <w:rtl/>
        </w:rPr>
      </w:pPr>
    </w:p>
    <w:p w14:paraId="06289005" w14:textId="1492F702" w:rsidR="00F46615" w:rsidRPr="007A3469" w:rsidRDefault="00F46615" w:rsidP="007A3469">
      <w:pPr>
        <w:rPr>
          <w:rtl/>
        </w:rPr>
        <w:sectPr w:rsidR="00F46615" w:rsidRPr="007A3469" w:rsidSect="00A347B3">
          <w:headerReference w:type="default" r:id="rId28"/>
          <w:footnotePr>
            <w:numRestart w:val="eachSect"/>
          </w:footnotePr>
          <w:pgSz w:w="11906" w:h="16838"/>
          <w:pgMar w:top="720" w:right="1134" w:bottom="720" w:left="1134" w:header="0" w:footer="0" w:gutter="0"/>
          <w:cols w:space="720"/>
          <w:bidi/>
          <w:rtlGutter/>
          <w:docGrid w:linePitch="360"/>
        </w:sectPr>
      </w:pPr>
    </w:p>
    <w:p w14:paraId="384C30E6" w14:textId="4C9B4712" w:rsidR="007A3469" w:rsidRDefault="00DB717C" w:rsidP="007A3469">
      <w:pPr>
        <w:pStyle w:val="1"/>
        <w:rPr>
          <w:rtl/>
        </w:rPr>
      </w:pPr>
      <w:r>
        <w:rPr>
          <w:rFonts w:hint="cs"/>
          <w:rtl/>
        </w:rPr>
        <w:lastRenderedPageBreak/>
        <w:t>סימן פו:</w:t>
      </w:r>
      <w:r w:rsidRPr="00C12B74">
        <w:rPr>
          <w:rtl/>
        </w:rPr>
        <w:t xml:space="preserve"> </w:t>
      </w:r>
      <w:r w:rsidR="007A3469">
        <w:rPr>
          <w:rFonts w:cs="Arial"/>
          <w:rtl/>
        </w:rPr>
        <w:t xml:space="preserve">שלא לקבל פקדונות מנשים, עבדים וקטנים, ובו ב' סעיפים. </w:t>
      </w:r>
    </w:p>
    <w:p w14:paraId="5DFCC404" w14:textId="5D6FF802" w:rsidR="007A3469" w:rsidRDefault="007A3469" w:rsidP="000F64D0">
      <w:pPr>
        <w:pStyle w:val="2"/>
        <w:rPr>
          <w:rtl/>
        </w:rPr>
      </w:pPr>
      <w:r>
        <w:rPr>
          <w:rtl/>
        </w:rPr>
        <w:t>סעיף א</w:t>
      </w:r>
      <w:r w:rsidR="00183279">
        <w:rPr>
          <w:rFonts w:hint="cs"/>
          <w:rtl/>
        </w:rPr>
        <w:t>:</w:t>
      </w:r>
      <w:r w:rsidR="00F6735C">
        <w:rPr>
          <w:rFonts w:hint="cs"/>
          <w:rtl/>
        </w:rPr>
        <w:t xml:space="preserve"> קבלת פקדון מאשה.</w:t>
      </w:r>
    </w:p>
    <w:p w14:paraId="517AA650" w14:textId="61E86670" w:rsidR="001647A9" w:rsidRDefault="001647A9" w:rsidP="001647A9">
      <w:pPr>
        <w:rPr>
          <w:rtl/>
        </w:rPr>
      </w:pPr>
      <w:r>
        <w:rPr>
          <w:rFonts w:cs="Arial" w:hint="cs"/>
          <w:b/>
          <w:bCs/>
          <w:rtl/>
        </w:rPr>
        <w:t xml:space="preserve">בבא בתרא </w:t>
      </w:r>
      <w:r w:rsidRPr="001647A9">
        <w:rPr>
          <w:rFonts w:cs="Arial" w:hint="cs"/>
          <w:b/>
          <w:bCs/>
          <w:sz w:val="16"/>
          <w:szCs w:val="16"/>
          <w:rtl/>
        </w:rPr>
        <w:t xml:space="preserve">(פ' חזקת) </w:t>
      </w:r>
      <w:r>
        <w:rPr>
          <w:rFonts w:cs="Arial" w:hint="cs"/>
          <w:b/>
          <w:bCs/>
          <w:rtl/>
        </w:rPr>
        <w:t>נא</w:t>
      </w:r>
      <w:r w:rsidR="00F14AC9">
        <w:rPr>
          <w:rStyle w:val="a7"/>
          <w:rFonts w:cs="Arial"/>
          <w:b/>
          <w:bCs/>
          <w:rtl/>
        </w:rPr>
        <w:footnoteReference w:id="1030"/>
      </w:r>
      <w:r>
        <w:rPr>
          <w:rFonts w:cs="Arial" w:hint="cs"/>
          <w:b/>
          <w:bCs/>
          <w:rtl/>
        </w:rPr>
        <w:t xml:space="preserve"> ע"ב: </w:t>
      </w:r>
      <w:r w:rsidRPr="001647A9">
        <w:rPr>
          <w:rFonts w:cs="Arial"/>
          <w:rtl/>
        </w:rPr>
        <w:t>ת"ר: אין מקבלין פקדונות לא מן הנשים ולא מן העבדים ולא מן התינוקות</w:t>
      </w:r>
      <w:r>
        <w:rPr>
          <w:rFonts w:cs="Arial" w:hint="cs"/>
          <w:rtl/>
        </w:rPr>
        <w:t>.</w:t>
      </w:r>
      <w:r w:rsidRPr="001647A9">
        <w:rPr>
          <w:rFonts w:cs="Arial"/>
          <w:rtl/>
        </w:rPr>
        <w:t xml:space="preserve"> קבל מן האשה יחזיר לאשה</w:t>
      </w:r>
      <w:r w:rsidR="00A014AB">
        <w:rPr>
          <w:rStyle w:val="a7"/>
          <w:rFonts w:cs="Arial"/>
          <w:rtl/>
        </w:rPr>
        <w:footnoteReference w:id="1031"/>
      </w:r>
      <w:r w:rsidRPr="001647A9">
        <w:rPr>
          <w:rFonts w:cs="Arial"/>
          <w:rtl/>
        </w:rPr>
        <w:t>, ואם מתה - יחזיר לבעלה</w:t>
      </w:r>
      <w:r w:rsidR="00A014AB">
        <w:rPr>
          <w:rStyle w:val="a7"/>
          <w:rFonts w:cs="Arial"/>
          <w:rtl/>
        </w:rPr>
        <w:footnoteReference w:id="1032"/>
      </w:r>
      <w:r>
        <w:rPr>
          <w:rFonts w:cs="Arial" w:hint="cs"/>
          <w:rtl/>
        </w:rPr>
        <w:t>.</w:t>
      </w:r>
      <w:r w:rsidRPr="001647A9">
        <w:rPr>
          <w:rFonts w:cs="Arial"/>
          <w:rtl/>
        </w:rPr>
        <w:t xml:space="preserve"> קבל מן העבד יחזיר לעבד, ואם מת - יחזיר לרבו</w:t>
      </w:r>
      <w:r w:rsidR="00A014AB">
        <w:rPr>
          <w:rStyle w:val="a7"/>
          <w:rFonts w:cs="Arial"/>
          <w:rtl/>
        </w:rPr>
        <w:footnoteReference w:id="1033"/>
      </w:r>
      <w:r>
        <w:rPr>
          <w:rFonts w:cs="Arial" w:hint="cs"/>
          <w:rtl/>
        </w:rPr>
        <w:t>.</w:t>
      </w:r>
      <w:r w:rsidRPr="001647A9">
        <w:rPr>
          <w:rtl/>
        </w:rPr>
        <w:t xml:space="preserve"> </w:t>
      </w:r>
      <w:r>
        <w:rPr>
          <w:rFonts w:hint="cs"/>
          <w:sz w:val="16"/>
          <w:szCs w:val="16"/>
          <w:rtl/>
        </w:rPr>
        <w:t>(נ</w:t>
      </w:r>
      <w:r w:rsidR="001C78C5">
        <w:rPr>
          <w:rFonts w:hint="cs"/>
          <w:sz w:val="16"/>
          <w:szCs w:val="16"/>
          <w:rtl/>
        </w:rPr>
        <w:t>ג</w:t>
      </w:r>
      <w:r>
        <w:rPr>
          <w:rFonts w:hint="cs"/>
          <w:sz w:val="16"/>
          <w:szCs w:val="16"/>
          <w:rtl/>
        </w:rPr>
        <w:t xml:space="preserve">.) </w:t>
      </w:r>
      <w:r w:rsidRPr="001647A9">
        <w:rPr>
          <w:rFonts w:cs="Arial"/>
          <w:rtl/>
        </w:rPr>
        <w:t>קבל מן הקטן</w:t>
      </w:r>
      <w:r w:rsidR="00A014AB">
        <w:rPr>
          <w:rStyle w:val="a7"/>
          <w:rFonts w:cs="Arial"/>
          <w:rtl/>
        </w:rPr>
        <w:footnoteReference w:id="1034"/>
      </w:r>
      <w:r w:rsidRPr="001647A9">
        <w:rPr>
          <w:rFonts w:cs="Arial"/>
          <w:rtl/>
        </w:rPr>
        <w:t xml:space="preserve"> יעשה לו סגולה</w:t>
      </w:r>
      <w:r w:rsidR="008F55F8">
        <w:rPr>
          <w:rStyle w:val="a7"/>
          <w:rFonts w:cs="Arial"/>
          <w:rtl/>
        </w:rPr>
        <w:footnoteReference w:id="1035"/>
      </w:r>
      <w:r w:rsidRPr="001647A9">
        <w:rPr>
          <w:rFonts w:cs="Arial"/>
          <w:rtl/>
        </w:rPr>
        <w:t>, ואם מת - יחזיר ליורשיו</w:t>
      </w:r>
      <w:r>
        <w:rPr>
          <w:rFonts w:cs="Arial" w:hint="cs"/>
          <w:rtl/>
        </w:rPr>
        <w:t>.</w:t>
      </w:r>
      <w:r w:rsidRPr="001647A9">
        <w:rPr>
          <w:rFonts w:cs="Arial"/>
          <w:rtl/>
        </w:rPr>
        <w:t xml:space="preserve"> וכולן שאמרו</w:t>
      </w:r>
      <w:r w:rsidR="00A014AB">
        <w:rPr>
          <w:rStyle w:val="a7"/>
          <w:rFonts w:cs="Arial"/>
          <w:rtl/>
        </w:rPr>
        <w:footnoteReference w:id="1036"/>
      </w:r>
      <w:r w:rsidRPr="001647A9">
        <w:rPr>
          <w:rFonts w:cs="Arial"/>
          <w:rtl/>
        </w:rPr>
        <w:t xml:space="preserve"> בשעת מיתתן</w:t>
      </w:r>
      <w:r w:rsidR="00A014AB">
        <w:rPr>
          <w:rStyle w:val="a7"/>
          <w:rFonts w:cs="Arial"/>
          <w:rtl/>
        </w:rPr>
        <w:footnoteReference w:id="1037"/>
      </w:r>
      <w:r w:rsidR="008C3AED">
        <w:rPr>
          <w:rFonts w:cs="Arial" w:hint="cs"/>
          <w:rtl/>
        </w:rPr>
        <w:t>:</w:t>
      </w:r>
      <w:r w:rsidRPr="001647A9">
        <w:rPr>
          <w:rFonts w:cs="Arial"/>
          <w:rtl/>
        </w:rPr>
        <w:t xml:space="preserve"> של פלוני הן - יעשה כפירושן</w:t>
      </w:r>
      <w:r w:rsidR="00A014AB">
        <w:rPr>
          <w:rStyle w:val="a7"/>
          <w:rFonts w:cs="Arial"/>
          <w:rtl/>
        </w:rPr>
        <w:footnoteReference w:id="1038"/>
      </w:r>
      <w:r w:rsidRPr="001647A9">
        <w:rPr>
          <w:rFonts w:cs="Arial"/>
          <w:rtl/>
        </w:rPr>
        <w:t>, ואם לאו - יעשה פירוש לפירושן</w:t>
      </w:r>
      <w:r w:rsidR="00A014AB">
        <w:rPr>
          <w:rStyle w:val="a7"/>
          <w:rFonts w:cs="Arial"/>
          <w:rtl/>
        </w:rPr>
        <w:footnoteReference w:id="1039"/>
      </w:r>
      <w:r w:rsidRPr="001647A9">
        <w:rPr>
          <w:rFonts w:cs="Arial"/>
          <w:rtl/>
        </w:rPr>
        <w:t>. דביתהו דרבה בר בר חנה כי קא שכבה אמרה: הני כיפי דמרתא ובני ברתא</w:t>
      </w:r>
      <w:r w:rsidR="008C3AED">
        <w:rPr>
          <w:rFonts w:cs="Arial" w:hint="cs"/>
          <w:rtl/>
        </w:rPr>
        <w:t>.</w:t>
      </w:r>
      <w:r w:rsidRPr="001647A9">
        <w:rPr>
          <w:rFonts w:cs="Arial"/>
          <w:rtl/>
        </w:rPr>
        <w:t xml:space="preserve"> אתא לקמיה דרב</w:t>
      </w:r>
      <w:r w:rsidR="008C3AED">
        <w:rPr>
          <w:rFonts w:cs="Arial" w:hint="cs"/>
          <w:rtl/>
        </w:rPr>
        <w:t>.</w:t>
      </w:r>
      <w:r w:rsidRPr="001647A9">
        <w:rPr>
          <w:rFonts w:cs="Arial"/>
          <w:rtl/>
        </w:rPr>
        <w:t xml:space="preserve"> א"ל: אי מהימנא לך</w:t>
      </w:r>
      <w:r w:rsidR="00A014AB">
        <w:rPr>
          <w:rStyle w:val="a7"/>
          <w:rFonts w:cs="Arial"/>
          <w:rtl/>
        </w:rPr>
        <w:footnoteReference w:id="1040"/>
      </w:r>
      <w:r w:rsidRPr="001647A9">
        <w:rPr>
          <w:rFonts w:cs="Arial"/>
          <w:rtl/>
        </w:rPr>
        <w:t xml:space="preserve"> עשה כפירושה, ואי לא - עשה פירוש לפירושה</w:t>
      </w:r>
      <w:r w:rsidR="00A014AB">
        <w:rPr>
          <w:rStyle w:val="a7"/>
          <w:rFonts w:cs="Arial"/>
          <w:rtl/>
        </w:rPr>
        <w:footnoteReference w:id="1041"/>
      </w:r>
      <w:r w:rsidRPr="001647A9">
        <w:rPr>
          <w:rFonts w:cs="Arial"/>
          <w:rtl/>
        </w:rPr>
        <w:t xml:space="preserve">. ואיכא דאמרי, הכי א"ל: אי אמידא לך עשה כפירושה, ואי לא - עשה פירוש לפירושה. מן הקטן - יעשה לו סגולה. מאי סגולה? </w:t>
      </w:r>
      <w:r w:rsidRPr="008C3AED">
        <w:rPr>
          <w:rFonts w:cs="Arial"/>
          <w:u w:val="single"/>
          <w:rtl/>
        </w:rPr>
        <w:t>רב חסדא אמר</w:t>
      </w:r>
      <w:r w:rsidRPr="001647A9">
        <w:rPr>
          <w:rFonts w:cs="Arial"/>
          <w:rtl/>
        </w:rPr>
        <w:t>: ספר תורה</w:t>
      </w:r>
      <w:r w:rsidR="008C3AED">
        <w:rPr>
          <w:rFonts w:cs="Arial" w:hint="cs"/>
          <w:rtl/>
        </w:rPr>
        <w:t>.</w:t>
      </w:r>
      <w:r w:rsidRPr="001647A9">
        <w:rPr>
          <w:rFonts w:cs="Arial"/>
          <w:rtl/>
        </w:rPr>
        <w:t xml:space="preserve"> </w:t>
      </w:r>
      <w:r w:rsidRPr="008C3AED">
        <w:rPr>
          <w:rFonts w:cs="Arial"/>
          <w:u w:val="single"/>
          <w:rtl/>
        </w:rPr>
        <w:t>רבה בר רב הונא אמר</w:t>
      </w:r>
      <w:r w:rsidRPr="001647A9">
        <w:rPr>
          <w:rFonts w:cs="Arial"/>
          <w:rtl/>
        </w:rPr>
        <w:t>: דיקלא דאכל מיניה תמרי</w:t>
      </w:r>
      <w:r w:rsidR="00A014AB">
        <w:rPr>
          <w:rFonts w:cs="Arial" w:hint="cs"/>
          <w:rtl/>
        </w:rPr>
        <w:t>ה</w:t>
      </w:r>
      <w:r w:rsidRPr="001647A9">
        <w:rPr>
          <w:rFonts w:cs="Arial"/>
          <w:rtl/>
        </w:rPr>
        <w:t>.</w:t>
      </w:r>
    </w:p>
    <w:p w14:paraId="42BB1D62" w14:textId="64B834E7" w:rsidR="002E67F3" w:rsidRPr="002E67F3" w:rsidRDefault="002E67F3" w:rsidP="002E67F3">
      <w:pPr>
        <w:rPr>
          <w:rtl/>
        </w:rPr>
      </w:pPr>
      <w:r>
        <w:rPr>
          <w:rFonts w:cs="Arial" w:hint="cs"/>
          <w:b/>
          <w:bCs/>
          <w:rtl/>
        </w:rPr>
        <w:t xml:space="preserve">בבא בתרא </w:t>
      </w:r>
      <w:r w:rsidRPr="001647A9">
        <w:rPr>
          <w:rFonts w:cs="Arial" w:hint="cs"/>
          <w:b/>
          <w:bCs/>
          <w:sz w:val="16"/>
          <w:szCs w:val="16"/>
          <w:rtl/>
        </w:rPr>
        <w:t xml:space="preserve">(פ' חזקת) </w:t>
      </w:r>
      <w:r>
        <w:rPr>
          <w:rFonts w:cs="Arial" w:hint="cs"/>
          <w:b/>
          <w:bCs/>
          <w:rtl/>
        </w:rPr>
        <w:t>נב</w:t>
      </w:r>
      <w:r w:rsidR="00F14AC9">
        <w:rPr>
          <w:rStyle w:val="a7"/>
          <w:rFonts w:cs="Arial"/>
          <w:b/>
          <w:bCs/>
          <w:rtl/>
        </w:rPr>
        <w:footnoteReference w:id="1042"/>
      </w:r>
      <w:r>
        <w:rPr>
          <w:rFonts w:cs="Arial" w:hint="cs"/>
          <w:b/>
          <w:bCs/>
          <w:rtl/>
        </w:rPr>
        <w:t xml:space="preserve"> ע"ב: </w:t>
      </w:r>
      <w:r w:rsidRPr="00B05B26">
        <w:rPr>
          <w:rFonts w:cs="Arial"/>
          <w:rtl/>
        </w:rPr>
        <w:t>דתניא:</w:t>
      </w:r>
      <w:r>
        <w:rPr>
          <w:rFonts w:cs="Arial" w:hint="cs"/>
          <w:rtl/>
        </w:rPr>
        <w:t>...</w:t>
      </w:r>
      <w:r w:rsidRPr="00B05B26">
        <w:rPr>
          <w:rFonts w:cs="Arial"/>
          <w:rtl/>
        </w:rPr>
        <w:t xml:space="preserve"> האשה שהיא נושאת ונותנת בתוך הבית, והיו אונות ושטרות יוצאין על שמה, ואמרה: שלי הן, שנפלו לי מבית אבי אבא או מבית אבי אמא - עליה להביא ראיה.</w:t>
      </w:r>
    </w:p>
    <w:p w14:paraId="4792F1A6" w14:textId="220A7674" w:rsidR="00A36E95" w:rsidRPr="00A36E95" w:rsidRDefault="003777FA" w:rsidP="00A36E95">
      <w:pPr>
        <w:rPr>
          <w:rtl/>
        </w:rPr>
      </w:pPr>
      <w:r w:rsidRPr="003777FA">
        <w:rPr>
          <w:rFonts w:cs="Arial"/>
          <w:u w:val="single"/>
          <w:rtl/>
        </w:rPr>
        <w:t>אין מקבלי</w:t>
      </w:r>
      <w:r w:rsidRPr="003777FA">
        <w:rPr>
          <w:rFonts w:cs="Arial" w:hint="cs"/>
          <w:u w:val="single"/>
          <w:rtl/>
        </w:rPr>
        <w:t>ן</w:t>
      </w:r>
      <w:r w:rsidRPr="003777FA">
        <w:rPr>
          <w:rFonts w:cs="Arial"/>
          <w:u w:val="single"/>
          <w:rtl/>
        </w:rPr>
        <w:t xml:space="preserve"> פקדונות מן הנשים</w:t>
      </w:r>
      <w:r w:rsidRPr="003777FA">
        <w:rPr>
          <w:rFonts w:cs="Arial" w:hint="cs"/>
          <w:u w:val="single"/>
          <w:rtl/>
        </w:rPr>
        <w:t>/עבדים/קטנים:</w:t>
      </w:r>
    </w:p>
    <w:p w14:paraId="6B8FEE88" w14:textId="28EBA4B1" w:rsidR="003777FA" w:rsidRPr="003777FA" w:rsidRDefault="002B1BC0" w:rsidP="009000E3">
      <w:pPr>
        <w:pStyle w:val="ab"/>
        <w:numPr>
          <w:ilvl w:val="0"/>
          <w:numId w:val="51"/>
        </w:numPr>
      </w:pPr>
      <w:r>
        <w:rPr>
          <w:rFonts w:cs="Arial" w:hint="cs"/>
          <w:rtl/>
        </w:rPr>
        <w:t xml:space="preserve">רמב"ם </w:t>
      </w:r>
      <w:r>
        <w:rPr>
          <w:rFonts w:cs="Arial" w:hint="cs"/>
          <w:sz w:val="16"/>
          <w:szCs w:val="16"/>
          <w:rtl/>
        </w:rPr>
        <w:t>(פכ"ב מאישות הל"ב)</w:t>
      </w:r>
      <w:r>
        <w:rPr>
          <w:rFonts w:cs="Arial" w:hint="cs"/>
          <w:rtl/>
        </w:rPr>
        <w:t xml:space="preserve"> ו</w:t>
      </w:r>
      <w:r w:rsidR="00227F6B" w:rsidRPr="00227F6B">
        <w:rPr>
          <w:rFonts w:cs="Arial" w:hint="cs"/>
          <w:rtl/>
        </w:rPr>
        <w:t xml:space="preserve">טור- </w:t>
      </w:r>
      <w:r w:rsidR="00227F6B" w:rsidRPr="00227F6B">
        <w:rPr>
          <w:rFonts w:cs="Arial"/>
          <w:rtl/>
        </w:rPr>
        <w:t>אין מקבלין פקדונות מן הנשים ולא מן העבדים ולא מן הקטנים</w:t>
      </w:r>
      <w:r w:rsidR="00A36E95">
        <w:rPr>
          <w:rFonts w:cs="Arial" w:hint="cs"/>
          <w:rtl/>
        </w:rPr>
        <w:t>,</w:t>
      </w:r>
      <w:r w:rsidR="00227F6B" w:rsidRPr="00227F6B">
        <w:rPr>
          <w:rFonts w:cs="Arial"/>
          <w:rtl/>
        </w:rPr>
        <w:t xml:space="preserve"> דסתמא הוא של הבעל ושל האדון ושל האב</w:t>
      </w:r>
      <w:r w:rsidR="00A36E95">
        <w:rPr>
          <w:rFonts w:cs="Arial" w:hint="cs"/>
          <w:rtl/>
        </w:rPr>
        <w:t>,</w:t>
      </w:r>
      <w:r w:rsidR="00227F6B" w:rsidRPr="00227F6B">
        <w:rPr>
          <w:rFonts w:cs="Arial"/>
          <w:rtl/>
        </w:rPr>
        <w:t xml:space="preserve"> וכשלא יקבלו מהם יחזירו אותם</w:t>
      </w:r>
      <w:r>
        <w:rPr>
          <w:rFonts w:cs="Arial" w:hint="cs"/>
          <w:sz w:val="16"/>
          <w:szCs w:val="16"/>
          <w:rtl/>
        </w:rPr>
        <w:t xml:space="preserve"> (ל' הטור)</w:t>
      </w:r>
      <w:r w:rsidR="00A36E95">
        <w:rPr>
          <w:rFonts w:cs="Arial" w:hint="cs"/>
          <w:rtl/>
        </w:rPr>
        <w:t>.</w:t>
      </w:r>
      <w:r w:rsidR="00227F6B" w:rsidRPr="00227F6B">
        <w:rPr>
          <w:rFonts w:cs="Arial"/>
          <w:rtl/>
        </w:rPr>
        <w:t xml:space="preserve"> </w:t>
      </w:r>
      <w:r w:rsidR="009B617A" w:rsidRPr="009B617A">
        <w:rPr>
          <w:rFonts w:hint="cs"/>
          <w:color w:val="E36C0A" w:themeColor="accent6" w:themeShade="BF"/>
          <w:rtl/>
        </w:rPr>
        <w:t>(וכ"פ בשו"ע)</w:t>
      </w:r>
    </w:p>
    <w:p w14:paraId="08FAD405" w14:textId="0C229ED6" w:rsidR="003777FA" w:rsidRPr="003777FA" w:rsidRDefault="003777FA" w:rsidP="003777FA">
      <w:pPr>
        <w:ind w:left="360"/>
        <w:rPr>
          <w:u w:val="dotted"/>
        </w:rPr>
      </w:pPr>
      <w:r w:rsidRPr="003777FA">
        <w:rPr>
          <w:rFonts w:hint="cs"/>
          <w:u w:val="dotted"/>
          <w:rtl/>
        </w:rPr>
        <w:t>ומה הדין אם עבר וקיבל:</w:t>
      </w:r>
    </w:p>
    <w:p w14:paraId="0CE3A5CA" w14:textId="52E6FAE2" w:rsidR="00952342" w:rsidRPr="00952342" w:rsidRDefault="00803062" w:rsidP="009000E3">
      <w:pPr>
        <w:pStyle w:val="ab"/>
        <w:numPr>
          <w:ilvl w:val="0"/>
          <w:numId w:val="51"/>
        </w:numPr>
      </w:pPr>
      <w:r>
        <w:rPr>
          <w:rFonts w:cs="Arial" w:hint="cs"/>
          <w:rtl/>
        </w:rPr>
        <w:t xml:space="preserve">רמב"ם </w:t>
      </w:r>
      <w:r>
        <w:rPr>
          <w:rFonts w:cs="Arial" w:hint="cs"/>
          <w:sz w:val="16"/>
          <w:szCs w:val="16"/>
          <w:rtl/>
        </w:rPr>
        <w:t>(פכ"ב מאישות הל"ב, וב</w:t>
      </w:r>
      <w:r w:rsidRPr="002B1BC0">
        <w:rPr>
          <w:rFonts w:cs="Arial"/>
          <w:sz w:val="16"/>
          <w:szCs w:val="16"/>
          <w:rtl/>
        </w:rPr>
        <w:t>פ"ז משאלה ופקדון ה"י</w:t>
      </w:r>
      <w:r>
        <w:rPr>
          <w:rFonts w:cs="Arial" w:hint="cs"/>
          <w:sz w:val="16"/>
          <w:szCs w:val="16"/>
          <w:rtl/>
        </w:rPr>
        <w:t>)</w:t>
      </w:r>
      <w:r w:rsidR="00952342">
        <w:rPr>
          <w:rFonts w:cs="Arial" w:hint="cs"/>
          <w:rtl/>
        </w:rPr>
        <w:t xml:space="preserve">- </w:t>
      </w:r>
      <w:r w:rsidR="00952342" w:rsidRPr="002B1BC0">
        <w:rPr>
          <w:rFonts w:cs="Arial"/>
          <w:rtl/>
        </w:rPr>
        <w:t>אם עבר וקיבל מן האשה יחזיר לאשה, מתה יחזיר לבעלה</w:t>
      </w:r>
      <w:r w:rsidR="00CC1422">
        <w:rPr>
          <w:rFonts w:cs="Arial" w:hint="cs"/>
          <w:rtl/>
        </w:rPr>
        <w:t>.</w:t>
      </w:r>
      <w:r w:rsidR="00952342" w:rsidRPr="002B1BC0">
        <w:rPr>
          <w:rFonts w:cs="Arial"/>
          <w:rtl/>
        </w:rPr>
        <w:t xml:space="preserve"> קיבל מן העבד יחזיר לעבד</w:t>
      </w:r>
      <w:r w:rsidR="00CC1422">
        <w:rPr>
          <w:rFonts w:cs="Arial" w:hint="cs"/>
          <w:rtl/>
        </w:rPr>
        <w:t>,</w:t>
      </w:r>
      <w:r w:rsidR="00952342" w:rsidRPr="002B1BC0">
        <w:rPr>
          <w:rFonts w:cs="Arial"/>
          <w:rtl/>
        </w:rPr>
        <w:t xml:space="preserve"> ואם מת יחזיר לרבו</w:t>
      </w:r>
      <w:r w:rsidR="00CC1422">
        <w:rPr>
          <w:rFonts w:cs="Arial" w:hint="cs"/>
          <w:rtl/>
        </w:rPr>
        <w:t>.</w:t>
      </w:r>
      <w:r w:rsidR="00952342" w:rsidRPr="002B1BC0">
        <w:rPr>
          <w:rFonts w:cs="Arial"/>
          <w:rtl/>
        </w:rPr>
        <w:t xml:space="preserve"> קיבל מן הקטן</w:t>
      </w:r>
      <w:r w:rsidR="00346249">
        <w:rPr>
          <w:rFonts w:cs="Arial" w:hint="cs"/>
          <w:rtl/>
        </w:rPr>
        <w:t>,</w:t>
      </w:r>
      <w:r w:rsidR="00952342" w:rsidRPr="002B1BC0">
        <w:rPr>
          <w:rFonts w:cs="Arial"/>
          <w:rtl/>
        </w:rPr>
        <w:t xml:space="preserve"> יקנה לו בו ספר תורה או דבר שאוכל פירותיו</w:t>
      </w:r>
      <w:r w:rsidR="00346249">
        <w:rPr>
          <w:rStyle w:val="a7"/>
          <w:rFonts w:cs="Arial"/>
          <w:rtl/>
        </w:rPr>
        <w:footnoteReference w:id="1043"/>
      </w:r>
      <w:r w:rsidR="00CC1422">
        <w:rPr>
          <w:rFonts w:cs="Arial" w:hint="cs"/>
          <w:rtl/>
        </w:rPr>
        <w:t>.</w:t>
      </w:r>
      <w:r w:rsidR="00952342" w:rsidRPr="002B1BC0">
        <w:rPr>
          <w:rFonts w:cs="Arial"/>
          <w:rtl/>
        </w:rPr>
        <w:t xml:space="preserve"> וכולם שאמרו בשעת מיתתן פקדון זה של פלוני הוא</w:t>
      </w:r>
      <w:r w:rsidR="00CC1422">
        <w:rPr>
          <w:rFonts w:cs="Arial" w:hint="cs"/>
          <w:rtl/>
        </w:rPr>
        <w:t>,</w:t>
      </w:r>
      <w:r w:rsidR="00952342" w:rsidRPr="002B1BC0">
        <w:rPr>
          <w:rFonts w:cs="Arial"/>
          <w:rtl/>
        </w:rPr>
        <w:t xml:space="preserve"> אם היו בחזקת נאמנין אצל זה שהפקדון אצלו יעשה כמו שצוו</w:t>
      </w:r>
      <w:r w:rsidR="00CC1422">
        <w:rPr>
          <w:rFonts w:cs="Arial" w:hint="cs"/>
          <w:rtl/>
        </w:rPr>
        <w:t>,</w:t>
      </w:r>
      <w:r w:rsidR="00952342" w:rsidRPr="002B1BC0">
        <w:rPr>
          <w:rFonts w:cs="Arial"/>
          <w:rtl/>
        </w:rPr>
        <w:t xml:space="preserve"> ואם לאו יתן ליורשיהם</w:t>
      </w:r>
      <w:r w:rsidR="00952342">
        <w:rPr>
          <w:rFonts w:cs="Arial" w:hint="cs"/>
          <w:rtl/>
        </w:rPr>
        <w:t>.</w:t>
      </w:r>
      <w:r w:rsidR="009B617A" w:rsidRPr="009B617A">
        <w:rPr>
          <w:rFonts w:hint="cs"/>
          <w:color w:val="E36C0A" w:themeColor="accent6" w:themeShade="BF"/>
          <w:rtl/>
        </w:rPr>
        <w:t xml:space="preserve"> (וכ"פ בשו"ע)</w:t>
      </w:r>
    </w:p>
    <w:p w14:paraId="77E1630F" w14:textId="107BFE4A" w:rsidR="00A36E95" w:rsidRDefault="00886E51" w:rsidP="009000E3">
      <w:pPr>
        <w:pStyle w:val="ab"/>
        <w:numPr>
          <w:ilvl w:val="0"/>
          <w:numId w:val="51"/>
        </w:numPr>
      </w:pPr>
      <w:r>
        <w:rPr>
          <w:rFonts w:cs="Arial"/>
          <w:rtl/>
        </w:rPr>
        <w:t>רא"ש</w:t>
      </w:r>
      <w:r w:rsidR="00952342">
        <w:rPr>
          <w:rStyle w:val="a7"/>
          <w:rFonts w:cs="Arial"/>
          <w:rtl/>
        </w:rPr>
        <w:footnoteReference w:id="1044"/>
      </w:r>
      <w:r>
        <w:rPr>
          <w:rFonts w:cs="Arial"/>
          <w:rtl/>
        </w:rPr>
        <w:t xml:space="preserve"> </w:t>
      </w:r>
      <w:r w:rsidRPr="00886E51">
        <w:rPr>
          <w:rFonts w:cs="Arial"/>
          <w:sz w:val="16"/>
          <w:szCs w:val="16"/>
          <w:rtl/>
        </w:rPr>
        <w:t>(</w:t>
      </w:r>
      <w:r w:rsidR="005F5BCC">
        <w:rPr>
          <w:rFonts w:cs="Arial" w:hint="cs"/>
          <w:sz w:val="16"/>
          <w:szCs w:val="16"/>
          <w:rtl/>
        </w:rPr>
        <w:t xml:space="preserve">פ"ג </w:t>
      </w:r>
      <w:r w:rsidRPr="00886E51">
        <w:rPr>
          <w:rFonts w:cs="Arial"/>
          <w:sz w:val="16"/>
          <w:szCs w:val="16"/>
          <w:rtl/>
        </w:rPr>
        <w:t>סי' נה)</w:t>
      </w:r>
      <w:r w:rsidRPr="00886E51">
        <w:rPr>
          <w:rFonts w:cs="Arial" w:hint="cs"/>
          <w:sz w:val="16"/>
          <w:szCs w:val="16"/>
          <w:rtl/>
        </w:rPr>
        <w:t xml:space="preserve"> </w:t>
      </w:r>
      <w:r>
        <w:rPr>
          <w:rFonts w:cs="Arial" w:hint="cs"/>
          <w:rtl/>
        </w:rPr>
        <w:t>ו</w:t>
      </w:r>
      <w:r w:rsidR="003777FA">
        <w:rPr>
          <w:rFonts w:cs="Arial" w:hint="cs"/>
          <w:rtl/>
        </w:rPr>
        <w:t xml:space="preserve">טור- </w:t>
      </w:r>
      <w:r w:rsidR="00227F6B" w:rsidRPr="00227F6B">
        <w:rPr>
          <w:rFonts w:cs="Arial"/>
          <w:rtl/>
        </w:rPr>
        <w:t>עבר וקבל מן האשה</w:t>
      </w:r>
      <w:r w:rsidR="00A36E95">
        <w:rPr>
          <w:rFonts w:cs="Arial" w:hint="cs"/>
          <w:rtl/>
        </w:rPr>
        <w:t xml:space="preserve"> -</w:t>
      </w:r>
      <w:r w:rsidR="00227F6B" w:rsidRPr="00227F6B">
        <w:rPr>
          <w:rFonts w:cs="Arial"/>
          <w:rtl/>
        </w:rPr>
        <w:t xml:space="preserve"> יחזיר לאשה</w:t>
      </w:r>
      <w:r w:rsidR="00A36E95">
        <w:rPr>
          <w:rFonts w:cs="Arial" w:hint="cs"/>
          <w:rtl/>
        </w:rPr>
        <w:t>,</w:t>
      </w:r>
      <w:r w:rsidR="00227F6B" w:rsidRPr="00227F6B">
        <w:rPr>
          <w:rFonts w:cs="Arial"/>
          <w:rtl/>
        </w:rPr>
        <w:t xml:space="preserve"> אפי</w:t>
      </w:r>
      <w:r w:rsidR="00A36E95">
        <w:rPr>
          <w:rFonts w:cs="Arial" w:hint="cs"/>
          <w:rtl/>
        </w:rPr>
        <w:t>לו</w:t>
      </w:r>
      <w:r w:rsidR="00227F6B" w:rsidRPr="00227F6B">
        <w:rPr>
          <w:rFonts w:cs="Arial"/>
          <w:rtl/>
        </w:rPr>
        <w:t xml:space="preserve"> הבעל עומד וצווח ואומר שלי הוא</w:t>
      </w:r>
      <w:r w:rsidR="00A36E95">
        <w:rPr>
          <w:rFonts w:cs="Arial" w:hint="cs"/>
          <w:rtl/>
        </w:rPr>
        <w:t>.</w:t>
      </w:r>
      <w:r w:rsidR="00227F6B" w:rsidRPr="00227F6B">
        <w:rPr>
          <w:rFonts w:cs="Arial"/>
          <w:rtl/>
        </w:rPr>
        <w:t xml:space="preserve"> ואם היא אומרת משל פלוני הוא</w:t>
      </w:r>
      <w:r w:rsidR="00A36E95">
        <w:rPr>
          <w:rFonts w:cs="Arial" w:hint="cs"/>
          <w:rtl/>
        </w:rPr>
        <w:t>,</w:t>
      </w:r>
      <w:r w:rsidR="00227F6B" w:rsidRPr="00227F6B">
        <w:rPr>
          <w:rFonts w:cs="Arial"/>
          <w:rtl/>
        </w:rPr>
        <w:t xml:space="preserve"> אם היא בריאה </w:t>
      </w:r>
      <w:r w:rsidR="00A36E95">
        <w:rPr>
          <w:rFonts w:cs="Arial" w:hint="cs"/>
          <w:rtl/>
        </w:rPr>
        <w:t xml:space="preserve">- </w:t>
      </w:r>
      <w:r w:rsidR="00227F6B" w:rsidRPr="00227F6B">
        <w:rPr>
          <w:rFonts w:cs="Arial"/>
          <w:rtl/>
        </w:rPr>
        <w:t>נאמנת במגו</w:t>
      </w:r>
      <w:r w:rsidR="0092607E">
        <w:rPr>
          <w:rStyle w:val="a7"/>
          <w:rFonts w:cs="Arial"/>
          <w:rtl/>
        </w:rPr>
        <w:footnoteReference w:id="1045"/>
      </w:r>
      <w:r w:rsidR="00A36E95">
        <w:rPr>
          <w:rFonts w:cs="Arial" w:hint="cs"/>
          <w:rtl/>
        </w:rPr>
        <w:t>,</w:t>
      </w:r>
      <w:r w:rsidR="00227F6B" w:rsidRPr="00227F6B">
        <w:rPr>
          <w:rFonts w:cs="Arial"/>
          <w:rtl/>
        </w:rPr>
        <w:t xml:space="preserve"> שאם היא רוצה תקחנו ותתנו לו</w:t>
      </w:r>
      <w:r w:rsidR="00A36E95">
        <w:rPr>
          <w:rFonts w:cs="Arial" w:hint="cs"/>
          <w:rtl/>
        </w:rPr>
        <w:t>.</w:t>
      </w:r>
      <w:r w:rsidR="00227F6B" w:rsidRPr="00227F6B">
        <w:rPr>
          <w:rFonts w:cs="Arial"/>
          <w:rtl/>
        </w:rPr>
        <w:t xml:space="preserve"> ואם היא חולה</w:t>
      </w:r>
      <w:r w:rsidR="00A36E95">
        <w:rPr>
          <w:rFonts w:cs="Arial" w:hint="cs"/>
          <w:rtl/>
        </w:rPr>
        <w:t>,</w:t>
      </w:r>
      <w:r w:rsidR="00227F6B" w:rsidRPr="00227F6B">
        <w:rPr>
          <w:rFonts w:cs="Arial"/>
          <w:rtl/>
        </w:rPr>
        <w:t xml:space="preserve"> </w:t>
      </w:r>
      <w:r w:rsidR="00227F6B" w:rsidRPr="00227F6B">
        <w:rPr>
          <w:rFonts w:cs="Arial"/>
          <w:rtl/>
        </w:rPr>
        <w:lastRenderedPageBreak/>
        <w:t>אם היא נאמנת בעיני הנפקד</w:t>
      </w:r>
      <w:r w:rsidR="00A36E95">
        <w:rPr>
          <w:rFonts w:cs="Arial" w:hint="cs"/>
          <w:rtl/>
        </w:rPr>
        <w:t>,</w:t>
      </w:r>
      <w:r w:rsidR="00227F6B" w:rsidRPr="00227F6B">
        <w:rPr>
          <w:rFonts w:cs="Arial"/>
          <w:rtl/>
        </w:rPr>
        <w:t xml:space="preserve"> יעשה כדבריה ויתנהו לאותו פלוני אפי</w:t>
      </w:r>
      <w:r w:rsidR="00A36E95">
        <w:rPr>
          <w:rFonts w:cs="Arial" w:hint="cs"/>
          <w:rtl/>
        </w:rPr>
        <w:t>לו</w:t>
      </w:r>
      <w:r w:rsidR="00227F6B" w:rsidRPr="00227F6B">
        <w:rPr>
          <w:rFonts w:cs="Arial"/>
          <w:rtl/>
        </w:rPr>
        <w:t xml:space="preserve"> אם הבעל מוחה בידו</w:t>
      </w:r>
      <w:r w:rsidR="00952342">
        <w:rPr>
          <w:rStyle w:val="a7"/>
          <w:rFonts w:cs="Arial"/>
          <w:rtl/>
        </w:rPr>
        <w:footnoteReference w:id="1046"/>
      </w:r>
      <w:r w:rsidR="00A36E95">
        <w:rPr>
          <w:rFonts w:cs="Arial" w:hint="cs"/>
          <w:rtl/>
        </w:rPr>
        <w:t>,</w:t>
      </w:r>
      <w:r w:rsidR="00227F6B" w:rsidRPr="00227F6B">
        <w:rPr>
          <w:rFonts w:cs="Arial"/>
          <w:rtl/>
        </w:rPr>
        <w:t xml:space="preserve"> ואם לאו</w:t>
      </w:r>
      <w:r w:rsidR="00A36E95">
        <w:rPr>
          <w:rFonts w:cs="Arial" w:hint="cs"/>
          <w:rtl/>
        </w:rPr>
        <w:t>,</w:t>
      </w:r>
      <w:r w:rsidR="00227F6B" w:rsidRPr="00227F6B">
        <w:rPr>
          <w:rFonts w:cs="Arial"/>
          <w:rtl/>
        </w:rPr>
        <w:t xml:space="preserve"> יתנהו לבעל</w:t>
      </w:r>
      <w:r w:rsidR="00A36E95">
        <w:rPr>
          <w:rFonts w:cs="Arial" w:hint="cs"/>
          <w:rtl/>
        </w:rPr>
        <w:t>.</w:t>
      </w:r>
      <w:r w:rsidR="00227F6B" w:rsidRPr="00227F6B">
        <w:rPr>
          <w:rFonts w:cs="Arial"/>
          <w:rtl/>
        </w:rPr>
        <w:t xml:space="preserve"> </w:t>
      </w:r>
      <w:r w:rsidR="00227F6B" w:rsidRPr="00952342">
        <w:rPr>
          <w:rFonts w:cs="Arial"/>
          <w:rtl/>
        </w:rPr>
        <w:t xml:space="preserve">מתה ולא אמרה של מי הוא </w:t>
      </w:r>
      <w:r w:rsidR="00A36E95" w:rsidRPr="00952342">
        <w:rPr>
          <w:rFonts w:cs="Arial" w:hint="cs"/>
          <w:rtl/>
        </w:rPr>
        <w:t xml:space="preserve">- </w:t>
      </w:r>
      <w:r w:rsidR="00227F6B" w:rsidRPr="00952342">
        <w:rPr>
          <w:rFonts w:cs="Arial"/>
          <w:rtl/>
        </w:rPr>
        <w:t>יתנהו לבעלה</w:t>
      </w:r>
      <w:r w:rsidR="00410A12">
        <w:rPr>
          <w:rStyle w:val="a7"/>
          <w:rFonts w:cs="Arial"/>
          <w:rtl/>
        </w:rPr>
        <w:footnoteReference w:id="1047"/>
      </w:r>
      <w:r w:rsidR="00A36E95" w:rsidRPr="00952342">
        <w:rPr>
          <w:rFonts w:cs="Arial" w:hint="cs"/>
          <w:rtl/>
        </w:rPr>
        <w:t>.</w:t>
      </w:r>
      <w:r w:rsidR="00227F6B" w:rsidRPr="00952342">
        <w:rPr>
          <w:rFonts w:cs="Arial"/>
          <w:rtl/>
        </w:rPr>
        <w:t xml:space="preserve"> נתגרשה ואח"כ מתה </w:t>
      </w:r>
      <w:r w:rsidR="00A36E95" w:rsidRPr="00952342">
        <w:rPr>
          <w:rFonts w:cs="Arial" w:hint="cs"/>
          <w:rtl/>
        </w:rPr>
        <w:t xml:space="preserve">- </w:t>
      </w:r>
      <w:r w:rsidR="00227F6B" w:rsidRPr="00952342">
        <w:rPr>
          <w:rFonts w:cs="Arial"/>
          <w:rtl/>
        </w:rPr>
        <w:t>יתנהו ליורשיה</w:t>
      </w:r>
      <w:r w:rsidR="00A36E95" w:rsidRPr="00952342">
        <w:rPr>
          <w:rFonts w:cs="Arial" w:hint="cs"/>
          <w:rtl/>
        </w:rPr>
        <w:t>.</w:t>
      </w:r>
      <w:r w:rsidR="00227F6B" w:rsidRPr="00952342">
        <w:rPr>
          <w:rFonts w:cs="Arial"/>
          <w:rtl/>
        </w:rPr>
        <w:t xml:space="preserve"> קבל מהעבד </w:t>
      </w:r>
      <w:r w:rsidR="00A36E95" w:rsidRPr="00952342">
        <w:rPr>
          <w:rFonts w:cs="Arial" w:hint="cs"/>
          <w:rtl/>
        </w:rPr>
        <w:t xml:space="preserve">- </w:t>
      </w:r>
      <w:r w:rsidR="00227F6B" w:rsidRPr="00952342">
        <w:rPr>
          <w:rFonts w:cs="Arial"/>
          <w:rtl/>
        </w:rPr>
        <w:t>יחזירהו לו</w:t>
      </w:r>
      <w:r w:rsidR="000B7179">
        <w:rPr>
          <w:rStyle w:val="a7"/>
          <w:rFonts w:cs="Arial"/>
          <w:rtl/>
        </w:rPr>
        <w:footnoteReference w:id="1048"/>
      </w:r>
      <w:r w:rsidR="00A36E95" w:rsidRPr="00952342">
        <w:rPr>
          <w:rFonts w:cs="Arial" w:hint="cs"/>
          <w:rtl/>
        </w:rPr>
        <w:t>.</w:t>
      </w:r>
      <w:r w:rsidR="00227F6B" w:rsidRPr="00952342">
        <w:rPr>
          <w:rFonts w:cs="Arial"/>
          <w:rtl/>
        </w:rPr>
        <w:t xml:space="preserve"> מת </w:t>
      </w:r>
      <w:r w:rsidR="00A36E95" w:rsidRPr="00952342">
        <w:rPr>
          <w:rFonts w:cs="Arial" w:hint="cs"/>
          <w:rtl/>
        </w:rPr>
        <w:t xml:space="preserve">- </w:t>
      </w:r>
      <w:r w:rsidR="00227F6B" w:rsidRPr="00952342">
        <w:rPr>
          <w:rFonts w:cs="Arial"/>
          <w:rtl/>
        </w:rPr>
        <w:t>יתנהו לאדון</w:t>
      </w:r>
      <w:r w:rsidR="00A36E95" w:rsidRPr="00952342">
        <w:rPr>
          <w:rFonts w:cs="Arial" w:hint="cs"/>
          <w:rtl/>
        </w:rPr>
        <w:t>,</w:t>
      </w:r>
      <w:r w:rsidR="00227F6B" w:rsidRPr="00952342">
        <w:rPr>
          <w:rFonts w:cs="Arial"/>
          <w:rtl/>
        </w:rPr>
        <w:t xml:space="preserve"> אפילו נשתחרר קודם שמת</w:t>
      </w:r>
      <w:r w:rsidR="00A36E95" w:rsidRPr="00952342">
        <w:rPr>
          <w:rFonts w:cs="Arial" w:hint="cs"/>
          <w:rtl/>
        </w:rPr>
        <w:t>,</w:t>
      </w:r>
      <w:r w:rsidR="00227F6B" w:rsidRPr="00952342">
        <w:rPr>
          <w:rFonts w:cs="Arial"/>
          <w:rtl/>
        </w:rPr>
        <w:t xml:space="preserve"> דמסתמא גנבו מבית אדונו</w:t>
      </w:r>
      <w:r w:rsidR="00A36E95" w:rsidRPr="00952342">
        <w:rPr>
          <w:rFonts w:cs="Arial" w:hint="cs"/>
          <w:rtl/>
        </w:rPr>
        <w:t>.</w:t>
      </w:r>
      <w:r w:rsidR="00227F6B" w:rsidRPr="00952342">
        <w:rPr>
          <w:rFonts w:cs="Arial"/>
          <w:rtl/>
        </w:rPr>
        <w:t xml:space="preserve"> קבל מהקטן </w:t>
      </w:r>
      <w:r w:rsidR="00A36E95" w:rsidRPr="00952342">
        <w:rPr>
          <w:rFonts w:cs="Arial" w:hint="cs"/>
          <w:rtl/>
        </w:rPr>
        <w:t xml:space="preserve">- </w:t>
      </w:r>
      <w:r w:rsidR="00227F6B" w:rsidRPr="00952342">
        <w:rPr>
          <w:rFonts w:cs="Arial"/>
          <w:rtl/>
        </w:rPr>
        <w:t>יקנה לו בו דקל לאכול פירותיו</w:t>
      </w:r>
      <w:r w:rsidR="00A36E95" w:rsidRPr="00952342">
        <w:rPr>
          <w:rFonts w:cs="Arial" w:hint="cs"/>
          <w:rtl/>
        </w:rPr>
        <w:t>.</w:t>
      </w:r>
      <w:r w:rsidR="00227F6B" w:rsidRPr="00952342">
        <w:rPr>
          <w:rFonts w:cs="Arial"/>
          <w:rtl/>
        </w:rPr>
        <w:t xml:space="preserve"> מת </w:t>
      </w:r>
      <w:r w:rsidR="00A36E95" w:rsidRPr="00952342">
        <w:rPr>
          <w:rFonts w:cs="Arial" w:hint="cs"/>
          <w:rtl/>
        </w:rPr>
        <w:t xml:space="preserve">- </w:t>
      </w:r>
      <w:r w:rsidR="00227F6B" w:rsidRPr="00952342">
        <w:rPr>
          <w:rFonts w:cs="Arial"/>
          <w:rtl/>
        </w:rPr>
        <w:t>יחזיר לאביו</w:t>
      </w:r>
      <w:r w:rsidRPr="00952342">
        <w:rPr>
          <w:rFonts w:cs="Arial" w:hint="cs"/>
          <w:sz w:val="16"/>
          <w:szCs w:val="16"/>
          <w:rtl/>
        </w:rPr>
        <w:t xml:space="preserve"> (ל' הטור)</w:t>
      </w:r>
      <w:r w:rsidR="00A36E95" w:rsidRPr="00952342">
        <w:rPr>
          <w:rFonts w:cs="Arial" w:hint="cs"/>
          <w:rtl/>
        </w:rPr>
        <w:t>.</w:t>
      </w:r>
      <w:r w:rsidR="00227F6B" w:rsidRPr="00952342">
        <w:rPr>
          <w:rFonts w:cs="Arial"/>
          <w:rtl/>
        </w:rPr>
        <w:t xml:space="preserve"> </w:t>
      </w:r>
      <w:r w:rsidR="00C22F63" w:rsidRPr="00C22F63">
        <w:rPr>
          <w:rFonts w:hint="cs"/>
          <w:color w:val="00B0F0"/>
          <w:rtl/>
        </w:rPr>
        <w:t>(וכ"פ הרמ"א)</w:t>
      </w:r>
    </w:p>
    <w:p w14:paraId="61138713" w14:textId="601A5C4D" w:rsidR="00A7075E" w:rsidRPr="002E67F3" w:rsidRDefault="00A7075E" w:rsidP="00A7075E">
      <w:pPr>
        <w:ind w:left="360"/>
        <w:rPr>
          <w:u w:val="dotted"/>
        </w:rPr>
      </w:pPr>
      <w:r w:rsidRPr="002E67F3">
        <w:rPr>
          <w:rFonts w:hint="cs"/>
          <w:u w:val="dotted"/>
          <w:rtl/>
        </w:rPr>
        <w:t>ומה הדין אם האשה נושאת ונותנת בבית:</w:t>
      </w:r>
    </w:p>
    <w:p w14:paraId="302A20ED" w14:textId="075062A2" w:rsidR="00B62B81" w:rsidRPr="00B62B81" w:rsidRDefault="00B62B81" w:rsidP="00D27B16">
      <w:pPr>
        <w:pStyle w:val="ab"/>
        <w:numPr>
          <w:ilvl w:val="0"/>
          <w:numId w:val="51"/>
        </w:numPr>
      </w:pPr>
      <w:r>
        <w:rPr>
          <w:rFonts w:cs="Arial" w:hint="cs"/>
          <w:rtl/>
        </w:rPr>
        <w:t xml:space="preserve">תוס' </w:t>
      </w:r>
      <w:r>
        <w:rPr>
          <w:rFonts w:cs="Arial" w:hint="cs"/>
          <w:sz w:val="16"/>
          <w:szCs w:val="16"/>
          <w:rtl/>
        </w:rPr>
        <w:t>(נא: ד"ה קבל)</w:t>
      </w:r>
      <w:r>
        <w:rPr>
          <w:rFonts w:cs="Arial" w:hint="cs"/>
          <w:rtl/>
        </w:rPr>
        <w:t xml:space="preserve">- </w:t>
      </w:r>
      <w:r w:rsidRPr="00B62B81">
        <w:rPr>
          <w:rFonts w:cs="Arial"/>
          <w:rtl/>
        </w:rPr>
        <w:t xml:space="preserve">ואם היא נושאת ונותנת בתוך הבית </w:t>
      </w:r>
      <w:r>
        <w:rPr>
          <w:rFonts w:cs="Arial" w:hint="cs"/>
          <w:rtl/>
        </w:rPr>
        <w:t xml:space="preserve">- </w:t>
      </w:r>
      <w:r w:rsidRPr="00B62B81">
        <w:rPr>
          <w:rFonts w:cs="Arial"/>
          <w:rtl/>
        </w:rPr>
        <w:t>אינה נאמנת לומר לא שלי ולא של פלוני הם</w:t>
      </w:r>
      <w:r>
        <w:rPr>
          <w:rStyle w:val="a7"/>
          <w:rFonts w:cs="Arial"/>
          <w:rtl/>
        </w:rPr>
        <w:footnoteReference w:id="1049"/>
      </w:r>
      <w:r>
        <w:rPr>
          <w:rFonts w:cs="Arial" w:hint="cs"/>
          <w:rtl/>
        </w:rPr>
        <w:t>...</w:t>
      </w:r>
      <w:r w:rsidRPr="00B62B81">
        <w:rPr>
          <w:rFonts w:cs="Arial"/>
          <w:rtl/>
        </w:rPr>
        <w:t xml:space="preserve"> ומיהו היכא שאינה נושאת ונותנת בחיי בעלה וממון בעלה מצוי בידה יש להסתפק אם חשבינן לה כאילו נושאת ונותנת אם לאו.</w:t>
      </w:r>
    </w:p>
    <w:p w14:paraId="19F5A04B" w14:textId="40A98385" w:rsidR="00D27B16" w:rsidRDefault="00D27B16" w:rsidP="00D27B16">
      <w:pPr>
        <w:pStyle w:val="ab"/>
        <w:numPr>
          <w:ilvl w:val="0"/>
          <w:numId w:val="51"/>
        </w:numPr>
      </w:pPr>
      <w:r>
        <w:rPr>
          <w:rFonts w:cs="Arial" w:hint="cs"/>
          <w:rtl/>
        </w:rPr>
        <w:t xml:space="preserve">רא"ש </w:t>
      </w:r>
      <w:r w:rsidRPr="00886E51">
        <w:rPr>
          <w:rFonts w:cs="Arial"/>
          <w:sz w:val="16"/>
          <w:szCs w:val="16"/>
          <w:rtl/>
        </w:rPr>
        <w:t>(</w:t>
      </w:r>
      <w:r>
        <w:rPr>
          <w:rFonts w:cs="Arial" w:hint="cs"/>
          <w:sz w:val="16"/>
          <w:szCs w:val="16"/>
          <w:rtl/>
        </w:rPr>
        <w:t xml:space="preserve">פ"ג </w:t>
      </w:r>
      <w:r w:rsidRPr="00886E51">
        <w:rPr>
          <w:rFonts w:cs="Arial"/>
          <w:sz w:val="16"/>
          <w:szCs w:val="16"/>
          <w:rtl/>
        </w:rPr>
        <w:t>סי' נה)</w:t>
      </w:r>
      <w:r>
        <w:rPr>
          <w:rFonts w:cs="Arial" w:hint="cs"/>
          <w:rtl/>
        </w:rPr>
        <w:t xml:space="preserve"> וטור- </w:t>
      </w:r>
      <w:r w:rsidRPr="00227F6B">
        <w:rPr>
          <w:rFonts w:cs="Arial"/>
          <w:rtl/>
        </w:rPr>
        <w:t>והאשה הנושאת ונותנת בתוך הבית</w:t>
      </w:r>
      <w:r>
        <w:rPr>
          <w:rStyle w:val="a7"/>
          <w:rFonts w:cs="Arial"/>
          <w:rtl/>
        </w:rPr>
        <w:footnoteReference w:id="1050"/>
      </w:r>
      <w:r>
        <w:rPr>
          <w:rFonts w:cs="Arial" w:hint="cs"/>
          <w:rtl/>
        </w:rPr>
        <w:t>,</w:t>
      </w:r>
      <w:r w:rsidRPr="00227F6B">
        <w:rPr>
          <w:rFonts w:cs="Arial"/>
          <w:rtl/>
        </w:rPr>
        <w:t xml:space="preserve"> או אפי' אינה נושאת ונותנת בתוך הבית אלא שהבעל מאמינה ומפקיד מה שיש לו בידה </w:t>
      </w:r>
      <w:r>
        <w:rPr>
          <w:rFonts w:cs="Arial" w:hint="cs"/>
          <w:rtl/>
        </w:rPr>
        <w:t xml:space="preserve">- </w:t>
      </w:r>
      <w:r w:rsidRPr="00227F6B">
        <w:rPr>
          <w:rFonts w:cs="Arial"/>
          <w:rtl/>
        </w:rPr>
        <w:t>אינה נאמנת לומר שלי או של פלוני הוא</w:t>
      </w:r>
      <w:r>
        <w:rPr>
          <w:rFonts w:cs="Arial" w:hint="cs"/>
          <w:sz w:val="16"/>
          <w:szCs w:val="16"/>
          <w:rtl/>
        </w:rPr>
        <w:t xml:space="preserve"> (ל' הטור)</w:t>
      </w:r>
      <w:r>
        <w:rPr>
          <w:rFonts w:cs="Arial" w:hint="cs"/>
          <w:rtl/>
        </w:rPr>
        <w:t>.</w:t>
      </w:r>
      <w:r w:rsidRPr="00227F6B">
        <w:rPr>
          <w:rFonts w:cs="Arial"/>
          <w:rtl/>
        </w:rPr>
        <w:t xml:space="preserve"> </w:t>
      </w:r>
      <w:r w:rsidRPr="00D43D3C">
        <w:rPr>
          <w:rFonts w:hint="cs"/>
          <w:color w:val="00B0F0"/>
          <w:rtl/>
        </w:rPr>
        <w:t>(וכ"</w:t>
      </w:r>
      <w:r w:rsidR="00093362">
        <w:rPr>
          <w:rFonts w:hint="cs"/>
          <w:color w:val="00B0F0"/>
          <w:rtl/>
        </w:rPr>
        <w:t>פ</w:t>
      </w:r>
      <w:r w:rsidRPr="00D43D3C">
        <w:rPr>
          <w:rFonts w:hint="cs"/>
          <w:color w:val="00B0F0"/>
          <w:rtl/>
        </w:rPr>
        <w:t xml:space="preserve"> הרמ"א</w:t>
      </w:r>
      <w:r w:rsidR="00093362">
        <w:rPr>
          <w:rFonts w:hint="cs"/>
          <w:color w:val="00B0F0"/>
          <w:sz w:val="16"/>
          <w:szCs w:val="16"/>
          <w:rtl/>
        </w:rPr>
        <w:t xml:space="preserve"> </w:t>
      </w:r>
      <w:r w:rsidR="00093362" w:rsidRPr="00093362">
        <w:rPr>
          <w:rFonts w:hint="cs"/>
          <w:sz w:val="16"/>
          <w:szCs w:val="16"/>
          <w:rtl/>
        </w:rPr>
        <w:t>[</w:t>
      </w:r>
      <w:r w:rsidR="00093362">
        <w:rPr>
          <w:rFonts w:hint="cs"/>
          <w:sz w:val="16"/>
          <w:szCs w:val="16"/>
          <w:rtl/>
        </w:rPr>
        <w:t>בסע' הבא</w:t>
      </w:r>
      <w:r w:rsidR="00093362" w:rsidRPr="00093362">
        <w:rPr>
          <w:rFonts w:hint="cs"/>
          <w:sz w:val="16"/>
          <w:szCs w:val="16"/>
          <w:rtl/>
        </w:rPr>
        <w:t>]</w:t>
      </w:r>
      <w:r w:rsidRPr="00D43D3C">
        <w:rPr>
          <w:rFonts w:hint="cs"/>
          <w:color w:val="00B0F0"/>
          <w:rtl/>
        </w:rPr>
        <w:t>)</w:t>
      </w:r>
    </w:p>
    <w:p w14:paraId="7C7FE76E" w14:textId="64D8489D" w:rsidR="00093362" w:rsidRPr="00093362" w:rsidRDefault="00093362" w:rsidP="00093362">
      <w:pPr>
        <w:ind w:left="720"/>
        <w:rPr>
          <w:u w:val="wave"/>
        </w:rPr>
      </w:pPr>
      <w:r>
        <w:rPr>
          <w:rFonts w:hint="cs"/>
          <w:u w:val="wave"/>
          <w:rtl/>
        </w:rPr>
        <w:t xml:space="preserve">כיון שאינה נאמנת - האם יחזיר לבעל או שיחזיר לאשה </w:t>
      </w:r>
      <w:r w:rsidR="003F5C71">
        <w:rPr>
          <w:rFonts w:hint="cs"/>
          <w:u w:val="wave"/>
          <w:rtl/>
        </w:rPr>
        <w:t>ו</w:t>
      </w:r>
      <w:r>
        <w:rPr>
          <w:rFonts w:hint="cs"/>
          <w:u w:val="wave"/>
          <w:rtl/>
        </w:rPr>
        <w:t>אח"כ ידונו</w:t>
      </w:r>
      <w:r w:rsidR="003F5C71">
        <w:rPr>
          <w:rFonts w:hint="cs"/>
          <w:u w:val="wave"/>
          <w:rtl/>
        </w:rPr>
        <w:t xml:space="preserve"> האיש והאשה</w:t>
      </w:r>
      <w:r>
        <w:rPr>
          <w:rFonts w:hint="cs"/>
          <w:u w:val="wave"/>
          <w:rtl/>
        </w:rPr>
        <w:t xml:space="preserve"> בב"ד:</w:t>
      </w:r>
    </w:p>
    <w:p w14:paraId="0E20880B" w14:textId="422765F9" w:rsidR="00093362" w:rsidRDefault="00093362" w:rsidP="00093362">
      <w:pPr>
        <w:pStyle w:val="ab"/>
        <w:numPr>
          <w:ilvl w:val="0"/>
          <w:numId w:val="51"/>
        </w:numPr>
      </w:pPr>
      <w:r>
        <w:rPr>
          <w:rFonts w:cs="Arial"/>
          <w:rtl/>
        </w:rPr>
        <w:t xml:space="preserve">ריב"ש </w:t>
      </w:r>
      <w:r w:rsidRPr="00525F70">
        <w:rPr>
          <w:rFonts w:cs="Arial" w:hint="cs"/>
          <w:sz w:val="16"/>
          <w:szCs w:val="16"/>
          <w:rtl/>
        </w:rPr>
        <w:t>(</w:t>
      </w:r>
      <w:r w:rsidRPr="00525F70">
        <w:rPr>
          <w:rFonts w:cs="Arial"/>
          <w:sz w:val="16"/>
          <w:szCs w:val="16"/>
          <w:rtl/>
        </w:rPr>
        <w:t>בתשו</w:t>
      </w:r>
      <w:r w:rsidRPr="00525F70">
        <w:rPr>
          <w:rFonts w:cs="Arial" w:hint="cs"/>
          <w:sz w:val="16"/>
          <w:szCs w:val="16"/>
          <w:rtl/>
        </w:rPr>
        <w:t>'</w:t>
      </w:r>
      <w:r w:rsidRPr="00525F70">
        <w:rPr>
          <w:rFonts w:cs="Arial"/>
          <w:sz w:val="16"/>
          <w:szCs w:val="16"/>
          <w:rtl/>
        </w:rPr>
        <w:t xml:space="preserve"> סי</w:t>
      </w:r>
      <w:r w:rsidRPr="00525F70">
        <w:rPr>
          <w:rFonts w:cs="Arial" w:hint="cs"/>
          <w:sz w:val="16"/>
          <w:szCs w:val="16"/>
          <w:rtl/>
        </w:rPr>
        <w:t>'</w:t>
      </w:r>
      <w:r w:rsidRPr="00525F70">
        <w:rPr>
          <w:rFonts w:cs="Arial"/>
          <w:sz w:val="16"/>
          <w:szCs w:val="16"/>
          <w:rtl/>
        </w:rPr>
        <w:t xml:space="preserve"> נ</w:t>
      </w:r>
      <w:r w:rsidRPr="00525F70">
        <w:rPr>
          <w:rFonts w:cs="Arial" w:hint="cs"/>
          <w:sz w:val="16"/>
          <w:szCs w:val="16"/>
          <w:rtl/>
        </w:rPr>
        <w:t>)</w:t>
      </w:r>
      <w:r>
        <w:rPr>
          <w:rFonts w:cs="Arial" w:hint="cs"/>
          <w:rtl/>
        </w:rPr>
        <w:t xml:space="preserve">- </w:t>
      </w:r>
      <w:r w:rsidRPr="00524888">
        <w:rPr>
          <w:rFonts w:cs="Arial"/>
          <w:rtl/>
        </w:rPr>
        <w:t>נראה שאפילו תהא היא נושאת ונותנת בתוך הבית מ"מ יחזיר לאשה</w:t>
      </w:r>
      <w:r>
        <w:rPr>
          <w:rFonts w:cs="Arial" w:hint="cs"/>
          <w:rtl/>
        </w:rPr>
        <w:t>,</w:t>
      </w:r>
      <w:r w:rsidRPr="00524888">
        <w:rPr>
          <w:rFonts w:cs="Arial"/>
          <w:rtl/>
        </w:rPr>
        <w:t xml:space="preserve"> דלמקום שנטל יחזיר</w:t>
      </w:r>
      <w:r>
        <w:rPr>
          <w:rStyle w:val="a7"/>
          <w:rFonts w:cs="Arial"/>
          <w:rtl/>
        </w:rPr>
        <w:footnoteReference w:id="1051"/>
      </w:r>
      <w:r>
        <w:rPr>
          <w:rFonts w:cs="Arial"/>
          <w:rtl/>
        </w:rPr>
        <w:t>.</w:t>
      </w:r>
      <w:r>
        <w:rPr>
          <w:rFonts w:cs="Arial" w:hint="cs"/>
          <w:rtl/>
        </w:rPr>
        <w:t xml:space="preserve"> </w:t>
      </w:r>
      <w:r w:rsidRPr="00D43D3C">
        <w:rPr>
          <w:rFonts w:hint="cs"/>
          <w:color w:val="00B0F0"/>
          <w:rtl/>
        </w:rPr>
        <w:t>(וכ"</w:t>
      </w:r>
      <w:r>
        <w:rPr>
          <w:rFonts w:hint="cs"/>
          <w:color w:val="00B0F0"/>
          <w:rtl/>
        </w:rPr>
        <w:t>פ</w:t>
      </w:r>
      <w:r w:rsidRPr="00D43D3C">
        <w:rPr>
          <w:rFonts w:hint="cs"/>
          <w:color w:val="00B0F0"/>
          <w:rtl/>
        </w:rPr>
        <w:t xml:space="preserve"> הרמ"א)</w:t>
      </w:r>
    </w:p>
    <w:p w14:paraId="65CDDAD6" w14:textId="6318E87A" w:rsidR="00413778" w:rsidRPr="00413778" w:rsidRDefault="00413778" w:rsidP="00413778">
      <w:pPr>
        <w:rPr>
          <w:u w:val="single"/>
        </w:rPr>
      </w:pPr>
      <w:r w:rsidRPr="00413778">
        <w:rPr>
          <w:rFonts w:hint="cs"/>
          <w:u w:val="single"/>
          <w:rtl/>
        </w:rPr>
        <w:t xml:space="preserve">כשהנפקד </w:t>
      </w:r>
      <w:r w:rsidR="0042714F">
        <w:rPr>
          <w:rFonts w:hint="cs"/>
          <w:u w:val="single"/>
          <w:rtl/>
        </w:rPr>
        <w:t xml:space="preserve">צריך </w:t>
      </w:r>
      <w:r w:rsidRPr="00413778">
        <w:rPr>
          <w:rFonts w:hint="cs"/>
          <w:u w:val="single"/>
          <w:rtl/>
        </w:rPr>
        <w:t>להחזיר לאשה</w:t>
      </w:r>
      <w:r w:rsidR="0042714F">
        <w:rPr>
          <w:rFonts w:hint="cs"/>
          <w:u w:val="single"/>
          <w:rtl/>
        </w:rPr>
        <w:t xml:space="preserve"> ע"פ הדין</w:t>
      </w:r>
      <w:r w:rsidRPr="00413778">
        <w:rPr>
          <w:rFonts w:hint="cs"/>
          <w:u w:val="single"/>
          <w:rtl/>
        </w:rPr>
        <w:t xml:space="preserve">, ובמקום זאת החזיר לבעל </w:t>
      </w:r>
      <w:r w:rsidR="00F97626">
        <w:rPr>
          <w:u w:val="single"/>
          <w:rtl/>
        </w:rPr>
        <w:t>-</w:t>
      </w:r>
      <w:r w:rsidRPr="00413778">
        <w:rPr>
          <w:rFonts w:hint="cs"/>
          <w:u w:val="single"/>
          <w:rtl/>
        </w:rPr>
        <w:t xml:space="preserve"> האם חייב הנפקד לשלם לאשה:</w:t>
      </w:r>
      <w:r w:rsidRPr="00413778">
        <w:rPr>
          <w:rFonts w:cs="Arial" w:hint="cs"/>
          <w:sz w:val="16"/>
          <w:szCs w:val="16"/>
          <w:rtl/>
        </w:rPr>
        <w:t xml:space="preserve"> </w:t>
      </w:r>
      <w:r>
        <w:rPr>
          <w:rFonts w:cs="Arial" w:hint="cs"/>
          <w:sz w:val="16"/>
          <w:szCs w:val="16"/>
          <w:rtl/>
        </w:rPr>
        <w:t>(דרכ"מ אות ב)</w:t>
      </w:r>
    </w:p>
    <w:p w14:paraId="25514106" w14:textId="2505C824" w:rsidR="00413778" w:rsidRDefault="00413778" w:rsidP="009000E3">
      <w:pPr>
        <w:pStyle w:val="ab"/>
        <w:numPr>
          <w:ilvl w:val="0"/>
          <w:numId w:val="51"/>
        </w:numPr>
      </w:pPr>
      <w:r w:rsidRPr="00410A12">
        <w:rPr>
          <w:rFonts w:cs="Arial"/>
          <w:rtl/>
        </w:rPr>
        <w:t xml:space="preserve">מרדכי </w:t>
      </w:r>
      <w:r w:rsidRPr="00413778">
        <w:rPr>
          <w:rFonts w:cs="Arial" w:hint="cs"/>
          <w:sz w:val="16"/>
          <w:szCs w:val="16"/>
          <w:rtl/>
        </w:rPr>
        <w:t>(</w:t>
      </w:r>
      <w:r w:rsidR="00CA4AFD">
        <w:rPr>
          <w:rFonts w:cs="Arial" w:hint="cs"/>
          <w:sz w:val="16"/>
          <w:szCs w:val="16"/>
          <w:rtl/>
        </w:rPr>
        <w:t xml:space="preserve">ב"ב </w:t>
      </w:r>
      <w:r w:rsidRPr="00413778">
        <w:rPr>
          <w:rFonts w:cs="Arial"/>
          <w:sz w:val="16"/>
          <w:szCs w:val="16"/>
          <w:rtl/>
        </w:rPr>
        <w:t>סי' תקמו)</w:t>
      </w:r>
      <w:r>
        <w:rPr>
          <w:rFonts w:cs="Arial" w:hint="cs"/>
          <w:rtl/>
        </w:rPr>
        <w:t xml:space="preserve"> ו</w:t>
      </w:r>
      <w:r w:rsidRPr="00410A12">
        <w:rPr>
          <w:rFonts w:cs="Arial"/>
          <w:rtl/>
        </w:rPr>
        <w:t>הג</w:t>
      </w:r>
      <w:r>
        <w:rPr>
          <w:rFonts w:cs="Arial" w:hint="cs"/>
          <w:rtl/>
        </w:rPr>
        <w:t>ה"מ</w:t>
      </w:r>
      <w:r w:rsidRPr="00410A12">
        <w:rPr>
          <w:rFonts w:cs="Arial"/>
          <w:rtl/>
        </w:rPr>
        <w:t xml:space="preserve"> </w:t>
      </w:r>
      <w:r w:rsidRPr="00413778">
        <w:rPr>
          <w:rFonts w:cs="Arial" w:hint="cs"/>
          <w:sz w:val="16"/>
          <w:szCs w:val="16"/>
          <w:rtl/>
        </w:rPr>
        <w:t>(</w:t>
      </w:r>
      <w:r w:rsidRPr="00413778">
        <w:rPr>
          <w:rFonts w:cs="Arial"/>
          <w:sz w:val="16"/>
          <w:szCs w:val="16"/>
          <w:rtl/>
        </w:rPr>
        <w:t xml:space="preserve">פכ"ב דאישות אות ע) </w:t>
      </w:r>
      <w:r w:rsidRPr="00410A12">
        <w:rPr>
          <w:rFonts w:cs="Arial"/>
          <w:rtl/>
        </w:rPr>
        <w:t xml:space="preserve">בשם ראבי"ה </w:t>
      </w:r>
      <w:r w:rsidRPr="00413778">
        <w:rPr>
          <w:rFonts w:cs="Arial"/>
          <w:sz w:val="16"/>
          <w:szCs w:val="16"/>
          <w:rtl/>
        </w:rPr>
        <w:t>(סי' אלף טז)</w:t>
      </w:r>
      <w:r>
        <w:rPr>
          <w:rFonts w:cs="Arial" w:hint="cs"/>
          <w:rtl/>
        </w:rPr>
        <w:t>-</w:t>
      </w:r>
      <w:r w:rsidR="00CA4AFD" w:rsidRPr="00CA4AFD">
        <w:rPr>
          <w:rtl/>
        </w:rPr>
        <w:t xml:space="preserve"> </w:t>
      </w:r>
      <w:r w:rsidR="00CA4AFD" w:rsidRPr="00CA4AFD">
        <w:rPr>
          <w:rFonts w:cs="Arial"/>
          <w:rtl/>
        </w:rPr>
        <w:t>שאלתי את פי רבותי</w:t>
      </w:r>
      <w:r w:rsidR="00CA4AFD">
        <w:rPr>
          <w:rFonts w:cs="Arial" w:hint="cs"/>
          <w:rtl/>
        </w:rPr>
        <w:t>,</w:t>
      </w:r>
      <w:r w:rsidR="00CA4AFD" w:rsidRPr="00CA4AFD">
        <w:rPr>
          <w:rFonts w:cs="Arial"/>
          <w:rtl/>
        </w:rPr>
        <w:t xml:space="preserve"> אם הלך הנפקד ונתן לבעל של האשה או לרבו של עבד הפקדון</w:t>
      </w:r>
      <w:r w:rsidR="00CA4AFD">
        <w:rPr>
          <w:rFonts w:cs="Arial" w:hint="cs"/>
          <w:rtl/>
        </w:rPr>
        <w:t>,</w:t>
      </w:r>
      <w:r w:rsidR="00CA4AFD" w:rsidRPr="00CA4AFD">
        <w:rPr>
          <w:rFonts w:cs="Arial"/>
          <w:rtl/>
        </w:rPr>
        <w:t xml:space="preserve"> אם היתה יכולה להחזיר על הנפקד ולומר לו למה נתת שלי ביד בעלי</w:t>
      </w:r>
      <w:r w:rsidR="00CA4AFD">
        <w:rPr>
          <w:rFonts w:cs="Arial" w:hint="cs"/>
          <w:rtl/>
        </w:rPr>
        <w:t>.</w:t>
      </w:r>
      <w:r w:rsidR="00CA4AFD" w:rsidRPr="00CA4AFD">
        <w:rPr>
          <w:rFonts w:cs="Arial"/>
          <w:rtl/>
        </w:rPr>
        <w:t xml:space="preserve"> אם הוא יכול לומר איני יודע מסתמא שלא נתן לך שום אדם מתנה ע"מ שאין לבעליך רשות בהן</w:t>
      </w:r>
      <w:r w:rsidR="00CA4AFD">
        <w:rPr>
          <w:rFonts w:cs="Arial" w:hint="cs"/>
          <w:rtl/>
        </w:rPr>
        <w:t>,</w:t>
      </w:r>
      <w:r w:rsidR="00CA4AFD" w:rsidRPr="00CA4AFD">
        <w:rPr>
          <w:rFonts w:cs="Arial"/>
          <w:rtl/>
        </w:rPr>
        <w:t xml:space="preserve"> וגם נמי</w:t>
      </w:r>
      <w:r w:rsidR="00CA4AFD">
        <w:rPr>
          <w:rFonts w:cs="Arial" w:hint="cs"/>
          <w:rtl/>
        </w:rPr>
        <w:t xml:space="preserve"> </w:t>
      </w:r>
      <w:r w:rsidR="00CA4AFD" w:rsidRPr="00CA4AFD">
        <w:rPr>
          <w:rFonts w:cs="Arial"/>
          <w:rtl/>
        </w:rPr>
        <w:t>נכסי מלוג אינון שלו הן מן הדין</w:t>
      </w:r>
      <w:r w:rsidR="00CA4AFD">
        <w:rPr>
          <w:rFonts w:cs="Arial" w:hint="cs"/>
          <w:rtl/>
        </w:rPr>
        <w:t>,</w:t>
      </w:r>
      <w:r w:rsidR="00CA4AFD" w:rsidRPr="00CA4AFD">
        <w:rPr>
          <w:rFonts w:cs="Arial"/>
          <w:rtl/>
        </w:rPr>
        <w:t xml:space="preserve"> דמה שאנו אומרים יחזיר לאשה היינו עצה טובה שיצא מידי ספק</w:t>
      </w:r>
      <w:r w:rsidR="00CA4AFD">
        <w:rPr>
          <w:rFonts w:cs="Arial" w:hint="cs"/>
          <w:rtl/>
        </w:rPr>
        <w:t>,</w:t>
      </w:r>
      <w:r w:rsidR="00CA4AFD" w:rsidRPr="00CA4AFD">
        <w:rPr>
          <w:rFonts w:cs="Arial"/>
          <w:rtl/>
        </w:rPr>
        <w:t xml:space="preserve"> אבל בדיעבד חזרתו חזרה אם החזיר לבעל דדמיא לרבי נתן מנין לנושה בחבירו וכו' ולא דמי ממש. ולא השיבו לי דבר ברור</w:t>
      </w:r>
      <w:r w:rsidR="00CA4AFD">
        <w:rPr>
          <w:rFonts w:cs="Arial" w:hint="cs"/>
          <w:rtl/>
        </w:rPr>
        <w:t>,</w:t>
      </w:r>
      <w:r w:rsidR="00CA4AFD" w:rsidRPr="00CA4AFD">
        <w:rPr>
          <w:rFonts w:cs="Arial"/>
          <w:rtl/>
        </w:rPr>
        <w:t xml:space="preserve"> ורפיא בידי</w:t>
      </w:r>
      <w:r w:rsidR="00CA4AFD">
        <w:rPr>
          <w:rFonts w:cs="Arial" w:hint="cs"/>
          <w:rtl/>
        </w:rPr>
        <w:t>,</w:t>
      </w:r>
      <w:r w:rsidR="00CA4AFD" w:rsidRPr="00CA4AFD">
        <w:rPr>
          <w:rFonts w:cs="Arial"/>
          <w:rtl/>
        </w:rPr>
        <w:t xml:space="preserve"> ויותר נ"ל לפטור הנפקד. גם בזה לבי נוקף אם הנפקד היה חוזר על הבעל ואומר תחזיר לי</w:t>
      </w:r>
      <w:r w:rsidR="00CA4AFD">
        <w:rPr>
          <w:rFonts w:cs="Arial" w:hint="cs"/>
          <w:rtl/>
        </w:rPr>
        <w:t>,</w:t>
      </w:r>
      <w:r w:rsidR="00CA4AFD" w:rsidRPr="00CA4AFD">
        <w:rPr>
          <w:rFonts w:cs="Arial"/>
          <w:rtl/>
        </w:rPr>
        <w:t xml:space="preserve"> כי שלא כדין נתתיו לך</w:t>
      </w:r>
      <w:r w:rsidR="00CA4AFD">
        <w:rPr>
          <w:rFonts w:cs="Arial" w:hint="cs"/>
          <w:rtl/>
        </w:rPr>
        <w:t>,</w:t>
      </w:r>
      <w:r w:rsidR="00CA4AFD" w:rsidRPr="00CA4AFD">
        <w:rPr>
          <w:rFonts w:cs="Arial"/>
          <w:rtl/>
        </w:rPr>
        <w:t xml:space="preserve"> אי יכול או לא</w:t>
      </w:r>
      <w:r w:rsidR="00CA4AFD">
        <w:rPr>
          <w:rFonts w:cs="Arial" w:hint="cs"/>
          <w:rtl/>
        </w:rPr>
        <w:t>,</w:t>
      </w:r>
      <w:r w:rsidR="00CA4AFD" w:rsidRPr="00CA4AFD">
        <w:rPr>
          <w:rFonts w:cs="Arial"/>
          <w:rtl/>
        </w:rPr>
        <w:t xml:space="preserve"> ונראה דאינו יכול</w:t>
      </w:r>
      <w:r w:rsidR="0042714F">
        <w:rPr>
          <w:rFonts w:cs="Arial" w:hint="cs"/>
          <w:sz w:val="16"/>
          <w:szCs w:val="16"/>
          <w:rtl/>
        </w:rPr>
        <w:t xml:space="preserve"> (ל' המרדכי)</w:t>
      </w:r>
      <w:r w:rsidRPr="00410A12">
        <w:rPr>
          <w:rFonts w:cs="Arial"/>
          <w:rtl/>
        </w:rPr>
        <w:t xml:space="preserve">. </w:t>
      </w:r>
      <w:r w:rsidR="00C22F63" w:rsidRPr="00C22F63">
        <w:rPr>
          <w:rFonts w:hint="cs"/>
          <w:color w:val="00B0F0"/>
          <w:rtl/>
        </w:rPr>
        <w:t>(וכ"פ הרמ"א)</w:t>
      </w:r>
    </w:p>
    <w:p w14:paraId="65AE676B" w14:textId="2C68B111" w:rsidR="00413778" w:rsidRPr="00413778" w:rsidRDefault="00413778" w:rsidP="00413778">
      <w:r w:rsidRPr="00E516EC">
        <w:rPr>
          <w:u w:val="single"/>
          <w:rtl/>
        </w:rPr>
        <w:t>אשה ש</w:t>
      </w:r>
      <w:r>
        <w:rPr>
          <w:rFonts w:hint="cs"/>
          <w:u w:val="single"/>
          <w:rtl/>
        </w:rPr>
        <w:t>הלכה למדינת הים</w:t>
      </w:r>
      <w:r w:rsidRPr="00E516EC">
        <w:rPr>
          <w:rFonts w:hint="cs"/>
          <w:u w:val="single"/>
          <w:rtl/>
        </w:rPr>
        <w:t>,</w:t>
      </w:r>
      <w:r w:rsidRPr="00E516EC">
        <w:rPr>
          <w:u w:val="single"/>
          <w:rtl/>
        </w:rPr>
        <w:t xml:space="preserve"> והבעל תובע ל</w:t>
      </w:r>
      <w:r>
        <w:rPr>
          <w:rFonts w:hint="cs"/>
          <w:u w:val="single"/>
          <w:rtl/>
        </w:rPr>
        <w:t>נפקד</w:t>
      </w:r>
      <w:r w:rsidRPr="00E516EC">
        <w:rPr>
          <w:u w:val="single"/>
          <w:rtl/>
        </w:rPr>
        <w:t xml:space="preserve"> ואמר שאשתו גנב</w:t>
      </w:r>
      <w:r>
        <w:rPr>
          <w:rFonts w:hint="cs"/>
          <w:u w:val="single"/>
          <w:rtl/>
        </w:rPr>
        <w:t>ת</w:t>
      </w:r>
      <w:r w:rsidRPr="00E516EC">
        <w:rPr>
          <w:u w:val="single"/>
          <w:rtl/>
        </w:rPr>
        <w:t>ן לו</w:t>
      </w:r>
      <w:r>
        <w:rPr>
          <w:rFonts w:hint="cs"/>
          <w:u w:val="single"/>
          <w:rtl/>
        </w:rPr>
        <w:t xml:space="preserve"> </w:t>
      </w:r>
      <w:r w:rsidR="00F97626">
        <w:rPr>
          <w:u w:val="single"/>
          <w:rtl/>
        </w:rPr>
        <w:t>-</w:t>
      </w:r>
      <w:r>
        <w:rPr>
          <w:rFonts w:hint="cs"/>
          <w:u w:val="single"/>
          <w:rtl/>
        </w:rPr>
        <w:t xml:space="preserve"> האם צריך להחזיר לו</w:t>
      </w:r>
      <w:r w:rsidRPr="00E516EC">
        <w:rPr>
          <w:rFonts w:hint="cs"/>
          <w:u w:val="single"/>
          <w:rtl/>
        </w:rPr>
        <w:t>:</w:t>
      </w:r>
      <w:r w:rsidRPr="00E516EC">
        <w:rPr>
          <w:rFonts w:hint="cs"/>
          <w:sz w:val="16"/>
          <w:szCs w:val="16"/>
          <w:rtl/>
        </w:rPr>
        <w:t xml:space="preserve">  (דרכ"מ אות </w:t>
      </w:r>
      <w:r>
        <w:rPr>
          <w:rFonts w:hint="cs"/>
          <w:sz w:val="16"/>
          <w:szCs w:val="16"/>
          <w:rtl/>
        </w:rPr>
        <w:t>ב</w:t>
      </w:r>
      <w:r w:rsidRPr="00E516EC">
        <w:rPr>
          <w:rFonts w:hint="cs"/>
          <w:sz w:val="16"/>
          <w:szCs w:val="16"/>
          <w:rtl/>
        </w:rPr>
        <w:t>)</w:t>
      </w:r>
    </w:p>
    <w:p w14:paraId="0D2CFA60" w14:textId="3C303E88" w:rsidR="008F55F8" w:rsidRPr="00346249" w:rsidRDefault="00413778" w:rsidP="00346249">
      <w:pPr>
        <w:pStyle w:val="ab"/>
        <w:numPr>
          <w:ilvl w:val="0"/>
          <w:numId w:val="51"/>
        </w:numPr>
      </w:pPr>
      <w:r w:rsidRPr="00410A12">
        <w:rPr>
          <w:rFonts w:cs="Arial"/>
          <w:rtl/>
        </w:rPr>
        <w:t xml:space="preserve">מרדכי </w:t>
      </w:r>
      <w:r w:rsidRPr="00413778">
        <w:rPr>
          <w:rFonts w:cs="Arial" w:hint="cs"/>
          <w:sz w:val="16"/>
          <w:szCs w:val="16"/>
          <w:rtl/>
        </w:rPr>
        <w:t>(</w:t>
      </w:r>
      <w:r w:rsidR="0042714F">
        <w:rPr>
          <w:rFonts w:cs="Arial" w:hint="cs"/>
          <w:sz w:val="16"/>
          <w:szCs w:val="16"/>
          <w:rtl/>
        </w:rPr>
        <w:t xml:space="preserve">ב"ב </w:t>
      </w:r>
      <w:r w:rsidRPr="00413778">
        <w:rPr>
          <w:rFonts w:cs="Arial"/>
          <w:sz w:val="16"/>
          <w:szCs w:val="16"/>
          <w:rtl/>
        </w:rPr>
        <w:t>סי' תקמו)</w:t>
      </w:r>
      <w:r>
        <w:rPr>
          <w:rFonts w:cs="Arial" w:hint="cs"/>
          <w:rtl/>
        </w:rPr>
        <w:t xml:space="preserve">- </w:t>
      </w:r>
      <w:r w:rsidRPr="00410A12">
        <w:rPr>
          <w:rFonts w:cs="Arial"/>
          <w:rtl/>
        </w:rPr>
        <w:t xml:space="preserve">בזה אני מסתפק אם אשה </w:t>
      </w:r>
      <w:r>
        <w:rPr>
          <w:rFonts w:cs="Arial" w:hint="cs"/>
          <w:rtl/>
        </w:rPr>
        <w:t>ש</w:t>
      </w:r>
      <w:r w:rsidRPr="00410A12">
        <w:rPr>
          <w:rFonts w:cs="Arial"/>
          <w:rtl/>
        </w:rPr>
        <w:t>הלכה למדינת הים והבעל תובע לנפקד ואומר שאשתו גנבם אם מחזירין לו ושאלתי לרבותי ורפיא בידם</w:t>
      </w:r>
      <w:r w:rsidR="00146CBE">
        <w:rPr>
          <w:rStyle w:val="a7"/>
          <w:rFonts w:cs="Arial"/>
          <w:rtl/>
        </w:rPr>
        <w:footnoteReference w:id="1052"/>
      </w:r>
      <w:r>
        <w:rPr>
          <w:rFonts w:cs="Arial" w:hint="cs"/>
          <w:rtl/>
        </w:rPr>
        <w:t>.</w:t>
      </w:r>
    </w:p>
    <w:p w14:paraId="2D6B130C" w14:textId="1CAB43B2" w:rsidR="00221953" w:rsidRPr="00221953" w:rsidRDefault="00221953" w:rsidP="00221953">
      <w:pPr>
        <w:rPr>
          <w:rFonts w:cs="Arial"/>
          <w:u w:val="single"/>
        </w:rPr>
      </w:pPr>
      <w:r w:rsidRPr="00221953">
        <w:rPr>
          <w:rFonts w:cs="Arial" w:hint="cs"/>
          <w:u w:val="single"/>
          <w:rtl/>
        </w:rPr>
        <w:t xml:space="preserve">מי שלוה מחברו, </w:t>
      </w:r>
      <w:r>
        <w:rPr>
          <w:rFonts w:cs="Arial" w:hint="cs"/>
          <w:u w:val="single"/>
          <w:rtl/>
        </w:rPr>
        <w:t>ו</w:t>
      </w:r>
      <w:r w:rsidRPr="00221953">
        <w:rPr>
          <w:rFonts w:cs="Arial" w:hint="cs"/>
          <w:u w:val="single"/>
          <w:rtl/>
        </w:rPr>
        <w:t>לא פרע ל</w:t>
      </w:r>
      <w:r>
        <w:rPr>
          <w:rFonts w:cs="Arial" w:hint="cs"/>
          <w:u w:val="single"/>
          <w:rtl/>
        </w:rPr>
        <w:t>ו</w:t>
      </w:r>
      <w:r w:rsidRPr="00221953">
        <w:rPr>
          <w:rFonts w:cs="Arial" w:hint="cs"/>
          <w:u w:val="single"/>
          <w:rtl/>
        </w:rPr>
        <w:t xml:space="preserve"> מש</w:t>
      </w:r>
      <w:r w:rsidR="00777F99">
        <w:rPr>
          <w:rFonts w:cs="Arial" w:hint="cs"/>
          <w:u w:val="single"/>
          <w:rtl/>
        </w:rPr>
        <w:t>ו</w:t>
      </w:r>
      <w:r w:rsidRPr="00221953">
        <w:rPr>
          <w:rFonts w:cs="Arial" w:hint="cs"/>
          <w:u w:val="single"/>
          <w:rtl/>
        </w:rPr>
        <w:t>ם שחברו חייב לאשתו ממון:</w:t>
      </w:r>
    </w:p>
    <w:p w14:paraId="06EA560B" w14:textId="4166480D" w:rsidR="00227F6B" w:rsidRPr="00221953" w:rsidRDefault="00221953" w:rsidP="009000E3">
      <w:pPr>
        <w:pStyle w:val="ab"/>
        <w:numPr>
          <w:ilvl w:val="0"/>
          <w:numId w:val="51"/>
        </w:numPr>
        <w:rPr>
          <w:rFonts w:cs="Arial"/>
          <w:rtl/>
        </w:rPr>
      </w:pPr>
      <w:r w:rsidRPr="00221953">
        <w:rPr>
          <w:rFonts w:cs="Arial" w:hint="cs"/>
          <w:rtl/>
        </w:rPr>
        <w:lastRenderedPageBreak/>
        <w:t xml:space="preserve">רי"ו </w:t>
      </w:r>
      <w:r w:rsidR="00227F6B" w:rsidRPr="00221953">
        <w:rPr>
          <w:rFonts w:cs="Arial"/>
          <w:sz w:val="16"/>
          <w:szCs w:val="16"/>
          <w:rtl/>
        </w:rPr>
        <w:t>(מישרים נכ"ג ח"ו נח ע"ג)</w:t>
      </w:r>
      <w:r w:rsidRPr="00221953">
        <w:rPr>
          <w:rFonts w:cs="Arial" w:hint="cs"/>
          <w:rtl/>
        </w:rPr>
        <w:t>-</w:t>
      </w:r>
      <w:r w:rsidR="00227F6B" w:rsidRPr="00221953">
        <w:rPr>
          <w:rFonts w:cs="Arial"/>
          <w:rtl/>
        </w:rPr>
        <w:t xml:space="preserve"> נשאל הר"מ על ראובן שטוען שהלוה לשמעון כך וכך</w:t>
      </w:r>
      <w:r>
        <w:rPr>
          <w:rFonts w:cs="Arial" w:hint="cs"/>
          <w:rtl/>
        </w:rPr>
        <w:t>,</w:t>
      </w:r>
      <w:r w:rsidR="00227F6B" w:rsidRPr="00221953">
        <w:rPr>
          <w:rFonts w:cs="Arial"/>
          <w:rtl/>
        </w:rPr>
        <w:t xml:space="preserve"> ושמעון טוען שכן הוא ושהוא מעכבם בשביל שהיה חייב לאשתו</w:t>
      </w:r>
      <w:r>
        <w:rPr>
          <w:rFonts w:cs="Arial" w:hint="cs"/>
          <w:rtl/>
        </w:rPr>
        <w:t>.</w:t>
      </w:r>
      <w:r w:rsidR="00227F6B" w:rsidRPr="00221953">
        <w:rPr>
          <w:rFonts w:cs="Arial"/>
          <w:rtl/>
        </w:rPr>
        <w:t xml:space="preserve"> והשיב</w:t>
      </w:r>
      <w:r w:rsidR="00777F99">
        <w:rPr>
          <w:rFonts w:cs="Arial" w:hint="cs"/>
          <w:rtl/>
        </w:rPr>
        <w:t>:</w:t>
      </w:r>
      <w:r w:rsidR="00227F6B" w:rsidRPr="00221953">
        <w:rPr>
          <w:rFonts w:cs="Arial"/>
          <w:rtl/>
        </w:rPr>
        <w:t xml:space="preserve"> אם אשתו בחיים ואומרת תן לבעלי</w:t>
      </w:r>
      <w:r>
        <w:rPr>
          <w:rFonts w:cs="Arial" w:hint="cs"/>
          <w:rtl/>
        </w:rPr>
        <w:t>,</w:t>
      </w:r>
      <w:r w:rsidR="00227F6B" w:rsidRPr="00221953">
        <w:rPr>
          <w:rFonts w:cs="Arial"/>
          <w:rtl/>
        </w:rPr>
        <w:t xml:space="preserve"> יכול לעכב</w:t>
      </w:r>
      <w:r>
        <w:rPr>
          <w:rFonts w:cs="Arial" w:hint="cs"/>
          <w:rtl/>
        </w:rPr>
        <w:t>,</w:t>
      </w:r>
      <w:r w:rsidR="00227F6B" w:rsidRPr="00221953">
        <w:rPr>
          <w:rFonts w:cs="Arial"/>
          <w:rtl/>
        </w:rPr>
        <w:t xml:space="preserve"> ואם אחר מיתתה יעשה כפירושה ויתן לבעלה</w:t>
      </w:r>
      <w:r>
        <w:rPr>
          <w:rFonts w:cs="Arial" w:hint="cs"/>
          <w:rtl/>
        </w:rPr>
        <w:t>,</w:t>
      </w:r>
      <w:r w:rsidR="00227F6B" w:rsidRPr="00221953">
        <w:rPr>
          <w:rFonts w:cs="Arial"/>
          <w:rtl/>
        </w:rPr>
        <w:t xml:space="preserve"> ואם כן ממה נפשך שלו הוא ויכול לעכב הממון</w:t>
      </w:r>
      <w:r w:rsidRPr="00221953">
        <w:rPr>
          <w:rFonts w:cs="Arial" w:hint="cs"/>
          <w:rtl/>
        </w:rPr>
        <w:t>.</w:t>
      </w:r>
    </w:p>
    <w:p w14:paraId="200237DB" w14:textId="196D39A9" w:rsidR="00346249" w:rsidRPr="00346249" w:rsidRDefault="00346249" w:rsidP="00346249">
      <w:pPr>
        <w:rPr>
          <w:u w:val="single"/>
        </w:rPr>
      </w:pPr>
      <w:r w:rsidRPr="00346249">
        <w:rPr>
          <w:rFonts w:cs="Arial"/>
          <w:u w:val="single"/>
          <w:rtl/>
        </w:rPr>
        <w:t>האשה שאמרה לבעלה בשעת מיתתה כלי פלוני של פלוני הוא תחזירנו לו</w:t>
      </w:r>
      <w:r w:rsidRPr="00346249">
        <w:rPr>
          <w:rFonts w:cs="Arial" w:hint="cs"/>
          <w:u w:val="single"/>
          <w:rtl/>
        </w:rPr>
        <w:t>:</w:t>
      </w:r>
    </w:p>
    <w:p w14:paraId="59091BF5" w14:textId="4D826FA7" w:rsidR="00346249" w:rsidRDefault="00346249" w:rsidP="00346249">
      <w:pPr>
        <w:pStyle w:val="ab"/>
        <w:numPr>
          <w:ilvl w:val="0"/>
          <w:numId w:val="51"/>
        </w:numPr>
      </w:pPr>
      <w:r>
        <w:rPr>
          <w:rFonts w:hint="cs"/>
          <w:rtl/>
        </w:rPr>
        <w:t xml:space="preserve">רי"ו </w:t>
      </w:r>
      <w:r w:rsidRPr="002B1BC0">
        <w:rPr>
          <w:rFonts w:cs="Arial"/>
          <w:sz w:val="16"/>
          <w:szCs w:val="16"/>
          <w:rtl/>
        </w:rPr>
        <w:t>(מישרים נכ"ג ח"ו נח ע"ג)</w:t>
      </w:r>
      <w:r>
        <w:rPr>
          <w:rFonts w:hint="cs"/>
          <w:rtl/>
        </w:rPr>
        <w:t xml:space="preserve">- </w:t>
      </w:r>
      <w:r w:rsidRPr="00C224B5">
        <w:rPr>
          <w:rFonts w:cs="Arial"/>
          <w:rtl/>
        </w:rPr>
        <w:t>האשה שאמרה לבעלה בשעת מיתתה כלי פלוני של פלוני הוא תחזירנו לו</w:t>
      </w:r>
      <w:r>
        <w:rPr>
          <w:rFonts w:cs="Arial" w:hint="cs"/>
          <w:rtl/>
        </w:rPr>
        <w:t>,</w:t>
      </w:r>
      <w:r w:rsidRPr="00C224B5">
        <w:rPr>
          <w:rFonts w:cs="Arial"/>
          <w:rtl/>
        </w:rPr>
        <w:t xml:space="preserve"> יראה הבעל</w:t>
      </w:r>
      <w:r>
        <w:rPr>
          <w:rFonts w:cs="Arial" w:hint="cs"/>
          <w:rtl/>
        </w:rPr>
        <w:t>,</w:t>
      </w:r>
      <w:r w:rsidRPr="00C224B5">
        <w:rPr>
          <w:rFonts w:cs="Arial"/>
          <w:rtl/>
        </w:rPr>
        <w:t xml:space="preserve"> אם היא אמודה שיתנו לה מעות בלא רשותו על מנת שלא יהיה לו רשות בהם או אם המפקידים הם אמודים </w:t>
      </w:r>
      <w:r>
        <w:rPr>
          <w:rFonts w:cs="Arial" w:hint="cs"/>
          <w:rtl/>
        </w:rPr>
        <w:t xml:space="preserve">- </w:t>
      </w:r>
      <w:r w:rsidRPr="00C224B5">
        <w:rPr>
          <w:rFonts w:cs="Arial"/>
          <w:rtl/>
        </w:rPr>
        <w:t>יעשה כמאמרה</w:t>
      </w:r>
      <w:r>
        <w:rPr>
          <w:rFonts w:cs="Arial" w:hint="cs"/>
          <w:rtl/>
        </w:rPr>
        <w:t>.</w:t>
      </w:r>
      <w:r w:rsidRPr="00C224B5">
        <w:rPr>
          <w:rFonts w:cs="Arial"/>
          <w:rtl/>
        </w:rPr>
        <w:t xml:space="preserve"> ואם לא </w:t>
      </w:r>
      <w:r>
        <w:rPr>
          <w:rFonts w:cs="Arial" w:hint="cs"/>
          <w:rtl/>
        </w:rPr>
        <w:t xml:space="preserve">- </w:t>
      </w:r>
      <w:r w:rsidRPr="00C224B5">
        <w:rPr>
          <w:rFonts w:cs="Arial"/>
          <w:rtl/>
        </w:rPr>
        <w:t>יעכב אצלו</w:t>
      </w:r>
      <w:r>
        <w:rPr>
          <w:rFonts w:hint="cs"/>
          <w:rtl/>
        </w:rPr>
        <w:t>.</w:t>
      </w:r>
    </w:p>
    <w:p w14:paraId="01191656" w14:textId="77777777" w:rsidR="004A7B98" w:rsidRDefault="004A7B98" w:rsidP="004A7B98">
      <w:pPr>
        <w:rPr>
          <w:rFonts w:cs="Arial"/>
          <w:rtl/>
        </w:rPr>
      </w:pPr>
      <w:r w:rsidRPr="003024E5">
        <w:rPr>
          <w:rFonts w:asciiTheme="minorBidi" w:hAnsiTheme="minorBidi"/>
          <w:b/>
          <w:bCs/>
          <w:color w:val="000000"/>
          <w:sz w:val="28"/>
          <w:szCs w:val="28"/>
          <w:u w:val="single"/>
          <w:rtl/>
        </w:rPr>
        <w:t>שו"ע:</w:t>
      </w:r>
    </w:p>
    <w:p w14:paraId="44F8ACD6" w14:textId="224426E6" w:rsidR="007A3469" w:rsidRDefault="007A3469" w:rsidP="007A3469">
      <w:pPr>
        <w:rPr>
          <w:rFonts w:cs="Arial"/>
          <w:rtl/>
        </w:rPr>
      </w:pPr>
      <w:r>
        <w:rPr>
          <w:rFonts w:cs="Arial"/>
          <w:rtl/>
        </w:rPr>
        <w:t>אין מקבלין פקדון מאשת איש</w:t>
      </w:r>
      <w:r w:rsidR="00F6735C">
        <w:rPr>
          <w:rFonts w:cs="Arial" w:hint="cs"/>
          <w:rtl/>
        </w:rPr>
        <w:t>.</w:t>
      </w:r>
      <w:r>
        <w:rPr>
          <w:rFonts w:cs="Arial"/>
          <w:rtl/>
        </w:rPr>
        <w:t xml:space="preserve"> ואם קבל, יחזיר לאשה</w:t>
      </w:r>
      <w:r w:rsidR="00655722">
        <w:rPr>
          <w:rStyle w:val="a7"/>
          <w:rFonts w:cs="Arial"/>
          <w:rtl/>
        </w:rPr>
        <w:footnoteReference w:id="1053"/>
      </w:r>
      <w:r>
        <w:rPr>
          <w:rFonts w:cs="Arial"/>
          <w:rtl/>
        </w:rPr>
        <w:t xml:space="preserve">. </w:t>
      </w:r>
      <w:r w:rsidR="00C22F63">
        <w:rPr>
          <w:rFonts w:cs="Arial" w:hint="cs"/>
          <w:sz w:val="18"/>
          <w:szCs w:val="18"/>
          <w:rtl/>
        </w:rPr>
        <w:t xml:space="preserve">[הגה] </w:t>
      </w:r>
      <w:r w:rsidRPr="00183279">
        <w:rPr>
          <w:rFonts w:cs="Arial"/>
          <w:sz w:val="18"/>
          <w:szCs w:val="18"/>
          <w:rtl/>
        </w:rPr>
        <w:t>ואם אמרה: של פלוני הם, נאמנת (טור). הלכה האשה למדינת הים, ובא הבעל ותבע מן הנפקד ואומר שאשתו גנבה לו, לא יתנם לו עד שתבא האשה או תמות</w:t>
      </w:r>
      <w:r w:rsidR="00F1275D">
        <w:rPr>
          <w:rStyle w:val="a7"/>
          <w:rFonts w:cs="Arial"/>
          <w:sz w:val="18"/>
          <w:szCs w:val="18"/>
          <w:rtl/>
        </w:rPr>
        <w:footnoteReference w:id="1054"/>
      </w:r>
      <w:r w:rsidRPr="00183279">
        <w:rPr>
          <w:rFonts w:cs="Arial"/>
          <w:sz w:val="18"/>
          <w:szCs w:val="18"/>
          <w:rtl/>
        </w:rPr>
        <w:t>, כן נ"ל</w:t>
      </w:r>
      <w:r w:rsidR="00C22F63">
        <w:rPr>
          <w:rFonts w:cs="Arial" w:hint="cs"/>
          <w:sz w:val="18"/>
          <w:szCs w:val="18"/>
          <w:rtl/>
        </w:rPr>
        <w:t xml:space="preserve"> (ד"ע</w:t>
      </w:r>
      <w:r w:rsidRPr="00183279">
        <w:rPr>
          <w:rFonts w:cs="Arial"/>
          <w:sz w:val="18"/>
          <w:szCs w:val="18"/>
          <w:rtl/>
        </w:rPr>
        <w:t>)</w:t>
      </w:r>
      <w:r w:rsidR="00C22F63">
        <w:rPr>
          <w:rFonts w:cs="Arial" w:hint="cs"/>
          <w:sz w:val="18"/>
          <w:szCs w:val="18"/>
          <w:rtl/>
        </w:rPr>
        <w:t>.</w:t>
      </w:r>
      <w:r w:rsidRPr="00183279">
        <w:rPr>
          <w:rFonts w:cs="Arial"/>
          <w:sz w:val="18"/>
          <w:szCs w:val="18"/>
          <w:rtl/>
        </w:rPr>
        <w:t xml:space="preserve"> </w:t>
      </w:r>
      <w:r>
        <w:rPr>
          <w:rFonts w:cs="Arial"/>
          <w:rtl/>
        </w:rPr>
        <w:t xml:space="preserve">ואם אמרה בשעת מיתתה: של פלוני הם, אם נאמנת לו, יעשה כדבריה; ואם לאו, יתן ליורשיה. </w:t>
      </w:r>
      <w:r w:rsidR="00C22F63">
        <w:rPr>
          <w:rFonts w:cs="Arial" w:hint="cs"/>
          <w:sz w:val="18"/>
          <w:szCs w:val="18"/>
          <w:rtl/>
        </w:rPr>
        <w:t xml:space="preserve">[הגה] </w:t>
      </w:r>
      <w:r w:rsidRPr="00183279">
        <w:rPr>
          <w:rFonts w:cs="Arial"/>
          <w:sz w:val="18"/>
          <w:szCs w:val="18"/>
          <w:rtl/>
        </w:rPr>
        <w:t>וכן אם מתה ולא אמרה כלום</w:t>
      </w:r>
      <w:r w:rsidR="00D43D3C">
        <w:rPr>
          <w:rStyle w:val="a7"/>
          <w:rFonts w:cs="Arial"/>
          <w:sz w:val="18"/>
          <w:szCs w:val="18"/>
          <w:rtl/>
        </w:rPr>
        <w:footnoteReference w:id="1055"/>
      </w:r>
      <w:r w:rsidR="00C22F63">
        <w:rPr>
          <w:rFonts w:cs="Arial" w:hint="cs"/>
          <w:sz w:val="18"/>
          <w:szCs w:val="18"/>
          <w:rtl/>
        </w:rPr>
        <w:t xml:space="preserve"> (</w:t>
      </w:r>
      <w:r w:rsidR="000118CF">
        <w:rPr>
          <w:rFonts w:cs="Arial" w:hint="cs"/>
          <w:sz w:val="18"/>
          <w:szCs w:val="18"/>
          <w:rtl/>
        </w:rPr>
        <w:t>רשב"ם</w:t>
      </w:r>
      <w:r w:rsidRPr="00183279">
        <w:rPr>
          <w:rFonts w:cs="Arial"/>
          <w:sz w:val="18"/>
          <w:szCs w:val="18"/>
          <w:rtl/>
        </w:rPr>
        <w:t>)</w:t>
      </w:r>
      <w:r>
        <w:rPr>
          <w:rFonts w:cs="Arial"/>
          <w:rtl/>
        </w:rPr>
        <w:t>. ויש מי שאומר שאם היא נושאת ונותנת בתוך הבית</w:t>
      </w:r>
      <w:r w:rsidR="00F1275D">
        <w:rPr>
          <w:rStyle w:val="a7"/>
          <w:rFonts w:cs="Arial"/>
          <w:rtl/>
        </w:rPr>
        <w:footnoteReference w:id="1056"/>
      </w:r>
      <w:r>
        <w:rPr>
          <w:rFonts w:cs="Arial"/>
          <w:rtl/>
        </w:rPr>
        <w:t>, אינה נאמנת לומר של פלוני</w:t>
      </w:r>
      <w:r w:rsidR="009B617A">
        <w:rPr>
          <w:rStyle w:val="a7"/>
          <w:rFonts w:cs="Arial"/>
          <w:rtl/>
        </w:rPr>
        <w:footnoteReference w:id="1057"/>
      </w:r>
      <w:r>
        <w:rPr>
          <w:rFonts w:cs="Arial"/>
          <w:rtl/>
        </w:rPr>
        <w:t xml:space="preserve"> הם. </w:t>
      </w:r>
      <w:r w:rsidRPr="00183279">
        <w:rPr>
          <w:rFonts w:cs="Arial"/>
          <w:sz w:val="18"/>
          <w:szCs w:val="18"/>
          <w:rtl/>
        </w:rPr>
        <w:t>הגה: מיהו כל זמן שהיא חיה יחזיר לאשה</w:t>
      </w:r>
      <w:r w:rsidR="00844CBF">
        <w:rPr>
          <w:rStyle w:val="a7"/>
          <w:rFonts w:cs="Arial"/>
          <w:sz w:val="18"/>
          <w:szCs w:val="18"/>
          <w:rtl/>
        </w:rPr>
        <w:footnoteReference w:id="1058"/>
      </w:r>
      <w:r w:rsidRPr="00183279">
        <w:rPr>
          <w:rFonts w:cs="Arial"/>
          <w:sz w:val="18"/>
          <w:szCs w:val="18"/>
          <w:rtl/>
        </w:rPr>
        <w:t xml:space="preserve"> (</w:t>
      </w:r>
      <w:r w:rsidR="00C22F63">
        <w:rPr>
          <w:rFonts w:cs="Arial" w:hint="cs"/>
          <w:sz w:val="18"/>
          <w:szCs w:val="18"/>
          <w:rtl/>
        </w:rPr>
        <w:t>ריב"ש</w:t>
      </w:r>
      <w:r w:rsidRPr="00183279">
        <w:rPr>
          <w:rFonts w:cs="Arial"/>
          <w:sz w:val="18"/>
          <w:szCs w:val="18"/>
          <w:rtl/>
        </w:rPr>
        <w:t>), מיהו אם החזיר לבעל, פטור</w:t>
      </w:r>
      <w:r w:rsidR="00E949A3">
        <w:rPr>
          <w:rStyle w:val="a7"/>
          <w:rFonts w:cs="Arial"/>
          <w:sz w:val="18"/>
          <w:szCs w:val="18"/>
          <w:rtl/>
        </w:rPr>
        <w:footnoteReference w:id="1059"/>
      </w:r>
      <w:r w:rsidRPr="00183279">
        <w:rPr>
          <w:rFonts w:cs="Arial"/>
          <w:sz w:val="18"/>
          <w:szCs w:val="18"/>
          <w:rtl/>
        </w:rPr>
        <w:t xml:space="preserve"> הנפקד, אפילו אינה נושאת ונותנת תוך הבית (מרדכי).</w:t>
      </w:r>
      <w:r>
        <w:rPr>
          <w:rFonts w:cs="Arial"/>
          <w:rtl/>
        </w:rPr>
        <w:t xml:space="preserve"> </w:t>
      </w:r>
    </w:p>
    <w:p w14:paraId="75E48474" w14:textId="77777777" w:rsidR="00183279" w:rsidRDefault="00183279" w:rsidP="007A3469">
      <w:pPr>
        <w:rPr>
          <w:rtl/>
        </w:rPr>
      </w:pPr>
    </w:p>
    <w:p w14:paraId="130B705A" w14:textId="34B3380E" w:rsidR="007A3469" w:rsidRDefault="007A3469" w:rsidP="000F64D0">
      <w:pPr>
        <w:pStyle w:val="2"/>
        <w:rPr>
          <w:rtl/>
        </w:rPr>
      </w:pPr>
      <w:r>
        <w:rPr>
          <w:rtl/>
        </w:rPr>
        <w:t>סעיף ב</w:t>
      </w:r>
      <w:r w:rsidR="00183279">
        <w:rPr>
          <w:rFonts w:hint="cs"/>
          <w:rtl/>
        </w:rPr>
        <w:t>:</w:t>
      </w:r>
      <w:r w:rsidR="00F6735C">
        <w:rPr>
          <w:rFonts w:hint="cs"/>
          <w:rtl/>
        </w:rPr>
        <w:t xml:space="preserve"> בעל שלוה מאשתו ואח"כ גירשה.</w:t>
      </w:r>
    </w:p>
    <w:p w14:paraId="20016D0B" w14:textId="77777777" w:rsidR="00844CBF" w:rsidRPr="004D4D0D" w:rsidRDefault="00844CBF" w:rsidP="00844CBF">
      <w:pPr>
        <w:rPr>
          <w:rtl/>
        </w:rPr>
      </w:pPr>
      <w:r>
        <w:rPr>
          <w:rFonts w:cs="Arial" w:hint="cs"/>
          <w:b/>
          <w:bCs/>
          <w:rtl/>
        </w:rPr>
        <w:t xml:space="preserve">בבא בתרא </w:t>
      </w:r>
      <w:r w:rsidRPr="001647A9">
        <w:rPr>
          <w:rFonts w:cs="Arial" w:hint="cs"/>
          <w:b/>
          <w:bCs/>
          <w:sz w:val="16"/>
          <w:szCs w:val="16"/>
          <w:rtl/>
        </w:rPr>
        <w:t xml:space="preserve">(פ' חזקת) </w:t>
      </w:r>
      <w:r>
        <w:rPr>
          <w:rFonts w:cs="Arial" w:hint="cs"/>
          <w:b/>
          <w:bCs/>
          <w:rtl/>
        </w:rPr>
        <w:t xml:space="preserve">נא ע"א: </w:t>
      </w:r>
      <w:r w:rsidRPr="004D4D0D">
        <w:rPr>
          <w:rFonts w:cs="Arial"/>
          <w:rtl/>
        </w:rPr>
        <w:t>מיתיבי: לוה מן העבד ושחררו, מן האשה וגרשה - אין להן עליו כלום</w:t>
      </w:r>
      <w:r>
        <w:rPr>
          <w:rFonts w:cs="Arial" w:hint="cs"/>
          <w:rtl/>
        </w:rPr>
        <w:t>...</w:t>
      </w:r>
      <w:r w:rsidRPr="004D4D0D">
        <w:rPr>
          <w:rFonts w:cs="Arial"/>
          <w:rtl/>
        </w:rPr>
        <w:t xml:space="preserve"> לגלויי זוזי הוא דבעי</w:t>
      </w:r>
      <w:r>
        <w:rPr>
          <w:rFonts w:cs="Arial" w:hint="cs"/>
          <w:rtl/>
        </w:rPr>
        <w:t>.</w:t>
      </w:r>
    </w:p>
    <w:p w14:paraId="71C10653" w14:textId="6D005C48" w:rsidR="00844CBF" w:rsidRPr="001647A9" w:rsidRDefault="00844CBF" w:rsidP="00844CBF">
      <w:pPr>
        <w:rPr>
          <w:u w:val="single"/>
        </w:rPr>
      </w:pPr>
      <w:r w:rsidRPr="001647A9">
        <w:rPr>
          <w:rFonts w:hint="cs"/>
          <w:u w:val="single"/>
          <w:rtl/>
        </w:rPr>
        <w:t xml:space="preserve">בעל שלוה מאשתו ואח"כ גרשה </w:t>
      </w:r>
      <w:r w:rsidR="00F97626">
        <w:rPr>
          <w:u w:val="single"/>
          <w:rtl/>
        </w:rPr>
        <w:t>-</w:t>
      </w:r>
      <w:r w:rsidRPr="001647A9">
        <w:rPr>
          <w:rFonts w:hint="cs"/>
          <w:u w:val="single"/>
          <w:rtl/>
        </w:rPr>
        <w:t xml:space="preserve"> האם יכולה להוציאם מידו:</w:t>
      </w:r>
    </w:p>
    <w:p w14:paraId="151C9B5C" w14:textId="4D434517" w:rsidR="00844CBF" w:rsidRDefault="003F5C71" w:rsidP="009000E3">
      <w:pPr>
        <w:pStyle w:val="ab"/>
        <w:numPr>
          <w:ilvl w:val="0"/>
          <w:numId w:val="51"/>
        </w:numPr>
      </w:pPr>
      <w:r>
        <w:rPr>
          <w:rFonts w:cs="Arial" w:hint="cs"/>
          <w:rtl/>
        </w:rPr>
        <w:t xml:space="preserve">תוס' </w:t>
      </w:r>
      <w:r>
        <w:rPr>
          <w:rFonts w:cs="Arial" w:hint="cs"/>
          <w:sz w:val="16"/>
          <w:szCs w:val="16"/>
          <w:rtl/>
        </w:rPr>
        <w:t>(נא: ד"ה קבל)</w:t>
      </w:r>
      <w:r>
        <w:rPr>
          <w:rFonts w:cs="Arial" w:hint="cs"/>
          <w:rtl/>
        </w:rPr>
        <w:t xml:space="preserve"> ו</w:t>
      </w:r>
      <w:r w:rsidR="00844CBF">
        <w:rPr>
          <w:rFonts w:cs="Arial" w:hint="cs"/>
          <w:rtl/>
        </w:rPr>
        <w:t xml:space="preserve">טור- </w:t>
      </w:r>
      <w:r w:rsidR="00844CBF" w:rsidRPr="00227F6B">
        <w:rPr>
          <w:rFonts w:cs="Arial"/>
          <w:rtl/>
        </w:rPr>
        <w:t>לוה ממנה וגירשה</w:t>
      </w:r>
      <w:r w:rsidR="00844CBF">
        <w:rPr>
          <w:rFonts w:cs="Arial" w:hint="cs"/>
          <w:rtl/>
        </w:rPr>
        <w:t>,</w:t>
      </w:r>
      <w:r w:rsidR="00844CBF" w:rsidRPr="00227F6B">
        <w:rPr>
          <w:rFonts w:cs="Arial"/>
          <w:rtl/>
        </w:rPr>
        <w:t xml:space="preserve"> היו המעות טמונים </w:t>
      </w:r>
      <w:r w:rsidR="00844CBF">
        <w:rPr>
          <w:rFonts w:cs="Arial" w:hint="cs"/>
          <w:rtl/>
        </w:rPr>
        <w:t xml:space="preserve">- </w:t>
      </w:r>
      <w:r w:rsidR="00844CBF" w:rsidRPr="00227F6B">
        <w:rPr>
          <w:rFonts w:cs="Arial"/>
          <w:rtl/>
        </w:rPr>
        <w:t>אין לה עליו כלום</w:t>
      </w:r>
      <w:r w:rsidR="00844CBF">
        <w:rPr>
          <w:rFonts w:cs="Arial" w:hint="cs"/>
          <w:rtl/>
        </w:rPr>
        <w:t>,</w:t>
      </w:r>
      <w:r w:rsidR="00844CBF" w:rsidRPr="00227F6B">
        <w:rPr>
          <w:rFonts w:cs="Arial"/>
          <w:rtl/>
        </w:rPr>
        <w:t xml:space="preserve"> שלא כיון אלא להוציאם מידה</w:t>
      </w:r>
      <w:r w:rsidR="00844CBF">
        <w:rPr>
          <w:rFonts w:cs="Arial" w:hint="cs"/>
          <w:rtl/>
        </w:rPr>
        <w:t>.</w:t>
      </w:r>
      <w:r w:rsidR="00844CBF" w:rsidRPr="00227F6B">
        <w:rPr>
          <w:rFonts w:cs="Arial"/>
          <w:rtl/>
        </w:rPr>
        <w:t xml:space="preserve"> לא היו טמונים </w:t>
      </w:r>
      <w:r w:rsidR="00844CBF">
        <w:rPr>
          <w:rFonts w:cs="Arial" w:hint="cs"/>
          <w:rtl/>
        </w:rPr>
        <w:t xml:space="preserve">- </w:t>
      </w:r>
      <w:r w:rsidR="00844CBF" w:rsidRPr="00227F6B">
        <w:rPr>
          <w:rFonts w:cs="Arial"/>
          <w:rtl/>
        </w:rPr>
        <w:t>צריך לפורעה</w:t>
      </w:r>
      <w:r w:rsidR="00844CBF">
        <w:rPr>
          <w:rStyle w:val="a7"/>
          <w:rFonts w:cs="Arial"/>
          <w:rtl/>
        </w:rPr>
        <w:footnoteReference w:id="1060"/>
      </w:r>
      <w:r>
        <w:rPr>
          <w:rFonts w:cs="Arial" w:hint="cs"/>
          <w:sz w:val="16"/>
          <w:szCs w:val="16"/>
          <w:rtl/>
        </w:rPr>
        <w:t xml:space="preserve"> (ל' הטור)</w:t>
      </w:r>
      <w:r w:rsidR="00844CBF">
        <w:rPr>
          <w:rFonts w:cs="Arial" w:hint="cs"/>
          <w:rtl/>
        </w:rPr>
        <w:t>.</w:t>
      </w:r>
      <w:r w:rsidR="00844CBF" w:rsidRPr="00227F6B">
        <w:rPr>
          <w:rFonts w:cs="Arial"/>
          <w:rtl/>
        </w:rPr>
        <w:t xml:space="preserve"> </w:t>
      </w:r>
      <w:r w:rsidR="00D43D3C" w:rsidRPr="00D43D3C">
        <w:rPr>
          <w:rFonts w:hint="cs"/>
          <w:color w:val="00B0F0"/>
          <w:rtl/>
        </w:rPr>
        <w:t>(וכ"כ הרמ"א)</w:t>
      </w:r>
    </w:p>
    <w:p w14:paraId="0580DFFB" w14:textId="50452801" w:rsidR="00844CBF" w:rsidRDefault="00844CBF" w:rsidP="009000E3">
      <w:pPr>
        <w:pStyle w:val="ab"/>
        <w:numPr>
          <w:ilvl w:val="0"/>
          <w:numId w:val="51"/>
        </w:numPr>
      </w:pPr>
      <w:r>
        <w:rPr>
          <w:rFonts w:cs="Arial" w:hint="cs"/>
          <w:rtl/>
        </w:rPr>
        <w:t xml:space="preserve">רמב"ם </w:t>
      </w:r>
      <w:r w:rsidRPr="00890538">
        <w:rPr>
          <w:rFonts w:cs="Arial" w:hint="cs"/>
          <w:sz w:val="16"/>
          <w:szCs w:val="16"/>
          <w:rtl/>
        </w:rPr>
        <w:t>(פ"ב ממלוה ה"ח)</w:t>
      </w:r>
      <w:r w:rsidR="009A3E19" w:rsidRPr="009A3E19">
        <w:rPr>
          <w:rtl/>
        </w:rPr>
        <w:t xml:space="preserve"> </w:t>
      </w:r>
      <w:r w:rsidR="009A3E19" w:rsidRPr="009A3E19">
        <w:rPr>
          <w:rFonts w:cs="Arial"/>
          <w:rtl/>
        </w:rPr>
        <w:t>ו</w:t>
      </w:r>
      <w:r w:rsidR="009A3E19">
        <w:rPr>
          <w:rFonts w:cs="Arial" w:hint="cs"/>
          <w:rtl/>
        </w:rPr>
        <w:t>ה</w:t>
      </w:r>
      <w:r w:rsidR="009A3E19" w:rsidRPr="009A3E19">
        <w:rPr>
          <w:rFonts w:cs="Arial"/>
          <w:rtl/>
        </w:rPr>
        <w:t>ת</w:t>
      </w:r>
      <w:r w:rsidR="009A3E19">
        <w:rPr>
          <w:rFonts w:cs="Arial" w:hint="cs"/>
          <w:rtl/>
        </w:rPr>
        <w:t>רומות</w:t>
      </w:r>
      <w:r w:rsidR="009A3E19" w:rsidRPr="009A3E19">
        <w:rPr>
          <w:rFonts w:cs="Arial"/>
          <w:rtl/>
        </w:rPr>
        <w:t xml:space="preserve"> </w:t>
      </w:r>
      <w:r w:rsidR="009A3E19" w:rsidRPr="009A3E19">
        <w:rPr>
          <w:rFonts w:cs="Arial" w:hint="cs"/>
          <w:sz w:val="16"/>
          <w:szCs w:val="16"/>
          <w:rtl/>
        </w:rPr>
        <w:t>(</w:t>
      </w:r>
      <w:r w:rsidR="009A3E19" w:rsidRPr="009A3E19">
        <w:rPr>
          <w:rFonts w:cs="Arial"/>
          <w:sz w:val="16"/>
          <w:szCs w:val="16"/>
          <w:rtl/>
        </w:rPr>
        <w:t>שער לז</w:t>
      </w:r>
      <w:r w:rsidR="009A3E19" w:rsidRPr="009A3E19">
        <w:rPr>
          <w:rFonts w:cs="Arial" w:hint="cs"/>
          <w:sz w:val="16"/>
          <w:szCs w:val="16"/>
          <w:rtl/>
        </w:rPr>
        <w:t>)</w:t>
      </w:r>
      <w:r>
        <w:rPr>
          <w:rFonts w:cs="Arial" w:hint="cs"/>
          <w:rtl/>
        </w:rPr>
        <w:t xml:space="preserve">- </w:t>
      </w:r>
      <w:r w:rsidRPr="00890538">
        <w:rPr>
          <w:rFonts w:cs="Arial"/>
          <w:rtl/>
        </w:rPr>
        <w:t>הרב שלוה מעבדו ואח"כ שחררו</w:t>
      </w:r>
      <w:r w:rsidR="00211422">
        <w:rPr>
          <w:rFonts w:cs="Arial" w:hint="cs"/>
          <w:rtl/>
        </w:rPr>
        <w:t>,</w:t>
      </w:r>
      <w:r w:rsidRPr="00890538">
        <w:rPr>
          <w:rFonts w:cs="Arial"/>
          <w:rtl/>
        </w:rPr>
        <w:t xml:space="preserve"> או לוה מאשתו ואח</w:t>
      </w:r>
      <w:r w:rsidR="00211422">
        <w:rPr>
          <w:rFonts w:cs="Arial" w:hint="cs"/>
          <w:rtl/>
        </w:rPr>
        <w:t>"</w:t>
      </w:r>
      <w:r w:rsidRPr="00890538">
        <w:rPr>
          <w:rFonts w:cs="Arial"/>
          <w:rtl/>
        </w:rPr>
        <w:t xml:space="preserve">כ גירשה </w:t>
      </w:r>
      <w:r w:rsidR="00211422">
        <w:rPr>
          <w:rFonts w:cs="Arial" w:hint="cs"/>
          <w:rtl/>
        </w:rPr>
        <w:t xml:space="preserve">- </w:t>
      </w:r>
      <w:r w:rsidRPr="00890538">
        <w:rPr>
          <w:rFonts w:cs="Arial"/>
          <w:rtl/>
        </w:rPr>
        <w:t>אין להן עליו כלום</w:t>
      </w:r>
      <w:r w:rsidR="00211422">
        <w:rPr>
          <w:rFonts w:cs="Arial" w:hint="cs"/>
          <w:rtl/>
        </w:rPr>
        <w:t>,</w:t>
      </w:r>
      <w:r w:rsidRPr="00890538">
        <w:rPr>
          <w:rFonts w:cs="Arial"/>
          <w:rtl/>
        </w:rPr>
        <w:t xml:space="preserve"> שכל מה שקנה עבד קנה רבו</w:t>
      </w:r>
      <w:r w:rsidR="00211422">
        <w:rPr>
          <w:rFonts w:cs="Arial" w:hint="cs"/>
          <w:rtl/>
        </w:rPr>
        <w:t>,</w:t>
      </w:r>
      <w:r w:rsidRPr="00890538">
        <w:rPr>
          <w:rFonts w:cs="Arial"/>
          <w:rtl/>
        </w:rPr>
        <w:t xml:space="preserve"> וכל המעות שביד האשה בחזקת בעלה אלא אם הביאה ראייה שהן מנדונייתה</w:t>
      </w:r>
      <w:r w:rsidR="009A3E19">
        <w:rPr>
          <w:rFonts w:cs="Arial" w:hint="cs"/>
          <w:sz w:val="16"/>
          <w:szCs w:val="16"/>
          <w:rtl/>
        </w:rPr>
        <w:t xml:space="preserve"> (ל' הרמב"ם)</w:t>
      </w:r>
      <w:r w:rsidRPr="00890538">
        <w:rPr>
          <w:rFonts w:cs="Arial"/>
          <w:rtl/>
        </w:rPr>
        <w:t>.</w:t>
      </w:r>
      <w:r w:rsidR="00D43D3C">
        <w:rPr>
          <w:rFonts w:cs="Arial" w:hint="cs"/>
          <w:rtl/>
        </w:rPr>
        <w:t xml:space="preserve"> </w:t>
      </w:r>
      <w:r w:rsidR="00D43D3C" w:rsidRPr="00D43D3C">
        <w:rPr>
          <w:rFonts w:cs="Arial" w:hint="cs"/>
          <w:color w:val="E36C0A" w:themeColor="accent6" w:themeShade="BF"/>
          <w:rtl/>
        </w:rPr>
        <w:t>(וכ"פ בשו"ע)</w:t>
      </w:r>
      <w:r w:rsidRPr="00890538">
        <w:rPr>
          <w:rFonts w:cs="Arial"/>
          <w:rtl/>
        </w:rPr>
        <w:t xml:space="preserve"> </w:t>
      </w:r>
    </w:p>
    <w:p w14:paraId="3C1D6591" w14:textId="77777777" w:rsidR="00844CBF" w:rsidRPr="00BB60AD" w:rsidRDefault="00844CBF" w:rsidP="00844CBF">
      <w:pPr>
        <w:ind w:left="360"/>
        <w:rPr>
          <w:u w:val="dotted"/>
        </w:rPr>
      </w:pPr>
      <w:r w:rsidRPr="00BB60AD">
        <w:rPr>
          <w:rFonts w:hint="cs"/>
          <w:u w:val="dotted"/>
          <w:rtl/>
        </w:rPr>
        <w:t>ומה הדין אם לוה ממנה בשטר:</w:t>
      </w:r>
      <w:r w:rsidRPr="00BB60AD">
        <w:rPr>
          <w:rFonts w:hint="cs"/>
          <w:sz w:val="16"/>
          <w:szCs w:val="16"/>
          <w:rtl/>
        </w:rPr>
        <w:t xml:space="preserve"> </w:t>
      </w:r>
      <w:r>
        <w:rPr>
          <w:rFonts w:hint="cs"/>
          <w:sz w:val="16"/>
          <w:szCs w:val="16"/>
          <w:rtl/>
        </w:rPr>
        <w:t xml:space="preserve"> (דרכ"מ אות ג)</w:t>
      </w:r>
    </w:p>
    <w:p w14:paraId="4ECE4D28" w14:textId="5F32023E" w:rsidR="00844CBF" w:rsidRDefault="00844CBF" w:rsidP="009000E3">
      <w:pPr>
        <w:pStyle w:val="ab"/>
        <w:numPr>
          <w:ilvl w:val="0"/>
          <w:numId w:val="51"/>
        </w:numPr>
      </w:pPr>
      <w:r w:rsidRPr="00410A12">
        <w:rPr>
          <w:rFonts w:cs="Arial"/>
          <w:rtl/>
        </w:rPr>
        <w:t>נמוק</w:t>
      </w:r>
      <w:r>
        <w:rPr>
          <w:rFonts w:cs="Arial" w:hint="cs"/>
          <w:rtl/>
        </w:rPr>
        <w:t>"</w:t>
      </w:r>
      <w:r w:rsidRPr="00410A12">
        <w:rPr>
          <w:rFonts w:cs="Arial"/>
          <w:rtl/>
        </w:rPr>
        <w:t xml:space="preserve">י </w:t>
      </w:r>
      <w:r w:rsidRPr="00BB60AD">
        <w:rPr>
          <w:rFonts w:cs="Arial" w:hint="cs"/>
          <w:sz w:val="16"/>
          <w:szCs w:val="16"/>
          <w:rtl/>
        </w:rPr>
        <w:t>(</w:t>
      </w:r>
      <w:r w:rsidR="00211422">
        <w:rPr>
          <w:rFonts w:cs="Arial" w:hint="cs"/>
          <w:sz w:val="16"/>
          <w:szCs w:val="16"/>
          <w:rtl/>
        </w:rPr>
        <w:t>ב"ב</w:t>
      </w:r>
      <w:r w:rsidRPr="00BB60AD">
        <w:rPr>
          <w:rFonts w:cs="Arial"/>
          <w:sz w:val="16"/>
          <w:szCs w:val="16"/>
          <w:rtl/>
        </w:rPr>
        <w:t xml:space="preserve"> כז</w:t>
      </w:r>
      <w:r w:rsidRPr="00BB60AD">
        <w:rPr>
          <w:rFonts w:cs="Arial" w:hint="cs"/>
          <w:sz w:val="16"/>
          <w:szCs w:val="16"/>
          <w:rtl/>
        </w:rPr>
        <w:t>:</w:t>
      </w:r>
      <w:r w:rsidRPr="00BB60AD">
        <w:rPr>
          <w:rFonts w:cs="Arial"/>
          <w:sz w:val="16"/>
          <w:szCs w:val="16"/>
          <w:rtl/>
        </w:rPr>
        <w:t>)</w:t>
      </w:r>
      <w:r>
        <w:rPr>
          <w:rFonts w:cs="Arial" w:hint="cs"/>
          <w:rtl/>
        </w:rPr>
        <w:t xml:space="preserve">- </w:t>
      </w:r>
      <w:r w:rsidRPr="00410A12">
        <w:rPr>
          <w:rFonts w:cs="Arial"/>
          <w:rtl/>
        </w:rPr>
        <w:t>אם לוה ממנה בשטר אין צריך לשלם לה אא</w:t>
      </w:r>
      <w:r w:rsidR="00211422">
        <w:rPr>
          <w:rFonts w:cs="Arial" w:hint="cs"/>
          <w:rtl/>
        </w:rPr>
        <w:t>"</w:t>
      </w:r>
      <w:r w:rsidRPr="00410A12">
        <w:rPr>
          <w:rFonts w:cs="Arial"/>
          <w:rtl/>
        </w:rPr>
        <w:t>כ פירש בשטר שהיו ממעות שאינם טמונים</w:t>
      </w:r>
      <w:r>
        <w:rPr>
          <w:rFonts w:hint="cs"/>
          <w:sz w:val="16"/>
          <w:szCs w:val="16"/>
          <w:rtl/>
        </w:rPr>
        <w:t xml:space="preserve"> (ל' הדרכ"מ בשמו)</w:t>
      </w:r>
      <w:r>
        <w:rPr>
          <w:rFonts w:hint="cs"/>
          <w:rtl/>
        </w:rPr>
        <w:t>.</w:t>
      </w:r>
      <w:r w:rsidR="00D36C11" w:rsidRPr="00D36C11">
        <w:rPr>
          <w:rFonts w:hint="cs"/>
          <w:color w:val="00B0F0"/>
          <w:rtl/>
        </w:rPr>
        <w:t xml:space="preserve"> </w:t>
      </w:r>
      <w:r w:rsidR="00D36C11" w:rsidRPr="00D43D3C">
        <w:rPr>
          <w:rFonts w:hint="cs"/>
          <w:color w:val="00B0F0"/>
          <w:rtl/>
        </w:rPr>
        <w:t>(וכ"כ הרמ"א)</w:t>
      </w:r>
    </w:p>
    <w:p w14:paraId="1D153123" w14:textId="5C619F83" w:rsidR="00D43D3C" w:rsidRPr="00A7075E" w:rsidRDefault="00A7075E" w:rsidP="00A7075E">
      <w:pPr>
        <w:ind w:left="360"/>
        <w:rPr>
          <w:u w:val="dotted"/>
        </w:rPr>
      </w:pPr>
      <w:r w:rsidRPr="00A7075E">
        <w:rPr>
          <w:rFonts w:hint="cs"/>
          <w:u w:val="dotted"/>
          <w:rtl/>
        </w:rPr>
        <w:t xml:space="preserve">ומה הדין אם </w:t>
      </w:r>
      <w:r w:rsidR="00D43D3C" w:rsidRPr="00A7075E">
        <w:rPr>
          <w:rFonts w:hint="cs"/>
          <w:u w:val="dotted"/>
          <w:rtl/>
        </w:rPr>
        <w:t>לקח מאשתו מעות/מטלטלין</w:t>
      </w:r>
      <w:r w:rsidRPr="00A7075E">
        <w:rPr>
          <w:rFonts w:hint="cs"/>
          <w:u w:val="dotted"/>
          <w:rtl/>
        </w:rPr>
        <w:t>:</w:t>
      </w:r>
    </w:p>
    <w:p w14:paraId="510AD585" w14:textId="127C1638" w:rsidR="00D43D3C" w:rsidRPr="00677349" w:rsidRDefault="00D43D3C" w:rsidP="009000E3">
      <w:pPr>
        <w:pStyle w:val="ab"/>
        <w:numPr>
          <w:ilvl w:val="0"/>
          <w:numId w:val="51"/>
        </w:numPr>
      </w:pPr>
      <w:r w:rsidRPr="00227F6B">
        <w:rPr>
          <w:rFonts w:cs="Arial"/>
          <w:rtl/>
        </w:rPr>
        <w:lastRenderedPageBreak/>
        <w:t>ר"י</w:t>
      </w:r>
      <w:r>
        <w:rPr>
          <w:rFonts w:cs="Arial" w:hint="cs"/>
          <w:sz w:val="16"/>
          <w:szCs w:val="16"/>
          <w:rtl/>
        </w:rPr>
        <w:t xml:space="preserve"> (כ"כ </w:t>
      </w:r>
      <w:r w:rsidR="00D27B16">
        <w:rPr>
          <w:rFonts w:cs="Arial" w:hint="cs"/>
          <w:sz w:val="16"/>
          <w:szCs w:val="16"/>
          <w:rtl/>
        </w:rPr>
        <w:t xml:space="preserve">בשמו </w:t>
      </w:r>
      <w:r>
        <w:rPr>
          <w:rFonts w:cs="Arial" w:hint="cs"/>
          <w:sz w:val="16"/>
          <w:szCs w:val="16"/>
          <w:rtl/>
        </w:rPr>
        <w:t xml:space="preserve">הרא"ש </w:t>
      </w:r>
      <w:r w:rsidR="00D27B16">
        <w:rPr>
          <w:rFonts w:cs="Arial" w:hint="cs"/>
          <w:sz w:val="16"/>
          <w:szCs w:val="16"/>
          <w:rtl/>
        </w:rPr>
        <w:t>[פ"ג סי' נה] ו</w:t>
      </w:r>
      <w:r>
        <w:rPr>
          <w:rFonts w:cs="Arial" w:hint="cs"/>
          <w:sz w:val="16"/>
          <w:szCs w:val="16"/>
          <w:rtl/>
        </w:rPr>
        <w:t>הטור)</w:t>
      </w:r>
      <w:r>
        <w:rPr>
          <w:rFonts w:cs="Arial" w:hint="cs"/>
          <w:rtl/>
        </w:rPr>
        <w:t>-</w:t>
      </w:r>
      <w:r w:rsidRPr="00227F6B">
        <w:rPr>
          <w:rFonts w:cs="Arial"/>
          <w:rtl/>
        </w:rPr>
        <w:t xml:space="preserve"> אם היה לה מעות או מטלטלין ותקפם הבעל </w:t>
      </w:r>
      <w:r>
        <w:rPr>
          <w:rFonts w:cs="Arial" w:hint="cs"/>
          <w:rtl/>
        </w:rPr>
        <w:t xml:space="preserve">- </w:t>
      </w:r>
      <w:r w:rsidRPr="00227F6B">
        <w:rPr>
          <w:rFonts w:cs="Arial"/>
          <w:rtl/>
        </w:rPr>
        <w:t>אינה יכולה להוציאה מידו</w:t>
      </w:r>
      <w:r>
        <w:rPr>
          <w:rFonts w:cs="Arial" w:hint="cs"/>
          <w:rtl/>
        </w:rPr>
        <w:t>,</w:t>
      </w:r>
      <w:r w:rsidRPr="00227F6B">
        <w:rPr>
          <w:rFonts w:cs="Arial"/>
          <w:rtl/>
        </w:rPr>
        <w:t xml:space="preserve"> שאינה נאמנת לומר שלי או של פלוני הן</w:t>
      </w:r>
      <w:r>
        <w:rPr>
          <w:rStyle w:val="a7"/>
          <w:rFonts w:cs="Arial"/>
          <w:rtl/>
        </w:rPr>
        <w:footnoteReference w:id="1061"/>
      </w:r>
      <w:r>
        <w:rPr>
          <w:rFonts w:cs="Arial" w:hint="cs"/>
          <w:sz w:val="16"/>
          <w:szCs w:val="16"/>
          <w:rtl/>
        </w:rPr>
        <w:t xml:space="preserve"> (ל' הטור בשמו)</w:t>
      </w:r>
      <w:r>
        <w:rPr>
          <w:rFonts w:cs="Arial" w:hint="cs"/>
          <w:rtl/>
        </w:rPr>
        <w:t>.</w:t>
      </w:r>
    </w:p>
    <w:p w14:paraId="27AE25EF" w14:textId="2B9C86BB" w:rsidR="00D43D3C" w:rsidRPr="00D43D3C" w:rsidRDefault="003F5C71" w:rsidP="009000E3">
      <w:pPr>
        <w:pStyle w:val="ab"/>
        <w:numPr>
          <w:ilvl w:val="0"/>
          <w:numId w:val="51"/>
        </w:numPr>
        <w:rPr>
          <w:rtl/>
        </w:rPr>
      </w:pPr>
      <w:r>
        <w:rPr>
          <w:rFonts w:cs="Arial" w:hint="cs"/>
          <w:rtl/>
        </w:rPr>
        <w:t xml:space="preserve">תוס' </w:t>
      </w:r>
      <w:r>
        <w:rPr>
          <w:rFonts w:cs="Arial" w:hint="cs"/>
          <w:sz w:val="16"/>
          <w:szCs w:val="16"/>
          <w:rtl/>
        </w:rPr>
        <w:t>(נא: ד"ה קבל)</w:t>
      </w:r>
      <w:r>
        <w:rPr>
          <w:rFonts w:cs="Arial" w:hint="cs"/>
          <w:rtl/>
        </w:rPr>
        <w:t xml:space="preserve"> </w:t>
      </w:r>
      <w:r w:rsidR="00D43D3C">
        <w:rPr>
          <w:rFonts w:cs="Arial" w:hint="cs"/>
          <w:rtl/>
        </w:rPr>
        <w:t xml:space="preserve">ר"ש </w:t>
      </w:r>
      <w:r w:rsidR="00D43D3C">
        <w:rPr>
          <w:rFonts w:cs="Arial" w:hint="cs"/>
          <w:sz w:val="16"/>
          <w:szCs w:val="16"/>
          <w:rtl/>
        </w:rPr>
        <w:t>(כ"כ הרא"ש הטור בשמו)</w:t>
      </w:r>
      <w:r w:rsidR="00D43D3C">
        <w:rPr>
          <w:rFonts w:cs="Arial" w:hint="cs"/>
          <w:rtl/>
        </w:rPr>
        <w:t xml:space="preserve"> ורא"ש </w:t>
      </w:r>
      <w:r w:rsidR="00D43D3C" w:rsidRPr="00886E51">
        <w:rPr>
          <w:rFonts w:cs="Arial"/>
          <w:sz w:val="16"/>
          <w:szCs w:val="16"/>
          <w:rtl/>
        </w:rPr>
        <w:t>(</w:t>
      </w:r>
      <w:r w:rsidR="00D43D3C">
        <w:rPr>
          <w:rFonts w:cs="Arial" w:hint="cs"/>
          <w:sz w:val="16"/>
          <w:szCs w:val="16"/>
          <w:rtl/>
        </w:rPr>
        <w:t xml:space="preserve">פ"ג </w:t>
      </w:r>
      <w:r w:rsidR="00D43D3C" w:rsidRPr="00886E51">
        <w:rPr>
          <w:rFonts w:cs="Arial"/>
          <w:sz w:val="16"/>
          <w:szCs w:val="16"/>
          <w:rtl/>
        </w:rPr>
        <w:t>סי' נה)</w:t>
      </w:r>
      <w:r w:rsidR="00D43D3C">
        <w:rPr>
          <w:rFonts w:cs="Arial" w:hint="cs"/>
          <w:rtl/>
        </w:rPr>
        <w:t xml:space="preserve">- </w:t>
      </w:r>
      <w:r w:rsidR="00D43D3C">
        <w:rPr>
          <w:rStyle w:val="a7"/>
          <w:rFonts w:cs="Arial"/>
          <w:rtl/>
        </w:rPr>
        <w:footnoteReference w:id="1062"/>
      </w:r>
      <w:r w:rsidR="00D43D3C" w:rsidRPr="00227F6B">
        <w:rPr>
          <w:rFonts w:cs="Arial"/>
          <w:rtl/>
        </w:rPr>
        <w:t>אם היו המעות טמונים</w:t>
      </w:r>
      <w:r w:rsidR="00D43D3C">
        <w:rPr>
          <w:rFonts w:cs="Arial" w:hint="cs"/>
          <w:rtl/>
        </w:rPr>
        <w:t>,</w:t>
      </w:r>
      <w:r w:rsidR="00D43D3C" w:rsidRPr="00227F6B">
        <w:rPr>
          <w:rFonts w:cs="Arial"/>
          <w:rtl/>
        </w:rPr>
        <w:t xml:space="preserve"> שלא ידע בהן הבעל</w:t>
      </w:r>
      <w:r w:rsidR="00D43D3C">
        <w:rPr>
          <w:rFonts w:cs="Arial" w:hint="cs"/>
          <w:rtl/>
        </w:rPr>
        <w:t>,</w:t>
      </w:r>
      <w:r w:rsidR="00D43D3C" w:rsidRPr="00227F6B">
        <w:rPr>
          <w:rFonts w:cs="Arial"/>
          <w:rtl/>
        </w:rPr>
        <w:t xml:space="preserve"> ותקפם מידה</w:t>
      </w:r>
      <w:r w:rsidR="00D43D3C">
        <w:rPr>
          <w:rFonts w:cs="Arial" w:hint="cs"/>
          <w:rtl/>
        </w:rPr>
        <w:t xml:space="preserve"> -</w:t>
      </w:r>
      <w:r w:rsidR="00D43D3C" w:rsidRPr="00227F6B">
        <w:rPr>
          <w:rFonts w:cs="Arial"/>
          <w:rtl/>
        </w:rPr>
        <w:t xml:space="preserve"> אין מוציאין מידו</w:t>
      </w:r>
      <w:r w:rsidR="00D43D3C">
        <w:rPr>
          <w:rFonts w:cs="Arial" w:hint="cs"/>
          <w:rtl/>
        </w:rPr>
        <w:t>.</w:t>
      </w:r>
      <w:r w:rsidR="00D43D3C" w:rsidRPr="00227F6B">
        <w:rPr>
          <w:rFonts w:cs="Arial"/>
          <w:rtl/>
        </w:rPr>
        <w:t xml:space="preserve"> ואם לא היו טמונים ותקפם הבעל מידה </w:t>
      </w:r>
      <w:r w:rsidR="00D43D3C">
        <w:rPr>
          <w:rFonts w:cs="Arial" w:hint="cs"/>
          <w:rtl/>
        </w:rPr>
        <w:t xml:space="preserve">- </w:t>
      </w:r>
      <w:r w:rsidR="00D43D3C" w:rsidRPr="00227F6B">
        <w:rPr>
          <w:rFonts w:cs="Arial"/>
          <w:rtl/>
        </w:rPr>
        <w:t>מוציאין מידו</w:t>
      </w:r>
      <w:r w:rsidR="00D43D3C">
        <w:rPr>
          <w:rFonts w:cs="Arial" w:hint="cs"/>
          <w:rtl/>
        </w:rPr>
        <w:t>,</w:t>
      </w:r>
      <w:r w:rsidR="00D43D3C" w:rsidRPr="00227F6B">
        <w:rPr>
          <w:rFonts w:cs="Arial"/>
          <w:rtl/>
        </w:rPr>
        <w:t xml:space="preserve"> שנאמנת לומר שלי הם או של פלוני הם</w:t>
      </w:r>
      <w:r w:rsidR="00D43D3C">
        <w:rPr>
          <w:rStyle w:val="a7"/>
          <w:rFonts w:cs="Arial"/>
          <w:rtl/>
        </w:rPr>
        <w:footnoteReference w:id="1063"/>
      </w:r>
      <w:r w:rsidR="00D43D3C">
        <w:rPr>
          <w:rFonts w:cs="Arial" w:hint="cs"/>
          <w:sz w:val="16"/>
          <w:szCs w:val="16"/>
          <w:rtl/>
        </w:rPr>
        <w:t xml:space="preserve"> (ל' הטור בשם ר"ש)</w:t>
      </w:r>
      <w:r w:rsidR="00D43D3C">
        <w:rPr>
          <w:rFonts w:cs="Arial" w:hint="cs"/>
          <w:rtl/>
        </w:rPr>
        <w:t>.</w:t>
      </w:r>
      <w:r w:rsidR="00D43D3C" w:rsidRPr="00227F6B">
        <w:rPr>
          <w:rFonts w:cs="Arial"/>
          <w:rtl/>
        </w:rPr>
        <w:t xml:space="preserve"> </w:t>
      </w:r>
      <w:r w:rsidR="00D43D3C" w:rsidRPr="00D43D3C">
        <w:rPr>
          <w:rFonts w:hint="cs"/>
          <w:color w:val="00B0F0"/>
          <w:rtl/>
        </w:rPr>
        <w:t>(וכ"כ הרמ"א)</w:t>
      </w:r>
    </w:p>
    <w:p w14:paraId="4829AFEF" w14:textId="77777777" w:rsidR="00A7075E" w:rsidRPr="002E67F3" w:rsidRDefault="00A7075E" w:rsidP="00A7075E">
      <w:pPr>
        <w:ind w:left="360"/>
        <w:rPr>
          <w:u w:val="dotted"/>
        </w:rPr>
      </w:pPr>
      <w:r w:rsidRPr="002E67F3">
        <w:rPr>
          <w:rFonts w:hint="cs"/>
          <w:u w:val="dotted"/>
          <w:rtl/>
        </w:rPr>
        <w:t xml:space="preserve">ומה הדין אם האשה נושאת ונותנת בבית </w:t>
      </w:r>
      <w:r w:rsidRPr="002E67F3">
        <w:rPr>
          <w:rFonts w:hint="cs"/>
          <w:sz w:val="16"/>
          <w:szCs w:val="16"/>
          <w:u w:val="dotted"/>
          <w:rtl/>
        </w:rPr>
        <w:t xml:space="preserve">(או שבעלה </w:t>
      </w:r>
      <w:r>
        <w:rPr>
          <w:rFonts w:hint="cs"/>
          <w:sz w:val="16"/>
          <w:szCs w:val="16"/>
          <w:u w:val="dotted"/>
          <w:rtl/>
        </w:rPr>
        <w:t>מאמינה ו</w:t>
      </w:r>
      <w:r w:rsidRPr="002E67F3">
        <w:rPr>
          <w:rFonts w:hint="cs"/>
          <w:sz w:val="16"/>
          <w:szCs w:val="16"/>
          <w:u w:val="dotted"/>
          <w:rtl/>
        </w:rPr>
        <w:t>מפקיד אצלה ממונו</w:t>
      </w:r>
      <w:r>
        <w:rPr>
          <w:rFonts w:hint="cs"/>
          <w:sz w:val="16"/>
          <w:szCs w:val="16"/>
          <w:u w:val="dotted"/>
          <w:rtl/>
        </w:rPr>
        <w:t>)</w:t>
      </w:r>
      <w:r w:rsidRPr="002E67F3">
        <w:rPr>
          <w:rFonts w:hint="cs"/>
          <w:u w:val="dotted"/>
          <w:rtl/>
        </w:rPr>
        <w:t>:</w:t>
      </w:r>
    </w:p>
    <w:p w14:paraId="58669F80" w14:textId="77777777" w:rsidR="003F5C71" w:rsidRPr="00B62B81" w:rsidRDefault="003F5C71" w:rsidP="003F5C71">
      <w:pPr>
        <w:pStyle w:val="ab"/>
        <w:numPr>
          <w:ilvl w:val="0"/>
          <w:numId w:val="51"/>
        </w:numPr>
      </w:pPr>
      <w:r>
        <w:rPr>
          <w:rFonts w:cs="Arial" w:hint="cs"/>
          <w:rtl/>
        </w:rPr>
        <w:t xml:space="preserve">תוס' </w:t>
      </w:r>
      <w:r>
        <w:rPr>
          <w:rFonts w:cs="Arial" w:hint="cs"/>
          <w:sz w:val="16"/>
          <w:szCs w:val="16"/>
          <w:rtl/>
        </w:rPr>
        <w:t>(נא: ד"ה קבל)</w:t>
      </w:r>
      <w:r>
        <w:rPr>
          <w:rFonts w:cs="Arial" w:hint="cs"/>
          <w:rtl/>
        </w:rPr>
        <w:t xml:space="preserve">- </w:t>
      </w:r>
      <w:r w:rsidRPr="00B62B81">
        <w:rPr>
          <w:rFonts w:cs="Arial"/>
          <w:rtl/>
        </w:rPr>
        <w:t xml:space="preserve">ואם היא נושאת ונותנת בתוך הבית </w:t>
      </w:r>
      <w:r>
        <w:rPr>
          <w:rFonts w:cs="Arial" w:hint="cs"/>
          <w:rtl/>
        </w:rPr>
        <w:t xml:space="preserve">- </w:t>
      </w:r>
      <w:r w:rsidRPr="00B62B81">
        <w:rPr>
          <w:rFonts w:cs="Arial"/>
          <w:rtl/>
        </w:rPr>
        <w:t>אינה נאמנת לומר לא שלי ולא של פלוני הם</w:t>
      </w:r>
      <w:r>
        <w:rPr>
          <w:rStyle w:val="a7"/>
          <w:rFonts w:cs="Arial"/>
          <w:rtl/>
        </w:rPr>
        <w:footnoteReference w:id="1064"/>
      </w:r>
      <w:r>
        <w:rPr>
          <w:rFonts w:cs="Arial" w:hint="cs"/>
          <w:rtl/>
        </w:rPr>
        <w:t>...</w:t>
      </w:r>
      <w:r w:rsidRPr="00B62B81">
        <w:rPr>
          <w:rFonts w:cs="Arial"/>
          <w:rtl/>
        </w:rPr>
        <w:t xml:space="preserve"> ומיהו היכא שאינה נושאת ונותנת בחיי בעלה וממון בעלה מצוי בידה יש להסתפק אם חשבינן לה כאילו נושאת ונותנת אם לאו.</w:t>
      </w:r>
    </w:p>
    <w:p w14:paraId="7401E3FD" w14:textId="6ADD1EE1" w:rsidR="003F5C71" w:rsidRDefault="003F5C71" w:rsidP="003F5C71">
      <w:pPr>
        <w:pStyle w:val="ab"/>
        <w:numPr>
          <w:ilvl w:val="0"/>
          <w:numId w:val="51"/>
        </w:numPr>
      </w:pPr>
      <w:r>
        <w:rPr>
          <w:rFonts w:cs="Arial" w:hint="cs"/>
          <w:rtl/>
        </w:rPr>
        <w:t xml:space="preserve">רא"ש </w:t>
      </w:r>
      <w:r w:rsidRPr="00886E51">
        <w:rPr>
          <w:rFonts w:cs="Arial"/>
          <w:sz w:val="16"/>
          <w:szCs w:val="16"/>
          <w:rtl/>
        </w:rPr>
        <w:t>(</w:t>
      </w:r>
      <w:r>
        <w:rPr>
          <w:rFonts w:cs="Arial" w:hint="cs"/>
          <w:sz w:val="16"/>
          <w:szCs w:val="16"/>
          <w:rtl/>
        </w:rPr>
        <w:t xml:space="preserve">פ"ג </w:t>
      </w:r>
      <w:r w:rsidRPr="00886E51">
        <w:rPr>
          <w:rFonts w:cs="Arial"/>
          <w:sz w:val="16"/>
          <w:szCs w:val="16"/>
          <w:rtl/>
        </w:rPr>
        <w:t>סי' נה)</w:t>
      </w:r>
      <w:r>
        <w:rPr>
          <w:rFonts w:cs="Arial" w:hint="cs"/>
          <w:rtl/>
        </w:rPr>
        <w:t xml:space="preserve"> וטור- </w:t>
      </w:r>
      <w:r w:rsidRPr="00227F6B">
        <w:rPr>
          <w:rFonts w:cs="Arial"/>
          <w:rtl/>
        </w:rPr>
        <w:t>והאשה הנושאת ונותנת בתוך הבית</w:t>
      </w:r>
      <w:r>
        <w:rPr>
          <w:rStyle w:val="a7"/>
          <w:rFonts w:cs="Arial"/>
          <w:rtl/>
        </w:rPr>
        <w:footnoteReference w:id="1065"/>
      </w:r>
      <w:r>
        <w:rPr>
          <w:rFonts w:cs="Arial" w:hint="cs"/>
          <w:rtl/>
        </w:rPr>
        <w:t>,</w:t>
      </w:r>
      <w:r w:rsidRPr="00227F6B">
        <w:rPr>
          <w:rFonts w:cs="Arial"/>
          <w:rtl/>
        </w:rPr>
        <w:t xml:space="preserve"> או אפי' אינה נושאת ונותנת בתוך הבית אלא שהבעל מאמינה ומפקיד מה שיש לו בידה </w:t>
      </w:r>
      <w:r>
        <w:rPr>
          <w:rFonts w:cs="Arial" w:hint="cs"/>
          <w:rtl/>
        </w:rPr>
        <w:t xml:space="preserve">- </w:t>
      </w:r>
      <w:r w:rsidRPr="00227F6B">
        <w:rPr>
          <w:rFonts w:cs="Arial"/>
          <w:rtl/>
        </w:rPr>
        <w:t>אינה נאמנת לומר שלי או של פלוני הוא</w:t>
      </w:r>
      <w:r>
        <w:rPr>
          <w:rFonts w:cs="Arial" w:hint="cs"/>
          <w:sz w:val="16"/>
          <w:szCs w:val="16"/>
          <w:rtl/>
        </w:rPr>
        <w:t xml:space="preserve"> (ל' הטור)</w:t>
      </w:r>
      <w:r>
        <w:rPr>
          <w:rFonts w:cs="Arial" w:hint="cs"/>
          <w:rtl/>
        </w:rPr>
        <w:t>.</w:t>
      </w:r>
      <w:r w:rsidRPr="00227F6B">
        <w:rPr>
          <w:rFonts w:cs="Arial"/>
          <w:rtl/>
        </w:rPr>
        <w:t xml:space="preserve"> </w:t>
      </w:r>
      <w:r w:rsidRPr="00D43D3C">
        <w:rPr>
          <w:rFonts w:hint="cs"/>
          <w:color w:val="00B0F0"/>
          <w:rtl/>
        </w:rPr>
        <w:t>(וכ"</w:t>
      </w:r>
      <w:r>
        <w:rPr>
          <w:rFonts w:hint="cs"/>
          <w:color w:val="00B0F0"/>
          <w:rtl/>
        </w:rPr>
        <w:t>פ</w:t>
      </w:r>
      <w:r w:rsidRPr="00D43D3C">
        <w:rPr>
          <w:rFonts w:hint="cs"/>
          <w:color w:val="00B0F0"/>
          <w:rtl/>
        </w:rPr>
        <w:t xml:space="preserve"> הרמ"א)</w:t>
      </w:r>
    </w:p>
    <w:p w14:paraId="317C1FBF" w14:textId="649512CB" w:rsidR="00A7075E" w:rsidRPr="003F5C71" w:rsidRDefault="003F5C71" w:rsidP="003F5C71">
      <w:pPr>
        <w:ind w:left="720"/>
        <w:rPr>
          <w:u w:val="wave"/>
        </w:rPr>
      </w:pPr>
      <w:r>
        <w:rPr>
          <w:rFonts w:hint="cs"/>
          <w:u w:val="wave"/>
          <w:rtl/>
        </w:rPr>
        <w:t>באשה נושאת ונותנת</w:t>
      </w:r>
      <w:r w:rsidR="000237E8">
        <w:rPr>
          <w:rFonts w:hint="cs"/>
          <w:u w:val="wave"/>
          <w:rtl/>
        </w:rPr>
        <w:t xml:space="preserve"> כנ"ל</w:t>
      </w:r>
      <w:r>
        <w:rPr>
          <w:rFonts w:hint="cs"/>
          <w:u w:val="wave"/>
          <w:rtl/>
        </w:rPr>
        <w:t xml:space="preserve"> - </w:t>
      </w:r>
      <w:r w:rsidR="00A7075E" w:rsidRPr="003F5C71">
        <w:rPr>
          <w:rFonts w:hint="cs"/>
          <w:u w:val="wave"/>
          <w:rtl/>
        </w:rPr>
        <w:t>מה הדין אם מדובר בשטרי חובות/קרקעות:</w:t>
      </w:r>
    </w:p>
    <w:p w14:paraId="01DAAD9E" w14:textId="77777777" w:rsidR="00A7075E" w:rsidRDefault="00A7075E" w:rsidP="009000E3">
      <w:pPr>
        <w:pStyle w:val="ab"/>
        <w:numPr>
          <w:ilvl w:val="0"/>
          <w:numId w:val="51"/>
        </w:numPr>
      </w:pPr>
      <w:r>
        <w:rPr>
          <w:rFonts w:cs="Arial" w:hint="cs"/>
          <w:rtl/>
        </w:rPr>
        <w:t xml:space="preserve">טור- </w:t>
      </w:r>
      <w:r w:rsidRPr="00227F6B">
        <w:rPr>
          <w:rFonts w:cs="Arial"/>
          <w:rtl/>
        </w:rPr>
        <w:t xml:space="preserve">אבל שטרי חובות וקניית הקרקעות שעשה הבעל על שמה </w:t>
      </w:r>
      <w:r>
        <w:rPr>
          <w:rFonts w:cs="Arial" w:hint="cs"/>
          <w:rtl/>
        </w:rPr>
        <w:t xml:space="preserve">- </w:t>
      </w:r>
      <w:r w:rsidRPr="00227F6B">
        <w:rPr>
          <w:rFonts w:cs="Arial"/>
          <w:rtl/>
        </w:rPr>
        <w:t>הם שלה</w:t>
      </w:r>
      <w:r>
        <w:rPr>
          <w:rFonts w:cs="Arial" w:hint="cs"/>
          <w:rtl/>
        </w:rPr>
        <w:t>.</w:t>
      </w:r>
      <w:r w:rsidRPr="00227F6B">
        <w:rPr>
          <w:rFonts w:cs="Arial"/>
          <w:rtl/>
        </w:rPr>
        <w:t xml:space="preserve"> ואם הם עשוים על שמה ועל שם בעלה </w:t>
      </w:r>
      <w:r>
        <w:rPr>
          <w:rFonts w:cs="Arial" w:hint="cs"/>
          <w:rtl/>
        </w:rPr>
        <w:t xml:space="preserve">- </w:t>
      </w:r>
      <w:r w:rsidRPr="00227F6B">
        <w:rPr>
          <w:rFonts w:cs="Arial"/>
          <w:rtl/>
        </w:rPr>
        <w:t>הם שותפות בין שניהם</w:t>
      </w:r>
      <w:r>
        <w:rPr>
          <w:rStyle w:val="a7"/>
          <w:rFonts w:cs="Arial"/>
          <w:rtl/>
        </w:rPr>
        <w:footnoteReference w:id="1066"/>
      </w:r>
      <w:r>
        <w:rPr>
          <w:rFonts w:cs="Arial" w:hint="cs"/>
          <w:rtl/>
        </w:rPr>
        <w:t>.</w:t>
      </w:r>
      <w:r w:rsidRPr="00952342">
        <w:rPr>
          <w:rFonts w:cs="Arial"/>
          <w:rtl/>
        </w:rPr>
        <w:t xml:space="preserve"> </w:t>
      </w:r>
      <w:r w:rsidRPr="00F04916">
        <w:rPr>
          <w:rFonts w:cs="Arial"/>
          <w:rtl/>
        </w:rPr>
        <w:t xml:space="preserve"> </w:t>
      </w:r>
    </w:p>
    <w:p w14:paraId="6A0F35A2" w14:textId="17EA9CF2" w:rsidR="00D36C11" w:rsidRPr="000237E8" w:rsidRDefault="00D36C11" w:rsidP="000237E8">
      <w:pPr>
        <w:rPr>
          <w:u w:val="single"/>
        </w:rPr>
      </w:pPr>
      <w:r w:rsidRPr="00E516EC">
        <w:rPr>
          <w:u w:val="single"/>
          <w:rtl/>
        </w:rPr>
        <w:t>אשה שמכרה</w:t>
      </w:r>
      <w:r w:rsidR="000237E8">
        <w:rPr>
          <w:rFonts w:hint="cs"/>
          <w:u w:val="single"/>
          <w:rtl/>
        </w:rPr>
        <w:t xml:space="preserve"> </w:t>
      </w:r>
      <w:r w:rsidRPr="00E516EC">
        <w:rPr>
          <w:u w:val="single"/>
          <w:rtl/>
        </w:rPr>
        <w:t>מטלטלין</w:t>
      </w:r>
      <w:r w:rsidRPr="00E516EC">
        <w:rPr>
          <w:rFonts w:hint="cs"/>
          <w:u w:val="single"/>
          <w:rtl/>
        </w:rPr>
        <w:t>,</w:t>
      </w:r>
      <w:r w:rsidRPr="00E516EC">
        <w:rPr>
          <w:u w:val="single"/>
          <w:rtl/>
        </w:rPr>
        <w:t xml:space="preserve"> והבעל תובע לקונה</w:t>
      </w:r>
      <w:r w:rsidR="000237E8">
        <w:rPr>
          <w:rFonts w:hint="cs"/>
          <w:u w:val="single"/>
          <w:rtl/>
        </w:rPr>
        <w:t xml:space="preserve"> </w:t>
      </w:r>
      <w:r w:rsidRPr="00E516EC">
        <w:rPr>
          <w:u w:val="single"/>
          <w:rtl/>
        </w:rPr>
        <w:t>ואמר שאשתו גנב</w:t>
      </w:r>
      <w:r>
        <w:rPr>
          <w:rFonts w:hint="cs"/>
          <w:u w:val="single"/>
          <w:rtl/>
        </w:rPr>
        <w:t>ת</w:t>
      </w:r>
      <w:r w:rsidRPr="00E516EC">
        <w:rPr>
          <w:u w:val="single"/>
          <w:rtl/>
        </w:rPr>
        <w:t>ן לו</w:t>
      </w:r>
      <w:r w:rsidRPr="00E516EC">
        <w:rPr>
          <w:rFonts w:hint="cs"/>
          <w:u w:val="single"/>
          <w:rtl/>
        </w:rPr>
        <w:t>:</w:t>
      </w:r>
      <w:r w:rsidRPr="00E516EC">
        <w:rPr>
          <w:rFonts w:hint="cs"/>
          <w:sz w:val="16"/>
          <w:szCs w:val="16"/>
          <w:rtl/>
        </w:rPr>
        <w:t xml:space="preserve">  (דרכ"מ אות ג)</w:t>
      </w:r>
    </w:p>
    <w:p w14:paraId="6489747F" w14:textId="77777777" w:rsidR="00D36C11" w:rsidRPr="00E516EC" w:rsidRDefault="00D36C11" w:rsidP="009000E3">
      <w:pPr>
        <w:pStyle w:val="ab"/>
        <w:numPr>
          <w:ilvl w:val="0"/>
          <w:numId w:val="51"/>
        </w:numPr>
      </w:pPr>
      <w:r w:rsidRPr="00410A12">
        <w:rPr>
          <w:rFonts w:cs="Arial"/>
          <w:rtl/>
        </w:rPr>
        <w:t>מרדכי</w:t>
      </w:r>
      <w:r w:rsidRPr="00E516EC">
        <w:rPr>
          <w:rFonts w:cs="Arial"/>
          <w:sz w:val="16"/>
          <w:szCs w:val="16"/>
          <w:rtl/>
        </w:rPr>
        <w:t xml:space="preserve"> </w:t>
      </w:r>
      <w:r>
        <w:rPr>
          <w:rFonts w:cs="Arial" w:hint="cs"/>
          <w:sz w:val="16"/>
          <w:szCs w:val="16"/>
          <w:rtl/>
        </w:rPr>
        <w:t>(</w:t>
      </w:r>
      <w:r w:rsidRPr="00E516EC">
        <w:rPr>
          <w:rFonts w:cs="Arial"/>
          <w:sz w:val="16"/>
          <w:szCs w:val="16"/>
          <w:rtl/>
        </w:rPr>
        <w:t>פרק חזקת סי' תקמו)</w:t>
      </w:r>
      <w:r>
        <w:rPr>
          <w:rFonts w:cs="Arial" w:hint="cs"/>
          <w:rtl/>
        </w:rPr>
        <w:t>-</w:t>
      </w:r>
      <w:r w:rsidRPr="00E516EC">
        <w:rPr>
          <w:rFonts w:cs="Arial"/>
          <w:rtl/>
        </w:rPr>
        <w:t xml:space="preserve"> אשה שמכרה מטלטלין</w:t>
      </w:r>
      <w:r>
        <w:rPr>
          <w:rFonts w:cs="Arial" w:hint="cs"/>
          <w:rtl/>
        </w:rPr>
        <w:t>,</w:t>
      </w:r>
      <w:r w:rsidRPr="00E516EC">
        <w:rPr>
          <w:rFonts w:cs="Arial"/>
          <w:rtl/>
        </w:rPr>
        <w:t xml:space="preserve"> והבעל תובע לקונה ואמר שאשתו גנב</w:t>
      </w:r>
      <w:r>
        <w:rPr>
          <w:rFonts w:cs="Arial" w:hint="cs"/>
          <w:rtl/>
        </w:rPr>
        <w:t>ת</w:t>
      </w:r>
      <w:r w:rsidRPr="00E516EC">
        <w:rPr>
          <w:rFonts w:cs="Arial"/>
          <w:rtl/>
        </w:rPr>
        <w:t>ן לו</w:t>
      </w:r>
      <w:r>
        <w:rPr>
          <w:rFonts w:cs="Arial" w:hint="cs"/>
          <w:rtl/>
        </w:rPr>
        <w:t>,</w:t>
      </w:r>
      <w:r w:rsidRPr="00E516EC">
        <w:rPr>
          <w:rFonts w:cs="Arial"/>
          <w:rtl/>
        </w:rPr>
        <w:t xml:space="preserve"> אם הקונה טוען בברור שהוא יודע שהיה של אשה </w:t>
      </w:r>
      <w:r>
        <w:rPr>
          <w:rFonts w:cs="Arial" w:hint="cs"/>
          <w:rtl/>
        </w:rPr>
        <w:t xml:space="preserve">- </w:t>
      </w:r>
      <w:r w:rsidRPr="00E516EC">
        <w:rPr>
          <w:rFonts w:cs="Arial"/>
          <w:rtl/>
        </w:rPr>
        <w:t>נאמן בשבועה</w:t>
      </w:r>
      <w:r>
        <w:rPr>
          <w:rFonts w:cs="Arial" w:hint="cs"/>
          <w:sz w:val="16"/>
          <w:szCs w:val="16"/>
          <w:rtl/>
        </w:rPr>
        <w:t xml:space="preserve"> (ל' הדרכ"מ בשמו)</w:t>
      </w:r>
      <w:r>
        <w:rPr>
          <w:rFonts w:cs="Arial" w:hint="cs"/>
          <w:rtl/>
        </w:rPr>
        <w:t>.</w:t>
      </w:r>
      <w:r w:rsidRPr="00E516EC">
        <w:rPr>
          <w:rFonts w:cs="Arial"/>
          <w:rtl/>
        </w:rPr>
        <w:t xml:space="preserve"> </w:t>
      </w:r>
    </w:p>
    <w:p w14:paraId="08471484" w14:textId="0DBF9937" w:rsidR="00D36C11" w:rsidRPr="000237E8" w:rsidRDefault="00D36C11" w:rsidP="009000E3">
      <w:pPr>
        <w:pStyle w:val="ab"/>
        <w:numPr>
          <w:ilvl w:val="0"/>
          <w:numId w:val="51"/>
        </w:numPr>
      </w:pPr>
      <w:r>
        <w:rPr>
          <w:rFonts w:cs="Arial" w:hint="cs"/>
          <w:rtl/>
        </w:rPr>
        <w:t xml:space="preserve">הגה"מ </w:t>
      </w:r>
      <w:r w:rsidRPr="00E516EC">
        <w:rPr>
          <w:rFonts w:cs="Arial" w:hint="cs"/>
          <w:sz w:val="16"/>
          <w:szCs w:val="16"/>
          <w:rtl/>
        </w:rPr>
        <w:t>(</w:t>
      </w:r>
      <w:r w:rsidRPr="00E516EC">
        <w:rPr>
          <w:rFonts w:cs="Arial"/>
          <w:sz w:val="16"/>
          <w:szCs w:val="16"/>
          <w:rtl/>
        </w:rPr>
        <w:t>פכ"ב דאישות שם)</w:t>
      </w:r>
      <w:r>
        <w:rPr>
          <w:rFonts w:cs="Arial" w:hint="cs"/>
          <w:rtl/>
        </w:rPr>
        <w:t>-</w:t>
      </w:r>
      <w:r w:rsidRPr="00E516EC">
        <w:rPr>
          <w:rFonts w:cs="Arial"/>
          <w:rtl/>
        </w:rPr>
        <w:t xml:space="preserve"> אין צריך להחזיר כלל אפילו אינו יודע בברור שהוא שלה</w:t>
      </w:r>
      <w:r>
        <w:rPr>
          <w:rFonts w:cs="Arial" w:hint="cs"/>
          <w:rtl/>
        </w:rPr>
        <w:t>,</w:t>
      </w:r>
      <w:r w:rsidRPr="00E516EC">
        <w:rPr>
          <w:rFonts w:cs="Arial"/>
          <w:rtl/>
        </w:rPr>
        <w:t xml:space="preserve"> ואפילו אם הבעל רוצה להחזיר לו דמיו אינו צריך להחזיר</w:t>
      </w:r>
      <w:r w:rsidR="003B049F">
        <w:rPr>
          <w:rFonts w:cs="Arial" w:hint="cs"/>
          <w:sz w:val="16"/>
          <w:szCs w:val="16"/>
          <w:rtl/>
        </w:rPr>
        <w:t xml:space="preserve"> (ל' הדרכ"מ בשמו)</w:t>
      </w:r>
      <w:r>
        <w:rPr>
          <w:rFonts w:cs="Arial" w:hint="cs"/>
          <w:rtl/>
        </w:rPr>
        <w:t>.</w:t>
      </w:r>
      <w:r w:rsidRPr="00E516EC">
        <w:rPr>
          <w:rFonts w:cs="Arial"/>
          <w:rtl/>
        </w:rPr>
        <w:t xml:space="preserve"> </w:t>
      </w:r>
      <w:r w:rsidR="00133042" w:rsidRPr="00D43D3C">
        <w:rPr>
          <w:rFonts w:hint="cs"/>
          <w:color w:val="00B0F0"/>
          <w:rtl/>
        </w:rPr>
        <w:t>(וכ"</w:t>
      </w:r>
      <w:r w:rsidR="00133042">
        <w:rPr>
          <w:rFonts w:hint="cs"/>
          <w:color w:val="00B0F0"/>
          <w:rtl/>
        </w:rPr>
        <w:t>פ</w:t>
      </w:r>
      <w:r w:rsidR="00133042" w:rsidRPr="00D43D3C">
        <w:rPr>
          <w:rFonts w:hint="cs"/>
          <w:color w:val="00B0F0"/>
          <w:rtl/>
        </w:rPr>
        <w:t xml:space="preserve"> הרמ"א)</w:t>
      </w:r>
    </w:p>
    <w:p w14:paraId="31DB04F6" w14:textId="3701EA4A" w:rsidR="000237E8" w:rsidRPr="000237E8" w:rsidRDefault="000237E8" w:rsidP="000237E8">
      <w:pPr>
        <w:rPr>
          <w:u w:val="dotted"/>
        </w:rPr>
      </w:pPr>
      <w:r w:rsidRPr="000237E8">
        <w:rPr>
          <w:u w:val="single"/>
          <w:rtl/>
        </w:rPr>
        <w:t xml:space="preserve">אשה </w:t>
      </w:r>
      <w:r>
        <w:rPr>
          <w:rFonts w:hint="cs"/>
          <w:u w:val="single"/>
          <w:rtl/>
        </w:rPr>
        <w:t>שלותה על מ</w:t>
      </w:r>
      <w:r w:rsidRPr="000237E8">
        <w:rPr>
          <w:rFonts w:hint="cs"/>
          <w:u w:val="single"/>
          <w:rtl/>
        </w:rPr>
        <w:t>שכ</w:t>
      </w:r>
      <w:r>
        <w:rPr>
          <w:rFonts w:hint="cs"/>
          <w:u w:val="single"/>
          <w:rtl/>
        </w:rPr>
        <w:t>ונות של בעלה בלא ידיעתו</w:t>
      </w:r>
      <w:r w:rsidRPr="000237E8">
        <w:rPr>
          <w:rFonts w:hint="cs"/>
          <w:u w:val="single"/>
          <w:rtl/>
        </w:rPr>
        <w:t>:</w:t>
      </w:r>
      <w:r w:rsidRPr="000237E8">
        <w:rPr>
          <w:rFonts w:hint="cs"/>
          <w:sz w:val="16"/>
          <w:szCs w:val="16"/>
          <w:rtl/>
        </w:rPr>
        <w:t xml:space="preserve">  (ב"י </w:t>
      </w:r>
      <w:r>
        <w:rPr>
          <w:rFonts w:hint="cs"/>
          <w:sz w:val="16"/>
          <w:szCs w:val="16"/>
          <w:rtl/>
        </w:rPr>
        <w:t xml:space="preserve">[חו"מ סי' עב סע' יח] </w:t>
      </w:r>
      <w:r w:rsidRPr="000237E8">
        <w:rPr>
          <w:rFonts w:hint="cs"/>
          <w:sz w:val="16"/>
          <w:szCs w:val="16"/>
          <w:rtl/>
        </w:rPr>
        <w:t xml:space="preserve">ודרכ"מ </w:t>
      </w:r>
      <w:r>
        <w:rPr>
          <w:rFonts w:hint="cs"/>
          <w:sz w:val="16"/>
          <w:szCs w:val="16"/>
          <w:rtl/>
        </w:rPr>
        <w:t>[</w:t>
      </w:r>
      <w:r w:rsidRPr="000237E8">
        <w:rPr>
          <w:rFonts w:hint="cs"/>
          <w:sz w:val="16"/>
          <w:szCs w:val="16"/>
          <w:rtl/>
        </w:rPr>
        <w:t>אות ג</w:t>
      </w:r>
      <w:r>
        <w:rPr>
          <w:rFonts w:hint="cs"/>
          <w:sz w:val="16"/>
          <w:szCs w:val="16"/>
          <w:rtl/>
        </w:rPr>
        <w:t>]</w:t>
      </w:r>
      <w:r w:rsidRPr="000237E8">
        <w:rPr>
          <w:rFonts w:hint="cs"/>
          <w:sz w:val="16"/>
          <w:szCs w:val="16"/>
          <w:rtl/>
        </w:rPr>
        <w:t>)</w:t>
      </w:r>
    </w:p>
    <w:p w14:paraId="29EAC068" w14:textId="61895EAB" w:rsidR="00D36C11" w:rsidRPr="00525F70" w:rsidRDefault="00D36C11" w:rsidP="009000E3">
      <w:pPr>
        <w:pStyle w:val="ab"/>
        <w:numPr>
          <w:ilvl w:val="0"/>
          <w:numId w:val="51"/>
        </w:numPr>
        <w:rPr>
          <w:rtl/>
        </w:rPr>
      </w:pPr>
      <w:r>
        <w:rPr>
          <w:rFonts w:cs="Arial" w:hint="cs"/>
          <w:rtl/>
        </w:rPr>
        <w:t xml:space="preserve">רי"ו </w:t>
      </w:r>
      <w:r w:rsidRPr="00E516EC">
        <w:rPr>
          <w:rFonts w:cs="Arial" w:hint="cs"/>
          <w:sz w:val="16"/>
          <w:szCs w:val="16"/>
          <w:rtl/>
        </w:rPr>
        <w:t>(</w:t>
      </w:r>
      <w:r w:rsidRPr="00E516EC">
        <w:rPr>
          <w:rFonts w:cs="Arial"/>
          <w:sz w:val="16"/>
          <w:szCs w:val="16"/>
          <w:rtl/>
        </w:rPr>
        <w:t xml:space="preserve">מישרים נכ"ג </w:t>
      </w:r>
      <w:r w:rsidRPr="00E516EC">
        <w:rPr>
          <w:rFonts w:cs="Arial" w:hint="cs"/>
          <w:sz w:val="16"/>
          <w:szCs w:val="16"/>
          <w:rtl/>
        </w:rPr>
        <w:t>ח"</w:t>
      </w:r>
      <w:r w:rsidRPr="00E516EC">
        <w:rPr>
          <w:rFonts w:cs="Arial"/>
          <w:sz w:val="16"/>
          <w:szCs w:val="16"/>
          <w:rtl/>
        </w:rPr>
        <w:t>ו נח ע"ד)</w:t>
      </w:r>
      <w:r>
        <w:rPr>
          <w:rFonts w:cs="Arial" w:hint="cs"/>
          <w:rtl/>
        </w:rPr>
        <w:t>-</w:t>
      </w:r>
      <w:r w:rsidRPr="00E516EC">
        <w:rPr>
          <w:rFonts w:cs="Arial"/>
          <w:rtl/>
        </w:rPr>
        <w:t xml:space="preserve"> אשה שלותה על משכונות שהיו של בעלה שלא מדעת בעלה </w:t>
      </w:r>
      <w:r>
        <w:rPr>
          <w:rFonts w:cs="Arial" w:hint="cs"/>
          <w:rtl/>
        </w:rPr>
        <w:t xml:space="preserve">- </w:t>
      </w:r>
      <w:r w:rsidRPr="00E516EC">
        <w:rPr>
          <w:rFonts w:cs="Arial"/>
          <w:rtl/>
        </w:rPr>
        <w:t>לא קנאם המלוה ומחזיר אותם לבעל בלא דמים</w:t>
      </w:r>
      <w:r>
        <w:rPr>
          <w:rFonts w:cs="Arial" w:hint="cs"/>
          <w:rtl/>
        </w:rPr>
        <w:t>,</w:t>
      </w:r>
      <w:r w:rsidRPr="00E516EC">
        <w:rPr>
          <w:rFonts w:cs="Arial"/>
          <w:rtl/>
        </w:rPr>
        <w:t xml:space="preserve"> ולא שייך הכא תקנת השוק</w:t>
      </w:r>
      <w:r>
        <w:rPr>
          <w:rFonts w:cs="Arial" w:hint="cs"/>
          <w:rtl/>
        </w:rPr>
        <w:t>.</w:t>
      </w:r>
      <w:r w:rsidRPr="00E516EC">
        <w:rPr>
          <w:rFonts w:cs="Arial"/>
          <w:rtl/>
        </w:rPr>
        <w:t xml:space="preserve"> ודוקא שלא ידע הבעל שמשכנה אותם</w:t>
      </w:r>
      <w:r>
        <w:rPr>
          <w:rFonts w:cs="Arial" w:hint="cs"/>
          <w:rtl/>
        </w:rPr>
        <w:t>,</w:t>
      </w:r>
      <w:r w:rsidRPr="00E516EC">
        <w:rPr>
          <w:rFonts w:cs="Arial"/>
          <w:rtl/>
        </w:rPr>
        <w:t xml:space="preserve"> אבל משכנתם בידיעת הבעל</w:t>
      </w:r>
      <w:r>
        <w:rPr>
          <w:rFonts w:cs="Arial" w:hint="cs"/>
          <w:rtl/>
        </w:rPr>
        <w:t>,</w:t>
      </w:r>
      <w:r w:rsidRPr="00E516EC">
        <w:rPr>
          <w:rFonts w:cs="Arial"/>
          <w:rtl/>
        </w:rPr>
        <w:t xml:space="preserve"> אימא נתרצה</w:t>
      </w:r>
      <w:r>
        <w:rPr>
          <w:rFonts w:cs="Arial" w:hint="cs"/>
          <w:rtl/>
        </w:rPr>
        <w:t>.</w:t>
      </w:r>
      <w:r w:rsidRPr="00E516EC">
        <w:rPr>
          <w:rFonts w:cs="Arial"/>
          <w:rtl/>
        </w:rPr>
        <w:t xml:space="preserve"> ודוקא בידוע שהם של בעל כגון שהאשה נושאת ונותנת בתוך הבית</w:t>
      </w:r>
      <w:r>
        <w:rPr>
          <w:rStyle w:val="a7"/>
          <w:rFonts w:cs="Arial"/>
          <w:rtl/>
        </w:rPr>
        <w:footnoteReference w:id="1067"/>
      </w:r>
      <w:r>
        <w:rPr>
          <w:rFonts w:cs="Arial" w:hint="cs"/>
          <w:rtl/>
        </w:rPr>
        <w:t>.</w:t>
      </w:r>
      <w:r w:rsidR="00133042">
        <w:rPr>
          <w:rFonts w:hint="cs"/>
          <w:color w:val="00B0F0"/>
          <w:rtl/>
        </w:rPr>
        <w:t xml:space="preserve"> </w:t>
      </w:r>
      <w:r w:rsidR="00133042" w:rsidRPr="00D43D3C">
        <w:rPr>
          <w:rFonts w:hint="cs"/>
          <w:color w:val="00B0F0"/>
          <w:rtl/>
        </w:rPr>
        <w:t>(וכ"</w:t>
      </w:r>
      <w:r w:rsidR="00133042">
        <w:rPr>
          <w:rFonts w:hint="cs"/>
          <w:color w:val="00B0F0"/>
          <w:rtl/>
        </w:rPr>
        <w:t>כ</w:t>
      </w:r>
      <w:r w:rsidR="00133042" w:rsidRPr="00D43D3C">
        <w:rPr>
          <w:rFonts w:hint="cs"/>
          <w:color w:val="00B0F0"/>
          <w:rtl/>
        </w:rPr>
        <w:t xml:space="preserve"> הרמ"א)</w:t>
      </w:r>
    </w:p>
    <w:p w14:paraId="5B72DD6F" w14:textId="17E5E858" w:rsidR="00844CBF" w:rsidRPr="00AF3A54" w:rsidRDefault="00844CBF" w:rsidP="00844CBF">
      <w:pPr>
        <w:rPr>
          <w:rFonts w:cs="Arial"/>
          <w:u w:val="single"/>
          <w:rtl/>
        </w:rPr>
      </w:pPr>
      <w:r w:rsidRPr="00AF3A54">
        <w:rPr>
          <w:rFonts w:cs="Arial"/>
          <w:u w:val="single"/>
          <w:rtl/>
        </w:rPr>
        <w:t xml:space="preserve">מי שנתן לבתו </w:t>
      </w:r>
      <w:r>
        <w:rPr>
          <w:rFonts w:cs="Arial" w:hint="cs"/>
          <w:sz w:val="16"/>
          <w:szCs w:val="16"/>
          <w:u w:val="single"/>
          <w:rtl/>
        </w:rPr>
        <w:t>(</w:t>
      </w:r>
      <w:r w:rsidRPr="00F6735C">
        <w:rPr>
          <w:rFonts w:cs="Arial"/>
          <w:sz w:val="16"/>
          <w:szCs w:val="16"/>
          <w:u w:val="single"/>
          <w:rtl/>
        </w:rPr>
        <w:t>או לאחותו</w:t>
      </w:r>
      <w:r>
        <w:rPr>
          <w:rFonts w:cs="Arial" w:hint="cs"/>
          <w:sz w:val="16"/>
          <w:szCs w:val="16"/>
          <w:u w:val="single"/>
          <w:rtl/>
        </w:rPr>
        <w:t>)</w:t>
      </w:r>
      <w:r w:rsidRPr="00F6735C">
        <w:rPr>
          <w:rFonts w:cs="Arial"/>
          <w:sz w:val="16"/>
          <w:szCs w:val="16"/>
          <w:u w:val="single"/>
          <w:rtl/>
        </w:rPr>
        <w:t xml:space="preserve"> </w:t>
      </w:r>
      <w:r w:rsidRPr="00AF3A54">
        <w:rPr>
          <w:rFonts w:cs="Arial"/>
          <w:u w:val="single"/>
          <w:rtl/>
        </w:rPr>
        <w:t>מעות ושטרי חובות על מנת שאין לבעלה רשות בהן</w:t>
      </w:r>
      <w:r w:rsidRPr="00AF3A54">
        <w:rPr>
          <w:rFonts w:cs="Arial" w:hint="cs"/>
          <w:u w:val="single"/>
          <w:rtl/>
        </w:rPr>
        <w:t>:</w:t>
      </w:r>
    </w:p>
    <w:p w14:paraId="60A5C65C" w14:textId="1A39DECB" w:rsidR="00844CBF" w:rsidRDefault="00844CBF" w:rsidP="009000E3">
      <w:pPr>
        <w:pStyle w:val="ab"/>
        <w:numPr>
          <w:ilvl w:val="0"/>
          <w:numId w:val="51"/>
        </w:numPr>
        <w:rPr>
          <w:rFonts w:cs="Arial"/>
        </w:rPr>
      </w:pPr>
      <w:r w:rsidRPr="00AF3A54">
        <w:rPr>
          <w:rFonts w:cs="Arial"/>
          <w:rtl/>
        </w:rPr>
        <w:t xml:space="preserve">רשב"א </w:t>
      </w:r>
      <w:r w:rsidRPr="00AF3A54">
        <w:rPr>
          <w:rFonts w:cs="Arial" w:hint="cs"/>
          <w:sz w:val="16"/>
          <w:szCs w:val="16"/>
          <w:rtl/>
        </w:rPr>
        <w:t>(שו"ת החדשות מכת"י סי' רמח)</w:t>
      </w:r>
      <w:r w:rsidRPr="00AF3A54">
        <w:rPr>
          <w:rFonts w:cs="Arial" w:hint="cs"/>
          <w:rtl/>
        </w:rPr>
        <w:t xml:space="preserve">- </w:t>
      </w:r>
      <w:r w:rsidRPr="00AF3A54">
        <w:rPr>
          <w:rFonts w:cs="Arial"/>
          <w:rtl/>
        </w:rPr>
        <w:t>שאלת</w:t>
      </w:r>
      <w:r w:rsidR="00133042">
        <w:rPr>
          <w:rFonts w:cs="Arial" w:hint="cs"/>
          <w:rtl/>
        </w:rPr>
        <w:t>:</w:t>
      </w:r>
      <w:r w:rsidRPr="00AF3A54">
        <w:rPr>
          <w:rFonts w:cs="Arial"/>
          <w:rtl/>
        </w:rPr>
        <w:t xml:space="preserve"> מי שנתן לבתו או לאחותו מעות ושטרי חובות על מנת שאין לבעלה רשות בהן אלא מה שהיא נותנת לתוך פיה</w:t>
      </w:r>
      <w:r w:rsidRPr="00AF3A54">
        <w:rPr>
          <w:rFonts w:cs="Arial" w:hint="cs"/>
          <w:rtl/>
        </w:rPr>
        <w:t>,</w:t>
      </w:r>
      <w:r w:rsidRPr="00AF3A54">
        <w:rPr>
          <w:rFonts w:cs="Arial"/>
          <w:rtl/>
        </w:rPr>
        <w:t xml:space="preserve"> ועל מנת שכל זמן שירצה יטול הכל לעצמו קרן והריוח בין בחייה בין לאחר מיתה</w:t>
      </w:r>
      <w:r w:rsidRPr="00AF3A54">
        <w:rPr>
          <w:rFonts w:cs="Arial" w:hint="cs"/>
          <w:rtl/>
        </w:rPr>
        <w:t>.</w:t>
      </w:r>
      <w:r w:rsidRPr="00AF3A54">
        <w:rPr>
          <w:rFonts w:cs="Arial"/>
          <w:rtl/>
        </w:rPr>
        <w:t xml:space="preserve"> והיא גם היא עשתה שטר הודאה בכך ושלא היה לה שום ממון בעולם משלה אלא אותן נכסים שנתן לה אביה ויש לה וליורשיה להחזיר כל זמן שירצה</w:t>
      </w:r>
      <w:r w:rsidRPr="00AF3A54">
        <w:rPr>
          <w:rFonts w:cs="Arial" w:hint="cs"/>
          <w:rtl/>
        </w:rPr>
        <w:t>.</w:t>
      </w:r>
      <w:r w:rsidRPr="00AF3A54">
        <w:rPr>
          <w:rFonts w:cs="Arial"/>
          <w:rtl/>
        </w:rPr>
        <w:t xml:space="preserve"> ועכשיו מתה האשה ונמצאו תחת ידה נכסים ושטרי חוב יוצאים על שמה</w:t>
      </w:r>
      <w:r w:rsidRPr="00AF3A54">
        <w:rPr>
          <w:rFonts w:cs="Arial" w:hint="cs"/>
          <w:rtl/>
        </w:rPr>
        <w:t>,</w:t>
      </w:r>
      <w:r w:rsidRPr="00AF3A54">
        <w:rPr>
          <w:rFonts w:cs="Arial"/>
          <w:rtl/>
        </w:rPr>
        <w:t xml:space="preserve"> והאב בא ליטול הכל</w:t>
      </w:r>
      <w:r w:rsidRPr="00AF3A54">
        <w:rPr>
          <w:rFonts w:cs="Arial" w:hint="cs"/>
          <w:rtl/>
        </w:rPr>
        <w:t>,</w:t>
      </w:r>
      <w:r w:rsidRPr="00AF3A54">
        <w:rPr>
          <w:rFonts w:cs="Arial"/>
          <w:rtl/>
        </w:rPr>
        <w:t xml:space="preserve"> והבעל טוען שכל הנכסים משלו או שמסרן לה או שתפס</w:t>
      </w:r>
      <w:r w:rsidRPr="00AF3A54">
        <w:rPr>
          <w:rFonts w:cs="Arial" w:hint="cs"/>
          <w:rtl/>
        </w:rPr>
        <w:t>ת</w:t>
      </w:r>
      <w:r w:rsidRPr="00AF3A54">
        <w:rPr>
          <w:rFonts w:cs="Arial"/>
          <w:rtl/>
        </w:rPr>
        <w:t>ן מן הבית</w:t>
      </w:r>
      <w:r w:rsidRPr="00AF3A54">
        <w:rPr>
          <w:rFonts w:cs="Arial" w:hint="cs"/>
          <w:rtl/>
        </w:rPr>
        <w:t>,</w:t>
      </w:r>
      <w:r w:rsidRPr="00AF3A54">
        <w:rPr>
          <w:rFonts w:cs="Arial"/>
          <w:rtl/>
        </w:rPr>
        <w:t xml:space="preserve"> ואותם נכסים שנתן לה האב נאבדו</w:t>
      </w:r>
      <w:r w:rsidRPr="00AF3A54">
        <w:rPr>
          <w:rFonts w:cs="Arial" w:hint="cs"/>
          <w:rtl/>
        </w:rPr>
        <w:t>.</w:t>
      </w:r>
      <w:r w:rsidRPr="00AF3A54">
        <w:rPr>
          <w:rFonts w:cs="Arial"/>
          <w:rtl/>
        </w:rPr>
        <w:t xml:space="preserve"> הדין עם מי</w:t>
      </w:r>
      <w:r w:rsidRPr="00AF3A54">
        <w:rPr>
          <w:rFonts w:cs="Arial" w:hint="cs"/>
          <w:rtl/>
        </w:rPr>
        <w:t>,</w:t>
      </w:r>
      <w:r w:rsidRPr="00AF3A54">
        <w:rPr>
          <w:rFonts w:cs="Arial"/>
          <w:rtl/>
        </w:rPr>
        <w:t xml:space="preserve"> וכן אם באו לדין בטענות אלו בחייה והיא אומרת </w:t>
      </w:r>
      <w:r w:rsidRPr="00AF3A54">
        <w:rPr>
          <w:rFonts w:cs="Arial"/>
          <w:rtl/>
        </w:rPr>
        <w:lastRenderedPageBreak/>
        <w:t xml:space="preserve">כדברי האב מהו. </w:t>
      </w:r>
      <w:r w:rsidR="00FE210D">
        <w:rPr>
          <w:rFonts w:cs="Arial"/>
          <w:rtl/>
        </w:rPr>
        <w:t xml:space="preserve">      תשובה:</w:t>
      </w:r>
      <w:r w:rsidRPr="00AF3A54">
        <w:rPr>
          <w:rFonts w:cs="Arial"/>
          <w:rtl/>
        </w:rPr>
        <w:t xml:space="preserve"> כל שאין טוען בריא אלא שמא מן הבית לקחתן נראה פשוט שהדין עם האב</w:t>
      </w:r>
      <w:r w:rsidRPr="00AF3A54">
        <w:rPr>
          <w:rFonts w:cs="Arial" w:hint="cs"/>
          <w:rtl/>
        </w:rPr>
        <w:t>,</w:t>
      </w:r>
      <w:r w:rsidRPr="00AF3A54">
        <w:rPr>
          <w:rFonts w:cs="Arial"/>
          <w:rtl/>
        </w:rPr>
        <w:t xml:space="preserve"> ואפילו לאחר מיתה</w:t>
      </w:r>
      <w:r w:rsidRPr="00AF3A54">
        <w:rPr>
          <w:rFonts w:cs="Arial" w:hint="cs"/>
          <w:rtl/>
        </w:rPr>
        <w:t>,</w:t>
      </w:r>
      <w:r w:rsidRPr="00AF3A54">
        <w:rPr>
          <w:rFonts w:cs="Arial"/>
          <w:rtl/>
        </w:rPr>
        <w:t xml:space="preserve"> כל שכן בחייה שהיא טוענת בריא</w:t>
      </w:r>
      <w:r w:rsidRPr="00AF3A54">
        <w:rPr>
          <w:rFonts w:cs="Arial" w:hint="cs"/>
          <w:rtl/>
        </w:rPr>
        <w:t>,</w:t>
      </w:r>
      <w:r w:rsidRPr="00AF3A54">
        <w:rPr>
          <w:rFonts w:cs="Arial"/>
          <w:rtl/>
        </w:rPr>
        <w:t xml:space="preserve"> וכדתניא בפרק חזקת (נב:) האשה שהיתה נושאת ונותנת בתוך הבית והיו אונות ושטרות יוצאות על שמה ואמרה שלי הן מבית אבי אבא עליה להביא ראיה</w:t>
      </w:r>
      <w:r w:rsidRPr="00AF3A54">
        <w:rPr>
          <w:rFonts w:cs="Arial" w:hint="cs"/>
          <w:rtl/>
        </w:rPr>
        <w:t>,</w:t>
      </w:r>
      <w:r w:rsidRPr="00AF3A54">
        <w:rPr>
          <w:rFonts w:cs="Arial"/>
          <w:rtl/>
        </w:rPr>
        <w:t xml:space="preserve"> אלמא כל שיש נכסים ידועים שהיא מתעסקת בהם וטוענת שנכסים אחרים שאינם ידועים נפלו לה אינה נאמנת</w:t>
      </w:r>
      <w:r w:rsidRPr="00AF3A54">
        <w:rPr>
          <w:rFonts w:cs="Arial" w:hint="cs"/>
          <w:rtl/>
        </w:rPr>
        <w:t>,</w:t>
      </w:r>
      <w:r w:rsidRPr="00AF3A54">
        <w:rPr>
          <w:rFonts w:cs="Arial"/>
          <w:rtl/>
        </w:rPr>
        <w:t xml:space="preserve"> שכל שטוען דבר מחודש עליו הראיה</w:t>
      </w:r>
      <w:r w:rsidRPr="00AF3A54">
        <w:rPr>
          <w:rFonts w:cs="Arial" w:hint="cs"/>
          <w:rtl/>
        </w:rPr>
        <w:t>,</w:t>
      </w:r>
      <w:r w:rsidRPr="00AF3A54">
        <w:rPr>
          <w:rFonts w:cs="Arial"/>
          <w:rtl/>
        </w:rPr>
        <w:t xml:space="preserve"> והא נמי דכוותה</w:t>
      </w:r>
      <w:r w:rsidRPr="00AF3A54">
        <w:rPr>
          <w:rFonts w:cs="Arial" w:hint="cs"/>
          <w:rtl/>
        </w:rPr>
        <w:t>,</w:t>
      </w:r>
      <w:r w:rsidRPr="00AF3A54">
        <w:rPr>
          <w:rFonts w:cs="Arial"/>
          <w:rtl/>
        </w:rPr>
        <w:t xml:space="preserve"> וכל שכן</w:t>
      </w:r>
      <w:r w:rsidRPr="00AF3A54">
        <w:rPr>
          <w:rFonts w:cs="Arial" w:hint="cs"/>
          <w:rtl/>
        </w:rPr>
        <w:t>,</w:t>
      </w:r>
      <w:r w:rsidRPr="00AF3A54">
        <w:rPr>
          <w:rFonts w:cs="Arial"/>
          <w:rtl/>
        </w:rPr>
        <w:t xml:space="preserve"> דהתם שהשטרות שיוצאים על שמה מוציאין מחזקתה בטענה זו</w:t>
      </w:r>
      <w:r w:rsidRPr="00AF3A54">
        <w:rPr>
          <w:rFonts w:cs="Arial" w:hint="cs"/>
          <w:rtl/>
        </w:rPr>
        <w:t>,</w:t>
      </w:r>
      <w:r w:rsidRPr="00AF3A54">
        <w:rPr>
          <w:rFonts w:cs="Arial"/>
          <w:rtl/>
        </w:rPr>
        <w:t xml:space="preserve"> כל שכן כאן להעמיד על חזקתה</w:t>
      </w:r>
      <w:r w:rsidRPr="00AF3A54">
        <w:rPr>
          <w:rFonts w:cs="Arial" w:hint="cs"/>
          <w:rtl/>
        </w:rPr>
        <w:t>,</w:t>
      </w:r>
      <w:r w:rsidRPr="00AF3A54">
        <w:rPr>
          <w:rFonts w:cs="Arial"/>
          <w:rtl/>
        </w:rPr>
        <w:t xml:space="preserve"> שהרי יש בידה נכסים ידועים להתעסק שאינם לבעל והבעל שטוען שממה שבבית נטלה עליו להביא ראיה</w:t>
      </w:r>
      <w:r w:rsidRPr="00AF3A54">
        <w:rPr>
          <w:rFonts w:cs="Arial" w:hint="cs"/>
          <w:rtl/>
        </w:rPr>
        <w:t>,</w:t>
      </w:r>
      <w:r w:rsidRPr="00AF3A54">
        <w:rPr>
          <w:rFonts w:cs="Arial"/>
          <w:rtl/>
        </w:rPr>
        <w:t xml:space="preserve"> וכל שכן בטוען </w:t>
      </w:r>
      <w:r w:rsidRPr="00AF3A54">
        <w:rPr>
          <w:rFonts w:cs="Arial" w:hint="cs"/>
          <w:rtl/>
        </w:rPr>
        <w:t xml:space="preserve">בדבר </w:t>
      </w:r>
      <w:r w:rsidRPr="00AF3A54">
        <w:rPr>
          <w:rFonts w:cs="Arial"/>
          <w:rtl/>
        </w:rPr>
        <w:t>שאינו מצוי לומר אותם הראשונים נאבדו ואלו אחרים הם. ומאותה ברייתא דהיו אונות ושטרות יוצאים על שמה היה נראה לכאורה דאפילו בשטוען הבעל בריא</w:t>
      </w:r>
      <w:r w:rsidRPr="00AF3A54">
        <w:rPr>
          <w:rFonts w:cs="Arial" w:hint="cs"/>
          <w:rtl/>
        </w:rPr>
        <w:t>,</w:t>
      </w:r>
      <w:r w:rsidRPr="00AF3A54">
        <w:rPr>
          <w:rFonts w:cs="Arial"/>
          <w:rtl/>
        </w:rPr>
        <w:t xml:space="preserve"> ר"ל שטוען אני הפקדתי בידה מעות ובבריא שטרות אלו נעשו מאותן מעות</w:t>
      </w:r>
      <w:r w:rsidRPr="00AF3A54">
        <w:rPr>
          <w:rFonts w:cs="Arial" w:hint="cs"/>
          <w:rtl/>
        </w:rPr>
        <w:t>,</w:t>
      </w:r>
      <w:r w:rsidRPr="00AF3A54">
        <w:rPr>
          <w:rFonts w:cs="Arial"/>
          <w:rtl/>
        </w:rPr>
        <w:t xml:space="preserve"> אינו נאמן</w:t>
      </w:r>
      <w:r w:rsidRPr="00AF3A54">
        <w:rPr>
          <w:rFonts w:cs="Arial" w:hint="cs"/>
          <w:rtl/>
        </w:rPr>
        <w:t>,</w:t>
      </w:r>
      <w:r w:rsidRPr="00AF3A54">
        <w:rPr>
          <w:rFonts w:cs="Arial"/>
          <w:rtl/>
        </w:rPr>
        <w:t xml:space="preserve"> דהא באשה שהיו אונות ושטרות יוצאות על שמה בריא היא טוענת</w:t>
      </w:r>
      <w:r w:rsidRPr="00AF3A54">
        <w:rPr>
          <w:rFonts w:cs="Arial" w:hint="cs"/>
          <w:rtl/>
        </w:rPr>
        <w:t>,</w:t>
      </w:r>
      <w:r w:rsidRPr="00AF3A54">
        <w:rPr>
          <w:rFonts w:cs="Arial"/>
          <w:rtl/>
        </w:rPr>
        <w:t xml:space="preserve"> ואפילו הכי אינה נאמנת עד שתביא ראיה</w:t>
      </w:r>
      <w:r w:rsidRPr="00AF3A54">
        <w:rPr>
          <w:rFonts w:cs="Arial" w:hint="cs"/>
          <w:rtl/>
        </w:rPr>
        <w:t>.</w:t>
      </w:r>
      <w:r w:rsidRPr="00AF3A54">
        <w:rPr>
          <w:rFonts w:cs="Arial"/>
          <w:rtl/>
        </w:rPr>
        <w:t xml:space="preserve"> אלא שאני חוכך בזה מעט הואיל ויש לבעל נכסים שהיה יכול למסור בידה ואעפ</w:t>
      </w:r>
      <w:r w:rsidR="00133042">
        <w:rPr>
          <w:rFonts w:cs="Arial" w:hint="cs"/>
          <w:rtl/>
        </w:rPr>
        <w:t>"</w:t>
      </w:r>
      <w:r w:rsidRPr="00AF3A54">
        <w:rPr>
          <w:rFonts w:cs="Arial"/>
          <w:rtl/>
        </w:rPr>
        <w:t>כ נראה גם בזה שעל הבעל להביא ראיה</w:t>
      </w:r>
      <w:r w:rsidR="00133042">
        <w:rPr>
          <w:rFonts w:cs="Arial" w:hint="cs"/>
          <w:rtl/>
        </w:rPr>
        <w:t>..</w:t>
      </w:r>
      <w:r w:rsidRPr="00AF3A54">
        <w:rPr>
          <w:rFonts w:cs="Arial"/>
          <w:rtl/>
        </w:rPr>
        <w:t xml:space="preserve">. </w:t>
      </w:r>
    </w:p>
    <w:p w14:paraId="7A64AB5A" w14:textId="2E9F1B31" w:rsidR="00E71C24" w:rsidRPr="00E71C24" w:rsidRDefault="00E71C24" w:rsidP="00E71C24">
      <w:pPr>
        <w:rPr>
          <w:rFonts w:cs="Arial"/>
          <w:u w:val="single"/>
        </w:rPr>
      </w:pPr>
      <w:r w:rsidRPr="00E71C24">
        <w:rPr>
          <w:rFonts w:cs="Arial"/>
          <w:u w:val="single"/>
          <w:rtl/>
        </w:rPr>
        <w:t>ראובן מתה אשתו</w:t>
      </w:r>
      <w:r w:rsidRPr="00E71C24">
        <w:rPr>
          <w:rFonts w:cs="Arial" w:hint="cs"/>
          <w:u w:val="single"/>
          <w:rtl/>
        </w:rPr>
        <w:t>,</w:t>
      </w:r>
      <w:r w:rsidRPr="00E71C24">
        <w:rPr>
          <w:rFonts w:cs="Arial"/>
          <w:u w:val="single"/>
          <w:rtl/>
        </w:rPr>
        <w:t xml:space="preserve"> ויש בידו שטרי חוב יוצאים על שמה</w:t>
      </w:r>
      <w:r w:rsidRPr="00E71C24">
        <w:rPr>
          <w:rFonts w:cs="Arial" w:hint="cs"/>
          <w:u w:val="single"/>
          <w:rtl/>
        </w:rPr>
        <w:t xml:space="preserve">, הוא טוען ששלו הם וכתבם על שמה, והיורשים </w:t>
      </w:r>
      <w:r>
        <w:rPr>
          <w:rFonts w:cs="Arial" w:hint="cs"/>
          <w:u w:val="single"/>
          <w:rtl/>
        </w:rPr>
        <w:t>חולקים</w:t>
      </w:r>
      <w:r w:rsidRPr="00E71C24">
        <w:rPr>
          <w:rFonts w:cs="Arial" w:hint="cs"/>
          <w:u w:val="single"/>
          <w:rtl/>
        </w:rPr>
        <w:t>:</w:t>
      </w:r>
    </w:p>
    <w:p w14:paraId="52B7ABDC" w14:textId="62187E9D" w:rsidR="00844CBF" w:rsidRDefault="00844CBF" w:rsidP="009000E3">
      <w:pPr>
        <w:pStyle w:val="ab"/>
        <w:numPr>
          <w:ilvl w:val="0"/>
          <w:numId w:val="51"/>
        </w:numPr>
        <w:rPr>
          <w:rFonts w:cs="Arial"/>
        </w:rPr>
      </w:pPr>
      <w:r w:rsidRPr="00AF3A54">
        <w:rPr>
          <w:rFonts w:cs="Arial" w:hint="cs"/>
          <w:rtl/>
        </w:rPr>
        <w:t>רשב"א</w:t>
      </w:r>
      <w:r w:rsidRPr="00AF3A54">
        <w:rPr>
          <w:rFonts w:cs="Arial"/>
          <w:rtl/>
        </w:rPr>
        <w:t xml:space="preserve"> </w:t>
      </w:r>
      <w:r w:rsidRPr="00AF3A54">
        <w:rPr>
          <w:rFonts w:cs="Arial"/>
          <w:sz w:val="16"/>
          <w:szCs w:val="16"/>
          <w:rtl/>
        </w:rPr>
        <w:t>(ח"ג סי' קצג)</w:t>
      </w:r>
      <w:r w:rsidRPr="00AF3A54">
        <w:rPr>
          <w:rFonts w:cs="Arial" w:hint="cs"/>
          <w:rtl/>
        </w:rPr>
        <w:t>-</w:t>
      </w:r>
      <w:r w:rsidRPr="00AF3A54">
        <w:rPr>
          <w:rFonts w:cs="Arial"/>
          <w:rtl/>
        </w:rPr>
        <w:t xml:space="preserve"> שאלת</w:t>
      </w:r>
      <w:r w:rsidR="00E71C24">
        <w:rPr>
          <w:rFonts w:cs="Arial" w:hint="cs"/>
          <w:rtl/>
        </w:rPr>
        <w:t>:</w:t>
      </w:r>
      <w:r w:rsidRPr="00AF3A54">
        <w:rPr>
          <w:rFonts w:cs="Arial"/>
          <w:rtl/>
        </w:rPr>
        <w:t xml:space="preserve"> ראובן מתה אשתו בלא בנים</w:t>
      </w:r>
      <w:r w:rsidR="00E71C24">
        <w:rPr>
          <w:rFonts w:cs="Arial" w:hint="cs"/>
          <w:rtl/>
        </w:rPr>
        <w:t>,</w:t>
      </w:r>
      <w:r w:rsidRPr="00AF3A54">
        <w:rPr>
          <w:rFonts w:cs="Arial"/>
          <w:rtl/>
        </w:rPr>
        <w:t xml:space="preserve"> ויש בידו הרבה שטרי חוב יוצאים על שמה</w:t>
      </w:r>
      <w:r>
        <w:rPr>
          <w:rFonts w:cs="Arial" w:hint="cs"/>
          <w:rtl/>
        </w:rPr>
        <w:t>.</w:t>
      </w:r>
      <w:r w:rsidRPr="00AF3A54">
        <w:rPr>
          <w:rFonts w:cs="Arial"/>
          <w:rtl/>
        </w:rPr>
        <w:t xml:space="preserve"> וקרוביה תובעים מהבעל אותם שטרי חוב</w:t>
      </w:r>
      <w:r>
        <w:rPr>
          <w:rFonts w:cs="Arial" w:hint="cs"/>
          <w:rtl/>
        </w:rPr>
        <w:t>,</w:t>
      </w:r>
      <w:r w:rsidRPr="00AF3A54">
        <w:rPr>
          <w:rFonts w:cs="Arial"/>
          <w:rtl/>
        </w:rPr>
        <w:t xml:space="preserve"> שאפילו שהבעל יורש את אשתו אינו יורש בראוי ומלוה ראויה היא אצל הבעל</w:t>
      </w:r>
      <w:r>
        <w:rPr>
          <w:rFonts w:cs="Arial" w:hint="cs"/>
          <w:rtl/>
        </w:rPr>
        <w:t>.</w:t>
      </w:r>
      <w:r w:rsidRPr="00AF3A54">
        <w:rPr>
          <w:rFonts w:cs="Arial"/>
          <w:rtl/>
        </w:rPr>
        <w:t xml:space="preserve"> והבעל טוען שמנכסיו נעשו שהיתה מלוה משלו וכותב בשמה</w:t>
      </w:r>
      <w:r>
        <w:rPr>
          <w:rFonts w:cs="Arial" w:hint="cs"/>
          <w:rtl/>
        </w:rPr>
        <w:t>.</w:t>
      </w:r>
      <w:r w:rsidRPr="00AF3A54">
        <w:rPr>
          <w:rFonts w:cs="Arial"/>
          <w:rtl/>
        </w:rPr>
        <w:t xml:space="preserve"> והקרובים אומרים לא כי אלא היא מתנה שנתנו לה ע"מ שאין לבעל רשות בהם. </w:t>
      </w:r>
      <w:r w:rsidR="00E71C24">
        <w:rPr>
          <w:rFonts w:cs="Arial" w:hint="cs"/>
          <w:rtl/>
        </w:rPr>
        <w:t xml:space="preserve">     </w:t>
      </w:r>
      <w:r w:rsidRPr="00AF3A54">
        <w:rPr>
          <w:rFonts w:cs="Arial"/>
          <w:rtl/>
        </w:rPr>
        <w:t>תשובה</w:t>
      </w:r>
      <w:r w:rsidR="00E71C24">
        <w:rPr>
          <w:rFonts w:cs="Arial" w:hint="cs"/>
          <w:rtl/>
        </w:rPr>
        <w:t>:</w:t>
      </w:r>
      <w:r w:rsidRPr="00AF3A54">
        <w:rPr>
          <w:rFonts w:cs="Arial"/>
          <w:rtl/>
        </w:rPr>
        <w:t xml:space="preserve"> נראה לי שאין כאן עסק לאותו דין שנחלקו בו גדולי הדורות במלוה אם היא ראויה לבעל</w:t>
      </w:r>
      <w:r>
        <w:rPr>
          <w:rFonts w:cs="Arial" w:hint="cs"/>
          <w:rtl/>
        </w:rPr>
        <w:t>,</w:t>
      </w:r>
      <w:r w:rsidRPr="00AF3A54">
        <w:rPr>
          <w:rFonts w:cs="Arial"/>
          <w:rtl/>
        </w:rPr>
        <w:t xml:space="preserve"> דלא נאמרו דברים הללו אלא במעות מגולין וידועין שאין עסק לבעל בהם כגון שנתנו לה במתנה על מנת שאין לבעל בהם כלום</w:t>
      </w:r>
      <w:r>
        <w:rPr>
          <w:rFonts w:cs="Arial" w:hint="cs"/>
          <w:rtl/>
        </w:rPr>
        <w:t>,</w:t>
      </w:r>
      <w:r w:rsidRPr="00AF3A54">
        <w:rPr>
          <w:rFonts w:cs="Arial"/>
          <w:rtl/>
        </w:rPr>
        <w:t xml:space="preserve"> אי נמי בשטרי חוב שנפלו להם מבית אביה</w:t>
      </w:r>
      <w:r>
        <w:rPr>
          <w:rFonts w:cs="Arial" w:hint="cs"/>
          <w:rtl/>
        </w:rPr>
        <w:t>,</w:t>
      </w:r>
      <w:r w:rsidRPr="00AF3A54">
        <w:rPr>
          <w:rFonts w:cs="Arial"/>
          <w:rtl/>
        </w:rPr>
        <w:t xml:space="preserve"> אי נמי שחייב לה אחר עצמו במנה</w:t>
      </w:r>
      <w:r>
        <w:rPr>
          <w:rFonts w:cs="Arial" w:hint="cs"/>
          <w:rtl/>
        </w:rPr>
        <w:t>,</w:t>
      </w:r>
      <w:r w:rsidRPr="00AF3A54">
        <w:rPr>
          <w:rFonts w:cs="Arial"/>
          <w:rtl/>
        </w:rPr>
        <w:t xml:space="preserve"> אבל כאן דרך אחר יש לו שכל מה שיש לאשה בחזקת הבעל הוא עד שתביא ראיה לדבריה וכדתניא וכן האשה שהיתה נושאת ונותנת בתוך הבית והיו אונות ושטרות יוצאים על שמה וכו'</w:t>
      </w:r>
      <w:r>
        <w:rPr>
          <w:rFonts w:cs="Arial" w:hint="cs"/>
          <w:rtl/>
        </w:rPr>
        <w:t>.</w:t>
      </w:r>
      <w:r w:rsidRPr="00AF3A54">
        <w:rPr>
          <w:rFonts w:cs="Arial"/>
          <w:rtl/>
        </w:rPr>
        <w:t xml:space="preserve"> ואל תשיבני דכשמתה אין יורשיה צריכין להביא ראיה וטוענים להם וכדאיתא התם אמר שמואל מודה לי אבא שאם מת על האחים להביא ראיה</w:t>
      </w:r>
      <w:r>
        <w:rPr>
          <w:rFonts w:cs="Arial" w:hint="cs"/>
          <w:rtl/>
        </w:rPr>
        <w:t>,</w:t>
      </w:r>
      <w:r w:rsidRPr="00AF3A54">
        <w:rPr>
          <w:rFonts w:cs="Arial"/>
          <w:rtl/>
        </w:rPr>
        <w:t xml:space="preserve"> דהתם שאני שאין האחים והיתומים טוענים בריא אבל כאן הבעל טוען בריא</w:t>
      </w:r>
      <w:r>
        <w:rPr>
          <w:rFonts w:cs="Arial" w:hint="cs"/>
          <w:rtl/>
        </w:rPr>
        <w:t>,</w:t>
      </w:r>
      <w:r w:rsidRPr="00AF3A54">
        <w:rPr>
          <w:rFonts w:cs="Arial"/>
          <w:rtl/>
        </w:rPr>
        <w:t xml:space="preserve"> ועוד דהכא שאני שהיא אשה היושבת תחת בעלה וכל אשר בידה או שקנתה או הלותה בחזקת הבעל הוא ואפילו מו הסתם וכל שכן כשהבעל טוען בריא</w:t>
      </w:r>
      <w:r>
        <w:rPr>
          <w:rStyle w:val="a7"/>
          <w:rFonts w:cs="Arial"/>
          <w:rtl/>
        </w:rPr>
        <w:footnoteReference w:id="1068"/>
      </w:r>
      <w:r w:rsidRPr="00AF3A54">
        <w:rPr>
          <w:rFonts w:cs="Arial"/>
          <w:rtl/>
        </w:rPr>
        <w:t>.</w:t>
      </w:r>
      <w:r>
        <w:rPr>
          <w:rFonts w:cs="Arial" w:hint="cs"/>
          <w:rtl/>
        </w:rPr>
        <w:t>.. ו</w:t>
      </w:r>
      <w:r w:rsidRPr="00F464F2">
        <w:rPr>
          <w:rFonts w:cs="Arial"/>
          <w:rtl/>
        </w:rPr>
        <w:t xml:space="preserve">אילו תפס הבעל שטר של מלוה שידוע שנפלה לה מבית אביה וכיוצא בזה אינו נאמן לומר במשכון בא לידי ואפילו בשבועה. </w:t>
      </w:r>
    </w:p>
    <w:p w14:paraId="2C3E464C" w14:textId="77FAB8A6" w:rsidR="00C9767B" w:rsidRPr="00F6735C" w:rsidRDefault="00C9767B" w:rsidP="00C9767B">
      <w:pPr>
        <w:rPr>
          <w:rFonts w:cs="Arial"/>
          <w:u w:val="single"/>
        </w:rPr>
      </w:pPr>
      <w:r w:rsidRPr="00F6735C">
        <w:rPr>
          <w:rFonts w:cs="Arial" w:hint="cs"/>
          <w:u w:val="single"/>
          <w:rtl/>
        </w:rPr>
        <w:t xml:space="preserve">בן שהוציא הוצאות על אביו החולה, ונמצאים בידו מטלטלין של אשת אביו </w:t>
      </w:r>
      <w:r w:rsidR="00F97626">
        <w:rPr>
          <w:rFonts w:cs="Arial"/>
          <w:u w:val="single"/>
          <w:rtl/>
        </w:rPr>
        <w:t>-</w:t>
      </w:r>
      <w:r w:rsidRPr="00F6735C">
        <w:rPr>
          <w:rFonts w:cs="Arial" w:hint="cs"/>
          <w:u w:val="single"/>
          <w:rtl/>
        </w:rPr>
        <w:t xml:space="preserve"> האם יכול למכרם בעד הוצאותיו:</w:t>
      </w:r>
    </w:p>
    <w:p w14:paraId="6C1B8E86" w14:textId="036D83FE" w:rsidR="00C9767B" w:rsidRDefault="00C9767B" w:rsidP="009000E3">
      <w:pPr>
        <w:pStyle w:val="ab"/>
        <w:numPr>
          <w:ilvl w:val="0"/>
          <w:numId w:val="61"/>
        </w:numPr>
        <w:rPr>
          <w:rFonts w:cs="Arial"/>
        </w:rPr>
      </w:pPr>
      <w:r w:rsidRPr="00761C13">
        <w:rPr>
          <w:rFonts w:cs="Arial"/>
          <w:rtl/>
        </w:rPr>
        <w:t xml:space="preserve">רשב"א </w:t>
      </w:r>
      <w:r w:rsidRPr="00761C13">
        <w:rPr>
          <w:rFonts w:cs="Arial"/>
          <w:sz w:val="16"/>
          <w:szCs w:val="16"/>
          <w:rtl/>
        </w:rPr>
        <w:t>(</w:t>
      </w:r>
      <w:r w:rsidRPr="00761C13">
        <w:rPr>
          <w:rFonts w:cs="Arial" w:hint="cs"/>
          <w:sz w:val="16"/>
          <w:szCs w:val="16"/>
          <w:rtl/>
        </w:rPr>
        <w:t>ב</w:t>
      </w:r>
      <w:r w:rsidRPr="00761C13">
        <w:rPr>
          <w:rFonts w:cs="Arial"/>
          <w:sz w:val="16"/>
          <w:szCs w:val="16"/>
          <w:rtl/>
        </w:rPr>
        <w:t>מיוחסות סי' סד</w:t>
      </w:r>
      <w:r>
        <w:rPr>
          <w:rFonts w:cs="Arial" w:hint="cs"/>
          <w:sz w:val="16"/>
          <w:szCs w:val="16"/>
          <w:rtl/>
        </w:rPr>
        <w:t>, הביאה הב"י כאן ובסי' פו</w:t>
      </w:r>
      <w:r w:rsidRPr="00761C13">
        <w:rPr>
          <w:rFonts w:cs="Arial"/>
          <w:sz w:val="16"/>
          <w:szCs w:val="16"/>
          <w:rtl/>
        </w:rPr>
        <w:t>)</w:t>
      </w:r>
      <w:r w:rsidRPr="00761C13">
        <w:rPr>
          <w:rFonts w:cs="Arial" w:hint="cs"/>
          <w:rtl/>
        </w:rPr>
        <w:t>-</w:t>
      </w:r>
      <w:r w:rsidRPr="00761C13">
        <w:rPr>
          <w:rFonts w:cs="Arial"/>
          <w:rtl/>
        </w:rPr>
        <w:t xml:space="preserve"> שאלת</w:t>
      </w:r>
      <w:r w:rsidRPr="00761C13">
        <w:rPr>
          <w:rFonts w:cs="Arial" w:hint="cs"/>
          <w:rtl/>
        </w:rPr>
        <w:t>,</w:t>
      </w:r>
      <w:r w:rsidRPr="00761C13">
        <w:rPr>
          <w:rFonts w:cs="Arial"/>
          <w:rtl/>
        </w:rPr>
        <w:t xml:space="preserve"> בראובן שחלה</w:t>
      </w:r>
      <w:r>
        <w:rPr>
          <w:rFonts w:cs="Arial" w:hint="cs"/>
          <w:rtl/>
        </w:rPr>
        <w:t>,</w:t>
      </w:r>
      <w:r w:rsidRPr="00761C13">
        <w:rPr>
          <w:rFonts w:cs="Arial"/>
          <w:rtl/>
        </w:rPr>
        <w:t xml:space="preserve"> והביאו חנוך בנו לתוך ביתו וסיפק צרכיו</w:t>
      </w:r>
      <w:r>
        <w:rPr>
          <w:rFonts w:cs="Arial" w:hint="cs"/>
          <w:rtl/>
        </w:rPr>
        <w:t>,</w:t>
      </w:r>
      <w:r w:rsidRPr="00761C13">
        <w:rPr>
          <w:rFonts w:cs="Arial"/>
          <w:rtl/>
        </w:rPr>
        <w:t xml:space="preserve"> ומת</w:t>
      </w:r>
      <w:r>
        <w:rPr>
          <w:rFonts w:cs="Arial" w:hint="cs"/>
          <w:rtl/>
        </w:rPr>
        <w:t>,</w:t>
      </w:r>
      <w:r w:rsidRPr="00761C13">
        <w:rPr>
          <w:rFonts w:cs="Arial"/>
          <w:rtl/>
        </w:rPr>
        <w:t xml:space="preserve"> וקברו</w:t>
      </w:r>
      <w:r>
        <w:rPr>
          <w:rFonts w:cs="Arial" w:hint="cs"/>
          <w:rtl/>
        </w:rPr>
        <w:t>.</w:t>
      </w:r>
      <w:r w:rsidRPr="00761C13">
        <w:rPr>
          <w:rFonts w:cs="Arial"/>
          <w:rtl/>
        </w:rPr>
        <w:t xml:space="preserve"> ולאה אשתו של ראובן הפקידה מטלטלין ביד חנוך</w:t>
      </w:r>
      <w:r>
        <w:rPr>
          <w:rFonts w:cs="Arial" w:hint="cs"/>
          <w:rtl/>
        </w:rPr>
        <w:t>,</w:t>
      </w:r>
      <w:r w:rsidRPr="00761C13">
        <w:rPr>
          <w:rFonts w:cs="Arial"/>
          <w:rtl/>
        </w:rPr>
        <w:t xml:space="preserve"> ועכשיו תובעת אותם ממנו</w:t>
      </w:r>
      <w:r>
        <w:rPr>
          <w:rFonts w:cs="Arial" w:hint="cs"/>
          <w:rtl/>
        </w:rPr>
        <w:t>.</w:t>
      </w:r>
      <w:r w:rsidRPr="00761C13">
        <w:rPr>
          <w:rFonts w:cs="Arial"/>
          <w:rtl/>
        </w:rPr>
        <w:t xml:space="preserve"> השיב חנוך אני הוצאתי הוצאות על אבי ועל קבורתו ועל תכריכיו ואני תופס אותם בשביל אותם הוצאות</w:t>
      </w:r>
      <w:r>
        <w:rPr>
          <w:rFonts w:cs="Arial" w:hint="cs"/>
          <w:rtl/>
        </w:rPr>
        <w:t>.</w:t>
      </w:r>
      <w:r w:rsidRPr="00761C13">
        <w:rPr>
          <w:rFonts w:cs="Arial"/>
          <w:rtl/>
        </w:rPr>
        <w:t xml:space="preserve"> טענה לאה אותם מטלטלין שלי היו ואין לך לתפוס בשלי</w:t>
      </w:r>
      <w:r>
        <w:rPr>
          <w:rFonts w:cs="Arial" w:hint="cs"/>
          <w:rtl/>
        </w:rPr>
        <w:t>.</w:t>
      </w:r>
      <w:r w:rsidRPr="00761C13">
        <w:rPr>
          <w:rFonts w:cs="Arial"/>
          <w:rtl/>
        </w:rPr>
        <w:t xml:space="preserve"> השיב חנוך איני יודע שהן שלך</w:t>
      </w:r>
      <w:r>
        <w:rPr>
          <w:rFonts w:cs="Arial" w:hint="cs"/>
          <w:rtl/>
        </w:rPr>
        <w:t>,</w:t>
      </w:r>
      <w:r w:rsidRPr="00761C13">
        <w:rPr>
          <w:rFonts w:cs="Arial"/>
          <w:rtl/>
        </w:rPr>
        <w:t xml:space="preserve"> מה שקנתה אשה קנה בעלה. </w:t>
      </w:r>
      <w:r w:rsidRPr="00761C13">
        <w:rPr>
          <w:rFonts w:cs="Arial" w:hint="cs"/>
          <w:rtl/>
        </w:rPr>
        <w:t xml:space="preserve">    </w:t>
      </w:r>
      <w:r w:rsidR="00FE210D">
        <w:rPr>
          <w:rFonts w:cs="Arial"/>
          <w:rtl/>
        </w:rPr>
        <w:t xml:space="preserve">      תשובה:</w:t>
      </w:r>
      <w:r w:rsidRPr="00761C13">
        <w:rPr>
          <w:rFonts w:cs="Arial"/>
          <w:rtl/>
        </w:rPr>
        <w:t xml:space="preserve"> הדין עם לאה מכמה טעמים</w:t>
      </w:r>
      <w:r>
        <w:rPr>
          <w:rFonts w:cs="Arial" w:hint="cs"/>
          <w:rtl/>
        </w:rPr>
        <w:t>.</w:t>
      </w:r>
      <w:r w:rsidRPr="00761C13">
        <w:rPr>
          <w:rFonts w:cs="Arial"/>
          <w:rtl/>
        </w:rPr>
        <w:t xml:space="preserve"> כי מה שטענה שהמטלטלים שלה </w:t>
      </w:r>
      <w:r>
        <w:rPr>
          <w:rFonts w:cs="Arial" w:hint="cs"/>
          <w:rtl/>
        </w:rPr>
        <w:t xml:space="preserve">- </w:t>
      </w:r>
      <w:r w:rsidRPr="00761C13">
        <w:rPr>
          <w:rFonts w:cs="Arial"/>
          <w:rtl/>
        </w:rPr>
        <w:t>נאמנת וצריך להחזיר לה ואפילו היה הבעל קיים</w:t>
      </w:r>
      <w:r>
        <w:rPr>
          <w:rFonts w:cs="Arial" w:hint="cs"/>
          <w:rtl/>
        </w:rPr>
        <w:t xml:space="preserve">, </w:t>
      </w:r>
      <w:r w:rsidRPr="00761C13">
        <w:rPr>
          <w:rFonts w:cs="Arial"/>
          <w:rtl/>
        </w:rPr>
        <w:t>וכדתניא בפרק חזקת (ב"ב נא:) קיבל מן האשה יחזיר לאשה</w:t>
      </w:r>
      <w:r>
        <w:rPr>
          <w:rFonts w:cs="Arial" w:hint="cs"/>
          <w:rtl/>
        </w:rPr>
        <w:t>,</w:t>
      </w:r>
      <w:r w:rsidRPr="00761C13">
        <w:rPr>
          <w:rFonts w:cs="Arial"/>
          <w:rtl/>
        </w:rPr>
        <w:t xml:space="preserve"> וזה אינו יודע שאינם שלה שיתפוס בהם</w:t>
      </w:r>
      <w:r>
        <w:rPr>
          <w:rFonts w:cs="Arial" w:hint="cs"/>
          <w:rtl/>
        </w:rPr>
        <w:t>,</w:t>
      </w:r>
      <w:r w:rsidRPr="00761C13">
        <w:rPr>
          <w:rFonts w:cs="Arial"/>
          <w:rtl/>
        </w:rPr>
        <w:t xml:space="preserve"> אלא איני יודע שהן שלך טען</w:t>
      </w:r>
      <w:r>
        <w:rPr>
          <w:rFonts w:cs="Arial" w:hint="cs"/>
          <w:rtl/>
        </w:rPr>
        <w:t>.</w:t>
      </w:r>
      <w:r w:rsidRPr="00761C13">
        <w:rPr>
          <w:rFonts w:cs="Arial"/>
          <w:rtl/>
        </w:rPr>
        <w:t xml:space="preserve"> ומה שקנתה אשה קנה בעלה שטען</w:t>
      </w:r>
      <w:r>
        <w:rPr>
          <w:rFonts w:cs="Arial" w:hint="cs"/>
          <w:rtl/>
        </w:rPr>
        <w:t>,</w:t>
      </w:r>
      <w:r w:rsidRPr="00761C13">
        <w:rPr>
          <w:rFonts w:cs="Arial"/>
          <w:rtl/>
        </w:rPr>
        <w:t xml:space="preserve"> אינו כלום</w:t>
      </w:r>
      <w:r>
        <w:rPr>
          <w:rFonts w:cs="Arial" w:hint="cs"/>
          <w:rtl/>
        </w:rPr>
        <w:t>,</w:t>
      </w:r>
      <w:r w:rsidRPr="00761C13">
        <w:rPr>
          <w:rFonts w:cs="Arial"/>
          <w:rtl/>
        </w:rPr>
        <w:t xml:space="preserve"> כי שמא נתנו לה אחרים על מנת שאין לבעלה רשות בהם</w:t>
      </w:r>
      <w:r>
        <w:rPr>
          <w:rFonts w:cs="Arial" w:hint="cs"/>
          <w:rtl/>
        </w:rPr>
        <w:t>,</w:t>
      </w:r>
      <w:r w:rsidRPr="00761C13">
        <w:rPr>
          <w:rFonts w:cs="Arial"/>
          <w:rtl/>
        </w:rPr>
        <w:t xml:space="preserve"> והיינו דאמרינן בפרק חזקת קיבל מן האשה יחזיר לאשה</w:t>
      </w:r>
      <w:r>
        <w:rPr>
          <w:rFonts w:cs="Arial" w:hint="cs"/>
          <w:rtl/>
        </w:rPr>
        <w:t>.</w:t>
      </w:r>
      <w:r w:rsidRPr="00761C13">
        <w:rPr>
          <w:rFonts w:cs="Arial"/>
          <w:rtl/>
        </w:rPr>
        <w:t xml:space="preserve"> ועוד דמה שקנתה אשה לא קנה בעלה אלא לפירות</w:t>
      </w:r>
      <w:r>
        <w:rPr>
          <w:rFonts w:cs="Arial" w:hint="cs"/>
          <w:rtl/>
        </w:rPr>
        <w:t>,</w:t>
      </w:r>
      <w:r w:rsidRPr="00761C13">
        <w:rPr>
          <w:rFonts w:cs="Arial"/>
          <w:rtl/>
        </w:rPr>
        <w:t xml:space="preserve"> והרי הוא כנכסי מלוג</w:t>
      </w:r>
      <w:r>
        <w:rPr>
          <w:rFonts w:cs="Arial" w:hint="cs"/>
          <w:rtl/>
        </w:rPr>
        <w:t>,</w:t>
      </w:r>
      <w:r w:rsidRPr="00761C13">
        <w:rPr>
          <w:rFonts w:cs="Arial"/>
          <w:rtl/>
        </w:rPr>
        <w:t xml:space="preserve"> ואם מת הבעל הרי הם שלה לגמרי</w:t>
      </w:r>
      <w:r>
        <w:rPr>
          <w:rFonts w:cs="Arial" w:hint="cs"/>
          <w:rtl/>
        </w:rPr>
        <w:t>.</w:t>
      </w:r>
      <w:r w:rsidRPr="00761C13">
        <w:rPr>
          <w:rFonts w:cs="Arial"/>
          <w:rtl/>
        </w:rPr>
        <w:t xml:space="preserve"> ולא עוד אלא אפילו מטלטלין דאב שנטלן חנוך והוציא הוצאות על אביו ואפילו בצרכי קבורתו</w:t>
      </w:r>
      <w:r>
        <w:rPr>
          <w:rFonts w:cs="Arial" w:hint="cs"/>
          <w:rtl/>
        </w:rPr>
        <w:t>,</w:t>
      </w:r>
      <w:r w:rsidRPr="00761C13">
        <w:rPr>
          <w:rFonts w:cs="Arial"/>
          <w:rtl/>
        </w:rPr>
        <w:t xml:space="preserve"> אם כתב ראובן לאשה מטלטלי אגב מקרקעי האשה מוציאה מידו ואפילו היה מוטל לפניה</w:t>
      </w:r>
      <w:r>
        <w:rPr>
          <w:rFonts w:cs="Arial" w:hint="cs"/>
          <w:rtl/>
        </w:rPr>
        <w:t>.</w:t>
      </w:r>
      <w:r w:rsidRPr="00761C13">
        <w:rPr>
          <w:rFonts w:cs="Arial"/>
          <w:rtl/>
        </w:rPr>
        <w:t xml:space="preserve"> רצתה היא גובה כתובתה והוא נקבר מן הצדקה וכדתניא בתוספתא דכתובות (פ"ט ה"ד)</w:t>
      </w:r>
      <w:r>
        <w:rPr>
          <w:rStyle w:val="a7"/>
          <w:rFonts w:cs="Arial"/>
          <w:rtl/>
        </w:rPr>
        <w:footnoteReference w:id="1069"/>
      </w:r>
      <w:r w:rsidRPr="00761C13">
        <w:rPr>
          <w:rFonts w:cs="Arial"/>
          <w:rtl/>
        </w:rPr>
        <w:t xml:space="preserve">. </w:t>
      </w:r>
    </w:p>
    <w:p w14:paraId="4E4BA1E4" w14:textId="77777777" w:rsidR="00844CBF" w:rsidRPr="009947D1" w:rsidRDefault="00844CBF" w:rsidP="00844CBF">
      <w:pPr>
        <w:rPr>
          <w:rFonts w:cs="Arial"/>
          <w:u w:val="single"/>
        </w:rPr>
      </w:pPr>
      <w:r w:rsidRPr="009947D1">
        <w:rPr>
          <w:rFonts w:cs="Arial" w:hint="cs"/>
          <w:u w:val="single"/>
          <w:rtl/>
        </w:rPr>
        <w:t>אדם שמחזיק בחפץ של אשה וטוען שהוא אצל</w:t>
      </w:r>
      <w:r>
        <w:rPr>
          <w:rFonts w:cs="Arial" w:hint="cs"/>
          <w:u w:val="single"/>
          <w:rtl/>
        </w:rPr>
        <w:t>ו</w:t>
      </w:r>
      <w:r w:rsidRPr="009947D1">
        <w:rPr>
          <w:rFonts w:cs="Arial" w:hint="cs"/>
          <w:u w:val="single"/>
          <w:rtl/>
        </w:rPr>
        <w:t xml:space="preserve"> מכח בעלה:</w:t>
      </w:r>
    </w:p>
    <w:p w14:paraId="6C6BCD99" w14:textId="3DC4308E" w:rsidR="00183279" w:rsidRPr="00844CBF" w:rsidRDefault="00844CBF" w:rsidP="009000E3">
      <w:pPr>
        <w:pStyle w:val="ab"/>
        <w:numPr>
          <w:ilvl w:val="0"/>
          <w:numId w:val="51"/>
        </w:numPr>
        <w:rPr>
          <w:rFonts w:cs="Arial"/>
          <w:rtl/>
        </w:rPr>
      </w:pPr>
      <w:r w:rsidRPr="009947D1">
        <w:rPr>
          <w:rFonts w:cs="Arial"/>
          <w:rtl/>
        </w:rPr>
        <w:lastRenderedPageBreak/>
        <w:t xml:space="preserve">מרדכי </w:t>
      </w:r>
      <w:r w:rsidRPr="009947D1">
        <w:rPr>
          <w:rFonts w:cs="Arial" w:hint="cs"/>
          <w:sz w:val="16"/>
          <w:szCs w:val="16"/>
          <w:rtl/>
        </w:rPr>
        <w:t>(</w:t>
      </w:r>
      <w:r w:rsidRPr="009947D1">
        <w:rPr>
          <w:rFonts w:cs="Arial"/>
          <w:sz w:val="16"/>
          <w:szCs w:val="16"/>
          <w:rtl/>
        </w:rPr>
        <w:t>פרק האשה כתובות סי' רז)</w:t>
      </w:r>
      <w:r w:rsidRPr="009947D1">
        <w:rPr>
          <w:rFonts w:cs="Arial" w:hint="cs"/>
          <w:rtl/>
        </w:rPr>
        <w:t>-</w:t>
      </w:r>
      <w:r w:rsidRPr="009947D1">
        <w:rPr>
          <w:rFonts w:cs="Arial"/>
          <w:rtl/>
        </w:rPr>
        <w:t xml:space="preserve"> אפטרופוס של רחל תבע את לוי </w:t>
      </w:r>
      <w:r w:rsidR="00E71C24">
        <w:rPr>
          <w:rFonts w:cs="Arial" w:hint="cs"/>
          <w:rtl/>
        </w:rPr>
        <w:t>:</w:t>
      </w:r>
      <w:r w:rsidRPr="009947D1">
        <w:rPr>
          <w:rFonts w:cs="Arial"/>
          <w:rtl/>
        </w:rPr>
        <w:t>רחל השאילה לך שריון עד שלא נשאת ואותו שריון לא היה מהנכסים שהתנת לתת לבעלה</w:t>
      </w:r>
      <w:r w:rsidR="00E71C24">
        <w:rPr>
          <w:rFonts w:cs="Arial" w:hint="cs"/>
          <w:rtl/>
        </w:rPr>
        <w:t>"</w:t>
      </w:r>
      <w:r w:rsidRPr="009947D1">
        <w:rPr>
          <w:rFonts w:cs="Arial" w:hint="cs"/>
          <w:rtl/>
        </w:rPr>
        <w:t>,</w:t>
      </w:r>
      <w:r w:rsidRPr="009947D1">
        <w:rPr>
          <w:rFonts w:cs="Arial"/>
          <w:rtl/>
        </w:rPr>
        <w:t xml:space="preserve"> ועתה תובעת ללוי שיחזיר לה</w:t>
      </w:r>
      <w:r w:rsidRPr="009947D1">
        <w:rPr>
          <w:rFonts w:cs="Arial" w:hint="cs"/>
          <w:rtl/>
        </w:rPr>
        <w:t>.</w:t>
      </w:r>
      <w:r w:rsidRPr="009947D1">
        <w:rPr>
          <w:rFonts w:cs="Arial"/>
          <w:rtl/>
        </w:rPr>
        <w:t xml:space="preserve"> והוא השיב החזרתיו אך שהוא עתה בידו מכח שמעון בעלה שחייב לי</w:t>
      </w:r>
      <w:r w:rsidRPr="009947D1">
        <w:rPr>
          <w:rFonts w:cs="Arial" w:hint="cs"/>
          <w:rtl/>
        </w:rPr>
        <w:t xml:space="preserve"> -</w:t>
      </w:r>
      <w:r w:rsidRPr="009947D1">
        <w:rPr>
          <w:rFonts w:cs="Arial"/>
          <w:rtl/>
        </w:rPr>
        <w:t xml:space="preserve"> צריך להחזיר</w:t>
      </w:r>
      <w:r>
        <w:rPr>
          <w:rStyle w:val="a7"/>
          <w:rFonts w:cs="Arial"/>
          <w:rtl/>
        </w:rPr>
        <w:footnoteReference w:id="1070"/>
      </w:r>
      <w:r w:rsidRPr="009947D1">
        <w:rPr>
          <w:rFonts w:cs="Arial" w:hint="cs"/>
          <w:rtl/>
        </w:rPr>
        <w:t>.</w:t>
      </w:r>
    </w:p>
    <w:p w14:paraId="51F3E18E"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0F355A41" w14:textId="6F142864" w:rsidR="00183279" w:rsidRPr="00187D17" w:rsidRDefault="007A3469" w:rsidP="00187D17">
      <w:pPr>
        <w:rPr>
          <w:rFonts w:cs="Arial"/>
          <w:rtl/>
        </w:rPr>
        <w:sectPr w:rsidR="00183279" w:rsidRPr="00187D17" w:rsidSect="00A347B3">
          <w:headerReference w:type="default" r:id="rId29"/>
          <w:footnotePr>
            <w:numRestart w:val="eachSect"/>
          </w:footnotePr>
          <w:pgSz w:w="11906" w:h="16838"/>
          <w:pgMar w:top="720" w:right="1134" w:bottom="720" w:left="1134" w:header="0" w:footer="0" w:gutter="0"/>
          <w:cols w:space="720"/>
          <w:bidi/>
          <w:rtlGutter/>
          <w:docGrid w:linePitch="360"/>
        </w:sectPr>
      </w:pPr>
      <w:r>
        <w:rPr>
          <w:rFonts w:cs="Arial"/>
          <w:rtl/>
        </w:rPr>
        <w:t>הבעל שלוה מהאשה ואחר כך גירשה, אין לה עליו כלום</w:t>
      </w:r>
      <w:r w:rsidR="009A1D2A">
        <w:rPr>
          <w:rStyle w:val="a7"/>
          <w:rFonts w:cs="Arial"/>
          <w:rtl/>
        </w:rPr>
        <w:footnoteReference w:id="1071"/>
      </w:r>
      <w:r>
        <w:rPr>
          <w:rFonts w:cs="Arial"/>
          <w:rtl/>
        </w:rPr>
        <w:t xml:space="preserve">. </w:t>
      </w:r>
      <w:r w:rsidRPr="00183279">
        <w:rPr>
          <w:rFonts w:cs="Arial"/>
          <w:sz w:val="18"/>
          <w:szCs w:val="18"/>
          <w:rtl/>
        </w:rPr>
        <w:t>הגה: וכ"ש אם לא גירשה (ד"ע). וי"א</w:t>
      </w:r>
      <w:r w:rsidR="00DD17D3">
        <w:rPr>
          <w:rStyle w:val="a7"/>
          <w:rFonts w:cs="Arial"/>
          <w:sz w:val="18"/>
          <w:szCs w:val="18"/>
          <w:rtl/>
        </w:rPr>
        <w:footnoteReference w:id="1072"/>
      </w:r>
      <w:r w:rsidRPr="00183279">
        <w:rPr>
          <w:rFonts w:cs="Arial"/>
          <w:sz w:val="18"/>
          <w:szCs w:val="18"/>
          <w:rtl/>
        </w:rPr>
        <w:t xml:space="preserve"> דוקא אם היו המעות טמונים כשלוה ממנה, אבל לא היו המעות טמונים, ולוה ממנה, צריך לשלם לה</w:t>
      </w:r>
      <w:r w:rsidR="00DD17D3">
        <w:rPr>
          <w:rStyle w:val="a7"/>
          <w:rFonts w:cs="Arial"/>
          <w:sz w:val="18"/>
          <w:szCs w:val="18"/>
          <w:rtl/>
        </w:rPr>
        <w:footnoteReference w:id="1073"/>
      </w:r>
      <w:r w:rsidRPr="00183279">
        <w:rPr>
          <w:rFonts w:cs="Arial"/>
          <w:sz w:val="18"/>
          <w:szCs w:val="18"/>
          <w:rtl/>
        </w:rPr>
        <w:t xml:space="preserve"> אפילו</w:t>
      </w:r>
      <w:r w:rsidR="000E3732">
        <w:rPr>
          <w:rStyle w:val="a7"/>
          <w:rFonts w:cs="Arial"/>
          <w:sz w:val="18"/>
          <w:szCs w:val="18"/>
          <w:rtl/>
        </w:rPr>
        <w:footnoteReference w:id="1074"/>
      </w:r>
      <w:r w:rsidRPr="00183279">
        <w:rPr>
          <w:rFonts w:cs="Arial"/>
          <w:sz w:val="18"/>
          <w:szCs w:val="18"/>
          <w:rtl/>
        </w:rPr>
        <w:t xml:space="preserve"> לאחר שגירשה (</w:t>
      </w:r>
      <w:r w:rsidR="003B049F">
        <w:rPr>
          <w:rFonts w:cs="Arial" w:hint="cs"/>
          <w:sz w:val="18"/>
          <w:szCs w:val="18"/>
          <w:rtl/>
        </w:rPr>
        <w:t>תוס' ו</w:t>
      </w:r>
      <w:r w:rsidRPr="00183279">
        <w:rPr>
          <w:rFonts w:cs="Arial"/>
          <w:sz w:val="18"/>
          <w:szCs w:val="18"/>
          <w:rtl/>
        </w:rPr>
        <w:t>טור). וה"ה אם תקפם מידה, דמאחר שלא היו המעות טמונים, נאמנת לומר: שלי</w:t>
      </w:r>
      <w:r w:rsidR="00DC681F">
        <w:rPr>
          <w:rStyle w:val="a7"/>
          <w:rFonts w:cs="Arial"/>
          <w:sz w:val="18"/>
          <w:szCs w:val="18"/>
          <w:rtl/>
        </w:rPr>
        <w:footnoteReference w:id="1075"/>
      </w:r>
      <w:r w:rsidRPr="00183279">
        <w:rPr>
          <w:rFonts w:cs="Arial"/>
          <w:sz w:val="18"/>
          <w:szCs w:val="18"/>
          <w:rtl/>
        </w:rPr>
        <w:t xml:space="preserve"> או של פלוני</w:t>
      </w:r>
      <w:r w:rsidR="00DC681F">
        <w:rPr>
          <w:rStyle w:val="a7"/>
          <w:rFonts w:cs="Arial"/>
          <w:sz w:val="18"/>
          <w:szCs w:val="18"/>
          <w:rtl/>
        </w:rPr>
        <w:footnoteReference w:id="1076"/>
      </w:r>
      <w:r w:rsidRPr="00183279">
        <w:rPr>
          <w:rFonts w:cs="Arial"/>
          <w:sz w:val="18"/>
          <w:szCs w:val="18"/>
          <w:rtl/>
        </w:rPr>
        <w:t xml:space="preserve"> הם (</w:t>
      </w:r>
      <w:r w:rsidR="003B049F">
        <w:rPr>
          <w:rFonts w:cs="Arial" w:hint="cs"/>
          <w:sz w:val="18"/>
          <w:szCs w:val="18"/>
          <w:rtl/>
        </w:rPr>
        <w:t>תוס'</w:t>
      </w:r>
      <w:r w:rsidRPr="00183279">
        <w:rPr>
          <w:rFonts w:cs="Arial"/>
          <w:sz w:val="18"/>
          <w:szCs w:val="18"/>
          <w:rtl/>
        </w:rPr>
        <w:t>). מיהו אם נושאה ונותנת תוך הבית, או שהבעל מאמינה על שלו, אינה נאמנת</w:t>
      </w:r>
      <w:r w:rsidR="00DC681F">
        <w:rPr>
          <w:rStyle w:val="a7"/>
          <w:rFonts w:cs="Arial"/>
          <w:sz w:val="18"/>
          <w:szCs w:val="18"/>
          <w:rtl/>
        </w:rPr>
        <w:footnoteReference w:id="1077"/>
      </w:r>
      <w:r w:rsidRPr="00183279">
        <w:rPr>
          <w:rFonts w:cs="Arial"/>
          <w:sz w:val="18"/>
          <w:szCs w:val="18"/>
          <w:rtl/>
        </w:rPr>
        <w:t xml:space="preserve"> (טור). וע' לעיל סי' פ"ה סעיף י"ב. לוה ממנה בשטר, היא אומרת: לא היו המעות טמונים</w:t>
      </w:r>
      <w:r w:rsidR="00DC681F">
        <w:rPr>
          <w:rStyle w:val="a7"/>
          <w:rFonts w:cs="Arial"/>
          <w:sz w:val="18"/>
          <w:szCs w:val="18"/>
          <w:rtl/>
        </w:rPr>
        <w:footnoteReference w:id="1078"/>
      </w:r>
      <w:r w:rsidRPr="00183279">
        <w:rPr>
          <w:rFonts w:cs="Arial"/>
          <w:sz w:val="18"/>
          <w:szCs w:val="18"/>
          <w:rtl/>
        </w:rPr>
        <w:t>, והוא אומר: טמונים היו, עליה להביא ראיה או פטור לשלם (נ</w:t>
      </w:r>
      <w:r w:rsidR="00A7075E">
        <w:rPr>
          <w:rFonts w:cs="Arial" w:hint="cs"/>
          <w:sz w:val="18"/>
          <w:szCs w:val="18"/>
          <w:rtl/>
        </w:rPr>
        <w:t>מוק</w:t>
      </w:r>
      <w:r w:rsidRPr="00183279">
        <w:rPr>
          <w:rFonts w:cs="Arial"/>
          <w:sz w:val="18"/>
          <w:szCs w:val="18"/>
          <w:rtl/>
        </w:rPr>
        <w:t>"י). ועיין לעיל בח"ה סימן ס"ב אשה שהיו שטרות יוצאין על שמה מה דינן</w:t>
      </w:r>
      <w:r w:rsidR="0008255B">
        <w:rPr>
          <w:rStyle w:val="a7"/>
          <w:rFonts w:cs="Arial"/>
          <w:sz w:val="18"/>
          <w:szCs w:val="18"/>
          <w:rtl/>
        </w:rPr>
        <w:footnoteReference w:id="1079"/>
      </w:r>
      <w:r w:rsidRPr="00183279">
        <w:rPr>
          <w:rFonts w:cs="Arial"/>
          <w:sz w:val="18"/>
          <w:szCs w:val="18"/>
          <w:rtl/>
        </w:rPr>
        <w:t>. אשה שמכרה או משכנה מטלטלין, אם הקונה או המלוה אינו יודע שהם של בעל, א"צ להחזיר</w:t>
      </w:r>
      <w:r w:rsidR="0008255B">
        <w:rPr>
          <w:rStyle w:val="a7"/>
          <w:rFonts w:cs="Arial"/>
          <w:sz w:val="18"/>
          <w:szCs w:val="18"/>
          <w:rtl/>
        </w:rPr>
        <w:footnoteReference w:id="1080"/>
      </w:r>
      <w:r w:rsidRPr="00183279">
        <w:rPr>
          <w:rFonts w:cs="Arial"/>
          <w:sz w:val="18"/>
          <w:szCs w:val="18"/>
          <w:rtl/>
        </w:rPr>
        <w:t xml:space="preserve"> אליו, אפילו רוצה הבעל להחזיר לו דמיו וטוען שהיא גנבן לו (הגה</w:t>
      </w:r>
      <w:r w:rsidR="0008255B">
        <w:rPr>
          <w:rFonts w:cs="Arial" w:hint="cs"/>
          <w:sz w:val="18"/>
          <w:szCs w:val="18"/>
          <w:rtl/>
        </w:rPr>
        <w:t>"מ</w:t>
      </w:r>
      <w:r w:rsidRPr="00183279">
        <w:rPr>
          <w:rFonts w:cs="Arial"/>
          <w:sz w:val="18"/>
          <w:szCs w:val="18"/>
          <w:rtl/>
        </w:rPr>
        <w:t>). וי"א דאם היא נושאת ונותנת תוך הבית, הבעל נאמן וצריך להחזיר לו בלא דמים</w:t>
      </w:r>
      <w:r w:rsidR="008C35BD">
        <w:rPr>
          <w:rStyle w:val="a7"/>
          <w:rFonts w:cs="Arial"/>
          <w:sz w:val="18"/>
          <w:szCs w:val="18"/>
          <w:rtl/>
        </w:rPr>
        <w:footnoteReference w:id="1081"/>
      </w:r>
      <w:r w:rsidRPr="00183279">
        <w:rPr>
          <w:rFonts w:cs="Arial"/>
          <w:sz w:val="18"/>
          <w:szCs w:val="18"/>
          <w:rtl/>
        </w:rPr>
        <w:t xml:space="preserve"> (רי</w:t>
      </w:r>
      <w:r w:rsidR="00D36C11">
        <w:rPr>
          <w:rFonts w:cs="Arial" w:hint="cs"/>
          <w:sz w:val="18"/>
          <w:szCs w:val="18"/>
          <w:rtl/>
        </w:rPr>
        <w:t>"ו</w:t>
      </w:r>
      <w:r w:rsidRPr="00183279">
        <w:rPr>
          <w:rFonts w:cs="Arial"/>
          <w:sz w:val="18"/>
          <w:szCs w:val="18"/>
          <w:rtl/>
        </w:rPr>
        <w:t>). ונ"ל דוקא בשאין דרכה למשכן או למכור בלא רשות בעלה, אבל אם דרכה בכך, מה שעשתה עשוי</w:t>
      </w:r>
      <w:r w:rsidR="00763B86">
        <w:rPr>
          <w:rStyle w:val="a7"/>
          <w:rFonts w:cs="Arial"/>
          <w:sz w:val="18"/>
          <w:szCs w:val="18"/>
          <w:rtl/>
        </w:rPr>
        <w:footnoteReference w:id="1082"/>
      </w:r>
      <w:r w:rsidR="008C35BD">
        <w:rPr>
          <w:rFonts w:cs="Arial" w:hint="cs"/>
          <w:sz w:val="18"/>
          <w:szCs w:val="18"/>
          <w:rtl/>
        </w:rPr>
        <w:t>.</w:t>
      </w:r>
      <w:r w:rsidRPr="00183279">
        <w:rPr>
          <w:rFonts w:cs="Arial"/>
          <w:sz w:val="18"/>
          <w:szCs w:val="18"/>
          <w:rtl/>
        </w:rPr>
        <w:t xml:space="preserve"> וכן נראה להורות, וע"ל סימן צ'.</w:t>
      </w:r>
    </w:p>
    <w:p w14:paraId="3AFF9D82" w14:textId="4E8D0A30" w:rsidR="007A3469" w:rsidRDefault="00DB717C" w:rsidP="007A3469">
      <w:pPr>
        <w:pStyle w:val="1"/>
        <w:rPr>
          <w:rtl/>
        </w:rPr>
      </w:pPr>
      <w:r>
        <w:rPr>
          <w:rFonts w:hint="cs"/>
          <w:rtl/>
        </w:rPr>
        <w:lastRenderedPageBreak/>
        <w:t>סימן פז:</w:t>
      </w:r>
      <w:r w:rsidRPr="00C12B74">
        <w:rPr>
          <w:rtl/>
        </w:rPr>
        <w:t xml:space="preserve"> </w:t>
      </w:r>
      <w:r w:rsidR="007A3469">
        <w:rPr>
          <w:rFonts w:cs="Arial"/>
          <w:rtl/>
        </w:rPr>
        <w:t xml:space="preserve">שאין חזקה בנכסי אשת איש, ובו ב' סעיפים. </w:t>
      </w:r>
    </w:p>
    <w:p w14:paraId="7B4A5213" w14:textId="0F5AA46C" w:rsidR="007A3469" w:rsidRDefault="007A3469" w:rsidP="000F64D0">
      <w:pPr>
        <w:pStyle w:val="2"/>
        <w:rPr>
          <w:rtl/>
        </w:rPr>
      </w:pPr>
      <w:r>
        <w:rPr>
          <w:rtl/>
        </w:rPr>
        <w:t>סעיף א</w:t>
      </w:r>
      <w:r w:rsidR="00015B40">
        <w:rPr>
          <w:rFonts w:hint="cs"/>
          <w:rtl/>
        </w:rPr>
        <w:t>:</w:t>
      </w:r>
      <w:r w:rsidR="00943054">
        <w:rPr>
          <w:rFonts w:hint="cs"/>
          <w:rtl/>
        </w:rPr>
        <w:t xml:space="preserve"> חזקה לאיש בנכסי אשתו.</w:t>
      </w:r>
    </w:p>
    <w:p w14:paraId="787528A6" w14:textId="7084B0F5" w:rsidR="00AE16D0" w:rsidRDefault="00313567" w:rsidP="00AE16D0">
      <w:pPr>
        <w:rPr>
          <w:rtl/>
        </w:rPr>
      </w:pPr>
      <w:r w:rsidRPr="00313567">
        <w:rPr>
          <w:rFonts w:cs="Arial" w:hint="cs"/>
          <w:b/>
          <w:bCs/>
          <w:rtl/>
        </w:rPr>
        <w:t xml:space="preserve">בבא בתרא </w:t>
      </w:r>
      <w:r>
        <w:rPr>
          <w:rFonts w:cs="Arial" w:hint="cs"/>
          <w:b/>
          <w:bCs/>
          <w:sz w:val="16"/>
          <w:szCs w:val="16"/>
          <w:rtl/>
        </w:rPr>
        <w:t xml:space="preserve">(פ' חזקת) </w:t>
      </w:r>
      <w:r w:rsidRPr="00313567">
        <w:rPr>
          <w:rFonts w:cs="Arial" w:hint="cs"/>
          <w:b/>
          <w:bCs/>
          <w:rtl/>
        </w:rPr>
        <w:t>מב</w:t>
      </w:r>
      <w:r w:rsidR="000D583A">
        <w:rPr>
          <w:rStyle w:val="a7"/>
          <w:rFonts w:cs="Arial"/>
          <w:b/>
          <w:bCs/>
          <w:rtl/>
        </w:rPr>
        <w:footnoteReference w:id="1083"/>
      </w:r>
      <w:r w:rsidRPr="00313567">
        <w:rPr>
          <w:rFonts w:cs="Arial" w:hint="cs"/>
          <w:b/>
          <w:bCs/>
          <w:rtl/>
        </w:rPr>
        <w:t xml:space="preserve"> ע"א:</w:t>
      </w:r>
      <w:r>
        <w:rPr>
          <w:rFonts w:cs="Arial" w:hint="cs"/>
          <w:rtl/>
        </w:rPr>
        <w:t xml:space="preserve"> </w:t>
      </w:r>
      <w:r w:rsidRPr="00313567">
        <w:rPr>
          <w:rFonts w:cs="Arial" w:hint="cs"/>
          <w:u w:val="double"/>
          <w:rtl/>
        </w:rPr>
        <w:t>מתני'</w:t>
      </w:r>
      <w:r>
        <w:rPr>
          <w:rFonts w:cs="Arial" w:hint="cs"/>
          <w:rtl/>
        </w:rPr>
        <w:t xml:space="preserve">:... </w:t>
      </w:r>
      <w:r w:rsidRPr="00313567">
        <w:rPr>
          <w:rFonts w:cs="Arial"/>
          <w:rtl/>
        </w:rPr>
        <w:t>לא לאיש חזקה בנכסי אשתו</w:t>
      </w:r>
      <w:r w:rsidR="000255C3">
        <w:rPr>
          <w:rStyle w:val="a7"/>
          <w:rFonts w:cs="Arial"/>
          <w:rtl/>
        </w:rPr>
        <w:footnoteReference w:id="1084"/>
      </w:r>
      <w:r w:rsidRPr="00313567">
        <w:rPr>
          <w:rFonts w:cs="Arial"/>
          <w:rtl/>
        </w:rPr>
        <w:t>, ולא לאשה חזקה בנכסי בעלה</w:t>
      </w:r>
      <w:r>
        <w:rPr>
          <w:rFonts w:hint="cs"/>
          <w:rtl/>
        </w:rPr>
        <w:t>...</w:t>
      </w:r>
      <w:r w:rsidR="00943054">
        <w:rPr>
          <w:rFonts w:hint="cs"/>
          <w:rtl/>
        </w:rPr>
        <w:t xml:space="preserve">    </w:t>
      </w:r>
      <w:r w:rsidR="00943054" w:rsidRPr="00943054">
        <w:rPr>
          <w:rtl/>
        </w:rPr>
        <w:t xml:space="preserve"> </w:t>
      </w:r>
      <w:r w:rsidR="00943054" w:rsidRPr="00943054">
        <w:rPr>
          <w:rFonts w:cs="Arial" w:hint="cs"/>
          <w:u w:val="double"/>
          <w:rtl/>
        </w:rPr>
        <w:t>גמ'</w:t>
      </w:r>
      <w:r w:rsidR="00943054">
        <w:rPr>
          <w:rFonts w:cs="Arial" w:hint="cs"/>
          <w:sz w:val="14"/>
          <w:szCs w:val="14"/>
          <w:u w:val="double"/>
          <w:rtl/>
        </w:rPr>
        <w:t>(מט.)</w:t>
      </w:r>
      <w:r w:rsidR="00943054" w:rsidRPr="00943054">
        <w:rPr>
          <w:rFonts w:cs="Arial" w:hint="cs"/>
          <w:u w:val="double"/>
          <w:rtl/>
        </w:rPr>
        <w:t>:</w:t>
      </w:r>
      <w:r w:rsidR="00943054">
        <w:rPr>
          <w:rFonts w:cs="Arial" w:hint="cs"/>
          <w:rtl/>
        </w:rPr>
        <w:t xml:space="preserve"> </w:t>
      </w:r>
      <w:r w:rsidR="00943054" w:rsidRPr="00943054">
        <w:rPr>
          <w:rFonts w:cs="Arial"/>
          <w:rtl/>
        </w:rPr>
        <w:t>ולא לאיש חזקה בנכסי אשתו וכו'. פשיטא</w:t>
      </w:r>
      <w:r w:rsidR="00B42B97">
        <w:rPr>
          <w:rStyle w:val="a7"/>
          <w:rFonts w:cs="Arial"/>
          <w:rtl/>
        </w:rPr>
        <w:footnoteReference w:id="1085"/>
      </w:r>
      <w:r w:rsidR="00943054" w:rsidRPr="00943054">
        <w:rPr>
          <w:rFonts w:cs="Arial"/>
          <w:rtl/>
        </w:rPr>
        <w:t>, כיון דאית ליה לפירא</w:t>
      </w:r>
      <w:r w:rsidR="00B42B97">
        <w:rPr>
          <w:rStyle w:val="a7"/>
          <w:rFonts w:cs="Arial"/>
          <w:rtl/>
        </w:rPr>
        <w:footnoteReference w:id="1086"/>
      </w:r>
      <w:r w:rsidR="00943054" w:rsidRPr="00943054">
        <w:rPr>
          <w:rFonts w:cs="Arial"/>
          <w:rtl/>
        </w:rPr>
        <w:t xml:space="preserve"> - פירא הוא דקאכיל! לא צריכא, דכתב לה: דין ודברים אין לי</w:t>
      </w:r>
      <w:r w:rsidR="00B42B97">
        <w:rPr>
          <w:rStyle w:val="a7"/>
          <w:rFonts w:cs="Arial"/>
          <w:rtl/>
        </w:rPr>
        <w:footnoteReference w:id="1087"/>
      </w:r>
      <w:r w:rsidR="00943054" w:rsidRPr="00943054">
        <w:rPr>
          <w:rFonts w:cs="Arial"/>
          <w:rtl/>
        </w:rPr>
        <w:t xml:space="preserve"> בנכסייך. וכי כתב לה מאי הוי? והתניא, האומר לחבירו: דין ודברים אין לי על שדה זו ואין לי עסק בה וידי מסולקות ממנה - לא אמר כלום</w:t>
      </w:r>
      <w:r w:rsidR="00B42B97">
        <w:rPr>
          <w:rStyle w:val="a7"/>
          <w:rFonts w:cs="Arial"/>
          <w:rtl/>
        </w:rPr>
        <w:footnoteReference w:id="1088"/>
      </w:r>
      <w:r w:rsidR="00943054" w:rsidRPr="00943054">
        <w:rPr>
          <w:rFonts w:cs="Arial"/>
          <w:rtl/>
        </w:rPr>
        <w:t xml:space="preserve">! </w:t>
      </w:r>
      <w:r w:rsidR="00943054" w:rsidRPr="000255C3">
        <w:rPr>
          <w:rFonts w:cs="Arial"/>
          <w:u w:val="single"/>
          <w:rtl/>
        </w:rPr>
        <w:t>אמרי לה דבי רבי ינאי</w:t>
      </w:r>
      <w:r w:rsidR="00943054" w:rsidRPr="00943054">
        <w:rPr>
          <w:rFonts w:cs="Arial"/>
          <w:rtl/>
        </w:rPr>
        <w:t>: מתניתין - בכותב לה</w:t>
      </w:r>
      <w:r w:rsidR="00B42B97">
        <w:rPr>
          <w:rStyle w:val="a7"/>
          <w:rFonts w:cs="Arial"/>
          <w:rtl/>
        </w:rPr>
        <w:footnoteReference w:id="1089"/>
      </w:r>
      <w:r w:rsidR="00943054" w:rsidRPr="00943054">
        <w:rPr>
          <w:rFonts w:cs="Arial"/>
          <w:rtl/>
        </w:rPr>
        <w:t xml:space="preserve"> ועודה ארוסה</w:t>
      </w:r>
      <w:r w:rsidR="00B42B97">
        <w:rPr>
          <w:rStyle w:val="a7"/>
          <w:rFonts w:cs="Arial"/>
          <w:rtl/>
        </w:rPr>
        <w:footnoteReference w:id="1090"/>
      </w:r>
      <w:r w:rsidR="00943054" w:rsidRPr="00943054">
        <w:rPr>
          <w:rFonts w:cs="Arial"/>
          <w:rtl/>
        </w:rPr>
        <w:t xml:space="preserve">, וכדרב כהנא, </w:t>
      </w:r>
      <w:r w:rsidR="00943054" w:rsidRPr="000255C3">
        <w:rPr>
          <w:rFonts w:cs="Arial"/>
          <w:u w:val="single"/>
          <w:rtl/>
        </w:rPr>
        <w:t>דאמר רב כהנא</w:t>
      </w:r>
      <w:r w:rsidR="00943054" w:rsidRPr="00943054">
        <w:rPr>
          <w:rFonts w:cs="Arial"/>
          <w:rtl/>
        </w:rPr>
        <w:t>:</w:t>
      </w:r>
      <w:r w:rsidR="000255C3" w:rsidRPr="000255C3">
        <w:rPr>
          <w:rtl/>
        </w:rPr>
        <w:t xml:space="preserve"> </w:t>
      </w:r>
      <w:r w:rsidR="000255C3">
        <w:rPr>
          <w:rFonts w:hint="cs"/>
          <w:sz w:val="14"/>
          <w:szCs w:val="14"/>
          <w:rtl/>
        </w:rPr>
        <w:t xml:space="preserve">(מט:) </w:t>
      </w:r>
      <w:r w:rsidR="000255C3" w:rsidRPr="000255C3">
        <w:rPr>
          <w:rFonts w:cs="Arial"/>
          <w:rtl/>
        </w:rPr>
        <w:t>נחלה הבאה לו</w:t>
      </w:r>
      <w:r w:rsidR="00B42B97">
        <w:rPr>
          <w:rStyle w:val="a7"/>
          <w:rFonts w:cs="Arial"/>
          <w:rtl/>
        </w:rPr>
        <w:footnoteReference w:id="1091"/>
      </w:r>
      <w:r w:rsidR="000255C3" w:rsidRPr="000255C3">
        <w:rPr>
          <w:rFonts w:cs="Arial"/>
          <w:rtl/>
        </w:rPr>
        <w:t xml:space="preserve"> לאדם ממקום אחר - אדם מתנה עליה שלא יירשנה, וכדרבא</w:t>
      </w:r>
      <w:r w:rsidR="00B42B97">
        <w:rPr>
          <w:rStyle w:val="a7"/>
          <w:rFonts w:cs="Arial"/>
          <w:rtl/>
        </w:rPr>
        <w:footnoteReference w:id="1092"/>
      </w:r>
      <w:r w:rsidR="000255C3" w:rsidRPr="000255C3">
        <w:rPr>
          <w:rFonts w:cs="Arial"/>
          <w:rtl/>
        </w:rPr>
        <w:t xml:space="preserve">, </w:t>
      </w:r>
      <w:r w:rsidR="000255C3" w:rsidRPr="000255C3">
        <w:rPr>
          <w:rFonts w:cs="Arial"/>
          <w:u w:val="single"/>
          <w:rtl/>
        </w:rPr>
        <w:t>דאמר רבא</w:t>
      </w:r>
      <w:r w:rsidR="000255C3" w:rsidRPr="000255C3">
        <w:rPr>
          <w:rFonts w:cs="Arial"/>
          <w:rtl/>
        </w:rPr>
        <w:t>: כל האומר אי אפשי בתקנת חכמים</w:t>
      </w:r>
      <w:r w:rsidR="00B42B97">
        <w:rPr>
          <w:rStyle w:val="a7"/>
          <w:rFonts w:cs="Arial"/>
          <w:rtl/>
        </w:rPr>
        <w:footnoteReference w:id="1093"/>
      </w:r>
      <w:r w:rsidR="000255C3" w:rsidRPr="000255C3">
        <w:rPr>
          <w:rFonts w:cs="Arial"/>
          <w:rtl/>
        </w:rPr>
        <w:t xml:space="preserve"> כגון זאת - שומעין לו. מאי כגון זאת? כדרב הונא אמר רב, </w:t>
      </w:r>
      <w:r w:rsidR="000255C3" w:rsidRPr="000255C3">
        <w:rPr>
          <w:rFonts w:cs="Arial"/>
          <w:u w:val="single"/>
          <w:rtl/>
        </w:rPr>
        <w:t>דאמר רב הונא אמר רב</w:t>
      </w:r>
      <w:r w:rsidR="000255C3" w:rsidRPr="000255C3">
        <w:rPr>
          <w:rFonts w:cs="Arial"/>
          <w:rtl/>
        </w:rPr>
        <w:t>: יכולה אשה שתאמר לבעלה איני ניזונת ואיני עושה</w:t>
      </w:r>
      <w:r w:rsidR="00D26B90">
        <w:rPr>
          <w:rStyle w:val="a7"/>
          <w:rFonts w:cs="Arial"/>
          <w:rtl/>
        </w:rPr>
        <w:footnoteReference w:id="1094"/>
      </w:r>
      <w:r w:rsidR="000255C3" w:rsidRPr="000255C3">
        <w:rPr>
          <w:rFonts w:cs="Arial"/>
          <w:rtl/>
        </w:rPr>
        <w:t>.</w:t>
      </w:r>
      <w:r w:rsidR="000255C3" w:rsidRPr="000255C3">
        <w:rPr>
          <w:rtl/>
        </w:rPr>
        <w:t xml:space="preserve"> </w:t>
      </w:r>
      <w:r w:rsidR="000255C3" w:rsidRPr="000255C3">
        <w:rPr>
          <w:rFonts w:cs="Arial"/>
          <w:rtl/>
        </w:rPr>
        <w:t>הא ראיה יש</w:t>
      </w:r>
      <w:r w:rsidR="000255C3">
        <w:rPr>
          <w:rStyle w:val="a7"/>
          <w:rFonts w:cs="Arial"/>
          <w:rtl/>
        </w:rPr>
        <w:footnoteReference w:id="1095"/>
      </w:r>
      <w:r w:rsidR="000255C3" w:rsidRPr="000255C3">
        <w:rPr>
          <w:rFonts w:cs="Arial"/>
          <w:rtl/>
        </w:rPr>
        <w:t>, תימא: נחת רוח עשיתי לבעלי</w:t>
      </w:r>
      <w:r w:rsidR="00B42B97">
        <w:rPr>
          <w:rStyle w:val="a7"/>
          <w:rFonts w:cs="Arial"/>
          <w:rtl/>
        </w:rPr>
        <w:footnoteReference w:id="1096"/>
      </w:r>
      <w:r w:rsidR="000255C3" w:rsidRPr="000255C3">
        <w:rPr>
          <w:rFonts w:cs="Arial"/>
          <w:rtl/>
        </w:rPr>
        <w:t>! מי לא תנן</w:t>
      </w:r>
      <w:r w:rsidR="00184FB4">
        <w:rPr>
          <w:rStyle w:val="a7"/>
          <w:rFonts w:cs="Arial"/>
          <w:rtl/>
        </w:rPr>
        <w:footnoteReference w:id="1097"/>
      </w:r>
      <w:r w:rsidR="000255C3" w:rsidRPr="000255C3">
        <w:rPr>
          <w:rFonts w:cs="Arial"/>
          <w:rtl/>
        </w:rPr>
        <w:t>: לקח מן האיש</w:t>
      </w:r>
      <w:r w:rsidR="00184FB4">
        <w:rPr>
          <w:rStyle w:val="a7"/>
          <w:rFonts w:cs="Arial"/>
          <w:rtl/>
        </w:rPr>
        <w:footnoteReference w:id="1098"/>
      </w:r>
      <w:r w:rsidR="000255C3" w:rsidRPr="000255C3">
        <w:rPr>
          <w:rFonts w:cs="Arial"/>
          <w:rtl/>
        </w:rPr>
        <w:t xml:space="preserve"> וחזר</w:t>
      </w:r>
      <w:r w:rsidR="00184FB4">
        <w:rPr>
          <w:rStyle w:val="a7"/>
          <w:rFonts w:cs="Arial"/>
          <w:rtl/>
        </w:rPr>
        <w:footnoteReference w:id="1099"/>
      </w:r>
      <w:r w:rsidR="000255C3" w:rsidRPr="000255C3">
        <w:rPr>
          <w:rFonts w:cs="Arial"/>
          <w:rtl/>
        </w:rPr>
        <w:t xml:space="preserve"> ולקח מן האשה - מקחו בטל</w:t>
      </w:r>
      <w:r w:rsidR="00184FB4">
        <w:rPr>
          <w:rStyle w:val="a7"/>
          <w:rFonts w:cs="Arial"/>
          <w:rtl/>
        </w:rPr>
        <w:footnoteReference w:id="1100"/>
      </w:r>
      <w:r w:rsidR="000255C3" w:rsidRPr="000255C3">
        <w:rPr>
          <w:rFonts w:cs="Arial"/>
          <w:rtl/>
        </w:rPr>
        <w:t>, אלמא אמרה: נחת רוח עשיתי לבעלי, הכא נמי תימא: נחת רוח עשיתי לבעלי! הא איתמר עלה</w:t>
      </w:r>
      <w:r w:rsidR="00184FB4">
        <w:rPr>
          <w:rStyle w:val="a7"/>
          <w:rFonts w:cs="Arial"/>
          <w:rtl/>
        </w:rPr>
        <w:footnoteReference w:id="1101"/>
      </w:r>
      <w:r w:rsidR="000255C3" w:rsidRPr="000255C3">
        <w:rPr>
          <w:rFonts w:cs="Arial"/>
          <w:rtl/>
        </w:rPr>
        <w:t xml:space="preserve">, </w:t>
      </w:r>
      <w:r w:rsidR="000255C3" w:rsidRPr="007B7C0D">
        <w:rPr>
          <w:rFonts w:cs="Arial"/>
          <w:u w:val="single"/>
          <w:rtl/>
        </w:rPr>
        <w:t>אמר רבה בר רב הונא</w:t>
      </w:r>
      <w:r w:rsidR="000255C3" w:rsidRPr="000255C3">
        <w:rPr>
          <w:rFonts w:cs="Arial"/>
          <w:rtl/>
        </w:rPr>
        <w:t>: לא נצרכה אלא באותן ג' שדות, אחת שכתב לה בכתובתה,</w:t>
      </w:r>
      <w:r w:rsidR="00184FB4" w:rsidRPr="00184FB4">
        <w:rPr>
          <w:rtl/>
        </w:rPr>
        <w:t xml:space="preserve"> </w:t>
      </w:r>
      <w:r w:rsidR="00184FB4">
        <w:rPr>
          <w:rFonts w:hint="cs"/>
          <w:sz w:val="14"/>
          <w:szCs w:val="14"/>
          <w:rtl/>
        </w:rPr>
        <w:t xml:space="preserve">(נ.) </w:t>
      </w:r>
      <w:r w:rsidR="00184FB4" w:rsidRPr="00184FB4">
        <w:rPr>
          <w:rFonts w:cs="Arial"/>
          <w:rtl/>
        </w:rPr>
        <w:t>ואחת שיחד לה בכתובתה, ואחת שהכניסה לו שום משלה. למעוטי מאי? אילימא למעוטי שאר נכסים, כל שכן דהויא ליה איבה, דאמר לה: עיניך נתת בגירושין ובמיתה! אלא למעוטי נכסי מלוג, האמר אמימר: איש ואשה שמכרו בנכסי מלוג - לא עשו ולא כלום! כי איתמר דאמימר - היכא דזבין איהו ומית, אתיא איהי ומפקא, א"נ זבנה איהי ומתה, אתא איהו ומפיק בתקנתא דרבנן, וכדר' יוסי בר חנינא, דאמר רבי יוסי בר חנינא: באושא התקינו, האשה שמכרה בנכסי מלוג ומתה - הבעל מוצא מיד הלקוחות</w:t>
      </w:r>
      <w:r w:rsidR="007B7C0D">
        <w:rPr>
          <w:rFonts w:cs="Arial" w:hint="cs"/>
          <w:rtl/>
        </w:rPr>
        <w:t>.</w:t>
      </w:r>
      <w:r w:rsidR="00184FB4" w:rsidRPr="00184FB4">
        <w:rPr>
          <w:rFonts w:cs="Arial"/>
          <w:rtl/>
        </w:rPr>
        <w:t xml:space="preserve"> אבל היכא דזבינו תרוייהו לעלמא</w:t>
      </w:r>
      <w:r w:rsidR="007B7C0D">
        <w:rPr>
          <w:rStyle w:val="a7"/>
          <w:rFonts w:cs="Arial"/>
          <w:rtl/>
        </w:rPr>
        <w:footnoteReference w:id="1102"/>
      </w:r>
      <w:r w:rsidR="00184FB4" w:rsidRPr="00184FB4">
        <w:rPr>
          <w:rFonts w:cs="Arial"/>
          <w:rtl/>
        </w:rPr>
        <w:t xml:space="preserve">, א"נ זבנה איהי לדידיה - </w:t>
      </w:r>
      <w:r w:rsidR="00184FB4" w:rsidRPr="00184FB4">
        <w:rPr>
          <w:rFonts w:cs="Arial"/>
          <w:rtl/>
        </w:rPr>
        <w:lastRenderedPageBreak/>
        <w:t>זבינה זביני</w:t>
      </w:r>
      <w:r w:rsidR="007B7C0D">
        <w:rPr>
          <w:rStyle w:val="a7"/>
          <w:rFonts w:cs="Arial"/>
          <w:rtl/>
        </w:rPr>
        <w:footnoteReference w:id="1103"/>
      </w:r>
      <w:r w:rsidR="00184FB4" w:rsidRPr="00184FB4">
        <w:rPr>
          <w:rFonts w:cs="Arial"/>
          <w:rtl/>
        </w:rPr>
        <w:t>.</w:t>
      </w:r>
      <w:r w:rsidR="007F1954">
        <w:rPr>
          <w:rFonts w:cs="Arial" w:hint="cs"/>
          <w:sz w:val="16"/>
          <w:szCs w:val="16"/>
          <w:rtl/>
        </w:rPr>
        <w:t xml:space="preserve"> </w:t>
      </w:r>
      <w:r w:rsidR="007F1954" w:rsidRPr="00A0641E">
        <w:rPr>
          <w:rFonts w:cs="Arial" w:hint="cs"/>
          <w:sz w:val="16"/>
          <w:szCs w:val="16"/>
          <w:rtl/>
        </w:rPr>
        <w:t>(</w:t>
      </w:r>
      <w:r w:rsidR="007F1954" w:rsidRPr="00A0641E">
        <w:rPr>
          <w:rFonts w:cs="Arial"/>
          <w:sz w:val="16"/>
          <w:szCs w:val="16"/>
          <w:rtl/>
        </w:rPr>
        <w:t>וכתב הרא"ש (סי' נג) זבינייהו זביני ולא יכלה למימר נחת רוח עשיתי לבעלי</w:t>
      </w:r>
      <w:r w:rsidR="000D583A">
        <w:rPr>
          <w:rFonts w:cs="Arial" w:hint="cs"/>
          <w:sz w:val="16"/>
          <w:szCs w:val="16"/>
          <w:rtl/>
        </w:rPr>
        <w:t>,</w:t>
      </w:r>
      <w:r w:rsidR="007F1954" w:rsidRPr="00A0641E">
        <w:rPr>
          <w:rFonts w:cs="Arial"/>
          <w:sz w:val="16"/>
          <w:szCs w:val="16"/>
          <w:rtl/>
        </w:rPr>
        <w:t xml:space="preserve"> אבל כל נכסי הבעל בין נכסי צאן ברזל בין שאר נכסי הבעל אם לקח מן האיש וחזר ולקח מן האשה</w:t>
      </w:r>
      <w:r w:rsidR="000D583A">
        <w:rPr>
          <w:rFonts w:cs="Arial" w:hint="cs"/>
          <w:sz w:val="16"/>
          <w:szCs w:val="16"/>
          <w:rtl/>
        </w:rPr>
        <w:t>,</w:t>
      </w:r>
      <w:r w:rsidR="007F1954" w:rsidRPr="00A0641E">
        <w:rPr>
          <w:rFonts w:cs="Arial"/>
          <w:sz w:val="16"/>
          <w:szCs w:val="16"/>
          <w:rtl/>
        </w:rPr>
        <w:t xml:space="preserve"> בכולהו מציא למימר נחת רוח עשיתי לבעלי עכ"ל. ודברים אלו כתב הרמב"ם בפכ"ב מהלכות אישות (הל' טו - יט)</w:t>
      </w:r>
      <w:r w:rsidR="007F1954">
        <w:rPr>
          <w:rFonts w:cs="Arial" w:hint="cs"/>
          <w:sz w:val="16"/>
          <w:szCs w:val="16"/>
          <w:rtl/>
        </w:rPr>
        <w:t>, ב"י)</w:t>
      </w:r>
    </w:p>
    <w:p w14:paraId="76B586E7" w14:textId="37A2C73F" w:rsidR="00943054" w:rsidRPr="00943054" w:rsidRDefault="00943054" w:rsidP="00AE16D0">
      <w:pPr>
        <w:rPr>
          <w:u w:val="single"/>
          <w:rtl/>
        </w:rPr>
      </w:pPr>
      <w:r>
        <w:rPr>
          <w:rFonts w:hint="cs"/>
          <w:u w:val="single"/>
          <w:rtl/>
        </w:rPr>
        <w:t xml:space="preserve">איש </w:t>
      </w:r>
      <w:r w:rsidR="00C74A68">
        <w:rPr>
          <w:rFonts w:hint="cs"/>
          <w:u w:val="single"/>
          <w:rtl/>
        </w:rPr>
        <w:t xml:space="preserve">שטוען שאשתו מכרה לו קרקע מלוג שלה, ויש לו ג' שני חזקה של </w:t>
      </w:r>
      <w:r w:rsidR="00AE0367">
        <w:rPr>
          <w:rFonts w:hint="cs"/>
          <w:u w:val="single"/>
          <w:rtl/>
        </w:rPr>
        <w:t>אכילת פירות</w:t>
      </w:r>
      <w:r w:rsidRPr="00943054">
        <w:rPr>
          <w:rFonts w:hint="cs"/>
          <w:u w:val="single"/>
          <w:rtl/>
        </w:rPr>
        <w:t>:</w:t>
      </w:r>
    </w:p>
    <w:p w14:paraId="5998AD3A" w14:textId="2B56D640" w:rsidR="00AE0367" w:rsidRPr="00AE0367" w:rsidRDefault="00AE16D0" w:rsidP="009000E3">
      <w:pPr>
        <w:pStyle w:val="ab"/>
        <w:numPr>
          <w:ilvl w:val="0"/>
          <w:numId w:val="51"/>
        </w:numPr>
      </w:pPr>
      <w:r w:rsidRPr="00AE16D0">
        <w:rPr>
          <w:rFonts w:cs="Arial" w:hint="cs"/>
          <w:rtl/>
        </w:rPr>
        <w:t xml:space="preserve">טור- </w:t>
      </w:r>
      <w:r w:rsidRPr="00AE16D0">
        <w:rPr>
          <w:rFonts w:cs="Arial"/>
          <w:rtl/>
        </w:rPr>
        <w:t>אין לאיש חזקה בנכסי אשתו</w:t>
      </w:r>
      <w:r w:rsidR="00943054">
        <w:rPr>
          <w:rFonts w:cs="Arial" w:hint="cs"/>
          <w:rtl/>
        </w:rPr>
        <w:t>.</w:t>
      </w:r>
      <w:r w:rsidRPr="00AE16D0">
        <w:rPr>
          <w:rFonts w:cs="Arial"/>
          <w:rtl/>
        </w:rPr>
        <w:t xml:space="preserve"> אם טוען שמכרה לו מ</w:t>
      </w:r>
      <w:r w:rsidR="00750751">
        <w:rPr>
          <w:rFonts w:cs="Arial"/>
          <w:rtl/>
        </w:rPr>
        <w:t>נכסי מלוג</w:t>
      </w:r>
      <w:r w:rsidRPr="00AE16D0">
        <w:rPr>
          <w:rFonts w:cs="Arial"/>
          <w:rtl/>
        </w:rPr>
        <w:t xml:space="preserve"> שלה</w:t>
      </w:r>
      <w:r w:rsidR="00943054">
        <w:rPr>
          <w:rFonts w:cs="Arial" w:hint="cs"/>
          <w:rtl/>
        </w:rPr>
        <w:t>,</w:t>
      </w:r>
      <w:r w:rsidRPr="00AE16D0">
        <w:rPr>
          <w:rFonts w:cs="Arial"/>
          <w:rtl/>
        </w:rPr>
        <w:t xml:space="preserve"> ואין לו שטר ואין לו עדים אלא שבא בטענת חזקה שאכל הפירות ג' שנים</w:t>
      </w:r>
      <w:r w:rsidR="00313567">
        <w:rPr>
          <w:rFonts w:cs="Arial" w:hint="cs"/>
          <w:rtl/>
        </w:rPr>
        <w:t>,</w:t>
      </w:r>
      <w:r w:rsidRPr="00AE16D0">
        <w:rPr>
          <w:rFonts w:cs="Arial"/>
          <w:rtl/>
        </w:rPr>
        <w:t xml:space="preserve"> אפי' סילק עצמו מפירותיה שכתב לה דין ודברים אין לי בהם דמהני כדלקמן</w:t>
      </w:r>
      <w:r w:rsidR="00943054">
        <w:rPr>
          <w:rFonts w:cs="Arial" w:hint="cs"/>
          <w:rtl/>
        </w:rPr>
        <w:t xml:space="preserve"> </w:t>
      </w:r>
      <w:r w:rsidR="00943054">
        <w:rPr>
          <w:rFonts w:cs="Arial"/>
          <w:rtl/>
        </w:rPr>
        <w:t>(סי' צב)</w:t>
      </w:r>
      <w:r w:rsidR="00313567">
        <w:rPr>
          <w:rFonts w:cs="Arial" w:hint="cs"/>
          <w:rtl/>
        </w:rPr>
        <w:t>,</w:t>
      </w:r>
      <w:r w:rsidRPr="00AE16D0">
        <w:rPr>
          <w:rFonts w:cs="Arial"/>
          <w:rtl/>
        </w:rPr>
        <w:t xml:space="preserve"> אפ"ה </w:t>
      </w:r>
      <w:r w:rsidR="00F97626">
        <w:rPr>
          <w:rFonts w:cs="Arial"/>
          <w:rtl/>
        </w:rPr>
        <w:t>-</w:t>
      </w:r>
      <w:r w:rsidR="00943054">
        <w:rPr>
          <w:rFonts w:cs="Arial" w:hint="cs"/>
          <w:rtl/>
        </w:rPr>
        <w:t xml:space="preserve"> </w:t>
      </w:r>
      <w:r w:rsidRPr="00AE16D0">
        <w:rPr>
          <w:rFonts w:cs="Arial"/>
          <w:rtl/>
        </w:rPr>
        <w:t>אינה חזקה</w:t>
      </w:r>
      <w:r w:rsidR="00313567">
        <w:rPr>
          <w:rFonts w:cs="Arial" w:hint="cs"/>
          <w:rtl/>
        </w:rPr>
        <w:t>,</w:t>
      </w:r>
      <w:r w:rsidRPr="00AE16D0">
        <w:rPr>
          <w:rFonts w:cs="Arial"/>
          <w:rtl/>
        </w:rPr>
        <w:t xml:space="preserve"> שאינה חוששת למחות בו</w:t>
      </w:r>
      <w:r w:rsidR="00313567">
        <w:rPr>
          <w:rFonts w:cs="Arial" w:hint="cs"/>
          <w:rtl/>
        </w:rPr>
        <w:t>.</w:t>
      </w:r>
      <w:r w:rsidRPr="00AE16D0">
        <w:rPr>
          <w:rFonts w:cs="Arial"/>
          <w:rtl/>
        </w:rPr>
        <w:t xml:space="preserve"> </w:t>
      </w:r>
      <w:r w:rsidR="00A6197B" w:rsidRPr="00A6197B">
        <w:rPr>
          <w:rFonts w:hint="cs"/>
          <w:color w:val="E36C0A" w:themeColor="accent6" w:themeShade="BF"/>
          <w:rtl/>
        </w:rPr>
        <w:t>(וכ"פ בשו"ע</w:t>
      </w:r>
      <w:r w:rsidR="000B5E6F" w:rsidRPr="000B5E6F">
        <w:rPr>
          <w:rFonts w:hint="cs"/>
          <w:color w:val="000000" w:themeColor="text1"/>
          <w:sz w:val="16"/>
          <w:szCs w:val="16"/>
          <w:rtl/>
        </w:rPr>
        <w:t xml:space="preserve"> [כאן ובחו"מ סי' קמט ס"ט]</w:t>
      </w:r>
      <w:r w:rsidR="00A6197B" w:rsidRPr="00A6197B">
        <w:rPr>
          <w:rFonts w:hint="cs"/>
          <w:color w:val="E36C0A" w:themeColor="accent6" w:themeShade="BF"/>
          <w:rtl/>
        </w:rPr>
        <w:t>)</w:t>
      </w:r>
    </w:p>
    <w:p w14:paraId="428264F7" w14:textId="159907B5" w:rsidR="00AE0367" w:rsidRPr="00AE0367" w:rsidRDefault="00AE0367" w:rsidP="00AE0367">
      <w:pPr>
        <w:ind w:left="360"/>
        <w:rPr>
          <w:u w:val="dotted"/>
        </w:rPr>
      </w:pPr>
      <w:r w:rsidRPr="00AE0367">
        <w:rPr>
          <w:rFonts w:hint="cs"/>
          <w:u w:val="dotted"/>
          <w:rtl/>
        </w:rPr>
        <w:t>ומה הדין אם יש לו עדים שמכרה לו:</w:t>
      </w:r>
    </w:p>
    <w:p w14:paraId="113D80E8" w14:textId="12158EF5" w:rsidR="007F1954" w:rsidRDefault="00AE0367" w:rsidP="009000E3">
      <w:pPr>
        <w:pStyle w:val="ab"/>
        <w:numPr>
          <w:ilvl w:val="0"/>
          <w:numId w:val="51"/>
        </w:numPr>
      </w:pPr>
      <w:r>
        <w:rPr>
          <w:rFonts w:cs="Arial" w:hint="cs"/>
          <w:rtl/>
        </w:rPr>
        <w:t xml:space="preserve">טור- </w:t>
      </w:r>
      <w:r w:rsidR="00AE16D0" w:rsidRPr="00AE16D0">
        <w:rPr>
          <w:rFonts w:cs="Arial"/>
          <w:rtl/>
        </w:rPr>
        <w:t xml:space="preserve">אבל אם יש עדים שמכרה לו </w:t>
      </w:r>
      <w:r w:rsidR="00F97626">
        <w:rPr>
          <w:rFonts w:cs="Arial"/>
          <w:rtl/>
        </w:rPr>
        <w:t>-</w:t>
      </w:r>
      <w:r w:rsidR="00943054">
        <w:rPr>
          <w:rFonts w:cs="Arial" w:hint="cs"/>
          <w:rtl/>
        </w:rPr>
        <w:t xml:space="preserve"> </w:t>
      </w:r>
      <w:r w:rsidR="00AE16D0" w:rsidRPr="00AE16D0">
        <w:rPr>
          <w:rFonts w:cs="Arial"/>
          <w:rtl/>
        </w:rPr>
        <w:t>מהני</w:t>
      </w:r>
      <w:r w:rsidR="00B3421F">
        <w:rPr>
          <w:rFonts w:cs="Arial" w:hint="cs"/>
          <w:rtl/>
        </w:rPr>
        <w:t>,</w:t>
      </w:r>
      <w:r w:rsidR="00AE16D0" w:rsidRPr="00AE16D0">
        <w:rPr>
          <w:rFonts w:cs="Arial"/>
          <w:rtl/>
        </w:rPr>
        <w:t xml:space="preserve"> ודוקא ב</w:t>
      </w:r>
      <w:r w:rsidR="00750751">
        <w:rPr>
          <w:rFonts w:cs="Arial"/>
          <w:rtl/>
        </w:rPr>
        <w:t>נכסי מלוג</w:t>
      </w:r>
      <w:r w:rsidR="00AE16D0" w:rsidRPr="00AE16D0">
        <w:rPr>
          <w:rFonts w:cs="Arial"/>
          <w:rtl/>
        </w:rPr>
        <w:t xml:space="preserve"> אבל לא בנכסי צאן ברזל ולא בשאר נכסים כדלקמן</w:t>
      </w:r>
      <w:r w:rsidR="000255C3">
        <w:rPr>
          <w:rFonts w:cs="Arial" w:hint="cs"/>
          <w:rtl/>
        </w:rPr>
        <w:t xml:space="preserve"> </w:t>
      </w:r>
      <w:r w:rsidR="000255C3">
        <w:rPr>
          <w:rFonts w:cs="Arial"/>
          <w:rtl/>
        </w:rPr>
        <w:t>(סי' צ</w:t>
      </w:r>
      <w:r>
        <w:rPr>
          <w:rFonts w:cs="Arial" w:hint="cs"/>
          <w:rtl/>
        </w:rPr>
        <w:t>).</w:t>
      </w:r>
      <w:r w:rsidR="00AE16D0" w:rsidRPr="00AE0367">
        <w:rPr>
          <w:rFonts w:cs="Arial"/>
          <w:color w:val="FF0000"/>
          <w:rtl/>
        </w:rPr>
        <w:t xml:space="preserve"> </w:t>
      </w:r>
    </w:p>
    <w:p w14:paraId="155E8959" w14:textId="6A4B225F" w:rsidR="006F5D70" w:rsidRPr="006F5D70" w:rsidRDefault="006F5D70" w:rsidP="006F5D70">
      <w:pPr>
        <w:ind w:left="360"/>
      </w:pPr>
      <w:r w:rsidRPr="006F5D70">
        <w:rPr>
          <w:rFonts w:hint="cs"/>
          <w:u w:val="dotted"/>
          <w:rtl/>
        </w:rPr>
        <w:t xml:space="preserve">ומה הדין </w:t>
      </w:r>
      <w:r w:rsidR="00C74A68">
        <w:rPr>
          <w:rFonts w:hint="cs"/>
          <w:u w:val="dotted"/>
          <w:rtl/>
        </w:rPr>
        <w:t>אם טוען שהקרקע שלו מחמת חזקה אחרת</w:t>
      </w:r>
      <w:r w:rsidRPr="006F5D70">
        <w:rPr>
          <w:rFonts w:hint="cs"/>
          <w:u w:val="dotted"/>
          <w:rtl/>
        </w:rPr>
        <w:t>:</w:t>
      </w:r>
      <w:r>
        <w:rPr>
          <w:rFonts w:hint="cs"/>
          <w:sz w:val="16"/>
          <w:szCs w:val="16"/>
          <w:rtl/>
        </w:rPr>
        <w:t xml:space="preserve">  </w:t>
      </w:r>
      <w:r w:rsidRPr="006F5D70">
        <w:rPr>
          <w:rFonts w:hint="cs"/>
          <w:sz w:val="16"/>
          <w:szCs w:val="16"/>
          <w:rtl/>
        </w:rPr>
        <w:t>(דרכ"מ אות א)</w:t>
      </w:r>
    </w:p>
    <w:p w14:paraId="1F8265D7" w14:textId="2D85A0B0" w:rsidR="006F5D70" w:rsidRPr="007F1954" w:rsidRDefault="006F5D70" w:rsidP="009000E3">
      <w:pPr>
        <w:pStyle w:val="ab"/>
        <w:numPr>
          <w:ilvl w:val="0"/>
          <w:numId w:val="51"/>
        </w:numPr>
      </w:pPr>
      <w:r>
        <w:rPr>
          <w:rFonts w:cs="Arial" w:hint="cs"/>
          <w:rtl/>
        </w:rPr>
        <w:t xml:space="preserve">רי"ו </w:t>
      </w:r>
      <w:r w:rsidRPr="006F5D70">
        <w:rPr>
          <w:rFonts w:cs="Arial" w:hint="cs"/>
          <w:sz w:val="16"/>
          <w:szCs w:val="16"/>
          <w:rtl/>
        </w:rPr>
        <w:t>(</w:t>
      </w:r>
      <w:r w:rsidRPr="006F5D70">
        <w:rPr>
          <w:rFonts w:cs="Arial"/>
          <w:sz w:val="16"/>
          <w:szCs w:val="16"/>
          <w:rtl/>
        </w:rPr>
        <w:t>מישרים נכ"ג ח"ז נט ע"א</w:t>
      </w:r>
      <w:r w:rsidR="0098542A">
        <w:rPr>
          <w:rFonts w:cs="Arial" w:hint="cs"/>
          <w:sz w:val="16"/>
          <w:szCs w:val="16"/>
          <w:rtl/>
        </w:rPr>
        <w:t>, הב"י שלח לעיין בדבריו</w:t>
      </w:r>
      <w:r w:rsidRPr="006F5D70">
        <w:rPr>
          <w:rFonts w:cs="Arial"/>
          <w:sz w:val="16"/>
          <w:szCs w:val="16"/>
          <w:rtl/>
        </w:rPr>
        <w:t>)</w:t>
      </w:r>
      <w:r>
        <w:rPr>
          <w:rFonts w:cs="Arial" w:hint="cs"/>
          <w:rtl/>
        </w:rPr>
        <w:t>-</w:t>
      </w:r>
      <w:r w:rsidRPr="00AE16D0">
        <w:rPr>
          <w:rFonts w:cs="Arial"/>
          <w:rtl/>
        </w:rPr>
        <w:t xml:space="preserve"> דוקא בדבר שצריך לטעון אתה מכרת לי או נתת לי</w:t>
      </w:r>
      <w:r w:rsidR="000D583A">
        <w:rPr>
          <w:rFonts w:cs="Arial" w:hint="cs"/>
          <w:rtl/>
        </w:rPr>
        <w:t>,</w:t>
      </w:r>
      <w:r w:rsidRPr="00AE16D0">
        <w:rPr>
          <w:rFonts w:cs="Arial"/>
          <w:rtl/>
        </w:rPr>
        <w:t xml:space="preserve"> אבל בדבר שאינו צריך לטענה זו כגון פתיחת חלונות או נזקין שאינם תדירין וכיוצא בהן יש לאיש חזקה בנכסי אשתו כמו אחר בנכסי חביר</w:t>
      </w:r>
      <w:r>
        <w:rPr>
          <w:rFonts w:cs="Arial" w:hint="cs"/>
          <w:rtl/>
        </w:rPr>
        <w:t>ו</w:t>
      </w:r>
      <w:r>
        <w:rPr>
          <w:rStyle w:val="a7"/>
          <w:rFonts w:cs="Arial"/>
          <w:rtl/>
        </w:rPr>
        <w:footnoteReference w:id="1104"/>
      </w:r>
      <w:r>
        <w:rPr>
          <w:rFonts w:cs="Arial" w:hint="cs"/>
          <w:rtl/>
        </w:rPr>
        <w:t>.</w:t>
      </w:r>
      <w:r w:rsidRPr="006F5D70">
        <w:rPr>
          <w:rFonts w:hint="cs"/>
          <w:color w:val="00B0F0"/>
          <w:rtl/>
        </w:rPr>
        <w:t xml:space="preserve"> (וכ"פ הרמ"א</w:t>
      </w:r>
      <w:r w:rsidR="000B5E6F">
        <w:rPr>
          <w:rFonts w:hint="cs"/>
          <w:color w:val="00B0F0"/>
          <w:rtl/>
        </w:rPr>
        <w:t xml:space="preserve"> </w:t>
      </w:r>
      <w:r w:rsidR="000B5E6F" w:rsidRPr="000B5E6F">
        <w:rPr>
          <w:rFonts w:hint="cs"/>
          <w:color w:val="000000" w:themeColor="text1"/>
          <w:sz w:val="16"/>
          <w:szCs w:val="16"/>
          <w:rtl/>
        </w:rPr>
        <w:t>[כאן ובחו"מ סי' קמט ס"ט]</w:t>
      </w:r>
      <w:r w:rsidRPr="006F5D70">
        <w:rPr>
          <w:rFonts w:hint="cs"/>
          <w:color w:val="00B0F0"/>
          <w:rtl/>
        </w:rPr>
        <w:t>)</w:t>
      </w:r>
    </w:p>
    <w:p w14:paraId="49A599C6"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6D3B988A" w14:textId="7A72592D" w:rsidR="007A3469" w:rsidRDefault="007A3469" w:rsidP="007A3469">
      <w:pPr>
        <w:rPr>
          <w:rtl/>
        </w:rPr>
      </w:pPr>
      <w:r>
        <w:rPr>
          <w:rFonts w:cs="Arial"/>
          <w:rtl/>
        </w:rPr>
        <w:t>אין לאיש חזקה בנ</w:t>
      </w:r>
      <w:r w:rsidR="00216082">
        <w:rPr>
          <w:rFonts w:cs="Arial" w:hint="cs"/>
          <w:rtl/>
        </w:rPr>
        <w:t xml:space="preserve">כסי </w:t>
      </w:r>
      <w:r>
        <w:rPr>
          <w:rFonts w:cs="Arial"/>
          <w:rtl/>
        </w:rPr>
        <w:t>מ</w:t>
      </w:r>
      <w:r w:rsidR="00216082">
        <w:rPr>
          <w:rFonts w:cs="Arial" w:hint="cs"/>
          <w:rtl/>
        </w:rPr>
        <w:t>לוג</w:t>
      </w:r>
      <w:r>
        <w:rPr>
          <w:rFonts w:cs="Arial"/>
          <w:rtl/>
        </w:rPr>
        <w:t xml:space="preserve"> של אשתו שאכלם שני חזקה, אף על פי שהתנה עמה שאין לו פירות</w:t>
      </w:r>
      <w:r w:rsidR="00B731B9">
        <w:rPr>
          <w:rStyle w:val="a7"/>
          <w:rFonts w:cs="Arial"/>
          <w:rtl/>
        </w:rPr>
        <w:footnoteReference w:id="1105"/>
      </w:r>
      <w:r>
        <w:rPr>
          <w:rFonts w:cs="Arial"/>
          <w:rtl/>
        </w:rPr>
        <w:t xml:space="preserve"> בנכסיה. וכן אין לאשה חזקה בנכסי בעלה</w:t>
      </w:r>
      <w:r w:rsidR="00C74A68">
        <w:rPr>
          <w:rStyle w:val="a7"/>
          <w:rFonts w:cs="Arial"/>
          <w:rtl/>
        </w:rPr>
        <w:footnoteReference w:id="1106"/>
      </w:r>
      <w:r>
        <w:rPr>
          <w:rFonts w:cs="Arial"/>
          <w:rtl/>
        </w:rPr>
        <w:t>, ע</w:t>
      </w:r>
      <w:r w:rsidR="00216082">
        <w:rPr>
          <w:rFonts w:cs="Arial" w:hint="cs"/>
          <w:rtl/>
        </w:rPr>
        <w:t>ל יד</w:t>
      </w:r>
      <w:r>
        <w:rPr>
          <w:rFonts w:cs="Arial"/>
          <w:rtl/>
        </w:rPr>
        <w:t>י שאכלתם שני חזקה</w:t>
      </w:r>
      <w:r w:rsidR="00444D9B">
        <w:rPr>
          <w:rStyle w:val="a7"/>
          <w:rFonts w:cs="Arial"/>
          <w:rtl/>
        </w:rPr>
        <w:footnoteReference w:id="1107"/>
      </w:r>
      <w:r>
        <w:rPr>
          <w:rFonts w:cs="Arial"/>
          <w:rtl/>
        </w:rPr>
        <w:t xml:space="preserve">. </w:t>
      </w:r>
      <w:r w:rsidRPr="00015B40">
        <w:rPr>
          <w:rFonts w:cs="Arial"/>
          <w:sz w:val="18"/>
          <w:szCs w:val="18"/>
          <w:rtl/>
        </w:rPr>
        <w:t>הגה: ודוקא בחזקה כזו, אבל בחזקת נזיקין</w:t>
      </w:r>
      <w:r w:rsidR="00C74A68">
        <w:rPr>
          <w:rStyle w:val="a7"/>
          <w:rFonts w:cs="Arial"/>
          <w:sz w:val="18"/>
          <w:szCs w:val="18"/>
          <w:rtl/>
        </w:rPr>
        <w:footnoteReference w:id="1108"/>
      </w:r>
      <w:r w:rsidRPr="00015B40">
        <w:rPr>
          <w:rFonts w:cs="Arial"/>
          <w:sz w:val="18"/>
          <w:szCs w:val="18"/>
          <w:rtl/>
        </w:rPr>
        <w:t>, כגון פתיחת חלונות וכדומה לזה, יש לאיש חזקה בנכסי אשתו, והוא הדין לאשה על בעלה (רי</w:t>
      </w:r>
      <w:r w:rsidR="00943054">
        <w:rPr>
          <w:rFonts w:cs="Arial" w:hint="cs"/>
          <w:sz w:val="18"/>
          <w:szCs w:val="18"/>
          <w:rtl/>
        </w:rPr>
        <w:t>"ו</w:t>
      </w:r>
      <w:r w:rsidRPr="00015B40">
        <w:rPr>
          <w:rFonts w:cs="Arial"/>
          <w:sz w:val="18"/>
          <w:szCs w:val="18"/>
          <w:rtl/>
        </w:rPr>
        <w:t>). וע</w:t>
      </w:r>
      <w:r w:rsidR="00A6197B">
        <w:rPr>
          <w:rFonts w:cs="Arial" w:hint="cs"/>
          <w:sz w:val="18"/>
          <w:szCs w:val="18"/>
          <w:rtl/>
        </w:rPr>
        <w:t>י</w:t>
      </w:r>
      <w:r w:rsidRPr="00015B40">
        <w:rPr>
          <w:rFonts w:cs="Arial"/>
          <w:sz w:val="18"/>
          <w:szCs w:val="18"/>
          <w:rtl/>
        </w:rPr>
        <w:t>' בחו</w:t>
      </w:r>
      <w:r w:rsidR="00216082">
        <w:rPr>
          <w:rFonts w:cs="Arial" w:hint="cs"/>
          <w:sz w:val="18"/>
          <w:szCs w:val="18"/>
          <w:rtl/>
        </w:rPr>
        <w:t>"מ</w:t>
      </w:r>
      <w:r w:rsidRPr="00015B40">
        <w:rPr>
          <w:rFonts w:cs="Arial"/>
          <w:sz w:val="18"/>
          <w:szCs w:val="18"/>
          <w:rtl/>
        </w:rPr>
        <w:t xml:space="preserve"> סימן קמ"ט.</w:t>
      </w:r>
      <w:r>
        <w:rPr>
          <w:rFonts w:cs="Arial"/>
          <w:rtl/>
        </w:rPr>
        <w:t xml:space="preserve"> </w:t>
      </w:r>
    </w:p>
    <w:p w14:paraId="4673A73D" w14:textId="77777777" w:rsidR="00015B40" w:rsidRDefault="00015B40" w:rsidP="007A3469">
      <w:pPr>
        <w:rPr>
          <w:rtl/>
        </w:rPr>
      </w:pPr>
    </w:p>
    <w:p w14:paraId="2257C6DE" w14:textId="4395B512" w:rsidR="007A3469" w:rsidRDefault="007A3469" w:rsidP="000F64D0">
      <w:pPr>
        <w:pStyle w:val="2"/>
        <w:rPr>
          <w:rtl/>
        </w:rPr>
      </w:pPr>
      <w:r>
        <w:rPr>
          <w:rtl/>
        </w:rPr>
        <w:t>סעיף ב</w:t>
      </w:r>
      <w:r w:rsidR="00015B40">
        <w:rPr>
          <w:rFonts w:hint="cs"/>
          <w:rtl/>
        </w:rPr>
        <w:t>:</w:t>
      </w:r>
      <w:r w:rsidR="00A6197B">
        <w:rPr>
          <w:rFonts w:hint="cs"/>
          <w:rtl/>
        </w:rPr>
        <w:t xml:space="preserve"> אדם שמחזיק בנכסי אשה נשואה.</w:t>
      </w:r>
    </w:p>
    <w:p w14:paraId="615055FE" w14:textId="33EF2E7C" w:rsidR="00A6197B" w:rsidRPr="00A6197B" w:rsidRDefault="00A6197B" w:rsidP="00A6197B">
      <w:pPr>
        <w:rPr>
          <w:rtl/>
        </w:rPr>
      </w:pPr>
      <w:r w:rsidRPr="00313567">
        <w:rPr>
          <w:rFonts w:cs="Arial" w:hint="cs"/>
          <w:b/>
          <w:bCs/>
          <w:rtl/>
        </w:rPr>
        <w:t xml:space="preserve">בבא בתרא </w:t>
      </w:r>
      <w:r>
        <w:rPr>
          <w:rFonts w:cs="Arial" w:hint="cs"/>
          <w:b/>
          <w:bCs/>
          <w:sz w:val="16"/>
          <w:szCs w:val="16"/>
          <w:rtl/>
        </w:rPr>
        <w:t xml:space="preserve">(פ' חזקת) </w:t>
      </w:r>
      <w:r>
        <w:rPr>
          <w:rFonts w:cs="Arial" w:hint="cs"/>
          <w:b/>
          <w:bCs/>
          <w:rtl/>
        </w:rPr>
        <w:t>נ</w:t>
      </w:r>
      <w:r w:rsidR="00CF76ED">
        <w:rPr>
          <w:rStyle w:val="a7"/>
          <w:rFonts w:cs="Arial"/>
          <w:b/>
          <w:bCs/>
          <w:rtl/>
        </w:rPr>
        <w:footnoteReference w:id="1109"/>
      </w:r>
      <w:r w:rsidRPr="00313567">
        <w:rPr>
          <w:rFonts w:cs="Arial" w:hint="cs"/>
          <w:b/>
          <w:bCs/>
          <w:rtl/>
        </w:rPr>
        <w:t xml:space="preserve"> ע"</w:t>
      </w:r>
      <w:r>
        <w:rPr>
          <w:rFonts w:cs="Arial" w:hint="cs"/>
          <w:b/>
          <w:bCs/>
          <w:rtl/>
        </w:rPr>
        <w:t>ב</w:t>
      </w:r>
      <w:r w:rsidRPr="00313567">
        <w:rPr>
          <w:rFonts w:cs="Arial" w:hint="cs"/>
          <w:b/>
          <w:bCs/>
          <w:rtl/>
        </w:rPr>
        <w:t>:</w:t>
      </w:r>
      <w:r>
        <w:rPr>
          <w:rFonts w:cs="Arial" w:hint="cs"/>
          <w:rtl/>
        </w:rPr>
        <w:t xml:space="preserve"> </w:t>
      </w:r>
      <w:r w:rsidRPr="00A6197B">
        <w:rPr>
          <w:rFonts w:cs="Arial"/>
          <w:rtl/>
        </w:rPr>
        <w:t>ולא לאיש חזקה בנכסי אשתו. והאמר רב: אשת איש צריכה למחות, במאן? אילימא באחר, והאמר רב: אין מחזיקין בנכסי אשת איש</w:t>
      </w:r>
      <w:r w:rsidR="0098542A">
        <w:rPr>
          <w:rStyle w:val="a7"/>
          <w:rFonts w:cs="Arial"/>
          <w:rtl/>
        </w:rPr>
        <w:footnoteReference w:id="1110"/>
      </w:r>
      <w:r w:rsidRPr="00A6197B">
        <w:rPr>
          <w:rFonts w:cs="Arial"/>
          <w:rtl/>
        </w:rPr>
        <w:t>!</w:t>
      </w:r>
      <w:r w:rsidR="007A6980">
        <w:rPr>
          <w:rFonts w:cs="Arial" w:hint="cs"/>
          <w:rtl/>
        </w:rPr>
        <w:t>...</w:t>
      </w:r>
      <w:r w:rsidRPr="00A6197B">
        <w:rPr>
          <w:rFonts w:cs="Arial"/>
          <w:rtl/>
        </w:rPr>
        <w:t xml:space="preserve"> </w:t>
      </w:r>
      <w:r w:rsidRPr="007A6980">
        <w:rPr>
          <w:rFonts w:cs="Arial"/>
          <w:u w:val="single"/>
          <w:rtl/>
        </w:rPr>
        <w:t>רב יוסף אמר</w:t>
      </w:r>
      <w:r w:rsidRPr="00A6197B">
        <w:rPr>
          <w:rFonts w:cs="Arial"/>
          <w:rtl/>
        </w:rPr>
        <w:t>: לעולם באחר, וכגון שאכלה מקצת חזקה בחיי הבעל</w:t>
      </w:r>
      <w:r w:rsidR="007A6980">
        <w:rPr>
          <w:rFonts w:cs="Arial" w:hint="cs"/>
          <w:rtl/>
        </w:rPr>
        <w:t>,</w:t>
      </w:r>
      <w:r w:rsidRPr="00A6197B">
        <w:rPr>
          <w:rFonts w:cs="Arial"/>
          <w:rtl/>
        </w:rPr>
        <w:t xml:space="preserve"> ושלש לאחר מיתת הבעל, מיגו דאי בעי אמר ליה: אנא זבינתה מינך, כי א"ל נמי: את זבינתה ליה וזבנה ניהלי - מהימן.</w:t>
      </w:r>
    </w:p>
    <w:p w14:paraId="4B822229" w14:textId="299D98C2" w:rsidR="007F1954" w:rsidRPr="00A6197B" w:rsidRDefault="00A6197B" w:rsidP="007F1954">
      <w:pPr>
        <w:rPr>
          <w:u w:val="single"/>
          <w:rtl/>
        </w:rPr>
      </w:pPr>
      <w:r w:rsidRPr="00A6197B">
        <w:rPr>
          <w:rFonts w:hint="cs"/>
          <w:u w:val="single"/>
          <w:rtl/>
        </w:rPr>
        <w:t>אדם שמחזיק בנכסי אשה נשואה:</w:t>
      </w:r>
    </w:p>
    <w:p w14:paraId="58337406" w14:textId="29D5122A" w:rsidR="00AE16D0" w:rsidRDefault="007F1954" w:rsidP="009000E3">
      <w:pPr>
        <w:pStyle w:val="ab"/>
        <w:numPr>
          <w:ilvl w:val="0"/>
          <w:numId w:val="51"/>
        </w:numPr>
        <w:rPr>
          <w:rtl/>
        </w:rPr>
      </w:pPr>
      <w:r>
        <w:rPr>
          <w:rFonts w:cs="Arial" w:hint="cs"/>
          <w:rtl/>
        </w:rPr>
        <w:t xml:space="preserve">טור- </w:t>
      </w:r>
      <w:r w:rsidRPr="00AE16D0">
        <w:rPr>
          <w:rFonts w:cs="Arial"/>
          <w:rtl/>
        </w:rPr>
        <w:t xml:space="preserve">ואפי' אחר שמחזיק בנכסיה בחיי בעלה </w:t>
      </w:r>
      <w:r>
        <w:rPr>
          <w:rFonts w:cs="Arial" w:hint="cs"/>
          <w:rtl/>
        </w:rPr>
        <w:t xml:space="preserve">- </w:t>
      </w:r>
      <w:r w:rsidRPr="00AE16D0">
        <w:rPr>
          <w:rFonts w:cs="Arial"/>
          <w:rtl/>
        </w:rPr>
        <w:t>אינה חזקה</w:t>
      </w:r>
      <w:r>
        <w:rPr>
          <w:rFonts w:cs="Arial" w:hint="cs"/>
          <w:rtl/>
        </w:rPr>
        <w:t>,</w:t>
      </w:r>
      <w:r w:rsidRPr="00AE16D0">
        <w:rPr>
          <w:rFonts w:cs="Arial"/>
          <w:rtl/>
        </w:rPr>
        <w:t xml:space="preserve"> שסומכת על בעלה ואינה מוחה אפי' אם כתב לה דין ודברים אין לי בנכסיך</w:t>
      </w:r>
      <w:r>
        <w:rPr>
          <w:rFonts w:cs="Arial" w:hint="cs"/>
          <w:rtl/>
        </w:rPr>
        <w:t>,</w:t>
      </w:r>
      <w:r w:rsidRPr="00AE16D0">
        <w:rPr>
          <w:rFonts w:cs="Arial"/>
          <w:rtl/>
        </w:rPr>
        <w:t xml:space="preserve"> כיון שאם מתה הוא יורשה</w:t>
      </w:r>
      <w:r w:rsidR="00A6197B">
        <w:rPr>
          <w:rFonts w:cs="Arial" w:hint="cs"/>
          <w:rtl/>
        </w:rPr>
        <w:t>.</w:t>
      </w:r>
      <w:r w:rsidRPr="00AE16D0">
        <w:rPr>
          <w:rFonts w:cs="Arial"/>
          <w:rtl/>
        </w:rPr>
        <w:t xml:space="preserve"> אבל אחר שהחזיק בהן ג' שנים אחרי מות בעלה</w:t>
      </w:r>
      <w:r w:rsidR="00A6197B">
        <w:rPr>
          <w:rFonts w:cs="Arial" w:hint="cs"/>
          <w:rtl/>
        </w:rPr>
        <w:t>,</w:t>
      </w:r>
      <w:r w:rsidRPr="00AE16D0">
        <w:rPr>
          <w:rFonts w:cs="Arial"/>
          <w:rtl/>
        </w:rPr>
        <w:t xml:space="preserve"> אפי' אם התחיל להחזיק בהן בחיי בעלה</w:t>
      </w:r>
      <w:r w:rsidR="00CF76ED">
        <w:rPr>
          <w:rFonts w:cs="Arial" w:hint="cs"/>
          <w:rtl/>
        </w:rPr>
        <w:t>,</w:t>
      </w:r>
      <w:r w:rsidRPr="00AE16D0">
        <w:rPr>
          <w:rFonts w:cs="Arial"/>
          <w:rtl/>
        </w:rPr>
        <w:t xml:space="preserve"> וטען בפני מכרתם לבעליך והוא מכרם לי </w:t>
      </w:r>
      <w:r w:rsidR="00F97626">
        <w:rPr>
          <w:rFonts w:cs="Arial"/>
          <w:rtl/>
        </w:rPr>
        <w:t>-</w:t>
      </w:r>
      <w:r>
        <w:rPr>
          <w:rFonts w:cs="Arial" w:hint="cs"/>
          <w:rtl/>
        </w:rPr>
        <w:t xml:space="preserve"> </w:t>
      </w:r>
      <w:r w:rsidRPr="00AE16D0">
        <w:rPr>
          <w:rFonts w:cs="Arial"/>
          <w:rtl/>
        </w:rPr>
        <w:t>הויא חזקה</w:t>
      </w:r>
      <w:r>
        <w:rPr>
          <w:rFonts w:cs="Arial" w:hint="cs"/>
          <w:rtl/>
        </w:rPr>
        <w:t>,</w:t>
      </w:r>
      <w:r w:rsidRPr="00AE16D0">
        <w:rPr>
          <w:rFonts w:cs="Arial"/>
          <w:rtl/>
        </w:rPr>
        <w:t xml:space="preserve"> במגו שהיה יכול לומר שקנה ממנה אחרי מות בעלה</w:t>
      </w:r>
      <w:r>
        <w:rPr>
          <w:rFonts w:cs="Arial" w:hint="cs"/>
          <w:rtl/>
        </w:rPr>
        <w:t>,</w:t>
      </w:r>
      <w:r w:rsidRPr="00AE16D0">
        <w:rPr>
          <w:rFonts w:cs="Arial"/>
          <w:rtl/>
        </w:rPr>
        <w:t xml:space="preserve"> ודבר זה מבואר עוד בספר ח</w:t>
      </w:r>
      <w:r>
        <w:rPr>
          <w:rFonts w:cs="Arial" w:hint="cs"/>
          <w:rtl/>
        </w:rPr>
        <w:t xml:space="preserve">ושן </w:t>
      </w:r>
      <w:r w:rsidRPr="00AE16D0">
        <w:rPr>
          <w:rFonts w:cs="Arial"/>
          <w:rtl/>
        </w:rPr>
        <w:t>ה</w:t>
      </w:r>
      <w:r>
        <w:rPr>
          <w:rFonts w:cs="Arial" w:hint="cs"/>
          <w:rtl/>
        </w:rPr>
        <w:t>משפט</w:t>
      </w:r>
      <w:r w:rsidRPr="00AE16D0">
        <w:rPr>
          <w:rFonts w:cs="Arial"/>
          <w:rtl/>
        </w:rPr>
        <w:t xml:space="preserve"> בדיני חזקות</w:t>
      </w:r>
      <w:r>
        <w:rPr>
          <w:rFonts w:cs="Arial" w:hint="cs"/>
          <w:rtl/>
        </w:rPr>
        <w:t>.</w:t>
      </w:r>
      <w:r w:rsidR="00B731B9" w:rsidRPr="00AE16D0">
        <w:rPr>
          <w:rFonts w:cs="Arial"/>
          <w:rtl/>
        </w:rPr>
        <w:t xml:space="preserve"> </w:t>
      </w:r>
      <w:r w:rsidR="00B731B9" w:rsidRPr="00A6197B">
        <w:rPr>
          <w:rFonts w:hint="cs"/>
          <w:color w:val="E36C0A" w:themeColor="accent6" w:themeShade="BF"/>
          <w:rtl/>
        </w:rPr>
        <w:t>(וכ"פ בשו"ע)</w:t>
      </w:r>
    </w:p>
    <w:p w14:paraId="71092F99" w14:textId="77777777" w:rsidR="006D776D" w:rsidRDefault="006D776D" w:rsidP="006D776D">
      <w:pPr>
        <w:rPr>
          <w:rFonts w:cs="Arial"/>
          <w:rtl/>
        </w:rPr>
      </w:pPr>
      <w:r w:rsidRPr="003024E5">
        <w:rPr>
          <w:rFonts w:asciiTheme="minorBidi" w:hAnsiTheme="minorBidi"/>
          <w:b/>
          <w:bCs/>
          <w:color w:val="000000"/>
          <w:sz w:val="28"/>
          <w:szCs w:val="28"/>
          <w:u w:val="single"/>
          <w:rtl/>
        </w:rPr>
        <w:lastRenderedPageBreak/>
        <w:t>שו"ע:</w:t>
      </w:r>
    </w:p>
    <w:p w14:paraId="55ABBBF6" w14:textId="1513CEBF" w:rsidR="007A3469" w:rsidRDefault="007A3469" w:rsidP="007A3469">
      <w:pPr>
        <w:rPr>
          <w:rFonts w:cs="Arial"/>
          <w:sz w:val="18"/>
          <w:szCs w:val="18"/>
          <w:rtl/>
        </w:rPr>
      </w:pPr>
      <w:r>
        <w:rPr>
          <w:rFonts w:cs="Arial"/>
          <w:rtl/>
        </w:rPr>
        <w:t>מי שהחזיק בנכסי אשת איש, לא עלתה לו חזקה, א</w:t>
      </w:r>
      <w:r w:rsidR="006F5D70">
        <w:rPr>
          <w:rFonts w:cs="Arial" w:hint="cs"/>
          <w:rtl/>
        </w:rPr>
        <w:t>לא אם כן</w:t>
      </w:r>
      <w:r>
        <w:rPr>
          <w:rFonts w:cs="Arial"/>
          <w:rtl/>
        </w:rPr>
        <w:t xml:space="preserve"> החזיק בהן שלשה שנים אחר מות בעלה. </w:t>
      </w:r>
      <w:r w:rsidR="00CF76ED">
        <w:rPr>
          <w:rFonts w:cs="Arial" w:hint="cs"/>
          <w:sz w:val="18"/>
          <w:szCs w:val="18"/>
          <w:rtl/>
        </w:rPr>
        <w:t xml:space="preserve">[הגה] </w:t>
      </w:r>
      <w:r w:rsidRPr="00015B40">
        <w:rPr>
          <w:rFonts w:cs="Arial"/>
          <w:sz w:val="18"/>
          <w:szCs w:val="18"/>
          <w:rtl/>
        </w:rPr>
        <w:t>ועיין בח"ה סימן קמ"ט.</w:t>
      </w:r>
    </w:p>
    <w:p w14:paraId="046DA200" w14:textId="56378EE1" w:rsidR="007E3965" w:rsidRPr="007E3965" w:rsidRDefault="007E3965" w:rsidP="007E3965">
      <w:pPr>
        <w:rPr>
          <w:u w:val="single"/>
          <w:rtl/>
        </w:rPr>
      </w:pPr>
      <w:r>
        <w:rPr>
          <w:rFonts w:hint="cs"/>
          <w:u w:val="single"/>
          <w:rtl/>
        </w:rPr>
        <w:t>אדם שהחזיק בשדה של אשת איש ג' שנים בחיי בעלה, ו</w:t>
      </w:r>
      <w:r w:rsidRPr="007E3965">
        <w:rPr>
          <w:rFonts w:hint="cs"/>
          <w:u w:val="single"/>
          <w:rtl/>
        </w:rPr>
        <w:t>בעל</w:t>
      </w:r>
      <w:r>
        <w:rPr>
          <w:rFonts w:hint="cs"/>
          <w:u w:val="single"/>
          <w:rtl/>
        </w:rPr>
        <w:t>ה</w:t>
      </w:r>
      <w:r w:rsidRPr="007E3965">
        <w:rPr>
          <w:rFonts w:hint="cs"/>
          <w:u w:val="single"/>
          <w:rtl/>
        </w:rPr>
        <w:t xml:space="preserve"> סילק את עצמו מפירות אשתו </w:t>
      </w:r>
      <w:r w:rsidRPr="007E3965">
        <w:rPr>
          <w:rFonts w:hint="cs"/>
          <w:b/>
          <w:bCs/>
          <w:u w:val="single"/>
          <w:rtl/>
        </w:rPr>
        <w:t>ומירושתה</w:t>
      </w:r>
      <w:r w:rsidRPr="007E3965">
        <w:rPr>
          <w:rFonts w:hint="cs"/>
          <w:u w:val="single"/>
          <w:rtl/>
        </w:rPr>
        <w:t>:</w:t>
      </w:r>
    </w:p>
    <w:p w14:paraId="6E7B1933" w14:textId="6D31479F" w:rsidR="00B13E97" w:rsidRDefault="00B13E97" w:rsidP="009000E3">
      <w:pPr>
        <w:pStyle w:val="ab"/>
        <w:numPr>
          <w:ilvl w:val="0"/>
          <w:numId w:val="51"/>
        </w:numPr>
        <w:rPr>
          <w:rtl/>
        </w:rPr>
      </w:pPr>
      <w:r>
        <w:rPr>
          <w:rFonts w:hint="cs"/>
          <w:rtl/>
        </w:rPr>
        <w:t xml:space="preserve">ח"מ </w:t>
      </w:r>
      <w:r w:rsidRPr="00B13E97">
        <w:rPr>
          <w:rFonts w:hint="cs"/>
          <w:sz w:val="16"/>
          <w:szCs w:val="16"/>
          <w:rtl/>
        </w:rPr>
        <w:t>(סק"ד)</w:t>
      </w:r>
      <w:r>
        <w:rPr>
          <w:rFonts w:hint="cs"/>
          <w:rtl/>
        </w:rPr>
        <w:t xml:space="preserve">- </w:t>
      </w:r>
      <w:r w:rsidRPr="00B13E97">
        <w:rPr>
          <w:rtl/>
        </w:rPr>
        <w:t xml:space="preserve">בטור כתב </w:t>
      </w:r>
      <w:r w:rsidR="007E3965">
        <w:rPr>
          <w:rFonts w:hint="cs"/>
          <w:rtl/>
        </w:rPr>
        <w:t>'</w:t>
      </w:r>
      <w:r w:rsidRPr="00B13E97">
        <w:rPr>
          <w:rtl/>
        </w:rPr>
        <w:t>אפי</w:t>
      </w:r>
      <w:r w:rsidR="007E3965">
        <w:rPr>
          <w:rFonts w:hint="cs"/>
          <w:rtl/>
        </w:rPr>
        <w:t>לו</w:t>
      </w:r>
      <w:r w:rsidRPr="00B13E97">
        <w:rPr>
          <w:rtl/>
        </w:rPr>
        <w:t xml:space="preserve"> אם כתב לה אין לי דין ודברים בנכסיך כיון שמתה היא יורשה</w:t>
      </w:r>
      <w:r w:rsidR="007E3965">
        <w:rPr>
          <w:rFonts w:hint="cs"/>
          <w:rtl/>
        </w:rPr>
        <w:t>'</w:t>
      </w:r>
      <w:r w:rsidRPr="00B13E97">
        <w:rPr>
          <w:rtl/>
        </w:rPr>
        <w:t xml:space="preserve"> משמע להדי</w:t>
      </w:r>
      <w:r w:rsidR="007E3965">
        <w:rPr>
          <w:rFonts w:hint="cs"/>
          <w:rtl/>
        </w:rPr>
        <w:t>א</w:t>
      </w:r>
      <w:r w:rsidRPr="00B13E97">
        <w:rPr>
          <w:rtl/>
        </w:rPr>
        <w:t xml:space="preserve"> הא אם סילק עצמו גם מירושת</w:t>
      </w:r>
      <w:r w:rsidR="007E3965">
        <w:rPr>
          <w:rFonts w:hint="cs"/>
          <w:rtl/>
        </w:rPr>
        <w:t>ה</w:t>
      </w:r>
      <w:r w:rsidRPr="00B13E97">
        <w:rPr>
          <w:rtl/>
        </w:rPr>
        <w:t xml:space="preserve"> יש חזקה בנכסי א</w:t>
      </w:r>
      <w:r w:rsidR="007E3965">
        <w:rPr>
          <w:rFonts w:hint="cs"/>
          <w:rtl/>
        </w:rPr>
        <w:t>שת איש,</w:t>
      </w:r>
      <w:r w:rsidRPr="00B13E97">
        <w:rPr>
          <w:rtl/>
        </w:rPr>
        <w:t xml:space="preserve"> דאין לה לסמוך על בעלה</w:t>
      </w:r>
      <w:r w:rsidR="007E3965">
        <w:rPr>
          <w:rFonts w:hint="cs"/>
          <w:rtl/>
        </w:rPr>
        <w:t>.</w:t>
      </w:r>
    </w:p>
    <w:p w14:paraId="7FC012D9" w14:textId="4346A713" w:rsidR="00B13E97" w:rsidRDefault="00B13E97" w:rsidP="009000E3">
      <w:pPr>
        <w:pStyle w:val="ab"/>
        <w:numPr>
          <w:ilvl w:val="0"/>
          <w:numId w:val="51"/>
        </w:numPr>
        <w:rPr>
          <w:rtl/>
        </w:rPr>
      </w:pPr>
      <w:r>
        <w:rPr>
          <w:rFonts w:hint="cs"/>
          <w:rtl/>
        </w:rPr>
        <w:t xml:space="preserve">ב"ש </w:t>
      </w:r>
      <w:r w:rsidRPr="000B69EF">
        <w:rPr>
          <w:rFonts w:hint="cs"/>
          <w:sz w:val="16"/>
          <w:szCs w:val="16"/>
          <w:rtl/>
        </w:rPr>
        <w:t>(סק"ד)</w:t>
      </w:r>
      <w:r>
        <w:rPr>
          <w:rFonts w:hint="cs"/>
          <w:rtl/>
        </w:rPr>
        <w:t xml:space="preserve">- </w:t>
      </w:r>
      <w:r w:rsidRPr="00B13E97">
        <w:rPr>
          <w:rFonts w:cs="Arial"/>
          <w:rtl/>
        </w:rPr>
        <w:t>מדייק בח"מ</w:t>
      </w:r>
      <w:r w:rsidR="000B69EF">
        <w:rPr>
          <w:rFonts w:cs="Arial" w:hint="cs"/>
          <w:rtl/>
        </w:rPr>
        <w:t xml:space="preserve"> </w:t>
      </w:r>
      <w:r w:rsidR="000B69EF">
        <w:rPr>
          <w:rFonts w:cs="Arial" w:hint="cs"/>
          <w:sz w:val="16"/>
          <w:szCs w:val="16"/>
          <w:rtl/>
        </w:rPr>
        <w:t>(סק"ד)</w:t>
      </w:r>
      <w:r w:rsidRPr="00B13E97">
        <w:rPr>
          <w:rFonts w:cs="Arial"/>
          <w:rtl/>
        </w:rPr>
        <w:t xml:space="preserve"> </w:t>
      </w:r>
      <w:r w:rsidR="000B69EF">
        <w:rPr>
          <w:rFonts w:cs="Arial" w:hint="cs"/>
          <w:rtl/>
        </w:rPr>
        <w:t>ד</w:t>
      </w:r>
      <w:r w:rsidRPr="00B13E97">
        <w:rPr>
          <w:rFonts w:cs="Arial"/>
          <w:rtl/>
        </w:rPr>
        <w:t xml:space="preserve">אם הוא סילק את עצמו מירושה ומפירו' </w:t>
      </w:r>
      <w:r w:rsidRPr="00B13E97">
        <w:rPr>
          <w:rFonts w:cs="Arial" w:hint="cs"/>
          <w:rtl/>
        </w:rPr>
        <w:t xml:space="preserve">- </w:t>
      </w:r>
      <w:r w:rsidRPr="00B13E97">
        <w:rPr>
          <w:rFonts w:cs="Arial"/>
          <w:rtl/>
        </w:rPr>
        <w:t>מחזיקים בנכסים שלה</w:t>
      </w:r>
      <w:r w:rsidRPr="00B13E97">
        <w:rPr>
          <w:rFonts w:cs="Arial" w:hint="cs"/>
          <w:rtl/>
        </w:rPr>
        <w:t>,</w:t>
      </w:r>
      <w:r w:rsidRPr="00B13E97">
        <w:rPr>
          <w:rFonts w:cs="Arial"/>
          <w:rtl/>
        </w:rPr>
        <w:t xml:space="preserve"> דאז אין לו שום הנאה ואינו מוחה</w:t>
      </w:r>
      <w:r w:rsidRPr="00B13E97">
        <w:rPr>
          <w:rFonts w:cs="Arial" w:hint="cs"/>
          <w:rtl/>
        </w:rPr>
        <w:t>.</w:t>
      </w:r>
      <w:r w:rsidRPr="00B13E97">
        <w:rPr>
          <w:rFonts w:cs="Arial"/>
          <w:rtl/>
        </w:rPr>
        <w:t xml:space="preserve"> ולכאורה קשה לפ"ז למה לא אוקמי שם הא דתניא אשת איש צריכה למחות איירי בכה"ג דהבעל סילק את עצמו אף מירושה והחזיק אחר</w:t>
      </w:r>
      <w:r w:rsidRPr="00B13E97">
        <w:rPr>
          <w:rFonts w:cs="Arial" w:hint="cs"/>
          <w:rtl/>
        </w:rPr>
        <w:t>,</w:t>
      </w:r>
      <w:r w:rsidRPr="00B13E97">
        <w:rPr>
          <w:rFonts w:cs="Arial"/>
          <w:rtl/>
        </w:rPr>
        <w:t xml:space="preserve"> ומדלא תירץ כן</w:t>
      </w:r>
      <w:r w:rsidR="000B69EF">
        <w:rPr>
          <w:rStyle w:val="a7"/>
          <w:rFonts w:cs="Arial"/>
          <w:rtl/>
        </w:rPr>
        <w:footnoteReference w:id="1111"/>
      </w:r>
      <w:r w:rsidRPr="00B13E97">
        <w:rPr>
          <w:rFonts w:cs="Arial"/>
          <w:rtl/>
        </w:rPr>
        <w:t xml:space="preserve"> ש"מ אף בכה"ג אין מחזיקין</w:t>
      </w:r>
      <w:r w:rsidRPr="00B13E97">
        <w:rPr>
          <w:rFonts w:cs="Arial" w:hint="cs"/>
          <w:rtl/>
        </w:rPr>
        <w:t>,</w:t>
      </w:r>
      <w:r w:rsidRPr="00B13E97">
        <w:rPr>
          <w:rFonts w:cs="Arial"/>
          <w:rtl/>
        </w:rPr>
        <w:t xml:space="preserve"> וכן משמע מתשו' רשב"א שהביא הב"י בסי' קמ"ט בח"ה דכתב הבעל הוא כאפוטרופס שלה מ"ה היא סומכת עליו</w:t>
      </w:r>
      <w:r w:rsidRPr="00B13E97">
        <w:rPr>
          <w:rFonts w:cs="Arial" w:hint="cs"/>
          <w:rtl/>
        </w:rPr>
        <w:t>,</w:t>
      </w:r>
      <w:r w:rsidRPr="00B13E97">
        <w:rPr>
          <w:rFonts w:cs="Arial"/>
          <w:rtl/>
        </w:rPr>
        <w:t xml:space="preserve"> משמע להדי' אפילו אם אין לו שום הנאה סומכת עליו</w:t>
      </w:r>
      <w:r w:rsidRPr="00B13E97">
        <w:rPr>
          <w:rFonts w:cs="Arial" w:hint="cs"/>
          <w:rtl/>
        </w:rPr>
        <w:t>,</w:t>
      </w:r>
      <w:r w:rsidRPr="00B13E97">
        <w:rPr>
          <w:rFonts w:cs="Arial"/>
          <w:rtl/>
        </w:rPr>
        <w:t xml:space="preserve"> ותוס' הנ"ל דכתבו כיון שאם מתה וכו' ס"ל דא"י לסלק מירושה מ"ה כתבו הטעם דיש לו הנאה דיורש אותה</w:t>
      </w:r>
      <w:r w:rsidRPr="00B13E97">
        <w:rPr>
          <w:rFonts w:cs="Arial" w:hint="cs"/>
          <w:rtl/>
        </w:rPr>
        <w:t>,</w:t>
      </w:r>
      <w:r w:rsidRPr="00B13E97">
        <w:rPr>
          <w:rFonts w:cs="Arial"/>
          <w:rtl/>
        </w:rPr>
        <w:t xml:space="preserve"> אבל באמת אפילו אם אין לו הנאה נמי אין מחזיקים</w:t>
      </w:r>
      <w:r>
        <w:rPr>
          <w:rFonts w:hint="cs"/>
          <w:rtl/>
        </w:rPr>
        <w:t>.</w:t>
      </w:r>
    </w:p>
    <w:p w14:paraId="4407BBDC" w14:textId="79A55ADA" w:rsidR="00B13E97" w:rsidRPr="007A3469" w:rsidRDefault="00B13E97" w:rsidP="007A3469">
      <w:pPr>
        <w:rPr>
          <w:rtl/>
        </w:rPr>
        <w:sectPr w:rsidR="00B13E97" w:rsidRPr="007A3469" w:rsidSect="00A347B3">
          <w:headerReference w:type="default" r:id="rId30"/>
          <w:footnotePr>
            <w:numRestart w:val="eachSect"/>
          </w:footnotePr>
          <w:pgSz w:w="11906" w:h="16838"/>
          <w:pgMar w:top="720" w:right="1134" w:bottom="720" w:left="1134" w:header="0" w:footer="0" w:gutter="0"/>
          <w:cols w:space="720"/>
          <w:bidi/>
          <w:rtlGutter/>
          <w:docGrid w:linePitch="360"/>
        </w:sectPr>
      </w:pPr>
    </w:p>
    <w:p w14:paraId="3958B33E" w14:textId="1B49D796" w:rsidR="007A3469" w:rsidRDefault="00DB717C" w:rsidP="007A3469">
      <w:pPr>
        <w:pStyle w:val="1"/>
        <w:rPr>
          <w:rtl/>
        </w:rPr>
      </w:pPr>
      <w:r>
        <w:rPr>
          <w:rFonts w:hint="cs"/>
          <w:rtl/>
        </w:rPr>
        <w:lastRenderedPageBreak/>
        <w:t>סימן פח:</w:t>
      </w:r>
      <w:r w:rsidRPr="00C12B74">
        <w:rPr>
          <w:rtl/>
        </w:rPr>
        <w:t xml:space="preserve"> </w:t>
      </w:r>
      <w:r w:rsidR="007A3469">
        <w:rPr>
          <w:rFonts w:cs="Arial"/>
          <w:rtl/>
        </w:rPr>
        <w:t xml:space="preserve">כל היוצאת מתחת בעלה במיתה או בגט או במיאון נוטלת נכסים, ובו י"ב סעיפים. </w:t>
      </w:r>
    </w:p>
    <w:p w14:paraId="1AE117E2" w14:textId="46B12710" w:rsidR="007A3469" w:rsidRDefault="007A3469" w:rsidP="000F64D0">
      <w:pPr>
        <w:pStyle w:val="2"/>
        <w:rPr>
          <w:rtl/>
        </w:rPr>
      </w:pPr>
      <w:r>
        <w:rPr>
          <w:rtl/>
        </w:rPr>
        <w:t>סעיף א</w:t>
      </w:r>
      <w:r w:rsidR="00B13E97">
        <w:rPr>
          <w:rFonts w:hint="cs"/>
          <w:rtl/>
        </w:rPr>
        <w:t>:</w:t>
      </w:r>
      <w:r w:rsidR="00A97378" w:rsidRPr="00A97378">
        <w:rPr>
          <w:rtl/>
        </w:rPr>
        <w:t xml:space="preserve"> </w:t>
      </w:r>
      <w:r w:rsidR="00A97378" w:rsidRPr="00C57802">
        <w:rPr>
          <w:rtl/>
        </w:rPr>
        <w:t>אשה שיוצאת מתחת ידי בעלה</w:t>
      </w:r>
      <w:r w:rsidR="00A97378">
        <w:rPr>
          <w:rFonts w:hint="cs"/>
          <w:rtl/>
        </w:rPr>
        <w:t xml:space="preserve"> נוטלת נכסיה.</w:t>
      </w:r>
    </w:p>
    <w:p w14:paraId="6F5C4F89" w14:textId="472B47B6" w:rsidR="00C867A2" w:rsidRDefault="00C867A2" w:rsidP="00C867A2">
      <w:pPr>
        <w:rPr>
          <w:rtl/>
        </w:rPr>
      </w:pPr>
      <w:bookmarkStart w:id="2" w:name="_Hlk135129687"/>
      <w:r>
        <w:rPr>
          <w:rFonts w:cs="Arial" w:hint="cs"/>
          <w:b/>
          <w:bCs/>
          <w:rtl/>
        </w:rPr>
        <w:t>יבמות</w:t>
      </w:r>
      <w:r>
        <w:rPr>
          <w:rFonts w:cs="Arial" w:hint="cs"/>
          <w:b/>
          <w:bCs/>
          <w:sz w:val="16"/>
          <w:szCs w:val="16"/>
          <w:rtl/>
        </w:rPr>
        <w:t xml:space="preserve"> (ר"פ אלמנה לכה"ג)</w:t>
      </w:r>
      <w:r>
        <w:rPr>
          <w:rFonts w:cs="Arial" w:hint="cs"/>
          <w:b/>
          <w:bCs/>
          <w:rtl/>
        </w:rPr>
        <w:t xml:space="preserve"> סו ע"</w:t>
      </w:r>
      <w:r w:rsidR="00750751">
        <w:rPr>
          <w:rFonts w:cs="Arial" w:hint="cs"/>
          <w:b/>
          <w:bCs/>
          <w:rtl/>
        </w:rPr>
        <w:t>א</w:t>
      </w:r>
      <w:r>
        <w:rPr>
          <w:rFonts w:cs="Arial" w:hint="cs"/>
          <w:b/>
          <w:bCs/>
          <w:rtl/>
        </w:rPr>
        <w:t>:</w:t>
      </w:r>
      <w:bookmarkEnd w:id="2"/>
      <w:r>
        <w:rPr>
          <w:rFonts w:cs="Arial" w:hint="cs"/>
          <w:b/>
          <w:bCs/>
          <w:rtl/>
        </w:rPr>
        <w:t xml:space="preserve"> </w:t>
      </w:r>
      <w:r w:rsidRPr="0052467B">
        <w:rPr>
          <w:rFonts w:cs="Arial"/>
          <w:u w:val="double"/>
          <w:rtl/>
        </w:rPr>
        <w:t>מתני'</w:t>
      </w:r>
      <w:r>
        <w:rPr>
          <w:rFonts w:cs="Arial" w:hint="cs"/>
          <w:rtl/>
        </w:rPr>
        <w:t>:</w:t>
      </w:r>
      <w:r w:rsidRPr="0052467B">
        <w:rPr>
          <w:rFonts w:cs="Arial"/>
          <w:rtl/>
        </w:rPr>
        <w:t xml:space="preserve"> אלמנה לכהן גדול, גרושה וחלוצה לכהן הדיוט, הכניסה לו עבדי מלוג</w:t>
      </w:r>
      <w:r>
        <w:rPr>
          <w:rStyle w:val="a7"/>
          <w:rFonts w:cs="Arial"/>
          <w:rtl/>
        </w:rPr>
        <w:footnoteReference w:id="1112"/>
      </w:r>
      <w:r w:rsidRPr="0052467B">
        <w:rPr>
          <w:rFonts w:cs="Arial"/>
          <w:rtl/>
        </w:rPr>
        <w:t xml:space="preserve"> ועבדי צאן ברזל, עבדי מלוג לא יאכלו</w:t>
      </w:r>
      <w:r>
        <w:rPr>
          <w:rStyle w:val="a7"/>
          <w:rFonts w:cs="Arial"/>
          <w:rtl/>
        </w:rPr>
        <w:footnoteReference w:id="1113"/>
      </w:r>
      <w:r w:rsidRPr="0052467B">
        <w:rPr>
          <w:rFonts w:cs="Arial"/>
          <w:rtl/>
        </w:rPr>
        <w:t xml:space="preserve"> בתרומה, עבדי צאן ברזל יאכלו. ואלו הן עבדי מלוג: אם מתו - מתו לה, ואם הותירו - הותירו לה, אף על פי שהוא חייב במזונותן - הרי אלו לא יאכלו בתרומה. ואלו הן עבדי צאן ברזל: אם מתו - מתו לו, ואם הותירו - הותירו לו, הואיל והוא חייב באחריותן - הרי אלו יאכלו בתרומה.</w:t>
      </w:r>
      <w:r>
        <w:rPr>
          <w:rFonts w:cs="Arial" w:hint="cs"/>
          <w:rtl/>
        </w:rPr>
        <w:t>..</w:t>
      </w:r>
      <w:r w:rsidR="007A617E" w:rsidRPr="007A617E">
        <w:rPr>
          <w:rtl/>
        </w:rPr>
        <w:t xml:space="preserve"> </w:t>
      </w:r>
      <w:r w:rsidR="007A617E">
        <w:rPr>
          <w:rFonts w:cs="Arial" w:hint="cs"/>
          <w:rtl/>
        </w:rPr>
        <w:t xml:space="preserve">     </w:t>
      </w:r>
      <w:r w:rsidR="007A617E" w:rsidRPr="007A617E">
        <w:rPr>
          <w:rFonts w:cs="Arial" w:hint="cs"/>
          <w:u w:val="double"/>
          <w:rtl/>
        </w:rPr>
        <w:t>גמ':</w:t>
      </w:r>
      <w:r w:rsidR="007A617E">
        <w:rPr>
          <w:rFonts w:cs="Arial" w:hint="cs"/>
          <w:rtl/>
        </w:rPr>
        <w:t xml:space="preserve"> </w:t>
      </w:r>
      <w:bookmarkStart w:id="3" w:name="_Hlk135129680"/>
      <w:r w:rsidR="00750751" w:rsidRPr="00750751">
        <w:rPr>
          <w:rFonts w:cs="Arial"/>
          <w:rtl/>
        </w:rPr>
        <w:t>איתמר: המכנסת שום לבעלה</w:t>
      </w:r>
      <w:r w:rsidR="00844E7D">
        <w:rPr>
          <w:rStyle w:val="a7"/>
          <w:rFonts w:cs="Arial"/>
          <w:rtl/>
        </w:rPr>
        <w:footnoteReference w:id="1114"/>
      </w:r>
      <w:r w:rsidR="00750751" w:rsidRPr="00750751">
        <w:rPr>
          <w:rFonts w:cs="Arial"/>
          <w:rtl/>
        </w:rPr>
        <w:t>, היא אומרת כלי אני נוטלת, והוא אומר דמים אני נותן</w:t>
      </w:r>
      <w:r w:rsidR="00844E7D">
        <w:rPr>
          <w:rStyle w:val="a7"/>
          <w:rFonts w:cs="Arial"/>
          <w:rtl/>
        </w:rPr>
        <w:footnoteReference w:id="1115"/>
      </w:r>
      <w:r w:rsidR="00750751" w:rsidRPr="00750751">
        <w:rPr>
          <w:rFonts w:cs="Arial"/>
          <w:rtl/>
        </w:rPr>
        <w:t xml:space="preserve">, הדין עם מי? </w:t>
      </w:r>
      <w:r w:rsidR="00750751" w:rsidRPr="00750751">
        <w:rPr>
          <w:rFonts w:cs="Arial"/>
          <w:u w:val="single"/>
          <w:rtl/>
        </w:rPr>
        <w:t>רב יהודה אמר</w:t>
      </w:r>
      <w:r w:rsidR="00750751" w:rsidRPr="00750751">
        <w:rPr>
          <w:rFonts w:cs="Arial"/>
          <w:rtl/>
        </w:rPr>
        <w:t>:</w:t>
      </w:r>
      <w:r w:rsidR="00926007">
        <w:rPr>
          <w:rFonts w:cs="Arial" w:hint="cs"/>
          <w:sz w:val="14"/>
          <w:szCs w:val="14"/>
          <w:rtl/>
        </w:rPr>
        <w:t xml:space="preserve"> </w:t>
      </w:r>
      <w:r w:rsidR="00750751">
        <w:rPr>
          <w:rFonts w:cs="Arial" w:hint="cs"/>
          <w:sz w:val="14"/>
          <w:szCs w:val="14"/>
          <w:rtl/>
        </w:rPr>
        <w:t>(סו:)</w:t>
      </w:r>
      <w:r w:rsidR="00750751" w:rsidRPr="00750751">
        <w:rPr>
          <w:rtl/>
        </w:rPr>
        <w:t xml:space="preserve"> </w:t>
      </w:r>
      <w:r w:rsidR="00750751" w:rsidRPr="00750751">
        <w:rPr>
          <w:rFonts w:cs="Arial"/>
          <w:rtl/>
        </w:rPr>
        <w:t>הדין עמה</w:t>
      </w:r>
      <w:r w:rsidR="007E3EDE">
        <w:rPr>
          <w:rStyle w:val="a7"/>
          <w:rFonts w:cs="Arial"/>
          <w:rtl/>
        </w:rPr>
        <w:footnoteReference w:id="1116"/>
      </w:r>
      <w:r w:rsidR="00750751" w:rsidRPr="00750751">
        <w:rPr>
          <w:rFonts w:cs="Arial"/>
          <w:rtl/>
        </w:rPr>
        <w:t xml:space="preserve">, </w:t>
      </w:r>
      <w:r w:rsidR="00750751" w:rsidRPr="00750751">
        <w:rPr>
          <w:rFonts w:cs="Arial"/>
          <w:u w:val="single"/>
          <w:rtl/>
        </w:rPr>
        <w:t>ור' אמי אמר</w:t>
      </w:r>
      <w:r w:rsidR="00750751" w:rsidRPr="00750751">
        <w:rPr>
          <w:rFonts w:cs="Arial"/>
          <w:rtl/>
        </w:rPr>
        <w:t>: הדין עמו. רב יהודה אמר הדין עמה, משום שבח בית אביה דידה הוי</w:t>
      </w:r>
      <w:r w:rsidR="005661E8">
        <w:rPr>
          <w:rFonts w:cs="Arial" w:hint="cs"/>
          <w:rtl/>
        </w:rPr>
        <w:t>.</w:t>
      </w:r>
      <w:r w:rsidR="00750751" w:rsidRPr="00750751">
        <w:rPr>
          <w:rFonts w:cs="Arial"/>
          <w:rtl/>
        </w:rPr>
        <w:t xml:space="preserve"> ר' אמי אמר הדין עמו, כיון דאמר מר: אם מתו - מתו לו, ואם הותירו - הותירו לו, הואיל וחייב באחריותן - יאכלו.</w:t>
      </w:r>
      <w:r w:rsidR="00750751">
        <w:rPr>
          <w:rFonts w:cs="Arial" w:hint="cs"/>
          <w:rtl/>
        </w:rPr>
        <w:t>..</w:t>
      </w:r>
      <w:r w:rsidR="00750751" w:rsidRPr="00750751">
        <w:rPr>
          <w:rFonts w:cs="Arial"/>
          <w:rtl/>
        </w:rPr>
        <w:t xml:space="preserve"> </w:t>
      </w:r>
      <w:r w:rsidR="005661E8" w:rsidRPr="00ED3532">
        <w:rPr>
          <w:rFonts w:cs="Arial"/>
          <w:u w:val="single"/>
          <w:rtl/>
        </w:rPr>
        <w:t>אמר רבא אמר רב נחמן</w:t>
      </w:r>
      <w:r w:rsidR="005661E8" w:rsidRPr="005661E8">
        <w:rPr>
          <w:rFonts w:cs="Arial"/>
          <w:rtl/>
        </w:rPr>
        <w:t xml:space="preserve">: הלכה כרב יהודה. </w:t>
      </w:r>
      <w:r w:rsidR="005661E8" w:rsidRPr="00ED3532">
        <w:rPr>
          <w:rFonts w:cs="Arial"/>
          <w:u w:val="single"/>
          <w:rtl/>
        </w:rPr>
        <w:t>א"ל רבא לרב נחמן</w:t>
      </w:r>
      <w:r w:rsidR="005661E8" w:rsidRPr="005661E8">
        <w:rPr>
          <w:rFonts w:cs="Arial"/>
          <w:rtl/>
        </w:rPr>
        <w:t>: והתניא כותיה דר' אמי! אף על גב דתניא כותיה דר' אמי, מסתברא טעמא דרב יהודה משום שבח בית אביה.</w:t>
      </w:r>
      <w:r w:rsidR="00ED3532" w:rsidRPr="00ED3532">
        <w:rPr>
          <w:rtl/>
        </w:rPr>
        <w:t xml:space="preserve"> </w:t>
      </w:r>
      <w:bookmarkEnd w:id="3"/>
      <w:r w:rsidR="00ED3532" w:rsidRPr="00ED3532">
        <w:rPr>
          <w:rFonts w:cs="Arial"/>
          <w:rtl/>
        </w:rPr>
        <w:t xml:space="preserve">ההיא איתתא דעיילה ליה לגברא איצטלא דמילתא בכתובתה, שכיב, שקלוה יתמי ופרסוה אמיתנא, </w:t>
      </w:r>
      <w:r w:rsidR="00ED3532" w:rsidRPr="00ED3532">
        <w:rPr>
          <w:rFonts w:cs="Arial"/>
          <w:u w:val="single"/>
          <w:rtl/>
        </w:rPr>
        <w:t>אמר רבא</w:t>
      </w:r>
      <w:r w:rsidR="00ED3532" w:rsidRPr="00ED3532">
        <w:rPr>
          <w:rFonts w:cs="Arial"/>
          <w:rtl/>
        </w:rPr>
        <w:t>: קנייה מיתנא</w:t>
      </w:r>
      <w:r w:rsidR="00ED3532">
        <w:rPr>
          <w:rStyle w:val="a7"/>
          <w:rFonts w:cs="Arial"/>
          <w:rtl/>
        </w:rPr>
        <w:footnoteReference w:id="1117"/>
      </w:r>
      <w:r w:rsidR="00ED3532" w:rsidRPr="00ED3532">
        <w:rPr>
          <w:rFonts w:cs="Arial"/>
          <w:rtl/>
        </w:rPr>
        <w:t xml:space="preserve">. </w:t>
      </w:r>
      <w:r w:rsidR="00ED3532" w:rsidRPr="00ED3532">
        <w:rPr>
          <w:rFonts w:cs="Arial"/>
          <w:u w:val="single"/>
          <w:rtl/>
        </w:rPr>
        <w:t>אמר ליה נאנאי בריה דרב יוסף בריה דרבא לרב כהנא</w:t>
      </w:r>
      <w:r w:rsidR="00ED3532">
        <w:rPr>
          <w:rFonts w:cs="Arial" w:hint="cs"/>
          <w:rtl/>
        </w:rPr>
        <w:t>:</w:t>
      </w:r>
      <w:r w:rsidR="00ED3532" w:rsidRPr="00ED3532">
        <w:rPr>
          <w:rFonts w:cs="Arial"/>
          <w:rtl/>
        </w:rPr>
        <w:t xml:space="preserve"> והאמר רבא אמר רב נחמן הלכה כרב יהודה! </w:t>
      </w:r>
      <w:r w:rsidR="00ED3532" w:rsidRPr="00ED3532">
        <w:rPr>
          <w:rFonts w:cs="Arial"/>
          <w:u w:val="single"/>
          <w:rtl/>
        </w:rPr>
        <w:t>אמר ליה</w:t>
      </w:r>
      <w:r w:rsidR="00ED3532" w:rsidRPr="00ED3532">
        <w:rPr>
          <w:rFonts w:cs="Arial"/>
          <w:rtl/>
        </w:rPr>
        <w:t>: מי לא מודה רב יהודה דמחוסר גוביינא? וכיון דמחוסר גוביינא - ברשותיה קאי</w:t>
      </w:r>
      <w:r w:rsidR="0027706B">
        <w:rPr>
          <w:rFonts w:cs="Arial" w:hint="cs"/>
          <w:rtl/>
        </w:rPr>
        <w:t>.</w:t>
      </w:r>
      <w:r w:rsidR="00ED3532" w:rsidRPr="00ED3532">
        <w:rPr>
          <w:rFonts w:cs="Arial"/>
          <w:rtl/>
        </w:rPr>
        <w:t xml:space="preserve"> רבא לטעמיה, דאמר רבא: הקדש, חמץ</w:t>
      </w:r>
      <w:r w:rsidR="00ED3532">
        <w:rPr>
          <w:rFonts w:cs="Arial" w:hint="cs"/>
          <w:sz w:val="14"/>
          <w:szCs w:val="14"/>
          <w:rtl/>
        </w:rPr>
        <w:t xml:space="preserve"> </w:t>
      </w:r>
      <w:r w:rsidR="005661E8">
        <w:rPr>
          <w:rFonts w:cs="Arial" w:hint="cs"/>
          <w:sz w:val="14"/>
          <w:szCs w:val="14"/>
          <w:rtl/>
        </w:rPr>
        <w:t>(סז.)</w:t>
      </w:r>
      <w:r w:rsidR="005661E8" w:rsidRPr="005661E8">
        <w:rPr>
          <w:rFonts w:cs="Arial"/>
          <w:rtl/>
        </w:rPr>
        <w:t xml:space="preserve"> </w:t>
      </w:r>
      <w:r w:rsidR="00ED3532" w:rsidRPr="00ED3532">
        <w:rPr>
          <w:rFonts w:cs="Arial"/>
          <w:rtl/>
        </w:rPr>
        <w:t>ושחרור - מפקיעין מידי שעבוד.</w:t>
      </w:r>
      <w:r w:rsidR="00750751" w:rsidRPr="00750751">
        <w:rPr>
          <w:rFonts w:cs="Arial"/>
          <w:rtl/>
        </w:rPr>
        <w:t xml:space="preserve"> </w:t>
      </w:r>
      <w:r w:rsidR="007A617E" w:rsidRPr="007A617E">
        <w:rPr>
          <w:rFonts w:cs="Arial"/>
          <w:u w:val="single"/>
          <w:rtl/>
        </w:rPr>
        <w:t>א"ר יהודה</w:t>
      </w:r>
      <w:r w:rsidR="007A617E" w:rsidRPr="007A617E">
        <w:rPr>
          <w:rFonts w:cs="Arial"/>
          <w:rtl/>
        </w:rPr>
        <w:t>: הכניסה לו שני כלים באלף זוז, ושבחו ועמדו על שני אלפים, אחד נוטלתו בכתובתה, ואחד נותנת דמים ונוטלתו מפני שבח בית אביה. מאי קא משמע לן? שבח בית אביה דידה הוי</w:t>
      </w:r>
      <w:r w:rsidR="00FB1060">
        <w:rPr>
          <w:rFonts w:cs="Arial" w:hint="cs"/>
          <w:rtl/>
        </w:rPr>
        <w:t>.</w:t>
      </w:r>
      <w:r w:rsidR="007A617E" w:rsidRPr="007A617E">
        <w:rPr>
          <w:rFonts w:cs="Arial"/>
          <w:rtl/>
        </w:rPr>
        <w:t xml:space="preserve"> הא אמרה רב יהודה חדא זימנא! מהו דתימא, ה"מ היכא דמטיא למשקל בכתובתה, אבל מיתן דמי ומישקל לא, קמ"ל.</w:t>
      </w:r>
    </w:p>
    <w:p w14:paraId="769323C0" w14:textId="3A26B214" w:rsidR="00B226F6" w:rsidRDefault="00B226F6" w:rsidP="0027706B">
      <w:pPr>
        <w:rPr>
          <w:rtl/>
        </w:rPr>
      </w:pPr>
      <w:r w:rsidRPr="00B226F6">
        <w:rPr>
          <w:rFonts w:cs="Arial" w:hint="cs"/>
          <w:b/>
          <w:bCs/>
          <w:rtl/>
        </w:rPr>
        <w:t xml:space="preserve">כתובות </w:t>
      </w:r>
      <w:r w:rsidRPr="00B226F6">
        <w:rPr>
          <w:rFonts w:cs="Arial" w:hint="cs"/>
          <w:b/>
          <w:bCs/>
          <w:sz w:val="16"/>
          <w:szCs w:val="16"/>
          <w:rtl/>
        </w:rPr>
        <w:t xml:space="preserve">(פ' האשה שנפלו) </w:t>
      </w:r>
      <w:r w:rsidRPr="00B226F6">
        <w:rPr>
          <w:rFonts w:cs="Arial" w:hint="cs"/>
          <w:b/>
          <w:bCs/>
          <w:rtl/>
        </w:rPr>
        <w:t>עט ע"</w:t>
      </w:r>
      <w:r>
        <w:rPr>
          <w:rFonts w:cs="Arial" w:hint="cs"/>
          <w:b/>
          <w:bCs/>
          <w:rtl/>
        </w:rPr>
        <w:t>ב</w:t>
      </w:r>
      <w:r w:rsidRPr="00B226F6">
        <w:rPr>
          <w:rFonts w:cs="Arial" w:hint="cs"/>
          <w:b/>
          <w:bCs/>
          <w:rtl/>
        </w:rPr>
        <w:t xml:space="preserve">: </w:t>
      </w:r>
      <w:r>
        <w:rPr>
          <w:rFonts w:cs="Arial" w:hint="cs"/>
          <w:rtl/>
        </w:rPr>
        <w:t>ד</w:t>
      </w:r>
      <w:r w:rsidRPr="00B226F6">
        <w:rPr>
          <w:rFonts w:cs="Arial"/>
          <w:rtl/>
        </w:rPr>
        <w:t>תניא: ולד בהמת מלוג - לבעל, ולד שפחת מלוג - לאשה</w:t>
      </w:r>
      <w:r w:rsidRPr="00B226F6">
        <w:rPr>
          <w:rFonts w:cs="Arial" w:hint="cs"/>
          <w:rtl/>
        </w:rPr>
        <w:t>.</w:t>
      </w:r>
      <w:r w:rsidRPr="00B226F6">
        <w:rPr>
          <w:rFonts w:cs="Arial"/>
          <w:rtl/>
        </w:rPr>
        <w:t xml:space="preserve"> </w:t>
      </w:r>
      <w:r w:rsidRPr="00B226F6">
        <w:rPr>
          <w:rFonts w:cs="Arial"/>
          <w:u w:val="single"/>
          <w:rtl/>
        </w:rPr>
        <w:t>וחנניה בן אחי יאשיה אמר</w:t>
      </w:r>
      <w:r w:rsidRPr="00B226F6">
        <w:rPr>
          <w:rFonts w:cs="Arial"/>
          <w:rtl/>
        </w:rPr>
        <w:t>: עשו ולד שפחת מלוג כולד בהמת מלוג</w:t>
      </w:r>
      <w:r>
        <w:rPr>
          <w:rFonts w:cs="Arial" w:hint="cs"/>
          <w:rtl/>
        </w:rPr>
        <w:t>..</w:t>
      </w:r>
      <w:r w:rsidRPr="00B226F6">
        <w:rPr>
          <w:rFonts w:cs="Arial"/>
          <w:rtl/>
        </w:rPr>
        <w:t>.</w:t>
      </w:r>
      <w:r w:rsidRPr="00B226F6">
        <w:rPr>
          <w:rtl/>
        </w:rPr>
        <w:t xml:space="preserve"> </w:t>
      </w:r>
      <w:r w:rsidRPr="00B226F6">
        <w:rPr>
          <w:rFonts w:cs="Arial"/>
          <w:u w:val="single"/>
          <w:rtl/>
        </w:rPr>
        <w:t>אמר רב הונא בר חייא אמר שמואל</w:t>
      </w:r>
      <w:r w:rsidRPr="00B226F6">
        <w:rPr>
          <w:rFonts w:cs="Arial"/>
          <w:rtl/>
        </w:rPr>
        <w:t xml:space="preserve">: הלכה כחנניה. </w:t>
      </w:r>
      <w:r w:rsidRPr="00B226F6">
        <w:rPr>
          <w:rFonts w:cs="Arial"/>
          <w:u w:val="single"/>
          <w:rtl/>
        </w:rPr>
        <w:t>אמר רבא אמר רב נחמן</w:t>
      </w:r>
      <w:r>
        <w:rPr>
          <w:rFonts w:cs="Arial" w:hint="cs"/>
          <w:rtl/>
        </w:rPr>
        <w:t>:</w:t>
      </w:r>
      <w:r w:rsidRPr="00B226F6">
        <w:rPr>
          <w:rFonts w:cs="Arial"/>
          <w:rtl/>
        </w:rPr>
        <w:t xml:space="preserve"> אף על גב דאמר שמואל הלכה כחנניה, מודה חנניה, שאם נתגרשה - נותנת דמים ונוטלתן, מפני שבח בית אביה.</w:t>
      </w:r>
    </w:p>
    <w:p w14:paraId="2CA4205A" w14:textId="4646179B" w:rsidR="00454C92" w:rsidRDefault="00454C92" w:rsidP="00C867A2">
      <w:pPr>
        <w:rPr>
          <w:u w:val="single"/>
          <w:rtl/>
        </w:rPr>
      </w:pPr>
      <w:r w:rsidRPr="00454C92">
        <w:rPr>
          <w:rFonts w:cs="Arial"/>
          <w:u w:val="single"/>
          <w:rtl/>
        </w:rPr>
        <w:t>האשה שיוצאת מתחת ידי בעלה</w:t>
      </w:r>
      <w:r w:rsidR="00DF351A">
        <w:rPr>
          <w:rFonts w:cs="Arial" w:hint="cs"/>
          <w:u w:val="single"/>
          <w:rtl/>
        </w:rPr>
        <w:t xml:space="preserve"> </w:t>
      </w:r>
      <w:r w:rsidR="00F97626">
        <w:rPr>
          <w:rFonts w:cs="Arial"/>
          <w:u w:val="single"/>
          <w:rtl/>
        </w:rPr>
        <w:t>-</w:t>
      </w:r>
      <w:r w:rsidR="00DF351A">
        <w:rPr>
          <w:rFonts w:cs="Arial" w:hint="cs"/>
          <w:u w:val="single"/>
          <w:rtl/>
        </w:rPr>
        <w:t xml:space="preserve"> מה נוטלת עמה</w:t>
      </w:r>
      <w:r>
        <w:rPr>
          <w:rFonts w:hint="cs"/>
          <w:u w:val="single"/>
          <w:rtl/>
        </w:rPr>
        <w:t>:</w:t>
      </w:r>
    </w:p>
    <w:p w14:paraId="167673F0" w14:textId="5977C70D" w:rsidR="00DF351A" w:rsidRDefault="0019164E" w:rsidP="009000E3">
      <w:pPr>
        <w:pStyle w:val="ab"/>
        <w:numPr>
          <w:ilvl w:val="0"/>
          <w:numId w:val="52"/>
        </w:numPr>
        <w:rPr>
          <w:rFonts w:cs="Arial"/>
        </w:rPr>
      </w:pPr>
      <w:r w:rsidRPr="00C57802">
        <w:rPr>
          <w:rFonts w:cs="Arial" w:hint="cs"/>
          <w:rtl/>
        </w:rPr>
        <w:t xml:space="preserve">טור- </w:t>
      </w:r>
      <w:r w:rsidRPr="00C57802">
        <w:rPr>
          <w:rFonts w:cs="Arial"/>
          <w:rtl/>
        </w:rPr>
        <w:t>האשה שיוצאת מתחת ידי בעלה</w:t>
      </w:r>
      <w:r w:rsidR="007D3110" w:rsidRPr="00C57802">
        <w:rPr>
          <w:rFonts w:cs="Arial" w:hint="cs"/>
          <w:rtl/>
        </w:rPr>
        <w:t>,</w:t>
      </w:r>
      <w:r w:rsidRPr="00C57802">
        <w:rPr>
          <w:rFonts w:cs="Arial"/>
          <w:rtl/>
        </w:rPr>
        <w:t xml:space="preserve"> בין במיתתו בין בגירושין</w:t>
      </w:r>
      <w:r w:rsidR="007D3110" w:rsidRPr="00C57802">
        <w:rPr>
          <w:rFonts w:cs="Arial" w:hint="cs"/>
          <w:rtl/>
        </w:rPr>
        <w:t>,</w:t>
      </w:r>
      <w:r w:rsidRPr="00C57802">
        <w:rPr>
          <w:rFonts w:cs="Arial"/>
          <w:rtl/>
        </w:rPr>
        <w:t xml:space="preserve"> נוטלת כל נכסיה בלא שבועה בין נכסי מלוג בין נכסי צאן ברז</w:t>
      </w:r>
      <w:r w:rsidR="00FB1060">
        <w:rPr>
          <w:rFonts w:cs="Arial" w:hint="cs"/>
          <w:rtl/>
        </w:rPr>
        <w:t>ל.</w:t>
      </w:r>
      <w:r w:rsidRPr="00C57802">
        <w:rPr>
          <w:rFonts w:cs="Arial"/>
          <w:rtl/>
        </w:rPr>
        <w:t xml:space="preserve"> </w:t>
      </w:r>
      <w:r w:rsidR="00FB1060">
        <w:rPr>
          <w:rFonts w:cs="Arial" w:hint="cs"/>
          <w:rtl/>
        </w:rPr>
        <w:t>אע"פ</w:t>
      </w:r>
      <w:r w:rsidRPr="00C57802">
        <w:rPr>
          <w:rFonts w:cs="Arial"/>
          <w:rtl/>
        </w:rPr>
        <w:t xml:space="preserve"> שהאלמנה אינה נוטלת כתובתה אלא בשבועה</w:t>
      </w:r>
      <w:r w:rsidR="00C867A2" w:rsidRPr="00C57802">
        <w:rPr>
          <w:rFonts w:cs="Arial" w:hint="cs"/>
          <w:rtl/>
        </w:rPr>
        <w:t>,</w:t>
      </w:r>
      <w:r w:rsidRPr="00C57802">
        <w:rPr>
          <w:rFonts w:cs="Arial"/>
          <w:rtl/>
        </w:rPr>
        <w:t xml:space="preserve"> נכסיה נוטלת בלא שבועה</w:t>
      </w:r>
      <w:r w:rsidR="007D3110" w:rsidRPr="00C57802">
        <w:rPr>
          <w:rFonts w:cs="Arial" w:hint="cs"/>
          <w:rtl/>
        </w:rPr>
        <w:t>.</w:t>
      </w:r>
      <w:r w:rsidR="00DF351A">
        <w:rPr>
          <w:rFonts w:cs="Arial" w:hint="cs"/>
          <w:rtl/>
        </w:rPr>
        <w:t xml:space="preserve"> </w:t>
      </w:r>
      <w:r w:rsidR="00DF351A" w:rsidRPr="00A6197B">
        <w:rPr>
          <w:rFonts w:hint="cs"/>
          <w:color w:val="E36C0A" w:themeColor="accent6" w:themeShade="BF"/>
          <w:rtl/>
        </w:rPr>
        <w:t>(וכ"פ בשו"ע)</w:t>
      </w:r>
    </w:p>
    <w:p w14:paraId="61B52220" w14:textId="68062C84" w:rsidR="00DF351A" w:rsidRPr="00DF351A" w:rsidRDefault="00DF351A" w:rsidP="00DF351A">
      <w:pPr>
        <w:ind w:left="360"/>
        <w:rPr>
          <w:rFonts w:cs="Arial"/>
          <w:u w:val="dotted"/>
        </w:rPr>
      </w:pPr>
      <w:r>
        <w:rPr>
          <w:rFonts w:cs="Arial" w:hint="cs"/>
          <w:u w:val="dotted"/>
          <w:rtl/>
        </w:rPr>
        <w:t xml:space="preserve">נטילת </w:t>
      </w:r>
      <w:r w:rsidRPr="00DF351A">
        <w:rPr>
          <w:rFonts w:cs="Arial" w:hint="cs"/>
          <w:u w:val="dotted"/>
          <w:rtl/>
        </w:rPr>
        <w:t xml:space="preserve">נכסי מלוג </w:t>
      </w:r>
      <w:r w:rsidR="00F97626">
        <w:rPr>
          <w:rFonts w:cs="Arial"/>
          <w:u w:val="dotted"/>
          <w:rtl/>
        </w:rPr>
        <w:t>-</w:t>
      </w:r>
      <w:r w:rsidRPr="00DF351A">
        <w:rPr>
          <w:rFonts w:cs="Arial" w:hint="cs"/>
          <w:u w:val="dotted"/>
          <w:rtl/>
        </w:rPr>
        <w:t xml:space="preserve"> כיצד:</w:t>
      </w:r>
    </w:p>
    <w:p w14:paraId="49C3E003" w14:textId="571B8766" w:rsidR="00DF351A" w:rsidRDefault="00DF351A" w:rsidP="009000E3">
      <w:pPr>
        <w:pStyle w:val="ab"/>
        <w:numPr>
          <w:ilvl w:val="0"/>
          <w:numId w:val="52"/>
        </w:numPr>
        <w:rPr>
          <w:rFonts w:cs="Arial"/>
        </w:rPr>
      </w:pPr>
      <w:r>
        <w:rPr>
          <w:rFonts w:cs="Arial" w:hint="cs"/>
          <w:rtl/>
        </w:rPr>
        <w:t xml:space="preserve">טור- </w:t>
      </w:r>
      <w:r w:rsidR="0019164E" w:rsidRPr="00C57802">
        <w:rPr>
          <w:rFonts w:cs="Arial"/>
          <w:rtl/>
        </w:rPr>
        <w:t>ונכסי מלוג נוטלתן כמו שהן</w:t>
      </w:r>
      <w:r w:rsidR="001202B6" w:rsidRPr="00C57802">
        <w:rPr>
          <w:rFonts w:cs="Arial" w:hint="cs"/>
          <w:rtl/>
        </w:rPr>
        <w:t>,</w:t>
      </w:r>
      <w:r w:rsidR="0019164E" w:rsidRPr="00C57802">
        <w:rPr>
          <w:rFonts w:cs="Arial"/>
          <w:rtl/>
        </w:rPr>
        <w:t xml:space="preserve"> אפי' בלו הרבה ואין ראויים לעשות בהן מעין מלאכה ראשונה</w:t>
      </w:r>
      <w:r w:rsidR="00DA74D6">
        <w:rPr>
          <w:rStyle w:val="a7"/>
          <w:rFonts w:cs="Arial"/>
          <w:rtl/>
        </w:rPr>
        <w:footnoteReference w:id="1118"/>
      </w:r>
      <w:r w:rsidR="001202B6" w:rsidRPr="00C57802">
        <w:rPr>
          <w:rFonts w:cs="Arial" w:hint="cs"/>
          <w:rtl/>
        </w:rPr>
        <w:t>.</w:t>
      </w:r>
      <w:r w:rsidRPr="00AE16D0">
        <w:rPr>
          <w:rFonts w:cs="Arial"/>
          <w:rtl/>
        </w:rPr>
        <w:t xml:space="preserve"> </w:t>
      </w:r>
      <w:r w:rsidRPr="00A6197B">
        <w:rPr>
          <w:rFonts w:hint="cs"/>
          <w:color w:val="E36C0A" w:themeColor="accent6" w:themeShade="BF"/>
          <w:rtl/>
        </w:rPr>
        <w:t>(וכ"פ בשו"ע)</w:t>
      </w:r>
    </w:p>
    <w:p w14:paraId="10976B34" w14:textId="4A7C2886" w:rsidR="00DF351A" w:rsidRPr="00DF351A" w:rsidRDefault="00DF351A" w:rsidP="00DF351A">
      <w:pPr>
        <w:ind w:left="360"/>
        <w:rPr>
          <w:rFonts w:cs="Arial"/>
          <w:u w:val="dotted"/>
        </w:rPr>
      </w:pPr>
      <w:r>
        <w:rPr>
          <w:rFonts w:cs="Arial" w:hint="cs"/>
          <w:u w:val="dotted"/>
          <w:rtl/>
        </w:rPr>
        <w:t xml:space="preserve">נטילת </w:t>
      </w:r>
      <w:r w:rsidRPr="00DF351A">
        <w:rPr>
          <w:rFonts w:cs="Arial" w:hint="cs"/>
          <w:u w:val="dotted"/>
          <w:rtl/>
        </w:rPr>
        <w:t>נכסי צאן ברזל</w:t>
      </w:r>
      <w:r>
        <w:rPr>
          <w:rFonts w:cs="Arial" w:hint="cs"/>
          <w:sz w:val="16"/>
          <w:szCs w:val="16"/>
          <w:u w:val="dotted"/>
          <w:rtl/>
        </w:rPr>
        <w:t xml:space="preserve"> (מדינא דגמרא)</w:t>
      </w:r>
      <w:r w:rsidRPr="00DF351A">
        <w:rPr>
          <w:rFonts w:cs="Arial" w:hint="cs"/>
          <w:u w:val="dotted"/>
          <w:rtl/>
        </w:rPr>
        <w:t xml:space="preserve"> </w:t>
      </w:r>
      <w:r>
        <w:rPr>
          <w:rFonts w:cs="Arial" w:hint="cs"/>
          <w:u w:val="dotted"/>
          <w:rtl/>
        </w:rPr>
        <w:t xml:space="preserve">- </w:t>
      </w:r>
      <w:r w:rsidRPr="00DF351A">
        <w:rPr>
          <w:rFonts w:cs="Arial" w:hint="cs"/>
          <w:u w:val="dotted"/>
          <w:rtl/>
        </w:rPr>
        <w:t>כיצד:</w:t>
      </w:r>
    </w:p>
    <w:p w14:paraId="5A5C8F13" w14:textId="615F36F4" w:rsidR="00454C92" w:rsidRDefault="00DF351A" w:rsidP="009000E3">
      <w:pPr>
        <w:pStyle w:val="ab"/>
        <w:numPr>
          <w:ilvl w:val="0"/>
          <w:numId w:val="52"/>
        </w:numPr>
        <w:rPr>
          <w:rFonts w:cs="Arial"/>
        </w:rPr>
      </w:pPr>
      <w:r>
        <w:rPr>
          <w:rFonts w:cs="Arial" w:hint="cs"/>
          <w:rtl/>
        </w:rPr>
        <w:t xml:space="preserve">טור- </w:t>
      </w:r>
      <w:r w:rsidR="0019164E" w:rsidRPr="00C57802">
        <w:rPr>
          <w:rFonts w:cs="Arial"/>
          <w:rtl/>
        </w:rPr>
        <w:t>ונכסי צאן ברזל מדינא דגמרא כיון שהם באחריותו נוטלתן כמו ששמו אותן תחלה</w:t>
      </w:r>
      <w:r w:rsidR="001202B6" w:rsidRPr="00C57802">
        <w:rPr>
          <w:rFonts w:cs="Arial" w:hint="cs"/>
          <w:rtl/>
        </w:rPr>
        <w:t>,</w:t>
      </w:r>
      <w:r w:rsidR="0019164E" w:rsidRPr="00C57802">
        <w:rPr>
          <w:rFonts w:cs="Arial"/>
          <w:rtl/>
        </w:rPr>
        <w:t xml:space="preserve"> ואם פחתו משלימין לה כל הפחת</w:t>
      </w:r>
      <w:r w:rsidR="001202B6" w:rsidRPr="00C57802">
        <w:rPr>
          <w:rFonts w:cs="Arial" w:hint="cs"/>
          <w:rtl/>
        </w:rPr>
        <w:t>,</w:t>
      </w:r>
      <w:r w:rsidR="0019164E" w:rsidRPr="00C57802">
        <w:rPr>
          <w:rFonts w:cs="Arial"/>
          <w:rtl/>
        </w:rPr>
        <w:t xml:space="preserve"> וכך אם הותירו בחיי הבעל המותר ליורשים</w:t>
      </w:r>
      <w:r w:rsidR="001202B6" w:rsidRPr="00C57802">
        <w:rPr>
          <w:rFonts w:cs="Arial" w:hint="cs"/>
          <w:rtl/>
        </w:rPr>
        <w:t>,</w:t>
      </w:r>
      <w:r w:rsidR="0019164E" w:rsidRPr="00C57802">
        <w:rPr>
          <w:rFonts w:cs="Arial"/>
          <w:rtl/>
        </w:rPr>
        <w:t xml:space="preserve"> אלא שהיא נותנת דמים ונוטלתן</w:t>
      </w:r>
      <w:r w:rsidR="00A97378">
        <w:rPr>
          <w:rFonts w:cs="Arial" w:hint="cs"/>
          <w:rtl/>
        </w:rPr>
        <w:t>.</w:t>
      </w:r>
      <w:r w:rsidR="0027706B" w:rsidRPr="0027706B">
        <w:rPr>
          <w:rFonts w:cs="Arial"/>
          <w:rtl/>
        </w:rPr>
        <w:t xml:space="preserve"> </w:t>
      </w:r>
      <w:r w:rsidR="0027706B" w:rsidRPr="00C57802">
        <w:rPr>
          <w:rFonts w:cs="Arial"/>
          <w:rtl/>
        </w:rPr>
        <w:t>כגון אם הכניסה לו שני כלים באלף זוז ושבחו ועמדו על אלפים</w:t>
      </w:r>
      <w:r w:rsidR="0027706B" w:rsidRPr="00C57802">
        <w:rPr>
          <w:rFonts w:cs="Arial" w:hint="cs"/>
          <w:rtl/>
        </w:rPr>
        <w:t>,</w:t>
      </w:r>
      <w:r w:rsidR="0027706B" w:rsidRPr="00C57802">
        <w:rPr>
          <w:rFonts w:cs="Arial"/>
          <w:rtl/>
        </w:rPr>
        <w:t xml:space="preserve"> האחד נוטלתו בלא דמים</w:t>
      </w:r>
      <w:r w:rsidR="0027706B" w:rsidRPr="00C57802">
        <w:rPr>
          <w:rFonts w:cs="Arial" w:hint="cs"/>
          <w:rtl/>
        </w:rPr>
        <w:t>,</w:t>
      </w:r>
      <w:r w:rsidR="0027706B" w:rsidRPr="00C57802">
        <w:rPr>
          <w:rFonts w:cs="Arial"/>
          <w:rtl/>
        </w:rPr>
        <w:t xml:space="preserve"> והשני נותנת דמיו ונ</w:t>
      </w:r>
      <w:r w:rsidR="0027706B" w:rsidRPr="00C57802">
        <w:rPr>
          <w:rFonts w:cs="Arial" w:hint="cs"/>
          <w:rtl/>
        </w:rPr>
        <w:t>ו</w:t>
      </w:r>
      <w:r w:rsidR="0027706B" w:rsidRPr="00C57802">
        <w:rPr>
          <w:rFonts w:cs="Arial"/>
          <w:rtl/>
        </w:rPr>
        <w:t>טלתו</w:t>
      </w:r>
      <w:r w:rsidR="0027706B" w:rsidRPr="00C57802">
        <w:rPr>
          <w:rFonts w:cs="Arial" w:hint="cs"/>
          <w:rtl/>
        </w:rPr>
        <w:t>.</w:t>
      </w:r>
      <w:r w:rsidR="0027706B" w:rsidRPr="00C57802">
        <w:rPr>
          <w:rFonts w:cs="Arial"/>
          <w:rtl/>
        </w:rPr>
        <w:t xml:space="preserve"> וכן </w:t>
      </w:r>
      <w:r w:rsidR="0027706B" w:rsidRPr="00C57802">
        <w:rPr>
          <w:rFonts w:cs="Arial"/>
          <w:rtl/>
        </w:rPr>
        <w:lastRenderedPageBreak/>
        <w:t>הולדות של שפחה ובהמה ונכסי מלוג אע</w:t>
      </w:r>
      <w:r w:rsidR="0027706B">
        <w:rPr>
          <w:rFonts w:cs="Arial" w:hint="cs"/>
          <w:rtl/>
        </w:rPr>
        <w:t>"</w:t>
      </w:r>
      <w:r w:rsidR="0027706B" w:rsidRPr="00C57802">
        <w:rPr>
          <w:rFonts w:cs="Arial"/>
          <w:rtl/>
        </w:rPr>
        <w:t>פ שהן של הבעל כשיוצאת נותנת דמיהן ונוטלתן</w:t>
      </w:r>
      <w:r w:rsidR="00442018">
        <w:rPr>
          <w:rStyle w:val="a7"/>
          <w:rFonts w:cs="Arial"/>
          <w:rtl/>
        </w:rPr>
        <w:footnoteReference w:id="1119"/>
      </w:r>
      <w:r w:rsidR="001202B6" w:rsidRPr="00C57802">
        <w:rPr>
          <w:rFonts w:cs="Arial" w:hint="cs"/>
          <w:rtl/>
        </w:rPr>
        <w:t>.</w:t>
      </w:r>
      <w:r w:rsidR="00442018">
        <w:rPr>
          <w:rFonts w:cs="Arial" w:hint="cs"/>
          <w:rtl/>
        </w:rPr>
        <w:t>..</w:t>
      </w:r>
      <w:r w:rsidR="0019164E" w:rsidRPr="00442018">
        <w:rPr>
          <w:rFonts w:cs="Arial"/>
          <w:rtl/>
        </w:rPr>
        <w:t xml:space="preserve"> </w:t>
      </w:r>
      <w:r w:rsidR="0027706B" w:rsidRPr="00442018">
        <w:rPr>
          <w:rFonts w:cs="Arial"/>
          <w:rtl/>
        </w:rPr>
        <w:t xml:space="preserve">ומ"מ אם הקדישו היורשים נכסי צאן ברזל שלה אחרי מות אביה או שהיה בגד ופירשו אותו על המת </w:t>
      </w:r>
      <w:r w:rsidR="00F97626">
        <w:rPr>
          <w:rFonts w:cs="Arial"/>
          <w:rtl/>
        </w:rPr>
        <w:t>-</w:t>
      </w:r>
      <w:r w:rsidR="0027706B" w:rsidRPr="00442018">
        <w:rPr>
          <w:rFonts w:cs="Arial" w:hint="cs"/>
          <w:rtl/>
        </w:rPr>
        <w:t xml:space="preserve"> </w:t>
      </w:r>
      <w:r w:rsidR="0027706B" w:rsidRPr="00442018">
        <w:rPr>
          <w:rFonts w:cs="Arial"/>
          <w:rtl/>
        </w:rPr>
        <w:t>נאסר</w:t>
      </w:r>
      <w:r w:rsidR="0027706B" w:rsidRPr="00442018">
        <w:rPr>
          <w:rFonts w:cs="Arial" w:hint="cs"/>
          <w:rtl/>
        </w:rPr>
        <w:t>,</w:t>
      </w:r>
      <w:r w:rsidR="0027706B" w:rsidRPr="00442018">
        <w:rPr>
          <w:rFonts w:cs="Arial"/>
          <w:rtl/>
        </w:rPr>
        <w:t xml:space="preserve"> ונותנין לה דמיו</w:t>
      </w:r>
      <w:r w:rsidR="0027706B">
        <w:rPr>
          <w:rFonts w:cs="Arial" w:hint="cs"/>
          <w:rtl/>
        </w:rPr>
        <w:t>.</w:t>
      </w:r>
      <w:r w:rsidR="0027706B" w:rsidRPr="00442018">
        <w:rPr>
          <w:rFonts w:cs="Arial"/>
          <w:rtl/>
        </w:rPr>
        <w:t xml:space="preserve"> </w:t>
      </w:r>
      <w:r w:rsidR="00A97378" w:rsidRPr="00A6197B">
        <w:rPr>
          <w:rFonts w:hint="cs"/>
          <w:color w:val="E36C0A" w:themeColor="accent6" w:themeShade="BF"/>
          <w:rtl/>
        </w:rPr>
        <w:t>(וכ"פ בשו"ע</w:t>
      </w:r>
      <w:r w:rsidR="00A97378">
        <w:rPr>
          <w:rFonts w:hint="cs"/>
          <w:color w:val="000000" w:themeColor="text1"/>
          <w:sz w:val="16"/>
          <w:szCs w:val="16"/>
          <w:rtl/>
        </w:rPr>
        <w:t xml:space="preserve"> </w:t>
      </w:r>
      <w:r w:rsidR="00A97378" w:rsidRPr="00A97378">
        <w:rPr>
          <w:rFonts w:hint="cs"/>
          <w:color w:val="000000" w:themeColor="text1"/>
          <w:sz w:val="16"/>
          <w:szCs w:val="16"/>
          <w:rtl/>
        </w:rPr>
        <w:t xml:space="preserve">[בסע' </w:t>
      </w:r>
      <w:r w:rsidR="00A97378">
        <w:rPr>
          <w:rFonts w:hint="cs"/>
          <w:color w:val="000000" w:themeColor="text1"/>
          <w:sz w:val="16"/>
          <w:szCs w:val="16"/>
          <w:rtl/>
        </w:rPr>
        <w:t>ג</w:t>
      </w:r>
      <w:r w:rsidR="00115D2A">
        <w:rPr>
          <w:rFonts w:hint="cs"/>
          <w:color w:val="000000" w:themeColor="text1"/>
          <w:sz w:val="16"/>
          <w:szCs w:val="16"/>
          <w:rtl/>
        </w:rPr>
        <w:t xml:space="preserve"> ובסע' ה</w:t>
      </w:r>
      <w:r w:rsidR="00A97378" w:rsidRPr="00A97378">
        <w:rPr>
          <w:rFonts w:hint="cs"/>
          <w:color w:val="000000" w:themeColor="text1"/>
          <w:sz w:val="16"/>
          <w:szCs w:val="16"/>
          <w:rtl/>
        </w:rPr>
        <w:t>]</w:t>
      </w:r>
      <w:r w:rsidR="00A97378" w:rsidRPr="00A6197B">
        <w:rPr>
          <w:rFonts w:hint="cs"/>
          <w:color w:val="E36C0A" w:themeColor="accent6" w:themeShade="BF"/>
          <w:rtl/>
        </w:rPr>
        <w:t>)</w:t>
      </w:r>
    </w:p>
    <w:p w14:paraId="029DAA56" w14:textId="1390DEAB" w:rsidR="00454C92" w:rsidRPr="00454C92" w:rsidRDefault="00DF351A" w:rsidP="00454C92">
      <w:pPr>
        <w:ind w:left="360"/>
        <w:rPr>
          <w:rFonts w:cs="Arial"/>
          <w:u w:val="dotted"/>
        </w:rPr>
      </w:pPr>
      <w:r>
        <w:rPr>
          <w:rFonts w:cs="Arial" w:hint="cs"/>
          <w:u w:val="dotted"/>
          <w:rtl/>
        </w:rPr>
        <w:t>מנהג אחר בדין נכסי צאן ברזל</w:t>
      </w:r>
      <w:r w:rsidR="00454C92">
        <w:rPr>
          <w:rFonts w:cs="Arial" w:hint="cs"/>
          <w:u w:val="dotted"/>
          <w:rtl/>
        </w:rPr>
        <w:t>:</w:t>
      </w:r>
    </w:p>
    <w:p w14:paraId="5C2AEFF5" w14:textId="37032D4E" w:rsidR="00442018" w:rsidRDefault="00454C92" w:rsidP="009000E3">
      <w:pPr>
        <w:pStyle w:val="ab"/>
        <w:numPr>
          <w:ilvl w:val="0"/>
          <w:numId w:val="52"/>
        </w:numPr>
        <w:rPr>
          <w:rFonts w:cs="Arial"/>
        </w:rPr>
      </w:pPr>
      <w:r w:rsidRPr="00C57802">
        <w:rPr>
          <w:rFonts w:cs="Arial"/>
          <w:rtl/>
        </w:rPr>
        <w:t>רי"ף</w:t>
      </w:r>
      <w:r w:rsidR="00DF351A">
        <w:rPr>
          <w:rStyle w:val="a7"/>
          <w:rFonts w:cs="Arial"/>
          <w:rtl/>
        </w:rPr>
        <w:footnoteReference w:id="1120"/>
      </w:r>
      <w:r w:rsidRPr="00C57802">
        <w:rPr>
          <w:rFonts w:cs="Arial"/>
          <w:rtl/>
        </w:rPr>
        <w:t xml:space="preserve"> </w:t>
      </w:r>
      <w:r w:rsidRPr="00C57802">
        <w:rPr>
          <w:rFonts w:cs="Arial"/>
          <w:sz w:val="16"/>
          <w:szCs w:val="16"/>
          <w:rtl/>
        </w:rPr>
        <w:t>(כא:)</w:t>
      </w:r>
      <w:r>
        <w:rPr>
          <w:rFonts w:cs="Arial" w:hint="cs"/>
          <w:rtl/>
        </w:rPr>
        <w:t xml:space="preserve"> </w:t>
      </w:r>
      <w:r w:rsidRPr="00442018">
        <w:rPr>
          <w:rFonts w:cs="Arial"/>
          <w:rtl/>
        </w:rPr>
        <w:t xml:space="preserve">רמב"ם </w:t>
      </w:r>
      <w:r w:rsidRPr="00442018">
        <w:rPr>
          <w:rFonts w:cs="Arial" w:hint="cs"/>
          <w:sz w:val="16"/>
          <w:szCs w:val="16"/>
          <w:rtl/>
        </w:rPr>
        <w:t>(</w:t>
      </w:r>
      <w:r w:rsidRPr="00442018">
        <w:rPr>
          <w:rFonts w:cs="Arial"/>
          <w:sz w:val="16"/>
          <w:szCs w:val="16"/>
          <w:rtl/>
        </w:rPr>
        <w:t>פכ"ב מאישות הל"ה)</w:t>
      </w:r>
      <w:r>
        <w:rPr>
          <w:rFonts w:cs="Arial" w:hint="cs"/>
          <w:rtl/>
        </w:rPr>
        <w:t xml:space="preserve"> </w:t>
      </w:r>
      <w:r>
        <w:rPr>
          <w:rFonts w:cs="Arial"/>
          <w:rtl/>
        </w:rPr>
        <w:t xml:space="preserve">רא"ש </w:t>
      </w:r>
      <w:r w:rsidRPr="00442018">
        <w:rPr>
          <w:rFonts w:cs="Arial"/>
          <w:sz w:val="16"/>
          <w:szCs w:val="16"/>
          <w:rtl/>
        </w:rPr>
        <w:t>(סי' ג)</w:t>
      </w:r>
      <w:r>
        <w:rPr>
          <w:rFonts w:cs="Arial" w:hint="cs"/>
          <w:rtl/>
        </w:rPr>
        <w:t xml:space="preserve"> וטור- </w:t>
      </w:r>
      <w:r w:rsidR="0019164E" w:rsidRPr="00442018">
        <w:rPr>
          <w:rFonts w:cs="Arial"/>
          <w:rtl/>
        </w:rPr>
        <w:t xml:space="preserve">אלא שנהגו שכל זמן שראוין </w:t>
      </w:r>
      <w:r>
        <w:rPr>
          <w:rFonts w:cs="Arial" w:hint="cs"/>
          <w:sz w:val="16"/>
          <w:szCs w:val="16"/>
          <w:rtl/>
        </w:rPr>
        <w:t xml:space="preserve">{הנצ"ב} </w:t>
      </w:r>
      <w:r w:rsidR="0019164E" w:rsidRPr="00442018">
        <w:rPr>
          <w:rFonts w:cs="Arial"/>
          <w:rtl/>
        </w:rPr>
        <w:t>לעשות בהן מעין מלאכתן ראשונה שנוטלתן כמו שהם</w:t>
      </w:r>
      <w:r w:rsidR="001202B6" w:rsidRPr="00442018">
        <w:rPr>
          <w:rFonts w:cs="Arial" w:hint="cs"/>
          <w:rtl/>
        </w:rPr>
        <w:t>,</w:t>
      </w:r>
      <w:r w:rsidR="0019164E" w:rsidRPr="00442018">
        <w:rPr>
          <w:rFonts w:cs="Arial"/>
          <w:rtl/>
        </w:rPr>
        <w:t xml:space="preserve"> אבל אם אין ראויין למלאכתם ראשונה משלמין לה כל דמיהן</w:t>
      </w:r>
      <w:r w:rsidR="00C867A2" w:rsidRPr="00442018">
        <w:rPr>
          <w:rFonts w:cs="Arial" w:hint="cs"/>
          <w:rtl/>
        </w:rPr>
        <w:t>.</w:t>
      </w:r>
      <w:r w:rsidR="0019164E" w:rsidRPr="00442018">
        <w:rPr>
          <w:rFonts w:cs="Arial"/>
          <w:rtl/>
        </w:rPr>
        <w:t xml:space="preserve"> וכ"כ רב אלפס אע"ג דמדינא דגמ' נכסי צאן ברזל שפחתו צריך לשלם כל הפחת אע</w:t>
      </w:r>
      <w:r w:rsidR="00C867A2" w:rsidRPr="00442018">
        <w:rPr>
          <w:rFonts w:cs="Arial" w:hint="cs"/>
          <w:rtl/>
        </w:rPr>
        <w:t>"</w:t>
      </w:r>
      <w:r w:rsidR="0019164E" w:rsidRPr="00442018">
        <w:rPr>
          <w:rFonts w:cs="Arial"/>
          <w:rtl/>
        </w:rPr>
        <w:t>ג דראויין למלאכתם ראשונה</w:t>
      </w:r>
      <w:r w:rsidR="00442018">
        <w:rPr>
          <w:rFonts w:cs="Arial" w:hint="cs"/>
          <w:rtl/>
        </w:rPr>
        <w:t xml:space="preserve">, </w:t>
      </w:r>
      <w:r w:rsidR="0019164E" w:rsidRPr="00442018">
        <w:rPr>
          <w:rFonts w:cs="Arial"/>
          <w:rtl/>
        </w:rPr>
        <w:t>מ"מ כיון דלא נהוג עלמא הכי כל מאן דמקבל צאן ברזל אדעתא דמנהגא מקבל</w:t>
      </w:r>
      <w:r w:rsidR="00FB1060">
        <w:rPr>
          <w:rFonts w:cs="Arial" w:hint="cs"/>
          <w:rtl/>
        </w:rPr>
        <w:t>,</w:t>
      </w:r>
      <w:r w:rsidR="0019164E" w:rsidRPr="00442018">
        <w:rPr>
          <w:rFonts w:cs="Arial"/>
          <w:rtl/>
        </w:rPr>
        <w:t xml:space="preserve"> הלכך לא מקבל אלא לפום מנהגא וכל זמן שראויין למלאכתן ראשונה אין צריך לשלם</w:t>
      </w:r>
      <w:r w:rsidR="00C867A2" w:rsidRPr="00442018">
        <w:rPr>
          <w:rFonts w:cs="Arial" w:hint="cs"/>
          <w:rtl/>
        </w:rPr>
        <w:t>.</w:t>
      </w:r>
      <w:r w:rsidR="0019164E" w:rsidRPr="00442018">
        <w:rPr>
          <w:rFonts w:cs="Arial"/>
          <w:rtl/>
        </w:rPr>
        <w:t xml:space="preserve"> ע"כ</w:t>
      </w:r>
      <w:r w:rsidR="00C867A2" w:rsidRPr="00442018">
        <w:rPr>
          <w:rFonts w:cs="Arial" w:hint="cs"/>
          <w:rtl/>
        </w:rPr>
        <w:t>.</w:t>
      </w:r>
      <w:r w:rsidR="0019164E" w:rsidRPr="00442018">
        <w:rPr>
          <w:rFonts w:cs="Arial"/>
          <w:rtl/>
        </w:rPr>
        <w:t xml:space="preserve"> אבל בהותירו לא כתב כלל</w:t>
      </w:r>
      <w:r w:rsidR="00C867A2" w:rsidRPr="00442018">
        <w:rPr>
          <w:rFonts w:cs="Arial" w:hint="cs"/>
          <w:rtl/>
        </w:rPr>
        <w:t>.</w:t>
      </w:r>
      <w:r w:rsidR="0019164E" w:rsidRPr="00442018">
        <w:rPr>
          <w:rFonts w:cs="Arial"/>
          <w:rtl/>
        </w:rPr>
        <w:t xml:space="preserve"> והרמב"ם הוסיף לומר אף בהותירו</w:t>
      </w:r>
      <w:r w:rsidR="00C867A2" w:rsidRPr="00442018">
        <w:rPr>
          <w:rFonts w:cs="Arial" w:hint="cs"/>
          <w:rtl/>
        </w:rPr>
        <w:t>,</w:t>
      </w:r>
      <w:r w:rsidR="0019164E" w:rsidRPr="00442018">
        <w:rPr>
          <w:rFonts w:cs="Arial"/>
          <w:rtl/>
        </w:rPr>
        <w:t xml:space="preserve"> שכתב</w:t>
      </w:r>
      <w:r w:rsidR="00FB1060">
        <w:rPr>
          <w:rFonts w:cs="Arial" w:hint="cs"/>
          <w:rtl/>
        </w:rPr>
        <w:t>:</w:t>
      </w:r>
      <w:r w:rsidR="0019164E" w:rsidRPr="00442018">
        <w:rPr>
          <w:rFonts w:cs="Arial"/>
          <w:rtl/>
        </w:rPr>
        <w:t xml:space="preserve"> הורו הגאונים</w:t>
      </w:r>
      <w:r w:rsidR="00FB1060">
        <w:rPr>
          <w:rFonts w:cs="Arial" w:hint="cs"/>
          <w:rtl/>
        </w:rPr>
        <w:t>,</w:t>
      </w:r>
      <w:r w:rsidR="0019164E" w:rsidRPr="00442018">
        <w:rPr>
          <w:rFonts w:cs="Arial"/>
          <w:rtl/>
        </w:rPr>
        <w:t xml:space="preserve"> נצ</w:t>
      </w:r>
      <w:r w:rsidR="00FB1060">
        <w:rPr>
          <w:rFonts w:cs="Arial" w:hint="cs"/>
          <w:rtl/>
        </w:rPr>
        <w:t>"</w:t>
      </w:r>
      <w:r w:rsidR="0019164E" w:rsidRPr="00442018">
        <w:rPr>
          <w:rFonts w:cs="Arial"/>
          <w:rtl/>
        </w:rPr>
        <w:t>ב אע</w:t>
      </w:r>
      <w:r w:rsidR="00C867A2" w:rsidRPr="00442018">
        <w:rPr>
          <w:rFonts w:cs="Arial" w:hint="cs"/>
          <w:rtl/>
        </w:rPr>
        <w:t>"</w:t>
      </w:r>
      <w:r w:rsidR="0019164E" w:rsidRPr="00442018">
        <w:rPr>
          <w:rFonts w:cs="Arial"/>
          <w:rtl/>
        </w:rPr>
        <w:t>פ שפחיתותן על הבעל</w:t>
      </w:r>
      <w:r w:rsidR="00C867A2" w:rsidRPr="00442018">
        <w:rPr>
          <w:rFonts w:cs="Arial" w:hint="cs"/>
          <w:rtl/>
        </w:rPr>
        <w:t>,</w:t>
      </w:r>
      <w:r w:rsidR="0019164E" w:rsidRPr="00442018">
        <w:rPr>
          <w:rFonts w:cs="Arial"/>
          <w:rtl/>
        </w:rPr>
        <w:t xml:space="preserve"> אם הבלאות קיימין ועושין בהן כעין מלאכתן ראשונה נוטלתן כמו שהן</w:t>
      </w:r>
      <w:r w:rsidR="00C867A2" w:rsidRPr="00442018">
        <w:rPr>
          <w:rFonts w:cs="Arial" w:hint="cs"/>
          <w:rtl/>
        </w:rPr>
        <w:t>,</w:t>
      </w:r>
      <w:r w:rsidR="0019164E" w:rsidRPr="00442018">
        <w:rPr>
          <w:rFonts w:cs="Arial"/>
          <w:rtl/>
        </w:rPr>
        <w:t xml:space="preserve"> ואם אין ראויין למלאכתן ראשונה הוי כמו שנגנב או שאבד וחייב לשלם דמיהן כמו ששמו אותן בשעת נישואין</w:t>
      </w:r>
      <w:r w:rsidR="00C867A2" w:rsidRPr="00442018">
        <w:rPr>
          <w:rFonts w:cs="Arial" w:hint="cs"/>
          <w:rtl/>
        </w:rPr>
        <w:t>,</w:t>
      </w:r>
      <w:r w:rsidR="0019164E" w:rsidRPr="00442018">
        <w:rPr>
          <w:rFonts w:cs="Arial"/>
          <w:rtl/>
        </w:rPr>
        <w:t xml:space="preserve"> ומנהג פשוט הוא</w:t>
      </w:r>
      <w:r w:rsidR="00C867A2" w:rsidRPr="00442018">
        <w:rPr>
          <w:rFonts w:cs="Arial" w:hint="cs"/>
          <w:rtl/>
        </w:rPr>
        <w:t>,</w:t>
      </w:r>
      <w:r w:rsidR="0019164E" w:rsidRPr="00442018">
        <w:rPr>
          <w:rFonts w:cs="Arial"/>
          <w:rtl/>
        </w:rPr>
        <w:t xml:space="preserve"> וכל הנושא אשה על מנהג זה הוא מקבל עליו אחריות הנדוניא</w:t>
      </w:r>
      <w:r w:rsidR="00C867A2" w:rsidRPr="00442018">
        <w:rPr>
          <w:rFonts w:cs="Arial" w:hint="cs"/>
          <w:rtl/>
        </w:rPr>
        <w:t>,</w:t>
      </w:r>
      <w:r w:rsidR="0019164E" w:rsidRPr="00442018">
        <w:rPr>
          <w:rFonts w:cs="Arial"/>
          <w:rtl/>
        </w:rPr>
        <w:t xml:space="preserve"> וכמו שאינו מקבל הפחת כך אינו מקבל השבח אם הותירו דמיהן לפי מנהג זה ע"כ</w:t>
      </w:r>
      <w:r w:rsidR="00D50F48">
        <w:rPr>
          <w:rFonts w:cs="Arial" w:hint="cs"/>
          <w:sz w:val="16"/>
          <w:szCs w:val="16"/>
          <w:rtl/>
        </w:rPr>
        <w:t xml:space="preserve"> (ל' הטור)</w:t>
      </w:r>
      <w:r w:rsidR="00DD441A" w:rsidRPr="00442018">
        <w:rPr>
          <w:rFonts w:cs="Arial" w:hint="cs"/>
          <w:rtl/>
        </w:rPr>
        <w:t>.</w:t>
      </w:r>
      <w:r w:rsidR="0019164E" w:rsidRPr="00442018">
        <w:rPr>
          <w:rFonts w:cs="Arial"/>
          <w:rtl/>
        </w:rPr>
        <w:t xml:space="preserve"> </w:t>
      </w:r>
    </w:p>
    <w:p w14:paraId="7DEB31EE" w14:textId="01E9E7ED" w:rsidR="0027706B" w:rsidRPr="00454C92" w:rsidRDefault="0027706B" w:rsidP="0027706B">
      <w:pPr>
        <w:ind w:left="360"/>
        <w:rPr>
          <w:rFonts w:cs="Arial"/>
          <w:u w:val="dotted"/>
        </w:rPr>
      </w:pPr>
      <w:r w:rsidRPr="00454C92">
        <w:rPr>
          <w:rFonts w:cs="Arial" w:hint="cs"/>
          <w:u w:val="dotted"/>
          <w:rtl/>
        </w:rPr>
        <w:t>מה הדין במקום שלא נוהגים בו כנ"ל אלא פוסקים כדינא דגמרא:</w:t>
      </w:r>
    </w:p>
    <w:p w14:paraId="1A2801F7" w14:textId="564B2E30" w:rsidR="0027706B" w:rsidRPr="0027706B" w:rsidRDefault="0027706B" w:rsidP="009000E3">
      <w:pPr>
        <w:pStyle w:val="ab"/>
        <w:numPr>
          <w:ilvl w:val="0"/>
          <w:numId w:val="52"/>
        </w:numPr>
      </w:pPr>
      <w:r>
        <w:rPr>
          <w:rFonts w:cs="Arial" w:hint="cs"/>
          <w:rtl/>
        </w:rPr>
        <w:t xml:space="preserve">ב"י- </w:t>
      </w:r>
      <w:r w:rsidRPr="0027706B">
        <w:rPr>
          <w:rFonts w:cs="Arial"/>
          <w:rtl/>
        </w:rPr>
        <w:t xml:space="preserve">כתב הרב המגיד </w:t>
      </w:r>
      <w:r w:rsidR="00454C92" w:rsidRPr="00454C92">
        <w:rPr>
          <w:rFonts w:cs="Arial" w:hint="cs"/>
          <w:sz w:val="16"/>
          <w:szCs w:val="16"/>
          <w:rtl/>
        </w:rPr>
        <w:t>(פכ"ב מאישות הל"ה)</w:t>
      </w:r>
      <w:r w:rsidR="00454C92">
        <w:rPr>
          <w:rFonts w:cs="Arial" w:hint="cs"/>
          <w:rtl/>
        </w:rPr>
        <w:t xml:space="preserve"> </w:t>
      </w:r>
      <w:r w:rsidRPr="0027706B">
        <w:rPr>
          <w:rFonts w:cs="Arial"/>
          <w:rtl/>
        </w:rPr>
        <w:t>וידוע שאין מנהג ארצותינו כן אלא כדין התלמוד</w:t>
      </w:r>
      <w:r w:rsidR="00FB1060">
        <w:rPr>
          <w:rFonts w:cs="Arial" w:hint="cs"/>
          <w:rtl/>
        </w:rPr>
        <w:t>,</w:t>
      </w:r>
      <w:r w:rsidRPr="0027706B">
        <w:rPr>
          <w:rFonts w:cs="Arial"/>
          <w:rtl/>
        </w:rPr>
        <w:t xml:space="preserve"> ונכסי צאן ברזל הרי הן כחוב גמור על הבעל עכ"ל</w:t>
      </w:r>
      <w:r w:rsidR="00D50F48">
        <w:rPr>
          <w:rStyle w:val="a7"/>
          <w:rFonts w:cs="Arial"/>
          <w:rtl/>
        </w:rPr>
        <w:footnoteReference w:id="1121"/>
      </w:r>
      <w:r w:rsidRPr="0027706B">
        <w:rPr>
          <w:rFonts w:cs="Arial"/>
          <w:rtl/>
        </w:rPr>
        <w:t xml:space="preserve">. ונראה לי שאותו מנהג שכתבו הרי"ף והר"מ לא נאמר אלא במקום שנוהגים לכתוב בכתובה </w:t>
      </w:r>
      <w:r w:rsidR="00454C92">
        <w:rPr>
          <w:rFonts w:cs="Arial" w:hint="cs"/>
          <w:rtl/>
        </w:rPr>
        <w:t>'</w:t>
      </w:r>
      <w:r w:rsidRPr="0027706B">
        <w:rPr>
          <w:rFonts w:cs="Arial"/>
          <w:rtl/>
        </w:rPr>
        <w:t>הכניסה לו כלי פלוני בכך וכך וכלי פלוני בכך וכך</w:t>
      </w:r>
      <w:r w:rsidR="00454C92">
        <w:rPr>
          <w:rFonts w:cs="Arial" w:hint="cs"/>
          <w:rtl/>
        </w:rPr>
        <w:t>',</w:t>
      </w:r>
      <w:r w:rsidRPr="0027706B">
        <w:rPr>
          <w:rFonts w:cs="Arial"/>
          <w:rtl/>
        </w:rPr>
        <w:t xml:space="preserve"> וכמו שנוהגים עוד היום בני רומניא והמערב</w:t>
      </w:r>
      <w:r w:rsidR="00454C92">
        <w:rPr>
          <w:rFonts w:cs="Arial" w:hint="cs"/>
          <w:rtl/>
        </w:rPr>
        <w:t>.</w:t>
      </w:r>
      <w:r w:rsidRPr="0027706B">
        <w:rPr>
          <w:rFonts w:cs="Arial"/>
          <w:rtl/>
        </w:rPr>
        <w:t xml:space="preserve"> אבל כגון אנו שאין כותבין בכתובה שום כלי בפרטות</w:t>
      </w:r>
      <w:r w:rsidR="00495872">
        <w:rPr>
          <w:rFonts w:cs="Arial" w:hint="cs"/>
          <w:rtl/>
        </w:rPr>
        <w:t>,</w:t>
      </w:r>
      <w:r w:rsidRPr="0027706B">
        <w:rPr>
          <w:rFonts w:cs="Arial"/>
          <w:rtl/>
        </w:rPr>
        <w:t xml:space="preserve"> אלא כוללים הכל וכותבין </w:t>
      </w:r>
      <w:r w:rsidR="00454C92">
        <w:rPr>
          <w:rFonts w:cs="Arial" w:hint="cs"/>
          <w:rtl/>
        </w:rPr>
        <w:t>'</w:t>
      </w:r>
      <w:r w:rsidRPr="0027706B">
        <w:rPr>
          <w:rFonts w:cs="Arial"/>
          <w:rtl/>
        </w:rPr>
        <w:t>הכניסה לו בבגדים ותכשיטין סך כך וכך פרחים</w:t>
      </w:r>
      <w:r w:rsidR="00454C92">
        <w:rPr>
          <w:rFonts w:cs="Arial" w:hint="cs"/>
          <w:rtl/>
        </w:rPr>
        <w:t>'</w:t>
      </w:r>
      <w:r w:rsidRPr="0027706B">
        <w:rPr>
          <w:rFonts w:cs="Arial"/>
          <w:rtl/>
        </w:rPr>
        <w:t xml:space="preserve"> </w:t>
      </w:r>
      <w:r w:rsidR="00454C92">
        <w:rPr>
          <w:rFonts w:cs="Arial" w:hint="cs"/>
          <w:rtl/>
        </w:rPr>
        <w:t xml:space="preserve">- </w:t>
      </w:r>
      <w:r w:rsidRPr="0027706B">
        <w:rPr>
          <w:rFonts w:cs="Arial"/>
          <w:rtl/>
        </w:rPr>
        <w:t>אין מקום לאותו מנהג כלל</w:t>
      </w:r>
      <w:r w:rsidRPr="0027706B">
        <w:rPr>
          <w:rFonts w:cs="Arial" w:hint="cs"/>
          <w:rtl/>
        </w:rPr>
        <w:t>,</w:t>
      </w:r>
      <w:r w:rsidRPr="0027706B">
        <w:rPr>
          <w:rFonts w:cs="Arial"/>
          <w:rtl/>
        </w:rPr>
        <w:t xml:space="preserve"> וזה דבר ברור. ואחר שנים שכתבתי זה</w:t>
      </w:r>
      <w:r w:rsidR="00454C92">
        <w:rPr>
          <w:rFonts w:cs="Arial" w:hint="cs"/>
          <w:rtl/>
        </w:rPr>
        <w:t>,</w:t>
      </w:r>
      <w:r w:rsidRPr="0027706B">
        <w:rPr>
          <w:rFonts w:cs="Arial"/>
          <w:rtl/>
        </w:rPr>
        <w:t xml:space="preserve"> קם חכם אחד ופסק כמנהג שכתבו הרי"ף והרמב"ם אף לנוהגים שלא לכתוב שום כלי בפרטות</w:t>
      </w:r>
      <w:r w:rsidR="00454C92">
        <w:rPr>
          <w:rFonts w:cs="Arial" w:hint="cs"/>
          <w:rtl/>
        </w:rPr>
        <w:t>,</w:t>
      </w:r>
      <w:r w:rsidRPr="0027706B">
        <w:rPr>
          <w:rFonts w:cs="Arial"/>
          <w:rtl/>
        </w:rPr>
        <w:t xml:space="preserve"> וחלקנו עליו</w:t>
      </w:r>
      <w:r w:rsidR="00454C92">
        <w:rPr>
          <w:rFonts w:cs="Arial" w:hint="cs"/>
          <w:rtl/>
        </w:rPr>
        <w:t>,</w:t>
      </w:r>
      <w:r w:rsidRPr="0027706B">
        <w:rPr>
          <w:rFonts w:cs="Arial"/>
          <w:rtl/>
        </w:rPr>
        <w:t xml:space="preserve"> והוא כתב לחזק דבריו</w:t>
      </w:r>
      <w:r w:rsidR="00454C92">
        <w:rPr>
          <w:rFonts w:cs="Arial" w:hint="cs"/>
          <w:rtl/>
        </w:rPr>
        <w:t>,</w:t>
      </w:r>
      <w:r w:rsidRPr="0027706B">
        <w:rPr>
          <w:rFonts w:cs="Arial"/>
          <w:rtl/>
        </w:rPr>
        <w:t xml:space="preserve"> ואני כתבתי לסתור כל דבריו</w:t>
      </w:r>
      <w:r w:rsidR="00454C92">
        <w:rPr>
          <w:rFonts w:cs="Arial" w:hint="cs"/>
          <w:rtl/>
        </w:rPr>
        <w:t>,</w:t>
      </w:r>
      <w:r w:rsidRPr="0027706B">
        <w:rPr>
          <w:rFonts w:cs="Arial"/>
          <w:rtl/>
        </w:rPr>
        <w:t xml:space="preserve"> והסכימו עמי כל חכמי העיר הזאת צפ"ת תבנה ותיכונן במהרה בימינו. והבאתי ראיה מתשובת הריב"ש בסימן כ"א ובסימן ק'</w:t>
      </w:r>
      <w:r w:rsidRPr="0027706B">
        <w:rPr>
          <w:rFonts w:cs="Arial" w:hint="cs"/>
          <w:rtl/>
        </w:rPr>
        <w:t>,</w:t>
      </w:r>
      <w:r w:rsidRPr="0027706B">
        <w:rPr>
          <w:rFonts w:cs="Arial"/>
          <w:rtl/>
        </w:rPr>
        <w:t xml:space="preserve"> כי שם האריך בזה לאשר ולקיים דברי</w:t>
      </w:r>
      <w:r w:rsidR="00454C92">
        <w:rPr>
          <w:rFonts w:cs="Arial" w:hint="cs"/>
          <w:rtl/>
        </w:rPr>
        <w:t>,</w:t>
      </w:r>
      <w:r w:rsidRPr="0027706B">
        <w:rPr>
          <w:rFonts w:cs="Arial"/>
          <w:rtl/>
        </w:rPr>
        <w:t xml:space="preserve"> עם היותם ברורים בעצמם ופשוטים בטעמם ונימוקם עמם ואינם צריכים חיזוק</w:t>
      </w:r>
      <w:r w:rsidRPr="0027706B">
        <w:rPr>
          <w:rFonts w:cs="Arial" w:hint="cs"/>
          <w:rtl/>
        </w:rPr>
        <w:t>.</w:t>
      </w:r>
      <w:r w:rsidR="00A97378" w:rsidRPr="00AE16D0">
        <w:rPr>
          <w:rFonts w:cs="Arial"/>
          <w:rtl/>
        </w:rPr>
        <w:t xml:space="preserve"> </w:t>
      </w:r>
      <w:r w:rsidR="00A97378" w:rsidRPr="00A6197B">
        <w:rPr>
          <w:rFonts w:hint="cs"/>
          <w:color w:val="E36C0A" w:themeColor="accent6" w:themeShade="BF"/>
          <w:rtl/>
        </w:rPr>
        <w:t>(וכ"פ בשו"ע</w:t>
      </w:r>
      <w:r w:rsidR="00A97378">
        <w:rPr>
          <w:rFonts w:hint="cs"/>
          <w:color w:val="000000" w:themeColor="text1"/>
          <w:sz w:val="16"/>
          <w:szCs w:val="16"/>
          <w:rtl/>
        </w:rPr>
        <w:t xml:space="preserve"> </w:t>
      </w:r>
      <w:r w:rsidR="00A97378" w:rsidRPr="00A97378">
        <w:rPr>
          <w:rFonts w:hint="cs"/>
          <w:color w:val="000000" w:themeColor="text1"/>
          <w:sz w:val="16"/>
          <w:szCs w:val="16"/>
          <w:rtl/>
        </w:rPr>
        <w:t>[בסע' ב]</w:t>
      </w:r>
      <w:r w:rsidR="00A97378" w:rsidRPr="00A6197B">
        <w:rPr>
          <w:rFonts w:hint="cs"/>
          <w:color w:val="E36C0A" w:themeColor="accent6" w:themeShade="BF"/>
          <w:rtl/>
        </w:rPr>
        <w:t>)</w:t>
      </w:r>
    </w:p>
    <w:p w14:paraId="4DE9DB48" w14:textId="59025F1B" w:rsidR="007E3EDE" w:rsidRPr="007E3EDE" w:rsidRDefault="007E3EDE" w:rsidP="007E3EDE">
      <w:pPr>
        <w:rPr>
          <w:u w:val="single"/>
        </w:rPr>
      </w:pPr>
      <w:r w:rsidRPr="007E3EDE">
        <w:rPr>
          <w:rFonts w:hint="cs"/>
          <w:u w:val="single"/>
          <w:rtl/>
        </w:rPr>
        <w:t>באלו נכסי צאן ברזל אמר רב יהודה שהדי</w:t>
      </w:r>
      <w:r>
        <w:rPr>
          <w:rFonts w:hint="cs"/>
          <w:u w:val="single"/>
          <w:rtl/>
        </w:rPr>
        <w:t>ן</w:t>
      </w:r>
      <w:r w:rsidRPr="007E3EDE">
        <w:rPr>
          <w:rFonts w:hint="cs"/>
          <w:u w:val="single"/>
          <w:rtl/>
        </w:rPr>
        <w:t xml:space="preserve"> עמה </w:t>
      </w:r>
      <w:r w:rsidRPr="007E3EDE">
        <w:rPr>
          <w:rFonts w:hint="cs"/>
          <w:sz w:val="16"/>
          <w:szCs w:val="16"/>
          <w:u w:val="single"/>
          <w:rtl/>
        </w:rPr>
        <w:t>(ונוטלת אותם משום שבח בית אביה</w:t>
      </w:r>
      <w:r>
        <w:rPr>
          <w:rFonts w:hint="cs"/>
          <w:sz w:val="16"/>
          <w:szCs w:val="16"/>
          <w:u w:val="single"/>
          <w:rtl/>
        </w:rPr>
        <w:t>)</w:t>
      </w:r>
      <w:r w:rsidRPr="007E3EDE">
        <w:rPr>
          <w:rFonts w:hint="cs"/>
          <w:u w:val="single"/>
          <w:rtl/>
        </w:rPr>
        <w:t>:</w:t>
      </w:r>
    </w:p>
    <w:p w14:paraId="301763C2" w14:textId="03C22972" w:rsidR="00A44EC8" w:rsidRDefault="007E3EDE" w:rsidP="009000E3">
      <w:pPr>
        <w:pStyle w:val="ab"/>
        <w:numPr>
          <w:ilvl w:val="0"/>
          <w:numId w:val="52"/>
        </w:numPr>
        <w:rPr>
          <w:rtl/>
        </w:rPr>
      </w:pPr>
      <w:r>
        <w:rPr>
          <w:rFonts w:cs="Arial" w:hint="cs"/>
          <w:rtl/>
        </w:rPr>
        <w:t>ריב"ש</w:t>
      </w:r>
      <w:r w:rsidRPr="007E3EDE">
        <w:rPr>
          <w:rFonts w:cs="Arial" w:hint="cs"/>
          <w:sz w:val="16"/>
          <w:szCs w:val="16"/>
          <w:rtl/>
        </w:rPr>
        <w:t xml:space="preserve"> (סי' שסח)</w:t>
      </w:r>
      <w:r>
        <w:rPr>
          <w:rFonts w:cs="Arial" w:hint="cs"/>
          <w:rtl/>
        </w:rPr>
        <w:t xml:space="preserve">- </w:t>
      </w:r>
      <w:r w:rsidR="00A44EC8" w:rsidRPr="00844E7D">
        <w:rPr>
          <w:rFonts w:cs="Arial"/>
          <w:rtl/>
        </w:rPr>
        <w:t>זה הדין של רב יהודה איתיה בכל נכסים שהביאה בנדוניא</w:t>
      </w:r>
      <w:r w:rsidR="00FB1060">
        <w:rPr>
          <w:rFonts w:cs="Arial" w:hint="cs"/>
          <w:rtl/>
        </w:rPr>
        <w:t>,</w:t>
      </w:r>
      <w:r w:rsidR="00A44EC8" w:rsidRPr="00844E7D">
        <w:rPr>
          <w:rFonts w:cs="Arial"/>
          <w:rtl/>
        </w:rPr>
        <w:t xml:space="preserve"> בין מטלטלין בין קרקע</w:t>
      </w:r>
      <w:r w:rsidR="00FB1060">
        <w:rPr>
          <w:rFonts w:cs="Arial" w:hint="cs"/>
          <w:rtl/>
        </w:rPr>
        <w:t>.</w:t>
      </w:r>
      <w:r w:rsidR="00A44EC8" w:rsidRPr="00844E7D">
        <w:rPr>
          <w:rFonts w:cs="Arial"/>
          <w:rtl/>
        </w:rPr>
        <w:t xml:space="preserve"> והוא הדין לקרקע שהכניס לה שום משלו </w:t>
      </w:r>
      <w:r w:rsidR="00FB1060">
        <w:rPr>
          <w:rFonts w:cs="Arial" w:hint="cs"/>
          <w:rtl/>
        </w:rPr>
        <w:t>אע"</w:t>
      </w:r>
      <w:r w:rsidR="00A44EC8" w:rsidRPr="00844E7D">
        <w:rPr>
          <w:rFonts w:cs="Arial"/>
          <w:rtl/>
        </w:rPr>
        <w:t>פ שלא היה מבית אביה</w:t>
      </w:r>
      <w:r w:rsidR="001474C4">
        <w:rPr>
          <w:rFonts w:cs="Arial" w:hint="cs"/>
          <w:rtl/>
        </w:rPr>
        <w:t>,</w:t>
      </w:r>
      <w:r w:rsidR="00A44EC8" w:rsidRPr="00844E7D">
        <w:rPr>
          <w:rFonts w:cs="Arial"/>
          <w:rtl/>
        </w:rPr>
        <w:t xml:space="preserve"> כשהיא יוצאה נוטלתו משום שבח בית אביה</w:t>
      </w:r>
      <w:r w:rsidR="00FB1060">
        <w:rPr>
          <w:rFonts w:cs="Arial" w:hint="cs"/>
          <w:rtl/>
        </w:rPr>
        <w:t>,</w:t>
      </w:r>
      <w:r w:rsidR="00A44EC8" w:rsidRPr="00844E7D">
        <w:rPr>
          <w:rFonts w:cs="Arial"/>
          <w:rtl/>
        </w:rPr>
        <w:t xml:space="preserve"> כיון שקנאתו ממה שהכניסה לו מבית אביה</w:t>
      </w:r>
      <w:r w:rsidR="00FB1060">
        <w:rPr>
          <w:rFonts w:cs="Arial" w:hint="cs"/>
          <w:rtl/>
        </w:rPr>
        <w:t>,</w:t>
      </w:r>
      <w:r w:rsidR="00A44EC8" w:rsidRPr="00844E7D">
        <w:rPr>
          <w:rFonts w:cs="Arial"/>
          <w:rtl/>
        </w:rPr>
        <w:t xml:space="preserve"> וכן פירש זה הרמב"ן</w:t>
      </w:r>
      <w:r>
        <w:rPr>
          <w:rFonts w:cs="Arial" w:hint="cs"/>
          <w:rtl/>
        </w:rPr>
        <w:t>.</w:t>
      </w:r>
    </w:p>
    <w:p w14:paraId="0873E54A"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485E0215" w14:textId="1DA4D2D0" w:rsidR="007A3469" w:rsidRDefault="007A3469" w:rsidP="007A3469">
      <w:pPr>
        <w:rPr>
          <w:rtl/>
        </w:rPr>
      </w:pPr>
      <w:r>
        <w:rPr>
          <w:rFonts w:cs="Arial"/>
          <w:rtl/>
        </w:rPr>
        <w:t>האשה שיוצאת מתחת יד בעלה, בין במיתה בין בגרושין, נוטלת כל נכסיה בלא שבועה</w:t>
      </w:r>
      <w:r w:rsidR="001676FE">
        <w:rPr>
          <w:rStyle w:val="a7"/>
          <w:rFonts w:cs="Arial"/>
          <w:rtl/>
        </w:rPr>
        <w:footnoteReference w:id="1122"/>
      </w:r>
      <w:r>
        <w:rPr>
          <w:rFonts w:cs="Arial"/>
          <w:rtl/>
        </w:rPr>
        <w:t xml:space="preserve">, בין נכסי מלוג בין נכסי </w:t>
      </w:r>
      <w:r w:rsidR="007A617E">
        <w:rPr>
          <w:rFonts w:cs="Arial"/>
          <w:rtl/>
        </w:rPr>
        <w:t>צאן ברזל</w:t>
      </w:r>
      <w:r>
        <w:rPr>
          <w:rFonts w:cs="Arial"/>
          <w:rtl/>
        </w:rPr>
        <w:t xml:space="preserve">, אף על פי שאינה נוטלת כתובתה </w:t>
      </w:r>
      <w:r w:rsidR="0027706B">
        <w:rPr>
          <w:rFonts w:cs="Arial" w:hint="cs"/>
          <w:sz w:val="18"/>
          <w:szCs w:val="18"/>
          <w:rtl/>
        </w:rPr>
        <w:t xml:space="preserve">[הגה] </w:t>
      </w:r>
      <w:r w:rsidRPr="007A617E">
        <w:rPr>
          <w:rFonts w:cs="Arial"/>
          <w:sz w:val="18"/>
          <w:szCs w:val="18"/>
          <w:rtl/>
        </w:rPr>
        <w:t xml:space="preserve">כשהיא אלמנה (טור) </w:t>
      </w:r>
      <w:r>
        <w:rPr>
          <w:rFonts w:cs="Arial"/>
          <w:rtl/>
        </w:rPr>
        <w:t>אלא בשבועה, נכסיה נוטלת בלא שבועה. ו</w:t>
      </w:r>
      <w:r w:rsidR="00750751">
        <w:rPr>
          <w:rFonts w:cs="Arial"/>
          <w:rtl/>
        </w:rPr>
        <w:t>נכסי מלוג</w:t>
      </w:r>
      <w:r>
        <w:rPr>
          <w:rFonts w:cs="Arial"/>
          <w:rtl/>
        </w:rPr>
        <w:t xml:space="preserve"> </w:t>
      </w:r>
      <w:r>
        <w:rPr>
          <w:rFonts w:cs="Arial"/>
          <w:rtl/>
        </w:rPr>
        <w:lastRenderedPageBreak/>
        <w:t>נוטלתן כמו שהם, אפילו בלו הרבה ואין ראוי לעשות בהם מעין מלאכתן ראשונה. ואם אבדו לגמרי</w:t>
      </w:r>
      <w:r w:rsidR="001676FE">
        <w:rPr>
          <w:rStyle w:val="a7"/>
          <w:rFonts w:cs="Arial"/>
          <w:rtl/>
        </w:rPr>
        <w:footnoteReference w:id="1123"/>
      </w:r>
      <w:r>
        <w:rPr>
          <w:rFonts w:cs="Arial"/>
          <w:rtl/>
        </w:rPr>
        <w:t xml:space="preserve">, אינו משלם לה. ואם הוקרו, הוקרו לה. </w:t>
      </w:r>
      <w:r w:rsidR="00FB1060">
        <w:rPr>
          <w:rFonts w:cs="Arial" w:hint="cs"/>
          <w:sz w:val="18"/>
          <w:szCs w:val="18"/>
          <w:rtl/>
        </w:rPr>
        <w:t xml:space="preserve">[הגה] </w:t>
      </w:r>
      <w:r w:rsidRPr="007A617E">
        <w:rPr>
          <w:rFonts w:cs="Arial"/>
          <w:sz w:val="18"/>
          <w:szCs w:val="18"/>
          <w:rtl/>
        </w:rPr>
        <w:t>ועיין לקמן סימן צ"ג סעיף א' אם יכולה לתבוע בחיי בעלה.</w:t>
      </w:r>
      <w:r>
        <w:rPr>
          <w:rFonts w:cs="Arial"/>
          <w:rtl/>
        </w:rPr>
        <w:t xml:space="preserve"> </w:t>
      </w:r>
    </w:p>
    <w:p w14:paraId="2D6FBDE2" w14:textId="77777777" w:rsidR="00B13E97" w:rsidRDefault="00B13E97" w:rsidP="007A3469">
      <w:pPr>
        <w:rPr>
          <w:rtl/>
        </w:rPr>
      </w:pPr>
    </w:p>
    <w:p w14:paraId="5982B652" w14:textId="580EA1FE" w:rsidR="007A3469" w:rsidRDefault="007A3469" w:rsidP="000F64D0">
      <w:pPr>
        <w:pStyle w:val="2"/>
        <w:rPr>
          <w:rtl/>
        </w:rPr>
      </w:pPr>
      <w:r>
        <w:rPr>
          <w:rtl/>
        </w:rPr>
        <w:t>סעיף ב</w:t>
      </w:r>
      <w:r w:rsidR="00B13E97">
        <w:rPr>
          <w:rFonts w:hint="cs"/>
          <w:rtl/>
        </w:rPr>
        <w:t>:</w:t>
      </w:r>
      <w:r w:rsidR="00A97378">
        <w:rPr>
          <w:rFonts w:hint="cs"/>
          <w:rtl/>
        </w:rPr>
        <w:t xml:space="preserve"> נטילת נכסי צאן ברזל כיצד.</w:t>
      </w:r>
    </w:p>
    <w:p w14:paraId="59BCD26D" w14:textId="3064041C" w:rsidR="00B13E97" w:rsidRPr="00B13E97" w:rsidRDefault="00A97378" w:rsidP="00B13E97">
      <w:pPr>
        <w:rPr>
          <w:rtl/>
        </w:rPr>
      </w:pPr>
      <w:r>
        <w:rPr>
          <w:rFonts w:hint="cs"/>
          <w:rtl/>
        </w:rPr>
        <w:t>עיין במקורות בסעיף א'.</w:t>
      </w:r>
    </w:p>
    <w:p w14:paraId="61300027"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069947B3" w14:textId="5738315B" w:rsidR="007A3469" w:rsidRDefault="007A3469" w:rsidP="007A3469">
      <w:pPr>
        <w:rPr>
          <w:rtl/>
        </w:rPr>
      </w:pPr>
      <w:r>
        <w:rPr>
          <w:rFonts w:cs="Arial"/>
          <w:rtl/>
        </w:rPr>
        <w:t>נכסי צאן ברזל שהם נקראים נדוניא, מן הדין אם פחתו צריך לשלם כל הפחת, אף על פי שראויה למלאכתן ראשונה. אבל נהגו שכל זמן שראויים לעשות מעין מלאכתן ראשונה, אפילו הם בלויין הרבה, נוטלתן כמו שהן</w:t>
      </w:r>
      <w:r w:rsidR="0027706B">
        <w:rPr>
          <w:rFonts w:cs="Arial" w:hint="cs"/>
          <w:rtl/>
        </w:rPr>
        <w:t>.</w:t>
      </w:r>
      <w:r>
        <w:rPr>
          <w:rFonts w:cs="Arial"/>
          <w:rtl/>
        </w:rPr>
        <w:t xml:space="preserve"> ואם לא היו עושין מעין מלאכתן ראשונה, חייב לשלם דמיהם ששמו עליו בשעת הנשואין</w:t>
      </w:r>
      <w:r w:rsidR="0027706B">
        <w:rPr>
          <w:rFonts w:cs="Arial" w:hint="cs"/>
          <w:rtl/>
        </w:rPr>
        <w:t>.</w:t>
      </w:r>
      <w:r>
        <w:rPr>
          <w:rFonts w:cs="Arial"/>
          <w:rtl/>
        </w:rPr>
        <w:t xml:space="preserve"> ואם הוקרו, אינה נוטלתן אלא </w:t>
      </w:r>
      <w:r w:rsidR="00DE7F62">
        <w:rPr>
          <w:rFonts w:cs="Arial" w:hint="cs"/>
          <w:rtl/>
        </w:rPr>
        <w:t>ב</w:t>
      </w:r>
      <w:r>
        <w:rPr>
          <w:rFonts w:cs="Arial"/>
          <w:rtl/>
        </w:rPr>
        <w:t>שומא ראשונה של שעת הנשואין</w:t>
      </w:r>
      <w:r w:rsidR="000E4FBD">
        <w:rPr>
          <w:rStyle w:val="a7"/>
          <w:rFonts w:cs="Arial"/>
          <w:rtl/>
        </w:rPr>
        <w:footnoteReference w:id="1124"/>
      </w:r>
      <w:r>
        <w:rPr>
          <w:rFonts w:cs="Arial"/>
          <w:rtl/>
        </w:rPr>
        <w:t>. ב</w:t>
      </w:r>
      <w:r w:rsidR="0027706B">
        <w:rPr>
          <w:rFonts w:cs="Arial" w:hint="cs"/>
          <w:rtl/>
        </w:rPr>
        <w:t xml:space="preserve">מה דברים </w:t>
      </w:r>
      <w:r>
        <w:rPr>
          <w:rFonts w:cs="Arial"/>
          <w:rtl/>
        </w:rPr>
        <w:t>א</w:t>
      </w:r>
      <w:r w:rsidR="0027706B">
        <w:rPr>
          <w:rFonts w:cs="Arial" w:hint="cs"/>
          <w:rtl/>
        </w:rPr>
        <w:t>מורים</w:t>
      </w:r>
      <w:r>
        <w:rPr>
          <w:rFonts w:cs="Arial"/>
          <w:rtl/>
        </w:rPr>
        <w:t>, במקום שנוהגין לכתוב בכתובה: הכניסה לו כלי פלוני בסך כך וכך, וכלי פלוני בסך כך וכך</w:t>
      </w:r>
      <w:r w:rsidR="00DE7F62">
        <w:rPr>
          <w:rFonts w:cs="Arial" w:hint="cs"/>
          <w:rtl/>
        </w:rPr>
        <w:t>.</w:t>
      </w:r>
      <w:r>
        <w:rPr>
          <w:rFonts w:cs="Arial"/>
          <w:rtl/>
        </w:rPr>
        <w:t xml:space="preserve"> אבל במקום שאין כותבין בכתובה שום כלי בפרטות, אלא כוללים הכל, וכותבין: הכניסה לו בבגדים ותכשיטים סך כך וכך מעות, הרי סך אותן המעות חוב עליו, ואפילו היו הנכסים חדשים חוזרים לשום אותם כמו ששוים עכשיו, ואם פחתו פחתו לו, ואם הותירו הותירו לו, ואין חוששים לשומא ראשונה כלל. </w:t>
      </w:r>
    </w:p>
    <w:p w14:paraId="66E600FC" w14:textId="77777777" w:rsidR="0027706B" w:rsidRDefault="0027706B" w:rsidP="007A3469">
      <w:pPr>
        <w:rPr>
          <w:rtl/>
        </w:rPr>
      </w:pPr>
    </w:p>
    <w:p w14:paraId="416064AF" w14:textId="703C0838" w:rsidR="007A3469" w:rsidRDefault="007A3469" w:rsidP="000F64D0">
      <w:pPr>
        <w:pStyle w:val="2"/>
        <w:rPr>
          <w:rtl/>
        </w:rPr>
      </w:pPr>
      <w:r>
        <w:rPr>
          <w:rtl/>
        </w:rPr>
        <w:t>סעיף ג</w:t>
      </w:r>
      <w:r w:rsidR="00A97378">
        <w:rPr>
          <w:rFonts w:hint="cs"/>
          <w:rtl/>
        </w:rPr>
        <w:t xml:space="preserve">: אשה שרוצה את </w:t>
      </w:r>
      <w:r w:rsidR="004B1359">
        <w:rPr>
          <w:rFonts w:hint="cs"/>
          <w:rtl/>
        </w:rPr>
        <w:t>הכלים</w:t>
      </w:r>
      <w:r w:rsidR="00A97378">
        <w:rPr>
          <w:rFonts w:hint="cs"/>
          <w:rtl/>
        </w:rPr>
        <w:t xml:space="preserve"> שלה, </w:t>
      </w:r>
      <w:r w:rsidR="00115D2A">
        <w:rPr>
          <w:rFonts w:hint="cs"/>
          <w:rtl/>
        </w:rPr>
        <w:t>והוא</w:t>
      </w:r>
      <w:r w:rsidR="00A97378">
        <w:rPr>
          <w:rFonts w:hint="cs"/>
          <w:rtl/>
        </w:rPr>
        <w:t xml:space="preserve"> רוצה ל</w:t>
      </w:r>
      <w:r w:rsidR="004B1359">
        <w:rPr>
          <w:rFonts w:hint="cs"/>
          <w:rtl/>
        </w:rPr>
        <w:t>תת</w:t>
      </w:r>
      <w:r w:rsidR="00A97378">
        <w:rPr>
          <w:rFonts w:hint="cs"/>
          <w:rtl/>
        </w:rPr>
        <w:t xml:space="preserve"> </w:t>
      </w:r>
      <w:r w:rsidR="004B1359">
        <w:rPr>
          <w:rFonts w:hint="cs"/>
          <w:rtl/>
        </w:rPr>
        <w:t>דמים</w:t>
      </w:r>
      <w:r w:rsidR="00A97378">
        <w:rPr>
          <w:rFonts w:hint="cs"/>
          <w:rtl/>
        </w:rPr>
        <w:t>. דין ולדות מלוג. נצ"ב שהתייקרו.</w:t>
      </w:r>
    </w:p>
    <w:p w14:paraId="4BAEC734" w14:textId="07FE8064" w:rsidR="00A97378" w:rsidRPr="00A97378" w:rsidRDefault="00A97378" w:rsidP="00A97378">
      <w:pPr>
        <w:rPr>
          <w:rtl/>
        </w:rPr>
      </w:pPr>
      <w:r>
        <w:rPr>
          <w:rFonts w:hint="cs"/>
          <w:rtl/>
        </w:rPr>
        <w:t>עיין במקורות בסעיף א'.</w:t>
      </w:r>
    </w:p>
    <w:p w14:paraId="0982C1D2"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2A03726E" w14:textId="6B02C60C" w:rsidR="007A3469" w:rsidRDefault="007A3469" w:rsidP="007A3469">
      <w:pPr>
        <w:rPr>
          <w:rtl/>
        </w:rPr>
      </w:pPr>
      <w:r>
        <w:rPr>
          <w:rFonts w:cs="Arial"/>
          <w:rtl/>
        </w:rPr>
        <w:t>אם היא אומרת: כלי אני נוטלת, והוא אומר: דמיה אני נותן, שומעין לה</w:t>
      </w:r>
      <w:r w:rsidR="00706BA2">
        <w:rPr>
          <w:rStyle w:val="a7"/>
          <w:rFonts w:cs="Arial"/>
          <w:rtl/>
        </w:rPr>
        <w:footnoteReference w:id="1125"/>
      </w:r>
      <w:r w:rsidR="00A97378">
        <w:rPr>
          <w:rFonts w:cs="Arial" w:hint="cs"/>
          <w:rtl/>
        </w:rPr>
        <w:t>,</w:t>
      </w:r>
      <w:r>
        <w:rPr>
          <w:rFonts w:cs="Arial"/>
          <w:rtl/>
        </w:rPr>
        <w:t xml:space="preserve"> והוא שיהיו עושין מעין מלאכתן</w:t>
      </w:r>
      <w:r w:rsidR="00706BA2">
        <w:rPr>
          <w:rStyle w:val="a7"/>
          <w:rFonts w:cs="Arial"/>
          <w:rtl/>
        </w:rPr>
        <w:footnoteReference w:id="1126"/>
      </w:r>
      <w:r w:rsidR="00051A54">
        <w:rPr>
          <w:rFonts w:cs="Arial" w:hint="cs"/>
          <w:rtl/>
        </w:rPr>
        <w:t>.</w:t>
      </w:r>
      <w:r>
        <w:rPr>
          <w:rFonts w:cs="Arial"/>
          <w:rtl/>
        </w:rPr>
        <w:t xml:space="preserve"> וה</w:t>
      </w:r>
      <w:r w:rsidR="0027706B">
        <w:rPr>
          <w:rFonts w:cs="Arial" w:hint="cs"/>
          <w:rtl/>
        </w:rPr>
        <w:t xml:space="preserve">וא </w:t>
      </w:r>
      <w:r>
        <w:rPr>
          <w:rFonts w:cs="Arial"/>
          <w:rtl/>
        </w:rPr>
        <w:t>ה</w:t>
      </w:r>
      <w:r w:rsidR="0027706B">
        <w:rPr>
          <w:rFonts w:cs="Arial" w:hint="cs"/>
          <w:rtl/>
        </w:rPr>
        <w:t>דין</w:t>
      </w:r>
      <w:r>
        <w:rPr>
          <w:rFonts w:cs="Arial"/>
          <w:rtl/>
        </w:rPr>
        <w:t xml:space="preserve"> לולדות של שפחה ובהמה</w:t>
      </w:r>
      <w:r w:rsidR="00BC7C07">
        <w:rPr>
          <w:rStyle w:val="a7"/>
          <w:rFonts w:cs="Arial"/>
          <w:rtl/>
        </w:rPr>
        <w:footnoteReference w:id="1127"/>
      </w:r>
      <w:r>
        <w:rPr>
          <w:rFonts w:cs="Arial"/>
          <w:rtl/>
        </w:rPr>
        <w:t xml:space="preserve"> של </w:t>
      </w:r>
      <w:r w:rsidR="00750751">
        <w:rPr>
          <w:rFonts w:cs="Arial"/>
          <w:rtl/>
        </w:rPr>
        <w:t>נכסי מלוג</w:t>
      </w:r>
      <w:r>
        <w:rPr>
          <w:rFonts w:cs="Arial"/>
          <w:rtl/>
        </w:rPr>
        <w:t xml:space="preserve">. ולא עוד, אלא אפילו הכניסה לו שני כלים או שתי שפחות בתורת נכסי </w:t>
      </w:r>
      <w:r w:rsidR="007A617E">
        <w:rPr>
          <w:rFonts w:cs="Arial"/>
          <w:rtl/>
        </w:rPr>
        <w:t>צאן ברזל</w:t>
      </w:r>
      <w:r>
        <w:rPr>
          <w:rFonts w:cs="Arial"/>
          <w:rtl/>
        </w:rPr>
        <w:t xml:space="preserve">, ושמו אותם עליו באלף זוז, והוקרו ועמדו באלפים, נוטלת אחד באלף שלה, והשני אם רצתה לתת דמיו ולנטלו משום שבח בית אביה, שומעין לה. </w:t>
      </w:r>
    </w:p>
    <w:p w14:paraId="632FEED9" w14:textId="77777777" w:rsidR="0058205E" w:rsidRDefault="0058205E" w:rsidP="007A3469">
      <w:pPr>
        <w:rPr>
          <w:rtl/>
        </w:rPr>
      </w:pPr>
    </w:p>
    <w:p w14:paraId="6149AC2B" w14:textId="080528FE" w:rsidR="007A3469" w:rsidRDefault="007A3469" w:rsidP="000F64D0">
      <w:pPr>
        <w:pStyle w:val="2"/>
        <w:rPr>
          <w:rtl/>
        </w:rPr>
      </w:pPr>
      <w:r>
        <w:rPr>
          <w:rtl/>
        </w:rPr>
        <w:t>סעיף ד</w:t>
      </w:r>
      <w:r w:rsidR="00A97378">
        <w:rPr>
          <w:rFonts w:hint="cs"/>
          <w:rtl/>
        </w:rPr>
        <w:t xml:space="preserve">: </w:t>
      </w:r>
      <w:r w:rsidR="00115D2A">
        <w:rPr>
          <w:rFonts w:hint="cs"/>
          <w:rtl/>
        </w:rPr>
        <w:t>אשה שאינה רו</w:t>
      </w:r>
      <w:r w:rsidR="004B1359">
        <w:rPr>
          <w:rFonts w:hint="cs"/>
          <w:rtl/>
        </w:rPr>
        <w:t>צ</w:t>
      </w:r>
      <w:r w:rsidR="00115D2A">
        <w:rPr>
          <w:rFonts w:hint="cs"/>
          <w:rtl/>
        </w:rPr>
        <w:t>ה את הכלים שלה</w:t>
      </w:r>
      <w:r w:rsidR="00764BE2">
        <w:rPr>
          <w:rFonts w:hint="cs"/>
          <w:rtl/>
        </w:rPr>
        <w:t xml:space="preserve"> (נצ"ב)</w:t>
      </w:r>
      <w:r w:rsidR="00115D2A">
        <w:rPr>
          <w:rFonts w:hint="cs"/>
          <w:rtl/>
        </w:rPr>
        <w:t>, אלא מעות.</w:t>
      </w:r>
    </w:p>
    <w:p w14:paraId="13FC083B" w14:textId="77777777" w:rsidR="00115D2A" w:rsidRDefault="00115D2A" w:rsidP="00115D2A">
      <w:pPr>
        <w:rPr>
          <w:rFonts w:cs="Arial"/>
          <w:rtl/>
        </w:rPr>
      </w:pPr>
      <w:r w:rsidRPr="00844E7D">
        <w:rPr>
          <w:rFonts w:cs="Arial" w:hint="cs"/>
          <w:u w:val="single"/>
          <w:rtl/>
        </w:rPr>
        <w:t>אשה שהכניסה לבעלה נכסי צאן ברזל</w:t>
      </w:r>
      <w:r>
        <w:rPr>
          <w:rFonts w:cs="Arial" w:hint="cs"/>
          <w:u w:val="single"/>
          <w:rtl/>
        </w:rPr>
        <w:t>,</w:t>
      </w:r>
      <w:r w:rsidRPr="00844E7D">
        <w:rPr>
          <w:rFonts w:cs="Arial" w:hint="cs"/>
          <w:u w:val="single"/>
          <w:rtl/>
        </w:rPr>
        <w:t xml:space="preserve"> וכשיצאה</w:t>
      </w:r>
      <w:r>
        <w:rPr>
          <w:rFonts w:cs="Arial" w:hint="cs"/>
          <w:u w:val="single"/>
          <w:rtl/>
        </w:rPr>
        <w:t xml:space="preserve"> בגט</w:t>
      </w:r>
      <w:r w:rsidRPr="00844E7D">
        <w:rPr>
          <w:rFonts w:cs="Arial" w:hint="cs"/>
          <w:u w:val="single"/>
          <w:rtl/>
        </w:rPr>
        <w:t xml:space="preserve"> אינה רוצה ליטלם בחזרה:</w:t>
      </w:r>
    </w:p>
    <w:p w14:paraId="443DDAB4" w14:textId="0E0BDEAC" w:rsidR="00115D2A" w:rsidRPr="00115D2A" w:rsidRDefault="00115D2A" w:rsidP="009000E3">
      <w:pPr>
        <w:pStyle w:val="ab"/>
        <w:numPr>
          <w:ilvl w:val="0"/>
          <w:numId w:val="52"/>
        </w:numPr>
        <w:rPr>
          <w:rtl/>
        </w:rPr>
      </w:pPr>
      <w:r w:rsidRPr="00844E7D">
        <w:rPr>
          <w:rFonts w:cs="Arial"/>
          <w:rtl/>
        </w:rPr>
        <w:t xml:space="preserve">ריב"ש </w:t>
      </w:r>
      <w:r w:rsidRPr="00844E7D">
        <w:rPr>
          <w:rFonts w:cs="Arial" w:hint="cs"/>
          <w:sz w:val="16"/>
          <w:szCs w:val="16"/>
          <w:rtl/>
        </w:rPr>
        <w:t>(</w:t>
      </w:r>
      <w:r w:rsidRPr="00844E7D">
        <w:rPr>
          <w:rFonts w:cs="Arial"/>
          <w:sz w:val="16"/>
          <w:szCs w:val="16"/>
          <w:rtl/>
        </w:rPr>
        <w:t>סי</w:t>
      </w:r>
      <w:r w:rsidRPr="00844E7D">
        <w:rPr>
          <w:rFonts w:cs="Arial" w:hint="cs"/>
          <w:sz w:val="16"/>
          <w:szCs w:val="16"/>
          <w:rtl/>
        </w:rPr>
        <w:t>'</w:t>
      </w:r>
      <w:r w:rsidRPr="00844E7D">
        <w:rPr>
          <w:rFonts w:cs="Arial"/>
          <w:sz w:val="16"/>
          <w:szCs w:val="16"/>
          <w:rtl/>
        </w:rPr>
        <w:t xml:space="preserve"> כב וסי</w:t>
      </w:r>
      <w:r w:rsidRPr="00844E7D">
        <w:rPr>
          <w:rFonts w:cs="Arial" w:hint="cs"/>
          <w:sz w:val="16"/>
          <w:szCs w:val="16"/>
          <w:rtl/>
        </w:rPr>
        <w:t>'</w:t>
      </w:r>
      <w:r w:rsidRPr="00844E7D">
        <w:rPr>
          <w:rFonts w:cs="Arial"/>
          <w:sz w:val="16"/>
          <w:szCs w:val="16"/>
          <w:rtl/>
        </w:rPr>
        <w:t xml:space="preserve"> ק</w:t>
      </w:r>
      <w:r w:rsidRPr="00844E7D">
        <w:rPr>
          <w:rFonts w:cs="Arial" w:hint="cs"/>
          <w:sz w:val="16"/>
          <w:szCs w:val="16"/>
          <w:rtl/>
        </w:rPr>
        <w:t>)</w:t>
      </w:r>
      <w:r w:rsidRPr="00844E7D">
        <w:rPr>
          <w:rFonts w:cs="Arial" w:hint="cs"/>
          <w:rtl/>
        </w:rPr>
        <w:t xml:space="preserve">- </w:t>
      </w:r>
      <w:r w:rsidRPr="00844E7D">
        <w:rPr>
          <w:rFonts w:cs="Arial"/>
          <w:rtl/>
        </w:rPr>
        <w:t>אם האשה אינה רוצה כליה</w:t>
      </w:r>
      <w:r w:rsidR="00764BE2">
        <w:rPr>
          <w:rFonts w:cs="Arial" w:hint="cs"/>
          <w:rtl/>
        </w:rPr>
        <w:t>,</w:t>
      </w:r>
      <w:r w:rsidRPr="00844E7D">
        <w:rPr>
          <w:rFonts w:cs="Arial"/>
          <w:rtl/>
        </w:rPr>
        <w:t xml:space="preserve"> א</w:t>
      </w:r>
      <w:r w:rsidR="00764BE2">
        <w:rPr>
          <w:rFonts w:cs="Arial" w:hint="cs"/>
          <w:rtl/>
        </w:rPr>
        <w:t>ע"ג</w:t>
      </w:r>
      <w:r w:rsidRPr="00844E7D">
        <w:rPr>
          <w:rFonts w:cs="Arial"/>
          <w:rtl/>
        </w:rPr>
        <w:t xml:space="preserve"> דאית לבעל מעות יכול לסלקה בכליה</w:t>
      </w:r>
      <w:r w:rsidR="00764BE2">
        <w:rPr>
          <w:rFonts w:cs="Arial" w:hint="cs"/>
          <w:rtl/>
        </w:rPr>
        <w:t>,</w:t>
      </w:r>
      <w:r w:rsidRPr="00844E7D">
        <w:rPr>
          <w:rFonts w:cs="Arial"/>
          <w:rtl/>
        </w:rPr>
        <w:t xml:space="preserve"> דכיון שהמטלטלים ההם מיוחדים לה ואין הבעל רשאי למכרם וגם נוטלתן בלא שבועה הרי הם כאילו הם משכון בידה ואפותיקי</w:t>
      </w:r>
      <w:r w:rsidR="00764BE2">
        <w:rPr>
          <w:rFonts w:cs="Arial" w:hint="cs"/>
          <w:rtl/>
        </w:rPr>
        <w:t>,</w:t>
      </w:r>
      <w:r w:rsidRPr="00844E7D">
        <w:rPr>
          <w:rFonts w:cs="Arial"/>
          <w:rtl/>
        </w:rPr>
        <w:t xml:space="preserve"> ובפרק השולח </w:t>
      </w:r>
      <w:r w:rsidRPr="007E3EDE">
        <w:rPr>
          <w:rFonts w:cs="Arial"/>
          <w:sz w:val="16"/>
          <w:szCs w:val="16"/>
          <w:rtl/>
        </w:rPr>
        <w:t xml:space="preserve">(גיטין מא.) </w:t>
      </w:r>
      <w:r w:rsidRPr="00844E7D">
        <w:rPr>
          <w:rFonts w:cs="Arial"/>
          <w:rtl/>
        </w:rPr>
        <w:t>מוכח שהעושה שדהו אפותיקי סתם לאחרים אינו גובה משאר נכסים אלא אם כן שטפה נהר</w:t>
      </w:r>
      <w:r w:rsidR="00764BE2">
        <w:rPr>
          <w:rFonts w:cs="Arial" w:hint="cs"/>
          <w:rtl/>
        </w:rPr>
        <w:t>,</w:t>
      </w:r>
      <w:r w:rsidRPr="00844E7D">
        <w:rPr>
          <w:rFonts w:cs="Arial"/>
          <w:rtl/>
        </w:rPr>
        <w:t xml:space="preserve"> ולכן כיון שהיא הביאתם מבית אביה ומיוחדים לה ומכלה אותם והוא אינו יכול למכרם נראה דיכול לומר לה טלי כליך</w:t>
      </w:r>
      <w:r w:rsidR="00764BE2">
        <w:rPr>
          <w:rFonts w:cs="Arial" w:hint="cs"/>
          <w:rtl/>
        </w:rPr>
        <w:t>.</w:t>
      </w:r>
      <w:r w:rsidRPr="00844E7D">
        <w:rPr>
          <w:rFonts w:cs="Arial"/>
          <w:rtl/>
        </w:rPr>
        <w:t xml:space="preserve"> אלא שאם פחתו או הוזלו</w:t>
      </w:r>
      <w:r w:rsidR="00764BE2">
        <w:rPr>
          <w:rFonts w:cs="Arial" w:hint="cs"/>
          <w:rtl/>
        </w:rPr>
        <w:t>,</w:t>
      </w:r>
      <w:r w:rsidRPr="00844E7D">
        <w:rPr>
          <w:rFonts w:cs="Arial"/>
          <w:rtl/>
        </w:rPr>
        <w:t xml:space="preserve"> פחתו לו כמו שקיבל עליו</w:t>
      </w:r>
      <w:r w:rsidR="00764BE2">
        <w:rPr>
          <w:rFonts w:cs="Arial" w:hint="cs"/>
          <w:rtl/>
        </w:rPr>
        <w:t>,</w:t>
      </w:r>
      <w:r w:rsidRPr="00844E7D">
        <w:rPr>
          <w:rFonts w:cs="Arial"/>
          <w:rtl/>
        </w:rPr>
        <w:t xml:space="preserve"> וצריך לשלם לה הפחת </w:t>
      </w:r>
      <w:r w:rsidRPr="00844E7D">
        <w:rPr>
          <w:rFonts w:cs="Arial"/>
          <w:rtl/>
        </w:rPr>
        <w:lastRenderedPageBreak/>
        <w:t>במעות אם יש לו דהויא לה במותר כבעלת חוב דעלמא</w:t>
      </w:r>
      <w:r w:rsidR="00764BE2">
        <w:rPr>
          <w:rFonts w:cs="Arial" w:hint="cs"/>
          <w:rtl/>
        </w:rPr>
        <w:t>.</w:t>
      </w:r>
      <w:r w:rsidRPr="00844E7D">
        <w:rPr>
          <w:rFonts w:cs="Arial"/>
          <w:rtl/>
        </w:rPr>
        <w:t xml:space="preserve"> וכן אם אינם עושים מעין מלאכתם הרי הם כאילו נגנבו כדברי הגאונים ואינה לוקחת הבלאות</w:t>
      </w:r>
      <w:r w:rsidR="00764BE2">
        <w:rPr>
          <w:rFonts w:cs="Arial" w:hint="cs"/>
          <w:rtl/>
        </w:rPr>
        <w:t>,</w:t>
      </w:r>
      <w:r w:rsidRPr="00844E7D">
        <w:rPr>
          <w:rFonts w:cs="Arial"/>
          <w:rtl/>
        </w:rPr>
        <w:t xml:space="preserve"> שהרי אין בהם משום שבח בית אביה מעתה</w:t>
      </w:r>
      <w:r w:rsidR="00764BE2">
        <w:rPr>
          <w:rFonts w:cs="Arial" w:hint="cs"/>
          <w:rtl/>
        </w:rPr>
        <w:t>,</w:t>
      </w:r>
      <w:r w:rsidRPr="00844E7D">
        <w:rPr>
          <w:rFonts w:cs="Arial"/>
          <w:rtl/>
        </w:rPr>
        <w:t xml:space="preserve"> וכן הוא אינו יכול לכופה ליטול הבלאות ההם כל שיש לו מעות בעין</w:t>
      </w:r>
      <w:r w:rsidR="00764BE2">
        <w:rPr>
          <w:rFonts w:cs="Arial" w:hint="cs"/>
          <w:rtl/>
        </w:rPr>
        <w:t>,</w:t>
      </w:r>
      <w:r w:rsidRPr="00844E7D">
        <w:rPr>
          <w:rFonts w:cs="Arial"/>
          <w:rtl/>
        </w:rPr>
        <w:t xml:space="preserve"> והרי הם כשאר מטלטלין שלו שאם אין לו מעות יוכל להגבותן לה בשומא דכל מילי מיטב הוא ואפילו סובין</w:t>
      </w:r>
      <w:r w:rsidR="00764BE2">
        <w:rPr>
          <w:rFonts w:cs="Arial" w:hint="cs"/>
          <w:rtl/>
        </w:rPr>
        <w:t>.</w:t>
      </w:r>
      <w:r w:rsidRPr="00844E7D">
        <w:rPr>
          <w:rFonts w:cs="Arial"/>
          <w:rtl/>
        </w:rPr>
        <w:t xml:space="preserve"> זהו מה שנ"ל לפי דין התלמוד</w:t>
      </w:r>
      <w:r w:rsidR="00764BE2">
        <w:rPr>
          <w:rFonts w:cs="Arial" w:hint="cs"/>
          <w:rtl/>
        </w:rPr>
        <w:t>,</w:t>
      </w:r>
      <w:r w:rsidRPr="00844E7D">
        <w:rPr>
          <w:rFonts w:cs="Arial"/>
          <w:rtl/>
        </w:rPr>
        <w:t xml:space="preserve"> אמנם אם יש מנהג אחר פשוט בעיר הולכין אחריו. </w:t>
      </w:r>
      <w:r w:rsidRPr="00A6197B">
        <w:rPr>
          <w:rFonts w:hint="cs"/>
          <w:color w:val="E36C0A" w:themeColor="accent6" w:themeShade="BF"/>
          <w:rtl/>
        </w:rPr>
        <w:t>(וכ"פ בשו"ע)</w:t>
      </w:r>
    </w:p>
    <w:p w14:paraId="78524D1C"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625ECF07" w14:textId="25838A36" w:rsidR="007A3469" w:rsidRDefault="007A3469" w:rsidP="007A3469">
      <w:pPr>
        <w:rPr>
          <w:rtl/>
        </w:rPr>
      </w:pPr>
      <w:r>
        <w:rPr>
          <w:rFonts w:cs="Arial"/>
          <w:rtl/>
        </w:rPr>
        <w:t>אם האשה אינה רוצה כליה, אף ע</w:t>
      </w:r>
      <w:r w:rsidR="00A97378">
        <w:rPr>
          <w:rFonts w:cs="Arial" w:hint="cs"/>
          <w:rtl/>
        </w:rPr>
        <w:t xml:space="preserve">ל </w:t>
      </w:r>
      <w:r>
        <w:rPr>
          <w:rFonts w:cs="Arial"/>
          <w:rtl/>
        </w:rPr>
        <w:t>פ</w:t>
      </w:r>
      <w:r w:rsidR="00A97378">
        <w:rPr>
          <w:rFonts w:cs="Arial" w:hint="cs"/>
          <w:rtl/>
        </w:rPr>
        <w:t>י</w:t>
      </w:r>
      <w:r>
        <w:rPr>
          <w:rFonts w:cs="Arial"/>
          <w:rtl/>
        </w:rPr>
        <w:t xml:space="preserve"> שיש לבעל מעות, יכול לסלקה בכליה, והוא שיהיו עושין מעין מלאכתן. </w:t>
      </w:r>
    </w:p>
    <w:p w14:paraId="4259F6FC" w14:textId="77777777" w:rsidR="00A97378" w:rsidRDefault="00A97378" w:rsidP="007A3469">
      <w:pPr>
        <w:rPr>
          <w:rtl/>
        </w:rPr>
      </w:pPr>
    </w:p>
    <w:p w14:paraId="6A391E7A" w14:textId="394B6250" w:rsidR="007A3469" w:rsidRDefault="007A3469" w:rsidP="000F64D0">
      <w:pPr>
        <w:pStyle w:val="2"/>
        <w:rPr>
          <w:rtl/>
        </w:rPr>
      </w:pPr>
      <w:r>
        <w:rPr>
          <w:rtl/>
        </w:rPr>
        <w:t>סעיף ה</w:t>
      </w:r>
      <w:r w:rsidR="00115D2A">
        <w:rPr>
          <w:rFonts w:hint="cs"/>
          <w:rtl/>
        </w:rPr>
        <w:t>: יורשים שהקדישו נכסי צאן ברזל לאחר מות אביהם.</w:t>
      </w:r>
    </w:p>
    <w:p w14:paraId="1D481CFD" w14:textId="7B36A547" w:rsidR="00115D2A" w:rsidRPr="00115D2A" w:rsidRDefault="00115D2A" w:rsidP="00115D2A">
      <w:pPr>
        <w:rPr>
          <w:rtl/>
        </w:rPr>
      </w:pPr>
      <w:r>
        <w:rPr>
          <w:rFonts w:hint="cs"/>
          <w:rtl/>
        </w:rPr>
        <w:t>עיין במקורות בסעיף א'.</w:t>
      </w:r>
    </w:p>
    <w:p w14:paraId="08651161"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7CF164B6" w14:textId="015A5316" w:rsidR="0058205E" w:rsidRDefault="007A3469" w:rsidP="007A3469">
      <w:pPr>
        <w:rPr>
          <w:rFonts w:cs="Arial"/>
          <w:rtl/>
        </w:rPr>
      </w:pPr>
      <w:r>
        <w:rPr>
          <w:rFonts w:cs="Arial"/>
          <w:rtl/>
        </w:rPr>
        <w:t>אם הקדישו היורשין אחר מות אביהם נכסי צאן ברזל, או שפירשו אותו על המת בענין שנאסר בהנאה, נותנין לה דמיו</w:t>
      </w:r>
      <w:r w:rsidR="00FF165F">
        <w:rPr>
          <w:rStyle w:val="a7"/>
          <w:rFonts w:cs="Arial"/>
          <w:rtl/>
        </w:rPr>
        <w:footnoteReference w:id="1128"/>
      </w:r>
      <w:r>
        <w:rPr>
          <w:rFonts w:cs="Arial"/>
          <w:rtl/>
        </w:rPr>
        <w:t>.</w:t>
      </w:r>
    </w:p>
    <w:p w14:paraId="2C530D7B" w14:textId="766ADEC7" w:rsidR="007A3469" w:rsidRDefault="007A3469" w:rsidP="007A3469">
      <w:pPr>
        <w:rPr>
          <w:rtl/>
        </w:rPr>
      </w:pPr>
      <w:r>
        <w:rPr>
          <w:rFonts w:cs="Arial"/>
          <w:rtl/>
        </w:rPr>
        <w:t xml:space="preserve"> </w:t>
      </w:r>
    </w:p>
    <w:p w14:paraId="0938F563" w14:textId="47C070FD" w:rsidR="007A3469" w:rsidRDefault="007A3469" w:rsidP="000F64D0">
      <w:pPr>
        <w:pStyle w:val="2"/>
        <w:rPr>
          <w:rtl/>
        </w:rPr>
      </w:pPr>
      <w:r>
        <w:rPr>
          <w:rtl/>
        </w:rPr>
        <w:t>סעיף ו</w:t>
      </w:r>
      <w:r w:rsidR="0019164E">
        <w:rPr>
          <w:rFonts w:hint="cs"/>
          <w:rtl/>
        </w:rPr>
        <w:t>:</w:t>
      </w:r>
      <w:r w:rsidR="00FB331E" w:rsidRPr="00FB331E">
        <w:rPr>
          <w:rtl/>
        </w:rPr>
        <w:t xml:space="preserve"> </w:t>
      </w:r>
      <w:r w:rsidR="00FB331E" w:rsidRPr="0019164E">
        <w:rPr>
          <w:rtl/>
        </w:rPr>
        <w:t>הכניסה לו קרקע</w:t>
      </w:r>
      <w:r w:rsidR="00FB331E">
        <w:rPr>
          <w:rFonts w:hint="cs"/>
          <w:rtl/>
        </w:rPr>
        <w:t>,</w:t>
      </w:r>
      <w:r w:rsidR="00FB331E" w:rsidRPr="0019164E">
        <w:rPr>
          <w:rtl/>
        </w:rPr>
        <w:t xml:space="preserve"> וכשיוצאה יש בו פירות מחוברים</w:t>
      </w:r>
      <w:r w:rsidR="00FB331E">
        <w:rPr>
          <w:rFonts w:hint="cs"/>
          <w:rtl/>
        </w:rPr>
        <w:t>.</w:t>
      </w:r>
    </w:p>
    <w:p w14:paraId="3CBB64C4" w14:textId="2114D4CB" w:rsidR="00FB331E" w:rsidRPr="00FB331E" w:rsidRDefault="00FB331E" w:rsidP="00FB331E">
      <w:pPr>
        <w:rPr>
          <w:rtl/>
        </w:rPr>
      </w:pPr>
      <w:r w:rsidRPr="00B226F6">
        <w:rPr>
          <w:rFonts w:cs="Arial" w:hint="cs"/>
          <w:b/>
          <w:bCs/>
          <w:rtl/>
        </w:rPr>
        <w:t xml:space="preserve">כתובות </w:t>
      </w:r>
      <w:r w:rsidRPr="00B226F6">
        <w:rPr>
          <w:rFonts w:cs="Arial" w:hint="cs"/>
          <w:b/>
          <w:bCs/>
          <w:sz w:val="16"/>
          <w:szCs w:val="16"/>
          <w:rtl/>
        </w:rPr>
        <w:t xml:space="preserve">(פ' האשה שנפלו) </w:t>
      </w:r>
      <w:r w:rsidRPr="00B226F6">
        <w:rPr>
          <w:rFonts w:cs="Arial" w:hint="cs"/>
          <w:b/>
          <w:bCs/>
          <w:rtl/>
        </w:rPr>
        <w:t>עט ע"</w:t>
      </w:r>
      <w:r w:rsidR="00D74190">
        <w:rPr>
          <w:rFonts w:cs="Arial" w:hint="cs"/>
          <w:b/>
          <w:bCs/>
          <w:rtl/>
        </w:rPr>
        <w:t>א</w:t>
      </w:r>
      <w:r w:rsidRPr="00B226F6">
        <w:rPr>
          <w:rFonts w:cs="Arial" w:hint="cs"/>
          <w:b/>
          <w:bCs/>
          <w:rtl/>
        </w:rPr>
        <w:t xml:space="preserve">: </w:t>
      </w:r>
      <w:r w:rsidRPr="00FB331E">
        <w:rPr>
          <w:rFonts w:cs="Arial" w:hint="cs"/>
          <w:u w:val="double"/>
          <w:rtl/>
        </w:rPr>
        <w:t>מתני'</w:t>
      </w:r>
      <w:r>
        <w:rPr>
          <w:rFonts w:cs="Arial" w:hint="cs"/>
          <w:rtl/>
        </w:rPr>
        <w:t>:</w:t>
      </w:r>
      <w:r w:rsidRPr="00FB331E">
        <w:rPr>
          <w:rtl/>
        </w:rPr>
        <w:t xml:space="preserve"> </w:t>
      </w:r>
      <w:r w:rsidRPr="00FB331E">
        <w:rPr>
          <w:rFonts w:cs="Arial"/>
          <w:rtl/>
        </w:rPr>
        <w:t>נפלו לה כספים - ילקח בהן קרקע והוא אוכל פירות</w:t>
      </w:r>
      <w:r w:rsidR="00366EC7">
        <w:rPr>
          <w:rFonts w:cs="Arial" w:hint="cs"/>
          <w:rtl/>
        </w:rPr>
        <w:t>.</w:t>
      </w:r>
      <w:r w:rsidRPr="00FB331E">
        <w:rPr>
          <w:rFonts w:cs="Arial"/>
          <w:rtl/>
        </w:rPr>
        <w:t xml:space="preserve"> פירות התלושין מן הקרקע - ילקח בהן קרקע והוא אוכל פירות</w:t>
      </w:r>
      <w:r w:rsidR="008F001E">
        <w:rPr>
          <w:rFonts w:cs="Arial" w:hint="cs"/>
          <w:rtl/>
        </w:rPr>
        <w:t>.</w:t>
      </w:r>
      <w:r w:rsidRPr="00FB331E">
        <w:rPr>
          <w:rFonts w:cs="Arial"/>
          <w:rtl/>
        </w:rPr>
        <w:t xml:space="preserve"> פירות המחוברים בקרקע</w:t>
      </w:r>
      <w:r w:rsidR="008F001E">
        <w:rPr>
          <w:rFonts w:cs="Arial" w:hint="cs"/>
          <w:rtl/>
        </w:rPr>
        <w:t>,</w:t>
      </w:r>
      <w:r w:rsidRPr="00FB331E">
        <w:rPr>
          <w:rFonts w:cs="Arial"/>
          <w:rtl/>
        </w:rPr>
        <w:t xml:space="preserve"> </w:t>
      </w:r>
      <w:r w:rsidRPr="008F001E">
        <w:rPr>
          <w:rFonts w:cs="Arial"/>
          <w:u w:val="single"/>
          <w:rtl/>
        </w:rPr>
        <w:t>א"ר מאיר</w:t>
      </w:r>
      <w:r w:rsidRPr="00FB331E">
        <w:rPr>
          <w:rFonts w:cs="Arial"/>
          <w:rtl/>
        </w:rPr>
        <w:t>: שמין אותה כמה היא יפה בפירות וכמה היא יפה בלא פירות, ומותר ילקח בהן קרקע והוא אוכל פירות</w:t>
      </w:r>
      <w:r w:rsidR="008F001E">
        <w:rPr>
          <w:rFonts w:cs="Arial" w:hint="cs"/>
          <w:rtl/>
        </w:rPr>
        <w:t>.</w:t>
      </w:r>
      <w:r w:rsidRPr="00FB331E">
        <w:rPr>
          <w:rFonts w:cs="Arial"/>
          <w:rtl/>
        </w:rPr>
        <w:t xml:space="preserve"> </w:t>
      </w:r>
      <w:r w:rsidRPr="008F001E">
        <w:rPr>
          <w:rFonts w:cs="Arial"/>
          <w:u w:val="single"/>
          <w:rtl/>
        </w:rPr>
        <w:t>וחכ"א</w:t>
      </w:r>
      <w:r w:rsidRPr="00FB331E">
        <w:rPr>
          <w:rFonts w:cs="Arial"/>
          <w:rtl/>
        </w:rPr>
        <w:t>: המחוברים לקרקע - שלו, והתלושין מן הקרקע - שלה, וילקח בהן קרקע והוא אוכל פירות</w:t>
      </w:r>
      <w:r>
        <w:rPr>
          <w:rFonts w:cs="Arial" w:hint="cs"/>
          <w:rtl/>
        </w:rPr>
        <w:t xml:space="preserve">. </w:t>
      </w:r>
      <w:r w:rsidRPr="00FB331E">
        <w:rPr>
          <w:rFonts w:cs="Arial"/>
          <w:u w:val="single"/>
          <w:rtl/>
        </w:rPr>
        <w:t>ר"ש אומר</w:t>
      </w:r>
      <w:r w:rsidRPr="00FB331E">
        <w:rPr>
          <w:rFonts w:cs="Arial"/>
          <w:rtl/>
        </w:rPr>
        <w:t>: מקום שיפה כחו בכניסתה - הורע כחו ביציאתה, מקום שהורע כחו בכניסתה - יפה כחו ביציאתה, כיצד? פירות המחוברים לקרקע - בכניסתה שלו, וביציאתה שלה</w:t>
      </w:r>
      <w:r w:rsidR="00C15245">
        <w:rPr>
          <w:rFonts w:cs="Arial" w:hint="cs"/>
          <w:rtl/>
        </w:rPr>
        <w:t>.</w:t>
      </w:r>
      <w:r w:rsidRPr="00FB331E">
        <w:rPr>
          <w:rFonts w:cs="Arial"/>
          <w:rtl/>
        </w:rPr>
        <w:t xml:space="preserve"> והתלושין מן הקרקע - בכניסתה שלה, וביציאתה שלו.</w:t>
      </w:r>
      <w:r w:rsidR="00D74190" w:rsidRPr="00D74190">
        <w:rPr>
          <w:rtl/>
        </w:rPr>
        <w:t xml:space="preserve"> </w:t>
      </w:r>
      <w:r w:rsidR="00D74190">
        <w:rPr>
          <w:rFonts w:cs="Arial" w:hint="cs"/>
          <w:rtl/>
        </w:rPr>
        <w:t xml:space="preserve">     </w:t>
      </w:r>
      <w:r w:rsidR="00D74190" w:rsidRPr="00D74190">
        <w:rPr>
          <w:rFonts w:cs="Arial" w:hint="cs"/>
          <w:u w:val="double"/>
          <w:rtl/>
        </w:rPr>
        <w:t>גמ'</w:t>
      </w:r>
      <w:r w:rsidR="00D74190" w:rsidRPr="00D74190">
        <w:rPr>
          <w:rFonts w:cs="Arial" w:hint="cs"/>
          <w:sz w:val="14"/>
          <w:szCs w:val="14"/>
          <w:u w:val="double"/>
          <w:rtl/>
        </w:rPr>
        <w:t>(עט:)</w:t>
      </w:r>
      <w:r w:rsidR="00D74190" w:rsidRPr="00D74190">
        <w:rPr>
          <w:rFonts w:cs="Arial" w:hint="cs"/>
          <w:u w:val="double"/>
          <w:rtl/>
        </w:rPr>
        <w:t>:</w:t>
      </w:r>
      <w:r w:rsidR="00D74190">
        <w:rPr>
          <w:rFonts w:cs="Arial" w:hint="cs"/>
          <w:rtl/>
        </w:rPr>
        <w:t xml:space="preserve"> </w:t>
      </w:r>
      <w:r w:rsidR="00D74190" w:rsidRPr="00D74190">
        <w:rPr>
          <w:rFonts w:cs="Arial"/>
          <w:rtl/>
        </w:rPr>
        <w:t>ר"ש אומר: מקום שיפה כחו. ר"ש היינו ת"ק</w:t>
      </w:r>
      <w:r w:rsidR="00D74190">
        <w:rPr>
          <w:rStyle w:val="a7"/>
          <w:rFonts w:cs="Arial"/>
          <w:rtl/>
        </w:rPr>
        <w:footnoteReference w:id="1129"/>
      </w:r>
      <w:r w:rsidR="00D74190" w:rsidRPr="00D74190">
        <w:rPr>
          <w:rFonts w:cs="Arial"/>
          <w:rtl/>
        </w:rPr>
        <w:t xml:space="preserve">! </w:t>
      </w:r>
      <w:r w:rsidR="00D74190" w:rsidRPr="00D74190">
        <w:rPr>
          <w:rFonts w:cs="Arial"/>
          <w:u w:val="single"/>
          <w:rtl/>
        </w:rPr>
        <w:t>אמר רבא</w:t>
      </w:r>
      <w:r w:rsidR="00D74190" w:rsidRPr="00D74190">
        <w:rPr>
          <w:rFonts w:cs="Arial"/>
          <w:rtl/>
        </w:rPr>
        <w:t>: מחוברין בשעת יציאה</w:t>
      </w:r>
      <w:r w:rsidR="00D74190">
        <w:rPr>
          <w:rStyle w:val="a7"/>
          <w:rFonts w:cs="Arial"/>
          <w:rtl/>
        </w:rPr>
        <w:footnoteReference w:id="1130"/>
      </w:r>
      <w:r w:rsidR="00D74190" w:rsidRPr="00D74190">
        <w:rPr>
          <w:rFonts w:cs="Arial"/>
          <w:rtl/>
        </w:rPr>
        <w:t xml:space="preserve"> איכא בינייהו.</w:t>
      </w:r>
      <w:r w:rsidR="00CD0298" w:rsidRPr="00CD0298">
        <w:rPr>
          <w:rFonts w:cs="Arial"/>
          <w:sz w:val="16"/>
          <w:szCs w:val="16"/>
          <w:rtl/>
        </w:rPr>
        <w:t xml:space="preserve"> </w:t>
      </w:r>
      <w:r w:rsidR="00CD0298">
        <w:rPr>
          <w:rFonts w:cs="Arial" w:hint="cs"/>
          <w:sz w:val="16"/>
          <w:szCs w:val="16"/>
          <w:rtl/>
        </w:rPr>
        <w:t>(</w:t>
      </w:r>
      <w:r w:rsidR="00CD0298" w:rsidRPr="00CD0298">
        <w:rPr>
          <w:rFonts w:cs="Arial"/>
          <w:sz w:val="16"/>
          <w:szCs w:val="16"/>
          <w:rtl/>
        </w:rPr>
        <w:t>ר</w:t>
      </w:r>
      <w:r w:rsidR="009F79D7">
        <w:rPr>
          <w:rFonts w:cs="Arial" w:hint="cs"/>
          <w:sz w:val="16"/>
          <w:szCs w:val="16"/>
          <w:rtl/>
        </w:rPr>
        <w:t>"ח</w:t>
      </w:r>
      <w:r w:rsidR="00CD0298" w:rsidRPr="00CD0298">
        <w:rPr>
          <w:rFonts w:cs="Arial"/>
          <w:sz w:val="16"/>
          <w:szCs w:val="16"/>
          <w:rtl/>
        </w:rPr>
        <w:t xml:space="preserve"> והרי"ף (לח.) פסקו הלכה כר"ש משום דמסתבר טעמיה שמשוה מדותיו בכניסה וביציאה</w:t>
      </w:r>
      <w:r w:rsidR="00CD0298">
        <w:rPr>
          <w:rFonts w:cs="Arial" w:hint="cs"/>
          <w:sz w:val="16"/>
          <w:szCs w:val="16"/>
          <w:rtl/>
        </w:rPr>
        <w:t>,</w:t>
      </w:r>
      <w:r w:rsidR="00CD0298" w:rsidRPr="00CD0298">
        <w:rPr>
          <w:rFonts w:cs="Arial"/>
          <w:sz w:val="16"/>
          <w:szCs w:val="16"/>
          <w:rtl/>
        </w:rPr>
        <w:t xml:space="preserve"> והראב"ד (השגות הרי"ף שם) הביא ראיה דהלכה כר"ש</w:t>
      </w:r>
      <w:r w:rsidR="00CD0298">
        <w:rPr>
          <w:rFonts w:cs="Arial" w:hint="cs"/>
          <w:sz w:val="16"/>
          <w:szCs w:val="16"/>
          <w:rtl/>
        </w:rPr>
        <w:t>,</w:t>
      </w:r>
      <w:r w:rsidR="00CD0298" w:rsidRPr="00CD0298">
        <w:rPr>
          <w:rFonts w:cs="Arial"/>
          <w:sz w:val="16"/>
          <w:szCs w:val="16"/>
          <w:rtl/>
        </w:rPr>
        <w:t xml:space="preserve"> ובה"ג (הלכות כתובות סח ע"ד) כתב דר"ש לא פליג את"ק אלא מאי דלא פירשו רבנן אתא איהו לפרושי וגריס </w:t>
      </w:r>
      <w:r w:rsidR="00CD0298" w:rsidRPr="00CD0298">
        <w:rPr>
          <w:rFonts w:cs="Arial" w:hint="cs"/>
          <w:sz w:val="16"/>
          <w:szCs w:val="16"/>
          <w:rtl/>
        </w:rPr>
        <w:t>'</w:t>
      </w:r>
      <w:r w:rsidR="00CD0298" w:rsidRPr="00CD0298">
        <w:rPr>
          <w:rFonts w:cs="Arial"/>
          <w:sz w:val="16"/>
          <w:szCs w:val="16"/>
          <w:rtl/>
        </w:rPr>
        <w:t>מחוברים בשעת יציאה אתא לאשמועינן</w:t>
      </w:r>
      <w:r w:rsidR="00CD0298" w:rsidRPr="00CD0298">
        <w:rPr>
          <w:rFonts w:cs="Arial" w:hint="cs"/>
          <w:sz w:val="16"/>
          <w:szCs w:val="16"/>
          <w:rtl/>
        </w:rPr>
        <w:t>'</w:t>
      </w:r>
      <w:r w:rsidR="009F79D7">
        <w:rPr>
          <w:rFonts w:cs="Arial" w:hint="cs"/>
          <w:sz w:val="16"/>
          <w:szCs w:val="16"/>
          <w:rtl/>
        </w:rPr>
        <w:t>,</w:t>
      </w:r>
      <w:r w:rsidR="009F79D7" w:rsidRPr="009F79D7">
        <w:rPr>
          <w:rFonts w:cs="Arial"/>
          <w:sz w:val="16"/>
          <w:szCs w:val="16"/>
          <w:rtl/>
        </w:rPr>
        <w:t xml:space="preserve"> </w:t>
      </w:r>
      <w:r w:rsidR="009F79D7" w:rsidRPr="00CD0298">
        <w:rPr>
          <w:rFonts w:cs="Arial"/>
          <w:sz w:val="16"/>
          <w:szCs w:val="16"/>
          <w:rtl/>
        </w:rPr>
        <w:t>רא"ש (</w:t>
      </w:r>
      <w:r w:rsidR="009F79D7">
        <w:rPr>
          <w:rFonts w:cs="Arial" w:hint="cs"/>
          <w:sz w:val="16"/>
          <w:szCs w:val="16"/>
          <w:rtl/>
        </w:rPr>
        <w:t xml:space="preserve">פ"ח </w:t>
      </w:r>
      <w:r w:rsidR="009F79D7" w:rsidRPr="00CD0298">
        <w:rPr>
          <w:rFonts w:cs="Arial"/>
          <w:sz w:val="16"/>
          <w:szCs w:val="16"/>
          <w:rtl/>
        </w:rPr>
        <w:t>סי' ז)</w:t>
      </w:r>
      <w:r w:rsidR="00CD0298">
        <w:rPr>
          <w:rFonts w:cs="Arial" w:hint="cs"/>
          <w:sz w:val="16"/>
          <w:szCs w:val="16"/>
          <w:rtl/>
        </w:rPr>
        <w:t>)</w:t>
      </w:r>
    </w:p>
    <w:p w14:paraId="74734062" w14:textId="5DACE2FB" w:rsidR="000330BE" w:rsidRPr="00FB331E" w:rsidRDefault="00FB331E" w:rsidP="000330BE">
      <w:pPr>
        <w:rPr>
          <w:u w:val="single"/>
          <w:rtl/>
        </w:rPr>
      </w:pPr>
      <w:r w:rsidRPr="00FB331E">
        <w:rPr>
          <w:rFonts w:cs="Arial"/>
          <w:u w:val="single"/>
          <w:rtl/>
        </w:rPr>
        <w:t>הכניסה לו קרקע</w:t>
      </w:r>
      <w:r w:rsidRPr="00FB331E">
        <w:rPr>
          <w:rFonts w:cs="Arial" w:hint="cs"/>
          <w:u w:val="single"/>
          <w:rtl/>
        </w:rPr>
        <w:t>,</w:t>
      </w:r>
      <w:r w:rsidRPr="00FB331E">
        <w:rPr>
          <w:rFonts w:cs="Arial"/>
          <w:u w:val="single"/>
          <w:rtl/>
        </w:rPr>
        <w:t xml:space="preserve"> וכשיוצאה יש בו פירות מחוברים</w:t>
      </w:r>
      <w:r w:rsidRPr="00FB331E">
        <w:rPr>
          <w:rFonts w:hint="cs"/>
          <w:u w:val="single"/>
          <w:rtl/>
        </w:rPr>
        <w:t xml:space="preserve"> </w:t>
      </w:r>
      <w:r w:rsidR="00F97626">
        <w:rPr>
          <w:u w:val="single"/>
          <w:rtl/>
        </w:rPr>
        <w:t>-</w:t>
      </w:r>
      <w:r w:rsidRPr="00FB331E">
        <w:rPr>
          <w:rFonts w:hint="cs"/>
          <w:u w:val="single"/>
          <w:rtl/>
        </w:rPr>
        <w:t xml:space="preserve"> למי הפירות:</w:t>
      </w:r>
    </w:p>
    <w:p w14:paraId="7BAB443A" w14:textId="0D2F688F" w:rsidR="00FB331E" w:rsidRPr="00FB331E" w:rsidRDefault="00C57E72" w:rsidP="009000E3">
      <w:pPr>
        <w:pStyle w:val="ab"/>
        <w:numPr>
          <w:ilvl w:val="0"/>
          <w:numId w:val="52"/>
        </w:numPr>
      </w:pPr>
      <w:r>
        <w:rPr>
          <w:rFonts w:cs="Arial" w:hint="cs"/>
          <w:rtl/>
        </w:rPr>
        <w:t xml:space="preserve">ר"ח </w:t>
      </w:r>
      <w:r>
        <w:rPr>
          <w:rFonts w:cs="Arial" w:hint="cs"/>
          <w:sz w:val="16"/>
          <w:szCs w:val="16"/>
          <w:rtl/>
        </w:rPr>
        <w:t>(כ"כ הרא"ש בשמו)</w:t>
      </w:r>
      <w:r>
        <w:rPr>
          <w:rFonts w:cs="Arial" w:hint="cs"/>
          <w:rtl/>
        </w:rPr>
        <w:t xml:space="preserve"> רי"ף </w:t>
      </w:r>
      <w:r w:rsidRPr="00CD0298">
        <w:rPr>
          <w:rFonts w:cs="Arial"/>
          <w:sz w:val="16"/>
          <w:szCs w:val="16"/>
          <w:rtl/>
        </w:rPr>
        <w:t>(לח.)</w:t>
      </w:r>
      <w:r>
        <w:rPr>
          <w:rFonts w:cs="Arial" w:hint="cs"/>
          <w:sz w:val="16"/>
          <w:szCs w:val="16"/>
          <w:rtl/>
        </w:rPr>
        <w:t xml:space="preserve"> </w:t>
      </w:r>
      <w:r w:rsidRPr="00CD0298">
        <w:rPr>
          <w:rFonts w:cs="Arial"/>
          <w:rtl/>
        </w:rPr>
        <w:t>רמב"ם</w:t>
      </w:r>
      <w:r w:rsidRPr="00C57E72">
        <w:rPr>
          <w:rFonts w:cs="Arial"/>
          <w:sz w:val="16"/>
          <w:szCs w:val="16"/>
          <w:rtl/>
        </w:rPr>
        <w:t xml:space="preserve"> </w:t>
      </w:r>
      <w:r w:rsidRPr="00C57E72">
        <w:rPr>
          <w:rFonts w:cs="Arial" w:hint="cs"/>
          <w:sz w:val="16"/>
          <w:szCs w:val="16"/>
          <w:rtl/>
        </w:rPr>
        <w:t>(</w:t>
      </w:r>
      <w:r w:rsidRPr="00C57E72">
        <w:rPr>
          <w:rFonts w:cs="Arial"/>
          <w:sz w:val="16"/>
          <w:szCs w:val="16"/>
          <w:rtl/>
        </w:rPr>
        <w:t>פכ"ב הכ"ד)</w:t>
      </w:r>
      <w:r>
        <w:rPr>
          <w:rFonts w:cs="Arial" w:hint="cs"/>
          <w:rtl/>
        </w:rPr>
        <w:t xml:space="preserve"> </w:t>
      </w:r>
      <w:r w:rsidR="00FB331E">
        <w:rPr>
          <w:rFonts w:cs="Arial" w:hint="cs"/>
          <w:rtl/>
        </w:rPr>
        <w:t xml:space="preserve">רא"ש </w:t>
      </w:r>
      <w:r w:rsidRPr="00CD0298">
        <w:rPr>
          <w:rFonts w:cs="Arial"/>
          <w:sz w:val="16"/>
          <w:szCs w:val="16"/>
          <w:rtl/>
        </w:rPr>
        <w:t>(סי' ז)</w:t>
      </w:r>
      <w:r>
        <w:rPr>
          <w:rFonts w:cs="Arial" w:hint="cs"/>
          <w:sz w:val="16"/>
          <w:szCs w:val="16"/>
          <w:rtl/>
        </w:rPr>
        <w:t xml:space="preserve"> </w:t>
      </w:r>
      <w:r w:rsidR="00FB331E">
        <w:rPr>
          <w:rFonts w:cs="Arial" w:hint="cs"/>
          <w:rtl/>
        </w:rPr>
        <w:t>ו</w:t>
      </w:r>
      <w:r w:rsidR="0019164E">
        <w:rPr>
          <w:rFonts w:cs="Arial" w:hint="cs"/>
          <w:rtl/>
        </w:rPr>
        <w:t xml:space="preserve">טור- </w:t>
      </w:r>
      <w:r w:rsidR="0019164E" w:rsidRPr="0019164E">
        <w:rPr>
          <w:rFonts w:cs="Arial"/>
          <w:rtl/>
        </w:rPr>
        <w:t>הכניסה לו קרקע</w:t>
      </w:r>
      <w:r w:rsidR="00FB331E">
        <w:rPr>
          <w:rFonts w:cs="Arial" w:hint="cs"/>
          <w:rtl/>
        </w:rPr>
        <w:t>,</w:t>
      </w:r>
      <w:r w:rsidR="0019164E" w:rsidRPr="0019164E">
        <w:rPr>
          <w:rFonts w:cs="Arial"/>
          <w:rtl/>
        </w:rPr>
        <w:t xml:space="preserve"> וכשיוצאה יש בו פירות מחוברים </w:t>
      </w:r>
      <w:r w:rsidR="00FB331E">
        <w:rPr>
          <w:rFonts w:cs="Arial" w:hint="cs"/>
          <w:rtl/>
        </w:rPr>
        <w:t>-</w:t>
      </w:r>
      <w:r>
        <w:rPr>
          <w:rFonts w:cs="Arial" w:hint="cs"/>
          <w:rtl/>
        </w:rPr>
        <w:t xml:space="preserve"> </w:t>
      </w:r>
      <w:r w:rsidRPr="00C57E72">
        <w:rPr>
          <w:rFonts w:cs="Arial"/>
          <w:rtl/>
        </w:rPr>
        <w:t>נוטלתו עם פירותיו</w:t>
      </w:r>
      <w:r>
        <w:rPr>
          <w:rFonts w:cs="Arial" w:hint="cs"/>
          <w:sz w:val="16"/>
          <w:szCs w:val="16"/>
          <w:rtl/>
        </w:rPr>
        <w:t xml:space="preserve"> (ל' הטור)</w:t>
      </w:r>
      <w:r>
        <w:rPr>
          <w:rFonts w:cs="Arial" w:hint="cs"/>
          <w:rtl/>
        </w:rPr>
        <w:t>.</w:t>
      </w:r>
      <w:r w:rsidR="0019164E" w:rsidRPr="0019164E">
        <w:rPr>
          <w:rFonts w:cs="Arial"/>
          <w:rtl/>
        </w:rPr>
        <w:t xml:space="preserve"> </w:t>
      </w:r>
      <w:r w:rsidR="00B2260B" w:rsidRPr="00A6197B">
        <w:rPr>
          <w:rFonts w:hint="cs"/>
          <w:color w:val="E36C0A" w:themeColor="accent6" w:themeShade="BF"/>
          <w:rtl/>
        </w:rPr>
        <w:t>(וכ"פ בשו"ע)</w:t>
      </w:r>
    </w:p>
    <w:p w14:paraId="6D47AA13" w14:textId="2B124D13" w:rsidR="00FB331E" w:rsidRDefault="00FB331E" w:rsidP="009000E3">
      <w:pPr>
        <w:pStyle w:val="ab"/>
        <w:numPr>
          <w:ilvl w:val="0"/>
          <w:numId w:val="52"/>
        </w:numPr>
      </w:pPr>
      <w:r>
        <w:rPr>
          <w:rFonts w:cs="Arial" w:hint="cs"/>
          <w:rtl/>
        </w:rPr>
        <w:t>ר"י הלוי</w:t>
      </w:r>
      <w:r w:rsidR="00C57E72">
        <w:rPr>
          <w:rFonts w:cs="Arial" w:hint="cs"/>
          <w:rtl/>
        </w:rPr>
        <w:t xml:space="preserve"> </w:t>
      </w:r>
      <w:r w:rsidR="00C57E72">
        <w:rPr>
          <w:rFonts w:cs="Arial" w:hint="cs"/>
          <w:sz w:val="16"/>
          <w:szCs w:val="16"/>
          <w:rtl/>
        </w:rPr>
        <w:t>(כ"כ הרא"ש בשמו)</w:t>
      </w:r>
      <w:r w:rsidR="0019164E" w:rsidRPr="0019164E">
        <w:rPr>
          <w:rFonts w:cs="Arial"/>
          <w:rtl/>
        </w:rPr>
        <w:t xml:space="preserve"> </w:t>
      </w:r>
      <w:r>
        <w:rPr>
          <w:rFonts w:cs="Arial" w:hint="cs"/>
          <w:rtl/>
        </w:rPr>
        <w:t>ורמ"ה</w:t>
      </w:r>
      <w:r w:rsidR="00C57E72">
        <w:rPr>
          <w:rFonts w:cs="Arial" w:hint="cs"/>
          <w:rtl/>
        </w:rPr>
        <w:t xml:space="preserve"> </w:t>
      </w:r>
      <w:r w:rsidR="00C57E72">
        <w:rPr>
          <w:rFonts w:cs="Arial" w:hint="cs"/>
          <w:sz w:val="16"/>
          <w:szCs w:val="16"/>
          <w:rtl/>
        </w:rPr>
        <w:t>(כ"כ הטור בשמו)</w:t>
      </w:r>
      <w:r>
        <w:rPr>
          <w:rFonts w:cs="Arial" w:hint="cs"/>
          <w:rtl/>
        </w:rPr>
        <w:t xml:space="preserve">- </w:t>
      </w:r>
      <w:r w:rsidR="0019164E" w:rsidRPr="0019164E">
        <w:rPr>
          <w:rFonts w:cs="Arial"/>
          <w:rtl/>
        </w:rPr>
        <w:t>הפירו</w:t>
      </w:r>
      <w:r>
        <w:rPr>
          <w:rFonts w:cs="Arial" w:hint="cs"/>
          <w:rtl/>
        </w:rPr>
        <w:t>ת</w:t>
      </w:r>
      <w:r w:rsidR="0019164E" w:rsidRPr="0019164E">
        <w:rPr>
          <w:rFonts w:cs="Arial"/>
          <w:rtl/>
        </w:rPr>
        <w:t xml:space="preserve"> לבעל</w:t>
      </w:r>
      <w:r>
        <w:rPr>
          <w:rFonts w:cs="Arial" w:hint="cs"/>
          <w:rtl/>
        </w:rPr>
        <w:t>.</w:t>
      </w:r>
      <w:r w:rsidR="0019164E" w:rsidRPr="0019164E">
        <w:rPr>
          <w:rFonts w:cs="Arial"/>
          <w:rtl/>
        </w:rPr>
        <w:t xml:space="preserve"> </w:t>
      </w:r>
    </w:p>
    <w:p w14:paraId="78239F26" w14:textId="66E48B9E" w:rsidR="00C57E72" w:rsidRPr="00C57E72" w:rsidRDefault="00C57E72" w:rsidP="00C57E72">
      <w:pPr>
        <w:ind w:left="360"/>
        <w:rPr>
          <w:u w:val="dotted"/>
        </w:rPr>
      </w:pPr>
      <w:r w:rsidRPr="00C57E72">
        <w:rPr>
          <w:rFonts w:hint="cs"/>
          <w:u w:val="dotted"/>
          <w:rtl/>
        </w:rPr>
        <w:t xml:space="preserve">ומה הדין אם </w:t>
      </w:r>
      <w:r w:rsidR="00C15245">
        <w:rPr>
          <w:rFonts w:hint="cs"/>
          <w:u w:val="dotted"/>
          <w:rtl/>
        </w:rPr>
        <w:t>ה</w:t>
      </w:r>
      <w:r w:rsidRPr="00C57E72">
        <w:rPr>
          <w:rFonts w:hint="cs"/>
          <w:u w:val="dotted"/>
          <w:rtl/>
        </w:rPr>
        <w:t>פירות גמורים:</w:t>
      </w:r>
    </w:p>
    <w:p w14:paraId="29FE9061" w14:textId="6ECAEF57" w:rsidR="0019164E" w:rsidRDefault="00CD0298" w:rsidP="009000E3">
      <w:pPr>
        <w:pStyle w:val="ab"/>
        <w:numPr>
          <w:ilvl w:val="0"/>
          <w:numId w:val="52"/>
        </w:numPr>
      </w:pPr>
      <w:r w:rsidRPr="00CD0298">
        <w:rPr>
          <w:rFonts w:cs="Arial" w:hint="cs"/>
          <w:rtl/>
        </w:rPr>
        <w:lastRenderedPageBreak/>
        <w:t xml:space="preserve">רא"ש </w:t>
      </w:r>
      <w:r w:rsidR="00B2260B" w:rsidRPr="00CD0298">
        <w:rPr>
          <w:rFonts w:cs="Arial"/>
          <w:sz w:val="16"/>
          <w:szCs w:val="16"/>
          <w:rtl/>
        </w:rPr>
        <w:t>(סי' ז)</w:t>
      </w:r>
      <w:r w:rsidR="00B2260B">
        <w:rPr>
          <w:rFonts w:cs="Arial" w:hint="cs"/>
          <w:sz w:val="16"/>
          <w:szCs w:val="16"/>
          <w:rtl/>
        </w:rPr>
        <w:t xml:space="preserve"> </w:t>
      </w:r>
      <w:r w:rsidRPr="00CD0298">
        <w:rPr>
          <w:rFonts w:cs="Arial" w:hint="cs"/>
          <w:rtl/>
        </w:rPr>
        <w:t xml:space="preserve">וטור- </w:t>
      </w:r>
      <w:r w:rsidR="0019164E" w:rsidRPr="00CD0298">
        <w:rPr>
          <w:rFonts w:cs="Arial"/>
          <w:rtl/>
        </w:rPr>
        <w:t>מצאתי כתוב בשם ה"ר יונה ז"ל דאפילו בפירות גמורים שהגיעו ליתלש בכניסתה שלו ביציאתה שלה</w:t>
      </w:r>
      <w:r w:rsidR="00C57E72">
        <w:rPr>
          <w:rFonts w:cs="Arial" w:hint="cs"/>
          <w:rtl/>
        </w:rPr>
        <w:t>,</w:t>
      </w:r>
      <w:r w:rsidR="0019164E" w:rsidRPr="00CD0298">
        <w:rPr>
          <w:rFonts w:cs="Arial"/>
          <w:rtl/>
        </w:rPr>
        <w:t xml:space="preserve"> ואע</w:t>
      </w:r>
      <w:r w:rsidR="00C57E72">
        <w:rPr>
          <w:rFonts w:cs="Arial" w:hint="cs"/>
          <w:rtl/>
        </w:rPr>
        <w:t>"</w:t>
      </w:r>
      <w:r w:rsidR="0019164E" w:rsidRPr="00CD0298">
        <w:rPr>
          <w:rFonts w:cs="Arial"/>
          <w:rtl/>
        </w:rPr>
        <w:t>ג דקיי"ל כל העומד ליגדר כגדור דמי שאני הכא דאכילת פירות אינה אלא תקנת חכמים</w:t>
      </w:r>
      <w:r w:rsidR="00C57E72">
        <w:rPr>
          <w:rFonts w:cs="Arial" w:hint="cs"/>
          <w:rtl/>
        </w:rPr>
        <w:t>,</w:t>
      </w:r>
      <w:r w:rsidR="0019164E" w:rsidRPr="00CD0298">
        <w:rPr>
          <w:rFonts w:cs="Arial"/>
          <w:rtl/>
        </w:rPr>
        <w:t xml:space="preserve"> וכן תיקנו פירות הנלקטין בעודה תחתיו שלו</w:t>
      </w:r>
      <w:r w:rsidR="00C57E72">
        <w:rPr>
          <w:rFonts w:cs="Arial" w:hint="cs"/>
          <w:rtl/>
        </w:rPr>
        <w:t>,</w:t>
      </w:r>
      <w:r w:rsidR="0019164E" w:rsidRPr="00CD0298">
        <w:rPr>
          <w:rFonts w:cs="Arial"/>
          <w:rtl/>
        </w:rPr>
        <w:t xml:space="preserve"> וכן מוכח בירושלמי (פ"ח ה"ד)</w:t>
      </w:r>
      <w:r w:rsidR="00C57E72">
        <w:rPr>
          <w:rStyle w:val="a7"/>
          <w:rFonts w:cs="Arial"/>
          <w:rtl/>
        </w:rPr>
        <w:footnoteReference w:id="1131"/>
      </w:r>
      <w:r w:rsidR="00C57E72">
        <w:rPr>
          <w:rFonts w:cs="Arial" w:hint="cs"/>
          <w:sz w:val="16"/>
          <w:szCs w:val="16"/>
          <w:rtl/>
        </w:rPr>
        <w:t xml:space="preserve"> (ל' הרא"ש)</w:t>
      </w:r>
      <w:r w:rsidR="0019164E" w:rsidRPr="00CD0298">
        <w:rPr>
          <w:rFonts w:cs="Arial"/>
          <w:rtl/>
        </w:rPr>
        <w:t xml:space="preserve">. </w:t>
      </w:r>
      <w:r w:rsidR="00B2260B" w:rsidRPr="00A6197B">
        <w:rPr>
          <w:rFonts w:hint="cs"/>
          <w:color w:val="E36C0A" w:themeColor="accent6" w:themeShade="BF"/>
          <w:rtl/>
        </w:rPr>
        <w:t>(וכ"פ בשו"ע)</w:t>
      </w:r>
    </w:p>
    <w:p w14:paraId="75E77042" w14:textId="65E4654B" w:rsidR="00B2260B" w:rsidRPr="00B2260B" w:rsidRDefault="00B2260B" w:rsidP="00B2260B">
      <w:pPr>
        <w:ind w:left="360"/>
        <w:rPr>
          <w:u w:val="dotted"/>
        </w:rPr>
      </w:pPr>
      <w:r>
        <w:rPr>
          <w:rFonts w:cs="Arial" w:hint="cs"/>
          <w:u w:val="dotted"/>
          <w:rtl/>
        </w:rPr>
        <w:t xml:space="preserve">ומה הדין אם </w:t>
      </w:r>
      <w:r w:rsidRPr="00B2260B">
        <w:rPr>
          <w:rFonts w:cs="Arial"/>
          <w:u w:val="dotted"/>
          <w:rtl/>
        </w:rPr>
        <w:t xml:space="preserve">תלש הבעל </w:t>
      </w:r>
      <w:r>
        <w:rPr>
          <w:rFonts w:cs="Arial" w:hint="cs"/>
          <w:u w:val="dotted"/>
          <w:rtl/>
        </w:rPr>
        <w:t xml:space="preserve">פירות </w:t>
      </w:r>
      <w:r w:rsidRPr="00B2260B">
        <w:rPr>
          <w:rFonts w:cs="Arial"/>
          <w:u w:val="dotted"/>
          <w:rtl/>
        </w:rPr>
        <w:t>קודם הגירושין</w:t>
      </w:r>
      <w:r w:rsidRPr="00B2260B">
        <w:rPr>
          <w:rFonts w:cs="Arial" w:hint="cs"/>
          <w:u w:val="dotted"/>
          <w:rtl/>
        </w:rPr>
        <w:t>:</w:t>
      </w:r>
    </w:p>
    <w:p w14:paraId="2525FA88" w14:textId="7A4CE20D" w:rsidR="0019164E" w:rsidRPr="0019164E" w:rsidRDefault="00B2260B" w:rsidP="009000E3">
      <w:pPr>
        <w:pStyle w:val="ab"/>
        <w:numPr>
          <w:ilvl w:val="0"/>
          <w:numId w:val="52"/>
        </w:numPr>
        <w:rPr>
          <w:rtl/>
        </w:rPr>
      </w:pPr>
      <w:r>
        <w:rPr>
          <w:rFonts w:cs="Arial" w:hint="cs"/>
          <w:rtl/>
        </w:rPr>
        <w:t xml:space="preserve">רא"ש </w:t>
      </w:r>
      <w:r w:rsidRPr="00CD0298">
        <w:rPr>
          <w:rFonts w:cs="Arial"/>
          <w:sz w:val="16"/>
          <w:szCs w:val="16"/>
          <w:rtl/>
        </w:rPr>
        <w:t>(סי' ז)</w:t>
      </w:r>
      <w:r>
        <w:rPr>
          <w:rFonts w:cs="Arial" w:hint="cs"/>
          <w:sz w:val="16"/>
          <w:szCs w:val="16"/>
          <w:rtl/>
        </w:rPr>
        <w:t xml:space="preserve"> </w:t>
      </w:r>
      <w:r>
        <w:rPr>
          <w:rFonts w:cs="Arial" w:hint="cs"/>
          <w:rtl/>
        </w:rPr>
        <w:t xml:space="preserve">וטור- </w:t>
      </w:r>
      <w:r w:rsidR="00C57E72" w:rsidRPr="0019164E">
        <w:rPr>
          <w:rFonts w:cs="Arial"/>
          <w:rtl/>
        </w:rPr>
        <w:t>תלשן הבעל קודם הגירושין זכה בהן אפי' לא הגיע זמנם ליקצר</w:t>
      </w:r>
      <w:r>
        <w:rPr>
          <w:rStyle w:val="a7"/>
          <w:rFonts w:cs="Arial"/>
          <w:rtl/>
        </w:rPr>
        <w:footnoteReference w:id="1132"/>
      </w:r>
      <w:r>
        <w:rPr>
          <w:rFonts w:cs="Arial" w:hint="cs"/>
          <w:sz w:val="16"/>
          <w:szCs w:val="16"/>
          <w:rtl/>
        </w:rPr>
        <w:t xml:space="preserve"> (ל' הטור)</w:t>
      </w:r>
      <w:r w:rsidR="00C57E72">
        <w:rPr>
          <w:rFonts w:cs="Arial" w:hint="cs"/>
          <w:rtl/>
        </w:rPr>
        <w:t>.</w:t>
      </w:r>
      <w:r w:rsidR="00C57E72" w:rsidRPr="0019164E">
        <w:rPr>
          <w:rFonts w:cs="Arial"/>
          <w:rtl/>
        </w:rPr>
        <w:t xml:space="preserve"> </w:t>
      </w:r>
      <w:r w:rsidRPr="00A6197B">
        <w:rPr>
          <w:rFonts w:hint="cs"/>
          <w:color w:val="E36C0A" w:themeColor="accent6" w:themeShade="BF"/>
          <w:rtl/>
        </w:rPr>
        <w:t>(וכ"פ בשו"ע)</w:t>
      </w:r>
    </w:p>
    <w:p w14:paraId="2858606D"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692A984D" w14:textId="533378A7" w:rsidR="007A3469" w:rsidRDefault="007A3469" w:rsidP="007A3469">
      <w:pPr>
        <w:rPr>
          <w:rtl/>
        </w:rPr>
      </w:pPr>
      <w:r>
        <w:rPr>
          <w:rFonts w:cs="Arial"/>
          <w:rtl/>
        </w:rPr>
        <w:t>הכניסה לו קרקע, וכשיוצאה יש בו פירות מחוברים, נוטלתו עם פירותיו</w:t>
      </w:r>
      <w:r w:rsidR="00981CC1">
        <w:rPr>
          <w:rStyle w:val="a7"/>
          <w:rFonts w:cs="Arial"/>
          <w:rtl/>
        </w:rPr>
        <w:footnoteReference w:id="1133"/>
      </w:r>
      <w:r>
        <w:rPr>
          <w:rFonts w:cs="Arial"/>
          <w:rtl/>
        </w:rPr>
        <w:t xml:space="preserve">, אפילו הגיע זמנן ליקצר. תלשן הבעל קודם הגירושין, הרי הם שלו אפילו לא הגיע זמנם ליקצר. </w:t>
      </w:r>
    </w:p>
    <w:p w14:paraId="6259A5DF" w14:textId="77777777" w:rsidR="0019164E" w:rsidRDefault="0019164E" w:rsidP="007A3469">
      <w:pPr>
        <w:rPr>
          <w:rtl/>
        </w:rPr>
      </w:pPr>
    </w:p>
    <w:p w14:paraId="2221AACD" w14:textId="1B9ED9AA" w:rsidR="007A3469" w:rsidRDefault="007A3469" w:rsidP="000F64D0">
      <w:pPr>
        <w:pStyle w:val="2"/>
        <w:rPr>
          <w:rtl/>
        </w:rPr>
      </w:pPr>
      <w:r>
        <w:rPr>
          <w:rtl/>
        </w:rPr>
        <w:t>סעיף ז</w:t>
      </w:r>
      <w:r w:rsidR="00020F5F">
        <w:rPr>
          <w:rFonts w:hint="cs"/>
          <w:rtl/>
        </w:rPr>
        <w:t xml:space="preserve">: </w:t>
      </w:r>
      <w:r w:rsidR="00B62CB4" w:rsidRPr="0019164E">
        <w:rPr>
          <w:rtl/>
        </w:rPr>
        <w:t>הוציא הוצאות על נכסי אשתו וגירשה</w:t>
      </w:r>
      <w:r w:rsidR="00B62CB4">
        <w:rPr>
          <w:rFonts w:hint="cs"/>
          <w:rtl/>
        </w:rPr>
        <w:t>.</w:t>
      </w:r>
    </w:p>
    <w:p w14:paraId="03B190B3" w14:textId="7268D626" w:rsidR="00020F5F" w:rsidRDefault="00020F5F" w:rsidP="00B62CB4">
      <w:pPr>
        <w:rPr>
          <w:rFonts w:cs="Arial"/>
          <w:rtl/>
        </w:rPr>
      </w:pPr>
      <w:r w:rsidRPr="00B226F6">
        <w:rPr>
          <w:rFonts w:cs="Arial" w:hint="cs"/>
          <w:b/>
          <w:bCs/>
          <w:rtl/>
        </w:rPr>
        <w:t xml:space="preserve">כתובות </w:t>
      </w:r>
      <w:r w:rsidRPr="00B226F6">
        <w:rPr>
          <w:rFonts w:cs="Arial" w:hint="cs"/>
          <w:b/>
          <w:bCs/>
          <w:sz w:val="16"/>
          <w:szCs w:val="16"/>
          <w:rtl/>
        </w:rPr>
        <w:t xml:space="preserve">(פ' האשה שנפלו) </w:t>
      </w:r>
      <w:r w:rsidRPr="00B226F6">
        <w:rPr>
          <w:rFonts w:cs="Arial" w:hint="cs"/>
          <w:b/>
          <w:bCs/>
          <w:rtl/>
        </w:rPr>
        <w:t>עט ע"</w:t>
      </w:r>
      <w:r w:rsidR="00010BCB">
        <w:rPr>
          <w:rFonts w:cs="Arial" w:hint="cs"/>
          <w:b/>
          <w:bCs/>
          <w:rtl/>
        </w:rPr>
        <w:t>ב</w:t>
      </w:r>
      <w:r w:rsidRPr="00B226F6">
        <w:rPr>
          <w:rFonts w:cs="Arial" w:hint="cs"/>
          <w:b/>
          <w:bCs/>
          <w:rtl/>
        </w:rPr>
        <w:t xml:space="preserve">: </w:t>
      </w:r>
      <w:r w:rsidRPr="00FB331E">
        <w:rPr>
          <w:rFonts w:cs="Arial" w:hint="cs"/>
          <w:u w:val="double"/>
          <w:rtl/>
        </w:rPr>
        <w:t>מתני'</w:t>
      </w:r>
      <w:r>
        <w:rPr>
          <w:rFonts w:cs="Arial" w:hint="cs"/>
          <w:rtl/>
        </w:rPr>
        <w:t>:</w:t>
      </w:r>
      <w:r w:rsidRPr="00020F5F">
        <w:rPr>
          <w:rFonts w:cs="Arial"/>
          <w:rtl/>
        </w:rPr>
        <w:t xml:space="preserve"> המוציא הוצאות על נכסי אשתו, הוציא הרבה ואכל קימעא, קימעא ואכל הרבה - מה שהוציא הוציא, ומה שאכל אכל</w:t>
      </w:r>
      <w:r w:rsidR="00010BCB">
        <w:rPr>
          <w:rFonts w:cs="Arial" w:hint="cs"/>
          <w:rtl/>
        </w:rPr>
        <w:t>.</w:t>
      </w:r>
      <w:r w:rsidRPr="00020F5F">
        <w:rPr>
          <w:rFonts w:cs="Arial"/>
          <w:rtl/>
        </w:rPr>
        <w:t xml:space="preserve"> הוציא ולא אכל - ישבע כמה הוציא ויטול.</w:t>
      </w:r>
      <w:r>
        <w:rPr>
          <w:rFonts w:cs="Arial" w:hint="cs"/>
          <w:rtl/>
        </w:rPr>
        <w:t xml:space="preserve">      </w:t>
      </w:r>
      <w:r w:rsidRPr="00020F5F">
        <w:rPr>
          <w:rFonts w:cs="Arial"/>
          <w:rtl/>
        </w:rPr>
        <w:t xml:space="preserve"> </w:t>
      </w:r>
      <w:r w:rsidRPr="00020F5F">
        <w:rPr>
          <w:rFonts w:cs="Arial"/>
          <w:u w:val="double"/>
          <w:rtl/>
        </w:rPr>
        <w:t>גמ'</w:t>
      </w:r>
      <w:r>
        <w:rPr>
          <w:rFonts w:cs="Arial" w:hint="cs"/>
          <w:rtl/>
        </w:rPr>
        <w:t>:</w:t>
      </w:r>
      <w:r w:rsidRPr="00020F5F">
        <w:rPr>
          <w:rFonts w:cs="Arial"/>
          <w:rtl/>
        </w:rPr>
        <w:t xml:space="preserve"> וכמה קימעא? </w:t>
      </w:r>
      <w:r w:rsidRPr="00010BCB">
        <w:rPr>
          <w:rFonts w:cs="Arial"/>
          <w:u w:val="single"/>
          <w:rtl/>
        </w:rPr>
        <w:t>אמר רבי אסי</w:t>
      </w:r>
      <w:r w:rsidRPr="00020F5F">
        <w:rPr>
          <w:rFonts w:cs="Arial"/>
          <w:rtl/>
        </w:rPr>
        <w:t xml:space="preserve">: אפילו גרוגרת אחת, והוא שאכלה דרך כבוד. </w:t>
      </w:r>
      <w:r w:rsidRPr="00010BCB">
        <w:rPr>
          <w:rFonts w:cs="Arial"/>
          <w:u w:val="single"/>
          <w:rtl/>
        </w:rPr>
        <w:t>אמר</w:t>
      </w:r>
      <w:r w:rsidR="00010BCB" w:rsidRPr="00010BCB">
        <w:rPr>
          <w:rFonts w:hint="cs"/>
          <w:sz w:val="14"/>
          <w:szCs w:val="14"/>
          <w:u w:val="single"/>
          <w:rtl/>
        </w:rPr>
        <w:t xml:space="preserve"> (פ.) </w:t>
      </w:r>
      <w:r w:rsidR="00010BCB" w:rsidRPr="00010BCB">
        <w:rPr>
          <w:rFonts w:cs="Arial"/>
          <w:u w:val="single"/>
          <w:rtl/>
        </w:rPr>
        <w:t>רבי אבא אמרי בי רב</w:t>
      </w:r>
      <w:r w:rsidR="00010BCB" w:rsidRPr="00010BCB">
        <w:rPr>
          <w:rFonts w:cs="Arial"/>
          <w:rtl/>
        </w:rPr>
        <w:t xml:space="preserve">: אפי' שיגרא דתמרי. </w:t>
      </w:r>
      <w:r w:rsidR="00010BCB" w:rsidRPr="00010BCB">
        <w:rPr>
          <w:rFonts w:cs="Arial"/>
          <w:u w:val="single"/>
          <w:rtl/>
        </w:rPr>
        <w:t>בעי רב ביבי</w:t>
      </w:r>
      <w:r w:rsidR="00010BCB">
        <w:rPr>
          <w:rFonts w:cs="Arial" w:hint="cs"/>
          <w:rtl/>
        </w:rPr>
        <w:t>:</w:t>
      </w:r>
      <w:r w:rsidR="00010BCB" w:rsidRPr="00010BCB">
        <w:rPr>
          <w:rFonts w:cs="Arial"/>
          <w:rtl/>
        </w:rPr>
        <w:t xml:space="preserve"> חובצא דתמרי, מאי? תיקו. לא אכלה דרך כבוד, מאי? </w:t>
      </w:r>
      <w:r w:rsidR="00010BCB" w:rsidRPr="00010BCB">
        <w:rPr>
          <w:rFonts w:cs="Arial"/>
          <w:u w:val="single"/>
          <w:rtl/>
        </w:rPr>
        <w:t>אמר עולא</w:t>
      </w:r>
      <w:r w:rsidR="00010BCB" w:rsidRPr="00010BCB">
        <w:rPr>
          <w:rFonts w:cs="Arial"/>
          <w:rtl/>
        </w:rPr>
        <w:t xml:space="preserve">: פליגי בה תרי אמוראי במערבא, </w:t>
      </w:r>
      <w:r w:rsidR="00010BCB" w:rsidRPr="00010BCB">
        <w:rPr>
          <w:rFonts w:cs="Arial"/>
          <w:u w:val="single"/>
          <w:rtl/>
        </w:rPr>
        <w:t>חד אמר</w:t>
      </w:r>
      <w:r w:rsidR="00010BCB" w:rsidRPr="00010BCB">
        <w:rPr>
          <w:rFonts w:cs="Arial"/>
          <w:rtl/>
        </w:rPr>
        <w:t xml:space="preserve">: בכאיסר, </w:t>
      </w:r>
      <w:r w:rsidR="00010BCB" w:rsidRPr="00010BCB">
        <w:rPr>
          <w:rFonts w:cs="Arial"/>
          <w:u w:val="single"/>
          <w:rtl/>
        </w:rPr>
        <w:t>וחד אמר</w:t>
      </w:r>
      <w:r w:rsidR="00010BCB" w:rsidRPr="00010BCB">
        <w:rPr>
          <w:rFonts w:cs="Arial"/>
          <w:rtl/>
        </w:rPr>
        <w:t xml:space="preserve">: בכדינר. </w:t>
      </w:r>
      <w:r w:rsidR="00010BCB" w:rsidRPr="00010BCB">
        <w:rPr>
          <w:rFonts w:cs="Arial"/>
          <w:u w:val="single"/>
          <w:rtl/>
        </w:rPr>
        <w:t>אמרי דייני דפומבדיתא</w:t>
      </w:r>
      <w:r w:rsidR="00010BCB" w:rsidRPr="00010BCB">
        <w:rPr>
          <w:rFonts w:cs="Arial"/>
          <w:rtl/>
        </w:rPr>
        <w:t>: עבד רב יהודה עובדא בחבילי זמורות</w:t>
      </w:r>
      <w:r w:rsidR="008A5284">
        <w:rPr>
          <w:rStyle w:val="a7"/>
          <w:rFonts w:cs="Arial"/>
          <w:rtl/>
        </w:rPr>
        <w:footnoteReference w:id="1134"/>
      </w:r>
      <w:r w:rsidR="00010BCB" w:rsidRPr="00010BCB">
        <w:rPr>
          <w:rFonts w:cs="Arial"/>
          <w:rtl/>
        </w:rPr>
        <w:t xml:space="preserve">. רב יהודה לטעמיה, </w:t>
      </w:r>
      <w:r w:rsidR="00010BCB" w:rsidRPr="00010BCB">
        <w:rPr>
          <w:rFonts w:cs="Arial"/>
          <w:u w:val="single"/>
          <w:rtl/>
        </w:rPr>
        <w:t>דאמר רב יהודה</w:t>
      </w:r>
      <w:r w:rsidR="00010BCB" w:rsidRPr="00010BCB">
        <w:rPr>
          <w:rFonts w:cs="Arial"/>
          <w:rtl/>
        </w:rPr>
        <w:t>: אכלה ערלה שביעית וכלאים - ה"ז חזקה..</w:t>
      </w:r>
      <w:r w:rsidR="00B62CB4">
        <w:rPr>
          <w:rFonts w:cs="Arial" w:hint="cs"/>
          <w:rtl/>
        </w:rPr>
        <w:t xml:space="preserve">. </w:t>
      </w:r>
      <w:r w:rsidR="00010BCB" w:rsidRPr="00010BCB">
        <w:rPr>
          <w:rFonts w:cs="Arial"/>
          <w:rtl/>
        </w:rPr>
        <w:t xml:space="preserve">ישבע כמה הוציא ויטול. </w:t>
      </w:r>
      <w:r w:rsidR="00010BCB" w:rsidRPr="00010BCB">
        <w:rPr>
          <w:rFonts w:cs="Arial"/>
          <w:u w:val="single"/>
          <w:rtl/>
        </w:rPr>
        <w:t>א"ר אסי</w:t>
      </w:r>
      <w:r w:rsidR="00010BCB" w:rsidRPr="00010BCB">
        <w:rPr>
          <w:rFonts w:cs="Arial"/>
          <w:rtl/>
        </w:rPr>
        <w:t xml:space="preserve">: והוא, שיש שבח כנגד הוצאה. למאי הלכתא? </w:t>
      </w:r>
      <w:r w:rsidR="00010BCB" w:rsidRPr="00010BCB">
        <w:rPr>
          <w:rFonts w:cs="Arial"/>
          <w:u w:val="single"/>
          <w:rtl/>
        </w:rPr>
        <w:t>אמר אביי</w:t>
      </w:r>
      <w:r w:rsidR="00010BCB" w:rsidRPr="00010BCB">
        <w:rPr>
          <w:rFonts w:cs="Arial"/>
          <w:rtl/>
        </w:rPr>
        <w:t xml:space="preserve">: שאם היה שבח יתר על הוצאה, נוטל את ההוצאה בלא שבועה. </w:t>
      </w:r>
      <w:r w:rsidR="00010BCB" w:rsidRPr="00010BCB">
        <w:rPr>
          <w:rFonts w:cs="Arial"/>
          <w:u w:val="single"/>
          <w:rtl/>
        </w:rPr>
        <w:t>א"ל רבא</w:t>
      </w:r>
      <w:r w:rsidR="00010BCB" w:rsidRPr="00010BCB">
        <w:rPr>
          <w:rFonts w:cs="Arial"/>
          <w:rtl/>
        </w:rPr>
        <w:t xml:space="preserve">: א"כ, אתי לאיערומי! </w:t>
      </w:r>
      <w:r w:rsidR="00010BCB" w:rsidRPr="00010BCB">
        <w:rPr>
          <w:rFonts w:cs="Arial"/>
          <w:u w:val="single"/>
          <w:rtl/>
        </w:rPr>
        <w:t>אלא אמר רבא</w:t>
      </w:r>
      <w:r w:rsidR="00010BCB" w:rsidRPr="00010BCB">
        <w:rPr>
          <w:rFonts w:cs="Arial"/>
          <w:rtl/>
        </w:rPr>
        <w:t>: שאם היתה הוצאה יתירה על השבח, אין לו אלא הוצאה שיעור שבח, ובשבועה.</w:t>
      </w:r>
    </w:p>
    <w:p w14:paraId="01B1B0E7" w14:textId="5258AD4D" w:rsidR="00B62CB4" w:rsidRPr="00B62CB4" w:rsidRDefault="00B62CB4" w:rsidP="00B62CB4">
      <w:pPr>
        <w:rPr>
          <w:rFonts w:cs="Arial"/>
          <w:u w:val="single"/>
          <w:rtl/>
        </w:rPr>
      </w:pPr>
      <w:r w:rsidRPr="00B62CB4">
        <w:rPr>
          <w:rFonts w:cs="Arial"/>
          <w:u w:val="single"/>
          <w:rtl/>
        </w:rPr>
        <w:t>הוציא הוצאות על נכסי אשתו וגירשה</w:t>
      </w:r>
      <w:r w:rsidRPr="00B62CB4">
        <w:rPr>
          <w:rFonts w:cs="Arial" w:hint="cs"/>
          <w:u w:val="single"/>
          <w:rtl/>
        </w:rPr>
        <w:t>:</w:t>
      </w:r>
    </w:p>
    <w:p w14:paraId="5D8ED845" w14:textId="5755B4BC" w:rsidR="003556EC" w:rsidRPr="003556EC" w:rsidRDefault="003567C3" w:rsidP="009000E3">
      <w:pPr>
        <w:pStyle w:val="ab"/>
        <w:numPr>
          <w:ilvl w:val="0"/>
          <w:numId w:val="52"/>
        </w:numPr>
      </w:pPr>
      <w:r>
        <w:rPr>
          <w:rFonts w:cs="Arial" w:hint="cs"/>
          <w:rtl/>
        </w:rPr>
        <w:t xml:space="preserve">טור- </w:t>
      </w:r>
      <w:r w:rsidRPr="0019164E">
        <w:rPr>
          <w:rFonts w:cs="Arial"/>
          <w:rtl/>
        </w:rPr>
        <w:t>הוציא הוצאות על נכסי אשתו וגירשה</w:t>
      </w:r>
      <w:r w:rsidR="00020F5F">
        <w:rPr>
          <w:rFonts w:cs="Arial" w:hint="cs"/>
          <w:rtl/>
        </w:rPr>
        <w:t>,</w:t>
      </w:r>
      <w:r w:rsidRPr="0019164E">
        <w:rPr>
          <w:rFonts w:cs="Arial"/>
          <w:rtl/>
        </w:rPr>
        <w:t xml:space="preserve"> ולא אכל ולא נהנה מהם כלום</w:t>
      </w:r>
      <w:r w:rsidR="00020F5F">
        <w:rPr>
          <w:rFonts w:cs="Arial" w:hint="cs"/>
          <w:rtl/>
        </w:rPr>
        <w:t>,</w:t>
      </w:r>
      <w:r w:rsidRPr="0019164E">
        <w:rPr>
          <w:rFonts w:cs="Arial"/>
          <w:rtl/>
        </w:rPr>
        <w:t xml:space="preserve"> רואין</w:t>
      </w:r>
      <w:r w:rsidR="00221E34">
        <w:rPr>
          <w:rFonts w:cs="Arial" w:hint="cs"/>
          <w:rtl/>
        </w:rPr>
        <w:t>,</w:t>
      </w:r>
      <w:r w:rsidRPr="0019164E">
        <w:rPr>
          <w:rFonts w:cs="Arial"/>
          <w:rtl/>
        </w:rPr>
        <w:t xml:space="preserve"> אם השבח שהשביח יתר על ההוצאה</w:t>
      </w:r>
      <w:r w:rsidR="00020F5F">
        <w:rPr>
          <w:rFonts w:cs="Arial" w:hint="cs"/>
          <w:rtl/>
        </w:rPr>
        <w:t xml:space="preserve"> -</w:t>
      </w:r>
      <w:r w:rsidRPr="0019164E">
        <w:rPr>
          <w:rFonts w:cs="Arial"/>
          <w:rtl/>
        </w:rPr>
        <w:t xml:space="preserve"> ישבע כמה הוציא ויטול</w:t>
      </w:r>
      <w:r w:rsidR="00020F5F">
        <w:rPr>
          <w:rFonts w:cs="Arial" w:hint="cs"/>
          <w:rtl/>
        </w:rPr>
        <w:t>,</w:t>
      </w:r>
      <w:r w:rsidRPr="0019164E">
        <w:rPr>
          <w:rFonts w:cs="Arial"/>
          <w:rtl/>
        </w:rPr>
        <w:t xml:space="preserve"> ואם ההוצאה יתירה על השבח </w:t>
      </w:r>
      <w:r w:rsidR="00020F5F">
        <w:rPr>
          <w:rFonts w:cs="Arial" w:hint="cs"/>
          <w:rtl/>
        </w:rPr>
        <w:t xml:space="preserve">- </w:t>
      </w:r>
      <w:r w:rsidRPr="0019164E">
        <w:rPr>
          <w:rFonts w:cs="Arial"/>
          <w:rtl/>
        </w:rPr>
        <w:t>אין לו אלא כשיעור השבח בשבועה</w:t>
      </w:r>
      <w:r w:rsidR="00020F5F">
        <w:rPr>
          <w:rFonts w:cs="Arial" w:hint="cs"/>
          <w:rtl/>
        </w:rPr>
        <w:t>.</w:t>
      </w:r>
      <w:r w:rsidRPr="0019164E">
        <w:rPr>
          <w:rFonts w:cs="Arial"/>
          <w:rtl/>
        </w:rPr>
        <w:t xml:space="preserve"> בד"א שלא אכל כלל</w:t>
      </w:r>
      <w:r w:rsidR="00020F5F">
        <w:rPr>
          <w:rFonts w:cs="Arial" w:hint="cs"/>
          <w:rtl/>
        </w:rPr>
        <w:t>,</w:t>
      </w:r>
      <w:r w:rsidRPr="0019164E">
        <w:rPr>
          <w:rFonts w:cs="Arial"/>
          <w:rtl/>
        </w:rPr>
        <w:t xml:space="preserve"> אבל אם אכל מהן רב או מעט</w:t>
      </w:r>
      <w:r w:rsidR="00020F5F">
        <w:rPr>
          <w:rFonts w:cs="Arial" w:hint="cs"/>
          <w:rtl/>
        </w:rPr>
        <w:t>,</w:t>
      </w:r>
      <w:r w:rsidRPr="0019164E">
        <w:rPr>
          <w:rFonts w:cs="Arial"/>
          <w:rtl/>
        </w:rPr>
        <w:t xml:space="preserve"> אפי' גרוגרת אחת </w:t>
      </w:r>
      <w:r w:rsidR="00020F5F">
        <w:rPr>
          <w:rFonts w:cs="Arial" w:hint="cs"/>
          <w:rtl/>
        </w:rPr>
        <w:t xml:space="preserve">- </w:t>
      </w:r>
      <w:r w:rsidRPr="0019164E">
        <w:rPr>
          <w:rFonts w:cs="Arial"/>
          <w:rtl/>
        </w:rPr>
        <w:t>מה שהוציא הוציא ומה שאכל אכל</w:t>
      </w:r>
      <w:r w:rsidR="00020F5F">
        <w:rPr>
          <w:rFonts w:cs="Arial" w:hint="cs"/>
          <w:rtl/>
        </w:rPr>
        <w:t>,</w:t>
      </w:r>
      <w:r w:rsidRPr="0019164E">
        <w:rPr>
          <w:rFonts w:cs="Arial"/>
          <w:rtl/>
        </w:rPr>
        <w:t xml:space="preserve"> והוא שאכלה דרך כבוד כדרך איש בביתו</w:t>
      </w:r>
      <w:r w:rsidR="003556EC">
        <w:rPr>
          <w:rFonts w:cs="Arial" w:hint="cs"/>
          <w:rtl/>
        </w:rPr>
        <w:t>.</w:t>
      </w:r>
      <w:r w:rsidRPr="0019164E">
        <w:rPr>
          <w:rFonts w:cs="Arial"/>
          <w:rtl/>
        </w:rPr>
        <w:t xml:space="preserve"> </w:t>
      </w:r>
      <w:r w:rsidR="00682318" w:rsidRPr="00A6197B">
        <w:rPr>
          <w:rFonts w:hint="cs"/>
          <w:color w:val="E36C0A" w:themeColor="accent6" w:themeShade="BF"/>
          <w:rtl/>
        </w:rPr>
        <w:t>(וכ"פ בשו"ע)</w:t>
      </w:r>
    </w:p>
    <w:p w14:paraId="77053652" w14:textId="4146DF78" w:rsidR="003556EC" w:rsidRPr="003556EC" w:rsidRDefault="003556EC" w:rsidP="003556EC">
      <w:pPr>
        <w:ind w:left="360"/>
        <w:rPr>
          <w:u w:val="dotted"/>
        </w:rPr>
      </w:pPr>
      <w:r w:rsidRPr="003556EC">
        <w:rPr>
          <w:rFonts w:hint="cs"/>
          <w:u w:val="dotted"/>
          <w:rtl/>
        </w:rPr>
        <w:t xml:space="preserve">ומה הדין אם </w:t>
      </w:r>
      <w:r w:rsidRPr="003556EC">
        <w:rPr>
          <w:rFonts w:cs="Arial"/>
          <w:u w:val="dotted"/>
          <w:rtl/>
        </w:rPr>
        <w:t>לא אכלה דרך כבוד</w:t>
      </w:r>
      <w:r w:rsidRPr="003556EC">
        <w:rPr>
          <w:rFonts w:hint="cs"/>
          <w:u w:val="dotted"/>
          <w:rtl/>
        </w:rPr>
        <w:t>:</w:t>
      </w:r>
    </w:p>
    <w:p w14:paraId="28533824" w14:textId="6EF7EE00" w:rsidR="003556EC" w:rsidRPr="003556EC" w:rsidRDefault="003567C3" w:rsidP="009000E3">
      <w:pPr>
        <w:pStyle w:val="ab"/>
        <w:numPr>
          <w:ilvl w:val="0"/>
          <w:numId w:val="52"/>
        </w:numPr>
      </w:pPr>
      <w:r w:rsidRPr="0019164E">
        <w:rPr>
          <w:rFonts w:cs="Arial"/>
          <w:rtl/>
        </w:rPr>
        <w:t>רמב"ם</w:t>
      </w:r>
      <w:r w:rsidR="003556EC">
        <w:rPr>
          <w:rFonts w:cs="Arial" w:hint="cs"/>
          <w:rtl/>
        </w:rPr>
        <w:t xml:space="preserve"> </w:t>
      </w:r>
      <w:r w:rsidR="003556EC">
        <w:rPr>
          <w:rFonts w:cs="Arial" w:hint="cs"/>
          <w:sz w:val="16"/>
          <w:szCs w:val="16"/>
          <w:rtl/>
        </w:rPr>
        <w:t>(</w:t>
      </w:r>
      <w:r w:rsidR="003556EC" w:rsidRPr="003556EC">
        <w:rPr>
          <w:rFonts w:cs="Arial"/>
          <w:sz w:val="16"/>
          <w:szCs w:val="16"/>
          <w:rtl/>
        </w:rPr>
        <w:t>פכ"ג מאישות ה"ח)</w:t>
      </w:r>
      <w:r w:rsidR="003556EC">
        <w:rPr>
          <w:rFonts w:cs="Arial" w:hint="cs"/>
          <w:rtl/>
        </w:rPr>
        <w:t>-</w:t>
      </w:r>
      <w:r w:rsidRPr="0019164E">
        <w:rPr>
          <w:rFonts w:cs="Arial"/>
          <w:rtl/>
        </w:rPr>
        <w:t xml:space="preserve"> </w:t>
      </w:r>
      <w:r w:rsidR="003556EC" w:rsidRPr="0019164E">
        <w:rPr>
          <w:rFonts w:cs="Arial"/>
          <w:rtl/>
        </w:rPr>
        <w:t>אכל דינר אחד אפילו שלא דרך כבוד</w:t>
      </w:r>
      <w:r w:rsidR="005526C1">
        <w:rPr>
          <w:rFonts w:cs="Arial" w:hint="cs"/>
          <w:rtl/>
        </w:rPr>
        <w:t>,</w:t>
      </w:r>
      <w:r w:rsidR="003556EC" w:rsidRPr="0019164E">
        <w:rPr>
          <w:rFonts w:cs="Arial"/>
          <w:rtl/>
        </w:rPr>
        <w:t xml:space="preserve"> ואפילו לא לקח בפירות ממה שהוציא אלא חבילה אחת של זמורות </w:t>
      </w:r>
      <w:r w:rsidR="00221E34">
        <w:rPr>
          <w:rFonts w:cs="Arial" w:hint="cs"/>
          <w:rtl/>
        </w:rPr>
        <w:t xml:space="preserve">- </w:t>
      </w:r>
      <w:r w:rsidR="003556EC" w:rsidRPr="0019164E">
        <w:rPr>
          <w:rFonts w:cs="Arial"/>
          <w:rtl/>
        </w:rPr>
        <w:t>מה שהוציא הוציא ומה שאכל אכל</w:t>
      </w:r>
      <w:r w:rsidR="003556EC">
        <w:rPr>
          <w:rFonts w:cs="Arial" w:hint="cs"/>
          <w:rtl/>
        </w:rPr>
        <w:t>.</w:t>
      </w:r>
      <w:r w:rsidRPr="0019164E">
        <w:rPr>
          <w:rFonts w:cs="Arial"/>
          <w:rtl/>
        </w:rPr>
        <w:t xml:space="preserve"> </w:t>
      </w:r>
      <w:r w:rsidR="00682318" w:rsidRPr="00A6197B">
        <w:rPr>
          <w:rFonts w:hint="cs"/>
          <w:color w:val="E36C0A" w:themeColor="accent6" w:themeShade="BF"/>
          <w:rtl/>
        </w:rPr>
        <w:t>(וכ"פ בשו"ע)</w:t>
      </w:r>
    </w:p>
    <w:p w14:paraId="5406D7BE" w14:textId="77777777" w:rsidR="0048190F" w:rsidRPr="0048190F" w:rsidRDefault="003567C3" w:rsidP="009000E3">
      <w:pPr>
        <w:pStyle w:val="ab"/>
        <w:numPr>
          <w:ilvl w:val="0"/>
          <w:numId w:val="52"/>
        </w:numPr>
      </w:pPr>
      <w:r w:rsidRPr="0019164E">
        <w:rPr>
          <w:rFonts w:cs="Arial"/>
          <w:rtl/>
        </w:rPr>
        <w:t>רא"ש</w:t>
      </w:r>
      <w:r w:rsidR="003556EC">
        <w:rPr>
          <w:rFonts w:cs="Arial" w:hint="cs"/>
          <w:rtl/>
        </w:rPr>
        <w:t xml:space="preserve"> </w:t>
      </w:r>
      <w:r w:rsidR="003556EC" w:rsidRPr="003556EC">
        <w:rPr>
          <w:rFonts w:cs="Arial"/>
          <w:sz w:val="16"/>
          <w:szCs w:val="16"/>
          <w:rtl/>
        </w:rPr>
        <w:t>(סי' ט)</w:t>
      </w:r>
      <w:r w:rsidR="003556EC">
        <w:rPr>
          <w:rFonts w:cs="Arial" w:hint="cs"/>
          <w:rtl/>
        </w:rPr>
        <w:t xml:space="preserve">- </w:t>
      </w:r>
      <w:r w:rsidR="000F0425" w:rsidRPr="0019164E">
        <w:rPr>
          <w:rFonts w:cs="Arial"/>
          <w:rtl/>
        </w:rPr>
        <w:t>כיון דלא יהיב שיעורא לחבילי זמורות מוקמינן לה אפחות שבממון והיינו שוה פרוטה</w:t>
      </w:r>
      <w:r>
        <w:rPr>
          <w:rFonts w:cs="Arial" w:hint="cs"/>
          <w:rtl/>
        </w:rPr>
        <w:t>.</w:t>
      </w:r>
      <w:r w:rsidR="0019164E" w:rsidRPr="008A5284">
        <w:rPr>
          <w:rFonts w:cs="Arial"/>
          <w:rtl/>
        </w:rPr>
        <w:t xml:space="preserve"> </w:t>
      </w:r>
    </w:p>
    <w:p w14:paraId="38520102" w14:textId="754BC503" w:rsidR="008F7091" w:rsidRPr="00010BCB" w:rsidRDefault="008F7091" w:rsidP="008F7091">
      <w:pPr>
        <w:rPr>
          <w:rFonts w:cs="Arial"/>
          <w:rtl/>
        </w:rPr>
      </w:pPr>
      <w:r w:rsidRPr="00B226F6">
        <w:rPr>
          <w:rFonts w:cs="Arial" w:hint="cs"/>
          <w:b/>
          <w:bCs/>
          <w:rtl/>
        </w:rPr>
        <w:lastRenderedPageBreak/>
        <w:t xml:space="preserve">כתובות </w:t>
      </w:r>
      <w:r w:rsidRPr="00B226F6">
        <w:rPr>
          <w:rFonts w:cs="Arial" w:hint="cs"/>
          <w:b/>
          <w:bCs/>
          <w:sz w:val="16"/>
          <w:szCs w:val="16"/>
          <w:rtl/>
        </w:rPr>
        <w:t xml:space="preserve">(פ' האשה שנפלו) </w:t>
      </w:r>
      <w:r>
        <w:rPr>
          <w:rFonts w:cs="Arial" w:hint="cs"/>
          <w:b/>
          <w:bCs/>
          <w:rtl/>
        </w:rPr>
        <w:t>פ</w:t>
      </w:r>
      <w:r w:rsidR="004F6657">
        <w:rPr>
          <w:rStyle w:val="a7"/>
          <w:rFonts w:cs="Arial"/>
          <w:b/>
          <w:bCs/>
          <w:rtl/>
        </w:rPr>
        <w:footnoteReference w:id="1135"/>
      </w:r>
      <w:r w:rsidRPr="00B226F6">
        <w:rPr>
          <w:rFonts w:cs="Arial" w:hint="cs"/>
          <w:b/>
          <w:bCs/>
          <w:rtl/>
        </w:rPr>
        <w:t xml:space="preserve"> ע"</w:t>
      </w:r>
      <w:r>
        <w:rPr>
          <w:rFonts w:cs="Arial" w:hint="cs"/>
          <w:b/>
          <w:bCs/>
          <w:rtl/>
        </w:rPr>
        <w:t>א</w:t>
      </w:r>
      <w:r w:rsidRPr="00B226F6">
        <w:rPr>
          <w:rFonts w:cs="Arial" w:hint="cs"/>
          <w:b/>
          <w:bCs/>
          <w:rtl/>
        </w:rPr>
        <w:t xml:space="preserve">: </w:t>
      </w:r>
      <w:r w:rsidRPr="00010BCB">
        <w:rPr>
          <w:rFonts w:cs="Arial"/>
          <w:rtl/>
        </w:rPr>
        <w:t xml:space="preserve">ההיא איתתא דנפלו לה ארבע מאה זוזי בי חוזאי, אזיל גברא אפיק שית מאה אייתי ארבע מאה, בהדי דקאתי איצטריך ליה חד זוזא ושקל מנייהו, אתא לקמיה דר' אמי, </w:t>
      </w:r>
      <w:r w:rsidRPr="00010BCB">
        <w:rPr>
          <w:rFonts w:cs="Arial"/>
          <w:u w:val="single"/>
          <w:rtl/>
        </w:rPr>
        <w:t>א"ל</w:t>
      </w:r>
      <w:r w:rsidRPr="00010BCB">
        <w:rPr>
          <w:rFonts w:cs="Arial"/>
          <w:rtl/>
        </w:rPr>
        <w:t xml:space="preserve">: מה שהוציא הוציא, ומה שאכל אכל. </w:t>
      </w:r>
      <w:r w:rsidRPr="00010BCB">
        <w:rPr>
          <w:rFonts w:cs="Arial"/>
          <w:u w:val="single"/>
          <w:rtl/>
        </w:rPr>
        <w:t>אמרו ליה רבנן לר' אמי</w:t>
      </w:r>
      <w:r w:rsidRPr="00010BCB">
        <w:rPr>
          <w:rFonts w:cs="Arial"/>
          <w:rtl/>
        </w:rPr>
        <w:t xml:space="preserve">: ה"מ היכא דקאכיל פירא, הא קרנא קאכיל והוצאה היא! א"כ, הוה ליה הוציא ולא אכל, ישבע כמה הוציא ויטול. </w:t>
      </w:r>
    </w:p>
    <w:p w14:paraId="3CFD8E0E" w14:textId="5C516409" w:rsidR="008F7091" w:rsidRPr="003C6FEA" w:rsidRDefault="008F7091" w:rsidP="008F7091">
      <w:pPr>
        <w:rPr>
          <w:u w:val="single"/>
          <w:rtl/>
        </w:rPr>
      </w:pPr>
      <w:r w:rsidRPr="003C6FEA">
        <w:rPr>
          <w:rFonts w:cs="Arial"/>
          <w:u w:val="single"/>
          <w:rtl/>
        </w:rPr>
        <w:t>נפלו לה נכסים במקום</w:t>
      </w:r>
      <w:r w:rsidRPr="003C6FEA">
        <w:rPr>
          <w:rFonts w:cs="Arial" w:hint="cs"/>
          <w:u w:val="single"/>
          <w:rtl/>
        </w:rPr>
        <w:t xml:space="preserve"> אחר</w:t>
      </w:r>
      <w:r w:rsidRPr="003C6FEA">
        <w:rPr>
          <w:rFonts w:cs="Arial"/>
          <w:u w:val="single"/>
          <w:rtl/>
        </w:rPr>
        <w:t xml:space="preserve"> </w:t>
      </w:r>
      <w:r w:rsidRPr="003C6FEA">
        <w:rPr>
          <w:rFonts w:cs="Arial" w:hint="cs"/>
          <w:u w:val="single"/>
          <w:rtl/>
        </w:rPr>
        <w:t xml:space="preserve">והוציא </w:t>
      </w:r>
      <w:r w:rsidRPr="003C6FEA">
        <w:rPr>
          <w:rFonts w:cs="Arial"/>
          <w:u w:val="single"/>
          <w:rtl/>
        </w:rPr>
        <w:t xml:space="preserve">הוצאות </w:t>
      </w:r>
      <w:r w:rsidRPr="003C6FEA">
        <w:rPr>
          <w:rFonts w:cs="Arial" w:hint="cs"/>
          <w:u w:val="single"/>
          <w:rtl/>
        </w:rPr>
        <w:t>כדי</w:t>
      </w:r>
      <w:r w:rsidRPr="003C6FEA">
        <w:rPr>
          <w:rFonts w:cs="Arial"/>
          <w:u w:val="single"/>
          <w:rtl/>
        </w:rPr>
        <w:t xml:space="preserve"> </w:t>
      </w:r>
      <w:r w:rsidRPr="003C6FEA">
        <w:rPr>
          <w:rFonts w:cs="Arial" w:hint="cs"/>
          <w:u w:val="single"/>
          <w:rtl/>
        </w:rPr>
        <w:t>ל</w:t>
      </w:r>
      <w:r w:rsidRPr="003C6FEA">
        <w:rPr>
          <w:rFonts w:cs="Arial"/>
          <w:u w:val="single"/>
          <w:rtl/>
        </w:rPr>
        <w:t>הביאן</w:t>
      </w:r>
      <w:r w:rsidR="00EC2D06">
        <w:rPr>
          <w:rFonts w:cs="Arial" w:hint="cs"/>
          <w:u w:val="single"/>
          <w:rtl/>
        </w:rPr>
        <w:t>, וגירשה</w:t>
      </w:r>
      <w:r w:rsidRPr="003C6FEA">
        <w:rPr>
          <w:rFonts w:hint="cs"/>
          <w:u w:val="single"/>
          <w:rtl/>
        </w:rPr>
        <w:t>:</w:t>
      </w:r>
    </w:p>
    <w:p w14:paraId="52A702B9" w14:textId="38726F29" w:rsidR="008F7091" w:rsidRPr="008F7091" w:rsidRDefault="008F7091" w:rsidP="009000E3">
      <w:pPr>
        <w:pStyle w:val="ab"/>
        <w:numPr>
          <w:ilvl w:val="0"/>
          <w:numId w:val="52"/>
        </w:numPr>
      </w:pPr>
      <w:r w:rsidRPr="0019164E">
        <w:rPr>
          <w:rFonts w:cs="Arial"/>
          <w:rtl/>
        </w:rPr>
        <w:t xml:space="preserve">רמב"ם </w:t>
      </w:r>
      <w:r w:rsidRPr="002E7D61">
        <w:rPr>
          <w:rFonts w:cs="Arial" w:hint="cs"/>
          <w:sz w:val="16"/>
          <w:szCs w:val="16"/>
          <w:rtl/>
        </w:rPr>
        <w:t>(</w:t>
      </w:r>
      <w:r w:rsidRPr="002E7D61">
        <w:rPr>
          <w:rFonts w:cs="Arial"/>
          <w:sz w:val="16"/>
          <w:szCs w:val="16"/>
          <w:rtl/>
        </w:rPr>
        <w:t>פכ"ג מאישות ה"</w:t>
      </w:r>
      <w:r>
        <w:rPr>
          <w:rFonts w:cs="Arial" w:hint="cs"/>
          <w:sz w:val="16"/>
          <w:szCs w:val="16"/>
          <w:rtl/>
        </w:rPr>
        <w:t>ט</w:t>
      </w:r>
      <w:r w:rsidRPr="002E7D61">
        <w:rPr>
          <w:rFonts w:cs="Arial"/>
          <w:sz w:val="16"/>
          <w:szCs w:val="16"/>
          <w:rtl/>
        </w:rPr>
        <w:t>)</w:t>
      </w:r>
      <w:r>
        <w:rPr>
          <w:rFonts w:cs="Arial" w:hint="cs"/>
          <w:rtl/>
        </w:rPr>
        <w:t xml:space="preserve">- </w:t>
      </w:r>
      <w:r w:rsidRPr="008F7091">
        <w:rPr>
          <w:rFonts w:cs="Arial"/>
          <w:rtl/>
        </w:rPr>
        <w:t>וכן אם נפלו לה כספים במקום רחוק והוציא עליהן הוצאות עד שהביאן או עד שהוציאן מיד מי שהיו אצלו</w:t>
      </w:r>
      <w:r w:rsidR="005526C1">
        <w:rPr>
          <w:rFonts w:cs="Arial" w:hint="cs"/>
          <w:rtl/>
        </w:rPr>
        <w:t>,</w:t>
      </w:r>
      <w:r w:rsidRPr="008F7091">
        <w:rPr>
          <w:rFonts w:cs="Arial"/>
          <w:rtl/>
        </w:rPr>
        <w:t xml:space="preserve"> ולקח בהן קרקע ואכל פירותיה כשיעור </w:t>
      </w:r>
      <w:r>
        <w:rPr>
          <w:rFonts w:cs="Arial" w:hint="cs"/>
          <w:rtl/>
        </w:rPr>
        <w:t xml:space="preserve">- </w:t>
      </w:r>
      <w:r w:rsidRPr="008F7091">
        <w:rPr>
          <w:rFonts w:cs="Arial"/>
          <w:rtl/>
        </w:rPr>
        <w:t>מה שהוציא הוציא ומה שאכל אכל. הוציא ולא אכל או שאכל פחות מכשיעור, שמין כמה השביח ושואלין אותו כמה הוציא, אם השבח יתר על ההוצאה</w:t>
      </w:r>
      <w:r w:rsidR="00260979">
        <w:rPr>
          <w:rFonts w:cs="Arial" w:hint="cs"/>
          <w:rtl/>
        </w:rPr>
        <w:t xml:space="preserve"> -</w:t>
      </w:r>
      <w:r w:rsidRPr="008F7091">
        <w:rPr>
          <w:rFonts w:cs="Arial"/>
          <w:rtl/>
        </w:rPr>
        <w:t xml:space="preserve"> ישבע בנקיטת חפץ כמה הוציא ונוטל ההוצאה</w:t>
      </w:r>
      <w:r w:rsidR="00260979">
        <w:rPr>
          <w:rFonts w:cs="Arial" w:hint="cs"/>
          <w:rtl/>
        </w:rPr>
        <w:t>,</w:t>
      </w:r>
      <w:r w:rsidRPr="008F7091">
        <w:rPr>
          <w:rFonts w:cs="Arial"/>
          <w:rtl/>
        </w:rPr>
        <w:t xml:space="preserve"> ואם ההוצאה יתירה על השבח </w:t>
      </w:r>
      <w:r w:rsidR="00260979">
        <w:rPr>
          <w:rFonts w:cs="Arial" w:hint="cs"/>
          <w:rtl/>
        </w:rPr>
        <w:t xml:space="preserve">- </w:t>
      </w:r>
      <w:r w:rsidRPr="008F7091">
        <w:rPr>
          <w:rFonts w:cs="Arial"/>
          <w:rtl/>
        </w:rPr>
        <w:t xml:space="preserve">אין לו מן ההוצאה אלא כשיעור השבח ובשבועה. </w:t>
      </w:r>
      <w:r w:rsidR="00260979" w:rsidRPr="00A6197B">
        <w:rPr>
          <w:rFonts w:hint="cs"/>
          <w:color w:val="E36C0A" w:themeColor="accent6" w:themeShade="BF"/>
          <w:rtl/>
        </w:rPr>
        <w:t>(וכ"פ בשו"ע)</w:t>
      </w:r>
    </w:p>
    <w:p w14:paraId="663F913D" w14:textId="29B4FE28" w:rsidR="008F7091" w:rsidRDefault="008F7091" w:rsidP="009000E3">
      <w:pPr>
        <w:pStyle w:val="ab"/>
        <w:numPr>
          <w:ilvl w:val="0"/>
          <w:numId w:val="52"/>
        </w:numPr>
      </w:pPr>
      <w:r>
        <w:rPr>
          <w:rFonts w:cs="Arial" w:hint="cs"/>
          <w:rtl/>
        </w:rPr>
        <w:t xml:space="preserve">טור- </w:t>
      </w:r>
      <w:r w:rsidRPr="0019164E">
        <w:rPr>
          <w:rFonts w:cs="Arial"/>
          <w:rtl/>
        </w:rPr>
        <w:t>נפלו לה נכסים במקום אחר</w:t>
      </w:r>
      <w:r>
        <w:rPr>
          <w:rFonts w:cs="Arial" w:hint="cs"/>
          <w:rtl/>
        </w:rPr>
        <w:t>,</w:t>
      </w:r>
      <w:r w:rsidRPr="0019164E">
        <w:rPr>
          <w:rFonts w:cs="Arial"/>
          <w:rtl/>
        </w:rPr>
        <w:t xml:space="preserve"> והלך אחריהם והוציא הוצאות מרובות והביאן</w:t>
      </w:r>
      <w:r>
        <w:rPr>
          <w:rFonts w:cs="Arial" w:hint="cs"/>
          <w:rtl/>
        </w:rPr>
        <w:t>,</w:t>
      </w:r>
      <w:r w:rsidRPr="0019164E">
        <w:rPr>
          <w:rFonts w:cs="Arial"/>
          <w:rtl/>
        </w:rPr>
        <w:t xml:space="preserve"> וגירשה</w:t>
      </w:r>
      <w:r>
        <w:rPr>
          <w:rFonts w:cs="Arial" w:hint="cs"/>
          <w:rtl/>
        </w:rPr>
        <w:t>,</w:t>
      </w:r>
      <w:r w:rsidRPr="0019164E">
        <w:rPr>
          <w:rFonts w:cs="Arial"/>
          <w:rtl/>
        </w:rPr>
        <w:t xml:space="preserve"> אפי' לקח מהן והוציא אין זה כאוכל מן השבח שנדון בו מה שהוציא הוציא ומה שאכל אכל</w:t>
      </w:r>
      <w:r>
        <w:rPr>
          <w:rFonts w:cs="Arial" w:hint="cs"/>
          <w:rtl/>
        </w:rPr>
        <w:t>,</w:t>
      </w:r>
      <w:r w:rsidRPr="0019164E">
        <w:rPr>
          <w:rFonts w:cs="Arial"/>
          <w:rtl/>
        </w:rPr>
        <w:t xml:space="preserve"> שהרי מהקרן לקח</w:t>
      </w:r>
      <w:r>
        <w:rPr>
          <w:rFonts w:cs="Arial" w:hint="cs"/>
          <w:rtl/>
        </w:rPr>
        <w:t>,</w:t>
      </w:r>
      <w:r w:rsidRPr="0019164E">
        <w:rPr>
          <w:rFonts w:cs="Arial"/>
          <w:rtl/>
        </w:rPr>
        <w:t xml:space="preserve"> אלא ישבע כמה הוציא ויטול עד כדי השבח</w:t>
      </w:r>
      <w:r>
        <w:rPr>
          <w:rFonts w:cs="Arial" w:hint="cs"/>
          <w:rtl/>
        </w:rPr>
        <w:t>,</w:t>
      </w:r>
      <w:r w:rsidRPr="0019164E">
        <w:rPr>
          <w:rFonts w:cs="Arial"/>
          <w:rtl/>
        </w:rPr>
        <w:t xml:space="preserve"> דהיינו ששמין אלו המעות כמה שוין כאן יותר ממה שהיו שוין במקום שהיו תחלה</w:t>
      </w:r>
      <w:r>
        <w:rPr>
          <w:rFonts w:cs="Arial" w:hint="cs"/>
          <w:rtl/>
        </w:rPr>
        <w:t>.</w:t>
      </w:r>
      <w:r w:rsidR="00260979" w:rsidRPr="00260979">
        <w:rPr>
          <w:rFonts w:hint="cs"/>
          <w:color w:val="E36C0A" w:themeColor="accent6" w:themeShade="BF"/>
          <w:rtl/>
        </w:rPr>
        <w:t xml:space="preserve"> </w:t>
      </w:r>
      <w:r w:rsidR="00260979" w:rsidRPr="00A6197B">
        <w:rPr>
          <w:rFonts w:hint="cs"/>
          <w:color w:val="E36C0A" w:themeColor="accent6" w:themeShade="BF"/>
          <w:rtl/>
        </w:rPr>
        <w:t>(וכ"פ בשו"ע</w:t>
      </w:r>
      <w:r w:rsidR="009219CB" w:rsidRPr="009219CB">
        <w:rPr>
          <w:rStyle w:val="a7"/>
          <w:color w:val="000000" w:themeColor="text1"/>
          <w:rtl/>
        </w:rPr>
        <w:footnoteReference w:id="1136"/>
      </w:r>
      <w:r w:rsidR="00260979" w:rsidRPr="00260979">
        <w:rPr>
          <w:rFonts w:hint="cs"/>
          <w:color w:val="000000" w:themeColor="text1"/>
          <w:sz w:val="16"/>
          <w:szCs w:val="16"/>
          <w:rtl/>
        </w:rPr>
        <w:t>[</w:t>
      </w:r>
      <w:r w:rsidR="00627E55">
        <w:rPr>
          <w:rFonts w:hint="cs"/>
          <w:color w:val="000000" w:themeColor="text1"/>
          <w:sz w:val="16"/>
          <w:szCs w:val="16"/>
          <w:rtl/>
        </w:rPr>
        <w:t>כאן ו</w:t>
      </w:r>
      <w:r w:rsidR="00260979">
        <w:rPr>
          <w:rFonts w:hint="cs"/>
          <w:color w:val="000000" w:themeColor="text1"/>
          <w:sz w:val="16"/>
          <w:szCs w:val="16"/>
          <w:rtl/>
        </w:rPr>
        <w:t>בסע' ח</w:t>
      </w:r>
      <w:r w:rsidR="00260979" w:rsidRPr="00260979">
        <w:rPr>
          <w:rFonts w:hint="cs"/>
          <w:color w:val="000000" w:themeColor="text1"/>
          <w:sz w:val="16"/>
          <w:szCs w:val="16"/>
          <w:rtl/>
        </w:rPr>
        <w:t>]</w:t>
      </w:r>
      <w:r w:rsidR="00260979" w:rsidRPr="00A6197B">
        <w:rPr>
          <w:rFonts w:hint="cs"/>
          <w:color w:val="E36C0A" w:themeColor="accent6" w:themeShade="BF"/>
          <w:rtl/>
        </w:rPr>
        <w:t>)</w:t>
      </w:r>
    </w:p>
    <w:p w14:paraId="2E069FFE" w14:textId="191F46CC" w:rsidR="00EC2D06" w:rsidRPr="00EC2D06" w:rsidRDefault="00EC2D06" w:rsidP="00EC2D06">
      <w:r w:rsidRPr="00EC2D06">
        <w:rPr>
          <w:rFonts w:cs="Arial" w:hint="cs"/>
          <w:u w:val="single"/>
          <w:rtl/>
        </w:rPr>
        <w:t xml:space="preserve">במקרים שנתבארו לעיל שהבעל נשבע ונוטל </w:t>
      </w:r>
      <w:r w:rsidR="00F97626">
        <w:rPr>
          <w:rFonts w:cs="Arial"/>
          <w:u w:val="single"/>
          <w:rtl/>
        </w:rPr>
        <w:t>-</w:t>
      </w:r>
      <w:r w:rsidRPr="00EC2D06">
        <w:rPr>
          <w:rFonts w:cs="Arial" w:hint="cs"/>
          <w:u w:val="single"/>
          <w:rtl/>
        </w:rPr>
        <w:t xml:space="preserve"> מה הדין אם אשתו מכחישתו:</w:t>
      </w:r>
      <w:r w:rsidRPr="00EC2D06">
        <w:rPr>
          <w:rFonts w:cs="Arial" w:hint="cs"/>
          <w:sz w:val="16"/>
          <w:szCs w:val="16"/>
          <w:rtl/>
        </w:rPr>
        <w:t xml:space="preserve"> </w:t>
      </w:r>
      <w:r w:rsidRPr="00EC2D06">
        <w:rPr>
          <w:rFonts w:cs="Arial"/>
          <w:sz w:val="16"/>
          <w:szCs w:val="16"/>
          <w:rtl/>
        </w:rPr>
        <w:t>(</w:t>
      </w:r>
      <w:r w:rsidRPr="00EC2D06">
        <w:rPr>
          <w:rFonts w:cs="Arial" w:hint="cs"/>
          <w:sz w:val="16"/>
          <w:szCs w:val="16"/>
          <w:rtl/>
        </w:rPr>
        <w:t xml:space="preserve">דרכ"מ אות </w:t>
      </w:r>
      <w:r w:rsidRPr="00EC2D06">
        <w:rPr>
          <w:rFonts w:cs="Arial"/>
          <w:sz w:val="16"/>
          <w:szCs w:val="16"/>
          <w:rtl/>
        </w:rPr>
        <w:t>ג)</w:t>
      </w:r>
    </w:p>
    <w:p w14:paraId="3AD19FF9" w14:textId="42169DCC" w:rsidR="00EC2D06" w:rsidRPr="002E7D61" w:rsidRDefault="00EC2D06" w:rsidP="009000E3">
      <w:pPr>
        <w:pStyle w:val="ab"/>
        <w:numPr>
          <w:ilvl w:val="0"/>
          <w:numId w:val="52"/>
        </w:numPr>
      </w:pPr>
      <w:r>
        <w:rPr>
          <w:rFonts w:cs="Arial"/>
          <w:rtl/>
        </w:rPr>
        <w:t xml:space="preserve">מרדכי </w:t>
      </w:r>
      <w:r w:rsidRPr="00EC2D06">
        <w:rPr>
          <w:rFonts w:cs="Arial" w:hint="cs"/>
          <w:sz w:val="16"/>
          <w:szCs w:val="16"/>
          <w:rtl/>
        </w:rPr>
        <w:t>(</w:t>
      </w:r>
      <w:r w:rsidRPr="00EC2D06">
        <w:rPr>
          <w:rFonts w:cs="Arial"/>
          <w:sz w:val="16"/>
          <w:szCs w:val="16"/>
          <w:rtl/>
        </w:rPr>
        <w:t>פ</w:t>
      </w:r>
      <w:r w:rsidRPr="00EC2D06">
        <w:rPr>
          <w:rFonts w:cs="Arial" w:hint="cs"/>
          <w:sz w:val="16"/>
          <w:szCs w:val="16"/>
          <w:rtl/>
        </w:rPr>
        <w:t>'</w:t>
      </w:r>
      <w:r w:rsidRPr="00EC2D06">
        <w:rPr>
          <w:rFonts w:cs="Arial"/>
          <w:sz w:val="16"/>
          <w:szCs w:val="16"/>
          <w:rtl/>
        </w:rPr>
        <w:t xml:space="preserve"> האשה שנפלו</w:t>
      </w:r>
      <w:r w:rsidRPr="00EC2D06">
        <w:rPr>
          <w:rFonts w:cs="Arial" w:hint="cs"/>
          <w:sz w:val="16"/>
          <w:szCs w:val="16"/>
          <w:rtl/>
        </w:rPr>
        <w:t xml:space="preserve"> </w:t>
      </w:r>
      <w:r w:rsidRPr="00EC2D06">
        <w:rPr>
          <w:rFonts w:cs="Arial"/>
          <w:sz w:val="16"/>
          <w:szCs w:val="16"/>
          <w:rtl/>
        </w:rPr>
        <w:t>סי' רט)</w:t>
      </w:r>
      <w:r>
        <w:rPr>
          <w:rFonts w:cs="Arial" w:hint="cs"/>
          <w:rtl/>
        </w:rPr>
        <w:t xml:space="preserve">- </w:t>
      </w:r>
      <w:r>
        <w:rPr>
          <w:rFonts w:cs="Arial"/>
          <w:rtl/>
        </w:rPr>
        <w:t>דוקא שאין האשה מכחישתו</w:t>
      </w:r>
      <w:r>
        <w:rPr>
          <w:rFonts w:cs="Arial" w:hint="cs"/>
          <w:rtl/>
        </w:rPr>
        <w:t>,</w:t>
      </w:r>
      <w:r>
        <w:rPr>
          <w:rFonts w:cs="Arial"/>
          <w:rtl/>
        </w:rPr>
        <w:t xml:space="preserve"> אבל אם מכחישתו </w:t>
      </w:r>
      <w:r>
        <w:rPr>
          <w:rFonts w:cs="Arial" w:hint="cs"/>
          <w:rtl/>
        </w:rPr>
        <w:t xml:space="preserve">- </w:t>
      </w:r>
      <w:r>
        <w:rPr>
          <w:rFonts w:cs="Arial"/>
          <w:rtl/>
        </w:rPr>
        <w:t>אינו נאמן בשבועה</w:t>
      </w:r>
      <w:r>
        <w:rPr>
          <w:rFonts w:cs="Arial" w:hint="cs"/>
          <w:rtl/>
        </w:rPr>
        <w:t>.</w:t>
      </w:r>
      <w:r>
        <w:rPr>
          <w:rFonts w:hint="cs"/>
          <w:rtl/>
        </w:rPr>
        <w:t xml:space="preserve"> </w:t>
      </w:r>
      <w:r w:rsidRPr="00EC2D06">
        <w:rPr>
          <w:rFonts w:hint="cs"/>
          <w:color w:val="00B0F0"/>
          <w:rtl/>
        </w:rPr>
        <w:t>(וכ"פ הרמ"א)</w:t>
      </w:r>
    </w:p>
    <w:p w14:paraId="09AA7225" w14:textId="1685AAD7" w:rsidR="0048190F" w:rsidRPr="0048190F" w:rsidRDefault="0048190F" w:rsidP="0048190F">
      <w:pPr>
        <w:rPr>
          <w:u w:val="single"/>
        </w:rPr>
      </w:pPr>
      <w:r w:rsidRPr="0048190F">
        <w:rPr>
          <w:rFonts w:hint="cs"/>
          <w:u w:val="single"/>
          <w:rtl/>
        </w:rPr>
        <w:t xml:space="preserve">מי שבנה בית על קרקע מלוג של אשתו </w:t>
      </w:r>
      <w:r w:rsidR="00F97626">
        <w:rPr>
          <w:u w:val="single"/>
          <w:rtl/>
        </w:rPr>
        <w:t>-</w:t>
      </w:r>
      <w:r w:rsidRPr="0048190F">
        <w:rPr>
          <w:rFonts w:hint="cs"/>
          <w:u w:val="single"/>
          <w:rtl/>
        </w:rPr>
        <w:t xml:space="preserve"> האם נחשב בכלל מי שהוציא הוצאות כנ"ל</w:t>
      </w:r>
      <w:r w:rsidR="00682318">
        <w:rPr>
          <w:rFonts w:hint="cs"/>
          <w:u w:val="single"/>
          <w:rtl/>
        </w:rPr>
        <w:t xml:space="preserve"> שמה שהוציא הוציא</w:t>
      </w:r>
      <w:r w:rsidRPr="0048190F">
        <w:rPr>
          <w:rFonts w:hint="cs"/>
          <w:u w:val="single"/>
          <w:rtl/>
        </w:rPr>
        <w:t>:</w:t>
      </w:r>
    </w:p>
    <w:p w14:paraId="5C759049" w14:textId="71DF2172" w:rsidR="0019164E" w:rsidRPr="0019164E" w:rsidRDefault="0019164E" w:rsidP="009000E3">
      <w:pPr>
        <w:pStyle w:val="ab"/>
        <w:numPr>
          <w:ilvl w:val="0"/>
          <w:numId w:val="52"/>
        </w:numPr>
        <w:rPr>
          <w:rtl/>
        </w:rPr>
      </w:pPr>
      <w:r w:rsidRPr="0048190F">
        <w:rPr>
          <w:rFonts w:cs="Arial"/>
          <w:rtl/>
        </w:rPr>
        <w:t xml:space="preserve">מרדכי </w:t>
      </w:r>
      <w:r w:rsidR="0048190F" w:rsidRPr="0048190F">
        <w:rPr>
          <w:rFonts w:cs="Arial" w:hint="cs"/>
          <w:sz w:val="16"/>
          <w:szCs w:val="16"/>
          <w:rtl/>
        </w:rPr>
        <w:t>(כתובות</w:t>
      </w:r>
      <w:r w:rsidRPr="0048190F">
        <w:rPr>
          <w:rFonts w:cs="Arial"/>
          <w:sz w:val="16"/>
          <w:szCs w:val="16"/>
          <w:rtl/>
        </w:rPr>
        <w:t xml:space="preserve"> סי' רט)</w:t>
      </w:r>
      <w:r w:rsidR="0048190F" w:rsidRPr="0048190F">
        <w:rPr>
          <w:rFonts w:cs="Arial" w:hint="cs"/>
          <w:rtl/>
        </w:rPr>
        <w:t xml:space="preserve">- </w:t>
      </w:r>
      <w:r w:rsidR="0048190F" w:rsidRPr="0048190F">
        <w:rPr>
          <w:rFonts w:cs="Arial"/>
          <w:rtl/>
        </w:rPr>
        <w:t>שאלו ראב"ן ורבינו אליקים את רבינו שמואל על אחד שבנה בית על קרקע נכסי מלוג של אשתו ודר בו שנה או יותר</w:t>
      </w:r>
      <w:r w:rsidR="00682318">
        <w:rPr>
          <w:rFonts w:cs="Arial" w:hint="cs"/>
          <w:rtl/>
        </w:rPr>
        <w:t>,</w:t>
      </w:r>
      <w:r w:rsidR="0048190F" w:rsidRPr="0048190F">
        <w:rPr>
          <w:rFonts w:cs="Arial"/>
          <w:rtl/>
        </w:rPr>
        <w:t xml:space="preserve"> מי אמרי' כה"ג הוציא ואכל</w:t>
      </w:r>
      <w:r w:rsidR="00682318">
        <w:rPr>
          <w:rFonts w:cs="Arial" w:hint="cs"/>
          <w:rtl/>
        </w:rPr>
        <w:t>?</w:t>
      </w:r>
      <w:r w:rsidR="0048190F" w:rsidRPr="0048190F">
        <w:rPr>
          <w:rFonts w:cs="Arial"/>
          <w:rtl/>
        </w:rPr>
        <w:t xml:space="preserve"> וכן לענין בע"ח גובה את השבח</w:t>
      </w:r>
      <w:r w:rsidR="00682318">
        <w:rPr>
          <w:rFonts w:cs="Arial" w:hint="cs"/>
          <w:rtl/>
        </w:rPr>
        <w:t>,</w:t>
      </w:r>
      <w:r w:rsidR="0048190F" w:rsidRPr="0048190F">
        <w:rPr>
          <w:rFonts w:cs="Arial"/>
          <w:rtl/>
        </w:rPr>
        <w:t xml:space="preserve"> מי הוי כעין שבח וגובה הוא או לא</w:t>
      </w:r>
      <w:r w:rsidR="0048190F">
        <w:rPr>
          <w:rFonts w:cs="Arial" w:hint="cs"/>
          <w:rtl/>
        </w:rPr>
        <w:t>.</w:t>
      </w:r>
      <w:r w:rsidR="0048190F" w:rsidRPr="0048190F">
        <w:rPr>
          <w:rFonts w:cs="Arial"/>
          <w:rtl/>
        </w:rPr>
        <w:t xml:space="preserve"> והשיב</w:t>
      </w:r>
      <w:r w:rsidR="005526C1">
        <w:rPr>
          <w:rFonts w:cs="Arial" w:hint="cs"/>
          <w:rtl/>
        </w:rPr>
        <w:t>:</w:t>
      </w:r>
      <w:r w:rsidR="0048190F" w:rsidRPr="0048190F">
        <w:rPr>
          <w:rFonts w:cs="Arial"/>
          <w:rtl/>
        </w:rPr>
        <w:t xml:space="preserve"> אחר שלא חלקו רבותינו בין יציאה ניכרת לשאינה ניכרת אף אנו אין בידינו לחלוק</w:t>
      </w:r>
      <w:r w:rsidR="00B62CB4" w:rsidRPr="0048190F">
        <w:rPr>
          <w:rFonts w:cs="Arial" w:hint="cs"/>
          <w:rtl/>
        </w:rPr>
        <w:t>.</w:t>
      </w:r>
      <w:r w:rsidR="00EC2D06">
        <w:rPr>
          <w:rFonts w:cs="Arial" w:hint="cs"/>
          <w:rtl/>
        </w:rPr>
        <w:t xml:space="preserve"> (וכ"פ ח"מ</w:t>
      </w:r>
      <w:r w:rsidR="00B37A06">
        <w:rPr>
          <w:rFonts w:cs="Arial" w:hint="cs"/>
          <w:rtl/>
        </w:rPr>
        <w:t xml:space="preserve"> וב"ש</w:t>
      </w:r>
      <w:r w:rsidR="00EC2D06">
        <w:rPr>
          <w:rFonts w:cs="Arial" w:hint="cs"/>
          <w:rtl/>
        </w:rPr>
        <w:t xml:space="preserve"> </w:t>
      </w:r>
      <w:r w:rsidR="00EC2D06">
        <w:rPr>
          <w:rFonts w:cs="Arial" w:hint="cs"/>
          <w:sz w:val="16"/>
          <w:szCs w:val="16"/>
          <w:rtl/>
        </w:rPr>
        <w:t>[סקי"א]</w:t>
      </w:r>
      <w:r w:rsidR="00EC2D06">
        <w:rPr>
          <w:rFonts w:cs="Arial" w:hint="cs"/>
          <w:rtl/>
        </w:rPr>
        <w:t>)</w:t>
      </w:r>
    </w:p>
    <w:p w14:paraId="6177F330"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00A23260" w14:textId="287B143B" w:rsidR="007A3469" w:rsidRDefault="007A3469" w:rsidP="007A3469">
      <w:pPr>
        <w:rPr>
          <w:rtl/>
        </w:rPr>
      </w:pPr>
      <w:r>
        <w:rPr>
          <w:rFonts w:cs="Arial"/>
          <w:rtl/>
        </w:rPr>
        <w:t xml:space="preserve">הוציא הוצאות על </w:t>
      </w:r>
      <w:r w:rsidR="00750751">
        <w:rPr>
          <w:rFonts w:cs="Arial"/>
          <w:rtl/>
        </w:rPr>
        <w:t>נכסי מלוג</w:t>
      </w:r>
      <w:r>
        <w:rPr>
          <w:rFonts w:cs="Arial"/>
          <w:rtl/>
        </w:rPr>
        <w:t xml:space="preserve"> של אשתו וגרשה, בין שהוציא מעט ואכל פירות הרבה, בין שהוציא הרבה ואכל פירות מעט, אפילו אכל גרוגרות אחת דרך כבוד, כדרך איש בביתו, או שאכל דינר אפילו שלא דרך כבוד, ואפילו לא לקח בפירות ממה שהוציא אלא חבילה אחת של זמורות</w:t>
      </w:r>
      <w:r w:rsidR="00BB0A86">
        <w:rPr>
          <w:rStyle w:val="a7"/>
          <w:rFonts w:cs="Arial"/>
          <w:rtl/>
        </w:rPr>
        <w:footnoteReference w:id="1137"/>
      </w:r>
      <w:r>
        <w:rPr>
          <w:rFonts w:cs="Arial"/>
          <w:rtl/>
        </w:rPr>
        <w:t>, מה שהוציא הוציא ומה שאכל אכל. הוציא ולא אכל, או שאכל פחות מכשיעור, שמין כמה השביחו ושואלין אותו כמה הוציא, אם השבח יותר על ההוצאה, ישבע בנקיטת חפץ כמה הוציא</w:t>
      </w:r>
      <w:r w:rsidR="00BB0A86">
        <w:rPr>
          <w:rStyle w:val="a7"/>
          <w:rFonts w:cs="Arial"/>
          <w:rtl/>
        </w:rPr>
        <w:footnoteReference w:id="1138"/>
      </w:r>
      <w:r>
        <w:rPr>
          <w:rFonts w:cs="Arial"/>
          <w:rtl/>
        </w:rPr>
        <w:t xml:space="preserve"> ונוטל ההוצאה</w:t>
      </w:r>
      <w:r w:rsidR="00B62CB4">
        <w:rPr>
          <w:rFonts w:cs="Arial" w:hint="cs"/>
          <w:rtl/>
        </w:rPr>
        <w:t>.</w:t>
      </w:r>
      <w:r>
        <w:rPr>
          <w:rFonts w:cs="Arial"/>
          <w:rtl/>
        </w:rPr>
        <w:t xml:space="preserve"> ואם ההוצאה יתירה על השבח, אין לו מההוצאה אלא כשיעור השבח, ובשבועה. וה</w:t>
      </w:r>
      <w:r w:rsidR="00B62CB4">
        <w:rPr>
          <w:rFonts w:cs="Arial" w:hint="cs"/>
          <w:rtl/>
        </w:rPr>
        <w:t>וא הדין</w:t>
      </w:r>
      <w:r>
        <w:rPr>
          <w:rFonts w:cs="Arial"/>
          <w:rtl/>
        </w:rPr>
        <w:t xml:space="preserve"> למי שנפלו לה נכסים במקום רחוק והוציא עליהם הוצאות להביאם ולקח בהם קרקע ואכל מהפירות </w:t>
      </w:r>
      <w:r w:rsidRPr="00260979">
        <w:rPr>
          <w:rFonts w:cs="Arial"/>
          <w:color w:val="000000" w:themeColor="text1"/>
          <w:rtl/>
        </w:rPr>
        <w:t>כשיעור או פחות</w:t>
      </w:r>
      <w:r w:rsidR="00260979">
        <w:rPr>
          <w:rStyle w:val="a7"/>
          <w:rFonts w:cs="Arial"/>
          <w:rtl/>
        </w:rPr>
        <w:footnoteReference w:id="1139"/>
      </w:r>
      <w:r>
        <w:rPr>
          <w:rFonts w:cs="Arial"/>
          <w:rtl/>
        </w:rPr>
        <w:t>. ואם לא אכל אלא מהקרן, ישבע כמה הוציא, ויטול עד כדי השבח</w:t>
      </w:r>
      <w:r w:rsidR="00BB0A86">
        <w:rPr>
          <w:rStyle w:val="a7"/>
          <w:rFonts w:cs="Arial"/>
          <w:rtl/>
        </w:rPr>
        <w:footnoteReference w:id="1140"/>
      </w:r>
      <w:r>
        <w:rPr>
          <w:rFonts w:cs="Arial"/>
          <w:rtl/>
        </w:rPr>
        <w:t xml:space="preserve">. </w:t>
      </w:r>
      <w:r w:rsidR="00B62CB4">
        <w:rPr>
          <w:rFonts w:cs="Arial" w:hint="cs"/>
          <w:sz w:val="18"/>
          <w:szCs w:val="18"/>
          <w:rtl/>
        </w:rPr>
        <w:t xml:space="preserve">[הגה] </w:t>
      </w:r>
      <w:r w:rsidRPr="00B62CB4">
        <w:rPr>
          <w:rFonts w:cs="Arial"/>
          <w:sz w:val="18"/>
          <w:szCs w:val="18"/>
          <w:rtl/>
        </w:rPr>
        <w:t>והא דנוטל בשבועה, דוקא כשאין האשה מכחישו, אבל מכחישתו, לא</w:t>
      </w:r>
      <w:r w:rsidR="00BB0A86">
        <w:rPr>
          <w:rStyle w:val="a7"/>
          <w:rFonts w:cs="Arial"/>
          <w:sz w:val="18"/>
          <w:szCs w:val="18"/>
          <w:rtl/>
        </w:rPr>
        <w:footnoteReference w:id="1141"/>
      </w:r>
      <w:r w:rsidRPr="00B62CB4">
        <w:rPr>
          <w:rFonts w:cs="Arial"/>
          <w:sz w:val="18"/>
          <w:szCs w:val="18"/>
          <w:rtl/>
        </w:rPr>
        <w:t xml:space="preserve"> (מרדכי).</w:t>
      </w:r>
      <w:r>
        <w:rPr>
          <w:rFonts w:cs="Arial"/>
          <w:rtl/>
        </w:rPr>
        <w:t xml:space="preserve"> </w:t>
      </w:r>
    </w:p>
    <w:p w14:paraId="76E4B92C" w14:textId="77777777" w:rsidR="00B62CB4" w:rsidRDefault="00B62CB4" w:rsidP="007A3469">
      <w:pPr>
        <w:rPr>
          <w:rtl/>
        </w:rPr>
      </w:pPr>
    </w:p>
    <w:p w14:paraId="69732D51" w14:textId="1F0422AD" w:rsidR="007A3469" w:rsidRDefault="007A3469" w:rsidP="000F64D0">
      <w:pPr>
        <w:pStyle w:val="2"/>
        <w:rPr>
          <w:rtl/>
        </w:rPr>
      </w:pPr>
      <w:r>
        <w:rPr>
          <w:rtl/>
        </w:rPr>
        <w:lastRenderedPageBreak/>
        <w:t>סעיף ח</w:t>
      </w:r>
      <w:r w:rsidR="00B62CB4">
        <w:rPr>
          <w:rFonts w:hint="cs"/>
          <w:rtl/>
        </w:rPr>
        <w:t xml:space="preserve">: </w:t>
      </w:r>
      <w:r w:rsidR="003C6FEA" w:rsidRPr="0019164E">
        <w:rPr>
          <w:rtl/>
        </w:rPr>
        <w:t>נפלו לה נכסים במקום</w:t>
      </w:r>
      <w:r w:rsidR="003C6FEA">
        <w:rPr>
          <w:rFonts w:hint="cs"/>
          <w:rtl/>
        </w:rPr>
        <w:t xml:space="preserve"> אחר</w:t>
      </w:r>
      <w:r w:rsidR="003C6FEA" w:rsidRPr="0019164E">
        <w:rPr>
          <w:rtl/>
        </w:rPr>
        <w:t xml:space="preserve"> </w:t>
      </w:r>
      <w:r w:rsidR="003C6FEA">
        <w:rPr>
          <w:rFonts w:hint="cs"/>
          <w:rtl/>
        </w:rPr>
        <w:t xml:space="preserve">והוציא </w:t>
      </w:r>
      <w:r w:rsidR="003C6FEA" w:rsidRPr="0019164E">
        <w:rPr>
          <w:rtl/>
        </w:rPr>
        <w:t xml:space="preserve">הוצאות </w:t>
      </w:r>
      <w:r w:rsidR="003C6FEA">
        <w:rPr>
          <w:rFonts w:hint="cs"/>
          <w:rtl/>
        </w:rPr>
        <w:t>כדי</w:t>
      </w:r>
      <w:r w:rsidR="003C6FEA" w:rsidRPr="0019164E">
        <w:rPr>
          <w:rtl/>
        </w:rPr>
        <w:t xml:space="preserve"> </w:t>
      </w:r>
      <w:r w:rsidR="003C6FEA">
        <w:rPr>
          <w:rFonts w:hint="cs"/>
          <w:rtl/>
        </w:rPr>
        <w:t>ל</w:t>
      </w:r>
      <w:r w:rsidR="003C6FEA" w:rsidRPr="0019164E">
        <w:rPr>
          <w:rtl/>
        </w:rPr>
        <w:t>הביאן</w:t>
      </w:r>
      <w:r w:rsidR="003C6FEA">
        <w:rPr>
          <w:rFonts w:hint="cs"/>
          <w:rtl/>
        </w:rPr>
        <w:t>.</w:t>
      </w:r>
    </w:p>
    <w:p w14:paraId="7CB308A2" w14:textId="141771F5" w:rsidR="009219CB" w:rsidRPr="009219CB" w:rsidRDefault="009219CB" w:rsidP="009219CB">
      <w:pPr>
        <w:rPr>
          <w:rtl/>
        </w:rPr>
      </w:pPr>
      <w:r>
        <w:rPr>
          <w:rFonts w:hint="cs"/>
          <w:rtl/>
        </w:rPr>
        <w:t>עיין במקורות בסעיף ז'.</w:t>
      </w:r>
    </w:p>
    <w:p w14:paraId="51B95E1D"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029E6F39" w14:textId="0BDB4041" w:rsidR="007A3469" w:rsidRDefault="009219CB" w:rsidP="007A3469">
      <w:pPr>
        <w:rPr>
          <w:rtl/>
        </w:rPr>
      </w:pPr>
      <w:r w:rsidRPr="009219CB">
        <w:rPr>
          <w:rStyle w:val="a7"/>
          <w:color w:val="000000" w:themeColor="text1"/>
          <w:rtl/>
        </w:rPr>
        <w:footnoteReference w:id="1142"/>
      </w:r>
      <w:r w:rsidR="007A3469">
        <w:rPr>
          <w:rFonts w:cs="Arial"/>
          <w:rtl/>
        </w:rPr>
        <w:t xml:space="preserve">נפלו לה נכסים במקום אחר, והלך אחריהם והוציא הוצאת מרובות והביאן, וגירשה, אפילו לקח מהם והוציא, אין זה כאוכל מהשבח שנדון בו מה שהוציא הוציא ומה שאכל אכל, שהרי מהקרן לקח, אלא ישבע כמה הוציא, ויטול עד כדי השבח, דהיינו ששמין אלו המעות כמה שוין כאן יותר ממה שהיו שוין במקום שהיו תחלה. </w:t>
      </w:r>
    </w:p>
    <w:p w14:paraId="5C8B8DCD" w14:textId="77777777" w:rsidR="003C6FEA" w:rsidRDefault="003C6FEA" w:rsidP="007A3469">
      <w:pPr>
        <w:rPr>
          <w:rtl/>
        </w:rPr>
      </w:pPr>
    </w:p>
    <w:p w14:paraId="131D80C7" w14:textId="517A69CB" w:rsidR="007A3469" w:rsidRDefault="007A3469" w:rsidP="000F64D0">
      <w:pPr>
        <w:pStyle w:val="2"/>
        <w:rPr>
          <w:rtl/>
        </w:rPr>
      </w:pPr>
      <w:r>
        <w:rPr>
          <w:rtl/>
        </w:rPr>
        <w:t>סעיף ט</w:t>
      </w:r>
      <w:r w:rsidR="002E7D61">
        <w:rPr>
          <w:rFonts w:hint="cs"/>
          <w:rtl/>
        </w:rPr>
        <w:t xml:space="preserve">: </w:t>
      </w:r>
      <w:r w:rsidR="001A64DA">
        <w:rPr>
          <w:rFonts w:hint="cs"/>
          <w:rtl/>
        </w:rPr>
        <w:t>הוציא הוצאות ואשתו מורדת.</w:t>
      </w:r>
    </w:p>
    <w:p w14:paraId="25757DE9" w14:textId="4D158495" w:rsidR="00EC2D06" w:rsidRPr="009219CB" w:rsidRDefault="00EC2D06" w:rsidP="00EC2D06">
      <w:pPr>
        <w:rPr>
          <w:u w:val="single"/>
        </w:rPr>
      </w:pPr>
      <w:r>
        <w:rPr>
          <w:rFonts w:hint="cs"/>
          <w:u w:val="single"/>
          <w:rtl/>
        </w:rPr>
        <w:t xml:space="preserve">בעל שהוציא הוצאות כנ"ל ואשתו </w:t>
      </w:r>
      <w:r w:rsidR="001A64DA">
        <w:rPr>
          <w:rFonts w:hint="cs"/>
          <w:u w:val="single"/>
          <w:rtl/>
        </w:rPr>
        <w:t>מורדת ו</w:t>
      </w:r>
      <w:r>
        <w:rPr>
          <w:rFonts w:hint="cs"/>
          <w:u w:val="single"/>
          <w:rtl/>
        </w:rPr>
        <w:t>תובעת גט</w:t>
      </w:r>
      <w:r w:rsidR="001A64DA">
        <w:rPr>
          <w:rFonts w:hint="cs"/>
          <w:u w:val="single"/>
          <w:rtl/>
        </w:rPr>
        <w:t>,</w:t>
      </w:r>
      <w:r>
        <w:rPr>
          <w:rFonts w:hint="cs"/>
          <w:u w:val="single"/>
          <w:rtl/>
        </w:rPr>
        <w:t xml:space="preserve"> </w:t>
      </w:r>
      <w:r w:rsidRPr="009219CB">
        <w:rPr>
          <w:rFonts w:hint="cs"/>
          <w:u w:val="single"/>
          <w:rtl/>
        </w:rPr>
        <w:t>והקניטה את בעלה עד שג</w:t>
      </w:r>
      <w:r w:rsidR="001A64DA">
        <w:rPr>
          <w:rFonts w:hint="cs"/>
          <w:u w:val="single"/>
          <w:rtl/>
        </w:rPr>
        <w:t>י</w:t>
      </w:r>
      <w:r w:rsidRPr="009219CB">
        <w:rPr>
          <w:rFonts w:hint="cs"/>
          <w:u w:val="single"/>
          <w:rtl/>
        </w:rPr>
        <w:t>רשה:</w:t>
      </w:r>
    </w:p>
    <w:p w14:paraId="6A8ABE06" w14:textId="754B6FFC" w:rsidR="0019164E" w:rsidRPr="0019164E" w:rsidRDefault="00EC2D06" w:rsidP="009000E3">
      <w:pPr>
        <w:pStyle w:val="ab"/>
        <w:numPr>
          <w:ilvl w:val="0"/>
          <w:numId w:val="52"/>
        </w:numPr>
        <w:rPr>
          <w:rtl/>
        </w:rPr>
      </w:pPr>
      <w:r w:rsidRPr="0019164E">
        <w:rPr>
          <w:rFonts w:cs="Arial"/>
          <w:rtl/>
        </w:rPr>
        <w:t xml:space="preserve">רי"ף </w:t>
      </w:r>
      <w:r w:rsidRPr="002E7D61">
        <w:rPr>
          <w:rFonts w:cs="Arial"/>
          <w:sz w:val="16"/>
          <w:szCs w:val="16"/>
          <w:rtl/>
        </w:rPr>
        <w:t xml:space="preserve">(לט.) </w:t>
      </w:r>
      <w:r w:rsidRPr="0019164E">
        <w:rPr>
          <w:rFonts w:cs="Arial"/>
          <w:rtl/>
        </w:rPr>
        <w:t>רמב"ם</w:t>
      </w:r>
      <w:r w:rsidR="00BB0A86">
        <w:rPr>
          <w:rStyle w:val="a7"/>
          <w:rFonts w:cs="Arial"/>
          <w:rtl/>
        </w:rPr>
        <w:footnoteReference w:id="1143"/>
      </w:r>
      <w:r w:rsidRPr="0019164E">
        <w:rPr>
          <w:rFonts w:cs="Arial"/>
          <w:rtl/>
        </w:rPr>
        <w:t xml:space="preserve"> </w:t>
      </w:r>
      <w:r w:rsidRPr="002E7D61">
        <w:rPr>
          <w:rFonts w:cs="Arial" w:hint="cs"/>
          <w:sz w:val="16"/>
          <w:szCs w:val="16"/>
          <w:rtl/>
        </w:rPr>
        <w:t>(</w:t>
      </w:r>
      <w:r w:rsidRPr="002E7D61">
        <w:rPr>
          <w:rFonts w:cs="Arial"/>
          <w:sz w:val="16"/>
          <w:szCs w:val="16"/>
          <w:rtl/>
        </w:rPr>
        <w:t>פכ"ג מאישות ה"י)</w:t>
      </w:r>
      <w:r>
        <w:rPr>
          <w:rFonts w:cs="Arial" w:hint="cs"/>
          <w:rtl/>
        </w:rPr>
        <w:t xml:space="preserve"> </w:t>
      </w:r>
      <w:r w:rsidRPr="0019164E">
        <w:rPr>
          <w:rFonts w:cs="Arial"/>
          <w:rtl/>
        </w:rPr>
        <w:t xml:space="preserve">רא"ש </w:t>
      </w:r>
      <w:r w:rsidRPr="002E7D61">
        <w:rPr>
          <w:rFonts w:cs="Arial"/>
          <w:sz w:val="16"/>
          <w:szCs w:val="16"/>
          <w:rtl/>
        </w:rPr>
        <w:t>(סי' ט)</w:t>
      </w:r>
      <w:r>
        <w:rPr>
          <w:rFonts w:cs="Arial" w:hint="cs"/>
          <w:rtl/>
        </w:rPr>
        <w:t xml:space="preserve"> וטור- </w:t>
      </w:r>
      <w:r w:rsidRPr="0019164E">
        <w:rPr>
          <w:rFonts w:cs="Arial"/>
          <w:rtl/>
        </w:rPr>
        <w:t>בד"א במגרש מדעתו</w:t>
      </w:r>
      <w:r w:rsidR="00627E55">
        <w:rPr>
          <w:rFonts w:cs="Arial" w:hint="cs"/>
          <w:rtl/>
        </w:rPr>
        <w:t>,</w:t>
      </w:r>
      <w:r w:rsidRPr="0019164E">
        <w:rPr>
          <w:rFonts w:cs="Arial"/>
          <w:rtl/>
        </w:rPr>
        <w:t xml:space="preserve"> אבל במורדת</w:t>
      </w:r>
      <w:r>
        <w:rPr>
          <w:rStyle w:val="a7"/>
          <w:rFonts w:cs="Arial"/>
          <w:rtl/>
        </w:rPr>
        <w:footnoteReference w:id="1144"/>
      </w:r>
      <w:r w:rsidRPr="0019164E">
        <w:rPr>
          <w:rFonts w:cs="Arial"/>
          <w:rtl/>
        </w:rPr>
        <w:t xml:space="preserve"> שתובעת גט ומקניטתו עד שמגרשה</w:t>
      </w:r>
      <w:r>
        <w:rPr>
          <w:rFonts w:cs="Arial" w:hint="cs"/>
          <w:rtl/>
        </w:rPr>
        <w:t>,</w:t>
      </w:r>
      <w:r w:rsidRPr="0019164E">
        <w:rPr>
          <w:rFonts w:cs="Arial"/>
          <w:rtl/>
        </w:rPr>
        <w:t xml:space="preserve"> בין אכל בין לא אכל אם השבח יותר על ההוצאה </w:t>
      </w:r>
      <w:r w:rsidR="00627E55">
        <w:rPr>
          <w:rFonts w:cs="Arial" w:hint="cs"/>
          <w:rtl/>
        </w:rPr>
        <w:t xml:space="preserve">- </w:t>
      </w:r>
      <w:r w:rsidRPr="0019164E">
        <w:rPr>
          <w:rFonts w:cs="Arial"/>
          <w:rtl/>
        </w:rPr>
        <w:t>ישבע כמה הוציא ויטול</w:t>
      </w:r>
      <w:r>
        <w:rPr>
          <w:rFonts w:cs="Arial" w:hint="cs"/>
          <w:rtl/>
        </w:rPr>
        <w:t>.</w:t>
      </w:r>
      <w:r w:rsidRPr="0019164E">
        <w:rPr>
          <w:rFonts w:cs="Arial"/>
          <w:rtl/>
        </w:rPr>
        <w:t xml:space="preserve"> ואם ההוצאה יתירה על השבח </w:t>
      </w:r>
      <w:r w:rsidR="00627E55">
        <w:rPr>
          <w:rFonts w:cs="Arial" w:hint="cs"/>
          <w:rtl/>
        </w:rPr>
        <w:t xml:space="preserve">- </w:t>
      </w:r>
      <w:r w:rsidRPr="0019164E">
        <w:rPr>
          <w:rFonts w:cs="Arial"/>
          <w:rtl/>
        </w:rPr>
        <w:t>אינו נוטל אלא כשיעור השבח ובשבועה</w:t>
      </w:r>
      <w:r>
        <w:rPr>
          <w:rFonts w:cs="Arial" w:hint="cs"/>
          <w:sz w:val="16"/>
          <w:szCs w:val="16"/>
          <w:rtl/>
        </w:rPr>
        <w:t xml:space="preserve"> (ל' הטור)</w:t>
      </w:r>
      <w:r>
        <w:rPr>
          <w:rFonts w:cs="Arial" w:hint="cs"/>
          <w:rtl/>
        </w:rPr>
        <w:t>.</w:t>
      </w:r>
      <w:r w:rsidRPr="0019164E">
        <w:rPr>
          <w:rFonts w:cs="Arial"/>
          <w:rtl/>
        </w:rPr>
        <w:t xml:space="preserve"> </w:t>
      </w:r>
      <w:r w:rsidRPr="00A6197B">
        <w:rPr>
          <w:rFonts w:hint="cs"/>
          <w:color w:val="E36C0A" w:themeColor="accent6" w:themeShade="BF"/>
          <w:rtl/>
        </w:rPr>
        <w:t>(וכ"פ בשו"ע)</w:t>
      </w:r>
    </w:p>
    <w:p w14:paraId="4F5C6B08"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6DE20611" w14:textId="69BC6727" w:rsidR="007A3469" w:rsidRDefault="007A3469" w:rsidP="007A3469">
      <w:pPr>
        <w:rPr>
          <w:rtl/>
        </w:rPr>
      </w:pPr>
      <w:r>
        <w:rPr>
          <w:rFonts w:cs="Arial"/>
          <w:rtl/>
        </w:rPr>
        <w:t>ב</w:t>
      </w:r>
      <w:r w:rsidR="002E7D61">
        <w:rPr>
          <w:rFonts w:cs="Arial" w:hint="cs"/>
          <w:rtl/>
        </w:rPr>
        <w:t>מה דברים אמורים</w:t>
      </w:r>
      <w:r>
        <w:rPr>
          <w:rFonts w:cs="Arial"/>
          <w:rtl/>
        </w:rPr>
        <w:t>, במגרש מדעתו. אבל אם היא מורדת, בין אכל בין לא אכל, ישבע כמה הוציא ויטול</w:t>
      </w:r>
      <w:r w:rsidR="0011307A">
        <w:rPr>
          <w:rStyle w:val="a7"/>
          <w:rFonts w:cs="Arial"/>
          <w:rtl/>
        </w:rPr>
        <w:footnoteReference w:id="1145"/>
      </w:r>
      <w:r>
        <w:rPr>
          <w:rFonts w:cs="Arial"/>
          <w:rtl/>
        </w:rPr>
        <w:t xml:space="preserve">. ואם השבח יתר על ההוצאה נוטל ההוצאה, ואם הוצאה יתירה על השבח נוטל את השבח. </w:t>
      </w:r>
    </w:p>
    <w:p w14:paraId="401C162F" w14:textId="77777777" w:rsidR="0019164E" w:rsidRDefault="0019164E" w:rsidP="007A3469">
      <w:pPr>
        <w:rPr>
          <w:rtl/>
        </w:rPr>
      </w:pPr>
    </w:p>
    <w:p w14:paraId="130FBEBA" w14:textId="4B4BFA3D" w:rsidR="007A3469" w:rsidRDefault="007A3469" w:rsidP="000F64D0">
      <w:pPr>
        <w:pStyle w:val="2"/>
        <w:rPr>
          <w:rtl/>
        </w:rPr>
      </w:pPr>
      <w:r>
        <w:rPr>
          <w:rtl/>
        </w:rPr>
        <w:t>סעיף י</w:t>
      </w:r>
      <w:r w:rsidR="00010BCB">
        <w:rPr>
          <w:rFonts w:hint="cs"/>
          <w:rtl/>
        </w:rPr>
        <w:t>:</w:t>
      </w:r>
      <w:r w:rsidR="00621D05" w:rsidRPr="00621D05">
        <w:rPr>
          <w:rtl/>
        </w:rPr>
        <w:t xml:space="preserve"> </w:t>
      </w:r>
      <w:r w:rsidR="00621D05" w:rsidRPr="0019164E">
        <w:rPr>
          <w:rtl/>
        </w:rPr>
        <w:t>הוציא הוצאות על נכסי אשתו קטנה</w:t>
      </w:r>
      <w:r w:rsidR="00B52B0A">
        <w:rPr>
          <w:rFonts w:hint="cs"/>
          <w:rtl/>
        </w:rPr>
        <w:t>, ומיאנה</w:t>
      </w:r>
      <w:r w:rsidR="00621D05">
        <w:rPr>
          <w:rFonts w:hint="cs"/>
          <w:rtl/>
        </w:rPr>
        <w:t>.</w:t>
      </w:r>
    </w:p>
    <w:p w14:paraId="14E653E1" w14:textId="11294C8B" w:rsidR="00010BCB" w:rsidRPr="00010BCB" w:rsidRDefault="00010BCB" w:rsidP="00010BCB">
      <w:pPr>
        <w:rPr>
          <w:rFonts w:cs="Arial"/>
          <w:rtl/>
        </w:rPr>
      </w:pPr>
      <w:r w:rsidRPr="00B226F6">
        <w:rPr>
          <w:rFonts w:cs="Arial" w:hint="cs"/>
          <w:b/>
          <w:bCs/>
          <w:rtl/>
        </w:rPr>
        <w:t xml:space="preserve">כתובות </w:t>
      </w:r>
      <w:r w:rsidRPr="00B226F6">
        <w:rPr>
          <w:rFonts w:cs="Arial" w:hint="cs"/>
          <w:b/>
          <w:bCs/>
          <w:sz w:val="16"/>
          <w:szCs w:val="16"/>
          <w:rtl/>
        </w:rPr>
        <w:t xml:space="preserve">(פ' האשה שנפלו) </w:t>
      </w:r>
      <w:r w:rsidR="00621D05">
        <w:rPr>
          <w:rFonts w:cs="Arial" w:hint="cs"/>
          <w:b/>
          <w:bCs/>
          <w:rtl/>
        </w:rPr>
        <w:t>פ</w:t>
      </w:r>
      <w:r w:rsidR="004F6657">
        <w:rPr>
          <w:rStyle w:val="a7"/>
          <w:rFonts w:cs="Arial"/>
          <w:b/>
          <w:bCs/>
          <w:rtl/>
        </w:rPr>
        <w:footnoteReference w:id="1146"/>
      </w:r>
      <w:r w:rsidRPr="00B226F6">
        <w:rPr>
          <w:rFonts w:cs="Arial" w:hint="cs"/>
          <w:b/>
          <w:bCs/>
          <w:rtl/>
        </w:rPr>
        <w:t xml:space="preserve"> ע"</w:t>
      </w:r>
      <w:r w:rsidR="00621D05">
        <w:rPr>
          <w:rFonts w:cs="Arial" w:hint="cs"/>
          <w:b/>
          <w:bCs/>
          <w:rtl/>
        </w:rPr>
        <w:t>א</w:t>
      </w:r>
      <w:r w:rsidRPr="00B226F6">
        <w:rPr>
          <w:rFonts w:cs="Arial" w:hint="cs"/>
          <w:b/>
          <w:bCs/>
          <w:rtl/>
        </w:rPr>
        <w:t xml:space="preserve">: </w:t>
      </w:r>
      <w:r w:rsidR="00621D05">
        <w:rPr>
          <w:rFonts w:cs="Arial" w:hint="cs"/>
          <w:u w:val="single"/>
          <w:rtl/>
        </w:rPr>
        <w:t>ו</w:t>
      </w:r>
      <w:r w:rsidRPr="00010BCB">
        <w:rPr>
          <w:rFonts w:cs="Arial"/>
          <w:u w:val="single"/>
          <w:rtl/>
        </w:rPr>
        <w:t>א"ר יעקב אמר רב חסדא</w:t>
      </w:r>
      <w:r w:rsidRPr="00010BCB">
        <w:rPr>
          <w:rFonts w:cs="Arial"/>
          <w:rtl/>
        </w:rPr>
        <w:t>: המוציא הוצאות על נכסי אשתו קטנה</w:t>
      </w:r>
      <w:r w:rsidR="00621D05">
        <w:rPr>
          <w:rStyle w:val="a7"/>
          <w:rFonts w:cs="Arial"/>
          <w:rtl/>
        </w:rPr>
        <w:footnoteReference w:id="1147"/>
      </w:r>
      <w:r w:rsidRPr="00010BCB">
        <w:rPr>
          <w:rFonts w:cs="Arial"/>
          <w:rtl/>
        </w:rPr>
        <w:t>, כמוציא על נכסי אחר</w:t>
      </w:r>
      <w:r w:rsidR="00621D05">
        <w:rPr>
          <w:rStyle w:val="a7"/>
          <w:rFonts w:cs="Arial"/>
          <w:rtl/>
        </w:rPr>
        <w:footnoteReference w:id="1148"/>
      </w:r>
      <w:r w:rsidRPr="00010BCB">
        <w:rPr>
          <w:rFonts w:cs="Arial"/>
          <w:rtl/>
        </w:rPr>
        <w:t xml:space="preserve"> דמי</w:t>
      </w:r>
      <w:r w:rsidR="00621D05">
        <w:rPr>
          <w:rFonts w:cs="Arial" w:hint="cs"/>
          <w:rtl/>
        </w:rPr>
        <w:t>.</w:t>
      </w:r>
      <w:r w:rsidRPr="00010BCB">
        <w:rPr>
          <w:rFonts w:cs="Arial"/>
          <w:rtl/>
        </w:rPr>
        <w:t xml:space="preserve"> מ"ט? עבדו בה רבנן תקנתא</w:t>
      </w:r>
      <w:r w:rsidR="00BA53EB">
        <w:rPr>
          <w:rStyle w:val="a7"/>
          <w:rFonts w:cs="Arial"/>
          <w:rtl/>
        </w:rPr>
        <w:footnoteReference w:id="1149"/>
      </w:r>
      <w:r w:rsidRPr="00010BCB">
        <w:rPr>
          <w:rFonts w:cs="Arial"/>
          <w:rtl/>
        </w:rPr>
        <w:t xml:space="preserve"> כי היכי דלא ניפסדינהו</w:t>
      </w:r>
      <w:r w:rsidR="00BA53EB">
        <w:rPr>
          <w:rStyle w:val="a7"/>
          <w:rFonts w:cs="Arial"/>
          <w:rtl/>
        </w:rPr>
        <w:footnoteReference w:id="1150"/>
      </w:r>
      <w:r w:rsidRPr="00010BCB">
        <w:rPr>
          <w:rFonts w:cs="Arial"/>
          <w:rtl/>
        </w:rPr>
        <w:t xml:space="preserve">. </w:t>
      </w:r>
    </w:p>
    <w:p w14:paraId="6962F88E" w14:textId="2500473D" w:rsidR="00010BCB" w:rsidRPr="00621D05" w:rsidRDefault="00621D05" w:rsidP="00010BCB">
      <w:pPr>
        <w:rPr>
          <w:u w:val="single"/>
          <w:rtl/>
        </w:rPr>
      </w:pPr>
      <w:r w:rsidRPr="00621D05">
        <w:rPr>
          <w:rFonts w:cs="Arial"/>
          <w:u w:val="single"/>
          <w:rtl/>
        </w:rPr>
        <w:t>הוציא הוצאות על נכסי אשתו קטנה</w:t>
      </w:r>
      <w:r w:rsidR="00B52B0A">
        <w:rPr>
          <w:rFonts w:cs="Arial" w:hint="cs"/>
          <w:u w:val="single"/>
          <w:rtl/>
        </w:rPr>
        <w:t>, ומיאנה</w:t>
      </w:r>
      <w:r w:rsidRPr="00621D05">
        <w:rPr>
          <w:rFonts w:hint="cs"/>
          <w:u w:val="single"/>
          <w:rtl/>
        </w:rPr>
        <w:t>:</w:t>
      </w:r>
    </w:p>
    <w:p w14:paraId="51261B3A" w14:textId="1A1F8078" w:rsidR="00EC697B" w:rsidRPr="00B52B0A" w:rsidRDefault="00BA53EB" w:rsidP="009000E3">
      <w:pPr>
        <w:pStyle w:val="ab"/>
        <w:numPr>
          <w:ilvl w:val="0"/>
          <w:numId w:val="52"/>
        </w:numPr>
      </w:pPr>
      <w:r w:rsidRPr="0019164E">
        <w:rPr>
          <w:rFonts w:cs="Arial"/>
          <w:rtl/>
        </w:rPr>
        <w:t>רא"ש</w:t>
      </w:r>
      <w:r w:rsidR="00F166DA">
        <w:rPr>
          <w:rStyle w:val="a7"/>
          <w:rFonts w:cs="Arial"/>
          <w:rtl/>
        </w:rPr>
        <w:footnoteReference w:id="1151"/>
      </w:r>
      <w:r w:rsidRPr="0019164E">
        <w:rPr>
          <w:rFonts w:cs="Arial"/>
          <w:rtl/>
        </w:rPr>
        <w:t xml:space="preserve"> </w:t>
      </w:r>
      <w:r w:rsidRPr="002E7D61">
        <w:rPr>
          <w:rFonts w:cs="Arial"/>
          <w:sz w:val="16"/>
          <w:szCs w:val="16"/>
          <w:rtl/>
        </w:rPr>
        <w:t>(סי' ט)</w:t>
      </w:r>
      <w:r>
        <w:rPr>
          <w:rFonts w:cs="Arial" w:hint="cs"/>
          <w:rtl/>
        </w:rPr>
        <w:t xml:space="preserve"> וטור- </w:t>
      </w:r>
      <w:r w:rsidR="00DD441A" w:rsidRPr="0019164E">
        <w:rPr>
          <w:rFonts w:cs="Arial"/>
          <w:rtl/>
        </w:rPr>
        <w:t>הוציא הוצאות על נכסי אשתו קטנה ומיאנה בו</w:t>
      </w:r>
      <w:r>
        <w:rPr>
          <w:rFonts w:cs="Arial" w:hint="cs"/>
          <w:rtl/>
        </w:rPr>
        <w:t>.</w:t>
      </w:r>
      <w:r w:rsidR="00DD441A" w:rsidRPr="0019164E">
        <w:rPr>
          <w:rFonts w:cs="Arial"/>
          <w:rtl/>
        </w:rPr>
        <w:t xml:space="preserve"> אם הוציא ולא אכל או אפי' אכל מעט </w:t>
      </w:r>
      <w:r>
        <w:rPr>
          <w:rFonts w:cs="Arial" w:hint="cs"/>
          <w:rtl/>
        </w:rPr>
        <w:t xml:space="preserve">- </w:t>
      </w:r>
      <w:r w:rsidR="00DD441A" w:rsidRPr="0019164E">
        <w:rPr>
          <w:rFonts w:cs="Arial"/>
          <w:rtl/>
        </w:rPr>
        <w:t>שמין לו כשאר אריסי העיר</w:t>
      </w:r>
      <w:r w:rsidR="00EC697B">
        <w:rPr>
          <w:rFonts w:cs="Arial" w:hint="cs"/>
          <w:rtl/>
        </w:rPr>
        <w:t>.</w:t>
      </w:r>
      <w:r w:rsidR="00DD441A" w:rsidRPr="0019164E">
        <w:rPr>
          <w:rFonts w:cs="Arial"/>
          <w:rtl/>
        </w:rPr>
        <w:t xml:space="preserve"> ואם חפץ יותר שיטול כשיעור ההוצאה</w:t>
      </w:r>
      <w:r w:rsidR="00EC697B">
        <w:rPr>
          <w:rStyle w:val="a7"/>
          <w:rFonts w:cs="Arial"/>
          <w:rtl/>
        </w:rPr>
        <w:footnoteReference w:id="1152"/>
      </w:r>
      <w:r w:rsidR="00DD441A" w:rsidRPr="0019164E">
        <w:rPr>
          <w:rFonts w:cs="Arial"/>
          <w:rtl/>
        </w:rPr>
        <w:t xml:space="preserve"> </w:t>
      </w:r>
      <w:r w:rsidR="00EC697B">
        <w:rPr>
          <w:rFonts w:cs="Arial" w:hint="cs"/>
          <w:rtl/>
        </w:rPr>
        <w:t xml:space="preserve">- </w:t>
      </w:r>
      <w:r w:rsidR="00DD441A" w:rsidRPr="0019164E">
        <w:rPr>
          <w:rFonts w:cs="Arial"/>
          <w:rtl/>
        </w:rPr>
        <w:t>הרשות בידו</w:t>
      </w:r>
      <w:r w:rsidR="00EC697B">
        <w:rPr>
          <w:rFonts w:cs="Arial" w:hint="cs"/>
          <w:rtl/>
        </w:rPr>
        <w:t>.</w:t>
      </w:r>
      <w:r w:rsidR="00DD441A" w:rsidRPr="0019164E">
        <w:rPr>
          <w:rFonts w:cs="Arial"/>
          <w:rtl/>
        </w:rPr>
        <w:t xml:space="preserve"> ואם אכל הרבה והוציא מעט </w:t>
      </w:r>
      <w:r w:rsidR="00EC697B">
        <w:rPr>
          <w:rFonts w:cs="Arial" w:hint="cs"/>
          <w:rtl/>
        </w:rPr>
        <w:t xml:space="preserve">- </w:t>
      </w:r>
      <w:r w:rsidR="00DD441A" w:rsidRPr="0019164E">
        <w:rPr>
          <w:rFonts w:cs="Arial"/>
          <w:rtl/>
        </w:rPr>
        <w:t>מה שהוציא הוציא ומה שאכל אכל</w:t>
      </w:r>
      <w:r w:rsidR="00EC697B">
        <w:rPr>
          <w:rFonts w:cs="Arial" w:hint="cs"/>
          <w:sz w:val="16"/>
          <w:szCs w:val="16"/>
          <w:rtl/>
        </w:rPr>
        <w:t xml:space="preserve"> (ל' הטור)</w:t>
      </w:r>
      <w:r w:rsidR="00EC697B">
        <w:rPr>
          <w:rFonts w:cs="Arial" w:hint="cs"/>
          <w:rtl/>
        </w:rPr>
        <w:t>.</w:t>
      </w:r>
      <w:r w:rsidR="00B52B0A" w:rsidRPr="0019164E">
        <w:rPr>
          <w:rFonts w:cs="Arial"/>
          <w:rtl/>
        </w:rPr>
        <w:t xml:space="preserve"> </w:t>
      </w:r>
      <w:r w:rsidR="00B52B0A" w:rsidRPr="00A6197B">
        <w:rPr>
          <w:rFonts w:hint="cs"/>
          <w:color w:val="E36C0A" w:themeColor="accent6" w:themeShade="BF"/>
          <w:rtl/>
        </w:rPr>
        <w:t>(וכ"פ בשו"ע)</w:t>
      </w:r>
    </w:p>
    <w:p w14:paraId="00DFAE04" w14:textId="6BA161F2" w:rsidR="00B52B0A" w:rsidRPr="00B52B0A" w:rsidRDefault="00B52B0A" w:rsidP="00B52B0A">
      <w:pPr>
        <w:ind w:left="360"/>
        <w:rPr>
          <w:u w:val="dotted"/>
        </w:rPr>
      </w:pPr>
      <w:r w:rsidRPr="00B52B0A">
        <w:rPr>
          <w:rFonts w:hint="cs"/>
          <w:u w:val="dotted"/>
          <w:rtl/>
        </w:rPr>
        <w:lastRenderedPageBreak/>
        <w:t>ומה הדין אם אשתו הקטנה</w:t>
      </w:r>
      <w:r>
        <w:rPr>
          <w:rFonts w:hint="cs"/>
          <w:u w:val="dotted"/>
          <w:rtl/>
        </w:rPr>
        <w:t xml:space="preserve"> יצאה</w:t>
      </w:r>
      <w:r w:rsidRPr="00B52B0A">
        <w:rPr>
          <w:rFonts w:hint="cs"/>
          <w:u w:val="dotted"/>
          <w:rtl/>
        </w:rPr>
        <w:t xml:space="preserve"> בגט</w:t>
      </w:r>
      <w:r>
        <w:rPr>
          <w:rFonts w:hint="cs"/>
          <w:u w:val="dotted"/>
          <w:rtl/>
        </w:rPr>
        <w:t xml:space="preserve"> </w:t>
      </w:r>
      <w:r>
        <w:rPr>
          <w:rFonts w:hint="cs"/>
          <w:sz w:val="16"/>
          <w:szCs w:val="16"/>
          <w:u w:val="dotted"/>
          <w:rtl/>
        </w:rPr>
        <w:t>(ולא במיאון)</w:t>
      </w:r>
      <w:r w:rsidRPr="00B52B0A">
        <w:rPr>
          <w:rFonts w:hint="cs"/>
          <w:u w:val="dotted"/>
          <w:rtl/>
        </w:rPr>
        <w:t>:</w:t>
      </w:r>
    </w:p>
    <w:p w14:paraId="0CC54183" w14:textId="55A75E17" w:rsidR="00DD441A" w:rsidRPr="00DD441A" w:rsidRDefault="00DD441A" w:rsidP="009000E3">
      <w:pPr>
        <w:pStyle w:val="ab"/>
        <w:numPr>
          <w:ilvl w:val="0"/>
          <w:numId w:val="52"/>
        </w:numPr>
      </w:pPr>
      <w:r w:rsidRPr="0019164E">
        <w:rPr>
          <w:rFonts w:cs="Arial"/>
          <w:rtl/>
        </w:rPr>
        <w:t>רמ"ה</w:t>
      </w:r>
      <w:r w:rsidR="00B52B0A">
        <w:rPr>
          <w:rFonts w:cs="Arial" w:hint="cs"/>
          <w:sz w:val="16"/>
          <w:szCs w:val="16"/>
          <w:rtl/>
        </w:rPr>
        <w:t xml:space="preserve"> (כ"כ הטור בשמו)</w:t>
      </w:r>
      <w:r w:rsidR="00F166DA">
        <w:rPr>
          <w:rFonts w:cs="Arial" w:hint="cs"/>
          <w:rtl/>
        </w:rPr>
        <w:t>-</w:t>
      </w:r>
      <w:r w:rsidRPr="0019164E">
        <w:rPr>
          <w:rFonts w:cs="Arial"/>
          <w:rtl/>
        </w:rPr>
        <w:t xml:space="preserve"> דוקא קטנה ממאנת</w:t>
      </w:r>
      <w:r w:rsidR="00F166DA">
        <w:rPr>
          <w:rFonts w:cs="Arial" w:hint="cs"/>
          <w:rtl/>
        </w:rPr>
        <w:t>,</w:t>
      </w:r>
      <w:r w:rsidRPr="0019164E">
        <w:rPr>
          <w:rFonts w:cs="Arial"/>
          <w:rtl/>
        </w:rPr>
        <w:t xml:space="preserve"> אבל יוצאת בגט דינה כשאר מוציא הוצאות על נכסי אשת</w:t>
      </w:r>
      <w:r w:rsidR="00B52B0A">
        <w:rPr>
          <w:rFonts w:cs="Arial" w:hint="cs"/>
          <w:rtl/>
        </w:rPr>
        <w:t>ו</w:t>
      </w:r>
      <w:r w:rsidR="00B52B0A">
        <w:rPr>
          <w:rFonts w:cs="Arial" w:hint="cs"/>
          <w:sz w:val="16"/>
          <w:szCs w:val="16"/>
          <w:rtl/>
        </w:rPr>
        <w:t xml:space="preserve"> (ל' הטור בשמו)</w:t>
      </w:r>
      <w:r w:rsidR="00F166DA">
        <w:rPr>
          <w:rFonts w:cs="Arial" w:hint="cs"/>
          <w:rtl/>
        </w:rPr>
        <w:t>.</w:t>
      </w:r>
      <w:r w:rsidRPr="0019164E">
        <w:rPr>
          <w:rFonts w:cs="Arial"/>
          <w:rtl/>
        </w:rPr>
        <w:t xml:space="preserve"> </w:t>
      </w:r>
      <w:r w:rsidR="00EA5AFA">
        <w:rPr>
          <w:rFonts w:cs="Arial" w:hint="cs"/>
          <w:rtl/>
        </w:rPr>
        <w:t xml:space="preserve">(וכ"פ ח"מ </w:t>
      </w:r>
      <w:r w:rsidR="00EA5AFA">
        <w:rPr>
          <w:rFonts w:cs="Arial" w:hint="cs"/>
          <w:sz w:val="16"/>
          <w:szCs w:val="16"/>
          <w:rtl/>
        </w:rPr>
        <w:t xml:space="preserve">[סק"כ] </w:t>
      </w:r>
      <w:r w:rsidR="00EA5AFA">
        <w:rPr>
          <w:rFonts w:cs="Arial" w:hint="cs"/>
          <w:rtl/>
        </w:rPr>
        <w:t xml:space="preserve">וב"ש </w:t>
      </w:r>
      <w:r w:rsidR="00EA5AFA">
        <w:rPr>
          <w:rFonts w:cs="Arial" w:hint="cs"/>
          <w:sz w:val="16"/>
          <w:szCs w:val="16"/>
          <w:rtl/>
        </w:rPr>
        <w:t>[סקי"ט]</w:t>
      </w:r>
      <w:r w:rsidR="00EA5AFA">
        <w:rPr>
          <w:rFonts w:cs="Arial" w:hint="cs"/>
          <w:rtl/>
        </w:rPr>
        <w:t>)</w:t>
      </w:r>
    </w:p>
    <w:p w14:paraId="0F8F9920" w14:textId="0EABCBA8" w:rsidR="00EA5AFA" w:rsidRDefault="00EA5AFA" w:rsidP="0019164E">
      <w:pPr>
        <w:rPr>
          <w:rFonts w:cs="Arial"/>
          <w:rtl/>
        </w:rPr>
      </w:pPr>
      <w:r w:rsidRPr="00EA5AFA">
        <w:rPr>
          <w:rFonts w:cs="Arial" w:hint="cs"/>
          <w:u w:val="single"/>
          <w:rtl/>
        </w:rPr>
        <w:t xml:space="preserve">האם שמין לו כאריס גם </w:t>
      </w:r>
      <w:r>
        <w:rPr>
          <w:rFonts w:cs="Arial" w:hint="cs"/>
          <w:u w:val="single"/>
          <w:rtl/>
        </w:rPr>
        <w:t>כש</w:t>
      </w:r>
      <w:r w:rsidRPr="00EA5AFA">
        <w:rPr>
          <w:rFonts w:cs="Arial" w:hint="cs"/>
          <w:u w:val="single"/>
          <w:rtl/>
        </w:rPr>
        <w:t>הוציא הוצאות על שדה שאינה עשויה ליטע:</w:t>
      </w:r>
    </w:p>
    <w:p w14:paraId="7E9E9393" w14:textId="31FD23BE" w:rsidR="0019164E" w:rsidRDefault="0019164E" w:rsidP="009000E3">
      <w:pPr>
        <w:pStyle w:val="ab"/>
        <w:numPr>
          <w:ilvl w:val="0"/>
          <w:numId w:val="52"/>
        </w:numPr>
        <w:rPr>
          <w:rtl/>
        </w:rPr>
      </w:pPr>
      <w:r w:rsidRPr="00EA5AFA">
        <w:rPr>
          <w:rFonts w:cs="Arial"/>
          <w:rtl/>
        </w:rPr>
        <w:t xml:space="preserve">ר"ן </w:t>
      </w:r>
      <w:r w:rsidRPr="00EA5AFA">
        <w:rPr>
          <w:rFonts w:cs="Arial"/>
          <w:sz w:val="16"/>
          <w:szCs w:val="16"/>
          <w:rtl/>
        </w:rPr>
        <w:t>(לח: ד"ה גמ' עבד)</w:t>
      </w:r>
      <w:r w:rsidR="00B52B0A" w:rsidRPr="00EA5AFA">
        <w:rPr>
          <w:rFonts w:cs="Arial" w:hint="cs"/>
          <w:rtl/>
        </w:rPr>
        <w:t>-</w:t>
      </w:r>
      <w:r w:rsidRPr="00EA5AFA">
        <w:rPr>
          <w:rFonts w:cs="Arial"/>
          <w:rtl/>
        </w:rPr>
        <w:t xml:space="preserve"> איפשר היה לומר דכי אמרי' כמוציא על נכסי אחר דמי היינו דאם היה שדה העשויה ליטע שמין לו כאריס</w:t>
      </w:r>
      <w:r w:rsidR="00EA5AFA">
        <w:rPr>
          <w:rFonts w:cs="Arial" w:hint="cs"/>
          <w:rtl/>
        </w:rPr>
        <w:t>,</w:t>
      </w:r>
      <w:r w:rsidRPr="00EA5AFA">
        <w:rPr>
          <w:rFonts w:cs="Arial"/>
          <w:rtl/>
        </w:rPr>
        <w:t xml:space="preserve"> ואם אינה עשויה ליטע ידו על התחתונה</w:t>
      </w:r>
      <w:r w:rsidR="00BA53EB" w:rsidRPr="00EA5AFA">
        <w:rPr>
          <w:rFonts w:cs="Arial" w:hint="cs"/>
          <w:rtl/>
        </w:rPr>
        <w:t>.</w:t>
      </w:r>
      <w:r w:rsidRPr="00EA5AFA">
        <w:rPr>
          <w:rFonts w:cs="Arial"/>
          <w:rtl/>
        </w:rPr>
        <w:t xml:space="preserve"> אבל מלשון רש"י נראה שהוא כיורד ברשות בכל השדות</w:t>
      </w:r>
      <w:r w:rsidR="00BA53EB" w:rsidRPr="00EA5AFA">
        <w:rPr>
          <w:rFonts w:cs="Arial" w:hint="cs"/>
          <w:rtl/>
        </w:rPr>
        <w:t>.</w:t>
      </w:r>
      <w:r w:rsidRPr="00EA5AFA">
        <w:rPr>
          <w:rFonts w:cs="Arial"/>
          <w:rtl/>
        </w:rPr>
        <w:t xml:space="preserve"> ואף הרי"ף (שם) כתב כמוציא על נכסי אחר ברשות דמי</w:t>
      </w:r>
      <w:r w:rsidR="00BA53EB" w:rsidRPr="00EA5AFA">
        <w:rPr>
          <w:rFonts w:cs="Arial" w:hint="cs"/>
          <w:rtl/>
        </w:rPr>
        <w:t>.</w:t>
      </w:r>
      <w:r w:rsidRPr="00EA5AFA">
        <w:rPr>
          <w:rFonts w:cs="Arial"/>
          <w:rtl/>
        </w:rPr>
        <w:t xml:space="preserve"> ואף הרמב"ם כתב בפכ"ג מהלכות אישות (שם) ששמין לו כאריס שהרי ברשות ירד</w:t>
      </w:r>
      <w:r w:rsidR="00BA53EB" w:rsidRPr="00EA5AFA">
        <w:rPr>
          <w:rFonts w:cs="Arial" w:hint="cs"/>
          <w:rtl/>
        </w:rPr>
        <w:t>.</w:t>
      </w:r>
      <w:r w:rsidRPr="00EA5AFA">
        <w:rPr>
          <w:rFonts w:cs="Arial"/>
          <w:rtl/>
        </w:rPr>
        <w:t xml:space="preserve"> וכתב הרשב"א (פ. ד"ה אמר) איכא למימר דלהקל עליו תקנו</w:t>
      </w:r>
      <w:r w:rsidR="00BA53EB" w:rsidRPr="00EA5AFA">
        <w:rPr>
          <w:rFonts w:cs="Arial" w:hint="cs"/>
          <w:rtl/>
        </w:rPr>
        <w:t>,</w:t>
      </w:r>
      <w:r w:rsidRPr="00EA5AFA">
        <w:rPr>
          <w:rFonts w:cs="Arial"/>
          <w:rtl/>
        </w:rPr>
        <w:t xml:space="preserve"> ולא להחמיר עליו</w:t>
      </w:r>
      <w:r w:rsidR="00BA53EB" w:rsidRPr="00EA5AFA">
        <w:rPr>
          <w:rFonts w:cs="Arial" w:hint="cs"/>
          <w:rtl/>
        </w:rPr>
        <w:t>.</w:t>
      </w:r>
      <w:r w:rsidRPr="00EA5AFA">
        <w:rPr>
          <w:rFonts w:cs="Arial"/>
          <w:rtl/>
        </w:rPr>
        <w:t xml:space="preserve"> דאילו הוציא קימעא ואכל הרבה מה שהוציא הוציא ומה שאכל אכל כדין בעל בעלמא</w:t>
      </w:r>
      <w:r w:rsidR="00BA53EB" w:rsidRPr="00EA5AFA">
        <w:rPr>
          <w:rFonts w:cs="Arial" w:hint="cs"/>
          <w:rtl/>
        </w:rPr>
        <w:t>.</w:t>
      </w:r>
      <w:r w:rsidRPr="00EA5AFA">
        <w:rPr>
          <w:rFonts w:cs="Arial"/>
          <w:rtl/>
        </w:rPr>
        <w:t xml:space="preserve"> אבל הוציא הרבה ואכל קימעא מחשבין לו כאריס דעלמא</w:t>
      </w:r>
      <w:r w:rsidR="00BA53EB" w:rsidRPr="00EA5AFA">
        <w:rPr>
          <w:rFonts w:cs="Arial" w:hint="cs"/>
          <w:rtl/>
        </w:rPr>
        <w:t>.</w:t>
      </w:r>
    </w:p>
    <w:p w14:paraId="2782EC59"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5E14A57C" w14:textId="1FAB80AC" w:rsidR="007A3469" w:rsidRDefault="007A3469" w:rsidP="007A3469">
      <w:pPr>
        <w:rPr>
          <w:rtl/>
        </w:rPr>
      </w:pPr>
      <w:r>
        <w:rPr>
          <w:rFonts w:cs="Arial"/>
          <w:rtl/>
        </w:rPr>
        <w:t>המוציא הוצאות על נכסי מלוג של אשתו קטנה ומיאנה בו, רואין כמה אכל וכמה הוציא וכמה השביח, ושמין לו כאריס, שהרי ברשות ירד</w:t>
      </w:r>
      <w:r w:rsidR="007471CA">
        <w:rPr>
          <w:rStyle w:val="a7"/>
          <w:rFonts w:cs="Arial"/>
          <w:rtl/>
        </w:rPr>
        <w:footnoteReference w:id="1153"/>
      </w:r>
      <w:r>
        <w:rPr>
          <w:rFonts w:cs="Arial"/>
          <w:rtl/>
        </w:rPr>
        <w:t>. ואם הוא רוצה ליטול הוצאה שיעור שבח, שומעין לו</w:t>
      </w:r>
      <w:r w:rsidR="00BA53EB">
        <w:rPr>
          <w:rFonts w:cs="Arial" w:hint="cs"/>
          <w:rtl/>
        </w:rPr>
        <w:t>.</w:t>
      </w:r>
      <w:r>
        <w:rPr>
          <w:rFonts w:cs="Arial"/>
          <w:rtl/>
        </w:rPr>
        <w:t xml:space="preserve"> ואם הוציא קימעה ואכל הרבה, מה שאכל אכל. </w:t>
      </w:r>
    </w:p>
    <w:p w14:paraId="3EA56EFE" w14:textId="77777777" w:rsidR="0011307A" w:rsidRDefault="0011307A" w:rsidP="007A3469">
      <w:pPr>
        <w:rPr>
          <w:rtl/>
        </w:rPr>
      </w:pPr>
    </w:p>
    <w:p w14:paraId="591D5D90" w14:textId="25C4172C" w:rsidR="007A3469" w:rsidRDefault="007A3469" w:rsidP="000F64D0">
      <w:pPr>
        <w:pStyle w:val="2"/>
        <w:rPr>
          <w:rtl/>
        </w:rPr>
      </w:pPr>
      <w:r>
        <w:rPr>
          <w:rtl/>
        </w:rPr>
        <w:t>סעיף יא</w:t>
      </w:r>
      <w:r w:rsidR="00010BCB">
        <w:rPr>
          <w:rFonts w:hint="cs"/>
          <w:rtl/>
        </w:rPr>
        <w:t>:</w:t>
      </w:r>
      <w:r w:rsidR="00D012E8" w:rsidRPr="00D012E8">
        <w:rPr>
          <w:rtl/>
        </w:rPr>
        <w:t xml:space="preserve"> </w:t>
      </w:r>
      <w:r w:rsidR="00D012E8">
        <w:rPr>
          <w:rtl/>
        </w:rPr>
        <w:t xml:space="preserve">המוציא הוצאות על נכסי </w:t>
      </w:r>
      <w:r w:rsidR="00D012E8">
        <w:rPr>
          <w:rFonts w:hint="cs"/>
          <w:rtl/>
        </w:rPr>
        <w:t xml:space="preserve">מלוג של </w:t>
      </w:r>
      <w:r w:rsidR="00D012E8">
        <w:rPr>
          <w:rtl/>
        </w:rPr>
        <w:t>אשתו, ומת</w:t>
      </w:r>
      <w:r w:rsidR="00D012E8">
        <w:rPr>
          <w:rFonts w:hint="cs"/>
          <w:rtl/>
        </w:rPr>
        <w:t>.</w:t>
      </w:r>
    </w:p>
    <w:p w14:paraId="488E6E42" w14:textId="621B68AD" w:rsidR="007471CA" w:rsidRDefault="007471CA" w:rsidP="007471CA">
      <w:pPr>
        <w:rPr>
          <w:rtl/>
        </w:rPr>
      </w:pPr>
      <w:r>
        <w:rPr>
          <w:rFonts w:cs="Arial" w:hint="cs"/>
          <w:b/>
          <w:bCs/>
          <w:rtl/>
        </w:rPr>
        <w:t>יבמות</w:t>
      </w:r>
      <w:r>
        <w:rPr>
          <w:rFonts w:cs="Arial" w:hint="cs"/>
          <w:b/>
          <w:bCs/>
          <w:sz w:val="16"/>
          <w:szCs w:val="16"/>
          <w:rtl/>
        </w:rPr>
        <w:t xml:space="preserve"> (ר"פ אלמנה לכה"ג)</w:t>
      </w:r>
      <w:r>
        <w:rPr>
          <w:rFonts w:cs="Arial" w:hint="cs"/>
          <w:b/>
          <w:bCs/>
          <w:rtl/>
        </w:rPr>
        <w:t xml:space="preserve"> סו ע"א: </w:t>
      </w:r>
      <w:r w:rsidRPr="0052467B">
        <w:rPr>
          <w:rFonts w:cs="Arial"/>
          <w:u w:val="double"/>
          <w:rtl/>
        </w:rPr>
        <w:t>מתני'</w:t>
      </w:r>
      <w:r>
        <w:rPr>
          <w:rFonts w:cs="Arial" w:hint="cs"/>
          <w:rtl/>
        </w:rPr>
        <w:t>:</w:t>
      </w:r>
      <w:r w:rsidRPr="0052467B">
        <w:rPr>
          <w:rFonts w:cs="Arial"/>
          <w:rtl/>
        </w:rPr>
        <w:t xml:space="preserve"> אלמנה לכהן גדול</w:t>
      </w:r>
      <w:r>
        <w:rPr>
          <w:rFonts w:cs="Arial" w:hint="cs"/>
          <w:rtl/>
        </w:rPr>
        <w:t>...</w:t>
      </w:r>
      <w:r w:rsidRPr="0052467B">
        <w:rPr>
          <w:rFonts w:cs="Arial"/>
          <w:rtl/>
        </w:rPr>
        <w:t xml:space="preserve"> ואלו הן עבדי צאן ברזל: אם מתו - מתו לו, ואם הותירו - הותירו לו, הואיל והוא חייב באחריותן - הרי אלו יאכלו בתרומה.</w:t>
      </w:r>
      <w:r>
        <w:rPr>
          <w:rFonts w:cs="Arial" w:hint="cs"/>
          <w:rtl/>
        </w:rPr>
        <w:t>..</w:t>
      </w:r>
    </w:p>
    <w:p w14:paraId="189B1A4F" w14:textId="67CE1A28" w:rsidR="00010BCB" w:rsidRPr="00D012E8" w:rsidRDefault="00D012E8" w:rsidP="00010BCB">
      <w:pPr>
        <w:rPr>
          <w:u w:val="single"/>
          <w:rtl/>
        </w:rPr>
      </w:pPr>
      <w:r w:rsidRPr="00D012E8">
        <w:rPr>
          <w:rFonts w:cs="Arial"/>
          <w:u w:val="single"/>
          <w:rtl/>
        </w:rPr>
        <w:t>המוציא הוצאות על נכסי אשתו, ומת</w:t>
      </w:r>
      <w:r w:rsidRPr="00D012E8">
        <w:rPr>
          <w:rFonts w:hint="cs"/>
          <w:u w:val="single"/>
          <w:rtl/>
        </w:rPr>
        <w:t>:</w:t>
      </w:r>
    </w:p>
    <w:p w14:paraId="159D1FB9" w14:textId="29B0F30C" w:rsidR="007471CA" w:rsidRDefault="00F166DA" w:rsidP="009000E3">
      <w:pPr>
        <w:pStyle w:val="ab"/>
        <w:numPr>
          <w:ilvl w:val="0"/>
          <w:numId w:val="52"/>
        </w:numPr>
      </w:pPr>
      <w:r>
        <w:rPr>
          <w:rFonts w:cs="Arial" w:hint="cs"/>
          <w:rtl/>
        </w:rPr>
        <w:t xml:space="preserve">טור- </w:t>
      </w:r>
      <w:r w:rsidRPr="0019164E">
        <w:rPr>
          <w:rFonts w:cs="Arial"/>
          <w:rtl/>
        </w:rPr>
        <w:t>וגבי אלמנה</w:t>
      </w:r>
      <w:r>
        <w:rPr>
          <w:rFonts w:cs="Arial" w:hint="cs"/>
          <w:rtl/>
        </w:rPr>
        <w:t>,</w:t>
      </w:r>
      <w:r w:rsidRPr="0019164E">
        <w:rPr>
          <w:rFonts w:cs="Arial"/>
          <w:rtl/>
        </w:rPr>
        <w:t xml:space="preserve"> אם נתברר שהוציא ולא אכל </w:t>
      </w:r>
      <w:r>
        <w:rPr>
          <w:rFonts w:cs="Arial" w:hint="cs"/>
          <w:rtl/>
        </w:rPr>
        <w:t xml:space="preserve">- </w:t>
      </w:r>
      <w:r w:rsidRPr="0019164E">
        <w:rPr>
          <w:rFonts w:cs="Arial"/>
          <w:rtl/>
        </w:rPr>
        <w:t>יגבו היתומים מה שנתברר שהוציא</w:t>
      </w:r>
      <w:r>
        <w:rPr>
          <w:rFonts w:cs="Arial" w:hint="cs"/>
          <w:rtl/>
        </w:rPr>
        <w:t>.</w:t>
      </w:r>
      <w:r w:rsidRPr="0019164E">
        <w:rPr>
          <w:rFonts w:cs="Arial"/>
          <w:rtl/>
        </w:rPr>
        <w:t xml:space="preserve"> ואם לא נתברר שהוציא</w:t>
      </w:r>
      <w:r>
        <w:rPr>
          <w:rFonts w:cs="Arial" w:hint="cs"/>
          <w:rtl/>
        </w:rPr>
        <w:t>,</w:t>
      </w:r>
      <w:r w:rsidRPr="0019164E">
        <w:rPr>
          <w:rFonts w:cs="Arial"/>
          <w:rtl/>
        </w:rPr>
        <w:t xml:space="preserve"> או הוציא ולא נתברר כמה הוציא </w:t>
      </w:r>
      <w:r>
        <w:rPr>
          <w:rFonts w:cs="Arial" w:hint="cs"/>
          <w:rtl/>
        </w:rPr>
        <w:t xml:space="preserve">- </w:t>
      </w:r>
      <w:r w:rsidRPr="0019164E">
        <w:rPr>
          <w:rFonts w:cs="Arial"/>
          <w:rtl/>
        </w:rPr>
        <w:t>לא יקחו היורשים כלום</w:t>
      </w:r>
      <w:r>
        <w:rPr>
          <w:rFonts w:cs="Arial" w:hint="cs"/>
          <w:rtl/>
        </w:rPr>
        <w:t>,</w:t>
      </w:r>
      <w:r w:rsidRPr="0019164E">
        <w:rPr>
          <w:rFonts w:cs="Arial"/>
          <w:rtl/>
        </w:rPr>
        <w:t xml:space="preserve"> דליתיה לבעל דלישתבע</w:t>
      </w:r>
      <w:r>
        <w:rPr>
          <w:rFonts w:cs="Arial" w:hint="cs"/>
          <w:rtl/>
        </w:rPr>
        <w:t>,</w:t>
      </w:r>
      <w:r w:rsidRPr="0019164E">
        <w:rPr>
          <w:rFonts w:cs="Arial"/>
          <w:rtl/>
        </w:rPr>
        <w:t xml:space="preserve"> ולבעל הוא דתקון רבנן דליהמניה בשבועה ולא ליורשין</w:t>
      </w:r>
      <w:r>
        <w:rPr>
          <w:rFonts w:cs="Arial" w:hint="cs"/>
          <w:rtl/>
        </w:rPr>
        <w:t xml:space="preserve">. </w:t>
      </w:r>
      <w:r w:rsidR="00D012E8" w:rsidRPr="00A6197B">
        <w:rPr>
          <w:rFonts w:hint="cs"/>
          <w:color w:val="E36C0A" w:themeColor="accent6" w:themeShade="BF"/>
          <w:rtl/>
        </w:rPr>
        <w:t>(וכ"</w:t>
      </w:r>
      <w:r w:rsidR="00D012E8">
        <w:rPr>
          <w:rFonts w:hint="cs"/>
          <w:color w:val="E36C0A" w:themeColor="accent6" w:themeShade="BF"/>
          <w:rtl/>
        </w:rPr>
        <w:t>כ</w:t>
      </w:r>
      <w:r w:rsidR="00D012E8" w:rsidRPr="00A6197B">
        <w:rPr>
          <w:rFonts w:hint="cs"/>
          <w:color w:val="E36C0A" w:themeColor="accent6" w:themeShade="BF"/>
          <w:rtl/>
        </w:rPr>
        <w:t xml:space="preserve"> בשו"ע)</w:t>
      </w:r>
    </w:p>
    <w:p w14:paraId="517F0ACD" w14:textId="5B4E937C" w:rsidR="00D012E8" w:rsidRPr="00D012E8" w:rsidRDefault="00D012E8" w:rsidP="00D012E8">
      <w:pPr>
        <w:ind w:left="360"/>
        <w:rPr>
          <w:u w:val="dotted"/>
        </w:rPr>
      </w:pPr>
      <w:r w:rsidRPr="00D012E8">
        <w:rPr>
          <w:rFonts w:hint="cs"/>
          <w:u w:val="dotted"/>
          <w:rtl/>
        </w:rPr>
        <w:t>ומה הדין אם הוציא הוצאות על נכסי צאן ברזל:</w:t>
      </w:r>
    </w:p>
    <w:p w14:paraId="4B042F78" w14:textId="6DA83BA6" w:rsidR="0019164E" w:rsidRPr="0019164E" w:rsidRDefault="007471CA" w:rsidP="009000E3">
      <w:pPr>
        <w:pStyle w:val="ab"/>
        <w:numPr>
          <w:ilvl w:val="0"/>
          <w:numId w:val="52"/>
        </w:numPr>
        <w:rPr>
          <w:rtl/>
        </w:rPr>
      </w:pPr>
      <w:r w:rsidRPr="0019164E">
        <w:rPr>
          <w:rFonts w:cs="Arial"/>
          <w:rtl/>
        </w:rPr>
        <w:t xml:space="preserve">רי"ף </w:t>
      </w:r>
      <w:r w:rsidRPr="007471CA">
        <w:rPr>
          <w:rFonts w:cs="Arial" w:hint="cs"/>
          <w:sz w:val="16"/>
          <w:szCs w:val="16"/>
          <w:rtl/>
        </w:rPr>
        <w:t xml:space="preserve">(פ' האשה שנפלו </w:t>
      </w:r>
      <w:r w:rsidRPr="007471CA">
        <w:rPr>
          <w:rFonts w:cs="Arial"/>
          <w:sz w:val="16"/>
          <w:szCs w:val="16"/>
          <w:rtl/>
        </w:rPr>
        <w:t>לט.</w:t>
      </w:r>
      <w:r w:rsidRPr="007471CA">
        <w:rPr>
          <w:rFonts w:cs="Arial" w:hint="cs"/>
          <w:sz w:val="16"/>
          <w:szCs w:val="16"/>
          <w:rtl/>
        </w:rPr>
        <w:t>)</w:t>
      </w:r>
      <w:r w:rsidRPr="007471CA">
        <w:rPr>
          <w:rFonts w:cs="Arial"/>
          <w:sz w:val="16"/>
          <w:szCs w:val="16"/>
          <w:rtl/>
        </w:rPr>
        <w:t xml:space="preserve"> </w:t>
      </w:r>
      <w:r w:rsidRPr="0019164E">
        <w:rPr>
          <w:rFonts w:cs="Arial"/>
          <w:rtl/>
        </w:rPr>
        <w:t xml:space="preserve">רמב"ם </w:t>
      </w:r>
      <w:r w:rsidRPr="007471CA">
        <w:rPr>
          <w:rFonts w:cs="Arial" w:hint="cs"/>
          <w:sz w:val="16"/>
          <w:szCs w:val="16"/>
          <w:rtl/>
        </w:rPr>
        <w:t>(</w:t>
      </w:r>
      <w:r w:rsidRPr="007471CA">
        <w:rPr>
          <w:rFonts w:cs="Arial"/>
          <w:sz w:val="16"/>
          <w:szCs w:val="16"/>
          <w:rtl/>
        </w:rPr>
        <w:t>פכ"ג מ</w:t>
      </w:r>
      <w:r w:rsidRPr="007471CA">
        <w:rPr>
          <w:rFonts w:cs="Arial" w:hint="cs"/>
          <w:sz w:val="16"/>
          <w:szCs w:val="16"/>
          <w:rtl/>
        </w:rPr>
        <w:t>א</w:t>
      </w:r>
      <w:r w:rsidRPr="007471CA">
        <w:rPr>
          <w:rFonts w:cs="Arial"/>
          <w:sz w:val="16"/>
          <w:szCs w:val="16"/>
          <w:rtl/>
        </w:rPr>
        <w:t>ישות ה"ח)</w:t>
      </w:r>
      <w:r w:rsidRPr="007471CA">
        <w:rPr>
          <w:rFonts w:cs="Arial" w:hint="cs"/>
          <w:sz w:val="16"/>
          <w:szCs w:val="16"/>
          <w:rtl/>
        </w:rPr>
        <w:t xml:space="preserve"> </w:t>
      </w:r>
      <w:r w:rsidRPr="0019164E">
        <w:rPr>
          <w:rFonts w:cs="Arial"/>
          <w:rtl/>
        </w:rPr>
        <w:t xml:space="preserve">רא"ש </w:t>
      </w:r>
      <w:r w:rsidRPr="007471CA">
        <w:rPr>
          <w:rFonts w:cs="Arial" w:hint="cs"/>
          <w:sz w:val="16"/>
          <w:szCs w:val="16"/>
          <w:rtl/>
        </w:rPr>
        <w:t>(פ' האשה שנפלו</w:t>
      </w:r>
      <w:r w:rsidRPr="007471CA">
        <w:rPr>
          <w:rFonts w:cs="Arial"/>
          <w:sz w:val="16"/>
          <w:szCs w:val="16"/>
          <w:rtl/>
        </w:rPr>
        <w:t xml:space="preserve"> סי' ט)</w:t>
      </w:r>
      <w:r w:rsidRPr="007471CA">
        <w:rPr>
          <w:rFonts w:cs="Arial" w:hint="cs"/>
          <w:sz w:val="16"/>
          <w:szCs w:val="16"/>
          <w:rtl/>
        </w:rPr>
        <w:t xml:space="preserve"> </w:t>
      </w:r>
      <w:r>
        <w:rPr>
          <w:rFonts w:cs="Arial" w:hint="cs"/>
          <w:rtl/>
        </w:rPr>
        <w:t xml:space="preserve">וטור- </w:t>
      </w:r>
      <w:r w:rsidR="00DD441A" w:rsidRPr="0019164E">
        <w:rPr>
          <w:rFonts w:cs="Arial"/>
          <w:rtl/>
        </w:rPr>
        <w:t>וכל זה אינו אלא בנכסי מלוג</w:t>
      </w:r>
      <w:r>
        <w:rPr>
          <w:rFonts w:cs="Arial" w:hint="cs"/>
          <w:rtl/>
        </w:rPr>
        <w:t>,</w:t>
      </w:r>
      <w:r w:rsidR="00DD441A" w:rsidRPr="0019164E">
        <w:rPr>
          <w:rFonts w:cs="Arial"/>
          <w:rtl/>
        </w:rPr>
        <w:t xml:space="preserve"> אכל בנכסי צאן ברזל כל שבח ששבחו</w:t>
      </w:r>
      <w:r>
        <w:rPr>
          <w:rFonts w:cs="Arial" w:hint="cs"/>
          <w:rtl/>
        </w:rPr>
        <w:t>,</w:t>
      </w:r>
      <w:r w:rsidR="00DD441A" w:rsidRPr="0019164E">
        <w:rPr>
          <w:rFonts w:cs="Arial"/>
          <w:rtl/>
        </w:rPr>
        <w:t xml:space="preserve"> בין מחמת הוצאה בין שלא מחמת הוצאה </w:t>
      </w:r>
      <w:r>
        <w:rPr>
          <w:rFonts w:cs="Arial" w:hint="cs"/>
          <w:rtl/>
        </w:rPr>
        <w:t xml:space="preserve">- </w:t>
      </w:r>
      <w:r w:rsidR="00DD441A" w:rsidRPr="0019164E">
        <w:rPr>
          <w:rFonts w:cs="Arial"/>
          <w:rtl/>
        </w:rPr>
        <w:t>הכל לבעל מדינא דגמרא</w:t>
      </w:r>
      <w:r w:rsidR="00DD441A">
        <w:rPr>
          <w:rFonts w:cs="Arial" w:hint="cs"/>
          <w:rtl/>
        </w:rPr>
        <w:t>.</w:t>
      </w:r>
      <w:r w:rsidR="00DD441A" w:rsidRPr="0019164E">
        <w:rPr>
          <w:rFonts w:cs="Arial"/>
          <w:rtl/>
        </w:rPr>
        <w:t xml:space="preserve"> </w:t>
      </w:r>
      <w:r w:rsidR="00D012E8" w:rsidRPr="00A6197B">
        <w:rPr>
          <w:rFonts w:hint="cs"/>
          <w:color w:val="E36C0A" w:themeColor="accent6" w:themeShade="BF"/>
          <w:rtl/>
        </w:rPr>
        <w:t>(וכ"פ בשו"ע)</w:t>
      </w:r>
      <w:r w:rsidR="004F6657">
        <w:rPr>
          <w:rFonts w:hint="cs"/>
          <w:rtl/>
        </w:rPr>
        <w:t xml:space="preserve"> </w:t>
      </w:r>
    </w:p>
    <w:p w14:paraId="64B1CF06"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569B3D25" w14:textId="6CFFA554" w:rsidR="007A3469" w:rsidRDefault="007A3469" w:rsidP="007A3469">
      <w:pPr>
        <w:rPr>
          <w:rtl/>
        </w:rPr>
      </w:pPr>
      <w:r>
        <w:rPr>
          <w:rFonts w:cs="Arial"/>
          <w:rtl/>
        </w:rPr>
        <w:t xml:space="preserve">המוציא הוצאות על </w:t>
      </w:r>
      <w:r w:rsidR="00750751">
        <w:rPr>
          <w:rFonts w:cs="Arial"/>
          <w:rtl/>
        </w:rPr>
        <w:t>נכסי מלוג</w:t>
      </w:r>
      <w:r>
        <w:rPr>
          <w:rFonts w:cs="Arial"/>
          <w:rtl/>
        </w:rPr>
        <w:t xml:space="preserve"> של אשתו, ומת, יש מי שאומר שאם נתברר שהוציא ולא אכל, יגבו היתומים מה שנתברר שהוציא</w:t>
      </w:r>
      <w:r w:rsidR="00F166DA">
        <w:rPr>
          <w:rFonts w:cs="Arial" w:hint="cs"/>
          <w:rtl/>
        </w:rPr>
        <w:t>.</w:t>
      </w:r>
      <w:r>
        <w:rPr>
          <w:rFonts w:cs="Arial"/>
          <w:rtl/>
        </w:rPr>
        <w:t xml:space="preserve"> ואם לא נתברר כמה הוציא, לא יטלו היתומים כלום</w:t>
      </w:r>
      <w:r w:rsidR="00D012E8">
        <w:rPr>
          <w:rStyle w:val="a7"/>
          <w:rFonts w:cs="Arial"/>
          <w:rtl/>
        </w:rPr>
        <w:footnoteReference w:id="1154"/>
      </w:r>
      <w:r>
        <w:rPr>
          <w:rFonts w:cs="Arial"/>
          <w:rtl/>
        </w:rPr>
        <w:t xml:space="preserve">. </w:t>
      </w:r>
    </w:p>
    <w:p w14:paraId="52C36CE3" w14:textId="77777777" w:rsidR="00010BCB" w:rsidRDefault="00010BCB" w:rsidP="007A3469">
      <w:pPr>
        <w:rPr>
          <w:rtl/>
        </w:rPr>
      </w:pPr>
    </w:p>
    <w:p w14:paraId="1C859A7F" w14:textId="1BF61478" w:rsidR="007A3469" w:rsidRDefault="007A3469" w:rsidP="000F64D0">
      <w:pPr>
        <w:pStyle w:val="2"/>
        <w:rPr>
          <w:rtl/>
        </w:rPr>
      </w:pPr>
      <w:r>
        <w:rPr>
          <w:rtl/>
        </w:rPr>
        <w:lastRenderedPageBreak/>
        <w:t>סעיף יב</w:t>
      </w:r>
      <w:r w:rsidR="00010BCB">
        <w:rPr>
          <w:rFonts w:hint="cs"/>
          <w:rtl/>
        </w:rPr>
        <w:t>:</w:t>
      </w:r>
      <w:r w:rsidR="00EA64B2" w:rsidRPr="00EA64B2">
        <w:rPr>
          <w:rtl/>
        </w:rPr>
        <w:t xml:space="preserve"> </w:t>
      </w:r>
      <w:r w:rsidR="00EA64B2" w:rsidRPr="0019164E">
        <w:rPr>
          <w:rtl/>
        </w:rPr>
        <w:t>בעל שהוריד אריס בנכסי מלוג של אשתו וג</w:t>
      </w:r>
      <w:r w:rsidR="00EA64B2">
        <w:rPr>
          <w:rFonts w:hint="cs"/>
          <w:rtl/>
        </w:rPr>
        <w:t>י</w:t>
      </w:r>
      <w:r w:rsidR="00EA64B2" w:rsidRPr="0019164E">
        <w:rPr>
          <w:rtl/>
        </w:rPr>
        <w:t>רשה</w:t>
      </w:r>
      <w:r w:rsidR="00EA64B2">
        <w:rPr>
          <w:rFonts w:hint="cs"/>
          <w:rtl/>
        </w:rPr>
        <w:t>.</w:t>
      </w:r>
    </w:p>
    <w:p w14:paraId="1546B89D" w14:textId="24B810D5" w:rsidR="00010BCB" w:rsidRDefault="00EA64B2" w:rsidP="00010BCB">
      <w:pPr>
        <w:rPr>
          <w:rtl/>
        </w:rPr>
      </w:pPr>
      <w:r w:rsidRPr="00B226F6">
        <w:rPr>
          <w:rFonts w:cs="Arial" w:hint="cs"/>
          <w:b/>
          <w:bCs/>
          <w:rtl/>
        </w:rPr>
        <w:t xml:space="preserve">כתובות </w:t>
      </w:r>
      <w:r w:rsidRPr="00B226F6">
        <w:rPr>
          <w:rFonts w:cs="Arial" w:hint="cs"/>
          <w:b/>
          <w:bCs/>
          <w:sz w:val="16"/>
          <w:szCs w:val="16"/>
          <w:rtl/>
        </w:rPr>
        <w:t xml:space="preserve">(פ' האשה שנפלו) </w:t>
      </w:r>
      <w:r>
        <w:rPr>
          <w:rFonts w:cs="Arial" w:hint="cs"/>
          <w:b/>
          <w:bCs/>
          <w:rtl/>
        </w:rPr>
        <w:t>פ</w:t>
      </w:r>
      <w:r w:rsidRPr="00B226F6">
        <w:rPr>
          <w:rFonts w:cs="Arial" w:hint="cs"/>
          <w:b/>
          <w:bCs/>
          <w:rtl/>
        </w:rPr>
        <w:t xml:space="preserve"> ע"</w:t>
      </w:r>
      <w:r>
        <w:rPr>
          <w:rFonts w:cs="Arial" w:hint="cs"/>
          <w:b/>
          <w:bCs/>
          <w:rtl/>
        </w:rPr>
        <w:t>א</w:t>
      </w:r>
      <w:r w:rsidRPr="00B226F6">
        <w:rPr>
          <w:rFonts w:cs="Arial" w:hint="cs"/>
          <w:b/>
          <w:bCs/>
          <w:rtl/>
        </w:rPr>
        <w:t xml:space="preserve">: </w:t>
      </w:r>
      <w:r w:rsidRPr="00EA64B2">
        <w:rPr>
          <w:rFonts w:cs="Arial"/>
          <w:rtl/>
        </w:rPr>
        <w:t>איבעיא להו: בעל שהוריד אריסין</w:t>
      </w:r>
      <w:r w:rsidR="00E90A10">
        <w:rPr>
          <w:rStyle w:val="a7"/>
          <w:rFonts w:cs="Arial"/>
          <w:rtl/>
        </w:rPr>
        <w:footnoteReference w:id="1155"/>
      </w:r>
      <w:r w:rsidRPr="00EA64B2">
        <w:rPr>
          <w:rFonts w:cs="Arial"/>
          <w:rtl/>
        </w:rPr>
        <w:t xml:space="preserve"> תחתיו, מהו</w:t>
      </w:r>
      <w:r w:rsidR="00E90A10">
        <w:rPr>
          <w:rStyle w:val="a7"/>
          <w:rFonts w:cs="Arial"/>
          <w:rtl/>
        </w:rPr>
        <w:footnoteReference w:id="1156"/>
      </w:r>
      <w:r w:rsidRPr="00EA64B2">
        <w:rPr>
          <w:rFonts w:cs="Arial"/>
          <w:rtl/>
        </w:rPr>
        <w:t>? אדעתא דבעל נחית</w:t>
      </w:r>
      <w:r w:rsidR="00E90A10">
        <w:rPr>
          <w:rStyle w:val="a7"/>
          <w:rFonts w:cs="Arial"/>
          <w:rtl/>
        </w:rPr>
        <w:footnoteReference w:id="1157"/>
      </w:r>
      <w:r w:rsidRPr="00EA64B2">
        <w:rPr>
          <w:rFonts w:cs="Arial"/>
          <w:rtl/>
        </w:rPr>
        <w:t>, איסתליק ליה בעל איסתליקו להו, או דלמא אדעתא דארעא נחית, וארעא כי קיימא - לאריסי קיימא</w:t>
      </w:r>
      <w:r w:rsidR="00E90A10">
        <w:rPr>
          <w:rStyle w:val="a7"/>
          <w:rFonts w:cs="Arial"/>
          <w:rtl/>
        </w:rPr>
        <w:footnoteReference w:id="1158"/>
      </w:r>
      <w:r w:rsidRPr="00EA64B2">
        <w:rPr>
          <w:rFonts w:cs="Arial"/>
          <w:rtl/>
        </w:rPr>
        <w:t xml:space="preserve">? </w:t>
      </w:r>
      <w:r w:rsidRPr="00EA64B2">
        <w:rPr>
          <w:rFonts w:cs="Arial"/>
          <w:u w:val="single"/>
          <w:rtl/>
        </w:rPr>
        <w:t>מתקיף לה רבא בר רב חנן</w:t>
      </w:r>
      <w:r w:rsidRPr="00EA64B2">
        <w:rPr>
          <w:rFonts w:cs="Arial"/>
          <w:rtl/>
        </w:rPr>
        <w:t>: מ"ש מהיורד לתוך שדה חבירו ונטעה שלא ברשות, שמין לו וידו על התחתונה</w:t>
      </w:r>
      <w:r w:rsidR="00E90A10">
        <w:rPr>
          <w:rStyle w:val="a7"/>
          <w:rFonts w:cs="Arial"/>
          <w:rtl/>
        </w:rPr>
        <w:footnoteReference w:id="1159"/>
      </w:r>
      <w:r w:rsidRPr="00EA64B2">
        <w:rPr>
          <w:rFonts w:cs="Arial"/>
          <w:rtl/>
        </w:rPr>
        <w:t>? התם ליכא איניש דטרח</w:t>
      </w:r>
      <w:r w:rsidR="00E90A10">
        <w:rPr>
          <w:rStyle w:val="a7"/>
          <w:rFonts w:cs="Arial"/>
          <w:rtl/>
        </w:rPr>
        <w:footnoteReference w:id="1160"/>
      </w:r>
      <w:r w:rsidRPr="00EA64B2">
        <w:rPr>
          <w:rFonts w:cs="Arial"/>
          <w:rtl/>
        </w:rPr>
        <w:t>, הכא איכא בעל</w:t>
      </w:r>
      <w:r w:rsidR="00E90A10">
        <w:rPr>
          <w:rStyle w:val="a7"/>
          <w:rFonts w:cs="Arial"/>
          <w:rtl/>
        </w:rPr>
        <w:footnoteReference w:id="1161"/>
      </w:r>
      <w:r w:rsidRPr="00EA64B2">
        <w:rPr>
          <w:rFonts w:cs="Arial"/>
          <w:rtl/>
        </w:rPr>
        <w:t xml:space="preserve"> דטרח. מאי הוי עלה? </w:t>
      </w:r>
      <w:r w:rsidRPr="00EA64B2">
        <w:rPr>
          <w:rFonts w:cs="Arial"/>
          <w:u w:val="single"/>
          <w:rtl/>
        </w:rPr>
        <w:t>אמר רב הונא בריה דרב יהושע</w:t>
      </w:r>
      <w:r w:rsidRPr="00EA64B2">
        <w:rPr>
          <w:rFonts w:cs="Arial"/>
          <w:rtl/>
        </w:rPr>
        <w:t>: חזינן, אי בעל אריס הוא</w:t>
      </w:r>
      <w:r w:rsidR="00E90A10">
        <w:rPr>
          <w:rStyle w:val="a7"/>
          <w:rFonts w:cs="Arial"/>
          <w:rtl/>
        </w:rPr>
        <w:footnoteReference w:id="1162"/>
      </w:r>
      <w:r w:rsidRPr="00EA64B2">
        <w:rPr>
          <w:rFonts w:cs="Arial"/>
          <w:rtl/>
        </w:rPr>
        <w:t>, איסתלק ליה</w:t>
      </w:r>
      <w:r w:rsidR="00E90A10">
        <w:rPr>
          <w:rStyle w:val="a7"/>
          <w:rFonts w:cs="Arial"/>
          <w:rtl/>
        </w:rPr>
        <w:footnoteReference w:id="1163"/>
      </w:r>
      <w:r w:rsidRPr="00EA64B2">
        <w:rPr>
          <w:rFonts w:cs="Arial"/>
          <w:rtl/>
        </w:rPr>
        <w:t xml:space="preserve"> בעל אסתלקו להו, אי בעל לאו אריס הוא, ארעא לאריסי קיימא. </w:t>
      </w:r>
    </w:p>
    <w:p w14:paraId="27CA9F49" w14:textId="6F774823" w:rsidR="00EA64B2" w:rsidRPr="00EA64B2" w:rsidRDefault="00EA64B2" w:rsidP="00010BCB">
      <w:pPr>
        <w:rPr>
          <w:u w:val="single"/>
          <w:rtl/>
        </w:rPr>
      </w:pPr>
      <w:r w:rsidRPr="00EA64B2">
        <w:rPr>
          <w:rFonts w:cs="Arial"/>
          <w:u w:val="single"/>
          <w:rtl/>
        </w:rPr>
        <w:t>בעל שהוריד אריס בנכסי מלוג של אשתו וג</w:t>
      </w:r>
      <w:r w:rsidRPr="00EA64B2">
        <w:rPr>
          <w:rFonts w:cs="Arial" w:hint="cs"/>
          <w:u w:val="single"/>
          <w:rtl/>
        </w:rPr>
        <w:t>י</w:t>
      </w:r>
      <w:r w:rsidRPr="00EA64B2">
        <w:rPr>
          <w:rFonts w:cs="Arial"/>
          <w:u w:val="single"/>
          <w:rtl/>
        </w:rPr>
        <w:t>רשה</w:t>
      </w:r>
      <w:r w:rsidRPr="00EA64B2">
        <w:rPr>
          <w:rFonts w:hint="cs"/>
          <w:u w:val="single"/>
          <w:rtl/>
        </w:rPr>
        <w:t>:</w:t>
      </w:r>
    </w:p>
    <w:p w14:paraId="6EC99679" w14:textId="77777777" w:rsidR="00A6578B" w:rsidRPr="0019164E" w:rsidRDefault="00A6578B" w:rsidP="009000E3">
      <w:pPr>
        <w:pStyle w:val="ab"/>
        <w:numPr>
          <w:ilvl w:val="0"/>
          <w:numId w:val="52"/>
        </w:numPr>
        <w:rPr>
          <w:rtl/>
        </w:rPr>
      </w:pPr>
      <w:r w:rsidRPr="001A134B">
        <w:rPr>
          <w:rFonts w:cs="Arial"/>
          <w:rtl/>
        </w:rPr>
        <w:t xml:space="preserve">רמב"ם </w:t>
      </w:r>
      <w:r w:rsidRPr="001A134B">
        <w:rPr>
          <w:rFonts w:cs="Arial" w:hint="cs"/>
          <w:sz w:val="16"/>
          <w:szCs w:val="16"/>
          <w:rtl/>
        </w:rPr>
        <w:t>(</w:t>
      </w:r>
      <w:r w:rsidRPr="001A134B">
        <w:rPr>
          <w:rFonts w:cs="Arial"/>
          <w:sz w:val="16"/>
          <w:szCs w:val="16"/>
          <w:rtl/>
        </w:rPr>
        <w:t>פ"י מ</w:t>
      </w:r>
      <w:r w:rsidRPr="001A134B">
        <w:rPr>
          <w:rFonts w:cs="Arial" w:hint="cs"/>
          <w:sz w:val="16"/>
          <w:szCs w:val="16"/>
          <w:rtl/>
        </w:rPr>
        <w:t>ג</w:t>
      </w:r>
      <w:r w:rsidRPr="001A134B">
        <w:rPr>
          <w:rFonts w:cs="Arial"/>
          <w:sz w:val="16"/>
          <w:szCs w:val="16"/>
          <w:rtl/>
        </w:rPr>
        <w:t>זילה הי"ב)</w:t>
      </w:r>
      <w:r w:rsidRPr="001A134B">
        <w:rPr>
          <w:rFonts w:cs="Arial" w:hint="cs"/>
          <w:rtl/>
        </w:rPr>
        <w:t xml:space="preserve">- </w:t>
      </w:r>
      <w:r w:rsidRPr="001A134B">
        <w:rPr>
          <w:rFonts w:cs="Arial"/>
          <w:rtl/>
        </w:rPr>
        <w:t>בעל שהוריד אריסין בנכסי אשתו ואחר כך גירשה</w:t>
      </w:r>
      <w:r>
        <w:rPr>
          <w:rFonts w:cs="Arial" w:hint="cs"/>
          <w:rtl/>
        </w:rPr>
        <w:t>,</w:t>
      </w:r>
      <w:r w:rsidRPr="001A134B">
        <w:rPr>
          <w:rFonts w:cs="Arial"/>
          <w:rtl/>
        </w:rPr>
        <w:t xml:space="preserve"> אם הבעל עצמו אריס נסתלק בעל נסתלקו</w:t>
      </w:r>
      <w:r>
        <w:rPr>
          <w:rFonts w:cs="Arial" w:hint="cs"/>
          <w:rtl/>
        </w:rPr>
        <w:t>,</w:t>
      </w:r>
      <w:r w:rsidRPr="001A134B">
        <w:rPr>
          <w:rFonts w:cs="Arial"/>
          <w:rtl/>
        </w:rPr>
        <w:t xml:space="preserve"> שלא ירדו לה אלא על דעת הבעל</w:t>
      </w:r>
      <w:r>
        <w:rPr>
          <w:rFonts w:cs="Arial" w:hint="cs"/>
          <w:rtl/>
        </w:rPr>
        <w:t>,</w:t>
      </w:r>
      <w:r w:rsidRPr="001A134B">
        <w:rPr>
          <w:rFonts w:cs="Arial"/>
          <w:rtl/>
        </w:rPr>
        <w:t xml:space="preserve"> ושמין להם וידם על התחתונה</w:t>
      </w:r>
      <w:r>
        <w:rPr>
          <w:rFonts w:cs="Arial" w:hint="cs"/>
          <w:rtl/>
        </w:rPr>
        <w:t>.</w:t>
      </w:r>
      <w:r w:rsidRPr="001A134B">
        <w:rPr>
          <w:rFonts w:cs="Arial"/>
          <w:rtl/>
        </w:rPr>
        <w:t xml:space="preserve"> ואם אין הבעל אריס</w:t>
      </w:r>
      <w:r>
        <w:rPr>
          <w:rFonts w:cs="Arial" w:hint="cs"/>
          <w:rtl/>
        </w:rPr>
        <w:t>,</w:t>
      </w:r>
      <w:r w:rsidRPr="001A134B">
        <w:rPr>
          <w:rFonts w:cs="Arial"/>
          <w:rtl/>
        </w:rPr>
        <w:t xml:space="preserve"> על דעת הקרקע ירדו ושמין להם כאריס</w:t>
      </w:r>
      <w:r>
        <w:rPr>
          <w:rFonts w:hint="cs"/>
          <w:rtl/>
        </w:rPr>
        <w:t>.</w:t>
      </w:r>
      <w:r w:rsidRPr="001A134B">
        <w:rPr>
          <w:rFonts w:hint="cs"/>
          <w:color w:val="E36C0A" w:themeColor="accent6" w:themeShade="BF"/>
          <w:rtl/>
        </w:rPr>
        <w:t xml:space="preserve"> </w:t>
      </w:r>
      <w:r w:rsidRPr="00A6197B">
        <w:rPr>
          <w:rFonts w:hint="cs"/>
          <w:color w:val="E36C0A" w:themeColor="accent6" w:themeShade="BF"/>
          <w:rtl/>
        </w:rPr>
        <w:t>(וכ"פ בשו"ע)</w:t>
      </w:r>
    </w:p>
    <w:p w14:paraId="0B715CBA" w14:textId="31D8A679" w:rsidR="001A134B" w:rsidRPr="001A134B" w:rsidRDefault="001A134B" w:rsidP="009000E3">
      <w:pPr>
        <w:pStyle w:val="ab"/>
        <w:numPr>
          <w:ilvl w:val="0"/>
          <w:numId w:val="52"/>
        </w:numPr>
      </w:pPr>
      <w:r w:rsidRPr="0018560D">
        <w:rPr>
          <w:rFonts w:cs="Arial"/>
          <w:rtl/>
        </w:rPr>
        <w:t>רא"ש</w:t>
      </w:r>
      <w:r>
        <w:rPr>
          <w:rStyle w:val="a7"/>
          <w:rFonts w:cs="Arial"/>
          <w:rtl/>
        </w:rPr>
        <w:footnoteReference w:id="1164"/>
      </w:r>
      <w:r w:rsidRPr="0018560D">
        <w:rPr>
          <w:rFonts w:cs="Arial"/>
          <w:rtl/>
        </w:rPr>
        <w:t xml:space="preserve"> </w:t>
      </w:r>
      <w:r w:rsidRPr="001A134B">
        <w:rPr>
          <w:rFonts w:cs="Arial"/>
          <w:sz w:val="16"/>
          <w:szCs w:val="16"/>
          <w:rtl/>
        </w:rPr>
        <w:t>(סי' י)</w:t>
      </w:r>
      <w:r>
        <w:rPr>
          <w:rFonts w:cs="Arial" w:hint="cs"/>
          <w:rtl/>
        </w:rPr>
        <w:t xml:space="preserve"> ו</w:t>
      </w:r>
      <w:r w:rsidR="00DD441A">
        <w:rPr>
          <w:rFonts w:cs="Arial" w:hint="cs"/>
          <w:rtl/>
        </w:rPr>
        <w:t xml:space="preserve">טור- </w:t>
      </w:r>
      <w:r w:rsidR="00DD441A" w:rsidRPr="0019164E">
        <w:rPr>
          <w:rFonts w:cs="Arial"/>
          <w:rtl/>
        </w:rPr>
        <w:t>בעל שהוריד אריס בנכסי מלוג של אשתו</w:t>
      </w:r>
      <w:r w:rsidR="00A12268">
        <w:rPr>
          <w:rFonts w:cs="Arial" w:hint="cs"/>
          <w:rtl/>
        </w:rPr>
        <w:t>,</w:t>
      </w:r>
      <w:r w:rsidR="00DD441A" w:rsidRPr="0019164E">
        <w:rPr>
          <w:rFonts w:cs="Arial"/>
          <w:rtl/>
        </w:rPr>
        <w:t xml:space="preserve"> ומגרשה אחר שעבד אותה קודם שיטול חלקו</w:t>
      </w:r>
      <w:r w:rsidR="00A12268">
        <w:rPr>
          <w:rFonts w:cs="Arial" w:hint="cs"/>
          <w:rtl/>
        </w:rPr>
        <w:t>.</w:t>
      </w:r>
      <w:r w:rsidR="00DD441A" w:rsidRPr="0019164E">
        <w:rPr>
          <w:rFonts w:cs="Arial"/>
          <w:rtl/>
        </w:rPr>
        <w:t xml:space="preserve"> אם לא היה יודע שהשדה של האשה </w:t>
      </w:r>
      <w:r w:rsidR="00A12268">
        <w:rPr>
          <w:rFonts w:cs="Arial" w:hint="cs"/>
          <w:rtl/>
        </w:rPr>
        <w:t xml:space="preserve">- </w:t>
      </w:r>
      <w:r w:rsidR="00DD441A" w:rsidRPr="0019164E">
        <w:rPr>
          <w:rFonts w:cs="Arial"/>
          <w:rtl/>
        </w:rPr>
        <w:t>נוטל אריסותו משלם</w:t>
      </w:r>
      <w:r w:rsidR="00A12268">
        <w:rPr>
          <w:rFonts w:cs="Arial" w:hint="cs"/>
          <w:rtl/>
        </w:rPr>
        <w:t>.</w:t>
      </w:r>
      <w:r w:rsidR="00DD441A" w:rsidRPr="0019164E">
        <w:rPr>
          <w:rFonts w:cs="Arial"/>
          <w:rtl/>
        </w:rPr>
        <w:t xml:space="preserve"> ואם יודע שהוא של האשה</w:t>
      </w:r>
      <w:r w:rsidR="00A12268">
        <w:rPr>
          <w:rFonts w:cs="Arial" w:hint="cs"/>
          <w:rtl/>
        </w:rPr>
        <w:t>,</w:t>
      </w:r>
      <w:r w:rsidR="00DD441A" w:rsidRPr="0019164E">
        <w:rPr>
          <w:rFonts w:cs="Arial"/>
          <w:rtl/>
        </w:rPr>
        <w:t xml:space="preserve"> רואין</w:t>
      </w:r>
      <w:r w:rsidR="00A12268">
        <w:rPr>
          <w:rFonts w:cs="Arial" w:hint="cs"/>
          <w:rtl/>
        </w:rPr>
        <w:t>,</w:t>
      </w:r>
      <w:r w:rsidR="00DD441A" w:rsidRPr="0019164E">
        <w:rPr>
          <w:rFonts w:cs="Arial"/>
          <w:rtl/>
        </w:rPr>
        <w:t xml:space="preserve"> אם הבעל אינו יודע בטיב השדה לעבדו</w:t>
      </w:r>
      <w:r w:rsidR="00A12268">
        <w:rPr>
          <w:rFonts w:cs="Arial" w:hint="cs"/>
          <w:rtl/>
        </w:rPr>
        <w:t xml:space="preserve">, </w:t>
      </w:r>
      <w:r w:rsidR="00DD441A" w:rsidRPr="0019164E">
        <w:rPr>
          <w:rFonts w:cs="Arial"/>
          <w:rtl/>
        </w:rPr>
        <w:t xml:space="preserve">אז היה השדה עומד להעמיד בה אריס </w:t>
      </w:r>
      <w:r w:rsidR="00A12268">
        <w:rPr>
          <w:rFonts w:cs="Arial" w:hint="cs"/>
          <w:rtl/>
        </w:rPr>
        <w:t xml:space="preserve">- </w:t>
      </w:r>
      <w:r w:rsidR="00DD441A" w:rsidRPr="0019164E">
        <w:rPr>
          <w:rFonts w:cs="Arial"/>
          <w:rtl/>
        </w:rPr>
        <w:t>ונוטל אריסותו משלם</w:t>
      </w:r>
      <w:r w:rsidR="00A12268">
        <w:rPr>
          <w:rFonts w:cs="Arial" w:hint="cs"/>
          <w:rtl/>
        </w:rPr>
        <w:t>.</w:t>
      </w:r>
      <w:r w:rsidR="00DD441A" w:rsidRPr="0019164E">
        <w:rPr>
          <w:rFonts w:cs="Arial"/>
          <w:rtl/>
        </w:rPr>
        <w:t xml:space="preserve"> ואם הבעל יודע בטיב השדה</w:t>
      </w:r>
      <w:r w:rsidR="00A12268">
        <w:rPr>
          <w:rFonts w:cs="Arial" w:hint="cs"/>
          <w:rtl/>
        </w:rPr>
        <w:t>,</w:t>
      </w:r>
      <w:r w:rsidR="00DD441A" w:rsidRPr="0019164E">
        <w:rPr>
          <w:rFonts w:cs="Arial"/>
          <w:rtl/>
        </w:rPr>
        <w:t xml:space="preserve"> יכולה היא לומר לאריס אף אם לא ירדת בה היה הוא עובדה ולא אתן לך כלום</w:t>
      </w:r>
      <w:r w:rsidR="00A12268">
        <w:rPr>
          <w:rFonts w:cs="Arial" w:hint="cs"/>
          <w:rtl/>
        </w:rPr>
        <w:t xml:space="preserve"> -</w:t>
      </w:r>
      <w:r w:rsidR="00DD441A" w:rsidRPr="0019164E">
        <w:rPr>
          <w:rFonts w:cs="Arial"/>
          <w:rtl/>
        </w:rPr>
        <w:t xml:space="preserve"> ודינו כדין הבעל שהוציא ולא אכל</w:t>
      </w:r>
      <w:r w:rsidR="00A12268">
        <w:rPr>
          <w:rFonts w:cs="Arial" w:hint="cs"/>
          <w:rtl/>
        </w:rPr>
        <w:t>.</w:t>
      </w:r>
      <w:r w:rsidR="00DD441A" w:rsidRPr="0019164E">
        <w:rPr>
          <w:rFonts w:cs="Arial"/>
          <w:rtl/>
        </w:rPr>
        <w:t xml:space="preserve"> וגם הבעל לא יתן לו כלום</w:t>
      </w:r>
      <w:r w:rsidR="00A12268">
        <w:rPr>
          <w:rFonts w:cs="Arial" w:hint="cs"/>
          <w:rtl/>
        </w:rPr>
        <w:t>,</w:t>
      </w:r>
      <w:r w:rsidR="00DD441A" w:rsidRPr="0019164E">
        <w:rPr>
          <w:rFonts w:cs="Arial"/>
          <w:rtl/>
        </w:rPr>
        <w:t xml:space="preserve"> כיון שידע שהיה של האשה ולא התנה</w:t>
      </w:r>
      <w:r w:rsidR="00A12268">
        <w:rPr>
          <w:rFonts w:cs="Arial" w:hint="cs"/>
          <w:rtl/>
        </w:rPr>
        <w:t>,</w:t>
      </w:r>
      <w:r w:rsidR="00DD441A" w:rsidRPr="0019164E">
        <w:rPr>
          <w:rFonts w:cs="Arial"/>
          <w:rtl/>
        </w:rPr>
        <w:t xml:space="preserve"> א"כ אדעתא דהכי נכנס שיסתלק כשיסתלק הבעל</w:t>
      </w:r>
      <w:r w:rsidR="00A12268">
        <w:rPr>
          <w:rFonts w:cs="Arial" w:hint="cs"/>
          <w:rtl/>
        </w:rPr>
        <w:t>.</w:t>
      </w:r>
      <w:r>
        <w:rPr>
          <w:rFonts w:hint="cs"/>
          <w:rtl/>
        </w:rPr>
        <w:t xml:space="preserve"> </w:t>
      </w:r>
      <w:r w:rsidRPr="001A134B">
        <w:rPr>
          <w:rFonts w:hint="cs"/>
          <w:color w:val="00B0F0"/>
          <w:rtl/>
        </w:rPr>
        <w:t>(וכ"</w:t>
      </w:r>
      <w:r>
        <w:rPr>
          <w:rFonts w:hint="cs"/>
          <w:color w:val="00B0F0"/>
          <w:rtl/>
        </w:rPr>
        <w:t>כ</w:t>
      </w:r>
      <w:r w:rsidRPr="001A134B">
        <w:rPr>
          <w:rFonts w:hint="cs"/>
          <w:color w:val="00B0F0"/>
          <w:rtl/>
        </w:rPr>
        <w:t xml:space="preserve"> הרמ"א)</w:t>
      </w:r>
    </w:p>
    <w:p w14:paraId="145FF7F8"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6C8863EA" w14:textId="586B10FD" w:rsidR="007A3469" w:rsidRPr="007A3469" w:rsidRDefault="007A3469" w:rsidP="007A3469">
      <w:pPr>
        <w:rPr>
          <w:rtl/>
        </w:rPr>
        <w:sectPr w:rsidR="007A3469" w:rsidRPr="007A3469" w:rsidSect="00A347B3">
          <w:headerReference w:type="default" r:id="rId31"/>
          <w:footnotePr>
            <w:numRestart w:val="eachSect"/>
          </w:footnotePr>
          <w:pgSz w:w="11906" w:h="16838"/>
          <w:pgMar w:top="720" w:right="1134" w:bottom="720" w:left="1134" w:header="0" w:footer="0" w:gutter="0"/>
          <w:cols w:space="720"/>
          <w:bidi/>
          <w:rtlGutter/>
          <w:docGrid w:linePitch="360"/>
        </w:sectPr>
      </w:pPr>
      <w:r>
        <w:rPr>
          <w:rFonts w:cs="Arial"/>
          <w:rtl/>
        </w:rPr>
        <w:t>בעל שהוריד אריסין בנכסי אשתו ואח</w:t>
      </w:r>
      <w:r w:rsidR="001A134B">
        <w:rPr>
          <w:rFonts w:cs="Arial" w:hint="cs"/>
          <w:rtl/>
        </w:rPr>
        <w:t xml:space="preserve">ר </w:t>
      </w:r>
      <w:r>
        <w:rPr>
          <w:rFonts w:cs="Arial"/>
          <w:rtl/>
        </w:rPr>
        <w:t>כ</w:t>
      </w:r>
      <w:r w:rsidR="001A134B">
        <w:rPr>
          <w:rFonts w:cs="Arial" w:hint="cs"/>
          <w:rtl/>
        </w:rPr>
        <w:t>ך</w:t>
      </w:r>
      <w:r>
        <w:rPr>
          <w:rFonts w:cs="Arial"/>
          <w:rtl/>
        </w:rPr>
        <w:t xml:space="preserve"> גירשה, אם הבעל עצמו אריס, נסתלק הבעל, נסתלקו, שלא ירדו אלא על דעת הבעל, ושמין להם וידם על התחתונה</w:t>
      </w:r>
      <w:r w:rsidR="00A57803">
        <w:rPr>
          <w:rStyle w:val="a7"/>
          <w:rFonts w:cs="Arial"/>
          <w:rtl/>
        </w:rPr>
        <w:footnoteReference w:id="1165"/>
      </w:r>
      <w:r>
        <w:rPr>
          <w:rFonts w:cs="Arial"/>
          <w:rtl/>
        </w:rPr>
        <w:t xml:space="preserve">. ואם אין הבעל אריס, על דעת הקרקע ירדו, ושמין להם כאריס. </w:t>
      </w:r>
      <w:r w:rsidRPr="0011307A">
        <w:rPr>
          <w:rFonts w:cs="Arial"/>
          <w:sz w:val="18"/>
          <w:szCs w:val="18"/>
          <w:rtl/>
        </w:rPr>
        <w:t>הגה: וי"א דהיינו דוקא כשידעו שהשדה של אשה, אבל אם לא היו יודעים האריסין שהוא של אשה, נוטלין אריסותיהן בכל ענין</w:t>
      </w:r>
      <w:r w:rsidR="00A57803">
        <w:rPr>
          <w:rStyle w:val="a7"/>
          <w:rFonts w:cs="Arial"/>
          <w:sz w:val="18"/>
          <w:szCs w:val="18"/>
          <w:rtl/>
        </w:rPr>
        <w:footnoteReference w:id="1166"/>
      </w:r>
      <w:r w:rsidRPr="0011307A">
        <w:rPr>
          <w:rFonts w:cs="Arial"/>
          <w:sz w:val="18"/>
          <w:szCs w:val="18"/>
          <w:rtl/>
        </w:rPr>
        <w:t xml:space="preserve"> (</w:t>
      </w:r>
      <w:r w:rsidR="001A134B">
        <w:rPr>
          <w:rFonts w:cs="Arial" w:hint="cs"/>
          <w:sz w:val="18"/>
          <w:szCs w:val="18"/>
          <w:rtl/>
        </w:rPr>
        <w:t>טור, וכ"מ ברא"ש)</w:t>
      </w:r>
      <w:r w:rsidRPr="0011307A">
        <w:rPr>
          <w:rFonts w:cs="Arial"/>
          <w:sz w:val="18"/>
          <w:szCs w:val="18"/>
          <w:rtl/>
        </w:rPr>
        <w:t>.</w:t>
      </w:r>
    </w:p>
    <w:p w14:paraId="534BCAE3" w14:textId="68CBB91D" w:rsidR="007A3469" w:rsidRDefault="00DB717C" w:rsidP="007A3469">
      <w:pPr>
        <w:pStyle w:val="1"/>
        <w:rPr>
          <w:rtl/>
        </w:rPr>
      </w:pPr>
      <w:r>
        <w:rPr>
          <w:rFonts w:hint="cs"/>
          <w:rtl/>
        </w:rPr>
        <w:lastRenderedPageBreak/>
        <w:t>סימן פט:</w:t>
      </w:r>
      <w:r w:rsidRPr="00C12B74">
        <w:rPr>
          <w:rtl/>
        </w:rPr>
        <w:t xml:space="preserve"> </w:t>
      </w:r>
      <w:r w:rsidR="007A3469">
        <w:rPr>
          <w:rFonts w:cs="Arial"/>
          <w:rtl/>
        </w:rPr>
        <w:t xml:space="preserve">חיוב קבורת אשתו, ובו ד' סעיפים. </w:t>
      </w:r>
    </w:p>
    <w:p w14:paraId="1DB353CA" w14:textId="4DBCD5CB" w:rsidR="007A3469" w:rsidRDefault="007A3469" w:rsidP="000F64D0">
      <w:pPr>
        <w:pStyle w:val="2"/>
        <w:rPr>
          <w:rtl/>
        </w:rPr>
      </w:pPr>
      <w:r>
        <w:rPr>
          <w:rtl/>
        </w:rPr>
        <w:t>סעיף א</w:t>
      </w:r>
      <w:r w:rsidR="00E57B71">
        <w:rPr>
          <w:rFonts w:hint="cs"/>
          <w:rtl/>
        </w:rPr>
        <w:t>:</w:t>
      </w:r>
      <w:r w:rsidR="00C61DC9" w:rsidRPr="00C61DC9">
        <w:rPr>
          <w:rtl/>
        </w:rPr>
        <w:t xml:space="preserve"> </w:t>
      </w:r>
      <w:r w:rsidR="00C61DC9">
        <w:rPr>
          <w:rtl/>
        </w:rPr>
        <w:t>חיוב קבורת אשתו</w:t>
      </w:r>
      <w:r w:rsidR="00C61DC9">
        <w:rPr>
          <w:rFonts w:hint="cs"/>
          <w:rtl/>
        </w:rPr>
        <w:t>.</w:t>
      </w:r>
    </w:p>
    <w:p w14:paraId="0014DAC3" w14:textId="3F0B8317" w:rsidR="00FB639E" w:rsidRPr="00FB639E" w:rsidRDefault="00FB639E" w:rsidP="00FB639E">
      <w:pPr>
        <w:rPr>
          <w:rFonts w:cs="Arial"/>
          <w:u w:val="double"/>
          <w:rtl/>
        </w:rPr>
      </w:pPr>
      <w:r w:rsidRPr="00AB0AB9">
        <w:rPr>
          <w:rFonts w:cs="Arial" w:hint="cs"/>
          <w:b/>
          <w:bCs/>
          <w:rtl/>
        </w:rPr>
        <w:t>כתובות</w:t>
      </w:r>
      <w:r>
        <w:rPr>
          <w:rFonts w:cs="Arial" w:hint="cs"/>
          <w:b/>
          <w:bCs/>
          <w:rtl/>
        </w:rPr>
        <w:t xml:space="preserve"> </w:t>
      </w:r>
      <w:r>
        <w:rPr>
          <w:rFonts w:cs="Arial" w:hint="cs"/>
          <w:b/>
          <w:bCs/>
          <w:sz w:val="16"/>
          <w:szCs w:val="16"/>
          <w:rtl/>
        </w:rPr>
        <w:t>(פ' נערה שנתפתתה)</w:t>
      </w:r>
      <w:r w:rsidRPr="00AB0AB9">
        <w:rPr>
          <w:rFonts w:cs="Arial" w:hint="cs"/>
          <w:b/>
          <w:bCs/>
          <w:rtl/>
        </w:rPr>
        <w:t xml:space="preserve"> מ</w:t>
      </w:r>
      <w:r>
        <w:rPr>
          <w:rFonts w:cs="Arial" w:hint="cs"/>
          <w:b/>
          <w:bCs/>
          <w:rtl/>
        </w:rPr>
        <w:t>ו</w:t>
      </w:r>
      <w:r w:rsidR="00442918">
        <w:rPr>
          <w:rStyle w:val="a7"/>
          <w:rFonts w:cs="Arial"/>
          <w:b/>
          <w:bCs/>
          <w:rtl/>
        </w:rPr>
        <w:footnoteReference w:id="1167"/>
      </w:r>
      <w:r w:rsidRPr="00AB0AB9">
        <w:rPr>
          <w:rFonts w:cs="Arial" w:hint="cs"/>
          <w:b/>
          <w:bCs/>
          <w:rtl/>
        </w:rPr>
        <w:t xml:space="preserve"> ע"ב: </w:t>
      </w:r>
      <w:r w:rsidRPr="00AB0AB9">
        <w:rPr>
          <w:rFonts w:cs="Arial"/>
          <w:u w:val="double"/>
          <w:rtl/>
        </w:rPr>
        <w:t>מתני'</w:t>
      </w:r>
      <w:r>
        <w:rPr>
          <w:rFonts w:cs="Arial" w:hint="cs"/>
          <w:rtl/>
        </w:rPr>
        <w:t>:...</w:t>
      </w:r>
      <w:r w:rsidRPr="00AB0AB9">
        <w:rPr>
          <w:rFonts w:cs="Arial"/>
          <w:rtl/>
        </w:rPr>
        <w:t xml:space="preserve"> נשאת, יתר עליו הבעל שאוכל פירות בחייה, וחייב במזונותיה, ובפרקונה, וקבורתה</w:t>
      </w:r>
      <w:r>
        <w:rPr>
          <w:rFonts w:cs="Arial" w:hint="cs"/>
          <w:rtl/>
        </w:rPr>
        <w:t>.</w:t>
      </w:r>
      <w:r w:rsidRPr="00AB0AB9">
        <w:rPr>
          <w:rFonts w:cs="Arial"/>
          <w:rtl/>
        </w:rPr>
        <w:t xml:space="preserve"> </w:t>
      </w:r>
      <w:r w:rsidRPr="00AB0AB9">
        <w:rPr>
          <w:rFonts w:cs="Arial"/>
          <w:u w:val="single"/>
          <w:rtl/>
        </w:rPr>
        <w:t>רבי יהודה אומר</w:t>
      </w:r>
      <w:r w:rsidRPr="00AB0AB9">
        <w:rPr>
          <w:rFonts w:cs="Arial"/>
          <w:rtl/>
        </w:rPr>
        <w:t>: אפי' עני שבישראל לא יפחות משני חלילין ומקוננת</w:t>
      </w:r>
      <w:r w:rsidR="00C61DC9">
        <w:rPr>
          <w:rFonts w:cs="Arial" w:hint="cs"/>
          <w:rtl/>
        </w:rPr>
        <w:t xml:space="preserve">.       </w:t>
      </w:r>
      <w:r w:rsidR="00C61DC9" w:rsidRPr="0020717C">
        <w:rPr>
          <w:rFonts w:cs="Arial" w:hint="cs"/>
          <w:u w:val="double"/>
          <w:rtl/>
        </w:rPr>
        <w:t>גמ'</w:t>
      </w:r>
      <w:r w:rsidR="0020717C" w:rsidRPr="0020717C">
        <w:rPr>
          <w:rFonts w:cs="Arial" w:hint="cs"/>
          <w:sz w:val="14"/>
          <w:szCs w:val="14"/>
          <w:u w:val="double"/>
          <w:rtl/>
        </w:rPr>
        <w:t>(מח.)</w:t>
      </w:r>
      <w:r w:rsidR="00C61DC9" w:rsidRPr="0020717C">
        <w:rPr>
          <w:rFonts w:cs="Arial" w:hint="cs"/>
          <w:u w:val="double"/>
          <w:rtl/>
        </w:rPr>
        <w:t>:</w:t>
      </w:r>
      <w:r w:rsidR="00C61DC9">
        <w:rPr>
          <w:rFonts w:cs="Arial" w:hint="cs"/>
          <w:rtl/>
        </w:rPr>
        <w:t xml:space="preserve"> </w:t>
      </w:r>
      <w:r w:rsidR="00C61DC9" w:rsidRPr="00C61DC9">
        <w:rPr>
          <w:rFonts w:cs="Arial"/>
          <w:rtl/>
        </w:rPr>
        <w:t>רבי יהודה אומר: אפילו עני שבישראל וכו'. מכלל דת"ק סבר: הני לא, היכי דמי? אי דאורחה, מ"ט דת"ק דאמר לא? ואי דלאו אורחה, מ"ט דר"י? לא צריכא, כגון דאורחיה דידיה ולאו אורחה דידה, ת"ק סבר: כי אמרינן עולה עמו ואינה יורדת עמו - הני מילי מחיים, אבל לאחר מיתה לא</w:t>
      </w:r>
      <w:r w:rsidR="00311220">
        <w:rPr>
          <w:rFonts w:cs="Arial" w:hint="cs"/>
          <w:rtl/>
        </w:rPr>
        <w:t>.</w:t>
      </w:r>
      <w:r w:rsidR="00C61DC9" w:rsidRPr="00C61DC9">
        <w:rPr>
          <w:rFonts w:cs="Arial"/>
          <w:rtl/>
        </w:rPr>
        <w:t xml:space="preserve"> ורבי יהודה סבר: אפילו לאחר מיתה. </w:t>
      </w:r>
      <w:r w:rsidR="00C61DC9" w:rsidRPr="00311220">
        <w:rPr>
          <w:rFonts w:cs="Arial"/>
          <w:u w:val="single"/>
          <w:rtl/>
        </w:rPr>
        <w:t>אמר רב חסדא אמר מר עוקבא</w:t>
      </w:r>
      <w:r w:rsidR="00C61DC9" w:rsidRPr="00C61DC9">
        <w:rPr>
          <w:rFonts w:cs="Arial"/>
          <w:rtl/>
        </w:rPr>
        <w:t>: הלכה כרבי יהודה.</w:t>
      </w:r>
    </w:p>
    <w:p w14:paraId="5F4248AD" w14:textId="42FCA168" w:rsidR="00E57B71" w:rsidRPr="00C61DC9" w:rsidRDefault="00C61DC9" w:rsidP="00E57B71">
      <w:pPr>
        <w:rPr>
          <w:u w:val="single"/>
          <w:rtl/>
        </w:rPr>
      </w:pPr>
      <w:r w:rsidRPr="00C61DC9">
        <w:rPr>
          <w:rFonts w:cs="Arial"/>
          <w:u w:val="single"/>
          <w:rtl/>
        </w:rPr>
        <w:t>חיוב קבורת אשתו</w:t>
      </w:r>
      <w:r w:rsidRPr="00C61DC9">
        <w:rPr>
          <w:rFonts w:hint="cs"/>
          <w:u w:val="single"/>
          <w:rtl/>
        </w:rPr>
        <w:t>:</w:t>
      </w:r>
    </w:p>
    <w:p w14:paraId="150986D1" w14:textId="29F17F4D" w:rsidR="00F856DF" w:rsidRPr="00F856DF" w:rsidRDefault="00D37988" w:rsidP="009000E3">
      <w:pPr>
        <w:pStyle w:val="ab"/>
        <w:numPr>
          <w:ilvl w:val="0"/>
          <w:numId w:val="53"/>
        </w:numPr>
      </w:pPr>
      <w:r w:rsidRPr="00D37988">
        <w:rPr>
          <w:rFonts w:cs="Arial" w:hint="cs"/>
          <w:rtl/>
        </w:rPr>
        <w:t xml:space="preserve">טור- </w:t>
      </w:r>
      <w:r w:rsidRPr="00D37988">
        <w:rPr>
          <w:rFonts w:cs="Arial"/>
          <w:rtl/>
        </w:rPr>
        <w:t>מתה האשה בחיי הבעל חייב לקוברה ליטפל בה כל צרכי קבורתה</w:t>
      </w:r>
      <w:r w:rsidR="00C61DC9">
        <w:rPr>
          <w:rFonts w:cs="Arial" w:hint="cs"/>
          <w:rtl/>
        </w:rPr>
        <w:t>.</w:t>
      </w:r>
      <w:r w:rsidRPr="00D37988">
        <w:rPr>
          <w:rFonts w:cs="Arial"/>
          <w:rtl/>
        </w:rPr>
        <w:t xml:space="preserve"> בכלל זה האבן שנותנין על הקבר</w:t>
      </w:r>
      <w:r w:rsidR="00C61DC9">
        <w:rPr>
          <w:rStyle w:val="a7"/>
          <w:rFonts w:cs="Arial"/>
          <w:rtl/>
        </w:rPr>
        <w:footnoteReference w:id="1168"/>
      </w:r>
      <w:r w:rsidR="00C61DC9">
        <w:rPr>
          <w:rFonts w:cs="Arial" w:hint="cs"/>
          <w:rtl/>
        </w:rPr>
        <w:t>.</w:t>
      </w:r>
      <w:r w:rsidRPr="00D37988">
        <w:rPr>
          <w:rFonts w:cs="Arial"/>
          <w:rtl/>
        </w:rPr>
        <w:t xml:space="preserve"> ולהספידה</w:t>
      </w:r>
      <w:r w:rsidR="00C61DC9">
        <w:rPr>
          <w:rFonts w:cs="Arial" w:hint="cs"/>
          <w:rtl/>
        </w:rPr>
        <w:t>,</w:t>
      </w:r>
      <w:r w:rsidRPr="00D37988">
        <w:rPr>
          <w:rFonts w:cs="Arial"/>
          <w:rtl/>
        </w:rPr>
        <w:t xml:space="preserve"> אפילו עני שבישראל לא יפחות לה משני חלילין ומקוננת אחת</w:t>
      </w:r>
      <w:r w:rsidR="00FB639E">
        <w:rPr>
          <w:rFonts w:cs="Arial" w:hint="cs"/>
          <w:rtl/>
        </w:rPr>
        <w:t>.</w:t>
      </w:r>
      <w:r w:rsidRPr="00D37988">
        <w:rPr>
          <w:rFonts w:cs="Arial"/>
          <w:rtl/>
        </w:rPr>
        <w:t xml:space="preserve"> ועשיר</w:t>
      </w:r>
      <w:r w:rsidR="00C32636">
        <w:rPr>
          <w:rFonts w:cs="Arial" w:hint="cs"/>
          <w:rtl/>
        </w:rPr>
        <w:t>,</w:t>
      </w:r>
      <w:r w:rsidRPr="00D37988">
        <w:rPr>
          <w:rFonts w:cs="Arial"/>
          <w:rtl/>
        </w:rPr>
        <w:t xml:space="preserve"> הכל לפי כבודה</w:t>
      </w:r>
      <w:r w:rsidR="00FB639E">
        <w:rPr>
          <w:rFonts w:cs="Arial" w:hint="cs"/>
          <w:rtl/>
        </w:rPr>
        <w:t>.</w:t>
      </w:r>
      <w:r w:rsidRPr="00D37988">
        <w:rPr>
          <w:rFonts w:cs="Arial"/>
          <w:rtl/>
        </w:rPr>
        <w:t xml:space="preserve"> ואם היה כבודו גדול מכבודה</w:t>
      </w:r>
      <w:r w:rsidR="00C32636">
        <w:rPr>
          <w:rFonts w:cs="Arial" w:hint="cs"/>
          <w:rtl/>
        </w:rPr>
        <w:t>,</w:t>
      </w:r>
      <w:r w:rsidRPr="00D37988">
        <w:rPr>
          <w:rFonts w:cs="Arial"/>
          <w:rtl/>
        </w:rPr>
        <w:t xml:space="preserve"> צריך לעשות לפי כבודו</w:t>
      </w:r>
      <w:r w:rsidR="00C32636">
        <w:rPr>
          <w:rFonts w:cs="Arial" w:hint="cs"/>
          <w:rtl/>
        </w:rPr>
        <w:t>.</w:t>
      </w:r>
      <w:r w:rsidRPr="00D37988">
        <w:rPr>
          <w:rFonts w:cs="Arial"/>
          <w:rtl/>
        </w:rPr>
        <w:t xml:space="preserve"> ואפילו לאחר מיתה עולה עמו ואינה יורדת עמו</w:t>
      </w:r>
      <w:r w:rsidR="00EB79BF">
        <w:rPr>
          <w:rFonts w:cs="Arial" w:hint="cs"/>
          <w:rtl/>
        </w:rPr>
        <w:t>.</w:t>
      </w:r>
      <w:r w:rsidRPr="00D37988">
        <w:rPr>
          <w:rFonts w:cs="Arial"/>
          <w:rtl/>
        </w:rPr>
        <w:t xml:space="preserve"> </w:t>
      </w:r>
      <w:r w:rsidR="00F856DF" w:rsidRPr="00A6197B">
        <w:rPr>
          <w:rFonts w:hint="cs"/>
          <w:color w:val="E36C0A" w:themeColor="accent6" w:themeShade="BF"/>
          <w:rtl/>
        </w:rPr>
        <w:t>(וכ"פ בשו"ע)</w:t>
      </w:r>
    </w:p>
    <w:p w14:paraId="69F6804B" w14:textId="6B4DF3EC" w:rsidR="00D37988" w:rsidRPr="00DD441A" w:rsidRDefault="00D37988" w:rsidP="009000E3">
      <w:pPr>
        <w:pStyle w:val="ab"/>
        <w:numPr>
          <w:ilvl w:val="0"/>
          <w:numId w:val="53"/>
        </w:numPr>
        <w:rPr>
          <w:rtl/>
        </w:rPr>
      </w:pPr>
      <w:r w:rsidRPr="00F856DF">
        <w:rPr>
          <w:rFonts w:cs="Arial"/>
          <w:rtl/>
        </w:rPr>
        <w:t xml:space="preserve">רמב"ם </w:t>
      </w:r>
      <w:r w:rsidR="00F856DF" w:rsidRPr="00F856DF">
        <w:rPr>
          <w:rFonts w:cs="Arial" w:hint="cs"/>
          <w:sz w:val="16"/>
          <w:szCs w:val="16"/>
          <w:rtl/>
        </w:rPr>
        <w:t>(</w:t>
      </w:r>
      <w:r w:rsidRPr="00F856DF">
        <w:rPr>
          <w:rFonts w:cs="Arial"/>
          <w:sz w:val="16"/>
          <w:szCs w:val="16"/>
          <w:rtl/>
        </w:rPr>
        <w:t>פי"ד מאישות הכ"ג)</w:t>
      </w:r>
      <w:r w:rsidR="00F856DF">
        <w:rPr>
          <w:rFonts w:cs="Arial" w:hint="cs"/>
          <w:rtl/>
        </w:rPr>
        <w:t>-</w:t>
      </w:r>
      <w:r w:rsidRPr="00F856DF">
        <w:rPr>
          <w:rFonts w:cs="Arial"/>
          <w:rtl/>
        </w:rPr>
        <w:t xml:space="preserve"> מתה אשתו חייב בקבורתה ולעשות לה מספד וקינים כדרך כל המדינה</w:t>
      </w:r>
      <w:r w:rsidR="00F856DF">
        <w:rPr>
          <w:rStyle w:val="a7"/>
          <w:rFonts w:cs="Arial"/>
          <w:rtl/>
        </w:rPr>
        <w:footnoteReference w:id="1169"/>
      </w:r>
      <w:r w:rsidR="00F856DF">
        <w:rPr>
          <w:rFonts w:cs="Arial" w:hint="cs"/>
          <w:rtl/>
        </w:rPr>
        <w:t>.</w:t>
      </w:r>
      <w:r w:rsidRPr="00F856DF">
        <w:rPr>
          <w:rFonts w:cs="Arial"/>
          <w:rtl/>
        </w:rPr>
        <w:t xml:space="preserve"> ואפילו עני שבישראל לא יפחתו לו משני חלילין ומקוננת</w:t>
      </w:r>
      <w:r w:rsidR="00F856DF">
        <w:rPr>
          <w:rFonts w:cs="Arial" w:hint="cs"/>
          <w:rtl/>
        </w:rPr>
        <w:t>.</w:t>
      </w:r>
      <w:r w:rsidRPr="00F856DF">
        <w:rPr>
          <w:rFonts w:cs="Arial"/>
          <w:rtl/>
        </w:rPr>
        <w:t xml:space="preserve"> אם היה עשיר</w:t>
      </w:r>
      <w:r w:rsidR="00F856DF">
        <w:rPr>
          <w:rFonts w:cs="Arial" w:hint="cs"/>
          <w:rtl/>
        </w:rPr>
        <w:t>,</w:t>
      </w:r>
      <w:r w:rsidRPr="00F856DF">
        <w:rPr>
          <w:rFonts w:cs="Arial"/>
          <w:rtl/>
        </w:rPr>
        <w:t xml:space="preserve"> הכל לפי כבודו</w:t>
      </w:r>
      <w:r w:rsidR="00F856DF">
        <w:rPr>
          <w:rFonts w:cs="Arial" w:hint="cs"/>
          <w:rtl/>
        </w:rPr>
        <w:t>.</w:t>
      </w:r>
      <w:r w:rsidRPr="00F856DF">
        <w:rPr>
          <w:rFonts w:cs="Arial"/>
          <w:rtl/>
        </w:rPr>
        <w:t xml:space="preserve"> ואם היה כבודה יותר מכבודו</w:t>
      </w:r>
      <w:r w:rsidR="00F856DF">
        <w:rPr>
          <w:rFonts w:cs="Arial" w:hint="cs"/>
          <w:rtl/>
        </w:rPr>
        <w:t>,</w:t>
      </w:r>
      <w:r w:rsidRPr="00F856DF">
        <w:rPr>
          <w:rFonts w:cs="Arial"/>
          <w:rtl/>
        </w:rPr>
        <w:t xml:space="preserve"> קוברין אותה לפי כבודה</w:t>
      </w:r>
      <w:r w:rsidR="00F856DF">
        <w:rPr>
          <w:rFonts w:cs="Arial" w:hint="cs"/>
          <w:rtl/>
        </w:rPr>
        <w:t>,</w:t>
      </w:r>
      <w:r w:rsidRPr="00F856DF">
        <w:rPr>
          <w:rFonts w:cs="Arial"/>
          <w:rtl/>
        </w:rPr>
        <w:t xml:space="preserve"> שהאשה עולה עם בעלה ואינה יורדת אפילו לאחר מותה</w:t>
      </w:r>
      <w:r w:rsidR="00F856DF">
        <w:rPr>
          <w:rFonts w:cs="Arial" w:hint="cs"/>
          <w:rtl/>
        </w:rPr>
        <w:t>.</w:t>
      </w:r>
      <w:r w:rsidR="00F856DF" w:rsidRPr="00F856DF">
        <w:rPr>
          <w:rFonts w:hint="cs"/>
          <w:color w:val="E36C0A" w:themeColor="accent6" w:themeShade="BF"/>
          <w:rtl/>
        </w:rPr>
        <w:t xml:space="preserve"> </w:t>
      </w:r>
      <w:r w:rsidR="00F856DF" w:rsidRPr="00A6197B">
        <w:rPr>
          <w:rFonts w:hint="cs"/>
          <w:color w:val="E36C0A" w:themeColor="accent6" w:themeShade="BF"/>
          <w:rtl/>
        </w:rPr>
        <w:t>(וכ"פ בשו"ע)</w:t>
      </w:r>
    </w:p>
    <w:p w14:paraId="40B88FF4"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03A22063" w14:textId="4CEA1BF0" w:rsidR="007A3469" w:rsidRDefault="007A3469" w:rsidP="007A3469">
      <w:pPr>
        <w:rPr>
          <w:rtl/>
        </w:rPr>
      </w:pPr>
      <w:r>
        <w:rPr>
          <w:rFonts w:cs="Arial"/>
          <w:rtl/>
        </w:rPr>
        <w:t>מתה האשה בחיי הבעל, חייב לקוברה</w:t>
      </w:r>
      <w:r w:rsidR="00F856DF">
        <w:rPr>
          <w:rStyle w:val="a7"/>
          <w:rFonts w:cs="Arial"/>
          <w:rtl/>
        </w:rPr>
        <w:footnoteReference w:id="1170"/>
      </w:r>
      <w:r>
        <w:rPr>
          <w:rFonts w:cs="Arial"/>
          <w:rtl/>
        </w:rPr>
        <w:t xml:space="preserve"> וליטפל בכל צרכי קבורתה, ובכלל זה האבן שנותנים על הקבר</w:t>
      </w:r>
      <w:r w:rsidR="000A59E3">
        <w:rPr>
          <w:rStyle w:val="a7"/>
          <w:rFonts w:cs="Arial"/>
          <w:rtl/>
        </w:rPr>
        <w:footnoteReference w:id="1171"/>
      </w:r>
      <w:r>
        <w:rPr>
          <w:rFonts w:cs="Arial"/>
          <w:rtl/>
        </w:rPr>
        <w:t>. וכן חייב לעשות לה מספד וקינים, כדרך כל המדינה. ואם דרכם להספיד בחלילין, לא יפחות משני חלילין ומקוננות, אפילו עני שבישראל</w:t>
      </w:r>
      <w:r w:rsidR="00EB79BF">
        <w:rPr>
          <w:rFonts w:cs="Arial" w:hint="cs"/>
          <w:rtl/>
        </w:rPr>
        <w:t>.</w:t>
      </w:r>
      <w:r>
        <w:rPr>
          <w:rFonts w:cs="Arial"/>
          <w:rtl/>
        </w:rPr>
        <w:t xml:space="preserve"> ואם היה עשיר, הכל לפי כבודו. ואם היה כבודה יותר מכבודו, קוברים אותה לפי כבודה, שעולה עמו ואינה יורדת. </w:t>
      </w:r>
    </w:p>
    <w:p w14:paraId="751A7650" w14:textId="5A7D0B45" w:rsidR="00D67B87" w:rsidRPr="00601350" w:rsidRDefault="00D67B87" w:rsidP="007A3469">
      <w:pPr>
        <w:rPr>
          <w:u w:val="single"/>
          <w:rtl/>
        </w:rPr>
      </w:pPr>
      <w:r w:rsidRPr="00601350">
        <w:rPr>
          <w:rFonts w:hint="cs"/>
          <w:u w:val="single"/>
          <w:rtl/>
        </w:rPr>
        <w:t>מתה האשה, והיו לבעל בע"ח</w:t>
      </w:r>
      <w:r w:rsidR="00601350">
        <w:rPr>
          <w:rFonts w:hint="cs"/>
          <w:u w:val="single"/>
          <w:rtl/>
        </w:rPr>
        <w:t xml:space="preserve"> </w:t>
      </w:r>
      <w:r w:rsidR="00F97626">
        <w:rPr>
          <w:u w:val="single"/>
          <w:rtl/>
        </w:rPr>
        <w:t>-</w:t>
      </w:r>
      <w:r w:rsidRPr="00601350">
        <w:rPr>
          <w:rFonts w:hint="cs"/>
          <w:u w:val="single"/>
          <w:rtl/>
        </w:rPr>
        <w:t xml:space="preserve"> האם הם יכולים למנוע ממנו את כספי הירושה</w:t>
      </w:r>
      <w:r w:rsidR="00601350" w:rsidRPr="00601350">
        <w:rPr>
          <w:rFonts w:hint="cs"/>
          <w:u w:val="single"/>
          <w:rtl/>
        </w:rPr>
        <w:t xml:space="preserve"> אע"</w:t>
      </w:r>
      <w:r w:rsidR="00601350">
        <w:rPr>
          <w:rFonts w:hint="cs"/>
          <w:u w:val="single"/>
          <w:rtl/>
        </w:rPr>
        <w:t>ג</w:t>
      </w:r>
      <w:r w:rsidR="00601350" w:rsidRPr="00601350">
        <w:rPr>
          <w:rFonts w:hint="cs"/>
          <w:u w:val="single"/>
          <w:rtl/>
        </w:rPr>
        <w:t xml:space="preserve"> שזה ימנע את קבורתה</w:t>
      </w:r>
      <w:r w:rsidR="00601350">
        <w:rPr>
          <w:rFonts w:hint="cs"/>
          <w:u w:val="single"/>
          <w:rtl/>
        </w:rPr>
        <w:t xml:space="preserve"> כראוי</w:t>
      </w:r>
      <w:r w:rsidR="00601350" w:rsidRPr="00601350">
        <w:rPr>
          <w:rFonts w:hint="cs"/>
          <w:u w:val="single"/>
          <w:rtl/>
        </w:rPr>
        <w:t xml:space="preserve">: </w:t>
      </w:r>
    </w:p>
    <w:p w14:paraId="07619F6E" w14:textId="6F145173" w:rsidR="00D67B87" w:rsidRDefault="00D67B87" w:rsidP="009000E3">
      <w:pPr>
        <w:pStyle w:val="ab"/>
        <w:numPr>
          <w:ilvl w:val="0"/>
          <w:numId w:val="54"/>
        </w:numPr>
        <w:rPr>
          <w:rtl/>
        </w:rPr>
      </w:pPr>
      <w:r w:rsidRPr="00D67B87">
        <w:rPr>
          <w:rFonts w:cs="Arial"/>
          <w:rtl/>
        </w:rPr>
        <w:t>ס</w:t>
      </w:r>
      <w:r w:rsidRPr="00D67B87">
        <w:rPr>
          <w:rFonts w:cs="Arial" w:hint="cs"/>
          <w:rtl/>
        </w:rPr>
        <w:t>פר</w:t>
      </w:r>
      <w:r w:rsidRPr="00D67B87">
        <w:rPr>
          <w:rFonts w:cs="Arial"/>
          <w:rtl/>
        </w:rPr>
        <w:t xml:space="preserve"> כתובה </w:t>
      </w:r>
      <w:r w:rsidRPr="00D67B87">
        <w:rPr>
          <w:rFonts w:cs="Arial" w:hint="cs"/>
          <w:sz w:val="16"/>
          <w:szCs w:val="16"/>
          <w:rtl/>
        </w:rPr>
        <w:t>(בקו"א, כ"כ הפת"ש [סק"א] בשמו)</w:t>
      </w:r>
      <w:r w:rsidRPr="00D67B87">
        <w:rPr>
          <w:rFonts w:cs="Arial" w:hint="cs"/>
          <w:rtl/>
        </w:rPr>
        <w:t xml:space="preserve">- </w:t>
      </w:r>
      <w:r w:rsidRPr="00D67B87">
        <w:rPr>
          <w:rFonts w:cs="Arial"/>
          <w:rtl/>
        </w:rPr>
        <w:t xml:space="preserve">מלשון רש"י ז"ל </w:t>
      </w:r>
      <w:r w:rsidRPr="00D67B87">
        <w:rPr>
          <w:rFonts w:cs="Arial" w:hint="cs"/>
          <w:sz w:val="16"/>
          <w:szCs w:val="16"/>
          <w:rtl/>
        </w:rPr>
        <w:t>(</w:t>
      </w:r>
      <w:r w:rsidRPr="00D67B87">
        <w:rPr>
          <w:rFonts w:cs="Arial"/>
          <w:sz w:val="16"/>
          <w:szCs w:val="16"/>
          <w:rtl/>
        </w:rPr>
        <w:t>ר"פ אלמנה ניזונת</w:t>
      </w:r>
      <w:r w:rsidRPr="00D67B87">
        <w:rPr>
          <w:rFonts w:cs="Arial" w:hint="cs"/>
          <w:sz w:val="16"/>
          <w:szCs w:val="16"/>
          <w:rtl/>
        </w:rPr>
        <w:t>)</w:t>
      </w:r>
      <w:r>
        <w:rPr>
          <w:rFonts w:cs="Arial" w:hint="cs"/>
          <w:rtl/>
        </w:rPr>
        <w:t xml:space="preserve"> נראה</w:t>
      </w:r>
      <w:r w:rsidRPr="00D67B87">
        <w:rPr>
          <w:rFonts w:cs="Arial"/>
          <w:rtl/>
        </w:rPr>
        <w:t xml:space="preserve"> דקבורתה הוא קודם לירושתה</w:t>
      </w:r>
      <w:r w:rsidR="00601350">
        <w:rPr>
          <w:rFonts w:cs="Arial" w:hint="cs"/>
          <w:rtl/>
        </w:rPr>
        <w:t>,</w:t>
      </w:r>
      <w:r w:rsidRPr="00D67B87">
        <w:rPr>
          <w:rFonts w:cs="Arial"/>
          <w:rtl/>
        </w:rPr>
        <w:t xml:space="preserve"> ונ"מ דאם יש עליו בעלי חוב בשטר הקודמין לנישואין </w:t>
      </w:r>
      <w:r w:rsidR="00601350">
        <w:rPr>
          <w:rFonts w:cs="Arial" w:hint="cs"/>
          <w:rtl/>
        </w:rPr>
        <w:t xml:space="preserve">- </w:t>
      </w:r>
      <w:r w:rsidRPr="00D67B87">
        <w:rPr>
          <w:rFonts w:cs="Arial"/>
          <w:rtl/>
        </w:rPr>
        <w:t>אינם יכולים לגבות מהנכסים שיורש ולמנוע הוצאות קבורתה לפי כבודו וכבודה כמו בבע"ח דידיה במת הוא</w:t>
      </w:r>
      <w:r w:rsidR="00601350">
        <w:rPr>
          <w:rFonts w:cs="Arial" w:hint="cs"/>
          <w:rtl/>
        </w:rPr>
        <w:t>,</w:t>
      </w:r>
      <w:r w:rsidRPr="00D67B87">
        <w:rPr>
          <w:rFonts w:cs="Arial"/>
          <w:rtl/>
        </w:rPr>
        <w:t xml:space="preserve"> שיכולין למנוע הוצאת קבורתו כדאיתא בח</w:t>
      </w:r>
      <w:r w:rsidR="00601350">
        <w:rPr>
          <w:rFonts w:cs="Arial" w:hint="cs"/>
          <w:rtl/>
        </w:rPr>
        <w:t>ו</w:t>
      </w:r>
      <w:r w:rsidRPr="00D67B87">
        <w:rPr>
          <w:rFonts w:cs="Arial"/>
          <w:rtl/>
        </w:rPr>
        <w:t>"מ ר"ס ק"ז</w:t>
      </w:r>
      <w:r w:rsidR="00601350">
        <w:rPr>
          <w:rFonts w:cs="Arial" w:hint="cs"/>
          <w:rtl/>
        </w:rPr>
        <w:t>.</w:t>
      </w:r>
      <w:r w:rsidRPr="00D67B87">
        <w:rPr>
          <w:rFonts w:cs="Arial"/>
          <w:rtl/>
        </w:rPr>
        <w:t xml:space="preserve"> אבל אם לא ירש ממנה כלום</w:t>
      </w:r>
      <w:r w:rsidR="00601350">
        <w:rPr>
          <w:rFonts w:cs="Arial" w:hint="cs"/>
          <w:rtl/>
        </w:rPr>
        <w:t>,</w:t>
      </w:r>
      <w:r w:rsidRPr="00D67B87">
        <w:rPr>
          <w:rFonts w:cs="Arial"/>
          <w:rtl/>
        </w:rPr>
        <w:t xml:space="preserve"> אף שחייב בקבורתה</w:t>
      </w:r>
      <w:r w:rsidR="00601350">
        <w:rPr>
          <w:rFonts w:cs="Arial" w:hint="cs"/>
          <w:rtl/>
        </w:rPr>
        <w:t>,</w:t>
      </w:r>
      <w:r w:rsidRPr="00D67B87">
        <w:rPr>
          <w:rFonts w:cs="Arial"/>
          <w:rtl/>
        </w:rPr>
        <w:t xml:space="preserve"> אם יש עליו בע"ח מוקדמים </w:t>
      </w:r>
      <w:r w:rsidR="00601350">
        <w:rPr>
          <w:rFonts w:cs="Arial" w:hint="cs"/>
          <w:rtl/>
        </w:rPr>
        <w:t xml:space="preserve">- </w:t>
      </w:r>
      <w:r w:rsidRPr="00D67B87">
        <w:rPr>
          <w:rFonts w:cs="Arial"/>
          <w:rtl/>
        </w:rPr>
        <w:t>יכולים לעכב</w:t>
      </w:r>
      <w:r w:rsidR="00601350">
        <w:rPr>
          <w:rFonts w:cs="Arial" w:hint="cs"/>
          <w:rtl/>
        </w:rPr>
        <w:t>.</w:t>
      </w:r>
      <w:r w:rsidRPr="00D67B87">
        <w:rPr>
          <w:rFonts w:cs="Arial"/>
          <w:rtl/>
        </w:rPr>
        <w:t xml:space="preserve"> וכן נראה בפשטות בכל היורשים שהם חייבים לאחרים מצד עצמן</w:t>
      </w:r>
      <w:r w:rsidR="00601350">
        <w:rPr>
          <w:rFonts w:cs="Arial" w:hint="cs"/>
          <w:rtl/>
        </w:rPr>
        <w:t>,</w:t>
      </w:r>
      <w:r w:rsidRPr="00D67B87">
        <w:rPr>
          <w:rFonts w:cs="Arial"/>
          <w:rtl/>
        </w:rPr>
        <w:t xml:space="preserve"> אין יכולים הבע"ח לעכב בקבורת אביהם מנכסי אביהם</w:t>
      </w:r>
      <w:r w:rsidR="00601350">
        <w:rPr>
          <w:rFonts w:cs="Arial" w:hint="cs"/>
          <w:rtl/>
        </w:rPr>
        <w:t>,</w:t>
      </w:r>
      <w:r w:rsidRPr="00D67B87">
        <w:rPr>
          <w:rFonts w:cs="Arial"/>
          <w:rtl/>
        </w:rPr>
        <w:t xml:space="preserve"> דקבורתו קודם לירושה</w:t>
      </w:r>
      <w:r w:rsidR="00601350">
        <w:rPr>
          <w:rFonts w:cs="Arial" w:hint="cs"/>
          <w:rtl/>
        </w:rPr>
        <w:t>.</w:t>
      </w:r>
      <w:r w:rsidRPr="00D67B87">
        <w:rPr>
          <w:rFonts w:cs="Arial"/>
          <w:rtl/>
        </w:rPr>
        <w:t xml:space="preserve"> משא"כ בנכסי היורשים עצמם יכולים לעכב</w:t>
      </w:r>
      <w:r w:rsidR="00601350">
        <w:rPr>
          <w:rFonts w:cs="Arial" w:hint="cs"/>
          <w:rtl/>
        </w:rPr>
        <w:t>.</w:t>
      </w:r>
    </w:p>
    <w:p w14:paraId="5BCC2E41" w14:textId="7A725620" w:rsidR="002C039F" w:rsidRPr="002C039F" w:rsidRDefault="002C039F" w:rsidP="007A3469">
      <w:pPr>
        <w:rPr>
          <w:u w:val="single"/>
          <w:rtl/>
        </w:rPr>
      </w:pPr>
      <w:r w:rsidRPr="002C039F">
        <w:rPr>
          <w:rFonts w:hint="cs"/>
          <w:u w:val="single"/>
          <w:rtl/>
        </w:rPr>
        <w:t>מי שקבר את אשתו כהלכה</w:t>
      </w:r>
      <w:r>
        <w:rPr>
          <w:rFonts w:hint="cs"/>
          <w:u w:val="single"/>
          <w:rtl/>
        </w:rPr>
        <w:t xml:space="preserve">, </w:t>
      </w:r>
      <w:r w:rsidRPr="002C039F">
        <w:rPr>
          <w:rFonts w:hint="cs"/>
          <w:u w:val="single"/>
          <w:rtl/>
        </w:rPr>
        <w:t xml:space="preserve">ובאו אנשים והוציאוה מהקבר והפשיטו התכריכים </w:t>
      </w:r>
      <w:r w:rsidR="00F97626">
        <w:rPr>
          <w:u w:val="single"/>
          <w:rtl/>
        </w:rPr>
        <w:t>-</w:t>
      </w:r>
      <w:r w:rsidRPr="002C039F">
        <w:rPr>
          <w:rFonts w:hint="cs"/>
          <w:u w:val="single"/>
          <w:rtl/>
        </w:rPr>
        <w:t xml:space="preserve"> האם חייב לדאוג שוב לקבורתה:</w:t>
      </w:r>
    </w:p>
    <w:p w14:paraId="74EDF53D" w14:textId="37695F2D" w:rsidR="009372C5" w:rsidRDefault="00B0061C" w:rsidP="009000E3">
      <w:pPr>
        <w:pStyle w:val="ab"/>
        <w:numPr>
          <w:ilvl w:val="0"/>
          <w:numId w:val="54"/>
        </w:numPr>
        <w:rPr>
          <w:rtl/>
        </w:rPr>
      </w:pPr>
      <w:r>
        <w:rPr>
          <w:rFonts w:cs="Arial" w:hint="cs"/>
          <w:rtl/>
        </w:rPr>
        <w:t xml:space="preserve">פת"ש </w:t>
      </w:r>
      <w:r>
        <w:rPr>
          <w:rFonts w:cs="Arial" w:hint="cs"/>
          <w:sz w:val="16"/>
          <w:szCs w:val="16"/>
          <w:rtl/>
        </w:rPr>
        <w:t>(סק"א)</w:t>
      </w:r>
      <w:r>
        <w:rPr>
          <w:rFonts w:cs="Arial" w:hint="cs"/>
          <w:rtl/>
        </w:rPr>
        <w:t xml:space="preserve">- בספר </w:t>
      </w:r>
      <w:r w:rsidR="002C039F" w:rsidRPr="00601350">
        <w:rPr>
          <w:rFonts w:cs="Arial"/>
          <w:rtl/>
        </w:rPr>
        <w:t xml:space="preserve">כרם שלמה </w:t>
      </w:r>
      <w:r w:rsidR="002C039F" w:rsidRPr="00B0061C">
        <w:rPr>
          <w:rFonts w:cs="Arial" w:hint="cs"/>
          <w:sz w:val="16"/>
          <w:szCs w:val="16"/>
          <w:rtl/>
        </w:rPr>
        <w:t>(סי' פט)</w:t>
      </w:r>
      <w:r w:rsidR="002C039F" w:rsidRPr="00B0061C">
        <w:rPr>
          <w:rFonts w:cs="Arial"/>
          <w:sz w:val="16"/>
          <w:szCs w:val="16"/>
          <w:rtl/>
        </w:rPr>
        <w:t xml:space="preserve"> </w:t>
      </w:r>
      <w:r w:rsidR="002C039F" w:rsidRPr="00601350">
        <w:rPr>
          <w:rFonts w:cs="Arial"/>
          <w:rtl/>
        </w:rPr>
        <w:t xml:space="preserve">הביא בשם תשב"ץ </w:t>
      </w:r>
      <w:r w:rsidRPr="00B0061C">
        <w:rPr>
          <w:rFonts w:cs="Arial" w:hint="cs"/>
          <w:sz w:val="16"/>
          <w:szCs w:val="16"/>
          <w:rtl/>
        </w:rPr>
        <w:t>(</w:t>
      </w:r>
      <w:r w:rsidR="002C039F" w:rsidRPr="00B0061C">
        <w:rPr>
          <w:rFonts w:cs="Arial"/>
          <w:sz w:val="16"/>
          <w:szCs w:val="16"/>
          <w:rtl/>
        </w:rPr>
        <w:t>ח"ב סי' קיא</w:t>
      </w:r>
      <w:r w:rsidRPr="00B0061C">
        <w:rPr>
          <w:rFonts w:cs="Arial" w:hint="cs"/>
          <w:sz w:val="16"/>
          <w:szCs w:val="16"/>
          <w:rtl/>
        </w:rPr>
        <w:t>)</w:t>
      </w:r>
      <w:r w:rsidR="002C039F" w:rsidRPr="00B0061C">
        <w:rPr>
          <w:rFonts w:cs="Arial"/>
          <w:sz w:val="16"/>
          <w:szCs w:val="16"/>
          <w:rtl/>
        </w:rPr>
        <w:t xml:space="preserve"> </w:t>
      </w:r>
      <w:r w:rsidR="002C039F" w:rsidRPr="00601350">
        <w:rPr>
          <w:rFonts w:cs="Arial"/>
          <w:rtl/>
        </w:rPr>
        <w:t xml:space="preserve">דמי שקבר אשתו כדין ואח"כ הוציאוה מקברה חטוטי שכבי והפשיטו התכריכין מעליה אינו חייב לקברה פעם שנית ונלמד בה מנשבית שחייב לפדותה ואם נשבית פעם שניה ורוצה לגרשה ה"ז מגרש ויתן כתובה והיא תפדה עצמה וה"ה לקברה פעם ראשונה שאין קוברה פעם שניה עכ"ל. ובמחכ"ת העתיק שלא כדת דבתשב"ץ עצמו שם מבואר דכן היה דעת </w:t>
      </w:r>
      <w:r w:rsidR="002C039F" w:rsidRPr="00601350">
        <w:rPr>
          <w:rFonts w:cs="Arial"/>
          <w:rtl/>
        </w:rPr>
        <w:lastRenderedPageBreak/>
        <w:t>השואל אבל הרשב"ץ ז"ל השיב לו דאינו כן אלא לעולם הוא קוברה ואפי' מאה פעמים</w:t>
      </w:r>
      <w:r w:rsidR="00C32636">
        <w:rPr>
          <w:rFonts w:cs="Arial" w:hint="cs"/>
          <w:rtl/>
        </w:rPr>
        <w:t>.</w:t>
      </w:r>
      <w:r w:rsidR="002C039F" w:rsidRPr="00601350">
        <w:rPr>
          <w:rFonts w:cs="Arial"/>
          <w:rtl/>
        </w:rPr>
        <w:t xml:space="preserve"> וכתב דהראיה שהביא השואל מנשבית אינה ראיה אא"כ אמר הבעל אינו יורשה כלל והרי כתובתה ויירשוה קרוביה ויקברוה</w:t>
      </w:r>
      <w:r w:rsidR="00C32636">
        <w:rPr>
          <w:rFonts w:cs="Arial" w:hint="cs"/>
          <w:rtl/>
        </w:rPr>
        <w:t>,</w:t>
      </w:r>
      <w:r w:rsidR="002C039F" w:rsidRPr="00601350">
        <w:rPr>
          <w:rFonts w:cs="Arial"/>
          <w:rtl/>
        </w:rPr>
        <w:t xml:space="preserve"> ואפי' הכי אין הנדון דומה שאם יכול לומר כן אל האשה עצמה מ"מ אינו יכול לומר כן לחוב לקרוביה</w:t>
      </w:r>
      <w:r w:rsidR="00C32636">
        <w:rPr>
          <w:rFonts w:cs="Arial" w:hint="cs"/>
          <w:rtl/>
        </w:rPr>
        <w:t>.</w:t>
      </w:r>
      <w:r w:rsidR="002C039F" w:rsidRPr="00601350">
        <w:rPr>
          <w:rFonts w:cs="Arial"/>
          <w:rtl/>
        </w:rPr>
        <w:t xml:space="preserve"> ועוד אפי' פורע כתובתה לקרוביה חייב לקברה שהרי בירושל' אמרו שהאשה שאין לה כתובה הבעל חייב בקבורתה ועוד אפי' בנשבית אינו אומר כן אלא מפני שיכול לגרשה וכיון שגירשה הרי אינה אשתו אינו חייב עוד בפרקונה אבל זאת אשתו מתה וא"א לגרשה עוד ולעולם היא קרויה אשתו עד שיחיו המתים</w:t>
      </w:r>
      <w:r w:rsidR="00C32636">
        <w:rPr>
          <w:rFonts w:cs="Arial" w:hint="cs"/>
          <w:rtl/>
        </w:rPr>
        <w:t>.</w:t>
      </w:r>
      <w:r w:rsidR="002C039F" w:rsidRPr="00601350">
        <w:rPr>
          <w:rFonts w:cs="Arial"/>
          <w:rtl/>
        </w:rPr>
        <w:t xml:space="preserve"> הילכך לעולם חייב לטפל בתכריכים ואפילו מאה פעמים כו'</w:t>
      </w:r>
      <w:r w:rsidR="000A59E3">
        <w:rPr>
          <w:rFonts w:cs="Arial" w:hint="cs"/>
          <w:rtl/>
        </w:rPr>
        <w:t>.</w:t>
      </w:r>
      <w:r>
        <w:rPr>
          <w:rFonts w:hint="cs"/>
          <w:rtl/>
        </w:rPr>
        <w:t xml:space="preserve"> (וכ"פ רעק"א</w:t>
      </w:r>
      <w:r>
        <w:rPr>
          <w:rFonts w:hint="cs"/>
          <w:sz w:val="16"/>
          <w:szCs w:val="16"/>
          <w:rtl/>
        </w:rPr>
        <w:t xml:space="preserve"> [בגליון השו"ע אות א]</w:t>
      </w:r>
      <w:r>
        <w:rPr>
          <w:rFonts w:hint="cs"/>
          <w:rtl/>
        </w:rPr>
        <w:t>)</w:t>
      </w:r>
    </w:p>
    <w:p w14:paraId="5E9D83DA" w14:textId="77777777" w:rsidR="00D37988" w:rsidRDefault="00D37988" w:rsidP="007A3469">
      <w:pPr>
        <w:rPr>
          <w:rtl/>
        </w:rPr>
      </w:pPr>
    </w:p>
    <w:p w14:paraId="7DC12BAF" w14:textId="579FF6FB" w:rsidR="007A3469" w:rsidRDefault="007A3469" w:rsidP="000F64D0">
      <w:pPr>
        <w:pStyle w:val="2"/>
        <w:rPr>
          <w:rtl/>
        </w:rPr>
      </w:pPr>
      <w:r>
        <w:rPr>
          <w:rtl/>
        </w:rPr>
        <w:t>סעיף ב</w:t>
      </w:r>
      <w:r w:rsidR="00D37988">
        <w:rPr>
          <w:rFonts w:hint="cs"/>
          <w:rtl/>
        </w:rPr>
        <w:t>:</w:t>
      </w:r>
      <w:r w:rsidR="00B0061C">
        <w:rPr>
          <w:rFonts w:hint="cs"/>
          <w:rtl/>
        </w:rPr>
        <w:t xml:space="preserve"> בעל שלא רצה לקבור את אשתו ועמד אחר וקברה.</w:t>
      </w:r>
    </w:p>
    <w:p w14:paraId="2ED2E968" w14:textId="7A3DA64D" w:rsidR="00B0061C" w:rsidRPr="008953CE" w:rsidRDefault="00B0061C" w:rsidP="008953CE">
      <w:pPr>
        <w:rPr>
          <w:rFonts w:cs="Arial"/>
          <w:rtl/>
        </w:rPr>
      </w:pPr>
      <w:r w:rsidRPr="00DA2FD3">
        <w:rPr>
          <w:rFonts w:cs="Arial" w:hint="cs"/>
          <w:b/>
          <w:bCs/>
          <w:rtl/>
        </w:rPr>
        <w:t xml:space="preserve">ירושלמי </w:t>
      </w:r>
      <w:r w:rsidR="00DA2FD3" w:rsidRPr="00DA2FD3">
        <w:rPr>
          <w:rFonts w:cs="Arial" w:hint="cs"/>
          <w:b/>
          <w:bCs/>
          <w:rtl/>
        </w:rPr>
        <w:t xml:space="preserve">כתובות </w:t>
      </w:r>
      <w:r w:rsidRPr="00DA2FD3">
        <w:rPr>
          <w:rFonts w:cs="Arial" w:hint="cs"/>
          <w:b/>
          <w:bCs/>
          <w:rtl/>
        </w:rPr>
        <w:t>פי"ג ה"ב</w:t>
      </w:r>
      <w:r w:rsidR="00DA2FD3">
        <w:rPr>
          <w:rStyle w:val="a7"/>
          <w:rFonts w:cs="Arial"/>
          <w:b/>
          <w:bCs/>
          <w:rtl/>
        </w:rPr>
        <w:footnoteReference w:id="1172"/>
      </w:r>
      <w:r w:rsidR="00DA2FD3" w:rsidRPr="00DA2FD3">
        <w:rPr>
          <w:rFonts w:cs="Arial" w:hint="cs"/>
          <w:b/>
          <w:bCs/>
          <w:rtl/>
        </w:rPr>
        <w:t>:</w:t>
      </w:r>
      <w:r w:rsidR="00DA2FD3">
        <w:rPr>
          <w:rFonts w:cs="Arial" w:hint="cs"/>
          <w:rtl/>
        </w:rPr>
        <w:t xml:space="preserve"> </w:t>
      </w:r>
      <w:r w:rsidR="00DC68FF" w:rsidRPr="00DC68FF">
        <w:rPr>
          <w:rFonts w:cs="Arial"/>
          <w:rtl/>
        </w:rPr>
        <w:t>דתני מי שהלך למדינת הים ועמד אחר ופירנס את אשתו</w:t>
      </w:r>
      <w:r w:rsidR="00DC68FF">
        <w:rPr>
          <w:rFonts w:cs="Arial" w:hint="cs"/>
          <w:rtl/>
        </w:rPr>
        <w:t>,</w:t>
      </w:r>
      <w:r w:rsidR="00DC68FF" w:rsidRPr="00DC68FF">
        <w:rPr>
          <w:rFonts w:cs="Arial"/>
          <w:rtl/>
        </w:rPr>
        <w:t xml:space="preserve"> </w:t>
      </w:r>
      <w:r w:rsidR="00DC68FF" w:rsidRPr="00DC68FF">
        <w:rPr>
          <w:rFonts w:cs="Arial"/>
          <w:u w:val="single"/>
          <w:rtl/>
        </w:rPr>
        <w:t>א"ר חגיי</w:t>
      </w:r>
      <w:r w:rsidR="00DC68FF">
        <w:rPr>
          <w:rFonts w:cs="Arial" w:hint="cs"/>
          <w:rtl/>
        </w:rPr>
        <w:t>:</w:t>
      </w:r>
      <w:r w:rsidR="00DC68FF" w:rsidRPr="00DC68FF">
        <w:rPr>
          <w:rFonts w:cs="Arial"/>
          <w:rtl/>
        </w:rPr>
        <w:t xml:space="preserve"> לא אמר אלא אחר</w:t>
      </w:r>
      <w:r w:rsidR="00C32636">
        <w:rPr>
          <w:rFonts w:cs="Arial" w:hint="cs"/>
          <w:rtl/>
        </w:rPr>
        <w:t>,</w:t>
      </w:r>
      <w:r w:rsidR="00DC68FF" w:rsidRPr="00DC68FF">
        <w:rPr>
          <w:rFonts w:cs="Arial"/>
          <w:rtl/>
        </w:rPr>
        <w:t xml:space="preserve"> הא האב</w:t>
      </w:r>
      <w:r w:rsidR="00DC68FF">
        <w:rPr>
          <w:rStyle w:val="a7"/>
          <w:rFonts w:cs="Arial"/>
          <w:rtl/>
        </w:rPr>
        <w:footnoteReference w:id="1173"/>
      </w:r>
      <w:r w:rsidR="00DC68FF" w:rsidRPr="00DC68FF">
        <w:rPr>
          <w:rFonts w:cs="Arial"/>
          <w:rtl/>
        </w:rPr>
        <w:t xml:space="preserve"> גובה</w:t>
      </w:r>
      <w:r w:rsidR="00DC68FF">
        <w:rPr>
          <w:rFonts w:cs="Arial" w:hint="cs"/>
          <w:rtl/>
        </w:rPr>
        <w:t>.</w:t>
      </w:r>
      <w:r w:rsidR="00DC68FF" w:rsidRPr="00DC68FF">
        <w:rPr>
          <w:rFonts w:cs="Arial"/>
          <w:rtl/>
        </w:rPr>
        <w:t xml:space="preserve"> </w:t>
      </w:r>
      <w:r w:rsidR="00DC68FF" w:rsidRPr="00DC68FF">
        <w:rPr>
          <w:rFonts w:cs="Arial"/>
          <w:u w:val="single"/>
          <w:rtl/>
        </w:rPr>
        <w:t>ר' יוסי אומר</w:t>
      </w:r>
      <w:r w:rsidR="00DC68FF">
        <w:rPr>
          <w:rFonts w:cs="Arial" w:hint="cs"/>
          <w:rtl/>
        </w:rPr>
        <w:t>:</w:t>
      </w:r>
      <w:r w:rsidR="00DC68FF" w:rsidRPr="00DC68FF">
        <w:rPr>
          <w:rFonts w:cs="Arial"/>
          <w:rtl/>
        </w:rPr>
        <w:t xml:space="preserve"> בין אב בין אחר אינו גובה</w:t>
      </w:r>
      <w:r w:rsidR="00C32636">
        <w:rPr>
          <w:rFonts w:cs="Arial" w:hint="cs"/>
          <w:rtl/>
        </w:rPr>
        <w:t>.</w:t>
      </w:r>
      <w:r w:rsidR="00DC68FF" w:rsidRPr="00DC68FF">
        <w:rPr>
          <w:rFonts w:cs="Arial"/>
          <w:rtl/>
        </w:rPr>
        <w:t xml:space="preserve"> ואתיין אילין פלוגוותא כהילין פלוגוותא</w:t>
      </w:r>
      <w:r w:rsidR="00DC68FF">
        <w:rPr>
          <w:rFonts w:cs="Arial" w:hint="cs"/>
          <w:rtl/>
        </w:rPr>
        <w:t>,</w:t>
      </w:r>
      <w:r w:rsidR="00DC68FF" w:rsidRPr="00DC68FF">
        <w:rPr>
          <w:rFonts w:cs="Arial"/>
          <w:rtl/>
        </w:rPr>
        <w:t xml:space="preserve"> </w:t>
      </w:r>
      <w:r w:rsidRPr="00B0061C">
        <w:rPr>
          <w:rFonts w:cs="Arial"/>
          <w:rtl/>
        </w:rPr>
        <w:t>דתנינן תמן</w:t>
      </w:r>
      <w:r w:rsidR="00DA2FD3">
        <w:rPr>
          <w:rFonts w:cs="Arial" w:hint="cs"/>
          <w:rtl/>
        </w:rPr>
        <w:t>:</w:t>
      </w:r>
      <w:r w:rsidRPr="00B0061C">
        <w:rPr>
          <w:rFonts w:cs="Arial"/>
          <w:rtl/>
        </w:rPr>
        <w:t xml:space="preserve"> וזכאי במציאתה ובמעשה ידיה ובהפר נדריה ומקבל גיטה ואינו אוכל פירות בחייה וחייב במזונותיה ובפירקונה ובקבורתה</w:t>
      </w:r>
      <w:r w:rsidR="00DA2FD3">
        <w:rPr>
          <w:rFonts w:cs="Arial" w:hint="cs"/>
          <w:rtl/>
        </w:rPr>
        <w:t>.</w:t>
      </w:r>
      <w:r w:rsidRPr="00B0061C">
        <w:rPr>
          <w:rFonts w:cs="Arial"/>
          <w:rtl/>
        </w:rPr>
        <w:t xml:space="preserve"> </w:t>
      </w:r>
      <w:r w:rsidRPr="00DA2FD3">
        <w:rPr>
          <w:rFonts w:cs="Arial"/>
          <w:u w:val="single"/>
          <w:rtl/>
        </w:rPr>
        <w:t>אמר ר' חגיי</w:t>
      </w:r>
      <w:r w:rsidR="00DA2FD3">
        <w:rPr>
          <w:rFonts w:cs="Arial" w:hint="cs"/>
          <w:rtl/>
        </w:rPr>
        <w:t>:</w:t>
      </w:r>
      <w:r w:rsidRPr="00B0061C">
        <w:rPr>
          <w:rFonts w:cs="Arial"/>
          <w:rtl/>
        </w:rPr>
        <w:t xml:space="preserve"> לא אמר אלא האב</w:t>
      </w:r>
      <w:r w:rsidR="00DA2FD3">
        <w:rPr>
          <w:rFonts w:cs="Arial" w:hint="cs"/>
          <w:rtl/>
        </w:rPr>
        <w:t>,</w:t>
      </w:r>
      <w:r w:rsidRPr="00B0061C">
        <w:rPr>
          <w:rFonts w:cs="Arial"/>
          <w:rtl/>
        </w:rPr>
        <w:t xml:space="preserve"> הא אחר אינו גובה</w:t>
      </w:r>
      <w:r w:rsidR="00DA2FD3">
        <w:rPr>
          <w:rFonts w:cs="Arial" w:hint="cs"/>
          <w:rtl/>
        </w:rPr>
        <w:t>.</w:t>
      </w:r>
      <w:r w:rsidRPr="00B0061C">
        <w:rPr>
          <w:rFonts w:cs="Arial"/>
          <w:rtl/>
        </w:rPr>
        <w:t xml:space="preserve"> </w:t>
      </w:r>
      <w:r w:rsidRPr="00DA2FD3">
        <w:rPr>
          <w:rFonts w:cs="Arial"/>
          <w:u w:val="single"/>
          <w:rtl/>
        </w:rPr>
        <w:t>ר' יוסי אומר</w:t>
      </w:r>
      <w:r w:rsidR="00DA2FD3">
        <w:rPr>
          <w:rFonts w:cs="Arial" w:hint="cs"/>
          <w:rtl/>
        </w:rPr>
        <w:t>:</w:t>
      </w:r>
      <w:r w:rsidRPr="00B0061C">
        <w:rPr>
          <w:rFonts w:cs="Arial"/>
          <w:rtl/>
        </w:rPr>
        <w:t xml:space="preserve"> בין אב בין אחר גובה</w:t>
      </w:r>
      <w:r w:rsidR="00DA2FD3">
        <w:rPr>
          <w:rFonts w:cs="Arial" w:hint="cs"/>
          <w:rtl/>
        </w:rPr>
        <w:t>.</w:t>
      </w:r>
      <w:r w:rsidRPr="00B0061C">
        <w:rPr>
          <w:rFonts w:cs="Arial"/>
          <w:rtl/>
        </w:rPr>
        <w:t xml:space="preserve"> על דעתיה דר' חגיי בין לקבורה בין למזונות האב גובה אחר אינו גובה</w:t>
      </w:r>
      <w:r w:rsidR="00DA2FD3">
        <w:rPr>
          <w:rFonts w:cs="Arial" w:hint="cs"/>
          <w:rtl/>
        </w:rPr>
        <w:t>.</w:t>
      </w:r>
      <w:r w:rsidRPr="00B0061C">
        <w:rPr>
          <w:rFonts w:cs="Arial"/>
          <w:rtl/>
        </w:rPr>
        <w:t xml:space="preserve"> על דעתיה דר' יוסי לקבורה בין אב בין אחר גובה</w:t>
      </w:r>
      <w:r w:rsidR="00DA2FD3">
        <w:rPr>
          <w:rFonts w:cs="Arial" w:hint="cs"/>
          <w:rtl/>
        </w:rPr>
        <w:t>,</w:t>
      </w:r>
      <w:r w:rsidRPr="00B0061C">
        <w:rPr>
          <w:rFonts w:cs="Arial"/>
          <w:rtl/>
        </w:rPr>
        <w:t xml:space="preserve"> שלא עלת על דעת שתהא אשתו מושלכת לכלבים</w:t>
      </w:r>
      <w:r w:rsidR="00DA2FD3">
        <w:rPr>
          <w:rFonts w:cs="Arial" w:hint="cs"/>
          <w:rtl/>
        </w:rPr>
        <w:t>,</w:t>
      </w:r>
      <w:r w:rsidRPr="00B0061C">
        <w:rPr>
          <w:rFonts w:cs="Arial"/>
          <w:rtl/>
        </w:rPr>
        <w:t xml:space="preserve"> ובמזונות בין אב בין אחר אינו גובה</w:t>
      </w:r>
      <w:r>
        <w:rPr>
          <w:rFonts w:hint="cs"/>
          <w:rtl/>
        </w:rPr>
        <w:t>.</w:t>
      </w:r>
      <w:r w:rsidR="008953CE" w:rsidRPr="008953CE">
        <w:rPr>
          <w:rFonts w:cs="Arial"/>
          <w:rtl/>
        </w:rPr>
        <w:t xml:space="preserve"> </w:t>
      </w:r>
      <w:r w:rsidR="008953CE" w:rsidRPr="008953CE">
        <w:rPr>
          <w:rFonts w:cs="Arial" w:hint="cs"/>
          <w:sz w:val="16"/>
          <w:szCs w:val="16"/>
          <w:rtl/>
        </w:rPr>
        <w:t>(</w:t>
      </w:r>
      <w:r w:rsidR="008953CE" w:rsidRPr="008953CE">
        <w:rPr>
          <w:rFonts w:cs="Arial"/>
          <w:sz w:val="16"/>
          <w:szCs w:val="16"/>
          <w:rtl/>
        </w:rPr>
        <w:t xml:space="preserve">וכתב הרב המגיד </w:t>
      </w:r>
      <w:r w:rsidR="008953CE" w:rsidRPr="008953CE">
        <w:rPr>
          <w:rFonts w:cs="Arial" w:hint="cs"/>
          <w:sz w:val="16"/>
          <w:szCs w:val="16"/>
          <w:rtl/>
        </w:rPr>
        <w:t>ד</w:t>
      </w:r>
      <w:r w:rsidR="008953CE" w:rsidRPr="008953CE">
        <w:rPr>
          <w:rFonts w:cs="Arial"/>
          <w:sz w:val="16"/>
          <w:szCs w:val="16"/>
          <w:rtl/>
        </w:rPr>
        <w:t xml:space="preserve">פסק </w:t>
      </w:r>
      <w:r w:rsidR="008953CE" w:rsidRPr="008953CE">
        <w:rPr>
          <w:rFonts w:cs="Arial" w:hint="cs"/>
          <w:sz w:val="16"/>
          <w:szCs w:val="16"/>
          <w:rtl/>
        </w:rPr>
        <w:t>ה</w:t>
      </w:r>
      <w:r w:rsidR="008953CE" w:rsidRPr="008953CE">
        <w:rPr>
          <w:rFonts w:cs="Arial"/>
          <w:sz w:val="16"/>
          <w:szCs w:val="16"/>
          <w:rtl/>
        </w:rPr>
        <w:t xml:space="preserve">רמב"ם </w:t>
      </w:r>
      <w:r w:rsidR="008953CE" w:rsidRPr="008953CE">
        <w:rPr>
          <w:rFonts w:cs="Arial" w:hint="cs"/>
          <w:sz w:val="16"/>
          <w:szCs w:val="16"/>
          <w:rtl/>
        </w:rPr>
        <w:t>(</w:t>
      </w:r>
      <w:r w:rsidR="008953CE" w:rsidRPr="008953CE">
        <w:rPr>
          <w:rFonts w:cs="Arial"/>
          <w:sz w:val="16"/>
          <w:szCs w:val="16"/>
          <w:rtl/>
        </w:rPr>
        <w:t>פי"ד</w:t>
      </w:r>
      <w:r w:rsidR="009D0234">
        <w:rPr>
          <w:rFonts w:cs="Arial" w:hint="cs"/>
          <w:sz w:val="16"/>
          <w:szCs w:val="16"/>
          <w:rtl/>
        </w:rPr>
        <w:t xml:space="preserve"> מאישות</w:t>
      </w:r>
      <w:r w:rsidR="008953CE" w:rsidRPr="008953CE">
        <w:rPr>
          <w:rFonts w:cs="Arial"/>
          <w:sz w:val="16"/>
          <w:szCs w:val="16"/>
          <w:rtl/>
        </w:rPr>
        <w:t xml:space="preserve"> הכ"ד) כרבי יוסי</w:t>
      </w:r>
      <w:r w:rsidR="008953CE" w:rsidRPr="008953CE">
        <w:rPr>
          <w:rFonts w:cs="Arial" w:hint="cs"/>
          <w:sz w:val="16"/>
          <w:szCs w:val="16"/>
          <w:rtl/>
        </w:rPr>
        <w:t>,</w:t>
      </w:r>
      <w:r w:rsidR="008953CE" w:rsidRPr="008953CE">
        <w:rPr>
          <w:rFonts w:cs="Arial"/>
          <w:sz w:val="16"/>
          <w:szCs w:val="16"/>
          <w:rtl/>
        </w:rPr>
        <w:t xml:space="preserve"> והאריך הרב המגיד בטעם הדבר</w:t>
      </w:r>
      <w:r w:rsidR="008953CE" w:rsidRPr="008953CE">
        <w:rPr>
          <w:rFonts w:cs="Arial" w:hint="cs"/>
          <w:sz w:val="16"/>
          <w:szCs w:val="16"/>
          <w:rtl/>
        </w:rPr>
        <w:t>,</w:t>
      </w:r>
      <w:r w:rsidR="008953CE" w:rsidRPr="008953CE">
        <w:rPr>
          <w:rFonts w:cs="Arial"/>
          <w:sz w:val="16"/>
          <w:szCs w:val="16"/>
          <w:rtl/>
        </w:rPr>
        <w:t xml:space="preserve"> וחלק על הרשב"א (מח. ד"ה אמר) שפסק כרבי חגי</w:t>
      </w:r>
      <w:r w:rsidR="009C0D9B">
        <w:rPr>
          <w:rFonts w:cs="Arial" w:hint="cs"/>
          <w:sz w:val="16"/>
          <w:szCs w:val="16"/>
          <w:rtl/>
        </w:rPr>
        <w:t>, ב"י</w:t>
      </w:r>
      <w:r w:rsidR="008953CE">
        <w:rPr>
          <w:rFonts w:cs="Arial" w:hint="cs"/>
          <w:sz w:val="16"/>
          <w:szCs w:val="16"/>
          <w:rtl/>
        </w:rPr>
        <w:t>)</w:t>
      </w:r>
      <w:r w:rsidR="008953CE" w:rsidRPr="00D37988">
        <w:rPr>
          <w:rFonts w:cs="Arial"/>
          <w:rtl/>
        </w:rPr>
        <w:t xml:space="preserve"> </w:t>
      </w:r>
    </w:p>
    <w:p w14:paraId="7654A258" w14:textId="0B78F218" w:rsidR="00C61DC9" w:rsidRPr="00B0061C" w:rsidRDefault="00B0061C" w:rsidP="00C61DC9">
      <w:pPr>
        <w:rPr>
          <w:u w:val="single"/>
          <w:rtl/>
        </w:rPr>
      </w:pPr>
      <w:r w:rsidRPr="00B0061C">
        <w:rPr>
          <w:rFonts w:hint="cs"/>
          <w:u w:val="single"/>
          <w:rtl/>
        </w:rPr>
        <w:t>בעל שלא רצה לקבור את אשתו ועמד אחר וקברה:</w:t>
      </w:r>
    </w:p>
    <w:p w14:paraId="45A99C6F" w14:textId="2A1D659B" w:rsidR="00D37988" w:rsidRDefault="008953CE" w:rsidP="009000E3">
      <w:pPr>
        <w:pStyle w:val="ab"/>
        <w:numPr>
          <w:ilvl w:val="0"/>
          <w:numId w:val="53"/>
        </w:numPr>
      </w:pPr>
      <w:r w:rsidRPr="00D37988">
        <w:rPr>
          <w:rFonts w:cs="Arial"/>
          <w:rtl/>
        </w:rPr>
        <w:t xml:space="preserve">רמב"ם </w:t>
      </w:r>
      <w:r w:rsidRPr="008953CE">
        <w:rPr>
          <w:rFonts w:cs="Arial" w:hint="cs"/>
          <w:sz w:val="16"/>
          <w:szCs w:val="16"/>
          <w:rtl/>
        </w:rPr>
        <w:t>(</w:t>
      </w:r>
      <w:r w:rsidRPr="008953CE">
        <w:rPr>
          <w:rFonts w:cs="Arial"/>
          <w:sz w:val="16"/>
          <w:szCs w:val="16"/>
          <w:rtl/>
        </w:rPr>
        <w:t>פי"ד הכ"ד)</w:t>
      </w:r>
      <w:r>
        <w:rPr>
          <w:rFonts w:cs="Arial" w:hint="cs"/>
          <w:rtl/>
        </w:rPr>
        <w:t xml:space="preserve"> ו</w:t>
      </w:r>
      <w:r w:rsidR="00EB79BF">
        <w:rPr>
          <w:rFonts w:cs="Arial" w:hint="cs"/>
          <w:rtl/>
        </w:rPr>
        <w:t xml:space="preserve">טור- </w:t>
      </w:r>
      <w:r w:rsidR="00EB79BF" w:rsidRPr="00D37988">
        <w:rPr>
          <w:rFonts w:cs="Arial"/>
          <w:rtl/>
        </w:rPr>
        <w:t>לא רצה לקוברה</w:t>
      </w:r>
      <w:r w:rsidR="001A0000">
        <w:rPr>
          <w:rFonts w:cs="Arial" w:hint="cs"/>
          <w:rtl/>
        </w:rPr>
        <w:t>,</w:t>
      </w:r>
      <w:r w:rsidR="00EB79BF" w:rsidRPr="00D37988">
        <w:rPr>
          <w:rFonts w:cs="Arial"/>
          <w:rtl/>
        </w:rPr>
        <w:t xml:space="preserve"> עמד אחד וקברה </w:t>
      </w:r>
      <w:r w:rsidR="001A0000">
        <w:rPr>
          <w:rFonts w:cs="Arial" w:hint="cs"/>
          <w:rtl/>
        </w:rPr>
        <w:t xml:space="preserve">- </w:t>
      </w:r>
      <w:r w:rsidR="00EB79BF" w:rsidRPr="00D37988">
        <w:rPr>
          <w:rFonts w:cs="Arial"/>
          <w:rtl/>
        </w:rPr>
        <w:t>בית דין מוציאין ממנו ונותנין לזה</w:t>
      </w:r>
      <w:r>
        <w:rPr>
          <w:rStyle w:val="a7"/>
          <w:rFonts w:cs="Arial"/>
          <w:rtl/>
        </w:rPr>
        <w:footnoteReference w:id="1174"/>
      </w:r>
      <w:r>
        <w:rPr>
          <w:rFonts w:cs="Arial" w:hint="cs"/>
          <w:sz w:val="16"/>
          <w:szCs w:val="16"/>
          <w:rtl/>
        </w:rPr>
        <w:t xml:space="preserve"> (ל' הטור)</w:t>
      </w:r>
      <w:r>
        <w:rPr>
          <w:rFonts w:cs="Arial" w:hint="cs"/>
          <w:rtl/>
        </w:rPr>
        <w:t>.</w:t>
      </w:r>
      <w:r w:rsidR="009C0D9B" w:rsidRPr="009C0D9B">
        <w:rPr>
          <w:rFonts w:hint="cs"/>
          <w:color w:val="E36C0A" w:themeColor="accent6" w:themeShade="BF"/>
          <w:rtl/>
        </w:rPr>
        <w:t xml:space="preserve"> </w:t>
      </w:r>
      <w:r w:rsidR="009C0D9B" w:rsidRPr="00A6197B">
        <w:rPr>
          <w:rFonts w:hint="cs"/>
          <w:color w:val="E36C0A" w:themeColor="accent6" w:themeShade="BF"/>
          <w:rtl/>
        </w:rPr>
        <w:t>(וכ"פ בשו"ע)</w:t>
      </w:r>
    </w:p>
    <w:p w14:paraId="44CFA694" w14:textId="5AE1CCDD" w:rsidR="002E0BE8" w:rsidRDefault="002E0BE8" w:rsidP="009000E3">
      <w:pPr>
        <w:pStyle w:val="ab"/>
        <w:numPr>
          <w:ilvl w:val="0"/>
          <w:numId w:val="53"/>
        </w:numPr>
      </w:pPr>
      <w:r>
        <w:rPr>
          <w:rFonts w:hint="cs"/>
          <w:rtl/>
        </w:rPr>
        <w:t xml:space="preserve">רשב"א </w:t>
      </w:r>
      <w:r w:rsidRPr="008953CE">
        <w:rPr>
          <w:rFonts w:cs="Arial"/>
          <w:sz w:val="16"/>
          <w:szCs w:val="16"/>
          <w:rtl/>
        </w:rPr>
        <w:t>(מח. ד"ה אמר)</w:t>
      </w:r>
      <w:r>
        <w:rPr>
          <w:rFonts w:cs="Arial" w:hint="cs"/>
          <w:rtl/>
        </w:rPr>
        <w:t xml:space="preserve"> ור"ן </w:t>
      </w:r>
      <w:r w:rsidRPr="002E0BE8">
        <w:rPr>
          <w:rFonts w:cs="Arial" w:hint="cs"/>
          <w:sz w:val="16"/>
          <w:szCs w:val="16"/>
          <w:rtl/>
        </w:rPr>
        <w:t>(</w:t>
      </w:r>
      <w:r w:rsidRPr="002E0BE8">
        <w:rPr>
          <w:rFonts w:cs="Arial"/>
          <w:sz w:val="16"/>
          <w:szCs w:val="16"/>
          <w:rtl/>
        </w:rPr>
        <w:t>פרק נערה יז. ד"ה וזנין)</w:t>
      </w:r>
      <w:r>
        <w:rPr>
          <w:rFonts w:cs="Arial" w:hint="cs"/>
          <w:rtl/>
        </w:rPr>
        <w:t xml:space="preserve">- </w:t>
      </w:r>
      <w:r w:rsidRPr="002E0BE8">
        <w:rPr>
          <w:rFonts w:cs="Arial"/>
          <w:rtl/>
        </w:rPr>
        <w:t>מ"מ שמעינן מיניה דלכו"ע האב קובר שלא על פי ב"ד וחוזר וגובה מן הבעל, אלא אחר כיון דפלוגתא דאמוראי היא התם ולא ידעינן כמאן, נקיטינן כמאן דאמר אינו גובה דהמוציא מחבירו עליו הראיה</w:t>
      </w:r>
      <w:r w:rsidR="005912DA">
        <w:rPr>
          <w:rStyle w:val="a7"/>
          <w:rFonts w:cs="Arial"/>
          <w:rtl/>
        </w:rPr>
        <w:footnoteReference w:id="1175"/>
      </w:r>
      <w:r w:rsidR="005912DA">
        <w:rPr>
          <w:rFonts w:cs="Arial" w:hint="cs"/>
          <w:sz w:val="16"/>
          <w:szCs w:val="16"/>
        </w:rPr>
        <w:t xml:space="preserve"> </w:t>
      </w:r>
      <w:r w:rsidR="005912DA">
        <w:rPr>
          <w:rFonts w:cs="Arial" w:hint="cs"/>
          <w:sz w:val="16"/>
          <w:szCs w:val="16"/>
          <w:rtl/>
        </w:rPr>
        <w:t>(ל' הרשב"א)</w:t>
      </w:r>
      <w:r w:rsidRPr="002E0BE8">
        <w:rPr>
          <w:rFonts w:cs="Arial"/>
          <w:rtl/>
        </w:rPr>
        <w:t>.</w:t>
      </w:r>
    </w:p>
    <w:p w14:paraId="15263903" w14:textId="4AB88AF8" w:rsidR="009C0D9B" w:rsidRPr="009C0D9B" w:rsidRDefault="009C0D9B" w:rsidP="009C0D9B">
      <w:pPr>
        <w:rPr>
          <w:u w:val="single"/>
        </w:rPr>
      </w:pPr>
      <w:r w:rsidRPr="009C0D9B">
        <w:rPr>
          <w:rFonts w:hint="cs"/>
          <w:u w:val="single"/>
          <w:rtl/>
        </w:rPr>
        <w:t xml:space="preserve">מי שלא היו יודעים שיש לו ממון, וקברו את אשתו ממעות צדקה </w:t>
      </w:r>
      <w:r w:rsidR="00F97626">
        <w:rPr>
          <w:u w:val="single"/>
          <w:rtl/>
        </w:rPr>
        <w:t>-</w:t>
      </w:r>
      <w:r w:rsidRPr="009C0D9B">
        <w:rPr>
          <w:rFonts w:hint="cs"/>
          <w:u w:val="single"/>
          <w:rtl/>
        </w:rPr>
        <w:t xml:space="preserve"> ואח"כ נודע שיש לו ממון:</w:t>
      </w:r>
    </w:p>
    <w:p w14:paraId="32FCBDCA" w14:textId="567222BA" w:rsidR="008953CE" w:rsidRPr="00D37988" w:rsidRDefault="008953CE" w:rsidP="009000E3">
      <w:pPr>
        <w:pStyle w:val="ab"/>
        <w:numPr>
          <w:ilvl w:val="0"/>
          <w:numId w:val="53"/>
        </w:numPr>
        <w:rPr>
          <w:rtl/>
        </w:rPr>
      </w:pPr>
      <w:r>
        <w:rPr>
          <w:rFonts w:cs="Arial" w:hint="cs"/>
          <w:rtl/>
        </w:rPr>
        <w:t xml:space="preserve">דרכ"מ </w:t>
      </w:r>
      <w:r w:rsidRPr="009C0D9B">
        <w:rPr>
          <w:rFonts w:cs="Arial" w:hint="cs"/>
          <w:sz w:val="16"/>
          <w:szCs w:val="16"/>
          <w:rtl/>
        </w:rPr>
        <w:t>(אות ג)</w:t>
      </w:r>
      <w:r w:rsidR="009C0D9B">
        <w:rPr>
          <w:rFonts w:cs="Arial" w:hint="cs"/>
          <w:rtl/>
        </w:rPr>
        <w:t>-</w:t>
      </w:r>
      <w:r>
        <w:rPr>
          <w:rFonts w:cs="Arial" w:hint="cs"/>
          <w:rtl/>
        </w:rPr>
        <w:t xml:space="preserve"> </w:t>
      </w:r>
      <w:r w:rsidRPr="00C16802">
        <w:rPr>
          <w:rFonts w:cs="Arial"/>
          <w:rtl/>
        </w:rPr>
        <w:t>מצאתי בהגהות מרדכי בדפוס החדש בשם מוהר"ם באחד שלא היו יודעים לו ממון וקברו אשתו ממעות צדקה</w:t>
      </w:r>
      <w:r w:rsidR="009C0D9B">
        <w:rPr>
          <w:rFonts w:cs="Arial" w:hint="cs"/>
          <w:rtl/>
        </w:rPr>
        <w:t>,</w:t>
      </w:r>
      <w:r w:rsidRPr="00C16802">
        <w:rPr>
          <w:rFonts w:cs="Arial"/>
          <w:rtl/>
        </w:rPr>
        <w:t xml:space="preserve"> ואחר כך נודע לו מעות</w:t>
      </w:r>
      <w:r w:rsidR="009C0D9B">
        <w:rPr>
          <w:rFonts w:cs="Arial" w:hint="cs"/>
          <w:rtl/>
        </w:rPr>
        <w:t>,</w:t>
      </w:r>
      <w:r w:rsidRPr="00C16802">
        <w:rPr>
          <w:rFonts w:cs="Arial"/>
          <w:rtl/>
        </w:rPr>
        <w:t xml:space="preserve"> ופסק דצריך לשלם אפילו למ"ד אין מוציאין אלא לאב בנדון זה מודה</w:t>
      </w:r>
      <w:r w:rsidR="009C0D9B">
        <w:rPr>
          <w:rStyle w:val="a7"/>
          <w:rFonts w:cs="Arial"/>
          <w:rtl/>
        </w:rPr>
        <w:footnoteReference w:id="1176"/>
      </w:r>
      <w:r w:rsidR="009C0D9B">
        <w:rPr>
          <w:rFonts w:hint="cs"/>
          <w:rtl/>
        </w:rPr>
        <w:t>.</w:t>
      </w:r>
      <w:r w:rsidR="00444578">
        <w:rPr>
          <w:rFonts w:hint="cs"/>
          <w:rtl/>
        </w:rPr>
        <w:t xml:space="preserve"> (וכ"פ ב"ש</w:t>
      </w:r>
      <w:r w:rsidR="00444578">
        <w:rPr>
          <w:rFonts w:hint="cs"/>
          <w:sz w:val="16"/>
          <w:szCs w:val="16"/>
          <w:rtl/>
        </w:rPr>
        <w:t xml:space="preserve"> [סק"ג]</w:t>
      </w:r>
      <w:r w:rsidR="00444578">
        <w:rPr>
          <w:rFonts w:hint="cs"/>
          <w:rtl/>
        </w:rPr>
        <w:t>)</w:t>
      </w:r>
    </w:p>
    <w:p w14:paraId="03775996"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76B5E1D7" w14:textId="3356ACAC" w:rsidR="007A3469" w:rsidRDefault="007A3469" w:rsidP="007A3469">
      <w:pPr>
        <w:rPr>
          <w:rtl/>
        </w:rPr>
      </w:pPr>
      <w:r>
        <w:rPr>
          <w:rFonts w:cs="Arial"/>
          <w:rtl/>
        </w:rPr>
        <w:t>לא רצה לקוברה, ועמד אחר וקברה, ב</w:t>
      </w:r>
      <w:r w:rsidR="00EB79BF">
        <w:rPr>
          <w:rFonts w:cs="Arial" w:hint="cs"/>
          <w:rtl/>
        </w:rPr>
        <w:t xml:space="preserve">ית </w:t>
      </w:r>
      <w:r>
        <w:rPr>
          <w:rFonts w:cs="Arial"/>
          <w:rtl/>
        </w:rPr>
        <w:t>ד</w:t>
      </w:r>
      <w:r w:rsidR="00EB79BF">
        <w:rPr>
          <w:rFonts w:cs="Arial" w:hint="cs"/>
          <w:rtl/>
        </w:rPr>
        <w:t>ין</w:t>
      </w:r>
      <w:r>
        <w:rPr>
          <w:rFonts w:cs="Arial"/>
          <w:rtl/>
        </w:rPr>
        <w:t xml:space="preserve"> מוציאין מבעלה ונותנין לזה. </w:t>
      </w:r>
    </w:p>
    <w:p w14:paraId="39CAE29A" w14:textId="77777777" w:rsidR="00C16802" w:rsidRDefault="00C16802" w:rsidP="007A3469">
      <w:pPr>
        <w:rPr>
          <w:rtl/>
        </w:rPr>
      </w:pPr>
    </w:p>
    <w:p w14:paraId="3AA5EC51" w14:textId="1BA4BB98" w:rsidR="007A3469" w:rsidRDefault="007A3469" w:rsidP="000F64D0">
      <w:pPr>
        <w:pStyle w:val="2"/>
        <w:rPr>
          <w:rtl/>
        </w:rPr>
      </w:pPr>
      <w:r>
        <w:rPr>
          <w:rtl/>
        </w:rPr>
        <w:t>סעיף ג</w:t>
      </w:r>
      <w:r w:rsidR="009C0D9B">
        <w:rPr>
          <w:rFonts w:hint="cs"/>
          <w:rtl/>
        </w:rPr>
        <w:t>: הלך למדינת הים ומתה אשתו וצריך לקוברה.</w:t>
      </w:r>
    </w:p>
    <w:p w14:paraId="19BD84F9" w14:textId="65A6CC93" w:rsidR="009D0234" w:rsidRDefault="009D0234" w:rsidP="009D0234">
      <w:pPr>
        <w:rPr>
          <w:rtl/>
        </w:rPr>
      </w:pPr>
      <w:r w:rsidRPr="00AB0AB9">
        <w:rPr>
          <w:rFonts w:cs="Arial" w:hint="cs"/>
          <w:b/>
          <w:bCs/>
          <w:rtl/>
        </w:rPr>
        <w:t>כתובות</w:t>
      </w:r>
      <w:r>
        <w:rPr>
          <w:rFonts w:cs="Arial" w:hint="cs"/>
          <w:b/>
          <w:bCs/>
          <w:rtl/>
        </w:rPr>
        <w:t xml:space="preserve"> </w:t>
      </w:r>
      <w:r>
        <w:rPr>
          <w:rFonts w:cs="Arial" w:hint="cs"/>
          <w:b/>
          <w:bCs/>
          <w:sz w:val="16"/>
          <w:szCs w:val="16"/>
          <w:rtl/>
        </w:rPr>
        <w:t>(פ' נערה שנתפתתה)</w:t>
      </w:r>
      <w:r w:rsidRPr="00AB0AB9">
        <w:rPr>
          <w:rFonts w:cs="Arial" w:hint="cs"/>
          <w:b/>
          <w:bCs/>
          <w:rtl/>
        </w:rPr>
        <w:t xml:space="preserve"> מ</w:t>
      </w:r>
      <w:r>
        <w:rPr>
          <w:rFonts w:cs="Arial" w:hint="cs"/>
          <w:b/>
          <w:bCs/>
          <w:rtl/>
        </w:rPr>
        <w:t>ו</w:t>
      </w:r>
      <w:r w:rsidR="00442918">
        <w:rPr>
          <w:rStyle w:val="a7"/>
          <w:rFonts w:cs="Arial"/>
          <w:b/>
          <w:bCs/>
          <w:rtl/>
        </w:rPr>
        <w:footnoteReference w:id="1177"/>
      </w:r>
      <w:r w:rsidRPr="00AB0AB9">
        <w:rPr>
          <w:rFonts w:cs="Arial" w:hint="cs"/>
          <w:b/>
          <w:bCs/>
          <w:rtl/>
        </w:rPr>
        <w:t xml:space="preserve"> ע"ב: </w:t>
      </w:r>
      <w:r w:rsidRPr="009D0234">
        <w:rPr>
          <w:rFonts w:cs="Arial"/>
          <w:u w:val="single"/>
          <w:rtl/>
        </w:rPr>
        <w:t>אמר רב חייא בר אבין אמר רב הונא</w:t>
      </w:r>
      <w:r w:rsidRPr="009D0234">
        <w:rPr>
          <w:rFonts w:cs="Arial"/>
          <w:rtl/>
        </w:rPr>
        <w:t>: מי שהלך למדינת הים ומתה אשתו, ב"ד יורדין לנכסיו וקוברין אותה לפי כבודו. לפי כבודו ולא לפי כבודה? אימא: אף לפי כבודו, הא קמ"ל: עולה עמו ואינה יורדת עמו ואפילו לאחר מיתה.</w:t>
      </w:r>
    </w:p>
    <w:p w14:paraId="535F9C8C" w14:textId="454496B3" w:rsidR="00444578" w:rsidRPr="009D0234" w:rsidRDefault="00444578" w:rsidP="009D0234">
      <w:pPr>
        <w:rPr>
          <w:rtl/>
        </w:rPr>
      </w:pPr>
      <w:r w:rsidRPr="00AB0AB9">
        <w:rPr>
          <w:rFonts w:cs="Arial" w:hint="cs"/>
          <w:b/>
          <w:bCs/>
          <w:rtl/>
        </w:rPr>
        <w:t>כתובות</w:t>
      </w:r>
      <w:r>
        <w:rPr>
          <w:rFonts w:cs="Arial" w:hint="cs"/>
          <w:b/>
          <w:bCs/>
          <w:rtl/>
        </w:rPr>
        <w:t xml:space="preserve"> </w:t>
      </w:r>
      <w:r>
        <w:rPr>
          <w:rFonts w:cs="Arial" w:hint="cs"/>
          <w:b/>
          <w:bCs/>
          <w:sz w:val="16"/>
          <w:szCs w:val="16"/>
          <w:rtl/>
        </w:rPr>
        <w:t>(פ' אלמנה ניזונת)</w:t>
      </w:r>
      <w:r w:rsidRPr="00AB0AB9">
        <w:rPr>
          <w:rFonts w:cs="Arial" w:hint="cs"/>
          <w:b/>
          <w:bCs/>
          <w:rtl/>
        </w:rPr>
        <w:t xml:space="preserve"> </w:t>
      </w:r>
      <w:r>
        <w:rPr>
          <w:rFonts w:cs="Arial" w:hint="cs"/>
          <w:b/>
          <w:bCs/>
          <w:rtl/>
        </w:rPr>
        <w:t>ק</w:t>
      </w:r>
      <w:r w:rsidRPr="00AB0AB9">
        <w:rPr>
          <w:rFonts w:cs="Arial" w:hint="cs"/>
          <w:b/>
          <w:bCs/>
          <w:rtl/>
        </w:rPr>
        <w:t xml:space="preserve"> ע"ב:</w:t>
      </w:r>
      <w:r>
        <w:rPr>
          <w:rFonts w:cs="Arial" w:hint="cs"/>
          <w:rtl/>
        </w:rPr>
        <w:t xml:space="preserve"> </w:t>
      </w:r>
      <w:r w:rsidRPr="00444578">
        <w:rPr>
          <w:rFonts w:cs="Arial"/>
          <w:u w:val="single"/>
          <w:rtl/>
        </w:rPr>
        <w:t>דאמרי נהרדעי</w:t>
      </w:r>
      <w:r w:rsidRPr="00444578">
        <w:rPr>
          <w:rFonts w:cs="Arial"/>
          <w:rtl/>
        </w:rPr>
        <w:t>: לכרגא, למזוני, ולקבורה - מזבנינן בלא אכרזתא.</w:t>
      </w:r>
    </w:p>
    <w:p w14:paraId="412CB021" w14:textId="0CB4DDBF" w:rsidR="009C0D9B" w:rsidRPr="009C0D9B" w:rsidRDefault="009C0D9B" w:rsidP="009C0D9B">
      <w:pPr>
        <w:rPr>
          <w:u w:val="single"/>
          <w:rtl/>
        </w:rPr>
      </w:pPr>
      <w:r w:rsidRPr="009C0D9B">
        <w:rPr>
          <w:rFonts w:hint="cs"/>
          <w:u w:val="single"/>
          <w:rtl/>
        </w:rPr>
        <w:lastRenderedPageBreak/>
        <w:t>הלך למדינת הים ומתה אשתו וצריך לקוברה:</w:t>
      </w:r>
    </w:p>
    <w:p w14:paraId="3A4443C9" w14:textId="5BE09333" w:rsidR="00EB79BF" w:rsidRDefault="009C0D9B" w:rsidP="009000E3">
      <w:pPr>
        <w:pStyle w:val="ab"/>
        <w:numPr>
          <w:ilvl w:val="0"/>
          <w:numId w:val="53"/>
        </w:numPr>
      </w:pPr>
      <w:r>
        <w:rPr>
          <w:rFonts w:cs="Arial" w:hint="cs"/>
          <w:rtl/>
        </w:rPr>
        <w:t xml:space="preserve">טור- </w:t>
      </w:r>
      <w:r w:rsidR="00EB79BF" w:rsidRPr="00D37988">
        <w:rPr>
          <w:rFonts w:cs="Arial"/>
          <w:rtl/>
        </w:rPr>
        <w:t>ואם הלך למדינת הים ומתה בית דין יורדין לנכסיו ומוכרין</w:t>
      </w:r>
      <w:r w:rsidR="00EB79BF">
        <w:rPr>
          <w:rStyle w:val="a7"/>
          <w:rFonts w:cs="Arial"/>
          <w:rtl/>
        </w:rPr>
        <w:footnoteReference w:id="1178"/>
      </w:r>
      <w:r w:rsidR="00EB79BF" w:rsidRPr="00D37988">
        <w:rPr>
          <w:rFonts w:cs="Arial"/>
          <w:rtl/>
        </w:rPr>
        <w:t xml:space="preserve"> וקוברין אותה לפי כבודה</w:t>
      </w:r>
      <w:r>
        <w:rPr>
          <w:rFonts w:cs="Arial" w:hint="cs"/>
          <w:rtl/>
        </w:rPr>
        <w:t>.</w:t>
      </w:r>
    </w:p>
    <w:p w14:paraId="3CB55C37" w14:textId="18F6A9E8" w:rsidR="009D0234" w:rsidRDefault="009D0234" w:rsidP="009000E3">
      <w:pPr>
        <w:pStyle w:val="ab"/>
        <w:numPr>
          <w:ilvl w:val="0"/>
          <w:numId w:val="53"/>
        </w:numPr>
      </w:pPr>
      <w:r w:rsidRPr="00D37988">
        <w:rPr>
          <w:rFonts w:cs="Arial"/>
          <w:rtl/>
        </w:rPr>
        <w:t xml:space="preserve">רמב"ם </w:t>
      </w:r>
      <w:r w:rsidRPr="008953CE">
        <w:rPr>
          <w:rFonts w:cs="Arial" w:hint="cs"/>
          <w:sz w:val="16"/>
          <w:szCs w:val="16"/>
          <w:rtl/>
        </w:rPr>
        <w:t>(</w:t>
      </w:r>
      <w:r w:rsidRPr="008953CE">
        <w:rPr>
          <w:rFonts w:cs="Arial"/>
          <w:sz w:val="16"/>
          <w:szCs w:val="16"/>
          <w:rtl/>
        </w:rPr>
        <w:t xml:space="preserve">פי"ד </w:t>
      </w:r>
      <w:r>
        <w:rPr>
          <w:rFonts w:cs="Arial" w:hint="cs"/>
          <w:sz w:val="16"/>
          <w:szCs w:val="16"/>
          <w:rtl/>
        </w:rPr>
        <w:t xml:space="preserve">מאישות </w:t>
      </w:r>
      <w:r w:rsidRPr="008953CE">
        <w:rPr>
          <w:rFonts w:cs="Arial"/>
          <w:sz w:val="16"/>
          <w:szCs w:val="16"/>
          <w:rtl/>
        </w:rPr>
        <w:t>הכ"ד)</w:t>
      </w:r>
      <w:r>
        <w:rPr>
          <w:rFonts w:cs="Arial" w:hint="cs"/>
          <w:rtl/>
        </w:rPr>
        <w:t xml:space="preserve">- </w:t>
      </w:r>
      <w:r w:rsidRPr="009D0234">
        <w:rPr>
          <w:rFonts w:cs="Arial"/>
          <w:rtl/>
        </w:rPr>
        <w:t>היה במדינה אחרת כשמתה אשתו</w:t>
      </w:r>
      <w:r w:rsidR="000547D9">
        <w:rPr>
          <w:rFonts w:cs="Arial" w:hint="cs"/>
          <w:rtl/>
        </w:rPr>
        <w:t>,</w:t>
      </w:r>
      <w:r w:rsidRPr="009D0234">
        <w:rPr>
          <w:rFonts w:cs="Arial"/>
          <w:rtl/>
        </w:rPr>
        <w:t xml:space="preserve"> בית דין יורדין לנכסיו ומוכרין בלא הכרזה</w:t>
      </w:r>
      <w:r w:rsidR="00444578">
        <w:rPr>
          <w:rStyle w:val="a7"/>
          <w:rFonts w:cs="Arial"/>
          <w:rtl/>
        </w:rPr>
        <w:footnoteReference w:id="1179"/>
      </w:r>
      <w:r w:rsidR="000547D9">
        <w:rPr>
          <w:rFonts w:cs="Arial" w:hint="cs"/>
          <w:rtl/>
        </w:rPr>
        <w:t>,</w:t>
      </w:r>
      <w:r w:rsidRPr="009D0234">
        <w:rPr>
          <w:rFonts w:cs="Arial"/>
          <w:rtl/>
        </w:rPr>
        <w:t xml:space="preserve"> וקוברין אותה לפי ממון הבעל ולפי כבודו או לפי כבודה.</w:t>
      </w:r>
      <w:r w:rsidR="000547D9" w:rsidRPr="009C0D9B">
        <w:rPr>
          <w:rFonts w:hint="cs"/>
          <w:color w:val="E36C0A" w:themeColor="accent6" w:themeShade="BF"/>
          <w:rtl/>
        </w:rPr>
        <w:t xml:space="preserve"> </w:t>
      </w:r>
      <w:r w:rsidR="000547D9" w:rsidRPr="00A6197B">
        <w:rPr>
          <w:rFonts w:hint="cs"/>
          <w:color w:val="E36C0A" w:themeColor="accent6" w:themeShade="BF"/>
          <w:rtl/>
        </w:rPr>
        <w:t>(וכ"פ בשו"ע)</w:t>
      </w:r>
    </w:p>
    <w:p w14:paraId="518BB064" w14:textId="471E38CC" w:rsidR="000878EF" w:rsidRPr="000878EF" w:rsidRDefault="000878EF" w:rsidP="000878EF">
      <w:pPr>
        <w:rPr>
          <w:u w:val="single"/>
        </w:rPr>
      </w:pPr>
      <w:r w:rsidRPr="000878EF">
        <w:rPr>
          <w:rFonts w:hint="cs"/>
          <w:u w:val="single"/>
          <w:rtl/>
        </w:rPr>
        <w:t xml:space="preserve">אדם שהלוה לצורך קבורת אשתו </w:t>
      </w:r>
      <w:r w:rsidRPr="00B64FE5">
        <w:rPr>
          <w:rFonts w:hint="cs"/>
          <w:sz w:val="16"/>
          <w:szCs w:val="16"/>
          <w:u w:val="single"/>
          <w:rtl/>
        </w:rPr>
        <w:t>(או למזונות)</w:t>
      </w:r>
      <w:r w:rsidRPr="000878EF">
        <w:rPr>
          <w:rFonts w:hint="cs"/>
          <w:u w:val="single"/>
          <w:rtl/>
        </w:rPr>
        <w:t xml:space="preserve"> </w:t>
      </w:r>
      <w:r w:rsidR="00F97626">
        <w:rPr>
          <w:u w:val="single"/>
          <w:rtl/>
        </w:rPr>
        <w:t>-</w:t>
      </w:r>
      <w:r w:rsidRPr="000878EF">
        <w:rPr>
          <w:rFonts w:hint="cs"/>
          <w:u w:val="single"/>
          <w:rtl/>
        </w:rPr>
        <w:t xml:space="preserve"> כשב"ד באים לפורעו האם מוכרים נכסיו בלא הכרזה:</w:t>
      </w:r>
    </w:p>
    <w:p w14:paraId="2E17F358" w14:textId="3DB07EA4" w:rsidR="000878EF" w:rsidRPr="00EB79BF" w:rsidRDefault="000878EF" w:rsidP="009000E3">
      <w:pPr>
        <w:pStyle w:val="ab"/>
        <w:numPr>
          <w:ilvl w:val="0"/>
          <w:numId w:val="53"/>
        </w:numPr>
      </w:pPr>
      <w:r>
        <w:rPr>
          <w:rFonts w:cs="Arial" w:hint="cs"/>
          <w:rtl/>
        </w:rPr>
        <w:t>הה"מ</w:t>
      </w:r>
      <w:r w:rsidRPr="000878EF">
        <w:rPr>
          <w:rFonts w:cs="Arial" w:hint="cs"/>
          <w:sz w:val="16"/>
          <w:szCs w:val="16"/>
          <w:rtl/>
        </w:rPr>
        <w:t xml:space="preserve"> (</w:t>
      </w:r>
      <w:r w:rsidRPr="008953CE">
        <w:rPr>
          <w:rFonts w:cs="Arial"/>
          <w:sz w:val="16"/>
          <w:szCs w:val="16"/>
          <w:rtl/>
        </w:rPr>
        <w:t xml:space="preserve">פי"ד </w:t>
      </w:r>
      <w:r>
        <w:rPr>
          <w:rFonts w:cs="Arial" w:hint="cs"/>
          <w:sz w:val="16"/>
          <w:szCs w:val="16"/>
          <w:rtl/>
        </w:rPr>
        <w:t xml:space="preserve">מאישות </w:t>
      </w:r>
      <w:r w:rsidRPr="008953CE">
        <w:rPr>
          <w:rFonts w:cs="Arial"/>
          <w:sz w:val="16"/>
          <w:szCs w:val="16"/>
          <w:rtl/>
        </w:rPr>
        <w:t>הכ"ד</w:t>
      </w:r>
      <w:r w:rsidRPr="000878EF">
        <w:rPr>
          <w:rFonts w:cs="Arial" w:hint="cs"/>
          <w:sz w:val="16"/>
          <w:szCs w:val="16"/>
          <w:rtl/>
        </w:rPr>
        <w:t>, הביאו הב"י)</w:t>
      </w:r>
      <w:r>
        <w:rPr>
          <w:rFonts w:cs="Arial" w:hint="cs"/>
          <w:rtl/>
        </w:rPr>
        <w:t xml:space="preserve">- </w:t>
      </w:r>
      <w:r w:rsidRPr="00C16802">
        <w:rPr>
          <w:rFonts w:cs="Arial"/>
          <w:rtl/>
        </w:rPr>
        <w:t>יש מי שהוסיף לפרש</w:t>
      </w:r>
      <w:r w:rsidR="00B64FE5">
        <w:rPr>
          <w:rFonts w:cs="Arial" w:hint="cs"/>
          <w:sz w:val="16"/>
          <w:szCs w:val="16"/>
          <w:rtl/>
        </w:rPr>
        <w:t xml:space="preserve"> {את הגמ' שם ק:}</w:t>
      </w:r>
      <w:r w:rsidRPr="00C16802">
        <w:rPr>
          <w:rFonts w:cs="Arial"/>
          <w:rtl/>
        </w:rPr>
        <w:t xml:space="preserve"> שאף הלוה לצורך קבורה או למזונות כשבאין ב"ד לפרעו מוכרין בלא אכרזתא ל' יום כדי שלא תנעול דלת בפני גומלי חסד המלוים לדברים כאלו</w:t>
      </w:r>
      <w:r w:rsidR="00B64FE5">
        <w:rPr>
          <w:rFonts w:cs="Arial" w:hint="cs"/>
          <w:rtl/>
        </w:rPr>
        <w:t>.</w:t>
      </w:r>
      <w:r w:rsidRPr="00C16802">
        <w:rPr>
          <w:rFonts w:cs="Arial"/>
          <w:rtl/>
        </w:rPr>
        <w:t xml:space="preserve"> וכן ראוי בכיוצא בזה לעשות</w:t>
      </w:r>
      <w:r>
        <w:rPr>
          <w:rFonts w:cs="Arial" w:hint="cs"/>
          <w:rtl/>
        </w:rPr>
        <w:t>.</w:t>
      </w:r>
      <w:r>
        <w:rPr>
          <w:rFonts w:hint="cs"/>
          <w:rtl/>
        </w:rPr>
        <w:t xml:space="preserve"> (וכ"פ ח"מ </w:t>
      </w:r>
      <w:r w:rsidRPr="00B64FE5">
        <w:rPr>
          <w:rFonts w:hint="cs"/>
          <w:sz w:val="16"/>
          <w:szCs w:val="16"/>
          <w:rtl/>
        </w:rPr>
        <w:t xml:space="preserve">[סק"ג] </w:t>
      </w:r>
      <w:r>
        <w:rPr>
          <w:rFonts w:hint="cs"/>
          <w:rtl/>
        </w:rPr>
        <w:t>וב"ש</w:t>
      </w:r>
      <w:r w:rsidR="00B64FE5">
        <w:rPr>
          <w:rStyle w:val="a7"/>
          <w:rtl/>
        </w:rPr>
        <w:footnoteReference w:id="1180"/>
      </w:r>
      <w:r w:rsidRPr="00B64FE5">
        <w:rPr>
          <w:rFonts w:hint="cs"/>
          <w:sz w:val="16"/>
          <w:szCs w:val="16"/>
          <w:rtl/>
        </w:rPr>
        <w:t xml:space="preserve"> [סק"ד]</w:t>
      </w:r>
      <w:r>
        <w:rPr>
          <w:rFonts w:hint="cs"/>
          <w:rtl/>
        </w:rPr>
        <w:t>)</w:t>
      </w:r>
    </w:p>
    <w:p w14:paraId="14B49015"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0A67B8F8" w14:textId="77B4E5DF" w:rsidR="007A3469" w:rsidRDefault="007A3469" w:rsidP="007A3469">
      <w:pPr>
        <w:rPr>
          <w:rtl/>
        </w:rPr>
      </w:pPr>
      <w:r>
        <w:rPr>
          <w:rFonts w:cs="Arial"/>
          <w:rtl/>
        </w:rPr>
        <w:t>היה בעלה במדינה אחרת, ב</w:t>
      </w:r>
      <w:r w:rsidR="00EB79BF">
        <w:rPr>
          <w:rFonts w:cs="Arial" w:hint="cs"/>
          <w:rtl/>
        </w:rPr>
        <w:t xml:space="preserve">ית </w:t>
      </w:r>
      <w:r>
        <w:rPr>
          <w:rFonts w:cs="Arial"/>
          <w:rtl/>
        </w:rPr>
        <w:t>ד</w:t>
      </w:r>
      <w:r w:rsidR="00EB79BF">
        <w:rPr>
          <w:rFonts w:cs="Arial" w:hint="cs"/>
          <w:rtl/>
        </w:rPr>
        <w:t>ין</w:t>
      </w:r>
      <w:r>
        <w:rPr>
          <w:rFonts w:cs="Arial"/>
          <w:rtl/>
        </w:rPr>
        <w:t xml:space="preserve"> יורדין לנכסיו ומוכרין בלא הכרזה, וקוברין אותה לפי ממון הבעל ולפי כבודו</w:t>
      </w:r>
      <w:r w:rsidR="000547D9">
        <w:rPr>
          <w:rFonts w:cs="Arial" w:hint="cs"/>
          <w:rtl/>
        </w:rPr>
        <w:t>,</w:t>
      </w:r>
      <w:r>
        <w:rPr>
          <w:rFonts w:cs="Arial"/>
          <w:rtl/>
        </w:rPr>
        <w:t xml:space="preserve"> או לפי כבודה. </w:t>
      </w:r>
    </w:p>
    <w:p w14:paraId="531D8C5D" w14:textId="77777777" w:rsidR="00C16802" w:rsidRDefault="00C16802" w:rsidP="007A3469">
      <w:pPr>
        <w:rPr>
          <w:rtl/>
        </w:rPr>
      </w:pPr>
    </w:p>
    <w:p w14:paraId="482FB7E4" w14:textId="617FE5F4" w:rsidR="007A3469" w:rsidRDefault="007A3469" w:rsidP="000F64D0">
      <w:pPr>
        <w:pStyle w:val="2"/>
        <w:rPr>
          <w:rtl/>
        </w:rPr>
      </w:pPr>
      <w:r>
        <w:rPr>
          <w:rtl/>
        </w:rPr>
        <w:t>סעיף ד</w:t>
      </w:r>
      <w:r w:rsidR="001974DD">
        <w:rPr>
          <w:rFonts w:hint="cs"/>
          <w:rtl/>
        </w:rPr>
        <w:t xml:space="preserve">: </w:t>
      </w:r>
      <w:r w:rsidR="001B34BB">
        <w:rPr>
          <w:rFonts w:hint="cs"/>
          <w:rtl/>
        </w:rPr>
        <w:t>קבורת אלמנה.</w:t>
      </w:r>
    </w:p>
    <w:p w14:paraId="3499AE63" w14:textId="77777777" w:rsidR="00395E1B" w:rsidRDefault="001974DD" w:rsidP="001974DD">
      <w:pPr>
        <w:rPr>
          <w:rtl/>
        </w:rPr>
      </w:pPr>
      <w:r w:rsidRPr="00AB0AB9">
        <w:rPr>
          <w:rFonts w:cs="Arial" w:hint="cs"/>
          <w:b/>
          <w:bCs/>
          <w:rtl/>
        </w:rPr>
        <w:t>כתובות</w:t>
      </w:r>
      <w:r>
        <w:rPr>
          <w:rFonts w:cs="Arial" w:hint="cs"/>
          <w:b/>
          <w:bCs/>
          <w:rtl/>
        </w:rPr>
        <w:t xml:space="preserve"> </w:t>
      </w:r>
      <w:r>
        <w:rPr>
          <w:rFonts w:cs="Arial" w:hint="cs"/>
          <w:b/>
          <w:bCs/>
          <w:sz w:val="16"/>
          <w:szCs w:val="16"/>
          <w:rtl/>
        </w:rPr>
        <w:t>(</w:t>
      </w:r>
      <w:r w:rsidR="001B34BB">
        <w:rPr>
          <w:rFonts w:cs="Arial" w:hint="cs"/>
          <w:b/>
          <w:bCs/>
          <w:sz w:val="16"/>
          <w:szCs w:val="16"/>
          <w:rtl/>
        </w:rPr>
        <w:t>ר"</w:t>
      </w:r>
      <w:r>
        <w:rPr>
          <w:rFonts w:cs="Arial" w:hint="cs"/>
          <w:b/>
          <w:bCs/>
          <w:sz w:val="16"/>
          <w:szCs w:val="16"/>
          <w:rtl/>
        </w:rPr>
        <w:t>פ אלמנה ניזונת)</w:t>
      </w:r>
      <w:r w:rsidRPr="00AB0AB9">
        <w:rPr>
          <w:rFonts w:cs="Arial" w:hint="cs"/>
          <w:b/>
          <w:bCs/>
          <w:rtl/>
        </w:rPr>
        <w:t xml:space="preserve"> </w:t>
      </w:r>
      <w:r>
        <w:rPr>
          <w:rFonts w:cs="Arial" w:hint="cs"/>
          <w:b/>
          <w:bCs/>
          <w:rtl/>
        </w:rPr>
        <w:t>צה</w:t>
      </w:r>
      <w:r w:rsidRPr="00AB0AB9">
        <w:rPr>
          <w:rFonts w:cs="Arial" w:hint="cs"/>
          <w:b/>
          <w:bCs/>
          <w:rtl/>
        </w:rPr>
        <w:t xml:space="preserve"> ע"ב:</w:t>
      </w:r>
      <w:r>
        <w:rPr>
          <w:rFonts w:cs="Arial" w:hint="cs"/>
          <w:rtl/>
        </w:rPr>
        <w:t xml:space="preserve"> </w:t>
      </w:r>
      <w:r w:rsidRPr="001974DD">
        <w:rPr>
          <w:rFonts w:cs="Arial"/>
          <w:u w:val="double"/>
          <w:rtl/>
        </w:rPr>
        <w:t>מתני'</w:t>
      </w:r>
      <w:r>
        <w:rPr>
          <w:rFonts w:cs="Arial" w:hint="cs"/>
          <w:rtl/>
        </w:rPr>
        <w:t>:</w:t>
      </w:r>
      <w:r w:rsidRPr="001974DD">
        <w:rPr>
          <w:rFonts w:cs="Arial"/>
          <w:rtl/>
        </w:rPr>
        <w:t xml:space="preserve"> אלמנה ניזונת מנכסי יתומים, מעשה ידיה שלהן, ואין חייבין בקבורתה</w:t>
      </w:r>
      <w:r w:rsidR="00264A23">
        <w:rPr>
          <w:rStyle w:val="a7"/>
          <w:rFonts w:cs="Arial"/>
          <w:rtl/>
        </w:rPr>
        <w:footnoteReference w:id="1181"/>
      </w:r>
      <w:r>
        <w:rPr>
          <w:rFonts w:cs="Arial" w:hint="cs"/>
          <w:rtl/>
        </w:rPr>
        <w:t>.</w:t>
      </w:r>
      <w:r w:rsidRPr="001974DD">
        <w:rPr>
          <w:rFonts w:cs="Arial"/>
          <w:rtl/>
        </w:rPr>
        <w:t xml:space="preserve"> יורשיה יורשי כתובתה - חייבין בקבורתה.</w:t>
      </w:r>
      <w:r w:rsidR="00264A23" w:rsidRPr="00264A23">
        <w:rPr>
          <w:rtl/>
        </w:rPr>
        <w:t xml:space="preserve"> </w:t>
      </w:r>
      <w:r w:rsidR="00264A23">
        <w:rPr>
          <w:rFonts w:hint="cs"/>
          <w:rtl/>
        </w:rPr>
        <w:t xml:space="preserve">     </w:t>
      </w:r>
    </w:p>
    <w:p w14:paraId="23936FDF" w14:textId="4FB6A2CB" w:rsidR="001974DD" w:rsidRDefault="00395E1B" w:rsidP="001974DD">
      <w:pPr>
        <w:rPr>
          <w:rtl/>
        </w:rPr>
      </w:pPr>
      <w:r w:rsidRPr="00AB0AB9">
        <w:rPr>
          <w:rFonts w:cs="Arial" w:hint="cs"/>
          <w:b/>
          <w:bCs/>
          <w:rtl/>
        </w:rPr>
        <w:t>כתובות</w:t>
      </w:r>
      <w:r>
        <w:rPr>
          <w:rFonts w:cs="Arial" w:hint="cs"/>
          <w:b/>
          <w:bCs/>
          <w:rtl/>
        </w:rPr>
        <w:t xml:space="preserve"> </w:t>
      </w:r>
      <w:r>
        <w:rPr>
          <w:rFonts w:cs="Arial" w:hint="cs"/>
          <w:b/>
          <w:bCs/>
          <w:sz w:val="16"/>
          <w:szCs w:val="16"/>
          <w:rtl/>
        </w:rPr>
        <w:t>(פ</w:t>
      </w:r>
      <w:r w:rsidR="00AA21A5">
        <w:rPr>
          <w:rFonts w:cs="Arial" w:hint="cs"/>
          <w:b/>
          <w:bCs/>
          <w:sz w:val="16"/>
          <w:szCs w:val="16"/>
          <w:rtl/>
        </w:rPr>
        <w:t>' האשה שנפלו</w:t>
      </w:r>
      <w:r>
        <w:rPr>
          <w:rFonts w:cs="Arial" w:hint="cs"/>
          <w:b/>
          <w:bCs/>
          <w:sz w:val="16"/>
          <w:szCs w:val="16"/>
          <w:rtl/>
        </w:rPr>
        <w:t>)</w:t>
      </w:r>
      <w:r w:rsidRPr="00AB0AB9">
        <w:rPr>
          <w:rFonts w:cs="Arial" w:hint="cs"/>
          <w:b/>
          <w:bCs/>
          <w:rtl/>
        </w:rPr>
        <w:t xml:space="preserve"> </w:t>
      </w:r>
      <w:r w:rsidR="00AA21A5">
        <w:rPr>
          <w:rFonts w:cs="Arial" w:hint="cs"/>
          <w:b/>
          <w:bCs/>
          <w:rtl/>
        </w:rPr>
        <w:t>פא</w:t>
      </w:r>
      <w:r w:rsidRPr="00AB0AB9">
        <w:rPr>
          <w:rFonts w:cs="Arial" w:hint="cs"/>
          <w:b/>
          <w:bCs/>
          <w:rtl/>
        </w:rPr>
        <w:t xml:space="preserve"> ע"</w:t>
      </w:r>
      <w:r w:rsidR="00AA21A5">
        <w:rPr>
          <w:rFonts w:cs="Arial" w:hint="cs"/>
          <w:b/>
          <w:bCs/>
          <w:rtl/>
        </w:rPr>
        <w:t>א</w:t>
      </w:r>
      <w:r w:rsidRPr="00AB0AB9">
        <w:rPr>
          <w:rFonts w:cs="Arial" w:hint="cs"/>
          <w:b/>
          <w:bCs/>
          <w:rtl/>
        </w:rPr>
        <w:t>:</w:t>
      </w:r>
      <w:r w:rsidR="00AA21A5">
        <w:rPr>
          <w:rFonts w:cs="Arial" w:hint="cs"/>
          <w:rtl/>
        </w:rPr>
        <w:t xml:space="preserve"> </w:t>
      </w:r>
      <w:r w:rsidR="00264A23" w:rsidRPr="00264A23">
        <w:rPr>
          <w:rFonts w:cs="Arial"/>
          <w:u w:val="single"/>
          <w:rtl/>
        </w:rPr>
        <w:t>אמר אביי</w:t>
      </w:r>
      <w:r w:rsidR="00264A23">
        <w:rPr>
          <w:rFonts w:cs="Arial" w:hint="cs"/>
          <w:rtl/>
        </w:rPr>
        <w:t>:</w:t>
      </w:r>
      <w:r w:rsidR="00264A23" w:rsidRPr="00264A23">
        <w:rPr>
          <w:rFonts w:cs="Arial"/>
          <w:rtl/>
        </w:rPr>
        <w:t xml:space="preserve"> אף אנן נמי תנינא: אלמנה ניזונת מנכסי יתומין, ומעשה ידיה שלהן, ואין חייבין בקבורתה, יורשיה יורשי כתובתה חייבין בקבורתה</w:t>
      </w:r>
      <w:r w:rsidR="00AA21A5">
        <w:rPr>
          <w:rFonts w:cs="Arial" w:hint="cs"/>
          <w:rtl/>
        </w:rPr>
        <w:t>.</w:t>
      </w:r>
      <w:r w:rsidR="00264A23" w:rsidRPr="00264A23">
        <w:rPr>
          <w:rFonts w:cs="Arial"/>
          <w:rtl/>
        </w:rPr>
        <w:t xml:space="preserve"> ואיזוהי אלמנה שיש לה שני יורשין</w:t>
      </w:r>
      <w:r w:rsidR="00AA21A5">
        <w:rPr>
          <w:rStyle w:val="a7"/>
          <w:rFonts w:cs="Arial"/>
          <w:rtl/>
        </w:rPr>
        <w:footnoteReference w:id="1182"/>
      </w:r>
      <w:r w:rsidR="00264A23" w:rsidRPr="00264A23">
        <w:rPr>
          <w:rFonts w:cs="Arial"/>
          <w:rtl/>
        </w:rPr>
        <w:t xml:space="preserve">? הוי אומר: זו שומרת יבם. </w:t>
      </w:r>
      <w:r w:rsidR="00264A23" w:rsidRPr="00264A23">
        <w:rPr>
          <w:rFonts w:cs="Arial"/>
          <w:u w:val="single"/>
          <w:rtl/>
        </w:rPr>
        <w:t>אמר רבא</w:t>
      </w:r>
      <w:r w:rsidR="00264A23">
        <w:rPr>
          <w:rFonts w:cs="Arial" w:hint="cs"/>
          <w:rtl/>
        </w:rPr>
        <w:t>:</w:t>
      </w:r>
      <w:r w:rsidR="00264A23" w:rsidRPr="00264A23">
        <w:rPr>
          <w:rFonts w:cs="Arial"/>
          <w:rtl/>
        </w:rPr>
        <w:t xml:space="preserve"> ולימא: אח אני יורש</w:t>
      </w:r>
      <w:r w:rsidR="00AA21A5">
        <w:rPr>
          <w:rStyle w:val="a7"/>
          <w:rFonts w:cs="Arial"/>
          <w:rtl/>
        </w:rPr>
        <w:footnoteReference w:id="1183"/>
      </w:r>
      <w:r w:rsidR="00264A23" w:rsidRPr="00264A23">
        <w:rPr>
          <w:rFonts w:cs="Arial"/>
          <w:rtl/>
        </w:rPr>
        <w:t xml:space="preserve">, אשתו אין אני קובר! </w:t>
      </w:r>
      <w:r w:rsidR="00264A23" w:rsidRPr="00395E1B">
        <w:rPr>
          <w:rFonts w:cs="Arial"/>
          <w:u w:val="single"/>
          <w:rtl/>
        </w:rPr>
        <w:t>אמר ליה אביי</w:t>
      </w:r>
      <w:r w:rsidR="00264A23" w:rsidRPr="00264A23">
        <w:rPr>
          <w:rFonts w:cs="Arial"/>
          <w:rtl/>
        </w:rPr>
        <w:t>: משום דבאין עליו משני צדדין, אם אחיו יורש - יקבור את אשתו</w:t>
      </w:r>
      <w:r w:rsidR="00AA21A5">
        <w:rPr>
          <w:rStyle w:val="a7"/>
          <w:rFonts w:cs="Arial"/>
          <w:rtl/>
        </w:rPr>
        <w:footnoteReference w:id="1184"/>
      </w:r>
      <w:r w:rsidR="00264A23" w:rsidRPr="00264A23">
        <w:rPr>
          <w:rFonts w:cs="Arial"/>
          <w:rtl/>
        </w:rPr>
        <w:t>, אם אינו קובר את אשתו - יתן כתובתה</w:t>
      </w:r>
      <w:r w:rsidR="009E08D6">
        <w:rPr>
          <w:rStyle w:val="a7"/>
          <w:rFonts w:cs="Arial"/>
          <w:rtl/>
        </w:rPr>
        <w:footnoteReference w:id="1185"/>
      </w:r>
      <w:r w:rsidR="00264A23" w:rsidRPr="00264A23">
        <w:rPr>
          <w:rFonts w:cs="Arial"/>
          <w:rtl/>
        </w:rPr>
        <w:t>.</w:t>
      </w:r>
      <w:r w:rsidR="00442918">
        <w:rPr>
          <w:rFonts w:hint="cs"/>
          <w:rtl/>
        </w:rPr>
        <w:t xml:space="preserve"> </w:t>
      </w:r>
    </w:p>
    <w:p w14:paraId="49015C06" w14:textId="5C2CD8F4" w:rsidR="001974DD" w:rsidRPr="001B34BB" w:rsidRDefault="001B34BB" w:rsidP="001974DD">
      <w:pPr>
        <w:rPr>
          <w:u w:val="single"/>
          <w:rtl/>
        </w:rPr>
      </w:pPr>
      <w:bookmarkStart w:id="4" w:name="_Hlk135156954"/>
      <w:r w:rsidRPr="001B34BB">
        <w:rPr>
          <w:rFonts w:hint="cs"/>
          <w:u w:val="single"/>
          <w:rtl/>
        </w:rPr>
        <w:t xml:space="preserve">אלמנה </w:t>
      </w:r>
      <w:r w:rsidR="00F97626">
        <w:rPr>
          <w:u w:val="single"/>
          <w:rtl/>
        </w:rPr>
        <w:t>-</w:t>
      </w:r>
      <w:r w:rsidRPr="001B34BB">
        <w:rPr>
          <w:rFonts w:hint="cs"/>
          <w:u w:val="single"/>
          <w:rtl/>
        </w:rPr>
        <w:t xml:space="preserve"> מנכסי מי היא נקברת:</w:t>
      </w:r>
    </w:p>
    <w:p w14:paraId="484A4C99" w14:textId="58360902" w:rsidR="00EB79BF" w:rsidRPr="001974DD" w:rsidRDefault="009D20D7" w:rsidP="009000E3">
      <w:pPr>
        <w:pStyle w:val="ab"/>
        <w:numPr>
          <w:ilvl w:val="0"/>
          <w:numId w:val="53"/>
        </w:numPr>
      </w:pPr>
      <w:r>
        <w:rPr>
          <w:rFonts w:cs="Arial" w:hint="cs"/>
          <w:rtl/>
        </w:rPr>
        <w:t xml:space="preserve">תוס' </w:t>
      </w:r>
      <w:r w:rsidRPr="00AC1506">
        <w:rPr>
          <w:rFonts w:cs="Arial" w:hint="cs"/>
          <w:sz w:val="16"/>
          <w:szCs w:val="16"/>
          <w:rtl/>
        </w:rPr>
        <w:t>(צה: ד"ה ואין חייבין</w:t>
      </w:r>
      <w:r>
        <w:rPr>
          <w:rFonts w:cs="Arial" w:hint="cs"/>
          <w:sz w:val="16"/>
          <w:szCs w:val="16"/>
          <w:rtl/>
        </w:rPr>
        <w:t xml:space="preserve">, כ"כ ב"ש [סק"ו] בשמם) </w:t>
      </w:r>
      <w:r w:rsidR="00A67041">
        <w:rPr>
          <w:rFonts w:cs="Arial" w:hint="cs"/>
          <w:rtl/>
        </w:rPr>
        <w:t xml:space="preserve">ראב"ד </w:t>
      </w:r>
      <w:r w:rsidR="00A67041">
        <w:rPr>
          <w:rFonts w:cs="Arial" w:hint="cs"/>
          <w:sz w:val="16"/>
          <w:szCs w:val="16"/>
          <w:rtl/>
        </w:rPr>
        <w:t xml:space="preserve">(פי"ח ה"ו) </w:t>
      </w:r>
      <w:r w:rsidR="00EB79BF">
        <w:rPr>
          <w:rFonts w:cs="Arial" w:hint="cs"/>
          <w:rtl/>
        </w:rPr>
        <w:t>טור</w:t>
      </w:r>
      <w:r w:rsidR="00A67041">
        <w:rPr>
          <w:rFonts w:cs="Arial" w:hint="cs"/>
          <w:rtl/>
        </w:rPr>
        <w:t xml:space="preserve"> ור"ן </w:t>
      </w:r>
      <w:r w:rsidR="00A67041" w:rsidRPr="00A67041">
        <w:rPr>
          <w:rFonts w:cs="Arial"/>
          <w:sz w:val="16"/>
          <w:szCs w:val="16"/>
          <w:rtl/>
        </w:rPr>
        <w:t>(</w:t>
      </w:r>
      <w:r w:rsidR="00A67041">
        <w:rPr>
          <w:rFonts w:cs="Arial" w:hint="cs"/>
          <w:sz w:val="16"/>
          <w:szCs w:val="16"/>
          <w:rtl/>
        </w:rPr>
        <w:t xml:space="preserve">ר"פ אלמנה </w:t>
      </w:r>
      <w:r w:rsidR="00A67041" w:rsidRPr="00A67041">
        <w:rPr>
          <w:rFonts w:cs="Arial"/>
          <w:sz w:val="16"/>
          <w:szCs w:val="16"/>
          <w:rtl/>
        </w:rPr>
        <w:t xml:space="preserve">נה. ד"ה אלמנה) </w:t>
      </w:r>
      <w:r w:rsidR="00EB79BF">
        <w:rPr>
          <w:rFonts w:cs="Arial" w:hint="cs"/>
          <w:rtl/>
        </w:rPr>
        <w:t xml:space="preserve">- </w:t>
      </w:r>
      <w:r w:rsidR="00EB79BF" w:rsidRPr="00D37988">
        <w:rPr>
          <w:rFonts w:cs="Arial"/>
          <w:rtl/>
        </w:rPr>
        <w:t>בד"א בחייו</w:t>
      </w:r>
      <w:r w:rsidR="0027688F">
        <w:rPr>
          <w:rFonts w:cs="Arial" w:hint="cs"/>
          <w:rtl/>
        </w:rPr>
        <w:t>,</w:t>
      </w:r>
      <w:r w:rsidR="00EB79BF" w:rsidRPr="00D37988">
        <w:rPr>
          <w:rFonts w:cs="Arial"/>
          <w:rtl/>
        </w:rPr>
        <w:t xml:space="preserve"> אבל אלמנתו אינה נקברת מנכסיו</w:t>
      </w:r>
      <w:r w:rsidR="001B34BB">
        <w:rPr>
          <w:rFonts w:cs="Arial" w:hint="cs"/>
          <w:rtl/>
        </w:rPr>
        <w:t>,</w:t>
      </w:r>
      <w:r w:rsidR="00EB79BF" w:rsidRPr="00D37988">
        <w:rPr>
          <w:rFonts w:cs="Arial"/>
          <w:rtl/>
        </w:rPr>
        <w:t xml:space="preserve"> אלא יורשי כתובתה חייבים בקבורתה</w:t>
      </w:r>
      <w:r w:rsidR="00A67041">
        <w:rPr>
          <w:rFonts w:cs="Arial" w:hint="cs"/>
          <w:sz w:val="16"/>
          <w:szCs w:val="16"/>
          <w:rtl/>
        </w:rPr>
        <w:t xml:space="preserve"> (ל' הטור)</w:t>
      </w:r>
      <w:r w:rsidR="001974DD" w:rsidRPr="001B34BB">
        <w:rPr>
          <w:rFonts w:cs="Arial" w:hint="cs"/>
          <w:rtl/>
        </w:rPr>
        <w:t>.</w:t>
      </w:r>
      <w:r w:rsidR="00A67041">
        <w:rPr>
          <w:rFonts w:hint="cs"/>
          <w:rtl/>
        </w:rPr>
        <w:t xml:space="preserve"> </w:t>
      </w:r>
      <w:r w:rsidR="00A67041" w:rsidRPr="00A67041">
        <w:rPr>
          <w:rFonts w:hint="cs"/>
          <w:color w:val="E36C0A" w:themeColor="accent6" w:themeShade="BF"/>
          <w:rtl/>
        </w:rPr>
        <w:t>(וכ"פ בשו"ע)</w:t>
      </w:r>
    </w:p>
    <w:p w14:paraId="761667D8" w14:textId="00FADFB0" w:rsidR="00C16802" w:rsidRPr="00C16802" w:rsidRDefault="001974DD" w:rsidP="009000E3">
      <w:pPr>
        <w:pStyle w:val="ab"/>
        <w:numPr>
          <w:ilvl w:val="0"/>
          <w:numId w:val="53"/>
        </w:numPr>
        <w:rPr>
          <w:rtl/>
        </w:rPr>
      </w:pPr>
      <w:r>
        <w:rPr>
          <w:rFonts w:cs="Arial"/>
          <w:rtl/>
        </w:rPr>
        <w:t>רמב"ם</w:t>
      </w:r>
      <w:r>
        <w:rPr>
          <w:rFonts w:cs="Arial" w:hint="cs"/>
          <w:rtl/>
        </w:rPr>
        <w:t xml:space="preserve"> </w:t>
      </w:r>
      <w:r w:rsidRPr="001974DD">
        <w:rPr>
          <w:rFonts w:cs="Arial" w:hint="cs"/>
          <w:sz w:val="16"/>
          <w:szCs w:val="16"/>
          <w:rtl/>
        </w:rPr>
        <w:t>(</w:t>
      </w:r>
      <w:r w:rsidRPr="001974DD">
        <w:rPr>
          <w:rFonts w:cs="Arial"/>
          <w:sz w:val="16"/>
          <w:szCs w:val="16"/>
          <w:rtl/>
        </w:rPr>
        <w:t>פי"ח מאישות ה"ו)</w:t>
      </w:r>
      <w:r>
        <w:rPr>
          <w:rFonts w:cs="Arial" w:hint="cs"/>
          <w:rtl/>
        </w:rPr>
        <w:t>-</w:t>
      </w:r>
      <w:r>
        <w:rPr>
          <w:rFonts w:cs="Arial"/>
          <w:rtl/>
        </w:rPr>
        <w:t xml:space="preserve"> מתה האלמנה </w:t>
      </w:r>
      <w:r>
        <w:rPr>
          <w:rFonts w:cs="Arial" w:hint="cs"/>
          <w:rtl/>
        </w:rPr>
        <w:t xml:space="preserve">- </w:t>
      </w:r>
      <w:r>
        <w:rPr>
          <w:rFonts w:cs="Arial"/>
          <w:rtl/>
        </w:rPr>
        <w:t>יורשי הבעל חייבים בקבורתה</w:t>
      </w:r>
      <w:r>
        <w:rPr>
          <w:rFonts w:cs="Arial" w:hint="cs"/>
          <w:rtl/>
        </w:rPr>
        <w:t>.</w:t>
      </w:r>
      <w:r>
        <w:rPr>
          <w:rFonts w:cs="Arial"/>
          <w:rtl/>
        </w:rPr>
        <w:t xml:space="preserve"> ואם נשבעה שבועת אלמנה ואח"כ מתה</w:t>
      </w:r>
      <w:r w:rsidR="0027688F">
        <w:rPr>
          <w:rFonts w:cs="Arial" w:hint="cs"/>
          <w:rtl/>
        </w:rPr>
        <w:t>,</w:t>
      </w:r>
      <w:r>
        <w:rPr>
          <w:rFonts w:cs="Arial"/>
          <w:rtl/>
        </w:rPr>
        <w:t xml:space="preserve"> יורשיה יורשין כתובתה </w:t>
      </w:r>
      <w:r w:rsidR="0027688F">
        <w:rPr>
          <w:rFonts w:cs="Arial" w:hint="cs"/>
          <w:rtl/>
        </w:rPr>
        <w:t xml:space="preserve">- </w:t>
      </w:r>
      <w:r>
        <w:rPr>
          <w:rFonts w:cs="Arial"/>
          <w:rtl/>
        </w:rPr>
        <w:t>והן חייבין בקבורתה</w:t>
      </w:r>
      <w:r>
        <w:rPr>
          <w:rFonts w:cs="Arial" w:hint="cs"/>
          <w:rtl/>
        </w:rPr>
        <w:t>,</w:t>
      </w:r>
      <w:r>
        <w:rPr>
          <w:rFonts w:cs="Arial"/>
          <w:rtl/>
        </w:rPr>
        <w:t xml:space="preserve"> אבל לא יורשי הבעל</w:t>
      </w:r>
      <w:r w:rsidR="001B34BB">
        <w:rPr>
          <w:rStyle w:val="a7"/>
          <w:rFonts w:cs="Arial"/>
          <w:rtl/>
        </w:rPr>
        <w:footnoteReference w:id="1186"/>
      </w:r>
      <w:r>
        <w:rPr>
          <w:rFonts w:cs="Arial" w:hint="cs"/>
          <w:rtl/>
        </w:rPr>
        <w:t>.</w:t>
      </w:r>
      <w:r>
        <w:rPr>
          <w:rFonts w:hint="cs"/>
          <w:rtl/>
        </w:rPr>
        <w:t xml:space="preserve"> </w:t>
      </w:r>
      <w:r w:rsidR="00F15A26">
        <w:rPr>
          <w:rFonts w:cs="Arial" w:hint="cs"/>
          <w:rtl/>
        </w:rPr>
        <w:t>(וכ"פ הפנמ"א</w:t>
      </w:r>
      <w:r w:rsidR="00F15A26">
        <w:rPr>
          <w:rStyle w:val="a7"/>
          <w:rFonts w:cs="Arial"/>
          <w:rtl/>
        </w:rPr>
        <w:footnoteReference w:id="1187"/>
      </w:r>
      <w:r w:rsidR="00F15A26" w:rsidRPr="00B64FE5">
        <w:rPr>
          <w:rFonts w:cs="Arial"/>
          <w:rtl/>
        </w:rPr>
        <w:t xml:space="preserve"> </w:t>
      </w:r>
      <w:r w:rsidR="00F15A26" w:rsidRPr="00F15A26">
        <w:rPr>
          <w:rFonts w:cs="Arial" w:hint="cs"/>
          <w:sz w:val="16"/>
          <w:szCs w:val="16"/>
          <w:rtl/>
        </w:rPr>
        <w:t>[</w:t>
      </w:r>
      <w:r w:rsidR="00F15A26" w:rsidRPr="00F15A26">
        <w:rPr>
          <w:rFonts w:cs="Arial"/>
          <w:sz w:val="16"/>
          <w:szCs w:val="16"/>
          <w:rtl/>
        </w:rPr>
        <w:t>ח"ב סי' ס</w:t>
      </w:r>
      <w:r w:rsidR="00F15A26" w:rsidRPr="00F15A26">
        <w:rPr>
          <w:rFonts w:cs="Arial" w:hint="cs"/>
          <w:sz w:val="16"/>
          <w:szCs w:val="16"/>
          <w:rtl/>
        </w:rPr>
        <w:t>]</w:t>
      </w:r>
      <w:r w:rsidR="00F15A26">
        <w:rPr>
          <w:rFonts w:cs="Arial" w:hint="cs"/>
          <w:rtl/>
        </w:rPr>
        <w:t>)</w:t>
      </w:r>
    </w:p>
    <w:bookmarkEnd w:id="4"/>
    <w:p w14:paraId="5A8C8F7A" w14:textId="32DE9054" w:rsidR="00AC1506" w:rsidRPr="001C0969" w:rsidRDefault="001C0969" w:rsidP="00AC1506">
      <w:pPr>
        <w:ind w:left="360"/>
        <w:rPr>
          <w:rFonts w:cs="Arial"/>
          <w:u w:val="dotted"/>
          <w:rtl/>
        </w:rPr>
      </w:pPr>
      <w:r w:rsidRPr="001C0969">
        <w:rPr>
          <w:rFonts w:cs="Arial" w:hint="cs"/>
          <w:u w:val="dotted"/>
          <w:rtl/>
        </w:rPr>
        <w:t>ל</w:t>
      </w:r>
      <w:r w:rsidR="009D20D7">
        <w:rPr>
          <w:rFonts w:cs="Arial" w:hint="cs"/>
          <w:u w:val="dotted"/>
          <w:rtl/>
        </w:rPr>
        <w:t>תוס'</w:t>
      </w:r>
      <w:r w:rsidRPr="001C0969">
        <w:rPr>
          <w:rFonts w:cs="Arial" w:hint="cs"/>
          <w:u w:val="dotted"/>
          <w:rtl/>
        </w:rPr>
        <w:t xml:space="preserve"> וסיעתו - </w:t>
      </w:r>
      <w:r w:rsidR="00AC1506" w:rsidRPr="001C0969">
        <w:rPr>
          <w:rFonts w:cs="Arial" w:hint="cs"/>
          <w:u w:val="dotted"/>
          <w:rtl/>
        </w:rPr>
        <w:t xml:space="preserve">מה הדין אם </w:t>
      </w:r>
      <w:r w:rsidR="00171226">
        <w:rPr>
          <w:rFonts w:cs="Arial" w:hint="cs"/>
          <w:u w:val="dotted"/>
          <w:rtl/>
        </w:rPr>
        <w:t>ה</w:t>
      </w:r>
      <w:r w:rsidR="00AC1506" w:rsidRPr="001C0969">
        <w:rPr>
          <w:rFonts w:cs="Arial" w:hint="cs"/>
          <w:u w:val="dotted"/>
          <w:rtl/>
        </w:rPr>
        <w:t xml:space="preserve">אלמנה ענייה </w:t>
      </w:r>
      <w:r w:rsidRPr="001C0969">
        <w:rPr>
          <w:rFonts w:cs="Arial" w:hint="cs"/>
          <w:u w:val="dotted"/>
          <w:rtl/>
        </w:rPr>
        <w:t>ו</w:t>
      </w:r>
      <w:r w:rsidR="00AC1506" w:rsidRPr="001C0969">
        <w:rPr>
          <w:rFonts w:cs="Arial" w:hint="cs"/>
          <w:u w:val="dotted"/>
          <w:rtl/>
        </w:rPr>
        <w:t>לא הורישה כלום</w:t>
      </w:r>
      <w:r w:rsidR="00171226">
        <w:rPr>
          <w:rFonts w:cs="Arial" w:hint="cs"/>
          <w:u w:val="dotted"/>
          <w:rtl/>
        </w:rPr>
        <w:t xml:space="preserve"> בכתובתה</w:t>
      </w:r>
      <w:r w:rsidRPr="001C0969">
        <w:rPr>
          <w:rFonts w:cs="Arial" w:hint="cs"/>
          <w:u w:val="dotted"/>
          <w:rtl/>
        </w:rPr>
        <w:t>:</w:t>
      </w:r>
    </w:p>
    <w:p w14:paraId="4FDC9EC9" w14:textId="0A7D00B7" w:rsidR="00171226" w:rsidRPr="00171226" w:rsidRDefault="00AC1506" w:rsidP="009000E3">
      <w:pPr>
        <w:pStyle w:val="ab"/>
        <w:numPr>
          <w:ilvl w:val="0"/>
          <w:numId w:val="53"/>
        </w:numPr>
        <w:rPr>
          <w:rFonts w:cs="Arial"/>
        </w:rPr>
      </w:pPr>
      <w:r w:rsidRPr="00AC1506">
        <w:rPr>
          <w:rFonts w:cs="Arial" w:hint="cs"/>
          <w:rtl/>
        </w:rPr>
        <w:lastRenderedPageBreak/>
        <w:t xml:space="preserve">תוס' </w:t>
      </w:r>
      <w:r w:rsidRPr="00AC1506">
        <w:rPr>
          <w:rFonts w:cs="Arial" w:hint="cs"/>
          <w:sz w:val="16"/>
          <w:szCs w:val="16"/>
          <w:rtl/>
        </w:rPr>
        <w:t>(צה: ד"ה ואין חייבין</w:t>
      </w:r>
      <w:r w:rsidR="001C0969">
        <w:rPr>
          <w:rFonts w:cs="Arial" w:hint="cs"/>
          <w:sz w:val="16"/>
          <w:szCs w:val="16"/>
          <w:rtl/>
        </w:rPr>
        <w:t>, כ"כ בשמו ח"מ [סק"ג] וב"ש [סק"ה]</w:t>
      </w:r>
      <w:r w:rsidRPr="00AC1506">
        <w:rPr>
          <w:rFonts w:cs="Arial" w:hint="cs"/>
          <w:sz w:val="16"/>
          <w:szCs w:val="16"/>
          <w:rtl/>
        </w:rPr>
        <w:t>)</w:t>
      </w:r>
      <w:r w:rsidRPr="00AC1506">
        <w:rPr>
          <w:rFonts w:cs="Arial" w:hint="cs"/>
          <w:rtl/>
        </w:rPr>
        <w:t xml:space="preserve"> ומהרי"ל</w:t>
      </w:r>
      <w:r w:rsidR="001C0969">
        <w:rPr>
          <w:rStyle w:val="a7"/>
          <w:rFonts w:cs="Arial"/>
          <w:rtl/>
        </w:rPr>
        <w:footnoteReference w:id="1188"/>
      </w:r>
      <w:r w:rsidR="001C0969" w:rsidRPr="00AC1506">
        <w:rPr>
          <w:rFonts w:cs="Arial" w:hint="cs"/>
          <w:sz w:val="16"/>
          <w:szCs w:val="16"/>
          <w:rtl/>
        </w:rPr>
        <w:t xml:space="preserve"> </w:t>
      </w:r>
      <w:r w:rsidRPr="00AC1506">
        <w:rPr>
          <w:rFonts w:cs="Arial" w:hint="cs"/>
          <w:sz w:val="16"/>
          <w:szCs w:val="16"/>
          <w:rtl/>
        </w:rPr>
        <w:t>(סי' סא</w:t>
      </w:r>
      <w:r w:rsidR="001C0969">
        <w:rPr>
          <w:rFonts w:cs="Arial" w:hint="cs"/>
          <w:sz w:val="16"/>
          <w:szCs w:val="16"/>
          <w:rtl/>
        </w:rPr>
        <w:t>, הביאו ח"מ [סק"ג]</w:t>
      </w:r>
      <w:r w:rsidRPr="00AC1506">
        <w:rPr>
          <w:rFonts w:cs="Arial" w:hint="cs"/>
          <w:sz w:val="16"/>
          <w:szCs w:val="16"/>
          <w:rtl/>
        </w:rPr>
        <w:t>)</w:t>
      </w:r>
      <w:r w:rsidRPr="00AC1506">
        <w:rPr>
          <w:rFonts w:cs="Arial" w:hint="cs"/>
          <w:rtl/>
        </w:rPr>
        <w:t>-</w:t>
      </w:r>
      <w:r w:rsidRPr="00AC1506">
        <w:rPr>
          <w:rFonts w:cs="Arial"/>
          <w:rtl/>
        </w:rPr>
        <w:t xml:space="preserve"> </w:t>
      </w:r>
      <w:r w:rsidR="001C0969" w:rsidRPr="001C0969">
        <w:rPr>
          <w:rFonts w:cs="Arial"/>
          <w:rtl/>
        </w:rPr>
        <w:t>לא פלוג</w:t>
      </w:r>
      <w:r w:rsidR="00171226">
        <w:rPr>
          <w:rFonts w:cs="Arial" w:hint="cs"/>
          <w:rtl/>
        </w:rPr>
        <w:t>,</w:t>
      </w:r>
      <w:r w:rsidR="001C0969" w:rsidRPr="001C0969">
        <w:rPr>
          <w:rFonts w:cs="Arial"/>
          <w:rtl/>
        </w:rPr>
        <w:t xml:space="preserve"> לפ"ז אפי' לא הניח כלום מ"מ חייבים בקבורה</w:t>
      </w:r>
      <w:r w:rsidR="00171226">
        <w:rPr>
          <w:rStyle w:val="a7"/>
          <w:rFonts w:cs="Arial"/>
          <w:rtl/>
        </w:rPr>
        <w:footnoteReference w:id="1189"/>
      </w:r>
      <w:r w:rsidR="00171226">
        <w:rPr>
          <w:rFonts w:cs="Arial" w:hint="cs"/>
          <w:sz w:val="16"/>
          <w:szCs w:val="16"/>
          <w:rtl/>
        </w:rPr>
        <w:t xml:space="preserve"> (ל' הב"ש)</w:t>
      </w:r>
      <w:r w:rsidR="00171226">
        <w:rPr>
          <w:rFonts w:cs="Arial" w:hint="cs"/>
          <w:rtl/>
        </w:rPr>
        <w:t>.</w:t>
      </w:r>
    </w:p>
    <w:p w14:paraId="6E083F22" w14:textId="329A2588" w:rsidR="006D776D" w:rsidRPr="001C0969" w:rsidRDefault="006D776D" w:rsidP="001C0969">
      <w:pPr>
        <w:rPr>
          <w:rFonts w:cs="Arial"/>
          <w:rtl/>
        </w:rPr>
      </w:pPr>
      <w:r w:rsidRPr="001C0969">
        <w:rPr>
          <w:rFonts w:asciiTheme="minorBidi" w:hAnsiTheme="minorBidi"/>
          <w:b/>
          <w:bCs/>
          <w:color w:val="000000"/>
          <w:sz w:val="28"/>
          <w:szCs w:val="28"/>
          <w:u w:val="single"/>
          <w:rtl/>
        </w:rPr>
        <w:t>שו"ע:</w:t>
      </w:r>
    </w:p>
    <w:p w14:paraId="54BBD86F" w14:textId="7DAD1EA3" w:rsidR="00B64FE5" w:rsidRDefault="007A3469" w:rsidP="00F15A26">
      <w:pPr>
        <w:rPr>
          <w:rFonts w:cs="Arial"/>
          <w:rtl/>
        </w:rPr>
      </w:pPr>
      <w:bookmarkStart w:id="5" w:name="_Hlk135156851"/>
      <w:bookmarkStart w:id="6" w:name="_Hlk135156840"/>
      <w:r>
        <w:rPr>
          <w:rFonts w:cs="Arial"/>
          <w:rtl/>
        </w:rPr>
        <w:t>אלמנה אינה נקברת מנכסי בעלה, אלא יורשי כתובתה חייבין בקבורתה. ואם מתה קודם שנשבעה שבועת אלמנה, יש מי שאומר שיורשי בעלה חייבין בקבורתה, ולא הודו לו</w:t>
      </w:r>
      <w:bookmarkEnd w:id="5"/>
      <w:r w:rsidR="00F15A26">
        <w:rPr>
          <w:rFonts w:cs="Arial" w:hint="cs"/>
          <w:rtl/>
        </w:rPr>
        <w:t>.</w:t>
      </w:r>
    </w:p>
    <w:p w14:paraId="606F31B2" w14:textId="5249213A" w:rsidR="00F15A26" w:rsidRPr="00AC1506" w:rsidRDefault="00F15A26" w:rsidP="009000E3">
      <w:pPr>
        <w:pStyle w:val="ab"/>
        <w:numPr>
          <w:ilvl w:val="0"/>
          <w:numId w:val="55"/>
        </w:numPr>
        <w:rPr>
          <w:rFonts w:cs="Arial"/>
          <w:rtl/>
        </w:rPr>
        <w:sectPr w:rsidR="00F15A26" w:rsidRPr="00AC1506" w:rsidSect="00A347B3">
          <w:headerReference w:type="default" r:id="rId32"/>
          <w:footnotePr>
            <w:numRestart w:val="eachSect"/>
          </w:footnotePr>
          <w:pgSz w:w="11906" w:h="16838"/>
          <w:pgMar w:top="720" w:right="1134" w:bottom="720" w:left="1134" w:header="0" w:footer="0" w:gutter="0"/>
          <w:cols w:space="720"/>
          <w:bidi/>
          <w:rtlGutter/>
          <w:docGrid w:linePitch="360"/>
        </w:sectPr>
      </w:pPr>
    </w:p>
    <w:bookmarkEnd w:id="6"/>
    <w:p w14:paraId="4042434E" w14:textId="3ABECE16" w:rsidR="00EB79BF" w:rsidRPr="00EB79BF" w:rsidRDefault="00DB717C" w:rsidP="00EB79BF">
      <w:pPr>
        <w:pStyle w:val="1"/>
        <w:rPr>
          <w:rtl/>
        </w:rPr>
      </w:pPr>
      <w:r>
        <w:rPr>
          <w:rFonts w:hint="cs"/>
          <w:rtl/>
        </w:rPr>
        <w:lastRenderedPageBreak/>
        <w:t>סימן צ:</w:t>
      </w:r>
      <w:r w:rsidR="007A3469">
        <w:rPr>
          <w:rFonts w:cs="Arial"/>
          <w:rtl/>
        </w:rPr>
        <w:t xml:space="preserve"> </w:t>
      </w:r>
      <w:r w:rsidR="00EB79BF" w:rsidRPr="00EB79BF">
        <w:rPr>
          <w:rFonts w:cs="Arial"/>
          <w:rtl/>
        </w:rPr>
        <w:t xml:space="preserve">דין הבעל יורש את אשתו, ומה הוא שאינו יורש, מכירת האיש בנכסיו המשועבדים לאשתו, וטענת נחת רוח עשיתי לבעלי, ובו כ' סעיפים. </w:t>
      </w:r>
    </w:p>
    <w:p w14:paraId="2620825A" w14:textId="380E129B" w:rsidR="00EB79BF" w:rsidRDefault="00EB79BF" w:rsidP="000F64D0">
      <w:pPr>
        <w:pStyle w:val="2"/>
        <w:rPr>
          <w:rtl/>
        </w:rPr>
      </w:pPr>
      <w:r>
        <w:rPr>
          <w:rtl/>
        </w:rPr>
        <w:t>סעיף א</w:t>
      </w:r>
      <w:r w:rsidR="009D20D7">
        <w:rPr>
          <w:rFonts w:hint="cs"/>
          <w:rtl/>
        </w:rPr>
        <w:t>:</w:t>
      </w:r>
      <w:r w:rsidR="00E36877">
        <w:rPr>
          <w:rFonts w:hint="cs"/>
          <w:rtl/>
        </w:rPr>
        <w:t xml:space="preserve"> האיש יורש את אשתו.</w:t>
      </w:r>
    </w:p>
    <w:p w14:paraId="4B5FF9A6" w14:textId="3375E4F1" w:rsidR="00C81A64" w:rsidRDefault="004E510F" w:rsidP="00876B1F">
      <w:pPr>
        <w:rPr>
          <w:rtl/>
        </w:rPr>
      </w:pPr>
      <w:r w:rsidRPr="004E510F">
        <w:rPr>
          <w:rFonts w:cs="Arial"/>
          <w:b/>
          <w:bCs/>
          <w:rtl/>
        </w:rPr>
        <w:t xml:space="preserve">בבא בתרא </w:t>
      </w:r>
      <w:r w:rsidRPr="00BD74BB">
        <w:rPr>
          <w:rFonts w:cs="Arial" w:hint="cs"/>
          <w:b/>
          <w:bCs/>
          <w:sz w:val="16"/>
          <w:szCs w:val="16"/>
          <w:rtl/>
        </w:rPr>
        <w:t>(</w:t>
      </w:r>
      <w:r w:rsidR="00BD74BB" w:rsidRPr="00BD74BB">
        <w:rPr>
          <w:rFonts w:cs="Arial" w:hint="cs"/>
          <w:b/>
          <w:bCs/>
          <w:sz w:val="16"/>
          <w:szCs w:val="16"/>
          <w:rtl/>
        </w:rPr>
        <w:t>פ' מי שמת</w:t>
      </w:r>
      <w:r w:rsidRPr="00BD74BB">
        <w:rPr>
          <w:rFonts w:cs="Arial" w:hint="cs"/>
          <w:b/>
          <w:bCs/>
          <w:sz w:val="16"/>
          <w:szCs w:val="16"/>
          <w:rtl/>
        </w:rPr>
        <w:t>)</w:t>
      </w:r>
      <w:r w:rsidRPr="004E510F">
        <w:rPr>
          <w:rFonts w:cs="Arial" w:hint="cs"/>
          <w:b/>
          <w:bCs/>
          <w:rtl/>
        </w:rPr>
        <w:t xml:space="preserve"> </w:t>
      </w:r>
      <w:r w:rsidRPr="004E510F">
        <w:rPr>
          <w:rFonts w:cs="Arial"/>
          <w:b/>
          <w:bCs/>
          <w:rtl/>
        </w:rPr>
        <w:t>קנח</w:t>
      </w:r>
      <w:r w:rsidR="00AC5034">
        <w:rPr>
          <w:rStyle w:val="a7"/>
          <w:rFonts w:cs="Arial"/>
          <w:b/>
          <w:bCs/>
          <w:rtl/>
        </w:rPr>
        <w:footnoteReference w:id="1190"/>
      </w:r>
      <w:r w:rsidRPr="004E510F">
        <w:rPr>
          <w:rFonts w:cs="Arial"/>
          <w:b/>
          <w:bCs/>
          <w:rtl/>
        </w:rPr>
        <w:t xml:space="preserve"> ע</w:t>
      </w:r>
      <w:r w:rsidRPr="004E510F">
        <w:rPr>
          <w:rFonts w:cs="Arial" w:hint="cs"/>
          <w:b/>
          <w:bCs/>
          <w:rtl/>
        </w:rPr>
        <w:t>"א:</w:t>
      </w:r>
      <w:r w:rsidRPr="004E510F">
        <w:rPr>
          <w:rFonts w:cs="Arial"/>
          <w:rtl/>
        </w:rPr>
        <w:t xml:space="preserve"> </w:t>
      </w:r>
      <w:r w:rsidRPr="004E510F">
        <w:rPr>
          <w:rFonts w:cs="Arial"/>
          <w:u w:val="double"/>
          <w:rtl/>
        </w:rPr>
        <w:t>מתני'</w:t>
      </w:r>
      <w:r>
        <w:rPr>
          <w:rFonts w:cs="Arial" w:hint="cs"/>
          <w:rtl/>
        </w:rPr>
        <w:t>:</w:t>
      </w:r>
      <w:r w:rsidRPr="004E510F">
        <w:rPr>
          <w:rFonts w:cs="Arial"/>
          <w:rtl/>
        </w:rPr>
        <w:t xml:space="preserve"> נפל הבית עליו ועל אשתו, יורשי הבעל אומרים: אשה מתה ראשון ואחר כך מת הבעל, יורשי אשה אומרים: בעל מת ראשון ואחר כך מתה אשה</w:t>
      </w:r>
      <w:r w:rsidR="00BD74BB">
        <w:rPr>
          <w:rFonts w:cs="Arial" w:hint="cs"/>
          <w:rtl/>
        </w:rPr>
        <w:t>,</w:t>
      </w:r>
      <w:r w:rsidRPr="004E510F">
        <w:rPr>
          <w:rFonts w:cs="Arial"/>
          <w:rtl/>
        </w:rPr>
        <w:t xml:space="preserve"> </w:t>
      </w:r>
      <w:r w:rsidRPr="00BD74BB">
        <w:rPr>
          <w:rFonts w:cs="Arial"/>
          <w:u w:val="single"/>
          <w:rtl/>
        </w:rPr>
        <w:t>בית שמאי אומרים</w:t>
      </w:r>
      <w:r w:rsidRPr="004E510F">
        <w:rPr>
          <w:rFonts w:cs="Arial"/>
          <w:rtl/>
        </w:rPr>
        <w:t>: יחלוקו</w:t>
      </w:r>
      <w:r w:rsidR="00BD74BB">
        <w:rPr>
          <w:rFonts w:cs="Arial" w:hint="cs"/>
          <w:rtl/>
        </w:rPr>
        <w:t>.</w:t>
      </w:r>
      <w:r w:rsidRPr="004E510F">
        <w:rPr>
          <w:rFonts w:cs="Arial"/>
          <w:rtl/>
        </w:rPr>
        <w:t xml:space="preserve"> </w:t>
      </w:r>
      <w:r w:rsidRPr="00BD74BB">
        <w:rPr>
          <w:rFonts w:cs="Arial"/>
          <w:u w:val="single"/>
          <w:rtl/>
        </w:rPr>
        <w:t>ובית הלל אומרים</w:t>
      </w:r>
      <w:r w:rsidRPr="004E510F">
        <w:rPr>
          <w:rFonts w:cs="Arial"/>
          <w:rtl/>
        </w:rPr>
        <w:t xml:space="preserve">: נכסים </w:t>
      </w:r>
      <w:r w:rsidR="00BD74BB">
        <w:rPr>
          <w:rFonts w:cs="Arial" w:hint="cs"/>
          <w:rtl/>
        </w:rPr>
        <w:t xml:space="preserve">- </w:t>
      </w:r>
      <w:r w:rsidRPr="004E510F">
        <w:rPr>
          <w:rFonts w:cs="Arial"/>
          <w:rtl/>
        </w:rPr>
        <w:t>בחזקתן</w:t>
      </w:r>
      <w:r w:rsidR="00BD74BB">
        <w:rPr>
          <w:rStyle w:val="a7"/>
          <w:rFonts w:cs="Arial"/>
          <w:rtl/>
        </w:rPr>
        <w:footnoteReference w:id="1191"/>
      </w:r>
      <w:r w:rsidR="00BD74BB">
        <w:rPr>
          <w:rFonts w:cs="Arial" w:hint="cs"/>
          <w:rtl/>
        </w:rPr>
        <w:t>.</w:t>
      </w:r>
      <w:r w:rsidRPr="004E510F">
        <w:rPr>
          <w:rFonts w:cs="Arial"/>
          <w:rtl/>
        </w:rPr>
        <w:t xml:space="preserve"> כתובה - בחזקת יורשי הבעל</w:t>
      </w:r>
      <w:r w:rsidR="00BD74BB">
        <w:rPr>
          <w:rStyle w:val="a7"/>
          <w:rFonts w:cs="Arial"/>
          <w:rtl/>
        </w:rPr>
        <w:footnoteReference w:id="1192"/>
      </w:r>
      <w:r w:rsidR="00BD74BB">
        <w:rPr>
          <w:rFonts w:cs="Arial" w:hint="cs"/>
          <w:rtl/>
        </w:rPr>
        <w:t>.</w:t>
      </w:r>
      <w:r w:rsidRPr="004E510F">
        <w:rPr>
          <w:rFonts w:cs="Arial"/>
          <w:rtl/>
        </w:rPr>
        <w:t xml:space="preserve"> נכסים הנכנסין והיוצאין עמה</w:t>
      </w:r>
      <w:r w:rsidR="00BD74BB">
        <w:rPr>
          <w:rStyle w:val="a7"/>
          <w:rFonts w:cs="Arial"/>
          <w:rtl/>
        </w:rPr>
        <w:footnoteReference w:id="1193"/>
      </w:r>
      <w:r w:rsidRPr="004E510F">
        <w:rPr>
          <w:rFonts w:cs="Arial"/>
          <w:rtl/>
        </w:rPr>
        <w:t xml:space="preserve"> - בחזקת יורשי האב</w:t>
      </w:r>
      <w:r w:rsidR="00BD74BB">
        <w:rPr>
          <w:rStyle w:val="a7"/>
          <w:rFonts w:cs="Arial"/>
          <w:rtl/>
        </w:rPr>
        <w:footnoteReference w:id="1194"/>
      </w:r>
      <w:r w:rsidRPr="004E510F">
        <w:rPr>
          <w:rFonts w:cs="Arial"/>
          <w:rtl/>
        </w:rPr>
        <w:t>.</w:t>
      </w:r>
      <w:r w:rsidR="00BD74BB">
        <w:rPr>
          <w:rFonts w:hint="cs"/>
          <w:rtl/>
        </w:rPr>
        <w:t xml:space="preserve">     </w:t>
      </w:r>
      <w:r w:rsidR="00BD74BB" w:rsidRPr="00BD74BB">
        <w:rPr>
          <w:rtl/>
        </w:rPr>
        <w:t xml:space="preserve"> </w:t>
      </w:r>
      <w:r w:rsidR="00BD74BB" w:rsidRPr="00BD74BB">
        <w:rPr>
          <w:rFonts w:cs="Arial"/>
          <w:u w:val="double"/>
          <w:rtl/>
        </w:rPr>
        <w:t>גמ'</w:t>
      </w:r>
      <w:r w:rsidR="00BD74BB">
        <w:rPr>
          <w:rFonts w:cs="Arial" w:hint="cs"/>
          <w:u w:val="double"/>
          <w:rtl/>
        </w:rPr>
        <w:t xml:space="preserve"> </w:t>
      </w:r>
      <w:r w:rsidR="00BD74BB">
        <w:rPr>
          <w:rFonts w:cs="Arial" w:hint="cs"/>
          <w:sz w:val="14"/>
          <w:szCs w:val="14"/>
          <w:u w:val="double"/>
          <w:rtl/>
        </w:rPr>
        <w:t>(קנח:)</w:t>
      </w:r>
      <w:r w:rsidR="00BD74BB" w:rsidRPr="00BD74BB">
        <w:rPr>
          <w:rFonts w:cs="Arial" w:hint="cs"/>
          <w:u w:val="double"/>
          <w:rtl/>
        </w:rPr>
        <w:t>:</w:t>
      </w:r>
      <w:r w:rsidR="00BD74BB" w:rsidRPr="00BD74BB">
        <w:rPr>
          <w:rFonts w:cs="Arial"/>
          <w:rtl/>
        </w:rPr>
        <w:t xml:space="preserve"> בחזקת מי? </w:t>
      </w:r>
      <w:r w:rsidR="00BD74BB" w:rsidRPr="00BD74BB">
        <w:rPr>
          <w:rFonts w:cs="Arial"/>
          <w:u w:val="single"/>
          <w:rtl/>
        </w:rPr>
        <w:t>ר' יוחנן אמר</w:t>
      </w:r>
      <w:r w:rsidR="00BD74BB" w:rsidRPr="00BD74BB">
        <w:rPr>
          <w:rFonts w:cs="Arial"/>
          <w:rtl/>
        </w:rPr>
        <w:t>: בחזקת יורשי הבעל</w:t>
      </w:r>
      <w:r w:rsidR="00BD74BB">
        <w:rPr>
          <w:rFonts w:cs="Arial" w:hint="cs"/>
          <w:rtl/>
        </w:rPr>
        <w:t>.</w:t>
      </w:r>
      <w:r w:rsidR="00BD74BB" w:rsidRPr="00BD74BB">
        <w:rPr>
          <w:rFonts w:cs="Arial"/>
          <w:rtl/>
        </w:rPr>
        <w:t xml:space="preserve"> </w:t>
      </w:r>
      <w:r w:rsidR="00BD74BB" w:rsidRPr="00BD74BB">
        <w:rPr>
          <w:rFonts w:cs="Arial"/>
          <w:u w:val="single"/>
          <w:rtl/>
        </w:rPr>
        <w:t>ור' אלעזר אמר</w:t>
      </w:r>
      <w:r w:rsidR="00BD74BB" w:rsidRPr="00BD74BB">
        <w:rPr>
          <w:rFonts w:cs="Arial"/>
          <w:rtl/>
        </w:rPr>
        <w:t>: בחזקת יורשי האשה</w:t>
      </w:r>
      <w:r w:rsidR="00BD74BB">
        <w:rPr>
          <w:rFonts w:cs="Arial" w:hint="cs"/>
          <w:rtl/>
        </w:rPr>
        <w:t>.</w:t>
      </w:r>
      <w:r w:rsidR="00BD74BB" w:rsidRPr="00BD74BB">
        <w:rPr>
          <w:rFonts w:cs="Arial"/>
          <w:rtl/>
        </w:rPr>
        <w:t xml:space="preserve"> </w:t>
      </w:r>
      <w:r w:rsidR="00BD74BB" w:rsidRPr="00BD74BB">
        <w:rPr>
          <w:rFonts w:cs="Arial"/>
          <w:u w:val="single"/>
          <w:rtl/>
        </w:rPr>
        <w:t>ור' שמעון בן לקיש משום בר קפרא אמר</w:t>
      </w:r>
      <w:r w:rsidR="00BD74BB" w:rsidRPr="00BD74BB">
        <w:rPr>
          <w:rFonts w:cs="Arial"/>
          <w:rtl/>
        </w:rPr>
        <w:t xml:space="preserve">: יחלוקו. </w:t>
      </w:r>
      <w:r w:rsidR="00BD74BB" w:rsidRPr="00BD74BB">
        <w:rPr>
          <w:rFonts w:cs="Arial"/>
          <w:u w:val="single"/>
          <w:rtl/>
        </w:rPr>
        <w:t>וכן תני בר קפרא</w:t>
      </w:r>
      <w:r w:rsidR="00BD74BB" w:rsidRPr="00BD74BB">
        <w:rPr>
          <w:rFonts w:cs="Arial"/>
          <w:rtl/>
        </w:rPr>
        <w:t>: הואיל והללו באין לירש והללו באין לירש - יחלוקו.</w:t>
      </w:r>
      <w:r w:rsidR="007C72E9" w:rsidRPr="007C72E9">
        <w:rPr>
          <w:rFonts w:hint="cs"/>
          <w:sz w:val="16"/>
          <w:szCs w:val="16"/>
          <w:rtl/>
        </w:rPr>
        <w:t xml:space="preserve"> (מכאן משמע שהבעל יורש</w:t>
      </w:r>
      <w:r w:rsidR="007C72E9">
        <w:rPr>
          <w:rFonts w:hint="cs"/>
          <w:sz w:val="16"/>
          <w:szCs w:val="16"/>
          <w:rtl/>
        </w:rPr>
        <w:t xml:space="preserve"> את אשתו</w:t>
      </w:r>
      <w:r w:rsidR="007C72E9" w:rsidRPr="007C72E9">
        <w:rPr>
          <w:rFonts w:hint="cs"/>
          <w:sz w:val="16"/>
          <w:szCs w:val="16"/>
          <w:rtl/>
        </w:rPr>
        <w:t xml:space="preserve"> בין </w:t>
      </w:r>
      <w:r w:rsidR="007C72E9">
        <w:rPr>
          <w:rFonts w:hint="cs"/>
          <w:sz w:val="16"/>
          <w:szCs w:val="16"/>
          <w:rtl/>
        </w:rPr>
        <w:t>ב</w:t>
      </w:r>
      <w:r w:rsidR="007C72E9" w:rsidRPr="007C72E9">
        <w:rPr>
          <w:rFonts w:hint="cs"/>
          <w:sz w:val="16"/>
          <w:szCs w:val="16"/>
          <w:rtl/>
        </w:rPr>
        <w:t xml:space="preserve">נכסי מלוג ובין </w:t>
      </w:r>
      <w:r w:rsidR="007C72E9">
        <w:rPr>
          <w:rFonts w:hint="cs"/>
          <w:sz w:val="16"/>
          <w:szCs w:val="16"/>
          <w:rtl/>
        </w:rPr>
        <w:t>ב</w:t>
      </w:r>
      <w:r w:rsidR="007C72E9" w:rsidRPr="007C72E9">
        <w:rPr>
          <w:rFonts w:hint="cs"/>
          <w:sz w:val="16"/>
          <w:szCs w:val="16"/>
          <w:rtl/>
        </w:rPr>
        <w:t>נכסי צאן ברזל</w:t>
      </w:r>
      <w:r w:rsidR="00876B1F">
        <w:rPr>
          <w:rFonts w:hint="cs"/>
          <w:sz w:val="16"/>
          <w:szCs w:val="16"/>
          <w:rtl/>
        </w:rPr>
        <w:t>. וכתב הב"י ד</w:t>
      </w:r>
      <w:r w:rsidR="00876B1F" w:rsidRPr="00876B1F">
        <w:rPr>
          <w:sz w:val="16"/>
          <w:szCs w:val="16"/>
          <w:rtl/>
        </w:rPr>
        <w:t>כן משמע בפרק האשה שנפלו ובכמה דוכתי</w:t>
      </w:r>
      <w:r w:rsidR="007C72E9" w:rsidRPr="007C72E9">
        <w:rPr>
          <w:rFonts w:hint="cs"/>
          <w:sz w:val="16"/>
          <w:szCs w:val="16"/>
          <w:rtl/>
        </w:rPr>
        <w:t>)</w:t>
      </w:r>
    </w:p>
    <w:p w14:paraId="677C5EE5" w14:textId="142C6AF9" w:rsidR="006A308B" w:rsidRDefault="006A308B" w:rsidP="00876B1F">
      <w:pPr>
        <w:rPr>
          <w:rtl/>
        </w:rPr>
      </w:pPr>
      <w:r w:rsidRPr="004E510F">
        <w:rPr>
          <w:rFonts w:cs="Arial"/>
          <w:b/>
          <w:bCs/>
          <w:rtl/>
        </w:rPr>
        <w:t xml:space="preserve">בבא בתרא </w:t>
      </w:r>
      <w:r w:rsidRPr="00BD74BB">
        <w:rPr>
          <w:rFonts w:cs="Arial" w:hint="cs"/>
          <w:b/>
          <w:bCs/>
          <w:sz w:val="16"/>
          <w:szCs w:val="16"/>
          <w:rtl/>
        </w:rPr>
        <w:t>(</w:t>
      </w:r>
      <w:r>
        <w:rPr>
          <w:rFonts w:cs="Arial" w:hint="cs"/>
          <w:b/>
          <w:bCs/>
          <w:sz w:val="16"/>
          <w:szCs w:val="16"/>
          <w:rtl/>
        </w:rPr>
        <w:t>ר"</w:t>
      </w:r>
      <w:r w:rsidRPr="00BD74BB">
        <w:rPr>
          <w:rFonts w:cs="Arial" w:hint="cs"/>
          <w:b/>
          <w:bCs/>
          <w:sz w:val="16"/>
          <w:szCs w:val="16"/>
          <w:rtl/>
        </w:rPr>
        <w:t xml:space="preserve">פ </w:t>
      </w:r>
      <w:r>
        <w:rPr>
          <w:rFonts w:cs="Arial" w:hint="cs"/>
          <w:b/>
          <w:bCs/>
          <w:sz w:val="16"/>
          <w:szCs w:val="16"/>
          <w:rtl/>
        </w:rPr>
        <w:t>יש נוחלין</w:t>
      </w:r>
      <w:r w:rsidRPr="00BD74BB">
        <w:rPr>
          <w:rFonts w:cs="Arial" w:hint="cs"/>
          <w:b/>
          <w:bCs/>
          <w:sz w:val="16"/>
          <w:szCs w:val="16"/>
          <w:rtl/>
        </w:rPr>
        <w:t>)</w:t>
      </w:r>
      <w:r w:rsidRPr="004E510F">
        <w:rPr>
          <w:rFonts w:cs="Arial" w:hint="cs"/>
          <w:b/>
          <w:bCs/>
          <w:rtl/>
        </w:rPr>
        <w:t xml:space="preserve"> </w:t>
      </w:r>
      <w:r w:rsidRPr="004E510F">
        <w:rPr>
          <w:rFonts w:cs="Arial"/>
          <w:b/>
          <w:bCs/>
          <w:rtl/>
        </w:rPr>
        <w:t>ק</w:t>
      </w:r>
      <w:r>
        <w:rPr>
          <w:rFonts w:cs="Arial" w:hint="cs"/>
          <w:b/>
          <w:bCs/>
          <w:rtl/>
        </w:rPr>
        <w:t>יג</w:t>
      </w:r>
      <w:r w:rsidRPr="004E510F">
        <w:rPr>
          <w:rFonts w:cs="Arial"/>
          <w:b/>
          <w:bCs/>
          <w:rtl/>
        </w:rPr>
        <w:t xml:space="preserve"> ע</w:t>
      </w:r>
      <w:r w:rsidRPr="004E510F">
        <w:rPr>
          <w:rFonts w:cs="Arial" w:hint="cs"/>
          <w:b/>
          <w:bCs/>
          <w:rtl/>
        </w:rPr>
        <w:t>"</w:t>
      </w:r>
      <w:r w:rsidRPr="006A308B">
        <w:rPr>
          <w:rFonts w:cs="Arial" w:hint="cs"/>
          <w:b/>
          <w:bCs/>
          <w:rtl/>
        </w:rPr>
        <w:t>א:</w:t>
      </w:r>
      <w:r w:rsidRPr="006A308B">
        <w:rPr>
          <w:rFonts w:cs="Arial" w:hint="cs"/>
          <w:rtl/>
        </w:rPr>
        <w:t xml:space="preserve"> </w:t>
      </w:r>
      <w:r w:rsidRPr="006A308B">
        <w:rPr>
          <w:rFonts w:cs="Arial"/>
          <w:u w:val="single"/>
          <w:rtl/>
        </w:rPr>
        <w:t>א"ר אבהו אמר ר' יוחנן אמר רבי ינאי אמר רבי, ומטו בה משמיה דרבי יהושע בן קרחה</w:t>
      </w:r>
      <w:r w:rsidRPr="006A308B">
        <w:rPr>
          <w:rFonts w:cs="Arial"/>
          <w:rtl/>
        </w:rPr>
        <w:t>: מנין לבעל שאינו נוטל בראוי כבמוחזק? שנאמר: ושגוב הוליד את יאיר ויהי לו עשרים ושלש ערים בארץ הגלעד, מנין ליאיר שלא היה לו לשגוב? אלא, מלמד שנשא שגוב אשה ומתה בחיי מורישיה, ומתו מורישיה וירשה יאיר</w:t>
      </w:r>
      <w:r>
        <w:rPr>
          <w:rFonts w:cs="Arial" w:hint="cs"/>
          <w:rtl/>
        </w:rPr>
        <w:t>.</w:t>
      </w:r>
      <w:r w:rsidRPr="006A308B">
        <w:rPr>
          <w:rFonts w:cs="Arial"/>
          <w:rtl/>
        </w:rPr>
        <w:t xml:space="preserve"> ואומר: ואלעזר בן אהרן מת ויקברו וגו', מנין לפנחס שלא היה לו לאלעזר? מלמד שנשא אלעזר אשה ומתה בחיי מורישיה, ומתו מורישיה וירשה פנחס. ומאי ואומר? וכי תימא: יאיר דהוה נסיב איתתא ומתה וירתה, תלמוד לומר: ואלעזר בן אהרן מת. וכי תימא: דנפלה ליה בשדה חרמים, אמר קרא: בנו, נחלה הראויה לו וירשה בנו.</w:t>
      </w:r>
      <w:r>
        <w:rPr>
          <w:rFonts w:hint="cs"/>
          <w:rtl/>
        </w:rPr>
        <w:t>..</w:t>
      </w:r>
      <w:r>
        <w:rPr>
          <w:rFonts w:hint="cs"/>
          <w:sz w:val="14"/>
          <w:szCs w:val="14"/>
          <w:rtl/>
        </w:rPr>
        <w:t>(קכה:)</w:t>
      </w:r>
      <w:r>
        <w:rPr>
          <w:rFonts w:hint="cs"/>
          <w:rtl/>
        </w:rPr>
        <w:t xml:space="preserve"> </w:t>
      </w:r>
      <w:r w:rsidRPr="006A308B">
        <w:rPr>
          <w:rFonts w:cs="Arial"/>
          <w:u w:val="single"/>
          <w:rtl/>
        </w:rPr>
        <w:t>אמר רב פפא</w:t>
      </w:r>
      <w:r>
        <w:rPr>
          <w:rFonts w:cs="Arial" w:hint="cs"/>
          <w:rtl/>
        </w:rPr>
        <w:t>:</w:t>
      </w:r>
      <w:r w:rsidRPr="006A308B">
        <w:rPr>
          <w:rFonts w:cs="Arial"/>
          <w:rtl/>
        </w:rPr>
        <w:t xml:space="preserve"> הלכתא</w:t>
      </w:r>
      <w:r>
        <w:rPr>
          <w:rFonts w:cs="Arial" w:hint="cs"/>
          <w:rtl/>
        </w:rPr>
        <w:t>,</w:t>
      </w:r>
      <w:r w:rsidRPr="006A308B">
        <w:rPr>
          <w:rFonts w:cs="Arial"/>
          <w:rtl/>
        </w:rPr>
        <w:t xml:space="preserve"> אין הבעל נוטל בראוי כבמוחזק</w:t>
      </w:r>
      <w:r>
        <w:rPr>
          <w:rFonts w:cs="Arial" w:hint="cs"/>
          <w:rtl/>
        </w:rPr>
        <w:t>...</w:t>
      </w:r>
    </w:p>
    <w:p w14:paraId="2310A71D" w14:textId="76C6BFF8" w:rsidR="00876B1F" w:rsidRPr="00E36877" w:rsidRDefault="00E36877" w:rsidP="00C81A64">
      <w:pPr>
        <w:rPr>
          <w:u w:val="single"/>
          <w:rtl/>
        </w:rPr>
      </w:pPr>
      <w:r w:rsidRPr="00E36877">
        <w:rPr>
          <w:rFonts w:hint="cs"/>
          <w:u w:val="single"/>
          <w:rtl/>
        </w:rPr>
        <w:t xml:space="preserve">האיש יורש את אשתו </w:t>
      </w:r>
      <w:r w:rsidR="00F97626">
        <w:rPr>
          <w:u w:val="single"/>
          <w:rtl/>
        </w:rPr>
        <w:t>-</w:t>
      </w:r>
      <w:r w:rsidRPr="00E36877">
        <w:rPr>
          <w:rFonts w:hint="cs"/>
          <w:u w:val="single"/>
          <w:rtl/>
        </w:rPr>
        <w:t xml:space="preserve"> כיצד:</w:t>
      </w:r>
    </w:p>
    <w:p w14:paraId="603FF56C" w14:textId="35560769" w:rsidR="00BA4DA2" w:rsidRDefault="00843F99" w:rsidP="009000E3">
      <w:pPr>
        <w:pStyle w:val="ab"/>
        <w:numPr>
          <w:ilvl w:val="0"/>
          <w:numId w:val="55"/>
        </w:numPr>
      </w:pPr>
      <w:r w:rsidRPr="00843F99">
        <w:rPr>
          <w:rFonts w:cs="Arial" w:hint="cs"/>
          <w:rtl/>
        </w:rPr>
        <w:t xml:space="preserve">טור- </w:t>
      </w:r>
      <w:r w:rsidRPr="00843F99">
        <w:rPr>
          <w:rFonts w:cs="Arial"/>
          <w:rtl/>
        </w:rPr>
        <w:t>האיש יורש את אשתו שמתה בחייו משנמסרה לו או ליד שלוחו כדפרישית לעיל</w:t>
      </w:r>
      <w:r w:rsidR="000E04F6">
        <w:rPr>
          <w:rFonts w:cs="Arial" w:hint="cs"/>
          <w:rtl/>
        </w:rPr>
        <w:t xml:space="preserve"> (סי' נז).</w:t>
      </w:r>
      <w:r w:rsidRPr="00843F99">
        <w:rPr>
          <w:rFonts w:cs="Arial"/>
          <w:rtl/>
        </w:rPr>
        <w:t xml:space="preserve"> ויורש כל נכסיה בין בנכסי מלוג בין בנכסי צאן ברזל</w:t>
      </w:r>
      <w:r w:rsidR="000E04F6">
        <w:rPr>
          <w:rFonts w:cs="Arial" w:hint="cs"/>
          <w:rtl/>
        </w:rPr>
        <w:t>.</w:t>
      </w:r>
      <w:r w:rsidRPr="00843F99">
        <w:rPr>
          <w:rFonts w:cs="Arial"/>
          <w:rtl/>
        </w:rPr>
        <w:t xml:space="preserve"> בד"א במוחזק לה</w:t>
      </w:r>
      <w:r w:rsidR="000E04F6">
        <w:rPr>
          <w:rFonts w:cs="Arial" w:hint="cs"/>
          <w:rtl/>
        </w:rPr>
        <w:t>,</w:t>
      </w:r>
      <w:r w:rsidRPr="00843F99">
        <w:rPr>
          <w:rFonts w:cs="Arial"/>
          <w:rtl/>
        </w:rPr>
        <w:t xml:space="preserve"> אבל בראוי לה כגון ירושה שראויה לירש ומתה בחיי מורישה</w:t>
      </w:r>
      <w:r w:rsidR="000E04F6">
        <w:rPr>
          <w:rFonts w:cs="Arial" w:hint="cs"/>
          <w:rtl/>
        </w:rPr>
        <w:t>,</w:t>
      </w:r>
      <w:r w:rsidRPr="00843F99">
        <w:rPr>
          <w:rFonts w:cs="Arial"/>
          <w:rtl/>
        </w:rPr>
        <w:t xml:space="preserve"> אינו עומד במקומה לירש</w:t>
      </w:r>
      <w:r w:rsidR="000E04F6">
        <w:rPr>
          <w:rFonts w:cs="Arial" w:hint="cs"/>
          <w:rtl/>
        </w:rPr>
        <w:t>.</w:t>
      </w:r>
      <w:r w:rsidRPr="00843F99">
        <w:rPr>
          <w:rFonts w:cs="Arial"/>
          <w:rtl/>
        </w:rPr>
        <w:t xml:space="preserve"> אבל שבח נוטל במה שיורש ממנה שהרי ברשותו השביח</w:t>
      </w:r>
      <w:r w:rsidR="000E04F6">
        <w:rPr>
          <w:rFonts w:cs="Arial" w:hint="cs"/>
          <w:rtl/>
        </w:rPr>
        <w:t>.</w:t>
      </w:r>
      <w:r w:rsidRPr="00843F99">
        <w:rPr>
          <w:rFonts w:cs="Arial"/>
          <w:rtl/>
        </w:rPr>
        <w:t xml:space="preserve"> </w:t>
      </w:r>
      <w:r w:rsidR="001D67C0" w:rsidRPr="001D67C0">
        <w:rPr>
          <w:rFonts w:hint="cs"/>
          <w:color w:val="E36C0A" w:themeColor="accent6" w:themeShade="BF"/>
          <w:rtl/>
        </w:rPr>
        <w:t>(וכ"פ בשו"ע)</w:t>
      </w:r>
    </w:p>
    <w:p w14:paraId="16A90ABD" w14:textId="46AD0623" w:rsidR="00BA4DA2" w:rsidRPr="00BA4DA2" w:rsidRDefault="00BA4DA2" w:rsidP="00BA4DA2">
      <w:pPr>
        <w:rPr>
          <w:u w:val="single"/>
        </w:rPr>
      </w:pPr>
      <w:r w:rsidRPr="00BA4DA2">
        <w:rPr>
          <w:rFonts w:hint="cs"/>
          <w:u w:val="single"/>
          <w:rtl/>
        </w:rPr>
        <w:t>ירושת מלוה אשתו:</w:t>
      </w:r>
    </w:p>
    <w:p w14:paraId="78F96112" w14:textId="7549C52C" w:rsidR="00BA4DA2" w:rsidRPr="00BA4DA2" w:rsidRDefault="00BA4DA2" w:rsidP="009000E3">
      <w:pPr>
        <w:pStyle w:val="ab"/>
        <w:numPr>
          <w:ilvl w:val="0"/>
          <w:numId w:val="55"/>
        </w:numPr>
      </w:pPr>
      <w:r>
        <w:rPr>
          <w:rFonts w:hint="cs"/>
          <w:rtl/>
        </w:rPr>
        <w:t xml:space="preserve">תוס' </w:t>
      </w:r>
      <w:r w:rsidRPr="00BA4DA2">
        <w:rPr>
          <w:rFonts w:cs="Arial"/>
          <w:sz w:val="16"/>
          <w:szCs w:val="16"/>
          <w:rtl/>
        </w:rPr>
        <w:t>(ב"ב קכה: ד"ה אמר)</w:t>
      </w:r>
      <w:r>
        <w:rPr>
          <w:rFonts w:cs="Arial" w:hint="cs"/>
          <w:rtl/>
        </w:rPr>
        <w:t xml:space="preserve">- </w:t>
      </w:r>
      <w:r>
        <w:rPr>
          <w:rFonts w:cs="Arial"/>
          <w:rtl/>
        </w:rPr>
        <w:t>אינו נוטל ממלות אשתו ואפילו מה שהלותה מנכסי מלוג שלה בעודה תחתיו כדמוכח בפרק שור שנגח ד' וה' (ב"ק מב:) דאין הבעל יורש נזקי אשתו לרבנן משום דהוי כמלוה</w:t>
      </w:r>
      <w:r w:rsidR="00AC5034">
        <w:rPr>
          <w:rFonts w:cs="Arial" w:hint="cs"/>
          <w:rtl/>
        </w:rPr>
        <w:t>,</w:t>
      </w:r>
      <w:r>
        <w:rPr>
          <w:rFonts w:cs="Arial"/>
          <w:rtl/>
        </w:rPr>
        <w:t xml:space="preserve"> ואע</w:t>
      </w:r>
      <w:r>
        <w:rPr>
          <w:rFonts w:cs="Arial" w:hint="cs"/>
          <w:rtl/>
        </w:rPr>
        <w:t>"</w:t>
      </w:r>
      <w:r w:rsidRPr="00E36877">
        <w:rPr>
          <w:rFonts w:cs="Arial"/>
          <w:rtl/>
        </w:rPr>
        <w:t>פ שאם היו באים לידיה בחייה היה בהם דין נכסי מלוג כדקתני במתניתין דמציאת האשה</w:t>
      </w:r>
      <w:r w:rsidR="009F6BAE">
        <w:rPr>
          <w:rStyle w:val="a7"/>
          <w:rFonts w:cs="Arial"/>
          <w:rtl/>
        </w:rPr>
        <w:footnoteReference w:id="1195"/>
      </w:r>
      <w:r w:rsidRPr="00E36877">
        <w:rPr>
          <w:rFonts w:cs="Arial"/>
          <w:rtl/>
        </w:rPr>
        <w:t xml:space="preserve"> (כתובות סה:)</w:t>
      </w:r>
      <w:r w:rsidR="009F6BAE">
        <w:rPr>
          <w:rFonts w:cs="Arial" w:hint="cs"/>
          <w:sz w:val="16"/>
          <w:szCs w:val="16"/>
          <w:rtl/>
        </w:rPr>
        <w:t xml:space="preserve"> (ל' הרא"ש בשם התוס')</w:t>
      </w:r>
      <w:r w:rsidRPr="00E36877">
        <w:rPr>
          <w:rFonts w:cs="Arial" w:hint="cs"/>
          <w:rtl/>
        </w:rPr>
        <w:t>.</w:t>
      </w:r>
    </w:p>
    <w:p w14:paraId="3544B54B" w14:textId="454B6DDF" w:rsidR="00CD250C" w:rsidRDefault="00843F99" w:rsidP="009000E3">
      <w:pPr>
        <w:pStyle w:val="ab"/>
        <w:numPr>
          <w:ilvl w:val="0"/>
          <w:numId w:val="55"/>
        </w:numPr>
        <w:rPr>
          <w:rtl/>
        </w:rPr>
      </w:pPr>
      <w:r w:rsidRPr="00843F99">
        <w:rPr>
          <w:rFonts w:cs="Arial"/>
          <w:rtl/>
        </w:rPr>
        <w:t>רא"ש</w:t>
      </w:r>
      <w:r w:rsidR="00E36877">
        <w:rPr>
          <w:rFonts w:cs="Arial" w:hint="cs"/>
          <w:sz w:val="16"/>
          <w:szCs w:val="16"/>
          <w:rtl/>
        </w:rPr>
        <w:t xml:space="preserve"> (סי' יא)</w:t>
      </w:r>
      <w:r w:rsidR="00E36877">
        <w:rPr>
          <w:rFonts w:cs="Arial" w:hint="cs"/>
          <w:rtl/>
        </w:rPr>
        <w:t>-</w:t>
      </w:r>
      <w:r w:rsidRPr="00843F99">
        <w:rPr>
          <w:rFonts w:cs="Arial"/>
          <w:rtl/>
        </w:rPr>
        <w:t xml:space="preserve"> ודאי מה שהלותה</w:t>
      </w:r>
      <w:r w:rsidR="003D032F">
        <w:rPr>
          <w:rFonts w:cs="Arial" w:hint="cs"/>
          <w:sz w:val="16"/>
          <w:szCs w:val="16"/>
          <w:rtl/>
        </w:rPr>
        <w:t xml:space="preserve"> {מנכסי מלוג}</w:t>
      </w:r>
      <w:r w:rsidRPr="00843F99">
        <w:rPr>
          <w:rFonts w:cs="Arial"/>
          <w:rtl/>
        </w:rPr>
        <w:t xml:space="preserve"> בעודה תחתיו </w:t>
      </w:r>
      <w:r w:rsidR="00AC5034">
        <w:rPr>
          <w:rFonts w:cs="Arial" w:hint="cs"/>
          <w:rtl/>
        </w:rPr>
        <w:t xml:space="preserve">- </w:t>
      </w:r>
      <w:r w:rsidRPr="00843F99">
        <w:rPr>
          <w:rFonts w:cs="Arial"/>
          <w:rtl/>
        </w:rPr>
        <w:t>הוא יורש</w:t>
      </w:r>
      <w:r w:rsidR="00AC5034">
        <w:rPr>
          <w:rFonts w:cs="Arial" w:hint="cs"/>
          <w:rtl/>
        </w:rPr>
        <w:t>.</w:t>
      </w:r>
      <w:r w:rsidRPr="00843F99">
        <w:rPr>
          <w:rFonts w:cs="Arial"/>
          <w:rtl/>
        </w:rPr>
        <w:t xml:space="preserve"> אלא איזו היא מלוה שלה שאינו יורש</w:t>
      </w:r>
      <w:r w:rsidR="000E04F6">
        <w:rPr>
          <w:rFonts w:cs="Arial" w:hint="cs"/>
          <w:rtl/>
        </w:rPr>
        <w:t>,</w:t>
      </w:r>
      <w:r w:rsidRPr="00843F99">
        <w:rPr>
          <w:rFonts w:cs="Arial"/>
          <w:rtl/>
        </w:rPr>
        <w:t xml:space="preserve"> כגון שמתו מורישיו והיה להם מלוה ביד אחרים כשנשאה</w:t>
      </w:r>
      <w:r w:rsidR="00AC5034">
        <w:rPr>
          <w:rFonts w:cs="Arial" w:hint="cs"/>
          <w:rtl/>
        </w:rPr>
        <w:t>,</w:t>
      </w:r>
      <w:r w:rsidRPr="00843F99">
        <w:rPr>
          <w:rFonts w:cs="Arial"/>
          <w:rtl/>
        </w:rPr>
        <w:t xml:space="preserve"> ומתה קודם שגבתה אותה</w:t>
      </w:r>
      <w:r w:rsidR="000E04F6">
        <w:rPr>
          <w:rFonts w:cs="Arial" w:hint="cs"/>
          <w:rtl/>
        </w:rPr>
        <w:t>,</w:t>
      </w:r>
      <w:r w:rsidRPr="00843F99">
        <w:rPr>
          <w:rFonts w:cs="Arial"/>
          <w:rtl/>
        </w:rPr>
        <w:t xml:space="preserve"> אינו יורש אותה</w:t>
      </w:r>
      <w:r w:rsidR="000E04F6">
        <w:rPr>
          <w:rFonts w:cs="Arial" w:hint="cs"/>
          <w:rtl/>
        </w:rPr>
        <w:t>.</w:t>
      </w:r>
      <w:r w:rsidRPr="00843F99">
        <w:rPr>
          <w:rFonts w:cs="Arial"/>
          <w:rtl/>
        </w:rPr>
        <w:t xml:space="preserve"> וכן אם היה לה מלוה ביד אחרים כשנשאה</w:t>
      </w:r>
      <w:r w:rsidR="000E04F6">
        <w:rPr>
          <w:rFonts w:cs="Arial" w:hint="cs"/>
          <w:rtl/>
        </w:rPr>
        <w:t>,</w:t>
      </w:r>
      <w:r w:rsidRPr="00843F99">
        <w:rPr>
          <w:rFonts w:cs="Arial"/>
          <w:rtl/>
        </w:rPr>
        <w:t xml:space="preserve"> ומתה האשה קודם שגבתה אותה</w:t>
      </w:r>
      <w:r w:rsidR="000E04F6">
        <w:rPr>
          <w:rFonts w:cs="Arial" w:hint="cs"/>
          <w:rtl/>
        </w:rPr>
        <w:t>,</w:t>
      </w:r>
      <w:r w:rsidRPr="00843F99">
        <w:rPr>
          <w:rFonts w:cs="Arial"/>
          <w:rtl/>
        </w:rPr>
        <w:t xml:space="preserve"> אינו יורש אותה</w:t>
      </w:r>
      <w:r w:rsidR="005F4FCE">
        <w:rPr>
          <w:rFonts w:cs="Arial" w:hint="cs"/>
          <w:sz w:val="16"/>
          <w:szCs w:val="16"/>
          <w:rtl/>
        </w:rPr>
        <w:t xml:space="preserve"> (ל' הטור בשם הרא"ש)</w:t>
      </w:r>
      <w:r w:rsidR="00D9440F">
        <w:rPr>
          <w:rStyle w:val="a7"/>
          <w:rFonts w:cs="Arial"/>
          <w:rtl/>
        </w:rPr>
        <w:footnoteReference w:id="1196"/>
      </w:r>
      <w:r w:rsidR="00D9440F" w:rsidRPr="005F4FCE">
        <w:rPr>
          <w:rFonts w:cs="Arial"/>
          <w:rtl/>
        </w:rPr>
        <w:t xml:space="preserve">. </w:t>
      </w:r>
      <w:r w:rsidR="003D032F" w:rsidRPr="001D67C0">
        <w:rPr>
          <w:rFonts w:hint="cs"/>
          <w:color w:val="E36C0A" w:themeColor="accent6" w:themeShade="BF"/>
          <w:rtl/>
        </w:rPr>
        <w:t>(וכ"פ בשו"ע)</w:t>
      </w:r>
    </w:p>
    <w:p w14:paraId="00CA5F33" w14:textId="2DF24DCA" w:rsidR="00CD250C" w:rsidRPr="00CD250C" w:rsidRDefault="00D9440F" w:rsidP="009000E3">
      <w:pPr>
        <w:pStyle w:val="ab"/>
        <w:numPr>
          <w:ilvl w:val="0"/>
          <w:numId w:val="55"/>
        </w:numPr>
      </w:pPr>
      <w:r w:rsidRPr="00CD250C">
        <w:rPr>
          <w:rFonts w:cs="Arial"/>
          <w:rtl/>
        </w:rPr>
        <w:lastRenderedPageBreak/>
        <w:t xml:space="preserve">רשב"א </w:t>
      </w:r>
      <w:r w:rsidR="00CD250C" w:rsidRPr="00CD250C">
        <w:rPr>
          <w:rFonts w:cs="Arial" w:hint="cs"/>
          <w:sz w:val="16"/>
          <w:szCs w:val="16"/>
          <w:rtl/>
        </w:rPr>
        <w:t>(במיוחסות סי' סג)</w:t>
      </w:r>
      <w:r w:rsidR="00CD250C">
        <w:rPr>
          <w:rFonts w:cs="Arial" w:hint="cs"/>
          <w:rtl/>
        </w:rPr>
        <w:t xml:space="preserve">- </w:t>
      </w:r>
      <w:r w:rsidRPr="00CD250C">
        <w:rPr>
          <w:rFonts w:cs="Arial"/>
          <w:rtl/>
        </w:rPr>
        <w:t xml:space="preserve">גרסינן בפרק יש נוחלין </w:t>
      </w:r>
      <w:r w:rsidR="00CD250C">
        <w:rPr>
          <w:rFonts w:cs="Arial" w:hint="cs"/>
          <w:rtl/>
        </w:rPr>
        <w:t xml:space="preserve">(קכה:) </w:t>
      </w:r>
      <w:r w:rsidRPr="00CD250C">
        <w:rPr>
          <w:rFonts w:cs="Arial"/>
          <w:rtl/>
        </w:rPr>
        <w:t>אמר רב פפא אין הבכור נוטל במלוה ואין הבעל נוטל בראוי כבמוחזק</w:t>
      </w:r>
      <w:r w:rsidR="00C4462B">
        <w:rPr>
          <w:rFonts w:cs="Arial" w:hint="cs"/>
          <w:rtl/>
        </w:rPr>
        <w:t>.</w:t>
      </w:r>
      <w:r w:rsidRPr="00CD250C">
        <w:rPr>
          <w:rFonts w:cs="Arial"/>
          <w:rtl/>
        </w:rPr>
        <w:t xml:space="preserve"> ואיכא מרבוותא דסברי כיון דפלגינהו ולא אמר אין הבעל והבכור נוטלין בראוי כבמוחזק ש"מ בעל נוטל בראוי דמלוה</w:t>
      </w:r>
      <w:r w:rsidR="00AE4DC9">
        <w:rPr>
          <w:rFonts w:cs="Arial" w:hint="cs"/>
          <w:rtl/>
        </w:rPr>
        <w:t>,</w:t>
      </w:r>
      <w:r w:rsidRPr="00CD250C">
        <w:rPr>
          <w:rFonts w:cs="Arial"/>
          <w:rtl/>
        </w:rPr>
        <w:t xml:space="preserve"> וכן דעת הר"י ן' מיגא"ש ז"ל</w:t>
      </w:r>
      <w:r w:rsidR="00AE4DC9">
        <w:rPr>
          <w:rFonts w:cs="Arial" w:hint="cs"/>
          <w:rtl/>
        </w:rPr>
        <w:t>.</w:t>
      </w:r>
      <w:r w:rsidRPr="00CD250C">
        <w:rPr>
          <w:rFonts w:cs="Arial"/>
          <w:rtl/>
        </w:rPr>
        <w:t xml:space="preserve"> אבל ר"ח והרי"ף אמרו שאף הבעל אינו נוטל במלוה</w:t>
      </w:r>
      <w:r w:rsidR="00AE4DC9">
        <w:rPr>
          <w:rFonts w:cs="Arial" w:hint="cs"/>
          <w:rtl/>
        </w:rPr>
        <w:t>.</w:t>
      </w:r>
      <w:r w:rsidRPr="00CD250C">
        <w:rPr>
          <w:rFonts w:cs="Arial"/>
          <w:rtl/>
        </w:rPr>
        <w:t xml:space="preserve"> והדיין מה שיראה בעיניו יעשה</w:t>
      </w:r>
      <w:r w:rsidR="00AE4DC9">
        <w:rPr>
          <w:rFonts w:cs="Arial" w:hint="cs"/>
          <w:rtl/>
        </w:rPr>
        <w:t>.</w:t>
      </w:r>
      <w:r w:rsidRPr="00CD250C">
        <w:rPr>
          <w:rFonts w:cs="Arial"/>
          <w:rtl/>
        </w:rPr>
        <w:t xml:space="preserve"> ובאמת כי רובן של חכמי הדורות הסכימו שאין הבעל נוטל במלוה</w:t>
      </w:r>
      <w:r w:rsidR="00AE4DC9">
        <w:rPr>
          <w:rFonts w:cs="Arial" w:hint="cs"/>
          <w:rtl/>
        </w:rPr>
        <w:t>,</w:t>
      </w:r>
      <w:r w:rsidRPr="00CD250C">
        <w:rPr>
          <w:rFonts w:cs="Arial"/>
          <w:rtl/>
        </w:rPr>
        <w:t xml:space="preserve"> דראוי הויא אפילו לגבי בעל</w:t>
      </w:r>
      <w:r w:rsidR="00AE4DC9">
        <w:rPr>
          <w:rFonts w:cs="Arial" w:hint="cs"/>
          <w:rtl/>
        </w:rPr>
        <w:t>.</w:t>
      </w:r>
      <w:r w:rsidRPr="00CD250C">
        <w:rPr>
          <w:rFonts w:cs="Arial"/>
          <w:rtl/>
        </w:rPr>
        <w:t xml:space="preserve"> ומיהו מסתברא דוקא במלוה שנפלה לה בירושה</w:t>
      </w:r>
      <w:r w:rsidR="00AE4DC9">
        <w:rPr>
          <w:rFonts w:cs="Arial" w:hint="cs"/>
          <w:rtl/>
        </w:rPr>
        <w:t>,</w:t>
      </w:r>
      <w:r w:rsidRPr="00CD250C">
        <w:rPr>
          <w:rFonts w:cs="Arial"/>
          <w:rtl/>
        </w:rPr>
        <w:t xml:space="preserve"> וא"נ במלוה שנעשית ממעות ששיירה לעצמה וכתב לה בעודה ארוסה דין ודברים אין לי בהן</w:t>
      </w:r>
      <w:r w:rsidR="00AE4DC9">
        <w:rPr>
          <w:rFonts w:cs="Arial" w:hint="cs"/>
          <w:rtl/>
        </w:rPr>
        <w:t>,</w:t>
      </w:r>
      <w:r w:rsidRPr="00CD250C">
        <w:rPr>
          <w:rFonts w:cs="Arial"/>
          <w:rtl/>
        </w:rPr>
        <w:t xml:space="preserve"> וא"נ לאחר נישואין ובשקנו מידו</w:t>
      </w:r>
      <w:r w:rsidR="00C25B6A">
        <w:rPr>
          <w:rFonts w:cs="Arial" w:hint="cs"/>
          <w:rtl/>
        </w:rPr>
        <w:t>,</w:t>
      </w:r>
      <w:r w:rsidRPr="00CD250C">
        <w:rPr>
          <w:rFonts w:cs="Arial"/>
          <w:rtl/>
        </w:rPr>
        <w:t xml:space="preserve"> הא לאו הכי הרי זכה הבעל באותן המעות כדין נכסי מלוג ואי אפשר לה להפקיען ממנו</w:t>
      </w:r>
      <w:r w:rsidR="00C25B6A">
        <w:rPr>
          <w:rFonts w:cs="Arial" w:hint="cs"/>
          <w:rtl/>
        </w:rPr>
        <w:t>,</w:t>
      </w:r>
      <w:r w:rsidRPr="00CD250C">
        <w:rPr>
          <w:rFonts w:cs="Arial"/>
          <w:rtl/>
        </w:rPr>
        <w:t xml:space="preserve"> דלא גרע מלותה ממכירתה שהבעל מוציא מיד הלקוחות</w:t>
      </w:r>
      <w:r w:rsidR="00C25B6A">
        <w:rPr>
          <w:rFonts w:cs="Arial" w:hint="cs"/>
          <w:rtl/>
        </w:rPr>
        <w:t>.</w:t>
      </w:r>
      <w:r w:rsidRPr="00CD250C">
        <w:rPr>
          <w:rFonts w:cs="Arial"/>
          <w:rtl/>
        </w:rPr>
        <w:t xml:space="preserve"> ועוד מסתברא שאפילו היו לה מעות קודם שנתארסה ושיירתם לעצמה בפירוש עד שלא תתארס שלא יהא לבעל בהן כלום</w:t>
      </w:r>
      <w:r w:rsidR="00C25B6A">
        <w:rPr>
          <w:rFonts w:cs="Arial" w:hint="cs"/>
          <w:rtl/>
        </w:rPr>
        <w:t>,</w:t>
      </w:r>
      <w:r w:rsidRPr="00CD250C">
        <w:rPr>
          <w:rFonts w:cs="Arial"/>
          <w:rtl/>
        </w:rPr>
        <w:t xml:space="preserve"> לא עשתה כלום</w:t>
      </w:r>
      <w:r w:rsidR="00C25B6A">
        <w:rPr>
          <w:rFonts w:cs="Arial" w:hint="cs"/>
          <w:rtl/>
        </w:rPr>
        <w:t>,</w:t>
      </w:r>
      <w:r w:rsidRPr="00CD250C">
        <w:rPr>
          <w:rFonts w:cs="Arial"/>
          <w:rtl/>
        </w:rPr>
        <w:t xml:space="preserve"> דמיד זכה בהן הבעל ממילא כדין נכסי מלוג אא</w:t>
      </w:r>
      <w:r w:rsidR="00C4462B">
        <w:rPr>
          <w:rFonts w:cs="Arial" w:hint="cs"/>
          <w:rtl/>
        </w:rPr>
        <w:t>"</w:t>
      </w:r>
      <w:r w:rsidRPr="00CD250C">
        <w:rPr>
          <w:rFonts w:cs="Arial"/>
          <w:rtl/>
        </w:rPr>
        <w:t>כ כתב לה בעודה ארוסה דין ודברים אין לי בהם</w:t>
      </w:r>
      <w:r w:rsidR="00CB084B">
        <w:rPr>
          <w:rStyle w:val="a7"/>
          <w:rFonts w:cs="Arial"/>
          <w:rtl/>
        </w:rPr>
        <w:footnoteReference w:id="1197"/>
      </w:r>
      <w:r w:rsidR="00CB084B">
        <w:rPr>
          <w:rFonts w:cs="Arial" w:hint="cs"/>
          <w:rtl/>
        </w:rPr>
        <w:t>..</w:t>
      </w:r>
      <w:r w:rsidR="00C25B6A">
        <w:rPr>
          <w:rFonts w:cs="Arial" w:hint="cs"/>
          <w:rtl/>
        </w:rPr>
        <w:t>.</w:t>
      </w:r>
      <w:r w:rsidRPr="00CD250C">
        <w:rPr>
          <w:rFonts w:cs="Arial"/>
          <w:rtl/>
        </w:rPr>
        <w:t xml:space="preserve"> ומלוה שיש לה אצל הבעל</w:t>
      </w:r>
      <w:r w:rsidR="00C25B6A">
        <w:rPr>
          <w:rFonts w:cs="Arial" w:hint="cs"/>
          <w:rtl/>
        </w:rPr>
        <w:t>,</w:t>
      </w:r>
      <w:r w:rsidRPr="00CD250C">
        <w:rPr>
          <w:rFonts w:cs="Arial"/>
          <w:rtl/>
        </w:rPr>
        <w:t xml:space="preserve"> כ"ש אם הלוית לו קודם שנישאת שהרי זכה בהן מתחלה כדין נכסי מלוג</w:t>
      </w:r>
      <w:r w:rsidR="00C25B6A">
        <w:rPr>
          <w:rFonts w:cs="Arial" w:hint="cs"/>
          <w:rtl/>
        </w:rPr>
        <w:t>,</w:t>
      </w:r>
      <w:r w:rsidRPr="00CD250C">
        <w:rPr>
          <w:rFonts w:cs="Arial"/>
          <w:rtl/>
        </w:rPr>
        <w:t xml:space="preserve"> ואפילו דשיירה לעצמה מעיקרא לפי מה שאמרנו</w:t>
      </w:r>
      <w:r w:rsidR="00C25B6A">
        <w:rPr>
          <w:rFonts w:cs="Arial" w:hint="cs"/>
          <w:rtl/>
        </w:rPr>
        <w:t>,</w:t>
      </w:r>
      <w:r w:rsidRPr="00CD250C">
        <w:rPr>
          <w:rFonts w:cs="Arial"/>
          <w:rtl/>
        </w:rPr>
        <w:t xml:space="preserve"> ואפילו כתב לה דין ודברים אין לי בהם</w:t>
      </w:r>
      <w:r w:rsidR="00C25B6A">
        <w:rPr>
          <w:rFonts w:cs="Arial" w:hint="cs"/>
          <w:rtl/>
        </w:rPr>
        <w:t>,</w:t>
      </w:r>
      <w:r w:rsidRPr="00CD250C">
        <w:rPr>
          <w:rFonts w:cs="Arial"/>
          <w:rtl/>
        </w:rPr>
        <w:t xml:space="preserve"> אפילו הכי הבעל יורש מחצית אותה מלוה</w:t>
      </w:r>
      <w:r w:rsidR="005D7B71">
        <w:rPr>
          <w:rStyle w:val="a7"/>
          <w:rFonts w:cs="Arial"/>
          <w:rtl/>
        </w:rPr>
        <w:footnoteReference w:id="1198"/>
      </w:r>
      <w:r w:rsidR="005D7B71">
        <w:rPr>
          <w:rFonts w:cs="Arial" w:hint="cs"/>
          <w:rtl/>
        </w:rPr>
        <w:t>...</w:t>
      </w:r>
      <w:r w:rsidRPr="00CD250C">
        <w:rPr>
          <w:rFonts w:cs="Arial"/>
          <w:rtl/>
        </w:rPr>
        <w:t xml:space="preserve"> ואם היה לה משכונה על קרקע</w:t>
      </w:r>
      <w:r w:rsidR="00C25B6A">
        <w:rPr>
          <w:rFonts w:cs="Arial" w:hint="cs"/>
          <w:rtl/>
        </w:rPr>
        <w:t>,</w:t>
      </w:r>
      <w:r w:rsidRPr="00CD250C">
        <w:rPr>
          <w:rFonts w:cs="Arial"/>
          <w:rtl/>
        </w:rPr>
        <w:t xml:space="preserve"> אם הוא אתרא דלא מסלקי</w:t>
      </w:r>
      <w:r w:rsidR="00C25B6A">
        <w:rPr>
          <w:rFonts w:cs="Arial" w:hint="cs"/>
          <w:rtl/>
        </w:rPr>
        <w:t>,</w:t>
      </w:r>
      <w:r w:rsidRPr="00CD250C">
        <w:rPr>
          <w:rFonts w:cs="Arial"/>
          <w:rtl/>
        </w:rPr>
        <w:t xml:space="preserve"> הבעל נוטל בה</w:t>
      </w:r>
      <w:r w:rsidR="005D7B71">
        <w:rPr>
          <w:rFonts w:cs="Arial" w:hint="cs"/>
          <w:rtl/>
        </w:rPr>
        <w:t>,</w:t>
      </w:r>
      <w:r w:rsidRPr="00CD250C">
        <w:rPr>
          <w:rFonts w:cs="Arial"/>
          <w:rtl/>
        </w:rPr>
        <w:t xml:space="preserve"> לפי שהמשכונה כקנויה אצלה</w:t>
      </w:r>
      <w:r w:rsidR="005D7B71">
        <w:rPr>
          <w:rStyle w:val="a7"/>
          <w:rFonts w:cs="Arial"/>
          <w:rtl/>
        </w:rPr>
        <w:footnoteReference w:id="1199"/>
      </w:r>
      <w:r w:rsidR="005D7B71">
        <w:rPr>
          <w:rFonts w:cs="Arial" w:hint="cs"/>
          <w:sz w:val="16"/>
          <w:szCs w:val="16"/>
          <w:rtl/>
        </w:rPr>
        <w:t xml:space="preserve"> (ל' הרשב"א)</w:t>
      </w:r>
      <w:r w:rsidR="005D7B71">
        <w:rPr>
          <w:rStyle w:val="a7"/>
          <w:rFonts w:cs="Arial"/>
          <w:rtl/>
        </w:rPr>
        <w:footnoteReference w:id="1200"/>
      </w:r>
      <w:r w:rsidR="005D7B71">
        <w:rPr>
          <w:rFonts w:cs="Arial" w:hint="cs"/>
          <w:rtl/>
        </w:rPr>
        <w:t>.</w:t>
      </w:r>
    </w:p>
    <w:p w14:paraId="74D27896" w14:textId="439F1C1E" w:rsidR="00D9440F" w:rsidRPr="009D20D7" w:rsidRDefault="005D7B71" w:rsidP="009000E3">
      <w:pPr>
        <w:pStyle w:val="ab"/>
        <w:numPr>
          <w:ilvl w:val="1"/>
          <w:numId w:val="55"/>
        </w:numPr>
        <w:rPr>
          <w:rtl/>
        </w:rPr>
      </w:pPr>
      <w:r>
        <w:rPr>
          <w:rFonts w:cs="Arial" w:hint="cs"/>
          <w:rtl/>
        </w:rPr>
        <w:t xml:space="preserve">ב"י </w:t>
      </w:r>
      <w:r>
        <w:rPr>
          <w:rFonts w:cs="Arial" w:hint="cs"/>
          <w:sz w:val="16"/>
          <w:szCs w:val="16"/>
          <w:rtl/>
        </w:rPr>
        <w:t>(בבדה"ב)</w:t>
      </w:r>
      <w:r>
        <w:rPr>
          <w:rFonts w:cs="Arial" w:hint="cs"/>
          <w:rtl/>
        </w:rPr>
        <w:t>-</w:t>
      </w:r>
      <w:r w:rsidRPr="00CD250C">
        <w:rPr>
          <w:rFonts w:cs="Arial"/>
          <w:rtl/>
        </w:rPr>
        <w:t xml:space="preserve"> </w:t>
      </w:r>
      <w:r w:rsidR="00D9440F" w:rsidRPr="00CD250C">
        <w:rPr>
          <w:rFonts w:cs="Arial"/>
          <w:rtl/>
        </w:rPr>
        <w:t>וכבר נתבאר בדברי הרא"ש והרשב"א שאין בכלל זה מה שהלוית מנכסי מלוג</w:t>
      </w:r>
      <w:r w:rsidR="00C4462B">
        <w:rPr>
          <w:rFonts w:cs="Arial" w:hint="cs"/>
          <w:rtl/>
        </w:rPr>
        <w:t>,</w:t>
      </w:r>
      <w:r w:rsidR="00D9440F" w:rsidRPr="00CD250C">
        <w:rPr>
          <w:rFonts w:cs="Arial"/>
          <w:rtl/>
        </w:rPr>
        <w:t xml:space="preserve"> ומסתבר טעמייהו</w:t>
      </w:r>
      <w:r>
        <w:rPr>
          <w:rFonts w:cs="Arial" w:hint="cs"/>
          <w:rtl/>
        </w:rPr>
        <w:t>.</w:t>
      </w:r>
    </w:p>
    <w:p w14:paraId="52FFE0A2" w14:textId="77777777" w:rsidR="005F4FCE" w:rsidRPr="00CD250C" w:rsidRDefault="005F4FCE" w:rsidP="005F4FCE">
      <w:pPr>
        <w:rPr>
          <w:rFonts w:cs="Arial"/>
          <w:u w:val="single"/>
          <w:rtl/>
        </w:rPr>
      </w:pPr>
      <w:r w:rsidRPr="00CD250C">
        <w:rPr>
          <w:rFonts w:cs="Arial" w:hint="cs"/>
          <w:u w:val="single"/>
          <w:rtl/>
        </w:rPr>
        <w:t xml:space="preserve">מי שנישא לאשה חולה </w:t>
      </w:r>
      <w:r>
        <w:rPr>
          <w:rFonts w:cs="Arial" w:hint="cs"/>
          <w:u w:val="single"/>
          <w:rtl/>
        </w:rPr>
        <w:t>סופנית</w:t>
      </w:r>
      <w:r w:rsidRPr="00CD250C">
        <w:rPr>
          <w:rFonts w:cs="Arial" w:hint="cs"/>
          <w:u w:val="single"/>
          <w:rtl/>
        </w:rPr>
        <w:t xml:space="preserve"> כדי להפקיע קרקע מהקדש:</w:t>
      </w:r>
    </w:p>
    <w:p w14:paraId="3D599B84" w14:textId="3C321DA5" w:rsidR="005F4FCE" w:rsidRDefault="005F4FCE" w:rsidP="009000E3">
      <w:pPr>
        <w:pStyle w:val="ab"/>
        <w:numPr>
          <w:ilvl w:val="0"/>
          <w:numId w:val="55"/>
        </w:numPr>
      </w:pPr>
      <w:r w:rsidRPr="00CD250C">
        <w:rPr>
          <w:rFonts w:cs="Arial" w:hint="cs"/>
          <w:rtl/>
        </w:rPr>
        <w:t>ר</w:t>
      </w:r>
      <w:r w:rsidRPr="00CD250C">
        <w:rPr>
          <w:rFonts w:cs="Arial"/>
          <w:rtl/>
        </w:rPr>
        <w:t xml:space="preserve">א"ש </w:t>
      </w:r>
      <w:r w:rsidRPr="00CD250C">
        <w:rPr>
          <w:rFonts w:cs="Arial" w:hint="cs"/>
          <w:sz w:val="16"/>
          <w:szCs w:val="16"/>
          <w:rtl/>
        </w:rPr>
        <w:t xml:space="preserve">(סוף </w:t>
      </w:r>
      <w:r w:rsidRPr="00CD250C">
        <w:rPr>
          <w:rFonts w:cs="Arial"/>
          <w:sz w:val="16"/>
          <w:szCs w:val="16"/>
          <w:rtl/>
        </w:rPr>
        <w:t>כלל נד סי' ב)</w:t>
      </w:r>
      <w:r w:rsidRPr="00CD250C">
        <w:rPr>
          <w:rFonts w:cs="Arial" w:hint="cs"/>
          <w:rtl/>
        </w:rPr>
        <w:t>-</w:t>
      </w:r>
      <w:r w:rsidRPr="00CD250C">
        <w:rPr>
          <w:rFonts w:cs="Arial"/>
          <w:rtl/>
        </w:rPr>
        <w:t xml:space="preserve"> על ראובן שחלק נכסיו והניח קרקע לבתו לנדונייתה בתנאי שאם תמות קודם נישואין שישאר הקרקע להקדש</w:t>
      </w:r>
      <w:r w:rsidR="00C4462B">
        <w:rPr>
          <w:rFonts w:cs="Arial" w:hint="cs"/>
          <w:rtl/>
        </w:rPr>
        <w:t>.</w:t>
      </w:r>
      <w:r w:rsidRPr="00CD250C">
        <w:rPr>
          <w:rFonts w:cs="Arial"/>
          <w:rtl/>
        </w:rPr>
        <w:t xml:space="preserve"> וחלתה חולי מות</w:t>
      </w:r>
      <w:r w:rsidR="00C4462B">
        <w:rPr>
          <w:rFonts w:cs="Arial" w:hint="cs"/>
          <w:rtl/>
        </w:rPr>
        <w:t>,</w:t>
      </w:r>
      <w:r w:rsidRPr="00CD250C">
        <w:rPr>
          <w:rFonts w:cs="Arial"/>
          <w:rtl/>
        </w:rPr>
        <w:t xml:space="preserve"> וכדי להפקיע הקרקע מיד הקדש הלכו קרוביה והושיבוה במטה בחלייה ועשו ז' ברכות כדי שיירשנה</w:t>
      </w:r>
      <w:r w:rsidR="00C4462B">
        <w:rPr>
          <w:rFonts w:cs="Arial" w:hint="cs"/>
          <w:rtl/>
        </w:rPr>
        <w:t>.</w:t>
      </w:r>
      <w:r w:rsidRPr="00CD250C">
        <w:rPr>
          <w:rFonts w:cs="Arial"/>
          <w:rtl/>
        </w:rPr>
        <w:t xml:space="preserve"> ומתה מחולי זה ולא קרב אליה</w:t>
      </w:r>
      <w:r w:rsidR="00C4462B">
        <w:rPr>
          <w:rFonts w:cs="Arial" w:hint="cs"/>
          <w:rtl/>
        </w:rPr>
        <w:t>.</w:t>
      </w:r>
      <w:r w:rsidRPr="00CD250C">
        <w:rPr>
          <w:rFonts w:cs="Arial"/>
          <w:rtl/>
        </w:rPr>
        <w:t xml:space="preserve"> הורני אם יירשנה</w:t>
      </w:r>
      <w:r w:rsidR="00C4462B">
        <w:rPr>
          <w:rFonts w:cs="Arial" w:hint="cs"/>
          <w:rtl/>
        </w:rPr>
        <w:t>,</w:t>
      </w:r>
      <w:r w:rsidRPr="00CD250C">
        <w:rPr>
          <w:rFonts w:cs="Arial"/>
          <w:rtl/>
        </w:rPr>
        <w:t xml:space="preserve"> ונראה דלא משום דלא היתה ראויה לביאה</w:t>
      </w:r>
      <w:r w:rsidR="00C4462B">
        <w:rPr>
          <w:rFonts w:cs="Arial" w:hint="cs"/>
          <w:rtl/>
        </w:rPr>
        <w:t>,</w:t>
      </w:r>
      <w:r w:rsidRPr="00CD250C">
        <w:rPr>
          <w:rFonts w:cs="Arial"/>
          <w:rtl/>
        </w:rPr>
        <w:t xml:space="preserve"> דהוה כנכנסה לחופה ופירסה נדה</w:t>
      </w:r>
      <w:r w:rsidR="00C4462B">
        <w:rPr>
          <w:rFonts w:cs="Arial" w:hint="cs"/>
          <w:rtl/>
        </w:rPr>
        <w:t>.</w:t>
      </w:r>
      <w:r w:rsidRPr="00CD250C">
        <w:rPr>
          <w:rFonts w:cs="Arial"/>
          <w:rtl/>
        </w:rPr>
        <w:t xml:space="preserve"> ועוד דמי להא דאמרינן בעלמא הוא עשה שלא כהוגן וכו'</w:t>
      </w:r>
      <w:r w:rsidR="00C4462B">
        <w:rPr>
          <w:rFonts w:cs="Arial" w:hint="cs"/>
          <w:rtl/>
        </w:rPr>
        <w:t>.     תשובה:</w:t>
      </w:r>
      <w:r w:rsidRPr="00CD250C">
        <w:rPr>
          <w:rFonts w:cs="Arial"/>
          <w:rtl/>
        </w:rPr>
        <w:t xml:space="preserve"> נראה דאין באותה חופה כלום חדא כמו שכתבת כיון שלא היתה ראויה לביאה</w:t>
      </w:r>
      <w:r w:rsidR="00C4462B">
        <w:rPr>
          <w:rFonts w:cs="Arial" w:hint="cs"/>
          <w:rtl/>
        </w:rPr>
        <w:t>.</w:t>
      </w:r>
      <w:r w:rsidRPr="00CD250C">
        <w:rPr>
          <w:rFonts w:cs="Arial"/>
          <w:rtl/>
        </w:rPr>
        <w:t xml:space="preserve"> ועוד דאזלינן בתר דעת ראובן שרצה לעשות טובה לנשמתו ליתנו להקדש ולא שיירשוהו יורשיו רק שיירו כדי שתנשא בו בתו</w:t>
      </w:r>
      <w:r w:rsidR="00C4462B">
        <w:rPr>
          <w:rFonts w:cs="Arial" w:hint="cs"/>
          <w:rtl/>
        </w:rPr>
        <w:t>,</w:t>
      </w:r>
      <w:r w:rsidRPr="00CD250C">
        <w:rPr>
          <w:rFonts w:cs="Arial"/>
          <w:rtl/>
        </w:rPr>
        <w:t xml:space="preserve"> וכל שכן שלא היה בדעתו שיבוא לידי נכרי על ידי הערמה</w:t>
      </w:r>
      <w:r w:rsidR="00C4462B">
        <w:rPr>
          <w:rFonts w:cs="Arial" w:hint="cs"/>
          <w:rtl/>
        </w:rPr>
        <w:t>.</w:t>
      </w:r>
      <w:r w:rsidRPr="00CD250C">
        <w:rPr>
          <w:rFonts w:cs="Arial"/>
          <w:rtl/>
        </w:rPr>
        <w:t xml:space="preserve"> הילכך אומדנא דמוכח והקרקע הוא הקדש</w:t>
      </w:r>
      <w:r w:rsidRPr="00CD250C">
        <w:rPr>
          <w:rFonts w:cs="Arial" w:hint="cs"/>
          <w:rtl/>
        </w:rPr>
        <w:t>.</w:t>
      </w:r>
    </w:p>
    <w:p w14:paraId="406725B4" w14:textId="77777777" w:rsidR="00F50D8A" w:rsidRPr="003D032F" w:rsidRDefault="00F50D8A" w:rsidP="00F50D8A">
      <w:r w:rsidRPr="007B78F9">
        <w:rPr>
          <w:rFonts w:cs="Arial" w:hint="cs"/>
          <w:u w:val="single"/>
          <w:rtl/>
        </w:rPr>
        <w:t xml:space="preserve">אב עשה </w:t>
      </w:r>
      <w:r w:rsidRPr="007B78F9">
        <w:rPr>
          <w:rFonts w:cs="Arial"/>
          <w:u w:val="single"/>
          <w:rtl/>
        </w:rPr>
        <w:t>שטר חצי זכר</w:t>
      </w:r>
      <w:r w:rsidRPr="007B78F9">
        <w:rPr>
          <w:rFonts w:cs="Arial" w:hint="cs"/>
          <w:u w:val="single"/>
          <w:rtl/>
        </w:rPr>
        <w:t xml:space="preserve"> בתנאי ש</w:t>
      </w:r>
      <w:r w:rsidRPr="007B78F9">
        <w:rPr>
          <w:rFonts w:cs="Arial"/>
          <w:u w:val="single"/>
          <w:rtl/>
        </w:rPr>
        <w:t>אם תלך הבת בלא זרע יתבט</w:t>
      </w:r>
      <w:r w:rsidRPr="007B78F9">
        <w:rPr>
          <w:rFonts w:cs="Arial" w:hint="cs"/>
          <w:u w:val="single"/>
          <w:rtl/>
        </w:rPr>
        <w:t>ל</w:t>
      </w:r>
      <w:r w:rsidRPr="007B78F9">
        <w:rPr>
          <w:rFonts w:cs="Arial"/>
          <w:u w:val="single"/>
          <w:rtl/>
        </w:rPr>
        <w:t xml:space="preserve">, ומתה </w:t>
      </w:r>
      <w:r>
        <w:rPr>
          <w:rFonts w:cs="Arial" w:hint="cs"/>
          <w:u w:val="single"/>
          <w:rtl/>
        </w:rPr>
        <w:t>הבת</w:t>
      </w:r>
      <w:r w:rsidRPr="007B78F9">
        <w:rPr>
          <w:rFonts w:cs="Arial"/>
          <w:u w:val="single"/>
          <w:rtl/>
        </w:rPr>
        <w:t xml:space="preserve"> והניחה זרע</w:t>
      </w:r>
      <w:r w:rsidRPr="007B78F9">
        <w:rPr>
          <w:rFonts w:cs="Arial" w:hint="cs"/>
          <w:u w:val="single"/>
          <w:rtl/>
        </w:rPr>
        <w:t>,</w:t>
      </w:r>
      <w:r w:rsidRPr="007B78F9">
        <w:rPr>
          <w:rFonts w:cs="Arial"/>
          <w:u w:val="single"/>
          <w:rtl/>
        </w:rPr>
        <w:t xml:space="preserve"> ומת הזרע</w:t>
      </w:r>
      <w:r w:rsidRPr="007B78F9">
        <w:rPr>
          <w:rFonts w:cs="Arial" w:hint="cs"/>
          <w:u w:val="single"/>
          <w:rtl/>
        </w:rPr>
        <w:t>:</w:t>
      </w:r>
      <w:r w:rsidRPr="007B78F9">
        <w:rPr>
          <w:rFonts w:cs="Arial"/>
          <w:sz w:val="16"/>
          <w:szCs w:val="16"/>
          <w:rtl/>
        </w:rPr>
        <w:t xml:space="preserve"> </w:t>
      </w:r>
      <w:r>
        <w:rPr>
          <w:rFonts w:cs="Arial" w:hint="cs"/>
          <w:sz w:val="16"/>
          <w:szCs w:val="16"/>
          <w:rtl/>
        </w:rPr>
        <w:t xml:space="preserve"> </w:t>
      </w:r>
      <w:r w:rsidRPr="007B78F9">
        <w:rPr>
          <w:rFonts w:cs="Arial"/>
          <w:sz w:val="16"/>
          <w:szCs w:val="16"/>
          <w:rtl/>
        </w:rPr>
        <w:t>(</w:t>
      </w:r>
      <w:r w:rsidRPr="007B78F9">
        <w:rPr>
          <w:rFonts w:cs="Arial" w:hint="cs"/>
          <w:sz w:val="16"/>
          <w:szCs w:val="16"/>
          <w:rtl/>
        </w:rPr>
        <w:t xml:space="preserve">דרכ"מ </w:t>
      </w:r>
      <w:r>
        <w:rPr>
          <w:rFonts w:cs="Arial" w:hint="cs"/>
          <w:sz w:val="16"/>
          <w:szCs w:val="16"/>
          <w:rtl/>
        </w:rPr>
        <w:t xml:space="preserve">אות </w:t>
      </w:r>
      <w:r w:rsidRPr="007B78F9">
        <w:rPr>
          <w:rFonts w:cs="Arial"/>
          <w:sz w:val="16"/>
          <w:szCs w:val="16"/>
          <w:rtl/>
        </w:rPr>
        <w:t>ב)</w:t>
      </w:r>
      <w:r w:rsidRPr="007B78F9">
        <w:rPr>
          <w:rFonts w:cs="Arial"/>
          <w:rtl/>
        </w:rPr>
        <w:t xml:space="preserve"> </w:t>
      </w:r>
    </w:p>
    <w:p w14:paraId="501E4D12" w14:textId="51E014C2" w:rsidR="00F50D8A" w:rsidRDefault="00F50D8A" w:rsidP="009000E3">
      <w:pPr>
        <w:pStyle w:val="ab"/>
        <w:numPr>
          <w:ilvl w:val="0"/>
          <w:numId w:val="55"/>
        </w:numPr>
      </w:pPr>
      <w:r w:rsidRPr="00843F99">
        <w:rPr>
          <w:rFonts w:cs="Arial"/>
          <w:rtl/>
        </w:rPr>
        <w:t>מהרי"ו</w:t>
      </w:r>
      <w:r w:rsidRPr="003D032F">
        <w:rPr>
          <w:rFonts w:cs="Arial"/>
          <w:sz w:val="16"/>
          <w:szCs w:val="16"/>
          <w:rtl/>
        </w:rPr>
        <w:t xml:space="preserve"> </w:t>
      </w:r>
      <w:r w:rsidRPr="003D032F">
        <w:rPr>
          <w:rFonts w:cs="Arial" w:hint="cs"/>
          <w:sz w:val="16"/>
          <w:szCs w:val="16"/>
          <w:rtl/>
        </w:rPr>
        <w:t>(</w:t>
      </w:r>
      <w:r w:rsidRPr="003D032F">
        <w:rPr>
          <w:rFonts w:cs="Arial"/>
          <w:sz w:val="16"/>
          <w:szCs w:val="16"/>
          <w:rtl/>
        </w:rPr>
        <w:t>פסקי</w:t>
      </w:r>
      <w:r w:rsidRPr="003D032F">
        <w:rPr>
          <w:rFonts w:cs="Arial" w:hint="cs"/>
          <w:sz w:val="16"/>
          <w:szCs w:val="16"/>
          <w:rtl/>
        </w:rPr>
        <w:t>ם</w:t>
      </w:r>
      <w:r w:rsidRPr="003D032F">
        <w:rPr>
          <w:rFonts w:cs="Arial"/>
          <w:sz w:val="16"/>
          <w:szCs w:val="16"/>
          <w:rtl/>
        </w:rPr>
        <w:t xml:space="preserve"> סי</w:t>
      </w:r>
      <w:r w:rsidRPr="003D032F">
        <w:rPr>
          <w:rFonts w:cs="Arial" w:hint="cs"/>
          <w:sz w:val="16"/>
          <w:szCs w:val="16"/>
          <w:rtl/>
        </w:rPr>
        <w:t>'</w:t>
      </w:r>
      <w:r w:rsidRPr="003D032F">
        <w:rPr>
          <w:rFonts w:cs="Arial"/>
          <w:sz w:val="16"/>
          <w:szCs w:val="16"/>
          <w:rtl/>
        </w:rPr>
        <w:t xml:space="preserve"> </w:t>
      </w:r>
      <w:r w:rsidRPr="003D032F">
        <w:rPr>
          <w:rFonts w:cs="Arial" w:hint="cs"/>
          <w:sz w:val="16"/>
          <w:szCs w:val="16"/>
          <w:rtl/>
        </w:rPr>
        <w:t>טז)</w:t>
      </w:r>
      <w:r>
        <w:rPr>
          <w:rFonts w:cs="Arial" w:hint="cs"/>
          <w:rtl/>
        </w:rPr>
        <w:t>-</w:t>
      </w:r>
      <w:r w:rsidRPr="00843F99">
        <w:rPr>
          <w:rFonts w:cs="Arial"/>
          <w:rtl/>
        </w:rPr>
        <w:t xml:space="preserve"> שטר חצי זכר שכתוב בו ואם בתו תלך לעולמה בלי זרע קיימא אז החוב בטל וכו'</w:t>
      </w:r>
      <w:r w:rsidR="00C4462B">
        <w:rPr>
          <w:rFonts w:cs="Arial" w:hint="cs"/>
          <w:rtl/>
        </w:rPr>
        <w:t>,</w:t>
      </w:r>
      <w:r w:rsidRPr="00843F99">
        <w:rPr>
          <w:rFonts w:cs="Arial"/>
          <w:rtl/>
        </w:rPr>
        <w:t xml:space="preserve"> ומתה הבת בחיי אביה</w:t>
      </w:r>
      <w:r>
        <w:rPr>
          <w:rFonts w:cs="Arial" w:hint="cs"/>
          <w:rtl/>
        </w:rPr>
        <w:t>,</w:t>
      </w:r>
      <w:r w:rsidRPr="00843F99">
        <w:rPr>
          <w:rFonts w:cs="Arial"/>
          <w:rtl/>
        </w:rPr>
        <w:t xml:space="preserve"> והניחה זרע קיימא</w:t>
      </w:r>
      <w:r>
        <w:rPr>
          <w:rFonts w:cs="Arial" w:hint="cs"/>
          <w:rtl/>
        </w:rPr>
        <w:t>.</w:t>
      </w:r>
      <w:r w:rsidRPr="00843F99">
        <w:rPr>
          <w:rFonts w:cs="Arial"/>
          <w:rtl/>
        </w:rPr>
        <w:t xml:space="preserve"> ואח</w:t>
      </w:r>
      <w:r w:rsidR="00C4462B">
        <w:rPr>
          <w:rFonts w:cs="Arial" w:hint="cs"/>
          <w:rtl/>
        </w:rPr>
        <w:t>"</w:t>
      </w:r>
      <w:r w:rsidRPr="00843F99">
        <w:rPr>
          <w:rFonts w:cs="Arial"/>
          <w:rtl/>
        </w:rPr>
        <w:t>כ מת הזרע בחיי אבי הבת</w:t>
      </w:r>
      <w:r>
        <w:rPr>
          <w:rFonts w:cs="Arial" w:hint="cs"/>
          <w:rtl/>
        </w:rPr>
        <w:t>,</w:t>
      </w:r>
      <w:r w:rsidRPr="00843F99">
        <w:rPr>
          <w:rFonts w:cs="Arial"/>
          <w:rtl/>
        </w:rPr>
        <w:t xml:space="preserve"> ואח</w:t>
      </w:r>
      <w:r w:rsidR="00C4462B">
        <w:rPr>
          <w:rFonts w:cs="Arial" w:hint="cs"/>
          <w:rtl/>
        </w:rPr>
        <w:t>"</w:t>
      </w:r>
      <w:r w:rsidRPr="00843F99">
        <w:rPr>
          <w:rFonts w:cs="Arial"/>
          <w:rtl/>
        </w:rPr>
        <w:t>כ מת האב הזקן אבי הבת</w:t>
      </w:r>
      <w:r>
        <w:rPr>
          <w:rFonts w:cs="Arial" w:hint="cs"/>
          <w:rtl/>
        </w:rPr>
        <w:t xml:space="preserve"> - </w:t>
      </w:r>
      <w:r w:rsidRPr="00843F99">
        <w:rPr>
          <w:rFonts w:cs="Arial"/>
          <w:rtl/>
        </w:rPr>
        <w:t xml:space="preserve"> הבעל יורש זרעו שיורש אמו</w:t>
      </w:r>
      <w:r>
        <w:rPr>
          <w:rFonts w:cs="Arial" w:hint="cs"/>
          <w:rtl/>
        </w:rPr>
        <w:t>,</w:t>
      </w:r>
      <w:r w:rsidRPr="00843F99">
        <w:rPr>
          <w:rFonts w:cs="Arial"/>
          <w:rtl/>
        </w:rPr>
        <w:t xml:space="preserve"> וצריכין לשלם לו כאשר כתוב בשטר</w:t>
      </w:r>
      <w:r>
        <w:rPr>
          <w:rFonts w:cs="Arial" w:hint="cs"/>
          <w:rtl/>
        </w:rPr>
        <w:t>.</w:t>
      </w:r>
      <w:r w:rsidRPr="00843F99">
        <w:rPr>
          <w:rFonts w:cs="Arial"/>
          <w:rtl/>
        </w:rPr>
        <w:t xml:space="preserve"> ולא אזלינן בתר אומדנא לומר שלא היתה כוונת הנותן רק על בתו או על זרעה</w:t>
      </w:r>
      <w:r>
        <w:rPr>
          <w:rStyle w:val="a7"/>
          <w:rFonts w:cs="Arial"/>
          <w:rtl/>
        </w:rPr>
        <w:footnoteReference w:id="1201"/>
      </w:r>
      <w:r>
        <w:rPr>
          <w:rFonts w:cs="Arial" w:hint="cs"/>
          <w:rtl/>
        </w:rPr>
        <w:t>.</w:t>
      </w:r>
      <w:r w:rsidRPr="00843F99">
        <w:rPr>
          <w:rFonts w:cs="Arial"/>
          <w:rtl/>
        </w:rPr>
        <w:t xml:space="preserve"> </w:t>
      </w:r>
      <w:r w:rsidRPr="00F50D8A">
        <w:rPr>
          <w:rFonts w:hint="cs"/>
          <w:color w:val="00B0F0"/>
          <w:rtl/>
        </w:rPr>
        <w:t>(וכ"פ הרמ"א)</w:t>
      </w:r>
    </w:p>
    <w:p w14:paraId="357F8DD9" w14:textId="77777777" w:rsidR="00F50D8A" w:rsidRPr="00F50D8A" w:rsidRDefault="00F50D8A" w:rsidP="00F50D8A">
      <w:pPr>
        <w:rPr>
          <w:u w:val="single"/>
        </w:rPr>
      </w:pPr>
      <w:r w:rsidRPr="00F50D8A">
        <w:rPr>
          <w:rFonts w:cs="Arial"/>
          <w:u w:val="single"/>
          <w:rtl/>
        </w:rPr>
        <w:t>ראובן מת</w:t>
      </w:r>
      <w:r w:rsidRPr="00F50D8A">
        <w:rPr>
          <w:rFonts w:cs="Arial" w:hint="cs"/>
          <w:u w:val="single"/>
          <w:rtl/>
        </w:rPr>
        <w:t>,</w:t>
      </w:r>
      <w:r w:rsidRPr="00F50D8A">
        <w:rPr>
          <w:rFonts w:cs="Arial"/>
          <w:u w:val="single"/>
          <w:rtl/>
        </w:rPr>
        <w:t xml:space="preserve"> והניח אלמנה ושתי בנות</w:t>
      </w:r>
      <w:r>
        <w:rPr>
          <w:rFonts w:cs="Arial" w:hint="cs"/>
          <w:u w:val="single"/>
          <w:rtl/>
        </w:rPr>
        <w:t>,</w:t>
      </w:r>
      <w:r w:rsidRPr="00F50D8A">
        <w:rPr>
          <w:rFonts w:cs="Arial"/>
          <w:u w:val="single"/>
          <w:rtl/>
        </w:rPr>
        <w:t xml:space="preserve"> ומתה </w:t>
      </w:r>
      <w:r>
        <w:rPr>
          <w:rFonts w:cs="Arial" w:hint="cs"/>
          <w:u w:val="single"/>
          <w:rtl/>
        </w:rPr>
        <w:t xml:space="preserve">הבת </w:t>
      </w:r>
      <w:r w:rsidRPr="00F50D8A">
        <w:rPr>
          <w:rFonts w:cs="Arial"/>
          <w:u w:val="single"/>
          <w:rtl/>
        </w:rPr>
        <w:t>הנשואה</w:t>
      </w:r>
      <w:r w:rsidRPr="00F50D8A">
        <w:rPr>
          <w:rFonts w:cs="Arial" w:hint="cs"/>
          <w:u w:val="single"/>
          <w:rtl/>
        </w:rPr>
        <w:t>,</w:t>
      </w:r>
      <w:r w:rsidRPr="00F50D8A">
        <w:rPr>
          <w:rFonts w:cs="Arial"/>
          <w:u w:val="single"/>
          <w:rtl/>
        </w:rPr>
        <w:t xml:space="preserve"> ואח</w:t>
      </w:r>
      <w:r>
        <w:rPr>
          <w:rFonts w:cs="Arial" w:hint="cs"/>
          <w:u w:val="single"/>
          <w:rtl/>
        </w:rPr>
        <w:t>"</w:t>
      </w:r>
      <w:r w:rsidRPr="00F50D8A">
        <w:rPr>
          <w:rFonts w:cs="Arial"/>
          <w:u w:val="single"/>
          <w:rtl/>
        </w:rPr>
        <w:t>כ מתה האם ולא נשבעה על כתובתה</w:t>
      </w:r>
      <w:r w:rsidRPr="00F50D8A">
        <w:rPr>
          <w:rFonts w:hint="cs"/>
          <w:u w:val="single"/>
          <w:rtl/>
        </w:rPr>
        <w:t>:</w:t>
      </w:r>
      <w:r w:rsidRPr="00F50D8A">
        <w:rPr>
          <w:rFonts w:cs="Arial"/>
          <w:sz w:val="16"/>
          <w:szCs w:val="16"/>
          <w:rtl/>
        </w:rPr>
        <w:t xml:space="preserve"> </w:t>
      </w:r>
      <w:r>
        <w:rPr>
          <w:rFonts w:cs="Arial" w:hint="cs"/>
          <w:sz w:val="16"/>
          <w:szCs w:val="16"/>
          <w:rtl/>
        </w:rPr>
        <w:t xml:space="preserve"> </w:t>
      </w:r>
      <w:r w:rsidRPr="007B78F9">
        <w:rPr>
          <w:rFonts w:cs="Arial"/>
          <w:sz w:val="16"/>
          <w:szCs w:val="16"/>
          <w:rtl/>
        </w:rPr>
        <w:t>(</w:t>
      </w:r>
      <w:r w:rsidRPr="007B78F9">
        <w:rPr>
          <w:rFonts w:cs="Arial" w:hint="cs"/>
          <w:sz w:val="16"/>
          <w:szCs w:val="16"/>
          <w:rtl/>
        </w:rPr>
        <w:t xml:space="preserve">דרכ"מ </w:t>
      </w:r>
      <w:r>
        <w:rPr>
          <w:rFonts w:cs="Arial" w:hint="cs"/>
          <w:sz w:val="16"/>
          <w:szCs w:val="16"/>
          <w:rtl/>
        </w:rPr>
        <w:t xml:space="preserve">אות </w:t>
      </w:r>
      <w:r w:rsidRPr="007B78F9">
        <w:rPr>
          <w:rFonts w:cs="Arial"/>
          <w:sz w:val="16"/>
          <w:szCs w:val="16"/>
          <w:rtl/>
        </w:rPr>
        <w:t>ב)</w:t>
      </w:r>
    </w:p>
    <w:p w14:paraId="79717D4B" w14:textId="4F11B9B8" w:rsidR="00F50D8A" w:rsidRPr="007B78F9" w:rsidRDefault="00F50D8A" w:rsidP="009000E3">
      <w:pPr>
        <w:pStyle w:val="ab"/>
        <w:numPr>
          <w:ilvl w:val="0"/>
          <w:numId w:val="55"/>
        </w:numPr>
      </w:pPr>
      <w:r w:rsidRPr="00843F99">
        <w:rPr>
          <w:rFonts w:cs="Arial"/>
          <w:rtl/>
        </w:rPr>
        <w:t xml:space="preserve">מרדכי </w:t>
      </w:r>
      <w:r w:rsidRPr="007B78F9">
        <w:rPr>
          <w:rFonts w:cs="Arial" w:hint="cs"/>
          <w:sz w:val="16"/>
          <w:szCs w:val="16"/>
          <w:rtl/>
        </w:rPr>
        <w:t>(</w:t>
      </w:r>
      <w:r w:rsidRPr="007B78F9">
        <w:rPr>
          <w:rFonts w:cs="Arial"/>
          <w:sz w:val="16"/>
          <w:szCs w:val="16"/>
          <w:rtl/>
        </w:rPr>
        <w:t>פרק כל הנשבעין שבועות סי' תשפ)</w:t>
      </w:r>
      <w:r>
        <w:rPr>
          <w:rFonts w:cs="Arial" w:hint="cs"/>
          <w:rtl/>
        </w:rPr>
        <w:t>-</w:t>
      </w:r>
      <w:r w:rsidRPr="00843F99">
        <w:rPr>
          <w:rFonts w:cs="Arial"/>
          <w:rtl/>
        </w:rPr>
        <w:t xml:space="preserve"> ראובן מת</w:t>
      </w:r>
      <w:r>
        <w:rPr>
          <w:rFonts w:cs="Arial" w:hint="cs"/>
          <w:rtl/>
        </w:rPr>
        <w:t>,</w:t>
      </w:r>
      <w:r w:rsidRPr="00843F99">
        <w:rPr>
          <w:rFonts w:cs="Arial"/>
          <w:rtl/>
        </w:rPr>
        <w:t xml:space="preserve"> והניח אלמנה ושתי בנו</w:t>
      </w:r>
      <w:r w:rsidR="00CE0903">
        <w:rPr>
          <w:rFonts w:cs="Arial" w:hint="cs"/>
          <w:rtl/>
        </w:rPr>
        <w:t>ת,</w:t>
      </w:r>
      <w:r w:rsidRPr="00843F99">
        <w:rPr>
          <w:rFonts w:cs="Arial"/>
          <w:rtl/>
        </w:rPr>
        <w:t xml:space="preserve"> </w:t>
      </w:r>
      <w:r w:rsidR="00CE0903">
        <w:rPr>
          <w:rFonts w:cs="Arial" w:hint="cs"/>
          <w:rtl/>
        </w:rPr>
        <w:t>ו</w:t>
      </w:r>
      <w:r w:rsidRPr="00843F99">
        <w:rPr>
          <w:rFonts w:cs="Arial"/>
          <w:rtl/>
        </w:rPr>
        <w:t xml:space="preserve">אחת </w:t>
      </w:r>
      <w:r w:rsidR="00CE0903">
        <w:rPr>
          <w:rFonts w:cs="Arial" w:hint="cs"/>
          <w:rtl/>
        </w:rPr>
        <w:t xml:space="preserve">מהן </w:t>
      </w:r>
      <w:r w:rsidRPr="00843F99">
        <w:rPr>
          <w:rFonts w:cs="Arial"/>
          <w:rtl/>
        </w:rPr>
        <w:t>נשואה</w:t>
      </w:r>
      <w:r>
        <w:rPr>
          <w:rFonts w:cs="Arial" w:hint="cs"/>
          <w:rtl/>
        </w:rPr>
        <w:t>.</w:t>
      </w:r>
      <w:r w:rsidRPr="00843F99">
        <w:rPr>
          <w:rFonts w:cs="Arial"/>
          <w:rtl/>
        </w:rPr>
        <w:t xml:space="preserve"> ומתה הנשואה</w:t>
      </w:r>
      <w:r>
        <w:rPr>
          <w:rFonts w:cs="Arial" w:hint="cs"/>
          <w:rtl/>
        </w:rPr>
        <w:t>,</w:t>
      </w:r>
      <w:r w:rsidRPr="00843F99">
        <w:rPr>
          <w:rFonts w:cs="Arial"/>
          <w:rtl/>
        </w:rPr>
        <w:t xml:space="preserve"> ואח</w:t>
      </w:r>
      <w:r w:rsidR="00CE0903">
        <w:rPr>
          <w:rFonts w:cs="Arial" w:hint="cs"/>
          <w:rtl/>
        </w:rPr>
        <w:t>"</w:t>
      </w:r>
      <w:r w:rsidRPr="00843F99">
        <w:rPr>
          <w:rFonts w:cs="Arial"/>
          <w:rtl/>
        </w:rPr>
        <w:t>כ מתה האם ולא נשבעה על כתובתה</w:t>
      </w:r>
      <w:r>
        <w:rPr>
          <w:rFonts w:cs="Arial" w:hint="cs"/>
          <w:rtl/>
        </w:rPr>
        <w:t>.</w:t>
      </w:r>
      <w:r w:rsidRPr="00843F99">
        <w:rPr>
          <w:rFonts w:cs="Arial"/>
          <w:rtl/>
        </w:rPr>
        <w:t xml:space="preserve"> פסק מוהר"ם דהבעל גובה חצי הנכסים</w:t>
      </w:r>
      <w:r>
        <w:rPr>
          <w:rFonts w:cs="Arial" w:hint="cs"/>
          <w:rtl/>
        </w:rPr>
        <w:t>,</w:t>
      </w:r>
      <w:r w:rsidRPr="00843F99">
        <w:rPr>
          <w:rFonts w:cs="Arial"/>
          <w:rtl/>
        </w:rPr>
        <w:t xml:space="preserve"> דמיד שמת ראובן נפלו חצי הנכסים לפני הבת הנשואה ומקרי מוחזק אע</w:t>
      </w:r>
      <w:r w:rsidR="00CE0903">
        <w:rPr>
          <w:rFonts w:cs="Arial" w:hint="cs"/>
          <w:rtl/>
        </w:rPr>
        <w:t>"</w:t>
      </w:r>
      <w:r w:rsidRPr="00843F99">
        <w:rPr>
          <w:rFonts w:cs="Arial"/>
          <w:rtl/>
        </w:rPr>
        <w:t xml:space="preserve">ג שהיו משועבדים לכתובת האלמנה. </w:t>
      </w:r>
    </w:p>
    <w:p w14:paraId="11E0A0AF" w14:textId="77777777" w:rsidR="00F50D8A" w:rsidRPr="00F50D8A" w:rsidRDefault="00F50D8A" w:rsidP="00F50D8A">
      <w:pPr>
        <w:rPr>
          <w:u w:val="single"/>
        </w:rPr>
      </w:pPr>
      <w:r w:rsidRPr="00F50D8A">
        <w:rPr>
          <w:rFonts w:cs="Arial" w:hint="cs"/>
          <w:u w:val="single"/>
          <w:rtl/>
        </w:rPr>
        <w:t>מי ש</w:t>
      </w:r>
      <w:r w:rsidRPr="00F50D8A">
        <w:rPr>
          <w:rFonts w:cs="Arial"/>
          <w:u w:val="single"/>
          <w:rtl/>
        </w:rPr>
        <w:t xml:space="preserve">כתב לבתו </w:t>
      </w:r>
      <w:r>
        <w:rPr>
          <w:rFonts w:cs="Arial" w:hint="cs"/>
          <w:u w:val="single"/>
          <w:rtl/>
        </w:rPr>
        <w:t xml:space="preserve">הנשואה </w:t>
      </w:r>
      <w:r w:rsidRPr="00F50D8A">
        <w:rPr>
          <w:rFonts w:cs="Arial"/>
          <w:u w:val="single"/>
          <w:rtl/>
        </w:rPr>
        <w:t>קרקע</w:t>
      </w:r>
      <w:r w:rsidRPr="00F50D8A">
        <w:rPr>
          <w:rFonts w:cs="Arial" w:hint="cs"/>
          <w:u w:val="single"/>
          <w:rtl/>
        </w:rPr>
        <w:t>, הגוף</w:t>
      </w:r>
      <w:r w:rsidRPr="00F50D8A">
        <w:rPr>
          <w:rFonts w:cs="Arial"/>
          <w:u w:val="single"/>
          <w:rtl/>
        </w:rPr>
        <w:t xml:space="preserve"> מהיו</w:t>
      </w:r>
      <w:r w:rsidRPr="00F50D8A">
        <w:rPr>
          <w:rFonts w:cs="Arial" w:hint="cs"/>
          <w:u w:val="single"/>
          <w:rtl/>
        </w:rPr>
        <w:t>ם,</w:t>
      </w:r>
      <w:r w:rsidRPr="00F50D8A">
        <w:rPr>
          <w:rFonts w:cs="Arial"/>
          <w:u w:val="single"/>
          <w:rtl/>
        </w:rPr>
        <w:t xml:space="preserve"> והפירות לאחר מיתה</w:t>
      </w:r>
      <w:r w:rsidRPr="00F50D8A">
        <w:rPr>
          <w:rFonts w:cs="Arial" w:hint="cs"/>
          <w:u w:val="single"/>
          <w:rtl/>
        </w:rPr>
        <w:t>:</w:t>
      </w:r>
      <w:r>
        <w:rPr>
          <w:rFonts w:cs="Arial" w:hint="cs"/>
          <w:sz w:val="16"/>
          <w:szCs w:val="16"/>
          <w:rtl/>
        </w:rPr>
        <w:t xml:space="preserve"> </w:t>
      </w:r>
      <w:r w:rsidRPr="00F50D8A">
        <w:rPr>
          <w:rFonts w:cs="Arial"/>
          <w:sz w:val="16"/>
          <w:szCs w:val="16"/>
          <w:rtl/>
        </w:rPr>
        <w:t xml:space="preserve"> </w:t>
      </w:r>
      <w:r w:rsidRPr="007B78F9">
        <w:rPr>
          <w:rFonts w:cs="Arial"/>
          <w:sz w:val="16"/>
          <w:szCs w:val="16"/>
          <w:rtl/>
        </w:rPr>
        <w:t>(</w:t>
      </w:r>
      <w:r w:rsidRPr="007B78F9">
        <w:rPr>
          <w:rFonts w:cs="Arial" w:hint="cs"/>
          <w:sz w:val="16"/>
          <w:szCs w:val="16"/>
          <w:rtl/>
        </w:rPr>
        <w:t xml:space="preserve">דרכ"מ </w:t>
      </w:r>
      <w:r>
        <w:rPr>
          <w:rFonts w:cs="Arial" w:hint="cs"/>
          <w:sz w:val="16"/>
          <w:szCs w:val="16"/>
          <w:rtl/>
        </w:rPr>
        <w:t xml:space="preserve">אות </w:t>
      </w:r>
      <w:r w:rsidRPr="007B78F9">
        <w:rPr>
          <w:rFonts w:cs="Arial"/>
          <w:sz w:val="16"/>
          <w:szCs w:val="16"/>
          <w:rtl/>
        </w:rPr>
        <w:t>ב)</w:t>
      </w:r>
    </w:p>
    <w:p w14:paraId="7181058E" w14:textId="55E2308D" w:rsidR="00F50D8A" w:rsidRDefault="00F50D8A" w:rsidP="009000E3">
      <w:pPr>
        <w:pStyle w:val="ab"/>
        <w:numPr>
          <w:ilvl w:val="0"/>
          <w:numId w:val="55"/>
        </w:numPr>
      </w:pPr>
      <w:r w:rsidRPr="00843F99">
        <w:rPr>
          <w:rFonts w:cs="Arial"/>
          <w:rtl/>
        </w:rPr>
        <w:t xml:space="preserve">מרדכי </w:t>
      </w:r>
      <w:r w:rsidRPr="00F50D8A">
        <w:rPr>
          <w:rFonts w:cs="Arial" w:hint="cs"/>
          <w:sz w:val="16"/>
          <w:szCs w:val="16"/>
          <w:rtl/>
        </w:rPr>
        <w:t>(</w:t>
      </w:r>
      <w:r w:rsidRPr="00F50D8A">
        <w:rPr>
          <w:rFonts w:cs="Arial"/>
          <w:sz w:val="16"/>
          <w:szCs w:val="16"/>
          <w:rtl/>
        </w:rPr>
        <w:t>ר</w:t>
      </w:r>
      <w:r w:rsidRPr="00F50D8A">
        <w:rPr>
          <w:rFonts w:cs="Arial" w:hint="cs"/>
          <w:sz w:val="16"/>
          <w:szCs w:val="16"/>
          <w:rtl/>
        </w:rPr>
        <w:t>"פ</w:t>
      </w:r>
      <w:r w:rsidRPr="00F50D8A">
        <w:rPr>
          <w:rFonts w:cs="Arial"/>
          <w:sz w:val="16"/>
          <w:szCs w:val="16"/>
          <w:rtl/>
        </w:rPr>
        <w:t xml:space="preserve"> יש נוחלין סי' תקעה)</w:t>
      </w:r>
      <w:r>
        <w:rPr>
          <w:rFonts w:cs="Arial" w:hint="cs"/>
          <w:rtl/>
        </w:rPr>
        <w:t>-</w:t>
      </w:r>
      <w:r w:rsidRPr="00843F99">
        <w:rPr>
          <w:rFonts w:cs="Arial"/>
          <w:rtl/>
        </w:rPr>
        <w:t xml:space="preserve"> אם כתב לבתו קרקע</w:t>
      </w:r>
      <w:r w:rsidR="00CE0903">
        <w:rPr>
          <w:rFonts w:cs="Arial" w:hint="cs"/>
          <w:rtl/>
        </w:rPr>
        <w:t>,</w:t>
      </w:r>
      <w:r w:rsidRPr="00843F99">
        <w:rPr>
          <w:rFonts w:cs="Arial"/>
          <w:rtl/>
        </w:rPr>
        <w:t xml:space="preserve"> מהיום הגוף</w:t>
      </w:r>
      <w:r w:rsidR="00CE0903">
        <w:rPr>
          <w:rFonts w:cs="Arial" w:hint="cs"/>
          <w:rtl/>
        </w:rPr>
        <w:t>,</w:t>
      </w:r>
      <w:r w:rsidRPr="00843F99">
        <w:rPr>
          <w:rFonts w:cs="Arial"/>
          <w:rtl/>
        </w:rPr>
        <w:t xml:space="preserve"> והפירות לאחר מיתה </w:t>
      </w:r>
      <w:r w:rsidR="00CE0903">
        <w:rPr>
          <w:rFonts w:cs="Arial" w:hint="cs"/>
          <w:rtl/>
        </w:rPr>
        <w:t xml:space="preserve">- </w:t>
      </w:r>
      <w:r w:rsidRPr="00843F99">
        <w:rPr>
          <w:rFonts w:cs="Arial"/>
          <w:rtl/>
        </w:rPr>
        <w:t>הבעל יורשה דלא מיקרי ראוי אלא מוחזק</w:t>
      </w:r>
      <w:r>
        <w:rPr>
          <w:rFonts w:cs="Arial" w:hint="cs"/>
          <w:rtl/>
        </w:rPr>
        <w:t>.</w:t>
      </w:r>
      <w:r w:rsidRPr="00F50D8A">
        <w:rPr>
          <w:rFonts w:hint="cs"/>
          <w:color w:val="00B0F0"/>
          <w:rtl/>
        </w:rPr>
        <w:t xml:space="preserve"> (וכ"פ הרמ"א)</w:t>
      </w:r>
    </w:p>
    <w:p w14:paraId="48357CE7" w14:textId="77777777" w:rsidR="00EB79BF" w:rsidRDefault="00EB79BF" w:rsidP="00EB79BF">
      <w:pPr>
        <w:rPr>
          <w:rFonts w:cs="Arial"/>
          <w:rtl/>
        </w:rPr>
      </w:pPr>
      <w:r w:rsidRPr="003024E5">
        <w:rPr>
          <w:rFonts w:asciiTheme="minorBidi" w:hAnsiTheme="minorBidi"/>
          <w:b/>
          <w:bCs/>
          <w:color w:val="000000"/>
          <w:sz w:val="28"/>
          <w:szCs w:val="28"/>
          <w:u w:val="single"/>
          <w:rtl/>
        </w:rPr>
        <w:lastRenderedPageBreak/>
        <w:t>שו"ע:</w:t>
      </w:r>
    </w:p>
    <w:p w14:paraId="754D5DA0" w14:textId="79E0BA9B" w:rsidR="00EB79BF" w:rsidRDefault="00EB79BF" w:rsidP="00EB79BF">
      <w:pPr>
        <w:rPr>
          <w:rFonts w:cs="Arial"/>
          <w:rtl/>
        </w:rPr>
      </w:pPr>
      <w:r w:rsidRPr="00EB79BF">
        <w:rPr>
          <w:rFonts w:cs="Arial"/>
          <w:rtl/>
        </w:rPr>
        <w:t>הבעל יורש את אשתו</w:t>
      </w:r>
      <w:r w:rsidR="00726398">
        <w:rPr>
          <w:rStyle w:val="a7"/>
          <w:rFonts w:cs="Arial"/>
          <w:rtl/>
        </w:rPr>
        <w:footnoteReference w:id="1202"/>
      </w:r>
      <w:r w:rsidRPr="00EB79BF">
        <w:rPr>
          <w:rFonts w:cs="Arial"/>
          <w:rtl/>
        </w:rPr>
        <w:t>. בין נכסי מלוג בין נכסי צאן ברזל</w:t>
      </w:r>
      <w:r w:rsidR="009615B2">
        <w:rPr>
          <w:rStyle w:val="a7"/>
          <w:rFonts w:cs="Arial"/>
          <w:rtl/>
        </w:rPr>
        <w:footnoteReference w:id="1203"/>
      </w:r>
      <w:r w:rsidRPr="00EB79BF">
        <w:rPr>
          <w:rFonts w:cs="Arial"/>
          <w:rtl/>
        </w:rPr>
        <w:t>. ב</w:t>
      </w:r>
      <w:r w:rsidR="00FA43C3">
        <w:rPr>
          <w:rFonts w:cs="Arial" w:hint="cs"/>
          <w:rtl/>
        </w:rPr>
        <w:t xml:space="preserve">מה </w:t>
      </w:r>
      <w:r w:rsidRPr="00EB79BF">
        <w:rPr>
          <w:rFonts w:cs="Arial"/>
          <w:rtl/>
        </w:rPr>
        <w:t>ד</w:t>
      </w:r>
      <w:r w:rsidR="00FA43C3">
        <w:rPr>
          <w:rFonts w:cs="Arial" w:hint="cs"/>
          <w:rtl/>
        </w:rPr>
        <w:t xml:space="preserve">ברים </w:t>
      </w:r>
      <w:r w:rsidRPr="00EB79BF">
        <w:rPr>
          <w:rFonts w:cs="Arial"/>
          <w:rtl/>
        </w:rPr>
        <w:t>א</w:t>
      </w:r>
      <w:r w:rsidR="00FA43C3">
        <w:rPr>
          <w:rFonts w:cs="Arial" w:hint="cs"/>
          <w:rtl/>
        </w:rPr>
        <w:t>מורים</w:t>
      </w:r>
      <w:r w:rsidRPr="00EB79BF">
        <w:rPr>
          <w:rFonts w:cs="Arial"/>
          <w:rtl/>
        </w:rPr>
        <w:t>, במוחזק</w:t>
      </w:r>
      <w:r w:rsidR="00F50D8A">
        <w:rPr>
          <w:rFonts w:cs="Arial" w:hint="cs"/>
          <w:rtl/>
        </w:rPr>
        <w:t>.</w:t>
      </w:r>
      <w:r w:rsidRPr="00EB79BF">
        <w:rPr>
          <w:rFonts w:cs="Arial"/>
          <w:rtl/>
        </w:rPr>
        <w:t xml:space="preserve"> אבל לא בראוי, כגון ירושה שראויה ליירש, ומתה בחיי מורישה, אינו עומד במקומה לירש. </w:t>
      </w:r>
      <w:r w:rsidRPr="00FA43C3">
        <w:rPr>
          <w:rFonts w:cs="Arial"/>
          <w:sz w:val="18"/>
          <w:szCs w:val="18"/>
          <w:rtl/>
        </w:rPr>
        <w:t>הגה: שטר חצי זכר, שנוהגין בו האידנא שכותב האב לבתו ליטול בירושתו כחלק חצי זכר, ואם תלך הבת בלא זרע קיימא יתבטל החוב, ומתה הבת בחיי אביה והניחה זרע קיימא, ומת הזרע ואח</w:t>
      </w:r>
      <w:r w:rsidR="00CE0903">
        <w:rPr>
          <w:rFonts w:cs="Arial" w:hint="cs"/>
          <w:sz w:val="18"/>
          <w:szCs w:val="18"/>
          <w:rtl/>
        </w:rPr>
        <w:t>"</w:t>
      </w:r>
      <w:r w:rsidRPr="00FA43C3">
        <w:rPr>
          <w:rFonts w:cs="Arial"/>
          <w:sz w:val="18"/>
          <w:szCs w:val="18"/>
          <w:rtl/>
        </w:rPr>
        <w:t>כ מת אביה</w:t>
      </w:r>
      <w:r w:rsidR="009615B2">
        <w:rPr>
          <w:rStyle w:val="a7"/>
          <w:rFonts w:cs="Arial"/>
          <w:sz w:val="18"/>
          <w:szCs w:val="18"/>
          <w:rtl/>
        </w:rPr>
        <w:footnoteReference w:id="1204"/>
      </w:r>
      <w:r w:rsidRPr="00FA43C3">
        <w:rPr>
          <w:rFonts w:cs="Arial"/>
          <w:sz w:val="18"/>
          <w:szCs w:val="18"/>
          <w:rtl/>
        </w:rPr>
        <w:t>, הבעל יורש כח אותו השטר</w:t>
      </w:r>
      <w:r w:rsidR="009615B2">
        <w:rPr>
          <w:rStyle w:val="a7"/>
          <w:rFonts w:cs="Arial"/>
          <w:sz w:val="18"/>
          <w:szCs w:val="18"/>
          <w:rtl/>
        </w:rPr>
        <w:footnoteReference w:id="1205"/>
      </w:r>
      <w:r w:rsidRPr="00FA43C3">
        <w:rPr>
          <w:rFonts w:cs="Arial"/>
          <w:sz w:val="18"/>
          <w:szCs w:val="18"/>
          <w:rtl/>
        </w:rPr>
        <w:t xml:space="preserve"> מכח זרעו שיירש אמו והוא יורש זרעו (מהרי"ו). כתבו לה מורישיה קרקע מחיים ופירות לאחר מיתה</w:t>
      </w:r>
      <w:r w:rsidR="001D6908">
        <w:rPr>
          <w:rStyle w:val="a7"/>
          <w:rFonts w:cs="Arial"/>
          <w:sz w:val="18"/>
          <w:szCs w:val="18"/>
          <w:rtl/>
        </w:rPr>
        <w:footnoteReference w:id="1206"/>
      </w:r>
      <w:r w:rsidRPr="00FA43C3">
        <w:rPr>
          <w:rFonts w:cs="Arial"/>
          <w:sz w:val="18"/>
          <w:szCs w:val="18"/>
          <w:rtl/>
        </w:rPr>
        <w:t>, הבעל יורש אותה קרקע ממנה (מרדכי)</w:t>
      </w:r>
      <w:r w:rsidR="003D032F">
        <w:rPr>
          <w:rFonts w:cs="Arial" w:hint="cs"/>
          <w:rtl/>
        </w:rPr>
        <w:t xml:space="preserve">. </w:t>
      </w:r>
      <w:r w:rsidRPr="00EB79BF">
        <w:rPr>
          <w:rFonts w:cs="Arial"/>
          <w:rtl/>
        </w:rPr>
        <w:t>אבל שבח נוטל במה שיורש ממנה, שהרי ברשותו השביח. ואינו יורש מלוה אשתו</w:t>
      </w:r>
      <w:r w:rsidR="005E7AB9">
        <w:rPr>
          <w:rStyle w:val="a7"/>
          <w:rFonts w:cs="Arial"/>
          <w:rtl/>
        </w:rPr>
        <w:footnoteReference w:id="1207"/>
      </w:r>
      <w:r w:rsidRPr="00EB79BF">
        <w:rPr>
          <w:rFonts w:cs="Arial"/>
          <w:rtl/>
        </w:rPr>
        <w:t xml:space="preserve">, כגון שמתו מורישיה והיתה להם מלוה ביד אחרים </w:t>
      </w:r>
      <w:r w:rsidR="00925F11">
        <w:rPr>
          <w:rStyle w:val="a7"/>
          <w:rFonts w:cs="Arial"/>
          <w:rtl/>
        </w:rPr>
        <w:footnoteReference w:id="1208"/>
      </w:r>
      <w:r w:rsidRPr="00EB79BF">
        <w:rPr>
          <w:rFonts w:cs="Arial"/>
          <w:rtl/>
        </w:rPr>
        <w:t xml:space="preserve">משנשאה, ומתה קודם שגבתה אותם. </w:t>
      </w:r>
      <w:r w:rsidRPr="00FA43C3">
        <w:rPr>
          <w:rFonts w:cs="Arial"/>
          <w:sz w:val="18"/>
          <w:szCs w:val="18"/>
          <w:rtl/>
        </w:rPr>
        <w:t>הגה: אבל אם הניחו מורישיה נכסים, א</w:t>
      </w:r>
      <w:r w:rsidR="00CE0903">
        <w:rPr>
          <w:rFonts w:cs="Arial" w:hint="cs"/>
          <w:sz w:val="18"/>
          <w:szCs w:val="18"/>
          <w:rtl/>
        </w:rPr>
        <w:t>ע"</w:t>
      </w:r>
      <w:r w:rsidRPr="00FA43C3">
        <w:rPr>
          <w:rFonts w:cs="Arial"/>
          <w:sz w:val="18"/>
          <w:szCs w:val="18"/>
          <w:rtl/>
        </w:rPr>
        <w:t>פ שלא גבתה הבת מחיים, ואפילו אם היו משועבדים לכתובת אלמנה</w:t>
      </w:r>
      <w:r w:rsidR="00925F11">
        <w:rPr>
          <w:rStyle w:val="a7"/>
          <w:rFonts w:cs="Arial"/>
          <w:sz w:val="18"/>
          <w:szCs w:val="18"/>
          <w:rtl/>
        </w:rPr>
        <w:footnoteReference w:id="1209"/>
      </w:r>
      <w:r w:rsidRPr="00FA43C3">
        <w:rPr>
          <w:rFonts w:cs="Arial"/>
          <w:sz w:val="18"/>
          <w:szCs w:val="18"/>
          <w:rtl/>
        </w:rPr>
        <w:t>, נקראים מוחזקים לבת והבעל יורש אותם</w:t>
      </w:r>
      <w:r w:rsidR="009564C3">
        <w:rPr>
          <w:rStyle w:val="a7"/>
          <w:rFonts w:cs="Arial"/>
          <w:sz w:val="18"/>
          <w:szCs w:val="18"/>
          <w:rtl/>
        </w:rPr>
        <w:footnoteReference w:id="1210"/>
      </w:r>
      <w:r w:rsidRPr="00FA43C3">
        <w:rPr>
          <w:rFonts w:cs="Arial"/>
          <w:sz w:val="18"/>
          <w:szCs w:val="18"/>
          <w:rtl/>
        </w:rPr>
        <w:t xml:space="preserve"> (מרדכי). </w:t>
      </w:r>
      <w:r w:rsidRPr="00EB79BF">
        <w:rPr>
          <w:rFonts w:cs="Arial"/>
          <w:rtl/>
        </w:rPr>
        <w:t>וכן אם היה לה מלוה ביד אחרים כשנשאה, ומתה האשה קודם שגבתה אותה</w:t>
      </w:r>
      <w:r w:rsidR="000E28DD">
        <w:rPr>
          <w:rStyle w:val="a7"/>
          <w:rFonts w:cs="Arial"/>
          <w:rtl/>
        </w:rPr>
        <w:footnoteReference w:id="1211"/>
      </w:r>
      <w:r w:rsidRPr="00EB79BF">
        <w:rPr>
          <w:rFonts w:cs="Arial"/>
          <w:rtl/>
        </w:rPr>
        <w:t>, אינו יורשה</w:t>
      </w:r>
      <w:r w:rsidR="00726398">
        <w:rPr>
          <w:rStyle w:val="a7"/>
          <w:rFonts w:cs="Arial"/>
          <w:rtl/>
        </w:rPr>
        <w:footnoteReference w:id="1212"/>
      </w:r>
      <w:r w:rsidR="001D67C0">
        <w:rPr>
          <w:rFonts w:cs="Arial" w:hint="cs"/>
          <w:rtl/>
        </w:rPr>
        <w:t>.</w:t>
      </w:r>
      <w:r w:rsidRPr="00EB79BF">
        <w:rPr>
          <w:rFonts w:cs="Arial"/>
          <w:rtl/>
        </w:rPr>
        <w:t xml:space="preserve"> אבל אם הלותה מנכסי מלוג, ומתה קודם שגבתה, בזו יורש אותה בעלה. </w:t>
      </w:r>
      <w:r w:rsidRPr="00FA43C3">
        <w:rPr>
          <w:rFonts w:cs="Arial"/>
          <w:sz w:val="18"/>
          <w:szCs w:val="18"/>
          <w:rtl/>
        </w:rPr>
        <w:t>הגה: כל הנכסים שהיו לאשה שאין לבעלה רשות בהן</w:t>
      </w:r>
      <w:r w:rsidR="0061030C">
        <w:rPr>
          <w:rStyle w:val="a7"/>
          <w:rFonts w:cs="Arial"/>
          <w:sz w:val="18"/>
          <w:szCs w:val="18"/>
          <w:rtl/>
        </w:rPr>
        <w:footnoteReference w:id="1213"/>
      </w:r>
      <w:r w:rsidRPr="00FA43C3">
        <w:rPr>
          <w:rFonts w:cs="Arial"/>
          <w:sz w:val="18"/>
          <w:szCs w:val="18"/>
          <w:rtl/>
        </w:rPr>
        <w:t>, והלוותה אותן לאחרים, אין הבעל יורש אותן (רשב"א).</w:t>
      </w:r>
    </w:p>
    <w:p w14:paraId="64ED1883" w14:textId="77777777" w:rsidR="00FA43C3" w:rsidRPr="00EB79BF" w:rsidRDefault="00FA43C3" w:rsidP="00EB79BF">
      <w:pPr>
        <w:rPr>
          <w:rFonts w:cs="Arial"/>
          <w:rtl/>
        </w:rPr>
      </w:pPr>
    </w:p>
    <w:p w14:paraId="340DCB32" w14:textId="3528766B" w:rsidR="00EB79BF" w:rsidRDefault="00EB79BF" w:rsidP="000F64D0">
      <w:pPr>
        <w:pStyle w:val="2"/>
        <w:rPr>
          <w:rtl/>
        </w:rPr>
      </w:pPr>
      <w:r w:rsidRPr="00EB79BF">
        <w:rPr>
          <w:rtl/>
        </w:rPr>
        <w:t>סעיף ב</w:t>
      </w:r>
      <w:r w:rsidR="0021036B">
        <w:rPr>
          <w:rFonts w:hint="cs"/>
          <w:rtl/>
        </w:rPr>
        <w:t xml:space="preserve">: </w:t>
      </w:r>
      <w:r w:rsidR="009F54DF" w:rsidRPr="006262B5">
        <w:rPr>
          <w:rtl/>
        </w:rPr>
        <w:t xml:space="preserve">מי שאמר </w:t>
      </w:r>
      <w:r w:rsidR="00901B3B">
        <w:rPr>
          <w:rFonts w:hint="cs"/>
          <w:rtl/>
        </w:rPr>
        <w:t>'</w:t>
      </w:r>
      <w:r w:rsidR="009F54DF" w:rsidRPr="006262B5">
        <w:rPr>
          <w:rtl/>
        </w:rPr>
        <w:t>נכסי לפלוני ואחריו ליורשי</w:t>
      </w:r>
      <w:r w:rsidR="00901B3B">
        <w:rPr>
          <w:rFonts w:hint="cs"/>
          <w:rtl/>
        </w:rPr>
        <w:t>'</w:t>
      </w:r>
      <w:r w:rsidR="009F54DF">
        <w:rPr>
          <w:rFonts w:hint="cs"/>
          <w:rtl/>
        </w:rPr>
        <w:t>.</w:t>
      </w:r>
    </w:p>
    <w:p w14:paraId="080DA383" w14:textId="77777777" w:rsidR="009F54DF" w:rsidRDefault="009F54DF" w:rsidP="009F54DF">
      <w:pPr>
        <w:rPr>
          <w:rFonts w:cs="Arial"/>
          <w:rtl/>
        </w:rPr>
      </w:pPr>
      <w:r w:rsidRPr="004E510F">
        <w:rPr>
          <w:rFonts w:cs="Arial"/>
          <w:b/>
          <w:bCs/>
          <w:rtl/>
        </w:rPr>
        <w:t xml:space="preserve">בבא בתרא </w:t>
      </w:r>
      <w:r w:rsidRPr="00BD74BB">
        <w:rPr>
          <w:rFonts w:cs="Arial" w:hint="cs"/>
          <w:b/>
          <w:bCs/>
          <w:sz w:val="16"/>
          <w:szCs w:val="16"/>
          <w:rtl/>
        </w:rPr>
        <w:t>(פ</w:t>
      </w:r>
      <w:r>
        <w:rPr>
          <w:rFonts w:cs="Arial" w:hint="cs"/>
          <w:b/>
          <w:bCs/>
          <w:sz w:val="16"/>
          <w:szCs w:val="16"/>
          <w:rtl/>
        </w:rPr>
        <w:t>'</w:t>
      </w:r>
      <w:r w:rsidRPr="00BD74BB">
        <w:rPr>
          <w:rFonts w:cs="Arial" w:hint="cs"/>
          <w:b/>
          <w:bCs/>
          <w:sz w:val="16"/>
          <w:szCs w:val="16"/>
          <w:rtl/>
        </w:rPr>
        <w:t xml:space="preserve"> </w:t>
      </w:r>
      <w:r>
        <w:rPr>
          <w:rFonts w:cs="Arial" w:hint="cs"/>
          <w:b/>
          <w:bCs/>
          <w:sz w:val="16"/>
          <w:szCs w:val="16"/>
          <w:rtl/>
        </w:rPr>
        <w:t>יש נוחלין</w:t>
      </w:r>
      <w:r w:rsidRPr="00BD74BB">
        <w:rPr>
          <w:rFonts w:cs="Arial" w:hint="cs"/>
          <w:b/>
          <w:bCs/>
          <w:sz w:val="16"/>
          <w:szCs w:val="16"/>
          <w:rtl/>
        </w:rPr>
        <w:t>)</w:t>
      </w:r>
      <w:r w:rsidRPr="004E510F">
        <w:rPr>
          <w:rFonts w:cs="Arial" w:hint="cs"/>
          <w:b/>
          <w:bCs/>
          <w:rtl/>
        </w:rPr>
        <w:t xml:space="preserve"> </w:t>
      </w:r>
      <w:r w:rsidRPr="004E510F">
        <w:rPr>
          <w:rFonts w:cs="Arial"/>
          <w:b/>
          <w:bCs/>
          <w:rtl/>
        </w:rPr>
        <w:t>ק</w:t>
      </w:r>
      <w:r>
        <w:rPr>
          <w:rFonts w:cs="Arial" w:hint="cs"/>
          <w:b/>
          <w:bCs/>
          <w:rtl/>
        </w:rPr>
        <w:t>כה</w:t>
      </w:r>
      <w:r w:rsidRPr="004E510F">
        <w:rPr>
          <w:rFonts w:cs="Arial"/>
          <w:b/>
          <w:bCs/>
          <w:rtl/>
        </w:rPr>
        <w:t xml:space="preserve"> ע</w:t>
      </w:r>
      <w:r w:rsidRPr="004E510F">
        <w:rPr>
          <w:rFonts w:cs="Arial" w:hint="cs"/>
          <w:b/>
          <w:bCs/>
          <w:rtl/>
        </w:rPr>
        <w:t>"</w:t>
      </w:r>
      <w:r w:rsidRPr="006A308B">
        <w:rPr>
          <w:rFonts w:cs="Arial" w:hint="cs"/>
          <w:b/>
          <w:bCs/>
          <w:rtl/>
        </w:rPr>
        <w:t>א:</w:t>
      </w:r>
      <w:r w:rsidRPr="006A308B">
        <w:rPr>
          <w:rFonts w:cs="Arial" w:hint="cs"/>
          <w:rtl/>
        </w:rPr>
        <w:t xml:space="preserve"> </w:t>
      </w:r>
      <w:r w:rsidRPr="009F54DF">
        <w:rPr>
          <w:rFonts w:cs="Arial"/>
          <w:rtl/>
        </w:rPr>
        <w:t xml:space="preserve">דההוא דאמר להו: </w:t>
      </w:r>
      <w:r>
        <w:rPr>
          <w:rFonts w:cs="Arial" w:hint="cs"/>
          <w:sz w:val="14"/>
          <w:szCs w:val="14"/>
          <w:rtl/>
        </w:rPr>
        <w:t xml:space="preserve">(קכה: ) </w:t>
      </w:r>
      <w:r w:rsidRPr="009F54DF">
        <w:rPr>
          <w:rFonts w:cs="Arial"/>
          <w:rtl/>
        </w:rPr>
        <w:t>נכסי לסבתא ובתרה לירתאי, הויא ליה ברתא דהוה נסיבא, שכיבא בחיי בעלה ובחיי סבתא, בתר דשכיבא סבתא אתא בעל קא תבע</w:t>
      </w:r>
      <w:r>
        <w:rPr>
          <w:rFonts w:cs="Arial" w:hint="cs"/>
          <w:rtl/>
        </w:rPr>
        <w:t>.</w:t>
      </w:r>
      <w:r w:rsidRPr="009F54DF">
        <w:rPr>
          <w:rFonts w:cs="Arial"/>
          <w:rtl/>
        </w:rPr>
        <w:t xml:space="preserve"> </w:t>
      </w:r>
      <w:r w:rsidRPr="009F54DF">
        <w:rPr>
          <w:rFonts w:cs="Arial"/>
          <w:u w:val="single"/>
          <w:rtl/>
        </w:rPr>
        <w:t>אמר רב הונא</w:t>
      </w:r>
      <w:r w:rsidRPr="009F54DF">
        <w:rPr>
          <w:rFonts w:cs="Arial"/>
          <w:rtl/>
        </w:rPr>
        <w:t>: לירתי - ואפי' לירתי ירתי</w:t>
      </w:r>
      <w:r>
        <w:rPr>
          <w:rFonts w:cs="Arial" w:hint="cs"/>
          <w:rtl/>
        </w:rPr>
        <w:t>.</w:t>
      </w:r>
      <w:r w:rsidRPr="009F54DF">
        <w:rPr>
          <w:rFonts w:cs="Arial"/>
          <w:rtl/>
        </w:rPr>
        <w:t xml:space="preserve"> </w:t>
      </w:r>
      <w:r w:rsidRPr="009F54DF">
        <w:rPr>
          <w:rFonts w:cs="Arial"/>
          <w:u w:val="single"/>
          <w:rtl/>
        </w:rPr>
        <w:t>ורב ענן אמר</w:t>
      </w:r>
      <w:r w:rsidRPr="009F54DF">
        <w:rPr>
          <w:rFonts w:cs="Arial"/>
          <w:rtl/>
        </w:rPr>
        <w:t xml:space="preserve">: לירתי - ולא לירתי ירתי. </w:t>
      </w:r>
      <w:r w:rsidRPr="009F54DF">
        <w:rPr>
          <w:rFonts w:cs="Arial"/>
          <w:u w:val="single"/>
          <w:rtl/>
        </w:rPr>
        <w:t>שלחו מתם</w:t>
      </w:r>
      <w:r w:rsidRPr="009F54DF">
        <w:rPr>
          <w:rFonts w:cs="Arial"/>
          <w:rtl/>
        </w:rPr>
        <w:t xml:space="preserve">: הלכתא כוותיה דרב ענן ולאו מטעמיה, הלכת' כוותיה דרב ענן - דבעל לא ירית, ולאו מטעמיה - דאילו רב ענן סבר: אף על גב דהוה לי' ברא לברתיה לא ירית, ולא היא, דאילו הוה ליה ברא לברתיה ודאי ירית, ובעל היינו טעמא דלא ירית, משום דהוה ליה ראוי, ואין הבעל נוטל בראוי כבמוחזק. </w:t>
      </w:r>
    </w:p>
    <w:p w14:paraId="27FAF1E6" w14:textId="19098BCA" w:rsidR="009F54DF" w:rsidRPr="009F54DF" w:rsidRDefault="009F54DF" w:rsidP="009F54DF">
      <w:pPr>
        <w:rPr>
          <w:u w:val="single"/>
          <w:rtl/>
        </w:rPr>
      </w:pPr>
      <w:r w:rsidRPr="009F54DF">
        <w:rPr>
          <w:rFonts w:cs="Arial"/>
          <w:u w:val="single"/>
          <w:rtl/>
        </w:rPr>
        <w:t>מי שאמר נכסי לפלוני ואחריו ליורשי</w:t>
      </w:r>
      <w:r w:rsidRPr="009F54DF">
        <w:rPr>
          <w:rFonts w:hint="cs"/>
          <w:u w:val="single"/>
          <w:rtl/>
        </w:rPr>
        <w:t>:</w:t>
      </w:r>
    </w:p>
    <w:p w14:paraId="106594AE" w14:textId="35C1C015" w:rsidR="006262B5" w:rsidRPr="006262B5" w:rsidRDefault="006262B5" w:rsidP="009000E3">
      <w:pPr>
        <w:pStyle w:val="ab"/>
        <w:numPr>
          <w:ilvl w:val="0"/>
          <w:numId w:val="55"/>
        </w:numPr>
        <w:rPr>
          <w:rFonts w:cs="Arial"/>
          <w:rtl/>
        </w:rPr>
      </w:pPr>
      <w:r w:rsidRPr="006262B5">
        <w:rPr>
          <w:rFonts w:cs="Arial" w:hint="cs"/>
          <w:rtl/>
        </w:rPr>
        <w:t xml:space="preserve">טור- </w:t>
      </w:r>
      <w:r w:rsidRPr="006262B5">
        <w:rPr>
          <w:rFonts w:cs="Arial"/>
          <w:rtl/>
        </w:rPr>
        <w:t>מי שאמר נכסי לפלוני ואחריו ליורשי</w:t>
      </w:r>
      <w:r w:rsidR="0021036B">
        <w:rPr>
          <w:rFonts w:cs="Arial" w:hint="cs"/>
          <w:rtl/>
        </w:rPr>
        <w:t>,</w:t>
      </w:r>
      <w:r w:rsidRPr="006262B5">
        <w:rPr>
          <w:rFonts w:cs="Arial"/>
          <w:rtl/>
        </w:rPr>
        <w:t xml:space="preserve"> קי"ל דה"ה נמי ליורשי יורשיה</w:t>
      </w:r>
      <w:r w:rsidR="0021036B">
        <w:rPr>
          <w:rFonts w:cs="Arial" w:hint="cs"/>
          <w:rtl/>
        </w:rPr>
        <w:t>.</w:t>
      </w:r>
      <w:r w:rsidRPr="006262B5">
        <w:rPr>
          <w:rFonts w:cs="Arial"/>
          <w:rtl/>
        </w:rPr>
        <w:t xml:space="preserve"> ואם היה לו בת ומתה בחיי אותו פלוני</w:t>
      </w:r>
      <w:r w:rsidR="0021036B">
        <w:rPr>
          <w:rFonts w:cs="Arial" w:hint="cs"/>
          <w:rtl/>
        </w:rPr>
        <w:t>,</w:t>
      </w:r>
      <w:r w:rsidRPr="006262B5">
        <w:rPr>
          <w:rFonts w:cs="Arial"/>
          <w:rtl/>
        </w:rPr>
        <w:t xml:space="preserve"> וה"ה בן לבת</w:t>
      </w:r>
      <w:r w:rsidR="0021036B">
        <w:rPr>
          <w:rFonts w:cs="Arial" w:hint="cs"/>
          <w:rtl/>
        </w:rPr>
        <w:t>,</w:t>
      </w:r>
      <w:r w:rsidRPr="006262B5">
        <w:rPr>
          <w:rFonts w:cs="Arial"/>
          <w:rtl/>
        </w:rPr>
        <w:t xml:space="preserve"> הבן עומד במקום אמו לירש לפלוני</w:t>
      </w:r>
      <w:r w:rsidR="0021036B">
        <w:rPr>
          <w:rFonts w:cs="Arial" w:hint="cs"/>
          <w:rtl/>
        </w:rPr>
        <w:t>.</w:t>
      </w:r>
      <w:r w:rsidRPr="006262B5">
        <w:rPr>
          <w:rFonts w:cs="Arial"/>
          <w:rtl/>
        </w:rPr>
        <w:t xml:space="preserve"> אבל אם אין לבת יורש אלא בעלה</w:t>
      </w:r>
      <w:r w:rsidR="0021036B">
        <w:rPr>
          <w:rFonts w:cs="Arial" w:hint="cs"/>
          <w:rtl/>
        </w:rPr>
        <w:t>,</w:t>
      </w:r>
      <w:r w:rsidRPr="006262B5">
        <w:rPr>
          <w:rFonts w:cs="Arial"/>
          <w:rtl/>
        </w:rPr>
        <w:t xml:space="preserve"> אינו יורש אותו פלוני</w:t>
      </w:r>
      <w:r w:rsidR="0021036B">
        <w:rPr>
          <w:rFonts w:cs="Arial" w:hint="cs"/>
          <w:rtl/>
        </w:rPr>
        <w:t>,</w:t>
      </w:r>
      <w:r w:rsidRPr="006262B5">
        <w:rPr>
          <w:rFonts w:cs="Arial"/>
          <w:rtl/>
        </w:rPr>
        <w:t xml:space="preserve"> דהוה ליה ראוי</w:t>
      </w:r>
      <w:r w:rsidR="0021036B">
        <w:rPr>
          <w:rFonts w:cs="Arial" w:hint="cs"/>
          <w:rtl/>
        </w:rPr>
        <w:t>.</w:t>
      </w:r>
      <w:r w:rsidRPr="006262B5">
        <w:rPr>
          <w:rFonts w:cs="Arial"/>
          <w:rtl/>
        </w:rPr>
        <w:t xml:space="preserve"> ואם אמר </w:t>
      </w:r>
      <w:r w:rsidR="00FD11ED">
        <w:rPr>
          <w:rFonts w:cs="Arial" w:hint="cs"/>
          <w:rtl/>
        </w:rPr>
        <w:t>"</w:t>
      </w:r>
      <w:r w:rsidRPr="006262B5">
        <w:rPr>
          <w:rFonts w:cs="Arial"/>
          <w:rtl/>
        </w:rPr>
        <w:t>מעכשיו נכסי לפלוני ואחריו ליורשי</w:t>
      </w:r>
      <w:r w:rsidR="00FD11ED">
        <w:rPr>
          <w:rFonts w:cs="Arial" w:hint="cs"/>
          <w:rtl/>
        </w:rPr>
        <w:t>"</w:t>
      </w:r>
      <w:r w:rsidR="0021036B">
        <w:rPr>
          <w:rFonts w:cs="Arial" w:hint="cs"/>
          <w:rtl/>
        </w:rPr>
        <w:t>,</w:t>
      </w:r>
      <w:r w:rsidRPr="006262B5">
        <w:rPr>
          <w:rFonts w:cs="Arial"/>
          <w:rtl/>
        </w:rPr>
        <w:t xml:space="preserve"> הוה ליה מוחזק ובעל הבת יורש</w:t>
      </w:r>
      <w:r w:rsidR="0021036B">
        <w:rPr>
          <w:rFonts w:cs="Arial" w:hint="cs"/>
          <w:rtl/>
        </w:rPr>
        <w:t>.</w:t>
      </w:r>
      <w:r w:rsidRPr="006262B5">
        <w:rPr>
          <w:rFonts w:cs="Arial"/>
          <w:rtl/>
        </w:rPr>
        <w:t xml:space="preserve"> </w:t>
      </w:r>
      <w:r w:rsidR="00901B3B" w:rsidRPr="001D67C0">
        <w:rPr>
          <w:rFonts w:hint="cs"/>
          <w:color w:val="E36C0A" w:themeColor="accent6" w:themeShade="BF"/>
          <w:rtl/>
        </w:rPr>
        <w:t>(וכ"פ בשו"ע)</w:t>
      </w:r>
    </w:p>
    <w:p w14:paraId="7A8CE659" w14:textId="77777777" w:rsidR="00EB79BF" w:rsidRDefault="00EB79BF" w:rsidP="00EB79BF">
      <w:pPr>
        <w:rPr>
          <w:rFonts w:cs="Arial"/>
          <w:rtl/>
        </w:rPr>
      </w:pPr>
      <w:r w:rsidRPr="003024E5">
        <w:rPr>
          <w:rFonts w:asciiTheme="minorBidi" w:hAnsiTheme="minorBidi"/>
          <w:b/>
          <w:bCs/>
          <w:color w:val="000000"/>
          <w:sz w:val="28"/>
          <w:szCs w:val="28"/>
          <w:u w:val="single"/>
          <w:rtl/>
        </w:rPr>
        <w:t>שו"ע:</w:t>
      </w:r>
    </w:p>
    <w:p w14:paraId="1039119D" w14:textId="21F4D8DD" w:rsidR="00EB79BF" w:rsidRDefault="00EB79BF" w:rsidP="00EB79BF">
      <w:pPr>
        <w:rPr>
          <w:rFonts w:cs="Arial"/>
          <w:rtl/>
        </w:rPr>
      </w:pPr>
      <w:r w:rsidRPr="00EB79BF">
        <w:rPr>
          <w:rFonts w:cs="Arial"/>
          <w:rtl/>
        </w:rPr>
        <w:t>מי שאומר נכסי לפלוני ואחריו ליורשי</w:t>
      </w:r>
      <w:r w:rsidR="00B92AC9">
        <w:rPr>
          <w:rFonts w:cs="Arial" w:hint="cs"/>
          <w:rtl/>
        </w:rPr>
        <w:t>.</w:t>
      </w:r>
      <w:r w:rsidRPr="00EB79BF">
        <w:rPr>
          <w:rFonts w:cs="Arial"/>
          <w:rtl/>
        </w:rPr>
        <w:t xml:space="preserve"> דקי</w:t>
      </w:r>
      <w:r w:rsidR="00FA43C3">
        <w:rPr>
          <w:rFonts w:cs="Arial" w:hint="cs"/>
          <w:rtl/>
        </w:rPr>
        <w:t xml:space="preserve">ימא </w:t>
      </w:r>
      <w:r w:rsidRPr="00EB79BF">
        <w:rPr>
          <w:rFonts w:cs="Arial"/>
          <w:rtl/>
        </w:rPr>
        <w:t>ל</w:t>
      </w:r>
      <w:r w:rsidR="00FA43C3">
        <w:rPr>
          <w:rFonts w:cs="Arial" w:hint="cs"/>
          <w:rtl/>
        </w:rPr>
        <w:t>ן</w:t>
      </w:r>
      <w:r w:rsidRPr="00EB79BF">
        <w:rPr>
          <w:rFonts w:cs="Arial"/>
          <w:rtl/>
        </w:rPr>
        <w:t xml:space="preserve"> הוא הדין ליורשי יורשי, ואם היתה לו בת ומתה בחיי אותו פלוני, והיה בן לבת</w:t>
      </w:r>
      <w:r w:rsidR="00BE3E06">
        <w:rPr>
          <w:rStyle w:val="a7"/>
          <w:rFonts w:cs="Arial"/>
          <w:rtl/>
        </w:rPr>
        <w:footnoteReference w:id="1214"/>
      </w:r>
      <w:r w:rsidRPr="00EB79BF">
        <w:rPr>
          <w:rFonts w:cs="Arial"/>
          <w:rtl/>
        </w:rPr>
        <w:t>, הבן עומד במקום אמו ליירש לאותו פלוני. אבל אם אין לבת יורש, אלא בעל, אינו יורש אותו פלוני, דהויא ליה ראוי. ואם אמר: נכסי לפלוני ואחריו מעכשיו ליורשי</w:t>
      </w:r>
      <w:r w:rsidR="00A31F60">
        <w:rPr>
          <w:rStyle w:val="a7"/>
          <w:rFonts w:cs="Arial"/>
          <w:rtl/>
        </w:rPr>
        <w:footnoteReference w:id="1215"/>
      </w:r>
      <w:r w:rsidRPr="00EB79BF">
        <w:rPr>
          <w:rFonts w:cs="Arial"/>
          <w:rtl/>
        </w:rPr>
        <w:t xml:space="preserve">, הוה ליה מוחזק, ובעל הבת יורש. </w:t>
      </w:r>
    </w:p>
    <w:p w14:paraId="24B16074" w14:textId="6D09A970" w:rsidR="005521C1" w:rsidRPr="005521C1" w:rsidRDefault="005521C1" w:rsidP="00EB79BF">
      <w:pPr>
        <w:rPr>
          <w:rFonts w:cs="Arial"/>
          <w:u w:val="single"/>
          <w:rtl/>
        </w:rPr>
      </w:pPr>
      <w:r w:rsidRPr="005521C1">
        <w:rPr>
          <w:rFonts w:cs="Arial"/>
          <w:u w:val="single"/>
          <w:rtl/>
        </w:rPr>
        <w:t>ש</w:t>
      </w:r>
      <w:r w:rsidRPr="005521C1">
        <w:rPr>
          <w:rFonts w:cs="Arial" w:hint="cs"/>
          <w:u w:val="single"/>
          <w:rtl/>
        </w:rPr>
        <w:t>כיב מרע</w:t>
      </w:r>
      <w:r w:rsidRPr="005521C1">
        <w:rPr>
          <w:rFonts w:cs="Arial"/>
          <w:u w:val="single"/>
          <w:rtl/>
        </w:rPr>
        <w:t xml:space="preserve"> שנתן מתנות לאשת איש</w:t>
      </w:r>
      <w:r w:rsidRPr="005521C1">
        <w:rPr>
          <w:rFonts w:cs="Arial" w:hint="cs"/>
          <w:u w:val="single"/>
          <w:rtl/>
        </w:rPr>
        <w:t>,</w:t>
      </w:r>
      <w:r w:rsidRPr="005521C1">
        <w:rPr>
          <w:rFonts w:cs="Arial"/>
          <w:u w:val="single"/>
          <w:rtl/>
        </w:rPr>
        <w:t xml:space="preserve"> ומתה קודם שגבת</w:t>
      </w:r>
      <w:r w:rsidRPr="005521C1">
        <w:rPr>
          <w:rFonts w:cs="Arial" w:hint="cs"/>
          <w:u w:val="single"/>
          <w:rtl/>
        </w:rPr>
        <w:t xml:space="preserve">ה </w:t>
      </w:r>
      <w:r w:rsidR="00F97626">
        <w:rPr>
          <w:rFonts w:cs="Arial"/>
          <w:u w:val="single"/>
          <w:rtl/>
        </w:rPr>
        <w:t>-</w:t>
      </w:r>
      <w:r w:rsidRPr="005521C1">
        <w:rPr>
          <w:rFonts w:cs="Arial" w:hint="cs"/>
          <w:u w:val="single"/>
          <w:rtl/>
        </w:rPr>
        <w:t xml:space="preserve"> האם בעלה יורש</w:t>
      </w:r>
      <w:r>
        <w:rPr>
          <w:rFonts w:cs="Arial" w:hint="cs"/>
          <w:u w:val="single"/>
          <w:rtl/>
        </w:rPr>
        <w:t>:</w:t>
      </w:r>
    </w:p>
    <w:p w14:paraId="36FC7951" w14:textId="3E5B3A9F" w:rsidR="005521C1" w:rsidRPr="005521C1" w:rsidRDefault="005521C1" w:rsidP="009000E3">
      <w:pPr>
        <w:pStyle w:val="ab"/>
        <w:numPr>
          <w:ilvl w:val="0"/>
          <w:numId w:val="55"/>
        </w:numPr>
        <w:rPr>
          <w:rFonts w:cs="Arial"/>
          <w:rtl/>
        </w:rPr>
      </w:pPr>
      <w:r w:rsidRPr="005521C1">
        <w:rPr>
          <w:rFonts w:cs="Arial" w:hint="cs"/>
          <w:rtl/>
        </w:rPr>
        <w:t>ב"ש</w:t>
      </w:r>
      <w:r w:rsidRPr="005521C1">
        <w:rPr>
          <w:rFonts w:cs="Arial" w:hint="cs"/>
          <w:sz w:val="16"/>
          <w:szCs w:val="16"/>
          <w:rtl/>
        </w:rPr>
        <w:t xml:space="preserve"> (סקי"ג)</w:t>
      </w:r>
      <w:r w:rsidRPr="005521C1">
        <w:rPr>
          <w:rFonts w:cs="Arial" w:hint="cs"/>
          <w:rtl/>
        </w:rPr>
        <w:t xml:space="preserve">- </w:t>
      </w:r>
      <w:r w:rsidRPr="005521C1">
        <w:rPr>
          <w:rFonts w:cs="Arial"/>
          <w:rtl/>
        </w:rPr>
        <w:t>ש</w:t>
      </w:r>
      <w:r>
        <w:rPr>
          <w:rFonts w:cs="Arial" w:hint="cs"/>
          <w:rtl/>
        </w:rPr>
        <w:t>כיב מרע</w:t>
      </w:r>
      <w:r w:rsidRPr="005521C1">
        <w:rPr>
          <w:rFonts w:cs="Arial"/>
          <w:rtl/>
        </w:rPr>
        <w:t xml:space="preserve"> שנתן מתנות ש</w:t>
      </w:r>
      <w:r>
        <w:rPr>
          <w:rFonts w:cs="Arial" w:hint="cs"/>
          <w:rtl/>
        </w:rPr>
        <w:t>כיב מרע</w:t>
      </w:r>
      <w:r w:rsidRPr="005521C1">
        <w:rPr>
          <w:rFonts w:cs="Arial"/>
          <w:rtl/>
        </w:rPr>
        <w:t xml:space="preserve"> לאשת איש</w:t>
      </w:r>
      <w:r>
        <w:rPr>
          <w:rFonts w:cs="Arial" w:hint="cs"/>
          <w:rtl/>
        </w:rPr>
        <w:t>,</w:t>
      </w:r>
      <w:r w:rsidRPr="005521C1">
        <w:rPr>
          <w:rFonts w:cs="Arial"/>
          <w:rtl/>
        </w:rPr>
        <w:t xml:space="preserve"> ומתה קודם שגבת</w:t>
      </w:r>
      <w:r>
        <w:rPr>
          <w:rFonts w:cs="Arial" w:hint="cs"/>
          <w:rtl/>
        </w:rPr>
        <w:t>ה.</w:t>
      </w:r>
      <w:r w:rsidRPr="005521C1">
        <w:rPr>
          <w:rFonts w:cs="Arial"/>
          <w:rtl/>
        </w:rPr>
        <w:t xml:space="preserve"> פסק בסוף תשוב' הרב רבי בצלאל דבעל יורש</w:t>
      </w:r>
      <w:r w:rsidR="00C84EDD">
        <w:rPr>
          <w:rStyle w:val="a7"/>
          <w:rFonts w:cs="Arial"/>
          <w:rtl/>
        </w:rPr>
        <w:footnoteReference w:id="1216"/>
      </w:r>
      <w:r>
        <w:rPr>
          <w:rFonts w:cs="Arial" w:hint="cs"/>
          <w:rtl/>
        </w:rPr>
        <w:t>.</w:t>
      </w:r>
      <w:r w:rsidRPr="005521C1">
        <w:rPr>
          <w:rFonts w:cs="Arial"/>
          <w:rtl/>
        </w:rPr>
        <w:t xml:space="preserve"> ויפה פסק אף לדברי המרדכי הנ"ל</w:t>
      </w:r>
      <w:r>
        <w:rPr>
          <w:rFonts w:cs="Arial" w:hint="cs"/>
          <w:rtl/>
        </w:rPr>
        <w:t>,</w:t>
      </w:r>
      <w:r w:rsidRPr="005521C1">
        <w:rPr>
          <w:rFonts w:cs="Arial"/>
          <w:rtl/>
        </w:rPr>
        <w:t xml:space="preserve"> משום דברי ש"מ הם כמסורי</w:t>
      </w:r>
      <w:r>
        <w:rPr>
          <w:rFonts w:cs="Arial" w:hint="cs"/>
          <w:rtl/>
        </w:rPr>
        <w:t>ם</w:t>
      </w:r>
      <w:r w:rsidRPr="005521C1">
        <w:rPr>
          <w:rFonts w:cs="Arial"/>
          <w:rtl/>
        </w:rPr>
        <w:t xml:space="preserve"> דמי</w:t>
      </w:r>
      <w:r>
        <w:rPr>
          <w:rFonts w:cs="Arial" w:hint="cs"/>
          <w:rtl/>
        </w:rPr>
        <w:t>,</w:t>
      </w:r>
      <w:r w:rsidRPr="005521C1">
        <w:rPr>
          <w:rFonts w:cs="Arial"/>
          <w:rtl/>
        </w:rPr>
        <w:t xml:space="preserve"> והיורשים אי</w:t>
      </w:r>
      <w:r>
        <w:rPr>
          <w:rFonts w:cs="Arial" w:hint="cs"/>
          <w:rtl/>
        </w:rPr>
        <w:t>נם יכולים</w:t>
      </w:r>
      <w:r w:rsidRPr="005521C1">
        <w:rPr>
          <w:rFonts w:cs="Arial"/>
          <w:rtl/>
        </w:rPr>
        <w:t xml:space="preserve"> למכור כמ"ש בח</w:t>
      </w:r>
      <w:r>
        <w:rPr>
          <w:rFonts w:cs="Arial" w:hint="cs"/>
          <w:rtl/>
        </w:rPr>
        <w:t>ו"מ</w:t>
      </w:r>
      <w:r w:rsidRPr="005521C1">
        <w:rPr>
          <w:rFonts w:cs="Arial"/>
          <w:rtl/>
        </w:rPr>
        <w:t xml:space="preserve"> סי' רכ"ב</w:t>
      </w:r>
      <w:r>
        <w:rPr>
          <w:rFonts w:cs="Arial" w:hint="cs"/>
          <w:rtl/>
        </w:rPr>
        <w:t>.</w:t>
      </w:r>
    </w:p>
    <w:p w14:paraId="1D460BD4" w14:textId="77777777" w:rsidR="00FA43C3" w:rsidRPr="00EB79BF" w:rsidRDefault="00FA43C3" w:rsidP="00EB79BF">
      <w:pPr>
        <w:rPr>
          <w:rFonts w:cs="Arial"/>
          <w:rtl/>
        </w:rPr>
      </w:pPr>
    </w:p>
    <w:p w14:paraId="78655C58" w14:textId="48CF341A" w:rsidR="00EB79BF" w:rsidRDefault="00EB79BF" w:rsidP="000F64D0">
      <w:pPr>
        <w:pStyle w:val="2"/>
        <w:rPr>
          <w:rtl/>
        </w:rPr>
      </w:pPr>
      <w:r w:rsidRPr="00EB79BF">
        <w:rPr>
          <w:rtl/>
        </w:rPr>
        <w:t>סעיף ג</w:t>
      </w:r>
      <w:r w:rsidR="00901B3B">
        <w:rPr>
          <w:rFonts w:hint="cs"/>
          <w:rtl/>
        </w:rPr>
        <w:t xml:space="preserve">: </w:t>
      </w:r>
      <w:r w:rsidR="001D5AD0">
        <w:rPr>
          <w:rFonts w:hint="cs"/>
          <w:rtl/>
        </w:rPr>
        <w:t xml:space="preserve">נשא </w:t>
      </w:r>
      <w:r w:rsidR="00B41FF4" w:rsidRPr="00BC2D56">
        <w:rPr>
          <w:rtl/>
        </w:rPr>
        <w:t>אשה שהיא אסורה לו</w:t>
      </w:r>
      <w:r w:rsidR="001D5AD0">
        <w:rPr>
          <w:rFonts w:hint="cs"/>
          <w:rtl/>
        </w:rPr>
        <w:t>, או קטנה, או חרשת (או שהוא חרש)</w:t>
      </w:r>
      <w:r w:rsidR="00B41FF4">
        <w:rPr>
          <w:rFonts w:hint="cs"/>
          <w:rtl/>
        </w:rPr>
        <w:t>.</w:t>
      </w:r>
    </w:p>
    <w:p w14:paraId="20A6B3D0" w14:textId="2153F66F" w:rsidR="007D15B6" w:rsidRDefault="007D15B6" w:rsidP="00D9440F">
      <w:pPr>
        <w:rPr>
          <w:rtl/>
        </w:rPr>
      </w:pPr>
      <w:r w:rsidRPr="007D15B6">
        <w:rPr>
          <w:rFonts w:cs="Arial"/>
          <w:b/>
          <w:bCs/>
          <w:rtl/>
        </w:rPr>
        <w:t xml:space="preserve">תוספתא </w:t>
      </w:r>
      <w:r w:rsidRPr="007D15B6">
        <w:rPr>
          <w:rFonts w:cs="Arial" w:hint="cs"/>
          <w:b/>
          <w:bCs/>
          <w:rtl/>
        </w:rPr>
        <w:t xml:space="preserve">יבמות </w:t>
      </w:r>
      <w:r w:rsidRPr="007D15B6">
        <w:rPr>
          <w:rFonts w:cs="Arial"/>
          <w:b/>
          <w:bCs/>
          <w:rtl/>
        </w:rPr>
        <w:t>פ</w:t>
      </w:r>
      <w:r w:rsidRPr="007D15B6">
        <w:rPr>
          <w:rFonts w:cs="Arial" w:hint="cs"/>
          <w:b/>
          <w:bCs/>
          <w:rtl/>
        </w:rPr>
        <w:t>"</w:t>
      </w:r>
      <w:r w:rsidRPr="007D15B6">
        <w:rPr>
          <w:rFonts w:cs="Arial"/>
          <w:b/>
          <w:bCs/>
          <w:rtl/>
        </w:rPr>
        <w:t>ב ה"ג</w:t>
      </w:r>
      <w:r w:rsidRPr="007D15B6">
        <w:rPr>
          <w:rFonts w:cs="Arial" w:hint="cs"/>
          <w:b/>
          <w:bCs/>
          <w:rtl/>
        </w:rPr>
        <w:t xml:space="preserve">: </w:t>
      </w:r>
      <w:r w:rsidRPr="007D15B6">
        <w:rPr>
          <w:rFonts w:cs="Arial"/>
          <w:rtl/>
        </w:rPr>
        <w:t>אלמנה לכהן גדול</w:t>
      </w:r>
      <w:r>
        <w:rPr>
          <w:rFonts w:cs="Arial" w:hint="cs"/>
          <w:rtl/>
        </w:rPr>
        <w:t>,</w:t>
      </w:r>
      <w:r w:rsidRPr="007D15B6">
        <w:rPr>
          <w:rFonts w:cs="Arial"/>
          <w:rtl/>
        </w:rPr>
        <w:t xml:space="preserve"> גרוש</w:t>
      </w:r>
      <w:r>
        <w:rPr>
          <w:rFonts w:cs="Arial" w:hint="cs"/>
          <w:rtl/>
        </w:rPr>
        <w:t>ה</w:t>
      </w:r>
      <w:r w:rsidRPr="007D15B6">
        <w:rPr>
          <w:rFonts w:cs="Arial"/>
          <w:rtl/>
        </w:rPr>
        <w:t xml:space="preserve"> וחלוצה לכהן הדיוט </w:t>
      </w:r>
      <w:r>
        <w:rPr>
          <w:rFonts w:cs="Arial" w:hint="cs"/>
          <w:rtl/>
        </w:rPr>
        <w:t xml:space="preserve">- </w:t>
      </w:r>
      <w:r w:rsidRPr="007D15B6">
        <w:rPr>
          <w:rFonts w:cs="Arial"/>
          <w:rtl/>
        </w:rPr>
        <w:t>הרי הן כאשתו לכל דבר</w:t>
      </w:r>
      <w:r>
        <w:rPr>
          <w:rFonts w:cs="Arial" w:hint="cs"/>
          <w:rtl/>
        </w:rPr>
        <w:t>.</w:t>
      </w:r>
      <w:r w:rsidRPr="007D15B6">
        <w:rPr>
          <w:rFonts w:cs="Arial"/>
          <w:rtl/>
        </w:rPr>
        <w:t xml:space="preserve"> יש להן כתובה ופירות מזונות ובלאיות</w:t>
      </w:r>
      <w:r>
        <w:rPr>
          <w:rFonts w:cs="Arial" w:hint="cs"/>
          <w:rtl/>
        </w:rPr>
        <w:t>,</w:t>
      </w:r>
      <w:r w:rsidRPr="007D15B6">
        <w:rPr>
          <w:rFonts w:cs="Arial"/>
          <w:rtl/>
        </w:rPr>
        <w:t xml:space="preserve"> וזכיי במציאתה ובמעשה ידיה ובהפר נדריה</w:t>
      </w:r>
      <w:r>
        <w:rPr>
          <w:rFonts w:cs="Arial" w:hint="cs"/>
          <w:rtl/>
        </w:rPr>
        <w:t>,</w:t>
      </w:r>
      <w:r w:rsidRPr="007D15B6">
        <w:rPr>
          <w:rFonts w:cs="Arial"/>
          <w:rtl/>
        </w:rPr>
        <w:t xml:space="preserve"> יורשה</w:t>
      </w:r>
      <w:r>
        <w:rPr>
          <w:rFonts w:cs="Arial" w:hint="cs"/>
          <w:rtl/>
        </w:rPr>
        <w:t>,</w:t>
      </w:r>
      <w:r w:rsidRPr="007D15B6">
        <w:rPr>
          <w:rFonts w:cs="Arial"/>
          <w:rtl/>
        </w:rPr>
        <w:t xml:space="preserve"> ואין מיטמא לה</w:t>
      </w:r>
      <w:r>
        <w:rPr>
          <w:rFonts w:cs="Arial" w:hint="cs"/>
          <w:rtl/>
        </w:rPr>
        <w:t>,</w:t>
      </w:r>
      <w:r w:rsidRPr="007D15B6">
        <w:rPr>
          <w:rFonts w:cs="Arial"/>
          <w:rtl/>
        </w:rPr>
        <w:t xml:space="preserve"> יש לו בה קדושין וצריכה הימנו גט</w:t>
      </w:r>
      <w:r>
        <w:rPr>
          <w:rFonts w:cs="Arial" w:hint="cs"/>
          <w:rtl/>
        </w:rPr>
        <w:t>,</w:t>
      </w:r>
      <w:r w:rsidRPr="007D15B6">
        <w:rPr>
          <w:rFonts w:cs="Arial"/>
          <w:rtl/>
        </w:rPr>
        <w:t xml:space="preserve"> היא פסולה והולד פסול</w:t>
      </w:r>
      <w:r>
        <w:rPr>
          <w:rFonts w:cs="Arial" w:hint="cs"/>
          <w:rtl/>
        </w:rPr>
        <w:t>.</w:t>
      </w:r>
    </w:p>
    <w:p w14:paraId="749A1A61" w14:textId="368CAFAE" w:rsidR="00B41FF4" w:rsidRPr="00B41FF4" w:rsidRDefault="00B41FF4" w:rsidP="00D9440F">
      <w:pPr>
        <w:rPr>
          <w:u w:val="single"/>
          <w:rtl/>
        </w:rPr>
      </w:pPr>
      <w:r w:rsidRPr="00B41FF4">
        <w:rPr>
          <w:rFonts w:cs="Arial"/>
          <w:u w:val="single"/>
          <w:rtl/>
        </w:rPr>
        <w:t>נ</w:t>
      </w:r>
      <w:r w:rsidRPr="00B41FF4">
        <w:rPr>
          <w:rFonts w:cs="Arial" w:hint="cs"/>
          <w:u w:val="single"/>
          <w:rtl/>
        </w:rPr>
        <w:t>ש</w:t>
      </w:r>
      <w:r w:rsidRPr="00B41FF4">
        <w:rPr>
          <w:rFonts w:cs="Arial"/>
          <w:u w:val="single"/>
          <w:rtl/>
        </w:rPr>
        <w:t>א אשה שהיא אסורה לו</w:t>
      </w:r>
      <w:r w:rsidRPr="00B41FF4">
        <w:rPr>
          <w:rFonts w:hint="cs"/>
          <w:u w:val="single"/>
          <w:rtl/>
        </w:rPr>
        <w:t xml:space="preserve"> </w:t>
      </w:r>
      <w:r w:rsidR="00F97626">
        <w:rPr>
          <w:u w:val="single"/>
          <w:rtl/>
        </w:rPr>
        <w:t>-</w:t>
      </w:r>
      <w:r w:rsidRPr="00B41FF4">
        <w:rPr>
          <w:rFonts w:hint="cs"/>
          <w:u w:val="single"/>
          <w:rtl/>
        </w:rPr>
        <w:t xml:space="preserve"> האם יורש אותה:</w:t>
      </w:r>
    </w:p>
    <w:p w14:paraId="3CD063D1" w14:textId="02EC5A2F" w:rsidR="0080679A" w:rsidRDefault="006262B5" w:rsidP="009000E3">
      <w:pPr>
        <w:pStyle w:val="ab"/>
        <w:numPr>
          <w:ilvl w:val="0"/>
          <w:numId w:val="55"/>
        </w:numPr>
        <w:rPr>
          <w:rFonts w:cs="Arial"/>
        </w:rPr>
      </w:pPr>
      <w:r w:rsidRPr="006262B5">
        <w:rPr>
          <w:rFonts w:cs="Arial"/>
          <w:rtl/>
        </w:rPr>
        <w:t xml:space="preserve">רמב"ם </w:t>
      </w:r>
      <w:r w:rsidR="00BC2D56" w:rsidRPr="002A138F">
        <w:rPr>
          <w:rFonts w:cs="Arial" w:hint="cs"/>
          <w:sz w:val="16"/>
          <w:szCs w:val="16"/>
          <w:rtl/>
        </w:rPr>
        <w:t>(</w:t>
      </w:r>
      <w:r w:rsidR="00BC2D56" w:rsidRPr="002A138F">
        <w:rPr>
          <w:rFonts w:cs="Arial"/>
          <w:sz w:val="16"/>
          <w:szCs w:val="16"/>
          <w:rtl/>
        </w:rPr>
        <w:t>פכ"ב מ</w:t>
      </w:r>
      <w:r w:rsidR="00BC2D56" w:rsidRPr="002A138F">
        <w:rPr>
          <w:rFonts w:cs="Arial" w:hint="cs"/>
          <w:sz w:val="16"/>
          <w:szCs w:val="16"/>
          <w:rtl/>
        </w:rPr>
        <w:t>א</w:t>
      </w:r>
      <w:r w:rsidR="00BC2D56" w:rsidRPr="002A138F">
        <w:rPr>
          <w:rFonts w:cs="Arial"/>
          <w:sz w:val="16"/>
          <w:szCs w:val="16"/>
          <w:rtl/>
        </w:rPr>
        <w:t>ישות ה</w:t>
      </w:r>
      <w:r w:rsidR="00EF50EC">
        <w:rPr>
          <w:rFonts w:cs="Arial" w:hint="cs"/>
          <w:sz w:val="16"/>
          <w:szCs w:val="16"/>
          <w:rtl/>
        </w:rPr>
        <w:t>"</w:t>
      </w:r>
      <w:r w:rsidR="00A90437">
        <w:rPr>
          <w:rFonts w:cs="Arial" w:hint="cs"/>
          <w:sz w:val="16"/>
          <w:szCs w:val="16"/>
          <w:rtl/>
        </w:rPr>
        <w:t>ד</w:t>
      </w:r>
      <w:r w:rsidR="00BC2D56" w:rsidRPr="002A138F">
        <w:rPr>
          <w:rFonts w:cs="Arial"/>
          <w:sz w:val="16"/>
          <w:szCs w:val="16"/>
          <w:rtl/>
        </w:rPr>
        <w:t>)</w:t>
      </w:r>
      <w:r w:rsidR="00BC2D56" w:rsidRPr="002A138F">
        <w:rPr>
          <w:rFonts w:cs="Arial" w:hint="cs"/>
          <w:sz w:val="16"/>
          <w:szCs w:val="16"/>
          <w:rtl/>
        </w:rPr>
        <w:t xml:space="preserve"> </w:t>
      </w:r>
      <w:r w:rsidR="00BC2D56">
        <w:rPr>
          <w:rFonts w:cs="Arial" w:hint="cs"/>
          <w:rtl/>
        </w:rPr>
        <w:t xml:space="preserve">וטור- </w:t>
      </w:r>
      <w:r w:rsidR="00BC2D56" w:rsidRPr="00BC2D56">
        <w:rPr>
          <w:rFonts w:cs="Arial"/>
          <w:rtl/>
        </w:rPr>
        <w:t>הנושא אשה שהיא אסורה לו</w:t>
      </w:r>
      <w:r w:rsidR="00B41FF4">
        <w:rPr>
          <w:rFonts w:cs="Arial" w:hint="cs"/>
          <w:rtl/>
        </w:rPr>
        <w:t>,</w:t>
      </w:r>
      <w:r w:rsidR="00BC2D56" w:rsidRPr="00BC2D56">
        <w:rPr>
          <w:rFonts w:cs="Arial"/>
          <w:rtl/>
        </w:rPr>
        <w:t xml:space="preserve"> הואיל ויש לו בה קידושין</w:t>
      </w:r>
      <w:r w:rsidR="00BE3E06">
        <w:rPr>
          <w:rStyle w:val="a7"/>
          <w:rFonts w:cs="Arial"/>
          <w:rtl/>
        </w:rPr>
        <w:footnoteReference w:id="1217"/>
      </w:r>
      <w:r w:rsidR="00BC2D56" w:rsidRPr="00BC2D56">
        <w:rPr>
          <w:rFonts w:cs="Arial"/>
          <w:rtl/>
        </w:rPr>
        <w:t xml:space="preserve"> אם מתה תחתיו </w:t>
      </w:r>
      <w:r w:rsidR="00F97626">
        <w:rPr>
          <w:rFonts w:cs="Arial"/>
          <w:rtl/>
        </w:rPr>
        <w:t>-</w:t>
      </w:r>
      <w:r w:rsidR="00B41FF4">
        <w:rPr>
          <w:rFonts w:cs="Arial" w:hint="cs"/>
          <w:rtl/>
        </w:rPr>
        <w:t xml:space="preserve"> </w:t>
      </w:r>
      <w:r w:rsidR="00BC2D56" w:rsidRPr="00BC2D56">
        <w:rPr>
          <w:rFonts w:cs="Arial"/>
          <w:rtl/>
        </w:rPr>
        <w:t>יירשנה</w:t>
      </w:r>
      <w:r w:rsidR="0095334B">
        <w:rPr>
          <w:rFonts w:cs="Arial" w:hint="cs"/>
          <w:sz w:val="16"/>
          <w:szCs w:val="16"/>
          <w:rtl/>
        </w:rPr>
        <w:t xml:space="preserve"> (ל' הרמב"ם)</w:t>
      </w:r>
      <w:r w:rsidR="00B41FF4">
        <w:rPr>
          <w:rFonts w:cs="Arial" w:hint="cs"/>
          <w:rtl/>
        </w:rPr>
        <w:t>.</w:t>
      </w:r>
      <w:r w:rsidR="00BC2D56" w:rsidRPr="00BC2D56">
        <w:rPr>
          <w:rFonts w:cs="Arial"/>
          <w:rtl/>
        </w:rPr>
        <w:t xml:space="preserve"> </w:t>
      </w:r>
      <w:r w:rsidR="0095334B" w:rsidRPr="001D67C0">
        <w:rPr>
          <w:rFonts w:hint="cs"/>
          <w:color w:val="E36C0A" w:themeColor="accent6" w:themeShade="BF"/>
          <w:rtl/>
        </w:rPr>
        <w:t>(וכ"פ בשו"ע)</w:t>
      </w:r>
    </w:p>
    <w:p w14:paraId="1DDEEA0D" w14:textId="181CF013" w:rsidR="001D5AD0" w:rsidRDefault="001D5AD0" w:rsidP="001D5AD0">
      <w:pPr>
        <w:rPr>
          <w:rtl/>
        </w:rPr>
      </w:pPr>
      <w:r w:rsidRPr="001D5AD0">
        <w:rPr>
          <w:rFonts w:cs="Arial" w:hint="cs"/>
          <w:b/>
          <w:bCs/>
          <w:rtl/>
        </w:rPr>
        <w:t>כתובות קא</w:t>
      </w:r>
      <w:r w:rsidR="002D767B">
        <w:rPr>
          <w:rStyle w:val="a7"/>
          <w:rFonts w:cs="Arial"/>
          <w:b/>
          <w:bCs/>
          <w:rtl/>
        </w:rPr>
        <w:footnoteReference w:id="1218"/>
      </w:r>
      <w:r w:rsidRPr="001D5AD0">
        <w:rPr>
          <w:rFonts w:cs="Arial" w:hint="cs"/>
          <w:b/>
          <w:bCs/>
          <w:rtl/>
        </w:rPr>
        <w:t xml:space="preserve"> ע"א: </w:t>
      </w:r>
      <w:r w:rsidRPr="001D5AD0">
        <w:rPr>
          <w:rFonts w:cs="Arial"/>
          <w:u w:val="single"/>
          <w:rtl/>
        </w:rPr>
        <w:t>רבי יהושע אומר</w:t>
      </w:r>
      <w:r w:rsidRPr="001D5AD0">
        <w:rPr>
          <w:rFonts w:cs="Arial"/>
          <w:rtl/>
        </w:rPr>
        <w:t>: מעשה קטנה כלום, ובעלה זכאי במציאתה ובמעשה ידיה ובהפרת נדריה, ויורשה ומיטמא לה, כללו של דבר: הרי היא כאשתו לכל דבר - אלא שיוצאה במיאון</w:t>
      </w:r>
      <w:r>
        <w:rPr>
          <w:rFonts w:hint="cs"/>
          <w:rtl/>
        </w:rPr>
        <w:t>.</w:t>
      </w:r>
      <w:r w:rsidRPr="001D5AD0">
        <w:rPr>
          <w:rFonts w:cs="Arial" w:hint="cs"/>
          <w:rtl/>
        </w:rPr>
        <w:t xml:space="preserve"> </w:t>
      </w:r>
      <w:r w:rsidRPr="001D5AD0">
        <w:rPr>
          <w:rFonts w:cs="Arial" w:hint="cs"/>
          <w:sz w:val="16"/>
          <w:szCs w:val="16"/>
          <w:rtl/>
        </w:rPr>
        <w:t>(מכאן שהנושא את הקטנה ומתה תחתיו - יירשנה. וכתב הה"מ (</w:t>
      </w:r>
      <w:r w:rsidRPr="001D5AD0">
        <w:rPr>
          <w:rFonts w:cs="Arial"/>
          <w:sz w:val="16"/>
          <w:szCs w:val="16"/>
          <w:rtl/>
        </w:rPr>
        <w:t>פכ"ב מ</w:t>
      </w:r>
      <w:r w:rsidRPr="001D5AD0">
        <w:rPr>
          <w:rFonts w:cs="Arial" w:hint="cs"/>
          <w:sz w:val="16"/>
          <w:szCs w:val="16"/>
          <w:rtl/>
        </w:rPr>
        <w:t>א</w:t>
      </w:r>
      <w:r w:rsidRPr="001D5AD0">
        <w:rPr>
          <w:rFonts w:cs="Arial"/>
          <w:sz w:val="16"/>
          <w:szCs w:val="16"/>
          <w:rtl/>
        </w:rPr>
        <w:t>ישות ה</w:t>
      </w:r>
      <w:r w:rsidRPr="001D5AD0">
        <w:rPr>
          <w:rFonts w:cs="Arial" w:hint="cs"/>
          <w:sz w:val="16"/>
          <w:szCs w:val="16"/>
          <w:rtl/>
        </w:rPr>
        <w:t>"ד</w:t>
      </w:r>
      <w:r w:rsidRPr="001D5AD0">
        <w:rPr>
          <w:rFonts w:cs="Arial"/>
          <w:sz w:val="16"/>
          <w:szCs w:val="16"/>
          <w:rtl/>
        </w:rPr>
        <w:t>)</w:t>
      </w:r>
      <w:r w:rsidRPr="001D5AD0">
        <w:rPr>
          <w:rFonts w:cs="Arial" w:hint="cs"/>
          <w:sz w:val="16"/>
          <w:szCs w:val="16"/>
          <w:rtl/>
        </w:rPr>
        <w:t xml:space="preserve"> ד</w:t>
      </w:r>
      <w:r w:rsidRPr="001D5AD0">
        <w:rPr>
          <w:rFonts w:cs="Arial"/>
          <w:sz w:val="16"/>
          <w:szCs w:val="16"/>
          <w:rtl/>
        </w:rPr>
        <w:t>זה מבואר בהרבה מקומות (גיטין נה., יבמות פט:, כתובות קא.) ונתבאר בהלכות ביבמות פרק בית שמאי (רי"ף לו:) דקטנה שלא מיאנה ומתה בעלה יורשה</w:t>
      </w:r>
      <w:r w:rsidRPr="001D5AD0">
        <w:rPr>
          <w:rFonts w:cs="Arial" w:hint="cs"/>
          <w:sz w:val="16"/>
          <w:szCs w:val="16"/>
          <w:rtl/>
        </w:rPr>
        <w:t>)</w:t>
      </w:r>
    </w:p>
    <w:p w14:paraId="058EA3F0" w14:textId="4CA9A3E0" w:rsidR="001D5AD0" w:rsidRPr="001D5AD0" w:rsidRDefault="001D5AD0" w:rsidP="001D5AD0">
      <w:pPr>
        <w:rPr>
          <w:rFonts w:cs="Arial"/>
          <w:u w:val="single"/>
        </w:rPr>
      </w:pPr>
      <w:r w:rsidRPr="001D5AD0">
        <w:rPr>
          <w:rFonts w:cs="Arial" w:hint="cs"/>
          <w:u w:val="single"/>
          <w:rtl/>
        </w:rPr>
        <w:lastRenderedPageBreak/>
        <w:t xml:space="preserve">נשא אשה קטנה </w:t>
      </w:r>
      <w:r w:rsidR="00F97626">
        <w:rPr>
          <w:rFonts w:cs="Arial"/>
          <w:u w:val="single"/>
          <w:rtl/>
        </w:rPr>
        <w:t>-</w:t>
      </w:r>
      <w:r w:rsidRPr="001D5AD0">
        <w:rPr>
          <w:rFonts w:cs="Arial" w:hint="cs"/>
          <w:u w:val="single"/>
          <w:rtl/>
        </w:rPr>
        <w:t xml:space="preserve"> האם יורש אותה:</w:t>
      </w:r>
    </w:p>
    <w:p w14:paraId="7B726820" w14:textId="6A3F2AF1" w:rsidR="0065402A" w:rsidRDefault="001D5AD0" w:rsidP="009000E3">
      <w:pPr>
        <w:pStyle w:val="ab"/>
        <w:numPr>
          <w:ilvl w:val="0"/>
          <w:numId w:val="55"/>
        </w:numPr>
        <w:rPr>
          <w:rFonts w:cs="Arial"/>
        </w:rPr>
      </w:pPr>
      <w:r w:rsidRPr="006262B5">
        <w:rPr>
          <w:rFonts w:cs="Arial"/>
          <w:rtl/>
        </w:rPr>
        <w:t xml:space="preserve">רמב"ם </w:t>
      </w:r>
      <w:r w:rsidRPr="002A138F">
        <w:rPr>
          <w:rFonts w:cs="Arial" w:hint="cs"/>
          <w:sz w:val="16"/>
          <w:szCs w:val="16"/>
          <w:rtl/>
        </w:rPr>
        <w:t>(</w:t>
      </w:r>
      <w:r w:rsidRPr="002A138F">
        <w:rPr>
          <w:rFonts w:cs="Arial"/>
          <w:sz w:val="16"/>
          <w:szCs w:val="16"/>
          <w:rtl/>
        </w:rPr>
        <w:t>פכ"ב מ</w:t>
      </w:r>
      <w:r w:rsidRPr="002A138F">
        <w:rPr>
          <w:rFonts w:cs="Arial" w:hint="cs"/>
          <w:sz w:val="16"/>
          <w:szCs w:val="16"/>
          <w:rtl/>
        </w:rPr>
        <w:t>א</w:t>
      </w:r>
      <w:r w:rsidRPr="002A138F">
        <w:rPr>
          <w:rFonts w:cs="Arial"/>
          <w:sz w:val="16"/>
          <w:szCs w:val="16"/>
          <w:rtl/>
        </w:rPr>
        <w:t>ישות ה</w:t>
      </w:r>
      <w:r>
        <w:rPr>
          <w:rFonts w:cs="Arial" w:hint="cs"/>
          <w:sz w:val="16"/>
          <w:szCs w:val="16"/>
          <w:rtl/>
        </w:rPr>
        <w:t>"ד</w:t>
      </w:r>
      <w:r w:rsidRPr="002A138F">
        <w:rPr>
          <w:rFonts w:cs="Arial"/>
          <w:sz w:val="16"/>
          <w:szCs w:val="16"/>
          <w:rtl/>
        </w:rPr>
        <w:t>)</w:t>
      </w:r>
      <w:r w:rsidRPr="002A138F">
        <w:rPr>
          <w:rFonts w:cs="Arial" w:hint="cs"/>
          <w:sz w:val="16"/>
          <w:szCs w:val="16"/>
          <w:rtl/>
        </w:rPr>
        <w:t xml:space="preserve"> </w:t>
      </w:r>
      <w:r>
        <w:rPr>
          <w:rFonts w:cs="Arial" w:hint="cs"/>
          <w:rtl/>
        </w:rPr>
        <w:t xml:space="preserve">וטור- </w:t>
      </w:r>
      <w:r w:rsidR="00BC2D56" w:rsidRPr="00BC2D56">
        <w:rPr>
          <w:rFonts w:cs="Arial"/>
          <w:rtl/>
        </w:rPr>
        <w:t>וכן הנושא את הקטנה</w:t>
      </w:r>
      <w:r w:rsidR="00A90437">
        <w:rPr>
          <w:rFonts w:cs="Arial" w:hint="cs"/>
          <w:rtl/>
        </w:rPr>
        <w:t>,</w:t>
      </w:r>
      <w:r w:rsidR="00BC2D56" w:rsidRPr="00BC2D56">
        <w:rPr>
          <w:rFonts w:cs="Arial"/>
          <w:rtl/>
        </w:rPr>
        <w:t xml:space="preserve"> אע</w:t>
      </w:r>
      <w:r w:rsidR="00A90437">
        <w:rPr>
          <w:rFonts w:cs="Arial" w:hint="cs"/>
          <w:rtl/>
        </w:rPr>
        <w:t>"</w:t>
      </w:r>
      <w:r w:rsidR="00BC2D56" w:rsidRPr="00BC2D56">
        <w:rPr>
          <w:rFonts w:cs="Arial"/>
          <w:rtl/>
        </w:rPr>
        <w:t>פ שאין קידושיה קידושין גמורים</w:t>
      </w:r>
      <w:r w:rsidR="00B75D0B">
        <w:rPr>
          <w:rFonts w:cs="Arial" w:hint="cs"/>
          <w:rtl/>
        </w:rPr>
        <w:t>,</w:t>
      </w:r>
      <w:r w:rsidR="00BC2D56" w:rsidRPr="00BC2D56">
        <w:rPr>
          <w:rFonts w:cs="Arial"/>
          <w:rtl/>
        </w:rPr>
        <w:t xml:space="preserve"> אם מתה תחתיו </w:t>
      </w:r>
      <w:r w:rsidR="00F97626">
        <w:rPr>
          <w:rFonts w:cs="Arial"/>
          <w:rtl/>
        </w:rPr>
        <w:t>-</w:t>
      </w:r>
      <w:r w:rsidR="00A90437">
        <w:rPr>
          <w:rFonts w:cs="Arial" w:hint="cs"/>
          <w:rtl/>
        </w:rPr>
        <w:t xml:space="preserve"> </w:t>
      </w:r>
      <w:r w:rsidR="00BC2D56" w:rsidRPr="00BC2D56">
        <w:rPr>
          <w:rFonts w:cs="Arial"/>
          <w:rtl/>
        </w:rPr>
        <w:t>יירשנה</w:t>
      </w:r>
      <w:r w:rsidR="0095334B">
        <w:rPr>
          <w:rFonts w:cs="Arial" w:hint="cs"/>
          <w:sz w:val="16"/>
          <w:szCs w:val="16"/>
          <w:rtl/>
        </w:rPr>
        <w:t xml:space="preserve"> (ל' הרמב"ם)</w:t>
      </w:r>
      <w:r w:rsidR="00A90437">
        <w:rPr>
          <w:rFonts w:cs="Arial" w:hint="cs"/>
          <w:rtl/>
        </w:rPr>
        <w:t>.</w:t>
      </w:r>
      <w:r w:rsidR="00BC2D56" w:rsidRPr="00BC2D56">
        <w:rPr>
          <w:rFonts w:cs="Arial"/>
          <w:rtl/>
        </w:rPr>
        <w:t xml:space="preserve"> </w:t>
      </w:r>
      <w:r w:rsidR="0095334B" w:rsidRPr="001D67C0">
        <w:rPr>
          <w:rFonts w:hint="cs"/>
          <w:color w:val="E36C0A" w:themeColor="accent6" w:themeShade="BF"/>
          <w:rtl/>
        </w:rPr>
        <w:t>(וכ"פ בשו"ע)</w:t>
      </w:r>
    </w:p>
    <w:p w14:paraId="690F558A" w14:textId="7FC48D57" w:rsidR="0088724C" w:rsidRPr="0088724C" w:rsidRDefault="0088724C" w:rsidP="0088724C">
      <w:pPr>
        <w:ind w:left="360"/>
        <w:rPr>
          <w:rFonts w:cs="Arial"/>
          <w:u w:val="dotted"/>
        </w:rPr>
      </w:pPr>
      <w:r w:rsidRPr="0088724C">
        <w:rPr>
          <w:rFonts w:cs="Arial" w:hint="cs"/>
          <w:u w:val="dotted"/>
          <w:rtl/>
        </w:rPr>
        <w:t>ומה הדין אם נשא אשה קטנה שאינה צריכה מיאון:</w:t>
      </w:r>
    </w:p>
    <w:p w14:paraId="56FA9E0D" w14:textId="47386954" w:rsidR="002172B8" w:rsidRDefault="0088724C" w:rsidP="009000E3">
      <w:pPr>
        <w:pStyle w:val="ab"/>
        <w:numPr>
          <w:ilvl w:val="0"/>
          <w:numId w:val="55"/>
        </w:numPr>
        <w:rPr>
          <w:rFonts w:cs="Arial"/>
        </w:rPr>
      </w:pPr>
      <w:r>
        <w:rPr>
          <w:rFonts w:cs="Arial" w:hint="cs"/>
          <w:rtl/>
        </w:rPr>
        <w:t xml:space="preserve">רמב"ם </w:t>
      </w:r>
      <w:r>
        <w:rPr>
          <w:rFonts w:cs="Arial" w:hint="cs"/>
          <w:sz w:val="16"/>
          <w:szCs w:val="16"/>
          <w:rtl/>
        </w:rPr>
        <w:t>(פ"א מהל' נחלות ה"י)</w:t>
      </w:r>
      <w:r>
        <w:rPr>
          <w:rFonts w:cs="Arial" w:hint="cs"/>
          <w:rtl/>
        </w:rPr>
        <w:t xml:space="preserve">- </w:t>
      </w:r>
      <w:r w:rsidRPr="0088724C">
        <w:rPr>
          <w:rFonts w:cs="Arial"/>
          <w:rtl/>
        </w:rPr>
        <w:t>בעל שנשא קטנה שאינה צריכה מיאון</w:t>
      </w:r>
      <w:r w:rsidR="002172B8">
        <w:rPr>
          <w:rStyle w:val="a7"/>
          <w:rFonts w:cs="Arial"/>
          <w:rtl/>
        </w:rPr>
        <w:footnoteReference w:id="1219"/>
      </w:r>
      <w:r w:rsidRPr="0088724C">
        <w:rPr>
          <w:rFonts w:cs="Arial"/>
          <w:rtl/>
        </w:rPr>
        <w:t xml:space="preserve"> </w:t>
      </w:r>
      <w:r>
        <w:rPr>
          <w:rFonts w:cs="Arial" w:hint="cs"/>
          <w:rtl/>
        </w:rPr>
        <w:t xml:space="preserve">- </w:t>
      </w:r>
      <w:r w:rsidRPr="0088724C">
        <w:rPr>
          <w:rFonts w:cs="Arial"/>
          <w:rtl/>
        </w:rPr>
        <w:t>אינו יורשה שהרי אין כאן שום אישות</w:t>
      </w:r>
      <w:r w:rsidR="002172B8">
        <w:rPr>
          <w:rFonts w:cs="Arial" w:hint="cs"/>
          <w:rtl/>
        </w:rPr>
        <w:t>.</w:t>
      </w:r>
    </w:p>
    <w:p w14:paraId="59330213" w14:textId="7A6E0BF7" w:rsidR="002172B8" w:rsidRPr="002172B8" w:rsidRDefault="002172B8" w:rsidP="002172B8">
      <w:pPr>
        <w:rPr>
          <w:rFonts w:cs="Arial"/>
          <w:u w:val="single"/>
        </w:rPr>
      </w:pPr>
      <w:r w:rsidRPr="002172B8">
        <w:rPr>
          <w:rFonts w:cs="Arial" w:hint="cs"/>
          <w:u w:val="single"/>
          <w:rtl/>
        </w:rPr>
        <w:t>שוטה שנשא פקחת או פקח שנשא שוטה:</w:t>
      </w:r>
    </w:p>
    <w:p w14:paraId="2908421F" w14:textId="58EC2F2A" w:rsidR="0088724C" w:rsidRDefault="002172B8" w:rsidP="009000E3">
      <w:pPr>
        <w:pStyle w:val="ab"/>
        <w:numPr>
          <w:ilvl w:val="0"/>
          <w:numId w:val="55"/>
        </w:numPr>
        <w:rPr>
          <w:rFonts w:cs="Arial"/>
        </w:rPr>
      </w:pPr>
      <w:r>
        <w:rPr>
          <w:rFonts w:cs="Arial" w:hint="cs"/>
          <w:rtl/>
        </w:rPr>
        <w:t xml:space="preserve">רמב"ם </w:t>
      </w:r>
      <w:r>
        <w:rPr>
          <w:rFonts w:cs="Arial" w:hint="cs"/>
          <w:sz w:val="16"/>
          <w:szCs w:val="16"/>
          <w:rtl/>
        </w:rPr>
        <w:t>(פ"א מהל' נחלות ה"י)</w:t>
      </w:r>
      <w:r>
        <w:rPr>
          <w:rFonts w:cs="Arial" w:hint="cs"/>
          <w:rtl/>
        </w:rPr>
        <w:t xml:space="preserve">- </w:t>
      </w:r>
      <w:r w:rsidR="0088724C" w:rsidRPr="0088724C">
        <w:rPr>
          <w:rFonts w:cs="Arial"/>
          <w:rtl/>
        </w:rPr>
        <w:t xml:space="preserve">שוטה שנשא פקחת או פקח שנשא שוטה </w:t>
      </w:r>
      <w:r w:rsidR="002D767B">
        <w:rPr>
          <w:rFonts w:cs="Arial" w:hint="cs"/>
          <w:rtl/>
        </w:rPr>
        <w:t xml:space="preserve">- </w:t>
      </w:r>
      <w:r w:rsidR="0088724C" w:rsidRPr="0088724C">
        <w:rPr>
          <w:rFonts w:cs="Arial"/>
          <w:rtl/>
        </w:rPr>
        <w:t>אינו יורשה</w:t>
      </w:r>
      <w:r w:rsidR="002D767B">
        <w:rPr>
          <w:rFonts w:cs="Arial" w:hint="cs"/>
          <w:rtl/>
        </w:rPr>
        <w:t>,</w:t>
      </w:r>
      <w:r w:rsidR="0088724C" w:rsidRPr="0088724C">
        <w:rPr>
          <w:rFonts w:cs="Arial"/>
          <w:rtl/>
        </w:rPr>
        <w:t xml:space="preserve"> שהרי לא תקנו חכמים להן נשואין.</w:t>
      </w:r>
    </w:p>
    <w:p w14:paraId="19941E67" w14:textId="2A453CA6" w:rsidR="001D5AD0" w:rsidRPr="001D5AD0" w:rsidRDefault="001D5AD0" w:rsidP="001D5AD0">
      <w:pPr>
        <w:rPr>
          <w:rFonts w:cs="Arial"/>
          <w:u w:val="single"/>
        </w:rPr>
      </w:pPr>
      <w:r w:rsidRPr="001D5AD0">
        <w:rPr>
          <w:rFonts w:cs="Arial" w:hint="cs"/>
          <w:u w:val="single"/>
          <w:rtl/>
        </w:rPr>
        <w:t xml:space="preserve">פקח שנשא חרשת או חרש שנשא פקחת </w:t>
      </w:r>
      <w:r w:rsidR="00F97626">
        <w:rPr>
          <w:rFonts w:cs="Arial"/>
          <w:u w:val="single"/>
          <w:rtl/>
        </w:rPr>
        <w:t>-</w:t>
      </w:r>
      <w:r w:rsidRPr="001D5AD0">
        <w:rPr>
          <w:rFonts w:cs="Arial" w:hint="cs"/>
          <w:u w:val="single"/>
          <w:rtl/>
        </w:rPr>
        <w:t xml:space="preserve"> האם יורש אותה:</w:t>
      </w:r>
    </w:p>
    <w:p w14:paraId="2BFEC658" w14:textId="27819D0B" w:rsidR="00EF50EC" w:rsidRDefault="001D5AD0" w:rsidP="009000E3">
      <w:pPr>
        <w:pStyle w:val="ab"/>
        <w:numPr>
          <w:ilvl w:val="0"/>
          <w:numId w:val="55"/>
        </w:numPr>
        <w:rPr>
          <w:rFonts w:cs="Arial"/>
        </w:rPr>
      </w:pPr>
      <w:r w:rsidRPr="006262B5">
        <w:rPr>
          <w:rFonts w:cs="Arial"/>
          <w:rtl/>
        </w:rPr>
        <w:t xml:space="preserve">רמב"ם </w:t>
      </w:r>
      <w:r w:rsidRPr="002A138F">
        <w:rPr>
          <w:rFonts w:cs="Arial" w:hint="cs"/>
          <w:sz w:val="16"/>
          <w:szCs w:val="16"/>
          <w:rtl/>
        </w:rPr>
        <w:t>(</w:t>
      </w:r>
      <w:r w:rsidRPr="002A138F">
        <w:rPr>
          <w:rFonts w:cs="Arial"/>
          <w:sz w:val="16"/>
          <w:szCs w:val="16"/>
          <w:rtl/>
        </w:rPr>
        <w:t>פכ"ב מ</w:t>
      </w:r>
      <w:r w:rsidRPr="002A138F">
        <w:rPr>
          <w:rFonts w:cs="Arial" w:hint="cs"/>
          <w:sz w:val="16"/>
          <w:szCs w:val="16"/>
          <w:rtl/>
        </w:rPr>
        <w:t>א</w:t>
      </w:r>
      <w:r w:rsidRPr="002A138F">
        <w:rPr>
          <w:rFonts w:cs="Arial"/>
          <w:sz w:val="16"/>
          <w:szCs w:val="16"/>
          <w:rtl/>
        </w:rPr>
        <w:t>ישות ה</w:t>
      </w:r>
      <w:r>
        <w:rPr>
          <w:rFonts w:cs="Arial" w:hint="cs"/>
          <w:sz w:val="16"/>
          <w:szCs w:val="16"/>
          <w:rtl/>
        </w:rPr>
        <w:t>"ד</w:t>
      </w:r>
      <w:r w:rsidRPr="002A138F">
        <w:rPr>
          <w:rFonts w:cs="Arial"/>
          <w:sz w:val="16"/>
          <w:szCs w:val="16"/>
          <w:rtl/>
        </w:rPr>
        <w:t>)</w:t>
      </w:r>
      <w:r w:rsidRPr="002A138F">
        <w:rPr>
          <w:rFonts w:cs="Arial" w:hint="cs"/>
          <w:sz w:val="16"/>
          <w:szCs w:val="16"/>
          <w:rtl/>
        </w:rPr>
        <w:t xml:space="preserve"> </w:t>
      </w:r>
      <w:r>
        <w:rPr>
          <w:rFonts w:cs="Arial" w:hint="cs"/>
          <w:rtl/>
        </w:rPr>
        <w:t xml:space="preserve">וטור- </w:t>
      </w:r>
      <w:r w:rsidR="00BC2D56" w:rsidRPr="00BC2D56">
        <w:rPr>
          <w:rFonts w:cs="Arial"/>
          <w:rtl/>
        </w:rPr>
        <w:t>אבל הפקח שנשא חרשת</w:t>
      </w:r>
      <w:r w:rsidR="00015C7E">
        <w:rPr>
          <w:rStyle w:val="a7"/>
          <w:rFonts w:cs="Arial"/>
          <w:rtl/>
        </w:rPr>
        <w:footnoteReference w:id="1220"/>
      </w:r>
      <w:r w:rsidR="00B75D0B">
        <w:rPr>
          <w:rFonts w:cs="Arial" w:hint="cs"/>
          <w:rtl/>
        </w:rPr>
        <w:t>,</w:t>
      </w:r>
      <w:r w:rsidR="00BC2D56" w:rsidRPr="00BC2D56">
        <w:rPr>
          <w:rFonts w:cs="Arial"/>
          <w:rtl/>
        </w:rPr>
        <w:t xml:space="preserve"> אם מתה</w:t>
      </w:r>
      <w:r w:rsidR="00B75D0B">
        <w:rPr>
          <w:rFonts w:cs="Arial" w:hint="cs"/>
          <w:rtl/>
        </w:rPr>
        <w:t xml:space="preserve"> -</w:t>
      </w:r>
      <w:r w:rsidR="00BC2D56" w:rsidRPr="00BC2D56">
        <w:rPr>
          <w:rFonts w:cs="Arial"/>
          <w:rtl/>
        </w:rPr>
        <w:t xml:space="preserve"> לא יירשנה</w:t>
      </w:r>
      <w:r w:rsidR="0080679A">
        <w:rPr>
          <w:rStyle w:val="a7"/>
          <w:rFonts w:cs="Arial"/>
          <w:rtl/>
        </w:rPr>
        <w:footnoteReference w:id="1221"/>
      </w:r>
      <w:r w:rsidR="00B75D0B">
        <w:rPr>
          <w:rFonts w:cs="Arial" w:hint="cs"/>
          <w:rtl/>
        </w:rPr>
        <w:t>.</w:t>
      </w:r>
      <w:r w:rsidR="00BC2D56" w:rsidRPr="00BC2D56">
        <w:rPr>
          <w:rFonts w:cs="Arial"/>
          <w:rtl/>
        </w:rPr>
        <w:t xml:space="preserve"> והחרש שנשא פקחת ומתה </w:t>
      </w:r>
      <w:r w:rsidR="0080679A">
        <w:rPr>
          <w:rFonts w:cs="Arial" w:hint="cs"/>
          <w:rtl/>
        </w:rPr>
        <w:t xml:space="preserve">- </w:t>
      </w:r>
      <w:r w:rsidR="00BC2D56" w:rsidRPr="00BC2D56">
        <w:rPr>
          <w:rFonts w:cs="Arial"/>
          <w:rtl/>
        </w:rPr>
        <w:t>יירשנה, שהרי היא בת דעת</w:t>
      </w:r>
      <w:r w:rsidR="0080679A">
        <w:rPr>
          <w:rFonts w:cs="Arial" w:hint="cs"/>
          <w:rtl/>
        </w:rPr>
        <w:t>,</w:t>
      </w:r>
      <w:r w:rsidR="00BC2D56" w:rsidRPr="00BC2D56">
        <w:rPr>
          <w:rFonts w:cs="Arial"/>
          <w:rtl/>
        </w:rPr>
        <w:t xml:space="preserve"> ולדעתה נשאת</w:t>
      </w:r>
      <w:r w:rsidR="0080679A">
        <w:rPr>
          <w:rFonts w:cs="Arial" w:hint="cs"/>
          <w:rtl/>
        </w:rPr>
        <w:t>,</w:t>
      </w:r>
      <w:r w:rsidR="00BC2D56" w:rsidRPr="00BC2D56">
        <w:rPr>
          <w:rFonts w:cs="Arial"/>
          <w:rtl/>
        </w:rPr>
        <w:t xml:space="preserve"> וזיכתה לו ממונה</w:t>
      </w:r>
      <w:r w:rsidR="00BC2D56">
        <w:rPr>
          <w:rStyle w:val="a7"/>
          <w:rFonts w:cs="Arial"/>
          <w:rtl/>
        </w:rPr>
        <w:footnoteReference w:id="1222"/>
      </w:r>
      <w:r>
        <w:rPr>
          <w:rFonts w:cs="Arial" w:hint="cs"/>
          <w:sz w:val="16"/>
          <w:szCs w:val="16"/>
          <w:rtl/>
        </w:rPr>
        <w:t xml:space="preserve"> </w:t>
      </w:r>
      <w:r w:rsidR="00EF50EC">
        <w:rPr>
          <w:rFonts w:cs="Arial" w:hint="cs"/>
          <w:sz w:val="16"/>
          <w:szCs w:val="16"/>
          <w:rtl/>
        </w:rPr>
        <w:t>(ל' הרמב"ם)</w:t>
      </w:r>
      <w:r w:rsidR="00BC2D56" w:rsidRPr="00BC2D56">
        <w:rPr>
          <w:rFonts w:cs="Arial"/>
          <w:rtl/>
        </w:rPr>
        <w:t xml:space="preserve">. </w:t>
      </w:r>
      <w:r w:rsidR="0095334B" w:rsidRPr="001D67C0">
        <w:rPr>
          <w:rFonts w:hint="cs"/>
          <w:color w:val="E36C0A" w:themeColor="accent6" w:themeShade="BF"/>
          <w:rtl/>
        </w:rPr>
        <w:t>(וכ"פ בשו"ע)</w:t>
      </w:r>
    </w:p>
    <w:p w14:paraId="63217C33" w14:textId="195101B9" w:rsidR="0095334B" w:rsidRDefault="001D5AD0" w:rsidP="009000E3">
      <w:pPr>
        <w:pStyle w:val="ab"/>
        <w:numPr>
          <w:ilvl w:val="0"/>
          <w:numId w:val="55"/>
        </w:numPr>
        <w:rPr>
          <w:rFonts w:cs="Arial"/>
        </w:rPr>
      </w:pPr>
      <w:r>
        <w:rPr>
          <w:rFonts w:cs="Arial" w:hint="cs"/>
          <w:rtl/>
        </w:rPr>
        <w:t xml:space="preserve">ראב"ד </w:t>
      </w:r>
      <w:r>
        <w:rPr>
          <w:rFonts w:cs="Arial" w:hint="cs"/>
          <w:sz w:val="16"/>
          <w:szCs w:val="16"/>
          <w:rtl/>
        </w:rPr>
        <w:t>(שם בהשגות)</w:t>
      </w:r>
      <w:r>
        <w:rPr>
          <w:rFonts w:cs="Arial" w:hint="cs"/>
          <w:rtl/>
        </w:rPr>
        <w:t xml:space="preserve">- </w:t>
      </w:r>
      <w:r w:rsidRPr="00BC2D56">
        <w:rPr>
          <w:rFonts w:cs="Arial"/>
          <w:rtl/>
        </w:rPr>
        <w:t>א</w:t>
      </w:r>
      <w:r>
        <w:rPr>
          <w:rFonts w:cs="Arial" w:hint="cs"/>
          <w:rtl/>
        </w:rPr>
        <w:t>מר אברהם</w:t>
      </w:r>
      <w:r w:rsidRPr="00BC2D56">
        <w:rPr>
          <w:rFonts w:cs="Arial"/>
          <w:rtl/>
        </w:rPr>
        <w:t xml:space="preserve"> המחבר הזה למד ירושה מן הכתובה</w:t>
      </w:r>
      <w:r w:rsidR="00173B80">
        <w:rPr>
          <w:rFonts w:cs="Arial" w:hint="cs"/>
          <w:rtl/>
        </w:rPr>
        <w:t>,</w:t>
      </w:r>
      <w:r w:rsidRPr="00BC2D56">
        <w:rPr>
          <w:rFonts w:cs="Arial"/>
          <w:rtl/>
        </w:rPr>
        <w:t xml:space="preserve"> דכיון דפקח שנשא חרשת לא תקנו לה כתובה מן הסתם</w:t>
      </w:r>
      <w:r w:rsidR="00173B80">
        <w:rPr>
          <w:rFonts w:cs="Arial" w:hint="cs"/>
          <w:rtl/>
        </w:rPr>
        <w:t>,</w:t>
      </w:r>
      <w:r w:rsidRPr="00BC2D56">
        <w:rPr>
          <w:rFonts w:cs="Arial"/>
          <w:rtl/>
        </w:rPr>
        <w:t xml:space="preserve"> אף כאן אינו יורשה</w:t>
      </w:r>
      <w:r w:rsidR="00173B80">
        <w:rPr>
          <w:rFonts w:cs="Arial" w:hint="cs"/>
          <w:rtl/>
        </w:rPr>
        <w:t>.</w:t>
      </w:r>
      <w:r w:rsidRPr="00BC2D56">
        <w:rPr>
          <w:rFonts w:cs="Arial"/>
          <w:rtl/>
        </w:rPr>
        <w:t xml:space="preserve"> וא"כ אף חרש שנשא פקחת כך היא</w:t>
      </w:r>
      <w:r w:rsidR="00173B80">
        <w:rPr>
          <w:rFonts w:cs="Arial" w:hint="cs"/>
          <w:rtl/>
        </w:rPr>
        <w:t>.</w:t>
      </w:r>
      <w:r w:rsidRPr="00BC2D56">
        <w:rPr>
          <w:rFonts w:cs="Arial"/>
          <w:rtl/>
        </w:rPr>
        <w:t xml:space="preserve"> ואי משום שהיא בת דעת ונשאת לו</w:t>
      </w:r>
      <w:r w:rsidR="00173B80">
        <w:rPr>
          <w:rFonts w:cs="Arial" w:hint="cs"/>
          <w:rtl/>
        </w:rPr>
        <w:t>,</w:t>
      </w:r>
      <w:r w:rsidRPr="00BC2D56">
        <w:rPr>
          <w:rFonts w:cs="Arial"/>
          <w:rtl/>
        </w:rPr>
        <w:t xml:space="preserve"> מה שבידה זכתה לו מה שלאחר מיתה לא זכתה לו</w:t>
      </w:r>
      <w:r w:rsidR="00E75EC8">
        <w:rPr>
          <w:rStyle w:val="a7"/>
          <w:rFonts w:cs="Arial"/>
          <w:rtl/>
        </w:rPr>
        <w:footnoteReference w:id="1223"/>
      </w:r>
      <w:r>
        <w:rPr>
          <w:rFonts w:cs="Arial" w:hint="cs"/>
          <w:rtl/>
        </w:rPr>
        <w:t>.</w:t>
      </w:r>
    </w:p>
    <w:p w14:paraId="16A699CE" w14:textId="2075E8DC" w:rsidR="0095334B" w:rsidRPr="0095334B" w:rsidRDefault="0095334B" w:rsidP="0095334B">
      <w:pPr>
        <w:rPr>
          <w:rFonts w:cs="Arial"/>
          <w:u w:val="single"/>
        </w:rPr>
      </w:pPr>
      <w:r w:rsidRPr="0095334B">
        <w:rPr>
          <w:rFonts w:cs="Arial" w:hint="cs"/>
          <w:u w:val="single"/>
          <w:rtl/>
        </w:rPr>
        <w:t>נשא אשה</w:t>
      </w:r>
      <w:r>
        <w:rPr>
          <w:rFonts w:cs="Arial" w:hint="cs"/>
          <w:u w:val="single"/>
          <w:rtl/>
        </w:rPr>
        <w:t>, ולאחר זמן המירה דתה, ומתה</w:t>
      </w:r>
      <w:r w:rsidRPr="0095334B">
        <w:rPr>
          <w:rFonts w:cs="Arial" w:hint="cs"/>
          <w:u w:val="single"/>
          <w:rtl/>
        </w:rPr>
        <w:t xml:space="preserve"> </w:t>
      </w:r>
      <w:r w:rsidR="00F97626">
        <w:rPr>
          <w:rFonts w:cs="Arial"/>
          <w:u w:val="single"/>
          <w:rtl/>
        </w:rPr>
        <w:t>-</w:t>
      </w:r>
      <w:r w:rsidRPr="0095334B">
        <w:rPr>
          <w:rFonts w:cs="Arial" w:hint="cs"/>
          <w:u w:val="single"/>
          <w:rtl/>
        </w:rPr>
        <w:t xml:space="preserve"> האם יורש אותה:</w:t>
      </w:r>
    </w:p>
    <w:p w14:paraId="5303AA56" w14:textId="4D12509D" w:rsidR="00B75D0B" w:rsidRPr="0095334B" w:rsidRDefault="0080679A" w:rsidP="009000E3">
      <w:pPr>
        <w:pStyle w:val="ab"/>
        <w:numPr>
          <w:ilvl w:val="0"/>
          <w:numId w:val="55"/>
        </w:numPr>
        <w:rPr>
          <w:rFonts w:cs="Arial"/>
          <w:rtl/>
        </w:rPr>
      </w:pPr>
      <w:r w:rsidRPr="0095334B">
        <w:rPr>
          <w:rFonts w:cs="Arial" w:hint="cs"/>
          <w:rtl/>
        </w:rPr>
        <w:t xml:space="preserve">ב"י- </w:t>
      </w:r>
      <w:r w:rsidR="00B75D0B" w:rsidRPr="0095334B">
        <w:rPr>
          <w:rFonts w:cs="Arial"/>
          <w:rtl/>
        </w:rPr>
        <w:t>מצאתי כתוב שהשיב אבי העזרי שהבעל יורש את אשתו המשומדת</w:t>
      </w:r>
      <w:r w:rsidRPr="0095334B">
        <w:rPr>
          <w:rFonts w:cs="Arial" w:hint="cs"/>
          <w:rtl/>
        </w:rPr>
        <w:t>.</w:t>
      </w:r>
      <w:r w:rsidR="0095334B">
        <w:rPr>
          <w:rFonts w:cs="Arial" w:hint="cs"/>
          <w:rtl/>
        </w:rPr>
        <w:t xml:space="preserve"> </w:t>
      </w:r>
      <w:r w:rsidR="0095334B" w:rsidRPr="0095334B">
        <w:rPr>
          <w:rFonts w:cs="Arial" w:hint="cs"/>
          <w:color w:val="00B0F0"/>
          <w:rtl/>
        </w:rPr>
        <w:t>(וכ"פ הרמ"א)</w:t>
      </w:r>
    </w:p>
    <w:p w14:paraId="0A6DCD29" w14:textId="77777777" w:rsidR="00EB79BF" w:rsidRDefault="00EB79BF" w:rsidP="00EB79BF">
      <w:pPr>
        <w:rPr>
          <w:rFonts w:cs="Arial"/>
          <w:rtl/>
        </w:rPr>
      </w:pPr>
      <w:r w:rsidRPr="003024E5">
        <w:rPr>
          <w:rFonts w:asciiTheme="minorBidi" w:hAnsiTheme="minorBidi"/>
          <w:b/>
          <w:bCs/>
          <w:color w:val="000000"/>
          <w:sz w:val="28"/>
          <w:szCs w:val="28"/>
          <w:u w:val="single"/>
          <w:rtl/>
        </w:rPr>
        <w:t>שו"ע:</w:t>
      </w:r>
    </w:p>
    <w:p w14:paraId="63949188" w14:textId="6141AE8D" w:rsidR="00EB79BF" w:rsidRDefault="00EB79BF" w:rsidP="00EB79BF">
      <w:pPr>
        <w:rPr>
          <w:rFonts w:cs="Arial"/>
          <w:rtl/>
        </w:rPr>
      </w:pPr>
      <w:r w:rsidRPr="00EB79BF">
        <w:rPr>
          <w:rFonts w:cs="Arial"/>
          <w:rtl/>
        </w:rPr>
        <w:t>הנושא אשה מחייבי לאוין, הואיל וקדושין תופסין בה</w:t>
      </w:r>
      <w:r w:rsidR="00E33D5F">
        <w:rPr>
          <w:rStyle w:val="a7"/>
          <w:rFonts w:cs="Arial"/>
          <w:rtl/>
        </w:rPr>
        <w:footnoteReference w:id="1224"/>
      </w:r>
      <w:r w:rsidRPr="00EB79BF">
        <w:rPr>
          <w:rFonts w:cs="Arial"/>
          <w:rtl/>
        </w:rPr>
        <w:t xml:space="preserve">, אם מתה תחתיו, יירשנה. </w:t>
      </w:r>
      <w:r w:rsidR="00FA43C3" w:rsidRPr="00FA43C3">
        <w:rPr>
          <w:rFonts w:cs="Arial" w:hint="cs"/>
          <w:sz w:val="18"/>
          <w:szCs w:val="18"/>
          <w:rtl/>
        </w:rPr>
        <w:t xml:space="preserve">[הגה] </w:t>
      </w:r>
      <w:r w:rsidRPr="00FA43C3">
        <w:rPr>
          <w:rFonts w:cs="Arial"/>
          <w:sz w:val="18"/>
          <w:szCs w:val="18"/>
          <w:rtl/>
        </w:rPr>
        <w:t>וכן אשה שהמירה, הבעל יורשה (ב"י בשם אבי העזרי).</w:t>
      </w:r>
      <w:r w:rsidRPr="00EB79BF">
        <w:rPr>
          <w:rFonts w:cs="Arial"/>
          <w:rtl/>
        </w:rPr>
        <w:t xml:space="preserve"> וכן הנושא את הקטנה שהיא צריכה מיאון, אף ע</w:t>
      </w:r>
      <w:r w:rsidR="00FA43C3">
        <w:rPr>
          <w:rFonts w:cs="Arial" w:hint="cs"/>
          <w:rtl/>
        </w:rPr>
        <w:t xml:space="preserve">ל </w:t>
      </w:r>
      <w:r w:rsidRPr="00EB79BF">
        <w:rPr>
          <w:rFonts w:cs="Arial"/>
          <w:rtl/>
        </w:rPr>
        <w:t>פ</w:t>
      </w:r>
      <w:r w:rsidR="00FA43C3">
        <w:rPr>
          <w:rFonts w:cs="Arial" w:hint="cs"/>
          <w:rtl/>
        </w:rPr>
        <w:t>י</w:t>
      </w:r>
      <w:r w:rsidRPr="00EB79BF">
        <w:rPr>
          <w:rFonts w:cs="Arial"/>
          <w:rtl/>
        </w:rPr>
        <w:t xml:space="preserve"> שאין קדושיה קדושין גמורים, אם מתה תחתיו, יירשנה. אבל הפקח שנשא חרשת, אפילו נתפקחה אחר שנשאת</w:t>
      </w:r>
      <w:r w:rsidR="00E75EC8">
        <w:rPr>
          <w:rStyle w:val="a7"/>
          <w:rFonts w:cs="Arial"/>
          <w:rtl/>
        </w:rPr>
        <w:footnoteReference w:id="1225"/>
      </w:r>
      <w:r w:rsidRPr="00EB79BF">
        <w:rPr>
          <w:rFonts w:cs="Arial"/>
          <w:rtl/>
        </w:rPr>
        <w:t xml:space="preserve">, אם מתה לא יירשנה. והחרש שנשא פקחת, ומתה, יירשנה, שהרי היא בת דעת ולדעתה נשאת לו וזיכתה לו ממונה. </w:t>
      </w:r>
    </w:p>
    <w:p w14:paraId="1DFBDD35" w14:textId="77777777" w:rsidR="00FA43C3" w:rsidRPr="00EB79BF" w:rsidRDefault="00FA43C3" w:rsidP="00EB79BF">
      <w:pPr>
        <w:rPr>
          <w:rFonts w:cs="Arial"/>
          <w:rtl/>
        </w:rPr>
      </w:pPr>
    </w:p>
    <w:p w14:paraId="559FE818" w14:textId="49EB910A" w:rsidR="00EB79BF" w:rsidRDefault="00EB79BF" w:rsidP="000F64D0">
      <w:pPr>
        <w:pStyle w:val="2"/>
        <w:rPr>
          <w:rtl/>
        </w:rPr>
      </w:pPr>
      <w:r w:rsidRPr="00EB79BF">
        <w:rPr>
          <w:rtl/>
        </w:rPr>
        <w:t>סעיף ד</w:t>
      </w:r>
      <w:r w:rsidR="00EF50EC">
        <w:rPr>
          <w:rFonts w:hint="cs"/>
          <w:rtl/>
        </w:rPr>
        <w:t>:</w:t>
      </w:r>
      <w:r w:rsidR="00683023" w:rsidRPr="00683023">
        <w:rPr>
          <w:rtl/>
        </w:rPr>
        <w:t xml:space="preserve"> </w:t>
      </w:r>
      <w:r w:rsidR="00683023" w:rsidRPr="00BC2D56">
        <w:rPr>
          <w:rtl/>
        </w:rPr>
        <w:t>קטנה שנתקדשה לדעת אביה ונשאת שלא לדעת אביה</w:t>
      </w:r>
      <w:r w:rsidR="00683023">
        <w:rPr>
          <w:rFonts w:hint="cs"/>
          <w:rtl/>
        </w:rPr>
        <w:t>.</w:t>
      </w:r>
    </w:p>
    <w:p w14:paraId="4C6B589F" w14:textId="4B0585A7" w:rsidR="002172B8" w:rsidRDefault="00683023" w:rsidP="002172B8">
      <w:pPr>
        <w:rPr>
          <w:rtl/>
        </w:rPr>
      </w:pPr>
      <w:r w:rsidRPr="00683023">
        <w:rPr>
          <w:rFonts w:cs="Arial" w:hint="cs"/>
          <w:b/>
          <w:bCs/>
          <w:rtl/>
        </w:rPr>
        <w:t xml:space="preserve">קידושין </w:t>
      </w:r>
      <w:r>
        <w:rPr>
          <w:rFonts w:cs="Arial" w:hint="cs"/>
          <w:b/>
          <w:bCs/>
          <w:sz w:val="16"/>
          <w:szCs w:val="16"/>
          <w:rtl/>
        </w:rPr>
        <w:t>(פ' האיש המקדש)</w:t>
      </w:r>
      <w:r>
        <w:rPr>
          <w:rFonts w:cs="Arial" w:hint="cs"/>
          <w:b/>
          <w:bCs/>
          <w:rtl/>
        </w:rPr>
        <w:t xml:space="preserve"> </w:t>
      </w:r>
      <w:r w:rsidRPr="00683023">
        <w:rPr>
          <w:rFonts w:cs="Arial" w:hint="cs"/>
          <w:b/>
          <w:bCs/>
          <w:rtl/>
        </w:rPr>
        <w:t>מה</w:t>
      </w:r>
      <w:r w:rsidR="009A283A">
        <w:rPr>
          <w:rStyle w:val="a7"/>
          <w:rFonts w:cs="Arial"/>
          <w:b/>
          <w:bCs/>
          <w:rtl/>
        </w:rPr>
        <w:footnoteReference w:id="1226"/>
      </w:r>
      <w:r w:rsidRPr="00683023">
        <w:rPr>
          <w:rFonts w:cs="Arial" w:hint="cs"/>
          <w:b/>
          <w:bCs/>
          <w:rtl/>
        </w:rPr>
        <w:t xml:space="preserve"> ע"ב: </w:t>
      </w:r>
      <w:r w:rsidR="002172B8" w:rsidRPr="002172B8">
        <w:rPr>
          <w:rFonts w:cs="Arial"/>
          <w:rtl/>
        </w:rPr>
        <w:t>נתקדשה לדעת אביה, והלך אביה למדינת הים ועמדה ונישאת</w:t>
      </w:r>
      <w:r>
        <w:rPr>
          <w:rFonts w:cs="Arial" w:hint="cs"/>
          <w:rtl/>
        </w:rPr>
        <w:t>.</w:t>
      </w:r>
      <w:r w:rsidR="002172B8" w:rsidRPr="002172B8">
        <w:rPr>
          <w:rFonts w:cs="Arial"/>
          <w:rtl/>
        </w:rPr>
        <w:t xml:space="preserve"> </w:t>
      </w:r>
      <w:r w:rsidR="002172B8" w:rsidRPr="00683023">
        <w:rPr>
          <w:rFonts w:cs="Arial"/>
          <w:u w:val="single"/>
          <w:rtl/>
        </w:rPr>
        <w:t>אמר רב</w:t>
      </w:r>
      <w:r w:rsidR="002172B8" w:rsidRPr="002172B8">
        <w:rPr>
          <w:rFonts w:cs="Arial"/>
          <w:rtl/>
        </w:rPr>
        <w:t>: אוכלת בתרומה עד שיבא אביה וימחה</w:t>
      </w:r>
      <w:r>
        <w:rPr>
          <w:rFonts w:cs="Arial" w:hint="cs"/>
          <w:rtl/>
        </w:rPr>
        <w:t>.</w:t>
      </w:r>
      <w:r w:rsidR="002172B8" w:rsidRPr="002172B8">
        <w:rPr>
          <w:rFonts w:cs="Arial"/>
          <w:rtl/>
        </w:rPr>
        <w:t xml:space="preserve"> </w:t>
      </w:r>
      <w:r w:rsidR="002172B8" w:rsidRPr="00683023">
        <w:rPr>
          <w:rFonts w:cs="Arial"/>
          <w:u w:val="single"/>
          <w:rtl/>
        </w:rPr>
        <w:t>רב אסי אמר</w:t>
      </w:r>
      <w:r w:rsidR="002172B8" w:rsidRPr="002172B8">
        <w:rPr>
          <w:rFonts w:cs="Arial"/>
          <w:rtl/>
        </w:rPr>
        <w:t xml:space="preserve">: אינה אוכלת, שמא יבוא אביה וימחה, ונמצאת זרה אוכלת בתרומה למפרע. הוה עובדא, וחש לה רב להא דרב אסי. </w:t>
      </w:r>
      <w:r w:rsidR="002172B8" w:rsidRPr="00683023">
        <w:rPr>
          <w:rFonts w:cs="Arial"/>
          <w:u w:val="single"/>
          <w:rtl/>
        </w:rPr>
        <w:t>אמר רב שמואל בר רב יצחק</w:t>
      </w:r>
      <w:r w:rsidR="002172B8" w:rsidRPr="002172B8">
        <w:rPr>
          <w:rFonts w:cs="Arial"/>
          <w:rtl/>
        </w:rPr>
        <w:t>: ומודה רב, שאם מתה אינו יורשה, אוקי ממונא בחזקת מריה. נתקדשה לדעת וניסת שלא לדעת, ואביה כאן</w:t>
      </w:r>
      <w:r>
        <w:rPr>
          <w:rFonts w:cs="Arial" w:hint="cs"/>
          <w:rtl/>
        </w:rPr>
        <w:t>.</w:t>
      </w:r>
      <w:r w:rsidR="002172B8" w:rsidRPr="002172B8">
        <w:rPr>
          <w:rFonts w:cs="Arial"/>
          <w:rtl/>
        </w:rPr>
        <w:t xml:space="preserve"> </w:t>
      </w:r>
      <w:r w:rsidR="002172B8" w:rsidRPr="00683023">
        <w:rPr>
          <w:rFonts w:cs="Arial"/>
          <w:u w:val="single"/>
          <w:rtl/>
        </w:rPr>
        <w:t>רב הונא אמר</w:t>
      </w:r>
      <w:r w:rsidR="002172B8" w:rsidRPr="002172B8">
        <w:rPr>
          <w:rFonts w:cs="Arial"/>
          <w:rtl/>
        </w:rPr>
        <w:t>: אינה אוכלת</w:t>
      </w:r>
      <w:r>
        <w:rPr>
          <w:rFonts w:cs="Arial" w:hint="cs"/>
          <w:rtl/>
        </w:rPr>
        <w:t>.</w:t>
      </w:r>
      <w:r w:rsidR="002172B8" w:rsidRPr="002172B8">
        <w:rPr>
          <w:rFonts w:cs="Arial"/>
          <w:rtl/>
        </w:rPr>
        <w:t xml:space="preserve"> </w:t>
      </w:r>
      <w:r w:rsidR="002172B8" w:rsidRPr="00683023">
        <w:rPr>
          <w:rFonts w:cs="Arial"/>
          <w:u w:val="single"/>
          <w:rtl/>
        </w:rPr>
        <w:t>רב ירמיה בר אבא אמ</w:t>
      </w:r>
      <w:r w:rsidR="002172B8" w:rsidRPr="002172B8">
        <w:rPr>
          <w:rFonts w:cs="Arial"/>
          <w:rtl/>
        </w:rPr>
        <w:t xml:space="preserve">ר: אוכלת. רב הונא אמר: אינה אוכלת, ואפי' לרב דאמר אוכלת, התם הוא דלא איתיה לאב, אבל הכא דאיתיה </w:t>
      </w:r>
      <w:r w:rsidR="002172B8" w:rsidRPr="002172B8">
        <w:rPr>
          <w:rFonts w:cs="Arial"/>
          <w:rtl/>
        </w:rPr>
        <w:lastRenderedPageBreak/>
        <w:t>לאב, האי דאישתיק - מירתח רתח</w:t>
      </w:r>
      <w:r w:rsidR="00F7391E">
        <w:rPr>
          <w:rFonts w:cs="Arial" w:hint="cs"/>
          <w:rtl/>
        </w:rPr>
        <w:t>.</w:t>
      </w:r>
      <w:r w:rsidR="002172B8" w:rsidRPr="002172B8">
        <w:rPr>
          <w:rFonts w:cs="Arial"/>
          <w:rtl/>
        </w:rPr>
        <w:t xml:space="preserve"> רב ירמיה בר אבא אמר: אוכלת, ואפי' לרב אסי דאמר אינה אוכלת, התם הוא דשמא יבוא אביה וימחה, אבל הכא מדשתיק - איתנוחי איתנחא ליה.</w:t>
      </w:r>
    </w:p>
    <w:p w14:paraId="25E8DB88" w14:textId="18B3E2A8" w:rsidR="00173B80" w:rsidRPr="00683023" w:rsidRDefault="00683023" w:rsidP="00683023">
      <w:pPr>
        <w:rPr>
          <w:u w:val="single"/>
          <w:rtl/>
        </w:rPr>
      </w:pPr>
      <w:r w:rsidRPr="00683023">
        <w:rPr>
          <w:rFonts w:cs="Arial"/>
          <w:u w:val="single"/>
          <w:rtl/>
        </w:rPr>
        <w:t>קטנה שנתקדשה לדעת אביה ונשאת שלא לדעת אביה</w:t>
      </w:r>
      <w:r w:rsidRPr="00683023">
        <w:rPr>
          <w:rFonts w:hint="cs"/>
          <w:u w:val="single"/>
          <w:rtl/>
        </w:rPr>
        <w:t>:</w:t>
      </w:r>
    </w:p>
    <w:p w14:paraId="1D57FBC0" w14:textId="00E4DA04" w:rsidR="00EF50EC" w:rsidRPr="00EF50EC" w:rsidRDefault="00EF50EC" w:rsidP="009000E3">
      <w:pPr>
        <w:pStyle w:val="ab"/>
        <w:numPr>
          <w:ilvl w:val="0"/>
          <w:numId w:val="55"/>
        </w:numPr>
        <w:rPr>
          <w:rFonts w:cs="Arial"/>
          <w:rtl/>
        </w:rPr>
      </w:pPr>
      <w:r w:rsidRPr="006262B5">
        <w:rPr>
          <w:rFonts w:cs="Arial"/>
          <w:rtl/>
        </w:rPr>
        <w:t xml:space="preserve">רמב"ם </w:t>
      </w:r>
      <w:r w:rsidRPr="002A138F">
        <w:rPr>
          <w:rFonts w:cs="Arial" w:hint="cs"/>
          <w:sz w:val="16"/>
          <w:szCs w:val="16"/>
          <w:rtl/>
        </w:rPr>
        <w:t>(</w:t>
      </w:r>
      <w:r w:rsidRPr="002A138F">
        <w:rPr>
          <w:rFonts w:cs="Arial"/>
          <w:sz w:val="16"/>
          <w:szCs w:val="16"/>
          <w:rtl/>
        </w:rPr>
        <w:t>פכ"ב מ</w:t>
      </w:r>
      <w:r w:rsidRPr="002A138F">
        <w:rPr>
          <w:rFonts w:cs="Arial" w:hint="cs"/>
          <w:sz w:val="16"/>
          <w:szCs w:val="16"/>
          <w:rtl/>
        </w:rPr>
        <w:t>א</w:t>
      </w:r>
      <w:r w:rsidRPr="002A138F">
        <w:rPr>
          <w:rFonts w:cs="Arial"/>
          <w:sz w:val="16"/>
          <w:szCs w:val="16"/>
          <w:rtl/>
        </w:rPr>
        <w:t>ישות ה</w:t>
      </w:r>
      <w:r>
        <w:rPr>
          <w:rFonts w:cs="Arial" w:hint="cs"/>
          <w:sz w:val="16"/>
          <w:szCs w:val="16"/>
          <w:rtl/>
        </w:rPr>
        <w:t>"</w:t>
      </w:r>
      <w:r w:rsidR="00A90437">
        <w:rPr>
          <w:rFonts w:cs="Arial" w:hint="cs"/>
          <w:sz w:val="16"/>
          <w:szCs w:val="16"/>
          <w:rtl/>
        </w:rPr>
        <w:t>ה</w:t>
      </w:r>
      <w:r w:rsidRPr="002A138F">
        <w:rPr>
          <w:rFonts w:cs="Arial"/>
          <w:sz w:val="16"/>
          <w:szCs w:val="16"/>
          <w:rtl/>
        </w:rPr>
        <w:t>)</w:t>
      </w:r>
      <w:r w:rsidRPr="002A138F">
        <w:rPr>
          <w:rFonts w:cs="Arial" w:hint="cs"/>
          <w:sz w:val="16"/>
          <w:szCs w:val="16"/>
          <w:rtl/>
        </w:rPr>
        <w:t xml:space="preserve"> </w:t>
      </w:r>
      <w:r>
        <w:rPr>
          <w:rFonts w:cs="Arial" w:hint="cs"/>
          <w:rtl/>
        </w:rPr>
        <w:t xml:space="preserve">וטור- </w:t>
      </w:r>
      <w:r w:rsidRPr="00BC2D56">
        <w:rPr>
          <w:rFonts w:cs="Arial"/>
          <w:rtl/>
        </w:rPr>
        <w:t>קטנה שנתקדשה לדעת אביה ונשאת שלא לדעת אביה בין בפניו בין שלא בפניו יכול האב למחות כמו שביארנו, ואפילו שתק האב</w:t>
      </w:r>
      <w:r w:rsidR="00F7391E">
        <w:rPr>
          <w:rFonts w:cs="Arial" w:hint="cs"/>
          <w:rtl/>
        </w:rPr>
        <w:t>,</w:t>
      </w:r>
      <w:r w:rsidRPr="00BC2D56">
        <w:rPr>
          <w:rFonts w:cs="Arial"/>
          <w:rtl/>
        </w:rPr>
        <w:t xml:space="preserve"> אם מתה </w:t>
      </w:r>
      <w:r w:rsidR="00F7391E">
        <w:rPr>
          <w:rFonts w:cs="Arial" w:hint="cs"/>
          <w:rtl/>
        </w:rPr>
        <w:t xml:space="preserve">- </w:t>
      </w:r>
      <w:r w:rsidRPr="00BC2D56">
        <w:rPr>
          <w:rFonts w:cs="Arial"/>
          <w:rtl/>
        </w:rPr>
        <w:t>אין הבעל יורשה אא</w:t>
      </w:r>
      <w:r w:rsidR="00974BC5">
        <w:rPr>
          <w:rFonts w:cs="Arial" w:hint="cs"/>
          <w:rtl/>
        </w:rPr>
        <w:t>"</w:t>
      </w:r>
      <w:r w:rsidRPr="00BC2D56">
        <w:rPr>
          <w:rFonts w:cs="Arial"/>
          <w:rtl/>
        </w:rPr>
        <w:t>כ רצה האב בנישואיה</w:t>
      </w:r>
      <w:r w:rsidR="00683023">
        <w:rPr>
          <w:rStyle w:val="a7"/>
          <w:rFonts w:cs="Arial"/>
          <w:rtl/>
        </w:rPr>
        <w:footnoteReference w:id="1227"/>
      </w:r>
      <w:r>
        <w:rPr>
          <w:rFonts w:cs="Arial" w:hint="cs"/>
          <w:sz w:val="16"/>
          <w:szCs w:val="16"/>
          <w:rtl/>
        </w:rPr>
        <w:t xml:space="preserve"> (ל' הרמב"ם)</w:t>
      </w:r>
      <w:r w:rsidRPr="00BC2D56">
        <w:rPr>
          <w:rFonts w:cs="Arial"/>
          <w:rtl/>
        </w:rPr>
        <w:t xml:space="preserve">. </w:t>
      </w:r>
      <w:r w:rsidR="00CD2C4F" w:rsidRPr="001D67C0">
        <w:rPr>
          <w:rFonts w:hint="cs"/>
          <w:color w:val="E36C0A" w:themeColor="accent6" w:themeShade="BF"/>
          <w:rtl/>
        </w:rPr>
        <w:t>(וכ"פ בשו"ע)</w:t>
      </w:r>
    </w:p>
    <w:p w14:paraId="316455DE" w14:textId="77777777" w:rsidR="00EB79BF" w:rsidRDefault="00EB79BF" w:rsidP="00EB79BF">
      <w:pPr>
        <w:rPr>
          <w:rFonts w:cs="Arial"/>
          <w:rtl/>
        </w:rPr>
      </w:pPr>
      <w:r w:rsidRPr="003024E5">
        <w:rPr>
          <w:rFonts w:asciiTheme="minorBidi" w:hAnsiTheme="minorBidi"/>
          <w:b/>
          <w:bCs/>
          <w:color w:val="000000"/>
          <w:sz w:val="28"/>
          <w:szCs w:val="28"/>
          <w:u w:val="single"/>
          <w:rtl/>
        </w:rPr>
        <w:t>שו"ע:</w:t>
      </w:r>
    </w:p>
    <w:p w14:paraId="7297CAD0" w14:textId="3A995177" w:rsidR="00EB79BF" w:rsidRDefault="00EB79BF" w:rsidP="00EB79BF">
      <w:pPr>
        <w:rPr>
          <w:rFonts w:cs="Arial"/>
          <w:rtl/>
        </w:rPr>
      </w:pPr>
      <w:r w:rsidRPr="00EB79BF">
        <w:rPr>
          <w:rFonts w:cs="Arial"/>
          <w:rtl/>
        </w:rPr>
        <w:t>קטנה שנתקדשה לדעת אביה, ונשאת שלא לדעת אביה, בין בפניו בין שלא בפניו, אפילו שתק האב</w:t>
      </w:r>
      <w:r w:rsidR="00F7391E">
        <w:rPr>
          <w:rStyle w:val="a7"/>
          <w:rFonts w:cs="Arial"/>
          <w:rtl/>
        </w:rPr>
        <w:footnoteReference w:id="1228"/>
      </w:r>
      <w:r w:rsidRPr="00EB79BF">
        <w:rPr>
          <w:rFonts w:cs="Arial"/>
          <w:rtl/>
        </w:rPr>
        <w:t>, אם מתה, אין הבעל יורשה א</w:t>
      </w:r>
      <w:r w:rsidR="00E75EC8">
        <w:rPr>
          <w:rFonts w:cs="Arial" w:hint="cs"/>
          <w:rtl/>
        </w:rPr>
        <w:t xml:space="preserve">לא </w:t>
      </w:r>
      <w:r w:rsidRPr="00EB79BF">
        <w:rPr>
          <w:rFonts w:cs="Arial"/>
          <w:rtl/>
        </w:rPr>
        <w:t>א</w:t>
      </w:r>
      <w:r w:rsidR="00E75EC8">
        <w:rPr>
          <w:rFonts w:cs="Arial" w:hint="cs"/>
          <w:rtl/>
        </w:rPr>
        <w:t xml:space="preserve">ם </w:t>
      </w:r>
      <w:r w:rsidRPr="00EB79BF">
        <w:rPr>
          <w:rFonts w:cs="Arial"/>
          <w:rtl/>
        </w:rPr>
        <w:t>כ</w:t>
      </w:r>
      <w:r w:rsidR="00E75EC8">
        <w:rPr>
          <w:rFonts w:cs="Arial" w:hint="cs"/>
          <w:rtl/>
        </w:rPr>
        <w:t>ן</w:t>
      </w:r>
      <w:r w:rsidRPr="00EB79BF">
        <w:rPr>
          <w:rFonts w:cs="Arial"/>
          <w:rtl/>
        </w:rPr>
        <w:t xml:space="preserve"> רצה האב בנשואים. </w:t>
      </w:r>
    </w:p>
    <w:p w14:paraId="501A4EF2" w14:textId="77777777" w:rsidR="00FA43C3" w:rsidRPr="00EB79BF" w:rsidRDefault="00FA43C3" w:rsidP="00EB79BF">
      <w:pPr>
        <w:rPr>
          <w:rFonts w:cs="Arial"/>
          <w:rtl/>
        </w:rPr>
      </w:pPr>
    </w:p>
    <w:p w14:paraId="444C958F" w14:textId="39C22EFF" w:rsidR="00EB79BF" w:rsidRDefault="00EB79BF" w:rsidP="000F64D0">
      <w:pPr>
        <w:pStyle w:val="2"/>
        <w:rPr>
          <w:rtl/>
        </w:rPr>
      </w:pPr>
      <w:r w:rsidRPr="00EB79BF">
        <w:rPr>
          <w:rtl/>
        </w:rPr>
        <w:t>סעיף ה</w:t>
      </w:r>
      <w:r w:rsidR="00F5507E">
        <w:rPr>
          <w:rFonts w:hint="cs"/>
          <w:rtl/>
        </w:rPr>
        <w:t xml:space="preserve">: </w:t>
      </w:r>
      <w:r w:rsidR="00643EFE">
        <w:rPr>
          <w:rFonts w:hint="cs"/>
          <w:rtl/>
        </w:rPr>
        <w:t>נתגרשה בספק</w:t>
      </w:r>
      <w:r w:rsidR="00237455">
        <w:rPr>
          <w:rFonts w:hint="cs"/>
          <w:rtl/>
        </w:rPr>
        <w:t>.</w:t>
      </w:r>
    </w:p>
    <w:p w14:paraId="6991B551" w14:textId="08BA119E" w:rsidR="0024428C" w:rsidRDefault="0024428C" w:rsidP="0024428C">
      <w:pPr>
        <w:rPr>
          <w:rtl/>
        </w:rPr>
      </w:pPr>
      <w:r w:rsidRPr="00683023">
        <w:rPr>
          <w:rFonts w:cs="Arial" w:hint="cs"/>
          <w:b/>
          <w:bCs/>
          <w:rtl/>
        </w:rPr>
        <w:t xml:space="preserve">קידושין </w:t>
      </w:r>
      <w:r>
        <w:rPr>
          <w:rFonts w:cs="Arial" w:hint="cs"/>
          <w:b/>
          <w:bCs/>
          <w:sz w:val="16"/>
          <w:szCs w:val="16"/>
          <w:rtl/>
        </w:rPr>
        <w:t>(פ' האיש המקדש)</w:t>
      </w:r>
      <w:r>
        <w:rPr>
          <w:rFonts w:cs="Arial" w:hint="cs"/>
          <w:b/>
          <w:bCs/>
          <w:rtl/>
        </w:rPr>
        <w:t xml:space="preserve"> </w:t>
      </w:r>
      <w:r w:rsidRPr="00683023">
        <w:rPr>
          <w:rFonts w:cs="Arial" w:hint="cs"/>
          <w:b/>
          <w:bCs/>
          <w:rtl/>
        </w:rPr>
        <w:t xml:space="preserve">מה ע"ב: </w:t>
      </w:r>
      <w:r w:rsidRPr="002172B8">
        <w:rPr>
          <w:rFonts w:cs="Arial"/>
          <w:rtl/>
        </w:rPr>
        <w:t>נתקדשה לדעת אביה, והלך אביה למדינת הים ועמדה ונישאת</w:t>
      </w:r>
      <w:r>
        <w:rPr>
          <w:rFonts w:cs="Arial" w:hint="cs"/>
          <w:rtl/>
        </w:rPr>
        <w:t>.</w:t>
      </w:r>
      <w:r w:rsidRPr="002172B8">
        <w:rPr>
          <w:rFonts w:cs="Arial"/>
          <w:rtl/>
        </w:rPr>
        <w:t xml:space="preserve"> </w:t>
      </w:r>
      <w:r w:rsidRPr="00683023">
        <w:rPr>
          <w:rFonts w:cs="Arial"/>
          <w:u w:val="single"/>
          <w:rtl/>
        </w:rPr>
        <w:t>אמר רב</w:t>
      </w:r>
      <w:r w:rsidRPr="002172B8">
        <w:rPr>
          <w:rFonts w:cs="Arial"/>
          <w:rtl/>
        </w:rPr>
        <w:t>: אוכלת בתרומה עד שיבא אביה וימחה</w:t>
      </w:r>
      <w:r>
        <w:rPr>
          <w:rFonts w:cs="Arial" w:hint="cs"/>
          <w:rtl/>
        </w:rPr>
        <w:t>.</w:t>
      </w:r>
      <w:r w:rsidRPr="002172B8">
        <w:rPr>
          <w:rFonts w:cs="Arial"/>
          <w:rtl/>
        </w:rPr>
        <w:t xml:space="preserve"> </w:t>
      </w:r>
      <w:r w:rsidRPr="00683023">
        <w:rPr>
          <w:rFonts w:cs="Arial"/>
          <w:u w:val="single"/>
          <w:rtl/>
        </w:rPr>
        <w:t>רב אסי אמר</w:t>
      </w:r>
      <w:r w:rsidRPr="002172B8">
        <w:rPr>
          <w:rFonts w:cs="Arial"/>
          <w:rtl/>
        </w:rPr>
        <w:t xml:space="preserve">: אינה אוכלת, שמא יבוא אביה וימחה, ונמצאת זרה אוכלת בתרומה למפרע. הוה עובדא, וחש לה רב להא דרב אסי. </w:t>
      </w:r>
      <w:r w:rsidRPr="00683023">
        <w:rPr>
          <w:rFonts w:cs="Arial"/>
          <w:u w:val="single"/>
          <w:rtl/>
        </w:rPr>
        <w:t>אמר רב שמואל בר רב יצחק</w:t>
      </w:r>
      <w:r w:rsidRPr="002172B8">
        <w:rPr>
          <w:rFonts w:cs="Arial"/>
          <w:rtl/>
        </w:rPr>
        <w:t>: ומודה רב, שאם מתה אינו יורשה, אוקי ממונא בחזקת מריה.</w:t>
      </w:r>
      <w:r w:rsidRPr="0024428C">
        <w:rPr>
          <w:rFonts w:cs="Arial"/>
          <w:rtl/>
        </w:rPr>
        <w:t xml:space="preserve"> </w:t>
      </w:r>
      <w:r w:rsidRPr="0024428C">
        <w:rPr>
          <w:rFonts w:cs="Arial" w:hint="cs"/>
          <w:sz w:val="16"/>
          <w:szCs w:val="16"/>
          <w:rtl/>
        </w:rPr>
        <w:t>(</w:t>
      </w:r>
      <w:r>
        <w:rPr>
          <w:rFonts w:cs="Arial" w:hint="cs"/>
          <w:sz w:val="16"/>
          <w:szCs w:val="16"/>
          <w:rtl/>
        </w:rPr>
        <w:t xml:space="preserve">הביא הה"מ (הל' נחלות פ"א ה"ט) גמ' זו </w:t>
      </w:r>
      <w:r w:rsidRPr="0024428C">
        <w:rPr>
          <w:rFonts w:cs="Arial"/>
          <w:sz w:val="16"/>
          <w:szCs w:val="16"/>
          <w:rtl/>
        </w:rPr>
        <w:t xml:space="preserve">וכתב </w:t>
      </w:r>
      <w:r>
        <w:rPr>
          <w:rFonts w:cs="Arial" w:hint="cs"/>
          <w:sz w:val="16"/>
          <w:szCs w:val="16"/>
          <w:rtl/>
        </w:rPr>
        <w:t>שמכאן הוכיח ה</w:t>
      </w:r>
      <w:r w:rsidRPr="0024428C">
        <w:rPr>
          <w:rFonts w:cs="Arial"/>
          <w:sz w:val="16"/>
          <w:szCs w:val="16"/>
          <w:rtl/>
        </w:rPr>
        <w:t>ע</w:t>
      </w:r>
      <w:r>
        <w:rPr>
          <w:rFonts w:cs="Arial" w:hint="cs"/>
          <w:sz w:val="16"/>
          <w:szCs w:val="16"/>
          <w:rtl/>
        </w:rPr>
        <w:t>י</w:t>
      </w:r>
      <w:r w:rsidRPr="0024428C">
        <w:rPr>
          <w:rFonts w:cs="Arial"/>
          <w:sz w:val="16"/>
          <w:szCs w:val="16"/>
          <w:rtl/>
        </w:rPr>
        <w:t xml:space="preserve">טור דכל ספק קדושין וספק גירושין ומתה </w:t>
      </w:r>
      <w:r w:rsidR="009A283A">
        <w:rPr>
          <w:rFonts w:cs="Arial" w:hint="cs"/>
          <w:sz w:val="16"/>
          <w:szCs w:val="16"/>
          <w:rtl/>
        </w:rPr>
        <w:t xml:space="preserve">- </w:t>
      </w:r>
      <w:r w:rsidRPr="0024428C">
        <w:rPr>
          <w:rFonts w:cs="Arial"/>
          <w:sz w:val="16"/>
          <w:szCs w:val="16"/>
          <w:rtl/>
        </w:rPr>
        <w:t>אין הבעל יורש</w:t>
      </w:r>
      <w:r>
        <w:rPr>
          <w:rFonts w:cs="Arial" w:hint="cs"/>
          <w:sz w:val="16"/>
          <w:szCs w:val="16"/>
          <w:rtl/>
        </w:rPr>
        <w:t>ה,</w:t>
      </w:r>
      <w:r w:rsidRPr="0024428C">
        <w:rPr>
          <w:rFonts w:cs="Arial"/>
          <w:sz w:val="16"/>
          <w:szCs w:val="16"/>
          <w:rtl/>
        </w:rPr>
        <w:t xml:space="preserve"> וכן הוא דעת רבינו</w:t>
      </w:r>
      <w:r>
        <w:rPr>
          <w:rFonts w:cs="Arial" w:hint="cs"/>
          <w:sz w:val="14"/>
          <w:szCs w:val="14"/>
          <w:rtl/>
        </w:rPr>
        <w:t xml:space="preserve"> {הרמב"ם}</w:t>
      </w:r>
      <w:r w:rsidRPr="0024428C">
        <w:rPr>
          <w:rFonts w:cs="Arial" w:hint="cs"/>
          <w:sz w:val="16"/>
          <w:szCs w:val="16"/>
          <w:rtl/>
        </w:rPr>
        <w:t>.</w:t>
      </w:r>
      <w:r w:rsidRPr="0024428C">
        <w:rPr>
          <w:rFonts w:cs="Arial"/>
          <w:sz w:val="16"/>
          <w:szCs w:val="16"/>
          <w:rtl/>
        </w:rPr>
        <w:t xml:space="preserve"> ואין כאן הכרח דאיכא למימר שאני נשואין מגירושין</w:t>
      </w:r>
      <w:r w:rsidR="009A283A">
        <w:rPr>
          <w:rFonts w:cs="Arial" w:hint="cs"/>
          <w:sz w:val="16"/>
          <w:szCs w:val="16"/>
          <w:rtl/>
        </w:rPr>
        <w:t>,</w:t>
      </w:r>
      <w:r w:rsidRPr="0024428C">
        <w:rPr>
          <w:rFonts w:cs="Arial"/>
          <w:sz w:val="16"/>
          <w:szCs w:val="16"/>
          <w:rtl/>
        </w:rPr>
        <w:t xml:space="preserve"> דקודם נשואין ירושתה בחזקת האב ומספק אין מוציאין אותה מחזקתו</w:t>
      </w:r>
      <w:r w:rsidR="009A283A">
        <w:rPr>
          <w:rFonts w:cs="Arial" w:hint="cs"/>
          <w:sz w:val="16"/>
          <w:szCs w:val="16"/>
          <w:rtl/>
        </w:rPr>
        <w:t>,</w:t>
      </w:r>
      <w:r w:rsidRPr="0024428C">
        <w:rPr>
          <w:rFonts w:cs="Arial"/>
          <w:sz w:val="16"/>
          <w:szCs w:val="16"/>
          <w:rtl/>
        </w:rPr>
        <w:t xml:space="preserve"> אבל משנשאת ירושתה בחזקת הבעל</w:t>
      </w:r>
      <w:r w:rsidR="009A283A">
        <w:rPr>
          <w:rFonts w:cs="Arial" w:hint="cs"/>
          <w:sz w:val="16"/>
          <w:szCs w:val="16"/>
          <w:rtl/>
        </w:rPr>
        <w:t>,</w:t>
      </w:r>
      <w:r w:rsidRPr="0024428C">
        <w:rPr>
          <w:rFonts w:cs="Arial"/>
          <w:sz w:val="16"/>
          <w:szCs w:val="16"/>
          <w:rtl/>
        </w:rPr>
        <w:t xml:space="preserve"> ובשביל ספק גירושין איכא למימר דאין מוציאין מחזקתו</w:t>
      </w:r>
      <w:r>
        <w:rPr>
          <w:rFonts w:cs="Arial" w:hint="cs"/>
          <w:sz w:val="16"/>
          <w:szCs w:val="16"/>
          <w:rtl/>
        </w:rPr>
        <w:t>)</w:t>
      </w:r>
    </w:p>
    <w:p w14:paraId="66C68C20" w14:textId="5EB50A3C" w:rsidR="0024428C" w:rsidRDefault="00516217" w:rsidP="0024428C">
      <w:pPr>
        <w:rPr>
          <w:rtl/>
        </w:rPr>
      </w:pPr>
      <w:r w:rsidRPr="00516217">
        <w:rPr>
          <w:rFonts w:cs="Arial" w:hint="cs"/>
          <w:b/>
          <w:bCs/>
          <w:rtl/>
        </w:rPr>
        <w:t xml:space="preserve">גיטין </w:t>
      </w:r>
      <w:r>
        <w:rPr>
          <w:rFonts w:cs="Arial" w:hint="cs"/>
          <w:b/>
          <w:bCs/>
          <w:sz w:val="16"/>
          <w:szCs w:val="16"/>
          <w:rtl/>
        </w:rPr>
        <w:t>(פ' מי שאחזו)</w:t>
      </w:r>
      <w:r>
        <w:rPr>
          <w:rFonts w:cs="Arial" w:hint="cs"/>
          <w:b/>
          <w:bCs/>
          <w:rtl/>
        </w:rPr>
        <w:t xml:space="preserve"> </w:t>
      </w:r>
      <w:r w:rsidRPr="00516217">
        <w:rPr>
          <w:rFonts w:cs="Arial" w:hint="cs"/>
          <w:b/>
          <w:bCs/>
          <w:rtl/>
        </w:rPr>
        <w:t xml:space="preserve">עג ע"א: </w:t>
      </w:r>
      <w:r w:rsidRPr="00516217">
        <w:rPr>
          <w:rFonts w:cs="Arial"/>
          <w:u w:val="double"/>
          <w:rtl/>
        </w:rPr>
        <w:t>מתני'</w:t>
      </w:r>
      <w:r>
        <w:rPr>
          <w:rFonts w:cs="Arial" w:hint="cs"/>
          <w:rtl/>
        </w:rPr>
        <w:t>:</w:t>
      </w:r>
      <w:r w:rsidRPr="00516217">
        <w:rPr>
          <w:rFonts w:cs="Arial"/>
          <w:rtl/>
        </w:rPr>
        <w:t xml:space="preserve"> </w:t>
      </w:r>
      <w:r w:rsidR="00250BC5">
        <w:rPr>
          <w:rStyle w:val="a7"/>
          <w:rFonts w:cs="Arial"/>
          <w:rtl/>
        </w:rPr>
        <w:footnoteReference w:id="1229"/>
      </w:r>
      <w:r w:rsidRPr="00516217">
        <w:rPr>
          <w:rFonts w:cs="Arial"/>
          <w:rtl/>
        </w:rPr>
        <w:t xml:space="preserve">לא תתייחד עמו אלא בפני עדים, אפי' על פי עבד אפי' ע"פ שפחה, חוץ משפחתה, מפני שלבה גס בה בשפחתה. מה היא באותן הימים? </w:t>
      </w:r>
      <w:r w:rsidRPr="00516217">
        <w:rPr>
          <w:rFonts w:cs="Arial"/>
          <w:u w:val="single"/>
          <w:rtl/>
        </w:rPr>
        <w:t>רבי יהודה אומר</w:t>
      </w:r>
      <w:r w:rsidRPr="00516217">
        <w:rPr>
          <w:rFonts w:cs="Arial"/>
          <w:rtl/>
        </w:rPr>
        <w:t>:</w:t>
      </w:r>
      <w:r w:rsidRPr="00516217">
        <w:rPr>
          <w:rtl/>
        </w:rPr>
        <w:t xml:space="preserve"> </w:t>
      </w:r>
      <w:r>
        <w:rPr>
          <w:rFonts w:cs="Arial" w:hint="cs"/>
          <w:sz w:val="14"/>
          <w:szCs w:val="14"/>
          <w:rtl/>
        </w:rPr>
        <w:t xml:space="preserve">(עג:) </w:t>
      </w:r>
      <w:r w:rsidRPr="00516217">
        <w:rPr>
          <w:rFonts w:cs="Arial"/>
          <w:rtl/>
        </w:rPr>
        <w:t>כאשת איש לכל דבריה</w:t>
      </w:r>
      <w:r>
        <w:rPr>
          <w:rFonts w:cs="Arial" w:hint="cs"/>
          <w:rtl/>
        </w:rPr>
        <w:t>.</w:t>
      </w:r>
      <w:r w:rsidRPr="00516217">
        <w:rPr>
          <w:rFonts w:cs="Arial"/>
          <w:rtl/>
        </w:rPr>
        <w:t xml:space="preserve"> </w:t>
      </w:r>
      <w:r w:rsidRPr="00516217">
        <w:rPr>
          <w:rFonts w:cs="Arial"/>
          <w:u w:val="single"/>
          <w:rtl/>
        </w:rPr>
        <w:t>רבי יוסי אומר</w:t>
      </w:r>
      <w:r w:rsidRPr="00516217">
        <w:rPr>
          <w:rFonts w:cs="Arial"/>
          <w:rtl/>
        </w:rPr>
        <w:t>: מגורשת ואינה מגורשת.</w:t>
      </w:r>
      <w:r>
        <w:rPr>
          <w:rFonts w:hint="cs"/>
          <w:rtl/>
        </w:rPr>
        <w:t xml:space="preserve">  </w:t>
      </w:r>
      <w:r w:rsidR="00317FCD">
        <w:rPr>
          <w:rFonts w:hint="cs"/>
          <w:rtl/>
        </w:rPr>
        <w:t xml:space="preserve">  </w:t>
      </w:r>
      <w:r>
        <w:rPr>
          <w:rFonts w:hint="cs"/>
          <w:rtl/>
        </w:rPr>
        <w:t xml:space="preserve">   </w:t>
      </w:r>
      <w:r w:rsidRPr="00516217">
        <w:rPr>
          <w:rFonts w:hint="cs"/>
          <w:u w:val="double"/>
          <w:rtl/>
        </w:rPr>
        <w:t>גמ'</w:t>
      </w:r>
      <w:r>
        <w:rPr>
          <w:rFonts w:hint="cs"/>
          <w:rtl/>
        </w:rPr>
        <w:t>:</w:t>
      </w:r>
      <w:r w:rsidRPr="00516217">
        <w:rPr>
          <w:rtl/>
        </w:rPr>
        <w:t xml:space="preserve"> </w:t>
      </w:r>
      <w:r w:rsidRPr="00516217">
        <w:rPr>
          <w:rFonts w:cs="Arial"/>
          <w:rtl/>
        </w:rPr>
        <w:t>תנו רבנן: ימים שבינתים - בעלה זכאי במציאתה ובמעשה ידיה ובהפרת נדריה, ויורשה</w:t>
      </w:r>
      <w:r w:rsidRPr="00516217">
        <w:rPr>
          <w:rtl/>
        </w:rPr>
        <w:t xml:space="preserve"> </w:t>
      </w:r>
      <w:r>
        <w:rPr>
          <w:rFonts w:cs="Arial" w:hint="cs"/>
          <w:sz w:val="14"/>
          <w:szCs w:val="14"/>
          <w:rtl/>
        </w:rPr>
        <w:t xml:space="preserve">(עד.) </w:t>
      </w:r>
      <w:r w:rsidRPr="00516217">
        <w:rPr>
          <w:rFonts w:cs="Arial"/>
          <w:rtl/>
        </w:rPr>
        <w:t xml:space="preserve">ומטמא לה, כללו של דבר: הרי היא כאשתו לכל דבר - אלא שאינה צריכה הימנו גט שני, </w:t>
      </w:r>
      <w:r w:rsidRPr="00516217">
        <w:rPr>
          <w:rFonts w:cs="Arial"/>
          <w:u w:val="single"/>
          <w:rtl/>
        </w:rPr>
        <w:t>דברי ר' יהודה</w:t>
      </w:r>
      <w:r w:rsidR="00317FCD">
        <w:rPr>
          <w:rFonts w:cs="Arial" w:hint="cs"/>
          <w:rtl/>
        </w:rPr>
        <w:t>.</w:t>
      </w:r>
      <w:r w:rsidRPr="00516217">
        <w:rPr>
          <w:rFonts w:cs="Arial"/>
          <w:rtl/>
        </w:rPr>
        <w:t xml:space="preserve"> </w:t>
      </w:r>
      <w:r w:rsidRPr="00516217">
        <w:rPr>
          <w:rFonts w:cs="Arial"/>
          <w:u w:val="single"/>
          <w:rtl/>
        </w:rPr>
        <w:t>ר"מ אומר</w:t>
      </w:r>
      <w:r w:rsidRPr="00516217">
        <w:rPr>
          <w:rFonts w:cs="Arial"/>
          <w:rtl/>
        </w:rPr>
        <w:t>: בעילתה תלויה</w:t>
      </w:r>
      <w:r w:rsidR="00317FCD">
        <w:rPr>
          <w:rFonts w:cs="Arial" w:hint="cs"/>
          <w:rtl/>
        </w:rPr>
        <w:t>.</w:t>
      </w:r>
      <w:r w:rsidRPr="00516217">
        <w:rPr>
          <w:rFonts w:cs="Arial"/>
          <w:rtl/>
        </w:rPr>
        <w:t xml:space="preserve"> </w:t>
      </w:r>
      <w:r w:rsidRPr="00516217">
        <w:rPr>
          <w:rFonts w:cs="Arial"/>
          <w:u w:val="single"/>
          <w:rtl/>
        </w:rPr>
        <w:t>ר' יוסי אומר</w:t>
      </w:r>
      <w:r w:rsidRPr="00516217">
        <w:rPr>
          <w:rFonts w:cs="Arial"/>
          <w:rtl/>
        </w:rPr>
        <w:t>: בעילתה ספק</w:t>
      </w:r>
      <w:r w:rsidR="00317FCD">
        <w:rPr>
          <w:rFonts w:cs="Arial" w:hint="cs"/>
          <w:rtl/>
        </w:rPr>
        <w:t>.</w:t>
      </w:r>
      <w:r w:rsidRPr="00516217">
        <w:rPr>
          <w:rFonts w:cs="Arial"/>
          <w:rtl/>
        </w:rPr>
        <w:t xml:space="preserve"> </w:t>
      </w:r>
      <w:r w:rsidRPr="00516217">
        <w:rPr>
          <w:rFonts w:cs="Arial"/>
          <w:u w:val="single"/>
          <w:rtl/>
        </w:rPr>
        <w:t>וחכ"א</w:t>
      </w:r>
      <w:r w:rsidRPr="00516217">
        <w:rPr>
          <w:rFonts w:cs="Arial"/>
          <w:rtl/>
        </w:rPr>
        <w:t>: מגורשת ואינה מגורשת, ובלבד שימות. מאי איכא בין ר"מ לרבי יוסי? אמר רבי יוחנן: אשם תלוי איכא בינייהו, לר"מ לא מייתי אשם תלוי, ולר' יוסי מייתי אשם תלוי. וחכ"א: מגורשת ואינה מגורשת. חכמים היינו רבי יוסי! איכא בינייהו דרבי זירא, דאמר רבי זירא אמר רבה בר ירמיה אמר שמואל: כל מקום שאמרו חכמים מגורשת ואינה מגורשת - בעלה חייב במזונותיה.</w:t>
      </w:r>
      <w:r w:rsidR="00250BC5" w:rsidRPr="00250BC5">
        <w:rPr>
          <w:rFonts w:cs="Arial"/>
          <w:rtl/>
        </w:rPr>
        <w:t xml:space="preserve"> </w:t>
      </w:r>
      <w:r w:rsidR="00250BC5" w:rsidRPr="00250BC5">
        <w:rPr>
          <w:rFonts w:cs="Arial" w:hint="cs"/>
          <w:sz w:val="16"/>
          <w:szCs w:val="16"/>
          <w:rtl/>
        </w:rPr>
        <w:t>(</w:t>
      </w:r>
      <w:r w:rsidR="00250BC5">
        <w:rPr>
          <w:rFonts w:cs="Arial" w:hint="cs"/>
          <w:sz w:val="16"/>
          <w:szCs w:val="16"/>
          <w:rtl/>
        </w:rPr>
        <w:t xml:space="preserve">וכתב הה"מ (שם) דמכאן יש קצת ראיה לדברי הרמב"ם שבספק גירושין אין הבעל יורש, שהרי </w:t>
      </w:r>
      <w:r w:rsidR="00250BC5" w:rsidRPr="00250BC5">
        <w:rPr>
          <w:rFonts w:cs="Arial"/>
          <w:sz w:val="16"/>
          <w:szCs w:val="16"/>
          <w:rtl/>
        </w:rPr>
        <w:t xml:space="preserve">לא הזכירו </w:t>
      </w:r>
      <w:r w:rsidR="00250BC5">
        <w:rPr>
          <w:rFonts w:cs="Arial" w:hint="cs"/>
          <w:sz w:val="16"/>
          <w:szCs w:val="16"/>
          <w:rtl/>
        </w:rPr>
        <w:t xml:space="preserve">בגמ' </w:t>
      </w:r>
      <w:r w:rsidR="00250BC5" w:rsidRPr="00250BC5">
        <w:rPr>
          <w:rFonts w:cs="Arial"/>
          <w:sz w:val="16"/>
          <w:szCs w:val="16"/>
          <w:rtl/>
        </w:rPr>
        <w:t>ירושה לחד מן התנאים אלא לר' יהודה</w:t>
      </w:r>
      <w:r w:rsidR="000D42C8">
        <w:rPr>
          <w:rFonts w:cs="Arial" w:hint="cs"/>
          <w:sz w:val="16"/>
          <w:szCs w:val="16"/>
          <w:rtl/>
        </w:rPr>
        <w:t>,</w:t>
      </w:r>
      <w:r w:rsidR="00250BC5" w:rsidRPr="00250BC5">
        <w:rPr>
          <w:rFonts w:cs="Arial"/>
          <w:sz w:val="16"/>
          <w:szCs w:val="16"/>
          <w:rtl/>
        </w:rPr>
        <w:t xml:space="preserve"> משמע דליכא מאן דס"ל יורשה אלא ר' יהודה</w:t>
      </w:r>
      <w:r w:rsidR="00250BC5" w:rsidRPr="00250BC5">
        <w:rPr>
          <w:rFonts w:cs="Arial" w:hint="cs"/>
          <w:sz w:val="16"/>
          <w:szCs w:val="16"/>
          <w:rtl/>
        </w:rPr>
        <w:t>.</w:t>
      </w:r>
      <w:r w:rsidR="00250BC5" w:rsidRPr="00250BC5">
        <w:rPr>
          <w:rFonts w:cs="Arial"/>
          <w:sz w:val="16"/>
          <w:szCs w:val="16"/>
          <w:rtl/>
        </w:rPr>
        <w:t xml:space="preserve"> והנך תנאי כולהו פליגי אדר' יהודה בכל הדברים שהזכיר</w:t>
      </w:r>
      <w:r w:rsidR="00250BC5" w:rsidRPr="00250BC5">
        <w:rPr>
          <w:rFonts w:cs="Arial" w:hint="cs"/>
          <w:sz w:val="16"/>
          <w:szCs w:val="16"/>
          <w:rtl/>
        </w:rPr>
        <w:t>.</w:t>
      </w:r>
      <w:r w:rsidR="00250BC5" w:rsidRPr="00250BC5">
        <w:rPr>
          <w:rFonts w:cs="Arial"/>
          <w:sz w:val="16"/>
          <w:szCs w:val="16"/>
          <w:rtl/>
        </w:rPr>
        <w:t xml:space="preserve"> דאי לא</w:t>
      </w:r>
      <w:r w:rsidR="00250BC5" w:rsidRPr="00250BC5">
        <w:rPr>
          <w:rFonts w:cs="Arial" w:hint="cs"/>
          <w:sz w:val="16"/>
          <w:szCs w:val="16"/>
          <w:rtl/>
        </w:rPr>
        <w:t>,</w:t>
      </w:r>
      <w:r w:rsidR="00250BC5" w:rsidRPr="00250BC5">
        <w:rPr>
          <w:rFonts w:cs="Arial"/>
          <w:sz w:val="16"/>
          <w:szCs w:val="16"/>
          <w:rtl/>
        </w:rPr>
        <w:t xml:space="preserve"> הוה להו לברורי ואיפלוגי בין ירושה לשאר דברים</w:t>
      </w:r>
      <w:r w:rsidR="00250BC5" w:rsidRPr="00250BC5">
        <w:rPr>
          <w:rFonts w:cs="Arial" w:hint="cs"/>
          <w:sz w:val="16"/>
          <w:szCs w:val="16"/>
          <w:rtl/>
        </w:rPr>
        <w:t>.</w:t>
      </w:r>
      <w:r w:rsidR="00250BC5" w:rsidRPr="00250BC5">
        <w:rPr>
          <w:rFonts w:cs="Arial"/>
          <w:sz w:val="16"/>
          <w:szCs w:val="16"/>
          <w:rtl/>
        </w:rPr>
        <w:t xml:space="preserve"> ועוד דאם איתא דבספק הבעל יורש למה הו"ל לאדכורי לר' יהודה ירושה</w:t>
      </w:r>
      <w:r w:rsidR="00250BC5" w:rsidRPr="00250BC5">
        <w:rPr>
          <w:rFonts w:cs="Arial" w:hint="cs"/>
          <w:sz w:val="16"/>
          <w:szCs w:val="16"/>
          <w:rtl/>
        </w:rPr>
        <w:t>,</w:t>
      </w:r>
      <w:r w:rsidR="00250BC5" w:rsidRPr="00250BC5">
        <w:rPr>
          <w:rFonts w:cs="Arial"/>
          <w:sz w:val="16"/>
          <w:szCs w:val="16"/>
          <w:rtl/>
        </w:rPr>
        <w:t xml:space="preserve"> השתא ספק יורש</w:t>
      </w:r>
      <w:r w:rsidR="00250BC5" w:rsidRPr="00250BC5">
        <w:rPr>
          <w:rFonts w:cs="Arial" w:hint="cs"/>
          <w:sz w:val="16"/>
          <w:szCs w:val="16"/>
          <w:rtl/>
        </w:rPr>
        <w:t>,</w:t>
      </w:r>
      <w:r w:rsidR="00250BC5" w:rsidRPr="00250BC5">
        <w:rPr>
          <w:rFonts w:cs="Arial"/>
          <w:sz w:val="16"/>
          <w:szCs w:val="16"/>
          <w:rtl/>
        </w:rPr>
        <w:t xml:space="preserve"> זו לא כ"ש</w:t>
      </w:r>
      <w:r w:rsidR="009A283A">
        <w:rPr>
          <w:rFonts w:cs="Arial" w:hint="cs"/>
          <w:sz w:val="16"/>
          <w:szCs w:val="16"/>
          <w:rtl/>
        </w:rPr>
        <w:t>,</w:t>
      </w:r>
      <w:r w:rsidR="00250BC5" w:rsidRPr="00250BC5">
        <w:rPr>
          <w:rFonts w:cs="Arial"/>
          <w:sz w:val="16"/>
          <w:szCs w:val="16"/>
          <w:rtl/>
        </w:rPr>
        <w:t xml:space="preserve"> כיון דכאשת איש חשיב ליה</w:t>
      </w:r>
      <w:r w:rsidR="009A283A">
        <w:rPr>
          <w:rFonts w:cs="Arial" w:hint="cs"/>
          <w:sz w:val="16"/>
          <w:szCs w:val="16"/>
          <w:rtl/>
        </w:rPr>
        <w:t>.</w:t>
      </w:r>
      <w:r w:rsidR="00250BC5" w:rsidRPr="00250BC5">
        <w:rPr>
          <w:rFonts w:cs="Arial"/>
          <w:sz w:val="16"/>
          <w:szCs w:val="16"/>
          <w:rtl/>
        </w:rPr>
        <w:t xml:space="preserve"> כך נ"ל</w:t>
      </w:r>
      <w:r w:rsidR="00250BC5">
        <w:rPr>
          <w:rFonts w:cs="Arial" w:hint="cs"/>
          <w:sz w:val="16"/>
          <w:szCs w:val="16"/>
          <w:rtl/>
        </w:rPr>
        <w:t>)</w:t>
      </w:r>
    </w:p>
    <w:p w14:paraId="7C74A2E5" w14:textId="66EFB3AF" w:rsidR="00235B84" w:rsidRPr="002A6C3A" w:rsidRDefault="004939AF" w:rsidP="0024428C">
      <w:pPr>
        <w:rPr>
          <w:sz w:val="16"/>
          <w:szCs w:val="16"/>
          <w:rtl/>
        </w:rPr>
      </w:pPr>
      <w:r w:rsidRPr="004939AF">
        <w:rPr>
          <w:rFonts w:cs="Arial" w:hint="cs"/>
          <w:b/>
          <w:bCs/>
          <w:rtl/>
        </w:rPr>
        <w:t xml:space="preserve">ירושלמי גיטין פ"ז ה"ד: </w:t>
      </w:r>
      <w:r w:rsidR="00235B84" w:rsidRPr="00235B84">
        <w:rPr>
          <w:rFonts w:cs="Arial"/>
          <w:rtl/>
        </w:rPr>
        <w:t xml:space="preserve">כהדא נתייחדה עמו בפני שנים </w:t>
      </w:r>
      <w:r w:rsidR="00235B84">
        <w:rPr>
          <w:rFonts w:cs="Arial" w:hint="cs"/>
          <w:rtl/>
        </w:rPr>
        <w:t xml:space="preserve">- </w:t>
      </w:r>
      <w:r w:rsidR="00235B84" w:rsidRPr="00235B84">
        <w:rPr>
          <w:rFonts w:cs="Arial"/>
          <w:rtl/>
        </w:rPr>
        <w:t>צריכה הימינו גט שני</w:t>
      </w:r>
      <w:r w:rsidR="00235B84">
        <w:rPr>
          <w:rFonts w:cs="Arial" w:hint="cs"/>
          <w:rtl/>
        </w:rPr>
        <w:t>...</w:t>
      </w:r>
      <w:r w:rsidR="00235B84" w:rsidRPr="00235B84">
        <w:rPr>
          <w:rFonts w:cs="Arial"/>
          <w:rtl/>
        </w:rPr>
        <w:t xml:space="preserve"> נתייחדה עמו כדי בעילה </w:t>
      </w:r>
      <w:r>
        <w:rPr>
          <w:rFonts w:cs="Arial" w:hint="cs"/>
          <w:rtl/>
        </w:rPr>
        <w:t xml:space="preserve">- </w:t>
      </w:r>
      <w:r w:rsidR="00235B84" w:rsidRPr="00235B84">
        <w:rPr>
          <w:rFonts w:cs="Arial"/>
          <w:rtl/>
        </w:rPr>
        <w:t xml:space="preserve">חוששין לה משום בעילה ואין חוששין לה משום קידושין. </w:t>
      </w:r>
      <w:r w:rsidR="00235B84" w:rsidRPr="004939AF">
        <w:rPr>
          <w:rFonts w:cs="Arial"/>
          <w:u w:val="single"/>
          <w:rtl/>
        </w:rPr>
        <w:t>רבי יוסי בי רבי יהודה אומר</w:t>
      </w:r>
      <w:r>
        <w:rPr>
          <w:rFonts w:cs="Arial" w:hint="cs"/>
          <w:rtl/>
        </w:rPr>
        <w:t>:</w:t>
      </w:r>
      <w:r w:rsidR="00235B84" w:rsidRPr="00235B84">
        <w:rPr>
          <w:rFonts w:cs="Arial"/>
          <w:rtl/>
        </w:rPr>
        <w:t xml:space="preserve"> אף חוששין לה משום קידושין.</w:t>
      </w:r>
      <w:r w:rsidR="00235B84">
        <w:rPr>
          <w:rFonts w:cs="Arial" w:hint="cs"/>
          <w:rtl/>
        </w:rPr>
        <w:t>.</w:t>
      </w:r>
      <w:r w:rsidR="00235B84" w:rsidRPr="00235B84">
        <w:rPr>
          <w:rFonts w:cs="Arial"/>
          <w:rtl/>
        </w:rPr>
        <w:t xml:space="preserve">. </w:t>
      </w:r>
      <w:r w:rsidR="00235B84" w:rsidRPr="004939AF">
        <w:rPr>
          <w:rFonts w:cs="Arial"/>
          <w:u w:val="single"/>
          <w:rtl/>
        </w:rPr>
        <w:t>אמר רבי אבין</w:t>
      </w:r>
      <w:r>
        <w:rPr>
          <w:rFonts w:cs="Arial" w:hint="cs"/>
          <w:rtl/>
        </w:rPr>
        <w:t>:</w:t>
      </w:r>
      <w:r w:rsidR="00235B84" w:rsidRPr="00235B84">
        <w:rPr>
          <w:rFonts w:cs="Arial"/>
          <w:rtl/>
        </w:rPr>
        <w:t xml:space="preserve"> אתיא דבית שמאי כרבנין</w:t>
      </w:r>
      <w:r>
        <w:rPr>
          <w:rFonts w:cs="Arial" w:hint="cs"/>
          <w:rtl/>
        </w:rPr>
        <w:t>,</w:t>
      </w:r>
      <w:r w:rsidR="00235B84" w:rsidRPr="00235B84">
        <w:rPr>
          <w:rFonts w:cs="Arial"/>
          <w:rtl/>
        </w:rPr>
        <w:t xml:space="preserve"> ובית הלל כרבי יוסי בי רבי יהודה. ליידא מילה</w:t>
      </w:r>
      <w:r>
        <w:rPr>
          <w:rFonts w:cs="Arial" w:hint="cs"/>
          <w:rtl/>
        </w:rPr>
        <w:t>?</w:t>
      </w:r>
      <w:r w:rsidR="00235B84" w:rsidRPr="00235B84">
        <w:rPr>
          <w:rFonts w:cs="Arial"/>
          <w:rtl/>
        </w:rPr>
        <w:t xml:space="preserve"> </w:t>
      </w:r>
      <w:r w:rsidR="00235B84" w:rsidRPr="004939AF">
        <w:rPr>
          <w:rFonts w:cs="Arial"/>
          <w:u w:val="single"/>
          <w:rtl/>
        </w:rPr>
        <w:t>רבי לעזר אומר</w:t>
      </w:r>
      <w:r>
        <w:rPr>
          <w:rFonts w:cs="Arial" w:hint="cs"/>
          <w:rtl/>
        </w:rPr>
        <w:t>:</w:t>
      </w:r>
      <w:r w:rsidR="00235B84" w:rsidRPr="00235B84">
        <w:rPr>
          <w:rFonts w:cs="Arial"/>
          <w:rtl/>
        </w:rPr>
        <w:t xml:space="preserve"> ליורשה. דתנינן תמן וזכאי במציאתה ובמעשה ידיה ובהפר נדריה. </w:t>
      </w:r>
      <w:r w:rsidR="00235B84" w:rsidRPr="004939AF">
        <w:rPr>
          <w:rFonts w:cs="Arial"/>
          <w:u w:val="single"/>
          <w:rtl/>
        </w:rPr>
        <w:t>אמר ר' זעירא</w:t>
      </w:r>
      <w:r>
        <w:rPr>
          <w:rFonts w:cs="Arial" w:hint="cs"/>
          <w:rtl/>
        </w:rPr>
        <w:t>:</w:t>
      </w:r>
      <w:r w:rsidR="00235B84" w:rsidRPr="00235B84">
        <w:rPr>
          <w:rFonts w:cs="Arial"/>
          <w:rtl/>
        </w:rPr>
        <w:t xml:space="preserve"> זאת אומרת שהיא כאשת איש לכל דבר.</w:t>
      </w:r>
      <w:r w:rsidR="002A6C3A">
        <w:rPr>
          <w:rFonts w:hint="cs"/>
          <w:sz w:val="16"/>
          <w:szCs w:val="16"/>
          <w:rtl/>
        </w:rPr>
        <w:t xml:space="preserve"> (ומכאן הוכיח הראב"ד ב-'מכל שכן' שספק מגורשת </w:t>
      </w:r>
      <w:r w:rsidR="00F97626">
        <w:rPr>
          <w:sz w:val="16"/>
          <w:szCs w:val="16"/>
          <w:rtl/>
        </w:rPr>
        <w:t>-</w:t>
      </w:r>
      <w:r w:rsidR="002A6C3A">
        <w:rPr>
          <w:rFonts w:hint="cs"/>
          <w:sz w:val="16"/>
          <w:szCs w:val="16"/>
          <w:rtl/>
        </w:rPr>
        <w:t xml:space="preserve"> בעלה יורשה)</w:t>
      </w:r>
    </w:p>
    <w:p w14:paraId="222817B6" w14:textId="1FC534C8" w:rsidR="0006145B" w:rsidRPr="0006145B" w:rsidRDefault="0006145B" w:rsidP="0006145B">
      <w:pPr>
        <w:rPr>
          <w:u w:val="single"/>
          <w:rtl/>
        </w:rPr>
      </w:pPr>
      <w:r w:rsidRPr="0006145B">
        <w:rPr>
          <w:rFonts w:cs="Arial"/>
          <w:u w:val="single"/>
          <w:rtl/>
        </w:rPr>
        <w:t>מי שנתגרשה ספק גירושין</w:t>
      </w:r>
      <w:r w:rsidR="00FF4BA1">
        <w:rPr>
          <w:rFonts w:hint="cs"/>
          <w:u w:val="single"/>
          <w:rtl/>
        </w:rPr>
        <w:t>,</w:t>
      </w:r>
      <w:r w:rsidRPr="0006145B">
        <w:rPr>
          <w:rFonts w:hint="cs"/>
          <w:u w:val="single"/>
          <w:rtl/>
        </w:rPr>
        <w:t xml:space="preserve"> </w:t>
      </w:r>
      <w:r w:rsidR="00FF4BA1">
        <w:rPr>
          <w:rFonts w:hint="cs"/>
          <w:u w:val="single"/>
          <w:rtl/>
        </w:rPr>
        <w:t xml:space="preserve">ומתה </w:t>
      </w:r>
      <w:r w:rsidR="00F97626">
        <w:rPr>
          <w:u w:val="single"/>
          <w:rtl/>
        </w:rPr>
        <w:t>-</w:t>
      </w:r>
      <w:r w:rsidRPr="0006145B">
        <w:rPr>
          <w:rFonts w:hint="cs"/>
          <w:u w:val="single"/>
          <w:rtl/>
        </w:rPr>
        <w:t xml:space="preserve"> האם יורש</w:t>
      </w:r>
      <w:r>
        <w:rPr>
          <w:rFonts w:hint="cs"/>
          <w:u w:val="single"/>
          <w:rtl/>
        </w:rPr>
        <w:t xml:space="preserve"> אותה</w:t>
      </w:r>
      <w:r w:rsidRPr="0006145B">
        <w:rPr>
          <w:rFonts w:hint="cs"/>
          <w:u w:val="single"/>
          <w:rtl/>
        </w:rPr>
        <w:t>:</w:t>
      </w:r>
    </w:p>
    <w:p w14:paraId="15D11D72" w14:textId="1BD98AC3" w:rsidR="0006145B" w:rsidRPr="0006145B" w:rsidRDefault="00643EFE" w:rsidP="009000E3">
      <w:pPr>
        <w:pStyle w:val="ab"/>
        <w:numPr>
          <w:ilvl w:val="0"/>
          <w:numId w:val="55"/>
        </w:numPr>
      </w:pPr>
      <w:r w:rsidRPr="0006145B">
        <w:rPr>
          <w:rFonts w:cs="Arial" w:hint="cs"/>
          <w:rtl/>
        </w:rPr>
        <w:t xml:space="preserve">רמב"ם </w:t>
      </w:r>
      <w:r w:rsidRPr="0006145B">
        <w:rPr>
          <w:rFonts w:cs="Arial" w:hint="cs"/>
          <w:sz w:val="16"/>
          <w:szCs w:val="16"/>
          <w:rtl/>
        </w:rPr>
        <w:t>(הל' נחלות פ"א ה"ט)</w:t>
      </w:r>
      <w:r w:rsidR="00250BC5">
        <w:rPr>
          <w:rFonts w:cs="Arial" w:hint="cs"/>
          <w:rtl/>
        </w:rPr>
        <w:t xml:space="preserve"> והעיטור</w:t>
      </w:r>
      <w:r w:rsidR="00250BC5">
        <w:rPr>
          <w:rFonts w:cs="Arial" w:hint="cs"/>
          <w:sz w:val="16"/>
          <w:szCs w:val="16"/>
          <w:rtl/>
        </w:rPr>
        <w:t xml:space="preserve"> (כ"כ הה"מ בשמו [שם])</w:t>
      </w:r>
      <w:r w:rsidRPr="0006145B">
        <w:rPr>
          <w:rFonts w:cs="Arial" w:hint="cs"/>
          <w:rtl/>
        </w:rPr>
        <w:t xml:space="preserve">- </w:t>
      </w:r>
      <w:r w:rsidRPr="0006145B">
        <w:rPr>
          <w:rFonts w:cs="Arial"/>
          <w:rtl/>
        </w:rPr>
        <w:t xml:space="preserve">מי שנתגרשה ספק גירושין ומתה </w:t>
      </w:r>
      <w:r w:rsidR="00FF4BA1">
        <w:rPr>
          <w:rFonts w:cs="Arial" w:hint="cs"/>
          <w:rtl/>
        </w:rPr>
        <w:t xml:space="preserve">- </w:t>
      </w:r>
      <w:r w:rsidRPr="0006145B">
        <w:rPr>
          <w:rFonts w:cs="Arial"/>
          <w:rtl/>
        </w:rPr>
        <w:t>אין הבעל יורשה</w:t>
      </w:r>
      <w:r w:rsidR="00250BC5">
        <w:rPr>
          <w:rFonts w:cs="Arial" w:hint="cs"/>
          <w:sz w:val="16"/>
          <w:szCs w:val="16"/>
          <w:rtl/>
        </w:rPr>
        <w:t xml:space="preserve"> (ל' הרמב"ם)</w:t>
      </w:r>
      <w:r w:rsidRPr="0006145B">
        <w:rPr>
          <w:rFonts w:cs="Arial"/>
          <w:rtl/>
        </w:rPr>
        <w:t xml:space="preserve">. </w:t>
      </w:r>
      <w:r w:rsidR="00CD2C4F" w:rsidRPr="001D67C0">
        <w:rPr>
          <w:rFonts w:hint="cs"/>
          <w:color w:val="E36C0A" w:themeColor="accent6" w:themeShade="BF"/>
          <w:rtl/>
        </w:rPr>
        <w:t>(וכ"פ בשו"ע)</w:t>
      </w:r>
    </w:p>
    <w:p w14:paraId="2B9785A7" w14:textId="0116C3FF" w:rsidR="00643EFE" w:rsidRDefault="00643EFE" w:rsidP="009000E3">
      <w:pPr>
        <w:pStyle w:val="ab"/>
        <w:numPr>
          <w:ilvl w:val="0"/>
          <w:numId w:val="55"/>
        </w:numPr>
      </w:pPr>
      <w:r w:rsidRPr="0006145B">
        <w:rPr>
          <w:rFonts w:cs="Arial"/>
          <w:rtl/>
        </w:rPr>
        <w:t>ראב"ד</w:t>
      </w:r>
      <w:r w:rsidR="0006145B">
        <w:rPr>
          <w:rFonts w:cs="Arial" w:hint="cs"/>
          <w:sz w:val="16"/>
          <w:szCs w:val="16"/>
          <w:rtl/>
        </w:rPr>
        <w:t xml:space="preserve"> (בהשגות שם)</w:t>
      </w:r>
      <w:r w:rsidR="0006145B">
        <w:rPr>
          <w:rFonts w:cs="Arial" w:hint="cs"/>
          <w:rtl/>
        </w:rPr>
        <w:t>-</w:t>
      </w:r>
      <w:r w:rsidRPr="0006145B">
        <w:rPr>
          <w:rFonts w:cs="Arial"/>
          <w:rtl/>
        </w:rPr>
        <w:t xml:space="preserve"> א"א מה שאמרו במס' גיטין בירושלמי נראה שהוא חולק עליו</w:t>
      </w:r>
      <w:r w:rsidR="007F65C8">
        <w:rPr>
          <w:rFonts w:cs="Arial" w:hint="cs"/>
          <w:rtl/>
        </w:rPr>
        <w:t>:</w:t>
      </w:r>
      <w:r w:rsidRPr="0006145B">
        <w:rPr>
          <w:rFonts w:cs="Arial"/>
          <w:rtl/>
        </w:rPr>
        <w:t xml:space="preserve"> המגרש את אשתו ולנה עמו בפונדקי בית הלל אומרים צריכה ממנו גט שני לאידא מילתא אמר רבי אלעזר לירושה</w:t>
      </w:r>
      <w:r w:rsidR="007F65C8">
        <w:rPr>
          <w:rFonts w:cs="Arial" w:hint="cs"/>
          <w:rtl/>
        </w:rPr>
        <w:t>.</w:t>
      </w:r>
      <w:r w:rsidRPr="0006145B">
        <w:rPr>
          <w:rFonts w:cs="Arial"/>
          <w:rtl/>
        </w:rPr>
        <w:t xml:space="preserve"> כלומר שהוא יורשה</w:t>
      </w:r>
      <w:r w:rsidR="007F65C8">
        <w:rPr>
          <w:rFonts w:cs="Arial" w:hint="cs"/>
          <w:rtl/>
        </w:rPr>
        <w:t>.</w:t>
      </w:r>
      <w:r w:rsidRPr="0006145B">
        <w:rPr>
          <w:rFonts w:cs="Arial"/>
          <w:rtl/>
        </w:rPr>
        <w:t xml:space="preserve"> ומה התם בודאי גירשה וספק החזירה יורשה</w:t>
      </w:r>
      <w:r w:rsidR="007F65C8">
        <w:rPr>
          <w:rFonts w:cs="Arial" w:hint="cs"/>
          <w:rtl/>
        </w:rPr>
        <w:t>,</w:t>
      </w:r>
      <w:r w:rsidRPr="0006145B">
        <w:rPr>
          <w:rFonts w:cs="Arial"/>
          <w:rtl/>
        </w:rPr>
        <w:t xml:space="preserve"> הכא דודאי אשתו היתה וספק גירשה לא כ"</w:t>
      </w:r>
      <w:r w:rsidR="0006145B">
        <w:rPr>
          <w:rFonts w:cs="Arial" w:hint="cs"/>
          <w:rtl/>
        </w:rPr>
        <w:t>ש</w:t>
      </w:r>
      <w:r w:rsidR="002A6C3A">
        <w:rPr>
          <w:rStyle w:val="a7"/>
          <w:rFonts w:cs="Arial"/>
          <w:rtl/>
        </w:rPr>
        <w:footnoteReference w:id="1230"/>
      </w:r>
      <w:r w:rsidR="0006145B">
        <w:rPr>
          <w:rFonts w:cs="Arial" w:hint="cs"/>
          <w:rtl/>
        </w:rPr>
        <w:t>.</w:t>
      </w:r>
    </w:p>
    <w:p w14:paraId="592AFBBA" w14:textId="5CE6FD3D" w:rsidR="00FF4BA1" w:rsidRPr="00643EFE" w:rsidRDefault="00FF4BA1" w:rsidP="009000E3">
      <w:pPr>
        <w:pStyle w:val="ab"/>
        <w:numPr>
          <w:ilvl w:val="0"/>
          <w:numId w:val="55"/>
        </w:numPr>
        <w:rPr>
          <w:rtl/>
        </w:rPr>
      </w:pPr>
      <w:r>
        <w:rPr>
          <w:rFonts w:cs="Arial" w:hint="cs"/>
          <w:rtl/>
        </w:rPr>
        <w:lastRenderedPageBreak/>
        <w:t xml:space="preserve">רא"ש </w:t>
      </w:r>
      <w:r>
        <w:rPr>
          <w:rFonts w:cs="Arial" w:hint="cs"/>
          <w:sz w:val="16"/>
          <w:szCs w:val="16"/>
          <w:rtl/>
        </w:rPr>
        <w:t>(סי' טז)</w:t>
      </w:r>
      <w:r>
        <w:rPr>
          <w:rFonts w:cs="Arial" w:hint="cs"/>
          <w:rtl/>
        </w:rPr>
        <w:t xml:space="preserve"> וטור- </w:t>
      </w:r>
      <w:r w:rsidRPr="006262B5">
        <w:rPr>
          <w:rFonts w:cs="Arial"/>
          <w:rtl/>
        </w:rPr>
        <w:t>אין הירושה נפקעת אלא בגירושין גמורים</w:t>
      </w:r>
      <w:r w:rsidR="00D03DE5">
        <w:rPr>
          <w:rStyle w:val="a7"/>
          <w:rFonts w:cs="Arial"/>
          <w:rtl/>
        </w:rPr>
        <w:footnoteReference w:id="1231"/>
      </w:r>
      <w:r w:rsidR="00D03DE5">
        <w:rPr>
          <w:rFonts w:cs="Arial" w:hint="cs"/>
          <w:sz w:val="16"/>
          <w:szCs w:val="16"/>
          <w:rtl/>
        </w:rPr>
        <w:t xml:space="preserve"> (ל' הטור בשם הרא"ש)</w:t>
      </w:r>
      <w:r>
        <w:rPr>
          <w:rFonts w:cs="Arial" w:hint="cs"/>
          <w:rtl/>
        </w:rPr>
        <w:t>.</w:t>
      </w:r>
      <w:r w:rsidR="00351D8B">
        <w:rPr>
          <w:rFonts w:hint="cs"/>
          <w:rtl/>
        </w:rPr>
        <w:t xml:space="preserve"> (וכ"פ הלבוש</w:t>
      </w:r>
      <w:r w:rsidR="00351D8B">
        <w:rPr>
          <w:rStyle w:val="a7"/>
          <w:rtl/>
        </w:rPr>
        <w:footnoteReference w:id="1232"/>
      </w:r>
      <w:r w:rsidR="00351D8B">
        <w:rPr>
          <w:rFonts w:hint="cs"/>
          <w:rtl/>
        </w:rPr>
        <w:t>)</w:t>
      </w:r>
    </w:p>
    <w:p w14:paraId="23829A7D" w14:textId="4EF7B78F" w:rsidR="00F5507E" w:rsidRDefault="00F5507E" w:rsidP="00F5507E">
      <w:pPr>
        <w:rPr>
          <w:rtl/>
        </w:rPr>
      </w:pPr>
      <w:r w:rsidRPr="00F5507E">
        <w:rPr>
          <w:rFonts w:cs="Arial" w:hint="cs"/>
          <w:b/>
          <w:bCs/>
          <w:rtl/>
        </w:rPr>
        <w:t xml:space="preserve">בבא בתרא </w:t>
      </w:r>
      <w:r>
        <w:rPr>
          <w:rFonts w:cs="Arial" w:hint="cs"/>
          <w:b/>
          <w:bCs/>
          <w:sz w:val="16"/>
          <w:szCs w:val="16"/>
          <w:rtl/>
        </w:rPr>
        <w:t xml:space="preserve">(פ' מי שמת) </w:t>
      </w:r>
      <w:r w:rsidRPr="00F5507E">
        <w:rPr>
          <w:rFonts w:cs="Arial" w:hint="cs"/>
          <w:b/>
          <w:bCs/>
          <w:rtl/>
        </w:rPr>
        <w:t>קמו</w:t>
      </w:r>
      <w:r w:rsidR="00AE3B0E">
        <w:rPr>
          <w:rStyle w:val="a7"/>
          <w:rFonts w:cs="Arial"/>
          <w:b/>
          <w:bCs/>
          <w:rtl/>
        </w:rPr>
        <w:footnoteReference w:id="1233"/>
      </w:r>
      <w:r w:rsidRPr="00F5507E">
        <w:rPr>
          <w:rFonts w:cs="Arial" w:hint="cs"/>
          <w:b/>
          <w:bCs/>
          <w:rtl/>
        </w:rPr>
        <w:t xml:space="preserve"> ע"א: </w:t>
      </w:r>
      <w:r w:rsidRPr="00F5507E">
        <w:rPr>
          <w:rFonts w:cs="Arial"/>
          <w:u w:val="single"/>
          <w:rtl/>
        </w:rPr>
        <w:t>אמר רב יהודה אמר רב</w:t>
      </w:r>
      <w:r w:rsidRPr="00F5507E">
        <w:rPr>
          <w:rFonts w:cs="Arial"/>
          <w:rtl/>
        </w:rPr>
        <w:t>: מעשה באדם אחד שאמרו לו אשתו תותרנית היא</w:t>
      </w:r>
      <w:r w:rsidR="00197B54">
        <w:rPr>
          <w:rStyle w:val="a7"/>
          <w:rFonts w:cs="Arial"/>
          <w:rtl/>
        </w:rPr>
        <w:footnoteReference w:id="1234"/>
      </w:r>
      <w:r w:rsidRPr="00F5507E">
        <w:rPr>
          <w:rFonts w:cs="Arial"/>
          <w:rtl/>
        </w:rPr>
        <w:t>, ונכנס אחריה לחורבה לבודקה</w:t>
      </w:r>
      <w:r w:rsidR="006D7AD8">
        <w:rPr>
          <w:rStyle w:val="a7"/>
          <w:rFonts w:cs="Arial"/>
          <w:rtl/>
        </w:rPr>
        <w:footnoteReference w:id="1235"/>
      </w:r>
      <w:r>
        <w:rPr>
          <w:rFonts w:cs="Arial" w:hint="cs"/>
          <w:rtl/>
        </w:rPr>
        <w:t>.</w:t>
      </w:r>
      <w:r w:rsidRPr="00F5507E">
        <w:rPr>
          <w:rFonts w:cs="Arial"/>
          <w:rtl/>
        </w:rPr>
        <w:t xml:space="preserve"> אמר לה: ריח צנון אני מריח בגליל</w:t>
      </w:r>
      <w:r>
        <w:rPr>
          <w:rFonts w:cs="Arial" w:hint="cs"/>
          <w:rtl/>
        </w:rPr>
        <w:t>.</w:t>
      </w:r>
      <w:r w:rsidRPr="00F5507E">
        <w:rPr>
          <w:rtl/>
        </w:rPr>
        <w:t xml:space="preserve"> </w:t>
      </w:r>
      <w:r>
        <w:rPr>
          <w:rFonts w:cs="Arial" w:hint="cs"/>
          <w:sz w:val="14"/>
          <w:szCs w:val="14"/>
          <w:rtl/>
        </w:rPr>
        <w:t xml:space="preserve">(קמו:) </w:t>
      </w:r>
      <w:r w:rsidRPr="00F5507E">
        <w:rPr>
          <w:rFonts w:cs="Arial"/>
          <w:rtl/>
        </w:rPr>
        <w:t>אמרה ליה</w:t>
      </w:r>
      <w:r w:rsidR="00197B54">
        <w:rPr>
          <w:rStyle w:val="a7"/>
          <w:rFonts w:cs="Arial"/>
          <w:rtl/>
        </w:rPr>
        <w:footnoteReference w:id="1236"/>
      </w:r>
      <w:r w:rsidRPr="00F5507E">
        <w:rPr>
          <w:rFonts w:cs="Arial"/>
          <w:rtl/>
        </w:rPr>
        <w:t>: מן יהיב לן מכותבות דיריחו</w:t>
      </w:r>
      <w:r w:rsidR="00197B54">
        <w:rPr>
          <w:rStyle w:val="a7"/>
          <w:rFonts w:cs="Arial"/>
          <w:rtl/>
        </w:rPr>
        <w:footnoteReference w:id="1237"/>
      </w:r>
      <w:r w:rsidRPr="00F5507E">
        <w:rPr>
          <w:rFonts w:cs="Arial"/>
          <w:rtl/>
        </w:rPr>
        <w:t xml:space="preserve"> ואכלנא ביה! נפל עלה חורבה ומתה</w:t>
      </w:r>
      <w:r w:rsidR="00D662BF">
        <w:rPr>
          <w:rFonts w:cs="Arial" w:hint="cs"/>
          <w:rtl/>
        </w:rPr>
        <w:t>.</w:t>
      </w:r>
      <w:r w:rsidRPr="00F5507E">
        <w:rPr>
          <w:rFonts w:cs="Arial"/>
          <w:rtl/>
        </w:rPr>
        <w:t xml:space="preserve"> אמרו חכמים: הואיל ולא נכנס אחריה אלא לבודקה, מתה - אינו יורשה.</w:t>
      </w:r>
      <w:r w:rsidR="00B30A16" w:rsidRPr="00B30A16">
        <w:rPr>
          <w:rFonts w:cs="Arial"/>
          <w:rtl/>
        </w:rPr>
        <w:t xml:space="preserve"> </w:t>
      </w:r>
      <w:r w:rsidR="00B30A16" w:rsidRPr="00E96FC6">
        <w:rPr>
          <w:rFonts w:cs="Arial" w:hint="cs"/>
          <w:sz w:val="16"/>
          <w:szCs w:val="16"/>
          <w:rtl/>
        </w:rPr>
        <w:t>(</w:t>
      </w:r>
      <w:r w:rsidR="00B30A16" w:rsidRPr="00E96FC6">
        <w:rPr>
          <w:rFonts w:cs="Arial"/>
          <w:sz w:val="16"/>
          <w:szCs w:val="16"/>
          <w:rtl/>
        </w:rPr>
        <w:t>ופרשב"ם דהכי גרסינן</w:t>
      </w:r>
      <w:r w:rsidR="00E96FC6">
        <w:rPr>
          <w:rFonts w:cs="Arial" w:hint="cs"/>
          <w:sz w:val="16"/>
          <w:szCs w:val="16"/>
          <w:rtl/>
        </w:rPr>
        <w:t>-</w:t>
      </w:r>
      <w:r w:rsidR="00B30A16" w:rsidRPr="00E96FC6">
        <w:rPr>
          <w:rFonts w:cs="Arial"/>
          <w:sz w:val="16"/>
          <w:szCs w:val="16"/>
          <w:rtl/>
        </w:rPr>
        <w:t xml:space="preserve"> </w:t>
      </w:r>
      <w:r w:rsidR="00E96FC6">
        <w:rPr>
          <w:rFonts w:cs="Arial" w:hint="cs"/>
          <w:sz w:val="16"/>
          <w:szCs w:val="16"/>
          <w:rtl/>
        </w:rPr>
        <w:t>'</w:t>
      </w:r>
      <w:r w:rsidR="00B30A16" w:rsidRPr="00E96FC6">
        <w:rPr>
          <w:rFonts w:cs="Arial"/>
          <w:sz w:val="16"/>
          <w:szCs w:val="16"/>
          <w:rtl/>
        </w:rPr>
        <w:t>הואיל ונכנס אחריה לבודקה</w:t>
      </w:r>
      <w:r w:rsidR="00E96FC6">
        <w:rPr>
          <w:rFonts w:cs="Arial" w:hint="cs"/>
          <w:sz w:val="16"/>
          <w:szCs w:val="16"/>
          <w:rtl/>
        </w:rPr>
        <w:t>'</w:t>
      </w:r>
      <w:r w:rsidR="00B30A16" w:rsidRPr="00E96FC6">
        <w:rPr>
          <w:rFonts w:cs="Arial" w:hint="cs"/>
          <w:sz w:val="16"/>
          <w:szCs w:val="16"/>
          <w:rtl/>
        </w:rPr>
        <w:t>,</w:t>
      </w:r>
      <w:r w:rsidR="00B30A16" w:rsidRPr="00E96FC6">
        <w:rPr>
          <w:rFonts w:cs="Arial"/>
          <w:sz w:val="16"/>
          <w:szCs w:val="16"/>
          <w:rtl/>
        </w:rPr>
        <w:t xml:space="preserve"> בנשואה מיירי</w:t>
      </w:r>
      <w:r w:rsidR="00B30A16" w:rsidRPr="00E96FC6">
        <w:rPr>
          <w:rFonts w:cs="Arial" w:hint="cs"/>
          <w:sz w:val="16"/>
          <w:szCs w:val="16"/>
          <w:rtl/>
        </w:rPr>
        <w:t>,</w:t>
      </w:r>
      <w:r w:rsidR="00B30A16" w:rsidRPr="00E96FC6">
        <w:rPr>
          <w:rFonts w:cs="Arial"/>
          <w:sz w:val="16"/>
          <w:szCs w:val="16"/>
          <w:rtl/>
        </w:rPr>
        <w:t xml:space="preserve"> דכיון שהיה בדעתו לגרשה אם ימצאנה בעלת מום</w:t>
      </w:r>
      <w:r w:rsidR="00B30A16" w:rsidRPr="00E96FC6">
        <w:rPr>
          <w:rFonts w:cs="Arial" w:hint="cs"/>
          <w:sz w:val="16"/>
          <w:szCs w:val="16"/>
          <w:rtl/>
        </w:rPr>
        <w:t>,</w:t>
      </w:r>
      <w:r w:rsidR="00B30A16" w:rsidRPr="00E96FC6">
        <w:rPr>
          <w:rFonts w:cs="Arial"/>
          <w:sz w:val="16"/>
          <w:szCs w:val="16"/>
          <w:rtl/>
        </w:rPr>
        <w:t xml:space="preserve"> ובתוך כך מתה קודם שנתפייסו</w:t>
      </w:r>
      <w:r w:rsidR="00B30A16" w:rsidRPr="00E96FC6">
        <w:rPr>
          <w:rFonts w:cs="Arial" w:hint="cs"/>
          <w:sz w:val="16"/>
          <w:szCs w:val="16"/>
          <w:rtl/>
        </w:rPr>
        <w:t xml:space="preserve"> -</w:t>
      </w:r>
      <w:r w:rsidR="00B30A16" w:rsidRPr="00E96FC6">
        <w:rPr>
          <w:rFonts w:cs="Arial"/>
          <w:sz w:val="16"/>
          <w:szCs w:val="16"/>
          <w:rtl/>
        </w:rPr>
        <w:t xml:space="preserve"> אינו זוכה בירושה</w:t>
      </w:r>
      <w:r w:rsidR="00B30A16" w:rsidRPr="00E96FC6">
        <w:rPr>
          <w:rFonts w:cs="Arial" w:hint="cs"/>
          <w:sz w:val="16"/>
          <w:szCs w:val="16"/>
          <w:rtl/>
        </w:rPr>
        <w:t>.</w:t>
      </w:r>
      <w:r w:rsidR="00B30A16" w:rsidRPr="00E96FC6">
        <w:rPr>
          <w:rFonts w:cs="Arial"/>
          <w:sz w:val="16"/>
          <w:szCs w:val="16"/>
          <w:rtl/>
        </w:rPr>
        <w:t xml:space="preserve"> ומהכא שמעינן שמי שמתה אשתו ומתוך קטטה יש בדעתו לגרשה </w:t>
      </w:r>
      <w:r w:rsidR="007F65C8">
        <w:rPr>
          <w:rFonts w:cs="Arial" w:hint="cs"/>
          <w:sz w:val="16"/>
          <w:szCs w:val="16"/>
          <w:rtl/>
        </w:rPr>
        <w:t xml:space="preserve">- </w:t>
      </w:r>
      <w:r w:rsidR="00B30A16" w:rsidRPr="00E96FC6">
        <w:rPr>
          <w:rFonts w:cs="Arial"/>
          <w:sz w:val="16"/>
          <w:szCs w:val="16"/>
          <w:rtl/>
        </w:rPr>
        <w:t>שוב אינו יורשה</w:t>
      </w:r>
      <w:r w:rsidR="00B30A16" w:rsidRPr="00E96FC6">
        <w:rPr>
          <w:rFonts w:cs="Arial" w:hint="cs"/>
          <w:sz w:val="16"/>
          <w:szCs w:val="16"/>
          <w:rtl/>
        </w:rPr>
        <w:t>.</w:t>
      </w:r>
      <w:r w:rsidR="00B30A16" w:rsidRPr="00E96FC6">
        <w:rPr>
          <w:rFonts w:cs="Arial"/>
          <w:sz w:val="16"/>
          <w:szCs w:val="16"/>
          <w:rtl/>
        </w:rPr>
        <w:t xml:space="preserve"> ויש גורסין הואיל ולא נכנס עמה לבוא עליה אלא לבודקה</w:t>
      </w:r>
      <w:r w:rsidR="00B30A16" w:rsidRPr="00E96FC6">
        <w:rPr>
          <w:rFonts w:cs="Arial" w:hint="cs"/>
          <w:sz w:val="16"/>
          <w:szCs w:val="16"/>
          <w:rtl/>
        </w:rPr>
        <w:t>,</w:t>
      </w:r>
      <w:r w:rsidR="00B30A16" w:rsidRPr="00E96FC6">
        <w:rPr>
          <w:rFonts w:cs="Arial"/>
          <w:sz w:val="16"/>
          <w:szCs w:val="16"/>
          <w:rtl/>
        </w:rPr>
        <w:t xml:space="preserve"> ומוקי לה בארוסה</w:t>
      </w:r>
      <w:r w:rsidR="00B30A16" w:rsidRPr="00E96FC6">
        <w:rPr>
          <w:rFonts w:cs="Arial" w:hint="cs"/>
          <w:sz w:val="16"/>
          <w:szCs w:val="16"/>
          <w:rtl/>
        </w:rPr>
        <w:t>.</w:t>
      </w:r>
      <w:r w:rsidR="00B30A16" w:rsidRPr="00E96FC6">
        <w:rPr>
          <w:rFonts w:cs="Arial"/>
          <w:sz w:val="16"/>
          <w:szCs w:val="16"/>
          <w:rtl/>
        </w:rPr>
        <w:t xml:space="preserve"> ולא נראה לי</w:t>
      </w:r>
      <w:r w:rsidR="00B30A16" w:rsidRPr="00E96FC6">
        <w:rPr>
          <w:rFonts w:cs="Arial" w:hint="cs"/>
          <w:sz w:val="16"/>
          <w:szCs w:val="16"/>
          <w:rtl/>
        </w:rPr>
        <w:t>,</w:t>
      </w:r>
      <w:r w:rsidR="00B30A16" w:rsidRPr="00E96FC6">
        <w:rPr>
          <w:rFonts w:cs="Arial"/>
          <w:sz w:val="16"/>
          <w:szCs w:val="16"/>
          <w:rtl/>
        </w:rPr>
        <w:t xml:space="preserve"> דאפילו בא עליה בימי ארוסין קודם הכנסה לחופה לא ירית לה</w:t>
      </w:r>
      <w:r w:rsidR="00E96FC6">
        <w:rPr>
          <w:rFonts w:cs="Arial" w:hint="cs"/>
          <w:sz w:val="14"/>
          <w:szCs w:val="14"/>
          <w:rtl/>
        </w:rPr>
        <w:t xml:space="preserve"> {ע"כ דברי רשב"ם}</w:t>
      </w:r>
      <w:r w:rsidR="00B30A16" w:rsidRPr="00E96FC6">
        <w:rPr>
          <w:rFonts w:cs="Arial"/>
          <w:sz w:val="16"/>
          <w:szCs w:val="16"/>
          <w:rtl/>
        </w:rPr>
        <w:t>. וכתוב במישרים נכ"ג ח"ח (סא.) ש</w:t>
      </w:r>
      <w:r w:rsidR="00E96FC6">
        <w:rPr>
          <w:rFonts w:cs="Arial" w:hint="cs"/>
          <w:sz w:val="16"/>
          <w:szCs w:val="16"/>
          <w:rtl/>
        </w:rPr>
        <w:t>ר"י</w:t>
      </w:r>
      <w:r w:rsidR="00B30A16" w:rsidRPr="00E96FC6">
        <w:rPr>
          <w:rFonts w:cs="Arial"/>
          <w:sz w:val="16"/>
          <w:szCs w:val="16"/>
          <w:rtl/>
        </w:rPr>
        <w:t xml:space="preserve"> מיגא"ש (שם ד"ה תתרנית) פירש כפרשב"ם. וכתב הרא"ש (סי' טז) נראה דל"ק</w:t>
      </w:r>
      <w:r w:rsidR="00E96FC6">
        <w:rPr>
          <w:rFonts w:cs="Arial" w:hint="cs"/>
          <w:sz w:val="16"/>
          <w:szCs w:val="16"/>
          <w:rtl/>
        </w:rPr>
        <w:t>,</w:t>
      </w:r>
      <w:r w:rsidR="00B30A16" w:rsidRPr="00E96FC6">
        <w:rPr>
          <w:rFonts w:cs="Arial"/>
          <w:sz w:val="16"/>
          <w:szCs w:val="16"/>
          <w:rtl/>
        </w:rPr>
        <w:t xml:space="preserve"> דאמרינן בכתובות (מח:) נכנס עמה לחצר</w:t>
      </w:r>
      <w:r w:rsidR="00B30A16" w:rsidRPr="00E96FC6">
        <w:rPr>
          <w:rFonts w:cs="Arial" w:hint="cs"/>
          <w:sz w:val="16"/>
          <w:szCs w:val="16"/>
          <w:rtl/>
        </w:rPr>
        <w:t>,</w:t>
      </w:r>
      <w:r w:rsidR="00B30A16" w:rsidRPr="00E96FC6">
        <w:rPr>
          <w:rFonts w:cs="Arial"/>
          <w:sz w:val="16"/>
          <w:szCs w:val="16"/>
          <w:rtl/>
        </w:rPr>
        <w:t xml:space="preserve"> סתם חצר דידיה לנישואין</w:t>
      </w:r>
      <w:r w:rsidR="00B30A16" w:rsidRPr="00E96FC6">
        <w:rPr>
          <w:rFonts w:cs="Arial" w:hint="cs"/>
          <w:sz w:val="16"/>
          <w:szCs w:val="16"/>
          <w:rtl/>
        </w:rPr>
        <w:t>,</w:t>
      </w:r>
      <w:r w:rsidR="00B30A16" w:rsidRPr="00E96FC6">
        <w:rPr>
          <w:rFonts w:cs="Arial"/>
          <w:sz w:val="16"/>
          <w:szCs w:val="16"/>
          <w:rtl/>
        </w:rPr>
        <w:t xml:space="preserve"> וזו החורבה שלו היתה</w:t>
      </w:r>
      <w:r w:rsidR="00B30A16" w:rsidRPr="00E96FC6">
        <w:rPr>
          <w:rFonts w:cs="Arial" w:hint="cs"/>
          <w:sz w:val="16"/>
          <w:szCs w:val="16"/>
          <w:rtl/>
        </w:rPr>
        <w:t>,</w:t>
      </w:r>
      <w:r w:rsidR="00B30A16" w:rsidRPr="00E96FC6">
        <w:rPr>
          <w:rFonts w:cs="Arial"/>
          <w:sz w:val="16"/>
          <w:szCs w:val="16"/>
          <w:rtl/>
        </w:rPr>
        <w:t xml:space="preserve"> ונכנס עמה לבדקה</w:t>
      </w:r>
      <w:r w:rsidR="00B30A16" w:rsidRPr="00E96FC6">
        <w:rPr>
          <w:rFonts w:cs="Arial" w:hint="cs"/>
          <w:sz w:val="16"/>
          <w:szCs w:val="16"/>
          <w:rtl/>
        </w:rPr>
        <w:t>,</w:t>
      </w:r>
      <w:r w:rsidR="00B30A16" w:rsidRPr="00E96FC6">
        <w:rPr>
          <w:rFonts w:cs="Arial"/>
          <w:sz w:val="16"/>
          <w:szCs w:val="16"/>
          <w:rtl/>
        </w:rPr>
        <w:t xml:space="preserve"> והוא טוען שנכנס עמה לשם נישואין אם לא ימצאנה תותרנית</w:t>
      </w:r>
      <w:r w:rsidR="00B30A16" w:rsidRPr="00E96FC6">
        <w:rPr>
          <w:rFonts w:cs="Arial" w:hint="cs"/>
          <w:sz w:val="16"/>
          <w:szCs w:val="16"/>
          <w:rtl/>
        </w:rPr>
        <w:t>,</w:t>
      </w:r>
      <w:r w:rsidR="00B30A16" w:rsidRPr="00E96FC6">
        <w:rPr>
          <w:rFonts w:cs="Arial"/>
          <w:sz w:val="16"/>
          <w:szCs w:val="16"/>
          <w:rtl/>
        </w:rPr>
        <w:t xml:space="preserve"> ולא מצאה בעלת מום והרי היא אשתו וזכה בירושתה</w:t>
      </w:r>
      <w:r w:rsidR="00B30A16" w:rsidRPr="00E96FC6">
        <w:rPr>
          <w:rFonts w:cs="Arial" w:hint="cs"/>
          <w:sz w:val="16"/>
          <w:szCs w:val="16"/>
          <w:rtl/>
        </w:rPr>
        <w:t>,</w:t>
      </w:r>
      <w:r w:rsidR="00B30A16" w:rsidRPr="00E96FC6">
        <w:rPr>
          <w:rFonts w:cs="Arial"/>
          <w:sz w:val="16"/>
          <w:szCs w:val="16"/>
          <w:rtl/>
        </w:rPr>
        <w:t xml:space="preserve"> ואמרו חכמים הואיל וכניסתו היתה לבדקה לא חשבינן להך כניסה נישואין ואינו יורשה</w:t>
      </w:r>
      <w:r w:rsidR="00B30A16" w:rsidRPr="00E96FC6">
        <w:rPr>
          <w:rFonts w:cs="Arial" w:hint="cs"/>
          <w:sz w:val="16"/>
          <w:szCs w:val="16"/>
          <w:rtl/>
        </w:rPr>
        <w:t>.</w:t>
      </w:r>
      <w:r w:rsidR="00B30A16" w:rsidRPr="00E96FC6">
        <w:rPr>
          <w:rFonts w:cs="Arial"/>
          <w:sz w:val="16"/>
          <w:szCs w:val="16"/>
          <w:rtl/>
        </w:rPr>
        <w:t xml:space="preserve"> והשתא אין ראיה לפסק רשב"ם</w:t>
      </w:r>
      <w:r w:rsidR="00B30A16" w:rsidRPr="00E96FC6">
        <w:rPr>
          <w:rFonts w:cs="Arial" w:hint="cs"/>
          <w:sz w:val="16"/>
          <w:szCs w:val="16"/>
          <w:rtl/>
        </w:rPr>
        <w:t>.</w:t>
      </w:r>
      <w:r w:rsidR="00B30A16" w:rsidRPr="00E96FC6">
        <w:rPr>
          <w:rFonts w:cs="Arial"/>
          <w:sz w:val="16"/>
          <w:szCs w:val="16"/>
          <w:rtl/>
        </w:rPr>
        <w:t xml:space="preserve"> ועוד אי האי עובדא בנשואה איירי מה הוצרך ליכנס אחריה לחורבה כדי לבדקה</w:t>
      </w:r>
      <w:r w:rsidR="00B30A16" w:rsidRPr="00E96FC6">
        <w:rPr>
          <w:rFonts w:cs="Arial" w:hint="cs"/>
          <w:sz w:val="16"/>
          <w:szCs w:val="16"/>
          <w:rtl/>
        </w:rPr>
        <w:t>,</w:t>
      </w:r>
      <w:r w:rsidR="00B30A16" w:rsidRPr="00E96FC6">
        <w:rPr>
          <w:rFonts w:cs="Arial"/>
          <w:sz w:val="16"/>
          <w:szCs w:val="16"/>
          <w:rtl/>
        </w:rPr>
        <w:t xml:space="preserve"> למה לא בדקה בתוך ביתו ע"כ.</w:t>
      </w:r>
      <w:r w:rsidR="00D03DE5" w:rsidRPr="00D03DE5">
        <w:rPr>
          <w:rtl/>
        </w:rPr>
        <w:t xml:space="preserve"> </w:t>
      </w:r>
      <w:r w:rsidR="00D03DE5" w:rsidRPr="00D03DE5">
        <w:rPr>
          <w:rFonts w:cs="Arial"/>
          <w:sz w:val="16"/>
          <w:szCs w:val="16"/>
          <w:rtl/>
        </w:rPr>
        <w:t>והתוספות (ב"ב קמו: ד"ה נכנס) כתבו</w:t>
      </w:r>
      <w:r w:rsidR="00D03DE5" w:rsidRPr="00D03DE5">
        <w:rPr>
          <w:rStyle w:val="a7"/>
          <w:rFonts w:cs="Arial"/>
          <w:sz w:val="16"/>
          <w:szCs w:val="16"/>
          <w:rtl/>
        </w:rPr>
        <w:footnoteReference w:id="1238"/>
      </w:r>
      <w:r w:rsidR="00D03DE5" w:rsidRPr="00D03DE5">
        <w:rPr>
          <w:rFonts w:cs="Arial"/>
          <w:sz w:val="16"/>
          <w:szCs w:val="16"/>
          <w:rtl/>
        </w:rPr>
        <w:t xml:space="preserve"> כדברי הרא"ש ז"ל</w:t>
      </w:r>
      <w:r w:rsidR="00E96FC6">
        <w:rPr>
          <w:rFonts w:cs="Arial" w:hint="cs"/>
          <w:sz w:val="16"/>
          <w:szCs w:val="16"/>
          <w:rtl/>
        </w:rPr>
        <w:t>.</w:t>
      </w:r>
      <w:r w:rsidR="00B30A16" w:rsidRPr="00E96FC6">
        <w:rPr>
          <w:rFonts w:cs="Arial"/>
          <w:sz w:val="16"/>
          <w:szCs w:val="16"/>
          <w:rtl/>
        </w:rPr>
        <w:t xml:space="preserve"> ובסימן נ"ז כתבתי תשובת הרא"ש (כלל לז סי' א) שכתב לדחות פרשב"ם</w:t>
      </w:r>
      <w:r w:rsidR="00B30A16" w:rsidRPr="00E96FC6">
        <w:rPr>
          <w:rFonts w:cs="Arial" w:hint="cs"/>
          <w:sz w:val="16"/>
          <w:szCs w:val="16"/>
          <w:rtl/>
        </w:rPr>
        <w:t>, ב"י</w:t>
      </w:r>
      <w:r w:rsidR="00E96FC6">
        <w:rPr>
          <w:rFonts w:cs="Arial" w:hint="cs"/>
          <w:sz w:val="16"/>
          <w:szCs w:val="16"/>
          <w:rtl/>
        </w:rPr>
        <w:t>)</w:t>
      </w:r>
    </w:p>
    <w:p w14:paraId="1CD86C76" w14:textId="240F3D21" w:rsidR="00D662BF" w:rsidRPr="00237455" w:rsidRDefault="00237455" w:rsidP="00F5507E">
      <w:pPr>
        <w:rPr>
          <w:u w:val="single"/>
          <w:rtl/>
        </w:rPr>
      </w:pPr>
      <w:r w:rsidRPr="00237455">
        <w:rPr>
          <w:rFonts w:hint="cs"/>
          <w:u w:val="single"/>
          <w:rtl/>
        </w:rPr>
        <w:t xml:space="preserve">נתן דעתו לגרש את אשתו, ומתה </w:t>
      </w:r>
      <w:r w:rsidR="00F97626">
        <w:rPr>
          <w:u w:val="single"/>
          <w:rtl/>
        </w:rPr>
        <w:t>-</w:t>
      </w:r>
      <w:r w:rsidRPr="00237455">
        <w:rPr>
          <w:rFonts w:hint="cs"/>
          <w:u w:val="single"/>
          <w:rtl/>
        </w:rPr>
        <w:t xml:space="preserve"> האם יורש אותה:</w:t>
      </w:r>
    </w:p>
    <w:p w14:paraId="26D64E49" w14:textId="17BA8D33" w:rsidR="00E33D5F" w:rsidRPr="00E33D5F" w:rsidRDefault="006262B5" w:rsidP="009000E3">
      <w:pPr>
        <w:pStyle w:val="ab"/>
        <w:numPr>
          <w:ilvl w:val="0"/>
          <w:numId w:val="55"/>
        </w:numPr>
      </w:pPr>
      <w:r w:rsidRPr="006262B5">
        <w:rPr>
          <w:rFonts w:cs="Arial"/>
          <w:rtl/>
        </w:rPr>
        <w:t>רשב"ם</w:t>
      </w:r>
      <w:r w:rsidR="00B30A16">
        <w:rPr>
          <w:rFonts w:cs="Arial" w:hint="cs"/>
          <w:sz w:val="16"/>
          <w:szCs w:val="16"/>
          <w:rtl/>
        </w:rPr>
        <w:t xml:space="preserve"> (קמו: ד"ה נפלה עליה)</w:t>
      </w:r>
      <w:r w:rsidR="00F5507E">
        <w:rPr>
          <w:rFonts w:cs="Arial" w:hint="cs"/>
          <w:rtl/>
        </w:rPr>
        <w:t>-</w:t>
      </w:r>
      <w:r w:rsidRPr="006262B5">
        <w:rPr>
          <w:rFonts w:cs="Arial"/>
          <w:rtl/>
        </w:rPr>
        <w:t xml:space="preserve"> אפי' אשתו נשואה שהיא עמו בקטטה ונתן עיניו לגרשה ומתה </w:t>
      </w:r>
      <w:r w:rsidR="00E33D5F">
        <w:rPr>
          <w:rFonts w:cs="Arial" w:hint="cs"/>
          <w:rtl/>
        </w:rPr>
        <w:t xml:space="preserve">- </w:t>
      </w:r>
      <w:r w:rsidRPr="006262B5">
        <w:rPr>
          <w:rFonts w:cs="Arial"/>
          <w:rtl/>
        </w:rPr>
        <w:t>אינו יורשה</w:t>
      </w:r>
      <w:r w:rsidR="00E33D5F">
        <w:rPr>
          <w:rFonts w:cs="Arial" w:hint="cs"/>
          <w:rtl/>
        </w:rPr>
        <w:t>.</w:t>
      </w:r>
      <w:r w:rsidRPr="006262B5">
        <w:rPr>
          <w:rFonts w:cs="Arial"/>
          <w:rtl/>
        </w:rPr>
        <w:t xml:space="preserve"> </w:t>
      </w:r>
    </w:p>
    <w:p w14:paraId="4F50D8B4" w14:textId="280A4837" w:rsidR="00D9440F" w:rsidRPr="00347C35" w:rsidRDefault="00B30A16" w:rsidP="009000E3">
      <w:pPr>
        <w:pStyle w:val="ab"/>
        <w:numPr>
          <w:ilvl w:val="0"/>
          <w:numId w:val="55"/>
        </w:numPr>
      </w:pPr>
      <w:r>
        <w:rPr>
          <w:rFonts w:cs="Arial" w:hint="cs"/>
          <w:rtl/>
        </w:rPr>
        <w:t xml:space="preserve">תוס' </w:t>
      </w:r>
      <w:r w:rsidRPr="00B30A16">
        <w:rPr>
          <w:rFonts w:cs="Arial"/>
          <w:sz w:val="16"/>
          <w:szCs w:val="16"/>
          <w:rtl/>
        </w:rPr>
        <w:t>(קמו: ד"ה נכנס)</w:t>
      </w:r>
      <w:r>
        <w:rPr>
          <w:rFonts w:cs="Arial" w:hint="cs"/>
          <w:rtl/>
        </w:rPr>
        <w:t xml:space="preserve"> </w:t>
      </w:r>
      <w:r w:rsidR="00E96FC6">
        <w:rPr>
          <w:rFonts w:cs="Arial" w:hint="cs"/>
          <w:rtl/>
        </w:rPr>
        <w:t xml:space="preserve">מרדכי </w:t>
      </w:r>
      <w:r w:rsidR="00E96FC6" w:rsidRPr="00E96FC6">
        <w:rPr>
          <w:rFonts w:cs="Arial"/>
          <w:sz w:val="16"/>
          <w:szCs w:val="16"/>
          <w:rtl/>
        </w:rPr>
        <w:t>(</w:t>
      </w:r>
      <w:r w:rsidR="00E96FC6">
        <w:rPr>
          <w:rFonts w:cs="Arial" w:hint="cs"/>
          <w:sz w:val="16"/>
          <w:szCs w:val="16"/>
          <w:rtl/>
        </w:rPr>
        <w:t xml:space="preserve">ב"ב </w:t>
      </w:r>
      <w:r w:rsidR="00E96FC6" w:rsidRPr="00E96FC6">
        <w:rPr>
          <w:rFonts w:cs="Arial"/>
          <w:sz w:val="16"/>
          <w:szCs w:val="16"/>
          <w:rtl/>
        </w:rPr>
        <w:t>סי' תריב</w:t>
      </w:r>
      <w:r w:rsidR="00E96FC6">
        <w:rPr>
          <w:rFonts w:cs="Arial" w:hint="cs"/>
          <w:sz w:val="16"/>
          <w:szCs w:val="16"/>
          <w:rtl/>
        </w:rPr>
        <w:t>, כ"כ בשמו הדרכ"מ [אות ד]</w:t>
      </w:r>
      <w:r w:rsidR="00E96FC6" w:rsidRPr="00E96FC6">
        <w:rPr>
          <w:rFonts w:cs="Arial"/>
          <w:sz w:val="16"/>
          <w:szCs w:val="16"/>
          <w:rtl/>
        </w:rPr>
        <w:t>)</w:t>
      </w:r>
      <w:r w:rsidR="00E96FC6">
        <w:rPr>
          <w:rFonts w:cs="Arial" w:hint="cs"/>
          <w:rtl/>
        </w:rPr>
        <w:t xml:space="preserve"> </w:t>
      </w:r>
      <w:r w:rsidR="00E33D5F">
        <w:rPr>
          <w:rFonts w:cs="Arial" w:hint="cs"/>
          <w:rtl/>
        </w:rPr>
        <w:t xml:space="preserve">רא"ש </w:t>
      </w:r>
      <w:r>
        <w:rPr>
          <w:rFonts w:cs="Arial" w:hint="cs"/>
          <w:sz w:val="16"/>
          <w:szCs w:val="16"/>
          <w:rtl/>
        </w:rPr>
        <w:t>(סי' טז)</w:t>
      </w:r>
      <w:r>
        <w:rPr>
          <w:rFonts w:cs="Arial" w:hint="cs"/>
          <w:rtl/>
        </w:rPr>
        <w:t xml:space="preserve"> </w:t>
      </w:r>
      <w:r w:rsidR="00E33D5F">
        <w:rPr>
          <w:rFonts w:cs="Arial" w:hint="cs"/>
          <w:rtl/>
        </w:rPr>
        <w:t xml:space="preserve">וטור- </w:t>
      </w:r>
      <w:r w:rsidR="006262B5" w:rsidRPr="006262B5">
        <w:rPr>
          <w:rFonts w:cs="Arial"/>
          <w:rtl/>
        </w:rPr>
        <w:t>אין הירושה נפקעת אלא בגירושין גמורים</w:t>
      </w:r>
      <w:r w:rsidR="00347C35">
        <w:rPr>
          <w:rStyle w:val="a7"/>
          <w:rFonts w:cs="Arial"/>
          <w:rtl/>
        </w:rPr>
        <w:footnoteReference w:id="1239"/>
      </w:r>
      <w:r w:rsidR="00E33D5F">
        <w:rPr>
          <w:rFonts w:cs="Arial" w:hint="cs"/>
          <w:rtl/>
        </w:rPr>
        <w:t>.</w:t>
      </w:r>
      <w:r w:rsidR="006262B5" w:rsidRPr="006262B5">
        <w:rPr>
          <w:rFonts w:cs="Arial"/>
          <w:rtl/>
        </w:rPr>
        <w:t xml:space="preserve"> </w:t>
      </w:r>
      <w:r w:rsidR="006262B5" w:rsidRPr="00B30A16">
        <w:rPr>
          <w:rFonts w:cs="Arial"/>
          <w:rtl/>
        </w:rPr>
        <w:t>אבל ודאי ארוסתו שאמרו עליה שהיא בעלת מום והכניסה לביתו לבודקה</w:t>
      </w:r>
      <w:r>
        <w:rPr>
          <w:rFonts w:cs="Arial" w:hint="cs"/>
          <w:rtl/>
        </w:rPr>
        <w:t>,</w:t>
      </w:r>
      <w:r w:rsidR="006262B5" w:rsidRPr="00B30A16">
        <w:rPr>
          <w:rFonts w:cs="Arial"/>
          <w:rtl/>
        </w:rPr>
        <w:t xml:space="preserve"> ובתוך כך מתה</w:t>
      </w:r>
      <w:r>
        <w:rPr>
          <w:rFonts w:cs="Arial" w:hint="cs"/>
          <w:rtl/>
        </w:rPr>
        <w:t>,</w:t>
      </w:r>
      <w:r w:rsidR="006262B5" w:rsidRPr="00B30A16">
        <w:rPr>
          <w:rFonts w:cs="Arial"/>
          <w:rtl/>
        </w:rPr>
        <w:t xml:space="preserve"> ואומר שלא מצא בה מום ומבקש ליורשה שאומר שהיה בדעתו בהכנסתה לביתו לשם נישואין</w:t>
      </w:r>
      <w:r>
        <w:rPr>
          <w:rFonts w:cs="Arial" w:hint="cs"/>
          <w:rtl/>
        </w:rPr>
        <w:t>,</w:t>
      </w:r>
      <w:r w:rsidR="006262B5" w:rsidRPr="00B30A16">
        <w:rPr>
          <w:rFonts w:cs="Arial"/>
          <w:rtl/>
        </w:rPr>
        <w:t xml:space="preserve"> דקי"ל סתם חצר דידיה לנישואין </w:t>
      </w:r>
      <w:r>
        <w:rPr>
          <w:rFonts w:cs="Arial" w:hint="cs"/>
          <w:rtl/>
        </w:rPr>
        <w:t xml:space="preserve">- </w:t>
      </w:r>
      <w:r w:rsidR="006262B5" w:rsidRPr="00B30A16">
        <w:rPr>
          <w:rFonts w:cs="Arial"/>
          <w:rtl/>
        </w:rPr>
        <w:t>אינו יורשה</w:t>
      </w:r>
      <w:r>
        <w:rPr>
          <w:rFonts w:cs="Arial" w:hint="cs"/>
          <w:rtl/>
        </w:rPr>
        <w:t>,</w:t>
      </w:r>
      <w:r w:rsidR="006262B5" w:rsidRPr="00B30A16">
        <w:rPr>
          <w:rFonts w:cs="Arial"/>
          <w:rtl/>
        </w:rPr>
        <w:t xml:space="preserve"> דכיון שהכניסה לבודקה לא חשבינן הך כניסה לשם נישואין</w:t>
      </w:r>
      <w:r>
        <w:rPr>
          <w:rFonts w:cs="Arial" w:hint="cs"/>
          <w:sz w:val="16"/>
          <w:szCs w:val="16"/>
          <w:rtl/>
        </w:rPr>
        <w:t xml:space="preserve"> (ל' הטור בשם הרא"ש)</w:t>
      </w:r>
      <w:r w:rsidR="00E33D5F" w:rsidRPr="00B30A16">
        <w:rPr>
          <w:rFonts w:cs="Arial" w:hint="cs"/>
          <w:rtl/>
        </w:rPr>
        <w:t>.</w:t>
      </w:r>
      <w:r w:rsidR="006262B5" w:rsidRPr="00CD2C4F">
        <w:rPr>
          <w:rFonts w:cs="Arial"/>
          <w:color w:val="00B0F0"/>
          <w:rtl/>
        </w:rPr>
        <w:t xml:space="preserve"> </w:t>
      </w:r>
      <w:r w:rsidR="00D67F32" w:rsidRPr="00CD2C4F">
        <w:rPr>
          <w:rFonts w:hint="cs"/>
          <w:color w:val="00B0F0"/>
          <w:rtl/>
        </w:rPr>
        <w:t>(וכ"פ הרמ"א</w:t>
      </w:r>
      <w:r w:rsidR="00A768A7" w:rsidRPr="00A768A7">
        <w:rPr>
          <w:rStyle w:val="a7"/>
          <w:color w:val="000000" w:themeColor="text1"/>
          <w:rtl/>
        </w:rPr>
        <w:footnoteReference w:id="1240"/>
      </w:r>
      <w:r w:rsidR="00D67F32" w:rsidRPr="00CD2C4F">
        <w:rPr>
          <w:rFonts w:hint="cs"/>
          <w:color w:val="00B0F0"/>
          <w:rtl/>
        </w:rPr>
        <w:t>)</w:t>
      </w:r>
    </w:p>
    <w:p w14:paraId="0069E607" w14:textId="254CD724" w:rsidR="00CD2C4F" w:rsidRPr="00A85F9C" w:rsidRDefault="00CD2C4F" w:rsidP="00CD2C4F">
      <w:pPr>
        <w:rPr>
          <w:u w:val="single"/>
        </w:rPr>
      </w:pPr>
      <w:r w:rsidRPr="00A85F9C">
        <w:rPr>
          <w:rFonts w:cs="Arial"/>
          <w:u w:val="single"/>
          <w:rtl/>
        </w:rPr>
        <w:t>הטוען על אשתו שנמצאו בה מומין ומקחו מקח טעות</w:t>
      </w:r>
      <w:r>
        <w:rPr>
          <w:rFonts w:cs="Arial" w:hint="cs"/>
          <w:u w:val="single"/>
          <w:rtl/>
        </w:rPr>
        <w:t xml:space="preserve">, ומתה </w:t>
      </w:r>
      <w:r w:rsidR="00F97626">
        <w:rPr>
          <w:rFonts w:cs="Arial"/>
          <w:u w:val="single"/>
          <w:rtl/>
        </w:rPr>
        <w:t>-</w:t>
      </w:r>
      <w:r>
        <w:rPr>
          <w:rFonts w:cs="Arial" w:hint="cs"/>
          <w:u w:val="single"/>
          <w:rtl/>
        </w:rPr>
        <w:t xml:space="preserve"> האם יורש אותה:</w:t>
      </w:r>
      <w:r>
        <w:rPr>
          <w:rFonts w:hint="cs"/>
          <w:rtl/>
        </w:rPr>
        <w:t xml:space="preserve"> </w:t>
      </w:r>
      <w:r w:rsidRPr="00F3182B">
        <w:rPr>
          <w:rFonts w:hint="cs"/>
          <w:sz w:val="16"/>
          <w:szCs w:val="16"/>
          <w:rtl/>
        </w:rPr>
        <w:t xml:space="preserve">(דרכ"מ אות </w:t>
      </w:r>
      <w:r>
        <w:rPr>
          <w:rFonts w:hint="cs"/>
          <w:sz w:val="16"/>
          <w:szCs w:val="16"/>
          <w:rtl/>
        </w:rPr>
        <w:t>ד</w:t>
      </w:r>
      <w:r w:rsidRPr="00F3182B">
        <w:rPr>
          <w:rFonts w:hint="cs"/>
          <w:sz w:val="16"/>
          <w:szCs w:val="16"/>
          <w:rtl/>
        </w:rPr>
        <w:t>)</w:t>
      </w:r>
    </w:p>
    <w:p w14:paraId="79AA45B3" w14:textId="3374FFC8" w:rsidR="00CD2C4F" w:rsidRPr="00D9440F" w:rsidRDefault="00CD2C4F" w:rsidP="009000E3">
      <w:pPr>
        <w:pStyle w:val="ab"/>
        <w:numPr>
          <w:ilvl w:val="0"/>
          <w:numId w:val="55"/>
        </w:numPr>
        <w:rPr>
          <w:rtl/>
        </w:rPr>
      </w:pPr>
      <w:r w:rsidRPr="00347C35">
        <w:rPr>
          <w:rFonts w:cs="Arial"/>
          <w:rtl/>
        </w:rPr>
        <w:t>תשוב</w:t>
      </w:r>
      <w:r>
        <w:rPr>
          <w:rFonts w:cs="Arial" w:hint="cs"/>
          <w:rtl/>
        </w:rPr>
        <w:t>ות מיימוניות</w:t>
      </w:r>
      <w:r w:rsidRPr="00A85F9C">
        <w:rPr>
          <w:rFonts w:cs="Arial" w:hint="cs"/>
          <w:sz w:val="16"/>
          <w:szCs w:val="16"/>
          <w:rtl/>
        </w:rPr>
        <w:t xml:space="preserve"> (</w:t>
      </w:r>
      <w:r w:rsidRPr="00A85F9C">
        <w:rPr>
          <w:rFonts w:cs="Arial"/>
          <w:sz w:val="16"/>
          <w:szCs w:val="16"/>
          <w:rtl/>
        </w:rPr>
        <w:t>סוף אישות סי</w:t>
      </w:r>
      <w:r w:rsidRPr="00A85F9C">
        <w:rPr>
          <w:rFonts w:cs="Arial" w:hint="cs"/>
          <w:sz w:val="16"/>
          <w:szCs w:val="16"/>
          <w:rtl/>
        </w:rPr>
        <w:t>'</w:t>
      </w:r>
      <w:r w:rsidRPr="00A85F9C">
        <w:rPr>
          <w:rFonts w:cs="Arial"/>
          <w:sz w:val="16"/>
          <w:szCs w:val="16"/>
          <w:rtl/>
        </w:rPr>
        <w:t xml:space="preserve"> לה</w:t>
      </w:r>
      <w:r w:rsidRPr="00A85F9C">
        <w:rPr>
          <w:rFonts w:cs="Arial" w:hint="cs"/>
          <w:sz w:val="16"/>
          <w:szCs w:val="16"/>
          <w:rtl/>
        </w:rPr>
        <w:t>)</w:t>
      </w:r>
      <w:r>
        <w:rPr>
          <w:rFonts w:cs="Arial" w:hint="cs"/>
          <w:rtl/>
        </w:rPr>
        <w:t xml:space="preserve"> ומרדכי </w:t>
      </w:r>
      <w:r>
        <w:rPr>
          <w:rFonts w:cs="Arial" w:hint="cs"/>
          <w:sz w:val="16"/>
          <w:szCs w:val="16"/>
          <w:rtl/>
        </w:rPr>
        <w:t>(ב"ב סוף סי' תריב)</w:t>
      </w:r>
      <w:r>
        <w:rPr>
          <w:rFonts w:cs="Arial" w:hint="cs"/>
          <w:rtl/>
        </w:rPr>
        <w:t>-</w:t>
      </w:r>
      <w:r w:rsidRPr="00347C35">
        <w:rPr>
          <w:rFonts w:cs="Arial"/>
          <w:rtl/>
        </w:rPr>
        <w:t xml:space="preserve"> הטוען על אשתו שנמצאו בה מומין ומקחו מקח טעות</w:t>
      </w:r>
      <w:r>
        <w:rPr>
          <w:rFonts w:cs="Arial" w:hint="cs"/>
          <w:rtl/>
        </w:rPr>
        <w:t>,</w:t>
      </w:r>
      <w:r w:rsidRPr="00347C35">
        <w:rPr>
          <w:rFonts w:cs="Arial"/>
          <w:rtl/>
        </w:rPr>
        <w:t xml:space="preserve"> אם מתה</w:t>
      </w:r>
      <w:r>
        <w:rPr>
          <w:rFonts w:cs="Arial" w:hint="cs"/>
          <w:rtl/>
        </w:rPr>
        <w:t xml:space="preserve"> -</w:t>
      </w:r>
      <w:r w:rsidRPr="00347C35">
        <w:rPr>
          <w:rFonts w:cs="Arial"/>
          <w:rtl/>
        </w:rPr>
        <w:t xml:space="preserve"> אינו יורשה</w:t>
      </w:r>
      <w:r w:rsidR="00D67F32">
        <w:rPr>
          <w:rFonts w:cs="Arial" w:hint="cs"/>
          <w:sz w:val="16"/>
          <w:szCs w:val="16"/>
          <w:rtl/>
        </w:rPr>
        <w:t xml:space="preserve"> (ל' הדרכ"מ בשם התשובות מיימוניות)</w:t>
      </w:r>
      <w:r>
        <w:rPr>
          <w:rFonts w:cs="Arial" w:hint="cs"/>
          <w:rtl/>
        </w:rPr>
        <w:t>.</w:t>
      </w:r>
      <w:r w:rsidRPr="00CD2C4F">
        <w:rPr>
          <w:rFonts w:cs="Arial"/>
          <w:color w:val="00B0F0"/>
          <w:rtl/>
        </w:rPr>
        <w:t xml:space="preserve"> </w:t>
      </w:r>
      <w:r w:rsidRPr="00CD2C4F">
        <w:rPr>
          <w:rFonts w:hint="cs"/>
          <w:color w:val="00B0F0"/>
          <w:rtl/>
        </w:rPr>
        <w:t>(וכ"פ הרמ"א)</w:t>
      </w:r>
    </w:p>
    <w:p w14:paraId="17F485F6" w14:textId="08E61B9B" w:rsidR="00347C35" w:rsidRPr="00F3182B" w:rsidRDefault="00F3182B" w:rsidP="00347C35">
      <w:r w:rsidRPr="00F3182B">
        <w:rPr>
          <w:rFonts w:hint="cs"/>
          <w:u w:val="single"/>
          <w:rtl/>
        </w:rPr>
        <w:t xml:space="preserve">אדם שמורד על אשתו </w:t>
      </w:r>
      <w:r w:rsidRPr="00F3182B">
        <w:rPr>
          <w:rFonts w:hint="cs"/>
          <w:sz w:val="16"/>
          <w:szCs w:val="16"/>
          <w:u w:val="single"/>
          <w:rtl/>
        </w:rPr>
        <w:t>(או מדיר אותה)</w:t>
      </w:r>
      <w:r w:rsidRPr="00F3182B">
        <w:rPr>
          <w:rFonts w:hint="cs"/>
          <w:u w:val="single"/>
          <w:rtl/>
        </w:rPr>
        <w:t xml:space="preserve"> </w:t>
      </w:r>
      <w:r>
        <w:rPr>
          <w:rFonts w:hint="cs"/>
          <w:u w:val="single"/>
          <w:rtl/>
        </w:rPr>
        <w:t xml:space="preserve">- </w:t>
      </w:r>
      <w:r w:rsidRPr="00F3182B">
        <w:rPr>
          <w:rFonts w:hint="cs"/>
          <w:u w:val="single"/>
          <w:rtl/>
        </w:rPr>
        <w:t>הם יורש אותה:</w:t>
      </w:r>
      <w:r>
        <w:rPr>
          <w:rFonts w:hint="cs"/>
          <w:rtl/>
        </w:rPr>
        <w:t xml:space="preserve"> </w:t>
      </w:r>
      <w:r w:rsidRPr="00F3182B">
        <w:rPr>
          <w:rFonts w:hint="cs"/>
          <w:sz w:val="16"/>
          <w:szCs w:val="16"/>
          <w:rtl/>
        </w:rPr>
        <w:t>(דרכ"מ אות ה)</w:t>
      </w:r>
    </w:p>
    <w:p w14:paraId="41E471A1" w14:textId="26BDE110" w:rsidR="00347C35" w:rsidRPr="00347C35" w:rsidRDefault="00A85F9C" w:rsidP="009000E3">
      <w:pPr>
        <w:pStyle w:val="ab"/>
        <w:numPr>
          <w:ilvl w:val="0"/>
          <w:numId w:val="55"/>
        </w:numPr>
      </w:pPr>
      <w:r w:rsidRPr="00D9440F">
        <w:rPr>
          <w:rFonts w:cs="Arial"/>
          <w:rtl/>
        </w:rPr>
        <w:lastRenderedPageBreak/>
        <w:t>שלט</w:t>
      </w:r>
      <w:r>
        <w:rPr>
          <w:rFonts w:cs="Arial" w:hint="cs"/>
          <w:rtl/>
        </w:rPr>
        <w:t>"</w:t>
      </w:r>
      <w:r w:rsidRPr="00D9440F">
        <w:rPr>
          <w:rFonts w:cs="Arial"/>
          <w:rtl/>
        </w:rPr>
        <w:t xml:space="preserve">ג </w:t>
      </w:r>
      <w:r w:rsidRPr="00A85F9C">
        <w:rPr>
          <w:rFonts w:cs="Arial" w:hint="cs"/>
          <w:sz w:val="16"/>
          <w:szCs w:val="16"/>
          <w:rtl/>
        </w:rPr>
        <w:t>(</w:t>
      </w:r>
      <w:r w:rsidRPr="00A85F9C">
        <w:rPr>
          <w:rFonts w:cs="Arial"/>
          <w:sz w:val="16"/>
          <w:szCs w:val="16"/>
          <w:rtl/>
        </w:rPr>
        <w:t>כתובות כז: אות ב)</w:t>
      </w:r>
      <w:r>
        <w:rPr>
          <w:rFonts w:cs="Arial" w:hint="cs"/>
          <w:rtl/>
        </w:rPr>
        <w:t xml:space="preserve">- </w:t>
      </w:r>
      <w:r w:rsidR="00347C35" w:rsidRPr="00D9440F">
        <w:rPr>
          <w:rFonts w:cs="Arial"/>
          <w:rtl/>
        </w:rPr>
        <w:t xml:space="preserve">אם הוא מורד על אשתו או מדיר אשתו שדינו שיוציאה </w:t>
      </w:r>
      <w:r>
        <w:rPr>
          <w:rFonts w:cs="Arial" w:hint="cs"/>
          <w:rtl/>
        </w:rPr>
        <w:t xml:space="preserve">- </w:t>
      </w:r>
      <w:r w:rsidR="00347C35" w:rsidRPr="00D9440F">
        <w:rPr>
          <w:rFonts w:cs="Arial"/>
          <w:rtl/>
        </w:rPr>
        <w:t>אינו יורשה</w:t>
      </w:r>
      <w:r>
        <w:rPr>
          <w:rStyle w:val="a7"/>
          <w:rFonts w:cs="Arial"/>
          <w:rtl/>
        </w:rPr>
        <w:footnoteReference w:id="1241"/>
      </w:r>
      <w:r w:rsidR="00347C35">
        <w:rPr>
          <w:rFonts w:cs="Arial" w:hint="cs"/>
          <w:rtl/>
        </w:rPr>
        <w:t>.</w:t>
      </w:r>
      <w:r w:rsidR="00CD2C4F" w:rsidRPr="00CD2C4F">
        <w:rPr>
          <w:rFonts w:cs="Arial"/>
          <w:color w:val="00B0F0"/>
          <w:rtl/>
        </w:rPr>
        <w:t xml:space="preserve"> </w:t>
      </w:r>
      <w:r w:rsidR="00CD2C4F" w:rsidRPr="00CD2C4F">
        <w:rPr>
          <w:rFonts w:hint="cs"/>
          <w:color w:val="00B0F0"/>
          <w:rtl/>
        </w:rPr>
        <w:t>(וכ"</w:t>
      </w:r>
      <w:r w:rsidR="00CD2C4F">
        <w:rPr>
          <w:rFonts w:hint="cs"/>
          <w:color w:val="00B0F0"/>
          <w:rtl/>
        </w:rPr>
        <w:t>כ</w:t>
      </w:r>
      <w:r w:rsidR="00CD2C4F" w:rsidRPr="00CD2C4F">
        <w:rPr>
          <w:rFonts w:hint="cs"/>
          <w:color w:val="00B0F0"/>
          <w:rtl/>
        </w:rPr>
        <w:t xml:space="preserve"> הרמ"א)</w:t>
      </w:r>
    </w:p>
    <w:p w14:paraId="713EF36C" w14:textId="77777777" w:rsidR="00EB79BF" w:rsidRDefault="00EB79BF" w:rsidP="00EB79BF">
      <w:pPr>
        <w:rPr>
          <w:rFonts w:cs="Arial"/>
          <w:rtl/>
        </w:rPr>
      </w:pPr>
      <w:r w:rsidRPr="003024E5">
        <w:rPr>
          <w:rFonts w:asciiTheme="minorBidi" w:hAnsiTheme="minorBidi"/>
          <w:b/>
          <w:bCs/>
          <w:color w:val="000000"/>
          <w:sz w:val="28"/>
          <w:szCs w:val="28"/>
          <w:u w:val="single"/>
          <w:rtl/>
        </w:rPr>
        <w:t>שו"ע:</w:t>
      </w:r>
    </w:p>
    <w:p w14:paraId="6D0786FB" w14:textId="7C6E442E" w:rsidR="00352B7C" w:rsidRDefault="00EB79BF" w:rsidP="005358BD">
      <w:pPr>
        <w:rPr>
          <w:rFonts w:cs="Arial"/>
          <w:rtl/>
        </w:rPr>
      </w:pPr>
      <w:r w:rsidRPr="00EB79BF">
        <w:rPr>
          <w:rFonts w:cs="Arial"/>
          <w:rtl/>
        </w:rPr>
        <w:t xml:space="preserve">מי שנתגרשה ספק גרושין, ומתה, אין הבעל יורשה. </w:t>
      </w:r>
      <w:r w:rsidRPr="00FA43C3">
        <w:rPr>
          <w:rFonts w:cs="Arial"/>
          <w:sz w:val="18"/>
          <w:szCs w:val="18"/>
          <w:rtl/>
        </w:rPr>
        <w:t>הגה: אבל כל זמן שלא נתגרשה, אע</w:t>
      </w:r>
      <w:r w:rsidR="00E40744">
        <w:rPr>
          <w:rFonts w:cs="Arial" w:hint="cs"/>
          <w:sz w:val="18"/>
          <w:szCs w:val="18"/>
          <w:rtl/>
        </w:rPr>
        <w:t>"</w:t>
      </w:r>
      <w:r w:rsidRPr="00FA43C3">
        <w:rPr>
          <w:rFonts w:cs="Arial"/>
          <w:sz w:val="18"/>
          <w:szCs w:val="18"/>
          <w:rtl/>
        </w:rPr>
        <w:t>ג שנתן עיניו לגרש, יורשה</w:t>
      </w:r>
      <w:r w:rsidR="005358BD">
        <w:rPr>
          <w:rStyle w:val="a7"/>
          <w:rFonts w:cs="Arial"/>
          <w:sz w:val="18"/>
          <w:szCs w:val="18"/>
          <w:rtl/>
        </w:rPr>
        <w:footnoteReference w:id="1242"/>
      </w:r>
      <w:r w:rsidRPr="00FA43C3">
        <w:rPr>
          <w:rFonts w:cs="Arial"/>
          <w:sz w:val="18"/>
          <w:szCs w:val="18"/>
          <w:rtl/>
        </w:rPr>
        <w:t xml:space="preserve"> (</w:t>
      </w:r>
      <w:r w:rsidR="00540B50">
        <w:rPr>
          <w:rFonts w:cs="Arial" w:hint="cs"/>
          <w:sz w:val="18"/>
          <w:szCs w:val="18"/>
          <w:rtl/>
        </w:rPr>
        <w:t xml:space="preserve">תוס' מרדכי </w:t>
      </w:r>
      <w:r w:rsidRPr="00FA43C3">
        <w:rPr>
          <w:rFonts w:cs="Arial"/>
          <w:sz w:val="18"/>
          <w:szCs w:val="18"/>
          <w:rtl/>
        </w:rPr>
        <w:t>רא"ש</w:t>
      </w:r>
      <w:r w:rsidR="00540B50">
        <w:rPr>
          <w:rFonts w:cs="Arial" w:hint="cs"/>
          <w:sz w:val="18"/>
          <w:szCs w:val="18"/>
          <w:rtl/>
        </w:rPr>
        <w:t xml:space="preserve"> וטור</w:t>
      </w:r>
      <w:r w:rsidRPr="00FA43C3">
        <w:rPr>
          <w:rFonts w:cs="Arial"/>
          <w:sz w:val="18"/>
          <w:szCs w:val="18"/>
          <w:rtl/>
        </w:rPr>
        <w:t>). הטוען על אשתו שהיו בה מומין ומקחו מקח טעות</w:t>
      </w:r>
      <w:r w:rsidR="007F201D">
        <w:rPr>
          <w:rStyle w:val="a7"/>
          <w:rFonts w:cs="Arial"/>
          <w:sz w:val="18"/>
          <w:szCs w:val="18"/>
          <w:rtl/>
        </w:rPr>
        <w:footnoteReference w:id="1243"/>
      </w:r>
      <w:r w:rsidRPr="00FA43C3">
        <w:rPr>
          <w:rFonts w:cs="Arial"/>
          <w:sz w:val="18"/>
          <w:szCs w:val="18"/>
          <w:rtl/>
        </w:rPr>
        <w:t>, כמו שנתבאר לעיל סי</w:t>
      </w:r>
      <w:r w:rsidR="00E40744">
        <w:rPr>
          <w:rFonts w:cs="Arial" w:hint="cs"/>
          <w:sz w:val="18"/>
          <w:szCs w:val="18"/>
          <w:rtl/>
        </w:rPr>
        <w:t>'</w:t>
      </w:r>
      <w:r w:rsidRPr="00FA43C3">
        <w:rPr>
          <w:rFonts w:cs="Arial"/>
          <w:sz w:val="18"/>
          <w:szCs w:val="18"/>
          <w:rtl/>
        </w:rPr>
        <w:t xml:space="preserve"> ל"ט, אם מתה אינו יורשה (תשו</w:t>
      </w:r>
      <w:r w:rsidR="004C1003">
        <w:rPr>
          <w:rFonts w:cs="Arial" w:hint="cs"/>
          <w:sz w:val="18"/>
          <w:szCs w:val="18"/>
          <w:rtl/>
        </w:rPr>
        <w:t>'</w:t>
      </w:r>
      <w:r w:rsidRPr="00FA43C3">
        <w:rPr>
          <w:rFonts w:cs="Arial"/>
          <w:sz w:val="18"/>
          <w:szCs w:val="18"/>
          <w:rtl/>
        </w:rPr>
        <w:t xml:space="preserve"> מיי</w:t>
      </w:r>
      <w:r w:rsidR="004C1003">
        <w:rPr>
          <w:rFonts w:cs="Arial" w:hint="cs"/>
          <w:sz w:val="18"/>
          <w:szCs w:val="18"/>
          <w:rtl/>
        </w:rPr>
        <w:t>מוניות</w:t>
      </w:r>
      <w:r w:rsidRPr="00FA43C3">
        <w:rPr>
          <w:rFonts w:cs="Arial"/>
          <w:sz w:val="18"/>
          <w:szCs w:val="18"/>
          <w:rtl/>
        </w:rPr>
        <w:t xml:space="preserve"> ומרדכי). אשה שמרדה בבעלה ומתה, בעלה יורשה (כ</w:t>
      </w:r>
      <w:r w:rsidR="00C14040">
        <w:rPr>
          <w:rFonts w:cs="Arial" w:hint="cs"/>
          <w:sz w:val="18"/>
          <w:szCs w:val="18"/>
          <w:rtl/>
        </w:rPr>
        <w:t>"</w:t>
      </w:r>
      <w:r w:rsidRPr="00FA43C3">
        <w:rPr>
          <w:rFonts w:cs="Arial"/>
          <w:sz w:val="18"/>
          <w:szCs w:val="18"/>
          <w:rtl/>
        </w:rPr>
        <w:t>מ מל' ה</w:t>
      </w:r>
      <w:r w:rsidR="00C14040">
        <w:rPr>
          <w:rFonts w:cs="Arial" w:hint="cs"/>
          <w:sz w:val="18"/>
          <w:szCs w:val="18"/>
          <w:rtl/>
        </w:rPr>
        <w:t>ה</w:t>
      </w:r>
      <w:r w:rsidRPr="00FA43C3">
        <w:rPr>
          <w:rFonts w:cs="Arial"/>
          <w:sz w:val="18"/>
          <w:szCs w:val="18"/>
          <w:rtl/>
        </w:rPr>
        <w:t>"מ), וע"ל סימן ע"ז. המורד על אשתו או מדירה ואינו נוהג עמה מנהג אישות</w:t>
      </w:r>
      <w:r w:rsidR="007F201D">
        <w:rPr>
          <w:rStyle w:val="a7"/>
          <w:rFonts w:cs="Arial"/>
          <w:sz w:val="18"/>
          <w:szCs w:val="18"/>
          <w:rtl/>
        </w:rPr>
        <w:footnoteReference w:id="1244"/>
      </w:r>
      <w:r w:rsidRPr="00FA43C3">
        <w:rPr>
          <w:rFonts w:cs="Arial"/>
          <w:sz w:val="18"/>
          <w:szCs w:val="18"/>
          <w:rtl/>
        </w:rPr>
        <w:t>, י"א דאם מתה אינו יורשה (</w:t>
      </w:r>
      <w:r w:rsidR="004C1003">
        <w:rPr>
          <w:rFonts w:cs="Arial" w:hint="cs"/>
          <w:sz w:val="18"/>
          <w:szCs w:val="18"/>
          <w:rtl/>
        </w:rPr>
        <w:t>שלט"ג</w:t>
      </w:r>
      <w:r w:rsidRPr="00FA43C3">
        <w:rPr>
          <w:rFonts w:cs="Arial"/>
          <w:sz w:val="18"/>
          <w:szCs w:val="18"/>
          <w:rtl/>
        </w:rPr>
        <w:t>).</w:t>
      </w:r>
      <w:r w:rsidRPr="00EB79BF">
        <w:rPr>
          <w:rFonts w:cs="Arial"/>
          <w:rtl/>
        </w:rPr>
        <w:t xml:space="preserve"> </w:t>
      </w:r>
    </w:p>
    <w:p w14:paraId="4872A5F3" w14:textId="77777777" w:rsidR="00FA43C3" w:rsidRPr="00EB79BF" w:rsidRDefault="00FA43C3" w:rsidP="00EB79BF">
      <w:pPr>
        <w:rPr>
          <w:rFonts w:cs="Arial"/>
          <w:rtl/>
        </w:rPr>
      </w:pPr>
    </w:p>
    <w:p w14:paraId="60737443" w14:textId="22EE98BD" w:rsidR="00EB79BF" w:rsidRDefault="00EB79BF" w:rsidP="000F64D0">
      <w:pPr>
        <w:pStyle w:val="2"/>
        <w:rPr>
          <w:rtl/>
        </w:rPr>
      </w:pPr>
      <w:r w:rsidRPr="00EB79BF">
        <w:rPr>
          <w:rtl/>
        </w:rPr>
        <w:t>סעיף ו</w:t>
      </w:r>
      <w:r w:rsidR="004C1003">
        <w:rPr>
          <w:rFonts w:hint="cs"/>
          <w:rtl/>
        </w:rPr>
        <w:t xml:space="preserve">: </w:t>
      </w:r>
      <w:r w:rsidR="00B90A53" w:rsidRPr="00EB79BF">
        <w:rPr>
          <w:rtl/>
        </w:rPr>
        <w:t>נפל הבית עליו ועל אשתו</w:t>
      </w:r>
      <w:r w:rsidR="00B90A53">
        <w:rPr>
          <w:rFonts w:hint="cs"/>
          <w:rtl/>
        </w:rPr>
        <w:t>,</w:t>
      </w:r>
      <w:r w:rsidR="00B90A53" w:rsidRPr="00EB79BF">
        <w:rPr>
          <w:rtl/>
        </w:rPr>
        <w:t xml:space="preserve"> </w:t>
      </w:r>
      <w:r w:rsidR="00B90A53">
        <w:rPr>
          <w:rFonts w:hint="cs"/>
          <w:rtl/>
        </w:rPr>
        <w:t>ולא ידוע מי מת קודם</w:t>
      </w:r>
      <w:r w:rsidR="00B90A53" w:rsidRPr="00EB79BF">
        <w:rPr>
          <w:rtl/>
        </w:rPr>
        <w:t>, ואין לו בנים ממנה</w:t>
      </w:r>
      <w:r w:rsidR="00B90A53">
        <w:rPr>
          <w:rFonts w:hint="cs"/>
          <w:rtl/>
        </w:rPr>
        <w:t>.</w:t>
      </w:r>
    </w:p>
    <w:p w14:paraId="5BB312BC" w14:textId="2DE07EB4" w:rsidR="007B4753" w:rsidRPr="007B4753" w:rsidRDefault="007B4753" w:rsidP="007B4753">
      <w:pPr>
        <w:rPr>
          <w:rtl/>
        </w:rPr>
      </w:pPr>
      <w:r w:rsidRPr="004E510F">
        <w:rPr>
          <w:rFonts w:cs="Arial"/>
          <w:b/>
          <w:bCs/>
          <w:rtl/>
        </w:rPr>
        <w:t xml:space="preserve">בבא בתרא </w:t>
      </w:r>
      <w:r w:rsidRPr="00BD74BB">
        <w:rPr>
          <w:rFonts w:cs="Arial" w:hint="cs"/>
          <w:b/>
          <w:bCs/>
          <w:sz w:val="16"/>
          <w:szCs w:val="16"/>
          <w:rtl/>
        </w:rPr>
        <w:t>(פ' מי שמת)</w:t>
      </w:r>
      <w:r w:rsidRPr="004E510F">
        <w:rPr>
          <w:rFonts w:cs="Arial" w:hint="cs"/>
          <w:b/>
          <w:bCs/>
          <w:rtl/>
        </w:rPr>
        <w:t xml:space="preserve"> </w:t>
      </w:r>
      <w:r w:rsidRPr="004E510F">
        <w:rPr>
          <w:rFonts w:cs="Arial"/>
          <w:b/>
          <w:bCs/>
          <w:rtl/>
        </w:rPr>
        <w:t>קנח</w:t>
      </w:r>
      <w:r w:rsidR="00AE3B0E">
        <w:rPr>
          <w:rStyle w:val="a7"/>
          <w:rFonts w:cs="Arial"/>
          <w:b/>
          <w:bCs/>
          <w:rtl/>
        </w:rPr>
        <w:footnoteReference w:id="1245"/>
      </w:r>
      <w:r w:rsidRPr="004E510F">
        <w:rPr>
          <w:rFonts w:cs="Arial"/>
          <w:b/>
          <w:bCs/>
          <w:rtl/>
        </w:rPr>
        <w:t xml:space="preserve"> ע</w:t>
      </w:r>
      <w:r w:rsidRPr="004E510F">
        <w:rPr>
          <w:rFonts w:cs="Arial" w:hint="cs"/>
          <w:b/>
          <w:bCs/>
          <w:rtl/>
        </w:rPr>
        <w:t>"א:</w:t>
      </w:r>
      <w:r w:rsidRPr="004E510F">
        <w:rPr>
          <w:rFonts w:cs="Arial"/>
          <w:rtl/>
        </w:rPr>
        <w:t xml:space="preserve"> </w:t>
      </w:r>
      <w:r w:rsidRPr="004E510F">
        <w:rPr>
          <w:rFonts w:cs="Arial"/>
          <w:u w:val="double"/>
          <w:rtl/>
        </w:rPr>
        <w:t>מתני'</w:t>
      </w:r>
      <w:r>
        <w:rPr>
          <w:rFonts w:cs="Arial" w:hint="cs"/>
          <w:rtl/>
        </w:rPr>
        <w:t>:</w:t>
      </w:r>
      <w:r w:rsidRPr="004E510F">
        <w:rPr>
          <w:rFonts w:cs="Arial"/>
          <w:rtl/>
        </w:rPr>
        <w:t xml:space="preserve"> נפל הבית עליו ועל אשתו, יורשי הבעל אומרים: אשה מתה ראשון ואחר כך מת הבעל, יורשי אשה אומרים: בעל מת ראשון ואחר כך מתה אשה</w:t>
      </w:r>
      <w:r>
        <w:rPr>
          <w:rFonts w:cs="Arial" w:hint="cs"/>
          <w:rtl/>
        </w:rPr>
        <w:t>,</w:t>
      </w:r>
      <w:r w:rsidRPr="004E510F">
        <w:rPr>
          <w:rFonts w:cs="Arial"/>
          <w:rtl/>
        </w:rPr>
        <w:t xml:space="preserve"> </w:t>
      </w:r>
      <w:r w:rsidRPr="00BD74BB">
        <w:rPr>
          <w:rFonts w:cs="Arial"/>
          <w:u w:val="single"/>
          <w:rtl/>
        </w:rPr>
        <w:t>בית שמאי אומרים</w:t>
      </w:r>
      <w:r w:rsidRPr="004E510F">
        <w:rPr>
          <w:rFonts w:cs="Arial"/>
          <w:rtl/>
        </w:rPr>
        <w:t>: יחלוקו</w:t>
      </w:r>
      <w:r>
        <w:rPr>
          <w:rFonts w:cs="Arial" w:hint="cs"/>
          <w:rtl/>
        </w:rPr>
        <w:t>.</w:t>
      </w:r>
      <w:r w:rsidRPr="004E510F">
        <w:rPr>
          <w:rFonts w:cs="Arial"/>
          <w:rtl/>
        </w:rPr>
        <w:t xml:space="preserve"> </w:t>
      </w:r>
      <w:r w:rsidRPr="00BD74BB">
        <w:rPr>
          <w:rFonts w:cs="Arial"/>
          <w:u w:val="single"/>
          <w:rtl/>
        </w:rPr>
        <w:t>ובית הלל אומרים</w:t>
      </w:r>
      <w:r w:rsidRPr="004E510F">
        <w:rPr>
          <w:rFonts w:cs="Arial"/>
          <w:rtl/>
        </w:rPr>
        <w:t>: נכסים</w:t>
      </w:r>
      <w:r>
        <w:rPr>
          <w:rStyle w:val="a7"/>
          <w:rFonts w:cs="Arial"/>
          <w:rtl/>
        </w:rPr>
        <w:footnoteReference w:id="1246"/>
      </w:r>
      <w:r w:rsidRPr="004E510F">
        <w:rPr>
          <w:rFonts w:cs="Arial"/>
          <w:rtl/>
        </w:rPr>
        <w:t xml:space="preserve"> </w:t>
      </w:r>
      <w:r>
        <w:rPr>
          <w:rFonts w:cs="Arial" w:hint="cs"/>
          <w:rtl/>
        </w:rPr>
        <w:t xml:space="preserve">- </w:t>
      </w:r>
      <w:r w:rsidRPr="004E510F">
        <w:rPr>
          <w:rFonts w:cs="Arial"/>
          <w:rtl/>
        </w:rPr>
        <w:t>בחזקתן</w:t>
      </w:r>
      <w:r>
        <w:rPr>
          <w:rFonts w:cs="Arial" w:hint="cs"/>
          <w:rtl/>
        </w:rPr>
        <w:t>.</w:t>
      </w:r>
      <w:r w:rsidRPr="004E510F">
        <w:rPr>
          <w:rFonts w:cs="Arial"/>
          <w:rtl/>
        </w:rPr>
        <w:t xml:space="preserve"> כתובה</w:t>
      </w:r>
      <w:r>
        <w:rPr>
          <w:rStyle w:val="a7"/>
          <w:rFonts w:cs="Arial"/>
          <w:rtl/>
        </w:rPr>
        <w:footnoteReference w:id="1247"/>
      </w:r>
      <w:r w:rsidRPr="004E510F">
        <w:rPr>
          <w:rFonts w:cs="Arial"/>
          <w:rtl/>
        </w:rPr>
        <w:t xml:space="preserve"> - בחזקת יורשי הבעל</w:t>
      </w:r>
      <w:r>
        <w:rPr>
          <w:rFonts w:cs="Arial" w:hint="cs"/>
          <w:rtl/>
        </w:rPr>
        <w:t>.</w:t>
      </w:r>
      <w:r w:rsidRPr="004E510F">
        <w:rPr>
          <w:rFonts w:cs="Arial"/>
          <w:rtl/>
        </w:rPr>
        <w:t xml:space="preserve"> נכסים הנכנסין והיוצאין עמה</w:t>
      </w:r>
      <w:r>
        <w:rPr>
          <w:rStyle w:val="a7"/>
          <w:rFonts w:cs="Arial"/>
          <w:rtl/>
        </w:rPr>
        <w:footnoteReference w:id="1248"/>
      </w:r>
      <w:r w:rsidRPr="004E510F">
        <w:rPr>
          <w:rFonts w:cs="Arial"/>
          <w:rtl/>
        </w:rPr>
        <w:t xml:space="preserve"> - בחזקת יורשי האב</w:t>
      </w:r>
      <w:r>
        <w:rPr>
          <w:rStyle w:val="a7"/>
          <w:rFonts w:cs="Arial"/>
          <w:rtl/>
        </w:rPr>
        <w:footnoteReference w:id="1249"/>
      </w:r>
      <w:r w:rsidRPr="004E510F">
        <w:rPr>
          <w:rFonts w:cs="Arial"/>
          <w:rtl/>
        </w:rPr>
        <w:t>.</w:t>
      </w:r>
      <w:r>
        <w:rPr>
          <w:rFonts w:hint="cs"/>
          <w:rtl/>
        </w:rPr>
        <w:t xml:space="preserve">     </w:t>
      </w:r>
      <w:r w:rsidRPr="00BD74BB">
        <w:rPr>
          <w:rtl/>
        </w:rPr>
        <w:t xml:space="preserve"> </w:t>
      </w:r>
      <w:r w:rsidRPr="00BD74BB">
        <w:rPr>
          <w:rFonts w:cs="Arial"/>
          <w:u w:val="double"/>
          <w:rtl/>
        </w:rPr>
        <w:t>גמ'</w:t>
      </w:r>
      <w:r>
        <w:rPr>
          <w:rFonts w:cs="Arial" w:hint="cs"/>
          <w:u w:val="double"/>
          <w:rtl/>
        </w:rPr>
        <w:t xml:space="preserve"> </w:t>
      </w:r>
      <w:r>
        <w:rPr>
          <w:rFonts w:cs="Arial" w:hint="cs"/>
          <w:sz w:val="14"/>
          <w:szCs w:val="14"/>
          <w:u w:val="double"/>
          <w:rtl/>
        </w:rPr>
        <w:t>(קנח:)</w:t>
      </w:r>
      <w:r w:rsidRPr="00BD74BB">
        <w:rPr>
          <w:rFonts w:cs="Arial" w:hint="cs"/>
          <w:u w:val="double"/>
          <w:rtl/>
        </w:rPr>
        <w:t>:</w:t>
      </w:r>
      <w:r w:rsidRPr="00BD74BB">
        <w:rPr>
          <w:rFonts w:cs="Arial"/>
          <w:rtl/>
        </w:rPr>
        <w:t xml:space="preserve"> בחזקת מי? </w:t>
      </w:r>
      <w:r w:rsidRPr="00BD74BB">
        <w:rPr>
          <w:rFonts w:cs="Arial"/>
          <w:u w:val="single"/>
          <w:rtl/>
        </w:rPr>
        <w:t>ר' יוחנן אמר</w:t>
      </w:r>
      <w:r w:rsidRPr="00BD74BB">
        <w:rPr>
          <w:rFonts w:cs="Arial"/>
          <w:rtl/>
        </w:rPr>
        <w:t>: בחזקת יורשי הבעל</w:t>
      </w:r>
      <w:r>
        <w:rPr>
          <w:rFonts w:cs="Arial" w:hint="cs"/>
          <w:rtl/>
        </w:rPr>
        <w:t>.</w:t>
      </w:r>
      <w:r w:rsidRPr="00BD74BB">
        <w:rPr>
          <w:rFonts w:cs="Arial"/>
          <w:rtl/>
        </w:rPr>
        <w:t xml:space="preserve"> </w:t>
      </w:r>
      <w:r w:rsidRPr="00BD74BB">
        <w:rPr>
          <w:rFonts w:cs="Arial"/>
          <w:u w:val="single"/>
          <w:rtl/>
        </w:rPr>
        <w:t>ור' אלעזר אמר</w:t>
      </w:r>
      <w:r w:rsidRPr="00BD74BB">
        <w:rPr>
          <w:rFonts w:cs="Arial"/>
          <w:rtl/>
        </w:rPr>
        <w:t>: בחזקת יורשי האשה</w:t>
      </w:r>
      <w:r>
        <w:rPr>
          <w:rFonts w:cs="Arial" w:hint="cs"/>
          <w:rtl/>
        </w:rPr>
        <w:t>.</w:t>
      </w:r>
      <w:r w:rsidRPr="00BD74BB">
        <w:rPr>
          <w:rFonts w:cs="Arial"/>
          <w:rtl/>
        </w:rPr>
        <w:t xml:space="preserve"> </w:t>
      </w:r>
      <w:r w:rsidRPr="00BD74BB">
        <w:rPr>
          <w:rFonts w:cs="Arial"/>
          <w:u w:val="single"/>
          <w:rtl/>
        </w:rPr>
        <w:t>ור' שמעון בן לקיש משום בר קפרא אמר</w:t>
      </w:r>
      <w:r w:rsidRPr="00BD74BB">
        <w:rPr>
          <w:rFonts w:cs="Arial"/>
          <w:rtl/>
        </w:rPr>
        <w:t xml:space="preserve">: יחלוקו. </w:t>
      </w:r>
      <w:r w:rsidRPr="00BD74BB">
        <w:rPr>
          <w:rFonts w:cs="Arial"/>
          <w:u w:val="single"/>
          <w:rtl/>
        </w:rPr>
        <w:t>וכן תני בר קפרא</w:t>
      </w:r>
      <w:r w:rsidRPr="00BD74BB">
        <w:rPr>
          <w:rFonts w:cs="Arial"/>
          <w:rtl/>
        </w:rPr>
        <w:t>: הואיל והללו באין לירש והללו באין לירש - יחלוקו.</w:t>
      </w:r>
      <w:r w:rsidRPr="007C72E9">
        <w:rPr>
          <w:rFonts w:hint="cs"/>
          <w:sz w:val="16"/>
          <w:szCs w:val="16"/>
          <w:rtl/>
        </w:rPr>
        <w:t xml:space="preserve"> (</w:t>
      </w:r>
      <w:r>
        <w:rPr>
          <w:rFonts w:hint="cs"/>
          <w:sz w:val="16"/>
          <w:szCs w:val="16"/>
          <w:rtl/>
        </w:rPr>
        <w:t>ו</w:t>
      </w:r>
      <w:r w:rsidRPr="007B4753">
        <w:rPr>
          <w:rFonts w:cs="Arial"/>
          <w:sz w:val="16"/>
          <w:szCs w:val="16"/>
          <w:rtl/>
        </w:rPr>
        <w:t>פסק</w:t>
      </w:r>
      <w:r w:rsidR="00AE3B0E">
        <w:rPr>
          <w:rFonts w:cs="Arial" w:hint="cs"/>
          <w:sz w:val="16"/>
          <w:szCs w:val="16"/>
          <w:rtl/>
        </w:rPr>
        <w:t>ו</w:t>
      </w:r>
      <w:r w:rsidRPr="007B4753">
        <w:rPr>
          <w:rFonts w:cs="Arial"/>
          <w:sz w:val="16"/>
          <w:szCs w:val="16"/>
          <w:rtl/>
        </w:rPr>
        <w:t xml:space="preserve"> הרי"ף (עד:) והרא"ש (סי' לט) והרמב"ם (נחלות פ"ה ה"ו) כבר קפרא</w:t>
      </w:r>
      <w:r w:rsidRPr="007B4753">
        <w:rPr>
          <w:rFonts w:cs="Arial" w:hint="cs"/>
          <w:sz w:val="16"/>
          <w:szCs w:val="16"/>
          <w:rtl/>
        </w:rPr>
        <w:t>, ב"י)</w:t>
      </w:r>
    </w:p>
    <w:p w14:paraId="38EC46CD" w14:textId="541B028F" w:rsidR="004C1003" w:rsidRPr="00B90A53" w:rsidRDefault="00B90A53" w:rsidP="004C1003">
      <w:pPr>
        <w:rPr>
          <w:u w:val="single"/>
          <w:rtl/>
        </w:rPr>
      </w:pPr>
      <w:r w:rsidRPr="00B90A53">
        <w:rPr>
          <w:rFonts w:cs="Arial"/>
          <w:u w:val="single"/>
          <w:rtl/>
        </w:rPr>
        <w:t>נפל הבית עליו ועל אשתו</w:t>
      </w:r>
      <w:r w:rsidRPr="00B90A53">
        <w:rPr>
          <w:rFonts w:cs="Arial" w:hint="cs"/>
          <w:u w:val="single"/>
          <w:rtl/>
        </w:rPr>
        <w:t>,</w:t>
      </w:r>
      <w:r w:rsidRPr="00B90A53">
        <w:rPr>
          <w:rFonts w:cs="Arial"/>
          <w:u w:val="single"/>
          <w:rtl/>
        </w:rPr>
        <w:t xml:space="preserve"> </w:t>
      </w:r>
      <w:r w:rsidRPr="00B90A53">
        <w:rPr>
          <w:rFonts w:cs="Arial" w:hint="cs"/>
          <w:u w:val="single"/>
          <w:rtl/>
        </w:rPr>
        <w:t>ולא ידוע מי מת קודם</w:t>
      </w:r>
      <w:r w:rsidRPr="00B90A53">
        <w:rPr>
          <w:rFonts w:cs="Arial"/>
          <w:u w:val="single"/>
          <w:rtl/>
        </w:rPr>
        <w:t>, ואין לו בנים ממנה</w:t>
      </w:r>
      <w:r w:rsidRPr="00B90A53">
        <w:rPr>
          <w:rFonts w:hint="cs"/>
          <w:u w:val="single"/>
          <w:rtl/>
        </w:rPr>
        <w:t>:</w:t>
      </w:r>
    </w:p>
    <w:p w14:paraId="440AE9CE" w14:textId="6736594A" w:rsidR="006262B5" w:rsidRPr="006262B5" w:rsidRDefault="006262B5" w:rsidP="009000E3">
      <w:pPr>
        <w:pStyle w:val="ab"/>
        <w:numPr>
          <w:ilvl w:val="0"/>
          <w:numId w:val="55"/>
        </w:numPr>
        <w:rPr>
          <w:rtl/>
        </w:rPr>
      </w:pPr>
      <w:r w:rsidRPr="004D3B08">
        <w:rPr>
          <w:rFonts w:cs="Arial" w:hint="cs"/>
          <w:rtl/>
        </w:rPr>
        <w:t xml:space="preserve">טור- </w:t>
      </w:r>
      <w:r w:rsidRPr="004D3B08">
        <w:rPr>
          <w:rFonts w:cs="Arial"/>
          <w:rtl/>
        </w:rPr>
        <w:t>נפל הבית עליו ועל אשתו ואין ידוע איזה מת תחילה ואין לו בנים ממנה</w:t>
      </w:r>
      <w:r w:rsidR="00E81508">
        <w:rPr>
          <w:rFonts w:cs="Arial" w:hint="cs"/>
          <w:rtl/>
        </w:rPr>
        <w:t>.</w:t>
      </w:r>
      <w:r w:rsidRPr="004D3B08">
        <w:rPr>
          <w:rFonts w:cs="Arial"/>
          <w:rtl/>
        </w:rPr>
        <w:t xml:space="preserve"> יורשי הבעל אומרים היא מתה תחילה</w:t>
      </w:r>
      <w:r w:rsidR="00E81508">
        <w:rPr>
          <w:rFonts w:cs="Arial" w:hint="cs"/>
          <w:rtl/>
        </w:rPr>
        <w:t>,</w:t>
      </w:r>
      <w:r w:rsidRPr="004D3B08">
        <w:rPr>
          <w:rFonts w:cs="Arial"/>
          <w:rtl/>
        </w:rPr>
        <w:t xml:space="preserve"> וירשה</w:t>
      </w:r>
      <w:r w:rsidR="00E81508">
        <w:rPr>
          <w:rFonts w:cs="Arial" w:hint="cs"/>
          <w:rtl/>
        </w:rPr>
        <w:t>,</w:t>
      </w:r>
      <w:r w:rsidRPr="004D3B08">
        <w:rPr>
          <w:rFonts w:cs="Arial"/>
          <w:rtl/>
        </w:rPr>
        <w:t xml:space="preserve"> ואנו נירשנו</w:t>
      </w:r>
      <w:r w:rsidR="00E81508">
        <w:rPr>
          <w:rFonts w:cs="Arial" w:hint="cs"/>
          <w:rtl/>
        </w:rPr>
        <w:t>.</w:t>
      </w:r>
      <w:r w:rsidRPr="004D3B08">
        <w:rPr>
          <w:rFonts w:cs="Arial"/>
          <w:rtl/>
        </w:rPr>
        <w:t xml:space="preserve"> ויורשי האשה אומרים הבעל מת תחילה</w:t>
      </w:r>
      <w:r w:rsidR="00E81508">
        <w:rPr>
          <w:rFonts w:cs="Arial" w:hint="cs"/>
          <w:rtl/>
        </w:rPr>
        <w:t>,</w:t>
      </w:r>
      <w:r w:rsidRPr="004D3B08">
        <w:rPr>
          <w:rFonts w:cs="Arial"/>
          <w:rtl/>
        </w:rPr>
        <w:t xml:space="preserve"> וזכתה בכתובתה ונדוניתה</w:t>
      </w:r>
      <w:r w:rsidR="00E81508">
        <w:rPr>
          <w:rFonts w:cs="Arial" w:hint="cs"/>
          <w:rtl/>
        </w:rPr>
        <w:t>,</w:t>
      </w:r>
      <w:r w:rsidRPr="004D3B08">
        <w:rPr>
          <w:rFonts w:cs="Arial"/>
          <w:rtl/>
        </w:rPr>
        <w:t xml:space="preserve"> ואנו נירש אותה</w:t>
      </w:r>
      <w:r w:rsidR="00E81508">
        <w:rPr>
          <w:rFonts w:cs="Arial" w:hint="cs"/>
          <w:rtl/>
        </w:rPr>
        <w:t>.</w:t>
      </w:r>
      <w:r w:rsidRPr="004D3B08">
        <w:rPr>
          <w:rFonts w:cs="Arial"/>
          <w:rtl/>
        </w:rPr>
        <w:t xml:space="preserve"> וכגון שייחד לה נכסים לכתובתה שאינה צריכה לישבע</w:t>
      </w:r>
      <w:r w:rsidR="004B1BD3">
        <w:rPr>
          <w:rStyle w:val="a7"/>
          <w:rFonts w:cs="Arial"/>
          <w:rtl/>
        </w:rPr>
        <w:footnoteReference w:id="1250"/>
      </w:r>
      <w:r w:rsidR="00E81508">
        <w:rPr>
          <w:rFonts w:cs="Arial" w:hint="cs"/>
          <w:rtl/>
        </w:rPr>
        <w:t>,</w:t>
      </w:r>
      <w:r w:rsidRPr="004D3B08">
        <w:rPr>
          <w:rFonts w:cs="Arial"/>
          <w:rtl/>
        </w:rPr>
        <w:t xml:space="preserve"> דאם לא כן אפילו מת הבעל תחילה אין יורשין כתובתה</w:t>
      </w:r>
      <w:r w:rsidR="00CB21A0">
        <w:rPr>
          <w:rFonts w:cs="Arial" w:hint="cs"/>
          <w:rtl/>
        </w:rPr>
        <w:t>.</w:t>
      </w:r>
      <w:r w:rsidRPr="004D3B08">
        <w:rPr>
          <w:rFonts w:cs="Arial"/>
          <w:rtl/>
        </w:rPr>
        <w:t xml:space="preserve"> יורשי הבעל יורשים עיקר הכתובה והתוספת</w:t>
      </w:r>
      <w:r w:rsidR="002B5810">
        <w:rPr>
          <w:rFonts w:cs="Arial" w:hint="cs"/>
          <w:rtl/>
        </w:rPr>
        <w:t>,</w:t>
      </w:r>
      <w:r w:rsidRPr="004D3B08">
        <w:rPr>
          <w:rFonts w:cs="Arial"/>
          <w:rtl/>
        </w:rPr>
        <w:t xml:space="preserve"> ויורשי האשה יורשים נכסי מלוג שלה</w:t>
      </w:r>
      <w:r w:rsidR="00E81508">
        <w:rPr>
          <w:rFonts w:cs="Arial" w:hint="cs"/>
          <w:rtl/>
        </w:rPr>
        <w:t>,</w:t>
      </w:r>
      <w:r w:rsidRPr="004D3B08">
        <w:rPr>
          <w:rFonts w:cs="Arial"/>
          <w:rtl/>
        </w:rPr>
        <w:t xml:space="preserve"> ובנכסי צאן ברזל יחלקו בין שניהם</w:t>
      </w:r>
      <w:r w:rsidR="00E81508">
        <w:rPr>
          <w:rFonts w:hint="cs"/>
          <w:rtl/>
        </w:rPr>
        <w:t>.</w:t>
      </w:r>
      <w:r w:rsidR="00AE3B0E" w:rsidRPr="00AE3B0E">
        <w:rPr>
          <w:rFonts w:hint="cs"/>
          <w:color w:val="E36C0A" w:themeColor="accent6" w:themeShade="BF"/>
          <w:rtl/>
        </w:rPr>
        <w:t xml:space="preserve"> </w:t>
      </w:r>
      <w:r w:rsidR="00AE3B0E" w:rsidRPr="001D67C0">
        <w:rPr>
          <w:rFonts w:hint="cs"/>
          <w:color w:val="E36C0A" w:themeColor="accent6" w:themeShade="BF"/>
          <w:rtl/>
        </w:rPr>
        <w:t>(וכ"פ בשו"ע)</w:t>
      </w:r>
    </w:p>
    <w:p w14:paraId="170D64E8" w14:textId="77777777" w:rsidR="00EB79BF" w:rsidRDefault="00EB79BF" w:rsidP="00EB79BF">
      <w:pPr>
        <w:rPr>
          <w:rFonts w:cs="Arial"/>
          <w:rtl/>
        </w:rPr>
      </w:pPr>
      <w:r w:rsidRPr="003024E5">
        <w:rPr>
          <w:rFonts w:asciiTheme="minorBidi" w:hAnsiTheme="minorBidi"/>
          <w:b/>
          <w:bCs/>
          <w:color w:val="000000"/>
          <w:sz w:val="28"/>
          <w:szCs w:val="28"/>
          <w:u w:val="single"/>
          <w:rtl/>
        </w:rPr>
        <w:t>שו"ע:</w:t>
      </w:r>
    </w:p>
    <w:p w14:paraId="48401F68" w14:textId="558843A9" w:rsidR="00EB79BF" w:rsidRDefault="00EB79BF" w:rsidP="00EB79BF">
      <w:pPr>
        <w:rPr>
          <w:rFonts w:cs="Arial"/>
          <w:rtl/>
        </w:rPr>
      </w:pPr>
      <w:r w:rsidRPr="00EB79BF">
        <w:rPr>
          <w:rFonts w:cs="Arial"/>
          <w:rtl/>
        </w:rPr>
        <w:lastRenderedPageBreak/>
        <w:t>נפל הבית עליו ועל אשתו</w:t>
      </w:r>
      <w:r w:rsidR="00AE3B0E">
        <w:rPr>
          <w:rFonts w:cs="Arial" w:hint="cs"/>
          <w:rtl/>
        </w:rPr>
        <w:t>,</w:t>
      </w:r>
      <w:r w:rsidRPr="00EB79BF">
        <w:rPr>
          <w:rFonts w:cs="Arial"/>
          <w:rtl/>
        </w:rPr>
        <w:t xml:space="preserve"> ואין ידוע איזה מהם מת תחלה, ואין לו בנים ממנה</w:t>
      </w:r>
      <w:r w:rsidR="009B4B1E">
        <w:rPr>
          <w:rStyle w:val="a7"/>
          <w:rFonts w:cs="Arial"/>
          <w:rtl/>
        </w:rPr>
        <w:footnoteReference w:id="1251"/>
      </w:r>
      <w:r w:rsidRPr="00EB79BF">
        <w:rPr>
          <w:rFonts w:cs="Arial"/>
          <w:rtl/>
        </w:rPr>
        <w:t>, יורשי הבעל יורשין עיקר הכתובה והתוספת</w:t>
      </w:r>
      <w:r w:rsidR="00CB21A0">
        <w:rPr>
          <w:rStyle w:val="a7"/>
          <w:rFonts w:cs="Arial"/>
          <w:rtl/>
        </w:rPr>
        <w:footnoteReference w:id="1252"/>
      </w:r>
      <w:r w:rsidRPr="00EB79BF">
        <w:rPr>
          <w:rFonts w:cs="Arial"/>
          <w:rtl/>
        </w:rPr>
        <w:t>, ויורשי אשה יורשין נ</w:t>
      </w:r>
      <w:r w:rsidR="00FA43C3">
        <w:rPr>
          <w:rFonts w:cs="Arial" w:hint="cs"/>
          <w:rtl/>
        </w:rPr>
        <w:t xml:space="preserve">כסי </w:t>
      </w:r>
      <w:r w:rsidRPr="00EB79BF">
        <w:rPr>
          <w:rFonts w:cs="Arial"/>
          <w:rtl/>
        </w:rPr>
        <w:t>מ</w:t>
      </w:r>
      <w:r w:rsidR="00FA43C3">
        <w:rPr>
          <w:rFonts w:cs="Arial" w:hint="cs"/>
          <w:rtl/>
        </w:rPr>
        <w:t>לוג</w:t>
      </w:r>
      <w:r w:rsidRPr="00EB79BF">
        <w:rPr>
          <w:rFonts w:cs="Arial"/>
          <w:rtl/>
        </w:rPr>
        <w:t>, ובין שניהם חולקים נכסי צ</w:t>
      </w:r>
      <w:r w:rsidR="00FA43C3">
        <w:rPr>
          <w:rFonts w:cs="Arial" w:hint="cs"/>
          <w:rtl/>
        </w:rPr>
        <w:t xml:space="preserve">אן </w:t>
      </w:r>
      <w:r w:rsidRPr="00EB79BF">
        <w:rPr>
          <w:rFonts w:cs="Arial"/>
          <w:rtl/>
        </w:rPr>
        <w:t>ב</w:t>
      </w:r>
      <w:r w:rsidR="00FA43C3">
        <w:rPr>
          <w:rFonts w:cs="Arial" w:hint="cs"/>
          <w:rtl/>
        </w:rPr>
        <w:t>רזל</w:t>
      </w:r>
      <w:r w:rsidR="00CB21A0">
        <w:rPr>
          <w:rStyle w:val="a7"/>
          <w:rFonts w:cs="Arial"/>
          <w:rtl/>
        </w:rPr>
        <w:footnoteReference w:id="1253"/>
      </w:r>
      <w:r w:rsidRPr="00EB79BF">
        <w:rPr>
          <w:rFonts w:cs="Arial"/>
          <w:rtl/>
        </w:rPr>
        <w:t xml:space="preserve">. </w:t>
      </w:r>
    </w:p>
    <w:p w14:paraId="6CA1748B" w14:textId="77777777" w:rsidR="00FA43C3" w:rsidRPr="00EB79BF" w:rsidRDefault="00FA43C3" w:rsidP="00EB79BF">
      <w:pPr>
        <w:rPr>
          <w:rFonts w:cs="Arial"/>
          <w:rtl/>
        </w:rPr>
      </w:pPr>
    </w:p>
    <w:p w14:paraId="5F01B64A" w14:textId="2008D3A5" w:rsidR="00EB79BF" w:rsidRDefault="00EB79BF" w:rsidP="000F64D0">
      <w:pPr>
        <w:pStyle w:val="2"/>
        <w:rPr>
          <w:rtl/>
        </w:rPr>
      </w:pPr>
      <w:r w:rsidRPr="00EB79BF">
        <w:rPr>
          <w:rtl/>
        </w:rPr>
        <w:t>סעיף ז</w:t>
      </w:r>
      <w:r w:rsidR="00C76534">
        <w:rPr>
          <w:rFonts w:hint="cs"/>
          <w:rtl/>
        </w:rPr>
        <w:t>:</w:t>
      </w:r>
      <w:r w:rsidR="000D7E64">
        <w:rPr>
          <w:rFonts w:hint="cs"/>
          <w:rtl/>
        </w:rPr>
        <w:t xml:space="preserve"> מברחת</w:t>
      </w:r>
      <w:r w:rsidR="000D7E64">
        <w:rPr>
          <w:rFonts w:cs="Arial" w:hint="cs"/>
          <w:rtl/>
        </w:rPr>
        <w:t>.</w:t>
      </w:r>
    </w:p>
    <w:p w14:paraId="2C57F9E7" w14:textId="6919DA79" w:rsidR="004A598C" w:rsidRDefault="004A598C" w:rsidP="004A598C">
      <w:pPr>
        <w:rPr>
          <w:rFonts w:cs="Arial"/>
          <w:rtl/>
        </w:rPr>
      </w:pPr>
      <w:r w:rsidRPr="008E4222">
        <w:rPr>
          <w:rFonts w:cs="Arial" w:hint="cs"/>
          <w:b/>
          <w:bCs/>
          <w:rtl/>
        </w:rPr>
        <w:t xml:space="preserve">כתובות </w:t>
      </w:r>
      <w:r>
        <w:rPr>
          <w:rFonts w:cs="Arial" w:hint="cs"/>
          <w:b/>
          <w:bCs/>
          <w:sz w:val="16"/>
          <w:szCs w:val="16"/>
          <w:rtl/>
        </w:rPr>
        <w:t xml:space="preserve">(פ' האשה שנפלו) </w:t>
      </w:r>
      <w:r w:rsidRPr="008E4222">
        <w:rPr>
          <w:rFonts w:cs="Arial" w:hint="cs"/>
          <w:b/>
          <w:bCs/>
          <w:rtl/>
        </w:rPr>
        <w:t>ע</w:t>
      </w:r>
      <w:r>
        <w:rPr>
          <w:rFonts w:cs="Arial" w:hint="cs"/>
          <w:b/>
          <w:bCs/>
          <w:rtl/>
        </w:rPr>
        <w:t>ח</w:t>
      </w:r>
      <w:r w:rsidR="00ED1E58">
        <w:rPr>
          <w:rStyle w:val="a7"/>
          <w:rFonts w:cs="Arial"/>
          <w:b/>
          <w:bCs/>
          <w:rtl/>
        </w:rPr>
        <w:footnoteReference w:id="1254"/>
      </w:r>
      <w:r w:rsidRPr="008E4222">
        <w:rPr>
          <w:rFonts w:cs="Arial" w:hint="cs"/>
          <w:b/>
          <w:bCs/>
          <w:rtl/>
        </w:rPr>
        <w:t xml:space="preserve"> ע"</w:t>
      </w:r>
      <w:r>
        <w:rPr>
          <w:rFonts w:cs="Arial" w:hint="cs"/>
          <w:b/>
          <w:bCs/>
          <w:rtl/>
        </w:rPr>
        <w:t>ב</w:t>
      </w:r>
      <w:r w:rsidRPr="008E4222">
        <w:rPr>
          <w:rFonts w:cs="Arial" w:hint="cs"/>
          <w:b/>
          <w:bCs/>
          <w:rtl/>
        </w:rPr>
        <w:t>:</w:t>
      </w:r>
      <w:r>
        <w:rPr>
          <w:rFonts w:cs="Arial" w:hint="cs"/>
          <w:rtl/>
        </w:rPr>
        <w:t xml:space="preserve"> </w:t>
      </w:r>
      <w:r w:rsidRPr="004602D6">
        <w:rPr>
          <w:rFonts w:cs="Arial"/>
          <w:rtl/>
        </w:rPr>
        <w:t>ההיא איתתא דבעיא דתברחינהו לנכסה</w:t>
      </w:r>
      <w:r>
        <w:rPr>
          <w:rStyle w:val="a7"/>
          <w:rFonts w:cs="Arial"/>
          <w:rtl/>
        </w:rPr>
        <w:footnoteReference w:id="1255"/>
      </w:r>
      <w:r w:rsidRPr="004602D6">
        <w:rPr>
          <w:rFonts w:cs="Arial"/>
          <w:rtl/>
        </w:rPr>
        <w:t xml:space="preserve"> מגברה, כתבתינהו לברתה, אינסיבה ואיגרשה, </w:t>
      </w:r>
      <w:r w:rsidRPr="004602D6">
        <w:rPr>
          <w:rFonts w:cs="Arial" w:hint="cs"/>
          <w:sz w:val="14"/>
          <w:szCs w:val="14"/>
          <w:rtl/>
        </w:rPr>
        <w:t>(עט.)</w:t>
      </w:r>
      <w:r>
        <w:rPr>
          <w:rFonts w:cs="Arial" w:hint="cs"/>
          <w:rtl/>
        </w:rPr>
        <w:t xml:space="preserve"> </w:t>
      </w:r>
      <w:r w:rsidRPr="004602D6">
        <w:rPr>
          <w:rFonts w:cs="Arial"/>
          <w:rtl/>
        </w:rPr>
        <w:t>אתאי לקמיה דרב נחמן</w:t>
      </w:r>
      <w:r>
        <w:rPr>
          <w:rStyle w:val="a7"/>
          <w:rFonts w:cs="Arial"/>
          <w:rtl/>
        </w:rPr>
        <w:footnoteReference w:id="1256"/>
      </w:r>
      <w:r w:rsidRPr="004602D6">
        <w:rPr>
          <w:rFonts w:cs="Arial"/>
          <w:rtl/>
        </w:rPr>
        <w:t xml:space="preserve">, קרעיה ר"נ לשטרא. אזל רב ענן לקמיה דמר עוקבא, </w:t>
      </w:r>
      <w:r w:rsidRPr="00784C1E">
        <w:rPr>
          <w:rFonts w:cs="Arial"/>
          <w:u w:val="single"/>
          <w:rtl/>
        </w:rPr>
        <w:t>א"ל</w:t>
      </w:r>
      <w:r w:rsidRPr="004602D6">
        <w:rPr>
          <w:rFonts w:cs="Arial"/>
          <w:rtl/>
        </w:rPr>
        <w:t>: חזי מר, נחמן חקלאה</w:t>
      </w:r>
      <w:r>
        <w:rPr>
          <w:rStyle w:val="a7"/>
          <w:rFonts w:cs="Arial"/>
          <w:rtl/>
        </w:rPr>
        <w:footnoteReference w:id="1257"/>
      </w:r>
      <w:r w:rsidRPr="004602D6">
        <w:rPr>
          <w:rFonts w:cs="Arial"/>
          <w:rtl/>
        </w:rPr>
        <w:t xml:space="preserve"> היכי מקרע שטרי דאינשי! </w:t>
      </w:r>
      <w:r w:rsidRPr="00784C1E">
        <w:rPr>
          <w:rFonts w:cs="Arial"/>
          <w:u w:val="single"/>
          <w:rtl/>
        </w:rPr>
        <w:t>א"ל</w:t>
      </w:r>
      <w:r w:rsidRPr="004602D6">
        <w:rPr>
          <w:rFonts w:cs="Arial"/>
          <w:rtl/>
        </w:rPr>
        <w:t xml:space="preserve">: אימא לי איזי גופא דעובדא היכי הוה, </w:t>
      </w:r>
      <w:r w:rsidRPr="00B26A8D">
        <w:rPr>
          <w:rFonts w:cs="Arial"/>
          <w:u w:val="single"/>
          <w:rtl/>
        </w:rPr>
        <w:t>א"ל</w:t>
      </w:r>
      <w:r w:rsidRPr="004602D6">
        <w:rPr>
          <w:rFonts w:cs="Arial"/>
          <w:rtl/>
        </w:rPr>
        <w:t xml:space="preserve">: הכי והכי הוה. </w:t>
      </w:r>
      <w:r w:rsidRPr="00784C1E">
        <w:rPr>
          <w:rFonts w:cs="Arial"/>
          <w:u w:val="single"/>
          <w:rtl/>
        </w:rPr>
        <w:t>א"ל</w:t>
      </w:r>
      <w:r w:rsidRPr="004602D6">
        <w:rPr>
          <w:rFonts w:cs="Arial"/>
          <w:rtl/>
        </w:rPr>
        <w:t xml:space="preserve">: שטר מברחת קא אמרת? </w:t>
      </w:r>
      <w:r w:rsidRPr="00784C1E">
        <w:rPr>
          <w:rFonts w:cs="Arial"/>
          <w:u w:val="single"/>
          <w:rtl/>
        </w:rPr>
        <w:t>הכי א"ר חנילאי בר אידי אמר שמואל</w:t>
      </w:r>
      <w:r w:rsidRPr="004602D6">
        <w:rPr>
          <w:rFonts w:cs="Arial"/>
          <w:rtl/>
        </w:rPr>
        <w:t>: מורה הוראה אני, אם יבא שטר מברחת לידי</w:t>
      </w:r>
      <w:r>
        <w:rPr>
          <w:rStyle w:val="a7"/>
          <w:rFonts w:cs="Arial"/>
          <w:rtl/>
        </w:rPr>
        <w:footnoteReference w:id="1258"/>
      </w:r>
      <w:r w:rsidRPr="004602D6">
        <w:rPr>
          <w:rFonts w:cs="Arial"/>
          <w:rtl/>
        </w:rPr>
        <w:t xml:space="preserve"> אקרענו. </w:t>
      </w:r>
      <w:r w:rsidRPr="00784C1E">
        <w:rPr>
          <w:rFonts w:cs="Arial"/>
          <w:u w:val="single"/>
          <w:rtl/>
        </w:rPr>
        <w:t>א"ל</w:t>
      </w:r>
      <w:r>
        <w:rPr>
          <w:rStyle w:val="a7"/>
          <w:rFonts w:cs="Arial"/>
          <w:u w:val="single"/>
          <w:rtl/>
        </w:rPr>
        <w:footnoteReference w:id="1259"/>
      </w:r>
      <w:r w:rsidRPr="00784C1E">
        <w:rPr>
          <w:rFonts w:cs="Arial"/>
          <w:u w:val="single"/>
          <w:rtl/>
        </w:rPr>
        <w:t xml:space="preserve"> רבא לרב נחמן</w:t>
      </w:r>
      <w:r w:rsidRPr="004602D6">
        <w:rPr>
          <w:rFonts w:cs="Arial"/>
          <w:rtl/>
        </w:rPr>
        <w:t>: טעמא מאי</w:t>
      </w:r>
      <w:r>
        <w:rPr>
          <w:rStyle w:val="a7"/>
          <w:rFonts w:cs="Arial"/>
          <w:rtl/>
        </w:rPr>
        <w:footnoteReference w:id="1260"/>
      </w:r>
      <w:r w:rsidRPr="004602D6">
        <w:rPr>
          <w:rFonts w:cs="Arial"/>
          <w:rtl/>
        </w:rPr>
        <w:t>? דלא שביק איניש נפשיה ויהיב לאחריני</w:t>
      </w:r>
      <w:r>
        <w:rPr>
          <w:rStyle w:val="a7"/>
          <w:rFonts w:cs="Arial"/>
          <w:rtl/>
        </w:rPr>
        <w:footnoteReference w:id="1261"/>
      </w:r>
      <w:r>
        <w:rPr>
          <w:rFonts w:cs="Arial" w:hint="cs"/>
          <w:rtl/>
        </w:rPr>
        <w:t>?</w:t>
      </w:r>
      <w:r w:rsidRPr="004602D6">
        <w:rPr>
          <w:rFonts w:cs="Arial"/>
          <w:rtl/>
        </w:rPr>
        <w:t xml:space="preserve"> ה"מ</w:t>
      </w:r>
      <w:r>
        <w:rPr>
          <w:rStyle w:val="a7"/>
          <w:rFonts w:cs="Arial"/>
          <w:rtl/>
        </w:rPr>
        <w:footnoteReference w:id="1262"/>
      </w:r>
      <w:r w:rsidRPr="004602D6">
        <w:rPr>
          <w:rFonts w:cs="Arial"/>
          <w:rtl/>
        </w:rPr>
        <w:t xml:space="preserve"> לאחריני, אבל לברתה יהיבא</w:t>
      </w:r>
      <w:r>
        <w:rPr>
          <w:rStyle w:val="a7"/>
          <w:rFonts w:cs="Arial"/>
          <w:rtl/>
        </w:rPr>
        <w:footnoteReference w:id="1263"/>
      </w:r>
      <w:r w:rsidRPr="004602D6">
        <w:rPr>
          <w:rFonts w:cs="Arial"/>
          <w:rtl/>
        </w:rPr>
        <w:t>! אפ"ה, במקום ברתה נפשה עדיפא לה. מיתיבי: הרוצה שתבריח נכסיה מבעלה, כיצד היא עושה? כותבת שטר פסים</w:t>
      </w:r>
      <w:r>
        <w:rPr>
          <w:rStyle w:val="a7"/>
          <w:rFonts w:cs="Arial"/>
          <w:rtl/>
        </w:rPr>
        <w:footnoteReference w:id="1264"/>
      </w:r>
      <w:r w:rsidRPr="004602D6">
        <w:rPr>
          <w:rFonts w:cs="Arial"/>
          <w:rtl/>
        </w:rPr>
        <w:t xml:space="preserve"> לאחרים, </w:t>
      </w:r>
      <w:r w:rsidRPr="00784C1E">
        <w:rPr>
          <w:rFonts w:cs="Arial"/>
          <w:u w:val="single"/>
          <w:rtl/>
        </w:rPr>
        <w:t>דברי רשב"ג</w:t>
      </w:r>
      <w:r>
        <w:rPr>
          <w:rFonts w:cs="Arial" w:hint="cs"/>
          <w:rtl/>
        </w:rPr>
        <w:t>.</w:t>
      </w:r>
      <w:r w:rsidRPr="004602D6">
        <w:rPr>
          <w:rFonts w:cs="Arial"/>
          <w:rtl/>
        </w:rPr>
        <w:t xml:space="preserve"> </w:t>
      </w:r>
      <w:r w:rsidRPr="00784C1E">
        <w:rPr>
          <w:rFonts w:cs="Arial"/>
          <w:u w:val="single"/>
          <w:rtl/>
        </w:rPr>
        <w:t>וחכ"א</w:t>
      </w:r>
      <w:r w:rsidRPr="004602D6">
        <w:rPr>
          <w:rFonts w:cs="Arial"/>
          <w:rtl/>
        </w:rPr>
        <w:t>: רצה</w:t>
      </w:r>
      <w:r>
        <w:rPr>
          <w:rStyle w:val="a7"/>
          <w:rFonts w:cs="Arial"/>
          <w:rtl/>
        </w:rPr>
        <w:footnoteReference w:id="1265"/>
      </w:r>
      <w:r w:rsidRPr="004602D6">
        <w:rPr>
          <w:rFonts w:cs="Arial"/>
          <w:rtl/>
        </w:rPr>
        <w:t xml:space="preserve"> מצחק בה</w:t>
      </w:r>
      <w:r>
        <w:rPr>
          <w:rStyle w:val="a7"/>
          <w:rFonts w:cs="Arial"/>
          <w:rtl/>
        </w:rPr>
        <w:footnoteReference w:id="1266"/>
      </w:r>
      <w:r w:rsidRPr="004602D6">
        <w:rPr>
          <w:rFonts w:cs="Arial"/>
          <w:rtl/>
        </w:rPr>
        <w:t>, עד שתכתוב</w:t>
      </w:r>
      <w:r>
        <w:rPr>
          <w:rStyle w:val="a7"/>
          <w:rFonts w:cs="Arial"/>
          <w:rtl/>
        </w:rPr>
        <w:footnoteReference w:id="1267"/>
      </w:r>
      <w:r w:rsidRPr="004602D6">
        <w:rPr>
          <w:rFonts w:cs="Arial"/>
          <w:rtl/>
        </w:rPr>
        <w:t xml:space="preserve"> לו מהיום ולכשארצה</w:t>
      </w:r>
      <w:r>
        <w:rPr>
          <w:rFonts w:cs="Arial" w:hint="cs"/>
          <w:rtl/>
        </w:rPr>
        <w:t>.</w:t>
      </w:r>
      <w:r w:rsidRPr="004602D6">
        <w:rPr>
          <w:rFonts w:cs="Arial"/>
          <w:rtl/>
        </w:rPr>
        <w:t xml:space="preserve"> טעמא דכתבה ליה הכי, הא לא כתבה ליה הכי - קננהי לוקח</w:t>
      </w:r>
      <w:r>
        <w:rPr>
          <w:rStyle w:val="a7"/>
          <w:rFonts w:cs="Arial"/>
          <w:rtl/>
        </w:rPr>
        <w:footnoteReference w:id="1268"/>
      </w:r>
      <w:r w:rsidRPr="004602D6">
        <w:rPr>
          <w:rFonts w:cs="Arial"/>
          <w:rtl/>
        </w:rPr>
        <w:t xml:space="preserve">! </w:t>
      </w:r>
      <w:r w:rsidRPr="00784C1E">
        <w:rPr>
          <w:rFonts w:cs="Arial"/>
          <w:u w:val="single"/>
          <w:rtl/>
        </w:rPr>
        <w:t>א"ר זירא</w:t>
      </w:r>
      <w:r>
        <w:rPr>
          <w:rFonts w:cs="Arial" w:hint="cs"/>
          <w:rtl/>
        </w:rPr>
        <w:t>:</w:t>
      </w:r>
      <w:r w:rsidRPr="004602D6">
        <w:rPr>
          <w:rFonts w:cs="Arial"/>
          <w:rtl/>
        </w:rPr>
        <w:t xml:space="preserve"> לא קשיא</w:t>
      </w:r>
      <w:r>
        <w:rPr>
          <w:rFonts w:cs="Arial" w:hint="cs"/>
          <w:rtl/>
        </w:rPr>
        <w:t>,</w:t>
      </w:r>
      <w:r w:rsidRPr="004602D6">
        <w:rPr>
          <w:rFonts w:cs="Arial"/>
          <w:rtl/>
        </w:rPr>
        <w:t xml:space="preserve"> הא בכולה</w:t>
      </w:r>
      <w:r>
        <w:rPr>
          <w:rStyle w:val="a7"/>
          <w:rFonts w:cs="Arial"/>
          <w:rtl/>
        </w:rPr>
        <w:footnoteReference w:id="1269"/>
      </w:r>
      <w:r w:rsidRPr="004602D6">
        <w:rPr>
          <w:rFonts w:cs="Arial"/>
          <w:rtl/>
        </w:rPr>
        <w:t>, הא במקצתה. ואי לא קננהי לוקח, ניקנינהו בעל</w:t>
      </w:r>
      <w:r>
        <w:rPr>
          <w:rStyle w:val="a7"/>
          <w:rFonts w:cs="Arial"/>
          <w:rtl/>
        </w:rPr>
        <w:footnoteReference w:id="1270"/>
      </w:r>
      <w:r w:rsidRPr="004602D6">
        <w:rPr>
          <w:rFonts w:cs="Arial"/>
          <w:rtl/>
        </w:rPr>
        <w:t xml:space="preserve">! </w:t>
      </w:r>
      <w:r w:rsidRPr="00784C1E">
        <w:rPr>
          <w:rFonts w:cs="Arial"/>
          <w:u w:val="single"/>
          <w:rtl/>
        </w:rPr>
        <w:t>אמר אביי</w:t>
      </w:r>
      <w:r w:rsidRPr="004602D6">
        <w:rPr>
          <w:rFonts w:cs="Arial"/>
          <w:rtl/>
        </w:rPr>
        <w:t>: עשאום כנכסים שאין ידועין</w:t>
      </w:r>
      <w:r>
        <w:rPr>
          <w:rStyle w:val="a7"/>
          <w:rFonts w:cs="Arial"/>
          <w:rtl/>
        </w:rPr>
        <w:footnoteReference w:id="1271"/>
      </w:r>
      <w:r w:rsidRPr="004602D6">
        <w:rPr>
          <w:rFonts w:cs="Arial"/>
          <w:rtl/>
        </w:rPr>
        <w:t xml:space="preserve"> לבעל, ואליבא דר"ש</w:t>
      </w:r>
      <w:r>
        <w:rPr>
          <w:rFonts w:cs="Arial" w:hint="cs"/>
          <w:rtl/>
        </w:rPr>
        <w:t>.</w:t>
      </w:r>
    </w:p>
    <w:p w14:paraId="72A3FD3A" w14:textId="0DAC377D" w:rsidR="00C76534" w:rsidRPr="00687D10" w:rsidRDefault="00687D10" w:rsidP="00C76534">
      <w:pPr>
        <w:rPr>
          <w:u w:val="single"/>
          <w:rtl/>
        </w:rPr>
      </w:pPr>
      <w:r w:rsidRPr="00687D10">
        <w:rPr>
          <w:rFonts w:hint="cs"/>
          <w:u w:val="single"/>
          <w:rtl/>
        </w:rPr>
        <w:lastRenderedPageBreak/>
        <w:t>מברחת:</w:t>
      </w:r>
    </w:p>
    <w:p w14:paraId="18156690" w14:textId="74ABFA07" w:rsidR="00D079DF" w:rsidRPr="004D3B08" w:rsidRDefault="00D079DF" w:rsidP="009000E3">
      <w:pPr>
        <w:pStyle w:val="ab"/>
        <w:numPr>
          <w:ilvl w:val="0"/>
          <w:numId w:val="55"/>
        </w:numPr>
        <w:rPr>
          <w:rtl/>
        </w:rPr>
      </w:pPr>
      <w:r>
        <w:rPr>
          <w:rFonts w:cs="Arial" w:hint="cs"/>
          <w:rtl/>
        </w:rPr>
        <w:t xml:space="preserve">רמב"ם </w:t>
      </w:r>
      <w:r>
        <w:rPr>
          <w:rFonts w:cs="Arial" w:hint="cs"/>
          <w:sz w:val="16"/>
          <w:szCs w:val="16"/>
          <w:rtl/>
        </w:rPr>
        <w:t>(</w:t>
      </w:r>
      <w:r w:rsidRPr="004A598C">
        <w:rPr>
          <w:rFonts w:cs="Arial" w:hint="cs"/>
          <w:sz w:val="16"/>
          <w:szCs w:val="16"/>
          <w:rtl/>
        </w:rPr>
        <w:t>פכ"ב מאישות ה"ט)</w:t>
      </w:r>
      <w:r>
        <w:rPr>
          <w:rFonts w:cs="Arial" w:hint="cs"/>
          <w:rtl/>
        </w:rPr>
        <w:t xml:space="preserve">- </w:t>
      </w:r>
      <w:r w:rsidRPr="004A598C">
        <w:rPr>
          <w:rFonts w:cs="Arial"/>
          <w:rtl/>
        </w:rPr>
        <w:t>האשה שכתבה כל נכסיה לאחר בין קרוב בין רחוק קודם שתנשא, אע</w:t>
      </w:r>
      <w:r w:rsidR="00ED1E58">
        <w:rPr>
          <w:rFonts w:cs="Arial" w:hint="cs"/>
          <w:rtl/>
        </w:rPr>
        <w:t>"</w:t>
      </w:r>
      <w:r w:rsidRPr="004A598C">
        <w:rPr>
          <w:rFonts w:cs="Arial"/>
          <w:rtl/>
        </w:rPr>
        <w:t>פ שאם נתגרשה או נתאלמנה תבטל המתנה כמו שיתבאר בהלכות מתנה</w:t>
      </w:r>
      <w:r w:rsidR="006B7900">
        <w:rPr>
          <w:rStyle w:val="a7"/>
          <w:rFonts w:cs="Arial"/>
          <w:rtl/>
        </w:rPr>
        <w:footnoteReference w:id="1272"/>
      </w:r>
      <w:r w:rsidRPr="004A598C">
        <w:rPr>
          <w:rFonts w:cs="Arial"/>
          <w:rtl/>
        </w:rPr>
        <w:t>, אין הבעל אוכל פירותיהן</w:t>
      </w:r>
      <w:r w:rsidR="00A42D7E">
        <w:rPr>
          <w:rFonts w:cs="Arial" w:hint="cs"/>
          <w:rtl/>
        </w:rPr>
        <w:t>,</w:t>
      </w:r>
      <w:r w:rsidRPr="004A598C">
        <w:rPr>
          <w:rFonts w:cs="Arial"/>
          <w:rtl/>
        </w:rPr>
        <w:t xml:space="preserve"> ואם מתה אינו יורשן, שהרי נתנה אותן קודם שתנשא, וכשתמות בחיי בעלה יקנה מקבל המתנה מתנתו קנין גמור</w:t>
      </w:r>
      <w:r w:rsidR="00A4526B">
        <w:rPr>
          <w:rFonts w:cs="Arial" w:hint="cs"/>
          <w:rtl/>
        </w:rPr>
        <w:t>.</w:t>
      </w:r>
      <w:r w:rsidRPr="004A598C">
        <w:rPr>
          <w:rFonts w:cs="Arial"/>
          <w:rtl/>
        </w:rPr>
        <w:t xml:space="preserve"> ולא עוד אלא אפילו נתנה מקצת נכסיה או כולם קודם נישואיה</w:t>
      </w:r>
      <w:r w:rsidR="00A4526B">
        <w:rPr>
          <w:rFonts w:cs="Arial" w:hint="cs"/>
          <w:rtl/>
        </w:rPr>
        <w:t>,</w:t>
      </w:r>
      <w:r w:rsidRPr="004A598C">
        <w:rPr>
          <w:rFonts w:cs="Arial"/>
          <w:rtl/>
        </w:rPr>
        <w:t xml:space="preserve"> וכתבה למקבל</w:t>
      </w:r>
      <w:r w:rsidR="00A42D7E">
        <w:rPr>
          <w:rFonts w:cs="Arial" w:hint="cs"/>
          <w:rtl/>
        </w:rPr>
        <w:t>:</w:t>
      </w:r>
      <w:r w:rsidRPr="004A598C">
        <w:rPr>
          <w:rFonts w:cs="Arial"/>
          <w:rtl/>
        </w:rPr>
        <w:t xml:space="preserve"> קנה מהיום ולכשארצה</w:t>
      </w:r>
      <w:r w:rsidR="00A4526B">
        <w:rPr>
          <w:rFonts w:cs="Arial" w:hint="cs"/>
          <w:rtl/>
        </w:rPr>
        <w:t>,</w:t>
      </w:r>
      <w:r w:rsidRPr="004A598C">
        <w:rPr>
          <w:rFonts w:cs="Arial"/>
          <w:rtl/>
        </w:rPr>
        <w:t xml:space="preserve"> שהרי לא קנה קנין גמור עד שתרצה </w:t>
      </w:r>
      <w:r w:rsidR="00A4526B">
        <w:rPr>
          <w:rFonts w:cs="Arial" w:hint="cs"/>
          <w:rtl/>
        </w:rPr>
        <w:t xml:space="preserve">- </w:t>
      </w:r>
      <w:r w:rsidRPr="004A598C">
        <w:rPr>
          <w:rFonts w:cs="Arial"/>
          <w:rtl/>
        </w:rPr>
        <w:t>אין הבעל אוכל פירות אותה מתנה</w:t>
      </w:r>
      <w:r w:rsidR="00A42D7E">
        <w:rPr>
          <w:rFonts w:cs="Arial" w:hint="cs"/>
          <w:rtl/>
        </w:rPr>
        <w:t>,</w:t>
      </w:r>
      <w:r w:rsidRPr="004A598C">
        <w:rPr>
          <w:rFonts w:cs="Arial"/>
          <w:rtl/>
        </w:rPr>
        <w:t xml:space="preserve"> ואם מתה אינו יורשה.</w:t>
      </w:r>
      <w:r w:rsidR="005C7937" w:rsidRPr="005C7937">
        <w:rPr>
          <w:rFonts w:hint="cs"/>
          <w:color w:val="E36C0A" w:themeColor="accent6" w:themeShade="BF"/>
          <w:rtl/>
        </w:rPr>
        <w:t xml:space="preserve"> </w:t>
      </w:r>
      <w:r w:rsidR="005C7937" w:rsidRPr="001D67C0">
        <w:rPr>
          <w:rFonts w:hint="cs"/>
          <w:color w:val="E36C0A" w:themeColor="accent6" w:themeShade="BF"/>
          <w:rtl/>
        </w:rPr>
        <w:t>(וכ"פ בשו"ע)</w:t>
      </w:r>
      <w:r w:rsidR="00B40AC0">
        <w:rPr>
          <w:rFonts w:hint="cs"/>
          <w:rtl/>
        </w:rPr>
        <w:t xml:space="preserve"> </w:t>
      </w:r>
    </w:p>
    <w:p w14:paraId="461B5A1A" w14:textId="630A88E6" w:rsidR="001A2DA7" w:rsidRPr="001A2DA7" w:rsidRDefault="0024340F" w:rsidP="009000E3">
      <w:pPr>
        <w:pStyle w:val="ab"/>
        <w:numPr>
          <w:ilvl w:val="0"/>
          <w:numId w:val="55"/>
        </w:numPr>
      </w:pPr>
      <w:r>
        <w:rPr>
          <w:rFonts w:cs="Arial" w:hint="cs"/>
          <w:rtl/>
        </w:rPr>
        <w:t xml:space="preserve">רא"ש </w:t>
      </w:r>
      <w:r w:rsidRPr="0024340F">
        <w:rPr>
          <w:rFonts w:cs="Arial"/>
          <w:sz w:val="16"/>
          <w:szCs w:val="16"/>
          <w:rtl/>
        </w:rPr>
        <w:t>(</w:t>
      </w:r>
      <w:r w:rsidRPr="0024340F">
        <w:rPr>
          <w:rFonts w:cs="Arial" w:hint="cs"/>
          <w:sz w:val="16"/>
          <w:szCs w:val="16"/>
          <w:rtl/>
        </w:rPr>
        <w:t xml:space="preserve">כתובות פ"ח </w:t>
      </w:r>
      <w:r w:rsidRPr="0024340F">
        <w:rPr>
          <w:rFonts w:cs="Arial"/>
          <w:sz w:val="16"/>
          <w:szCs w:val="16"/>
          <w:rtl/>
        </w:rPr>
        <w:t>סי' ב)</w:t>
      </w:r>
      <w:r w:rsidRPr="0024340F">
        <w:rPr>
          <w:rFonts w:cs="Arial" w:hint="cs"/>
          <w:sz w:val="16"/>
          <w:szCs w:val="16"/>
          <w:rtl/>
        </w:rPr>
        <w:t xml:space="preserve"> </w:t>
      </w:r>
      <w:r>
        <w:rPr>
          <w:rFonts w:cs="Arial" w:hint="cs"/>
          <w:rtl/>
        </w:rPr>
        <w:t>ו</w:t>
      </w:r>
      <w:r w:rsidR="004D3B08" w:rsidRPr="004D3B08">
        <w:rPr>
          <w:rFonts w:cs="Arial" w:hint="cs"/>
          <w:rtl/>
        </w:rPr>
        <w:t xml:space="preserve">טור- </w:t>
      </w:r>
      <w:r w:rsidR="004D3B08" w:rsidRPr="004D3B08">
        <w:rPr>
          <w:rFonts w:cs="Arial"/>
          <w:rtl/>
        </w:rPr>
        <w:t>אשה שיש לה נכסים ורוצה לינשא</w:t>
      </w:r>
      <w:r w:rsidR="009F468E">
        <w:rPr>
          <w:rFonts w:cs="Arial" w:hint="cs"/>
          <w:rtl/>
        </w:rPr>
        <w:t>,</w:t>
      </w:r>
      <w:r w:rsidR="004D3B08" w:rsidRPr="004D3B08">
        <w:rPr>
          <w:rFonts w:cs="Arial"/>
          <w:rtl/>
        </w:rPr>
        <w:t xml:space="preserve"> ונתנה במתנה קודם לכן</w:t>
      </w:r>
      <w:r w:rsidR="009F468E">
        <w:rPr>
          <w:rFonts w:cs="Arial" w:hint="cs"/>
          <w:rtl/>
        </w:rPr>
        <w:t>,</w:t>
      </w:r>
      <w:r w:rsidR="004D3B08" w:rsidRPr="004D3B08">
        <w:rPr>
          <w:rFonts w:cs="Arial"/>
          <w:rtl/>
        </w:rPr>
        <w:t xml:space="preserve"> ונישאת </w:t>
      </w:r>
      <w:r w:rsidR="009F468E">
        <w:rPr>
          <w:rFonts w:cs="Arial" w:hint="cs"/>
          <w:rtl/>
        </w:rPr>
        <w:t xml:space="preserve">- </w:t>
      </w:r>
      <w:r w:rsidR="004D3B08" w:rsidRPr="004D3B08">
        <w:rPr>
          <w:rFonts w:cs="Arial"/>
          <w:rtl/>
        </w:rPr>
        <w:t>הבעל אינו זוכה בהם וגם המקבל לא קנאם</w:t>
      </w:r>
      <w:r w:rsidR="009F468E">
        <w:rPr>
          <w:rFonts w:cs="Arial" w:hint="cs"/>
          <w:rtl/>
        </w:rPr>
        <w:t>,</w:t>
      </w:r>
      <w:r w:rsidR="004D3B08" w:rsidRPr="004D3B08">
        <w:rPr>
          <w:rFonts w:cs="Arial"/>
          <w:rtl/>
        </w:rPr>
        <w:t xml:space="preserve"> לא שנא נתנתם לרחוק או לקרוב</w:t>
      </w:r>
      <w:r w:rsidR="009F468E">
        <w:rPr>
          <w:rFonts w:cs="Arial" w:hint="cs"/>
          <w:rtl/>
        </w:rPr>
        <w:t>,</w:t>
      </w:r>
      <w:r w:rsidR="004D3B08" w:rsidRPr="004D3B08">
        <w:rPr>
          <w:rFonts w:cs="Arial"/>
          <w:rtl/>
        </w:rPr>
        <w:t xml:space="preserve"> שלא כוונה אלא להבריחם מבעלה</w:t>
      </w:r>
      <w:r w:rsidR="009F468E">
        <w:rPr>
          <w:rFonts w:cs="Arial" w:hint="cs"/>
          <w:rtl/>
        </w:rPr>
        <w:t>.</w:t>
      </w:r>
      <w:r w:rsidR="004D3B08" w:rsidRPr="004D3B08">
        <w:rPr>
          <w:rFonts w:cs="Arial"/>
          <w:rtl/>
        </w:rPr>
        <w:t xml:space="preserve"> אפי' לא הודיעה לעדים שמכוונת להבריחם רק שידוע שעומדת לינשא או שניסת מיד אחרי המתנה</w:t>
      </w:r>
      <w:r w:rsidR="009F468E">
        <w:rPr>
          <w:rFonts w:cs="Arial" w:hint="cs"/>
          <w:rtl/>
        </w:rPr>
        <w:t>,</w:t>
      </w:r>
      <w:r w:rsidR="004D3B08" w:rsidRPr="004D3B08">
        <w:rPr>
          <w:rFonts w:cs="Arial"/>
          <w:rtl/>
        </w:rPr>
        <w:t xml:space="preserve"> אנו אומרים דעתה שלהבריח כוונה</w:t>
      </w:r>
      <w:r w:rsidR="009F468E">
        <w:rPr>
          <w:rFonts w:cs="Arial" w:hint="cs"/>
          <w:rtl/>
        </w:rPr>
        <w:t>.</w:t>
      </w:r>
      <w:r w:rsidR="004D3B08" w:rsidRPr="004D3B08">
        <w:rPr>
          <w:rFonts w:cs="Arial"/>
          <w:rtl/>
        </w:rPr>
        <w:t xml:space="preserve"> בד"א</w:t>
      </w:r>
      <w:r w:rsidR="009F468E">
        <w:rPr>
          <w:rFonts w:cs="Arial" w:hint="cs"/>
          <w:rtl/>
        </w:rPr>
        <w:t>,</w:t>
      </w:r>
      <w:r w:rsidR="004D3B08" w:rsidRPr="004D3B08">
        <w:rPr>
          <w:rFonts w:cs="Arial"/>
          <w:rtl/>
        </w:rPr>
        <w:t xml:space="preserve"> שלא שיירה לעצמה כדי פרנסתה</w:t>
      </w:r>
      <w:r w:rsidR="00BA4D73">
        <w:rPr>
          <w:rStyle w:val="a7"/>
          <w:rFonts w:cs="Arial"/>
          <w:rtl/>
        </w:rPr>
        <w:footnoteReference w:id="1273"/>
      </w:r>
      <w:r w:rsidR="009F468E">
        <w:rPr>
          <w:rFonts w:cs="Arial" w:hint="cs"/>
          <w:rtl/>
        </w:rPr>
        <w:t>,</w:t>
      </w:r>
      <w:r w:rsidR="004D3B08" w:rsidRPr="004D3B08">
        <w:rPr>
          <w:rFonts w:cs="Arial"/>
          <w:rtl/>
        </w:rPr>
        <w:t xml:space="preserve"> אבל אם שיירה כדי פרנסתה </w:t>
      </w:r>
      <w:r w:rsidR="009F468E">
        <w:rPr>
          <w:rFonts w:cs="Arial" w:hint="cs"/>
          <w:rtl/>
        </w:rPr>
        <w:t xml:space="preserve">- </w:t>
      </w:r>
      <w:r w:rsidR="004D3B08" w:rsidRPr="004D3B08">
        <w:rPr>
          <w:rFonts w:cs="Arial"/>
          <w:rtl/>
        </w:rPr>
        <w:t>מתנתה מתנה</w:t>
      </w:r>
      <w:r w:rsidR="00CE71BF">
        <w:rPr>
          <w:rFonts w:cs="Arial" w:hint="cs"/>
          <w:rtl/>
        </w:rPr>
        <w:t>,</w:t>
      </w:r>
      <w:r w:rsidR="004D3B08" w:rsidRPr="004D3B08">
        <w:rPr>
          <w:rFonts w:cs="Arial"/>
          <w:rtl/>
        </w:rPr>
        <w:t xml:space="preserve"> עד שתכתוב לו היום ולכשארצה</w:t>
      </w:r>
      <w:r w:rsidR="00CE71BF">
        <w:rPr>
          <w:rFonts w:cs="Arial" w:hint="cs"/>
          <w:rtl/>
        </w:rPr>
        <w:t>,</w:t>
      </w:r>
      <w:r w:rsidR="004D3B08" w:rsidRPr="004D3B08">
        <w:rPr>
          <w:rFonts w:cs="Arial"/>
          <w:rtl/>
        </w:rPr>
        <w:t xml:space="preserve"> פירוש</w:t>
      </w:r>
      <w:r w:rsidR="004C2439">
        <w:rPr>
          <w:rFonts w:cs="Arial" w:hint="cs"/>
          <w:rtl/>
        </w:rPr>
        <w:t>,</w:t>
      </w:r>
      <w:r w:rsidR="004D3B08" w:rsidRPr="004D3B08">
        <w:rPr>
          <w:rFonts w:cs="Arial"/>
          <w:rtl/>
        </w:rPr>
        <w:t xml:space="preserve"> היום תחול זו המתנה</w:t>
      </w:r>
      <w:r w:rsidR="004C2439">
        <w:rPr>
          <w:rFonts w:cs="Arial" w:hint="cs"/>
          <w:rtl/>
        </w:rPr>
        <w:t>,</w:t>
      </w:r>
      <w:r w:rsidR="004D3B08" w:rsidRPr="004D3B08">
        <w:rPr>
          <w:rFonts w:cs="Arial"/>
          <w:rtl/>
        </w:rPr>
        <w:t xml:space="preserve"> ותהיה תלויה ועומדת עד שארצה לקיימה</w:t>
      </w:r>
      <w:r w:rsidR="004C2439">
        <w:rPr>
          <w:rFonts w:cs="Arial" w:hint="cs"/>
          <w:rtl/>
        </w:rPr>
        <w:t>,</w:t>
      </w:r>
      <w:r w:rsidR="004D3B08" w:rsidRPr="004D3B08">
        <w:rPr>
          <w:rFonts w:cs="Arial"/>
          <w:rtl/>
        </w:rPr>
        <w:t xml:space="preserve"> אבל בכל פעם שארצה הרשות בידי לבטלה</w:t>
      </w:r>
      <w:r w:rsidR="004C2439">
        <w:rPr>
          <w:rFonts w:cs="Arial" w:hint="cs"/>
          <w:rtl/>
        </w:rPr>
        <w:t>.</w:t>
      </w:r>
      <w:r w:rsidR="004D3B08" w:rsidRPr="004D3B08">
        <w:rPr>
          <w:rFonts w:cs="Arial"/>
          <w:rtl/>
        </w:rPr>
        <w:t xml:space="preserve"> וכיון שנתנה לו כל נכסיה או מקצתם וכתבה לו היום ולכשארצה</w:t>
      </w:r>
      <w:r w:rsidR="004C2439">
        <w:rPr>
          <w:rFonts w:cs="Arial" w:hint="cs"/>
          <w:rtl/>
        </w:rPr>
        <w:t>,</w:t>
      </w:r>
      <w:r w:rsidR="004D3B08" w:rsidRPr="004D3B08">
        <w:rPr>
          <w:rFonts w:cs="Arial"/>
          <w:rtl/>
        </w:rPr>
        <w:t xml:space="preserve"> אע</w:t>
      </w:r>
      <w:r w:rsidR="00094D0B">
        <w:rPr>
          <w:rFonts w:cs="Arial" w:hint="cs"/>
          <w:rtl/>
        </w:rPr>
        <w:t>"</w:t>
      </w:r>
      <w:r w:rsidR="004D3B08" w:rsidRPr="004D3B08">
        <w:rPr>
          <w:rFonts w:cs="Arial"/>
          <w:rtl/>
        </w:rPr>
        <w:t xml:space="preserve">פ שהמתנה תלויה עד שתרצה ועדיין לא נגמרה </w:t>
      </w:r>
      <w:r w:rsidR="004C2439">
        <w:rPr>
          <w:rFonts w:cs="Arial" w:hint="cs"/>
          <w:rtl/>
        </w:rPr>
        <w:t xml:space="preserve">- </w:t>
      </w:r>
      <w:r w:rsidR="004D3B08" w:rsidRPr="004D3B08">
        <w:rPr>
          <w:rFonts w:cs="Arial"/>
          <w:rtl/>
        </w:rPr>
        <w:t>אין הבעל אוכל הפירות אלא המקבל</w:t>
      </w:r>
      <w:r>
        <w:rPr>
          <w:rStyle w:val="a7"/>
          <w:rFonts w:cs="Arial"/>
          <w:rtl/>
        </w:rPr>
        <w:footnoteReference w:id="1274"/>
      </w:r>
      <w:r w:rsidR="004C2439">
        <w:rPr>
          <w:rFonts w:cs="Arial" w:hint="cs"/>
          <w:rtl/>
        </w:rPr>
        <w:t>,</w:t>
      </w:r>
      <w:r w:rsidR="004D3B08" w:rsidRPr="004D3B08">
        <w:rPr>
          <w:rFonts w:cs="Arial"/>
          <w:rtl/>
        </w:rPr>
        <w:t xml:space="preserve"> ואם תרצה ליתנם או למוכרם לאחר הרשות בידה</w:t>
      </w:r>
      <w:r w:rsidR="004C2439">
        <w:rPr>
          <w:rFonts w:cs="Arial" w:hint="cs"/>
          <w:rtl/>
        </w:rPr>
        <w:t>.</w:t>
      </w:r>
      <w:r w:rsidR="004D3B08" w:rsidRPr="004D3B08">
        <w:rPr>
          <w:rFonts w:cs="Arial"/>
          <w:rtl/>
        </w:rPr>
        <w:t xml:space="preserve"> אבל כל זמן שלא תמכרם או תתנם לאחר</w:t>
      </w:r>
      <w:r w:rsidR="00D079DF">
        <w:rPr>
          <w:rFonts w:cs="Arial" w:hint="cs"/>
          <w:rtl/>
        </w:rPr>
        <w:t>,</w:t>
      </w:r>
      <w:r w:rsidR="004D3B08" w:rsidRPr="004D3B08">
        <w:rPr>
          <w:rFonts w:cs="Arial"/>
          <w:rtl/>
        </w:rPr>
        <w:t xml:space="preserve"> אוכל המקבל הפירות</w:t>
      </w:r>
      <w:r w:rsidR="004C2439">
        <w:rPr>
          <w:rFonts w:cs="Arial" w:hint="cs"/>
          <w:rtl/>
        </w:rPr>
        <w:t>.</w:t>
      </w:r>
      <w:r w:rsidR="004D3B08" w:rsidRPr="004D3B08">
        <w:rPr>
          <w:rFonts w:cs="Arial"/>
          <w:rtl/>
        </w:rPr>
        <w:t xml:space="preserve"> ואם מתה בחיי הבעל</w:t>
      </w:r>
      <w:r w:rsidR="004C2439">
        <w:rPr>
          <w:rFonts w:cs="Arial" w:hint="cs"/>
          <w:rtl/>
        </w:rPr>
        <w:t>,</w:t>
      </w:r>
      <w:r w:rsidR="004D3B08" w:rsidRPr="004D3B08">
        <w:rPr>
          <w:rFonts w:cs="Arial"/>
          <w:rtl/>
        </w:rPr>
        <w:t xml:space="preserve"> תשאר למקבל</w:t>
      </w:r>
      <w:r w:rsidR="004D3B08">
        <w:rPr>
          <w:rStyle w:val="a7"/>
          <w:rFonts w:cs="Arial"/>
          <w:rtl/>
        </w:rPr>
        <w:footnoteReference w:id="1275"/>
      </w:r>
      <w:r w:rsidR="004C2439">
        <w:rPr>
          <w:rFonts w:cs="Arial" w:hint="cs"/>
          <w:rtl/>
        </w:rPr>
        <w:t>.</w:t>
      </w:r>
      <w:r w:rsidR="004D3B08" w:rsidRPr="004D3B08">
        <w:rPr>
          <w:rFonts w:cs="Arial"/>
          <w:rtl/>
        </w:rPr>
        <w:t xml:space="preserve"> מת הבעל בחייה</w:t>
      </w:r>
      <w:r w:rsidR="004C2439">
        <w:rPr>
          <w:rFonts w:cs="Arial" w:hint="cs"/>
          <w:rtl/>
        </w:rPr>
        <w:t>,</w:t>
      </w:r>
      <w:r w:rsidR="004D3B08" w:rsidRPr="004D3B08">
        <w:rPr>
          <w:rFonts w:cs="Arial"/>
          <w:rtl/>
        </w:rPr>
        <w:t xml:space="preserve"> תחזור לידה</w:t>
      </w:r>
      <w:r w:rsidR="00392EFD">
        <w:rPr>
          <w:rFonts w:cs="Arial" w:hint="cs"/>
          <w:sz w:val="16"/>
          <w:szCs w:val="16"/>
          <w:rtl/>
        </w:rPr>
        <w:t xml:space="preserve"> (ל' הטור)</w:t>
      </w:r>
      <w:r w:rsidR="00966159">
        <w:rPr>
          <w:rStyle w:val="a7"/>
          <w:rFonts w:cs="Arial"/>
          <w:rtl/>
        </w:rPr>
        <w:footnoteReference w:id="1276"/>
      </w:r>
      <w:r w:rsidR="004C2439">
        <w:rPr>
          <w:rFonts w:cs="Arial" w:hint="cs"/>
          <w:rtl/>
        </w:rPr>
        <w:t>.</w:t>
      </w:r>
      <w:r w:rsidR="004D3B08" w:rsidRPr="004D3B08">
        <w:rPr>
          <w:rFonts w:cs="Arial"/>
          <w:rtl/>
        </w:rPr>
        <w:t xml:space="preserve"> </w:t>
      </w:r>
    </w:p>
    <w:p w14:paraId="10191725" w14:textId="77777777" w:rsidR="001A2DA7" w:rsidRPr="001A2DA7" w:rsidRDefault="001A2DA7" w:rsidP="009000E3">
      <w:pPr>
        <w:pStyle w:val="ab"/>
        <w:numPr>
          <w:ilvl w:val="0"/>
          <w:numId w:val="55"/>
        </w:numPr>
      </w:pPr>
      <w:r>
        <w:rPr>
          <w:rFonts w:cs="Arial" w:hint="cs"/>
          <w:rtl/>
        </w:rPr>
        <w:t xml:space="preserve">י"א </w:t>
      </w:r>
      <w:r>
        <w:rPr>
          <w:rFonts w:cs="Arial" w:hint="cs"/>
          <w:sz w:val="16"/>
          <w:szCs w:val="16"/>
          <w:rtl/>
        </w:rPr>
        <w:t>(כ"כ הר"ן [לז: ד"ה הא] בשם אחרים אומרים)</w:t>
      </w:r>
      <w:r w:rsidR="007D5E63">
        <w:rPr>
          <w:rFonts w:cs="Arial" w:hint="cs"/>
          <w:rtl/>
        </w:rPr>
        <w:t>-</w:t>
      </w:r>
      <w:r w:rsidR="00966159" w:rsidRPr="00966159">
        <w:rPr>
          <w:rFonts w:cs="Arial"/>
          <w:rtl/>
        </w:rPr>
        <w:t xml:space="preserve"> </w:t>
      </w:r>
      <w:r w:rsidR="00966159" w:rsidRPr="00966159">
        <w:rPr>
          <w:rFonts w:cs="Arial" w:hint="cs"/>
          <w:rtl/>
        </w:rPr>
        <w:t>'</w:t>
      </w:r>
      <w:r w:rsidR="00966159" w:rsidRPr="00966159">
        <w:rPr>
          <w:rFonts w:cs="Arial"/>
          <w:rtl/>
        </w:rPr>
        <w:t>עשאום כנכסים שאינם ידועים לבעל</w:t>
      </w:r>
      <w:r w:rsidR="00966159" w:rsidRPr="00966159">
        <w:rPr>
          <w:rFonts w:cs="Arial" w:hint="cs"/>
          <w:rtl/>
        </w:rPr>
        <w:t>',</w:t>
      </w:r>
      <w:r w:rsidR="00966159" w:rsidRPr="00966159">
        <w:rPr>
          <w:rFonts w:cs="Arial"/>
          <w:rtl/>
        </w:rPr>
        <w:t xml:space="preserve"> דינם לגמרי כנכסים שאינם ידועים</w:t>
      </w:r>
      <w:r w:rsidR="00966159" w:rsidRPr="00966159">
        <w:rPr>
          <w:rFonts w:cs="Arial" w:hint="cs"/>
          <w:rtl/>
        </w:rPr>
        <w:t>,</w:t>
      </w:r>
      <w:r w:rsidR="00966159" w:rsidRPr="00966159">
        <w:rPr>
          <w:rFonts w:cs="Arial"/>
          <w:rtl/>
        </w:rPr>
        <w:t xml:space="preserve"> שאין הבעל אוכל פירות</w:t>
      </w:r>
      <w:r w:rsidR="00966159" w:rsidRPr="00966159">
        <w:rPr>
          <w:rFonts w:cs="Arial" w:hint="cs"/>
          <w:rtl/>
        </w:rPr>
        <w:t>.</w:t>
      </w:r>
      <w:r w:rsidR="00966159" w:rsidRPr="00966159">
        <w:rPr>
          <w:rFonts w:cs="Arial"/>
          <w:rtl/>
        </w:rPr>
        <w:t xml:space="preserve"> ומיהו אם מתה</w:t>
      </w:r>
      <w:r w:rsidR="00966159" w:rsidRPr="00966159">
        <w:rPr>
          <w:rFonts w:cs="Arial" w:hint="cs"/>
          <w:rtl/>
        </w:rPr>
        <w:t>,</w:t>
      </w:r>
      <w:r w:rsidR="00966159" w:rsidRPr="00966159">
        <w:rPr>
          <w:rFonts w:cs="Arial"/>
          <w:rtl/>
        </w:rPr>
        <w:t xml:space="preserve"> כל זמן שלא מכרה </w:t>
      </w:r>
      <w:r w:rsidR="00966159" w:rsidRPr="00966159">
        <w:rPr>
          <w:rFonts w:cs="Arial" w:hint="cs"/>
          <w:rtl/>
        </w:rPr>
        <w:t xml:space="preserve">- </w:t>
      </w:r>
      <w:r w:rsidR="00966159" w:rsidRPr="00966159">
        <w:rPr>
          <w:rFonts w:cs="Arial"/>
          <w:rtl/>
        </w:rPr>
        <w:t>הבעל יורש אותה</w:t>
      </w:r>
      <w:r w:rsidR="00966159" w:rsidRPr="00966159">
        <w:rPr>
          <w:rFonts w:cs="Arial" w:hint="cs"/>
          <w:rtl/>
        </w:rPr>
        <w:t>,</w:t>
      </w:r>
      <w:r w:rsidR="00966159" w:rsidRPr="00966159">
        <w:rPr>
          <w:rFonts w:cs="Arial"/>
          <w:rtl/>
        </w:rPr>
        <w:t xml:space="preserve"> בין במברחת</w:t>
      </w:r>
      <w:r w:rsidR="00966159" w:rsidRPr="00966159">
        <w:rPr>
          <w:rFonts w:cs="Arial" w:hint="cs"/>
          <w:rtl/>
        </w:rPr>
        <w:t>,</w:t>
      </w:r>
      <w:r w:rsidR="00966159" w:rsidRPr="00966159">
        <w:rPr>
          <w:rFonts w:cs="Arial"/>
          <w:rtl/>
        </w:rPr>
        <w:t xml:space="preserve"> בין בכותבת מהיום ולכשארצה והבריחה מועלת לה</w:t>
      </w:r>
      <w:r w:rsidR="00966159" w:rsidRPr="00966159">
        <w:rPr>
          <w:rFonts w:cs="Arial" w:hint="cs"/>
          <w:rtl/>
        </w:rPr>
        <w:t>.</w:t>
      </w:r>
      <w:r w:rsidR="00966159" w:rsidRPr="00966159">
        <w:rPr>
          <w:rFonts w:cs="Arial"/>
          <w:rtl/>
        </w:rPr>
        <w:t xml:space="preserve"> שאם מוכרת ונותנת </w:t>
      </w:r>
      <w:r w:rsidR="00966159" w:rsidRPr="00966159">
        <w:rPr>
          <w:rFonts w:cs="Arial" w:hint="cs"/>
          <w:rtl/>
        </w:rPr>
        <w:t xml:space="preserve">- </w:t>
      </w:r>
      <w:r w:rsidR="00966159" w:rsidRPr="00966159">
        <w:rPr>
          <w:rFonts w:cs="Arial"/>
          <w:rtl/>
        </w:rPr>
        <w:t>קיים כנכסים שאינם ידועים</w:t>
      </w:r>
      <w:r w:rsidR="00966159" w:rsidRPr="00966159">
        <w:rPr>
          <w:rFonts w:cs="Arial" w:hint="cs"/>
          <w:rtl/>
        </w:rPr>
        <w:t>,</w:t>
      </w:r>
      <w:r w:rsidR="00966159" w:rsidRPr="00966159">
        <w:rPr>
          <w:rFonts w:cs="Arial"/>
          <w:rtl/>
        </w:rPr>
        <w:t xml:space="preserve"> דיכולה היא ג"כ ליתנם במתנת שכיב מרע שאינם כירושה</w:t>
      </w:r>
      <w:r w:rsidR="00966159" w:rsidRPr="00966159">
        <w:rPr>
          <w:rFonts w:cs="Arial" w:hint="cs"/>
          <w:rtl/>
        </w:rPr>
        <w:t>,</w:t>
      </w:r>
      <w:r w:rsidR="00966159" w:rsidRPr="00966159">
        <w:rPr>
          <w:rFonts w:cs="Arial"/>
          <w:rtl/>
        </w:rPr>
        <w:t xml:space="preserve"> אבל כל שלא זכתה אותם לאחר</w:t>
      </w:r>
      <w:r w:rsidR="00966159" w:rsidRPr="00966159">
        <w:rPr>
          <w:rFonts w:cs="Arial" w:hint="cs"/>
          <w:rtl/>
        </w:rPr>
        <w:t xml:space="preserve"> -</w:t>
      </w:r>
      <w:r w:rsidR="00966159" w:rsidRPr="00966159">
        <w:rPr>
          <w:rFonts w:cs="Arial"/>
          <w:rtl/>
        </w:rPr>
        <w:t xml:space="preserve"> הבעל יורש אותם</w:t>
      </w:r>
      <w:r>
        <w:rPr>
          <w:rStyle w:val="a7"/>
          <w:rFonts w:cs="Arial"/>
          <w:rtl/>
        </w:rPr>
        <w:footnoteReference w:id="1277"/>
      </w:r>
      <w:r w:rsidR="00966159" w:rsidRPr="00966159">
        <w:rPr>
          <w:rFonts w:cs="Arial" w:hint="cs"/>
          <w:rtl/>
        </w:rPr>
        <w:t>.</w:t>
      </w:r>
      <w:r w:rsidR="00966159" w:rsidRPr="00966159">
        <w:rPr>
          <w:rFonts w:cs="Arial"/>
          <w:rtl/>
        </w:rPr>
        <w:t xml:space="preserve"> </w:t>
      </w:r>
    </w:p>
    <w:p w14:paraId="4B670747" w14:textId="0B8A7044" w:rsidR="00966159" w:rsidRPr="00D9440F" w:rsidRDefault="001A2DA7" w:rsidP="009000E3">
      <w:pPr>
        <w:pStyle w:val="ab"/>
        <w:numPr>
          <w:ilvl w:val="0"/>
          <w:numId w:val="55"/>
        </w:numPr>
        <w:rPr>
          <w:rtl/>
        </w:rPr>
      </w:pPr>
      <w:r w:rsidRPr="00966159">
        <w:rPr>
          <w:rFonts w:cs="Arial"/>
          <w:rtl/>
        </w:rPr>
        <w:t xml:space="preserve">ר"ן </w:t>
      </w:r>
      <w:r w:rsidRPr="00966159">
        <w:rPr>
          <w:rFonts w:cs="Arial"/>
          <w:sz w:val="16"/>
          <w:szCs w:val="16"/>
          <w:rtl/>
        </w:rPr>
        <w:t>(לז: ד"ה הא)</w:t>
      </w:r>
      <w:r>
        <w:rPr>
          <w:rFonts w:cs="Arial" w:hint="cs"/>
          <w:rtl/>
        </w:rPr>
        <w:t>-</w:t>
      </w:r>
      <w:r w:rsidR="00C831CF" w:rsidRPr="00C831CF">
        <w:rPr>
          <w:rFonts w:cs="Arial"/>
          <w:rtl/>
        </w:rPr>
        <w:t xml:space="preserve"> הדבר ברור במברחת שאם מתה </w:t>
      </w:r>
      <w:r w:rsidR="00C831CF">
        <w:rPr>
          <w:rFonts w:cs="Arial" w:hint="cs"/>
          <w:rtl/>
        </w:rPr>
        <w:t xml:space="preserve">- </w:t>
      </w:r>
      <w:r w:rsidR="00C831CF" w:rsidRPr="00C831CF">
        <w:rPr>
          <w:rFonts w:cs="Arial"/>
          <w:rtl/>
        </w:rPr>
        <w:t>אין הבעל יורשה שהרי מקבל מתנה זוכה בנכסים</w:t>
      </w:r>
      <w:r w:rsidR="00C831CF">
        <w:rPr>
          <w:rStyle w:val="a7"/>
          <w:rFonts w:cs="Arial"/>
          <w:rtl/>
        </w:rPr>
        <w:footnoteReference w:id="1278"/>
      </w:r>
      <w:r w:rsidR="00C831CF">
        <w:rPr>
          <w:rFonts w:cs="Arial" w:hint="cs"/>
          <w:rtl/>
        </w:rPr>
        <w:t>.</w:t>
      </w:r>
      <w:r w:rsidR="00C831CF" w:rsidRPr="00C831CF">
        <w:rPr>
          <w:rFonts w:cs="Arial"/>
          <w:rtl/>
        </w:rPr>
        <w:t xml:space="preserve"> אבל בכותבת לו מהיום ולכשארצה כיון שלא זכה לוקח מעולם</w:t>
      </w:r>
      <w:r w:rsidR="00C831CF">
        <w:rPr>
          <w:rFonts w:cs="Arial" w:hint="cs"/>
          <w:rtl/>
        </w:rPr>
        <w:t>,</w:t>
      </w:r>
      <w:r w:rsidR="00C831CF" w:rsidRPr="00C831CF">
        <w:rPr>
          <w:rFonts w:cs="Arial"/>
          <w:rtl/>
        </w:rPr>
        <w:t xml:space="preserve"> נהי דהוו כנכסים שאינן ידועים שהוא סבור שתאמר אין</w:t>
      </w:r>
      <w:r w:rsidR="00C831CF">
        <w:rPr>
          <w:rFonts w:cs="Arial" w:hint="cs"/>
          <w:rtl/>
        </w:rPr>
        <w:t>,</w:t>
      </w:r>
      <w:r w:rsidR="00C831CF" w:rsidRPr="00C831CF">
        <w:rPr>
          <w:rFonts w:cs="Arial"/>
          <w:rtl/>
        </w:rPr>
        <w:t xml:space="preserve"> תינח לענין אכילת פירות</w:t>
      </w:r>
      <w:r w:rsidR="00C831CF">
        <w:rPr>
          <w:rFonts w:cs="Arial" w:hint="cs"/>
          <w:rtl/>
        </w:rPr>
        <w:t>,</w:t>
      </w:r>
      <w:r w:rsidR="00C831CF" w:rsidRPr="00C831CF">
        <w:rPr>
          <w:rFonts w:cs="Arial"/>
          <w:rtl/>
        </w:rPr>
        <w:t xml:space="preserve"> אבל לענין ירושתה למה לא יירש אותה</w:t>
      </w:r>
      <w:r w:rsidR="00C831CF">
        <w:rPr>
          <w:rFonts w:cs="Arial" w:hint="cs"/>
          <w:rtl/>
        </w:rPr>
        <w:t>,</w:t>
      </w:r>
      <w:r w:rsidR="00C831CF" w:rsidRPr="00C831CF">
        <w:rPr>
          <w:rFonts w:cs="Arial"/>
          <w:rtl/>
        </w:rPr>
        <w:t xml:space="preserve"> וכדאמרינן בנכסים שאינן ידועים שאין הבעל אוכל פירות ואעפ"כ נראין הדברים שהבעל יורש אותן כמו שכתבתי במשנתנו</w:t>
      </w:r>
      <w:r w:rsidR="00C831CF">
        <w:rPr>
          <w:rFonts w:cs="Arial" w:hint="cs"/>
          <w:rtl/>
        </w:rPr>
        <w:t>...</w:t>
      </w:r>
      <w:r w:rsidR="00966159" w:rsidRPr="00C831CF">
        <w:rPr>
          <w:rFonts w:cs="Arial"/>
          <w:rtl/>
        </w:rPr>
        <w:t xml:space="preserve"> וכל שכן למי שסובר </w:t>
      </w:r>
      <w:r w:rsidR="00966159" w:rsidRPr="00C831CF">
        <w:rPr>
          <w:rFonts w:cs="Arial"/>
          <w:sz w:val="16"/>
          <w:szCs w:val="16"/>
          <w:rtl/>
        </w:rPr>
        <w:t xml:space="preserve">(כתובות פד.) </w:t>
      </w:r>
      <w:r w:rsidR="00966159" w:rsidRPr="00C831CF">
        <w:rPr>
          <w:rFonts w:cs="Arial"/>
          <w:rtl/>
        </w:rPr>
        <w:t>שירושת הבעל דאורייתא</w:t>
      </w:r>
      <w:r w:rsidR="00966159" w:rsidRPr="00C831CF">
        <w:rPr>
          <w:rFonts w:cs="Arial" w:hint="cs"/>
          <w:rtl/>
        </w:rPr>
        <w:t>,</w:t>
      </w:r>
      <w:r w:rsidR="00966159" w:rsidRPr="00C831CF">
        <w:rPr>
          <w:rFonts w:cs="Arial"/>
          <w:rtl/>
        </w:rPr>
        <w:t xml:space="preserve"> שהדבר ברור שאין זה מספיק לעקור ירושתו</w:t>
      </w:r>
      <w:r w:rsidR="00966159" w:rsidRPr="00C831CF">
        <w:rPr>
          <w:rFonts w:cs="Arial" w:hint="cs"/>
          <w:rtl/>
        </w:rPr>
        <w:t>.</w:t>
      </w:r>
      <w:r w:rsidR="00966159" w:rsidRPr="00C831CF">
        <w:rPr>
          <w:rFonts w:cs="Arial"/>
          <w:rtl/>
        </w:rPr>
        <w:t xml:space="preserve"> </w:t>
      </w:r>
    </w:p>
    <w:p w14:paraId="054E499A" w14:textId="21F88ED2" w:rsidR="00392EFD" w:rsidRPr="00392EFD" w:rsidRDefault="00392EFD" w:rsidP="00392EFD">
      <w:pPr>
        <w:ind w:left="360"/>
        <w:rPr>
          <w:u w:val="dotted"/>
        </w:rPr>
      </w:pPr>
      <w:r w:rsidRPr="00392EFD">
        <w:rPr>
          <w:rFonts w:hint="cs"/>
          <w:u w:val="dotted"/>
          <w:rtl/>
        </w:rPr>
        <w:lastRenderedPageBreak/>
        <w:t>ומה הדין אם מת הבעל ומיד אחריו מתה היא:</w:t>
      </w:r>
    </w:p>
    <w:p w14:paraId="14CAAFDC" w14:textId="10EC76E0" w:rsidR="00392EFD" w:rsidRPr="00392EFD" w:rsidRDefault="00392EFD" w:rsidP="009000E3">
      <w:pPr>
        <w:pStyle w:val="ab"/>
        <w:numPr>
          <w:ilvl w:val="0"/>
          <w:numId w:val="55"/>
        </w:numPr>
      </w:pPr>
      <w:r>
        <w:rPr>
          <w:rFonts w:cs="Arial" w:hint="cs"/>
          <w:rtl/>
        </w:rPr>
        <w:t xml:space="preserve">רא"ש </w:t>
      </w:r>
      <w:r w:rsidRPr="0024340F">
        <w:rPr>
          <w:rFonts w:cs="Arial"/>
          <w:sz w:val="16"/>
          <w:szCs w:val="16"/>
          <w:rtl/>
        </w:rPr>
        <w:t>(</w:t>
      </w:r>
      <w:r w:rsidRPr="0024340F">
        <w:rPr>
          <w:rFonts w:cs="Arial" w:hint="cs"/>
          <w:sz w:val="16"/>
          <w:szCs w:val="16"/>
          <w:rtl/>
        </w:rPr>
        <w:t xml:space="preserve">כתובות פ"ח </w:t>
      </w:r>
      <w:r w:rsidRPr="0024340F">
        <w:rPr>
          <w:rFonts w:cs="Arial"/>
          <w:sz w:val="16"/>
          <w:szCs w:val="16"/>
          <w:rtl/>
        </w:rPr>
        <w:t>סי' ב)</w:t>
      </w:r>
      <w:r w:rsidRPr="0024340F">
        <w:rPr>
          <w:rFonts w:cs="Arial" w:hint="cs"/>
          <w:sz w:val="16"/>
          <w:szCs w:val="16"/>
          <w:rtl/>
        </w:rPr>
        <w:t xml:space="preserve"> </w:t>
      </w:r>
      <w:r>
        <w:rPr>
          <w:rFonts w:cs="Arial" w:hint="cs"/>
          <w:rtl/>
        </w:rPr>
        <w:t>ו</w:t>
      </w:r>
      <w:r w:rsidRPr="004D3B08">
        <w:rPr>
          <w:rFonts w:cs="Arial" w:hint="cs"/>
          <w:rtl/>
        </w:rPr>
        <w:t xml:space="preserve">טור- </w:t>
      </w:r>
      <w:r w:rsidR="004D3B08" w:rsidRPr="004D3B08">
        <w:rPr>
          <w:rFonts w:cs="Arial"/>
          <w:rtl/>
        </w:rPr>
        <w:t>אפי</w:t>
      </w:r>
      <w:r>
        <w:rPr>
          <w:rFonts w:cs="Arial" w:hint="cs"/>
          <w:rtl/>
        </w:rPr>
        <w:t>לו</w:t>
      </w:r>
      <w:r w:rsidR="004D3B08" w:rsidRPr="004D3B08">
        <w:rPr>
          <w:rFonts w:cs="Arial"/>
          <w:rtl/>
        </w:rPr>
        <w:t xml:space="preserve"> מתה אחרי מות הבעל מיד קודם שחזרה בה</w:t>
      </w:r>
      <w:r>
        <w:rPr>
          <w:rFonts w:cs="Arial" w:hint="cs"/>
          <w:rtl/>
        </w:rPr>
        <w:t xml:space="preserve">... </w:t>
      </w:r>
      <w:r w:rsidR="00F97626">
        <w:rPr>
          <w:rFonts w:cs="Arial"/>
          <w:rtl/>
        </w:rPr>
        <w:t>-</w:t>
      </w:r>
      <w:r>
        <w:rPr>
          <w:rFonts w:cs="Arial" w:hint="cs"/>
          <w:rtl/>
        </w:rPr>
        <w:t xml:space="preserve"> תחזור ליורשים</w:t>
      </w:r>
      <w:r>
        <w:rPr>
          <w:rStyle w:val="a7"/>
          <w:rFonts w:cs="Arial"/>
          <w:rtl/>
        </w:rPr>
        <w:footnoteReference w:id="1279"/>
      </w:r>
      <w:r>
        <w:rPr>
          <w:rFonts w:cs="Arial" w:hint="cs"/>
          <w:sz w:val="16"/>
          <w:szCs w:val="16"/>
          <w:rtl/>
        </w:rPr>
        <w:t xml:space="preserve"> (ל' הטור)</w:t>
      </w:r>
      <w:r>
        <w:rPr>
          <w:rFonts w:cs="Arial" w:hint="cs"/>
          <w:rtl/>
        </w:rPr>
        <w:t>. (וכ"פ הב"י</w:t>
      </w:r>
      <w:r w:rsidR="00BF00EF">
        <w:rPr>
          <w:rFonts w:cs="Arial" w:hint="cs"/>
          <w:rtl/>
        </w:rPr>
        <w:t xml:space="preserve"> ח"מ </w:t>
      </w:r>
      <w:r w:rsidR="00BF00EF">
        <w:rPr>
          <w:rFonts w:cs="Arial" w:hint="cs"/>
          <w:sz w:val="16"/>
          <w:szCs w:val="16"/>
          <w:rtl/>
        </w:rPr>
        <w:t>[סקכ"ב]</w:t>
      </w:r>
      <w:r w:rsidR="006B2D4F" w:rsidRPr="006B2D4F">
        <w:rPr>
          <w:rFonts w:cs="Arial" w:hint="cs"/>
          <w:rtl/>
        </w:rPr>
        <w:t xml:space="preserve"> </w:t>
      </w:r>
      <w:r w:rsidR="006B2D4F">
        <w:rPr>
          <w:rFonts w:cs="Arial" w:hint="cs"/>
          <w:rtl/>
        </w:rPr>
        <w:t xml:space="preserve">וב"ש </w:t>
      </w:r>
      <w:r w:rsidR="006B2D4F">
        <w:rPr>
          <w:rFonts w:cs="Arial" w:hint="cs"/>
          <w:sz w:val="16"/>
          <w:szCs w:val="16"/>
          <w:rtl/>
        </w:rPr>
        <w:t>[סקכ"ט]</w:t>
      </w:r>
      <w:r>
        <w:rPr>
          <w:rFonts w:cs="Arial" w:hint="cs"/>
          <w:rtl/>
        </w:rPr>
        <w:t>)</w:t>
      </w:r>
    </w:p>
    <w:p w14:paraId="1E361CC1" w14:textId="47A75859" w:rsidR="00687D10" w:rsidRDefault="004D3B08" w:rsidP="009000E3">
      <w:pPr>
        <w:pStyle w:val="ab"/>
        <w:numPr>
          <w:ilvl w:val="0"/>
          <w:numId w:val="55"/>
        </w:numPr>
      </w:pPr>
      <w:r w:rsidRPr="004D3B08">
        <w:rPr>
          <w:rFonts w:cs="Arial"/>
          <w:rtl/>
        </w:rPr>
        <w:t>רמ"ה</w:t>
      </w:r>
      <w:r w:rsidR="00392EFD">
        <w:rPr>
          <w:rFonts w:cs="Arial" w:hint="cs"/>
          <w:sz w:val="16"/>
          <w:szCs w:val="16"/>
          <w:rtl/>
        </w:rPr>
        <w:t xml:space="preserve"> (כ"כ הטור בשמו)</w:t>
      </w:r>
      <w:r w:rsidR="00392EFD">
        <w:rPr>
          <w:rFonts w:cs="Arial" w:hint="cs"/>
          <w:rtl/>
        </w:rPr>
        <w:t xml:space="preserve">- </w:t>
      </w:r>
      <w:r w:rsidRPr="004D3B08">
        <w:rPr>
          <w:rFonts w:cs="Arial"/>
          <w:rtl/>
        </w:rPr>
        <w:t>ישאר למקבל</w:t>
      </w:r>
      <w:r w:rsidR="00416FFE">
        <w:rPr>
          <w:rStyle w:val="a7"/>
          <w:rFonts w:cs="Arial"/>
          <w:rtl/>
        </w:rPr>
        <w:footnoteReference w:id="1280"/>
      </w:r>
      <w:r w:rsidR="00392EFD">
        <w:rPr>
          <w:rFonts w:cs="Arial" w:hint="cs"/>
          <w:rtl/>
        </w:rPr>
        <w:t>.</w:t>
      </w:r>
    </w:p>
    <w:p w14:paraId="295670A5" w14:textId="43616E42" w:rsidR="00966159" w:rsidRPr="00966159" w:rsidRDefault="00966159" w:rsidP="00966159">
      <w:pPr>
        <w:ind w:left="360"/>
        <w:rPr>
          <w:u w:val="dotted"/>
        </w:rPr>
      </w:pPr>
      <w:r w:rsidRPr="00966159">
        <w:rPr>
          <w:rFonts w:hint="cs"/>
          <w:u w:val="dotted"/>
          <w:rtl/>
        </w:rPr>
        <w:t>כשכתבה ל</w:t>
      </w:r>
      <w:r w:rsidR="00921002">
        <w:rPr>
          <w:rFonts w:hint="cs"/>
          <w:u w:val="dotted"/>
          <w:rtl/>
        </w:rPr>
        <w:t>מקבל</w:t>
      </w:r>
      <w:r w:rsidRPr="00966159">
        <w:rPr>
          <w:rFonts w:hint="cs"/>
          <w:u w:val="dotted"/>
          <w:rtl/>
        </w:rPr>
        <w:t xml:space="preserve"> 'מהיום ולכשארצה'</w:t>
      </w:r>
      <w:r w:rsidR="00921002">
        <w:rPr>
          <w:rFonts w:hint="cs"/>
          <w:sz w:val="16"/>
          <w:szCs w:val="16"/>
          <w:u w:val="dotted"/>
          <w:rtl/>
        </w:rPr>
        <w:t xml:space="preserve"> (לפירוש הרמב"ם</w:t>
      </w:r>
      <w:r w:rsidR="00416FFE">
        <w:rPr>
          <w:rStyle w:val="a7"/>
          <w:sz w:val="16"/>
          <w:szCs w:val="16"/>
          <w:u w:val="dotted"/>
          <w:rtl/>
        </w:rPr>
        <w:footnoteReference w:id="1281"/>
      </w:r>
      <w:r w:rsidR="00921002">
        <w:rPr>
          <w:rFonts w:hint="cs"/>
          <w:sz w:val="16"/>
          <w:szCs w:val="16"/>
          <w:u w:val="dotted"/>
          <w:rtl/>
        </w:rPr>
        <w:t>)</w:t>
      </w:r>
      <w:r w:rsidRPr="00966159">
        <w:rPr>
          <w:rFonts w:hint="cs"/>
          <w:u w:val="dotted"/>
          <w:rtl/>
        </w:rPr>
        <w:t xml:space="preserve">, ואכל המקבל </w:t>
      </w:r>
      <w:r>
        <w:rPr>
          <w:rFonts w:hint="cs"/>
          <w:u w:val="dotted"/>
          <w:rtl/>
        </w:rPr>
        <w:t>את ה</w:t>
      </w:r>
      <w:r w:rsidRPr="00966159">
        <w:rPr>
          <w:rFonts w:hint="cs"/>
          <w:u w:val="dotted"/>
          <w:rtl/>
        </w:rPr>
        <w:t xml:space="preserve">פירות </w:t>
      </w:r>
      <w:r w:rsidR="00F97626">
        <w:rPr>
          <w:u w:val="dotted"/>
          <w:rtl/>
        </w:rPr>
        <w:t>-</w:t>
      </w:r>
      <w:r w:rsidRPr="00966159">
        <w:rPr>
          <w:rFonts w:hint="cs"/>
          <w:u w:val="dotted"/>
          <w:rtl/>
        </w:rPr>
        <w:t xml:space="preserve"> האם </w:t>
      </w:r>
      <w:r w:rsidR="00921002">
        <w:rPr>
          <w:rFonts w:hint="cs"/>
          <w:u w:val="dotted"/>
          <w:rtl/>
        </w:rPr>
        <w:t>צריך להחזיר לאשה</w:t>
      </w:r>
      <w:r w:rsidRPr="00966159">
        <w:rPr>
          <w:rFonts w:hint="cs"/>
          <w:u w:val="dotted"/>
          <w:rtl/>
        </w:rPr>
        <w:t>:</w:t>
      </w:r>
    </w:p>
    <w:p w14:paraId="22AF929F" w14:textId="42C49E54" w:rsidR="00966159" w:rsidRPr="006B7900" w:rsidRDefault="00966159" w:rsidP="009000E3">
      <w:pPr>
        <w:pStyle w:val="ab"/>
        <w:numPr>
          <w:ilvl w:val="0"/>
          <w:numId w:val="55"/>
        </w:numPr>
        <w:rPr>
          <w:rtl/>
        </w:rPr>
      </w:pPr>
      <w:r w:rsidRPr="00966159">
        <w:rPr>
          <w:rFonts w:cs="Arial"/>
          <w:rtl/>
        </w:rPr>
        <w:t xml:space="preserve">ר"ן </w:t>
      </w:r>
      <w:r w:rsidRPr="00966159">
        <w:rPr>
          <w:rFonts w:cs="Arial"/>
          <w:sz w:val="16"/>
          <w:szCs w:val="16"/>
          <w:rtl/>
        </w:rPr>
        <w:t>(לז: ד"ה הא)</w:t>
      </w:r>
      <w:r>
        <w:rPr>
          <w:rFonts w:cs="Arial" w:hint="cs"/>
          <w:rtl/>
        </w:rPr>
        <w:t>-</w:t>
      </w:r>
      <w:r w:rsidRPr="00966159">
        <w:rPr>
          <w:rFonts w:cs="Arial"/>
          <w:rtl/>
        </w:rPr>
        <w:t xml:space="preserve"> ולענין פירות שאכל מקבל מתנה בכתבה לו מהיום ולכשארצה</w:t>
      </w:r>
      <w:r w:rsidRPr="00966159">
        <w:rPr>
          <w:rFonts w:cs="Arial" w:hint="cs"/>
          <w:rtl/>
        </w:rPr>
        <w:t>,</w:t>
      </w:r>
      <w:r w:rsidRPr="00966159">
        <w:rPr>
          <w:rFonts w:cs="Arial"/>
          <w:rtl/>
        </w:rPr>
        <w:t xml:space="preserve"> אע</w:t>
      </w:r>
      <w:r w:rsidR="00CA7FF2">
        <w:rPr>
          <w:rFonts w:cs="Arial" w:hint="cs"/>
          <w:rtl/>
        </w:rPr>
        <w:t>"</w:t>
      </w:r>
      <w:r w:rsidRPr="00966159">
        <w:rPr>
          <w:rFonts w:cs="Arial"/>
          <w:rtl/>
        </w:rPr>
        <w:t>פ שלא רצתה מעולם נראה שאין מוציאין אותם מידו דמסתמא מחלה להו כיון דברשות קא אכיל</w:t>
      </w:r>
      <w:r w:rsidRPr="00966159">
        <w:rPr>
          <w:rFonts w:cs="Arial" w:hint="cs"/>
          <w:rtl/>
        </w:rPr>
        <w:t>.</w:t>
      </w:r>
      <w:r w:rsidR="00921002">
        <w:rPr>
          <w:rFonts w:hint="cs"/>
          <w:rtl/>
        </w:rPr>
        <w:t xml:space="preserve"> (וכ"כ ב"ש</w:t>
      </w:r>
      <w:r w:rsidR="00921002">
        <w:rPr>
          <w:rFonts w:hint="cs"/>
          <w:sz w:val="16"/>
          <w:szCs w:val="16"/>
          <w:rtl/>
        </w:rPr>
        <w:t xml:space="preserve"> [סקל"ב]</w:t>
      </w:r>
      <w:r w:rsidR="00921002">
        <w:rPr>
          <w:rFonts w:hint="cs"/>
          <w:rtl/>
        </w:rPr>
        <w:t>)</w:t>
      </w:r>
    </w:p>
    <w:p w14:paraId="77E4D6B2" w14:textId="77777777" w:rsidR="00EB79BF" w:rsidRDefault="00EB79BF" w:rsidP="00EB79BF">
      <w:pPr>
        <w:rPr>
          <w:rFonts w:cs="Arial"/>
          <w:rtl/>
        </w:rPr>
      </w:pPr>
      <w:r w:rsidRPr="003024E5">
        <w:rPr>
          <w:rFonts w:asciiTheme="minorBidi" w:hAnsiTheme="minorBidi"/>
          <w:b/>
          <w:bCs/>
          <w:color w:val="000000"/>
          <w:sz w:val="28"/>
          <w:szCs w:val="28"/>
          <w:u w:val="single"/>
          <w:rtl/>
        </w:rPr>
        <w:t>שו"ע:</w:t>
      </w:r>
    </w:p>
    <w:p w14:paraId="5FBB2918" w14:textId="07F8F568" w:rsidR="00EB79BF" w:rsidRDefault="00EB79BF" w:rsidP="00EB79BF">
      <w:pPr>
        <w:rPr>
          <w:rFonts w:cs="Arial"/>
          <w:rtl/>
        </w:rPr>
      </w:pPr>
      <w:r w:rsidRPr="00EB79BF">
        <w:rPr>
          <w:rFonts w:cs="Arial"/>
          <w:rtl/>
        </w:rPr>
        <w:t>האשה שכתבה כל נכסיה לאחר, בין קרוב בין רחוק, קודם שתנשא</w:t>
      </w:r>
      <w:r w:rsidR="000118A1">
        <w:rPr>
          <w:rStyle w:val="a7"/>
          <w:rFonts w:cs="Arial"/>
          <w:rtl/>
        </w:rPr>
        <w:footnoteReference w:id="1282"/>
      </w:r>
      <w:r w:rsidRPr="00EB79BF">
        <w:rPr>
          <w:rFonts w:cs="Arial"/>
          <w:rtl/>
        </w:rPr>
        <w:t>, אף על פי שאם נתאלמנה או נתגרשה תבטל המתנה, אין הבעל אוכל פירותיהם, ואם מתה בחייו, אינו יורשה, שהרי נתנה אותם קודם שתנשא</w:t>
      </w:r>
      <w:r w:rsidR="00C5718F">
        <w:rPr>
          <w:rFonts w:cs="Arial" w:hint="cs"/>
          <w:rtl/>
        </w:rPr>
        <w:t>.</w:t>
      </w:r>
      <w:r w:rsidRPr="00EB79BF">
        <w:rPr>
          <w:rFonts w:cs="Arial"/>
          <w:rtl/>
        </w:rPr>
        <w:t xml:space="preserve"> וכשתמות בחיי בעלה, יקנה מקבל המתנה מתנתו קנין גמור. ולא עוד אלא אפילו נתנה מקצת נכסיה או כולם, קודם, וכתבה למקבל מתנה: קנה מהיום ולכשארצה, שהרי לא קנה קנין גמור עד שתרצה, אין הבעל אוכל פירות אותה המתנה, ואם מתה אינו יורשה. </w:t>
      </w:r>
    </w:p>
    <w:p w14:paraId="04C1D011" w14:textId="3BAD9987" w:rsidR="006B49AA" w:rsidRPr="006B49AA" w:rsidRDefault="006B49AA" w:rsidP="00EB79BF">
      <w:pPr>
        <w:rPr>
          <w:rFonts w:cs="Arial"/>
          <w:u w:val="single"/>
          <w:rtl/>
        </w:rPr>
      </w:pPr>
      <w:r w:rsidRPr="006B49AA">
        <w:rPr>
          <w:rFonts w:cs="Arial" w:hint="cs"/>
          <w:u w:val="single"/>
          <w:rtl/>
        </w:rPr>
        <w:t xml:space="preserve">אשה שהחליטה למכור למישהו אחר את המתנה שנתנה למקבל </w:t>
      </w:r>
      <w:r w:rsidR="00F97626">
        <w:rPr>
          <w:rFonts w:cs="Arial"/>
          <w:u w:val="single"/>
          <w:rtl/>
        </w:rPr>
        <w:t>-</w:t>
      </w:r>
      <w:r w:rsidRPr="006B49AA">
        <w:rPr>
          <w:rFonts w:cs="Arial" w:hint="cs"/>
          <w:u w:val="single"/>
          <w:rtl/>
        </w:rPr>
        <w:t xml:space="preserve"> האם בעת המכירה המתנה הופכת לנכסי מלוג:</w:t>
      </w:r>
    </w:p>
    <w:p w14:paraId="276CCA0B" w14:textId="09AAC14A" w:rsidR="00FA43C3" w:rsidRPr="006B49AA" w:rsidRDefault="006B49AA" w:rsidP="009000E3">
      <w:pPr>
        <w:pStyle w:val="ab"/>
        <w:numPr>
          <w:ilvl w:val="0"/>
          <w:numId w:val="55"/>
        </w:numPr>
        <w:rPr>
          <w:rFonts w:cs="Arial"/>
          <w:rtl/>
        </w:rPr>
      </w:pPr>
      <w:r>
        <w:rPr>
          <w:rFonts w:hint="cs"/>
          <w:rtl/>
        </w:rPr>
        <w:t xml:space="preserve">ב"ש </w:t>
      </w:r>
      <w:r w:rsidRPr="006B49AA">
        <w:rPr>
          <w:rFonts w:hint="cs"/>
          <w:sz w:val="16"/>
          <w:szCs w:val="16"/>
          <w:rtl/>
        </w:rPr>
        <w:t>(סק"ל)</w:t>
      </w:r>
      <w:r>
        <w:rPr>
          <w:rFonts w:hint="cs"/>
          <w:rtl/>
        </w:rPr>
        <w:t xml:space="preserve">- </w:t>
      </w:r>
      <w:r w:rsidRPr="006B49AA">
        <w:rPr>
          <w:rFonts w:cs="Arial"/>
          <w:rtl/>
        </w:rPr>
        <w:t>מבואר בהרא"ש ובטור שיכולה לחזור אפילו בחיי בעלה וליתן לאחר</w:t>
      </w:r>
      <w:r w:rsidRPr="006B49AA">
        <w:rPr>
          <w:rFonts w:cs="Arial" w:hint="cs"/>
          <w:rtl/>
        </w:rPr>
        <w:t>.</w:t>
      </w:r>
      <w:r w:rsidRPr="006B49AA">
        <w:rPr>
          <w:rFonts w:cs="Arial"/>
          <w:rtl/>
        </w:rPr>
        <w:t xml:space="preserve"> וכ</w:t>
      </w:r>
      <w:r w:rsidRPr="006B49AA">
        <w:rPr>
          <w:rFonts w:cs="Arial" w:hint="cs"/>
          <w:rtl/>
        </w:rPr>
        <w:t>"כ הה"מ (</w:t>
      </w:r>
      <w:r w:rsidRPr="006B49AA">
        <w:rPr>
          <w:rFonts w:cs="Arial"/>
          <w:rtl/>
        </w:rPr>
        <w:t>פ"ו ה"ז</w:t>
      </w:r>
      <w:r w:rsidRPr="006B49AA">
        <w:rPr>
          <w:rFonts w:cs="Arial" w:hint="cs"/>
          <w:rtl/>
        </w:rPr>
        <w:t>)</w:t>
      </w:r>
      <w:r w:rsidRPr="006B49AA">
        <w:rPr>
          <w:rFonts w:cs="Arial"/>
          <w:rtl/>
        </w:rPr>
        <w:t xml:space="preserve"> בשם הרשב"א</w:t>
      </w:r>
      <w:r w:rsidRPr="006B49AA">
        <w:rPr>
          <w:rFonts w:cs="Arial" w:hint="cs"/>
          <w:rtl/>
        </w:rPr>
        <w:t>.</w:t>
      </w:r>
      <w:r w:rsidRPr="006B49AA">
        <w:rPr>
          <w:rFonts w:cs="Arial"/>
          <w:rtl/>
        </w:rPr>
        <w:t xml:space="preserve"> וע</w:t>
      </w:r>
      <w:r w:rsidRPr="006B49AA">
        <w:rPr>
          <w:rFonts w:cs="Arial" w:hint="cs"/>
          <w:rtl/>
        </w:rPr>
        <w:t>ל כרחך</w:t>
      </w:r>
      <w:r w:rsidRPr="006B49AA">
        <w:rPr>
          <w:rFonts w:cs="Arial"/>
          <w:rtl/>
        </w:rPr>
        <w:t xml:space="preserve"> </w:t>
      </w:r>
      <w:r w:rsidRPr="006B49AA">
        <w:rPr>
          <w:rFonts w:cs="Arial" w:hint="cs"/>
          <w:rtl/>
        </w:rPr>
        <w:t>ד</w:t>
      </w:r>
      <w:r w:rsidRPr="006B49AA">
        <w:rPr>
          <w:rFonts w:cs="Arial"/>
          <w:rtl/>
        </w:rPr>
        <w:t>איירי בנותנת כל נכסיה סתם</w:t>
      </w:r>
      <w:r w:rsidRPr="006B49AA">
        <w:rPr>
          <w:rFonts w:cs="Arial" w:hint="cs"/>
          <w:rtl/>
        </w:rPr>
        <w:t>,</w:t>
      </w:r>
      <w:r w:rsidRPr="006B49AA">
        <w:rPr>
          <w:rFonts w:cs="Arial"/>
          <w:rtl/>
        </w:rPr>
        <w:t xml:space="preserve"> דאי באמרה מהיום ולכשארצה פשיטא יכולה לחזור</w:t>
      </w:r>
      <w:r w:rsidRPr="006B49AA">
        <w:rPr>
          <w:rFonts w:cs="Arial" w:hint="cs"/>
          <w:rtl/>
        </w:rPr>
        <w:t>.</w:t>
      </w:r>
      <w:r w:rsidRPr="006B49AA">
        <w:rPr>
          <w:rFonts w:cs="Arial"/>
          <w:rtl/>
        </w:rPr>
        <w:t xml:space="preserve"> ונראה אם חזרה נעשה מיד נ</w:t>
      </w:r>
      <w:r w:rsidRPr="006B49AA">
        <w:rPr>
          <w:rFonts w:cs="Arial" w:hint="cs"/>
          <w:rtl/>
        </w:rPr>
        <w:t>כ</w:t>
      </w:r>
      <w:r w:rsidRPr="006B49AA">
        <w:rPr>
          <w:rFonts w:cs="Arial"/>
          <w:rtl/>
        </w:rPr>
        <w:t>"מ</w:t>
      </w:r>
      <w:r w:rsidRPr="006B49AA">
        <w:rPr>
          <w:rFonts w:cs="Arial" w:hint="cs"/>
          <w:rtl/>
        </w:rPr>
        <w:t>,</w:t>
      </w:r>
      <w:r w:rsidRPr="006B49AA">
        <w:rPr>
          <w:rFonts w:cs="Arial"/>
          <w:rtl/>
        </w:rPr>
        <w:t xml:space="preserve"> ואם מכרה אח</w:t>
      </w:r>
      <w:r w:rsidR="000F49A7">
        <w:rPr>
          <w:rFonts w:cs="Arial" w:hint="cs"/>
          <w:rtl/>
        </w:rPr>
        <w:t>"כ</w:t>
      </w:r>
      <w:r w:rsidRPr="006B49AA">
        <w:rPr>
          <w:rFonts w:cs="Arial"/>
          <w:rtl/>
        </w:rPr>
        <w:t xml:space="preserve"> הוי כאלו מכרה נ</w:t>
      </w:r>
      <w:r w:rsidRPr="006B49AA">
        <w:rPr>
          <w:rFonts w:cs="Arial" w:hint="cs"/>
          <w:rtl/>
        </w:rPr>
        <w:t>כ</w:t>
      </w:r>
      <w:r w:rsidRPr="006B49AA">
        <w:rPr>
          <w:rFonts w:cs="Arial"/>
          <w:rtl/>
        </w:rPr>
        <w:t>"מ</w:t>
      </w:r>
      <w:r w:rsidRPr="006B49AA">
        <w:rPr>
          <w:rFonts w:cs="Arial" w:hint="cs"/>
          <w:rtl/>
        </w:rPr>
        <w:t>.</w:t>
      </w:r>
      <w:r w:rsidRPr="006B49AA">
        <w:rPr>
          <w:rFonts w:cs="Arial"/>
          <w:rtl/>
        </w:rPr>
        <w:t xml:space="preserve"> אא</w:t>
      </w:r>
      <w:r w:rsidRPr="006B49AA">
        <w:rPr>
          <w:rFonts w:cs="Arial" w:hint="cs"/>
          <w:rtl/>
        </w:rPr>
        <w:t>"</w:t>
      </w:r>
      <w:r w:rsidRPr="006B49AA">
        <w:rPr>
          <w:rFonts w:cs="Arial"/>
          <w:rtl/>
        </w:rPr>
        <w:t>כ דחזרה ומכרה ולא ידע הבעל</w:t>
      </w:r>
      <w:r w:rsidRPr="006B49AA">
        <w:rPr>
          <w:rFonts w:cs="Arial" w:hint="cs"/>
          <w:rtl/>
        </w:rPr>
        <w:t>,</w:t>
      </w:r>
      <w:r w:rsidRPr="006B49AA">
        <w:rPr>
          <w:rFonts w:cs="Arial"/>
          <w:rtl/>
        </w:rPr>
        <w:t xml:space="preserve"> אז מכירתה קיימת</w:t>
      </w:r>
      <w:r>
        <w:rPr>
          <w:rFonts w:hint="cs"/>
          <w:rtl/>
        </w:rPr>
        <w:t>.</w:t>
      </w:r>
    </w:p>
    <w:p w14:paraId="362DA173" w14:textId="77777777" w:rsidR="006B49AA" w:rsidRPr="00EB79BF" w:rsidRDefault="006B49AA" w:rsidP="00EB79BF">
      <w:pPr>
        <w:rPr>
          <w:rFonts w:cs="Arial"/>
          <w:rtl/>
        </w:rPr>
      </w:pPr>
    </w:p>
    <w:p w14:paraId="2A24735C" w14:textId="33FC7D25" w:rsidR="00EB79BF" w:rsidRDefault="00EB79BF" w:rsidP="000F64D0">
      <w:pPr>
        <w:pStyle w:val="2"/>
        <w:rPr>
          <w:rtl/>
        </w:rPr>
      </w:pPr>
      <w:r w:rsidRPr="00EB79BF">
        <w:rPr>
          <w:rtl/>
        </w:rPr>
        <w:t>סעיף ח</w:t>
      </w:r>
      <w:r w:rsidR="00BF00EF">
        <w:rPr>
          <w:rFonts w:hint="cs"/>
          <w:rtl/>
        </w:rPr>
        <w:t>: מברחת שכתבה בשטר 'מתנה גמורה'</w:t>
      </w:r>
      <w:r w:rsidR="00643585">
        <w:rPr>
          <w:rFonts w:hint="cs"/>
          <w:rtl/>
        </w:rPr>
        <w:t xml:space="preserve"> </w:t>
      </w:r>
      <w:r w:rsidR="00643585" w:rsidRPr="00643585">
        <w:rPr>
          <w:rFonts w:hint="cs"/>
          <w:sz w:val="20"/>
          <w:szCs w:val="20"/>
          <w:rtl/>
        </w:rPr>
        <w:t>(וכדומה)</w:t>
      </w:r>
      <w:r w:rsidR="00BF00EF">
        <w:rPr>
          <w:rFonts w:hint="cs"/>
          <w:rtl/>
        </w:rPr>
        <w:t>.</w:t>
      </w:r>
    </w:p>
    <w:p w14:paraId="4EC96B4B" w14:textId="06C74874" w:rsidR="000C40D2" w:rsidRPr="000C40D2" w:rsidRDefault="003D120B" w:rsidP="000C40D2">
      <w:pPr>
        <w:rPr>
          <w:u w:val="single"/>
        </w:rPr>
      </w:pPr>
      <w:r w:rsidRPr="003D120B">
        <w:rPr>
          <w:rFonts w:hint="cs"/>
          <w:u w:val="single"/>
          <w:rtl/>
        </w:rPr>
        <w:t>מברחת שכתבה בשטר 'מתנה גמורה</w:t>
      </w:r>
      <w:r>
        <w:rPr>
          <w:rFonts w:hint="cs"/>
          <w:u w:val="single"/>
          <w:rtl/>
        </w:rPr>
        <w:t>/חלוטה/עולמית' וכדו'</w:t>
      </w:r>
      <w:r w:rsidRPr="003D120B">
        <w:rPr>
          <w:rFonts w:hint="cs"/>
          <w:u w:val="single"/>
          <w:rtl/>
        </w:rPr>
        <w:t>:</w:t>
      </w:r>
      <w:r w:rsidR="00643585" w:rsidRPr="000C40D2">
        <w:rPr>
          <w:rFonts w:cs="Arial"/>
          <w:rtl/>
        </w:rPr>
        <w:t xml:space="preserve"> </w:t>
      </w:r>
    </w:p>
    <w:p w14:paraId="7C56EE1E" w14:textId="5AE12A15" w:rsidR="000C40D2" w:rsidRDefault="005F77E3" w:rsidP="009000E3">
      <w:pPr>
        <w:pStyle w:val="ab"/>
        <w:numPr>
          <w:ilvl w:val="0"/>
          <w:numId w:val="55"/>
        </w:numPr>
        <w:rPr>
          <w:rFonts w:cs="Arial"/>
        </w:rPr>
      </w:pPr>
      <w:r w:rsidRPr="005F77E3">
        <w:rPr>
          <w:rFonts w:cs="Arial"/>
          <w:rtl/>
        </w:rPr>
        <w:t>רא"</w:t>
      </w:r>
      <w:r w:rsidR="000C40D2">
        <w:rPr>
          <w:rFonts w:cs="Arial" w:hint="cs"/>
          <w:rtl/>
        </w:rPr>
        <w:t>ה</w:t>
      </w:r>
      <w:r w:rsidR="000C40D2">
        <w:rPr>
          <w:rFonts w:cs="Arial" w:hint="cs"/>
          <w:sz w:val="16"/>
          <w:szCs w:val="16"/>
          <w:rtl/>
        </w:rPr>
        <w:t xml:space="preserve"> (כ"כ בשמו הרשב"א [כתובות עט.] והר"ן [לז: סוד"ה הא])</w:t>
      </w:r>
      <w:r w:rsidR="000C40D2">
        <w:rPr>
          <w:rFonts w:cs="Arial" w:hint="cs"/>
          <w:rtl/>
        </w:rPr>
        <w:t xml:space="preserve">- </w:t>
      </w:r>
      <w:r w:rsidRPr="005F77E3">
        <w:rPr>
          <w:rFonts w:cs="Arial"/>
          <w:rtl/>
        </w:rPr>
        <w:t>דינא דמברחת דוקא בשלא כתבה לו מתנה גמורה</w:t>
      </w:r>
      <w:r w:rsidR="000C40D2">
        <w:rPr>
          <w:rFonts w:cs="Arial" w:hint="cs"/>
          <w:rtl/>
        </w:rPr>
        <w:t>,</w:t>
      </w:r>
      <w:r w:rsidRPr="005F77E3">
        <w:rPr>
          <w:rFonts w:cs="Arial"/>
          <w:rtl/>
        </w:rPr>
        <w:t xml:space="preserve"> מתנה חלוטה</w:t>
      </w:r>
      <w:r w:rsidR="000C40D2">
        <w:rPr>
          <w:rFonts w:cs="Arial" w:hint="cs"/>
          <w:rtl/>
        </w:rPr>
        <w:t>,</w:t>
      </w:r>
      <w:r w:rsidRPr="005F77E3">
        <w:rPr>
          <w:rFonts w:cs="Arial"/>
          <w:rtl/>
        </w:rPr>
        <w:t xml:space="preserve"> מתנת עלמין</w:t>
      </w:r>
      <w:r w:rsidR="000C40D2">
        <w:rPr>
          <w:rFonts w:cs="Arial" w:hint="cs"/>
          <w:rtl/>
        </w:rPr>
        <w:t>,</w:t>
      </w:r>
      <w:r w:rsidRPr="005F77E3">
        <w:rPr>
          <w:rFonts w:cs="Arial"/>
          <w:rtl/>
        </w:rPr>
        <w:t xml:space="preserve"> אבל אם כתבה לו כן </w:t>
      </w:r>
      <w:r w:rsidR="000C40D2">
        <w:rPr>
          <w:rFonts w:cs="Arial" w:hint="cs"/>
          <w:rtl/>
        </w:rPr>
        <w:t xml:space="preserve">- </w:t>
      </w:r>
      <w:r w:rsidRPr="005F77E3">
        <w:rPr>
          <w:rFonts w:cs="Arial"/>
          <w:rtl/>
        </w:rPr>
        <w:t>קנה לגמרי</w:t>
      </w:r>
      <w:r w:rsidR="000C40D2">
        <w:rPr>
          <w:rFonts w:cs="Arial" w:hint="cs"/>
          <w:rtl/>
        </w:rPr>
        <w:t>.</w:t>
      </w:r>
      <w:r w:rsidR="000C40D2" w:rsidRPr="005C7937">
        <w:rPr>
          <w:rFonts w:hint="cs"/>
          <w:color w:val="E36C0A" w:themeColor="accent6" w:themeShade="BF"/>
          <w:rtl/>
        </w:rPr>
        <w:t xml:space="preserve"> </w:t>
      </w:r>
      <w:r w:rsidR="000C40D2" w:rsidRPr="001D67C0">
        <w:rPr>
          <w:rFonts w:hint="cs"/>
          <w:color w:val="E36C0A" w:themeColor="accent6" w:themeShade="BF"/>
          <w:rtl/>
        </w:rPr>
        <w:t>(וכ"פ בשו"ע)</w:t>
      </w:r>
    </w:p>
    <w:p w14:paraId="32209648" w14:textId="0A536173" w:rsidR="000C40D2" w:rsidRPr="000C40D2" w:rsidRDefault="000C40D2" w:rsidP="000C40D2">
      <w:pPr>
        <w:ind w:left="360"/>
        <w:rPr>
          <w:rFonts w:cs="Arial"/>
          <w:u w:val="dotted"/>
        </w:rPr>
      </w:pPr>
      <w:r w:rsidRPr="000C40D2">
        <w:rPr>
          <w:rFonts w:cs="Arial" w:hint="cs"/>
          <w:u w:val="dotted"/>
          <w:rtl/>
        </w:rPr>
        <w:t xml:space="preserve">ומה הדין בזמן שנוהגים לכתוב כך בכל השטרות </w:t>
      </w:r>
      <w:r w:rsidR="00F97626">
        <w:rPr>
          <w:rFonts w:cs="Arial"/>
          <w:u w:val="dotted"/>
          <w:rtl/>
        </w:rPr>
        <w:t>-</w:t>
      </w:r>
      <w:r w:rsidRPr="000C40D2">
        <w:rPr>
          <w:rFonts w:cs="Arial" w:hint="cs"/>
          <w:u w:val="dotted"/>
          <w:rtl/>
        </w:rPr>
        <w:t xml:space="preserve"> האם דנים את זה כשופרא דשטרא:</w:t>
      </w:r>
    </w:p>
    <w:p w14:paraId="26BEF1DF" w14:textId="541F6F9B" w:rsidR="00D9440F" w:rsidRPr="005F77E3" w:rsidRDefault="000C40D2" w:rsidP="009000E3">
      <w:pPr>
        <w:pStyle w:val="ab"/>
        <w:numPr>
          <w:ilvl w:val="0"/>
          <w:numId w:val="55"/>
        </w:numPr>
        <w:rPr>
          <w:rFonts w:cs="Arial"/>
          <w:rtl/>
        </w:rPr>
      </w:pPr>
      <w:r w:rsidRPr="00643585">
        <w:rPr>
          <w:rFonts w:cs="Arial"/>
          <w:rtl/>
        </w:rPr>
        <w:t xml:space="preserve">רשב"א </w:t>
      </w:r>
      <w:r w:rsidRPr="00213D3D">
        <w:rPr>
          <w:rFonts w:cs="Arial"/>
          <w:sz w:val="16"/>
          <w:szCs w:val="16"/>
          <w:rtl/>
        </w:rPr>
        <w:t>(כתובות עט. ד"ה ובשם</w:t>
      </w:r>
      <w:r w:rsidRPr="00213D3D">
        <w:rPr>
          <w:rFonts w:cs="Arial" w:hint="cs"/>
          <w:sz w:val="16"/>
          <w:szCs w:val="16"/>
          <w:rtl/>
        </w:rPr>
        <w:t xml:space="preserve">, </w:t>
      </w:r>
      <w:r w:rsidR="008C08D9">
        <w:rPr>
          <w:rFonts w:cs="Arial" w:hint="cs"/>
          <w:sz w:val="16"/>
          <w:szCs w:val="16"/>
          <w:rtl/>
        </w:rPr>
        <w:t>וכ"כ בשמו</w:t>
      </w:r>
      <w:r>
        <w:rPr>
          <w:rFonts w:cs="Arial" w:hint="cs"/>
          <w:sz w:val="16"/>
          <w:szCs w:val="16"/>
          <w:rtl/>
        </w:rPr>
        <w:t xml:space="preserve"> הה"מ [</w:t>
      </w:r>
      <w:r w:rsidRPr="00213D3D">
        <w:rPr>
          <w:rFonts w:cs="Arial" w:hint="cs"/>
          <w:sz w:val="16"/>
          <w:szCs w:val="16"/>
          <w:rtl/>
        </w:rPr>
        <w:t>פ"ו מזכיה ומתנה הי"ב</w:t>
      </w:r>
      <w:r>
        <w:rPr>
          <w:rFonts w:cs="Arial" w:hint="cs"/>
          <w:sz w:val="16"/>
          <w:szCs w:val="16"/>
          <w:rtl/>
        </w:rPr>
        <w:t>] והר"ן [</w:t>
      </w:r>
      <w:r w:rsidRPr="00643585">
        <w:rPr>
          <w:rFonts w:cs="Arial"/>
          <w:sz w:val="16"/>
          <w:szCs w:val="16"/>
          <w:rtl/>
        </w:rPr>
        <w:t xml:space="preserve">לז: </w:t>
      </w:r>
      <w:r w:rsidRPr="00643585">
        <w:rPr>
          <w:rFonts w:cs="Arial" w:hint="cs"/>
          <w:sz w:val="16"/>
          <w:szCs w:val="16"/>
          <w:rtl/>
        </w:rPr>
        <w:t>סו</w:t>
      </w:r>
      <w:r w:rsidRPr="00643585">
        <w:rPr>
          <w:rFonts w:cs="Arial"/>
          <w:sz w:val="16"/>
          <w:szCs w:val="16"/>
          <w:rtl/>
        </w:rPr>
        <w:t>ד"ה הא</w:t>
      </w:r>
      <w:r>
        <w:rPr>
          <w:rFonts w:cs="Arial" w:hint="cs"/>
          <w:sz w:val="16"/>
          <w:szCs w:val="16"/>
          <w:rtl/>
        </w:rPr>
        <w:t>]</w:t>
      </w:r>
      <w:r w:rsidRPr="00213D3D">
        <w:rPr>
          <w:rFonts w:cs="Arial"/>
          <w:sz w:val="16"/>
          <w:szCs w:val="16"/>
          <w:rtl/>
        </w:rPr>
        <w:t>)</w:t>
      </w:r>
      <w:r>
        <w:rPr>
          <w:rFonts w:cs="Arial" w:hint="cs"/>
          <w:rtl/>
        </w:rPr>
        <w:t xml:space="preserve">- </w:t>
      </w:r>
      <w:r w:rsidR="005F77E3" w:rsidRPr="005F77E3">
        <w:rPr>
          <w:rFonts w:cs="Arial"/>
          <w:rtl/>
        </w:rPr>
        <w:t xml:space="preserve">ויש לדקדק לפי דבריו עכשיו שהכל כותבין כן אם נדון אותו לשופרא דשטרא עד שיכתובו </w:t>
      </w:r>
      <w:r w:rsidR="00082C44">
        <w:rPr>
          <w:rFonts w:cs="Arial" w:hint="cs"/>
          <w:rtl/>
        </w:rPr>
        <w:t>"</w:t>
      </w:r>
      <w:r w:rsidR="005F77E3" w:rsidRPr="005F77E3">
        <w:rPr>
          <w:rFonts w:cs="Arial"/>
          <w:rtl/>
        </w:rPr>
        <w:t>וכך אמרה לנו בפירוש</w:t>
      </w:r>
      <w:r w:rsidR="00082C44">
        <w:rPr>
          <w:rFonts w:cs="Arial" w:hint="cs"/>
          <w:rtl/>
        </w:rPr>
        <w:t>",</w:t>
      </w:r>
      <w:r w:rsidR="005F77E3" w:rsidRPr="005F77E3">
        <w:rPr>
          <w:rFonts w:cs="Arial"/>
          <w:rtl/>
        </w:rPr>
        <w:t xml:space="preserve"> כדרך שעושין בתנאי נאמנות ועל הנאמנות בפירוש</w:t>
      </w:r>
      <w:r w:rsidR="00082C44">
        <w:rPr>
          <w:rFonts w:cs="Arial" w:hint="cs"/>
          <w:rtl/>
        </w:rPr>
        <w:t>.</w:t>
      </w:r>
      <w:r w:rsidR="005F77E3" w:rsidRPr="005F77E3">
        <w:rPr>
          <w:rFonts w:cs="Arial"/>
          <w:rtl/>
        </w:rPr>
        <w:t xml:space="preserve"> ואני למד מדברי מורי הרב ז"ל שכתב במסכת בבא בתרא (מ</w:t>
      </w:r>
      <w:r w:rsidR="000F49A7">
        <w:rPr>
          <w:rFonts w:cs="Arial" w:hint="cs"/>
          <w:rtl/>
        </w:rPr>
        <w:t>:</w:t>
      </w:r>
      <w:r w:rsidR="005F77E3" w:rsidRPr="005F77E3">
        <w:rPr>
          <w:rFonts w:cs="Arial"/>
          <w:rtl/>
        </w:rPr>
        <w:t>) גבי כתבוה בשוקא דכיון שהכל מורגלין לכתוב כן בזמנינו זה</w:t>
      </w:r>
      <w:r w:rsidR="00082C44">
        <w:rPr>
          <w:rFonts w:cs="Arial" w:hint="cs"/>
          <w:rtl/>
        </w:rPr>
        <w:t xml:space="preserve"> -</w:t>
      </w:r>
      <w:r w:rsidR="005F77E3" w:rsidRPr="005F77E3">
        <w:rPr>
          <w:rFonts w:cs="Arial"/>
          <w:rtl/>
        </w:rPr>
        <w:t xml:space="preserve"> אינו צריך לומר בפירוש כן</w:t>
      </w:r>
      <w:r w:rsidR="000F49A7">
        <w:rPr>
          <w:rFonts w:cs="Arial" w:hint="cs"/>
          <w:rtl/>
        </w:rPr>
        <w:t xml:space="preserve">, </w:t>
      </w:r>
      <w:r w:rsidR="005F77E3" w:rsidRPr="005F77E3">
        <w:rPr>
          <w:rFonts w:cs="Arial"/>
          <w:rtl/>
        </w:rPr>
        <w:t>דאילו רצה לכסותה היה מצוה שלא לכתבה בפרהסיא ושלא לכתוב בשטר כן</w:t>
      </w:r>
      <w:r w:rsidR="00082C44">
        <w:rPr>
          <w:rFonts w:cs="Arial" w:hint="cs"/>
          <w:rtl/>
        </w:rPr>
        <w:t>,</w:t>
      </w:r>
      <w:r w:rsidR="005F77E3" w:rsidRPr="005F77E3">
        <w:rPr>
          <w:rFonts w:cs="Arial"/>
          <w:rtl/>
        </w:rPr>
        <w:t xml:space="preserve"> שהרי הוא יודע שכך הן כותבים</w:t>
      </w:r>
      <w:r w:rsidR="00082C44">
        <w:rPr>
          <w:rFonts w:cs="Arial" w:hint="cs"/>
          <w:rtl/>
        </w:rPr>
        <w:t>,</w:t>
      </w:r>
      <w:r w:rsidR="005F77E3" w:rsidRPr="005F77E3">
        <w:rPr>
          <w:rFonts w:cs="Arial"/>
          <w:rtl/>
        </w:rPr>
        <w:t xml:space="preserve"> וכאלו צום בפירוש כתבוה בשוקא הוא</w:t>
      </w:r>
      <w:r w:rsidR="00082C44">
        <w:rPr>
          <w:rFonts w:cs="Arial" w:hint="cs"/>
          <w:rtl/>
        </w:rPr>
        <w:t>.</w:t>
      </w:r>
      <w:r w:rsidR="005F77E3" w:rsidRPr="005F77E3">
        <w:rPr>
          <w:rFonts w:cs="Arial"/>
          <w:rtl/>
        </w:rPr>
        <w:t xml:space="preserve"> ואפשר לדון כאן כן</w:t>
      </w:r>
      <w:r w:rsidR="000F49A7">
        <w:rPr>
          <w:rFonts w:cs="Arial" w:hint="cs"/>
          <w:rtl/>
        </w:rPr>
        <w:t>.</w:t>
      </w:r>
      <w:r w:rsidR="005F77E3" w:rsidRPr="005F77E3">
        <w:rPr>
          <w:rFonts w:cs="Arial"/>
          <w:rtl/>
        </w:rPr>
        <w:t xml:space="preserve"> ונראין הדברים שהכל לפי ראות הדיינין</w:t>
      </w:r>
      <w:r w:rsidR="00082C44">
        <w:rPr>
          <w:rFonts w:cs="Arial" w:hint="cs"/>
          <w:rtl/>
        </w:rPr>
        <w:t>,</w:t>
      </w:r>
      <w:r w:rsidR="005F77E3" w:rsidRPr="005F77E3">
        <w:rPr>
          <w:rFonts w:cs="Arial"/>
          <w:rtl/>
        </w:rPr>
        <w:t xml:space="preserve"> שאי אפשר לומר באשה שתדע </w:t>
      </w:r>
      <w:r w:rsidR="005F77E3" w:rsidRPr="005F77E3">
        <w:rPr>
          <w:rFonts w:cs="Arial"/>
          <w:rtl/>
        </w:rPr>
        <w:lastRenderedPageBreak/>
        <w:t>בנוסח השטרות שכותבי שטרות מורגלים לכתוב</w:t>
      </w:r>
      <w:r w:rsidR="000F49A7">
        <w:rPr>
          <w:rFonts w:cs="Arial" w:hint="cs"/>
          <w:rtl/>
        </w:rPr>
        <w:t>.</w:t>
      </w:r>
      <w:r w:rsidR="005F77E3" w:rsidRPr="005F77E3">
        <w:rPr>
          <w:rFonts w:cs="Arial"/>
          <w:rtl/>
        </w:rPr>
        <w:t xml:space="preserve"> ועד שיעידו שכך אמרה להם בפירוש</w:t>
      </w:r>
      <w:r w:rsidR="00082C44">
        <w:rPr>
          <w:rFonts w:cs="Arial" w:hint="cs"/>
          <w:rtl/>
        </w:rPr>
        <w:t xml:space="preserve"> -</w:t>
      </w:r>
      <w:r w:rsidR="005F77E3" w:rsidRPr="005F77E3">
        <w:rPr>
          <w:rFonts w:cs="Arial"/>
          <w:rtl/>
        </w:rPr>
        <w:t xml:space="preserve"> </w:t>
      </w:r>
      <w:r w:rsidR="005F77E3">
        <w:rPr>
          <w:rFonts w:cs="Arial" w:hint="cs"/>
          <w:rtl/>
        </w:rPr>
        <w:t>[</w:t>
      </w:r>
      <w:r w:rsidR="005F77E3" w:rsidRPr="005F77E3">
        <w:rPr>
          <w:rFonts w:cs="Arial"/>
          <w:rtl/>
        </w:rPr>
        <w:t>לא קנה</w:t>
      </w:r>
      <w:r w:rsidR="005F77E3">
        <w:rPr>
          <w:rFonts w:cs="Arial" w:hint="cs"/>
          <w:rtl/>
        </w:rPr>
        <w:t>]</w:t>
      </w:r>
      <w:r w:rsidR="00CB5EA2">
        <w:rPr>
          <w:rStyle w:val="a7"/>
          <w:rFonts w:cs="Arial"/>
          <w:rtl/>
        </w:rPr>
        <w:footnoteReference w:id="1283"/>
      </w:r>
      <w:r w:rsidR="008C08D9">
        <w:rPr>
          <w:rFonts w:cs="Arial" w:hint="cs"/>
          <w:rtl/>
        </w:rPr>
        <w:t>.</w:t>
      </w:r>
      <w:r w:rsidR="005F77E3" w:rsidRPr="005F77E3">
        <w:rPr>
          <w:rFonts w:cs="Arial"/>
          <w:rtl/>
        </w:rPr>
        <w:t xml:space="preserve"> ואם רואים שידעה ולא מיחתה א</w:t>
      </w:r>
      <w:r w:rsidR="00082C44">
        <w:rPr>
          <w:rFonts w:cs="Arial" w:hint="cs"/>
          <w:rtl/>
        </w:rPr>
        <w:t>ע"פ</w:t>
      </w:r>
      <w:r w:rsidR="005F77E3" w:rsidRPr="005F77E3">
        <w:rPr>
          <w:rFonts w:cs="Arial"/>
          <w:rtl/>
        </w:rPr>
        <w:t xml:space="preserve"> שלא אמרה להם בפירוש </w:t>
      </w:r>
      <w:r w:rsidR="008C08D9">
        <w:rPr>
          <w:rFonts w:cs="Arial" w:hint="cs"/>
          <w:rtl/>
        </w:rPr>
        <w:t xml:space="preserve">- </w:t>
      </w:r>
      <w:r w:rsidR="005F77E3" w:rsidRPr="005F77E3">
        <w:rPr>
          <w:rFonts w:cs="Arial"/>
          <w:rtl/>
        </w:rPr>
        <w:t>אפשר לומר שתהא מתנתה קיימת</w:t>
      </w:r>
      <w:r w:rsidR="00CB5EA2">
        <w:rPr>
          <w:rStyle w:val="a7"/>
          <w:rFonts w:cs="Arial"/>
          <w:rtl/>
        </w:rPr>
        <w:footnoteReference w:id="1284"/>
      </w:r>
      <w:r w:rsidR="005F77E3">
        <w:rPr>
          <w:rFonts w:cs="Arial" w:hint="cs"/>
          <w:sz w:val="16"/>
          <w:szCs w:val="16"/>
          <w:rtl/>
        </w:rPr>
        <w:t xml:space="preserve"> (ל' הרשב"א)</w:t>
      </w:r>
      <w:r w:rsidR="005F77E3" w:rsidRPr="005F77E3">
        <w:rPr>
          <w:rFonts w:cs="Arial"/>
          <w:rtl/>
        </w:rPr>
        <w:t>.</w:t>
      </w:r>
      <w:r w:rsidR="00FD3D51">
        <w:rPr>
          <w:rFonts w:cs="Arial" w:hint="cs"/>
          <w:rtl/>
        </w:rPr>
        <w:t xml:space="preserve"> (וכ"פ ח"מ</w:t>
      </w:r>
      <w:r w:rsidR="00FD3D51">
        <w:rPr>
          <w:rFonts w:cs="Arial" w:hint="cs"/>
          <w:sz w:val="16"/>
          <w:szCs w:val="16"/>
          <w:rtl/>
        </w:rPr>
        <w:t xml:space="preserve"> [סקכ"ו]</w:t>
      </w:r>
      <w:r w:rsidR="00FD3D51">
        <w:rPr>
          <w:rFonts w:cs="Arial" w:hint="cs"/>
          <w:rtl/>
        </w:rPr>
        <w:t xml:space="preserve"> וב"ש </w:t>
      </w:r>
      <w:r w:rsidR="00FD3D51">
        <w:rPr>
          <w:rFonts w:cs="Arial" w:hint="cs"/>
          <w:sz w:val="16"/>
          <w:szCs w:val="16"/>
          <w:rtl/>
        </w:rPr>
        <w:t>[סקל"ד]</w:t>
      </w:r>
      <w:r w:rsidR="00FD3D51">
        <w:rPr>
          <w:rFonts w:cs="Arial" w:hint="cs"/>
          <w:rtl/>
        </w:rPr>
        <w:t>)</w:t>
      </w:r>
    </w:p>
    <w:p w14:paraId="210D5045" w14:textId="77777777" w:rsidR="00EB79BF" w:rsidRDefault="00EB79BF" w:rsidP="00EB79BF">
      <w:pPr>
        <w:rPr>
          <w:rFonts w:cs="Arial"/>
          <w:rtl/>
        </w:rPr>
      </w:pPr>
      <w:r w:rsidRPr="003024E5">
        <w:rPr>
          <w:rFonts w:asciiTheme="minorBidi" w:hAnsiTheme="minorBidi"/>
          <w:b/>
          <w:bCs/>
          <w:color w:val="000000"/>
          <w:sz w:val="28"/>
          <w:szCs w:val="28"/>
          <w:u w:val="single"/>
          <w:rtl/>
        </w:rPr>
        <w:t>שו"ע:</w:t>
      </w:r>
    </w:p>
    <w:p w14:paraId="536A4AA4" w14:textId="58175535" w:rsidR="00EB79BF" w:rsidRDefault="00EB79BF" w:rsidP="00EB79BF">
      <w:pPr>
        <w:rPr>
          <w:rFonts w:cs="Arial"/>
          <w:rtl/>
        </w:rPr>
      </w:pPr>
      <w:r w:rsidRPr="00EB79BF">
        <w:rPr>
          <w:rFonts w:cs="Arial"/>
          <w:rtl/>
        </w:rPr>
        <w:t>יש מי שאומר דדינא דמברחת דוקא בשלא כתבה לו מתנה גמורה, מתנה חלוטה, מתנת עלמין</w:t>
      </w:r>
      <w:r w:rsidR="00BF00EF">
        <w:rPr>
          <w:rFonts w:cs="Arial" w:hint="cs"/>
          <w:rtl/>
        </w:rPr>
        <w:t>.</w:t>
      </w:r>
      <w:r w:rsidRPr="00EB79BF">
        <w:rPr>
          <w:rFonts w:cs="Arial"/>
          <w:rtl/>
        </w:rPr>
        <w:t xml:space="preserve"> אבל אם כתבה לו כן, קנה לגמרי. </w:t>
      </w:r>
    </w:p>
    <w:p w14:paraId="0E3A0A0F" w14:textId="77777777" w:rsidR="00FA43C3" w:rsidRPr="00EB79BF" w:rsidRDefault="00FA43C3" w:rsidP="00EB79BF">
      <w:pPr>
        <w:rPr>
          <w:rFonts w:cs="Arial"/>
          <w:rtl/>
        </w:rPr>
      </w:pPr>
    </w:p>
    <w:p w14:paraId="2FBE5497" w14:textId="362B3EC6" w:rsidR="00EB79BF" w:rsidRDefault="00EB79BF" w:rsidP="000F64D0">
      <w:pPr>
        <w:pStyle w:val="2"/>
        <w:rPr>
          <w:rtl/>
        </w:rPr>
      </w:pPr>
      <w:r w:rsidRPr="00EB79BF">
        <w:rPr>
          <w:rtl/>
        </w:rPr>
        <w:t>סעיף ט</w:t>
      </w:r>
      <w:r w:rsidR="00FD3D51">
        <w:rPr>
          <w:rFonts w:hint="cs"/>
          <w:rtl/>
        </w:rPr>
        <w:t xml:space="preserve">: </w:t>
      </w:r>
      <w:r w:rsidR="003432A1">
        <w:rPr>
          <w:rFonts w:hint="cs"/>
          <w:rtl/>
        </w:rPr>
        <w:t>אשה שמכרה נכסי מלוג לאחר שנשאת.</w:t>
      </w:r>
    </w:p>
    <w:p w14:paraId="2BCCD164" w14:textId="2E32AB6F" w:rsidR="00226292" w:rsidRDefault="00226292" w:rsidP="00226292">
      <w:pPr>
        <w:rPr>
          <w:rFonts w:cs="Arial"/>
          <w:rtl/>
        </w:rPr>
      </w:pPr>
      <w:r w:rsidRPr="008E4222">
        <w:rPr>
          <w:rFonts w:cs="Arial" w:hint="cs"/>
          <w:b/>
          <w:bCs/>
          <w:rtl/>
        </w:rPr>
        <w:t xml:space="preserve">כתובות </w:t>
      </w:r>
      <w:r>
        <w:rPr>
          <w:rFonts w:cs="Arial" w:hint="cs"/>
          <w:b/>
          <w:bCs/>
          <w:sz w:val="16"/>
          <w:szCs w:val="16"/>
          <w:rtl/>
        </w:rPr>
        <w:t xml:space="preserve">(פ' האשה שנפלו) </w:t>
      </w:r>
      <w:r w:rsidRPr="008E4222">
        <w:rPr>
          <w:rFonts w:cs="Arial" w:hint="cs"/>
          <w:b/>
          <w:bCs/>
          <w:rtl/>
        </w:rPr>
        <w:t>ע</w:t>
      </w:r>
      <w:r>
        <w:rPr>
          <w:rFonts w:cs="Arial" w:hint="cs"/>
          <w:b/>
          <w:bCs/>
          <w:rtl/>
        </w:rPr>
        <w:t>ח</w:t>
      </w:r>
      <w:r w:rsidR="003A37AE">
        <w:rPr>
          <w:rStyle w:val="a7"/>
          <w:rFonts w:cs="Arial"/>
          <w:b/>
          <w:bCs/>
          <w:rtl/>
        </w:rPr>
        <w:footnoteReference w:id="1285"/>
      </w:r>
      <w:r w:rsidRPr="008E4222">
        <w:rPr>
          <w:rFonts w:cs="Arial" w:hint="cs"/>
          <w:b/>
          <w:bCs/>
          <w:rtl/>
        </w:rPr>
        <w:t xml:space="preserve"> ע"</w:t>
      </w:r>
      <w:r w:rsidR="00C80E49">
        <w:rPr>
          <w:rFonts w:cs="Arial" w:hint="cs"/>
          <w:b/>
          <w:bCs/>
          <w:rtl/>
        </w:rPr>
        <w:t>א:</w:t>
      </w:r>
      <w:r w:rsidR="00C80E49" w:rsidRPr="00C80E49">
        <w:rPr>
          <w:rtl/>
        </w:rPr>
        <w:t xml:space="preserve"> </w:t>
      </w:r>
      <w:r w:rsidR="00C80E49" w:rsidRPr="00C80E49">
        <w:rPr>
          <w:rFonts w:cs="Arial" w:hint="cs"/>
          <w:u w:val="double"/>
          <w:rtl/>
        </w:rPr>
        <w:t>מ</w:t>
      </w:r>
      <w:r w:rsidR="00C80E49">
        <w:rPr>
          <w:rFonts w:cs="Arial" w:hint="cs"/>
          <w:u w:val="double"/>
          <w:rtl/>
        </w:rPr>
        <w:t>תני</w:t>
      </w:r>
      <w:r w:rsidR="00C80E49" w:rsidRPr="00C80E49">
        <w:rPr>
          <w:rFonts w:cs="Arial" w:hint="cs"/>
          <w:u w:val="double"/>
          <w:rtl/>
        </w:rPr>
        <w:t>'</w:t>
      </w:r>
      <w:r w:rsidR="00C80E49">
        <w:rPr>
          <w:rFonts w:cs="Arial" w:hint="cs"/>
          <w:rtl/>
        </w:rPr>
        <w:t xml:space="preserve">: </w:t>
      </w:r>
      <w:r w:rsidR="00C80E49" w:rsidRPr="00C80E49">
        <w:rPr>
          <w:rFonts w:cs="Arial"/>
          <w:rtl/>
        </w:rPr>
        <w:t xml:space="preserve">האשה שנפלו לה נכסים עד שלא תתארס, </w:t>
      </w:r>
      <w:r w:rsidR="00C80E49" w:rsidRPr="00C80E49">
        <w:rPr>
          <w:rFonts w:cs="Arial"/>
          <w:u w:val="single"/>
          <w:rtl/>
        </w:rPr>
        <w:t>מודים ב"ש ובית הלל</w:t>
      </w:r>
      <w:r w:rsidR="00C80E49" w:rsidRPr="00C80E49">
        <w:rPr>
          <w:rFonts w:cs="Arial"/>
          <w:rtl/>
        </w:rPr>
        <w:t xml:space="preserve">, שמוכרת ונותנת וקיים. נפלו לה משנתארסה, </w:t>
      </w:r>
      <w:r w:rsidR="00C80E49" w:rsidRPr="00C80E49">
        <w:rPr>
          <w:rFonts w:cs="Arial"/>
          <w:u w:val="single"/>
          <w:rtl/>
        </w:rPr>
        <w:t>ב"ש אומרים</w:t>
      </w:r>
      <w:r w:rsidR="00C80E49" w:rsidRPr="00C80E49">
        <w:rPr>
          <w:rFonts w:cs="Arial"/>
          <w:rtl/>
        </w:rPr>
        <w:t xml:space="preserve">: תמכור, </w:t>
      </w:r>
      <w:r w:rsidR="00C80E49" w:rsidRPr="00C80E49">
        <w:rPr>
          <w:rFonts w:cs="Arial"/>
          <w:u w:val="single"/>
          <w:rtl/>
        </w:rPr>
        <w:t>ובית הלל אומרים</w:t>
      </w:r>
      <w:r w:rsidR="00C80E49" w:rsidRPr="00C80E49">
        <w:rPr>
          <w:rFonts w:cs="Arial"/>
          <w:rtl/>
        </w:rPr>
        <w:t xml:space="preserve">: לא תמכור. </w:t>
      </w:r>
      <w:r w:rsidR="00C80E49" w:rsidRPr="00C80E49">
        <w:rPr>
          <w:rFonts w:cs="Arial"/>
          <w:u w:val="single"/>
          <w:rtl/>
        </w:rPr>
        <w:t>אלו ואלו מודים</w:t>
      </w:r>
      <w:r w:rsidR="00C80E49" w:rsidRPr="00C80E49">
        <w:rPr>
          <w:rFonts w:cs="Arial"/>
          <w:rtl/>
        </w:rPr>
        <w:t xml:space="preserve"> שאם מכרה ונתנה - קיים</w:t>
      </w:r>
      <w:r w:rsidR="00C80E49">
        <w:rPr>
          <w:rFonts w:cs="Arial" w:hint="cs"/>
          <w:rtl/>
        </w:rPr>
        <w:t>.</w:t>
      </w:r>
      <w:r w:rsidR="00C80E49" w:rsidRPr="00C80E49">
        <w:rPr>
          <w:rtl/>
        </w:rPr>
        <w:t xml:space="preserve"> </w:t>
      </w:r>
      <w:r w:rsidR="00C80E49" w:rsidRPr="00C80E49">
        <w:rPr>
          <w:rFonts w:cs="Arial"/>
          <w:u w:val="single"/>
          <w:rtl/>
        </w:rPr>
        <w:t>אמר רבי יהודה, אמרו חכמים לפני ר"ג</w:t>
      </w:r>
      <w:r w:rsidR="00C80E49" w:rsidRPr="00C80E49">
        <w:rPr>
          <w:rFonts w:cs="Arial"/>
          <w:rtl/>
        </w:rPr>
        <w:t>: הואיל וזכה באשה לא יזכה בנכסים? אמר להם: על החדשים אנו בושים</w:t>
      </w:r>
      <w:r w:rsidR="009D13BC">
        <w:rPr>
          <w:rStyle w:val="a7"/>
          <w:rFonts w:cs="Arial"/>
          <w:rtl/>
        </w:rPr>
        <w:footnoteReference w:id="1286"/>
      </w:r>
      <w:r w:rsidR="00C80E49" w:rsidRPr="00C80E49">
        <w:rPr>
          <w:rFonts w:cs="Arial"/>
          <w:rtl/>
        </w:rPr>
        <w:t xml:space="preserve">, אלא שאתם מגלגלין עלינו את הישנים. נפלו לה משנשאת, </w:t>
      </w:r>
      <w:r w:rsidR="00C80E49" w:rsidRPr="009D13BC">
        <w:rPr>
          <w:rFonts w:cs="Arial"/>
          <w:u w:val="single"/>
          <w:rtl/>
        </w:rPr>
        <w:t>אלו ואלו מודים</w:t>
      </w:r>
      <w:r w:rsidR="00C80E49" w:rsidRPr="00C80E49">
        <w:rPr>
          <w:rFonts w:cs="Arial"/>
          <w:rtl/>
        </w:rPr>
        <w:t xml:space="preserve">, שאם מכרה ונתנה - שהבעל מוציא מיד הלקוחות. עד שלא נשאת ונשאת, </w:t>
      </w:r>
      <w:r w:rsidR="00C80E49" w:rsidRPr="00C80E49">
        <w:rPr>
          <w:rFonts w:cs="Arial"/>
          <w:u w:val="single"/>
          <w:rtl/>
        </w:rPr>
        <w:t>ר"ג אומר</w:t>
      </w:r>
      <w:r w:rsidR="00C80E49" w:rsidRPr="00C80E49">
        <w:rPr>
          <w:rFonts w:cs="Arial"/>
          <w:rtl/>
        </w:rPr>
        <w:t xml:space="preserve">: אם מכרה ונתנה - קיים. </w:t>
      </w:r>
      <w:r w:rsidR="00C80E49" w:rsidRPr="00C80E49">
        <w:rPr>
          <w:rFonts w:cs="Arial"/>
          <w:u w:val="single"/>
          <w:rtl/>
        </w:rPr>
        <w:t>א"ר חנינא בן עקביא, אמרו לפני ר"ג</w:t>
      </w:r>
      <w:r w:rsidR="00C80E49" w:rsidRPr="00C80E49">
        <w:rPr>
          <w:rFonts w:cs="Arial"/>
          <w:rtl/>
        </w:rPr>
        <w:t>: הואיל וזכה באשה לא יזכה בנכסים? אמר להם: על החדשים אנו בושים, אלא שאתם מגלגלין עלינו הישנים.</w:t>
      </w:r>
      <w:r w:rsidR="00C80E49">
        <w:rPr>
          <w:rFonts w:cs="Arial" w:hint="cs"/>
          <w:rtl/>
        </w:rPr>
        <w:t>.</w:t>
      </w:r>
      <w:r w:rsidR="00C80E49" w:rsidRPr="00C80E49">
        <w:rPr>
          <w:rFonts w:cs="Arial"/>
          <w:rtl/>
        </w:rPr>
        <w:t>.</w:t>
      </w:r>
      <w:r w:rsidR="00C80E49">
        <w:rPr>
          <w:rFonts w:cs="Arial" w:hint="cs"/>
          <w:rtl/>
        </w:rPr>
        <w:t xml:space="preserve">       </w:t>
      </w:r>
      <w:r w:rsidR="00C80E49" w:rsidRPr="00C80E49">
        <w:rPr>
          <w:rFonts w:cs="Arial" w:hint="cs"/>
          <w:u w:val="double"/>
          <w:rtl/>
        </w:rPr>
        <w:t>גמ'</w:t>
      </w:r>
      <w:r w:rsidR="00C80E49" w:rsidRPr="00C80E49">
        <w:rPr>
          <w:rFonts w:cs="Arial" w:hint="cs"/>
          <w:sz w:val="14"/>
          <w:szCs w:val="14"/>
          <w:u w:val="double"/>
          <w:rtl/>
        </w:rPr>
        <w:t>(עח</w:t>
      </w:r>
      <w:r w:rsidR="00C80E49">
        <w:rPr>
          <w:rFonts w:cs="Arial" w:hint="cs"/>
          <w:sz w:val="14"/>
          <w:szCs w:val="14"/>
          <w:u w:val="double"/>
          <w:rtl/>
        </w:rPr>
        <w:t>:</w:t>
      </w:r>
      <w:r w:rsidR="00C80E49" w:rsidRPr="00C80E49">
        <w:rPr>
          <w:rFonts w:cs="Arial" w:hint="cs"/>
          <w:sz w:val="14"/>
          <w:szCs w:val="14"/>
          <w:u w:val="double"/>
          <w:rtl/>
        </w:rPr>
        <w:t>)</w:t>
      </w:r>
      <w:r w:rsidR="00C80E49" w:rsidRPr="00C80E49">
        <w:rPr>
          <w:rFonts w:cs="Arial" w:hint="cs"/>
          <w:u w:val="double"/>
          <w:rtl/>
        </w:rPr>
        <w:t>:</w:t>
      </w:r>
      <w:r>
        <w:rPr>
          <w:rFonts w:cs="Arial" w:hint="cs"/>
          <w:rtl/>
        </w:rPr>
        <w:t xml:space="preserve"> </w:t>
      </w:r>
      <w:r w:rsidRPr="00410069">
        <w:rPr>
          <w:rFonts w:cs="Arial"/>
          <w:u w:val="single"/>
          <w:rtl/>
        </w:rPr>
        <w:t>רב ושמואל דאמרי תרוייהו</w:t>
      </w:r>
      <w:r w:rsidRPr="00410069">
        <w:rPr>
          <w:rFonts w:cs="Arial"/>
          <w:rtl/>
        </w:rPr>
        <w:t xml:space="preserve">: בין שנפלו לה נכסים עד שלא נתארסה, בין שנפלו לה נכסים משנתארסה וניסת - הבעל מוציא מיד הלקוחות. כמאן? דלא כרבי יהודה ולא כר' חנינא בן עקביא! אינהו דאמרי כרבותינו; דתניא, רבותינו חזרו ונמנו: בין שנפלו לה עד שלא תתארס, ובין שנפלו לה משנתארסה וניסת - הבעל מוציא מיד הלקוחות. </w:t>
      </w:r>
      <w:r w:rsidR="00CD5A76">
        <w:rPr>
          <w:rFonts w:cs="Arial" w:hint="cs"/>
          <w:rtl/>
        </w:rPr>
        <w:t xml:space="preserve">      </w:t>
      </w:r>
      <w:r w:rsidRPr="00410069">
        <w:rPr>
          <w:rFonts w:cs="Arial"/>
          <w:rtl/>
        </w:rPr>
        <w:t xml:space="preserve">משניסת אלו ואלו מודים. לימא, תנינא לתקנת אושא! </w:t>
      </w:r>
      <w:r w:rsidRPr="000D1E98">
        <w:rPr>
          <w:rFonts w:cs="Arial"/>
          <w:u w:val="single"/>
          <w:rtl/>
        </w:rPr>
        <w:t>דא"ר יוסי בר' חנינא</w:t>
      </w:r>
      <w:r w:rsidRPr="00410069">
        <w:rPr>
          <w:rFonts w:cs="Arial"/>
          <w:rtl/>
        </w:rPr>
        <w:t>: באושא התקינו, האשה שמכרה בנכסי מלוג בחיי בעלה ומתה - הבעל מוציא מיד הלקוחות! מתניתין - בחייה</w:t>
      </w:r>
      <w:r w:rsidR="009D13BC">
        <w:rPr>
          <w:rStyle w:val="a7"/>
          <w:rFonts w:cs="Arial"/>
          <w:rtl/>
        </w:rPr>
        <w:footnoteReference w:id="1287"/>
      </w:r>
      <w:r w:rsidRPr="00410069">
        <w:rPr>
          <w:rFonts w:cs="Arial"/>
          <w:rtl/>
        </w:rPr>
        <w:t xml:space="preserve"> ולפירות, תקנת אושא - בגופה של קרקע ולאחר מיתה.</w:t>
      </w:r>
    </w:p>
    <w:p w14:paraId="1F5FBB8D" w14:textId="77777777" w:rsidR="00CE2E6B" w:rsidRPr="009D64F8" w:rsidRDefault="00CE2E6B" w:rsidP="00CE2E6B">
      <w:pPr>
        <w:rPr>
          <w:rFonts w:cs="Arial"/>
          <w:rtl/>
        </w:rPr>
      </w:pPr>
      <w:r>
        <w:rPr>
          <w:rFonts w:cs="Arial" w:hint="cs"/>
          <w:b/>
          <w:bCs/>
          <w:rtl/>
        </w:rPr>
        <w:t xml:space="preserve">ירושלמי כתובות פ"ט ה"א: </w:t>
      </w:r>
      <w:r w:rsidRPr="0053774C">
        <w:rPr>
          <w:rFonts w:cs="Arial"/>
          <w:u w:val="single"/>
          <w:rtl/>
        </w:rPr>
        <w:t>ר' הלל בר פזי בעא קומי ר' יוסי</w:t>
      </w:r>
      <w:r>
        <w:rPr>
          <w:rFonts w:cs="Arial" w:hint="cs"/>
          <w:rtl/>
        </w:rPr>
        <w:t xml:space="preserve">: </w:t>
      </w:r>
      <w:r w:rsidRPr="00D6797B">
        <w:rPr>
          <w:rFonts w:cs="Arial"/>
          <w:rtl/>
        </w:rPr>
        <w:t>מכר הוא ומתה היא</w:t>
      </w:r>
      <w:r>
        <w:rPr>
          <w:rFonts w:cs="Arial" w:hint="cs"/>
          <w:rtl/>
        </w:rPr>
        <w:t>?</w:t>
      </w:r>
      <w:r w:rsidRPr="00D6797B">
        <w:rPr>
          <w:rFonts w:cs="Arial"/>
          <w:rtl/>
        </w:rPr>
        <w:t xml:space="preserve"> </w:t>
      </w:r>
      <w:r w:rsidRPr="00D6797B">
        <w:rPr>
          <w:rFonts w:cs="Arial"/>
          <w:u w:val="single"/>
          <w:rtl/>
        </w:rPr>
        <w:t>אמר לו</w:t>
      </w:r>
      <w:r>
        <w:rPr>
          <w:rFonts w:cs="Arial" w:hint="cs"/>
          <w:rtl/>
        </w:rPr>
        <w:t>:</w:t>
      </w:r>
      <w:r w:rsidRPr="00D6797B">
        <w:rPr>
          <w:rFonts w:cs="Arial"/>
          <w:rtl/>
        </w:rPr>
        <w:t xml:space="preserve"> </w:t>
      </w:r>
      <w:r>
        <w:rPr>
          <w:rStyle w:val="a7"/>
          <w:rFonts w:cs="Arial"/>
          <w:rtl/>
        </w:rPr>
        <w:footnoteReference w:id="1288"/>
      </w:r>
      <w:r>
        <w:rPr>
          <w:rFonts w:cs="Arial" w:hint="cs"/>
          <w:rtl/>
        </w:rPr>
        <w:t>[</w:t>
      </w:r>
      <w:r w:rsidRPr="00D6797B">
        <w:rPr>
          <w:rFonts w:cs="Arial"/>
          <w:rtl/>
        </w:rPr>
        <w:t>מכר</w:t>
      </w:r>
      <w:r>
        <w:rPr>
          <w:rFonts w:cs="Arial" w:hint="cs"/>
          <w:rtl/>
        </w:rPr>
        <w:t>ו]</w:t>
      </w:r>
      <w:r w:rsidRPr="00D6797B">
        <w:rPr>
          <w:rFonts w:cs="Arial"/>
          <w:rtl/>
        </w:rPr>
        <w:t xml:space="preserve"> בטל</w:t>
      </w:r>
      <w:r>
        <w:rPr>
          <w:rFonts w:cs="Arial" w:hint="cs"/>
          <w:rtl/>
        </w:rPr>
        <w:t>.</w:t>
      </w:r>
    </w:p>
    <w:p w14:paraId="577A81E3" w14:textId="148213A9" w:rsidR="00FD3D51" w:rsidRPr="003432A1" w:rsidRDefault="003432A1" w:rsidP="003020D1">
      <w:pPr>
        <w:rPr>
          <w:u w:val="single"/>
          <w:rtl/>
        </w:rPr>
      </w:pPr>
      <w:r w:rsidRPr="003432A1">
        <w:rPr>
          <w:rFonts w:cs="Arial" w:hint="cs"/>
          <w:u w:val="single"/>
          <w:rtl/>
        </w:rPr>
        <w:t>אשה שמכרה נכסי מלוג שלה</w:t>
      </w:r>
      <w:r>
        <w:rPr>
          <w:rFonts w:cs="Arial" w:hint="cs"/>
          <w:u w:val="single"/>
          <w:rtl/>
        </w:rPr>
        <w:t xml:space="preserve"> לאחר שנשאת</w:t>
      </w:r>
      <w:r w:rsidRPr="003432A1">
        <w:rPr>
          <w:rFonts w:cs="Arial" w:hint="cs"/>
          <w:u w:val="single"/>
          <w:rtl/>
        </w:rPr>
        <w:t>:</w:t>
      </w:r>
    </w:p>
    <w:p w14:paraId="45507308" w14:textId="2E1E495B" w:rsidR="009D64F8" w:rsidRPr="0006636A" w:rsidRDefault="009D64F8" w:rsidP="009000E3">
      <w:pPr>
        <w:pStyle w:val="ab"/>
        <w:numPr>
          <w:ilvl w:val="0"/>
          <w:numId w:val="55"/>
        </w:numPr>
        <w:rPr>
          <w:rFonts w:cs="Arial"/>
        </w:rPr>
      </w:pPr>
      <w:r>
        <w:rPr>
          <w:rFonts w:cs="Arial" w:hint="cs"/>
          <w:rtl/>
        </w:rPr>
        <w:t>רא"ש</w:t>
      </w:r>
      <w:r w:rsidR="0006636A">
        <w:rPr>
          <w:rStyle w:val="a7"/>
          <w:rFonts w:cs="Arial"/>
          <w:rtl/>
        </w:rPr>
        <w:footnoteReference w:id="1289"/>
      </w:r>
      <w:r>
        <w:rPr>
          <w:rFonts w:cs="Arial"/>
          <w:rtl/>
        </w:rPr>
        <w:t xml:space="preserve"> </w:t>
      </w:r>
      <w:r w:rsidRPr="009D64F8">
        <w:rPr>
          <w:rFonts w:cs="Arial"/>
          <w:sz w:val="16"/>
          <w:szCs w:val="16"/>
          <w:rtl/>
        </w:rPr>
        <w:t>(</w:t>
      </w:r>
      <w:r w:rsidRPr="009D64F8">
        <w:rPr>
          <w:rFonts w:cs="Arial" w:hint="cs"/>
          <w:sz w:val="16"/>
          <w:szCs w:val="16"/>
          <w:rtl/>
        </w:rPr>
        <w:t xml:space="preserve">כתובות פ"ד </w:t>
      </w:r>
      <w:r w:rsidRPr="009D64F8">
        <w:rPr>
          <w:rFonts w:cs="Arial"/>
          <w:sz w:val="16"/>
          <w:szCs w:val="16"/>
          <w:rtl/>
        </w:rPr>
        <w:t>סי' יז)</w:t>
      </w:r>
      <w:r w:rsidR="00226292">
        <w:rPr>
          <w:rFonts w:cs="Arial" w:hint="cs"/>
          <w:rtl/>
        </w:rPr>
        <w:t xml:space="preserve"> ו</w:t>
      </w:r>
      <w:r w:rsidR="000C687E" w:rsidRPr="000C687E">
        <w:rPr>
          <w:rFonts w:cs="Arial" w:hint="cs"/>
          <w:rtl/>
        </w:rPr>
        <w:t xml:space="preserve">טור- </w:t>
      </w:r>
      <w:r w:rsidR="000C687E" w:rsidRPr="000C687E">
        <w:rPr>
          <w:rFonts w:cs="Arial"/>
          <w:rtl/>
        </w:rPr>
        <w:t>כיון שהבעל יורש את אשתו</w:t>
      </w:r>
      <w:r w:rsidR="008C08D9">
        <w:rPr>
          <w:rFonts w:cs="Arial" w:hint="cs"/>
          <w:rtl/>
        </w:rPr>
        <w:t xml:space="preserve">, </w:t>
      </w:r>
      <w:r w:rsidR="000C687E" w:rsidRPr="000C687E">
        <w:rPr>
          <w:rFonts w:cs="Arial"/>
          <w:rtl/>
        </w:rPr>
        <w:t>אינה יכולה למכור שום דבר מנכסיה</w:t>
      </w:r>
      <w:r w:rsidR="00FD3D51">
        <w:rPr>
          <w:rFonts w:cs="Arial" w:hint="cs"/>
          <w:rtl/>
        </w:rPr>
        <w:t>.</w:t>
      </w:r>
      <w:r w:rsidR="000C687E" w:rsidRPr="000C687E">
        <w:rPr>
          <w:rFonts w:cs="Arial"/>
          <w:rtl/>
        </w:rPr>
        <w:t xml:space="preserve"> ואם מכרה אחר שניסת</w:t>
      </w:r>
      <w:r w:rsidR="00FD3D51">
        <w:rPr>
          <w:rFonts w:cs="Arial" w:hint="cs"/>
          <w:rtl/>
        </w:rPr>
        <w:t>,</w:t>
      </w:r>
      <w:r w:rsidR="000C687E" w:rsidRPr="000C687E">
        <w:rPr>
          <w:rFonts w:cs="Arial"/>
          <w:rtl/>
        </w:rPr>
        <w:t xml:space="preserve"> בין אם נפלו לה קודם אירוסין או אחר אירוסין </w:t>
      </w:r>
      <w:r w:rsidR="00FD3D51">
        <w:rPr>
          <w:rFonts w:cs="Arial" w:hint="cs"/>
          <w:rtl/>
        </w:rPr>
        <w:t xml:space="preserve">- </w:t>
      </w:r>
      <w:r w:rsidR="000C687E" w:rsidRPr="000C687E">
        <w:rPr>
          <w:rFonts w:cs="Arial"/>
          <w:rtl/>
        </w:rPr>
        <w:t>הבעל מוציא מיד הלקוחות</w:t>
      </w:r>
      <w:r w:rsidR="00FD3D51">
        <w:rPr>
          <w:rFonts w:cs="Arial" w:hint="cs"/>
          <w:rtl/>
        </w:rPr>
        <w:t>,</w:t>
      </w:r>
      <w:r w:rsidR="000C687E" w:rsidRPr="000C687E">
        <w:rPr>
          <w:rFonts w:cs="Arial"/>
          <w:rtl/>
        </w:rPr>
        <w:t xml:space="preserve"> שעשו אותו כלוקח בנכסיה והוא לקח תחילה</w:t>
      </w:r>
      <w:r w:rsidR="00FD3D51">
        <w:rPr>
          <w:rFonts w:cs="Arial" w:hint="cs"/>
          <w:rtl/>
        </w:rPr>
        <w:t>.</w:t>
      </w:r>
      <w:r w:rsidR="000C687E" w:rsidRPr="000C687E">
        <w:rPr>
          <w:rFonts w:cs="Arial"/>
          <w:rtl/>
        </w:rPr>
        <w:t xml:space="preserve"> לפיכך מכרה בטל לאלתר שהוא מוציא מיד הלוקח הגוף ופירי</w:t>
      </w:r>
      <w:r w:rsidR="00FD3D51">
        <w:rPr>
          <w:rFonts w:cs="Arial" w:hint="cs"/>
          <w:rtl/>
        </w:rPr>
        <w:t>.</w:t>
      </w:r>
      <w:r w:rsidR="000C687E" w:rsidRPr="000C687E">
        <w:rPr>
          <w:rFonts w:cs="Arial"/>
          <w:rtl/>
        </w:rPr>
        <w:t xml:space="preserve"> אלא לענין זה הוא מכר</w:t>
      </w:r>
      <w:r w:rsidR="00FD3D51">
        <w:rPr>
          <w:rFonts w:cs="Arial" w:hint="cs"/>
          <w:rtl/>
        </w:rPr>
        <w:t>,</w:t>
      </w:r>
      <w:r w:rsidR="000C687E" w:rsidRPr="000C687E">
        <w:rPr>
          <w:rFonts w:cs="Arial"/>
          <w:rtl/>
        </w:rPr>
        <w:t xml:space="preserve"> שאם תתאלמן או תתגרש </w:t>
      </w:r>
      <w:r w:rsidR="00FD3D51">
        <w:rPr>
          <w:rFonts w:cs="Arial" w:hint="cs"/>
          <w:rtl/>
        </w:rPr>
        <w:t xml:space="preserve">- </w:t>
      </w:r>
      <w:r w:rsidR="000C687E" w:rsidRPr="000C687E">
        <w:rPr>
          <w:rFonts w:cs="Arial"/>
          <w:rtl/>
        </w:rPr>
        <w:t>יחזור ללוקח</w:t>
      </w:r>
      <w:r w:rsidR="00FD3D51">
        <w:rPr>
          <w:rFonts w:cs="Arial" w:hint="cs"/>
          <w:rtl/>
        </w:rPr>
        <w:t>,</w:t>
      </w:r>
      <w:r w:rsidR="000C687E" w:rsidRPr="000C687E">
        <w:rPr>
          <w:rFonts w:cs="Arial"/>
          <w:rtl/>
        </w:rPr>
        <w:t xml:space="preserve"> ואם תמות בחייו </w:t>
      </w:r>
      <w:r w:rsidR="00FD3D51">
        <w:rPr>
          <w:rFonts w:cs="Arial" w:hint="cs"/>
          <w:rtl/>
        </w:rPr>
        <w:t xml:space="preserve">- </w:t>
      </w:r>
      <w:r w:rsidR="000C687E" w:rsidRPr="000C687E">
        <w:rPr>
          <w:rFonts w:cs="Arial"/>
          <w:rtl/>
        </w:rPr>
        <w:t>ישאר בידו</w:t>
      </w:r>
      <w:r w:rsidR="00226292">
        <w:rPr>
          <w:rFonts w:cs="Arial" w:hint="cs"/>
          <w:sz w:val="16"/>
          <w:szCs w:val="16"/>
          <w:rtl/>
        </w:rPr>
        <w:t xml:space="preserve"> (ל' הטור)</w:t>
      </w:r>
      <w:r w:rsidR="00FD3D51">
        <w:rPr>
          <w:rFonts w:cs="Arial" w:hint="cs"/>
          <w:rtl/>
        </w:rPr>
        <w:t>.</w:t>
      </w:r>
      <w:r w:rsidR="000C687E" w:rsidRPr="000A6C7C">
        <w:rPr>
          <w:rFonts w:cs="Arial"/>
          <w:color w:val="00B0F0"/>
          <w:rtl/>
        </w:rPr>
        <w:t xml:space="preserve"> </w:t>
      </w:r>
      <w:r w:rsidR="000A6C7C" w:rsidRPr="000A6C7C">
        <w:rPr>
          <w:rFonts w:cs="Arial" w:hint="cs"/>
          <w:color w:val="00B0F0"/>
          <w:rtl/>
        </w:rPr>
        <w:t>(וכ"פ הרמ"א)</w:t>
      </w:r>
    </w:p>
    <w:p w14:paraId="7C6E2044" w14:textId="430AEFB4" w:rsidR="003432A1" w:rsidRDefault="000C687E" w:rsidP="009000E3">
      <w:pPr>
        <w:pStyle w:val="ab"/>
        <w:numPr>
          <w:ilvl w:val="0"/>
          <w:numId w:val="55"/>
        </w:numPr>
        <w:rPr>
          <w:rFonts w:cs="Arial"/>
        </w:rPr>
      </w:pPr>
      <w:r w:rsidRPr="000C687E">
        <w:rPr>
          <w:rFonts w:cs="Arial"/>
          <w:rtl/>
        </w:rPr>
        <w:t>רמב"ם</w:t>
      </w:r>
      <w:r w:rsidR="008B3D8B">
        <w:rPr>
          <w:rFonts w:cs="Arial" w:hint="cs"/>
          <w:sz w:val="16"/>
          <w:szCs w:val="16"/>
          <w:rtl/>
        </w:rPr>
        <w:t xml:space="preserve"> (פכ"ב מאישות ה"ז)</w:t>
      </w:r>
      <w:r w:rsidR="008B3D8B">
        <w:rPr>
          <w:rFonts w:cs="Arial" w:hint="cs"/>
          <w:rtl/>
        </w:rPr>
        <w:t xml:space="preserve">- </w:t>
      </w:r>
      <w:r w:rsidR="008B3D8B" w:rsidRPr="008B3D8B">
        <w:rPr>
          <w:rFonts w:cs="Arial"/>
          <w:rtl/>
        </w:rPr>
        <w:t>כל נכסים שיש לאשה בין נכסי צאן ברזל בין נכסי מלוג</w:t>
      </w:r>
      <w:r w:rsidR="003020D1">
        <w:rPr>
          <w:rFonts w:cs="Arial" w:hint="cs"/>
          <w:rtl/>
        </w:rPr>
        <w:t>,</w:t>
      </w:r>
      <w:r w:rsidR="008B3D8B" w:rsidRPr="008B3D8B">
        <w:rPr>
          <w:rFonts w:cs="Arial"/>
          <w:rtl/>
        </w:rPr>
        <w:t xml:space="preserve"> הבעל אוכל כל פירותיהן בחייה</w:t>
      </w:r>
      <w:r w:rsidR="003020D1">
        <w:rPr>
          <w:rFonts w:cs="Arial" w:hint="cs"/>
          <w:rtl/>
        </w:rPr>
        <w:t>.</w:t>
      </w:r>
      <w:r w:rsidR="008B3D8B" w:rsidRPr="008B3D8B">
        <w:rPr>
          <w:rFonts w:cs="Arial"/>
          <w:rtl/>
        </w:rPr>
        <w:t xml:space="preserve"> ואם מתה בחיי בעלה</w:t>
      </w:r>
      <w:r w:rsidR="003020D1">
        <w:rPr>
          <w:rFonts w:cs="Arial" w:hint="cs"/>
          <w:rtl/>
        </w:rPr>
        <w:t>,</w:t>
      </w:r>
      <w:r w:rsidR="008B3D8B" w:rsidRPr="008B3D8B">
        <w:rPr>
          <w:rFonts w:cs="Arial"/>
          <w:rtl/>
        </w:rPr>
        <w:t xml:space="preserve"> יורש בעלה הכל</w:t>
      </w:r>
      <w:r w:rsidR="003020D1">
        <w:rPr>
          <w:rFonts w:cs="Arial" w:hint="cs"/>
          <w:rtl/>
        </w:rPr>
        <w:t>.</w:t>
      </w:r>
      <w:r w:rsidR="008B3D8B" w:rsidRPr="008B3D8B">
        <w:rPr>
          <w:rFonts w:cs="Arial"/>
          <w:rtl/>
        </w:rPr>
        <w:t xml:space="preserve"> לפיכך אם מכרה האשה נכסי מלוג אחר שנשאת</w:t>
      </w:r>
      <w:r w:rsidR="003020D1">
        <w:rPr>
          <w:rFonts w:cs="Arial" w:hint="cs"/>
          <w:rtl/>
        </w:rPr>
        <w:t>,</w:t>
      </w:r>
      <w:r w:rsidR="008B3D8B" w:rsidRPr="008B3D8B">
        <w:rPr>
          <w:rFonts w:cs="Arial"/>
          <w:rtl/>
        </w:rPr>
        <w:t xml:space="preserve"> אע</w:t>
      </w:r>
      <w:r w:rsidR="009D13BC">
        <w:rPr>
          <w:rFonts w:cs="Arial" w:hint="cs"/>
          <w:rtl/>
        </w:rPr>
        <w:t>"</w:t>
      </w:r>
      <w:r w:rsidR="008B3D8B" w:rsidRPr="008B3D8B">
        <w:rPr>
          <w:rFonts w:cs="Arial"/>
          <w:rtl/>
        </w:rPr>
        <w:t xml:space="preserve">פ </w:t>
      </w:r>
      <w:r w:rsidR="008B3D8B" w:rsidRPr="008B3D8B">
        <w:rPr>
          <w:rFonts w:cs="Arial"/>
          <w:rtl/>
        </w:rPr>
        <w:lastRenderedPageBreak/>
        <w:t>שאותן הנכסים נפלו לה קודם שתתארס</w:t>
      </w:r>
      <w:r w:rsidR="003020D1">
        <w:rPr>
          <w:rFonts w:cs="Arial" w:hint="cs"/>
          <w:rtl/>
        </w:rPr>
        <w:t>,</w:t>
      </w:r>
      <w:r w:rsidR="008B3D8B" w:rsidRPr="008B3D8B">
        <w:rPr>
          <w:rFonts w:cs="Arial"/>
          <w:rtl/>
        </w:rPr>
        <w:t xml:space="preserve"> הבעל מוציא הפירות מיד הלקוחות כל ימי חייה, אבל לא גוף הקרקע</w:t>
      </w:r>
      <w:r w:rsidR="0053774C">
        <w:rPr>
          <w:rStyle w:val="a7"/>
          <w:rFonts w:cs="Arial"/>
          <w:rtl/>
        </w:rPr>
        <w:footnoteReference w:id="1290"/>
      </w:r>
      <w:r w:rsidR="003020D1">
        <w:rPr>
          <w:rFonts w:cs="Arial" w:hint="cs"/>
          <w:rtl/>
        </w:rPr>
        <w:t>,</w:t>
      </w:r>
      <w:r w:rsidR="008B3D8B" w:rsidRPr="008B3D8B">
        <w:rPr>
          <w:rFonts w:cs="Arial"/>
          <w:rtl/>
        </w:rPr>
        <w:t xml:space="preserve"> שאין לו כלום בגוף נכסי מלוג עד שתמות. </w:t>
      </w:r>
      <w:r w:rsidR="000A6C7C" w:rsidRPr="001D67C0">
        <w:rPr>
          <w:rFonts w:hint="cs"/>
          <w:color w:val="E36C0A" w:themeColor="accent6" w:themeShade="BF"/>
          <w:rtl/>
        </w:rPr>
        <w:t>(וכ"פ בשו"ע)</w:t>
      </w:r>
    </w:p>
    <w:p w14:paraId="506CA15B" w14:textId="727B6924" w:rsidR="003432A1" w:rsidRPr="00175AF5" w:rsidRDefault="00175AF5" w:rsidP="003432A1">
      <w:pPr>
        <w:ind w:left="360"/>
        <w:rPr>
          <w:rFonts w:cs="Arial"/>
          <w:u w:val="dotted"/>
        </w:rPr>
      </w:pPr>
      <w:r>
        <w:rPr>
          <w:rFonts w:cs="Arial" w:hint="cs"/>
          <w:u w:val="dotted"/>
          <w:rtl/>
        </w:rPr>
        <w:t>כש</w:t>
      </w:r>
      <w:r w:rsidR="003432A1" w:rsidRPr="00175AF5">
        <w:rPr>
          <w:rFonts w:cs="Arial" w:hint="cs"/>
          <w:u w:val="dotted"/>
          <w:rtl/>
        </w:rPr>
        <w:t xml:space="preserve">הבעל </w:t>
      </w:r>
      <w:r>
        <w:rPr>
          <w:rFonts w:cs="Arial" w:hint="cs"/>
          <w:u w:val="dotted"/>
          <w:rtl/>
        </w:rPr>
        <w:t>מ</w:t>
      </w:r>
      <w:r w:rsidR="003432A1" w:rsidRPr="00175AF5">
        <w:rPr>
          <w:rFonts w:cs="Arial" w:hint="cs"/>
          <w:u w:val="dotted"/>
          <w:rtl/>
        </w:rPr>
        <w:t>וציא</w:t>
      </w:r>
      <w:r>
        <w:rPr>
          <w:rFonts w:cs="Arial" w:hint="cs"/>
          <w:u w:val="dotted"/>
          <w:rtl/>
        </w:rPr>
        <w:t xml:space="preserve"> את הגוף</w:t>
      </w:r>
      <w:r w:rsidR="003432A1" w:rsidRPr="00175AF5">
        <w:rPr>
          <w:rFonts w:cs="Arial" w:hint="cs"/>
          <w:u w:val="dotted"/>
          <w:rtl/>
        </w:rPr>
        <w:t xml:space="preserve"> מיד הלקוחות </w:t>
      </w:r>
      <w:r w:rsidRPr="00175AF5">
        <w:rPr>
          <w:rFonts w:cs="Arial" w:hint="cs"/>
          <w:sz w:val="16"/>
          <w:szCs w:val="16"/>
          <w:u w:val="dotted"/>
          <w:rtl/>
        </w:rPr>
        <w:t>(לרמב"ם לאחר מות האשה</w:t>
      </w:r>
      <w:r>
        <w:rPr>
          <w:rFonts w:cs="Arial" w:hint="cs"/>
          <w:sz w:val="16"/>
          <w:szCs w:val="16"/>
          <w:u w:val="dotted"/>
          <w:rtl/>
        </w:rPr>
        <w:t>, לרא"ש לאלתר מחיים</w:t>
      </w:r>
      <w:r w:rsidRPr="00175AF5">
        <w:rPr>
          <w:rFonts w:cs="Arial" w:hint="cs"/>
          <w:sz w:val="16"/>
          <w:szCs w:val="16"/>
          <w:u w:val="dotted"/>
          <w:rtl/>
        </w:rPr>
        <w:t>)</w:t>
      </w:r>
      <w:r w:rsidR="003432A1" w:rsidRPr="00175AF5">
        <w:rPr>
          <w:rFonts w:cs="Arial" w:hint="cs"/>
          <w:u w:val="dotted"/>
          <w:rtl/>
        </w:rPr>
        <w:t xml:space="preserve"> </w:t>
      </w:r>
      <w:r w:rsidR="00F97626">
        <w:rPr>
          <w:rFonts w:cs="Arial"/>
          <w:u w:val="dotted"/>
          <w:rtl/>
        </w:rPr>
        <w:t>-</w:t>
      </w:r>
      <w:r w:rsidR="003432A1" w:rsidRPr="00175AF5">
        <w:rPr>
          <w:rFonts w:cs="Arial" w:hint="cs"/>
          <w:u w:val="dotted"/>
          <w:rtl/>
        </w:rPr>
        <w:t xml:space="preserve"> האם </w:t>
      </w:r>
      <w:r w:rsidRPr="00175AF5">
        <w:rPr>
          <w:rFonts w:cs="Arial" w:hint="cs"/>
          <w:u w:val="dotted"/>
          <w:rtl/>
        </w:rPr>
        <w:t>הבעל צריך לשלם לל</w:t>
      </w:r>
      <w:r>
        <w:rPr>
          <w:rFonts w:cs="Arial" w:hint="cs"/>
          <w:u w:val="dotted"/>
          <w:rtl/>
        </w:rPr>
        <w:t>ו</w:t>
      </w:r>
      <w:r w:rsidRPr="00175AF5">
        <w:rPr>
          <w:rFonts w:cs="Arial" w:hint="cs"/>
          <w:u w:val="dotted"/>
          <w:rtl/>
        </w:rPr>
        <w:t>קח:</w:t>
      </w:r>
    </w:p>
    <w:p w14:paraId="52DED2A8" w14:textId="388D93DB" w:rsidR="009C3CF6" w:rsidRDefault="006550D7" w:rsidP="009000E3">
      <w:pPr>
        <w:pStyle w:val="ab"/>
        <w:numPr>
          <w:ilvl w:val="0"/>
          <w:numId w:val="55"/>
        </w:numPr>
        <w:rPr>
          <w:rFonts w:cs="Arial"/>
        </w:rPr>
      </w:pPr>
      <w:r>
        <w:rPr>
          <w:rFonts w:cs="Arial" w:hint="cs"/>
          <w:rtl/>
        </w:rPr>
        <w:t xml:space="preserve">רב האי </w:t>
      </w:r>
      <w:r>
        <w:rPr>
          <w:rFonts w:cs="Arial" w:hint="cs"/>
          <w:sz w:val="16"/>
          <w:szCs w:val="16"/>
          <w:rtl/>
        </w:rPr>
        <w:t>(כ"כ הה"מ [שם] בשמו)</w:t>
      </w:r>
      <w:r>
        <w:rPr>
          <w:rFonts w:cs="Arial" w:hint="cs"/>
          <w:rtl/>
        </w:rPr>
        <w:t xml:space="preserve"> </w:t>
      </w:r>
      <w:r w:rsidR="004D4D43">
        <w:rPr>
          <w:rFonts w:cs="Arial"/>
          <w:rtl/>
        </w:rPr>
        <w:t>רי"ף</w:t>
      </w:r>
      <w:r w:rsidR="0055510E">
        <w:rPr>
          <w:rStyle w:val="a7"/>
          <w:rFonts w:cs="Arial"/>
          <w:rtl/>
        </w:rPr>
        <w:footnoteReference w:id="1291"/>
      </w:r>
      <w:r w:rsidR="004D4D43">
        <w:rPr>
          <w:rFonts w:cs="Arial"/>
          <w:rtl/>
        </w:rPr>
        <w:t xml:space="preserve"> </w:t>
      </w:r>
      <w:r w:rsidR="004D4D43" w:rsidRPr="004D4D43">
        <w:rPr>
          <w:rFonts w:cs="Arial"/>
          <w:sz w:val="16"/>
          <w:szCs w:val="16"/>
          <w:rtl/>
        </w:rPr>
        <w:t>(יח:)</w:t>
      </w:r>
      <w:r w:rsidR="004D4D43">
        <w:rPr>
          <w:rFonts w:cs="Arial" w:hint="cs"/>
          <w:rtl/>
        </w:rPr>
        <w:t xml:space="preserve"> </w:t>
      </w:r>
      <w:r w:rsidR="003432A1">
        <w:rPr>
          <w:rFonts w:cs="Arial" w:hint="cs"/>
          <w:rtl/>
        </w:rPr>
        <w:t>רמב"ם</w:t>
      </w:r>
      <w:r w:rsidR="003432A1">
        <w:rPr>
          <w:rFonts w:cs="Arial" w:hint="cs"/>
          <w:sz w:val="16"/>
          <w:szCs w:val="16"/>
          <w:rtl/>
        </w:rPr>
        <w:t xml:space="preserve"> (שם)</w:t>
      </w:r>
      <w:r>
        <w:rPr>
          <w:rFonts w:cs="Arial" w:hint="cs"/>
          <w:rtl/>
        </w:rPr>
        <w:t xml:space="preserve"> רשב"א </w:t>
      </w:r>
      <w:r>
        <w:rPr>
          <w:rFonts w:cs="Arial" w:hint="cs"/>
          <w:sz w:val="16"/>
          <w:szCs w:val="16"/>
          <w:rtl/>
        </w:rPr>
        <w:t>(נ.)</w:t>
      </w:r>
      <w:r>
        <w:rPr>
          <w:rFonts w:cs="Arial" w:hint="cs"/>
          <w:rtl/>
        </w:rPr>
        <w:t xml:space="preserve"> ור"ן</w:t>
      </w:r>
      <w:r>
        <w:rPr>
          <w:rFonts w:cs="Arial" w:hint="cs"/>
          <w:sz w:val="16"/>
          <w:szCs w:val="16"/>
          <w:rtl/>
        </w:rPr>
        <w:t xml:space="preserve"> (שם)</w:t>
      </w:r>
      <w:r w:rsidR="003432A1">
        <w:rPr>
          <w:rFonts w:cs="Arial" w:hint="cs"/>
          <w:rtl/>
        </w:rPr>
        <w:t xml:space="preserve">- </w:t>
      </w:r>
      <w:r w:rsidR="008B3D8B" w:rsidRPr="008B3D8B">
        <w:rPr>
          <w:rFonts w:cs="Arial"/>
          <w:rtl/>
        </w:rPr>
        <w:t>מתה בחייו</w:t>
      </w:r>
      <w:r w:rsidR="003020D1">
        <w:rPr>
          <w:rFonts w:cs="Arial" w:hint="cs"/>
          <w:rtl/>
        </w:rPr>
        <w:t>,</w:t>
      </w:r>
      <w:r w:rsidR="008B3D8B" w:rsidRPr="008B3D8B">
        <w:rPr>
          <w:rFonts w:cs="Arial"/>
          <w:rtl/>
        </w:rPr>
        <w:t xml:space="preserve"> מוציא הגוף מיד הלקוחות בלא דמים</w:t>
      </w:r>
      <w:r>
        <w:rPr>
          <w:rStyle w:val="a7"/>
          <w:rFonts w:cs="Arial"/>
          <w:rtl/>
        </w:rPr>
        <w:footnoteReference w:id="1292"/>
      </w:r>
      <w:r w:rsidR="003020D1">
        <w:rPr>
          <w:rFonts w:cs="Arial" w:hint="cs"/>
          <w:rtl/>
        </w:rPr>
        <w:t>.</w:t>
      </w:r>
      <w:r w:rsidR="008B3D8B" w:rsidRPr="008B3D8B">
        <w:rPr>
          <w:rFonts w:cs="Arial"/>
          <w:rtl/>
        </w:rPr>
        <w:t xml:space="preserve"> ואם הדמים שלקחה מן הלקוחות קיימין בעצמן</w:t>
      </w:r>
      <w:r w:rsidR="003020D1">
        <w:rPr>
          <w:rFonts w:cs="Arial" w:hint="cs"/>
          <w:rtl/>
        </w:rPr>
        <w:t>,</w:t>
      </w:r>
      <w:r w:rsidR="008B3D8B" w:rsidRPr="008B3D8B">
        <w:rPr>
          <w:rFonts w:cs="Arial"/>
          <w:rtl/>
        </w:rPr>
        <w:t xml:space="preserve"> מחזירן ללקוחות, ואינו יכול לומר שמא מציאה הן</w:t>
      </w:r>
      <w:r w:rsidR="00175AF5">
        <w:rPr>
          <w:rFonts w:cs="Arial" w:hint="cs"/>
          <w:sz w:val="16"/>
          <w:szCs w:val="16"/>
          <w:rtl/>
        </w:rPr>
        <w:t xml:space="preserve"> (ל' הרמב"ם)</w:t>
      </w:r>
      <w:r w:rsidR="008B3D8B" w:rsidRPr="008B3D8B">
        <w:rPr>
          <w:rFonts w:cs="Arial"/>
          <w:rtl/>
        </w:rPr>
        <w:t xml:space="preserve">. </w:t>
      </w:r>
      <w:r w:rsidR="000A6C7C" w:rsidRPr="001D67C0">
        <w:rPr>
          <w:rFonts w:hint="cs"/>
          <w:color w:val="E36C0A" w:themeColor="accent6" w:themeShade="BF"/>
          <w:rtl/>
        </w:rPr>
        <w:t>(וכ"פ בשו"ע)</w:t>
      </w:r>
    </w:p>
    <w:p w14:paraId="32F33DA4" w14:textId="7D57FF1A" w:rsidR="00226292" w:rsidRPr="00175AF5" w:rsidRDefault="00BA3E43" w:rsidP="009000E3">
      <w:pPr>
        <w:pStyle w:val="ab"/>
        <w:numPr>
          <w:ilvl w:val="0"/>
          <w:numId w:val="55"/>
        </w:numPr>
        <w:rPr>
          <w:rFonts w:cs="Arial"/>
        </w:rPr>
      </w:pPr>
      <w:r>
        <w:rPr>
          <w:rFonts w:cs="Arial" w:hint="cs"/>
          <w:rtl/>
        </w:rPr>
        <w:t>ר"ח</w:t>
      </w:r>
      <w:r>
        <w:rPr>
          <w:rStyle w:val="a7"/>
          <w:rFonts w:cs="Arial"/>
          <w:rtl/>
        </w:rPr>
        <w:footnoteReference w:id="1293"/>
      </w:r>
      <w:r>
        <w:rPr>
          <w:rFonts w:cs="Arial" w:hint="cs"/>
          <w:rtl/>
        </w:rPr>
        <w:t xml:space="preserve"> </w:t>
      </w:r>
      <w:r>
        <w:rPr>
          <w:rFonts w:cs="Arial" w:hint="cs"/>
          <w:sz w:val="16"/>
          <w:szCs w:val="16"/>
          <w:rtl/>
        </w:rPr>
        <w:t>(כ"כ הטור בשמו)</w:t>
      </w:r>
      <w:r>
        <w:rPr>
          <w:rFonts w:cs="Arial" w:hint="cs"/>
          <w:rtl/>
        </w:rPr>
        <w:t xml:space="preserve"> </w:t>
      </w:r>
      <w:r w:rsidR="00175AF5">
        <w:rPr>
          <w:rFonts w:cs="Arial" w:hint="cs"/>
          <w:rtl/>
        </w:rPr>
        <w:t>רא"ש</w:t>
      </w:r>
      <w:r w:rsidR="00175AF5">
        <w:rPr>
          <w:rFonts w:cs="Arial" w:hint="cs"/>
          <w:sz w:val="16"/>
          <w:szCs w:val="16"/>
          <w:rtl/>
        </w:rPr>
        <w:t xml:space="preserve"> (שם)</w:t>
      </w:r>
      <w:r w:rsidR="00175AF5">
        <w:rPr>
          <w:rFonts w:cs="Arial" w:hint="cs"/>
          <w:rtl/>
        </w:rPr>
        <w:t xml:space="preserve">- </w:t>
      </w:r>
      <w:r w:rsidR="00175AF5" w:rsidRPr="009D64F8">
        <w:rPr>
          <w:rFonts w:cs="Arial"/>
          <w:rtl/>
        </w:rPr>
        <w:t>מוציא בלא דמים</w:t>
      </w:r>
      <w:r w:rsidR="00175AF5">
        <w:rPr>
          <w:rFonts w:cs="Arial" w:hint="cs"/>
          <w:rtl/>
        </w:rPr>
        <w:t>...</w:t>
      </w:r>
      <w:r w:rsidR="00175AF5" w:rsidRPr="009D64F8">
        <w:rPr>
          <w:rFonts w:cs="Arial"/>
          <w:rtl/>
        </w:rPr>
        <w:t xml:space="preserve"> ואי איתנהו להנהו דמי דשקלה איתתיה</w:t>
      </w:r>
      <w:r w:rsidR="00175AF5">
        <w:rPr>
          <w:rFonts w:cs="Arial" w:hint="cs"/>
          <w:rtl/>
        </w:rPr>
        <w:t>,</w:t>
      </w:r>
      <w:r w:rsidR="00175AF5" w:rsidRPr="009D64F8">
        <w:rPr>
          <w:rFonts w:cs="Arial"/>
          <w:rtl/>
        </w:rPr>
        <w:t xml:space="preserve"> מהדר להו ללוקח</w:t>
      </w:r>
      <w:r w:rsidR="00175AF5">
        <w:rPr>
          <w:rFonts w:cs="Arial" w:hint="cs"/>
          <w:rtl/>
        </w:rPr>
        <w:t>,</w:t>
      </w:r>
      <w:r w:rsidR="00175AF5" w:rsidRPr="009D64F8">
        <w:rPr>
          <w:rFonts w:cs="Arial"/>
          <w:rtl/>
        </w:rPr>
        <w:t xml:space="preserve"> דגזל הוו כיון דהמכר לא הוה מכר</w:t>
      </w:r>
      <w:r w:rsidR="00175AF5">
        <w:rPr>
          <w:rFonts w:cs="Arial" w:hint="cs"/>
          <w:rtl/>
        </w:rPr>
        <w:t>.</w:t>
      </w:r>
      <w:r w:rsidR="00175AF5" w:rsidRPr="009D64F8">
        <w:rPr>
          <w:rFonts w:cs="Arial"/>
          <w:rtl/>
        </w:rPr>
        <w:t xml:space="preserve"> אם נמצאו מעות בידה</w:t>
      </w:r>
      <w:r w:rsidR="00175AF5">
        <w:rPr>
          <w:rFonts w:cs="Arial" w:hint="cs"/>
          <w:rtl/>
        </w:rPr>
        <w:t>,</w:t>
      </w:r>
      <w:r w:rsidR="00175AF5" w:rsidRPr="009D64F8">
        <w:rPr>
          <w:rFonts w:cs="Arial"/>
          <w:rtl/>
        </w:rPr>
        <w:t xml:space="preserve"> אנו תולים שדמי מכר זה הן</w:t>
      </w:r>
      <w:r w:rsidR="00175AF5">
        <w:rPr>
          <w:rFonts w:cs="Arial" w:hint="cs"/>
          <w:rtl/>
        </w:rPr>
        <w:t>,</w:t>
      </w:r>
      <w:r w:rsidR="00175AF5" w:rsidRPr="009D64F8">
        <w:rPr>
          <w:rFonts w:cs="Arial"/>
          <w:rtl/>
        </w:rPr>
        <w:t xml:space="preserve"> ולא מצי בעל למימר דילמא מציאה אשכחה</w:t>
      </w:r>
      <w:r w:rsidR="00175AF5">
        <w:rPr>
          <w:rFonts w:cs="Arial" w:hint="cs"/>
          <w:rtl/>
        </w:rPr>
        <w:t>.</w:t>
      </w:r>
      <w:r w:rsidR="000A6C7C">
        <w:rPr>
          <w:rFonts w:cs="Arial" w:hint="cs"/>
          <w:rtl/>
        </w:rPr>
        <w:t xml:space="preserve"> </w:t>
      </w:r>
      <w:r w:rsidR="000A6C7C" w:rsidRPr="000A6C7C">
        <w:rPr>
          <w:rFonts w:cs="Arial" w:hint="cs"/>
          <w:color w:val="00B0F0"/>
          <w:rtl/>
        </w:rPr>
        <w:t>(וכ"פ הרמ"א)</w:t>
      </w:r>
    </w:p>
    <w:p w14:paraId="722D47ED" w14:textId="467122FC" w:rsidR="009C3CF6" w:rsidRPr="00BA3E43" w:rsidRDefault="000C687E" w:rsidP="00BA3E43">
      <w:pPr>
        <w:pStyle w:val="ab"/>
        <w:numPr>
          <w:ilvl w:val="0"/>
          <w:numId w:val="55"/>
        </w:numPr>
        <w:rPr>
          <w:rFonts w:cs="Arial"/>
        </w:rPr>
      </w:pPr>
      <w:r w:rsidRPr="000C687E">
        <w:rPr>
          <w:rFonts w:cs="Arial"/>
          <w:rtl/>
        </w:rPr>
        <w:t>יש מהגאונים</w:t>
      </w:r>
      <w:r w:rsidR="0055510E">
        <w:rPr>
          <w:rFonts w:cs="Arial" w:hint="cs"/>
          <w:sz w:val="16"/>
          <w:szCs w:val="16"/>
          <w:rtl/>
        </w:rPr>
        <w:t xml:space="preserve"> (כ"כ הטור והה"מ [שם] בשמם)</w:t>
      </w:r>
      <w:r w:rsidR="00175AF5">
        <w:rPr>
          <w:rFonts w:cs="Arial" w:hint="cs"/>
          <w:rtl/>
        </w:rPr>
        <w:t xml:space="preserve">- </w:t>
      </w:r>
      <w:r w:rsidRPr="000C687E">
        <w:rPr>
          <w:rFonts w:cs="Arial"/>
          <w:rtl/>
        </w:rPr>
        <w:t>הבעל צריך ליתן הדמים ללוקח</w:t>
      </w:r>
      <w:r w:rsidR="009C3CF6">
        <w:rPr>
          <w:rFonts w:cs="Arial" w:hint="cs"/>
          <w:rtl/>
        </w:rPr>
        <w:t>,</w:t>
      </w:r>
      <w:r w:rsidRPr="000C687E">
        <w:rPr>
          <w:rFonts w:cs="Arial"/>
          <w:rtl/>
        </w:rPr>
        <w:t xml:space="preserve"> כמו הכיר בה שאינו שלו ולקחה שיש לו דמים</w:t>
      </w:r>
      <w:r w:rsidR="00175AF5">
        <w:rPr>
          <w:rFonts w:cs="Arial" w:hint="cs"/>
          <w:rtl/>
        </w:rPr>
        <w:t>.</w:t>
      </w:r>
      <w:r w:rsidRPr="000C687E">
        <w:rPr>
          <w:rFonts w:cs="Arial"/>
          <w:rtl/>
        </w:rPr>
        <w:t xml:space="preserve"> ולא עוד אלא שאם השביח הלוקח הנכסים</w:t>
      </w:r>
      <w:r w:rsidR="00175AF5">
        <w:rPr>
          <w:rFonts w:cs="Arial" w:hint="cs"/>
          <w:rtl/>
        </w:rPr>
        <w:t xml:space="preserve"> -</w:t>
      </w:r>
      <w:r w:rsidRPr="000C687E">
        <w:rPr>
          <w:rFonts w:cs="Arial"/>
          <w:rtl/>
        </w:rPr>
        <w:t xml:space="preserve"> נוטל השבח</w:t>
      </w:r>
      <w:r w:rsidR="0055510E">
        <w:rPr>
          <w:rFonts w:cs="Arial" w:hint="cs"/>
          <w:sz w:val="16"/>
          <w:szCs w:val="16"/>
          <w:rtl/>
        </w:rPr>
        <w:t xml:space="preserve"> (ל' הטור בשם הגאונים)</w:t>
      </w:r>
      <w:r w:rsidR="009C3CF6">
        <w:rPr>
          <w:rFonts w:cs="Arial" w:hint="cs"/>
          <w:rtl/>
        </w:rPr>
        <w:t>.</w:t>
      </w:r>
      <w:r w:rsidRPr="000C687E">
        <w:rPr>
          <w:rFonts w:cs="Arial"/>
          <w:rtl/>
        </w:rPr>
        <w:t xml:space="preserve"> </w:t>
      </w:r>
    </w:p>
    <w:p w14:paraId="54AA1573" w14:textId="24929C3F" w:rsidR="00B37CB8" w:rsidRDefault="000C687E" w:rsidP="009000E3">
      <w:pPr>
        <w:pStyle w:val="ab"/>
        <w:numPr>
          <w:ilvl w:val="0"/>
          <w:numId w:val="55"/>
        </w:numPr>
        <w:rPr>
          <w:rFonts w:cs="Arial"/>
        </w:rPr>
      </w:pPr>
      <w:r w:rsidRPr="000C687E">
        <w:rPr>
          <w:rFonts w:cs="Arial"/>
          <w:rtl/>
        </w:rPr>
        <w:t xml:space="preserve">ר' אפרים </w:t>
      </w:r>
      <w:r w:rsidR="00B37CB8">
        <w:rPr>
          <w:rFonts w:cs="Arial" w:hint="cs"/>
          <w:sz w:val="16"/>
          <w:szCs w:val="16"/>
          <w:rtl/>
        </w:rPr>
        <w:t>(כ"כ</w:t>
      </w:r>
      <w:r w:rsidR="004D4D43">
        <w:rPr>
          <w:rFonts w:cs="Arial" w:hint="cs"/>
          <w:sz w:val="16"/>
          <w:szCs w:val="16"/>
          <w:rtl/>
        </w:rPr>
        <w:t xml:space="preserve"> בשמו</w:t>
      </w:r>
      <w:r w:rsidR="00B37CB8">
        <w:rPr>
          <w:rFonts w:cs="Arial" w:hint="cs"/>
          <w:sz w:val="16"/>
          <w:szCs w:val="16"/>
          <w:rtl/>
        </w:rPr>
        <w:t xml:space="preserve"> </w:t>
      </w:r>
      <w:r w:rsidR="000D1E98">
        <w:rPr>
          <w:rFonts w:cs="Arial" w:hint="cs"/>
          <w:sz w:val="16"/>
          <w:szCs w:val="16"/>
          <w:rtl/>
        </w:rPr>
        <w:t xml:space="preserve">רשב"א [נ. סד"ה האשה] </w:t>
      </w:r>
      <w:r w:rsidR="00B37CB8">
        <w:rPr>
          <w:rFonts w:cs="Arial" w:hint="cs"/>
          <w:sz w:val="16"/>
          <w:szCs w:val="16"/>
          <w:rtl/>
        </w:rPr>
        <w:t>טור</w:t>
      </w:r>
      <w:r w:rsidR="008A4B93" w:rsidRPr="008A4B93">
        <w:rPr>
          <w:rFonts w:cs="Arial" w:hint="cs"/>
          <w:sz w:val="16"/>
          <w:szCs w:val="16"/>
          <w:rtl/>
        </w:rPr>
        <w:t xml:space="preserve"> </w:t>
      </w:r>
      <w:r w:rsidR="008A4B93">
        <w:rPr>
          <w:rFonts w:cs="Arial" w:hint="cs"/>
          <w:sz w:val="16"/>
          <w:szCs w:val="16"/>
          <w:rtl/>
        </w:rPr>
        <w:t>הה"מ [פכ"ב מאישות שם]</w:t>
      </w:r>
      <w:r w:rsidR="00B37CB8">
        <w:rPr>
          <w:rFonts w:cs="Arial" w:hint="cs"/>
          <w:sz w:val="16"/>
          <w:szCs w:val="16"/>
          <w:rtl/>
        </w:rPr>
        <w:t xml:space="preserve"> </w:t>
      </w:r>
      <w:r w:rsidR="004D4D43">
        <w:rPr>
          <w:rFonts w:cs="Arial" w:hint="cs"/>
          <w:sz w:val="16"/>
          <w:szCs w:val="16"/>
          <w:rtl/>
        </w:rPr>
        <w:t>ורי"ו [</w:t>
      </w:r>
      <w:r w:rsidR="004D4D43" w:rsidRPr="004D4D43">
        <w:rPr>
          <w:rFonts w:cs="Arial"/>
          <w:sz w:val="16"/>
          <w:szCs w:val="16"/>
          <w:rtl/>
        </w:rPr>
        <w:t>מישרים נכ"ג ח"ד נו ע"ד</w:t>
      </w:r>
      <w:r w:rsidR="004D4D43">
        <w:rPr>
          <w:rFonts w:cs="Arial" w:hint="cs"/>
          <w:sz w:val="16"/>
          <w:szCs w:val="16"/>
          <w:rtl/>
        </w:rPr>
        <w:t>]</w:t>
      </w:r>
      <w:r w:rsidR="00B37CB8">
        <w:rPr>
          <w:rFonts w:cs="Arial" w:hint="cs"/>
          <w:sz w:val="16"/>
          <w:szCs w:val="16"/>
          <w:rtl/>
        </w:rPr>
        <w:t>)</w:t>
      </w:r>
      <w:r w:rsidR="00B37CB8">
        <w:rPr>
          <w:rFonts w:cs="Arial" w:hint="cs"/>
          <w:rtl/>
        </w:rPr>
        <w:t xml:space="preserve">- </w:t>
      </w:r>
      <w:r w:rsidRPr="000C687E">
        <w:rPr>
          <w:rFonts w:cs="Arial"/>
          <w:rtl/>
        </w:rPr>
        <w:t xml:space="preserve">אפילו הודה הבעל שהם בידו </w:t>
      </w:r>
      <w:r w:rsidR="00B37CB8">
        <w:rPr>
          <w:rFonts w:cs="Arial" w:hint="cs"/>
          <w:rtl/>
        </w:rPr>
        <w:t xml:space="preserve">- </w:t>
      </w:r>
      <w:r w:rsidRPr="000C687E">
        <w:rPr>
          <w:rFonts w:cs="Arial"/>
          <w:rtl/>
        </w:rPr>
        <w:t xml:space="preserve">א"צ להחזירם </w:t>
      </w:r>
      <w:r w:rsidR="0055510E">
        <w:rPr>
          <w:rFonts w:cs="Arial" w:hint="cs"/>
          <w:sz w:val="16"/>
          <w:szCs w:val="16"/>
          <w:rtl/>
        </w:rPr>
        <w:t>(ל' הטור בשמו)</w:t>
      </w:r>
      <w:r w:rsidR="009C3CF6">
        <w:rPr>
          <w:rFonts w:cs="Arial" w:hint="cs"/>
          <w:rtl/>
        </w:rPr>
        <w:t>.</w:t>
      </w:r>
      <w:r w:rsidRPr="000C687E">
        <w:rPr>
          <w:rFonts w:cs="Arial"/>
          <w:rtl/>
        </w:rPr>
        <w:t xml:space="preserve"> </w:t>
      </w:r>
    </w:p>
    <w:p w14:paraId="6EA6007C" w14:textId="190E222D" w:rsidR="007E2D72" w:rsidRDefault="007E2D72" w:rsidP="009000E3">
      <w:pPr>
        <w:pStyle w:val="ab"/>
        <w:numPr>
          <w:ilvl w:val="0"/>
          <w:numId w:val="55"/>
        </w:numPr>
        <w:rPr>
          <w:rFonts w:cs="Arial"/>
        </w:rPr>
      </w:pPr>
      <w:r w:rsidRPr="00D9440F">
        <w:rPr>
          <w:rFonts w:cs="Arial"/>
          <w:rtl/>
        </w:rPr>
        <w:t>נמוק</w:t>
      </w:r>
      <w:r w:rsidR="0042310B">
        <w:rPr>
          <w:rFonts w:cs="Arial" w:hint="cs"/>
          <w:rtl/>
        </w:rPr>
        <w:t>"</w:t>
      </w:r>
      <w:r w:rsidRPr="00D9440F">
        <w:rPr>
          <w:rFonts w:cs="Arial"/>
          <w:rtl/>
        </w:rPr>
        <w:t xml:space="preserve">י </w:t>
      </w:r>
      <w:r w:rsidR="0042310B" w:rsidRPr="0042310B">
        <w:rPr>
          <w:rFonts w:cs="Arial" w:hint="cs"/>
          <w:sz w:val="16"/>
          <w:szCs w:val="16"/>
          <w:rtl/>
        </w:rPr>
        <w:t>(</w:t>
      </w:r>
      <w:r w:rsidRPr="0042310B">
        <w:rPr>
          <w:rFonts w:cs="Arial"/>
          <w:sz w:val="16"/>
          <w:szCs w:val="16"/>
          <w:rtl/>
        </w:rPr>
        <w:t>ס</w:t>
      </w:r>
      <w:r w:rsidR="0042310B" w:rsidRPr="0042310B">
        <w:rPr>
          <w:rFonts w:cs="Arial" w:hint="cs"/>
          <w:sz w:val="16"/>
          <w:szCs w:val="16"/>
          <w:rtl/>
        </w:rPr>
        <w:t>"פ</w:t>
      </w:r>
      <w:r w:rsidRPr="0042310B">
        <w:rPr>
          <w:rFonts w:cs="Arial"/>
          <w:sz w:val="16"/>
          <w:szCs w:val="16"/>
          <w:rtl/>
        </w:rPr>
        <w:t xml:space="preserve"> יש נוחלין סה. סוד"ה שלח</w:t>
      </w:r>
      <w:r w:rsidR="0042310B" w:rsidRPr="0042310B">
        <w:rPr>
          <w:rFonts w:cs="Arial" w:hint="cs"/>
          <w:sz w:val="16"/>
          <w:szCs w:val="16"/>
          <w:rtl/>
        </w:rPr>
        <w:t>, כ"כ בשמו הדרכ"מ [אות ח]</w:t>
      </w:r>
      <w:r w:rsidRPr="0042310B">
        <w:rPr>
          <w:rFonts w:cs="Arial"/>
          <w:sz w:val="16"/>
          <w:szCs w:val="16"/>
          <w:rtl/>
        </w:rPr>
        <w:t>)</w:t>
      </w:r>
      <w:r w:rsidR="0042310B">
        <w:rPr>
          <w:rFonts w:cs="Arial" w:hint="cs"/>
          <w:rtl/>
        </w:rPr>
        <w:t xml:space="preserve">- </w:t>
      </w:r>
      <w:r w:rsidRPr="00D9440F">
        <w:rPr>
          <w:rFonts w:cs="Arial"/>
          <w:rtl/>
        </w:rPr>
        <w:t>אפילו אם יש לאותו דבר שבא מחמת המעות שנטלן</w:t>
      </w:r>
      <w:r w:rsidR="00152F92">
        <w:rPr>
          <w:rFonts w:cs="Arial" w:hint="cs"/>
          <w:rtl/>
        </w:rPr>
        <w:t xml:space="preserve"> -</w:t>
      </w:r>
      <w:r w:rsidRPr="00D9440F">
        <w:rPr>
          <w:rFonts w:cs="Arial"/>
          <w:rtl/>
        </w:rPr>
        <w:t xml:space="preserve"> צריך להחזיר ללוקח</w:t>
      </w:r>
      <w:r w:rsidR="00B63936">
        <w:rPr>
          <w:rStyle w:val="a7"/>
          <w:rFonts w:cs="Arial"/>
          <w:rtl/>
        </w:rPr>
        <w:footnoteReference w:id="1294"/>
      </w:r>
      <w:r w:rsidR="00152F92">
        <w:rPr>
          <w:rFonts w:cs="Arial" w:hint="cs"/>
          <w:rtl/>
        </w:rPr>
        <w:t>.</w:t>
      </w:r>
      <w:r w:rsidRPr="00D9440F">
        <w:rPr>
          <w:rFonts w:cs="Arial"/>
          <w:rtl/>
        </w:rPr>
        <w:t xml:space="preserve"> וכל שכן אם יש לה נכסים מיוחדים בלא בעלה שצריך לשלם מהן</w:t>
      </w:r>
      <w:r w:rsidR="00152F92">
        <w:rPr>
          <w:rFonts w:cs="Arial" w:hint="cs"/>
          <w:rtl/>
        </w:rPr>
        <w:t>.</w:t>
      </w:r>
      <w:r w:rsidRPr="00D9440F">
        <w:rPr>
          <w:rFonts w:cs="Arial"/>
          <w:rtl/>
        </w:rPr>
        <w:t xml:space="preserve"> ואם נפלו לה נכסי מלוג אינו טורף מהם</w:t>
      </w:r>
      <w:r w:rsidR="0042310B">
        <w:rPr>
          <w:rFonts w:cs="Arial" w:hint="cs"/>
          <w:rtl/>
        </w:rPr>
        <w:t>.</w:t>
      </w:r>
    </w:p>
    <w:p w14:paraId="4DD524CE" w14:textId="000C967B" w:rsidR="00A67AB5" w:rsidRPr="00A67AB5" w:rsidRDefault="00A67AB5" w:rsidP="00A67AB5">
      <w:pPr>
        <w:rPr>
          <w:rFonts w:cs="Arial"/>
          <w:u w:val="single"/>
        </w:rPr>
      </w:pPr>
      <w:r w:rsidRPr="00A67AB5">
        <w:rPr>
          <w:rFonts w:cs="Arial" w:hint="cs"/>
          <w:u w:val="single"/>
          <w:rtl/>
        </w:rPr>
        <w:t xml:space="preserve">אשה שמכרה נכסי מלוג </w:t>
      </w:r>
      <w:r w:rsidR="00F97626">
        <w:rPr>
          <w:rFonts w:cs="Arial"/>
          <w:u w:val="single"/>
          <w:rtl/>
        </w:rPr>
        <w:t>-</w:t>
      </w:r>
      <w:r w:rsidRPr="00A67AB5">
        <w:rPr>
          <w:rFonts w:cs="Arial" w:hint="cs"/>
          <w:u w:val="single"/>
          <w:rtl/>
        </w:rPr>
        <w:t xml:space="preserve"> האם היא יכולה להוציא מיד הלקוחות:</w:t>
      </w:r>
    </w:p>
    <w:p w14:paraId="04F1E328" w14:textId="79234DD5" w:rsidR="00A67AB5" w:rsidRPr="008E0760" w:rsidRDefault="00A67AB5" w:rsidP="009000E3">
      <w:pPr>
        <w:pStyle w:val="ab"/>
        <w:numPr>
          <w:ilvl w:val="0"/>
          <w:numId w:val="55"/>
        </w:numPr>
        <w:rPr>
          <w:rFonts w:cs="Arial"/>
          <w:rtl/>
        </w:rPr>
      </w:pPr>
      <w:r w:rsidRPr="008E0760">
        <w:rPr>
          <w:rFonts w:cs="Arial"/>
          <w:rtl/>
        </w:rPr>
        <w:t xml:space="preserve">רשב"א </w:t>
      </w:r>
      <w:r w:rsidRPr="008E0760">
        <w:rPr>
          <w:rFonts w:cs="Arial" w:hint="cs"/>
          <w:sz w:val="16"/>
          <w:szCs w:val="16"/>
          <w:rtl/>
        </w:rPr>
        <w:t>(ח"ב סי' שז)</w:t>
      </w:r>
      <w:r>
        <w:rPr>
          <w:rFonts w:cs="Arial" w:hint="cs"/>
          <w:rtl/>
        </w:rPr>
        <w:t xml:space="preserve">- </w:t>
      </w:r>
      <w:r w:rsidRPr="008E0760">
        <w:rPr>
          <w:rFonts w:cs="Arial"/>
          <w:rtl/>
        </w:rPr>
        <w:t>מה שאמרת שאם מכרה היא בנכסי מלוג בחיי בעלה ששניהם מוציאין מיד הלקוחות</w:t>
      </w:r>
      <w:r>
        <w:rPr>
          <w:rFonts w:cs="Arial" w:hint="cs"/>
          <w:rtl/>
        </w:rPr>
        <w:t>,</w:t>
      </w:r>
      <w:r w:rsidRPr="008E0760">
        <w:rPr>
          <w:rFonts w:cs="Arial"/>
          <w:rtl/>
        </w:rPr>
        <w:t xml:space="preserve"> ולומר שאפילו מת הבעל בחייה האשה מוציאה מיד הלקוחות</w:t>
      </w:r>
      <w:r w:rsidRPr="008E0760">
        <w:rPr>
          <w:rFonts w:cs="Arial" w:hint="cs"/>
          <w:rtl/>
        </w:rPr>
        <w:t>,</w:t>
      </w:r>
      <w:r w:rsidRPr="008E0760">
        <w:rPr>
          <w:rFonts w:cs="Arial"/>
          <w:rtl/>
        </w:rPr>
        <w:t xml:space="preserve"> הא ליתא</w:t>
      </w:r>
      <w:r w:rsidRPr="008E0760">
        <w:rPr>
          <w:rFonts w:cs="Arial" w:hint="cs"/>
          <w:rtl/>
        </w:rPr>
        <w:t>,</w:t>
      </w:r>
      <w:r w:rsidRPr="008E0760">
        <w:rPr>
          <w:rFonts w:cs="Arial"/>
          <w:rtl/>
        </w:rPr>
        <w:t xml:space="preserve"> והדברים מוכרעים ממקומם שגוף הנכסים לאשה הן ואין לבעל בהם בחייה אלא אכילת פירות בלבד</w:t>
      </w:r>
      <w:r w:rsidRPr="008E0760">
        <w:rPr>
          <w:rFonts w:cs="Arial" w:hint="cs"/>
          <w:rtl/>
        </w:rPr>
        <w:t>,</w:t>
      </w:r>
      <w:r w:rsidRPr="008E0760">
        <w:rPr>
          <w:rFonts w:cs="Arial"/>
          <w:rtl/>
        </w:rPr>
        <w:t xml:space="preserve"> וזהו שהוצרכו לתקנת אושא לגופה של קרקע ולאחר מיתה</w:t>
      </w:r>
      <w:r w:rsidRPr="008E0760">
        <w:rPr>
          <w:rFonts w:cs="Arial" w:hint="cs"/>
          <w:rtl/>
        </w:rPr>
        <w:t>.</w:t>
      </w:r>
      <w:r w:rsidRPr="008E0760">
        <w:rPr>
          <w:rFonts w:cs="Arial"/>
          <w:rtl/>
        </w:rPr>
        <w:t xml:space="preserve"> ועוד דבהדיא אמרו בירושלמי (כתובות פ"ט ה"א) האיש שמכר בנכסי מלוג בחיי אשתו ומתה בחייו הבעל מוציא מיד הלקוחות למה הדבר דומה לבן שמכר בנכסי אביו ומת האב הבן מוציא מיד הלקוחות</w:t>
      </w:r>
      <w:r w:rsidR="00FC57F8">
        <w:rPr>
          <w:rFonts w:cs="Arial" w:hint="cs"/>
          <w:rtl/>
        </w:rPr>
        <w:t>.</w:t>
      </w:r>
      <w:r w:rsidRPr="008E0760">
        <w:rPr>
          <w:rFonts w:cs="Arial"/>
          <w:rtl/>
        </w:rPr>
        <w:t xml:space="preserve"> והאשה שמכרה בנכסי מלוג בחיי הבעל ומת הבעל אין האשה מוציאה מיד הלקוחות למה הדבר דומה לאב שמכר בנכסיו בחיי הבן ומת הבן אין האב מוציא מיד הלקוחות</w:t>
      </w:r>
      <w:r>
        <w:rPr>
          <w:rFonts w:cs="Arial" w:hint="cs"/>
          <w:rtl/>
        </w:rPr>
        <w:t>.</w:t>
      </w:r>
      <w:r w:rsidRPr="008E0760">
        <w:rPr>
          <w:rFonts w:cs="Arial"/>
          <w:rtl/>
        </w:rPr>
        <w:t xml:space="preserve"> ואל יטעך מה שאמרו בפרק אלמנה לכהן גדול (סו:) מעשה היה ומכרו שניהם לפרנסה ובא מעשה לפני חכמים ואמרו שניהם מוציאין מיד הלקוחות</w:t>
      </w:r>
      <w:r w:rsidR="00FC57F8">
        <w:rPr>
          <w:rFonts w:cs="Arial" w:hint="cs"/>
          <w:rtl/>
        </w:rPr>
        <w:t>,</w:t>
      </w:r>
      <w:r w:rsidRPr="008E0760">
        <w:rPr>
          <w:rFonts w:cs="Arial"/>
          <w:rtl/>
        </w:rPr>
        <w:t xml:space="preserve"> כי זה דרך אחר יש לו והרי"ף כתב משמן של גאונים שלא הוברר הדבר ולא נעשה בו מעשה עכ"ל.</w:t>
      </w:r>
    </w:p>
    <w:p w14:paraId="7A0314BF" w14:textId="5A6DEF5F" w:rsidR="00F613E0" w:rsidRPr="00F613E0" w:rsidRDefault="00F613E0" w:rsidP="00F613E0">
      <w:pPr>
        <w:rPr>
          <w:rFonts w:cs="Arial"/>
          <w:u w:val="single"/>
        </w:rPr>
      </w:pPr>
      <w:r w:rsidRPr="00F613E0">
        <w:rPr>
          <w:rFonts w:cs="Arial"/>
          <w:u w:val="single"/>
          <w:rtl/>
        </w:rPr>
        <w:t xml:space="preserve">אשה שמכרה נכסי מלוג </w:t>
      </w:r>
      <w:r w:rsidR="00F97626">
        <w:rPr>
          <w:rFonts w:cs="Arial"/>
          <w:u w:val="single"/>
          <w:rtl/>
        </w:rPr>
        <w:t>-</w:t>
      </w:r>
      <w:r>
        <w:rPr>
          <w:rFonts w:cs="Arial" w:hint="cs"/>
          <w:u w:val="single"/>
          <w:rtl/>
        </w:rPr>
        <w:t xml:space="preserve"> </w:t>
      </w:r>
      <w:r w:rsidRPr="00F613E0">
        <w:rPr>
          <w:rFonts w:cs="Arial"/>
          <w:u w:val="single"/>
          <w:rtl/>
        </w:rPr>
        <w:t>ו</w:t>
      </w:r>
      <w:r>
        <w:rPr>
          <w:rFonts w:cs="Arial" w:hint="cs"/>
          <w:u w:val="single"/>
          <w:rtl/>
        </w:rPr>
        <w:t>הבעל רוצה לבנות או לסתור בנכסיה</w:t>
      </w:r>
      <w:r w:rsidRPr="00F613E0">
        <w:rPr>
          <w:rFonts w:cs="Arial" w:hint="cs"/>
          <w:u w:val="single"/>
          <w:rtl/>
        </w:rPr>
        <w:t>:</w:t>
      </w:r>
      <w:r>
        <w:rPr>
          <w:rFonts w:cs="Arial" w:hint="cs"/>
          <w:sz w:val="16"/>
          <w:szCs w:val="16"/>
          <w:rtl/>
        </w:rPr>
        <w:t xml:space="preserve"> </w:t>
      </w:r>
      <w:r w:rsidRPr="005759F3">
        <w:rPr>
          <w:rFonts w:cs="Arial"/>
          <w:sz w:val="16"/>
          <w:szCs w:val="16"/>
          <w:rtl/>
        </w:rPr>
        <w:t>(</w:t>
      </w:r>
      <w:r w:rsidRPr="005759F3">
        <w:rPr>
          <w:rFonts w:cs="Arial" w:hint="cs"/>
          <w:sz w:val="16"/>
          <w:szCs w:val="16"/>
          <w:rtl/>
        </w:rPr>
        <w:t xml:space="preserve">דרכ"מ אות </w:t>
      </w:r>
      <w:r w:rsidRPr="005759F3">
        <w:rPr>
          <w:rFonts w:cs="Arial"/>
          <w:sz w:val="16"/>
          <w:szCs w:val="16"/>
          <w:rtl/>
        </w:rPr>
        <w:t>ז)</w:t>
      </w:r>
    </w:p>
    <w:p w14:paraId="53A96DCF" w14:textId="5F25331E" w:rsidR="005759F3" w:rsidRPr="00F613E0" w:rsidRDefault="003432A1" w:rsidP="009000E3">
      <w:pPr>
        <w:pStyle w:val="ab"/>
        <w:numPr>
          <w:ilvl w:val="0"/>
          <w:numId w:val="55"/>
        </w:numPr>
        <w:rPr>
          <w:rFonts w:cs="Arial"/>
          <w:rtl/>
        </w:rPr>
      </w:pPr>
      <w:r w:rsidRPr="00F613E0">
        <w:rPr>
          <w:rFonts w:cs="Arial"/>
          <w:rtl/>
        </w:rPr>
        <w:t>נמוק</w:t>
      </w:r>
      <w:r w:rsidR="00F613E0" w:rsidRPr="00F613E0">
        <w:rPr>
          <w:rFonts w:cs="Arial" w:hint="cs"/>
          <w:rtl/>
        </w:rPr>
        <w:t>"</w:t>
      </w:r>
      <w:r w:rsidRPr="00F613E0">
        <w:rPr>
          <w:rFonts w:cs="Arial"/>
          <w:rtl/>
        </w:rPr>
        <w:t>י</w:t>
      </w:r>
      <w:r w:rsidRPr="00F613E0">
        <w:rPr>
          <w:rFonts w:cs="Arial"/>
          <w:sz w:val="16"/>
          <w:szCs w:val="16"/>
          <w:rtl/>
        </w:rPr>
        <w:t xml:space="preserve"> </w:t>
      </w:r>
      <w:r w:rsidR="00F613E0" w:rsidRPr="00F613E0">
        <w:rPr>
          <w:rFonts w:cs="Arial" w:hint="cs"/>
          <w:sz w:val="16"/>
          <w:szCs w:val="16"/>
          <w:rtl/>
        </w:rPr>
        <w:t>(</w:t>
      </w:r>
      <w:r w:rsidRPr="00F613E0">
        <w:rPr>
          <w:rFonts w:cs="Arial"/>
          <w:sz w:val="16"/>
          <w:szCs w:val="16"/>
          <w:rtl/>
        </w:rPr>
        <w:t>פרק חזקת כז סוע"א)</w:t>
      </w:r>
      <w:r w:rsidR="00F613E0" w:rsidRPr="00F613E0">
        <w:rPr>
          <w:rFonts w:cs="Arial" w:hint="cs"/>
          <w:rtl/>
        </w:rPr>
        <w:t>-</w:t>
      </w:r>
      <w:r w:rsidRPr="00F613E0">
        <w:rPr>
          <w:rFonts w:cs="Arial"/>
          <w:rtl/>
        </w:rPr>
        <w:t xml:space="preserve"> הואיל ומכירתה בנכסיה קיימת כשתתאלמן או תתגרש</w:t>
      </w:r>
      <w:r w:rsidR="00643A08">
        <w:rPr>
          <w:rFonts w:cs="Arial" w:hint="cs"/>
          <w:rtl/>
        </w:rPr>
        <w:t>,</w:t>
      </w:r>
      <w:r w:rsidRPr="00F613E0">
        <w:rPr>
          <w:rFonts w:cs="Arial"/>
          <w:rtl/>
        </w:rPr>
        <w:t xml:space="preserve"> אם הבעל רוצה לבנות או לסתור בנכסיה</w:t>
      </w:r>
      <w:r w:rsidR="00643A08">
        <w:rPr>
          <w:rFonts w:cs="Arial" w:hint="cs"/>
          <w:rtl/>
        </w:rPr>
        <w:t xml:space="preserve"> -</w:t>
      </w:r>
      <w:r w:rsidRPr="00F613E0">
        <w:rPr>
          <w:rFonts w:cs="Arial"/>
          <w:rtl/>
        </w:rPr>
        <w:t xml:space="preserve"> הקונה יכול למחות</w:t>
      </w:r>
      <w:r w:rsidR="00F613E0" w:rsidRPr="00F613E0">
        <w:rPr>
          <w:rFonts w:cs="Arial" w:hint="cs"/>
          <w:rtl/>
        </w:rPr>
        <w:t>.</w:t>
      </w:r>
      <w:r w:rsidRPr="00F613E0">
        <w:rPr>
          <w:rFonts w:cs="Arial"/>
          <w:rtl/>
        </w:rPr>
        <w:t xml:space="preserve"> </w:t>
      </w:r>
      <w:r w:rsidR="000A6C7C" w:rsidRPr="000A6C7C">
        <w:rPr>
          <w:rFonts w:cs="Arial" w:hint="cs"/>
          <w:color w:val="00B0F0"/>
          <w:rtl/>
        </w:rPr>
        <w:t>(וכ"פ הרמ"א)</w:t>
      </w:r>
    </w:p>
    <w:p w14:paraId="5A9C7C80" w14:textId="2D4BEEB0" w:rsidR="005759F3" w:rsidRPr="005759F3" w:rsidRDefault="005759F3" w:rsidP="00D9440F">
      <w:pPr>
        <w:rPr>
          <w:rFonts w:cs="Arial"/>
          <w:u w:val="single"/>
          <w:rtl/>
        </w:rPr>
      </w:pPr>
      <w:r w:rsidRPr="005759F3">
        <w:rPr>
          <w:rFonts w:cs="Arial" w:hint="cs"/>
          <w:u w:val="single"/>
          <w:rtl/>
        </w:rPr>
        <w:t>אשה ש</w:t>
      </w:r>
      <w:r w:rsidRPr="005759F3">
        <w:rPr>
          <w:rFonts w:cs="Arial"/>
          <w:u w:val="single"/>
          <w:rtl/>
        </w:rPr>
        <w:t>הקדישה נכסי מלוג</w:t>
      </w:r>
      <w:r w:rsidRPr="005759F3">
        <w:rPr>
          <w:rFonts w:cs="Arial" w:hint="cs"/>
          <w:u w:val="single"/>
          <w:rtl/>
        </w:rPr>
        <w:t xml:space="preserve"> שלה:</w:t>
      </w:r>
      <w:r w:rsidRPr="005759F3">
        <w:rPr>
          <w:rFonts w:cs="Arial"/>
          <w:sz w:val="16"/>
          <w:szCs w:val="16"/>
          <w:rtl/>
        </w:rPr>
        <w:t xml:space="preserve"> </w:t>
      </w:r>
      <w:r>
        <w:rPr>
          <w:rFonts w:cs="Arial" w:hint="cs"/>
          <w:sz w:val="16"/>
          <w:szCs w:val="16"/>
          <w:rtl/>
        </w:rPr>
        <w:t xml:space="preserve"> </w:t>
      </w:r>
      <w:r w:rsidRPr="005759F3">
        <w:rPr>
          <w:rFonts w:cs="Arial"/>
          <w:sz w:val="16"/>
          <w:szCs w:val="16"/>
          <w:rtl/>
        </w:rPr>
        <w:t>(</w:t>
      </w:r>
      <w:r w:rsidRPr="005759F3">
        <w:rPr>
          <w:rFonts w:cs="Arial" w:hint="cs"/>
          <w:sz w:val="16"/>
          <w:szCs w:val="16"/>
          <w:rtl/>
        </w:rPr>
        <w:t xml:space="preserve">דרכ"מ אות </w:t>
      </w:r>
      <w:r w:rsidRPr="005759F3">
        <w:rPr>
          <w:rFonts w:cs="Arial"/>
          <w:sz w:val="16"/>
          <w:szCs w:val="16"/>
          <w:rtl/>
        </w:rPr>
        <w:t>ז)</w:t>
      </w:r>
    </w:p>
    <w:p w14:paraId="16E27A6F" w14:textId="4678B7C3" w:rsidR="005759F3" w:rsidRDefault="005759F3" w:rsidP="009000E3">
      <w:pPr>
        <w:pStyle w:val="ab"/>
        <w:numPr>
          <w:ilvl w:val="0"/>
          <w:numId w:val="55"/>
        </w:numPr>
        <w:rPr>
          <w:rFonts w:cs="Arial"/>
        </w:rPr>
      </w:pPr>
      <w:r w:rsidRPr="005759F3">
        <w:rPr>
          <w:rFonts w:cs="Arial" w:hint="cs"/>
          <w:rtl/>
        </w:rPr>
        <w:t>תרוה"ד</w:t>
      </w:r>
      <w:r w:rsidR="003432A1" w:rsidRPr="005759F3">
        <w:rPr>
          <w:rFonts w:cs="Arial"/>
          <w:rtl/>
        </w:rPr>
        <w:t xml:space="preserve"> </w:t>
      </w:r>
      <w:r w:rsidRPr="005759F3">
        <w:rPr>
          <w:rFonts w:cs="Arial" w:hint="cs"/>
          <w:sz w:val="16"/>
          <w:szCs w:val="16"/>
          <w:rtl/>
        </w:rPr>
        <w:t>(</w:t>
      </w:r>
      <w:r w:rsidR="003432A1" w:rsidRPr="005759F3">
        <w:rPr>
          <w:rFonts w:cs="Arial"/>
          <w:sz w:val="16"/>
          <w:szCs w:val="16"/>
          <w:rtl/>
        </w:rPr>
        <w:t>סי</w:t>
      </w:r>
      <w:r w:rsidRPr="005759F3">
        <w:rPr>
          <w:rFonts w:cs="Arial" w:hint="cs"/>
          <w:sz w:val="16"/>
          <w:szCs w:val="16"/>
          <w:rtl/>
        </w:rPr>
        <w:t>'</w:t>
      </w:r>
      <w:r w:rsidR="003432A1" w:rsidRPr="005759F3">
        <w:rPr>
          <w:rFonts w:cs="Arial"/>
          <w:sz w:val="16"/>
          <w:szCs w:val="16"/>
          <w:rtl/>
        </w:rPr>
        <w:t xml:space="preserve"> רעב</w:t>
      </w:r>
      <w:r w:rsidRPr="005759F3">
        <w:rPr>
          <w:rFonts w:cs="Arial" w:hint="cs"/>
          <w:sz w:val="16"/>
          <w:szCs w:val="16"/>
          <w:rtl/>
        </w:rPr>
        <w:t>)</w:t>
      </w:r>
      <w:r w:rsidRPr="005759F3">
        <w:rPr>
          <w:rFonts w:cs="Arial" w:hint="cs"/>
          <w:rtl/>
        </w:rPr>
        <w:t>-</w:t>
      </w:r>
      <w:r w:rsidR="003432A1" w:rsidRPr="005759F3">
        <w:rPr>
          <w:rFonts w:cs="Arial"/>
          <w:rtl/>
        </w:rPr>
        <w:t xml:space="preserve"> אם הקדישה נכסי מלוג שלה אין ההקדש חל עד שתתגרש או תתאלמן ולא אמרינן בזה הקדש מפקיע מידי שיעבוד</w:t>
      </w:r>
      <w:r w:rsidR="00F613E0">
        <w:rPr>
          <w:rStyle w:val="a7"/>
          <w:rFonts w:cs="Arial"/>
          <w:rtl/>
        </w:rPr>
        <w:footnoteReference w:id="1295"/>
      </w:r>
      <w:r w:rsidR="003432A1" w:rsidRPr="005759F3">
        <w:rPr>
          <w:rFonts w:cs="Arial"/>
          <w:rtl/>
        </w:rPr>
        <w:t xml:space="preserve">. </w:t>
      </w:r>
      <w:r w:rsidR="000A6C7C" w:rsidRPr="000A6C7C">
        <w:rPr>
          <w:rFonts w:cs="Arial" w:hint="cs"/>
          <w:color w:val="00B0F0"/>
          <w:rtl/>
        </w:rPr>
        <w:t>(וכ"פ הרמ"א)</w:t>
      </w:r>
    </w:p>
    <w:p w14:paraId="16CD263C" w14:textId="77777777" w:rsidR="00EB79BF" w:rsidRDefault="00EB79BF" w:rsidP="00EB79BF">
      <w:pPr>
        <w:rPr>
          <w:rFonts w:cs="Arial"/>
          <w:rtl/>
        </w:rPr>
      </w:pPr>
      <w:r w:rsidRPr="003024E5">
        <w:rPr>
          <w:rFonts w:asciiTheme="minorBidi" w:hAnsiTheme="minorBidi"/>
          <w:b/>
          <w:bCs/>
          <w:color w:val="000000"/>
          <w:sz w:val="28"/>
          <w:szCs w:val="28"/>
          <w:u w:val="single"/>
          <w:rtl/>
        </w:rPr>
        <w:lastRenderedPageBreak/>
        <w:t>שו"ע:</w:t>
      </w:r>
    </w:p>
    <w:p w14:paraId="6BDF0931" w14:textId="4074FD0D" w:rsidR="00FA3C79" w:rsidRPr="00FA3C79" w:rsidRDefault="00EB79BF" w:rsidP="00B1267F">
      <w:pPr>
        <w:rPr>
          <w:rFonts w:cs="Arial"/>
          <w:rtl/>
        </w:rPr>
      </w:pPr>
      <w:r w:rsidRPr="00EB79BF">
        <w:rPr>
          <w:rFonts w:cs="Arial"/>
          <w:rtl/>
        </w:rPr>
        <w:t>האשה שמכרה מנ</w:t>
      </w:r>
      <w:r w:rsidR="00FA43C3">
        <w:rPr>
          <w:rFonts w:cs="Arial" w:hint="cs"/>
          <w:rtl/>
        </w:rPr>
        <w:t xml:space="preserve">כסי </w:t>
      </w:r>
      <w:r w:rsidRPr="00EB79BF">
        <w:rPr>
          <w:rFonts w:cs="Arial"/>
          <w:rtl/>
        </w:rPr>
        <w:t>מ</w:t>
      </w:r>
      <w:r w:rsidR="00FA43C3">
        <w:rPr>
          <w:rFonts w:cs="Arial" w:hint="cs"/>
          <w:rtl/>
        </w:rPr>
        <w:t>לוג</w:t>
      </w:r>
      <w:r w:rsidRPr="00EB79BF">
        <w:rPr>
          <w:rFonts w:cs="Arial"/>
          <w:rtl/>
        </w:rPr>
        <w:t xml:space="preserve"> אחר שנשאת, אף על פי שאותם הנכסים נפלו לה קודם שתתארס, הבעל מוציא פירות מיד הלקוחות כל ימי חייה, אבל לא גוף הקרקע</w:t>
      </w:r>
      <w:r w:rsidR="00524552">
        <w:rPr>
          <w:rStyle w:val="a7"/>
          <w:rFonts w:cs="Arial"/>
          <w:rtl/>
        </w:rPr>
        <w:footnoteReference w:id="1296"/>
      </w:r>
      <w:r w:rsidR="0053774C">
        <w:rPr>
          <w:rFonts w:cs="Arial" w:hint="cs"/>
          <w:rtl/>
        </w:rPr>
        <w:t>.</w:t>
      </w:r>
      <w:r w:rsidRPr="00EB79BF">
        <w:rPr>
          <w:rFonts w:cs="Arial"/>
          <w:rtl/>
        </w:rPr>
        <w:t xml:space="preserve"> ואם מתה בחייו, מוציא הגוף מיד הלקוחות בלא דמים. </w:t>
      </w:r>
      <w:r w:rsidR="00FA43C3">
        <w:rPr>
          <w:rFonts w:cs="Arial" w:hint="cs"/>
          <w:sz w:val="18"/>
          <w:szCs w:val="18"/>
          <w:rtl/>
        </w:rPr>
        <w:t xml:space="preserve">[הגה] </w:t>
      </w:r>
      <w:r w:rsidRPr="00FA43C3">
        <w:rPr>
          <w:rFonts w:cs="Arial"/>
          <w:sz w:val="18"/>
          <w:szCs w:val="18"/>
          <w:rtl/>
        </w:rPr>
        <w:t>וי"א דאף בחייה מוציא גוף הקרקע</w:t>
      </w:r>
      <w:r w:rsidR="00B907BA">
        <w:rPr>
          <w:rStyle w:val="a7"/>
          <w:rFonts w:cs="Arial"/>
          <w:sz w:val="18"/>
          <w:szCs w:val="18"/>
          <w:rtl/>
        </w:rPr>
        <w:footnoteReference w:id="1297"/>
      </w:r>
      <w:r w:rsidRPr="00FA43C3">
        <w:rPr>
          <w:rFonts w:cs="Arial"/>
          <w:sz w:val="18"/>
          <w:szCs w:val="18"/>
          <w:rtl/>
        </w:rPr>
        <w:t xml:space="preserve"> מיד הלוקח בלא דמים</w:t>
      </w:r>
      <w:r w:rsidR="00FA43C3">
        <w:rPr>
          <w:rFonts w:cs="Arial" w:hint="cs"/>
          <w:sz w:val="18"/>
          <w:szCs w:val="18"/>
          <w:rtl/>
        </w:rPr>
        <w:t xml:space="preserve"> </w:t>
      </w:r>
      <w:r w:rsidRPr="00FA43C3">
        <w:rPr>
          <w:rFonts w:cs="Arial"/>
          <w:sz w:val="18"/>
          <w:szCs w:val="18"/>
          <w:rtl/>
        </w:rPr>
        <w:t xml:space="preserve">(טור ורא"ש). </w:t>
      </w:r>
      <w:r w:rsidRPr="00EB79BF">
        <w:rPr>
          <w:rFonts w:cs="Arial"/>
          <w:rtl/>
        </w:rPr>
        <w:t>ואם הדמים שלקחה מהלקוחות קיימים בעצמם</w:t>
      </w:r>
      <w:r w:rsidR="00524552">
        <w:rPr>
          <w:rStyle w:val="a7"/>
          <w:rFonts w:cs="Arial"/>
          <w:rtl/>
        </w:rPr>
        <w:footnoteReference w:id="1298"/>
      </w:r>
      <w:r w:rsidRPr="00EB79BF">
        <w:rPr>
          <w:rFonts w:cs="Arial"/>
          <w:rtl/>
        </w:rPr>
        <w:t xml:space="preserve">, </w:t>
      </w:r>
      <w:r w:rsidR="00FA43C3">
        <w:rPr>
          <w:rFonts w:cs="Arial" w:hint="cs"/>
          <w:sz w:val="18"/>
          <w:szCs w:val="18"/>
          <w:rtl/>
        </w:rPr>
        <w:t xml:space="preserve">[הגה] </w:t>
      </w:r>
      <w:r w:rsidRPr="00FA43C3">
        <w:rPr>
          <w:rFonts w:cs="Arial"/>
          <w:sz w:val="18"/>
          <w:szCs w:val="18"/>
          <w:rtl/>
        </w:rPr>
        <w:t xml:space="preserve">או שנמצאו מעות בידה ונוכל לתלות שהם אלו (טור </w:t>
      </w:r>
      <w:r w:rsidR="00643A08">
        <w:rPr>
          <w:rFonts w:cs="Arial" w:hint="cs"/>
          <w:sz w:val="18"/>
          <w:szCs w:val="18"/>
          <w:rtl/>
        </w:rPr>
        <w:t>ו</w:t>
      </w:r>
      <w:r w:rsidRPr="00FA43C3">
        <w:rPr>
          <w:rFonts w:cs="Arial"/>
          <w:sz w:val="18"/>
          <w:szCs w:val="18"/>
          <w:rtl/>
        </w:rPr>
        <w:t>רא"ש)</w:t>
      </w:r>
      <w:r w:rsidRPr="00EB79BF">
        <w:rPr>
          <w:rFonts w:cs="Arial"/>
          <w:rtl/>
        </w:rPr>
        <w:t xml:space="preserve">, מחזירין ללקוחות, ואינו יכול לומר: שמא מציאה הן. </w:t>
      </w:r>
      <w:r w:rsidRPr="00FA43C3">
        <w:rPr>
          <w:rFonts w:cs="Arial"/>
          <w:sz w:val="18"/>
          <w:szCs w:val="18"/>
          <w:rtl/>
        </w:rPr>
        <w:t>הגה: נתאלמנה או נתגרשה, מכרה קיים</w:t>
      </w:r>
      <w:r w:rsidR="00524552">
        <w:rPr>
          <w:rStyle w:val="a7"/>
          <w:rFonts w:cs="Arial"/>
          <w:sz w:val="18"/>
          <w:szCs w:val="18"/>
          <w:rtl/>
        </w:rPr>
        <w:footnoteReference w:id="1299"/>
      </w:r>
      <w:r w:rsidRPr="00FA43C3">
        <w:rPr>
          <w:rFonts w:cs="Arial"/>
          <w:sz w:val="18"/>
          <w:szCs w:val="18"/>
          <w:rtl/>
        </w:rPr>
        <w:t xml:space="preserve"> (טור ורוב הפוסקים). וכל ימי חייה, אם הבעל רוצה לבנות או לסתור בקרקע, הלוקח</w:t>
      </w:r>
      <w:r w:rsidR="00113245">
        <w:rPr>
          <w:rStyle w:val="a7"/>
          <w:rFonts w:cs="Arial"/>
          <w:sz w:val="18"/>
          <w:szCs w:val="18"/>
          <w:rtl/>
        </w:rPr>
        <w:footnoteReference w:id="1300"/>
      </w:r>
      <w:r w:rsidRPr="00FA43C3">
        <w:rPr>
          <w:rFonts w:cs="Arial"/>
          <w:sz w:val="18"/>
          <w:szCs w:val="18"/>
          <w:rtl/>
        </w:rPr>
        <w:t xml:space="preserve"> יכול למחות</w:t>
      </w:r>
      <w:r w:rsidR="00F31F49">
        <w:rPr>
          <w:rStyle w:val="a7"/>
          <w:rFonts w:cs="Arial"/>
          <w:sz w:val="18"/>
          <w:szCs w:val="18"/>
          <w:rtl/>
        </w:rPr>
        <w:footnoteReference w:id="1301"/>
      </w:r>
      <w:r w:rsidRPr="00FA43C3">
        <w:rPr>
          <w:rFonts w:cs="Arial"/>
          <w:sz w:val="18"/>
          <w:szCs w:val="18"/>
          <w:rtl/>
        </w:rPr>
        <w:t xml:space="preserve"> (נ</w:t>
      </w:r>
      <w:r w:rsidR="00FA43C3">
        <w:rPr>
          <w:rFonts w:cs="Arial" w:hint="cs"/>
          <w:sz w:val="18"/>
          <w:szCs w:val="18"/>
          <w:rtl/>
        </w:rPr>
        <w:t>מוק</w:t>
      </w:r>
      <w:r w:rsidRPr="00FA43C3">
        <w:rPr>
          <w:rFonts w:cs="Arial"/>
          <w:sz w:val="18"/>
          <w:szCs w:val="18"/>
          <w:rtl/>
        </w:rPr>
        <w:t>"י). ואין חילוק בין אם מכרה הנכסים או הקדישה אותן</w:t>
      </w:r>
      <w:r w:rsidR="00F31F49">
        <w:rPr>
          <w:rStyle w:val="a7"/>
          <w:rFonts w:cs="Arial"/>
          <w:sz w:val="18"/>
          <w:szCs w:val="18"/>
          <w:rtl/>
        </w:rPr>
        <w:footnoteReference w:id="1302"/>
      </w:r>
      <w:r w:rsidRPr="00FA43C3">
        <w:rPr>
          <w:rFonts w:cs="Arial"/>
          <w:sz w:val="18"/>
          <w:szCs w:val="18"/>
          <w:rtl/>
        </w:rPr>
        <w:t xml:space="preserve"> (ת</w:t>
      </w:r>
      <w:r w:rsidR="00FA43C3">
        <w:rPr>
          <w:rFonts w:cs="Arial" w:hint="cs"/>
          <w:sz w:val="18"/>
          <w:szCs w:val="18"/>
          <w:rtl/>
        </w:rPr>
        <w:t>רוה"ד</w:t>
      </w:r>
      <w:r w:rsidRPr="00FA43C3">
        <w:rPr>
          <w:rFonts w:cs="Arial"/>
          <w:sz w:val="18"/>
          <w:szCs w:val="18"/>
          <w:rtl/>
        </w:rPr>
        <w:t>).</w:t>
      </w:r>
      <w:r w:rsidRPr="00EB79BF">
        <w:rPr>
          <w:rFonts w:cs="Arial"/>
          <w:rtl/>
        </w:rPr>
        <w:t xml:space="preserve"> </w:t>
      </w:r>
    </w:p>
    <w:p w14:paraId="25D0F37E" w14:textId="77777777" w:rsidR="00FA43C3" w:rsidRPr="00EB79BF" w:rsidRDefault="00FA43C3" w:rsidP="00EB79BF">
      <w:pPr>
        <w:rPr>
          <w:rFonts w:cs="Arial"/>
          <w:rtl/>
        </w:rPr>
      </w:pPr>
    </w:p>
    <w:p w14:paraId="63B27157" w14:textId="06ABC513" w:rsidR="00EB79BF" w:rsidRDefault="00EB79BF" w:rsidP="000F64D0">
      <w:pPr>
        <w:pStyle w:val="2"/>
        <w:rPr>
          <w:rtl/>
        </w:rPr>
      </w:pPr>
      <w:r w:rsidRPr="00EB79BF">
        <w:rPr>
          <w:rtl/>
        </w:rPr>
        <w:t>סעיף י</w:t>
      </w:r>
      <w:r w:rsidR="008A4B93">
        <w:rPr>
          <w:rFonts w:hint="cs"/>
          <w:rtl/>
        </w:rPr>
        <w:t xml:space="preserve">: בעל שמודה שאשתו מכרה את הנכ"מ ברשותו </w:t>
      </w:r>
      <w:r w:rsidR="008A4B93" w:rsidRPr="008A4B93">
        <w:rPr>
          <w:rFonts w:hint="cs"/>
          <w:sz w:val="20"/>
          <w:szCs w:val="20"/>
          <w:rtl/>
        </w:rPr>
        <w:t>(או שיש עדים שהרשה לה)</w:t>
      </w:r>
      <w:r w:rsidR="008A4B93">
        <w:rPr>
          <w:rFonts w:hint="cs"/>
          <w:rtl/>
        </w:rPr>
        <w:t xml:space="preserve">. </w:t>
      </w:r>
    </w:p>
    <w:p w14:paraId="6C0BC18E" w14:textId="71234BAF" w:rsidR="008A4B93" w:rsidRPr="008A4B93" w:rsidRDefault="008A4B93" w:rsidP="008A4B93">
      <w:pPr>
        <w:rPr>
          <w:u w:val="single"/>
          <w:rtl/>
        </w:rPr>
      </w:pPr>
      <w:r w:rsidRPr="008A4B93">
        <w:rPr>
          <w:rFonts w:hint="cs"/>
          <w:u w:val="single"/>
          <w:rtl/>
        </w:rPr>
        <w:t>בעל שמודה שאשתו מכרה את הנכ</w:t>
      </w:r>
      <w:r>
        <w:rPr>
          <w:rFonts w:hint="cs"/>
          <w:u w:val="single"/>
          <w:rtl/>
        </w:rPr>
        <w:t xml:space="preserve">סי </w:t>
      </w:r>
      <w:r w:rsidRPr="008A4B93">
        <w:rPr>
          <w:rFonts w:hint="cs"/>
          <w:u w:val="single"/>
          <w:rtl/>
        </w:rPr>
        <w:t>מ</w:t>
      </w:r>
      <w:r>
        <w:rPr>
          <w:rFonts w:hint="cs"/>
          <w:u w:val="single"/>
          <w:rtl/>
        </w:rPr>
        <w:t>לוג</w:t>
      </w:r>
      <w:r w:rsidRPr="008A4B93">
        <w:rPr>
          <w:rFonts w:hint="cs"/>
          <w:u w:val="single"/>
          <w:rtl/>
        </w:rPr>
        <w:t xml:space="preserve"> ברשותו </w:t>
      </w:r>
      <w:r w:rsidRPr="008A4B93">
        <w:rPr>
          <w:rFonts w:hint="cs"/>
          <w:sz w:val="16"/>
          <w:szCs w:val="16"/>
          <w:u w:val="single"/>
          <w:rtl/>
        </w:rPr>
        <w:t>(או שיש עדים שהרשה לה)</w:t>
      </w:r>
      <w:r w:rsidRPr="008A4B93">
        <w:rPr>
          <w:rFonts w:hint="cs"/>
          <w:u w:val="single"/>
          <w:rtl/>
        </w:rPr>
        <w:t>:</w:t>
      </w:r>
    </w:p>
    <w:p w14:paraId="0D47FA7A" w14:textId="1AAD1889" w:rsidR="008A4B93" w:rsidRPr="008A4B93" w:rsidRDefault="008A4B93" w:rsidP="009000E3">
      <w:pPr>
        <w:pStyle w:val="ab"/>
        <w:numPr>
          <w:ilvl w:val="0"/>
          <w:numId w:val="55"/>
        </w:numPr>
        <w:rPr>
          <w:rFonts w:cs="Arial"/>
          <w:rtl/>
        </w:rPr>
      </w:pPr>
      <w:r w:rsidRPr="000C687E">
        <w:rPr>
          <w:rFonts w:cs="Arial"/>
          <w:rtl/>
        </w:rPr>
        <w:t xml:space="preserve">ר' אפרים </w:t>
      </w:r>
      <w:r>
        <w:rPr>
          <w:rFonts w:cs="Arial" w:hint="cs"/>
          <w:sz w:val="16"/>
          <w:szCs w:val="16"/>
          <w:rtl/>
        </w:rPr>
        <w:t>(כ"כ בשמו הרשב"א [נ. סד"ה האשה] הטור הה"מ [פכ"ב מאישות שם] ורי"ו [</w:t>
      </w:r>
      <w:r w:rsidRPr="004D4D43">
        <w:rPr>
          <w:rFonts w:cs="Arial"/>
          <w:sz w:val="16"/>
          <w:szCs w:val="16"/>
          <w:rtl/>
        </w:rPr>
        <w:t>מישרים נכ"ג ח"ד נו ע"ד</w:t>
      </w:r>
      <w:r>
        <w:rPr>
          <w:rFonts w:cs="Arial" w:hint="cs"/>
          <w:sz w:val="16"/>
          <w:szCs w:val="16"/>
          <w:rtl/>
        </w:rPr>
        <w:t>])</w:t>
      </w:r>
      <w:r>
        <w:rPr>
          <w:rFonts w:cs="Arial" w:hint="cs"/>
          <w:rtl/>
        </w:rPr>
        <w:t xml:space="preserve">- </w:t>
      </w:r>
      <w:r w:rsidRPr="000C687E">
        <w:rPr>
          <w:rFonts w:cs="Arial"/>
          <w:rtl/>
        </w:rPr>
        <w:t>אם הבעל מודה</w:t>
      </w:r>
      <w:r>
        <w:rPr>
          <w:rFonts w:cs="Arial" w:hint="cs"/>
          <w:rtl/>
        </w:rPr>
        <w:t>,</w:t>
      </w:r>
      <w:r w:rsidRPr="000C687E">
        <w:rPr>
          <w:rFonts w:cs="Arial"/>
          <w:rtl/>
        </w:rPr>
        <w:t xml:space="preserve"> או שיש עדים שברשותו מכרה </w:t>
      </w:r>
      <w:r>
        <w:rPr>
          <w:rFonts w:cs="Arial" w:hint="cs"/>
          <w:rtl/>
        </w:rPr>
        <w:t xml:space="preserve">- </w:t>
      </w:r>
      <w:r w:rsidRPr="000C687E">
        <w:rPr>
          <w:rFonts w:cs="Arial"/>
          <w:rtl/>
        </w:rPr>
        <w:t>אינו מוציא מיד הלקוחות</w:t>
      </w:r>
      <w:r>
        <w:rPr>
          <w:rFonts w:cs="Arial" w:hint="cs"/>
          <w:rtl/>
        </w:rPr>
        <w:t>,</w:t>
      </w:r>
      <w:r w:rsidRPr="000C687E">
        <w:rPr>
          <w:rFonts w:cs="Arial"/>
          <w:rtl/>
        </w:rPr>
        <w:t xml:space="preserve"> דכשלוחו דמיא</w:t>
      </w:r>
      <w:r>
        <w:rPr>
          <w:rFonts w:cs="Arial" w:hint="cs"/>
          <w:rtl/>
        </w:rPr>
        <w:t>,</w:t>
      </w:r>
      <w:r w:rsidRPr="000C687E">
        <w:rPr>
          <w:rFonts w:cs="Arial"/>
          <w:rtl/>
        </w:rPr>
        <w:t xml:space="preserve"> ואי בעי לוקח מחרים עליה דבעל דלא עביד הערמה</w:t>
      </w:r>
      <w:r>
        <w:rPr>
          <w:rFonts w:cs="Arial" w:hint="cs"/>
          <w:rtl/>
        </w:rPr>
        <w:t>.</w:t>
      </w:r>
      <w:r w:rsidRPr="000C687E">
        <w:rPr>
          <w:rFonts w:cs="Arial"/>
          <w:rtl/>
        </w:rPr>
        <w:t xml:space="preserve"> ומאי דמכרה להנאתו ולדעתו</w:t>
      </w:r>
      <w:r w:rsidR="0056774C">
        <w:rPr>
          <w:rFonts w:cs="Arial" w:hint="cs"/>
          <w:rtl/>
        </w:rPr>
        <w:t>,</w:t>
      </w:r>
      <w:r w:rsidRPr="000C687E">
        <w:rPr>
          <w:rFonts w:cs="Arial"/>
          <w:rtl/>
        </w:rPr>
        <w:t xml:space="preserve"> אי לא מודה</w:t>
      </w:r>
      <w:r>
        <w:rPr>
          <w:rFonts w:cs="Arial" w:hint="cs"/>
          <w:rtl/>
        </w:rPr>
        <w:t xml:space="preserve"> -</w:t>
      </w:r>
      <w:r w:rsidRPr="000C687E">
        <w:rPr>
          <w:rFonts w:cs="Arial"/>
          <w:rtl/>
        </w:rPr>
        <w:t xml:space="preserve"> אית ליה דינא להחרים סתם בכך</w:t>
      </w:r>
      <w:r>
        <w:rPr>
          <w:rFonts w:cs="Arial" w:hint="cs"/>
          <w:sz w:val="16"/>
          <w:szCs w:val="16"/>
          <w:rtl/>
        </w:rPr>
        <w:t xml:space="preserve"> (ל' הטור בשמו)</w:t>
      </w:r>
      <w:r>
        <w:rPr>
          <w:rFonts w:cs="Arial" w:hint="cs"/>
          <w:rtl/>
        </w:rPr>
        <w:t>.</w:t>
      </w:r>
      <w:r w:rsidRPr="000C687E">
        <w:rPr>
          <w:rFonts w:cs="Arial"/>
          <w:rtl/>
        </w:rPr>
        <w:t xml:space="preserve"> </w:t>
      </w:r>
      <w:r w:rsidR="00AF2FC4" w:rsidRPr="001D67C0">
        <w:rPr>
          <w:rFonts w:hint="cs"/>
          <w:color w:val="E36C0A" w:themeColor="accent6" w:themeShade="BF"/>
          <w:rtl/>
        </w:rPr>
        <w:t>(וכ"פ בשו"ע)</w:t>
      </w:r>
    </w:p>
    <w:p w14:paraId="23741974" w14:textId="77777777" w:rsidR="00204ABA" w:rsidRDefault="008A4B93" w:rsidP="008A4B93">
      <w:pPr>
        <w:rPr>
          <w:rFonts w:cs="Arial"/>
          <w:rtl/>
        </w:rPr>
      </w:pPr>
      <w:r w:rsidRPr="00204ABA">
        <w:rPr>
          <w:rFonts w:cs="Arial"/>
          <w:u w:val="single"/>
          <w:rtl/>
        </w:rPr>
        <w:t>אשה שצותה בשעת מיתתה לתת לפלוני כך וכך ממלבושיה ונתרצה לה הבעל</w:t>
      </w:r>
      <w:r w:rsidRPr="00204ABA">
        <w:rPr>
          <w:rFonts w:cs="Arial" w:hint="cs"/>
          <w:u w:val="single"/>
          <w:rtl/>
        </w:rPr>
        <w:t>:</w:t>
      </w:r>
      <w:r w:rsidRPr="00D9440F">
        <w:rPr>
          <w:rFonts w:cs="Arial"/>
          <w:rtl/>
        </w:rPr>
        <w:t xml:space="preserve"> </w:t>
      </w:r>
    </w:p>
    <w:p w14:paraId="746746B9" w14:textId="31E20A3F" w:rsidR="00D9440F" w:rsidRPr="00AF2FC4" w:rsidRDefault="00AF2FC4" w:rsidP="009000E3">
      <w:pPr>
        <w:pStyle w:val="ab"/>
        <w:numPr>
          <w:ilvl w:val="0"/>
          <w:numId w:val="55"/>
        </w:numPr>
        <w:rPr>
          <w:rFonts w:cs="Arial"/>
          <w:rtl/>
        </w:rPr>
      </w:pPr>
      <w:r w:rsidRPr="00AF2FC4">
        <w:rPr>
          <w:rFonts w:cs="Arial" w:hint="cs"/>
          <w:rtl/>
        </w:rPr>
        <w:t xml:space="preserve">מהר"ם </w:t>
      </w:r>
      <w:r w:rsidRPr="00AF2FC4">
        <w:rPr>
          <w:rFonts w:cs="Arial" w:hint="cs"/>
          <w:sz w:val="16"/>
          <w:szCs w:val="16"/>
          <w:rtl/>
        </w:rPr>
        <w:t>(</w:t>
      </w:r>
      <w:r w:rsidRPr="00AF2FC4">
        <w:rPr>
          <w:rFonts w:cs="Arial"/>
          <w:sz w:val="16"/>
          <w:szCs w:val="16"/>
          <w:rtl/>
        </w:rPr>
        <w:t>ספר סיני וליקוטים סימן תרא</w:t>
      </w:r>
      <w:r>
        <w:rPr>
          <w:rFonts w:cs="Arial" w:hint="cs"/>
          <w:sz w:val="16"/>
          <w:szCs w:val="16"/>
          <w:rtl/>
        </w:rPr>
        <w:t>, הביאו המרדכי [</w:t>
      </w:r>
      <w:r w:rsidR="00D9440F" w:rsidRPr="00AF2FC4">
        <w:rPr>
          <w:rFonts w:cs="Arial"/>
          <w:sz w:val="16"/>
          <w:szCs w:val="16"/>
          <w:rtl/>
        </w:rPr>
        <w:t>ס"פ הזהב ב"מ סי' שיב</w:t>
      </w:r>
      <w:r>
        <w:rPr>
          <w:rFonts w:cs="Arial" w:hint="cs"/>
          <w:sz w:val="16"/>
          <w:szCs w:val="16"/>
          <w:rtl/>
        </w:rPr>
        <w:t>]</w:t>
      </w:r>
      <w:r w:rsidR="00D9440F" w:rsidRPr="00AF2FC4">
        <w:rPr>
          <w:rFonts w:cs="Arial"/>
          <w:sz w:val="16"/>
          <w:szCs w:val="16"/>
          <w:rtl/>
        </w:rPr>
        <w:t>)</w:t>
      </w:r>
      <w:r w:rsidR="00F31F49" w:rsidRPr="00AF2FC4">
        <w:rPr>
          <w:rFonts w:cs="Arial" w:hint="cs"/>
          <w:rtl/>
        </w:rPr>
        <w:t xml:space="preserve"> </w:t>
      </w:r>
      <w:r w:rsidR="00204ABA" w:rsidRPr="00AF2FC4">
        <w:rPr>
          <w:rFonts w:cs="Arial" w:hint="cs"/>
          <w:rtl/>
        </w:rPr>
        <w:t xml:space="preserve">- </w:t>
      </w:r>
      <w:r w:rsidR="00204ABA" w:rsidRPr="00AF2FC4">
        <w:rPr>
          <w:rFonts w:cs="Arial"/>
          <w:rtl/>
        </w:rPr>
        <w:t xml:space="preserve">ונשאל לרבינו מאיר על עסק ראובן שטען על שמעון, אשתך שהיתה דודתי בשעת פטירתה צותה לך ליתן לי ממלבושיה ומחפציה כך וכך לאחר מיתה ונתרצית לה, ואעיד לי עדים נאמנים ששמעו מפיך שצותה וניאותה לדבר. והשיב שמעון לראובן בנך בא בהרשאתך ופשרתי עמו, והשאר מחל לי בקניין גמור. והשיב ראובן לא היה דעתי ורצוני בפשרה כי אם בדין. והביא ראובן עדים בפנינו והעידו על פי החרם ששמעו מפי שמעון שהודה בפניהם שנתרצה לזוגתו בצוואתה. </w:t>
      </w:r>
      <w:r w:rsidR="0056774C">
        <w:rPr>
          <w:rFonts w:cs="Arial" w:hint="cs"/>
          <w:rtl/>
        </w:rPr>
        <w:t xml:space="preserve">     </w:t>
      </w:r>
      <w:r w:rsidR="00204ABA" w:rsidRPr="00AF2FC4">
        <w:rPr>
          <w:rFonts w:cs="Arial"/>
          <w:rtl/>
        </w:rPr>
        <w:t>והשיב</w:t>
      </w:r>
      <w:r w:rsidR="0056774C">
        <w:rPr>
          <w:rFonts w:cs="Arial" w:hint="cs"/>
          <w:rtl/>
        </w:rPr>
        <w:t>:</w:t>
      </w:r>
      <w:r w:rsidR="00204ABA" w:rsidRPr="00AF2FC4">
        <w:rPr>
          <w:rFonts w:cs="Arial"/>
          <w:rtl/>
        </w:rPr>
        <w:t xml:space="preserve"> אם ראובן אינו עני שיש לו מאתיים זוז, יכול שמעון לומר אע</w:t>
      </w:r>
      <w:r w:rsidR="0056774C">
        <w:rPr>
          <w:rFonts w:cs="Arial" w:hint="cs"/>
          <w:rtl/>
        </w:rPr>
        <w:t>"</w:t>
      </w:r>
      <w:r w:rsidR="00204ABA" w:rsidRPr="00AF2FC4">
        <w:rPr>
          <w:rFonts w:cs="Arial"/>
          <w:rtl/>
        </w:rPr>
        <w:t xml:space="preserve">פ שאמרתי שאני רוצה לתת לו עכשיו חוזרני בי, כדאמר פרק הזהב </w:t>
      </w:r>
      <w:r w:rsidR="00204ABA" w:rsidRPr="00AF2FC4">
        <w:rPr>
          <w:rFonts w:cs="Arial" w:hint="cs"/>
          <w:rtl/>
        </w:rPr>
        <w:t>(</w:t>
      </w:r>
      <w:r w:rsidR="00204ABA" w:rsidRPr="00AF2FC4">
        <w:rPr>
          <w:rFonts w:cs="Arial"/>
          <w:rtl/>
        </w:rPr>
        <w:t>ב"מ מט</w:t>
      </w:r>
      <w:r w:rsidR="00204ABA" w:rsidRPr="00AF2FC4">
        <w:rPr>
          <w:rFonts w:cs="Arial" w:hint="cs"/>
          <w:rtl/>
        </w:rPr>
        <w:t>.)</w:t>
      </w:r>
      <w:r w:rsidR="00204ABA" w:rsidRPr="00AF2FC4">
        <w:rPr>
          <w:rFonts w:cs="Arial"/>
          <w:rtl/>
        </w:rPr>
        <w:t xml:space="preserve"> האומר לחבירו מתנה אני נותן לך מותר לחזור בו במתנה מרובה, ואפילו במתנה מועטת נמי דנהי דאסור לחזור משום שארית ישראל לא ידברו כזב, מכל מקום אי בעי למיהדר </w:t>
      </w:r>
      <w:r w:rsidR="00204ABA" w:rsidRPr="00AF2FC4">
        <w:rPr>
          <w:rFonts w:cs="Arial"/>
          <w:rtl/>
        </w:rPr>
        <w:lastRenderedPageBreak/>
        <w:t xml:space="preserve">לא מצינו למכפייה לקיים דברו. אבל אם ראובן איש עני הוא שאין לו מאתיים זוז, כופין את שמעון לקיים את דברו, דאמרינן בירושלמי עלה דההיא פרק הזהב </w:t>
      </w:r>
      <w:r w:rsidR="00204ABA" w:rsidRPr="00AF2FC4">
        <w:rPr>
          <w:rFonts w:cs="Arial" w:hint="cs"/>
          <w:rtl/>
        </w:rPr>
        <w:t>(</w:t>
      </w:r>
      <w:r w:rsidR="00204ABA" w:rsidRPr="00AF2FC4">
        <w:rPr>
          <w:rFonts w:cs="Arial"/>
          <w:rtl/>
        </w:rPr>
        <w:t>ב"מ פ"ד ה"ב</w:t>
      </w:r>
      <w:r w:rsidR="00204ABA" w:rsidRPr="00AF2FC4">
        <w:rPr>
          <w:rFonts w:cs="Arial" w:hint="cs"/>
          <w:rtl/>
        </w:rPr>
        <w:t>)</w:t>
      </w:r>
      <w:r w:rsidR="00204ABA" w:rsidRPr="00AF2FC4">
        <w:rPr>
          <w:rFonts w:cs="Arial"/>
          <w:rtl/>
        </w:rPr>
        <w:t xml:space="preserve"> הדא דתימא בעשיר אבל בעני נעשה נדר, וכיון דנעשה נדר כופין את שמעון לקיים לו דכתיב ככל היוצא מפיו יעשה, וכמה לאוין וכמה עשין במצות נדרים, ואמרינן בפרק הזרוע </w:t>
      </w:r>
      <w:r w:rsidR="00204ABA" w:rsidRPr="00AF2FC4">
        <w:rPr>
          <w:rFonts w:cs="Arial" w:hint="cs"/>
          <w:rtl/>
        </w:rPr>
        <w:t>(</w:t>
      </w:r>
      <w:r w:rsidR="00204ABA" w:rsidRPr="00AF2FC4">
        <w:rPr>
          <w:rFonts w:cs="Arial"/>
          <w:rtl/>
        </w:rPr>
        <w:t>חולין קלב</w:t>
      </w:r>
      <w:r w:rsidR="00204ABA" w:rsidRPr="00AF2FC4">
        <w:rPr>
          <w:rFonts w:cs="Arial" w:hint="cs"/>
          <w:rtl/>
        </w:rPr>
        <w:t xml:space="preserve">:) </w:t>
      </w:r>
      <w:r w:rsidR="00204ABA" w:rsidRPr="00AF2FC4">
        <w:rPr>
          <w:rFonts w:cs="Arial"/>
          <w:rtl/>
        </w:rPr>
        <w:t xml:space="preserve">כל מצות עשה כגון אומרים לו עשה סוכה ואינו עושה כופין אותו. ועוד יש בידי תשובה מר"י בר מנחם </w:t>
      </w:r>
      <w:r w:rsidRPr="00AF2FC4">
        <w:rPr>
          <w:rFonts w:cs="Arial" w:hint="cs"/>
          <w:rtl/>
        </w:rPr>
        <w:t>(</w:t>
      </w:r>
      <w:r w:rsidR="00204ABA" w:rsidRPr="00AF2FC4">
        <w:rPr>
          <w:rFonts w:cs="Arial"/>
          <w:rtl/>
        </w:rPr>
        <w:t>ד"פ סי' תתקכב</w:t>
      </w:r>
      <w:r w:rsidRPr="00AF2FC4">
        <w:rPr>
          <w:rFonts w:cs="Arial" w:hint="cs"/>
          <w:rtl/>
        </w:rPr>
        <w:t>)</w:t>
      </w:r>
      <w:r w:rsidR="00204ABA" w:rsidRPr="00AF2FC4">
        <w:rPr>
          <w:rFonts w:cs="Arial"/>
          <w:rtl/>
        </w:rPr>
        <w:t xml:space="preserve"> שהעיד על רבינו יוסף טוב עלם שהיה מוציא ממון ממי שתקע כף ליתן לחבירו כך וכך</w:t>
      </w:r>
      <w:r w:rsidRPr="00AF2FC4">
        <w:rPr>
          <w:rFonts w:cs="Arial" w:hint="cs"/>
          <w:sz w:val="16"/>
          <w:szCs w:val="16"/>
          <w:rtl/>
        </w:rPr>
        <w:t xml:space="preserve"> (ל' מהר"ם)</w:t>
      </w:r>
      <w:r w:rsidR="00204ABA" w:rsidRPr="00AF2FC4">
        <w:rPr>
          <w:rFonts w:cs="Arial"/>
          <w:rtl/>
        </w:rPr>
        <w:t>.</w:t>
      </w:r>
      <w:r w:rsidRPr="00AF2FC4">
        <w:rPr>
          <w:rFonts w:cs="Arial" w:hint="cs"/>
          <w:color w:val="00B0F0"/>
          <w:rtl/>
        </w:rPr>
        <w:t xml:space="preserve"> </w:t>
      </w:r>
      <w:r w:rsidRPr="000A6C7C">
        <w:rPr>
          <w:rFonts w:cs="Arial" w:hint="cs"/>
          <w:color w:val="00B0F0"/>
          <w:rtl/>
        </w:rPr>
        <w:t>(וכ"פ הרמ"א)</w:t>
      </w:r>
    </w:p>
    <w:p w14:paraId="14EFA103" w14:textId="47AFCE74" w:rsidR="00AF2FC4" w:rsidRPr="00F613E0" w:rsidRDefault="00AF2FC4" w:rsidP="00AF2FC4">
      <w:pPr>
        <w:rPr>
          <w:rFonts w:cs="Arial"/>
          <w:u w:val="single"/>
        </w:rPr>
      </w:pPr>
      <w:r w:rsidRPr="00F613E0">
        <w:rPr>
          <w:rFonts w:cs="Arial"/>
          <w:u w:val="single"/>
          <w:rtl/>
        </w:rPr>
        <w:t xml:space="preserve">אשה שמכרה נכסי מלוג </w:t>
      </w:r>
      <w:r w:rsidR="00F97626">
        <w:rPr>
          <w:rFonts w:cs="Arial"/>
          <w:u w:val="single"/>
          <w:rtl/>
        </w:rPr>
        <w:t>-</w:t>
      </w:r>
      <w:r>
        <w:rPr>
          <w:rFonts w:cs="Arial" w:hint="cs"/>
          <w:u w:val="single"/>
          <w:rtl/>
        </w:rPr>
        <w:t xml:space="preserve"> </w:t>
      </w:r>
      <w:r w:rsidRPr="00F613E0">
        <w:rPr>
          <w:rFonts w:cs="Arial"/>
          <w:u w:val="single"/>
          <w:rtl/>
        </w:rPr>
        <w:t>ו</w:t>
      </w:r>
      <w:r>
        <w:rPr>
          <w:rFonts w:cs="Arial" w:hint="cs"/>
          <w:u w:val="single"/>
          <w:rtl/>
        </w:rPr>
        <w:t xml:space="preserve">ראה </w:t>
      </w:r>
      <w:r w:rsidRPr="00F613E0">
        <w:rPr>
          <w:rFonts w:cs="Arial"/>
          <w:u w:val="single"/>
          <w:rtl/>
        </w:rPr>
        <w:t xml:space="preserve">בעלה </w:t>
      </w:r>
      <w:r>
        <w:rPr>
          <w:rFonts w:cs="Arial" w:hint="cs"/>
          <w:u w:val="single"/>
          <w:rtl/>
        </w:rPr>
        <w:t>ו</w:t>
      </w:r>
      <w:r w:rsidRPr="00F613E0">
        <w:rPr>
          <w:rFonts w:cs="Arial"/>
          <w:u w:val="single"/>
          <w:rtl/>
        </w:rPr>
        <w:t>שתק</w:t>
      </w:r>
      <w:r w:rsidRPr="00F613E0">
        <w:rPr>
          <w:rFonts w:cs="Arial" w:hint="cs"/>
          <w:u w:val="single"/>
          <w:rtl/>
        </w:rPr>
        <w:t>:</w:t>
      </w:r>
      <w:r>
        <w:rPr>
          <w:rFonts w:cs="Arial" w:hint="cs"/>
          <w:sz w:val="16"/>
          <w:szCs w:val="16"/>
          <w:rtl/>
        </w:rPr>
        <w:t xml:space="preserve"> </w:t>
      </w:r>
      <w:r w:rsidRPr="005759F3">
        <w:rPr>
          <w:rFonts w:cs="Arial"/>
          <w:sz w:val="16"/>
          <w:szCs w:val="16"/>
          <w:rtl/>
        </w:rPr>
        <w:t>(</w:t>
      </w:r>
      <w:r w:rsidRPr="005759F3">
        <w:rPr>
          <w:rFonts w:cs="Arial" w:hint="cs"/>
          <w:sz w:val="16"/>
          <w:szCs w:val="16"/>
          <w:rtl/>
        </w:rPr>
        <w:t xml:space="preserve">דרכ"מ אות </w:t>
      </w:r>
      <w:r w:rsidRPr="005759F3">
        <w:rPr>
          <w:rFonts w:cs="Arial"/>
          <w:sz w:val="16"/>
          <w:szCs w:val="16"/>
          <w:rtl/>
        </w:rPr>
        <w:t>ז)</w:t>
      </w:r>
    </w:p>
    <w:p w14:paraId="48009B53" w14:textId="379B8BC4" w:rsidR="00AF2FC4" w:rsidRPr="00F613E0" w:rsidRDefault="00AF2FC4" w:rsidP="009000E3">
      <w:pPr>
        <w:pStyle w:val="ab"/>
        <w:numPr>
          <w:ilvl w:val="0"/>
          <w:numId w:val="55"/>
        </w:numPr>
        <w:rPr>
          <w:rFonts w:cs="Arial"/>
          <w:rtl/>
        </w:rPr>
      </w:pPr>
      <w:r w:rsidRPr="00F613E0">
        <w:rPr>
          <w:rFonts w:cs="Arial"/>
          <w:rtl/>
        </w:rPr>
        <w:t xml:space="preserve">רא"ש </w:t>
      </w:r>
      <w:r w:rsidRPr="00F613E0">
        <w:rPr>
          <w:rFonts w:cs="Arial" w:hint="cs"/>
          <w:sz w:val="16"/>
          <w:szCs w:val="16"/>
          <w:rtl/>
        </w:rPr>
        <w:t>(</w:t>
      </w:r>
      <w:r w:rsidRPr="00F613E0">
        <w:rPr>
          <w:rFonts w:cs="Arial"/>
          <w:sz w:val="16"/>
          <w:szCs w:val="16"/>
          <w:rtl/>
        </w:rPr>
        <w:t>כלל מ סי' ב)</w:t>
      </w:r>
      <w:r>
        <w:rPr>
          <w:rFonts w:cs="Arial" w:hint="cs"/>
          <w:rtl/>
        </w:rPr>
        <w:t>-</w:t>
      </w:r>
      <w:r w:rsidRPr="00F613E0">
        <w:rPr>
          <w:rFonts w:cs="Arial"/>
          <w:rtl/>
        </w:rPr>
        <w:t xml:space="preserve"> אשה שמכרה בנכסי מלוג ובעלה שותק לא איבד משום זה זכותו</w:t>
      </w:r>
      <w:r>
        <w:rPr>
          <w:rFonts w:cs="Arial" w:hint="cs"/>
          <w:rtl/>
        </w:rPr>
        <w:t>.</w:t>
      </w:r>
      <w:r w:rsidRPr="00F613E0">
        <w:rPr>
          <w:rFonts w:cs="Arial"/>
          <w:rtl/>
        </w:rPr>
        <w:t xml:space="preserve"> </w:t>
      </w:r>
      <w:r w:rsidRPr="000A6C7C">
        <w:rPr>
          <w:rFonts w:cs="Arial" w:hint="cs"/>
          <w:color w:val="00B0F0"/>
          <w:rtl/>
        </w:rPr>
        <w:t>(וכ"פ הרמ"א)</w:t>
      </w:r>
    </w:p>
    <w:p w14:paraId="574083FE" w14:textId="4699CA38" w:rsidR="00EB79BF" w:rsidRDefault="00EB79BF" w:rsidP="00EB79BF">
      <w:pPr>
        <w:rPr>
          <w:rFonts w:cs="Arial"/>
          <w:rtl/>
        </w:rPr>
      </w:pPr>
      <w:r w:rsidRPr="003024E5">
        <w:rPr>
          <w:rFonts w:asciiTheme="minorBidi" w:hAnsiTheme="minorBidi"/>
          <w:b/>
          <w:bCs/>
          <w:color w:val="000000"/>
          <w:sz w:val="28"/>
          <w:szCs w:val="28"/>
          <w:u w:val="single"/>
          <w:rtl/>
        </w:rPr>
        <w:t>שו"ע:</w:t>
      </w:r>
    </w:p>
    <w:p w14:paraId="4FB2FEAE" w14:textId="3E90217D" w:rsidR="00EB79BF" w:rsidRDefault="00EB79BF" w:rsidP="00EB79BF">
      <w:pPr>
        <w:rPr>
          <w:rFonts w:cs="Arial"/>
          <w:sz w:val="18"/>
          <w:szCs w:val="18"/>
          <w:rtl/>
        </w:rPr>
      </w:pPr>
      <w:r w:rsidRPr="00EB79BF">
        <w:rPr>
          <w:rFonts w:cs="Arial"/>
          <w:rtl/>
        </w:rPr>
        <w:t>ואם הבעל מודה, או שיש עדים</w:t>
      </w:r>
      <w:r w:rsidR="008A4B93">
        <w:rPr>
          <w:rFonts w:cs="Arial" w:hint="cs"/>
          <w:rtl/>
        </w:rPr>
        <w:t>,</w:t>
      </w:r>
      <w:r w:rsidRPr="00EB79BF">
        <w:rPr>
          <w:rFonts w:cs="Arial"/>
          <w:rtl/>
        </w:rPr>
        <w:t xml:space="preserve"> שברשותו מכרה, אינו מוציא מיד הלקוחות, דכשלוחו דמיא</w:t>
      </w:r>
      <w:r w:rsidR="00AF2FC4">
        <w:rPr>
          <w:rFonts w:cs="Arial" w:hint="cs"/>
          <w:rtl/>
        </w:rPr>
        <w:t>.</w:t>
      </w:r>
      <w:r w:rsidRPr="00EB79BF">
        <w:rPr>
          <w:rFonts w:cs="Arial"/>
          <w:rtl/>
        </w:rPr>
        <w:t xml:space="preserve"> ואי בעי לוקח הי</w:t>
      </w:r>
      <w:r w:rsidR="008A4B93">
        <w:rPr>
          <w:rFonts w:cs="Arial" w:hint="cs"/>
          <w:rtl/>
        </w:rPr>
        <w:t>ה</w:t>
      </w:r>
      <w:r w:rsidRPr="00EB79BF">
        <w:rPr>
          <w:rFonts w:cs="Arial"/>
          <w:rtl/>
        </w:rPr>
        <w:t xml:space="preserve"> מחרים</w:t>
      </w:r>
      <w:r w:rsidR="00FA3C79">
        <w:rPr>
          <w:rStyle w:val="a7"/>
          <w:rFonts w:cs="Arial"/>
          <w:rtl/>
        </w:rPr>
        <w:footnoteReference w:id="1303"/>
      </w:r>
      <w:r w:rsidRPr="00EB79BF">
        <w:rPr>
          <w:rFonts w:cs="Arial"/>
          <w:rtl/>
        </w:rPr>
        <w:t xml:space="preserve"> שלא מכרה מדעתו. </w:t>
      </w:r>
      <w:r w:rsidRPr="00FA43C3">
        <w:rPr>
          <w:rFonts w:cs="Arial"/>
          <w:sz w:val="18"/>
          <w:szCs w:val="18"/>
          <w:rtl/>
        </w:rPr>
        <w:t xml:space="preserve">הגה: ראה שמכרה ושתק לה, לא אבד משום זה זכותו </w:t>
      </w:r>
      <w:r w:rsidR="00FA43C3">
        <w:rPr>
          <w:rFonts w:cs="Arial" w:hint="cs"/>
          <w:sz w:val="18"/>
          <w:szCs w:val="18"/>
          <w:rtl/>
        </w:rPr>
        <w:t>(</w:t>
      </w:r>
      <w:r w:rsidRPr="00FA43C3">
        <w:rPr>
          <w:rFonts w:cs="Arial"/>
          <w:sz w:val="18"/>
          <w:szCs w:val="18"/>
          <w:rtl/>
        </w:rPr>
        <w:t>רא"ש)</w:t>
      </w:r>
      <w:r w:rsidR="00AF2FC4">
        <w:rPr>
          <w:rFonts w:cs="Arial" w:hint="cs"/>
          <w:sz w:val="18"/>
          <w:szCs w:val="18"/>
          <w:rtl/>
        </w:rPr>
        <w:t>.</w:t>
      </w:r>
      <w:r w:rsidRPr="00FA43C3">
        <w:rPr>
          <w:rFonts w:cs="Arial"/>
          <w:sz w:val="18"/>
          <w:szCs w:val="18"/>
          <w:rtl/>
        </w:rPr>
        <w:t xml:space="preserve"> צותה בעת חליה לתת כך וכך ממלבושיה, ונתרצה הבעל</w:t>
      </w:r>
      <w:r w:rsidR="00AA35C2">
        <w:rPr>
          <w:rStyle w:val="a7"/>
          <w:rFonts w:cs="Arial"/>
          <w:sz w:val="18"/>
          <w:szCs w:val="18"/>
          <w:rtl/>
        </w:rPr>
        <w:footnoteReference w:id="1304"/>
      </w:r>
      <w:r w:rsidR="00AA35C2">
        <w:rPr>
          <w:rFonts w:cs="Arial" w:hint="cs"/>
          <w:sz w:val="18"/>
          <w:szCs w:val="18"/>
          <w:rtl/>
        </w:rPr>
        <w:t>,</w:t>
      </w:r>
      <w:r w:rsidRPr="00FA43C3">
        <w:rPr>
          <w:rFonts w:cs="Arial"/>
          <w:sz w:val="18"/>
          <w:szCs w:val="18"/>
          <w:rtl/>
        </w:rPr>
        <w:t xml:space="preserve"> אם נתנה לעניים, אינו יכול לחזור בו</w:t>
      </w:r>
      <w:r w:rsidR="00AF2FC4">
        <w:rPr>
          <w:rFonts w:cs="Arial" w:hint="cs"/>
          <w:sz w:val="18"/>
          <w:szCs w:val="18"/>
          <w:rtl/>
        </w:rPr>
        <w:t>.</w:t>
      </w:r>
      <w:r w:rsidRPr="00FA43C3">
        <w:rPr>
          <w:rFonts w:cs="Arial"/>
          <w:sz w:val="18"/>
          <w:szCs w:val="18"/>
          <w:rtl/>
        </w:rPr>
        <w:t xml:space="preserve"> ואם לעשירים, יכול לחזור בו</w:t>
      </w:r>
      <w:r w:rsidR="00FA3C79">
        <w:rPr>
          <w:rStyle w:val="a7"/>
          <w:rFonts w:cs="Arial"/>
          <w:sz w:val="18"/>
          <w:szCs w:val="18"/>
          <w:rtl/>
        </w:rPr>
        <w:footnoteReference w:id="1305"/>
      </w:r>
      <w:r w:rsidRPr="00FA43C3">
        <w:rPr>
          <w:rFonts w:cs="Arial"/>
          <w:sz w:val="18"/>
          <w:szCs w:val="18"/>
          <w:rtl/>
        </w:rPr>
        <w:t xml:space="preserve"> (מהר"ם). וע' לעיל סימן פ"ו אם מכרה או משכנה מטלטלים. </w:t>
      </w:r>
    </w:p>
    <w:p w14:paraId="23FDADE3" w14:textId="77777777" w:rsidR="00FA43C3" w:rsidRPr="00EB79BF" w:rsidRDefault="00FA43C3" w:rsidP="00EB79BF">
      <w:pPr>
        <w:rPr>
          <w:rFonts w:cs="Arial"/>
          <w:rtl/>
        </w:rPr>
      </w:pPr>
    </w:p>
    <w:p w14:paraId="20E13E84" w14:textId="58ADC3EB" w:rsidR="00EB79BF" w:rsidRDefault="00EB79BF" w:rsidP="000F64D0">
      <w:pPr>
        <w:pStyle w:val="2"/>
        <w:rPr>
          <w:rtl/>
        </w:rPr>
      </w:pPr>
      <w:r w:rsidRPr="00EB79BF">
        <w:rPr>
          <w:rtl/>
        </w:rPr>
        <w:t>סעיף יא</w:t>
      </w:r>
      <w:r w:rsidR="00747D61">
        <w:rPr>
          <w:rFonts w:hint="cs"/>
          <w:rtl/>
        </w:rPr>
        <w:t>: אשה שמכרה לאחר שנשאת נכסים שאינם ידועים.</w:t>
      </w:r>
    </w:p>
    <w:p w14:paraId="12C4C7D8" w14:textId="7F3D024A" w:rsidR="00576970" w:rsidRPr="00984F6F" w:rsidRDefault="00576970" w:rsidP="00576970">
      <w:pPr>
        <w:rPr>
          <w:rFonts w:cs="Arial"/>
          <w:rtl/>
        </w:rPr>
      </w:pPr>
      <w:r w:rsidRPr="00CB7822">
        <w:rPr>
          <w:rFonts w:cs="Arial" w:hint="cs"/>
          <w:b/>
          <w:bCs/>
          <w:rtl/>
        </w:rPr>
        <w:t xml:space="preserve">כתובות </w:t>
      </w:r>
      <w:r w:rsidRPr="00CB7822">
        <w:rPr>
          <w:rFonts w:cs="Arial" w:hint="cs"/>
          <w:b/>
          <w:bCs/>
          <w:sz w:val="16"/>
          <w:szCs w:val="16"/>
          <w:rtl/>
        </w:rPr>
        <w:t xml:space="preserve">(פ' האשה שנפלו) </w:t>
      </w:r>
      <w:r w:rsidRPr="00CB7822">
        <w:rPr>
          <w:rFonts w:cs="Arial" w:hint="cs"/>
          <w:b/>
          <w:bCs/>
          <w:rtl/>
        </w:rPr>
        <w:t>עח</w:t>
      </w:r>
      <w:r w:rsidR="003A37AE">
        <w:rPr>
          <w:rStyle w:val="a7"/>
          <w:rFonts w:cs="Arial"/>
          <w:b/>
          <w:bCs/>
          <w:rtl/>
        </w:rPr>
        <w:footnoteReference w:id="1306"/>
      </w:r>
      <w:r w:rsidRPr="00CB7822">
        <w:rPr>
          <w:rFonts w:cs="Arial" w:hint="cs"/>
          <w:b/>
          <w:bCs/>
          <w:rtl/>
        </w:rPr>
        <w:t xml:space="preserve"> ע"</w:t>
      </w:r>
      <w:r>
        <w:rPr>
          <w:rFonts w:cs="Arial" w:hint="cs"/>
          <w:b/>
          <w:bCs/>
          <w:rtl/>
        </w:rPr>
        <w:t>א</w:t>
      </w:r>
      <w:r w:rsidRPr="00CB7822">
        <w:rPr>
          <w:rFonts w:cs="Arial" w:hint="cs"/>
          <w:b/>
          <w:bCs/>
          <w:rtl/>
        </w:rPr>
        <w:t>:</w:t>
      </w:r>
      <w:r w:rsidRPr="00CB7822">
        <w:rPr>
          <w:rFonts w:cs="Arial" w:hint="cs"/>
          <w:rtl/>
        </w:rPr>
        <w:t xml:space="preserve"> </w:t>
      </w:r>
      <w:r w:rsidRPr="000A354D">
        <w:rPr>
          <w:rFonts w:cs="Arial"/>
          <w:u w:val="double"/>
          <w:rtl/>
        </w:rPr>
        <w:t>מתני'</w:t>
      </w:r>
      <w:r>
        <w:rPr>
          <w:rFonts w:cs="Arial" w:hint="cs"/>
          <w:rtl/>
        </w:rPr>
        <w:t>:</w:t>
      </w:r>
      <w:r w:rsidRPr="000A354D">
        <w:rPr>
          <w:rFonts w:cs="Arial"/>
          <w:rtl/>
        </w:rPr>
        <w:t xml:space="preserve"> האשה שנפלו לה נכסים</w:t>
      </w:r>
      <w:r>
        <w:rPr>
          <w:rFonts w:cs="Arial" w:hint="cs"/>
          <w:rtl/>
        </w:rPr>
        <w:t>...</w:t>
      </w:r>
      <w:r w:rsidRPr="00E85B8C">
        <w:rPr>
          <w:rtl/>
        </w:rPr>
        <w:t xml:space="preserve"> </w:t>
      </w:r>
      <w:r w:rsidRPr="00E85B8C">
        <w:rPr>
          <w:rFonts w:cs="Arial"/>
          <w:rtl/>
        </w:rPr>
        <w:t xml:space="preserve">עד שלא נשאת ונשאת, </w:t>
      </w:r>
      <w:r w:rsidRPr="00E85B8C">
        <w:rPr>
          <w:rFonts w:cs="Arial"/>
          <w:u w:val="single"/>
          <w:rtl/>
        </w:rPr>
        <w:t>ר"ג אומר</w:t>
      </w:r>
      <w:r w:rsidRPr="00E85B8C">
        <w:rPr>
          <w:rFonts w:cs="Arial"/>
          <w:rtl/>
        </w:rPr>
        <w:t xml:space="preserve">: אם מכרה ונתנה - קיים. </w:t>
      </w:r>
      <w:r w:rsidRPr="00E85B8C">
        <w:rPr>
          <w:rFonts w:cs="Arial"/>
          <w:u w:val="single"/>
          <w:rtl/>
        </w:rPr>
        <w:t>א"ר חנינא בן עקביא</w:t>
      </w:r>
      <w:r>
        <w:rPr>
          <w:rFonts w:cs="Arial" w:hint="cs"/>
          <w:rtl/>
        </w:rPr>
        <w:t>:</w:t>
      </w:r>
      <w:r w:rsidRPr="00E85B8C">
        <w:rPr>
          <w:rFonts w:cs="Arial"/>
          <w:rtl/>
        </w:rPr>
        <w:t xml:space="preserve"> אמרו לפני ר"ג</w:t>
      </w:r>
      <w:r>
        <w:rPr>
          <w:rFonts w:cs="Arial" w:hint="cs"/>
          <w:rtl/>
        </w:rPr>
        <w:t>,</w:t>
      </w:r>
      <w:r w:rsidRPr="00E85B8C">
        <w:rPr>
          <w:rFonts w:cs="Arial"/>
          <w:rtl/>
        </w:rPr>
        <w:t xml:space="preserve"> הואיל וזכה באשה לא יזכה בנכסים? אמר להם</w:t>
      </w:r>
      <w:r>
        <w:rPr>
          <w:rFonts w:cs="Arial" w:hint="cs"/>
          <w:rtl/>
        </w:rPr>
        <w:t>,</w:t>
      </w:r>
      <w:r w:rsidRPr="00E85B8C">
        <w:rPr>
          <w:rFonts w:cs="Arial"/>
          <w:rtl/>
        </w:rPr>
        <w:t xml:space="preserve"> על החדשים אנו בושים, אלא שאתם מגלגלין עלינו הישנים. </w:t>
      </w:r>
      <w:r w:rsidRPr="00764B02">
        <w:rPr>
          <w:rFonts w:cs="Arial"/>
          <w:u w:val="single"/>
          <w:rtl/>
        </w:rPr>
        <w:t>ר"ש</w:t>
      </w:r>
      <w:r w:rsidRPr="00764B02">
        <w:rPr>
          <w:rFonts w:cs="Arial"/>
          <w:rtl/>
        </w:rPr>
        <w:t xml:space="preserve"> חולק</w:t>
      </w:r>
      <w:r w:rsidRPr="00E85B8C">
        <w:rPr>
          <w:rFonts w:cs="Arial"/>
          <w:rtl/>
        </w:rPr>
        <w:t xml:space="preserve"> בין נכסים לנכסים, נכסים הידועין לבעל </w:t>
      </w:r>
      <w:r>
        <w:rPr>
          <w:rFonts w:cs="Arial" w:hint="cs"/>
          <w:rtl/>
        </w:rPr>
        <w:t xml:space="preserve">- </w:t>
      </w:r>
      <w:r w:rsidRPr="00E85B8C">
        <w:rPr>
          <w:rFonts w:cs="Arial"/>
          <w:rtl/>
        </w:rPr>
        <w:t xml:space="preserve">לא תמכור, ואם מכרה ונתנה </w:t>
      </w:r>
      <w:r>
        <w:rPr>
          <w:rFonts w:cs="Arial" w:hint="cs"/>
          <w:rtl/>
        </w:rPr>
        <w:t>-</w:t>
      </w:r>
      <w:r w:rsidRPr="00E85B8C">
        <w:rPr>
          <w:rFonts w:cs="Arial"/>
          <w:rtl/>
        </w:rPr>
        <w:t xml:space="preserve"> בטל</w:t>
      </w:r>
      <w:r>
        <w:rPr>
          <w:rFonts w:cs="Arial" w:hint="cs"/>
          <w:rtl/>
        </w:rPr>
        <w:t>.</w:t>
      </w:r>
      <w:r w:rsidRPr="00E85B8C">
        <w:rPr>
          <w:rFonts w:cs="Arial"/>
          <w:rtl/>
        </w:rPr>
        <w:t xml:space="preserve"> שאינן ידועין לבעל </w:t>
      </w:r>
      <w:r>
        <w:rPr>
          <w:rFonts w:cs="Arial" w:hint="cs"/>
          <w:rtl/>
        </w:rPr>
        <w:t xml:space="preserve">- </w:t>
      </w:r>
      <w:r w:rsidRPr="00E85B8C">
        <w:rPr>
          <w:rFonts w:cs="Arial"/>
          <w:rtl/>
        </w:rPr>
        <w:t>לא תמכור, ואם מכרה ונתנה - קיים</w:t>
      </w:r>
      <w:r>
        <w:rPr>
          <w:rStyle w:val="a7"/>
          <w:rFonts w:cs="Arial"/>
          <w:rtl/>
        </w:rPr>
        <w:footnoteReference w:id="1307"/>
      </w:r>
      <w:r w:rsidRPr="00E85B8C">
        <w:rPr>
          <w:rFonts w:cs="Arial"/>
          <w:rtl/>
        </w:rPr>
        <w:t>.</w:t>
      </w:r>
      <w:r w:rsidRPr="00984F6F">
        <w:rPr>
          <w:rtl/>
        </w:rPr>
        <w:t xml:space="preserve"> </w:t>
      </w:r>
      <w:r>
        <w:rPr>
          <w:rFonts w:hint="cs"/>
          <w:rtl/>
        </w:rPr>
        <w:t xml:space="preserve">         </w:t>
      </w:r>
      <w:r w:rsidRPr="00984F6F">
        <w:rPr>
          <w:rFonts w:hint="cs"/>
          <w:u w:val="double"/>
          <w:rtl/>
        </w:rPr>
        <w:t>גמ'</w:t>
      </w:r>
      <w:r w:rsidRPr="00984F6F">
        <w:rPr>
          <w:rFonts w:hint="cs"/>
          <w:sz w:val="14"/>
          <w:szCs w:val="14"/>
          <w:u w:val="double"/>
          <w:rtl/>
        </w:rPr>
        <w:t>(עח:)</w:t>
      </w:r>
      <w:r w:rsidRPr="00984F6F">
        <w:rPr>
          <w:rFonts w:hint="cs"/>
          <w:u w:val="double"/>
          <w:rtl/>
        </w:rPr>
        <w:t>:</w:t>
      </w:r>
      <w:r>
        <w:rPr>
          <w:rFonts w:hint="cs"/>
          <w:rtl/>
        </w:rPr>
        <w:t xml:space="preserve"> </w:t>
      </w:r>
      <w:r w:rsidRPr="00984F6F">
        <w:rPr>
          <w:rFonts w:cs="Arial"/>
          <w:rtl/>
        </w:rPr>
        <w:t xml:space="preserve">ר"ש חולק בין נכסים. אלו הן ידועין, ואלו הן שאינן ידועין? </w:t>
      </w:r>
      <w:r w:rsidRPr="00984F6F">
        <w:rPr>
          <w:rFonts w:cs="Arial"/>
          <w:u w:val="single"/>
          <w:rtl/>
        </w:rPr>
        <w:t>אמר ר' יוסי ברבי חנינא</w:t>
      </w:r>
      <w:r w:rsidRPr="00984F6F">
        <w:rPr>
          <w:rFonts w:cs="Arial"/>
          <w:rtl/>
        </w:rPr>
        <w:t xml:space="preserve">: ידועין - מקרקעי, שאינן ידועין </w:t>
      </w:r>
      <w:r w:rsidR="00F97626">
        <w:rPr>
          <w:rFonts w:cs="Arial"/>
          <w:rtl/>
        </w:rPr>
        <w:t>-</w:t>
      </w:r>
      <w:r w:rsidRPr="00984F6F">
        <w:rPr>
          <w:rFonts w:cs="Arial"/>
          <w:rtl/>
        </w:rPr>
        <w:t xml:space="preserve"> מטלטלין</w:t>
      </w:r>
      <w:r>
        <w:rPr>
          <w:rFonts w:cs="Arial" w:hint="cs"/>
          <w:rtl/>
        </w:rPr>
        <w:t>.</w:t>
      </w:r>
      <w:r w:rsidRPr="00984F6F">
        <w:rPr>
          <w:rFonts w:cs="Arial"/>
          <w:rtl/>
        </w:rPr>
        <w:t xml:space="preserve"> </w:t>
      </w:r>
      <w:r w:rsidRPr="00984F6F">
        <w:rPr>
          <w:rFonts w:cs="Arial"/>
          <w:u w:val="single"/>
          <w:rtl/>
        </w:rPr>
        <w:t>ור' יוחנן אמר</w:t>
      </w:r>
      <w:r w:rsidRPr="00984F6F">
        <w:rPr>
          <w:rFonts w:cs="Arial"/>
          <w:rtl/>
        </w:rPr>
        <w:t xml:space="preserve">: אלו ואלו ידועין הן, ואלו הן שאינן ידועין? כל שיושבת כאן ונפלו לה נכסים במדינת הים. תניא נמי הכי: אלו הן שאינן ידועין? כל שיושבת כאן ונפלו לה נכסים במדינת הים. </w:t>
      </w:r>
      <w:r w:rsidR="003A37AE">
        <w:rPr>
          <w:rFonts w:cs="Arial" w:hint="cs"/>
          <w:rtl/>
        </w:rPr>
        <w:t xml:space="preserve"> </w:t>
      </w:r>
    </w:p>
    <w:p w14:paraId="0FA3B829" w14:textId="52562CAC" w:rsidR="00CB7822" w:rsidRPr="00576970" w:rsidRDefault="00576970" w:rsidP="00CB7822">
      <w:pPr>
        <w:rPr>
          <w:rFonts w:cs="Arial"/>
          <w:u w:val="single"/>
          <w:rtl/>
        </w:rPr>
      </w:pPr>
      <w:r w:rsidRPr="00576970">
        <w:rPr>
          <w:rFonts w:hint="cs"/>
          <w:u w:val="single"/>
          <w:rtl/>
        </w:rPr>
        <w:t>אשה שמכרה לאחר שנשאת נכסים שאינם ידועים:</w:t>
      </w:r>
    </w:p>
    <w:p w14:paraId="5B648F3F" w14:textId="6C0399A5" w:rsidR="00CD3E12" w:rsidRDefault="00CD3E12" w:rsidP="009000E3">
      <w:pPr>
        <w:pStyle w:val="ab"/>
        <w:numPr>
          <w:ilvl w:val="0"/>
          <w:numId w:val="55"/>
        </w:numPr>
        <w:rPr>
          <w:rFonts w:cs="Arial"/>
        </w:rPr>
      </w:pPr>
      <w:r>
        <w:rPr>
          <w:rFonts w:cs="Arial" w:hint="cs"/>
          <w:rtl/>
        </w:rPr>
        <w:t xml:space="preserve">טור- </w:t>
      </w:r>
      <w:r w:rsidR="000C687E" w:rsidRPr="000C687E">
        <w:rPr>
          <w:rFonts w:cs="Arial"/>
          <w:rtl/>
        </w:rPr>
        <w:t xml:space="preserve">בד"א </w:t>
      </w:r>
      <w:r w:rsidR="00060A73" w:rsidRPr="00060A73">
        <w:rPr>
          <w:rFonts w:cs="Arial" w:hint="cs"/>
          <w:sz w:val="16"/>
          <w:szCs w:val="16"/>
          <w:rtl/>
        </w:rPr>
        <w:t>{</w:t>
      </w:r>
      <w:r w:rsidR="00060A73" w:rsidRPr="00060A73">
        <w:rPr>
          <w:rFonts w:cs="Arial"/>
          <w:sz w:val="16"/>
          <w:szCs w:val="16"/>
          <w:rtl/>
        </w:rPr>
        <w:t>שאם מכרה משנשאת מוציא הבעל מיד הלקוחות</w:t>
      </w:r>
      <w:r w:rsidR="00060A73" w:rsidRPr="00060A73">
        <w:rPr>
          <w:rFonts w:cs="Arial" w:hint="cs"/>
          <w:sz w:val="16"/>
          <w:szCs w:val="16"/>
          <w:rtl/>
        </w:rPr>
        <w:t>}</w:t>
      </w:r>
      <w:r w:rsidR="00060A73">
        <w:rPr>
          <w:rFonts w:cs="Arial" w:hint="cs"/>
          <w:rtl/>
        </w:rPr>
        <w:t xml:space="preserve"> - </w:t>
      </w:r>
      <w:r w:rsidR="000C687E" w:rsidRPr="000C687E">
        <w:rPr>
          <w:rFonts w:cs="Arial"/>
          <w:rtl/>
        </w:rPr>
        <w:t>בנכסים ידועים לבעל</w:t>
      </w:r>
      <w:r w:rsidR="00060A73">
        <w:rPr>
          <w:rFonts w:cs="Arial" w:hint="cs"/>
          <w:rtl/>
        </w:rPr>
        <w:t>.</w:t>
      </w:r>
      <w:r w:rsidR="000C687E" w:rsidRPr="000C687E">
        <w:rPr>
          <w:rFonts w:cs="Arial"/>
          <w:rtl/>
        </w:rPr>
        <w:t xml:space="preserve"> אבל בנכסים שאינן ידועים</w:t>
      </w:r>
      <w:r w:rsidR="00747D61">
        <w:rPr>
          <w:rFonts w:cs="Arial" w:hint="cs"/>
          <w:rtl/>
        </w:rPr>
        <w:t>,</w:t>
      </w:r>
      <w:r w:rsidR="000C687E" w:rsidRPr="000C687E">
        <w:rPr>
          <w:rFonts w:cs="Arial"/>
          <w:rtl/>
        </w:rPr>
        <w:t xml:space="preserve"> אפילו נפלו לה משניסת</w:t>
      </w:r>
      <w:r w:rsidR="00060A73">
        <w:rPr>
          <w:rFonts w:cs="Arial" w:hint="cs"/>
          <w:rtl/>
        </w:rPr>
        <w:t>,</w:t>
      </w:r>
      <w:r w:rsidR="000C687E" w:rsidRPr="000C687E">
        <w:rPr>
          <w:rFonts w:cs="Arial"/>
          <w:rtl/>
        </w:rPr>
        <w:t xml:space="preserve"> אם מכרה או נתנה </w:t>
      </w:r>
      <w:r w:rsidR="00747D61">
        <w:rPr>
          <w:rFonts w:cs="Arial" w:hint="cs"/>
          <w:rtl/>
        </w:rPr>
        <w:t xml:space="preserve">- </w:t>
      </w:r>
      <w:r w:rsidR="000C687E" w:rsidRPr="000C687E">
        <w:rPr>
          <w:rFonts w:cs="Arial"/>
          <w:rtl/>
        </w:rPr>
        <w:t>קיים</w:t>
      </w:r>
      <w:r w:rsidR="00060A73">
        <w:rPr>
          <w:rFonts w:cs="Arial" w:hint="cs"/>
          <w:rtl/>
        </w:rPr>
        <w:t>,</w:t>
      </w:r>
      <w:r w:rsidR="000C687E" w:rsidRPr="000C687E">
        <w:rPr>
          <w:rFonts w:cs="Arial"/>
          <w:rtl/>
        </w:rPr>
        <w:t xml:space="preserve"> אלא שלכתחילה לא תמכור</w:t>
      </w:r>
      <w:r w:rsidR="00747D61">
        <w:rPr>
          <w:rFonts w:cs="Arial" w:hint="cs"/>
          <w:rtl/>
        </w:rPr>
        <w:t>.</w:t>
      </w:r>
      <w:r w:rsidR="000C687E" w:rsidRPr="000C687E">
        <w:rPr>
          <w:rFonts w:cs="Arial"/>
          <w:rtl/>
        </w:rPr>
        <w:t xml:space="preserve"> </w:t>
      </w:r>
      <w:r w:rsidR="00060A73" w:rsidRPr="001D67C0">
        <w:rPr>
          <w:rFonts w:hint="cs"/>
          <w:color w:val="E36C0A" w:themeColor="accent6" w:themeShade="BF"/>
          <w:rtl/>
        </w:rPr>
        <w:t>(וכ"פ בשו"ע)</w:t>
      </w:r>
      <w:r w:rsidR="00060A73" w:rsidRPr="00060A73">
        <w:rPr>
          <w:rFonts w:cs="Arial" w:hint="cs"/>
          <w:color w:val="00B0F0"/>
          <w:rtl/>
        </w:rPr>
        <w:t xml:space="preserve"> (וכ"פ הרמ"א)</w:t>
      </w:r>
    </w:p>
    <w:p w14:paraId="09008F1D" w14:textId="69C22113" w:rsidR="00CD3E12" w:rsidRPr="00CD3E12" w:rsidRDefault="00CD3E12" w:rsidP="00CD3E12">
      <w:pPr>
        <w:ind w:left="360"/>
        <w:rPr>
          <w:rFonts w:cs="Arial"/>
          <w:u w:val="dotted"/>
        </w:rPr>
      </w:pPr>
      <w:r w:rsidRPr="00CD3E12">
        <w:rPr>
          <w:rFonts w:cs="Arial" w:hint="cs"/>
          <w:u w:val="dotted"/>
          <w:rtl/>
        </w:rPr>
        <w:t xml:space="preserve">מה הם </w:t>
      </w:r>
      <w:r>
        <w:rPr>
          <w:rFonts w:cs="Arial" w:hint="cs"/>
          <w:u w:val="dotted"/>
          <w:rtl/>
        </w:rPr>
        <w:t>'</w:t>
      </w:r>
      <w:r w:rsidRPr="00CD3E12">
        <w:rPr>
          <w:rFonts w:cs="Arial" w:hint="cs"/>
          <w:u w:val="dotted"/>
          <w:rtl/>
        </w:rPr>
        <w:t>נכסים שאינם ידועים</w:t>
      </w:r>
      <w:r>
        <w:rPr>
          <w:rFonts w:cs="Arial" w:hint="cs"/>
          <w:u w:val="dotted"/>
          <w:rtl/>
        </w:rPr>
        <w:t>'</w:t>
      </w:r>
      <w:r w:rsidRPr="00CD3E12">
        <w:rPr>
          <w:rFonts w:cs="Arial" w:hint="cs"/>
          <w:u w:val="dotted"/>
          <w:rtl/>
        </w:rPr>
        <w:t>:</w:t>
      </w:r>
    </w:p>
    <w:p w14:paraId="2ABD11D3" w14:textId="29FBDEBA" w:rsidR="0044714F" w:rsidRDefault="001803B6" w:rsidP="009000E3">
      <w:pPr>
        <w:pStyle w:val="ab"/>
        <w:numPr>
          <w:ilvl w:val="0"/>
          <w:numId w:val="55"/>
        </w:numPr>
        <w:rPr>
          <w:rFonts w:cs="Arial"/>
        </w:rPr>
      </w:pPr>
      <w:r>
        <w:rPr>
          <w:rFonts w:cs="Arial" w:hint="cs"/>
          <w:rtl/>
        </w:rPr>
        <w:t xml:space="preserve">רא"ש </w:t>
      </w:r>
      <w:r>
        <w:rPr>
          <w:rFonts w:cs="Arial" w:hint="cs"/>
          <w:sz w:val="16"/>
          <w:szCs w:val="16"/>
          <w:rtl/>
        </w:rPr>
        <w:t>(</w:t>
      </w:r>
      <w:r w:rsidR="0044714F">
        <w:rPr>
          <w:rFonts w:cs="Arial" w:hint="cs"/>
          <w:sz w:val="16"/>
          <w:szCs w:val="16"/>
          <w:rtl/>
        </w:rPr>
        <w:t xml:space="preserve">כתובות פ"ח סי' א) </w:t>
      </w:r>
      <w:r w:rsidR="0044714F">
        <w:rPr>
          <w:rFonts w:cs="Arial" w:hint="cs"/>
          <w:rtl/>
        </w:rPr>
        <w:t>ו</w:t>
      </w:r>
      <w:r w:rsidR="00CD3E12">
        <w:rPr>
          <w:rFonts w:cs="Arial" w:hint="cs"/>
          <w:rtl/>
        </w:rPr>
        <w:t xml:space="preserve">טור- </w:t>
      </w:r>
      <w:r w:rsidR="000C687E" w:rsidRPr="000C687E">
        <w:rPr>
          <w:rFonts w:cs="Arial"/>
          <w:rtl/>
        </w:rPr>
        <w:t>ואיזה הן שאין ידועים</w:t>
      </w:r>
      <w:r w:rsidR="00CD3E12">
        <w:rPr>
          <w:rFonts w:cs="Arial" w:hint="cs"/>
          <w:rtl/>
        </w:rPr>
        <w:t>,</w:t>
      </w:r>
      <w:r w:rsidR="000C687E" w:rsidRPr="000C687E">
        <w:rPr>
          <w:rFonts w:cs="Arial"/>
          <w:rtl/>
        </w:rPr>
        <w:t xml:space="preserve"> כגון שנפלה לה ירושה במדינת הים</w:t>
      </w:r>
      <w:r w:rsidR="00CD3E12">
        <w:rPr>
          <w:rFonts w:cs="Arial" w:hint="cs"/>
          <w:rtl/>
        </w:rPr>
        <w:t>,</w:t>
      </w:r>
      <w:r w:rsidR="000C687E" w:rsidRPr="000C687E">
        <w:rPr>
          <w:rFonts w:cs="Arial"/>
          <w:rtl/>
        </w:rPr>
        <w:t xml:space="preserve"> בין מקרקעי בין מטלטלי</w:t>
      </w:r>
      <w:r w:rsidR="00CD3E12">
        <w:rPr>
          <w:rFonts w:cs="Arial" w:hint="cs"/>
          <w:rtl/>
        </w:rPr>
        <w:t>,</w:t>
      </w:r>
      <w:r w:rsidR="000C687E" w:rsidRPr="000C687E">
        <w:rPr>
          <w:rFonts w:cs="Arial"/>
          <w:rtl/>
        </w:rPr>
        <w:t xml:space="preserve"> שאין הבעל מצפה לאותן נכסים</w:t>
      </w:r>
      <w:r w:rsidR="00CD3E12">
        <w:rPr>
          <w:rFonts w:cs="Arial" w:hint="cs"/>
          <w:rtl/>
        </w:rPr>
        <w:t>,</w:t>
      </w:r>
      <w:r w:rsidR="000C687E" w:rsidRPr="000C687E">
        <w:rPr>
          <w:rFonts w:cs="Arial"/>
          <w:rtl/>
        </w:rPr>
        <w:t xml:space="preserve"> כגון שמתו מורישיה במדינת הים ולא הכיר הבעל באותן המורישין</w:t>
      </w:r>
      <w:r w:rsidR="00CD3E12">
        <w:rPr>
          <w:rFonts w:cs="Arial" w:hint="cs"/>
          <w:rtl/>
        </w:rPr>
        <w:t>,</w:t>
      </w:r>
      <w:r w:rsidR="000C687E" w:rsidRPr="000C687E">
        <w:rPr>
          <w:rFonts w:cs="Arial"/>
          <w:rtl/>
        </w:rPr>
        <w:t xml:space="preserve"> וכיוצא בזה</w:t>
      </w:r>
      <w:r w:rsidR="00CD3E12">
        <w:rPr>
          <w:rFonts w:cs="Arial" w:hint="cs"/>
          <w:rtl/>
        </w:rPr>
        <w:t>.</w:t>
      </w:r>
      <w:r w:rsidR="000C687E" w:rsidRPr="000C687E">
        <w:rPr>
          <w:rFonts w:cs="Arial"/>
          <w:rtl/>
        </w:rPr>
        <w:t xml:space="preserve"> כגון שהיה לאביה נכסים ביד אחר</w:t>
      </w:r>
      <w:r w:rsidR="00CD3E12">
        <w:rPr>
          <w:rFonts w:cs="Arial" w:hint="cs"/>
          <w:rtl/>
        </w:rPr>
        <w:t>,</w:t>
      </w:r>
      <w:r w:rsidR="000C687E" w:rsidRPr="000C687E">
        <w:rPr>
          <w:rFonts w:cs="Arial"/>
          <w:rtl/>
        </w:rPr>
        <w:t xml:space="preserve"> ולא נתברר שהיו של אביה עד אחר נישואין</w:t>
      </w:r>
      <w:r>
        <w:rPr>
          <w:rFonts w:cs="Arial" w:hint="cs"/>
          <w:rtl/>
        </w:rPr>
        <w:t>,</w:t>
      </w:r>
      <w:r w:rsidR="000C687E" w:rsidRPr="000C687E">
        <w:rPr>
          <w:rFonts w:cs="Arial"/>
          <w:rtl/>
        </w:rPr>
        <w:t xml:space="preserve"> גם זה לא נשאה על דעת אלו הנכסים</w:t>
      </w:r>
      <w:r>
        <w:rPr>
          <w:rFonts w:cs="Arial" w:hint="cs"/>
          <w:rtl/>
        </w:rPr>
        <w:t>.</w:t>
      </w:r>
      <w:r w:rsidR="000C687E" w:rsidRPr="000C687E">
        <w:rPr>
          <w:rFonts w:cs="Arial"/>
          <w:rtl/>
        </w:rPr>
        <w:t xml:space="preserve"> וגם צריך שלא נודעו לבעל בין נפילה למכירה</w:t>
      </w:r>
      <w:r>
        <w:rPr>
          <w:rFonts w:cs="Arial" w:hint="cs"/>
          <w:rtl/>
        </w:rPr>
        <w:t>,</w:t>
      </w:r>
      <w:r w:rsidR="000C687E" w:rsidRPr="000C687E">
        <w:rPr>
          <w:rFonts w:cs="Arial"/>
          <w:rtl/>
        </w:rPr>
        <w:t xml:space="preserve"> דמיד כשנודעו לבעל נעשו נכסי מלוג</w:t>
      </w:r>
      <w:r>
        <w:rPr>
          <w:rFonts w:cs="Arial" w:hint="cs"/>
          <w:rtl/>
        </w:rPr>
        <w:t>.</w:t>
      </w:r>
      <w:r w:rsidR="000C687E" w:rsidRPr="000C687E">
        <w:rPr>
          <w:rFonts w:cs="Arial"/>
          <w:rtl/>
        </w:rPr>
        <w:t xml:space="preserve"> וכן הפירות שימצאו בידה</w:t>
      </w:r>
      <w:r>
        <w:rPr>
          <w:rFonts w:cs="Arial" w:hint="cs"/>
          <w:rtl/>
        </w:rPr>
        <w:t>,</w:t>
      </w:r>
      <w:r w:rsidR="000C687E" w:rsidRPr="000C687E">
        <w:rPr>
          <w:rFonts w:cs="Arial"/>
          <w:rtl/>
        </w:rPr>
        <w:t xml:space="preserve"> מיד שיודעו לו יהיו נכסי מלוג</w:t>
      </w:r>
      <w:r>
        <w:rPr>
          <w:rFonts w:cs="Arial" w:hint="cs"/>
          <w:rtl/>
        </w:rPr>
        <w:t>,</w:t>
      </w:r>
      <w:r w:rsidR="000C687E" w:rsidRPr="000C687E">
        <w:rPr>
          <w:rFonts w:cs="Arial"/>
          <w:rtl/>
        </w:rPr>
        <w:t xml:space="preserve"> וילקח בהן קרקע והוא אוכל פירות</w:t>
      </w:r>
      <w:r w:rsidR="0044714F">
        <w:rPr>
          <w:rFonts w:cs="Arial" w:hint="cs"/>
          <w:sz w:val="16"/>
          <w:szCs w:val="16"/>
          <w:rtl/>
        </w:rPr>
        <w:t xml:space="preserve"> (ל' הטור)</w:t>
      </w:r>
      <w:r w:rsidR="00CD3E12">
        <w:rPr>
          <w:rFonts w:cs="Arial" w:hint="cs"/>
          <w:rtl/>
        </w:rPr>
        <w:t>.</w:t>
      </w:r>
    </w:p>
    <w:p w14:paraId="1BC70352" w14:textId="59D4C1DD" w:rsidR="00D9440F" w:rsidRPr="0044714F" w:rsidRDefault="00D9440F" w:rsidP="009000E3">
      <w:pPr>
        <w:pStyle w:val="ab"/>
        <w:numPr>
          <w:ilvl w:val="0"/>
          <w:numId w:val="55"/>
        </w:numPr>
        <w:rPr>
          <w:rFonts w:cs="Arial"/>
          <w:rtl/>
        </w:rPr>
      </w:pPr>
      <w:r w:rsidRPr="0044714F">
        <w:rPr>
          <w:rFonts w:cs="Arial"/>
          <w:rtl/>
        </w:rPr>
        <w:t xml:space="preserve">רשב"א </w:t>
      </w:r>
      <w:r w:rsidRPr="0044714F">
        <w:rPr>
          <w:rFonts w:cs="Arial"/>
          <w:sz w:val="16"/>
          <w:szCs w:val="16"/>
          <w:rtl/>
        </w:rPr>
        <w:t>(ח"ב סי' קח ד"ה ותנא</w:t>
      </w:r>
      <w:r w:rsidR="001803B6" w:rsidRPr="0044714F">
        <w:rPr>
          <w:rFonts w:cs="Arial" w:hint="cs"/>
          <w:sz w:val="16"/>
          <w:szCs w:val="16"/>
          <w:rtl/>
        </w:rPr>
        <w:t>)</w:t>
      </w:r>
      <w:r w:rsidR="001803B6" w:rsidRPr="0044714F">
        <w:rPr>
          <w:rFonts w:cs="Arial"/>
          <w:rtl/>
        </w:rPr>
        <w:t xml:space="preserve"> </w:t>
      </w:r>
      <w:r w:rsidR="001803B6" w:rsidRPr="0044714F">
        <w:rPr>
          <w:rFonts w:cs="Arial" w:hint="cs"/>
          <w:rtl/>
        </w:rPr>
        <w:t>ו</w:t>
      </w:r>
      <w:r w:rsidR="001803B6" w:rsidRPr="0044714F">
        <w:rPr>
          <w:rFonts w:cs="Arial"/>
          <w:rtl/>
        </w:rPr>
        <w:t xml:space="preserve">ר"ן </w:t>
      </w:r>
      <w:r w:rsidR="001803B6" w:rsidRPr="0044714F">
        <w:rPr>
          <w:rFonts w:cs="Arial" w:hint="cs"/>
          <w:sz w:val="16"/>
          <w:szCs w:val="16"/>
          <w:rtl/>
        </w:rPr>
        <w:t>(</w:t>
      </w:r>
      <w:r w:rsidR="001803B6" w:rsidRPr="0044714F">
        <w:rPr>
          <w:rFonts w:cs="Arial"/>
          <w:sz w:val="16"/>
          <w:szCs w:val="16"/>
          <w:rtl/>
        </w:rPr>
        <w:t>ר</w:t>
      </w:r>
      <w:r w:rsidR="001803B6" w:rsidRPr="0044714F">
        <w:rPr>
          <w:rFonts w:cs="Arial" w:hint="cs"/>
          <w:sz w:val="16"/>
          <w:szCs w:val="16"/>
          <w:rtl/>
        </w:rPr>
        <w:t>"פ</w:t>
      </w:r>
      <w:r w:rsidR="001803B6" w:rsidRPr="0044714F">
        <w:rPr>
          <w:rFonts w:cs="Arial"/>
          <w:sz w:val="16"/>
          <w:szCs w:val="16"/>
          <w:rtl/>
        </w:rPr>
        <w:t xml:space="preserve"> האשה שנפלו לז. ד"ה ונפלו לה נכסים)</w:t>
      </w:r>
      <w:r w:rsidR="001803B6" w:rsidRPr="0044714F">
        <w:rPr>
          <w:rFonts w:cs="Arial" w:hint="cs"/>
          <w:rtl/>
        </w:rPr>
        <w:t>-</w:t>
      </w:r>
      <w:r w:rsidRPr="0044714F">
        <w:rPr>
          <w:rFonts w:cs="Arial"/>
          <w:rtl/>
        </w:rPr>
        <w:t xml:space="preserve"> לאו דוקא שנפלו לה במדינת הים</w:t>
      </w:r>
      <w:r w:rsidR="001803B6" w:rsidRPr="0044714F">
        <w:rPr>
          <w:rFonts w:cs="Arial" w:hint="cs"/>
          <w:rtl/>
        </w:rPr>
        <w:t>,</w:t>
      </w:r>
      <w:r w:rsidRPr="0044714F">
        <w:rPr>
          <w:rFonts w:cs="Arial"/>
          <w:rtl/>
        </w:rPr>
        <w:t xml:space="preserve"> אלא הוא הדין אפילו בשנפלו לה במקום שהיא ובעלה שם</w:t>
      </w:r>
      <w:r w:rsidR="001803B6" w:rsidRPr="0044714F">
        <w:rPr>
          <w:rFonts w:cs="Arial" w:hint="cs"/>
          <w:rtl/>
        </w:rPr>
        <w:t>,</w:t>
      </w:r>
      <w:r w:rsidRPr="0044714F">
        <w:rPr>
          <w:rFonts w:cs="Arial"/>
          <w:rtl/>
        </w:rPr>
        <w:t xml:space="preserve"> כל זמן שלא ידע הוא כשנפלו לה ולא הספיק לדעת עד שמכרה או נתנה היא</w:t>
      </w:r>
      <w:r w:rsidR="001803B6" w:rsidRPr="0044714F">
        <w:rPr>
          <w:rFonts w:cs="Arial" w:hint="cs"/>
          <w:rtl/>
        </w:rPr>
        <w:t>.</w:t>
      </w:r>
      <w:r w:rsidRPr="0044714F">
        <w:rPr>
          <w:rFonts w:cs="Arial"/>
          <w:rtl/>
        </w:rPr>
        <w:t xml:space="preserve"> וכן פירש הר"י ן' מיגא"ש</w:t>
      </w:r>
      <w:r w:rsidR="001803B6" w:rsidRPr="0044714F">
        <w:rPr>
          <w:rFonts w:cs="Arial" w:hint="cs"/>
          <w:rtl/>
        </w:rPr>
        <w:t>.</w:t>
      </w:r>
      <w:r w:rsidRPr="0044714F">
        <w:rPr>
          <w:rFonts w:cs="Arial"/>
          <w:rtl/>
        </w:rPr>
        <w:t xml:space="preserve"> וכן מה שאמרו שנפלו לה נכסים</w:t>
      </w:r>
      <w:r w:rsidR="001803B6" w:rsidRPr="0044714F">
        <w:rPr>
          <w:rFonts w:cs="Arial" w:hint="cs"/>
          <w:rtl/>
        </w:rPr>
        <w:t>,</w:t>
      </w:r>
      <w:r w:rsidRPr="0044714F">
        <w:rPr>
          <w:rFonts w:cs="Arial"/>
          <w:rtl/>
        </w:rPr>
        <w:t xml:space="preserve"> כלומר בירושה</w:t>
      </w:r>
      <w:r w:rsidR="001803B6" w:rsidRPr="0044714F">
        <w:rPr>
          <w:rFonts w:cs="Arial" w:hint="cs"/>
          <w:rtl/>
        </w:rPr>
        <w:t>,</w:t>
      </w:r>
      <w:r w:rsidRPr="0044714F">
        <w:rPr>
          <w:rFonts w:cs="Arial"/>
          <w:rtl/>
        </w:rPr>
        <w:t xml:space="preserve"> לאו דוקא</w:t>
      </w:r>
      <w:r w:rsidR="001803B6" w:rsidRPr="0044714F">
        <w:rPr>
          <w:rFonts w:cs="Arial" w:hint="cs"/>
          <w:rtl/>
        </w:rPr>
        <w:t>.</w:t>
      </w:r>
      <w:r w:rsidRPr="0044714F">
        <w:rPr>
          <w:rFonts w:cs="Arial"/>
          <w:rtl/>
        </w:rPr>
        <w:t xml:space="preserve"> אלא הוא הדין אפילו ניתנו לה במתנה או שמצאה מציאה</w:t>
      </w:r>
      <w:r w:rsidR="001803B6" w:rsidRPr="0044714F">
        <w:rPr>
          <w:rFonts w:cs="Arial" w:hint="cs"/>
          <w:rtl/>
        </w:rPr>
        <w:t>.</w:t>
      </w:r>
      <w:r w:rsidRPr="0044714F">
        <w:rPr>
          <w:rFonts w:cs="Arial"/>
          <w:rtl/>
        </w:rPr>
        <w:t xml:space="preserve"> זה הכלל</w:t>
      </w:r>
      <w:r w:rsidR="001803B6" w:rsidRPr="0044714F">
        <w:rPr>
          <w:rFonts w:cs="Arial" w:hint="cs"/>
          <w:rtl/>
        </w:rPr>
        <w:t>,</w:t>
      </w:r>
      <w:r w:rsidRPr="0044714F">
        <w:rPr>
          <w:rFonts w:cs="Arial"/>
          <w:rtl/>
        </w:rPr>
        <w:t xml:space="preserve"> כל נכסים שיבואו לה ולא ידע בהם הבעל עד שמכרה או נתנה</w:t>
      </w:r>
      <w:r w:rsidR="001803B6" w:rsidRPr="0044714F">
        <w:rPr>
          <w:rFonts w:cs="Arial" w:hint="cs"/>
          <w:rtl/>
        </w:rPr>
        <w:t>,</w:t>
      </w:r>
      <w:r w:rsidRPr="0044714F">
        <w:rPr>
          <w:rFonts w:cs="Arial"/>
          <w:rtl/>
        </w:rPr>
        <w:t xml:space="preserve"> ואפילו לא נתנה אותם במתנה גמורה אלא בהברחה </w:t>
      </w:r>
      <w:r w:rsidR="001803B6" w:rsidRPr="0044714F">
        <w:rPr>
          <w:rFonts w:cs="Arial" w:hint="cs"/>
          <w:rtl/>
        </w:rPr>
        <w:t xml:space="preserve">- </w:t>
      </w:r>
      <w:r w:rsidRPr="0044714F">
        <w:rPr>
          <w:rFonts w:cs="Arial"/>
          <w:rtl/>
        </w:rPr>
        <w:t>אין הבעל מוציא מיד אותו מקבל מתנה</w:t>
      </w:r>
      <w:r w:rsidR="001803B6" w:rsidRPr="0044714F">
        <w:rPr>
          <w:rFonts w:cs="Arial" w:hint="cs"/>
          <w:rtl/>
        </w:rPr>
        <w:t>.</w:t>
      </w:r>
      <w:r w:rsidRPr="0044714F">
        <w:rPr>
          <w:rFonts w:cs="Arial"/>
          <w:rtl/>
        </w:rPr>
        <w:t xml:space="preserve"> וכדתניא (כתובות עט.) הרוצה שתבריח נכסיה מבעלה כיצד היא עושה וכו'</w:t>
      </w:r>
      <w:r w:rsidR="001803B6" w:rsidRPr="0044714F">
        <w:rPr>
          <w:rFonts w:cs="Arial" w:hint="cs"/>
          <w:rtl/>
        </w:rPr>
        <w:t>.</w:t>
      </w:r>
      <w:r w:rsidRPr="0044714F">
        <w:rPr>
          <w:rFonts w:cs="Arial"/>
          <w:rtl/>
        </w:rPr>
        <w:t xml:space="preserve"> ואע</w:t>
      </w:r>
      <w:r w:rsidR="00764B02">
        <w:rPr>
          <w:rFonts w:cs="Arial" w:hint="cs"/>
          <w:rtl/>
        </w:rPr>
        <w:t>"</w:t>
      </w:r>
      <w:r w:rsidRPr="0044714F">
        <w:rPr>
          <w:rFonts w:cs="Arial"/>
          <w:rtl/>
        </w:rPr>
        <w:t>פ שלא קנה מקבל מתנה לגמרי אפילו הכי מתנה זו מוציא</w:t>
      </w:r>
      <w:r w:rsidR="00764B02">
        <w:rPr>
          <w:rFonts w:cs="Arial" w:hint="cs"/>
          <w:rtl/>
        </w:rPr>
        <w:t>ה</w:t>
      </w:r>
      <w:r w:rsidRPr="0044714F">
        <w:rPr>
          <w:rFonts w:cs="Arial"/>
          <w:rtl/>
        </w:rPr>
        <w:t xml:space="preserve"> מיד זכות הבעל</w:t>
      </w:r>
      <w:r w:rsidR="001803B6" w:rsidRPr="0044714F">
        <w:rPr>
          <w:rFonts w:cs="Arial" w:hint="cs"/>
          <w:rtl/>
        </w:rPr>
        <w:t>,</w:t>
      </w:r>
      <w:r w:rsidRPr="0044714F">
        <w:rPr>
          <w:rFonts w:cs="Arial"/>
          <w:rtl/>
        </w:rPr>
        <w:t xml:space="preserve"> שאין הבעל אוכל פירות אותם נכסים כיון שלא ידע הבעל באותם נכסים עד שנתנתם היא</w:t>
      </w:r>
      <w:r w:rsidR="001803B6" w:rsidRPr="0044714F">
        <w:rPr>
          <w:rFonts w:cs="Arial" w:hint="cs"/>
          <w:rtl/>
        </w:rPr>
        <w:t>.</w:t>
      </w:r>
      <w:r w:rsidRPr="0044714F">
        <w:rPr>
          <w:rFonts w:cs="Arial"/>
          <w:rtl/>
        </w:rPr>
        <w:t xml:space="preserve"> ומעתה זו שנתנה לבנותיה קודם שידע בהם הבעל </w:t>
      </w:r>
      <w:r w:rsidR="001803B6" w:rsidRPr="0044714F">
        <w:rPr>
          <w:rFonts w:cs="Arial" w:hint="cs"/>
          <w:rtl/>
        </w:rPr>
        <w:t xml:space="preserve">- </w:t>
      </w:r>
      <w:r w:rsidRPr="0044714F">
        <w:rPr>
          <w:rFonts w:cs="Arial"/>
          <w:rtl/>
        </w:rPr>
        <w:lastRenderedPageBreak/>
        <w:t>מתנתה קיימת</w:t>
      </w:r>
      <w:r w:rsidR="001803B6" w:rsidRPr="0044714F">
        <w:rPr>
          <w:rFonts w:cs="Arial" w:hint="cs"/>
          <w:rtl/>
        </w:rPr>
        <w:t>.</w:t>
      </w:r>
      <w:r w:rsidRPr="0044714F">
        <w:rPr>
          <w:rFonts w:cs="Arial"/>
          <w:rtl/>
        </w:rPr>
        <w:t xml:space="preserve"> ומכל מקום אותם פירות ששיירה היא בנכסים עד שתמות </w:t>
      </w:r>
      <w:r w:rsidR="001803B6" w:rsidRPr="0044714F">
        <w:rPr>
          <w:rFonts w:cs="Arial" w:hint="cs"/>
          <w:rtl/>
        </w:rPr>
        <w:t xml:space="preserve">- </w:t>
      </w:r>
      <w:r w:rsidRPr="0044714F">
        <w:rPr>
          <w:rFonts w:cs="Arial"/>
          <w:rtl/>
        </w:rPr>
        <w:t>זכה בהם הבעל</w:t>
      </w:r>
      <w:r w:rsidR="001803B6" w:rsidRPr="0044714F">
        <w:rPr>
          <w:rFonts w:cs="Arial" w:hint="cs"/>
          <w:rtl/>
        </w:rPr>
        <w:t>.</w:t>
      </w:r>
      <w:r w:rsidRPr="0044714F">
        <w:rPr>
          <w:rFonts w:cs="Arial"/>
          <w:rtl/>
        </w:rPr>
        <w:t xml:space="preserve"> ולא שיזכה הבעל בכל הפירות ויכלה אותם</w:t>
      </w:r>
      <w:r w:rsidR="001803B6" w:rsidRPr="0044714F">
        <w:rPr>
          <w:rFonts w:cs="Arial" w:hint="cs"/>
          <w:rtl/>
        </w:rPr>
        <w:t>,</w:t>
      </w:r>
      <w:r w:rsidRPr="0044714F">
        <w:rPr>
          <w:rFonts w:cs="Arial"/>
          <w:rtl/>
        </w:rPr>
        <w:t xml:space="preserve"> לפי שאין הבעל זוכה בגוף נכסי מלוג</w:t>
      </w:r>
      <w:r w:rsidR="001803B6" w:rsidRPr="0044714F">
        <w:rPr>
          <w:rFonts w:cs="Arial" w:hint="cs"/>
          <w:rtl/>
        </w:rPr>
        <w:t>,</w:t>
      </w:r>
      <w:r w:rsidRPr="0044714F">
        <w:rPr>
          <w:rFonts w:cs="Arial"/>
          <w:rtl/>
        </w:rPr>
        <w:t xml:space="preserve"> ותנן נפלו לה נכסים וכו' פירות התלושים מן הקרקע ילקח בהם קרקע והוא אוכל פירות</w:t>
      </w:r>
      <w:r>
        <w:rPr>
          <w:rStyle w:val="a7"/>
          <w:rtl/>
        </w:rPr>
        <w:footnoteReference w:id="1308"/>
      </w:r>
      <w:r w:rsidR="001803B6" w:rsidRPr="0044714F">
        <w:rPr>
          <w:rFonts w:cs="Arial" w:hint="cs"/>
          <w:sz w:val="16"/>
          <w:szCs w:val="16"/>
          <w:rtl/>
        </w:rPr>
        <w:t xml:space="preserve"> (ל' הרשב"א)</w:t>
      </w:r>
      <w:r w:rsidR="001803B6" w:rsidRPr="0044714F">
        <w:rPr>
          <w:rFonts w:cs="Arial" w:hint="cs"/>
          <w:rtl/>
        </w:rPr>
        <w:t>.</w:t>
      </w:r>
      <w:r w:rsidR="00817B9C" w:rsidRPr="00817B9C">
        <w:rPr>
          <w:rFonts w:hint="cs"/>
          <w:color w:val="E36C0A" w:themeColor="accent6" w:themeShade="BF"/>
          <w:rtl/>
        </w:rPr>
        <w:t xml:space="preserve"> </w:t>
      </w:r>
    </w:p>
    <w:p w14:paraId="4C1A2341" w14:textId="77777777" w:rsidR="00576970" w:rsidRDefault="00576970" w:rsidP="00576970">
      <w:pPr>
        <w:rPr>
          <w:rFonts w:cs="Arial"/>
          <w:rtl/>
        </w:rPr>
      </w:pPr>
      <w:r w:rsidRPr="00CB7822">
        <w:rPr>
          <w:rFonts w:cs="Arial" w:hint="cs"/>
          <w:b/>
          <w:bCs/>
          <w:rtl/>
        </w:rPr>
        <w:t xml:space="preserve">כתובות </w:t>
      </w:r>
      <w:r w:rsidRPr="00CB7822">
        <w:rPr>
          <w:rFonts w:cs="Arial" w:hint="cs"/>
          <w:b/>
          <w:bCs/>
          <w:sz w:val="16"/>
          <w:szCs w:val="16"/>
          <w:rtl/>
        </w:rPr>
        <w:t xml:space="preserve">(פ' האשה שנפלו) </w:t>
      </w:r>
      <w:r w:rsidRPr="00CB7822">
        <w:rPr>
          <w:rFonts w:cs="Arial" w:hint="cs"/>
          <w:b/>
          <w:bCs/>
          <w:rtl/>
        </w:rPr>
        <w:t>עח ע"</w:t>
      </w:r>
      <w:r>
        <w:rPr>
          <w:rFonts w:cs="Arial" w:hint="cs"/>
          <w:b/>
          <w:bCs/>
          <w:rtl/>
        </w:rPr>
        <w:t>א</w:t>
      </w:r>
      <w:r w:rsidRPr="00CB7822">
        <w:rPr>
          <w:rFonts w:cs="Arial" w:hint="cs"/>
          <w:b/>
          <w:bCs/>
          <w:rtl/>
        </w:rPr>
        <w:t>:</w:t>
      </w:r>
      <w:r w:rsidRPr="00CB7822">
        <w:rPr>
          <w:rFonts w:cs="Arial" w:hint="cs"/>
          <w:rtl/>
        </w:rPr>
        <w:t xml:space="preserve"> </w:t>
      </w:r>
      <w:r w:rsidRPr="000A354D">
        <w:rPr>
          <w:rFonts w:cs="Arial"/>
          <w:u w:val="double"/>
          <w:rtl/>
        </w:rPr>
        <w:t>מתני'</w:t>
      </w:r>
      <w:r>
        <w:rPr>
          <w:rFonts w:cs="Arial" w:hint="cs"/>
          <w:rtl/>
        </w:rPr>
        <w:t>:</w:t>
      </w:r>
      <w:r w:rsidRPr="000A354D">
        <w:rPr>
          <w:rFonts w:cs="Arial"/>
          <w:rtl/>
        </w:rPr>
        <w:t xml:space="preserve"> האשה שנפלו לה נכסים עד שלא תתארס, מודים ב"ש ובית הלל</w:t>
      </w:r>
      <w:r>
        <w:rPr>
          <w:rFonts w:cs="Arial" w:hint="cs"/>
          <w:rtl/>
        </w:rPr>
        <w:t>,</w:t>
      </w:r>
      <w:r w:rsidRPr="000A354D">
        <w:rPr>
          <w:rFonts w:cs="Arial"/>
          <w:rtl/>
        </w:rPr>
        <w:t xml:space="preserve"> שמוכרת ונותנת וקיים. נפלו לה משנתארסה, </w:t>
      </w:r>
      <w:r w:rsidRPr="000A354D">
        <w:rPr>
          <w:rFonts w:cs="Arial"/>
          <w:u w:val="single"/>
          <w:rtl/>
        </w:rPr>
        <w:t>ב"ש אומרים</w:t>
      </w:r>
      <w:r w:rsidRPr="000A354D">
        <w:rPr>
          <w:rFonts w:cs="Arial"/>
          <w:rtl/>
        </w:rPr>
        <w:t>: תמכור</w:t>
      </w:r>
      <w:r>
        <w:rPr>
          <w:rFonts w:cs="Arial" w:hint="cs"/>
          <w:rtl/>
        </w:rPr>
        <w:t>.</w:t>
      </w:r>
      <w:r w:rsidRPr="000A354D">
        <w:rPr>
          <w:rFonts w:cs="Arial"/>
          <w:rtl/>
        </w:rPr>
        <w:t xml:space="preserve"> </w:t>
      </w:r>
      <w:r w:rsidRPr="000A354D">
        <w:rPr>
          <w:rFonts w:cs="Arial"/>
          <w:u w:val="single"/>
          <w:rtl/>
        </w:rPr>
        <w:t>ובית הלל אומרים</w:t>
      </w:r>
      <w:r w:rsidRPr="000A354D">
        <w:rPr>
          <w:rFonts w:cs="Arial"/>
          <w:rtl/>
        </w:rPr>
        <w:t xml:space="preserve">: לא תמכור. אלו ואלו מודים, שאם מכרה ונתנה - קיים. </w:t>
      </w:r>
    </w:p>
    <w:p w14:paraId="21C74CBB" w14:textId="77777777" w:rsidR="00576970" w:rsidRPr="00152F92" w:rsidRDefault="00576970" w:rsidP="00576970">
      <w:pPr>
        <w:rPr>
          <w:rFonts w:cs="Arial"/>
          <w:u w:val="single"/>
        </w:rPr>
      </w:pPr>
      <w:r>
        <w:rPr>
          <w:rFonts w:cs="Arial" w:hint="cs"/>
          <w:u w:val="single"/>
          <w:rtl/>
        </w:rPr>
        <w:t>ארוסה שמכרה נכסיה</w:t>
      </w:r>
      <w:r w:rsidRPr="00152F92">
        <w:rPr>
          <w:rFonts w:cs="Arial" w:hint="cs"/>
          <w:u w:val="single"/>
          <w:rtl/>
        </w:rPr>
        <w:t>:</w:t>
      </w:r>
    </w:p>
    <w:p w14:paraId="75D76CC9" w14:textId="6C6546CC" w:rsidR="00576970" w:rsidRPr="00CB7822" w:rsidRDefault="00576970" w:rsidP="009000E3">
      <w:pPr>
        <w:pStyle w:val="ab"/>
        <w:numPr>
          <w:ilvl w:val="0"/>
          <w:numId w:val="55"/>
        </w:numPr>
        <w:rPr>
          <w:rFonts w:cs="Arial"/>
        </w:rPr>
      </w:pPr>
      <w:r>
        <w:rPr>
          <w:rFonts w:cs="Arial" w:hint="cs"/>
          <w:rtl/>
        </w:rPr>
        <w:t xml:space="preserve">טור- </w:t>
      </w:r>
      <w:r w:rsidRPr="000C687E">
        <w:rPr>
          <w:rFonts w:cs="Arial"/>
          <w:rtl/>
        </w:rPr>
        <w:t xml:space="preserve">נפלו לה קודם שנתארסה ונתארסה </w:t>
      </w:r>
      <w:r>
        <w:rPr>
          <w:rFonts w:cs="Arial" w:hint="cs"/>
          <w:rtl/>
        </w:rPr>
        <w:t xml:space="preserve">- </w:t>
      </w:r>
      <w:r w:rsidRPr="000C687E">
        <w:rPr>
          <w:rFonts w:cs="Arial"/>
          <w:rtl/>
        </w:rPr>
        <w:t>מוכרת לכתחילה</w:t>
      </w:r>
      <w:r>
        <w:rPr>
          <w:rFonts w:cs="Arial" w:hint="cs"/>
          <w:rtl/>
        </w:rPr>
        <w:t>.</w:t>
      </w:r>
      <w:r w:rsidRPr="00CB7822">
        <w:rPr>
          <w:rFonts w:cs="Arial" w:hint="cs"/>
          <w:rtl/>
        </w:rPr>
        <w:t xml:space="preserve"> </w:t>
      </w:r>
      <w:r w:rsidRPr="00CB7822">
        <w:rPr>
          <w:rFonts w:cs="Arial"/>
          <w:rtl/>
        </w:rPr>
        <w:t>נפלו לה משנתארסה</w:t>
      </w:r>
      <w:r>
        <w:rPr>
          <w:rFonts w:cs="Arial" w:hint="cs"/>
          <w:rtl/>
        </w:rPr>
        <w:t>,</w:t>
      </w:r>
      <w:r w:rsidRPr="00CB7822">
        <w:rPr>
          <w:rFonts w:cs="Arial"/>
          <w:rtl/>
        </w:rPr>
        <w:t xml:space="preserve"> לא תמכור לכתחילה בעודה ארוסה</w:t>
      </w:r>
      <w:r w:rsidRPr="00CB7822">
        <w:rPr>
          <w:rFonts w:cs="Arial" w:hint="cs"/>
          <w:rtl/>
        </w:rPr>
        <w:t>,</w:t>
      </w:r>
      <w:r w:rsidRPr="00CB7822">
        <w:rPr>
          <w:rFonts w:cs="Arial"/>
          <w:rtl/>
        </w:rPr>
        <w:t xml:space="preserve"> ואם מכרה ונתנה</w:t>
      </w:r>
      <w:r w:rsidRPr="00CB7822">
        <w:rPr>
          <w:rFonts w:cs="Arial" w:hint="cs"/>
          <w:rtl/>
        </w:rPr>
        <w:t xml:space="preserve"> -</w:t>
      </w:r>
      <w:r w:rsidRPr="00CB7822">
        <w:rPr>
          <w:rFonts w:cs="Arial"/>
          <w:rtl/>
        </w:rPr>
        <w:t xml:space="preserve"> קיים</w:t>
      </w:r>
      <w:r w:rsidRPr="00CB7822">
        <w:rPr>
          <w:rFonts w:cs="Arial" w:hint="cs"/>
          <w:rtl/>
        </w:rPr>
        <w:t>.</w:t>
      </w:r>
      <w:r w:rsidRPr="00060A73">
        <w:rPr>
          <w:rFonts w:cs="Arial"/>
          <w:color w:val="00B0F0"/>
          <w:rtl/>
        </w:rPr>
        <w:t xml:space="preserve"> </w:t>
      </w:r>
      <w:r w:rsidR="00060A73" w:rsidRPr="00060A73">
        <w:rPr>
          <w:rFonts w:cs="Arial" w:hint="cs"/>
          <w:color w:val="00B0F0"/>
          <w:rtl/>
        </w:rPr>
        <w:t>(וכ"פ הרמ"א)</w:t>
      </w:r>
    </w:p>
    <w:p w14:paraId="611489F4" w14:textId="77777777" w:rsidR="00EB79BF" w:rsidRDefault="00EB79BF" w:rsidP="00EB79BF">
      <w:pPr>
        <w:rPr>
          <w:rFonts w:cs="Arial"/>
          <w:rtl/>
        </w:rPr>
      </w:pPr>
      <w:r w:rsidRPr="003024E5">
        <w:rPr>
          <w:rFonts w:asciiTheme="minorBidi" w:hAnsiTheme="minorBidi"/>
          <w:b/>
          <w:bCs/>
          <w:color w:val="000000"/>
          <w:sz w:val="28"/>
          <w:szCs w:val="28"/>
          <w:u w:val="single"/>
          <w:rtl/>
        </w:rPr>
        <w:t>שו"ע:</w:t>
      </w:r>
    </w:p>
    <w:p w14:paraId="7C28179B" w14:textId="07F22CC6" w:rsidR="00EB79BF" w:rsidRDefault="00EB79BF" w:rsidP="00EB79BF">
      <w:pPr>
        <w:rPr>
          <w:rFonts w:cs="Arial"/>
          <w:rtl/>
        </w:rPr>
      </w:pPr>
      <w:r w:rsidRPr="00EB79BF">
        <w:rPr>
          <w:rFonts w:cs="Arial"/>
          <w:rtl/>
        </w:rPr>
        <w:t>במה דברים אמורים, שאם מכרה משנשאת מוציא הבעל מיד הלקוחות, בנכסים הידועים לבעל. אבל אם נפלו לה נכסים ולא ידע בהם הבעל</w:t>
      </w:r>
      <w:r w:rsidR="00CB7822">
        <w:rPr>
          <w:rFonts w:cs="Arial" w:hint="cs"/>
          <w:rtl/>
        </w:rPr>
        <w:t>,</w:t>
      </w:r>
      <w:r w:rsidRPr="00EB79BF">
        <w:rPr>
          <w:rFonts w:cs="Arial"/>
          <w:rtl/>
        </w:rPr>
        <w:t xml:space="preserve"> לכתחלה לא תמכור</w:t>
      </w:r>
      <w:r w:rsidR="009E0829">
        <w:rPr>
          <w:rStyle w:val="a7"/>
          <w:rFonts w:cs="Arial"/>
          <w:rtl/>
        </w:rPr>
        <w:footnoteReference w:id="1309"/>
      </w:r>
      <w:r w:rsidR="00CB7822">
        <w:rPr>
          <w:rFonts w:cs="Arial" w:hint="cs"/>
          <w:rtl/>
        </w:rPr>
        <w:t>.</w:t>
      </w:r>
      <w:r w:rsidRPr="00EB79BF">
        <w:rPr>
          <w:rFonts w:cs="Arial"/>
          <w:rtl/>
        </w:rPr>
        <w:t xml:space="preserve"> </w:t>
      </w:r>
      <w:r w:rsidR="00CB7822">
        <w:rPr>
          <w:rFonts w:cs="Arial" w:hint="cs"/>
          <w:sz w:val="18"/>
          <w:szCs w:val="18"/>
          <w:rtl/>
        </w:rPr>
        <w:t xml:space="preserve">[הגה] </w:t>
      </w:r>
      <w:r w:rsidRPr="00FA43C3">
        <w:rPr>
          <w:rFonts w:cs="Arial"/>
          <w:sz w:val="18"/>
          <w:szCs w:val="18"/>
          <w:rtl/>
        </w:rPr>
        <w:t>ואם מכרה אותם קודם שידע בהם מכרה קיים</w:t>
      </w:r>
      <w:r w:rsidR="00747D61">
        <w:rPr>
          <w:rFonts w:cs="Arial" w:hint="cs"/>
          <w:sz w:val="18"/>
          <w:szCs w:val="18"/>
          <w:rtl/>
        </w:rPr>
        <w:t>.</w:t>
      </w:r>
      <w:r w:rsidRPr="00FA43C3">
        <w:rPr>
          <w:rFonts w:cs="Arial"/>
          <w:sz w:val="18"/>
          <w:szCs w:val="18"/>
          <w:rtl/>
        </w:rPr>
        <w:t xml:space="preserve"> וכן ארוסה לכתחלה לא תמכור נכסים שנפלו לה משנתארסה</w:t>
      </w:r>
      <w:r w:rsidR="00CB7822">
        <w:rPr>
          <w:rFonts w:cs="Arial" w:hint="cs"/>
          <w:sz w:val="18"/>
          <w:szCs w:val="18"/>
          <w:rtl/>
        </w:rPr>
        <w:t>.</w:t>
      </w:r>
      <w:r w:rsidRPr="00EB79BF">
        <w:rPr>
          <w:rFonts w:cs="Arial"/>
          <w:rtl/>
        </w:rPr>
        <w:t xml:space="preserve"> ואם מכרה קודם הנשואין</w:t>
      </w:r>
      <w:r w:rsidR="00CB7822">
        <w:rPr>
          <w:rFonts w:cs="Arial" w:hint="cs"/>
          <w:rtl/>
        </w:rPr>
        <w:t>,</w:t>
      </w:r>
      <w:r w:rsidRPr="00EB79BF">
        <w:rPr>
          <w:rFonts w:cs="Arial"/>
          <w:rtl/>
        </w:rPr>
        <w:t xml:space="preserve"> מכרה קיים</w:t>
      </w:r>
      <w:r w:rsidR="00CB7822">
        <w:rPr>
          <w:rFonts w:cs="Arial" w:hint="cs"/>
          <w:rtl/>
        </w:rPr>
        <w:t>.</w:t>
      </w:r>
      <w:r w:rsidRPr="00EB79BF">
        <w:rPr>
          <w:rFonts w:cs="Arial"/>
          <w:rtl/>
        </w:rPr>
        <w:t xml:space="preserve"> </w:t>
      </w:r>
      <w:r w:rsidR="00CB7822">
        <w:rPr>
          <w:rFonts w:cs="Arial" w:hint="cs"/>
          <w:sz w:val="18"/>
          <w:szCs w:val="18"/>
          <w:rtl/>
        </w:rPr>
        <w:t xml:space="preserve">[הגה] </w:t>
      </w:r>
      <w:r w:rsidRPr="00FA43C3">
        <w:rPr>
          <w:rFonts w:cs="Arial"/>
          <w:sz w:val="18"/>
          <w:szCs w:val="18"/>
          <w:rtl/>
        </w:rPr>
        <w:t>אפילו נכסים הידועים לו</w:t>
      </w:r>
      <w:r w:rsidRPr="00EB79BF">
        <w:rPr>
          <w:rFonts w:cs="Arial"/>
          <w:rtl/>
        </w:rPr>
        <w:t xml:space="preserve">. </w:t>
      </w:r>
    </w:p>
    <w:p w14:paraId="3419036A" w14:textId="77777777" w:rsidR="00563F42" w:rsidRPr="00EB79BF" w:rsidRDefault="00563F42" w:rsidP="00EB79BF">
      <w:pPr>
        <w:rPr>
          <w:rFonts w:cs="Arial"/>
          <w:rtl/>
        </w:rPr>
      </w:pPr>
    </w:p>
    <w:p w14:paraId="291E845B" w14:textId="2843BE3D" w:rsidR="00EB79BF" w:rsidRDefault="00EB79BF" w:rsidP="000F64D0">
      <w:pPr>
        <w:pStyle w:val="2"/>
        <w:rPr>
          <w:rtl/>
        </w:rPr>
      </w:pPr>
      <w:r w:rsidRPr="00EB79BF">
        <w:rPr>
          <w:rtl/>
        </w:rPr>
        <w:t>סעיף יב</w:t>
      </w:r>
      <w:r w:rsidR="00747D61">
        <w:rPr>
          <w:rFonts w:hint="cs"/>
          <w:rtl/>
        </w:rPr>
        <w:t>: בעל שנודע לו על נכסים שיש לאשתו.</w:t>
      </w:r>
    </w:p>
    <w:p w14:paraId="49E5E31B" w14:textId="13CF16FC" w:rsidR="00817B9C" w:rsidRPr="00910875" w:rsidRDefault="00910875" w:rsidP="00817B9C">
      <w:pPr>
        <w:rPr>
          <w:u w:val="single"/>
          <w:rtl/>
        </w:rPr>
      </w:pPr>
      <w:r w:rsidRPr="00910875">
        <w:rPr>
          <w:rFonts w:hint="cs"/>
          <w:u w:val="single"/>
          <w:rtl/>
        </w:rPr>
        <w:t xml:space="preserve">נכסים שאינם ידועים לבעל </w:t>
      </w:r>
      <w:r w:rsidR="00F97626">
        <w:rPr>
          <w:u w:val="single"/>
          <w:rtl/>
        </w:rPr>
        <w:t>-</w:t>
      </w:r>
      <w:r w:rsidRPr="00910875">
        <w:rPr>
          <w:rFonts w:hint="cs"/>
          <w:u w:val="single"/>
          <w:rtl/>
        </w:rPr>
        <w:t xml:space="preserve"> מה דינם לאחר שהם נודעו לבעל:</w:t>
      </w:r>
    </w:p>
    <w:p w14:paraId="6A3EAB2B" w14:textId="7EF6F84F" w:rsidR="00910875" w:rsidRDefault="00062818" w:rsidP="009000E3">
      <w:pPr>
        <w:pStyle w:val="ab"/>
        <w:numPr>
          <w:ilvl w:val="0"/>
          <w:numId w:val="55"/>
        </w:numPr>
      </w:pPr>
      <w:r>
        <w:rPr>
          <w:rFonts w:cs="Arial" w:hint="cs"/>
          <w:rtl/>
        </w:rPr>
        <w:t xml:space="preserve">רא"ש </w:t>
      </w:r>
      <w:r>
        <w:rPr>
          <w:rFonts w:cs="Arial" w:hint="cs"/>
          <w:sz w:val="16"/>
          <w:szCs w:val="16"/>
          <w:rtl/>
        </w:rPr>
        <w:t xml:space="preserve">(כתובות פ"ח סי' א) </w:t>
      </w:r>
      <w:r>
        <w:rPr>
          <w:rFonts w:cs="Arial" w:hint="cs"/>
          <w:rtl/>
        </w:rPr>
        <w:t xml:space="preserve">וטור- נכסים שאינם ידועים לבעל, </w:t>
      </w:r>
      <w:r w:rsidRPr="000C687E">
        <w:rPr>
          <w:rFonts w:cs="Arial"/>
          <w:rtl/>
        </w:rPr>
        <w:t>מיד כשנודעו לבעל נעשו נכסי מלוג</w:t>
      </w:r>
      <w:r>
        <w:rPr>
          <w:rFonts w:cs="Arial" w:hint="cs"/>
          <w:rtl/>
        </w:rPr>
        <w:t>.</w:t>
      </w:r>
      <w:r w:rsidRPr="000C687E">
        <w:rPr>
          <w:rFonts w:cs="Arial"/>
          <w:rtl/>
        </w:rPr>
        <w:t xml:space="preserve"> וכן הפירות שימצאו בידה</w:t>
      </w:r>
      <w:r>
        <w:rPr>
          <w:rFonts w:cs="Arial" w:hint="cs"/>
          <w:rtl/>
        </w:rPr>
        <w:t>,</w:t>
      </w:r>
      <w:r w:rsidRPr="000C687E">
        <w:rPr>
          <w:rFonts w:cs="Arial"/>
          <w:rtl/>
        </w:rPr>
        <w:t xml:space="preserve"> מיד שיודעו לו יהיו נכסי מלוג</w:t>
      </w:r>
      <w:r>
        <w:rPr>
          <w:rFonts w:cs="Arial" w:hint="cs"/>
          <w:rtl/>
        </w:rPr>
        <w:t>,</w:t>
      </w:r>
      <w:r w:rsidRPr="000C687E">
        <w:rPr>
          <w:rFonts w:cs="Arial"/>
          <w:rtl/>
        </w:rPr>
        <w:t xml:space="preserve"> וילקח בהן קרקע והוא אוכל פירות</w:t>
      </w:r>
      <w:r>
        <w:rPr>
          <w:rFonts w:cs="Arial" w:hint="cs"/>
          <w:sz w:val="16"/>
          <w:szCs w:val="16"/>
          <w:rtl/>
        </w:rPr>
        <w:t xml:space="preserve"> (ל' הטור)</w:t>
      </w:r>
      <w:r>
        <w:rPr>
          <w:rFonts w:cs="Arial" w:hint="cs"/>
          <w:rtl/>
        </w:rPr>
        <w:t>.</w:t>
      </w:r>
      <w:r w:rsidRPr="00062818">
        <w:rPr>
          <w:rFonts w:hint="cs"/>
          <w:color w:val="E36C0A" w:themeColor="accent6" w:themeShade="BF"/>
          <w:rtl/>
        </w:rPr>
        <w:t xml:space="preserve"> </w:t>
      </w:r>
      <w:r w:rsidRPr="001D67C0">
        <w:rPr>
          <w:rFonts w:hint="cs"/>
          <w:color w:val="E36C0A" w:themeColor="accent6" w:themeShade="BF"/>
          <w:rtl/>
        </w:rPr>
        <w:t>(וכ"פ בשו"ע)</w:t>
      </w:r>
    </w:p>
    <w:p w14:paraId="694821CF" w14:textId="25791561" w:rsidR="00062818" w:rsidRPr="00062818" w:rsidRDefault="00062818" w:rsidP="00062818">
      <w:pPr>
        <w:rPr>
          <w:u w:val="single"/>
        </w:rPr>
      </w:pPr>
      <w:r w:rsidRPr="00062818">
        <w:rPr>
          <w:u w:val="single"/>
          <w:rtl/>
        </w:rPr>
        <w:t>אשה שאמרה על ירושה שנפלה לה שאביה צוה לתת ממנה לאחרים</w:t>
      </w:r>
      <w:r w:rsidRPr="00062818">
        <w:rPr>
          <w:rFonts w:hint="cs"/>
          <w:u w:val="single"/>
          <w:rtl/>
        </w:rPr>
        <w:t>:</w:t>
      </w:r>
    </w:p>
    <w:p w14:paraId="47258E71" w14:textId="3CAB9937" w:rsidR="00D9440F" w:rsidRDefault="00D9440F" w:rsidP="009000E3">
      <w:pPr>
        <w:pStyle w:val="ab"/>
        <w:numPr>
          <w:ilvl w:val="0"/>
          <w:numId w:val="55"/>
        </w:numPr>
      </w:pPr>
      <w:r w:rsidRPr="00060A73">
        <w:rPr>
          <w:rFonts w:cs="Arial"/>
          <w:rtl/>
        </w:rPr>
        <w:t xml:space="preserve">רשב"א </w:t>
      </w:r>
      <w:r w:rsidR="00060A73" w:rsidRPr="00060A73">
        <w:rPr>
          <w:rFonts w:cs="Arial" w:hint="cs"/>
          <w:sz w:val="16"/>
          <w:szCs w:val="16"/>
          <w:rtl/>
        </w:rPr>
        <w:t>(</w:t>
      </w:r>
      <w:r w:rsidRPr="00060A73">
        <w:rPr>
          <w:rFonts w:cs="Arial"/>
          <w:sz w:val="16"/>
          <w:szCs w:val="16"/>
          <w:rtl/>
        </w:rPr>
        <w:t>ח"ב סי</w:t>
      </w:r>
      <w:r w:rsidR="00060A73" w:rsidRPr="00060A73">
        <w:rPr>
          <w:rFonts w:cs="Arial" w:hint="cs"/>
          <w:sz w:val="16"/>
          <w:szCs w:val="16"/>
          <w:rtl/>
        </w:rPr>
        <w:t>'</w:t>
      </w:r>
      <w:r w:rsidRPr="00060A73">
        <w:rPr>
          <w:rFonts w:cs="Arial"/>
          <w:sz w:val="16"/>
          <w:szCs w:val="16"/>
          <w:rtl/>
        </w:rPr>
        <w:t xml:space="preserve"> שז)</w:t>
      </w:r>
      <w:r w:rsidR="00060A73" w:rsidRPr="00060A73">
        <w:rPr>
          <w:rFonts w:cs="Arial" w:hint="cs"/>
          <w:rtl/>
        </w:rPr>
        <w:t>-</w:t>
      </w:r>
      <w:r w:rsidRPr="00060A73">
        <w:rPr>
          <w:rFonts w:cs="Arial"/>
          <w:rtl/>
        </w:rPr>
        <w:t xml:space="preserve"> </w:t>
      </w:r>
      <w:r w:rsidR="00EE7EDC" w:rsidRPr="00EE7EDC">
        <w:rPr>
          <w:rFonts w:cs="Arial"/>
          <w:rtl/>
        </w:rPr>
        <w:t>שאלת</w:t>
      </w:r>
      <w:r w:rsidR="008230BF">
        <w:rPr>
          <w:rFonts w:cs="Arial" w:hint="cs"/>
          <w:rtl/>
        </w:rPr>
        <w:t>:</w:t>
      </w:r>
      <w:r w:rsidR="00EE7EDC" w:rsidRPr="00EE7EDC">
        <w:rPr>
          <w:rFonts w:cs="Arial"/>
          <w:rtl/>
        </w:rPr>
        <w:t xml:space="preserve"> ראובן שמת והיו לו שתי בנות יורשות נשואות לבעל. אחת לשמעון ואחת ללוי. ועמדת אשת לוי והודה בבית דין לשמעון בעל אחות</w:t>
      </w:r>
      <w:r w:rsidR="008230BF">
        <w:rPr>
          <w:rFonts w:cs="Arial" w:hint="cs"/>
          <w:rtl/>
        </w:rPr>
        <w:t>ה</w:t>
      </w:r>
      <w:r w:rsidR="00EE7EDC" w:rsidRPr="00EE7EDC">
        <w:rPr>
          <w:rFonts w:cs="Arial"/>
          <w:rtl/>
        </w:rPr>
        <w:t xml:space="preserve"> שאביה צוה לפני מותו שיתנו לו מנכסיו מאה דינרין ואין שם עדים אלא הודאתה בלבד. אם תהיה נאמנת אם לאו</w:t>
      </w:r>
      <w:r w:rsidRPr="00060A73">
        <w:rPr>
          <w:rFonts w:cs="Arial"/>
          <w:rtl/>
        </w:rPr>
        <w:t>.</w:t>
      </w:r>
      <w:r w:rsidR="00EE7EDC">
        <w:rPr>
          <w:rFonts w:cs="Arial" w:hint="cs"/>
          <w:rtl/>
        </w:rPr>
        <w:t xml:space="preserve"> </w:t>
      </w:r>
      <w:r w:rsidR="00FE210D">
        <w:rPr>
          <w:rFonts w:cs="Arial" w:hint="cs"/>
          <w:rtl/>
        </w:rPr>
        <w:t xml:space="preserve">      תשובה:</w:t>
      </w:r>
      <w:r w:rsidR="00EE7EDC">
        <w:rPr>
          <w:rFonts w:cs="Arial" w:hint="cs"/>
          <w:rtl/>
        </w:rPr>
        <w:t>...</w:t>
      </w:r>
      <w:r w:rsidRPr="00EE7EDC">
        <w:rPr>
          <w:rFonts w:cs="Arial"/>
          <w:rtl/>
        </w:rPr>
        <w:t xml:space="preserve"> אם הודאתה זו היתה בב"ד קודם שידע לוי בעלה אם נפלו לה אותם נכסים</w:t>
      </w:r>
      <w:r w:rsidR="00062818">
        <w:rPr>
          <w:rFonts w:cs="Arial" w:hint="cs"/>
          <w:rtl/>
        </w:rPr>
        <w:t xml:space="preserve"> -</w:t>
      </w:r>
      <w:r w:rsidRPr="00EE7EDC">
        <w:rPr>
          <w:rFonts w:cs="Arial"/>
          <w:rtl/>
        </w:rPr>
        <w:t xml:space="preserve"> קיי"ל כרבי שמעון דנכסים שאינם ידועים לבעל אם מכרה ונתנה קיים</w:t>
      </w:r>
      <w:r w:rsidR="00EE7EDC">
        <w:rPr>
          <w:rFonts w:cs="Arial" w:hint="cs"/>
          <w:rtl/>
        </w:rPr>
        <w:t>,</w:t>
      </w:r>
      <w:r w:rsidRPr="00EE7EDC">
        <w:rPr>
          <w:rFonts w:cs="Arial"/>
          <w:rtl/>
        </w:rPr>
        <w:t xml:space="preserve"> והודאתה בבית דין כנתנה דמי</w:t>
      </w:r>
      <w:r w:rsidR="00EE7EDC">
        <w:rPr>
          <w:rFonts w:cs="Arial" w:hint="cs"/>
          <w:rtl/>
        </w:rPr>
        <w:t>.</w:t>
      </w:r>
      <w:r w:rsidRPr="00EE7EDC">
        <w:rPr>
          <w:rFonts w:cs="Arial"/>
          <w:rtl/>
        </w:rPr>
        <w:t xml:space="preserve"> ואם ידע הבעל קודם הודאתה בבית דין</w:t>
      </w:r>
      <w:r w:rsidR="00062818">
        <w:rPr>
          <w:rFonts w:cs="Arial" w:hint="cs"/>
          <w:rtl/>
        </w:rPr>
        <w:t xml:space="preserve"> -</w:t>
      </w:r>
      <w:r w:rsidRPr="00EE7EDC">
        <w:rPr>
          <w:rFonts w:cs="Arial"/>
          <w:rtl/>
        </w:rPr>
        <w:t xml:space="preserve"> אין בדבריה כלום ליתן לשמעון המאה דינרים</w:t>
      </w:r>
      <w:r w:rsidR="00EE7EDC">
        <w:rPr>
          <w:rFonts w:cs="Arial" w:hint="cs"/>
          <w:rtl/>
        </w:rPr>
        <w:t>.</w:t>
      </w:r>
      <w:r w:rsidRPr="00EE7EDC">
        <w:rPr>
          <w:rFonts w:cs="Arial"/>
          <w:rtl/>
        </w:rPr>
        <w:t xml:space="preserve"> ומכל מקום יש כאן מקום חקירה</w:t>
      </w:r>
      <w:r w:rsidR="00062818">
        <w:rPr>
          <w:rFonts w:cs="Arial" w:hint="cs"/>
          <w:rtl/>
        </w:rPr>
        <w:t>,</w:t>
      </w:r>
      <w:r w:rsidRPr="00EE7EDC">
        <w:rPr>
          <w:rFonts w:cs="Arial"/>
          <w:rtl/>
        </w:rPr>
        <w:t xml:space="preserve"> אם מת הבעל בחיי האשה</w:t>
      </w:r>
      <w:r w:rsidR="00EE7EDC">
        <w:rPr>
          <w:rFonts w:cs="Arial" w:hint="cs"/>
          <w:rtl/>
        </w:rPr>
        <w:t>,</w:t>
      </w:r>
      <w:r w:rsidRPr="00EE7EDC">
        <w:rPr>
          <w:rFonts w:cs="Arial"/>
          <w:rtl/>
        </w:rPr>
        <w:t xml:space="preserve"> אם יגבה שמעון זה מן האשה מחמת הודאתה</w:t>
      </w:r>
      <w:r w:rsidR="00EE7EDC">
        <w:rPr>
          <w:rFonts w:cs="Arial" w:hint="cs"/>
          <w:rtl/>
        </w:rPr>
        <w:t>.</w:t>
      </w:r>
      <w:r w:rsidRPr="00EE7EDC">
        <w:rPr>
          <w:rFonts w:cs="Arial"/>
          <w:rtl/>
        </w:rPr>
        <w:t xml:space="preserve"> לפי שאיפשר לה לטעון כשהודיתי לך לא היה אלא כדי להפסיד על בעלי</w:t>
      </w:r>
      <w:r w:rsidR="008230BF">
        <w:rPr>
          <w:rFonts w:cs="Arial" w:hint="cs"/>
          <w:rtl/>
        </w:rPr>
        <w:t>,</w:t>
      </w:r>
      <w:r w:rsidRPr="00EE7EDC">
        <w:rPr>
          <w:rFonts w:cs="Arial"/>
          <w:rtl/>
        </w:rPr>
        <w:t xml:space="preserve"> וכיון שבאותה שעה לא הייתי נאמנת נתבטלה הודאתי ואינה חוזרת ונעורת עכשיו</w:t>
      </w:r>
      <w:r w:rsidR="00EE7EDC">
        <w:rPr>
          <w:rFonts w:cs="Arial" w:hint="cs"/>
          <w:rtl/>
        </w:rPr>
        <w:t>.</w:t>
      </w:r>
      <w:r w:rsidRPr="00EE7EDC">
        <w:rPr>
          <w:rFonts w:cs="Arial"/>
          <w:rtl/>
        </w:rPr>
        <w:t xml:space="preserve"> וכעין מה שכתב הראב"ד גבי האומר שטר אמנה הוא זה</w:t>
      </w:r>
      <w:r w:rsidR="00EE7EDC">
        <w:rPr>
          <w:rFonts w:cs="Arial" w:hint="cs"/>
          <w:rtl/>
        </w:rPr>
        <w:t>.</w:t>
      </w:r>
      <w:r w:rsidRPr="00EE7EDC">
        <w:rPr>
          <w:rFonts w:cs="Arial"/>
          <w:rtl/>
        </w:rPr>
        <w:t xml:space="preserve"> ומכל מקום מסתברא דכאן נאמנת היא</w:t>
      </w:r>
      <w:r w:rsidR="00EE7EDC">
        <w:rPr>
          <w:rFonts w:cs="Arial" w:hint="cs"/>
          <w:rtl/>
        </w:rPr>
        <w:t>,</w:t>
      </w:r>
      <w:r w:rsidRPr="00EE7EDC">
        <w:rPr>
          <w:rFonts w:cs="Arial"/>
          <w:rtl/>
        </w:rPr>
        <w:t xml:space="preserve"> לפי שקרן נכסי מלוג שלה הוא</w:t>
      </w:r>
      <w:r w:rsidR="00EE7EDC">
        <w:rPr>
          <w:rFonts w:cs="Arial" w:hint="cs"/>
          <w:rtl/>
        </w:rPr>
        <w:t>,</w:t>
      </w:r>
      <w:r w:rsidRPr="00EE7EDC">
        <w:rPr>
          <w:rFonts w:cs="Arial"/>
          <w:rtl/>
        </w:rPr>
        <w:t xml:space="preserve"> ונאמנת היא עליו</w:t>
      </w:r>
      <w:r w:rsidR="00EE7EDC">
        <w:rPr>
          <w:rFonts w:cs="Arial" w:hint="cs"/>
          <w:rtl/>
        </w:rPr>
        <w:t>,</w:t>
      </w:r>
      <w:r w:rsidRPr="00EE7EDC">
        <w:rPr>
          <w:rFonts w:cs="Arial"/>
          <w:rtl/>
        </w:rPr>
        <w:t xml:space="preserve"> שאין לבעל בקרן כלום כל שלא מתה האשה בחייו</w:t>
      </w:r>
      <w:r w:rsidR="00EE7EDC">
        <w:rPr>
          <w:rFonts w:cs="Arial" w:hint="cs"/>
          <w:rtl/>
        </w:rPr>
        <w:t>.</w:t>
      </w:r>
      <w:r w:rsidRPr="00EE7EDC">
        <w:rPr>
          <w:rFonts w:cs="Arial"/>
          <w:rtl/>
        </w:rPr>
        <w:t xml:space="preserve"> וזה נראה לי נכון</w:t>
      </w:r>
      <w:r w:rsidR="00EE7EDC">
        <w:rPr>
          <w:rFonts w:cs="Arial" w:hint="cs"/>
          <w:rtl/>
        </w:rPr>
        <w:t>.</w:t>
      </w:r>
      <w:r w:rsidR="00062818" w:rsidRPr="00062818">
        <w:rPr>
          <w:rFonts w:cs="Arial" w:hint="cs"/>
          <w:color w:val="00B0F0"/>
          <w:rtl/>
        </w:rPr>
        <w:t xml:space="preserve"> </w:t>
      </w:r>
      <w:r w:rsidR="00062818" w:rsidRPr="00060A73">
        <w:rPr>
          <w:rFonts w:cs="Arial" w:hint="cs"/>
          <w:color w:val="00B0F0"/>
          <w:rtl/>
        </w:rPr>
        <w:t>(וכ"פ הרמ"א)</w:t>
      </w:r>
    </w:p>
    <w:p w14:paraId="5B5FB446" w14:textId="0D90BEB9" w:rsidR="00EE7EDC" w:rsidRPr="004F118D" w:rsidRDefault="004F118D" w:rsidP="00EE7EDC">
      <w:pPr>
        <w:rPr>
          <w:u w:val="single"/>
        </w:rPr>
      </w:pPr>
      <w:r w:rsidRPr="004F118D">
        <w:rPr>
          <w:rFonts w:hint="cs"/>
          <w:u w:val="single"/>
          <w:rtl/>
        </w:rPr>
        <w:t>האם הבעל יורש את הנכסים הלא ידועים של אשתו:</w:t>
      </w:r>
      <w:r w:rsidRPr="004F118D">
        <w:rPr>
          <w:rFonts w:cs="Arial"/>
          <w:sz w:val="16"/>
          <w:szCs w:val="16"/>
          <w:rtl/>
        </w:rPr>
        <w:t xml:space="preserve"> (</w:t>
      </w:r>
      <w:r w:rsidRPr="004F118D">
        <w:rPr>
          <w:rFonts w:cs="Arial" w:hint="cs"/>
          <w:sz w:val="16"/>
          <w:szCs w:val="16"/>
          <w:rtl/>
        </w:rPr>
        <w:t xml:space="preserve">דרכ"מ אות </w:t>
      </w:r>
      <w:r w:rsidRPr="004F118D">
        <w:rPr>
          <w:rFonts w:cs="Arial"/>
          <w:sz w:val="16"/>
          <w:szCs w:val="16"/>
          <w:rtl/>
        </w:rPr>
        <w:t>י)</w:t>
      </w:r>
    </w:p>
    <w:p w14:paraId="3316E007" w14:textId="0C9A6B95" w:rsidR="00EE7EDC" w:rsidRPr="00D9440F" w:rsidRDefault="00EE7EDC" w:rsidP="009000E3">
      <w:pPr>
        <w:pStyle w:val="ab"/>
        <w:numPr>
          <w:ilvl w:val="0"/>
          <w:numId w:val="55"/>
        </w:numPr>
        <w:rPr>
          <w:rtl/>
        </w:rPr>
      </w:pPr>
      <w:r w:rsidRPr="00D9440F">
        <w:rPr>
          <w:rFonts w:cs="Arial"/>
          <w:rtl/>
        </w:rPr>
        <w:t>ר"ן</w:t>
      </w:r>
      <w:r w:rsidRPr="004F118D">
        <w:rPr>
          <w:rFonts w:cs="Arial"/>
          <w:sz w:val="16"/>
          <w:szCs w:val="16"/>
          <w:rtl/>
        </w:rPr>
        <w:t xml:space="preserve"> </w:t>
      </w:r>
      <w:r w:rsidR="004F118D" w:rsidRPr="004F118D">
        <w:rPr>
          <w:rFonts w:cs="Arial" w:hint="cs"/>
          <w:sz w:val="16"/>
          <w:szCs w:val="16"/>
          <w:rtl/>
        </w:rPr>
        <w:t>(</w:t>
      </w:r>
      <w:r w:rsidRPr="004F118D">
        <w:rPr>
          <w:rFonts w:cs="Arial"/>
          <w:sz w:val="16"/>
          <w:szCs w:val="16"/>
          <w:rtl/>
        </w:rPr>
        <w:t>ריש האשה שנפלו</w:t>
      </w:r>
      <w:r w:rsidR="004F118D" w:rsidRPr="004F118D">
        <w:rPr>
          <w:rFonts w:cs="Arial" w:hint="cs"/>
          <w:sz w:val="16"/>
          <w:szCs w:val="16"/>
          <w:rtl/>
        </w:rPr>
        <w:t xml:space="preserve"> </w:t>
      </w:r>
      <w:r w:rsidRPr="004F118D">
        <w:rPr>
          <w:rFonts w:cs="Arial"/>
          <w:sz w:val="16"/>
          <w:szCs w:val="16"/>
          <w:rtl/>
        </w:rPr>
        <w:t>לז. ד"ה גמ' ידועים)</w:t>
      </w:r>
      <w:r w:rsidR="004F118D">
        <w:rPr>
          <w:rFonts w:cs="Arial" w:hint="cs"/>
          <w:rtl/>
        </w:rPr>
        <w:t>-</w:t>
      </w:r>
      <w:r w:rsidRPr="00D9440F">
        <w:rPr>
          <w:rFonts w:cs="Arial"/>
          <w:rtl/>
        </w:rPr>
        <w:t xml:space="preserve"> איש יורש נכסי אשתו אע</w:t>
      </w:r>
      <w:r w:rsidR="004F118D">
        <w:rPr>
          <w:rFonts w:cs="Arial" w:hint="cs"/>
          <w:rtl/>
        </w:rPr>
        <w:t>"</w:t>
      </w:r>
      <w:r w:rsidRPr="00D9440F">
        <w:rPr>
          <w:rFonts w:cs="Arial"/>
          <w:rtl/>
        </w:rPr>
        <w:t>פ שלא היו ידועים לו</w:t>
      </w:r>
      <w:r w:rsidR="004F118D">
        <w:rPr>
          <w:rStyle w:val="a7"/>
          <w:rFonts w:cs="Arial"/>
          <w:rtl/>
        </w:rPr>
        <w:footnoteReference w:id="1310"/>
      </w:r>
      <w:r w:rsidR="004F118D">
        <w:rPr>
          <w:rFonts w:cs="Arial" w:hint="cs"/>
          <w:rtl/>
        </w:rPr>
        <w:t>.</w:t>
      </w:r>
      <w:r w:rsidRPr="00D9440F">
        <w:rPr>
          <w:rFonts w:cs="Arial"/>
          <w:rtl/>
        </w:rPr>
        <w:t xml:space="preserve"> </w:t>
      </w:r>
    </w:p>
    <w:p w14:paraId="6BFD37F2" w14:textId="77777777" w:rsidR="00EB79BF" w:rsidRDefault="00EB79BF" w:rsidP="00EB79BF">
      <w:pPr>
        <w:rPr>
          <w:rFonts w:cs="Arial"/>
          <w:rtl/>
        </w:rPr>
      </w:pPr>
      <w:r w:rsidRPr="003024E5">
        <w:rPr>
          <w:rFonts w:asciiTheme="minorBidi" w:hAnsiTheme="minorBidi"/>
          <w:b/>
          <w:bCs/>
          <w:color w:val="000000"/>
          <w:sz w:val="28"/>
          <w:szCs w:val="28"/>
          <w:u w:val="single"/>
          <w:rtl/>
        </w:rPr>
        <w:t>שו"ע:</w:t>
      </w:r>
    </w:p>
    <w:p w14:paraId="12C85208" w14:textId="0D8377A1" w:rsidR="00EB79BF" w:rsidRDefault="00EB79BF" w:rsidP="00EB79BF">
      <w:pPr>
        <w:rPr>
          <w:rFonts w:cs="Arial"/>
          <w:rtl/>
        </w:rPr>
      </w:pPr>
      <w:r w:rsidRPr="00EB79BF">
        <w:rPr>
          <w:rFonts w:cs="Arial"/>
          <w:rtl/>
        </w:rPr>
        <w:t xml:space="preserve">נכסים שאינם ידועים לבעל, כשיודעו לו, מיד נעשו נכסי מלוג. וכן הפירות שימצאו בידה, מיד שיודעו לו הם נכסי מלוג. </w:t>
      </w:r>
      <w:r w:rsidRPr="00FA43C3">
        <w:rPr>
          <w:rFonts w:cs="Arial"/>
          <w:sz w:val="18"/>
          <w:szCs w:val="18"/>
          <w:rtl/>
        </w:rPr>
        <w:t>הגה: אשה שאמרה על ירושה שנפלה לה שאביה צוה לתת ממנה לאחרים, אם הנכסים ידועים לבעל, אינה נאמנת. מיהו אם מת הבעל, צריכה לקיים הודאתה. ואם הנכסים אינם ידועים, נאמנת (רשב"א).</w:t>
      </w:r>
      <w:r w:rsidRPr="00EB79BF">
        <w:rPr>
          <w:rFonts w:cs="Arial"/>
          <w:rtl/>
        </w:rPr>
        <w:t xml:space="preserve"> </w:t>
      </w:r>
    </w:p>
    <w:p w14:paraId="4C4AAA14" w14:textId="77777777" w:rsidR="00FA43C3" w:rsidRPr="00EB79BF" w:rsidRDefault="00FA43C3" w:rsidP="00EB79BF">
      <w:pPr>
        <w:rPr>
          <w:rFonts w:cs="Arial"/>
          <w:rtl/>
        </w:rPr>
      </w:pPr>
    </w:p>
    <w:p w14:paraId="29FFAE83" w14:textId="602A0FBC" w:rsidR="00EB79BF" w:rsidRDefault="00EB79BF" w:rsidP="000F64D0">
      <w:pPr>
        <w:pStyle w:val="2"/>
        <w:rPr>
          <w:rtl/>
        </w:rPr>
      </w:pPr>
      <w:r w:rsidRPr="00EB79BF">
        <w:rPr>
          <w:rtl/>
        </w:rPr>
        <w:lastRenderedPageBreak/>
        <w:t>סעיף יג</w:t>
      </w:r>
      <w:r w:rsidR="00817B9C">
        <w:rPr>
          <w:rFonts w:hint="cs"/>
          <w:rtl/>
        </w:rPr>
        <w:t>:</w:t>
      </w:r>
      <w:r w:rsidR="00074620">
        <w:rPr>
          <w:rFonts w:hint="cs"/>
          <w:rtl/>
        </w:rPr>
        <w:t xml:space="preserve"> בעל שמכר נכסי אשתו.</w:t>
      </w:r>
      <w:r w:rsidR="001F180F">
        <w:rPr>
          <w:rFonts w:hint="cs"/>
          <w:rtl/>
        </w:rPr>
        <w:t xml:space="preserve"> ואשה שמכרה נכסי צאן ברזל.</w:t>
      </w:r>
    </w:p>
    <w:p w14:paraId="06917F4D" w14:textId="77777777" w:rsidR="005C1714" w:rsidRDefault="005C1714" w:rsidP="005C1714">
      <w:pPr>
        <w:rPr>
          <w:rFonts w:cs="Arial"/>
          <w:rtl/>
        </w:rPr>
      </w:pPr>
      <w:r>
        <w:rPr>
          <w:rFonts w:cs="Arial" w:hint="cs"/>
          <w:b/>
          <w:bCs/>
          <w:rtl/>
        </w:rPr>
        <w:t xml:space="preserve">בבא בתרא </w:t>
      </w:r>
      <w:r w:rsidRPr="0065281E">
        <w:rPr>
          <w:rFonts w:cs="Arial" w:hint="cs"/>
          <w:b/>
          <w:bCs/>
          <w:sz w:val="16"/>
          <w:szCs w:val="16"/>
          <w:rtl/>
        </w:rPr>
        <w:t>(פ' חזקת)</w:t>
      </w:r>
      <w:r>
        <w:rPr>
          <w:rFonts w:cs="Arial" w:hint="cs"/>
          <w:b/>
          <w:bCs/>
          <w:rtl/>
        </w:rPr>
        <w:t xml:space="preserve"> נ ע"א: </w:t>
      </w:r>
      <w:r w:rsidRPr="0065281E">
        <w:rPr>
          <w:rFonts w:cs="Arial"/>
          <w:u w:val="single"/>
          <w:rtl/>
        </w:rPr>
        <w:t>האמר אמימר</w:t>
      </w:r>
      <w:r w:rsidRPr="0065281E">
        <w:rPr>
          <w:rFonts w:cs="Arial"/>
          <w:rtl/>
        </w:rPr>
        <w:t xml:space="preserve">: איש ואשה שמכרו בנכסי מלוג - לא עשו ולא כלום! כי איתמר דאמימר - היכא דזבין איהו ומית, אתיא איהי ומפקא, א"נ זבנה איהי ומתה, אתא איהו ומפיק בתקנתא דרבנן, וכדר' יוסי בר חנינא, </w:t>
      </w:r>
      <w:r w:rsidRPr="0065281E">
        <w:rPr>
          <w:rFonts w:cs="Arial"/>
          <w:u w:val="single"/>
          <w:rtl/>
        </w:rPr>
        <w:t>דאמר רבי יוסי בר חנינא</w:t>
      </w:r>
      <w:r w:rsidRPr="0065281E">
        <w:rPr>
          <w:rFonts w:cs="Arial"/>
          <w:rtl/>
        </w:rPr>
        <w:t>: באושא התקינו, האשה שמכרה בנכסי מלוג ומתה - הבעל מוצא מיד הלקוחות</w:t>
      </w:r>
      <w:r>
        <w:rPr>
          <w:rFonts w:cs="Arial" w:hint="cs"/>
          <w:rtl/>
        </w:rPr>
        <w:t>.</w:t>
      </w:r>
      <w:r w:rsidRPr="0065281E">
        <w:rPr>
          <w:rFonts w:cs="Arial"/>
          <w:rtl/>
        </w:rPr>
        <w:t xml:space="preserve"> </w:t>
      </w:r>
    </w:p>
    <w:p w14:paraId="16CD5EE1" w14:textId="77777777" w:rsidR="005C1714" w:rsidRPr="009D64F8" w:rsidRDefault="005C1714" w:rsidP="005C1714">
      <w:pPr>
        <w:rPr>
          <w:rFonts w:cs="Arial"/>
          <w:rtl/>
        </w:rPr>
      </w:pPr>
      <w:r>
        <w:rPr>
          <w:rFonts w:cs="Arial" w:hint="cs"/>
          <w:b/>
          <w:bCs/>
          <w:rtl/>
        </w:rPr>
        <w:t xml:space="preserve">ירושלמי כתובות פ"ט ה"א: </w:t>
      </w:r>
      <w:r w:rsidRPr="0053774C">
        <w:rPr>
          <w:rFonts w:cs="Arial"/>
          <w:u w:val="single"/>
          <w:rtl/>
        </w:rPr>
        <w:t>ר' הלל בר פזי בעא קומי ר' יוסי</w:t>
      </w:r>
      <w:r>
        <w:rPr>
          <w:rFonts w:cs="Arial" w:hint="cs"/>
          <w:rtl/>
        </w:rPr>
        <w:t xml:space="preserve">: </w:t>
      </w:r>
      <w:r w:rsidRPr="00D6797B">
        <w:rPr>
          <w:rFonts w:cs="Arial"/>
          <w:rtl/>
        </w:rPr>
        <w:t>מכר הוא ומתה היא</w:t>
      </w:r>
      <w:r>
        <w:rPr>
          <w:rFonts w:cs="Arial" w:hint="cs"/>
          <w:rtl/>
        </w:rPr>
        <w:t>?</w:t>
      </w:r>
      <w:r w:rsidRPr="00D6797B">
        <w:rPr>
          <w:rFonts w:cs="Arial"/>
          <w:rtl/>
        </w:rPr>
        <w:t xml:space="preserve"> </w:t>
      </w:r>
      <w:r w:rsidRPr="00D6797B">
        <w:rPr>
          <w:rFonts w:cs="Arial"/>
          <w:u w:val="single"/>
          <w:rtl/>
        </w:rPr>
        <w:t>אמר לו</w:t>
      </w:r>
      <w:r>
        <w:rPr>
          <w:rFonts w:cs="Arial" w:hint="cs"/>
          <w:rtl/>
        </w:rPr>
        <w:t>:</w:t>
      </w:r>
      <w:r w:rsidRPr="00D6797B">
        <w:rPr>
          <w:rFonts w:cs="Arial"/>
          <w:rtl/>
        </w:rPr>
        <w:t xml:space="preserve"> </w:t>
      </w:r>
      <w:r>
        <w:rPr>
          <w:rStyle w:val="a7"/>
          <w:rFonts w:cs="Arial"/>
          <w:rtl/>
        </w:rPr>
        <w:footnoteReference w:id="1311"/>
      </w:r>
      <w:r>
        <w:rPr>
          <w:rFonts w:cs="Arial" w:hint="cs"/>
          <w:rtl/>
        </w:rPr>
        <w:t>[</w:t>
      </w:r>
      <w:r w:rsidRPr="00D6797B">
        <w:rPr>
          <w:rFonts w:cs="Arial"/>
          <w:rtl/>
        </w:rPr>
        <w:t>מכר</w:t>
      </w:r>
      <w:r>
        <w:rPr>
          <w:rFonts w:cs="Arial" w:hint="cs"/>
          <w:rtl/>
        </w:rPr>
        <w:t>ו]</w:t>
      </w:r>
      <w:r w:rsidRPr="00D6797B">
        <w:rPr>
          <w:rFonts w:cs="Arial"/>
          <w:rtl/>
        </w:rPr>
        <w:t xml:space="preserve"> בטל</w:t>
      </w:r>
      <w:r>
        <w:rPr>
          <w:rFonts w:cs="Arial" w:hint="cs"/>
          <w:rtl/>
        </w:rPr>
        <w:t>.</w:t>
      </w:r>
    </w:p>
    <w:p w14:paraId="1EEDC697" w14:textId="42BCED9B" w:rsidR="00817B9C" w:rsidRPr="00074620" w:rsidRDefault="00074620" w:rsidP="00817B9C">
      <w:pPr>
        <w:rPr>
          <w:u w:val="single"/>
          <w:rtl/>
        </w:rPr>
      </w:pPr>
      <w:r w:rsidRPr="00074620">
        <w:rPr>
          <w:rFonts w:hint="cs"/>
          <w:u w:val="single"/>
          <w:rtl/>
        </w:rPr>
        <w:t xml:space="preserve">בעל שמכר נכסי </w:t>
      </w:r>
      <w:r w:rsidR="00AC2541">
        <w:rPr>
          <w:rFonts w:hint="cs"/>
          <w:u w:val="single"/>
          <w:rtl/>
        </w:rPr>
        <w:t>מלוג</w:t>
      </w:r>
      <w:r w:rsidRPr="00074620">
        <w:rPr>
          <w:rFonts w:hint="cs"/>
          <w:u w:val="single"/>
          <w:rtl/>
        </w:rPr>
        <w:t>:</w:t>
      </w:r>
    </w:p>
    <w:p w14:paraId="0D722BAA" w14:textId="0D805E3B" w:rsidR="001B0DE0" w:rsidRDefault="0052661D" w:rsidP="009000E3">
      <w:pPr>
        <w:pStyle w:val="ab"/>
        <w:numPr>
          <w:ilvl w:val="0"/>
          <w:numId w:val="55"/>
        </w:numPr>
        <w:rPr>
          <w:rFonts w:cs="Arial"/>
        </w:rPr>
      </w:pPr>
      <w:r>
        <w:rPr>
          <w:rFonts w:cs="Arial" w:hint="cs"/>
          <w:rtl/>
        </w:rPr>
        <w:t>רמב"ם</w:t>
      </w:r>
      <w:r w:rsidR="00074620">
        <w:rPr>
          <w:rStyle w:val="a7"/>
          <w:rFonts w:cs="Arial"/>
          <w:rtl/>
        </w:rPr>
        <w:footnoteReference w:id="1312"/>
      </w:r>
      <w:r>
        <w:rPr>
          <w:rFonts w:cs="Arial" w:hint="cs"/>
          <w:rtl/>
        </w:rPr>
        <w:t xml:space="preserve"> </w:t>
      </w:r>
      <w:r w:rsidRPr="0052661D">
        <w:rPr>
          <w:rFonts w:cs="Arial" w:hint="cs"/>
          <w:sz w:val="16"/>
          <w:szCs w:val="16"/>
          <w:rtl/>
        </w:rPr>
        <w:t>(פכ</w:t>
      </w:r>
      <w:r>
        <w:rPr>
          <w:rFonts w:cs="Arial" w:hint="cs"/>
          <w:sz w:val="16"/>
          <w:szCs w:val="16"/>
          <w:rtl/>
        </w:rPr>
        <w:t>"ב מאישות הכ"ב, כן הבין הב"י מדבריו)</w:t>
      </w:r>
      <w:r>
        <w:rPr>
          <w:rFonts w:cs="Arial" w:hint="cs"/>
          <w:rtl/>
        </w:rPr>
        <w:t xml:space="preserve"> </w:t>
      </w:r>
      <w:r>
        <w:rPr>
          <w:rFonts w:cs="Arial"/>
          <w:rtl/>
        </w:rPr>
        <w:t>רא"ש</w:t>
      </w:r>
      <w:r>
        <w:rPr>
          <w:rStyle w:val="a7"/>
          <w:rFonts w:cs="Arial"/>
          <w:rtl/>
        </w:rPr>
        <w:footnoteReference w:id="1313"/>
      </w:r>
      <w:r>
        <w:rPr>
          <w:rFonts w:cs="Arial"/>
          <w:rtl/>
        </w:rPr>
        <w:t xml:space="preserve"> </w:t>
      </w:r>
      <w:r w:rsidRPr="0052661D">
        <w:rPr>
          <w:rFonts w:hint="cs"/>
          <w:sz w:val="16"/>
          <w:szCs w:val="16"/>
          <w:rtl/>
        </w:rPr>
        <w:t>(ב"ב פ"ג סי' נג)</w:t>
      </w:r>
      <w:r>
        <w:rPr>
          <w:rFonts w:cs="Arial" w:hint="cs"/>
          <w:rtl/>
        </w:rPr>
        <w:t xml:space="preserve"> ו</w:t>
      </w:r>
      <w:r w:rsidR="008C513A" w:rsidRPr="008C513A">
        <w:rPr>
          <w:rFonts w:cs="Arial" w:hint="cs"/>
          <w:rtl/>
        </w:rPr>
        <w:t xml:space="preserve">טור- </w:t>
      </w:r>
      <w:r w:rsidR="008C513A" w:rsidRPr="008C513A">
        <w:rPr>
          <w:rFonts w:cs="Arial"/>
          <w:rtl/>
        </w:rPr>
        <w:t>אינו יכול למכור לבדו</w:t>
      </w:r>
      <w:r w:rsidR="005C4F1C">
        <w:rPr>
          <w:rFonts w:cs="Arial" w:hint="cs"/>
          <w:rtl/>
        </w:rPr>
        <w:t>.</w:t>
      </w:r>
      <w:r w:rsidR="008C513A" w:rsidRPr="008C513A">
        <w:rPr>
          <w:rFonts w:cs="Arial"/>
          <w:rtl/>
        </w:rPr>
        <w:t xml:space="preserve"> ואם מכר </w:t>
      </w:r>
      <w:r w:rsidR="005C4F1C">
        <w:rPr>
          <w:rFonts w:cs="Arial" w:hint="cs"/>
          <w:rtl/>
        </w:rPr>
        <w:t xml:space="preserve">- </w:t>
      </w:r>
      <w:r w:rsidR="008C513A" w:rsidRPr="008C513A">
        <w:rPr>
          <w:rFonts w:cs="Arial"/>
          <w:rtl/>
        </w:rPr>
        <w:t>המכר בטל מיד</w:t>
      </w:r>
      <w:r w:rsidR="001B0DE0">
        <w:rPr>
          <w:rFonts w:cs="Arial" w:hint="cs"/>
          <w:sz w:val="16"/>
          <w:szCs w:val="16"/>
          <w:rtl/>
        </w:rPr>
        <w:t xml:space="preserve"> (ל' הטור)</w:t>
      </w:r>
      <w:r w:rsidR="001B0DE0">
        <w:rPr>
          <w:rFonts w:cs="Arial" w:hint="cs"/>
          <w:rtl/>
        </w:rPr>
        <w:t>.</w:t>
      </w:r>
      <w:r w:rsidR="008C513A" w:rsidRPr="008C513A">
        <w:rPr>
          <w:rFonts w:cs="Arial"/>
          <w:rtl/>
        </w:rPr>
        <w:t xml:space="preserve"> </w:t>
      </w:r>
      <w:r w:rsidR="00301B9E" w:rsidRPr="001D67C0">
        <w:rPr>
          <w:rFonts w:hint="cs"/>
          <w:color w:val="E36C0A" w:themeColor="accent6" w:themeShade="BF"/>
          <w:rtl/>
        </w:rPr>
        <w:t>(וכ"פ בשו"ע)</w:t>
      </w:r>
    </w:p>
    <w:p w14:paraId="43E6D780" w14:textId="7710BD39" w:rsidR="001B0DE0" w:rsidRPr="001B0DE0" w:rsidRDefault="001B0DE0" w:rsidP="001B0DE0">
      <w:pPr>
        <w:ind w:left="360"/>
        <w:rPr>
          <w:rFonts w:cs="Arial"/>
          <w:u w:val="dotted"/>
        </w:rPr>
      </w:pPr>
      <w:r w:rsidRPr="001B0DE0">
        <w:rPr>
          <w:rFonts w:cs="Arial" w:hint="cs"/>
          <w:u w:val="dotted"/>
          <w:rtl/>
        </w:rPr>
        <w:t xml:space="preserve">האם גם הבעל יכול לערער </w:t>
      </w:r>
      <w:r w:rsidR="00CE2E6B">
        <w:rPr>
          <w:rFonts w:cs="Arial" w:hint="cs"/>
          <w:u w:val="dotted"/>
          <w:rtl/>
        </w:rPr>
        <w:t>ולהחזיר את</w:t>
      </w:r>
      <w:r w:rsidRPr="001B0DE0">
        <w:rPr>
          <w:rFonts w:cs="Arial" w:hint="cs"/>
          <w:u w:val="dotted"/>
          <w:rtl/>
        </w:rPr>
        <w:t xml:space="preserve"> המכר:</w:t>
      </w:r>
    </w:p>
    <w:p w14:paraId="25FCDA47" w14:textId="601832F2" w:rsidR="00AC2541" w:rsidRPr="00AC2541" w:rsidRDefault="001B0DE0" w:rsidP="009000E3">
      <w:pPr>
        <w:pStyle w:val="ab"/>
        <w:numPr>
          <w:ilvl w:val="0"/>
          <w:numId w:val="55"/>
        </w:numPr>
        <w:rPr>
          <w:rFonts w:cs="Arial"/>
        </w:rPr>
      </w:pPr>
      <w:r>
        <w:rPr>
          <w:rFonts w:cs="Arial"/>
          <w:rtl/>
        </w:rPr>
        <w:t xml:space="preserve">רא"ש </w:t>
      </w:r>
      <w:r w:rsidRPr="0052661D">
        <w:rPr>
          <w:rFonts w:hint="cs"/>
          <w:sz w:val="16"/>
          <w:szCs w:val="16"/>
          <w:rtl/>
        </w:rPr>
        <w:t>(ב"ב פ"ג סי' נג)</w:t>
      </w:r>
      <w:r>
        <w:rPr>
          <w:rFonts w:cs="Arial" w:hint="cs"/>
          <w:rtl/>
        </w:rPr>
        <w:t xml:space="preserve"> ו</w:t>
      </w:r>
      <w:r w:rsidRPr="008C513A">
        <w:rPr>
          <w:rFonts w:cs="Arial" w:hint="cs"/>
          <w:rtl/>
        </w:rPr>
        <w:t>טור</w:t>
      </w:r>
      <w:r>
        <w:rPr>
          <w:rFonts w:cs="Arial" w:hint="cs"/>
          <w:rtl/>
        </w:rPr>
        <w:t xml:space="preserve">- </w:t>
      </w:r>
      <w:r w:rsidR="008C513A" w:rsidRPr="008C513A">
        <w:rPr>
          <w:rFonts w:cs="Arial"/>
          <w:rtl/>
        </w:rPr>
        <w:t>ואפי' הוא יכול לערער עליו</w:t>
      </w:r>
      <w:r w:rsidR="005C1714">
        <w:rPr>
          <w:rStyle w:val="a7"/>
          <w:rFonts w:cs="Arial"/>
          <w:rtl/>
        </w:rPr>
        <w:footnoteReference w:id="1314"/>
      </w:r>
      <w:r w:rsidR="008A5B22">
        <w:rPr>
          <w:rFonts w:cs="Arial" w:hint="cs"/>
          <w:rtl/>
        </w:rPr>
        <w:t>,</w:t>
      </w:r>
      <w:r w:rsidR="008C513A" w:rsidRPr="008C513A">
        <w:rPr>
          <w:rFonts w:cs="Arial"/>
          <w:rtl/>
        </w:rPr>
        <w:t xml:space="preserve"> וכ</w:t>
      </w:r>
      <w:r w:rsidR="008A5B22">
        <w:rPr>
          <w:rFonts w:cs="Arial" w:hint="cs"/>
          <w:rtl/>
        </w:rPr>
        <w:t xml:space="preserve">ל </w:t>
      </w:r>
      <w:r w:rsidR="008C513A" w:rsidRPr="008C513A">
        <w:rPr>
          <w:rFonts w:cs="Arial"/>
          <w:rtl/>
        </w:rPr>
        <w:t>ש</w:t>
      </w:r>
      <w:r w:rsidR="008A5B22">
        <w:rPr>
          <w:rFonts w:cs="Arial" w:hint="cs"/>
          <w:rtl/>
        </w:rPr>
        <w:t>כן</w:t>
      </w:r>
      <w:r w:rsidR="008C513A" w:rsidRPr="008C513A">
        <w:rPr>
          <w:rFonts w:cs="Arial"/>
          <w:rtl/>
        </w:rPr>
        <w:t xml:space="preserve"> היא</w:t>
      </w:r>
      <w:r w:rsidR="00066C80">
        <w:rPr>
          <w:rFonts w:cs="Arial" w:hint="cs"/>
          <w:sz w:val="16"/>
          <w:szCs w:val="16"/>
          <w:rtl/>
        </w:rPr>
        <w:t xml:space="preserve"> (ל' הטור)</w:t>
      </w:r>
      <w:r w:rsidR="005C4F1C">
        <w:rPr>
          <w:rFonts w:cs="Arial" w:hint="cs"/>
          <w:rtl/>
        </w:rPr>
        <w:t>.</w:t>
      </w:r>
      <w:r w:rsidR="008C513A" w:rsidRPr="008C513A">
        <w:rPr>
          <w:rFonts w:cs="Arial"/>
          <w:rtl/>
        </w:rPr>
        <w:t xml:space="preserve"> </w:t>
      </w:r>
      <w:r w:rsidR="00301B9E" w:rsidRPr="001D67C0">
        <w:rPr>
          <w:rFonts w:hint="cs"/>
          <w:color w:val="E36C0A" w:themeColor="accent6" w:themeShade="BF"/>
          <w:rtl/>
        </w:rPr>
        <w:t>(וכ"</w:t>
      </w:r>
      <w:r w:rsidR="00301B9E">
        <w:rPr>
          <w:rFonts w:hint="cs"/>
          <w:color w:val="E36C0A" w:themeColor="accent6" w:themeShade="BF"/>
          <w:rtl/>
        </w:rPr>
        <w:t>כ</w:t>
      </w:r>
      <w:r w:rsidR="00301B9E" w:rsidRPr="001D67C0">
        <w:rPr>
          <w:rFonts w:hint="cs"/>
          <w:color w:val="E36C0A" w:themeColor="accent6" w:themeShade="BF"/>
          <w:rtl/>
        </w:rPr>
        <w:t xml:space="preserve"> בשו"ע)</w:t>
      </w:r>
    </w:p>
    <w:p w14:paraId="084DEE96" w14:textId="5B57207D" w:rsidR="00AC2541" w:rsidRDefault="00AC2541" w:rsidP="00AC2541">
      <w:pPr>
        <w:rPr>
          <w:rFonts w:cs="Arial"/>
          <w:rtl/>
        </w:rPr>
      </w:pPr>
      <w:r>
        <w:rPr>
          <w:rFonts w:cs="Arial" w:hint="cs"/>
          <w:b/>
          <w:bCs/>
          <w:rtl/>
        </w:rPr>
        <w:t>יבמות</w:t>
      </w:r>
      <w:r>
        <w:rPr>
          <w:rFonts w:cs="Arial" w:hint="cs"/>
          <w:b/>
          <w:bCs/>
          <w:sz w:val="16"/>
          <w:szCs w:val="16"/>
          <w:rtl/>
        </w:rPr>
        <w:t xml:space="preserve"> (ר"פ אלמנה לכה"ג)</w:t>
      </w:r>
      <w:r>
        <w:rPr>
          <w:rFonts w:cs="Arial" w:hint="cs"/>
          <w:b/>
          <w:bCs/>
          <w:rtl/>
        </w:rPr>
        <w:t xml:space="preserve"> סו ע"</w:t>
      </w:r>
      <w:r w:rsidR="0095124E">
        <w:rPr>
          <w:rFonts w:cs="Arial" w:hint="cs"/>
          <w:b/>
          <w:bCs/>
          <w:rtl/>
        </w:rPr>
        <w:t>ב</w:t>
      </w:r>
      <w:r>
        <w:rPr>
          <w:rFonts w:cs="Arial" w:hint="cs"/>
          <w:b/>
          <w:bCs/>
          <w:rtl/>
        </w:rPr>
        <w:t xml:space="preserve">: </w:t>
      </w:r>
      <w:r w:rsidRPr="00226A3D">
        <w:rPr>
          <w:rFonts w:cs="Arial"/>
          <w:rtl/>
        </w:rPr>
        <w:t>תניא כותיה דרב יהודה: המכנסת שום</w:t>
      </w:r>
      <w:r>
        <w:rPr>
          <w:rStyle w:val="a7"/>
          <w:rFonts w:cs="Arial"/>
          <w:rtl/>
        </w:rPr>
        <w:footnoteReference w:id="1315"/>
      </w:r>
      <w:r w:rsidRPr="00226A3D">
        <w:rPr>
          <w:rFonts w:cs="Arial"/>
          <w:rtl/>
        </w:rPr>
        <w:t xml:space="preserve"> לבעלה, אם רצה הבעל למכור - לא ימכור</w:t>
      </w:r>
      <w:r>
        <w:rPr>
          <w:rStyle w:val="a7"/>
          <w:rFonts w:cs="Arial"/>
          <w:rtl/>
        </w:rPr>
        <w:footnoteReference w:id="1316"/>
      </w:r>
      <w:r>
        <w:rPr>
          <w:rFonts w:cs="Arial" w:hint="cs"/>
          <w:rtl/>
        </w:rPr>
        <w:t>.</w:t>
      </w:r>
      <w:r w:rsidRPr="00226A3D">
        <w:rPr>
          <w:rFonts w:cs="Arial"/>
          <w:rtl/>
        </w:rPr>
        <w:t xml:space="preserve"> ולא עוד, אלא אפילו הכניס לה שום משלו, אם רצה הבעל למכור - לא ימכור</w:t>
      </w:r>
      <w:r>
        <w:rPr>
          <w:rFonts w:cs="Arial" w:hint="cs"/>
          <w:rtl/>
        </w:rPr>
        <w:t>.</w:t>
      </w:r>
      <w:r w:rsidRPr="00226A3D">
        <w:rPr>
          <w:rFonts w:cs="Arial"/>
          <w:rtl/>
        </w:rPr>
        <w:t xml:space="preserve"> מכרו שניהם</w:t>
      </w:r>
      <w:r>
        <w:rPr>
          <w:rStyle w:val="a7"/>
          <w:rFonts w:cs="Arial"/>
          <w:rtl/>
        </w:rPr>
        <w:footnoteReference w:id="1317"/>
      </w:r>
      <w:r w:rsidRPr="00226A3D">
        <w:rPr>
          <w:rFonts w:cs="Arial"/>
          <w:rtl/>
        </w:rPr>
        <w:t xml:space="preserve"> לפרנסה</w:t>
      </w:r>
      <w:r>
        <w:rPr>
          <w:rStyle w:val="a7"/>
          <w:rFonts w:cs="Arial"/>
          <w:rtl/>
        </w:rPr>
        <w:footnoteReference w:id="1318"/>
      </w:r>
      <w:r w:rsidRPr="00226A3D">
        <w:rPr>
          <w:rFonts w:cs="Arial"/>
          <w:rtl/>
        </w:rPr>
        <w:t>, זה היה מעשה לפני רשב"ג, ואמר: הבעל מוציא</w:t>
      </w:r>
      <w:r>
        <w:rPr>
          <w:rStyle w:val="a7"/>
          <w:rFonts w:cs="Arial"/>
          <w:rtl/>
        </w:rPr>
        <w:footnoteReference w:id="1319"/>
      </w:r>
      <w:r w:rsidRPr="00226A3D">
        <w:rPr>
          <w:rFonts w:cs="Arial"/>
          <w:rtl/>
        </w:rPr>
        <w:t xml:space="preserve"> מיד הלקוחות. </w:t>
      </w:r>
      <w:r w:rsidR="008C6772">
        <w:rPr>
          <w:rFonts w:cs="Arial" w:hint="cs"/>
          <w:sz w:val="16"/>
          <w:szCs w:val="16"/>
          <w:rtl/>
        </w:rPr>
        <w:t>(</w:t>
      </w:r>
      <w:r w:rsidR="008C6772" w:rsidRPr="008C6772">
        <w:rPr>
          <w:rFonts w:cs="Arial"/>
          <w:sz w:val="16"/>
          <w:szCs w:val="16"/>
          <w:rtl/>
        </w:rPr>
        <w:t>והאי מכרו שניהן לפרנסה דקאמר רשב"ג הבעל מוציא מיד הלקוחות לא איפשיטא שפיר דנעבד בה מעשה</w:t>
      </w:r>
      <w:r w:rsidR="008C6772">
        <w:rPr>
          <w:rFonts w:cs="Arial" w:hint="cs"/>
          <w:sz w:val="16"/>
          <w:szCs w:val="16"/>
          <w:rtl/>
        </w:rPr>
        <w:t>, רי"ף (כב.))</w:t>
      </w:r>
    </w:p>
    <w:p w14:paraId="4403E4D7" w14:textId="788FE123" w:rsidR="00AC2541" w:rsidRPr="00AC2541" w:rsidRDefault="00AC2541" w:rsidP="00AC2541">
      <w:pPr>
        <w:rPr>
          <w:rFonts w:cs="Arial"/>
          <w:u w:val="single"/>
        </w:rPr>
      </w:pPr>
      <w:r w:rsidRPr="00AC2541">
        <w:rPr>
          <w:rFonts w:cs="Arial" w:hint="cs"/>
          <w:u w:val="single"/>
          <w:rtl/>
        </w:rPr>
        <w:t>בעל שמכר נכסי צאן ברזל:</w:t>
      </w:r>
    </w:p>
    <w:p w14:paraId="35D0250C" w14:textId="2EBC2771" w:rsidR="005C4F1C" w:rsidRDefault="00AC2541" w:rsidP="009000E3">
      <w:pPr>
        <w:pStyle w:val="ab"/>
        <w:numPr>
          <w:ilvl w:val="0"/>
          <w:numId w:val="55"/>
        </w:numPr>
        <w:rPr>
          <w:rFonts w:cs="Arial"/>
        </w:rPr>
      </w:pPr>
      <w:r>
        <w:rPr>
          <w:rFonts w:cs="Arial" w:hint="cs"/>
          <w:rtl/>
        </w:rPr>
        <w:t xml:space="preserve">רמב"ם </w:t>
      </w:r>
      <w:r w:rsidRPr="0052661D">
        <w:rPr>
          <w:rFonts w:cs="Arial" w:hint="cs"/>
          <w:sz w:val="16"/>
          <w:szCs w:val="16"/>
          <w:rtl/>
        </w:rPr>
        <w:t>(פכ</w:t>
      </w:r>
      <w:r>
        <w:rPr>
          <w:rFonts w:cs="Arial" w:hint="cs"/>
          <w:sz w:val="16"/>
          <w:szCs w:val="16"/>
          <w:rtl/>
        </w:rPr>
        <w:t>"ב מאישות הכ"ב, כן הבין הב"י מדבריו)</w:t>
      </w:r>
      <w:r>
        <w:rPr>
          <w:rFonts w:cs="Arial" w:hint="cs"/>
          <w:rtl/>
        </w:rPr>
        <w:t xml:space="preserve"> </w:t>
      </w:r>
      <w:r>
        <w:rPr>
          <w:rFonts w:cs="Arial"/>
          <w:rtl/>
        </w:rPr>
        <w:t xml:space="preserve">רא"ש </w:t>
      </w:r>
      <w:r w:rsidRPr="0052661D">
        <w:rPr>
          <w:rFonts w:hint="cs"/>
          <w:sz w:val="16"/>
          <w:szCs w:val="16"/>
          <w:rtl/>
        </w:rPr>
        <w:t>(ב"ב פ"ג סי' נג)</w:t>
      </w:r>
      <w:r>
        <w:rPr>
          <w:rFonts w:cs="Arial" w:hint="cs"/>
          <w:rtl/>
        </w:rPr>
        <w:t xml:space="preserve"> ו</w:t>
      </w:r>
      <w:r w:rsidRPr="008C513A">
        <w:rPr>
          <w:rFonts w:cs="Arial" w:hint="cs"/>
          <w:rtl/>
        </w:rPr>
        <w:t>טור</w:t>
      </w:r>
      <w:r>
        <w:rPr>
          <w:rFonts w:cs="Arial" w:hint="cs"/>
          <w:rtl/>
        </w:rPr>
        <w:t xml:space="preserve">- </w:t>
      </w:r>
      <w:r w:rsidR="008C513A" w:rsidRPr="008C513A">
        <w:rPr>
          <w:rFonts w:cs="Arial"/>
          <w:rtl/>
        </w:rPr>
        <w:t>ולא מיבעיא נכסי מלוג שהן באחריותה שאינו יכול למוכרם</w:t>
      </w:r>
      <w:r w:rsidR="005C4F1C">
        <w:rPr>
          <w:rFonts w:cs="Arial" w:hint="cs"/>
          <w:rtl/>
        </w:rPr>
        <w:t>,</w:t>
      </w:r>
      <w:r w:rsidR="008C513A" w:rsidRPr="008C513A">
        <w:rPr>
          <w:rFonts w:cs="Arial"/>
          <w:rtl/>
        </w:rPr>
        <w:t xml:space="preserve"> אלא אפי</w:t>
      </w:r>
      <w:r w:rsidR="008A5B22">
        <w:rPr>
          <w:rFonts w:cs="Arial" w:hint="cs"/>
          <w:rtl/>
        </w:rPr>
        <w:t>לו</w:t>
      </w:r>
      <w:r w:rsidR="008C513A" w:rsidRPr="008C513A">
        <w:rPr>
          <w:rFonts w:cs="Arial"/>
          <w:rtl/>
        </w:rPr>
        <w:t xml:space="preserve"> נכסי צאן ברזל</w:t>
      </w:r>
      <w:r w:rsidR="00C319EF">
        <w:rPr>
          <w:rStyle w:val="a7"/>
          <w:rFonts w:cs="Arial"/>
          <w:rtl/>
        </w:rPr>
        <w:footnoteReference w:id="1320"/>
      </w:r>
      <w:r w:rsidR="008C513A" w:rsidRPr="008C513A">
        <w:rPr>
          <w:rFonts w:cs="Arial"/>
          <w:rtl/>
        </w:rPr>
        <w:t xml:space="preserve"> שהם באחריותו אם מכרן לבדו </w:t>
      </w:r>
      <w:r w:rsidR="005C4F1C">
        <w:rPr>
          <w:rFonts w:cs="Arial" w:hint="cs"/>
          <w:rtl/>
        </w:rPr>
        <w:t xml:space="preserve">- </w:t>
      </w:r>
      <w:r w:rsidR="008C513A" w:rsidRPr="008C513A">
        <w:rPr>
          <w:rFonts w:cs="Arial"/>
          <w:rtl/>
        </w:rPr>
        <w:t>מכרו בטל</w:t>
      </w:r>
      <w:r w:rsidR="005C4F1C">
        <w:rPr>
          <w:rFonts w:cs="Arial" w:hint="cs"/>
          <w:rtl/>
        </w:rPr>
        <w:t>,</w:t>
      </w:r>
      <w:r w:rsidR="008C513A" w:rsidRPr="008C513A">
        <w:rPr>
          <w:rFonts w:cs="Arial"/>
          <w:rtl/>
        </w:rPr>
        <w:t xml:space="preserve"> וכ</w:t>
      </w:r>
      <w:r w:rsidR="008A5B22">
        <w:rPr>
          <w:rFonts w:cs="Arial" w:hint="cs"/>
          <w:rtl/>
        </w:rPr>
        <w:t>ל שכן</w:t>
      </w:r>
      <w:r w:rsidR="008C513A" w:rsidRPr="008C513A">
        <w:rPr>
          <w:rFonts w:cs="Arial"/>
          <w:rtl/>
        </w:rPr>
        <w:t xml:space="preserve"> אם מכרה היא לבדה</w:t>
      </w:r>
      <w:r w:rsidR="007A08D8">
        <w:rPr>
          <w:rFonts w:cs="Arial" w:hint="cs"/>
          <w:sz w:val="16"/>
          <w:szCs w:val="16"/>
          <w:rtl/>
        </w:rPr>
        <w:t xml:space="preserve"> (ל' הטור)</w:t>
      </w:r>
      <w:r w:rsidR="005C4F1C">
        <w:rPr>
          <w:rFonts w:cs="Arial" w:hint="cs"/>
          <w:rtl/>
        </w:rPr>
        <w:t>.</w:t>
      </w:r>
    </w:p>
    <w:p w14:paraId="21692E33" w14:textId="5F1D9A9A" w:rsidR="00074620" w:rsidRPr="00074620" w:rsidRDefault="00074620" w:rsidP="00074620">
      <w:pPr>
        <w:ind w:left="360"/>
        <w:rPr>
          <w:rFonts w:cs="Arial"/>
          <w:u w:val="dotted"/>
        </w:rPr>
      </w:pPr>
      <w:r w:rsidRPr="00074620">
        <w:rPr>
          <w:rFonts w:cs="Arial" w:hint="cs"/>
          <w:u w:val="dotted"/>
          <w:rtl/>
        </w:rPr>
        <w:t>מתי המכר בטל, לאלתר או לכשתמות:</w:t>
      </w:r>
    </w:p>
    <w:p w14:paraId="1CF26AE9" w14:textId="64CDC62B" w:rsidR="00830C05" w:rsidRDefault="00830C05" w:rsidP="009000E3">
      <w:pPr>
        <w:pStyle w:val="ab"/>
        <w:numPr>
          <w:ilvl w:val="0"/>
          <w:numId w:val="55"/>
        </w:numPr>
        <w:rPr>
          <w:rFonts w:cs="Arial"/>
        </w:rPr>
      </w:pPr>
      <w:r>
        <w:rPr>
          <w:rFonts w:cs="Arial"/>
          <w:rtl/>
        </w:rPr>
        <w:t>רבינו גרשון</w:t>
      </w:r>
      <w:r>
        <w:rPr>
          <w:rFonts w:cs="Arial" w:hint="cs"/>
          <w:sz w:val="16"/>
          <w:szCs w:val="16"/>
          <w:rtl/>
        </w:rPr>
        <w:t xml:space="preserve"> (כ"כ הרא"ש</w:t>
      </w:r>
      <w:r w:rsidR="0055693F">
        <w:rPr>
          <w:rStyle w:val="a7"/>
          <w:rFonts w:cs="Arial"/>
          <w:sz w:val="16"/>
          <w:szCs w:val="16"/>
          <w:rtl/>
        </w:rPr>
        <w:footnoteReference w:id="1321"/>
      </w:r>
      <w:r>
        <w:rPr>
          <w:rFonts w:cs="Arial" w:hint="cs"/>
          <w:sz w:val="16"/>
          <w:szCs w:val="16"/>
          <w:rtl/>
        </w:rPr>
        <w:t xml:space="preserve"> </w:t>
      </w:r>
      <w:r>
        <w:rPr>
          <w:rFonts w:cs="Arial" w:hint="cs"/>
          <w:sz w:val="14"/>
          <w:szCs w:val="14"/>
          <w:rtl/>
        </w:rPr>
        <w:t>[</w:t>
      </w:r>
      <w:r w:rsidR="00984DA1">
        <w:rPr>
          <w:rFonts w:cs="Arial" w:hint="cs"/>
          <w:sz w:val="14"/>
          <w:szCs w:val="14"/>
          <w:rtl/>
        </w:rPr>
        <w:t xml:space="preserve">יבמות פ"ז </w:t>
      </w:r>
      <w:r>
        <w:rPr>
          <w:rFonts w:cs="Arial" w:hint="cs"/>
          <w:sz w:val="14"/>
          <w:szCs w:val="14"/>
          <w:rtl/>
        </w:rPr>
        <w:t xml:space="preserve">סי' א] </w:t>
      </w:r>
      <w:r>
        <w:rPr>
          <w:rFonts w:cs="Arial" w:hint="cs"/>
          <w:sz w:val="16"/>
          <w:szCs w:val="16"/>
          <w:rtl/>
        </w:rPr>
        <w:t>בשמו)</w:t>
      </w:r>
      <w:r>
        <w:rPr>
          <w:rFonts w:cs="Arial" w:hint="cs"/>
          <w:rtl/>
        </w:rPr>
        <w:t>-</w:t>
      </w:r>
      <w:r>
        <w:rPr>
          <w:rFonts w:cs="Arial"/>
          <w:rtl/>
        </w:rPr>
        <w:t xml:space="preserve"> אם מכר הבעל עצמו</w:t>
      </w:r>
      <w:r>
        <w:rPr>
          <w:rFonts w:cs="Arial" w:hint="cs"/>
          <w:rtl/>
        </w:rPr>
        <w:t xml:space="preserve">, </w:t>
      </w:r>
      <w:r>
        <w:rPr>
          <w:rFonts w:cs="Arial"/>
          <w:rtl/>
        </w:rPr>
        <w:t>האשה מוציאה</w:t>
      </w:r>
      <w:r>
        <w:rPr>
          <w:rFonts w:cs="Arial" w:hint="cs"/>
          <w:rtl/>
        </w:rPr>
        <w:t>.</w:t>
      </w:r>
      <w:r>
        <w:rPr>
          <w:rFonts w:cs="Arial"/>
          <w:rtl/>
        </w:rPr>
        <w:t xml:space="preserve"> ואם מכרה האשה</w:t>
      </w:r>
      <w:r>
        <w:rPr>
          <w:rFonts w:cs="Arial" w:hint="cs"/>
          <w:rtl/>
        </w:rPr>
        <w:t>,</w:t>
      </w:r>
      <w:r>
        <w:rPr>
          <w:rFonts w:cs="Arial"/>
          <w:rtl/>
        </w:rPr>
        <w:t xml:space="preserve"> הבעל מוציא</w:t>
      </w:r>
      <w:r>
        <w:rPr>
          <w:rFonts w:cs="Arial" w:hint="cs"/>
          <w:sz w:val="16"/>
          <w:szCs w:val="16"/>
          <w:rtl/>
        </w:rPr>
        <w:t xml:space="preserve"> (ל' הרא"ש בשמו)</w:t>
      </w:r>
      <w:r w:rsidR="0095124E">
        <w:rPr>
          <w:rFonts w:cs="Arial" w:hint="cs"/>
          <w:rtl/>
        </w:rPr>
        <w:t>,</w:t>
      </w:r>
      <w:r>
        <w:rPr>
          <w:rFonts w:cs="Arial" w:hint="cs"/>
          <w:rtl/>
        </w:rPr>
        <w:t xml:space="preserve"> ומוציאים מ</w:t>
      </w:r>
      <w:r w:rsidR="0055693F">
        <w:rPr>
          <w:rFonts w:cs="Arial" w:hint="cs"/>
          <w:rtl/>
        </w:rPr>
        <w:t xml:space="preserve">יד </w:t>
      </w:r>
      <w:r>
        <w:rPr>
          <w:rFonts w:cs="Arial" w:hint="cs"/>
          <w:rtl/>
        </w:rPr>
        <w:t>הלקוחות לאלתר</w:t>
      </w:r>
      <w:r w:rsidR="0055693F">
        <w:rPr>
          <w:rFonts w:cs="Arial" w:hint="cs"/>
          <w:sz w:val="16"/>
          <w:szCs w:val="16"/>
          <w:rtl/>
        </w:rPr>
        <w:t xml:space="preserve"> (ע"פ הרא"ש שם)</w:t>
      </w:r>
      <w:r>
        <w:rPr>
          <w:rFonts w:cs="Arial" w:hint="cs"/>
          <w:rtl/>
        </w:rPr>
        <w:t>.</w:t>
      </w:r>
    </w:p>
    <w:p w14:paraId="23A6273E" w14:textId="339F30B5" w:rsidR="005C4F1C" w:rsidRDefault="008C513A" w:rsidP="009000E3">
      <w:pPr>
        <w:pStyle w:val="ab"/>
        <w:numPr>
          <w:ilvl w:val="0"/>
          <w:numId w:val="55"/>
        </w:numPr>
        <w:rPr>
          <w:rFonts w:cs="Arial"/>
        </w:rPr>
      </w:pPr>
      <w:r w:rsidRPr="008C513A">
        <w:rPr>
          <w:rFonts w:cs="Arial"/>
          <w:rtl/>
        </w:rPr>
        <w:lastRenderedPageBreak/>
        <w:t>ר"ח</w:t>
      </w:r>
      <w:r w:rsidR="0055693F">
        <w:rPr>
          <w:rFonts w:cs="Arial" w:hint="cs"/>
          <w:sz w:val="16"/>
          <w:szCs w:val="16"/>
          <w:rtl/>
        </w:rPr>
        <w:t xml:space="preserve"> (כ"כ הרא"ש </w:t>
      </w:r>
      <w:r w:rsidR="00984DA1">
        <w:rPr>
          <w:rFonts w:cs="Arial" w:hint="cs"/>
          <w:sz w:val="16"/>
          <w:szCs w:val="16"/>
          <w:rtl/>
        </w:rPr>
        <w:t xml:space="preserve">[שם] </w:t>
      </w:r>
      <w:r w:rsidR="0055693F">
        <w:rPr>
          <w:rFonts w:cs="Arial" w:hint="cs"/>
          <w:sz w:val="16"/>
          <w:szCs w:val="16"/>
          <w:rtl/>
        </w:rPr>
        <w:t>והטור בשמו)</w:t>
      </w:r>
      <w:r w:rsidR="00A008A0">
        <w:rPr>
          <w:rFonts w:cs="Arial" w:hint="cs"/>
          <w:rtl/>
        </w:rPr>
        <w:t xml:space="preserve">- </w:t>
      </w:r>
      <w:r w:rsidRPr="008C513A">
        <w:rPr>
          <w:rFonts w:cs="Arial"/>
          <w:rtl/>
        </w:rPr>
        <w:t>דין נכסי צאן ברזל כדין נכסי מלוג</w:t>
      </w:r>
      <w:r w:rsidR="00A008A0">
        <w:rPr>
          <w:rFonts w:cs="Arial" w:hint="cs"/>
          <w:rtl/>
        </w:rPr>
        <w:t>,</w:t>
      </w:r>
      <w:r w:rsidRPr="008C513A">
        <w:rPr>
          <w:rFonts w:cs="Arial"/>
          <w:rtl/>
        </w:rPr>
        <w:t xml:space="preserve"> שאפי' הבעל מבטל מיד המכר שמכר לבדו</w:t>
      </w:r>
      <w:r w:rsidR="00A008A0">
        <w:rPr>
          <w:rFonts w:cs="Arial" w:hint="cs"/>
          <w:rtl/>
        </w:rPr>
        <w:t>,</w:t>
      </w:r>
      <w:r w:rsidRPr="008C513A">
        <w:rPr>
          <w:rFonts w:cs="Arial"/>
          <w:rtl/>
        </w:rPr>
        <w:t xml:space="preserve"> וכ"ש שהאשה מבטלתו</w:t>
      </w:r>
      <w:r w:rsidR="00A008A0">
        <w:rPr>
          <w:rFonts w:cs="Arial" w:hint="cs"/>
          <w:rtl/>
        </w:rPr>
        <w:t>.</w:t>
      </w:r>
      <w:r w:rsidRPr="008C513A">
        <w:rPr>
          <w:rFonts w:cs="Arial"/>
          <w:rtl/>
        </w:rPr>
        <w:t xml:space="preserve"> וכן אם מכרה היא</w:t>
      </w:r>
      <w:r w:rsidR="00A008A0">
        <w:rPr>
          <w:rFonts w:cs="Arial" w:hint="cs"/>
          <w:rtl/>
        </w:rPr>
        <w:t>,</w:t>
      </w:r>
      <w:r w:rsidRPr="008C513A">
        <w:rPr>
          <w:rFonts w:cs="Arial"/>
          <w:rtl/>
        </w:rPr>
        <w:t xml:space="preserve"> הבעל מבטלו מיד</w:t>
      </w:r>
      <w:r w:rsidR="0055693F">
        <w:rPr>
          <w:rFonts w:cs="Arial" w:hint="cs"/>
          <w:sz w:val="16"/>
          <w:szCs w:val="16"/>
          <w:rtl/>
        </w:rPr>
        <w:t xml:space="preserve"> (ל' הטור בשמו)</w:t>
      </w:r>
      <w:r w:rsidR="005C4F1C">
        <w:rPr>
          <w:rFonts w:cs="Arial" w:hint="cs"/>
          <w:rtl/>
        </w:rPr>
        <w:t>.</w:t>
      </w:r>
    </w:p>
    <w:p w14:paraId="7B1CA735" w14:textId="7EC5595C" w:rsidR="005C4F1C" w:rsidRDefault="008C513A" w:rsidP="009000E3">
      <w:pPr>
        <w:pStyle w:val="ab"/>
        <w:numPr>
          <w:ilvl w:val="0"/>
          <w:numId w:val="55"/>
        </w:numPr>
        <w:rPr>
          <w:rFonts w:cs="Arial"/>
        </w:rPr>
      </w:pPr>
      <w:r w:rsidRPr="008C513A">
        <w:rPr>
          <w:rFonts w:cs="Arial"/>
          <w:rtl/>
        </w:rPr>
        <w:t>רש"י</w:t>
      </w:r>
      <w:r w:rsidR="00CF50EE">
        <w:rPr>
          <w:rFonts w:cs="Arial" w:hint="cs"/>
          <w:sz w:val="16"/>
          <w:szCs w:val="16"/>
          <w:rtl/>
        </w:rPr>
        <w:t xml:space="preserve"> (כ</w:t>
      </w:r>
      <w:r w:rsidR="0055693F">
        <w:rPr>
          <w:rFonts w:cs="Arial" w:hint="cs"/>
          <w:sz w:val="16"/>
          <w:szCs w:val="16"/>
          <w:rtl/>
        </w:rPr>
        <w:t>"כ</w:t>
      </w:r>
      <w:r w:rsidR="00CF50EE">
        <w:rPr>
          <w:rFonts w:cs="Arial" w:hint="cs"/>
          <w:sz w:val="16"/>
          <w:szCs w:val="16"/>
          <w:rtl/>
        </w:rPr>
        <w:t xml:space="preserve"> הרא"ש </w:t>
      </w:r>
      <w:r w:rsidR="00984DA1">
        <w:rPr>
          <w:rFonts w:cs="Arial" w:hint="cs"/>
          <w:sz w:val="16"/>
          <w:szCs w:val="16"/>
          <w:rtl/>
        </w:rPr>
        <w:t xml:space="preserve">[שם] </w:t>
      </w:r>
      <w:r w:rsidR="0055693F">
        <w:rPr>
          <w:rFonts w:cs="Arial" w:hint="cs"/>
          <w:sz w:val="16"/>
          <w:szCs w:val="16"/>
          <w:rtl/>
        </w:rPr>
        <w:t>והטור בשמו</w:t>
      </w:r>
      <w:r w:rsidR="00CF50EE">
        <w:rPr>
          <w:rFonts w:cs="Arial" w:hint="cs"/>
          <w:sz w:val="16"/>
          <w:szCs w:val="16"/>
          <w:rtl/>
        </w:rPr>
        <w:t>)</w:t>
      </w:r>
      <w:r w:rsidR="00A008A0">
        <w:rPr>
          <w:rFonts w:cs="Arial" w:hint="cs"/>
          <w:rtl/>
        </w:rPr>
        <w:t>-</w:t>
      </w:r>
      <w:r w:rsidRPr="008C513A">
        <w:rPr>
          <w:rFonts w:cs="Arial"/>
          <w:rtl/>
        </w:rPr>
        <w:t xml:space="preserve"> דוקא מכרה האשה מבטלו הבעל מיד</w:t>
      </w:r>
      <w:r w:rsidR="00A008A0">
        <w:rPr>
          <w:rFonts w:cs="Arial" w:hint="cs"/>
          <w:rtl/>
        </w:rPr>
        <w:t>.</w:t>
      </w:r>
      <w:r w:rsidRPr="008C513A">
        <w:rPr>
          <w:rFonts w:cs="Arial"/>
          <w:rtl/>
        </w:rPr>
        <w:t xml:space="preserve"> אבל אם מכר הבעל</w:t>
      </w:r>
      <w:r w:rsidR="00A008A0">
        <w:rPr>
          <w:rFonts w:cs="Arial" w:hint="cs"/>
          <w:rtl/>
        </w:rPr>
        <w:t>,</w:t>
      </w:r>
      <w:r w:rsidRPr="008C513A">
        <w:rPr>
          <w:rFonts w:cs="Arial"/>
          <w:rtl/>
        </w:rPr>
        <w:t xml:space="preserve"> הוא אינו יכול לבטלו מיד</w:t>
      </w:r>
      <w:r w:rsidR="00CF50EE">
        <w:rPr>
          <w:rFonts w:cs="Arial" w:hint="cs"/>
          <w:rtl/>
        </w:rPr>
        <w:t>,</w:t>
      </w:r>
      <w:r w:rsidRPr="008C513A">
        <w:rPr>
          <w:rFonts w:cs="Arial"/>
          <w:rtl/>
        </w:rPr>
        <w:t xml:space="preserve"> אלא אשה יכולה לבטלו מיד אם תרצה</w:t>
      </w:r>
      <w:r w:rsidR="00A008A0">
        <w:rPr>
          <w:rFonts w:cs="Arial" w:hint="cs"/>
          <w:rtl/>
        </w:rPr>
        <w:t>.</w:t>
      </w:r>
      <w:r w:rsidRPr="008C513A">
        <w:rPr>
          <w:rFonts w:cs="Arial"/>
          <w:rtl/>
        </w:rPr>
        <w:t xml:space="preserve"> ואם מתה ולא בטלה אותו</w:t>
      </w:r>
      <w:r w:rsidR="00CF50EE">
        <w:rPr>
          <w:rFonts w:cs="Arial" w:hint="cs"/>
          <w:rtl/>
        </w:rPr>
        <w:t>,</w:t>
      </w:r>
      <w:r w:rsidRPr="008C513A">
        <w:rPr>
          <w:rFonts w:cs="Arial"/>
          <w:rtl/>
        </w:rPr>
        <w:t xml:space="preserve"> אז הבעל יורש כחה ויכול לבטלו כמו שהיא היתה מבטלת אותו אם היתה חיה</w:t>
      </w:r>
      <w:r w:rsidR="00CF50EE">
        <w:rPr>
          <w:rStyle w:val="a7"/>
          <w:rFonts w:cs="Arial"/>
          <w:rtl/>
        </w:rPr>
        <w:footnoteReference w:id="1322"/>
      </w:r>
      <w:r w:rsidR="00CF50EE">
        <w:rPr>
          <w:rFonts w:cs="Arial" w:hint="cs"/>
          <w:sz w:val="16"/>
          <w:szCs w:val="16"/>
          <w:rtl/>
        </w:rPr>
        <w:t xml:space="preserve"> (ל' הטור בשמו)</w:t>
      </w:r>
      <w:r w:rsidR="005C4F1C">
        <w:rPr>
          <w:rFonts w:cs="Arial" w:hint="cs"/>
          <w:rtl/>
        </w:rPr>
        <w:t>.</w:t>
      </w:r>
      <w:r w:rsidRPr="00BF6EA9">
        <w:rPr>
          <w:rFonts w:cs="Arial"/>
          <w:color w:val="00B0F0"/>
          <w:rtl/>
        </w:rPr>
        <w:t xml:space="preserve"> </w:t>
      </w:r>
      <w:r w:rsidR="00BF6EA9" w:rsidRPr="00BF6EA9">
        <w:rPr>
          <w:rFonts w:cs="Arial" w:hint="cs"/>
          <w:color w:val="00B0F0"/>
          <w:rtl/>
        </w:rPr>
        <w:t>(וכ"כ הרמ"א)</w:t>
      </w:r>
    </w:p>
    <w:p w14:paraId="2BE5D1BD" w14:textId="306BF856" w:rsidR="00865D60" w:rsidRDefault="00CF50EE" w:rsidP="009000E3">
      <w:pPr>
        <w:pStyle w:val="ab"/>
        <w:numPr>
          <w:ilvl w:val="0"/>
          <w:numId w:val="55"/>
        </w:numPr>
        <w:rPr>
          <w:rFonts w:cs="Arial"/>
        </w:rPr>
      </w:pPr>
      <w:r>
        <w:rPr>
          <w:rFonts w:cs="Arial" w:hint="cs"/>
          <w:rtl/>
        </w:rPr>
        <w:t>רי"ף</w:t>
      </w:r>
      <w:r w:rsidR="00946565">
        <w:rPr>
          <w:rStyle w:val="a7"/>
          <w:rFonts w:cs="Arial"/>
          <w:rtl/>
        </w:rPr>
        <w:footnoteReference w:id="1323"/>
      </w:r>
      <w:r w:rsidR="00362D02">
        <w:rPr>
          <w:rFonts w:cs="Arial" w:hint="cs"/>
          <w:sz w:val="16"/>
          <w:szCs w:val="16"/>
          <w:rtl/>
        </w:rPr>
        <w:t xml:space="preserve"> (כב., כ"כ הרא"ש </w:t>
      </w:r>
      <w:r w:rsidR="00984DA1">
        <w:rPr>
          <w:rFonts w:cs="Arial" w:hint="cs"/>
          <w:sz w:val="16"/>
          <w:szCs w:val="16"/>
          <w:rtl/>
        </w:rPr>
        <w:t xml:space="preserve">[שם] </w:t>
      </w:r>
      <w:r w:rsidR="00362D02">
        <w:rPr>
          <w:rFonts w:cs="Arial" w:hint="cs"/>
          <w:sz w:val="16"/>
          <w:szCs w:val="16"/>
          <w:rtl/>
        </w:rPr>
        <w:t>בשמו)</w:t>
      </w:r>
      <w:r w:rsidR="00946565">
        <w:rPr>
          <w:rFonts w:cs="Arial" w:hint="cs"/>
          <w:rtl/>
        </w:rPr>
        <w:t xml:space="preserve"> ור"י </w:t>
      </w:r>
      <w:r w:rsidR="00946565" w:rsidRPr="00946565">
        <w:rPr>
          <w:rFonts w:cs="Arial"/>
          <w:sz w:val="16"/>
          <w:szCs w:val="16"/>
          <w:rtl/>
        </w:rPr>
        <w:t>(תוס' ב"ב נ. ד"ה אילימא)</w:t>
      </w:r>
      <w:r>
        <w:rPr>
          <w:rFonts w:cs="Arial" w:hint="cs"/>
          <w:rtl/>
        </w:rPr>
        <w:t xml:space="preserve">- </w:t>
      </w:r>
      <w:r w:rsidR="008C513A" w:rsidRPr="008C513A">
        <w:rPr>
          <w:rFonts w:cs="Arial"/>
          <w:rtl/>
        </w:rPr>
        <w:t>המכר שמכר הבעל לבדו מנצ"ב קיים</w:t>
      </w:r>
      <w:r>
        <w:rPr>
          <w:rFonts w:cs="Arial" w:hint="cs"/>
          <w:rtl/>
        </w:rPr>
        <w:t>,</w:t>
      </w:r>
      <w:r w:rsidR="008C513A" w:rsidRPr="008C513A">
        <w:rPr>
          <w:rFonts w:cs="Arial"/>
          <w:rtl/>
        </w:rPr>
        <w:t xml:space="preserve"> ואפי' האשה אינה יכולה לבטלו עד שעת טירפא</w:t>
      </w:r>
      <w:r w:rsidR="00946565">
        <w:rPr>
          <w:rFonts w:cs="Arial" w:hint="cs"/>
          <w:sz w:val="16"/>
          <w:szCs w:val="16"/>
          <w:rtl/>
        </w:rPr>
        <w:t xml:space="preserve"> (ל' הטור בשם הרי"ף)</w:t>
      </w:r>
      <w:r w:rsidR="00946565">
        <w:rPr>
          <w:rStyle w:val="a7"/>
          <w:rFonts w:cs="Arial"/>
          <w:rtl/>
        </w:rPr>
        <w:footnoteReference w:id="1324"/>
      </w:r>
      <w:r>
        <w:rPr>
          <w:rFonts w:cs="Arial" w:hint="cs"/>
          <w:rtl/>
        </w:rPr>
        <w:t>.</w:t>
      </w:r>
      <w:r w:rsidR="008C513A" w:rsidRPr="008C513A">
        <w:rPr>
          <w:rFonts w:cs="Arial"/>
          <w:rtl/>
        </w:rPr>
        <w:t xml:space="preserve"> </w:t>
      </w:r>
    </w:p>
    <w:p w14:paraId="2871AC84" w14:textId="1AFF8BF6" w:rsidR="00865D60" w:rsidRDefault="00D9440F" w:rsidP="009000E3">
      <w:pPr>
        <w:pStyle w:val="ab"/>
        <w:numPr>
          <w:ilvl w:val="0"/>
          <w:numId w:val="55"/>
        </w:numPr>
        <w:rPr>
          <w:rFonts w:cs="Arial"/>
        </w:rPr>
      </w:pPr>
      <w:r w:rsidRPr="00865D60">
        <w:rPr>
          <w:rFonts w:cs="Arial"/>
          <w:rtl/>
        </w:rPr>
        <w:t xml:space="preserve">רמב"ם </w:t>
      </w:r>
      <w:r w:rsidR="00865D60">
        <w:rPr>
          <w:rFonts w:cs="Arial" w:hint="cs"/>
          <w:sz w:val="16"/>
          <w:szCs w:val="16"/>
          <w:rtl/>
        </w:rPr>
        <w:t>(פכ"ב מאישות הט"ו)</w:t>
      </w:r>
      <w:r w:rsidR="00865D60">
        <w:rPr>
          <w:rFonts w:cs="Arial" w:hint="cs"/>
          <w:rtl/>
        </w:rPr>
        <w:t xml:space="preserve">- </w:t>
      </w:r>
      <w:r w:rsidR="00865D60" w:rsidRPr="00865D60">
        <w:rPr>
          <w:rFonts w:cs="Arial"/>
          <w:rtl/>
        </w:rPr>
        <w:t>הבעל שמכר קרקע בנכסי אשתו</w:t>
      </w:r>
      <w:r w:rsidR="005D650F">
        <w:rPr>
          <w:rFonts w:cs="Arial" w:hint="cs"/>
          <w:rtl/>
        </w:rPr>
        <w:t>,</w:t>
      </w:r>
      <w:r w:rsidR="00865D60" w:rsidRPr="00865D60">
        <w:rPr>
          <w:rFonts w:cs="Arial"/>
          <w:rtl/>
        </w:rPr>
        <w:t xml:space="preserve"> בין נכסי צאן ברזל בין נכסי מלוג </w:t>
      </w:r>
      <w:r w:rsidR="005D650F">
        <w:rPr>
          <w:rFonts w:cs="Arial" w:hint="cs"/>
          <w:rtl/>
        </w:rPr>
        <w:t xml:space="preserve">- </w:t>
      </w:r>
      <w:r w:rsidR="00865D60" w:rsidRPr="00865D60">
        <w:rPr>
          <w:rFonts w:cs="Arial"/>
          <w:rtl/>
        </w:rPr>
        <w:t>לא עשה כלום</w:t>
      </w:r>
      <w:r w:rsidR="00675C5E">
        <w:rPr>
          <w:rStyle w:val="a7"/>
          <w:rFonts w:cs="Arial"/>
          <w:rtl/>
        </w:rPr>
        <w:footnoteReference w:id="1325"/>
      </w:r>
      <w:r w:rsidR="00865D60" w:rsidRPr="00865D60">
        <w:rPr>
          <w:rFonts w:cs="Arial"/>
          <w:rtl/>
        </w:rPr>
        <w:t xml:space="preserve">. </w:t>
      </w:r>
      <w:r w:rsidR="00301B9E" w:rsidRPr="001D67C0">
        <w:rPr>
          <w:rFonts w:hint="cs"/>
          <w:color w:val="E36C0A" w:themeColor="accent6" w:themeShade="BF"/>
          <w:rtl/>
        </w:rPr>
        <w:t>(וכ"פ בשו"ע)</w:t>
      </w:r>
    </w:p>
    <w:p w14:paraId="48AA8C64" w14:textId="725F1958" w:rsidR="001F180F" w:rsidRPr="00F613E0" w:rsidRDefault="001F180F" w:rsidP="001F180F">
      <w:pPr>
        <w:rPr>
          <w:rFonts w:cs="Arial"/>
          <w:u w:val="single"/>
        </w:rPr>
      </w:pPr>
      <w:r w:rsidRPr="00F613E0">
        <w:rPr>
          <w:rFonts w:cs="Arial"/>
          <w:u w:val="single"/>
          <w:rtl/>
        </w:rPr>
        <w:t xml:space="preserve">אשה שמכרה נכסי </w:t>
      </w:r>
      <w:r>
        <w:rPr>
          <w:rFonts w:cs="Arial" w:hint="cs"/>
          <w:u w:val="single"/>
          <w:rtl/>
        </w:rPr>
        <w:t>צאן ברזל:</w:t>
      </w:r>
    </w:p>
    <w:p w14:paraId="3B9A7565" w14:textId="3D78B625" w:rsidR="001F180F" w:rsidRDefault="001F180F" w:rsidP="009000E3">
      <w:pPr>
        <w:pStyle w:val="ab"/>
        <w:numPr>
          <w:ilvl w:val="0"/>
          <w:numId w:val="55"/>
        </w:numPr>
        <w:rPr>
          <w:rFonts w:cs="Arial"/>
        </w:rPr>
      </w:pPr>
      <w:r w:rsidRPr="00865D60">
        <w:rPr>
          <w:rFonts w:cs="Arial"/>
          <w:rtl/>
        </w:rPr>
        <w:t xml:space="preserve">רמב"ם </w:t>
      </w:r>
      <w:r>
        <w:rPr>
          <w:rFonts w:cs="Arial" w:hint="cs"/>
          <w:sz w:val="16"/>
          <w:szCs w:val="16"/>
          <w:rtl/>
        </w:rPr>
        <w:t>(פכ"ב מאישות הט"ו)</w:t>
      </w:r>
      <w:r>
        <w:rPr>
          <w:rFonts w:cs="Arial" w:hint="cs"/>
          <w:rtl/>
        </w:rPr>
        <w:t xml:space="preserve">- </w:t>
      </w:r>
      <w:r w:rsidRPr="001F180F">
        <w:rPr>
          <w:rFonts w:cs="Arial"/>
          <w:rtl/>
        </w:rPr>
        <w:t xml:space="preserve">האשה שמכרה או שנתנה אחר שנשאת בנכסי צאן ברזל בין לבעלה בין לאחרים </w:t>
      </w:r>
      <w:r w:rsidR="005D650F">
        <w:rPr>
          <w:rFonts w:cs="Arial" w:hint="cs"/>
          <w:rtl/>
        </w:rPr>
        <w:t xml:space="preserve">- </w:t>
      </w:r>
      <w:r w:rsidRPr="001F180F">
        <w:rPr>
          <w:rFonts w:cs="Arial"/>
          <w:rtl/>
        </w:rPr>
        <w:t>לא עשת כלום</w:t>
      </w:r>
      <w:r>
        <w:rPr>
          <w:rFonts w:cs="Arial" w:hint="cs"/>
          <w:rtl/>
        </w:rPr>
        <w:t xml:space="preserve">. </w:t>
      </w:r>
      <w:r w:rsidR="006D75F6" w:rsidRPr="001D67C0">
        <w:rPr>
          <w:rFonts w:hint="cs"/>
          <w:color w:val="E36C0A" w:themeColor="accent6" w:themeShade="BF"/>
          <w:rtl/>
        </w:rPr>
        <w:t>(וכ"פ בשו"ע)</w:t>
      </w:r>
    </w:p>
    <w:p w14:paraId="706228E4" w14:textId="4B9FD248" w:rsidR="00175735" w:rsidRPr="00175735" w:rsidRDefault="00175735" w:rsidP="00175735">
      <w:pPr>
        <w:ind w:left="360"/>
        <w:rPr>
          <w:rFonts w:cs="Arial"/>
          <w:u w:val="dotted"/>
        </w:rPr>
      </w:pPr>
      <w:r w:rsidRPr="00175735">
        <w:rPr>
          <w:rFonts w:cs="Arial" w:hint="cs"/>
          <w:u w:val="dotted"/>
          <w:rtl/>
        </w:rPr>
        <w:t>ומה הדין אם מכרה בטובת הנאה:</w:t>
      </w:r>
    </w:p>
    <w:p w14:paraId="51D8C426" w14:textId="7E1DE81B" w:rsidR="001F180F" w:rsidRPr="00F613E0" w:rsidRDefault="001F180F" w:rsidP="009000E3">
      <w:pPr>
        <w:pStyle w:val="ab"/>
        <w:numPr>
          <w:ilvl w:val="0"/>
          <w:numId w:val="55"/>
        </w:numPr>
        <w:rPr>
          <w:rFonts w:cs="Arial"/>
          <w:rtl/>
        </w:rPr>
      </w:pPr>
      <w:r w:rsidRPr="00F613E0">
        <w:rPr>
          <w:rFonts w:cs="Arial"/>
          <w:rtl/>
        </w:rPr>
        <w:t>נמוק</w:t>
      </w:r>
      <w:r>
        <w:rPr>
          <w:rFonts w:cs="Arial" w:hint="cs"/>
          <w:rtl/>
        </w:rPr>
        <w:t>"</w:t>
      </w:r>
      <w:r w:rsidRPr="00F613E0">
        <w:rPr>
          <w:rFonts w:cs="Arial"/>
          <w:rtl/>
        </w:rPr>
        <w:t xml:space="preserve">י </w:t>
      </w:r>
      <w:r w:rsidRPr="00F613E0">
        <w:rPr>
          <w:rFonts w:cs="Arial" w:hint="cs"/>
          <w:sz w:val="16"/>
          <w:szCs w:val="16"/>
          <w:rtl/>
        </w:rPr>
        <w:t>(</w:t>
      </w:r>
      <w:r w:rsidRPr="00F613E0">
        <w:rPr>
          <w:rFonts w:cs="Arial"/>
          <w:sz w:val="16"/>
          <w:szCs w:val="16"/>
          <w:rtl/>
        </w:rPr>
        <w:t>פ</w:t>
      </w:r>
      <w:r w:rsidRPr="00F613E0">
        <w:rPr>
          <w:rFonts w:cs="Arial" w:hint="cs"/>
          <w:sz w:val="16"/>
          <w:szCs w:val="16"/>
          <w:rtl/>
        </w:rPr>
        <w:t>'</w:t>
      </w:r>
      <w:r w:rsidRPr="00F613E0">
        <w:rPr>
          <w:rFonts w:cs="Arial"/>
          <w:sz w:val="16"/>
          <w:szCs w:val="16"/>
          <w:rtl/>
        </w:rPr>
        <w:t xml:space="preserve"> החובל ב"ק לא סוע"ב</w:t>
      </w:r>
      <w:r>
        <w:rPr>
          <w:rFonts w:cs="Arial" w:hint="cs"/>
          <w:sz w:val="16"/>
          <w:szCs w:val="16"/>
          <w:rtl/>
        </w:rPr>
        <w:t>, כ"כ בשמו ה</w:t>
      </w:r>
      <w:r w:rsidRPr="00F613E0">
        <w:rPr>
          <w:rFonts w:cs="Arial" w:hint="cs"/>
          <w:sz w:val="16"/>
          <w:szCs w:val="16"/>
          <w:rtl/>
        </w:rPr>
        <w:t xml:space="preserve">דרכ"מ אות </w:t>
      </w:r>
      <w:r w:rsidRPr="00F613E0">
        <w:rPr>
          <w:rFonts w:cs="Arial"/>
          <w:sz w:val="16"/>
          <w:szCs w:val="16"/>
          <w:rtl/>
        </w:rPr>
        <w:t>ז)</w:t>
      </w:r>
      <w:r>
        <w:rPr>
          <w:rFonts w:cs="Arial" w:hint="cs"/>
          <w:rtl/>
        </w:rPr>
        <w:t>-</w:t>
      </w:r>
      <w:r w:rsidRPr="00F613E0">
        <w:rPr>
          <w:rFonts w:cs="Arial"/>
          <w:rtl/>
        </w:rPr>
        <w:t xml:space="preserve"> </w:t>
      </w:r>
      <w:r w:rsidR="00175735" w:rsidRPr="00175735">
        <w:rPr>
          <w:rFonts w:cs="Arial"/>
          <w:rtl/>
        </w:rPr>
        <w:t>כתב הרא"ה ז"ל בשם רבו ז"ל מהא שמעינן דנכסי מלוג מצי מזבן להו בטובת הנאה</w:t>
      </w:r>
      <w:r w:rsidR="00175735">
        <w:rPr>
          <w:rFonts w:cs="Arial" w:hint="cs"/>
          <w:rtl/>
        </w:rPr>
        <w:t>.</w:t>
      </w:r>
      <w:r w:rsidR="00175735" w:rsidRPr="00175735">
        <w:rPr>
          <w:rFonts w:cs="Arial"/>
          <w:rtl/>
        </w:rPr>
        <w:t xml:space="preserve"> שאע"פ שאמרו שאם מתה הבעל מוציא מיד הלקוחות</w:t>
      </w:r>
      <w:r w:rsidR="00175735">
        <w:rPr>
          <w:rFonts w:cs="Arial" w:hint="cs"/>
          <w:rtl/>
        </w:rPr>
        <w:t>,</w:t>
      </w:r>
      <w:r w:rsidR="00175735" w:rsidRPr="00175735">
        <w:rPr>
          <w:rFonts w:cs="Arial"/>
          <w:rtl/>
        </w:rPr>
        <w:t xml:space="preserve"> ה"מ היכא דמתה</w:t>
      </w:r>
      <w:r w:rsidR="00175735">
        <w:rPr>
          <w:rFonts w:cs="Arial" w:hint="cs"/>
          <w:rtl/>
        </w:rPr>
        <w:t>,</w:t>
      </w:r>
      <w:r w:rsidR="00175735" w:rsidRPr="00175735">
        <w:rPr>
          <w:rFonts w:cs="Arial"/>
          <w:rtl/>
        </w:rPr>
        <w:t xml:space="preserve"> אבל היכא דנתגרשה הן מוציאין מידה</w:t>
      </w:r>
      <w:r w:rsidR="00175735">
        <w:rPr>
          <w:rFonts w:cs="Arial" w:hint="cs"/>
          <w:rtl/>
        </w:rPr>
        <w:t>.</w:t>
      </w:r>
      <w:r w:rsidR="00175735" w:rsidRPr="00175735">
        <w:rPr>
          <w:rFonts w:cs="Arial"/>
          <w:rtl/>
        </w:rPr>
        <w:t xml:space="preserve"> וה"ה לנכסי צאן ברזל</w:t>
      </w:r>
      <w:r w:rsidRPr="00F613E0">
        <w:rPr>
          <w:rFonts w:cs="Arial" w:hint="cs"/>
          <w:rtl/>
        </w:rPr>
        <w:t>.</w:t>
      </w:r>
      <w:r w:rsidRPr="00C412BD">
        <w:rPr>
          <w:rFonts w:cs="Arial"/>
          <w:color w:val="00B0F0"/>
          <w:rtl/>
        </w:rPr>
        <w:t xml:space="preserve"> </w:t>
      </w:r>
      <w:r w:rsidR="00C412BD" w:rsidRPr="00C412BD">
        <w:rPr>
          <w:rFonts w:cs="Arial" w:hint="cs"/>
          <w:color w:val="00B0F0"/>
          <w:rtl/>
        </w:rPr>
        <w:t>(וכ"כ הרמ"א)</w:t>
      </w:r>
      <w:r w:rsidR="00175735">
        <w:rPr>
          <w:rFonts w:cs="Arial" w:hint="cs"/>
          <w:rtl/>
        </w:rPr>
        <w:t xml:space="preserve"> (וכ"פ ח"מ </w:t>
      </w:r>
      <w:r w:rsidR="00175735">
        <w:rPr>
          <w:rFonts w:cs="Arial" w:hint="cs"/>
          <w:sz w:val="16"/>
          <w:szCs w:val="16"/>
          <w:rtl/>
        </w:rPr>
        <w:t xml:space="preserve">[סקמ"א] </w:t>
      </w:r>
      <w:r w:rsidR="00175735">
        <w:rPr>
          <w:rFonts w:cs="Arial" w:hint="cs"/>
          <w:rtl/>
        </w:rPr>
        <w:t xml:space="preserve">וב"ש </w:t>
      </w:r>
      <w:r w:rsidR="00175735">
        <w:rPr>
          <w:rFonts w:cs="Arial" w:hint="cs"/>
          <w:sz w:val="16"/>
          <w:szCs w:val="16"/>
          <w:rtl/>
        </w:rPr>
        <w:t>[סקמ"ו]</w:t>
      </w:r>
      <w:r w:rsidR="00175735">
        <w:rPr>
          <w:rFonts w:cs="Arial" w:hint="cs"/>
          <w:rtl/>
        </w:rPr>
        <w:t>)</w:t>
      </w:r>
    </w:p>
    <w:p w14:paraId="6E4BBD6A" w14:textId="7C3419E0" w:rsidR="00C975E1" w:rsidRPr="00C975E1" w:rsidRDefault="00C975E1" w:rsidP="00C975E1">
      <w:pPr>
        <w:rPr>
          <w:sz w:val="16"/>
          <w:szCs w:val="16"/>
          <w:u w:val="single"/>
        </w:rPr>
      </w:pPr>
      <w:r>
        <w:rPr>
          <w:rFonts w:hint="cs"/>
          <w:u w:val="single"/>
          <w:rtl/>
        </w:rPr>
        <w:t xml:space="preserve">הכניסה לו כספים </w:t>
      </w:r>
      <w:r w:rsidR="00F97626">
        <w:rPr>
          <w:u w:val="single"/>
          <w:rtl/>
        </w:rPr>
        <w:t>-</w:t>
      </w:r>
      <w:r>
        <w:rPr>
          <w:rFonts w:hint="cs"/>
          <w:u w:val="single"/>
          <w:rtl/>
        </w:rPr>
        <w:t xml:space="preserve"> האם יכול להוציאן</w:t>
      </w:r>
      <w:r w:rsidRPr="00C975E1">
        <w:rPr>
          <w:rFonts w:hint="cs"/>
          <w:u w:val="single"/>
          <w:rtl/>
        </w:rPr>
        <w:t>:</w:t>
      </w:r>
      <w:r w:rsidRPr="00C975E1">
        <w:rPr>
          <w:rFonts w:hint="cs"/>
          <w:sz w:val="16"/>
          <w:szCs w:val="16"/>
          <w:rtl/>
        </w:rPr>
        <w:t xml:space="preserve"> (דרכ"מ אות טו)</w:t>
      </w:r>
    </w:p>
    <w:p w14:paraId="6AAE8A95" w14:textId="77777777" w:rsidR="00C975E1" w:rsidRPr="005A6755" w:rsidRDefault="00C975E1" w:rsidP="009000E3">
      <w:pPr>
        <w:pStyle w:val="ab"/>
        <w:numPr>
          <w:ilvl w:val="0"/>
          <w:numId w:val="55"/>
        </w:numPr>
      </w:pPr>
      <w:r w:rsidRPr="005A6755">
        <w:rPr>
          <w:rFonts w:cs="Arial"/>
          <w:rtl/>
        </w:rPr>
        <w:t xml:space="preserve">ריב"ש </w:t>
      </w:r>
      <w:r w:rsidRPr="005A6755">
        <w:rPr>
          <w:rFonts w:cs="Arial" w:hint="cs"/>
          <w:sz w:val="16"/>
          <w:szCs w:val="16"/>
          <w:rtl/>
        </w:rPr>
        <w:t>(</w:t>
      </w:r>
      <w:r w:rsidRPr="005A6755">
        <w:rPr>
          <w:rFonts w:cs="Arial"/>
          <w:sz w:val="16"/>
          <w:szCs w:val="16"/>
          <w:rtl/>
        </w:rPr>
        <w:t>סי</w:t>
      </w:r>
      <w:r w:rsidRPr="005A6755">
        <w:rPr>
          <w:rFonts w:cs="Arial" w:hint="cs"/>
          <w:sz w:val="16"/>
          <w:szCs w:val="16"/>
          <w:rtl/>
        </w:rPr>
        <w:t>'</w:t>
      </w:r>
      <w:r w:rsidRPr="005A6755">
        <w:rPr>
          <w:rFonts w:cs="Arial"/>
          <w:sz w:val="16"/>
          <w:szCs w:val="16"/>
          <w:rtl/>
        </w:rPr>
        <w:t xml:space="preserve"> קנ</w:t>
      </w:r>
      <w:r w:rsidRPr="005A6755">
        <w:rPr>
          <w:rFonts w:cs="Arial" w:hint="cs"/>
          <w:sz w:val="16"/>
          <w:szCs w:val="16"/>
          <w:rtl/>
        </w:rPr>
        <w:t>)</w:t>
      </w:r>
      <w:r w:rsidRPr="005A6755">
        <w:rPr>
          <w:rFonts w:cs="Arial" w:hint="cs"/>
          <w:rtl/>
        </w:rPr>
        <w:t>-</w:t>
      </w:r>
      <w:r w:rsidRPr="005A6755">
        <w:rPr>
          <w:rFonts w:cs="Arial"/>
          <w:rtl/>
        </w:rPr>
        <w:t xml:space="preserve"> כספים שהכניסה לו יכול להוציאן</w:t>
      </w:r>
      <w:r w:rsidRPr="005A6755">
        <w:rPr>
          <w:rFonts w:cs="Arial" w:hint="cs"/>
          <w:rtl/>
        </w:rPr>
        <w:t>,</w:t>
      </w:r>
      <w:r w:rsidRPr="005A6755">
        <w:rPr>
          <w:rFonts w:cs="Arial"/>
          <w:rtl/>
        </w:rPr>
        <w:t xml:space="preserve"> הואיל ואחריותן עליו</w:t>
      </w:r>
      <w:r w:rsidRPr="005A6755">
        <w:rPr>
          <w:rFonts w:cs="Arial" w:hint="cs"/>
          <w:rtl/>
        </w:rPr>
        <w:t>.</w:t>
      </w:r>
      <w:r w:rsidRPr="005A6755">
        <w:rPr>
          <w:rFonts w:cs="Arial"/>
          <w:rtl/>
        </w:rPr>
        <w:t xml:space="preserve"> אבל לא שאר דברים</w:t>
      </w:r>
      <w:r w:rsidRPr="005A6755">
        <w:rPr>
          <w:rFonts w:cs="Arial" w:hint="cs"/>
          <w:rtl/>
        </w:rPr>
        <w:t>.</w:t>
      </w:r>
      <w:r w:rsidRPr="005A6755">
        <w:rPr>
          <w:rFonts w:cs="Arial"/>
          <w:rtl/>
        </w:rPr>
        <w:t xml:space="preserve"> </w:t>
      </w:r>
    </w:p>
    <w:p w14:paraId="450778BB" w14:textId="77777777" w:rsidR="00C975E1" w:rsidRPr="005A6755" w:rsidRDefault="00C975E1" w:rsidP="00C975E1">
      <w:pPr>
        <w:rPr>
          <w:sz w:val="16"/>
          <w:szCs w:val="16"/>
          <w:u w:val="single"/>
        </w:rPr>
      </w:pPr>
      <w:r w:rsidRPr="005A6755">
        <w:rPr>
          <w:rFonts w:hint="cs"/>
          <w:u w:val="single"/>
          <w:rtl/>
        </w:rPr>
        <w:t>בעל שר</w:t>
      </w:r>
      <w:r>
        <w:rPr>
          <w:rFonts w:hint="cs"/>
          <w:u w:val="single"/>
          <w:rtl/>
        </w:rPr>
        <w:t>ו</w:t>
      </w:r>
      <w:r w:rsidRPr="005A6755">
        <w:rPr>
          <w:rFonts w:hint="cs"/>
          <w:u w:val="single"/>
          <w:rtl/>
        </w:rPr>
        <w:t>צה להלוות נכסי מלוג שהכניסה לו אשתו:</w:t>
      </w:r>
      <w:r w:rsidRPr="005A6755">
        <w:rPr>
          <w:rFonts w:hint="cs"/>
          <w:sz w:val="16"/>
          <w:szCs w:val="16"/>
          <w:rtl/>
        </w:rPr>
        <w:t xml:space="preserve"> (דרכ"מ אות טו)</w:t>
      </w:r>
    </w:p>
    <w:p w14:paraId="4AAF6869" w14:textId="4D672E19" w:rsidR="00C975E1" w:rsidRPr="00343291" w:rsidRDefault="00C975E1" w:rsidP="009000E3">
      <w:pPr>
        <w:pStyle w:val="ab"/>
        <w:numPr>
          <w:ilvl w:val="0"/>
          <w:numId w:val="55"/>
        </w:numPr>
        <w:rPr>
          <w:rtl/>
        </w:rPr>
      </w:pPr>
      <w:r w:rsidRPr="005A6755">
        <w:rPr>
          <w:rFonts w:cs="Arial"/>
          <w:rtl/>
        </w:rPr>
        <w:t xml:space="preserve">ריב"ש </w:t>
      </w:r>
      <w:r w:rsidRPr="005A6755">
        <w:rPr>
          <w:rFonts w:cs="Arial" w:hint="cs"/>
          <w:sz w:val="16"/>
          <w:szCs w:val="16"/>
          <w:rtl/>
        </w:rPr>
        <w:t>(</w:t>
      </w:r>
      <w:r w:rsidRPr="005A6755">
        <w:rPr>
          <w:rFonts w:cs="Arial"/>
          <w:sz w:val="16"/>
          <w:szCs w:val="16"/>
          <w:rtl/>
        </w:rPr>
        <w:t>סי</w:t>
      </w:r>
      <w:r w:rsidRPr="005A6755">
        <w:rPr>
          <w:rFonts w:cs="Arial" w:hint="cs"/>
          <w:sz w:val="16"/>
          <w:szCs w:val="16"/>
          <w:rtl/>
        </w:rPr>
        <w:t>'</w:t>
      </w:r>
      <w:r w:rsidRPr="005A6755">
        <w:rPr>
          <w:rFonts w:cs="Arial"/>
          <w:sz w:val="16"/>
          <w:szCs w:val="16"/>
          <w:rtl/>
        </w:rPr>
        <w:t xml:space="preserve"> קנ</w:t>
      </w:r>
      <w:r w:rsidRPr="005A6755">
        <w:rPr>
          <w:rFonts w:cs="Arial" w:hint="cs"/>
          <w:sz w:val="16"/>
          <w:szCs w:val="16"/>
          <w:rtl/>
        </w:rPr>
        <w:t>)</w:t>
      </w:r>
      <w:r w:rsidRPr="005A6755">
        <w:rPr>
          <w:rFonts w:cs="Arial" w:hint="cs"/>
          <w:rtl/>
        </w:rPr>
        <w:t>-</w:t>
      </w:r>
      <w:r w:rsidRPr="005A6755">
        <w:rPr>
          <w:rFonts w:cs="Arial"/>
          <w:rtl/>
        </w:rPr>
        <w:t xml:space="preserve"> הרשות ביד הבעל שאם רוצה להלוות מה שהכניסה לו נכסי מלוג </w:t>
      </w:r>
      <w:r w:rsidR="00BF6EA9">
        <w:rPr>
          <w:rFonts w:cs="Arial" w:hint="cs"/>
          <w:rtl/>
        </w:rPr>
        <w:t xml:space="preserve">- </w:t>
      </w:r>
      <w:r w:rsidRPr="005A6755">
        <w:rPr>
          <w:rFonts w:cs="Arial"/>
          <w:rtl/>
        </w:rPr>
        <w:t>הרשות בידו</w:t>
      </w:r>
      <w:r>
        <w:rPr>
          <w:rFonts w:cs="Arial" w:hint="cs"/>
          <w:rtl/>
        </w:rPr>
        <w:t>.</w:t>
      </w:r>
    </w:p>
    <w:p w14:paraId="6C5824BD" w14:textId="419F8CDD" w:rsidR="00EB79BF" w:rsidRPr="00675C5E" w:rsidRDefault="00EB79BF" w:rsidP="00675C5E">
      <w:pPr>
        <w:rPr>
          <w:rFonts w:cs="Arial"/>
          <w:rtl/>
        </w:rPr>
      </w:pPr>
      <w:r w:rsidRPr="00675C5E">
        <w:rPr>
          <w:rFonts w:asciiTheme="minorBidi" w:hAnsiTheme="minorBidi"/>
          <w:b/>
          <w:bCs/>
          <w:color w:val="000000"/>
          <w:sz w:val="28"/>
          <w:szCs w:val="28"/>
          <w:u w:val="single"/>
          <w:rtl/>
        </w:rPr>
        <w:t>שו"ע:</w:t>
      </w:r>
    </w:p>
    <w:p w14:paraId="50D69481" w14:textId="1C961259" w:rsidR="00EB79BF" w:rsidRDefault="00EB79BF" w:rsidP="00EB79BF">
      <w:pPr>
        <w:rPr>
          <w:rFonts w:cs="Arial"/>
          <w:rtl/>
        </w:rPr>
      </w:pPr>
      <w:r w:rsidRPr="00EB79BF">
        <w:rPr>
          <w:rFonts w:cs="Arial"/>
          <w:rtl/>
        </w:rPr>
        <w:t>האשה שמכרה או נתנה אחר שנשאת בנכסי צאן ברזל, בין לבעלה בין לאחרים</w:t>
      </w:r>
      <w:r w:rsidR="0070672E">
        <w:rPr>
          <w:rStyle w:val="a7"/>
          <w:rFonts w:cs="Arial"/>
          <w:rtl/>
        </w:rPr>
        <w:footnoteReference w:id="1326"/>
      </w:r>
      <w:r w:rsidRPr="00EB79BF">
        <w:rPr>
          <w:rFonts w:cs="Arial"/>
          <w:rtl/>
        </w:rPr>
        <w:t xml:space="preserve">, לא עשתה כלום. </w:t>
      </w:r>
      <w:r w:rsidR="00FA43C3">
        <w:rPr>
          <w:rFonts w:cs="Arial" w:hint="cs"/>
          <w:sz w:val="18"/>
          <w:szCs w:val="18"/>
          <w:rtl/>
        </w:rPr>
        <w:t xml:space="preserve">[הגה] </w:t>
      </w:r>
      <w:r w:rsidRPr="00FA43C3">
        <w:rPr>
          <w:rFonts w:cs="Arial"/>
          <w:sz w:val="18"/>
          <w:szCs w:val="18"/>
          <w:rtl/>
        </w:rPr>
        <w:t>וי"א דמ"מ כשתתאלמן או תתגרש, מכרה קיים</w:t>
      </w:r>
      <w:r w:rsidR="001315E7">
        <w:rPr>
          <w:rStyle w:val="a7"/>
          <w:rFonts w:cs="Arial"/>
          <w:sz w:val="18"/>
          <w:szCs w:val="18"/>
          <w:rtl/>
        </w:rPr>
        <w:footnoteReference w:id="1327"/>
      </w:r>
      <w:r w:rsidRPr="00FA43C3">
        <w:rPr>
          <w:rFonts w:cs="Arial"/>
          <w:sz w:val="18"/>
          <w:szCs w:val="18"/>
          <w:rtl/>
        </w:rPr>
        <w:t xml:space="preserve"> (נ</w:t>
      </w:r>
      <w:r w:rsidR="001B0DE0">
        <w:rPr>
          <w:rFonts w:cs="Arial" w:hint="cs"/>
          <w:sz w:val="18"/>
          <w:szCs w:val="18"/>
          <w:rtl/>
        </w:rPr>
        <w:t>מוק</w:t>
      </w:r>
      <w:r w:rsidRPr="00FA43C3">
        <w:rPr>
          <w:rFonts w:cs="Arial"/>
          <w:sz w:val="18"/>
          <w:szCs w:val="18"/>
          <w:rtl/>
        </w:rPr>
        <w:t>"י).</w:t>
      </w:r>
      <w:r w:rsidRPr="00EB79BF">
        <w:rPr>
          <w:rFonts w:cs="Arial"/>
          <w:rtl/>
        </w:rPr>
        <w:t xml:space="preserve"> וכן בעל שמכר קרקע בנכסי אשתו, בין נכסי צאן ברזל</w:t>
      </w:r>
      <w:r w:rsidR="007A5A15">
        <w:rPr>
          <w:rStyle w:val="a7"/>
          <w:rFonts w:cs="Arial"/>
          <w:rtl/>
        </w:rPr>
        <w:footnoteReference w:id="1328"/>
      </w:r>
      <w:r w:rsidRPr="00EB79BF">
        <w:rPr>
          <w:rFonts w:cs="Arial"/>
          <w:rtl/>
        </w:rPr>
        <w:t xml:space="preserve"> בין נ</w:t>
      </w:r>
      <w:r w:rsidR="001F180F">
        <w:rPr>
          <w:rFonts w:cs="Arial" w:hint="cs"/>
          <w:rtl/>
        </w:rPr>
        <w:t xml:space="preserve">כסי </w:t>
      </w:r>
      <w:r w:rsidRPr="00EB79BF">
        <w:rPr>
          <w:rFonts w:cs="Arial"/>
          <w:rtl/>
        </w:rPr>
        <w:t>מ</w:t>
      </w:r>
      <w:r w:rsidR="001F180F">
        <w:rPr>
          <w:rFonts w:cs="Arial" w:hint="cs"/>
          <w:rtl/>
        </w:rPr>
        <w:t>לוג</w:t>
      </w:r>
      <w:r w:rsidRPr="00EB79BF">
        <w:rPr>
          <w:rFonts w:cs="Arial"/>
          <w:rtl/>
        </w:rPr>
        <w:t xml:space="preserve">, לא </w:t>
      </w:r>
      <w:r w:rsidRPr="00EB79BF">
        <w:rPr>
          <w:rFonts w:cs="Arial"/>
          <w:rtl/>
        </w:rPr>
        <w:lastRenderedPageBreak/>
        <w:t>עשה כלום</w:t>
      </w:r>
      <w:r w:rsidR="007A5A15">
        <w:rPr>
          <w:rStyle w:val="a7"/>
          <w:rFonts w:cs="Arial"/>
          <w:rtl/>
        </w:rPr>
        <w:footnoteReference w:id="1329"/>
      </w:r>
      <w:r w:rsidRPr="00EB79BF">
        <w:rPr>
          <w:rFonts w:cs="Arial"/>
          <w:rtl/>
        </w:rPr>
        <w:t xml:space="preserve">. ויש מי שאומר שאפילו הוא עצמו יכול לערער על המכר. </w:t>
      </w:r>
      <w:r w:rsidR="00FA43C3">
        <w:rPr>
          <w:rFonts w:cs="Arial" w:hint="cs"/>
          <w:sz w:val="18"/>
          <w:szCs w:val="18"/>
          <w:rtl/>
        </w:rPr>
        <w:t xml:space="preserve">[הגה] </w:t>
      </w:r>
      <w:r w:rsidRPr="00FA43C3">
        <w:rPr>
          <w:rFonts w:cs="Arial"/>
          <w:sz w:val="18"/>
          <w:szCs w:val="18"/>
          <w:rtl/>
        </w:rPr>
        <w:t>ואפילו אם מתה בחייו</w:t>
      </w:r>
      <w:r w:rsidR="0070672E">
        <w:rPr>
          <w:rStyle w:val="a7"/>
          <w:rFonts w:cs="Arial"/>
          <w:sz w:val="18"/>
          <w:szCs w:val="18"/>
          <w:rtl/>
        </w:rPr>
        <w:footnoteReference w:id="1330"/>
      </w:r>
      <w:r w:rsidRPr="00FA43C3">
        <w:rPr>
          <w:rFonts w:cs="Arial"/>
          <w:sz w:val="18"/>
          <w:szCs w:val="18"/>
          <w:rtl/>
        </w:rPr>
        <w:t>, הבעל יורש כחה ויכול לבטל (טור</w:t>
      </w:r>
      <w:r w:rsidR="00BF6EA9">
        <w:rPr>
          <w:rFonts w:cs="Arial" w:hint="cs"/>
          <w:sz w:val="18"/>
          <w:szCs w:val="18"/>
          <w:rtl/>
        </w:rPr>
        <w:t xml:space="preserve"> בשם רש"י</w:t>
      </w:r>
      <w:r w:rsidRPr="00FA43C3">
        <w:rPr>
          <w:rFonts w:cs="Arial"/>
          <w:sz w:val="18"/>
          <w:szCs w:val="18"/>
          <w:rtl/>
        </w:rPr>
        <w:t>)</w:t>
      </w:r>
      <w:r w:rsidR="00FA43C3">
        <w:rPr>
          <w:rFonts w:cs="Arial" w:hint="cs"/>
          <w:sz w:val="18"/>
          <w:szCs w:val="18"/>
          <w:rtl/>
        </w:rPr>
        <w:t>.</w:t>
      </w:r>
      <w:r w:rsidRPr="00EB79BF">
        <w:rPr>
          <w:rFonts w:cs="Arial"/>
          <w:rtl/>
        </w:rPr>
        <w:t xml:space="preserve"> </w:t>
      </w:r>
    </w:p>
    <w:p w14:paraId="669305CE" w14:textId="77777777" w:rsidR="007A5A15" w:rsidRPr="00EB79BF" w:rsidRDefault="007A5A15" w:rsidP="00EB79BF">
      <w:pPr>
        <w:rPr>
          <w:rFonts w:cs="Arial"/>
          <w:rtl/>
        </w:rPr>
      </w:pPr>
    </w:p>
    <w:p w14:paraId="530C0C8D" w14:textId="67503E09" w:rsidR="00EB79BF" w:rsidRDefault="00EB79BF" w:rsidP="000F64D0">
      <w:pPr>
        <w:pStyle w:val="2"/>
        <w:rPr>
          <w:rtl/>
        </w:rPr>
      </w:pPr>
      <w:r w:rsidRPr="00EB79BF">
        <w:rPr>
          <w:rtl/>
        </w:rPr>
        <w:t>סעיף יד</w:t>
      </w:r>
      <w:r w:rsidR="00817B9C">
        <w:rPr>
          <w:rFonts w:hint="cs"/>
          <w:rtl/>
        </w:rPr>
        <w:t>:</w:t>
      </w:r>
      <w:r w:rsidR="00CF359C">
        <w:rPr>
          <w:rFonts w:hint="cs"/>
          <w:rtl/>
        </w:rPr>
        <w:t xml:space="preserve"> בעל שמכר מטלטלין של נכסי צאן ברזל.</w:t>
      </w:r>
    </w:p>
    <w:p w14:paraId="0C68DD14" w14:textId="75ECDADD" w:rsidR="00E2576E" w:rsidRPr="00E2576E" w:rsidRDefault="00E2576E" w:rsidP="00E2576E">
      <w:pPr>
        <w:rPr>
          <w:rtl/>
        </w:rPr>
      </w:pPr>
      <w:r>
        <w:rPr>
          <w:rFonts w:cs="Arial" w:hint="cs"/>
          <w:b/>
          <w:bCs/>
          <w:rtl/>
        </w:rPr>
        <w:t xml:space="preserve">ירושלמי כתובות פ"ו ה"ג: </w:t>
      </w:r>
      <w:r w:rsidRPr="00E2576E">
        <w:rPr>
          <w:rFonts w:cs="Arial"/>
          <w:u w:val="double"/>
          <w:rtl/>
        </w:rPr>
        <w:t>מתני'</w:t>
      </w:r>
      <w:r>
        <w:rPr>
          <w:rFonts w:cs="Arial" w:hint="cs"/>
          <w:rtl/>
        </w:rPr>
        <w:t>:</w:t>
      </w:r>
      <w:r w:rsidRPr="00E2576E">
        <w:rPr>
          <w:rFonts w:cs="Arial"/>
          <w:rtl/>
        </w:rPr>
        <w:t xml:space="preserve"> פסקה להכניס לו אלף דינר </w:t>
      </w:r>
      <w:r>
        <w:rPr>
          <w:rFonts w:cs="Arial" w:hint="cs"/>
          <w:rtl/>
        </w:rPr>
        <w:t xml:space="preserve">- </w:t>
      </w:r>
      <w:r w:rsidRPr="00E2576E">
        <w:rPr>
          <w:rFonts w:cs="Arial"/>
          <w:rtl/>
        </w:rPr>
        <w:t>הוא פוסק כנגדו בחמשה עשר מנה</w:t>
      </w:r>
      <w:r>
        <w:rPr>
          <w:rFonts w:cs="Arial" w:hint="cs"/>
          <w:rtl/>
        </w:rPr>
        <w:t>.</w:t>
      </w:r>
      <w:r w:rsidRPr="00E2576E">
        <w:rPr>
          <w:rFonts w:cs="Arial"/>
          <w:rtl/>
        </w:rPr>
        <w:t xml:space="preserve"> כנגד השום </w:t>
      </w:r>
      <w:r>
        <w:rPr>
          <w:rFonts w:cs="Arial" w:hint="cs"/>
          <w:rtl/>
        </w:rPr>
        <w:t xml:space="preserve">- </w:t>
      </w:r>
      <w:r w:rsidRPr="00E2576E">
        <w:rPr>
          <w:rFonts w:cs="Arial"/>
          <w:rtl/>
        </w:rPr>
        <w:t>הוא פוסק פחות חומש</w:t>
      </w:r>
      <w:r>
        <w:rPr>
          <w:rFonts w:cs="Arial" w:hint="cs"/>
          <w:rtl/>
        </w:rPr>
        <w:t xml:space="preserve">.    </w:t>
      </w:r>
      <w:r w:rsidRPr="00E2576E">
        <w:rPr>
          <w:rFonts w:cs="Arial"/>
          <w:rtl/>
        </w:rPr>
        <w:t xml:space="preserve"> </w:t>
      </w:r>
      <w:r w:rsidRPr="00D659FB">
        <w:rPr>
          <w:rFonts w:cs="Arial"/>
          <w:u w:val="double"/>
          <w:rtl/>
        </w:rPr>
        <w:t>גמ'</w:t>
      </w:r>
      <w:r>
        <w:rPr>
          <w:rFonts w:cs="Arial" w:hint="cs"/>
          <w:rtl/>
        </w:rPr>
        <w:t>:</w:t>
      </w:r>
      <w:r w:rsidRPr="00E2576E">
        <w:rPr>
          <w:rFonts w:cs="Arial"/>
          <w:rtl/>
        </w:rPr>
        <w:t xml:space="preserve"> מה ראו לומר בכספים אחד ומחצה ובשום פחות חומש</w:t>
      </w:r>
      <w:r>
        <w:rPr>
          <w:rFonts w:cs="Arial" w:hint="cs"/>
          <w:rtl/>
        </w:rPr>
        <w:t>?</w:t>
      </w:r>
      <w:r w:rsidRPr="00E2576E">
        <w:rPr>
          <w:rFonts w:cs="Arial"/>
          <w:rtl/>
        </w:rPr>
        <w:t xml:space="preserve"> </w:t>
      </w:r>
      <w:r w:rsidRPr="00E2576E">
        <w:rPr>
          <w:rFonts w:cs="Arial"/>
          <w:u w:val="single"/>
          <w:rtl/>
        </w:rPr>
        <w:t>אמר רבי יוסי בן חנינה</w:t>
      </w:r>
      <w:r>
        <w:rPr>
          <w:rFonts w:cs="Arial" w:hint="cs"/>
          <w:rtl/>
        </w:rPr>
        <w:t>:</w:t>
      </w:r>
      <w:r w:rsidRPr="00E2576E">
        <w:rPr>
          <w:rFonts w:cs="Arial"/>
          <w:rtl/>
        </w:rPr>
        <w:t xml:space="preserve"> שמין דעתה של אשה שהיא רוצה לכלות את כליה ולפחות אותן חומש</w:t>
      </w:r>
      <w:r>
        <w:rPr>
          <w:rFonts w:cs="Arial" w:hint="cs"/>
          <w:rtl/>
        </w:rPr>
        <w:t>.</w:t>
      </w:r>
      <w:r w:rsidRPr="00E2576E">
        <w:rPr>
          <w:rFonts w:cs="Arial"/>
          <w:rtl/>
        </w:rPr>
        <w:t xml:space="preserve"> שמין דעתו של איש רוצה לישא וליתן בהן ולעשותן באחד ומחצה</w:t>
      </w:r>
      <w:r>
        <w:rPr>
          <w:rFonts w:cs="Arial" w:hint="cs"/>
          <w:rtl/>
        </w:rPr>
        <w:t>.</w:t>
      </w:r>
      <w:r w:rsidRPr="00E2576E">
        <w:rPr>
          <w:rFonts w:cs="Arial"/>
          <w:rtl/>
        </w:rPr>
        <w:t xml:space="preserve"> </w:t>
      </w:r>
      <w:r w:rsidRPr="00E2576E">
        <w:rPr>
          <w:rFonts w:cs="Arial"/>
          <w:u w:val="single"/>
          <w:rtl/>
        </w:rPr>
        <w:t>אמר רבי יוסה</w:t>
      </w:r>
      <w:r w:rsidRPr="00E2576E">
        <w:rPr>
          <w:rFonts w:cs="Arial" w:hint="cs"/>
          <w:rtl/>
        </w:rPr>
        <w:t>:</w:t>
      </w:r>
      <w:r w:rsidRPr="00E2576E">
        <w:rPr>
          <w:rFonts w:cs="Arial"/>
          <w:rtl/>
        </w:rPr>
        <w:t xml:space="preserve"> זאת אומרת שאין אדם רשאי למכור כלי אשתו</w:t>
      </w:r>
      <w:r w:rsidRPr="00E2576E">
        <w:rPr>
          <w:rFonts w:cs="Arial" w:hint="cs"/>
          <w:rtl/>
        </w:rPr>
        <w:t>.</w:t>
      </w:r>
      <w:r>
        <w:rPr>
          <w:rFonts w:hint="cs"/>
          <w:rtl/>
        </w:rPr>
        <w:t xml:space="preserve"> </w:t>
      </w:r>
      <w:r w:rsidRPr="0070305D">
        <w:rPr>
          <w:rFonts w:hint="cs"/>
          <w:sz w:val="16"/>
          <w:szCs w:val="16"/>
          <w:rtl/>
        </w:rPr>
        <w:t>(</w:t>
      </w:r>
      <w:r w:rsidRPr="0070305D">
        <w:rPr>
          <w:rFonts w:cs="Arial"/>
          <w:sz w:val="16"/>
          <w:szCs w:val="16"/>
          <w:rtl/>
        </w:rPr>
        <w:t>שהרי הוא פוחת חומש מכתובתה כדי שתשתמש בכליה</w:t>
      </w:r>
      <w:r w:rsidR="0070305D" w:rsidRPr="0070305D">
        <w:rPr>
          <w:rFonts w:cs="Arial" w:hint="cs"/>
          <w:sz w:val="16"/>
          <w:szCs w:val="16"/>
          <w:rtl/>
        </w:rPr>
        <w:t>, ר"ן (</w:t>
      </w:r>
      <w:r w:rsidR="0070305D" w:rsidRPr="0070305D">
        <w:rPr>
          <w:rFonts w:cs="Arial"/>
          <w:sz w:val="16"/>
          <w:szCs w:val="16"/>
          <w:rtl/>
        </w:rPr>
        <w:t>כתובות כט</w:t>
      </w:r>
      <w:r w:rsidR="0070305D" w:rsidRPr="0070305D">
        <w:rPr>
          <w:rFonts w:cs="Arial" w:hint="cs"/>
          <w:sz w:val="16"/>
          <w:szCs w:val="16"/>
          <w:rtl/>
        </w:rPr>
        <w:t>. מדפה"ר). והביא הרי"ף (כט.) את לשון הירושלמי)</w:t>
      </w:r>
    </w:p>
    <w:p w14:paraId="56316C2D" w14:textId="77777777" w:rsidR="00ED2C84" w:rsidRPr="0081219A" w:rsidRDefault="00ED2C84" w:rsidP="00ED2C84">
      <w:pPr>
        <w:rPr>
          <w:rFonts w:cs="Arial"/>
          <w:rtl/>
        </w:rPr>
      </w:pPr>
      <w:r w:rsidRPr="0081219A">
        <w:rPr>
          <w:rFonts w:cs="Arial" w:hint="cs"/>
          <w:b/>
          <w:bCs/>
          <w:rtl/>
        </w:rPr>
        <w:t>יבמות</w:t>
      </w:r>
      <w:r w:rsidRPr="0081219A">
        <w:rPr>
          <w:rFonts w:cs="Arial" w:hint="cs"/>
          <w:b/>
          <w:bCs/>
          <w:sz w:val="16"/>
          <w:szCs w:val="16"/>
          <w:rtl/>
        </w:rPr>
        <w:t xml:space="preserve"> (ר"פ אלמנה לכה"ג)</w:t>
      </w:r>
      <w:r w:rsidRPr="0081219A">
        <w:rPr>
          <w:rFonts w:cs="Arial" w:hint="cs"/>
          <w:b/>
          <w:bCs/>
          <w:rtl/>
        </w:rPr>
        <w:t xml:space="preserve"> סו ע"ב: </w:t>
      </w:r>
      <w:r w:rsidRPr="0081219A">
        <w:rPr>
          <w:rFonts w:cs="Arial"/>
          <w:rtl/>
        </w:rPr>
        <w:t>תניא כותיה דרב יהודה: המכנסת שום</w:t>
      </w:r>
      <w:r>
        <w:rPr>
          <w:rStyle w:val="a7"/>
          <w:rFonts w:cs="Arial"/>
          <w:rtl/>
        </w:rPr>
        <w:footnoteReference w:id="1331"/>
      </w:r>
      <w:r w:rsidRPr="0081219A">
        <w:rPr>
          <w:rFonts w:cs="Arial"/>
          <w:rtl/>
        </w:rPr>
        <w:t xml:space="preserve"> לבעלה, אם רצה הבעל למכור - לא ימכור</w:t>
      </w:r>
      <w:r>
        <w:rPr>
          <w:rStyle w:val="a7"/>
          <w:rFonts w:cs="Arial"/>
          <w:rtl/>
        </w:rPr>
        <w:footnoteReference w:id="1332"/>
      </w:r>
      <w:r w:rsidRPr="0081219A">
        <w:rPr>
          <w:rFonts w:cs="Arial" w:hint="cs"/>
          <w:rtl/>
        </w:rPr>
        <w:t>.</w:t>
      </w:r>
      <w:r w:rsidRPr="0081219A">
        <w:rPr>
          <w:rFonts w:cs="Arial"/>
          <w:rtl/>
        </w:rPr>
        <w:t xml:space="preserve"> ולא עוד, אלא אפילו הכניס לה שום משלו, אם רצה הבעל למכור - לא ימכור</w:t>
      </w:r>
      <w:r w:rsidRPr="0081219A">
        <w:rPr>
          <w:rFonts w:cs="Arial" w:hint="cs"/>
          <w:rtl/>
        </w:rPr>
        <w:t>.</w:t>
      </w:r>
      <w:r w:rsidRPr="0081219A">
        <w:rPr>
          <w:rFonts w:cs="Arial"/>
          <w:rtl/>
        </w:rPr>
        <w:t xml:space="preserve"> </w:t>
      </w:r>
    </w:p>
    <w:p w14:paraId="410FE9C4" w14:textId="77777777" w:rsidR="00ED2C84" w:rsidRPr="007308BC" w:rsidRDefault="00ED2C84" w:rsidP="00ED2C84">
      <w:r w:rsidRPr="00B816B4">
        <w:rPr>
          <w:rFonts w:cs="Arial" w:hint="cs"/>
          <w:b/>
          <w:bCs/>
          <w:rtl/>
        </w:rPr>
        <w:t xml:space="preserve">בבא קמא </w:t>
      </w:r>
      <w:r w:rsidRPr="00B816B4">
        <w:rPr>
          <w:rFonts w:cs="Arial" w:hint="cs"/>
          <w:b/>
          <w:bCs/>
          <w:sz w:val="16"/>
          <w:szCs w:val="16"/>
          <w:rtl/>
        </w:rPr>
        <w:t xml:space="preserve">(פ' הגוזל קמא) </w:t>
      </w:r>
      <w:r w:rsidRPr="00B816B4">
        <w:rPr>
          <w:rFonts w:cs="Arial" w:hint="cs"/>
          <w:b/>
          <w:bCs/>
          <w:rtl/>
        </w:rPr>
        <w:t xml:space="preserve">קב ע"ב: </w:t>
      </w:r>
      <w:r w:rsidRPr="00B816B4">
        <w:rPr>
          <w:rFonts w:cs="Arial"/>
          <w:u w:val="single"/>
          <w:rtl/>
        </w:rPr>
        <w:t>אלא אמר רבי אבא</w:t>
      </w:r>
      <w:r w:rsidRPr="00B816B4">
        <w:rPr>
          <w:rFonts w:cs="Arial"/>
          <w:rtl/>
        </w:rPr>
        <w:t>: כל המקדיש נכסיו, נעשה כמי שהקנה להן כסות אשתו ובניו מעיקרא</w:t>
      </w:r>
      <w:r>
        <w:rPr>
          <w:rStyle w:val="a7"/>
          <w:rFonts w:cs="Arial"/>
          <w:rtl/>
        </w:rPr>
        <w:footnoteReference w:id="1333"/>
      </w:r>
      <w:r w:rsidRPr="00B816B4">
        <w:rPr>
          <w:rFonts w:cs="Arial"/>
          <w:rtl/>
        </w:rPr>
        <w:t>.</w:t>
      </w:r>
      <w:r w:rsidRPr="00B816B4">
        <w:rPr>
          <w:rtl/>
        </w:rPr>
        <w:t xml:space="preserve"> </w:t>
      </w:r>
    </w:p>
    <w:p w14:paraId="49F3E870" w14:textId="7BFE0109" w:rsidR="00817B9C" w:rsidRPr="00CF359C" w:rsidRDefault="00CF359C" w:rsidP="00817B9C">
      <w:pPr>
        <w:rPr>
          <w:u w:val="single"/>
          <w:rtl/>
        </w:rPr>
      </w:pPr>
      <w:r>
        <w:rPr>
          <w:rFonts w:hint="cs"/>
          <w:u w:val="single"/>
          <w:rtl/>
        </w:rPr>
        <w:t>בעל ש</w:t>
      </w:r>
      <w:r w:rsidRPr="00CF359C">
        <w:rPr>
          <w:rFonts w:hint="cs"/>
          <w:u w:val="single"/>
          <w:rtl/>
        </w:rPr>
        <w:t>מכר מטלטלין של נכסי צאן ברזל:</w:t>
      </w:r>
    </w:p>
    <w:p w14:paraId="716868AA" w14:textId="075069AA" w:rsidR="00886A2D" w:rsidRDefault="000C4173" w:rsidP="009000E3">
      <w:pPr>
        <w:pStyle w:val="ab"/>
        <w:numPr>
          <w:ilvl w:val="0"/>
          <w:numId w:val="55"/>
        </w:numPr>
        <w:rPr>
          <w:rFonts w:cs="Arial"/>
        </w:rPr>
      </w:pPr>
      <w:r>
        <w:rPr>
          <w:rFonts w:cs="Arial" w:hint="cs"/>
          <w:rtl/>
        </w:rPr>
        <w:t xml:space="preserve">רא"ש </w:t>
      </w:r>
      <w:r>
        <w:rPr>
          <w:rFonts w:cs="Arial" w:hint="cs"/>
          <w:sz w:val="16"/>
          <w:szCs w:val="16"/>
          <w:rtl/>
        </w:rPr>
        <w:t>(סו"ס א)</w:t>
      </w:r>
      <w:r>
        <w:rPr>
          <w:rFonts w:cs="Arial" w:hint="cs"/>
          <w:rtl/>
        </w:rPr>
        <w:t xml:space="preserve"> וטור- </w:t>
      </w:r>
      <w:r w:rsidR="00984DA1" w:rsidRPr="00984DA1">
        <w:rPr>
          <w:rFonts w:cs="Arial"/>
          <w:rtl/>
        </w:rPr>
        <w:t xml:space="preserve">יראה דדוקא בקרקע הוא דאמר </w:t>
      </w:r>
      <w:r w:rsidR="00984DA1">
        <w:rPr>
          <w:rFonts w:cs="Arial" w:hint="cs"/>
          <w:sz w:val="16"/>
          <w:szCs w:val="16"/>
          <w:rtl/>
        </w:rPr>
        <w:t>{ר"י</w:t>
      </w:r>
      <w:r w:rsidR="002A2665">
        <w:rPr>
          <w:rFonts w:cs="Arial" w:hint="cs"/>
          <w:sz w:val="16"/>
          <w:szCs w:val="16"/>
          <w:rtl/>
        </w:rPr>
        <w:t xml:space="preserve">} </w:t>
      </w:r>
      <w:r w:rsidR="00984DA1" w:rsidRPr="00984DA1">
        <w:rPr>
          <w:rFonts w:cs="Arial"/>
          <w:rtl/>
        </w:rPr>
        <w:t>דמכר הבעל קיים עד שעת טריפה</w:t>
      </w:r>
      <w:r w:rsidR="002A2665">
        <w:rPr>
          <w:rFonts w:cs="Arial" w:hint="cs"/>
          <w:rtl/>
        </w:rPr>
        <w:t>,</w:t>
      </w:r>
      <w:r w:rsidR="00984DA1" w:rsidRPr="00984DA1">
        <w:rPr>
          <w:rFonts w:cs="Arial"/>
          <w:rtl/>
        </w:rPr>
        <w:t xml:space="preserve"> שהארץ לעולם עומדת</w:t>
      </w:r>
      <w:r w:rsidR="002A2665">
        <w:rPr>
          <w:rFonts w:cs="Arial" w:hint="cs"/>
          <w:rtl/>
        </w:rPr>
        <w:t>,</w:t>
      </w:r>
      <w:r w:rsidR="00984DA1" w:rsidRPr="00984DA1">
        <w:rPr>
          <w:rFonts w:cs="Arial"/>
          <w:rtl/>
        </w:rPr>
        <w:t xml:space="preserve"> ואין לאשה הפסד אלא טורח שצריכה לחזר אחרי בתי דינין ולטרוף</w:t>
      </w:r>
      <w:r w:rsidR="002A2665">
        <w:rPr>
          <w:rFonts w:cs="Arial" w:hint="cs"/>
          <w:rtl/>
        </w:rPr>
        <w:t>.</w:t>
      </w:r>
      <w:r w:rsidR="00984DA1" w:rsidRPr="00984DA1">
        <w:rPr>
          <w:rFonts w:cs="Arial"/>
          <w:rtl/>
        </w:rPr>
        <w:t xml:space="preserve"> אבל המכנסת נדונייתא במטלטלין של כסף וזהב ובגדים </w:t>
      </w:r>
      <w:r w:rsidR="002A2665">
        <w:rPr>
          <w:rFonts w:cs="Arial" w:hint="cs"/>
          <w:rtl/>
        </w:rPr>
        <w:t xml:space="preserve">- </w:t>
      </w:r>
      <w:r w:rsidR="00984DA1" w:rsidRPr="00984DA1">
        <w:rPr>
          <w:rFonts w:cs="Arial"/>
          <w:rtl/>
        </w:rPr>
        <w:t>אין הבעל יכול למוכרן</w:t>
      </w:r>
      <w:r w:rsidR="00763570">
        <w:rPr>
          <w:rStyle w:val="a7"/>
          <w:rFonts w:cs="Arial"/>
          <w:rtl/>
        </w:rPr>
        <w:footnoteReference w:id="1334"/>
      </w:r>
      <w:r w:rsidR="00763570">
        <w:rPr>
          <w:rFonts w:cs="Arial" w:hint="cs"/>
          <w:rtl/>
        </w:rPr>
        <w:t>,</w:t>
      </w:r>
      <w:r w:rsidR="00984DA1" w:rsidRPr="00984DA1">
        <w:rPr>
          <w:rFonts w:cs="Arial"/>
          <w:rtl/>
        </w:rPr>
        <w:t xml:space="preserve"> אע</w:t>
      </w:r>
      <w:r w:rsidR="002A2665">
        <w:rPr>
          <w:rFonts w:cs="Arial" w:hint="cs"/>
          <w:rtl/>
        </w:rPr>
        <w:t>"</w:t>
      </w:r>
      <w:r w:rsidR="00984DA1" w:rsidRPr="00984DA1">
        <w:rPr>
          <w:rFonts w:cs="Arial"/>
          <w:rtl/>
        </w:rPr>
        <w:t>פ שיש לבעל נכסים כנגד נדונייתא דהיא חפצה יותר בשבח בית אביה</w:t>
      </w:r>
      <w:r w:rsidR="002A2665">
        <w:rPr>
          <w:rFonts w:cs="Arial" w:hint="cs"/>
          <w:rtl/>
        </w:rPr>
        <w:t>,</w:t>
      </w:r>
      <w:r w:rsidR="00984DA1" w:rsidRPr="00984DA1">
        <w:rPr>
          <w:rFonts w:cs="Arial"/>
          <w:rtl/>
        </w:rPr>
        <w:t xml:space="preserve"> דקי"ל כרב יהודה</w:t>
      </w:r>
      <w:r w:rsidR="002A2665">
        <w:rPr>
          <w:rFonts w:cs="Arial" w:hint="cs"/>
          <w:rtl/>
        </w:rPr>
        <w:t>.</w:t>
      </w:r>
      <w:r w:rsidR="00984DA1" w:rsidRPr="00984DA1">
        <w:rPr>
          <w:rFonts w:cs="Arial"/>
          <w:rtl/>
        </w:rPr>
        <w:t xml:space="preserve"> וכ"ש שאין ב"ח נוטלן</w:t>
      </w:r>
      <w:r>
        <w:rPr>
          <w:rStyle w:val="a7"/>
          <w:rFonts w:cs="Arial"/>
          <w:rtl/>
        </w:rPr>
        <w:footnoteReference w:id="1335"/>
      </w:r>
      <w:r w:rsidR="002A2665" w:rsidRPr="002A2665">
        <w:rPr>
          <w:rFonts w:hint="cs"/>
          <w:sz w:val="16"/>
          <w:szCs w:val="16"/>
          <w:rtl/>
        </w:rPr>
        <w:t>(ל' הרא"ש)</w:t>
      </w:r>
      <w:r>
        <w:rPr>
          <w:rFonts w:cs="Arial" w:hint="cs"/>
          <w:rtl/>
        </w:rPr>
        <w:t>.</w:t>
      </w:r>
      <w:r w:rsidR="008C513A" w:rsidRPr="008C513A">
        <w:rPr>
          <w:rFonts w:cs="Arial"/>
          <w:rtl/>
        </w:rPr>
        <w:t xml:space="preserve"> וכן מה שהחתן פוסק לה אינו יכול למוכר</w:t>
      </w:r>
      <w:r w:rsidR="00DE69CB">
        <w:rPr>
          <w:rFonts w:cs="Arial" w:hint="cs"/>
          <w:rtl/>
        </w:rPr>
        <w:t>ן</w:t>
      </w:r>
      <w:r w:rsidR="00DE69CB">
        <w:rPr>
          <w:rFonts w:cs="Arial" w:hint="cs"/>
          <w:sz w:val="16"/>
          <w:szCs w:val="16"/>
          <w:rtl/>
        </w:rPr>
        <w:t xml:space="preserve"> (ל' הטור)</w:t>
      </w:r>
      <w:r>
        <w:rPr>
          <w:rFonts w:cs="Arial" w:hint="cs"/>
          <w:rtl/>
        </w:rPr>
        <w:t>.</w:t>
      </w:r>
      <w:r w:rsidR="005B4840">
        <w:rPr>
          <w:rFonts w:cs="Arial" w:hint="cs"/>
          <w:rtl/>
        </w:rPr>
        <w:t xml:space="preserve"> </w:t>
      </w:r>
      <w:r w:rsidR="005B4840" w:rsidRPr="005B4840">
        <w:rPr>
          <w:rFonts w:cs="Arial" w:hint="cs"/>
          <w:color w:val="00B0F0"/>
          <w:rtl/>
        </w:rPr>
        <w:t>(וכ"</w:t>
      </w:r>
      <w:r w:rsidR="008F736F">
        <w:rPr>
          <w:rFonts w:cs="Arial" w:hint="cs"/>
          <w:color w:val="00B0F0"/>
          <w:rtl/>
        </w:rPr>
        <w:t>כ</w:t>
      </w:r>
      <w:r w:rsidR="005B4840" w:rsidRPr="005B4840">
        <w:rPr>
          <w:rFonts w:cs="Arial" w:hint="cs"/>
          <w:color w:val="00B0F0"/>
          <w:rtl/>
        </w:rPr>
        <w:t xml:space="preserve"> הרמ"א)</w:t>
      </w:r>
    </w:p>
    <w:p w14:paraId="029B43EC" w14:textId="3B48A3DB" w:rsidR="00E777AD" w:rsidRDefault="008C513A" w:rsidP="009000E3">
      <w:pPr>
        <w:pStyle w:val="ab"/>
        <w:numPr>
          <w:ilvl w:val="0"/>
          <w:numId w:val="55"/>
        </w:numPr>
        <w:rPr>
          <w:rFonts w:cs="Arial"/>
        </w:rPr>
      </w:pPr>
      <w:r w:rsidRPr="008C513A">
        <w:rPr>
          <w:rFonts w:cs="Arial"/>
          <w:rtl/>
        </w:rPr>
        <w:t>רמב"ם</w:t>
      </w:r>
      <w:r w:rsidR="000C4173">
        <w:rPr>
          <w:rFonts w:cs="Arial" w:hint="cs"/>
          <w:sz w:val="16"/>
          <w:szCs w:val="16"/>
          <w:rtl/>
        </w:rPr>
        <w:t xml:space="preserve"> (פכ"ב מאישות הט"ז</w:t>
      </w:r>
      <w:r w:rsidR="0049110B">
        <w:rPr>
          <w:rFonts w:cs="Arial" w:hint="cs"/>
          <w:sz w:val="16"/>
          <w:szCs w:val="16"/>
          <w:rtl/>
        </w:rPr>
        <w:t>, וכן בהל' מכירה פ"ל ה"ה</w:t>
      </w:r>
      <w:r w:rsidR="000C4173">
        <w:rPr>
          <w:rFonts w:cs="Arial" w:hint="cs"/>
          <w:sz w:val="16"/>
          <w:szCs w:val="16"/>
          <w:rtl/>
        </w:rPr>
        <w:t>)</w:t>
      </w:r>
      <w:r w:rsidR="008F07C7">
        <w:rPr>
          <w:rStyle w:val="a7"/>
          <w:rFonts w:cs="Arial"/>
          <w:rtl/>
        </w:rPr>
        <w:footnoteReference w:id="1336"/>
      </w:r>
      <w:r w:rsidR="000C4173">
        <w:rPr>
          <w:rFonts w:cs="Arial" w:hint="cs"/>
          <w:rtl/>
        </w:rPr>
        <w:t>-</w:t>
      </w:r>
      <w:r w:rsidRPr="008C513A">
        <w:rPr>
          <w:rFonts w:cs="Arial"/>
          <w:rtl/>
        </w:rPr>
        <w:t xml:space="preserve"> </w:t>
      </w:r>
      <w:r w:rsidR="00DE69CB" w:rsidRPr="00DE69CB">
        <w:rPr>
          <w:rFonts w:cs="Arial"/>
          <w:rtl/>
        </w:rPr>
        <w:t>מכר מטלטלין של נכסי צאן ברזל</w:t>
      </w:r>
      <w:r w:rsidR="00D659FB">
        <w:rPr>
          <w:rFonts w:cs="Arial" w:hint="cs"/>
          <w:rtl/>
        </w:rPr>
        <w:t>,</w:t>
      </w:r>
      <w:r w:rsidR="00DE69CB" w:rsidRPr="00DE69CB">
        <w:rPr>
          <w:rFonts w:cs="Arial"/>
          <w:rtl/>
        </w:rPr>
        <w:t xml:space="preserve"> אע</w:t>
      </w:r>
      <w:r w:rsidR="00DE69CB">
        <w:rPr>
          <w:rFonts w:cs="Arial" w:hint="cs"/>
          <w:rtl/>
        </w:rPr>
        <w:t>"</w:t>
      </w:r>
      <w:r w:rsidR="00DE69CB" w:rsidRPr="00DE69CB">
        <w:rPr>
          <w:rFonts w:cs="Arial"/>
          <w:rtl/>
        </w:rPr>
        <w:t>פ שאינו רשאי</w:t>
      </w:r>
      <w:r w:rsidR="00942206">
        <w:rPr>
          <w:rFonts w:cs="Arial" w:hint="cs"/>
          <w:rtl/>
        </w:rPr>
        <w:t>,</w:t>
      </w:r>
      <w:r w:rsidR="00DE69CB" w:rsidRPr="00DE69CB">
        <w:rPr>
          <w:rFonts w:cs="Arial"/>
          <w:rtl/>
        </w:rPr>
        <w:t xml:space="preserve"> אם מכר </w:t>
      </w:r>
      <w:r w:rsidR="00360A8B">
        <w:rPr>
          <w:rFonts w:cs="Arial" w:hint="cs"/>
          <w:rtl/>
        </w:rPr>
        <w:t xml:space="preserve">- </w:t>
      </w:r>
      <w:r w:rsidR="00DE69CB" w:rsidRPr="00DE69CB">
        <w:rPr>
          <w:rFonts w:cs="Arial"/>
          <w:rtl/>
        </w:rPr>
        <w:t>ממכרו קיים</w:t>
      </w:r>
      <w:r w:rsidR="002A2665">
        <w:rPr>
          <w:rStyle w:val="a7"/>
          <w:rFonts w:cs="Arial"/>
          <w:rtl/>
        </w:rPr>
        <w:footnoteReference w:id="1337"/>
      </w:r>
      <w:r w:rsidR="000C4173">
        <w:rPr>
          <w:rFonts w:cs="Arial" w:hint="cs"/>
          <w:rtl/>
        </w:rPr>
        <w:t>.</w:t>
      </w:r>
      <w:r w:rsidR="00763570">
        <w:rPr>
          <w:rFonts w:cs="Arial" w:hint="cs"/>
          <w:rtl/>
        </w:rPr>
        <w:t xml:space="preserve"> </w:t>
      </w:r>
      <w:r w:rsidR="00763570" w:rsidRPr="00763570">
        <w:rPr>
          <w:rFonts w:cs="Arial" w:hint="cs"/>
          <w:color w:val="E36C0A" w:themeColor="accent6" w:themeShade="BF"/>
          <w:rtl/>
        </w:rPr>
        <w:t>(וכ"פ בשו"ע)</w:t>
      </w:r>
    </w:p>
    <w:p w14:paraId="79E9C214" w14:textId="6BC52F2D" w:rsidR="00EE2DC6" w:rsidRPr="00ED2C84" w:rsidRDefault="00ED2C84" w:rsidP="00ED2C84">
      <w:pPr>
        <w:ind w:left="360"/>
        <w:rPr>
          <w:u w:val="dotted"/>
          <w:rtl/>
        </w:rPr>
      </w:pPr>
      <w:r>
        <w:rPr>
          <w:rFonts w:cs="Arial" w:hint="cs"/>
          <w:u w:val="dotted"/>
          <w:rtl/>
        </w:rPr>
        <w:lastRenderedPageBreak/>
        <w:t>ומה הדין ב</w:t>
      </w:r>
      <w:r w:rsidR="00EE2DC6" w:rsidRPr="00ED2C84">
        <w:rPr>
          <w:rFonts w:cs="Arial" w:hint="cs"/>
          <w:u w:val="dotted"/>
          <w:rtl/>
        </w:rPr>
        <w:t>מטלטלין שנתן הוא לאשתו:</w:t>
      </w:r>
    </w:p>
    <w:p w14:paraId="17C77EDE" w14:textId="77777777" w:rsidR="00EE2DC6" w:rsidRDefault="00EE2DC6" w:rsidP="00EE2DC6">
      <w:pPr>
        <w:pStyle w:val="ab"/>
        <w:numPr>
          <w:ilvl w:val="0"/>
          <w:numId w:val="55"/>
        </w:numPr>
      </w:pPr>
      <w:r w:rsidRPr="007308BC">
        <w:rPr>
          <w:rFonts w:cs="Arial"/>
          <w:rtl/>
        </w:rPr>
        <w:t xml:space="preserve">רמב"ם </w:t>
      </w:r>
      <w:r w:rsidRPr="007308BC">
        <w:rPr>
          <w:rFonts w:cs="Arial" w:hint="cs"/>
          <w:sz w:val="16"/>
          <w:szCs w:val="16"/>
          <w:rtl/>
        </w:rPr>
        <w:t>(</w:t>
      </w:r>
      <w:r w:rsidRPr="007308BC">
        <w:rPr>
          <w:rFonts w:cs="Arial"/>
          <w:sz w:val="16"/>
          <w:szCs w:val="16"/>
          <w:rtl/>
        </w:rPr>
        <w:t>פ"ל מהל</w:t>
      </w:r>
      <w:r w:rsidRPr="007308BC">
        <w:rPr>
          <w:rFonts w:cs="Arial" w:hint="cs"/>
          <w:sz w:val="16"/>
          <w:szCs w:val="16"/>
          <w:rtl/>
        </w:rPr>
        <w:t>'</w:t>
      </w:r>
      <w:r w:rsidRPr="007308BC">
        <w:rPr>
          <w:rFonts w:cs="Arial"/>
          <w:sz w:val="16"/>
          <w:szCs w:val="16"/>
          <w:rtl/>
        </w:rPr>
        <w:t xml:space="preserve"> מכירה ה"ה)</w:t>
      </w:r>
      <w:r w:rsidRPr="007308BC">
        <w:rPr>
          <w:rFonts w:cs="Arial" w:hint="cs"/>
          <w:rtl/>
        </w:rPr>
        <w:t>-</w:t>
      </w:r>
      <w:r w:rsidRPr="007308BC">
        <w:rPr>
          <w:rFonts w:cs="Arial"/>
          <w:rtl/>
        </w:rPr>
        <w:t xml:space="preserve"> בעל שמכר מטלטלין של נכסי צאן ברזל</w:t>
      </w:r>
      <w:r>
        <w:rPr>
          <w:rFonts w:cs="Arial" w:hint="cs"/>
          <w:rtl/>
        </w:rPr>
        <w:t>,</w:t>
      </w:r>
      <w:r w:rsidRPr="007308BC">
        <w:rPr>
          <w:rFonts w:cs="Arial"/>
          <w:rtl/>
        </w:rPr>
        <w:t xml:space="preserve"> או מטלטלין </w:t>
      </w:r>
      <w:r>
        <w:rPr>
          <w:rStyle w:val="a7"/>
          <w:rFonts w:cs="Arial"/>
          <w:rtl/>
        </w:rPr>
        <w:footnoteReference w:id="1338"/>
      </w:r>
      <w:r>
        <w:rPr>
          <w:rFonts w:cs="Arial" w:hint="cs"/>
          <w:rtl/>
        </w:rPr>
        <w:t>[</w:t>
      </w:r>
      <w:r w:rsidRPr="007308BC">
        <w:rPr>
          <w:rFonts w:cs="Arial"/>
          <w:rtl/>
        </w:rPr>
        <w:t>שנת</w:t>
      </w:r>
      <w:r>
        <w:rPr>
          <w:rFonts w:cs="Arial" w:hint="cs"/>
          <w:rtl/>
        </w:rPr>
        <w:t>ן</w:t>
      </w:r>
      <w:r w:rsidRPr="007308BC">
        <w:rPr>
          <w:rFonts w:cs="Arial"/>
          <w:rtl/>
        </w:rPr>
        <w:t xml:space="preserve"> ל</w:t>
      </w:r>
      <w:r>
        <w:rPr>
          <w:rFonts w:cs="Arial" w:hint="cs"/>
          <w:rtl/>
        </w:rPr>
        <w:t>ה]</w:t>
      </w:r>
      <w:r w:rsidRPr="007308BC">
        <w:rPr>
          <w:rFonts w:cs="Arial"/>
          <w:rtl/>
        </w:rPr>
        <w:t xml:space="preserve"> משלו</w:t>
      </w:r>
      <w:r>
        <w:rPr>
          <w:rFonts w:cs="Arial" w:hint="cs"/>
          <w:rtl/>
        </w:rPr>
        <w:t>,</w:t>
      </w:r>
      <w:r w:rsidRPr="007308BC">
        <w:rPr>
          <w:rFonts w:cs="Arial"/>
          <w:rtl/>
        </w:rPr>
        <w:t xml:space="preserve"> אע</w:t>
      </w:r>
      <w:r>
        <w:rPr>
          <w:rFonts w:cs="Arial" w:hint="cs"/>
          <w:rtl/>
        </w:rPr>
        <w:t>"</w:t>
      </w:r>
      <w:r w:rsidRPr="007308BC">
        <w:rPr>
          <w:rFonts w:cs="Arial"/>
          <w:rtl/>
        </w:rPr>
        <w:t xml:space="preserve">פ שאינו רשאי אם עבר ומכר או נתן </w:t>
      </w:r>
      <w:r>
        <w:rPr>
          <w:rFonts w:cs="Arial" w:hint="cs"/>
          <w:rtl/>
        </w:rPr>
        <w:t xml:space="preserve">- </w:t>
      </w:r>
      <w:r w:rsidRPr="007308BC">
        <w:rPr>
          <w:rFonts w:cs="Arial"/>
          <w:rtl/>
        </w:rPr>
        <w:t>קנו הלקוחות ואין האשה יכולה להוציא מידם</w:t>
      </w:r>
      <w:r>
        <w:rPr>
          <w:rStyle w:val="a7"/>
          <w:rFonts w:cs="Arial"/>
          <w:rtl/>
        </w:rPr>
        <w:footnoteReference w:id="1339"/>
      </w:r>
      <w:r w:rsidRPr="007308BC">
        <w:rPr>
          <w:rFonts w:cs="Arial" w:hint="cs"/>
          <w:rtl/>
        </w:rPr>
        <w:t>.</w:t>
      </w:r>
      <w:r w:rsidRPr="00C975E1">
        <w:rPr>
          <w:rFonts w:cs="Arial" w:hint="cs"/>
          <w:color w:val="E36C0A" w:themeColor="accent6" w:themeShade="BF"/>
          <w:rtl/>
        </w:rPr>
        <w:t xml:space="preserve"> </w:t>
      </w:r>
      <w:r w:rsidRPr="00763570">
        <w:rPr>
          <w:rFonts w:cs="Arial" w:hint="cs"/>
          <w:color w:val="E36C0A" w:themeColor="accent6" w:themeShade="BF"/>
          <w:rtl/>
        </w:rPr>
        <w:t>(וכ"פ בשו"ע</w:t>
      </w:r>
      <w:r>
        <w:rPr>
          <w:rFonts w:cs="Arial" w:hint="cs"/>
          <w:color w:val="000000" w:themeColor="text1"/>
          <w:sz w:val="16"/>
          <w:szCs w:val="16"/>
          <w:rtl/>
        </w:rPr>
        <w:t xml:space="preserve"> </w:t>
      </w:r>
      <w:r w:rsidRPr="00067668">
        <w:rPr>
          <w:rFonts w:cs="Arial" w:hint="cs"/>
          <w:color w:val="000000" w:themeColor="text1"/>
          <w:sz w:val="16"/>
          <w:szCs w:val="16"/>
          <w:rtl/>
        </w:rPr>
        <w:t>[</w:t>
      </w:r>
      <w:r>
        <w:rPr>
          <w:rFonts w:cs="Arial" w:hint="cs"/>
          <w:color w:val="000000" w:themeColor="text1"/>
          <w:sz w:val="16"/>
          <w:szCs w:val="16"/>
          <w:rtl/>
        </w:rPr>
        <w:t>בסע' הבא</w:t>
      </w:r>
      <w:r w:rsidRPr="00067668">
        <w:rPr>
          <w:rFonts w:cs="Arial" w:hint="cs"/>
          <w:color w:val="000000" w:themeColor="text1"/>
          <w:sz w:val="16"/>
          <w:szCs w:val="16"/>
          <w:rtl/>
        </w:rPr>
        <w:t>]</w:t>
      </w:r>
      <w:r w:rsidRPr="00763570">
        <w:rPr>
          <w:rFonts w:cs="Arial" w:hint="cs"/>
          <w:color w:val="E36C0A" w:themeColor="accent6" w:themeShade="BF"/>
          <w:rtl/>
        </w:rPr>
        <w:t>)</w:t>
      </w:r>
    </w:p>
    <w:p w14:paraId="41C25012" w14:textId="16C18381" w:rsidR="00C457BC" w:rsidRDefault="00C457BC" w:rsidP="00EE2DC6">
      <w:pPr>
        <w:pStyle w:val="ab"/>
        <w:numPr>
          <w:ilvl w:val="0"/>
          <w:numId w:val="55"/>
        </w:numPr>
      </w:pPr>
      <w:r w:rsidRPr="00977B18">
        <w:rPr>
          <w:rFonts w:cs="Arial"/>
          <w:rtl/>
        </w:rPr>
        <w:t xml:space="preserve">רשב"א </w:t>
      </w:r>
      <w:r w:rsidRPr="00977B18">
        <w:rPr>
          <w:rFonts w:cs="Arial"/>
          <w:sz w:val="16"/>
          <w:szCs w:val="16"/>
          <w:rtl/>
        </w:rPr>
        <w:t>(ח"ב סי' רפו</w:t>
      </w:r>
      <w:r>
        <w:rPr>
          <w:rFonts w:cs="Arial" w:hint="cs"/>
          <w:sz w:val="16"/>
          <w:szCs w:val="16"/>
          <w:rtl/>
        </w:rPr>
        <w:t>, הביאה הב"י בס"ס עג</w:t>
      </w:r>
      <w:r w:rsidRPr="00977B18">
        <w:rPr>
          <w:rFonts w:cs="Arial"/>
          <w:sz w:val="16"/>
          <w:szCs w:val="16"/>
          <w:rtl/>
        </w:rPr>
        <w:t>)</w:t>
      </w:r>
      <w:r>
        <w:rPr>
          <w:rFonts w:cs="Arial" w:hint="cs"/>
          <w:rtl/>
        </w:rPr>
        <w:t>-</w:t>
      </w:r>
      <w:r w:rsidRPr="00977B18">
        <w:rPr>
          <w:rFonts w:cs="Arial"/>
          <w:rtl/>
        </w:rPr>
        <w:t xml:space="preserve"> מאן לימ</w:t>
      </w:r>
      <w:r>
        <w:rPr>
          <w:rFonts w:cs="Arial" w:hint="cs"/>
          <w:rtl/>
        </w:rPr>
        <w:t>א</w:t>
      </w:r>
      <w:r w:rsidRPr="00977B18">
        <w:rPr>
          <w:rFonts w:cs="Arial"/>
          <w:rtl/>
        </w:rPr>
        <w:t xml:space="preserve"> לן שאין הבעל יכול למכור ולמשכן כסות אשתו ובניו שלא מדעתם</w:t>
      </w:r>
      <w:r>
        <w:rPr>
          <w:rStyle w:val="a7"/>
          <w:rFonts w:cs="Arial"/>
          <w:rtl/>
        </w:rPr>
        <w:footnoteReference w:id="1340"/>
      </w:r>
      <w:r>
        <w:rPr>
          <w:rFonts w:cs="Arial" w:hint="cs"/>
          <w:rtl/>
        </w:rPr>
        <w:t>...</w:t>
      </w:r>
      <w:r w:rsidRPr="00A56094">
        <w:rPr>
          <w:rtl/>
        </w:rPr>
        <w:t xml:space="preserve"> </w:t>
      </w:r>
      <w:r w:rsidRPr="00A56094">
        <w:rPr>
          <w:rFonts w:cs="Arial"/>
          <w:rtl/>
        </w:rPr>
        <w:t>אלא שעדיין הדבר צריך הכרע.</w:t>
      </w:r>
    </w:p>
    <w:p w14:paraId="5B5AB907" w14:textId="374E92DE" w:rsidR="00EE2DC6" w:rsidRPr="0081219A" w:rsidRDefault="00EE2DC6" w:rsidP="00EE2DC6">
      <w:pPr>
        <w:ind w:left="360"/>
        <w:rPr>
          <w:u w:val="dotted"/>
          <w:rtl/>
        </w:rPr>
      </w:pPr>
      <w:r w:rsidRPr="0081219A">
        <w:rPr>
          <w:rFonts w:cs="Arial" w:hint="cs"/>
          <w:u w:val="dotted"/>
          <w:rtl/>
        </w:rPr>
        <w:t>ומה הדין אם עדיין המטלטלין</w:t>
      </w:r>
      <w:r w:rsidR="00ED2C84">
        <w:rPr>
          <w:rFonts w:cs="Arial" w:hint="cs"/>
          <w:u w:val="dotted"/>
          <w:rtl/>
        </w:rPr>
        <w:t xml:space="preserve"> שקנה לה</w:t>
      </w:r>
      <w:r w:rsidRPr="0081219A">
        <w:rPr>
          <w:rFonts w:cs="Arial" w:hint="cs"/>
          <w:u w:val="dotted"/>
          <w:rtl/>
        </w:rPr>
        <w:t xml:space="preserve"> לא הגיעו לידה:</w:t>
      </w:r>
      <w:r w:rsidRPr="0081219A">
        <w:rPr>
          <w:rFonts w:cs="Arial"/>
          <w:u w:val="dotted"/>
          <w:rtl/>
        </w:rPr>
        <w:t xml:space="preserve"> </w:t>
      </w:r>
    </w:p>
    <w:p w14:paraId="42792C17" w14:textId="2B0D0945" w:rsidR="00EE2DC6" w:rsidRDefault="00EE2DC6" w:rsidP="00EE2DC6">
      <w:pPr>
        <w:pStyle w:val="ab"/>
        <w:numPr>
          <w:ilvl w:val="0"/>
          <w:numId w:val="55"/>
        </w:numPr>
      </w:pPr>
      <w:r>
        <w:rPr>
          <w:rFonts w:cs="Arial" w:hint="cs"/>
          <w:rtl/>
        </w:rPr>
        <w:t xml:space="preserve">הג"א </w:t>
      </w:r>
      <w:r w:rsidRPr="007308BC">
        <w:rPr>
          <w:rFonts w:cs="Arial" w:hint="cs"/>
          <w:sz w:val="16"/>
          <w:szCs w:val="16"/>
          <w:rtl/>
        </w:rPr>
        <w:t>(</w:t>
      </w:r>
      <w:r w:rsidRPr="007308BC">
        <w:rPr>
          <w:rFonts w:cs="Arial"/>
          <w:sz w:val="16"/>
          <w:szCs w:val="16"/>
          <w:rtl/>
        </w:rPr>
        <w:t>פ</w:t>
      </w:r>
      <w:r w:rsidRPr="007308BC">
        <w:rPr>
          <w:rFonts w:cs="Arial" w:hint="cs"/>
          <w:sz w:val="16"/>
          <w:szCs w:val="16"/>
          <w:rtl/>
        </w:rPr>
        <w:t>'</w:t>
      </w:r>
      <w:r w:rsidRPr="007308BC">
        <w:rPr>
          <w:rFonts w:cs="Arial"/>
          <w:sz w:val="16"/>
          <w:szCs w:val="16"/>
          <w:rtl/>
        </w:rPr>
        <w:t xml:space="preserve"> הגוזל קמא ב"ק פ"ט סי' יח)</w:t>
      </w:r>
      <w:r>
        <w:rPr>
          <w:rFonts w:cs="Arial" w:hint="cs"/>
          <w:rtl/>
        </w:rPr>
        <w:t>-</w:t>
      </w:r>
      <w:r w:rsidRPr="00B816B4">
        <w:rPr>
          <w:rFonts w:cs="Arial"/>
          <w:rtl/>
        </w:rPr>
        <w:t xml:space="preserve"> </w:t>
      </w:r>
      <w:r>
        <w:rPr>
          <w:rFonts w:cs="Arial" w:hint="cs"/>
          <w:rtl/>
        </w:rPr>
        <w:t>"</w:t>
      </w:r>
      <w:r w:rsidRPr="0081219A">
        <w:rPr>
          <w:rFonts w:cs="Arial"/>
          <w:rtl/>
        </w:rPr>
        <w:t>נעשה כמי שהקנה לאשתו ובניו כסותו</w:t>
      </w:r>
      <w:r>
        <w:rPr>
          <w:rFonts w:cs="Arial" w:hint="cs"/>
          <w:rtl/>
        </w:rPr>
        <w:t>"</w:t>
      </w:r>
      <w:r>
        <w:rPr>
          <w:rFonts w:cs="Arial" w:hint="cs"/>
          <w:sz w:val="16"/>
          <w:szCs w:val="16"/>
          <w:rtl/>
        </w:rPr>
        <w:t xml:space="preserve"> (ב"ק קב:)</w:t>
      </w:r>
      <w:r w:rsidRPr="0081219A">
        <w:rPr>
          <w:rFonts w:cs="Arial"/>
          <w:rtl/>
        </w:rPr>
        <w:t xml:space="preserve"> </w:t>
      </w:r>
      <w:r w:rsidRPr="00B816B4">
        <w:rPr>
          <w:rFonts w:cs="Arial"/>
          <w:rtl/>
        </w:rPr>
        <w:t>מכאן</w:t>
      </w:r>
      <w:r>
        <w:rPr>
          <w:rFonts w:cs="Arial" w:hint="cs"/>
          <w:rtl/>
        </w:rPr>
        <w:t xml:space="preserve"> </w:t>
      </w:r>
      <w:r w:rsidRPr="00B816B4">
        <w:rPr>
          <w:rFonts w:cs="Arial"/>
          <w:rtl/>
        </w:rPr>
        <w:t>נראה לי שאין אדם יכול למכור בגדי אשתו שקנה לה</w:t>
      </w:r>
      <w:r>
        <w:rPr>
          <w:rFonts w:cs="Arial" w:hint="cs"/>
          <w:rtl/>
        </w:rPr>
        <w:t>,</w:t>
      </w:r>
      <w:r w:rsidRPr="00B816B4">
        <w:rPr>
          <w:rFonts w:cs="Arial"/>
          <w:rtl/>
        </w:rPr>
        <w:t xml:space="preserve"> ואפי' לא באו לידה</w:t>
      </w:r>
      <w:r>
        <w:rPr>
          <w:rFonts w:cs="Arial" w:hint="cs"/>
          <w:rtl/>
        </w:rPr>
        <w:t>,</w:t>
      </w:r>
      <w:r w:rsidRPr="00B816B4">
        <w:rPr>
          <w:rFonts w:cs="Arial"/>
          <w:rtl/>
        </w:rPr>
        <w:t xml:space="preserve"> קל וחומר מהקדש</w:t>
      </w:r>
      <w:r>
        <w:rPr>
          <w:rFonts w:cs="Arial" w:hint="cs"/>
          <w:rtl/>
        </w:rPr>
        <w:t>.</w:t>
      </w:r>
      <w:r w:rsidRPr="00B816B4">
        <w:rPr>
          <w:rFonts w:cs="Arial"/>
          <w:rtl/>
        </w:rPr>
        <w:t xml:space="preserve"> ואפי' אין לו במה להתפרנס אינו יכול למוכרם. </w:t>
      </w:r>
      <w:r w:rsidR="00ED2C84" w:rsidRPr="00763570">
        <w:rPr>
          <w:rFonts w:cs="Arial" w:hint="cs"/>
          <w:color w:val="E36C0A" w:themeColor="accent6" w:themeShade="BF"/>
          <w:rtl/>
        </w:rPr>
        <w:t>(וכ"פ בשו"ע</w:t>
      </w:r>
      <w:r w:rsidR="00ED2C84">
        <w:rPr>
          <w:rFonts w:cs="Arial" w:hint="cs"/>
          <w:color w:val="000000" w:themeColor="text1"/>
          <w:sz w:val="16"/>
          <w:szCs w:val="16"/>
          <w:rtl/>
        </w:rPr>
        <w:t xml:space="preserve"> </w:t>
      </w:r>
      <w:r w:rsidR="00ED2C84" w:rsidRPr="00067668">
        <w:rPr>
          <w:rFonts w:cs="Arial" w:hint="cs"/>
          <w:color w:val="000000" w:themeColor="text1"/>
          <w:sz w:val="16"/>
          <w:szCs w:val="16"/>
          <w:rtl/>
        </w:rPr>
        <w:t>[</w:t>
      </w:r>
      <w:r w:rsidR="00ED2C84">
        <w:rPr>
          <w:rFonts w:cs="Arial" w:hint="cs"/>
          <w:color w:val="000000" w:themeColor="text1"/>
          <w:sz w:val="16"/>
          <w:szCs w:val="16"/>
          <w:rtl/>
        </w:rPr>
        <w:t>בסע' הבא</w:t>
      </w:r>
      <w:r w:rsidR="00ED2C84" w:rsidRPr="00067668">
        <w:rPr>
          <w:rFonts w:cs="Arial" w:hint="cs"/>
          <w:color w:val="000000" w:themeColor="text1"/>
          <w:sz w:val="16"/>
          <w:szCs w:val="16"/>
          <w:rtl/>
        </w:rPr>
        <w:t>]</w:t>
      </w:r>
      <w:r w:rsidR="00ED2C84" w:rsidRPr="00763570">
        <w:rPr>
          <w:rFonts w:cs="Arial" w:hint="cs"/>
          <w:color w:val="E36C0A" w:themeColor="accent6" w:themeShade="BF"/>
          <w:rtl/>
        </w:rPr>
        <w:t>)</w:t>
      </w:r>
    </w:p>
    <w:p w14:paraId="3D9D536F" w14:textId="77777777" w:rsidR="00EE2DC6" w:rsidRPr="0081219A" w:rsidRDefault="00EE2DC6" w:rsidP="00EE2DC6">
      <w:pPr>
        <w:ind w:left="360"/>
        <w:rPr>
          <w:u w:val="dotted"/>
          <w:rtl/>
        </w:rPr>
      </w:pPr>
      <w:r w:rsidRPr="0081219A">
        <w:rPr>
          <w:rFonts w:cs="Arial" w:hint="cs"/>
          <w:u w:val="dotted"/>
          <w:rtl/>
        </w:rPr>
        <w:t xml:space="preserve">אלו מטלטלין </w:t>
      </w:r>
      <w:r w:rsidRPr="0081219A">
        <w:rPr>
          <w:rFonts w:cs="Arial" w:hint="cs"/>
          <w:sz w:val="16"/>
          <w:szCs w:val="16"/>
          <w:u w:val="dotted"/>
          <w:rtl/>
        </w:rPr>
        <w:t>(שנתן לה)</w:t>
      </w:r>
      <w:r w:rsidRPr="0081219A">
        <w:rPr>
          <w:rFonts w:cs="Arial" w:hint="cs"/>
          <w:u w:val="dotted"/>
          <w:rtl/>
        </w:rPr>
        <w:t xml:space="preserve"> הוא כן יכול למכור</w:t>
      </w:r>
      <w:r>
        <w:rPr>
          <w:rFonts w:cs="Arial" w:hint="cs"/>
          <w:u w:val="dotted"/>
          <w:rtl/>
        </w:rPr>
        <w:t xml:space="preserve"> כדי להתפרנס</w:t>
      </w:r>
      <w:r w:rsidRPr="0081219A">
        <w:rPr>
          <w:rFonts w:cs="Arial" w:hint="cs"/>
          <w:u w:val="dotted"/>
          <w:rtl/>
        </w:rPr>
        <w:t xml:space="preserve">: </w:t>
      </w:r>
    </w:p>
    <w:p w14:paraId="5796A470" w14:textId="77777777" w:rsidR="00EE2DC6" w:rsidRPr="00A97D63" w:rsidRDefault="00EE2DC6" w:rsidP="00EE2DC6">
      <w:pPr>
        <w:pStyle w:val="ab"/>
        <w:numPr>
          <w:ilvl w:val="0"/>
          <w:numId w:val="55"/>
        </w:numPr>
      </w:pPr>
      <w:r>
        <w:rPr>
          <w:rFonts w:cs="Arial" w:hint="cs"/>
          <w:rtl/>
        </w:rPr>
        <w:t xml:space="preserve">רי"ף </w:t>
      </w:r>
      <w:r>
        <w:rPr>
          <w:rFonts w:cs="Arial" w:hint="cs"/>
          <w:sz w:val="16"/>
          <w:szCs w:val="16"/>
          <w:rtl/>
        </w:rPr>
        <w:t>(בשו"ת סי' רט, העתיקוהו הריקאנטי [סי' תקג] ומהרי"ק [שורש י סי' ח])</w:t>
      </w:r>
      <w:r>
        <w:rPr>
          <w:rFonts w:cs="Arial" w:hint="cs"/>
          <w:rtl/>
        </w:rPr>
        <w:t xml:space="preserve">- </w:t>
      </w:r>
      <w:r w:rsidRPr="00A97D63">
        <w:rPr>
          <w:rFonts w:cs="Arial"/>
          <w:rtl/>
        </w:rPr>
        <w:t>ומה שיש לו אצל אשתו מבגדים דוקא אין לב"ח לגבות מהם</w:t>
      </w:r>
      <w:r>
        <w:rPr>
          <w:rFonts w:cs="Arial" w:hint="cs"/>
          <w:rtl/>
        </w:rPr>
        <w:t>,</w:t>
      </w:r>
      <w:r w:rsidRPr="00A97D63">
        <w:rPr>
          <w:rFonts w:cs="Arial"/>
          <w:rtl/>
        </w:rPr>
        <w:t xml:space="preserve"> ע"פ מ"ש ההלכה אחד המעריך את עצמו והמקדיש את נכסיו אין לו בכסות אשתו ובניו לא בצבע שצבען לשמן ולא בסנדלים חדשים שלקחן לשמן. והטעם בדבר לפי שמשעה שנתן להם קנו אותם ויצאו מרשותו לפי' אין ההקדש חל עליהן</w:t>
      </w:r>
      <w:r>
        <w:rPr>
          <w:rFonts w:cs="Arial" w:hint="cs"/>
          <w:rtl/>
        </w:rPr>
        <w:t>,</w:t>
      </w:r>
      <w:r w:rsidRPr="00A97D63">
        <w:rPr>
          <w:rFonts w:cs="Arial"/>
          <w:rtl/>
        </w:rPr>
        <w:t xml:space="preserve"> וכן אין לב"ח לגבות מהן. אבל כלי זהב ובדולח לא הזכירה אותם ההלכה</w:t>
      </w:r>
      <w:r>
        <w:rPr>
          <w:rFonts w:cs="Arial" w:hint="cs"/>
          <w:rtl/>
        </w:rPr>
        <w:t>,</w:t>
      </w:r>
      <w:r w:rsidRPr="00A97D63">
        <w:rPr>
          <w:rFonts w:cs="Arial"/>
          <w:rtl/>
        </w:rPr>
        <w:t xml:space="preserve"> לפיכך אין לנו לדמותו לבגדים בלא ראיה</w:t>
      </w:r>
      <w:r>
        <w:rPr>
          <w:rFonts w:cs="Arial" w:hint="cs"/>
          <w:rtl/>
        </w:rPr>
        <w:t>,</w:t>
      </w:r>
      <w:r w:rsidRPr="00A97D63">
        <w:rPr>
          <w:rFonts w:cs="Arial"/>
          <w:rtl/>
        </w:rPr>
        <w:t xml:space="preserve"> וכל שכן שכלי זהב ובדולח אדם קונה על דעת שתתקשט אשתו בהם ואם הוצרך יתפרנס מהם</w:t>
      </w:r>
      <w:r>
        <w:rPr>
          <w:rStyle w:val="a7"/>
          <w:rFonts w:cs="Arial"/>
          <w:rtl/>
        </w:rPr>
        <w:footnoteReference w:id="1341"/>
      </w:r>
      <w:r>
        <w:rPr>
          <w:rFonts w:cs="Arial" w:hint="cs"/>
          <w:rtl/>
        </w:rPr>
        <w:t>,</w:t>
      </w:r>
      <w:r w:rsidRPr="00A97D63">
        <w:rPr>
          <w:rFonts w:cs="Arial"/>
          <w:rtl/>
        </w:rPr>
        <w:t xml:space="preserve"> משא"כ בבגדים שהן כלים ונפסדים ואין דעתו עליהן</w:t>
      </w:r>
      <w:r>
        <w:rPr>
          <w:rFonts w:cs="Arial" w:hint="cs"/>
          <w:rtl/>
        </w:rPr>
        <w:t>.</w:t>
      </w:r>
      <w:r w:rsidRPr="00A97D63">
        <w:rPr>
          <w:rFonts w:cs="Arial"/>
          <w:rtl/>
        </w:rPr>
        <w:t xml:space="preserve"> הילכך ב"ח גובה מכלי זהב ובדולח אא"כ התנו עליו בשעת הקדושין שיכניסם לה אין לב"ח לגבות מהן</w:t>
      </w:r>
      <w:r>
        <w:rPr>
          <w:rFonts w:cs="Arial" w:hint="cs"/>
          <w:rtl/>
        </w:rPr>
        <w:t>,</w:t>
      </w:r>
      <w:r w:rsidRPr="00A97D63">
        <w:rPr>
          <w:rFonts w:cs="Arial"/>
          <w:rtl/>
        </w:rPr>
        <w:t xml:space="preserve"> ע"פ מה שאמר ההלכה ולא עוד אפילו הכניס לה שום דבר משלו אם רצה הבעל למכור לא ימכור.</w:t>
      </w:r>
    </w:p>
    <w:p w14:paraId="492F31BB" w14:textId="77777777" w:rsidR="00EE2DC6" w:rsidRPr="00655BCB" w:rsidRDefault="00EE2DC6" w:rsidP="00EE2DC6">
      <w:pPr>
        <w:ind w:left="720"/>
        <w:rPr>
          <w:u w:val="wave"/>
        </w:rPr>
      </w:pPr>
      <w:r>
        <w:rPr>
          <w:rFonts w:hint="cs"/>
          <w:u w:val="wave"/>
          <w:rtl/>
        </w:rPr>
        <w:t>האם בגדי שבת ויו"ט הוי ככלי זהב ובדולח:</w:t>
      </w:r>
    </w:p>
    <w:p w14:paraId="3293B2FE" w14:textId="152B407F" w:rsidR="00EE2DC6" w:rsidRPr="005A6755" w:rsidRDefault="00EE2DC6" w:rsidP="00EE2DC6">
      <w:pPr>
        <w:pStyle w:val="ab"/>
        <w:numPr>
          <w:ilvl w:val="0"/>
          <w:numId w:val="55"/>
        </w:numPr>
      </w:pPr>
      <w:r w:rsidRPr="007308BC">
        <w:rPr>
          <w:rFonts w:cs="Arial"/>
          <w:rtl/>
        </w:rPr>
        <w:t xml:space="preserve">מהרי"ק </w:t>
      </w:r>
      <w:r w:rsidRPr="00B816B4">
        <w:rPr>
          <w:rFonts w:cs="Arial" w:hint="cs"/>
          <w:sz w:val="16"/>
          <w:szCs w:val="16"/>
          <w:rtl/>
        </w:rPr>
        <w:t>(</w:t>
      </w:r>
      <w:r w:rsidRPr="00B816B4">
        <w:rPr>
          <w:rFonts w:cs="Arial"/>
          <w:sz w:val="16"/>
          <w:szCs w:val="16"/>
          <w:rtl/>
        </w:rPr>
        <w:t>שורש י ענף ח)</w:t>
      </w:r>
      <w:r>
        <w:rPr>
          <w:rFonts w:cs="Arial" w:hint="cs"/>
          <w:rtl/>
        </w:rPr>
        <w:t>-</w:t>
      </w:r>
      <w:r w:rsidRPr="007308BC">
        <w:rPr>
          <w:rFonts w:cs="Arial"/>
          <w:rtl/>
        </w:rPr>
        <w:t xml:space="preserve"> </w:t>
      </w:r>
      <w:r w:rsidRPr="00F10ADD">
        <w:rPr>
          <w:rFonts w:cs="Arial"/>
          <w:rtl/>
        </w:rPr>
        <w:t xml:space="preserve">ומדמפליג </w:t>
      </w:r>
      <w:r>
        <w:rPr>
          <w:rFonts w:cs="Arial" w:hint="cs"/>
          <w:sz w:val="16"/>
          <w:szCs w:val="16"/>
          <w:rtl/>
        </w:rPr>
        <w:t xml:space="preserve">{הרי"ף} </w:t>
      </w:r>
      <w:r w:rsidRPr="00F10ADD">
        <w:rPr>
          <w:rFonts w:cs="Arial"/>
          <w:rtl/>
        </w:rPr>
        <w:t>בין בגדים לכלי זהב ובדולח מפני שאלו כלים ואלו אינן כלים ולא מפליג בבגדים עצמה בין בגדי חול לבגדי שבת משמע דכל שהוא כלים ואפי' בגדי שבת וי</w:t>
      </w:r>
      <w:r>
        <w:rPr>
          <w:rFonts w:cs="Arial" w:hint="cs"/>
          <w:rtl/>
        </w:rPr>
        <w:t>ו</w:t>
      </w:r>
      <w:r w:rsidRPr="00F10ADD">
        <w:rPr>
          <w:rFonts w:cs="Arial"/>
          <w:rtl/>
        </w:rPr>
        <w:t>"ט</w:t>
      </w:r>
      <w:r>
        <w:rPr>
          <w:rStyle w:val="a7"/>
          <w:rFonts w:cs="Arial"/>
          <w:rtl/>
        </w:rPr>
        <w:footnoteReference w:id="1342"/>
      </w:r>
      <w:r w:rsidRPr="00F10ADD">
        <w:rPr>
          <w:rFonts w:cs="Arial"/>
          <w:rtl/>
        </w:rPr>
        <w:t xml:space="preserve"> אין בעל חוב גובה מהם</w:t>
      </w:r>
      <w:r>
        <w:rPr>
          <w:rFonts w:cs="Arial" w:hint="cs"/>
          <w:rtl/>
        </w:rPr>
        <w:t xml:space="preserve">. </w:t>
      </w:r>
      <w:r w:rsidRPr="00F10ADD">
        <w:rPr>
          <w:rFonts w:cs="Arial"/>
          <w:rtl/>
        </w:rPr>
        <w:t>והוא הדין דאין הבעל יכול למוכר</w:t>
      </w:r>
      <w:r>
        <w:rPr>
          <w:rFonts w:cs="Arial" w:hint="cs"/>
          <w:rtl/>
        </w:rPr>
        <w:t>ן</w:t>
      </w:r>
      <w:r w:rsidRPr="00F10ADD">
        <w:rPr>
          <w:rFonts w:cs="Arial"/>
          <w:rtl/>
        </w:rPr>
        <w:t xml:space="preserve"> אף להתפרנס מהם</w:t>
      </w:r>
      <w:r>
        <w:rPr>
          <w:rFonts w:hint="cs"/>
          <w:rtl/>
        </w:rPr>
        <w:t xml:space="preserve">. </w:t>
      </w:r>
      <w:r w:rsidR="00ED2C84" w:rsidRPr="00763570">
        <w:rPr>
          <w:rFonts w:cs="Arial" w:hint="cs"/>
          <w:color w:val="E36C0A" w:themeColor="accent6" w:themeShade="BF"/>
          <w:rtl/>
        </w:rPr>
        <w:t>(וכ"פ בשו"ע</w:t>
      </w:r>
      <w:r w:rsidR="00ED2C84">
        <w:rPr>
          <w:rFonts w:cs="Arial" w:hint="cs"/>
          <w:color w:val="000000" w:themeColor="text1"/>
          <w:sz w:val="16"/>
          <w:szCs w:val="16"/>
          <w:rtl/>
        </w:rPr>
        <w:t xml:space="preserve"> </w:t>
      </w:r>
      <w:r w:rsidR="00ED2C84" w:rsidRPr="00067668">
        <w:rPr>
          <w:rFonts w:cs="Arial" w:hint="cs"/>
          <w:color w:val="000000" w:themeColor="text1"/>
          <w:sz w:val="16"/>
          <w:szCs w:val="16"/>
          <w:rtl/>
        </w:rPr>
        <w:t>[</w:t>
      </w:r>
      <w:r w:rsidR="00ED2C84">
        <w:rPr>
          <w:rFonts w:cs="Arial" w:hint="cs"/>
          <w:color w:val="000000" w:themeColor="text1"/>
          <w:sz w:val="16"/>
          <w:szCs w:val="16"/>
          <w:rtl/>
        </w:rPr>
        <w:t>בסע' הבא</w:t>
      </w:r>
      <w:r w:rsidR="00ED2C84" w:rsidRPr="00067668">
        <w:rPr>
          <w:rFonts w:cs="Arial" w:hint="cs"/>
          <w:color w:val="000000" w:themeColor="text1"/>
          <w:sz w:val="16"/>
          <w:szCs w:val="16"/>
          <w:rtl/>
        </w:rPr>
        <w:t>]</w:t>
      </w:r>
      <w:r w:rsidR="00ED2C84" w:rsidRPr="00763570">
        <w:rPr>
          <w:rFonts w:cs="Arial" w:hint="cs"/>
          <w:color w:val="E36C0A" w:themeColor="accent6" w:themeShade="BF"/>
          <w:rtl/>
        </w:rPr>
        <w:t>)</w:t>
      </w:r>
      <w:r w:rsidR="00ED2C84">
        <w:rPr>
          <w:rFonts w:hint="cs"/>
          <w:rtl/>
        </w:rPr>
        <w:t xml:space="preserve"> </w:t>
      </w:r>
    </w:p>
    <w:p w14:paraId="5DA5990F" w14:textId="782F6EDF" w:rsidR="000C4173" w:rsidRPr="000C4173" w:rsidRDefault="00392CE2" w:rsidP="000C4173">
      <w:pPr>
        <w:rPr>
          <w:rFonts w:cs="Arial"/>
          <w:u w:val="single"/>
        </w:rPr>
      </w:pPr>
      <w:r>
        <w:rPr>
          <w:rFonts w:cs="Arial" w:hint="cs"/>
          <w:u w:val="single"/>
          <w:rtl/>
        </w:rPr>
        <w:t>בעל שרוצה ל</w:t>
      </w:r>
      <w:r w:rsidR="000C4173" w:rsidRPr="000C4173">
        <w:rPr>
          <w:rFonts w:cs="Arial" w:hint="cs"/>
          <w:u w:val="single"/>
          <w:rtl/>
        </w:rPr>
        <w:t>משכן מטלטלין של אשתו:</w:t>
      </w:r>
    </w:p>
    <w:p w14:paraId="678F1BEE" w14:textId="0546DD3E" w:rsidR="00392CE2" w:rsidRDefault="00343291" w:rsidP="009000E3">
      <w:pPr>
        <w:pStyle w:val="ab"/>
        <w:numPr>
          <w:ilvl w:val="0"/>
          <w:numId w:val="55"/>
        </w:numPr>
        <w:rPr>
          <w:rFonts w:cs="Arial"/>
        </w:rPr>
      </w:pPr>
      <w:r w:rsidRPr="000C4173">
        <w:rPr>
          <w:rFonts w:cs="Arial"/>
          <w:rtl/>
        </w:rPr>
        <w:t>מרדכי</w:t>
      </w:r>
      <w:r w:rsidR="00461B0D">
        <w:rPr>
          <w:rStyle w:val="a7"/>
          <w:rFonts w:cs="Arial"/>
          <w:rtl/>
        </w:rPr>
        <w:footnoteReference w:id="1343"/>
      </w:r>
      <w:r w:rsidRPr="000C4173">
        <w:rPr>
          <w:rFonts w:cs="Arial"/>
          <w:rtl/>
        </w:rPr>
        <w:t xml:space="preserve"> </w:t>
      </w:r>
      <w:r w:rsidR="000C4173" w:rsidRPr="000C4173">
        <w:rPr>
          <w:rFonts w:cs="Arial" w:hint="cs"/>
          <w:sz w:val="16"/>
          <w:szCs w:val="16"/>
          <w:rtl/>
        </w:rPr>
        <w:t>(</w:t>
      </w:r>
      <w:r w:rsidRPr="000C4173">
        <w:rPr>
          <w:rFonts w:cs="Arial"/>
          <w:sz w:val="16"/>
          <w:szCs w:val="16"/>
          <w:rtl/>
        </w:rPr>
        <w:t>ס"פ האומנים ב"מ סי' שסד)</w:t>
      </w:r>
      <w:r w:rsidR="003509BC" w:rsidRPr="003509BC">
        <w:rPr>
          <w:rFonts w:cs="Arial"/>
          <w:rtl/>
        </w:rPr>
        <w:t xml:space="preserve"> </w:t>
      </w:r>
      <w:r w:rsidR="003509BC">
        <w:rPr>
          <w:rFonts w:cs="Arial" w:hint="cs"/>
          <w:rtl/>
        </w:rPr>
        <w:t>ו</w:t>
      </w:r>
      <w:r w:rsidR="003509BC" w:rsidRPr="000C4173">
        <w:rPr>
          <w:rFonts w:cs="Arial"/>
          <w:rtl/>
        </w:rPr>
        <w:t>מצאתי כתו</w:t>
      </w:r>
      <w:r w:rsidR="003509BC">
        <w:rPr>
          <w:rFonts w:cs="Arial" w:hint="cs"/>
          <w:rtl/>
        </w:rPr>
        <w:t>ב</w:t>
      </w:r>
      <w:r w:rsidR="003509BC">
        <w:rPr>
          <w:rStyle w:val="a7"/>
          <w:rFonts w:cs="Arial"/>
          <w:rtl/>
        </w:rPr>
        <w:footnoteReference w:id="1344"/>
      </w:r>
      <w:r w:rsidR="003509BC">
        <w:rPr>
          <w:rFonts w:cs="Arial" w:hint="cs"/>
          <w:sz w:val="16"/>
          <w:szCs w:val="16"/>
          <w:rtl/>
        </w:rPr>
        <w:t xml:space="preserve"> (כ"כ הב"י בשם מצאתי כתוב)</w:t>
      </w:r>
      <w:r w:rsidR="000C4173" w:rsidRPr="000C4173">
        <w:rPr>
          <w:rFonts w:cs="Arial" w:hint="cs"/>
          <w:rtl/>
        </w:rPr>
        <w:t xml:space="preserve">- </w:t>
      </w:r>
      <w:r w:rsidRPr="000C4173">
        <w:rPr>
          <w:rFonts w:cs="Arial"/>
          <w:rtl/>
        </w:rPr>
        <w:t xml:space="preserve">אין אדם </w:t>
      </w:r>
      <w:r w:rsidR="00461B0D">
        <w:rPr>
          <w:rFonts w:cs="Arial" w:hint="cs"/>
          <w:rtl/>
        </w:rPr>
        <w:t>רשאי</w:t>
      </w:r>
      <w:r w:rsidRPr="000C4173">
        <w:rPr>
          <w:rFonts w:cs="Arial"/>
          <w:rtl/>
        </w:rPr>
        <w:t xml:space="preserve"> למשכן בגדי אשתו</w:t>
      </w:r>
      <w:r w:rsidR="003509BC">
        <w:rPr>
          <w:rFonts w:cs="Arial" w:hint="cs"/>
          <w:sz w:val="16"/>
          <w:szCs w:val="16"/>
          <w:rtl/>
        </w:rPr>
        <w:t xml:space="preserve"> (ל' המרדכי)</w:t>
      </w:r>
      <w:r w:rsidRPr="000C4173">
        <w:rPr>
          <w:rFonts w:cs="Arial"/>
          <w:rtl/>
        </w:rPr>
        <w:t>.</w:t>
      </w:r>
      <w:r w:rsidR="003509BC" w:rsidRPr="003509BC">
        <w:rPr>
          <w:rFonts w:cs="Arial"/>
          <w:rtl/>
        </w:rPr>
        <w:t xml:space="preserve"> </w:t>
      </w:r>
      <w:r w:rsidR="003509BC">
        <w:rPr>
          <w:rFonts w:cs="Arial" w:hint="cs"/>
          <w:rtl/>
        </w:rPr>
        <w:t xml:space="preserve">ואם משכן - </w:t>
      </w:r>
      <w:r w:rsidR="003509BC" w:rsidRPr="000C4173">
        <w:rPr>
          <w:rFonts w:cs="Arial"/>
          <w:rtl/>
        </w:rPr>
        <w:t>דין הוא שיחזיר לה</w:t>
      </w:r>
      <w:r w:rsidR="003509BC">
        <w:rPr>
          <w:rFonts w:cs="Arial" w:hint="cs"/>
          <w:rtl/>
        </w:rPr>
        <w:t xml:space="preserve"> </w:t>
      </w:r>
      <w:r w:rsidR="003509BC">
        <w:rPr>
          <w:rFonts w:cs="Arial" w:hint="cs"/>
          <w:sz w:val="16"/>
          <w:szCs w:val="16"/>
          <w:rtl/>
        </w:rPr>
        <w:t>{המלוה}</w:t>
      </w:r>
      <w:r w:rsidR="003509BC" w:rsidRPr="000C4173">
        <w:rPr>
          <w:rFonts w:cs="Arial"/>
          <w:rtl/>
        </w:rPr>
        <w:t xml:space="preserve"> אם תשבע דשלא מדעתה לוה בעלה עליהם</w:t>
      </w:r>
      <w:r w:rsidR="003509BC">
        <w:rPr>
          <w:rFonts w:cs="Arial" w:hint="cs"/>
          <w:sz w:val="16"/>
          <w:szCs w:val="16"/>
          <w:rtl/>
        </w:rPr>
        <w:t xml:space="preserve"> (ל' הב"י בשם מצאתי כתוב)</w:t>
      </w:r>
      <w:r w:rsidR="003509BC">
        <w:rPr>
          <w:rFonts w:cs="Arial" w:hint="cs"/>
          <w:rtl/>
        </w:rPr>
        <w:t>.</w:t>
      </w:r>
      <w:r w:rsidRPr="000C4173">
        <w:rPr>
          <w:rFonts w:cs="Arial"/>
          <w:rtl/>
        </w:rPr>
        <w:t xml:space="preserve"> </w:t>
      </w:r>
    </w:p>
    <w:p w14:paraId="11734B9A" w14:textId="51C6EC4D" w:rsidR="0070305D" w:rsidRPr="003509BC" w:rsidRDefault="00977B18" w:rsidP="009000E3">
      <w:pPr>
        <w:pStyle w:val="ab"/>
        <w:numPr>
          <w:ilvl w:val="0"/>
          <w:numId w:val="55"/>
        </w:numPr>
        <w:rPr>
          <w:rFonts w:cs="Arial"/>
        </w:rPr>
      </w:pPr>
      <w:r w:rsidRPr="00977B18">
        <w:rPr>
          <w:rFonts w:cs="Arial"/>
          <w:rtl/>
        </w:rPr>
        <w:lastRenderedPageBreak/>
        <w:t xml:space="preserve">רשב"א </w:t>
      </w:r>
      <w:r w:rsidRPr="00977B18">
        <w:rPr>
          <w:rFonts w:cs="Arial"/>
          <w:sz w:val="16"/>
          <w:szCs w:val="16"/>
          <w:rtl/>
        </w:rPr>
        <w:t>(ח"ב סי' רפו</w:t>
      </w:r>
      <w:r>
        <w:rPr>
          <w:rFonts w:cs="Arial" w:hint="cs"/>
          <w:sz w:val="16"/>
          <w:szCs w:val="16"/>
          <w:rtl/>
        </w:rPr>
        <w:t>, הביא</w:t>
      </w:r>
      <w:r w:rsidR="00132500">
        <w:rPr>
          <w:rFonts w:cs="Arial" w:hint="cs"/>
          <w:sz w:val="16"/>
          <w:szCs w:val="16"/>
          <w:rtl/>
        </w:rPr>
        <w:t>ה</w:t>
      </w:r>
      <w:r>
        <w:rPr>
          <w:rFonts w:cs="Arial" w:hint="cs"/>
          <w:sz w:val="16"/>
          <w:szCs w:val="16"/>
          <w:rtl/>
        </w:rPr>
        <w:t xml:space="preserve"> הב"י בס"ס עג</w:t>
      </w:r>
      <w:r w:rsidRPr="00977B18">
        <w:rPr>
          <w:rFonts w:cs="Arial"/>
          <w:sz w:val="16"/>
          <w:szCs w:val="16"/>
          <w:rtl/>
        </w:rPr>
        <w:t>)</w:t>
      </w:r>
      <w:r>
        <w:rPr>
          <w:rFonts w:cs="Arial" w:hint="cs"/>
          <w:rtl/>
        </w:rPr>
        <w:t>-</w:t>
      </w:r>
      <w:r w:rsidRPr="00977B18">
        <w:rPr>
          <w:rFonts w:cs="Arial"/>
          <w:rtl/>
        </w:rPr>
        <w:t xml:space="preserve"> עוד שאלת מי שלוה מעות על כסות אשתו ואבדם בקוביא. מהו שתוכל האשה להוציא כסותה מיד המלוה בלא כלום ולומר שהבעל הוציאו מביתה שלא מדעתה</w:t>
      </w:r>
      <w:r>
        <w:rPr>
          <w:rFonts w:cs="Arial" w:hint="cs"/>
          <w:rtl/>
        </w:rPr>
        <w:t>.</w:t>
      </w:r>
      <w:r w:rsidRPr="00977B18">
        <w:rPr>
          <w:rFonts w:cs="Arial"/>
          <w:rtl/>
        </w:rPr>
        <w:t xml:space="preserve"> </w:t>
      </w:r>
      <w:r w:rsidR="00FE210D">
        <w:rPr>
          <w:rFonts w:cs="Arial"/>
          <w:rtl/>
        </w:rPr>
        <w:t xml:space="preserve">      תשובה:</w:t>
      </w:r>
      <w:r w:rsidRPr="00977B18">
        <w:rPr>
          <w:rFonts w:cs="Arial"/>
          <w:rtl/>
        </w:rPr>
        <w:t xml:space="preserve"> ומאן לימ</w:t>
      </w:r>
      <w:r>
        <w:rPr>
          <w:rFonts w:cs="Arial" w:hint="cs"/>
          <w:rtl/>
        </w:rPr>
        <w:t>א</w:t>
      </w:r>
      <w:r w:rsidRPr="00977B18">
        <w:rPr>
          <w:rFonts w:cs="Arial"/>
          <w:rtl/>
        </w:rPr>
        <w:t xml:space="preserve"> לן שאין הבעל יכול למכור ולמשכן כסות אשתו ובניו שלא מדעתם</w:t>
      </w:r>
      <w:r w:rsidR="00A56094">
        <w:rPr>
          <w:rStyle w:val="a7"/>
          <w:rFonts w:cs="Arial"/>
          <w:rtl/>
        </w:rPr>
        <w:footnoteReference w:id="1345"/>
      </w:r>
      <w:r w:rsidR="00A56094">
        <w:rPr>
          <w:rFonts w:cs="Arial" w:hint="cs"/>
          <w:rtl/>
        </w:rPr>
        <w:t>...</w:t>
      </w:r>
      <w:r w:rsidR="00A56094" w:rsidRPr="00A56094">
        <w:rPr>
          <w:rtl/>
        </w:rPr>
        <w:t xml:space="preserve"> </w:t>
      </w:r>
      <w:r w:rsidR="00A56094" w:rsidRPr="00A56094">
        <w:rPr>
          <w:rFonts w:cs="Arial"/>
          <w:rtl/>
        </w:rPr>
        <w:t>אלא שעדיין הדבר צריך הכרע. לפי שבפרק נערה שנתפתתה משמע דלית להו טעמא דרבי אבא. אלא משום דקנויין הן לחלוטין לאשה ולבנים</w:t>
      </w:r>
      <w:r w:rsidR="001850B5">
        <w:rPr>
          <w:rFonts w:cs="Arial" w:hint="cs"/>
          <w:rtl/>
        </w:rPr>
        <w:t>..</w:t>
      </w:r>
      <w:r w:rsidRPr="001850B5">
        <w:rPr>
          <w:rFonts w:cs="Arial"/>
          <w:rtl/>
        </w:rPr>
        <w:t>. וכ"ש בנדון שלפנינו דמאן לימא לן דלא אפקיה מדעתה למשכוניה משום רוח ביתא. ועוד דשפיר קאמרת דאף בזה יש משום תקנת השוק. דאפילו במשכנתא דגזלן עשו תקנת השוק. וכל שכן בבעל בכסות אשתו</w:t>
      </w:r>
      <w:r w:rsidR="00C726C5">
        <w:rPr>
          <w:rStyle w:val="a7"/>
          <w:rFonts w:cs="Arial"/>
          <w:rtl/>
        </w:rPr>
        <w:footnoteReference w:id="1346"/>
      </w:r>
      <w:r w:rsidRPr="001850B5">
        <w:rPr>
          <w:rFonts w:cs="Arial"/>
          <w:rtl/>
        </w:rPr>
        <w:t>.</w:t>
      </w:r>
      <w:r w:rsidR="001850B5">
        <w:rPr>
          <w:rFonts w:cs="Arial" w:hint="cs"/>
          <w:rtl/>
        </w:rPr>
        <w:t xml:space="preserve"> </w:t>
      </w:r>
      <w:r w:rsidR="001850B5" w:rsidRPr="00763570">
        <w:rPr>
          <w:rFonts w:cs="Arial" w:hint="cs"/>
          <w:color w:val="E36C0A" w:themeColor="accent6" w:themeShade="BF"/>
          <w:rtl/>
        </w:rPr>
        <w:t>(וכ"פ בשו"ע</w:t>
      </w:r>
      <w:r w:rsidR="001850B5">
        <w:rPr>
          <w:rFonts w:cs="Arial" w:hint="cs"/>
          <w:color w:val="E36C0A" w:themeColor="accent6" w:themeShade="BF"/>
          <w:sz w:val="16"/>
          <w:szCs w:val="16"/>
          <w:rtl/>
        </w:rPr>
        <w:t xml:space="preserve"> </w:t>
      </w:r>
      <w:r w:rsidR="001850B5" w:rsidRPr="001850B5">
        <w:rPr>
          <w:rFonts w:cs="Arial" w:hint="cs"/>
          <w:color w:val="000000" w:themeColor="text1"/>
          <w:sz w:val="16"/>
          <w:szCs w:val="16"/>
          <w:rtl/>
        </w:rPr>
        <w:t>[</w:t>
      </w:r>
      <w:r w:rsidR="001850B5">
        <w:rPr>
          <w:rFonts w:cs="Arial" w:hint="cs"/>
          <w:color w:val="000000" w:themeColor="text1"/>
          <w:sz w:val="16"/>
          <w:szCs w:val="16"/>
          <w:rtl/>
        </w:rPr>
        <w:t>בסי' עג ס"ט</w:t>
      </w:r>
      <w:r w:rsidR="001850B5" w:rsidRPr="001850B5">
        <w:rPr>
          <w:rFonts w:cs="Arial" w:hint="cs"/>
          <w:color w:val="000000" w:themeColor="text1"/>
          <w:sz w:val="16"/>
          <w:szCs w:val="16"/>
          <w:rtl/>
        </w:rPr>
        <w:t>]</w:t>
      </w:r>
      <w:r w:rsidR="001850B5" w:rsidRPr="00763570">
        <w:rPr>
          <w:rFonts w:cs="Arial" w:hint="cs"/>
          <w:color w:val="E36C0A" w:themeColor="accent6" w:themeShade="BF"/>
          <w:rtl/>
        </w:rPr>
        <w:t>)</w:t>
      </w:r>
      <w:r w:rsidR="00495872">
        <w:rPr>
          <w:rFonts w:cs="Arial" w:hint="cs"/>
          <w:rtl/>
        </w:rPr>
        <w:t xml:space="preserve"> </w:t>
      </w:r>
    </w:p>
    <w:p w14:paraId="1C39BE39" w14:textId="38A6E1B5" w:rsidR="002A1BC2" w:rsidRPr="00C457BC" w:rsidRDefault="00C457BC" w:rsidP="00C457BC">
      <w:pPr>
        <w:ind w:left="360"/>
        <w:rPr>
          <w:u w:val="dotted"/>
          <w:rtl/>
        </w:rPr>
      </w:pPr>
      <w:r w:rsidRPr="00C457BC">
        <w:rPr>
          <w:rFonts w:hint="cs"/>
          <w:u w:val="dotted"/>
          <w:rtl/>
        </w:rPr>
        <w:t xml:space="preserve">לרשב"א </w:t>
      </w:r>
      <w:r>
        <w:rPr>
          <w:rFonts w:hint="cs"/>
          <w:u w:val="dotted"/>
          <w:rtl/>
        </w:rPr>
        <w:t xml:space="preserve">וסיעתו </w:t>
      </w:r>
      <w:r w:rsidRPr="00C457BC">
        <w:rPr>
          <w:rFonts w:hint="cs"/>
          <w:u w:val="dotted"/>
          <w:rtl/>
        </w:rPr>
        <w:t>- מה הדין במטלטלין שקיבלה מחמת מה שהתנו לפני הנישואין</w:t>
      </w:r>
      <w:r w:rsidR="00ED2C84">
        <w:rPr>
          <w:rFonts w:hint="cs"/>
          <w:sz w:val="16"/>
          <w:szCs w:val="16"/>
          <w:u w:val="dotted"/>
          <w:rtl/>
        </w:rPr>
        <w:t xml:space="preserve"> (לעניין משכון/מכירה)</w:t>
      </w:r>
      <w:r w:rsidR="002A1BC2" w:rsidRPr="00C457BC">
        <w:rPr>
          <w:rFonts w:hint="cs"/>
          <w:u w:val="dotted"/>
          <w:rtl/>
        </w:rPr>
        <w:t>:</w:t>
      </w:r>
    </w:p>
    <w:p w14:paraId="001E0197" w14:textId="5127B409" w:rsidR="00D9753C" w:rsidRPr="00C457BC" w:rsidRDefault="002A1BC2" w:rsidP="00C457BC">
      <w:pPr>
        <w:pStyle w:val="ab"/>
        <w:numPr>
          <w:ilvl w:val="0"/>
          <w:numId w:val="55"/>
        </w:numPr>
        <w:rPr>
          <w:rFonts w:cs="Arial"/>
          <w:rtl/>
        </w:rPr>
      </w:pPr>
      <w:r w:rsidRPr="0070305D">
        <w:rPr>
          <w:rFonts w:cs="Arial"/>
          <w:rtl/>
        </w:rPr>
        <w:t xml:space="preserve">רשב"א </w:t>
      </w:r>
      <w:r w:rsidRPr="0070305D">
        <w:rPr>
          <w:rFonts w:cs="Arial"/>
          <w:sz w:val="16"/>
          <w:szCs w:val="16"/>
          <w:rtl/>
        </w:rPr>
        <w:t>(ח"א סי</w:t>
      </w:r>
      <w:r w:rsidRPr="0070305D">
        <w:rPr>
          <w:rFonts w:cs="Arial" w:hint="cs"/>
          <w:sz w:val="16"/>
          <w:szCs w:val="16"/>
          <w:rtl/>
        </w:rPr>
        <w:t>'</w:t>
      </w:r>
      <w:r w:rsidRPr="0070305D">
        <w:rPr>
          <w:rFonts w:cs="Arial"/>
          <w:sz w:val="16"/>
          <w:szCs w:val="16"/>
          <w:rtl/>
        </w:rPr>
        <w:t xml:space="preserve"> תתקלו</w:t>
      </w:r>
      <w:r w:rsidR="00C457BC">
        <w:rPr>
          <w:rFonts w:cs="Arial" w:hint="cs"/>
          <w:sz w:val="16"/>
          <w:szCs w:val="16"/>
          <w:rtl/>
        </w:rPr>
        <w:t xml:space="preserve"> - תתקלז</w:t>
      </w:r>
      <w:r w:rsidRPr="0070305D">
        <w:rPr>
          <w:rFonts w:cs="Arial" w:hint="cs"/>
          <w:sz w:val="16"/>
          <w:szCs w:val="16"/>
          <w:rtl/>
        </w:rPr>
        <w:t>)</w:t>
      </w:r>
      <w:r w:rsidRPr="0070305D">
        <w:rPr>
          <w:rFonts w:cs="Arial" w:hint="cs"/>
          <w:rtl/>
        </w:rPr>
        <w:t>-</w:t>
      </w:r>
      <w:r w:rsidRPr="0070305D">
        <w:rPr>
          <w:rFonts w:cs="Arial"/>
          <w:rtl/>
        </w:rPr>
        <w:t xml:space="preserve"> </w:t>
      </w:r>
      <w:r w:rsidR="00D9753C" w:rsidRPr="00D9753C">
        <w:rPr>
          <w:rFonts w:cs="Arial"/>
          <w:rtl/>
        </w:rPr>
        <w:t>שאלת עוד</w:t>
      </w:r>
      <w:r w:rsidR="00D9753C">
        <w:rPr>
          <w:rFonts w:cs="Arial" w:hint="cs"/>
          <w:rtl/>
        </w:rPr>
        <w:t>,</w:t>
      </w:r>
      <w:r w:rsidR="00D9753C" w:rsidRPr="00D9753C">
        <w:rPr>
          <w:rFonts w:cs="Arial"/>
          <w:rtl/>
        </w:rPr>
        <w:t xml:space="preserve"> ראובן השיא בתו לבן שמעון. והתנה ראובן עם שמעון שרוצין שיעשה שמעון לכלתו </w:t>
      </w:r>
      <w:r w:rsidR="00D9753C">
        <w:rPr>
          <w:rFonts w:cs="Arial" w:hint="cs"/>
          <w:rtl/>
        </w:rPr>
        <w:t>ב</w:t>
      </w:r>
      <w:r w:rsidR="00D9753C" w:rsidRPr="00D9753C">
        <w:rPr>
          <w:rFonts w:cs="Arial"/>
          <w:rtl/>
        </w:rPr>
        <w:t>גדים ותכשיטין ידועין בשעת נשואין</w:t>
      </w:r>
      <w:r w:rsidR="00D9753C">
        <w:rPr>
          <w:rFonts w:cs="Arial" w:hint="cs"/>
          <w:rtl/>
        </w:rPr>
        <w:t>,</w:t>
      </w:r>
      <w:r w:rsidR="00D9753C" w:rsidRPr="00D9753C">
        <w:rPr>
          <w:rFonts w:cs="Arial"/>
          <w:rtl/>
        </w:rPr>
        <w:t xml:space="preserve"> ועשה אותם. לאחר נשואין רצה הבעל למכור המלבושין והתכשיטין שעשה אביו</w:t>
      </w:r>
      <w:r w:rsidR="00D9753C">
        <w:rPr>
          <w:rFonts w:cs="Arial" w:hint="cs"/>
          <w:rtl/>
        </w:rPr>
        <w:t>,</w:t>
      </w:r>
      <w:r w:rsidR="00D9753C" w:rsidRPr="00D9753C">
        <w:rPr>
          <w:rFonts w:cs="Arial"/>
          <w:rtl/>
        </w:rPr>
        <w:t xml:space="preserve"> אם יכולה האשה למחות בידו אם לא?</w:t>
      </w:r>
      <w:r w:rsidR="00D9753C">
        <w:rPr>
          <w:rFonts w:cs="Arial" w:hint="cs"/>
          <w:rtl/>
        </w:rPr>
        <w:t>.</w:t>
      </w:r>
      <w:r w:rsidR="00D9753C" w:rsidRPr="00D9753C">
        <w:rPr>
          <w:rFonts w:cs="Arial"/>
          <w:rtl/>
        </w:rPr>
        <w:t xml:space="preserve"> </w:t>
      </w:r>
      <w:r w:rsidR="00FE210D">
        <w:rPr>
          <w:rFonts w:cs="Arial"/>
          <w:rtl/>
        </w:rPr>
        <w:t xml:space="preserve">      תשובה:</w:t>
      </w:r>
      <w:r w:rsidR="00D9753C" w:rsidRPr="00D9753C">
        <w:rPr>
          <w:rFonts w:cs="Arial"/>
          <w:rtl/>
        </w:rPr>
        <w:t xml:space="preserve"> איברא יכולה היא למחות</w:t>
      </w:r>
      <w:r w:rsidR="00D9753C">
        <w:rPr>
          <w:rFonts w:cs="Arial" w:hint="cs"/>
          <w:rtl/>
        </w:rPr>
        <w:t>,</w:t>
      </w:r>
      <w:r w:rsidR="00D9753C" w:rsidRPr="00D9753C">
        <w:rPr>
          <w:rFonts w:cs="Arial"/>
          <w:rtl/>
        </w:rPr>
        <w:t xml:space="preserve"> שהרי שמעון חמיה נתנם לה</w:t>
      </w:r>
      <w:r w:rsidR="00D9753C">
        <w:rPr>
          <w:rFonts w:cs="Arial" w:hint="cs"/>
          <w:rtl/>
        </w:rPr>
        <w:t>,</w:t>
      </w:r>
      <w:r w:rsidR="00D9753C" w:rsidRPr="00D9753C">
        <w:rPr>
          <w:rFonts w:cs="Arial"/>
          <w:rtl/>
        </w:rPr>
        <w:t xml:space="preserve"> ובתנאי זה נשאת לבנו. אם כן כיון שעשאן לה</w:t>
      </w:r>
      <w:r w:rsidR="00D9753C">
        <w:rPr>
          <w:rFonts w:cs="Arial" w:hint="cs"/>
          <w:rtl/>
        </w:rPr>
        <w:t>,</w:t>
      </w:r>
      <w:r w:rsidR="00D9753C" w:rsidRPr="00D9753C">
        <w:rPr>
          <w:rFonts w:cs="Arial"/>
          <w:rtl/>
        </w:rPr>
        <w:t xml:space="preserve"> כבר זכתה היא ואין הבעל יכול למכור אותן ולא למשכנן</w:t>
      </w:r>
      <w:r w:rsidRPr="00D9753C">
        <w:rPr>
          <w:rFonts w:cs="Arial" w:hint="cs"/>
          <w:rtl/>
        </w:rPr>
        <w:t>.</w:t>
      </w:r>
      <w:r w:rsidR="007814FD">
        <w:rPr>
          <w:rFonts w:cs="Arial" w:hint="cs"/>
          <w:rtl/>
        </w:rPr>
        <w:t xml:space="preserve"> </w:t>
      </w:r>
      <w:r w:rsidR="00C457BC">
        <w:rPr>
          <w:rFonts w:cs="Arial" w:hint="cs"/>
          <w:rtl/>
        </w:rPr>
        <w:t xml:space="preserve">      </w:t>
      </w:r>
      <w:r w:rsidR="00D9753C" w:rsidRPr="00C457BC">
        <w:rPr>
          <w:rFonts w:cs="Arial"/>
          <w:rtl/>
        </w:rPr>
        <w:t>שאלת עוד</w:t>
      </w:r>
      <w:r w:rsidR="00D9753C" w:rsidRPr="00C457BC">
        <w:rPr>
          <w:rFonts w:cs="Arial" w:hint="cs"/>
          <w:rtl/>
        </w:rPr>
        <w:t>,</w:t>
      </w:r>
      <w:r w:rsidR="00D9753C" w:rsidRPr="00C457BC">
        <w:rPr>
          <w:rFonts w:cs="Arial"/>
          <w:rtl/>
        </w:rPr>
        <w:t xml:space="preserve"> אם מכרן הבעל שלא מדעת</w:t>
      </w:r>
      <w:r w:rsidR="00D9753C" w:rsidRPr="00C457BC">
        <w:rPr>
          <w:rFonts w:cs="Arial" w:hint="cs"/>
          <w:rtl/>
        </w:rPr>
        <w:t>,</w:t>
      </w:r>
      <w:r w:rsidR="00D9753C" w:rsidRPr="00C457BC">
        <w:rPr>
          <w:rFonts w:cs="Arial"/>
          <w:rtl/>
        </w:rPr>
        <w:t xml:space="preserve"> אם כופין אותו בית דין לעשות לה מלבושין ותכשיטין אחרים כמותן או שיתן לה דמיהן?</w:t>
      </w:r>
      <w:r w:rsidR="00D9753C" w:rsidRPr="00C457BC">
        <w:rPr>
          <w:rFonts w:cs="Arial" w:hint="cs"/>
          <w:rtl/>
        </w:rPr>
        <w:t>.</w:t>
      </w:r>
      <w:r w:rsidR="00D9753C" w:rsidRPr="00C457BC">
        <w:rPr>
          <w:rFonts w:cs="Arial"/>
          <w:rtl/>
        </w:rPr>
        <w:t xml:space="preserve"> </w:t>
      </w:r>
      <w:r w:rsidR="00FE210D" w:rsidRPr="00C457BC">
        <w:rPr>
          <w:rFonts w:cs="Arial"/>
          <w:rtl/>
        </w:rPr>
        <w:t xml:space="preserve">      תשובה:</w:t>
      </w:r>
      <w:r w:rsidR="00D9753C" w:rsidRPr="00C457BC">
        <w:rPr>
          <w:rFonts w:cs="Arial"/>
          <w:rtl/>
        </w:rPr>
        <w:t xml:space="preserve"> אם הבעל מודה שמכרן שלא ברשותה </w:t>
      </w:r>
      <w:r w:rsidR="00D9753C" w:rsidRPr="00C457BC">
        <w:rPr>
          <w:rFonts w:cs="Arial" w:hint="cs"/>
          <w:rtl/>
        </w:rPr>
        <w:t xml:space="preserve">- </w:t>
      </w:r>
      <w:r w:rsidR="00D9753C" w:rsidRPr="00C457BC">
        <w:rPr>
          <w:rFonts w:cs="Arial"/>
          <w:rtl/>
        </w:rPr>
        <w:t>בית דין כופין אותו לעשות לו אחרים כמותן או שיתן לה דמיהן</w:t>
      </w:r>
      <w:r w:rsidR="00D9753C" w:rsidRPr="00C457BC">
        <w:rPr>
          <w:rFonts w:cs="Arial" w:hint="cs"/>
          <w:rtl/>
        </w:rPr>
        <w:t xml:space="preserve"> </w:t>
      </w:r>
      <w:r w:rsidR="00D9753C" w:rsidRPr="00C457BC">
        <w:rPr>
          <w:rFonts w:cs="Arial"/>
          <w:rtl/>
        </w:rPr>
        <w:t>והיא תקנה</w:t>
      </w:r>
      <w:r w:rsidR="00D9753C" w:rsidRPr="00C457BC">
        <w:rPr>
          <w:rFonts w:cs="Arial" w:hint="cs"/>
          <w:rtl/>
        </w:rPr>
        <w:t>,</w:t>
      </w:r>
      <w:r w:rsidR="00D9753C" w:rsidRPr="00C457BC">
        <w:rPr>
          <w:rFonts w:cs="Arial"/>
          <w:rtl/>
        </w:rPr>
        <w:t xml:space="preserve"> שרוצה האשה לבלות תכשיטיה ויעמדו בידיה להשתעשע בהן בשעה שדרך בנות ישראל להתקשט בתכשיטיהן. אבל אם אינו מודה אלא שאומר שברשותה מכרן</w:t>
      </w:r>
      <w:r w:rsidR="00D9753C" w:rsidRPr="00C457BC">
        <w:rPr>
          <w:rFonts w:cs="Arial" w:hint="cs"/>
          <w:rtl/>
        </w:rPr>
        <w:t>,</w:t>
      </w:r>
      <w:r w:rsidR="00D9753C" w:rsidRPr="00C457BC">
        <w:rPr>
          <w:rFonts w:cs="Arial"/>
          <w:rtl/>
        </w:rPr>
        <w:t xml:space="preserve"> אי נמי שלא ברשותה ונתתי לה המעות </w:t>
      </w:r>
      <w:r w:rsidR="00D9753C" w:rsidRPr="00C457BC">
        <w:rPr>
          <w:rFonts w:cs="Arial" w:hint="cs"/>
          <w:rtl/>
        </w:rPr>
        <w:t xml:space="preserve">- </w:t>
      </w:r>
      <w:r w:rsidR="00D9753C" w:rsidRPr="00C457BC">
        <w:rPr>
          <w:rFonts w:cs="Arial"/>
          <w:rtl/>
        </w:rPr>
        <w:t>נאמן בשבועת היסת.</w:t>
      </w:r>
      <w:r w:rsidR="008F736F" w:rsidRPr="00C457BC">
        <w:rPr>
          <w:rFonts w:cs="Arial" w:hint="cs"/>
          <w:color w:val="00B0F0"/>
          <w:rtl/>
        </w:rPr>
        <w:t xml:space="preserve"> (וכ"פ הרמ"א)</w:t>
      </w:r>
    </w:p>
    <w:p w14:paraId="74398B42" w14:textId="69FA73C0" w:rsidR="0020173F" w:rsidRPr="00425534" w:rsidRDefault="00D274FD" w:rsidP="00D274FD">
      <w:pPr>
        <w:rPr>
          <w:rFonts w:cs="Arial"/>
        </w:rPr>
      </w:pPr>
      <w:r w:rsidRPr="00D274FD">
        <w:rPr>
          <w:rFonts w:cs="Arial"/>
          <w:u w:val="single"/>
          <w:rtl/>
        </w:rPr>
        <w:t>ישראל גבה קרקע מ</w:t>
      </w:r>
      <w:r w:rsidRPr="00D274FD">
        <w:rPr>
          <w:rFonts w:cs="Arial" w:hint="cs"/>
          <w:u w:val="single"/>
          <w:rtl/>
        </w:rPr>
        <w:t>גוי</w:t>
      </w:r>
      <w:r w:rsidRPr="00D274FD">
        <w:rPr>
          <w:rFonts w:cs="Arial"/>
          <w:u w:val="single"/>
          <w:rtl/>
        </w:rPr>
        <w:t xml:space="preserve"> בחובו</w:t>
      </w:r>
      <w:r>
        <w:rPr>
          <w:rFonts w:cs="Arial" w:hint="cs"/>
          <w:u w:val="single"/>
          <w:rtl/>
        </w:rPr>
        <w:t xml:space="preserve"> </w:t>
      </w:r>
      <w:r w:rsidR="00951C0F" w:rsidRPr="00951C0F">
        <w:rPr>
          <w:rFonts w:cs="Arial" w:hint="cs"/>
          <w:sz w:val="16"/>
          <w:szCs w:val="16"/>
          <w:u w:val="single"/>
          <w:rtl/>
        </w:rPr>
        <w:t>(</w:t>
      </w:r>
      <w:r w:rsidRPr="00951C0F">
        <w:rPr>
          <w:rFonts w:cs="Arial" w:hint="cs"/>
          <w:sz w:val="16"/>
          <w:szCs w:val="16"/>
          <w:u w:val="single"/>
          <w:rtl/>
        </w:rPr>
        <w:t>ואם ישלם לו יחזיר לו הקרקע</w:t>
      </w:r>
      <w:r w:rsidR="00951C0F">
        <w:rPr>
          <w:rFonts w:cs="Arial" w:hint="cs"/>
          <w:sz w:val="16"/>
          <w:szCs w:val="16"/>
          <w:u w:val="single"/>
          <w:rtl/>
        </w:rPr>
        <w:t>)</w:t>
      </w:r>
      <w:r>
        <w:rPr>
          <w:rFonts w:cs="Arial" w:hint="cs"/>
          <w:u w:val="single"/>
          <w:rtl/>
        </w:rPr>
        <w:t>, האם יכולה האש</w:t>
      </w:r>
      <w:r w:rsidR="00951C0F">
        <w:rPr>
          <w:rFonts w:cs="Arial" w:hint="cs"/>
          <w:u w:val="single"/>
          <w:rtl/>
        </w:rPr>
        <w:t>תו</w:t>
      </w:r>
      <w:r>
        <w:rPr>
          <w:rFonts w:cs="Arial" w:hint="cs"/>
          <w:u w:val="single"/>
          <w:rtl/>
        </w:rPr>
        <w:t xml:space="preserve"> למנוע מ</w:t>
      </w:r>
      <w:r w:rsidR="00951C0F">
        <w:rPr>
          <w:rFonts w:cs="Arial" w:hint="cs"/>
          <w:u w:val="single"/>
          <w:rtl/>
        </w:rPr>
        <w:t>מנו</w:t>
      </w:r>
      <w:r>
        <w:rPr>
          <w:rFonts w:cs="Arial" w:hint="cs"/>
          <w:u w:val="single"/>
          <w:rtl/>
        </w:rPr>
        <w:t xml:space="preserve"> למכור לאחר</w:t>
      </w:r>
      <w:r w:rsidR="0020173F" w:rsidRPr="00425534">
        <w:rPr>
          <w:rFonts w:cs="Arial" w:hint="cs"/>
          <w:u w:val="single"/>
          <w:rtl/>
        </w:rPr>
        <w:t>:</w:t>
      </w:r>
      <w:r w:rsidR="0020173F" w:rsidRPr="00425534">
        <w:rPr>
          <w:rFonts w:cs="Arial"/>
          <w:rtl/>
        </w:rPr>
        <w:t xml:space="preserve"> </w:t>
      </w:r>
      <w:r w:rsidR="0020173F" w:rsidRPr="00425534">
        <w:rPr>
          <w:rFonts w:cs="Arial"/>
          <w:sz w:val="16"/>
          <w:szCs w:val="16"/>
          <w:rtl/>
        </w:rPr>
        <w:t>(</w:t>
      </w:r>
      <w:r w:rsidR="0020173F" w:rsidRPr="00425534">
        <w:rPr>
          <w:rFonts w:cs="Arial" w:hint="cs"/>
          <w:sz w:val="16"/>
          <w:szCs w:val="16"/>
          <w:rtl/>
        </w:rPr>
        <w:t xml:space="preserve">דרכ"מ אות </w:t>
      </w:r>
      <w:r w:rsidR="0020173F" w:rsidRPr="00425534">
        <w:rPr>
          <w:rFonts w:cs="Arial"/>
          <w:sz w:val="16"/>
          <w:szCs w:val="16"/>
          <w:rtl/>
        </w:rPr>
        <w:t>כ)</w:t>
      </w:r>
      <w:r w:rsidR="0020173F" w:rsidRPr="00425534">
        <w:rPr>
          <w:rFonts w:cs="Arial"/>
          <w:rtl/>
        </w:rPr>
        <w:t xml:space="preserve"> </w:t>
      </w:r>
    </w:p>
    <w:p w14:paraId="5EA04AFA" w14:textId="419BAE2E" w:rsidR="0020173F" w:rsidRPr="00D274FD" w:rsidRDefault="0020173F" w:rsidP="009000E3">
      <w:pPr>
        <w:pStyle w:val="ab"/>
        <w:numPr>
          <w:ilvl w:val="0"/>
          <w:numId w:val="55"/>
        </w:numPr>
        <w:rPr>
          <w:rFonts w:cs="Arial"/>
          <w:rtl/>
        </w:rPr>
      </w:pPr>
      <w:r>
        <w:rPr>
          <w:rFonts w:cs="Arial" w:hint="cs"/>
          <w:rtl/>
        </w:rPr>
        <w:t xml:space="preserve">תרוה"ד </w:t>
      </w:r>
      <w:r w:rsidRPr="0020173F">
        <w:rPr>
          <w:rFonts w:cs="Arial" w:hint="cs"/>
          <w:sz w:val="16"/>
          <w:szCs w:val="16"/>
          <w:rtl/>
        </w:rPr>
        <w:t>(</w:t>
      </w:r>
      <w:r w:rsidRPr="0020173F">
        <w:rPr>
          <w:rFonts w:cs="Arial"/>
          <w:sz w:val="16"/>
          <w:szCs w:val="16"/>
          <w:rtl/>
        </w:rPr>
        <w:t>סי</w:t>
      </w:r>
      <w:r w:rsidRPr="0020173F">
        <w:rPr>
          <w:rFonts w:cs="Arial" w:hint="cs"/>
          <w:sz w:val="16"/>
          <w:szCs w:val="16"/>
          <w:rtl/>
        </w:rPr>
        <w:t>'</w:t>
      </w:r>
      <w:r w:rsidRPr="0020173F">
        <w:rPr>
          <w:rFonts w:cs="Arial"/>
          <w:sz w:val="16"/>
          <w:szCs w:val="16"/>
          <w:rtl/>
        </w:rPr>
        <w:t xml:space="preserve"> שלט</w:t>
      </w:r>
      <w:r w:rsidRPr="0020173F">
        <w:rPr>
          <w:rFonts w:cs="Arial" w:hint="cs"/>
          <w:sz w:val="16"/>
          <w:szCs w:val="16"/>
          <w:rtl/>
        </w:rPr>
        <w:t>)</w:t>
      </w:r>
      <w:r>
        <w:rPr>
          <w:rFonts w:cs="Arial" w:hint="cs"/>
          <w:rtl/>
        </w:rPr>
        <w:t>-</w:t>
      </w:r>
      <w:r w:rsidRPr="00843F99">
        <w:rPr>
          <w:rFonts w:cs="Arial"/>
          <w:rtl/>
        </w:rPr>
        <w:t xml:space="preserve"> </w:t>
      </w:r>
      <w:r w:rsidR="00D274FD" w:rsidRPr="00D274FD">
        <w:rPr>
          <w:rFonts w:cs="Arial"/>
          <w:rtl/>
        </w:rPr>
        <w:t>שאלה: מנהג ודת הוא במדינה אחת שכל ישראל שמחזיק במשפט קרקעות של הנכרי לוה שלו</w:t>
      </w:r>
      <w:r w:rsidR="008F736F">
        <w:rPr>
          <w:rFonts w:cs="Arial" w:hint="cs"/>
          <w:rtl/>
        </w:rPr>
        <w:t>,</w:t>
      </w:r>
      <w:r w:rsidR="00D274FD" w:rsidRPr="00D274FD">
        <w:rPr>
          <w:rFonts w:cs="Arial"/>
          <w:rtl/>
        </w:rPr>
        <w:t xml:space="preserve"> הרי הוא כממונו למכור למי שירצה. אכן אם יבא הנכרי קודם שימכרו ויפרע לישראל המלוה כל חיובא וכל הוצאות שהוציא הישראל על השגת המשפט, צריך הישראל להחזיר לנכרי כל שטרי החוב ושטרי המשפט</w:t>
      </w:r>
      <w:r w:rsidR="008F736F">
        <w:rPr>
          <w:rFonts w:cs="Arial" w:hint="cs"/>
          <w:rtl/>
        </w:rPr>
        <w:t>,</w:t>
      </w:r>
      <w:r w:rsidR="00D274FD" w:rsidRPr="00D274FD">
        <w:rPr>
          <w:rFonts w:cs="Arial"/>
          <w:rtl/>
        </w:rPr>
        <w:t xml:space="preserve"> כך הוא החוק והמנהג. ועתה יש להסתפק אם בא הישראל לאחר שהחזיק הנכסים במשפט למכור לישראל חבירו כל כוחו וזכותו שיש לו באותן הנכסים, אם יכולה האשה לעכב בהן המכירה מחמת שיעבוד כתובה כגון בשאר קרקעות של הבעל או לאו. </w:t>
      </w:r>
      <w:r w:rsidR="00D274FD">
        <w:rPr>
          <w:rFonts w:cs="Arial"/>
          <w:rtl/>
        </w:rPr>
        <w:tab/>
      </w:r>
      <w:r w:rsidR="00D274FD">
        <w:rPr>
          <w:rFonts w:cs="Arial" w:hint="cs"/>
          <w:rtl/>
        </w:rPr>
        <w:t xml:space="preserve">  </w:t>
      </w:r>
      <w:r w:rsidR="00D274FD" w:rsidRPr="00D274FD">
        <w:rPr>
          <w:rFonts w:cs="Arial"/>
          <w:rtl/>
        </w:rPr>
        <w:t>תשובה: יראה דאין יכולה לעכב</w:t>
      </w:r>
      <w:r w:rsidR="00D274FD">
        <w:rPr>
          <w:rFonts w:cs="Arial" w:hint="cs"/>
          <w:rtl/>
        </w:rPr>
        <w:t>,</w:t>
      </w:r>
      <w:r w:rsidR="00D274FD" w:rsidRPr="00D274FD">
        <w:rPr>
          <w:rFonts w:cs="Arial"/>
          <w:rtl/>
        </w:rPr>
        <w:t xml:space="preserve"> כי אין דין מקרקעי לנכסים האילו הואיל ועדיין ביד הנכרי לפדות הנכסים ואין ביד הישראל לעכב, וא"כ הרי אילו כשאר חובות והלוואות שיוכל לישא וליתן בהן בכל אשר ירצה, ואין האשה יכולה לעכב בהו.</w:t>
      </w:r>
      <w:r w:rsidR="00D274FD">
        <w:rPr>
          <w:rFonts w:cs="Arial" w:hint="cs"/>
          <w:rtl/>
        </w:rPr>
        <w:t>.</w:t>
      </w:r>
      <w:r w:rsidR="00D274FD" w:rsidRPr="00D274FD">
        <w:rPr>
          <w:rFonts w:cs="Arial"/>
          <w:rtl/>
        </w:rPr>
        <w:t>. אמנם נראה שאם החזיק הישראל כ"כ בקרקע הנכרי שהכניס בה פועלים לבנות ולנטוע לעבדה ולשמרה, או שהכניס דיורים בבתים וכה"ג איזה זמן, אע</w:t>
      </w:r>
      <w:r w:rsidR="00D274FD">
        <w:rPr>
          <w:rFonts w:cs="Arial" w:hint="cs"/>
          <w:rtl/>
        </w:rPr>
        <w:t>"</w:t>
      </w:r>
      <w:r w:rsidR="00D274FD" w:rsidRPr="00D274FD">
        <w:rPr>
          <w:rFonts w:cs="Arial"/>
          <w:rtl/>
        </w:rPr>
        <w:t xml:space="preserve">פ שעדיין ביד הנכרי לפדות, מ"מ חשיב הקרקע כגבוי לישראל כל זמן שלא פדאה הנכרי, וכח שיעבוד כתובת האשה עליו. וראייה מהא דפ' כל שעה </w:t>
      </w:r>
      <w:r w:rsidR="00D274FD">
        <w:rPr>
          <w:rFonts w:cs="Arial" w:hint="cs"/>
          <w:rtl/>
        </w:rPr>
        <w:t>(</w:t>
      </w:r>
      <w:r w:rsidR="00D274FD" w:rsidRPr="00D274FD">
        <w:rPr>
          <w:rFonts w:cs="Arial"/>
          <w:rtl/>
        </w:rPr>
        <w:t>פסחים לא</w:t>
      </w:r>
      <w:r w:rsidR="00D274FD">
        <w:rPr>
          <w:rFonts w:cs="Arial" w:hint="cs"/>
          <w:rtl/>
        </w:rPr>
        <w:t>.)...</w:t>
      </w:r>
      <w:r w:rsidR="00951C0F">
        <w:rPr>
          <w:rFonts w:cs="Arial" w:hint="cs"/>
          <w:rtl/>
        </w:rPr>
        <w:t xml:space="preserve"> </w:t>
      </w:r>
      <w:r w:rsidR="007814FD" w:rsidRPr="005B4840">
        <w:rPr>
          <w:rFonts w:cs="Arial" w:hint="cs"/>
          <w:color w:val="00B0F0"/>
          <w:rtl/>
        </w:rPr>
        <w:t>(וכ"פ הרמ"א)</w:t>
      </w:r>
    </w:p>
    <w:p w14:paraId="0C86612C" w14:textId="0B8F86F9" w:rsidR="00EB79BF" w:rsidRDefault="00EB79BF" w:rsidP="00EB79BF">
      <w:pPr>
        <w:rPr>
          <w:rFonts w:cs="Arial"/>
          <w:rtl/>
        </w:rPr>
      </w:pPr>
      <w:r w:rsidRPr="003024E5">
        <w:rPr>
          <w:rFonts w:asciiTheme="minorBidi" w:hAnsiTheme="minorBidi"/>
          <w:b/>
          <w:bCs/>
          <w:color w:val="000000"/>
          <w:sz w:val="28"/>
          <w:szCs w:val="28"/>
          <w:u w:val="single"/>
          <w:rtl/>
        </w:rPr>
        <w:t>שו"ע:</w:t>
      </w:r>
    </w:p>
    <w:p w14:paraId="28882E88" w14:textId="3852C924" w:rsidR="00FA43C3" w:rsidRDefault="00EB79BF" w:rsidP="00B07AFF">
      <w:pPr>
        <w:rPr>
          <w:rFonts w:cs="Arial"/>
          <w:rtl/>
        </w:rPr>
      </w:pPr>
      <w:r w:rsidRPr="00EB79BF">
        <w:rPr>
          <w:rFonts w:cs="Arial"/>
          <w:rtl/>
        </w:rPr>
        <w:t>אין האיש רשאי למכור מטלטלין של נכסי צ</w:t>
      </w:r>
      <w:r w:rsidR="00E70335">
        <w:rPr>
          <w:rFonts w:cs="Arial" w:hint="cs"/>
          <w:rtl/>
        </w:rPr>
        <w:t>אן ברזל</w:t>
      </w:r>
      <w:r w:rsidRPr="00EB79BF">
        <w:rPr>
          <w:rFonts w:cs="Arial"/>
          <w:rtl/>
        </w:rPr>
        <w:t>, ולא למשכנם</w:t>
      </w:r>
      <w:r w:rsidR="00360A8B">
        <w:rPr>
          <w:rFonts w:cs="Arial" w:hint="cs"/>
          <w:rtl/>
        </w:rPr>
        <w:t>.</w:t>
      </w:r>
      <w:r w:rsidRPr="00EB79BF">
        <w:rPr>
          <w:rFonts w:cs="Arial"/>
          <w:rtl/>
        </w:rPr>
        <w:t xml:space="preserve"> ואם מכרן או משכנן, מה שעשה עשוי</w:t>
      </w:r>
      <w:r w:rsidR="008F6E86">
        <w:rPr>
          <w:rStyle w:val="a7"/>
          <w:rFonts w:cs="Arial"/>
          <w:rtl/>
        </w:rPr>
        <w:footnoteReference w:id="1347"/>
      </w:r>
      <w:r w:rsidRPr="00EB79BF">
        <w:rPr>
          <w:rFonts w:cs="Arial"/>
          <w:rtl/>
        </w:rPr>
        <w:t xml:space="preserve">. </w:t>
      </w:r>
      <w:r w:rsidRPr="00FA43C3">
        <w:rPr>
          <w:rFonts w:cs="Arial"/>
          <w:sz w:val="18"/>
          <w:szCs w:val="18"/>
          <w:rtl/>
        </w:rPr>
        <w:t>הגה: וי"א דמכרו בטל</w:t>
      </w:r>
      <w:r w:rsidR="005B4840">
        <w:rPr>
          <w:rFonts w:cs="Arial" w:hint="cs"/>
          <w:sz w:val="18"/>
          <w:szCs w:val="18"/>
          <w:rtl/>
        </w:rPr>
        <w:t xml:space="preserve"> (רמב"ן רשב"א רא"ש וטור)</w:t>
      </w:r>
      <w:r w:rsidRPr="00FA43C3">
        <w:rPr>
          <w:rFonts w:cs="Arial"/>
          <w:sz w:val="18"/>
          <w:szCs w:val="18"/>
          <w:rtl/>
        </w:rPr>
        <w:t>. ובגדי האשה שהכניסה לו אין להן דין צאן ברזל, רק נכסי מלוג, כמו שנתבאר לעיל סימן ע"ז, ולכן אם מכרן או משכנן, בטל לכ</w:t>
      </w:r>
      <w:r w:rsidR="00360A8B">
        <w:rPr>
          <w:rFonts w:cs="Arial" w:hint="cs"/>
          <w:sz w:val="18"/>
          <w:szCs w:val="18"/>
          <w:rtl/>
        </w:rPr>
        <w:t>ו</w:t>
      </w:r>
      <w:r w:rsidRPr="00FA43C3">
        <w:rPr>
          <w:rFonts w:cs="Arial"/>
          <w:sz w:val="18"/>
          <w:szCs w:val="18"/>
          <w:rtl/>
        </w:rPr>
        <w:t>"ע, כן נ"ל. וי"א דאם אמר שברשותה עשה מה שעשה, נאמן בשבועה</w:t>
      </w:r>
      <w:r w:rsidR="00B07AFF">
        <w:rPr>
          <w:rStyle w:val="a7"/>
          <w:rFonts w:cs="Arial"/>
          <w:sz w:val="18"/>
          <w:szCs w:val="18"/>
          <w:rtl/>
        </w:rPr>
        <w:footnoteReference w:id="1348"/>
      </w:r>
      <w:r w:rsidR="00360A8B">
        <w:rPr>
          <w:rFonts w:cs="Arial" w:hint="cs"/>
          <w:sz w:val="18"/>
          <w:szCs w:val="18"/>
          <w:rtl/>
        </w:rPr>
        <w:t>,</w:t>
      </w:r>
      <w:r w:rsidRPr="00FA43C3">
        <w:rPr>
          <w:rFonts w:cs="Arial"/>
          <w:sz w:val="18"/>
          <w:szCs w:val="18"/>
          <w:rtl/>
        </w:rPr>
        <w:t xml:space="preserve"> וכן אם אמר שנתן לה הדמים (רשב"א). </w:t>
      </w:r>
      <w:r w:rsidRPr="00FA43C3">
        <w:rPr>
          <w:rFonts w:cs="Arial"/>
          <w:sz w:val="18"/>
          <w:szCs w:val="18"/>
          <w:rtl/>
        </w:rPr>
        <w:lastRenderedPageBreak/>
        <w:t>ישראל שגבה קרקע מן ה</w:t>
      </w:r>
      <w:r w:rsidR="00360A8B">
        <w:rPr>
          <w:rFonts w:cs="Arial" w:hint="cs"/>
          <w:sz w:val="18"/>
          <w:szCs w:val="18"/>
          <w:rtl/>
        </w:rPr>
        <w:t>גוי</w:t>
      </w:r>
      <w:r w:rsidRPr="00FA43C3">
        <w:rPr>
          <w:rFonts w:cs="Arial"/>
          <w:sz w:val="18"/>
          <w:szCs w:val="18"/>
          <w:rtl/>
        </w:rPr>
        <w:t xml:space="preserve"> בחובו, אם יש רשות </w:t>
      </w:r>
      <w:r w:rsidR="00360A8B">
        <w:rPr>
          <w:rFonts w:cs="Arial" w:hint="cs"/>
          <w:sz w:val="18"/>
          <w:szCs w:val="18"/>
          <w:rtl/>
        </w:rPr>
        <w:t>לגוי</w:t>
      </w:r>
      <w:r w:rsidRPr="00FA43C3">
        <w:rPr>
          <w:rFonts w:cs="Arial"/>
          <w:sz w:val="18"/>
          <w:szCs w:val="18"/>
          <w:rtl/>
        </w:rPr>
        <w:t xml:space="preserve"> לפדותו</w:t>
      </w:r>
      <w:r w:rsidR="00360A8B">
        <w:rPr>
          <w:rFonts w:cs="Arial" w:hint="cs"/>
          <w:sz w:val="18"/>
          <w:szCs w:val="18"/>
          <w:rtl/>
        </w:rPr>
        <w:t>,</w:t>
      </w:r>
      <w:r w:rsidRPr="00FA43C3">
        <w:rPr>
          <w:rFonts w:cs="Arial"/>
          <w:sz w:val="18"/>
          <w:szCs w:val="18"/>
          <w:rtl/>
        </w:rPr>
        <w:t xml:space="preserve"> יש לה דין מטלטלין, ואין לאשה כח למחות</w:t>
      </w:r>
      <w:r w:rsidR="00647311">
        <w:rPr>
          <w:rStyle w:val="a7"/>
          <w:rFonts w:cs="Arial"/>
          <w:sz w:val="18"/>
          <w:szCs w:val="18"/>
          <w:rtl/>
        </w:rPr>
        <w:footnoteReference w:id="1349"/>
      </w:r>
      <w:r w:rsidRPr="00FA43C3">
        <w:rPr>
          <w:rFonts w:cs="Arial"/>
          <w:sz w:val="18"/>
          <w:szCs w:val="18"/>
          <w:rtl/>
        </w:rPr>
        <w:t xml:space="preserve"> בו שלא למכרו</w:t>
      </w:r>
      <w:r w:rsidR="00360A8B">
        <w:rPr>
          <w:rFonts w:cs="Arial" w:hint="cs"/>
          <w:sz w:val="18"/>
          <w:szCs w:val="18"/>
          <w:rtl/>
        </w:rPr>
        <w:t>.</w:t>
      </w:r>
      <w:r w:rsidRPr="00FA43C3">
        <w:rPr>
          <w:rFonts w:cs="Arial"/>
          <w:sz w:val="18"/>
          <w:szCs w:val="18"/>
          <w:rtl/>
        </w:rPr>
        <w:t xml:space="preserve"> אבל אם החזיק</w:t>
      </w:r>
      <w:r w:rsidR="007E0216">
        <w:rPr>
          <w:rStyle w:val="a7"/>
          <w:rFonts w:cs="Arial"/>
          <w:sz w:val="18"/>
          <w:szCs w:val="18"/>
          <w:rtl/>
        </w:rPr>
        <w:footnoteReference w:id="1350"/>
      </w:r>
      <w:r w:rsidRPr="00FA43C3">
        <w:rPr>
          <w:rFonts w:cs="Arial"/>
          <w:sz w:val="18"/>
          <w:szCs w:val="18"/>
          <w:rtl/>
        </w:rPr>
        <w:t xml:space="preserve"> בה הישראל ואין</w:t>
      </w:r>
      <w:r w:rsidR="00951C0F">
        <w:rPr>
          <w:rStyle w:val="a7"/>
          <w:rFonts w:cs="Arial"/>
          <w:sz w:val="18"/>
          <w:szCs w:val="18"/>
          <w:rtl/>
        </w:rPr>
        <w:footnoteReference w:id="1351"/>
      </w:r>
      <w:r w:rsidRPr="00FA43C3">
        <w:rPr>
          <w:rFonts w:cs="Arial"/>
          <w:sz w:val="18"/>
          <w:szCs w:val="18"/>
          <w:rtl/>
        </w:rPr>
        <w:t xml:space="preserve"> ה</w:t>
      </w:r>
      <w:r w:rsidR="00360A8B">
        <w:rPr>
          <w:rFonts w:cs="Arial" w:hint="cs"/>
          <w:sz w:val="18"/>
          <w:szCs w:val="18"/>
          <w:rtl/>
        </w:rPr>
        <w:t>גו</w:t>
      </w:r>
      <w:r w:rsidRPr="00FA43C3">
        <w:rPr>
          <w:rFonts w:cs="Arial"/>
          <w:sz w:val="18"/>
          <w:szCs w:val="18"/>
          <w:rtl/>
        </w:rPr>
        <w:t>י יכול לפדותו, יש לה דין קרקע, ושעבוד כתובת האשה עליה כמו שאר קרקע (ת</w:t>
      </w:r>
      <w:r w:rsidR="00360A8B">
        <w:rPr>
          <w:rFonts w:cs="Arial" w:hint="cs"/>
          <w:sz w:val="18"/>
          <w:szCs w:val="18"/>
          <w:rtl/>
        </w:rPr>
        <w:t>רו</w:t>
      </w:r>
      <w:r w:rsidRPr="00FA43C3">
        <w:rPr>
          <w:rFonts w:cs="Arial"/>
          <w:sz w:val="18"/>
          <w:szCs w:val="18"/>
          <w:rtl/>
        </w:rPr>
        <w:t>ה</w:t>
      </w:r>
      <w:r w:rsidR="00360A8B">
        <w:rPr>
          <w:rFonts w:cs="Arial" w:hint="cs"/>
          <w:sz w:val="18"/>
          <w:szCs w:val="18"/>
          <w:rtl/>
        </w:rPr>
        <w:t>"ד</w:t>
      </w:r>
      <w:r w:rsidRPr="00FA43C3">
        <w:rPr>
          <w:rFonts w:cs="Arial"/>
          <w:sz w:val="18"/>
          <w:szCs w:val="18"/>
          <w:rtl/>
        </w:rPr>
        <w:t>).</w:t>
      </w:r>
      <w:r w:rsidRPr="00EB79BF">
        <w:rPr>
          <w:rFonts w:cs="Arial"/>
          <w:rtl/>
        </w:rPr>
        <w:t xml:space="preserve"> </w:t>
      </w:r>
    </w:p>
    <w:p w14:paraId="0EA5B367" w14:textId="77777777" w:rsidR="007E0216" w:rsidRDefault="007E0216" w:rsidP="00B07AFF">
      <w:pPr>
        <w:rPr>
          <w:rFonts w:cs="Arial"/>
          <w:rtl/>
        </w:rPr>
      </w:pPr>
    </w:p>
    <w:p w14:paraId="03E2A3F9" w14:textId="52DD12EF" w:rsidR="00817B9C" w:rsidRDefault="00EB79BF" w:rsidP="000F64D0">
      <w:pPr>
        <w:pStyle w:val="2"/>
        <w:rPr>
          <w:rtl/>
        </w:rPr>
      </w:pPr>
      <w:r w:rsidRPr="00EB79BF">
        <w:rPr>
          <w:rtl/>
        </w:rPr>
        <w:t>סעיף טו</w:t>
      </w:r>
      <w:r w:rsidR="00817B9C">
        <w:rPr>
          <w:rFonts w:hint="cs"/>
          <w:rtl/>
        </w:rPr>
        <w:t>:</w:t>
      </w:r>
      <w:r w:rsidR="00C975E1">
        <w:rPr>
          <w:rFonts w:hint="cs"/>
          <w:rtl/>
        </w:rPr>
        <w:t xml:space="preserve"> אשה שקיבלה מטלטלין מבעלה או מקרוביה.</w:t>
      </w:r>
    </w:p>
    <w:p w14:paraId="73335460" w14:textId="59BDDDB4" w:rsidR="00ED2C84" w:rsidRPr="00ED2C84" w:rsidRDefault="00ED2C84" w:rsidP="00ED2C84">
      <w:pPr>
        <w:rPr>
          <w:rtl/>
        </w:rPr>
      </w:pPr>
      <w:r>
        <w:rPr>
          <w:rFonts w:hint="cs"/>
          <w:rtl/>
        </w:rPr>
        <w:t>עיין במקורות בסעיף יד.</w:t>
      </w:r>
    </w:p>
    <w:p w14:paraId="1A4A87DD" w14:textId="77777777" w:rsidR="00EB79BF" w:rsidRDefault="00EB79BF" w:rsidP="00EB79BF">
      <w:pPr>
        <w:rPr>
          <w:rFonts w:cs="Arial"/>
          <w:rtl/>
        </w:rPr>
      </w:pPr>
      <w:r w:rsidRPr="003024E5">
        <w:rPr>
          <w:rFonts w:asciiTheme="minorBidi" w:hAnsiTheme="minorBidi"/>
          <w:b/>
          <w:bCs/>
          <w:color w:val="000000"/>
          <w:sz w:val="28"/>
          <w:szCs w:val="28"/>
          <w:u w:val="single"/>
          <w:rtl/>
        </w:rPr>
        <w:t>שו"ע:</w:t>
      </w:r>
    </w:p>
    <w:p w14:paraId="3739AF12" w14:textId="71F68352" w:rsidR="00EB79BF" w:rsidRDefault="00EB79BF" w:rsidP="00EB79BF">
      <w:pPr>
        <w:rPr>
          <w:rFonts w:cs="Arial"/>
          <w:rtl/>
        </w:rPr>
      </w:pPr>
      <w:r w:rsidRPr="00EB79BF">
        <w:rPr>
          <w:rFonts w:cs="Arial"/>
          <w:rtl/>
        </w:rPr>
        <w:t>מטלטלין שנתן לה משלו, דינם שוה לנכסי צ</w:t>
      </w:r>
      <w:r w:rsidR="00FA43C3">
        <w:rPr>
          <w:rFonts w:cs="Arial" w:hint="cs"/>
          <w:rtl/>
        </w:rPr>
        <w:t>אן ברזל</w:t>
      </w:r>
      <w:r w:rsidR="00F1399E">
        <w:rPr>
          <w:rStyle w:val="a7"/>
          <w:rFonts w:cs="Arial"/>
          <w:rtl/>
        </w:rPr>
        <w:footnoteReference w:id="1352"/>
      </w:r>
      <w:r w:rsidRPr="00EB79BF">
        <w:rPr>
          <w:rFonts w:cs="Arial"/>
          <w:rtl/>
        </w:rPr>
        <w:t>, שאינו רשאי למוכרן לכתחלה</w:t>
      </w:r>
      <w:r w:rsidR="00C975E1">
        <w:rPr>
          <w:rFonts w:cs="Arial" w:hint="cs"/>
          <w:rtl/>
        </w:rPr>
        <w:t>.</w:t>
      </w:r>
      <w:r w:rsidRPr="00EB79BF">
        <w:rPr>
          <w:rFonts w:cs="Arial"/>
          <w:rtl/>
        </w:rPr>
        <w:t xml:space="preserve"> וה</w:t>
      </w:r>
      <w:r w:rsidR="00FA43C3">
        <w:rPr>
          <w:rFonts w:cs="Arial" w:hint="cs"/>
          <w:rtl/>
        </w:rPr>
        <w:t>וא הדין</w:t>
      </w:r>
      <w:r w:rsidRPr="00EB79BF">
        <w:rPr>
          <w:rFonts w:cs="Arial"/>
          <w:rtl/>
        </w:rPr>
        <w:t xml:space="preserve"> למטלטלין שקנה לה, אפילו לא באו לידה, ואפילו אין לו במה להתפרנס. ואין חלוק בין בגדי שבת וי</w:t>
      </w:r>
      <w:r w:rsidR="00FA43C3">
        <w:rPr>
          <w:rFonts w:cs="Arial" w:hint="cs"/>
          <w:rtl/>
        </w:rPr>
        <w:t>ום טוב</w:t>
      </w:r>
      <w:r w:rsidRPr="00EB79BF">
        <w:rPr>
          <w:rFonts w:cs="Arial"/>
          <w:rtl/>
        </w:rPr>
        <w:t xml:space="preserve"> לבגדי חול</w:t>
      </w:r>
      <w:r w:rsidR="00A36C47">
        <w:rPr>
          <w:rStyle w:val="a7"/>
          <w:rFonts w:cs="Arial"/>
          <w:rtl/>
        </w:rPr>
        <w:footnoteReference w:id="1353"/>
      </w:r>
      <w:r w:rsidR="00C975E1">
        <w:rPr>
          <w:rFonts w:cs="Arial" w:hint="cs"/>
          <w:rtl/>
        </w:rPr>
        <w:t>.</w:t>
      </w:r>
      <w:r w:rsidRPr="00EB79BF">
        <w:rPr>
          <w:rFonts w:cs="Arial"/>
          <w:rtl/>
        </w:rPr>
        <w:t xml:space="preserve"> אבל כלי זהב ובדולח יכול למוכרם אם הוצרך להתפרנס מהם. ואם קרובים נתנו לה</w:t>
      </w:r>
      <w:r w:rsidR="00360641">
        <w:rPr>
          <w:rStyle w:val="a7"/>
          <w:rFonts w:cs="Arial"/>
          <w:rtl/>
        </w:rPr>
        <w:footnoteReference w:id="1354"/>
      </w:r>
      <w:r w:rsidRPr="00EB79BF">
        <w:rPr>
          <w:rFonts w:cs="Arial"/>
          <w:rtl/>
        </w:rPr>
        <w:t>, בין תכשיטין בין בגדים, יכול הבעל למוכרם לפרנס עצמו</w:t>
      </w:r>
      <w:r w:rsidR="00360641">
        <w:rPr>
          <w:rStyle w:val="a7"/>
          <w:rFonts w:cs="Arial"/>
          <w:rtl/>
        </w:rPr>
        <w:footnoteReference w:id="1355"/>
      </w:r>
      <w:r w:rsidRPr="00EB79BF">
        <w:rPr>
          <w:rFonts w:cs="Arial"/>
          <w:rtl/>
        </w:rPr>
        <w:t xml:space="preserve">. </w:t>
      </w:r>
    </w:p>
    <w:p w14:paraId="3D456F64" w14:textId="77777777" w:rsidR="0049110B" w:rsidRPr="00EB79BF" w:rsidRDefault="0049110B" w:rsidP="00EB79BF">
      <w:pPr>
        <w:rPr>
          <w:rFonts w:cs="Arial"/>
          <w:rtl/>
        </w:rPr>
      </w:pPr>
    </w:p>
    <w:p w14:paraId="3AFE1DF5" w14:textId="158BA4BE" w:rsidR="00EB79BF" w:rsidRDefault="00EB79BF" w:rsidP="000F64D0">
      <w:pPr>
        <w:pStyle w:val="2"/>
        <w:rPr>
          <w:rtl/>
        </w:rPr>
      </w:pPr>
      <w:r w:rsidRPr="00EB79BF">
        <w:rPr>
          <w:rtl/>
        </w:rPr>
        <w:t>סעיף טז</w:t>
      </w:r>
      <w:r w:rsidR="00763570">
        <w:rPr>
          <w:rFonts w:hint="cs"/>
          <w:rtl/>
        </w:rPr>
        <w:t xml:space="preserve">: </w:t>
      </w:r>
      <w:r w:rsidR="002926CA">
        <w:rPr>
          <w:rFonts w:hint="cs"/>
          <w:rtl/>
        </w:rPr>
        <w:t xml:space="preserve">הקונה נכסים מהאיש והאשה </w:t>
      </w:r>
      <w:r w:rsidR="002926CA" w:rsidRPr="002926CA">
        <w:rPr>
          <w:rFonts w:hint="cs"/>
          <w:sz w:val="20"/>
          <w:szCs w:val="20"/>
          <w:rtl/>
        </w:rPr>
        <w:t>(יחד או בזה אחר זה)</w:t>
      </w:r>
      <w:r w:rsidR="002926CA">
        <w:rPr>
          <w:rFonts w:hint="cs"/>
          <w:rtl/>
        </w:rPr>
        <w:t>.</w:t>
      </w:r>
    </w:p>
    <w:p w14:paraId="076B548B" w14:textId="0153C528" w:rsidR="00792F43" w:rsidRPr="00253625" w:rsidRDefault="00A303DC" w:rsidP="00253625">
      <w:pPr>
        <w:rPr>
          <w:rFonts w:cs="Arial"/>
          <w:rtl/>
        </w:rPr>
      </w:pPr>
      <w:bookmarkStart w:id="7" w:name="_Hlk69730052"/>
      <w:r w:rsidRPr="004E4DB8">
        <w:rPr>
          <w:rFonts w:cs="Arial" w:hint="cs"/>
          <w:b/>
          <w:bCs/>
          <w:rtl/>
        </w:rPr>
        <w:t xml:space="preserve">בבא בתרא </w:t>
      </w:r>
      <w:r>
        <w:rPr>
          <w:rFonts w:cs="Arial" w:hint="cs"/>
          <w:b/>
          <w:bCs/>
          <w:sz w:val="16"/>
          <w:szCs w:val="16"/>
          <w:rtl/>
        </w:rPr>
        <w:t>(פ' חזקת)</w:t>
      </w:r>
      <w:r>
        <w:rPr>
          <w:rFonts w:cs="Arial" w:hint="cs"/>
          <w:b/>
          <w:bCs/>
          <w:rtl/>
        </w:rPr>
        <w:t xml:space="preserve"> </w:t>
      </w:r>
      <w:r w:rsidRPr="004E4DB8">
        <w:rPr>
          <w:rFonts w:cs="Arial" w:hint="cs"/>
          <w:b/>
          <w:bCs/>
          <w:rtl/>
        </w:rPr>
        <w:t>מב</w:t>
      </w:r>
      <w:r w:rsidR="001D53BF">
        <w:rPr>
          <w:rStyle w:val="a7"/>
          <w:rFonts w:cs="Arial"/>
          <w:b/>
          <w:bCs/>
          <w:rtl/>
        </w:rPr>
        <w:footnoteReference w:id="1356"/>
      </w:r>
      <w:r w:rsidRPr="004E4DB8">
        <w:rPr>
          <w:rFonts w:cs="Arial" w:hint="cs"/>
          <w:b/>
          <w:bCs/>
          <w:rtl/>
        </w:rPr>
        <w:t xml:space="preserve"> ע"</w:t>
      </w:r>
      <w:r>
        <w:rPr>
          <w:rFonts w:cs="Arial" w:hint="cs"/>
          <w:b/>
          <w:bCs/>
          <w:rtl/>
        </w:rPr>
        <w:t>א</w:t>
      </w:r>
      <w:r w:rsidRPr="004E4DB8">
        <w:rPr>
          <w:rFonts w:cs="Arial" w:hint="cs"/>
          <w:b/>
          <w:bCs/>
          <w:rtl/>
        </w:rPr>
        <w:t xml:space="preserve">: </w:t>
      </w:r>
      <w:r w:rsidRPr="004E4DB8">
        <w:rPr>
          <w:rFonts w:cs="Arial"/>
          <w:u w:val="double"/>
          <w:rtl/>
        </w:rPr>
        <w:t>מתני'</w:t>
      </w:r>
      <w:r>
        <w:rPr>
          <w:rFonts w:cs="Arial" w:hint="cs"/>
          <w:rtl/>
        </w:rPr>
        <w:t>:</w:t>
      </w:r>
      <w:r w:rsidRPr="004E4DB8">
        <w:rPr>
          <w:rFonts w:cs="Arial"/>
          <w:rtl/>
        </w:rPr>
        <w:t>.</w:t>
      </w:r>
      <w:r>
        <w:rPr>
          <w:rFonts w:cs="Arial" w:hint="cs"/>
          <w:rtl/>
        </w:rPr>
        <w:t>..</w:t>
      </w:r>
      <w:r w:rsidRPr="004E4DB8">
        <w:rPr>
          <w:rFonts w:cs="Arial"/>
          <w:rtl/>
        </w:rPr>
        <w:t xml:space="preserve"> לא לאיש חזקה בנכסי אשתו, ולא לאשה חזקה בנכסי בעלה</w:t>
      </w:r>
      <w:r>
        <w:rPr>
          <w:rFonts w:cs="Arial" w:hint="cs"/>
          <w:rtl/>
        </w:rPr>
        <w:t xml:space="preserve">... </w:t>
      </w:r>
      <w:r w:rsidRPr="004E4DB8">
        <w:rPr>
          <w:rFonts w:cs="Arial"/>
          <w:rtl/>
        </w:rPr>
        <w:t xml:space="preserve"> </w:t>
      </w:r>
      <w:r>
        <w:rPr>
          <w:rFonts w:cs="Arial" w:hint="cs"/>
          <w:rtl/>
        </w:rPr>
        <w:t xml:space="preserve">  </w:t>
      </w:r>
      <w:r w:rsidRPr="004E4DB8">
        <w:rPr>
          <w:rFonts w:cs="Arial" w:hint="cs"/>
          <w:u w:val="double"/>
          <w:rtl/>
        </w:rPr>
        <w:t>גמ'</w:t>
      </w:r>
      <w:r>
        <w:rPr>
          <w:rFonts w:cs="Arial" w:hint="cs"/>
          <w:sz w:val="14"/>
          <w:szCs w:val="14"/>
          <w:u w:val="double"/>
          <w:rtl/>
        </w:rPr>
        <w:t>(מט:)</w:t>
      </w:r>
      <w:r w:rsidRPr="004E4DB8">
        <w:rPr>
          <w:rFonts w:cs="Arial" w:hint="cs"/>
          <w:u w:val="double"/>
          <w:rtl/>
        </w:rPr>
        <w:t>:</w:t>
      </w:r>
      <w:r w:rsidRPr="004E4DB8">
        <w:rPr>
          <w:rtl/>
        </w:rPr>
        <w:t xml:space="preserve"> </w:t>
      </w:r>
      <w:r w:rsidRPr="004E4DB8">
        <w:rPr>
          <w:rFonts w:cs="Arial"/>
          <w:rtl/>
        </w:rPr>
        <w:t>הא ראיה יש</w:t>
      </w:r>
      <w:r>
        <w:rPr>
          <w:rStyle w:val="a7"/>
          <w:rFonts w:cs="Arial"/>
          <w:rtl/>
        </w:rPr>
        <w:footnoteReference w:id="1357"/>
      </w:r>
      <w:r>
        <w:rPr>
          <w:rFonts w:cs="Arial" w:hint="cs"/>
          <w:rtl/>
        </w:rPr>
        <w:t>!</w:t>
      </w:r>
      <w:r w:rsidRPr="004E4DB8">
        <w:rPr>
          <w:rFonts w:cs="Arial"/>
          <w:rtl/>
        </w:rPr>
        <w:t xml:space="preserve"> תימא: נחת רוח עשיתי לבעלי</w:t>
      </w:r>
      <w:r>
        <w:rPr>
          <w:rStyle w:val="a7"/>
          <w:rFonts w:cs="Arial"/>
          <w:rtl/>
        </w:rPr>
        <w:footnoteReference w:id="1358"/>
      </w:r>
      <w:r>
        <w:rPr>
          <w:rFonts w:cs="Arial" w:hint="cs"/>
          <w:rtl/>
        </w:rPr>
        <w:t>,</w:t>
      </w:r>
      <w:r w:rsidRPr="004E4DB8">
        <w:rPr>
          <w:rFonts w:cs="Arial"/>
          <w:rtl/>
        </w:rPr>
        <w:t xml:space="preserve"> מי לא תנן</w:t>
      </w:r>
      <w:r>
        <w:rPr>
          <w:rStyle w:val="a7"/>
          <w:rFonts w:cs="Arial"/>
          <w:rtl/>
        </w:rPr>
        <w:footnoteReference w:id="1359"/>
      </w:r>
      <w:r w:rsidRPr="004E4DB8">
        <w:rPr>
          <w:rFonts w:cs="Arial"/>
          <w:rtl/>
        </w:rPr>
        <w:t>: לקח מן האיש</w:t>
      </w:r>
      <w:r>
        <w:rPr>
          <w:rStyle w:val="a7"/>
          <w:rFonts w:cs="Arial"/>
          <w:rtl/>
        </w:rPr>
        <w:footnoteReference w:id="1360"/>
      </w:r>
      <w:r w:rsidRPr="004E4DB8">
        <w:rPr>
          <w:rFonts w:cs="Arial"/>
          <w:rtl/>
        </w:rPr>
        <w:t xml:space="preserve"> וחזר</w:t>
      </w:r>
      <w:r>
        <w:rPr>
          <w:rStyle w:val="a7"/>
          <w:rFonts w:cs="Arial"/>
          <w:rtl/>
        </w:rPr>
        <w:footnoteReference w:id="1361"/>
      </w:r>
      <w:r w:rsidRPr="004E4DB8">
        <w:rPr>
          <w:rFonts w:cs="Arial"/>
          <w:rtl/>
        </w:rPr>
        <w:t xml:space="preserve"> ולקח מן האשה</w:t>
      </w:r>
      <w:r>
        <w:rPr>
          <w:rStyle w:val="a7"/>
          <w:rFonts w:cs="Arial"/>
          <w:rtl/>
        </w:rPr>
        <w:footnoteReference w:id="1362"/>
      </w:r>
      <w:r w:rsidRPr="004E4DB8">
        <w:rPr>
          <w:rFonts w:cs="Arial"/>
          <w:rtl/>
        </w:rPr>
        <w:t xml:space="preserve"> - מקחו </w:t>
      </w:r>
      <w:r w:rsidRPr="004E4DB8">
        <w:rPr>
          <w:rFonts w:cs="Arial"/>
          <w:rtl/>
        </w:rPr>
        <w:lastRenderedPageBreak/>
        <w:t>בטל</w:t>
      </w:r>
      <w:r>
        <w:rPr>
          <w:rStyle w:val="a7"/>
          <w:rFonts w:cs="Arial"/>
          <w:rtl/>
        </w:rPr>
        <w:footnoteReference w:id="1363"/>
      </w:r>
      <w:r w:rsidRPr="004E4DB8">
        <w:rPr>
          <w:rFonts w:cs="Arial"/>
          <w:rtl/>
        </w:rPr>
        <w:t>, אלמא אמרה: נחת רוח עשיתי לבעלי, הכא נמי תימא: נחת רוח עשיתי לבעלי! הא איתמר עלה, אמר רבה בר רב הונא: לא נצרכה</w:t>
      </w:r>
      <w:r>
        <w:rPr>
          <w:rStyle w:val="a7"/>
          <w:rFonts w:cs="Arial"/>
          <w:rtl/>
        </w:rPr>
        <w:footnoteReference w:id="1364"/>
      </w:r>
      <w:r w:rsidRPr="004E4DB8">
        <w:rPr>
          <w:rFonts w:cs="Arial"/>
          <w:rtl/>
        </w:rPr>
        <w:t xml:space="preserve"> אלא באותן ג' שדות, אחת שכתב לה בכתובתה</w:t>
      </w:r>
      <w:r>
        <w:rPr>
          <w:rStyle w:val="a7"/>
          <w:rFonts w:cs="Arial"/>
          <w:rtl/>
        </w:rPr>
        <w:footnoteReference w:id="1365"/>
      </w:r>
      <w:r w:rsidRPr="004E4DB8">
        <w:rPr>
          <w:rFonts w:cs="Arial"/>
          <w:rtl/>
        </w:rPr>
        <w:t>,</w:t>
      </w:r>
      <w:r>
        <w:rPr>
          <w:rFonts w:cs="Arial" w:hint="cs"/>
          <w:rtl/>
        </w:rPr>
        <w:t xml:space="preserve"> </w:t>
      </w:r>
      <w:r>
        <w:rPr>
          <w:rFonts w:cs="Arial" w:hint="cs"/>
          <w:sz w:val="14"/>
          <w:szCs w:val="14"/>
          <w:rtl/>
        </w:rPr>
        <w:t xml:space="preserve">(נ.) </w:t>
      </w:r>
      <w:r w:rsidRPr="004E4DB8">
        <w:rPr>
          <w:rFonts w:cs="Arial"/>
          <w:rtl/>
        </w:rPr>
        <w:t>ואחת שיחד לה בכתובתה</w:t>
      </w:r>
      <w:r>
        <w:rPr>
          <w:rStyle w:val="a7"/>
          <w:rFonts w:cs="Arial"/>
          <w:rtl/>
        </w:rPr>
        <w:footnoteReference w:id="1366"/>
      </w:r>
      <w:r w:rsidRPr="004E4DB8">
        <w:rPr>
          <w:rFonts w:cs="Arial"/>
          <w:rtl/>
        </w:rPr>
        <w:t>, ואחת שהכניסה לו שום משלה</w:t>
      </w:r>
      <w:r>
        <w:rPr>
          <w:rStyle w:val="a7"/>
          <w:rFonts w:cs="Arial"/>
          <w:rtl/>
        </w:rPr>
        <w:footnoteReference w:id="1367"/>
      </w:r>
      <w:r w:rsidRPr="004E4DB8">
        <w:rPr>
          <w:rFonts w:cs="Arial"/>
          <w:rtl/>
        </w:rPr>
        <w:t>. למעוטי מאי</w:t>
      </w:r>
      <w:r>
        <w:rPr>
          <w:rStyle w:val="a7"/>
          <w:rFonts w:cs="Arial"/>
          <w:rtl/>
        </w:rPr>
        <w:footnoteReference w:id="1368"/>
      </w:r>
      <w:r w:rsidRPr="004E4DB8">
        <w:rPr>
          <w:rFonts w:cs="Arial"/>
          <w:rtl/>
        </w:rPr>
        <w:t>? אילימא למעוטי שאר נכסים</w:t>
      </w:r>
      <w:r>
        <w:rPr>
          <w:rStyle w:val="a7"/>
          <w:rFonts w:cs="Arial"/>
          <w:rtl/>
        </w:rPr>
        <w:footnoteReference w:id="1369"/>
      </w:r>
      <w:r w:rsidRPr="004E4DB8">
        <w:rPr>
          <w:rFonts w:cs="Arial"/>
          <w:rtl/>
        </w:rPr>
        <w:t>, כל שכן</w:t>
      </w:r>
      <w:r>
        <w:rPr>
          <w:rStyle w:val="a7"/>
          <w:rFonts w:cs="Arial"/>
          <w:rtl/>
        </w:rPr>
        <w:footnoteReference w:id="1370"/>
      </w:r>
      <w:r w:rsidRPr="004E4DB8">
        <w:rPr>
          <w:rFonts w:cs="Arial"/>
          <w:rtl/>
        </w:rPr>
        <w:t xml:space="preserve"> דהויא ליה איבה, דאמר לה: עיניך נתת בגירושין ובמיתה! אלא למעוטי נכסי מלוג</w:t>
      </w:r>
      <w:r>
        <w:rPr>
          <w:rStyle w:val="a7"/>
          <w:rFonts w:cs="Arial"/>
          <w:rtl/>
        </w:rPr>
        <w:footnoteReference w:id="1371"/>
      </w:r>
      <w:r>
        <w:rPr>
          <w:rFonts w:cs="Arial" w:hint="cs"/>
          <w:rtl/>
        </w:rPr>
        <w:t>.</w:t>
      </w:r>
      <w:r w:rsidRPr="004E4DB8">
        <w:rPr>
          <w:rFonts w:cs="Arial"/>
          <w:rtl/>
        </w:rPr>
        <w:t xml:space="preserve"> </w:t>
      </w:r>
      <w:bookmarkEnd w:id="7"/>
      <w:r w:rsidRPr="004E4DB8">
        <w:rPr>
          <w:rFonts w:cs="Arial"/>
          <w:rtl/>
        </w:rPr>
        <w:t>האמר אמימר: איש ואשה שמכרו בנכסי מלוג - לא עשו ולא כלום! כי איתמר דאמימר - היכא דזבין איהו ומית, אתיא איהי ומפקא, א"נ זבנה איהי ומתה, אתא איהו ומפיק בתקנתא דרבנן, וכדר' יוסי בר חנינא, דאמר רבי יוסי בר חנינא: באושא התקינו, האשה שמכרה בנכסי מלוג ומתה - הבעל מוצא מיד הלקוחות</w:t>
      </w:r>
      <w:r>
        <w:rPr>
          <w:rFonts w:cs="Arial" w:hint="cs"/>
          <w:rtl/>
        </w:rPr>
        <w:t>.</w:t>
      </w:r>
      <w:r w:rsidRPr="004E4DB8">
        <w:rPr>
          <w:rFonts w:cs="Arial"/>
          <w:rtl/>
        </w:rPr>
        <w:t xml:space="preserve"> אבל היכא דזבינו תרוייהו לעלמא, א"נ זבנה איהי לדידיה - זבינה זביני.</w:t>
      </w:r>
      <w:r>
        <w:rPr>
          <w:rFonts w:cs="Arial" w:hint="cs"/>
          <w:rtl/>
        </w:rPr>
        <w:t xml:space="preserve"> </w:t>
      </w:r>
      <w:r w:rsidRPr="00A650C3">
        <w:rPr>
          <w:rFonts w:cs="Arial" w:hint="cs"/>
          <w:sz w:val="16"/>
          <w:szCs w:val="16"/>
          <w:rtl/>
        </w:rPr>
        <w:t>(</w:t>
      </w:r>
      <w:r w:rsidRPr="00A650C3">
        <w:rPr>
          <w:rFonts w:cs="Arial"/>
          <w:sz w:val="16"/>
          <w:szCs w:val="16"/>
          <w:rtl/>
        </w:rPr>
        <w:t>וז"ל הרי"ף (כז.) והרא"ש (סי' נג)</w:t>
      </w:r>
      <w:r w:rsidR="001D53BF">
        <w:rPr>
          <w:rFonts w:cs="Arial" w:hint="cs"/>
          <w:sz w:val="16"/>
          <w:szCs w:val="16"/>
          <w:rtl/>
        </w:rPr>
        <w:t>:</w:t>
      </w:r>
      <w:r w:rsidRPr="00A650C3">
        <w:rPr>
          <w:rFonts w:cs="Arial"/>
          <w:sz w:val="16"/>
          <w:szCs w:val="16"/>
          <w:rtl/>
        </w:rPr>
        <w:t xml:space="preserve"> אבל זבינו תרווייהו לעלמא</w:t>
      </w:r>
      <w:r w:rsidR="001D53BF">
        <w:rPr>
          <w:rFonts w:cs="Arial" w:hint="cs"/>
          <w:sz w:val="16"/>
          <w:szCs w:val="16"/>
          <w:rtl/>
        </w:rPr>
        <w:t>,</w:t>
      </w:r>
      <w:r w:rsidRPr="00A650C3">
        <w:rPr>
          <w:rFonts w:cs="Arial"/>
          <w:sz w:val="16"/>
          <w:szCs w:val="16"/>
          <w:rtl/>
        </w:rPr>
        <w:t xml:space="preserve"> לא שנא זבין איהו ברישא והדר זבינה איהי</w:t>
      </w:r>
      <w:r w:rsidR="00F91069">
        <w:rPr>
          <w:rFonts w:cs="Arial" w:hint="cs"/>
          <w:sz w:val="16"/>
          <w:szCs w:val="16"/>
          <w:rtl/>
        </w:rPr>
        <w:t>,</w:t>
      </w:r>
      <w:r w:rsidRPr="00A650C3">
        <w:rPr>
          <w:rFonts w:cs="Arial"/>
          <w:sz w:val="16"/>
          <w:szCs w:val="16"/>
          <w:rtl/>
        </w:rPr>
        <w:t xml:space="preserve"> ולא שנא זבינה איהי ברישא והדר זבין איהו</w:t>
      </w:r>
      <w:r w:rsidR="00F91069">
        <w:rPr>
          <w:rFonts w:cs="Arial" w:hint="cs"/>
          <w:sz w:val="16"/>
          <w:szCs w:val="16"/>
          <w:rtl/>
        </w:rPr>
        <w:t>,</w:t>
      </w:r>
      <w:r w:rsidRPr="00A650C3">
        <w:rPr>
          <w:rFonts w:cs="Arial"/>
          <w:sz w:val="16"/>
          <w:szCs w:val="16"/>
          <w:rtl/>
        </w:rPr>
        <w:t xml:space="preserve"> אי נמי זבנה איהי לדידיה </w:t>
      </w:r>
      <w:r w:rsidR="00F91069">
        <w:rPr>
          <w:rFonts w:cs="Arial" w:hint="cs"/>
          <w:sz w:val="16"/>
          <w:szCs w:val="16"/>
          <w:rtl/>
        </w:rPr>
        <w:t xml:space="preserve">- </w:t>
      </w:r>
      <w:r w:rsidRPr="00A650C3">
        <w:rPr>
          <w:rFonts w:cs="Arial"/>
          <w:sz w:val="16"/>
          <w:szCs w:val="16"/>
          <w:rtl/>
        </w:rPr>
        <w:t>זבינייהו זביני ולא יכלה למימר נחת רוח עשיתי לבעלי</w:t>
      </w:r>
      <w:r w:rsidR="00F91069">
        <w:rPr>
          <w:rFonts w:cs="Arial" w:hint="cs"/>
          <w:sz w:val="16"/>
          <w:szCs w:val="16"/>
          <w:rtl/>
        </w:rPr>
        <w:t>.</w:t>
      </w:r>
      <w:r w:rsidRPr="00A650C3">
        <w:rPr>
          <w:rFonts w:cs="Arial"/>
          <w:sz w:val="16"/>
          <w:szCs w:val="16"/>
          <w:rtl/>
        </w:rPr>
        <w:t xml:space="preserve"> אבל כל נכסי הבעל</w:t>
      </w:r>
      <w:r w:rsidR="00F91069">
        <w:rPr>
          <w:rFonts w:cs="Arial" w:hint="cs"/>
          <w:sz w:val="16"/>
          <w:szCs w:val="16"/>
          <w:rtl/>
        </w:rPr>
        <w:t>,</w:t>
      </w:r>
      <w:r w:rsidRPr="00A650C3">
        <w:rPr>
          <w:rFonts w:cs="Arial"/>
          <w:sz w:val="16"/>
          <w:szCs w:val="16"/>
          <w:rtl/>
        </w:rPr>
        <w:t xml:space="preserve"> בין נכסי צאן ברזל בין שאר נכסי הבעל</w:t>
      </w:r>
      <w:r w:rsidR="00F91069">
        <w:rPr>
          <w:rFonts w:cs="Arial" w:hint="cs"/>
          <w:sz w:val="16"/>
          <w:szCs w:val="16"/>
          <w:rtl/>
        </w:rPr>
        <w:t>,</w:t>
      </w:r>
      <w:r w:rsidRPr="00A650C3">
        <w:rPr>
          <w:rFonts w:cs="Arial"/>
          <w:sz w:val="16"/>
          <w:szCs w:val="16"/>
          <w:rtl/>
        </w:rPr>
        <w:t xml:space="preserve"> אם לקח מן האיש וחזר ולקח מן האשה </w:t>
      </w:r>
      <w:r w:rsidR="00F91069">
        <w:rPr>
          <w:rFonts w:cs="Arial" w:hint="cs"/>
          <w:sz w:val="16"/>
          <w:szCs w:val="16"/>
          <w:rtl/>
        </w:rPr>
        <w:t xml:space="preserve">- </w:t>
      </w:r>
      <w:r w:rsidRPr="00A650C3">
        <w:rPr>
          <w:rFonts w:cs="Arial"/>
          <w:sz w:val="16"/>
          <w:szCs w:val="16"/>
          <w:rtl/>
        </w:rPr>
        <w:t>בכולהו מציא למימר נחת רוח עשיתי לבעלי</w:t>
      </w:r>
      <w:r>
        <w:rPr>
          <w:rFonts w:cs="Arial" w:hint="cs"/>
          <w:sz w:val="16"/>
          <w:szCs w:val="16"/>
          <w:rtl/>
        </w:rPr>
        <w:t>, ב"י)</w:t>
      </w:r>
    </w:p>
    <w:p w14:paraId="1EC30DDD" w14:textId="7D0A81B2" w:rsidR="00763570" w:rsidRPr="00792F43" w:rsidRDefault="00792F43" w:rsidP="00763570">
      <w:pPr>
        <w:rPr>
          <w:u w:val="single"/>
          <w:rtl/>
        </w:rPr>
      </w:pPr>
      <w:r w:rsidRPr="00792F43">
        <w:rPr>
          <w:rFonts w:hint="cs"/>
          <w:u w:val="single"/>
          <w:rtl/>
        </w:rPr>
        <w:t xml:space="preserve">בעל ואשה שמכרו </w:t>
      </w:r>
      <w:r>
        <w:rPr>
          <w:rFonts w:hint="cs"/>
          <w:sz w:val="16"/>
          <w:szCs w:val="16"/>
          <w:u w:val="single"/>
          <w:rtl/>
        </w:rPr>
        <w:t>(יחד או בזה אחר זה)</w:t>
      </w:r>
      <w:r>
        <w:rPr>
          <w:rFonts w:hint="cs"/>
          <w:u w:val="single"/>
          <w:rtl/>
        </w:rPr>
        <w:t xml:space="preserve"> </w:t>
      </w:r>
      <w:r w:rsidRPr="00792F43">
        <w:rPr>
          <w:rFonts w:hint="cs"/>
          <w:u w:val="single"/>
          <w:rtl/>
        </w:rPr>
        <w:t>נכסי מלוג:</w:t>
      </w:r>
    </w:p>
    <w:p w14:paraId="41AB43BF" w14:textId="342752B6" w:rsidR="00253625" w:rsidRDefault="00B10002" w:rsidP="009000E3">
      <w:pPr>
        <w:pStyle w:val="ab"/>
        <w:numPr>
          <w:ilvl w:val="0"/>
          <w:numId w:val="55"/>
        </w:numPr>
        <w:rPr>
          <w:rFonts w:cs="Arial"/>
        </w:rPr>
      </w:pPr>
      <w:r>
        <w:rPr>
          <w:rFonts w:cs="Arial" w:hint="cs"/>
          <w:rtl/>
        </w:rPr>
        <w:t xml:space="preserve">רמב"ם </w:t>
      </w:r>
      <w:r>
        <w:rPr>
          <w:rFonts w:cs="Arial" w:hint="cs"/>
          <w:sz w:val="16"/>
          <w:szCs w:val="16"/>
          <w:rtl/>
        </w:rPr>
        <w:t>(פכ"ב מאישות הט"ז)</w:t>
      </w:r>
      <w:r>
        <w:rPr>
          <w:rFonts w:cs="Arial" w:hint="cs"/>
          <w:rtl/>
        </w:rPr>
        <w:t xml:space="preserve"> ו</w:t>
      </w:r>
      <w:r w:rsidR="008C513A" w:rsidRPr="008C513A">
        <w:rPr>
          <w:rFonts w:cs="Arial" w:hint="cs"/>
          <w:rtl/>
        </w:rPr>
        <w:t>טור</w:t>
      </w:r>
      <w:r>
        <w:rPr>
          <w:rStyle w:val="a7"/>
          <w:rFonts w:cs="Arial"/>
          <w:rtl/>
        </w:rPr>
        <w:footnoteReference w:id="1372"/>
      </w:r>
      <w:r w:rsidR="008C513A" w:rsidRPr="008C513A">
        <w:rPr>
          <w:rFonts w:cs="Arial" w:hint="cs"/>
          <w:rtl/>
        </w:rPr>
        <w:t xml:space="preserve">- </w:t>
      </w:r>
      <w:r w:rsidRPr="00B10002">
        <w:rPr>
          <w:rFonts w:cs="Arial"/>
          <w:rtl/>
        </w:rPr>
        <w:t>מכרו שניהם בנכסי מלוג</w:t>
      </w:r>
      <w:r w:rsidR="00F91069">
        <w:rPr>
          <w:rFonts w:cs="Arial" w:hint="cs"/>
          <w:rtl/>
        </w:rPr>
        <w:t>,</w:t>
      </w:r>
      <w:r w:rsidRPr="00B10002">
        <w:rPr>
          <w:rFonts w:cs="Arial"/>
          <w:rtl/>
        </w:rPr>
        <w:t xml:space="preserve"> בין שלקח מן האיש תחלה וחזר ולקח מן האשה</w:t>
      </w:r>
      <w:r w:rsidR="00F91069">
        <w:rPr>
          <w:rFonts w:cs="Arial" w:hint="cs"/>
          <w:rtl/>
        </w:rPr>
        <w:t>,</w:t>
      </w:r>
      <w:r w:rsidRPr="00B10002">
        <w:rPr>
          <w:rFonts w:cs="Arial"/>
          <w:rtl/>
        </w:rPr>
        <w:t xml:space="preserve"> בין שלקח מן האשה וחזר ולקח מן האיש </w:t>
      </w:r>
      <w:r w:rsidR="003F2FF0">
        <w:rPr>
          <w:rFonts w:cs="Arial" w:hint="cs"/>
          <w:rtl/>
        </w:rPr>
        <w:t xml:space="preserve">- </w:t>
      </w:r>
      <w:r w:rsidRPr="00B10002">
        <w:rPr>
          <w:rFonts w:cs="Arial"/>
          <w:rtl/>
        </w:rPr>
        <w:t>מכרן קיים</w:t>
      </w:r>
      <w:r w:rsidR="005F7941">
        <w:rPr>
          <w:rFonts w:cs="Arial" w:hint="cs"/>
          <w:sz w:val="16"/>
          <w:szCs w:val="16"/>
          <w:rtl/>
        </w:rPr>
        <w:t xml:space="preserve"> (ל' הרמב"ם)</w:t>
      </w:r>
      <w:r w:rsidRPr="00B10002">
        <w:rPr>
          <w:rFonts w:cs="Arial"/>
          <w:rtl/>
        </w:rPr>
        <w:t xml:space="preserve">. </w:t>
      </w:r>
      <w:r w:rsidR="002926CA" w:rsidRPr="00763570">
        <w:rPr>
          <w:rFonts w:cs="Arial" w:hint="cs"/>
          <w:color w:val="E36C0A" w:themeColor="accent6" w:themeShade="BF"/>
          <w:rtl/>
        </w:rPr>
        <w:t>(וכ"פ בשו"ע)</w:t>
      </w:r>
    </w:p>
    <w:p w14:paraId="225BDCB9" w14:textId="4F68EFF6" w:rsidR="00253625" w:rsidRPr="00253625" w:rsidRDefault="00253625" w:rsidP="00253625">
      <w:pPr>
        <w:rPr>
          <w:rFonts w:cs="Arial"/>
        </w:rPr>
      </w:pPr>
      <w:r w:rsidRPr="00792F43">
        <w:rPr>
          <w:rFonts w:hint="cs"/>
          <w:u w:val="single"/>
          <w:rtl/>
        </w:rPr>
        <w:t xml:space="preserve">בעל ואשה שמכרו </w:t>
      </w:r>
      <w:r>
        <w:rPr>
          <w:rFonts w:hint="cs"/>
          <w:sz w:val="16"/>
          <w:szCs w:val="16"/>
          <w:u w:val="single"/>
          <w:rtl/>
        </w:rPr>
        <w:t>(יחד או בזה אחר זה)</w:t>
      </w:r>
      <w:r>
        <w:rPr>
          <w:rFonts w:hint="cs"/>
          <w:u w:val="single"/>
          <w:rtl/>
        </w:rPr>
        <w:t xml:space="preserve"> </w:t>
      </w:r>
      <w:r w:rsidRPr="00792F43">
        <w:rPr>
          <w:rFonts w:hint="cs"/>
          <w:u w:val="single"/>
          <w:rtl/>
        </w:rPr>
        <w:t xml:space="preserve">נכסי </w:t>
      </w:r>
      <w:r>
        <w:rPr>
          <w:rFonts w:hint="cs"/>
          <w:u w:val="single"/>
          <w:rtl/>
        </w:rPr>
        <w:t>צאן ברזל</w:t>
      </w:r>
      <w:r w:rsidRPr="00792F43">
        <w:rPr>
          <w:rFonts w:hint="cs"/>
          <w:u w:val="single"/>
          <w:rtl/>
        </w:rPr>
        <w:t>:</w:t>
      </w:r>
    </w:p>
    <w:p w14:paraId="68E4B2C5" w14:textId="74F2D90E" w:rsidR="00A303DC" w:rsidRDefault="008472CD" w:rsidP="009000E3">
      <w:pPr>
        <w:pStyle w:val="ab"/>
        <w:numPr>
          <w:ilvl w:val="0"/>
          <w:numId w:val="55"/>
        </w:numPr>
        <w:rPr>
          <w:rFonts w:cs="Arial"/>
        </w:rPr>
      </w:pPr>
      <w:bookmarkStart w:id="8" w:name="_Hlk69730147"/>
      <w:r w:rsidRPr="00FC05BD">
        <w:rPr>
          <w:rFonts w:cs="Arial"/>
          <w:rtl/>
        </w:rPr>
        <w:t>רמב"ם</w:t>
      </w:r>
      <w:r w:rsidRPr="00FC05BD">
        <w:rPr>
          <w:rStyle w:val="a7"/>
          <w:rFonts w:cs="Arial"/>
          <w:rtl/>
        </w:rPr>
        <w:footnoteReference w:id="1373"/>
      </w:r>
      <w:r w:rsidRPr="00FC05BD">
        <w:rPr>
          <w:rFonts w:cs="Arial"/>
          <w:rtl/>
        </w:rPr>
        <w:t xml:space="preserve"> </w:t>
      </w:r>
      <w:r w:rsidRPr="00FC05BD">
        <w:rPr>
          <w:rFonts w:cs="Arial" w:hint="cs"/>
          <w:sz w:val="16"/>
          <w:szCs w:val="16"/>
          <w:rtl/>
        </w:rPr>
        <w:t>(</w:t>
      </w:r>
      <w:r w:rsidRPr="00FC05BD">
        <w:rPr>
          <w:rFonts w:cs="Arial"/>
          <w:sz w:val="16"/>
          <w:szCs w:val="16"/>
          <w:rtl/>
        </w:rPr>
        <w:t>פי"ז מאישות הי"א)</w:t>
      </w:r>
      <w:r w:rsidRPr="00FC05BD">
        <w:rPr>
          <w:rFonts w:cs="Arial" w:hint="cs"/>
          <w:rtl/>
        </w:rPr>
        <w:t xml:space="preserve"> ו</w:t>
      </w:r>
      <w:r w:rsidR="00253625" w:rsidRPr="00FC05BD">
        <w:rPr>
          <w:rFonts w:cs="Arial" w:hint="cs"/>
          <w:rtl/>
        </w:rPr>
        <w:t xml:space="preserve">טור- </w:t>
      </w:r>
      <w:bookmarkEnd w:id="8"/>
      <w:r w:rsidR="008C513A" w:rsidRPr="00FC05BD">
        <w:rPr>
          <w:rFonts w:cs="Arial"/>
          <w:rtl/>
        </w:rPr>
        <w:t>אבל בנכסי צאן ברזל ובשאר כל נכסי הבעל</w:t>
      </w:r>
      <w:r w:rsidR="00792F43" w:rsidRPr="00FC05BD">
        <w:rPr>
          <w:rFonts w:cs="Arial" w:hint="cs"/>
          <w:rtl/>
        </w:rPr>
        <w:t>,</w:t>
      </w:r>
      <w:r w:rsidR="008C513A" w:rsidRPr="00FC05BD">
        <w:rPr>
          <w:rFonts w:cs="Arial"/>
          <w:rtl/>
        </w:rPr>
        <w:t xml:space="preserve"> אם לקח מהאשה ואח"כ מהאיש </w:t>
      </w:r>
      <w:r w:rsidR="00792F43" w:rsidRPr="00FC05BD">
        <w:rPr>
          <w:rFonts w:cs="Arial" w:hint="cs"/>
          <w:rtl/>
        </w:rPr>
        <w:t xml:space="preserve">- </w:t>
      </w:r>
      <w:r w:rsidR="008C513A" w:rsidRPr="008C513A">
        <w:rPr>
          <w:rFonts w:cs="Arial"/>
          <w:rtl/>
        </w:rPr>
        <w:t>המכר קיים</w:t>
      </w:r>
      <w:r w:rsidR="00792F43">
        <w:rPr>
          <w:rFonts w:cs="Arial" w:hint="cs"/>
          <w:rtl/>
        </w:rPr>
        <w:t>.</w:t>
      </w:r>
      <w:r w:rsidR="008C513A" w:rsidRPr="008C513A">
        <w:rPr>
          <w:rFonts w:cs="Arial"/>
          <w:rtl/>
        </w:rPr>
        <w:t xml:space="preserve"> אבל אם לקח מהאיש ואחר כך מהאשה</w:t>
      </w:r>
      <w:r w:rsidR="00792F43">
        <w:rPr>
          <w:rFonts w:cs="Arial" w:hint="cs"/>
          <w:rtl/>
        </w:rPr>
        <w:t>,</w:t>
      </w:r>
      <w:r w:rsidR="008C513A" w:rsidRPr="008C513A">
        <w:rPr>
          <w:rFonts w:cs="Arial"/>
          <w:rtl/>
        </w:rPr>
        <w:t xml:space="preserve"> או שמכרו שניהם ביחד </w:t>
      </w:r>
      <w:r w:rsidR="00792F43">
        <w:rPr>
          <w:rFonts w:cs="Arial" w:hint="cs"/>
          <w:rtl/>
        </w:rPr>
        <w:t xml:space="preserve">- </w:t>
      </w:r>
      <w:r w:rsidR="008C513A" w:rsidRPr="008C513A">
        <w:rPr>
          <w:rFonts w:cs="Arial"/>
          <w:rtl/>
        </w:rPr>
        <w:t>המכר בטל</w:t>
      </w:r>
      <w:r w:rsidR="00792F43">
        <w:rPr>
          <w:rFonts w:cs="Arial" w:hint="cs"/>
          <w:rtl/>
        </w:rPr>
        <w:t>,</w:t>
      </w:r>
      <w:r w:rsidR="008C513A" w:rsidRPr="008C513A">
        <w:rPr>
          <w:rFonts w:cs="Arial"/>
          <w:rtl/>
        </w:rPr>
        <w:t xml:space="preserve"> מפני שיכולה לומר נחת רוח עשיתי לבעלי</w:t>
      </w:r>
      <w:r>
        <w:rPr>
          <w:rStyle w:val="a7"/>
          <w:rFonts w:cs="Arial"/>
          <w:rtl/>
        </w:rPr>
        <w:footnoteReference w:id="1374"/>
      </w:r>
      <w:r>
        <w:rPr>
          <w:rFonts w:cs="Arial" w:hint="cs"/>
          <w:sz w:val="16"/>
          <w:szCs w:val="16"/>
          <w:rtl/>
        </w:rPr>
        <w:t xml:space="preserve"> (ל' הטור)</w:t>
      </w:r>
      <w:r w:rsidR="00792F43">
        <w:rPr>
          <w:rFonts w:cs="Arial" w:hint="cs"/>
          <w:rtl/>
        </w:rPr>
        <w:t>.</w:t>
      </w:r>
      <w:r w:rsidR="008C513A" w:rsidRPr="008C513A">
        <w:rPr>
          <w:rFonts w:cs="Arial"/>
          <w:rtl/>
        </w:rPr>
        <w:t xml:space="preserve"> </w:t>
      </w:r>
      <w:r w:rsidR="002926CA" w:rsidRPr="00763570">
        <w:rPr>
          <w:rFonts w:cs="Arial" w:hint="cs"/>
          <w:color w:val="E36C0A" w:themeColor="accent6" w:themeShade="BF"/>
          <w:rtl/>
        </w:rPr>
        <w:t>(וכ"פ בשו"ע)</w:t>
      </w:r>
    </w:p>
    <w:p w14:paraId="42451E41" w14:textId="42CB434B" w:rsidR="007C1187" w:rsidRPr="005F7941" w:rsidRDefault="007C1187" w:rsidP="007C1187">
      <w:pPr>
        <w:ind w:left="360"/>
        <w:rPr>
          <w:rFonts w:cs="Arial"/>
          <w:u w:val="dotted"/>
        </w:rPr>
      </w:pPr>
      <w:r w:rsidRPr="005F7941">
        <w:rPr>
          <w:rFonts w:cs="Arial" w:hint="cs"/>
          <w:u w:val="dotted"/>
          <w:rtl/>
        </w:rPr>
        <w:t xml:space="preserve">ומה הדין אם </w:t>
      </w:r>
      <w:r w:rsidR="003564ED">
        <w:rPr>
          <w:rFonts w:cs="Arial" w:hint="cs"/>
          <w:u w:val="dotted"/>
          <w:rtl/>
        </w:rPr>
        <w:t>תחילה קנה מהאיש ואח"כ מהאישה ונתן לה את המעות</w:t>
      </w:r>
      <w:r w:rsidRPr="005F7941">
        <w:rPr>
          <w:rFonts w:cs="Arial" w:hint="cs"/>
          <w:u w:val="dotted"/>
          <w:rtl/>
        </w:rPr>
        <w:t>:</w:t>
      </w:r>
    </w:p>
    <w:p w14:paraId="297D6A68" w14:textId="5468FB64" w:rsidR="007C1187" w:rsidRPr="007C1187" w:rsidRDefault="007C1187" w:rsidP="009000E3">
      <w:pPr>
        <w:pStyle w:val="ab"/>
        <w:numPr>
          <w:ilvl w:val="0"/>
          <w:numId w:val="55"/>
        </w:numPr>
        <w:rPr>
          <w:rFonts w:cs="Arial"/>
          <w:rtl/>
        </w:rPr>
      </w:pPr>
      <w:r w:rsidRPr="005F7941">
        <w:rPr>
          <w:rFonts w:cs="Arial" w:hint="cs"/>
          <w:rtl/>
        </w:rPr>
        <w:t xml:space="preserve">רי"ו </w:t>
      </w:r>
      <w:r w:rsidRPr="005F7941">
        <w:rPr>
          <w:rFonts w:cs="Arial" w:hint="cs"/>
          <w:sz w:val="16"/>
          <w:szCs w:val="16"/>
          <w:rtl/>
        </w:rPr>
        <w:t>(</w:t>
      </w:r>
      <w:r w:rsidRPr="005F7941">
        <w:rPr>
          <w:rFonts w:cs="Arial"/>
          <w:sz w:val="16"/>
          <w:szCs w:val="16"/>
          <w:rtl/>
        </w:rPr>
        <w:t>מישרים נכ"ג ח"י סג ע"ג)</w:t>
      </w:r>
      <w:r w:rsidR="00AF1901">
        <w:rPr>
          <w:rFonts w:cs="Arial" w:hint="cs"/>
          <w:rtl/>
        </w:rPr>
        <w:t>-</w:t>
      </w:r>
      <w:r w:rsidRPr="005F7941">
        <w:rPr>
          <w:rFonts w:cs="Arial"/>
          <w:rtl/>
        </w:rPr>
        <w:t xml:space="preserve"> אם קיבלה מעות כשחזר ולקח מן האשה </w:t>
      </w:r>
      <w:r w:rsidR="00AF1901">
        <w:rPr>
          <w:rFonts w:cs="Arial" w:hint="cs"/>
          <w:rtl/>
        </w:rPr>
        <w:t xml:space="preserve">- </w:t>
      </w:r>
      <w:r w:rsidRPr="005F7941">
        <w:rPr>
          <w:rFonts w:cs="Arial"/>
          <w:rtl/>
        </w:rPr>
        <w:t>המקח קיים בכל ענין</w:t>
      </w:r>
      <w:r w:rsidR="003564ED">
        <w:rPr>
          <w:rFonts w:cs="Arial" w:hint="cs"/>
          <w:rtl/>
        </w:rPr>
        <w:t>,</w:t>
      </w:r>
      <w:r w:rsidRPr="005F7941">
        <w:rPr>
          <w:rFonts w:cs="Arial"/>
          <w:rtl/>
        </w:rPr>
        <w:t xml:space="preserve"> דאגב זוזי גמרה ומקנה</w:t>
      </w:r>
      <w:r>
        <w:rPr>
          <w:rStyle w:val="a7"/>
          <w:rFonts w:cs="Arial"/>
          <w:rtl/>
        </w:rPr>
        <w:footnoteReference w:id="1375"/>
      </w:r>
      <w:r w:rsidRPr="005F7941">
        <w:rPr>
          <w:rFonts w:cs="Arial" w:hint="cs"/>
          <w:rtl/>
        </w:rPr>
        <w:t>.</w:t>
      </w:r>
      <w:r w:rsidR="00741D85">
        <w:rPr>
          <w:rFonts w:cs="Arial" w:hint="cs"/>
          <w:rtl/>
        </w:rPr>
        <w:t xml:space="preserve"> </w:t>
      </w:r>
      <w:r w:rsidR="00741D85" w:rsidRPr="00741D85">
        <w:rPr>
          <w:rFonts w:cs="Arial" w:hint="cs"/>
          <w:color w:val="00B0F0"/>
          <w:rtl/>
        </w:rPr>
        <w:t>(וכ"פ הרמ"א</w:t>
      </w:r>
      <w:r w:rsidR="00741D85" w:rsidRPr="00741D85">
        <w:rPr>
          <w:rFonts w:cs="Arial" w:hint="cs"/>
          <w:color w:val="00B0F0"/>
          <w:sz w:val="16"/>
          <w:szCs w:val="16"/>
          <w:rtl/>
        </w:rPr>
        <w:t xml:space="preserve"> </w:t>
      </w:r>
      <w:r w:rsidR="00741D85">
        <w:rPr>
          <w:rFonts w:cs="Arial" w:hint="cs"/>
          <w:sz w:val="16"/>
          <w:szCs w:val="16"/>
          <w:rtl/>
        </w:rPr>
        <w:t>[בסע' יז]</w:t>
      </w:r>
      <w:r w:rsidR="00741D85" w:rsidRPr="00741D85">
        <w:rPr>
          <w:rFonts w:cs="Arial" w:hint="cs"/>
          <w:color w:val="00B0F0"/>
          <w:rtl/>
        </w:rPr>
        <w:t>)</w:t>
      </w:r>
      <w:r w:rsidR="00741D85">
        <w:rPr>
          <w:rFonts w:cs="Arial" w:hint="cs"/>
          <w:rtl/>
        </w:rPr>
        <w:t xml:space="preserve"> </w:t>
      </w:r>
    </w:p>
    <w:p w14:paraId="379163CB" w14:textId="37077455" w:rsidR="007C1187" w:rsidRPr="005921AF" w:rsidRDefault="007C1187" w:rsidP="007C1187">
      <w:pPr>
        <w:ind w:left="360"/>
        <w:rPr>
          <w:rFonts w:cs="Arial"/>
          <w:u w:val="dotted"/>
        </w:rPr>
      </w:pPr>
      <w:r w:rsidRPr="005921AF">
        <w:rPr>
          <w:rFonts w:cs="Arial" w:hint="cs"/>
          <w:u w:val="dotted"/>
          <w:rtl/>
        </w:rPr>
        <w:t xml:space="preserve">במקרה שהמקח בטל </w:t>
      </w:r>
      <w:r w:rsidR="00F97626">
        <w:rPr>
          <w:rFonts w:cs="Arial"/>
          <w:u w:val="dotted"/>
          <w:rtl/>
        </w:rPr>
        <w:t>-</w:t>
      </w:r>
      <w:r w:rsidRPr="005921AF">
        <w:rPr>
          <w:rFonts w:cs="Arial" w:hint="cs"/>
          <w:u w:val="dotted"/>
          <w:rtl/>
        </w:rPr>
        <w:t xml:space="preserve"> האם יש ללוקח לפחות פירות:</w:t>
      </w:r>
    </w:p>
    <w:p w14:paraId="5FAE33F7" w14:textId="2DF84845" w:rsidR="007C1187" w:rsidRPr="008472CD" w:rsidRDefault="007C1187" w:rsidP="009000E3">
      <w:pPr>
        <w:pStyle w:val="ab"/>
        <w:numPr>
          <w:ilvl w:val="0"/>
          <w:numId w:val="55"/>
        </w:numPr>
        <w:rPr>
          <w:rFonts w:cs="Arial"/>
          <w:rtl/>
        </w:rPr>
      </w:pPr>
      <w:r w:rsidRPr="008472CD">
        <w:rPr>
          <w:rFonts w:cs="Arial"/>
          <w:rtl/>
        </w:rPr>
        <w:t xml:space="preserve">רשב"א </w:t>
      </w:r>
      <w:r w:rsidRPr="008472CD">
        <w:rPr>
          <w:rFonts w:cs="Arial"/>
          <w:sz w:val="16"/>
          <w:szCs w:val="16"/>
          <w:rtl/>
        </w:rPr>
        <w:t>(ב"ב מט: ד"ה הא דאמרינן</w:t>
      </w:r>
      <w:r w:rsidRPr="008472CD">
        <w:rPr>
          <w:rFonts w:cs="Arial" w:hint="cs"/>
          <w:sz w:val="16"/>
          <w:szCs w:val="16"/>
          <w:rtl/>
        </w:rPr>
        <w:t>, הביאו הה"מ [פ"ל מהל' מכירה ה"ג]</w:t>
      </w:r>
      <w:r w:rsidRPr="008472CD">
        <w:rPr>
          <w:rFonts w:cs="Arial"/>
          <w:sz w:val="16"/>
          <w:szCs w:val="16"/>
          <w:rtl/>
        </w:rPr>
        <w:t>)</w:t>
      </w:r>
      <w:r>
        <w:rPr>
          <w:rFonts w:cs="Arial" w:hint="cs"/>
          <w:rtl/>
        </w:rPr>
        <w:t xml:space="preserve">- </w:t>
      </w:r>
      <w:r w:rsidRPr="005921AF">
        <w:rPr>
          <w:rFonts w:cs="Arial"/>
          <w:rtl/>
        </w:rPr>
        <w:t xml:space="preserve">ומיהו אם מכרו הבעל לפירות בלבד </w:t>
      </w:r>
      <w:r w:rsidR="00AF1901">
        <w:rPr>
          <w:rFonts w:cs="Arial" w:hint="cs"/>
          <w:rtl/>
        </w:rPr>
        <w:t xml:space="preserve">- </w:t>
      </w:r>
      <w:r w:rsidRPr="005921AF">
        <w:rPr>
          <w:rFonts w:cs="Arial"/>
          <w:rtl/>
        </w:rPr>
        <w:t>הרשות בידו, דפירות שלו הן לגמרי</w:t>
      </w:r>
      <w:r w:rsidR="00AF1901">
        <w:rPr>
          <w:rFonts w:cs="Arial" w:hint="cs"/>
          <w:rtl/>
        </w:rPr>
        <w:t>.</w:t>
      </w:r>
      <w:r w:rsidRPr="005921AF">
        <w:rPr>
          <w:rFonts w:cs="Arial"/>
          <w:rtl/>
        </w:rPr>
        <w:t xml:space="preserve"> אבל כשמכר גוף ופירות, אפי' אמר לוקח הניחו לי ואוכל פירות כל ימי הבעל </w:t>
      </w:r>
      <w:r w:rsidR="00AF1901">
        <w:rPr>
          <w:rFonts w:cs="Arial" w:hint="cs"/>
          <w:rtl/>
        </w:rPr>
        <w:t xml:space="preserve">- </w:t>
      </w:r>
      <w:r w:rsidRPr="005921AF">
        <w:rPr>
          <w:rFonts w:cs="Arial"/>
          <w:rtl/>
        </w:rPr>
        <w:t>אין שומעין לו, שהבעל לא לפירות מכר לו אלא גוף ופירות ומקח אחד הוא, וכיון שבטל מקחו בגוף ואין הפירות אלא מצד מקח הקרקע הכל בטל, ואפי' פירות אינו אוכל</w:t>
      </w:r>
      <w:r w:rsidRPr="008472CD">
        <w:rPr>
          <w:rFonts w:cs="Arial"/>
          <w:rtl/>
        </w:rPr>
        <w:t xml:space="preserve">. </w:t>
      </w:r>
    </w:p>
    <w:p w14:paraId="445D35D5" w14:textId="4669FDB7" w:rsidR="00253625" w:rsidRPr="00253625" w:rsidRDefault="00253625" w:rsidP="00253625">
      <w:pPr>
        <w:rPr>
          <w:rFonts w:cs="Arial"/>
          <w:u w:val="single"/>
        </w:rPr>
      </w:pPr>
      <w:r w:rsidRPr="00253625">
        <w:rPr>
          <w:rFonts w:cs="Arial" w:hint="cs"/>
          <w:u w:val="single"/>
          <w:rtl/>
        </w:rPr>
        <w:t>אשה שמכרה/נתנה לבעלה נ</w:t>
      </w:r>
      <w:r w:rsidR="00B10002">
        <w:rPr>
          <w:rFonts w:cs="Arial" w:hint="cs"/>
          <w:u w:val="single"/>
          <w:rtl/>
        </w:rPr>
        <w:t>כסים</w:t>
      </w:r>
      <w:r w:rsidRPr="00253625">
        <w:rPr>
          <w:rFonts w:cs="Arial" w:hint="cs"/>
          <w:u w:val="single"/>
          <w:rtl/>
        </w:rPr>
        <w:t>:</w:t>
      </w:r>
    </w:p>
    <w:p w14:paraId="654D0598" w14:textId="023B8AC0" w:rsidR="008472CD" w:rsidRPr="00B10002" w:rsidRDefault="00B10002" w:rsidP="009000E3">
      <w:pPr>
        <w:pStyle w:val="ab"/>
        <w:numPr>
          <w:ilvl w:val="0"/>
          <w:numId w:val="55"/>
        </w:numPr>
        <w:rPr>
          <w:rFonts w:cs="Arial"/>
        </w:rPr>
      </w:pPr>
      <w:r>
        <w:rPr>
          <w:rFonts w:cs="Arial" w:hint="cs"/>
          <w:rtl/>
        </w:rPr>
        <w:t>רמב"ם</w:t>
      </w:r>
      <w:r>
        <w:rPr>
          <w:rStyle w:val="a7"/>
          <w:rFonts w:cs="Arial"/>
          <w:rtl/>
        </w:rPr>
        <w:footnoteReference w:id="1376"/>
      </w:r>
      <w:r>
        <w:rPr>
          <w:rFonts w:cs="Arial" w:hint="cs"/>
          <w:rtl/>
        </w:rPr>
        <w:t xml:space="preserve"> </w:t>
      </w:r>
      <w:r>
        <w:rPr>
          <w:rFonts w:cs="Arial" w:hint="cs"/>
          <w:sz w:val="16"/>
          <w:szCs w:val="16"/>
          <w:rtl/>
        </w:rPr>
        <w:t>(פכ"ב מאישות הי</w:t>
      </w:r>
      <w:r w:rsidRPr="00B10002">
        <w:rPr>
          <w:rFonts w:cs="Arial" w:hint="cs"/>
          <w:sz w:val="16"/>
          <w:szCs w:val="16"/>
          <w:rtl/>
        </w:rPr>
        <w:t>"ז)</w:t>
      </w:r>
      <w:r w:rsidRPr="00B10002">
        <w:rPr>
          <w:rFonts w:cs="Arial" w:hint="cs"/>
          <w:rtl/>
        </w:rPr>
        <w:t xml:space="preserve"> וטור</w:t>
      </w:r>
      <w:r w:rsidR="00253625" w:rsidRPr="00B10002">
        <w:rPr>
          <w:rFonts w:cs="Arial" w:hint="cs"/>
          <w:rtl/>
        </w:rPr>
        <w:t xml:space="preserve">- </w:t>
      </w:r>
      <w:r w:rsidR="008C513A" w:rsidRPr="00B10002">
        <w:rPr>
          <w:rFonts w:cs="Arial"/>
          <w:rtl/>
        </w:rPr>
        <w:t xml:space="preserve">וכ"ש אם מכרה או נתנה לבעלה מנכסי צאן ברזל </w:t>
      </w:r>
      <w:r w:rsidR="00792F43" w:rsidRPr="00B10002">
        <w:rPr>
          <w:rFonts w:cs="Arial" w:hint="cs"/>
          <w:rtl/>
        </w:rPr>
        <w:t xml:space="preserve">- </w:t>
      </w:r>
      <w:r w:rsidR="008C513A" w:rsidRPr="00B10002">
        <w:rPr>
          <w:rFonts w:cs="Arial"/>
          <w:rtl/>
        </w:rPr>
        <w:t>שאינה כלום</w:t>
      </w:r>
      <w:r w:rsidR="00792F43" w:rsidRPr="00B10002">
        <w:rPr>
          <w:rFonts w:cs="Arial" w:hint="cs"/>
          <w:rtl/>
        </w:rPr>
        <w:t>,</w:t>
      </w:r>
      <w:r w:rsidR="008C513A" w:rsidRPr="00B10002">
        <w:rPr>
          <w:rFonts w:cs="Arial"/>
          <w:rtl/>
        </w:rPr>
        <w:t xml:space="preserve"> שיכולה לומר מפני נחת רוח עשיתיו</w:t>
      </w:r>
      <w:r w:rsidR="00792F43" w:rsidRPr="00B10002">
        <w:rPr>
          <w:rFonts w:cs="Arial" w:hint="cs"/>
          <w:rtl/>
        </w:rPr>
        <w:t>.</w:t>
      </w:r>
      <w:r w:rsidR="008C513A" w:rsidRPr="00B10002">
        <w:rPr>
          <w:rFonts w:cs="Arial"/>
          <w:rtl/>
        </w:rPr>
        <w:t xml:space="preserve"> אבל אם מכרה או נתנה לו מנכסי מלוג שלה </w:t>
      </w:r>
      <w:r w:rsidR="00F97626">
        <w:rPr>
          <w:rFonts w:cs="Arial"/>
          <w:rtl/>
        </w:rPr>
        <w:t>-</w:t>
      </w:r>
      <w:r w:rsidR="00792F43" w:rsidRPr="00B10002">
        <w:rPr>
          <w:rFonts w:cs="Arial" w:hint="cs"/>
          <w:rtl/>
        </w:rPr>
        <w:t xml:space="preserve"> </w:t>
      </w:r>
      <w:r w:rsidR="008C513A" w:rsidRPr="00B10002">
        <w:rPr>
          <w:rFonts w:cs="Arial"/>
          <w:rtl/>
        </w:rPr>
        <w:t>קיים</w:t>
      </w:r>
      <w:r w:rsidR="00AF1901">
        <w:rPr>
          <w:rFonts w:cs="Arial" w:hint="cs"/>
          <w:sz w:val="16"/>
          <w:szCs w:val="16"/>
          <w:rtl/>
        </w:rPr>
        <w:t xml:space="preserve"> (ל' הטור)</w:t>
      </w:r>
      <w:r w:rsidR="00763570" w:rsidRPr="00B10002">
        <w:rPr>
          <w:rFonts w:cs="Arial" w:hint="cs"/>
          <w:rtl/>
        </w:rPr>
        <w:t>.</w:t>
      </w:r>
      <w:r w:rsidR="00657A0D" w:rsidRPr="00657A0D">
        <w:rPr>
          <w:rFonts w:cs="Arial" w:hint="cs"/>
          <w:color w:val="E36C0A" w:themeColor="accent6" w:themeShade="BF"/>
          <w:rtl/>
        </w:rPr>
        <w:t xml:space="preserve"> </w:t>
      </w:r>
      <w:r w:rsidR="00657A0D" w:rsidRPr="00763570">
        <w:rPr>
          <w:rFonts w:cs="Arial" w:hint="cs"/>
          <w:color w:val="E36C0A" w:themeColor="accent6" w:themeShade="BF"/>
          <w:rtl/>
        </w:rPr>
        <w:t>(וכ"פ בשו"ע)</w:t>
      </w:r>
    </w:p>
    <w:p w14:paraId="3D619779" w14:textId="1EDA1426" w:rsidR="005921AF" w:rsidRPr="005921AF" w:rsidRDefault="00D0315E" w:rsidP="008B78CF">
      <w:pPr>
        <w:rPr>
          <w:rFonts w:cs="Arial"/>
          <w:u w:val="single"/>
          <w:rtl/>
        </w:rPr>
      </w:pPr>
      <w:r>
        <w:rPr>
          <w:rFonts w:cs="Arial" w:hint="cs"/>
          <w:u w:val="single"/>
          <w:rtl/>
        </w:rPr>
        <w:lastRenderedPageBreak/>
        <w:t xml:space="preserve">סיכום </w:t>
      </w:r>
      <w:r w:rsidR="005921AF" w:rsidRPr="005921AF">
        <w:rPr>
          <w:rFonts w:cs="Arial"/>
          <w:u w:val="single"/>
          <w:rtl/>
        </w:rPr>
        <w:t>מכירת הבעל</w:t>
      </w:r>
      <w:r>
        <w:rPr>
          <w:rFonts w:cs="Arial" w:hint="cs"/>
          <w:u w:val="single"/>
          <w:rtl/>
        </w:rPr>
        <w:t xml:space="preserve"> לשלשה </w:t>
      </w:r>
      <w:r w:rsidR="00FC05BD">
        <w:rPr>
          <w:rFonts w:cs="Arial" w:hint="cs"/>
          <w:u w:val="single"/>
          <w:rtl/>
        </w:rPr>
        <w:t>דינ</w:t>
      </w:r>
      <w:r>
        <w:rPr>
          <w:rFonts w:cs="Arial" w:hint="cs"/>
          <w:u w:val="single"/>
          <w:rtl/>
        </w:rPr>
        <w:t>ים</w:t>
      </w:r>
      <w:r w:rsidR="005921AF">
        <w:rPr>
          <w:rFonts w:cs="Arial" w:hint="cs"/>
          <w:u w:val="single"/>
          <w:rtl/>
        </w:rPr>
        <w:t>:</w:t>
      </w:r>
      <w:r w:rsidR="005921AF" w:rsidRPr="005921AF">
        <w:rPr>
          <w:rFonts w:cs="Arial" w:hint="cs"/>
          <w:u w:val="single"/>
          <w:rtl/>
        </w:rPr>
        <w:t xml:space="preserve"> </w:t>
      </w:r>
    </w:p>
    <w:p w14:paraId="4363A48B" w14:textId="55C0B8E3" w:rsidR="004A4F0B" w:rsidRPr="00D0315E" w:rsidRDefault="00D413BA" w:rsidP="009000E3">
      <w:pPr>
        <w:pStyle w:val="ab"/>
        <w:numPr>
          <w:ilvl w:val="0"/>
          <w:numId w:val="55"/>
        </w:numPr>
        <w:rPr>
          <w:rFonts w:cs="Arial"/>
          <w:rtl/>
        </w:rPr>
      </w:pPr>
      <w:r w:rsidRPr="005921AF">
        <w:rPr>
          <w:rFonts w:cs="Arial" w:hint="cs"/>
          <w:rtl/>
        </w:rPr>
        <w:t xml:space="preserve">רשב"א </w:t>
      </w:r>
      <w:r w:rsidRPr="005921AF">
        <w:rPr>
          <w:rFonts w:cs="Arial" w:hint="cs"/>
          <w:sz w:val="16"/>
          <w:szCs w:val="16"/>
          <w:rtl/>
        </w:rPr>
        <w:t>(ח"ג סי' סח, וכן בח"א סי' תתקמט, ובח"ד סי' רעו)</w:t>
      </w:r>
      <w:r w:rsidRPr="005921AF">
        <w:rPr>
          <w:rFonts w:cs="Arial" w:hint="cs"/>
          <w:rtl/>
        </w:rPr>
        <w:t xml:space="preserve">- </w:t>
      </w:r>
      <w:r w:rsidRPr="005921AF">
        <w:rPr>
          <w:rFonts w:cs="Arial"/>
          <w:rtl/>
        </w:rPr>
        <w:t>ולפי מה שכתבתי לך שלשה דינין יש במכירת הבעל</w:t>
      </w:r>
      <w:r w:rsidRPr="005921AF">
        <w:rPr>
          <w:rFonts w:cs="Arial" w:hint="cs"/>
          <w:rtl/>
        </w:rPr>
        <w:t>.</w:t>
      </w:r>
      <w:r w:rsidRPr="005921AF">
        <w:rPr>
          <w:rFonts w:cs="Arial"/>
          <w:rtl/>
        </w:rPr>
        <w:t xml:space="preserve"> באותן שלש שדות</w:t>
      </w:r>
      <w:r w:rsidRPr="005921AF">
        <w:rPr>
          <w:rFonts w:cs="Arial" w:hint="cs"/>
          <w:rtl/>
        </w:rPr>
        <w:t>,</w:t>
      </w:r>
      <w:r w:rsidRPr="005921AF">
        <w:rPr>
          <w:rFonts w:cs="Arial"/>
          <w:rtl/>
        </w:rPr>
        <w:t xml:space="preserve"> לקח מן האיש וחזר ולקח מן האשה </w:t>
      </w:r>
      <w:r w:rsidRPr="005921AF">
        <w:rPr>
          <w:rFonts w:cs="Arial" w:hint="cs"/>
          <w:rtl/>
        </w:rPr>
        <w:t xml:space="preserve">- </w:t>
      </w:r>
      <w:r w:rsidRPr="005921AF">
        <w:rPr>
          <w:rFonts w:cs="Arial"/>
          <w:rtl/>
        </w:rPr>
        <w:t>בטל מיד</w:t>
      </w:r>
      <w:r w:rsidRPr="005921AF">
        <w:rPr>
          <w:rFonts w:cs="Arial" w:hint="cs"/>
          <w:rtl/>
        </w:rPr>
        <w:t>.</w:t>
      </w:r>
      <w:r w:rsidRPr="005921AF">
        <w:rPr>
          <w:rFonts w:cs="Arial"/>
          <w:rtl/>
        </w:rPr>
        <w:t xml:space="preserve"> ובשאר נכסיו</w:t>
      </w:r>
      <w:r w:rsidRPr="005921AF">
        <w:rPr>
          <w:rFonts w:cs="Arial" w:hint="cs"/>
          <w:rtl/>
        </w:rPr>
        <w:t xml:space="preserve">, </w:t>
      </w:r>
      <w:r w:rsidRPr="005921AF">
        <w:rPr>
          <w:rFonts w:cs="Arial"/>
          <w:rtl/>
        </w:rPr>
        <w:t>אינו בטל מיד אלא עד שתבא לגבות כתובתה</w:t>
      </w:r>
      <w:r w:rsidRPr="005921AF">
        <w:rPr>
          <w:rFonts w:cs="Arial" w:hint="cs"/>
          <w:rtl/>
        </w:rPr>
        <w:t>.</w:t>
      </w:r>
      <w:r w:rsidRPr="005921AF">
        <w:rPr>
          <w:rFonts w:cs="Arial"/>
          <w:rtl/>
        </w:rPr>
        <w:t xml:space="preserve"> ובאלו ובאלו</w:t>
      </w:r>
      <w:r w:rsidRPr="005921AF">
        <w:rPr>
          <w:rFonts w:cs="Arial" w:hint="cs"/>
          <w:rtl/>
        </w:rPr>
        <w:t>,</w:t>
      </w:r>
      <w:r w:rsidRPr="005921AF">
        <w:rPr>
          <w:rFonts w:cs="Arial"/>
          <w:rtl/>
        </w:rPr>
        <w:t xml:space="preserve"> אם קנו מן האשה ואח</w:t>
      </w:r>
      <w:r w:rsidR="003564ED">
        <w:rPr>
          <w:rFonts w:cs="Arial" w:hint="cs"/>
          <w:rtl/>
        </w:rPr>
        <w:t>"</w:t>
      </w:r>
      <w:r w:rsidRPr="005921AF">
        <w:rPr>
          <w:rFonts w:cs="Arial"/>
          <w:rtl/>
        </w:rPr>
        <w:t xml:space="preserve">כ קנו מן הבעל או שקבלה עליה אחריות </w:t>
      </w:r>
      <w:r w:rsidRPr="005921AF">
        <w:rPr>
          <w:rFonts w:cs="Arial" w:hint="cs"/>
          <w:rtl/>
        </w:rPr>
        <w:t xml:space="preserve">- </w:t>
      </w:r>
      <w:r w:rsidRPr="005921AF">
        <w:rPr>
          <w:rFonts w:cs="Arial"/>
          <w:rtl/>
        </w:rPr>
        <w:t>קיים לעולם</w:t>
      </w:r>
      <w:r w:rsidRPr="005921AF">
        <w:rPr>
          <w:rFonts w:cs="Arial" w:hint="cs"/>
          <w:rtl/>
        </w:rPr>
        <w:t>.</w:t>
      </w:r>
      <w:r w:rsidRPr="005921AF">
        <w:rPr>
          <w:rFonts w:cs="Arial"/>
          <w:rtl/>
        </w:rPr>
        <w:t xml:space="preserve"> ובנכסי מלוג</w:t>
      </w:r>
      <w:r w:rsidRPr="005921AF">
        <w:rPr>
          <w:rFonts w:cs="Arial" w:hint="cs"/>
          <w:rtl/>
        </w:rPr>
        <w:t>,</w:t>
      </w:r>
      <w:r w:rsidRPr="005921AF">
        <w:rPr>
          <w:rFonts w:cs="Arial"/>
          <w:rtl/>
        </w:rPr>
        <w:t xml:space="preserve"> אפילו קנו מן האיש ואח</w:t>
      </w:r>
      <w:r w:rsidRPr="005921AF">
        <w:rPr>
          <w:rFonts w:cs="Arial" w:hint="cs"/>
          <w:rtl/>
        </w:rPr>
        <w:t>"</w:t>
      </w:r>
      <w:r w:rsidRPr="005921AF">
        <w:rPr>
          <w:rFonts w:cs="Arial"/>
          <w:rtl/>
        </w:rPr>
        <w:t xml:space="preserve">כ מן האשה </w:t>
      </w:r>
      <w:r w:rsidRPr="005921AF">
        <w:rPr>
          <w:rFonts w:cs="Arial" w:hint="cs"/>
          <w:rtl/>
        </w:rPr>
        <w:t xml:space="preserve">- </w:t>
      </w:r>
      <w:r w:rsidRPr="005921AF">
        <w:rPr>
          <w:rFonts w:cs="Arial"/>
          <w:rtl/>
        </w:rPr>
        <w:t>מקחו קיים ולא מצי למימר נחת רוח עשיתי לבעלי</w:t>
      </w:r>
      <w:r w:rsidRPr="005921AF">
        <w:rPr>
          <w:rFonts w:cs="Arial" w:hint="cs"/>
          <w:rtl/>
        </w:rPr>
        <w:t>,</w:t>
      </w:r>
      <w:r w:rsidRPr="005921AF">
        <w:rPr>
          <w:rFonts w:cs="Arial"/>
          <w:rtl/>
        </w:rPr>
        <w:t xml:space="preserve"> וכדאיתא בפרק חזקת הבתים</w:t>
      </w:r>
      <w:r w:rsidR="00E52455">
        <w:rPr>
          <w:rStyle w:val="a7"/>
          <w:rFonts w:cs="Arial"/>
          <w:rtl/>
        </w:rPr>
        <w:footnoteReference w:id="1377"/>
      </w:r>
      <w:r w:rsidRPr="005921AF">
        <w:rPr>
          <w:rFonts w:cs="Arial"/>
          <w:rtl/>
        </w:rPr>
        <w:t>.</w:t>
      </w:r>
      <w:r w:rsidR="00E52455" w:rsidRPr="005921AF">
        <w:rPr>
          <w:rFonts w:cs="Arial" w:hint="cs"/>
          <w:rtl/>
        </w:rPr>
        <w:t xml:space="preserve"> </w:t>
      </w:r>
    </w:p>
    <w:p w14:paraId="2F3FEE30" w14:textId="4ABB9633" w:rsidR="005F7941" w:rsidRPr="005F7941" w:rsidRDefault="005F7941" w:rsidP="003E5611">
      <w:pPr>
        <w:rPr>
          <w:rFonts w:cs="Arial"/>
          <w:u w:val="single"/>
          <w:rtl/>
        </w:rPr>
      </w:pPr>
      <w:r w:rsidRPr="005F7941">
        <w:rPr>
          <w:rFonts w:cs="Arial" w:hint="cs"/>
          <w:u w:val="single"/>
          <w:rtl/>
        </w:rPr>
        <w:t>אשה שמחלה לבעלה על נכסי צאן ברזל:</w:t>
      </w:r>
    </w:p>
    <w:p w14:paraId="5785F624" w14:textId="35FB0FCC" w:rsidR="009E18C9" w:rsidRDefault="00FC05BD" w:rsidP="009000E3">
      <w:pPr>
        <w:pStyle w:val="ab"/>
        <w:numPr>
          <w:ilvl w:val="0"/>
          <w:numId w:val="55"/>
        </w:numPr>
        <w:rPr>
          <w:rFonts w:cs="Arial"/>
        </w:rPr>
      </w:pPr>
      <w:r>
        <w:rPr>
          <w:rFonts w:cs="Arial" w:hint="cs"/>
          <w:rtl/>
        </w:rPr>
        <w:t xml:space="preserve">ראב"ד </w:t>
      </w:r>
      <w:r>
        <w:rPr>
          <w:rFonts w:cs="Arial" w:hint="cs"/>
          <w:sz w:val="16"/>
          <w:szCs w:val="16"/>
          <w:rtl/>
        </w:rPr>
        <w:t>(</w:t>
      </w:r>
      <w:r w:rsidR="009E18C9">
        <w:rPr>
          <w:rFonts w:cs="Arial" w:hint="cs"/>
          <w:sz w:val="16"/>
          <w:szCs w:val="16"/>
          <w:rtl/>
        </w:rPr>
        <w:t>פכ"ב מאישות הי"ח בהשגות, ו</w:t>
      </w:r>
      <w:r>
        <w:rPr>
          <w:rFonts w:cs="Arial" w:hint="cs"/>
          <w:sz w:val="16"/>
          <w:szCs w:val="16"/>
          <w:rtl/>
        </w:rPr>
        <w:t xml:space="preserve">כ"כ בשמו הה"מ </w:t>
      </w:r>
      <w:r w:rsidR="009E18C9">
        <w:rPr>
          <w:rFonts w:cs="Arial" w:hint="cs"/>
          <w:sz w:val="16"/>
          <w:szCs w:val="16"/>
          <w:rtl/>
        </w:rPr>
        <w:t>שם</w:t>
      </w:r>
      <w:r>
        <w:rPr>
          <w:rFonts w:cs="Arial" w:hint="cs"/>
          <w:sz w:val="16"/>
          <w:szCs w:val="16"/>
          <w:rtl/>
        </w:rPr>
        <w:t>)</w:t>
      </w:r>
      <w:r>
        <w:rPr>
          <w:rFonts w:cs="Arial" w:hint="cs"/>
          <w:rtl/>
        </w:rPr>
        <w:t xml:space="preserve">- </w:t>
      </w:r>
      <w:r>
        <w:rPr>
          <w:rStyle w:val="a7"/>
          <w:rFonts w:cs="Arial"/>
          <w:rtl/>
        </w:rPr>
        <w:footnoteReference w:id="1378"/>
      </w:r>
      <w:r w:rsidR="005F7941" w:rsidRPr="005F7941">
        <w:rPr>
          <w:rFonts w:cs="Arial"/>
          <w:rtl/>
        </w:rPr>
        <w:t xml:space="preserve">אם מחלה כתובתה לבעלה ואפילו ג' שדות הקיימים </w:t>
      </w:r>
      <w:r>
        <w:rPr>
          <w:rFonts w:cs="Arial" w:hint="cs"/>
          <w:rtl/>
        </w:rPr>
        <w:t xml:space="preserve">- </w:t>
      </w:r>
      <w:r w:rsidR="005F7941" w:rsidRPr="005F7941">
        <w:rPr>
          <w:rFonts w:cs="Arial"/>
          <w:rtl/>
        </w:rPr>
        <w:t>מחילתה מחילה</w:t>
      </w:r>
      <w:r>
        <w:rPr>
          <w:rFonts w:cs="Arial" w:hint="cs"/>
          <w:rtl/>
        </w:rPr>
        <w:t>,</w:t>
      </w:r>
      <w:r w:rsidR="005F7941" w:rsidRPr="005F7941">
        <w:rPr>
          <w:rFonts w:cs="Arial"/>
          <w:rtl/>
        </w:rPr>
        <w:t xml:space="preserve"> מפני שעקרה שעבודה מעיקרו</w:t>
      </w:r>
      <w:r>
        <w:rPr>
          <w:rFonts w:cs="Arial" w:hint="cs"/>
          <w:rtl/>
        </w:rPr>
        <w:t>,</w:t>
      </w:r>
      <w:r w:rsidR="005F7941" w:rsidRPr="005F7941">
        <w:rPr>
          <w:rFonts w:cs="Arial"/>
          <w:rtl/>
        </w:rPr>
        <w:t xml:space="preserve"> מה שאין כן במוכרת או נותנת</w:t>
      </w:r>
      <w:r w:rsidR="00C407CA">
        <w:rPr>
          <w:rFonts w:cs="Arial" w:hint="cs"/>
          <w:sz w:val="16"/>
          <w:szCs w:val="16"/>
          <w:rtl/>
        </w:rPr>
        <w:t xml:space="preserve"> (ל' הה"מ בשמו)</w:t>
      </w:r>
      <w:r>
        <w:rPr>
          <w:rFonts w:cs="Arial" w:hint="cs"/>
          <w:rtl/>
        </w:rPr>
        <w:t>.</w:t>
      </w:r>
      <w:r w:rsidR="005F7941" w:rsidRPr="005F7941">
        <w:rPr>
          <w:rFonts w:cs="Arial"/>
          <w:rtl/>
        </w:rPr>
        <w:t xml:space="preserve"> </w:t>
      </w:r>
    </w:p>
    <w:p w14:paraId="4706CEFD" w14:textId="3FBB5DBD" w:rsidR="002926CA" w:rsidRPr="00BF2080" w:rsidRDefault="002926CA" w:rsidP="009000E3">
      <w:pPr>
        <w:pStyle w:val="ab"/>
        <w:numPr>
          <w:ilvl w:val="0"/>
          <w:numId w:val="55"/>
        </w:numPr>
        <w:rPr>
          <w:rFonts w:cs="Arial"/>
          <w:rtl/>
        </w:rPr>
      </w:pPr>
      <w:r>
        <w:rPr>
          <w:rFonts w:cs="Arial" w:hint="cs"/>
          <w:rtl/>
        </w:rPr>
        <w:t xml:space="preserve">רמב"ם </w:t>
      </w:r>
      <w:r>
        <w:rPr>
          <w:rFonts w:cs="Arial" w:hint="cs"/>
          <w:sz w:val="16"/>
          <w:szCs w:val="16"/>
          <w:rtl/>
        </w:rPr>
        <w:t>(להב' הה"מ</w:t>
      </w:r>
      <w:r>
        <w:rPr>
          <w:rStyle w:val="a7"/>
          <w:rFonts w:cs="Arial"/>
          <w:rtl/>
        </w:rPr>
        <w:footnoteReference w:id="1379"/>
      </w:r>
      <w:r>
        <w:rPr>
          <w:rFonts w:cs="Arial" w:hint="cs"/>
          <w:sz w:val="16"/>
          <w:szCs w:val="16"/>
          <w:rtl/>
        </w:rPr>
        <w:t>)</w:t>
      </w:r>
      <w:r>
        <w:rPr>
          <w:rFonts w:cs="Arial" w:hint="cs"/>
          <w:rtl/>
        </w:rPr>
        <w:t xml:space="preserve"> רמב"ן ורשב"א</w:t>
      </w:r>
      <w:r>
        <w:rPr>
          <w:rStyle w:val="a7"/>
          <w:rFonts w:cs="Arial"/>
          <w:rtl/>
        </w:rPr>
        <w:footnoteReference w:id="1380"/>
      </w:r>
      <w:r>
        <w:rPr>
          <w:rFonts w:cs="Arial" w:hint="cs"/>
          <w:rtl/>
        </w:rPr>
        <w:t xml:space="preserve">- </w:t>
      </w:r>
      <w:r w:rsidRPr="005F7941">
        <w:rPr>
          <w:rFonts w:cs="Arial"/>
          <w:rtl/>
        </w:rPr>
        <w:t>אין מחילתה לבעלה מועלת אלא בעיקר כתובה ובתוספת</w:t>
      </w:r>
      <w:r>
        <w:rPr>
          <w:rFonts w:cs="Arial" w:hint="cs"/>
          <w:rtl/>
        </w:rPr>
        <w:t xml:space="preserve">, </w:t>
      </w:r>
      <w:r w:rsidRPr="005F7941">
        <w:rPr>
          <w:rFonts w:cs="Arial"/>
          <w:rtl/>
        </w:rPr>
        <w:t>משום דבהנהו לא הויא לה איבה אי לא הות מחלה להו</w:t>
      </w:r>
      <w:r>
        <w:rPr>
          <w:rStyle w:val="a7"/>
          <w:rFonts w:cs="Arial"/>
          <w:rtl/>
        </w:rPr>
        <w:footnoteReference w:id="1381"/>
      </w:r>
      <w:r>
        <w:rPr>
          <w:rFonts w:cs="Arial" w:hint="cs"/>
          <w:rtl/>
        </w:rPr>
        <w:t>,</w:t>
      </w:r>
      <w:r w:rsidRPr="005F7941">
        <w:rPr>
          <w:rFonts w:cs="Arial"/>
          <w:rtl/>
        </w:rPr>
        <w:t xml:space="preserve"> הילכך כשמחלתן </w:t>
      </w:r>
      <w:r w:rsidR="005A2A88">
        <w:rPr>
          <w:rFonts w:cs="Arial" w:hint="cs"/>
          <w:rtl/>
        </w:rPr>
        <w:t xml:space="preserve">- </w:t>
      </w:r>
      <w:r w:rsidRPr="005F7941">
        <w:rPr>
          <w:rFonts w:cs="Arial"/>
          <w:rtl/>
        </w:rPr>
        <w:t>מחילתה מחילה</w:t>
      </w:r>
      <w:r w:rsidR="005A2A88">
        <w:rPr>
          <w:rFonts w:cs="Arial" w:hint="cs"/>
          <w:rtl/>
        </w:rPr>
        <w:t>.</w:t>
      </w:r>
      <w:r>
        <w:rPr>
          <w:rFonts w:cs="Arial" w:hint="cs"/>
          <w:rtl/>
        </w:rPr>
        <w:t xml:space="preserve"> מה שאין כן בנכסי צאן ברזל</w:t>
      </w:r>
      <w:r>
        <w:rPr>
          <w:rFonts w:cs="Arial" w:hint="cs"/>
          <w:sz w:val="16"/>
          <w:szCs w:val="16"/>
          <w:rtl/>
        </w:rPr>
        <w:t xml:space="preserve"> (ל' הה"מ בשמם)</w:t>
      </w:r>
      <w:r>
        <w:rPr>
          <w:rFonts w:cs="Arial" w:hint="cs"/>
          <w:rtl/>
        </w:rPr>
        <w:t>.</w:t>
      </w:r>
      <w:r w:rsidRPr="005F7941">
        <w:rPr>
          <w:rFonts w:cs="Arial"/>
          <w:rtl/>
        </w:rPr>
        <w:t xml:space="preserve"> </w:t>
      </w:r>
    </w:p>
    <w:p w14:paraId="427D0E61" w14:textId="5D373F82" w:rsidR="00C407CA" w:rsidRPr="00342632" w:rsidRDefault="00C407CA" w:rsidP="009000E3">
      <w:pPr>
        <w:pStyle w:val="ab"/>
        <w:numPr>
          <w:ilvl w:val="0"/>
          <w:numId w:val="55"/>
        </w:numPr>
        <w:rPr>
          <w:rFonts w:cs="Arial"/>
          <w:rtl/>
        </w:rPr>
      </w:pPr>
      <w:r w:rsidRPr="00342632">
        <w:rPr>
          <w:rFonts w:cs="Arial"/>
          <w:rtl/>
        </w:rPr>
        <w:t>רא"ש</w:t>
      </w:r>
      <w:r w:rsidRPr="00342632">
        <w:rPr>
          <w:rFonts w:cs="Arial"/>
          <w:sz w:val="16"/>
          <w:szCs w:val="16"/>
          <w:rtl/>
        </w:rPr>
        <w:t xml:space="preserve"> </w:t>
      </w:r>
      <w:r w:rsidRPr="00342632">
        <w:rPr>
          <w:rFonts w:cs="Arial" w:hint="cs"/>
          <w:sz w:val="16"/>
          <w:szCs w:val="16"/>
          <w:rtl/>
        </w:rPr>
        <w:t>(</w:t>
      </w:r>
      <w:r w:rsidRPr="00342632">
        <w:rPr>
          <w:rFonts w:cs="Arial"/>
          <w:sz w:val="16"/>
          <w:szCs w:val="16"/>
          <w:rtl/>
        </w:rPr>
        <w:t>כלל לח סי' ז)</w:t>
      </w:r>
      <w:r w:rsidRPr="00342632">
        <w:rPr>
          <w:rFonts w:cs="Arial" w:hint="cs"/>
          <w:rtl/>
        </w:rPr>
        <w:t>-</w:t>
      </w:r>
      <w:r w:rsidRPr="00342632">
        <w:rPr>
          <w:rFonts w:cs="Arial"/>
          <w:rtl/>
        </w:rPr>
        <w:t xml:space="preserve"> ששאלת אשה שמחלה כתובתה ונדונייתה לבעלה מחילה גמורה</w:t>
      </w:r>
      <w:r>
        <w:rPr>
          <w:rFonts w:cs="Arial" w:hint="cs"/>
          <w:rtl/>
        </w:rPr>
        <w:t>,</w:t>
      </w:r>
      <w:r w:rsidRPr="00342632">
        <w:rPr>
          <w:rFonts w:cs="Arial"/>
          <w:rtl/>
        </w:rPr>
        <w:t xml:space="preserve"> והיא טוענת שעשתה המחילה מפני שהיה מגזם לה לגרשה או לישא אחרת מפני שאינה יולדת </w:t>
      </w:r>
      <w:r>
        <w:rPr>
          <w:rFonts w:cs="Arial" w:hint="cs"/>
          <w:rtl/>
        </w:rPr>
        <w:t xml:space="preserve">- </w:t>
      </w:r>
      <w:r w:rsidRPr="00342632">
        <w:rPr>
          <w:rFonts w:cs="Arial"/>
          <w:rtl/>
        </w:rPr>
        <w:t>אין זה טענת אונס לבטל המחילה</w:t>
      </w:r>
      <w:r>
        <w:rPr>
          <w:rFonts w:cs="Arial" w:hint="cs"/>
          <w:rtl/>
        </w:rPr>
        <w:t>,</w:t>
      </w:r>
      <w:r w:rsidRPr="00342632">
        <w:rPr>
          <w:rFonts w:cs="Arial"/>
          <w:rtl/>
        </w:rPr>
        <w:t xml:space="preserve"> כי בדין היה עושה לישא אחרת כדי לקיים מצות פריה ורביה והיא שיחדתו בממונה מלישא אחרת</w:t>
      </w:r>
      <w:r>
        <w:rPr>
          <w:rFonts w:cs="Arial" w:hint="cs"/>
          <w:rtl/>
        </w:rPr>
        <w:t>.</w:t>
      </w:r>
      <w:r w:rsidRPr="00342632">
        <w:rPr>
          <w:rFonts w:cs="Arial"/>
          <w:rtl/>
        </w:rPr>
        <w:t xml:space="preserve"> ועוד שאין האונס ידוע</w:t>
      </w:r>
      <w:r>
        <w:rPr>
          <w:rFonts w:cs="Arial" w:hint="cs"/>
          <w:rtl/>
        </w:rPr>
        <w:t>,</w:t>
      </w:r>
      <w:r w:rsidRPr="00342632">
        <w:rPr>
          <w:rFonts w:cs="Arial"/>
          <w:rtl/>
        </w:rPr>
        <w:t xml:space="preserve"> דלא מסרה מודעא מעיקרא</w:t>
      </w:r>
      <w:r>
        <w:rPr>
          <w:rFonts w:cs="Arial" w:hint="cs"/>
          <w:rtl/>
        </w:rPr>
        <w:t>.</w:t>
      </w:r>
      <w:r w:rsidRPr="00342632">
        <w:rPr>
          <w:rFonts w:cs="Arial"/>
          <w:rtl/>
        </w:rPr>
        <w:t xml:space="preserve"> ולא שייך למימר נחת רוח עשיתי לבעלי אלא כשהבעל מוכר קרקעותיו ושותקת מחמת נחת רוח שלא יאמר הבעל עיניך נתת בגירושין או במיתה</w:t>
      </w:r>
      <w:r>
        <w:rPr>
          <w:rFonts w:cs="Arial" w:hint="cs"/>
          <w:rtl/>
        </w:rPr>
        <w:t>,</w:t>
      </w:r>
      <w:r w:rsidRPr="00342632">
        <w:rPr>
          <w:rFonts w:cs="Arial"/>
          <w:rtl/>
        </w:rPr>
        <w:t xml:space="preserve"> אבל אין האשה מוחלת לבעלה זכות שיש לה עליו מחמת נחת רוח</w:t>
      </w:r>
      <w:r>
        <w:rPr>
          <w:rFonts w:cs="Arial" w:hint="cs"/>
          <w:rtl/>
        </w:rPr>
        <w:t>,</w:t>
      </w:r>
      <w:r w:rsidRPr="00342632">
        <w:rPr>
          <w:rFonts w:cs="Arial"/>
          <w:rtl/>
        </w:rPr>
        <w:t xml:space="preserve"> דאין כאן איבה אם לא תמחול לו</w:t>
      </w:r>
      <w:r w:rsidR="005A2A88">
        <w:rPr>
          <w:rFonts w:cs="Arial" w:hint="cs"/>
          <w:rtl/>
        </w:rPr>
        <w:t xml:space="preserve">, </w:t>
      </w:r>
      <w:r w:rsidRPr="00342632">
        <w:rPr>
          <w:rFonts w:cs="Arial"/>
          <w:rtl/>
        </w:rPr>
        <w:t>ומחילה גמורה היא</w:t>
      </w:r>
      <w:r>
        <w:rPr>
          <w:rStyle w:val="a7"/>
          <w:rFonts w:cs="Arial"/>
          <w:rtl/>
        </w:rPr>
        <w:footnoteReference w:id="1382"/>
      </w:r>
      <w:r w:rsidRPr="00342632">
        <w:rPr>
          <w:rFonts w:cs="Arial" w:hint="cs"/>
          <w:rtl/>
        </w:rPr>
        <w:t>.</w:t>
      </w:r>
      <w:r w:rsidRPr="00342632">
        <w:rPr>
          <w:rFonts w:cs="Arial"/>
          <w:rtl/>
        </w:rPr>
        <w:t xml:space="preserve"> </w:t>
      </w:r>
    </w:p>
    <w:p w14:paraId="479338C6" w14:textId="713360C4" w:rsidR="00BF2080" w:rsidRPr="002926CA" w:rsidRDefault="002926CA" w:rsidP="00BF2080">
      <w:pPr>
        <w:rPr>
          <w:sz w:val="16"/>
          <w:szCs w:val="16"/>
        </w:rPr>
      </w:pPr>
      <w:r w:rsidRPr="002926CA">
        <w:rPr>
          <w:rFonts w:cs="Arial"/>
          <w:u w:val="single"/>
          <w:rtl/>
        </w:rPr>
        <w:t>אשה שהיה לה שטר מתנה מבעלה</w:t>
      </w:r>
      <w:r w:rsidR="005A2A88">
        <w:rPr>
          <w:rFonts w:cs="Arial" w:hint="cs"/>
          <w:u w:val="single"/>
          <w:rtl/>
        </w:rPr>
        <w:t>,</w:t>
      </w:r>
      <w:r w:rsidRPr="002926CA">
        <w:rPr>
          <w:rFonts w:cs="Arial"/>
          <w:u w:val="single"/>
          <w:rtl/>
        </w:rPr>
        <w:t xml:space="preserve"> ומכר</w:t>
      </w:r>
      <w:r w:rsidR="005A2A88">
        <w:rPr>
          <w:rFonts w:cs="Arial" w:hint="cs"/>
          <w:u w:val="single"/>
          <w:rtl/>
        </w:rPr>
        <w:t>תו</w:t>
      </w:r>
      <w:r w:rsidRPr="002926CA">
        <w:rPr>
          <w:rFonts w:cs="Arial"/>
          <w:u w:val="single"/>
          <w:rtl/>
        </w:rPr>
        <w:t xml:space="preserve"> לאחר</w:t>
      </w:r>
      <w:r w:rsidR="005A2A88">
        <w:rPr>
          <w:rFonts w:cs="Arial" w:hint="cs"/>
          <w:u w:val="single"/>
          <w:rtl/>
        </w:rPr>
        <w:t>,</w:t>
      </w:r>
      <w:r w:rsidRPr="002926CA">
        <w:rPr>
          <w:rFonts w:cs="Arial"/>
          <w:u w:val="single"/>
          <w:rtl/>
        </w:rPr>
        <w:t xml:space="preserve"> ואח</w:t>
      </w:r>
      <w:r w:rsidR="005A2A88">
        <w:rPr>
          <w:rFonts w:cs="Arial" w:hint="cs"/>
          <w:u w:val="single"/>
          <w:rtl/>
        </w:rPr>
        <w:t>"</w:t>
      </w:r>
      <w:r w:rsidRPr="002926CA">
        <w:rPr>
          <w:rFonts w:cs="Arial"/>
          <w:u w:val="single"/>
          <w:rtl/>
        </w:rPr>
        <w:t>כ מחלה לבעל</w:t>
      </w:r>
      <w:r>
        <w:rPr>
          <w:rFonts w:cs="Arial" w:hint="cs"/>
          <w:u w:val="single"/>
          <w:rtl/>
        </w:rPr>
        <w:t>:</w:t>
      </w:r>
      <w:r>
        <w:rPr>
          <w:rFonts w:cs="Arial" w:hint="cs"/>
          <w:sz w:val="16"/>
          <w:szCs w:val="16"/>
          <w:rtl/>
        </w:rPr>
        <w:t xml:space="preserve"> (דרכ"מ אות יז)</w:t>
      </w:r>
    </w:p>
    <w:p w14:paraId="7E63EF14" w14:textId="269D1886" w:rsidR="00040772" w:rsidRPr="008B78CF" w:rsidRDefault="00040772" w:rsidP="009000E3">
      <w:pPr>
        <w:pStyle w:val="ab"/>
        <w:numPr>
          <w:ilvl w:val="0"/>
          <w:numId w:val="55"/>
        </w:numPr>
        <w:rPr>
          <w:rtl/>
        </w:rPr>
      </w:pPr>
      <w:r w:rsidRPr="00843F99">
        <w:rPr>
          <w:rFonts w:cs="Arial"/>
          <w:rtl/>
        </w:rPr>
        <w:t>ב</w:t>
      </w:r>
      <w:r w:rsidR="002926CA">
        <w:rPr>
          <w:rFonts w:cs="Arial" w:hint="cs"/>
          <w:rtl/>
        </w:rPr>
        <w:t>"י</w:t>
      </w:r>
      <w:r w:rsidRPr="00843F99">
        <w:rPr>
          <w:rFonts w:cs="Arial"/>
          <w:rtl/>
        </w:rPr>
        <w:t xml:space="preserve"> </w:t>
      </w:r>
      <w:r w:rsidR="002926CA" w:rsidRPr="002926CA">
        <w:rPr>
          <w:rFonts w:cs="Arial" w:hint="cs"/>
          <w:sz w:val="16"/>
          <w:szCs w:val="16"/>
          <w:rtl/>
        </w:rPr>
        <w:t>(</w:t>
      </w:r>
      <w:r w:rsidRPr="002926CA">
        <w:rPr>
          <w:rFonts w:cs="Arial"/>
          <w:sz w:val="16"/>
          <w:szCs w:val="16"/>
          <w:rtl/>
        </w:rPr>
        <w:t>סי</w:t>
      </w:r>
      <w:r w:rsidR="002926CA" w:rsidRPr="002926CA">
        <w:rPr>
          <w:rFonts w:cs="Arial" w:hint="cs"/>
          <w:sz w:val="16"/>
          <w:szCs w:val="16"/>
          <w:rtl/>
        </w:rPr>
        <w:t>'</w:t>
      </w:r>
      <w:r w:rsidRPr="002926CA">
        <w:rPr>
          <w:rFonts w:cs="Arial"/>
          <w:sz w:val="16"/>
          <w:szCs w:val="16"/>
          <w:rtl/>
        </w:rPr>
        <w:t xml:space="preserve"> צא</w:t>
      </w:r>
      <w:r w:rsidR="002926CA" w:rsidRPr="002926CA">
        <w:rPr>
          <w:rFonts w:cs="Arial" w:hint="cs"/>
          <w:sz w:val="16"/>
          <w:szCs w:val="16"/>
          <w:rtl/>
        </w:rPr>
        <w:t>,</w:t>
      </w:r>
      <w:r w:rsidRPr="002926CA">
        <w:rPr>
          <w:rFonts w:cs="Arial"/>
          <w:sz w:val="16"/>
          <w:szCs w:val="16"/>
          <w:rtl/>
        </w:rPr>
        <w:t xml:space="preserve"> עמ' שצט ד"ה כתב הרשב"א)</w:t>
      </w:r>
      <w:r w:rsidR="002926CA">
        <w:rPr>
          <w:rFonts w:cs="Arial" w:hint="cs"/>
          <w:rtl/>
        </w:rPr>
        <w:t>-</w:t>
      </w:r>
      <w:r w:rsidRPr="00843F99">
        <w:rPr>
          <w:rFonts w:cs="Arial"/>
          <w:rtl/>
        </w:rPr>
        <w:t xml:space="preserve"> אשה שהיה לה שטר מתנה מבעלה ומכרה לאחר</w:t>
      </w:r>
      <w:r w:rsidR="002926CA">
        <w:rPr>
          <w:rFonts w:cs="Arial" w:hint="cs"/>
          <w:rtl/>
        </w:rPr>
        <w:t>,</w:t>
      </w:r>
      <w:r w:rsidRPr="00843F99">
        <w:rPr>
          <w:rFonts w:cs="Arial"/>
          <w:rtl/>
        </w:rPr>
        <w:t xml:space="preserve"> ואח</w:t>
      </w:r>
      <w:r w:rsidR="005A2A88">
        <w:rPr>
          <w:rFonts w:cs="Arial" w:hint="cs"/>
          <w:rtl/>
        </w:rPr>
        <w:t>"</w:t>
      </w:r>
      <w:r w:rsidRPr="00843F99">
        <w:rPr>
          <w:rFonts w:cs="Arial"/>
          <w:rtl/>
        </w:rPr>
        <w:t xml:space="preserve">כ מחלה לבעלה </w:t>
      </w:r>
      <w:r w:rsidR="00F97626">
        <w:rPr>
          <w:rFonts w:cs="Arial"/>
          <w:rtl/>
        </w:rPr>
        <w:t>-</w:t>
      </w:r>
      <w:r w:rsidR="002926CA">
        <w:rPr>
          <w:rFonts w:cs="Arial" w:hint="cs"/>
          <w:rtl/>
        </w:rPr>
        <w:t xml:space="preserve"> </w:t>
      </w:r>
      <w:r w:rsidRPr="00843F99">
        <w:rPr>
          <w:rFonts w:cs="Arial"/>
          <w:rtl/>
        </w:rPr>
        <w:t>מחול</w:t>
      </w:r>
      <w:r w:rsidR="002926CA">
        <w:rPr>
          <w:rFonts w:cs="Arial" w:hint="cs"/>
          <w:rtl/>
        </w:rPr>
        <w:t>,</w:t>
      </w:r>
      <w:r w:rsidRPr="00843F99">
        <w:rPr>
          <w:rFonts w:cs="Arial"/>
          <w:rtl/>
        </w:rPr>
        <w:t xml:space="preserve"> ולא אמרינן בזה נחת רוח עשיתי לבעלי</w:t>
      </w:r>
      <w:r w:rsidR="002926CA">
        <w:rPr>
          <w:rFonts w:cs="Arial" w:hint="cs"/>
          <w:rtl/>
        </w:rPr>
        <w:t>.</w:t>
      </w:r>
      <w:r w:rsidRPr="00843F99">
        <w:rPr>
          <w:rFonts w:cs="Arial"/>
          <w:rtl/>
        </w:rPr>
        <w:t xml:space="preserve"> ואם מכרה זה השטר מתנה לבעלה</w:t>
      </w:r>
      <w:r w:rsidR="002926CA">
        <w:rPr>
          <w:rFonts w:cs="Arial" w:hint="cs"/>
          <w:rtl/>
        </w:rPr>
        <w:t xml:space="preserve"> -</w:t>
      </w:r>
      <w:r w:rsidRPr="00843F99">
        <w:rPr>
          <w:rFonts w:cs="Arial"/>
          <w:rtl/>
        </w:rPr>
        <w:t xml:space="preserve"> יכולה לומר נחת רוח עשיתי לבעלי</w:t>
      </w:r>
      <w:r w:rsidR="002926CA">
        <w:rPr>
          <w:rFonts w:cs="Arial" w:hint="cs"/>
          <w:rtl/>
        </w:rPr>
        <w:t>,</w:t>
      </w:r>
      <w:r w:rsidRPr="00843F99">
        <w:rPr>
          <w:rFonts w:cs="Arial"/>
          <w:rtl/>
        </w:rPr>
        <w:t xml:space="preserve"> דהוי כנכסי צאן ברזל</w:t>
      </w:r>
      <w:r w:rsidR="002926CA">
        <w:rPr>
          <w:rFonts w:cs="Arial" w:hint="cs"/>
          <w:rtl/>
        </w:rPr>
        <w:t>.</w:t>
      </w:r>
      <w:r w:rsidR="00551E06">
        <w:rPr>
          <w:rFonts w:hint="cs"/>
          <w:rtl/>
        </w:rPr>
        <w:t xml:space="preserve"> </w:t>
      </w:r>
    </w:p>
    <w:p w14:paraId="384AE993" w14:textId="77777777" w:rsidR="00EB79BF" w:rsidRDefault="00EB79BF" w:rsidP="00EB79BF">
      <w:pPr>
        <w:rPr>
          <w:rFonts w:cs="Arial"/>
          <w:rtl/>
        </w:rPr>
      </w:pPr>
      <w:r w:rsidRPr="003024E5">
        <w:rPr>
          <w:rFonts w:asciiTheme="minorBidi" w:hAnsiTheme="minorBidi"/>
          <w:b/>
          <w:bCs/>
          <w:color w:val="000000"/>
          <w:sz w:val="28"/>
          <w:szCs w:val="28"/>
          <w:u w:val="single"/>
          <w:rtl/>
        </w:rPr>
        <w:t>שו"ע:</w:t>
      </w:r>
    </w:p>
    <w:p w14:paraId="41D0005E" w14:textId="794F9829" w:rsidR="00EB79BF" w:rsidRDefault="00EB79BF" w:rsidP="00EB79BF">
      <w:pPr>
        <w:rPr>
          <w:rFonts w:cs="Arial"/>
          <w:rtl/>
        </w:rPr>
      </w:pPr>
      <w:r w:rsidRPr="00EB79BF">
        <w:rPr>
          <w:rFonts w:cs="Arial"/>
          <w:rtl/>
        </w:rPr>
        <w:t>מכרו שניהם בנכסי מלוג, בין שלקח מהאיש תחלה וחזר ולקח מהאשה, בין שלקח מהאשה וחזר ולקח מן האיש, מכרם קיים. וכן האשה שמכרה או נתנה נכסי מלוג לבעלה, מכרה ומתנתה קיימים, ואינה יכולה לומר בנכסי מלוג: נחת רוח עשיתי לבעלי</w:t>
      </w:r>
      <w:r w:rsidR="002926CA">
        <w:rPr>
          <w:rFonts w:cs="Arial" w:hint="cs"/>
          <w:rtl/>
        </w:rPr>
        <w:t>.</w:t>
      </w:r>
      <w:r w:rsidRPr="00EB79BF">
        <w:rPr>
          <w:rFonts w:cs="Arial"/>
          <w:rtl/>
        </w:rPr>
        <w:t xml:space="preserve"> אבל בשאר נכסים יש לה לומר כן. כיצד, האשה שמכרה או נתנה לבעלה מנ</w:t>
      </w:r>
      <w:r w:rsidR="00FA43C3">
        <w:rPr>
          <w:rFonts w:cs="Arial" w:hint="cs"/>
          <w:rtl/>
        </w:rPr>
        <w:t>כסי צאן ברזל</w:t>
      </w:r>
      <w:r w:rsidRPr="00EB79BF">
        <w:rPr>
          <w:rFonts w:cs="Arial"/>
          <w:rtl/>
        </w:rPr>
        <w:t xml:space="preserve">, בין </w:t>
      </w:r>
      <w:r w:rsidRPr="00EB79BF">
        <w:rPr>
          <w:rFonts w:cs="Arial"/>
          <w:rtl/>
        </w:rPr>
        <w:lastRenderedPageBreak/>
        <w:t>קרקע בין מטלטלין, או שדה שייחד לה</w:t>
      </w:r>
      <w:r w:rsidR="005C5D4E">
        <w:rPr>
          <w:rStyle w:val="a7"/>
          <w:rFonts w:cs="Arial"/>
          <w:rtl/>
        </w:rPr>
        <w:footnoteReference w:id="1383"/>
      </w:r>
      <w:r w:rsidRPr="00EB79BF">
        <w:rPr>
          <w:rFonts w:cs="Arial"/>
          <w:rtl/>
        </w:rPr>
        <w:t xml:space="preserve"> בכתובתה, או שדה שכתב לה בכתובתה, או שדה שהכניסה לו שום משלה</w:t>
      </w:r>
      <w:r w:rsidR="00D27352">
        <w:rPr>
          <w:rStyle w:val="a7"/>
          <w:rFonts w:cs="Arial"/>
          <w:rtl/>
        </w:rPr>
        <w:footnoteReference w:id="1384"/>
      </w:r>
      <w:r w:rsidRPr="00EB79BF">
        <w:rPr>
          <w:rFonts w:cs="Arial"/>
          <w:rtl/>
        </w:rPr>
        <w:t>, לא קנה בעלה. ואף על פי שקנו מיד האשה ברצונה, חוזרת בכל עת שתרצה, שלא נתנה ולא מכרה אלא מפני שלום ביתה. לפיכך אין לבעלה ראיה כלל בנכסי אשתו, חוץ מנ</w:t>
      </w:r>
      <w:r w:rsidR="00FA43C3">
        <w:rPr>
          <w:rFonts w:cs="Arial" w:hint="cs"/>
          <w:rtl/>
        </w:rPr>
        <w:t>כסי מלוג</w:t>
      </w:r>
      <w:r w:rsidRPr="00EB79BF">
        <w:rPr>
          <w:rFonts w:cs="Arial"/>
          <w:rtl/>
        </w:rPr>
        <w:t>, אלא א</w:t>
      </w:r>
      <w:r w:rsidR="00FA43C3">
        <w:rPr>
          <w:rFonts w:cs="Arial" w:hint="cs"/>
          <w:rtl/>
        </w:rPr>
        <w:t xml:space="preserve">ם </w:t>
      </w:r>
      <w:r w:rsidRPr="00EB79BF">
        <w:rPr>
          <w:rFonts w:cs="Arial"/>
          <w:rtl/>
        </w:rPr>
        <w:t>כ</w:t>
      </w:r>
      <w:r w:rsidR="00FA43C3">
        <w:rPr>
          <w:rFonts w:cs="Arial" w:hint="cs"/>
          <w:rtl/>
        </w:rPr>
        <w:t>ן</w:t>
      </w:r>
      <w:r w:rsidRPr="00EB79BF">
        <w:rPr>
          <w:rFonts w:cs="Arial"/>
          <w:rtl/>
        </w:rPr>
        <w:t xml:space="preserve"> קבלה עליה אחריות בפירוש</w:t>
      </w:r>
      <w:r w:rsidR="004032AE">
        <w:rPr>
          <w:rStyle w:val="a7"/>
          <w:rFonts w:cs="Arial"/>
          <w:rtl/>
        </w:rPr>
        <w:footnoteReference w:id="1385"/>
      </w:r>
      <w:r w:rsidRPr="00EB79BF">
        <w:rPr>
          <w:rFonts w:cs="Arial"/>
          <w:rtl/>
        </w:rPr>
        <w:t xml:space="preserve">. </w:t>
      </w:r>
      <w:r w:rsidRPr="00FA43C3">
        <w:rPr>
          <w:rFonts w:cs="Arial"/>
          <w:sz w:val="18"/>
          <w:szCs w:val="18"/>
          <w:rtl/>
        </w:rPr>
        <w:t>הגה: יש אומרים</w:t>
      </w:r>
      <w:r w:rsidR="00551E06">
        <w:rPr>
          <w:rStyle w:val="a7"/>
          <w:rFonts w:cs="Arial"/>
          <w:sz w:val="18"/>
          <w:szCs w:val="18"/>
          <w:rtl/>
        </w:rPr>
        <w:footnoteReference w:id="1386"/>
      </w:r>
      <w:r w:rsidRPr="00FA43C3">
        <w:rPr>
          <w:rFonts w:cs="Arial"/>
          <w:sz w:val="18"/>
          <w:szCs w:val="18"/>
          <w:rtl/>
        </w:rPr>
        <w:t xml:space="preserve"> דדוקא מכירתה ונתינתה לא מהני, אבל אם מחלה</w:t>
      </w:r>
      <w:r w:rsidR="00A11A36">
        <w:rPr>
          <w:rStyle w:val="a7"/>
          <w:rFonts w:cs="Arial"/>
          <w:sz w:val="18"/>
          <w:szCs w:val="18"/>
          <w:rtl/>
        </w:rPr>
        <w:footnoteReference w:id="1387"/>
      </w:r>
      <w:r w:rsidRPr="00FA43C3">
        <w:rPr>
          <w:rFonts w:cs="Arial"/>
          <w:sz w:val="18"/>
          <w:szCs w:val="18"/>
          <w:rtl/>
        </w:rPr>
        <w:t xml:space="preserve"> לבעלה כל זכות שיש לה על הנכסים מהני, כמו שמהני מחילה לענין כתובתה (ראב"ד). ויש חולקים (רמב"ן ורשב"א ו</w:t>
      </w:r>
      <w:r w:rsidR="005A2A88">
        <w:rPr>
          <w:rFonts w:cs="Arial" w:hint="cs"/>
          <w:sz w:val="18"/>
          <w:szCs w:val="18"/>
          <w:rtl/>
        </w:rPr>
        <w:t xml:space="preserve">כ"כ הה"מ בשם </w:t>
      </w:r>
      <w:r w:rsidRPr="00FA43C3">
        <w:rPr>
          <w:rFonts w:cs="Arial"/>
          <w:sz w:val="18"/>
          <w:szCs w:val="18"/>
          <w:rtl/>
        </w:rPr>
        <w:t>הרמ</w:t>
      </w:r>
      <w:r w:rsidR="002926CA">
        <w:rPr>
          <w:rFonts w:cs="Arial" w:hint="cs"/>
          <w:sz w:val="18"/>
          <w:szCs w:val="18"/>
          <w:rtl/>
        </w:rPr>
        <w:t>ב"ם</w:t>
      </w:r>
      <w:r w:rsidRPr="00FA43C3">
        <w:rPr>
          <w:rFonts w:cs="Arial"/>
          <w:sz w:val="18"/>
          <w:szCs w:val="18"/>
          <w:rtl/>
        </w:rPr>
        <w:t>).</w:t>
      </w:r>
      <w:r w:rsidRPr="00EB79BF">
        <w:rPr>
          <w:rFonts w:cs="Arial"/>
          <w:rtl/>
        </w:rPr>
        <w:t xml:space="preserve"> </w:t>
      </w:r>
    </w:p>
    <w:p w14:paraId="161589C7" w14:textId="77777777" w:rsidR="00DA1E36" w:rsidRPr="00EB79BF" w:rsidRDefault="00DA1E36" w:rsidP="00EB79BF">
      <w:pPr>
        <w:rPr>
          <w:rFonts w:cs="Arial"/>
          <w:rtl/>
        </w:rPr>
      </w:pPr>
    </w:p>
    <w:p w14:paraId="63AAF11C" w14:textId="1E693F7C" w:rsidR="00EB79BF" w:rsidRDefault="00EB79BF" w:rsidP="000F64D0">
      <w:pPr>
        <w:pStyle w:val="2"/>
        <w:rPr>
          <w:rtl/>
        </w:rPr>
      </w:pPr>
      <w:r w:rsidRPr="00EB79BF">
        <w:rPr>
          <w:rtl/>
        </w:rPr>
        <w:t>סעיף יז</w:t>
      </w:r>
      <w:r w:rsidR="00741D85">
        <w:rPr>
          <w:rFonts w:hint="cs"/>
          <w:rtl/>
        </w:rPr>
        <w:t>:</w:t>
      </w:r>
      <w:r w:rsidR="00741D85" w:rsidRPr="00741D85">
        <w:rPr>
          <w:rtl/>
        </w:rPr>
        <w:t xml:space="preserve"> </w:t>
      </w:r>
      <w:r w:rsidR="00741D85" w:rsidRPr="00EB79BF">
        <w:rPr>
          <w:rtl/>
        </w:rPr>
        <w:t>אש</w:t>
      </w:r>
      <w:r w:rsidR="00403BC9">
        <w:rPr>
          <w:rFonts w:hint="cs"/>
          <w:rtl/>
        </w:rPr>
        <w:t xml:space="preserve">ה </w:t>
      </w:r>
      <w:r w:rsidR="003C0244">
        <w:rPr>
          <w:rFonts w:hint="cs"/>
          <w:rtl/>
        </w:rPr>
        <w:t>ש</w:t>
      </w:r>
      <w:r w:rsidR="00403BC9">
        <w:rPr>
          <w:rFonts w:hint="cs"/>
          <w:rtl/>
        </w:rPr>
        <w:t>כתבה</w:t>
      </w:r>
      <w:r w:rsidR="00741D85" w:rsidRPr="00EB79BF">
        <w:rPr>
          <w:rtl/>
        </w:rPr>
        <w:t xml:space="preserve"> ללוקח</w:t>
      </w:r>
      <w:r w:rsidR="00741D85">
        <w:rPr>
          <w:rFonts w:hint="cs"/>
          <w:rtl/>
        </w:rPr>
        <w:t xml:space="preserve"> מבעלה</w:t>
      </w:r>
      <w:r w:rsidR="00741D85" w:rsidRPr="00EB79BF">
        <w:rPr>
          <w:rtl/>
        </w:rPr>
        <w:t xml:space="preserve"> </w:t>
      </w:r>
      <w:r w:rsidR="00741D85">
        <w:rPr>
          <w:rFonts w:hint="cs"/>
          <w:rtl/>
        </w:rPr>
        <w:t>'</w:t>
      </w:r>
      <w:r w:rsidR="00741D85" w:rsidRPr="00EB79BF">
        <w:rPr>
          <w:rtl/>
        </w:rPr>
        <w:t>דין ודברים אין לי עמך</w:t>
      </w:r>
      <w:r w:rsidR="00741D85">
        <w:rPr>
          <w:rFonts w:hint="cs"/>
          <w:rtl/>
        </w:rPr>
        <w:t>'</w:t>
      </w:r>
      <w:r w:rsidR="003C0244">
        <w:rPr>
          <w:rFonts w:hint="cs"/>
          <w:rtl/>
        </w:rPr>
        <w:t>,</w:t>
      </w:r>
      <w:r w:rsidR="00741D85">
        <w:rPr>
          <w:rFonts w:hint="cs"/>
          <w:rtl/>
        </w:rPr>
        <w:t xml:space="preserve"> </w:t>
      </w:r>
      <w:r w:rsidR="00403BC9">
        <w:rPr>
          <w:rFonts w:hint="cs"/>
          <w:rtl/>
        </w:rPr>
        <w:t>או</w:t>
      </w:r>
      <w:r w:rsidR="00741D85">
        <w:rPr>
          <w:rFonts w:hint="cs"/>
          <w:rtl/>
        </w:rPr>
        <w:t xml:space="preserve"> שהסכימה למכור לזה ולא לזה.</w:t>
      </w:r>
    </w:p>
    <w:p w14:paraId="6FE3CC2F" w14:textId="1674CC1C" w:rsidR="00741D85" w:rsidRPr="007C1187" w:rsidRDefault="00741D85" w:rsidP="00741D85">
      <w:pPr>
        <w:rPr>
          <w:rFonts w:cs="Arial"/>
          <w:rtl/>
        </w:rPr>
      </w:pPr>
      <w:r w:rsidRPr="007C1187">
        <w:rPr>
          <w:rFonts w:cs="Arial" w:hint="cs"/>
          <w:b/>
          <w:bCs/>
          <w:rtl/>
        </w:rPr>
        <w:t xml:space="preserve">גיטין </w:t>
      </w:r>
      <w:r w:rsidRPr="007C1187">
        <w:rPr>
          <w:rFonts w:cs="Arial" w:hint="cs"/>
          <w:b/>
          <w:bCs/>
          <w:sz w:val="16"/>
          <w:szCs w:val="16"/>
          <w:rtl/>
        </w:rPr>
        <w:t>(פ' הניזקין)</w:t>
      </w:r>
      <w:r w:rsidRPr="007C1187">
        <w:rPr>
          <w:rFonts w:cs="Arial" w:hint="cs"/>
          <w:b/>
          <w:bCs/>
          <w:rtl/>
        </w:rPr>
        <w:t xml:space="preserve"> נה ע"ב: </w:t>
      </w:r>
      <w:r w:rsidRPr="007C1187">
        <w:rPr>
          <w:rFonts w:cs="Arial"/>
          <w:u w:val="double"/>
          <w:rtl/>
        </w:rPr>
        <w:t>מתני'</w:t>
      </w:r>
      <w:r w:rsidRPr="007C1187">
        <w:rPr>
          <w:rFonts w:cs="Arial" w:hint="cs"/>
          <w:rtl/>
        </w:rPr>
        <w:t>:</w:t>
      </w:r>
      <w:r>
        <w:rPr>
          <w:rFonts w:hint="cs"/>
          <w:rtl/>
        </w:rPr>
        <w:t>..</w:t>
      </w:r>
      <w:r w:rsidRPr="007C1187">
        <w:rPr>
          <w:rFonts w:cs="Arial"/>
          <w:rtl/>
        </w:rPr>
        <w:t>. כיצד? לקח מסיקריקון</w:t>
      </w:r>
      <w:r>
        <w:rPr>
          <w:rStyle w:val="a7"/>
          <w:rFonts w:cs="Arial"/>
          <w:rtl/>
        </w:rPr>
        <w:footnoteReference w:id="1388"/>
      </w:r>
      <w:r w:rsidRPr="007C1187">
        <w:rPr>
          <w:rFonts w:cs="Arial"/>
          <w:rtl/>
        </w:rPr>
        <w:t xml:space="preserve"> וחזר ולקח מבעל הבית - מקחו בטל, מבעל הבית וחזר ולקח מסיקריקון - מקחו קיים. לקח מן האיש וחזר ולקח מן האשה - מקחו בטל</w:t>
      </w:r>
      <w:r w:rsidRPr="007C1187">
        <w:rPr>
          <w:rFonts w:cs="Arial" w:hint="cs"/>
          <w:rtl/>
        </w:rPr>
        <w:t>.</w:t>
      </w:r>
      <w:r w:rsidRPr="007C1187">
        <w:rPr>
          <w:rFonts w:cs="Arial"/>
          <w:rtl/>
        </w:rPr>
        <w:t xml:space="preserve"> מן האשה וחזר ולקח מן האיש - מקחו קיים. </w:t>
      </w:r>
      <w:r w:rsidRPr="007C1187">
        <w:rPr>
          <w:rFonts w:cs="Arial" w:hint="cs"/>
          <w:rtl/>
        </w:rPr>
        <w:t xml:space="preserve">     </w:t>
      </w:r>
      <w:r w:rsidRPr="007C1187">
        <w:rPr>
          <w:rFonts w:cs="Arial" w:hint="cs"/>
          <w:u w:val="double"/>
          <w:rtl/>
        </w:rPr>
        <w:t>גמ'</w:t>
      </w:r>
      <w:r w:rsidRPr="007C1187">
        <w:rPr>
          <w:rFonts w:cs="Arial" w:hint="cs"/>
          <w:sz w:val="14"/>
          <w:szCs w:val="14"/>
          <w:u w:val="double"/>
          <w:rtl/>
        </w:rPr>
        <w:t>(נח.)</w:t>
      </w:r>
      <w:r w:rsidRPr="007C1187">
        <w:rPr>
          <w:rFonts w:cs="Arial" w:hint="cs"/>
          <w:u w:val="double"/>
          <w:rtl/>
        </w:rPr>
        <w:t>:</w:t>
      </w:r>
      <w:r w:rsidRPr="007C1187">
        <w:rPr>
          <w:rFonts w:cs="Arial" w:hint="cs"/>
          <w:rtl/>
        </w:rPr>
        <w:t xml:space="preserve"> </w:t>
      </w:r>
      <w:r w:rsidRPr="007C1187">
        <w:rPr>
          <w:rFonts w:cs="Arial"/>
          <w:rtl/>
        </w:rPr>
        <w:t xml:space="preserve">לקח מן הסיקריקון וכו'. </w:t>
      </w:r>
      <w:r w:rsidRPr="007C1187">
        <w:rPr>
          <w:rFonts w:cs="Arial"/>
          <w:u w:val="single"/>
          <w:rtl/>
        </w:rPr>
        <w:t>אמר רב</w:t>
      </w:r>
      <w:r w:rsidRPr="007C1187">
        <w:rPr>
          <w:rFonts w:cs="Arial"/>
          <w:rtl/>
        </w:rPr>
        <w:t>: לא שנו</w:t>
      </w:r>
      <w:r>
        <w:rPr>
          <w:rStyle w:val="a7"/>
          <w:rFonts w:cs="Arial"/>
          <w:rtl/>
        </w:rPr>
        <w:footnoteReference w:id="1389"/>
      </w:r>
      <w:r w:rsidRPr="007C1187">
        <w:rPr>
          <w:rFonts w:cs="Arial"/>
          <w:rtl/>
        </w:rPr>
        <w:t xml:space="preserve"> אלא דאמר לו</w:t>
      </w:r>
      <w:r>
        <w:rPr>
          <w:rStyle w:val="a7"/>
          <w:rFonts w:cs="Arial"/>
          <w:rtl/>
        </w:rPr>
        <w:footnoteReference w:id="1390"/>
      </w:r>
      <w:r w:rsidRPr="007C1187">
        <w:rPr>
          <w:rFonts w:cs="Arial"/>
          <w:rtl/>
        </w:rPr>
        <w:t xml:space="preserve"> לך חזק וקני</w:t>
      </w:r>
      <w:r>
        <w:rPr>
          <w:rStyle w:val="a7"/>
          <w:rFonts w:cs="Arial"/>
          <w:rtl/>
        </w:rPr>
        <w:footnoteReference w:id="1391"/>
      </w:r>
      <w:r w:rsidRPr="007C1187">
        <w:rPr>
          <w:rFonts w:cs="Arial"/>
          <w:rtl/>
        </w:rPr>
        <w:t>, אבל בשטר</w:t>
      </w:r>
      <w:r>
        <w:rPr>
          <w:rStyle w:val="a7"/>
          <w:rFonts w:cs="Arial"/>
          <w:rtl/>
        </w:rPr>
        <w:footnoteReference w:id="1392"/>
      </w:r>
      <w:r w:rsidRPr="007C1187">
        <w:rPr>
          <w:rFonts w:cs="Arial"/>
          <w:rtl/>
        </w:rPr>
        <w:t xml:space="preserve"> - קנה</w:t>
      </w:r>
      <w:r>
        <w:rPr>
          <w:rStyle w:val="a7"/>
          <w:rFonts w:cs="Arial"/>
          <w:rtl/>
        </w:rPr>
        <w:footnoteReference w:id="1393"/>
      </w:r>
      <w:r w:rsidRPr="007C1187">
        <w:rPr>
          <w:rFonts w:cs="Arial" w:hint="cs"/>
          <w:rtl/>
        </w:rPr>
        <w:t>.</w:t>
      </w:r>
      <w:r w:rsidRPr="007C1187">
        <w:rPr>
          <w:rFonts w:cs="Arial"/>
          <w:rtl/>
        </w:rPr>
        <w:t xml:space="preserve"> </w:t>
      </w:r>
      <w:r w:rsidRPr="007C1187">
        <w:rPr>
          <w:rFonts w:cs="Arial"/>
          <w:u w:val="single"/>
          <w:rtl/>
        </w:rPr>
        <w:t>ושמואל אמר</w:t>
      </w:r>
      <w:r w:rsidRPr="007C1187">
        <w:rPr>
          <w:rFonts w:cs="Arial"/>
          <w:rtl/>
        </w:rPr>
        <w:t>: אף בשטר נמי לא קנה, עד ש</w:t>
      </w:r>
      <w:r w:rsidRPr="007C1187">
        <w:rPr>
          <w:rFonts w:cs="Arial" w:hint="cs"/>
          <w:rtl/>
        </w:rPr>
        <w:t>יכ</w:t>
      </w:r>
      <w:r w:rsidRPr="007C1187">
        <w:rPr>
          <w:rFonts w:cs="Arial"/>
          <w:rtl/>
        </w:rPr>
        <w:t>ת</w:t>
      </w:r>
      <w:r w:rsidRPr="007C1187">
        <w:rPr>
          <w:rFonts w:cs="Arial" w:hint="cs"/>
          <w:rtl/>
        </w:rPr>
        <w:t>וב</w:t>
      </w:r>
      <w:r w:rsidRPr="007C1187">
        <w:rPr>
          <w:rFonts w:cs="Arial"/>
          <w:rtl/>
        </w:rPr>
        <w:t xml:space="preserve"> לו אחריות</w:t>
      </w:r>
      <w:r>
        <w:rPr>
          <w:rStyle w:val="a7"/>
          <w:rFonts w:cs="Arial"/>
          <w:rtl/>
        </w:rPr>
        <w:footnoteReference w:id="1394"/>
      </w:r>
      <w:r w:rsidRPr="007C1187">
        <w:rPr>
          <w:rFonts w:cs="Arial"/>
          <w:rtl/>
        </w:rPr>
        <w:t>.</w:t>
      </w:r>
      <w:r w:rsidRPr="00000744">
        <w:rPr>
          <w:rtl/>
        </w:rPr>
        <w:t xml:space="preserve"> </w:t>
      </w:r>
      <w:r w:rsidRPr="007C1187">
        <w:rPr>
          <w:rFonts w:cs="Arial" w:hint="cs"/>
          <w:sz w:val="14"/>
          <w:szCs w:val="14"/>
          <w:rtl/>
        </w:rPr>
        <w:t xml:space="preserve">(נח:) </w:t>
      </w:r>
      <w:r w:rsidRPr="007C1187">
        <w:rPr>
          <w:rFonts w:cs="Arial"/>
          <w:rtl/>
        </w:rPr>
        <w:t xml:space="preserve">תניא כוותיה דשמואל, </w:t>
      </w:r>
      <w:r w:rsidRPr="00217D09">
        <w:rPr>
          <w:rFonts w:cs="Arial"/>
          <w:u w:val="single"/>
          <w:rtl/>
        </w:rPr>
        <w:t>ר' שמעון בן אלעזר אומר</w:t>
      </w:r>
      <w:r w:rsidRPr="007C1187">
        <w:rPr>
          <w:rFonts w:cs="Arial"/>
          <w:rtl/>
        </w:rPr>
        <w:t>: לקח מן האשה וחזר ולקח מן האיש - מקחו קיים, מן האיש וחזר ולקח מן האשה - מקחו בטל, עד שתכתוב לו אחריות.</w:t>
      </w:r>
      <w:r w:rsidRPr="007C1187">
        <w:rPr>
          <w:rFonts w:cs="Arial" w:hint="cs"/>
          <w:rtl/>
        </w:rPr>
        <w:t xml:space="preserve"> </w:t>
      </w:r>
      <w:r w:rsidRPr="007C1187">
        <w:rPr>
          <w:rFonts w:cs="Arial" w:hint="cs"/>
          <w:sz w:val="16"/>
          <w:szCs w:val="16"/>
          <w:rtl/>
        </w:rPr>
        <w:t>(</w:t>
      </w:r>
      <w:r w:rsidRPr="007C1187">
        <w:rPr>
          <w:rFonts w:cs="Arial"/>
          <w:sz w:val="16"/>
          <w:szCs w:val="16"/>
          <w:rtl/>
        </w:rPr>
        <w:t>וידוע דהלכה כשמואל בדיני ועוד דתניא כוותיה (שם:)</w:t>
      </w:r>
      <w:r w:rsidR="00217D09">
        <w:rPr>
          <w:rFonts w:cs="Arial" w:hint="cs"/>
          <w:sz w:val="16"/>
          <w:szCs w:val="16"/>
          <w:rtl/>
        </w:rPr>
        <w:t>,</w:t>
      </w:r>
      <w:r w:rsidRPr="007C1187">
        <w:rPr>
          <w:rFonts w:cs="Arial"/>
          <w:sz w:val="16"/>
          <w:szCs w:val="16"/>
          <w:rtl/>
        </w:rPr>
        <w:t xml:space="preserve"> וכן פסקו הפוסקים</w:t>
      </w:r>
      <w:r w:rsidRPr="007C1187">
        <w:rPr>
          <w:rFonts w:cs="Arial" w:hint="cs"/>
          <w:sz w:val="16"/>
          <w:szCs w:val="16"/>
          <w:rtl/>
        </w:rPr>
        <w:t xml:space="preserve">, ב"י. ומשפסקו כן לגבי סיקריקון </w:t>
      </w:r>
      <w:r w:rsidR="00F97626">
        <w:rPr>
          <w:rFonts w:cs="Arial"/>
          <w:sz w:val="16"/>
          <w:szCs w:val="16"/>
          <w:rtl/>
        </w:rPr>
        <w:t>-</w:t>
      </w:r>
      <w:r w:rsidRPr="007C1187">
        <w:rPr>
          <w:rFonts w:cs="Arial" w:hint="cs"/>
          <w:sz w:val="16"/>
          <w:szCs w:val="16"/>
          <w:rtl/>
        </w:rPr>
        <w:t xml:space="preserve"> הוא הדין למי שלקח מהאיש והאשה)</w:t>
      </w:r>
      <w:r w:rsidRPr="007C1187">
        <w:rPr>
          <w:rFonts w:cs="Arial"/>
          <w:rtl/>
        </w:rPr>
        <w:t xml:space="preserve">  </w:t>
      </w:r>
    </w:p>
    <w:p w14:paraId="111D293A" w14:textId="77777777" w:rsidR="00741D85" w:rsidRPr="007C1187" w:rsidRDefault="00741D85" w:rsidP="00741D85">
      <w:pPr>
        <w:rPr>
          <w:rFonts w:cs="Arial"/>
          <w:u w:val="single"/>
        </w:rPr>
      </w:pPr>
      <w:r w:rsidRPr="007C1187">
        <w:rPr>
          <w:rFonts w:cs="Arial" w:hint="cs"/>
          <w:u w:val="single"/>
          <w:rtl/>
        </w:rPr>
        <w:t>קנה מהבעל ואח"כ מהאשה וכתבה האשה לקונה 'דין ודברים אין לי עליך' וקנו מידה על זה:</w:t>
      </w:r>
    </w:p>
    <w:p w14:paraId="2743D234" w14:textId="28E9CEE1" w:rsidR="00741D85" w:rsidRPr="00741D85" w:rsidRDefault="00741D85" w:rsidP="009000E3">
      <w:pPr>
        <w:pStyle w:val="ab"/>
        <w:numPr>
          <w:ilvl w:val="0"/>
          <w:numId w:val="55"/>
        </w:numPr>
        <w:rPr>
          <w:rFonts w:cs="Arial"/>
          <w:rtl/>
        </w:rPr>
      </w:pPr>
      <w:r>
        <w:rPr>
          <w:rFonts w:cs="Arial" w:hint="cs"/>
          <w:rtl/>
        </w:rPr>
        <w:lastRenderedPageBreak/>
        <w:t xml:space="preserve">טור- </w:t>
      </w:r>
      <w:r w:rsidRPr="008C513A">
        <w:rPr>
          <w:rFonts w:cs="Arial"/>
          <w:rtl/>
        </w:rPr>
        <w:t>ואפי</w:t>
      </w:r>
      <w:r w:rsidR="00217D09">
        <w:rPr>
          <w:rFonts w:cs="Arial" w:hint="cs"/>
          <w:rtl/>
        </w:rPr>
        <w:t>לו</w:t>
      </w:r>
      <w:r w:rsidRPr="008C513A">
        <w:rPr>
          <w:rFonts w:cs="Arial"/>
          <w:rtl/>
        </w:rPr>
        <w:t xml:space="preserve"> כתבה לו דין ודברים אין לי עמך על שדה זו וקנו מידה</w:t>
      </w:r>
      <w:r>
        <w:rPr>
          <w:rFonts w:cs="Arial" w:hint="cs"/>
          <w:rtl/>
        </w:rPr>
        <w:t xml:space="preserve"> -</w:t>
      </w:r>
      <w:r w:rsidRPr="008C513A">
        <w:rPr>
          <w:rFonts w:cs="Arial"/>
          <w:rtl/>
        </w:rPr>
        <w:t xml:space="preserve"> אינו מועיל וטורפת מן הלקוחות</w:t>
      </w:r>
      <w:r>
        <w:rPr>
          <w:rStyle w:val="a7"/>
          <w:rFonts w:cs="Arial"/>
          <w:rtl/>
        </w:rPr>
        <w:footnoteReference w:id="1395"/>
      </w:r>
      <w:r>
        <w:rPr>
          <w:rFonts w:cs="Arial" w:hint="cs"/>
          <w:rtl/>
        </w:rPr>
        <w:t>,</w:t>
      </w:r>
      <w:r w:rsidRPr="008C513A">
        <w:rPr>
          <w:rFonts w:cs="Arial"/>
          <w:rtl/>
        </w:rPr>
        <w:t xml:space="preserve"> אא"כ קבלה עליה אחריות אם יטרפוה ממנו שיחזור עליה</w:t>
      </w:r>
      <w:r>
        <w:rPr>
          <w:rFonts w:cs="Arial" w:hint="cs"/>
          <w:rtl/>
        </w:rPr>
        <w:t>,</w:t>
      </w:r>
      <w:r w:rsidRPr="008C513A">
        <w:rPr>
          <w:rFonts w:cs="Arial"/>
          <w:rtl/>
        </w:rPr>
        <w:t xml:space="preserve"> דכולי האי לא היתה עושה משום נחת רוח</w:t>
      </w:r>
      <w:r>
        <w:rPr>
          <w:rStyle w:val="a7"/>
          <w:rFonts w:cs="Arial"/>
          <w:rtl/>
        </w:rPr>
        <w:footnoteReference w:id="1396"/>
      </w:r>
      <w:r>
        <w:rPr>
          <w:rFonts w:cs="Arial" w:hint="cs"/>
          <w:rtl/>
        </w:rPr>
        <w:t>.</w:t>
      </w:r>
      <w:r w:rsidRPr="008C513A">
        <w:rPr>
          <w:rFonts w:cs="Arial"/>
          <w:rtl/>
        </w:rPr>
        <w:t xml:space="preserve"> </w:t>
      </w:r>
      <w:r w:rsidRPr="00763570">
        <w:rPr>
          <w:rFonts w:cs="Arial" w:hint="cs"/>
          <w:color w:val="E36C0A" w:themeColor="accent6" w:themeShade="BF"/>
          <w:rtl/>
        </w:rPr>
        <w:t>(וכ"פ בשו"ע</w:t>
      </w:r>
      <w:r>
        <w:rPr>
          <w:rFonts w:cs="Arial" w:hint="cs"/>
          <w:color w:val="E36C0A" w:themeColor="accent6" w:themeShade="BF"/>
          <w:sz w:val="16"/>
          <w:szCs w:val="16"/>
          <w:rtl/>
        </w:rPr>
        <w:t xml:space="preserve"> </w:t>
      </w:r>
      <w:r w:rsidRPr="00741D85">
        <w:rPr>
          <w:rFonts w:cs="Arial" w:hint="cs"/>
          <w:sz w:val="16"/>
          <w:szCs w:val="16"/>
          <w:rtl/>
        </w:rPr>
        <w:t>[כאן ובסע' טז]</w:t>
      </w:r>
      <w:r w:rsidRPr="00763570">
        <w:rPr>
          <w:rFonts w:cs="Arial" w:hint="cs"/>
          <w:color w:val="E36C0A" w:themeColor="accent6" w:themeShade="BF"/>
          <w:rtl/>
        </w:rPr>
        <w:t>)</w:t>
      </w:r>
    </w:p>
    <w:p w14:paraId="0E0060DA" w14:textId="77777777" w:rsidR="00741D85" w:rsidRDefault="00741D85" w:rsidP="00741D85">
      <w:pPr>
        <w:rPr>
          <w:rFonts w:cs="Arial"/>
          <w:rtl/>
        </w:rPr>
      </w:pPr>
      <w:bookmarkStart w:id="9" w:name="_Hlk69728374"/>
      <w:bookmarkStart w:id="10" w:name="_Hlk69803775"/>
      <w:bookmarkStart w:id="11" w:name="_Hlk69730213"/>
      <w:r>
        <w:rPr>
          <w:rFonts w:cs="Arial" w:hint="cs"/>
          <w:b/>
          <w:bCs/>
          <w:rtl/>
        </w:rPr>
        <w:t>כתובות</w:t>
      </w:r>
      <w:r w:rsidRPr="004E4DB8">
        <w:rPr>
          <w:rFonts w:cs="Arial" w:hint="cs"/>
          <w:b/>
          <w:bCs/>
          <w:rtl/>
        </w:rPr>
        <w:t xml:space="preserve"> </w:t>
      </w:r>
      <w:r>
        <w:rPr>
          <w:rFonts w:cs="Arial" w:hint="cs"/>
          <w:b/>
          <w:bCs/>
          <w:sz w:val="16"/>
          <w:szCs w:val="16"/>
          <w:rtl/>
        </w:rPr>
        <w:t>(פ' מי שהיה נשוי)</w:t>
      </w:r>
      <w:r>
        <w:rPr>
          <w:rFonts w:cs="Arial" w:hint="cs"/>
          <w:b/>
          <w:bCs/>
          <w:rtl/>
        </w:rPr>
        <w:t xml:space="preserve"> צה</w:t>
      </w:r>
      <w:r w:rsidRPr="004E4DB8">
        <w:rPr>
          <w:rFonts w:cs="Arial" w:hint="cs"/>
          <w:b/>
          <w:bCs/>
          <w:rtl/>
        </w:rPr>
        <w:t xml:space="preserve"> ע"</w:t>
      </w:r>
      <w:r>
        <w:rPr>
          <w:rFonts w:cs="Arial" w:hint="cs"/>
          <w:b/>
          <w:bCs/>
          <w:rtl/>
        </w:rPr>
        <w:t>א</w:t>
      </w:r>
      <w:r w:rsidRPr="004E4DB8">
        <w:rPr>
          <w:rFonts w:cs="Arial" w:hint="cs"/>
          <w:b/>
          <w:bCs/>
          <w:rtl/>
        </w:rPr>
        <w:t xml:space="preserve">: </w:t>
      </w:r>
      <w:r w:rsidRPr="004E4DB8">
        <w:rPr>
          <w:rFonts w:cs="Arial"/>
          <w:u w:val="double"/>
          <w:rtl/>
        </w:rPr>
        <w:t>מתני'</w:t>
      </w:r>
      <w:r>
        <w:rPr>
          <w:rFonts w:cs="Arial" w:hint="cs"/>
          <w:rtl/>
        </w:rPr>
        <w:t>:</w:t>
      </w:r>
      <w:r w:rsidRPr="007A10AF">
        <w:rPr>
          <w:rtl/>
        </w:rPr>
        <w:t xml:space="preserve"> </w:t>
      </w:r>
      <w:r w:rsidRPr="007A10AF">
        <w:rPr>
          <w:rFonts w:cs="Arial"/>
          <w:rtl/>
        </w:rPr>
        <w:t>מי שהיה נשוי ב' נשים, ומכר את שדהו</w:t>
      </w:r>
      <w:r>
        <w:rPr>
          <w:rStyle w:val="a7"/>
          <w:rFonts w:cs="Arial"/>
          <w:rtl/>
        </w:rPr>
        <w:footnoteReference w:id="1397"/>
      </w:r>
      <w:r w:rsidRPr="007A10AF">
        <w:rPr>
          <w:rFonts w:cs="Arial"/>
          <w:rtl/>
        </w:rPr>
        <w:t>, וכתבה ראשונה</w:t>
      </w:r>
      <w:r>
        <w:rPr>
          <w:rStyle w:val="a7"/>
          <w:rFonts w:cs="Arial"/>
          <w:rtl/>
        </w:rPr>
        <w:footnoteReference w:id="1398"/>
      </w:r>
      <w:r w:rsidRPr="007A10AF">
        <w:rPr>
          <w:rFonts w:cs="Arial"/>
          <w:rtl/>
        </w:rPr>
        <w:t xml:space="preserve"> ללוקח דין ודברים אין לי עמך - השניה מוציאה</w:t>
      </w:r>
      <w:r>
        <w:rPr>
          <w:rStyle w:val="a7"/>
          <w:rFonts w:cs="Arial"/>
          <w:rtl/>
        </w:rPr>
        <w:footnoteReference w:id="1399"/>
      </w:r>
      <w:r w:rsidRPr="007A10AF">
        <w:rPr>
          <w:rFonts w:cs="Arial"/>
          <w:rtl/>
        </w:rPr>
        <w:t xml:space="preserve"> מהלוקח</w:t>
      </w:r>
      <w:r>
        <w:rPr>
          <w:rFonts w:cs="Arial" w:hint="cs"/>
          <w:rtl/>
        </w:rPr>
        <w:t>,</w:t>
      </w:r>
      <w:r w:rsidRPr="007A10AF">
        <w:rPr>
          <w:rFonts w:cs="Arial"/>
          <w:rtl/>
        </w:rPr>
        <w:t xml:space="preserve"> וראשונה מן השניה</w:t>
      </w:r>
      <w:r>
        <w:rPr>
          <w:rFonts w:cs="Arial" w:hint="cs"/>
          <w:rtl/>
        </w:rPr>
        <w:t>,</w:t>
      </w:r>
      <w:r w:rsidRPr="007A10AF">
        <w:rPr>
          <w:rFonts w:cs="Arial"/>
          <w:rtl/>
        </w:rPr>
        <w:t xml:space="preserve"> והלוקח מן הראשונה, וחוזרות חלילה, עד שיעשו פשרה ביניהם. וכן בעל חוב</w:t>
      </w:r>
      <w:r>
        <w:rPr>
          <w:rFonts w:cs="Arial" w:hint="cs"/>
          <w:rtl/>
        </w:rPr>
        <w:t>,</w:t>
      </w:r>
      <w:r w:rsidRPr="007A10AF">
        <w:rPr>
          <w:rFonts w:cs="Arial"/>
          <w:rtl/>
        </w:rPr>
        <w:t xml:space="preserve"> וכן אשה בעלת חוב.</w:t>
      </w:r>
      <w:bookmarkEnd w:id="9"/>
      <w:r>
        <w:rPr>
          <w:rFonts w:cs="Arial" w:hint="cs"/>
          <w:rtl/>
        </w:rPr>
        <w:t xml:space="preserve">     </w:t>
      </w:r>
      <w:r w:rsidRPr="007A10AF">
        <w:rPr>
          <w:rFonts w:cs="Arial"/>
          <w:u w:val="double"/>
          <w:rtl/>
        </w:rPr>
        <w:t>גמ'</w:t>
      </w:r>
      <w:r>
        <w:rPr>
          <w:rFonts w:cs="Arial" w:hint="cs"/>
          <w:rtl/>
        </w:rPr>
        <w:t>:</w:t>
      </w:r>
      <w:r w:rsidRPr="007A10AF">
        <w:rPr>
          <w:rFonts w:cs="Arial"/>
          <w:rtl/>
        </w:rPr>
        <w:t xml:space="preserve"> וכי כתבה ליה מאי הוי? והתניא: האומר לחבירו דין ודברים אין לי על שדה זו, ואין לי עסק בה, וידי מסולקת הימנה - לא אמר כלום! הכא במאי עסקינן - בשקנו מידה</w:t>
      </w:r>
      <w:r>
        <w:rPr>
          <w:rStyle w:val="a7"/>
          <w:rFonts w:cs="Arial"/>
          <w:rtl/>
        </w:rPr>
        <w:footnoteReference w:id="1400"/>
      </w:r>
      <w:r w:rsidRPr="007A10AF">
        <w:rPr>
          <w:rFonts w:cs="Arial"/>
          <w:rtl/>
        </w:rPr>
        <w:t>. וכי קנו מידה מאי הוי? תימא: נחת רוח עשיתי לבעלי!</w:t>
      </w:r>
      <w:r w:rsidRPr="00082549">
        <w:rPr>
          <w:rtl/>
        </w:rPr>
        <w:t xml:space="preserve"> </w:t>
      </w:r>
      <w:r w:rsidRPr="00082549">
        <w:rPr>
          <w:rFonts w:cs="Arial"/>
          <w:rtl/>
        </w:rPr>
        <w:t>מי לא תנן: לקח מן האיש וחזר ולקח מן האשה - מקחו בטל</w:t>
      </w:r>
      <w:r>
        <w:rPr>
          <w:rFonts w:cs="Arial" w:hint="cs"/>
          <w:rtl/>
        </w:rPr>
        <w:t>.</w:t>
      </w:r>
      <w:r w:rsidRPr="00082549">
        <w:rPr>
          <w:rFonts w:cs="Arial"/>
          <w:rtl/>
        </w:rPr>
        <w:t xml:space="preserve"> אלמא יכולה היא שתאמר: נחת רוח עשיתי לבעלי!</w:t>
      </w:r>
      <w:r w:rsidRPr="007A10AF">
        <w:rPr>
          <w:rFonts w:cs="Arial"/>
          <w:rtl/>
        </w:rPr>
        <w:t xml:space="preserve"> </w:t>
      </w:r>
      <w:r w:rsidRPr="007F67A4">
        <w:rPr>
          <w:rFonts w:cs="Arial"/>
          <w:u w:val="single"/>
          <w:rtl/>
        </w:rPr>
        <w:t>א"ר זירא אמר רב חסדא</w:t>
      </w:r>
      <w:r>
        <w:rPr>
          <w:rFonts w:cs="Arial" w:hint="cs"/>
          <w:rtl/>
        </w:rPr>
        <w:t>:</w:t>
      </w:r>
      <w:r w:rsidRPr="00072F15">
        <w:rPr>
          <w:rFonts w:cs="Arial"/>
          <w:rtl/>
        </w:rPr>
        <w:t xml:space="preserve"> לא קשיא</w:t>
      </w:r>
      <w:r>
        <w:rPr>
          <w:rFonts w:cs="Arial" w:hint="cs"/>
          <w:rtl/>
        </w:rPr>
        <w:t>,</w:t>
      </w:r>
      <w:r w:rsidRPr="00072F15">
        <w:rPr>
          <w:rFonts w:cs="Arial"/>
          <w:rtl/>
        </w:rPr>
        <w:t xml:space="preserve"> הא ר"מ, הא ר' יהודה</w:t>
      </w:r>
      <w:r>
        <w:rPr>
          <w:rFonts w:cs="Arial" w:hint="cs"/>
          <w:rtl/>
        </w:rPr>
        <w:t>,</w:t>
      </w:r>
      <w:r w:rsidRPr="00072F15">
        <w:rPr>
          <w:rFonts w:cs="Arial"/>
          <w:rtl/>
        </w:rPr>
        <w:t xml:space="preserve"> דתניא: כתב לראשון</w:t>
      </w:r>
      <w:r>
        <w:rPr>
          <w:rStyle w:val="a7"/>
          <w:rFonts w:cs="Arial"/>
          <w:rtl/>
        </w:rPr>
        <w:footnoteReference w:id="1401"/>
      </w:r>
      <w:r w:rsidRPr="00072F15">
        <w:rPr>
          <w:rFonts w:cs="Arial"/>
          <w:rtl/>
        </w:rPr>
        <w:t xml:space="preserve"> ולא חתמה לו</w:t>
      </w:r>
      <w:r>
        <w:rPr>
          <w:rStyle w:val="a7"/>
          <w:rFonts w:cs="Arial"/>
          <w:rtl/>
        </w:rPr>
        <w:footnoteReference w:id="1402"/>
      </w:r>
      <w:r w:rsidRPr="00072F15">
        <w:rPr>
          <w:rFonts w:cs="Arial"/>
          <w:rtl/>
        </w:rPr>
        <w:t>, לשני וחתמה לו - איבדה כתובתה</w:t>
      </w:r>
      <w:r>
        <w:rPr>
          <w:rStyle w:val="a7"/>
          <w:rFonts w:cs="Arial"/>
          <w:rtl/>
        </w:rPr>
        <w:footnoteReference w:id="1403"/>
      </w:r>
      <w:r w:rsidRPr="00072F15">
        <w:rPr>
          <w:rFonts w:cs="Arial"/>
          <w:rtl/>
        </w:rPr>
        <w:t xml:space="preserve">, </w:t>
      </w:r>
      <w:r w:rsidRPr="007F67A4">
        <w:rPr>
          <w:rFonts w:cs="Arial"/>
          <w:u w:val="single"/>
          <w:rtl/>
        </w:rPr>
        <w:t>דברי ר"מ</w:t>
      </w:r>
      <w:r>
        <w:rPr>
          <w:rFonts w:cs="Arial" w:hint="cs"/>
          <w:rtl/>
        </w:rPr>
        <w:t>.</w:t>
      </w:r>
      <w:r w:rsidRPr="00072F15">
        <w:rPr>
          <w:rFonts w:cs="Arial"/>
          <w:rtl/>
        </w:rPr>
        <w:t xml:space="preserve"> </w:t>
      </w:r>
      <w:r w:rsidRPr="007F67A4">
        <w:rPr>
          <w:rFonts w:cs="Arial"/>
          <w:u w:val="single"/>
          <w:rtl/>
        </w:rPr>
        <w:t>ר' יהודה אומר</w:t>
      </w:r>
      <w:r w:rsidRPr="00072F15">
        <w:rPr>
          <w:rFonts w:cs="Arial"/>
          <w:rtl/>
        </w:rPr>
        <w:t>: יכולה היא שתאמר נחת רוח עשיתי לבעלי, אתם מה לכם עלי</w:t>
      </w:r>
      <w:r>
        <w:rPr>
          <w:rStyle w:val="a7"/>
          <w:rFonts w:cs="Arial"/>
          <w:rtl/>
        </w:rPr>
        <w:footnoteReference w:id="1404"/>
      </w:r>
      <w:r w:rsidRPr="00072F15">
        <w:rPr>
          <w:rFonts w:cs="Arial"/>
          <w:rtl/>
        </w:rPr>
        <w:t>. ורבי</w:t>
      </w:r>
      <w:r>
        <w:rPr>
          <w:rStyle w:val="a7"/>
          <w:rFonts w:cs="Arial"/>
          <w:rtl/>
        </w:rPr>
        <w:footnoteReference w:id="1405"/>
      </w:r>
      <w:r w:rsidRPr="00072F15">
        <w:rPr>
          <w:rFonts w:cs="Arial"/>
          <w:rtl/>
        </w:rPr>
        <w:t xml:space="preserve"> סתם לה הכא כר"מ, וסתם לה התם כר' יהודה? </w:t>
      </w:r>
      <w:r w:rsidRPr="007F67A4">
        <w:rPr>
          <w:rFonts w:cs="Arial"/>
          <w:u w:val="single"/>
          <w:rtl/>
        </w:rPr>
        <w:t>אמר רב פפא</w:t>
      </w:r>
      <w:r w:rsidRPr="006C343E">
        <w:rPr>
          <w:rStyle w:val="a7"/>
          <w:rFonts w:cs="Arial"/>
          <w:u w:val="single"/>
          <w:rtl/>
        </w:rPr>
        <w:footnoteReference w:id="1406"/>
      </w:r>
      <w:r w:rsidRPr="00072F15">
        <w:rPr>
          <w:rFonts w:cs="Arial"/>
          <w:rtl/>
        </w:rPr>
        <w:t xml:space="preserve">: בגרושה ודברי הכל. </w:t>
      </w:r>
      <w:r w:rsidRPr="007F67A4">
        <w:rPr>
          <w:rFonts w:cs="Arial"/>
          <w:u w:val="single"/>
          <w:rtl/>
        </w:rPr>
        <w:t>רב אשי אמר</w:t>
      </w:r>
      <w:r w:rsidRPr="006C343E">
        <w:rPr>
          <w:rStyle w:val="a7"/>
          <w:rFonts w:cs="Arial"/>
          <w:u w:val="single"/>
          <w:rtl/>
        </w:rPr>
        <w:footnoteReference w:id="1407"/>
      </w:r>
      <w:r w:rsidRPr="00072F15">
        <w:rPr>
          <w:rFonts w:cs="Arial"/>
          <w:rtl/>
        </w:rPr>
        <w:t>: כולה ר"מ היא, ועד כאן לא קאמר ר"מ התם - אלא בשני לקוחות, דאמרי לה: אי איתא דנחת רוח עבדת - לקמא איבעי לך למיעבד, אבל בלוקח אחד אפילו רבי מאיר מודה, ומתני'</w:t>
      </w:r>
      <w:r>
        <w:rPr>
          <w:rStyle w:val="a7"/>
          <w:rFonts w:cs="Arial"/>
          <w:rtl/>
        </w:rPr>
        <w:footnoteReference w:id="1408"/>
      </w:r>
      <w:r w:rsidRPr="00072F15">
        <w:rPr>
          <w:rFonts w:cs="Arial"/>
          <w:rtl/>
        </w:rPr>
        <w:t xml:space="preserve"> - דכתב</w:t>
      </w:r>
      <w:r>
        <w:rPr>
          <w:rStyle w:val="a7"/>
          <w:rFonts w:cs="Arial"/>
          <w:rtl/>
        </w:rPr>
        <w:footnoteReference w:id="1409"/>
      </w:r>
      <w:r w:rsidRPr="00072F15">
        <w:rPr>
          <w:rFonts w:cs="Arial"/>
          <w:rtl/>
        </w:rPr>
        <w:t xml:space="preserve"> ליה לאחר.</w:t>
      </w:r>
    </w:p>
    <w:bookmarkEnd w:id="10"/>
    <w:p w14:paraId="3F9045DD" w14:textId="2932ECC1" w:rsidR="00741D85" w:rsidRPr="007C1187" w:rsidRDefault="00741D85" w:rsidP="00741D85">
      <w:pPr>
        <w:rPr>
          <w:rFonts w:cs="Arial"/>
          <w:u w:val="single"/>
        </w:rPr>
      </w:pPr>
      <w:r w:rsidRPr="007C1187">
        <w:rPr>
          <w:rFonts w:cs="Arial" w:hint="cs"/>
          <w:u w:val="single"/>
          <w:rtl/>
        </w:rPr>
        <w:t xml:space="preserve">בעל </w:t>
      </w:r>
      <w:r>
        <w:rPr>
          <w:rFonts w:cs="Arial" w:hint="cs"/>
          <w:u w:val="single"/>
          <w:rtl/>
        </w:rPr>
        <w:t>ש</w:t>
      </w:r>
      <w:r w:rsidRPr="007C1187">
        <w:rPr>
          <w:rFonts w:cs="Arial" w:hint="cs"/>
          <w:u w:val="single"/>
          <w:rtl/>
        </w:rPr>
        <w:t>רצה למכור נצ"ב לאחד, ו</w:t>
      </w:r>
      <w:r>
        <w:rPr>
          <w:rFonts w:cs="Arial" w:hint="cs"/>
          <w:u w:val="single"/>
          <w:rtl/>
        </w:rPr>
        <w:t xml:space="preserve">אשתו </w:t>
      </w:r>
      <w:r w:rsidRPr="007C1187">
        <w:rPr>
          <w:rFonts w:cs="Arial" w:hint="cs"/>
          <w:u w:val="single"/>
          <w:rtl/>
        </w:rPr>
        <w:t>לא הסכימה, ו</w:t>
      </w:r>
      <w:r>
        <w:rPr>
          <w:rFonts w:cs="Arial" w:hint="cs"/>
          <w:u w:val="single"/>
          <w:rtl/>
        </w:rPr>
        <w:t xml:space="preserve">אח"כ </w:t>
      </w:r>
      <w:r w:rsidRPr="007C1187">
        <w:rPr>
          <w:rFonts w:cs="Arial" w:hint="cs"/>
          <w:u w:val="single"/>
          <w:rtl/>
        </w:rPr>
        <w:t xml:space="preserve">רצה למכור לאחר </w:t>
      </w:r>
      <w:r w:rsidR="00F97626">
        <w:rPr>
          <w:rFonts w:cs="Arial"/>
          <w:u w:val="single"/>
          <w:rtl/>
        </w:rPr>
        <w:t>-</w:t>
      </w:r>
      <w:r w:rsidRPr="007C1187">
        <w:rPr>
          <w:rFonts w:cs="Arial" w:hint="cs"/>
          <w:u w:val="single"/>
          <w:rtl/>
        </w:rPr>
        <w:t xml:space="preserve"> והסכימה:</w:t>
      </w:r>
    </w:p>
    <w:p w14:paraId="6D566C73" w14:textId="4E8CEED5" w:rsidR="00741D85" w:rsidRDefault="00741D85" w:rsidP="009000E3">
      <w:pPr>
        <w:pStyle w:val="ab"/>
        <w:numPr>
          <w:ilvl w:val="0"/>
          <w:numId w:val="55"/>
        </w:numPr>
        <w:rPr>
          <w:rFonts w:cs="Arial"/>
        </w:rPr>
      </w:pPr>
      <w:r>
        <w:rPr>
          <w:rFonts w:cs="Arial"/>
          <w:rtl/>
        </w:rPr>
        <w:t xml:space="preserve">רמב"ם </w:t>
      </w:r>
      <w:r w:rsidRPr="00A303DC">
        <w:rPr>
          <w:rFonts w:cs="Arial" w:hint="cs"/>
          <w:sz w:val="16"/>
          <w:szCs w:val="16"/>
          <w:rtl/>
        </w:rPr>
        <w:t>(</w:t>
      </w:r>
      <w:r w:rsidRPr="00A303DC">
        <w:rPr>
          <w:rFonts w:cs="Arial"/>
          <w:sz w:val="16"/>
          <w:szCs w:val="16"/>
          <w:rtl/>
        </w:rPr>
        <w:t xml:space="preserve">פי"ז מאישות הי"א) </w:t>
      </w:r>
      <w:r>
        <w:rPr>
          <w:rFonts w:cs="Arial" w:hint="cs"/>
          <w:rtl/>
        </w:rPr>
        <w:t>וטור</w:t>
      </w:r>
      <w:r>
        <w:rPr>
          <w:rStyle w:val="a7"/>
          <w:rFonts w:cs="Arial"/>
          <w:rtl/>
        </w:rPr>
        <w:footnoteReference w:id="1410"/>
      </w:r>
      <w:r>
        <w:rPr>
          <w:rFonts w:cs="Arial" w:hint="cs"/>
          <w:rtl/>
        </w:rPr>
        <w:t xml:space="preserve">- </w:t>
      </w:r>
      <w:r w:rsidRPr="007C1187">
        <w:rPr>
          <w:rFonts w:cs="Arial"/>
          <w:rtl/>
        </w:rPr>
        <w:t>וכן אם מכר הבעל ואמר לאשתו לכתוב ללוקח דין ודברים אין לי עמך</w:t>
      </w:r>
      <w:r w:rsidR="00140505">
        <w:rPr>
          <w:rFonts w:cs="Arial" w:hint="cs"/>
          <w:rtl/>
        </w:rPr>
        <w:t>,</w:t>
      </w:r>
      <w:r w:rsidRPr="007C1187">
        <w:rPr>
          <w:rFonts w:cs="Arial"/>
          <w:rtl/>
        </w:rPr>
        <w:t xml:space="preserve"> ולא כתבה ללוקח ולא הסכימה למעשיו ונפסד</w:t>
      </w:r>
      <w:r>
        <w:rPr>
          <w:rStyle w:val="a7"/>
          <w:rFonts w:cs="Arial"/>
          <w:rtl/>
        </w:rPr>
        <w:footnoteReference w:id="1411"/>
      </w:r>
      <w:r w:rsidRPr="007C1187">
        <w:rPr>
          <w:rFonts w:cs="Arial"/>
          <w:rtl/>
        </w:rPr>
        <w:t xml:space="preserve"> המכר</w:t>
      </w:r>
      <w:r w:rsidR="00140505">
        <w:rPr>
          <w:rFonts w:cs="Arial" w:hint="cs"/>
          <w:rtl/>
        </w:rPr>
        <w:t>,</w:t>
      </w:r>
      <w:r w:rsidRPr="007C1187">
        <w:rPr>
          <w:rFonts w:cs="Arial"/>
          <w:rtl/>
        </w:rPr>
        <w:t xml:space="preserve"> וחזר הבעל ומכר לאיש אחר</w:t>
      </w:r>
      <w:r w:rsidR="00140505">
        <w:rPr>
          <w:rFonts w:cs="Arial" w:hint="cs"/>
          <w:rtl/>
        </w:rPr>
        <w:t>,</w:t>
      </w:r>
      <w:r w:rsidRPr="007C1187">
        <w:rPr>
          <w:rFonts w:cs="Arial"/>
          <w:rtl/>
        </w:rPr>
        <w:t xml:space="preserve"> בין אותה שדה בין שדה אחרת</w:t>
      </w:r>
      <w:r w:rsidR="00140505">
        <w:rPr>
          <w:rFonts w:cs="Arial" w:hint="cs"/>
          <w:rtl/>
        </w:rPr>
        <w:t>,</w:t>
      </w:r>
      <w:r w:rsidRPr="007C1187">
        <w:rPr>
          <w:rFonts w:cs="Arial"/>
          <w:rtl/>
        </w:rPr>
        <w:t xml:space="preserve"> ואחר שמכר הבעל הסכימה למעשיו וקנו מידה שאין לה שעבוד על שדה זו </w:t>
      </w:r>
      <w:r>
        <w:rPr>
          <w:rFonts w:cs="Arial" w:hint="cs"/>
          <w:rtl/>
        </w:rPr>
        <w:t xml:space="preserve">- </w:t>
      </w:r>
      <w:r w:rsidRPr="007C1187">
        <w:rPr>
          <w:rFonts w:cs="Arial"/>
          <w:rtl/>
        </w:rPr>
        <w:t>אינה יכולה לטרוף</w:t>
      </w:r>
      <w:r>
        <w:rPr>
          <w:rFonts w:cs="Arial" w:hint="cs"/>
          <w:rtl/>
        </w:rPr>
        <w:t>,</w:t>
      </w:r>
      <w:r w:rsidRPr="007C1187">
        <w:rPr>
          <w:rFonts w:cs="Arial"/>
          <w:rtl/>
        </w:rPr>
        <w:t xml:space="preserve"> שאינה יכולה לומר נחת רוח עשיתי לבעלי</w:t>
      </w:r>
      <w:r>
        <w:rPr>
          <w:rFonts w:cs="Arial" w:hint="cs"/>
          <w:rtl/>
        </w:rPr>
        <w:t>,</w:t>
      </w:r>
      <w:r w:rsidRPr="007C1187">
        <w:rPr>
          <w:rFonts w:cs="Arial"/>
          <w:rtl/>
        </w:rPr>
        <w:t xml:space="preserve"> שהרי בראשונה כשלא רצתה לא הלכה ברצון בעלה</w:t>
      </w:r>
      <w:r>
        <w:rPr>
          <w:rFonts w:cs="Arial" w:hint="cs"/>
          <w:sz w:val="16"/>
          <w:szCs w:val="16"/>
          <w:rtl/>
        </w:rPr>
        <w:t xml:space="preserve"> (ל' הרמב"ם)</w:t>
      </w:r>
      <w:r>
        <w:rPr>
          <w:rFonts w:cs="Arial" w:hint="cs"/>
          <w:rtl/>
        </w:rPr>
        <w:t>.</w:t>
      </w:r>
      <w:r w:rsidRPr="008C513A">
        <w:rPr>
          <w:rFonts w:cs="Arial"/>
          <w:rtl/>
        </w:rPr>
        <w:t xml:space="preserve"> </w:t>
      </w:r>
      <w:r w:rsidR="002472AF" w:rsidRPr="00763570">
        <w:rPr>
          <w:rFonts w:cs="Arial" w:hint="cs"/>
          <w:color w:val="E36C0A" w:themeColor="accent6" w:themeShade="BF"/>
          <w:rtl/>
        </w:rPr>
        <w:t>(וכ"פ בשו"ע</w:t>
      </w:r>
      <w:r w:rsidR="002472AF">
        <w:rPr>
          <w:rFonts w:cs="Arial" w:hint="cs"/>
          <w:color w:val="E36C0A" w:themeColor="accent6" w:themeShade="BF"/>
          <w:rtl/>
        </w:rPr>
        <w:t>)</w:t>
      </w:r>
    </w:p>
    <w:p w14:paraId="6AD0FC32" w14:textId="133CF859" w:rsidR="006601D0" w:rsidRPr="006601D0" w:rsidRDefault="00140505" w:rsidP="006601D0">
      <w:pPr>
        <w:ind w:left="360"/>
        <w:rPr>
          <w:u w:val="dotted"/>
        </w:rPr>
      </w:pPr>
      <w:r>
        <w:rPr>
          <w:rFonts w:hint="cs"/>
          <w:u w:val="dotted"/>
          <w:rtl/>
        </w:rPr>
        <w:t xml:space="preserve">כשמכר בתחילה לראשון ללא הסכמתה, ואח"כ הסכימה למכור לשני קרקע אחרת - </w:t>
      </w:r>
      <w:r w:rsidR="006601D0" w:rsidRPr="006601D0">
        <w:rPr>
          <w:rFonts w:hint="cs"/>
          <w:u w:val="dotted"/>
          <w:rtl/>
        </w:rPr>
        <w:t>האם יכולה לגבות מהראשון:</w:t>
      </w:r>
    </w:p>
    <w:p w14:paraId="6E67F828" w14:textId="5853EDD0" w:rsidR="006601D0" w:rsidRPr="00D96B36" w:rsidRDefault="006601D0" w:rsidP="009000E3">
      <w:pPr>
        <w:pStyle w:val="ab"/>
        <w:numPr>
          <w:ilvl w:val="0"/>
          <w:numId w:val="55"/>
        </w:numPr>
      </w:pPr>
      <w:r w:rsidRPr="003D2914">
        <w:rPr>
          <w:rFonts w:cs="Arial"/>
          <w:rtl/>
        </w:rPr>
        <w:t>רש"י</w:t>
      </w:r>
      <w:r w:rsidRPr="00D96B36">
        <w:rPr>
          <w:rFonts w:cs="Arial"/>
          <w:rtl/>
        </w:rPr>
        <w:t xml:space="preserve"> </w:t>
      </w:r>
      <w:r w:rsidRPr="00D96B36">
        <w:rPr>
          <w:rFonts w:cs="Arial"/>
          <w:sz w:val="16"/>
          <w:szCs w:val="16"/>
          <w:rtl/>
        </w:rPr>
        <w:t xml:space="preserve">(ד"ה הכי גרסינן התם) </w:t>
      </w:r>
      <w:r w:rsidRPr="003D2914">
        <w:rPr>
          <w:rFonts w:cs="Arial"/>
          <w:rtl/>
        </w:rPr>
        <w:t xml:space="preserve">רמב"ם </w:t>
      </w:r>
      <w:r>
        <w:rPr>
          <w:rFonts w:cs="Arial" w:hint="cs"/>
          <w:sz w:val="16"/>
          <w:szCs w:val="16"/>
          <w:rtl/>
        </w:rPr>
        <w:t xml:space="preserve">(פי"ט ממלוה ה"ח) </w:t>
      </w:r>
      <w:r w:rsidRPr="003D2914">
        <w:rPr>
          <w:rFonts w:cs="Arial"/>
          <w:rtl/>
        </w:rPr>
        <w:t>העיטור</w:t>
      </w:r>
      <w:r>
        <w:rPr>
          <w:rFonts w:cs="Arial" w:hint="cs"/>
          <w:rtl/>
        </w:rPr>
        <w:t xml:space="preserve"> </w:t>
      </w:r>
      <w:r>
        <w:rPr>
          <w:rFonts w:cs="Arial" w:hint="cs"/>
          <w:sz w:val="16"/>
          <w:szCs w:val="16"/>
          <w:rtl/>
        </w:rPr>
        <w:t xml:space="preserve">(כ"כ הטור </w:t>
      </w:r>
      <w:r w:rsidR="001B0980">
        <w:rPr>
          <w:rFonts w:cs="Arial" w:hint="cs"/>
          <w:sz w:val="16"/>
          <w:szCs w:val="16"/>
          <w:rtl/>
        </w:rPr>
        <w:t xml:space="preserve">[בסי' ק] </w:t>
      </w:r>
      <w:r>
        <w:rPr>
          <w:rFonts w:cs="Arial" w:hint="cs"/>
          <w:sz w:val="16"/>
          <w:szCs w:val="16"/>
          <w:rtl/>
        </w:rPr>
        <w:t xml:space="preserve">בשמו) </w:t>
      </w:r>
      <w:r>
        <w:rPr>
          <w:rFonts w:cs="Arial" w:hint="cs"/>
          <w:rtl/>
        </w:rPr>
        <w:t xml:space="preserve">ורשב"א </w:t>
      </w:r>
      <w:r>
        <w:rPr>
          <w:rFonts w:cs="Arial" w:hint="cs"/>
          <w:sz w:val="16"/>
          <w:szCs w:val="16"/>
          <w:rtl/>
        </w:rPr>
        <w:t>(במיוחסות סי' עט)</w:t>
      </w:r>
      <w:r>
        <w:rPr>
          <w:rFonts w:cs="Arial" w:hint="cs"/>
          <w:rtl/>
        </w:rPr>
        <w:t>-</w:t>
      </w:r>
      <w:r w:rsidRPr="003D2914">
        <w:rPr>
          <w:rFonts w:cs="Arial"/>
          <w:rtl/>
        </w:rPr>
        <w:t xml:space="preserve"> אינה גובה ממנו</w:t>
      </w:r>
      <w:r>
        <w:rPr>
          <w:rFonts w:cs="Arial" w:hint="cs"/>
          <w:rtl/>
        </w:rPr>
        <w:t>.</w:t>
      </w:r>
      <w:r w:rsidRPr="003D2914">
        <w:rPr>
          <w:rFonts w:cs="Arial"/>
          <w:rtl/>
        </w:rPr>
        <w:t xml:space="preserve"> </w:t>
      </w:r>
      <w:r w:rsidRPr="00AF388C">
        <w:rPr>
          <w:rFonts w:hint="cs"/>
          <w:color w:val="E36C0A" w:themeColor="accent6" w:themeShade="BF"/>
          <w:rtl/>
        </w:rPr>
        <w:t>(וכ"פ בשו"ע</w:t>
      </w:r>
      <w:r w:rsidR="008E0784">
        <w:rPr>
          <w:rFonts w:hint="cs"/>
          <w:color w:val="E36C0A" w:themeColor="accent6" w:themeShade="BF"/>
          <w:sz w:val="16"/>
          <w:szCs w:val="16"/>
          <w:rtl/>
        </w:rPr>
        <w:t xml:space="preserve"> </w:t>
      </w:r>
      <w:r w:rsidR="008E0784" w:rsidRPr="008E0784">
        <w:rPr>
          <w:rFonts w:hint="cs"/>
          <w:color w:val="000000" w:themeColor="text1"/>
          <w:sz w:val="16"/>
          <w:szCs w:val="16"/>
          <w:rtl/>
        </w:rPr>
        <w:t>[</w:t>
      </w:r>
      <w:r w:rsidR="008E0784">
        <w:rPr>
          <w:rFonts w:hint="cs"/>
          <w:color w:val="000000" w:themeColor="text1"/>
          <w:sz w:val="16"/>
          <w:szCs w:val="16"/>
          <w:rtl/>
        </w:rPr>
        <w:t>בסי' ק ס"ג</w:t>
      </w:r>
      <w:r w:rsidR="00093D2D">
        <w:rPr>
          <w:rFonts w:hint="cs"/>
          <w:color w:val="000000" w:themeColor="text1"/>
          <w:sz w:val="16"/>
          <w:szCs w:val="16"/>
          <w:rtl/>
        </w:rPr>
        <w:t>,</w:t>
      </w:r>
      <w:r w:rsidR="00093D2D" w:rsidRPr="00093D2D">
        <w:rPr>
          <w:rFonts w:hint="cs"/>
          <w:sz w:val="16"/>
          <w:szCs w:val="16"/>
          <w:rtl/>
        </w:rPr>
        <w:t xml:space="preserve"> </w:t>
      </w:r>
      <w:r w:rsidR="00093D2D">
        <w:rPr>
          <w:rFonts w:hint="cs"/>
          <w:sz w:val="16"/>
          <w:szCs w:val="16"/>
          <w:rtl/>
        </w:rPr>
        <w:t>וב</w:t>
      </w:r>
      <w:r w:rsidR="000C3394">
        <w:rPr>
          <w:rFonts w:hint="cs"/>
          <w:sz w:val="16"/>
          <w:szCs w:val="16"/>
          <w:rtl/>
        </w:rPr>
        <w:t xml:space="preserve">חו"מ </w:t>
      </w:r>
      <w:r w:rsidR="00093D2D">
        <w:rPr>
          <w:rFonts w:hint="cs"/>
          <w:sz w:val="16"/>
          <w:szCs w:val="16"/>
          <w:rtl/>
        </w:rPr>
        <w:t>סי' קיח ס"א</w:t>
      </w:r>
      <w:r w:rsidR="008E0784" w:rsidRPr="008E0784">
        <w:rPr>
          <w:rFonts w:hint="cs"/>
          <w:color w:val="000000" w:themeColor="text1"/>
          <w:sz w:val="16"/>
          <w:szCs w:val="16"/>
          <w:rtl/>
        </w:rPr>
        <w:t>]</w:t>
      </w:r>
      <w:r w:rsidRPr="00AF388C">
        <w:rPr>
          <w:rFonts w:hint="cs"/>
          <w:color w:val="E36C0A" w:themeColor="accent6" w:themeShade="BF"/>
          <w:rtl/>
        </w:rPr>
        <w:t>)</w:t>
      </w:r>
    </w:p>
    <w:p w14:paraId="29B7DB4B" w14:textId="440BD717" w:rsidR="006601D0" w:rsidRPr="006601D0" w:rsidRDefault="006601D0" w:rsidP="009000E3">
      <w:pPr>
        <w:pStyle w:val="ab"/>
        <w:numPr>
          <w:ilvl w:val="0"/>
          <w:numId w:val="55"/>
        </w:numPr>
      </w:pPr>
      <w:r w:rsidRPr="003D2914">
        <w:rPr>
          <w:rFonts w:cs="Arial"/>
          <w:rtl/>
        </w:rPr>
        <w:t xml:space="preserve">ר"ח </w:t>
      </w:r>
      <w:r>
        <w:rPr>
          <w:rFonts w:cs="Arial" w:hint="cs"/>
          <w:sz w:val="16"/>
          <w:szCs w:val="16"/>
          <w:rtl/>
        </w:rPr>
        <w:t xml:space="preserve">(כ"כ הטור </w:t>
      </w:r>
      <w:r w:rsidR="001B0980">
        <w:rPr>
          <w:rFonts w:cs="Arial" w:hint="cs"/>
          <w:sz w:val="16"/>
          <w:szCs w:val="16"/>
          <w:rtl/>
        </w:rPr>
        <w:t xml:space="preserve">[בסי' ק] </w:t>
      </w:r>
      <w:r>
        <w:rPr>
          <w:rFonts w:cs="Arial" w:hint="cs"/>
          <w:sz w:val="16"/>
          <w:szCs w:val="16"/>
          <w:rtl/>
        </w:rPr>
        <w:t xml:space="preserve">בשמו) </w:t>
      </w:r>
      <w:r w:rsidRPr="003D2914">
        <w:rPr>
          <w:rFonts w:cs="Arial"/>
          <w:rtl/>
        </w:rPr>
        <w:t>ר"ת</w:t>
      </w:r>
      <w:r>
        <w:rPr>
          <w:rFonts w:cs="Arial" w:hint="cs"/>
          <w:rtl/>
        </w:rPr>
        <w:t xml:space="preserve"> </w:t>
      </w:r>
      <w:r w:rsidRPr="00D96B36">
        <w:rPr>
          <w:rFonts w:cs="Arial"/>
          <w:sz w:val="16"/>
          <w:szCs w:val="16"/>
          <w:rtl/>
        </w:rPr>
        <w:t>(תוס' ד"ה התם)</w:t>
      </w:r>
      <w:r>
        <w:rPr>
          <w:rFonts w:cs="Arial" w:hint="cs"/>
          <w:sz w:val="16"/>
          <w:szCs w:val="16"/>
          <w:rtl/>
        </w:rPr>
        <w:t xml:space="preserve"> </w:t>
      </w:r>
      <w:r>
        <w:rPr>
          <w:rFonts w:cs="Arial" w:hint="cs"/>
          <w:rtl/>
        </w:rPr>
        <w:t xml:space="preserve">ורא"ש </w:t>
      </w:r>
      <w:r w:rsidRPr="00D96B36">
        <w:rPr>
          <w:rFonts w:cs="Arial"/>
          <w:sz w:val="16"/>
          <w:szCs w:val="16"/>
          <w:rtl/>
        </w:rPr>
        <w:t>(סי' יז)</w:t>
      </w:r>
      <w:r>
        <w:rPr>
          <w:rFonts w:cs="Arial" w:hint="cs"/>
          <w:rtl/>
        </w:rPr>
        <w:t>-</w:t>
      </w:r>
      <w:r w:rsidRPr="003D2914">
        <w:rPr>
          <w:rFonts w:cs="Arial"/>
          <w:rtl/>
        </w:rPr>
        <w:t xml:space="preserve"> גובה ממנו</w:t>
      </w:r>
      <w:r>
        <w:rPr>
          <w:rFonts w:cs="Arial" w:hint="cs"/>
          <w:rtl/>
        </w:rPr>
        <w:t>.</w:t>
      </w:r>
    </w:p>
    <w:bookmarkEnd w:id="11"/>
    <w:p w14:paraId="70661800" w14:textId="3D11A332" w:rsidR="00741D85" w:rsidRPr="00304226" w:rsidRDefault="00304226" w:rsidP="00304226">
      <w:pPr>
        <w:rPr>
          <w:u w:val="single"/>
        </w:rPr>
      </w:pPr>
      <w:r w:rsidRPr="00304226">
        <w:rPr>
          <w:u w:val="single"/>
          <w:rtl/>
        </w:rPr>
        <w:t>אשה שהודית שחייבת עם בעלה</w:t>
      </w:r>
      <w:r w:rsidRPr="00304226">
        <w:rPr>
          <w:rFonts w:hint="cs"/>
          <w:u w:val="single"/>
          <w:rtl/>
        </w:rPr>
        <w:t xml:space="preserve"> </w:t>
      </w:r>
      <w:r w:rsidR="00F97626">
        <w:rPr>
          <w:u w:val="single"/>
          <w:rtl/>
        </w:rPr>
        <w:t>-</w:t>
      </w:r>
      <w:r w:rsidRPr="00304226">
        <w:rPr>
          <w:rFonts w:hint="cs"/>
          <w:u w:val="single"/>
          <w:rtl/>
        </w:rPr>
        <w:t xml:space="preserve"> האם יכול אח"כ לטעון 'נחת רוח עשיתי לבעלי':</w:t>
      </w:r>
      <w:r w:rsidR="00843F99" w:rsidRPr="00304226">
        <w:rPr>
          <w:rFonts w:cs="Arial"/>
          <w:rtl/>
        </w:rPr>
        <w:t xml:space="preserve"> </w:t>
      </w:r>
    </w:p>
    <w:p w14:paraId="5A2B5893" w14:textId="376141AB" w:rsidR="00843F99" w:rsidRPr="00304226" w:rsidRDefault="00304226" w:rsidP="009000E3">
      <w:pPr>
        <w:pStyle w:val="ab"/>
        <w:numPr>
          <w:ilvl w:val="0"/>
          <w:numId w:val="55"/>
        </w:numPr>
        <w:rPr>
          <w:rFonts w:cs="Arial"/>
        </w:rPr>
      </w:pPr>
      <w:r>
        <w:rPr>
          <w:rFonts w:cs="Arial" w:hint="cs"/>
          <w:rtl/>
        </w:rPr>
        <w:lastRenderedPageBreak/>
        <w:t xml:space="preserve">רמב"ן </w:t>
      </w:r>
      <w:r w:rsidRPr="00304226">
        <w:rPr>
          <w:rFonts w:cs="Arial" w:hint="cs"/>
          <w:sz w:val="16"/>
          <w:szCs w:val="16"/>
          <w:rtl/>
        </w:rPr>
        <w:t>(בתשו', הביאו סה"ת שער ו ח"ב)</w:t>
      </w:r>
      <w:r>
        <w:rPr>
          <w:rFonts w:cs="Arial" w:hint="cs"/>
          <w:rtl/>
        </w:rPr>
        <w:t xml:space="preserve">- </w:t>
      </w:r>
      <w:r w:rsidRPr="00304226">
        <w:rPr>
          <w:rFonts w:cs="Arial"/>
          <w:rtl/>
        </w:rPr>
        <w:t>כל אשה כיון שמודה לבעל חוב שהיא חייבת לו, הרי היא וכל נכסיה חייבין מעתה, ונכסי מלוג שלה חייבין ומשועבדין לבעל חוב</w:t>
      </w:r>
      <w:r w:rsidR="004A3DBE">
        <w:rPr>
          <w:rFonts w:cs="Arial" w:hint="cs"/>
          <w:rtl/>
        </w:rPr>
        <w:t>,</w:t>
      </w:r>
      <w:r w:rsidRPr="00304226">
        <w:rPr>
          <w:rFonts w:cs="Arial"/>
          <w:rtl/>
        </w:rPr>
        <w:t xml:space="preserve"> וכתובתה עצמה משועבדת לו, ואם נתגרשה בא בעל חוב ונוטלה. ומחיים נמי נוטלה בעל חוב בטובת הנאה, אלא משום מחילת הבעל, כדאיתה בהחובל. נמצאת מפסדת כתובתה ונכסיה בחוב זה. הלכך לא שיך בה נחת רוח עשיתי לבעלי כלל, כי היכי דלא שייך בנכסים דידה שהן נכסי מלוג, לא שנא אית לה נכסי מלוג ולא שנא לית לה, דהא מכל מקום היא עצמה וכתובתה וכל מאי דקניא משתעבד לבעל חוב. ולא שיך נחת רוח עשיתי לבעלי שהרי המוחלת כתובתה לבעלה לא מציא למימר נחת רוח עשיתי לו, שאין נחת רוח אלא בנכסיו שלא תעכב היא מכירתו, אבל לשעבד היא עצמה או ליתן את שלה לבעל ולמלוה שלו או להפסיד כתובתה </w:t>
      </w:r>
      <w:r w:rsidR="004A3DBE">
        <w:rPr>
          <w:rFonts w:cs="Arial" w:hint="cs"/>
          <w:rtl/>
        </w:rPr>
        <w:t xml:space="preserve">- </w:t>
      </w:r>
      <w:r w:rsidRPr="00304226">
        <w:rPr>
          <w:rFonts w:cs="Arial"/>
          <w:rtl/>
        </w:rPr>
        <w:t>לא. אבל אם לוה הבעל ושעבד שדה צאן ברזל שלה באפותיקי מפורש וחתמה לו, בזה יש מקום שיצטרך מה שכתבת שיקנו ממנה תחלה או שתקבל המעות בפניהם, לפי שהיא אינה מתחייבת לבעל חוב ואינה מפסדת אלא אותו שדה המשועבד לה. ואיני צריך להאריך בזה בראיות, כי ענין ברור הוא</w:t>
      </w:r>
      <w:r>
        <w:rPr>
          <w:rStyle w:val="a7"/>
          <w:rFonts w:cs="Arial"/>
          <w:rtl/>
        </w:rPr>
        <w:footnoteReference w:id="1412"/>
      </w:r>
      <w:r w:rsidRPr="00304226">
        <w:rPr>
          <w:rFonts w:cs="Arial"/>
          <w:rtl/>
        </w:rPr>
        <w:t>.</w:t>
      </w:r>
      <w:r w:rsidR="002472AF">
        <w:rPr>
          <w:rFonts w:cs="Arial" w:hint="cs"/>
          <w:rtl/>
        </w:rPr>
        <w:t xml:space="preserve"> </w:t>
      </w:r>
      <w:r w:rsidR="002472AF" w:rsidRPr="002472AF">
        <w:rPr>
          <w:rFonts w:cs="Arial" w:hint="cs"/>
          <w:color w:val="00B0F0"/>
          <w:rtl/>
        </w:rPr>
        <w:t>(וכ"פ הרמ"א)</w:t>
      </w:r>
    </w:p>
    <w:p w14:paraId="00373CF4" w14:textId="081074D0" w:rsidR="008D0539" w:rsidRPr="008D0539" w:rsidRDefault="00425534" w:rsidP="008D0539">
      <w:pPr>
        <w:rPr>
          <w:rFonts w:cs="Arial"/>
        </w:rPr>
      </w:pPr>
      <w:r w:rsidRPr="00425534">
        <w:rPr>
          <w:rFonts w:cs="Arial" w:hint="cs"/>
          <w:u w:val="single"/>
          <w:rtl/>
        </w:rPr>
        <w:t xml:space="preserve">מי שרוצה לקנות בית, וחושש שאשתו תעכב עליו במכירתו </w:t>
      </w:r>
      <w:r w:rsidR="00F97626">
        <w:rPr>
          <w:rFonts w:cs="Arial"/>
          <w:u w:val="single"/>
          <w:rtl/>
        </w:rPr>
        <w:t>-</w:t>
      </w:r>
      <w:r w:rsidRPr="00425534">
        <w:rPr>
          <w:rFonts w:cs="Arial" w:hint="cs"/>
          <w:u w:val="single"/>
          <w:rtl/>
        </w:rPr>
        <w:t xml:space="preserve"> האם יכול להתנות עמה </w:t>
      </w:r>
      <w:r w:rsidRPr="00425534">
        <w:rPr>
          <w:rFonts w:cs="Arial"/>
          <w:u w:val="single"/>
          <w:rtl/>
        </w:rPr>
        <w:t>עליו בשעת קניין</w:t>
      </w:r>
      <w:r w:rsidRPr="00425534">
        <w:rPr>
          <w:rFonts w:cs="Arial" w:hint="cs"/>
          <w:u w:val="single"/>
          <w:rtl/>
        </w:rPr>
        <w:t>:</w:t>
      </w:r>
      <w:r w:rsidRPr="00843F99">
        <w:rPr>
          <w:rFonts w:cs="Arial"/>
          <w:rtl/>
        </w:rPr>
        <w:t xml:space="preserve"> </w:t>
      </w:r>
      <w:r w:rsidR="00304226" w:rsidRPr="00425534">
        <w:rPr>
          <w:rFonts w:cs="Arial"/>
          <w:sz w:val="16"/>
          <w:szCs w:val="16"/>
          <w:rtl/>
        </w:rPr>
        <w:t>(</w:t>
      </w:r>
      <w:r w:rsidR="008D0539" w:rsidRPr="00425534">
        <w:rPr>
          <w:rFonts w:cs="Arial" w:hint="cs"/>
          <w:sz w:val="16"/>
          <w:szCs w:val="16"/>
          <w:rtl/>
        </w:rPr>
        <w:t xml:space="preserve">דרכ"מ אות </w:t>
      </w:r>
      <w:r w:rsidR="00304226" w:rsidRPr="00425534">
        <w:rPr>
          <w:rFonts w:cs="Arial"/>
          <w:sz w:val="16"/>
          <w:szCs w:val="16"/>
          <w:rtl/>
        </w:rPr>
        <w:t>כ)</w:t>
      </w:r>
      <w:r w:rsidR="00304226" w:rsidRPr="008D0539">
        <w:rPr>
          <w:rFonts w:cs="Arial"/>
          <w:rtl/>
        </w:rPr>
        <w:t xml:space="preserve"> </w:t>
      </w:r>
    </w:p>
    <w:p w14:paraId="09F2837A" w14:textId="667CC627" w:rsidR="00680B86" w:rsidRPr="00680B86" w:rsidRDefault="00304226" w:rsidP="009000E3">
      <w:pPr>
        <w:pStyle w:val="ab"/>
        <w:numPr>
          <w:ilvl w:val="0"/>
          <w:numId w:val="55"/>
        </w:numPr>
        <w:rPr>
          <w:rFonts w:cs="Arial"/>
        </w:rPr>
      </w:pPr>
      <w:r w:rsidRPr="00843F99">
        <w:rPr>
          <w:rFonts w:cs="Arial"/>
          <w:rtl/>
        </w:rPr>
        <w:t>מהר"ם</w:t>
      </w:r>
      <w:r w:rsidR="00680B86">
        <w:rPr>
          <w:rFonts w:cs="Arial" w:hint="cs"/>
          <w:rtl/>
        </w:rPr>
        <w:t xml:space="preserve"> </w:t>
      </w:r>
      <w:r w:rsidR="00680B86">
        <w:rPr>
          <w:rFonts w:cs="Arial" w:hint="cs"/>
          <w:sz w:val="16"/>
          <w:szCs w:val="16"/>
          <w:rtl/>
        </w:rPr>
        <w:t>(</w:t>
      </w:r>
      <w:r w:rsidR="00680B86" w:rsidRPr="00680B86">
        <w:rPr>
          <w:rFonts w:cs="Arial"/>
          <w:sz w:val="16"/>
          <w:szCs w:val="16"/>
          <w:rtl/>
        </w:rPr>
        <w:t>ד</w:t>
      </w:r>
      <w:r w:rsidR="00680B86">
        <w:rPr>
          <w:rFonts w:cs="Arial" w:hint="cs"/>
          <w:sz w:val="16"/>
          <w:szCs w:val="16"/>
          <w:rtl/>
        </w:rPr>
        <w:t>"</w:t>
      </w:r>
      <w:r w:rsidR="00680B86" w:rsidRPr="00680B86">
        <w:rPr>
          <w:rFonts w:cs="Arial"/>
          <w:sz w:val="16"/>
          <w:szCs w:val="16"/>
          <w:rtl/>
        </w:rPr>
        <w:t>ל סי</w:t>
      </w:r>
      <w:r w:rsidR="00680B86">
        <w:rPr>
          <w:rFonts w:cs="Arial" w:hint="cs"/>
          <w:sz w:val="16"/>
          <w:szCs w:val="16"/>
          <w:rtl/>
        </w:rPr>
        <w:t>'</w:t>
      </w:r>
      <w:r w:rsidR="00680B86" w:rsidRPr="00680B86">
        <w:rPr>
          <w:rFonts w:cs="Arial"/>
          <w:sz w:val="16"/>
          <w:szCs w:val="16"/>
          <w:rtl/>
        </w:rPr>
        <w:t xml:space="preserve"> רנט</w:t>
      </w:r>
      <w:r w:rsidR="00680B86" w:rsidRPr="00680B86">
        <w:rPr>
          <w:rStyle w:val="a7"/>
          <w:rFonts w:cs="Arial"/>
          <w:sz w:val="16"/>
          <w:szCs w:val="16"/>
          <w:rtl/>
        </w:rPr>
        <w:footnoteReference w:id="1413"/>
      </w:r>
      <w:r w:rsidR="00680B86">
        <w:rPr>
          <w:rFonts w:cs="Arial" w:hint="cs"/>
          <w:sz w:val="16"/>
          <w:szCs w:val="16"/>
          <w:rtl/>
        </w:rPr>
        <w:t>)</w:t>
      </w:r>
      <w:r w:rsidR="00680B86">
        <w:rPr>
          <w:rFonts w:cs="Arial" w:hint="cs"/>
          <w:rtl/>
        </w:rPr>
        <w:t xml:space="preserve"> </w:t>
      </w:r>
      <w:r w:rsidR="006A72F9">
        <w:rPr>
          <w:rFonts w:cs="Arial" w:hint="cs"/>
          <w:rtl/>
        </w:rPr>
        <w:t>-</w:t>
      </w:r>
      <w:r w:rsidR="00680B86">
        <w:rPr>
          <w:rFonts w:cs="Arial"/>
        </w:rPr>
        <w:t xml:space="preserve"> </w:t>
      </w:r>
      <w:r w:rsidR="00680B86" w:rsidRPr="00680B86">
        <w:rPr>
          <w:rFonts w:cs="Arial"/>
          <w:rtl/>
        </w:rPr>
        <w:t xml:space="preserve">ועל ראובן שחפץ לקנות בית ודואג פן יצטרך למוכרו ותעכב אשתו עליו, היוכל להתנות עם אשתו בשעת קנייה לומר על מנת כן אקנה לנו בית שבשעה שאצטרך למוכרו לא תוכל לעכב עליו, והיא מקבלת עליה כן ונכתב בשטר, אם תוכל לחזור בה כיון דבשעת התנאי הוה ליה דבר שלא בא לעולם שעדיין לא קנאו. נ"ל דלא מציא למיהדר בה, דנהי דאין אדם מקנה דבר שלא בא לעולם אדם מסתלק בטוב מדבר שלא בא לעולם. כדאיתא פרק חזקת הבתים </w:t>
      </w:r>
      <w:r w:rsidR="00680B86" w:rsidRPr="00680B86">
        <w:rPr>
          <w:rFonts w:cs="Arial" w:hint="cs"/>
          <w:rtl/>
        </w:rPr>
        <w:t>(</w:t>
      </w:r>
      <w:r w:rsidR="00680B86" w:rsidRPr="00680B86">
        <w:rPr>
          <w:rFonts w:cs="Arial"/>
          <w:rtl/>
        </w:rPr>
        <w:t>ב"ב מט</w:t>
      </w:r>
      <w:r w:rsidR="00680B86" w:rsidRPr="00680B86">
        <w:rPr>
          <w:rFonts w:cs="Arial" w:hint="cs"/>
          <w:rtl/>
        </w:rPr>
        <w:t>:)</w:t>
      </w:r>
      <w:r w:rsidR="00680B86" w:rsidRPr="00680B86">
        <w:rPr>
          <w:rFonts w:cs="Arial"/>
          <w:rtl/>
        </w:rPr>
        <w:t xml:space="preserve"> ובפרק הכותב </w:t>
      </w:r>
      <w:r w:rsidR="00680B86" w:rsidRPr="00680B86">
        <w:rPr>
          <w:rFonts w:cs="Arial" w:hint="cs"/>
          <w:rtl/>
        </w:rPr>
        <w:t>(</w:t>
      </w:r>
      <w:r w:rsidR="00680B86" w:rsidRPr="00680B86">
        <w:rPr>
          <w:rFonts w:cs="Arial"/>
          <w:rtl/>
        </w:rPr>
        <w:t>כתובות פג</w:t>
      </w:r>
      <w:r w:rsidR="00680B86" w:rsidRPr="00680B86">
        <w:rPr>
          <w:rFonts w:cs="Arial" w:hint="cs"/>
          <w:rtl/>
        </w:rPr>
        <w:t>.)</w:t>
      </w:r>
      <w:r w:rsidR="00680B86" w:rsidRPr="00680B86">
        <w:rPr>
          <w:rFonts w:cs="Arial"/>
          <w:rtl/>
        </w:rPr>
        <w:t xml:space="preserve"> נחלה הבאה לו לאדם ממקום אחר מתנה עליה שלא יירשנה, דתנן הכותב לאשתו דין ודברים אין לי בנכסייך ובפירותייך וכו', ומוקי לה בעודה ארוסה כתב לה, ומהני בין לנכסים שהן כבר בעולם ובין לפירות דאכתי לא אתו</w:t>
      </w:r>
      <w:r w:rsidR="00680B86" w:rsidRPr="00680B86">
        <w:rPr>
          <w:rFonts w:cs="Arial" w:hint="cs"/>
          <w:rtl/>
        </w:rPr>
        <w:t>.</w:t>
      </w:r>
      <w:r w:rsidR="00680B86" w:rsidRPr="00680B86">
        <w:rPr>
          <w:rFonts w:cs="Arial"/>
          <w:rtl/>
        </w:rPr>
        <w:t xml:space="preserve"> </w:t>
      </w:r>
      <w:r w:rsidR="002472AF" w:rsidRPr="002472AF">
        <w:rPr>
          <w:rFonts w:cs="Arial" w:hint="cs"/>
          <w:color w:val="00B0F0"/>
          <w:rtl/>
        </w:rPr>
        <w:t>(וכ"פ הרמ"א)</w:t>
      </w:r>
    </w:p>
    <w:p w14:paraId="2CEF8066" w14:textId="77777777" w:rsidR="00EB79BF" w:rsidRDefault="00EB79BF" w:rsidP="00EB79BF">
      <w:pPr>
        <w:rPr>
          <w:rFonts w:cs="Arial"/>
          <w:rtl/>
        </w:rPr>
      </w:pPr>
      <w:r w:rsidRPr="003024E5">
        <w:rPr>
          <w:rFonts w:asciiTheme="minorBidi" w:hAnsiTheme="minorBidi"/>
          <w:b/>
          <w:bCs/>
          <w:color w:val="000000"/>
          <w:sz w:val="28"/>
          <w:szCs w:val="28"/>
          <w:u w:val="single"/>
          <w:rtl/>
        </w:rPr>
        <w:t>שו"ע:</w:t>
      </w:r>
    </w:p>
    <w:p w14:paraId="4B89D9E9" w14:textId="23FBC329" w:rsidR="00DA1E36" w:rsidRDefault="00EB79BF" w:rsidP="00EB79BF">
      <w:pPr>
        <w:rPr>
          <w:rFonts w:cs="Arial"/>
          <w:rtl/>
        </w:rPr>
      </w:pPr>
      <w:r w:rsidRPr="00EB79BF">
        <w:rPr>
          <w:rFonts w:cs="Arial"/>
          <w:rtl/>
        </w:rPr>
        <w:t>הבעל שמכר נכסיו ואח</w:t>
      </w:r>
      <w:r w:rsidR="00DA1E36">
        <w:rPr>
          <w:rFonts w:cs="Arial" w:hint="cs"/>
          <w:rtl/>
        </w:rPr>
        <w:t>ר כך</w:t>
      </w:r>
      <w:r w:rsidRPr="00EB79BF">
        <w:rPr>
          <w:rFonts w:cs="Arial"/>
          <w:rtl/>
        </w:rPr>
        <w:t xml:space="preserve"> כתבה אשתו ללוקח: דין ודברים אין לי עמך והסכימה למעשיו, אף על פי שקנו ממנו, הרי זו טורפת, שלא כתבה לו אלא כדי שלא תהיה בינה לבין בעלה קטטה, ויש לה לומר: נחת רוח עשיתי לבעלי. ואפילו כתבה לו שלא תוכל לומר נחת רוח עשיתי לבעלי, אינו כלום. אבל אם קנו מיד האשה תחלה שאין לה שעבוד על מקום זה, ואחר כך מכר</w:t>
      </w:r>
      <w:r w:rsidR="007D764D">
        <w:rPr>
          <w:rStyle w:val="a7"/>
          <w:rFonts w:cs="Arial"/>
          <w:rtl/>
        </w:rPr>
        <w:footnoteReference w:id="1414"/>
      </w:r>
      <w:r w:rsidRPr="00EB79BF">
        <w:rPr>
          <w:rFonts w:cs="Arial"/>
          <w:rtl/>
        </w:rPr>
        <w:t xml:space="preserve"> אותו הבעל, אינה טורפת אותו. וכן אם מכר הבעל ואמר לאשתו לכתוב ללוקח: דין ודברים אין לי עמך, ולא הסכימה למעשיו, וחזר הבעל ומכר לאיש אחר, בין אותו שדה בין שדה אחרת, ואחר שמכר הבעל הסכימה למעשיו וקנו מידה שאין לה שעבוד על שדה זו, אינה יכולה למחות, שאינה יכולה לומר: נחת רוח עשיתי לבעלי. וכן אם קבלה עליה אחריות</w:t>
      </w:r>
      <w:r w:rsidR="008D6295">
        <w:rPr>
          <w:rStyle w:val="a7"/>
          <w:rFonts w:cs="Arial"/>
          <w:rtl/>
        </w:rPr>
        <w:footnoteReference w:id="1415"/>
      </w:r>
      <w:r w:rsidRPr="00EB79BF">
        <w:rPr>
          <w:rFonts w:cs="Arial"/>
          <w:rtl/>
        </w:rPr>
        <w:t xml:space="preserve"> בפירוש שאם יטרוף בעל חוב של בעלה ממנו שהיא תשלם לו, אינה יכולה לטעון: נחת רוח עשיתי לבעלי. </w:t>
      </w:r>
      <w:r w:rsidRPr="00DA1E36">
        <w:rPr>
          <w:rFonts w:cs="Arial"/>
          <w:sz w:val="18"/>
          <w:szCs w:val="18"/>
          <w:rtl/>
        </w:rPr>
        <w:t>הגה: וי"א דאם האשה קבלה המעות</w:t>
      </w:r>
      <w:r w:rsidR="00CA7D7A">
        <w:rPr>
          <w:rStyle w:val="a7"/>
          <w:rFonts w:cs="Arial"/>
          <w:sz w:val="18"/>
          <w:szCs w:val="18"/>
          <w:rtl/>
        </w:rPr>
        <w:footnoteReference w:id="1416"/>
      </w:r>
      <w:r w:rsidRPr="00DA1E36">
        <w:rPr>
          <w:rFonts w:cs="Arial"/>
          <w:sz w:val="18"/>
          <w:szCs w:val="18"/>
          <w:rtl/>
        </w:rPr>
        <w:t xml:space="preserve"> אינה יכולה לומר עוד: נחת רוח עשיתי לבעלי (</w:t>
      </w:r>
      <w:r w:rsidR="00A27CE9">
        <w:rPr>
          <w:rFonts w:cs="Arial" w:hint="cs"/>
          <w:sz w:val="18"/>
          <w:szCs w:val="18"/>
          <w:rtl/>
        </w:rPr>
        <w:t>רי"ו ו</w:t>
      </w:r>
      <w:r w:rsidRPr="00DA1E36">
        <w:rPr>
          <w:rFonts w:cs="Arial"/>
          <w:sz w:val="18"/>
          <w:szCs w:val="18"/>
          <w:rtl/>
        </w:rPr>
        <w:t>נ</w:t>
      </w:r>
      <w:r w:rsidR="00657A0D">
        <w:rPr>
          <w:rFonts w:cs="Arial" w:hint="cs"/>
          <w:sz w:val="18"/>
          <w:szCs w:val="18"/>
          <w:rtl/>
        </w:rPr>
        <w:t>מוק</w:t>
      </w:r>
      <w:r w:rsidRPr="00DA1E36">
        <w:rPr>
          <w:rFonts w:cs="Arial"/>
          <w:sz w:val="18"/>
          <w:szCs w:val="18"/>
          <w:rtl/>
        </w:rPr>
        <w:t>"י). אשה שהודית שחייבת עם בעלה, צריכה לשלם ולא יכולה למימר בזה: נחת רוח עשיתי לבעלי, דלא אמרינן כן אלא בנכסים שמוכר (רמב"ן</w:t>
      </w:r>
      <w:r w:rsidR="004A3DBE">
        <w:rPr>
          <w:rFonts w:cs="Arial" w:hint="cs"/>
          <w:sz w:val="18"/>
          <w:szCs w:val="18"/>
          <w:rtl/>
        </w:rPr>
        <w:t xml:space="preserve"> בתשו'</w:t>
      </w:r>
      <w:r w:rsidRPr="00DA1E36">
        <w:rPr>
          <w:rFonts w:cs="Arial"/>
          <w:sz w:val="18"/>
          <w:szCs w:val="18"/>
          <w:rtl/>
        </w:rPr>
        <w:t>). אשה שסלקה כחה</w:t>
      </w:r>
      <w:r w:rsidR="008D6295" w:rsidRPr="008D6295">
        <w:rPr>
          <w:rStyle w:val="a7"/>
          <w:rFonts w:cs="Arial"/>
          <w:sz w:val="18"/>
          <w:szCs w:val="18"/>
          <w:rtl/>
        </w:rPr>
        <w:footnoteReference w:id="1417"/>
      </w:r>
      <w:r w:rsidRPr="00DA1E36">
        <w:rPr>
          <w:rFonts w:cs="Arial"/>
          <w:sz w:val="18"/>
          <w:szCs w:val="18"/>
          <w:rtl/>
        </w:rPr>
        <w:t xml:space="preserve"> מנכסי בעלה קודם שקנאן הבעל, יכול למוכרן אח"כ ואינה טורפת מהן, ולא שייך בזה לומר: נחת רוח עשיתי לבעלי (</w:t>
      </w:r>
      <w:r w:rsidR="00A27CE9">
        <w:rPr>
          <w:rFonts w:cs="Arial" w:hint="cs"/>
          <w:sz w:val="18"/>
          <w:szCs w:val="18"/>
          <w:rtl/>
        </w:rPr>
        <w:t>מהר"ם</w:t>
      </w:r>
      <w:r w:rsidRPr="00DA1E36">
        <w:rPr>
          <w:rFonts w:cs="Arial"/>
          <w:sz w:val="18"/>
          <w:szCs w:val="18"/>
          <w:rtl/>
        </w:rPr>
        <w:t>).</w:t>
      </w:r>
    </w:p>
    <w:p w14:paraId="75406477" w14:textId="77777777" w:rsidR="00CA7D7A" w:rsidRDefault="00CA7D7A" w:rsidP="00A11A36">
      <w:pPr>
        <w:rPr>
          <w:rFonts w:cs="Arial"/>
          <w:rtl/>
        </w:rPr>
      </w:pPr>
    </w:p>
    <w:p w14:paraId="3F1BF7E1" w14:textId="7A56F396" w:rsidR="00EB79BF" w:rsidRDefault="00EB79BF" w:rsidP="000F64D0">
      <w:pPr>
        <w:pStyle w:val="2"/>
        <w:rPr>
          <w:rtl/>
        </w:rPr>
      </w:pPr>
      <w:r w:rsidRPr="00EB79BF">
        <w:rPr>
          <w:rtl/>
        </w:rPr>
        <w:t>סעיף יח</w:t>
      </w:r>
      <w:r w:rsidR="007B1571">
        <w:rPr>
          <w:rFonts w:hint="cs"/>
          <w:rtl/>
        </w:rPr>
        <w:t>:</w:t>
      </w:r>
      <w:r w:rsidR="002472AF" w:rsidRPr="002472AF">
        <w:rPr>
          <w:rtl/>
        </w:rPr>
        <w:t xml:space="preserve"> </w:t>
      </w:r>
      <w:r w:rsidR="002472AF" w:rsidRPr="00DD3492">
        <w:rPr>
          <w:rtl/>
        </w:rPr>
        <w:t>נכסי צאן ברזל שאבדו</w:t>
      </w:r>
      <w:r w:rsidR="002472AF">
        <w:rPr>
          <w:rFonts w:hint="cs"/>
          <w:rtl/>
        </w:rPr>
        <w:t>/</w:t>
      </w:r>
      <w:r w:rsidR="002472AF" w:rsidRPr="00DD3492">
        <w:rPr>
          <w:rtl/>
        </w:rPr>
        <w:t>נגנבו ומחלה אותם האשה לבעלה וקנו ממנה בעדים</w:t>
      </w:r>
      <w:r w:rsidR="002472AF">
        <w:rPr>
          <w:rFonts w:hint="cs"/>
          <w:rtl/>
        </w:rPr>
        <w:t>.</w:t>
      </w:r>
    </w:p>
    <w:p w14:paraId="7621E56E" w14:textId="5B670D02" w:rsidR="007B1571" w:rsidRPr="002472AF" w:rsidRDefault="002472AF" w:rsidP="007B1571">
      <w:pPr>
        <w:rPr>
          <w:u w:val="single"/>
          <w:rtl/>
        </w:rPr>
      </w:pPr>
      <w:r w:rsidRPr="002472AF">
        <w:rPr>
          <w:rFonts w:cs="Arial"/>
          <w:u w:val="single"/>
          <w:rtl/>
        </w:rPr>
        <w:t>נכסי צאן ברזל שאבדו</w:t>
      </w:r>
      <w:r w:rsidRPr="002472AF">
        <w:rPr>
          <w:rFonts w:cs="Arial" w:hint="cs"/>
          <w:u w:val="single"/>
          <w:rtl/>
        </w:rPr>
        <w:t>/</w:t>
      </w:r>
      <w:r w:rsidRPr="002472AF">
        <w:rPr>
          <w:rFonts w:cs="Arial"/>
          <w:u w:val="single"/>
          <w:rtl/>
        </w:rPr>
        <w:t>נגנבו</w:t>
      </w:r>
      <w:r w:rsidR="004A3DBE">
        <w:rPr>
          <w:rFonts w:cs="Arial" w:hint="cs"/>
          <w:u w:val="single"/>
          <w:rtl/>
        </w:rPr>
        <w:t>,</w:t>
      </w:r>
      <w:r w:rsidRPr="002472AF">
        <w:rPr>
          <w:rFonts w:cs="Arial"/>
          <w:u w:val="single"/>
          <w:rtl/>
        </w:rPr>
        <w:t xml:space="preserve"> ומחלה אותם האשה לבעלה</w:t>
      </w:r>
      <w:r w:rsidR="004A3DBE">
        <w:rPr>
          <w:rFonts w:cs="Arial" w:hint="cs"/>
          <w:u w:val="single"/>
          <w:rtl/>
        </w:rPr>
        <w:t>,</w:t>
      </w:r>
      <w:r w:rsidRPr="002472AF">
        <w:rPr>
          <w:rFonts w:cs="Arial"/>
          <w:u w:val="single"/>
          <w:rtl/>
        </w:rPr>
        <w:t xml:space="preserve"> וקנו ממנה בעדים</w:t>
      </w:r>
      <w:r w:rsidRPr="002472AF">
        <w:rPr>
          <w:rFonts w:hint="cs"/>
          <w:u w:val="single"/>
          <w:rtl/>
        </w:rPr>
        <w:t xml:space="preserve"> </w:t>
      </w:r>
      <w:r w:rsidR="00F97626">
        <w:rPr>
          <w:u w:val="single"/>
          <w:rtl/>
        </w:rPr>
        <w:t>-</w:t>
      </w:r>
      <w:r w:rsidRPr="002472AF">
        <w:rPr>
          <w:rFonts w:hint="cs"/>
          <w:u w:val="single"/>
          <w:rtl/>
        </w:rPr>
        <w:t xml:space="preserve"> האם יכולה אח"כ לומר נחת רוח </w:t>
      </w:r>
      <w:r>
        <w:rPr>
          <w:rFonts w:hint="cs"/>
          <w:u w:val="single"/>
          <w:rtl/>
        </w:rPr>
        <w:t>וגו'</w:t>
      </w:r>
      <w:r w:rsidRPr="002472AF">
        <w:rPr>
          <w:rFonts w:hint="cs"/>
          <w:u w:val="single"/>
          <w:rtl/>
        </w:rPr>
        <w:t>:</w:t>
      </w:r>
    </w:p>
    <w:p w14:paraId="2A26158B" w14:textId="5E569F6C" w:rsidR="00DD3492" w:rsidRDefault="00DD3492" w:rsidP="009000E3">
      <w:pPr>
        <w:pStyle w:val="ab"/>
        <w:numPr>
          <w:ilvl w:val="0"/>
          <w:numId w:val="55"/>
        </w:numPr>
        <w:rPr>
          <w:rFonts w:cs="Arial"/>
        </w:rPr>
      </w:pPr>
      <w:r>
        <w:rPr>
          <w:rFonts w:cs="Arial" w:hint="cs"/>
          <w:rtl/>
        </w:rPr>
        <w:t xml:space="preserve">רמב"ם </w:t>
      </w:r>
      <w:r>
        <w:rPr>
          <w:rFonts w:cs="Arial" w:hint="cs"/>
          <w:sz w:val="16"/>
          <w:szCs w:val="16"/>
          <w:rtl/>
        </w:rPr>
        <w:t>(פכ"ב מאישות הי"ט)</w:t>
      </w:r>
      <w:r>
        <w:rPr>
          <w:rFonts w:cs="Arial" w:hint="cs"/>
          <w:rtl/>
        </w:rPr>
        <w:t xml:space="preserve"> ו</w:t>
      </w:r>
      <w:r w:rsidR="008C513A" w:rsidRPr="008C513A">
        <w:rPr>
          <w:rFonts w:cs="Arial" w:hint="cs"/>
          <w:rtl/>
        </w:rPr>
        <w:t xml:space="preserve">טור- </w:t>
      </w:r>
      <w:r w:rsidRPr="00DD3492">
        <w:rPr>
          <w:rFonts w:cs="Arial"/>
          <w:rtl/>
        </w:rPr>
        <w:t>נכסי צאן ברזל שאבדו או שנגנבו ומחלה אותם האשה לבעלה וקנו ממנה בעדים</w:t>
      </w:r>
      <w:r>
        <w:rPr>
          <w:rFonts w:cs="Arial" w:hint="cs"/>
          <w:rtl/>
        </w:rPr>
        <w:t xml:space="preserve"> -</w:t>
      </w:r>
      <w:r w:rsidRPr="00DD3492">
        <w:rPr>
          <w:rFonts w:cs="Arial"/>
          <w:rtl/>
        </w:rPr>
        <w:t xml:space="preserve"> יראה לי שאינה יכולה לומר נחת רוח עשיתי לבעלי</w:t>
      </w:r>
      <w:r>
        <w:rPr>
          <w:rFonts w:cs="Arial" w:hint="cs"/>
          <w:rtl/>
        </w:rPr>
        <w:t>.</w:t>
      </w:r>
      <w:r w:rsidRPr="00DD3492">
        <w:rPr>
          <w:rFonts w:cs="Arial"/>
          <w:rtl/>
        </w:rPr>
        <w:t xml:space="preserve"> הא למה זה דומה</w:t>
      </w:r>
      <w:r>
        <w:rPr>
          <w:rFonts w:cs="Arial" w:hint="cs"/>
          <w:rtl/>
        </w:rPr>
        <w:t>,</w:t>
      </w:r>
      <w:r w:rsidRPr="00DD3492">
        <w:rPr>
          <w:rFonts w:cs="Arial"/>
          <w:rtl/>
        </w:rPr>
        <w:t xml:space="preserve"> למי שקנו מידה שאין לה </w:t>
      </w:r>
      <w:r w:rsidRPr="00DD3492">
        <w:rPr>
          <w:rFonts w:cs="Arial"/>
          <w:rtl/>
        </w:rPr>
        <w:lastRenderedPageBreak/>
        <w:t>אחריות</w:t>
      </w:r>
      <w:r>
        <w:rPr>
          <w:rFonts w:cs="Arial" w:hint="cs"/>
          <w:rtl/>
        </w:rPr>
        <w:t>,</w:t>
      </w:r>
      <w:r w:rsidRPr="00DD3492">
        <w:rPr>
          <w:rFonts w:cs="Arial"/>
          <w:rtl/>
        </w:rPr>
        <w:t xml:space="preserve"> שהחזירה נכסים אלו נכסי מלוג</w:t>
      </w:r>
      <w:r w:rsidR="003E3FB4">
        <w:rPr>
          <w:rStyle w:val="a7"/>
          <w:rFonts w:cs="Arial"/>
          <w:rtl/>
        </w:rPr>
        <w:footnoteReference w:id="1418"/>
      </w:r>
      <w:r w:rsidR="003E3FB4">
        <w:rPr>
          <w:rFonts w:cs="Arial" w:hint="cs"/>
          <w:rtl/>
        </w:rPr>
        <w:t>.</w:t>
      </w:r>
      <w:r w:rsidRPr="00DD3492">
        <w:rPr>
          <w:rFonts w:cs="Arial"/>
          <w:rtl/>
        </w:rPr>
        <w:t xml:space="preserve"> שהרי אין הבעל מביא ראיה ליטול כלום ולא להחזיק בנכסיה אלא להפטר מתביעתה מלשלם</w:t>
      </w:r>
      <w:r>
        <w:rPr>
          <w:rFonts w:cs="Arial" w:hint="cs"/>
          <w:rtl/>
        </w:rPr>
        <w:t>.</w:t>
      </w:r>
      <w:r w:rsidRPr="00DD3492">
        <w:rPr>
          <w:rFonts w:cs="Arial"/>
          <w:rtl/>
        </w:rPr>
        <w:t xml:space="preserve"> אבל אם נתנה לו מתנה מטלטלי צאן ברזל הקיימין </w:t>
      </w:r>
      <w:r>
        <w:rPr>
          <w:rFonts w:cs="Arial" w:hint="cs"/>
          <w:rtl/>
        </w:rPr>
        <w:t xml:space="preserve">- </w:t>
      </w:r>
      <w:r w:rsidRPr="00DD3492">
        <w:rPr>
          <w:rFonts w:cs="Arial"/>
          <w:rtl/>
        </w:rPr>
        <w:t>לא קנה</w:t>
      </w:r>
      <w:r>
        <w:rPr>
          <w:rFonts w:cs="Arial" w:hint="cs"/>
          <w:rtl/>
        </w:rPr>
        <w:t>,</w:t>
      </w:r>
      <w:r w:rsidRPr="00DD3492">
        <w:rPr>
          <w:rFonts w:cs="Arial"/>
          <w:rtl/>
        </w:rPr>
        <w:t xml:space="preserve"> מפני שיש לה לומר נחת רוח עשיתי לבעלי</w:t>
      </w:r>
      <w:r>
        <w:rPr>
          <w:rStyle w:val="a7"/>
          <w:rFonts w:cs="Arial"/>
          <w:rtl/>
        </w:rPr>
        <w:footnoteReference w:id="1419"/>
      </w:r>
      <w:r w:rsidR="004D4E72">
        <w:rPr>
          <w:rFonts w:cs="Arial" w:hint="cs"/>
          <w:sz w:val="16"/>
          <w:szCs w:val="16"/>
          <w:rtl/>
        </w:rPr>
        <w:t xml:space="preserve"> (ל' הרמב"ם)</w:t>
      </w:r>
      <w:r w:rsidRPr="00DD3492">
        <w:rPr>
          <w:rFonts w:cs="Arial"/>
          <w:rtl/>
        </w:rPr>
        <w:t xml:space="preserve">. </w:t>
      </w:r>
      <w:r w:rsidR="002472AF" w:rsidRPr="002472AF">
        <w:rPr>
          <w:rFonts w:cs="Arial" w:hint="cs"/>
          <w:color w:val="E36C0A" w:themeColor="accent6" w:themeShade="BF"/>
          <w:rtl/>
        </w:rPr>
        <w:t>(וכ"פ בשו"ע)</w:t>
      </w:r>
    </w:p>
    <w:p w14:paraId="4465C80C" w14:textId="462B16A5" w:rsidR="00DD3492" w:rsidRPr="00E63650" w:rsidRDefault="00E63650" w:rsidP="00DD3492">
      <w:pPr>
        <w:rPr>
          <w:rFonts w:cs="Arial"/>
          <w:u w:val="single"/>
        </w:rPr>
      </w:pPr>
      <w:r w:rsidRPr="00E63650">
        <w:rPr>
          <w:rFonts w:cs="Arial" w:hint="cs"/>
          <w:u w:val="single"/>
          <w:rtl/>
        </w:rPr>
        <w:t>אשה ש</w:t>
      </w:r>
      <w:r w:rsidR="00246ED4">
        <w:rPr>
          <w:rFonts w:cs="Arial" w:hint="cs"/>
          <w:u w:val="single"/>
          <w:rtl/>
        </w:rPr>
        <w:t>כתבה בשטר שהיא מ</w:t>
      </w:r>
      <w:r w:rsidRPr="00E63650">
        <w:rPr>
          <w:rFonts w:cs="Arial" w:hint="cs"/>
          <w:u w:val="single"/>
          <w:rtl/>
        </w:rPr>
        <w:t>סלק</w:t>
      </w:r>
      <w:r w:rsidR="00246ED4">
        <w:rPr>
          <w:rFonts w:cs="Arial" w:hint="cs"/>
          <w:u w:val="single"/>
          <w:rtl/>
        </w:rPr>
        <w:t>ת</w:t>
      </w:r>
      <w:r w:rsidRPr="00E63650">
        <w:rPr>
          <w:rFonts w:cs="Arial" w:hint="cs"/>
          <w:u w:val="single"/>
          <w:rtl/>
        </w:rPr>
        <w:t xml:space="preserve"> שיעבודה מקרקע של בעלה</w:t>
      </w:r>
      <w:r w:rsidR="00246ED4">
        <w:rPr>
          <w:rFonts w:cs="Arial" w:hint="cs"/>
          <w:u w:val="single"/>
          <w:rtl/>
        </w:rPr>
        <w:t>,</w:t>
      </w:r>
      <w:r w:rsidRPr="00E63650">
        <w:rPr>
          <w:rFonts w:cs="Arial" w:hint="cs"/>
          <w:u w:val="single"/>
          <w:rtl/>
        </w:rPr>
        <w:t xml:space="preserve"> בכל מיני לשונות:</w:t>
      </w:r>
    </w:p>
    <w:p w14:paraId="153FFEFA" w14:textId="6C540433" w:rsidR="003E092F" w:rsidRDefault="008C513A" w:rsidP="009000E3">
      <w:pPr>
        <w:pStyle w:val="ab"/>
        <w:numPr>
          <w:ilvl w:val="0"/>
          <w:numId w:val="55"/>
        </w:numPr>
        <w:rPr>
          <w:rFonts w:cs="Arial"/>
        </w:rPr>
      </w:pPr>
      <w:r w:rsidRPr="008C513A">
        <w:rPr>
          <w:rFonts w:cs="Arial"/>
          <w:rtl/>
        </w:rPr>
        <w:t>רא"ש</w:t>
      </w:r>
      <w:r w:rsidR="00DD3492">
        <w:rPr>
          <w:rFonts w:cs="Arial" w:hint="cs"/>
          <w:sz w:val="16"/>
          <w:szCs w:val="16"/>
          <w:rtl/>
        </w:rPr>
        <w:t xml:space="preserve"> </w:t>
      </w:r>
      <w:r w:rsidR="00DD3492" w:rsidRPr="00DD3492">
        <w:rPr>
          <w:rFonts w:cs="Arial" w:hint="cs"/>
          <w:sz w:val="16"/>
          <w:szCs w:val="16"/>
          <w:rtl/>
        </w:rPr>
        <w:t>(</w:t>
      </w:r>
      <w:r w:rsidR="00DD3492" w:rsidRPr="00DD3492">
        <w:rPr>
          <w:rFonts w:cs="Arial"/>
          <w:sz w:val="16"/>
          <w:szCs w:val="16"/>
          <w:rtl/>
        </w:rPr>
        <w:t>כלל סג סי' ד</w:t>
      </w:r>
      <w:r w:rsidR="00DD3492">
        <w:rPr>
          <w:rFonts w:cs="Arial" w:hint="cs"/>
          <w:sz w:val="16"/>
          <w:szCs w:val="16"/>
          <w:rtl/>
        </w:rPr>
        <w:t>)</w:t>
      </w:r>
      <w:r w:rsidR="00DD3492">
        <w:rPr>
          <w:rFonts w:cs="Arial" w:hint="cs"/>
          <w:rtl/>
        </w:rPr>
        <w:t xml:space="preserve"> וטור- </w:t>
      </w:r>
      <w:r w:rsidRPr="008C513A">
        <w:rPr>
          <w:rFonts w:cs="Arial"/>
          <w:rtl/>
        </w:rPr>
        <w:t>רחל אשת יעקב נסתלקה ליעקב בעלה מקרקע ידוע שהיה לו בענין שלא יהיה לה שיעבוד כתובתה ולא שיעבוד שאר שטרות שהיה לה עליו על אותו קרקע הידוע</w:t>
      </w:r>
      <w:r w:rsidR="005C5418">
        <w:rPr>
          <w:rFonts w:cs="Arial" w:hint="cs"/>
          <w:rtl/>
        </w:rPr>
        <w:t>.</w:t>
      </w:r>
      <w:r w:rsidRPr="008C513A">
        <w:rPr>
          <w:rFonts w:cs="Arial"/>
          <w:rtl/>
        </w:rPr>
        <w:t xml:space="preserve"> ונסתלקה ממנו סילוק גמור</w:t>
      </w:r>
      <w:r w:rsidR="005C5418">
        <w:rPr>
          <w:rFonts w:cs="Arial" w:hint="cs"/>
          <w:rtl/>
        </w:rPr>
        <w:t>,</w:t>
      </w:r>
      <w:r w:rsidRPr="008C513A">
        <w:rPr>
          <w:rFonts w:cs="Arial"/>
          <w:rtl/>
        </w:rPr>
        <w:t xml:space="preserve"> ונתנה לו הקרקע ידוע שנסתלקה ממנו במתנה גמורה שלימה וקיימת מעכשיו ולעולם</w:t>
      </w:r>
      <w:r w:rsidR="005C5418">
        <w:rPr>
          <w:rFonts w:cs="Arial" w:hint="cs"/>
          <w:rtl/>
        </w:rPr>
        <w:t>.</w:t>
      </w:r>
      <w:r w:rsidRPr="008C513A">
        <w:rPr>
          <w:rFonts w:cs="Arial"/>
          <w:rtl/>
        </w:rPr>
        <w:t xml:space="preserve"> ובטלה מאותו קרקע שנסתלקה ממנו טענת נחת רוח עשיתי לבעלי ושאר כל הטענות המפסידות זה הסילוק</w:t>
      </w:r>
      <w:r w:rsidR="005C5418">
        <w:rPr>
          <w:rFonts w:cs="Arial" w:hint="cs"/>
          <w:rtl/>
        </w:rPr>
        <w:t>.</w:t>
      </w:r>
      <w:r w:rsidRPr="008C513A">
        <w:rPr>
          <w:rFonts w:cs="Arial"/>
          <w:rtl/>
        </w:rPr>
        <w:t xml:space="preserve"> וקבלה בעדה ובעד כל הבאים מחמתה לבד יעקב בעלה אחריות הקרקע שנסתלק לו</w:t>
      </w:r>
      <w:r w:rsidR="005C5418">
        <w:rPr>
          <w:rFonts w:cs="Arial" w:hint="cs"/>
          <w:rtl/>
        </w:rPr>
        <w:t>.</w:t>
      </w:r>
      <w:r w:rsidRPr="008C513A">
        <w:rPr>
          <w:rFonts w:cs="Arial"/>
          <w:rtl/>
        </w:rPr>
        <w:t xml:space="preserve"> והתנתה רחל בעיקר זה הסילוק שלא יתקלקל לה שום דבר מכל מה שחל שיעבוד שטר כתובה שנתחזק לה על יעקב בעלה</w:t>
      </w:r>
      <w:r w:rsidR="005C5418">
        <w:rPr>
          <w:rFonts w:cs="Arial" w:hint="cs"/>
          <w:rtl/>
        </w:rPr>
        <w:t>,</w:t>
      </w:r>
      <w:r w:rsidRPr="008C513A">
        <w:rPr>
          <w:rFonts w:cs="Arial"/>
          <w:rtl/>
        </w:rPr>
        <w:t xml:space="preserve"> ולא שום דבר מכל מה שנתחזק עוד משיעבוד שום שטר שנתחזק לה עליו באיזו ענין שיהיה</w:t>
      </w:r>
      <w:r w:rsidR="005C5418">
        <w:rPr>
          <w:rFonts w:cs="Arial" w:hint="cs"/>
          <w:rtl/>
        </w:rPr>
        <w:t>,</w:t>
      </w:r>
      <w:r w:rsidRPr="008C513A">
        <w:rPr>
          <w:rFonts w:cs="Arial"/>
          <w:rtl/>
        </w:rPr>
        <w:t xml:space="preserve"> אלא שישאר לה שיעבוד כתובת שטר או שאר שטרות שנתחזק לה עליו על כל שאר נכסיו חוץ מקרקע הידוע שנסתלק לו ממנו</w:t>
      </w:r>
      <w:r w:rsidR="005C5418">
        <w:rPr>
          <w:rFonts w:cs="Arial" w:hint="cs"/>
          <w:rtl/>
        </w:rPr>
        <w:t>.</w:t>
      </w:r>
      <w:r w:rsidRPr="008C513A">
        <w:rPr>
          <w:rFonts w:cs="Arial"/>
          <w:rtl/>
        </w:rPr>
        <w:t xml:space="preserve"> אי הוי סילוק אי לא</w:t>
      </w:r>
      <w:r w:rsidR="005C5418">
        <w:rPr>
          <w:rFonts w:cs="Arial" w:hint="cs"/>
          <w:rtl/>
        </w:rPr>
        <w:t>.</w:t>
      </w:r>
      <w:r w:rsidRPr="008C513A">
        <w:rPr>
          <w:rFonts w:cs="Arial"/>
          <w:rtl/>
        </w:rPr>
        <w:t xml:space="preserve"> </w:t>
      </w:r>
      <w:r w:rsidR="005C5418">
        <w:rPr>
          <w:rFonts w:cs="Arial" w:hint="cs"/>
          <w:rtl/>
        </w:rPr>
        <w:t xml:space="preserve">      </w:t>
      </w:r>
      <w:r w:rsidR="00FE210D">
        <w:rPr>
          <w:rFonts w:cs="Arial"/>
          <w:rtl/>
        </w:rPr>
        <w:t xml:space="preserve">      תשובה:</w:t>
      </w:r>
      <w:r w:rsidRPr="008C513A">
        <w:rPr>
          <w:rFonts w:cs="Arial"/>
          <w:rtl/>
        </w:rPr>
        <w:t xml:space="preserve"> אין סילוק זה מועיל</w:t>
      </w:r>
      <w:r w:rsidR="005C5418">
        <w:rPr>
          <w:rFonts w:cs="Arial" w:hint="cs"/>
          <w:rtl/>
        </w:rPr>
        <w:t>,</w:t>
      </w:r>
      <w:r w:rsidRPr="008C513A">
        <w:rPr>
          <w:rFonts w:cs="Arial"/>
          <w:rtl/>
        </w:rPr>
        <w:t xml:space="preserve"> דקי"ל כשמואל דיכולה לומר נחת רוח עשיתי לבעלי כל זמן שלא קבלה עליה אחריות</w:t>
      </w:r>
      <w:r w:rsidR="005C5418">
        <w:rPr>
          <w:rFonts w:cs="Arial" w:hint="cs"/>
          <w:rtl/>
        </w:rPr>
        <w:t>.</w:t>
      </w:r>
      <w:r w:rsidRPr="008C513A">
        <w:rPr>
          <w:rFonts w:cs="Arial"/>
          <w:rtl/>
        </w:rPr>
        <w:t xml:space="preserve"> ואפילו אמרה בשעת הסילוק על מנת שלא אוכל לומר נחת רוח עשיתי לבעלי</w:t>
      </w:r>
      <w:r w:rsidR="005C5418">
        <w:rPr>
          <w:rFonts w:cs="Arial" w:hint="cs"/>
          <w:rtl/>
        </w:rPr>
        <w:t xml:space="preserve">, </w:t>
      </w:r>
      <w:r w:rsidRPr="008C513A">
        <w:rPr>
          <w:rFonts w:cs="Arial"/>
          <w:rtl/>
        </w:rPr>
        <w:t>אין מועיל כלום</w:t>
      </w:r>
      <w:r w:rsidR="005C5418">
        <w:rPr>
          <w:rFonts w:cs="Arial" w:hint="cs"/>
          <w:rtl/>
        </w:rPr>
        <w:t>.</w:t>
      </w:r>
      <w:r w:rsidRPr="008C513A">
        <w:rPr>
          <w:rFonts w:cs="Arial"/>
          <w:rtl/>
        </w:rPr>
        <w:t xml:space="preserve"> דכל זה אומרת כדי לעשות נחת רוח לבעלה</w:t>
      </w:r>
      <w:r w:rsidR="005C5418">
        <w:rPr>
          <w:rFonts w:cs="Arial" w:hint="cs"/>
          <w:rtl/>
        </w:rPr>
        <w:t>.</w:t>
      </w:r>
      <w:r w:rsidRPr="008C513A">
        <w:rPr>
          <w:rFonts w:cs="Arial"/>
          <w:rtl/>
        </w:rPr>
        <w:t xml:space="preserve"> ואין לך דבר שמבטל טענת נחת רוח אא"כ כתבה ללוקח אחריות שאם יטרוף של בעלה ממנו שהיא תשלם לו</w:t>
      </w:r>
      <w:r w:rsidR="00EC71B5">
        <w:rPr>
          <w:rFonts w:cs="Arial" w:hint="cs"/>
          <w:rtl/>
        </w:rPr>
        <w:t>,</w:t>
      </w:r>
      <w:r w:rsidRPr="008C513A">
        <w:rPr>
          <w:rFonts w:cs="Arial"/>
          <w:rtl/>
        </w:rPr>
        <w:t xml:space="preserve"> דכולי האי לא עשתה נחת רוח לבעלה אם לא שגמרה להקנות</w:t>
      </w:r>
      <w:r w:rsidR="00EC71B5">
        <w:rPr>
          <w:rFonts w:cs="Arial" w:hint="cs"/>
          <w:rtl/>
        </w:rPr>
        <w:t>.</w:t>
      </w:r>
      <w:r w:rsidRPr="008C513A">
        <w:rPr>
          <w:rFonts w:cs="Arial"/>
          <w:rtl/>
        </w:rPr>
        <w:t xml:space="preserve"> ובסילוק זה שקבלה עליה אחריות </w:t>
      </w:r>
      <w:r w:rsidR="00EC71B5">
        <w:rPr>
          <w:rFonts w:cs="Arial" w:hint="cs"/>
          <w:rtl/>
        </w:rPr>
        <w:t xml:space="preserve">- </w:t>
      </w:r>
      <w:r w:rsidRPr="008C513A">
        <w:rPr>
          <w:rFonts w:cs="Arial"/>
          <w:rtl/>
        </w:rPr>
        <w:t>אין בקבלת אחריות זה כח וטעם לומר שיבטל טענת נחת רוח</w:t>
      </w:r>
      <w:r w:rsidR="00EC71B5">
        <w:rPr>
          <w:rFonts w:cs="Arial" w:hint="cs"/>
          <w:rtl/>
        </w:rPr>
        <w:t>.</w:t>
      </w:r>
      <w:r w:rsidRPr="008C513A">
        <w:rPr>
          <w:rFonts w:cs="Arial"/>
          <w:rtl/>
        </w:rPr>
        <w:t xml:space="preserve"> דמה היא מפסדת בקבלת אחריות זה דנימא כולי האי לא עבדה בשביל נחת רוח</w:t>
      </w:r>
      <w:r w:rsidR="00EC71B5">
        <w:rPr>
          <w:rFonts w:cs="Arial" w:hint="cs"/>
          <w:rtl/>
        </w:rPr>
        <w:t>.</w:t>
      </w:r>
      <w:r w:rsidRPr="008C513A">
        <w:rPr>
          <w:rFonts w:cs="Arial"/>
          <w:rtl/>
        </w:rPr>
        <w:t xml:space="preserve"> דבשלמא כשקבלה עליה אחריות כשיטרפום ב"ח של בעלה מהלוקח שהיא תשלם לו</w:t>
      </w:r>
      <w:r w:rsidR="00EC71B5">
        <w:rPr>
          <w:rFonts w:cs="Arial" w:hint="cs"/>
          <w:rtl/>
        </w:rPr>
        <w:t>,</w:t>
      </w:r>
      <w:r w:rsidRPr="008C513A">
        <w:rPr>
          <w:rFonts w:cs="Arial"/>
          <w:rtl/>
        </w:rPr>
        <w:t xml:space="preserve"> דבר גדול הוא שהכניסה עצמה לדבר זה</w:t>
      </w:r>
      <w:r w:rsidR="00EC71B5">
        <w:rPr>
          <w:rFonts w:cs="Arial" w:hint="cs"/>
          <w:rtl/>
        </w:rPr>
        <w:t>,</w:t>
      </w:r>
      <w:r w:rsidRPr="008C513A">
        <w:rPr>
          <w:rFonts w:cs="Arial"/>
          <w:rtl/>
        </w:rPr>
        <w:t xml:space="preserve"> ובשביל נחת רוח לא היתה עושה דבר זה אם לא שגמרה בדעתה להקנות</w:t>
      </w:r>
      <w:r w:rsidR="00EC71B5">
        <w:rPr>
          <w:rFonts w:cs="Arial" w:hint="cs"/>
          <w:rtl/>
        </w:rPr>
        <w:t>.</w:t>
      </w:r>
      <w:r w:rsidRPr="008C513A">
        <w:rPr>
          <w:rFonts w:cs="Arial"/>
          <w:rtl/>
        </w:rPr>
        <w:t xml:space="preserve"> אבל באחריות זה מה היא מפסדת</w:t>
      </w:r>
      <w:r w:rsidR="00EC71B5">
        <w:rPr>
          <w:rFonts w:cs="Arial" w:hint="cs"/>
          <w:rtl/>
        </w:rPr>
        <w:t>.</w:t>
      </w:r>
      <w:r w:rsidRPr="008C513A">
        <w:rPr>
          <w:rFonts w:cs="Arial"/>
          <w:rtl/>
        </w:rPr>
        <w:t xml:space="preserve"> וא"ת האחריות שקבלה עליה היינו שאם מכרה כתובתה לאחר ואם תתאלמן או תתגרש</w:t>
      </w:r>
      <w:r w:rsidR="00EC71B5">
        <w:rPr>
          <w:rFonts w:cs="Arial" w:hint="cs"/>
          <w:rtl/>
        </w:rPr>
        <w:t>,</w:t>
      </w:r>
      <w:r w:rsidRPr="008C513A">
        <w:rPr>
          <w:rFonts w:cs="Arial"/>
          <w:rtl/>
        </w:rPr>
        <w:t xml:space="preserve"> ויבא הלוקח שלקח כתובתה לגבות מקרקע זה שנסתלקה ממנו</w:t>
      </w:r>
      <w:r w:rsidR="00EC71B5">
        <w:rPr>
          <w:rFonts w:cs="Arial" w:hint="cs"/>
          <w:rtl/>
        </w:rPr>
        <w:t>,</w:t>
      </w:r>
      <w:r w:rsidRPr="008C513A">
        <w:rPr>
          <w:rFonts w:cs="Arial"/>
          <w:rtl/>
        </w:rPr>
        <w:t xml:space="preserve"> שהיא חייבת לסלקו ותפרע לבעלה או ליורשין מה שיגבה הלוקח מאותו הקרקע</w:t>
      </w:r>
      <w:r w:rsidR="00EC71B5">
        <w:rPr>
          <w:rFonts w:cs="Arial" w:hint="cs"/>
          <w:rtl/>
        </w:rPr>
        <w:t xml:space="preserve"> -</w:t>
      </w:r>
      <w:r w:rsidRPr="008C513A">
        <w:rPr>
          <w:rFonts w:cs="Arial"/>
          <w:rtl/>
        </w:rPr>
        <w:t xml:space="preserve"> באותו אחריות לא היתה מפסדת כלום</w:t>
      </w:r>
      <w:r w:rsidR="00EC71B5">
        <w:rPr>
          <w:rFonts w:cs="Arial" w:hint="cs"/>
          <w:rtl/>
        </w:rPr>
        <w:t>,</w:t>
      </w:r>
      <w:r w:rsidRPr="008C513A">
        <w:rPr>
          <w:rFonts w:cs="Arial"/>
          <w:rtl/>
        </w:rPr>
        <w:t xml:space="preserve"> דכיון שמחלה שיעבוד אותו קרקע לבעלה לא יוכל הלוקח שקנה כתובתה לגבות מאותו קרקע</w:t>
      </w:r>
      <w:r w:rsidR="00EC71B5">
        <w:rPr>
          <w:rFonts w:cs="Arial" w:hint="cs"/>
          <w:rtl/>
        </w:rPr>
        <w:t>,</w:t>
      </w:r>
      <w:r w:rsidRPr="008C513A">
        <w:rPr>
          <w:rFonts w:cs="Arial"/>
          <w:rtl/>
        </w:rPr>
        <w:t xml:space="preserve"> דהוי כמוכר שטר חוב לחבירו וחזר ומחלו שהוא מחול</w:t>
      </w:r>
      <w:r w:rsidR="00EC71B5">
        <w:rPr>
          <w:rFonts w:cs="Arial" w:hint="cs"/>
          <w:rtl/>
        </w:rPr>
        <w:t>.</w:t>
      </w:r>
      <w:r w:rsidRPr="008C513A">
        <w:rPr>
          <w:rFonts w:cs="Arial"/>
          <w:rtl/>
        </w:rPr>
        <w:t xml:space="preserve"> שהרי היא מכרה כתובתה ללוקח וכתבה ליה קני לך איהו וכל שיעבודיה</w:t>
      </w:r>
      <w:r w:rsidR="00E63650">
        <w:rPr>
          <w:rFonts w:cs="Arial" w:hint="cs"/>
          <w:rtl/>
        </w:rPr>
        <w:t>,</w:t>
      </w:r>
      <w:r w:rsidRPr="008C513A">
        <w:rPr>
          <w:rFonts w:cs="Arial"/>
          <w:rtl/>
        </w:rPr>
        <w:t xml:space="preserve"> ומחלה שיעבודה</w:t>
      </w:r>
      <w:r w:rsidR="00EC71B5">
        <w:rPr>
          <w:rFonts w:cs="Arial" w:hint="cs"/>
          <w:rtl/>
        </w:rPr>
        <w:t>,</w:t>
      </w:r>
      <w:r w:rsidRPr="008C513A">
        <w:rPr>
          <w:rFonts w:cs="Arial"/>
          <w:rtl/>
        </w:rPr>
        <w:t xml:space="preserve"> שוב לא יוכל הלוקח לגבות מאותו קרקע</w:t>
      </w:r>
      <w:r w:rsidR="00EC71B5">
        <w:rPr>
          <w:rFonts w:cs="Arial" w:hint="cs"/>
          <w:rtl/>
        </w:rPr>
        <w:t>.</w:t>
      </w:r>
      <w:r w:rsidRPr="008C513A">
        <w:rPr>
          <w:rFonts w:cs="Arial"/>
          <w:rtl/>
        </w:rPr>
        <w:t xml:space="preserve"> הילכך יכולה לומר נחת רוח עשיתי לבעלי</w:t>
      </w:r>
      <w:r w:rsidR="00EC71B5">
        <w:rPr>
          <w:rFonts w:cs="Arial" w:hint="cs"/>
          <w:rtl/>
        </w:rPr>
        <w:t>.</w:t>
      </w:r>
      <w:r w:rsidRPr="008C513A">
        <w:rPr>
          <w:rFonts w:cs="Arial"/>
          <w:rtl/>
        </w:rPr>
        <w:t xml:space="preserve"> ואפי' היה הסילוק מועיל</w:t>
      </w:r>
      <w:r w:rsidR="00EC71B5">
        <w:rPr>
          <w:rFonts w:cs="Arial" w:hint="cs"/>
          <w:rtl/>
        </w:rPr>
        <w:t>,</w:t>
      </w:r>
      <w:r w:rsidRPr="008C513A">
        <w:rPr>
          <w:rFonts w:cs="Arial"/>
          <w:rtl/>
        </w:rPr>
        <w:t xml:space="preserve"> כגון אילו מכרו לאחר וקבלה עליה אחריות שאם יטרפנו בעל חוב שהיא תשלם לו</w:t>
      </w:r>
      <w:r w:rsidR="00EC71B5">
        <w:rPr>
          <w:rFonts w:cs="Arial" w:hint="cs"/>
          <w:rtl/>
        </w:rPr>
        <w:t>,</w:t>
      </w:r>
      <w:r w:rsidRPr="008C513A">
        <w:rPr>
          <w:rFonts w:cs="Arial"/>
          <w:rtl/>
        </w:rPr>
        <w:t xml:space="preserve"> אפ"ה לא נתמעט חלק האשה בשביל סילוק זה לפי תקנת טוליטולה שתטול האשה חצי עזבון המת בכתובתה והיורשים חצי האחר</w:t>
      </w:r>
      <w:r w:rsidR="00EC71B5">
        <w:rPr>
          <w:rFonts w:cs="Arial" w:hint="cs"/>
          <w:rtl/>
        </w:rPr>
        <w:t>.</w:t>
      </w:r>
      <w:r w:rsidRPr="008C513A">
        <w:rPr>
          <w:rFonts w:cs="Arial"/>
          <w:rtl/>
        </w:rPr>
        <w:t xml:space="preserve"> כי אותו קרקע שסלקה עצמה ממנו בכלל עזבון המת הוא לחלקו בין היורשים ובין האלמנה</w:t>
      </w:r>
      <w:r w:rsidR="00EC71B5">
        <w:rPr>
          <w:rFonts w:cs="Arial" w:hint="cs"/>
          <w:rtl/>
        </w:rPr>
        <w:t>,</w:t>
      </w:r>
      <w:r w:rsidRPr="008C513A">
        <w:rPr>
          <w:rFonts w:cs="Arial"/>
          <w:rtl/>
        </w:rPr>
        <w:t xml:space="preserve"> כי היא לא מחלה אלא שיעבוד כתובתה שאם ימכרנו שלא תטרפנו מן הלקוחות או אם תתאלמן ויהיה חצי עזבון המת יותר מכתובתה שאז תטרוף כתובתה משלם לפי תקנת טוליטולה</w:t>
      </w:r>
      <w:r w:rsidR="00EC71B5">
        <w:rPr>
          <w:rFonts w:cs="Arial" w:hint="cs"/>
          <w:rtl/>
        </w:rPr>
        <w:t>,</w:t>
      </w:r>
      <w:r w:rsidRPr="008C513A">
        <w:rPr>
          <w:rFonts w:cs="Arial"/>
          <w:rtl/>
        </w:rPr>
        <w:t xml:space="preserve"> אז לא תגבה כתובתה מאותו קרקע כי מחלה שיעבוד מעליו</w:t>
      </w:r>
      <w:r w:rsidR="00E63650">
        <w:rPr>
          <w:rFonts w:cs="Arial" w:hint="cs"/>
          <w:rtl/>
        </w:rPr>
        <w:t>,</w:t>
      </w:r>
      <w:r w:rsidRPr="008C513A">
        <w:rPr>
          <w:rFonts w:cs="Arial"/>
          <w:rtl/>
        </w:rPr>
        <w:t xml:space="preserve"> אלא תגבה כתובתה משלם משאר נכסי המת</w:t>
      </w:r>
      <w:r w:rsidR="00E63650">
        <w:rPr>
          <w:rFonts w:cs="Arial" w:hint="cs"/>
          <w:rtl/>
        </w:rPr>
        <w:t>.</w:t>
      </w:r>
      <w:r w:rsidRPr="008C513A">
        <w:rPr>
          <w:rFonts w:cs="Arial"/>
          <w:rtl/>
        </w:rPr>
        <w:t xml:space="preserve"> כי לא מחלה ולא פחתה כתובתה כלום רק שיעבודה שעל אותו קרקע מחלה</w:t>
      </w:r>
      <w:r w:rsidR="00E63650">
        <w:rPr>
          <w:rFonts w:cs="Arial" w:hint="cs"/>
          <w:rtl/>
        </w:rPr>
        <w:t>.</w:t>
      </w:r>
      <w:r w:rsidRPr="008C513A">
        <w:rPr>
          <w:rFonts w:cs="Arial"/>
          <w:rtl/>
        </w:rPr>
        <w:t xml:space="preserve"> הלכך גם עתה שיש לה חצי עזבון המת בכתובתה ואותו קרקע בכלל עזבון המת</w:t>
      </w:r>
      <w:r w:rsidR="00E63650">
        <w:rPr>
          <w:rFonts w:cs="Arial" w:hint="cs"/>
          <w:rtl/>
        </w:rPr>
        <w:t>,</w:t>
      </w:r>
      <w:r w:rsidRPr="008C513A">
        <w:rPr>
          <w:rFonts w:cs="Arial"/>
          <w:rtl/>
        </w:rPr>
        <w:t xml:space="preserve"> אף אם תאמר שלא תטול ממנו בחצי חלקה בשביל שסילקה שיעבודה</w:t>
      </w:r>
      <w:r w:rsidR="00E63650">
        <w:rPr>
          <w:rFonts w:cs="Arial" w:hint="cs"/>
          <w:rtl/>
        </w:rPr>
        <w:t>,</w:t>
      </w:r>
      <w:r w:rsidRPr="008C513A">
        <w:rPr>
          <w:rFonts w:cs="Arial"/>
          <w:rtl/>
        </w:rPr>
        <w:t xml:space="preserve"> מכל מקום בחצי עזבון המת זכתה ויטלו היורשים חלקם מאותו קרקע שסילקה שיעבודה ממנו והוא תטול ממקום אחר</w:t>
      </w:r>
      <w:r w:rsidR="00E63650">
        <w:rPr>
          <w:rFonts w:cs="Arial" w:hint="cs"/>
          <w:rtl/>
        </w:rPr>
        <w:t>.</w:t>
      </w:r>
      <w:r w:rsidRPr="008C513A">
        <w:rPr>
          <w:rFonts w:cs="Arial"/>
          <w:rtl/>
        </w:rPr>
        <w:t xml:space="preserve"> ואפשר כיון שזוכה בחצי עזבון המת מכח התקנה ואינה באה לב"ד לגבות כתובתה אלא לגבות חצי עזבון המת מכח התקנה</w:t>
      </w:r>
      <w:r w:rsidR="00E63650">
        <w:rPr>
          <w:rFonts w:cs="Arial" w:hint="cs"/>
          <w:rtl/>
        </w:rPr>
        <w:t>,</w:t>
      </w:r>
      <w:r w:rsidRPr="008C513A">
        <w:rPr>
          <w:rFonts w:cs="Arial"/>
          <w:rtl/>
        </w:rPr>
        <w:t xml:space="preserve"> נסתלק מכאן מחילת שיעבוד כתובתה שמחלה על אותו קרקע והיא זוכה מכח התקנה אף בחצי קרקע שנסתלקה ממנה כי הוא בכלל עזבון המת</w:t>
      </w:r>
      <w:r w:rsidR="00DD3492">
        <w:rPr>
          <w:rFonts w:cs="Arial" w:hint="cs"/>
          <w:sz w:val="16"/>
          <w:szCs w:val="16"/>
          <w:rtl/>
        </w:rPr>
        <w:t xml:space="preserve"> (ל' הטור</w:t>
      </w:r>
      <w:r w:rsidR="00E63650">
        <w:rPr>
          <w:rFonts w:cs="Arial" w:hint="cs"/>
          <w:sz w:val="16"/>
          <w:szCs w:val="16"/>
          <w:rtl/>
        </w:rPr>
        <w:t xml:space="preserve"> בשם הרא"ש</w:t>
      </w:r>
      <w:r w:rsidR="00DD3492">
        <w:rPr>
          <w:rFonts w:cs="Arial" w:hint="cs"/>
          <w:sz w:val="16"/>
          <w:szCs w:val="16"/>
          <w:rtl/>
        </w:rPr>
        <w:t>)</w:t>
      </w:r>
      <w:r>
        <w:rPr>
          <w:rFonts w:cs="Arial" w:hint="cs"/>
          <w:rtl/>
        </w:rPr>
        <w:t>.</w:t>
      </w:r>
      <w:r w:rsidRPr="008C513A">
        <w:rPr>
          <w:rFonts w:cs="Arial"/>
          <w:rtl/>
        </w:rPr>
        <w:t xml:space="preserve"> </w:t>
      </w:r>
    </w:p>
    <w:p w14:paraId="5B3A1A8F" w14:textId="798345D8" w:rsidR="006A5500" w:rsidRDefault="006A5500" w:rsidP="009000E3">
      <w:pPr>
        <w:pStyle w:val="ab"/>
        <w:numPr>
          <w:ilvl w:val="0"/>
          <w:numId w:val="55"/>
        </w:numPr>
        <w:rPr>
          <w:rFonts w:cs="Arial"/>
        </w:rPr>
      </w:pPr>
      <w:r>
        <w:rPr>
          <w:rFonts w:cs="Arial" w:hint="cs"/>
          <w:rtl/>
        </w:rPr>
        <w:t xml:space="preserve">רמב"ם </w:t>
      </w:r>
      <w:r>
        <w:rPr>
          <w:rFonts w:cs="Arial" w:hint="cs"/>
          <w:sz w:val="16"/>
          <w:szCs w:val="16"/>
          <w:rtl/>
        </w:rPr>
        <w:t>(להב' הב"י</w:t>
      </w:r>
      <w:r>
        <w:rPr>
          <w:rStyle w:val="a7"/>
          <w:rFonts w:cs="Arial"/>
          <w:rtl/>
        </w:rPr>
        <w:footnoteReference w:id="1420"/>
      </w:r>
      <w:r>
        <w:rPr>
          <w:rFonts w:cs="Arial" w:hint="cs"/>
          <w:sz w:val="16"/>
          <w:szCs w:val="16"/>
          <w:rtl/>
        </w:rPr>
        <w:t>בבדה"ב [ע"פ דברי הרמב"ם בפי"ז מאישות הי"א])</w:t>
      </w:r>
      <w:r>
        <w:rPr>
          <w:rFonts w:cs="Arial" w:hint="cs"/>
          <w:rtl/>
        </w:rPr>
        <w:t>-</w:t>
      </w:r>
      <w:r w:rsidRPr="006A5500">
        <w:rPr>
          <w:rFonts w:cs="Arial"/>
          <w:rtl/>
        </w:rPr>
        <w:t xml:space="preserve"> </w:t>
      </w:r>
      <w:r w:rsidRPr="003E092F">
        <w:rPr>
          <w:rFonts w:cs="Arial"/>
          <w:rtl/>
        </w:rPr>
        <w:t>סילוק לגבי בעלה מהני</w:t>
      </w:r>
      <w:r>
        <w:rPr>
          <w:rFonts w:cs="Arial" w:hint="cs"/>
          <w:rtl/>
        </w:rPr>
        <w:t>, כשהלוקח לוקח אח"כ מהבעל, דהוא מה ששנינו</w:t>
      </w:r>
      <w:r w:rsidRPr="003E092F">
        <w:rPr>
          <w:rFonts w:cs="Arial"/>
          <w:rtl/>
        </w:rPr>
        <w:t xml:space="preserve"> </w:t>
      </w:r>
      <w:r>
        <w:rPr>
          <w:rFonts w:cs="Arial" w:hint="cs"/>
          <w:rtl/>
        </w:rPr>
        <w:t>'</w:t>
      </w:r>
      <w:r w:rsidRPr="003E092F">
        <w:rPr>
          <w:rFonts w:cs="Arial"/>
          <w:rtl/>
        </w:rPr>
        <w:t>לקח מן האשה וחזר ולקח מן האיש מקחו קיים</w:t>
      </w:r>
      <w:r>
        <w:rPr>
          <w:rFonts w:cs="Arial" w:hint="cs"/>
          <w:rtl/>
        </w:rPr>
        <w:t>',</w:t>
      </w:r>
      <w:r w:rsidRPr="003E092F">
        <w:rPr>
          <w:rFonts w:cs="Arial"/>
          <w:rtl/>
        </w:rPr>
        <w:t xml:space="preserve"> </w:t>
      </w:r>
      <w:r>
        <w:rPr>
          <w:rFonts w:cs="Arial" w:hint="cs"/>
          <w:rtl/>
        </w:rPr>
        <w:t>ד</w:t>
      </w:r>
      <w:r w:rsidRPr="003E092F">
        <w:rPr>
          <w:rFonts w:cs="Arial"/>
          <w:rtl/>
        </w:rPr>
        <w:t>האי לקח מן האשה</w:t>
      </w:r>
      <w:r>
        <w:rPr>
          <w:rFonts w:cs="Arial" w:hint="cs"/>
          <w:rtl/>
        </w:rPr>
        <w:t>,</w:t>
      </w:r>
      <w:r w:rsidRPr="003E092F">
        <w:rPr>
          <w:rFonts w:cs="Arial"/>
          <w:rtl/>
        </w:rPr>
        <w:t xml:space="preserve"> לא מכרה לו היא</w:t>
      </w:r>
      <w:r>
        <w:rPr>
          <w:rFonts w:cs="Arial" w:hint="cs"/>
          <w:rtl/>
        </w:rPr>
        <w:t>,</w:t>
      </w:r>
      <w:r w:rsidRPr="003E092F">
        <w:rPr>
          <w:rFonts w:cs="Arial"/>
          <w:rtl/>
        </w:rPr>
        <w:t xml:space="preserve"> אלא לסילוק שעבודה קרי לקח מן האשה</w:t>
      </w:r>
      <w:r>
        <w:rPr>
          <w:rFonts w:cs="Arial" w:hint="cs"/>
          <w:sz w:val="16"/>
          <w:szCs w:val="16"/>
          <w:rtl/>
        </w:rPr>
        <w:t xml:space="preserve"> (ע"פ ל' הב"י)</w:t>
      </w:r>
      <w:r>
        <w:rPr>
          <w:rFonts w:cs="Arial" w:hint="cs"/>
          <w:rtl/>
        </w:rPr>
        <w:t>.</w:t>
      </w:r>
      <w:r w:rsidRPr="003E092F">
        <w:rPr>
          <w:rFonts w:cs="Arial"/>
          <w:rtl/>
        </w:rPr>
        <w:t xml:space="preserve"> </w:t>
      </w:r>
    </w:p>
    <w:p w14:paraId="3C1B693A" w14:textId="12A58A07" w:rsidR="006A5500" w:rsidRPr="00246ED4" w:rsidRDefault="006A5500" w:rsidP="006A5500">
      <w:pPr>
        <w:ind w:left="360"/>
        <w:rPr>
          <w:rFonts w:cs="Arial"/>
          <w:u w:val="dotted"/>
          <w:rtl/>
        </w:rPr>
      </w:pPr>
      <w:r w:rsidRPr="00246ED4">
        <w:rPr>
          <w:rFonts w:cs="Arial" w:hint="cs"/>
          <w:u w:val="dotted"/>
          <w:rtl/>
        </w:rPr>
        <w:t xml:space="preserve">לדברי הרא"ש </w:t>
      </w:r>
      <w:r w:rsidR="00F97626">
        <w:rPr>
          <w:rFonts w:cs="Arial"/>
          <w:u w:val="dotted"/>
          <w:rtl/>
        </w:rPr>
        <w:t>-</w:t>
      </w:r>
      <w:r w:rsidRPr="00246ED4">
        <w:rPr>
          <w:rFonts w:cs="Arial" w:hint="cs"/>
          <w:u w:val="dotted"/>
          <w:rtl/>
        </w:rPr>
        <w:t xml:space="preserve"> האם מועיל שאשה תסלק שיעבודה </w:t>
      </w:r>
      <w:r w:rsidR="00246ED4" w:rsidRPr="00246ED4">
        <w:rPr>
          <w:rFonts w:cs="Arial" w:hint="cs"/>
          <w:u w:val="dotted"/>
          <w:rtl/>
        </w:rPr>
        <w:t>כנ"ל לאיש שרוצה להלוות לבעלה:</w:t>
      </w:r>
      <w:r w:rsidRPr="00246ED4">
        <w:rPr>
          <w:rFonts w:cs="Arial" w:hint="cs"/>
          <w:u w:val="dotted"/>
          <w:rtl/>
        </w:rPr>
        <w:t xml:space="preserve"> </w:t>
      </w:r>
    </w:p>
    <w:p w14:paraId="5DFBA929" w14:textId="10FE5BA5" w:rsidR="003E092F" w:rsidRDefault="00246ED4" w:rsidP="009000E3">
      <w:pPr>
        <w:pStyle w:val="ab"/>
        <w:numPr>
          <w:ilvl w:val="0"/>
          <w:numId w:val="55"/>
        </w:numPr>
        <w:rPr>
          <w:rFonts w:cs="Arial"/>
        </w:rPr>
      </w:pPr>
      <w:r>
        <w:rPr>
          <w:rFonts w:cs="Arial" w:hint="cs"/>
          <w:rtl/>
        </w:rPr>
        <w:lastRenderedPageBreak/>
        <w:t>ב"י</w:t>
      </w:r>
      <w:r>
        <w:rPr>
          <w:rFonts w:cs="Arial" w:hint="cs"/>
          <w:sz w:val="16"/>
          <w:szCs w:val="16"/>
          <w:rtl/>
        </w:rPr>
        <w:t xml:space="preserve"> (בדה"ב)</w:t>
      </w:r>
      <w:r>
        <w:rPr>
          <w:rFonts w:cs="Arial" w:hint="cs"/>
          <w:rtl/>
        </w:rPr>
        <w:t>-</w:t>
      </w:r>
      <w:r w:rsidR="00843F99" w:rsidRPr="003E092F">
        <w:rPr>
          <w:rFonts w:cs="Arial"/>
          <w:rtl/>
        </w:rPr>
        <w:t xml:space="preserve"> יש שלמדו מתשובה זו שאם הבעל רוצה ללוות מעות בשעבוד נכסיו והמלוה חושש שמא ימות הבעל ותגבה אלמנתו כתובתה מנכסיו ויפסיד חובו ולכן סילקה האשה שעבוד כתובתה מנכסי בעלה או מקרקע המיוחד לה וקנו מידה </w:t>
      </w:r>
      <w:r w:rsidR="003E092F" w:rsidRPr="003E092F">
        <w:rPr>
          <w:rFonts w:cs="Arial" w:hint="cs"/>
          <w:rtl/>
        </w:rPr>
        <w:t xml:space="preserve">- </w:t>
      </w:r>
      <w:r w:rsidR="00843F99" w:rsidRPr="003E092F">
        <w:rPr>
          <w:rFonts w:cs="Arial"/>
          <w:rtl/>
        </w:rPr>
        <w:t>דלא מהני אא</w:t>
      </w:r>
      <w:r w:rsidR="004D4E72">
        <w:rPr>
          <w:rFonts w:cs="Arial" w:hint="cs"/>
          <w:rtl/>
        </w:rPr>
        <w:t>"</w:t>
      </w:r>
      <w:r w:rsidR="00843F99" w:rsidRPr="003E092F">
        <w:rPr>
          <w:rFonts w:cs="Arial"/>
          <w:rtl/>
        </w:rPr>
        <w:t>כ קיבלה אחריות וכמו שכתוב בתשובה זו</w:t>
      </w:r>
      <w:r w:rsidR="004D4E72">
        <w:rPr>
          <w:rFonts w:cs="Arial" w:hint="cs"/>
          <w:rtl/>
        </w:rPr>
        <w:t>,</w:t>
      </w:r>
      <w:r w:rsidR="00843F99" w:rsidRPr="003E092F">
        <w:rPr>
          <w:rFonts w:cs="Arial"/>
          <w:rtl/>
        </w:rPr>
        <w:t xml:space="preserve"> שאין לך דבר שמבטל טענת נחת רוח עשיתי לבעלי אא</w:t>
      </w:r>
      <w:r>
        <w:rPr>
          <w:rFonts w:cs="Arial" w:hint="cs"/>
          <w:rtl/>
        </w:rPr>
        <w:t>"</w:t>
      </w:r>
      <w:r w:rsidR="00843F99" w:rsidRPr="003E092F">
        <w:rPr>
          <w:rFonts w:cs="Arial"/>
          <w:rtl/>
        </w:rPr>
        <w:t>כ כתבה ללוקח אחריות</w:t>
      </w:r>
      <w:r w:rsidR="003E092F" w:rsidRPr="003E092F">
        <w:rPr>
          <w:rFonts w:cs="Arial" w:hint="cs"/>
          <w:rtl/>
        </w:rPr>
        <w:t>.</w:t>
      </w:r>
      <w:r w:rsidR="00843F99" w:rsidRPr="003E092F">
        <w:rPr>
          <w:rFonts w:cs="Arial"/>
          <w:rtl/>
        </w:rPr>
        <w:t xml:space="preserve"> וגם אני הייתי סבור כן מתחלה</w:t>
      </w:r>
      <w:r w:rsidR="003E092F" w:rsidRPr="003E092F">
        <w:rPr>
          <w:rFonts w:cs="Arial" w:hint="cs"/>
          <w:rtl/>
        </w:rPr>
        <w:t>.</w:t>
      </w:r>
      <w:r w:rsidR="00843F99" w:rsidRPr="003E092F">
        <w:rPr>
          <w:rFonts w:cs="Arial"/>
          <w:rtl/>
        </w:rPr>
        <w:t xml:space="preserve"> ואח</w:t>
      </w:r>
      <w:r>
        <w:rPr>
          <w:rFonts w:cs="Arial" w:hint="cs"/>
          <w:rtl/>
        </w:rPr>
        <w:t>"</w:t>
      </w:r>
      <w:r w:rsidR="00843F99" w:rsidRPr="003E092F">
        <w:rPr>
          <w:rFonts w:cs="Arial"/>
          <w:rtl/>
        </w:rPr>
        <w:t>כ נתיישבתי בדבר ונראה לי שמועיל סילוק בענין זה</w:t>
      </w:r>
      <w:r w:rsidR="003E092F" w:rsidRPr="003E092F">
        <w:rPr>
          <w:rFonts w:cs="Arial" w:hint="cs"/>
          <w:rtl/>
        </w:rPr>
        <w:t>,</w:t>
      </w:r>
      <w:r w:rsidR="00843F99" w:rsidRPr="003E092F">
        <w:rPr>
          <w:rFonts w:cs="Arial"/>
          <w:rtl/>
        </w:rPr>
        <w:t xml:space="preserve"> והוא שקנו מידה</w:t>
      </w:r>
      <w:r w:rsidR="003E092F" w:rsidRPr="003E092F">
        <w:rPr>
          <w:rFonts w:cs="Arial" w:hint="cs"/>
          <w:rtl/>
        </w:rPr>
        <w:t>.</w:t>
      </w:r>
      <w:r w:rsidR="00843F99" w:rsidRPr="003E092F">
        <w:rPr>
          <w:rFonts w:cs="Arial"/>
          <w:rtl/>
        </w:rPr>
        <w:t xml:space="preserve"> דעד כאן לא אמר שמואל אף בשטר לא קנה עד שתכתוב לו אחריות אלא בלקח מן האיש וחזר ולקח מן האשה</w:t>
      </w:r>
      <w:r w:rsidR="003E092F" w:rsidRPr="003E092F">
        <w:rPr>
          <w:rFonts w:cs="Arial" w:hint="cs"/>
          <w:rtl/>
        </w:rPr>
        <w:t>.</w:t>
      </w:r>
      <w:r w:rsidR="00843F99" w:rsidRPr="003E092F">
        <w:rPr>
          <w:rFonts w:cs="Arial"/>
          <w:rtl/>
        </w:rPr>
        <w:t xml:space="preserve"> אבל אם לקח מן האשה תחלה אפילו לא קיבלה עליה אחריות אינה יכולה לומר נחת רוח עשיתי לבעלי</w:t>
      </w:r>
      <w:r w:rsidR="003E092F" w:rsidRPr="003E092F">
        <w:rPr>
          <w:rFonts w:cs="Arial" w:hint="cs"/>
          <w:rtl/>
        </w:rPr>
        <w:t>.</w:t>
      </w:r>
      <w:r w:rsidR="00843F99" w:rsidRPr="003E092F">
        <w:rPr>
          <w:rFonts w:cs="Arial"/>
          <w:rtl/>
        </w:rPr>
        <w:t xml:space="preserve"> ובנ"ד כיון שהיא מסלקת שעבודה עד שגובה זה חובו וקנו מידה</w:t>
      </w:r>
      <w:r w:rsidR="003E092F" w:rsidRPr="003E092F">
        <w:rPr>
          <w:rFonts w:cs="Arial" w:hint="cs"/>
          <w:rtl/>
        </w:rPr>
        <w:t>,</w:t>
      </w:r>
      <w:r w:rsidR="00843F99" w:rsidRPr="003E092F">
        <w:rPr>
          <w:rFonts w:cs="Arial"/>
          <w:rtl/>
        </w:rPr>
        <w:t xml:space="preserve"> הוי כלוקח מהאשה תחלה</w:t>
      </w:r>
      <w:r w:rsidR="003E092F" w:rsidRPr="003E092F">
        <w:rPr>
          <w:rFonts w:cs="Arial" w:hint="cs"/>
          <w:rtl/>
        </w:rPr>
        <w:t>.</w:t>
      </w:r>
      <w:r w:rsidR="00843F99" w:rsidRPr="003E092F">
        <w:rPr>
          <w:rFonts w:cs="Arial"/>
          <w:rtl/>
        </w:rPr>
        <w:t xml:space="preserve"> וכשילוה האיש אח</w:t>
      </w:r>
      <w:r w:rsidR="004D4E72">
        <w:rPr>
          <w:rFonts w:cs="Arial" w:hint="cs"/>
          <w:rtl/>
        </w:rPr>
        <w:t>"</w:t>
      </w:r>
      <w:r w:rsidR="00843F99" w:rsidRPr="003E092F">
        <w:rPr>
          <w:rFonts w:cs="Arial"/>
          <w:rtl/>
        </w:rPr>
        <w:t>כ וישעבד לו נכסיו</w:t>
      </w:r>
      <w:r w:rsidR="003E092F" w:rsidRPr="003E092F">
        <w:rPr>
          <w:rFonts w:cs="Arial" w:hint="cs"/>
          <w:rtl/>
        </w:rPr>
        <w:t>,</w:t>
      </w:r>
      <w:r w:rsidR="00843F99" w:rsidRPr="003E092F">
        <w:rPr>
          <w:rFonts w:cs="Arial"/>
          <w:rtl/>
        </w:rPr>
        <w:t xml:space="preserve"> הוי אח"כ לקח מן האיש</w:t>
      </w:r>
      <w:r w:rsidR="003E092F" w:rsidRPr="003E092F">
        <w:rPr>
          <w:rFonts w:cs="Arial" w:hint="cs"/>
          <w:rtl/>
        </w:rPr>
        <w:t>,</w:t>
      </w:r>
      <w:r w:rsidR="00843F99" w:rsidRPr="003E092F">
        <w:rPr>
          <w:rFonts w:cs="Arial"/>
          <w:rtl/>
        </w:rPr>
        <w:t xml:space="preserve"> ומקחו קיים</w:t>
      </w:r>
      <w:r w:rsidR="003E092F" w:rsidRPr="003E092F">
        <w:rPr>
          <w:rFonts w:cs="Arial" w:hint="cs"/>
          <w:rtl/>
        </w:rPr>
        <w:t>.</w:t>
      </w:r>
      <w:r w:rsidR="00843F99" w:rsidRPr="003E092F">
        <w:rPr>
          <w:rFonts w:cs="Arial"/>
          <w:rtl/>
        </w:rPr>
        <w:t xml:space="preserve"> ומ"ש הרא"ש בתשובה זו דאין סילוק מועיל בלא אחריות</w:t>
      </w:r>
      <w:r w:rsidR="003E092F" w:rsidRPr="003E092F">
        <w:rPr>
          <w:rFonts w:cs="Arial" w:hint="cs"/>
          <w:rtl/>
        </w:rPr>
        <w:t>,</w:t>
      </w:r>
      <w:r w:rsidR="00843F99" w:rsidRPr="003E092F">
        <w:rPr>
          <w:rFonts w:cs="Arial"/>
          <w:rtl/>
        </w:rPr>
        <w:t xml:space="preserve"> היינו מפני שהסילוק היה לבעלה</w:t>
      </w:r>
      <w:r w:rsidR="003E092F" w:rsidRPr="003E092F">
        <w:rPr>
          <w:rFonts w:cs="Arial" w:hint="cs"/>
          <w:rtl/>
        </w:rPr>
        <w:t>.</w:t>
      </w:r>
      <w:r w:rsidR="00843F99" w:rsidRPr="003E092F">
        <w:rPr>
          <w:rFonts w:cs="Arial"/>
          <w:rtl/>
        </w:rPr>
        <w:t xml:space="preserve"> ודמי ללוקח מן האיש ואחר כך לקח מן האשה</w:t>
      </w:r>
      <w:r w:rsidR="003E092F" w:rsidRPr="003E092F">
        <w:rPr>
          <w:rFonts w:cs="Arial" w:hint="cs"/>
          <w:rtl/>
        </w:rPr>
        <w:t>,</w:t>
      </w:r>
      <w:r w:rsidR="00843F99" w:rsidRPr="003E092F">
        <w:rPr>
          <w:rFonts w:cs="Arial"/>
          <w:rtl/>
        </w:rPr>
        <w:t xml:space="preserve"> דכך לי סילוק מהבעל כמו סילוק מהאיש שלקח מהבעל כבר</w:t>
      </w:r>
      <w:r w:rsidR="003E092F" w:rsidRPr="003E092F">
        <w:rPr>
          <w:rFonts w:cs="Arial" w:hint="cs"/>
          <w:rtl/>
        </w:rPr>
        <w:t>.</w:t>
      </w:r>
      <w:r w:rsidR="00843F99" w:rsidRPr="003E092F">
        <w:rPr>
          <w:rFonts w:cs="Arial"/>
          <w:rtl/>
        </w:rPr>
        <w:t xml:space="preserve"> אבל במסלקת שעבודה לאיש שרוצה להלוות לבעלה וקנו מידה מודה הרא"ש דמהני</w:t>
      </w:r>
      <w:r w:rsidR="003E092F" w:rsidRPr="003E092F">
        <w:rPr>
          <w:rFonts w:cs="Arial" w:hint="cs"/>
          <w:rtl/>
        </w:rPr>
        <w:t>.</w:t>
      </w:r>
      <w:r w:rsidR="00843F99" w:rsidRPr="003E092F">
        <w:rPr>
          <w:rFonts w:cs="Arial"/>
          <w:rtl/>
        </w:rPr>
        <w:t xml:space="preserve"> </w:t>
      </w:r>
    </w:p>
    <w:p w14:paraId="7B1D9448" w14:textId="77777777" w:rsidR="00EB79BF" w:rsidRDefault="00EB79BF" w:rsidP="00EB79BF">
      <w:pPr>
        <w:rPr>
          <w:rFonts w:cs="Arial"/>
          <w:rtl/>
        </w:rPr>
      </w:pPr>
      <w:r w:rsidRPr="003024E5">
        <w:rPr>
          <w:rFonts w:asciiTheme="minorBidi" w:hAnsiTheme="minorBidi"/>
          <w:b/>
          <w:bCs/>
          <w:color w:val="000000"/>
          <w:sz w:val="28"/>
          <w:szCs w:val="28"/>
          <w:u w:val="single"/>
          <w:rtl/>
        </w:rPr>
        <w:t>שו"ע:</w:t>
      </w:r>
    </w:p>
    <w:p w14:paraId="2F014696" w14:textId="422216B7" w:rsidR="00EB79BF" w:rsidRDefault="00EB79BF" w:rsidP="00EB79BF">
      <w:pPr>
        <w:rPr>
          <w:rFonts w:cs="Arial"/>
          <w:rtl/>
        </w:rPr>
      </w:pPr>
      <w:r w:rsidRPr="00EB79BF">
        <w:rPr>
          <w:rFonts w:cs="Arial"/>
          <w:rtl/>
        </w:rPr>
        <w:t>נכסי צאן ברזל</w:t>
      </w:r>
      <w:r w:rsidR="00246ED4">
        <w:rPr>
          <w:rStyle w:val="a7"/>
          <w:rFonts w:cs="Arial"/>
          <w:rtl/>
        </w:rPr>
        <w:footnoteReference w:id="1421"/>
      </w:r>
      <w:r w:rsidRPr="00EB79BF">
        <w:rPr>
          <w:rFonts w:cs="Arial"/>
          <w:rtl/>
        </w:rPr>
        <w:t xml:space="preserve"> שאבדו או נגנבו ומחלה אותם לבעלה, וקנו ממנה</w:t>
      </w:r>
      <w:r w:rsidR="00D47B10">
        <w:rPr>
          <w:rStyle w:val="a7"/>
          <w:rFonts w:cs="Arial"/>
          <w:rtl/>
        </w:rPr>
        <w:footnoteReference w:id="1422"/>
      </w:r>
      <w:r w:rsidRPr="00EB79BF">
        <w:rPr>
          <w:rFonts w:cs="Arial"/>
          <w:rtl/>
        </w:rPr>
        <w:t xml:space="preserve"> בעדים, אינה יכולה לומר: נחת רוח עשיתי לבעלי. אבל אם נתנה לו מתנה מטלטלי צ</w:t>
      </w:r>
      <w:r w:rsidR="00DA1E36">
        <w:rPr>
          <w:rFonts w:cs="Arial" w:hint="cs"/>
          <w:rtl/>
        </w:rPr>
        <w:t>אן ברזל</w:t>
      </w:r>
      <w:r w:rsidRPr="00EB79BF">
        <w:rPr>
          <w:rFonts w:cs="Arial"/>
          <w:rtl/>
        </w:rPr>
        <w:t xml:space="preserve"> הקיימים, לא קנה, מפני שיש לה לומר: נחת רוח עשיתי לבעלי. </w:t>
      </w:r>
    </w:p>
    <w:p w14:paraId="535B59DE" w14:textId="77777777" w:rsidR="00563F42" w:rsidRPr="00EB79BF" w:rsidRDefault="00563F42" w:rsidP="00EB79BF">
      <w:pPr>
        <w:rPr>
          <w:rFonts w:cs="Arial"/>
          <w:rtl/>
        </w:rPr>
      </w:pPr>
    </w:p>
    <w:p w14:paraId="5EFDA5C8" w14:textId="3A79CF2C" w:rsidR="00EB79BF" w:rsidRDefault="00EB79BF" w:rsidP="000F64D0">
      <w:pPr>
        <w:pStyle w:val="2"/>
        <w:rPr>
          <w:rtl/>
        </w:rPr>
      </w:pPr>
      <w:r w:rsidRPr="00EB79BF">
        <w:rPr>
          <w:rtl/>
        </w:rPr>
        <w:t>סעיף יט</w:t>
      </w:r>
      <w:r w:rsidR="00246ED4">
        <w:rPr>
          <w:rFonts w:hint="cs"/>
          <w:rtl/>
        </w:rPr>
        <w:t>:</w:t>
      </w:r>
      <w:r w:rsidR="00FA5D29" w:rsidRPr="00FA5D29">
        <w:rPr>
          <w:rtl/>
        </w:rPr>
        <w:t xml:space="preserve"> </w:t>
      </w:r>
      <w:r w:rsidR="00FA5D29">
        <w:rPr>
          <w:rFonts w:hint="cs"/>
          <w:rtl/>
        </w:rPr>
        <w:t>ה</w:t>
      </w:r>
      <w:r w:rsidR="00FA5D29" w:rsidRPr="008C513A">
        <w:rPr>
          <w:rtl/>
        </w:rPr>
        <w:t>אומר לאשתו שתעשה בבגדי</w:t>
      </w:r>
      <w:r w:rsidR="00FA5D29">
        <w:rPr>
          <w:rFonts w:hint="cs"/>
          <w:rtl/>
        </w:rPr>
        <w:t>ה/</w:t>
      </w:r>
      <w:r w:rsidR="00FA5D29" w:rsidRPr="008C513A">
        <w:rPr>
          <w:rtl/>
        </w:rPr>
        <w:t>תכשיטיה מה שתרצה</w:t>
      </w:r>
      <w:r w:rsidR="00FA5D29">
        <w:rPr>
          <w:rFonts w:hint="cs"/>
          <w:rtl/>
        </w:rPr>
        <w:t>,</w:t>
      </w:r>
      <w:r w:rsidR="00FA5D29" w:rsidRPr="008C513A">
        <w:rPr>
          <w:rtl/>
        </w:rPr>
        <w:t xml:space="preserve"> ונתנה לאחר במתנה</w:t>
      </w:r>
      <w:r w:rsidR="00FA5D29">
        <w:rPr>
          <w:rFonts w:hint="cs"/>
          <w:rtl/>
        </w:rPr>
        <w:t>.</w:t>
      </w:r>
    </w:p>
    <w:p w14:paraId="2CE345CE" w14:textId="49DDB1B2" w:rsidR="00246ED4" w:rsidRPr="00FA5D29" w:rsidRDefault="00FA5D29" w:rsidP="00246ED4">
      <w:pPr>
        <w:rPr>
          <w:u w:val="single"/>
          <w:rtl/>
        </w:rPr>
      </w:pPr>
      <w:r w:rsidRPr="00FA5D29">
        <w:rPr>
          <w:rFonts w:cs="Arial"/>
          <w:u w:val="single"/>
          <w:rtl/>
        </w:rPr>
        <w:t>בעל אומר לאשתו שתעשה בבגדיה ותכשיטיה מה שתרצה</w:t>
      </w:r>
      <w:r w:rsidRPr="00FA5D29">
        <w:rPr>
          <w:rFonts w:cs="Arial" w:hint="cs"/>
          <w:u w:val="single"/>
          <w:rtl/>
        </w:rPr>
        <w:t>,</w:t>
      </w:r>
      <w:r w:rsidRPr="00FA5D29">
        <w:rPr>
          <w:rFonts w:cs="Arial"/>
          <w:u w:val="single"/>
          <w:rtl/>
        </w:rPr>
        <w:t xml:space="preserve"> ונתנה לאחר במתנה</w:t>
      </w:r>
      <w:r w:rsidRPr="00FA5D29">
        <w:rPr>
          <w:rFonts w:cs="Arial" w:hint="cs"/>
          <w:u w:val="single"/>
          <w:rtl/>
        </w:rPr>
        <w:t xml:space="preserve"> </w:t>
      </w:r>
      <w:r w:rsidR="00F97626">
        <w:rPr>
          <w:rFonts w:cs="Arial"/>
          <w:u w:val="single"/>
          <w:rtl/>
        </w:rPr>
        <w:t>-</w:t>
      </w:r>
      <w:r w:rsidRPr="00FA5D29">
        <w:rPr>
          <w:rFonts w:cs="Arial"/>
          <w:u w:val="single"/>
          <w:rtl/>
        </w:rPr>
        <w:t xml:space="preserve"> </w:t>
      </w:r>
      <w:r w:rsidRPr="00FA5D29">
        <w:rPr>
          <w:rFonts w:cs="Arial" w:hint="cs"/>
          <w:u w:val="single"/>
          <w:rtl/>
        </w:rPr>
        <w:t xml:space="preserve">האם </w:t>
      </w:r>
      <w:r w:rsidRPr="00FA5D29">
        <w:rPr>
          <w:rFonts w:cs="Arial"/>
          <w:u w:val="single"/>
          <w:rtl/>
        </w:rPr>
        <w:t>הויא מתנה</w:t>
      </w:r>
      <w:r w:rsidRPr="00FA5D29">
        <w:rPr>
          <w:rFonts w:hint="cs"/>
          <w:u w:val="single"/>
          <w:rtl/>
        </w:rPr>
        <w:t>:</w:t>
      </w:r>
    </w:p>
    <w:p w14:paraId="10BF3D1A" w14:textId="2F9128A5" w:rsidR="00CE7238" w:rsidRDefault="00CE7238" w:rsidP="009000E3">
      <w:pPr>
        <w:pStyle w:val="ab"/>
        <w:numPr>
          <w:ilvl w:val="0"/>
          <w:numId w:val="55"/>
        </w:numPr>
        <w:rPr>
          <w:rFonts w:cs="Arial"/>
        </w:rPr>
      </w:pPr>
      <w:r w:rsidRPr="008C513A">
        <w:rPr>
          <w:rFonts w:cs="Arial"/>
          <w:rtl/>
        </w:rPr>
        <w:t>רא"ש</w:t>
      </w:r>
      <w:r>
        <w:rPr>
          <w:rFonts w:cs="Arial" w:hint="cs"/>
          <w:sz w:val="16"/>
          <w:szCs w:val="16"/>
          <w:rtl/>
        </w:rPr>
        <w:t xml:space="preserve"> </w:t>
      </w:r>
      <w:r w:rsidRPr="00DD3492">
        <w:rPr>
          <w:rFonts w:cs="Arial" w:hint="cs"/>
          <w:sz w:val="16"/>
          <w:szCs w:val="16"/>
          <w:rtl/>
        </w:rPr>
        <w:t>(</w:t>
      </w:r>
      <w:r w:rsidRPr="00DD3492">
        <w:rPr>
          <w:rFonts w:cs="Arial"/>
          <w:sz w:val="16"/>
          <w:szCs w:val="16"/>
          <w:rtl/>
        </w:rPr>
        <w:t xml:space="preserve">כלל </w:t>
      </w:r>
      <w:r>
        <w:rPr>
          <w:rFonts w:cs="Arial" w:hint="cs"/>
          <w:sz w:val="16"/>
          <w:szCs w:val="16"/>
          <w:rtl/>
        </w:rPr>
        <w:t>לח</w:t>
      </w:r>
      <w:r w:rsidRPr="00DD3492">
        <w:rPr>
          <w:rFonts w:cs="Arial"/>
          <w:sz w:val="16"/>
          <w:szCs w:val="16"/>
          <w:rtl/>
        </w:rPr>
        <w:t xml:space="preserve"> סי' </w:t>
      </w:r>
      <w:r>
        <w:rPr>
          <w:rFonts w:cs="Arial" w:hint="cs"/>
          <w:sz w:val="16"/>
          <w:szCs w:val="16"/>
          <w:rtl/>
        </w:rPr>
        <w:t>ה)</w:t>
      </w:r>
      <w:r>
        <w:rPr>
          <w:rFonts w:cs="Arial" w:hint="cs"/>
          <w:rtl/>
        </w:rPr>
        <w:t xml:space="preserve"> וטור- </w:t>
      </w:r>
      <w:r w:rsidR="008C513A" w:rsidRPr="008C513A">
        <w:rPr>
          <w:rFonts w:cs="Arial"/>
          <w:rtl/>
        </w:rPr>
        <w:t>וששאלת בעל אומר לאשתו שתעשה בבגדיה ותכשיטיה מה שתרצה</w:t>
      </w:r>
      <w:r w:rsidR="00FA5D29">
        <w:rPr>
          <w:rFonts w:cs="Arial" w:hint="cs"/>
          <w:rtl/>
        </w:rPr>
        <w:t>.</w:t>
      </w:r>
      <w:r w:rsidR="008C513A" w:rsidRPr="008C513A">
        <w:rPr>
          <w:rFonts w:cs="Arial"/>
          <w:rtl/>
        </w:rPr>
        <w:t xml:space="preserve"> ונתנה לאחר במתנה</w:t>
      </w:r>
      <w:r w:rsidR="00FA5D29">
        <w:rPr>
          <w:rFonts w:cs="Arial" w:hint="cs"/>
          <w:rtl/>
        </w:rPr>
        <w:t>.</w:t>
      </w:r>
      <w:r w:rsidR="008C513A" w:rsidRPr="008C513A">
        <w:rPr>
          <w:rFonts w:cs="Arial"/>
          <w:rtl/>
        </w:rPr>
        <w:t xml:space="preserve"> אי הויא מתנה</w:t>
      </w:r>
      <w:r w:rsidR="00FA5D29">
        <w:rPr>
          <w:rFonts w:cs="Arial" w:hint="cs"/>
          <w:rtl/>
        </w:rPr>
        <w:t>.</w:t>
      </w:r>
      <w:r w:rsidR="008C513A" w:rsidRPr="008C513A">
        <w:rPr>
          <w:rFonts w:cs="Arial"/>
          <w:rtl/>
        </w:rPr>
        <w:t xml:space="preserve"> </w:t>
      </w:r>
      <w:r w:rsidR="00EB51F8">
        <w:rPr>
          <w:rFonts w:cs="Arial" w:hint="cs"/>
          <w:rtl/>
        </w:rPr>
        <w:t xml:space="preserve">  </w:t>
      </w:r>
      <w:r w:rsidR="004D4E72">
        <w:rPr>
          <w:rFonts w:cs="Arial" w:hint="cs"/>
          <w:rtl/>
        </w:rPr>
        <w:t xml:space="preserve"> </w:t>
      </w:r>
      <w:r w:rsidR="00FE210D">
        <w:rPr>
          <w:rFonts w:cs="Arial" w:hint="cs"/>
          <w:rtl/>
        </w:rPr>
        <w:t xml:space="preserve">  תשובה:</w:t>
      </w:r>
      <w:r w:rsidR="00EB51F8">
        <w:rPr>
          <w:rFonts w:cs="Arial" w:hint="cs"/>
          <w:rtl/>
        </w:rPr>
        <w:t xml:space="preserve"> </w:t>
      </w:r>
      <w:r w:rsidR="008C513A" w:rsidRPr="008C513A">
        <w:rPr>
          <w:rFonts w:cs="Arial"/>
          <w:rtl/>
        </w:rPr>
        <w:t>דע שאין במתנתה כלום</w:t>
      </w:r>
      <w:r w:rsidR="00FA5D29">
        <w:rPr>
          <w:rFonts w:cs="Arial" w:hint="cs"/>
          <w:rtl/>
        </w:rPr>
        <w:t>,</w:t>
      </w:r>
      <w:r w:rsidR="008C513A" w:rsidRPr="008C513A">
        <w:rPr>
          <w:rFonts w:cs="Arial"/>
          <w:rtl/>
        </w:rPr>
        <w:t xml:space="preserve"> שהבעל חייב לכסות אשתו</w:t>
      </w:r>
      <w:r w:rsidR="00FA5D29">
        <w:rPr>
          <w:rFonts w:cs="Arial" w:hint="cs"/>
          <w:rtl/>
        </w:rPr>
        <w:t>,</w:t>
      </w:r>
      <w:r w:rsidR="008C513A" w:rsidRPr="008C513A">
        <w:rPr>
          <w:rFonts w:cs="Arial"/>
          <w:rtl/>
        </w:rPr>
        <w:t xml:space="preserve"> והיא אינה יכולה למכור וליתן לאחר הכסות שהוא קונה לה</w:t>
      </w:r>
      <w:r w:rsidR="00FA5D29">
        <w:rPr>
          <w:rFonts w:cs="Arial" w:hint="cs"/>
          <w:rtl/>
        </w:rPr>
        <w:t>.</w:t>
      </w:r>
      <w:r w:rsidR="008C513A" w:rsidRPr="008C513A">
        <w:rPr>
          <w:rFonts w:cs="Arial"/>
          <w:rtl/>
        </w:rPr>
        <w:t xml:space="preserve"> ואפי' הכניסה לו הבגדים מבית אביה</w:t>
      </w:r>
      <w:r w:rsidR="00FA5D29">
        <w:rPr>
          <w:rFonts w:cs="Arial" w:hint="cs"/>
          <w:rtl/>
        </w:rPr>
        <w:t>,</w:t>
      </w:r>
      <w:r w:rsidR="008C513A" w:rsidRPr="008C513A">
        <w:rPr>
          <w:rFonts w:cs="Arial"/>
          <w:rtl/>
        </w:rPr>
        <w:t xml:space="preserve"> הוי כאילו קנאם</w:t>
      </w:r>
      <w:r w:rsidR="00FA5D29">
        <w:rPr>
          <w:rFonts w:cs="Arial" w:hint="cs"/>
          <w:rtl/>
        </w:rPr>
        <w:t>,</w:t>
      </w:r>
      <w:r w:rsidR="008C513A" w:rsidRPr="008C513A">
        <w:rPr>
          <w:rFonts w:cs="Arial"/>
          <w:rtl/>
        </w:rPr>
        <w:t xml:space="preserve"> שאם תתנם לאחר צריך לקנות לה אחרים</w:t>
      </w:r>
      <w:r w:rsidR="00FA5D29">
        <w:rPr>
          <w:rFonts w:cs="Arial" w:hint="cs"/>
          <w:rtl/>
        </w:rPr>
        <w:t>.</w:t>
      </w:r>
      <w:r w:rsidR="008C513A" w:rsidRPr="008C513A">
        <w:rPr>
          <w:rFonts w:cs="Arial"/>
          <w:rtl/>
        </w:rPr>
        <w:t xml:space="preserve"> והמלבושים שהכניסה לו</w:t>
      </w:r>
      <w:r w:rsidR="00FA5D29">
        <w:rPr>
          <w:rFonts w:cs="Arial" w:hint="cs"/>
          <w:rtl/>
        </w:rPr>
        <w:t>,</w:t>
      </w:r>
      <w:r w:rsidR="008C513A" w:rsidRPr="008C513A">
        <w:rPr>
          <w:rFonts w:cs="Arial"/>
          <w:rtl/>
        </w:rPr>
        <w:t xml:space="preserve"> בין אם הן נכסי מלוג או נכסי צאן ברזל</w:t>
      </w:r>
      <w:r w:rsidR="00FA5D29">
        <w:rPr>
          <w:rFonts w:cs="Arial" w:hint="cs"/>
          <w:rtl/>
        </w:rPr>
        <w:t>,</w:t>
      </w:r>
      <w:r w:rsidR="008C513A" w:rsidRPr="008C513A">
        <w:rPr>
          <w:rFonts w:cs="Arial"/>
          <w:rtl/>
        </w:rPr>
        <w:t xml:space="preserve"> אינה יכולה למוכרם וליתנם</w:t>
      </w:r>
      <w:r w:rsidR="00FA5D29">
        <w:rPr>
          <w:rFonts w:cs="Arial" w:hint="cs"/>
          <w:rtl/>
        </w:rPr>
        <w:t>.</w:t>
      </w:r>
      <w:r w:rsidR="008C513A" w:rsidRPr="008C513A">
        <w:rPr>
          <w:rFonts w:cs="Arial"/>
          <w:rtl/>
        </w:rPr>
        <w:t xml:space="preserve"> ומה שאומר לה שתעשה לה בתכשיטיה מה שתרצה</w:t>
      </w:r>
      <w:r w:rsidR="00FA5D29">
        <w:rPr>
          <w:rFonts w:cs="Arial" w:hint="cs"/>
          <w:rtl/>
        </w:rPr>
        <w:t>,</w:t>
      </w:r>
      <w:r w:rsidR="008C513A" w:rsidRPr="008C513A">
        <w:rPr>
          <w:rFonts w:cs="Arial"/>
          <w:rtl/>
        </w:rPr>
        <w:t xml:space="preserve"> אין הלשון מועיל</w:t>
      </w:r>
      <w:r w:rsidR="00FA5D29">
        <w:rPr>
          <w:rFonts w:cs="Arial" w:hint="cs"/>
          <w:rtl/>
        </w:rPr>
        <w:t>,</w:t>
      </w:r>
      <w:r w:rsidR="008C513A" w:rsidRPr="008C513A">
        <w:rPr>
          <w:rFonts w:cs="Arial"/>
          <w:rtl/>
        </w:rPr>
        <w:t xml:space="preserve"> שאני יכול לפרש שתעשה בהן מה שתרצה להשאילם או להפקידם ביד אחר כדי שלא יוכל הבעל ליקחם</w:t>
      </w:r>
      <w:r w:rsidR="00FA5D29">
        <w:rPr>
          <w:rFonts w:cs="Arial" w:hint="cs"/>
          <w:rtl/>
        </w:rPr>
        <w:t>,</w:t>
      </w:r>
      <w:r w:rsidR="008C513A" w:rsidRPr="008C513A">
        <w:rPr>
          <w:rFonts w:cs="Arial"/>
          <w:rtl/>
        </w:rPr>
        <w:t xml:space="preserve"> ואין מתנתה מתנה</w:t>
      </w:r>
      <w:r>
        <w:rPr>
          <w:rFonts w:cs="Arial" w:hint="cs"/>
          <w:sz w:val="16"/>
          <w:szCs w:val="16"/>
          <w:rtl/>
        </w:rPr>
        <w:t xml:space="preserve"> (ל' הטור בשם הרא"ש)</w:t>
      </w:r>
      <w:r>
        <w:rPr>
          <w:rFonts w:cs="Arial" w:hint="cs"/>
          <w:rtl/>
        </w:rPr>
        <w:t>.</w:t>
      </w:r>
      <w:r w:rsidR="00FA5D29" w:rsidRPr="00FA5D29">
        <w:rPr>
          <w:rFonts w:cs="Arial" w:hint="cs"/>
          <w:color w:val="E36C0A" w:themeColor="accent6" w:themeShade="BF"/>
          <w:rtl/>
        </w:rPr>
        <w:t xml:space="preserve"> </w:t>
      </w:r>
      <w:r w:rsidR="00FA5D29" w:rsidRPr="002472AF">
        <w:rPr>
          <w:rFonts w:cs="Arial" w:hint="cs"/>
          <w:color w:val="E36C0A" w:themeColor="accent6" w:themeShade="BF"/>
          <w:rtl/>
        </w:rPr>
        <w:t>(וכ"פ בשו"ע)</w:t>
      </w:r>
    </w:p>
    <w:p w14:paraId="38CE7615" w14:textId="77777777" w:rsidR="00EB79BF" w:rsidRDefault="00EB79BF" w:rsidP="00EB79BF">
      <w:pPr>
        <w:rPr>
          <w:rFonts w:cs="Arial"/>
          <w:rtl/>
        </w:rPr>
      </w:pPr>
      <w:r w:rsidRPr="003024E5">
        <w:rPr>
          <w:rFonts w:asciiTheme="minorBidi" w:hAnsiTheme="minorBidi"/>
          <w:b/>
          <w:bCs/>
          <w:color w:val="000000"/>
          <w:sz w:val="28"/>
          <w:szCs w:val="28"/>
          <w:u w:val="single"/>
          <w:rtl/>
        </w:rPr>
        <w:t>שו"ע:</w:t>
      </w:r>
    </w:p>
    <w:p w14:paraId="43CDD9D3" w14:textId="3359C3A5" w:rsidR="00EB79BF" w:rsidRDefault="00EB79BF" w:rsidP="00EB79BF">
      <w:pPr>
        <w:rPr>
          <w:rFonts w:cs="Arial"/>
          <w:rtl/>
        </w:rPr>
      </w:pPr>
      <w:r w:rsidRPr="00EB79BF">
        <w:rPr>
          <w:rFonts w:cs="Arial"/>
          <w:rtl/>
        </w:rPr>
        <w:t xml:space="preserve">אשה שאמר לה בעלה שתעשה בבגדיה ובתכשיטיה מה שתרצה, אם מכרה או נתנה, בטל. </w:t>
      </w:r>
    </w:p>
    <w:p w14:paraId="15B36192" w14:textId="77777777" w:rsidR="00E70335" w:rsidRPr="00EB79BF" w:rsidRDefault="00E70335" w:rsidP="00EB79BF">
      <w:pPr>
        <w:rPr>
          <w:rFonts w:cs="Arial"/>
          <w:rtl/>
        </w:rPr>
      </w:pPr>
    </w:p>
    <w:p w14:paraId="4B2A4A45" w14:textId="6EFBE924" w:rsidR="00EB79BF" w:rsidRDefault="00EB79BF" w:rsidP="000F64D0">
      <w:pPr>
        <w:pStyle w:val="2"/>
        <w:rPr>
          <w:rtl/>
        </w:rPr>
      </w:pPr>
      <w:r w:rsidRPr="00EB79BF">
        <w:rPr>
          <w:rtl/>
        </w:rPr>
        <w:t>סעיף כ</w:t>
      </w:r>
      <w:r w:rsidR="00CE7238">
        <w:rPr>
          <w:rFonts w:hint="cs"/>
          <w:rtl/>
        </w:rPr>
        <w:t>:</w:t>
      </w:r>
      <w:r w:rsidR="00F963B8" w:rsidRPr="00F963B8">
        <w:rPr>
          <w:rFonts w:hint="cs"/>
          <w:rtl/>
        </w:rPr>
        <w:t xml:space="preserve"> </w:t>
      </w:r>
      <w:r w:rsidR="00F963B8">
        <w:rPr>
          <w:rFonts w:hint="cs"/>
          <w:rtl/>
        </w:rPr>
        <w:t>קרקע מלוג שנתחזקו עליה ב' שטרות, המוקדם מחמת בעל, והמאוחר מחמת שניהם.</w:t>
      </w:r>
    </w:p>
    <w:p w14:paraId="251F2DB7" w14:textId="6230B134" w:rsidR="00CE7238" w:rsidRPr="00F963B8" w:rsidRDefault="00EB51F8" w:rsidP="00CE7238">
      <w:pPr>
        <w:rPr>
          <w:u w:val="single"/>
          <w:rtl/>
        </w:rPr>
      </w:pPr>
      <w:r w:rsidRPr="00F963B8">
        <w:rPr>
          <w:rFonts w:cs="Arial" w:hint="cs"/>
          <w:u w:val="single"/>
          <w:rtl/>
        </w:rPr>
        <w:t xml:space="preserve">קרקע מלוג שנתחזקו עליה שני שטרות, </w:t>
      </w:r>
      <w:r w:rsidR="00F963B8" w:rsidRPr="00F963B8">
        <w:rPr>
          <w:rFonts w:cs="Arial" w:hint="cs"/>
          <w:u w:val="single"/>
          <w:rtl/>
        </w:rPr>
        <w:t>הש</w:t>
      </w:r>
      <w:r w:rsidR="00F963B8">
        <w:rPr>
          <w:rFonts w:cs="Arial" w:hint="cs"/>
          <w:u w:val="single"/>
          <w:rtl/>
        </w:rPr>
        <w:t>ט</w:t>
      </w:r>
      <w:r w:rsidR="00F963B8" w:rsidRPr="00F963B8">
        <w:rPr>
          <w:rFonts w:cs="Arial" w:hint="cs"/>
          <w:u w:val="single"/>
          <w:rtl/>
        </w:rPr>
        <w:t>ר המוקדם</w:t>
      </w:r>
      <w:r w:rsidRPr="00F963B8">
        <w:rPr>
          <w:rFonts w:cs="Arial" w:hint="cs"/>
          <w:u w:val="single"/>
          <w:rtl/>
        </w:rPr>
        <w:t xml:space="preserve"> נתחזק מחמת הבעל, והמאוחר מחמת </w:t>
      </w:r>
      <w:r w:rsidR="00F963B8">
        <w:rPr>
          <w:rFonts w:cs="Arial" w:hint="cs"/>
          <w:u w:val="single"/>
          <w:rtl/>
        </w:rPr>
        <w:t>הבעל ואשתו</w:t>
      </w:r>
      <w:r w:rsidRPr="00F963B8">
        <w:rPr>
          <w:rFonts w:hint="cs"/>
          <w:u w:val="single"/>
          <w:rtl/>
        </w:rPr>
        <w:t>:</w:t>
      </w:r>
    </w:p>
    <w:p w14:paraId="342610F0" w14:textId="1EBF0970" w:rsidR="00CE7238" w:rsidRPr="00CE7238" w:rsidRDefault="00CE7238" w:rsidP="009000E3">
      <w:pPr>
        <w:pStyle w:val="ab"/>
        <w:numPr>
          <w:ilvl w:val="0"/>
          <w:numId w:val="55"/>
        </w:numPr>
        <w:rPr>
          <w:rFonts w:cs="Arial"/>
          <w:rtl/>
        </w:rPr>
      </w:pPr>
      <w:r w:rsidRPr="008C513A">
        <w:rPr>
          <w:rFonts w:cs="Arial"/>
          <w:rtl/>
        </w:rPr>
        <w:t>רא"ש</w:t>
      </w:r>
      <w:r>
        <w:rPr>
          <w:rFonts w:cs="Arial" w:hint="cs"/>
          <w:sz w:val="16"/>
          <w:szCs w:val="16"/>
          <w:rtl/>
        </w:rPr>
        <w:t xml:space="preserve"> </w:t>
      </w:r>
      <w:r w:rsidRPr="00DD3492">
        <w:rPr>
          <w:rFonts w:cs="Arial" w:hint="cs"/>
          <w:sz w:val="16"/>
          <w:szCs w:val="16"/>
          <w:rtl/>
        </w:rPr>
        <w:t>(</w:t>
      </w:r>
      <w:r w:rsidRPr="00DD3492">
        <w:rPr>
          <w:rFonts w:cs="Arial"/>
          <w:sz w:val="16"/>
          <w:szCs w:val="16"/>
          <w:rtl/>
        </w:rPr>
        <w:t xml:space="preserve">כלל </w:t>
      </w:r>
      <w:r>
        <w:rPr>
          <w:rFonts w:cs="Arial" w:hint="cs"/>
          <w:sz w:val="16"/>
          <w:szCs w:val="16"/>
          <w:rtl/>
        </w:rPr>
        <w:t>לח</w:t>
      </w:r>
      <w:r w:rsidRPr="00DD3492">
        <w:rPr>
          <w:rFonts w:cs="Arial"/>
          <w:sz w:val="16"/>
          <w:szCs w:val="16"/>
          <w:rtl/>
        </w:rPr>
        <w:t xml:space="preserve"> סי' </w:t>
      </w:r>
      <w:r>
        <w:rPr>
          <w:rFonts w:cs="Arial" w:hint="cs"/>
          <w:sz w:val="16"/>
          <w:szCs w:val="16"/>
          <w:rtl/>
        </w:rPr>
        <w:t>ה)</w:t>
      </w:r>
      <w:r>
        <w:rPr>
          <w:rFonts w:cs="Arial" w:hint="cs"/>
          <w:rtl/>
        </w:rPr>
        <w:t xml:space="preserve"> וטור- </w:t>
      </w:r>
      <w:r w:rsidRPr="008C513A">
        <w:rPr>
          <w:rFonts w:cs="Arial"/>
          <w:rtl/>
        </w:rPr>
        <w:t>וששאלת ראובן שהיה לאשתו קרקע של נכסי מלוג</w:t>
      </w:r>
      <w:r w:rsidR="00FA5D29">
        <w:rPr>
          <w:rFonts w:cs="Arial" w:hint="cs"/>
          <w:rtl/>
        </w:rPr>
        <w:t>,</w:t>
      </w:r>
      <w:r w:rsidRPr="008C513A">
        <w:rPr>
          <w:rFonts w:cs="Arial"/>
          <w:rtl/>
        </w:rPr>
        <w:t xml:space="preserve"> ונתחזק עליו </w:t>
      </w:r>
      <w:r w:rsidR="00EB51F8" w:rsidRPr="00EB51F8">
        <w:rPr>
          <w:rFonts w:cs="Arial"/>
          <w:rtl/>
        </w:rPr>
        <w:t>שני שטרי חובות בזה אחר זה</w:t>
      </w:r>
      <w:r w:rsidR="00EB51F8">
        <w:rPr>
          <w:rFonts w:cs="Arial" w:hint="cs"/>
          <w:rtl/>
        </w:rPr>
        <w:t>,</w:t>
      </w:r>
      <w:r w:rsidR="00EB51F8" w:rsidRPr="00EB51F8">
        <w:rPr>
          <w:rFonts w:cs="Arial"/>
          <w:rtl/>
        </w:rPr>
        <w:t xml:space="preserve"> </w:t>
      </w:r>
      <w:r w:rsidRPr="008C513A">
        <w:rPr>
          <w:rFonts w:cs="Arial"/>
          <w:rtl/>
        </w:rPr>
        <w:t>שטר לשמעון</w:t>
      </w:r>
      <w:r w:rsidR="00EB51F8">
        <w:rPr>
          <w:rFonts w:cs="Arial" w:hint="cs"/>
          <w:rtl/>
        </w:rPr>
        <w:t>,</w:t>
      </w:r>
      <w:r w:rsidRPr="008C513A">
        <w:rPr>
          <w:rFonts w:cs="Arial"/>
          <w:rtl/>
        </w:rPr>
        <w:t xml:space="preserve"> ואחר ללוי</w:t>
      </w:r>
      <w:r w:rsidR="00EB51F8">
        <w:rPr>
          <w:rFonts w:cs="Arial" w:hint="cs"/>
          <w:rtl/>
        </w:rPr>
        <w:t>.</w:t>
      </w:r>
      <w:r w:rsidRPr="008C513A">
        <w:rPr>
          <w:rFonts w:cs="Arial"/>
          <w:rtl/>
        </w:rPr>
        <w:t xml:space="preserve"> ולשמעון שהוא הראשון</w:t>
      </w:r>
      <w:r w:rsidR="00EB51F8">
        <w:rPr>
          <w:rFonts w:cs="Arial" w:hint="cs"/>
          <w:rtl/>
        </w:rPr>
        <w:t>,</w:t>
      </w:r>
      <w:r w:rsidRPr="008C513A">
        <w:rPr>
          <w:rFonts w:cs="Arial"/>
          <w:rtl/>
        </w:rPr>
        <w:t xml:space="preserve"> לא נתחייבה לו האשה עם ראובן בעלה בשטר</w:t>
      </w:r>
      <w:r w:rsidR="00EB51F8">
        <w:rPr>
          <w:rFonts w:cs="Arial" w:hint="cs"/>
          <w:rtl/>
        </w:rPr>
        <w:t>.</w:t>
      </w:r>
      <w:r w:rsidRPr="008C513A">
        <w:rPr>
          <w:rFonts w:cs="Arial"/>
          <w:rtl/>
        </w:rPr>
        <w:t xml:space="preserve"> וללוי שהוא המאוחר</w:t>
      </w:r>
      <w:r w:rsidR="00EB51F8">
        <w:rPr>
          <w:rFonts w:cs="Arial" w:hint="cs"/>
          <w:rtl/>
        </w:rPr>
        <w:t>,</w:t>
      </w:r>
      <w:r w:rsidRPr="008C513A">
        <w:rPr>
          <w:rFonts w:cs="Arial"/>
          <w:rtl/>
        </w:rPr>
        <w:t xml:space="preserve"> נתחייבה</w:t>
      </w:r>
      <w:r w:rsidR="00EB51F8">
        <w:rPr>
          <w:rFonts w:cs="Arial" w:hint="cs"/>
          <w:rtl/>
        </w:rPr>
        <w:t>.</w:t>
      </w:r>
      <w:r w:rsidRPr="008C513A">
        <w:rPr>
          <w:rFonts w:cs="Arial"/>
          <w:rtl/>
        </w:rPr>
        <w:t xml:space="preserve"> ומתה בחיי הבעל</w:t>
      </w:r>
      <w:r w:rsidR="00EB51F8">
        <w:rPr>
          <w:rFonts w:cs="Arial" w:hint="cs"/>
          <w:rtl/>
        </w:rPr>
        <w:t>.</w:t>
      </w:r>
      <w:r w:rsidRPr="008C513A">
        <w:rPr>
          <w:rFonts w:cs="Arial"/>
          <w:rtl/>
        </w:rPr>
        <w:t xml:space="preserve"> מי קודם לגבות</w:t>
      </w:r>
      <w:r w:rsidR="00EB51F8">
        <w:rPr>
          <w:rFonts w:cs="Arial" w:hint="cs"/>
          <w:rtl/>
        </w:rPr>
        <w:t>.</w:t>
      </w:r>
      <w:r w:rsidRPr="008C513A">
        <w:rPr>
          <w:rFonts w:cs="Arial"/>
          <w:rtl/>
        </w:rPr>
        <w:t xml:space="preserve"> </w:t>
      </w:r>
      <w:r w:rsidR="00EB51F8">
        <w:rPr>
          <w:rFonts w:cs="Arial" w:hint="cs"/>
          <w:rtl/>
        </w:rPr>
        <w:t xml:space="preserve">   </w:t>
      </w:r>
      <w:r w:rsidR="00FE210D">
        <w:rPr>
          <w:rFonts w:cs="Arial"/>
          <w:rtl/>
        </w:rPr>
        <w:t xml:space="preserve"> תשובה:</w:t>
      </w:r>
      <w:r w:rsidRPr="008C513A">
        <w:rPr>
          <w:rFonts w:cs="Arial"/>
          <w:rtl/>
        </w:rPr>
        <w:t xml:space="preserve"> לוי המאוחר גובה</w:t>
      </w:r>
      <w:r w:rsidR="00EB51F8">
        <w:rPr>
          <w:rFonts w:cs="Arial" w:hint="cs"/>
          <w:rtl/>
        </w:rPr>
        <w:t>,</w:t>
      </w:r>
      <w:r w:rsidRPr="008C513A">
        <w:rPr>
          <w:rFonts w:cs="Arial"/>
          <w:rtl/>
        </w:rPr>
        <w:t xml:space="preserve"> ולא שמעון</w:t>
      </w:r>
      <w:r w:rsidR="00EB51F8">
        <w:rPr>
          <w:rFonts w:cs="Arial" w:hint="cs"/>
          <w:rtl/>
        </w:rPr>
        <w:t>.</w:t>
      </w:r>
      <w:r w:rsidRPr="008C513A">
        <w:rPr>
          <w:rFonts w:cs="Arial"/>
          <w:rtl/>
        </w:rPr>
        <w:t xml:space="preserve"> דכיון שלא נתחייבה לו האשה</w:t>
      </w:r>
      <w:r w:rsidR="00EB51F8">
        <w:rPr>
          <w:rFonts w:cs="Arial" w:hint="cs"/>
          <w:rtl/>
        </w:rPr>
        <w:t>,</w:t>
      </w:r>
      <w:r w:rsidRPr="008C513A">
        <w:rPr>
          <w:rFonts w:cs="Arial"/>
          <w:rtl/>
        </w:rPr>
        <w:t xml:space="preserve"> החיוב שנתחייב לו ראובן אינו כלום</w:t>
      </w:r>
      <w:r w:rsidR="00EB51F8">
        <w:rPr>
          <w:rFonts w:cs="Arial" w:hint="cs"/>
          <w:rtl/>
        </w:rPr>
        <w:t>,</w:t>
      </w:r>
      <w:r w:rsidRPr="008C513A">
        <w:rPr>
          <w:rFonts w:cs="Arial"/>
          <w:rtl/>
        </w:rPr>
        <w:t xml:space="preserve"> שאינו יכול לשעבד נכסי מלוג של אשתו לאחרים</w:t>
      </w:r>
      <w:r w:rsidR="00EB51F8">
        <w:rPr>
          <w:rFonts w:cs="Arial" w:hint="cs"/>
          <w:rtl/>
        </w:rPr>
        <w:t>.</w:t>
      </w:r>
      <w:r w:rsidRPr="008C513A">
        <w:rPr>
          <w:rFonts w:cs="Arial"/>
          <w:rtl/>
        </w:rPr>
        <w:t xml:space="preserve"> אבל לוי שנתחייבה לו גם האשה </w:t>
      </w:r>
      <w:r w:rsidR="00EB51F8">
        <w:rPr>
          <w:rFonts w:cs="Arial" w:hint="cs"/>
          <w:rtl/>
        </w:rPr>
        <w:t xml:space="preserve">- </w:t>
      </w:r>
      <w:r w:rsidRPr="008C513A">
        <w:rPr>
          <w:rFonts w:cs="Arial"/>
          <w:rtl/>
        </w:rPr>
        <w:t>גובה אע</w:t>
      </w:r>
      <w:r w:rsidR="004D4E72">
        <w:rPr>
          <w:rFonts w:cs="Arial" w:hint="cs"/>
          <w:rtl/>
        </w:rPr>
        <w:t>"</w:t>
      </w:r>
      <w:r w:rsidRPr="008C513A">
        <w:rPr>
          <w:rFonts w:cs="Arial"/>
          <w:rtl/>
        </w:rPr>
        <w:t>פ שה</w:t>
      </w:r>
      <w:r w:rsidR="00EB51F8">
        <w:rPr>
          <w:rFonts w:cs="Arial" w:hint="cs"/>
          <w:rtl/>
        </w:rPr>
        <w:t>ו</w:t>
      </w:r>
      <w:r w:rsidRPr="008C513A">
        <w:rPr>
          <w:rFonts w:cs="Arial"/>
          <w:rtl/>
        </w:rPr>
        <w:t>א מאוחר</w:t>
      </w:r>
      <w:r w:rsidR="00EB51F8">
        <w:rPr>
          <w:rFonts w:cs="Arial" w:hint="cs"/>
          <w:rtl/>
        </w:rPr>
        <w:t>,</w:t>
      </w:r>
      <w:r w:rsidRPr="008C513A">
        <w:rPr>
          <w:rFonts w:cs="Arial"/>
          <w:rtl/>
        </w:rPr>
        <w:t xml:space="preserve"> כיון שהיא נתחייבה לו לא פקע שיעבודו אע</w:t>
      </w:r>
      <w:r w:rsidR="004D4E72">
        <w:rPr>
          <w:rFonts w:cs="Arial" w:hint="cs"/>
          <w:rtl/>
        </w:rPr>
        <w:t>"</w:t>
      </w:r>
      <w:r w:rsidRPr="008C513A">
        <w:rPr>
          <w:rFonts w:cs="Arial"/>
          <w:rtl/>
        </w:rPr>
        <w:t>פ שמתה בחיי הבעל</w:t>
      </w:r>
      <w:r w:rsidR="00EB51F8">
        <w:rPr>
          <w:rFonts w:cs="Arial" w:hint="cs"/>
          <w:rtl/>
        </w:rPr>
        <w:t>,</w:t>
      </w:r>
      <w:r w:rsidRPr="008C513A">
        <w:rPr>
          <w:rFonts w:cs="Arial"/>
          <w:rtl/>
        </w:rPr>
        <w:t xml:space="preserve"> אע</w:t>
      </w:r>
      <w:r w:rsidR="004D4E72">
        <w:rPr>
          <w:rFonts w:cs="Arial" w:hint="cs"/>
          <w:rtl/>
        </w:rPr>
        <w:t>"</w:t>
      </w:r>
      <w:r w:rsidRPr="008C513A">
        <w:rPr>
          <w:rFonts w:cs="Arial"/>
          <w:rtl/>
        </w:rPr>
        <w:t>פ שהבעל שיעבד לשמעון המוקדם כל מה שעתיד לקנות</w:t>
      </w:r>
      <w:r w:rsidR="00EB51F8">
        <w:rPr>
          <w:rFonts w:cs="Arial" w:hint="cs"/>
          <w:rtl/>
        </w:rPr>
        <w:t>,</w:t>
      </w:r>
      <w:r w:rsidRPr="008C513A">
        <w:rPr>
          <w:rFonts w:cs="Arial"/>
          <w:rtl/>
        </w:rPr>
        <w:t xml:space="preserve"> והיה עתיד לקנות הקרקע של אשתו</w:t>
      </w:r>
      <w:r w:rsidR="00EB51F8">
        <w:rPr>
          <w:rFonts w:cs="Arial" w:hint="cs"/>
          <w:rtl/>
        </w:rPr>
        <w:t>,</w:t>
      </w:r>
      <w:r w:rsidRPr="008C513A">
        <w:rPr>
          <w:rFonts w:cs="Arial"/>
          <w:rtl/>
        </w:rPr>
        <w:t xml:space="preserve"> מ"מ הרי סילק עצמו ועשה דבר שגרם שלא בא לכלל ירושה</w:t>
      </w:r>
      <w:r w:rsidR="00EB51F8">
        <w:rPr>
          <w:rFonts w:cs="Arial" w:hint="cs"/>
          <w:rtl/>
        </w:rPr>
        <w:t>.</w:t>
      </w:r>
      <w:r w:rsidRPr="008C513A">
        <w:rPr>
          <w:rFonts w:cs="Arial"/>
          <w:rtl/>
        </w:rPr>
        <w:t xml:space="preserve"> ושיעבוד דאקני לא חל אלא לאחר שיבואו הנכסים לידו</w:t>
      </w:r>
      <w:r>
        <w:rPr>
          <w:rFonts w:cs="Arial" w:hint="cs"/>
          <w:sz w:val="16"/>
          <w:szCs w:val="16"/>
          <w:rtl/>
        </w:rPr>
        <w:t xml:space="preserve"> (ל' הטור בשם הרא"ש)</w:t>
      </w:r>
      <w:r>
        <w:rPr>
          <w:rFonts w:cs="Arial" w:hint="cs"/>
          <w:rtl/>
        </w:rPr>
        <w:t>.</w:t>
      </w:r>
      <w:r w:rsidRPr="008C513A">
        <w:rPr>
          <w:rFonts w:cs="Arial"/>
          <w:rtl/>
        </w:rPr>
        <w:t xml:space="preserve"> </w:t>
      </w:r>
      <w:r w:rsidR="00FA5D29" w:rsidRPr="002472AF">
        <w:rPr>
          <w:rFonts w:cs="Arial" w:hint="cs"/>
          <w:color w:val="E36C0A" w:themeColor="accent6" w:themeShade="BF"/>
          <w:rtl/>
        </w:rPr>
        <w:t>(וכ"פ בשו"ע)</w:t>
      </w:r>
    </w:p>
    <w:p w14:paraId="6394DB12" w14:textId="77777777" w:rsidR="00EB79BF" w:rsidRDefault="00EB79BF" w:rsidP="00EB79BF">
      <w:pPr>
        <w:rPr>
          <w:rFonts w:cs="Arial"/>
          <w:rtl/>
        </w:rPr>
      </w:pPr>
      <w:r w:rsidRPr="003024E5">
        <w:rPr>
          <w:rFonts w:asciiTheme="minorBidi" w:hAnsiTheme="minorBidi"/>
          <w:b/>
          <w:bCs/>
          <w:color w:val="000000"/>
          <w:sz w:val="28"/>
          <w:szCs w:val="28"/>
          <w:u w:val="single"/>
          <w:rtl/>
        </w:rPr>
        <w:lastRenderedPageBreak/>
        <w:t>שו"ע:</w:t>
      </w:r>
    </w:p>
    <w:p w14:paraId="3ECD9332" w14:textId="77CBE627" w:rsidR="007A3469" w:rsidRDefault="00EB79BF" w:rsidP="00EB79BF">
      <w:pPr>
        <w:rPr>
          <w:rFonts w:cs="Arial"/>
          <w:rtl/>
        </w:rPr>
      </w:pPr>
      <w:r w:rsidRPr="00EB79BF">
        <w:rPr>
          <w:rFonts w:cs="Arial"/>
          <w:rtl/>
        </w:rPr>
        <w:t>ראובן שהיה לאשתו קרקע נכסי מלוג, ונתחייב לשמעון בשטר, ואחר כך נתחייבו הוא ואשתו בשטר ללוי, ומתה בחיי בעלה, לוי קודם לגבות מאותו קרקע של נכסי מלוג.</w:t>
      </w:r>
    </w:p>
    <w:p w14:paraId="37D52205" w14:textId="7A97C877" w:rsidR="00D50F48" w:rsidRDefault="00D50F48" w:rsidP="007A3469">
      <w:pPr>
        <w:rPr>
          <w:rFonts w:cs="Arial"/>
          <w:rtl/>
        </w:rPr>
      </w:pPr>
    </w:p>
    <w:p w14:paraId="33FFABDB" w14:textId="6C48C57F" w:rsidR="00D50F48" w:rsidRPr="007A3469" w:rsidRDefault="00D50F48" w:rsidP="007A3469">
      <w:pPr>
        <w:rPr>
          <w:rtl/>
        </w:rPr>
        <w:sectPr w:rsidR="00D50F48" w:rsidRPr="007A3469" w:rsidSect="00A347B3">
          <w:headerReference w:type="default" r:id="rId33"/>
          <w:footnotePr>
            <w:numRestart w:val="eachSect"/>
          </w:footnotePr>
          <w:pgSz w:w="11906" w:h="16838"/>
          <w:pgMar w:top="720" w:right="1134" w:bottom="720" w:left="1134" w:header="0" w:footer="0" w:gutter="0"/>
          <w:cols w:space="720"/>
          <w:bidi/>
          <w:rtlGutter/>
          <w:docGrid w:linePitch="360"/>
        </w:sectPr>
      </w:pPr>
    </w:p>
    <w:p w14:paraId="6A006393" w14:textId="44CC2946" w:rsidR="007A3469" w:rsidRDefault="00DB717C" w:rsidP="007A3469">
      <w:pPr>
        <w:pStyle w:val="1"/>
        <w:rPr>
          <w:rtl/>
        </w:rPr>
      </w:pPr>
      <w:r>
        <w:rPr>
          <w:rFonts w:hint="cs"/>
          <w:rtl/>
        </w:rPr>
        <w:lastRenderedPageBreak/>
        <w:t>סימן צא:</w:t>
      </w:r>
      <w:r w:rsidRPr="00C12B74">
        <w:rPr>
          <w:rtl/>
        </w:rPr>
        <w:t xml:space="preserve"> </w:t>
      </w:r>
      <w:r w:rsidR="007A3469">
        <w:rPr>
          <w:rFonts w:cs="Arial"/>
          <w:rtl/>
        </w:rPr>
        <w:t xml:space="preserve">אשה שהכניסה מלוה לבעלה ומחלה, ובו ה' סעיפים. </w:t>
      </w:r>
    </w:p>
    <w:p w14:paraId="2BF8F8FD" w14:textId="5B1A1DC4" w:rsidR="007A3469" w:rsidRDefault="007A3469" w:rsidP="000F64D0">
      <w:pPr>
        <w:pStyle w:val="2"/>
        <w:rPr>
          <w:rtl/>
        </w:rPr>
      </w:pPr>
      <w:r>
        <w:rPr>
          <w:rtl/>
        </w:rPr>
        <w:t>סעיף א</w:t>
      </w:r>
      <w:r w:rsidR="005D1457">
        <w:rPr>
          <w:rFonts w:hint="cs"/>
          <w:rtl/>
        </w:rPr>
        <w:t>:</w:t>
      </w:r>
      <w:r w:rsidR="00A80222" w:rsidRPr="00A80222">
        <w:rPr>
          <w:rtl/>
        </w:rPr>
        <w:t xml:space="preserve"> </w:t>
      </w:r>
      <w:r w:rsidR="00A80222" w:rsidRPr="00F31ACB">
        <w:rPr>
          <w:rtl/>
        </w:rPr>
        <w:t>אשה שהכניסה שטר חוב לבעלה</w:t>
      </w:r>
      <w:r w:rsidR="00A80222">
        <w:rPr>
          <w:rFonts w:hint="cs"/>
          <w:rtl/>
        </w:rPr>
        <w:t>,</w:t>
      </w:r>
      <w:r w:rsidR="00A80222" w:rsidRPr="00F31ACB">
        <w:rPr>
          <w:rtl/>
        </w:rPr>
        <w:t xml:space="preserve"> ומחלה אותו</w:t>
      </w:r>
      <w:r w:rsidR="00A80222">
        <w:rPr>
          <w:rFonts w:hint="cs"/>
          <w:rtl/>
        </w:rPr>
        <w:t>.</w:t>
      </w:r>
    </w:p>
    <w:p w14:paraId="158590B7" w14:textId="6C37AE46" w:rsidR="00642A08" w:rsidRDefault="00642A08" w:rsidP="00642A08">
      <w:pPr>
        <w:rPr>
          <w:rFonts w:cs="Arial"/>
          <w:rtl/>
        </w:rPr>
      </w:pPr>
      <w:r w:rsidRPr="00642A08">
        <w:rPr>
          <w:rFonts w:cs="Arial" w:hint="cs"/>
          <w:b/>
          <w:bCs/>
          <w:rtl/>
        </w:rPr>
        <w:t xml:space="preserve">כתובות </w:t>
      </w:r>
      <w:r w:rsidRPr="00642A08">
        <w:rPr>
          <w:rFonts w:cs="Arial" w:hint="cs"/>
          <w:b/>
          <w:bCs/>
          <w:sz w:val="16"/>
          <w:szCs w:val="16"/>
          <w:rtl/>
        </w:rPr>
        <w:t>(</w:t>
      </w:r>
      <w:r w:rsidRPr="00642A08">
        <w:rPr>
          <w:rFonts w:cs="Arial"/>
          <w:b/>
          <w:bCs/>
          <w:sz w:val="16"/>
          <w:szCs w:val="16"/>
          <w:rtl/>
        </w:rPr>
        <w:t>פ</w:t>
      </w:r>
      <w:r w:rsidRPr="00642A08">
        <w:rPr>
          <w:rFonts w:cs="Arial" w:hint="cs"/>
          <w:b/>
          <w:bCs/>
          <w:sz w:val="16"/>
          <w:szCs w:val="16"/>
          <w:rtl/>
        </w:rPr>
        <w:t>'</w:t>
      </w:r>
      <w:r w:rsidRPr="00642A08">
        <w:rPr>
          <w:rFonts w:cs="Arial"/>
          <w:b/>
          <w:bCs/>
          <w:sz w:val="16"/>
          <w:szCs w:val="16"/>
          <w:rtl/>
        </w:rPr>
        <w:t xml:space="preserve"> הכותב</w:t>
      </w:r>
      <w:r w:rsidRPr="00642A08">
        <w:rPr>
          <w:rFonts w:cs="Arial" w:hint="cs"/>
          <w:b/>
          <w:bCs/>
          <w:sz w:val="16"/>
          <w:szCs w:val="16"/>
          <w:rtl/>
        </w:rPr>
        <w:t>)</w:t>
      </w:r>
      <w:r w:rsidRPr="00642A08">
        <w:rPr>
          <w:rFonts w:cs="Arial"/>
          <w:b/>
          <w:bCs/>
          <w:rtl/>
        </w:rPr>
        <w:t xml:space="preserve"> פה</w:t>
      </w:r>
      <w:r w:rsidR="00461CB5">
        <w:rPr>
          <w:rStyle w:val="a7"/>
          <w:rFonts w:cs="Arial"/>
          <w:b/>
          <w:bCs/>
          <w:rtl/>
        </w:rPr>
        <w:footnoteReference w:id="1423"/>
      </w:r>
      <w:r w:rsidRPr="00642A08">
        <w:rPr>
          <w:rFonts w:cs="Arial" w:hint="cs"/>
          <w:b/>
          <w:bCs/>
          <w:rtl/>
        </w:rPr>
        <w:t xml:space="preserve"> ע"ב</w:t>
      </w:r>
      <w:r w:rsidRPr="00642A08">
        <w:rPr>
          <w:rFonts w:cs="Arial"/>
          <w:b/>
          <w:bCs/>
          <w:rtl/>
        </w:rPr>
        <w:t>:</w:t>
      </w:r>
      <w:r w:rsidRPr="005D1457">
        <w:rPr>
          <w:rFonts w:cs="Arial"/>
          <w:rtl/>
        </w:rPr>
        <w:t xml:space="preserve"> </w:t>
      </w:r>
      <w:r w:rsidR="00A80222" w:rsidRPr="00A80222">
        <w:rPr>
          <w:rFonts w:cs="Arial"/>
          <w:u w:val="single"/>
          <w:rtl/>
        </w:rPr>
        <w:t>א"ל רבא לבריה דרב חייא בר אבין</w:t>
      </w:r>
      <w:r w:rsidR="00A80222" w:rsidRPr="00A80222">
        <w:rPr>
          <w:rFonts w:cs="Arial"/>
          <w:rtl/>
        </w:rPr>
        <w:t>: תא אימא לך מילתא מעליותא דהוה אמר אבוך, הא דאמר שמואל: המוכר שטר חוב לחבירו וחזר ומחלו - מחול, ואפילו יורש מוחל, מודה שמואל, במכנסת שטר חוב לבעלה וחזרה ומחלתו - שאינו מחול, מפני שידו כידה.</w:t>
      </w:r>
    </w:p>
    <w:p w14:paraId="469C296D" w14:textId="10F743B6" w:rsidR="00EB3C2B" w:rsidRPr="00A80222" w:rsidRDefault="00A80222" w:rsidP="00EB3C2B">
      <w:pPr>
        <w:rPr>
          <w:u w:val="single"/>
          <w:rtl/>
        </w:rPr>
      </w:pPr>
      <w:r w:rsidRPr="00A80222">
        <w:rPr>
          <w:rFonts w:cs="Arial"/>
          <w:u w:val="single"/>
          <w:rtl/>
        </w:rPr>
        <w:t>אשה שהכניסה שטר חוב לבעלה</w:t>
      </w:r>
      <w:r w:rsidRPr="00A80222">
        <w:rPr>
          <w:rFonts w:cs="Arial" w:hint="cs"/>
          <w:u w:val="single"/>
          <w:rtl/>
        </w:rPr>
        <w:t>,</w:t>
      </w:r>
      <w:r w:rsidRPr="00A80222">
        <w:rPr>
          <w:rFonts w:cs="Arial"/>
          <w:u w:val="single"/>
          <w:rtl/>
        </w:rPr>
        <w:t xml:space="preserve"> ומחלה אותו</w:t>
      </w:r>
      <w:r w:rsidRPr="00A80222">
        <w:rPr>
          <w:rFonts w:hint="cs"/>
          <w:u w:val="single"/>
          <w:rtl/>
        </w:rPr>
        <w:t xml:space="preserve"> </w:t>
      </w:r>
      <w:r w:rsidR="00F97626">
        <w:rPr>
          <w:u w:val="single"/>
          <w:rtl/>
        </w:rPr>
        <w:t>-</w:t>
      </w:r>
      <w:r w:rsidRPr="00A80222">
        <w:rPr>
          <w:rFonts w:hint="cs"/>
          <w:u w:val="single"/>
          <w:rtl/>
        </w:rPr>
        <w:t xml:space="preserve"> האם החוב מחול:</w:t>
      </w:r>
    </w:p>
    <w:p w14:paraId="0CF1FC2D" w14:textId="7721F16C" w:rsidR="00642A08" w:rsidRDefault="00F31ACB" w:rsidP="009000E3">
      <w:pPr>
        <w:pStyle w:val="ab"/>
        <w:numPr>
          <w:ilvl w:val="0"/>
          <w:numId w:val="55"/>
        </w:numPr>
      </w:pPr>
      <w:r w:rsidRPr="00F31ACB">
        <w:rPr>
          <w:rFonts w:cs="Arial" w:hint="cs"/>
          <w:rtl/>
        </w:rPr>
        <w:t xml:space="preserve">טור- </w:t>
      </w:r>
      <w:r w:rsidR="005D1457" w:rsidRPr="00F31ACB">
        <w:rPr>
          <w:rFonts w:cs="Arial"/>
          <w:rtl/>
        </w:rPr>
        <w:t>אשה שהכניסה שטר חוב לבעלה</w:t>
      </w:r>
      <w:r w:rsidR="00D31FDF">
        <w:rPr>
          <w:rFonts w:cs="Arial" w:hint="cs"/>
          <w:rtl/>
        </w:rPr>
        <w:t>,</w:t>
      </w:r>
      <w:r w:rsidR="005D1457" w:rsidRPr="00F31ACB">
        <w:rPr>
          <w:rFonts w:cs="Arial"/>
          <w:rtl/>
        </w:rPr>
        <w:t xml:space="preserve"> ומחלה אותו </w:t>
      </w:r>
      <w:r w:rsidR="00D31FDF">
        <w:rPr>
          <w:rFonts w:cs="Arial" w:hint="cs"/>
          <w:rtl/>
        </w:rPr>
        <w:t xml:space="preserve">- </w:t>
      </w:r>
      <w:r w:rsidR="005D1457" w:rsidRPr="00F31ACB">
        <w:rPr>
          <w:rFonts w:cs="Arial"/>
          <w:rtl/>
        </w:rPr>
        <w:t>אינו מחול</w:t>
      </w:r>
      <w:r w:rsidR="00D31FDF">
        <w:rPr>
          <w:rFonts w:cs="Arial" w:hint="cs"/>
          <w:rtl/>
        </w:rPr>
        <w:t>.</w:t>
      </w:r>
      <w:r w:rsidR="005D1457" w:rsidRPr="00F31ACB">
        <w:rPr>
          <w:rFonts w:cs="Arial"/>
          <w:rtl/>
        </w:rPr>
        <w:t xml:space="preserve"> אע</w:t>
      </w:r>
      <w:r w:rsidR="00461CB5">
        <w:rPr>
          <w:rFonts w:cs="Arial" w:hint="cs"/>
          <w:rtl/>
        </w:rPr>
        <w:t>"</w:t>
      </w:r>
      <w:r w:rsidR="005D1457" w:rsidRPr="00F31ACB">
        <w:rPr>
          <w:rFonts w:cs="Arial"/>
          <w:rtl/>
        </w:rPr>
        <w:t>פ שהמוכר ש"ח לחבירו</w:t>
      </w:r>
      <w:r w:rsidR="00D31FDF">
        <w:rPr>
          <w:rFonts w:cs="Arial" w:hint="cs"/>
          <w:rtl/>
        </w:rPr>
        <w:t>,</w:t>
      </w:r>
      <w:r w:rsidR="005D1457" w:rsidRPr="00F31ACB">
        <w:rPr>
          <w:rFonts w:cs="Arial"/>
          <w:rtl/>
        </w:rPr>
        <w:t xml:space="preserve"> ומחלו</w:t>
      </w:r>
      <w:r w:rsidR="00D31FDF">
        <w:rPr>
          <w:rFonts w:cs="Arial" w:hint="cs"/>
          <w:rtl/>
        </w:rPr>
        <w:t>,</w:t>
      </w:r>
      <w:r w:rsidR="005D1457" w:rsidRPr="00F31ACB">
        <w:rPr>
          <w:rFonts w:cs="Arial"/>
          <w:rtl/>
        </w:rPr>
        <w:t xml:space="preserve"> מחול</w:t>
      </w:r>
      <w:r w:rsidR="00D31FDF">
        <w:rPr>
          <w:rFonts w:cs="Arial" w:hint="cs"/>
          <w:rtl/>
        </w:rPr>
        <w:t>,</w:t>
      </w:r>
      <w:r w:rsidR="005D1457" w:rsidRPr="00F31ACB">
        <w:rPr>
          <w:rFonts w:cs="Arial"/>
          <w:rtl/>
        </w:rPr>
        <w:t xml:space="preserve"> והוא כמו לוקח בנכסיה</w:t>
      </w:r>
      <w:r w:rsidR="00D31FDF">
        <w:rPr>
          <w:rFonts w:cs="Arial" w:hint="cs"/>
          <w:rtl/>
        </w:rPr>
        <w:t>,</w:t>
      </w:r>
      <w:r w:rsidR="005D1457" w:rsidRPr="00F31ACB">
        <w:rPr>
          <w:rFonts w:cs="Arial"/>
          <w:rtl/>
        </w:rPr>
        <w:t xml:space="preserve"> אפ"ה אינו מחול</w:t>
      </w:r>
      <w:r w:rsidR="00D31FDF">
        <w:rPr>
          <w:rFonts w:cs="Arial" w:hint="cs"/>
          <w:rtl/>
        </w:rPr>
        <w:t>,</w:t>
      </w:r>
      <w:r w:rsidR="005D1457" w:rsidRPr="00F31ACB">
        <w:rPr>
          <w:rFonts w:cs="Arial"/>
          <w:rtl/>
        </w:rPr>
        <w:t xml:space="preserve"> מפני שידו כידה</w:t>
      </w:r>
      <w:r w:rsidR="00D31FDF">
        <w:rPr>
          <w:rFonts w:cs="Arial" w:hint="cs"/>
          <w:rtl/>
        </w:rPr>
        <w:t>.</w:t>
      </w:r>
      <w:r w:rsidR="005D1457" w:rsidRPr="00225137">
        <w:rPr>
          <w:rFonts w:cs="Arial"/>
          <w:color w:val="E36C0A" w:themeColor="accent6" w:themeShade="BF"/>
          <w:rtl/>
        </w:rPr>
        <w:t xml:space="preserve"> </w:t>
      </w:r>
      <w:r w:rsidR="00225137" w:rsidRPr="00225137">
        <w:rPr>
          <w:rFonts w:hint="cs"/>
          <w:color w:val="E36C0A" w:themeColor="accent6" w:themeShade="BF"/>
          <w:rtl/>
        </w:rPr>
        <w:t>(וכ"פ בשו"ע)</w:t>
      </w:r>
    </w:p>
    <w:p w14:paraId="6441F88C" w14:textId="18440FB1" w:rsidR="00225137" w:rsidRPr="00225137" w:rsidRDefault="00225137" w:rsidP="00225137">
      <w:pPr>
        <w:ind w:left="360"/>
        <w:rPr>
          <w:u w:val="dotted"/>
        </w:rPr>
      </w:pPr>
      <w:r w:rsidRPr="00225137">
        <w:rPr>
          <w:rFonts w:hint="cs"/>
          <w:u w:val="dotted"/>
          <w:rtl/>
        </w:rPr>
        <w:t>ומה הדין אם הכניסה לו מלוה על פה:</w:t>
      </w:r>
    </w:p>
    <w:p w14:paraId="4604C26D" w14:textId="1238A49B" w:rsidR="00642A08" w:rsidRPr="00642A08" w:rsidRDefault="00A80222" w:rsidP="009000E3">
      <w:pPr>
        <w:pStyle w:val="ab"/>
        <w:numPr>
          <w:ilvl w:val="0"/>
          <w:numId w:val="55"/>
        </w:numPr>
      </w:pPr>
      <w:r>
        <w:rPr>
          <w:rFonts w:cs="Arial" w:hint="cs"/>
          <w:rtl/>
        </w:rPr>
        <w:t xml:space="preserve">רי"ו </w:t>
      </w:r>
      <w:r w:rsidRPr="00A80222">
        <w:rPr>
          <w:rFonts w:cs="Arial" w:hint="cs"/>
          <w:sz w:val="16"/>
          <w:szCs w:val="16"/>
          <w:rtl/>
        </w:rPr>
        <w:t>(</w:t>
      </w:r>
      <w:r w:rsidR="005D1457" w:rsidRPr="00A80222">
        <w:rPr>
          <w:rFonts w:cs="Arial"/>
          <w:sz w:val="16"/>
          <w:szCs w:val="16"/>
          <w:rtl/>
        </w:rPr>
        <w:t>מישרים נכ"ג ח"ד נז ע"ב)</w:t>
      </w:r>
      <w:r>
        <w:rPr>
          <w:rFonts w:cs="Arial" w:hint="cs"/>
          <w:rtl/>
        </w:rPr>
        <w:t>-</w:t>
      </w:r>
      <w:r w:rsidR="005D1457" w:rsidRPr="00642A08">
        <w:rPr>
          <w:rFonts w:cs="Arial"/>
          <w:rtl/>
        </w:rPr>
        <w:t xml:space="preserve"> וה"ה אם היה לה מלוה על פה ונישאת שאינה יכולה למחול</w:t>
      </w:r>
      <w:r w:rsidR="005D1457">
        <w:rPr>
          <w:rStyle w:val="a7"/>
          <w:rFonts w:cs="Arial"/>
          <w:rtl/>
        </w:rPr>
        <w:footnoteReference w:id="1424"/>
      </w:r>
      <w:r w:rsidR="005D1457" w:rsidRPr="00642A08">
        <w:rPr>
          <w:rFonts w:cs="Arial"/>
          <w:rtl/>
        </w:rPr>
        <w:t>.</w:t>
      </w:r>
      <w:r w:rsidR="00225137">
        <w:rPr>
          <w:rFonts w:hint="cs"/>
          <w:rtl/>
        </w:rPr>
        <w:t xml:space="preserve"> </w:t>
      </w:r>
      <w:r w:rsidR="00225137" w:rsidRPr="00225137">
        <w:rPr>
          <w:rFonts w:hint="cs"/>
          <w:color w:val="00B0F0"/>
          <w:rtl/>
        </w:rPr>
        <w:t>(וכ"פ הרמ"א)</w:t>
      </w:r>
    </w:p>
    <w:p w14:paraId="255C6040" w14:textId="529886DB" w:rsidR="005D1457" w:rsidRPr="00593557" w:rsidRDefault="00593557" w:rsidP="00225137">
      <w:pPr>
        <w:rPr>
          <w:u w:val="single"/>
        </w:rPr>
      </w:pPr>
      <w:r w:rsidRPr="00593557">
        <w:rPr>
          <w:rFonts w:cs="Arial"/>
          <w:u w:val="single"/>
          <w:rtl/>
        </w:rPr>
        <w:t>אשה שמכרה</w:t>
      </w:r>
      <w:r w:rsidRPr="00593557">
        <w:rPr>
          <w:rFonts w:cs="Arial" w:hint="cs"/>
          <w:u w:val="single"/>
          <w:rtl/>
        </w:rPr>
        <w:t>/</w:t>
      </w:r>
      <w:r w:rsidRPr="00593557">
        <w:rPr>
          <w:rFonts w:cs="Arial"/>
          <w:u w:val="single"/>
          <w:rtl/>
        </w:rPr>
        <w:t>נתנה לאחר שטר מתנה שעשה לה בעלה, וחזרה ומחלה לבעלה</w:t>
      </w:r>
      <w:r w:rsidRPr="00593557">
        <w:rPr>
          <w:rFonts w:cs="Arial" w:hint="cs"/>
          <w:u w:val="single"/>
          <w:rtl/>
        </w:rPr>
        <w:t>:</w:t>
      </w:r>
    </w:p>
    <w:p w14:paraId="36FFB130" w14:textId="559015DF" w:rsidR="00642A08" w:rsidRPr="005D1457" w:rsidRDefault="00642A08" w:rsidP="009000E3">
      <w:pPr>
        <w:pStyle w:val="ab"/>
        <w:numPr>
          <w:ilvl w:val="0"/>
          <w:numId w:val="55"/>
        </w:numPr>
        <w:rPr>
          <w:rtl/>
        </w:rPr>
      </w:pPr>
      <w:r>
        <w:rPr>
          <w:rFonts w:cs="Arial" w:hint="cs"/>
          <w:rtl/>
        </w:rPr>
        <w:t xml:space="preserve">רשב"א </w:t>
      </w:r>
      <w:r>
        <w:rPr>
          <w:rFonts w:cs="Arial" w:hint="cs"/>
          <w:sz w:val="16"/>
          <w:szCs w:val="16"/>
          <w:rtl/>
        </w:rPr>
        <w:t>(החדשות מכת"י סי' ר)</w:t>
      </w:r>
      <w:r>
        <w:rPr>
          <w:rFonts w:cs="Arial" w:hint="cs"/>
          <w:rtl/>
        </w:rPr>
        <w:t xml:space="preserve">- </w:t>
      </w:r>
      <w:r>
        <w:rPr>
          <w:rFonts w:cs="Arial"/>
          <w:rtl/>
        </w:rPr>
        <w:t xml:space="preserve">עוד שאלת, האשה שמכרה או שנתנה לאחר שטר מתנה לחוד שעשה לה בעלה, וחזרה ומחלה לבעלה. מי אמרינן בהא יכולה האשה שתאמר נחת רוח עשיתי לבעלי, או לא. ואם תמצא לומר שאינה יכולה, אם כתוב בשטר מתנתה </w:t>
      </w:r>
      <w:r w:rsidR="00225137">
        <w:rPr>
          <w:rFonts w:cs="Arial" w:hint="cs"/>
          <w:rtl/>
        </w:rPr>
        <w:t>'</w:t>
      </w:r>
      <w:r>
        <w:rPr>
          <w:rFonts w:cs="Arial"/>
          <w:rtl/>
        </w:rPr>
        <w:t>לך ולבאים מכחך</w:t>
      </w:r>
      <w:r w:rsidR="00225137">
        <w:rPr>
          <w:rFonts w:cs="Arial" w:hint="cs"/>
          <w:rtl/>
        </w:rPr>
        <w:t>'</w:t>
      </w:r>
      <w:r>
        <w:rPr>
          <w:rFonts w:cs="Arial"/>
          <w:rtl/>
        </w:rPr>
        <w:t xml:space="preserve">, מחילתה מחילה או לא. וכדעת הראב"ד ז"ל. </w:t>
      </w:r>
      <w:r>
        <w:rPr>
          <w:rFonts w:cs="Arial" w:hint="cs"/>
          <w:rtl/>
        </w:rPr>
        <w:t xml:space="preserve">    </w:t>
      </w:r>
      <w:r w:rsidR="00FE210D">
        <w:rPr>
          <w:rFonts w:cs="Arial"/>
          <w:rtl/>
        </w:rPr>
        <w:t xml:space="preserve">      תשובה:</w:t>
      </w:r>
      <w:r w:rsidRPr="00642A08">
        <w:rPr>
          <w:rFonts w:cs="Arial"/>
          <w:rtl/>
        </w:rPr>
        <w:t xml:space="preserve"> תחלת כל דבר יש לך לדעת, שהאשה שמכרה או מחלה שטר מתנתה לבעלה, לא עשתה ולא כלום, דיכולה היא שתאמר נחת רוח עשיתי לבעלי. דבכולהו מילי יכולה לומר כן חוץ מנכסי מלוג בלבד, כדאיתא בפרק חזקת הבתים </w:t>
      </w:r>
      <w:r w:rsidR="00593557">
        <w:rPr>
          <w:rFonts w:cs="Arial" w:hint="cs"/>
          <w:rtl/>
        </w:rPr>
        <w:t xml:space="preserve">(ב"ב מב.) </w:t>
      </w:r>
      <w:r w:rsidRPr="00642A08">
        <w:rPr>
          <w:rFonts w:cs="Arial"/>
          <w:rtl/>
        </w:rPr>
        <w:t>גמ' אין לאיש חזקה בנכסי אשתו</w:t>
      </w:r>
      <w:r w:rsidR="005A16A7">
        <w:rPr>
          <w:rFonts w:cs="Arial" w:hint="cs"/>
          <w:rtl/>
        </w:rPr>
        <w:t>.</w:t>
      </w:r>
      <w:r w:rsidRPr="00642A08">
        <w:rPr>
          <w:rFonts w:cs="Arial"/>
          <w:rtl/>
        </w:rPr>
        <w:t xml:space="preserve"> ואי נמי בשקבלה אחריות, כדאיתא בפרק הנזקין </w:t>
      </w:r>
      <w:r w:rsidR="00225137" w:rsidRPr="00642A08">
        <w:rPr>
          <w:rFonts w:cs="Arial"/>
          <w:rtl/>
        </w:rPr>
        <w:t>(גיטין נח</w:t>
      </w:r>
      <w:r w:rsidR="005A16A7">
        <w:rPr>
          <w:rFonts w:cs="Arial" w:hint="cs"/>
          <w:rtl/>
        </w:rPr>
        <w:t>.</w:t>
      </w:r>
      <w:r w:rsidR="00225137" w:rsidRPr="00642A08">
        <w:rPr>
          <w:rFonts w:cs="Arial"/>
          <w:rtl/>
        </w:rPr>
        <w:t xml:space="preserve">) </w:t>
      </w:r>
      <w:r w:rsidRPr="00642A08">
        <w:rPr>
          <w:rFonts w:cs="Arial"/>
          <w:rtl/>
        </w:rPr>
        <w:t>גבי סקריקון</w:t>
      </w:r>
      <w:r w:rsidR="005A16A7">
        <w:rPr>
          <w:rFonts w:cs="Arial" w:hint="cs"/>
          <w:rtl/>
        </w:rPr>
        <w:t>.</w:t>
      </w:r>
      <w:r w:rsidRPr="00642A08">
        <w:rPr>
          <w:rFonts w:cs="Arial"/>
          <w:rtl/>
        </w:rPr>
        <w:t xml:space="preserve"> ואי נמי בעיקר כתובה, לפי שכל הנשים יש להן כתובה, ואם תמנע מליתן ומלמחול לבעל אין לה איבה דהוה ליה כנכסי מלוג. וזהו היא שאמרו בפרק נערה שנתפתתה </w:t>
      </w:r>
      <w:r w:rsidR="00225137" w:rsidRPr="00642A08">
        <w:rPr>
          <w:rFonts w:cs="Arial"/>
          <w:rtl/>
        </w:rPr>
        <w:t xml:space="preserve">(כתובות נג.) </w:t>
      </w:r>
      <w:r w:rsidRPr="00642A08">
        <w:rPr>
          <w:rFonts w:cs="Arial"/>
          <w:rtl/>
        </w:rPr>
        <w:t xml:space="preserve">המוכרת כתובתה לבעלה כמוכרת לאחרים, כלומר ואין לה כתובת בנין דכרין, וכן במוחלת כתובתה לבעלה. ואפשר נמי דהיינו דאמרינן בבבא קמא </w:t>
      </w:r>
      <w:r w:rsidR="00225137" w:rsidRPr="00642A08">
        <w:rPr>
          <w:rFonts w:cs="Arial"/>
          <w:rtl/>
        </w:rPr>
        <w:t>(</w:t>
      </w:r>
      <w:r w:rsidR="00225137">
        <w:rPr>
          <w:rFonts w:cs="Arial" w:hint="cs"/>
          <w:rtl/>
        </w:rPr>
        <w:t xml:space="preserve">פרק החובל </w:t>
      </w:r>
      <w:r w:rsidR="00225137" w:rsidRPr="00642A08">
        <w:rPr>
          <w:rFonts w:cs="Arial"/>
          <w:rtl/>
        </w:rPr>
        <w:t xml:space="preserve">ב"ק פט.) </w:t>
      </w:r>
      <w:r w:rsidRPr="00642A08">
        <w:rPr>
          <w:rFonts w:cs="Arial"/>
          <w:rtl/>
        </w:rPr>
        <w:t>גבי האשה שחבלה באחרים פגיעתה רעה ותזבון כתובתה להאי דחבלה ביה, ואמרינן כל לגבי בעל ודאי מחלה ואטרוחי בי דינא בכדי לא מטרחינן. ואפשר דהיינו דוקא בעיקר כתובתה וכמו שאמרנו, אבל בשטר מתנה שעשה לה הבעל, ואי נמי בחוב אחר שיש לה עליו, יכולה היא שתאמר נחת רוח עשיתי לבעלי. ואפשר שאף בנדונייתה כן, ולא אמרינן דאינה יכולה לומר נחת רוח עשיתי לבעלי בנדוניית כתובתה, אלא בעיקר הכתובה כמו שאמרנו. ואלא מיהו מסתברא ודאי דכל שמכרה או נתנה לאחרים איזה חוב שיש לה על הבעל וחזרה ומחלה לבעלה</w:t>
      </w:r>
      <w:r w:rsidR="00593557">
        <w:rPr>
          <w:rFonts w:cs="Arial" w:hint="cs"/>
          <w:rtl/>
        </w:rPr>
        <w:t xml:space="preserve"> -</w:t>
      </w:r>
      <w:r w:rsidRPr="00642A08">
        <w:rPr>
          <w:rFonts w:cs="Arial"/>
          <w:rtl/>
        </w:rPr>
        <w:t xml:space="preserve"> מחילתה מחילה ולא אמרינן בכי הא נחת רוח עשתה לבעלה, דאנן סהדי דטפי רחמה ליה לבעל מאותם שמכרה להם ומדעת מחלה לו. והיינו ההיא דאשה שחבלה באחרים, דאמרינן כל לגבי בעל ודאי מחלה. ובין בעיקר כתובה בין בתוספת בין בנדוניא אומרים כן. אבל אם כתב לה לך ולבאים מכחך, דעתי נוטה למה שכתב הראב"ד ז"ל. ויש לי בזה ראיות ראויות לסמוך עליהן לפי דעתי.</w:t>
      </w:r>
    </w:p>
    <w:p w14:paraId="29E4AD7F"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0974BBAF" w14:textId="19259396" w:rsidR="007A3469" w:rsidRDefault="007A3469" w:rsidP="007A3469">
      <w:pPr>
        <w:rPr>
          <w:rtl/>
        </w:rPr>
      </w:pPr>
      <w:r>
        <w:rPr>
          <w:rFonts w:cs="Arial"/>
          <w:rtl/>
        </w:rPr>
        <w:t>אשה שהכניסה</w:t>
      </w:r>
      <w:r w:rsidR="00C7472A">
        <w:rPr>
          <w:rStyle w:val="a7"/>
          <w:rFonts w:cs="Arial"/>
          <w:rtl/>
        </w:rPr>
        <w:footnoteReference w:id="1425"/>
      </w:r>
      <w:r>
        <w:rPr>
          <w:rFonts w:cs="Arial"/>
          <w:rtl/>
        </w:rPr>
        <w:t xml:space="preserve"> שטר חוב לבעלה וחזרה ומחלתו, אינו מחול, מפני שידו כידה. </w:t>
      </w:r>
      <w:r w:rsidRPr="00DA1E36">
        <w:rPr>
          <w:rFonts w:cs="Arial"/>
          <w:sz w:val="18"/>
          <w:szCs w:val="18"/>
          <w:rtl/>
        </w:rPr>
        <w:t>הגה: ולכן אינה נאמנת ג"כ לומר: פרוע הוא</w:t>
      </w:r>
      <w:r w:rsidR="00C7472A">
        <w:rPr>
          <w:rStyle w:val="a7"/>
          <w:rFonts w:cs="Arial"/>
          <w:rtl/>
        </w:rPr>
        <w:footnoteReference w:id="1426"/>
      </w:r>
      <w:r w:rsidRPr="00DA1E36">
        <w:rPr>
          <w:rFonts w:cs="Arial"/>
          <w:sz w:val="18"/>
          <w:szCs w:val="18"/>
          <w:rtl/>
        </w:rPr>
        <w:t xml:space="preserve"> (נ</w:t>
      </w:r>
      <w:r w:rsidR="00225137">
        <w:rPr>
          <w:rFonts w:cs="Arial" w:hint="cs"/>
          <w:sz w:val="18"/>
          <w:szCs w:val="18"/>
          <w:rtl/>
        </w:rPr>
        <w:t>מוק</w:t>
      </w:r>
      <w:r w:rsidRPr="00DA1E36">
        <w:rPr>
          <w:rFonts w:cs="Arial"/>
          <w:sz w:val="18"/>
          <w:szCs w:val="18"/>
          <w:rtl/>
        </w:rPr>
        <w:t>"י). והוא הדין מלוה על פה אינה יכולה למחול (</w:t>
      </w:r>
      <w:r w:rsidR="00225137">
        <w:rPr>
          <w:rFonts w:cs="Arial" w:hint="cs"/>
          <w:sz w:val="18"/>
          <w:szCs w:val="18"/>
          <w:rtl/>
        </w:rPr>
        <w:t>רי"ו</w:t>
      </w:r>
      <w:r w:rsidRPr="00DA1E36">
        <w:rPr>
          <w:rFonts w:cs="Arial"/>
          <w:sz w:val="18"/>
          <w:szCs w:val="18"/>
          <w:rtl/>
        </w:rPr>
        <w:t>).</w:t>
      </w:r>
      <w:r>
        <w:rPr>
          <w:rFonts w:cs="Arial"/>
          <w:rtl/>
        </w:rPr>
        <w:t xml:space="preserve"> </w:t>
      </w:r>
    </w:p>
    <w:p w14:paraId="48C968B3" w14:textId="77777777" w:rsidR="005D1457" w:rsidRDefault="005D1457" w:rsidP="007A3469">
      <w:pPr>
        <w:rPr>
          <w:rtl/>
        </w:rPr>
      </w:pPr>
    </w:p>
    <w:p w14:paraId="5E50DDC6" w14:textId="2ED2B229" w:rsidR="007A3469" w:rsidRDefault="007A3469" w:rsidP="000F64D0">
      <w:pPr>
        <w:pStyle w:val="2"/>
        <w:rPr>
          <w:rtl/>
        </w:rPr>
      </w:pPr>
      <w:r>
        <w:rPr>
          <w:rtl/>
        </w:rPr>
        <w:lastRenderedPageBreak/>
        <w:t>סעיף ב</w:t>
      </w:r>
      <w:r w:rsidR="005D1457">
        <w:rPr>
          <w:rFonts w:hint="cs"/>
          <w:rtl/>
        </w:rPr>
        <w:t>:</w:t>
      </w:r>
      <w:r w:rsidR="00E1594D">
        <w:rPr>
          <w:rFonts w:hint="cs"/>
          <w:rtl/>
        </w:rPr>
        <w:t xml:space="preserve"> האומר</w:t>
      </w:r>
      <w:r w:rsidR="00E1594D" w:rsidRPr="00E1594D">
        <w:rPr>
          <w:rtl/>
        </w:rPr>
        <w:t xml:space="preserve"> </w:t>
      </w:r>
      <w:r w:rsidR="00E1594D" w:rsidRPr="00F31ACB">
        <w:rPr>
          <w:rtl/>
        </w:rPr>
        <w:t xml:space="preserve">לאשה </w:t>
      </w:r>
      <w:r w:rsidR="00E1594D">
        <w:rPr>
          <w:rFonts w:hint="cs"/>
          <w:rtl/>
        </w:rPr>
        <w:t>'</w:t>
      </w:r>
      <w:r w:rsidR="00E1594D" w:rsidRPr="00F31ACB">
        <w:rPr>
          <w:rtl/>
        </w:rPr>
        <w:t>נכסי לך ואחריך לפלוני</w:t>
      </w:r>
      <w:r w:rsidR="00E1594D">
        <w:rPr>
          <w:rFonts w:hint="cs"/>
          <w:rtl/>
        </w:rPr>
        <w:t>'.</w:t>
      </w:r>
    </w:p>
    <w:p w14:paraId="5E3D2882" w14:textId="1791F06D" w:rsidR="00ED69AD" w:rsidRDefault="00ED69AD" w:rsidP="00ED69AD">
      <w:pPr>
        <w:rPr>
          <w:rFonts w:cs="Arial"/>
          <w:rtl/>
        </w:rPr>
      </w:pPr>
      <w:r w:rsidRPr="00642A08">
        <w:rPr>
          <w:rFonts w:cs="Arial" w:hint="cs"/>
          <w:b/>
          <w:bCs/>
          <w:rtl/>
        </w:rPr>
        <w:t xml:space="preserve">כתובות </w:t>
      </w:r>
      <w:r w:rsidRPr="00642A08">
        <w:rPr>
          <w:rFonts w:cs="Arial" w:hint="cs"/>
          <w:b/>
          <w:bCs/>
          <w:sz w:val="16"/>
          <w:szCs w:val="16"/>
          <w:rtl/>
        </w:rPr>
        <w:t>(</w:t>
      </w:r>
      <w:r w:rsidRPr="00642A08">
        <w:rPr>
          <w:rFonts w:cs="Arial"/>
          <w:b/>
          <w:bCs/>
          <w:sz w:val="16"/>
          <w:szCs w:val="16"/>
          <w:rtl/>
        </w:rPr>
        <w:t>פ</w:t>
      </w:r>
      <w:r w:rsidRPr="00642A08">
        <w:rPr>
          <w:rFonts w:cs="Arial" w:hint="cs"/>
          <w:b/>
          <w:bCs/>
          <w:sz w:val="16"/>
          <w:szCs w:val="16"/>
          <w:rtl/>
        </w:rPr>
        <w:t>'</w:t>
      </w:r>
      <w:r w:rsidRPr="00642A08">
        <w:rPr>
          <w:rFonts w:cs="Arial"/>
          <w:b/>
          <w:bCs/>
          <w:sz w:val="16"/>
          <w:szCs w:val="16"/>
          <w:rtl/>
        </w:rPr>
        <w:t xml:space="preserve"> </w:t>
      </w:r>
      <w:r>
        <w:rPr>
          <w:rFonts w:cs="Arial" w:hint="cs"/>
          <w:b/>
          <w:bCs/>
          <w:sz w:val="16"/>
          <w:szCs w:val="16"/>
          <w:rtl/>
        </w:rPr>
        <w:t>מי שהיה נשוי</w:t>
      </w:r>
      <w:r w:rsidRPr="00642A08">
        <w:rPr>
          <w:rFonts w:cs="Arial" w:hint="cs"/>
          <w:b/>
          <w:bCs/>
          <w:sz w:val="16"/>
          <w:szCs w:val="16"/>
          <w:rtl/>
        </w:rPr>
        <w:t>)</w:t>
      </w:r>
      <w:r w:rsidRPr="00642A08">
        <w:rPr>
          <w:rFonts w:cs="Arial"/>
          <w:b/>
          <w:bCs/>
          <w:rtl/>
        </w:rPr>
        <w:t xml:space="preserve"> </w:t>
      </w:r>
      <w:r>
        <w:rPr>
          <w:rFonts w:cs="Arial" w:hint="cs"/>
          <w:b/>
          <w:bCs/>
          <w:rtl/>
        </w:rPr>
        <w:t>צ</w:t>
      </w:r>
      <w:r w:rsidRPr="00642A08">
        <w:rPr>
          <w:rFonts w:cs="Arial"/>
          <w:b/>
          <w:bCs/>
          <w:rtl/>
        </w:rPr>
        <w:t>ה</w:t>
      </w:r>
      <w:r w:rsidR="000014A8">
        <w:rPr>
          <w:rStyle w:val="a7"/>
          <w:rFonts w:cs="Arial"/>
          <w:b/>
          <w:bCs/>
          <w:rtl/>
        </w:rPr>
        <w:footnoteReference w:id="1427"/>
      </w:r>
      <w:r w:rsidRPr="00642A08">
        <w:rPr>
          <w:rFonts w:cs="Arial" w:hint="cs"/>
          <w:b/>
          <w:bCs/>
          <w:rtl/>
        </w:rPr>
        <w:t xml:space="preserve"> ע"ב</w:t>
      </w:r>
      <w:r w:rsidRPr="00642A08">
        <w:rPr>
          <w:rFonts w:cs="Arial"/>
          <w:b/>
          <w:bCs/>
          <w:rtl/>
        </w:rPr>
        <w:t>:</w:t>
      </w:r>
      <w:r>
        <w:rPr>
          <w:rFonts w:cs="Arial" w:hint="cs"/>
          <w:rtl/>
        </w:rPr>
        <w:t xml:space="preserve"> </w:t>
      </w:r>
      <w:r w:rsidRPr="00A54CEC">
        <w:rPr>
          <w:rFonts w:cs="Arial"/>
          <w:u w:val="single"/>
          <w:rtl/>
        </w:rPr>
        <w:t>אמר אביי</w:t>
      </w:r>
      <w:r w:rsidRPr="00A54CEC">
        <w:rPr>
          <w:rFonts w:cs="Arial"/>
          <w:rtl/>
        </w:rPr>
        <w:t>: נכסי ליך</w:t>
      </w:r>
      <w:r w:rsidR="00E1594D">
        <w:rPr>
          <w:rStyle w:val="a7"/>
          <w:rFonts w:cs="Arial"/>
          <w:rtl/>
        </w:rPr>
        <w:footnoteReference w:id="1428"/>
      </w:r>
      <w:r w:rsidRPr="00A54CEC">
        <w:rPr>
          <w:rFonts w:cs="Arial"/>
          <w:rtl/>
        </w:rPr>
        <w:t xml:space="preserve"> ואחריך לפלוני, ועמדה וניסת - בעל לוקח הוי, ואין לאחריך במקום בעל כלום. כמאן? כי האי תנא</w:t>
      </w:r>
      <w:r w:rsidR="00E1594D">
        <w:rPr>
          <w:rStyle w:val="a7"/>
          <w:rFonts w:cs="Arial"/>
          <w:rtl/>
        </w:rPr>
        <w:footnoteReference w:id="1429"/>
      </w:r>
      <w:r w:rsidR="00E1594D">
        <w:rPr>
          <w:rFonts w:cs="Arial" w:hint="cs"/>
          <w:rtl/>
        </w:rPr>
        <w:t>,</w:t>
      </w:r>
      <w:r w:rsidRPr="00A54CEC">
        <w:rPr>
          <w:rFonts w:cs="Arial"/>
          <w:rtl/>
        </w:rPr>
        <w:t xml:space="preserve"> דתניא: נכסי ליך ואחריך לפלוני, ירד הראשון ומכר - השני מוציא מיד הלקוחות, דברי רבי</w:t>
      </w:r>
      <w:r>
        <w:rPr>
          <w:rFonts w:cs="Arial" w:hint="cs"/>
          <w:rtl/>
        </w:rPr>
        <w:t>.</w:t>
      </w:r>
      <w:r w:rsidRPr="00A54CEC">
        <w:rPr>
          <w:rFonts w:cs="Arial"/>
          <w:rtl/>
        </w:rPr>
        <w:t xml:space="preserve"> רשב"ג אומר: אין לשני אלא מה ששייר ראשון. ומי אמר אביי הכי? והאמר אביי: איזהו רשע ערום? זה המשיא עצה למכור בנכסים כרשב"ג! מי קאמר תינשא? נשאת קאמר. </w:t>
      </w:r>
      <w:r w:rsidRPr="00426736">
        <w:rPr>
          <w:rFonts w:cs="Arial"/>
          <w:u w:val="single"/>
          <w:rtl/>
        </w:rPr>
        <w:t>ואמר אביי</w:t>
      </w:r>
      <w:r w:rsidRPr="00A54CEC">
        <w:rPr>
          <w:rFonts w:cs="Arial"/>
          <w:rtl/>
        </w:rPr>
        <w:t>: נכסי ליך</w:t>
      </w:r>
      <w:r w:rsidR="002A22B5">
        <w:rPr>
          <w:rStyle w:val="a7"/>
          <w:rFonts w:cs="Arial"/>
          <w:rtl/>
        </w:rPr>
        <w:footnoteReference w:id="1430"/>
      </w:r>
      <w:r w:rsidRPr="00A54CEC">
        <w:rPr>
          <w:rFonts w:cs="Arial"/>
          <w:rtl/>
        </w:rPr>
        <w:t xml:space="preserve"> ואחריך לפלוני, ומכרה ומתה - הבעל מוציא מיד הלקוחות</w:t>
      </w:r>
      <w:r w:rsidR="002A22B5">
        <w:rPr>
          <w:rStyle w:val="a7"/>
          <w:rFonts w:cs="Arial"/>
          <w:rtl/>
        </w:rPr>
        <w:footnoteReference w:id="1431"/>
      </w:r>
      <w:r w:rsidRPr="00A54CEC">
        <w:rPr>
          <w:rFonts w:cs="Arial"/>
          <w:rtl/>
        </w:rPr>
        <w:t>, ואחריך מיד בעל</w:t>
      </w:r>
      <w:r w:rsidR="002A22B5">
        <w:rPr>
          <w:rStyle w:val="a7"/>
          <w:rFonts w:cs="Arial"/>
          <w:rtl/>
        </w:rPr>
        <w:footnoteReference w:id="1432"/>
      </w:r>
      <w:r w:rsidRPr="00A54CEC">
        <w:rPr>
          <w:rFonts w:cs="Arial"/>
          <w:rtl/>
        </w:rPr>
        <w:t>, ולוקח מיד אחריך</w:t>
      </w:r>
      <w:r w:rsidR="002A22B5">
        <w:rPr>
          <w:rStyle w:val="a7"/>
          <w:rFonts w:cs="Arial"/>
          <w:rtl/>
        </w:rPr>
        <w:footnoteReference w:id="1433"/>
      </w:r>
      <w:r w:rsidRPr="00A54CEC">
        <w:rPr>
          <w:rFonts w:cs="Arial"/>
          <w:rtl/>
        </w:rPr>
        <w:t>, ומוקמינן לכולהו בידא דלוקח</w:t>
      </w:r>
      <w:bookmarkStart w:id="12" w:name="_Hlk66002882"/>
      <w:r>
        <w:rPr>
          <w:rStyle w:val="a7"/>
          <w:rFonts w:cs="Arial"/>
          <w:rtl/>
        </w:rPr>
        <w:footnoteReference w:id="1434"/>
      </w:r>
      <w:bookmarkEnd w:id="12"/>
      <w:r w:rsidRPr="00A54CEC">
        <w:rPr>
          <w:rFonts w:cs="Arial"/>
          <w:rtl/>
        </w:rPr>
        <w:t xml:space="preserve">. מאי שנא מהא דתנן: וחוזרות חלילה, עד שיעשו פשרה ביניהן? התם אית להו פסידא לכולהו, הכא לוקח הוא דאית ליה פסידא. </w:t>
      </w:r>
      <w:r w:rsidRPr="00426736">
        <w:rPr>
          <w:rFonts w:cs="Arial"/>
          <w:u w:val="single"/>
          <w:rtl/>
        </w:rPr>
        <w:t>אזל רפרם אמר לשמעתא קמיה דרב אשי</w:t>
      </w:r>
      <w:r>
        <w:rPr>
          <w:rFonts w:cs="Arial" w:hint="cs"/>
          <w:rtl/>
        </w:rPr>
        <w:t>:</w:t>
      </w:r>
      <w:r w:rsidRPr="00A54CEC">
        <w:rPr>
          <w:rFonts w:cs="Arial"/>
          <w:rtl/>
        </w:rPr>
        <w:t xml:space="preserve"> מי אמר אביי הכי? והאמר אביי: נכסי ליך ואחריך לפלוני, עמדה וניסת - בעל לוקח הוי, ואין לאחריך במקום בעל כלום! </w:t>
      </w:r>
      <w:r w:rsidRPr="00426736">
        <w:rPr>
          <w:rFonts w:cs="Arial"/>
          <w:u w:val="single"/>
          <w:rtl/>
        </w:rPr>
        <w:t>א"ל</w:t>
      </w:r>
      <w:r w:rsidRPr="00A54CEC">
        <w:rPr>
          <w:rFonts w:cs="Arial"/>
          <w:rtl/>
        </w:rPr>
        <w:t>: התם דאמר לה כשהיא פנויה, הכא דאמר לה כשהיא נשואה</w:t>
      </w:r>
      <w:r>
        <w:rPr>
          <w:rFonts w:cs="Arial" w:hint="cs"/>
          <w:rtl/>
        </w:rPr>
        <w:t>.</w:t>
      </w:r>
      <w:r w:rsidRPr="00A54CEC">
        <w:rPr>
          <w:rFonts w:cs="Arial"/>
          <w:rtl/>
        </w:rPr>
        <w:t xml:space="preserve"> מאי קאמר לה? אחריך ליקני, בעל לא ליקני. </w:t>
      </w:r>
    </w:p>
    <w:p w14:paraId="42E09A0C" w14:textId="4236F488" w:rsidR="00593557" w:rsidRPr="00E1594D" w:rsidRDefault="00E1594D" w:rsidP="00593557">
      <w:pPr>
        <w:rPr>
          <w:u w:val="single"/>
          <w:rtl/>
        </w:rPr>
      </w:pPr>
      <w:r w:rsidRPr="00E1594D">
        <w:rPr>
          <w:rFonts w:hint="cs"/>
          <w:u w:val="single"/>
          <w:rtl/>
        </w:rPr>
        <w:t>האומר</w:t>
      </w:r>
      <w:r w:rsidRPr="00E1594D">
        <w:rPr>
          <w:rFonts w:cs="Arial"/>
          <w:u w:val="single"/>
          <w:rtl/>
        </w:rPr>
        <w:t xml:space="preserve"> לאשה </w:t>
      </w:r>
      <w:r w:rsidRPr="00E1594D">
        <w:rPr>
          <w:rFonts w:cs="Arial" w:hint="cs"/>
          <w:u w:val="single"/>
          <w:rtl/>
        </w:rPr>
        <w:t>'</w:t>
      </w:r>
      <w:r w:rsidRPr="00E1594D">
        <w:rPr>
          <w:rFonts w:cs="Arial"/>
          <w:u w:val="single"/>
          <w:rtl/>
        </w:rPr>
        <w:t>נכסי לך ואחריך לפלוני</w:t>
      </w:r>
      <w:r w:rsidRPr="00E1594D">
        <w:rPr>
          <w:rFonts w:cs="Arial" w:hint="cs"/>
          <w:u w:val="single"/>
          <w:rtl/>
        </w:rPr>
        <w:t>'</w:t>
      </w:r>
      <w:r w:rsidRPr="00E1594D">
        <w:rPr>
          <w:rFonts w:hint="cs"/>
          <w:u w:val="single"/>
          <w:rtl/>
        </w:rPr>
        <w:t xml:space="preserve"> </w:t>
      </w:r>
      <w:r w:rsidR="00F97626">
        <w:rPr>
          <w:u w:val="single"/>
          <w:rtl/>
        </w:rPr>
        <w:t>-</w:t>
      </w:r>
      <w:r w:rsidRPr="00E1594D">
        <w:rPr>
          <w:rFonts w:hint="cs"/>
          <w:u w:val="single"/>
          <w:rtl/>
        </w:rPr>
        <w:t xml:space="preserve"> האם הבעל זוכה בנכסים:</w:t>
      </w:r>
    </w:p>
    <w:p w14:paraId="6ED0AC87" w14:textId="03CE8D20" w:rsidR="005D1457" w:rsidRPr="00E1594D" w:rsidRDefault="003B44CE" w:rsidP="009000E3">
      <w:pPr>
        <w:pStyle w:val="ab"/>
        <w:numPr>
          <w:ilvl w:val="0"/>
          <w:numId w:val="55"/>
        </w:numPr>
        <w:rPr>
          <w:rtl/>
        </w:rPr>
      </w:pPr>
      <w:r>
        <w:rPr>
          <w:rFonts w:cs="Arial" w:hint="cs"/>
          <w:rtl/>
        </w:rPr>
        <w:t xml:space="preserve">רמב"ם </w:t>
      </w:r>
      <w:r>
        <w:rPr>
          <w:rFonts w:cs="Arial" w:hint="cs"/>
          <w:sz w:val="16"/>
          <w:szCs w:val="16"/>
          <w:rtl/>
        </w:rPr>
        <w:t>(פי"ב מזכיה ומתנה הי"ב)</w:t>
      </w:r>
      <w:r>
        <w:rPr>
          <w:rFonts w:cs="Arial" w:hint="cs"/>
          <w:rtl/>
        </w:rPr>
        <w:t xml:space="preserve"> ו</w:t>
      </w:r>
      <w:r w:rsidR="00EB3C2B">
        <w:rPr>
          <w:rFonts w:cs="Arial" w:hint="cs"/>
          <w:rtl/>
        </w:rPr>
        <w:t xml:space="preserve">טור- </w:t>
      </w:r>
      <w:r w:rsidR="00EB3C2B" w:rsidRPr="00F31ACB">
        <w:rPr>
          <w:rFonts w:cs="Arial"/>
          <w:rtl/>
        </w:rPr>
        <w:t>וכיון שהבעל כלוקח בנכסי אשתו</w:t>
      </w:r>
      <w:r w:rsidR="00EB3C2B">
        <w:rPr>
          <w:rFonts w:cs="Arial" w:hint="cs"/>
          <w:rtl/>
        </w:rPr>
        <w:t>,</w:t>
      </w:r>
      <w:r w:rsidR="00EB3C2B" w:rsidRPr="00F31ACB">
        <w:rPr>
          <w:rFonts w:cs="Arial"/>
          <w:rtl/>
        </w:rPr>
        <w:t xml:space="preserve"> מי שאמר לאשה </w:t>
      </w:r>
      <w:r w:rsidR="00EB3C2B">
        <w:rPr>
          <w:rFonts w:cs="Arial" w:hint="cs"/>
          <w:rtl/>
        </w:rPr>
        <w:t>'</w:t>
      </w:r>
      <w:r w:rsidR="00EB3C2B" w:rsidRPr="00F31ACB">
        <w:rPr>
          <w:rFonts w:cs="Arial"/>
          <w:rtl/>
        </w:rPr>
        <w:t>נכסי לך ואחריך לפלוני</w:t>
      </w:r>
      <w:r w:rsidR="00EB3C2B">
        <w:rPr>
          <w:rFonts w:cs="Arial" w:hint="cs"/>
          <w:rtl/>
        </w:rPr>
        <w:t>',</w:t>
      </w:r>
      <w:r w:rsidR="00EB3C2B" w:rsidRPr="00F31ACB">
        <w:rPr>
          <w:rFonts w:cs="Arial"/>
          <w:rtl/>
        </w:rPr>
        <w:t xml:space="preserve"> וניסת</w:t>
      </w:r>
      <w:r w:rsidR="00EB3C2B">
        <w:rPr>
          <w:rFonts w:cs="Arial" w:hint="cs"/>
          <w:rtl/>
        </w:rPr>
        <w:t>,</w:t>
      </w:r>
      <w:r w:rsidR="00EB3C2B" w:rsidRPr="00F31ACB">
        <w:rPr>
          <w:rFonts w:cs="Arial"/>
          <w:rtl/>
        </w:rPr>
        <w:t xml:space="preserve"> הוי כלוקח</w:t>
      </w:r>
      <w:r w:rsidR="00EB3C2B">
        <w:rPr>
          <w:rFonts w:cs="Arial" w:hint="cs"/>
          <w:rtl/>
        </w:rPr>
        <w:t>,</w:t>
      </w:r>
      <w:r w:rsidR="00EB3C2B" w:rsidRPr="00F31ACB">
        <w:rPr>
          <w:rFonts w:cs="Arial"/>
          <w:rtl/>
        </w:rPr>
        <w:t xml:space="preserve"> ואין לאחריך במקום בעל כלום</w:t>
      </w:r>
      <w:r>
        <w:rPr>
          <w:rFonts w:cs="Arial" w:hint="cs"/>
          <w:rtl/>
        </w:rPr>
        <w:t>,</w:t>
      </w:r>
      <w:r w:rsidR="00EB3C2B" w:rsidRPr="00F31ACB">
        <w:rPr>
          <w:rFonts w:cs="Arial"/>
          <w:rtl/>
        </w:rPr>
        <w:t xml:space="preserve"> דקי"ל נכסי לך ואחריך לפלוני ומכר הראשון אין לשני אלא מה ששייר ראשון</w:t>
      </w:r>
      <w:r w:rsidR="00EB3C2B">
        <w:rPr>
          <w:rFonts w:cs="Arial" w:hint="cs"/>
          <w:rtl/>
        </w:rPr>
        <w:t>.</w:t>
      </w:r>
      <w:r w:rsidR="00EB3C2B" w:rsidRPr="00F31ACB">
        <w:rPr>
          <w:rFonts w:cs="Arial"/>
          <w:rtl/>
        </w:rPr>
        <w:t xml:space="preserve"> בד"א</w:t>
      </w:r>
      <w:r w:rsidR="00EB3C2B">
        <w:rPr>
          <w:rFonts w:cs="Arial" w:hint="cs"/>
          <w:rtl/>
        </w:rPr>
        <w:t>,</w:t>
      </w:r>
      <w:r w:rsidR="00EB3C2B" w:rsidRPr="00F31ACB">
        <w:rPr>
          <w:rFonts w:cs="Arial"/>
          <w:rtl/>
        </w:rPr>
        <w:t xml:space="preserve"> באומר כן לפנויה</w:t>
      </w:r>
      <w:r w:rsidR="00EB3C2B">
        <w:rPr>
          <w:rFonts w:cs="Arial" w:hint="cs"/>
          <w:rtl/>
        </w:rPr>
        <w:t>.</w:t>
      </w:r>
      <w:r w:rsidR="00EB3C2B" w:rsidRPr="00F31ACB">
        <w:rPr>
          <w:rFonts w:cs="Arial"/>
          <w:rtl/>
        </w:rPr>
        <w:t xml:space="preserve"> אבל האומר לנשואה נכסי לך ואחריך לפלוני</w:t>
      </w:r>
      <w:r w:rsidR="00EB3C2B">
        <w:rPr>
          <w:rFonts w:cs="Arial" w:hint="cs"/>
          <w:rtl/>
        </w:rPr>
        <w:t>,</w:t>
      </w:r>
      <w:r w:rsidR="00EB3C2B" w:rsidRPr="00F31ACB">
        <w:rPr>
          <w:rFonts w:cs="Arial"/>
          <w:rtl/>
        </w:rPr>
        <w:t xml:space="preserve"> ומתה </w:t>
      </w:r>
      <w:r w:rsidR="00EB3C2B">
        <w:rPr>
          <w:rFonts w:cs="Arial" w:hint="cs"/>
          <w:rtl/>
        </w:rPr>
        <w:t xml:space="preserve">- </w:t>
      </w:r>
      <w:r w:rsidR="00EB3C2B" w:rsidRPr="00F31ACB">
        <w:rPr>
          <w:rFonts w:cs="Arial"/>
          <w:rtl/>
        </w:rPr>
        <w:t>אחריך קונה ולא הבעל</w:t>
      </w:r>
      <w:r w:rsidR="00EB3C2B">
        <w:rPr>
          <w:rFonts w:cs="Arial" w:hint="cs"/>
          <w:rtl/>
        </w:rPr>
        <w:t>.</w:t>
      </w:r>
      <w:r w:rsidR="00EB3C2B" w:rsidRPr="00F31ACB">
        <w:rPr>
          <w:rFonts w:cs="Arial"/>
          <w:rtl/>
        </w:rPr>
        <w:t xml:space="preserve"> דכיון שהוא אומר כן כשהיתה נשואה</w:t>
      </w:r>
      <w:r w:rsidR="00EB3C2B">
        <w:rPr>
          <w:rFonts w:cs="Arial" w:hint="cs"/>
          <w:rtl/>
        </w:rPr>
        <w:t>,</w:t>
      </w:r>
      <w:r w:rsidR="00EB3C2B" w:rsidRPr="00F31ACB">
        <w:rPr>
          <w:rFonts w:cs="Arial"/>
          <w:rtl/>
        </w:rPr>
        <w:t xml:space="preserve"> הרי סילק הבעל בהדיא</w:t>
      </w:r>
      <w:r w:rsidR="00EB3C2B">
        <w:rPr>
          <w:rFonts w:cs="Arial" w:hint="cs"/>
          <w:rtl/>
        </w:rPr>
        <w:t>.</w:t>
      </w:r>
      <w:r w:rsidR="00EB3C2B" w:rsidRPr="00F31ACB">
        <w:rPr>
          <w:rFonts w:cs="Arial"/>
          <w:rtl/>
        </w:rPr>
        <w:t xml:space="preserve"> לפיכך האומר לנשואה </w:t>
      </w:r>
      <w:r w:rsidR="00EB3C2B">
        <w:rPr>
          <w:rFonts w:cs="Arial" w:hint="cs"/>
          <w:rtl/>
        </w:rPr>
        <w:t>'</w:t>
      </w:r>
      <w:r w:rsidR="00EB3C2B" w:rsidRPr="00F31ACB">
        <w:rPr>
          <w:rFonts w:cs="Arial"/>
          <w:rtl/>
        </w:rPr>
        <w:t>נכסי לך ואחריך לפלוני</w:t>
      </w:r>
      <w:r w:rsidR="00EB3C2B">
        <w:rPr>
          <w:rFonts w:cs="Arial" w:hint="cs"/>
          <w:rtl/>
        </w:rPr>
        <w:t>',</w:t>
      </w:r>
      <w:r w:rsidR="00EB3C2B" w:rsidRPr="00F31ACB">
        <w:rPr>
          <w:rFonts w:cs="Arial"/>
          <w:rtl/>
        </w:rPr>
        <w:t xml:space="preserve"> ומכרה ומתה </w:t>
      </w:r>
      <w:r w:rsidR="00EB3C2B">
        <w:rPr>
          <w:rFonts w:cs="Arial" w:hint="cs"/>
          <w:rtl/>
        </w:rPr>
        <w:t xml:space="preserve">- </w:t>
      </w:r>
      <w:r w:rsidR="00EB3C2B" w:rsidRPr="00F31ACB">
        <w:rPr>
          <w:rFonts w:cs="Arial"/>
          <w:rtl/>
        </w:rPr>
        <w:t>הבעל יכול להוציא מיד הלקוחות</w:t>
      </w:r>
      <w:r w:rsidR="00EB3C2B">
        <w:rPr>
          <w:rFonts w:cs="Arial" w:hint="cs"/>
          <w:rtl/>
        </w:rPr>
        <w:t>.</w:t>
      </w:r>
      <w:r w:rsidR="00EB3C2B" w:rsidRPr="00F31ACB">
        <w:rPr>
          <w:rFonts w:cs="Arial"/>
          <w:rtl/>
        </w:rPr>
        <w:t xml:space="preserve"> ואחריך מיד הבעל</w:t>
      </w:r>
      <w:r w:rsidR="00EB3C2B">
        <w:rPr>
          <w:rFonts w:cs="Arial" w:hint="cs"/>
          <w:rtl/>
        </w:rPr>
        <w:t>.</w:t>
      </w:r>
      <w:r w:rsidR="00EB3C2B" w:rsidRPr="00F31ACB">
        <w:rPr>
          <w:rFonts w:cs="Arial"/>
          <w:rtl/>
        </w:rPr>
        <w:t xml:space="preserve"> והלוקח מיד אחריך</w:t>
      </w:r>
      <w:r w:rsidR="00EB3C2B">
        <w:rPr>
          <w:rFonts w:cs="Arial" w:hint="cs"/>
          <w:rtl/>
        </w:rPr>
        <w:t>.</w:t>
      </w:r>
      <w:r w:rsidR="00EB3C2B" w:rsidRPr="00F31ACB">
        <w:rPr>
          <w:rFonts w:cs="Arial"/>
          <w:rtl/>
        </w:rPr>
        <w:t xml:space="preserve"> הלכך מניחין אותו כמו שהוא</w:t>
      </w:r>
      <w:r w:rsidR="00EB3C2B">
        <w:rPr>
          <w:rFonts w:cs="Arial" w:hint="cs"/>
          <w:rtl/>
        </w:rPr>
        <w:t>,</w:t>
      </w:r>
      <w:r w:rsidR="00EB3C2B" w:rsidRPr="00F31ACB">
        <w:rPr>
          <w:rFonts w:cs="Arial"/>
          <w:rtl/>
        </w:rPr>
        <w:t xml:space="preserve"> ונשאר ביד הלוקח</w:t>
      </w:r>
      <w:r w:rsidR="00E1594D" w:rsidRPr="00E1594D">
        <w:rPr>
          <w:rFonts w:cs="Arial"/>
          <w:vertAlign w:val="superscript"/>
          <w:rtl/>
        </w:rPr>
        <w:footnoteReference w:id="1435"/>
      </w:r>
      <w:r w:rsidR="009D7DF6">
        <w:rPr>
          <w:rFonts w:cs="Arial" w:hint="cs"/>
          <w:sz w:val="16"/>
          <w:szCs w:val="16"/>
          <w:rtl/>
        </w:rPr>
        <w:t xml:space="preserve"> (ל' הטור)</w:t>
      </w:r>
      <w:r w:rsidR="00EB3C2B">
        <w:rPr>
          <w:rFonts w:cs="Arial" w:hint="cs"/>
          <w:rtl/>
        </w:rPr>
        <w:t>.</w:t>
      </w:r>
      <w:r w:rsidR="00EB3C2B" w:rsidRPr="00F31ACB">
        <w:rPr>
          <w:rFonts w:cs="Arial"/>
          <w:rtl/>
        </w:rPr>
        <w:t xml:space="preserve"> </w:t>
      </w:r>
      <w:r w:rsidR="00E1594D" w:rsidRPr="00225137">
        <w:rPr>
          <w:rFonts w:hint="cs"/>
          <w:color w:val="E36C0A" w:themeColor="accent6" w:themeShade="BF"/>
          <w:rtl/>
        </w:rPr>
        <w:t>(וכ"פ בשו"ע)</w:t>
      </w:r>
    </w:p>
    <w:p w14:paraId="44E0A94B"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5F58CD6B" w14:textId="68F98735" w:rsidR="007A3469" w:rsidRDefault="007A3469" w:rsidP="007A3469">
      <w:pPr>
        <w:rPr>
          <w:rtl/>
        </w:rPr>
      </w:pPr>
      <w:r>
        <w:rPr>
          <w:rFonts w:cs="Arial"/>
          <w:rtl/>
        </w:rPr>
        <w:t>בעל בנכסי אשתו הוי כלוקח</w:t>
      </w:r>
      <w:r w:rsidR="000B4300" w:rsidRPr="00E1594D">
        <w:rPr>
          <w:rFonts w:cs="Arial"/>
          <w:vertAlign w:val="superscript"/>
          <w:rtl/>
        </w:rPr>
        <w:footnoteReference w:id="1436"/>
      </w:r>
      <w:r>
        <w:rPr>
          <w:rFonts w:cs="Arial"/>
          <w:rtl/>
        </w:rPr>
        <w:t>. לפיכך מי שאמר לאשה: נכסי לך ואחריך לפלוני, ונשאת, הוי כלוקח, ואין לאחריך במקום בעל כלום, דקיימא לן נכסי לך ואחריך לפלוני</w:t>
      </w:r>
      <w:r w:rsidR="00426736">
        <w:rPr>
          <w:rFonts w:cs="Arial" w:hint="cs"/>
          <w:rtl/>
        </w:rPr>
        <w:t>,</w:t>
      </w:r>
      <w:r>
        <w:rPr>
          <w:rFonts w:cs="Arial"/>
          <w:rtl/>
        </w:rPr>
        <w:t xml:space="preserve"> ומכר הראשון, אין לשני אלא מה ששייר ראשון. ב</w:t>
      </w:r>
      <w:r w:rsidR="00DA1E36">
        <w:rPr>
          <w:rFonts w:cs="Arial" w:hint="cs"/>
          <w:rtl/>
        </w:rPr>
        <w:t>מה דברים אמורים</w:t>
      </w:r>
      <w:r>
        <w:rPr>
          <w:rFonts w:cs="Arial"/>
          <w:rtl/>
        </w:rPr>
        <w:t>, באומר כן לפנויה, אבל האומר לנשואה: נכסי לך ואחריך לפלוני, ומתה, אחריך קונה ולא הבעל. לפיכך האומר לנשואה: נכסי לך ואחריך לפלוני, ומכרה, ומתה, יעמדו נכסים ביד הלוקח</w:t>
      </w:r>
      <w:r w:rsidR="000B4300" w:rsidRPr="00E1594D">
        <w:rPr>
          <w:rFonts w:cs="Arial"/>
          <w:vertAlign w:val="superscript"/>
          <w:rtl/>
        </w:rPr>
        <w:footnoteReference w:id="1437"/>
      </w:r>
      <w:r>
        <w:rPr>
          <w:rFonts w:cs="Arial"/>
          <w:rtl/>
        </w:rPr>
        <w:t xml:space="preserve">. </w:t>
      </w:r>
    </w:p>
    <w:p w14:paraId="2D6178A7" w14:textId="77777777" w:rsidR="00DA1E36" w:rsidRDefault="00DA1E36" w:rsidP="007A3469">
      <w:pPr>
        <w:rPr>
          <w:rtl/>
        </w:rPr>
      </w:pPr>
    </w:p>
    <w:p w14:paraId="6CCD6F90" w14:textId="60E9D384" w:rsidR="007A3469" w:rsidRDefault="007A3469" w:rsidP="000F64D0">
      <w:pPr>
        <w:pStyle w:val="2"/>
        <w:rPr>
          <w:rtl/>
        </w:rPr>
      </w:pPr>
      <w:r>
        <w:rPr>
          <w:rtl/>
        </w:rPr>
        <w:lastRenderedPageBreak/>
        <w:t>סעיף ג</w:t>
      </w:r>
      <w:r w:rsidR="005D1457">
        <w:rPr>
          <w:rFonts w:hint="cs"/>
          <w:rtl/>
        </w:rPr>
        <w:t>:</w:t>
      </w:r>
      <w:r w:rsidR="00A86702" w:rsidRPr="00A86702">
        <w:rPr>
          <w:rtl/>
        </w:rPr>
        <w:t xml:space="preserve"> </w:t>
      </w:r>
      <w:r w:rsidR="00A86702">
        <w:rPr>
          <w:rtl/>
        </w:rPr>
        <w:t xml:space="preserve">גבו לאשה קרקע </w:t>
      </w:r>
      <w:r w:rsidR="00A86702">
        <w:rPr>
          <w:rFonts w:hint="cs"/>
          <w:rtl/>
        </w:rPr>
        <w:t xml:space="preserve">מלוג </w:t>
      </w:r>
      <w:r w:rsidR="00A86702">
        <w:rPr>
          <w:rtl/>
        </w:rPr>
        <w:t>מבע</w:t>
      </w:r>
      <w:r w:rsidR="00A86702">
        <w:rPr>
          <w:rFonts w:hint="cs"/>
          <w:rtl/>
        </w:rPr>
        <w:t>"ח</w:t>
      </w:r>
      <w:r w:rsidR="00A86702">
        <w:rPr>
          <w:rFonts w:hint="cs"/>
          <w:sz w:val="20"/>
          <w:szCs w:val="20"/>
          <w:rtl/>
        </w:rPr>
        <w:t xml:space="preserve"> (או שגבו מהאשה לבע"ח)</w:t>
      </w:r>
      <w:r w:rsidR="00A86702">
        <w:rPr>
          <w:rtl/>
        </w:rPr>
        <w:t>, ונשאת</w:t>
      </w:r>
      <w:r w:rsidR="00A86702">
        <w:rPr>
          <w:rFonts w:hint="cs"/>
          <w:rtl/>
        </w:rPr>
        <w:t>,</w:t>
      </w:r>
      <w:r w:rsidR="00A86702">
        <w:rPr>
          <w:rtl/>
        </w:rPr>
        <w:t xml:space="preserve"> ומתה</w:t>
      </w:r>
      <w:r w:rsidR="00A86702">
        <w:rPr>
          <w:rFonts w:hint="cs"/>
          <w:rtl/>
        </w:rPr>
        <w:t>.</w:t>
      </w:r>
    </w:p>
    <w:p w14:paraId="46DAE52A" w14:textId="68ACF81F" w:rsidR="009509AC" w:rsidRDefault="009509AC" w:rsidP="009509AC">
      <w:pPr>
        <w:rPr>
          <w:rFonts w:cs="Arial"/>
          <w:rtl/>
        </w:rPr>
      </w:pPr>
      <w:r>
        <w:rPr>
          <w:rFonts w:cs="Arial" w:hint="cs"/>
          <w:b/>
          <w:bCs/>
          <w:rtl/>
        </w:rPr>
        <w:t>בבא מציעא</w:t>
      </w:r>
      <w:r w:rsidRPr="00642A08">
        <w:rPr>
          <w:rFonts w:cs="Arial" w:hint="cs"/>
          <w:b/>
          <w:bCs/>
          <w:rtl/>
        </w:rPr>
        <w:t xml:space="preserve"> </w:t>
      </w:r>
      <w:r w:rsidRPr="00642A08">
        <w:rPr>
          <w:rFonts w:cs="Arial" w:hint="cs"/>
          <w:b/>
          <w:bCs/>
          <w:sz w:val="16"/>
          <w:szCs w:val="16"/>
          <w:rtl/>
        </w:rPr>
        <w:t>(</w:t>
      </w:r>
      <w:r w:rsidRPr="00642A08">
        <w:rPr>
          <w:rFonts w:cs="Arial"/>
          <w:b/>
          <w:bCs/>
          <w:sz w:val="16"/>
          <w:szCs w:val="16"/>
          <w:rtl/>
        </w:rPr>
        <w:t>פ</w:t>
      </w:r>
      <w:r w:rsidRPr="00642A08">
        <w:rPr>
          <w:rFonts w:cs="Arial" w:hint="cs"/>
          <w:b/>
          <w:bCs/>
          <w:sz w:val="16"/>
          <w:szCs w:val="16"/>
          <w:rtl/>
        </w:rPr>
        <w:t>'</w:t>
      </w:r>
      <w:r w:rsidRPr="00642A08">
        <w:rPr>
          <w:rFonts w:cs="Arial"/>
          <w:b/>
          <w:bCs/>
          <w:sz w:val="16"/>
          <w:szCs w:val="16"/>
          <w:rtl/>
        </w:rPr>
        <w:t xml:space="preserve"> </w:t>
      </w:r>
      <w:r>
        <w:rPr>
          <w:rFonts w:cs="Arial" w:hint="cs"/>
          <w:b/>
          <w:bCs/>
          <w:sz w:val="16"/>
          <w:szCs w:val="16"/>
          <w:rtl/>
        </w:rPr>
        <w:t>המפקיד</w:t>
      </w:r>
      <w:r w:rsidRPr="00642A08">
        <w:rPr>
          <w:rFonts w:cs="Arial" w:hint="cs"/>
          <w:b/>
          <w:bCs/>
          <w:sz w:val="16"/>
          <w:szCs w:val="16"/>
          <w:rtl/>
        </w:rPr>
        <w:t>)</w:t>
      </w:r>
      <w:r w:rsidRPr="00642A08">
        <w:rPr>
          <w:rFonts w:cs="Arial"/>
          <w:b/>
          <w:bCs/>
          <w:rtl/>
        </w:rPr>
        <w:t xml:space="preserve"> </w:t>
      </w:r>
      <w:r>
        <w:rPr>
          <w:rFonts w:cs="Arial" w:hint="cs"/>
          <w:b/>
          <w:bCs/>
          <w:rtl/>
        </w:rPr>
        <w:t>ל</w:t>
      </w:r>
      <w:r w:rsidRPr="00642A08">
        <w:rPr>
          <w:rFonts w:cs="Arial"/>
          <w:b/>
          <w:bCs/>
          <w:rtl/>
        </w:rPr>
        <w:t>ה</w:t>
      </w:r>
      <w:r w:rsidR="00D028F6">
        <w:rPr>
          <w:rStyle w:val="a7"/>
          <w:rFonts w:cs="Arial"/>
          <w:b/>
          <w:bCs/>
          <w:rtl/>
        </w:rPr>
        <w:footnoteReference w:id="1438"/>
      </w:r>
      <w:r w:rsidRPr="00642A08">
        <w:rPr>
          <w:rFonts w:cs="Arial" w:hint="cs"/>
          <w:b/>
          <w:bCs/>
          <w:rtl/>
        </w:rPr>
        <w:t xml:space="preserve"> ע"</w:t>
      </w:r>
      <w:r>
        <w:rPr>
          <w:rFonts w:cs="Arial" w:hint="cs"/>
          <w:b/>
          <w:bCs/>
          <w:rtl/>
        </w:rPr>
        <w:t>א</w:t>
      </w:r>
      <w:r w:rsidRPr="00642A08">
        <w:rPr>
          <w:rFonts w:cs="Arial"/>
          <w:b/>
          <w:bCs/>
          <w:rtl/>
        </w:rPr>
        <w:t>:</w:t>
      </w:r>
      <w:r>
        <w:rPr>
          <w:rFonts w:cs="Arial" w:hint="cs"/>
          <w:rtl/>
        </w:rPr>
        <w:t xml:space="preserve"> </w:t>
      </w:r>
      <w:r w:rsidR="00EA7A52" w:rsidRPr="00E93CFD">
        <w:rPr>
          <w:rFonts w:cs="Arial"/>
          <w:rtl/>
        </w:rPr>
        <w:t>והלכתא: שומא הדר לעולם. משום שנאמר ועשית הישר והטוב.</w:t>
      </w:r>
      <w:r w:rsidR="00EA7A52">
        <w:rPr>
          <w:rFonts w:cs="Arial" w:hint="cs"/>
          <w:rtl/>
        </w:rPr>
        <w:t>..</w:t>
      </w:r>
      <w:r w:rsidR="00EA7A52" w:rsidRPr="00E93CFD">
        <w:rPr>
          <w:rFonts w:cs="Arial"/>
          <w:rtl/>
        </w:rPr>
        <w:t xml:space="preserve"> </w:t>
      </w:r>
      <w:r w:rsidRPr="009509AC">
        <w:rPr>
          <w:rFonts w:cs="Arial"/>
          <w:rtl/>
        </w:rPr>
        <w:t>שמו לה לאשה ואינסיבא</w:t>
      </w:r>
      <w:r w:rsidR="00A86702">
        <w:rPr>
          <w:rStyle w:val="a7"/>
          <w:rFonts w:cs="Arial"/>
          <w:rtl/>
        </w:rPr>
        <w:footnoteReference w:id="1439"/>
      </w:r>
      <w:r w:rsidRPr="009509AC">
        <w:rPr>
          <w:rFonts w:cs="Arial"/>
          <w:rtl/>
        </w:rPr>
        <w:t xml:space="preserve">, או שמו מינה דאשה ואינסיבא </w:t>
      </w:r>
      <w:r w:rsidR="00EA7A52">
        <w:rPr>
          <w:rStyle w:val="a7"/>
          <w:rFonts w:cs="Arial"/>
          <w:rtl/>
        </w:rPr>
        <w:footnoteReference w:id="1440"/>
      </w:r>
      <w:r w:rsidR="000A5552">
        <w:rPr>
          <w:rFonts w:cs="Arial" w:hint="cs"/>
          <w:rtl/>
        </w:rPr>
        <w:t>[</w:t>
      </w:r>
      <w:r w:rsidRPr="009509AC">
        <w:rPr>
          <w:rFonts w:cs="Arial"/>
          <w:rtl/>
        </w:rPr>
        <w:t>ומתה</w:t>
      </w:r>
      <w:r w:rsidR="000A5552">
        <w:rPr>
          <w:rFonts w:cs="Arial" w:hint="cs"/>
          <w:rtl/>
        </w:rPr>
        <w:t>]</w:t>
      </w:r>
      <w:r w:rsidRPr="009509AC">
        <w:rPr>
          <w:rFonts w:cs="Arial"/>
          <w:rtl/>
        </w:rPr>
        <w:t xml:space="preserve"> - בעל</w:t>
      </w:r>
      <w:r w:rsidR="00A86702">
        <w:rPr>
          <w:rStyle w:val="a7"/>
          <w:rFonts w:cs="Arial"/>
          <w:rtl/>
        </w:rPr>
        <w:footnoteReference w:id="1441"/>
      </w:r>
      <w:r w:rsidRPr="009509AC">
        <w:rPr>
          <w:rFonts w:cs="Arial"/>
          <w:rtl/>
        </w:rPr>
        <w:t xml:space="preserve"> בנכסי אשתו לוקח הוי</w:t>
      </w:r>
      <w:r w:rsidR="00A86702">
        <w:rPr>
          <w:rStyle w:val="a7"/>
          <w:rFonts w:cs="Arial"/>
          <w:rtl/>
        </w:rPr>
        <w:footnoteReference w:id="1442"/>
      </w:r>
      <w:r w:rsidRPr="009509AC">
        <w:rPr>
          <w:rFonts w:cs="Arial"/>
          <w:rtl/>
        </w:rPr>
        <w:t>, לא מיהדר ולא מהדרינן ליה</w:t>
      </w:r>
      <w:r w:rsidR="00A86702">
        <w:rPr>
          <w:rStyle w:val="a7"/>
          <w:rFonts w:cs="Arial"/>
          <w:rtl/>
        </w:rPr>
        <w:footnoteReference w:id="1443"/>
      </w:r>
      <w:r w:rsidRPr="009509AC">
        <w:rPr>
          <w:rFonts w:cs="Arial"/>
          <w:rtl/>
        </w:rPr>
        <w:t>. דאמר רבי יוסי בר חנינא: באושא התקינו: האשה שמכרה בנכסי מלוג בחיי בעלה ומתה - הבעל מוציא מיד הלקוחות.</w:t>
      </w:r>
    </w:p>
    <w:p w14:paraId="6C18BD67" w14:textId="77777777" w:rsidR="00D70BC2" w:rsidRPr="009B7A6B" w:rsidRDefault="00D70BC2" w:rsidP="00D70BC2">
      <w:pPr>
        <w:rPr>
          <w:rFonts w:cs="Arial"/>
          <w:u w:val="single"/>
          <w:rtl/>
        </w:rPr>
      </w:pPr>
      <w:r w:rsidRPr="00E93CFD">
        <w:rPr>
          <w:rFonts w:hint="cs"/>
          <w:u w:val="single"/>
          <w:rtl/>
        </w:rPr>
        <w:t xml:space="preserve">ב"ד </w:t>
      </w:r>
      <w:r>
        <w:rPr>
          <w:rFonts w:hint="cs"/>
          <w:u w:val="single"/>
          <w:rtl/>
        </w:rPr>
        <w:t>שמו</w:t>
      </w:r>
      <w:r w:rsidRPr="009B7A6B">
        <w:rPr>
          <w:rFonts w:cs="Arial" w:hint="cs"/>
          <w:u w:val="single"/>
          <w:rtl/>
        </w:rPr>
        <w:t xml:space="preserve"> </w:t>
      </w:r>
      <w:r>
        <w:rPr>
          <w:rFonts w:cs="Arial" w:hint="cs"/>
          <w:u w:val="single"/>
          <w:rtl/>
        </w:rPr>
        <w:t>קרקע לאשה, ונשאת - ורוצה הלוה לפדות הקרקע</w:t>
      </w:r>
      <w:r>
        <w:rPr>
          <w:rFonts w:cs="Arial" w:hint="cs"/>
          <w:sz w:val="16"/>
          <w:szCs w:val="16"/>
          <w:u w:val="single"/>
          <w:rtl/>
        </w:rPr>
        <w:t xml:space="preserve"> (או ששמו מהאשה, ונשאת - ורוצה הבעל לפדות)</w:t>
      </w:r>
      <w:r>
        <w:rPr>
          <w:rFonts w:cs="Arial" w:hint="cs"/>
          <w:u w:val="single"/>
          <w:rtl/>
        </w:rPr>
        <w:t>:</w:t>
      </w:r>
    </w:p>
    <w:p w14:paraId="0C270644" w14:textId="123A26B2" w:rsidR="00D70BC2" w:rsidRDefault="00D70BC2" w:rsidP="009000E3">
      <w:pPr>
        <w:pStyle w:val="ab"/>
        <w:numPr>
          <w:ilvl w:val="0"/>
          <w:numId w:val="57"/>
        </w:numPr>
        <w:rPr>
          <w:rFonts w:cs="Arial"/>
        </w:rPr>
      </w:pPr>
      <w:r>
        <w:rPr>
          <w:rFonts w:cs="Arial" w:hint="cs"/>
          <w:rtl/>
        </w:rPr>
        <w:t xml:space="preserve">רש"י </w:t>
      </w:r>
      <w:r>
        <w:rPr>
          <w:rFonts w:cs="Arial" w:hint="cs"/>
          <w:sz w:val="16"/>
          <w:szCs w:val="16"/>
          <w:rtl/>
        </w:rPr>
        <w:t xml:space="preserve">(ד"ה לוקח הוי) </w:t>
      </w:r>
      <w:r>
        <w:rPr>
          <w:rFonts w:cs="Arial"/>
          <w:rtl/>
        </w:rPr>
        <w:t xml:space="preserve">רא"ש </w:t>
      </w:r>
      <w:r w:rsidRPr="009B7A6B">
        <w:rPr>
          <w:rFonts w:cs="Arial"/>
          <w:sz w:val="16"/>
          <w:szCs w:val="16"/>
          <w:rtl/>
        </w:rPr>
        <w:t>(פ"ג סי' ד)</w:t>
      </w:r>
      <w:r w:rsidRPr="009B7A6B">
        <w:rPr>
          <w:rFonts w:cs="Arial" w:hint="cs"/>
          <w:sz w:val="16"/>
          <w:szCs w:val="16"/>
          <w:rtl/>
        </w:rPr>
        <w:t xml:space="preserve"> </w:t>
      </w:r>
      <w:r>
        <w:rPr>
          <w:rFonts w:cs="Arial" w:hint="cs"/>
          <w:rtl/>
        </w:rPr>
        <w:t>וטור-</w:t>
      </w:r>
      <w:r w:rsidRPr="00337E2F">
        <w:rPr>
          <w:rFonts w:cs="Arial"/>
          <w:rtl/>
        </w:rPr>
        <w:t xml:space="preserve"> </w:t>
      </w:r>
      <w:r w:rsidRPr="00F31ACB">
        <w:rPr>
          <w:rFonts w:cs="Arial"/>
          <w:rtl/>
        </w:rPr>
        <w:t>ועוד נ</w:t>
      </w:r>
      <w:r w:rsidR="000014A8">
        <w:rPr>
          <w:rFonts w:cs="Arial" w:hint="cs"/>
          <w:rtl/>
        </w:rPr>
        <w:t>פק"מ</w:t>
      </w:r>
      <w:r w:rsidRPr="00F31ACB">
        <w:rPr>
          <w:rFonts w:cs="Arial"/>
          <w:rtl/>
        </w:rPr>
        <w:t xml:space="preserve"> מאי דחשיב כלוקח</w:t>
      </w:r>
      <w:r>
        <w:rPr>
          <w:rFonts w:cs="Arial" w:hint="cs"/>
          <w:rtl/>
        </w:rPr>
        <w:t>,</w:t>
      </w:r>
      <w:r w:rsidRPr="00F31ACB">
        <w:rPr>
          <w:rFonts w:cs="Arial"/>
          <w:rtl/>
        </w:rPr>
        <w:t xml:space="preserve"> שאם גבו לה קרקע מבעל חובה</w:t>
      </w:r>
      <w:r>
        <w:rPr>
          <w:rFonts w:cs="Arial" w:hint="cs"/>
          <w:rtl/>
        </w:rPr>
        <w:t>,</w:t>
      </w:r>
      <w:r w:rsidRPr="00F31ACB">
        <w:rPr>
          <w:rFonts w:cs="Arial"/>
          <w:rtl/>
        </w:rPr>
        <w:t xml:space="preserve"> וניסת ומתה</w:t>
      </w:r>
      <w:r w:rsidR="000014A8">
        <w:rPr>
          <w:rFonts w:cs="Arial" w:hint="cs"/>
          <w:rtl/>
        </w:rPr>
        <w:t xml:space="preserve"> -</w:t>
      </w:r>
      <w:r>
        <w:rPr>
          <w:rFonts w:cs="Arial" w:hint="cs"/>
          <w:rtl/>
        </w:rPr>
        <w:t xml:space="preserve"> </w:t>
      </w:r>
      <w:r w:rsidRPr="00F31ACB">
        <w:rPr>
          <w:rFonts w:cs="Arial"/>
          <w:rtl/>
        </w:rPr>
        <w:t>יורשה הבעל</w:t>
      </w:r>
      <w:r>
        <w:rPr>
          <w:rFonts w:cs="Arial" w:hint="cs"/>
          <w:rtl/>
        </w:rPr>
        <w:t>,</w:t>
      </w:r>
      <w:r w:rsidRPr="00F31ACB">
        <w:rPr>
          <w:rFonts w:cs="Arial"/>
          <w:rtl/>
        </w:rPr>
        <w:t xml:space="preserve"> אע</w:t>
      </w:r>
      <w:r w:rsidR="000014A8">
        <w:rPr>
          <w:rFonts w:cs="Arial" w:hint="cs"/>
          <w:rtl/>
        </w:rPr>
        <w:t>"</w:t>
      </w:r>
      <w:r w:rsidRPr="00F31ACB">
        <w:rPr>
          <w:rFonts w:cs="Arial"/>
          <w:rtl/>
        </w:rPr>
        <w:t>ג דשומא חוזרת לעולם</w:t>
      </w:r>
      <w:r w:rsidR="000014A8">
        <w:rPr>
          <w:rFonts w:cs="Arial" w:hint="cs"/>
          <w:rtl/>
        </w:rPr>
        <w:t>,</w:t>
      </w:r>
      <w:r>
        <w:rPr>
          <w:rFonts w:cs="Arial" w:hint="cs"/>
          <w:rtl/>
        </w:rPr>
        <w:t xml:space="preserve"> </w:t>
      </w:r>
      <w:r w:rsidRPr="00F31ACB">
        <w:rPr>
          <w:rFonts w:cs="Arial"/>
          <w:rtl/>
        </w:rPr>
        <w:t>הכא אינה חוזרת דהוי כאילו מכרתו לאחר</w:t>
      </w:r>
      <w:r>
        <w:rPr>
          <w:rFonts w:cs="Arial" w:hint="cs"/>
          <w:rtl/>
        </w:rPr>
        <w:t>.</w:t>
      </w:r>
      <w:r w:rsidRPr="00F31ACB">
        <w:rPr>
          <w:rFonts w:cs="Arial"/>
          <w:rtl/>
        </w:rPr>
        <w:t xml:space="preserve"> וכן אם גבו ממנה לב"ח</w:t>
      </w:r>
      <w:r>
        <w:rPr>
          <w:rFonts w:cs="Arial" w:hint="cs"/>
          <w:rtl/>
        </w:rPr>
        <w:t>,</w:t>
      </w:r>
      <w:r w:rsidRPr="00F31ACB">
        <w:rPr>
          <w:rFonts w:cs="Arial"/>
          <w:rtl/>
        </w:rPr>
        <w:t xml:space="preserve"> וניסת ומתה וירשה הבעל </w:t>
      </w:r>
      <w:r>
        <w:rPr>
          <w:rFonts w:cs="Arial" w:hint="cs"/>
          <w:rtl/>
        </w:rPr>
        <w:t xml:space="preserve">- </w:t>
      </w:r>
      <w:r w:rsidRPr="00F31ACB">
        <w:rPr>
          <w:rFonts w:cs="Arial"/>
          <w:rtl/>
        </w:rPr>
        <w:t>אינו מוציא מיד הלקוחות</w:t>
      </w:r>
      <w:r>
        <w:rPr>
          <w:rFonts w:cs="Arial" w:hint="cs"/>
          <w:sz w:val="16"/>
          <w:szCs w:val="16"/>
          <w:rtl/>
        </w:rPr>
        <w:t xml:space="preserve"> (ל' הטור)</w:t>
      </w:r>
      <w:r>
        <w:rPr>
          <w:rFonts w:cs="Arial" w:hint="cs"/>
          <w:rtl/>
        </w:rPr>
        <w:t xml:space="preserve">. </w:t>
      </w:r>
      <w:r w:rsidRPr="009B52EC">
        <w:rPr>
          <w:rFonts w:cs="Arial" w:hint="cs"/>
          <w:color w:val="E36C0A" w:themeColor="accent6" w:themeShade="BF"/>
          <w:rtl/>
        </w:rPr>
        <w:t>(וכ"פ בשו"ע)</w:t>
      </w:r>
      <w:r w:rsidRPr="00234CC7">
        <w:rPr>
          <w:rFonts w:cs="Arial" w:hint="cs"/>
          <w:color w:val="00B0F0"/>
          <w:rtl/>
        </w:rPr>
        <w:t xml:space="preserve"> (וכ"כ הרמ"א</w:t>
      </w:r>
      <w:r>
        <w:rPr>
          <w:rFonts w:cs="Arial" w:hint="cs"/>
          <w:color w:val="000000" w:themeColor="text1"/>
          <w:sz w:val="16"/>
          <w:szCs w:val="16"/>
          <w:rtl/>
        </w:rPr>
        <w:t xml:space="preserve"> [חו"מ סי' קג ס"י]</w:t>
      </w:r>
      <w:r w:rsidRPr="00234CC7">
        <w:rPr>
          <w:rFonts w:cs="Arial" w:hint="cs"/>
          <w:color w:val="00B0F0"/>
          <w:rtl/>
        </w:rPr>
        <w:t>)</w:t>
      </w:r>
    </w:p>
    <w:p w14:paraId="50281D45" w14:textId="19A74499" w:rsidR="00D70BC2" w:rsidRDefault="00D70BC2" w:rsidP="009000E3">
      <w:pPr>
        <w:pStyle w:val="ab"/>
        <w:numPr>
          <w:ilvl w:val="0"/>
          <w:numId w:val="57"/>
        </w:numPr>
        <w:rPr>
          <w:rFonts w:cs="Arial"/>
        </w:rPr>
      </w:pPr>
      <w:r>
        <w:rPr>
          <w:rFonts w:cs="Arial" w:hint="cs"/>
          <w:rtl/>
        </w:rPr>
        <w:t xml:space="preserve">רי"ף </w:t>
      </w:r>
      <w:r>
        <w:rPr>
          <w:rFonts w:cs="Arial" w:hint="cs"/>
          <w:sz w:val="16"/>
          <w:szCs w:val="16"/>
          <w:rtl/>
        </w:rPr>
        <w:t>(ב"מ יט:)</w:t>
      </w:r>
      <w:r>
        <w:rPr>
          <w:rFonts w:cs="Arial" w:hint="cs"/>
          <w:rtl/>
        </w:rPr>
        <w:t xml:space="preserve"> ורמב"ם </w:t>
      </w:r>
      <w:r>
        <w:rPr>
          <w:rFonts w:cs="Arial" w:hint="cs"/>
          <w:sz w:val="16"/>
          <w:szCs w:val="16"/>
          <w:rtl/>
        </w:rPr>
        <w:t>(פכ"ב ממלוה ולוה הי"ז)</w:t>
      </w:r>
      <w:r>
        <w:rPr>
          <w:rFonts w:cs="Arial" w:hint="cs"/>
          <w:rtl/>
        </w:rPr>
        <w:t xml:space="preserve">- </w:t>
      </w:r>
      <w:r w:rsidRPr="005A02DD">
        <w:rPr>
          <w:rFonts w:cs="Arial"/>
          <w:rtl/>
        </w:rPr>
        <w:t>שמו קרקע לאשה ונשאת</w:t>
      </w:r>
      <w:r w:rsidR="00D028F6">
        <w:rPr>
          <w:rFonts w:cs="Arial" w:hint="cs"/>
          <w:rtl/>
        </w:rPr>
        <w:t>,</w:t>
      </w:r>
      <w:r w:rsidRPr="005A02DD">
        <w:rPr>
          <w:rFonts w:cs="Arial"/>
          <w:rtl/>
        </w:rPr>
        <w:t xml:space="preserve"> או ששמו ממנה ונשאת</w:t>
      </w:r>
      <w:r>
        <w:rPr>
          <w:rFonts w:cs="Arial" w:hint="cs"/>
          <w:rtl/>
        </w:rPr>
        <w:t xml:space="preserve"> -</w:t>
      </w:r>
      <w:r w:rsidRPr="005A02DD">
        <w:rPr>
          <w:rFonts w:cs="Arial"/>
          <w:rtl/>
        </w:rPr>
        <w:t xml:space="preserve"> בעל בנכסי אשתו כלוקח הוא</w:t>
      </w:r>
      <w:r>
        <w:rPr>
          <w:rFonts w:cs="Arial" w:hint="cs"/>
          <w:rtl/>
        </w:rPr>
        <w:t>,</w:t>
      </w:r>
      <w:r w:rsidRPr="005A02DD">
        <w:rPr>
          <w:rFonts w:cs="Arial"/>
          <w:rtl/>
        </w:rPr>
        <w:t xml:space="preserve"> ולא מחזיר</w:t>
      </w:r>
      <w:r>
        <w:rPr>
          <w:rStyle w:val="a7"/>
          <w:rFonts w:cs="Arial"/>
          <w:rtl/>
        </w:rPr>
        <w:footnoteReference w:id="1444"/>
      </w:r>
      <w:r w:rsidRPr="005A02DD">
        <w:rPr>
          <w:rFonts w:cs="Arial"/>
          <w:rtl/>
        </w:rPr>
        <w:t xml:space="preserve"> ולא מחזירין לו</w:t>
      </w:r>
      <w:r>
        <w:rPr>
          <w:rFonts w:cs="Arial" w:hint="cs"/>
          <w:sz w:val="16"/>
          <w:szCs w:val="16"/>
          <w:rtl/>
        </w:rPr>
        <w:t xml:space="preserve"> (ל' הרמב"ם)</w:t>
      </w:r>
      <w:r w:rsidRPr="005A02DD">
        <w:rPr>
          <w:rFonts w:cs="Arial"/>
          <w:rtl/>
        </w:rPr>
        <w:t xml:space="preserve">. </w:t>
      </w:r>
      <w:r w:rsidRPr="009B52EC">
        <w:rPr>
          <w:rFonts w:cs="Arial" w:hint="cs"/>
          <w:color w:val="E36C0A" w:themeColor="accent6" w:themeShade="BF"/>
          <w:rtl/>
        </w:rPr>
        <w:t>(וכ"פ בשו"ע</w:t>
      </w:r>
      <w:r w:rsidR="000B7F47" w:rsidRPr="00F20C9C">
        <w:rPr>
          <w:rStyle w:val="a7"/>
          <w:rFonts w:cs="Arial"/>
          <w:color w:val="000000" w:themeColor="text1"/>
          <w:rtl/>
        </w:rPr>
        <w:footnoteReference w:id="1445"/>
      </w:r>
      <w:r>
        <w:rPr>
          <w:rFonts w:cs="Arial" w:hint="cs"/>
          <w:color w:val="000000" w:themeColor="text1"/>
          <w:sz w:val="16"/>
          <w:szCs w:val="16"/>
          <w:rtl/>
        </w:rPr>
        <w:t xml:space="preserve"> [חו"מ סי' קג ס"י]</w:t>
      </w:r>
      <w:r w:rsidRPr="009B52EC">
        <w:rPr>
          <w:rFonts w:cs="Arial" w:hint="cs"/>
          <w:color w:val="E36C0A" w:themeColor="accent6" w:themeShade="BF"/>
          <w:rtl/>
        </w:rPr>
        <w:t>)</w:t>
      </w:r>
    </w:p>
    <w:p w14:paraId="79CB7903"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203DE485" w14:textId="57EB9E44" w:rsidR="007A3469" w:rsidRDefault="007A3469" w:rsidP="007A3469">
      <w:pPr>
        <w:rPr>
          <w:rtl/>
        </w:rPr>
      </w:pPr>
      <w:r>
        <w:rPr>
          <w:rFonts w:cs="Arial"/>
          <w:rtl/>
        </w:rPr>
        <w:t xml:space="preserve">גבו לאשה קרקע מבעל חובה, ונשאת ומתה וירשה הבעל, אף על גב דשומא חוזרת לעולם, הכא אינה חוזרת דבעל כלוקח הוי, והוי כאלו מכרתו לאחר. וכן אם גבו ממנה לבעל חוב, ונשאת ומתה וירשה, אין מחזירין לו השומא. </w:t>
      </w:r>
    </w:p>
    <w:p w14:paraId="0523896C" w14:textId="77777777" w:rsidR="00DA1E36" w:rsidRDefault="00DA1E36" w:rsidP="007A3469">
      <w:pPr>
        <w:rPr>
          <w:rtl/>
        </w:rPr>
      </w:pPr>
    </w:p>
    <w:p w14:paraId="017489E1" w14:textId="3855E6A8" w:rsidR="007A3469" w:rsidRDefault="007A3469" w:rsidP="000F64D0">
      <w:pPr>
        <w:pStyle w:val="2"/>
        <w:rPr>
          <w:rtl/>
        </w:rPr>
      </w:pPr>
      <w:r>
        <w:rPr>
          <w:rtl/>
        </w:rPr>
        <w:t>סעיף ד</w:t>
      </w:r>
      <w:r w:rsidR="005D1457">
        <w:rPr>
          <w:rFonts w:hint="cs"/>
          <w:rtl/>
        </w:rPr>
        <w:t>:</w:t>
      </w:r>
      <w:r w:rsidR="00991E6B" w:rsidRPr="00991E6B">
        <w:rPr>
          <w:rFonts w:hint="cs"/>
          <w:rtl/>
        </w:rPr>
        <w:t xml:space="preserve"> אשה ש</w:t>
      </w:r>
      <w:r w:rsidR="00991E6B" w:rsidRPr="00991E6B">
        <w:rPr>
          <w:rtl/>
        </w:rPr>
        <w:t>היה עליה מלוה קודם שניסת</w:t>
      </w:r>
      <w:r w:rsidR="00991E6B" w:rsidRPr="00991E6B">
        <w:rPr>
          <w:rFonts w:hint="cs"/>
          <w:rtl/>
        </w:rPr>
        <w:t>,</w:t>
      </w:r>
      <w:r w:rsidR="00991E6B" w:rsidRPr="00991E6B">
        <w:rPr>
          <w:rtl/>
        </w:rPr>
        <w:t xml:space="preserve"> וניסת</w:t>
      </w:r>
      <w:r w:rsidR="00991E6B">
        <w:rPr>
          <w:rFonts w:hint="cs"/>
          <w:rtl/>
        </w:rPr>
        <w:t>.</w:t>
      </w:r>
    </w:p>
    <w:p w14:paraId="67393459" w14:textId="248FB517" w:rsidR="009C1A8E" w:rsidRPr="001D7706" w:rsidRDefault="008957C2" w:rsidP="001D7706">
      <w:pPr>
        <w:rPr>
          <w:rFonts w:cs="Arial"/>
          <w:rtl/>
        </w:rPr>
      </w:pPr>
      <w:r w:rsidRPr="008957C2">
        <w:rPr>
          <w:rFonts w:hint="cs"/>
          <w:b/>
          <w:bCs/>
          <w:rtl/>
        </w:rPr>
        <w:t xml:space="preserve">בבא בתרא </w:t>
      </w:r>
      <w:r w:rsidRPr="008957C2">
        <w:rPr>
          <w:rFonts w:hint="cs"/>
          <w:b/>
          <w:bCs/>
          <w:sz w:val="16"/>
          <w:szCs w:val="16"/>
          <w:rtl/>
        </w:rPr>
        <w:t>(ס"פ יש נוחלין)</w:t>
      </w:r>
      <w:r w:rsidRPr="008957C2">
        <w:rPr>
          <w:rFonts w:hint="cs"/>
          <w:b/>
          <w:bCs/>
          <w:rtl/>
        </w:rPr>
        <w:t xml:space="preserve"> קלט</w:t>
      </w:r>
      <w:r w:rsidR="00901ED7">
        <w:rPr>
          <w:rStyle w:val="a7"/>
          <w:b/>
          <w:bCs/>
          <w:rtl/>
        </w:rPr>
        <w:footnoteReference w:id="1446"/>
      </w:r>
      <w:r w:rsidRPr="008957C2">
        <w:rPr>
          <w:rFonts w:hint="cs"/>
          <w:b/>
          <w:bCs/>
          <w:rtl/>
        </w:rPr>
        <w:t xml:space="preserve"> ע"א:</w:t>
      </w:r>
      <w:r>
        <w:rPr>
          <w:rFonts w:hint="cs"/>
          <w:rtl/>
        </w:rPr>
        <w:t xml:space="preserve"> </w:t>
      </w:r>
      <w:r w:rsidR="00BB6026" w:rsidRPr="00434387">
        <w:rPr>
          <w:rFonts w:cs="Arial"/>
          <w:u w:val="double"/>
          <w:rtl/>
        </w:rPr>
        <w:t>מתני'</w:t>
      </w:r>
      <w:r w:rsidR="00BB6026">
        <w:rPr>
          <w:rFonts w:cs="Arial" w:hint="cs"/>
          <w:rtl/>
        </w:rPr>
        <w:t>:</w:t>
      </w:r>
      <w:r w:rsidR="00DC665E">
        <w:rPr>
          <w:rFonts w:cs="Arial" w:hint="cs"/>
          <w:rtl/>
        </w:rPr>
        <w:t>...</w:t>
      </w:r>
      <w:r w:rsidR="00BB6026" w:rsidRPr="00BB6026">
        <w:rPr>
          <w:rFonts w:cs="Arial"/>
          <w:rtl/>
        </w:rPr>
        <w:t xml:space="preserve"> הניח בנות גדולות וקטנות</w:t>
      </w:r>
      <w:r w:rsidR="004F175F" w:rsidRPr="00F20C9C">
        <w:rPr>
          <w:rStyle w:val="a7"/>
          <w:rFonts w:cs="Arial"/>
          <w:color w:val="000000" w:themeColor="text1"/>
          <w:rtl/>
        </w:rPr>
        <w:footnoteReference w:id="1447"/>
      </w:r>
      <w:r w:rsidR="004F175F">
        <w:rPr>
          <w:rFonts w:cs="Arial" w:hint="cs"/>
          <w:rtl/>
        </w:rPr>
        <w:t>..</w:t>
      </w:r>
      <w:r w:rsidR="00BB6026" w:rsidRPr="00BB6026">
        <w:rPr>
          <w:rFonts w:cs="Arial"/>
          <w:rtl/>
        </w:rPr>
        <w:t>. נשאו גדולות</w:t>
      </w:r>
      <w:r w:rsidR="00187118" w:rsidRPr="00F20C9C">
        <w:rPr>
          <w:rStyle w:val="a7"/>
          <w:rFonts w:cs="Arial"/>
          <w:color w:val="000000" w:themeColor="text1"/>
          <w:rtl/>
        </w:rPr>
        <w:footnoteReference w:id="1448"/>
      </w:r>
      <w:r w:rsidR="00BB6026" w:rsidRPr="00BB6026">
        <w:rPr>
          <w:rFonts w:cs="Arial"/>
          <w:rtl/>
        </w:rPr>
        <w:t xml:space="preserve"> - ישאו קטנות</w:t>
      </w:r>
      <w:r w:rsidR="00187118" w:rsidRPr="00F20C9C">
        <w:rPr>
          <w:rStyle w:val="a7"/>
          <w:rFonts w:cs="Arial"/>
          <w:color w:val="000000" w:themeColor="text1"/>
          <w:rtl/>
        </w:rPr>
        <w:footnoteReference w:id="1449"/>
      </w:r>
      <w:r w:rsidR="00BB6026" w:rsidRPr="00BB6026">
        <w:rPr>
          <w:rFonts w:cs="Arial"/>
          <w:rtl/>
        </w:rPr>
        <w:t>, ואם</w:t>
      </w:r>
      <w:r w:rsidR="00187118" w:rsidRPr="00F20C9C">
        <w:rPr>
          <w:rStyle w:val="a7"/>
          <w:rFonts w:cs="Arial"/>
          <w:color w:val="000000" w:themeColor="text1"/>
          <w:rtl/>
        </w:rPr>
        <w:footnoteReference w:id="1450"/>
      </w:r>
      <w:r w:rsidR="00BB6026" w:rsidRPr="00BB6026">
        <w:rPr>
          <w:rFonts w:cs="Arial"/>
          <w:rtl/>
        </w:rPr>
        <w:t xml:space="preserve"> אמרו קטנות: הרי אנו נושאות כדרך שנשאתם אתם - אין שומעין להן</w:t>
      </w:r>
      <w:r w:rsidR="00187118" w:rsidRPr="00F20C9C">
        <w:rPr>
          <w:rStyle w:val="a7"/>
          <w:rFonts w:cs="Arial"/>
          <w:color w:val="000000" w:themeColor="text1"/>
          <w:rtl/>
        </w:rPr>
        <w:footnoteReference w:id="1451"/>
      </w:r>
      <w:r w:rsidR="00BB6026" w:rsidRPr="00BB6026">
        <w:rPr>
          <w:rFonts w:cs="Arial"/>
          <w:rtl/>
        </w:rPr>
        <w:t>.</w:t>
      </w:r>
      <w:r w:rsidR="001D7706">
        <w:rPr>
          <w:rFonts w:cs="Arial" w:hint="cs"/>
          <w:rtl/>
        </w:rPr>
        <w:t xml:space="preserve">..       </w:t>
      </w:r>
      <w:r w:rsidR="001D7706" w:rsidRPr="001D7706">
        <w:rPr>
          <w:rFonts w:cs="Arial" w:hint="cs"/>
          <w:u w:val="double"/>
          <w:rtl/>
        </w:rPr>
        <w:t>גמ'</w:t>
      </w:r>
      <w:r w:rsidR="001D7706">
        <w:rPr>
          <w:rFonts w:cs="Arial" w:hint="cs"/>
          <w:rtl/>
        </w:rPr>
        <w:t>:</w:t>
      </w:r>
      <w:r w:rsidR="00BB6026" w:rsidRPr="00BB6026">
        <w:rPr>
          <w:rFonts w:cs="Arial"/>
          <w:rtl/>
        </w:rPr>
        <w:t xml:space="preserve"> </w:t>
      </w:r>
      <w:r w:rsidRPr="00BB6026">
        <w:rPr>
          <w:rFonts w:cs="Arial"/>
          <w:u w:val="single"/>
          <w:rtl/>
        </w:rPr>
        <w:t>שלח ליה אבוה בר גניבא לרבא</w:t>
      </w:r>
      <w:r w:rsidR="00BB6026">
        <w:rPr>
          <w:rFonts w:cs="Arial" w:hint="cs"/>
          <w:rtl/>
        </w:rPr>
        <w:t>:</w:t>
      </w:r>
      <w:r w:rsidRPr="008957C2">
        <w:rPr>
          <w:rFonts w:cs="Arial"/>
          <w:rtl/>
        </w:rPr>
        <w:t xml:space="preserve"> </w:t>
      </w:r>
      <w:r w:rsidRPr="008957C2">
        <w:rPr>
          <w:rFonts w:cs="Arial"/>
          <w:rtl/>
        </w:rPr>
        <w:lastRenderedPageBreak/>
        <w:t>ילמדנו רבינו</w:t>
      </w:r>
      <w:r w:rsidR="00BB6026">
        <w:rPr>
          <w:rFonts w:cs="Arial" w:hint="cs"/>
          <w:rtl/>
        </w:rPr>
        <w:t>,</w:t>
      </w:r>
      <w:r w:rsidRPr="008957C2">
        <w:rPr>
          <w:rFonts w:cs="Arial"/>
          <w:rtl/>
        </w:rPr>
        <w:t xml:space="preserve"> לוותה ואכלה</w:t>
      </w:r>
      <w:r w:rsidR="00BB6026">
        <w:rPr>
          <w:rFonts w:cs="Arial" w:hint="cs"/>
          <w:rtl/>
        </w:rPr>
        <w:t>,</w:t>
      </w:r>
      <w:r w:rsidRPr="008957C2">
        <w:rPr>
          <w:rFonts w:cs="Arial"/>
          <w:rtl/>
        </w:rPr>
        <w:t xml:space="preserve"> ועמדה ונשאת, בעל לוקח הוי או יורש הוי? לוקח הוי, ומלוה על פה אינו גובה מן הלקוחות, או דלמא יורש הוי, ומלוה על פה גובה מן היורשין? </w:t>
      </w:r>
      <w:r w:rsidRPr="00BB6026">
        <w:rPr>
          <w:rFonts w:cs="Arial"/>
          <w:u w:val="single"/>
          <w:rtl/>
        </w:rPr>
        <w:t>אמר ליה</w:t>
      </w:r>
      <w:r w:rsidR="00BB6026">
        <w:rPr>
          <w:rFonts w:cs="Arial" w:hint="cs"/>
          <w:rtl/>
        </w:rPr>
        <w:t>:</w:t>
      </w:r>
      <w:r w:rsidRPr="008957C2">
        <w:rPr>
          <w:rFonts w:cs="Arial"/>
          <w:rtl/>
        </w:rPr>
        <w:t xml:space="preserve"> תנינא</w:t>
      </w:r>
      <w:r w:rsidR="00BB6026">
        <w:rPr>
          <w:rFonts w:cs="Arial" w:hint="cs"/>
          <w:rtl/>
        </w:rPr>
        <w:t>,</w:t>
      </w:r>
      <w:r w:rsidRPr="008957C2">
        <w:rPr>
          <w:rFonts w:cs="Arial"/>
          <w:rtl/>
        </w:rPr>
        <w:t xml:space="preserve"> נשאו גדולות - ישאו קטנות</w:t>
      </w:r>
      <w:r w:rsidR="00BB6026">
        <w:rPr>
          <w:rFonts w:cs="Arial" w:hint="cs"/>
          <w:rtl/>
        </w:rPr>
        <w:t>.</w:t>
      </w:r>
      <w:r w:rsidRPr="008957C2">
        <w:rPr>
          <w:rFonts w:cs="Arial"/>
          <w:rtl/>
        </w:rPr>
        <w:t xml:space="preserve"> מאי לאו נשאו גדולות לבעל - ישאו קטנות מבעל</w:t>
      </w:r>
      <w:r w:rsidR="00187118" w:rsidRPr="00F20C9C">
        <w:rPr>
          <w:rStyle w:val="a7"/>
          <w:rFonts w:cs="Arial"/>
          <w:color w:val="000000" w:themeColor="text1"/>
          <w:rtl/>
        </w:rPr>
        <w:footnoteReference w:id="1452"/>
      </w:r>
      <w:r w:rsidRPr="008957C2">
        <w:rPr>
          <w:rFonts w:cs="Arial"/>
          <w:rtl/>
        </w:rPr>
        <w:t>! לא, נשאו גדולות לבעל - ישאו קטנות לבעל</w:t>
      </w:r>
      <w:r w:rsidR="00187118" w:rsidRPr="00F20C9C">
        <w:rPr>
          <w:rStyle w:val="a7"/>
          <w:rFonts w:cs="Arial"/>
          <w:color w:val="000000" w:themeColor="text1"/>
          <w:rtl/>
        </w:rPr>
        <w:footnoteReference w:id="1453"/>
      </w:r>
      <w:r w:rsidRPr="008957C2">
        <w:rPr>
          <w:rFonts w:cs="Arial"/>
          <w:rtl/>
        </w:rPr>
        <w:t xml:space="preserve">. איני? והא תני ר' חייא: נשאו גדולות לבעל - ישאו קטנות מבעל! דלמא שאני פרנסה, דאית לה קלא. </w:t>
      </w:r>
      <w:r w:rsidRPr="00187118">
        <w:rPr>
          <w:rFonts w:cs="Arial"/>
          <w:u w:val="single"/>
          <w:rtl/>
        </w:rPr>
        <w:t>א"ל רב פפא לרבא</w:t>
      </w:r>
      <w:r w:rsidR="001D7706">
        <w:rPr>
          <w:rFonts w:cs="Arial" w:hint="cs"/>
          <w:rtl/>
        </w:rPr>
        <w:t>:</w:t>
      </w:r>
      <w:r w:rsidRPr="008957C2">
        <w:rPr>
          <w:rFonts w:cs="Arial"/>
          <w:rtl/>
        </w:rPr>
        <w:t xml:space="preserve"> לאו היינו דשלח רבין באגרתיה: מי שמת והניח אלמנה ובת - אלמנתו נזונת מנכסיו, נשאת הבת - אלמנתו נזונת מנכסיו</w:t>
      </w:r>
      <w:r w:rsidR="004F175F">
        <w:rPr>
          <w:rFonts w:cs="Arial" w:hint="cs"/>
          <w:rtl/>
        </w:rPr>
        <w:t>.</w:t>
      </w:r>
      <w:r w:rsidRPr="008957C2">
        <w:rPr>
          <w:rFonts w:cs="Arial"/>
          <w:rtl/>
        </w:rPr>
        <w:t xml:space="preserve"> מתה הבת - אמר רב יהודה בן אחותו של ר' יוסי ברבי חנינא, ע"י היה מעשה ואמרו: אלמנתו נזונת מנכסיו</w:t>
      </w:r>
      <w:r w:rsidR="00DC665E">
        <w:rPr>
          <w:rFonts w:cs="Arial" w:hint="cs"/>
          <w:rtl/>
        </w:rPr>
        <w:t>.</w:t>
      </w:r>
      <w:r w:rsidRPr="008957C2">
        <w:rPr>
          <w:rFonts w:cs="Arial"/>
          <w:rtl/>
        </w:rPr>
        <w:t xml:space="preserve"> אי אמרת בשלמא יורש הוי, משום הכי אלמנתו נזונת מנכסיו, אלא אי אמרת לוקח הוי, אמאי נזונת מנכסיו? </w:t>
      </w:r>
      <w:r w:rsidRPr="00187118">
        <w:rPr>
          <w:rFonts w:cs="Arial"/>
          <w:u w:val="single"/>
          <w:rtl/>
        </w:rPr>
        <w:t>אמר אביי</w:t>
      </w:r>
      <w:r w:rsidRPr="008957C2">
        <w:rPr>
          <w:rFonts w:cs="Arial"/>
          <w:rtl/>
        </w:rPr>
        <w:t>: אי לאו דשלח רבין, אנן לא ידעינן? והא תנן, אלו הן שאין חוזרין ביובל: הבכורה,</w:t>
      </w:r>
      <w:r w:rsidR="00991E6B" w:rsidRPr="00991E6B">
        <w:rPr>
          <w:rtl/>
        </w:rPr>
        <w:t xml:space="preserve"> </w:t>
      </w:r>
      <w:r w:rsidR="00991E6B">
        <w:rPr>
          <w:rFonts w:hint="cs"/>
          <w:sz w:val="14"/>
          <w:szCs w:val="14"/>
          <w:rtl/>
        </w:rPr>
        <w:t xml:space="preserve">(קלט:) </w:t>
      </w:r>
      <w:r w:rsidR="00991E6B" w:rsidRPr="00991E6B">
        <w:rPr>
          <w:rFonts w:cs="Arial"/>
          <w:rtl/>
        </w:rPr>
        <w:t xml:space="preserve">והיורש את אשתו! </w:t>
      </w:r>
      <w:r w:rsidR="00991E6B" w:rsidRPr="00187118">
        <w:rPr>
          <w:rFonts w:cs="Arial"/>
          <w:u w:val="single"/>
          <w:rtl/>
        </w:rPr>
        <w:t>אמר ליה רבא</w:t>
      </w:r>
      <w:r w:rsidR="00991E6B" w:rsidRPr="00991E6B">
        <w:rPr>
          <w:rFonts w:cs="Arial"/>
          <w:rtl/>
        </w:rPr>
        <w:t xml:space="preserve">: והשתא דשלח מי ידעינן? האמר ר' יוסי בר' חנינא: באושא התקינו, האשה שמכרה נכסי מלוג בחיי בעלה ומתה - הבעל מוציא מיד הלקוחות! </w:t>
      </w:r>
      <w:r w:rsidR="00991E6B" w:rsidRPr="00187118">
        <w:rPr>
          <w:rFonts w:cs="Arial"/>
          <w:u w:val="single"/>
          <w:rtl/>
        </w:rPr>
        <w:t>אלא אמר רב אשי</w:t>
      </w:r>
      <w:r w:rsidR="00991E6B" w:rsidRPr="00991E6B">
        <w:rPr>
          <w:rFonts w:cs="Arial"/>
          <w:rtl/>
        </w:rPr>
        <w:t>: בעל - שויוהו רבנן כיורש ושויוהו רבנן כלוקח, והיכא דטבא ליה עבדו ליה, גבי יובל - שויוהו רבנן כיורש משום פסידא דידיה, גבי דר' יוסי בר' חנינא - שויוהו רבנן כלוקח משום פסידא דידיה, גבי דרבין - משום פסידא דאלמנה שויוהו רבנן כיורש. והא גבי דר' יוסי בר' חנינא דאיכא פסידא ללקוחות, ושויוהו רבנן כלוקח! התם אינהו אפסידו אנפשייהו, כיון דאיכא בעל, לא איבעי להו למיזבן מאיתתא דיתבא תותי גברא.</w:t>
      </w:r>
      <w:r w:rsidR="00645CD0" w:rsidRPr="00645CD0">
        <w:rPr>
          <w:rtl/>
        </w:rPr>
        <w:t xml:space="preserve"> </w:t>
      </w:r>
      <w:r w:rsidR="00645CD0" w:rsidRPr="00645CD0">
        <w:rPr>
          <w:rFonts w:cs="Arial" w:hint="cs"/>
          <w:sz w:val="16"/>
          <w:szCs w:val="16"/>
          <w:rtl/>
        </w:rPr>
        <w:t>(</w:t>
      </w:r>
      <w:r w:rsidR="00645CD0" w:rsidRPr="00645CD0">
        <w:rPr>
          <w:rFonts w:cs="Arial"/>
          <w:sz w:val="16"/>
          <w:szCs w:val="16"/>
          <w:rtl/>
        </w:rPr>
        <w:t>ולא איפשיטא בעיין</w:t>
      </w:r>
      <w:r w:rsidR="00A74279">
        <w:rPr>
          <w:rFonts w:cs="Arial" w:hint="cs"/>
          <w:sz w:val="16"/>
          <w:szCs w:val="16"/>
          <w:rtl/>
        </w:rPr>
        <w:t>,</w:t>
      </w:r>
      <w:r w:rsidR="00645CD0" w:rsidRPr="00645CD0">
        <w:rPr>
          <w:rFonts w:cs="Arial"/>
          <w:sz w:val="16"/>
          <w:szCs w:val="16"/>
          <w:rtl/>
        </w:rPr>
        <w:t xml:space="preserve"> הלכך מלוה על פה לא גבי מיניה דבעל ואיהו אפסיד אנפשיה דלא איבעי ליה לאוזפי בלא שטרא</w:t>
      </w:r>
      <w:r w:rsidR="00645CD0">
        <w:rPr>
          <w:rFonts w:cs="Arial" w:hint="cs"/>
          <w:sz w:val="16"/>
          <w:szCs w:val="16"/>
          <w:rtl/>
        </w:rPr>
        <w:t>, רי"ף (סה.). והעתיק הרא"ש (פ"ח סי' נו) את לשונו. אך הרשב"ם והר"ח פירשו אחרת כדלקמן)</w:t>
      </w:r>
    </w:p>
    <w:p w14:paraId="3CAC72D3" w14:textId="7E3A5C51" w:rsidR="00614510" w:rsidRPr="00991E6B" w:rsidRDefault="00614510" w:rsidP="00614510">
      <w:pPr>
        <w:rPr>
          <w:u w:val="single"/>
          <w:rtl/>
        </w:rPr>
      </w:pPr>
      <w:r w:rsidRPr="00991E6B">
        <w:rPr>
          <w:rFonts w:cs="Arial" w:hint="cs"/>
          <w:u w:val="single"/>
          <w:rtl/>
        </w:rPr>
        <w:t>אשה ש</w:t>
      </w:r>
      <w:r w:rsidRPr="00991E6B">
        <w:rPr>
          <w:rFonts w:cs="Arial"/>
          <w:u w:val="single"/>
          <w:rtl/>
        </w:rPr>
        <w:t>היה עליה מלוה קודם שנ</w:t>
      </w:r>
      <w:r w:rsidR="00F64B58">
        <w:rPr>
          <w:rFonts w:cs="Arial" w:hint="cs"/>
          <w:u w:val="single"/>
          <w:rtl/>
        </w:rPr>
        <w:t>שא</w:t>
      </w:r>
      <w:r w:rsidRPr="00991E6B">
        <w:rPr>
          <w:rFonts w:cs="Arial"/>
          <w:u w:val="single"/>
          <w:rtl/>
        </w:rPr>
        <w:t>ת</w:t>
      </w:r>
      <w:r w:rsidRPr="00991E6B">
        <w:rPr>
          <w:rFonts w:cs="Arial" w:hint="cs"/>
          <w:u w:val="single"/>
          <w:rtl/>
        </w:rPr>
        <w:t>,</w:t>
      </w:r>
      <w:r w:rsidRPr="00991E6B">
        <w:rPr>
          <w:rFonts w:cs="Arial"/>
          <w:u w:val="single"/>
          <w:rtl/>
        </w:rPr>
        <w:t xml:space="preserve"> ונ</w:t>
      </w:r>
      <w:r w:rsidR="00F64B58">
        <w:rPr>
          <w:rFonts w:cs="Arial" w:hint="cs"/>
          <w:u w:val="single"/>
          <w:rtl/>
        </w:rPr>
        <w:t>שא</w:t>
      </w:r>
      <w:r w:rsidRPr="00991E6B">
        <w:rPr>
          <w:rFonts w:cs="Arial"/>
          <w:u w:val="single"/>
          <w:rtl/>
        </w:rPr>
        <w:t>ת</w:t>
      </w:r>
      <w:r w:rsidRPr="00991E6B">
        <w:rPr>
          <w:rFonts w:cs="Arial" w:hint="cs"/>
          <w:u w:val="single"/>
          <w:rtl/>
        </w:rPr>
        <w:t xml:space="preserve"> </w:t>
      </w:r>
      <w:r w:rsidR="00F97626">
        <w:rPr>
          <w:rFonts w:cs="Arial"/>
          <w:u w:val="single"/>
          <w:rtl/>
        </w:rPr>
        <w:t>-</w:t>
      </w:r>
      <w:r w:rsidRPr="00991E6B">
        <w:rPr>
          <w:rFonts w:cs="Arial" w:hint="cs"/>
          <w:u w:val="single"/>
          <w:rtl/>
        </w:rPr>
        <w:t xml:space="preserve"> האם המלוה גובה מהבעל:</w:t>
      </w:r>
    </w:p>
    <w:p w14:paraId="3EBDE809" w14:textId="7EDA5AA7" w:rsidR="00614510" w:rsidRPr="00557079" w:rsidRDefault="00614510" w:rsidP="009000E3">
      <w:pPr>
        <w:pStyle w:val="ab"/>
        <w:numPr>
          <w:ilvl w:val="0"/>
          <w:numId w:val="55"/>
        </w:numPr>
      </w:pPr>
      <w:r>
        <w:rPr>
          <w:rFonts w:cs="Arial" w:hint="cs"/>
          <w:rtl/>
        </w:rPr>
        <w:t xml:space="preserve">רי"ף </w:t>
      </w:r>
      <w:r w:rsidR="00220A7D">
        <w:rPr>
          <w:rFonts w:cs="Arial" w:hint="cs"/>
          <w:sz w:val="16"/>
          <w:szCs w:val="16"/>
          <w:rtl/>
        </w:rPr>
        <w:t xml:space="preserve">(סה.) </w:t>
      </w:r>
      <w:r w:rsidR="00220A7D">
        <w:rPr>
          <w:rFonts w:cs="Arial" w:hint="cs"/>
          <w:rtl/>
        </w:rPr>
        <w:t xml:space="preserve">רמב"ם </w:t>
      </w:r>
      <w:r w:rsidR="00220A7D">
        <w:rPr>
          <w:rFonts w:cs="Arial" w:hint="cs"/>
          <w:sz w:val="16"/>
          <w:szCs w:val="16"/>
          <w:rtl/>
        </w:rPr>
        <w:t xml:space="preserve">(ספכ"ו מהל' מלוה) </w:t>
      </w:r>
      <w:r>
        <w:rPr>
          <w:rFonts w:cs="Arial" w:hint="cs"/>
          <w:rtl/>
        </w:rPr>
        <w:t xml:space="preserve">רמ"ה </w:t>
      </w:r>
      <w:r w:rsidR="00220A7D">
        <w:rPr>
          <w:rFonts w:cs="Arial" w:hint="cs"/>
          <w:sz w:val="16"/>
          <w:szCs w:val="16"/>
          <w:rtl/>
        </w:rPr>
        <w:t xml:space="preserve">(כ"כ הטור בשמו) </w:t>
      </w:r>
      <w:r w:rsidR="00A451D1">
        <w:rPr>
          <w:rFonts w:cs="Arial" w:hint="cs"/>
          <w:rtl/>
        </w:rPr>
        <w:t xml:space="preserve">מרדכי </w:t>
      </w:r>
      <w:r w:rsidR="00A451D1">
        <w:rPr>
          <w:rFonts w:cs="Arial" w:hint="cs"/>
          <w:sz w:val="16"/>
          <w:szCs w:val="16"/>
          <w:rtl/>
        </w:rPr>
        <w:t xml:space="preserve">(ב"ב סי' תקצח) </w:t>
      </w:r>
      <w:r>
        <w:rPr>
          <w:rFonts w:cs="Arial" w:hint="cs"/>
          <w:rtl/>
        </w:rPr>
        <w:t xml:space="preserve">רא"ש </w:t>
      </w:r>
      <w:r>
        <w:rPr>
          <w:rFonts w:cs="Arial" w:hint="cs"/>
          <w:sz w:val="16"/>
          <w:szCs w:val="16"/>
          <w:rtl/>
        </w:rPr>
        <w:t>(</w:t>
      </w:r>
      <w:r w:rsidR="00942B49">
        <w:rPr>
          <w:rFonts w:cs="Arial" w:hint="cs"/>
          <w:sz w:val="16"/>
          <w:szCs w:val="16"/>
          <w:rtl/>
        </w:rPr>
        <w:t>פ"ח סי' נו</w:t>
      </w:r>
      <w:r>
        <w:rPr>
          <w:rFonts w:cs="Arial" w:hint="cs"/>
          <w:sz w:val="16"/>
          <w:szCs w:val="16"/>
          <w:rtl/>
        </w:rPr>
        <w:t xml:space="preserve">) </w:t>
      </w:r>
      <w:r>
        <w:rPr>
          <w:rFonts w:cs="Arial" w:hint="cs"/>
          <w:rtl/>
        </w:rPr>
        <w:t xml:space="preserve">וטור- </w:t>
      </w:r>
      <w:r w:rsidRPr="00F31ACB">
        <w:rPr>
          <w:rFonts w:cs="Arial"/>
          <w:rtl/>
        </w:rPr>
        <w:t>היה עליה מלוה ע"פ קודם שניסת</w:t>
      </w:r>
      <w:r>
        <w:rPr>
          <w:rFonts w:cs="Arial" w:hint="cs"/>
          <w:rtl/>
        </w:rPr>
        <w:t>,</w:t>
      </w:r>
      <w:r w:rsidRPr="00F31ACB">
        <w:rPr>
          <w:rFonts w:cs="Arial"/>
          <w:rtl/>
        </w:rPr>
        <w:t xml:space="preserve"> וניסת </w:t>
      </w:r>
      <w:r>
        <w:rPr>
          <w:rFonts w:cs="Arial" w:hint="cs"/>
          <w:rtl/>
        </w:rPr>
        <w:t xml:space="preserve">- </w:t>
      </w:r>
      <w:r w:rsidRPr="00F31ACB">
        <w:rPr>
          <w:rFonts w:cs="Arial"/>
          <w:rtl/>
        </w:rPr>
        <w:t>אינה נגבית מן הבעל</w:t>
      </w:r>
      <w:r>
        <w:rPr>
          <w:rFonts w:cs="Arial" w:hint="cs"/>
          <w:rtl/>
        </w:rPr>
        <w:t>,</w:t>
      </w:r>
      <w:r w:rsidRPr="00F31ACB">
        <w:rPr>
          <w:rFonts w:cs="Arial"/>
          <w:rtl/>
        </w:rPr>
        <w:t xml:space="preserve"> דמלוה ע"פ אינו גובה מן הלקוחות</w:t>
      </w:r>
      <w:r>
        <w:rPr>
          <w:rFonts w:cs="Arial" w:hint="cs"/>
          <w:rtl/>
        </w:rPr>
        <w:t>.</w:t>
      </w:r>
      <w:r w:rsidRPr="00F31ACB">
        <w:rPr>
          <w:rFonts w:cs="Arial"/>
          <w:rtl/>
        </w:rPr>
        <w:t xml:space="preserve"> היה עליה מלוה בשטר </w:t>
      </w:r>
      <w:r>
        <w:rPr>
          <w:rFonts w:cs="Arial" w:hint="cs"/>
          <w:rtl/>
        </w:rPr>
        <w:t xml:space="preserve">- </w:t>
      </w:r>
      <w:r w:rsidRPr="00F31ACB">
        <w:rPr>
          <w:rFonts w:cs="Arial"/>
          <w:rtl/>
        </w:rPr>
        <w:t>גובה ממנו</w:t>
      </w:r>
      <w:r w:rsidR="00F64B58">
        <w:rPr>
          <w:rStyle w:val="a7"/>
          <w:rFonts w:cs="Arial"/>
          <w:rtl/>
        </w:rPr>
        <w:footnoteReference w:id="1454"/>
      </w:r>
      <w:r w:rsidR="00942B49">
        <w:rPr>
          <w:rFonts w:cs="Arial" w:hint="cs"/>
          <w:sz w:val="16"/>
          <w:szCs w:val="16"/>
          <w:rtl/>
        </w:rPr>
        <w:t xml:space="preserve"> (ל' הטור)</w:t>
      </w:r>
      <w:r>
        <w:rPr>
          <w:rFonts w:cs="Arial" w:hint="cs"/>
          <w:rtl/>
        </w:rPr>
        <w:t>.</w:t>
      </w:r>
      <w:r w:rsidRPr="00F31ACB">
        <w:rPr>
          <w:rFonts w:cs="Arial"/>
          <w:rtl/>
        </w:rPr>
        <w:t xml:space="preserve"> </w:t>
      </w:r>
      <w:r w:rsidR="00710A89" w:rsidRPr="009B52EC">
        <w:rPr>
          <w:rFonts w:cs="Arial" w:hint="cs"/>
          <w:color w:val="E36C0A" w:themeColor="accent6" w:themeShade="BF"/>
          <w:rtl/>
        </w:rPr>
        <w:t>(וכ"פ בשו"ע)</w:t>
      </w:r>
      <w:r w:rsidR="00710A89" w:rsidRPr="00234CC7">
        <w:rPr>
          <w:rFonts w:cs="Arial" w:hint="cs"/>
          <w:color w:val="00B0F0"/>
          <w:rtl/>
        </w:rPr>
        <w:t xml:space="preserve"> </w:t>
      </w:r>
    </w:p>
    <w:p w14:paraId="446A7B05" w14:textId="0936D686" w:rsidR="00CA03CB" w:rsidRPr="00CA03CB" w:rsidRDefault="00614510" w:rsidP="009000E3">
      <w:pPr>
        <w:pStyle w:val="ab"/>
        <w:numPr>
          <w:ilvl w:val="0"/>
          <w:numId w:val="55"/>
        </w:numPr>
      </w:pPr>
      <w:r>
        <w:rPr>
          <w:rFonts w:cs="Arial" w:hint="cs"/>
          <w:rtl/>
        </w:rPr>
        <w:t xml:space="preserve">ר"ח </w:t>
      </w:r>
      <w:r w:rsidR="00CC0072">
        <w:rPr>
          <w:rFonts w:cs="Arial" w:hint="cs"/>
          <w:sz w:val="16"/>
          <w:szCs w:val="16"/>
          <w:rtl/>
        </w:rPr>
        <w:t>(כ"כ הרשב"ם בשמו)</w:t>
      </w:r>
      <w:r w:rsidR="00CA03CB">
        <w:rPr>
          <w:rFonts w:cs="Arial" w:hint="cs"/>
          <w:rtl/>
        </w:rPr>
        <w:t xml:space="preserve"> </w:t>
      </w:r>
      <w:r>
        <w:rPr>
          <w:rFonts w:cs="Arial" w:hint="cs"/>
          <w:rtl/>
        </w:rPr>
        <w:t>ו</w:t>
      </w:r>
      <w:r w:rsidRPr="00F31ACB">
        <w:rPr>
          <w:rFonts w:cs="Arial"/>
          <w:rtl/>
        </w:rPr>
        <w:t>רשב"ם</w:t>
      </w:r>
      <w:r w:rsidR="00CC0072" w:rsidRPr="00F20C9C">
        <w:rPr>
          <w:rStyle w:val="a7"/>
          <w:rFonts w:cs="Arial"/>
          <w:color w:val="000000" w:themeColor="text1"/>
          <w:rtl/>
        </w:rPr>
        <w:footnoteReference w:id="1455"/>
      </w:r>
      <w:r w:rsidR="00CC0072">
        <w:rPr>
          <w:rFonts w:cs="Arial" w:hint="cs"/>
          <w:sz w:val="16"/>
          <w:szCs w:val="16"/>
          <w:rtl/>
        </w:rPr>
        <w:t xml:space="preserve"> (קלט: ד"ה דיתבא)</w:t>
      </w:r>
      <w:r>
        <w:rPr>
          <w:rFonts w:cs="Arial" w:hint="cs"/>
          <w:rtl/>
        </w:rPr>
        <w:t>-</w:t>
      </w:r>
      <w:r w:rsidRPr="00F31ACB">
        <w:rPr>
          <w:rFonts w:cs="Arial"/>
          <w:rtl/>
        </w:rPr>
        <w:t xml:space="preserve"> אף מלוה ע"פ גובה ממנו</w:t>
      </w:r>
      <w:r w:rsidR="00942B49">
        <w:rPr>
          <w:rFonts w:cs="Arial" w:hint="cs"/>
          <w:sz w:val="16"/>
          <w:szCs w:val="16"/>
          <w:rtl/>
        </w:rPr>
        <w:t xml:space="preserve"> (ל' הטור בשמם)</w:t>
      </w:r>
      <w:r>
        <w:rPr>
          <w:rFonts w:cs="Arial" w:hint="cs"/>
          <w:rtl/>
        </w:rPr>
        <w:t>.</w:t>
      </w:r>
      <w:r w:rsidRPr="00F31ACB">
        <w:rPr>
          <w:rFonts w:cs="Arial"/>
          <w:rtl/>
        </w:rPr>
        <w:t xml:space="preserve"> </w:t>
      </w:r>
    </w:p>
    <w:p w14:paraId="0DCE7FDA" w14:textId="52677C82" w:rsidR="00CA03CB" w:rsidRPr="00CA03CB" w:rsidRDefault="00A451D1" w:rsidP="00CA03CB">
      <w:pPr>
        <w:ind w:left="360"/>
        <w:rPr>
          <w:u w:val="dotted"/>
        </w:rPr>
      </w:pPr>
      <w:r>
        <w:rPr>
          <w:rFonts w:hint="cs"/>
          <w:u w:val="dotted"/>
          <w:rtl/>
        </w:rPr>
        <w:t xml:space="preserve">לרי"ף וסיעתו - </w:t>
      </w:r>
      <w:r w:rsidR="00CA03CB" w:rsidRPr="00CA03CB">
        <w:rPr>
          <w:rFonts w:hint="cs"/>
          <w:u w:val="dotted"/>
          <w:rtl/>
        </w:rPr>
        <w:t>מה הדין אם המעות בעין:</w:t>
      </w:r>
    </w:p>
    <w:p w14:paraId="7C4A8887" w14:textId="5769B58D" w:rsidR="00CA03CB" w:rsidRPr="00CA03CB" w:rsidRDefault="00991E6B" w:rsidP="009000E3">
      <w:pPr>
        <w:pStyle w:val="ab"/>
        <w:numPr>
          <w:ilvl w:val="0"/>
          <w:numId w:val="55"/>
        </w:numPr>
      </w:pPr>
      <w:r w:rsidRPr="00CA03CB">
        <w:rPr>
          <w:rFonts w:cs="Arial"/>
          <w:rtl/>
        </w:rPr>
        <w:t>נמוק</w:t>
      </w:r>
      <w:r w:rsidR="00CA03CB" w:rsidRPr="00CA03CB">
        <w:rPr>
          <w:rFonts w:cs="Arial" w:hint="cs"/>
          <w:rtl/>
        </w:rPr>
        <w:t>"</w:t>
      </w:r>
      <w:r w:rsidRPr="00CA03CB">
        <w:rPr>
          <w:rFonts w:cs="Arial"/>
          <w:rtl/>
        </w:rPr>
        <w:t xml:space="preserve">י </w:t>
      </w:r>
      <w:r w:rsidRPr="00CA03CB">
        <w:rPr>
          <w:rFonts w:cs="Arial"/>
          <w:sz w:val="16"/>
          <w:szCs w:val="16"/>
          <w:rtl/>
        </w:rPr>
        <w:t>(סה. דיבור ראשון)</w:t>
      </w:r>
      <w:r w:rsidR="00CA03CB">
        <w:rPr>
          <w:rFonts w:cs="Arial" w:hint="cs"/>
          <w:rtl/>
        </w:rPr>
        <w:t xml:space="preserve">- </w:t>
      </w:r>
      <w:r w:rsidRPr="00CA03CB">
        <w:rPr>
          <w:rFonts w:cs="Arial"/>
          <w:rtl/>
        </w:rPr>
        <w:t>אפילו המעות בעין איבעיא לן</w:t>
      </w:r>
      <w:r w:rsidR="00901ED7">
        <w:rPr>
          <w:rFonts w:cs="Arial" w:hint="cs"/>
          <w:rtl/>
        </w:rPr>
        <w:t>,</w:t>
      </w:r>
      <w:r w:rsidRPr="00CA03CB">
        <w:rPr>
          <w:rFonts w:cs="Arial"/>
          <w:rtl/>
        </w:rPr>
        <w:t xml:space="preserve"> משום דמלוה להוצאה ניתנה</w:t>
      </w:r>
      <w:r w:rsidR="00CA03CB">
        <w:rPr>
          <w:rFonts w:cs="Arial" w:hint="cs"/>
          <w:rtl/>
        </w:rPr>
        <w:t>.</w:t>
      </w:r>
      <w:r w:rsidRPr="00CA03CB">
        <w:rPr>
          <w:rFonts w:cs="Arial"/>
          <w:rtl/>
        </w:rPr>
        <w:t xml:space="preserve"> </w:t>
      </w:r>
    </w:p>
    <w:p w14:paraId="0ADFC4E1" w14:textId="3BFE4451" w:rsidR="00614510" w:rsidRDefault="00220A7D" w:rsidP="009000E3">
      <w:pPr>
        <w:pStyle w:val="ab"/>
        <w:numPr>
          <w:ilvl w:val="0"/>
          <w:numId w:val="55"/>
        </w:numPr>
      </w:pPr>
      <w:r>
        <w:rPr>
          <w:rFonts w:cs="Arial" w:hint="cs"/>
          <w:rtl/>
        </w:rPr>
        <w:t xml:space="preserve">רמב"ם </w:t>
      </w:r>
      <w:r>
        <w:rPr>
          <w:rFonts w:cs="Arial" w:hint="cs"/>
          <w:sz w:val="16"/>
          <w:szCs w:val="16"/>
          <w:rtl/>
        </w:rPr>
        <w:t>(ספכ"ו מהל' מלוה)</w:t>
      </w:r>
      <w:r>
        <w:rPr>
          <w:rFonts w:cs="Arial" w:hint="cs"/>
          <w:rtl/>
        </w:rPr>
        <w:t xml:space="preserve"> </w:t>
      </w:r>
      <w:r w:rsidR="00A451D1" w:rsidRPr="00EB3C2B">
        <w:rPr>
          <w:rFonts w:cs="Arial"/>
          <w:rtl/>
        </w:rPr>
        <w:t xml:space="preserve">מרדכי </w:t>
      </w:r>
      <w:r w:rsidR="00A451D1" w:rsidRPr="00A451D1">
        <w:rPr>
          <w:rFonts w:cs="Arial" w:hint="cs"/>
          <w:sz w:val="16"/>
          <w:szCs w:val="16"/>
          <w:rtl/>
        </w:rPr>
        <w:t>(</w:t>
      </w:r>
      <w:r w:rsidR="00A451D1" w:rsidRPr="00A451D1">
        <w:rPr>
          <w:rFonts w:cs="Arial"/>
          <w:sz w:val="16"/>
          <w:szCs w:val="16"/>
          <w:rtl/>
        </w:rPr>
        <w:t>פ</w:t>
      </w:r>
      <w:r w:rsidR="00A451D1" w:rsidRPr="00A451D1">
        <w:rPr>
          <w:rFonts w:cs="Arial" w:hint="cs"/>
          <w:sz w:val="16"/>
          <w:szCs w:val="16"/>
          <w:rtl/>
        </w:rPr>
        <w:t>'</w:t>
      </w:r>
      <w:r w:rsidR="00A451D1" w:rsidRPr="00A451D1">
        <w:rPr>
          <w:rFonts w:cs="Arial"/>
          <w:sz w:val="16"/>
          <w:szCs w:val="16"/>
          <w:rtl/>
        </w:rPr>
        <w:t xml:space="preserve"> יש נוחלין סי' תקצח) </w:t>
      </w:r>
      <w:r w:rsidR="00A451D1">
        <w:rPr>
          <w:rFonts w:cs="Arial" w:hint="cs"/>
          <w:rtl/>
        </w:rPr>
        <w:t>ו</w:t>
      </w:r>
      <w:r w:rsidR="00CA03CB">
        <w:rPr>
          <w:rFonts w:cs="Arial" w:hint="cs"/>
          <w:rtl/>
        </w:rPr>
        <w:t>רי"ו</w:t>
      </w:r>
      <w:r w:rsidR="00991E6B" w:rsidRPr="00CA03CB">
        <w:rPr>
          <w:rFonts w:cs="Arial"/>
          <w:rtl/>
        </w:rPr>
        <w:t xml:space="preserve"> </w:t>
      </w:r>
      <w:r w:rsidR="00991E6B" w:rsidRPr="00CA03CB">
        <w:rPr>
          <w:rFonts w:cs="Arial"/>
          <w:sz w:val="16"/>
          <w:szCs w:val="16"/>
          <w:rtl/>
        </w:rPr>
        <w:t>(מישרים נכ"ג ח"ו נח ע"ג)</w:t>
      </w:r>
      <w:r w:rsidR="00CA03CB">
        <w:rPr>
          <w:rFonts w:cs="Arial" w:hint="cs"/>
          <w:rtl/>
        </w:rPr>
        <w:t>-</w:t>
      </w:r>
      <w:r w:rsidR="00991E6B" w:rsidRPr="00CA03CB">
        <w:rPr>
          <w:rFonts w:cs="Arial"/>
          <w:rtl/>
        </w:rPr>
        <w:t xml:space="preserve"> </w:t>
      </w:r>
      <w:r w:rsidR="00A451D1" w:rsidRPr="00A451D1">
        <w:rPr>
          <w:rFonts w:cs="Arial"/>
          <w:rtl/>
        </w:rPr>
        <w:t xml:space="preserve">אם היו המעות הלוואה עצמן קיימין </w:t>
      </w:r>
      <w:r w:rsidR="00901ED7">
        <w:rPr>
          <w:rFonts w:cs="Arial" w:hint="cs"/>
          <w:rtl/>
        </w:rPr>
        <w:t xml:space="preserve">- </w:t>
      </w:r>
      <w:r w:rsidR="00A451D1" w:rsidRPr="00A451D1">
        <w:rPr>
          <w:rFonts w:cs="Arial"/>
          <w:rtl/>
        </w:rPr>
        <w:t>יחזיר אותם למלוה</w:t>
      </w:r>
      <w:r w:rsidRPr="00F20C9C">
        <w:rPr>
          <w:rStyle w:val="a7"/>
          <w:rFonts w:cs="Arial"/>
          <w:color w:val="000000" w:themeColor="text1"/>
          <w:rtl/>
        </w:rPr>
        <w:footnoteReference w:id="1456"/>
      </w:r>
      <w:r w:rsidR="00A451D1">
        <w:rPr>
          <w:rFonts w:cs="Arial" w:hint="cs"/>
          <w:sz w:val="16"/>
          <w:szCs w:val="16"/>
          <w:rtl/>
        </w:rPr>
        <w:t xml:space="preserve"> (ל' המרדכי)</w:t>
      </w:r>
      <w:r w:rsidR="00614510" w:rsidRPr="00CA03CB">
        <w:rPr>
          <w:rFonts w:cs="Arial" w:hint="cs"/>
          <w:rtl/>
        </w:rPr>
        <w:t>.</w:t>
      </w:r>
      <w:r w:rsidR="00991E6B" w:rsidRPr="00CA03CB">
        <w:rPr>
          <w:rFonts w:cs="Arial"/>
          <w:rtl/>
        </w:rPr>
        <w:t xml:space="preserve"> </w:t>
      </w:r>
      <w:r w:rsidR="00A43A67" w:rsidRPr="00234CC7">
        <w:rPr>
          <w:rFonts w:cs="Arial" w:hint="cs"/>
          <w:color w:val="00B0F0"/>
          <w:rtl/>
        </w:rPr>
        <w:t>(וכ"</w:t>
      </w:r>
      <w:r w:rsidR="00A43A67">
        <w:rPr>
          <w:rFonts w:cs="Arial" w:hint="cs"/>
          <w:color w:val="00B0F0"/>
          <w:rtl/>
        </w:rPr>
        <w:t>פ</w:t>
      </w:r>
      <w:r w:rsidR="00A43A67" w:rsidRPr="00234CC7">
        <w:rPr>
          <w:rFonts w:cs="Arial" w:hint="cs"/>
          <w:color w:val="00B0F0"/>
          <w:rtl/>
        </w:rPr>
        <w:t xml:space="preserve"> הרמ"א</w:t>
      </w:r>
      <w:r w:rsidR="00A43A67">
        <w:rPr>
          <w:rFonts w:cs="Arial" w:hint="cs"/>
          <w:color w:val="00B0F0"/>
          <w:rtl/>
        </w:rPr>
        <w:t>)</w:t>
      </w:r>
    </w:p>
    <w:p w14:paraId="3D9BCE18" w14:textId="45AB436E" w:rsidR="00A451D1" w:rsidRPr="00A451D1" w:rsidRDefault="00A451D1" w:rsidP="00A451D1">
      <w:pPr>
        <w:ind w:left="360"/>
        <w:rPr>
          <w:u w:val="dotted"/>
        </w:rPr>
      </w:pPr>
      <w:r w:rsidRPr="00A451D1">
        <w:rPr>
          <w:rFonts w:hint="cs"/>
          <w:u w:val="dotted"/>
          <w:rtl/>
        </w:rPr>
        <w:t xml:space="preserve">מה הדין אם לא הכניסה לבעלה שום </w:t>
      </w:r>
      <w:r>
        <w:rPr>
          <w:rFonts w:hint="cs"/>
          <w:u w:val="dotted"/>
          <w:rtl/>
        </w:rPr>
        <w:t>ממון</w:t>
      </w:r>
      <w:r w:rsidRPr="00A451D1">
        <w:rPr>
          <w:rFonts w:hint="cs"/>
          <w:u w:val="dotted"/>
          <w:rtl/>
        </w:rPr>
        <w:t>:</w:t>
      </w:r>
      <w:r w:rsidRPr="00A451D1">
        <w:rPr>
          <w:rFonts w:cs="Arial" w:hint="cs"/>
          <w:rtl/>
        </w:rPr>
        <w:t xml:space="preserve"> </w:t>
      </w:r>
      <w:r w:rsidRPr="00A451D1">
        <w:rPr>
          <w:rFonts w:cs="Arial" w:hint="cs"/>
          <w:sz w:val="16"/>
          <w:szCs w:val="16"/>
          <w:rtl/>
        </w:rPr>
        <w:t>(דרכ"מ אות ב)</w:t>
      </w:r>
    </w:p>
    <w:p w14:paraId="47042606" w14:textId="0EF0E6D5" w:rsidR="00F64B58" w:rsidRDefault="00A451D1" w:rsidP="009000E3">
      <w:pPr>
        <w:pStyle w:val="ab"/>
        <w:numPr>
          <w:ilvl w:val="0"/>
          <w:numId w:val="55"/>
        </w:numPr>
      </w:pPr>
      <w:r>
        <w:rPr>
          <w:rFonts w:cs="Arial" w:hint="cs"/>
          <w:rtl/>
        </w:rPr>
        <w:t xml:space="preserve">מרדכי </w:t>
      </w:r>
      <w:r>
        <w:rPr>
          <w:rFonts w:cs="Arial" w:hint="cs"/>
          <w:sz w:val="16"/>
          <w:szCs w:val="16"/>
          <w:rtl/>
        </w:rPr>
        <w:t>(ב"ב סי' תקצח)</w:t>
      </w:r>
      <w:r>
        <w:rPr>
          <w:rFonts w:hint="cs"/>
          <w:rtl/>
        </w:rPr>
        <w:t xml:space="preserve">- </w:t>
      </w:r>
      <w:r w:rsidRPr="00EB3C2B">
        <w:rPr>
          <w:rFonts w:cs="Arial"/>
          <w:rtl/>
        </w:rPr>
        <w:t>אם לא הכניסה לבעל שום ממון פשיטא דאין צריך לשלם לכולי עלמא</w:t>
      </w:r>
      <w:r>
        <w:rPr>
          <w:rStyle w:val="a7"/>
          <w:rFonts w:cs="Arial"/>
          <w:rtl/>
        </w:rPr>
        <w:footnoteReference w:id="1457"/>
      </w:r>
      <w:r>
        <w:rPr>
          <w:rFonts w:hint="cs"/>
          <w:rtl/>
        </w:rPr>
        <w:t>.</w:t>
      </w:r>
      <w:r w:rsidR="00D20F4F">
        <w:rPr>
          <w:rFonts w:hint="cs"/>
          <w:rtl/>
        </w:rPr>
        <w:t xml:space="preserve"> (וכ"פ ב"ש</w:t>
      </w:r>
      <w:r w:rsidR="00D20F4F" w:rsidRPr="00F20C9C">
        <w:rPr>
          <w:rStyle w:val="a7"/>
          <w:rFonts w:cs="Arial"/>
          <w:color w:val="000000" w:themeColor="text1"/>
          <w:rtl/>
        </w:rPr>
        <w:footnoteReference w:id="1458"/>
      </w:r>
      <w:r w:rsidR="00D20F4F">
        <w:rPr>
          <w:rFonts w:hint="cs"/>
          <w:sz w:val="16"/>
          <w:szCs w:val="16"/>
          <w:rtl/>
        </w:rPr>
        <w:t xml:space="preserve"> [סק"ט]</w:t>
      </w:r>
      <w:r w:rsidR="00D20F4F">
        <w:rPr>
          <w:rFonts w:hint="cs"/>
          <w:rtl/>
        </w:rPr>
        <w:t>)</w:t>
      </w:r>
    </w:p>
    <w:p w14:paraId="240D5C50" w14:textId="5646B7E3" w:rsidR="00F64B58" w:rsidRPr="00F64B58" w:rsidRDefault="00F64B58" w:rsidP="00F64B58">
      <w:pPr>
        <w:ind w:left="360"/>
        <w:rPr>
          <w:u w:val="dotted"/>
        </w:rPr>
      </w:pPr>
      <w:r w:rsidRPr="00F64B58">
        <w:rPr>
          <w:rFonts w:hint="cs"/>
          <w:u w:val="dotted"/>
          <w:rtl/>
        </w:rPr>
        <w:t>מה הדין אם לפני שנשאת בא הבעל חוב ואמר לה לפרוע או שתייחד לו נכסים:</w:t>
      </w:r>
    </w:p>
    <w:p w14:paraId="5EECDF79" w14:textId="78E070F8" w:rsidR="00991E6B" w:rsidRDefault="00991E6B" w:rsidP="009000E3">
      <w:pPr>
        <w:pStyle w:val="ab"/>
        <w:numPr>
          <w:ilvl w:val="0"/>
          <w:numId w:val="55"/>
        </w:numPr>
        <w:rPr>
          <w:rtl/>
        </w:rPr>
      </w:pPr>
      <w:r w:rsidRPr="00F64B58">
        <w:rPr>
          <w:rFonts w:cs="Arial"/>
          <w:rtl/>
        </w:rPr>
        <w:t>נמוק</w:t>
      </w:r>
      <w:r w:rsidR="00F64B58" w:rsidRPr="00F64B58">
        <w:rPr>
          <w:rFonts w:cs="Arial" w:hint="cs"/>
          <w:rtl/>
        </w:rPr>
        <w:t>"</w:t>
      </w:r>
      <w:r w:rsidRPr="00F64B58">
        <w:rPr>
          <w:rFonts w:cs="Arial"/>
          <w:rtl/>
        </w:rPr>
        <w:t xml:space="preserve">י </w:t>
      </w:r>
      <w:r w:rsidRPr="00F64B58">
        <w:rPr>
          <w:rFonts w:cs="Arial"/>
          <w:sz w:val="16"/>
          <w:szCs w:val="16"/>
          <w:rtl/>
        </w:rPr>
        <w:t>(סה. דיבור ראשון)</w:t>
      </w:r>
      <w:r w:rsidR="00F64B58">
        <w:rPr>
          <w:rFonts w:cs="Arial" w:hint="cs"/>
          <w:rtl/>
        </w:rPr>
        <w:t>-</w:t>
      </w:r>
      <w:r w:rsidRPr="00F64B58">
        <w:rPr>
          <w:rFonts w:cs="Arial"/>
          <w:rtl/>
        </w:rPr>
        <w:t xml:space="preserve"> נראה דאם בא המלוה קודם שנישאת למחות בידה שתפרעהו או שתייחד לו נכסים כדי שלא יפסיד הדין עמו</w:t>
      </w:r>
      <w:r>
        <w:rPr>
          <w:rStyle w:val="a7"/>
          <w:rFonts w:cs="Arial"/>
          <w:rtl/>
        </w:rPr>
        <w:footnoteReference w:id="1459"/>
      </w:r>
      <w:r w:rsidR="00F64B58">
        <w:rPr>
          <w:rFonts w:cs="Arial" w:hint="cs"/>
          <w:rtl/>
        </w:rPr>
        <w:t>.</w:t>
      </w:r>
      <w:r w:rsidR="00A43A67">
        <w:rPr>
          <w:rFonts w:cs="Arial" w:hint="cs"/>
          <w:rtl/>
        </w:rPr>
        <w:t xml:space="preserve"> </w:t>
      </w:r>
      <w:r w:rsidR="00A43A67" w:rsidRPr="00234CC7">
        <w:rPr>
          <w:rFonts w:cs="Arial" w:hint="cs"/>
          <w:color w:val="00B0F0"/>
          <w:rtl/>
        </w:rPr>
        <w:t>(וכ"</w:t>
      </w:r>
      <w:r w:rsidR="00A43A67">
        <w:rPr>
          <w:rFonts w:cs="Arial" w:hint="cs"/>
          <w:color w:val="00B0F0"/>
          <w:rtl/>
        </w:rPr>
        <w:t>פ</w:t>
      </w:r>
      <w:r w:rsidR="00A43A67" w:rsidRPr="00234CC7">
        <w:rPr>
          <w:rFonts w:cs="Arial" w:hint="cs"/>
          <w:color w:val="00B0F0"/>
          <w:rtl/>
        </w:rPr>
        <w:t xml:space="preserve"> הרמ"א</w:t>
      </w:r>
      <w:r w:rsidR="00A43A67">
        <w:rPr>
          <w:rFonts w:cs="Arial" w:hint="cs"/>
          <w:color w:val="00B0F0"/>
          <w:rtl/>
        </w:rPr>
        <w:t>)</w:t>
      </w:r>
    </w:p>
    <w:p w14:paraId="013C51E4" w14:textId="72B5B383" w:rsidR="00942B49" w:rsidRPr="00710A89" w:rsidRDefault="00710A89" w:rsidP="00942B49">
      <w:pPr>
        <w:rPr>
          <w:u w:val="single"/>
        </w:rPr>
      </w:pPr>
      <w:r w:rsidRPr="00710A89">
        <w:rPr>
          <w:rFonts w:cs="Arial"/>
          <w:u w:val="single"/>
          <w:rtl/>
        </w:rPr>
        <w:t>כתב ל</w:t>
      </w:r>
      <w:r w:rsidRPr="00710A89">
        <w:rPr>
          <w:rFonts w:cs="Arial" w:hint="cs"/>
          <w:u w:val="single"/>
          <w:rtl/>
        </w:rPr>
        <w:t>א</w:t>
      </w:r>
      <w:r w:rsidRPr="00710A89">
        <w:rPr>
          <w:rFonts w:cs="Arial"/>
          <w:u w:val="single"/>
          <w:rtl/>
        </w:rPr>
        <w:t>שת</w:t>
      </w:r>
      <w:r w:rsidRPr="00710A89">
        <w:rPr>
          <w:rFonts w:cs="Arial" w:hint="cs"/>
          <w:u w:val="single"/>
          <w:rtl/>
        </w:rPr>
        <w:t>ו</w:t>
      </w:r>
      <w:r w:rsidRPr="00710A89">
        <w:rPr>
          <w:rFonts w:cs="Arial"/>
          <w:u w:val="single"/>
          <w:rtl/>
        </w:rPr>
        <w:t xml:space="preserve"> ב</w:t>
      </w:r>
      <w:r w:rsidRPr="00710A89">
        <w:rPr>
          <w:rFonts w:cs="Arial" w:hint="cs"/>
          <w:u w:val="single"/>
          <w:rtl/>
        </w:rPr>
        <w:t xml:space="preserve">שעת </w:t>
      </w:r>
      <w:r w:rsidRPr="00710A89">
        <w:rPr>
          <w:rFonts w:cs="Arial"/>
          <w:u w:val="single"/>
          <w:rtl/>
        </w:rPr>
        <w:t>נישואין שטר חוב על עצמ</w:t>
      </w:r>
      <w:r w:rsidRPr="00710A89">
        <w:rPr>
          <w:rFonts w:cs="Arial" w:hint="cs"/>
          <w:u w:val="single"/>
          <w:rtl/>
        </w:rPr>
        <w:t>ו</w:t>
      </w:r>
      <w:r w:rsidRPr="00710A89">
        <w:rPr>
          <w:rFonts w:cs="Arial"/>
          <w:u w:val="single"/>
          <w:rtl/>
        </w:rPr>
        <w:t xml:space="preserve"> שתוכל לגבותו כל זמן שתרצה</w:t>
      </w:r>
      <w:r w:rsidRPr="00710A89">
        <w:rPr>
          <w:rFonts w:cs="Arial" w:hint="cs"/>
          <w:u w:val="single"/>
          <w:rtl/>
        </w:rPr>
        <w:t>:</w:t>
      </w:r>
    </w:p>
    <w:p w14:paraId="52852EAB" w14:textId="3BC917E2" w:rsidR="006948E0" w:rsidRDefault="00710A89" w:rsidP="009000E3">
      <w:pPr>
        <w:pStyle w:val="ab"/>
        <w:numPr>
          <w:ilvl w:val="0"/>
          <w:numId w:val="55"/>
        </w:numPr>
      </w:pPr>
      <w:r>
        <w:rPr>
          <w:rFonts w:cs="Arial" w:hint="cs"/>
          <w:rtl/>
        </w:rPr>
        <w:lastRenderedPageBreak/>
        <w:t xml:space="preserve">רא"ש </w:t>
      </w:r>
      <w:r>
        <w:rPr>
          <w:rFonts w:cs="Arial" w:hint="cs"/>
          <w:sz w:val="16"/>
          <w:szCs w:val="16"/>
          <w:rtl/>
        </w:rPr>
        <w:t>(כלל לט סי' ג, הביאו הטור בסי' קיח)</w:t>
      </w:r>
      <w:r>
        <w:rPr>
          <w:rFonts w:cs="Arial" w:hint="cs"/>
          <w:rtl/>
        </w:rPr>
        <w:t>-</w:t>
      </w:r>
      <w:r w:rsidR="005D1457" w:rsidRPr="00942B49">
        <w:rPr>
          <w:rFonts w:cs="Arial"/>
          <w:rtl/>
        </w:rPr>
        <w:t xml:space="preserve"> הכותבים לנשותיהם בשעת נישואין שטר חוב על עצמן שתוכל לגבותו כל זמן שתרצה</w:t>
      </w:r>
      <w:r>
        <w:rPr>
          <w:rFonts w:cs="Arial" w:hint="cs"/>
          <w:rtl/>
        </w:rPr>
        <w:t>.</w:t>
      </w:r>
      <w:r w:rsidR="005D1457" w:rsidRPr="00942B49">
        <w:rPr>
          <w:rFonts w:cs="Arial"/>
          <w:rtl/>
        </w:rPr>
        <w:t xml:space="preserve"> אם יש עליה חוב שלותה קודם שנישאת </w:t>
      </w:r>
      <w:r>
        <w:rPr>
          <w:rFonts w:cs="Arial" w:hint="cs"/>
          <w:rtl/>
        </w:rPr>
        <w:t xml:space="preserve">- </w:t>
      </w:r>
      <w:r w:rsidR="005D1457" w:rsidRPr="00942B49">
        <w:rPr>
          <w:rFonts w:cs="Arial"/>
          <w:rtl/>
        </w:rPr>
        <w:t>גובה ממנו</w:t>
      </w:r>
      <w:r>
        <w:rPr>
          <w:rFonts w:cs="Arial" w:hint="cs"/>
          <w:rtl/>
        </w:rPr>
        <w:t>.</w:t>
      </w:r>
      <w:r w:rsidR="005D1457" w:rsidRPr="00942B49">
        <w:rPr>
          <w:rFonts w:cs="Arial"/>
          <w:rtl/>
        </w:rPr>
        <w:t xml:space="preserve"> אבל אם אינה יכולה לגבותו אלא לכשתתאלמן או תתגרש </w:t>
      </w:r>
      <w:r>
        <w:rPr>
          <w:rFonts w:cs="Arial" w:hint="cs"/>
          <w:rtl/>
        </w:rPr>
        <w:t xml:space="preserve">- </w:t>
      </w:r>
      <w:r w:rsidR="005D1457" w:rsidRPr="00942B49">
        <w:rPr>
          <w:rFonts w:cs="Arial"/>
          <w:rtl/>
        </w:rPr>
        <w:t>אין ב"ח גובה ממנו</w:t>
      </w:r>
      <w:r>
        <w:rPr>
          <w:rFonts w:cs="Arial" w:hint="cs"/>
          <w:rtl/>
        </w:rPr>
        <w:t>.</w:t>
      </w:r>
      <w:r w:rsidR="005D1457" w:rsidRPr="00942B49">
        <w:rPr>
          <w:rFonts w:cs="Arial"/>
          <w:rtl/>
        </w:rPr>
        <w:t xml:space="preserve"> ואפילו אם שטר זה עומד לגבות בכל עת שתרצה אם יש עליה חוב שלותה אחר שנישאת </w:t>
      </w:r>
      <w:r>
        <w:rPr>
          <w:rFonts w:cs="Arial" w:hint="cs"/>
          <w:rtl/>
        </w:rPr>
        <w:t xml:space="preserve">- </w:t>
      </w:r>
      <w:r w:rsidR="005D1457" w:rsidRPr="00942B49">
        <w:rPr>
          <w:rFonts w:cs="Arial"/>
          <w:rtl/>
        </w:rPr>
        <w:t>אינו גובה ממנו</w:t>
      </w:r>
      <w:r>
        <w:rPr>
          <w:rFonts w:cs="Arial" w:hint="cs"/>
          <w:rtl/>
        </w:rPr>
        <w:t>.</w:t>
      </w:r>
      <w:r w:rsidR="005D1457" w:rsidRPr="00942B49">
        <w:rPr>
          <w:rFonts w:cs="Arial"/>
          <w:rtl/>
        </w:rPr>
        <w:t xml:space="preserve"> ואם נתן לה הבעל מתנה </w:t>
      </w:r>
      <w:r>
        <w:rPr>
          <w:rFonts w:cs="Arial" w:hint="cs"/>
          <w:rtl/>
        </w:rPr>
        <w:t xml:space="preserve">- </w:t>
      </w:r>
      <w:r w:rsidR="005D1457" w:rsidRPr="00942B49">
        <w:rPr>
          <w:rFonts w:cs="Arial"/>
          <w:rtl/>
        </w:rPr>
        <w:t>אפילו ב"ח שהלוה לה אחר שנישאת גובה ממנו</w:t>
      </w:r>
      <w:r>
        <w:rPr>
          <w:rFonts w:cs="Arial" w:hint="cs"/>
          <w:sz w:val="16"/>
          <w:szCs w:val="16"/>
          <w:rtl/>
        </w:rPr>
        <w:t xml:space="preserve"> (ל' הב"י</w:t>
      </w:r>
      <w:r w:rsidR="00901ED7">
        <w:rPr>
          <w:rFonts w:cs="Arial" w:hint="cs"/>
          <w:sz w:val="16"/>
          <w:szCs w:val="16"/>
          <w:rtl/>
        </w:rPr>
        <w:t xml:space="preserve"> בשמו</w:t>
      </w:r>
      <w:r>
        <w:rPr>
          <w:rFonts w:cs="Arial" w:hint="cs"/>
          <w:sz w:val="16"/>
          <w:szCs w:val="16"/>
          <w:rtl/>
        </w:rPr>
        <w:t>)</w:t>
      </w:r>
      <w:r w:rsidR="00942B49" w:rsidRPr="00942B49">
        <w:rPr>
          <w:rFonts w:cs="Arial" w:hint="cs"/>
          <w:rtl/>
        </w:rPr>
        <w:t>.</w:t>
      </w:r>
    </w:p>
    <w:p w14:paraId="125D4C14" w14:textId="0F98E1E2" w:rsidR="00A43A67" w:rsidRPr="00A43A67" w:rsidRDefault="00A43A67" w:rsidP="00A43A67">
      <w:pPr>
        <w:rPr>
          <w:sz w:val="16"/>
          <w:szCs w:val="16"/>
          <w:u w:val="single"/>
        </w:rPr>
      </w:pPr>
      <w:r w:rsidRPr="00A43A67">
        <w:rPr>
          <w:u w:val="single"/>
          <w:rtl/>
        </w:rPr>
        <w:t>קהל שעשו תקנ</w:t>
      </w:r>
      <w:r w:rsidRPr="00A43A67">
        <w:rPr>
          <w:rFonts w:hint="cs"/>
          <w:u w:val="single"/>
          <w:rtl/>
        </w:rPr>
        <w:t>ה שמי שיעבור על דבר מה יקנס לצדקה -</w:t>
      </w:r>
      <w:r w:rsidRPr="00A43A67">
        <w:rPr>
          <w:u w:val="single"/>
          <w:rtl/>
        </w:rPr>
        <w:t xml:space="preserve"> ועברה אשה על התקנה</w:t>
      </w:r>
      <w:r w:rsidRPr="00A43A67">
        <w:rPr>
          <w:rFonts w:hint="cs"/>
          <w:u w:val="single"/>
          <w:rtl/>
        </w:rPr>
        <w:t xml:space="preserve"> ואין לה ממה לשלם:</w:t>
      </w:r>
      <w:r w:rsidRPr="00A43A67">
        <w:rPr>
          <w:rFonts w:hint="cs"/>
          <w:sz w:val="16"/>
          <w:szCs w:val="16"/>
          <w:rtl/>
        </w:rPr>
        <w:t xml:space="preserve"> </w:t>
      </w:r>
      <w:r>
        <w:rPr>
          <w:rFonts w:hint="cs"/>
          <w:sz w:val="16"/>
          <w:szCs w:val="16"/>
          <w:rtl/>
        </w:rPr>
        <w:t xml:space="preserve"> </w:t>
      </w:r>
      <w:r w:rsidRPr="00A43A67">
        <w:rPr>
          <w:rFonts w:hint="cs"/>
          <w:sz w:val="16"/>
          <w:szCs w:val="16"/>
          <w:rtl/>
        </w:rPr>
        <w:t>(דרכ"מ אות ג)</w:t>
      </w:r>
      <w:r>
        <w:rPr>
          <w:rFonts w:hint="cs"/>
          <w:sz w:val="16"/>
          <w:szCs w:val="16"/>
          <w:u w:val="single"/>
          <w:rtl/>
        </w:rPr>
        <w:t xml:space="preserve"> </w:t>
      </w:r>
    </w:p>
    <w:p w14:paraId="2742CD1E" w14:textId="13A417A0" w:rsidR="00942B49" w:rsidRPr="005D1457" w:rsidRDefault="00A43A67" w:rsidP="009000E3">
      <w:pPr>
        <w:pStyle w:val="ab"/>
        <w:numPr>
          <w:ilvl w:val="0"/>
          <w:numId w:val="55"/>
        </w:numPr>
        <w:rPr>
          <w:rtl/>
        </w:rPr>
      </w:pPr>
      <w:r>
        <w:rPr>
          <w:rFonts w:cs="Arial" w:hint="cs"/>
          <w:rtl/>
        </w:rPr>
        <w:t xml:space="preserve">תרוה"ד </w:t>
      </w:r>
      <w:r>
        <w:rPr>
          <w:rFonts w:cs="Arial" w:hint="cs"/>
          <w:sz w:val="16"/>
          <w:szCs w:val="16"/>
          <w:rtl/>
        </w:rPr>
        <w:t>(סי' רפב, הביאו הדרכ"מ ביו"ד סי' רמח אות ד)</w:t>
      </w:r>
      <w:r>
        <w:rPr>
          <w:rFonts w:cs="Arial" w:hint="cs"/>
          <w:rtl/>
        </w:rPr>
        <w:t xml:space="preserve">- </w:t>
      </w:r>
      <w:r>
        <w:rPr>
          <w:rFonts w:cs="Arial"/>
          <w:rtl/>
        </w:rPr>
        <w:t>שאלה</w:t>
      </w:r>
      <w:r>
        <w:rPr>
          <w:rFonts w:cs="Arial" w:hint="cs"/>
          <w:rtl/>
        </w:rPr>
        <w:t>,</w:t>
      </w:r>
      <w:r>
        <w:rPr>
          <w:rFonts w:cs="Arial"/>
          <w:rtl/>
        </w:rPr>
        <w:t xml:space="preserve"> הקהל עשו תקנה על איזה דבר והעמידו קנס עלה שכל מי שיעבור הן איש או אשה יקנס בכך וכך לצדקה, ועברה על התקנה אשה שיש לה בעל ואין לה כלום חוץ מבעלה, חייב בעלה לשלם בשבילה או לאו? </w:t>
      </w:r>
      <w:r>
        <w:rPr>
          <w:rFonts w:cs="Arial" w:hint="cs"/>
          <w:rtl/>
        </w:rPr>
        <w:t xml:space="preserve">    </w:t>
      </w:r>
      <w:r w:rsidR="00FE210D">
        <w:rPr>
          <w:rFonts w:cs="Arial"/>
          <w:rtl/>
        </w:rPr>
        <w:t xml:space="preserve">      תשובה:</w:t>
      </w:r>
      <w:r w:rsidRPr="00A43A67">
        <w:rPr>
          <w:rFonts w:cs="Arial"/>
          <w:rtl/>
        </w:rPr>
        <w:t xml:space="preserve"> יראה דדבר זה צריך דקדוק קצת, בפ' המקבל </w:t>
      </w:r>
      <w:r w:rsidR="00E103BA">
        <w:rPr>
          <w:rFonts w:cs="Arial" w:hint="cs"/>
          <w:rtl/>
        </w:rPr>
        <w:t>(</w:t>
      </w:r>
      <w:r w:rsidRPr="00A43A67">
        <w:rPr>
          <w:rFonts w:cs="Arial"/>
          <w:rtl/>
        </w:rPr>
        <w:t>ב"מ קד</w:t>
      </w:r>
      <w:r w:rsidR="00E103BA">
        <w:rPr>
          <w:rFonts w:cs="Arial" w:hint="cs"/>
          <w:rtl/>
        </w:rPr>
        <w:t>.)</w:t>
      </w:r>
      <w:r w:rsidRPr="00A43A67">
        <w:rPr>
          <w:rFonts w:cs="Arial"/>
          <w:rtl/>
        </w:rPr>
        <w:t xml:space="preserve"> איתא דרבי יודא היה דורש לשון הדיוט, דתניא רבי יודא אומר מביא אדם קרבן עשיר על אשתו וכן כל קרבנות שהיא חייבת, ופרש"י כל הקרבנות שלא בנדר ונדבה כגון קרבן זיבתה וחטאת ואשם, וכן מפרשים התוס' דקרבנות חובה כה"ג שבאין לחובת גופה חייב לשלם. ומייתי ראייה מן הירושלמי דאם אכלה חלב או חללה שבת חייב להביא קרבן בשבילה ואפי' אם נתחייבה בהן קודם שנשאת לו. כך היא לדעת התוס' </w:t>
      </w:r>
      <w:r w:rsidR="00E103BA" w:rsidRPr="00E103BA">
        <w:rPr>
          <w:rFonts w:cs="Arial"/>
          <w:rtl/>
        </w:rPr>
        <w:t xml:space="preserve">(שם ד"ה הכי) </w:t>
      </w:r>
      <w:r w:rsidRPr="00A43A67">
        <w:rPr>
          <w:rFonts w:cs="Arial"/>
          <w:rtl/>
        </w:rPr>
        <w:t xml:space="preserve">ומרדכי </w:t>
      </w:r>
      <w:r w:rsidR="00E103BA" w:rsidRPr="00E103BA">
        <w:rPr>
          <w:rFonts w:cs="Arial"/>
          <w:rtl/>
        </w:rPr>
        <w:t xml:space="preserve">(ב"ב סי' תקצ"ו) </w:t>
      </w:r>
      <w:r w:rsidRPr="00A43A67">
        <w:rPr>
          <w:rFonts w:cs="Arial"/>
          <w:rtl/>
        </w:rPr>
        <w:t>והגה"ה באשירי שם</w:t>
      </w:r>
      <w:r w:rsidR="00E103BA" w:rsidRPr="00E103BA">
        <w:rPr>
          <w:rtl/>
        </w:rPr>
        <w:t xml:space="preserve"> </w:t>
      </w:r>
      <w:r w:rsidR="00E103BA" w:rsidRPr="00E103BA">
        <w:rPr>
          <w:rFonts w:cs="Arial"/>
          <w:rtl/>
        </w:rPr>
        <w:t>(ב"מ פ"ט סי' ה)</w:t>
      </w:r>
      <w:r w:rsidRPr="00A43A67">
        <w:rPr>
          <w:rFonts w:cs="Arial"/>
          <w:rtl/>
        </w:rPr>
        <w:t xml:space="preserve">. אבל לפרש"י </w:t>
      </w:r>
      <w:r w:rsidR="00E103BA" w:rsidRPr="00E103BA">
        <w:rPr>
          <w:rFonts w:cs="Arial"/>
          <w:rtl/>
        </w:rPr>
        <w:t xml:space="preserve">(שם ד"ה ה"ג) </w:t>
      </w:r>
      <w:r w:rsidRPr="00A43A67">
        <w:rPr>
          <w:rFonts w:cs="Arial"/>
          <w:rtl/>
        </w:rPr>
        <w:t>ולגירסתו דווקא כשנתחייב בהן והיא תחתיו. והיה נראה לדמות נ"ד לתשלומי קרבן, דכיון שעברה על תקנת הקהל והיא עבירה גמורה כדאיתא להדיא בסמ"ג דהנשבע שלא ליכנס בתקנת הקהל הרי זה שבועת שוא כמו הנשבע לבטל את המצוה. וכאן נמי אף על פי שהעמידו קנסות מ"מ לא התירו בשביל זה לעבור וליתן הקנס, אלא שאם יעבור אפילו בשכחה יתן הקנס שיהיו נזהרים לקיים, והקנס מ"מ בא לכפרה קצת על העובר, ודמי קצת למביא קרבן על חטאתו, וצ"ע אי הנדון דומה לראייה, הנלע"כ.</w:t>
      </w:r>
      <w:r w:rsidR="00E103BA">
        <w:rPr>
          <w:rFonts w:hint="cs"/>
          <w:rtl/>
        </w:rPr>
        <w:t xml:space="preserve"> </w:t>
      </w:r>
      <w:r w:rsidR="00E103BA" w:rsidRPr="00234CC7">
        <w:rPr>
          <w:rFonts w:cs="Arial" w:hint="cs"/>
          <w:color w:val="00B0F0"/>
          <w:rtl/>
        </w:rPr>
        <w:t>(וכ"</w:t>
      </w:r>
      <w:r w:rsidR="00E103BA">
        <w:rPr>
          <w:rFonts w:cs="Arial" w:hint="cs"/>
          <w:color w:val="00B0F0"/>
          <w:rtl/>
        </w:rPr>
        <w:t>פ</w:t>
      </w:r>
      <w:r w:rsidR="00E103BA" w:rsidRPr="00234CC7">
        <w:rPr>
          <w:rFonts w:cs="Arial" w:hint="cs"/>
          <w:color w:val="00B0F0"/>
          <w:rtl/>
        </w:rPr>
        <w:t xml:space="preserve"> הרמ"א</w:t>
      </w:r>
      <w:r w:rsidR="00E103BA">
        <w:rPr>
          <w:rFonts w:cs="Arial" w:hint="cs"/>
          <w:color w:val="00B0F0"/>
          <w:rtl/>
        </w:rPr>
        <w:t>)</w:t>
      </w:r>
    </w:p>
    <w:p w14:paraId="0DEE4EF8"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3CF3C922" w14:textId="74068FC6" w:rsidR="007F1947" w:rsidRDefault="007A3469" w:rsidP="007218B0">
      <w:pPr>
        <w:rPr>
          <w:rtl/>
        </w:rPr>
      </w:pPr>
      <w:r>
        <w:rPr>
          <w:rFonts w:cs="Arial"/>
          <w:rtl/>
        </w:rPr>
        <w:t>היה עליה מלוה על פה ואחר כך נשאת, אינה נגבית</w:t>
      </w:r>
      <w:r w:rsidR="000B2E99" w:rsidRPr="00F20C9C">
        <w:rPr>
          <w:rStyle w:val="a7"/>
          <w:rFonts w:cs="Arial"/>
          <w:color w:val="000000" w:themeColor="text1"/>
          <w:rtl/>
        </w:rPr>
        <w:footnoteReference w:id="1460"/>
      </w:r>
      <w:r>
        <w:rPr>
          <w:rFonts w:cs="Arial"/>
          <w:rtl/>
        </w:rPr>
        <w:t xml:space="preserve"> מהבעל, דמלוה על פה אינו גובה מהלקוחות</w:t>
      </w:r>
      <w:r w:rsidR="007218B0" w:rsidRPr="00F20C9C">
        <w:rPr>
          <w:rStyle w:val="a7"/>
          <w:rFonts w:cs="Arial"/>
          <w:color w:val="000000" w:themeColor="text1"/>
          <w:rtl/>
        </w:rPr>
        <w:footnoteReference w:id="1461"/>
      </w:r>
      <w:r>
        <w:rPr>
          <w:rFonts w:cs="Arial"/>
          <w:rtl/>
        </w:rPr>
        <w:t xml:space="preserve">. </w:t>
      </w:r>
      <w:r w:rsidRPr="00DA1E36">
        <w:rPr>
          <w:rFonts w:cs="Arial"/>
          <w:sz w:val="18"/>
          <w:szCs w:val="18"/>
          <w:rtl/>
        </w:rPr>
        <w:t>הגה: מיהו אם המעות שהלוה בעין</w:t>
      </w:r>
      <w:r w:rsidR="00E103BA" w:rsidRPr="00E103BA">
        <w:rPr>
          <w:rStyle w:val="a7"/>
          <w:rFonts w:cs="Arial"/>
          <w:color w:val="000000" w:themeColor="text1"/>
          <w:sz w:val="18"/>
          <w:szCs w:val="18"/>
          <w:rtl/>
        </w:rPr>
        <w:footnoteReference w:id="1462"/>
      </w:r>
      <w:r w:rsidRPr="00DA1E36">
        <w:rPr>
          <w:rFonts w:cs="Arial"/>
          <w:sz w:val="18"/>
          <w:szCs w:val="18"/>
          <w:rtl/>
        </w:rPr>
        <w:t>, חייב לשלם (ר</w:t>
      </w:r>
      <w:r w:rsidR="00710A89">
        <w:rPr>
          <w:rFonts w:cs="Arial" w:hint="cs"/>
          <w:sz w:val="18"/>
          <w:szCs w:val="18"/>
          <w:rtl/>
        </w:rPr>
        <w:t xml:space="preserve">י"ו </w:t>
      </w:r>
      <w:r w:rsidRPr="00DA1E36">
        <w:rPr>
          <w:rFonts w:cs="Arial"/>
          <w:sz w:val="18"/>
          <w:szCs w:val="18"/>
          <w:rtl/>
        </w:rPr>
        <w:t>ומרדכי). ואם בא המלוה קודם שנשאת ורוצה למחות נשואיה עד שתפרעהו ושלא יפסיד שלו, הדין עמו</w:t>
      </w:r>
      <w:r w:rsidR="000B2E99" w:rsidRPr="000B2E99">
        <w:rPr>
          <w:rStyle w:val="a7"/>
          <w:rFonts w:cs="Arial"/>
          <w:color w:val="000000" w:themeColor="text1"/>
          <w:sz w:val="18"/>
          <w:szCs w:val="18"/>
          <w:rtl/>
        </w:rPr>
        <w:footnoteReference w:id="1463"/>
      </w:r>
      <w:r w:rsidRPr="00DA1E36">
        <w:rPr>
          <w:rFonts w:cs="Arial"/>
          <w:sz w:val="18"/>
          <w:szCs w:val="18"/>
          <w:rtl/>
        </w:rPr>
        <w:t>, ואע</w:t>
      </w:r>
      <w:r w:rsidR="00901ED7">
        <w:rPr>
          <w:rFonts w:cs="Arial" w:hint="cs"/>
          <w:sz w:val="18"/>
          <w:szCs w:val="18"/>
          <w:rtl/>
        </w:rPr>
        <w:t>"</w:t>
      </w:r>
      <w:r w:rsidRPr="00DA1E36">
        <w:rPr>
          <w:rFonts w:cs="Arial"/>
          <w:sz w:val="18"/>
          <w:szCs w:val="18"/>
          <w:rtl/>
        </w:rPr>
        <w:t>פ שעדיין לא הגיע זמן הפרעון (נ</w:t>
      </w:r>
      <w:r w:rsidR="00710A89">
        <w:rPr>
          <w:rFonts w:cs="Arial" w:hint="cs"/>
          <w:sz w:val="18"/>
          <w:szCs w:val="18"/>
          <w:rtl/>
        </w:rPr>
        <w:t>מוק</w:t>
      </w:r>
      <w:r w:rsidRPr="00DA1E36">
        <w:rPr>
          <w:rFonts w:cs="Arial"/>
          <w:sz w:val="18"/>
          <w:szCs w:val="18"/>
          <w:rtl/>
        </w:rPr>
        <w:t>"י).</w:t>
      </w:r>
      <w:r>
        <w:rPr>
          <w:rFonts w:cs="Arial"/>
          <w:rtl/>
        </w:rPr>
        <w:t xml:space="preserve"> אבל אם היה עליה מלוה בשטר, גובה מנכסים</w:t>
      </w:r>
      <w:r w:rsidR="000B2E99" w:rsidRPr="00F20C9C">
        <w:rPr>
          <w:rStyle w:val="a7"/>
          <w:rFonts w:cs="Arial"/>
          <w:color w:val="000000" w:themeColor="text1"/>
          <w:rtl/>
        </w:rPr>
        <w:footnoteReference w:id="1464"/>
      </w:r>
      <w:r>
        <w:rPr>
          <w:rFonts w:cs="Arial"/>
          <w:rtl/>
        </w:rPr>
        <w:t xml:space="preserve"> שהכניסה לבעלה. </w:t>
      </w:r>
      <w:r w:rsidR="00710A89">
        <w:rPr>
          <w:rFonts w:cs="Arial" w:hint="cs"/>
          <w:sz w:val="18"/>
          <w:szCs w:val="18"/>
          <w:rtl/>
        </w:rPr>
        <w:t xml:space="preserve">[הגה] </w:t>
      </w:r>
      <w:r w:rsidRPr="00DA1E36">
        <w:rPr>
          <w:rFonts w:cs="Arial"/>
          <w:sz w:val="18"/>
          <w:szCs w:val="18"/>
          <w:rtl/>
        </w:rPr>
        <w:t>קהל שעשו ביניהם תקנות בקנסות, ועברה אשה על התקנה, בעלה חייב לשלם</w:t>
      </w:r>
      <w:r w:rsidR="000B2E99" w:rsidRPr="000B2E99">
        <w:rPr>
          <w:rStyle w:val="a7"/>
          <w:rFonts w:cs="Arial"/>
          <w:color w:val="000000" w:themeColor="text1"/>
          <w:sz w:val="18"/>
          <w:szCs w:val="18"/>
          <w:rtl/>
        </w:rPr>
        <w:footnoteReference w:id="1465"/>
      </w:r>
      <w:r w:rsidR="00A43A67">
        <w:rPr>
          <w:rFonts w:cs="Arial" w:hint="cs"/>
          <w:sz w:val="18"/>
          <w:szCs w:val="18"/>
          <w:rtl/>
        </w:rPr>
        <w:t xml:space="preserve"> (תרוה"ד)</w:t>
      </w:r>
      <w:r w:rsidRPr="00DA1E36">
        <w:rPr>
          <w:rFonts w:cs="Arial"/>
          <w:sz w:val="18"/>
          <w:szCs w:val="18"/>
          <w:rtl/>
        </w:rPr>
        <w:t>.</w:t>
      </w:r>
      <w:r>
        <w:rPr>
          <w:rFonts w:cs="Arial"/>
          <w:rtl/>
        </w:rPr>
        <w:t xml:space="preserve"> </w:t>
      </w:r>
    </w:p>
    <w:p w14:paraId="57183D53" w14:textId="77777777" w:rsidR="00B27D8D" w:rsidRDefault="00B27D8D" w:rsidP="007F1947">
      <w:pPr>
        <w:rPr>
          <w:rtl/>
        </w:rPr>
      </w:pPr>
    </w:p>
    <w:p w14:paraId="4067C2F6" w14:textId="5F14AA44" w:rsidR="007A3469" w:rsidRDefault="007A3469" w:rsidP="000F64D0">
      <w:pPr>
        <w:pStyle w:val="2"/>
        <w:rPr>
          <w:rtl/>
        </w:rPr>
      </w:pPr>
      <w:r>
        <w:rPr>
          <w:rtl/>
        </w:rPr>
        <w:t>סעיף ה</w:t>
      </w:r>
      <w:r w:rsidR="005D1457">
        <w:rPr>
          <w:rFonts w:hint="cs"/>
          <w:rtl/>
        </w:rPr>
        <w:t>:</w:t>
      </w:r>
      <w:r w:rsidR="00213418">
        <w:rPr>
          <w:rFonts w:hint="cs"/>
          <w:rtl/>
        </w:rPr>
        <w:t xml:space="preserve"> דברים שהתחייבה בהם האשה שדינם כמלוה בשטר </w:t>
      </w:r>
      <w:r w:rsidR="00213418" w:rsidRPr="00213418">
        <w:rPr>
          <w:rFonts w:hint="cs"/>
          <w:sz w:val="20"/>
          <w:szCs w:val="20"/>
          <w:rtl/>
        </w:rPr>
        <w:t>(לעניין גביה מהבעל</w:t>
      </w:r>
      <w:r w:rsidR="00213418">
        <w:rPr>
          <w:rFonts w:hint="cs"/>
          <w:sz w:val="20"/>
          <w:szCs w:val="20"/>
          <w:rtl/>
        </w:rPr>
        <w:t>)</w:t>
      </w:r>
      <w:r w:rsidR="00213418">
        <w:rPr>
          <w:rFonts w:hint="cs"/>
          <w:rtl/>
        </w:rPr>
        <w:t>.</w:t>
      </w:r>
    </w:p>
    <w:p w14:paraId="76A6258B" w14:textId="77777777" w:rsidR="00E103BA" w:rsidRPr="00942B49" w:rsidRDefault="00E103BA" w:rsidP="00E103BA">
      <w:pPr>
        <w:rPr>
          <w:u w:val="single"/>
        </w:rPr>
      </w:pPr>
      <w:r w:rsidRPr="00942B49">
        <w:rPr>
          <w:rFonts w:cs="Arial"/>
          <w:u w:val="single"/>
          <w:rtl/>
        </w:rPr>
        <w:t xml:space="preserve">ראובן שידך </w:t>
      </w:r>
      <w:r w:rsidRPr="00942B49">
        <w:rPr>
          <w:rFonts w:cs="Arial" w:hint="cs"/>
          <w:u w:val="single"/>
          <w:rtl/>
        </w:rPr>
        <w:t xml:space="preserve">את </w:t>
      </w:r>
      <w:r w:rsidRPr="00942B49">
        <w:rPr>
          <w:rFonts w:cs="Arial"/>
          <w:u w:val="single"/>
          <w:rtl/>
        </w:rPr>
        <w:t>לאה ושלח לה סבלונות</w:t>
      </w:r>
      <w:r w:rsidRPr="00942B49">
        <w:rPr>
          <w:rFonts w:cs="Arial" w:hint="cs"/>
          <w:u w:val="single"/>
          <w:rtl/>
        </w:rPr>
        <w:t>,</w:t>
      </w:r>
      <w:r w:rsidRPr="00942B49">
        <w:rPr>
          <w:rFonts w:cs="Arial"/>
          <w:u w:val="single"/>
          <w:rtl/>
        </w:rPr>
        <w:t xml:space="preserve"> והלכה לאה וניסת לאחר</w:t>
      </w:r>
      <w:r w:rsidRPr="00942B49">
        <w:rPr>
          <w:rFonts w:cs="Arial" w:hint="cs"/>
          <w:u w:val="single"/>
          <w:rtl/>
        </w:rPr>
        <w:t>,</w:t>
      </w:r>
      <w:r w:rsidRPr="00942B49">
        <w:rPr>
          <w:rFonts w:cs="Arial"/>
          <w:u w:val="single"/>
          <w:rtl/>
        </w:rPr>
        <w:t xml:space="preserve"> </w:t>
      </w:r>
      <w:r>
        <w:rPr>
          <w:rFonts w:cs="Arial" w:hint="cs"/>
          <w:u w:val="single"/>
          <w:rtl/>
        </w:rPr>
        <w:t>ו</w:t>
      </w:r>
      <w:r w:rsidRPr="00942B49">
        <w:rPr>
          <w:rFonts w:cs="Arial"/>
          <w:u w:val="single"/>
          <w:rtl/>
        </w:rPr>
        <w:t>תובע ראובן הסבלונות</w:t>
      </w:r>
      <w:r>
        <w:rPr>
          <w:rFonts w:cs="Arial" w:hint="cs"/>
          <w:u w:val="single"/>
          <w:rtl/>
        </w:rPr>
        <w:t>,</w:t>
      </w:r>
      <w:r w:rsidRPr="00942B49">
        <w:rPr>
          <w:rFonts w:cs="Arial"/>
          <w:u w:val="single"/>
          <w:rtl/>
        </w:rPr>
        <w:t xml:space="preserve"> והיא אומרת שא</w:t>
      </w:r>
      <w:r w:rsidRPr="00942B49">
        <w:rPr>
          <w:rFonts w:cs="Arial" w:hint="cs"/>
          <w:u w:val="single"/>
          <w:rtl/>
        </w:rPr>
        <w:t>כלתם:</w:t>
      </w:r>
    </w:p>
    <w:p w14:paraId="1681C0D6" w14:textId="6D2DBE60" w:rsidR="00E103BA" w:rsidRPr="00E103BA" w:rsidRDefault="00E103BA" w:rsidP="009000E3">
      <w:pPr>
        <w:pStyle w:val="ab"/>
        <w:numPr>
          <w:ilvl w:val="0"/>
          <w:numId w:val="55"/>
        </w:numPr>
      </w:pPr>
      <w:r w:rsidRPr="00F31ACB">
        <w:rPr>
          <w:rFonts w:cs="Arial"/>
          <w:rtl/>
        </w:rPr>
        <w:t>רא"ש</w:t>
      </w:r>
      <w:r>
        <w:rPr>
          <w:rFonts w:cs="Arial" w:hint="cs"/>
          <w:rtl/>
        </w:rPr>
        <w:t xml:space="preserve"> </w:t>
      </w:r>
      <w:r>
        <w:rPr>
          <w:rFonts w:cs="Arial" w:hint="cs"/>
          <w:sz w:val="16"/>
          <w:szCs w:val="16"/>
          <w:rtl/>
        </w:rPr>
        <w:t>(</w:t>
      </w:r>
      <w:r w:rsidRPr="00721974">
        <w:rPr>
          <w:rFonts w:cs="Arial"/>
          <w:sz w:val="16"/>
          <w:szCs w:val="16"/>
          <w:rtl/>
        </w:rPr>
        <w:t>כלל לה סי</w:t>
      </w:r>
      <w:r w:rsidRPr="00721974">
        <w:rPr>
          <w:rFonts w:cs="Arial" w:hint="cs"/>
          <w:sz w:val="16"/>
          <w:szCs w:val="16"/>
          <w:rtl/>
        </w:rPr>
        <w:t>'</w:t>
      </w:r>
      <w:r w:rsidRPr="00721974">
        <w:rPr>
          <w:rFonts w:cs="Arial"/>
          <w:sz w:val="16"/>
          <w:szCs w:val="16"/>
          <w:rtl/>
        </w:rPr>
        <w:t xml:space="preserve"> ז</w:t>
      </w:r>
      <w:r w:rsidRPr="00721974">
        <w:rPr>
          <w:rFonts w:cs="Arial" w:hint="cs"/>
          <w:sz w:val="16"/>
          <w:szCs w:val="16"/>
          <w:rtl/>
        </w:rPr>
        <w:t>)</w:t>
      </w:r>
      <w:r>
        <w:rPr>
          <w:rFonts w:cs="Arial" w:hint="cs"/>
          <w:rtl/>
        </w:rPr>
        <w:t xml:space="preserve"> וטור-</w:t>
      </w:r>
      <w:r w:rsidRPr="00F31ACB">
        <w:rPr>
          <w:rFonts w:cs="Arial"/>
          <w:rtl/>
        </w:rPr>
        <w:t xml:space="preserve"> וששאלת ראובן שידך לאה ושלח לה סבלונות</w:t>
      </w:r>
      <w:r w:rsidR="006F6760">
        <w:rPr>
          <w:rFonts w:cs="Arial" w:hint="cs"/>
          <w:rtl/>
        </w:rPr>
        <w:t>,</w:t>
      </w:r>
      <w:r w:rsidRPr="00F31ACB">
        <w:rPr>
          <w:rFonts w:cs="Arial"/>
          <w:rtl/>
        </w:rPr>
        <w:t xml:space="preserve"> והלכה לאה וניסת לאחר</w:t>
      </w:r>
      <w:r w:rsidR="006F6760">
        <w:rPr>
          <w:rFonts w:cs="Arial" w:hint="cs"/>
          <w:rtl/>
        </w:rPr>
        <w:t>,</w:t>
      </w:r>
      <w:r w:rsidRPr="00F31ACB">
        <w:rPr>
          <w:rFonts w:cs="Arial"/>
          <w:rtl/>
        </w:rPr>
        <w:t xml:space="preserve"> ועתה תובע ראובן הסבלונות</w:t>
      </w:r>
      <w:r w:rsidR="006F6760">
        <w:rPr>
          <w:rFonts w:cs="Arial" w:hint="cs"/>
          <w:rtl/>
        </w:rPr>
        <w:t>,</w:t>
      </w:r>
      <w:r w:rsidRPr="00F31ACB">
        <w:rPr>
          <w:rFonts w:cs="Arial"/>
          <w:rtl/>
        </w:rPr>
        <w:t xml:space="preserve"> והיא אומרת שאין לה לשלם כי היא כלתה ואכלה כל הסבלונות</w:t>
      </w:r>
      <w:r>
        <w:rPr>
          <w:rFonts w:cs="Arial" w:hint="cs"/>
          <w:rtl/>
        </w:rPr>
        <w:t xml:space="preserve">.   </w:t>
      </w:r>
      <w:r w:rsidRPr="00F31ACB">
        <w:rPr>
          <w:rFonts w:cs="Arial"/>
          <w:rtl/>
        </w:rPr>
        <w:t xml:space="preserve"> </w:t>
      </w:r>
      <w:r w:rsidR="00FE210D">
        <w:rPr>
          <w:rFonts w:cs="Arial"/>
          <w:rtl/>
        </w:rPr>
        <w:t xml:space="preserve">      תשובה:</w:t>
      </w:r>
      <w:r w:rsidRPr="00F31ACB">
        <w:rPr>
          <w:rFonts w:cs="Arial"/>
          <w:rtl/>
        </w:rPr>
        <w:t xml:space="preserve"> אם הכניסה לבעלה נכסי מלוג</w:t>
      </w:r>
      <w:r>
        <w:rPr>
          <w:rFonts w:cs="Arial" w:hint="cs"/>
          <w:rtl/>
        </w:rPr>
        <w:t>,</w:t>
      </w:r>
      <w:r w:rsidRPr="00F31ACB">
        <w:rPr>
          <w:rFonts w:cs="Arial"/>
          <w:rtl/>
        </w:rPr>
        <w:t xml:space="preserve"> ראובן גובה מהן סבלונותיו</w:t>
      </w:r>
      <w:r w:rsidR="00494913">
        <w:rPr>
          <w:rFonts w:cs="Arial" w:hint="cs"/>
          <w:rtl/>
        </w:rPr>
        <w:t>.</w:t>
      </w:r>
      <w:r w:rsidRPr="00F31ACB">
        <w:rPr>
          <w:rFonts w:cs="Arial"/>
          <w:rtl/>
        </w:rPr>
        <w:t xml:space="preserve"> דהו"ל כמלוה בשטר</w:t>
      </w:r>
      <w:r>
        <w:rPr>
          <w:rFonts w:cs="Arial" w:hint="cs"/>
          <w:rtl/>
        </w:rPr>
        <w:t>,</w:t>
      </w:r>
      <w:r w:rsidRPr="00F31ACB">
        <w:rPr>
          <w:rFonts w:cs="Arial"/>
          <w:rtl/>
        </w:rPr>
        <w:t xml:space="preserve"> שדרך לשלוח הסבלונות בפומבי</w:t>
      </w:r>
      <w:r w:rsidR="00494913">
        <w:rPr>
          <w:rFonts w:cs="Arial" w:hint="cs"/>
          <w:rtl/>
        </w:rPr>
        <w:t>.</w:t>
      </w:r>
      <w:r w:rsidRPr="00F31ACB">
        <w:rPr>
          <w:rFonts w:cs="Arial"/>
          <w:rtl/>
        </w:rPr>
        <w:t xml:space="preserve"> הילכך גובה מנכסי מלוג שהכניסה לו</w:t>
      </w:r>
      <w:r w:rsidRPr="00F20C9C">
        <w:rPr>
          <w:rStyle w:val="a7"/>
          <w:rFonts w:cs="Arial"/>
          <w:color w:val="000000" w:themeColor="text1"/>
          <w:rtl/>
        </w:rPr>
        <w:footnoteReference w:id="1466"/>
      </w:r>
      <w:r>
        <w:rPr>
          <w:rFonts w:cs="Arial" w:hint="cs"/>
          <w:sz w:val="16"/>
          <w:szCs w:val="16"/>
          <w:rtl/>
        </w:rPr>
        <w:t xml:space="preserve"> (ל' הטור בשמו)</w:t>
      </w:r>
      <w:r>
        <w:rPr>
          <w:rFonts w:cs="Arial" w:hint="cs"/>
          <w:rtl/>
        </w:rPr>
        <w:t>.</w:t>
      </w:r>
      <w:r w:rsidRPr="00E103BA">
        <w:rPr>
          <w:rFonts w:cs="Arial" w:hint="cs"/>
          <w:color w:val="E36C0A" w:themeColor="accent6" w:themeShade="BF"/>
          <w:rtl/>
        </w:rPr>
        <w:t xml:space="preserve"> </w:t>
      </w:r>
      <w:r w:rsidRPr="009B52EC">
        <w:rPr>
          <w:rFonts w:cs="Arial" w:hint="cs"/>
          <w:color w:val="E36C0A" w:themeColor="accent6" w:themeShade="BF"/>
          <w:rtl/>
        </w:rPr>
        <w:t>(וכ"פ בשו"ע)</w:t>
      </w:r>
    </w:p>
    <w:p w14:paraId="561CA82E" w14:textId="709EFAB4" w:rsidR="00E103BA" w:rsidRPr="00E103BA" w:rsidRDefault="00E83D81" w:rsidP="00E103BA">
      <w:r w:rsidRPr="00E83D81">
        <w:rPr>
          <w:rFonts w:cs="Arial"/>
          <w:u w:val="single"/>
          <w:rtl/>
        </w:rPr>
        <w:t>אלמנה שידכה את בתה לשמעון</w:t>
      </w:r>
      <w:r w:rsidRPr="00E83D81">
        <w:rPr>
          <w:rFonts w:cs="Arial" w:hint="cs"/>
          <w:u w:val="single"/>
          <w:rtl/>
        </w:rPr>
        <w:t>,</w:t>
      </w:r>
      <w:r w:rsidRPr="00E83D81">
        <w:rPr>
          <w:rFonts w:cs="Arial"/>
          <w:u w:val="single"/>
          <w:rtl/>
        </w:rPr>
        <w:t xml:space="preserve"> ונתחייבה ליתן לו </w:t>
      </w:r>
      <w:r>
        <w:rPr>
          <w:rFonts w:cs="Arial" w:hint="cs"/>
          <w:u w:val="single"/>
          <w:rtl/>
        </w:rPr>
        <w:t>ל</w:t>
      </w:r>
      <w:r w:rsidRPr="00E83D81">
        <w:rPr>
          <w:rFonts w:cs="Arial"/>
          <w:u w:val="single"/>
          <w:rtl/>
        </w:rPr>
        <w:t xml:space="preserve">נישואין </w:t>
      </w:r>
      <w:r>
        <w:rPr>
          <w:rFonts w:cs="Arial" w:hint="cs"/>
          <w:u w:val="single"/>
          <w:rtl/>
        </w:rPr>
        <w:t>נ</w:t>
      </w:r>
      <w:r w:rsidRPr="00E83D81">
        <w:rPr>
          <w:rFonts w:cs="Arial"/>
          <w:u w:val="single"/>
          <w:rtl/>
        </w:rPr>
        <w:t>דוניא</w:t>
      </w:r>
      <w:r w:rsidRPr="00E83D81">
        <w:rPr>
          <w:rFonts w:cs="Arial" w:hint="cs"/>
          <w:u w:val="single"/>
          <w:rtl/>
        </w:rPr>
        <w:t xml:space="preserve">, ואח"כ נשאת האלמנה ונתנה </w:t>
      </w:r>
      <w:r>
        <w:rPr>
          <w:rFonts w:cs="Arial" w:hint="cs"/>
          <w:u w:val="single"/>
          <w:rtl/>
        </w:rPr>
        <w:t>כל נכסיה</w:t>
      </w:r>
      <w:r w:rsidRPr="00E83D81">
        <w:rPr>
          <w:rFonts w:cs="Arial" w:hint="cs"/>
          <w:u w:val="single"/>
          <w:rtl/>
        </w:rPr>
        <w:t xml:space="preserve"> לבעלה:</w:t>
      </w:r>
    </w:p>
    <w:p w14:paraId="70E49753" w14:textId="21C4CBBC" w:rsidR="000340FD" w:rsidRDefault="005D1457" w:rsidP="009000E3">
      <w:pPr>
        <w:pStyle w:val="ab"/>
        <w:numPr>
          <w:ilvl w:val="0"/>
          <w:numId w:val="55"/>
        </w:numPr>
      </w:pPr>
      <w:r w:rsidRPr="00E103BA">
        <w:rPr>
          <w:rFonts w:cs="Arial"/>
          <w:rtl/>
        </w:rPr>
        <w:t xml:space="preserve">רשב"א </w:t>
      </w:r>
      <w:r w:rsidRPr="00E103BA">
        <w:rPr>
          <w:rFonts w:cs="Arial"/>
          <w:sz w:val="16"/>
          <w:szCs w:val="16"/>
          <w:rtl/>
        </w:rPr>
        <w:t>(ח"ד סי' נח)</w:t>
      </w:r>
      <w:r w:rsidR="00E103BA">
        <w:rPr>
          <w:rFonts w:cs="Arial" w:hint="cs"/>
          <w:rtl/>
        </w:rPr>
        <w:t>-</w:t>
      </w:r>
      <w:r w:rsidRPr="00E103BA">
        <w:rPr>
          <w:rFonts w:cs="Arial"/>
          <w:rtl/>
        </w:rPr>
        <w:t xml:space="preserve"> אלמנה שידכה את בתה לשמעון</w:t>
      </w:r>
      <w:r w:rsidR="000340FD">
        <w:rPr>
          <w:rFonts w:cs="Arial" w:hint="cs"/>
          <w:rtl/>
        </w:rPr>
        <w:t>,</w:t>
      </w:r>
      <w:r w:rsidRPr="00E103BA">
        <w:rPr>
          <w:rFonts w:cs="Arial"/>
          <w:rtl/>
        </w:rPr>
        <w:t xml:space="preserve"> ונתחייבה ליתן לו לזמן הנישואין סך מעות בנדוניא</w:t>
      </w:r>
      <w:r w:rsidR="000340FD">
        <w:rPr>
          <w:rFonts w:cs="Arial" w:hint="cs"/>
          <w:rtl/>
        </w:rPr>
        <w:t>.</w:t>
      </w:r>
      <w:r w:rsidRPr="00E103BA">
        <w:rPr>
          <w:rFonts w:cs="Arial"/>
          <w:rtl/>
        </w:rPr>
        <w:t xml:space="preserve"> וקודם זמן נישואי בתה עמדה האלמנה וניסת לבעל</w:t>
      </w:r>
      <w:r w:rsidR="000340FD">
        <w:rPr>
          <w:rFonts w:cs="Arial" w:hint="cs"/>
          <w:rtl/>
        </w:rPr>
        <w:t>,</w:t>
      </w:r>
      <w:r w:rsidRPr="00E103BA">
        <w:rPr>
          <w:rFonts w:cs="Arial"/>
          <w:rtl/>
        </w:rPr>
        <w:t xml:space="preserve"> ונתנה לו כל אשר לה</w:t>
      </w:r>
      <w:r w:rsidR="000340FD">
        <w:rPr>
          <w:rFonts w:cs="Arial" w:hint="cs"/>
          <w:rtl/>
        </w:rPr>
        <w:t>.</w:t>
      </w:r>
      <w:r w:rsidRPr="00E103BA">
        <w:rPr>
          <w:rFonts w:cs="Arial"/>
          <w:rtl/>
        </w:rPr>
        <w:t xml:space="preserve"> ורוצה לפטור עצמה משמעון באמרה שכשחייבה עצמה לשמעון לא היו לה נכסים</w:t>
      </w:r>
      <w:r w:rsidR="000340FD">
        <w:rPr>
          <w:rFonts w:cs="Arial" w:hint="cs"/>
          <w:rtl/>
        </w:rPr>
        <w:t>,</w:t>
      </w:r>
      <w:r w:rsidRPr="00E103BA">
        <w:rPr>
          <w:rFonts w:cs="Arial"/>
          <w:rtl/>
        </w:rPr>
        <w:t xml:space="preserve"> לפי שעדיין לא נשבעה שבועת אלמנה</w:t>
      </w:r>
      <w:r w:rsidR="000340FD">
        <w:rPr>
          <w:rFonts w:cs="Arial" w:hint="cs"/>
          <w:rtl/>
        </w:rPr>
        <w:t>,</w:t>
      </w:r>
      <w:r w:rsidRPr="00E103BA">
        <w:rPr>
          <w:rFonts w:cs="Arial"/>
          <w:rtl/>
        </w:rPr>
        <w:t xml:space="preserve"> ובשטר התנאים אין כתוב דאקנה. </w:t>
      </w:r>
      <w:r w:rsidR="000340FD">
        <w:rPr>
          <w:rFonts w:cs="Arial" w:hint="cs"/>
          <w:rtl/>
        </w:rPr>
        <w:t xml:space="preserve">    </w:t>
      </w:r>
      <w:r w:rsidR="00FE210D">
        <w:rPr>
          <w:rFonts w:cs="Arial" w:hint="cs"/>
          <w:rtl/>
        </w:rPr>
        <w:t xml:space="preserve">      תשובה:</w:t>
      </w:r>
      <w:r w:rsidRPr="00E103BA">
        <w:rPr>
          <w:rFonts w:cs="Arial"/>
          <w:rtl/>
        </w:rPr>
        <w:t xml:space="preserve"> איברא גובה הוא אם יש נכסים ידועים לבעל משלה</w:t>
      </w:r>
      <w:r w:rsidR="000340FD">
        <w:rPr>
          <w:rFonts w:cs="Arial" w:hint="cs"/>
          <w:rtl/>
        </w:rPr>
        <w:t>.</w:t>
      </w:r>
      <w:r w:rsidRPr="00E103BA">
        <w:rPr>
          <w:rFonts w:cs="Arial"/>
          <w:rtl/>
        </w:rPr>
        <w:t xml:space="preserve"> ואצ"ל למאן דס"ל דאחריות טעות סופר אפילו בדאקני</w:t>
      </w:r>
      <w:r w:rsidR="000340FD">
        <w:rPr>
          <w:rFonts w:cs="Arial" w:hint="cs"/>
          <w:rtl/>
        </w:rPr>
        <w:t>,</w:t>
      </w:r>
      <w:r w:rsidRPr="00E103BA">
        <w:rPr>
          <w:rFonts w:cs="Arial"/>
          <w:rtl/>
        </w:rPr>
        <w:t xml:space="preserve"> דלא כתב כמי שכתב</w:t>
      </w:r>
      <w:r w:rsidR="00E83D81">
        <w:rPr>
          <w:rFonts w:cs="Arial" w:hint="cs"/>
          <w:rtl/>
        </w:rPr>
        <w:t>.</w:t>
      </w:r>
      <w:r w:rsidRPr="00E103BA">
        <w:rPr>
          <w:rFonts w:cs="Arial"/>
          <w:rtl/>
        </w:rPr>
        <w:t xml:space="preserve"> אלא אפילו את"ל דלא משתעבד דאקנה אלא אם כן כתב בפירוש</w:t>
      </w:r>
      <w:r w:rsidR="00E83D81">
        <w:rPr>
          <w:rFonts w:cs="Arial" w:hint="cs"/>
          <w:rtl/>
        </w:rPr>
        <w:t>.</w:t>
      </w:r>
      <w:r w:rsidRPr="00E103BA">
        <w:rPr>
          <w:rFonts w:cs="Arial"/>
          <w:rtl/>
        </w:rPr>
        <w:t xml:space="preserve"> דאשה זו נכסים היו לה</w:t>
      </w:r>
      <w:r w:rsidR="000340FD">
        <w:rPr>
          <w:rFonts w:cs="Arial" w:hint="cs"/>
          <w:rtl/>
        </w:rPr>
        <w:t>,</w:t>
      </w:r>
      <w:r w:rsidRPr="00E103BA">
        <w:rPr>
          <w:rFonts w:cs="Arial"/>
          <w:rtl/>
        </w:rPr>
        <w:t xml:space="preserve"> אלא שצריכה שבועה</w:t>
      </w:r>
      <w:r w:rsidR="000340FD">
        <w:rPr>
          <w:rFonts w:cs="Arial" w:hint="cs"/>
          <w:rtl/>
        </w:rPr>
        <w:t>,</w:t>
      </w:r>
      <w:r w:rsidRPr="00E103BA">
        <w:rPr>
          <w:rFonts w:cs="Arial"/>
          <w:rtl/>
        </w:rPr>
        <w:t xml:space="preserve"> וכל זמן שלא נשבעה היא דאינה גובה</w:t>
      </w:r>
      <w:r w:rsidR="000340FD">
        <w:rPr>
          <w:rFonts w:cs="Arial" w:hint="cs"/>
          <w:rtl/>
        </w:rPr>
        <w:t>,</w:t>
      </w:r>
      <w:r w:rsidRPr="00E103BA">
        <w:rPr>
          <w:rFonts w:cs="Arial"/>
          <w:rtl/>
        </w:rPr>
        <w:t xml:space="preserve"> ומדרבנן</w:t>
      </w:r>
      <w:r w:rsidR="000340FD">
        <w:rPr>
          <w:rFonts w:cs="Arial" w:hint="cs"/>
          <w:rtl/>
        </w:rPr>
        <w:t>,</w:t>
      </w:r>
      <w:r w:rsidRPr="00E103BA">
        <w:rPr>
          <w:rFonts w:cs="Arial"/>
          <w:rtl/>
        </w:rPr>
        <w:t xml:space="preserve"> שמא צררי אתפסה</w:t>
      </w:r>
      <w:r w:rsidR="000340FD">
        <w:rPr>
          <w:rFonts w:cs="Arial" w:hint="cs"/>
          <w:rtl/>
        </w:rPr>
        <w:t>.</w:t>
      </w:r>
      <w:r w:rsidRPr="00E103BA">
        <w:rPr>
          <w:rFonts w:cs="Arial"/>
          <w:rtl/>
        </w:rPr>
        <w:t xml:space="preserve"> ועכשיו שנשבעה איגלאי מילתא דלא נפרעה ושלא התפיסה צררי</w:t>
      </w:r>
      <w:r w:rsidR="000340FD">
        <w:rPr>
          <w:rFonts w:cs="Arial" w:hint="cs"/>
          <w:rtl/>
        </w:rPr>
        <w:t>.</w:t>
      </w:r>
      <w:r w:rsidRPr="00E103BA">
        <w:rPr>
          <w:rFonts w:cs="Arial"/>
          <w:rtl/>
        </w:rPr>
        <w:t xml:space="preserve"> שטר כתובה כדקאי קאי</w:t>
      </w:r>
      <w:r w:rsidR="000340FD">
        <w:rPr>
          <w:rFonts w:cs="Arial" w:hint="cs"/>
          <w:rtl/>
        </w:rPr>
        <w:t>.</w:t>
      </w:r>
      <w:r w:rsidRPr="00E103BA">
        <w:rPr>
          <w:rFonts w:cs="Arial"/>
          <w:rtl/>
        </w:rPr>
        <w:t xml:space="preserve"> ומה שהיה לה ה</w:t>
      </w:r>
      <w:r w:rsidR="000340FD">
        <w:rPr>
          <w:rFonts w:cs="Arial" w:hint="cs"/>
          <w:rtl/>
        </w:rPr>
        <w:t>י</w:t>
      </w:r>
      <w:r w:rsidRPr="00E103BA">
        <w:rPr>
          <w:rFonts w:cs="Arial"/>
          <w:rtl/>
        </w:rPr>
        <w:t xml:space="preserve">א גובה. </w:t>
      </w:r>
      <w:r w:rsidR="00213418" w:rsidRPr="00234CC7">
        <w:rPr>
          <w:rFonts w:cs="Arial" w:hint="cs"/>
          <w:color w:val="00B0F0"/>
          <w:rtl/>
        </w:rPr>
        <w:t>(וכ"</w:t>
      </w:r>
      <w:r w:rsidR="00213418">
        <w:rPr>
          <w:rFonts w:cs="Arial" w:hint="cs"/>
          <w:color w:val="00B0F0"/>
          <w:rtl/>
        </w:rPr>
        <w:t>פ</w:t>
      </w:r>
      <w:r w:rsidR="00213418" w:rsidRPr="00234CC7">
        <w:rPr>
          <w:rFonts w:cs="Arial" w:hint="cs"/>
          <w:color w:val="00B0F0"/>
          <w:rtl/>
        </w:rPr>
        <w:t xml:space="preserve"> הרמ"א</w:t>
      </w:r>
      <w:r w:rsidR="00213418">
        <w:rPr>
          <w:rFonts w:cs="Arial" w:hint="cs"/>
          <w:color w:val="00B0F0"/>
          <w:rtl/>
        </w:rPr>
        <w:t>)</w:t>
      </w:r>
    </w:p>
    <w:p w14:paraId="28A3B89A" w14:textId="07F1EE60" w:rsidR="00E83D81" w:rsidRPr="00887DC2" w:rsidRDefault="009403DA" w:rsidP="009403DA">
      <w:pPr>
        <w:rPr>
          <w:u w:val="single"/>
        </w:rPr>
      </w:pPr>
      <w:r>
        <w:rPr>
          <w:rFonts w:cs="Arial" w:hint="cs"/>
          <w:u w:val="single"/>
          <w:rtl/>
        </w:rPr>
        <w:t>אשה שלותה בשטר</w:t>
      </w:r>
      <w:r w:rsidR="00D60ECF">
        <w:rPr>
          <w:rFonts w:cs="Arial" w:hint="cs"/>
          <w:u w:val="single"/>
          <w:rtl/>
        </w:rPr>
        <w:t>,</w:t>
      </w:r>
      <w:r>
        <w:rPr>
          <w:rFonts w:cs="Arial" w:hint="cs"/>
          <w:u w:val="single"/>
          <w:rtl/>
        </w:rPr>
        <w:t xml:space="preserve"> ונשאת - האם הבעל חוב גובה מ</w:t>
      </w:r>
      <w:r w:rsidR="00D60ECF">
        <w:rPr>
          <w:rFonts w:cs="Arial" w:hint="cs"/>
          <w:u w:val="single"/>
          <w:rtl/>
        </w:rPr>
        <w:t>נכסי צ</w:t>
      </w:r>
      <w:r w:rsidR="009559AA">
        <w:rPr>
          <w:rFonts w:cs="Arial" w:hint="cs"/>
          <w:u w:val="single"/>
          <w:rtl/>
        </w:rPr>
        <w:t xml:space="preserve">אן </w:t>
      </w:r>
      <w:r w:rsidR="00D60ECF">
        <w:rPr>
          <w:rFonts w:cs="Arial" w:hint="cs"/>
          <w:u w:val="single"/>
          <w:rtl/>
        </w:rPr>
        <w:t>ב</w:t>
      </w:r>
      <w:r w:rsidR="009559AA">
        <w:rPr>
          <w:rFonts w:cs="Arial" w:hint="cs"/>
          <w:u w:val="single"/>
          <w:rtl/>
        </w:rPr>
        <w:t>רזל</w:t>
      </w:r>
      <w:r>
        <w:rPr>
          <w:rFonts w:cs="Arial" w:hint="cs"/>
          <w:u w:val="single"/>
          <w:rtl/>
        </w:rPr>
        <w:t xml:space="preserve"> </w:t>
      </w:r>
      <w:r w:rsidR="00D60ECF">
        <w:rPr>
          <w:rFonts w:cs="Arial" w:hint="cs"/>
          <w:u w:val="single"/>
          <w:rtl/>
        </w:rPr>
        <w:t>שהכניסה ל</w:t>
      </w:r>
      <w:r>
        <w:rPr>
          <w:rFonts w:cs="Arial" w:hint="cs"/>
          <w:u w:val="single"/>
          <w:rtl/>
        </w:rPr>
        <w:t>בעל:</w:t>
      </w:r>
    </w:p>
    <w:p w14:paraId="043FE14C" w14:textId="4FD87D10" w:rsidR="005D1457" w:rsidRDefault="005D1457" w:rsidP="009000E3">
      <w:pPr>
        <w:pStyle w:val="ab"/>
        <w:numPr>
          <w:ilvl w:val="0"/>
          <w:numId w:val="55"/>
        </w:numPr>
      </w:pPr>
      <w:r w:rsidRPr="00E103BA">
        <w:rPr>
          <w:rFonts w:cs="Arial"/>
          <w:rtl/>
        </w:rPr>
        <w:t xml:space="preserve">רשב"א </w:t>
      </w:r>
      <w:r w:rsidR="00E83D81">
        <w:rPr>
          <w:rFonts w:cs="Arial" w:hint="cs"/>
          <w:sz w:val="16"/>
          <w:szCs w:val="16"/>
          <w:rtl/>
        </w:rPr>
        <w:t>(במיוחסות סי' נו)</w:t>
      </w:r>
      <w:r w:rsidR="00E83D81">
        <w:rPr>
          <w:rFonts w:cs="Arial" w:hint="cs"/>
          <w:rtl/>
        </w:rPr>
        <w:t xml:space="preserve">- </w:t>
      </w:r>
      <w:r w:rsidRPr="00E103BA">
        <w:rPr>
          <w:rFonts w:cs="Arial"/>
          <w:rtl/>
        </w:rPr>
        <w:t>שאלת</w:t>
      </w:r>
      <w:r w:rsidR="00E83D81">
        <w:rPr>
          <w:rFonts w:cs="Arial" w:hint="cs"/>
          <w:rtl/>
        </w:rPr>
        <w:t>,</w:t>
      </w:r>
      <w:r w:rsidRPr="00E103BA">
        <w:rPr>
          <w:rFonts w:cs="Arial"/>
          <w:rtl/>
        </w:rPr>
        <w:t xml:space="preserve"> ראובן ואשתו לוו משמעון בשטר</w:t>
      </w:r>
      <w:r w:rsidR="00E83D81">
        <w:rPr>
          <w:rFonts w:cs="Arial" w:hint="cs"/>
          <w:rtl/>
        </w:rPr>
        <w:t>.</w:t>
      </w:r>
      <w:r w:rsidRPr="00E103BA">
        <w:rPr>
          <w:rFonts w:cs="Arial"/>
          <w:rtl/>
        </w:rPr>
        <w:t xml:space="preserve"> ומת ראובן</w:t>
      </w:r>
      <w:r w:rsidR="00E83D81">
        <w:rPr>
          <w:rFonts w:cs="Arial" w:hint="cs"/>
          <w:rtl/>
        </w:rPr>
        <w:t>.</w:t>
      </w:r>
      <w:r w:rsidRPr="00E103BA">
        <w:rPr>
          <w:rFonts w:cs="Arial"/>
          <w:rtl/>
        </w:rPr>
        <w:t xml:space="preserve"> והגבו בית דין כתובתה</w:t>
      </w:r>
      <w:r w:rsidR="00E83D81">
        <w:rPr>
          <w:rFonts w:cs="Arial" w:hint="cs"/>
          <w:rtl/>
        </w:rPr>
        <w:t>,</w:t>
      </w:r>
      <w:r w:rsidRPr="00E103BA">
        <w:rPr>
          <w:rFonts w:cs="Arial"/>
          <w:rtl/>
        </w:rPr>
        <w:t xml:space="preserve"> ולא הספיקו הנכסים אפילו לפרעון כתובתה</w:t>
      </w:r>
      <w:r w:rsidR="00E83D81">
        <w:rPr>
          <w:rFonts w:cs="Arial" w:hint="cs"/>
          <w:rtl/>
        </w:rPr>
        <w:t>.</w:t>
      </w:r>
      <w:r w:rsidRPr="00E103BA">
        <w:rPr>
          <w:rFonts w:cs="Arial"/>
          <w:rtl/>
        </w:rPr>
        <w:t xml:space="preserve"> ונישאת ללוי</w:t>
      </w:r>
      <w:r w:rsidR="00E83D81">
        <w:rPr>
          <w:rFonts w:cs="Arial" w:hint="cs"/>
          <w:rtl/>
        </w:rPr>
        <w:t>,</w:t>
      </w:r>
      <w:r w:rsidRPr="00E103BA">
        <w:rPr>
          <w:rFonts w:cs="Arial"/>
          <w:rtl/>
        </w:rPr>
        <w:t xml:space="preserve"> והכניסה לו כל מה שיש לה</w:t>
      </w:r>
      <w:r w:rsidR="00E83D81">
        <w:rPr>
          <w:rFonts w:cs="Arial" w:hint="cs"/>
          <w:rtl/>
        </w:rPr>
        <w:t>.</w:t>
      </w:r>
      <w:r w:rsidRPr="00E103BA">
        <w:rPr>
          <w:rFonts w:cs="Arial"/>
          <w:rtl/>
        </w:rPr>
        <w:t xml:space="preserve"> והוציא לוי מקצת נכסים שהכניסה לו</w:t>
      </w:r>
      <w:r w:rsidR="00E83D81">
        <w:rPr>
          <w:rFonts w:cs="Arial" w:hint="cs"/>
          <w:rtl/>
        </w:rPr>
        <w:t>,</w:t>
      </w:r>
      <w:r w:rsidRPr="00E103BA">
        <w:rPr>
          <w:rFonts w:cs="Arial"/>
          <w:rtl/>
        </w:rPr>
        <w:t xml:space="preserve"> והפסיד מקצתן</w:t>
      </w:r>
      <w:r w:rsidR="00E83D81">
        <w:rPr>
          <w:rFonts w:cs="Arial" w:hint="cs"/>
          <w:rtl/>
        </w:rPr>
        <w:t>.</w:t>
      </w:r>
      <w:r w:rsidRPr="00E103BA">
        <w:rPr>
          <w:rFonts w:cs="Arial"/>
          <w:rtl/>
        </w:rPr>
        <w:t xml:space="preserve"> ועכשיו בא שמעון לגבות ממנה חובו</w:t>
      </w:r>
      <w:r w:rsidR="00E83D81">
        <w:rPr>
          <w:rFonts w:cs="Arial" w:hint="cs"/>
          <w:rtl/>
        </w:rPr>
        <w:t>,</w:t>
      </w:r>
      <w:r w:rsidRPr="00E103BA">
        <w:rPr>
          <w:rFonts w:cs="Arial"/>
          <w:rtl/>
        </w:rPr>
        <w:t xml:space="preserve"> ולא מצא לה כלום</w:t>
      </w:r>
      <w:r w:rsidR="00E83D81">
        <w:rPr>
          <w:rFonts w:cs="Arial" w:hint="cs"/>
          <w:rtl/>
        </w:rPr>
        <w:t>.</w:t>
      </w:r>
      <w:r w:rsidRPr="00E103BA">
        <w:rPr>
          <w:rFonts w:cs="Arial"/>
          <w:rtl/>
        </w:rPr>
        <w:t xml:space="preserve"> מהו שיחזור על לוי מפני שהפסיד שעבודו</w:t>
      </w:r>
      <w:r w:rsidR="00E83D81">
        <w:rPr>
          <w:rFonts w:cs="Arial" w:hint="cs"/>
          <w:rtl/>
        </w:rPr>
        <w:t>.</w:t>
      </w:r>
      <w:r w:rsidRPr="00E103BA">
        <w:rPr>
          <w:rFonts w:cs="Arial"/>
          <w:rtl/>
        </w:rPr>
        <w:t xml:space="preserve"> ועוד דהא באשה שלותה ועמדה ונישאת דאיבעיא להו בשילהי יש נוחלין (ב"ב קלט.) כתב הרי"ף שאם לותה בשטר גובה מן הבעל ובשבועה כדרך הבא ליפרע מנכסים משועבדים. </w:t>
      </w:r>
      <w:r w:rsidR="00E83D81">
        <w:rPr>
          <w:rFonts w:cs="Arial" w:hint="cs"/>
          <w:rtl/>
        </w:rPr>
        <w:t xml:space="preserve">   </w:t>
      </w:r>
      <w:r w:rsidR="00FE210D">
        <w:rPr>
          <w:rFonts w:cs="Arial"/>
          <w:rtl/>
        </w:rPr>
        <w:t xml:space="preserve">      תשובה:</w:t>
      </w:r>
      <w:r w:rsidRPr="00E103BA">
        <w:rPr>
          <w:rFonts w:cs="Arial"/>
          <w:rtl/>
        </w:rPr>
        <w:t xml:space="preserve"> אותה בעיא </w:t>
      </w:r>
      <w:r w:rsidR="00E83D81">
        <w:rPr>
          <w:rFonts w:cs="Arial" w:hint="cs"/>
          <w:rtl/>
        </w:rPr>
        <w:t xml:space="preserve">- </w:t>
      </w:r>
      <w:r w:rsidRPr="00E103BA">
        <w:rPr>
          <w:rFonts w:cs="Arial"/>
          <w:rtl/>
        </w:rPr>
        <w:t>בשיש נכסים ידועים שהכניסה לבעל היא</w:t>
      </w:r>
      <w:r w:rsidR="00E83D81">
        <w:rPr>
          <w:rFonts w:cs="Arial" w:hint="cs"/>
          <w:rtl/>
        </w:rPr>
        <w:t>,</w:t>
      </w:r>
      <w:r w:rsidRPr="00E103BA">
        <w:rPr>
          <w:rFonts w:cs="Arial"/>
          <w:rtl/>
        </w:rPr>
        <w:t xml:space="preserve"> ובשלותה על פה</w:t>
      </w:r>
      <w:r w:rsidR="00E83D81">
        <w:rPr>
          <w:rFonts w:cs="Arial" w:hint="cs"/>
          <w:rtl/>
        </w:rPr>
        <w:t>,</w:t>
      </w:r>
      <w:r w:rsidRPr="00E103BA">
        <w:rPr>
          <w:rFonts w:cs="Arial"/>
          <w:rtl/>
        </w:rPr>
        <w:t xml:space="preserve"> דאילו בשטר ממה נפשך הוא גובה מן הבעל</w:t>
      </w:r>
      <w:r w:rsidR="00365AC9">
        <w:rPr>
          <w:rFonts w:cs="Arial" w:hint="cs"/>
          <w:rtl/>
        </w:rPr>
        <w:t>.</w:t>
      </w:r>
      <w:r w:rsidRPr="00E103BA">
        <w:rPr>
          <w:rFonts w:cs="Arial"/>
          <w:rtl/>
        </w:rPr>
        <w:t xml:space="preserve"> בין שעשאוהו כיורש בין שעשאוהו כלוקח</w:t>
      </w:r>
      <w:r w:rsidR="00365AC9">
        <w:rPr>
          <w:rFonts w:cs="Arial" w:hint="cs"/>
          <w:rtl/>
        </w:rPr>
        <w:t>,</w:t>
      </w:r>
      <w:r w:rsidRPr="00E103BA">
        <w:rPr>
          <w:rFonts w:cs="Arial"/>
          <w:rtl/>
        </w:rPr>
        <w:t xml:space="preserve"> דמלוה בשטר גובה אפילו מן הלקוחות</w:t>
      </w:r>
      <w:r w:rsidR="00365AC9">
        <w:rPr>
          <w:rFonts w:cs="Arial" w:hint="cs"/>
          <w:rtl/>
        </w:rPr>
        <w:t>.</w:t>
      </w:r>
      <w:r w:rsidRPr="00E103BA">
        <w:rPr>
          <w:rFonts w:cs="Arial"/>
          <w:rtl/>
        </w:rPr>
        <w:t xml:space="preserve"> וזה שכתב הרי"ף במלוה על פה היא</w:t>
      </w:r>
      <w:r w:rsidR="00365AC9">
        <w:rPr>
          <w:rFonts w:cs="Arial" w:hint="cs"/>
          <w:rtl/>
        </w:rPr>
        <w:t>,</w:t>
      </w:r>
      <w:r w:rsidRPr="00E103BA">
        <w:rPr>
          <w:rFonts w:cs="Arial"/>
          <w:rtl/>
        </w:rPr>
        <w:t xml:space="preserve"> וכשהכניסה לבעלה קרקע ידוע</w:t>
      </w:r>
      <w:r w:rsidR="00365AC9">
        <w:rPr>
          <w:rFonts w:cs="Arial" w:hint="cs"/>
          <w:rtl/>
        </w:rPr>
        <w:t>.</w:t>
      </w:r>
      <w:r w:rsidRPr="00E103BA">
        <w:rPr>
          <w:rFonts w:cs="Arial"/>
          <w:rtl/>
        </w:rPr>
        <w:t xml:space="preserve"> דאילו הכניסה לו מטלטלין</w:t>
      </w:r>
      <w:r w:rsidR="00365AC9">
        <w:rPr>
          <w:rFonts w:cs="Arial" w:hint="cs"/>
          <w:rtl/>
        </w:rPr>
        <w:t>,</w:t>
      </w:r>
      <w:r w:rsidRPr="00E103BA">
        <w:rPr>
          <w:rFonts w:cs="Arial"/>
          <w:rtl/>
        </w:rPr>
        <w:t xml:space="preserve"> בין שויוה כיורש בין שויוה כלוקח אינו גובה</w:t>
      </w:r>
      <w:r>
        <w:rPr>
          <w:rStyle w:val="a7"/>
          <w:rFonts w:cs="Arial"/>
          <w:rtl/>
        </w:rPr>
        <w:footnoteReference w:id="1467"/>
      </w:r>
      <w:r w:rsidR="00365AC9">
        <w:rPr>
          <w:rFonts w:cs="Arial" w:hint="cs"/>
          <w:rtl/>
        </w:rPr>
        <w:t>.</w:t>
      </w:r>
      <w:r w:rsidRPr="00E103BA">
        <w:rPr>
          <w:rFonts w:cs="Arial"/>
          <w:rtl/>
        </w:rPr>
        <w:t xml:space="preserve"> ואפילו היו מטלטלין ידועים</w:t>
      </w:r>
      <w:r w:rsidR="00365AC9">
        <w:rPr>
          <w:rFonts w:cs="Arial" w:hint="cs"/>
          <w:rtl/>
        </w:rPr>
        <w:t>,</w:t>
      </w:r>
      <w:r w:rsidRPr="00E103BA">
        <w:rPr>
          <w:rFonts w:cs="Arial"/>
          <w:rtl/>
        </w:rPr>
        <w:t xml:space="preserve"> משום דאפילו מן היורש אינו גובה</w:t>
      </w:r>
      <w:r w:rsidR="00365AC9">
        <w:rPr>
          <w:rFonts w:cs="Arial" w:hint="cs"/>
          <w:rtl/>
        </w:rPr>
        <w:t>,</w:t>
      </w:r>
      <w:r w:rsidRPr="00E103BA">
        <w:rPr>
          <w:rFonts w:cs="Arial"/>
          <w:rtl/>
        </w:rPr>
        <w:t xml:space="preserve"> דמטלטלי דיתמי לבעל חוב לא משתעבדי (כתובות צב.)</w:t>
      </w:r>
      <w:r w:rsidR="00365AC9">
        <w:rPr>
          <w:rFonts w:cs="Arial" w:hint="cs"/>
          <w:rtl/>
        </w:rPr>
        <w:t>,</w:t>
      </w:r>
      <w:r w:rsidRPr="00E103BA">
        <w:rPr>
          <w:rFonts w:cs="Arial"/>
          <w:rtl/>
        </w:rPr>
        <w:t xml:space="preserve"> וכל שכן מן הלוקח</w:t>
      </w:r>
      <w:r w:rsidR="00365AC9">
        <w:rPr>
          <w:rFonts w:cs="Arial" w:hint="cs"/>
          <w:rtl/>
        </w:rPr>
        <w:t>.</w:t>
      </w:r>
      <w:r w:rsidRPr="00E103BA">
        <w:rPr>
          <w:rFonts w:cs="Arial"/>
          <w:rtl/>
        </w:rPr>
        <w:t xml:space="preserve"> אלא כשהכניסה לו קרקע היא בעיא</w:t>
      </w:r>
      <w:r w:rsidR="00365AC9">
        <w:rPr>
          <w:rFonts w:cs="Arial" w:hint="cs"/>
          <w:rtl/>
        </w:rPr>
        <w:t>,</w:t>
      </w:r>
      <w:r w:rsidRPr="00E103BA">
        <w:rPr>
          <w:rFonts w:cs="Arial"/>
          <w:rtl/>
        </w:rPr>
        <w:t xml:space="preserve"> ובשלותה על פה</w:t>
      </w:r>
      <w:r w:rsidR="00365AC9">
        <w:rPr>
          <w:rFonts w:cs="Arial" w:hint="cs"/>
          <w:rtl/>
        </w:rPr>
        <w:t>.</w:t>
      </w:r>
      <w:r w:rsidRPr="00E103BA">
        <w:rPr>
          <w:rFonts w:cs="Arial"/>
          <w:rtl/>
        </w:rPr>
        <w:t xml:space="preserve"> ולפי' אשה זו אם גבתה מטלטלין בכתובתה והכניס</w:t>
      </w:r>
      <w:r w:rsidR="00D60ECF">
        <w:rPr>
          <w:rFonts w:cs="Arial" w:hint="cs"/>
          <w:rtl/>
        </w:rPr>
        <w:t>ת</w:t>
      </w:r>
      <w:r w:rsidRPr="00E103BA">
        <w:rPr>
          <w:rFonts w:cs="Arial"/>
          <w:rtl/>
        </w:rPr>
        <w:t>ן לבעל</w:t>
      </w:r>
      <w:r w:rsidR="00365AC9">
        <w:rPr>
          <w:rFonts w:cs="Arial" w:hint="cs"/>
          <w:rtl/>
        </w:rPr>
        <w:t>,</w:t>
      </w:r>
      <w:r w:rsidRPr="00E103BA">
        <w:rPr>
          <w:rFonts w:cs="Arial"/>
          <w:rtl/>
        </w:rPr>
        <w:t xml:space="preserve"> אם לא כתבה לב"ח מטלטלי אגב מקרקעי</w:t>
      </w:r>
      <w:r w:rsidR="00365AC9">
        <w:rPr>
          <w:rFonts w:cs="Arial" w:hint="cs"/>
          <w:rtl/>
        </w:rPr>
        <w:t>,</w:t>
      </w:r>
      <w:r w:rsidRPr="00E103BA">
        <w:rPr>
          <w:rFonts w:cs="Arial"/>
          <w:rtl/>
        </w:rPr>
        <w:t xml:space="preserve"> אלא מקרקעי ומטלטלי</w:t>
      </w:r>
      <w:r w:rsidR="00365AC9">
        <w:rPr>
          <w:rFonts w:cs="Arial" w:hint="cs"/>
          <w:rtl/>
        </w:rPr>
        <w:t>,</w:t>
      </w:r>
      <w:r w:rsidRPr="00E103BA">
        <w:rPr>
          <w:rFonts w:cs="Arial"/>
          <w:rtl/>
        </w:rPr>
        <w:t xml:space="preserve"> כמו שהיו נוהגין לכתוב בארצכם</w:t>
      </w:r>
      <w:r w:rsidR="00365AC9">
        <w:rPr>
          <w:rFonts w:cs="Arial" w:hint="cs"/>
          <w:rtl/>
        </w:rPr>
        <w:t>,</w:t>
      </w:r>
      <w:r w:rsidRPr="00E103BA">
        <w:rPr>
          <w:rFonts w:cs="Arial"/>
          <w:rtl/>
        </w:rPr>
        <w:t xml:space="preserve"> אפילו הם עדיין בעין ביד הבעל </w:t>
      </w:r>
      <w:r w:rsidR="00365AC9">
        <w:rPr>
          <w:rFonts w:cs="Arial" w:hint="cs"/>
          <w:rtl/>
        </w:rPr>
        <w:t xml:space="preserve">- </w:t>
      </w:r>
      <w:r w:rsidRPr="00E103BA">
        <w:rPr>
          <w:rFonts w:cs="Arial"/>
          <w:rtl/>
        </w:rPr>
        <w:t>אין בעל חוב גובה מהם</w:t>
      </w:r>
      <w:r w:rsidR="00365AC9">
        <w:rPr>
          <w:rFonts w:cs="Arial" w:hint="cs"/>
          <w:rtl/>
        </w:rPr>
        <w:t>.</w:t>
      </w:r>
      <w:r w:rsidRPr="00E103BA">
        <w:rPr>
          <w:rFonts w:cs="Arial"/>
          <w:rtl/>
        </w:rPr>
        <w:t xml:space="preserve"> </w:t>
      </w:r>
      <w:r w:rsidR="00365AC9">
        <w:rPr>
          <w:rFonts w:cs="Arial" w:hint="cs"/>
          <w:rtl/>
        </w:rPr>
        <w:t>אבל אם כתבה מטלטלי אגב מקרקעי</w:t>
      </w:r>
      <w:r w:rsidRPr="00E103BA">
        <w:rPr>
          <w:rFonts w:cs="Arial"/>
          <w:rtl/>
        </w:rPr>
        <w:t xml:space="preserve"> גבה מטלטלי גבה מקרקעי</w:t>
      </w:r>
      <w:r w:rsidR="00365AC9">
        <w:rPr>
          <w:rFonts w:cs="Arial" w:hint="cs"/>
          <w:rtl/>
        </w:rPr>
        <w:t>.</w:t>
      </w:r>
      <w:r w:rsidRPr="00E103BA">
        <w:rPr>
          <w:rFonts w:cs="Arial"/>
          <w:rtl/>
        </w:rPr>
        <w:t xml:space="preserve"> בין שיהא בעל כיורש בין שיהא כלוקח</w:t>
      </w:r>
      <w:r w:rsidR="00365AC9">
        <w:rPr>
          <w:rFonts w:cs="Arial" w:hint="cs"/>
          <w:rtl/>
        </w:rPr>
        <w:t>.</w:t>
      </w:r>
      <w:r w:rsidRPr="00E103BA">
        <w:rPr>
          <w:rFonts w:cs="Arial"/>
          <w:rtl/>
        </w:rPr>
        <w:t xml:space="preserve"> ואם מלוה על פה היא</w:t>
      </w:r>
      <w:r w:rsidR="00365AC9">
        <w:rPr>
          <w:rFonts w:cs="Arial" w:hint="cs"/>
          <w:rtl/>
        </w:rPr>
        <w:t>,</w:t>
      </w:r>
      <w:r w:rsidRPr="00E103BA">
        <w:rPr>
          <w:rFonts w:cs="Arial"/>
          <w:rtl/>
        </w:rPr>
        <w:t xml:space="preserve"> אינה גובה כלל</w:t>
      </w:r>
      <w:r w:rsidR="00365AC9">
        <w:rPr>
          <w:rFonts w:cs="Arial" w:hint="cs"/>
          <w:rtl/>
        </w:rPr>
        <w:t>,</w:t>
      </w:r>
      <w:r w:rsidRPr="00E103BA">
        <w:rPr>
          <w:rFonts w:cs="Arial"/>
          <w:rtl/>
        </w:rPr>
        <w:t xml:space="preserve"> ואפילו הכניסה לו מקרקעי</w:t>
      </w:r>
      <w:r w:rsidR="00365AC9">
        <w:rPr>
          <w:rFonts w:cs="Arial" w:hint="cs"/>
          <w:rtl/>
        </w:rPr>
        <w:t>.</w:t>
      </w:r>
      <w:r w:rsidRPr="00E103BA">
        <w:rPr>
          <w:rFonts w:cs="Arial"/>
          <w:rtl/>
        </w:rPr>
        <w:t xml:space="preserve"> דמצי בעל למיטען דילמא פרוע הוא</w:t>
      </w:r>
      <w:r w:rsidR="00365AC9">
        <w:rPr>
          <w:rFonts w:cs="Arial" w:hint="cs"/>
          <w:rtl/>
        </w:rPr>
        <w:t>.</w:t>
      </w:r>
      <w:r w:rsidRPr="00E103BA">
        <w:rPr>
          <w:rFonts w:cs="Arial"/>
          <w:rtl/>
        </w:rPr>
        <w:t xml:space="preserve"> ומ"מ משום מזיק שעבודו ליכ</w:t>
      </w:r>
      <w:r w:rsidR="00365AC9">
        <w:rPr>
          <w:rFonts w:cs="Arial" w:hint="cs"/>
          <w:rtl/>
        </w:rPr>
        <w:t>א,</w:t>
      </w:r>
      <w:r w:rsidRPr="00E103BA">
        <w:rPr>
          <w:rFonts w:cs="Arial"/>
          <w:rtl/>
        </w:rPr>
        <w:t xml:space="preserve"> דלא אמרו אלא במזיק ממש כגון שורף שטרותיו של חבירו (ב"ק צח:)</w:t>
      </w:r>
      <w:r w:rsidR="00365AC9">
        <w:rPr>
          <w:rFonts w:cs="Arial" w:hint="cs"/>
          <w:rtl/>
        </w:rPr>
        <w:t>,</w:t>
      </w:r>
      <w:r w:rsidRPr="00E103BA">
        <w:rPr>
          <w:rFonts w:cs="Arial"/>
          <w:rtl/>
        </w:rPr>
        <w:t xml:space="preserve"> או עושה עבדו אפותיקי מפורש ושחררו (גיטין מ:)</w:t>
      </w:r>
      <w:r w:rsidR="00365AC9">
        <w:rPr>
          <w:rFonts w:cs="Arial" w:hint="cs"/>
          <w:rtl/>
        </w:rPr>
        <w:t>,</w:t>
      </w:r>
      <w:r w:rsidRPr="00E103BA">
        <w:rPr>
          <w:rFonts w:cs="Arial"/>
          <w:rtl/>
        </w:rPr>
        <w:t xml:space="preserve"> וכיוצא באלו</w:t>
      </w:r>
      <w:r w:rsidR="00365AC9">
        <w:rPr>
          <w:rFonts w:cs="Arial" w:hint="cs"/>
          <w:rtl/>
        </w:rPr>
        <w:t>.</w:t>
      </w:r>
      <w:r w:rsidRPr="00E103BA">
        <w:rPr>
          <w:rFonts w:cs="Arial"/>
          <w:rtl/>
        </w:rPr>
        <w:t xml:space="preserve"> אבל ב"ח שמכר או נתן לאח</w:t>
      </w:r>
      <w:r w:rsidR="00365AC9">
        <w:rPr>
          <w:rFonts w:cs="Arial" w:hint="cs"/>
          <w:rtl/>
        </w:rPr>
        <w:t>ר</w:t>
      </w:r>
      <w:r w:rsidRPr="00E103BA">
        <w:rPr>
          <w:rFonts w:cs="Arial"/>
          <w:rtl/>
        </w:rPr>
        <w:t xml:space="preserve"> מטלטלין ששעבד לב"ח</w:t>
      </w:r>
      <w:r w:rsidR="00365AC9">
        <w:rPr>
          <w:rFonts w:cs="Arial" w:hint="cs"/>
          <w:rtl/>
        </w:rPr>
        <w:t>,</w:t>
      </w:r>
      <w:r w:rsidRPr="00E103BA">
        <w:rPr>
          <w:rFonts w:cs="Arial"/>
          <w:rtl/>
        </w:rPr>
        <w:t xml:space="preserve"> והלוקח והמקבל מתנה אכלום</w:t>
      </w:r>
      <w:r w:rsidR="00365AC9">
        <w:rPr>
          <w:rFonts w:cs="Arial" w:hint="cs"/>
          <w:rtl/>
        </w:rPr>
        <w:t>,</w:t>
      </w:r>
      <w:r w:rsidRPr="00E103BA">
        <w:rPr>
          <w:rFonts w:cs="Arial"/>
          <w:rtl/>
        </w:rPr>
        <w:t xml:space="preserve"> אין אלו חייבין</w:t>
      </w:r>
      <w:r w:rsidR="00365AC9">
        <w:rPr>
          <w:rFonts w:cs="Arial" w:hint="cs"/>
          <w:rtl/>
        </w:rPr>
        <w:t>,</w:t>
      </w:r>
      <w:r w:rsidRPr="00E103BA">
        <w:rPr>
          <w:rFonts w:cs="Arial"/>
          <w:rtl/>
        </w:rPr>
        <w:t xml:space="preserve"> שהם לא הזיקו כלום</w:t>
      </w:r>
      <w:r w:rsidR="00365AC9">
        <w:rPr>
          <w:rFonts w:cs="Arial" w:hint="cs"/>
          <w:rtl/>
        </w:rPr>
        <w:t>.</w:t>
      </w:r>
      <w:r w:rsidRPr="00E103BA">
        <w:rPr>
          <w:rFonts w:cs="Arial"/>
          <w:rtl/>
        </w:rPr>
        <w:t xml:space="preserve"> אלא המוכרם להם והנותנם</w:t>
      </w:r>
      <w:r w:rsidR="00887DC2">
        <w:rPr>
          <w:rFonts w:cs="Arial" w:hint="cs"/>
          <w:rtl/>
        </w:rPr>
        <w:t>.</w:t>
      </w:r>
      <w:r w:rsidRPr="00E103BA">
        <w:rPr>
          <w:rFonts w:cs="Arial"/>
          <w:rtl/>
        </w:rPr>
        <w:t xml:space="preserve"> אבל הם בדין זכו בהם והוציאום</w:t>
      </w:r>
      <w:r w:rsidR="00E83D81">
        <w:rPr>
          <w:rFonts w:cs="Arial" w:hint="cs"/>
          <w:rtl/>
        </w:rPr>
        <w:t>.</w:t>
      </w:r>
      <w:r w:rsidR="009403DA" w:rsidRPr="009403DA">
        <w:rPr>
          <w:rFonts w:cs="Arial" w:hint="cs"/>
          <w:color w:val="00B0F0"/>
          <w:rtl/>
        </w:rPr>
        <w:t xml:space="preserve"> </w:t>
      </w:r>
      <w:r w:rsidR="009403DA" w:rsidRPr="00234CC7">
        <w:rPr>
          <w:rFonts w:cs="Arial" w:hint="cs"/>
          <w:color w:val="00B0F0"/>
          <w:rtl/>
        </w:rPr>
        <w:t>(וכ"</w:t>
      </w:r>
      <w:r w:rsidR="009403DA">
        <w:rPr>
          <w:rFonts w:cs="Arial" w:hint="cs"/>
          <w:color w:val="00B0F0"/>
          <w:rtl/>
        </w:rPr>
        <w:t>פ</w:t>
      </w:r>
      <w:r w:rsidR="009403DA" w:rsidRPr="00234CC7">
        <w:rPr>
          <w:rFonts w:cs="Arial" w:hint="cs"/>
          <w:color w:val="00B0F0"/>
          <w:rtl/>
        </w:rPr>
        <w:t xml:space="preserve"> הרמ"א</w:t>
      </w:r>
      <w:r w:rsidR="009403DA">
        <w:rPr>
          <w:rFonts w:cs="Arial" w:hint="cs"/>
          <w:color w:val="00B0F0"/>
          <w:rtl/>
        </w:rPr>
        <w:t>)</w:t>
      </w:r>
    </w:p>
    <w:p w14:paraId="6A96132A" w14:textId="13E475DF" w:rsidR="00887DC2" w:rsidRPr="00887DC2" w:rsidRDefault="00887DC2" w:rsidP="00887DC2">
      <w:pPr>
        <w:rPr>
          <w:u w:val="single"/>
        </w:rPr>
      </w:pPr>
      <w:r w:rsidRPr="00887DC2">
        <w:rPr>
          <w:rFonts w:hint="cs"/>
          <w:u w:val="single"/>
          <w:rtl/>
        </w:rPr>
        <w:lastRenderedPageBreak/>
        <w:t xml:space="preserve">אשה </w:t>
      </w:r>
      <w:r w:rsidR="004663C4">
        <w:rPr>
          <w:rFonts w:hint="cs"/>
          <w:u w:val="single"/>
          <w:rtl/>
        </w:rPr>
        <w:t>שמת בעלה, ולקחה חלק מ</w:t>
      </w:r>
      <w:r w:rsidR="00C52351">
        <w:rPr>
          <w:rFonts w:hint="cs"/>
          <w:u w:val="single"/>
          <w:rtl/>
        </w:rPr>
        <w:t>ה</w:t>
      </w:r>
      <w:r w:rsidR="004663C4">
        <w:rPr>
          <w:rFonts w:hint="cs"/>
          <w:u w:val="single"/>
          <w:rtl/>
        </w:rPr>
        <w:t>נכסי</w:t>
      </w:r>
      <w:r w:rsidR="00C52351">
        <w:rPr>
          <w:rFonts w:hint="cs"/>
          <w:u w:val="single"/>
          <w:rtl/>
        </w:rPr>
        <w:t>ם</w:t>
      </w:r>
      <w:r w:rsidR="004663C4">
        <w:rPr>
          <w:rFonts w:hint="cs"/>
          <w:u w:val="single"/>
          <w:rtl/>
        </w:rPr>
        <w:t>, וחתנה</w:t>
      </w:r>
      <w:r w:rsidR="00C52351">
        <w:rPr>
          <w:rFonts w:hint="cs"/>
          <w:u w:val="single"/>
          <w:rtl/>
        </w:rPr>
        <w:t xml:space="preserve"> תובע את החלק שאשתו </w:t>
      </w:r>
      <w:r w:rsidR="00C52351" w:rsidRPr="00C52351">
        <w:rPr>
          <w:rFonts w:hint="cs"/>
          <w:sz w:val="16"/>
          <w:szCs w:val="16"/>
          <w:u w:val="single"/>
          <w:rtl/>
        </w:rPr>
        <w:t>{בת המת}</w:t>
      </w:r>
      <w:r w:rsidR="00C52351">
        <w:rPr>
          <w:rFonts w:hint="cs"/>
          <w:u w:val="single"/>
          <w:rtl/>
        </w:rPr>
        <w:t xml:space="preserve"> צריכה לירש</w:t>
      </w:r>
      <w:r w:rsidRPr="00887DC2">
        <w:rPr>
          <w:rFonts w:hint="cs"/>
          <w:u w:val="single"/>
          <w:rtl/>
        </w:rPr>
        <w:t>:</w:t>
      </w:r>
      <w:r w:rsidR="00213418" w:rsidRPr="00213418">
        <w:rPr>
          <w:rFonts w:cs="Arial" w:hint="cs"/>
          <w:sz w:val="16"/>
          <w:szCs w:val="16"/>
          <w:rtl/>
        </w:rPr>
        <w:t xml:space="preserve"> (דרכ"מ אות ד)</w:t>
      </w:r>
    </w:p>
    <w:p w14:paraId="6CE7C8CF" w14:textId="61FF73D8" w:rsidR="00393099" w:rsidRPr="005D1457" w:rsidRDefault="00887DC2" w:rsidP="00750786">
      <w:pPr>
        <w:pStyle w:val="ab"/>
        <w:numPr>
          <w:ilvl w:val="0"/>
          <w:numId w:val="55"/>
        </w:numPr>
        <w:rPr>
          <w:rtl/>
        </w:rPr>
      </w:pPr>
      <w:r w:rsidRPr="00EB3C2B">
        <w:rPr>
          <w:rFonts w:cs="Arial"/>
          <w:rtl/>
        </w:rPr>
        <w:t xml:space="preserve">מהרי"ק </w:t>
      </w:r>
      <w:r w:rsidRPr="00213418">
        <w:rPr>
          <w:rFonts w:cs="Arial" w:hint="cs"/>
          <w:sz w:val="16"/>
          <w:szCs w:val="16"/>
          <w:rtl/>
        </w:rPr>
        <w:t>(</w:t>
      </w:r>
      <w:r w:rsidRPr="00213418">
        <w:rPr>
          <w:rFonts w:cs="Arial"/>
          <w:sz w:val="16"/>
          <w:szCs w:val="16"/>
          <w:rtl/>
        </w:rPr>
        <w:t>שורש יח ענף א)</w:t>
      </w:r>
      <w:r w:rsidR="00213418">
        <w:rPr>
          <w:rFonts w:cs="Arial" w:hint="cs"/>
          <w:rtl/>
        </w:rPr>
        <w:t>-</w:t>
      </w:r>
      <w:r w:rsidRPr="00EB3C2B">
        <w:rPr>
          <w:rFonts w:cs="Arial"/>
          <w:rtl/>
        </w:rPr>
        <w:t xml:space="preserve"> </w:t>
      </w:r>
      <w:r w:rsidR="00750786" w:rsidRPr="00750786">
        <w:rPr>
          <w:rFonts w:cs="Arial"/>
          <w:rtl/>
        </w:rPr>
        <w:t xml:space="preserve">על דבר שמעון שתובע מלאה חמותו מאה פרחים שנשתעבדה לו בשער נוצרי על יד סופר </w:t>
      </w:r>
      <w:r w:rsidR="00750786">
        <w:rPr>
          <w:rFonts w:cs="Arial" w:hint="cs"/>
          <w:rtl/>
        </w:rPr>
        <w:t>גוי</w:t>
      </w:r>
      <w:r w:rsidR="00750786" w:rsidRPr="00750786">
        <w:rPr>
          <w:rFonts w:cs="Arial"/>
          <w:rtl/>
        </w:rPr>
        <w:t xml:space="preserve"> כמנהגן בערכאותיה'</w:t>
      </w:r>
      <w:r w:rsidR="00750786">
        <w:rPr>
          <w:rFonts w:cs="Arial" w:hint="cs"/>
          <w:rtl/>
        </w:rPr>
        <w:t>,</w:t>
      </w:r>
      <w:r w:rsidR="00750786" w:rsidRPr="00750786">
        <w:rPr>
          <w:rFonts w:cs="Arial"/>
          <w:rtl/>
        </w:rPr>
        <w:t xml:space="preserve"> ואותו השטר היה מחמת פשרה שנתפשרו ביניהם מפני חלק ירושת אשתו שהיה תובע מלאה חמותו</w:t>
      </w:r>
      <w:r w:rsidR="004663C4">
        <w:rPr>
          <w:rFonts w:cs="Arial" w:hint="cs"/>
          <w:sz w:val="16"/>
          <w:szCs w:val="16"/>
          <w:rtl/>
        </w:rPr>
        <w:t xml:space="preserve"> {שמת יעקב בעלה, וירשה אשתו חלק מהנכסים}</w:t>
      </w:r>
      <w:r w:rsidR="00750786" w:rsidRPr="00750786">
        <w:rPr>
          <w:rFonts w:cs="Arial"/>
          <w:rtl/>
        </w:rPr>
        <w:t>. נלע"ד שאין באותו השטר ממש מאחר שלא נעשה בערכאותיהם כמו שכתב בטור</w:t>
      </w:r>
      <w:r w:rsidR="00750786">
        <w:rPr>
          <w:rFonts w:cs="Arial" w:hint="cs"/>
          <w:rtl/>
        </w:rPr>
        <w:t>...</w:t>
      </w:r>
      <w:r w:rsidR="00750786" w:rsidRPr="00750786">
        <w:rPr>
          <w:rFonts w:cs="Arial"/>
          <w:rtl/>
        </w:rPr>
        <w:t xml:space="preserve"> </w:t>
      </w:r>
      <w:r w:rsidR="004663C4" w:rsidRPr="004663C4">
        <w:rPr>
          <w:rFonts w:cs="Arial"/>
          <w:rtl/>
        </w:rPr>
        <w:t>ואפילו תודה לאה באותו השטר שאמת הוא שציותה אותו לסופר לכתוב</w:t>
      </w:r>
      <w:r w:rsidR="004663C4">
        <w:rPr>
          <w:rFonts w:cs="Arial" w:hint="cs"/>
          <w:rtl/>
        </w:rPr>
        <w:t>,</w:t>
      </w:r>
      <w:r w:rsidR="004663C4" w:rsidRPr="004663C4">
        <w:rPr>
          <w:rFonts w:cs="Arial"/>
          <w:rtl/>
        </w:rPr>
        <w:t xml:space="preserve"> מ"מ מאחר שלא מחמת מעות שהלוה לה שמעון חתנה נעשה השטר ההוא</w:t>
      </w:r>
      <w:r w:rsidR="004663C4">
        <w:rPr>
          <w:rFonts w:cs="Arial" w:hint="cs"/>
          <w:rtl/>
        </w:rPr>
        <w:t>,</w:t>
      </w:r>
      <w:r w:rsidR="004663C4" w:rsidRPr="004663C4">
        <w:rPr>
          <w:rFonts w:cs="Arial"/>
          <w:rtl/>
        </w:rPr>
        <w:t xml:space="preserve"> אלא מחמת פשרה חלק ירושת אשתו</w:t>
      </w:r>
      <w:r w:rsidR="004663C4">
        <w:rPr>
          <w:rFonts w:cs="Arial" w:hint="cs"/>
          <w:rtl/>
        </w:rPr>
        <w:t>,</w:t>
      </w:r>
      <w:r w:rsidR="004663C4" w:rsidRPr="004663C4">
        <w:rPr>
          <w:rFonts w:cs="Arial"/>
          <w:rtl/>
        </w:rPr>
        <w:t xml:space="preserve"> לע"ד נראה דלית ביה ממשא וחספא בעלמא הוא כמו שכתוב בטור ח</w:t>
      </w:r>
      <w:r w:rsidR="004663C4">
        <w:rPr>
          <w:rFonts w:cs="Arial" w:hint="cs"/>
          <w:rtl/>
        </w:rPr>
        <w:t>ו</w:t>
      </w:r>
      <w:r w:rsidR="004663C4" w:rsidRPr="004663C4">
        <w:rPr>
          <w:rFonts w:cs="Arial"/>
          <w:rtl/>
        </w:rPr>
        <w:t>"מ וז"ל אבל שטרי מתנת כו' עד וכן שטרות הודאות שפלוני הודה לפלוני שהוא חייב לו או פשרות או מחילות שנעשו אינם כלום אפילו נמסרו בפני ישראל</w:t>
      </w:r>
      <w:r w:rsidR="004663C4">
        <w:rPr>
          <w:rFonts w:cs="Arial" w:hint="cs"/>
          <w:rtl/>
        </w:rPr>
        <w:t>...</w:t>
      </w:r>
      <w:r w:rsidR="004663C4" w:rsidRPr="004663C4">
        <w:rPr>
          <w:rFonts w:cs="Arial"/>
          <w:rtl/>
        </w:rPr>
        <w:t xml:space="preserve"> הכי נמי אין כח באותו שטר </w:t>
      </w:r>
      <w:r w:rsidR="00750786" w:rsidRPr="00750786">
        <w:rPr>
          <w:rFonts w:cs="Arial"/>
          <w:rtl/>
        </w:rPr>
        <w:t>ואין שמעון יוכל לבא על לאה חמותו אלא מכח חלק ירוש</w:t>
      </w:r>
      <w:r w:rsidR="00750786">
        <w:rPr>
          <w:rFonts w:cs="Arial" w:hint="cs"/>
          <w:rtl/>
        </w:rPr>
        <w:t>ת</w:t>
      </w:r>
      <w:r w:rsidR="00750786" w:rsidRPr="00750786">
        <w:rPr>
          <w:rFonts w:cs="Arial"/>
          <w:rtl/>
        </w:rPr>
        <w:t xml:space="preserve"> אשתו בנכסי חמיו</w:t>
      </w:r>
      <w:r w:rsidR="004663C4">
        <w:rPr>
          <w:rFonts w:cs="Arial" w:hint="cs"/>
          <w:rtl/>
        </w:rPr>
        <w:t xml:space="preserve"> </w:t>
      </w:r>
      <w:r w:rsidR="004663C4">
        <w:rPr>
          <w:rFonts w:cs="Arial" w:hint="cs"/>
          <w:sz w:val="16"/>
          <w:szCs w:val="16"/>
          <w:rtl/>
        </w:rPr>
        <w:t>{יעקב}</w:t>
      </w:r>
      <w:r w:rsidR="00750786">
        <w:rPr>
          <w:rFonts w:cs="Arial" w:hint="cs"/>
          <w:rtl/>
        </w:rPr>
        <w:t>.</w:t>
      </w:r>
      <w:r w:rsidR="00750786" w:rsidRPr="00750786">
        <w:rPr>
          <w:rFonts w:cs="Arial"/>
          <w:rtl/>
        </w:rPr>
        <w:t xml:space="preserve"> וא</w:t>
      </w:r>
      <w:r w:rsidR="004663C4">
        <w:rPr>
          <w:rFonts w:cs="Arial" w:hint="cs"/>
          <w:rtl/>
        </w:rPr>
        <w:t>ם כן</w:t>
      </w:r>
      <w:r w:rsidR="00750786" w:rsidRPr="00750786">
        <w:rPr>
          <w:rFonts w:cs="Arial"/>
          <w:rtl/>
        </w:rPr>
        <w:t xml:space="preserve"> הוא שהכניסה לאה לבעלה</w:t>
      </w:r>
      <w:r w:rsidR="004663C4">
        <w:rPr>
          <w:rFonts w:cs="Arial" w:hint="cs"/>
          <w:sz w:val="16"/>
          <w:szCs w:val="16"/>
          <w:rtl/>
        </w:rPr>
        <w:t xml:space="preserve"> {החדש}</w:t>
      </w:r>
      <w:r w:rsidR="00750786" w:rsidRPr="00750786">
        <w:rPr>
          <w:rFonts w:cs="Arial"/>
          <w:rtl/>
        </w:rPr>
        <w:t xml:space="preserve"> יתר על כתובתה </w:t>
      </w:r>
      <w:r w:rsidR="00750786">
        <w:rPr>
          <w:rFonts w:cs="Arial" w:hint="cs"/>
          <w:rtl/>
        </w:rPr>
        <w:t xml:space="preserve">- </w:t>
      </w:r>
      <w:r w:rsidR="00750786" w:rsidRPr="00750786">
        <w:rPr>
          <w:rFonts w:cs="Arial"/>
          <w:rtl/>
        </w:rPr>
        <w:t>פשיטא שבעלה</w:t>
      </w:r>
      <w:r w:rsidR="004663C4">
        <w:rPr>
          <w:rFonts w:cs="Arial" w:hint="cs"/>
          <w:rtl/>
        </w:rPr>
        <w:t xml:space="preserve"> </w:t>
      </w:r>
      <w:r w:rsidR="004663C4">
        <w:rPr>
          <w:rFonts w:cs="Arial" w:hint="cs"/>
          <w:sz w:val="16"/>
          <w:szCs w:val="16"/>
          <w:rtl/>
        </w:rPr>
        <w:t>{החדש}</w:t>
      </w:r>
      <w:r w:rsidR="00750786" w:rsidRPr="00750786">
        <w:rPr>
          <w:rFonts w:cs="Arial"/>
          <w:rtl/>
        </w:rPr>
        <w:t xml:space="preserve"> צריך להחזיר המותר</w:t>
      </w:r>
      <w:r w:rsidR="004663C4">
        <w:rPr>
          <w:rFonts w:cs="Arial" w:hint="cs"/>
          <w:sz w:val="16"/>
          <w:szCs w:val="16"/>
          <w:rtl/>
        </w:rPr>
        <w:t xml:space="preserve"> {שהרי אלו נכסי יעקב בעלה הקודם שמת, וכל היורשים צריכים לחלוק בו}</w:t>
      </w:r>
      <w:r w:rsidR="00750786">
        <w:rPr>
          <w:rFonts w:cs="Arial" w:hint="cs"/>
          <w:rtl/>
        </w:rPr>
        <w:t>,</w:t>
      </w:r>
      <w:r w:rsidR="00750786" w:rsidRPr="00750786">
        <w:rPr>
          <w:rFonts w:cs="Arial"/>
          <w:rtl/>
        </w:rPr>
        <w:t xml:space="preserve"> וזה יחלוקו בין שתי הבנות</w:t>
      </w:r>
      <w:r w:rsidR="00750786">
        <w:rPr>
          <w:rFonts w:cs="Arial" w:hint="cs"/>
          <w:rtl/>
        </w:rPr>
        <w:t>,</w:t>
      </w:r>
      <w:r w:rsidR="00750786" w:rsidRPr="00750786">
        <w:rPr>
          <w:rFonts w:cs="Arial"/>
          <w:rtl/>
        </w:rPr>
        <w:t xml:space="preserve"> ר"ל אשתו של שמעון ואשתו של יהודה בנות של יעקב בעלה של לאה</w:t>
      </w:r>
      <w:r w:rsidR="00750786">
        <w:rPr>
          <w:rFonts w:cs="Arial" w:hint="cs"/>
          <w:rtl/>
        </w:rPr>
        <w:t>,</w:t>
      </w:r>
      <w:r w:rsidR="00750786" w:rsidRPr="00750786">
        <w:rPr>
          <w:rFonts w:cs="Arial"/>
          <w:rtl/>
        </w:rPr>
        <w:t xml:space="preserve"> אחרי אשר תטול אשת יהודה כנגד מה שנטלה כבר אשת שמעון</w:t>
      </w:r>
      <w:r w:rsidR="00750786">
        <w:rPr>
          <w:rFonts w:cs="Arial" w:hint="cs"/>
          <w:rtl/>
        </w:rPr>
        <w:t>.</w:t>
      </w:r>
      <w:r w:rsidR="00750786" w:rsidRPr="00750786">
        <w:rPr>
          <w:rFonts w:cs="Arial"/>
          <w:rtl/>
        </w:rPr>
        <w:t xml:space="preserve"> אבל אם לא הכניסה לאה אלא כדי כתובתה נלע"ד שאין לשמעון עליה ולא על בעלה כלום כדפי' לעיל</w:t>
      </w:r>
      <w:r w:rsidR="00750786">
        <w:rPr>
          <w:rFonts w:hint="cs"/>
          <w:rtl/>
        </w:rPr>
        <w:t xml:space="preserve">. </w:t>
      </w:r>
      <w:r w:rsidR="00213418" w:rsidRPr="00750786">
        <w:rPr>
          <w:rFonts w:cs="Arial" w:hint="cs"/>
          <w:color w:val="00B0F0"/>
          <w:rtl/>
        </w:rPr>
        <w:t>(וכ"פ הרמ"א)</w:t>
      </w:r>
      <w:r w:rsidR="002316C6">
        <w:rPr>
          <w:rFonts w:hint="cs"/>
          <w:rtl/>
        </w:rPr>
        <w:t xml:space="preserve"> </w:t>
      </w:r>
    </w:p>
    <w:p w14:paraId="0A5842B5"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69B8B7C1" w14:textId="70B72837" w:rsidR="007A3469" w:rsidRPr="007A3469" w:rsidRDefault="007A3469" w:rsidP="007A3469">
      <w:pPr>
        <w:rPr>
          <w:rtl/>
        </w:rPr>
        <w:sectPr w:rsidR="007A3469" w:rsidRPr="007A3469" w:rsidSect="00A347B3">
          <w:headerReference w:type="default" r:id="rId34"/>
          <w:footnotePr>
            <w:numRestart w:val="eachSect"/>
          </w:footnotePr>
          <w:pgSz w:w="11906" w:h="16838"/>
          <w:pgMar w:top="720" w:right="1134" w:bottom="720" w:left="1134" w:header="0" w:footer="0" w:gutter="0"/>
          <w:cols w:space="720"/>
          <w:bidi/>
          <w:rtlGutter/>
          <w:docGrid w:linePitch="360"/>
        </w:sectPr>
      </w:pPr>
      <w:r>
        <w:rPr>
          <w:rFonts w:cs="Arial"/>
          <w:rtl/>
        </w:rPr>
        <w:t>שלח סבלונות למשודכת</w:t>
      </w:r>
      <w:r w:rsidR="006F6760">
        <w:rPr>
          <w:rFonts w:cs="Arial" w:hint="cs"/>
          <w:rtl/>
        </w:rPr>
        <w:t>,</w:t>
      </w:r>
      <w:r>
        <w:rPr>
          <w:rFonts w:cs="Arial"/>
          <w:rtl/>
        </w:rPr>
        <w:t xml:space="preserve"> והלכה ונשאת לאחר, והלה תובע סבלונותיו, דינם כמלוה בשטר</w:t>
      </w:r>
      <w:r w:rsidR="009559AA" w:rsidRPr="00F20C9C">
        <w:rPr>
          <w:rStyle w:val="a7"/>
          <w:rFonts w:cs="Arial"/>
          <w:color w:val="000000" w:themeColor="text1"/>
          <w:rtl/>
        </w:rPr>
        <w:footnoteReference w:id="1468"/>
      </w:r>
      <w:r>
        <w:rPr>
          <w:rFonts w:cs="Arial"/>
          <w:rtl/>
        </w:rPr>
        <w:t xml:space="preserve">. </w:t>
      </w:r>
      <w:r w:rsidRPr="00DA1E36">
        <w:rPr>
          <w:rFonts w:cs="Arial"/>
          <w:sz w:val="18"/>
          <w:szCs w:val="18"/>
          <w:rtl/>
        </w:rPr>
        <w:t>הגה: אם לקחה יותר מכתובה ונשאת, צריך הבעל להחזיר המותר</w:t>
      </w:r>
      <w:r w:rsidR="00393099" w:rsidRPr="00393099">
        <w:rPr>
          <w:rStyle w:val="a7"/>
          <w:rFonts w:cs="Arial"/>
          <w:color w:val="000000" w:themeColor="text1"/>
          <w:sz w:val="18"/>
          <w:szCs w:val="18"/>
          <w:rtl/>
        </w:rPr>
        <w:footnoteReference w:id="1469"/>
      </w:r>
      <w:r w:rsidRPr="00DA1E36">
        <w:rPr>
          <w:rFonts w:cs="Arial"/>
          <w:sz w:val="18"/>
          <w:szCs w:val="18"/>
          <w:rtl/>
        </w:rPr>
        <w:t xml:space="preserve"> (מהרי"ק). וכן אם נתחייבת מס ונשאת, הוי כשלח הסבלונות, דכל אלו קלא אית להו ואין דרך לעשות בה שטר, לכן הוי כמלוה בשטר (מהר"ם פאדווה). אבל ניזקין ומקח ודברים אחרים, אין חייב לשלם</w:t>
      </w:r>
      <w:r w:rsidR="00393099" w:rsidRPr="00393099">
        <w:rPr>
          <w:rStyle w:val="a7"/>
          <w:rFonts w:cs="Arial"/>
          <w:color w:val="000000" w:themeColor="text1"/>
          <w:sz w:val="18"/>
          <w:szCs w:val="18"/>
          <w:rtl/>
        </w:rPr>
        <w:footnoteReference w:id="1470"/>
      </w:r>
      <w:r w:rsidRPr="00DA1E36">
        <w:rPr>
          <w:rFonts w:cs="Arial"/>
          <w:sz w:val="18"/>
          <w:szCs w:val="18"/>
          <w:rtl/>
        </w:rPr>
        <w:t xml:space="preserve"> (נ</w:t>
      </w:r>
      <w:r w:rsidR="00213418">
        <w:rPr>
          <w:rFonts w:cs="Arial" w:hint="cs"/>
          <w:sz w:val="18"/>
          <w:szCs w:val="18"/>
          <w:rtl/>
        </w:rPr>
        <w:t>מוק</w:t>
      </w:r>
      <w:r w:rsidRPr="00DA1E36">
        <w:rPr>
          <w:rFonts w:cs="Arial"/>
          <w:sz w:val="18"/>
          <w:szCs w:val="18"/>
          <w:rtl/>
        </w:rPr>
        <w:t>"י). אשה ששדכה בתה לשמעון ונתחייבה בנדוניא, ואח"כ נשאת בעצמה לאיש, המשודך לבתה מוציא כל מה שנתחייבה מבעלה מנכסים שהכניסה לו, דהוי כמלוה בשטר, אע</w:t>
      </w:r>
      <w:r w:rsidR="00C0558B">
        <w:rPr>
          <w:rFonts w:cs="Arial" w:hint="cs"/>
          <w:sz w:val="18"/>
          <w:szCs w:val="18"/>
          <w:rtl/>
        </w:rPr>
        <w:t>"</w:t>
      </w:r>
      <w:r w:rsidRPr="00DA1E36">
        <w:rPr>
          <w:rFonts w:cs="Arial"/>
          <w:sz w:val="18"/>
          <w:szCs w:val="18"/>
          <w:rtl/>
        </w:rPr>
        <w:t>פ שבשעה שעשתה השדוכין לבתה עדיין לא נשבעה על כתובתה, מ"מ מאחר דנשבעת לבסוף אגלי מילתא למפרע דמה שעשתה תחילה בדין היה (רשב"א). י"א הא דמלוה בשטר גובה מן הבעל מנכסים שהכניסה לו, היינו שהכניסה לו קרקע</w:t>
      </w:r>
      <w:r w:rsidR="00D60ECF">
        <w:rPr>
          <w:rFonts w:cs="Arial" w:hint="cs"/>
          <w:sz w:val="18"/>
          <w:szCs w:val="18"/>
          <w:rtl/>
        </w:rPr>
        <w:t>,</w:t>
      </w:r>
      <w:r w:rsidRPr="00DA1E36">
        <w:rPr>
          <w:rFonts w:cs="Arial"/>
          <w:sz w:val="18"/>
          <w:szCs w:val="18"/>
          <w:rtl/>
        </w:rPr>
        <w:t xml:space="preserve"> או מטלטלין וכתבה לבעלה חוב המטלטלים אגב קרקע</w:t>
      </w:r>
      <w:r w:rsidR="002316C6" w:rsidRPr="00393099">
        <w:rPr>
          <w:rStyle w:val="a7"/>
          <w:rFonts w:cs="Arial"/>
          <w:color w:val="000000" w:themeColor="text1"/>
          <w:sz w:val="18"/>
          <w:szCs w:val="18"/>
          <w:rtl/>
        </w:rPr>
        <w:footnoteReference w:id="1471"/>
      </w:r>
      <w:r w:rsidR="00213418">
        <w:rPr>
          <w:rFonts w:cs="Arial" w:hint="cs"/>
          <w:sz w:val="18"/>
          <w:szCs w:val="18"/>
          <w:rtl/>
        </w:rPr>
        <w:t>.</w:t>
      </w:r>
      <w:r w:rsidRPr="00DA1E36">
        <w:rPr>
          <w:rFonts w:cs="Arial"/>
          <w:sz w:val="18"/>
          <w:szCs w:val="18"/>
          <w:rtl/>
        </w:rPr>
        <w:t xml:space="preserve"> אבל לא כתבה לו אגב, ולא הכניסה לו רק מטלטלין, אפילו מלוה בשטר אינה גובה מבעלה</w:t>
      </w:r>
      <w:r w:rsidR="00D60ECF" w:rsidRPr="00393099">
        <w:rPr>
          <w:rStyle w:val="a7"/>
          <w:rFonts w:cs="Arial"/>
          <w:color w:val="000000" w:themeColor="text1"/>
          <w:sz w:val="18"/>
          <w:szCs w:val="18"/>
          <w:rtl/>
        </w:rPr>
        <w:footnoteReference w:id="1472"/>
      </w:r>
      <w:r w:rsidRPr="00DA1E36">
        <w:rPr>
          <w:rFonts w:cs="Arial"/>
          <w:sz w:val="18"/>
          <w:szCs w:val="18"/>
          <w:rtl/>
        </w:rPr>
        <w:t>, דאין ב"ח טורף מטלטלין המשועבדים (</w:t>
      </w:r>
      <w:r w:rsidR="00C0558B">
        <w:rPr>
          <w:rFonts w:cs="Arial" w:hint="cs"/>
          <w:sz w:val="18"/>
          <w:szCs w:val="18"/>
          <w:rtl/>
        </w:rPr>
        <w:t>רשב"א</w:t>
      </w:r>
      <w:r w:rsidRPr="00DA1E36">
        <w:rPr>
          <w:rFonts w:cs="Arial"/>
          <w:sz w:val="18"/>
          <w:szCs w:val="18"/>
          <w:rtl/>
        </w:rPr>
        <w:t>)</w:t>
      </w:r>
      <w:r w:rsidR="00213418">
        <w:rPr>
          <w:rFonts w:cs="Arial" w:hint="cs"/>
          <w:sz w:val="18"/>
          <w:szCs w:val="18"/>
          <w:rtl/>
        </w:rPr>
        <w:t>.</w:t>
      </w:r>
      <w:r w:rsidRPr="00DA1E36">
        <w:rPr>
          <w:rFonts w:cs="Arial"/>
          <w:sz w:val="18"/>
          <w:szCs w:val="18"/>
          <w:rtl/>
        </w:rPr>
        <w:t xml:space="preserve"> וסברא נכונה היא. ומ"מ נראה להו דבמכנסת שאינה שלה, כגון שלקחה יתר מכתובתה, חייב להחזיר בכל ענין. ועיין בת"ה סוף סימן ר"כ (נתבאר לעיל).</w:t>
      </w:r>
    </w:p>
    <w:p w14:paraId="7D601068" w14:textId="4F0F6F38" w:rsidR="007A3469" w:rsidRDefault="00DB717C" w:rsidP="007A3469">
      <w:pPr>
        <w:pStyle w:val="1"/>
        <w:rPr>
          <w:rtl/>
        </w:rPr>
      </w:pPr>
      <w:r>
        <w:rPr>
          <w:rFonts w:hint="cs"/>
          <w:rtl/>
        </w:rPr>
        <w:lastRenderedPageBreak/>
        <w:t>סימן צב:</w:t>
      </w:r>
      <w:r w:rsidRPr="00C12B74">
        <w:rPr>
          <w:rtl/>
        </w:rPr>
        <w:t xml:space="preserve"> </w:t>
      </w:r>
      <w:r w:rsidR="007A3469">
        <w:rPr>
          <w:rFonts w:cs="Arial"/>
          <w:rtl/>
        </w:rPr>
        <w:t xml:space="preserve">האיש שסילק עצמו מפירות נכסי אשתו ומירושתה, ובו ח' סעיפים. </w:t>
      </w:r>
    </w:p>
    <w:p w14:paraId="69626442" w14:textId="60743276" w:rsidR="007A3469" w:rsidRDefault="007A3469" w:rsidP="000F64D0">
      <w:pPr>
        <w:pStyle w:val="2"/>
        <w:rPr>
          <w:rtl/>
        </w:rPr>
      </w:pPr>
      <w:r>
        <w:rPr>
          <w:rtl/>
        </w:rPr>
        <w:t>סעיף א</w:t>
      </w:r>
      <w:r w:rsidR="005D1457">
        <w:rPr>
          <w:rFonts w:hint="cs"/>
          <w:rtl/>
        </w:rPr>
        <w:t>:</w:t>
      </w:r>
      <w:r w:rsidR="00294ED1">
        <w:rPr>
          <w:rFonts w:hint="cs"/>
          <w:rtl/>
        </w:rPr>
        <w:t xml:space="preserve"> הכותב לאשתו בעודה ארוסה </w:t>
      </w:r>
      <w:r w:rsidR="0094580F">
        <w:rPr>
          <w:rFonts w:hint="cs"/>
          <w:rtl/>
        </w:rPr>
        <w:t>"</w:t>
      </w:r>
      <w:r w:rsidR="00294ED1">
        <w:rPr>
          <w:rFonts w:hint="cs"/>
          <w:rtl/>
        </w:rPr>
        <w:t>דין ודברים אין לי בנכסיך</w:t>
      </w:r>
      <w:r w:rsidR="0094580F">
        <w:rPr>
          <w:rFonts w:hint="cs"/>
          <w:rtl/>
        </w:rPr>
        <w:t>"</w:t>
      </w:r>
      <w:r w:rsidR="00294ED1">
        <w:rPr>
          <w:rFonts w:hint="cs"/>
          <w:rtl/>
        </w:rPr>
        <w:t>.</w:t>
      </w:r>
    </w:p>
    <w:p w14:paraId="10C85BAA" w14:textId="0E7E064B" w:rsidR="00D33625" w:rsidRPr="00D33625" w:rsidRDefault="00D33625" w:rsidP="00D33625">
      <w:pPr>
        <w:rPr>
          <w:rtl/>
        </w:rPr>
      </w:pPr>
      <w:r w:rsidRPr="00D33625">
        <w:rPr>
          <w:rFonts w:cs="Arial" w:hint="cs"/>
          <w:b/>
          <w:bCs/>
          <w:rtl/>
        </w:rPr>
        <w:t xml:space="preserve">כתובות </w:t>
      </w:r>
      <w:r w:rsidRPr="00D33625">
        <w:rPr>
          <w:rFonts w:cs="Arial" w:hint="cs"/>
          <w:b/>
          <w:bCs/>
          <w:sz w:val="16"/>
          <w:szCs w:val="16"/>
          <w:rtl/>
        </w:rPr>
        <w:t>(ר"פ הכותב)</w:t>
      </w:r>
      <w:r w:rsidRPr="00D33625">
        <w:rPr>
          <w:rFonts w:cs="Arial" w:hint="cs"/>
          <w:b/>
          <w:bCs/>
          <w:rtl/>
        </w:rPr>
        <w:t xml:space="preserve"> פג ע"א:</w:t>
      </w:r>
      <w:r>
        <w:rPr>
          <w:rFonts w:cs="Arial" w:hint="cs"/>
          <w:rtl/>
        </w:rPr>
        <w:t xml:space="preserve"> </w:t>
      </w:r>
      <w:r w:rsidRPr="00D33625">
        <w:rPr>
          <w:rFonts w:cs="Arial"/>
          <w:u w:val="double"/>
          <w:rtl/>
        </w:rPr>
        <w:t>מתני'</w:t>
      </w:r>
      <w:r>
        <w:rPr>
          <w:rFonts w:cs="Arial" w:hint="cs"/>
          <w:rtl/>
        </w:rPr>
        <w:t>:</w:t>
      </w:r>
      <w:r>
        <w:rPr>
          <w:rFonts w:cs="Arial"/>
          <w:rtl/>
        </w:rPr>
        <w:t xml:space="preserve"> הכותב לאשתו דין ודברים אין לי בנכסיך - הרי זה אוכל פירות בחייה, ואם מתה - יורשה. אם כן, למה כתב לה דין ודברים אין לי בנכסיך? שאם מכרה ונתנה - קיים. </w:t>
      </w:r>
      <w:r>
        <w:rPr>
          <w:rFonts w:hint="cs"/>
          <w:rtl/>
        </w:rPr>
        <w:t xml:space="preserve">        </w:t>
      </w:r>
      <w:r w:rsidRPr="00D33625">
        <w:rPr>
          <w:rFonts w:cs="Arial"/>
          <w:u w:val="double"/>
          <w:rtl/>
        </w:rPr>
        <w:t>גמ'</w:t>
      </w:r>
      <w:r>
        <w:rPr>
          <w:rFonts w:cs="Arial" w:hint="cs"/>
          <w:rtl/>
        </w:rPr>
        <w:t>:</w:t>
      </w:r>
      <w:r>
        <w:rPr>
          <w:rFonts w:cs="Arial"/>
          <w:rtl/>
        </w:rPr>
        <w:t xml:space="preserve"> </w:t>
      </w:r>
      <w:r w:rsidRPr="00D33625">
        <w:rPr>
          <w:rFonts w:cs="Arial"/>
          <w:u w:val="single"/>
          <w:rtl/>
        </w:rPr>
        <w:t>תני רבי חייא</w:t>
      </w:r>
      <w:r>
        <w:rPr>
          <w:rFonts w:cs="Arial"/>
          <w:rtl/>
        </w:rPr>
        <w:t>: האומר לאשתו</w:t>
      </w:r>
      <w:r w:rsidRPr="00F20C9C">
        <w:rPr>
          <w:rStyle w:val="a7"/>
          <w:rFonts w:cs="Arial"/>
          <w:color w:val="000000" w:themeColor="text1"/>
          <w:rtl/>
        </w:rPr>
        <w:footnoteReference w:id="1473"/>
      </w:r>
      <w:r>
        <w:rPr>
          <w:rFonts w:cs="Arial"/>
          <w:rtl/>
        </w:rPr>
        <w:t xml:space="preserve">. וכי כתב לה הכי מאי הוי? והתניא: האומר לחבירו דין ודברים אין לי על שדה זו, ואין לי עסק בה, וידי מסולקת הימנה - לא אמר כלום! </w:t>
      </w:r>
      <w:r w:rsidRPr="00BF2308">
        <w:rPr>
          <w:rFonts w:cs="Arial"/>
          <w:u w:val="single"/>
          <w:rtl/>
        </w:rPr>
        <w:t>אמרי דבי רבי ינאי</w:t>
      </w:r>
      <w:r>
        <w:rPr>
          <w:rFonts w:cs="Arial"/>
          <w:rtl/>
        </w:rPr>
        <w:t>: בכותב לה ועודה ארוסה</w:t>
      </w:r>
      <w:r w:rsidR="00BF2308" w:rsidRPr="00F20C9C">
        <w:rPr>
          <w:rStyle w:val="a7"/>
          <w:rFonts w:cs="Arial"/>
          <w:color w:val="000000" w:themeColor="text1"/>
          <w:rtl/>
        </w:rPr>
        <w:footnoteReference w:id="1474"/>
      </w:r>
      <w:r w:rsidR="00BF2308">
        <w:rPr>
          <w:rFonts w:cs="Arial" w:hint="cs"/>
          <w:rtl/>
        </w:rPr>
        <w:t>.</w:t>
      </w:r>
      <w:r>
        <w:rPr>
          <w:rFonts w:cs="Arial"/>
          <w:rtl/>
        </w:rPr>
        <w:t xml:space="preserve"> כדרב כהנא, דאמר רב כהנא: נחלה הבאה לאדם ממקום אחר</w:t>
      </w:r>
      <w:r w:rsidR="00BF2308" w:rsidRPr="00F20C9C">
        <w:rPr>
          <w:rStyle w:val="a7"/>
          <w:rFonts w:cs="Arial"/>
          <w:color w:val="000000" w:themeColor="text1"/>
          <w:rtl/>
        </w:rPr>
        <w:footnoteReference w:id="1475"/>
      </w:r>
      <w:r>
        <w:rPr>
          <w:rFonts w:cs="Arial"/>
          <w:rtl/>
        </w:rPr>
        <w:t>, אדם מתנה עליה שלא יירשנה</w:t>
      </w:r>
      <w:r w:rsidR="00BF2308">
        <w:rPr>
          <w:rFonts w:cs="Arial" w:hint="cs"/>
          <w:rtl/>
        </w:rPr>
        <w:t>.</w:t>
      </w:r>
      <w:r>
        <w:rPr>
          <w:rFonts w:cs="Arial"/>
          <w:rtl/>
        </w:rPr>
        <w:t xml:space="preserve"> וכדרבא, דאמר רבא: האומר אי אפשי בתקנת חכמים</w:t>
      </w:r>
      <w:r w:rsidR="00BF2308" w:rsidRPr="00F20C9C">
        <w:rPr>
          <w:rStyle w:val="a7"/>
          <w:rFonts w:cs="Arial"/>
          <w:color w:val="000000" w:themeColor="text1"/>
          <w:rtl/>
        </w:rPr>
        <w:footnoteReference w:id="1476"/>
      </w:r>
      <w:r>
        <w:rPr>
          <w:rFonts w:cs="Arial"/>
          <w:rtl/>
        </w:rPr>
        <w:t xml:space="preserve"> כגון זו - שומעין לו. מאי כגון זו? כדרב הונא אמר רב, דאמר רב הונא אמר רב: יכולה אשה שתאמר לבעלה איני ניזונת ואיני עושה. אי הכי</w:t>
      </w:r>
      <w:r w:rsidR="00BF2308" w:rsidRPr="00F20C9C">
        <w:rPr>
          <w:rStyle w:val="a7"/>
          <w:rFonts w:cs="Arial"/>
          <w:color w:val="000000" w:themeColor="text1"/>
          <w:rtl/>
        </w:rPr>
        <w:footnoteReference w:id="1477"/>
      </w:r>
      <w:r>
        <w:rPr>
          <w:rFonts w:cs="Arial"/>
          <w:rtl/>
        </w:rPr>
        <w:t xml:space="preserve">, אפילו נשואה נמי! </w:t>
      </w:r>
      <w:r w:rsidRPr="008B4881">
        <w:rPr>
          <w:rFonts w:cs="Arial"/>
          <w:u w:val="single"/>
          <w:rtl/>
        </w:rPr>
        <w:t>אמר אביי</w:t>
      </w:r>
      <w:r>
        <w:rPr>
          <w:rFonts w:cs="Arial"/>
          <w:rtl/>
        </w:rPr>
        <w:t>: נשואה - ידו כידה</w:t>
      </w:r>
      <w:r w:rsidR="00BF2308" w:rsidRPr="00F20C9C">
        <w:rPr>
          <w:rStyle w:val="a7"/>
          <w:rFonts w:cs="Arial"/>
          <w:color w:val="000000" w:themeColor="text1"/>
          <w:rtl/>
        </w:rPr>
        <w:footnoteReference w:id="1478"/>
      </w:r>
      <w:r w:rsidR="00BF2308">
        <w:rPr>
          <w:rFonts w:cs="Arial" w:hint="cs"/>
          <w:rtl/>
        </w:rPr>
        <w:t>.</w:t>
      </w:r>
      <w:r>
        <w:rPr>
          <w:rFonts w:cs="Arial"/>
          <w:rtl/>
        </w:rPr>
        <w:t xml:space="preserve"> </w:t>
      </w:r>
      <w:r w:rsidRPr="008B4881">
        <w:rPr>
          <w:rFonts w:cs="Arial"/>
          <w:u w:val="single"/>
          <w:rtl/>
        </w:rPr>
        <w:t>רבא אמר</w:t>
      </w:r>
      <w:r>
        <w:rPr>
          <w:rFonts w:cs="Arial"/>
          <w:rtl/>
        </w:rPr>
        <w:t xml:space="preserve">: ידו עדיפא מידה. </w:t>
      </w:r>
      <w:r w:rsidR="00915746" w:rsidRPr="00915746">
        <w:rPr>
          <w:rFonts w:cs="Arial"/>
          <w:rtl/>
        </w:rPr>
        <w:t>נפקא מינה? לשומרת יבם. איבעיא להו: קנו מידו</w:t>
      </w:r>
      <w:r w:rsidR="003009B8" w:rsidRPr="00F20C9C">
        <w:rPr>
          <w:rStyle w:val="a7"/>
          <w:rFonts w:cs="Arial"/>
          <w:color w:val="000000" w:themeColor="text1"/>
          <w:rtl/>
        </w:rPr>
        <w:footnoteReference w:id="1479"/>
      </w:r>
      <w:r w:rsidR="00915746" w:rsidRPr="00915746">
        <w:rPr>
          <w:rFonts w:cs="Arial"/>
          <w:rtl/>
        </w:rPr>
        <w:t>, מהו</w:t>
      </w:r>
      <w:r w:rsidR="007E16F2" w:rsidRPr="00F20C9C">
        <w:rPr>
          <w:rStyle w:val="a7"/>
          <w:rFonts w:cs="Arial"/>
          <w:color w:val="000000" w:themeColor="text1"/>
          <w:rtl/>
        </w:rPr>
        <w:footnoteReference w:id="1480"/>
      </w:r>
      <w:r w:rsidR="00915746" w:rsidRPr="00915746">
        <w:rPr>
          <w:rFonts w:cs="Arial"/>
          <w:rtl/>
        </w:rPr>
        <w:t xml:space="preserve">? </w:t>
      </w:r>
      <w:r w:rsidR="00915746" w:rsidRPr="00915746">
        <w:rPr>
          <w:rFonts w:cs="Arial"/>
          <w:u w:val="single"/>
          <w:rtl/>
        </w:rPr>
        <w:t>אמר רב יוסף</w:t>
      </w:r>
      <w:r w:rsidR="00915746" w:rsidRPr="00915746">
        <w:rPr>
          <w:rFonts w:cs="Arial"/>
          <w:rtl/>
        </w:rPr>
        <w:t>: מדין ודברים קנו מידו</w:t>
      </w:r>
      <w:r w:rsidR="003009B8" w:rsidRPr="00F20C9C">
        <w:rPr>
          <w:rStyle w:val="a7"/>
          <w:rFonts w:cs="Arial"/>
          <w:color w:val="000000" w:themeColor="text1"/>
          <w:rtl/>
        </w:rPr>
        <w:footnoteReference w:id="1481"/>
      </w:r>
      <w:r w:rsidR="00915746" w:rsidRPr="00915746">
        <w:rPr>
          <w:rFonts w:cs="Arial"/>
          <w:rtl/>
        </w:rPr>
        <w:t xml:space="preserve">. </w:t>
      </w:r>
      <w:r w:rsidR="00915746" w:rsidRPr="00915746">
        <w:rPr>
          <w:rFonts w:cs="Arial"/>
          <w:u w:val="single"/>
          <w:rtl/>
        </w:rPr>
        <w:t>רב נחמן אמר</w:t>
      </w:r>
      <w:r w:rsidR="00915746" w:rsidRPr="00915746">
        <w:rPr>
          <w:rFonts w:cs="Arial"/>
          <w:rtl/>
        </w:rPr>
        <w:t xml:space="preserve">: מגופה של קרקע קנו מידו. </w:t>
      </w:r>
      <w:r w:rsidR="00915746" w:rsidRPr="00915746">
        <w:rPr>
          <w:rFonts w:cs="Arial"/>
          <w:u w:val="single"/>
          <w:rtl/>
        </w:rPr>
        <w:t>אמר אביי</w:t>
      </w:r>
      <w:r w:rsidR="00915746" w:rsidRPr="00915746">
        <w:rPr>
          <w:rFonts w:cs="Arial"/>
          <w:rtl/>
        </w:rPr>
        <w:t>: מסתברא מילתא דרב יוסף</w:t>
      </w:r>
      <w:r w:rsidR="00915746">
        <w:rPr>
          <w:rFonts w:hint="cs"/>
          <w:sz w:val="14"/>
          <w:szCs w:val="14"/>
          <w:rtl/>
        </w:rPr>
        <w:t xml:space="preserve"> (פג:)</w:t>
      </w:r>
      <w:r w:rsidR="00915746" w:rsidRPr="00915746">
        <w:rPr>
          <w:rtl/>
        </w:rPr>
        <w:t xml:space="preserve"> </w:t>
      </w:r>
      <w:r w:rsidR="00915746" w:rsidRPr="00915746">
        <w:rPr>
          <w:rFonts w:cs="Arial"/>
          <w:rtl/>
        </w:rPr>
        <w:t>בעורר</w:t>
      </w:r>
      <w:r w:rsidR="003009B8" w:rsidRPr="00F20C9C">
        <w:rPr>
          <w:rStyle w:val="a7"/>
          <w:rFonts w:cs="Arial"/>
          <w:color w:val="000000" w:themeColor="text1"/>
          <w:rtl/>
        </w:rPr>
        <w:footnoteReference w:id="1482"/>
      </w:r>
      <w:r w:rsidR="00915746" w:rsidRPr="00915746">
        <w:rPr>
          <w:rFonts w:cs="Arial"/>
          <w:rtl/>
        </w:rPr>
        <w:t>, אבל בעומד</w:t>
      </w:r>
      <w:r w:rsidR="003009B8" w:rsidRPr="00F20C9C">
        <w:rPr>
          <w:rStyle w:val="a7"/>
          <w:rFonts w:cs="Arial"/>
          <w:color w:val="000000" w:themeColor="text1"/>
          <w:rtl/>
        </w:rPr>
        <w:footnoteReference w:id="1483"/>
      </w:r>
      <w:r w:rsidR="00915746" w:rsidRPr="00915746">
        <w:rPr>
          <w:rFonts w:cs="Arial"/>
          <w:rtl/>
        </w:rPr>
        <w:t xml:space="preserve"> - מגופה של קרקע קנו מידו. </w:t>
      </w:r>
      <w:r w:rsidR="00915746" w:rsidRPr="003009B8">
        <w:rPr>
          <w:rFonts w:cs="Arial"/>
          <w:u w:val="single"/>
          <w:rtl/>
        </w:rPr>
        <w:t>אמר אמימר</w:t>
      </w:r>
      <w:r w:rsidR="003009B8">
        <w:rPr>
          <w:rFonts w:cs="Arial" w:hint="cs"/>
          <w:rtl/>
        </w:rPr>
        <w:t>:</w:t>
      </w:r>
      <w:r w:rsidR="00915746" w:rsidRPr="00915746">
        <w:rPr>
          <w:rFonts w:cs="Arial"/>
          <w:rtl/>
        </w:rPr>
        <w:t xml:space="preserve"> הלכתא</w:t>
      </w:r>
      <w:r w:rsidR="003009B8">
        <w:rPr>
          <w:rFonts w:cs="Arial" w:hint="cs"/>
          <w:rtl/>
        </w:rPr>
        <w:t>,</w:t>
      </w:r>
      <w:r w:rsidR="00915746" w:rsidRPr="00915746">
        <w:rPr>
          <w:rFonts w:cs="Arial"/>
          <w:rtl/>
        </w:rPr>
        <w:t xml:space="preserve"> מגופה של קרקע קנו מידו. </w:t>
      </w:r>
      <w:r w:rsidR="00915746" w:rsidRPr="003009B8">
        <w:rPr>
          <w:rFonts w:cs="Arial"/>
          <w:u w:val="single"/>
          <w:rtl/>
        </w:rPr>
        <w:t>אמר ליה רב אשי לאמימר</w:t>
      </w:r>
      <w:r w:rsidR="00915746" w:rsidRPr="00915746">
        <w:rPr>
          <w:rFonts w:cs="Arial"/>
          <w:rtl/>
        </w:rPr>
        <w:t>: בעורר או בעומד? למאי נפקא מינה? לכדרב יוסף</w:t>
      </w:r>
      <w:r w:rsidR="003009B8">
        <w:rPr>
          <w:rFonts w:cs="Arial" w:hint="cs"/>
          <w:rtl/>
        </w:rPr>
        <w:t>.</w:t>
      </w:r>
      <w:r w:rsidR="00915746" w:rsidRPr="00915746">
        <w:rPr>
          <w:rFonts w:cs="Arial"/>
          <w:rtl/>
        </w:rPr>
        <w:t xml:space="preserve"> </w:t>
      </w:r>
      <w:r w:rsidR="00915746" w:rsidRPr="003009B8">
        <w:rPr>
          <w:rFonts w:cs="Arial"/>
          <w:u w:val="single"/>
          <w:rtl/>
        </w:rPr>
        <w:t>אמר ליה</w:t>
      </w:r>
      <w:r w:rsidR="00915746" w:rsidRPr="00915746">
        <w:rPr>
          <w:rFonts w:cs="Arial"/>
          <w:rtl/>
        </w:rPr>
        <w:t xml:space="preserve">: לא שמיע לי, כלומר, לא סבירא לי. </w:t>
      </w:r>
    </w:p>
    <w:p w14:paraId="651D838C" w14:textId="299488B0" w:rsidR="006D2D9C" w:rsidRPr="00294ED1" w:rsidRDefault="00294ED1" w:rsidP="006D2D9C">
      <w:pPr>
        <w:rPr>
          <w:u w:val="single"/>
          <w:rtl/>
        </w:rPr>
      </w:pPr>
      <w:r w:rsidRPr="00294ED1">
        <w:rPr>
          <w:rFonts w:hint="cs"/>
          <w:u w:val="single"/>
          <w:rtl/>
        </w:rPr>
        <w:t xml:space="preserve">הכותב לאשתו בעודה ארוסה </w:t>
      </w:r>
      <w:r w:rsidR="0094580F">
        <w:rPr>
          <w:rFonts w:hint="cs"/>
          <w:u w:val="single"/>
          <w:rtl/>
        </w:rPr>
        <w:t>"</w:t>
      </w:r>
      <w:r w:rsidRPr="00294ED1">
        <w:rPr>
          <w:rFonts w:hint="cs"/>
          <w:u w:val="single"/>
          <w:rtl/>
        </w:rPr>
        <w:t>דין ודברים אין לי בנכסיך</w:t>
      </w:r>
      <w:r w:rsidR="0094580F">
        <w:rPr>
          <w:rFonts w:hint="cs"/>
          <w:u w:val="single"/>
          <w:rtl/>
        </w:rPr>
        <w:t>"</w:t>
      </w:r>
      <w:r w:rsidRPr="00294ED1">
        <w:rPr>
          <w:rFonts w:hint="cs"/>
          <w:u w:val="single"/>
          <w:rtl/>
        </w:rPr>
        <w:t>:</w:t>
      </w:r>
    </w:p>
    <w:p w14:paraId="3137A30F" w14:textId="308D7195" w:rsidR="008B4881" w:rsidRPr="008B4881" w:rsidRDefault="00F31ACB" w:rsidP="009000E3">
      <w:pPr>
        <w:pStyle w:val="ab"/>
        <w:numPr>
          <w:ilvl w:val="0"/>
          <w:numId w:val="55"/>
        </w:numPr>
      </w:pPr>
      <w:r w:rsidRPr="003171A6">
        <w:rPr>
          <w:rFonts w:cs="Arial" w:hint="cs"/>
          <w:rtl/>
        </w:rPr>
        <w:t xml:space="preserve">טור- </w:t>
      </w:r>
      <w:r w:rsidRPr="003171A6">
        <w:rPr>
          <w:rFonts w:cs="Arial"/>
          <w:rtl/>
        </w:rPr>
        <w:t>אע</w:t>
      </w:r>
      <w:r w:rsidR="006D2D9C">
        <w:rPr>
          <w:rFonts w:cs="Arial" w:hint="cs"/>
          <w:rtl/>
        </w:rPr>
        <w:t>"</w:t>
      </w:r>
      <w:r w:rsidRPr="003171A6">
        <w:rPr>
          <w:rFonts w:cs="Arial"/>
          <w:rtl/>
        </w:rPr>
        <w:t>פ שהבעל אוכל פירות נכסי אשתו</w:t>
      </w:r>
      <w:r w:rsidR="006D2D9C">
        <w:rPr>
          <w:rFonts w:cs="Arial" w:hint="cs"/>
          <w:rtl/>
        </w:rPr>
        <w:t>,</w:t>
      </w:r>
      <w:r w:rsidRPr="003171A6">
        <w:rPr>
          <w:rFonts w:cs="Arial"/>
          <w:rtl/>
        </w:rPr>
        <w:t xml:space="preserve"> אם התנה עמה שלא יאכלם מהני תנאה</w:t>
      </w:r>
      <w:r w:rsidR="006D2D9C">
        <w:rPr>
          <w:rFonts w:cs="Arial" w:hint="cs"/>
          <w:rtl/>
        </w:rPr>
        <w:t>.</w:t>
      </w:r>
      <w:r w:rsidRPr="003171A6">
        <w:rPr>
          <w:rFonts w:cs="Arial"/>
          <w:rtl/>
        </w:rPr>
        <w:t xml:space="preserve"> כיצד</w:t>
      </w:r>
      <w:r w:rsidR="006D2D9C">
        <w:rPr>
          <w:rFonts w:cs="Arial" w:hint="cs"/>
          <w:rtl/>
        </w:rPr>
        <w:t>,</w:t>
      </w:r>
      <w:r w:rsidRPr="003171A6">
        <w:rPr>
          <w:rFonts w:cs="Arial"/>
          <w:rtl/>
        </w:rPr>
        <w:t xml:space="preserve"> כתב או אמר לה דין ודברים אין לי בנכסייך</w:t>
      </w:r>
      <w:r w:rsidR="00157F70">
        <w:rPr>
          <w:rFonts w:cs="Arial" w:hint="cs"/>
          <w:rtl/>
        </w:rPr>
        <w:t xml:space="preserve"> -</w:t>
      </w:r>
      <w:r w:rsidRPr="003171A6">
        <w:rPr>
          <w:rFonts w:cs="Arial"/>
          <w:rtl/>
        </w:rPr>
        <w:t xml:space="preserve"> מהני תנאה</w:t>
      </w:r>
      <w:r w:rsidR="006D2D9C">
        <w:rPr>
          <w:rFonts w:cs="Arial" w:hint="cs"/>
          <w:rtl/>
        </w:rPr>
        <w:t>,</w:t>
      </w:r>
      <w:r w:rsidRPr="003171A6">
        <w:rPr>
          <w:rFonts w:cs="Arial"/>
          <w:rtl/>
        </w:rPr>
        <w:t xml:space="preserve"> שאם מכרה או נתנה נכסיה לאחר שהוא קיים</w:t>
      </w:r>
      <w:r w:rsidR="003171A6">
        <w:rPr>
          <w:rStyle w:val="a7"/>
          <w:rFonts w:cs="Arial"/>
          <w:rtl/>
        </w:rPr>
        <w:footnoteReference w:id="1484"/>
      </w:r>
      <w:r w:rsidR="006D2D9C">
        <w:rPr>
          <w:rFonts w:cs="Arial" w:hint="cs"/>
          <w:rtl/>
        </w:rPr>
        <w:t>.</w:t>
      </w:r>
      <w:r w:rsidRPr="003171A6">
        <w:rPr>
          <w:rFonts w:cs="Arial"/>
          <w:rtl/>
        </w:rPr>
        <w:t xml:space="preserve"> אבל כל זמן שלא מכרה או נתנה </w:t>
      </w:r>
      <w:r w:rsidR="00157F70">
        <w:rPr>
          <w:rFonts w:cs="Arial" w:hint="cs"/>
          <w:rtl/>
        </w:rPr>
        <w:t xml:space="preserve">- </w:t>
      </w:r>
      <w:r w:rsidRPr="003171A6">
        <w:rPr>
          <w:rFonts w:cs="Arial"/>
          <w:rtl/>
        </w:rPr>
        <w:t>אוכל הפירות ואם מתה יורשה</w:t>
      </w:r>
      <w:r w:rsidR="006D2D9C">
        <w:rPr>
          <w:rFonts w:cs="Arial" w:hint="cs"/>
          <w:rtl/>
        </w:rPr>
        <w:t>.</w:t>
      </w:r>
      <w:r w:rsidRPr="003171A6">
        <w:rPr>
          <w:rFonts w:cs="Arial"/>
          <w:rtl/>
        </w:rPr>
        <w:t xml:space="preserve"> </w:t>
      </w:r>
      <w:r w:rsidRPr="00157F70">
        <w:rPr>
          <w:rFonts w:cs="Arial"/>
          <w:rtl/>
        </w:rPr>
        <w:t>בד"א</w:t>
      </w:r>
      <w:r w:rsidR="00157F70" w:rsidRPr="00157F70">
        <w:rPr>
          <w:rFonts w:cs="Arial" w:hint="cs"/>
          <w:rtl/>
        </w:rPr>
        <w:t>,</w:t>
      </w:r>
      <w:r w:rsidRPr="00157F70">
        <w:rPr>
          <w:rFonts w:cs="Arial"/>
          <w:rtl/>
        </w:rPr>
        <w:t xml:space="preserve"> בכותב או אומר לה כן בעודה ארוסה</w:t>
      </w:r>
      <w:r w:rsidR="00157F70">
        <w:rPr>
          <w:rFonts w:cs="Arial" w:hint="cs"/>
          <w:rtl/>
        </w:rPr>
        <w:t>.</w:t>
      </w:r>
      <w:r w:rsidRPr="00157F70">
        <w:rPr>
          <w:rFonts w:cs="Arial"/>
          <w:rtl/>
        </w:rPr>
        <w:t xml:space="preserve"> </w:t>
      </w:r>
      <w:r w:rsidR="00C14D0E" w:rsidRPr="009B52EC">
        <w:rPr>
          <w:rFonts w:cs="Arial" w:hint="cs"/>
          <w:color w:val="E36C0A" w:themeColor="accent6" w:themeShade="BF"/>
          <w:rtl/>
        </w:rPr>
        <w:t>(וכ"פ בשו"ע)</w:t>
      </w:r>
    </w:p>
    <w:p w14:paraId="4F2327DE" w14:textId="3611B5A0" w:rsidR="008B4881" w:rsidRPr="008B4881" w:rsidRDefault="008B4881" w:rsidP="008B4881">
      <w:pPr>
        <w:ind w:left="360"/>
        <w:rPr>
          <w:u w:val="dotted"/>
        </w:rPr>
      </w:pPr>
      <w:r w:rsidRPr="008B4881">
        <w:rPr>
          <w:rFonts w:hint="cs"/>
          <w:u w:val="dotted"/>
          <w:rtl/>
        </w:rPr>
        <w:t>ומה הדין אם כתב לה כן קודם אירוסין:</w:t>
      </w:r>
    </w:p>
    <w:p w14:paraId="51F2836F" w14:textId="26BB8D4C" w:rsidR="005D1457" w:rsidRDefault="008B4881" w:rsidP="009000E3">
      <w:pPr>
        <w:pStyle w:val="ab"/>
        <w:numPr>
          <w:ilvl w:val="0"/>
          <w:numId w:val="55"/>
        </w:numPr>
      </w:pPr>
      <w:r w:rsidRPr="00F31ACB">
        <w:rPr>
          <w:rFonts w:cs="Arial"/>
          <w:rtl/>
        </w:rPr>
        <w:t xml:space="preserve">רשב"א </w:t>
      </w:r>
      <w:r w:rsidRPr="00D33625">
        <w:rPr>
          <w:rFonts w:cs="Arial" w:hint="cs"/>
          <w:sz w:val="16"/>
          <w:szCs w:val="16"/>
          <w:rtl/>
        </w:rPr>
        <w:t>(</w:t>
      </w:r>
      <w:r w:rsidRPr="00D33625">
        <w:rPr>
          <w:rFonts w:cs="Arial"/>
          <w:sz w:val="16"/>
          <w:szCs w:val="16"/>
          <w:rtl/>
        </w:rPr>
        <w:t>סי</w:t>
      </w:r>
      <w:r w:rsidRPr="00D33625">
        <w:rPr>
          <w:rFonts w:cs="Arial" w:hint="cs"/>
          <w:sz w:val="16"/>
          <w:szCs w:val="16"/>
          <w:rtl/>
        </w:rPr>
        <w:t>'</w:t>
      </w:r>
      <w:r w:rsidRPr="00D33625">
        <w:rPr>
          <w:rFonts w:cs="Arial"/>
          <w:sz w:val="16"/>
          <w:szCs w:val="16"/>
          <w:rtl/>
        </w:rPr>
        <w:t xml:space="preserve"> תתקס</w:t>
      </w:r>
      <w:r w:rsidRPr="00D33625">
        <w:rPr>
          <w:rFonts w:cs="Arial" w:hint="cs"/>
          <w:sz w:val="16"/>
          <w:szCs w:val="16"/>
          <w:rtl/>
        </w:rPr>
        <w:t>)</w:t>
      </w:r>
      <w:r>
        <w:rPr>
          <w:rFonts w:cs="Arial" w:hint="cs"/>
          <w:rtl/>
        </w:rPr>
        <w:t xml:space="preserve"> ו</w:t>
      </w:r>
      <w:r w:rsidR="00F31ACB" w:rsidRPr="008B4881">
        <w:rPr>
          <w:rFonts w:cs="Arial"/>
          <w:rtl/>
        </w:rPr>
        <w:t xml:space="preserve">ר"ן </w:t>
      </w:r>
      <w:r w:rsidR="00F31ACB" w:rsidRPr="008B4881">
        <w:rPr>
          <w:rFonts w:cs="Arial"/>
          <w:sz w:val="16"/>
          <w:szCs w:val="16"/>
          <w:rtl/>
        </w:rPr>
        <w:t>(מא. ד"ה בכותב)</w:t>
      </w:r>
      <w:r>
        <w:rPr>
          <w:rFonts w:cs="Arial" w:hint="cs"/>
          <w:rtl/>
        </w:rPr>
        <w:t>-</w:t>
      </w:r>
      <w:r w:rsidR="00F31ACB" w:rsidRPr="008B4881">
        <w:rPr>
          <w:rFonts w:cs="Arial"/>
          <w:rtl/>
        </w:rPr>
        <w:t xml:space="preserve"> אמר רבי ינאי בכותב לה ועודה ארוסה</w:t>
      </w:r>
      <w:r>
        <w:rPr>
          <w:rFonts w:cs="Arial" w:hint="cs"/>
          <w:rtl/>
        </w:rPr>
        <w:t>,</w:t>
      </w:r>
      <w:r w:rsidR="00F31ACB" w:rsidRPr="008B4881">
        <w:rPr>
          <w:rFonts w:cs="Arial"/>
          <w:rtl/>
        </w:rPr>
        <w:t xml:space="preserve"> דוקא בכותב לה ועודה ארוסה</w:t>
      </w:r>
      <w:r>
        <w:rPr>
          <w:rFonts w:cs="Arial" w:hint="cs"/>
          <w:rtl/>
        </w:rPr>
        <w:t>,</w:t>
      </w:r>
      <w:r w:rsidR="00F31ACB" w:rsidRPr="008B4881">
        <w:rPr>
          <w:rFonts w:cs="Arial"/>
          <w:rtl/>
        </w:rPr>
        <w:t xml:space="preserve"> דשייך בה קצת</w:t>
      </w:r>
      <w:r>
        <w:rPr>
          <w:rFonts w:cs="Arial" w:hint="cs"/>
          <w:rtl/>
        </w:rPr>
        <w:t>.</w:t>
      </w:r>
      <w:r w:rsidR="00F31ACB" w:rsidRPr="008B4881">
        <w:rPr>
          <w:rFonts w:cs="Arial"/>
          <w:rtl/>
        </w:rPr>
        <w:t xml:space="preserve"> אבל קודם לכן כיון שאין לו שייכות בנכסים כלל </w:t>
      </w:r>
      <w:r>
        <w:rPr>
          <w:rFonts w:cs="Arial" w:hint="cs"/>
          <w:rtl/>
        </w:rPr>
        <w:t xml:space="preserve">- </w:t>
      </w:r>
      <w:r w:rsidR="00F31ACB" w:rsidRPr="008B4881">
        <w:rPr>
          <w:rFonts w:cs="Arial"/>
          <w:rtl/>
        </w:rPr>
        <w:t>סילוקו לאו כלום הוא</w:t>
      </w:r>
      <w:r>
        <w:rPr>
          <w:rFonts w:cs="Arial" w:hint="cs"/>
          <w:sz w:val="16"/>
          <w:szCs w:val="16"/>
          <w:rtl/>
        </w:rPr>
        <w:t xml:space="preserve"> (ל' הר"ן)</w:t>
      </w:r>
      <w:r>
        <w:rPr>
          <w:rFonts w:cs="Arial" w:hint="cs"/>
          <w:rtl/>
        </w:rPr>
        <w:t>.</w:t>
      </w:r>
      <w:r w:rsidR="00C14D0E" w:rsidRPr="00C14D0E">
        <w:rPr>
          <w:rFonts w:cs="Arial" w:hint="cs"/>
          <w:color w:val="00B0F0"/>
          <w:rtl/>
        </w:rPr>
        <w:t xml:space="preserve"> </w:t>
      </w:r>
      <w:r w:rsidR="00C14D0E" w:rsidRPr="00234CC7">
        <w:rPr>
          <w:rFonts w:cs="Arial" w:hint="cs"/>
          <w:color w:val="00B0F0"/>
          <w:rtl/>
        </w:rPr>
        <w:t>(וכ"</w:t>
      </w:r>
      <w:r w:rsidR="00C14D0E">
        <w:rPr>
          <w:rFonts w:cs="Arial" w:hint="cs"/>
          <w:color w:val="00B0F0"/>
          <w:rtl/>
        </w:rPr>
        <w:t>פ</w:t>
      </w:r>
      <w:r w:rsidR="00C14D0E" w:rsidRPr="00234CC7">
        <w:rPr>
          <w:rFonts w:cs="Arial" w:hint="cs"/>
          <w:color w:val="00B0F0"/>
          <w:rtl/>
        </w:rPr>
        <w:t xml:space="preserve"> הרמ"א</w:t>
      </w:r>
      <w:r w:rsidR="00C14D0E">
        <w:rPr>
          <w:rFonts w:cs="Arial" w:hint="cs"/>
          <w:color w:val="00B0F0"/>
          <w:rtl/>
        </w:rPr>
        <w:t>)</w:t>
      </w:r>
    </w:p>
    <w:p w14:paraId="3663337B" w14:textId="41EEE0D8" w:rsidR="008B4881" w:rsidRPr="008B4881" w:rsidRDefault="008B4881" w:rsidP="008B4881">
      <w:pPr>
        <w:ind w:left="360"/>
        <w:rPr>
          <w:u w:val="dotted"/>
        </w:rPr>
      </w:pPr>
      <w:r w:rsidRPr="008B4881">
        <w:rPr>
          <w:rFonts w:hint="cs"/>
          <w:u w:val="dotted"/>
          <w:rtl/>
        </w:rPr>
        <w:t>ומה הדין אם כתב לה</w:t>
      </w:r>
      <w:r>
        <w:rPr>
          <w:rFonts w:hint="cs"/>
          <w:u w:val="dotted"/>
          <w:rtl/>
        </w:rPr>
        <w:t xml:space="preserve"> כן</w:t>
      </w:r>
      <w:r w:rsidRPr="008B4881">
        <w:rPr>
          <w:rFonts w:hint="cs"/>
          <w:u w:val="dotted"/>
          <w:rtl/>
        </w:rPr>
        <w:t xml:space="preserve"> לאחר נישואין</w:t>
      </w:r>
      <w:r w:rsidR="00D173D6">
        <w:rPr>
          <w:rFonts w:hint="cs"/>
          <w:u w:val="dotted"/>
          <w:rtl/>
        </w:rPr>
        <w:t xml:space="preserve"> וקנו מידו</w:t>
      </w:r>
      <w:r w:rsidRPr="008B4881">
        <w:rPr>
          <w:rFonts w:hint="cs"/>
          <w:u w:val="dotted"/>
          <w:rtl/>
        </w:rPr>
        <w:t>:</w:t>
      </w:r>
    </w:p>
    <w:p w14:paraId="7EFFBA77" w14:textId="2A6FFCD6" w:rsidR="008B4881" w:rsidRDefault="00D173D6" w:rsidP="009000E3">
      <w:pPr>
        <w:pStyle w:val="ab"/>
        <w:numPr>
          <w:ilvl w:val="0"/>
          <w:numId w:val="55"/>
        </w:numPr>
      </w:pPr>
      <w:r>
        <w:rPr>
          <w:rFonts w:cs="Arial" w:hint="cs"/>
          <w:rtl/>
        </w:rPr>
        <w:lastRenderedPageBreak/>
        <w:t>ר"י</w:t>
      </w:r>
      <w:r w:rsidR="000D625D">
        <w:rPr>
          <w:rFonts w:cs="Arial" w:hint="cs"/>
          <w:rtl/>
        </w:rPr>
        <w:t xml:space="preserve"> </w:t>
      </w:r>
      <w:r w:rsidRPr="00D173D6">
        <w:rPr>
          <w:rFonts w:cs="Arial"/>
          <w:sz w:val="16"/>
          <w:szCs w:val="16"/>
          <w:rtl/>
        </w:rPr>
        <w:t xml:space="preserve">(כתובות </w:t>
      </w:r>
      <w:r>
        <w:rPr>
          <w:rFonts w:cs="Arial" w:hint="cs"/>
          <w:sz w:val="16"/>
          <w:szCs w:val="16"/>
          <w:rtl/>
        </w:rPr>
        <w:t>פג.</w:t>
      </w:r>
      <w:r w:rsidRPr="00D173D6">
        <w:rPr>
          <w:rFonts w:cs="Arial"/>
          <w:sz w:val="16"/>
          <w:szCs w:val="16"/>
          <w:rtl/>
        </w:rPr>
        <w:t xml:space="preserve"> </w:t>
      </w:r>
      <w:r>
        <w:rPr>
          <w:rFonts w:cs="Arial" w:hint="cs"/>
          <w:sz w:val="16"/>
          <w:szCs w:val="16"/>
          <w:rtl/>
        </w:rPr>
        <w:t xml:space="preserve">בתוס' </w:t>
      </w:r>
      <w:r w:rsidRPr="00D173D6">
        <w:rPr>
          <w:rFonts w:cs="Arial"/>
          <w:sz w:val="16"/>
          <w:szCs w:val="16"/>
          <w:rtl/>
        </w:rPr>
        <w:t>ד"ה קנו)</w:t>
      </w:r>
      <w:r w:rsidR="000D625D">
        <w:rPr>
          <w:rFonts w:cs="Arial" w:hint="cs"/>
          <w:rtl/>
        </w:rPr>
        <w:t xml:space="preserve"> ו</w:t>
      </w:r>
      <w:r w:rsidR="008B4881">
        <w:rPr>
          <w:rFonts w:cs="Arial" w:hint="cs"/>
          <w:rtl/>
        </w:rPr>
        <w:t xml:space="preserve">רמב"ם </w:t>
      </w:r>
      <w:r w:rsidR="008B4881">
        <w:rPr>
          <w:rFonts w:cs="Arial" w:hint="cs"/>
          <w:sz w:val="16"/>
          <w:szCs w:val="16"/>
          <w:rtl/>
        </w:rPr>
        <w:t>(פכ"ג מאישות ה"א)</w:t>
      </w:r>
      <w:r w:rsidR="008B4881">
        <w:rPr>
          <w:rFonts w:cs="Arial" w:hint="cs"/>
          <w:rtl/>
        </w:rPr>
        <w:t xml:space="preserve">- </w:t>
      </w:r>
      <w:r w:rsidR="008B4881" w:rsidRPr="008B4881">
        <w:rPr>
          <w:rFonts w:cs="Arial"/>
          <w:rtl/>
        </w:rPr>
        <w:t xml:space="preserve">האשה שהתנת על בעלה לבטל זכות מדברים שזוכה בהן הבעל, אם כתב לה ועודה ארוסה קודם הנישואין </w:t>
      </w:r>
      <w:r w:rsidR="00B74956">
        <w:rPr>
          <w:rFonts w:cs="Arial" w:hint="cs"/>
          <w:rtl/>
        </w:rPr>
        <w:t xml:space="preserve">- </w:t>
      </w:r>
      <w:r w:rsidR="008B4881" w:rsidRPr="008B4881">
        <w:rPr>
          <w:rFonts w:cs="Arial"/>
          <w:rtl/>
        </w:rPr>
        <w:t>אינו צריך לקנות מידו אלא כל מה שכתב לה קיים</w:t>
      </w:r>
      <w:r w:rsidR="00B74956">
        <w:rPr>
          <w:rFonts w:cs="Arial" w:hint="cs"/>
          <w:rtl/>
        </w:rPr>
        <w:t>.</w:t>
      </w:r>
      <w:r w:rsidR="008B4881" w:rsidRPr="008B4881">
        <w:rPr>
          <w:rFonts w:cs="Arial"/>
          <w:rtl/>
        </w:rPr>
        <w:t xml:space="preserve"> ואם כתב לה אחר הנישואין </w:t>
      </w:r>
      <w:r w:rsidR="00B74956">
        <w:rPr>
          <w:rFonts w:cs="Arial" w:hint="cs"/>
          <w:rtl/>
        </w:rPr>
        <w:t xml:space="preserve">- </w:t>
      </w:r>
      <w:r w:rsidR="008B4881" w:rsidRPr="008B4881">
        <w:rPr>
          <w:rFonts w:cs="Arial"/>
          <w:rtl/>
        </w:rPr>
        <w:t>צריך לקנות מידו</w:t>
      </w:r>
      <w:r w:rsidR="00D73933" w:rsidRPr="00F20C9C">
        <w:rPr>
          <w:rStyle w:val="a7"/>
          <w:rFonts w:cs="Arial"/>
          <w:color w:val="000000" w:themeColor="text1"/>
          <w:rtl/>
        </w:rPr>
        <w:footnoteReference w:id="1485"/>
      </w:r>
      <w:r w:rsidR="000D625D">
        <w:rPr>
          <w:rFonts w:cs="Arial" w:hint="cs"/>
          <w:sz w:val="16"/>
          <w:szCs w:val="16"/>
          <w:rtl/>
        </w:rPr>
        <w:t xml:space="preserve"> (ל' הרמב"ם)</w:t>
      </w:r>
      <w:r w:rsidR="008B4881" w:rsidRPr="008B4881">
        <w:rPr>
          <w:rFonts w:cs="Arial"/>
          <w:rtl/>
        </w:rPr>
        <w:t>.</w:t>
      </w:r>
      <w:r w:rsidR="00C14D0E" w:rsidRPr="00C14D0E">
        <w:rPr>
          <w:rFonts w:cs="Arial" w:hint="cs"/>
          <w:color w:val="E36C0A" w:themeColor="accent6" w:themeShade="BF"/>
          <w:rtl/>
        </w:rPr>
        <w:t xml:space="preserve"> </w:t>
      </w:r>
      <w:r w:rsidR="00C14D0E" w:rsidRPr="009B52EC">
        <w:rPr>
          <w:rFonts w:cs="Arial" w:hint="cs"/>
          <w:color w:val="E36C0A" w:themeColor="accent6" w:themeShade="BF"/>
          <w:rtl/>
        </w:rPr>
        <w:t>(וכ"פ בשו"ע)</w:t>
      </w:r>
    </w:p>
    <w:p w14:paraId="42FE4F80" w14:textId="77777777" w:rsidR="00C14D0E" w:rsidRPr="00C14D0E" w:rsidRDefault="00D173D6" w:rsidP="009000E3">
      <w:pPr>
        <w:pStyle w:val="ab"/>
        <w:numPr>
          <w:ilvl w:val="0"/>
          <w:numId w:val="55"/>
        </w:numPr>
      </w:pPr>
      <w:r>
        <w:rPr>
          <w:rFonts w:cs="Arial" w:hint="cs"/>
          <w:rtl/>
        </w:rPr>
        <w:t xml:space="preserve">רש"י </w:t>
      </w:r>
      <w:r>
        <w:rPr>
          <w:rFonts w:cs="Arial" w:hint="cs"/>
          <w:sz w:val="16"/>
          <w:szCs w:val="16"/>
          <w:rtl/>
        </w:rPr>
        <w:t>(פג. ד"ה קנו מידו מהו)</w:t>
      </w:r>
      <w:r>
        <w:rPr>
          <w:rFonts w:cs="Arial" w:hint="cs"/>
          <w:rtl/>
        </w:rPr>
        <w:t xml:space="preserve"> ו</w:t>
      </w:r>
      <w:r w:rsidR="007E16F2">
        <w:rPr>
          <w:rFonts w:cs="Arial" w:hint="cs"/>
          <w:rtl/>
        </w:rPr>
        <w:t>רא"ש</w:t>
      </w:r>
      <w:r w:rsidR="00233EB8" w:rsidRPr="00F20C9C">
        <w:rPr>
          <w:rStyle w:val="a7"/>
          <w:rFonts w:cs="Arial"/>
          <w:color w:val="000000" w:themeColor="text1"/>
          <w:rtl/>
        </w:rPr>
        <w:footnoteReference w:id="1486"/>
      </w:r>
      <w:r w:rsidR="007E16F2">
        <w:rPr>
          <w:rFonts w:cs="Arial" w:hint="cs"/>
          <w:rtl/>
        </w:rPr>
        <w:t xml:space="preserve"> </w:t>
      </w:r>
      <w:r w:rsidR="007E16F2">
        <w:rPr>
          <w:rFonts w:cs="Arial" w:hint="cs"/>
          <w:sz w:val="16"/>
          <w:szCs w:val="16"/>
          <w:rtl/>
        </w:rPr>
        <w:t>(כ"כ הטור בשמו)</w:t>
      </w:r>
      <w:r w:rsidR="007E16F2">
        <w:rPr>
          <w:rFonts w:cs="Arial" w:hint="cs"/>
          <w:rtl/>
        </w:rPr>
        <w:t xml:space="preserve">- לא מועיל אם כתב לה כן לאחר נישואין אפילו אם </w:t>
      </w:r>
      <w:r>
        <w:rPr>
          <w:rFonts w:cs="Arial" w:hint="cs"/>
          <w:rtl/>
        </w:rPr>
        <w:t>קנו מידו</w:t>
      </w:r>
      <w:r w:rsidR="007E16F2">
        <w:rPr>
          <w:rFonts w:cs="Arial" w:hint="cs"/>
          <w:rtl/>
        </w:rPr>
        <w:t>.</w:t>
      </w:r>
      <w:r w:rsidR="000D625D" w:rsidRPr="003171A6">
        <w:rPr>
          <w:rFonts w:cs="Arial"/>
          <w:rtl/>
        </w:rPr>
        <w:t xml:space="preserve"> </w:t>
      </w:r>
      <w:r w:rsidR="00F31ACB" w:rsidRPr="00233EB8">
        <w:rPr>
          <w:rFonts w:cs="Arial"/>
          <w:rtl/>
        </w:rPr>
        <w:t xml:space="preserve"> </w:t>
      </w:r>
    </w:p>
    <w:p w14:paraId="64A3DE47" w14:textId="300A50B0" w:rsidR="00C14D0E" w:rsidRPr="00C14D0E" w:rsidRDefault="00C14D0E" w:rsidP="00C14D0E">
      <w:pPr>
        <w:ind w:left="360"/>
        <w:rPr>
          <w:u w:val="dotted"/>
        </w:rPr>
      </w:pPr>
      <w:r w:rsidRPr="00C14D0E">
        <w:rPr>
          <w:rFonts w:hint="cs"/>
          <w:u w:val="dotted"/>
          <w:rtl/>
        </w:rPr>
        <w:t xml:space="preserve">לרמב"ם וסיעתו </w:t>
      </w:r>
      <w:r w:rsidR="00F97626">
        <w:rPr>
          <w:u w:val="dotted"/>
          <w:rtl/>
        </w:rPr>
        <w:t>-</w:t>
      </w:r>
      <w:r w:rsidRPr="00C14D0E">
        <w:rPr>
          <w:rFonts w:hint="cs"/>
          <w:u w:val="dotted"/>
          <w:rtl/>
        </w:rPr>
        <w:t xml:space="preserve"> ל</w:t>
      </w:r>
      <w:r>
        <w:rPr>
          <w:rFonts w:hint="cs"/>
          <w:u w:val="dotted"/>
          <w:rtl/>
        </w:rPr>
        <w:t>אלו דברים</w:t>
      </w:r>
      <w:r w:rsidRPr="00C14D0E">
        <w:rPr>
          <w:rFonts w:hint="cs"/>
          <w:u w:val="dotted"/>
          <w:rtl/>
        </w:rPr>
        <w:t xml:space="preserve"> מועיל הקניין </w:t>
      </w:r>
      <w:r w:rsidRPr="00C14D0E">
        <w:rPr>
          <w:rFonts w:hint="cs"/>
          <w:sz w:val="16"/>
          <w:szCs w:val="16"/>
          <w:u w:val="dotted"/>
          <w:rtl/>
        </w:rPr>
        <w:t>(כשכתב לה לאחר נישואין</w:t>
      </w:r>
      <w:r>
        <w:rPr>
          <w:rFonts w:hint="cs"/>
          <w:sz w:val="16"/>
          <w:szCs w:val="16"/>
          <w:u w:val="dotted"/>
          <w:rtl/>
        </w:rPr>
        <w:t xml:space="preserve"> כנ"ל)</w:t>
      </w:r>
      <w:r w:rsidRPr="00C14D0E">
        <w:rPr>
          <w:rFonts w:hint="cs"/>
          <w:u w:val="dotted"/>
          <w:rtl/>
        </w:rPr>
        <w:t>:</w:t>
      </w:r>
    </w:p>
    <w:p w14:paraId="087DC973" w14:textId="20372565" w:rsidR="00C14D0E" w:rsidRPr="00C14D0E" w:rsidRDefault="00233EB8" w:rsidP="009000E3">
      <w:pPr>
        <w:pStyle w:val="ab"/>
        <w:numPr>
          <w:ilvl w:val="0"/>
          <w:numId w:val="55"/>
        </w:numPr>
      </w:pPr>
      <w:r w:rsidRPr="00C14D0E">
        <w:rPr>
          <w:rFonts w:cs="Arial" w:hint="cs"/>
          <w:rtl/>
        </w:rPr>
        <w:t xml:space="preserve">ב"י </w:t>
      </w:r>
      <w:r w:rsidRPr="00C14D0E">
        <w:rPr>
          <w:rFonts w:cs="Arial" w:hint="cs"/>
          <w:sz w:val="16"/>
          <w:szCs w:val="16"/>
          <w:rtl/>
        </w:rPr>
        <w:t>(בבדה"ב)</w:t>
      </w:r>
      <w:r w:rsidRPr="00C14D0E">
        <w:rPr>
          <w:rFonts w:cs="Arial" w:hint="cs"/>
          <w:rtl/>
        </w:rPr>
        <w:t xml:space="preserve">- </w:t>
      </w:r>
      <w:r w:rsidR="00F31ACB" w:rsidRPr="00C14D0E">
        <w:rPr>
          <w:rFonts w:cs="Arial"/>
          <w:rtl/>
        </w:rPr>
        <w:t>מדקדוק דברי הרמב"ם נראה לי שמה שכתב ואם כתב לה אחר הנישואין</w:t>
      </w:r>
      <w:r w:rsidRPr="00C14D0E">
        <w:rPr>
          <w:rFonts w:cs="Arial" w:hint="cs"/>
          <w:rtl/>
        </w:rPr>
        <w:t>,</w:t>
      </w:r>
      <w:r w:rsidR="00F31ACB" w:rsidRPr="00C14D0E">
        <w:rPr>
          <w:rFonts w:cs="Arial"/>
          <w:rtl/>
        </w:rPr>
        <w:t xml:space="preserve"> לא לענין שיועיל הקנין אחר שנישאת לענין הפירות אע</w:t>
      </w:r>
      <w:r w:rsidR="00E21A58">
        <w:rPr>
          <w:rFonts w:cs="Arial" w:hint="cs"/>
          <w:rtl/>
        </w:rPr>
        <w:t>"</w:t>
      </w:r>
      <w:r w:rsidR="00F31ACB" w:rsidRPr="00C14D0E">
        <w:rPr>
          <w:rFonts w:cs="Arial"/>
          <w:rtl/>
        </w:rPr>
        <w:t>פ שלא כתב לה אלא דין ודברים אין לי בנכסיך</w:t>
      </w:r>
      <w:r w:rsidRPr="00C14D0E">
        <w:rPr>
          <w:rFonts w:cs="Arial" w:hint="cs"/>
          <w:rtl/>
        </w:rPr>
        <w:t>,</w:t>
      </w:r>
      <w:r w:rsidR="00F31ACB" w:rsidRPr="00C14D0E">
        <w:rPr>
          <w:rFonts w:cs="Arial"/>
          <w:rtl/>
        </w:rPr>
        <w:t xml:space="preserve"> וכדמשמע מדברי הרב המגיד</w:t>
      </w:r>
      <w:r w:rsidRPr="00C14D0E">
        <w:rPr>
          <w:rFonts w:cs="Arial" w:hint="cs"/>
          <w:rtl/>
        </w:rPr>
        <w:t>,</w:t>
      </w:r>
      <w:r w:rsidR="00F31ACB" w:rsidRPr="00C14D0E">
        <w:rPr>
          <w:rFonts w:cs="Arial"/>
          <w:rtl/>
        </w:rPr>
        <w:t xml:space="preserve"> דאם כן אין בין ארוסה לנשואה כלום</w:t>
      </w:r>
      <w:r w:rsidRPr="00C14D0E">
        <w:rPr>
          <w:rFonts w:cs="Arial" w:hint="cs"/>
          <w:rtl/>
        </w:rPr>
        <w:t>.</w:t>
      </w:r>
      <w:r w:rsidR="00F31ACB" w:rsidRPr="00C14D0E">
        <w:rPr>
          <w:rFonts w:cs="Arial"/>
          <w:rtl/>
        </w:rPr>
        <w:t xml:space="preserve"> אלא לענין שיהיה מכרה ונתינתה קיים על ידי שיאמר לה דין ודברים אין לי בנכסיך קאמר</w:t>
      </w:r>
      <w:r w:rsidRPr="00C14D0E">
        <w:rPr>
          <w:rFonts w:cs="Arial" w:hint="cs"/>
          <w:rtl/>
        </w:rPr>
        <w:t>.</w:t>
      </w:r>
      <w:r w:rsidR="00F31ACB" w:rsidRPr="00C14D0E">
        <w:rPr>
          <w:rFonts w:cs="Arial"/>
          <w:rtl/>
        </w:rPr>
        <w:t xml:space="preserve"> דאע"ג דבכותב לה ועודה ארוסה אין צריך לקנות מידו לענין שיהיה מכרה קיים</w:t>
      </w:r>
      <w:r w:rsidRPr="00C14D0E">
        <w:rPr>
          <w:rFonts w:cs="Arial" w:hint="cs"/>
          <w:rtl/>
        </w:rPr>
        <w:t>,</w:t>
      </w:r>
      <w:r w:rsidR="00F31ACB" w:rsidRPr="00C14D0E">
        <w:rPr>
          <w:rFonts w:cs="Arial"/>
          <w:rtl/>
        </w:rPr>
        <w:t xml:space="preserve"> ואם קנו מידו מועיל אף לפירות</w:t>
      </w:r>
      <w:r w:rsidRPr="00C14D0E">
        <w:rPr>
          <w:rFonts w:cs="Arial" w:hint="cs"/>
          <w:rtl/>
        </w:rPr>
        <w:t>,</w:t>
      </w:r>
      <w:r w:rsidR="00F31ACB" w:rsidRPr="00C14D0E">
        <w:rPr>
          <w:rFonts w:cs="Arial"/>
          <w:rtl/>
        </w:rPr>
        <w:t xml:space="preserve"> אם לא כתב לה אלא אחר שנישאת אם לא קנו מידו אינו מועיל אפילו למכרה ומתנתה</w:t>
      </w:r>
      <w:r w:rsidRPr="00C14D0E">
        <w:rPr>
          <w:rFonts w:cs="Arial" w:hint="cs"/>
          <w:rtl/>
        </w:rPr>
        <w:t>,</w:t>
      </w:r>
      <w:r w:rsidR="00F31ACB" w:rsidRPr="00C14D0E">
        <w:rPr>
          <w:rFonts w:cs="Arial"/>
          <w:rtl/>
        </w:rPr>
        <w:t xml:space="preserve"> ואם קנו מידו מועיל למכרה ומתנתה</w:t>
      </w:r>
      <w:r w:rsidRPr="00C14D0E">
        <w:rPr>
          <w:rFonts w:cs="Arial" w:hint="cs"/>
          <w:rtl/>
        </w:rPr>
        <w:t>,</w:t>
      </w:r>
      <w:r w:rsidR="00F31ACB" w:rsidRPr="00C14D0E">
        <w:rPr>
          <w:rFonts w:cs="Arial"/>
          <w:rtl/>
        </w:rPr>
        <w:t xml:space="preserve"> אבל לא לפירות</w:t>
      </w:r>
      <w:r w:rsidRPr="00C14D0E">
        <w:rPr>
          <w:rFonts w:cs="Arial" w:hint="cs"/>
          <w:rtl/>
        </w:rPr>
        <w:t>.</w:t>
      </w:r>
      <w:r w:rsidR="00F31ACB" w:rsidRPr="00C14D0E">
        <w:rPr>
          <w:rFonts w:cs="Arial"/>
          <w:rtl/>
        </w:rPr>
        <w:t xml:space="preserve"> וזה נראה לי ברור בדברי הרמב"ם</w:t>
      </w:r>
      <w:r w:rsidRPr="00C14D0E">
        <w:rPr>
          <w:rFonts w:cs="Arial" w:hint="cs"/>
          <w:rtl/>
        </w:rPr>
        <w:t>.</w:t>
      </w:r>
    </w:p>
    <w:p w14:paraId="2A51F814" w14:textId="6B7C78A3" w:rsidR="00233EB8" w:rsidRPr="005D1457" w:rsidRDefault="00233EB8" w:rsidP="009000E3">
      <w:pPr>
        <w:pStyle w:val="ab"/>
        <w:numPr>
          <w:ilvl w:val="0"/>
          <w:numId w:val="55"/>
        </w:numPr>
        <w:rPr>
          <w:rtl/>
        </w:rPr>
      </w:pPr>
      <w:r w:rsidRPr="00C14D0E">
        <w:rPr>
          <w:rFonts w:cs="Arial"/>
          <w:rtl/>
        </w:rPr>
        <w:t xml:space="preserve">ר"ן </w:t>
      </w:r>
      <w:r w:rsidRPr="00C14D0E">
        <w:rPr>
          <w:rFonts w:cs="Arial"/>
          <w:sz w:val="16"/>
          <w:szCs w:val="16"/>
          <w:rtl/>
        </w:rPr>
        <w:t>(כתובות מא: דיבור ראשון)</w:t>
      </w:r>
      <w:r w:rsidR="00C14D0E" w:rsidRPr="00C14D0E">
        <w:rPr>
          <w:rFonts w:cs="Arial" w:hint="cs"/>
          <w:rtl/>
        </w:rPr>
        <w:t>-</w:t>
      </w:r>
      <w:r w:rsidRPr="00C14D0E">
        <w:rPr>
          <w:rFonts w:cs="Arial"/>
          <w:rtl/>
        </w:rPr>
        <w:t xml:space="preserve"> אסיקנא דמגופה של קרקע קנו מידו והוא הדין בנשואה דמהני לפירות אם קנו מידו</w:t>
      </w:r>
      <w:r w:rsidR="009D7965">
        <w:rPr>
          <w:rStyle w:val="a7"/>
          <w:rFonts w:cs="Arial"/>
          <w:rtl/>
        </w:rPr>
        <w:footnoteReference w:id="1487"/>
      </w:r>
      <w:r w:rsidRPr="00C14D0E">
        <w:rPr>
          <w:rFonts w:cs="Arial"/>
          <w:rtl/>
        </w:rPr>
        <w:t xml:space="preserve">. </w:t>
      </w:r>
    </w:p>
    <w:p w14:paraId="7703DF96"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389E0FCB" w14:textId="2CF3F80A" w:rsidR="00B41AC8" w:rsidRDefault="007A3469" w:rsidP="00EB6B38">
      <w:pPr>
        <w:rPr>
          <w:rtl/>
        </w:rPr>
      </w:pPr>
      <w:r>
        <w:rPr>
          <w:rFonts w:cs="Arial"/>
          <w:rtl/>
        </w:rPr>
        <w:t>הכותב או האומר לאשתו בעודה ארוסה: דין ודברים אין לי בנכסיך, אם מכרה או נתנה, קיים</w:t>
      </w:r>
      <w:r w:rsidR="00C14D0E" w:rsidRPr="00F20C9C">
        <w:rPr>
          <w:rStyle w:val="a7"/>
          <w:rFonts w:cs="Arial"/>
          <w:color w:val="000000" w:themeColor="text1"/>
          <w:rtl/>
        </w:rPr>
        <w:footnoteReference w:id="1488"/>
      </w:r>
      <w:r>
        <w:rPr>
          <w:rFonts w:cs="Arial"/>
          <w:rtl/>
        </w:rPr>
        <w:t xml:space="preserve">. </w:t>
      </w:r>
      <w:r w:rsidR="00C14D0E">
        <w:rPr>
          <w:rFonts w:cs="Arial" w:hint="cs"/>
          <w:sz w:val="18"/>
          <w:szCs w:val="18"/>
          <w:rtl/>
        </w:rPr>
        <w:t xml:space="preserve">[הגה] </w:t>
      </w:r>
      <w:r w:rsidRPr="00DA1E36">
        <w:rPr>
          <w:rFonts w:cs="Arial"/>
          <w:sz w:val="18"/>
          <w:szCs w:val="18"/>
          <w:rtl/>
        </w:rPr>
        <w:t>ואין לו במעות המקח כלל</w:t>
      </w:r>
      <w:r w:rsidR="00D82822" w:rsidRPr="00F20C9C">
        <w:rPr>
          <w:rStyle w:val="a7"/>
          <w:rFonts w:cs="Arial"/>
          <w:color w:val="000000" w:themeColor="text1"/>
          <w:rtl/>
        </w:rPr>
        <w:footnoteReference w:id="1489"/>
      </w:r>
      <w:r w:rsidRPr="00DA1E36">
        <w:rPr>
          <w:rFonts w:cs="Arial"/>
          <w:sz w:val="18"/>
          <w:szCs w:val="18"/>
          <w:rtl/>
        </w:rPr>
        <w:t xml:space="preserve"> (הגהות אלפסי). </w:t>
      </w:r>
      <w:r>
        <w:rPr>
          <w:rFonts w:cs="Arial"/>
          <w:rtl/>
        </w:rPr>
        <w:t>וכל זמן שלא מכרה ולא נתנה, הבעל אוכל הפירות</w:t>
      </w:r>
      <w:r w:rsidR="00853009" w:rsidRPr="00F20C9C">
        <w:rPr>
          <w:rStyle w:val="a7"/>
          <w:rFonts w:cs="Arial"/>
          <w:color w:val="000000" w:themeColor="text1"/>
          <w:rtl/>
        </w:rPr>
        <w:footnoteReference w:id="1490"/>
      </w:r>
      <w:r>
        <w:rPr>
          <w:rFonts w:cs="Arial"/>
          <w:rtl/>
        </w:rPr>
        <w:t>, ואם מתה יורשה. ואם כתב לה כן אחר הנשואין, צריך לקנות מידו ואז יהיה מכרה ומתנתה קיים</w:t>
      </w:r>
      <w:r w:rsidR="00C86FA0">
        <w:rPr>
          <w:rStyle w:val="a7"/>
          <w:rFonts w:cs="Arial"/>
          <w:rtl/>
        </w:rPr>
        <w:footnoteReference w:id="1491"/>
      </w:r>
      <w:r>
        <w:rPr>
          <w:rFonts w:cs="Arial"/>
          <w:rtl/>
        </w:rPr>
        <w:t xml:space="preserve">. </w:t>
      </w:r>
      <w:r w:rsidRPr="00DA1E36">
        <w:rPr>
          <w:rFonts w:cs="Arial"/>
          <w:sz w:val="18"/>
          <w:szCs w:val="18"/>
          <w:rtl/>
        </w:rPr>
        <w:t>הגה: ולא מהני סלוקו אלא לאחר אירוסין, אבל קודם אירוסין לא מהני סילוק</w:t>
      </w:r>
      <w:r w:rsidR="00D82822">
        <w:rPr>
          <w:rStyle w:val="a7"/>
          <w:rFonts w:cs="Arial"/>
          <w:sz w:val="18"/>
          <w:szCs w:val="18"/>
          <w:rtl/>
        </w:rPr>
        <w:footnoteReference w:id="1492"/>
      </w:r>
      <w:r w:rsidRPr="00DA1E36">
        <w:rPr>
          <w:rFonts w:cs="Arial"/>
          <w:sz w:val="18"/>
          <w:szCs w:val="18"/>
          <w:rtl/>
        </w:rPr>
        <w:t xml:space="preserve"> (רשב"א</w:t>
      </w:r>
      <w:r w:rsidR="00B74956">
        <w:rPr>
          <w:rFonts w:cs="Arial" w:hint="cs"/>
          <w:sz w:val="18"/>
          <w:szCs w:val="18"/>
          <w:rtl/>
        </w:rPr>
        <w:t xml:space="preserve"> ור"ן</w:t>
      </w:r>
      <w:r w:rsidRPr="00DA1E36">
        <w:rPr>
          <w:rFonts w:cs="Arial"/>
          <w:sz w:val="18"/>
          <w:szCs w:val="18"/>
          <w:rtl/>
        </w:rPr>
        <w:t xml:space="preserve">). </w:t>
      </w:r>
    </w:p>
    <w:p w14:paraId="762E2E75" w14:textId="77777777" w:rsidR="005D1457" w:rsidRDefault="005D1457" w:rsidP="007A3469">
      <w:pPr>
        <w:rPr>
          <w:rtl/>
        </w:rPr>
      </w:pPr>
    </w:p>
    <w:p w14:paraId="5412283F" w14:textId="47B4D9CE" w:rsidR="007A3469" w:rsidRDefault="007A3469" w:rsidP="000F64D0">
      <w:pPr>
        <w:pStyle w:val="2"/>
        <w:rPr>
          <w:rtl/>
        </w:rPr>
      </w:pPr>
      <w:r>
        <w:rPr>
          <w:rtl/>
        </w:rPr>
        <w:t>סעיף ב</w:t>
      </w:r>
      <w:r w:rsidR="005D1457">
        <w:rPr>
          <w:rFonts w:hint="cs"/>
          <w:rtl/>
        </w:rPr>
        <w:t>:</w:t>
      </w:r>
      <w:r w:rsidR="00EB6B38">
        <w:rPr>
          <w:rFonts w:hint="cs"/>
          <w:rtl/>
        </w:rPr>
        <w:t xml:space="preserve"> הכותב לאשתו </w:t>
      </w:r>
      <w:r w:rsidR="00A857C8">
        <w:rPr>
          <w:rFonts w:hint="cs"/>
          <w:rtl/>
        </w:rPr>
        <w:t xml:space="preserve">בעודה ארוסה </w:t>
      </w:r>
      <w:r w:rsidR="00EB6B38">
        <w:rPr>
          <w:rFonts w:hint="cs"/>
          <w:rtl/>
        </w:rPr>
        <w:t>כנ"ל ונפלו לה נכסים לאחר הנישואין.</w:t>
      </w:r>
    </w:p>
    <w:p w14:paraId="7F109BB6" w14:textId="1FE90732" w:rsidR="00294ED1" w:rsidRPr="00294ED1" w:rsidRDefault="00EB6B38" w:rsidP="00294ED1">
      <w:pPr>
        <w:rPr>
          <w:u w:val="single"/>
        </w:rPr>
      </w:pPr>
      <w:r>
        <w:rPr>
          <w:rFonts w:hint="cs"/>
          <w:u w:val="single"/>
          <w:rtl/>
        </w:rPr>
        <w:t xml:space="preserve">הכותב לאשתו </w:t>
      </w:r>
      <w:r w:rsidR="00D2753E">
        <w:rPr>
          <w:rFonts w:hint="cs"/>
          <w:u w:val="single"/>
          <w:rtl/>
        </w:rPr>
        <w:t xml:space="preserve">ארוסה כנ"ל - </w:t>
      </w:r>
      <w:r w:rsidR="00294ED1" w:rsidRPr="00294ED1">
        <w:rPr>
          <w:rFonts w:hint="cs"/>
          <w:u w:val="single"/>
          <w:rtl/>
        </w:rPr>
        <w:t>מה דין הנכסים שנפלו לה משנשאת:</w:t>
      </w:r>
    </w:p>
    <w:p w14:paraId="3B32A162" w14:textId="7784E22D" w:rsidR="00294ED1" w:rsidRPr="00157F70" w:rsidRDefault="00D2753E" w:rsidP="009000E3">
      <w:pPr>
        <w:pStyle w:val="ab"/>
        <w:numPr>
          <w:ilvl w:val="0"/>
          <w:numId w:val="55"/>
        </w:numPr>
      </w:pPr>
      <w:r>
        <w:rPr>
          <w:rFonts w:cs="Arial" w:hint="cs"/>
          <w:rtl/>
        </w:rPr>
        <w:t>ר"י</w:t>
      </w:r>
      <w:r>
        <w:rPr>
          <w:rFonts w:cs="Arial" w:hint="cs"/>
          <w:sz w:val="16"/>
          <w:szCs w:val="16"/>
          <w:rtl/>
        </w:rPr>
        <w:t xml:space="preserve"> (כ"כ הטור בשמו</w:t>
      </w:r>
      <w:r w:rsidR="004D4D09">
        <w:rPr>
          <w:rFonts w:cs="Arial" w:hint="cs"/>
          <w:sz w:val="16"/>
          <w:szCs w:val="16"/>
          <w:rtl/>
        </w:rPr>
        <w:t>, ועי' בתוס' כתובות עח: ד"ה לא כר"י</w:t>
      </w:r>
      <w:r>
        <w:rPr>
          <w:rFonts w:cs="Arial" w:hint="cs"/>
          <w:sz w:val="16"/>
          <w:szCs w:val="16"/>
          <w:rtl/>
        </w:rPr>
        <w:t>)</w:t>
      </w:r>
      <w:r>
        <w:rPr>
          <w:rFonts w:cs="Arial" w:hint="cs"/>
          <w:rtl/>
        </w:rPr>
        <w:t xml:space="preserve">- </w:t>
      </w:r>
      <w:r w:rsidR="00294ED1" w:rsidRPr="00157F70">
        <w:rPr>
          <w:rFonts w:cs="Arial"/>
          <w:rtl/>
        </w:rPr>
        <w:t>אם נפלו לה משניסת</w:t>
      </w:r>
      <w:r w:rsidR="00294ED1" w:rsidRPr="00157F70">
        <w:rPr>
          <w:rFonts w:cs="Arial" w:hint="cs"/>
          <w:rtl/>
        </w:rPr>
        <w:t>,</w:t>
      </w:r>
      <w:r w:rsidR="00294ED1" w:rsidRPr="00157F70">
        <w:rPr>
          <w:rFonts w:cs="Arial"/>
          <w:rtl/>
        </w:rPr>
        <w:t xml:space="preserve"> אע</w:t>
      </w:r>
      <w:r w:rsidR="00F53F9A">
        <w:rPr>
          <w:rFonts w:cs="Arial" w:hint="cs"/>
          <w:rtl/>
        </w:rPr>
        <w:t>"</w:t>
      </w:r>
      <w:r w:rsidR="00294ED1" w:rsidRPr="00157F70">
        <w:rPr>
          <w:rFonts w:cs="Arial"/>
          <w:rtl/>
        </w:rPr>
        <w:t>פ שהתנה בעודה ארוסה אין התנאי מועיל</w:t>
      </w:r>
      <w:r w:rsidR="004D4D09">
        <w:rPr>
          <w:rFonts w:cs="Arial" w:hint="cs"/>
          <w:sz w:val="16"/>
          <w:szCs w:val="16"/>
          <w:rtl/>
        </w:rPr>
        <w:t xml:space="preserve"> (ל' הטור בשמו)</w:t>
      </w:r>
      <w:r>
        <w:rPr>
          <w:rFonts w:cs="Arial" w:hint="cs"/>
          <w:rtl/>
        </w:rPr>
        <w:t>.</w:t>
      </w:r>
    </w:p>
    <w:p w14:paraId="04E2CEED" w14:textId="72CA92D1" w:rsidR="00665EE6" w:rsidRPr="00665EE6" w:rsidRDefault="00294ED1" w:rsidP="009000E3">
      <w:pPr>
        <w:pStyle w:val="ab"/>
        <w:numPr>
          <w:ilvl w:val="0"/>
          <w:numId w:val="55"/>
        </w:numPr>
      </w:pPr>
      <w:r w:rsidRPr="003171A6">
        <w:rPr>
          <w:rFonts w:cs="Arial"/>
          <w:rtl/>
        </w:rPr>
        <w:lastRenderedPageBreak/>
        <w:t>רמב"ן</w:t>
      </w:r>
      <w:r w:rsidR="00665EE6">
        <w:rPr>
          <w:rFonts w:cs="Arial" w:hint="cs"/>
          <w:sz w:val="16"/>
          <w:szCs w:val="16"/>
          <w:rtl/>
        </w:rPr>
        <w:t xml:space="preserve"> </w:t>
      </w:r>
      <w:r w:rsidR="00665EE6" w:rsidRPr="00665EE6">
        <w:rPr>
          <w:rFonts w:cs="Arial"/>
          <w:sz w:val="16"/>
          <w:szCs w:val="16"/>
          <w:rtl/>
        </w:rPr>
        <w:t>(פג. ד"ה הא)</w:t>
      </w:r>
      <w:r w:rsidRPr="003171A6">
        <w:rPr>
          <w:rFonts w:cs="Arial"/>
          <w:rtl/>
        </w:rPr>
        <w:t xml:space="preserve"> </w:t>
      </w:r>
      <w:r w:rsidR="00D2753E">
        <w:rPr>
          <w:rFonts w:cs="Arial" w:hint="cs"/>
          <w:rtl/>
        </w:rPr>
        <w:t>רא"ש</w:t>
      </w:r>
      <w:r w:rsidR="00665EE6" w:rsidRPr="00F20C9C">
        <w:rPr>
          <w:rStyle w:val="a7"/>
          <w:rFonts w:cs="Arial"/>
          <w:color w:val="000000" w:themeColor="text1"/>
          <w:rtl/>
        </w:rPr>
        <w:footnoteReference w:id="1493"/>
      </w:r>
      <w:r w:rsidR="00D2753E">
        <w:rPr>
          <w:rFonts w:cs="Arial" w:hint="cs"/>
          <w:sz w:val="16"/>
          <w:szCs w:val="16"/>
          <w:rtl/>
        </w:rPr>
        <w:t xml:space="preserve"> (סי' א)</w:t>
      </w:r>
      <w:r w:rsidR="00665EE6" w:rsidRPr="00665EE6">
        <w:rPr>
          <w:rFonts w:cs="Arial"/>
          <w:rtl/>
        </w:rPr>
        <w:t xml:space="preserve"> </w:t>
      </w:r>
      <w:r w:rsidR="00665EE6" w:rsidRPr="00F31ACB">
        <w:rPr>
          <w:rFonts w:cs="Arial"/>
          <w:rtl/>
        </w:rPr>
        <w:t xml:space="preserve">ר"ן </w:t>
      </w:r>
      <w:r w:rsidR="00665EE6" w:rsidRPr="00665EE6">
        <w:rPr>
          <w:rFonts w:cs="Arial"/>
          <w:sz w:val="16"/>
          <w:szCs w:val="16"/>
          <w:rtl/>
        </w:rPr>
        <w:t xml:space="preserve">(מא. ד"ה הכותב) </w:t>
      </w:r>
      <w:r w:rsidR="00665EE6">
        <w:rPr>
          <w:rFonts w:cs="Arial" w:hint="cs"/>
          <w:rtl/>
        </w:rPr>
        <w:t xml:space="preserve">והה"מ </w:t>
      </w:r>
      <w:r w:rsidR="00665EE6" w:rsidRPr="00665EE6">
        <w:rPr>
          <w:rFonts w:cs="Arial" w:hint="cs"/>
          <w:sz w:val="16"/>
          <w:szCs w:val="16"/>
          <w:rtl/>
        </w:rPr>
        <w:t>(</w:t>
      </w:r>
      <w:r w:rsidR="00665EE6" w:rsidRPr="00665EE6">
        <w:rPr>
          <w:rFonts w:cs="Arial"/>
          <w:sz w:val="16"/>
          <w:szCs w:val="16"/>
          <w:rtl/>
        </w:rPr>
        <w:t>פכ"ג מאישות סוף ה"א)</w:t>
      </w:r>
      <w:r w:rsidR="00D2753E">
        <w:rPr>
          <w:rFonts w:cs="Arial" w:hint="cs"/>
          <w:rtl/>
        </w:rPr>
        <w:t xml:space="preserve">- </w:t>
      </w:r>
      <w:r w:rsidRPr="003171A6">
        <w:rPr>
          <w:rFonts w:cs="Arial"/>
          <w:rtl/>
        </w:rPr>
        <w:t>התנאי שהתנה בעודה ארוסה מועיל לנכסים שיפלו לאחר נישואין</w:t>
      </w:r>
      <w:r w:rsidR="00A31A43">
        <w:rPr>
          <w:rStyle w:val="a7"/>
          <w:rFonts w:cs="Arial"/>
          <w:rtl/>
        </w:rPr>
        <w:footnoteReference w:id="1494"/>
      </w:r>
      <w:r w:rsidR="00665EE6">
        <w:rPr>
          <w:rFonts w:cs="Arial" w:hint="cs"/>
          <w:sz w:val="16"/>
          <w:szCs w:val="16"/>
          <w:rtl/>
        </w:rPr>
        <w:t xml:space="preserve"> (ל' הטור בשם הרמב"ן)</w:t>
      </w:r>
      <w:r>
        <w:rPr>
          <w:rFonts w:cs="Arial" w:hint="cs"/>
          <w:rtl/>
        </w:rPr>
        <w:t>.</w:t>
      </w:r>
      <w:r w:rsidRPr="003171A6">
        <w:rPr>
          <w:rFonts w:cs="Arial"/>
          <w:rtl/>
        </w:rPr>
        <w:t xml:space="preserve"> </w:t>
      </w:r>
      <w:r w:rsidR="00A31A43" w:rsidRPr="00A31A43">
        <w:rPr>
          <w:rFonts w:hint="cs"/>
          <w:color w:val="E36C0A" w:themeColor="accent6" w:themeShade="BF"/>
          <w:rtl/>
        </w:rPr>
        <w:t>(וכ"פ בשו"ע)</w:t>
      </w:r>
    </w:p>
    <w:p w14:paraId="19657315" w14:textId="4DBBE37A" w:rsidR="00005DA9" w:rsidRPr="00005DA9" w:rsidRDefault="00005DA9" w:rsidP="00005DA9">
      <w:pPr>
        <w:rPr>
          <w:u w:val="single"/>
        </w:rPr>
      </w:pPr>
      <w:r w:rsidRPr="00005DA9">
        <w:rPr>
          <w:rFonts w:hint="cs"/>
          <w:u w:val="single"/>
          <w:rtl/>
        </w:rPr>
        <w:t xml:space="preserve">הכותב לאשתו 'דין ודברים אין לי בנכסיך' </w:t>
      </w:r>
      <w:r w:rsidR="00F97626">
        <w:rPr>
          <w:u w:val="single"/>
          <w:rtl/>
        </w:rPr>
        <w:t>-</w:t>
      </w:r>
      <w:r w:rsidRPr="00005DA9">
        <w:rPr>
          <w:rFonts w:hint="cs"/>
          <w:u w:val="single"/>
          <w:rtl/>
        </w:rPr>
        <w:t xml:space="preserve"> האם הנכסים הנכתבים בכתובה הם בכלל זה:</w:t>
      </w:r>
    </w:p>
    <w:p w14:paraId="7937018E" w14:textId="686E5B41" w:rsidR="00005DA9" w:rsidRPr="00005DA9" w:rsidRDefault="00005DA9" w:rsidP="009000E3">
      <w:pPr>
        <w:pStyle w:val="ab"/>
        <w:numPr>
          <w:ilvl w:val="0"/>
          <w:numId w:val="55"/>
        </w:numPr>
      </w:pPr>
      <w:r w:rsidRPr="00005DA9">
        <w:rPr>
          <w:rFonts w:cs="Arial"/>
          <w:rtl/>
        </w:rPr>
        <w:t xml:space="preserve">רב האי גאון </w:t>
      </w:r>
      <w:r w:rsidRPr="00005DA9">
        <w:rPr>
          <w:rFonts w:cs="Arial"/>
          <w:sz w:val="16"/>
          <w:szCs w:val="16"/>
          <w:rtl/>
        </w:rPr>
        <w:t>(ס' המקח והממכר שער ד</w:t>
      </w:r>
      <w:r w:rsidRPr="00005DA9">
        <w:rPr>
          <w:rFonts w:cs="Arial" w:hint="cs"/>
          <w:sz w:val="16"/>
          <w:szCs w:val="16"/>
          <w:rtl/>
        </w:rPr>
        <w:t>, הביאו המרדכי [סי' ריב])</w:t>
      </w:r>
      <w:r>
        <w:rPr>
          <w:rFonts w:cs="Arial" w:hint="cs"/>
          <w:rtl/>
        </w:rPr>
        <w:t>-</w:t>
      </w:r>
      <w:r w:rsidRPr="00005DA9">
        <w:rPr>
          <w:rFonts w:cs="Arial"/>
          <w:rtl/>
        </w:rPr>
        <w:t xml:space="preserve"> אם יתנה אדם עם אשתו קודם נשואין וכותב לה שאין לי בנכסיך כלום</w:t>
      </w:r>
      <w:r w:rsidR="00F53F9A">
        <w:rPr>
          <w:rFonts w:cs="Arial" w:hint="cs"/>
          <w:rtl/>
        </w:rPr>
        <w:t>,</w:t>
      </w:r>
      <w:r w:rsidRPr="00005DA9">
        <w:rPr>
          <w:rFonts w:cs="Arial"/>
          <w:rtl/>
        </w:rPr>
        <w:t xml:space="preserve"> ואח"כ נישאת ומכרה מכירתה קיימת אפילו בנכסים הכתובים בכתובה</w:t>
      </w:r>
      <w:r w:rsidR="00F53F9A">
        <w:rPr>
          <w:rFonts w:cs="Arial" w:hint="cs"/>
          <w:rtl/>
        </w:rPr>
        <w:t>,</w:t>
      </w:r>
      <w:r w:rsidRPr="00005DA9">
        <w:rPr>
          <w:rFonts w:cs="Arial"/>
          <w:rtl/>
        </w:rPr>
        <w:t xml:space="preserve"> כ"ש בנכסי מלוג</w:t>
      </w:r>
      <w:r w:rsidR="00F53F9A">
        <w:rPr>
          <w:rFonts w:cs="Arial" w:hint="cs"/>
          <w:rtl/>
        </w:rPr>
        <w:t>,</w:t>
      </w:r>
      <w:r w:rsidRPr="00005DA9">
        <w:rPr>
          <w:rFonts w:cs="Arial"/>
          <w:rtl/>
        </w:rPr>
        <w:t xml:space="preserve"> ואפילו אם היא תמות בחיי בעלה אין בעלה יכול להוציא מיד הלקוחות</w:t>
      </w:r>
      <w:r>
        <w:rPr>
          <w:rFonts w:cs="Arial" w:hint="cs"/>
          <w:rtl/>
        </w:rPr>
        <w:t>.</w:t>
      </w:r>
      <w:r w:rsidRPr="00005DA9">
        <w:rPr>
          <w:rFonts w:cs="Arial"/>
          <w:rtl/>
        </w:rPr>
        <w:t xml:space="preserve"> </w:t>
      </w:r>
      <w:r w:rsidR="00F53F9A">
        <w:rPr>
          <w:rFonts w:hint="cs"/>
          <w:rtl/>
        </w:rPr>
        <w:t xml:space="preserve"> </w:t>
      </w:r>
    </w:p>
    <w:p w14:paraId="07DAF068" w14:textId="2B4DCB2B" w:rsidR="006948E0" w:rsidRDefault="00005DA9" w:rsidP="009000E3">
      <w:pPr>
        <w:pStyle w:val="ab"/>
        <w:numPr>
          <w:ilvl w:val="0"/>
          <w:numId w:val="55"/>
        </w:numPr>
      </w:pPr>
      <w:r w:rsidRPr="00005DA9">
        <w:rPr>
          <w:rFonts w:cs="Arial"/>
          <w:rtl/>
        </w:rPr>
        <w:t xml:space="preserve">ריצב"א </w:t>
      </w:r>
      <w:r>
        <w:rPr>
          <w:rFonts w:cs="Arial" w:hint="cs"/>
          <w:sz w:val="16"/>
          <w:szCs w:val="16"/>
          <w:rtl/>
        </w:rPr>
        <w:t>(כ"כ בשמו</w:t>
      </w:r>
      <w:r w:rsidRPr="00005DA9">
        <w:rPr>
          <w:rFonts w:cs="Arial" w:hint="cs"/>
          <w:sz w:val="16"/>
          <w:szCs w:val="16"/>
          <w:rtl/>
        </w:rPr>
        <w:t xml:space="preserve"> המרדכי [סי' ריב])</w:t>
      </w:r>
      <w:r>
        <w:rPr>
          <w:rFonts w:cs="Arial" w:hint="cs"/>
          <w:rtl/>
        </w:rPr>
        <w:t xml:space="preserve">- </w:t>
      </w:r>
      <w:r w:rsidRPr="00005DA9">
        <w:rPr>
          <w:rFonts w:cs="Arial"/>
          <w:rtl/>
        </w:rPr>
        <w:t>מה שהוסיף לומר</w:t>
      </w:r>
      <w:r>
        <w:rPr>
          <w:rFonts w:cs="Arial" w:hint="cs"/>
          <w:sz w:val="16"/>
          <w:szCs w:val="16"/>
          <w:rtl/>
        </w:rPr>
        <w:t xml:space="preserve"> {רב האי}</w:t>
      </w:r>
      <w:r w:rsidRPr="00005DA9">
        <w:rPr>
          <w:rFonts w:cs="Arial"/>
          <w:rtl/>
        </w:rPr>
        <w:t xml:space="preserve"> </w:t>
      </w:r>
      <w:r>
        <w:rPr>
          <w:rFonts w:cs="Arial" w:hint="cs"/>
          <w:rtl/>
        </w:rPr>
        <w:t>'</w:t>
      </w:r>
      <w:r w:rsidRPr="00005DA9">
        <w:rPr>
          <w:rFonts w:cs="Arial"/>
          <w:rtl/>
        </w:rPr>
        <w:t>אפילו נכסים הכתובים בכתובה</w:t>
      </w:r>
      <w:r>
        <w:rPr>
          <w:rFonts w:cs="Arial" w:hint="cs"/>
          <w:rtl/>
        </w:rPr>
        <w:t>'</w:t>
      </w:r>
      <w:r w:rsidRPr="00005DA9">
        <w:rPr>
          <w:rFonts w:cs="Arial"/>
          <w:rtl/>
        </w:rPr>
        <w:t xml:space="preserve"> לא יתכן בעיני לומר שזהו בכלל נכסייך אא"כ פירש בהדיא</w:t>
      </w:r>
      <w:r>
        <w:rPr>
          <w:rFonts w:cs="Arial" w:hint="cs"/>
          <w:rtl/>
        </w:rPr>
        <w:t>.</w:t>
      </w:r>
      <w:r>
        <w:rPr>
          <w:rFonts w:hint="cs"/>
          <w:rtl/>
        </w:rPr>
        <w:t xml:space="preserve"> </w:t>
      </w:r>
      <w:r w:rsidRPr="00005DA9">
        <w:rPr>
          <w:rFonts w:hint="cs"/>
          <w:color w:val="00B0F0"/>
          <w:rtl/>
        </w:rPr>
        <w:t>(וכ"כ הרמ"א)</w:t>
      </w:r>
    </w:p>
    <w:p w14:paraId="6AA5626B"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579EE502" w14:textId="0220961D" w:rsidR="007A3469" w:rsidRDefault="007A3469" w:rsidP="007A3469">
      <w:pPr>
        <w:rPr>
          <w:rtl/>
        </w:rPr>
      </w:pPr>
      <w:r>
        <w:rPr>
          <w:rFonts w:cs="Arial"/>
          <w:rtl/>
        </w:rPr>
        <w:t xml:space="preserve">אם התנה בעודה ארוסה על נכסים שיפלו לה משנשאת שלא יהא לו דין ודברים בהם, מועיל. ויש מי שאומר שאינו מועיל. </w:t>
      </w:r>
      <w:r w:rsidRPr="00DA1E36">
        <w:rPr>
          <w:rFonts w:cs="Arial"/>
          <w:sz w:val="18"/>
          <w:szCs w:val="18"/>
          <w:rtl/>
        </w:rPr>
        <w:t>הגה: סלק עצמו מנכסים, י"א שאין הנכסים הכתובים בכתובתה בכלל</w:t>
      </w:r>
      <w:r w:rsidR="00C86FA0">
        <w:rPr>
          <w:rStyle w:val="a7"/>
          <w:rFonts w:cs="Arial"/>
          <w:sz w:val="18"/>
          <w:szCs w:val="18"/>
          <w:rtl/>
        </w:rPr>
        <w:footnoteReference w:id="1495"/>
      </w:r>
      <w:r w:rsidRPr="00DA1E36">
        <w:rPr>
          <w:rFonts w:cs="Arial"/>
          <w:sz w:val="18"/>
          <w:szCs w:val="18"/>
          <w:rtl/>
        </w:rPr>
        <w:t xml:space="preserve"> (מרדכי בשם ריצב"א)</w:t>
      </w:r>
      <w:r w:rsidR="00D2753E">
        <w:rPr>
          <w:rFonts w:cs="Arial" w:hint="cs"/>
          <w:sz w:val="18"/>
          <w:szCs w:val="18"/>
          <w:rtl/>
        </w:rPr>
        <w:t>.</w:t>
      </w:r>
      <w:r w:rsidRPr="00DA1E36">
        <w:rPr>
          <w:rFonts w:cs="Arial"/>
          <w:sz w:val="18"/>
          <w:szCs w:val="18"/>
          <w:rtl/>
        </w:rPr>
        <w:t xml:space="preserve"> ואפי' נכסים שנפלו לה אח"כ אינו בכלל אלא אם כן פירש בהדיא</w:t>
      </w:r>
      <w:r w:rsidR="00A31A43">
        <w:rPr>
          <w:rStyle w:val="a7"/>
          <w:rFonts w:cs="Arial"/>
          <w:sz w:val="18"/>
          <w:szCs w:val="18"/>
          <w:rtl/>
        </w:rPr>
        <w:footnoteReference w:id="1496"/>
      </w:r>
      <w:r w:rsidR="00C86FA0">
        <w:rPr>
          <w:rFonts w:cs="Arial" w:hint="cs"/>
          <w:sz w:val="18"/>
          <w:szCs w:val="18"/>
          <w:rtl/>
        </w:rPr>
        <w:t xml:space="preserve"> </w:t>
      </w:r>
      <w:r w:rsidR="00C86FA0" w:rsidRPr="00DA1E36">
        <w:rPr>
          <w:rFonts w:cs="Arial"/>
          <w:sz w:val="18"/>
          <w:szCs w:val="18"/>
          <w:rtl/>
        </w:rPr>
        <w:t>(מהרי"ק שורש יג)</w:t>
      </w:r>
      <w:r w:rsidRPr="00DA1E36">
        <w:rPr>
          <w:rFonts w:cs="Arial"/>
          <w:sz w:val="18"/>
          <w:szCs w:val="18"/>
          <w:rtl/>
        </w:rPr>
        <w:t>.</w:t>
      </w:r>
      <w:r>
        <w:rPr>
          <w:rFonts w:cs="Arial"/>
          <w:rtl/>
        </w:rPr>
        <w:t xml:space="preserve"> </w:t>
      </w:r>
    </w:p>
    <w:p w14:paraId="227AF144" w14:textId="77777777" w:rsidR="005D1457" w:rsidRDefault="005D1457" w:rsidP="007A3469">
      <w:pPr>
        <w:rPr>
          <w:rtl/>
        </w:rPr>
      </w:pPr>
    </w:p>
    <w:p w14:paraId="05C45BB1" w14:textId="1CD12DE1" w:rsidR="007A3469" w:rsidRDefault="007A3469" w:rsidP="000F64D0">
      <w:pPr>
        <w:pStyle w:val="2"/>
        <w:rPr>
          <w:rtl/>
        </w:rPr>
      </w:pPr>
      <w:r>
        <w:rPr>
          <w:rtl/>
        </w:rPr>
        <w:t>סעיף ג</w:t>
      </w:r>
      <w:r w:rsidR="005D1457">
        <w:rPr>
          <w:rFonts w:hint="cs"/>
          <w:rtl/>
        </w:rPr>
        <w:t>:</w:t>
      </w:r>
      <w:r w:rsidR="00A857C8" w:rsidRPr="00A857C8">
        <w:rPr>
          <w:rFonts w:hint="cs"/>
          <w:rtl/>
        </w:rPr>
        <w:t xml:space="preserve"> </w:t>
      </w:r>
      <w:r w:rsidR="00A857C8">
        <w:rPr>
          <w:rFonts w:hint="cs"/>
          <w:rtl/>
        </w:rPr>
        <w:t>הכותב לאשתו בעודה ארוסה כנ"ל וקנו מידו.</w:t>
      </w:r>
    </w:p>
    <w:p w14:paraId="36A999B5" w14:textId="256747D2" w:rsidR="00932476" w:rsidRPr="00D33625" w:rsidRDefault="00932476" w:rsidP="00932476">
      <w:pPr>
        <w:rPr>
          <w:rtl/>
        </w:rPr>
      </w:pPr>
      <w:r w:rsidRPr="00D33625">
        <w:rPr>
          <w:rFonts w:cs="Arial" w:hint="cs"/>
          <w:b/>
          <w:bCs/>
          <w:rtl/>
        </w:rPr>
        <w:t xml:space="preserve">כתובות </w:t>
      </w:r>
      <w:r w:rsidRPr="00D33625">
        <w:rPr>
          <w:rFonts w:cs="Arial" w:hint="cs"/>
          <w:b/>
          <w:bCs/>
          <w:sz w:val="16"/>
          <w:szCs w:val="16"/>
          <w:rtl/>
        </w:rPr>
        <w:t>(ר"פ הכותב)</w:t>
      </w:r>
      <w:r w:rsidRPr="00D33625">
        <w:rPr>
          <w:rFonts w:cs="Arial" w:hint="cs"/>
          <w:b/>
          <w:bCs/>
          <w:rtl/>
        </w:rPr>
        <w:t xml:space="preserve"> פג ע"א:</w:t>
      </w:r>
      <w:r>
        <w:rPr>
          <w:rFonts w:cs="Arial" w:hint="cs"/>
          <w:rtl/>
        </w:rPr>
        <w:t xml:space="preserve"> </w:t>
      </w:r>
      <w:r w:rsidRPr="00D33625">
        <w:rPr>
          <w:rFonts w:cs="Arial"/>
          <w:u w:val="double"/>
          <w:rtl/>
        </w:rPr>
        <w:t>מתני'</w:t>
      </w:r>
      <w:r>
        <w:rPr>
          <w:rFonts w:cs="Arial" w:hint="cs"/>
          <w:rtl/>
        </w:rPr>
        <w:t>:</w:t>
      </w:r>
      <w:r>
        <w:rPr>
          <w:rFonts w:cs="Arial"/>
          <w:rtl/>
        </w:rPr>
        <w:t xml:space="preserve"> הכותב לאשתו דין ודברים אין לי בנכסיך</w:t>
      </w:r>
      <w:r>
        <w:rPr>
          <w:rFonts w:cs="Arial" w:hint="cs"/>
          <w:rtl/>
        </w:rPr>
        <w:t>...</w:t>
      </w:r>
      <w:r>
        <w:rPr>
          <w:rFonts w:cs="Arial"/>
          <w:rtl/>
        </w:rPr>
        <w:t xml:space="preserve"> </w:t>
      </w:r>
      <w:r>
        <w:rPr>
          <w:rFonts w:hint="cs"/>
          <w:rtl/>
        </w:rPr>
        <w:t xml:space="preserve">        </w:t>
      </w:r>
      <w:r w:rsidRPr="00D33625">
        <w:rPr>
          <w:rFonts w:cs="Arial"/>
          <w:u w:val="double"/>
          <w:rtl/>
        </w:rPr>
        <w:t>גמ'</w:t>
      </w:r>
      <w:r>
        <w:rPr>
          <w:rFonts w:cs="Arial" w:hint="cs"/>
          <w:rtl/>
        </w:rPr>
        <w:t>:</w:t>
      </w:r>
      <w:r w:rsidRPr="00915746">
        <w:rPr>
          <w:rFonts w:cs="Arial"/>
          <w:rtl/>
        </w:rPr>
        <w:t xml:space="preserve"> איבעיא להו: קנו מידו</w:t>
      </w:r>
      <w:r w:rsidRPr="00F20C9C">
        <w:rPr>
          <w:rStyle w:val="a7"/>
          <w:rFonts w:cs="Arial"/>
          <w:color w:val="000000" w:themeColor="text1"/>
          <w:rtl/>
        </w:rPr>
        <w:footnoteReference w:id="1497"/>
      </w:r>
      <w:r w:rsidRPr="00915746">
        <w:rPr>
          <w:rFonts w:cs="Arial"/>
          <w:rtl/>
        </w:rPr>
        <w:t>, מהו</w:t>
      </w:r>
      <w:r w:rsidRPr="00F20C9C">
        <w:rPr>
          <w:rStyle w:val="a7"/>
          <w:rFonts w:cs="Arial"/>
          <w:color w:val="000000" w:themeColor="text1"/>
          <w:rtl/>
        </w:rPr>
        <w:footnoteReference w:id="1498"/>
      </w:r>
      <w:r w:rsidRPr="00915746">
        <w:rPr>
          <w:rFonts w:cs="Arial"/>
          <w:rtl/>
        </w:rPr>
        <w:t xml:space="preserve">? </w:t>
      </w:r>
      <w:r w:rsidRPr="00915746">
        <w:rPr>
          <w:rFonts w:cs="Arial"/>
          <w:u w:val="single"/>
          <w:rtl/>
        </w:rPr>
        <w:t>אמר רב יוסף</w:t>
      </w:r>
      <w:r w:rsidRPr="00915746">
        <w:rPr>
          <w:rFonts w:cs="Arial"/>
          <w:rtl/>
        </w:rPr>
        <w:t>: מדין ודברים קנו מידו</w:t>
      </w:r>
      <w:r w:rsidRPr="00F20C9C">
        <w:rPr>
          <w:rStyle w:val="a7"/>
          <w:rFonts w:cs="Arial"/>
          <w:color w:val="000000" w:themeColor="text1"/>
          <w:rtl/>
        </w:rPr>
        <w:footnoteReference w:id="1499"/>
      </w:r>
      <w:r w:rsidRPr="00915746">
        <w:rPr>
          <w:rFonts w:cs="Arial"/>
          <w:rtl/>
        </w:rPr>
        <w:t xml:space="preserve">. </w:t>
      </w:r>
      <w:r w:rsidRPr="00915746">
        <w:rPr>
          <w:rFonts w:cs="Arial"/>
          <w:u w:val="single"/>
          <w:rtl/>
        </w:rPr>
        <w:t>רב נחמן אמר</w:t>
      </w:r>
      <w:r w:rsidRPr="00915746">
        <w:rPr>
          <w:rFonts w:cs="Arial"/>
          <w:rtl/>
        </w:rPr>
        <w:t>: מגופה של קרקע קנו מידו.</w:t>
      </w:r>
      <w:r>
        <w:rPr>
          <w:rFonts w:cs="Arial" w:hint="cs"/>
          <w:rtl/>
        </w:rPr>
        <w:t>..</w:t>
      </w:r>
      <w:r w:rsidRPr="00915746">
        <w:rPr>
          <w:rFonts w:cs="Arial"/>
          <w:rtl/>
        </w:rPr>
        <w:t xml:space="preserve"> </w:t>
      </w:r>
      <w:r w:rsidRPr="003009B8">
        <w:rPr>
          <w:rFonts w:cs="Arial"/>
          <w:u w:val="single"/>
          <w:rtl/>
        </w:rPr>
        <w:t>אמר אמימר</w:t>
      </w:r>
      <w:r>
        <w:rPr>
          <w:rFonts w:cs="Arial" w:hint="cs"/>
          <w:rtl/>
        </w:rPr>
        <w:t>:</w:t>
      </w:r>
      <w:r w:rsidRPr="00915746">
        <w:rPr>
          <w:rFonts w:cs="Arial"/>
          <w:rtl/>
        </w:rPr>
        <w:t xml:space="preserve"> הלכתא</w:t>
      </w:r>
      <w:r>
        <w:rPr>
          <w:rFonts w:cs="Arial" w:hint="cs"/>
          <w:rtl/>
        </w:rPr>
        <w:t>,</w:t>
      </w:r>
      <w:r w:rsidRPr="00915746">
        <w:rPr>
          <w:rFonts w:cs="Arial"/>
          <w:rtl/>
        </w:rPr>
        <w:t xml:space="preserve"> מגופה של קרקע קנו מידו. </w:t>
      </w:r>
    </w:p>
    <w:p w14:paraId="23B9351C" w14:textId="26466DBA" w:rsidR="000137A6" w:rsidRPr="00A857C8" w:rsidRDefault="00A857C8" w:rsidP="000137A6">
      <w:pPr>
        <w:rPr>
          <w:u w:val="single"/>
          <w:rtl/>
        </w:rPr>
      </w:pPr>
      <w:r w:rsidRPr="00A857C8">
        <w:rPr>
          <w:rFonts w:hint="cs"/>
          <w:u w:val="single"/>
          <w:rtl/>
        </w:rPr>
        <w:t>הכותב לאשתו בעודה ארוסה כנ"ל וקנו מידו:</w:t>
      </w:r>
    </w:p>
    <w:p w14:paraId="23DC3758" w14:textId="0451677E" w:rsidR="00294ED1" w:rsidRPr="00157F70" w:rsidRDefault="00932476" w:rsidP="009000E3">
      <w:pPr>
        <w:pStyle w:val="ab"/>
        <w:numPr>
          <w:ilvl w:val="0"/>
          <w:numId w:val="55"/>
        </w:numPr>
      </w:pPr>
      <w:r w:rsidRPr="00F31ACB">
        <w:rPr>
          <w:rFonts w:cs="Arial"/>
          <w:rtl/>
        </w:rPr>
        <w:lastRenderedPageBreak/>
        <w:t xml:space="preserve">רב האיי </w:t>
      </w:r>
      <w:r w:rsidRPr="00932476">
        <w:rPr>
          <w:rFonts w:cs="Arial"/>
          <w:sz w:val="16"/>
          <w:szCs w:val="16"/>
          <w:rtl/>
        </w:rPr>
        <w:t>(המקח והממכר שער ד)</w:t>
      </w:r>
      <w:r>
        <w:rPr>
          <w:rFonts w:cs="Arial" w:hint="cs"/>
          <w:rtl/>
        </w:rPr>
        <w:t xml:space="preserve"> רי"ף </w:t>
      </w:r>
      <w:r>
        <w:rPr>
          <w:rFonts w:cs="Arial" w:hint="cs"/>
          <w:sz w:val="16"/>
          <w:szCs w:val="16"/>
          <w:rtl/>
        </w:rPr>
        <w:t>(מא:)</w:t>
      </w:r>
      <w:r>
        <w:rPr>
          <w:rFonts w:cs="Arial" w:hint="cs"/>
          <w:rtl/>
        </w:rPr>
        <w:t xml:space="preserve"> ו</w:t>
      </w:r>
      <w:r w:rsidR="00294ED1" w:rsidRPr="003171A6">
        <w:rPr>
          <w:rFonts w:cs="Arial"/>
          <w:rtl/>
        </w:rPr>
        <w:t xml:space="preserve">רמב"ם </w:t>
      </w:r>
      <w:r>
        <w:rPr>
          <w:rFonts w:cs="Arial" w:hint="cs"/>
          <w:sz w:val="16"/>
          <w:szCs w:val="16"/>
          <w:rtl/>
        </w:rPr>
        <w:t>(פכ"ג מאישות ה"ב)</w:t>
      </w:r>
      <w:r>
        <w:rPr>
          <w:rFonts w:cs="Arial" w:hint="cs"/>
          <w:rtl/>
        </w:rPr>
        <w:t xml:space="preserve">- </w:t>
      </w:r>
      <w:r w:rsidR="00A857C8" w:rsidRPr="00A857C8">
        <w:rPr>
          <w:rFonts w:cs="Arial"/>
          <w:rtl/>
        </w:rPr>
        <w:t xml:space="preserve">אם קנו מידו כשהיא ארוסה שאין לו דין ודברים בנכסיה </w:t>
      </w:r>
      <w:r w:rsidR="00A857C8">
        <w:rPr>
          <w:rFonts w:cs="Arial" w:hint="cs"/>
          <w:rtl/>
        </w:rPr>
        <w:t xml:space="preserve">- </w:t>
      </w:r>
      <w:r w:rsidR="00A857C8" w:rsidRPr="00A857C8">
        <w:rPr>
          <w:rFonts w:cs="Arial"/>
          <w:rtl/>
        </w:rPr>
        <w:t>הרי סילק עצמו מגוף הקרקע ואין לו בנכסיה פירות לעולם</w:t>
      </w:r>
      <w:r w:rsidR="00A857C8">
        <w:rPr>
          <w:rFonts w:cs="Arial" w:hint="cs"/>
          <w:rtl/>
        </w:rPr>
        <w:t>.</w:t>
      </w:r>
      <w:r w:rsidR="00A857C8" w:rsidRPr="00A857C8">
        <w:rPr>
          <w:rFonts w:cs="Arial"/>
          <w:rtl/>
        </w:rPr>
        <w:t xml:space="preserve"> ואפילו ערער על קניינו ואמר לא עלה בדעתי שאין לי פירות מפני קנין זה אלא שאם מכרה מכרה קיים שאין אדם נושא אשה בלא נכסים </w:t>
      </w:r>
      <w:r w:rsidR="00A857C8">
        <w:rPr>
          <w:rFonts w:cs="Arial" w:hint="cs"/>
          <w:rtl/>
        </w:rPr>
        <w:t xml:space="preserve">- </w:t>
      </w:r>
      <w:r w:rsidR="00A857C8" w:rsidRPr="00A857C8">
        <w:rPr>
          <w:rFonts w:cs="Arial"/>
          <w:rtl/>
        </w:rPr>
        <w:t>אין שומעין לו</w:t>
      </w:r>
      <w:r w:rsidR="00A857C8">
        <w:rPr>
          <w:rFonts w:cs="Arial" w:hint="cs"/>
          <w:rtl/>
        </w:rPr>
        <w:t>,</w:t>
      </w:r>
      <w:r w:rsidR="00A857C8" w:rsidRPr="00A857C8">
        <w:rPr>
          <w:rFonts w:cs="Arial"/>
          <w:rtl/>
        </w:rPr>
        <w:t xml:space="preserve"> אלא כבר סילק עצמו מגוף הקרקע</w:t>
      </w:r>
      <w:r w:rsidR="00662C2B" w:rsidRPr="00F20C9C">
        <w:rPr>
          <w:rStyle w:val="a7"/>
          <w:rFonts w:cs="Arial"/>
          <w:color w:val="000000" w:themeColor="text1"/>
          <w:rtl/>
        </w:rPr>
        <w:footnoteReference w:id="1500"/>
      </w:r>
      <w:r w:rsidR="00A857C8">
        <w:rPr>
          <w:rFonts w:cs="Arial" w:hint="cs"/>
          <w:sz w:val="16"/>
          <w:szCs w:val="16"/>
          <w:rtl/>
        </w:rPr>
        <w:t xml:space="preserve"> (ל' הרמב"ם)</w:t>
      </w:r>
      <w:r>
        <w:rPr>
          <w:rFonts w:cs="Arial" w:hint="cs"/>
          <w:rtl/>
        </w:rPr>
        <w:t>.</w:t>
      </w:r>
      <w:r w:rsidR="003F327B" w:rsidRPr="003F327B">
        <w:rPr>
          <w:rFonts w:hint="cs"/>
          <w:color w:val="E36C0A" w:themeColor="accent6" w:themeShade="BF"/>
          <w:rtl/>
        </w:rPr>
        <w:t xml:space="preserve"> </w:t>
      </w:r>
      <w:r w:rsidR="003F327B" w:rsidRPr="00A31A43">
        <w:rPr>
          <w:rFonts w:hint="cs"/>
          <w:color w:val="E36C0A" w:themeColor="accent6" w:themeShade="BF"/>
          <w:rtl/>
        </w:rPr>
        <w:t>(וכ"פ בשו"ע)</w:t>
      </w:r>
    </w:p>
    <w:p w14:paraId="5672E0EF" w14:textId="1AD05622" w:rsidR="006948E0" w:rsidRPr="005D1457" w:rsidRDefault="00294ED1" w:rsidP="009000E3">
      <w:pPr>
        <w:pStyle w:val="ab"/>
        <w:numPr>
          <w:ilvl w:val="0"/>
          <w:numId w:val="55"/>
        </w:numPr>
        <w:rPr>
          <w:rtl/>
        </w:rPr>
      </w:pPr>
      <w:r w:rsidRPr="003171A6">
        <w:rPr>
          <w:rFonts w:cs="Arial"/>
          <w:rtl/>
        </w:rPr>
        <w:t>רא"ש</w:t>
      </w:r>
      <w:r w:rsidR="00662C2B">
        <w:rPr>
          <w:rFonts w:cs="Arial" w:hint="cs"/>
          <w:sz w:val="16"/>
          <w:szCs w:val="16"/>
          <w:rtl/>
        </w:rPr>
        <w:t xml:space="preserve"> (סי' א)</w:t>
      </w:r>
      <w:r w:rsidR="00662C2B">
        <w:rPr>
          <w:rFonts w:cs="Arial" w:hint="cs"/>
          <w:rtl/>
        </w:rPr>
        <w:t>-</w:t>
      </w:r>
      <w:r w:rsidRPr="003171A6">
        <w:rPr>
          <w:rFonts w:cs="Arial"/>
          <w:rtl/>
        </w:rPr>
        <w:t xml:space="preserve"> כיון שאין במשמעות לשון זה סילוק אלא לענין שאם מכרה ונתנה קיים </w:t>
      </w:r>
      <w:r w:rsidR="00A857C8">
        <w:rPr>
          <w:rFonts w:cs="Arial" w:hint="cs"/>
          <w:rtl/>
        </w:rPr>
        <w:t xml:space="preserve">- </w:t>
      </w:r>
      <w:r w:rsidRPr="003171A6">
        <w:rPr>
          <w:rFonts w:cs="Arial"/>
          <w:rtl/>
        </w:rPr>
        <w:t>אין הקנין גורם ליתן יתרון בלשון מה שאינו במשמעותו</w:t>
      </w:r>
      <w:r w:rsidR="00662C2B" w:rsidRPr="00F20C9C">
        <w:rPr>
          <w:rStyle w:val="a7"/>
          <w:rFonts w:cs="Arial"/>
          <w:color w:val="000000" w:themeColor="text1"/>
          <w:rtl/>
        </w:rPr>
        <w:footnoteReference w:id="1501"/>
      </w:r>
      <w:r w:rsidR="00A857C8">
        <w:rPr>
          <w:rFonts w:cs="Arial" w:hint="cs"/>
          <w:sz w:val="16"/>
          <w:szCs w:val="16"/>
          <w:rtl/>
        </w:rPr>
        <w:t xml:space="preserve"> (ל' הטור בשמו)</w:t>
      </w:r>
      <w:r>
        <w:rPr>
          <w:rFonts w:cs="Arial" w:hint="cs"/>
          <w:rtl/>
        </w:rPr>
        <w:t>.</w:t>
      </w:r>
      <w:r w:rsidRPr="003171A6">
        <w:rPr>
          <w:rFonts w:cs="Arial"/>
          <w:rtl/>
        </w:rPr>
        <w:t xml:space="preserve"> </w:t>
      </w:r>
    </w:p>
    <w:p w14:paraId="65BD967C"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58FE403C" w14:textId="04331E7B" w:rsidR="007A3469" w:rsidRDefault="007A3469" w:rsidP="007A3469">
      <w:pPr>
        <w:rPr>
          <w:rtl/>
        </w:rPr>
      </w:pPr>
      <w:r>
        <w:rPr>
          <w:rFonts w:cs="Arial"/>
          <w:rtl/>
        </w:rPr>
        <w:t>כשאמר לה בעודה ארוסה: דין ודברים אין לי בנכסיך, אם קנו מידו הרי סילק עצמו מגוף הקרקע ואין לו בנכסיה פירות</w:t>
      </w:r>
      <w:r w:rsidR="0057219F" w:rsidRPr="00F20C9C">
        <w:rPr>
          <w:rStyle w:val="a7"/>
          <w:rFonts w:cs="Arial"/>
          <w:color w:val="000000" w:themeColor="text1"/>
          <w:rtl/>
        </w:rPr>
        <w:footnoteReference w:id="1502"/>
      </w:r>
      <w:r>
        <w:rPr>
          <w:rFonts w:cs="Arial"/>
          <w:rtl/>
        </w:rPr>
        <w:t xml:space="preserve"> לעולם. ויש מי שחולק בזה. </w:t>
      </w:r>
    </w:p>
    <w:p w14:paraId="75C790CB" w14:textId="77777777" w:rsidR="005D1457" w:rsidRDefault="005D1457" w:rsidP="007A3469">
      <w:pPr>
        <w:rPr>
          <w:rtl/>
        </w:rPr>
      </w:pPr>
    </w:p>
    <w:p w14:paraId="2CF31AB6" w14:textId="6BAF52F5" w:rsidR="007A3469" w:rsidRDefault="007A3469" w:rsidP="000F64D0">
      <w:pPr>
        <w:pStyle w:val="2"/>
        <w:rPr>
          <w:rtl/>
        </w:rPr>
      </w:pPr>
      <w:r>
        <w:rPr>
          <w:rtl/>
        </w:rPr>
        <w:t>סעיף ד</w:t>
      </w:r>
      <w:r w:rsidR="005D1457">
        <w:rPr>
          <w:rFonts w:hint="cs"/>
          <w:rtl/>
        </w:rPr>
        <w:t>:</w:t>
      </w:r>
      <w:r w:rsidR="001811CE" w:rsidRPr="001811CE">
        <w:rPr>
          <w:rFonts w:hint="cs"/>
          <w:rtl/>
        </w:rPr>
        <w:t xml:space="preserve"> הכותב לאשתו</w:t>
      </w:r>
      <w:r w:rsidR="001811CE" w:rsidRPr="001811CE">
        <w:rPr>
          <w:rtl/>
        </w:rPr>
        <w:t xml:space="preserve"> </w:t>
      </w:r>
      <w:r w:rsidR="0094580F">
        <w:rPr>
          <w:rFonts w:hint="cs"/>
          <w:rtl/>
        </w:rPr>
        <w:t>"</w:t>
      </w:r>
      <w:r w:rsidR="001811CE" w:rsidRPr="001811CE">
        <w:rPr>
          <w:rtl/>
        </w:rPr>
        <w:t>דין ודברים אין לי בנכסייך ובפירותיה</w:t>
      </w:r>
      <w:r w:rsidR="00AE5B5A">
        <w:rPr>
          <w:rFonts w:hint="cs"/>
          <w:rtl/>
        </w:rPr>
        <w:t>ן</w:t>
      </w:r>
      <w:r w:rsidR="0094580F">
        <w:rPr>
          <w:rFonts w:hint="cs"/>
          <w:rtl/>
        </w:rPr>
        <w:t>"</w:t>
      </w:r>
      <w:r w:rsidR="001811CE">
        <w:rPr>
          <w:rFonts w:hint="cs"/>
          <w:rtl/>
        </w:rPr>
        <w:t>.</w:t>
      </w:r>
    </w:p>
    <w:p w14:paraId="78A26313" w14:textId="20613874" w:rsidR="00AD43AE" w:rsidRDefault="00AD43AE" w:rsidP="0057219F">
      <w:pPr>
        <w:rPr>
          <w:rtl/>
        </w:rPr>
      </w:pPr>
      <w:r w:rsidRPr="00D33625">
        <w:rPr>
          <w:rFonts w:cs="Arial" w:hint="cs"/>
          <w:b/>
          <w:bCs/>
          <w:rtl/>
        </w:rPr>
        <w:t xml:space="preserve">כתובות </w:t>
      </w:r>
      <w:r w:rsidRPr="00D33625">
        <w:rPr>
          <w:rFonts w:cs="Arial" w:hint="cs"/>
          <w:b/>
          <w:bCs/>
          <w:sz w:val="16"/>
          <w:szCs w:val="16"/>
          <w:rtl/>
        </w:rPr>
        <w:t>(ר"פ הכותב)</w:t>
      </w:r>
      <w:r w:rsidRPr="00D33625">
        <w:rPr>
          <w:rFonts w:cs="Arial" w:hint="cs"/>
          <w:b/>
          <w:bCs/>
          <w:rtl/>
        </w:rPr>
        <w:t xml:space="preserve"> פג ע"א:</w:t>
      </w:r>
      <w:r>
        <w:rPr>
          <w:rFonts w:cs="Arial" w:hint="cs"/>
          <w:rtl/>
        </w:rPr>
        <w:t xml:space="preserve"> </w:t>
      </w:r>
      <w:r w:rsidRPr="00D33625">
        <w:rPr>
          <w:rFonts w:cs="Arial"/>
          <w:u w:val="double"/>
          <w:rtl/>
        </w:rPr>
        <w:t>מתני'</w:t>
      </w:r>
      <w:r>
        <w:rPr>
          <w:rFonts w:cs="Arial" w:hint="cs"/>
          <w:rtl/>
        </w:rPr>
        <w:t>:..</w:t>
      </w:r>
      <w:r>
        <w:rPr>
          <w:rFonts w:cs="Arial"/>
          <w:rtl/>
        </w:rPr>
        <w:t>.</w:t>
      </w:r>
      <w:r w:rsidRPr="00AD43AE">
        <w:rPr>
          <w:rtl/>
        </w:rPr>
        <w:t xml:space="preserve"> </w:t>
      </w:r>
      <w:r w:rsidRPr="00AD43AE">
        <w:rPr>
          <w:rFonts w:cs="Arial"/>
          <w:rtl/>
        </w:rPr>
        <w:t>כתב לה דין ודברים אין לי בנכסיך ובפירותיהן - הרי זה אינו אוכל פירות בחייה, ואם מתה - יורשה</w:t>
      </w:r>
      <w:r w:rsidR="00060474">
        <w:rPr>
          <w:rFonts w:cs="Arial" w:hint="cs"/>
          <w:rtl/>
        </w:rPr>
        <w:t>.</w:t>
      </w:r>
      <w:r w:rsidRPr="00AD43AE">
        <w:rPr>
          <w:rFonts w:cs="Arial"/>
          <w:rtl/>
        </w:rPr>
        <w:t xml:space="preserve"> </w:t>
      </w:r>
      <w:r w:rsidRPr="00060474">
        <w:rPr>
          <w:rFonts w:cs="Arial"/>
          <w:u w:val="single"/>
          <w:rtl/>
        </w:rPr>
        <w:t>ר' יהודה אומר</w:t>
      </w:r>
      <w:r w:rsidRPr="00AD43AE">
        <w:rPr>
          <w:rFonts w:cs="Arial"/>
          <w:rtl/>
        </w:rPr>
        <w:t>: לעולם אוכל פירי פירות, עד שיכתוב לה דין ודברים אין לי בנכסיך ובפירותיהן ובפירי פירותיהן עד עולם.</w:t>
      </w:r>
      <w:r>
        <w:rPr>
          <w:rFonts w:cs="Arial" w:hint="cs"/>
          <w:rtl/>
        </w:rPr>
        <w:t>..</w:t>
      </w:r>
      <w:r w:rsidRPr="00AD43AE">
        <w:rPr>
          <w:rFonts w:cs="Arial"/>
          <w:rtl/>
        </w:rPr>
        <w:t xml:space="preserve"> </w:t>
      </w:r>
      <w:r w:rsidR="00060474" w:rsidRPr="00060474">
        <w:rPr>
          <w:rFonts w:cs="Arial" w:hint="cs"/>
          <w:sz w:val="16"/>
          <w:szCs w:val="16"/>
          <w:rtl/>
        </w:rPr>
        <w:t>(</w:t>
      </w:r>
      <w:r w:rsidR="00060474" w:rsidRPr="00060474">
        <w:rPr>
          <w:rFonts w:cs="Arial"/>
          <w:sz w:val="16"/>
          <w:szCs w:val="16"/>
          <w:rtl/>
        </w:rPr>
        <w:t>ופסקו הרמב"ם (שם הל' ג ד) והרא"ש (סי' א) והר"ן (מא: ד"ה ולענין) כרבי יהודה</w:t>
      </w:r>
      <w:r w:rsidR="00060474">
        <w:rPr>
          <w:rFonts w:cs="Arial" w:hint="cs"/>
          <w:sz w:val="16"/>
          <w:szCs w:val="16"/>
          <w:rtl/>
        </w:rPr>
        <w:t>.</w:t>
      </w:r>
      <w:r w:rsidR="00060474" w:rsidRPr="00060474">
        <w:rPr>
          <w:rFonts w:cs="Arial"/>
          <w:sz w:val="16"/>
          <w:szCs w:val="16"/>
          <w:rtl/>
        </w:rPr>
        <w:t xml:space="preserve"> וכן נראה מדברי הרי"ף (מא:) שהביאו ברייתא (פג:) דאלו הן פירות ואלו הם פירי פירות וההיא כרבי יהודה אתיא כמבואר בדברי הרא"ש והר"ן ובכותב לה ועודה ארוסה מיירי כמו שכתב בראש הסימן</w:t>
      </w:r>
      <w:r w:rsidR="00060474">
        <w:rPr>
          <w:rFonts w:cs="Arial" w:hint="cs"/>
          <w:sz w:val="16"/>
          <w:szCs w:val="16"/>
          <w:rtl/>
        </w:rPr>
        <w:t>, ב"י)</w:t>
      </w:r>
    </w:p>
    <w:p w14:paraId="4CBF788E" w14:textId="37663A6A" w:rsidR="009F5FD5" w:rsidRPr="00125A98" w:rsidRDefault="009F5FD5" w:rsidP="00125A98">
      <w:pPr>
        <w:rPr>
          <w:rFonts w:cs="Arial"/>
          <w:rtl/>
        </w:rPr>
      </w:pPr>
      <w:r w:rsidRPr="00D33625">
        <w:rPr>
          <w:rFonts w:cs="Arial" w:hint="cs"/>
          <w:b/>
          <w:bCs/>
          <w:rtl/>
        </w:rPr>
        <w:t xml:space="preserve">כתובות </w:t>
      </w:r>
      <w:r w:rsidRPr="00D33625">
        <w:rPr>
          <w:rFonts w:cs="Arial" w:hint="cs"/>
          <w:b/>
          <w:bCs/>
          <w:sz w:val="16"/>
          <w:szCs w:val="16"/>
          <w:rtl/>
        </w:rPr>
        <w:t>(ר"פ הכותב)</w:t>
      </w:r>
      <w:r w:rsidRPr="00D33625">
        <w:rPr>
          <w:rFonts w:cs="Arial" w:hint="cs"/>
          <w:b/>
          <w:bCs/>
          <w:rtl/>
        </w:rPr>
        <w:t xml:space="preserve"> פג ע"</w:t>
      </w:r>
      <w:r>
        <w:rPr>
          <w:rFonts w:cs="Arial" w:hint="cs"/>
          <w:b/>
          <w:bCs/>
          <w:rtl/>
        </w:rPr>
        <w:t>ב</w:t>
      </w:r>
      <w:r w:rsidRPr="00D33625">
        <w:rPr>
          <w:rFonts w:cs="Arial" w:hint="cs"/>
          <w:b/>
          <w:bCs/>
          <w:rtl/>
        </w:rPr>
        <w:t>:</w:t>
      </w:r>
      <w:r>
        <w:rPr>
          <w:rFonts w:cs="Arial" w:hint="cs"/>
          <w:rtl/>
        </w:rPr>
        <w:t xml:space="preserve"> </w:t>
      </w:r>
      <w:r w:rsidRPr="009F5FD5">
        <w:rPr>
          <w:rFonts w:cs="Arial"/>
          <w:rtl/>
        </w:rPr>
        <w:t>הא דתנן, רבי יהודה אומר: לעולם הוא אוכל פירי פירות כו', כיון דאכלינהו לפירי, פירי פירות מהיכא? אלא בדשיירא</w:t>
      </w:r>
      <w:r w:rsidR="00125A98">
        <w:rPr>
          <w:rFonts w:cs="Arial" w:hint="cs"/>
          <w:rtl/>
        </w:rPr>
        <w:t>...</w:t>
      </w:r>
      <w:r w:rsidR="00125A98" w:rsidRPr="00125A98">
        <w:rPr>
          <w:rFonts w:cs="Arial" w:hint="cs"/>
          <w:sz w:val="16"/>
          <w:szCs w:val="16"/>
          <w:rtl/>
        </w:rPr>
        <w:t xml:space="preserve"> </w:t>
      </w:r>
      <w:r w:rsidR="00125A98">
        <w:rPr>
          <w:rFonts w:cs="Arial" w:hint="cs"/>
          <w:sz w:val="16"/>
          <w:szCs w:val="16"/>
          <w:rtl/>
        </w:rPr>
        <w:t>(</w:t>
      </w:r>
      <w:r w:rsidR="00125A98" w:rsidRPr="00125A98">
        <w:rPr>
          <w:rFonts w:cs="Arial" w:hint="cs"/>
          <w:sz w:val="16"/>
          <w:szCs w:val="16"/>
          <w:rtl/>
        </w:rPr>
        <w:t>ו</w:t>
      </w:r>
      <w:r w:rsidR="00125A98" w:rsidRPr="00125A98">
        <w:rPr>
          <w:rFonts w:cs="Arial"/>
          <w:sz w:val="16"/>
          <w:szCs w:val="16"/>
          <w:rtl/>
        </w:rPr>
        <w:t>כתב הרא"ש (שם) מדקאמר בדשיירא</w:t>
      </w:r>
      <w:r w:rsidR="00125A98" w:rsidRPr="00125A98">
        <w:rPr>
          <w:rFonts w:cs="Arial" w:hint="cs"/>
          <w:sz w:val="16"/>
          <w:szCs w:val="16"/>
          <w:rtl/>
        </w:rPr>
        <w:t>,</w:t>
      </w:r>
      <w:r w:rsidR="00125A98" w:rsidRPr="00125A98">
        <w:rPr>
          <w:rFonts w:cs="Arial"/>
          <w:sz w:val="16"/>
          <w:szCs w:val="16"/>
          <w:rtl/>
        </w:rPr>
        <w:t xml:space="preserve"> משמע דהדבר תלוי בה</w:t>
      </w:r>
      <w:r w:rsidR="00125A98" w:rsidRPr="00125A98">
        <w:rPr>
          <w:rFonts w:cs="Arial" w:hint="cs"/>
          <w:sz w:val="16"/>
          <w:szCs w:val="16"/>
          <w:rtl/>
        </w:rPr>
        <w:t>,</w:t>
      </w:r>
      <w:r w:rsidR="00125A98" w:rsidRPr="00125A98">
        <w:rPr>
          <w:rFonts w:cs="Arial"/>
          <w:sz w:val="16"/>
          <w:szCs w:val="16"/>
          <w:rtl/>
        </w:rPr>
        <w:t xml:space="preserve"> אם תרצה תשייר</w:t>
      </w:r>
      <w:r w:rsidR="00125A98" w:rsidRPr="00125A98">
        <w:rPr>
          <w:rFonts w:cs="Arial" w:hint="cs"/>
          <w:sz w:val="16"/>
          <w:szCs w:val="16"/>
          <w:rtl/>
        </w:rPr>
        <w:t>.</w:t>
      </w:r>
      <w:r w:rsidR="00125A98" w:rsidRPr="00125A98">
        <w:rPr>
          <w:rFonts w:cs="Arial"/>
          <w:sz w:val="16"/>
          <w:szCs w:val="16"/>
          <w:rtl/>
        </w:rPr>
        <w:t xml:space="preserve"> אבל אין הבעל יכול לכופה ליקח בהם קרקע</w:t>
      </w:r>
      <w:r w:rsidR="00125A98" w:rsidRPr="00125A98">
        <w:rPr>
          <w:rFonts w:cs="Arial" w:hint="cs"/>
          <w:sz w:val="16"/>
          <w:szCs w:val="16"/>
          <w:rtl/>
        </w:rPr>
        <w:t>.</w:t>
      </w:r>
      <w:r w:rsidR="00125A98" w:rsidRPr="00125A98">
        <w:rPr>
          <w:rFonts w:cs="Arial"/>
          <w:sz w:val="16"/>
          <w:szCs w:val="16"/>
          <w:rtl/>
        </w:rPr>
        <w:t xml:space="preserve"> והרמב"ם כתב ילקח בהם קרקע והוא אוכל פירות</w:t>
      </w:r>
      <w:r w:rsidR="00125A98" w:rsidRPr="00125A98">
        <w:rPr>
          <w:rFonts w:cs="Arial" w:hint="cs"/>
          <w:sz w:val="16"/>
          <w:szCs w:val="16"/>
          <w:rtl/>
        </w:rPr>
        <w:t>.</w:t>
      </w:r>
      <w:r w:rsidR="00125A98" w:rsidRPr="00125A98">
        <w:rPr>
          <w:rFonts w:cs="Arial"/>
          <w:sz w:val="16"/>
          <w:szCs w:val="16"/>
          <w:rtl/>
        </w:rPr>
        <w:t xml:space="preserve"> ונראה שסמך על התוספתא (כתובות פ"ט ה"ג) דתניא רבי יהודה אומר לעולם הוא אוכל פירי פירות</w:t>
      </w:r>
      <w:r w:rsidR="00125A98" w:rsidRPr="00125A98">
        <w:rPr>
          <w:rFonts w:cs="Arial" w:hint="cs"/>
          <w:sz w:val="16"/>
          <w:szCs w:val="16"/>
          <w:rtl/>
        </w:rPr>
        <w:t>.</w:t>
      </w:r>
      <w:r w:rsidR="00125A98" w:rsidRPr="00125A98">
        <w:rPr>
          <w:rFonts w:cs="Arial"/>
          <w:sz w:val="16"/>
          <w:szCs w:val="16"/>
          <w:rtl/>
        </w:rPr>
        <w:t xml:space="preserve"> כיצד</w:t>
      </w:r>
      <w:r w:rsidR="00125A98" w:rsidRPr="00125A98">
        <w:rPr>
          <w:rFonts w:cs="Arial" w:hint="cs"/>
          <w:sz w:val="16"/>
          <w:szCs w:val="16"/>
          <w:rtl/>
        </w:rPr>
        <w:t>,</w:t>
      </w:r>
      <w:r w:rsidR="00125A98" w:rsidRPr="00125A98">
        <w:rPr>
          <w:rFonts w:cs="Arial"/>
          <w:sz w:val="16"/>
          <w:szCs w:val="16"/>
          <w:rtl/>
        </w:rPr>
        <w:t xml:space="preserve"> מוכר פירות וילקח בהם קרקע והוא אוכל פירות</w:t>
      </w:r>
      <w:r w:rsidR="00125A98" w:rsidRPr="00125A98">
        <w:rPr>
          <w:rFonts w:cs="Arial" w:hint="cs"/>
          <w:sz w:val="16"/>
          <w:szCs w:val="16"/>
          <w:rtl/>
        </w:rPr>
        <w:t>.</w:t>
      </w:r>
      <w:r w:rsidR="00125A98" w:rsidRPr="00125A98">
        <w:rPr>
          <w:rFonts w:cs="Arial"/>
          <w:sz w:val="16"/>
          <w:szCs w:val="16"/>
          <w:rtl/>
        </w:rPr>
        <w:t xml:space="preserve"> וכן מצאתי בירושלמי (שם פ"ט ה"א)</w:t>
      </w:r>
      <w:r w:rsidR="00125A98" w:rsidRPr="00125A98">
        <w:rPr>
          <w:rFonts w:cs="Arial" w:hint="cs"/>
          <w:sz w:val="16"/>
          <w:szCs w:val="16"/>
          <w:rtl/>
        </w:rPr>
        <w:t>.</w:t>
      </w:r>
      <w:r w:rsidR="00125A98" w:rsidRPr="00125A98">
        <w:rPr>
          <w:rFonts w:cs="Arial"/>
          <w:sz w:val="16"/>
          <w:szCs w:val="16"/>
          <w:rtl/>
        </w:rPr>
        <w:t xml:space="preserve"> ונראה דירושלמי פליג אגמרא דידן</w:t>
      </w:r>
      <w:r w:rsidR="00125A98" w:rsidRPr="00125A98">
        <w:rPr>
          <w:rFonts w:cs="Arial" w:hint="cs"/>
          <w:sz w:val="16"/>
          <w:szCs w:val="16"/>
          <w:rtl/>
        </w:rPr>
        <w:t>.</w:t>
      </w:r>
      <w:r w:rsidR="00125A98" w:rsidRPr="00125A98">
        <w:rPr>
          <w:rFonts w:cs="Arial"/>
          <w:sz w:val="16"/>
          <w:szCs w:val="16"/>
          <w:rtl/>
        </w:rPr>
        <w:t xml:space="preserve"> דלפום גמרא דידן לא אמרינן מוכר פירות ולוקח בהם קרקע אא</w:t>
      </w:r>
      <w:r w:rsidR="0094580F">
        <w:rPr>
          <w:rFonts w:cs="Arial" w:hint="cs"/>
          <w:sz w:val="16"/>
          <w:szCs w:val="16"/>
          <w:rtl/>
        </w:rPr>
        <w:t>"</w:t>
      </w:r>
      <w:r w:rsidR="00125A98" w:rsidRPr="00125A98">
        <w:rPr>
          <w:rFonts w:cs="Arial"/>
          <w:sz w:val="16"/>
          <w:szCs w:val="16"/>
          <w:rtl/>
        </w:rPr>
        <w:t>כ שיירה ולקחה בהם קרקע ע"כ. והר"ן (מא: ד"ה ולענין) כתב כלשון הזה מדאמרינן בדשיירא משמע דכי אמרינן לעולם הוא אוכל פירי פירות דוקא בדשיירה ממילא אבל אין הבעל יכול לכופה ליקח בהם קרקע אלא שהרמב"ם כתב ילקח בהם קרקע והוא אוכל וסמך לו על התוספתא דתניא במכילתין ע"כ</w:t>
      </w:r>
      <w:r w:rsidR="00125A98">
        <w:rPr>
          <w:rFonts w:cs="Arial" w:hint="cs"/>
          <w:sz w:val="16"/>
          <w:szCs w:val="16"/>
          <w:rtl/>
        </w:rPr>
        <w:t>, ב"י)</w:t>
      </w:r>
    </w:p>
    <w:p w14:paraId="4A0543D6" w14:textId="2F4BCF9E" w:rsidR="001811CE" w:rsidRPr="001811CE" w:rsidRDefault="001811CE" w:rsidP="0057219F">
      <w:pPr>
        <w:rPr>
          <w:u w:val="single"/>
          <w:rtl/>
        </w:rPr>
      </w:pPr>
      <w:r w:rsidRPr="001811CE">
        <w:rPr>
          <w:rFonts w:cs="Arial" w:hint="cs"/>
          <w:u w:val="single"/>
          <w:rtl/>
        </w:rPr>
        <w:t>הכותב לאשתו</w:t>
      </w:r>
      <w:r w:rsidRPr="001811CE">
        <w:rPr>
          <w:rFonts w:cs="Arial"/>
          <w:u w:val="single"/>
          <w:rtl/>
        </w:rPr>
        <w:t xml:space="preserve"> </w:t>
      </w:r>
      <w:r w:rsidR="0094580F">
        <w:rPr>
          <w:rFonts w:cs="Arial" w:hint="cs"/>
          <w:u w:val="single"/>
          <w:rtl/>
        </w:rPr>
        <w:t>"</w:t>
      </w:r>
      <w:r w:rsidRPr="001811CE">
        <w:rPr>
          <w:rFonts w:cs="Arial"/>
          <w:u w:val="single"/>
          <w:rtl/>
        </w:rPr>
        <w:t>דין ודברים אין לי בנכסייך ובפירותיה</w:t>
      </w:r>
      <w:r w:rsidR="00AE5B5A">
        <w:rPr>
          <w:rFonts w:cs="Arial" w:hint="cs"/>
          <w:u w:val="single"/>
          <w:rtl/>
        </w:rPr>
        <w:t>ן</w:t>
      </w:r>
      <w:r w:rsidR="0094580F">
        <w:rPr>
          <w:rFonts w:hint="cs"/>
          <w:u w:val="single"/>
          <w:rtl/>
        </w:rPr>
        <w:t>"</w:t>
      </w:r>
      <w:r w:rsidRPr="001811CE">
        <w:rPr>
          <w:rFonts w:hint="cs"/>
          <w:u w:val="single"/>
          <w:rtl/>
        </w:rPr>
        <w:t>:</w:t>
      </w:r>
    </w:p>
    <w:p w14:paraId="3A3679BC" w14:textId="739C9FA0" w:rsidR="000D6E69" w:rsidRDefault="001811CE" w:rsidP="009000E3">
      <w:pPr>
        <w:pStyle w:val="ab"/>
        <w:numPr>
          <w:ilvl w:val="0"/>
          <w:numId w:val="55"/>
        </w:numPr>
      </w:pPr>
      <w:r>
        <w:rPr>
          <w:rFonts w:cs="Arial" w:hint="cs"/>
          <w:rtl/>
        </w:rPr>
        <w:t xml:space="preserve">טור- </w:t>
      </w:r>
      <w:r w:rsidR="000D6E69" w:rsidRPr="003171A6">
        <w:rPr>
          <w:rFonts w:cs="Arial"/>
          <w:rtl/>
        </w:rPr>
        <w:t xml:space="preserve">הוסיף להתנות גם על הפירות שאמר לה </w:t>
      </w:r>
      <w:r w:rsidR="0094580F">
        <w:rPr>
          <w:rFonts w:cs="Arial" w:hint="cs"/>
          <w:rtl/>
        </w:rPr>
        <w:t>"</w:t>
      </w:r>
      <w:r w:rsidR="000D6E69" w:rsidRPr="003171A6">
        <w:rPr>
          <w:rFonts w:cs="Arial"/>
          <w:rtl/>
        </w:rPr>
        <w:t>דין ודברים אין לי בנכסייך ובפירותיהם</w:t>
      </w:r>
      <w:r w:rsidR="0094580F">
        <w:rPr>
          <w:rFonts w:cs="Arial" w:hint="cs"/>
          <w:rtl/>
        </w:rPr>
        <w:t>"</w:t>
      </w:r>
      <w:r w:rsidR="000D6E69" w:rsidRPr="003171A6">
        <w:rPr>
          <w:rFonts w:cs="Arial"/>
          <w:rtl/>
        </w:rPr>
        <w:t xml:space="preserve"> </w:t>
      </w:r>
      <w:r>
        <w:rPr>
          <w:rFonts w:cs="Arial" w:hint="cs"/>
          <w:rtl/>
        </w:rPr>
        <w:t xml:space="preserve">- </w:t>
      </w:r>
      <w:r w:rsidR="000D6E69" w:rsidRPr="003171A6">
        <w:rPr>
          <w:rFonts w:cs="Arial"/>
          <w:rtl/>
        </w:rPr>
        <w:t>אין אוכל פירות בחייה אבל יורשה אם תמות ואוכל פירי פירות</w:t>
      </w:r>
      <w:r>
        <w:rPr>
          <w:rFonts w:cs="Arial" w:hint="cs"/>
          <w:rtl/>
        </w:rPr>
        <w:t>.</w:t>
      </w:r>
      <w:r w:rsidR="00125A98">
        <w:rPr>
          <w:rFonts w:hint="cs"/>
          <w:rtl/>
        </w:rPr>
        <w:t xml:space="preserve"> </w:t>
      </w:r>
      <w:r w:rsidR="00125A98" w:rsidRPr="00A31A43">
        <w:rPr>
          <w:rFonts w:hint="cs"/>
          <w:color w:val="E36C0A" w:themeColor="accent6" w:themeShade="BF"/>
          <w:rtl/>
        </w:rPr>
        <w:t>(וכ"פ בשו"ע)</w:t>
      </w:r>
      <w:r w:rsidR="00F0596B" w:rsidRPr="00F0596B">
        <w:rPr>
          <w:rFonts w:hint="cs"/>
          <w:color w:val="00B0F0"/>
          <w:rtl/>
        </w:rPr>
        <w:t xml:space="preserve"> (וכ"פ הרמ"א)</w:t>
      </w:r>
    </w:p>
    <w:p w14:paraId="39F9D886" w14:textId="5D874702" w:rsidR="001811CE" w:rsidRPr="001811CE" w:rsidRDefault="001811CE" w:rsidP="001811CE">
      <w:pPr>
        <w:ind w:left="360"/>
        <w:rPr>
          <w:u w:val="dotted"/>
        </w:rPr>
      </w:pPr>
      <w:r w:rsidRPr="001811CE">
        <w:rPr>
          <w:rFonts w:hint="cs"/>
          <w:u w:val="dotted"/>
          <w:rtl/>
        </w:rPr>
        <w:t>האם מחייבים אותה למכור את הפירות ולקחת בהם קרקע כדי שבעל</w:t>
      </w:r>
      <w:r w:rsidR="009F5FD5">
        <w:rPr>
          <w:rFonts w:hint="cs"/>
          <w:u w:val="dotted"/>
          <w:rtl/>
        </w:rPr>
        <w:t>ה</w:t>
      </w:r>
      <w:r w:rsidRPr="001811CE">
        <w:rPr>
          <w:rFonts w:hint="cs"/>
          <w:u w:val="dotted"/>
          <w:rtl/>
        </w:rPr>
        <w:t xml:space="preserve"> יאכל פי</w:t>
      </w:r>
      <w:r w:rsidR="00125A98">
        <w:rPr>
          <w:rFonts w:hint="cs"/>
          <w:u w:val="dotted"/>
          <w:rtl/>
        </w:rPr>
        <w:t>רי פירות</w:t>
      </w:r>
      <w:r w:rsidRPr="001811CE">
        <w:rPr>
          <w:rFonts w:hint="cs"/>
          <w:u w:val="dotted"/>
          <w:rtl/>
        </w:rPr>
        <w:t>:</w:t>
      </w:r>
    </w:p>
    <w:p w14:paraId="4316DDF7" w14:textId="006CDDDD" w:rsidR="000D6E69" w:rsidRPr="000D6E69" w:rsidRDefault="000D6E69" w:rsidP="009000E3">
      <w:pPr>
        <w:pStyle w:val="ab"/>
        <w:numPr>
          <w:ilvl w:val="0"/>
          <w:numId w:val="55"/>
        </w:numPr>
      </w:pPr>
      <w:r w:rsidRPr="003171A6">
        <w:rPr>
          <w:rFonts w:cs="Arial"/>
          <w:rtl/>
        </w:rPr>
        <w:t>רמב"ם</w:t>
      </w:r>
      <w:r w:rsidR="00060474" w:rsidRPr="00060474">
        <w:rPr>
          <w:rFonts w:cs="Arial" w:hint="cs"/>
          <w:sz w:val="16"/>
          <w:szCs w:val="16"/>
          <w:rtl/>
        </w:rPr>
        <w:t xml:space="preserve"> (פכ"ג מאישות ה"ג)</w:t>
      </w:r>
      <w:r w:rsidR="001811CE">
        <w:rPr>
          <w:rFonts w:cs="Arial" w:hint="cs"/>
          <w:rtl/>
        </w:rPr>
        <w:t>-</w:t>
      </w:r>
      <w:r w:rsidRPr="003171A6">
        <w:rPr>
          <w:rFonts w:cs="Arial"/>
          <w:rtl/>
        </w:rPr>
        <w:t xml:space="preserve"> הדין הוא שימכרו הפירות ויקנה בהן קרקע ויאכל פירות שהן פירי פירות</w:t>
      </w:r>
      <w:r w:rsidR="00125A98">
        <w:rPr>
          <w:rFonts w:cs="Arial" w:hint="cs"/>
          <w:sz w:val="16"/>
          <w:szCs w:val="16"/>
          <w:rtl/>
        </w:rPr>
        <w:t xml:space="preserve"> (ל' הטור בשמו)</w:t>
      </w:r>
      <w:r w:rsidR="001811CE">
        <w:rPr>
          <w:rFonts w:cs="Arial" w:hint="cs"/>
          <w:rtl/>
        </w:rPr>
        <w:t>.</w:t>
      </w:r>
      <w:r w:rsidR="00125A98" w:rsidRPr="003F327B">
        <w:rPr>
          <w:rFonts w:hint="cs"/>
          <w:color w:val="E36C0A" w:themeColor="accent6" w:themeShade="BF"/>
          <w:rtl/>
        </w:rPr>
        <w:t xml:space="preserve"> </w:t>
      </w:r>
      <w:r w:rsidR="00125A98" w:rsidRPr="00A31A43">
        <w:rPr>
          <w:rFonts w:hint="cs"/>
          <w:color w:val="E36C0A" w:themeColor="accent6" w:themeShade="BF"/>
          <w:rtl/>
        </w:rPr>
        <w:t>(וכ"פ בשו"ע)</w:t>
      </w:r>
    </w:p>
    <w:p w14:paraId="598089CE" w14:textId="7B76A429" w:rsidR="006948E0" w:rsidRDefault="001811CE" w:rsidP="009000E3">
      <w:pPr>
        <w:pStyle w:val="ab"/>
        <w:numPr>
          <w:ilvl w:val="0"/>
          <w:numId w:val="55"/>
        </w:numPr>
      </w:pPr>
      <w:r>
        <w:rPr>
          <w:rFonts w:cs="Arial" w:hint="cs"/>
          <w:rtl/>
        </w:rPr>
        <w:t>רא"ש</w:t>
      </w:r>
      <w:r w:rsidR="00125A98">
        <w:rPr>
          <w:rFonts w:cs="Arial" w:hint="cs"/>
          <w:sz w:val="16"/>
          <w:szCs w:val="16"/>
          <w:rtl/>
        </w:rPr>
        <w:t xml:space="preserve"> (סי' א)</w:t>
      </w:r>
      <w:r>
        <w:rPr>
          <w:rFonts w:cs="Arial" w:hint="cs"/>
          <w:rtl/>
        </w:rPr>
        <w:t>-</w:t>
      </w:r>
      <w:r w:rsidR="000D6E69" w:rsidRPr="003171A6">
        <w:rPr>
          <w:rFonts w:cs="Arial"/>
          <w:rtl/>
        </w:rPr>
        <w:t xml:space="preserve"> דוקא אם מעצמה שיירה הפירות</w:t>
      </w:r>
      <w:r w:rsidR="00125A98">
        <w:rPr>
          <w:rFonts w:cs="Arial" w:hint="cs"/>
          <w:rtl/>
        </w:rPr>
        <w:t>,</w:t>
      </w:r>
      <w:r w:rsidR="000D6E69" w:rsidRPr="003171A6">
        <w:rPr>
          <w:rFonts w:cs="Arial"/>
          <w:rtl/>
        </w:rPr>
        <w:t xml:space="preserve"> ימכרם ויקח בהם הקרקע ויאכל פירותיו</w:t>
      </w:r>
      <w:r w:rsidR="00125A98">
        <w:rPr>
          <w:rFonts w:cs="Arial" w:hint="cs"/>
          <w:rtl/>
        </w:rPr>
        <w:t>.</w:t>
      </w:r>
      <w:r w:rsidR="000D6E69" w:rsidRPr="003171A6">
        <w:rPr>
          <w:rFonts w:cs="Arial"/>
          <w:rtl/>
        </w:rPr>
        <w:t xml:space="preserve"> אבל אין ב"ד אומרים לה לשייר אותם כדי שיאכל פירי פירות</w:t>
      </w:r>
      <w:r>
        <w:rPr>
          <w:rFonts w:cs="Arial" w:hint="cs"/>
          <w:rtl/>
        </w:rPr>
        <w:t>.</w:t>
      </w:r>
      <w:r w:rsidR="000D6E69" w:rsidRPr="00F0596B">
        <w:rPr>
          <w:rFonts w:cs="Arial"/>
          <w:color w:val="00B0F0"/>
          <w:rtl/>
        </w:rPr>
        <w:t xml:space="preserve"> </w:t>
      </w:r>
      <w:r w:rsidR="00F0596B" w:rsidRPr="00F0596B">
        <w:rPr>
          <w:rFonts w:hint="cs"/>
          <w:color w:val="00B0F0"/>
          <w:rtl/>
        </w:rPr>
        <w:t>(וכ"כ הרמ"א)</w:t>
      </w:r>
    </w:p>
    <w:p w14:paraId="075087FF" w14:textId="2C855658" w:rsidR="00C501D0" w:rsidRPr="005D1457" w:rsidRDefault="00C501D0" w:rsidP="009000E3">
      <w:pPr>
        <w:pStyle w:val="ab"/>
        <w:numPr>
          <w:ilvl w:val="0"/>
          <w:numId w:val="55"/>
        </w:numPr>
        <w:rPr>
          <w:rtl/>
        </w:rPr>
      </w:pPr>
      <w:r>
        <w:rPr>
          <w:rFonts w:cs="Arial" w:hint="cs"/>
          <w:rtl/>
        </w:rPr>
        <w:t xml:space="preserve">תוס' (כתובות נ. ד"ה הבעל מוציא)- </w:t>
      </w:r>
      <w:r w:rsidRPr="00C501D0">
        <w:rPr>
          <w:rFonts w:cs="Arial"/>
          <w:rtl/>
        </w:rPr>
        <w:t>כתב לה דין ודברים אין לי בנכסייך ובפירותיהם דהא תנן בפרק הכותב (לקמן דף פג.) דאם מכרה ונתנה קיים.</w:t>
      </w:r>
    </w:p>
    <w:p w14:paraId="3542F74D"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05547497" w14:textId="5E90171F" w:rsidR="007A3469" w:rsidRDefault="007A3469" w:rsidP="007A3469">
      <w:pPr>
        <w:rPr>
          <w:rtl/>
        </w:rPr>
      </w:pPr>
      <w:r>
        <w:rPr>
          <w:rFonts w:cs="Arial"/>
          <w:rtl/>
        </w:rPr>
        <w:lastRenderedPageBreak/>
        <w:t>הוסיף להתנות גם על הפירות, שאמר לה: דין ודברים אין לי בנכסייך ובפירותיהן, אינו אוכל פירות בחייה</w:t>
      </w:r>
      <w:r w:rsidR="00F47BAE" w:rsidRPr="00F20C9C">
        <w:rPr>
          <w:rStyle w:val="a7"/>
          <w:rFonts w:cs="Arial"/>
          <w:color w:val="000000" w:themeColor="text1"/>
          <w:rtl/>
        </w:rPr>
        <w:footnoteReference w:id="1503"/>
      </w:r>
      <w:r>
        <w:rPr>
          <w:rFonts w:cs="Arial"/>
          <w:rtl/>
        </w:rPr>
        <w:t>, אבל מוכרים הפירות ולוקחים בהם קרקע</w:t>
      </w:r>
      <w:r w:rsidR="00992598" w:rsidRPr="00992598">
        <w:rPr>
          <w:rStyle w:val="a7"/>
          <w:rFonts w:cs="Arial"/>
          <w:color w:val="000000" w:themeColor="text1"/>
          <w:rtl/>
        </w:rPr>
        <w:footnoteReference w:id="1504"/>
      </w:r>
      <w:r>
        <w:rPr>
          <w:rFonts w:cs="Arial"/>
          <w:rtl/>
        </w:rPr>
        <w:t xml:space="preserve"> ואוכל פירותיו. </w:t>
      </w:r>
      <w:r w:rsidRPr="00DA1E36">
        <w:rPr>
          <w:rFonts w:cs="Arial"/>
          <w:sz w:val="18"/>
          <w:szCs w:val="18"/>
          <w:rtl/>
        </w:rPr>
        <w:t>הגה: ואם מתה, יורשה (טור). וי"א דאין כופין אותה למכור הפירות</w:t>
      </w:r>
      <w:r w:rsidR="00992598" w:rsidRPr="00992598">
        <w:rPr>
          <w:rStyle w:val="a7"/>
          <w:rFonts w:cs="Arial"/>
          <w:color w:val="000000" w:themeColor="text1"/>
          <w:sz w:val="18"/>
          <w:szCs w:val="18"/>
          <w:rtl/>
        </w:rPr>
        <w:footnoteReference w:id="1505"/>
      </w:r>
      <w:r w:rsidRPr="00DA1E36">
        <w:rPr>
          <w:rFonts w:cs="Arial"/>
          <w:sz w:val="18"/>
          <w:szCs w:val="18"/>
          <w:rtl/>
        </w:rPr>
        <w:t>, אלא שאם שיירה פירות ימכרם ויקנה בהם קרקע והוא אוכל פירות (טור בשם הרא"ש).</w:t>
      </w:r>
      <w:r>
        <w:rPr>
          <w:rFonts w:cs="Arial"/>
          <w:rtl/>
        </w:rPr>
        <w:t xml:space="preserve"> </w:t>
      </w:r>
    </w:p>
    <w:p w14:paraId="0C026BB0" w14:textId="77777777" w:rsidR="00DA1E36" w:rsidRDefault="00DA1E36" w:rsidP="007A3469">
      <w:pPr>
        <w:rPr>
          <w:rtl/>
        </w:rPr>
      </w:pPr>
    </w:p>
    <w:p w14:paraId="1808DF70" w14:textId="6CE9CF81" w:rsidR="00B344F3" w:rsidRDefault="00B344F3" w:rsidP="000F64D0">
      <w:pPr>
        <w:pStyle w:val="2"/>
        <w:rPr>
          <w:rtl/>
        </w:rPr>
      </w:pPr>
      <w:r>
        <w:rPr>
          <w:rtl/>
        </w:rPr>
        <w:t xml:space="preserve">סעיף </w:t>
      </w:r>
      <w:r>
        <w:rPr>
          <w:rFonts w:hint="cs"/>
          <w:rtl/>
        </w:rPr>
        <w:t>ה:</w:t>
      </w:r>
      <w:r w:rsidRPr="001811CE">
        <w:rPr>
          <w:rFonts w:hint="cs"/>
          <w:rtl/>
        </w:rPr>
        <w:t xml:space="preserve"> הכותב לאשתו</w:t>
      </w:r>
      <w:r w:rsidRPr="001811CE">
        <w:rPr>
          <w:rtl/>
        </w:rPr>
        <w:t xml:space="preserve"> </w:t>
      </w:r>
      <w:r w:rsidRPr="001811CE">
        <w:rPr>
          <w:rFonts w:hint="cs"/>
          <w:rtl/>
        </w:rPr>
        <w:t>'</w:t>
      </w:r>
      <w:r w:rsidRPr="001811CE">
        <w:rPr>
          <w:rtl/>
        </w:rPr>
        <w:t>דין ודברים אין לי בנכסייך ובפירותיה</w:t>
      </w:r>
      <w:r w:rsidR="00AE5B5A">
        <w:rPr>
          <w:rFonts w:hint="cs"/>
          <w:rtl/>
        </w:rPr>
        <w:t>ן</w:t>
      </w:r>
      <w:r>
        <w:rPr>
          <w:rFonts w:hint="cs"/>
          <w:rtl/>
        </w:rPr>
        <w:t xml:space="preserve"> ובפיר</w:t>
      </w:r>
      <w:r w:rsidR="00992598">
        <w:rPr>
          <w:rFonts w:hint="cs"/>
          <w:rtl/>
        </w:rPr>
        <w:t>י</w:t>
      </w:r>
      <w:r>
        <w:rPr>
          <w:rFonts w:hint="cs"/>
          <w:rtl/>
        </w:rPr>
        <w:t xml:space="preserve"> פירותיה</w:t>
      </w:r>
      <w:r w:rsidR="00AE5B5A">
        <w:rPr>
          <w:rFonts w:hint="cs"/>
          <w:rtl/>
        </w:rPr>
        <w:t>ן</w:t>
      </w:r>
      <w:r w:rsidRPr="001811CE">
        <w:rPr>
          <w:rFonts w:hint="cs"/>
          <w:rtl/>
        </w:rPr>
        <w:t>'</w:t>
      </w:r>
      <w:r>
        <w:rPr>
          <w:rFonts w:hint="cs"/>
          <w:rtl/>
        </w:rPr>
        <w:t>.</w:t>
      </w:r>
    </w:p>
    <w:p w14:paraId="27708349" w14:textId="547F98F7" w:rsidR="00B344F3" w:rsidRDefault="00B344F3" w:rsidP="00B344F3">
      <w:pPr>
        <w:rPr>
          <w:rtl/>
        </w:rPr>
      </w:pPr>
      <w:r w:rsidRPr="00D33625">
        <w:rPr>
          <w:rFonts w:cs="Arial" w:hint="cs"/>
          <w:b/>
          <w:bCs/>
          <w:rtl/>
        </w:rPr>
        <w:t xml:space="preserve">כתובות </w:t>
      </w:r>
      <w:r w:rsidRPr="00D33625">
        <w:rPr>
          <w:rFonts w:cs="Arial" w:hint="cs"/>
          <w:b/>
          <w:bCs/>
          <w:sz w:val="16"/>
          <w:szCs w:val="16"/>
          <w:rtl/>
        </w:rPr>
        <w:t>(ר"פ הכותב)</w:t>
      </w:r>
      <w:r w:rsidRPr="00D33625">
        <w:rPr>
          <w:rFonts w:cs="Arial" w:hint="cs"/>
          <w:b/>
          <w:bCs/>
          <w:rtl/>
        </w:rPr>
        <w:t xml:space="preserve"> פג ע"א:</w:t>
      </w:r>
      <w:r>
        <w:rPr>
          <w:rFonts w:cs="Arial" w:hint="cs"/>
          <w:rtl/>
        </w:rPr>
        <w:t xml:space="preserve"> </w:t>
      </w:r>
      <w:r w:rsidRPr="00D33625">
        <w:rPr>
          <w:rFonts w:cs="Arial"/>
          <w:u w:val="double"/>
          <w:rtl/>
        </w:rPr>
        <w:t>מתני'</w:t>
      </w:r>
      <w:r>
        <w:rPr>
          <w:rFonts w:cs="Arial" w:hint="cs"/>
          <w:rtl/>
        </w:rPr>
        <w:t>:..</w:t>
      </w:r>
      <w:r>
        <w:rPr>
          <w:rFonts w:cs="Arial"/>
          <w:rtl/>
        </w:rPr>
        <w:t>.</w:t>
      </w:r>
      <w:r w:rsidRPr="00AD43AE">
        <w:rPr>
          <w:rtl/>
        </w:rPr>
        <w:t xml:space="preserve"> </w:t>
      </w:r>
      <w:r w:rsidRPr="00AD43AE">
        <w:rPr>
          <w:rFonts w:cs="Arial"/>
          <w:rtl/>
        </w:rPr>
        <w:t>כתב לה דין ודברים אין לי בנכסיך ובפירותיהן - הרי זה אינו אוכל פירות בחייה, ואם מתה - יורשה</w:t>
      </w:r>
      <w:r>
        <w:rPr>
          <w:rFonts w:cs="Arial" w:hint="cs"/>
          <w:rtl/>
        </w:rPr>
        <w:t>.</w:t>
      </w:r>
      <w:r w:rsidRPr="00AD43AE">
        <w:rPr>
          <w:rFonts w:cs="Arial"/>
          <w:rtl/>
        </w:rPr>
        <w:t xml:space="preserve"> </w:t>
      </w:r>
      <w:r w:rsidRPr="00060474">
        <w:rPr>
          <w:rFonts w:cs="Arial"/>
          <w:u w:val="single"/>
          <w:rtl/>
        </w:rPr>
        <w:t>ר' יהודה אומר</w:t>
      </w:r>
      <w:r w:rsidRPr="00AD43AE">
        <w:rPr>
          <w:rFonts w:cs="Arial"/>
          <w:rtl/>
        </w:rPr>
        <w:t>: לעולם אוכל פירי פירות, עד שיכתוב לה דין ודברים אין לי בנכסיך ובפירותיהן ובפירי פירותיהן עד עולם.</w:t>
      </w:r>
      <w:r>
        <w:rPr>
          <w:rFonts w:cs="Arial" w:hint="cs"/>
          <w:rtl/>
        </w:rPr>
        <w:t xml:space="preserve">..     </w:t>
      </w:r>
      <w:r w:rsidRPr="00B344F3">
        <w:rPr>
          <w:rFonts w:cs="Arial" w:hint="cs"/>
          <w:u w:val="double"/>
          <w:rtl/>
        </w:rPr>
        <w:t>גמ'</w:t>
      </w:r>
      <w:r>
        <w:rPr>
          <w:rFonts w:cs="Arial" w:hint="cs"/>
          <w:sz w:val="14"/>
          <w:szCs w:val="14"/>
          <w:u w:val="double"/>
          <w:rtl/>
        </w:rPr>
        <w:t>(פג:)</w:t>
      </w:r>
      <w:r>
        <w:rPr>
          <w:rFonts w:cs="Arial" w:hint="cs"/>
          <w:u w:val="double"/>
          <w:rtl/>
        </w:rPr>
        <w:t>:</w:t>
      </w:r>
      <w:r w:rsidRPr="00B344F3">
        <w:rPr>
          <w:rtl/>
        </w:rPr>
        <w:t xml:space="preserve"> </w:t>
      </w:r>
      <w:r w:rsidRPr="00B344F3">
        <w:rPr>
          <w:rFonts w:cs="Arial"/>
          <w:rtl/>
        </w:rPr>
        <w:t>איבעיא להו: לרבי יהודה, פירי פירות דוקא, או דלמא עד עולם דוקא, או דלמא תרוייהו דוקא? אם תמצי לומר פירי פירות דוקא עד עולם למה לי? הא קמ"ל, כיון דכתב לה פירי פירות, כמאן דכתב לה עד עולם דמי</w:t>
      </w:r>
      <w:r>
        <w:rPr>
          <w:rFonts w:cs="Arial" w:hint="cs"/>
          <w:rtl/>
        </w:rPr>
        <w:t>.</w:t>
      </w:r>
      <w:r w:rsidRPr="00B344F3">
        <w:rPr>
          <w:rFonts w:cs="Arial"/>
          <w:rtl/>
        </w:rPr>
        <w:t xml:space="preserve"> ואם תמצי לומר עד עולם דוקא, פירי פירות למה לי? הא קמ"ל, אף על גב דכתב לה פירי פירות, אי כתב לה עד עולם - אין, אי לא - לא</w:t>
      </w:r>
      <w:r>
        <w:rPr>
          <w:rFonts w:cs="Arial" w:hint="cs"/>
          <w:rtl/>
        </w:rPr>
        <w:t>.</w:t>
      </w:r>
      <w:r w:rsidRPr="00B344F3">
        <w:rPr>
          <w:rFonts w:cs="Arial"/>
          <w:rtl/>
        </w:rPr>
        <w:t xml:space="preserve"> ואם תמצי לומר תרוייהו דוקא, תרתי למה לי? צריכא, דאי כתב לה פירי פירות ולא כתב לה עד עולם, הוה אמינא פירי פירות הוא דלא אכיל, אבל פירא דפירי פירות אכיל, להכי איצטריך עד עולם</w:t>
      </w:r>
      <w:r>
        <w:rPr>
          <w:rFonts w:cs="Arial" w:hint="cs"/>
          <w:rtl/>
        </w:rPr>
        <w:t>.</w:t>
      </w:r>
      <w:r w:rsidRPr="00B344F3">
        <w:rPr>
          <w:rFonts w:cs="Arial"/>
          <w:rtl/>
        </w:rPr>
        <w:t xml:space="preserve"> ואי כתב לה עד עולם ולא כתב לה פירי פירות, הוה אמינא לעולם אפירות קאי, להכי איצטריך פירי פירות. </w:t>
      </w:r>
      <w:r w:rsidRPr="00060474">
        <w:rPr>
          <w:rFonts w:cs="Arial" w:hint="cs"/>
          <w:sz w:val="16"/>
          <w:szCs w:val="16"/>
          <w:rtl/>
        </w:rPr>
        <w:t>(</w:t>
      </w:r>
      <w:r w:rsidRPr="00B344F3">
        <w:rPr>
          <w:rFonts w:cs="Arial"/>
          <w:sz w:val="16"/>
          <w:szCs w:val="16"/>
          <w:rtl/>
        </w:rPr>
        <w:t>וכתב הרא"ש (שם)</w:t>
      </w:r>
      <w:r w:rsidRPr="00B344F3">
        <w:rPr>
          <w:rFonts w:cs="Arial" w:hint="cs"/>
          <w:sz w:val="16"/>
          <w:szCs w:val="16"/>
          <w:rtl/>
        </w:rPr>
        <w:t>-</w:t>
      </w:r>
      <w:r w:rsidRPr="00B344F3">
        <w:rPr>
          <w:rFonts w:cs="Arial"/>
          <w:sz w:val="16"/>
          <w:szCs w:val="16"/>
          <w:rtl/>
        </w:rPr>
        <w:t xml:space="preserve"> ולא איפשיטא הילכך בעינן תרווייהו</w:t>
      </w:r>
      <w:r w:rsidRPr="00B344F3">
        <w:rPr>
          <w:rFonts w:cs="Arial" w:hint="cs"/>
          <w:sz w:val="16"/>
          <w:szCs w:val="16"/>
          <w:rtl/>
        </w:rPr>
        <w:t>.</w:t>
      </w:r>
      <w:r w:rsidRPr="00B344F3">
        <w:rPr>
          <w:rFonts w:cs="Arial"/>
          <w:sz w:val="16"/>
          <w:szCs w:val="16"/>
          <w:rtl/>
        </w:rPr>
        <w:t xml:space="preserve"> כלומר משום דאשה הויא בעל השטר וידה על התחתונה</w:t>
      </w:r>
      <w:r w:rsidRPr="00B344F3">
        <w:rPr>
          <w:rFonts w:cs="Arial" w:hint="cs"/>
          <w:sz w:val="16"/>
          <w:szCs w:val="16"/>
          <w:rtl/>
        </w:rPr>
        <w:t>.</w:t>
      </w:r>
      <w:r w:rsidRPr="00B344F3">
        <w:rPr>
          <w:rFonts w:cs="Arial"/>
          <w:sz w:val="16"/>
          <w:szCs w:val="16"/>
          <w:rtl/>
        </w:rPr>
        <w:t xml:space="preserve"> וכן כתב הר"ן (שם)</w:t>
      </w:r>
      <w:r w:rsidRPr="00B344F3">
        <w:rPr>
          <w:rFonts w:cs="Arial" w:hint="cs"/>
          <w:sz w:val="16"/>
          <w:szCs w:val="16"/>
          <w:rtl/>
        </w:rPr>
        <w:t>.</w:t>
      </w:r>
      <w:r w:rsidRPr="00B344F3">
        <w:rPr>
          <w:rFonts w:cs="Arial"/>
          <w:sz w:val="16"/>
          <w:szCs w:val="16"/>
          <w:rtl/>
        </w:rPr>
        <w:t xml:space="preserve"> וכ"פ הרמב"ם בפכ"ג מהלכות אישות (ה"ד)</w:t>
      </w:r>
      <w:r w:rsidRPr="00B344F3">
        <w:rPr>
          <w:rFonts w:cs="Arial" w:hint="cs"/>
          <w:sz w:val="16"/>
          <w:szCs w:val="16"/>
          <w:rtl/>
        </w:rPr>
        <w:t>.</w:t>
      </w:r>
      <w:r w:rsidRPr="00B344F3">
        <w:rPr>
          <w:rFonts w:cs="Arial"/>
          <w:sz w:val="16"/>
          <w:szCs w:val="16"/>
          <w:rtl/>
        </w:rPr>
        <w:t xml:space="preserve"> וכן נראה מדברי הרי"ף (מא.) שכתב מתניתין דרבי יהודה כצורתה ומשמע מפשטה דתרווייהו בעינן</w:t>
      </w:r>
      <w:r w:rsidRPr="00B344F3">
        <w:rPr>
          <w:rFonts w:cs="Arial" w:hint="cs"/>
          <w:sz w:val="16"/>
          <w:szCs w:val="16"/>
          <w:rtl/>
        </w:rPr>
        <w:t>, ב"י)</w:t>
      </w:r>
    </w:p>
    <w:p w14:paraId="293CC298" w14:textId="4B07EA55" w:rsidR="00F47BAE" w:rsidRPr="00B344F3" w:rsidRDefault="00B344F3" w:rsidP="00B344F3">
      <w:pPr>
        <w:rPr>
          <w:u w:val="single"/>
          <w:rtl/>
        </w:rPr>
      </w:pPr>
      <w:r w:rsidRPr="001811CE">
        <w:rPr>
          <w:rFonts w:cs="Arial" w:hint="cs"/>
          <w:u w:val="single"/>
          <w:rtl/>
        </w:rPr>
        <w:t>הכותב לאשתו</w:t>
      </w:r>
      <w:r w:rsidRPr="001811CE">
        <w:rPr>
          <w:rFonts w:cs="Arial"/>
          <w:u w:val="single"/>
          <w:rtl/>
        </w:rPr>
        <w:t xml:space="preserve"> </w:t>
      </w:r>
      <w:r w:rsidRPr="001811CE">
        <w:rPr>
          <w:rFonts w:cs="Arial" w:hint="cs"/>
          <w:u w:val="single"/>
          <w:rtl/>
        </w:rPr>
        <w:t>'</w:t>
      </w:r>
      <w:r w:rsidRPr="001811CE">
        <w:rPr>
          <w:rFonts w:cs="Arial"/>
          <w:u w:val="single"/>
          <w:rtl/>
        </w:rPr>
        <w:t>דין ודברים אין לי בנכסייך ובפירותיה</w:t>
      </w:r>
      <w:r w:rsidR="00AE5B5A">
        <w:rPr>
          <w:rFonts w:cs="Arial" w:hint="cs"/>
          <w:u w:val="single"/>
          <w:rtl/>
        </w:rPr>
        <w:t>ן</w:t>
      </w:r>
      <w:r>
        <w:rPr>
          <w:rFonts w:cs="Arial" w:hint="cs"/>
          <w:u w:val="single"/>
          <w:rtl/>
        </w:rPr>
        <w:t xml:space="preserve"> </w:t>
      </w:r>
      <w:r w:rsidRPr="00B344F3">
        <w:rPr>
          <w:rFonts w:hint="cs"/>
          <w:u w:val="single"/>
          <w:rtl/>
        </w:rPr>
        <w:t>ובפיר</w:t>
      </w:r>
      <w:r w:rsidR="00992598">
        <w:rPr>
          <w:rFonts w:hint="cs"/>
          <w:u w:val="single"/>
          <w:rtl/>
        </w:rPr>
        <w:t>י</w:t>
      </w:r>
      <w:r w:rsidRPr="00B344F3">
        <w:rPr>
          <w:rFonts w:hint="cs"/>
          <w:u w:val="single"/>
          <w:rtl/>
        </w:rPr>
        <w:t xml:space="preserve"> פירותיה</w:t>
      </w:r>
      <w:r w:rsidR="00AE5B5A">
        <w:rPr>
          <w:rFonts w:hint="cs"/>
          <w:u w:val="single"/>
          <w:rtl/>
        </w:rPr>
        <w:t>ן</w:t>
      </w:r>
      <w:r w:rsidRPr="00B344F3">
        <w:rPr>
          <w:rFonts w:hint="cs"/>
          <w:u w:val="single"/>
          <w:rtl/>
        </w:rPr>
        <w:t>'</w:t>
      </w:r>
      <w:r w:rsidRPr="001811CE">
        <w:rPr>
          <w:rFonts w:hint="cs"/>
          <w:u w:val="single"/>
          <w:rtl/>
        </w:rPr>
        <w:t>:</w:t>
      </w:r>
    </w:p>
    <w:p w14:paraId="66DC821E" w14:textId="0CE31B1F" w:rsidR="006948E0" w:rsidRDefault="00B344F3" w:rsidP="009000E3">
      <w:pPr>
        <w:pStyle w:val="ab"/>
        <w:numPr>
          <w:ilvl w:val="0"/>
          <w:numId w:val="55"/>
        </w:numPr>
      </w:pPr>
      <w:r>
        <w:rPr>
          <w:rFonts w:cs="Arial" w:hint="cs"/>
          <w:rtl/>
        </w:rPr>
        <w:t xml:space="preserve">טור- </w:t>
      </w:r>
      <w:r w:rsidR="000D6E69" w:rsidRPr="003171A6">
        <w:rPr>
          <w:rFonts w:cs="Arial"/>
          <w:rtl/>
        </w:rPr>
        <w:t xml:space="preserve">הוסיף להתנות גם על פירי פירות שאמר </w:t>
      </w:r>
      <w:r w:rsidR="005C36B3">
        <w:rPr>
          <w:rFonts w:cs="Arial" w:hint="cs"/>
          <w:rtl/>
        </w:rPr>
        <w:t>"</w:t>
      </w:r>
      <w:r w:rsidR="000D6E69" w:rsidRPr="003171A6">
        <w:rPr>
          <w:rFonts w:cs="Arial"/>
          <w:rtl/>
        </w:rPr>
        <w:t>בנכסייך ובפירותיהן ובפירי פירותיהן</w:t>
      </w:r>
      <w:r w:rsidR="005C36B3">
        <w:rPr>
          <w:rFonts w:cs="Arial" w:hint="cs"/>
          <w:rtl/>
        </w:rPr>
        <w:t>"</w:t>
      </w:r>
      <w:r w:rsidR="000D6E69" w:rsidRPr="003171A6">
        <w:rPr>
          <w:rFonts w:cs="Arial"/>
          <w:rtl/>
        </w:rPr>
        <w:t xml:space="preserve"> </w:t>
      </w:r>
      <w:r>
        <w:rPr>
          <w:rFonts w:cs="Arial" w:hint="cs"/>
          <w:rtl/>
        </w:rPr>
        <w:t xml:space="preserve">- </w:t>
      </w:r>
      <w:r w:rsidR="000D6E69" w:rsidRPr="003171A6">
        <w:rPr>
          <w:rFonts w:cs="Arial"/>
          <w:rtl/>
        </w:rPr>
        <w:t>אינו אוכל לא פירותיה ולא פירי פירות</w:t>
      </w:r>
      <w:r>
        <w:rPr>
          <w:rFonts w:cs="Arial" w:hint="cs"/>
          <w:rtl/>
        </w:rPr>
        <w:t>,</w:t>
      </w:r>
      <w:r w:rsidR="000D6E69" w:rsidRPr="003171A6">
        <w:rPr>
          <w:rFonts w:cs="Arial"/>
          <w:rtl/>
        </w:rPr>
        <w:t xml:space="preserve"> אבל אוכל פירי פירי פירות</w:t>
      </w:r>
      <w:r>
        <w:rPr>
          <w:rFonts w:cs="Arial" w:hint="cs"/>
          <w:rtl/>
        </w:rPr>
        <w:t>.</w:t>
      </w:r>
      <w:r w:rsidR="000D6E69" w:rsidRPr="003171A6">
        <w:rPr>
          <w:rFonts w:cs="Arial"/>
          <w:rtl/>
        </w:rPr>
        <w:t xml:space="preserve"> כגון אם לקחה מהפירות קרקע</w:t>
      </w:r>
      <w:r>
        <w:rPr>
          <w:rFonts w:cs="Arial" w:hint="cs"/>
          <w:rtl/>
        </w:rPr>
        <w:t>,</w:t>
      </w:r>
      <w:r w:rsidR="000D6E69" w:rsidRPr="003171A6">
        <w:rPr>
          <w:rFonts w:cs="Arial"/>
          <w:rtl/>
        </w:rPr>
        <w:t xml:space="preserve"> ומפירי אותו קרקע לקחה עוד קרקע </w:t>
      </w:r>
      <w:r>
        <w:rPr>
          <w:rFonts w:cs="Arial" w:hint="cs"/>
          <w:rtl/>
        </w:rPr>
        <w:t xml:space="preserve">- </w:t>
      </w:r>
      <w:r w:rsidR="000D6E69" w:rsidRPr="003171A6">
        <w:rPr>
          <w:rFonts w:cs="Arial"/>
          <w:rtl/>
        </w:rPr>
        <w:t>אוכל פירי הקרקע השני</w:t>
      </w:r>
      <w:r>
        <w:rPr>
          <w:rFonts w:cs="Arial" w:hint="cs"/>
          <w:rtl/>
        </w:rPr>
        <w:t>.</w:t>
      </w:r>
      <w:r w:rsidR="000D6E69" w:rsidRPr="003171A6">
        <w:rPr>
          <w:rFonts w:cs="Arial"/>
          <w:rtl/>
        </w:rPr>
        <w:t xml:space="preserve"> וכן לעולם עד שיאמר דין ודברים אין לי בנכסייך ובפירותיהן ובפירי פירותיהן עד עולם</w:t>
      </w:r>
      <w:r>
        <w:rPr>
          <w:rFonts w:cs="Arial" w:hint="cs"/>
          <w:rtl/>
        </w:rPr>
        <w:t>.</w:t>
      </w:r>
    </w:p>
    <w:p w14:paraId="5D54C061" w14:textId="13EB479B" w:rsidR="0028470E" w:rsidRPr="005D1457" w:rsidRDefault="0028470E" w:rsidP="009000E3">
      <w:pPr>
        <w:pStyle w:val="ab"/>
        <w:numPr>
          <w:ilvl w:val="0"/>
          <w:numId w:val="55"/>
        </w:numPr>
        <w:rPr>
          <w:rtl/>
        </w:rPr>
      </w:pPr>
      <w:r>
        <w:rPr>
          <w:rFonts w:cs="Arial" w:hint="cs"/>
          <w:color w:val="000000" w:themeColor="text1"/>
          <w:rtl/>
        </w:rPr>
        <w:t xml:space="preserve">רמב"ם </w:t>
      </w:r>
      <w:r>
        <w:rPr>
          <w:rFonts w:cs="Arial" w:hint="cs"/>
          <w:color w:val="000000" w:themeColor="text1"/>
          <w:sz w:val="16"/>
          <w:szCs w:val="16"/>
          <w:rtl/>
        </w:rPr>
        <w:t>(פכ"ג מאישות ה"ד)</w:t>
      </w:r>
      <w:r>
        <w:rPr>
          <w:rFonts w:cs="Arial" w:hint="cs"/>
          <w:color w:val="000000" w:themeColor="text1"/>
          <w:rtl/>
        </w:rPr>
        <w:t xml:space="preserve">- </w:t>
      </w:r>
      <w:r w:rsidRPr="0028470E">
        <w:rPr>
          <w:rFonts w:cs="Arial"/>
          <w:color w:val="000000" w:themeColor="text1"/>
          <w:rtl/>
        </w:rPr>
        <w:t xml:space="preserve">התנה עמה שלא יאכל פירות נכסיה ולא פירי פירותיהן </w:t>
      </w:r>
      <w:r>
        <w:rPr>
          <w:rFonts w:cs="Arial" w:hint="cs"/>
          <w:color w:val="000000" w:themeColor="text1"/>
          <w:rtl/>
        </w:rPr>
        <w:t xml:space="preserve">- </w:t>
      </w:r>
      <w:r w:rsidRPr="0028470E">
        <w:rPr>
          <w:rFonts w:cs="Arial"/>
          <w:color w:val="000000" w:themeColor="text1"/>
          <w:rtl/>
        </w:rPr>
        <w:t>לוקחין הפירות וקונין בהם קרקע</w:t>
      </w:r>
      <w:r>
        <w:rPr>
          <w:rFonts w:cs="Arial" w:hint="cs"/>
          <w:color w:val="000000" w:themeColor="text1"/>
          <w:rtl/>
        </w:rPr>
        <w:t>.</w:t>
      </w:r>
      <w:r w:rsidRPr="0028470E">
        <w:rPr>
          <w:rFonts w:cs="Arial"/>
          <w:color w:val="000000" w:themeColor="text1"/>
          <w:rtl/>
        </w:rPr>
        <w:t xml:space="preserve"> ולוקחין פירות קרקע זו</w:t>
      </w:r>
      <w:r>
        <w:rPr>
          <w:rFonts w:cs="Arial" w:hint="cs"/>
          <w:color w:val="000000" w:themeColor="text1"/>
          <w:rtl/>
        </w:rPr>
        <w:t xml:space="preserve">, </w:t>
      </w:r>
      <w:r w:rsidRPr="0028470E">
        <w:rPr>
          <w:rFonts w:cs="Arial"/>
          <w:color w:val="000000" w:themeColor="text1"/>
          <w:rtl/>
        </w:rPr>
        <w:t xml:space="preserve">וקונין בהם קרקע שנייה </w:t>
      </w:r>
      <w:r>
        <w:rPr>
          <w:rFonts w:cs="Arial" w:hint="cs"/>
          <w:color w:val="000000" w:themeColor="text1"/>
          <w:rtl/>
        </w:rPr>
        <w:t xml:space="preserve">- </w:t>
      </w:r>
      <w:r w:rsidRPr="0028470E">
        <w:rPr>
          <w:rFonts w:cs="Arial"/>
          <w:color w:val="000000" w:themeColor="text1"/>
          <w:rtl/>
        </w:rPr>
        <w:t>והוא אוכל פירות אלו שהן פירי פירי פירות</w:t>
      </w:r>
      <w:r>
        <w:rPr>
          <w:rFonts w:cs="Arial" w:hint="cs"/>
          <w:color w:val="000000" w:themeColor="text1"/>
          <w:rtl/>
        </w:rPr>
        <w:t>.</w:t>
      </w:r>
      <w:r w:rsidRPr="0028470E">
        <w:rPr>
          <w:rFonts w:cs="Arial"/>
          <w:color w:val="000000" w:themeColor="text1"/>
          <w:rtl/>
        </w:rPr>
        <w:t xml:space="preserve"> וכן הדבר תמיד עד שיתנה עמה שלא יהיו לו לא פירות ולא פירי פירותיהן עד לעול</w:t>
      </w:r>
      <w:r>
        <w:rPr>
          <w:rFonts w:cs="Arial" w:hint="cs"/>
          <w:color w:val="000000" w:themeColor="text1"/>
          <w:rtl/>
        </w:rPr>
        <w:t>ם,</w:t>
      </w:r>
      <w:r w:rsidRPr="0028470E">
        <w:rPr>
          <w:rFonts w:cs="Arial"/>
          <w:color w:val="000000" w:themeColor="text1"/>
          <w:rtl/>
        </w:rPr>
        <w:t xml:space="preserve"> ואח</w:t>
      </w:r>
      <w:r w:rsidR="005C36B3">
        <w:rPr>
          <w:rFonts w:cs="Arial" w:hint="cs"/>
          <w:color w:val="000000" w:themeColor="text1"/>
          <w:rtl/>
        </w:rPr>
        <w:t>"</w:t>
      </w:r>
      <w:r w:rsidRPr="0028470E">
        <w:rPr>
          <w:rFonts w:cs="Arial"/>
          <w:color w:val="000000" w:themeColor="text1"/>
          <w:rtl/>
        </w:rPr>
        <w:t>כ לא יהיו לו פירות בחייה</w:t>
      </w:r>
      <w:r>
        <w:rPr>
          <w:rFonts w:cs="Arial" w:hint="cs"/>
          <w:color w:val="000000" w:themeColor="text1"/>
          <w:rtl/>
        </w:rPr>
        <w:t>.</w:t>
      </w:r>
      <w:r w:rsidRPr="0028470E">
        <w:rPr>
          <w:rFonts w:cs="Arial"/>
          <w:color w:val="000000" w:themeColor="text1"/>
          <w:rtl/>
        </w:rPr>
        <w:t xml:space="preserve"> אבל אם מתה</w:t>
      </w:r>
      <w:r>
        <w:rPr>
          <w:rFonts w:cs="Arial" w:hint="cs"/>
          <w:color w:val="000000" w:themeColor="text1"/>
          <w:rtl/>
        </w:rPr>
        <w:t xml:space="preserve"> -</w:t>
      </w:r>
      <w:r w:rsidRPr="0028470E">
        <w:rPr>
          <w:rFonts w:cs="Arial"/>
          <w:color w:val="000000" w:themeColor="text1"/>
          <w:rtl/>
        </w:rPr>
        <w:t xml:space="preserve"> יירש הכל. </w:t>
      </w:r>
      <w:r w:rsidRPr="00A31A43">
        <w:rPr>
          <w:rFonts w:hint="cs"/>
          <w:color w:val="E36C0A" w:themeColor="accent6" w:themeShade="BF"/>
          <w:rtl/>
        </w:rPr>
        <w:t>(וכ"פ בשו"ע)</w:t>
      </w:r>
    </w:p>
    <w:p w14:paraId="65162029"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47F5E219" w14:textId="3A2E20B6" w:rsidR="007A3469" w:rsidRDefault="007A3469" w:rsidP="007A3469">
      <w:pPr>
        <w:rPr>
          <w:rtl/>
        </w:rPr>
      </w:pPr>
      <w:r>
        <w:rPr>
          <w:rFonts w:cs="Arial"/>
          <w:rtl/>
        </w:rPr>
        <w:t>הוסיף להתנות עמה שלא יאכל פירות נכסיה ולא פירי פירותיהם, לוקחין</w:t>
      </w:r>
      <w:r w:rsidR="00992598" w:rsidRPr="00F20C9C">
        <w:rPr>
          <w:rStyle w:val="a7"/>
          <w:rFonts w:cs="Arial"/>
          <w:color w:val="000000" w:themeColor="text1"/>
          <w:rtl/>
        </w:rPr>
        <w:footnoteReference w:id="1506"/>
      </w:r>
      <w:r>
        <w:rPr>
          <w:rFonts w:cs="Arial"/>
          <w:rtl/>
        </w:rPr>
        <w:t xml:space="preserve"> הפירות וקונים בהם קרקע, ולוקחים פירות קרקע זו וקונים בהם קרקע שנייה, והוא אוכל פירות אלו שהן פירי פירות. וכן הדבר תמיד, עד שיתנה עמה שלא יהיה לו פירות ולא פירות פירותיהן עד לעולם</w:t>
      </w:r>
      <w:r w:rsidR="00904FA2" w:rsidRPr="00F20C9C">
        <w:rPr>
          <w:rStyle w:val="a7"/>
          <w:rFonts w:cs="Arial"/>
          <w:color w:val="000000" w:themeColor="text1"/>
          <w:rtl/>
        </w:rPr>
        <w:footnoteReference w:id="1507"/>
      </w:r>
      <w:r>
        <w:rPr>
          <w:rFonts w:cs="Arial"/>
          <w:rtl/>
        </w:rPr>
        <w:t xml:space="preserve">, ואז לא יהיה לו שום צד פירות בחייה. </w:t>
      </w:r>
    </w:p>
    <w:p w14:paraId="1E16D8B9" w14:textId="77777777" w:rsidR="00DA1E36" w:rsidRDefault="00DA1E36" w:rsidP="007A3469">
      <w:pPr>
        <w:rPr>
          <w:rtl/>
        </w:rPr>
      </w:pPr>
    </w:p>
    <w:p w14:paraId="3EEFADE7" w14:textId="78A3A0FA" w:rsidR="007A3469" w:rsidRPr="00363223" w:rsidRDefault="007A3469" w:rsidP="000F64D0">
      <w:pPr>
        <w:pStyle w:val="2"/>
        <w:rPr>
          <w:rtl/>
        </w:rPr>
      </w:pPr>
      <w:r>
        <w:rPr>
          <w:rtl/>
        </w:rPr>
        <w:t>סעיף ו</w:t>
      </w:r>
      <w:r w:rsidR="005D1457">
        <w:rPr>
          <w:rFonts w:hint="cs"/>
          <w:rtl/>
        </w:rPr>
        <w:t>:</w:t>
      </w:r>
      <w:r w:rsidR="00363223" w:rsidRPr="00363223">
        <w:rPr>
          <w:rFonts w:hint="cs"/>
          <w:rtl/>
        </w:rPr>
        <w:t xml:space="preserve"> </w:t>
      </w:r>
      <w:r w:rsidR="00363223" w:rsidRPr="001811CE">
        <w:rPr>
          <w:rFonts w:hint="cs"/>
          <w:rtl/>
        </w:rPr>
        <w:t>הכותב לאשתו</w:t>
      </w:r>
      <w:r w:rsidR="00363223" w:rsidRPr="001811CE">
        <w:rPr>
          <w:rtl/>
        </w:rPr>
        <w:t xml:space="preserve"> </w:t>
      </w:r>
      <w:r w:rsidR="00363223" w:rsidRPr="001811CE">
        <w:rPr>
          <w:rFonts w:hint="cs"/>
          <w:rtl/>
        </w:rPr>
        <w:t>'</w:t>
      </w:r>
      <w:r w:rsidR="00363223" w:rsidRPr="001811CE">
        <w:rPr>
          <w:rtl/>
        </w:rPr>
        <w:t xml:space="preserve">דין ודברים אין לי בנכסייך </w:t>
      </w:r>
      <w:r w:rsidR="00363223">
        <w:rPr>
          <w:rFonts w:hint="cs"/>
          <w:rtl/>
        </w:rPr>
        <w:t>ובפירי פירותיה</w:t>
      </w:r>
      <w:r w:rsidR="00AE5B5A">
        <w:rPr>
          <w:rFonts w:hint="cs"/>
          <w:rtl/>
        </w:rPr>
        <w:t>ן</w:t>
      </w:r>
      <w:r w:rsidR="00363223" w:rsidRPr="001811CE">
        <w:rPr>
          <w:rFonts w:hint="cs"/>
          <w:rtl/>
        </w:rPr>
        <w:t>'</w:t>
      </w:r>
      <w:r w:rsidR="00363223">
        <w:rPr>
          <w:rFonts w:hint="cs"/>
          <w:sz w:val="20"/>
          <w:szCs w:val="20"/>
          <w:rtl/>
        </w:rPr>
        <w:t xml:space="preserve"> (ולא הזכיר </w:t>
      </w:r>
      <w:r w:rsidR="00650CEF">
        <w:rPr>
          <w:rFonts w:hint="cs"/>
          <w:sz w:val="20"/>
          <w:szCs w:val="20"/>
          <w:rtl/>
        </w:rPr>
        <w:t>הפירות</w:t>
      </w:r>
      <w:r w:rsidR="00363223">
        <w:rPr>
          <w:rFonts w:hint="cs"/>
          <w:sz w:val="20"/>
          <w:szCs w:val="20"/>
          <w:rtl/>
        </w:rPr>
        <w:t>)</w:t>
      </w:r>
      <w:r w:rsidR="00650CEF">
        <w:rPr>
          <w:rFonts w:hint="cs"/>
          <w:rtl/>
        </w:rPr>
        <w:t>.</w:t>
      </w:r>
    </w:p>
    <w:p w14:paraId="2EFD94C7" w14:textId="35F8DCFF" w:rsidR="00363223" w:rsidRDefault="00363223" w:rsidP="00363223">
      <w:pPr>
        <w:rPr>
          <w:rtl/>
        </w:rPr>
      </w:pPr>
      <w:r w:rsidRPr="00D33625">
        <w:rPr>
          <w:rFonts w:cs="Arial" w:hint="cs"/>
          <w:b/>
          <w:bCs/>
          <w:rtl/>
        </w:rPr>
        <w:t xml:space="preserve">כתובות </w:t>
      </w:r>
      <w:r w:rsidRPr="00D33625">
        <w:rPr>
          <w:rFonts w:cs="Arial" w:hint="cs"/>
          <w:b/>
          <w:bCs/>
          <w:sz w:val="16"/>
          <w:szCs w:val="16"/>
          <w:rtl/>
        </w:rPr>
        <w:t>(ר"פ הכותב)</w:t>
      </w:r>
      <w:r w:rsidRPr="00D33625">
        <w:rPr>
          <w:rFonts w:cs="Arial" w:hint="cs"/>
          <w:b/>
          <w:bCs/>
          <w:rtl/>
        </w:rPr>
        <w:t xml:space="preserve"> פג ע"</w:t>
      </w:r>
      <w:r>
        <w:rPr>
          <w:rFonts w:cs="Arial" w:hint="cs"/>
          <w:b/>
          <w:bCs/>
          <w:rtl/>
        </w:rPr>
        <w:t>ב</w:t>
      </w:r>
      <w:r w:rsidRPr="00D33625">
        <w:rPr>
          <w:rFonts w:cs="Arial" w:hint="cs"/>
          <w:b/>
          <w:bCs/>
          <w:rtl/>
        </w:rPr>
        <w:t>:</w:t>
      </w:r>
      <w:r>
        <w:rPr>
          <w:rFonts w:cs="Arial" w:hint="cs"/>
          <w:rtl/>
        </w:rPr>
        <w:t xml:space="preserve"> </w:t>
      </w:r>
      <w:r w:rsidRPr="00363223">
        <w:rPr>
          <w:rFonts w:cs="Arial"/>
          <w:rtl/>
        </w:rPr>
        <w:t xml:space="preserve">איבעיא להו: כתב לה דין ודברים אין לי בנכסייך ובפירי פירות, מהו שיאכל פירות? מפירי פירות סליק נפשיה, מפירי לא סליק נפשיה, או דלמא מכל מילי סליק נפשיה? פשיטא דמכל מילי סליק נפשיה, דאי אמרת: מפירי פירות סליק נפשיה, מפירי לא סליק נפשיה, כיון דאכלינהו לפירות, פירי פירות מהיכא? וליטעמיך, הא </w:t>
      </w:r>
      <w:r w:rsidRPr="00363223">
        <w:rPr>
          <w:rFonts w:cs="Arial"/>
          <w:rtl/>
        </w:rPr>
        <w:lastRenderedPageBreak/>
        <w:t>דתנן, רבי יהודה אומר: לעולם הוא אוכל פירי פירות כו', כיון דאכלינהו לפירי, פירי פירות מהיכא? אלא בדשיירא, הכא נמי בדשייר.</w:t>
      </w:r>
      <w:r w:rsidR="00EC3F1D">
        <w:rPr>
          <w:rFonts w:hint="cs"/>
          <w:rtl/>
        </w:rPr>
        <w:t xml:space="preserve"> </w:t>
      </w:r>
      <w:r w:rsidR="00EC3F1D" w:rsidRPr="00CB7692">
        <w:rPr>
          <w:rFonts w:hint="cs"/>
          <w:sz w:val="16"/>
          <w:szCs w:val="16"/>
          <w:rtl/>
        </w:rPr>
        <w:t xml:space="preserve">(יש אומרים (ר"ח </w:t>
      </w:r>
      <w:r w:rsidR="00D527B4">
        <w:rPr>
          <w:rFonts w:hint="cs"/>
          <w:sz w:val="16"/>
          <w:szCs w:val="16"/>
          <w:rtl/>
        </w:rPr>
        <w:t xml:space="preserve">טור </w:t>
      </w:r>
      <w:r w:rsidR="00EC3F1D" w:rsidRPr="00CB7692">
        <w:rPr>
          <w:rFonts w:hint="cs"/>
          <w:sz w:val="16"/>
          <w:szCs w:val="16"/>
          <w:rtl/>
        </w:rPr>
        <w:t xml:space="preserve">ור"ן) </w:t>
      </w:r>
      <w:r w:rsidR="00EC3F1D" w:rsidRPr="00CB7692">
        <w:rPr>
          <w:rFonts w:cs="Arial"/>
          <w:sz w:val="16"/>
          <w:szCs w:val="16"/>
          <w:rtl/>
        </w:rPr>
        <w:t>דלא איפשיטא בעיין</w:t>
      </w:r>
      <w:r w:rsidR="00EC3F1D" w:rsidRPr="00CB7692">
        <w:rPr>
          <w:rFonts w:cs="Arial" w:hint="cs"/>
          <w:sz w:val="16"/>
          <w:szCs w:val="16"/>
          <w:rtl/>
        </w:rPr>
        <w:t>, והילכך</w:t>
      </w:r>
      <w:r w:rsidR="00EC3F1D" w:rsidRPr="00CB7692">
        <w:rPr>
          <w:rFonts w:cs="Arial"/>
          <w:sz w:val="16"/>
          <w:szCs w:val="16"/>
          <w:rtl/>
        </w:rPr>
        <w:t xml:space="preserve"> בעינן תרוייהו</w:t>
      </w:r>
      <w:r w:rsidR="00EC3F1D" w:rsidRPr="00CB7692">
        <w:rPr>
          <w:rFonts w:cs="Arial" w:hint="cs"/>
          <w:sz w:val="16"/>
          <w:szCs w:val="16"/>
          <w:rtl/>
        </w:rPr>
        <w:t>,</w:t>
      </w:r>
      <w:r w:rsidR="00EC3F1D" w:rsidRPr="00CB7692">
        <w:rPr>
          <w:rFonts w:cs="Arial"/>
          <w:sz w:val="16"/>
          <w:szCs w:val="16"/>
          <w:rtl/>
        </w:rPr>
        <w:t xml:space="preserve"> ולעולם הוא אוכל פירי פירות עד שיכתוב לה ובפירי פירותיהן עד עולם</w:t>
      </w:r>
      <w:r w:rsidR="00EC3F1D" w:rsidRPr="00CB7692">
        <w:rPr>
          <w:rFonts w:cs="Arial" w:hint="cs"/>
          <w:sz w:val="16"/>
          <w:szCs w:val="16"/>
          <w:rtl/>
        </w:rPr>
        <w:t>,</w:t>
      </w:r>
      <w:r w:rsidR="00EC3F1D" w:rsidRPr="00CB7692">
        <w:rPr>
          <w:rFonts w:cs="Arial"/>
          <w:sz w:val="16"/>
          <w:szCs w:val="16"/>
          <w:rtl/>
        </w:rPr>
        <w:t xml:space="preserve"> דבגמ' אמרי' דהאשה הויא בעלת השטר וידה על התחתונה</w:t>
      </w:r>
      <w:r w:rsidR="00EC3F1D" w:rsidRPr="00CB7692">
        <w:rPr>
          <w:rFonts w:cs="Arial" w:hint="cs"/>
          <w:sz w:val="16"/>
          <w:szCs w:val="16"/>
          <w:rtl/>
        </w:rPr>
        <w:t>. וי</w:t>
      </w:r>
      <w:r w:rsidR="00CB7692" w:rsidRPr="00CB7692">
        <w:rPr>
          <w:rFonts w:hint="cs"/>
          <w:sz w:val="16"/>
          <w:szCs w:val="16"/>
          <w:rtl/>
        </w:rPr>
        <w:t xml:space="preserve">ש אומרים </w:t>
      </w:r>
      <w:r w:rsidR="00CF0ADE" w:rsidRPr="00CB7692">
        <w:rPr>
          <w:rFonts w:hint="cs"/>
          <w:sz w:val="16"/>
          <w:szCs w:val="16"/>
          <w:rtl/>
        </w:rPr>
        <w:t xml:space="preserve">(רב האי) </w:t>
      </w:r>
      <w:r w:rsidR="00CB7692" w:rsidRPr="00CB7692">
        <w:rPr>
          <w:rFonts w:hint="cs"/>
          <w:sz w:val="16"/>
          <w:szCs w:val="16"/>
          <w:rtl/>
        </w:rPr>
        <w:t xml:space="preserve">דבעיין איפשטא </w:t>
      </w:r>
      <w:r w:rsidR="00CF0ADE">
        <w:rPr>
          <w:rFonts w:cs="Arial" w:hint="cs"/>
          <w:sz w:val="16"/>
          <w:szCs w:val="16"/>
          <w:rtl/>
        </w:rPr>
        <w:t>ד</w:t>
      </w:r>
      <w:r w:rsidR="00CB7692" w:rsidRPr="00CB7692">
        <w:rPr>
          <w:rFonts w:cs="Arial"/>
          <w:sz w:val="16"/>
          <w:szCs w:val="16"/>
          <w:rtl/>
        </w:rPr>
        <w:t>אסיקנא דמכל מילי סליק נפשיה</w:t>
      </w:r>
      <w:r w:rsidR="00CB7692" w:rsidRPr="00CB7692">
        <w:rPr>
          <w:rFonts w:cs="Arial" w:hint="cs"/>
          <w:sz w:val="16"/>
          <w:szCs w:val="16"/>
          <w:rtl/>
        </w:rPr>
        <w:t>)</w:t>
      </w:r>
    </w:p>
    <w:p w14:paraId="5FF8A944" w14:textId="0E92E604" w:rsidR="00650CEF" w:rsidRPr="00650CEF" w:rsidRDefault="00650CEF" w:rsidP="00363223">
      <w:pPr>
        <w:rPr>
          <w:u w:val="single"/>
          <w:rtl/>
        </w:rPr>
      </w:pPr>
      <w:r w:rsidRPr="00650CEF">
        <w:rPr>
          <w:rFonts w:cs="Arial" w:hint="cs"/>
          <w:u w:val="single"/>
          <w:rtl/>
        </w:rPr>
        <w:t>הכותב לאשתו</w:t>
      </w:r>
      <w:r w:rsidRPr="00650CEF">
        <w:rPr>
          <w:rFonts w:cs="Arial"/>
          <w:u w:val="single"/>
          <w:rtl/>
        </w:rPr>
        <w:t xml:space="preserve"> </w:t>
      </w:r>
      <w:r w:rsidRPr="00650CEF">
        <w:rPr>
          <w:rFonts w:cs="Arial" w:hint="cs"/>
          <w:u w:val="single"/>
          <w:rtl/>
        </w:rPr>
        <w:t>'</w:t>
      </w:r>
      <w:r w:rsidRPr="00650CEF">
        <w:rPr>
          <w:rFonts w:cs="Arial"/>
          <w:u w:val="single"/>
          <w:rtl/>
        </w:rPr>
        <w:t xml:space="preserve">דין ודברים אין לי בנכסייך </w:t>
      </w:r>
      <w:r w:rsidRPr="00650CEF">
        <w:rPr>
          <w:rFonts w:cs="Arial" w:hint="cs"/>
          <w:u w:val="single"/>
          <w:rtl/>
        </w:rPr>
        <w:t>ובפירי פירותיה</w:t>
      </w:r>
      <w:r w:rsidR="00AE5B5A">
        <w:rPr>
          <w:rFonts w:cs="Arial" w:hint="cs"/>
          <w:u w:val="single"/>
          <w:rtl/>
        </w:rPr>
        <w:t>ן</w:t>
      </w:r>
      <w:r w:rsidRPr="00650CEF">
        <w:rPr>
          <w:rFonts w:hint="cs"/>
          <w:u w:val="single"/>
          <w:rtl/>
        </w:rPr>
        <w:t>'</w:t>
      </w:r>
      <w:r>
        <w:rPr>
          <w:rFonts w:hint="cs"/>
          <w:u w:val="single"/>
          <w:rtl/>
        </w:rPr>
        <w:t>, ולא הזכיר הפירות</w:t>
      </w:r>
      <w:r w:rsidRPr="00650CEF">
        <w:rPr>
          <w:rFonts w:hint="cs"/>
          <w:u w:val="single"/>
          <w:rtl/>
        </w:rPr>
        <w:t>:</w:t>
      </w:r>
    </w:p>
    <w:p w14:paraId="02E67161" w14:textId="273F527F" w:rsidR="00EC3F1D" w:rsidRPr="00EC3F1D" w:rsidRDefault="00EC3F1D" w:rsidP="009000E3">
      <w:pPr>
        <w:pStyle w:val="ab"/>
        <w:numPr>
          <w:ilvl w:val="0"/>
          <w:numId w:val="55"/>
        </w:numPr>
      </w:pPr>
      <w:r>
        <w:rPr>
          <w:rFonts w:cs="Arial" w:hint="cs"/>
          <w:rtl/>
        </w:rPr>
        <w:t xml:space="preserve">ר"ח </w:t>
      </w:r>
      <w:r w:rsidR="00CB7692">
        <w:rPr>
          <w:rFonts w:cs="Arial" w:hint="cs"/>
          <w:sz w:val="16"/>
          <w:szCs w:val="16"/>
          <w:rtl/>
        </w:rPr>
        <w:t xml:space="preserve">(כ"כ הר"ן [שם] בשמו) </w:t>
      </w:r>
      <w:r w:rsidR="00650CEF">
        <w:rPr>
          <w:rFonts w:cs="Arial" w:hint="cs"/>
          <w:rtl/>
        </w:rPr>
        <w:t>טור</w:t>
      </w:r>
      <w:r>
        <w:rPr>
          <w:rFonts w:cs="Arial" w:hint="cs"/>
          <w:rtl/>
        </w:rPr>
        <w:t xml:space="preserve"> ור"ן</w:t>
      </w:r>
      <w:r w:rsidR="00CB7692">
        <w:rPr>
          <w:rFonts w:cs="Arial" w:hint="cs"/>
          <w:sz w:val="16"/>
          <w:szCs w:val="16"/>
          <w:rtl/>
        </w:rPr>
        <w:t xml:space="preserve"> (מא: סד"ה ולענין הלכה)</w:t>
      </w:r>
      <w:r w:rsidR="00650CEF">
        <w:rPr>
          <w:rFonts w:cs="Arial" w:hint="cs"/>
          <w:rtl/>
        </w:rPr>
        <w:t xml:space="preserve">- </w:t>
      </w:r>
      <w:r w:rsidR="000D6E69" w:rsidRPr="003171A6">
        <w:rPr>
          <w:rFonts w:cs="Arial"/>
          <w:rtl/>
        </w:rPr>
        <w:t xml:space="preserve">ואם כתב </w:t>
      </w:r>
      <w:r>
        <w:rPr>
          <w:rFonts w:cs="Arial" w:hint="cs"/>
          <w:rtl/>
        </w:rPr>
        <w:t>'</w:t>
      </w:r>
      <w:r w:rsidR="000D6E69" w:rsidRPr="003171A6">
        <w:rPr>
          <w:rFonts w:cs="Arial"/>
          <w:rtl/>
        </w:rPr>
        <w:t>דין ודברים אין לי בנכסייך ובפירי פירותיהן</w:t>
      </w:r>
      <w:r>
        <w:rPr>
          <w:rFonts w:cs="Arial" w:hint="cs"/>
          <w:rtl/>
        </w:rPr>
        <w:t>'</w:t>
      </w:r>
      <w:r w:rsidR="000D6E69" w:rsidRPr="003171A6">
        <w:rPr>
          <w:rFonts w:cs="Arial"/>
          <w:rtl/>
        </w:rPr>
        <w:t xml:space="preserve"> ולא הזכיר הפירות </w:t>
      </w:r>
      <w:r>
        <w:rPr>
          <w:rFonts w:cs="Arial" w:hint="cs"/>
          <w:rtl/>
        </w:rPr>
        <w:t xml:space="preserve">- </w:t>
      </w:r>
      <w:r w:rsidR="000D6E69" w:rsidRPr="003171A6">
        <w:rPr>
          <w:rFonts w:cs="Arial"/>
          <w:rtl/>
        </w:rPr>
        <w:t>אוכל הפירות</w:t>
      </w:r>
      <w:r>
        <w:rPr>
          <w:rFonts w:cs="Arial" w:hint="cs"/>
          <w:rtl/>
        </w:rPr>
        <w:t>,</w:t>
      </w:r>
      <w:r w:rsidR="000D6E69" w:rsidRPr="003171A6">
        <w:rPr>
          <w:rFonts w:cs="Arial"/>
          <w:rtl/>
        </w:rPr>
        <w:t xml:space="preserve"> ולא פירי פירות</w:t>
      </w:r>
      <w:r>
        <w:rPr>
          <w:rFonts w:cs="Arial" w:hint="cs"/>
          <w:rtl/>
        </w:rPr>
        <w:t>.</w:t>
      </w:r>
      <w:r w:rsidR="000D6E69" w:rsidRPr="003171A6">
        <w:rPr>
          <w:rFonts w:cs="Arial"/>
          <w:rtl/>
        </w:rPr>
        <w:t xml:space="preserve"> ונ</w:t>
      </w:r>
      <w:r>
        <w:rPr>
          <w:rFonts w:cs="Arial" w:hint="cs"/>
          <w:rtl/>
        </w:rPr>
        <w:t xml:space="preserve">פקא </w:t>
      </w:r>
      <w:r w:rsidR="000D6E69" w:rsidRPr="003171A6">
        <w:rPr>
          <w:rFonts w:cs="Arial"/>
          <w:rtl/>
        </w:rPr>
        <w:t>מ</w:t>
      </w:r>
      <w:r>
        <w:rPr>
          <w:rFonts w:cs="Arial" w:hint="cs"/>
          <w:rtl/>
        </w:rPr>
        <w:t>ינה</w:t>
      </w:r>
      <w:r w:rsidR="000D6E69" w:rsidRPr="003171A6">
        <w:rPr>
          <w:rFonts w:cs="Arial"/>
          <w:rtl/>
        </w:rPr>
        <w:t xml:space="preserve"> אם שייר הפירות ולא אכלם וקנה מהם קרקע </w:t>
      </w:r>
      <w:r>
        <w:rPr>
          <w:rFonts w:cs="Arial" w:hint="cs"/>
          <w:rtl/>
        </w:rPr>
        <w:t xml:space="preserve">- </w:t>
      </w:r>
      <w:r w:rsidR="000D6E69" w:rsidRPr="003171A6">
        <w:rPr>
          <w:rFonts w:cs="Arial"/>
          <w:rtl/>
        </w:rPr>
        <w:t>אינו אוכל פירותיו שהם פירי פירות</w:t>
      </w:r>
      <w:r>
        <w:rPr>
          <w:rFonts w:cs="Arial" w:hint="cs"/>
          <w:rtl/>
        </w:rPr>
        <w:t>.</w:t>
      </w:r>
      <w:r w:rsidR="000D6E69" w:rsidRPr="003171A6">
        <w:rPr>
          <w:rFonts w:cs="Arial"/>
          <w:rtl/>
        </w:rPr>
        <w:t xml:space="preserve"> ועדיין אם מתה ירשנה</w:t>
      </w:r>
      <w:r w:rsidR="00D527B4" w:rsidRPr="00F20C9C">
        <w:rPr>
          <w:rStyle w:val="a7"/>
          <w:rFonts w:cs="Arial"/>
          <w:color w:val="000000" w:themeColor="text1"/>
          <w:rtl/>
        </w:rPr>
        <w:footnoteReference w:id="1508"/>
      </w:r>
      <w:r w:rsidR="00CB7692">
        <w:rPr>
          <w:rFonts w:cs="Arial" w:hint="cs"/>
          <w:sz w:val="16"/>
          <w:szCs w:val="16"/>
          <w:rtl/>
        </w:rPr>
        <w:t xml:space="preserve"> (ל' הטור)</w:t>
      </w:r>
      <w:r w:rsidR="00650CEF">
        <w:rPr>
          <w:rFonts w:cs="Arial" w:hint="cs"/>
          <w:rtl/>
        </w:rPr>
        <w:t>.</w:t>
      </w:r>
      <w:r w:rsidR="009521D0" w:rsidRPr="009521D0">
        <w:rPr>
          <w:rFonts w:hint="cs"/>
          <w:color w:val="E36C0A" w:themeColor="accent6" w:themeShade="BF"/>
          <w:rtl/>
        </w:rPr>
        <w:t xml:space="preserve"> </w:t>
      </w:r>
    </w:p>
    <w:p w14:paraId="552FB52D" w14:textId="3576BD0C" w:rsidR="005D1457" w:rsidRPr="005D1457" w:rsidRDefault="00F31ACB" w:rsidP="009000E3">
      <w:pPr>
        <w:pStyle w:val="ab"/>
        <w:numPr>
          <w:ilvl w:val="0"/>
          <w:numId w:val="55"/>
        </w:numPr>
        <w:rPr>
          <w:rtl/>
        </w:rPr>
      </w:pPr>
      <w:r w:rsidRPr="00EC3F1D">
        <w:rPr>
          <w:rFonts w:cs="Arial"/>
          <w:rtl/>
        </w:rPr>
        <w:t xml:space="preserve">רבינו האי </w:t>
      </w:r>
      <w:r w:rsidRPr="00CB7692">
        <w:rPr>
          <w:rFonts w:cs="Arial"/>
          <w:sz w:val="16"/>
          <w:szCs w:val="16"/>
          <w:rtl/>
        </w:rPr>
        <w:t>(ס' המקח והממכר שער ד)</w:t>
      </w:r>
      <w:r w:rsidR="00CB7692">
        <w:rPr>
          <w:rFonts w:cs="Arial" w:hint="cs"/>
          <w:rtl/>
        </w:rPr>
        <w:t xml:space="preserve">- </w:t>
      </w:r>
      <w:r w:rsidRPr="00EC3F1D">
        <w:rPr>
          <w:rFonts w:cs="Arial"/>
          <w:rtl/>
        </w:rPr>
        <w:t>אסיקנא דמכל מילי סליק נפשיה</w:t>
      </w:r>
      <w:r w:rsidR="00EC3F1D">
        <w:rPr>
          <w:rFonts w:cs="Arial" w:hint="cs"/>
          <w:rtl/>
        </w:rPr>
        <w:t>.</w:t>
      </w:r>
      <w:r w:rsidRPr="00D527B4">
        <w:rPr>
          <w:rFonts w:cs="Arial"/>
          <w:rtl/>
        </w:rPr>
        <w:t xml:space="preserve"> </w:t>
      </w:r>
      <w:r w:rsidR="008871F6" w:rsidRPr="00A31A43">
        <w:rPr>
          <w:rFonts w:hint="cs"/>
          <w:color w:val="E36C0A" w:themeColor="accent6" w:themeShade="BF"/>
          <w:rtl/>
        </w:rPr>
        <w:t>(וכ"פ בשו"ע)</w:t>
      </w:r>
    </w:p>
    <w:p w14:paraId="1CDCA0E9"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0BEF4213" w14:textId="67D738C4" w:rsidR="007A3469" w:rsidRDefault="007A3469" w:rsidP="007A3469">
      <w:pPr>
        <w:rPr>
          <w:rtl/>
        </w:rPr>
      </w:pPr>
      <w:r>
        <w:rPr>
          <w:rFonts w:cs="Arial"/>
          <w:rtl/>
        </w:rPr>
        <w:t>כתב לה: דין ודברים אין לי בנכסייך ובפירי פירותיהן, ולא הזכיר הפירות, י</w:t>
      </w:r>
      <w:r w:rsidR="008225B5">
        <w:rPr>
          <w:rFonts w:cs="Arial" w:hint="cs"/>
          <w:rtl/>
        </w:rPr>
        <w:t>ש אומרים</w:t>
      </w:r>
      <w:r>
        <w:rPr>
          <w:rFonts w:cs="Arial"/>
          <w:rtl/>
        </w:rPr>
        <w:t xml:space="preserve"> שאוכל הפירות ולא פירי פירות</w:t>
      </w:r>
      <w:r w:rsidR="00D527B4" w:rsidRPr="00F20C9C">
        <w:rPr>
          <w:rStyle w:val="a7"/>
          <w:rFonts w:cs="Arial"/>
          <w:color w:val="000000" w:themeColor="text1"/>
          <w:rtl/>
        </w:rPr>
        <w:footnoteReference w:id="1509"/>
      </w:r>
      <w:r>
        <w:rPr>
          <w:rFonts w:cs="Arial"/>
          <w:rtl/>
        </w:rPr>
        <w:t>, וי</w:t>
      </w:r>
      <w:r w:rsidR="008225B5">
        <w:rPr>
          <w:rFonts w:cs="Arial" w:hint="cs"/>
          <w:rtl/>
        </w:rPr>
        <w:t>ש אומרים</w:t>
      </w:r>
      <w:r>
        <w:rPr>
          <w:rFonts w:cs="Arial"/>
          <w:rtl/>
        </w:rPr>
        <w:t xml:space="preserve"> שגם הפירות אינו אוכל. </w:t>
      </w:r>
    </w:p>
    <w:p w14:paraId="52DA2919" w14:textId="77777777" w:rsidR="00DA1E36" w:rsidRDefault="00DA1E36" w:rsidP="007A3469">
      <w:pPr>
        <w:rPr>
          <w:rtl/>
        </w:rPr>
      </w:pPr>
    </w:p>
    <w:p w14:paraId="74C68D7E" w14:textId="3ED9F498" w:rsidR="007A3469" w:rsidRDefault="007A3469" w:rsidP="000F64D0">
      <w:pPr>
        <w:pStyle w:val="2"/>
        <w:rPr>
          <w:rtl/>
        </w:rPr>
      </w:pPr>
      <w:r>
        <w:rPr>
          <w:rtl/>
        </w:rPr>
        <w:t>סעיף ז</w:t>
      </w:r>
      <w:r w:rsidR="005D1457">
        <w:rPr>
          <w:rFonts w:hint="cs"/>
          <w:rtl/>
        </w:rPr>
        <w:t>:</w:t>
      </w:r>
      <w:r w:rsidR="00AE5B5A" w:rsidRPr="00AE5B5A">
        <w:rPr>
          <w:rtl/>
        </w:rPr>
        <w:t xml:space="preserve"> </w:t>
      </w:r>
      <w:r w:rsidR="00291938">
        <w:rPr>
          <w:rFonts w:hint="cs"/>
          <w:rtl/>
        </w:rPr>
        <w:t xml:space="preserve">התנה עם </w:t>
      </w:r>
      <w:r w:rsidR="00AE5B5A">
        <w:rPr>
          <w:rFonts w:hint="cs"/>
          <w:rtl/>
        </w:rPr>
        <w:t>אשתו</w:t>
      </w:r>
      <w:r w:rsidR="00291938">
        <w:rPr>
          <w:rFonts w:hint="cs"/>
          <w:rtl/>
        </w:rPr>
        <w:t xml:space="preserve"> שלא יירשנה.</w:t>
      </w:r>
    </w:p>
    <w:p w14:paraId="0842FD45" w14:textId="2742F8E2" w:rsidR="00E13090" w:rsidRDefault="00E13090" w:rsidP="00E13090">
      <w:pPr>
        <w:rPr>
          <w:rFonts w:cs="Arial"/>
          <w:rtl/>
        </w:rPr>
      </w:pPr>
      <w:r w:rsidRPr="00AE5B5A">
        <w:rPr>
          <w:rFonts w:cs="Arial"/>
          <w:b/>
          <w:bCs/>
          <w:rtl/>
        </w:rPr>
        <w:t>ירושלמי</w:t>
      </w:r>
      <w:r w:rsidRPr="00AE5B5A">
        <w:rPr>
          <w:rFonts w:cs="Arial" w:hint="cs"/>
          <w:b/>
          <w:bCs/>
          <w:rtl/>
        </w:rPr>
        <w:t xml:space="preserve"> </w:t>
      </w:r>
      <w:r w:rsidRPr="00AE5B5A">
        <w:rPr>
          <w:rFonts w:cs="Arial"/>
          <w:b/>
          <w:bCs/>
          <w:rtl/>
        </w:rPr>
        <w:t>כתובות פ"ט ה"א</w:t>
      </w:r>
      <w:r w:rsidRPr="00AE5B5A">
        <w:rPr>
          <w:rFonts w:cs="Arial" w:hint="cs"/>
          <w:b/>
          <w:bCs/>
          <w:rtl/>
        </w:rPr>
        <w:t>:</w:t>
      </w:r>
      <w:r>
        <w:rPr>
          <w:rFonts w:cs="Arial"/>
          <w:rtl/>
        </w:rPr>
        <w:t xml:space="preserve"> </w:t>
      </w:r>
      <w:r w:rsidRPr="00AE5B5A">
        <w:rPr>
          <w:rFonts w:cs="Arial"/>
          <w:u w:val="single"/>
          <w:rtl/>
        </w:rPr>
        <w:t>אמר ר' יוסי</w:t>
      </w:r>
      <w:r>
        <w:rPr>
          <w:rFonts w:cs="Arial" w:hint="cs"/>
          <w:rtl/>
        </w:rPr>
        <w:t>:</w:t>
      </w:r>
      <w:r w:rsidRPr="00AE5B5A">
        <w:rPr>
          <w:rFonts w:cs="Arial"/>
          <w:rtl/>
        </w:rPr>
        <w:t xml:space="preserve"> ואילין דכתבין</w:t>
      </w:r>
      <w:r w:rsidR="00CF0ADE">
        <w:rPr>
          <w:rFonts w:cs="Arial" w:hint="cs"/>
          <w:rtl/>
        </w:rPr>
        <w:t>:</w:t>
      </w:r>
      <w:r w:rsidRPr="00AE5B5A">
        <w:rPr>
          <w:rFonts w:cs="Arial"/>
          <w:rtl/>
        </w:rPr>
        <w:t xml:space="preserve"> אין מיתת דלא בנין יהא מדלה חזר לבית אביה </w:t>
      </w:r>
      <w:r>
        <w:rPr>
          <w:rFonts w:cs="Arial" w:hint="cs"/>
          <w:rtl/>
        </w:rPr>
        <w:t xml:space="preserve">- </w:t>
      </w:r>
      <w:r w:rsidRPr="00AE5B5A">
        <w:rPr>
          <w:rFonts w:cs="Arial"/>
          <w:rtl/>
        </w:rPr>
        <w:t>תנאי ממון הוא ותנאו קיים</w:t>
      </w:r>
      <w:r>
        <w:rPr>
          <w:rFonts w:cs="Arial" w:hint="cs"/>
          <w:rtl/>
        </w:rPr>
        <w:t>.</w:t>
      </w:r>
    </w:p>
    <w:p w14:paraId="0CFB042E" w14:textId="3098EAEC" w:rsidR="00E13090" w:rsidRPr="009629DA" w:rsidRDefault="00E13090" w:rsidP="00E13090">
      <w:pPr>
        <w:rPr>
          <w:rFonts w:cs="Arial"/>
          <w:u w:val="single"/>
          <w:rtl/>
        </w:rPr>
      </w:pPr>
      <w:r w:rsidRPr="009629DA">
        <w:rPr>
          <w:rFonts w:cs="Arial"/>
          <w:u w:val="single"/>
          <w:rtl/>
        </w:rPr>
        <w:t>התנה ע</w:t>
      </w:r>
      <w:r>
        <w:rPr>
          <w:rFonts w:cs="Arial" w:hint="cs"/>
          <w:u w:val="single"/>
          <w:rtl/>
        </w:rPr>
        <w:t>ם אשתו</w:t>
      </w:r>
      <w:r w:rsidRPr="009629DA">
        <w:rPr>
          <w:rFonts w:cs="Arial"/>
          <w:u w:val="single"/>
          <w:rtl/>
        </w:rPr>
        <w:t xml:space="preserve"> </w:t>
      </w:r>
      <w:r>
        <w:rPr>
          <w:rFonts w:cs="Arial" w:hint="cs"/>
          <w:u w:val="single"/>
          <w:rtl/>
        </w:rPr>
        <w:t>ש</w:t>
      </w:r>
      <w:r w:rsidRPr="009629DA">
        <w:rPr>
          <w:rFonts w:cs="Arial"/>
          <w:u w:val="single"/>
          <w:rtl/>
        </w:rPr>
        <w:t>אם תמות בלא בנים שיחזרו נכסיה לבית אביה</w:t>
      </w:r>
      <w:r>
        <w:rPr>
          <w:rFonts w:cs="Arial" w:hint="cs"/>
          <w:u w:val="single"/>
          <w:rtl/>
        </w:rPr>
        <w:t xml:space="preserve"> </w:t>
      </w:r>
      <w:r w:rsidR="00F97626">
        <w:rPr>
          <w:rFonts w:cs="Arial"/>
          <w:u w:val="single"/>
          <w:rtl/>
        </w:rPr>
        <w:t>-</w:t>
      </w:r>
      <w:r>
        <w:rPr>
          <w:rFonts w:cs="Arial" w:hint="cs"/>
          <w:u w:val="single"/>
          <w:rtl/>
        </w:rPr>
        <w:t xml:space="preserve"> האם תנאו קיים</w:t>
      </w:r>
      <w:r w:rsidRPr="009629DA">
        <w:rPr>
          <w:rFonts w:cs="Arial" w:hint="cs"/>
          <w:u w:val="single"/>
          <w:rtl/>
        </w:rPr>
        <w:t>:</w:t>
      </w:r>
    </w:p>
    <w:p w14:paraId="14DC1076" w14:textId="6E29961A" w:rsidR="00E13090" w:rsidRPr="005D1457" w:rsidRDefault="00E13090" w:rsidP="009000E3">
      <w:pPr>
        <w:pStyle w:val="ab"/>
        <w:numPr>
          <w:ilvl w:val="0"/>
          <w:numId w:val="59"/>
        </w:numPr>
        <w:rPr>
          <w:rtl/>
        </w:rPr>
      </w:pPr>
      <w:r w:rsidRPr="00AE5B5A">
        <w:rPr>
          <w:rFonts w:cs="Arial"/>
          <w:rtl/>
        </w:rPr>
        <w:t xml:space="preserve">רי"ף </w:t>
      </w:r>
      <w:r w:rsidRPr="009629DA">
        <w:rPr>
          <w:rFonts w:cs="Arial" w:hint="cs"/>
          <w:sz w:val="16"/>
          <w:szCs w:val="16"/>
          <w:rtl/>
        </w:rPr>
        <w:t>(מב.)</w:t>
      </w:r>
      <w:r w:rsidRPr="009629DA">
        <w:rPr>
          <w:rFonts w:cs="Arial" w:hint="cs"/>
          <w:sz w:val="16"/>
          <w:szCs w:val="16"/>
        </w:rPr>
        <w:t xml:space="preserve"> </w:t>
      </w:r>
      <w:r>
        <w:rPr>
          <w:rFonts w:cs="Arial" w:hint="cs"/>
          <w:rtl/>
        </w:rPr>
        <w:t xml:space="preserve">רמב"ם </w:t>
      </w:r>
      <w:r w:rsidRPr="009629DA">
        <w:rPr>
          <w:rFonts w:cs="Arial" w:hint="cs"/>
          <w:sz w:val="16"/>
          <w:szCs w:val="16"/>
          <w:rtl/>
        </w:rPr>
        <w:t xml:space="preserve">(פכ"ג מאישות ה"ה) </w:t>
      </w:r>
      <w:r w:rsidRPr="00AE5B5A">
        <w:rPr>
          <w:rFonts w:cs="Arial"/>
          <w:rtl/>
        </w:rPr>
        <w:t>רא"ש</w:t>
      </w:r>
      <w:r w:rsidRPr="009629DA">
        <w:rPr>
          <w:rFonts w:cs="Arial"/>
          <w:sz w:val="16"/>
          <w:szCs w:val="16"/>
          <w:rtl/>
        </w:rPr>
        <w:t xml:space="preserve"> </w:t>
      </w:r>
      <w:r w:rsidRPr="009629DA">
        <w:rPr>
          <w:rFonts w:cs="Arial" w:hint="cs"/>
          <w:sz w:val="16"/>
          <w:szCs w:val="16"/>
          <w:rtl/>
        </w:rPr>
        <w:t>(</w:t>
      </w:r>
      <w:r w:rsidRPr="009629DA">
        <w:rPr>
          <w:rFonts w:cs="Arial"/>
          <w:sz w:val="16"/>
          <w:szCs w:val="16"/>
          <w:rtl/>
        </w:rPr>
        <w:t>פרק הכותב סי' א)</w:t>
      </w:r>
      <w:r>
        <w:rPr>
          <w:rFonts w:cs="Arial" w:hint="cs"/>
          <w:rtl/>
        </w:rPr>
        <w:t xml:space="preserve"> </w:t>
      </w:r>
      <w:r w:rsidRPr="00AE5B5A">
        <w:rPr>
          <w:rFonts w:cs="Arial" w:hint="cs"/>
          <w:rtl/>
        </w:rPr>
        <w:t>וטור-</w:t>
      </w:r>
      <w:r w:rsidRPr="00AE5B5A">
        <w:rPr>
          <w:rFonts w:cs="Arial"/>
          <w:rtl/>
        </w:rPr>
        <w:t xml:space="preserve"> וכן אם התנה עמה אם תמות בלא בנים שיחזרו נכסיה לבית אביה </w:t>
      </w:r>
      <w:r>
        <w:rPr>
          <w:rFonts w:cs="Arial" w:hint="cs"/>
          <w:rtl/>
        </w:rPr>
        <w:t xml:space="preserve">- </w:t>
      </w:r>
      <w:r w:rsidRPr="00AE5B5A">
        <w:rPr>
          <w:rFonts w:cs="Arial"/>
          <w:rtl/>
        </w:rPr>
        <w:t>הכל לפי תנאה</w:t>
      </w:r>
      <w:r>
        <w:rPr>
          <w:rFonts w:cs="Arial" w:hint="cs"/>
          <w:sz w:val="16"/>
          <w:szCs w:val="16"/>
          <w:rtl/>
        </w:rPr>
        <w:t xml:space="preserve"> (ל' הטור)</w:t>
      </w:r>
      <w:r w:rsidRPr="00AE5B5A">
        <w:rPr>
          <w:rFonts w:cs="Arial" w:hint="cs"/>
          <w:rtl/>
        </w:rPr>
        <w:t>.</w:t>
      </w:r>
      <w:r w:rsidR="008871F6" w:rsidRPr="008871F6">
        <w:rPr>
          <w:rFonts w:hint="cs"/>
          <w:color w:val="E36C0A" w:themeColor="accent6" w:themeShade="BF"/>
          <w:rtl/>
        </w:rPr>
        <w:t xml:space="preserve"> </w:t>
      </w:r>
      <w:r w:rsidR="008871F6" w:rsidRPr="00A31A43">
        <w:rPr>
          <w:rFonts w:hint="cs"/>
          <w:color w:val="E36C0A" w:themeColor="accent6" w:themeShade="BF"/>
          <w:rtl/>
        </w:rPr>
        <w:t>(וכ"פ בשו"ע)</w:t>
      </w:r>
    </w:p>
    <w:p w14:paraId="07A398C7" w14:textId="31A4FFEA" w:rsidR="00D527B4" w:rsidRDefault="00D527B4" w:rsidP="00D527B4">
      <w:pPr>
        <w:rPr>
          <w:rtl/>
        </w:rPr>
      </w:pPr>
      <w:r w:rsidRPr="00D33625">
        <w:rPr>
          <w:rFonts w:cs="Arial" w:hint="cs"/>
          <w:b/>
          <w:bCs/>
          <w:rtl/>
        </w:rPr>
        <w:t xml:space="preserve">כתובות </w:t>
      </w:r>
      <w:r w:rsidRPr="00D33625">
        <w:rPr>
          <w:rFonts w:cs="Arial" w:hint="cs"/>
          <w:b/>
          <w:bCs/>
          <w:sz w:val="16"/>
          <w:szCs w:val="16"/>
          <w:rtl/>
        </w:rPr>
        <w:t>(ר"פ הכותב)</w:t>
      </w:r>
      <w:r w:rsidRPr="00D33625">
        <w:rPr>
          <w:rFonts w:cs="Arial" w:hint="cs"/>
          <w:b/>
          <w:bCs/>
          <w:rtl/>
        </w:rPr>
        <w:t xml:space="preserve"> פג ע"א:</w:t>
      </w:r>
      <w:r>
        <w:rPr>
          <w:rFonts w:cs="Arial" w:hint="cs"/>
          <w:rtl/>
        </w:rPr>
        <w:t xml:space="preserve"> </w:t>
      </w:r>
      <w:r w:rsidRPr="00D33625">
        <w:rPr>
          <w:rFonts w:cs="Arial"/>
          <w:u w:val="double"/>
          <w:rtl/>
        </w:rPr>
        <w:t>מתני'</w:t>
      </w:r>
      <w:r>
        <w:rPr>
          <w:rFonts w:cs="Arial" w:hint="cs"/>
          <w:rtl/>
        </w:rPr>
        <w:t>:..</w:t>
      </w:r>
      <w:r>
        <w:rPr>
          <w:rFonts w:cs="Arial"/>
          <w:rtl/>
        </w:rPr>
        <w:t>.</w:t>
      </w:r>
      <w:r w:rsidRPr="00AD43AE">
        <w:rPr>
          <w:rtl/>
        </w:rPr>
        <w:t xml:space="preserve"> </w:t>
      </w:r>
      <w:r w:rsidRPr="00D527B4">
        <w:rPr>
          <w:rFonts w:cs="Arial"/>
          <w:rtl/>
        </w:rPr>
        <w:t>כתב לה דין ודברים אין לי בנכסיך ובפירותיהן ובפירי פירותיהן בחייך ובמותך - אינו אוכל פירות בחייה, ואם מתה - אינו יורשה</w:t>
      </w:r>
      <w:r w:rsidR="00AE5B5A">
        <w:rPr>
          <w:rFonts w:cs="Arial" w:hint="cs"/>
          <w:rtl/>
        </w:rPr>
        <w:t>.</w:t>
      </w:r>
      <w:r w:rsidRPr="00D527B4">
        <w:rPr>
          <w:rFonts w:cs="Arial"/>
          <w:rtl/>
        </w:rPr>
        <w:t xml:space="preserve"> </w:t>
      </w:r>
      <w:r w:rsidRPr="00AE5B5A">
        <w:rPr>
          <w:rFonts w:cs="Arial"/>
          <w:u w:val="single"/>
          <w:rtl/>
        </w:rPr>
        <w:t>רשב"ג אומר</w:t>
      </w:r>
      <w:r w:rsidRPr="00D527B4">
        <w:rPr>
          <w:rFonts w:cs="Arial"/>
          <w:rtl/>
        </w:rPr>
        <w:t>: אם מתה - יירשנה, מפני שמתנה על מה שכתוב בתורה, וכל המתנה על מה שכתוב בתורה - תנאו בטל.</w:t>
      </w:r>
      <w:r w:rsidR="000E0B96">
        <w:rPr>
          <w:rFonts w:hint="cs"/>
          <w:rtl/>
        </w:rPr>
        <w:t xml:space="preserve">      </w:t>
      </w:r>
      <w:r w:rsidR="000E0B96" w:rsidRPr="000E0B96">
        <w:rPr>
          <w:rFonts w:hint="cs"/>
          <w:u w:val="double"/>
          <w:rtl/>
        </w:rPr>
        <w:t>גמ'</w:t>
      </w:r>
      <w:r w:rsidR="000E0B96" w:rsidRPr="000E0B96">
        <w:rPr>
          <w:rFonts w:hint="cs"/>
          <w:sz w:val="14"/>
          <w:szCs w:val="14"/>
          <w:u w:val="double"/>
          <w:rtl/>
        </w:rPr>
        <w:t>(פג:)</w:t>
      </w:r>
      <w:r w:rsidR="000E0B96" w:rsidRPr="000E0B96">
        <w:rPr>
          <w:rFonts w:hint="cs"/>
          <w:u w:val="double"/>
          <w:rtl/>
        </w:rPr>
        <w:t>:</w:t>
      </w:r>
      <w:r w:rsidR="000E0B96">
        <w:rPr>
          <w:rFonts w:hint="cs"/>
          <w:rtl/>
        </w:rPr>
        <w:t xml:space="preserve"> </w:t>
      </w:r>
      <w:r w:rsidR="000E0B96" w:rsidRPr="000E0B96">
        <w:rPr>
          <w:rFonts w:cs="Arial"/>
          <w:rtl/>
        </w:rPr>
        <w:t xml:space="preserve">רבן שמעון בן גמליאל אומר כו'. </w:t>
      </w:r>
      <w:r w:rsidR="000E0B96" w:rsidRPr="000E0B96">
        <w:rPr>
          <w:rFonts w:cs="Arial"/>
          <w:u w:val="single"/>
          <w:rtl/>
        </w:rPr>
        <w:t>אמר רב</w:t>
      </w:r>
      <w:r w:rsidR="000E0B96" w:rsidRPr="000E0B96">
        <w:rPr>
          <w:rFonts w:cs="Arial"/>
          <w:rtl/>
        </w:rPr>
        <w:t>: הלכה כרבן שמעון בן גמליאל ולא מטעמיה.</w:t>
      </w:r>
      <w:r w:rsidR="00504E3C" w:rsidRPr="00504E3C">
        <w:rPr>
          <w:rtl/>
        </w:rPr>
        <w:t xml:space="preserve"> </w:t>
      </w:r>
      <w:r w:rsidR="00504E3C" w:rsidRPr="00504E3C">
        <w:rPr>
          <w:rFonts w:cs="Arial"/>
          <w:rtl/>
        </w:rPr>
        <w:t>מאי הלכה כרבן שמעון בן גמליאל ולא מטעמיה?</w:t>
      </w:r>
      <w:r w:rsidR="00504E3C">
        <w:rPr>
          <w:rFonts w:cs="Arial" w:hint="cs"/>
          <w:rtl/>
        </w:rPr>
        <w:t>.</w:t>
      </w:r>
      <w:r w:rsidR="00504E3C">
        <w:rPr>
          <w:rFonts w:hint="cs"/>
          <w:rtl/>
        </w:rPr>
        <w:t>..</w:t>
      </w:r>
      <w:r w:rsidR="00504E3C" w:rsidRPr="00504E3C">
        <w:rPr>
          <w:rtl/>
        </w:rPr>
        <w:t xml:space="preserve"> </w:t>
      </w:r>
      <w:r w:rsidR="00504E3C">
        <w:rPr>
          <w:rFonts w:hint="cs"/>
          <w:sz w:val="14"/>
          <w:szCs w:val="14"/>
          <w:rtl/>
        </w:rPr>
        <w:t xml:space="preserve">(פד.) </w:t>
      </w:r>
      <w:r w:rsidR="00504E3C" w:rsidRPr="00504E3C">
        <w:rPr>
          <w:rFonts w:cs="Arial"/>
          <w:rtl/>
        </w:rPr>
        <w:t>הלכה כרבן שמעון בן גמליאל, דאמר: אם מתה - יירשנה, ולאו מטעמיה, דאילו רבן שמעון בן גמליאל סבר: ירושת הבעל דאורייתא, וכל המתנה על מה שכתוב בתורה - תנאו בטל, ורב סבר: ירושת הבעל דרבנן, וחכמים עשו חיזוק לדבריהם כשל תורה.</w:t>
      </w:r>
      <w:r w:rsidR="00BA16CC" w:rsidRPr="00BA16CC">
        <w:rPr>
          <w:rFonts w:cs="Arial" w:hint="cs"/>
          <w:sz w:val="16"/>
          <w:szCs w:val="16"/>
          <w:rtl/>
        </w:rPr>
        <w:t xml:space="preserve"> </w:t>
      </w:r>
      <w:r w:rsidR="00BA16CC">
        <w:rPr>
          <w:rFonts w:cs="Arial" w:hint="cs"/>
          <w:sz w:val="16"/>
          <w:szCs w:val="16"/>
          <w:rtl/>
        </w:rPr>
        <w:t>(</w:t>
      </w:r>
      <w:r w:rsidR="00BA16CC" w:rsidRPr="00BA16CC">
        <w:rPr>
          <w:rFonts w:cs="Arial"/>
          <w:sz w:val="16"/>
          <w:szCs w:val="16"/>
          <w:rtl/>
        </w:rPr>
        <w:t>וכתב הרי"ף (מב.) ולית הלכתא כוותיה</w:t>
      </w:r>
      <w:r w:rsidR="00892471">
        <w:rPr>
          <w:rFonts w:cs="Arial" w:hint="cs"/>
          <w:sz w:val="16"/>
          <w:szCs w:val="16"/>
          <w:rtl/>
        </w:rPr>
        <w:t>,</w:t>
      </w:r>
      <w:r w:rsidR="00BA16CC" w:rsidRPr="00BA16CC">
        <w:rPr>
          <w:rFonts w:cs="Arial"/>
          <w:sz w:val="16"/>
          <w:szCs w:val="16"/>
          <w:rtl/>
        </w:rPr>
        <w:t xml:space="preserve"> דקיי</w:t>
      </w:r>
      <w:r w:rsidR="00892471">
        <w:rPr>
          <w:rFonts w:cs="Arial" w:hint="cs"/>
          <w:sz w:val="16"/>
          <w:szCs w:val="16"/>
          <w:rtl/>
        </w:rPr>
        <w:t>"</w:t>
      </w:r>
      <w:r w:rsidR="00BA16CC" w:rsidRPr="00BA16CC">
        <w:rPr>
          <w:rFonts w:cs="Arial"/>
          <w:sz w:val="16"/>
          <w:szCs w:val="16"/>
          <w:rtl/>
        </w:rPr>
        <w:t>ל דבר שבממון תנאו קיים. וכתב הר"ן (מב. דיבור ראשון) שטעמו משום דרב סבר דמתנה על מה שכתוב בתורה תנאו בטל</w:t>
      </w:r>
      <w:r w:rsidR="00892471">
        <w:rPr>
          <w:rFonts w:cs="Arial" w:hint="cs"/>
          <w:sz w:val="16"/>
          <w:szCs w:val="16"/>
          <w:rtl/>
        </w:rPr>
        <w:t>,</w:t>
      </w:r>
      <w:r w:rsidR="00BA16CC" w:rsidRPr="00BA16CC">
        <w:rPr>
          <w:rFonts w:cs="Arial"/>
          <w:sz w:val="16"/>
          <w:szCs w:val="16"/>
          <w:rtl/>
        </w:rPr>
        <w:t xml:space="preserve"> ואע</w:t>
      </w:r>
      <w:r w:rsidR="00BA16CC">
        <w:rPr>
          <w:rFonts w:cs="Arial" w:hint="cs"/>
          <w:sz w:val="16"/>
          <w:szCs w:val="16"/>
          <w:rtl/>
        </w:rPr>
        <w:t>"</w:t>
      </w:r>
      <w:r w:rsidR="00BA16CC" w:rsidRPr="00BA16CC">
        <w:rPr>
          <w:rFonts w:cs="Arial"/>
          <w:sz w:val="16"/>
          <w:szCs w:val="16"/>
          <w:rtl/>
        </w:rPr>
        <w:t>ג דירושת הבעל דרבנן חכמים עשו חיזוק לדבריהם כשל תורה כדאיתא בגמרא (פד.)</w:t>
      </w:r>
      <w:r w:rsidR="00BA16CC" w:rsidRPr="00BA16CC">
        <w:rPr>
          <w:rFonts w:cs="Arial" w:hint="cs"/>
          <w:sz w:val="16"/>
          <w:szCs w:val="16"/>
          <w:rtl/>
        </w:rPr>
        <w:t>,</w:t>
      </w:r>
      <w:r w:rsidR="00BA16CC" w:rsidRPr="00BA16CC">
        <w:rPr>
          <w:rFonts w:cs="Arial"/>
          <w:sz w:val="16"/>
          <w:szCs w:val="16"/>
          <w:rtl/>
        </w:rPr>
        <w:t xml:space="preserve"> אבל אנן הא קיי"ל כרבי יהודה דאמר (נו. וש"נ) דמתנה על מה שכתוב בתורה בדבר שבממון תנאו קיים</w:t>
      </w:r>
      <w:r w:rsidR="00BA16CC" w:rsidRPr="00BA16CC">
        <w:rPr>
          <w:rFonts w:cs="Arial" w:hint="cs"/>
          <w:sz w:val="16"/>
          <w:szCs w:val="16"/>
          <w:rtl/>
        </w:rPr>
        <w:t>,</w:t>
      </w:r>
      <w:r w:rsidR="00BA16CC" w:rsidRPr="00BA16CC">
        <w:rPr>
          <w:rFonts w:cs="Arial"/>
          <w:sz w:val="16"/>
          <w:szCs w:val="16"/>
          <w:rtl/>
        </w:rPr>
        <w:t xml:space="preserve"> הילכך ליתא לדרב</w:t>
      </w:r>
      <w:r w:rsidR="00BA16CC" w:rsidRPr="00BA16CC">
        <w:rPr>
          <w:rFonts w:cs="Arial" w:hint="cs"/>
          <w:sz w:val="16"/>
          <w:szCs w:val="16"/>
          <w:rtl/>
        </w:rPr>
        <w:t>.</w:t>
      </w:r>
      <w:r w:rsidR="00BA16CC" w:rsidRPr="00BA16CC">
        <w:rPr>
          <w:rFonts w:cs="Arial"/>
          <w:sz w:val="16"/>
          <w:szCs w:val="16"/>
          <w:rtl/>
        </w:rPr>
        <w:t xml:space="preserve"> וכן דעת הרמב"ם בפכ"ג מהל</w:t>
      </w:r>
      <w:r w:rsidR="00BA16CC">
        <w:rPr>
          <w:rFonts w:cs="Arial" w:hint="cs"/>
          <w:sz w:val="16"/>
          <w:szCs w:val="16"/>
          <w:rtl/>
        </w:rPr>
        <w:t>'</w:t>
      </w:r>
      <w:r w:rsidR="00BA16CC" w:rsidRPr="00BA16CC">
        <w:rPr>
          <w:rFonts w:cs="Arial"/>
          <w:sz w:val="16"/>
          <w:szCs w:val="16"/>
          <w:rtl/>
        </w:rPr>
        <w:t xml:space="preserve"> אישות</w:t>
      </w:r>
      <w:r w:rsidR="00BA16CC" w:rsidRPr="00BA16CC">
        <w:rPr>
          <w:rFonts w:cs="Arial" w:hint="cs"/>
          <w:sz w:val="16"/>
          <w:szCs w:val="16"/>
          <w:rtl/>
        </w:rPr>
        <w:t>.</w:t>
      </w:r>
      <w:r w:rsidR="00BA16CC" w:rsidRPr="00BA16CC">
        <w:rPr>
          <w:rFonts w:cs="Arial"/>
          <w:sz w:val="16"/>
          <w:szCs w:val="16"/>
          <w:rtl/>
        </w:rPr>
        <w:t xml:space="preserve"> אבל ר"ח פסק כרשב"ג ולאו מטעמיה</w:t>
      </w:r>
      <w:r w:rsidR="00E223D9">
        <w:rPr>
          <w:rFonts w:cs="Arial" w:hint="cs"/>
          <w:sz w:val="16"/>
          <w:szCs w:val="16"/>
          <w:rtl/>
        </w:rPr>
        <w:t>,</w:t>
      </w:r>
      <w:r w:rsidR="00BA16CC" w:rsidRPr="00BA16CC">
        <w:rPr>
          <w:rFonts w:cs="Arial"/>
          <w:sz w:val="16"/>
          <w:szCs w:val="16"/>
          <w:rtl/>
        </w:rPr>
        <w:t xml:space="preserve"> אלא משום דהוי כמתנה על דבר שלא בא לעולם</w:t>
      </w:r>
      <w:r w:rsidR="00BA16CC" w:rsidRPr="00BA16CC">
        <w:rPr>
          <w:rFonts w:cs="Arial" w:hint="cs"/>
          <w:sz w:val="16"/>
          <w:szCs w:val="16"/>
          <w:rtl/>
        </w:rPr>
        <w:t>.</w:t>
      </w:r>
      <w:r w:rsidR="00BA16CC" w:rsidRPr="00BA16CC">
        <w:rPr>
          <w:rFonts w:cs="Arial"/>
          <w:sz w:val="16"/>
          <w:szCs w:val="16"/>
          <w:rtl/>
        </w:rPr>
        <w:t xml:space="preserve"> והביא ראיה מהירושלמי (כתובות פ"ט ה"א)</w:t>
      </w:r>
      <w:r w:rsidR="00BA16CC" w:rsidRPr="00BA16CC">
        <w:rPr>
          <w:rFonts w:cs="Arial" w:hint="cs"/>
          <w:sz w:val="16"/>
          <w:szCs w:val="16"/>
          <w:rtl/>
        </w:rPr>
        <w:t>.</w:t>
      </w:r>
      <w:r w:rsidR="00BA16CC" w:rsidRPr="00BA16CC">
        <w:rPr>
          <w:rFonts w:cs="Arial"/>
          <w:sz w:val="16"/>
          <w:szCs w:val="16"/>
          <w:rtl/>
        </w:rPr>
        <w:t xml:space="preserve"> והאריך הר"ן בזה ובסוף דבריו כתב</w:t>
      </w:r>
      <w:r w:rsidR="00BA16CC" w:rsidRPr="00BA16CC">
        <w:rPr>
          <w:rFonts w:cs="Arial" w:hint="cs"/>
          <w:sz w:val="16"/>
          <w:szCs w:val="16"/>
          <w:rtl/>
        </w:rPr>
        <w:t>-</w:t>
      </w:r>
      <w:r w:rsidR="00BA16CC" w:rsidRPr="00BA16CC">
        <w:rPr>
          <w:rFonts w:cs="Arial"/>
          <w:sz w:val="16"/>
          <w:szCs w:val="16"/>
          <w:rtl/>
        </w:rPr>
        <w:t xml:space="preserve"> עיקר הפסק כדברי הרי"ף דלא קיי"ל כרשב"ג</w:t>
      </w:r>
      <w:r w:rsidR="00BA16CC" w:rsidRPr="00BA16CC">
        <w:rPr>
          <w:rFonts w:cs="Arial" w:hint="cs"/>
          <w:sz w:val="16"/>
          <w:szCs w:val="16"/>
          <w:rtl/>
        </w:rPr>
        <w:t>.</w:t>
      </w:r>
      <w:r w:rsidR="00BA16CC" w:rsidRPr="00BA16CC">
        <w:rPr>
          <w:rFonts w:cs="Arial"/>
          <w:sz w:val="16"/>
          <w:szCs w:val="16"/>
          <w:rtl/>
        </w:rPr>
        <w:t xml:space="preserve"> והא דאיתמר בירושלמי אין מיתה בלא בני וכו' משכחת לה בכותב לה ועודה ארוסה</w:t>
      </w:r>
      <w:r w:rsidR="00BA16CC" w:rsidRPr="00BA16CC">
        <w:rPr>
          <w:rFonts w:cs="Arial" w:hint="cs"/>
          <w:sz w:val="16"/>
          <w:szCs w:val="16"/>
          <w:rtl/>
        </w:rPr>
        <w:t>.</w:t>
      </w:r>
      <w:r w:rsidR="00BA16CC" w:rsidRPr="00BA16CC">
        <w:rPr>
          <w:rFonts w:cs="Arial"/>
          <w:sz w:val="16"/>
          <w:szCs w:val="16"/>
          <w:rtl/>
        </w:rPr>
        <w:t xml:space="preserve"> אבל לאחר שנישאת לא</w:t>
      </w:r>
      <w:r w:rsidR="00BA16CC" w:rsidRPr="00BA16CC">
        <w:rPr>
          <w:rFonts w:cs="Arial" w:hint="cs"/>
          <w:sz w:val="16"/>
          <w:szCs w:val="16"/>
          <w:rtl/>
        </w:rPr>
        <w:t>,</w:t>
      </w:r>
      <w:r w:rsidR="00BA16CC" w:rsidRPr="00BA16CC">
        <w:rPr>
          <w:rFonts w:cs="Arial"/>
          <w:sz w:val="16"/>
          <w:szCs w:val="16"/>
          <w:rtl/>
        </w:rPr>
        <w:t xml:space="preserve"> אא</w:t>
      </w:r>
      <w:r w:rsidR="00BA16CC">
        <w:rPr>
          <w:rFonts w:cs="Arial" w:hint="cs"/>
          <w:sz w:val="16"/>
          <w:szCs w:val="16"/>
          <w:rtl/>
        </w:rPr>
        <w:t>"</w:t>
      </w:r>
      <w:r w:rsidR="00BA16CC" w:rsidRPr="00BA16CC">
        <w:rPr>
          <w:rFonts w:cs="Arial"/>
          <w:sz w:val="16"/>
          <w:szCs w:val="16"/>
          <w:rtl/>
        </w:rPr>
        <w:t>כ מחייב עצמו להחזיר ליורשים מה שירש ממנה בכה"ג ודאי מהני עכ"ל</w:t>
      </w:r>
      <w:r w:rsidR="00C82F92">
        <w:rPr>
          <w:rFonts w:hint="cs"/>
          <w:color w:val="00B0F0"/>
          <w:sz w:val="16"/>
          <w:szCs w:val="16"/>
          <w:rtl/>
        </w:rPr>
        <w:t xml:space="preserve">. </w:t>
      </w:r>
      <w:r w:rsidR="00C82F92" w:rsidRPr="00C82F92">
        <w:rPr>
          <w:rFonts w:hint="cs"/>
          <w:color w:val="00B0F0"/>
          <w:sz w:val="16"/>
          <w:szCs w:val="16"/>
          <w:rtl/>
        </w:rPr>
        <w:t>(וכ"פ הרמ"א)</w:t>
      </w:r>
      <w:r w:rsidR="00BA16CC" w:rsidRPr="00BA16CC">
        <w:rPr>
          <w:rFonts w:cs="Arial"/>
          <w:sz w:val="16"/>
          <w:szCs w:val="16"/>
          <w:rtl/>
        </w:rPr>
        <w:t>. ודברי הריב"ש בזה בתשוב' סימן ס"ד וסימן ק"ב. והרא"ש (שם) גם כן כתב אחר פסק הרי"ף</w:t>
      </w:r>
      <w:r w:rsidR="00BA16CC">
        <w:rPr>
          <w:rFonts w:cs="Arial" w:hint="cs"/>
          <w:sz w:val="16"/>
          <w:szCs w:val="16"/>
          <w:rtl/>
        </w:rPr>
        <w:t>,</w:t>
      </w:r>
      <w:r w:rsidR="00BA16CC" w:rsidRPr="00BA16CC">
        <w:rPr>
          <w:rFonts w:cs="Arial"/>
          <w:sz w:val="16"/>
          <w:szCs w:val="16"/>
          <w:rtl/>
        </w:rPr>
        <w:t xml:space="preserve"> שר"י ור"ח ובה"ג פסקו כרשב"ג</w:t>
      </w:r>
      <w:r w:rsidR="00BA16CC">
        <w:rPr>
          <w:rFonts w:cs="Arial" w:hint="cs"/>
          <w:sz w:val="16"/>
          <w:szCs w:val="16"/>
          <w:rtl/>
        </w:rPr>
        <w:t>.</w:t>
      </w:r>
      <w:r w:rsidR="00BA16CC" w:rsidRPr="00BA16CC">
        <w:rPr>
          <w:rFonts w:cs="Arial"/>
          <w:sz w:val="16"/>
          <w:szCs w:val="16"/>
          <w:rtl/>
        </w:rPr>
        <w:t xml:space="preserve"> ונשא ונתן בדבר</w:t>
      </w:r>
      <w:r w:rsidR="00E223D9">
        <w:rPr>
          <w:rFonts w:cs="Arial" w:hint="cs"/>
          <w:sz w:val="16"/>
          <w:szCs w:val="16"/>
          <w:rtl/>
        </w:rPr>
        <w:t>,</w:t>
      </w:r>
      <w:r w:rsidR="00BA16CC" w:rsidRPr="00BA16CC">
        <w:rPr>
          <w:rFonts w:cs="Arial"/>
          <w:sz w:val="16"/>
          <w:szCs w:val="16"/>
          <w:rtl/>
        </w:rPr>
        <w:t xml:space="preserve"> ובסוף דבריו כתב</w:t>
      </w:r>
      <w:r w:rsidR="00CF0ADE">
        <w:rPr>
          <w:rFonts w:cs="Arial" w:hint="cs"/>
          <w:sz w:val="16"/>
          <w:szCs w:val="16"/>
          <w:rtl/>
        </w:rPr>
        <w:t>:</w:t>
      </w:r>
      <w:r w:rsidR="00BA16CC" w:rsidRPr="00BA16CC">
        <w:rPr>
          <w:rFonts w:cs="Arial"/>
          <w:sz w:val="16"/>
          <w:szCs w:val="16"/>
          <w:rtl/>
        </w:rPr>
        <w:t xml:space="preserve"> וכיון דליכא ראיה ברורה אית לן למימר כל תנאי שבממון קיים</w:t>
      </w:r>
      <w:r w:rsidR="00E223D9">
        <w:rPr>
          <w:rFonts w:cs="Arial" w:hint="cs"/>
          <w:sz w:val="16"/>
          <w:szCs w:val="16"/>
          <w:rtl/>
        </w:rPr>
        <w:t>.</w:t>
      </w:r>
      <w:r w:rsidR="00BA16CC" w:rsidRPr="00BA16CC">
        <w:rPr>
          <w:rFonts w:cs="Arial"/>
          <w:sz w:val="16"/>
          <w:szCs w:val="16"/>
          <w:rtl/>
        </w:rPr>
        <w:t xml:space="preserve"> ע"כ</w:t>
      </w:r>
      <w:r w:rsidR="00E223D9">
        <w:rPr>
          <w:rFonts w:cs="Arial" w:hint="cs"/>
          <w:sz w:val="16"/>
          <w:szCs w:val="16"/>
          <w:rtl/>
        </w:rPr>
        <w:t>.</w:t>
      </w:r>
      <w:r w:rsidR="00BA16CC" w:rsidRPr="00BA16CC">
        <w:rPr>
          <w:rFonts w:cs="Arial"/>
          <w:sz w:val="16"/>
          <w:szCs w:val="16"/>
          <w:rtl/>
        </w:rPr>
        <w:t xml:space="preserve"> וכבר כתבתי כל זה בארוכה בסוף סימן ס"ט</w:t>
      </w:r>
      <w:r w:rsidR="00BA16CC">
        <w:rPr>
          <w:rFonts w:cs="Arial" w:hint="cs"/>
          <w:sz w:val="16"/>
          <w:szCs w:val="16"/>
          <w:rtl/>
        </w:rPr>
        <w:t>, ב"י</w:t>
      </w:r>
      <w:r w:rsidR="00BA16CC" w:rsidRPr="00BA16CC">
        <w:rPr>
          <w:rStyle w:val="a7"/>
          <w:sz w:val="16"/>
          <w:szCs w:val="16"/>
          <w:rtl/>
        </w:rPr>
        <w:footnoteReference w:id="1510"/>
      </w:r>
      <w:r w:rsidR="00BA16CC">
        <w:rPr>
          <w:rFonts w:cs="Arial" w:hint="cs"/>
          <w:sz w:val="16"/>
          <w:szCs w:val="16"/>
          <w:rtl/>
        </w:rPr>
        <w:t>)</w:t>
      </w:r>
    </w:p>
    <w:p w14:paraId="1A38E327" w14:textId="7599B572" w:rsidR="00504E3C" w:rsidRDefault="00504E3C" w:rsidP="00D527B4">
      <w:pPr>
        <w:rPr>
          <w:rtl/>
        </w:rPr>
      </w:pPr>
      <w:r w:rsidRPr="00D33625">
        <w:rPr>
          <w:rFonts w:cs="Arial" w:hint="cs"/>
          <w:b/>
          <w:bCs/>
          <w:rtl/>
        </w:rPr>
        <w:t xml:space="preserve">כתובות </w:t>
      </w:r>
      <w:r w:rsidRPr="00D33625">
        <w:rPr>
          <w:rFonts w:cs="Arial" w:hint="cs"/>
          <w:b/>
          <w:bCs/>
          <w:sz w:val="16"/>
          <w:szCs w:val="16"/>
          <w:rtl/>
        </w:rPr>
        <w:t>(</w:t>
      </w:r>
      <w:r>
        <w:rPr>
          <w:rFonts w:cs="Arial" w:hint="cs"/>
          <w:b/>
          <w:bCs/>
          <w:sz w:val="16"/>
          <w:szCs w:val="16"/>
          <w:rtl/>
        </w:rPr>
        <w:t>פ'</w:t>
      </w:r>
      <w:r w:rsidRPr="00D33625">
        <w:rPr>
          <w:rFonts w:cs="Arial" w:hint="cs"/>
          <w:b/>
          <w:bCs/>
          <w:sz w:val="16"/>
          <w:szCs w:val="16"/>
          <w:rtl/>
        </w:rPr>
        <w:t xml:space="preserve"> </w:t>
      </w:r>
      <w:r>
        <w:rPr>
          <w:rFonts w:cs="Arial" w:hint="cs"/>
          <w:b/>
          <w:bCs/>
          <w:sz w:val="16"/>
          <w:szCs w:val="16"/>
          <w:rtl/>
        </w:rPr>
        <w:t>אע"פ</w:t>
      </w:r>
      <w:r w:rsidRPr="00D33625">
        <w:rPr>
          <w:rFonts w:cs="Arial" w:hint="cs"/>
          <w:b/>
          <w:bCs/>
          <w:sz w:val="16"/>
          <w:szCs w:val="16"/>
          <w:rtl/>
        </w:rPr>
        <w:t>)</w:t>
      </w:r>
      <w:r w:rsidRPr="00D33625">
        <w:rPr>
          <w:rFonts w:cs="Arial" w:hint="cs"/>
          <w:b/>
          <w:bCs/>
          <w:rtl/>
        </w:rPr>
        <w:t xml:space="preserve"> </w:t>
      </w:r>
      <w:r>
        <w:rPr>
          <w:rFonts w:cs="Arial" w:hint="cs"/>
          <w:b/>
          <w:bCs/>
          <w:rtl/>
        </w:rPr>
        <w:t>נו</w:t>
      </w:r>
      <w:r w:rsidRPr="00D33625">
        <w:rPr>
          <w:rFonts w:cs="Arial" w:hint="cs"/>
          <w:b/>
          <w:bCs/>
          <w:rtl/>
        </w:rPr>
        <w:t xml:space="preserve"> ע"א:</w:t>
      </w:r>
      <w:r>
        <w:rPr>
          <w:rFonts w:cs="Arial" w:hint="cs"/>
          <w:rtl/>
        </w:rPr>
        <w:t xml:space="preserve"> </w:t>
      </w:r>
      <w:r w:rsidRPr="00504E3C">
        <w:rPr>
          <w:rFonts w:cs="Arial"/>
          <w:rtl/>
        </w:rPr>
        <w:t>דבר שבממון הוא, ושמעינן ליה לר' יהודה דאמר: דבר שבממון תנאו קיים! דתניא: האומר לאשה הרי את מקודשת לי על מנת שאין ליך עלי שאר כסות ועונה - הרי זו מקודשת ותנאו בטל, דברי רבי מאיר, ר' יהודה אומר: בדבר שבממון תנאו קיים!</w:t>
      </w:r>
    </w:p>
    <w:p w14:paraId="02EE3B8D" w14:textId="0B0C419B" w:rsidR="00AE5B5A" w:rsidRPr="00AE5B5A" w:rsidRDefault="00AE5B5A" w:rsidP="00D527B4">
      <w:pPr>
        <w:rPr>
          <w:u w:val="single"/>
          <w:rtl/>
        </w:rPr>
      </w:pPr>
      <w:r w:rsidRPr="00AE5B5A">
        <w:rPr>
          <w:rFonts w:cs="Arial"/>
          <w:u w:val="single"/>
          <w:rtl/>
        </w:rPr>
        <w:t>כתב ל</w:t>
      </w:r>
      <w:r w:rsidRPr="00AE5B5A">
        <w:rPr>
          <w:rFonts w:cs="Arial" w:hint="cs"/>
          <w:u w:val="single"/>
          <w:rtl/>
        </w:rPr>
        <w:t>אשתו</w:t>
      </w:r>
      <w:r w:rsidRPr="00AE5B5A">
        <w:rPr>
          <w:rFonts w:cs="Arial"/>
          <w:u w:val="single"/>
          <w:rtl/>
        </w:rPr>
        <w:t xml:space="preserve"> </w:t>
      </w:r>
      <w:r w:rsidR="00C30FD9">
        <w:rPr>
          <w:rFonts w:cs="Arial" w:hint="cs"/>
          <w:u w:val="single"/>
          <w:rtl/>
        </w:rPr>
        <w:t>"</w:t>
      </w:r>
      <w:r w:rsidRPr="00AE5B5A">
        <w:rPr>
          <w:rFonts w:cs="Arial"/>
          <w:u w:val="single"/>
          <w:rtl/>
        </w:rPr>
        <w:t>דין ודברים אין לי בנכסיך בחייך ובמותך</w:t>
      </w:r>
      <w:r w:rsidR="00C30FD9">
        <w:rPr>
          <w:rFonts w:hint="cs"/>
          <w:u w:val="single"/>
          <w:rtl/>
        </w:rPr>
        <w:t>"</w:t>
      </w:r>
      <w:r w:rsidRPr="00AE5B5A">
        <w:rPr>
          <w:rFonts w:hint="cs"/>
          <w:u w:val="single"/>
          <w:rtl/>
        </w:rPr>
        <w:t>:</w:t>
      </w:r>
    </w:p>
    <w:p w14:paraId="466071AE" w14:textId="0F668093" w:rsidR="00B15469" w:rsidRPr="00B15469" w:rsidRDefault="009629DA" w:rsidP="009000E3">
      <w:pPr>
        <w:pStyle w:val="ab"/>
        <w:numPr>
          <w:ilvl w:val="0"/>
          <w:numId w:val="55"/>
        </w:numPr>
        <w:rPr>
          <w:rFonts w:cs="Arial"/>
        </w:rPr>
      </w:pPr>
      <w:r>
        <w:rPr>
          <w:rFonts w:cs="Arial" w:hint="cs"/>
          <w:rtl/>
        </w:rPr>
        <w:lastRenderedPageBreak/>
        <w:t>רי"ף</w:t>
      </w:r>
      <w:r w:rsidR="00E13090" w:rsidRPr="00F20C9C">
        <w:rPr>
          <w:rStyle w:val="a7"/>
          <w:rFonts w:cs="Arial"/>
          <w:color w:val="000000" w:themeColor="text1"/>
          <w:rtl/>
        </w:rPr>
        <w:footnoteReference w:id="1511"/>
      </w:r>
      <w:r w:rsidR="00BA16CC">
        <w:rPr>
          <w:rFonts w:cs="Arial" w:hint="cs"/>
          <w:sz w:val="16"/>
          <w:szCs w:val="16"/>
          <w:rtl/>
        </w:rPr>
        <w:t xml:space="preserve"> </w:t>
      </w:r>
      <w:r>
        <w:rPr>
          <w:rFonts w:cs="Arial" w:hint="cs"/>
          <w:rtl/>
        </w:rPr>
        <w:t xml:space="preserve">רמב"ם </w:t>
      </w:r>
      <w:r w:rsidR="008E1FAE">
        <w:rPr>
          <w:rFonts w:cs="Arial" w:hint="cs"/>
          <w:rtl/>
        </w:rPr>
        <w:t xml:space="preserve">רמב"ן רשב"א </w:t>
      </w:r>
      <w:r>
        <w:rPr>
          <w:rFonts w:cs="Arial" w:hint="cs"/>
          <w:rtl/>
        </w:rPr>
        <w:t>רא"ש</w:t>
      </w:r>
      <w:r w:rsidR="00B15469">
        <w:rPr>
          <w:rFonts w:cs="Arial" w:hint="cs"/>
          <w:rtl/>
        </w:rPr>
        <w:t xml:space="preserve"> טור</w:t>
      </w:r>
      <w:r w:rsidR="00E223D9">
        <w:rPr>
          <w:rFonts w:cs="Arial" w:hint="cs"/>
          <w:rtl/>
        </w:rPr>
        <w:t xml:space="preserve"> ור"</w:t>
      </w:r>
      <w:r w:rsidR="008E1FAE">
        <w:rPr>
          <w:rFonts w:cs="Arial" w:hint="cs"/>
          <w:rtl/>
        </w:rPr>
        <w:t>ן</w:t>
      </w:r>
      <w:r w:rsidR="008E1FAE" w:rsidRPr="00F20C9C">
        <w:rPr>
          <w:rStyle w:val="a7"/>
          <w:rFonts w:cs="Arial"/>
          <w:color w:val="000000" w:themeColor="text1"/>
          <w:rtl/>
        </w:rPr>
        <w:footnoteReference w:id="1512"/>
      </w:r>
      <w:r w:rsidR="00B15469">
        <w:rPr>
          <w:rFonts w:cs="Arial" w:hint="cs"/>
          <w:rtl/>
        </w:rPr>
        <w:t xml:space="preserve">- </w:t>
      </w:r>
      <w:r w:rsidR="00B15469" w:rsidRPr="00B15469">
        <w:rPr>
          <w:rFonts w:cs="Arial"/>
          <w:rtl/>
        </w:rPr>
        <w:t xml:space="preserve">התנה עמה שלא יירשנה </w:t>
      </w:r>
      <w:r w:rsidR="00B15469">
        <w:rPr>
          <w:rFonts w:cs="Arial" w:hint="cs"/>
          <w:rtl/>
        </w:rPr>
        <w:t xml:space="preserve">- </w:t>
      </w:r>
      <w:r w:rsidR="00B15469" w:rsidRPr="00B15469">
        <w:rPr>
          <w:rFonts w:cs="Arial"/>
          <w:rtl/>
        </w:rPr>
        <w:t>הרי זה לא יירשנה אבל אוכל פירות בחייה</w:t>
      </w:r>
      <w:r w:rsidR="00B15469">
        <w:rPr>
          <w:rFonts w:cs="Arial" w:hint="cs"/>
          <w:rtl/>
        </w:rPr>
        <w:t xml:space="preserve">... </w:t>
      </w:r>
      <w:r w:rsidR="00B15469" w:rsidRPr="00B15469">
        <w:rPr>
          <w:rFonts w:cs="Arial"/>
          <w:rtl/>
        </w:rPr>
        <w:t>במה דברים אמורים בשהתנה עמה קודם שתנשא, שהנחלה הבאה לו לאדם שלא ממשפחתו מתנה עליה שלא יירשנה קודם שתהא ראויה לו</w:t>
      </w:r>
      <w:r w:rsidR="00B15469">
        <w:rPr>
          <w:rFonts w:cs="Arial" w:hint="cs"/>
          <w:rtl/>
        </w:rPr>
        <w:t>.</w:t>
      </w:r>
      <w:r w:rsidR="00B15469" w:rsidRPr="00B15469">
        <w:rPr>
          <w:rFonts w:cs="Arial"/>
          <w:rtl/>
        </w:rPr>
        <w:t xml:space="preserve"> אבל אם התנה עמה אחר שנישאת </w:t>
      </w:r>
      <w:r w:rsidR="00B15469">
        <w:rPr>
          <w:rFonts w:cs="Arial" w:hint="cs"/>
          <w:rtl/>
        </w:rPr>
        <w:t xml:space="preserve">- </w:t>
      </w:r>
      <w:r w:rsidR="00B15469" w:rsidRPr="00B15469">
        <w:rPr>
          <w:rFonts w:cs="Arial"/>
          <w:rtl/>
        </w:rPr>
        <w:t>תנאו בטל ויירשנה כמו שביארנו</w:t>
      </w:r>
      <w:r w:rsidR="00B15469">
        <w:rPr>
          <w:rFonts w:cs="Arial" w:hint="cs"/>
          <w:sz w:val="16"/>
          <w:szCs w:val="16"/>
          <w:rtl/>
        </w:rPr>
        <w:t xml:space="preserve"> (ל' הרמב"ם)</w:t>
      </w:r>
      <w:r w:rsidR="00B15469" w:rsidRPr="00B15469">
        <w:rPr>
          <w:rFonts w:cs="Arial"/>
          <w:rtl/>
        </w:rPr>
        <w:t>.</w:t>
      </w:r>
      <w:r w:rsidR="008871F6" w:rsidRPr="008871F6">
        <w:rPr>
          <w:rFonts w:hint="cs"/>
          <w:color w:val="E36C0A" w:themeColor="accent6" w:themeShade="BF"/>
          <w:rtl/>
        </w:rPr>
        <w:t xml:space="preserve"> </w:t>
      </w:r>
      <w:r w:rsidR="008871F6" w:rsidRPr="00A31A43">
        <w:rPr>
          <w:rFonts w:hint="cs"/>
          <w:color w:val="E36C0A" w:themeColor="accent6" w:themeShade="BF"/>
          <w:rtl/>
        </w:rPr>
        <w:t>(וכ"פ בשו"ע)</w:t>
      </w:r>
    </w:p>
    <w:p w14:paraId="7AC791C5" w14:textId="208956B2" w:rsidR="000E0B96" w:rsidRDefault="008E1FAE" w:rsidP="009000E3">
      <w:pPr>
        <w:pStyle w:val="ab"/>
        <w:numPr>
          <w:ilvl w:val="0"/>
          <w:numId w:val="55"/>
        </w:numPr>
      </w:pPr>
      <w:r>
        <w:rPr>
          <w:rFonts w:cs="Arial" w:hint="cs"/>
          <w:rtl/>
        </w:rPr>
        <w:t xml:space="preserve">בה"ג </w:t>
      </w:r>
      <w:r>
        <w:rPr>
          <w:rFonts w:cs="Arial" w:hint="cs"/>
          <w:sz w:val="16"/>
          <w:szCs w:val="16"/>
          <w:rtl/>
        </w:rPr>
        <w:t xml:space="preserve">(כ"כ הרא"ש בשמו) </w:t>
      </w:r>
      <w:r w:rsidR="000E0B96" w:rsidRPr="003171A6">
        <w:rPr>
          <w:rFonts w:cs="Arial"/>
          <w:rtl/>
        </w:rPr>
        <w:t>ר"</w:t>
      </w:r>
      <w:r w:rsidR="00892471">
        <w:rPr>
          <w:rFonts w:cs="Arial" w:hint="cs"/>
          <w:rtl/>
        </w:rPr>
        <w:t>ח</w:t>
      </w:r>
      <w:r w:rsidR="000E0B96" w:rsidRPr="003171A6">
        <w:rPr>
          <w:rFonts w:cs="Arial"/>
          <w:rtl/>
        </w:rPr>
        <w:t xml:space="preserve"> ור"י</w:t>
      </w:r>
      <w:r w:rsidR="000E0B96">
        <w:rPr>
          <w:rFonts w:cs="Arial" w:hint="cs"/>
          <w:sz w:val="16"/>
          <w:szCs w:val="16"/>
          <w:rtl/>
        </w:rPr>
        <w:t xml:space="preserve"> (כ"כ הטור בשמם)</w:t>
      </w:r>
      <w:r w:rsidR="000E0B96">
        <w:rPr>
          <w:rFonts w:cs="Arial" w:hint="cs"/>
          <w:rtl/>
        </w:rPr>
        <w:t>-</w:t>
      </w:r>
      <w:r w:rsidR="000E0B96" w:rsidRPr="003171A6">
        <w:rPr>
          <w:rFonts w:cs="Arial"/>
          <w:rtl/>
        </w:rPr>
        <w:t xml:space="preserve"> אין תנאי מועיל לבטל ירושה שהיא דאורייתא</w:t>
      </w:r>
      <w:r>
        <w:rPr>
          <w:rStyle w:val="a7"/>
          <w:rFonts w:cs="Arial"/>
          <w:rtl/>
        </w:rPr>
        <w:footnoteReference w:id="1513"/>
      </w:r>
      <w:r w:rsidR="000E0B96">
        <w:rPr>
          <w:rFonts w:cs="Arial" w:hint="cs"/>
          <w:rtl/>
        </w:rPr>
        <w:t>,</w:t>
      </w:r>
      <w:r w:rsidR="000E0B96" w:rsidRPr="003171A6">
        <w:rPr>
          <w:rFonts w:cs="Arial"/>
          <w:rtl/>
        </w:rPr>
        <w:t xml:space="preserve"> כרשב"ג</w:t>
      </w:r>
      <w:r w:rsidR="00E24A66" w:rsidRPr="00F20C9C">
        <w:rPr>
          <w:rStyle w:val="a7"/>
          <w:rFonts w:cs="Arial"/>
          <w:color w:val="000000" w:themeColor="text1"/>
          <w:rtl/>
        </w:rPr>
        <w:footnoteReference w:id="1514"/>
      </w:r>
      <w:r w:rsidR="000E0B96">
        <w:rPr>
          <w:rFonts w:cs="Arial" w:hint="cs"/>
          <w:rtl/>
        </w:rPr>
        <w:t>.</w:t>
      </w:r>
      <w:r w:rsidR="000E0B96" w:rsidRPr="003171A6">
        <w:rPr>
          <w:rFonts w:cs="Arial"/>
          <w:rtl/>
        </w:rPr>
        <w:t xml:space="preserve"> </w:t>
      </w:r>
    </w:p>
    <w:p w14:paraId="2BBF8E99" w14:textId="64FDF964" w:rsidR="000E0B96" w:rsidRPr="000E0B96" w:rsidRDefault="000E0B96" w:rsidP="000E0B96">
      <w:pPr>
        <w:ind w:left="360"/>
        <w:rPr>
          <w:u w:val="dotted"/>
        </w:rPr>
      </w:pPr>
      <w:r w:rsidRPr="000E0B96">
        <w:rPr>
          <w:rFonts w:hint="cs"/>
          <w:u w:val="dotted"/>
          <w:rtl/>
        </w:rPr>
        <w:t>ומה דין אם מכרה/נתנה את נכסיה בחייה:</w:t>
      </w:r>
    </w:p>
    <w:p w14:paraId="286224B6" w14:textId="41521375" w:rsidR="006948E0" w:rsidRDefault="00AE5B5A" w:rsidP="009000E3">
      <w:pPr>
        <w:pStyle w:val="ab"/>
        <w:numPr>
          <w:ilvl w:val="0"/>
          <w:numId w:val="55"/>
        </w:numPr>
        <w:rPr>
          <w:rtl/>
        </w:rPr>
      </w:pPr>
      <w:r>
        <w:rPr>
          <w:rFonts w:cs="Arial" w:hint="cs"/>
          <w:rtl/>
        </w:rPr>
        <w:t xml:space="preserve">טור- </w:t>
      </w:r>
      <w:r w:rsidR="00832F21">
        <w:rPr>
          <w:rStyle w:val="a7"/>
          <w:rFonts w:cs="Arial"/>
          <w:rtl/>
        </w:rPr>
        <w:footnoteReference w:id="1515"/>
      </w:r>
      <w:r w:rsidR="000D6E69" w:rsidRPr="003171A6">
        <w:rPr>
          <w:rFonts w:cs="Arial"/>
          <w:rtl/>
        </w:rPr>
        <w:t xml:space="preserve">אם מכרה ונתנה </w:t>
      </w:r>
      <w:r w:rsidR="00F97626">
        <w:rPr>
          <w:rFonts w:cs="Arial"/>
          <w:rtl/>
        </w:rPr>
        <w:t>-</w:t>
      </w:r>
      <w:r w:rsidR="009629DA">
        <w:rPr>
          <w:rFonts w:cs="Arial" w:hint="cs"/>
          <w:rtl/>
        </w:rPr>
        <w:t xml:space="preserve"> </w:t>
      </w:r>
      <w:r w:rsidR="000D6E69" w:rsidRPr="003171A6">
        <w:rPr>
          <w:rFonts w:cs="Arial"/>
          <w:rtl/>
        </w:rPr>
        <w:t>קיים</w:t>
      </w:r>
      <w:r w:rsidR="000E0B96" w:rsidRPr="00F20C9C">
        <w:rPr>
          <w:rStyle w:val="a7"/>
          <w:rFonts w:cs="Arial"/>
          <w:color w:val="000000" w:themeColor="text1"/>
          <w:rtl/>
        </w:rPr>
        <w:footnoteReference w:id="1516"/>
      </w:r>
      <w:r w:rsidR="003075F4">
        <w:rPr>
          <w:rFonts w:cs="Arial" w:hint="cs"/>
          <w:sz w:val="16"/>
          <w:szCs w:val="16"/>
          <w:rtl/>
        </w:rPr>
        <w:t xml:space="preserve"> (ל' הטור)</w:t>
      </w:r>
      <w:r w:rsidR="009629DA">
        <w:rPr>
          <w:rFonts w:cs="Arial" w:hint="cs"/>
          <w:rtl/>
        </w:rPr>
        <w:t>.</w:t>
      </w:r>
    </w:p>
    <w:p w14:paraId="5715C038"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002F1CA1" w14:textId="206F3A2E" w:rsidR="007A3469" w:rsidRDefault="007A3469" w:rsidP="007A3469">
      <w:pPr>
        <w:rPr>
          <w:rtl/>
        </w:rPr>
      </w:pPr>
      <w:r>
        <w:rPr>
          <w:rFonts w:cs="Arial"/>
          <w:rtl/>
        </w:rPr>
        <w:t>התנה עמה שלא יירשנה, הרי זה לא יירשנה, אבל אוכל פירות בחייה</w:t>
      </w:r>
      <w:r w:rsidR="007C5223" w:rsidRPr="00F20C9C">
        <w:rPr>
          <w:rStyle w:val="a7"/>
          <w:rFonts w:cs="Arial"/>
          <w:color w:val="000000" w:themeColor="text1"/>
          <w:rtl/>
        </w:rPr>
        <w:footnoteReference w:id="1517"/>
      </w:r>
      <w:r>
        <w:rPr>
          <w:rFonts w:cs="Arial"/>
          <w:rtl/>
        </w:rPr>
        <w:t>. וכן אם התנה עמה שאם מתה בלא בנים יחזרו הנכסים לבית אביה, הכל קיים. ב</w:t>
      </w:r>
      <w:r w:rsidR="00B15469">
        <w:rPr>
          <w:rFonts w:cs="Arial" w:hint="cs"/>
          <w:rtl/>
        </w:rPr>
        <w:t>מה דברים אמורים</w:t>
      </w:r>
      <w:r>
        <w:rPr>
          <w:rFonts w:cs="Arial"/>
          <w:rtl/>
        </w:rPr>
        <w:t>, שהתנה עמה קודם שתנשא, בעודה ארוסה, או בכותב לה בכתובתה בשעת כניסה, אבל אם התנה עמה אחר שנשאה, תנאו בטל</w:t>
      </w:r>
      <w:r w:rsidR="007C5223" w:rsidRPr="00F20C9C">
        <w:rPr>
          <w:rStyle w:val="a7"/>
          <w:rFonts w:cs="Arial"/>
          <w:color w:val="000000" w:themeColor="text1"/>
          <w:rtl/>
        </w:rPr>
        <w:footnoteReference w:id="1518"/>
      </w:r>
      <w:r>
        <w:rPr>
          <w:rFonts w:cs="Arial"/>
          <w:rtl/>
        </w:rPr>
        <w:t xml:space="preserve">, וירשנה. </w:t>
      </w:r>
      <w:r w:rsidRPr="00DA1E36">
        <w:rPr>
          <w:rFonts w:cs="Arial"/>
          <w:sz w:val="18"/>
          <w:szCs w:val="18"/>
          <w:rtl/>
        </w:rPr>
        <w:t>הגה: ועין לעיל סימן ס"ט. והא דלא מהני תנאי לאחר שנשאת, דוקא שאמר שלא יירשנה, מ"מ אם מחייב עצמו להחזיר ליורשיה מה שיורש ממנה צריך לקיים (ר"ן בשם הרמב"ן וריב"ש סי</w:t>
      </w:r>
      <w:r w:rsidR="004F3A03">
        <w:rPr>
          <w:rFonts w:cs="Arial" w:hint="cs"/>
          <w:sz w:val="18"/>
          <w:szCs w:val="18"/>
          <w:rtl/>
        </w:rPr>
        <w:t>'</w:t>
      </w:r>
      <w:r w:rsidRPr="00DA1E36">
        <w:rPr>
          <w:rFonts w:cs="Arial"/>
          <w:sz w:val="18"/>
          <w:szCs w:val="18"/>
          <w:rtl/>
        </w:rPr>
        <w:t xml:space="preserve"> צ"ד ס"ד וק"ב).</w:t>
      </w:r>
      <w:r>
        <w:rPr>
          <w:rFonts w:cs="Arial"/>
          <w:rtl/>
        </w:rPr>
        <w:t xml:space="preserve"> </w:t>
      </w:r>
    </w:p>
    <w:p w14:paraId="221FD2E4" w14:textId="77777777" w:rsidR="00DA1E36" w:rsidRDefault="00DA1E36" w:rsidP="007A3469">
      <w:pPr>
        <w:rPr>
          <w:rtl/>
        </w:rPr>
      </w:pPr>
    </w:p>
    <w:p w14:paraId="2A69F7B9" w14:textId="51391BC2" w:rsidR="007A3469" w:rsidRDefault="007A3469" w:rsidP="000F64D0">
      <w:pPr>
        <w:pStyle w:val="2"/>
        <w:rPr>
          <w:rtl/>
        </w:rPr>
      </w:pPr>
      <w:r>
        <w:rPr>
          <w:rtl/>
        </w:rPr>
        <w:t>סעיף ח</w:t>
      </w:r>
      <w:r w:rsidR="005D1457">
        <w:rPr>
          <w:rFonts w:hint="cs"/>
          <w:rtl/>
        </w:rPr>
        <w:t>:</w:t>
      </w:r>
      <w:r w:rsidR="004F3A03" w:rsidRPr="004F3A03">
        <w:rPr>
          <w:rtl/>
        </w:rPr>
        <w:t xml:space="preserve"> </w:t>
      </w:r>
      <w:r w:rsidR="004F3A03">
        <w:rPr>
          <w:rFonts w:hint="cs"/>
          <w:rtl/>
        </w:rPr>
        <w:t>כ</w:t>
      </w:r>
      <w:r w:rsidR="00291938">
        <w:rPr>
          <w:rFonts w:hint="cs"/>
          <w:rtl/>
        </w:rPr>
        <w:t>תב לה</w:t>
      </w:r>
      <w:r w:rsidR="00291938" w:rsidRPr="00291938">
        <w:rPr>
          <w:rFonts w:hint="cs"/>
          <w:rtl/>
        </w:rPr>
        <w:t xml:space="preserve"> </w:t>
      </w:r>
      <w:r w:rsidR="00291938">
        <w:rPr>
          <w:rFonts w:hint="cs"/>
          <w:rtl/>
        </w:rPr>
        <w:t>ל</w:t>
      </w:r>
      <w:r w:rsidR="00291938" w:rsidRPr="004F3A03">
        <w:rPr>
          <w:rtl/>
        </w:rPr>
        <w:t xml:space="preserve">אחר </w:t>
      </w:r>
      <w:r w:rsidR="00291938">
        <w:rPr>
          <w:rFonts w:hint="cs"/>
          <w:rtl/>
        </w:rPr>
        <w:t>ה</w:t>
      </w:r>
      <w:r w:rsidR="00291938" w:rsidRPr="004F3A03">
        <w:rPr>
          <w:rtl/>
        </w:rPr>
        <w:t>נישואין</w:t>
      </w:r>
      <w:r w:rsidR="004F3A03">
        <w:rPr>
          <w:rFonts w:hint="cs"/>
          <w:rtl/>
        </w:rPr>
        <w:t xml:space="preserve"> </w:t>
      </w:r>
      <w:r w:rsidR="00291938">
        <w:rPr>
          <w:rFonts w:hint="cs"/>
          <w:rtl/>
        </w:rPr>
        <w:t>'דו"ד אין לי בנכסיך ובפירותיהן ובפ"פ בחייך ובמותך'.</w:t>
      </w:r>
    </w:p>
    <w:p w14:paraId="0E3FAAA5" w14:textId="1529BFEE" w:rsidR="004F3A03" w:rsidRPr="004F3A03" w:rsidRDefault="004F3A03" w:rsidP="004F3A03">
      <w:pPr>
        <w:rPr>
          <w:u w:val="single"/>
          <w:rtl/>
        </w:rPr>
      </w:pPr>
      <w:r>
        <w:rPr>
          <w:rFonts w:cs="Arial" w:hint="cs"/>
          <w:u w:val="single"/>
          <w:rtl/>
        </w:rPr>
        <w:t>ה</w:t>
      </w:r>
      <w:r w:rsidRPr="004F3A03">
        <w:rPr>
          <w:rFonts w:cs="Arial"/>
          <w:u w:val="single"/>
          <w:rtl/>
        </w:rPr>
        <w:t>תנה עמה אחר נישואין שלא יהיה לו דין ודברים בנכסיה ולא בפירי פירותיהן עד עולם בחייה ובמותה</w:t>
      </w:r>
      <w:r w:rsidRPr="004F3A03">
        <w:rPr>
          <w:rFonts w:hint="cs"/>
          <w:u w:val="single"/>
          <w:rtl/>
        </w:rPr>
        <w:t>:</w:t>
      </w:r>
    </w:p>
    <w:p w14:paraId="777D00D4" w14:textId="7CD17E4D" w:rsidR="005D1457" w:rsidRPr="00E24A66" w:rsidRDefault="004F3A03" w:rsidP="009000E3">
      <w:pPr>
        <w:pStyle w:val="ab"/>
        <w:numPr>
          <w:ilvl w:val="0"/>
          <w:numId w:val="60"/>
        </w:numPr>
        <w:rPr>
          <w:rFonts w:cs="Arial"/>
          <w:rtl/>
        </w:rPr>
      </w:pPr>
      <w:r w:rsidRPr="004F3A03">
        <w:rPr>
          <w:rFonts w:cs="Arial" w:hint="cs"/>
          <w:rtl/>
        </w:rPr>
        <w:t xml:space="preserve">רמב"ם </w:t>
      </w:r>
      <w:r w:rsidRPr="004F3A03">
        <w:rPr>
          <w:rFonts w:cs="Arial" w:hint="cs"/>
          <w:sz w:val="16"/>
          <w:szCs w:val="16"/>
          <w:rtl/>
        </w:rPr>
        <w:t>(פכ"ג מאישות ה"ז)</w:t>
      </w:r>
      <w:r w:rsidRPr="004F3A03">
        <w:rPr>
          <w:rFonts w:cs="Arial" w:hint="cs"/>
          <w:rtl/>
        </w:rPr>
        <w:t xml:space="preserve">- </w:t>
      </w:r>
      <w:r w:rsidRPr="004F3A03">
        <w:rPr>
          <w:rFonts w:cs="Arial"/>
          <w:rtl/>
        </w:rPr>
        <w:t>התנה עמה אחר נישואין שלא יהיה לו דין ודברים בנכסיה ולא בפירי פירותיהן עד עולם בחייה ובמותה</w:t>
      </w:r>
      <w:r w:rsidR="007C5223" w:rsidRPr="00F20C9C">
        <w:rPr>
          <w:rStyle w:val="a7"/>
          <w:rFonts w:cs="Arial"/>
          <w:color w:val="000000" w:themeColor="text1"/>
          <w:rtl/>
        </w:rPr>
        <w:footnoteReference w:id="1519"/>
      </w:r>
      <w:r w:rsidRPr="004F3A03">
        <w:rPr>
          <w:rFonts w:cs="Arial"/>
          <w:rtl/>
        </w:rPr>
        <w:t xml:space="preserve"> </w:t>
      </w:r>
      <w:r>
        <w:rPr>
          <w:rFonts w:cs="Arial" w:hint="cs"/>
          <w:rtl/>
        </w:rPr>
        <w:t xml:space="preserve">- </w:t>
      </w:r>
      <w:r w:rsidRPr="004F3A03">
        <w:rPr>
          <w:rFonts w:cs="Arial"/>
          <w:rtl/>
        </w:rPr>
        <w:t>הרי זה אינו אוכל פירות כלל</w:t>
      </w:r>
      <w:r>
        <w:rPr>
          <w:rFonts w:cs="Arial" w:hint="cs"/>
          <w:rtl/>
        </w:rPr>
        <w:t>.</w:t>
      </w:r>
      <w:r w:rsidRPr="004F3A03">
        <w:rPr>
          <w:rFonts w:cs="Arial"/>
          <w:rtl/>
        </w:rPr>
        <w:t xml:space="preserve"> אבל אם מתה</w:t>
      </w:r>
      <w:r>
        <w:rPr>
          <w:rFonts w:cs="Arial" w:hint="cs"/>
          <w:rtl/>
        </w:rPr>
        <w:t xml:space="preserve"> -</w:t>
      </w:r>
      <w:r w:rsidRPr="004F3A03">
        <w:rPr>
          <w:rFonts w:cs="Arial"/>
          <w:rtl/>
        </w:rPr>
        <w:t xml:space="preserve"> יירשנה</w:t>
      </w:r>
      <w:r>
        <w:rPr>
          <w:rFonts w:cs="Arial" w:hint="cs"/>
          <w:rtl/>
        </w:rPr>
        <w:t>,</w:t>
      </w:r>
      <w:r w:rsidRPr="004F3A03">
        <w:rPr>
          <w:rFonts w:cs="Arial"/>
          <w:rtl/>
        </w:rPr>
        <w:t xml:space="preserve"> כמו שביארנו.</w:t>
      </w:r>
      <w:r w:rsidR="00E24A66" w:rsidRPr="008871F6">
        <w:rPr>
          <w:rFonts w:hint="cs"/>
          <w:color w:val="E36C0A" w:themeColor="accent6" w:themeShade="BF"/>
          <w:rtl/>
        </w:rPr>
        <w:t xml:space="preserve"> </w:t>
      </w:r>
      <w:r w:rsidR="00E24A66" w:rsidRPr="00A31A43">
        <w:rPr>
          <w:rFonts w:hint="cs"/>
          <w:color w:val="E36C0A" w:themeColor="accent6" w:themeShade="BF"/>
          <w:rtl/>
        </w:rPr>
        <w:t>(וכ"פ בשו"ע)</w:t>
      </w:r>
    </w:p>
    <w:p w14:paraId="13DB92B1" w14:textId="0FEE0A5E" w:rsidR="00644913" w:rsidRPr="00644913" w:rsidRDefault="00644913" w:rsidP="00644913">
      <w:pPr>
        <w:rPr>
          <w:u w:val="single"/>
        </w:rPr>
      </w:pPr>
      <w:r w:rsidRPr="00644913">
        <w:rPr>
          <w:u w:val="single"/>
          <w:rtl/>
        </w:rPr>
        <w:t>סלק עצמו מנכסי אשתו וגירשה, וחזר ונשאה סתם</w:t>
      </w:r>
      <w:r w:rsidRPr="00644913">
        <w:rPr>
          <w:rFonts w:hint="cs"/>
          <w:u w:val="single"/>
          <w:rtl/>
        </w:rPr>
        <w:t xml:space="preserve"> </w:t>
      </w:r>
      <w:r w:rsidR="00F97626">
        <w:rPr>
          <w:u w:val="single"/>
          <w:rtl/>
        </w:rPr>
        <w:t>-</w:t>
      </w:r>
      <w:r w:rsidRPr="00644913">
        <w:rPr>
          <w:rFonts w:hint="cs"/>
          <w:u w:val="single"/>
          <w:rtl/>
        </w:rPr>
        <w:t xml:space="preserve"> האם הסילוק הראשון עדיין תקף:</w:t>
      </w:r>
    </w:p>
    <w:p w14:paraId="69973CE2" w14:textId="7B71EDAD" w:rsidR="00644913" w:rsidRPr="008E1FAE" w:rsidRDefault="00644913" w:rsidP="009000E3">
      <w:pPr>
        <w:pStyle w:val="ab"/>
        <w:numPr>
          <w:ilvl w:val="0"/>
          <w:numId w:val="55"/>
        </w:numPr>
        <w:rPr>
          <w:rtl/>
        </w:rPr>
      </w:pPr>
      <w:r w:rsidRPr="008E1FAE">
        <w:rPr>
          <w:rFonts w:cs="Arial" w:hint="cs"/>
          <w:rtl/>
        </w:rPr>
        <w:t xml:space="preserve">רשב"א </w:t>
      </w:r>
      <w:r w:rsidRPr="008E1FAE">
        <w:rPr>
          <w:rFonts w:cs="Arial" w:hint="cs"/>
          <w:sz w:val="16"/>
          <w:szCs w:val="16"/>
          <w:rtl/>
        </w:rPr>
        <w:t>(</w:t>
      </w:r>
      <w:r w:rsidRPr="008E1FAE">
        <w:rPr>
          <w:rFonts w:cs="Arial"/>
          <w:sz w:val="16"/>
          <w:szCs w:val="16"/>
          <w:rtl/>
        </w:rPr>
        <w:t>סי</w:t>
      </w:r>
      <w:r w:rsidRPr="008E1FAE">
        <w:rPr>
          <w:rFonts w:cs="Arial" w:hint="cs"/>
          <w:sz w:val="16"/>
          <w:szCs w:val="16"/>
          <w:rtl/>
        </w:rPr>
        <w:t>'</w:t>
      </w:r>
      <w:r w:rsidRPr="008E1FAE">
        <w:rPr>
          <w:rFonts w:cs="Arial"/>
          <w:sz w:val="16"/>
          <w:szCs w:val="16"/>
          <w:rtl/>
        </w:rPr>
        <w:t xml:space="preserve"> תתקסב</w:t>
      </w:r>
      <w:r w:rsidRPr="008E1FAE">
        <w:rPr>
          <w:rFonts w:cs="Arial" w:hint="cs"/>
          <w:sz w:val="16"/>
          <w:szCs w:val="16"/>
          <w:rtl/>
        </w:rPr>
        <w:t>)</w:t>
      </w:r>
      <w:r w:rsidRPr="008E1FAE">
        <w:rPr>
          <w:rFonts w:cs="Arial" w:hint="cs"/>
          <w:rtl/>
        </w:rPr>
        <w:t>-</w:t>
      </w:r>
      <w:r w:rsidRPr="008E1FAE">
        <w:rPr>
          <w:rFonts w:cs="Arial"/>
          <w:rtl/>
        </w:rPr>
        <w:t xml:space="preserve"> על ראובן שכתב שיור לאשתו והערים וגירשה בו ביום והחזירה ואחר כך מתה בלא ולד והוא טוען שכיון שגירשה נתבטלו תנאים הראשונים והשיור והשיב שאין בדבריו כלום שהמגרש את אשתו והחזירה על דעת כתובה הראשונה החזירה כדתנן בסוף פרק הכותב (פט:) ואף על גב דאמר רב הונא עלה </w:t>
      </w:r>
      <w:r w:rsidRPr="008E1FAE">
        <w:rPr>
          <w:rFonts w:cs="Arial"/>
          <w:rtl/>
        </w:rPr>
        <w:lastRenderedPageBreak/>
        <w:t>(צ.) לא שאנו אלא מנה ומאתים אבל תוספת אין לה היינו דוקא במה שהוסיף לה משלו אבל מה ששייר האב ומה ששיירה האשה הרי הוא כעיקר הכתובה שהמכניס על דעת כן הכניס וכשקבל על דעת כן קבל ועוד שזה מערים הוא ושורת הדין בית דין דנין ומחייבין אותו</w:t>
      </w:r>
      <w:r w:rsidRPr="00F20C9C">
        <w:rPr>
          <w:rStyle w:val="a7"/>
          <w:rFonts w:cs="Arial"/>
          <w:color w:val="000000" w:themeColor="text1"/>
          <w:rtl/>
        </w:rPr>
        <w:footnoteReference w:id="1520"/>
      </w:r>
      <w:r w:rsidRPr="008E1FAE">
        <w:rPr>
          <w:rFonts w:cs="Arial" w:hint="cs"/>
          <w:rtl/>
        </w:rPr>
        <w:t>.</w:t>
      </w:r>
    </w:p>
    <w:p w14:paraId="787BF94F" w14:textId="77777777" w:rsidR="006D776D" w:rsidRDefault="006D776D" w:rsidP="006D776D">
      <w:pPr>
        <w:rPr>
          <w:rFonts w:cs="Arial"/>
          <w:rtl/>
        </w:rPr>
      </w:pPr>
      <w:r w:rsidRPr="003024E5">
        <w:rPr>
          <w:rFonts w:asciiTheme="minorBidi" w:hAnsiTheme="minorBidi"/>
          <w:b/>
          <w:bCs/>
          <w:color w:val="000000"/>
          <w:sz w:val="28"/>
          <w:szCs w:val="28"/>
          <w:u w:val="single"/>
          <w:rtl/>
        </w:rPr>
        <w:t>שו"ע:</w:t>
      </w:r>
    </w:p>
    <w:p w14:paraId="5B3099EB" w14:textId="3E1F2139" w:rsidR="00942887" w:rsidRDefault="007A3469" w:rsidP="00F6012F">
      <w:pPr>
        <w:rPr>
          <w:rFonts w:cs="Arial"/>
          <w:sz w:val="18"/>
          <w:szCs w:val="18"/>
          <w:rtl/>
        </w:rPr>
      </w:pPr>
      <w:r>
        <w:rPr>
          <w:rFonts w:cs="Arial"/>
          <w:rtl/>
        </w:rPr>
        <w:t>התנה עמה אחר נישואין שלא יהיו לו דין ודברים בנכסיה ולא בפירי פירותיה עד עולם בחייה ובמותה, ה</w:t>
      </w:r>
      <w:r w:rsidR="004F3A03">
        <w:rPr>
          <w:rFonts w:cs="Arial" w:hint="cs"/>
          <w:rtl/>
        </w:rPr>
        <w:t>רי זה</w:t>
      </w:r>
      <w:r>
        <w:rPr>
          <w:rFonts w:cs="Arial"/>
          <w:rtl/>
        </w:rPr>
        <w:t xml:space="preserve"> אינו אוכל פירות כלל</w:t>
      </w:r>
      <w:r w:rsidR="007C5223" w:rsidRPr="00F20C9C">
        <w:rPr>
          <w:rStyle w:val="a7"/>
          <w:rFonts w:cs="Arial"/>
          <w:color w:val="000000" w:themeColor="text1"/>
          <w:rtl/>
        </w:rPr>
        <w:footnoteReference w:id="1521"/>
      </w:r>
      <w:r>
        <w:rPr>
          <w:rFonts w:cs="Arial"/>
          <w:rtl/>
        </w:rPr>
        <w:t xml:space="preserve">, אבל אם מתה יירשנה. </w:t>
      </w:r>
      <w:r w:rsidRPr="00DA1E36">
        <w:rPr>
          <w:rFonts w:cs="Arial"/>
          <w:sz w:val="18"/>
          <w:szCs w:val="18"/>
          <w:rtl/>
        </w:rPr>
        <w:t>הגה: סלק עצמו מנכסי אשתו וגירשה, וחזר ונשאה סתם, על תנאי הראשון הוא מחזירה (רשב"א)</w:t>
      </w:r>
      <w:r w:rsidR="00392DBB">
        <w:rPr>
          <w:rFonts w:cs="Arial" w:hint="cs"/>
          <w:sz w:val="18"/>
          <w:szCs w:val="18"/>
          <w:rtl/>
        </w:rPr>
        <w:t>.</w:t>
      </w:r>
    </w:p>
    <w:p w14:paraId="729C9DEB" w14:textId="77777777" w:rsidR="00392DBB" w:rsidRDefault="00392DBB" w:rsidP="00392DBB">
      <w:pPr>
        <w:rPr>
          <w:rtl/>
        </w:rPr>
        <w:sectPr w:rsidR="00392DBB" w:rsidSect="00A347B3">
          <w:headerReference w:type="default" r:id="rId35"/>
          <w:footnotePr>
            <w:numRestart w:val="eachSect"/>
          </w:footnotePr>
          <w:pgSz w:w="11906" w:h="16838"/>
          <w:pgMar w:top="720" w:right="1134" w:bottom="720" w:left="1134" w:header="0" w:footer="0" w:gutter="0"/>
          <w:cols w:space="720"/>
          <w:bidi/>
          <w:rtlGutter/>
          <w:docGrid w:linePitch="360"/>
        </w:sectPr>
      </w:pPr>
    </w:p>
    <w:p w14:paraId="7D6323F3" w14:textId="77777777" w:rsidR="00392DBB" w:rsidRDefault="00392DBB" w:rsidP="00392DBB">
      <w:pPr>
        <w:pStyle w:val="1"/>
        <w:rPr>
          <w:rtl/>
        </w:rPr>
      </w:pPr>
      <w:r>
        <w:rPr>
          <w:rFonts w:hint="cs"/>
          <w:rtl/>
        </w:rPr>
        <w:lastRenderedPageBreak/>
        <w:t>סימן צג:</w:t>
      </w:r>
      <w:r w:rsidRPr="00C12B74">
        <w:rPr>
          <w:rtl/>
        </w:rPr>
        <w:t xml:space="preserve"> </w:t>
      </w:r>
      <w:r>
        <w:rPr>
          <w:rtl/>
        </w:rPr>
        <w:t xml:space="preserve">דין מזונות האלמנה, ובו ל"ב סעיפים. </w:t>
      </w:r>
    </w:p>
    <w:p w14:paraId="5F670A8D" w14:textId="77777777" w:rsidR="00392DBB" w:rsidRDefault="00392DBB" w:rsidP="000F64D0">
      <w:pPr>
        <w:pStyle w:val="2"/>
        <w:rPr>
          <w:rtl/>
        </w:rPr>
      </w:pPr>
      <w:r>
        <w:rPr>
          <w:rtl/>
        </w:rPr>
        <w:t>סעיף א</w:t>
      </w:r>
      <w:r>
        <w:rPr>
          <w:rFonts w:hint="cs"/>
          <w:rtl/>
        </w:rPr>
        <w:t>: מתי האשה גובה כתובתה.</w:t>
      </w:r>
    </w:p>
    <w:p w14:paraId="0F0CA502" w14:textId="77777777" w:rsidR="00392DBB" w:rsidRDefault="00392DBB" w:rsidP="00392DBB">
      <w:pPr>
        <w:rPr>
          <w:rtl/>
        </w:rPr>
      </w:pPr>
      <w:r w:rsidRPr="00F539C3">
        <w:rPr>
          <w:rFonts w:cs="Arial" w:hint="cs"/>
          <w:b/>
          <w:bCs/>
          <w:rtl/>
        </w:rPr>
        <w:t xml:space="preserve">כתובות </w:t>
      </w:r>
      <w:r>
        <w:rPr>
          <w:rFonts w:cs="Arial" w:hint="cs"/>
          <w:b/>
          <w:bCs/>
          <w:sz w:val="16"/>
          <w:szCs w:val="16"/>
          <w:rtl/>
        </w:rPr>
        <w:t>(פ' האשה שנפלו)</w:t>
      </w:r>
      <w:r>
        <w:rPr>
          <w:rFonts w:cs="Arial" w:hint="cs"/>
          <w:b/>
          <w:bCs/>
          <w:rtl/>
        </w:rPr>
        <w:t xml:space="preserve"> </w:t>
      </w:r>
      <w:r w:rsidRPr="00F539C3">
        <w:rPr>
          <w:rFonts w:cs="Arial" w:hint="cs"/>
          <w:b/>
          <w:bCs/>
          <w:rtl/>
        </w:rPr>
        <w:t>פא ע"א:</w:t>
      </w:r>
      <w:r>
        <w:rPr>
          <w:rFonts w:cs="Arial" w:hint="cs"/>
          <w:rtl/>
        </w:rPr>
        <w:t xml:space="preserve"> </w:t>
      </w:r>
      <w:r w:rsidRPr="00E21168">
        <w:rPr>
          <w:rFonts w:cs="Arial"/>
          <w:rtl/>
        </w:rPr>
        <w:t>לא ניתנה כתובה לגבות מחיים</w:t>
      </w:r>
      <w:r>
        <w:rPr>
          <w:rFonts w:cs="Arial" w:hint="cs"/>
          <w:rtl/>
        </w:rPr>
        <w:t>.</w:t>
      </w:r>
      <w:r w:rsidRPr="00F539C3">
        <w:rPr>
          <w:rFonts w:cs="Arial" w:hint="cs"/>
          <w:sz w:val="16"/>
          <w:szCs w:val="16"/>
          <w:rtl/>
        </w:rPr>
        <w:t xml:space="preserve"> (</w:t>
      </w:r>
      <w:r w:rsidRPr="00F539C3">
        <w:rPr>
          <w:rFonts w:cs="Arial"/>
          <w:sz w:val="16"/>
          <w:szCs w:val="16"/>
          <w:rtl/>
        </w:rPr>
        <w:t>מבואר בכמה דוכתי שלא ניתנה כתובה לגבות מחיים</w:t>
      </w:r>
      <w:r w:rsidRPr="00F539C3">
        <w:rPr>
          <w:rFonts w:cs="Arial" w:hint="cs"/>
          <w:sz w:val="16"/>
          <w:szCs w:val="16"/>
          <w:rtl/>
        </w:rPr>
        <w:t>, ב"י)</w:t>
      </w:r>
    </w:p>
    <w:p w14:paraId="7322F2C6" w14:textId="77777777" w:rsidR="00392DBB" w:rsidRPr="00F539C3" w:rsidRDefault="00392DBB" w:rsidP="00392DBB">
      <w:pPr>
        <w:rPr>
          <w:u w:val="single"/>
          <w:rtl/>
        </w:rPr>
      </w:pPr>
      <w:r w:rsidRPr="00F539C3">
        <w:rPr>
          <w:rFonts w:hint="cs"/>
          <w:u w:val="single"/>
          <w:rtl/>
        </w:rPr>
        <w:t>מתי האשה גובה כתובתה:</w:t>
      </w:r>
    </w:p>
    <w:p w14:paraId="1EC886D9" w14:textId="6281C9DA" w:rsidR="00392DBB" w:rsidRDefault="00392DBB" w:rsidP="009000E3">
      <w:pPr>
        <w:pStyle w:val="ab"/>
        <w:numPr>
          <w:ilvl w:val="0"/>
          <w:numId w:val="61"/>
        </w:numPr>
      </w:pPr>
      <w:r w:rsidRPr="000A1431">
        <w:rPr>
          <w:rFonts w:cs="Arial" w:hint="cs"/>
          <w:rtl/>
        </w:rPr>
        <w:t xml:space="preserve">טור- </w:t>
      </w:r>
      <w:r w:rsidRPr="000A1431">
        <w:rPr>
          <w:rFonts w:cs="Arial"/>
          <w:rtl/>
        </w:rPr>
        <w:t xml:space="preserve">מת הבעל בחיי אשתו או שגירשה </w:t>
      </w:r>
      <w:r>
        <w:rPr>
          <w:rFonts w:cs="Arial" w:hint="cs"/>
          <w:rtl/>
        </w:rPr>
        <w:t xml:space="preserve">- </w:t>
      </w:r>
      <w:r w:rsidRPr="000A1431">
        <w:rPr>
          <w:rFonts w:cs="Arial"/>
          <w:rtl/>
        </w:rPr>
        <w:t>גובה כתובתה</w:t>
      </w:r>
      <w:r>
        <w:rPr>
          <w:rFonts w:cs="Arial" w:hint="cs"/>
          <w:rtl/>
        </w:rPr>
        <w:t>,</w:t>
      </w:r>
      <w:r w:rsidRPr="000A1431">
        <w:rPr>
          <w:rFonts w:cs="Arial"/>
          <w:rtl/>
        </w:rPr>
        <w:t xml:space="preserve"> אבל לא קודם</w:t>
      </w:r>
      <w:r w:rsidR="001229C4">
        <w:rPr>
          <w:rFonts w:cs="Arial" w:hint="cs"/>
          <w:rtl/>
        </w:rPr>
        <w:t>,</w:t>
      </w:r>
      <w:r w:rsidRPr="000A1431">
        <w:rPr>
          <w:rFonts w:cs="Arial"/>
          <w:rtl/>
        </w:rPr>
        <w:t xml:space="preserve"> אע</w:t>
      </w:r>
      <w:r w:rsidR="001229C4">
        <w:rPr>
          <w:rFonts w:cs="Arial" w:hint="cs"/>
          <w:rtl/>
        </w:rPr>
        <w:t>"</w:t>
      </w:r>
      <w:r w:rsidRPr="000A1431">
        <w:rPr>
          <w:rFonts w:cs="Arial"/>
          <w:rtl/>
        </w:rPr>
        <w:t>פ שהכתובה היא כמו שטר חוב אינה נגבית בכל עת אלא לכשתתאלמן או תתגרש</w:t>
      </w:r>
      <w:r>
        <w:rPr>
          <w:rFonts w:cs="Arial" w:hint="cs"/>
          <w:rtl/>
        </w:rPr>
        <w:t>.</w:t>
      </w:r>
      <w:r>
        <w:rPr>
          <w:rFonts w:hint="cs"/>
          <w:rtl/>
        </w:rPr>
        <w:t xml:space="preserve"> </w:t>
      </w:r>
      <w:r w:rsidRPr="00E533FD">
        <w:rPr>
          <w:rFonts w:hint="cs"/>
          <w:color w:val="E36C0A" w:themeColor="accent6" w:themeShade="BF"/>
          <w:rtl/>
        </w:rPr>
        <w:t>(וכ"פ בשו"ע)</w:t>
      </w:r>
    </w:p>
    <w:p w14:paraId="0DEA027C" w14:textId="77777777" w:rsidR="00392DBB" w:rsidRPr="00E047B5" w:rsidRDefault="00392DBB" w:rsidP="00392DBB">
      <w:pPr>
        <w:ind w:left="360"/>
        <w:rPr>
          <w:u w:val="dotted"/>
          <w:rtl/>
        </w:rPr>
      </w:pPr>
      <w:r>
        <w:rPr>
          <w:rFonts w:hint="cs"/>
          <w:u w:val="dotted"/>
          <w:rtl/>
        </w:rPr>
        <w:t>ומה הדין באשה שאינה יכולה להנשא</w:t>
      </w:r>
      <w:r w:rsidRPr="00E047B5">
        <w:rPr>
          <w:rFonts w:hint="cs"/>
          <w:sz w:val="16"/>
          <w:szCs w:val="16"/>
          <w:u w:val="dotted"/>
          <w:rtl/>
        </w:rPr>
        <w:t xml:space="preserve"> (כגון שהיא עגונה או צריכה חליצה מספק</w:t>
      </w:r>
      <w:r>
        <w:rPr>
          <w:rFonts w:hint="cs"/>
          <w:sz w:val="16"/>
          <w:szCs w:val="16"/>
          <w:u w:val="dotted"/>
          <w:rtl/>
        </w:rPr>
        <w:t xml:space="preserve"> וכדו'</w:t>
      </w:r>
      <w:r w:rsidRPr="00E047B5">
        <w:rPr>
          <w:rFonts w:hint="cs"/>
          <w:sz w:val="16"/>
          <w:szCs w:val="16"/>
          <w:u w:val="dotted"/>
          <w:rtl/>
        </w:rPr>
        <w:t>)</w:t>
      </w:r>
      <w:r w:rsidRPr="00E047B5">
        <w:rPr>
          <w:rFonts w:hint="cs"/>
          <w:u w:val="dotted"/>
          <w:rtl/>
        </w:rPr>
        <w:t>:</w:t>
      </w:r>
      <w:r w:rsidRPr="00E047B5">
        <w:rPr>
          <w:rFonts w:cs="Arial"/>
          <w:sz w:val="16"/>
          <w:szCs w:val="16"/>
          <w:rtl/>
        </w:rPr>
        <w:t xml:space="preserve"> </w:t>
      </w:r>
    </w:p>
    <w:p w14:paraId="656E05BE" w14:textId="77777777" w:rsidR="00392DBB" w:rsidRPr="00F539C3" w:rsidRDefault="00392DBB" w:rsidP="009000E3">
      <w:pPr>
        <w:pStyle w:val="ab"/>
        <w:numPr>
          <w:ilvl w:val="0"/>
          <w:numId w:val="61"/>
        </w:numPr>
      </w:pPr>
      <w:r>
        <w:rPr>
          <w:rFonts w:cs="Arial" w:hint="cs"/>
          <w:rtl/>
        </w:rPr>
        <w:t xml:space="preserve">דרכ"מ </w:t>
      </w:r>
      <w:r>
        <w:rPr>
          <w:rFonts w:cs="Arial" w:hint="cs"/>
          <w:sz w:val="16"/>
          <w:szCs w:val="16"/>
          <w:rtl/>
        </w:rPr>
        <w:t>(אות א)</w:t>
      </w:r>
      <w:r>
        <w:rPr>
          <w:rFonts w:cs="Arial" w:hint="cs"/>
          <w:rtl/>
        </w:rPr>
        <w:t xml:space="preserve">- </w:t>
      </w:r>
      <w:r w:rsidRPr="00554FA8">
        <w:rPr>
          <w:rFonts w:cs="Arial"/>
          <w:rtl/>
        </w:rPr>
        <w:t>משמע דאפילו אינה עדיין מותרת לינשא אפילו הכי יש לה כתובה מיד</w:t>
      </w:r>
      <w:r>
        <w:rPr>
          <w:rFonts w:cs="Arial" w:hint="cs"/>
          <w:rtl/>
        </w:rPr>
        <w:t>.</w:t>
      </w:r>
      <w:r w:rsidRPr="00554FA8">
        <w:rPr>
          <w:rFonts w:cs="Arial"/>
          <w:rtl/>
        </w:rPr>
        <w:t xml:space="preserve"> וכ"כ הרשב"א </w:t>
      </w:r>
      <w:r w:rsidRPr="00256FF8">
        <w:rPr>
          <w:rFonts w:cs="Arial"/>
          <w:sz w:val="16"/>
          <w:szCs w:val="16"/>
          <w:rtl/>
        </w:rPr>
        <w:t>(ח"א סי</w:t>
      </w:r>
      <w:r w:rsidRPr="00256FF8">
        <w:rPr>
          <w:rFonts w:cs="Arial" w:hint="cs"/>
          <w:sz w:val="16"/>
          <w:szCs w:val="16"/>
          <w:rtl/>
        </w:rPr>
        <w:t>'</w:t>
      </w:r>
      <w:r w:rsidRPr="00256FF8">
        <w:rPr>
          <w:rFonts w:cs="Arial"/>
          <w:sz w:val="16"/>
          <w:szCs w:val="16"/>
          <w:rtl/>
        </w:rPr>
        <w:t xml:space="preserve"> תשה</w:t>
      </w:r>
      <w:r w:rsidRPr="00256FF8">
        <w:rPr>
          <w:rFonts w:cs="Arial" w:hint="cs"/>
          <w:sz w:val="16"/>
          <w:szCs w:val="16"/>
          <w:rtl/>
        </w:rPr>
        <w:t>)</w:t>
      </w:r>
      <w:r w:rsidRPr="00256FF8">
        <w:rPr>
          <w:rFonts w:cs="Arial"/>
          <w:sz w:val="16"/>
          <w:szCs w:val="16"/>
          <w:rtl/>
        </w:rPr>
        <w:t xml:space="preserve"> </w:t>
      </w:r>
      <w:r w:rsidRPr="00554FA8">
        <w:rPr>
          <w:rFonts w:cs="Arial"/>
          <w:rtl/>
        </w:rPr>
        <w:t>דאשה הצריכה חליצה מספק ועדיין אגידא ביה מכל מקום גובה כתובתה</w:t>
      </w:r>
      <w:r>
        <w:rPr>
          <w:rStyle w:val="a7"/>
          <w:rFonts w:cs="Arial"/>
          <w:rtl/>
        </w:rPr>
        <w:footnoteReference w:id="1522"/>
      </w:r>
      <w:r>
        <w:rPr>
          <w:rFonts w:cs="Arial" w:hint="cs"/>
          <w:rtl/>
        </w:rPr>
        <w:t>.</w:t>
      </w:r>
      <w:r w:rsidRPr="00554FA8">
        <w:rPr>
          <w:rFonts w:cs="Arial"/>
          <w:rtl/>
        </w:rPr>
        <w:t xml:space="preserve"> וכן כתב הגמ</w:t>
      </w:r>
      <w:r>
        <w:rPr>
          <w:rFonts w:cs="Arial" w:hint="cs"/>
          <w:rtl/>
        </w:rPr>
        <w:t>"</w:t>
      </w:r>
      <w:r w:rsidRPr="00554FA8">
        <w:rPr>
          <w:rFonts w:cs="Arial"/>
          <w:rtl/>
        </w:rPr>
        <w:t>ר</w:t>
      </w:r>
      <w:r w:rsidRPr="00256FF8">
        <w:rPr>
          <w:rFonts w:cs="Arial"/>
          <w:sz w:val="16"/>
          <w:szCs w:val="16"/>
          <w:rtl/>
        </w:rPr>
        <w:t xml:space="preserve"> </w:t>
      </w:r>
      <w:r w:rsidRPr="00256FF8">
        <w:rPr>
          <w:rFonts w:cs="Arial" w:hint="cs"/>
          <w:sz w:val="16"/>
          <w:szCs w:val="16"/>
          <w:rtl/>
        </w:rPr>
        <w:t>(</w:t>
      </w:r>
      <w:r w:rsidRPr="00256FF8">
        <w:rPr>
          <w:rFonts w:cs="Arial"/>
          <w:sz w:val="16"/>
          <w:szCs w:val="16"/>
          <w:rtl/>
        </w:rPr>
        <w:t>כתובות סי' שח)</w:t>
      </w:r>
      <w:r w:rsidRPr="00554FA8">
        <w:rPr>
          <w:rFonts w:cs="Arial"/>
          <w:rtl/>
        </w:rPr>
        <w:t xml:space="preserve"> ואפילו נפל בעלה למים שאין להן סוף דאסורה להנשא אפילו הכי גובה כתובתה</w:t>
      </w:r>
      <w:r>
        <w:rPr>
          <w:rStyle w:val="a7"/>
          <w:rFonts w:cs="Arial"/>
          <w:rtl/>
        </w:rPr>
        <w:footnoteReference w:id="1523"/>
      </w:r>
      <w:r>
        <w:rPr>
          <w:rFonts w:cs="Arial" w:hint="cs"/>
          <w:rtl/>
        </w:rPr>
        <w:t>.</w:t>
      </w:r>
      <w:r w:rsidRPr="00554FA8">
        <w:rPr>
          <w:rFonts w:cs="Arial"/>
          <w:rtl/>
        </w:rPr>
        <w:t xml:space="preserve"> וכ"כ הגהות אלפסי פרק האשה </w:t>
      </w:r>
      <w:r w:rsidRPr="00256FF8">
        <w:rPr>
          <w:rFonts w:cs="Arial"/>
          <w:sz w:val="16"/>
          <w:szCs w:val="16"/>
          <w:rtl/>
        </w:rPr>
        <w:t>(כתובות לט. אות ה)</w:t>
      </w:r>
      <w:r w:rsidRPr="00554FA8">
        <w:rPr>
          <w:rFonts w:cs="Arial"/>
          <w:rtl/>
        </w:rPr>
        <w:t xml:space="preserve"> לענין מינקת</w:t>
      </w:r>
      <w:r>
        <w:rPr>
          <w:rStyle w:val="a7"/>
          <w:rFonts w:cs="Arial"/>
          <w:rtl/>
        </w:rPr>
        <w:footnoteReference w:id="1524"/>
      </w:r>
      <w:r>
        <w:rPr>
          <w:rFonts w:cs="Arial" w:hint="cs"/>
          <w:rtl/>
        </w:rPr>
        <w:t>.</w:t>
      </w:r>
      <w:r w:rsidRPr="00554FA8">
        <w:rPr>
          <w:rFonts w:cs="Arial"/>
          <w:rtl/>
        </w:rPr>
        <w:t xml:space="preserve"> וכן הוא במ</w:t>
      </w:r>
      <w:r>
        <w:rPr>
          <w:rFonts w:cs="Arial" w:hint="cs"/>
          <w:rtl/>
        </w:rPr>
        <w:t>"</w:t>
      </w:r>
      <w:r w:rsidRPr="00554FA8">
        <w:rPr>
          <w:rFonts w:cs="Arial"/>
          <w:rtl/>
        </w:rPr>
        <w:t xml:space="preserve">מ </w:t>
      </w:r>
      <w:r w:rsidRPr="00256FF8">
        <w:rPr>
          <w:rFonts w:cs="Arial" w:hint="cs"/>
          <w:sz w:val="16"/>
          <w:szCs w:val="16"/>
          <w:rtl/>
        </w:rPr>
        <w:t>(</w:t>
      </w:r>
      <w:r w:rsidRPr="00256FF8">
        <w:rPr>
          <w:rFonts w:cs="Arial"/>
          <w:sz w:val="16"/>
          <w:szCs w:val="16"/>
          <w:rtl/>
        </w:rPr>
        <w:t>פי"ח דאישות ה"ו)</w:t>
      </w:r>
      <w:r>
        <w:rPr>
          <w:rFonts w:cs="Arial" w:hint="cs"/>
          <w:rtl/>
        </w:rPr>
        <w:t>.</w:t>
      </w:r>
    </w:p>
    <w:p w14:paraId="48DF3ACA" w14:textId="77777777" w:rsidR="00392DBB" w:rsidRPr="00456C40" w:rsidRDefault="00392DBB" w:rsidP="00392DBB">
      <w:pPr>
        <w:rPr>
          <w:u w:val="single"/>
        </w:rPr>
      </w:pPr>
      <w:r w:rsidRPr="00456C40">
        <w:rPr>
          <w:rFonts w:hint="cs"/>
          <w:u w:val="single"/>
          <w:rtl/>
        </w:rPr>
        <w:t>אשה שגבתה כתובתה בערכאות כדי להציל ממון בעלה מנושה גוי, ו</w:t>
      </w:r>
      <w:r>
        <w:rPr>
          <w:rFonts w:hint="cs"/>
          <w:u w:val="single"/>
          <w:rtl/>
        </w:rPr>
        <w:t xml:space="preserve">אח"כ </w:t>
      </w:r>
      <w:r w:rsidRPr="00456C40">
        <w:rPr>
          <w:rFonts w:hint="cs"/>
          <w:u w:val="single"/>
          <w:rtl/>
        </w:rPr>
        <w:t>בא ישראל ותבע לבעלה על חוב אחר:</w:t>
      </w:r>
    </w:p>
    <w:p w14:paraId="36DF3F62" w14:textId="04C8ABB1" w:rsidR="00392DBB" w:rsidRDefault="00392DBB" w:rsidP="009000E3">
      <w:pPr>
        <w:pStyle w:val="ab"/>
        <w:numPr>
          <w:ilvl w:val="0"/>
          <w:numId w:val="61"/>
        </w:numPr>
        <w:rPr>
          <w:rFonts w:cs="Arial"/>
        </w:rPr>
      </w:pPr>
      <w:r>
        <w:rPr>
          <w:rFonts w:cs="Arial" w:hint="cs"/>
          <w:rtl/>
        </w:rPr>
        <w:t>ר</w:t>
      </w:r>
      <w:r w:rsidRPr="00F539C3">
        <w:rPr>
          <w:rFonts w:cs="Arial"/>
          <w:rtl/>
        </w:rPr>
        <w:t xml:space="preserve">שב"א </w:t>
      </w:r>
      <w:r w:rsidRPr="00F539C3">
        <w:rPr>
          <w:rFonts w:cs="Arial"/>
          <w:sz w:val="16"/>
          <w:szCs w:val="16"/>
          <w:rtl/>
        </w:rPr>
        <w:t>(ח"ו סי' ד</w:t>
      </w:r>
      <w:r>
        <w:rPr>
          <w:rFonts w:cs="Arial" w:hint="cs"/>
          <w:sz w:val="16"/>
          <w:szCs w:val="16"/>
          <w:rtl/>
        </w:rPr>
        <w:t>, והעתיק דבריו רי"ו [</w:t>
      </w:r>
      <w:r w:rsidRPr="00F539C3">
        <w:rPr>
          <w:rFonts w:cs="Arial"/>
          <w:sz w:val="16"/>
          <w:szCs w:val="16"/>
          <w:rtl/>
        </w:rPr>
        <w:t>מישרים נכ"ג ח"י סג ע"ד</w:t>
      </w:r>
      <w:r>
        <w:rPr>
          <w:rFonts w:cs="Arial" w:hint="cs"/>
          <w:sz w:val="16"/>
          <w:szCs w:val="16"/>
          <w:rtl/>
        </w:rPr>
        <w:t>]</w:t>
      </w:r>
      <w:r w:rsidRPr="00F539C3">
        <w:rPr>
          <w:rFonts w:cs="Arial"/>
          <w:sz w:val="16"/>
          <w:szCs w:val="16"/>
          <w:rtl/>
        </w:rPr>
        <w:t>)</w:t>
      </w:r>
      <w:r>
        <w:rPr>
          <w:rFonts w:cs="Arial" w:hint="cs"/>
          <w:rtl/>
        </w:rPr>
        <w:t xml:space="preserve">- </w:t>
      </w:r>
      <w:r w:rsidRPr="0093605B">
        <w:rPr>
          <w:rFonts w:cs="Arial"/>
          <w:rtl/>
        </w:rPr>
        <w:t>שאלה</w:t>
      </w:r>
      <w:r w:rsidR="00AB350F">
        <w:rPr>
          <w:rFonts w:cs="Arial" w:hint="cs"/>
          <w:rtl/>
        </w:rPr>
        <w:t>:</w:t>
      </w:r>
      <w:r w:rsidRPr="0093605B">
        <w:rPr>
          <w:rFonts w:cs="Arial"/>
          <w:rtl/>
        </w:rPr>
        <w:t xml:space="preserve"> ראובן שהיה חייב אלף דינר בשטר חוב לגוי. ולא חתמה בו אשתו. וכשבא הגוי ליפרע מנכסי ראובן. הוציאה אשתו של ראובן כתובתה בערכאות של גוים שהיה מוקדם לשטר חוב. וגבתה כתובתה כל הנכסים שנמצאו לראובן בעלה. ועכשיו הוציא שמעון שטר חוב על ראובן הנז' ונתרעם ממנו בדיני ישראל. וראובן טוען שאין לו כלום שכל נכסיו גבתה אשתו שהגבה לה הגזבר בערכאותי'. ושמעון טוען שאותה הגוביינא שלא כדין נעשית לפי שלא נתנה כתובה לגבות מחיים. הדין עם מי? </w:t>
      </w:r>
      <w:r>
        <w:rPr>
          <w:rFonts w:cs="Arial" w:hint="cs"/>
          <w:rtl/>
        </w:rPr>
        <w:t xml:space="preserve">    </w:t>
      </w:r>
      <w:r w:rsidRPr="0093605B">
        <w:rPr>
          <w:rFonts w:cs="Arial"/>
          <w:rtl/>
        </w:rPr>
        <w:t>תשובה</w:t>
      </w:r>
      <w:r w:rsidR="00AB350F">
        <w:rPr>
          <w:rFonts w:cs="Arial" w:hint="cs"/>
          <w:rtl/>
        </w:rPr>
        <w:t>:</w:t>
      </w:r>
      <w:r w:rsidRPr="0093605B">
        <w:rPr>
          <w:rFonts w:cs="Arial"/>
          <w:rtl/>
        </w:rPr>
        <w:t xml:space="preserve"> מסתברא שהדין עם שמעון. והאמת א</w:t>
      </w:r>
      <w:r>
        <w:rPr>
          <w:rFonts w:cs="Arial" w:hint="cs"/>
          <w:rtl/>
        </w:rPr>
        <w:t>ו</w:t>
      </w:r>
      <w:r w:rsidRPr="0093605B">
        <w:rPr>
          <w:rFonts w:cs="Arial"/>
          <w:rtl/>
        </w:rPr>
        <w:t>מר שאותה גוביינא שלא כדין נעשית</w:t>
      </w:r>
      <w:r w:rsidR="004060CC">
        <w:rPr>
          <w:rFonts w:cs="Arial" w:hint="cs"/>
          <w:rtl/>
        </w:rPr>
        <w:t>,</w:t>
      </w:r>
      <w:r w:rsidRPr="0093605B">
        <w:rPr>
          <w:rFonts w:cs="Arial"/>
          <w:rtl/>
        </w:rPr>
        <w:t xml:space="preserve"> ומה שגבתה לא גבתה. כבעל חוב שגבה קודם זמנ</w:t>
      </w:r>
      <w:r>
        <w:rPr>
          <w:rFonts w:cs="Arial" w:hint="cs"/>
          <w:rtl/>
        </w:rPr>
        <w:t xml:space="preserve">ו </w:t>
      </w:r>
      <w:r w:rsidRPr="0093605B">
        <w:rPr>
          <w:rFonts w:cs="Arial"/>
          <w:rtl/>
        </w:rPr>
        <w:t>מה שגבה לא גבה. וכ"ש כתובה דשמא לא תבוא לידי גוביינא לעולם אם תמות היא בחיי בעלה</w:t>
      </w:r>
      <w:r>
        <w:rPr>
          <w:rFonts w:cs="Arial" w:hint="cs"/>
          <w:rtl/>
        </w:rPr>
        <w:t>.</w:t>
      </w:r>
      <w:r w:rsidRPr="0093605B">
        <w:rPr>
          <w:rFonts w:cs="Arial"/>
          <w:rtl/>
        </w:rPr>
        <w:t xml:space="preserve"> </w:t>
      </w:r>
    </w:p>
    <w:p w14:paraId="2D8F70F0" w14:textId="77777777" w:rsidR="00392DBB" w:rsidRPr="00E533FD" w:rsidRDefault="00392DBB" w:rsidP="00392DBB">
      <w:pPr>
        <w:rPr>
          <w:rFonts w:cs="Arial"/>
          <w:u w:val="single"/>
        </w:rPr>
      </w:pPr>
      <w:r>
        <w:rPr>
          <w:rFonts w:cs="Arial" w:hint="cs"/>
          <w:u w:val="single"/>
          <w:rtl/>
        </w:rPr>
        <w:t>ה</w:t>
      </w:r>
      <w:r w:rsidRPr="00E533FD">
        <w:rPr>
          <w:rFonts w:cs="Arial" w:hint="cs"/>
          <w:u w:val="single"/>
          <w:rtl/>
        </w:rPr>
        <w:t>אם נדוניא ניתנת לגבייה מחיים:</w:t>
      </w:r>
    </w:p>
    <w:p w14:paraId="72EC74F6" w14:textId="77777777" w:rsidR="00392DBB" w:rsidRDefault="00392DBB" w:rsidP="009000E3">
      <w:pPr>
        <w:pStyle w:val="ab"/>
        <w:numPr>
          <w:ilvl w:val="0"/>
          <w:numId w:val="61"/>
        </w:numPr>
        <w:rPr>
          <w:rFonts w:cs="Arial"/>
        </w:rPr>
      </w:pPr>
      <w:r>
        <w:rPr>
          <w:rFonts w:cs="Arial" w:hint="cs"/>
          <w:rtl/>
        </w:rPr>
        <w:t>ר</w:t>
      </w:r>
      <w:r w:rsidRPr="00F539C3">
        <w:rPr>
          <w:rFonts w:cs="Arial"/>
          <w:rtl/>
        </w:rPr>
        <w:t xml:space="preserve">שב"א </w:t>
      </w:r>
      <w:r w:rsidRPr="00F539C3">
        <w:rPr>
          <w:rFonts w:cs="Arial"/>
          <w:sz w:val="16"/>
          <w:szCs w:val="16"/>
          <w:rtl/>
        </w:rPr>
        <w:t>(ח"ו סי' ד</w:t>
      </w:r>
      <w:r>
        <w:rPr>
          <w:rFonts w:cs="Arial" w:hint="cs"/>
          <w:sz w:val="16"/>
          <w:szCs w:val="16"/>
          <w:rtl/>
        </w:rPr>
        <w:t>, והעתיק דבריו רי"ו [</w:t>
      </w:r>
      <w:r w:rsidRPr="00F539C3">
        <w:rPr>
          <w:rFonts w:cs="Arial"/>
          <w:sz w:val="16"/>
          <w:szCs w:val="16"/>
          <w:rtl/>
        </w:rPr>
        <w:t>מישרים נכ"ג ח"י סג ע"ד</w:t>
      </w:r>
      <w:r>
        <w:rPr>
          <w:rFonts w:cs="Arial" w:hint="cs"/>
          <w:sz w:val="16"/>
          <w:szCs w:val="16"/>
          <w:rtl/>
        </w:rPr>
        <w:t>]</w:t>
      </w:r>
      <w:r w:rsidRPr="00F539C3">
        <w:rPr>
          <w:rFonts w:cs="Arial"/>
          <w:sz w:val="16"/>
          <w:szCs w:val="16"/>
          <w:rtl/>
        </w:rPr>
        <w:t>)</w:t>
      </w:r>
      <w:r>
        <w:rPr>
          <w:rFonts w:cs="Arial" w:hint="cs"/>
          <w:rtl/>
        </w:rPr>
        <w:t xml:space="preserve">- </w:t>
      </w:r>
      <w:r w:rsidRPr="0093605B">
        <w:rPr>
          <w:rFonts w:cs="Arial"/>
          <w:rtl/>
        </w:rPr>
        <w:t>ומה שאמרת משם הרב בעל העיטור דנדונייא נתנה לגבות מחיים. אין דעתי נוטה לכך. שכלם מכניסות לבעל שלא יפרע ממנו אלא או באלמנות או בגירושין. ועוד מספר כתובה נלמוד שכוללין נדוניא ותוספת ביחד ואין מחלקין בזמן פרעונם. וזה נראה לי ברור</w:t>
      </w:r>
      <w:r>
        <w:rPr>
          <w:rStyle w:val="a7"/>
          <w:rFonts w:cs="Arial"/>
          <w:rtl/>
        </w:rPr>
        <w:footnoteReference w:id="1525"/>
      </w:r>
      <w:r w:rsidRPr="0093605B">
        <w:rPr>
          <w:rFonts w:cs="Arial" w:hint="cs"/>
          <w:rtl/>
        </w:rPr>
        <w:t>.</w:t>
      </w:r>
      <w:r>
        <w:rPr>
          <w:rFonts w:cs="Arial" w:hint="cs"/>
          <w:color w:val="00B0F0"/>
          <w:rtl/>
        </w:rPr>
        <w:t xml:space="preserve"> </w:t>
      </w:r>
      <w:r w:rsidRPr="00791541">
        <w:rPr>
          <w:rFonts w:cs="Arial" w:hint="cs"/>
          <w:color w:val="00B0F0"/>
          <w:rtl/>
        </w:rPr>
        <w:t>(וכ"פ הרמ"א)</w:t>
      </w:r>
    </w:p>
    <w:p w14:paraId="744FF009" w14:textId="24D51597" w:rsidR="00392DBB" w:rsidRPr="008E4921" w:rsidRDefault="00392DBB" w:rsidP="00392DBB">
      <w:pPr>
        <w:rPr>
          <w:rFonts w:cs="Arial"/>
          <w:u w:val="single"/>
          <w:rtl/>
        </w:rPr>
      </w:pPr>
      <w:r>
        <w:rPr>
          <w:rFonts w:cs="Arial" w:hint="cs"/>
          <w:u w:val="single"/>
          <w:rtl/>
        </w:rPr>
        <w:t>בעל שכתב לאשתו</w:t>
      </w:r>
      <w:r w:rsidRPr="008E4921">
        <w:rPr>
          <w:rFonts w:cs="Arial" w:hint="cs"/>
          <w:u w:val="single"/>
          <w:rtl/>
        </w:rPr>
        <w:t xml:space="preserve"> </w:t>
      </w:r>
      <w:r>
        <w:rPr>
          <w:rFonts w:cs="Arial" w:hint="cs"/>
          <w:u w:val="single"/>
          <w:rtl/>
        </w:rPr>
        <w:t xml:space="preserve">שטר </w:t>
      </w:r>
      <w:r w:rsidRPr="008E4921">
        <w:rPr>
          <w:rFonts w:cs="Arial" w:hint="cs"/>
          <w:u w:val="single"/>
          <w:rtl/>
        </w:rPr>
        <w:t xml:space="preserve">מתנה ושתוכל לגבותה בין בחייו ובין במותו </w:t>
      </w:r>
      <w:r w:rsidR="00F97626">
        <w:rPr>
          <w:rFonts w:cs="Arial"/>
          <w:u w:val="single"/>
          <w:rtl/>
        </w:rPr>
        <w:t>-</w:t>
      </w:r>
      <w:r w:rsidRPr="008E4921">
        <w:rPr>
          <w:rFonts w:cs="Arial" w:hint="cs"/>
          <w:u w:val="single"/>
          <w:rtl/>
        </w:rPr>
        <w:t xml:space="preserve"> האם יכולה לגבותה:</w:t>
      </w:r>
    </w:p>
    <w:p w14:paraId="39B86E0C" w14:textId="74685808" w:rsidR="00392DBB" w:rsidRDefault="00392DBB" w:rsidP="009000E3">
      <w:pPr>
        <w:pStyle w:val="ab"/>
        <w:numPr>
          <w:ilvl w:val="0"/>
          <w:numId w:val="61"/>
        </w:numPr>
        <w:rPr>
          <w:rFonts w:cs="Arial"/>
        </w:rPr>
      </w:pPr>
      <w:r w:rsidRPr="00C7104C">
        <w:rPr>
          <w:rFonts w:cs="Arial"/>
          <w:rtl/>
        </w:rPr>
        <w:t xml:space="preserve">רשב"א </w:t>
      </w:r>
      <w:r>
        <w:rPr>
          <w:rFonts w:cs="Arial" w:hint="cs"/>
          <w:sz w:val="16"/>
          <w:szCs w:val="16"/>
          <w:rtl/>
        </w:rPr>
        <w:t>(בתשו', כ"כ רי"ו בשמו [</w:t>
      </w:r>
      <w:r w:rsidRPr="00F539C3">
        <w:rPr>
          <w:rFonts w:cs="Arial"/>
          <w:sz w:val="16"/>
          <w:szCs w:val="16"/>
          <w:rtl/>
        </w:rPr>
        <w:t>מישרים נכ"ג ח"י סג ע"ד</w:t>
      </w:r>
      <w:r>
        <w:rPr>
          <w:rFonts w:cs="Arial" w:hint="cs"/>
          <w:sz w:val="16"/>
          <w:szCs w:val="16"/>
          <w:rtl/>
        </w:rPr>
        <w:t>])</w:t>
      </w:r>
      <w:r>
        <w:rPr>
          <w:rFonts w:cs="Arial" w:hint="cs"/>
          <w:rtl/>
        </w:rPr>
        <w:t xml:space="preserve">- </w:t>
      </w:r>
      <w:r w:rsidRPr="00C7104C">
        <w:rPr>
          <w:rFonts w:cs="Arial"/>
          <w:rtl/>
        </w:rPr>
        <w:t>אע</w:t>
      </w:r>
      <w:r w:rsidR="008F05CD">
        <w:rPr>
          <w:rFonts w:cs="Arial" w:hint="cs"/>
          <w:rtl/>
        </w:rPr>
        <w:t>"</w:t>
      </w:r>
      <w:r w:rsidRPr="00C7104C">
        <w:rPr>
          <w:rFonts w:cs="Arial"/>
          <w:rtl/>
        </w:rPr>
        <w:t>פ שכתב לה במתנה לחוד שתגבה האשה בין בחייו בין במותו ואפילו בשלו'</w:t>
      </w:r>
      <w:r>
        <w:rPr>
          <w:rFonts w:cs="Arial" w:hint="cs"/>
          <w:rtl/>
        </w:rPr>
        <w:t xml:space="preserve"> -</w:t>
      </w:r>
      <w:r w:rsidRPr="00C7104C">
        <w:rPr>
          <w:rFonts w:cs="Arial"/>
          <w:rtl/>
        </w:rPr>
        <w:t xml:space="preserve"> ודאי יראה שאין נזקקין לדינא ואין מגבין אותה בחיי הבעל כלל</w:t>
      </w:r>
      <w:r>
        <w:rPr>
          <w:rFonts w:cs="Arial" w:hint="cs"/>
          <w:rtl/>
        </w:rPr>
        <w:t>,</w:t>
      </w:r>
      <w:r w:rsidRPr="00C7104C">
        <w:rPr>
          <w:rFonts w:cs="Arial"/>
          <w:rtl/>
        </w:rPr>
        <w:t xml:space="preserve"> דלא כתב לה רק להיות קיום וחיזוק שלא יוציאנה כאחת הקלות ושתבטח נפשה בו</w:t>
      </w:r>
      <w:r>
        <w:rPr>
          <w:rFonts w:cs="Arial" w:hint="cs"/>
          <w:rtl/>
        </w:rPr>
        <w:t>,</w:t>
      </w:r>
      <w:r w:rsidRPr="00C7104C">
        <w:rPr>
          <w:rFonts w:cs="Arial"/>
          <w:rtl/>
        </w:rPr>
        <w:t xml:space="preserve"> לא שיכתוב לה היום ותגבה למחר. וכלל גדול בידינו בכל תנאי שאדם מתנה עם חבירו שאין להלך אחר לשון הכתוב אלא אחר הכוונה לבד</w:t>
      </w:r>
      <w:r>
        <w:rPr>
          <w:rFonts w:cs="Arial" w:hint="cs"/>
          <w:rtl/>
        </w:rPr>
        <w:t>...</w:t>
      </w:r>
      <w:r w:rsidRPr="00C7104C">
        <w:rPr>
          <w:rFonts w:cs="Arial"/>
          <w:rtl/>
        </w:rPr>
        <w:t xml:space="preserve"> </w:t>
      </w:r>
    </w:p>
    <w:p w14:paraId="7362A809" w14:textId="6F3283B8" w:rsidR="00392DBB" w:rsidRPr="0093605B" w:rsidRDefault="00392DBB" w:rsidP="009000E3">
      <w:pPr>
        <w:pStyle w:val="ab"/>
        <w:numPr>
          <w:ilvl w:val="0"/>
          <w:numId w:val="61"/>
        </w:numPr>
        <w:rPr>
          <w:rFonts w:cs="Arial"/>
        </w:rPr>
      </w:pPr>
      <w:r w:rsidRPr="00C7104C">
        <w:rPr>
          <w:rFonts w:cs="Arial"/>
          <w:rtl/>
        </w:rPr>
        <w:lastRenderedPageBreak/>
        <w:t>גאון</w:t>
      </w:r>
      <w:r>
        <w:rPr>
          <w:rFonts w:cs="Arial" w:hint="cs"/>
          <w:sz w:val="16"/>
          <w:szCs w:val="16"/>
          <w:rtl/>
        </w:rPr>
        <w:t xml:space="preserve"> (כ"כ בשמ</w:t>
      </w:r>
      <w:r w:rsidR="009416C6">
        <w:rPr>
          <w:rFonts w:cs="Arial" w:hint="cs"/>
          <w:sz w:val="16"/>
          <w:szCs w:val="16"/>
          <w:rtl/>
        </w:rPr>
        <w:t>ו</w:t>
      </w:r>
      <w:r>
        <w:rPr>
          <w:rFonts w:cs="Arial" w:hint="cs"/>
          <w:sz w:val="16"/>
          <w:szCs w:val="16"/>
          <w:rtl/>
        </w:rPr>
        <w:t xml:space="preserve"> רי"ו [שם])</w:t>
      </w:r>
      <w:r>
        <w:rPr>
          <w:rFonts w:cs="Arial" w:hint="cs"/>
          <w:rtl/>
        </w:rPr>
        <w:t>-</w:t>
      </w:r>
      <w:r w:rsidRPr="00C7104C">
        <w:rPr>
          <w:rFonts w:cs="Arial"/>
          <w:rtl/>
        </w:rPr>
        <w:t xml:space="preserve"> מתנה לחוד אם יש בה תנאי שתגבה מחיים </w:t>
      </w:r>
      <w:r>
        <w:rPr>
          <w:rFonts w:cs="Arial" w:hint="cs"/>
          <w:rtl/>
        </w:rPr>
        <w:t xml:space="preserve">- </w:t>
      </w:r>
      <w:r w:rsidRPr="00C7104C">
        <w:rPr>
          <w:rFonts w:cs="Arial"/>
          <w:rtl/>
        </w:rPr>
        <w:t>נגבית מחיים</w:t>
      </w:r>
      <w:r>
        <w:rPr>
          <w:rFonts w:cs="Arial" w:hint="cs"/>
          <w:rtl/>
        </w:rPr>
        <w:t>,</w:t>
      </w:r>
      <w:r w:rsidRPr="00C7104C">
        <w:rPr>
          <w:rFonts w:cs="Arial"/>
          <w:rtl/>
        </w:rPr>
        <w:t xml:space="preserve"> אא</w:t>
      </w:r>
      <w:r>
        <w:rPr>
          <w:rFonts w:cs="Arial" w:hint="cs"/>
          <w:rtl/>
        </w:rPr>
        <w:t>"</w:t>
      </w:r>
      <w:r w:rsidRPr="00C7104C">
        <w:rPr>
          <w:rFonts w:cs="Arial"/>
          <w:rtl/>
        </w:rPr>
        <w:t>כ היה המנהג שלא תגבה מחיים. והמנהג ש</w:t>
      </w:r>
      <w:r w:rsidR="00D819A1">
        <w:rPr>
          <w:rFonts w:cs="Arial" w:hint="cs"/>
          <w:rtl/>
        </w:rPr>
        <w:t>י</w:t>
      </w:r>
      <w:r w:rsidRPr="00C7104C">
        <w:rPr>
          <w:rFonts w:cs="Arial"/>
          <w:rtl/>
        </w:rPr>
        <w:t>היה שרוב הקהל יתיעצו עם זקני הקהל ויעשו תקנה במה שיתקנו ויתקיימו אותה</w:t>
      </w:r>
      <w:r>
        <w:rPr>
          <w:rFonts w:cs="Arial" w:hint="cs"/>
          <w:rtl/>
        </w:rPr>
        <w:t>,</w:t>
      </w:r>
      <w:r w:rsidRPr="00C7104C">
        <w:rPr>
          <w:rFonts w:cs="Arial"/>
          <w:rtl/>
        </w:rPr>
        <w:t xml:space="preserve"> זהו המנהג</w:t>
      </w:r>
      <w:r>
        <w:rPr>
          <w:rFonts w:cs="Arial" w:hint="cs"/>
          <w:rtl/>
        </w:rPr>
        <w:t>.</w:t>
      </w:r>
      <w:r w:rsidRPr="00C7104C">
        <w:rPr>
          <w:rFonts w:cs="Arial"/>
          <w:rtl/>
        </w:rPr>
        <w:t xml:space="preserve"> ואפי' אחר כמה שנים אם לא ידעו היאך עקרו אותה</w:t>
      </w:r>
      <w:r>
        <w:rPr>
          <w:rFonts w:cs="Arial" w:hint="cs"/>
          <w:rtl/>
        </w:rPr>
        <w:t>,</w:t>
      </w:r>
      <w:r w:rsidRPr="00C7104C">
        <w:rPr>
          <w:rFonts w:cs="Arial"/>
          <w:rtl/>
        </w:rPr>
        <w:t xml:space="preserve"> יהיה המנהג עומד בחזקתו</w:t>
      </w:r>
      <w:r>
        <w:rPr>
          <w:rStyle w:val="a7"/>
          <w:rFonts w:cs="Arial"/>
          <w:rtl/>
        </w:rPr>
        <w:footnoteReference w:id="1526"/>
      </w:r>
      <w:r w:rsidRPr="00C7104C">
        <w:rPr>
          <w:rFonts w:cs="Arial"/>
          <w:rtl/>
        </w:rPr>
        <w:t>.</w:t>
      </w:r>
      <w:r w:rsidRPr="00791541">
        <w:rPr>
          <w:rFonts w:cs="Arial" w:hint="cs"/>
          <w:color w:val="00B0F0"/>
          <w:rtl/>
        </w:rPr>
        <w:t xml:space="preserve"> (וכ"פ הרמ"א)</w:t>
      </w:r>
    </w:p>
    <w:p w14:paraId="2AD54DC4"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41532A4" w14:textId="73B55343" w:rsidR="00392DBB" w:rsidRDefault="00392DBB" w:rsidP="00392DBB">
      <w:pPr>
        <w:rPr>
          <w:rFonts w:cs="Arial"/>
          <w:rtl/>
        </w:rPr>
      </w:pPr>
      <w:r>
        <w:rPr>
          <w:rFonts w:cs="Arial"/>
          <w:rtl/>
        </w:rPr>
        <w:t xml:space="preserve">הכתובה הרי היא כחוב שיש לו זמן, ואינה נגבית אלא לאחר מיתת הבעל, או אם גירשה. </w:t>
      </w:r>
      <w:r w:rsidRPr="00554FA8">
        <w:rPr>
          <w:rFonts w:cs="Arial"/>
          <w:sz w:val="18"/>
          <w:szCs w:val="18"/>
          <w:rtl/>
        </w:rPr>
        <w:t>הגה: והוא הדין מה שקבל בנדוניא</w:t>
      </w:r>
      <w:r>
        <w:rPr>
          <w:rStyle w:val="a7"/>
          <w:rFonts w:cs="Arial"/>
          <w:sz w:val="18"/>
          <w:szCs w:val="18"/>
          <w:rtl/>
        </w:rPr>
        <w:footnoteReference w:id="1527"/>
      </w:r>
      <w:r w:rsidRPr="00554FA8">
        <w:rPr>
          <w:rFonts w:cs="Arial"/>
          <w:sz w:val="18"/>
          <w:szCs w:val="18"/>
          <w:rtl/>
        </w:rPr>
        <w:t>. ועיין לעייל סימן ס"ו סעיף י"א. כתב לה מתנות</w:t>
      </w:r>
      <w:r>
        <w:rPr>
          <w:rFonts w:cs="Arial" w:hint="cs"/>
          <w:sz w:val="18"/>
          <w:szCs w:val="18"/>
          <w:rtl/>
        </w:rPr>
        <w:t>,</w:t>
      </w:r>
      <w:r w:rsidRPr="00554FA8">
        <w:rPr>
          <w:rFonts w:cs="Arial"/>
          <w:sz w:val="18"/>
          <w:szCs w:val="18"/>
          <w:rtl/>
        </w:rPr>
        <w:t xml:space="preserve"> הם נגבות מחיים</w:t>
      </w:r>
      <w:r>
        <w:rPr>
          <w:rFonts w:cs="Arial" w:hint="cs"/>
          <w:sz w:val="18"/>
          <w:szCs w:val="18"/>
          <w:rtl/>
        </w:rPr>
        <w:t>.</w:t>
      </w:r>
      <w:r w:rsidRPr="00554FA8">
        <w:rPr>
          <w:rFonts w:cs="Arial"/>
          <w:sz w:val="18"/>
          <w:szCs w:val="18"/>
          <w:rtl/>
        </w:rPr>
        <w:t xml:space="preserve"> מיהו אם דרך המקום לכתוב כן לכבוד בעלמא ושלא לגבות מחיים, הולכין אחר המנהג (</w:t>
      </w:r>
      <w:r w:rsidR="0051228E">
        <w:rPr>
          <w:rFonts w:cs="Arial" w:hint="cs"/>
          <w:sz w:val="18"/>
          <w:szCs w:val="18"/>
          <w:rtl/>
        </w:rPr>
        <w:t>רי"ו</w:t>
      </w:r>
      <w:r w:rsidRPr="00554FA8">
        <w:rPr>
          <w:rFonts w:cs="Arial"/>
          <w:sz w:val="18"/>
          <w:szCs w:val="18"/>
          <w:rtl/>
        </w:rPr>
        <w:t xml:space="preserve"> בשם גאון). ולא יוכל האב להתנות על בתו בשום דבר לאחר שנשאה, אבל אם הוא משיאה</w:t>
      </w:r>
      <w:r>
        <w:rPr>
          <w:rStyle w:val="a7"/>
          <w:rFonts w:cs="Arial"/>
          <w:sz w:val="18"/>
          <w:szCs w:val="18"/>
          <w:rtl/>
        </w:rPr>
        <w:footnoteReference w:id="1528"/>
      </w:r>
      <w:r w:rsidRPr="00554FA8">
        <w:rPr>
          <w:rFonts w:cs="Arial"/>
          <w:sz w:val="18"/>
          <w:szCs w:val="18"/>
          <w:rtl/>
        </w:rPr>
        <w:t xml:space="preserve"> יכול להתנות על מתנותיה לשנות מן המנהג קודם שנשאה, כפי רצונו. ועיין בח</w:t>
      </w:r>
      <w:r w:rsidR="0051228E">
        <w:rPr>
          <w:rFonts w:cs="Arial" w:hint="cs"/>
          <w:sz w:val="18"/>
          <w:szCs w:val="18"/>
          <w:rtl/>
        </w:rPr>
        <w:t>ו"מ</w:t>
      </w:r>
      <w:r w:rsidRPr="00554FA8">
        <w:rPr>
          <w:rFonts w:cs="Arial"/>
          <w:sz w:val="18"/>
          <w:szCs w:val="18"/>
          <w:rtl/>
        </w:rPr>
        <w:t xml:space="preserve"> סימן צ' סעיף כ"ד.</w:t>
      </w:r>
    </w:p>
    <w:p w14:paraId="4C44A0A2" w14:textId="77777777" w:rsidR="00392DBB" w:rsidRDefault="00392DBB" w:rsidP="00392DBB">
      <w:pPr>
        <w:rPr>
          <w:rFonts w:cs="Arial"/>
          <w:rtl/>
        </w:rPr>
      </w:pPr>
      <w:r>
        <w:rPr>
          <w:rFonts w:cs="Arial"/>
          <w:rtl/>
        </w:rPr>
        <w:t xml:space="preserve"> </w:t>
      </w:r>
    </w:p>
    <w:p w14:paraId="7FD345A2" w14:textId="64029F7F" w:rsidR="00392DBB" w:rsidRDefault="00392DBB" w:rsidP="000F64D0">
      <w:pPr>
        <w:pStyle w:val="2"/>
        <w:rPr>
          <w:rtl/>
        </w:rPr>
      </w:pPr>
      <w:r>
        <w:rPr>
          <w:rtl/>
        </w:rPr>
        <w:t>סעיף ב</w:t>
      </w:r>
      <w:r>
        <w:rPr>
          <w:rFonts w:hint="cs"/>
          <w:rtl/>
        </w:rPr>
        <w:t xml:space="preserve">: חיוב מזונות </w:t>
      </w:r>
      <w:r w:rsidR="001E2B37">
        <w:rPr>
          <w:rFonts w:hint="cs"/>
          <w:rtl/>
        </w:rPr>
        <w:t>בספק גירושין וכשלא קיבלה כתובתה.</w:t>
      </w:r>
    </w:p>
    <w:p w14:paraId="21DB3645" w14:textId="77777777" w:rsidR="00022954" w:rsidRDefault="00022954" w:rsidP="00022954">
      <w:pPr>
        <w:rPr>
          <w:rFonts w:cs="Arial"/>
          <w:rtl/>
        </w:rPr>
      </w:pPr>
      <w:r w:rsidRPr="005C6F18">
        <w:rPr>
          <w:rFonts w:cs="Arial" w:hint="cs"/>
          <w:b/>
          <w:bCs/>
          <w:rtl/>
        </w:rPr>
        <w:t xml:space="preserve">בבא מציעא </w:t>
      </w:r>
      <w:r w:rsidRPr="005C6F18">
        <w:rPr>
          <w:rFonts w:cs="Arial" w:hint="cs"/>
          <w:b/>
          <w:bCs/>
          <w:sz w:val="16"/>
          <w:szCs w:val="16"/>
          <w:rtl/>
        </w:rPr>
        <w:t xml:space="preserve">(פ"ק) </w:t>
      </w:r>
      <w:r w:rsidRPr="005C6F18">
        <w:rPr>
          <w:rFonts w:cs="Arial" w:hint="cs"/>
          <w:b/>
          <w:bCs/>
          <w:rtl/>
        </w:rPr>
        <w:t>יב ע"ב:</w:t>
      </w:r>
      <w:r>
        <w:rPr>
          <w:rFonts w:cs="Arial" w:hint="cs"/>
          <w:rtl/>
        </w:rPr>
        <w:t xml:space="preserve"> </w:t>
      </w:r>
      <w:r w:rsidRPr="005C6F18">
        <w:rPr>
          <w:rFonts w:cs="Arial"/>
          <w:u w:val="single"/>
          <w:rtl/>
        </w:rPr>
        <w:t>דאמר רבי זירא אמר שמואל</w:t>
      </w:r>
      <w:r w:rsidRPr="005C6F18">
        <w:rPr>
          <w:rFonts w:cs="Arial"/>
          <w:rtl/>
        </w:rPr>
        <w:t>: כל מקום שאמרו חכמים מגורשת ואינה מגורשת</w:t>
      </w:r>
      <w:r>
        <w:rPr>
          <w:rStyle w:val="a7"/>
          <w:rFonts w:cs="Arial"/>
          <w:rtl/>
        </w:rPr>
        <w:footnoteReference w:id="1529"/>
      </w:r>
      <w:r w:rsidRPr="005C6F18">
        <w:rPr>
          <w:rFonts w:cs="Arial"/>
          <w:rtl/>
        </w:rPr>
        <w:t xml:space="preserve"> - בעלה חייב במזונותיה.</w:t>
      </w:r>
    </w:p>
    <w:p w14:paraId="71BDB7D3" w14:textId="28FE74BD" w:rsidR="00022954" w:rsidRDefault="00022954" w:rsidP="00022954">
      <w:pPr>
        <w:rPr>
          <w:rFonts w:cs="Arial"/>
          <w:rtl/>
        </w:rPr>
      </w:pPr>
      <w:r w:rsidRPr="003E717B">
        <w:rPr>
          <w:rFonts w:cs="Arial" w:hint="cs"/>
          <w:b/>
          <w:bCs/>
          <w:rtl/>
        </w:rPr>
        <w:t xml:space="preserve">כתובות </w:t>
      </w:r>
      <w:r w:rsidRPr="003E717B">
        <w:rPr>
          <w:rFonts w:cs="Arial" w:hint="cs"/>
          <w:b/>
          <w:bCs/>
          <w:sz w:val="16"/>
          <w:szCs w:val="16"/>
          <w:rtl/>
        </w:rPr>
        <w:t xml:space="preserve">(פ' אלמנה ניזונת) </w:t>
      </w:r>
      <w:r w:rsidRPr="003E717B">
        <w:rPr>
          <w:rFonts w:cs="Arial" w:hint="cs"/>
          <w:b/>
          <w:bCs/>
          <w:rtl/>
        </w:rPr>
        <w:t xml:space="preserve">צז ע"ב: </w:t>
      </w:r>
      <w:r w:rsidRPr="005C6F18">
        <w:rPr>
          <w:rFonts w:cs="Arial"/>
          <w:rtl/>
        </w:rPr>
        <w:t xml:space="preserve">כדרבי זירא, </w:t>
      </w:r>
      <w:r w:rsidRPr="003E717B">
        <w:rPr>
          <w:rFonts w:cs="Arial"/>
          <w:u w:val="single"/>
          <w:rtl/>
        </w:rPr>
        <w:t>דאמר ר' זירא</w:t>
      </w:r>
      <w:r w:rsidRPr="005C6F18">
        <w:rPr>
          <w:rFonts w:cs="Arial"/>
          <w:rtl/>
        </w:rPr>
        <w:t>: כל מקום שאמרו מגורשת ואינה מגורשת - בעל חייב במזונותי</w:t>
      </w:r>
      <w:r>
        <w:rPr>
          <w:rFonts w:cs="Arial" w:hint="cs"/>
          <w:rtl/>
        </w:rPr>
        <w:t>ה</w:t>
      </w:r>
      <w:r>
        <w:rPr>
          <w:rStyle w:val="a7"/>
          <w:rFonts w:cs="Arial"/>
          <w:rtl/>
        </w:rPr>
        <w:footnoteReference w:id="1530"/>
      </w:r>
      <w:r w:rsidRPr="005C6F18">
        <w:rPr>
          <w:rFonts w:cs="Arial"/>
          <w:rtl/>
        </w:rPr>
        <w:t xml:space="preserve">. </w:t>
      </w:r>
    </w:p>
    <w:p w14:paraId="164213CA" w14:textId="123613EE" w:rsidR="00022954" w:rsidRPr="003E717B" w:rsidRDefault="00B0333B" w:rsidP="00022954">
      <w:pPr>
        <w:rPr>
          <w:rFonts w:cs="Arial"/>
          <w:u w:val="single"/>
          <w:rtl/>
        </w:rPr>
      </w:pPr>
      <w:r>
        <w:rPr>
          <w:rFonts w:cs="Arial" w:hint="cs"/>
          <w:u w:val="single"/>
          <w:rtl/>
        </w:rPr>
        <w:t>חיוב מזונות לאחר</w:t>
      </w:r>
      <w:r w:rsidR="00022954">
        <w:rPr>
          <w:rFonts w:cs="Arial" w:hint="cs"/>
          <w:u w:val="single"/>
          <w:rtl/>
        </w:rPr>
        <w:t xml:space="preserve"> </w:t>
      </w:r>
      <w:r w:rsidR="00022954" w:rsidRPr="003E717B">
        <w:rPr>
          <w:rFonts w:cs="Arial" w:hint="cs"/>
          <w:u w:val="single"/>
          <w:rtl/>
        </w:rPr>
        <w:t xml:space="preserve">ספק </w:t>
      </w:r>
      <w:r>
        <w:rPr>
          <w:rFonts w:cs="Arial" w:hint="cs"/>
          <w:u w:val="single"/>
          <w:rtl/>
        </w:rPr>
        <w:t>גירושין</w:t>
      </w:r>
      <w:r w:rsidR="00022954" w:rsidRPr="003E717B">
        <w:rPr>
          <w:rFonts w:cs="Arial" w:hint="cs"/>
          <w:u w:val="single"/>
          <w:rtl/>
        </w:rPr>
        <w:t>:</w:t>
      </w:r>
    </w:p>
    <w:p w14:paraId="7FFDE2DA" w14:textId="0684A018" w:rsidR="00022954" w:rsidRPr="00506832" w:rsidRDefault="00022954" w:rsidP="009000E3">
      <w:pPr>
        <w:pStyle w:val="ab"/>
        <w:numPr>
          <w:ilvl w:val="0"/>
          <w:numId w:val="61"/>
        </w:numPr>
      </w:pPr>
      <w:r>
        <w:rPr>
          <w:rFonts w:cs="Arial" w:hint="cs"/>
          <w:rtl/>
        </w:rPr>
        <w:t xml:space="preserve">טור- </w:t>
      </w:r>
      <w:r w:rsidRPr="000A1431">
        <w:rPr>
          <w:rFonts w:cs="Arial"/>
          <w:rtl/>
        </w:rPr>
        <w:t xml:space="preserve">אם זרק לה גט ברשות הרבים ספק קרוב לו ספק קרוב לה </w:t>
      </w:r>
      <w:r>
        <w:rPr>
          <w:rFonts w:cs="Arial" w:hint="cs"/>
          <w:rtl/>
        </w:rPr>
        <w:t xml:space="preserve">- </w:t>
      </w:r>
      <w:r w:rsidRPr="000A1431">
        <w:rPr>
          <w:rFonts w:cs="Arial"/>
          <w:rtl/>
        </w:rPr>
        <w:t>חייב במזונותיה</w:t>
      </w:r>
      <w:r>
        <w:rPr>
          <w:rFonts w:cs="Arial" w:hint="cs"/>
          <w:rtl/>
        </w:rPr>
        <w:t>.</w:t>
      </w:r>
      <w:r w:rsidRPr="000A1431">
        <w:rPr>
          <w:rFonts w:cs="Arial"/>
          <w:rtl/>
        </w:rPr>
        <w:t xml:space="preserve"> ודוקא בחייו</w:t>
      </w:r>
      <w:r>
        <w:rPr>
          <w:rFonts w:cs="Arial" w:hint="cs"/>
          <w:rtl/>
        </w:rPr>
        <w:t>,</w:t>
      </w:r>
      <w:r w:rsidRPr="000A1431">
        <w:rPr>
          <w:rFonts w:cs="Arial"/>
          <w:rtl/>
        </w:rPr>
        <w:t xml:space="preserve"> אבל אם מת </w:t>
      </w:r>
      <w:r>
        <w:rPr>
          <w:rFonts w:cs="Arial" w:hint="cs"/>
          <w:rtl/>
        </w:rPr>
        <w:t xml:space="preserve">- </w:t>
      </w:r>
      <w:r w:rsidRPr="000A1431">
        <w:rPr>
          <w:rFonts w:cs="Arial"/>
          <w:rtl/>
        </w:rPr>
        <w:t>אין היורשים חייבים לזונה</w:t>
      </w:r>
      <w:r>
        <w:rPr>
          <w:rFonts w:cs="Arial" w:hint="cs"/>
          <w:rtl/>
        </w:rPr>
        <w:t>.</w:t>
      </w:r>
      <w:r>
        <w:rPr>
          <w:rFonts w:hint="cs"/>
          <w:rtl/>
        </w:rPr>
        <w:t xml:space="preserve"> </w:t>
      </w:r>
      <w:r w:rsidRPr="003E717B">
        <w:rPr>
          <w:rFonts w:hint="cs"/>
          <w:color w:val="E36C0A" w:themeColor="accent6" w:themeShade="BF"/>
          <w:rtl/>
        </w:rPr>
        <w:t>(וכ"פ בשו"ע)</w:t>
      </w:r>
      <w:r w:rsidR="008E1C3E">
        <w:rPr>
          <w:rFonts w:hint="cs"/>
          <w:rtl/>
        </w:rPr>
        <w:t xml:space="preserve"> </w:t>
      </w:r>
    </w:p>
    <w:p w14:paraId="67234F6F" w14:textId="4985D633" w:rsidR="00392DBB" w:rsidRPr="006866EF" w:rsidRDefault="00392DBB" w:rsidP="00392DBB">
      <w:pPr>
        <w:rPr>
          <w:rFonts w:cs="Arial"/>
          <w:rtl/>
        </w:rPr>
      </w:pPr>
      <w:bookmarkStart w:id="14" w:name="_Hlk135326141"/>
      <w:r w:rsidRPr="00506832">
        <w:rPr>
          <w:rFonts w:cs="Arial"/>
          <w:b/>
          <w:bCs/>
          <w:rtl/>
        </w:rPr>
        <w:t>ירושלמי ב</w:t>
      </w:r>
      <w:r w:rsidRPr="00506832">
        <w:rPr>
          <w:rFonts w:cs="Arial" w:hint="cs"/>
          <w:b/>
          <w:bCs/>
          <w:rtl/>
        </w:rPr>
        <w:t xml:space="preserve">בא </w:t>
      </w:r>
      <w:r w:rsidRPr="00506832">
        <w:rPr>
          <w:rFonts w:cs="Arial"/>
          <w:b/>
          <w:bCs/>
          <w:rtl/>
        </w:rPr>
        <w:t>מ</w:t>
      </w:r>
      <w:r w:rsidRPr="00506832">
        <w:rPr>
          <w:rFonts w:cs="Arial" w:hint="cs"/>
          <w:b/>
          <w:bCs/>
          <w:rtl/>
        </w:rPr>
        <w:t>ציעא</w:t>
      </w:r>
      <w:r w:rsidRPr="00506832">
        <w:rPr>
          <w:rFonts w:cs="Arial"/>
          <w:b/>
          <w:bCs/>
          <w:rtl/>
        </w:rPr>
        <w:t xml:space="preserve"> פ"א ה"ה</w:t>
      </w:r>
      <w:r w:rsidRPr="00506832">
        <w:rPr>
          <w:rFonts w:cs="Arial" w:hint="cs"/>
          <w:b/>
          <w:bCs/>
          <w:rtl/>
        </w:rPr>
        <w:t>:</w:t>
      </w:r>
      <w:r>
        <w:rPr>
          <w:rFonts w:cs="Arial" w:hint="cs"/>
          <w:rtl/>
        </w:rPr>
        <w:t xml:space="preserve"> </w:t>
      </w:r>
      <w:r w:rsidRPr="007F4E48">
        <w:rPr>
          <w:rFonts w:cs="Arial"/>
          <w:u w:val="single"/>
          <w:rtl/>
        </w:rPr>
        <w:t>רבי יוסנא בשם רבי אחא</w:t>
      </w:r>
      <w:r>
        <w:rPr>
          <w:rFonts w:cs="Arial" w:hint="cs"/>
          <w:rtl/>
        </w:rPr>
        <w:t>:</w:t>
      </w:r>
      <w:r w:rsidRPr="00506832">
        <w:rPr>
          <w:rFonts w:cs="Arial"/>
          <w:rtl/>
        </w:rPr>
        <w:t xml:space="preserve"> אדם שגירש אשתו ולא נתן לה כתובתה </w:t>
      </w:r>
      <w:r w:rsidR="00B0333B">
        <w:rPr>
          <w:rFonts w:cs="Arial" w:hint="cs"/>
          <w:rtl/>
        </w:rPr>
        <w:t xml:space="preserve">- </w:t>
      </w:r>
      <w:r w:rsidRPr="00506832">
        <w:rPr>
          <w:rFonts w:cs="Arial"/>
          <w:rtl/>
        </w:rPr>
        <w:t xml:space="preserve">חייב במזונותיה עד שיתן לה פרוטה אחרונה. </w:t>
      </w:r>
      <w:r w:rsidRPr="007F4E48">
        <w:rPr>
          <w:rFonts w:cs="Arial"/>
          <w:u w:val="single"/>
          <w:rtl/>
        </w:rPr>
        <w:t>א"ר יוסי</w:t>
      </w:r>
      <w:r>
        <w:rPr>
          <w:rFonts w:cs="Arial" w:hint="cs"/>
          <w:rtl/>
        </w:rPr>
        <w:t>:</w:t>
      </w:r>
      <w:r w:rsidRPr="00506832">
        <w:rPr>
          <w:rFonts w:cs="Arial"/>
          <w:rtl/>
        </w:rPr>
        <w:t xml:space="preserve"> מתניתא אמרה כן</w:t>
      </w:r>
      <w:r>
        <w:rPr>
          <w:rFonts w:cs="Arial" w:hint="cs"/>
          <w:rtl/>
        </w:rPr>
        <w:t>,</w:t>
      </w:r>
      <w:r w:rsidRPr="00506832">
        <w:rPr>
          <w:rFonts w:cs="Arial"/>
          <w:rtl/>
        </w:rPr>
        <w:t xml:space="preserve"> מציאת אשתו שגירשה</w:t>
      </w:r>
      <w:r w:rsidR="00935741" w:rsidRPr="00935741">
        <w:rPr>
          <w:rFonts w:cs="Arial"/>
          <w:rtl/>
        </w:rPr>
        <w:t xml:space="preserve"> </w:t>
      </w:r>
      <w:r w:rsidR="00935741">
        <w:rPr>
          <w:rFonts w:cs="Arial" w:hint="cs"/>
          <w:rtl/>
        </w:rPr>
        <w:t>[</w:t>
      </w:r>
      <w:r w:rsidR="00935741" w:rsidRPr="00506832">
        <w:rPr>
          <w:rFonts w:cs="Arial"/>
          <w:rtl/>
        </w:rPr>
        <w:t>אע</w:t>
      </w:r>
      <w:r w:rsidR="00935741">
        <w:rPr>
          <w:rFonts w:cs="Arial" w:hint="cs"/>
          <w:rtl/>
        </w:rPr>
        <w:t>"</w:t>
      </w:r>
      <w:r w:rsidR="00935741" w:rsidRPr="00506832">
        <w:rPr>
          <w:rFonts w:cs="Arial"/>
          <w:rtl/>
        </w:rPr>
        <w:t>פ שלא נתן לה כתובתה הרי היא שלה</w:t>
      </w:r>
      <w:r w:rsidR="00935741">
        <w:rPr>
          <w:rFonts w:cs="Arial" w:hint="cs"/>
          <w:rtl/>
        </w:rPr>
        <w:t>]</w:t>
      </w:r>
      <w:r>
        <w:rPr>
          <w:rStyle w:val="a7"/>
          <w:rFonts w:cs="Arial"/>
          <w:rtl/>
        </w:rPr>
        <w:footnoteReference w:id="1531"/>
      </w:r>
      <w:r>
        <w:rPr>
          <w:rFonts w:cs="Arial" w:hint="cs"/>
          <w:rtl/>
        </w:rPr>
        <w:t>.</w:t>
      </w:r>
      <w:r w:rsidRPr="00506832">
        <w:rPr>
          <w:rFonts w:cs="Arial"/>
          <w:rtl/>
        </w:rPr>
        <w:t xml:space="preserve"> </w:t>
      </w:r>
      <w:r w:rsidRPr="007F4E48">
        <w:rPr>
          <w:rFonts w:cs="Arial"/>
          <w:u w:val="single"/>
          <w:rtl/>
        </w:rPr>
        <w:t>א"ר הושעיה</w:t>
      </w:r>
      <w:r>
        <w:rPr>
          <w:rFonts w:cs="Arial" w:hint="cs"/>
          <w:rtl/>
        </w:rPr>
        <w:t>:</w:t>
      </w:r>
      <w:r w:rsidRPr="00506832">
        <w:rPr>
          <w:rFonts w:cs="Arial"/>
          <w:rtl/>
        </w:rPr>
        <w:t xml:space="preserve"> שלא תאמר הואיל וחייב במזונותיה עד שיתן לה פרוטה האחרונה תהא מציאתה שלו</w:t>
      </w:r>
      <w:r w:rsidR="00AE3B76">
        <w:rPr>
          <w:rFonts w:cs="Arial" w:hint="cs"/>
          <w:rtl/>
        </w:rPr>
        <w:t>,</w:t>
      </w:r>
      <w:r w:rsidRPr="00506832">
        <w:rPr>
          <w:rFonts w:cs="Arial"/>
          <w:rtl/>
        </w:rPr>
        <w:t xml:space="preserve"> לפום כן צריך מתניתא</w:t>
      </w:r>
      <w:r>
        <w:rPr>
          <w:rFonts w:cs="Arial" w:hint="cs"/>
          <w:rtl/>
        </w:rPr>
        <w:t>.</w:t>
      </w:r>
      <w:r>
        <w:rPr>
          <w:rFonts w:cs="Arial"/>
          <w:rtl/>
        </w:rPr>
        <w:t xml:space="preserve"> </w:t>
      </w:r>
      <w:r w:rsidRPr="006866EF">
        <w:rPr>
          <w:rFonts w:cs="Arial" w:hint="cs"/>
          <w:sz w:val="16"/>
          <w:szCs w:val="16"/>
          <w:rtl/>
        </w:rPr>
        <w:t>(</w:t>
      </w:r>
      <w:r w:rsidRPr="006866EF">
        <w:rPr>
          <w:rFonts w:cs="Arial"/>
          <w:sz w:val="16"/>
          <w:szCs w:val="16"/>
          <w:rtl/>
        </w:rPr>
        <w:t xml:space="preserve">כתבוהו הרי"ף </w:t>
      </w:r>
      <w:r w:rsidRPr="006866EF">
        <w:rPr>
          <w:rFonts w:cs="Arial" w:hint="cs"/>
          <w:sz w:val="16"/>
          <w:szCs w:val="16"/>
          <w:rtl/>
        </w:rPr>
        <w:t xml:space="preserve">(פ"ק דב"מ ו., וכן בפרק בתרא דכתובות סב:) </w:t>
      </w:r>
      <w:r w:rsidRPr="006866EF">
        <w:rPr>
          <w:rFonts w:cs="Arial"/>
          <w:sz w:val="16"/>
          <w:szCs w:val="16"/>
          <w:rtl/>
        </w:rPr>
        <w:t xml:space="preserve">והרא"ש </w:t>
      </w:r>
      <w:r w:rsidRPr="006866EF">
        <w:rPr>
          <w:rFonts w:cs="Arial" w:hint="cs"/>
          <w:sz w:val="16"/>
          <w:szCs w:val="16"/>
          <w:rtl/>
        </w:rPr>
        <w:t xml:space="preserve">(ב"מ פ"ק </w:t>
      </w:r>
      <w:r w:rsidRPr="006866EF">
        <w:rPr>
          <w:rFonts w:cs="Arial"/>
          <w:sz w:val="16"/>
          <w:szCs w:val="16"/>
          <w:rtl/>
        </w:rPr>
        <w:t>סי' לד</w:t>
      </w:r>
      <w:r w:rsidRPr="006866EF">
        <w:rPr>
          <w:rFonts w:cs="Arial" w:hint="cs"/>
          <w:sz w:val="16"/>
          <w:szCs w:val="16"/>
          <w:rtl/>
        </w:rPr>
        <w:t xml:space="preserve">, וכן בפרק בתרא </w:t>
      </w:r>
      <w:r w:rsidRPr="006866EF">
        <w:rPr>
          <w:rFonts w:cs="Arial"/>
          <w:sz w:val="16"/>
          <w:szCs w:val="16"/>
          <w:rtl/>
        </w:rPr>
        <w:t>דכתובות סי' ד)</w:t>
      </w:r>
      <w:r w:rsidRPr="006866EF">
        <w:rPr>
          <w:rFonts w:cs="Arial" w:hint="cs"/>
          <w:sz w:val="16"/>
          <w:szCs w:val="16"/>
          <w:rtl/>
        </w:rPr>
        <w:t>.</w:t>
      </w:r>
      <w:r w:rsidRPr="006866EF">
        <w:rPr>
          <w:rFonts w:cs="Arial"/>
          <w:sz w:val="16"/>
          <w:szCs w:val="16"/>
          <w:rtl/>
        </w:rPr>
        <w:t xml:space="preserve"> וכתב הרי"ף דמשמע דגמרא דידן לית לה האי סברא דירושלמי</w:t>
      </w:r>
      <w:r w:rsidRPr="006866EF">
        <w:rPr>
          <w:rFonts w:cs="Arial" w:hint="cs"/>
          <w:sz w:val="16"/>
          <w:szCs w:val="16"/>
          <w:rtl/>
        </w:rPr>
        <w:t>,</w:t>
      </w:r>
      <w:r w:rsidRPr="006866EF">
        <w:rPr>
          <w:rFonts w:cs="Arial"/>
          <w:sz w:val="16"/>
          <w:szCs w:val="16"/>
          <w:rtl/>
        </w:rPr>
        <w:t xml:space="preserve"> וכיון שכן לא קיי"ל כוותיה</w:t>
      </w:r>
      <w:r w:rsidRPr="006866EF">
        <w:rPr>
          <w:rFonts w:cs="Arial" w:hint="cs"/>
          <w:sz w:val="16"/>
          <w:szCs w:val="16"/>
          <w:rtl/>
        </w:rPr>
        <w:t>.</w:t>
      </w:r>
      <w:r w:rsidRPr="006866EF">
        <w:rPr>
          <w:rFonts w:cs="Arial"/>
          <w:sz w:val="16"/>
          <w:szCs w:val="16"/>
          <w:rtl/>
        </w:rPr>
        <w:t xml:space="preserve"> והרא"ש (ב"מ שם) דחה ראייתו</w:t>
      </w:r>
      <w:r w:rsidRPr="006866EF">
        <w:rPr>
          <w:rFonts w:cs="Arial" w:hint="cs"/>
          <w:sz w:val="16"/>
          <w:szCs w:val="16"/>
          <w:rtl/>
        </w:rPr>
        <w:t>,</w:t>
      </w:r>
      <w:r w:rsidRPr="006866EF">
        <w:rPr>
          <w:rFonts w:cs="Arial"/>
          <w:sz w:val="16"/>
          <w:szCs w:val="16"/>
          <w:rtl/>
        </w:rPr>
        <w:t xml:space="preserve"> וכתב שגם בעל העיטור (אות כ' כתובות לז ע"א) דחה ראייתו</w:t>
      </w:r>
      <w:r w:rsidR="00935741">
        <w:rPr>
          <w:rFonts w:cs="Arial" w:hint="cs"/>
          <w:sz w:val="16"/>
          <w:szCs w:val="16"/>
          <w:rtl/>
        </w:rPr>
        <w:t>.</w:t>
      </w:r>
      <w:r w:rsidRPr="006866EF">
        <w:rPr>
          <w:rFonts w:cs="Arial"/>
          <w:sz w:val="16"/>
          <w:szCs w:val="16"/>
          <w:rtl/>
        </w:rPr>
        <w:t xml:space="preserve"> ובסוף דבריו כתב הרא"ש וכיון שאין ראיה ברורה דפליג תלמוד דידן אירושלמי עבדינן כוותיה</w:t>
      </w:r>
      <w:r w:rsidR="00262224">
        <w:rPr>
          <w:rFonts w:cs="Arial" w:hint="cs"/>
          <w:sz w:val="16"/>
          <w:szCs w:val="16"/>
          <w:rtl/>
        </w:rPr>
        <w:t xml:space="preserve"> [עכ"ל]</w:t>
      </w:r>
      <w:r>
        <w:rPr>
          <w:rFonts w:cs="Arial" w:hint="cs"/>
          <w:sz w:val="16"/>
          <w:szCs w:val="16"/>
          <w:rtl/>
        </w:rPr>
        <w:t>, ב"י)</w:t>
      </w:r>
    </w:p>
    <w:bookmarkEnd w:id="14"/>
    <w:p w14:paraId="57677470" w14:textId="522CABA5" w:rsidR="00392DBB" w:rsidRPr="00BC658D" w:rsidRDefault="00B9397D" w:rsidP="00BC658D">
      <w:pPr>
        <w:rPr>
          <w:u w:val="single"/>
        </w:rPr>
      </w:pPr>
      <w:r>
        <w:rPr>
          <w:rFonts w:hint="cs"/>
          <w:u w:val="single"/>
          <w:rtl/>
        </w:rPr>
        <w:t>חיוב מזונות לאש</w:t>
      </w:r>
      <w:r w:rsidR="00BC658D">
        <w:rPr>
          <w:rFonts w:hint="cs"/>
          <w:u w:val="single"/>
          <w:rtl/>
        </w:rPr>
        <w:t>ה שנתגרשה</w:t>
      </w:r>
      <w:r w:rsidR="00B21DBF">
        <w:rPr>
          <w:rFonts w:hint="cs"/>
          <w:u w:val="single"/>
          <w:rtl/>
        </w:rPr>
        <w:t xml:space="preserve"> גירושין גמורים אך</w:t>
      </w:r>
      <w:r w:rsidR="00BC658D">
        <w:rPr>
          <w:rFonts w:hint="cs"/>
          <w:u w:val="single"/>
          <w:rtl/>
        </w:rPr>
        <w:t xml:space="preserve"> עדיין לא קיבלה את כל כתובתה:</w:t>
      </w:r>
    </w:p>
    <w:p w14:paraId="6B1C14B1" w14:textId="2E7743A3" w:rsidR="00392DBB" w:rsidRPr="00E167F2" w:rsidRDefault="00924894" w:rsidP="009000E3">
      <w:pPr>
        <w:pStyle w:val="ab"/>
        <w:numPr>
          <w:ilvl w:val="0"/>
          <w:numId w:val="61"/>
        </w:numPr>
      </w:pPr>
      <w:r>
        <w:rPr>
          <w:rFonts w:cs="Arial" w:hint="cs"/>
          <w:rtl/>
        </w:rPr>
        <w:lastRenderedPageBreak/>
        <w:t>בהעי"ט</w:t>
      </w:r>
      <w:r w:rsidR="00392DBB">
        <w:rPr>
          <w:rFonts w:cs="Arial" w:hint="cs"/>
          <w:rtl/>
        </w:rPr>
        <w:t xml:space="preserve"> </w:t>
      </w:r>
      <w:r w:rsidR="00392DBB">
        <w:rPr>
          <w:rFonts w:cs="Arial" w:hint="cs"/>
          <w:sz w:val="16"/>
          <w:szCs w:val="16"/>
          <w:rtl/>
        </w:rPr>
        <w:t xml:space="preserve">(כ"כ הרא"ש בשמו) </w:t>
      </w:r>
      <w:r w:rsidR="00392DBB" w:rsidRPr="007F4E48">
        <w:rPr>
          <w:rFonts w:cs="Arial"/>
          <w:rtl/>
        </w:rPr>
        <w:t xml:space="preserve">רא"ש </w:t>
      </w:r>
      <w:r w:rsidR="00392DBB" w:rsidRPr="007F4E48">
        <w:rPr>
          <w:rFonts w:cs="Arial" w:hint="cs"/>
          <w:sz w:val="16"/>
          <w:szCs w:val="16"/>
          <w:rtl/>
        </w:rPr>
        <w:t xml:space="preserve">(ב"מ פ"ק </w:t>
      </w:r>
      <w:r w:rsidR="00392DBB" w:rsidRPr="007F4E48">
        <w:rPr>
          <w:rFonts w:cs="Arial"/>
          <w:sz w:val="16"/>
          <w:szCs w:val="16"/>
          <w:rtl/>
        </w:rPr>
        <w:t>סי' לד</w:t>
      </w:r>
      <w:r w:rsidR="00392DBB" w:rsidRPr="007F4E48">
        <w:rPr>
          <w:rFonts w:cs="Arial" w:hint="cs"/>
          <w:sz w:val="16"/>
          <w:szCs w:val="16"/>
          <w:rtl/>
        </w:rPr>
        <w:t xml:space="preserve">, </w:t>
      </w:r>
      <w:r w:rsidR="00392DBB" w:rsidRPr="007F4E48">
        <w:rPr>
          <w:rFonts w:cs="Arial"/>
          <w:sz w:val="16"/>
          <w:szCs w:val="16"/>
          <w:rtl/>
        </w:rPr>
        <w:t xml:space="preserve">כתובות </w:t>
      </w:r>
      <w:r>
        <w:rPr>
          <w:rFonts w:cs="Arial" w:hint="cs"/>
          <w:sz w:val="16"/>
          <w:szCs w:val="16"/>
          <w:rtl/>
        </w:rPr>
        <w:t xml:space="preserve">פ' בתרא </w:t>
      </w:r>
      <w:r w:rsidR="00392DBB" w:rsidRPr="007F4E48">
        <w:rPr>
          <w:rFonts w:cs="Arial"/>
          <w:sz w:val="16"/>
          <w:szCs w:val="16"/>
          <w:rtl/>
        </w:rPr>
        <w:t>סי' ד)</w:t>
      </w:r>
      <w:r w:rsidR="00392DBB">
        <w:rPr>
          <w:rFonts w:cs="Arial" w:hint="cs"/>
          <w:rtl/>
        </w:rPr>
        <w:t xml:space="preserve"> וטור-</w:t>
      </w:r>
      <w:r w:rsidR="00BC658D" w:rsidRPr="00BC658D">
        <w:rPr>
          <w:rFonts w:cs="Arial"/>
          <w:rtl/>
        </w:rPr>
        <w:t xml:space="preserve"> </w:t>
      </w:r>
      <w:r w:rsidR="00BC658D" w:rsidRPr="000A1431">
        <w:rPr>
          <w:rFonts w:cs="Arial"/>
          <w:rtl/>
        </w:rPr>
        <w:t>אם תתגרש אין לה עסק עמו</w:t>
      </w:r>
      <w:r w:rsidR="00BC658D">
        <w:rPr>
          <w:rFonts w:cs="Arial" w:hint="cs"/>
          <w:rtl/>
        </w:rPr>
        <w:t>,</w:t>
      </w:r>
      <w:r w:rsidR="00BC658D" w:rsidRPr="000A1431">
        <w:rPr>
          <w:rFonts w:cs="Arial"/>
          <w:rtl/>
        </w:rPr>
        <w:t xml:space="preserve"> אלא נוטלת כתובתה והולכת</w:t>
      </w:r>
      <w:r w:rsidR="00BC658D">
        <w:rPr>
          <w:rFonts w:cs="Arial" w:hint="cs"/>
          <w:rtl/>
        </w:rPr>
        <w:t>.</w:t>
      </w:r>
      <w:r w:rsidR="00392DBB">
        <w:rPr>
          <w:rFonts w:cs="Arial" w:hint="cs"/>
          <w:rtl/>
        </w:rPr>
        <w:t xml:space="preserve"> </w:t>
      </w:r>
      <w:r w:rsidR="00392DBB" w:rsidRPr="000A1431">
        <w:rPr>
          <w:rFonts w:cs="Arial"/>
          <w:rtl/>
        </w:rPr>
        <w:t>בד"א שנתן לה כתובה בלא איחור</w:t>
      </w:r>
      <w:r w:rsidR="00392DBB">
        <w:rPr>
          <w:rFonts w:cs="Arial" w:hint="cs"/>
          <w:rtl/>
        </w:rPr>
        <w:t>,</w:t>
      </w:r>
      <w:r w:rsidR="00392DBB" w:rsidRPr="000A1431">
        <w:rPr>
          <w:rFonts w:cs="Arial"/>
          <w:rtl/>
        </w:rPr>
        <w:t xml:space="preserve"> אבל אם מעכב מליתנה לה </w:t>
      </w:r>
      <w:r w:rsidR="00392DBB">
        <w:rPr>
          <w:rFonts w:cs="Arial" w:hint="cs"/>
          <w:rtl/>
        </w:rPr>
        <w:t xml:space="preserve">- </w:t>
      </w:r>
      <w:r w:rsidR="00392DBB" w:rsidRPr="000A1431">
        <w:rPr>
          <w:rFonts w:cs="Arial"/>
          <w:rtl/>
        </w:rPr>
        <w:t>חייב במזונותיה עד שיפרע לה עד פרוטה אחרונה</w:t>
      </w:r>
      <w:r w:rsidR="00B21DBF">
        <w:rPr>
          <w:rStyle w:val="a7"/>
          <w:rFonts w:cs="Arial"/>
          <w:rtl/>
        </w:rPr>
        <w:footnoteReference w:id="1532"/>
      </w:r>
      <w:r w:rsidR="00392DBB">
        <w:rPr>
          <w:rFonts w:cs="Arial" w:hint="cs"/>
          <w:sz w:val="16"/>
          <w:szCs w:val="16"/>
          <w:rtl/>
        </w:rPr>
        <w:t xml:space="preserve"> (ל' הטור)</w:t>
      </w:r>
      <w:r w:rsidR="00392DBB">
        <w:rPr>
          <w:rFonts w:cs="Arial" w:hint="cs"/>
          <w:rtl/>
        </w:rPr>
        <w:t>.</w:t>
      </w:r>
      <w:r w:rsidR="00392DBB" w:rsidRPr="000A1431">
        <w:rPr>
          <w:rFonts w:cs="Arial"/>
          <w:rtl/>
        </w:rPr>
        <w:t xml:space="preserve"> </w:t>
      </w:r>
    </w:p>
    <w:p w14:paraId="2F52B3BA" w14:textId="661754D2" w:rsidR="00392DBB" w:rsidRPr="00C94C46" w:rsidRDefault="00392DBB" w:rsidP="009000E3">
      <w:pPr>
        <w:pStyle w:val="ab"/>
        <w:numPr>
          <w:ilvl w:val="0"/>
          <w:numId w:val="61"/>
        </w:numPr>
      </w:pPr>
      <w:r>
        <w:rPr>
          <w:rFonts w:cs="Arial" w:hint="cs"/>
          <w:rtl/>
        </w:rPr>
        <w:t xml:space="preserve">רי"ף </w:t>
      </w:r>
      <w:r>
        <w:rPr>
          <w:rFonts w:cs="Arial" w:hint="cs"/>
          <w:sz w:val="16"/>
          <w:szCs w:val="16"/>
          <w:rtl/>
        </w:rPr>
        <w:t>(פ"ק דב"מ ו., פ</w:t>
      </w:r>
      <w:r w:rsidR="00924894">
        <w:rPr>
          <w:rFonts w:cs="Arial" w:hint="cs"/>
          <w:sz w:val="16"/>
          <w:szCs w:val="16"/>
          <w:rtl/>
        </w:rPr>
        <w:t>'</w:t>
      </w:r>
      <w:r>
        <w:rPr>
          <w:rFonts w:cs="Arial" w:hint="cs"/>
          <w:sz w:val="16"/>
          <w:szCs w:val="16"/>
          <w:rtl/>
        </w:rPr>
        <w:t xml:space="preserve"> בתרא דכתובות סב:)</w:t>
      </w:r>
      <w:r>
        <w:rPr>
          <w:rFonts w:cs="Arial" w:hint="cs"/>
          <w:rtl/>
        </w:rPr>
        <w:t>-</w:t>
      </w:r>
      <w:r w:rsidRPr="00506832">
        <w:rPr>
          <w:rtl/>
        </w:rPr>
        <w:t xml:space="preserve"> </w:t>
      </w:r>
      <w:r w:rsidRPr="00506832">
        <w:rPr>
          <w:rFonts w:cs="Arial"/>
          <w:rtl/>
        </w:rPr>
        <w:t>ירושלמי ר' יוסנה בשם ר' אחא אמר אדם שגירש את אשתו ולא נתן לה כתובתה חייב במזונותיה עד שיתן לה פרוטה אחרונה</w:t>
      </w:r>
      <w:r>
        <w:rPr>
          <w:rFonts w:cs="Arial" w:hint="cs"/>
          <w:rtl/>
        </w:rPr>
        <w:t>...</w:t>
      </w:r>
      <w:r w:rsidRPr="00506832">
        <w:rPr>
          <w:rFonts w:cs="Arial"/>
          <w:rtl/>
        </w:rPr>
        <w:t xml:space="preserve"> ומסתברא לן דגמרא דילן לית ליה האי סברא</w:t>
      </w:r>
      <w:r>
        <w:rPr>
          <w:rStyle w:val="a7"/>
          <w:rFonts w:cs="Arial"/>
          <w:rtl/>
        </w:rPr>
        <w:footnoteReference w:id="1533"/>
      </w:r>
      <w:r>
        <w:rPr>
          <w:rFonts w:cs="Arial" w:hint="cs"/>
          <w:rtl/>
        </w:rPr>
        <w:t>...</w:t>
      </w:r>
      <w:r w:rsidR="004E1DCB">
        <w:rPr>
          <w:rFonts w:cs="Arial" w:hint="cs"/>
          <w:rtl/>
        </w:rPr>
        <w:t xml:space="preserve"> </w:t>
      </w:r>
      <w:r w:rsidR="004E1DCB" w:rsidRPr="004E1DCB">
        <w:rPr>
          <w:rFonts w:cs="Arial" w:hint="cs"/>
          <w:color w:val="E36C0A" w:themeColor="accent6" w:themeShade="BF"/>
          <w:rtl/>
        </w:rPr>
        <w:t>(וכ"</w:t>
      </w:r>
      <w:r w:rsidR="00E041CB">
        <w:rPr>
          <w:rFonts w:cs="Arial" w:hint="cs"/>
          <w:color w:val="E36C0A" w:themeColor="accent6" w:themeShade="BF"/>
          <w:rtl/>
        </w:rPr>
        <w:t>ס</w:t>
      </w:r>
      <w:r w:rsidR="004E1DCB" w:rsidRPr="004E1DCB">
        <w:rPr>
          <w:rFonts w:cs="Arial" w:hint="cs"/>
          <w:color w:val="E36C0A" w:themeColor="accent6" w:themeShade="BF"/>
          <w:rtl/>
        </w:rPr>
        <w:t xml:space="preserve"> בשו"ע)</w:t>
      </w:r>
      <w:r w:rsidRPr="000A1431">
        <w:rPr>
          <w:rFonts w:cs="Arial"/>
          <w:rtl/>
        </w:rPr>
        <w:t xml:space="preserve"> </w:t>
      </w:r>
    </w:p>
    <w:p w14:paraId="12C5AFEE" w14:textId="55DBF4C9" w:rsidR="00392DBB" w:rsidRPr="00C21207" w:rsidRDefault="00392DBB" w:rsidP="00392DBB">
      <w:pPr>
        <w:ind w:left="360"/>
        <w:rPr>
          <w:rFonts w:cs="Arial"/>
          <w:u w:val="dotted"/>
        </w:rPr>
      </w:pPr>
      <w:r w:rsidRPr="00C21207">
        <w:rPr>
          <w:rFonts w:cs="Arial" w:hint="cs"/>
          <w:u w:val="dotted"/>
          <w:rtl/>
        </w:rPr>
        <w:t xml:space="preserve">לרא"ש וסיעתו </w:t>
      </w:r>
      <w:r w:rsidR="00F97626">
        <w:rPr>
          <w:rFonts w:cs="Arial"/>
          <w:u w:val="dotted"/>
          <w:rtl/>
        </w:rPr>
        <w:t>-</w:t>
      </w:r>
      <w:r w:rsidRPr="00C21207">
        <w:rPr>
          <w:rFonts w:cs="Arial" w:hint="cs"/>
          <w:u w:val="dotted"/>
          <w:rtl/>
        </w:rPr>
        <w:t xml:space="preserve"> </w:t>
      </w:r>
      <w:r w:rsidR="007B72BA">
        <w:rPr>
          <w:rFonts w:cs="Arial" w:hint="cs"/>
          <w:u w:val="dotted"/>
          <w:rtl/>
        </w:rPr>
        <w:t xml:space="preserve">האם מוציאים את מזונותיה </w:t>
      </w:r>
      <w:r w:rsidR="004B1F54">
        <w:rPr>
          <w:rFonts w:cs="Arial" w:hint="cs"/>
          <w:u w:val="dotted"/>
          <w:rtl/>
        </w:rPr>
        <w:t>כנ"ל גם מן היורשים</w:t>
      </w:r>
      <w:r w:rsidRPr="00C21207">
        <w:rPr>
          <w:rFonts w:cs="Arial" w:hint="cs"/>
          <w:u w:val="dotted"/>
          <w:rtl/>
        </w:rPr>
        <w:t>:</w:t>
      </w:r>
    </w:p>
    <w:p w14:paraId="44FAEA45" w14:textId="77777777" w:rsidR="00392DBB" w:rsidRDefault="00392DBB" w:rsidP="009000E3">
      <w:pPr>
        <w:pStyle w:val="ab"/>
        <w:numPr>
          <w:ilvl w:val="0"/>
          <w:numId w:val="61"/>
        </w:numPr>
        <w:rPr>
          <w:rFonts w:cs="Arial"/>
        </w:rPr>
      </w:pPr>
      <w:r w:rsidRPr="00E167F2">
        <w:rPr>
          <w:rFonts w:cs="Arial"/>
          <w:rtl/>
        </w:rPr>
        <w:t>ריב"ש</w:t>
      </w:r>
      <w:r>
        <w:rPr>
          <w:rFonts w:cs="Arial" w:hint="cs"/>
          <w:sz w:val="16"/>
          <w:szCs w:val="16"/>
          <w:rtl/>
        </w:rPr>
        <w:t xml:space="preserve"> (סי' שג)</w:t>
      </w:r>
      <w:r>
        <w:rPr>
          <w:rFonts w:cs="Arial" w:hint="cs"/>
          <w:rtl/>
        </w:rPr>
        <w:t xml:space="preserve">- </w:t>
      </w:r>
      <w:r w:rsidRPr="00E167F2">
        <w:rPr>
          <w:rFonts w:cs="Arial"/>
          <w:rtl/>
        </w:rPr>
        <w:t>אפילו לאותם שנטו לסברת הירושלמי בגרושה נראה שאין לומר כן בחלוצה</w:t>
      </w:r>
      <w:r>
        <w:rPr>
          <w:rFonts w:cs="Arial" w:hint="cs"/>
          <w:rtl/>
        </w:rPr>
        <w:t>,</w:t>
      </w:r>
      <w:r w:rsidRPr="00E167F2">
        <w:rPr>
          <w:rFonts w:cs="Arial"/>
          <w:rtl/>
        </w:rPr>
        <w:t xml:space="preserve"> שהרי הרא"ש שנטה קצת לדברי הירושלמי נדחק לדחות ראיות הרי"ף ולומר דודאי אין טעם הירושלמי מן הדין אלא תקנה שתקנו כדי ליפות כח האשה לתת לה כתובתה בעין יפה ולא על יד</w:t>
      </w:r>
      <w:r>
        <w:rPr>
          <w:rFonts w:cs="Arial" w:hint="cs"/>
          <w:rtl/>
        </w:rPr>
        <w:t>.</w:t>
      </w:r>
      <w:r w:rsidRPr="00E167F2">
        <w:rPr>
          <w:rFonts w:cs="Arial"/>
          <w:rtl/>
        </w:rPr>
        <w:t xml:space="preserve"> ואם כן יש לנו לומר שכשתיקנו בני מערבא לא תיקנו אלא על המגרש לבד</w:t>
      </w:r>
      <w:r>
        <w:rPr>
          <w:rFonts w:cs="Arial" w:hint="cs"/>
          <w:rtl/>
        </w:rPr>
        <w:t>,</w:t>
      </w:r>
      <w:r w:rsidRPr="00E167F2">
        <w:rPr>
          <w:rFonts w:cs="Arial"/>
          <w:rtl/>
        </w:rPr>
        <w:t xml:space="preserve"> אבל על היורשים לא תיקנו אפילו בגרושה</w:t>
      </w:r>
      <w:r>
        <w:rPr>
          <w:rFonts w:cs="Arial" w:hint="cs"/>
          <w:rtl/>
        </w:rPr>
        <w:t>,</w:t>
      </w:r>
      <w:r w:rsidRPr="00E167F2">
        <w:rPr>
          <w:rFonts w:cs="Arial"/>
          <w:rtl/>
        </w:rPr>
        <w:t xml:space="preserve"> דדוקא בחייו אבל לאחר מיתת המגרש אין לה מזונות על היורשים</w:t>
      </w:r>
      <w:r>
        <w:rPr>
          <w:rFonts w:cs="Arial" w:hint="cs"/>
          <w:rtl/>
        </w:rPr>
        <w:t>,</w:t>
      </w:r>
      <w:r w:rsidRPr="00E167F2">
        <w:rPr>
          <w:rFonts w:cs="Arial"/>
          <w:rtl/>
        </w:rPr>
        <w:t xml:space="preserve"> וה"ה לחלוצה</w:t>
      </w:r>
      <w:r>
        <w:rPr>
          <w:rFonts w:cs="Arial" w:hint="cs"/>
          <w:rtl/>
        </w:rPr>
        <w:t>.</w:t>
      </w:r>
    </w:p>
    <w:p w14:paraId="0A3000AC"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E9681AD" w14:textId="53ADC44B" w:rsidR="00392DBB" w:rsidRDefault="00392DBB" w:rsidP="00392DBB">
      <w:pPr>
        <w:rPr>
          <w:rtl/>
        </w:rPr>
      </w:pPr>
      <w:r>
        <w:rPr>
          <w:rFonts w:cs="Arial"/>
          <w:rtl/>
        </w:rPr>
        <w:t>האשה שהיה לה ספק גירושין ומת בעלה, אינה ניזונית מנכסיו, שאין מוציאין מיד היורש מספק. אבל בחיי בעלה יש לה מזונות עד שתתגרש גרושין גמורים</w:t>
      </w:r>
      <w:r>
        <w:rPr>
          <w:rStyle w:val="a7"/>
          <w:rFonts w:cs="Arial"/>
          <w:rtl/>
        </w:rPr>
        <w:footnoteReference w:id="1534"/>
      </w:r>
      <w:r>
        <w:rPr>
          <w:rFonts w:cs="Arial"/>
          <w:rtl/>
        </w:rPr>
        <w:t xml:space="preserve">. </w:t>
      </w:r>
    </w:p>
    <w:p w14:paraId="1EF9B6B9" w14:textId="77777777" w:rsidR="00392DBB" w:rsidRPr="00B4071F" w:rsidRDefault="00392DBB" w:rsidP="00392DBB">
      <w:pPr>
        <w:rPr>
          <w:u w:val="single"/>
          <w:rtl/>
        </w:rPr>
      </w:pPr>
      <w:r>
        <w:rPr>
          <w:rFonts w:hint="cs"/>
          <w:u w:val="single"/>
          <w:rtl/>
        </w:rPr>
        <w:t>אשה</w:t>
      </w:r>
      <w:r w:rsidRPr="00B4071F">
        <w:rPr>
          <w:rFonts w:hint="cs"/>
          <w:u w:val="single"/>
          <w:rtl/>
        </w:rPr>
        <w:t xml:space="preserve"> </w:t>
      </w:r>
      <w:r>
        <w:rPr>
          <w:rFonts w:hint="cs"/>
          <w:u w:val="single"/>
          <w:rtl/>
        </w:rPr>
        <w:t>ש</w:t>
      </w:r>
      <w:r w:rsidRPr="00B4071F">
        <w:rPr>
          <w:rFonts w:hint="cs"/>
          <w:u w:val="single"/>
          <w:rtl/>
        </w:rPr>
        <w:t xml:space="preserve">טוענת </w:t>
      </w:r>
      <w:r>
        <w:rPr>
          <w:rFonts w:hint="cs"/>
          <w:u w:val="single"/>
          <w:rtl/>
        </w:rPr>
        <w:t xml:space="preserve">שלא בפני בעלה, </w:t>
      </w:r>
      <w:r w:rsidRPr="00B4071F">
        <w:rPr>
          <w:rFonts w:hint="cs"/>
          <w:u w:val="single"/>
          <w:rtl/>
        </w:rPr>
        <w:t>שבעלה גרש אותה, ו</w:t>
      </w:r>
      <w:r>
        <w:rPr>
          <w:rFonts w:hint="cs"/>
          <w:u w:val="single"/>
          <w:rtl/>
        </w:rPr>
        <w:t>כשהגיע בעלה הכחיש את דבריה</w:t>
      </w:r>
      <w:r w:rsidRPr="00B4071F">
        <w:rPr>
          <w:rFonts w:hint="cs"/>
          <w:u w:val="single"/>
          <w:rtl/>
        </w:rPr>
        <w:t>:</w:t>
      </w:r>
    </w:p>
    <w:p w14:paraId="6CE387D5" w14:textId="281DE74A" w:rsidR="00392DBB" w:rsidRDefault="00392DBB" w:rsidP="009000E3">
      <w:pPr>
        <w:pStyle w:val="ab"/>
        <w:numPr>
          <w:ilvl w:val="0"/>
          <w:numId w:val="61"/>
        </w:numPr>
        <w:rPr>
          <w:rtl/>
        </w:rPr>
      </w:pPr>
      <w:r w:rsidRPr="00B4071F">
        <w:rPr>
          <w:rFonts w:cs="Arial" w:hint="cs"/>
          <w:rtl/>
        </w:rPr>
        <w:t xml:space="preserve">פת"ש </w:t>
      </w:r>
      <w:r w:rsidRPr="00B4071F">
        <w:rPr>
          <w:rFonts w:cs="Arial" w:hint="cs"/>
          <w:sz w:val="16"/>
          <w:szCs w:val="16"/>
          <w:rtl/>
        </w:rPr>
        <w:t>(סק"ב)</w:t>
      </w:r>
      <w:r w:rsidRPr="00B4071F">
        <w:rPr>
          <w:rFonts w:cs="Arial" w:hint="cs"/>
          <w:rtl/>
        </w:rPr>
        <w:t xml:space="preserve">- </w:t>
      </w:r>
      <w:r>
        <w:rPr>
          <w:rFonts w:cs="Arial" w:hint="cs"/>
          <w:rtl/>
        </w:rPr>
        <w:t xml:space="preserve">עיין </w:t>
      </w:r>
      <w:r w:rsidRPr="00B4071F">
        <w:rPr>
          <w:rFonts w:cs="Arial"/>
          <w:rtl/>
        </w:rPr>
        <w:t>בס' ישועות יעקב שנסתפק בזה באומרת גרשני שלא בפני בעלה</w:t>
      </w:r>
      <w:r>
        <w:rPr>
          <w:rFonts w:cs="Arial" w:hint="cs"/>
          <w:rtl/>
        </w:rPr>
        <w:t>,</w:t>
      </w:r>
      <w:r w:rsidRPr="00B4071F">
        <w:rPr>
          <w:rFonts w:cs="Arial"/>
          <w:rtl/>
        </w:rPr>
        <w:t xml:space="preserve"> ואח"כ בא בעלה ומכחיש</w:t>
      </w:r>
      <w:r>
        <w:rPr>
          <w:rFonts w:cs="Arial" w:hint="cs"/>
          <w:rtl/>
        </w:rPr>
        <w:t>ה</w:t>
      </w:r>
      <w:r w:rsidRPr="00B4071F">
        <w:rPr>
          <w:rFonts w:cs="Arial"/>
          <w:rtl/>
        </w:rPr>
        <w:t xml:space="preserve"> דאז אסור</w:t>
      </w:r>
      <w:r>
        <w:rPr>
          <w:rFonts w:cs="Arial" w:hint="cs"/>
          <w:rtl/>
        </w:rPr>
        <w:t>ה</w:t>
      </w:r>
      <w:r w:rsidRPr="00B4071F">
        <w:rPr>
          <w:rFonts w:cs="Arial"/>
          <w:rtl/>
        </w:rPr>
        <w:t xml:space="preserve"> להנשא</w:t>
      </w:r>
      <w:r>
        <w:rPr>
          <w:rFonts w:cs="Arial" w:hint="cs"/>
          <w:rtl/>
        </w:rPr>
        <w:t>.</w:t>
      </w:r>
      <w:r w:rsidRPr="00B4071F">
        <w:rPr>
          <w:rFonts w:cs="Arial"/>
          <w:rtl/>
        </w:rPr>
        <w:t xml:space="preserve"> ואח"כ באו עדים או שבעלה בעצמו הודה שגירש</w:t>
      </w:r>
      <w:r>
        <w:rPr>
          <w:rFonts w:cs="Arial" w:hint="cs"/>
          <w:rtl/>
        </w:rPr>
        <w:t>ה,</w:t>
      </w:r>
      <w:r w:rsidRPr="00B4071F">
        <w:rPr>
          <w:rFonts w:cs="Arial"/>
          <w:rtl/>
        </w:rPr>
        <w:t xml:space="preserve"> אי נימא דחייב במזונותי</w:t>
      </w:r>
      <w:r>
        <w:rPr>
          <w:rFonts w:cs="Arial" w:hint="cs"/>
          <w:rtl/>
        </w:rPr>
        <w:t>ה</w:t>
      </w:r>
      <w:r w:rsidRPr="00B4071F">
        <w:rPr>
          <w:rFonts w:cs="Arial"/>
          <w:rtl/>
        </w:rPr>
        <w:t xml:space="preserve"> משום שעל ידו הית</w:t>
      </w:r>
      <w:r>
        <w:rPr>
          <w:rFonts w:cs="Arial" w:hint="cs"/>
          <w:rtl/>
        </w:rPr>
        <w:t>ה</w:t>
      </w:r>
      <w:r w:rsidRPr="00B4071F">
        <w:rPr>
          <w:rFonts w:cs="Arial"/>
          <w:rtl/>
        </w:rPr>
        <w:t xml:space="preserve"> מעוכבת להנשא</w:t>
      </w:r>
      <w:r>
        <w:rPr>
          <w:rFonts w:cs="Arial" w:hint="cs"/>
          <w:rtl/>
        </w:rPr>
        <w:t>.</w:t>
      </w:r>
      <w:r w:rsidRPr="00B4071F">
        <w:rPr>
          <w:rFonts w:cs="Arial"/>
          <w:rtl/>
        </w:rPr>
        <w:t xml:space="preserve"> והראה פנים לכל צד</w:t>
      </w:r>
      <w:r w:rsidR="00E041CB">
        <w:rPr>
          <w:rFonts w:cs="Arial" w:hint="cs"/>
          <w:rtl/>
        </w:rPr>
        <w:t>,</w:t>
      </w:r>
      <w:r w:rsidRPr="00B4071F">
        <w:rPr>
          <w:rFonts w:cs="Arial"/>
          <w:rtl/>
        </w:rPr>
        <w:t xml:space="preserve"> ומסיים </w:t>
      </w:r>
      <w:r>
        <w:rPr>
          <w:rFonts w:cs="Arial" w:hint="cs"/>
          <w:rtl/>
        </w:rPr>
        <w:t xml:space="preserve">- </w:t>
      </w:r>
      <w:r w:rsidRPr="00B4071F">
        <w:rPr>
          <w:rFonts w:cs="Arial"/>
          <w:rtl/>
        </w:rPr>
        <w:t>והעיקר נראה לי דחייב במזונות</w:t>
      </w:r>
      <w:r>
        <w:rPr>
          <w:rFonts w:cs="Arial" w:hint="cs"/>
          <w:rtl/>
        </w:rPr>
        <w:t>.</w:t>
      </w:r>
    </w:p>
    <w:p w14:paraId="6FDEF228" w14:textId="77777777" w:rsidR="00392DBB" w:rsidRDefault="00392DBB" w:rsidP="00392DBB">
      <w:pPr>
        <w:rPr>
          <w:rtl/>
        </w:rPr>
      </w:pPr>
    </w:p>
    <w:p w14:paraId="56FCEB6E" w14:textId="77777777" w:rsidR="00392DBB" w:rsidRDefault="00392DBB" w:rsidP="000F64D0">
      <w:pPr>
        <w:pStyle w:val="2"/>
        <w:rPr>
          <w:rtl/>
        </w:rPr>
      </w:pPr>
      <w:r>
        <w:rPr>
          <w:rtl/>
        </w:rPr>
        <w:t>סעיף ג</w:t>
      </w:r>
      <w:r>
        <w:rPr>
          <w:rFonts w:hint="cs"/>
          <w:rtl/>
        </w:rPr>
        <w:t>: מזונות אלמנה.</w:t>
      </w:r>
    </w:p>
    <w:p w14:paraId="3FE0C163" w14:textId="19234722" w:rsidR="00392DBB" w:rsidRDefault="00392DBB" w:rsidP="00392DBB">
      <w:pPr>
        <w:rPr>
          <w:rFonts w:cs="Arial"/>
          <w:rtl/>
        </w:rPr>
      </w:pPr>
      <w:r w:rsidRPr="003E717B">
        <w:rPr>
          <w:rFonts w:cs="Arial" w:hint="cs"/>
          <w:b/>
          <w:bCs/>
          <w:rtl/>
        </w:rPr>
        <w:t xml:space="preserve">כתובות </w:t>
      </w:r>
      <w:r w:rsidRPr="003E717B">
        <w:rPr>
          <w:rFonts w:cs="Arial" w:hint="cs"/>
          <w:b/>
          <w:bCs/>
          <w:sz w:val="16"/>
          <w:szCs w:val="16"/>
          <w:rtl/>
        </w:rPr>
        <w:t>(</w:t>
      </w:r>
      <w:r w:rsidR="00E041CB">
        <w:rPr>
          <w:rFonts w:cs="Arial" w:hint="cs"/>
          <w:b/>
          <w:bCs/>
          <w:sz w:val="16"/>
          <w:szCs w:val="16"/>
          <w:rtl/>
        </w:rPr>
        <w:t>ר"</w:t>
      </w:r>
      <w:r w:rsidRPr="003E717B">
        <w:rPr>
          <w:rFonts w:cs="Arial" w:hint="cs"/>
          <w:b/>
          <w:bCs/>
          <w:sz w:val="16"/>
          <w:szCs w:val="16"/>
          <w:rtl/>
        </w:rPr>
        <w:t xml:space="preserve">פ אלמנה ניזונת) </w:t>
      </w:r>
      <w:r w:rsidRPr="003E717B">
        <w:rPr>
          <w:rFonts w:cs="Arial" w:hint="cs"/>
          <w:b/>
          <w:bCs/>
          <w:rtl/>
        </w:rPr>
        <w:t>צ</w:t>
      </w:r>
      <w:r>
        <w:rPr>
          <w:rFonts w:cs="Arial" w:hint="cs"/>
          <w:b/>
          <w:bCs/>
          <w:rtl/>
        </w:rPr>
        <w:t>ה</w:t>
      </w:r>
      <w:r w:rsidRPr="003E717B">
        <w:rPr>
          <w:rFonts w:cs="Arial" w:hint="cs"/>
          <w:b/>
          <w:bCs/>
          <w:rtl/>
        </w:rPr>
        <w:t xml:space="preserve"> ע"ב: </w:t>
      </w:r>
      <w:r w:rsidRPr="002778C1">
        <w:rPr>
          <w:rFonts w:cs="Arial"/>
          <w:u w:val="double"/>
          <w:rtl/>
        </w:rPr>
        <w:t>מתני'</w:t>
      </w:r>
      <w:r>
        <w:rPr>
          <w:rFonts w:cs="Arial" w:hint="cs"/>
          <w:rtl/>
        </w:rPr>
        <w:t>:</w:t>
      </w:r>
      <w:r w:rsidRPr="002778C1">
        <w:rPr>
          <w:rFonts w:cs="Arial"/>
          <w:rtl/>
        </w:rPr>
        <w:t xml:space="preserve"> אלמנה ניזונת מנכסי יתומים, מעשה ידיה שלהן, ואין חייבין בקבורתה</w:t>
      </w:r>
      <w:r>
        <w:rPr>
          <w:rFonts w:cs="Arial" w:hint="cs"/>
          <w:rtl/>
        </w:rPr>
        <w:t>.</w:t>
      </w:r>
      <w:r w:rsidRPr="002778C1">
        <w:rPr>
          <w:rFonts w:cs="Arial"/>
          <w:rtl/>
        </w:rPr>
        <w:t xml:space="preserve"> יורשיה יורשי כתובתה - חייבין בקבורתה.</w:t>
      </w:r>
    </w:p>
    <w:p w14:paraId="2C67D86B" w14:textId="214DE8C4" w:rsidR="00392DBB" w:rsidRPr="008A5458" w:rsidRDefault="00392DBB" w:rsidP="00392DBB">
      <w:pPr>
        <w:rPr>
          <w:rtl/>
        </w:rPr>
      </w:pPr>
      <w:r w:rsidRPr="008074C4">
        <w:rPr>
          <w:rFonts w:cs="Arial" w:hint="cs"/>
          <w:b/>
          <w:bCs/>
          <w:rtl/>
        </w:rPr>
        <w:t xml:space="preserve">כתובות </w:t>
      </w:r>
      <w:r w:rsidRPr="008074C4">
        <w:rPr>
          <w:rFonts w:cs="Arial" w:hint="cs"/>
          <w:b/>
          <w:bCs/>
          <w:sz w:val="16"/>
          <w:szCs w:val="16"/>
          <w:rtl/>
        </w:rPr>
        <w:t>(</w:t>
      </w:r>
      <w:r w:rsidRPr="008074C4">
        <w:rPr>
          <w:rFonts w:cs="Arial"/>
          <w:b/>
          <w:bCs/>
          <w:sz w:val="16"/>
          <w:szCs w:val="16"/>
          <w:rtl/>
        </w:rPr>
        <w:t>פ</w:t>
      </w:r>
      <w:r w:rsidRPr="008074C4">
        <w:rPr>
          <w:rFonts w:cs="Arial" w:hint="cs"/>
          <w:b/>
          <w:bCs/>
          <w:sz w:val="16"/>
          <w:szCs w:val="16"/>
          <w:rtl/>
        </w:rPr>
        <w:t>'</w:t>
      </w:r>
      <w:r w:rsidRPr="008074C4">
        <w:rPr>
          <w:rFonts w:cs="Arial"/>
          <w:b/>
          <w:bCs/>
          <w:sz w:val="16"/>
          <w:szCs w:val="16"/>
          <w:rtl/>
        </w:rPr>
        <w:t xml:space="preserve"> נערה שנתפתתה</w:t>
      </w:r>
      <w:r w:rsidRPr="008074C4">
        <w:rPr>
          <w:rFonts w:cs="Arial" w:hint="cs"/>
          <w:b/>
          <w:bCs/>
          <w:sz w:val="16"/>
          <w:szCs w:val="16"/>
          <w:rtl/>
        </w:rPr>
        <w:t>)</w:t>
      </w:r>
      <w:r w:rsidRPr="008074C4">
        <w:rPr>
          <w:rFonts w:cs="Arial"/>
          <w:b/>
          <w:bCs/>
          <w:rtl/>
        </w:rPr>
        <w:t xml:space="preserve"> נב</w:t>
      </w:r>
      <w:r w:rsidR="00BD7CE6">
        <w:rPr>
          <w:rStyle w:val="a7"/>
          <w:rFonts w:cs="Arial"/>
          <w:b/>
          <w:bCs/>
          <w:rtl/>
        </w:rPr>
        <w:footnoteReference w:id="1535"/>
      </w:r>
      <w:r w:rsidRPr="008074C4">
        <w:rPr>
          <w:rFonts w:cs="Arial" w:hint="cs"/>
          <w:b/>
          <w:bCs/>
          <w:rtl/>
        </w:rPr>
        <w:t xml:space="preserve"> ע"ב</w:t>
      </w:r>
      <w:r w:rsidRPr="008074C4">
        <w:rPr>
          <w:rFonts w:cs="Arial"/>
          <w:b/>
          <w:bCs/>
          <w:rtl/>
        </w:rPr>
        <w:t>:</w:t>
      </w:r>
      <w:r>
        <w:rPr>
          <w:rFonts w:cs="Arial" w:hint="cs"/>
          <w:rtl/>
        </w:rPr>
        <w:t xml:space="preserve"> </w:t>
      </w:r>
      <w:r w:rsidRPr="008074C4">
        <w:rPr>
          <w:rFonts w:cs="Arial"/>
          <w:u w:val="double"/>
          <w:rtl/>
        </w:rPr>
        <w:t>מתני'</w:t>
      </w:r>
      <w:r>
        <w:rPr>
          <w:rFonts w:cs="Arial" w:hint="cs"/>
          <w:rtl/>
        </w:rPr>
        <w:t>:</w:t>
      </w:r>
      <w:r w:rsidRPr="008074C4">
        <w:rPr>
          <w:rFonts w:cs="Arial"/>
          <w:rtl/>
        </w:rPr>
        <w:t xml:space="preserve"> לא כתב לה</w:t>
      </w:r>
      <w:r>
        <w:rPr>
          <w:rFonts w:cs="Arial" w:hint="cs"/>
          <w:rtl/>
        </w:rPr>
        <w:t>...</w:t>
      </w:r>
      <w:r w:rsidRPr="008074C4">
        <w:rPr>
          <w:rFonts w:cs="Arial"/>
          <w:rtl/>
        </w:rPr>
        <w:t xml:space="preserve"> את תהא יתבא בביתי ומיתזנא מנכסי כל ימי מיגר אלמנותיך בביתי - חייב, שהוא תנאי בית דין</w:t>
      </w:r>
      <w:r w:rsidRPr="00CD212F">
        <w:rPr>
          <w:rFonts w:cs="Arial"/>
          <w:rtl/>
        </w:rPr>
        <w:t>.</w:t>
      </w:r>
    </w:p>
    <w:p w14:paraId="26E65877" w14:textId="77777777" w:rsidR="00392DBB" w:rsidRPr="008A5458" w:rsidRDefault="00392DBB" w:rsidP="00392DBB">
      <w:pPr>
        <w:rPr>
          <w:u w:val="single"/>
          <w:rtl/>
        </w:rPr>
      </w:pPr>
      <w:r w:rsidRPr="008A5458">
        <w:rPr>
          <w:rFonts w:hint="cs"/>
          <w:u w:val="single"/>
          <w:rtl/>
        </w:rPr>
        <w:t>אלמנה ניזונת מנכסי יורשים:</w:t>
      </w:r>
    </w:p>
    <w:p w14:paraId="6DDC8DAB" w14:textId="6A5DB672" w:rsidR="00392DBB" w:rsidRDefault="00392DBB" w:rsidP="009000E3">
      <w:pPr>
        <w:pStyle w:val="ab"/>
        <w:numPr>
          <w:ilvl w:val="0"/>
          <w:numId w:val="61"/>
        </w:numPr>
        <w:rPr>
          <w:rtl/>
        </w:rPr>
      </w:pPr>
      <w:r>
        <w:rPr>
          <w:rFonts w:cs="Arial" w:hint="cs"/>
          <w:rtl/>
        </w:rPr>
        <w:t xml:space="preserve">טור- </w:t>
      </w:r>
      <w:r w:rsidRPr="000A1431">
        <w:rPr>
          <w:rFonts w:cs="Arial"/>
          <w:rtl/>
        </w:rPr>
        <w:t>נתאלמנה חייבים היורשים לזונה</w:t>
      </w:r>
      <w:r>
        <w:rPr>
          <w:rFonts w:cs="Arial" w:hint="cs"/>
          <w:rtl/>
        </w:rPr>
        <w:t>,</w:t>
      </w:r>
      <w:r w:rsidRPr="000A1431">
        <w:rPr>
          <w:rFonts w:cs="Arial"/>
          <w:rtl/>
        </w:rPr>
        <w:t xml:space="preserve"> כתנאי כתובה את תהא יתבא בביתי ומיתזנא מנכסי כל ימי מיגר ארמלותך</w:t>
      </w:r>
      <w:r>
        <w:rPr>
          <w:rStyle w:val="a7"/>
          <w:rFonts w:cs="Arial"/>
          <w:rtl/>
        </w:rPr>
        <w:footnoteReference w:id="1536"/>
      </w:r>
      <w:r w:rsidRPr="000A1431">
        <w:rPr>
          <w:rFonts w:cs="Arial"/>
          <w:rtl/>
        </w:rPr>
        <w:t xml:space="preserve"> בביתי</w:t>
      </w:r>
      <w:r w:rsidR="00AC26F7">
        <w:rPr>
          <w:rFonts w:cs="Arial" w:hint="cs"/>
          <w:rtl/>
        </w:rPr>
        <w:t>,</w:t>
      </w:r>
      <w:r w:rsidRPr="000A1431">
        <w:rPr>
          <w:rFonts w:cs="Arial"/>
          <w:rtl/>
        </w:rPr>
        <w:t xml:space="preserve"> אפי</w:t>
      </w:r>
      <w:r w:rsidR="00AC26F7">
        <w:rPr>
          <w:rFonts w:cs="Arial" w:hint="cs"/>
          <w:rtl/>
        </w:rPr>
        <w:t>לו</w:t>
      </w:r>
      <w:r w:rsidRPr="000A1431">
        <w:rPr>
          <w:rFonts w:cs="Arial"/>
          <w:rtl/>
        </w:rPr>
        <w:t xml:space="preserve"> אם לא נכתב בכתובתה</w:t>
      </w:r>
      <w:r>
        <w:rPr>
          <w:rFonts w:cs="Arial" w:hint="cs"/>
          <w:rtl/>
        </w:rPr>
        <w:t>.</w:t>
      </w:r>
      <w:r w:rsidRPr="000A1431">
        <w:rPr>
          <w:rFonts w:cs="Arial"/>
          <w:rtl/>
        </w:rPr>
        <w:t xml:space="preserve"> </w:t>
      </w:r>
      <w:r w:rsidRPr="003E717B">
        <w:rPr>
          <w:rFonts w:hint="cs"/>
          <w:color w:val="E36C0A" w:themeColor="accent6" w:themeShade="BF"/>
          <w:rtl/>
        </w:rPr>
        <w:t>(וכ"פ בשו"ע)</w:t>
      </w:r>
    </w:p>
    <w:p w14:paraId="4133BB0D" w14:textId="77777777" w:rsidR="00392DBB" w:rsidRPr="008074C4" w:rsidRDefault="00392DBB" w:rsidP="00392DBB">
      <w:pPr>
        <w:ind w:left="360"/>
        <w:rPr>
          <w:u w:val="dotted"/>
          <w:rtl/>
        </w:rPr>
      </w:pPr>
      <w:r w:rsidRPr="008074C4">
        <w:rPr>
          <w:rFonts w:hint="cs"/>
          <w:u w:val="dotted"/>
          <w:rtl/>
        </w:rPr>
        <w:t>ומה הדין אם צוה בשעת מיתה שלא תיזון מנכסיו:</w:t>
      </w:r>
    </w:p>
    <w:p w14:paraId="789BCB25" w14:textId="1429FDDA" w:rsidR="00392DBB" w:rsidRPr="008074C4" w:rsidRDefault="00392DBB" w:rsidP="009000E3">
      <w:pPr>
        <w:pStyle w:val="ab"/>
        <w:numPr>
          <w:ilvl w:val="0"/>
          <w:numId w:val="61"/>
        </w:numPr>
      </w:pPr>
      <w:r>
        <w:rPr>
          <w:rFonts w:cs="Arial" w:hint="cs"/>
          <w:rtl/>
        </w:rPr>
        <w:t xml:space="preserve">רמב"ם </w:t>
      </w:r>
      <w:r>
        <w:rPr>
          <w:rFonts w:cs="Arial" w:hint="cs"/>
          <w:sz w:val="16"/>
          <w:szCs w:val="16"/>
          <w:rtl/>
        </w:rPr>
        <w:t>(פי"ט מאישות הי"ג)</w:t>
      </w:r>
      <w:r>
        <w:rPr>
          <w:rFonts w:cs="Arial" w:hint="cs"/>
          <w:rtl/>
        </w:rPr>
        <w:t xml:space="preserve"> וטור- </w:t>
      </w:r>
      <w:r w:rsidRPr="000A1431">
        <w:rPr>
          <w:rFonts w:cs="Arial"/>
          <w:rtl/>
        </w:rPr>
        <w:t>ואפי</w:t>
      </w:r>
      <w:r w:rsidR="00CC5B53">
        <w:rPr>
          <w:rFonts w:cs="Arial" w:hint="cs"/>
          <w:rtl/>
        </w:rPr>
        <w:t>לו</w:t>
      </w:r>
      <w:r w:rsidRPr="000A1431">
        <w:rPr>
          <w:rFonts w:cs="Arial"/>
          <w:rtl/>
        </w:rPr>
        <w:t xml:space="preserve"> אם צוה בשעת מיתה אל תיזון אלמנתי מנכסי </w:t>
      </w:r>
      <w:r>
        <w:rPr>
          <w:rFonts w:cs="Arial" w:hint="cs"/>
          <w:rtl/>
        </w:rPr>
        <w:t xml:space="preserve">- </w:t>
      </w:r>
      <w:r w:rsidRPr="000A1431">
        <w:rPr>
          <w:rFonts w:cs="Arial"/>
          <w:rtl/>
        </w:rPr>
        <w:t>אין שומעין לו</w:t>
      </w:r>
      <w:r>
        <w:rPr>
          <w:rStyle w:val="a7"/>
          <w:rFonts w:cs="Arial"/>
          <w:rtl/>
        </w:rPr>
        <w:footnoteReference w:id="1537"/>
      </w:r>
      <w:r>
        <w:rPr>
          <w:rFonts w:cs="Arial" w:hint="cs"/>
          <w:sz w:val="16"/>
          <w:szCs w:val="16"/>
          <w:rtl/>
        </w:rPr>
        <w:t xml:space="preserve"> (ל' הטור)</w:t>
      </w:r>
      <w:r>
        <w:rPr>
          <w:rFonts w:cs="Arial" w:hint="cs"/>
          <w:rtl/>
        </w:rPr>
        <w:t>.</w:t>
      </w:r>
      <w:r w:rsidRPr="000A1431">
        <w:rPr>
          <w:rFonts w:cs="Arial"/>
          <w:rtl/>
        </w:rPr>
        <w:t xml:space="preserve"> </w:t>
      </w:r>
      <w:r w:rsidRPr="003E717B">
        <w:rPr>
          <w:rFonts w:hint="cs"/>
          <w:color w:val="E36C0A" w:themeColor="accent6" w:themeShade="BF"/>
          <w:rtl/>
        </w:rPr>
        <w:t>(וכ"פ בשו"ע)</w:t>
      </w:r>
    </w:p>
    <w:p w14:paraId="0BCD3A17" w14:textId="77777777" w:rsidR="00392DBB" w:rsidRPr="008074C4" w:rsidRDefault="00392DBB" w:rsidP="00392DBB">
      <w:pPr>
        <w:ind w:left="360"/>
        <w:rPr>
          <w:u w:val="dotted"/>
        </w:rPr>
      </w:pPr>
      <w:r w:rsidRPr="008074C4">
        <w:rPr>
          <w:rFonts w:hint="cs"/>
          <w:u w:val="dotted"/>
          <w:rtl/>
        </w:rPr>
        <w:lastRenderedPageBreak/>
        <w:t>ומה הדין אם התנה עמה בשעת נישואין שלא תיזון מנכסיו:</w:t>
      </w:r>
    </w:p>
    <w:p w14:paraId="5B3A2A58" w14:textId="5224D750" w:rsidR="00392DBB" w:rsidRDefault="00392DBB" w:rsidP="009000E3">
      <w:pPr>
        <w:pStyle w:val="ab"/>
        <w:numPr>
          <w:ilvl w:val="0"/>
          <w:numId w:val="61"/>
        </w:numPr>
      </w:pPr>
      <w:r>
        <w:rPr>
          <w:rFonts w:cs="Arial" w:hint="cs"/>
          <w:rtl/>
        </w:rPr>
        <w:t xml:space="preserve">טור- </w:t>
      </w:r>
      <w:r w:rsidRPr="000A1431">
        <w:rPr>
          <w:rFonts w:cs="Arial"/>
          <w:rtl/>
        </w:rPr>
        <w:t xml:space="preserve">אבל אם התנה בשעת נישואין שלא תיזון אלמנתו מנכסיו </w:t>
      </w:r>
      <w:r w:rsidR="00CC5B53">
        <w:rPr>
          <w:rFonts w:cs="Arial" w:hint="cs"/>
          <w:rtl/>
        </w:rPr>
        <w:t xml:space="preserve">- </w:t>
      </w:r>
      <w:r w:rsidRPr="000A1431">
        <w:rPr>
          <w:rFonts w:cs="Arial"/>
          <w:rtl/>
        </w:rPr>
        <w:t>הוי תנאי שבממון וקיים</w:t>
      </w:r>
      <w:r>
        <w:rPr>
          <w:rFonts w:cs="Arial" w:hint="cs"/>
          <w:rtl/>
        </w:rPr>
        <w:t>.</w:t>
      </w:r>
      <w:r w:rsidRPr="000A1431">
        <w:rPr>
          <w:rFonts w:cs="Arial"/>
          <w:rtl/>
        </w:rPr>
        <w:t xml:space="preserve"> </w:t>
      </w:r>
      <w:r w:rsidRPr="003E717B">
        <w:rPr>
          <w:rFonts w:hint="cs"/>
          <w:color w:val="E36C0A" w:themeColor="accent6" w:themeShade="BF"/>
          <w:rtl/>
        </w:rPr>
        <w:t>(וכ"פ בשו"ע)</w:t>
      </w:r>
    </w:p>
    <w:p w14:paraId="61774F54" w14:textId="4D3D8C53" w:rsidR="00392DBB" w:rsidRPr="008A5458" w:rsidRDefault="00392DBB" w:rsidP="00392DBB">
      <w:pPr>
        <w:rPr>
          <w:rtl/>
        </w:rPr>
      </w:pPr>
      <w:r w:rsidRPr="00CD212F">
        <w:rPr>
          <w:rFonts w:cs="Arial" w:hint="cs"/>
          <w:b/>
          <w:bCs/>
          <w:rtl/>
        </w:rPr>
        <w:t xml:space="preserve">כתובות </w:t>
      </w:r>
      <w:r w:rsidRPr="00CD212F">
        <w:rPr>
          <w:rFonts w:cs="Arial" w:hint="cs"/>
          <w:b/>
          <w:bCs/>
          <w:sz w:val="16"/>
          <w:szCs w:val="16"/>
          <w:rtl/>
        </w:rPr>
        <w:t>(</w:t>
      </w:r>
      <w:r w:rsidRPr="00CD212F">
        <w:rPr>
          <w:rFonts w:cs="Arial"/>
          <w:b/>
          <w:bCs/>
          <w:sz w:val="16"/>
          <w:szCs w:val="16"/>
          <w:rtl/>
        </w:rPr>
        <w:t>פ</w:t>
      </w:r>
      <w:r w:rsidRPr="00CD212F">
        <w:rPr>
          <w:rFonts w:cs="Arial" w:hint="cs"/>
          <w:b/>
          <w:bCs/>
          <w:sz w:val="16"/>
          <w:szCs w:val="16"/>
          <w:rtl/>
        </w:rPr>
        <w:t>'</w:t>
      </w:r>
      <w:r w:rsidRPr="00CD212F">
        <w:rPr>
          <w:rFonts w:cs="Arial"/>
          <w:b/>
          <w:bCs/>
          <w:sz w:val="16"/>
          <w:szCs w:val="16"/>
          <w:rtl/>
        </w:rPr>
        <w:t xml:space="preserve"> נערה שנתפתתה</w:t>
      </w:r>
      <w:r w:rsidRPr="00CD212F">
        <w:rPr>
          <w:rFonts w:cs="Arial" w:hint="cs"/>
          <w:b/>
          <w:bCs/>
          <w:sz w:val="16"/>
          <w:szCs w:val="16"/>
          <w:rtl/>
        </w:rPr>
        <w:t>)</w:t>
      </w:r>
      <w:r w:rsidRPr="00CD212F">
        <w:rPr>
          <w:rFonts w:cs="Arial"/>
          <w:b/>
          <w:bCs/>
          <w:rtl/>
        </w:rPr>
        <w:t xml:space="preserve"> נב</w:t>
      </w:r>
      <w:r w:rsidR="00BD7CE6">
        <w:rPr>
          <w:rStyle w:val="a7"/>
          <w:rFonts w:cs="Arial"/>
          <w:b/>
          <w:bCs/>
          <w:rtl/>
        </w:rPr>
        <w:footnoteReference w:id="1538"/>
      </w:r>
      <w:r w:rsidRPr="00CD212F">
        <w:rPr>
          <w:rFonts w:cs="Arial" w:hint="cs"/>
          <w:b/>
          <w:bCs/>
          <w:rtl/>
        </w:rPr>
        <w:t xml:space="preserve"> ע"ב</w:t>
      </w:r>
      <w:r w:rsidRPr="00CD212F">
        <w:rPr>
          <w:rFonts w:cs="Arial"/>
          <w:b/>
          <w:bCs/>
          <w:rtl/>
        </w:rPr>
        <w:t>:</w:t>
      </w:r>
      <w:r w:rsidRPr="00CD212F">
        <w:rPr>
          <w:rFonts w:cs="Arial" w:hint="cs"/>
          <w:rtl/>
        </w:rPr>
        <w:t xml:space="preserve"> </w:t>
      </w:r>
      <w:r w:rsidRPr="00CD212F">
        <w:rPr>
          <w:rFonts w:cs="Arial"/>
          <w:u w:val="double"/>
          <w:rtl/>
        </w:rPr>
        <w:t>מתני'</w:t>
      </w:r>
      <w:r w:rsidRPr="00CD212F">
        <w:rPr>
          <w:rFonts w:cs="Arial" w:hint="cs"/>
          <w:rtl/>
        </w:rPr>
        <w:t>:</w:t>
      </w:r>
      <w:r w:rsidRPr="00CD212F">
        <w:rPr>
          <w:rFonts w:cs="Arial"/>
          <w:rtl/>
        </w:rPr>
        <w:t xml:space="preserve"> לא כתב לה</w:t>
      </w:r>
      <w:r w:rsidRPr="00CD212F">
        <w:rPr>
          <w:rFonts w:cs="Arial" w:hint="cs"/>
          <w:rtl/>
        </w:rPr>
        <w:t>...</w:t>
      </w:r>
      <w:r w:rsidRPr="00CD212F">
        <w:rPr>
          <w:rFonts w:cs="Arial"/>
          <w:rtl/>
        </w:rPr>
        <w:t xml:space="preserve"> את תהא יתבא בביתי ומיתזנא מנכסי כל ימי מיגר אלמנותיך בביתי - חייב, שהוא תנאי בית דין. כך היו אנשי ירושלים כותבין. אנשי גליל היו כותבין כאנשי ירושלים. אנשי יהודה היו כותבין עד שירצו היורשין ליתן לך כתובתיך, לפיכך אם רצו יורשין - נותנין לה כתובתה ופוטרין אותה.</w:t>
      </w:r>
      <w:r w:rsidRPr="00CD212F">
        <w:rPr>
          <w:rtl/>
        </w:rPr>
        <w:t xml:space="preserve"> </w:t>
      </w:r>
      <w:r>
        <w:rPr>
          <w:rFonts w:cs="Arial" w:hint="cs"/>
          <w:rtl/>
        </w:rPr>
        <w:t xml:space="preserve">      </w:t>
      </w:r>
      <w:r w:rsidRPr="00CD212F">
        <w:rPr>
          <w:rFonts w:cs="Arial" w:hint="cs"/>
          <w:u w:val="double"/>
          <w:rtl/>
        </w:rPr>
        <w:t>גמ'</w:t>
      </w:r>
      <w:r>
        <w:rPr>
          <w:rFonts w:cs="Arial" w:hint="cs"/>
          <w:sz w:val="14"/>
          <w:szCs w:val="14"/>
          <w:u w:val="double"/>
          <w:rtl/>
        </w:rPr>
        <w:t>(נד.)</w:t>
      </w:r>
      <w:r>
        <w:rPr>
          <w:rFonts w:cs="Arial" w:hint="cs"/>
          <w:u w:val="double"/>
          <w:rtl/>
        </w:rPr>
        <w:t>:</w:t>
      </w:r>
      <w:r>
        <w:rPr>
          <w:rFonts w:cs="Arial" w:hint="cs"/>
          <w:rtl/>
        </w:rPr>
        <w:t xml:space="preserve"> </w:t>
      </w:r>
      <w:r w:rsidRPr="00CD212F">
        <w:rPr>
          <w:rFonts w:cs="Arial"/>
          <w:rtl/>
        </w:rPr>
        <w:t xml:space="preserve">וכך היו אנשי ירושלים וכו'. אתמר, </w:t>
      </w:r>
      <w:r w:rsidRPr="00CD212F">
        <w:rPr>
          <w:rFonts w:cs="Arial"/>
          <w:u w:val="single"/>
          <w:rtl/>
        </w:rPr>
        <w:t>רב אמר</w:t>
      </w:r>
      <w:r w:rsidRPr="00CD212F">
        <w:rPr>
          <w:rFonts w:cs="Arial"/>
          <w:rtl/>
        </w:rPr>
        <w:t xml:space="preserve">: הלכה כאנשי יהודה, </w:t>
      </w:r>
      <w:r w:rsidRPr="00CD212F">
        <w:rPr>
          <w:rFonts w:cs="Arial"/>
          <w:u w:val="single"/>
          <w:rtl/>
        </w:rPr>
        <w:t>ושמואל אמר</w:t>
      </w:r>
      <w:r w:rsidRPr="00CD212F">
        <w:rPr>
          <w:rFonts w:cs="Arial"/>
          <w:rtl/>
        </w:rPr>
        <w:t xml:space="preserve">: הלכה כאנשי גליל. בבל וכל פרוודהא נהוג כרב, נהרדעא וכל פרוודהא נהוג כשמואל. </w:t>
      </w:r>
      <w:r>
        <w:rPr>
          <w:rFonts w:cs="Arial" w:hint="cs"/>
          <w:sz w:val="16"/>
          <w:szCs w:val="16"/>
          <w:rtl/>
        </w:rPr>
        <w:t>(</w:t>
      </w:r>
      <w:r w:rsidRPr="00C05469">
        <w:rPr>
          <w:rFonts w:cs="Arial"/>
          <w:sz w:val="16"/>
          <w:szCs w:val="16"/>
          <w:rtl/>
        </w:rPr>
        <w:t>פליגי אנשי יהודה וגליל</w:t>
      </w:r>
      <w:r>
        <w:rPr>
          <w:rFonts w:cs="Arial" w:hint="cs"/>
          <w:sz w:val="16"/>
          <w:szCs w:val="16"/>
          <w:rtl/>
        </w:rPr>
        <w:t>.</w:t>
      </w:r>
      <w:r w:rsidRPr="00C05469">
        <w:rPr>
          <w:rFonts w:cs="Arial"/>
          <w:sz w:val="16"/>
          <w:szCs w:val="16"/>
          <w:rtl/>
        </w:rPr>
        <w:t xml:space="preserve"> אנשי גליל אומרים שכך הוא התנאי</w:t>
      </w:r>
      <w:r>
        <w:rPr>
          <w:rFonts w:cs="Arial" w:hint="cs"/>
          <w:sz w:val="16"/>
          <w:szCs w:val="16"/>
          <w:rtl/>
        </w:rPr>
        <w:t>,</w:t>
      </w:r>
      <w:r w:rsidRPr="00C05469">
        <w:rPr>
          <w:rFonts w:cs="Arial"/>
          <w:sz w:val="16"/>
          <w:szCs w:val="16"/>
          <w:rtl/>
        </w:rPr>
        <w:t xml:space="preserve"> שהדבר תלוי בה להיות ניזונית כל זמן שלא תרצה לגבות כתובתה</w:t>
      </w:r>
      <w:r>
        <w:rPr>
          <w:rFonts w:cs="Arial" w:hint="cs"/>
          <w:sz w:val="16"/>
          <w:szCs w:val="16"/>
          <w:rtl/>
        </w:rPr>
        <w:t>.</w:t>
      </w:r>
      <w:r w:rsidRPr="00C05469">
        <w:rPr>
          <w:rFonts w:cs="Arial"/>
          <w:sz w:val="16"/>
          <w:szCs w:val="16"/>
          <w:rtl/>
        </w:rPr>
        <w:t xml:space="preserve"> ואנשי יהודה אומרים שהדבר תלוי ביד היתומים</w:t>
      </w:r>
      <w:r>
        <w:rPr>
          <w:rFonts w:cs="Arial" w:hint="cs"/>
          <w:sz w:val="16"/>
          <w:szCs w:val="16"/>
          <w:rtl/>
        </w:rPr>
        <w:t>,</w:t>
      </w:r>
      <w:r w:rsidRPr="00C05469">
        <w:rPr>
          <w:rFonts w:cs="Arial"/>
          <w:sz w:val="16"/>
          <w:szCs w:val="16"/>
          <w:rtl/>
        </w:rPr>
        <w:t xml:space="preserve"> בכל פעם שירצו ליתן לה </w:t>
      </w:r>
      <w:r>
        <w:rPr>
          <w:rFonts w:cs="Arial" w:hint="cs"/>
          <w:sz w:val="16"/>
          <w:szCs w:val="16"/>
          <w:rtl/>
        </w:rPr>
        <w:t xml:space="preserve">- </w:t>
      </w:r>
      <w:r w:rsidRPr="00C05469">
        <w:rPr>
          <w:rFonts w:cs="Arial"/>
          <w:sz w:val="16"/>
          <w:szCs w:val="16"/>
          <w:rtl/>
        </w:rPr>
        <w:t>אין לה מזונות</w:t>
      </w:r>
      <w:r w:rsidRPr="00C05469">
        <w:rPr>
          <w:rFonts w:cs="Arial" w:hint="cs"/>
          <w:sz w:val="16"/>
          <w:szCs w:val="16"/>
          <w:rtl/>
        </w:rPr>
        <w:t>.</w:t>
      </w:r>
      <w:r w:rsidRPr="00C05469">
        <w:rPr>
          <w:rFonts w:cs="Arial"/>
          <w:sz w:val="16"/>
          <w:szCs w:val="16"/>
          <w:rtl/>
        </w:rPr>
        <w:t xml:space="preserve"> ופלוגתייהו בסתם שלא פירש</w:t>
      </w:r>
      <w:r>
        <w:rPr>
          <w:rFonts w:cs="Arial" w:hint="cs"/>
          <w:sz w:val="16"/>
          <w:szCs w:val="16"/>
          <w:rtl/>
        </w:rPr>
        <w:t>,</w:t>
      </w:r>
      <w:r w:rsidRPr="00C05469">
        <w:rPr>
          <w:rFonts w:cs="Arial"/>
          <w:sz w:val="16"/>
          <w:szCs w:val="16"/>
          <w:rtl/>
        </w:rPr>
        <w:t xml:space="preserve"> אבל אם פירש </w:t>
      </w:r>
      <w:r>
        <w:rPr>
          <w:rFonts w:cs="Arial" w:hint="cs"/>
          <w:sz w:val="16"/>
          <w:szCs w:val="16"/>
          <w:rtl/>
        </w:rPr>
        <w:t xml:space="preserve">- </w:t>
      </w:r>
      <w:r w:rsidRPr="00C05469">
        <w:rPr>
          <w:rFonts w:cs="Arial"/>
          <w:sz w:val="16"/>
          <w:szCs w:val="16"/>
          <w:rtl/>
        </w:rPr>
        <w:t>הכל לפי תנאו</w:t>
      </w:r>
      <w:r w:rsidRPr="00C05469">
        <w:rPr>
          <w:rStyle w:val="a7"/>
          <w:rFonts w:cs="Arial"/>
          <w:sz w:val="16"/>
          <w:szCs w:val="16"/>
          <w:rtl/>
        </w:rPr>
        <w:footnoteReference w:id="1539"/>
      </w:r>
      <w:r>
        <w:rPr>
          <w:rFonts w:cs="Arial" w:hint="cs"/>
          <w:sz w:val="16"/>
          <w:szCs w:val="16"/>
          <w:rtl/>
        </w:rPr>
        <w:t>, טור)</w:t>
      </w:r>
    </w:p>
    <w:p w14:paraId="392B2FCB" w14:textId="77777777" w:rsidR="00392DBB" w:rsidRPr="00B7753B" w:rsidRDefault="00392DBB" w:rsidP="00392DBB">
      <w:pPr>
        <w:rPr>
          <w:u w:val="single"/>
        </w:rPr>
      </w:pPr>
      <w:r>
        <w:rPr>
          <w:rFonts w:hint="cs"/>
          <w:u w:val="single"/>
          <w:rtl/>
        </w:rPr>
        <w:t xml:space="preserve">האם </w:t>
      </w:r>
      <w:r w:rsidRPr="00B7753B">
        <w:rPr>
          <w:rFonts w:hint="cs"/>
          <w:u w:val="single"/>
          <w:rtl/>
        </w:rPr>
        <w:t xml:space="preserve">תנאי </w:t>
      </w:r>
      <w:r>
        <w:rPr>
          <w:rFonts w:hint="cs"/>
          <w:u w:val="single"/>
          <w:rtl/>
        </w:rPr>
        <w:t xml:space="preserve">מזונות </w:t>
      </w:r>
      <w:r w:rsidRPr="00B7753B">
        <w:rPr>
          <w:rFonts w:hint="cs"/>
          <w:u w:val="single"/>
          <w:rtl/>
        </w:rPr>
        <w:t>תלוי ברצון האשה</w:t>
      </w:r>
      <w:r>
        <w:rPr>
          <w:rFonts w:hint="cs"/>
          <w:u w:val="single"/>
          <w:rtl/>
        </w:rPr>
        <w:t xml:space="preserve"> </w:t>
      </w:r>
      <w:r>
        <w:rPr>
          <w:rFonts w:hint="cs"/>
          <w:sz w:val="16"/>
          <w:szCs w:val="16"/>
          <w:u w:val="single"/>
          <w:rtl/>
        </w:rPr>
        <w:t>(שתא ניזונת כל זמן שלא תרצה לגבות)</w:t>
      </w:r>
      <w:r w:rsidRPr="00B7753B">
        <w:rPr>
          <w:rFonts w:hint="cs"/>
          <w:u w:val="single"/>
          <w:rtl/>
        </w:rPr>
        <w:t xml:space="preserve"> או ברצון היתומים</w:t>
      </w:r>
      <w:r>
        <w:rPr>
          <w:rFonts w:hint="cs"/>
          <w:sz w:val="16"/>
          <w:szCs w:val="16"/>
          <w:u w:val="single"/>
          <w:rtl/>
        </w:rPr>
        <w:t xml:space="preserve"> (שאם יחליטו לתת כתובתה יפטרו)</w:t>
      </w:r>
      <w:r w:rsidRPr="00B7753B">
        <w:rPr>
          <w:rFonts w:hint="cs"/>
          <w:u w:val="single"/>
          <w:rtl/>
        </w:rPr>
        <w:t>:</w:t>
      </w:r>
    </w:p>
    <w:p w14:paraId="48D55643" w14:textId="2663CE59" w:rsidR="00392DBB" w:rsidRPr="005D5D84" w:rsidRDefault="00392DBB" w:rsidP="009000E3">
      <w:pPr>
        <w:pStyle w:val="ab"/>
        <w:numPr>
          <w:ilvl w:val="0"/>
          <w:numId w:val="61"/>
        </w:numPr>
      </w:pPr>
      <w:r>
        <w:rPr>
          <w:rFonts w:cs="Arial"/>
          <w:rtl/>
        </w:rPr>
        <w:t>ר"ח</w:t>
      </w:r>
      <w:r>
        <w:rPr>
          <w:rFonts w:cs="Arial" w:hint="cs"/>
          <w:rtl/>
        </w:rPr>
        <w:t xml:space="preserve"> </w:t>
      </w:r>
      <w:r>
        <w:rPr>
          <w:rFonts w:cs="Arial"/>
          <w:rtl/>
        </w:rPr>
        <w:t xml:space="preserve">רי"ף רמב"ם </w:t>
      </w:r>
      <w:r>
        <w:rPr>
          <w:rFonts w:cs="Arial" w:hint="cs"/>
          <w:rtl/>
        </w:rPr>
        <w:t>מהר"ם</w:t>
      </w:r>
      <w:r>
        <w:rPr>
          <w:rStyle w:val="a7"/>
          <w:rFonts w:cs="Arial"/>
          <w:rtl/>
        </w:rPr>
        <w:footnoteReference w:id="1540"/>
      </w:r>
      <w:r>
        <w:rPr>
          <w:rFonts w:cs="Arial" w:hint="cs"/>
          <w:rtl/>
        </w:rPr>
        <w:t xml:space="preserve"> </w:t>
      </w:r>
      <w:r>
        <w:rPr>
          <w:rFonts w:cs="Arial"/>
          <w:rtl/>
        </w:rPr>
        <w:t xml:space="preserve">רא"ש </w:t>
      </w:r>
      <w:r>
        <w:rPr>
          <w:rFonts w:cs="Arial" w:hint="cs"/>
          <w:rtl/>
        </w:rPr>
        <w:t>וטור</w:t>
      </w:r>
      <w:r>
        <w:rPr>
          <w:rStyle w:val="a7"/>
          <w:rFonts w:cs="Arial"/>
          <w:rtl/>
        </w:rPr>
        <w:footnoteReference w:id="1541"/>
      </w:r>
      <w:r>
        <w:rPr>
          <w:rFonts w:cs="Arial" w:hint="cs"/>
          <w:rtl/>
        </w:rPr>
        <w:t xml:space="preserve">- </w:t>
      </w:r>
      <w:r w:rsidRPr="000A1431">
        <w:rPr>
          <w:rFonts w:cs="Arial"/>
          <w:rtl/>
        </w:rPr>
        <w:t>במקום שיש מנהג ידוע היאך נהוג</w:t>
      </w:r>
      <w:r>
        <w:rPr>
          <w:rFonts w:cs="Arial" w:hint="cs"/>
          <w:rtl/>
        </w:rPr>
        <w:t xml:space="preserve"> -</w:t>
      </w:r>
      <w:r w:rsidRPr="000A1431">
        <w:rPr>
          <w:rFonts w:cs="Arial"/>
          <w:rtl/>
        </w:rPr>
        <w:t xml:space="preserve"> יעשו כמנהגא</w:t>
      </w:r>
      <w:r>
        <w:rPr>
          <w:rFonts w:cs="Arial" w:hint="cs"/>
          <w:rtl/>
        </w:rPr>
        <w:t>.</w:t>
      </w:r>
      <w:r w:rsidRPr="000A1431">
        <w:rPr>
          <w:rFonts w:cs="Arial"/>
          <w:rtl/>
        </w:rPr>
        <w:t xml:space="preserve"> ואם אין מנהג ידוע </w:t>
      </w:r>
      <w:r>
        <w:rPr>
          <w:rFonts w:cs="Arial" w:hint="cs"/>
          <w:rtl/>
        </w:rPr>
        <w:t xml:space="preserve">- </w:t>
      </w:r>
      <w:r w:rsidRPr="000A1431">
        <w:rPr>
          <w:rFonts w:cs="Arial"/>
          <w:rtl/>
        </w:rPr>
        <w:t>יעשו כשמואל ותיזון עד שתגבה כתובתה</w:t>
      </w:r>
      <w:r w:rsidR="00E02B36">
        <w:rPr>
          <w:rStyle w:val="a7"/>
          <w:rFonts w:cs="Arial"/>
          <w:rtl/>
        </w:rPr>
        <w:footnoteReference w:id="1542"/>
      </w:r>
      <w:r>
        <w:rPr>
          <w:rFonts w:cs="Arial" w:hint="cs"/>
          <w:sz w:val="16"/>
          <w:szCs w:val="16"/>
          <w:rtl/>
        </w:rPr>
        <w:t xml:space="preserve"> (ל' הטור)</w:t>
      </w:r>
      <w:r>
        <w:rPr>
          <w:rFonts w:cs="Arial" w:hint="cs"/>
          <w:rtl/>
        </w:rPr>
        <w:t>.</w:t>
      </w:r>
      <w:r w:rsidRPr="000A1431">
        <w:rPr>
          <w:rFonts w:cs="Arial"/>
          <w:rtl/>
        </w:rPr>
        <w:t xml:space="preserve"> </w:t>
      </w:r>
      <w:r w:rsidRPr="003E717B">
        <w:rPr>
          <w:rFonts w:hint="cs"/>
          <w:color w:val="E36C0A" w:themeColor="accent6" w:themeShade="BF"/>
          <w:rtl/>
        </w:rPr>
        <w:t>(וכ"פ בשו"ע)</w:t>
      </w:r>
    </w:p>
    <w:p w14:paraId="3B5B282C" w14:textId="6022D976" w:rsidR="00392DBB" w:rsidRPr="008A5458" w:rsidRDefault="00392DBB" w:rsidP="00392DBB">
      <w:pPr>
        <w:rPr>
          <w:rtl/>
        </w:rPr>
      </w:pPr>
      <w:r w:rsidRPr="00DE524A">
        <w:rPr>
          <w:rFonts w:cs="Arial" w:hint="cs"/>
          <w:b/>
          <w:bCs/>
          <w:rtl/>
        </w:rPr>
        <w:t xml:space="preserve">כתובות </w:t>
      </w:r>
      <w:r w:rsidRPr="00DE524A">
        <w:rPr>
          <w:rFonts w:cs="Arial" w:hint="cs"/>
          <w:b/>
          <w:bCs/>
          <w:sz w:val="16"/>
          <w:szCs w:val="16"/>
          <w:rtl/>
        </w:rPr>
        <w:t>(</w:t>
      </w:r>
      <w:r w:rsidRPr="00DE524A">
        <w:rPr>
          <w:rFonts w:cs="Arial"/>
          <w:b/>
          <w:bCs/>
          <w:sz w:val="16"/>
          <w:szCs w:val="16"/>
          <w:rtl/>
        </w:rPr>
        <w:t>פ</w:t>
      </w:r>
      <w:r w:rsidRPr="00DE524A">
        <w:rPr>
          <w:rFonts w:cs="Arial" w:hint="cs"/>
          <w:b/>
          <w:bCs/>
          <w:sz w:val="16"/>
          <w:szCs w:val="16"/>
          <w:rtl/>
        </w:rPr>
        <w:t>'</w:t>
      </w:r>
      <w:r w:rsidRPr="00DE524A">
        <w:rPr>
          <w:rFonts w:cs="Arial"/>
          <w:b/>
          <w:bCs/>
          <w:sz w:val="16"/>
          <w:szCs w:val="16"/>
          <w:rtl/>
        </w:rPr>
        <w:t xml:space="preserve"> נערה שנתפתתה</w:t>
      </w:r>
      <w:r w:rsidRPr="00DE524A">
        <w:rPr>
          <w:rFonts w:cs="Arial" w:hint="cs"/>
          <w:b/>
          <w:bCs/>
          <w:sz w:val="16"/>
          <w:szCs w:val="16"/>
          <w:rtl/>
        </w:rPr>
        <w:t>)</w:t>
      </w:r>
      <w:r w:rsidRPr="00DE524A">
        <w:rPr>
          <w:rFonts w:cs="Arial"/>
          <w:b/>
          <w:bCs/>
          <w:rtl/>
        </w:rPr>
        <w:t xml:space="preserve"> נ</w:t>
      </w:r>
      <w:r>
        <w:rPr>
          <w:rFonts w:cs="Arial" w:hint="cs"/>
          <w:b/>
          <w:bCs/>
          <w:rtl/>
        </w:rPr>
        <w:t>ד</w:t>
      </w:r>
      <w:r w:rsidR="00D85EAD">
        <w:rPr>
          <w:rStyle w:val="a7"/>
          <w:rFonts w:cs="Arial"/>
          <w:b/>
          <w:bCs/>
          <w:rtl/>
        </w:rPr>
        <w:footnoteReference w:id="1543"/>
      </w:r>
      <w:r w:rsidRPr="00DE524A">
        <w:rPr>
          <w:rFonts w:cs="Arial" w:hint="cs"/>
          <w:b/>
          <w:bCs/>
          <w:rtl/>
        </w:rPr>
        <w:t xml:space="preserve"> ע"</w:t>
      </w:r>
      <w:r>
        <w:rPr>
          <w:rFonts w:cs="Arial" w:hint="cs"/>
          <w:b/>
          <w:bCs/>
          <w:rtl/>
        </w:rPr>
        <w:t>א</w:t>
      </w:r>
      <w:r w:rsidRPr="00DE524A">
        <w:rPr>
          <w:rFonts w:cs="Arial"/>
          <w:b/>
          <w:bCs/>
          <w:rtl/>
        </w:rPr>
        <w:t>:</w:t>
      </w:r>
      <w:r w:rsidRPr="00DE524A">
        <w:rPr>
          <w:rFonts w:cs="Arial" w:hint="cs"/>
          <w:rtl/>
        </w:rPr>
        <w:t xml:space="preserve"> </w:t>
      </w:r>
      <w:r w:rsidRPr="00DE524A">
        <w:rPr>
          <w:rFonts w:cs="Arial"/>
          <w:rtl/>
        </w:rPr>
        <w:t xml:space="preserve">ההיא בת מחוזא דהות נסיבא לנהרדעא, </w:t>
      </w:r>
      <w:r w:rsidRPr="00BD7CE6">
        <w:rPr>
          <w:rFonts w:cs="Arial"/>
          <w:u w:val="single"/>
          <w:rtl/>
        </w:rPr>
        <w:t>אתו לקמיה דרב נחמן</w:t>
      </w:r>
      <w:r w:rsidRPr="00DE524A">
        <w:rPr>
          <w:rFonts w:cs="Arial"/>
          <w:rtl/>
        </w:rPr>
        <w:t xml:space="preserve">, שמעה לקלה דבת מחוזא היא, </w:t>
      </w:r>
      <w:r w:rsidRPr="00BD7CE6">
        <w:rPr>
          <w:rFonts w:cs="Arial"/>
          <w:u w:val="single"/>
          <w:rtl/>
        </w:rPr>
        <w:t>אמר להו</w:t>
      </w:r>
      <w:r w:rsidRPr="00DE524A">
        <w:rPr>
          <w:rFonts w:cs="Arial"/>
          <w:rtl/>
        </w:rPr>
        <w:t xml:space="preserve">: בבל וכל פרוודהא נהוג כרב. </w:t>
      </w:r>
      <w:r w:rsidRPr="00BD7CE6">
        <w:rPr>
          <w:rFonts w:cs="Arial"/>
          <w:u w:val="single"/>
          <w:rtl/>
        </w:rPr>
        <w:t>אמרו ליה</w:t>
      </w:r>
      <w:r w:rsidRPr="00DE524A">
        <w:rPr>
          <w:rFonts w:cs="Arial"/>
          <w:rtl/>
        </w:rPr>
        <w:t xml:space="preserve">: והא לנהרדעא נסיבא! </w:t>
      </w:r>
      <w:r w:rsidRPr="00BD7CE6">
        <w:rPr>
          <w:rFonts w:cs="Arial"/>
          <w:u w:val="single"/>
          <w:rtl/>
        </w:rPr>
        <w:t>אמר להו</w:t>
      </w:r>
      <w:r w:rsidRPr="00DE524A">
        <w:rPr>
          <w:rFonts w:cs="Arial"/>
          <w:rtl/>
        </w:rPr>
        <w:t xml:space="preserve">: אי הכי, נהרדעא וכל פרוודהא נהוג כשמואל. </w:t>
      </w:r>
    </w:p>
    <w:p w14:paraId="3321060A" w14:textId="348A28EC" w:rsidR="00392DBB" w:rsidRPr="00761C13" w:rsidRDefault="00392DBB" w:rsidP="00392DBB">
      <w:pPr>
        <w:rPr>
          <w:rFonts w:cs="Arial"/>
          <w:u w:val="single"/>
        </w:rPr>
      </w:pPr>
      <w:r w:rsidRPr="00761C13">
        <w:rPr>
          <w:rFonts w:cs="Arial" w:hint="cs"/>
          <w:u w:val="single"/>
          <w:rtl/>
        </w:rPr>
        <w:t xml:space="preserve">מי שנשא אשה ממקום אחר על דעת שתגור עמו במקומו </w:t>
      </w:r>
      <w:r w:rsidR="00F97626">
        <w:rPr>
          <w:rFonts w:cs="Arial"/>
          <w:u w:val="single"/>
          <w:rtl/>
        </w:rPr>
        <w:t>-</w:t>
      </w:r>
      <w:r w:rsidRPr="00761C13">
        <w:rPr>
          <w:rFonts w:cs="Arial" w:hint="cs"/>
          <w:u w:val="single"/>
          <w:rtl/>
        </w:rPr>
        <w:t xml:space="preserve"> </w:t>
      </w:r>
      <w:r>
        <w:rPr>
          <w:rFonts w:cs="Arial" w:hint="cs"/>
          <w:u w:val="single"/>
          <w:rtl/>
        </w:rPr>
        <w:t>לאיזה מנהג הם מחוייבים, ל</w:t>
      </w:r>
      <w:r w:rsidRPr="00761C13">
        <w:rPr>
          <w:rFonts w:cs="Arial" w:hint="cs"/>
          <w:u w:val="single"/>
          <w:rtl/>
        </w:rPr>
        <w:t xml:space="preserve">מנהג </w:t>
      </w:r>
      <w:r>
        <w:rPr>
          <w:rFonts w:cs="Arial" w:hint="cs"/>
          <w:u w:val="single"/>
          <w:rtl/>
        </w:rPr>
        <w:t>מקומו או מקומה</w:t>
      </w:r>
      <w:r w:rsidRPr="00761C13">
        <w:rPr>
          <w:rFonts w:cs="Arial" w:hint="cs"/>
          <w:u w:val="single"/>
          <w:rtl/>
        </w:rPr>
        <w:t>:</w:t>
      </w:r>
    </w:p>
    <w:p w14:paraId="14F1703F" w14:textId="5E99C648" w:rsidR="00392DBB" w:rsidRDefault="00392DBB" w:rsidP="009000E3">
      <w:pPr>
        <w:pStyle w:val="ab"/>
        <w:numPr>
          <w:ilvl w:val="0"/>
          <w:numId w:val="61"/>
        </w:numPr>
        <w:rPr>
          <w:rFonts w:cs="Arial"/>
        </w:rPr>
      </w:pPr>
      <w:r w:rsidRPr="00761C13">
        <w:rPr>
          <w:rFonts w:cs="Arial"/>
          <w:rtl/>
        </w:rPr>
        <w:t>ריטב"א</w:t>
      </w:r>
      <w:r w:rsidRPr="00DE524A">
        <w:rPr>
          <w:rFonts w:cs="Arial"/>
          <w:sz w:val="16"/>
          <w:szCs w:val="16"/>
          <w:rtl/>
        </w:rPr>
        <w:t xml:space="preserve"> (שם ד"ה אתמר רב</w:t>
      </w:r>
      <w:r>
        <w:rPr>
          <w:rFonts w:cs="Arial" w:hint="cs"/>
          <w:sz w:val="16"/>
          <w:szCs w:val="16"/>
          <w:rtl/>
        </w:rPr>
        <w:t>, הביאו הב"י כאן ובסי' סו</w:t>
      </w:r>
      <w:r w:rsidRPr="00DE524A">
        <w:rPr>
          <w:rFonts w:cs="Arial"/>
          <w:sz w:val="16"/>
          <w:szCs w:val="16"/>
          <w:rtl/>
        </w:rPr>
        <w:t>)</w:t>
      </w:r>
      <w:r>
        <w:rPr>
          <w:rFonts w:cs="Arial" w:hint="cs"/>
          <w:rtl/>
        </w:rPr>
        <w:t>-</w:t>
      </w:r>
      <w:r w:rsidRPr="00761C13">
        <w:rPr>
          <w:rFonts w:cs="Arial"/>
          <w:rtl/>
        </w:rPr>
        <w:t xml:space="preserve"> ש</w:t>
      </w:r>
      <w:r w:rsidR="00F30C50">
        <w:rPr>
          <w:rFonts w:cs="Arial" w:hint="cs"/>
          <w:rtl/>
        </w:rPr>
        <w:t xml:space="preserve">מע </w:t>
      </w:r>
      <w:r w:rsidRPr="00761C13">
        <w:rPr>
          <w:rFonts w:cs="Arial"/>
          <w:rtl/>
        </w:rPr>
        <w:t>מ</w:t>
      </w:r>
      <w:r w:rsidR="00F30C50">
        <w:rPr>
          <w:rFonts w:cs="Arial" w:hint="cs"/>
          <w:rtl/>
        </w:rPr>
        <w:t>ינה</w:t>
      </w:r>
      <w:r w:rsidRPr="00761C13">
        <w:rPr>
          <w:rFonts w:cs="Arial"/>
          <w:rtl/>
        </w:rPr>
        <w:t xml:space="preserve"> </w:t>
      </w:r>
      <w:r>
        <w:rPr>
          <w:rFonts w:cs="Arial" w:hint="cs"/>
          <w:sz w:val="16"/>
          <w:szCs w:val="16"/>
          <w:rtl/>
        </w:rPr>
        <w:t xml:space="preserve">{מההיא דבת מחוזא בגמ'} </w:t>
      </w:r>
      <w:r w:rsidRPr="00761C13">
        <w:rPr>
          <w:rFonts w:cs="Arial"/>
          <w:rtl/>
        </w:rPr>
        <w:t xml:space="preserve">דמאן דנסיב איתתא מדוכתא אחריתי אדעתא דתידור עמה בדוכתיה </w:t>
      </w:r>
      <w:r w:rsidR="007D4FEB">
        <w:rPr>
          <w:rFonts w:cs="Arial" w:hint="cs"/>
          <w:rtl/>
        </w:rPr>
        <w:t xml:space="preserve">- </w:t>
      </w:r>
      <w:r w:rsidRPr="00761C13">
        <w:rPr>
          <w:rFonts w:cs="Arial"/>
          <w:rtl/>
        </w:rPr>
        <w:t>הולכים בה אחר מנהג מקומו שבאה לשם</w:t>
      </w:r>
      <w:r>
        <w:rPr>
          <w:rFonts w:cs="Arial" w:hint="cs"/>
          <w:rtl/>
        </w:rPr>
        <w:t>.</w:t>
      </w:r>
      <w:r w:rsidRPr="00761C13">
        <w:rPr>
          <w:rFonts w:cs="Arial"/>
          <w:rtl/>
        </w:rPr>
        <w:t xml:space="preserve"> </w:t>
      </w:r>
    </w:p>
    <w:p w14:paraId="0D6BE6B9" w14:textId="38B8DFC5" w:rsidR="00392DBB" w:rsidRPr="00F6735C" w:rsidRDefault="00392DBB" w:rsidP="00392DBB">
      <w:pPr>
        <w:rPr>
          <w:rFonts w:cs="Arial"/>
          <w:u w:val="single"/>
        </w:rPr>
      </w:pPr>
      <w:bookmarkStart w:id="15" w:name="_Hlk69289341"/>
      <w:r w:rsidRPr="00F6735C">
        <w:rPr>
          <w:rFonts w:cs="Arial" w:hint="cs"/>
          <w:u w:val="single"/>
          <w:rtl/>
        </w:rPr>
        <w:t xml:space="preserve">בן שהוציא הוצאות על אביו החולה, ונמצאים בידו מטלטלין של אשת אביו </w:t>
      </w:r>
      <w:r w:rsidR="00F97626">
        <w:rPr>
          <w:rFonts w:cs="Arial"/>
          <w:u w:val="single"/>
          <w:rtl/>
        </w:rPr>
        <w:t>-</w:t>
      </w:r>
      <w:r w:rsidRPr="00F6735C">
        <w:rPr>
          <w:rFonts w:cs="Arial" w:hint="cs"/>
          <w:u w:val="single"/>
          <w:rtl/>
        </w:rPr>
        <w:t xml:space="preserve"> האם יכול למכרם בעד הוצאותיו:</w:t>
      </w:r>
    </w:p>
    <w:p w14:paraId="7F7F05C5" w14:textId="53E36604" w:rsidR="00392DBB" w:rsidRDefault="00392DBB" w:rsidP="009000E3">
      <w:pPr>
        <w:pStyle w:val="ab"/>
        <w:numPr>
          <w:ilvl w:val="0"/>
          <w:numId w:val="61"/>
        </w:numPr>
        <w:rPr>
          <w:rFonts w:cs="Arial"/>
        </w:rPr>
      </w:pPr>
      <w:r w:rsidRPr="00761C13">
        <w:rPr>
          <w:rFonts w:cs="Arial"/>
          <w:rtl/>
        </w:rPr>
        <w:t xml:space="preserve">רשב"א </w:t>
      </w:r>
      <w:r w:rsidRPr="00761C13">
        <w:rPr>
          <w:rFonts w:cs="Arial"/>
          <w:sz w:val="16"/>
          <w:szCs w:val="16"/>
          <w:rtl/>
        </w:rPr>
        <w:t>(</w:t>
      </w:r>
      <w:r w:rsidRPr="00761C13">
        <w:rPr>
          <w:rFonts w:cs="Arial" w:hint="cs"/>
          <w:sz w:val="16"/>
          <w:szCs w:val="16"/>
          <w:rtl/>
        </w:rPr>
        <w:t>ב</w:t>
      </w:r>
      <w:r w:rsidRPr="00761C13">
        <w:rPr>
          <w:rFonts w:cs="Arial"/>
          <w:sz w:val="16"/>
          <w:szCs w:val="16"/>
          <w:rtl/>
        </w:rPr>
        <w:t>מיוחסות סי' סד</w:t>
      </w:r>
      <w:r>
        <w:rPr>
          <w:rFonts w:cs="Arial" w:hint="cs"/>
          <w:sz w:val="16"/>
          <w:szCs w:val="16"/>
          <w:rtl/>
        </w:rPr>
        <w:t>, הביאה הב"י כאן ובסי' פו</w:t>
      </w:r>
      <w:r w:rsidRPr="00761C13">
        <w:rPr>
          <w:rFonts w:cs="Arial"/>
          <w:sz w:val="16"/>
          <w:szCs w:val="16"/>
          <w:rtl/>
        </w:rPr>
        <w:t>)</w:t>
      </w:r>
      <w:r w:rsidRPr="00761C13">
        <w:rPr>
          <w:rFonts w:cs="Arial" w:hint="cs"/>
          <w:rtl/>
        </w:rPr>
        <w:t>-</w:t>
      </w:r>
      <w:r w:rsidRPr="00761C13">
        <w:rPr>
          <w:rFonts w:cs="Arial"/>
          <w:rtl/>
        </w:rPr>
        <w:t xml:space="preserve"> שאלת</w:t>
      </w:r>
      <w:r w:rsidR="00344EE5">
        <w:rPr>
          <w:rFonts w:cs="Arial" w:hint="cs"/>
          <w:rtl/>
        </w:rPr>
        <w:t>:</w:t>
      </w:r>
      <w:r w:rsidRPr="00761C13">
        <w:rPr>
          <w:rFonts w:cs="Arial"/>
          <w:rtl/>
        </w:rPr>
        <w:t xml:space="preserve"> בראובן שחלה</w:t>
      </w:r>
      <w:r>
        <w:rPr>
          <w:rFonts w:cs="Arial" w:hint="cs"/>
          <w:rtl/>
        </w:rPr>
        <w:t>,</w:t>
      </w:r>
      <w:r w:rsidRPr="00761C13">
        <w:rPr>
          <w:rFonts w:cs="Arial"/>
          <w:rtl/>
        </w:rPr>
        <w:t xml:space="preserve"> והביאו חנוך בנו לתוך ביתו וסיפק צרכיו</w:t>
      </w:r>
      <w:r>
        <w:rPr>
          <w:rFonts w:cs="Arial" w:hint="cs"/>
          <w:rtl/>
        </w:rPr>
        <w:t>,</w:t>
      </w:r>
      <w:r w:rsidRPr="00761C13">
        <w:rPr>
          <w:rFonts w:cs="Arial"/>
          <w:rtl/>
        </w:rPr>
        <w:t xml:space="preserve"> ומת</w:t>
      </w:r>
      <w:r>
        <w:rPr>
          <w:rFonts w:cs="Arial" w:hint="cs"/>
          <w:rtl/>
        </w:rPr>
        <w:t>,</w:t>
      </w:r>
      <w:r w:rsidRPr="00761C13">
        <w:rPr>
          <w:rFonts w:cs="Arial"/>
          <w:rtl/>
        </w:rPr>
        <w:t xml:space="preserve"> וקברו</w:t>
      </w:r>
      <w:r>
        <w:rPr>
          <w:rFonts w:cs="Arial" w:hint="cs"/>
          <w:rtl/>
        </w:rPr>
        <w:t>.</w:t>
      </w:r>
      <w:r w:rsidRPr="00761C13">
        <w:rPr>
          <w:rFonts w:cs="Arial"/>
          <w:rtl/>
        </w:rPr>
        <w:t xml:space="preserve"> ולאה אשתו של ראובן הפקידה מטלטלין ביד חנוך</w:t>
      </w:r>
      <w:r>
        <w:rPr>
          <w:rFonts w:cs="Arial" w:hint="cs"/>
          <w:rtl/>
        </w:rPr>
        <w:t>,</w:t>
      </w:r>
      <w:r w:rsidRPr="00761C13">
        <w:rPr>
          <w:rFonts w:cs="Arial"/>
          <w:rtl/>
        </w:rPr>
        <w:t xml:space="preserve"> ועכשיו תובעת אותם ממנו</w:t>
      </w:r>
      <w:r>
        <w:rPr>
          <w:rFonts w:cs="Arial" w:hint="cs"/>
          <w:rtl/>
        </w:rPr>
        <w:t>.</w:t>
      </w:r>
      <w:r w:rsidRPr="00761C13">
        <w:rPr>
          <w:rFonts w:cs="Arial"/>
          <w:rtl/>
        </w:rPr>
        <w:t xml:space="preserve"> השיב חנוך אני הוצאתי הוצאות על אבי ועל קבורתו ועל תכריכיו ואני תופס אותם בשביל אותם הוצאות</w:t>
      </w:r>
      <w:r>
        <w:rPr>
          <w:rFonts w:cs="Arial" w:hint="cs"/>
          <w:rtl/>
        </w:rPr>
        <w:t>.</w:t>
      </w:r>
      <w:r w:rsidRPr="00761C13">
        <w:rPr>
          <w:rFonts w:cs="Arial"/>
          <w:rtl/>
        </w:rPr>
        <w:t xml:space="preserve"> טענה לאה אותם מטלטלין שלי היו ואין לך לתפוס בשלי</w:t>
      </w:r>
      <w:r>
        <w:rPr>
          <w:rFonts w:cs="Arial" w:hint="cs"/>
          <w:rtl/>
        </w:rPr>
        <w:t>.</w:t>
      </w:r>
      <w:r w:rsidRPr="00761C13">
        <w:rPr>
          <w:rFonts w:cs="Arial"/>
          <w:rtl/>
        </w:rPr>
        <w:t xml:space="preserve"> השיב חנוך איני יודע שהן שלך</w:t>
      </w:r>
      <w:r>
        <w:rPr>
          <w:rFonts w:cs="Arial" w:hint="cs"/>
          <w:rtl/>
        </w:rPr>
        <w:t>,</w:t>
      </w:r>
      <w:r w:rsidRPr="00761C13">
        <w:rPr>
          <w:rFonts w:cs="Arial"/>
          <w:rtl/>
        </w:rPr>
        <w:t xml:space="preserve"> מה שקנתה אשה קנה בעלה. </w:t>
      </w:r>
      <w:r w:rsidRPr="00761C13">
        <w:rPr>
          <w:rFonts w:cs="Arial" w:hint="cs"/>
          <w:rtl/>
        </w:rPr>
        <w:t xml:space="preserve">    </w:t>
      </w:r>
      <w:r w:rsidRPr="00761C13">
        <w:rPr>
          <w:rFonts w:cs="Arial"/>
          <w:rtl/>
        </w:rPr>
        <w:t>תשובה</w:t>
      </w:r>
      <w:r w:rsidR="00344EE5">
        <w:rPr>
          <w:rFonts w:cs="Arial" w:hint="cs"/>
          <w:rtl/>
        </w:rPr>
        <w:t xml:space="preserve">: </w:t>
      </w:r>
      <w:r w:rsidRPr="00761C13">
        <w:rPr>
          <w:rFonts w:cs="Arial"/>
          <w:rtl/>
        </w:rPr>
        <w:t>הדין עם לאה מכמה טעמים</w:t>
      </w:r>
      <w:r>
        <w:rPr>
          <w:rFonts w:cs="Arial" w:hint="cs"/>
          <w:rtl/>
        </w:rPr>
        <w:t>.</w:t>
      </w:r>
      <w:r w:rsidRPr="00761C13">
        <w:rPr>
          <w:rFonts w:cs="Arial"/>
          <w:rtl/>
        </w:rPr>
        <w:t xml:space="preserve"> כי מה שטענה שהמטלטלים שלה </w:t>
      </w:r>
      <w:r>
        <w:rPr>
          <w:rFonts w:cs="Arial" w:hint="cs"/>
          <w:rtl/>
        </w:rPr>
        <w:t xml:space="preserve">- </w:t>
      </w:r>
      <w:r w:rsidRPr="00761C13">
        <w:rPr>
          <w:rFonts w:cs="Arial"/>
          <w:rtl/>
        </w:rPr>
        <w:t>נאמנת וצריך להחזיר לה ואפילו היה הבעל קיים</w:t>
      </w:r>
      <w:r>
        <w:rPr>
          <w:rFonts w:cs="Arial" w:hint="cs"/>
          <w:rtl/>
        </w:rPr>
        <w:t xml:space="preserve">, </w:t>
      </w:r>
      <w:r w:rsidRPr="00761C13">
        <w:rPr>
          <w:rFonts w:cs="Arial"/>
          <w:rtl/>
        </w:rPr>
        <w:t>וכדתניא בפרק חזקת (ב"ב נא:) קיבל מן האשה יחזיר לאשה</w:t>
      </w:r>
      <w:r>
        <w:rPr>
          <w:rFonts w:cs="Arial" w:hint="cs"/>
          <w:rtl/>
        </w:rPr>
        <w:t>,</w:t>
      </w:r>
      <w:r w:rsidRPr="00761C13">
        <w:rPr>
          <w:rFonts w:cs="Arial"/>
          <w:rtl/>
        </w:rPr>
        <w:t xml:space="preserve"> וזה אינו יודע שאינם שלה שיתפוס בהם</w:t>
      </w:r>
      <w:r>
        <w:rPr>
          <w:rFonts w:cs="Arial" w:hint="cs"/>
          <w:rtl/>
        </w:rPr>
        <w:t>,</w:t>
      </w:r>
      <w:r w:rsidRPr="00761C13">
        <w:rPr>
          <w:rFonts w:cs="Arial"/>
          <w:rtl/>
        </w:rPr>
        <w:t xml:space="preserve"> אלא איני יודע שהן שלך טען</w:t>
      </w:r>
      <w:r>
        <w:rPr>
          <w:rFonts w:cs="Arial" w:hint="cs"/>
          <w:rtl/>
        </w:rPr>
        <w:t>.</w:t>
      </w:r>
      <w:r w:rsidRPr="00761C13">
        <w:rPr>
          <w:rFonts w:cs="Arial"/>
          <w:rtl/>
        </w:rPr>
        <w:t xml:space="preserve"> ומה שקנתה אשה קנה בעלה שטען</w:t>
      </w:r>
      <w:r>
        <w:rPr>
          <w:rFonts w:cs="Arial" w:hint="cs"/>
          <w:rtl/>
        </w:rPr>
        <w:t>,</w:t>
      </w:r>
      <w:r w:rsidRPr="00761C13">
        <w:rPr>
          <w:rFonts w:cs="Arial"/>
          <w:rtl/>
        </w:rPr>
        <w:t xml:space="preserve"> אינו כלום</w:t>
      </w:r>
      <w:r>
        <w:rPr>
          <w:rFonts w:cs="Arial" w:hint="cs"/>
          <w:rtl/>
        </w:rPr>
        <w:t>,</w:t>
      </w:r>
      <w:r w:rsidRPr="00761C13">
        <w:rPr>
          <w:rFonts w:cs="Arial"/>
          <w:rtl/>
        </w:rPr>
        <w:t xml:space="preserve"> כי שמא נתנו לה אחרים על מנת שאין לבעלה רשות בהם</w:t>
      </w:r>
      <w:r>
        <w:rPr>
          <w:rFonts w:cs="Arial" w:hint="cs"/>
          <w:rtl/>
        </w:rPr>
        <w:t>,</w:t>
      </w:r>
      <w:r w:rsidRPr="00761C13">
        <w:rPr>
          <w:rFonts w:cs="Arial"/>
          <w:rtl/>
        </w:rPr>
        <w:t xml:space="preserve"> והיינו דאמרינן בפרק חזקת קיבל מן האשה יחזיר לאשה</w:t>
      </w:r>
      <w:r>
        <w:rPr>
          <w:rFonts w:cs="Arial" w:hint="cs"/>
          <w:rtl/>
        </w:rPr>
        <w:t>.</w:t>
      </w:r>
      <w:r w:rsidRPr="00761C13">
        <w:rPr>
          <w:rFonts w:cs="Arial"/>
          <w:rtl/>
        </w:rPr>
        <w:t xml:space="preserve"> ועוד דמה שקנתה אשה לא קנה בעלה אלא לפירות</w:t>
      </w:r>
      <w:r>
        <w:rPr>
          <w:rFonts w:cs="Arial" w:hint="cs"/>
          <w:rtl/>
        </w:rPr>
        <w:t>,</w:t>
      </w:r>
      <w:r w:rsidRPr="00761C13">
        <w:rPr>
          <w:rFonts w:cs="Arial"/>
          <w:rtl/>
        </w:rPr>
        <w:t xml:space="preserve"> והרי הוא כנכסי מלוג</w:t>
      </w:r>
      <w:r>
        <w:rPr>
          <w:rFonts w:cs="Arial" w:hint="cs"/>
          <w:rtl/>
        </w:rPr>
        <w:t>,</w:t>
      </w:r>
      <w:r w:rsidRPr="00761C13">
        <w:rPr>
          <w:rFonts w:cs="Arial"/>
          <w:rtl/>
        </w:rPr>
        <w:t xml:space="preserve"> ואם מת הבעל הרי הם שלה לגמרי</w:t>
      </w:r>
      <w:r>
        <w:rPr>
          <w:rFonts w:cs="Arial" w:hint="cs"/>
          <w:rtl/>
        </w:rPr>
        <w:t>.</w:t>
      </w:r>
      <w:r w:rsidRPr="00761C13">
        <w:rPr>
          <w:rFonts w:cs="Arial"/>
          <w:rtl/>
        </w:rPr>
        <w:t xml:space="preserve"> ולא עוד אלא אפילו מטלטלין דאב שנטלן חנוך והוציא הוצאות על אביו ואפילו בצרכי קבורתו</w:t>
      </w:r>
      <w:r>
        <w:rPr>
          <w:rFonts w:cs="Arial" w:hint="cs"/>
          <w:rtl/>
        </w:rPr>
        <w:t>,</w:t>
      </w:r>
      <w:r w:rsidRPr="00761C13">
        <w:rPr>
          <w:rFonts w:cs="Arial"/>
          <w:rtl/>
        </w:rPr>
        <w:t xml:space="preserve"> אם כתב ראובן לאשה </w:t>
      </w:r>
      <w:r w:rsidRPr="00761C13">
        <w:rPr>
          <w:rFonts w:cs="Arial"/>
          <w:rtl/>
        </w:rPr>
        <w:lastRenderedPageBreak/>
        <w:t>מטלטלי אגב מקרקעי האשה מוציאה מידו ואפילו היה מוטל לפניה</w:t>
      </w:r>
      <w:r w:rsidR="00996AE7">
        <w:rPr>
          <w:rFonts w:cs="Arial" w:hint="cs"/>
          <w:rtl/>
        </w:rPr>
        <w:t>,</w:t>
      </w:r>
      <w:r w:rsidRPr="00761C13">
        <w:rPr>
          <w:rFonts w:cs="Arial"/>
          <w:rtl/>
        </w:rPr>
        <w:t xml:space="preserve"> רצתה היא גובה כתובתה והוא נקבר מן הצדקה וכדתניא בתוספתא דכתובות (פ"ט ה"ד)</w:t>
      </w:r>
      <w:r>
        <w:rPr>
          <w:rStyle w:val="a7"/>
          <w:rFonts w:cs="Arial"/>
          <w:rtl/>
        </w:rPr>
        <w:footnoteReference w:id="1544"/>
      </w:r>
      <w:r w:rsidRPr="00761C13">
        <w:rPr>
          <w:rFonts w:cs="Arial"/>
          <w:rtl/>
        </w:rPr>
        <w:t xml:space="preserve">. </w:t>
      </w:r>
    </w:p>
    <w:bookmarkEnd w:id="15"/>
    <w:p w14:paraId="470D4A1B" w14:textId="77777777" w:rsidR="00392DBB" w:rsidRPr="0078455A" w:rsidRDefault="00392DBB" w:rsidP="00392DBB">
      <w:pPr>
        <w:rPr>
          <w:rFonts w:cs="Arial"/>
          <w:u w:val="single"/>
        </w:rPr>
      </w:pPr>
      <w:r w:rsidRPr="0078455A">
        <w:rPr>
          <w:rFonts w:cs="Arial"/>
          <w:u w:val="single"/>
          <w:rtl/>
        </w:rPr>
        <w:t>ראובן נפטר ו</w:t>
      </w:r>
      <w:r>
        <w:rPr>
          <w:rFonts w:cs="Arial" w:hint="cs"/>
          <w:u w:val="single"/>
          <w:rtl/>
        </w:rPr>
        <w:t>אח"כ ילדה</w:t>
      </w:r>
      <w:r w:rsidRPr="0078455A">
        <w:rPr>
          <w:rFonts w:cs="Arial"/>
          <w:u w:val="single"/>
          <w:rtl/>
        </w:rPr>
        <w:t xml:space="preserve"> אלמנתו בת</w:t>
      </w:r>
      <w:r w:rsidRPr="0078455A">
        <w:rPr>
          <w:rFonts w:cs="Arial" w:hint="cs"/>
          <w:u w:val="single"/>
          <w:rtl/>
        </w:rPr>
        <w:t>,</w:t>
      </w:r>
      <w:r w:rsidRPr="0078455A">
        <w:rPr>
          <w:rFonts w:cs="Arial"/>
          <w:u w:val="single"/>
          <w:rtl/>
        </w:rPr>
        <w:t xml:space="preserve"> ויש לראובן אחים </w:t>
      </w:r>
      <w:r w:rsidRPr="0078455A">
        <w:rPr>
          <w:rFonts w:cs="Arial" w:hint="cs"/>
          <w:u w:val="single"/>
          <w:rtl/>
        </w:rPr>
        <w:t>- ה</w:t>
      </w:r>
      <w:r w:rsidRPr="0078455A">
        <w:rPr>
          <w:rFonts w:cs="Arial"/>
          <w:u w:val="single"/>
          <w:rtl/>
        </w:rPr>
        <w:t>אם יכולה לתבוע כתובתה קודם</w:t>
      </w:r>
      <w:r w:rsidRPr="0078455A">
        <w:rPr>
          <w:rFonts w:cs="Arial" w:hint="cs"/>
          <w:u w:val="single"/>
          <w:rtl/>
        </w:rPr>
        <w:t xml:space="preserve"> שתהא הבת בת ל' יום:</w:t>
      </w:r>
    </w:p>
    <w:p w14:paraId="63E0CB3E" w14:textId="5AC5CF81" w:rsidR="00392DBB" w:rsidRDefault="00392DBB" w:rsidP="009000E3">
      <w:pPr>
        <w:pStyle w:val="ab"/>
        <w:numPr>
          <w:ilvl w:val="0"/>
          <w:numId w:val="61"/>
        </w:numPr>
        <w:rPr>
          <w:rFonts w:cs="Arial"/>
        </w:rPr>
      </w:pPr>
      <w:r w:rsidRPr="00DE524A">
        <w:rPr>
          <w:rFonts w:cs="Arial"/>
          <w:rtl/>
        </w:rPr>
        <w:t xml:space="preserve">רשב"א </w:t>
      </w:r>
      <w:r w:rsidRPr="00DE524A">
        <w:rPr>
          <w:rFonts w:cs="Arial"/>
          <w:sz w:val="16"/>
          <w:szCs w:val="16"/>
          <w:rtl/>
        </w:rPr>
        <w:t>(ח"א סי</w:t>
      </w:r>
      <w:r w:rsidRPr="00DE524A">
        <w:rPr>
          <w:rFonts w:cs="Arial" w:hint="cs"/>
          <w:sz w:val="16"/>
          <w:szCs w:val="16"/>
          <w:rtl/>
        </w:rPr>
        <w:t>'</w:t>
      </w:r>
      <w:r w:rsidRPr="00DE524A">
        <w:rPr>
          <w:rFonts w:cs="Arial"/>
          <w:sz w:val="16"/>
          <w:szCs w:val="16"/>
          <w:rtl/>
        </w:rPr>
        <w:t xml:space="preserve"> תשה)</w:t>
      </w:r>
      <w:r>
        <w:rPr>
          <w:rFonts w:cs="Arial" w:hint="cs"/>
          <w:rtl/>
        </w:rPr>
        <w:t>-</w:t>
      </w:r>
      <w:r w:rsidRPr="00DE524A">
        <w:rPr>
          <w:rFonts w:cs="Arial"/>
          <w:rtl/>
        </w:rPr>
        <w:t xml:space="preserve"> שאלת</w:t>
      </w:r>
      <w:r w:rsidR="00D56A44">
        <w:rPr>
          <w:rFonts w:cs="Arial" w:hint="cs"/>
          <w:rtl/>
        </w:rPr>
        <w:t>:</w:t>
      </w:r>
      <w:r w:rsidRPr="00DE524A">
        <w:rPr>
          <w:rFonts w:cs="Arial"/>
          <w:rtl/>
        </w:rPr>
        <w:t xml:space="preserve"> ראובן נפטר והניח אלמנתו מעוברת</w:t>
      </w:r>
      <w:r w:rsidR="00D56A44">
        <w:rPr>
          <w:rFonts w:cs="Arial" w:hint="cs"/>
          <w:rtl/>
        </w:rPr>
        <w:t>,</w:t>
      </w:r>
      <w:r w:rsidRPr="00DE524A">
        <w:rPr>
          <w:rFonts w:cs="Arial"/>
          <w:rtl/>
        </w:rPr>
        <w:t xml:space="preserve"> וילדה בת</w:t>
      </w:r>
      <w:r w:rsidR="00D56A44">
        <w:rPr>
          <w:rFonts w:cs="Arial" w:hint="cs"/>
          <w:rtl/>
        </w:rPr>
        <w:t>,</w:t>
      </w:r>
      <w:r w:rsidRPr="00DE524A">
        <w:rPr>
          <w:rFonts w:cs="Arial"/>
          <w:rtl/>
        </w:rPr>
        <w:t xml:space="preserve"> ויש לראובן אחים אם יכולה לתבוע כתובתה קודם שתגיע הבת לשלשים יום. </w:t>
      </w:r>
      <w:r>
        <w:rPr>
          <w:rFonts w:cs="Arial" w:hint="cs"/>
          <w:rtl/>
        </w:rPr>
        <w:t xml:space="preserve">    </w:t>
      </w:r>
      <w:r w:rsidRPr="00DE524A">
        <w:rPr>
          <w:rFonts w:cs="Arial"/>
          <w:rtl/>
        </w:rPr>
        <w:t>תשובה</w:t>
      </w:r>
      <w:r w:rsidR="00D56A44">
        <w:rPr>
          <w:rFonts w:cs="Arial" w:hint="cs"/>
          <w:rtl/>
        </w:rPr>
        <w:t>:</w:t>
      </w:r>
      <w:r w:rsidRPr="00DE524A">
        <w:rPr>
          <w:rFonts w:cs="Arial"/>
          <w:rtl/>
        </w:rPr>
        <w:t xml:space="preserve"> יכולה לתבוע כתובתה מעכשיו שאפילו תמות הבת תוך שלשים יום חולצת ולא מתייבמת</w:t>
      </w:r>
      <w:r w:rsidRPr="00DE524A">
        <w:rPr>
          <w:rFonts w:cs="Arial" w:hint="cs"/>
          <w:rtl/>
        </w:rPr>
        <w:t>.</w:t>
      </w:r>
    </w:p>
    <w:p w14:paraId="41E1F6C5" w14:textId="77777777" w:rsidR="00392DBB" w:rsidRPr="00FD5B6B" w:rsidRDefault="00392DBB" w:rsidP="00392DBB">
      <w:pPr>
        <w:rPr>
          <w:rFonts w:cs="Arial"/>
          <w:u w:val="single"/>
        </w:rPr>
      </w:pPr>
      <w:r w:rsidRPr="00FD5B6B">
        <w:rPr>
          <w:rFonts w:cs="Arial" w:hint="cs"/>
          <w:u w:val="single"/>
          <w:rtl/>
        </w:rPr>
        <w:t>האם יכולים הציבור לתקן תקנה שלא תיזון האלמנה יותר מג' חודשים כדי שלא תכלה את נכסי היתומים:</w:t>
      </w:r>
    </w:p>
    <w:p w14:paraId="14C4B6F7" w14:textId="0B3942EC" w:rsidR="00392DBB" w:rsidRDefault="00392DBB" w:rsidP="009000E3">
      <w:pPr>
        <w:pStyle w:val="ab"/>
        <w:numPr>
          <w:ilvl w:val="0"/>
          <w:numId w:val="61"/>
        </w:numPr>
        <w:rPr>
          <w:rFonts w:cs="Arial"/>
        </w:rPr>
      </w:pPr>
      <w:r w:rsidRPr="00DE524A">
        <w:rPr>
          <w:rFonts w:cs="Arial"/>
          <w:rtl/>
        </w:rPr>
        <w:t>ה"ר יהודה בן הרא"ש</w:t>
      </w:r>
      <w:r>
        <w:rPr>
          <w:rStyle w:val="a7"/>
          <w:rFonts w:cs="Arial"/>
          <w:rtl/>
        </w:rPr>
        <w:footnoteReference w:id="1545"/>
      </w:r>
      <w:r w:rsidRPr="00DE524A">
        <w:rPr>
          <w:rFonts w:cs="Arial"/>
          <w:rtl/>
        </w:rPr>
        <w:t xml:space="preserve"> </w:t>
      </w:r>
      <w:r w:rsidRPr="00DE524A">
        <w:rPr>
          <w:rFonts w:cs="Arial"/>
          <w:sz w:val="16"/>
          <w:szCs w:val="16"/>
          <w:rtl/>
        </w:rPr>
        <w:t>(זכרון יהודה סי' עח)</w:t>
      </w:r>
      <w:r w:rsidR="00825609">
        <w:rPr>
          <w:rFonts w:cs="Arial" w:hint="cs"/>
          <w:rtl/>
        </w:rPr>
        <w:t>-</w:t>
      </w:r>
      <w:r w:rsidRPr="00DE524A">
        <w:rPr>
          <w:rFonts w:cs="Arial"/>
          <w:rtl/>
        </w:rPr>
        <w:t xml:space="preserve"> אם יכולים הצבור לתקן שלא תזון האלמנה כי אם ג' חדשים ואז ע"כ תשבע ותטול כתובתה ולא יהיו נזוקים היתומים בתפיסת האלמנה נכסים מרובים</w:t>
      </w:r>
      <w:r>
        <w:rPr>
          <w:rFonts w:cs="Arial" w:hint="cs"/>
          <w:rtl/>
        </w:rPr>
        <w:t>.</w:t>
      </w:r>
      <w:r w:rsidRPr="00DE524A">
        <w:rPr>
          <w:rFonts w:cs="Arial"/>
          <w:rtl/>
        </w:rPr>
        <w:t xml:space="preserve"> </w:t>
      </w:r>
      <w:r w:rsidR="004934CD">
        <w:rPr>
          <w:rFonts w:cs="Arial" w:hint="cs"/>
          <w:rtl/>
        </w:rPr>
        <w:t xml:space="preserve"> </w:t>
      </w:r>
      <w:r>
        <w:rPr>
          <w:rFonts w:cs="Arial" w:hint="cs"/>
          <w:rtl/>
        </w:rPr>
        <w:t xml:space="preserve">   תשובה</w:t>
      </w:r>
      <w:r w:rsidR="004934CD">
        <w:rPr>
          <w:rFonts w:cs="Arial" w:hint="cs"/>
          <w:rtl/>
        </w:rPr>
        <w:t>:</w:t>
      </w:r>
      <w:r>
        <w:rPr>
          <w:rFonts w:cs="Arial" w:hint="cs"/>
          <w:rtl/>
        </w:rPr>
        <w:t xml:space="preserve"> </w:t>
      </w:r>
      <w:r w:rsidRPr="00DE524A">
        <w:rPr>
          <w:rFonts w:cs="Arial"/>
          <w:rtl/>
        </w:rPr>
        <w:t>אינם יכולים לתקן כך</w:t>
      </w:r>
      <w:r>
        <w:rPr>
          <w:rStyle w:val="a7"/>
          <w:rFonts w:cs="Arial"/>
          <w:rtl/>
        </w:rPr>
        <w:footnoteReference w:id="1546"/>
      </w:r>
      <w:r>
        <w:rPr>
          <w:rFonts w:cs="Arial" w:hint="cs"/>
          <w:sz w:val="16"/>
          <w:szCs w:val="16"/>
          <w:rtl/>
        </w:rPr>
        <w:t xml:space="preserve"> (ל' הב"י בשמו)</w:t>
      </w:r>
      <w:r>
        <w:rPr>
          <w:rStyle w:val="a7"/>
          <w:rFonts w:cs="Arial"/>
          <w:rtl/>
        </w:rPr>
        <w:footnoteReference w:id="1547"/>
      </w:r>
      <w:r>
        <w:rPr>
          <w:rFonts w:cs="Arial" w:hint="cs"/>
          <w:rtl/>
        </w:rPr>
        <w:t>.</w:t>
      </w:r>
    </w:p>
    <w:p w14:paraId="59ABDB93" w14:textId="27936AF2" w:rsidR="00392DBB" w:rsidRPr="00617935" w:rsidRDefault="00392DBB" w:rsidP="009000E3">
      <w:pPr>
        <w:pStyle w:val="ab"/>
        <w:numPr>
          <w:ilvl w:val="0"/>
          <w:numId w:val="61"/>
        </w:numPr>
        <w:rPr>
          <w:rFonts w:cs="Arial"/>
          <w:rtl/>
        </w:rPr>
      </w:pPr>
      <w:r>
        <w:rPr>
          <w:rFonts w:cs="Arial" w:hint="cs"/>
          <w:rtl/>
        </w:rPr>
        <w:t>ריב"ש</w:t>
      </w:r>
      <w:r w:rsidRPr="00DE524A">
        <w:rPr>
          <w:rFonts w:cs="Arial"/>
          <w:rtl/>
        </w:rPr>
        <w:t xml:space="preserve"> </w:t>
      </w:r>
      <w:r w:rsidRPr="00DE524A">
        <w:rPr>
          <w:rFonts w:cs="Arial"/>
          <w:sz w:val="16"/>
          <w:szCs w:val="16"/>
          <w:rtl/>
        </w:rPr>
        <w:t>(</w:t>
      </w:r>
      <w:r>
        <w:rPr>
          <w:rFonts w:cs="Arial" w:hint="cs"/>
          <w:sz w:val="16"/>
          <w:szCs w:val="16"/>
          <w:rtl/>
        </w:rPr>
        <w:t>סי' קז</w:t>
      </w:r>
      <w:r w:rsidRPr="00DE524A">
        <w:rPr>
          <w:rFonts w:cs="Arial"/>
          <w:sz w:val="16"/>
          <w:szCs w:val="16"/>
          <w:rtl/>
        </w:rPr>
        <w:t>)</w:t>
      </w:r>
      <w:r>
        <w:rPr>
          <w:rFonts w:cs="Arial" w:hint="cs"/>
          <w:rtl/>
        </w:rPr>
        <w:t>-</w:t>
      </w:r>
      <w:r w:rsidRPr="00DE524A">
        <w:rPr>
          <w:rFonts w:cs="Arial"/>
          <w:rtl/>
        </w:rPr>
        <w:t xml:space="preserve"> </w:t>
      </w:r>
      <w:r w:rsidRPr="00503659">
        <w:rPr>
          <w:rFonts w:cs="Arial"/>
          <w:rtl/>
        </w:rPr>
        <w:t>וכי ראו הקהל שנכסי היחידים מועטים</w:t>
      </w:r>
      <w:r w:rsidR="00EA0B55">
        <w:rPr>
          <w:rFonts w:cs="Arial" w:hint="cs"/>
          <w:rtl/>
        </w:rPr>
        <w:t>,</w:t>
      </w:r>
      <w:r w:rsidRPr="00503659">
        <w:rPr>
          <w:rFonts w:cs="Arial"/>
          <w:rtl/>
        </w:rPr>
        <w:t xml:space="preserve"> ואם האלמנה תהיה נזונת לעולם לא ישאר דבר ליתומים</w:t>
      </w:r>
      <w:r w:rsidR="00EA0B55">
        <w:rPr>
          <w:rFonts w:cs="Arial" w:hint="cs"/>
          <w:rtl/>
        </w:rPr>
        <w:t>,</w:t>
      </w:r>
      <w:r w:rsidRPr="00503659">
        <w:rPr>
          <w:rFonts w:cs="Arial"/>
          <w:rtl/>
        </w:rPr>
        <w:t xml:space="preserve"> עשו תקנות בעניני הנשואין הנעשים מהיום ההוא ואילך</w:t>
      </w:r>
      <w:r w:rsidR="00D85EAD">
        <w:rPr>
          <w:rFonts w:cs="Arial" w:hint="cs"/>
          <w:rtl/>
        </w:rPr>
        <w:t>,</w:t>
      </w:r>
      <w:r w:rsidRPr="00503659">
        <w:rPr>
          <w:rFonts w:cs="Arial"/>
          <w:rtl/>
        </w:rPr>
        <w:t xml:space="preserve"> כי לא ראו לגרוע זכות הנשים בנשואין שנעשו כבר אבל ישארו על דין התלמוד. וזה כמו שמונה שנים שנעשו התקנות ההם</w:t>
      </w:r>
      <w:r w:rsidR="00EA0B55">
        <w:rPr>
          <w:rFonts w:cs="Arial" w:hint="cs"/>
          <w:rtl/>
        </w:rPr>
        <w:t>,</w:t>
      </w:r>
      <w:r w:rsidRPr="00503659">
        <w:rPr>
          <w:rFonts w:cs="Arial"/>
          <w:rtl/>
        </w:rPr>
        <w:t xml:space="preserve"> ומהם שכל זמן שירצו היורשין לפרוע לה כתובתה ולסלקה מזכות מזונותיה שיהא רשות בידם</w:t>
      </w:r>
      <w:r w:rsidR="00EA0B55">
        <w:rPr>
          <w:rFonts w:cs="Arial" w:hint="cs"/>
          <w:rtl/>
        </w:rPr>
        <w:t>,</w:t>
      </w:r>
      <w:r w:rsidRPr="00503659">
        <w:rPr>
          <w:rFonts w:cs="Arial"/>
          <w:rtl/>
        </w:rPr>
        <w:t xml:space="preserve"> זולתי בג' חדשים ראשונים</w:t>
      </w:r>
      <w:r>
        <w:rPr>
          <w:rStyle w:val="a7"/>
          <w:rFonts w:cs="Arial"/>
          <w:rtl/>
        </w:rPr>
        <w:footnoteReference w:id="1548"/>
      </w:r>
      <w:r w:rsidRPr="00503659">
        <w:rPr>
          <w:rFonts w:cs="Arial"/>
          <w:rtl/>
        </w:rPr>
        <w:t>. וכן תקנו לתועלת היתומים שהתוספת הנהוג לכתוב לבתולות שלא יגבו ממנו כלום</w:t>
      </w:r>
      <w:r w:rsidR="00183B2D">
        <w:rPr>
          <w:rFonts w:cs="Arial" w:hint="cs"/>
          <w:rtl/>
        </w:rPr>
        <w:t>,</w:t>
      </w:r>
      <w:r w:rsidRPr="00503659">
        <w:rPr>
          <w:rFonts w:cs="Arial"/>
          <w:rtl/>
        </w:rPr>
        <w:t xml:space="preserve"> זולתי אם תתגרש שלא ברצונה</w:t>
      </w:r>
      <w:r w:rsidR="00183B2D">
        <w:rPr>
          <w:rFonts w:cs="Arial" w:hint="cs"/>
          <w:rtl/>
        </w:rPr>
        <w:t>,</w:t>
      </w:r>
      <w:r w:rsidRPr="00503659">
        <w:rPr>
          <w:rFonts w:cs="Arial"/>
          <w:rtl/>
        </w:rPr>
        <w:t xml:space="preserve"> אבל במיתת הבעל לא תגבה מן התוספת כלום</w:t>
      </w:r>
      <w:r w:rsidR="00183B2D">
        <w:rPr>
          <w:rFonts w:cs="Arial" w:hint="cs"/>
          <w:rtl/>
        </w:rPr>
        <w:t>,</w:t>
      </w:r>
      <w:r w:rsidRPr="00503659">
        <w:rPr>
          <w:rFonts w:cs="Arial"/>
          <w:rtl/>
        </w:rPr>
        <w:t xml:space="preserve"> ודי לה שתגבה עקר כתובה והנדוניא שהכניס' בבגדי' יותר משווים והיא עצמה בלתה אותם. וגם המעות הנשארים מן הנדוניא הוציא קצתם בצרכי הנשואין ועתה תגבה הכל האלמנה במעות משלם</w:t>
      </w:r>
      <w:r w:rsidR="0071636D">
        <w:rPr>
          <w:rFonts w:cs="Arial" w:hint="cs"/>
          <w:rtl/>
        </w:rPr>
        <w:t>,</w:t>
      </w:r>
      <w:r w:rsidRPr="00503659">
        <w:rPr>
          <w:rFonts w:cs="Arial"/>
          <w:rtl/>
        </w:rPr>
        <w:t xml:space="preserve"> אין ראוי שתגבה התוספת מן היתומים. ועוד תקנו אז תקנות אחרות. וכל הנושא מן אז והנה על דעת התקנות ההם הוא נושא. וכן כותבין בכתובה כהוגן וכתקון חכמים על פי התקנות שתקנו קהל אל גז"איר יצ"ו</w:t>
      </w:r>
      <w:r>
        <w:rPr>
          <w:rFonts w:cs="Arial" w:hint="cs"/>
          <w:rtl/>
        </w:rPr>
        <w:t xml:space="preserve">. </w:t>
      </w:r>
      <w:r w:rsidR="00C517BF">
        <w:rPr>
          <w:rFonts w:cs="Arial" w:hint="cs"/>
          <w:rtl/>
        </w:rPr>
        <w:t xml:space="preserve">(וכ"פ הב"י) </w:t>
      </w:r>
      <w:r w:rsidRPr="00407947">
        <w:rPr>
          <w:rFonts w:cs="Arial" w:hint="cs"/>
          <w:color w:val="00B0F0"/>
          <w:rtl/>
        </w:rPr>
        <w:t>(וכ"פ הרמ"א)</w:t>
      </w:r>
    </w:p>
    <w:p w14:paraId="241F6EDF"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4ED3454" w14:textId="43B012B9" w:rsidR="00392DBB" w:rsidRDefault="00392DBB" w:rsidP="00392DBB">
      <w:pPr>
        <w:rPr>
          <w:rtl/>
        </w:rPr>
      </w:pPr>
      <w:r>
        <w:rPr>
          <w:rFonts w:cs="Arial"/>
          <w:rtl/>
        </w:rPr>
        <w:t>אלמנה ניזונית מנכסי יורשין כל זמן אלמנותה, אפילו אם לא נכתב בכתובתה, ואפילו אם צוה בשעת מיתה: אל תיזון אלמנותי מנכסי, אין שומעין לו</w:t>
      </w:r>
      <w:r>
        <w:rPr>
          <w:rFonts w:cs="Arial" w:hint="cs"/>
          <w:rtl/>
        </w:rPr>
        <w:t>.</w:t>
      </w:r>
      <w:r>
        <w:rPr>
          <w:rFonts w:cs="Arial"/>
          <w:rtl/>
        </w:rPr>
        <w:t xml:space="preserve"> ואין היורשים יכולין לפרוע לה כתובתה ולסלקה מהמזונות, אלא היא ניזונית על כרחם כל זמן שלא תתבע כתובתה</w:t>
      </w:r>
      <w:r>
        <w:rPr>
          <w:rStyle w:val="a7"/>
          <w:rFonts w:cs="Arial"/>
          <w:rtl/>
        </w:rPr>
        <w:footnoteReference w:id="1549"/>
      </w:r>
      <w:r>
        <w:rPr>
          <w:rFonts w:cs="Arial" w:hint="cs"/>
          <w:rtl/>
        </w:rPr>
        <w:t>.</w:t>
      </w:r>
      <w:r>
        <w:rPr>
          <w:rFonts w:cs="Arial"/>
          <w:rtl/>
        </w:rPr>
        <w:t xml:space="preserve"> א</w:t>
      </w:r>
      <w:r>
        <w:rPr>
          <w:rFonts w:cs="Arial" w:hint="cs"/>
          <w:rtl/>
        </w:rPr>
        <w:t>ל</w:t>
      </w:r>
      <w:r>
        <w:rPr>
          <w:rFonts w:cs="Arial"/>
          <w:rtl/>
        </w:rPr>
        <w:t>א</w:t>
      </w:r>
      <w:r>
        <w:rPr>
          <w:rFonts w:cs="Arial" w:hint="cs"/>
          <w:rtl/>
        </w:rPr>
        <w:t xml:space="preserve"> אם </w:t>
      </w:r>
      <w:r>
        <w:rPr>
          <w:rFonts w:cs="Arial"/>
          <w:rtl/>
        </w:rPr>
        <w:t>כ</w:t>
      </w:r>
      <w:r>
        <w:rPr>
          <w:rFonts w:cs="Arial" w:hint="cs"/>
          <w:rtl/>
        </w:rPr>
        <w:t>ן</w:t>
      </w:r>
      <w:r>
        <w:rPr>
          <w:rFonts w:cs="Arial"/>
          <w:rtl/>
        </w:rPr>
        <w:t xml:space="preserve"> התנו כן בפירוש</w:t>
      </w:r>
      <w:r>
        <w:rPr>
          <w:rStyle w:val="a7"/>
          <w:rFonts w:cs="Arial"/>
          <w:rtl/>
        </w:rPr>
        <w:footnoteReference w:id="1550"/>
      </w:r>
      <w:r>
        <w:rPr>
          <w:rFonts w:cs="Arial"/>
          <w:rtl/>
        </w:rPr>
        <w:t xml:space="preserve"> שלא תזון אלמנתו מנכסיו, או שהיה מנהג המקום כן. </w:t>
      </w:r>
      <w:r w:rsidRPr="00DD7578">
        <w:rPr>
          <w:rFonts w:cs="Arial" w:hint="cs"/>
          <w:sz w:val="18"/>
          <w:szCs w:val="18"/>
          <w:rtl/>
        </w:rPr>
        <w:t xml:space="preserve">[הגה] </w:t>
      </w:r>
      <w:r w:rsidRPr="00DD7578">
        <w:rPr>
          <w:rFonts w:cs="Arial"/>
          <w:sz w:val="18"/>
          <w:szCs w:val="18"/>
          <w:rtl/>
        </w:rPr>
        <w:t>ויכולין ב"ד</w:t>
      </w:r>
      <w:r>
        <w:rPr>
          <w:rStyle w:val="a7"/>
          <w:rFonts w:cs="Arial"/>
          <w:sz w:val="18"/>
          <w:szCs w:val="18"/>
          <w:rtl/>
        </w:rPr>
        <w:footnoteReference w:id="1551"/>
      </w:r>
      <w:r w:rsidRPr="00DD7578">
        <w:rPr>
          <w:rFonts w:cs="Arial"/>
          <w:sz w:val="18"/>
          <w:szCs w:val="18"/>
          <w:rtl/>
        </w:rPr>
        <w:t xml:space="preserve"> לתקן במקומן שהיתומים יסלקו אותה כשירצו</w:t>
      </w:r>
      <w:r>
        <w:rPr>
          <w:rStyle w:val="a7"/>
          <w:rFonts w:cs="Arial"/>
          <w:sz w:val="18"/>
          <w:szCs w:val="18"/>
          <w:rtl/>
        </w:rPr>
        <w:footnoteReference w:id="1552"/>
      </w:r>
      <w:r w:rsidRPr="00DD7578">
        <w:rPr>
          <w:rFonts w:cs="Arial"/>
          <w:sz w:val="18"/>
          <w:szCs w:val="18"/>
          <w:rtl/>
        </w:rPr>
        <w:t xml:space="preserve"> (ב"י וריב"ש).</w:t>
      </w:r>
      <w:r>
        <w:rPr>
          <w:rFonts w:cs="Arial"/>
          <w:rtl/>
        </w:rPr>
        <w:t xml:space="preserve"> </w:t>
      </w:r>
    </w:p>
    <w:p w14:paraId="7AFD7A1D" w14:textId="40A94AD1" w:rsidR="00392DBB" w:rsidRDefault="00392DBB" w:rsidP="00392DBB">
      <w:pPr>
        <w:rPr>
          <w:rFonts w:cs="Arial"/>
          <w:rtl/>
        </w:rPr>
      </w:pPr>
      <w:r w:rsidRPr="00261097">
        <w:rPr>
          <w:rFonts w:cs="Arial" w:hint="cs"/>
          <w:u w:val="single"/>
          <w:rtl/>
        </w:rPr>
        <w:lastRenderedPageBreak/>
        <w:t>אלמנה שכתובתה מנה, וצוה בעלה מחמת מיתה ליתן לה מ</w:t>
      </w:r>
      <w:r w:rsidR="00C517BF">
        <w:rPr>
          <w:rFonts w:cs="Arial" w:hint="cs"/>
          <w:u w:val="single"/>
          <w:rtl/>
        </w:rPr>
        <w:t>א</w:t>
      </w:r>
      <w:r w:rsidRPr="00261097">
        <w:rPr>
          <w:rFonts w:cs="Arial" w:hint="cs"/>
          <w:u w:val="single"/>
          <w:rtl/>
        </w:rPr>
        <w:t>תים בכתובתה, והאפוטרופוס מעכב מחמת מזונותיה:</w:t>
      </w:r>
      <w:r>
        <w:rPr>
          <w:rFonts w:cs="Arial"/>
          <w:rtl/>
        </w:rPr>
        <w:t xml:space="preserve"> </w:t>
      </w:r>
    </w:p>
    <w:p w14:paraId="6942B78C" w14:textId="44C983BE" w:rsidR="00392DBB" w:rsidRDefault="00392DBB" w:rsidP="009000E3">
      <w:pPr>
        <w:pStyle w:val="ab"/>
        <w:numPr>
          <w:ilvl w:val="0"/>
          <w:numId w:val="61"/>
        </w:numPr>
        <w:rPr>
          <w:rtl/>
        </w:rPr>
      </w:pPr>
      <w:r w:rsidRPr="00FA29EB">
        <w:rPr>
          <w:rFonts w:cs="Arial"/>
          <w:rtl/>
        </w:rPr>
        <w:t xml:space="preserve">רדב"ז </w:t>
      </w:r>
      <w:r w:rsidRPr="00FA29EB">
        <w:rPr>
          <w:rFonts w:cs="Arial" w:hint="cs"/>
          <w:sz w:val="16"/>
          <w:szCs w:val="16"/>
          <w:rtl/>
        </w:rPr>
        <w:t>(</w:t>
      </w:r>
      <w:r w:rsidRPr="00FA29EB">
        <w:rPr>
          <w:rFonts w:cs="Arial"/>
          <w:sz w:val="16"/>
          <w:szCs w:val="16"/>
          <w:rtl/>
        </w:rPr>
        <w:t>ח"ג סי' תנה</w:t>
      </w:r>
      <w:r>
        <w:rPr>
          <w:rFonts w:cs="Arial" w:hint="cs"/>
          <w:sz w:val="16"/>
          <w:szCs w:val="16"/>
          <w:rtl/>
        </w:rPr>
        <w:t xml:space="preserve">, </w:t>
      </w:r>
      <w:r w:rsidRPr="00FA29EB">
        <w:rPr>
          <w:rFonts w:cs="Arial" w:hint="cs"/>
          <w:sz w:val="16"/>
          <w:szCs w:val="16"/>
          <w:rtl/>
        </w:rPr>
        <w:t>פת"ש סק"</w:t>
      </w:r>
      <w:r w:rsidRPr="00FA29EB">
        <w:rPr>
          <w:rFonts w:cs="Arial"/>
          <w:sz w:val="16"/>
          <w:szCs w:val="16"/>
          <w:rtl/>
        </w:rPr>
        <w:t>ד</w:t>
      </w:r>
      <w:r w:rsidRPr="00FA29EB">
        <w:rPr>
          <w:rFonts w:cs="Arial" w:hint="cs"/>
          <w:sz w:val="16"/>
          <w:szCs w:val="16"/>
          <w:rtl/>
        </w:rPr>
        <w:t>)</w:t>
      </w:r>
      <w:r>
        <w:rPr>
          <w:rFonts w:cs="Arial" w:hint="cs"/>
          <w:rtl/>
        </w:rPr>
        <w:t>-</w:t>
      </w:r>
      <w:r w:rsidRPr="00FA29EB">
        <w:rPr>
          <w:rFonts w:cs="Arial"/>
          <w:rtl/>
        </w:rPr>
        <w:t xml:space="preserve"> ראובן שצוה מחמת מיתה שיתנו לאשתו מאתים זהב בכתובתה</w:t>
      </w:r>
      <w:r>
        <w:rPr>
          <w:rFonts w:cs="Arial" w:hint="cs"/>
          <w:rtl/>
        </w:rPr>
        <w:t>.</w:t>
      </w:r>
      <w:r w:rsidRPr="00FA29EB">
        <w:rPr>
          <w:rFonts w:cs="Arial"/>
          <w:rtl/>
        </w:rPr>
        <w:t xml:space="preserve"> והיא אין לה כתובה כתוב אלא מנה</w:t>
      </w:r>
      <w:r>
        <w:rPr>
          <w:rFonts w:cs="Arial" w:hint="cs"/>
          <w:rtl/>
        </w:rPr>
        <w:t>.</w:t>
      </w:r>
      <w:r w:rsidRPr="00FA29EB">
        <w:rPr>
          <w:rFonts w:cs="Arial"/>
          <w:rtl/>
        </w:rPr>
        <w:t xml:space="preserve"> והיא לא רצתה לגבות כתובה</w:t>
      </w:r>
      <w:r>
        <w:rPr>
          <w:rFonts w:cs="Arial" w:hint="cs"/>
          <w:rtl/>
        </w:rPr>
        <w:t>,</w:t>
      </w:r>
      <w:r w:rsidRPr="00FA29EB">
        <w:rPr>
          <w:rFonts w:cs="Arial"/>
          <w:rtl/>
        </w:rPr>
        <w:t xml:space="preserve"> אלא להיות ניזונית כדין האלמנה</w:t>
      </w:r>
      <w:r>
        <w:rPr>
          <w:rFonts w:cs="Arial" w:hint="cs"/>
          <w:rtl/>
        </w:rPr>
        <w:t>.</w:t>
      </w:r>
      <w:r w:rsidRPr="00FA29EB">
        <w:rPr>
          <w:rFonts w:cs="Arial"/>
          <w:rtl/>
        </w:rPr>
        <w:t xml:space="preserve"> והאפוטרופס של היתומים אומר כי לא הוסיף לה מנה אלא כדי לסלק' מעל יתומיו וכיון שהיא אינה רוצה להסתלק אין לה אלא מנה כאשר כתוב בכתובתה</w:t>
      </w:r>
      <w:r w:rsidR="00834A05">
        <w:rPr>
          <w:rFonts w:cs="Arial" w:hint="cs"/>
          <w:rtl/>
        </w:rPr>
        <w:t>.</w:t>
      </w:r>
      <w:r w:rsidRPr="00FA29EB">
        <w:rPr>
          <w:rFonts w:cs="Arial"/>
          <w:rtl/>
        </w:rPr>
        <w:t xml:space="preserve"> </w:t>
      </w:r>
      <w:r w:rsidR="00834A05">
        <w:rPr>
          <w:rFonts w:cs="Arial" w:hint="cs"/>
          <w:rtl/>
        </w:rPr>
        <w:t xml:space="preserve">    תשובה:</w:t>
      </w:r>
      <w:r w:rsidRPr="00FA29EB">
        <w:rPr>
          <w:rFonts w:cs="Arial"/>
          <w:rtl/>
        </w:rPr>
        <w:t xml:space="preserve"> אין כאן ספק כלל אלא הדין עם האלמנה ותהי' ניזונת עד שתרצה ותתבע כתובתה ותגבה מאתים זהב</w:t>
      </w:r>
      <w:r w:rsidR="00AE0AEA">
        <w:rPr>
          <w:rFonts w:cs="Arial" w:hint="cs"/>
          <w:rtl/>
        </w:rPr>
        <w:t>,</w:t>
      </w:r>
      <w:r w:rsidRPr="00FA29EB">
        <w:rPr>
          <w:rFonts w:cs="Arial"/>
          <w:rtl/>
        </w:rPr>
        <w:t xml:space="preserve"> הרי כתב לה בכתובתה משמע כדין כתובה ממש</w:t>
      </w:r>
      <w:r w:rsidR="00AE0AEA">
        <w:rPr>
          <w:rFonts w:cs="Arial" w:hint="cs"/>
          <w:rtl/>
        </w:rPr>
        <w:t>,</w:t>
      </w:r>
      <w:r w:rsidRPr="00FA29EB">
        <w:rPr>
          <w:rFonts w:cs="Arial"/>
          <w:rtl/>
        </w:rPr>
        <w:t xml:space="preserve"> וכמו שהמנה הראשונ' הרשות בידה ליזון או ליטלם</w:t>
      </w:r>
      <w:r w:rsidR="00AE0AEA">
        <w:rPr>
          <w:rFonts w:cs="Arial" w:hint="cs"/>
          <w:rtl/>
        </w:rPr>
        <w:t>,</w:t>
      </w:r>
      <w:r w:rsidRPr="00FA29EB">
        <w:rPr>
          <w:rFonts w:cs="Arial"/>
          <w:rtl/>
        </w:rPr>
        <w:t xml:space="preserve"> כן הדין במנה האחרים שהוסיף בכתובת</w:t>
      </w:r>
      <w:r w:rsidRPr="00FA29EB">
        <w:rPr>
          <w:rFonts w:cs="Arial" w:hint="cs"/>
          <w:rtl/>
        </w:rPr>
        <w:t>ה.</w:t>
      </w:r>
      <w:r w:rsidRPr="00FA29EB">
        <w:rPr>
          <w:rFonts w:cs="Arial"/>
          <w:rtl/>
        </w:rPr>
        <w:t xml:space="preserve"> ועוד שכל אדם יודע שאשתו ניזונת מנכסיו ואם כך הית</w:t>
      </w:r>
      <w:r w:rsidRPr="00FA29EB">
        <w:rPr>
          <w:rFonts w:cs="Arial" w:hint="cs"/>
          <w:rtl/>
        </w:rPr>
        <w:t>ה</w:t>
      </w:r>
      <w:r w:rsidRPr="00FA29EB">
        <w:rPr>
          <w:rFonts w:cs="Arial"/>
          <w:rtl/>
        </w:rPr>
        <w:t xml:space="preserve"> כוונתו הי</w:t>
      </w:r>
      <w:r w:rsidRPr="00FA29EB">
        <w:rPr>
          <w:rFonts w:cs="Arial" w:hint="cs"/>
          <w:rtl/>
        </w:rPr>
        <w:t>ה</w:t>
      </w:r>
      <w:r w:rsidRPr="00FA29EB">
        <w:rPr>
          <w:rFonts w:cs="Arial"/>
          <w:rtl/>
        </w:rPr>
        <w:t xml:space="preserve"> לו לומר תנו לה מאה זהב למזונותי</w:t>
      </w:r>
      <w:r w:rsidRPr="00FA29EB">
        <w:rPr>
          <w:rFonts w:cs="Arial" w:hint="cs"/>
          <w:rtl/>
        </w:rPr>
        <w:t>ה.</w:t>
      </w:r>
      <w:r w:rsidRPr="00FA29EB">
        <w:rPr>
          <w:rFonts w:cs="Arial"/>
          <w:rtl/>
        </w:rPr>
        <w:t xml:space="preserve"> ועוד שודאי בא במתנתו ליפות כחה ולא לגרע כחה ואם אתה אומר תטול מאתים ותסתלק נמצאת מפסדת שהרי בשנה אחת יעלה מזונותיה למאה</w:t>
      </w:r>
      <w:r w:rsidR="00AE0AEA">
        <w:rPr>
          <w:rFonts w:cs="Arial" w:hint="cs"/>
          <w:rtl/>
        </w:rPr>
        <w:t>,</w:t>
      </w:r>
      <w:r w:rsidRPr="00FA29EB">
        <w:rPr>
          <w:rFonts w:cs="Arial"/>
          <w:rtl/>
        </w:rPr>
        <w:t xml:space="preserve"> ואם היתה כוונתו לתת בידה הבחירה שתטול מאתים ותסתלק או שתזון ותטול מאה כמו שכ' בכתובת</w:t>
      </w:r>
      <w:r w:rsidRPr="00FA29EB">
        <w:rPr>
          <w:rFonts w:cs="Arial" w:hint="cs"/>
          <w:rtl/>
        </w:rPr>
        <w:t>ה</w:t>
      </w:r>
      <w:r w:rsidRPr="00FA29EB">
        <w:rPr>
          <w:rFonts w:cs="Arial"/>
          <w:rtl/>
        </w:rPr>
        <w:t xml:space="preserve"> הי</w:t>
      </w:r>
      <w:r w:rsidRPr="00FA29EB">
        <w:rPr>
          <w:rFonts w:cs="Arial" w:hint="cs"/>
          <w:rtl/>
        </w:rPr>
        <w:t>ה</w:t>
      </w:r>
      <w:r w:rsidRPr="00FA29EB">
        <w:rPr>
          <w:rFonts w:cs="Arial"/>
          <w:rtl/>
        </w:rPr>
        <w:t xml:space="preserve"> לו לפרש</w:t>
      </w:r>
      <w:r w:rsidRPr="00FA29EB">
        <w:rPr>
          <w:rFonts w:cs="Arial" w:hint="cs"/>
          <w:rtl/>
        </w:rPr>
        <w:t>.</w:t>
      </w:r>
      <w:r w:rsidRPr="00FA29EB">
        <w:rPr>
          <w:rFonts w:cs="Arial"/>
          <w:rtl/>
        </w:rPr>
        <w:t xml:space="preserve"> הלכך ודאי ידה על העליונה ותתפרנס אם תרצה וכשתתבע כתובתה תגבה מאתים</w:t>
      </w:r>
      <w:r w:rsidRPr="00FA29EB">
        <w:rPr>
          <w:rFonts w:cs="Arial" w:hint="cs"/>
          <w:rtl/>
        </w:rPr>
        <w:t>.</w:t>
      </w:r>
    </w:p>
    <w:p w14:paraId="3F88705E" w14:textId="77777777" w:rsidR="00392DBB" w:rsidRDefault="00392DBB" w:rsidP="00392DBB">
      <w:pPr>
        <w:rPr>
          <w:rtl/>
        </w:rPr>
      </w:pPr>
    </w:p>
    <w:p w14:paraId="704B9F4F" w14:textId="77777777" w:rsidR="00392DBB" w:rsidRDefault="00392DBB" w:rsidP="000F64D0">
      <w:pPr>
        <w:pStyle w:val="2"/>
        <w:rPr>
          <w:rtl/>
        </w:rPr>
      </w:pPr>
      <w:r>
        <w:rPr>
          <w:rtl/>
        </w:rPr>
        <w:t>סעיף ד</w:t>
      </w:r>
      <w:r>
        <w:rPr>
          <w:rFonts w:hint="cs"/>
          <w:rtl/>
        </w:rPr>
        <w:t>: מזונות אלמנה כשהנכסים מועטים ויש עוד יורשים.</w:t>
      </w:r>
    </w:p>
    <w:p w14:paraId="202B9FC0" w14:textId="501DE604" w:rsidR="00392DBB" w:rsidRDefault="00392DBB" w:rsidP="00392DBB">
      <w:pPr>
        <w:rPr>
          <w:rFonts w:cs="Arial"/>
          <w:rtl/>
        </w:rPr>
      </w:pPr>
      <w:r>
        <w:rPr>
          <w:rFonts w:cs="Arial" w:hint="cs"/>
          <w:b/>
          <w:bCs/>
          <w:rtl/>
        </w:rPr>
        <w:t>בבא בתרא</w:t>
      </w:r>
      <w:r>
        <w:rPr>
          <w:rFonts w:cs="Arial" w:hint="cs"/>
          <w:b/>
          <w:bCs/>
          <w:sz w:val="16"/>
          <w:szCs w:val="16"/>
          <w:rtl/>
        </w:rPr>
        <w:t xml:space="preserve"> (ר"פ מי שמת)</w:t>
      </w:r>
      <w:r>
        <w:rPr>
          <w:rFonts w:cs="Arial" w:hint="cs"/>
          <w:b/>
          <w:bCs/>
          <w:rtl/>
        </w:rPr>
        <w:t xml:space="preserve"> קלט</w:t>
      </w:r>
      <w:r w:rsidR="00843FDE">
        <w:rPr>
          <w:rStyle w:val="a7"/>
          <w:rFonts w:cs="Arial"/>
          <w:b/>
          <w:bCs/>
          <w:rtl/>
        </w:rPr>
        <w:footnoteReference w:id="1553"/>
      </w:r>
      <w:r>
        <w:rPr>
          <w:rFonts w:cs="Arial" w:hint="cs"/>
          <w:b/>
          <w:bCs/>
          <w:rtl/>
        </w:rPr>
        <w:t xml:space="preserve"> ע"ב: </w:t>
      </w:r>
      <w:r w:rsidRPr="009F73FD">
        <w:rPr>
          <w:rFonts w:cs="Arial"/>
          <w:u w:val="double"/>
          <w:rtl/>
        </w:rPr>
        <w:t>מתני'</w:t>
      </w:r>
      <w:r>
        <w:rPr>
          <w:rFonts w:cs="Arial" w:hint="cs"/>
          <w:rtl/>
        </w:rPr>
        <w:t>:</w:t>
      </w:r>
      <w:r w:rsidRPr="009F73FD">
        <w:rPr>
          <w:rFonts w:cs="Arial"/>
          <w:rtl/>
        </w:rPr>
        <w:t xml:space="preserve"> מי שמת והניח בנים ובנות, בזמן שהנכסים מרובין - הבנים יירשו והבנות יזונו, נכסים מועטין - הבנות יזונו והבנים ישאלו על הפתחים</w:t>
      </w:r>
      <w:r>
        <w:rPr>
          <w:rFonts w:cs="Arial" w:hint="cs"/>
          <w:rtl/>
        </w:rPr>
        <w:t>.</w:t>
      </w:r>
      <w:r w:rsidRPr="009F73FD">
        <w:rPr>
          <w:rFonts w:cs="Arial"/>
          <w:rtl/>
        </w:rPr>
        <w:t xml:space="preserve"> </w:t>
      </w:r>
      <w:r w:rsidRPr="009F73FD">
        <w:rPr>
          <w:rFonts w:cs="Arial"/>
          <w:u w:val="single"/>
          <w:rtl/>
        </w:rPr>
        <w:t>אדמון אומר</w:t>
      </w:r>
      <w:r w:rsidRPr="009F73FD">
        <w:rPr>
          <w:rFonts w:cs="Arial"/>
          <w:rtl/>
        </w:rPr>
        <w:t xml:space="preserve">: בשביל שאני זכר הפסדתי? </w:t>
      </w:r>
      <w:r w:rsidRPr="009F73FD">
        <w:rPr>
          <w:rFonts w:cs="Arial"/>
          <w:u w:val="single"/>
          <w:rtl/>
        </w:rPr>
        <w:t>אמר רבן גמליאל</w:t>
      </w:r>
      <w:r w:rsidRPr="009F73FD">
        <w:rPr>
          <w:rFonts w:cs="Arial"/>
          <w:rtl/>
        </w:rPr>
        <w:t xml:space="preserve">: רואה אני את דברי אדמון. </w:t>
      </w:r>
      <w:r>
        <w:rPr>
          <w:rFonts w:cs="Arial" w:hint="cs"/>
          <w:rtl/>
        </w:rPr>
        <w:t xml:space="preserve">        </w:t>
      </w:r>
      <w:r w:rsidRPr="0078313F">
        <w:rPr>
          <w:rFonts w:cs="Arial" w:hint="cs"/>
          <w:u w:val="double"/>
          <w:rtl/>
        </w:rPr>
        <w:t>גמ'</w:t>
      </w:r>
      <w:r>
        <w:rPr>
          <w:rFonts w:cs="Arial" w:hint="cs"/>
          <w:sz w:val="14"/>
          <w:szCs w:val="14"/>
          <w:u w:val="double"/>
          <w:rtl/>
        </w:rPr>
        <w:t>(קמ.)</w:t>
      </w:r>
      <w:r w:rsidRPr="0078313F">
        <w:rPr>
          <w:rFonts w:cs="Arial" w:hint="cs"/>
          <w:u w:val="double"/>
          <w:rtl/>
        </w:rPr>
        <w:t>:</w:t>
      </w:r>
      <w:r>
        <w:rPr>
          <w:rFonts w:cs="Arial" w:hint="cs"/>
          <w:rtl/>
        </w:rPr>
        <w:t xml:space="preserve"> </w:t>
      </w:r>
      <w:r w:rsidRPr="0078313F">
        <w:rPr>
          <w:rFonts w:cs="Arial"/>
          <w:u w:val="single"/>
          <w:rtl/>
        </w:rPr>
        <w:t>יתיב רבי ירמיה קמיה דרבי אבהו וקא בעי מיניה</w:t>
      </w:r>
      <w:r w:rsidRPr="0078313F">
        <w:rPr>
          <w:rFonts w:cs="Arial"/>
          <w:rtl/>
        </w:rPr>
        <w:t>: אלמנתו מהו שתמעט בנכסים</w:t>
      </w:r>
      <w:r>
        <w:rPr>
          <w:rStyle w:val="a7"/>
          <w:rFonts w:cs="Arial"/>
          <w:rtl/>
        </w:rPr>
        <w:footnoteReference w:id="1554"/>
      </w:r>
      <w:r w:rsidRPr="0078313F">
        <w:rPr>
          <w:rFonts w:cs="Arial"/>
          <w:rtl/>
        </w:rPr>
        <w:t>? מי אמרינן: כיון דאית לה מזוני - ממעטא, או דלמא כיון דאילו מנסבא לית לה, השתא נמי לית לה? אם תמצא לומר: כיון דאילו מנסבא לית לה, השתא נמי לית לה, בת אשתו מהו שתמעט בנכסים? מי אמרינן: כיון דכי מנסבא נמי אית לה - וממעטא, או דלמא כיון דאילו מתה לית לה - ולא ממעטא? ואם תמצא לומר: כיון דאילו מתה לית לה ולא ממעטא, בע"ח מהו שימעט בנכסים? מי אמרינן: כיון דכי מיית נמי אית ליה - ממעט, או דלמא כיון דמחסרי גוביינא לא ממעט? ואיכא דבעי לה לאידך גיסא: בע"ח מהו שימעט בנכסים?</w:t>
      </w:r>
      <w:r>
        <w:rPr>
          <w:rFonts w:cs="Arial" w:hint="cs"/>
          <w:sz w:val="14"/>
          <w:szCs w:val="14"/>
          <w:rtl/>
        </w:rPr>
        <w:t>(קמ:)</w:t>
      </w:r>
      <w:r w:rsidRPr="0078313F">
        <w:rPr>
          <w:rtl/>
        </w:rPr>
        <w:t xml:space="preserve"> </w:t>
      </w:r>
      <w:r w:rsidRPr="0078313F">
        <w:rPr>
          <w:rFonts w:cs="Arial"/>
          <w:rtl/>
        </w:rPr>
        <w:t xml:space="preserve">בת אשתו מהו שתמעט בנכסים? אלמנתו מהו שתמעט בנכסים? אלמנתו ובת אי זה מהן קודמת? </w:t>
      </w:r>
      <w:r w:rsidRPr="008B3771">
        <w:rPr>
          <w:rFonts w:cs="Arial"/>
          <w:u w:val="single"/>
          <w:rtl/>
        </w:rPr>
        <w:t>אמר ליה</w:t>
      </w:r>
      <w:r w:rsidRPr="0078313F">
        <w:rPr>
          <w:rFonts w:cs="Arial"/>
          <w:rtl/>
        </w:rPr>
        <w:t xml:space="preserve">: זיל האידנא ותא למחר. </w:t>
      </w:r>
      <w:r w:rsidRPr="008B3771">
        <w:rPr>
          <w:rFonts w:cs="Arial"/>
          <w:u w:val="single"/>
          <w:rtl/>
        </w:rPr>
        <w:t>כי אתא, אמר ליה</w:t>
      </w:r>
      <w:r w:rsidRPr="0078313F">
        <w:rPr>
          <w:rFonts w:cs="Arial"/>
          <w:rtl/>
        </w:rPr>
        <w:t>: פשוט מיהת חדא, דאמר רבי אבא אמר רבי אסי: עשו אלמנה אצל הבת כבת אצל האחין בנכסים מועטין, מה בת אצל אחין - הבת ניזונת והאחין ישאלו על הפתחים, אף אלמנה אצל הבת - אלמנה ניזונת והבת תשאל על הפתחים.</w:t>
      </w:r>
      <w:r>
        <w:rPr>
          <w:rFonts w:cs="Arial" w:hint="cs"/>
          <w:rtl/>
        </w:rPr>
        <w:t xml:space="preserve"> </w:t>
      </w:r>
    </w:p>
    <w:p w14:paraId="449C3A94" w14:textId="4BDD8F6B" w:rsidR="00392DBB" w:rsidRDefault="00392DBB" w:rsidP="00392DBB">
      <w:pPr>
        <w:rPr>
          <w:rFonts w:cs="Arial"/>
          <w:rtl/>
        </w:rPr>
      </w:pPr>
      <w:bookmarkStart w:id="16" w:name="_Hlk135326113"/>
      <w:r w:rsidRPr="004854C8">
        <w:rPr>
          <w:rFonts w:cs="Arial" w:hint="cs"/>
          <w:b/>
          <w:bCs/>
          <w:rtl/>
        </w:rPr>
        <w:t>ירושלמי בבא בתרא פ"ט ה"א</w:t>
      </w:r>
      <w:r>
        <w:rPr>
          <w:rStyle w:val="a7"/>
          <w:rFonts w:cs="Arial"/>
          <w:b/>
          <w:bCs/>
          <w:rtl/>
        </w:rPr>
        <w:footnoteReference w:id="1555"/>
      </w:r>
      <w:r w:rsidRPr="004854C8">
        <w:rPr>
          <w:rFonts w:cs="Arial" w:hint="cs"/>
          <w:b/>
          <w:bCs/>
          <w:rtl/>
        </w:rPr>
        <w:t xml:space="preserve">: </w:t>
      </w:r>
      <w:r w:rsidRPr="004854C8">
        <w:rPr>
          <w:rFonts w:cs="Arial"/>
          <w:u w:val="single"/>
          <w:rtl/>
        </w:rPr>
        <w:t>רב חסדא בעי</w:t>
      </w:r>
      <w:r>
        <w:rPr>
          <w:rFonts w:cs="Arial" w:hint="cs"/>
          <w:rtl/>
        </w:rPr>
        <w:t>:</w:t>
      </w:r>
      <w:r w:rsidRPr="004854C8">
        <w:rPr>
          <w:rFonts w:cs="Arial"/>
          <w:rtl/>
        </w:rPr>
        <w:t xml:space="preserve"> היה שם לאילו ולאילו מזון שנים עשר חדש ואלמנה לזון</w:t>
      </w:r>
      <w:r>
        <w:rPr>
          <w:rFonts w:cs="Arial" w:hint="cs"/>
          <w:rtl/>
        </w:rPr>
        <w:t>.</w:t>
      </w:r>
      <w:r w:rsidRPr="004854C8">
        <w:rPr>
          <w:rFonts w:cs="Arial"/>
          <w:rtl/>
        </w:rPr>
        <w:t xml:space="preserve"> מהו שיאמרו בנים לבנות אין לכם אלא מזון שנים עשר חדש. ודא דתימר והוא שיהא שם לאילו ולאילו מזון שנים עשר חדש חוץ מכתובת אשה</w:t>
      </w:r>
      <w:r>
        <w:rPr>
          <w:rFonts w:cs="Arial" w:hint="cs"/>
          <w:rtl/>
        </w:rPr>
        <w:t>,</w:t>
      </w:r>
      <w:r w:rsidRPr="004854C8">
        <w:rPr>
          <w:rFonts w:cs="Arial"/>
          <w:rtl/>
        </w:rPr>
        <w:t xml:space="preserve"> חוץ ממזונות אלמנה</w:t>
      </w:r>
      <w:r>
        <w:rPr>
          <w:rFonts w:cs="Arial" w:hint="cs"/>
          <w:rtl/>
        </w:rPr>
        <w:t>,</w:t>
      </w:r>
      <w:r w:rsidRPr="004854C8">
        <w:rPr>
          <w:rFonts w:cs="Arial"/>
          <w:rtl/>
        </w:rPr>
        <w:t xml:space="preserve"> חוץ מפרנסת בנות</w:t>
      </w:r>
      <w:r>
        <w:rPr>
          <w:rFonts w:cs="Arial" w:hint="cs"/>
          <w:rtl/>
        </w:rPr>
        <w:t>,</w:t>
      </w:r>
      <w:r w:rsidRPr="004854C8">
        <w:rPr>
          <w:rFonts w:cs="Arial"/>
          <w:rtl/>
        </w:rPr>
        <w:t xml:space="preserve"> חוץ ממלוה בשטר</w:t>
      </w:r>
      <w:r>
        <w:rPr>
          <w:rFonts w:cs="Arial" w:hint="cs"/>
          <w:rtl/>
        </w:rPr>
        <w:t>,</w:t>
      </w:r>
      <w:r w:rsidRPr="004854C8">
        <w:rPr>
          <w:rFonts w:cs="Arial"/>
          <w:rtl/>
        </w:rPr>
        <w:t xml:space="preserve"> חוץ ממלו</w:t>
      </w:r>
      <w:r w:rsidR="008B3771">
        <w:rPr>
          <w:rFonts w:cs="Arial" w:hint="cs"/>
          <w:rtl/>
        </w:rPr>
        <w:t>ה</w:t>
      </w:r>
      <w:r w:rsidRPr="004854C8">
        <w:rPr>
          <w:rFonts w:cs="Arial"/>
          <w:rtl/>
        </w:rPr>
        <w:t xml:space="preserve"> בעדים</w:t>
      </w:r>
      <w:r>
        <w:rPr>
          <w:rFonts w:cs="Arial" w:hint="cs"/>
          <w:rtl/>
        </w:rPr>
        <w:t>,</w:t>
      </w:r>
      <w:r w:rsidRPr="004854C8">
        <w:rPr>
          <w:rFonts w:cs="Arial"/>
          <w:rtl/>
        </w:rPr>
        <w:t xml:space="preserve"> חוץ מקבורת</w:t>
      </w:r>
      <w:r w:rsidR="008B3771">
        <w:rPr>
          <w:rFonts w:cs="Arial" w:hint="cs"/>
          <w:rtl/>
        </w:rPr>
        <w:t>ה</w:t>
      </w:r>
      <w:r w:rsidRPr="004854C8">
        <w:rPr>
          <w:rFonts w:cs="Arial"/>
          <w:rtl/>
        </w:rPr>
        <w:t>. אלמנה ובנות שתי</w:t>
      </w:r>
      <w:r>
        <w:rPr>
          <w:rFonts w:cs="Arial" w:hint="cs"/>
          <w:rtl/>
        </w:rPr>
        <w:t>הן</w:t>
      </w:r>
      <w:r w:rsidRPr="004854C8">
        <w:rPr>
          <w:rFonts w:cs="Arial"/>
          <w:rtl/>
        </w:rPr>
        <w:t xml:space="preserve"> שוות</w:t>
      </w:r>
      <w:r>
        <w:rPr>
          <w:rFonts w:cs="Arial" w:hint="cs"/>
          <w:rtl/>
        </w:rPr>
        <w:t>.</w:t>
      </w:r>
      <w:r w:rsidRPr="004854C8">
        <w:rPr>
          <w:rFonts w:cs="Arial"/>
          <w:rtl/>
        </w:rPr>
        <w:t xml:space="preserve"> אלמנה ובנים שניה</w:t>
      </w:r>
      <w:r>
        <w:rPr>
          <w:rFonts w:cs="Arial" w:hint="cs"/>
          <w:rtl/>
        </w:rPr>
        <w:t>ם</w:t>
      </w:r>
      <w:r w:rsidRPr="004854C8">
        <w:rPr>
          <w:rFonts w:cs="Arial"/>
          <w:rtl/>
        </w:rPr>
        <w:t xml:space="preserve"> שוין</w:t>
      </w:r>
      <w:r>
        <w:rPr>
          <w:rFonts w:cs="Arial" w:hint="cs"/>
          <w:rtl/>
        </w:rPr>
        <w:t>.</w:t>
      </w:r>
      <w:r w:rsidRPr="004854C8">
        <w:rPr>
          <w:rFonts w:cs="Arial"/>
          <w:rtl/>
        </w:rPr>
        <w:t xml:space="preserve"> אין אלמנה דוחה לבנות</w:t>
      </w:r>
      <w:r>
        <w:rPr>
          <w:rFonts w:cs="Arial" w:hint="cs"/>
          <w:rtl/>
        </w:rPr>
        <w:t>,</w:t>
      </w:r>
      <w:r w:rsidRPr="004854C8">
        <w:rPr>
          <w:rFonts w:cs="Arial"/>
          <w:rtl/>
        </w:rPr>
        <w:t xml:space="preserve"> ולא בנות דוחות לאלמנה. פעמים שאלמנה דוחה לבנות על ידי בנים</w:t>
      </w:r>
      <w:r>
        <w:rPr>
          <w:rFonts w:cs="Arial" w:hint="cs"/>
          <w:rtl/>
        </w:rPr>
        <w:t>.</w:t>
      </w:r>
      <w:r w:rsidRPr="004854C8">
        <w:rPr>
          <w:rFonts w:cs="Arial"/>
          <w:rtl/>
        </w:rPr>
        <w:t xml:space="preserve"> כשם שהאלמנ</w:t>
      </w:r>
      <w:r w:rsidR="008B3771">
        <w:rPr>
          <w:rFonts w:cs="Arial" w:hint="cs"/>
          <w:rtl/>
        </w:rPr>
        <w:t>ה</w:t>
      </w:r>
      <w:r w:rsidRPr="004854C8">
        <w:rPr>
          <w:rFonts w:cs="Arial"/>
          <w:rtl/>
        </w:rPr>
        <w:t xml:space="preserve"> דוחה לבנות על ידי בנים כך תדחה אלמנה לבנים.</w:t>
      </w:r>
      <w:r>
        <w:rPr>
          <w:rFonts w:cs="Arial" w:hint="cs"/>
          <w:rtl/>
        </w:rPr>
        <w:t xml:space="preserve"> </w:t>
      </w:r>
      <w:r w:rsidRPr="00217F3F">
        <w:rPr>
          <w:rFonts w:cs="Arial" w:hint="cs"/>
          <w:sz w:val="16"/>
          <w:szCs w:val="16"/>
          <w:rtl/>
        </w:rPr>
        <w:t>(והביאו התוס' והרא"ש ירושלמי זה ופסקוהו. אך הרמב"ן כתב וז"ל</w:t>
      </w:r>
      <w:r w:rsidR="008C0C37">
        <w:rPr>
          <w:rFonts w:cs="Arial" w:hint="cs"/>
          <w:sz w:val="16"/>
          <w:szCs w:val="16"/>
          <w:rtl/>
        </w:rPr>
        <w:t>:</w:t>
      </w:r>
      <w:r w:rsidRPr="00217F3F">
        <w:rPr>
          <w:rFonts w:cs="Arial" w:hint="cs"/>
          <w:sz w:val="16"/>
          <w:szCs w:val="16"/>
          <w:rtl/>
        </w:rPr>
        <w:t xml:space="preserve"> </w:t>
      </w:r>
      <w:r w:rsidRPr="00217F3F">
        <w:rPr>
          <w:rFonts w:cs="Arial"/>
          <w:sz w:val="16"/>
          <w:szCs w:val="16"/>
          <w:rtl/>
        </w:rPr>
        <w:t>ולא ידעתי אם ראוי לסמוך על הירושלמי בזה, שהיה להם לפרש כן בגמרא שלנו, אבל רבותי' סומכין עליו, ובודאי לא מצינו אף בגמרא שלנו מפורש שיהו מוציאין הנכסים מרשות הבנים משום מזונות אלמנה, אלא הבנים ירשו והאלמנה ניזונית, ונראה שהרב ר' משה הספרדי ז"ל לא סמך על הירושלמי בכאן ודעתי נוטה לו</w:t>
      </w:r>
      <w:r>
        <w:rPr>
          <w:rFonts w:cs="Arial" w:hint="cs"/>
          <w:sz w:val="16"/>
          <w:szCs w:val="16"/>
          <w:rtl/>
        </w:rPr>
        <w:t xml:space="preserve"> עכ"ל)</w:t>
      </w:r>
    </w:p>
    <w:bookmarkEnd w:id="16"/>
    <w:p w14:paraId="38801197" w14:textId="465481BD" w:rsidR="00392DBB" w:rsidRPr="00F67790" w:rsidRDefault="00392DBB" w:rsidP="00392DBB">
      <w:pPr>
        <w:rPr>
          <w:rFonts w:cs="Arial"/>
          <w:u w:val="single"/>
          <w:rtl/>
        </w:rPr>
      </w:pPr>
      <w:r w:rsidRPr="00F67790">
        <w:rPr>
          <w:rFonts w:cs="Arial" w:hint="cs"/>
          <w:u w:val="single"/>
          <w:rtl/>
        </w:rPr>
        <w:t xml:space="preserve">כיצד יש לפרש את שאלת רבי ירמיה </w:t>
      </w:r>
      <w:r w:rsidR="007345DC">
        <w:rPr>
          <w:rFonts w:cs="Arial" w:hint="cs"/>
          <w:u w:val="single"/>
          <w:rtl/>
        </w:rPr>
        <w:t>"</w:t>
      </w:r>
      <w:r w:rsidRPr="00F67790">
        <w:rPr>
          <w:rFonts w:cs="Arial"/>
          <w:u w:val="single"/>
          <w:rtl/>
        </w:rPr>
        <w:t>אלמנתו מהו שתמעט בנכסים?</w:t>
      </w:r>
      <w:r w:rsidR="007345DC">
        <w:rPr>
          <w:rFonts w:cs="Arial" w:hint="cs"/>
          <w:u w:val="single"/>
          <w:rtl/>
        </w:rPr>
        <w:t>"</w:t>
      </w:r>
      <w:r w:rsidRPr="00F67790">
        <w:rPr>
          <w:rFonts w:cs="Arial" w:hint="cs"/>
          <w:u w:val="single"/>
          <w:rtl/>
        </w:rPr>
        <w:t>:</w:t>
      </w:r>
    </w:p>
    <w:p w14:paraId="242F8ED2" w14:textId="77F06F2B" w:rsidR="00392DBB" w:rsidRDefault="00392DBB" w:rsidP="009000E3">
      <w:pPr>
        <w:pStyle w:val="ab"/>
        <w:numPr>
          <w:ilvl w:val="0"/>
          <w:numId w:val="69"/>
        </w:numPr>
        <w:rPr>
          <w:rFonts w:cs="Arial"/>
        </w:rPr>
      </w:pPr>
      <w:r w:rsidRPr="008D2C72">
        <w:rPr>
          <w:rFonts w:cs="Arial"/>
          <w:rtl/>
        </w:rPr>
        <w:t>תוס</w:t>
      </w:r>
      <w:r>
        <w:rPr>
          <w:rFonts w:cs="Arial" w:hint="cs"/>
          <w:rtl/>
        </w:rPr>
        <w:t>'</w:t>
      </w:r>
      <w:r>
        <w:rPr>
          <w:rStyle w:val="a7"/>
          <w:rFonts w:cs="Arial"/>
          <w:rtl/>
        </w:rPr>
        <w:footnoteReference w:id="1556"/>
      </w:r>
      <w:r w:rsidRPr="008D2C72">
        <w:rPr>
          <w:rFonts w:cs="Arial"/>
          <w:rtl/>
        </w:rPr>
        <w:t xml:space="preserve"> </w:t>
      </w:r>
      <w:r w:rsidRPr="006872FF">
        <w:rPr>
          <w:rFonts w:cs="Arial"/>
          <w:sz w:val="16"/>
          <w:szCs w:val="16"/>
          <w:rtl/>
        </w:rPr>
        <w:t>(קמ. ד"ה מי)</w:t>
      </w:r>
      <w:r w:rsidRPr="001D62E5">
        <w:rPr>
          <w:rFonts w:cs="Arial" w:hint="cs"/>
          <w:color w:val="FF0000"/>
          <w:rtl/>
        </w:rPr>
        <w:t xml:space="preserve"> </w:t>
      </w:r>
      <w:r w:rsidRPr="006872FF">
        <w:rPr>
          <w:rFonts w:cs="Arial"/>
          <w:rtl/>
        </w:rPr>
        <w:t>רא"ש</w:t>
      </w:r>
      <w:r>
        <w:rPr>
          <w:rStyle w:val="a7"/>
          <w:rFonts w:cs="Arial"/>
          <w:rtl/>
        </w:rPr>
        <w:footnoteReference w:id="1557"/>
      </w:r>
      <w:r w:rsidRPr="006872FF">
        <w:rPr>
          <w:rFonts w:cs="Arial"/>
          <w:rtl/>
        </w:rPr>
        <w:t xml:space="preserve"> </w:t>
      </w:r>
      <w:r w:rsidRPr="006872FF">
        <w:rPr>
          <w:rFonts w:cs="Arial" w:hint="cs"/>
          <w:sz w:val="16"/>
          <w:szCs w:val="16"/>
          <w:rtl/>
        </w:rPr>
        <w:t>(פ"ט</w:t>
      </w:r>
      <w:r w:rsidRPr="006872FF">
        <w:rPr>
          <w:rFonts w:cs="Arial"/>
          <w:sz w:val="16"/>
          <w:szCs w:val="16"/>
          <w:rtl/>
        </w:rPr>
        <w:t xml:space="preserve"> סי' ג)</w:t>
      </w:r>
      <w:r>
        <w:rPr>
          <w:rFonts w:cs="Arial" w:hint="cs"/>
          <w:rtl/>
        </w:rPr>
        <w:t xml:space="preserve"> וטור- </w:t>
      </w:r>
      <w:r w:rsidRPr="006872FF">
        <w:rPr>
          <w:rFonts w:cs="Arial"/>
          <w:rtl/>
        </w:rPr>
        <w:t>נראה לפרש דודאי אם אין כאן אלא אלמנה אצל הבנים</w:t>
      </w:r>
      <w:r w:rsidR="002F0648">
        <w:rPr>
          <w:rFonts w:cs="Arial" w:hint="cs"/>
          <w:rtl/>
        </w:rPr>
        <w:t xml:space="preserve"> -</w:t>
      </w:r>
      <w:r w:rsidRPr="006872FF">
        <w:rPr>
          <w:rFonts w:cs="Arial"/>
          <w:rtl/>
        </w:rPr>
        <w:t xml:space="preserve"> שניהם שוין בנכסים</w:t>
      </w:r>
      <w:r w:rsidRPr="006872FF">
        <w:rPr>
          <w:rFonts w:cs="Arial" w:hint="cs"/>
          <w:rtl/>
        </w:rPr>
        <w:t>.</w:t>
      </w:r>
      <w:r w:rsidRPr="006872FF">
        <w:rPr>
          <w:rFonts w:cs="Arial"/>
          <w:rtl/>
        </w:rPr>
        <w:t xml:space="preserve"> וכן אם אין כאן אלא אלמנה ובנות</w:t>
      </w:r>
      <w:r>
        <w:rPr>
          <w:rFonts w:cs="Arial" w:hint="cs"/>
          <w:rtl/>
        </w:rPr>
        <w:t xml:space="preserve"> </w:t>
      </w:r>
      <w:r>
        <w:rPr>
          <w:rFonts w:cs="Arial" w:hint="cs"/>
          <w:sz w:val="16"/>
          <w:szCs w:val="16"/>
          <w:rtl/>
        </w:rPr>
        <w:t>(ל' התוס')</w:t>
      </w:r>
      <w:r>
        <w:rPr>
          <w:rFonts w:cs="Arial" w:hint="cs"/>
          <w:rtl/>
        </w:rPr>
        <w:t>,</w:t>
      </w:r>
      <w:r w:rsidRPr="003632FA">
        <w:rPr>
          <w:rFonts w:cs="Arial"/>
          <w:rtl/>
        </w:rPr>
        <w:t xml:space="preserve"> </w:t>
      </w:r>
      <w:r>
        <w:rPr>
          <w:rFonts w:cs="Arial" w:hint="cs"/>
          <w:rtl/>
        </w:rPr>
        <w:t>ו</w:t>
      </w:r>
      <w:r w:rsidRPr="006872FF">
        <w:rPr>
          <w:rFonts w:cs="Arial"/>
          <w:rtl/>
        </w:rPr>
        <w:t>הך בעיא מיירי בשיש בנים ובנות ואלמנה</w:t>
      </w:r>
      <w:r>
        <w:rPr>
          <w:rFonts w:cs="Arial" w:hint="cs"/>
          <w:rtl/>
        </w:rPr>
        <w:t>,</w:t>
      </w:r>
      <w:r w:rsidRPr="006872FF">
        <w:rPr>
          <w:rFonts w:cs="Arial"/>
          <w:rtl/>
        </w:rPr>
        <w:t xml:space="preserve"> ואין מזון </w:t>
      </w:r>
      <w:r w:rsidRPr="006872FF">
        <w:rPr>
          <w:rFonts w:cs="Arial"/>
          <w:rtl/>
        </w:rPr>
        <w:lastRenderedPageBreak/>
        <w:t>לבנים ובנות עד שיבגרו</w:t>
      </w:r>
      <w:r>
        <w:rPr>
          <w:rFonts w:cs="Arial" w:hint="cs"/>
          <w:rtl/>
        </w:rPr>
        <w:t>.</w:t>
      </w:r>
      <w:r w:rsidRPr="006872FF">
        <w:rPr>
          <w:rFonts w:cs="Arial"/>
          <w:rtl/>
        </w:rPr>
        <w:t xml:space="preserve"> הילכך בלא האלמנה נעשו הנכסים מועטים ונסתלקו הבנים</w:t>
      </w:r>
      <w:r>
        <w:rPr>
          <w:rFonts w:cs="Arial" w:hint="cs"/>
          <w:rtl/>
        </w:rPr>
        <w:t>,</w:t>
      </w:r>
      <w:r w:rsidRPr="006872FF">
        <w:rPr>
          <w:rFonts w:cs="Arial"/>
          <w:rtl/>
        </w:rPr>
        <w:t xml:space="preserve"> ומיבעיא ליה כיון דאלמנה ובנות באות מכח תנאי כתובה איזו מהן קודמת</w:t>
      </w:r>
      <w:r>
        <w:rPr>
          <w:rFonts w:cs="Arial" w:hint="cs"/>
          <w:sz w:val="16"/>
          <w:szCs w:val="16"/>
          <w:rtl/>
        </w:rPr>
        <w:t xml:space="preserve"> (ל' הרא"ש)</w:t>
      </w:r>
      <w:r>
        <w:rPr>
          <w:rFonts w:cs="Arial" w:hint="cs"/>
          <w:rtl/>
        </w:rPr>
        <w:t>.</w:t>
      </w:r>
    </w:p>
    <w:p w14:paraId="4F86D445" w14:textId="77777777" w:rsidR="00392DBB" w:rsidRDefault="00392DBB" w:rsidP="009000E3">
      <w:pPr>
        <w:pStyle w:val="ab"/>
        <w:numPr>
          <w:ilvl w:val="0"/>
          <w:numId w:val="69"/>
        </w:numPr>
        <w:rPr>
          <w:rFonts w:cs="Arial"/>
        </w:rPr>
      </w:pPr>
      <w:r>
        <w:rPr>
          <w:rFonts w:cs="Arial" w:hint="cs"/>
          <w:rtl/>
        </w:rPr>
        <w:t>רשב"ם</w:t>
      </w:r>
      <w:r>
        <w:rPr>
          <w:rFonts w:cs="Arial" w:hint="cs"/>
          <w:sz w:val="16"/>
          <w:szCs w:val="16"/>
          <w:rtl/>
        </w:rPr>
        <w:t xml:space="preserve"> (קמ. ד"ה אלמנתו מהו)</w:t>
      </w:r>
      <w:r>
        <w:rPr>
          <w:rFonts w:cs="Arial" w:hint="cs"/>
          <w:rtl/>
        </w:rPr>
        <w:t xml:space="preserve">- </w:t>
      </w:r>
      <w:r w:rsidRPr="003632FA">
        <w:rPr>
          <w:rFonts w:cs="Arial"/>
          <w:rtl/>
        </w:rPr>
        <w:t>מי שמת והניח בנים ובנות והניח נמי אלמנתו וצריכה נמי מזונות כל ימי מיגר ארמלותה ואין כאן נכסים אלא כדי מזון הבנים והבנות עד שיבגרו מי אמרינן כיון דאית לה מזוני ממעטא ולא מיקרו נכסים מרובין ומפרישין מהנכסים מזון האשה והבנות עד שיבגרו והמותר לבנים דהא מועטין נינהו ולאחר שיוציאו המותר ישאלו על הפתחים או דלמא כיון דאילו מינסבא לבעל לית לה מזוני לא ממעטא וכמאן דליתא דמיא ומוציאין מן הנכסים לבנות כדי מזונן עד שיבגרו וכל השאר יירשו הבנים כדין נכסים מרובין</w:t>
      </w:r>
      <w:r>
        <w:rPr>
          <w:rStyle w:val="a7"/>
          <w:rFonts w:cs="Arial"/>
          <w:rtl/>
        </w:rPr>
        <w:footnoteReference w:id="1558"/>
      </w:r>
      <w:r>
        <w:rPr>
          <w:rFonts w:cs="Arial" w:hint="cs"/>
          <w:rtl/>
        </w:rPr>
        <w:t>.</w:t>
      </w:r>
    </w:p>
    <w:p w14:paraId="028A4DF0" w14:textId="77777777" w:rsidR="00392DBB" w:rsidRPr="00217F3F" w:rsidRDefault="00392DBB" w:rsidP="009000E3">
      <w:pPr>
        <w:pStyle w:val="ab"/>
        <w:numPr>
          <w:ilvl w:val="0"/>
          <w:numId w:val="69"/>
        </w:numPr>
      </w:pPr>
      <w:r>
        <w:rPr>
          <w:rFonts w:cs="Arial" w:hint="cs"/>
          <w:rtl/>
        </w:rPr>
        <w:t xml:space="preserve">רמב"ם </w:t>
      </w:r>
      <w:r>
        <w:rPr>
          <w:rFonts w:cs="Arial" w:hint="cs"/>
          <w:sz w:val="16"/>
          <w:szCs w:val="16"/>
          <w:rtl/>
        </w:rPr>
        <w:t>(פי"ט הכ"א)</w:t>
      </w:r>
      <w:r>
        <w:rPr>
          <w:rFonts w:cs="Arial" w:hint="cs"/>
          <w:rtl/>
        </w:rPr>
        <w:t xml:space="preserve"> ורמב"ן</w:t>
      </w:r>
      <w:r>
        <w:rPr>
          <w:rFonts w:cs="Arial" w:hint="cs"/>
          <w:sz w:val="16"/>
          <w:szCs w:val="16"/>
          <w:rtl/>
        </w:rPr>
        <w:t xml:space="preserve"> (קמ. דיבור ראשון, וכ"כ הה"מ [שם] בשמו) </w:t>
      </w:r>
      <w:r>
        <w:rPr>
          <w:rFonts w:cs="Arial" w:hint="cs"/>
          <w:rtl/>
        </w:rPr>
        <w:t>ו</w:t>
      </w:r>
      <w:r w:rsidRPr="00217F3F">
        <w:rPr>
          <w:rFonts w:cs="Arial"/>
          <w:rtl/>
        </w:rPr>
        <w:t xml:space="preserve">ר"ן </w:t>
      </w:r>
      <w:r w:rsidRPr="00217F3F">
        <w:rPr>
          <w:rFonts w:cs="Arial"/>
          <w:sz w:val="16"/>
          <w:szCs w:val="16"/>
          <w:rtl/>
        </w:rPr>
        <w:t>(ב"ב קמ: ד"ה אלמנה)</w:t>
      </w:r>
      <w:r w:rsidRPr="00217F3F">
        <w:rPr>
          <w:rFonts w:cs="Arial" w:hint="cs"/>
          <w:rtl/>
        </w:rPr>
        <w:t xml:space="preserve">- </w:t>
      </w:r>
      <w:r w:rsidRPr="00217F3F">
        <w:rPr>
          <w:rFonts w:cs="Arial"/>
          <w:rtl/>
        </w:rPr>
        <w:t>לפום פשטא דגמרין משמע דאלמנה אצל הבת בלא בן קאמר</w:t>
      </w:r>
      <w:r w:rsidRPr="00217F3F">
        <w:rPr>
          <w:rFonts w:cs="Arial" w:hint="cs"/>
          <w:rtl/>
        </w:rPr>
        <w:t>.</w:t>
      </w:r>
      <w:r w:rsidRPr="00217F3F">
        <w:rPr>
          <w:rFonts w:cs="Arial"/>
          <w:rtl/>
        </w:rPr>
        <w:t xml:space="preserve"> ומשמע דכיון שאלמנה דוחה את הבת</w:t>
      </w:r>
      <w:r w:rsidRPr="00217F3F">
        <w:rPr>
          <w:rFonts w:cs="Arial" w:hint="cs"/>
          <w:rtl/>
        </w:rPr>
        <w:t>,</w:t>
      </w:r>
      <w:r w:rsidRPr="00217F3F">
        <w:rPr>
          <w:rFonts w:cs="Arial"/>
          <w:rtl/>
        </w:rPr>
        <w:t xml:space="preserve"> כל שכן שדוחה את הבן</w:t>
      </w:r>
      <w:r w:rsidRPr="00217F3F">
        <w:rPr>
          <w:rFonts w:cs="Arial" w:hint="cs"/>
          <w:rtl/>
        </w:rPr>
        <w:t>,</w:t>
      </w:r>
      <w:r w:rsidRPr="00217F3F">
        <w:rPr>
          <w:rFonts w:cs="Arial"/>
          <w:rtl/>
        </w:rPr>
        <w:t xml:space="preserve"> ואמרינן דאלמנה נזונת ובן ישאל על הפתחים</w:t>
      </w:r>
      <w:r w:rsidRPr="00217F3F">
        <w:rPr>
          <w:rFonts w:cs="Arial" w:hint="cs"/>
          <w:rtl/>
        </w:rPr>
        <w:t>.</w:t>
      </w:r>
      <w:r w:rsidRPr="00217F3F">
        <w:rPr>
          <w:rFonts w:cs="Arial"/>
          <w:rtl/>
        </w:rPr>
        <w:t xml:space="preserve"> דקל וחומר הוא</w:t>
      </w:r>
      <w:r w:rsidRPr="00217F3F">
        <w:rPr>
          <w:rFonts w:cs="Arial" w:hint="cs"/>
          <w:rtl/>
        </w:rPr>
        <w:t>,</w:t>
      </w:r>
      <w:r w:rsidRPr="00217F3F">
        <w:rPr>
          <w:rFonts w:cs="Arial"/>
          <w:rtl/>
        </w:rPr>
        <w:t xml:space="preserve"> אם בת שדוחה את הבן נדחית מפני האלמנה</w:t>
      </w:r>
      <w:r w:rsidRPr="00217F3F">
        <w:rPr>
          <w:rFonts w:cs="Arial" w:hint="cs"/>
          <w:rtl/>
        </w:rPr>
        <w:t>,</w:t>
      </w:r>
      <w:r w:rsidRPr="00217F3F">
        <w:rPr>
          <w:rFonts w:cs="Arial"/>
          <w:rtl/>
        </w:rPr>
        <w:t xml:space="preserve"> כל שכן שהבן נדחה מפניה</w:t>
      </w:r>
      <w:r>
        <w:rPr>
          <w:rStyle w:val="a7"/>
          <w:rFonts w:cs="Arial"/>
          <w:rtl/>
        </w:rPr>
        <w:footnoteReference w:id="1559"/>
      </w:r>
      <w:r>
        <w:rPr>
          <w:rFonts w:cs="Arial" w:hint="cs"/>
          <w:sz w:val="16"/>
          <w:szCs w:val="16"/>
          <w:rtl/>
        </w:rPr>
        <w:t xml:space="preserve"> (ל' הר"ן)</w:t>
      </w:r>
      <w:r w:rsidRPr="00217F3F">
        <w:rPr>
          <w:rFonts w:cs="Arial"/>
          <w:rtl/>
        </w:rPr>
        <w:t xml:space="preserve">. </w:t>
      </w:r>
    </w:p>
    <w:p w14:paraId="0EDC8EC3" w14:textId="0E2A8A69" w:rsidR="00392DBB" w:rsidRPr="00E35923" w:rsidRDefault="00392DBB" w:rsidP="00392DBB">
      <w:pPr>
        <w:ind w:left="360"/>
        <w:rPr>
          <w:u w:val="dotted"/>
          <w:rtl/>
        </w:rPr>
      </w:pPr>
      <w:r w:rsidRPr="00E35923">
        <w:rPr>
          <w:rFonts w:hint="cs"/>
          <w:u w:val="dotted"/>
          <w:rtl/>
        </w:rPr>
        <w:t xml:space="preserve">למעשה </w:t>
      </w:r>
      <w:r w:rsidR="004B245C">
        <w:rPr>
          <w:rFonts w:hint="cs"/>
          <w:u w:val="dotted"/>
          <w:rtl/>
        </w:rPr>
        <w:t>-</w:t>
      </w:r>
      <w:r w:rsidRPr="00E35923">
        <w:rPr>
          <w:rFonts w:hint="cs"/>
          <w:u w:val="dotted"/>
          <w:rtl/>
        </w:rPr>
        <w:t xml:space="preserve"> כיצד </w:t>
      </w:r>
      <w:r>
        <w:rPr>
          <w:rFonts w:hint="cs"/>
          <w:u w:val="dotted"/>
          <w:rtl/>
        </w:rPr>
        <w:t>אלמנה ניזונת</w:t>
      </w:r>
      <w:r w:rsidRPr="00E35923">
        <w:rPr>
          <w:rFonts w:hint="cs"/>
          <w:u w:val="dotted"/>
          <w:rtl/>
        </w:rPr>
        <w:t xml:space="preserve"> </w:t>
      </w:r>
      <w:r>
        <w:rPr>
          <w:rFonts w:hint="cs"/>
          <w:u w:val="dotted"/>
          <w:rtl/>
        </w:rPr>
        <w:t>כשה</w:t>
      </w:r>
      <w:r w:rsidRPr="00E35923">
        <w:rPr>
          <w:rFonts w:hint="cs"/>
          <w:u w:val="dotted"/>
          <w:rtl/>
        </w:rPr>
        <w:t>נכסים מועטים ו</w:t>
      </w:r>
      <w:r>
        <w:rPr>
          <w:rFonts w:hint="cs"/>
          <w:u w:val="dotted"/>
          <w:rtl/>
        </w:rPr>
        <w:t xml:space="preserve">יש עמה </w:t>
      </w:r>
      <w:r w:rsidRPr="00E35923">
        <w:rPr>
          <w:rFonts w:hint="cs"/>
          <w:u w:val="dotted"/>
          <w:rtl/>
        </w:rPr>
        <w:t>בת ו/או בן:</w:t>
      </w:r>
    </w:p>
    <w:p w14:paraId="3E5D8684" w14:textId="4CB532B9" w:rsidR="00392DBB" w:rsidRPr="00872E10" w:rsidRDefault="00392DBB" w:rsidP="009000E3">
      <w:pPr>
        <w:pStyle w:val="ab"/>
        <w:numPr>
          <w:ilvl w:val="0"/>
          <w:numId w:val="61"/>
        </w:numPr>
      </w:pPr>
      <w:r>
        <w:rPr>
          <w:rFonts w:cs="Arial" w:hint="cs"/>
          <w:rtl/>
        </w:rPr>
        <w:t xml:space="preserve">רמב"ם </w:t>
      </w:r>
      <w:r>
        <w:rPr>
          <w:rFonts w:cs="Arial" w:hint="cs"/>
          <w:sz w:val="16"/>
          <w:szCs w:val="16"/>
          <w:rtl/>
        </w:rPr>
        <w:t>(פי"ט הכ"א)</w:t>
      </w:r>
      <w:r>
        <w:rPr>
          <w:rFonts w:cs="Arial" w:hint="cs"/>
          <w:rtl/>
        </w:rPr>
        <w:t xml:space="preserve"> ורמב"ן</w:t>
      </w:r>
      <w:r>
        <w:rPr>
          <w:rFonts w:cs="Arial" w:hint="cs"/>
          <w:sz w:val="16"/>
          <w:szCs w:val="16"/>
          <w:rtl/>
        </w:rPr>
        <w:t xml:space="preserve"> (קמ. דיבור ראשון, וכ"כ הה"מ [שם] בשמו)</w:t>
      </w:r>
      <w:r>
        <w:rPr>
          <w:rFonts w:cs="Arial" w:hint="cs"/>
          <w:rtl/>
        </w:rPr>
        <w:t xml:space="preserve">- </w:t>
      </w:r>
      <w:r w:rsidRPr="00872E10">
        <w:rPr>
          <w:rFonts w:cs="Arial"/>
          <w:rtl/>
        </w:rPr>
        <w:t>הניח אלמנה ובת</w:t>
      </w:r>
      <w:r>
        <w:rPr>
          <w:rFonts w:cs="Arial" w:hint="cs"/>
          <w:rtl/>
        </w:rPr>
        <w:t>,</w:t>
      </w:r>
      <w:r w:rsidRPr="00872E10">
        <w:rPr>
          <w:rFonts w:cs="Arial"/>
          <w:rtl/>
        </w:rPr>
        <w:t xml:space="preserve"> ממנה או מאשה אחרת</w:t>
      </w:r>
      <w:r>
        <w:rPr>
          <w:rFonts w:cs="Arial" w:hint="cs"/>
          <w:rtl/>
        </w:rPr>
        <w:t>,</w:t>
      </w:r>
      <w:r w:rsidRPr="00872E10">
        <w:rPr>
          <w:rFonts w:cs="Arial"/>
          <w:rtl/>
        </w:rPr>
        <w:t xml:space="preserve"> ואין בנכסים כדי שיזונו שתיהן </w:t>
      </w:r>
      <w:r>
        <w:rPr>
          <w:rFonts w:cs="Arial" w:hint="cs"/>
          <w:rtl/>
        </w:rPr>
        <w:t xml:space="preserve">- </w:t>
      </w:r>
      <w:r w:rsidRPr="00872E10">
        <w:rPr>
          <w:rFonts w:cs="Arial"/>
          <w:rtl/>
        </w:rPr>
        <w:t>האלמנה ניזונת</w:t>
      </w:r>
      <w:r>
        <w:rPr>
          <w:rFonts w:cs="Arial" w:hint="cs"/>
          <w:rtl/>
        </w:rPr>
        <w:t>,</w:t>
      </w:r>
      <w:r w:rsidRPr="00872E10">
        <w:rPr>
          <w:rFonts w:cs="Arial"/>
          <w:rtl/>
        </w:rPr>
        <w:t xml:space="preserve"> והבת תשאל על הפתחים</w:t>
      </w:r>
      <w:r>
        <w:rPr>
          <w:rFonts w:cs="Arial" w:hint="cs"/>
          <w:rtl/>
        </w:rPr>
        <w:t>.</w:t>
      </w:r>
      <w:r w:rsidRPr="00290018">
        <w:rPr>
          <w:rFonts w:cs="Arial"/>
          <w:color w:val="E36C0A" w:themeColor="accent6" w:themeShade="BF"/>
          <w:rtl/>
        </w:rPr>
        <w:t xml:space="preserve"> </w:t>
      </w:r>
      <w:r w:rsidRPr="00290018">
        <w:rPr>
          <w:rFonts w:hint="cs"/>
          <w:color w:val="E36C0A" w:themeColor="accent6" w:themeShade="BF"/>
          <w:rtl/>
        </w:rPr>
        <w:t>(וכ"</w:t>
      </w:r>
      <w:r w:rsidR="00714D37">
        <w:rPr>
          <w:rFonts w:hint="cs"/>
          <w:color w:val="E36C0A" w:themeColor="accent6" w:themeShade="BF"/>
          <w:rtl/>
        </w:rPr>
        <w:t>ס</w:t>
      </w:r>
      <w:r w:rsidRPr="00290018">
        <w:rPr>
          <w:rFonts w:hint="cs"/>
          <w:color w:val="E36C0A" w:themeColor="accent6" w:themeShade="BF"/>
          <w:rtl/>
        </w:rPr>
        <w:t xml:space="preserve"> בשו"ע</w:t>
      </w:r>
      <w:r>
        <w:rPr>
          <w:rFonts w:hint="cs"/>
          <w:color w:val="000000" w:themeColor="text1"/>
          <w:sz w:val="16"/>
          <w:szCs w:val="16"/>
          <w:rtl/>
        </w:rPr>
        <w:t xml:space="preserve"> </w:t>
      </w:r>
      <w:r w:rsidRPr="00290018">
        <w:rPr>
          <w:rFonts w:hint="cs"/>
          <w:color w:val="000000" w:themeColor="text1"/>
          <w:sz w:val="16"/>
          <w:szCs w:val="16"/>
          <w:rtl/>
        </w:rPr>
        <w:t>[</w:t>
      </w:r>
      <w:r>
        <w:rPr>
          <w:rFonts w:hint="cs"/>
          <w:color w:val="000000" w:themeColor="text1"/>
          <w:sz w:val="16"/>
          <w:szCs w:val="16"/>
          <w:rtl/>
        </w:rPr>
        <w:t>כאן ובסי' קיב סט"ז]</w:t>
      </w:r>
      <w:r w:rsidRPr="00290018">
        <w:rPr>
          <w:rFonts w:hint="cs"/>
          <w:color w:val="E36C0A" w:themeColor="accent6" w:themeShade="BF"/>
          <w:rtl/>
        </w:rPr>
        <w:t>)</w:t>
      </w:r>
    </w:p>
    <w:p w14:paraId="24FE3EDC" w14:textId="5DE5BED4" w:rsidR="00392DBB" w:rsidRDefault="00392DBB" w:rsidP="009000E3">
      <w:pPr>
        <w:pStyle w:val="ab"/>
        <w:numPr>
          <w:ilvl w:val="0"/>
          <w:numId w:val="61"/>
        </w:numPr>
      </w:pPr>
      <w:r>
        <w:rPr>
          <w:rFonts w:cs="Arial" w:hint="cs"/>
          <w:rtl/>
        </w:rPr>
        <w:t xml:space="preserve">טור- </w:t>
      </w:r>
      <w:r w:rsidRPr="000A1431">
        <w:rPr>
          <w:rFonts w:cs="Arial"/>
          <w:rtl/>
        </w:rPr>
        <w:t>אין חילוק בין אם הנכסים מרובים למועטים</w:t>
      </w:r>
      <w:r>
        <w:rPr>
          <w:rFonts w:cs="Arial" w:hint="cs"/>
          <w:rtl/>
        </w:rPr>
        <w:t>,</w:t>
      </w:r>
      <w:r w:rsidRPr="000A1431">
        <w:rPr>
          <w:rFonts w:cs="Arial"/>
          <w:rtl/>
        </w:rPr>
        <w:t xml:space="preserve"> אע</w:t>
      </w:r>
      <w:r>
        <w:rPr>
          <w:rFonts w:cs="Arial" w:hint="cs"/>
          <w:rtl/>
        </w:rPr>
        <w:t>"</w:t>
      </w:r>
      <w:r w:rsidRPr="000A1431">
        <w:rPr>
          <w:rFonts w:cs="Arial"/>
          <w:rtl/>
        </w:rPr>
        <w:t>ג דגבי בת הניזונת יש חילוק בין מרובים למועטים כדלקמן</w:t>
      </w:r>
      <w:r>
        <w:rPr>
          <w:rFonts w:cs="Arial" w:hint="cs"/>
          <w:sz w:val="16"/>
          <w:szCs w:val="16"/>
          <w:rtl/>
        </w:rPr>
        <w:t xml:space="preserve"> (סי' קיב)</w:t>
      </w:r>
      <w:r>
        <w:rPr>
          <w:rFonts w:cs="Arial" w:hint="cs"/>
          <w:rtl/>
        </w:rPr>
        <w:t>,</w:t>
      </w:r>
      <w:r w:rsidRPr="000A1431">
        <w:rPr>
          <w:rFonts w:cs="Arial"/>
          <w:rtl/>
        </w:rPr>
        <w:t xml:space="preserve"> הכא אין חילוק</w:t>
      </w:r>
      <w:r>
        <w:rPr>
          <w:rFonts w:cs="Arial" w:hint="cs"/>
          <w:rtl/>
        </w:rPr>
        <w:t>,</w:t>
      </w:r>
      <w:r w:rsidRPr="000A1431">
        <w:rPr>
          <w:rFonts w:cs="Arial"/>
          <w:rtl/>
        </w:rPr>
        <w:t xml:space="preserve"> אלא בכל ענין אם יש אלמנה ובן</w:t>
      </w:r>
      <w:r w:rsidR="002F0648">
        <w:rPr>
          <w:rFonts w:cs="Arial" w:hint="cs"/>
          <w:rtl/>
        </w:rPr>
        <w:t>,</w:t>
      </w:r>
      <w:r w:rsidRPr="000A1431">
        <w:rPr>
          <w:rFonts w:cs="Arial"/>
          <w:rtl/>
        </w:rPr>
        <w:t xml:space="preserve"> או אלמנה ובת </w:t>
      </w:r>
      <w:r>
        <w:rPr>
          <w:rFonts w:cs="Arial" w:hint="cs"/>
          <w:rtl/>
        </w:rPr>
        <w:t xml:space="preserve">- </w:t>
      </w:r>
      <w:r w:rsidRPr="000A1431">
        <w:rPr>
          <w:rFonts w:cs="Arial"/>
          <w:rtl/>
        </w:rPr>
        <w:t>תיזון היא עם הבן או עם הבת עד שיאכלו הנכסים</w:t>
      </w:r>
      <w:r>
        <w:rPr>
          <w:rFonts w:cs="Arial" w:hint="cs"/>
          <w:rtl/>
        </w:rPr>
        <w:t>..</w:t>
      </w:r>
      <w:r w:rsidRPr="0084491B">
        <w:rPr>
          <w:rFonts w:cs="Arial" w:hint="cs"/>
          <w:rtl/>
        </w:rPr>
        <w:t>.</w:t>
      </w:r>
      <w:r w:rsidRPr="0084491B">
        <w:rPr>
          <w:rFonts w:cs="Arial"/>
          <w:rtl/>
        </w:rPr>
        <w:t xml:space="preserve"> אבל אם יש אלמנה ובן ובת</w:t>
      </w:r>
      <w:r w:rsidRPr="0084491B">
        <w:rPr>
          <w:rFonts w:cs="Arial" w:hint="cs"/>
          <w:rtl/>
        </w:rPr>
        <w:t>,</w:t>
      </w:r>
      <w:r w:rsidRPr="0084491B">
        <w:rPr>
          <w:rFonts w:cs="Arial"/>
          <w:rtl/>
        </w:rPr>
        <w:t xml:space="preserve"> והנכסים מועטים שאין בהן כדי שיזונו הבת והבן עד שתיבגר הבת</w:t>
      </w:r>
      <w:r w:rsidRPr="0084491B">
        <w:rPr>
          <w:rFonts w:cs="Arial" w:hint="cs"/>
          <w:rtl/>
        </w:rPr>
        <w:t>,</w:t>
      </w:r>
      <w:r w:rsidRPr="0084491B">
        <w:rPr>
          <w:rFonts w:cs="Arial"/>
          <w:rtl/>
        </w:rPr>
        <w:t xml:space="preserve"> אז ידחו הבן והבת ותיזון האלמנה לבדה עד שתגבה כתובתה</w:t>
      </w:r>
      <w:r w:rsidRPr="0084491B">
        <w:rPr>
          <w:rFonts w:cs="Arial" w:hint="cs"/>
          <w:rtl/>
        </w:rPr>
        <w:t>.</w:t>
      </w:r>
      <w:r w:rsidRPr="0084491B">
        <w:rPr>
          <w:rFonts w:cs="Arial"/>
          <w:rtl/>
        </w:rPr>
        <w:t xml:space="preserve"> </w:t>
      </w:r>
    </w:p>
    <w:p w14:paraId="48BE4DA5" w14:textId="696BD2FC" w:rsidR="00392DBB" w:rsidRPr="00E35923" w:rsidRDefault="00392DBB" w:rsidP="00392DBB">
      <w:pPr>
        <w:ind w:left="360"/>
        <w:rPr>
          <w:u w:val="dotted"/>
        </w:rPr>
      </w:pPr>
      <w:r>
        <w:rPr>
          <w:rFonts w:hint="cs"/>
          <w:u w:val="dotted"/>
          <w:rtl/>
        </w:rPr>
        <w:t>ל</w:t>
      </w:r>
      <w:r w:rsidRPr="00E35923">
        <w:rPr>
          <w:rFonts w:hint="cs"/>
          <w:u w:val="dotted"/>
          <w:rtl/>
        </w:rPr>
        <w:t xml:space="preserve">רמב"ם וסיעתו </w:t>
      </w:r>
      <w:r w:rsidR="004B245C">
        <w:rPr>
          <w:rFonts w:hint="cs"/>
          <w:u w:val="dotted"/>
          <w:rtl/>
        </w:rPr>
        <w:t>-</w:t>
      </w:r>
      <w:r w:rsidRPr="00E35923">
        <w:rPr>
          <w:rFonts w:hint="cs"/>
          <w:u w:val="dotted"/>
          <w:rtl/>
        </w:rPr>
        <w:t xml:space="preserve"> כשהאלמנה דוחה את הבת, כמה מזונות פוסקים לה:</w:t>
      </w:r>
    </w:p>
    <w:p w14:paraId="47B596F8" w14:textId="05F75014" w:rsidR="00392DBB" w:rsidRDefault="00392DBB" w:rsidP="009000E3">
      <w:pPr>
        <w:pStyle w:val="ab"/>
        <w:numPr>
          <w:ilvl w:val="0"/>
          <w:numId w:val="61"/>
        </w:numPr>
        <w:rPr>
          <w:rFonts w:cs="Arial"/>
        </w:rPr>
      </w:pPr>
      <w:r>
        <w:rPr>
          <w:rFonts w:cs="Arial" w:hint="cs"/>
          <w:rtl/>
        </w:rPr>
        <w:t>הה"מ</w:t>
      </w:r>
      <w:r>
        <w:rPr>
          <w:rFonts w:cs="Arial" w:hint="cs"/>
          <w:sz w:val="16"/>
          <w:szCs w:val="16"/>
          <w:rtl/>
        </w:rPr>
        <w:t xml:space="preserve"> (שם)</w:t>
      </w:r>
      <w:r>
        <w:rPr>
          <w:rFonts w:cs="Arial" w:hint="cs"/>
          <w:rtl/>
        </w:rPr>
        <w:t>-</w:t>
      </w:r>
      <w:r w:rsidRPr="008D2C72">
        <w:rPr>
          <w:rFonts w:cs="Arial"/>
          <w:rtl/>
        </w:rPr>
        <w:t xml:space="preserve"> דע שכשהאלמנה דוחה את הבנות כתבו הרמב"ן (קמ: ד"ה אבל בירושלמי) והרשב"א (שם ד"ה עשו) ז"ל שמוציאין לאלמנה מזון עד זמן שאומדים ב"ד שראויה לחיות אם זקנה ואם ילדה ומעמידין ביד שליש</w:t>
      </w:r>
      <w:r w:rsidR="009C09BB">
        <w:rPr>
          <w:rFonts w:cs="Arial" w:hint="cs"/>
          <w:rtl/>
        </w:rPr>
        <w:t>,</w:t>
      </w:r>
      <w:r w:rsidRPr="008D2C72">
        <w:rPr>
          <w:rFonts w:cs="Arial"/>
          <w:rtl/>
        </w:rPr>
        <w:t xml:space="preserve"> והוא מפרנסה אחד לשלשים יום כדרך שאמרו בלוקח כנזכר </w:t>
      </w:r>
      <w:r>
        <w:rPr>
          <w:rFonts w:cs="Arial" w:hint="cs"/>
          <w:rtl/>
        </w:rPr>
        <w:t>ב</w:t>
      </w:r>
      <w:r w:rsidRPr="008D2C72">
        <w:rPr>
          <w:rFonts w:cs="Arial"/>
          <w:rtl/>
        </w:rPr>
        <w:t>פ</w:t>
      </w:r>
      <w:r>
        <w:rPr>
          <w:rFonts w:cs="Arial" w:hint="cs"/>
          <w:rtl/>
        </w:rPr>
        <w:t>י</w:t>
      </w:r>
      <w:r w:rsidRPr="008D2C72">
        <w:rPr>
          <w:rFonts w:cs="Arial"/>
          <w:rtl/>
        </w:rPr>
        <w:t xml:space="preserve">"ג. </w:t>
      </w:r>
      <w:r w:rsidRPr="00290018">
        <w:rPr>
          <w:rFonts w:cs="Arial" w:hint="cs"/>
          <w:color w:val="00B0F0"/>
          <w:rtl/>
        </w:rPr>
        <w:t>(וכ"פ הרמ"א)</w:t>
      </w:r>
    </w:p>
    <w:p w14:paraId="1C6D94BE" w14:textId="788D48AB" w:rsidR="00392DBB" w:rsidRPr="00311F2C" w:rsidRDefault="00392DBB" w:rsidP="00392DBB">
      <w:pPr>
        <w:ind w:left="360"/>
        <w:rPr>
          <w:rFonts w:cs="Arial"/>
          <w:u w:val="dotted"/>
        </w:rPr>
      </w:pPr>
      <w:r w:rsidRPr="00311F2C">
        <w:rPr>
          <w:rFonts w:cs="Arial" w:hint="cs"/>
          <w:u w:val="dotted"/>
          <w:rtl/>
        </w:rPr>
        <w:t>לרמב</w:t>
      </w:r>
      <w:r>
        <w:rPr>
          <w:rFonts w:cs="Arial" w:hint="cs"/>
          <w:u w:val="dotted"/>
          <w:rtl/>
        </w:rPr>
        <w:t>"</w:t>
      </w:r>
      <w:r w:rsidRPr="00311F2C">
        <w:rPr>
          <w:rFonts w:cs="Arial" w:hint="cs"/>
          <w:u w:val="dotted"/>
          <w:rtl/>
        </w:rPr>
        <w:t xml:space="preserve">ם וסיעתו </w:t>
      </w:r>
      <w:r w:rsidR="00F97626">
        <w:rPr>
          <w:rFonts w:cs="Arial"/>
          <w:u w:val="dotted"/>
          <w:rtl/>
        </w:rPr>
        <w:t>-</w:t>
      </w:r>
      <w:r w:rsidRPr="00311F2C">
        <w:rPr>
          <w:rFonts w:cs="Arial" w:hint="cs"/>
          <w:u w:val="dotted"/>
          <w:rtl/>
        </w:rPr>
        <w:t xml:space="preserve"> מה הדין כשהבת נישאת, האם היא נוטלת ממזון האלמנה עישור נכסים:</w:t>
      </w:r>
    </w:p>
    <w:p w14:paraId="32EFFF09" w14:textId="77777777" w:rsidR="00392DBB" w:rsidRPr="00311F2C" w:rsidRDefault="00392DBB" w:rsidP="009000E3">
      <w:pPr>
        <w:pStyle w:val="ab"/>
        <w:numPr>
          <w:ilvl w:val="0"/>
          <w:numId w:val="61"/>
        </w:numPr>
        <w:rPr>
          <w:rFonts w:cs="Arial"/>
        </w:rPr>
      </w:pPr>
      <w:r w:rsidRPr="00290018">
        <w:rPr>
          <w:rFonts w:cs="Arial"/>
          <w:rtl/>
        </w:rPr>
        <w:t xml:space="preserve">סמ"ג </w:t>
      </w:r>
      <w:r w:rsidRPr="00290018">
        <w:rPr>
          <w:rFonts w:cs="Arial"/>
          <w:sz w:val="16"/>
          <w:szCs w:val="16"/>
          <w:rtl/>
        </w:rPr>
        <w:t>(לאוין פא לג ע"ב)</w:t>
      </w:r>
      <w:r>
        <w:rPr>
          <w:rFonts w:cs="Arial" w:hint="cs"/>
          <w:rtl/>
        </w:rPr>
        <w:t>-</w:t>
      </w:r>
      <w:r w:rsidRPr="00290018">
        <w:rPr>
          <w:rFonts w:cs="Arial"/>
          <w:rtl/>
        </w:rPr>
        <w:t xml:space="preserve"> מי שמת והניח אלמנה ובת </w:t>
      </w:r>
      <w:r>
        <w:rPr>
          <w:rFonts w:cs="Arial" w:hint="cs"/>
          <w:rtl/>
        </w:rPr>
        <w:t xml:space="preserve">- </w:t>
      </w:r>
      <w:r w:rsidRPr="00290018">
        <w:rPr>
          <w:rFonts w:cs="Arial"/>
          <w:rtl/>
        </w:rPr>
        <w:t>מזונות האלמנה קודמין למזונות הבת</w:t>
      </w:r>
      <w:r>
        <w:rPr>
          <w:rFonts w:cs="Arial" w:hint="cs"/>
          <w:rtl/>
        </w:rPr>
        <w:t>.</w:t>
      </w:r>
      <w:r w:rsidRPr="00290018">
        <w:rPr>
          <w:rFonts w:cs="Arial"/>
          <w:rtl/>
        </w:rPr>
        <w:t xml:space="preserve"> וכן נשאת הבת </w:t>
      </w:r>
      <w:r>
        <w:rPr>
          <w:rFonts w:cs="Arial" w:hint="cs"/>
          <w:rtl/>
        </w:rPr>
        <w:t xml:space="preserve">- </w:t>
      </w:r>
      <w:r w:rsidRPr="00290018">
        <w:rPr>
          <w:rFonts w:cs="Arial"/>
          <w:rtl/>
        </w:rPr>
        <w:t>אין נוטלת עישור נכסים</w:t>
      </w:r>
      <w:r>
        <w:rPr>
          <w:rFonts w:cs="Arial" w:hint="cs"/>
          <w:rtl/>
        </w:rPr>
        <w:t>,</w:t>
      </w:r>
      <w:r w:rsidRPr="00290018">
        <w:rPr>
          <w:rFonts w:cs="Arial"/>
          <w:rtl/>
        </w:rPr>
        <w:t xml:space="preserve"> מפני מזונות האלמנה</w:t>
      </w:r>
      <w:r w:rsidRPr="00290018">
        <w:rPr>
          <w:rFonts w:cs="Arial" w:hint="cs"/>
          <w:rtl/>
        </w:rPr>
        <w:t>.</w:t>
      </w:r>
      <w:r w:rsidRPr="00311F2C">
        <w:rPr>
          <w:rFonts w:hint="cs"/>
          <w:color w:val="E36C0A" w:themeColor="accent6" w:themeShade="BF"/>
          <w:rtl/>
        </w:rPr>
        <w:t xml:space="preserve"> </w:t>
      </w:r>
      <w:r w:rsidRPr="00290018">
        <w:rPr>
          <w:rFonts w:hint="cs"/>
          <w:color w:val="E36C0A" w:themeColor="accent6" w:themeShade="BF"/>
          <w:rtl/>
        </w:rPr>
        <w:t>(וכ"פ בשו"ע</w:t>
      </w:r>
      <w:r>
        <w:rPr>
          <w:rFonts w:hint="cs"/>
          <w:color w:val="000000" w:themeColor="text1"/>
          <w:sz w:val="16"/>
          <w:szCs w:val="16"/>
          <w:rtl/>
        </w:rPr>
        <w:t xml:space="preserve"> </w:t>
      </w:r>
      <w:r w:rsidRPr="00290018">
        <w:rPr>
          <w:rFonts w:hint="cs"/>
          <w:color w:val="000000" w:themeColor="text1"/>
          <w:sz w:val="16"/>
          <w:szCs w:val="16"/>
          <w:rtl/>
        </w:rPr>
        <w:t>[</w:t>
      </w:r>
      <w:r>
        <w:rPr>
          <w:rFonts w:hint="cs"/>
          <w:color w:val="000000" w:themeColor="text1"/>
          <w:sz w:val="16"/>
          <w:szCs w:val="16"/>
          <w:rtl/>
        </w:rPr>
        <w:t>בסי' קיג ס"ו]</w:t>
      </w:r>
      <w:r w:rsidRPr="00290018">
        <w:rPr>
          <w:rFonts w:hint="cs"/>
          <w:color w:val="E36C0A" w:themeColor="accent6" w:themeShade="BF"/>
          <w:rtl/>
        </w:rPr>
        <w:t>)</w:t>
      </w:r>
    </w:p>
    <w:p w14:paraId="3C17D715" w14:textId="50431082" w:rsidR="00392DBB" w:rsidRDefault="00392DBB" w:rsidP="00392DBB">
      <w:pPr>
        <w:rPr>
          <w:rFonts w:cs="Arial"/>
          <w:rtl/>
        </w:rPr>
      </w:pPr>
      <w:r>
        <w:rPr>
          <w:rFonts w:cs="Arial" w:hint="cs"/>
          <w:b/>
          <w:bCs/>
          <w:rtl/>
        </w:rPr>
        <w:t>בבא בתרא</w:t>
      </w:r>
      <w:r>
        <w:rPr>
          <w:rFonts w:cs="Arial" w:hint="cs"/>
          <w:b/>
          <w:bCs/>
          <w:sz w:val="16"/>
          <w:szCs w:val="16"/>
          <w:rtl/>
        </w:rPr>
        <w:t xml:space="preserve"> (ר"פ מי שמת)</w:t>
      </w:r>
      <w:r>
        <w:rPr>
          <w:rFonts w:cs="Arial" w:hint="cs"/>
          <w:b/>
          <w:bCs/>
          <w:rtl/>
        </w:rPr>
        <w:t xml:space="preserve"> קלט</w:t>
      </w:r>
      <w:r w:rsidR="006D4F27">
        <w:rPr>
          <w:rStyle w:val="a7"/>
          <w:rFonts w:cs="Arial"/>
          <w:b/>
          <w:bCs/>
          <w:rtl/>
        </w:rPr>
        <w:footnoteReference w:id="1560"/>
      </w:r>
      <w:r>
        <w:rPr>
          <w:rFonts w:cs="Arial" w:hint="cs"/>
          <w:b/>
          <w:bCs/>
          <w:rtl/>
        </w:rPr>
        <w:t xml:space="preserve"> ע"א:</w:t>
      </w:r>
      <w:r>
        <w:rPr>
          <w:rFonts w:cs="Arial" w:hint="cs"/>
          <w:rtl/>
        </w:rPr>
        <w:t xml:space="preserve"> </w:t>
      </w:r>
      <w:r w:rsidRPr="00187D51">
        <w:rPr>
          <w:rFonts w:cs="Arial"/>
          <w:u w:val="single"/>
          <w:rtl/>
        </w:rPr>
        <w:t>דשלח רבין באגרתיה</w:t>
      </w:r>
      <w:r w:rsidRPr="00432426">
        <w:rPr>
          <w:rFonts w:cs="Arial"/>
          <w:rtl/>
        </w:rPr>
        <w:t>: מי שמת והניח אלמנה ובת - אלמנתו נזונת מנכסיו</w:t>
      </w:r>
      <w:r>
        <w:rPr>
          <w:rFonts w:cs="Arial" w:hint="cs"/>
          <w:rtl/>
        </w:rPr>
        <w:t>.</w:t>
      </w:r>
      <w:r w:rsidRPr="00432426">
        <w:rPr>
          <w:rFonts w:cs="Arial"/>
          <w:rtl/>
        </w:rPr>
        <w:t xml:space="preserve"> נשאת הבת</w:t>
      </w:r>
      <w:r>
        <w:rPr>
          <w:rStyle w:val="a7"/>
          <w:rFonts w:cs="Arial"/>
          <w:rtl/>
        </w:rPr>
        <w:footnoteReference w:id="1561"/>
      </w:r>
      <w:r w:rsidRPr="00432426">
        <w:rPr>
          <w:rFonts w:cs="Arial"/>
          <w:rtl/>
        </w:rPr>
        <w:t xml:space="preserve"> - אלמנתו נזונת מנכסיו</w:t>
      </w:r>
      <w:r>
        <w:rPr>
          <w:rFonts w:cs="Arial" w:hint="cs"/>
          <w:rtl/>
        </w:rPr>
        <w:t>.</w:t>
      </w:r>
      <w:r w:rsidRPr="00432426">
        <w:rPr>
          <w:rFonts w:cs="Arial"/>
          <w:rtl/>
        </w:rPr>
        <w:t xml:space="preserve"> מתה הבת</w:t>
      </w:r>
      <w:r>
        <w:rPr>
          <w:rFonts w:cs="Arial" w:hint="cs"/>
          <w:rtl/>
        </w:rPr>
        <w:t>,</w:t>
      </w:r>
      <w:r w:rsidRPr="00432426">
        <w:rPr>
          <w:rFonts w:cs="Arial"/>
          <w:rtl/>
        </w:rPr>
        <w:t xml:space="preserve"> </w:t>
      </w:r>
      <w:r w:rsidRPr="00432426">
        <w:rPr>
          <w:rFonts w:cs="Arial"/>
          <w:u w:val="single"/>
          <w:rtl/>
        </w:rPr>
        <w:t>אמר רב יהודה בן אחותו של ר' יוסי ברבי חנינא</w:t>
      </w:r>
      <w:r>
        <w:rPr>
          <w:rFonts w:cs="Arial" w:hint="cs"/>
          <w:rtl/>
        </w:rPr>
        <w:t>:</w:t>
      </w:r>
      <w:r w:rsidRPr="00432426">
        <w:rPr>
          <w:rFonts w:cs="Arial"/>
          <w:rtl/>
        </w:rPr>
        <w:t xml:space="preserve"> ע"י היה מעשה ואמרו</w:t>
      </w:r>
      <w:r>
        <w:rPr>
          <w:rFonts w:cs="Arial" w:hint="cs"/>
          <w:rtl/>
        </w:rPr>
        <w:t xml:space="preserve"> -</w:t>
      </w:r>
      <w:r w:rsidRPr="00432426">
        <w:rPr>
          <w:rFonts w:cs="Arial"/>
          <w:rtl/>
        </w:rPr>
        <w:t xml:space="preserve"> אלמנתו נזונת מנכסיו</w:t>
      </w:r>
      <w:r>
        <w:rPr>
          <w:rFonts w:cs="Arial" w:hint="cs"/>
          <w:rtl/>
        </w:rPr>
        <w:t>.</w:t>
      </w:r>
      <w:r w:rsidRPr="00556503">
        <w:rPr>
          <w:rtl/>
        </w:rPr>
        <w:t xml:space="preserve"> </w:t>
      </w:r>
      <w:r w:rsidRPr="00556503">
        <w:rPr>
          <w:rFonts w:cs="Arial"/>
          <w:rtl/>
        </w:rPr>
        <w:t>אי אמרת בשלמא</w:t>
      </w:r>
      <w:r>
        <w:rPr>
          <w:rStyle w:val="a7"/>
          <w:rFonts w:cs="Arial"/>
          <w:rtl/>
        </w:rPr>
        <w:footnoteReference w:id="1562"/>
      </w:r>
      <w:r w:rsidRPr="00556503">
        <w:rPr>
          <w:rFonts w:cs="Arial"/>
          <w:rtl/>
        </w:rPr>
        <w:t xml:space="preserve"> יורש הוי, משום הכי אלמנתו נזונת מנכסיו, אלא אי אמרת לוקח הוי, אמאי נזונת מנכסיו?</w:t>
      </w:r>
      <w:r>
        <w:rPr>
          <w:rFonts w:cs="Arial" w:hint="cs"/>
          <w:rtl/>
        </w:rPr>
        <w:t>...</w:t>
      </w:r>
      <w:r>
        <w:rPr>
          <w:rFonts w:cs="Arial" w:hint="cs"/>
          <w:sz w:val="14"/>
          <w:szCs w:val="14"/>
          <w:rtl/>
        </w:rPr>
        <w:t xml:space="preserve"> (קלט:)</w:t>
      </w:r>
      <w:r w:rsidRPr="00432426">
        <w:rPr>
          <w:rtl/>
        </w:rPr>
        <w:t xml:space="preserve"> </w:t>
      </w:r>
      <w:r w:rsidRPr="00432426">
        <w:rPr>
          <w:rFonts w:cs="Arial"/>
          <w:u w:val="single"/>
          <w:rtl/>
        </w:rPr>
        <w:t>אמר רב אשי</w:t>
      </w:r>
      <w:r w:rsidRPr="00432426">
        <w:rPr>
          <w:rFonts w:cs="Arial"/>
          <w:rtl/>
        </w:rPr>
        <w:t xml:space="preserve">: בעל - שויוהו רבנן כיורש ושויוהו רבנן כלוקח, והיכא דטבא ליה עבדו </w:t>
      </w:r>
      <w:r w:rsidRPr="00432426">
        <w:rPr>
          <w:rFonts w:cs="Arial"/>
          <w:rtl/>
        </w:rPr>
        <w:lastRenderedPageBreak/>
        <w:t>ליה, גבי יובל - שויוהו רבנן כיורש משום פסידא דידיה, גבי דר' יוסי בר' חנינא - שויוהו רבנן כלוקח משום פסידא דידיה, גבי דרבין - משום פסידא דאלמנה שויוהו רבנן כיורש.</w:t>
      </w:r>
    </w:p>
    <w:p w14:paraId="79A32029" w14:textId="759581C6" w:rsidR="00392DBB" w:rsidRPr="00A16ADE" w:rsidRDefault="00392DBB" w:rsidP="00392DBB">
      <w:pPr>
        <w:rPr>
          <w:rFonts w:cs="Arial"/>
          <w:u w:val="single"/>
          <w:rtl/>
        </w:rPr>
      </w:pPr>
      <w:r>
        <w:rPr>
          <w:rFonts w:cs="Arial" w:hint="cs"/>
          <w:u w:val="single"/>
          <w:rtl/>
        </w:rPr>
        <w:t>מי שמת והניח אלמנה בת ונכסים</w:t>
      </w:r>
      <w:r w:rsidR="00C52351">
        <w:rPr>
          <w:rFonts w:cs="Arial" w:hint="cs"/>
          <w:u w:val="single"/>
          <w:rtl/>
        </w:rPr>
        <w:t xml:space="preserve"> מועטים</w:t>
      </w:r>
      <w:r>
        <w:rPr>
          <w:rFonts w:cs="Arial" w:hint="cs"/>
          <w:u w:val="single"/>
          <w:rtl/>
        </w:rPr>
        <w:t xml:space="preserve"> </w:t>
      </w:r>
      <w:r>
        <w:rPr>
          <w:rFonts w:cs="Arial" w:hint="cs"/>
          <w:sz w:val="16"/>
          <w:szCs w:val="16"/>
          <w:u w:val="single"/>
          <w:rtl/>
        </w:rPr>
        <w:t>(</w:t>
      </w:r>
      <w:r w:rsidR="00C52351">
        <w:rPr>
          <w:rFonts w:cs="Arial" w:hint="cs"/>
          <w:sz w:val="16"/>
          <w:szCs w:val="16"/>
          <w:u w:val="single"/>
          <w:rtl/>
        </w:rPr>
        <w:t>או מרובים, לטור וסיעתו</w:t>
      </w:r>
      <w:r>
        <w:rPr>
          <w:rFonts w:cs="Arial" w:hint="cs"/>
          <w:sz w:val="16"/>
          <w:szCs w:val="16"/>
          <w:u w:val="single"/>
          <w:rtl/>
        </w:rPr>
        <w:t>)</w:t>
      </w:r>
      <w:r>
        <w:rPr>
          <w:rFonts w:cs="Arial" w:hint="cs"/>
          <w:u w:val="single"/>
          <w:rtl/>
        </w:rPr>
        <w:t xml:space="preserve"> </w:t>
      </w:r>
      <w:r w:rsidR="00F97626">
        <w:rPr>
          <w:rFonts w:cs="Arial"/>
          <w:u w:val="single"/>
          <w:rtl/>
        </w:rPr>
        <w:t>-</w:t>
      </w:r>
      <w:r>
        <w:rPr>
          <w:rFonts w:cs="Arial" w:hint="cs"/>
          <w:u w:val="single"/>
          <w:rtl/>
        </w:rPr>
        <w:t xml:space="preserve"> מה הדין אם </w:t>
      </w:r>
      <w:r w:rsidRPr="00A16ADE">
        <w:rPr>
          <w:rFonts w:cs="Arial" w:hint="cs"/>
          <w:u w:val="single"/>
          <w:rtl/>
        </w:rPr>
        <w:t>הבת נישאת</w:t>
      </w:r>
      <w:r w:rsidR="00C52351">
        <w:rPr>
          <w:rFonts w:cs="Arial" w:hint="cs"/>
          <w:u w:val="single"/>
          <w:rtl/>
        </w:rPr>
        <w:t xml:space="preserve"> והכניסה הנכסים לבעל</w:t>
      </w:r>
      <w:r w:rsidRPr="00A16ADE">
        <w:rPr>
          <w:rFonts w:cs="Arial" w:hint="cs"/>
          <w:u w:val="single"/>
          <w:rtl/>
        </w:rPr>
        <w:t>:</w:t>
      </w:r>
    </w:p>
    <w:p w14:paraId="0215B571" w14:textId="30A7CBBF" w:rsidR="00392DBB" w:rsidRDefault="00392DBB" w:rsidP="009000E3">
      <w:pPr>
        <w:pStyle w:val="ab"/>
        <w:numPr>
          <w:ilvl w:val="0"/>
          <w:numId w:val="61"/>
        </w:numPr>
        <w:rPr>
          <w:rFonts w:cs="Arial"/>
        </w:rPr>
      </w:pPr>
      <w:r w:rsidRPr="00A16ADE">
        <w:rPr>
          <w:rFonts w:cs="Arial" w:hint="cs"/>
          <w:rtl/>
        </w:rPr>
        <w:t xml:space="preserve">טור- </w:t>
      </w:r>
      <w:r w:rsidRPr="00A16ADE">
        <w:rPr>
          <w:rFonts w:cs="Arial"/>
          <w:rtl/>
        </w:rPr>
        <w:t>אם יש אלמנה ובן או אלמנה ובת</w:t>
      </w:r>
      <w:r>
        <w:rPr>
          <w:rFonts w:cs="Arial" w:hint="cs"/>
          <w:rtl/>
        </w:rPr>
        <w:t>...</w:t>
      </w:r>
      <w:r w:rsidRPr="00A16ADE">
        <w:rPr>
          <w:rFonts w:cs="Arial"/>
          <w:rtl/>
        </w:rPr>
        <w:t xml:space="preserve"> ואפי' אם תינשא הבת ומכנסת הנכסים לבעל </w:t>
      </w:r>
      <w:r w:rsidRPr="00A16ADE">
        <w:rPr>
          <w:rFonts w:cs="Arial" w:hint="cs"/>
          <w:rtl/>
        </w:rPr>
        <w:t xml:space="preserve">- </w:t>
      </w:r>
      <w:r w:rsidRPr="00A16ADE">
        <w:rPr>
          <w:rFonts w:cs="Arial"/>
          <w:rtl/>
        </w:rPr>
        <w:t>היא תיזון מהן אפי' אחר מיתת הבת</w:t>
      </w:r>
      <w:r w:rsidRPr="00A16ADE">
        <w:rPr>
          <w:rFonts w:cs="Arial" w:hint="cs"/>
          <w:rtl/>
        </w:rPr>
        <w:t>.</w:t>
      </w:r>
      <w:r w:rsidRPr="00761138">
        <w:rPr>
          <w:rFonts w:hint="cs"/>
          <w:color w:val="E36C0A" w:themeColor="accent6" w:themeShade="BF"/>
          <w:rtl/>
        </w:rPr>
        <w:t xml:space="preserve"> </w:t>
      </w:r>
      <w:r w:rsidRPr="00290018">
        <w:rPr>
          <w:rFonts w:hint="cs"/>
          <w:color w:val="E36C0A" w:themeColor="accent6" w:themeShade="BF"/>
          <w:rtl/>
        </w:rPr>
        <w:t>(וכ"פ בשו"ע</w:t>
      </w:r>
      <w:r>
        <w:rPr>
          <w:rFonts w:hint="cs"/>
          <w:color w:val="000000" w:themeColor="text1"/>
          <w:sz w:val="16"/>
          <w:szCs w:val="16"/>
          <w:rtl/>
        </w:rPr>
        <w:t xml:space="preserve"> </w:t>
      </w:r>
      <w:r w:rsidRPr="00290018">
        <w:rPr>
          <w:rFonts w:hint="cs"/>
          <w:color w:val="000000" w:themeColor="text1"/>
          <w:sz w:val="16"/>
          <w:szCs w:val="16"/>
          <w:rtl/>
        </w:rPr>
        <w:t>[</w:t>
      </w:r>
      <w:r w:rsidR="00714D37">
        <w:rPr>
          <w:rFonts w:hint="cs"/>
          <w:color w:val="000000" w:themeColor="text1"/>
          <w:sz w:val="16"/>
          <w:szCs w:val="16"/>
          <w:rtl/>
        </w:rPr>
        <w:t>כאן ו</w:t>
      </w:r>
      <w:r>
        <w:rPr>
          <w:rFonts w:hint="cs"/>
          <w:color w:val="000000" w:themeColor="text1"/>
          <w:sz w:val="16"/>
          <w:szCs w:val="16"/>
          <w:rtl/>
        </w:rPr>
        <w:t>בסי' קיג ס"ו]</w:t>
      </w:r>
      <w:r w:rsidRPr="00290018">
        <w:rPr>
          <w:rFonts w:hint="cs"/>
          <w:color w:val="E36C0A" w:themeColor="accent6" w:themeShade="BF"/>
          <w:rtl/>
        </w:rPr>
        <w:t>)</w:t>
      </w:r>
      <w:r>
        <w:rPr>
          <w:rFonts w:cs="Arial" w:hint="cs"/>
          <w:rtl/>
        </w:rPr>
        <w:t xml:space="preserve"> </w:t>
      </w:r>
    </w:p>
    <w:p w14:paraId="15DE5CF0"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EA00F1A" w14:textId="77777777" w:rsidR="00392DBB" w:rsidRDefault="00392DBB" w:rsidP="00392DBB">
      <w:pPr>
        <w:rPr>
          <w:rtl/>
        </w:rPr>
      </w:pPr>
      <w:r>
        <w:rPr>
          <w:rFonts w:cs="Arial"/>
          <w:rtl/>
        </w:rPr>
        <w:t>המניח אלמנה ובת</w:t>
      </w:r>
      <w:r>
        <w:rPr>
          <w:rStyle w:val="a7"/>
          <w:rFonts w:cs="Arial"/>
          <w:rtl/>
        </w:rPr>
        <w:footnoteReference w:id="1563"/>
      </w:r>
      <w:r>
        <w:rPr>
          <w:rFonts w:cs="Arial"/>
          <w:rtl/>
        </w:rPr>
        <w:t>, ממנה או מאשה אחרת, ואין בנכסים כדי שיזונו שתיהן</w:t>
      </w:r>
      <w:r>
        <w:rPr>
          <w:rStyle w:val="a7"/>
          <w:rFonts w:cs="Arial"/>
          <w:rtl/>
        </w:rPr>
        <w:footnoteReference w:id="1564"/>
      </w:r>
      <w:r>
        <w:rPr>
          <w:rFonts w:cs="Arial"/>
          <w:rtl/>
        </w:rPr>
        <w:t>, האלמנה ניזונית והבת תשאל על הפתחים. וי</w:t>
      </w:r>
      <w:r>
        <w:rPr>
          <w:rFonts w:cs="Arial" w:hint="cs"/>
          <w:rtl/>
        </w:rPr>
        <w:t xml:space="preserve">ש </w:t>
      </w:r>
      <w:r>
        <w:rPr>
          <w:rFonts w:cs="Arial"/>
          <w:rtl/>
        </w:rPr>
        <w:t>א</w:t>
      </w:r>
      <w:r>
        <w:rPr>
          <w:rFonts w:cs="Arial" w:hint="cs"/>
          <w:rtl/>
        </w:rPr>
        <w:t>ומרים</w:t>
      </w:r>
      <w:r>
        <w:rPr>
          <w:rStyle w:val="a7"/>
          <w:rFonts w:cs="Arial"/>
          <w:rtl/>
        </w:rPr>
        <w:footnoteReference w:id="1565"/>
      </w:r>
      <w:r>
        <w:rPr>
          <w:rFonts w:cs="Arial"/>
          <w:rtl/>
        </w:rPr>
        <w:t xml:space="preserve"> דבין שהנכסים מרובין בין שהן מועטין, אם יש אלמנה ובן או אלמנה ובת, תיזון היא עם הבן או עם הבת עד שיאכלו הנכסים</w:t>
      </w:r>
      <w:r>
        <w:rPr>
          <w:rFonts w:cs="Arial" w:hint="cs"/>
          <w:rtl/>
        </w:rPr>
        <w:t>.</w:t>
      </w:r>
      <w:r>
        <w:rPr>
          <w:rFonts w:cs="Arial"/>
          <w:rtl/>
        </w:rPr>
        <w:t xml:space="preserve"> ואפילו אם תנשא הבת</w:t>
      </w:r>
      <w:r>
        <w:rPr>
          <w:rStyle w:val="a7"/>
          <w:rFonts w:cs="Arial"/>
          <w:rtl/>
        </w:rPr>
        <w:footnoteReference w:id="1566"/>
      </w:r>
      <w:r>
        <w:rPr>
          <w:rFonts w:cs="Arial"/>
          <w:rtl/>
        </w:rPr>
        <w:t xml:space="preserve"> ומכנסת הנכסים לבעל, היא תיזון מהם אפילו אחר מיתת הבת. אבל אם יש אלמנה ובן ובת, והנכסים מועטים שאין בהם כדי שיזונו הבת והבן עד שתבגור הבת, אז ידחו הבן והבת ותיזון האלמנה לבדה עד שתגבה כתובתה. </w:t>
      </w:r>
      <w:r w:rsidRPr="00407947">
        <w:rPr>
          <w:rFonts w:cs="Arial"/>
          <w:sz w:val="18"/>
          <w:szCs w:val="18"/>
          <w:rtl/>
        </w:rPr>
        <w:t>הגה: ובמקום שהאלמנה דוחה הבנות, מוציאין לאלמנה מזון עד זמן שאומדין ב"ד שראויה לחיות, אם זקנה ואם ילדה, ונותנין ביד שליש והוא מפרנסה אחד לשלשים יום (ב"י בשם המ"מ שכ"כ בשם הרמב"ן).</w:t>
      </w:r>
      <w:r>
        <w:rPr>
          <w:rFonts w:cs="Arial"/>
          <w:rtl/>
        </w:rPr>
        <w:t xml:space="preserve"> </w:t>
      </w:r>
    </w:p>
    <w:p w14:paraId="2D700D7F" w14:textId="4C4C169C" w:rsidR="00392DBB" w:rsidRDefault="00392DBB" w:rsidP="00392DBB">
      <w:pPr>
        <w:rPr>
          <w:rtl/>
        </w:rPr>
      </w:pPr>
    </w:p>
    <w:p w14:paraId="3EC28BB1" w14:textId="4D8152CB" w:rsidR="00392DBB" w:rsidRDefault="00392DBB" w:rsidP="000F64D0">
      <w:pPr>
        <w:pStyle w:val="2"/>
        <w:rPr>
          <w:rtl/>
        </w:rPr>
      </w:pPr>
      <w:r>
        <w:rPr>
          <w:rtl/>
        </w:rPr>
        <w:t>סעיף ה</w:t>
      </w:r>
      <w:r>
        <w:rPr>
          <w:rFonts w:hint="cs"/>
          <w:rtl/>
        </w:rPr>
        <w:t>:</w:t>
      </w:r>
      <w:r w:rsidR="009B03DA">
        <w:rPr>
          <w:rFonts w:hint="cs"/>
          <w:rtl/>
        </w:rPr>
        <w:t xml:space="preserve"> מזונות לאחר תביעת כתובה.</w:t>
      </w:r>
    </w:p>
    <w:p w14:paraId="6658343E" w14:textId="48E47312" w:rsidR="001B1333" w:rsidRPr="007676B0" w:rsidRDefault="001B1333" w:rsidP="001B1333">
      <w:pPr>
        <w:rPr>
          <w:rFonts w:cs="Arial"/>
          <w:rtl/>
        </w:rPr>
      </w:pPr>
      <w:bookmarkStart w:id="17" w:name="_Hlk135328154"/>
      <w:r w:rsidRPr="00CC415A">
        <w:rPr>
          <w:rFonts w:cs="Arial" w:hint="cs"/>
          <w:b/>
          <w:bCs/>
          <w:rtl/>
        </w:rPr>
        <w:t xml:space="preserve">כתובות </w:t>
      </w:r>
      <w:r w:rsidRPr="00CC415A">
        <w:rPr>
          <w:rFonts w:cs="Arial" w:hint="cs"/>
          <w:b/>
          <w:bCs/>
          <w:sz w:val="16"/>
          <w:szCs w:val="16"/>
          <w:rtl/>
        </w:rPr>
        <w:t>(</w:t>
      </w:r>
      <w:r w:rsidRPr="00CC415A">
        <w:rPr>
          <w:rFonts w:cs="Arial"/>
          <w:b/>
          <w:bCs/>
          <w:sz w:val="16"/>
          <w:szCs w:val="16"/>
          <w:rtl/>
        </w:rPr>
        <w:t>ס</w:t>
      </w:r>
      <w:r w:rsidRPr="00CC415A">
        <w:rPr>
          <w:rFonts w:cs="Arial" w:hint="cs"/>
          <w:b/>
          <w:bCs/>
          <w:sz w:val="16"/>
          <w:szCs w:val="16"/>
          <w:rtl/>
        </w:rPr>
        <w:t>"</w:t>
      </w:r>
      <w:r w:rsidRPr="00CC415A">
        <w:rPr>
          <w:rFonts w:cs="Arial"/>
          <w:b/>
          <w:bCs/>
          <w:sz w:val="16"/>
          <w:szCs w:val="16"/>
          <w:rtl/>
        </w:rPr>
        <w:t>פ נערה שנתפתתה</w:t>
      </w:r>
      <w:r w:rsidRPr="00CC415A">
        <w:rPr>
          <w:rFonts w:cs="Arial" w:hint="cs"/>
          <w:b/>
          <w:bCs/>
          <w:sz w:val="16"/>
          <w:szCs w:val="16"/>
          <w:rtl/>
        </w:rPr>
        <w:t>)</w:t>
      </w:r>
      <w:r w:rsidRPr="00CC415A">
        <w:rPr>
          <w:rFonts w:cs="Arial"/>
          <w:b/>
          <w:bCs/>
          <w:rtl/>
        </w:rPr>
        <w:t xml:space="preserve"> נד</w:t>
      </w:r>
      <w:r w:rsidR="00537038">
        <w:rPr>
          <w:rStyle w:val="a7"/>
          <w:rFonts w:cs="Arial"/>
          <w:b/>
          <w:bCs/>
          <w:rtl/>
        </w:rPr>
        <w:footnoteReference w:id="1567"/>
      </w:r>
      <w:r w:rsidRPr="00CC415A">
        <w:rPr>
          <w:rFonts w:cs="Arial" w:hint="cs"/>
          <w:b/>
          <w:bCs/>
          <w:rtl/>
        </w:rPr>
        <w:t xml:space="preserve"> ע"א:</w:t>
      </w:r>
      <w:r w:rsidRPr="000854CE">
        <w:rPr>
          <w:rtl/>
        </w:rPr>
        <w:t xml:space="preserve"> </w:t>
      </w:r>
      <w:r w:rsidRPr="000854CE">
        <w:rPr>
          <w:rFonts w:cs="Arial"/>
          <w:u w:val="single"/>
          <w:rtl/>
        </w:rPr>
        <w:t>דאמר רב יהודה אמר שמואל</w:t>
      </w:r>
      <w:r w:rsidRPr="000854CE">
        <w:rPr>
          <w:rFonts w:cs="Arial"/>
          <w:rtl/>
        </w:rPr>
        <w:t>: התובעת כתובתה בבית דין - אין לה מזונות. ולא? והתניא: מכרה כתובתה, ומשכנה כתובתה, עשתה כתובתה אפותיקי לאחר - אין לה מזונות; הני אין, אבל תובעת לא! הני בין בבית דין בין שלא בבית דין, תובעת - בבית דין אין, שלא בב"ד לא.</w:t>
      </w:r>
      <w:r>
        <w:rPr>
          <w:rFonts w:cs="Arial"/>
          <w:rtl/>
        </w:rPr>
        <w:t xml:space="preserve"> </w:t>
      </w:r>
    </w:p>
    <w:p w14:paraId="7552035E" w14:textId="6EB4F39C" w:rsidR="001B1333" w:rsidRPr="001B1333" w:rsidRDefault="001B1333" w:rsidP="001B1333">
      <w:pPr>
        <w:rPr>
          <w:rFonts w:cs="Arial"/>
          <w:rtl/>
        </w:rPr>
      </w:pPr>
      <w:r w:rsidRPr="00AD5FA4">
        <w:rPr>
          <w:rFonts w:cs="Arial" w:hint="cs"/>
          <w:b/>
          <w:bCs/>
          <w:rtl/>
        </w:rPr>
        <w:t xml:space="preserve">ירושלמי כתובות פי"א ה"ב: </w:t>
      </w:r>
      <w:r w:rsidRPr="00AD5FA4">
        <w:rPr>
          <w:rFonts w:cs="Arial"/>
          <w:u w:val="single"/>
          <w:rtl/>
        </w:rPr>
        <w:t>רב יהודה בשם רב</w:t>
      </w:r>
      <w:r>
        <w:rPr>
          <w:rFonts w:cs="Arial" w:hint="cs"/>
          <w:rtl/>
        </w:rPr>
        <w:t>:</w:t>
      </w:r>
      <w:r w:rsidRPr="00AD5FA4">
        <w:rPr>
          <w:rFonts w:cs="Arial"/>
          <w:rtl/>
        </w:rPr>
        <w:t xml:space="preserve"> התובעת כתובתה בבית דין </w:t>
      </w:r>
      <w:r>
        <w:rPr>
          <w:rFonts w:cs="Arial" w:hint="cs"/>
          <w:rtl/>
        </w:rPr>
        <w:t xml:space="preserve">- </w:t>
      </w:r>
      <w:r w:rsidRPr="00AD5FA4">
        <w:rPr>
          <w:rFonts w:cs="Arial"/>
          <w:rtl/>
        </w:rPr>
        <w:t>איבדה מזונותיה</w:t>
      </w:r>
      <w:r>
        <w:rPr>
          <w:rFonts w:cs="Arial" w:hint="cs"/>
          <w:rtl/>
        </w:rPr>
        <w:t>.</w:t>
      </w:r>
      <w:r w:rsidRPr="00AD5FA4">
        <w:rPr>
          <w:rFonts w:cs="Arial"/>
          <w:rtl/>
        </w:rPr>
        <w:t xml:space="preserve"> </w:t>
      </w:r>
      <w:r w:rsidRPr="00AA5E16">
        <w:rPr>
          <w:rFonts w:cs="Arial"/>
          <w:u w:val="single"/>
          <w:rtl/>
        </w:rPr>
        <w:t>אמר רבי יוסי</w:t>
      </w:r>
      <w:r>
        <w:rPr>
          <w:rFonts w:cs="Arial" w:hint="cs"/>
          <w:rtl/>
        </w:rPr>
        <w:t>:</w:t>
      </w:r>
      <w:r w:rsidRPr="00AD5FA4">
        <w:rPr>
          <w:rFonts w:cs="Arial"/>
          <w:rtl/>
        </w:rPr>
        <w:t xml:space="preserve"> ובלבד מן השופי</w:t>
      </w:r>
      <w:r>
        <w:rPr>
          <w:rFonts w:cs="Arial" w:hint="cs"/>
          <w:rtl/>
        </w:rPr>
        <w:t>,</w:t>
      </w:r>
      <w:r w:rsidRPr="00AD5FA4">
        <w:rPr>
          <w:rFonts w:cs="Arial"/>
          <w:rtl/>
        </w:rPr>
        <w:t xml:space="preserve"> הא מאונס </w:t>
      </w:r>
      <w:r>
        <w:rPr>
          <w:rFonts w:cs="Arial" w:hint="cs"/>
          <w:rtl/>
        </w:rPr>
        <w:t xml:space="preserve">- </w:t>
      </w:r>
      <w:r w:rsidRPr="00AD5FA4">
        <w:rPr>
          <w:rFonts w:cs="Arial"/>
          <w:rtl/>
        </w:rPr>
        <w:t>לא</w:t>
      </w:r>
      <w:r>
        <w:rPr>
          <w:rFonts w:cs="Arial" w:hint="cs"/>
          <w:rtl/>
        </w:rPr>
        <w:t>.</w:t>
      </w:r>
      <w:r w:rsidRPr="00AD5FA4">
        <w:rPr>
          <w:rFonts w:cs="Arial"/>
          <w:rtl/>
        </w:rPr>
        <w:t xml:space="preserve"> כהדא ארמלתא דרבי אבדימס</w:t>
      </w:r>
      <w:r>
        <w:rPr>
          <w:rFonts w:cs="Arial" w:hint="cs"/>
          <w:rtl/>
        </w:rPr>
        <w:t>,</w:t>
      </w:r>
      <w:r w:rsidRPr="00AD5FA4">
        <w:rPr>
          <w:rFonts w:cs="Arial"/>
          <w:rtl/>
        </w:rPr>
        <w:t xml:space="preserve"> רמו בה</w:t>
      </w:r>
      <w:r>
        <w:rPr>
          <w:rFonts w:cs="Arial" w:hint="cs"/>
          <w:rtl/>
        </w:rPr>
        <w:t>,</w:t>
      </w:r>
      <w:r w:rsidRPr="00AD5FA4">
        <w:rPr>
          <w:rFonts w:cs="Arial"/>
          <w:rtl/>
        </w:rPr>
        <w:t xml:space="preserve"> אמרו לה</w:t>
      </w:r>
      <w:r>
        <w:rPr>
          <w:rFonts w:cs="Arial" w:hint="cs"/>
          <w:rtl/>
        </w:rPr>
        <w:t>:</w:t>
      </w:r>
      <w:r w:rsidRPr="00AD5FA4">
        <w:rPr>
          <w:rFonts w:cs="Arial"/>
          <w:rtl/>
        </w:rPr>
        <w:t xml:space="preserve"> רבי בא בר כהן בעי ליך</w:t>
      </w:r>
      <w:r>
        <w:rPr>
          <w:rFonts w:cs="Arial" w:hint="cs"/>
          <w:rtl/>
        </w:rPr>
        <w:t>.</w:t>
      </w:r>
      <w:r w:rsidRPr="00AD5FA4">
        <w:rPr>
          <w:rFonts w:cs="Arial"/>
          <w:rtl/>
        </w:rPr>
        <w:t xml:space="preserve"> תבעת פרנה</w:t>
      </w:r>
      <w:r>
        <w:rPr>
          <w:rFonts w:cs="Arial" w:hint="cs"/>
          <w:rtl/>
        </w:rPr>
        <w:t>,</w:t>
      </w:r>
      <w:r w:rsidRPr="00AD5FA4">
        <w:rPr>
          <w:rFonts w:cs="Arial"/>
          <w:rtl/>
        </w:rPr>
        <w:t xml:space="preserve"> אובדת מזונותיה</w:t>
      </w:r>
      <w:r>
        <w:rPr>
          <w:rFonts w:cs="Arial" w:hint="cs"/>
          <w:rtl/>
        </w:rPr>
        <w:t>.</w:t>
      </w:r>
      <w:r w:rsidRPr="00AD5FA4">
        <w:rPr>
          <w:rFonts w:cs="Arial"/>
          <w:rtl/>
        </w:rPr>
        <w:t xml:space="preserve"> מן דאיתידעין מילייא אעלון עובדא קומי רבי יוסי</w:t>
      </w:r>
      <w:r>
        <w:rPr>
          <w:rFonts w:cs="Arial" w:hint="cs"/>
          <w:rtl/>
        </w:rPr>
        <w:t>,</w:t>
      </w:r>
      <w:r w:rsidRPr="00AD5FA4">
        <w:rPr>
          <w:rFonts w:cs="Arial"/>
          <w:rtl/>
        </w:rPr>
        <w:t xml:space="preserve"> וחזרה למזונה</w:t>
      </w:r>
      <w:r>
        <w:rPr>
          <w:rFonts w:cs="Arial" w:hint="cs"/>
          <w:rtl/>
        </w:rPr>
        <w:t>.</w:t>
      </w:r>
      <w:r w:rsidRPr="00AD5FA4">
        <w:rPr>
          <w:rFonts w:cs="Arial"/>
          <w:rtl/>
        </w:rPr>
        <w:t xml:space="preserve"> </w:t>
      </w:r>
      <w:r w:rsidRPr="0008440F">
        <w:rPr>
          <w:rFonts w:cs="Arial" w:hint="cs"/>
          <w:sz w:val="16"/>
          <w:szCs w:val="16"/>
          <w:rtl/>
        </w:rPr>
        <w:t>(</w:t>
      </w:r>
      <w:r w:rsidRPr="0008440F">
        <w:rPr>
          <w:rFonts w:cs="Arial"/>
          <w:sz w:val="16"/>
          <w:szCs w:val="16"/>
          <w:rtl/>
        </w:rPr>
        <w:t>פירוש רימו בה ואמרו אדם גדול רוצה לישא אותך וכשידע רבי אסי שרימו בה החזירה למזונותיה</w:t>
      </w:r>
      <w:r w:rsidR="002D28E6">
        <w:rPr>
          <w:rFonts w:cs="Arial" w:hint="cs"/>
          <w:sz w:val="16"/>
          <w:szCs w:val="16"/>
          <w:rtl/>
        </w:rPr>
        <w:t>,</w:t>
      </w:r>
      <w:r w:rsidRPr="0008440F">
        <w:rPr>
          <w:rFonts w:cs="Arial"/>
          <w:sz w:val="16"/>
          <w:szCs w:val="16"/>
          <w:rtl/>
        </w:rPr>
        <w:t xml:space="preserve"> וכן נמי אם לא רצו לזונה ומחמת זה תבעה כתובתה </w:t>
      </w:r>
      <w:r w:rsidR="002D28E6">
        <w:rPr>
          <w:rFonts w:cs="Arial" w:hint="cs"/>
          <w:sz w:val="16"/>
          <w:szCs w:val="16"/>
          <w:rtl/>
        </w:rPr>
        <w:t xml:space="preserve">- </w:t>
      </w:r>
      <w:r w:rsidRPr="0008440F">
        <w:rPr>
          <w:rFonts w:cs="Arial"/>
          <w:sz w:val="16"/>
          <w:szCs w:val="16"/>
          <w:rtl/>
        </w:rPr>
        <w:t>אין זה מן השופי ואית לה מזוני</w:t>
      </w:r>
      <w:r w:rsidRPr="0008440F">
        <w:rPr>
          <w:rFonts w:cs="Arial" w:hint="cs"/>
          <w:sz w:val="16"/>
          <w:szCs w:val="16"/>
          <w:rtl/>
        </w:rPr>
        <w:t>,</w:t>
      </w:r>
      <w:r w:rsidRPr="0008440F">
        <w:rPr>
          <w:rFonts w:cs="Arial"/>
          <w:sz w:val="16"/>
          <w:szCs w:val="16"/>
          <w:rtl/>
        </w:rPr>
        <w:t xml:space="preserve"> רא"ש (שם). והרי"ף לא הביא הירושלמי הזה</w:t>
      </w:r>
      <w:r>
        <w:rPr>
          <w:rFonts w:cs="Arial" w:hint="cs"/>
          <w:sz w:val="16"/>
          <w:szCs w:val="16"/>
          <w:rtl/>
        </w:rPr>
        <w:t>,</w:t>
      </w:r>
      <w:r w:rsidRPr="0008440F">
        <w:rPr>
          <w:rFonts w:cs="Arial"/>
          <w:sz w:val="16"/>
          <w:szCs w:val="16"/>
          <w:rtl/>
        </w:rPr>
        <w:t xml:space="preserve"> וגם הרמב"ם השמיטו</w:t>
      </w:r>
      <w:r>
        <w:rPr>
          <w:rFonts w:cs="Arial" w:hint="cs"/>
          <w:sz w:val="16"/>
          <w:szCs w:val="16"/>
          <w:rtl/>
        </w:rPr>
        <w:t>,</w:t>
      </w:r>
      <w:r w:rsidRPr="0008440F">
        <w:rPr>
          <w:rFonts w:cs="Arial"/>
          <w:sz w:val="16"/>
          <w:szCs w:val="16"/>
          <w:rtl/>
        </w:rPr>
        <w:t xml:space="preserve"> ואיפשר שטעמם משום דכיון דגמרא דידן לא מפליג בדיני משמע דסבר שאין חילוק בדבר</w:t>
      </w:r>
      <w:r>
        <w:rPr>
          <w:rFonts w:cs="Arial" w:hint="cs"/>
          <w:sz w:val="16"/>
          <w:szCs w:val="16"/>
          <w:rtl/>
        </w:rPr>
        <w:t>,</w:t>
      </w:r>
      <w:r w:rsidRPr="0008440F">
        <w:rPr>
          <w:rFonts w:cs="Arial"/>
          <w:sz w:val="16"/>
          <w:szCs w:val="16"/>
          <w:rtl/>
        </w:rPr>
        <w:t xml:space="preserve"> דאם איתא לא הוה שתיק מיניה</w:t>
      </w:r>
      <w:r>
        <w:rPr>
          <w:rFonts w:cs="Arial" w:hint="cs"/>
          <w:sz w:val="16"/>
          <w:szCs w:val="16"/>
          <w:rtl/>
        </w:rPr>
        <w:t>, ב"י)</w:t>
      </w:r>
    </w:p>
    <w:bookmarkEnd w:id="17"/>
    <w:p w14:paraId="1859E605" w14:textId="0AD88D1B" w:rsidR="00223B3E" w:rsidRPr="009B03DA" w:rsidRDefault="009B03DA" w:rsidP="00223B3E">
      <w:pPr>
        <w:rPr>
          <w:u w:val="single"/>
          <w:rtl/>
        </w:rPr>
      </w:pPr>
      <w:r w:rsidRPr="009B03DA">
        <w:rPr>
          <w:rFonts w:hint="cs"/>
          <w:u w:val="single"/>
          <w:rtl/>
        </w:rPr>
        <w:t>מזונות לאחר תביעת כתובה:</w:t>
      </w:r>
    </w:p>
    <w:p w14:paraId="4875D4E0" w14:textId="257F18E7" w:rsidR="00392DBB" w:rsidRPr="00C94C46" w:rsidRDefault="002D28E6" w:rsidP="009000E3">
      <w:pPr>
        <w:pStyle w:val="ab"/>
        <w:numPr>
          <w:ilvl w:val="0"/>
          <w:numId w:val="61"/>
        </w:numPr>
      </w:pPr>
      <w:r>
        <w:rPr>
          <w:rFonts w:cs="Arial" w:hint="cs"/>
          <w:rtl/>
        </w:rPr>
        <w:t xml:space="preserve">רא"ש </w:t>
      </w:r>
      <w:r>
        <w:rPr>
          <w:rFonts w:cs="Arial" w:hint="cs"/>
          <w:sz w:val="16"/>
          <w:szCs w:val="16"/>
          <w:rtl/>
        </w:rPr>
        <w:t>(פ' השולח סי' ל)</w:t>
      </w:r>
      <w:r>
        <w:rPr>
          <w:rFonts w:cs="Arial" w:hint="cs"/>
          <w:rtl/>
        </w:rPr>
        <w:t xml:space="preserve"> ו</w:t>
      </w:r>
      <w:r w:rsidR="00392DBB">
        <w:rPr>
          <w:rFonts w:cs="Arial" w:hint="cs"/>
          <w:rtl/>
        </w:rPr>
        <w:t xml:space="preserve">טור- </w:t>
      </w:r>
      <w:r w:rsidR="00392DBB" w:rsidRPr="000A1431">
        <w:rPr>
          <w:rFonts w:cs="Arial"/>
          <w:rtl/>
        </w:rPr>
        <w:t>אלמנה שתבעה כתובתה בבית דין</w:t>
      </w:r>
      <w:r w:rsidR="00F96609" w:rsidRPr="00F96609">
        <w:rPr>
          <w:rStyle w:val="a7"/>
          <w:rFonts w:cs="Arial"/>
          <w:rtl/>
        </w:rPr>
        <w:footnoteReference w:id="1568"/>
      </w:r>
      <w:r w:rsidR="00392DBB" w:rsidRPr="000A1431">
        <w:rPr>
          <w:rFonts w:cs="Arial"/>
          <w:rtl/>
        </w:rPr>
        <w:t xml:space="preserve"> אין לה עוד מזונות אפי' לא פרעוה</w:t>
      </w:r>
      <w:r>
        <w:rPr>
          <w:rFonts w:cs="Arial" w:hint="cs"/>
          <w:rtl/>
        </w:rPr>
        <w:t>.</w:t>
      </w:r>
      <w:r w:rsidR="00392DBB" w:rsidRPr="000A1431">
        <w:rPr>
          <w:rFonts w:cs="Arial"/>
          <w:rtl/>
        </w:rPr>
        <w:t xml:space="preserve"> אבל תבעה שלא בב"ד לא הפסידה מזונותיה</w:t>
      </w:r>
      <w:r w:rsidR="009B03DA">
        <w:rPr>
          <w:rFonts w:cs="Arial" w:hint="cs"/>
          <w:rtl/>
        </w:rPr>
        <w:t>.</w:t>
      </w:r>
      <w:r w:rsidR="00392DBB" w:rsidRPr="000A1431">
        <w:rPr>
          <w:rFonts w:cs="Arial"/>
          <w:rtl/>
        </w:rPr>
        <w:t xml:space="preserve"> ואפי' בב"ד לא הפסידה אא"כ תבעה מעצמה</w:t>
      </w:r>
      <w:r w:rsidR="009B03DA">
        <w:rPr>
          <w:rFonts w:cs="Arial" w:hint="cs"/>
          <w:rtl/>
        </w:rPr>
        <w:t>,</w:t>
      </w:r>
      <w:r w:rsidR="00392DBB" w:rsidRPr="000A1431">
        <w:rPr>
          <w:rFonts w:cs="Arial"/>
          <w:rtl/>
        </w:rPr>
        <w:t xml:space="preserve"> אבל אם תבעה מדוחק שלא נתנו לה מזונות</w:t>
      </w:r>
      <w:r w:rsidR="00CC415A">
        <w:rPr>
          <w:rFonts w:cs="Arial" w:hint="cs"/>
          <w:rtl/>
        </w:rPr>
        <w:t>,</w:t>
      </w:r>
      <w:r w:rsidR="00392DBB" w:rsidRPr="000A1431">
        <w:rPr>
          <w:rFonts w:cs="Arial"/>
          <w:rtl/>
        </w:rPr>
        <w:t xml:space="preserve"> או שרימוה ואמרו לה פלוני חפץ לישא אותך ומחמת זה תבעה כתובתה</w:t>
      </w:r>
      <w:r w:rsidR="00CC415A">
        <w:rPr>
          <w:rFonts w:cs="Arial" w:hint="cs"/>
          <w:rtl/>
        </w:rPr>
        <w:t>,</w:t>
      </w:r>
      <w:r w:rsidR="00392DBB" w:rsidRPr="000A1431">
        <w:rPr>
          <w:rFonts w:cs="Arial"/>
          <w:rtl/>
        </w:rPr>
        <w:t xml:space="preserve"> או כיוצא בזה </w:t>
      </w:r>
      <w:r w:rsidR="009B03DA">
        <w:rPr>
          <w:rFonts w:cs="Arial" w:hint="cs"/>
          <w:rtl/>
        </w:rPr>
        <w:t xml:space="preserve">- </w:t>
      </w:r>
      <w:r w:rsidR="00392DBB" w:rsidRPr="000A1431">
        <w:rPr>
          <w:rFonts w:cs="Arial"/>
          <w:rtl/>
        </w:rPr>
        <w:t>לא הפסידה מזונות</w:t>
      </w:r>
      <w:r>
        <w:rPr>
          <w:rFonts w:cs="Arial" w:hint="cs"/>
          <w:sz w:val="16"/>
          <w:szCs w:val="16"/>
          <w:rtl/>
        </w:rPr>
        <w:t xml:space="preserve"> (ל' הטור)</w:t>
      </w:r>
      <w:r w:rsidR="009B03DA">
        <w:rPr>
          <w:rFonts w:cs="Arial" w:hint="cs"/>
          <w:rtl/>
        </w:rPr>
        <w:t>.</w:t>
      </w:r>
    </w:p>
    <w:p w14:paraId="2DA3CB87"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9F59EF0" w14:textId="1A3B1D14" w:rsidR="00D738D0" w:rsidRDefault="00392DBB" w:rsidP="00CD700A">
      <w:pPr>
        <w:rPr>
          <w:rtl/>
        </w:rPr>
      </w:pPr>
      <w:r>
        <w:rPr>
          <w:rFonts w:cs="Arial"/>
          <w:rtl/>
        </w:rPr>
        <w:t>אלמנה שתבעה כתובתה בב</w:t>
      </w:r>
      <w:r w:rsidR="00F96609">
        <w:rPr>
          <w:rFonts w:cs="Arial" w:hint="cs"/>
          <w:rtl/>
        </w:rPr>
        <w:t>ית דין</w:t>
      </w:r>
      <w:r>
        <w:rPr>
          <w:rFonts w:cs="Arial"/>
          <w:rtl/>
        </w:rPr>
        <w:t xml:space="preserve"> אין לה עוד מזונות, ואפילו לא פרעוה</w:t>
      </w:r>
      <w:r w:rsidR="00CD700A">
        <w:rPr>
          <w:rStyle w:val="a7"/>
          <w:rFonts w:cs="Arial"/>
          <w:rtl/>
        </w:rPr>
        <w:footnoteReference w:id="1569"/>
      </w:r>
      <w:r>
        <w:rPr>
          <w:rFonts w:cs="Arial"/>
          <w:rtl/>
        </w:rPr>
        <w:t xml:space="preserve">. </w:t>
      </w:r>
      <w:r w:rsidR="00F96609" w:rsidRPr="00F96609">
        <w:rPr>
          <w:rFonts w:cs="Arial" w:hint="cs"/>
          <w:sz w:val="18"/>
          <w:szCs w:val="18"/>
          <w:rtl/>
        </w:rPr>
        <w:t xml:space="preserve">[הגה] </w:t>
      </w:r>
      <w:r w:rsidRPr="00F96609">
        <w:rPr>
          <w:rFonts w:cs="Arial"/>
          <w:sz w:val="18"/>
          <w:szCs w:val="18"/>
          <w:rtl/>
        </w:rPr>
        <w:t>אבל תבעה שלא בב"ד, לא הפסידה (טור).</w:t>
      </w:r>
      <w:r>
        <w:rPr>
          <w:rFonts w:cs="Arial"/>
          <w:rtl/>
        </w:rPr>
        <w:t xml:space="preserve"> וי</w:t>
      </w:r>
      <w:r w:rsidR="00F96609">
        <w:rPr>
          <w:rFonts w:cs="Arial" w:hint="cs"/>
          <w:rtl/>
        </w:rPr>
        <w:t>ש אומרים</w:t>
      </w:r>
      <w:r>
        <w:rPr>
          <w:rFonts w:cs="Arial"/>
          <w:rtl/>
        </w:rPr>
        <w:t xml:space="preserve"> שאפילו תבעה בבית דין לא הפסידה, אלא אם כן תבעה מעצמה, אבל אם תבעה מדוחק, שלא נתנו לה </w:t>
      </w:r>
      <w:r>
        <w:rPr>
          <w:rFonts w:cs="Arial"/>
          <w:rtl/>
        </w:rPr>
        <w:lastRenderedPageBreak/>
        <w:t xml:space="preserve">מזונות, או שרמוה ואמרו לה: פלוני חפץ לישא אותך, ומחמת זה תבעה כתובתה או כיוצא בזה, לא הפסידה מזונותיה. </w:t>
      </w:r>
      <w:r w:rsidRPr="00C94C46">
        <w:rPr>
          <w:rFonts w:cs="Arial"/>
          <w:sz w:val="18"/>
          <w:szCs w:val="18"/>
          <w:rtl/>
        </w:rPr>
        <w:t>הגה: הנשבעת על כתובתה לפני ב"ד לא הפסידה מזונות, דשבועתה לא הוי כתביעה (</w:t>
      </w:r>
      <w:r w:rsidR="00C0043E">
        <w:rPr>
          <w:rFonts w:cs="Arial" w:hint="cs"/>
          <w:sz w:val="18"/>
          <w:szCs w:val="18"/>
          <w:rtl/>
        </w:rPr>
        <w:t>שלט"ג ור"ן</w:t>
      </w:r>
      <w:r w:rsidRPr="00C94C46">
        <w:rPr>
          <w:rFonts w:cs="Arial"/>
          <w:sz w:val="18"/>
          <w:szCs w:val="18"/>
          <w:rtl/>
        </w:rPr>
        <w:t>).</w:t>
      </w:r>
      <w:r>
        <w:rPr>
          <w:rFonts w:cs="Arial"/>
          <w:rtl/>
        </w:rPr>
        <w:t xml:space="preserve"> </w:t>
      </w:r>
    </w:p>
    <w:p w14:paraId="6C058004" w14:textId="77777777" w:rsidR="00D766D0" w:rsidRDefault="00D766D0" w:rsidP="00D738D0">
      <w:pPr>
        <w:rPr>
          <w:rtl/>
        </w:rPr>
      </w:pPr>
    </w:p>
    <w:p w14:paraId="3282A7A4" w14:textId="065CB8F4" w:rsidR="00392DBB" w:rsidRDefault="00392DBB" w:rsidP="000F64D0">
      <w:pPr>
        <w:pStyle w:val="2"/>
        <w:rPr>
          <w:rtl/>
        </w:rPr>
      </w:pPr>
      <w:r>
        <w:rPr>
          <w:rtl/>
        </w:rPr>
        <w:t>סעיף ו</w:t>
      </w:r>
      <w:r>
        <w:rPr>
          <w:rFonts w:hint="cs"/>
          <w:rtl/>
        </w:rPr>
        <w:t>:</w:t>
      </w:r>
      <w:r w:rsidR="007D1A60" w:rsidRPr="007D1A60">
        <w:rPr>
          <w:rtl/>
        </w:rPr>
        <w:t xml:space="preserve"> </w:t>
      </w:r>
      <w:r w:rsidR="007D1A60">
        <w:rPr>
          <w:rtl/>
        </w:rPr>
        <w:t>שכ</w:t>
      </w:r>
      <w:r w:rsidR="007D1A60">
        <w:rPr>
          <w:rFonts w:hint="cs"/>
          <w:rtl/>
        </w:rPr>
        <w:t>"</w:t>
      </w:r>
      <w:r w:rsidR="007D1A60">
        <w:rPr>
          <w:rtl/>
        </w:rPr>
        <w:t>מ שציוה שתהא אלמנתו ניזונת מנכסיו כל ימי מיגר אלמנותה יתר על כתובתה</w:t>
      </w:r>
      <w:r w:rsidR="007D1A60">
        <w:rPr>
          <w:rFonts w:hint="cs"/>
          <w:rtl/>
        </w:rPr>
        <w:t>.</w:t>
      </w:r>
    </w:p>
    <w:p w14:paraId="54702216" w14:textId="4DAE1951" w:rsidR="00700AC9" w:rsidRPr="007D1A60" w:rsidRDefault="007D1A60" w:rsidP="00700AC9">
      <w:pPr>
        <w:rPr>
          <w:u w:val="single"/>
          <w:rtl/>
        </w:rPr>
      </w:pPr>
      <w:r w:rsidRPr="007D1A60">
        <w:rPr>
          <w:rFonts w:cs="Arial"/>
          <w:u w:val="single"/>
          <w:rtl/>
        </w:rPr>
        <w:t>שכיב מרע שציוה שתהא אלמנתו ניזונת מנכסיו כל ימי מיגר אלמנותה יתר על כתובתה</w:t>
      </w:r>
      <w:r w:rsidRPr="007D1A60">
        <w:rPr>
          <w:rFonts w:hint="cs"/>
          <w:u w:val="single"/>
          <w:rtl/>
        </w:rPr>
        <w:t>:</w:t>
      </w:r>
    </w:p>
    <w:p w14:paraId="59661CD6" w14:textId="319F574A" w:rsidR="00392DBB" w:rsidRPr="00C94C46" w:rsidRDefault="00392DBB" w:rsidP="009000E3">
      <w:pPr>
        <w:pStyle w:val="ab"/>
        <w:numPr>
          <w:ilvl w:val="0"/>
          <w:numId w:val="61"/>
        </w:numPr>
        <w:rPr>
          <w:rtl/>
        </w:rPr>
      </w:pPr>
      <w:r w:rsidRPr="00700AC9">
        <w:rPr>
          <w:rFonts w:cs="Arial"/>
          <w:rtl/>
        </w:rPr>
        <w:t xml:space="preserve">ריב"ש </w:t>
      </w:r>
      <w:r w:rsidR="00700AC9" w:rsidRPr="00700AC9">
        <w:rPr>
          <w:rFonts w:cs="Arial" w:hint="cs"/>
          <w:sz w:val="16"/>
          <w:szCs w:val="16"/>
          <w:rtl/>
        </w:rPr>
        <w:t>(סי' תפ)</w:t>
      </w:r>
      <w:r w:rsidR="00700AC9" w:rsidRPr="00700AC9">
        <w:rPr>
          <w:rFonts w:cs="Arial" w:hint="cs"/>
          <w:rtl/>
        </w:rPr>
        <w:t xml:space="preserve">- </w:t>
      </w:r>
      <w:r w:rsidRPr="00700AC9">
        <w:rPr>
          <w:rFonts w:cs="Arial"/>
          <w:rtl/>
        </w:rPr>
        <w:t xml:space="preserve">שכיב מרע שכתב בצוואתו </w:t>
      </w:r>
      <w:r w:rsidR="00700AC9">
        <w:rPr>
          <w:rFonts w:cs="Arial" w:hint="cs"/>
          <w:rtl/>
        </w:rPr>
        <w:t>"</w:t>
      </w:r>
      <w:r w:rsidRPr="00700AC9">
        <w:rPr>
          <w:rFonts w:cs="Arial"/>
          <w:rtl/>
        </w:rPr>
        <w:t>אני מניח שתהא אשתי נזונת כל ימי מיגד אלמנותה יתר על כתובתה</w:t>
      </w:r>
      <w:r w:rsidR="007D1A60">
        <w:rPr>
          <w:rFonts w:cs="Arial" w:hint="cs"/>
          <w:rtl/>
        </w:rPr>
        <w:t>"</w:t>
      </w:r>
      <w:r w:rsidRPr="00700AC9">
        <w:rPr>
          <w:rFonts w:cs="Arial"/>
          <w:rtl/>
        </w:rPr>
        <w:t xml:space="preserve"> </w:t>
      </w:r>
      <w:r w:rsidR="007D1A60">
        <w:rPr>
          <w:rFonts w:cs="Arial" w:hint="cs"/>
          <w:rtl/>
        </w:rPr>
        <w:t xml:space="preserve">- </w:t>
      </w:r>
      <w:r w:rsidRPr="00700AC9">
        <w:rPr>
          <w:rFonts w:cs="Arial"/>
          <w:rtl/>
        </w:rPr>
        <w:t>נראה שאין אלמנה זו מפסדת מזונות בתביעת כתובתה בבית דין ולא בשאר הדברים שמפסדת אותם כשאוכלת בתנאי בית דין</w:t>
      </w:r>
      <w:r w:rsidR="007D1A60">
        <w:rPr>
          <w:rFonts w:cs="Arial" w:hint="cs"/>
          <w:rtl/>
        </w:rPr>
        <w:t>...</w:t>
      </w:r>
      <w:r w:rsidRPr="00700AC9">
        <w:rPr>
          <w:rFonts w:cs="Arial"/>
          <w:rtl/>
        </w:rPr>
        <w:t xml:space="preserve"> </w:t>
      </w:r>
      <w:r w:rsidR="007D1A60">
        <w:rPr>
          <w:rFonts w:cs="Arial" w:hint="cs"/>
          <w:rtl/>
        </w:rPr>
        <w:t>ו</w:t>
      </w:r>
      <w:r w:rsidRPr="00700AC9">
        <w:rPr>
          <w:rFonts w:cs="Arial"/>
          <w:rtl/>
        </w:rPr>
        <w:t xml:space="preserve">עוד </w:t>
      </w:r>
      <w:r w:rsidR="007D1A60">
        <w:rPr>
          <w:rFonts w:cs="Arial" w:hint="cs"/>
          <w:rtl/>
        </w:rPr>
        <w:t>מ</w:t>
      </w:r>
      <w:r w:rsidRPr="00700AC9">
        <w:rPr>
          <w:rFonts w:cs="Arial"/>
          <w:rtl/>
        </w:rPr>
        <w:t>כיון דאוכלת מכח מתנת בעלה ולא בתקנת חכמים אין מעשה ידיה ליתומים</w:t>
      </w:r>
      <w:r w:rsidR="007D1A60">
        <w:rPr>
          <w:rFonts w:cs="Arial" w:hint="cs"/>
          <w:rtl/>
        </w:rPr>
        <w:t>.</w:t>
      </w:r>
      <w:r w:rsidR="007D1A60" w:rsidRPr="007D1A60">
        <w:rPr>
          <w:rFonts w:hint="cs"/>
          <w:color w:val="E36C0A" w:themeColor="accent6" w:themeShade="BF"/>
          <w:rtl/>
        </w:rPr>
        <w:t xml:space="preserve"> </w:t>
      </w:r>
      <w:r w:rsidR="007D1A60" w:rsidRPr="00290018">
        <w:rPr>
          <w:rFonts w:hint="cs"/>
          <w:color w:val="E36C0A" w:themeColor="accent6" w:themeShade="BF"/>
          <w:rtl/>
        </w:rPr>
        <w:t>(וכ"</w:t>
      </w:r>
      <w:r w:rsidR="00537038">
        <w:rPr>
          <w:rFonts w:hint="cs"/>
          <w:color w:val="E36C0A" w:themeColor="accent6" w:themeShade="BF"/>
          <w:rtl/>
        </w:rPr>
        <w:t>ס</w:t>
      </w:r>
      <w:r w:rsidR="007D1A60" w:rsidRPr="00290018">
        <w:rPr>
          <w:rFonts w:hint="cs"/>
          <w:color w:val="E36C0A" w:themeColor="accent6" w:themeShade="BF"/>
          <w:rtl/>
        </w:rPr>
        <w:t xml:space="preserve"> בשו"ע</w:t>
      </w:r>
      <w:r w:rsidR="007D1A60">
        <w:rPr>
          <w:rFonts w:hint="cs"/>
          <w:color w:val="E36C0A" w:themeColor="accent6" w:themeShade="BF"/>
          <w:rtl/>
        </w:rPr>
        <w:t>)</w:t>
      </w:r>
    </w:p>
    <w:p w14:paraId="3D6D2AEA"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0141F70" w14:textId="37994066" w:rsidR="00392DBB" w:rsidRDefault="00392DBB" w:rsidP="00392DBB">
      <w:pPr>
        <w:rPr>
          <w:rtl/>
        </w:rPr>
      </w:pPr>
      <w:r>
        <w:rPr>
          <w:rFonts w:cs="Arial"/>
          <w:rtl/>
        </w:rPr>
        <w:t>שכיב מרע שציוה שתהא אלמנתו ניזונת מנכסיו כל ימי מיגר אלמנותה יתר על כתובתה, יש מי שאומר שאין אלמנתו מפסדת מזונותיה בתביעת כתובתה בבית דין, ולא בשאר דרכים המפסידים מזונותיה</w:t>
      </w:r>
      <w:r w:rsidR="007D1A60">
        <w:rPr>
          <w:rFonts w:cs="Arial" w:hint="cs"/>
          <w:rtl/>
        </w:rPr>
        <w:t>.</w:t>
      </w:r>
      <w:r>
        <w:rPr>
          <w:rFonts w:cs="Arial"/>
          <w:rtl/>
        </w:rPr>
        <w:t xml:space="preserve"> וגם אין מעשה ידיה ליתומים. </w:t>
      </w:r>
    </w:p>
    <w:p w14:paraId="3F06C9A7" w14:textId="77777777" w:rsidR="00392DBB" w:rsidRDefault="00392DBB" w:rsidP="00392DBB">
      <w:pPr>
        <w:rPr>
          <w:rtl/>
        </w:rPr>
      </w:pPr>
    </w:p>
    <w:p w14:paraId="0272EDD4" w14:textId="73D66965" w:rsidR="00392DBB" w:rsidRDefault="00392DBB" w:rsidP="000F64D0">
      <w:pPr>
        <w:pStyle w:val="2"/>
        <w:rPr>
          <w:rtl/>
        </w:rPr>
      </w:pPr>
      <w:r>
        <w:rPr>
          <w:rtl/>
        </w:rPr>
        <w:t>סעיף ז</w:t>
      </w:r>
      <w:r>
        <w:rPr>
          <w:rFonts w:hint="cs"/>
          <w:rtl/>
        </w:rPr>
        <w:t>:</w:t>
      </w:r>
      <w:r w:rsidR="00956AC2">
        <w:rPr>
          <w:rFonts w:hint="cs"/>
          <w:rtl/>
        </w:rPr>
        <w:t xml:space="preserve"> </w:t>
      </w:r>
      <w:r w:rsidR="00724F0E">
        <w:rPr>
          <w:rFonts w:hint="cs"/>
          <w:rtl/>
        </w:rPr>
        <w:t>מזונות לאחר שתבעוה להינשא.</w:t>
      </w:r>
    </w:p>
    <w:p w14:paraId="1655161A" w14:textId="705B44D4" w:rsidR="00D47568" w:rsidRPr="00D47568" w:rsidRDefault="00D47568" w:rsidP="00D47568">
      <w:pPr>
        <w:rPr>
          <w:rFonts w:cs="Arial"/>
          <w:rtl/>
        </w:rPr>
      </w:pPr>
      <w:r w:rsidRPr="00CC415A">
        <w:rPr>
          <w:rFonts w:cs="Arial" w:hint="cs"/>
          <w:b/>
          <w:bCs/>
          <w:rtl/>
        </w:rPr>
        <w:t xml:space="preserve">כתובות </w:t>
      </w:r>
      <w:r w:rsidRPr="00CC415A">
        <w:rPr>
          <w:rFonts w:cs="Arial" w:hint="cs"/>
          <w:b/>
          <w:bCs/>
          <w:sz w:val="16"/>
          <w:szCs w:val="16"/>
          <w:rtl/>
        </w:rPr>
        <w:t>(</w:t>
      </w:r>
      <w:r w:rsidRPr="00CC415A">
        <w:rPr>
          <w:rFonts w:cs="Arial"/>
          <w:b/>
          <w:bCs/>
          <w:sz w:val="16"/>
          <w:szCs w:val="16"/>
          <w:rtl/>
        </w:rPr>
        <w:t>ס</w:t>
      </w:r>
      <w:r w:rsidRPr="00CC415A">
        <w:rPr>
          <w:rFonts w:cs="Arial" w:hint="cs"/>
          <w:b/>
          <w:bCs/>
          <w:sz w:val="16"/>
          <w:szCs w:val="16"/>
          <w:rtl/>
        </w:rPr>
        <w:t>"</w:t>
      </w:r>
      <w:r w:rsidRPr="00CC415A">
        <w:rPr>
          <w:rFonts w:cs="Arial"/>
          <w:b/>
          <w:bCs/>
          <w:sz w:val="16"/>
          <w:szCs w:val="16"/>
          <w:rtl/>
        </w:rPr>
        <w:t>פ נערה שנתפתתה</w:t>
      </w:r>
      <w:r w:rsidRPr="00CC415A">
        <w:rPr>
          <w:rFonts w:cs="Arial" w:hint="cs"/>
          <w:b/>
          <w:bCs/>
          <w:sz w:val="16"/>
          <w:szCs w:val="16"/>
          <w:rtl/>
        </w:rPr>
        <w:t>)</w:t>
      </w:r>
      <w:r w:rsidRPr="00CC415A">
        <w:rPr>
          <w:rFonts w:cs="Arial"/>
          <w:b/>
          <w:bCs/>
          <w:rtl/>
        </w:rPr>
        <w:t xml:space="preserve"> נד</w:t>
      </w:r>
      <w:r w:rsidR="00537038">
        <w:rPr>
          <w:rStyle w:val="a7"/>
          <w:rFonts w:cs="Arial"/>
          <w:b/>
          <w:bCs/>
          <w:rtl/>
        </w:rPr>
        <w:footnoteReference w:id="1570"/>
      </w:r>
      <w:r w:rsidRPr="00CC415A">
        <w:rPr>
          <w:rFonts w:cs="Arial" w:hint="cs"/>
          <w:b/>
          <w:bCs/>
          <w:rtl/>
        </w:rPr>
        <w:t xml:space="preserve"> ע"א:</w:t>
      </w:r>
      <w:r w:rsidRPr="000854CE">
        <w:rPr>
          <w:rtl/>
        </w:rPr>
        <w:t xml:space="preserve"> </w:t>
      </w:r>
      <w:r w:rsidRPr="006B3BF5">
        <w:rPr>
          <w:rFonts w:cs="Arial"/>
          <w:u w:val="single"/>
          <w:rtl/>
        </w:rPr>
        <w:t>אמר רב נחמן אמר שמואל</w:t>
      </w:r>
      <w:r w:rsidRPr="006B3BF5">
        <w:rPr>
          <w:rFonts w:cs="Arial"/>
          <w:rtl/>
        </w:rPr>
        <w:t>: תבעוה להנשא ונתפייסה - אין לה מזונות. הא לא נתפייסה - יש לה מזונות</w:t>
      </w:r>
      <w:r>
        <w:rPr>
          <w:rStyle w:val="a7"/>
          <w:rFonts w:cs="Arial"/>
          <w:rtl/>
        </w:rPr>
        <w:footnoteReference w:id="1571"/>
      </w:r>
      <w:r w:rsidRPr="006B3BF5">
        <w:rPr>
          <w:rFonts w:cs="Arial"/>
          <w:rtl/>
        </w:rPr>
        <w:t xml:space="preserve">? </w:t>
      </w:r>
      <w:r w:rsidRPr="006B3BF5">
        <w:rPr>
          <w:rFonts w:cs="Arial"/>
          <w:u w:val="single"/>
          <w:rtl/>
        </w:rPr>
        <w:t>אמר רב ענן</w:t>
      </w:r>
      <w:r>
        <w:rPr>
          <w:rFonts w:cs="Arial" w:hint="cs"/>
          <w:rtl/>
        </w:rPr>
        <w:t>:</w:t>
      </w:r>
      <w:r w:rsidRPr="006B3BF5">
        <w:rPr>
          <w:rFonts w:cs="Arial"/>
          <w:rtl/>
        </w:rPr>
        <w:t xml:space="preserve"> לדידי מפרשא לי מיניה דמר שמואל</w:t>
      </w:r>
      <w:r>
        <w:rPr>
          <w:rFonts w:cs="Arial" w:hint="cs"/>
          <w:rtl/>
        </w:rPr>
        <w:t>,</w:t>
      </w:r>
      <w:r w:rsidRPr="006B3BF5">
        <w:rPr>
          <w:rFonts w:cs="Arial"/>
          <w:rtl/>
        </w:rPr>
        <w:t xml:space="preserve"> אמרה</w:t>
      </w:r>
      <w:r>
        <w:rPr>
          <w:rFonts w:cs="Arial" w:hint="cs"/>
          <w:rtl/>
        </w:rPr>
        <w:t>:</w:t>
      </w:r>
      <w:r w:rsidRPr="006B3BF5">
        <w:rPr>
          <w:rFonts w:cs="Arial"/>
          <w:rtl/>
        </w:rPr>
        <w:t xml:space="preserve"> מחמת פלוני בעלי - יש לה מזונות, מחמת בני אדם שאינן מהוגנין לה - אין לה מזונות. </w:t>
      </w:r>
      <w:r w:rsidRPr="00A46BB2">
        <w:rPr>
          <w:rFonts w:cs="Arial"/>
          <w:u w:val="single"/>
          <w:rtl/>
        </w:rPr>
        <w:t>אמר רב חסדא</w:t>
      </w:r>
      <w:r w:rsidRPr="006B3BF5">
        <w:rPr>
          <w:rFonts w:cs="Arial"/>
          <w:rtl/>
        </w:rPr>
        <w:t xml:space="preserve">: זינתה - אין לה מזונות. </w:t>
      </w:r>
      <w:r w:rsidRPr="00A46BB2">
        <w:rPr>
          <w:rFonts w:cs="Arial"/>
          <w:u w:val="single"/>
          <w:rtl/>
        </w:rPr>
        <w:t>אמר רב יוסף</w:t>
      </w:r>
      <w:r w:rsidRPr="006B3BF5">
        <w:rPr>
          <w:rFonts w:cs="Arial"/>
          <w:rtl/>
        </w:rPr>
        <w:t>: כיחלה ופירכסה</w:t>
      </w:r>
      <w:r>
        <w:rPr>
          <w:rStyle w:val="a7"/>
          <w:rFonts w:cs="Arial"/>
          <w:rtl/>
        </w:rPr>
        <w:footnoteReference w:id="1572"/>
      </w:r>
      <w:r w:rsidRPr="006B3BF5">
        <w:rPr>
          <w:rFonts w:cs="Arial"/>
          <w:rtl/>
        </w:rPr>
        <w:t xml:space="preserve"> - אין לה מזונות. מאן דאמר זינתה, כל שכן כיחלה ופירכסה; מאן דאמר כיחלה ופירכסה, אבל זינתה - אית לה, מאי טעמא? יצר אנסה. ולית הלכתא ככל הני שמעתתא, אלא כי הא דאמר רב יהודה אמר שמואל: התובעת כתובתה בבית דין - אין לה מזונות.</w:t>
      </w:r>
      <w:r>
        <w:rPr>
          <w:rFonts w:cs="Arial" w:hint="cs"/>
          <w:rtl/>
        </w:rPr>
        <w:t xml:space="preserve"> </w:t>
      </w:r>
      <w:r w:rsidRPr="00D47568">
        <w:rPr>
          <w:rFonts w:cs="Arial" w:hint="cs"/>
          <w:sz w:val="16"/>
          <w:szCs w:val="16"/>
          <w:rtl/>
        </w:rPr>
        <w:t>(</w:t>
      </w:r>
      <w:r w:rsidRPr="00D47568">
        <w:rPr>
          <w:rFonts w:cs="Arial"/>
          <w:sz w:val="16"/>
          <w:szCs w:val="16"/>
          <w:rtl/>
        </w:rPr>
        <w:t>וכתבו התוספות (ד"ה לית) ולית הלכתא ככל הני שמעתתא בר מתבעוה לינשא דההיא עדיפא</w:t>
      </w:r>
      <w:r w:rsidRPr="00D47568">
        <w:rPr>
          <w:rFonts w:cs="Arial" w:hint="cs"/>
          <w:sz w:val="16"/>
          <w:szCs w:val="16"/>
          <w:rtl/>
        </w:rPr>
        <w:t>.</w:t>
      </w:r>
      <w:r w:rsidRPr="00D47568">
        <w:rPr>
          <w:rFonts w:cs="Arial"/>
          <w:sz w:val="16"/>
          <w:szCs w:val="16"/>
          <w:rtl/>
        </w:rPr>
        <w:t xml:space="preserve"> אבל הרי"ף השמיט גם מימרא דתבעוה לינשא</w:t>
      </w:r>
      <w:r w:rsidRPr="00D47568">
        <w:rPr>
          <w:rFonts w:cs="Arial" w:hint="cs"/>
          <w:sz w:val="16"/>
          <w:szCs w:val="16"/>
          <w:rtl/>
        </w:rPr>
        <w:t>,</w:t>
      </w:r>
      <w:r w:rsidRPr="00D47568">
        <w:rPr>
          <w:rFonts w:cs="Arial"/>
          <w:sz w:val="16"/>
          <w:szCs w:val="16"/>
          <w:rtl/>
        </w:rPr>
        <w:t xml:space="preserve"> משמע דגם עלה קאי הא דאמר ולית הלכתא ככל הני שמעתתא</w:t>
      </w:r>
      <w:r w:rsidRPr="00D47568">
        <w:rPr>
          <w:rFonts w:cs="Arial" w:hint="cs"/>
          <w:sz w:val="16"/>
          <w:szCs w:val="16"/>
          <w:rtl/>
        </w:rPr>
        <w:t>.</w:t>
      </w:r>
      <w:r w:rsidRPr="00D47568">
        <w:rPr>
          <w:rFonts w:cs="Arial"/>
          <w:sz w:val="16"/>
          <w:szCs w:val="16"/>
          <w:rtl/>
        </w:rPr>
        <w:t xml:space="preserve"> וכתב הרא"ש (שם) דנראין לו דברי הרי"ף</w:t>
      </w:r>
      <w:r w:rsidRPr="00D47568">
        <w:rPr>
          <w:rFonts w:cs="Arial" w:hint="cs"/>
          <w:sz w:val="16"/>
          <w:szCs w:val="16"/>
          <w:rtl/>
        </w:rPr>
        <w:t>.</w:t>
      </w:r>
      <w:r w:rsidRPr="00D47568">
        <w:rPr>
          <w:rFonts w:cs="Arial"/>
          <w:sz w:val="16"/>
          <w:szCs w:val="16"/>
          <w:rtl/>
        </w:rPr>
        <w:t xml:space="preserve"> וכן דעת הרמב"ם בפי"ח מהלכות אישות</w:t>
      </w:r>
      <w:r w:rsidRPr="00D47568">
        <w:rPr>
          <w:rFonts w:cs="Arial" w:hint="cs"/>
          <w:sz w:val="16"/>
          <w:szCs w:val="16"/>
          <w:rtl/>
        </w:rPr>
        <w:t>, ב"י)</w:t>
      </w:r>
    </w:p>
    <w:p w14:paraId="11B91AD8" w14:textId="4D280DB9" w:rsidR="007D1A60" w:rsidRPr="00724F0E" w:rsidRDefault="00724F0E" w:rsidP="007D1A60">
      <w:pPr>
        <w:rPr>
          <w:u w:val="single"/>
          <w:rtl/>
        </w:rPr>
      </w:pPr>
      <w:r w:rsidRPr="00724F0E">
        <w:rPr>
          <w:rFonts w:hint="cs"/>
          <w:u w:val="single"/>
          <w:rtl/>
        </w:rPr>
        <w:t>מזונות ל</w:t>
      </w:r>
      <w:r w:rsidR="00637231">
        <w:rPr>
          <w:rFonts w:hint="cs"/>
          <w:u w:val="single"/>
          <w:rtl/>
        </w:rPr>
        <w:t>אלמנה שמראה רצון להנשא:</w:t>
      </w:r>
    </w:p>
    <w:p w14:paraId="0E1A8F8C" w14:textId="213B5C5D" w:rsidR="00392DBB" w:rsidRPr="00700349" w:rsidRDefault="00D47568" w:rsidP="009000E3">
      <w:pPr>
        <w:pStyle w:val="ab"/>
        <w:numPr>
          <w:ilvl w:val="0"/>
          <w:numId w:val="61"/>
        </w:numPr>
      </w:pPr>
      <w:r>
        <w:rPr>
          <w:rFonts w:cs="Arial" w:hint="cs"/>
          <w:rtl/>
        </w:rPr>
        <w:t>רי"ף</w:t>
      </w:r>
      <w:r w:rsidR="001C7549">
        <w:rPr>
          <w:rFonts w:cs="Arial" w:hint="cs"/>
          <w:sz w:val="16"/>
          <w:szCs w:val="16"/>
          <w:rtl/>
        </w:rPr>
        <w:t xml:space="preserve"> (כ.)</w:t>
      </w:r>
      <w:r>
        <w:rPr>
          <w:rFonts w:cs="Arial" w:hint="cs"/>
          <w:rtl/>
        </w:rPr>
        <w:t xml:space="preserve"> רמב"ם </w:t>
      </w:r>
      <w:r w:rsidR="001C7549">
        <w:rPr>
          <w:rFonts w:cs="Arial" w:hint="cs"/>
          <w:sz w:val="16"/>
          <w:szCs w:val="16"/>
          <w:rtl/>
        </w:rPr>
        <w:t>(פי"ח</w:t>
      </w:r>
      <w:r w:rsidR="00526353">
        <w:rPr>
          <w:rFonts w:cs="Arial" w:hint="cs"/>
          <w:sz w:val="16"/>
          <w:szCs w:val="16"/>
          <w:rtl/>
        </w:rPr>
        <w:t xml:space="preserve"> מהל' אישות</w:t>
      </w:r>
      <w:r w:rsidR="001C7549">
        <w:rPr>
          <w:rFonts w:cs="Arial" w:hint="cs"/>
          <w:sz w:val="16"/>
          <w:szCs w:val="16"/>
          <w:rtl/>
        </w:rPr>
        <w:t xml:space="preserve">) </w:t>
      </w:r>
      <w:r>
        <w:rPr>
          <w:rFonts w:cs="Arial" w:hint="cs"/>
          <w:rtl/>
        </w:rPr>
        <w:t xml:space="preserve">רא"ש </w:t>
      </w:r>
      <w:r w:rsidR="00526353">
        <w:rPr>
          <w:rFonts w:cs="Arial" w:hint="cs"/>
          <w:sz w:val="16"/>
          <w:szCs w:val="16"/>
          <w:rtl/>
        </w:rPr>
        <w:t xml:space="preserve">(שם) </w:t>
      </w:r>
      <w:r w:rsidR="00526353">
        <w:rPr>
          <w:rFonts w:cs="Arial" w:hint="cs"/>
          <w:rtl/>
        </w:rPr>
        <w:t>ו</w:t>
      </w:r>
      <w:r w:rsidR="00392DBB">
        <w:rPr>
          <w:rFonts w:cs="Arial" w:hint="cs"/>
          <w:rtl/>
        </w:rPr>
        <w:t xml:space="preserve">טור- </w:t>
      </w:r>
      <w:r w:rsidR="00392DBB" w:rsidRPr="000A1431">
        <w:rPr>
          <w:rFonts w:cs="Arial"/>
          <w:rtl/>
        </w:rPr>
        <w:t xml:space="preserve">תבעוה לינשא אפילו מתפייסת </w:t>
      </w:r>
      <w:r w:rsidR="00956AC2">
        <w:rPr>
          <w:rFonts w:cs="Arial" w:hint="cs"/>
          <w:rtl/>
        </w:rPr>
        <w:t xml:space="preserve">- </w:t>
      </w:r>
      <w:r w:rsidR="00392DBB" w:rsidRPr="000A1431">
        <w:rPr>
          <w:rFonts w:cs="Arial"/>
          <w:rtl/>
        </w:rPr>
        <w:t>לא הפסידה מזונותיה</w:t>
      </w:r>
      <w:r w:rsidR="00956AC2">
        <w:rPr>
          <w:rFonts w:cs="Arial" w:hint="cs"/>
          <w:rtl/>
        </w:rPr>
        <w:t>.</w:t>
      </w:r>
      <w:r w:rsidR="00392DBB" w:rsidRPr="000A1431">
        <w:rPr>
          <w:rFonts w:cs="Arial"/>
          <w:rtl/>
        </w:rPr>
        <w:t xml:space="preserve"> וכן אם כחלה או פרכסה או זינתה </w:t>
      </w:r>
      <w:r w:rsidR="00956AC2">
        <w:rPr>
          <w:rFonts w:cs="Arial" w:hint="cs"/>
          <w:rtl/>
        </w:rPr>
        <w:t xml:space="preserve">- </w:t>
      </w:r>
      <w:r w:rsidR="00392DBB" w:rsidRPr="000A1431">
        <w:rPr>
          <w:rFonts w:cs="Arial"/>
          <w:rtl/>
        </w:rPr>
        <w:t>לא הפסידה מזונותיה</w:t>
      </w:r>
      <w:r w:rsidR="00C94812">
        <w:rPr>
          <w:rFonts w:cs="Arial" w:hint="cs"/>
          <w:rtl/>
        </w:rPr>
        <w:t xml:space="preserve"> </w:t>
      </w:r>
      <w:r w:rsidR="00526353">
        <w:rPr>
          <w:rFonts w:cs="Arial" w:hint="cs"/>
          <w:sz w:val="16"/>
          <w:szCs w:val="16"/>
          <w:rtl/>
        </w:rPr>
        <w:t>(ל' הטור)</w:t>
      </w:r>
      <w:r w:rsidR="00392DBB">
        <w:rPr>
          <w:rFonts w:cs="Arial" w:hint="cs"/>
          <w:rtl/>
        </w:rPr>
        <w:t>.</w:t>
      </w:r>
      <w:r w:rsidR="00392DBB" w:rsidRPr="000A1431">
        <w:rPr>
          <w:rFonts w:cs="Arial"/>
          <w:rtl/>
        </w:rPr>
        <w:t xml:space="preserve"> </w:t>
      </w:r>
      <w:r w:rsidR="008A2B2C" w:rsidRPr="00290018">
        <w:rPr>
          <w:rFonts w:hint="cs"/>
          <w:color w:val="E36C0A" w:themeColor="accent6" w:themeShade="BF"/>
          <w:rtl/>
        </w:rPr>
        <w:t>(וכ"</w:t>
      </w:r>
      <w:r w:rsidR="008A2B2C">
        <w:rPr>
          <w:rFonts w:hint="cs"/>
          <w:color w:val="E36C0A" w:themeColor="accent6" w:themeShade="BF"/>
          <w:rtl/>
        </w:rPr>
        <w:t>פ</w:t>
      </w:r>
      <w:r w:rsidR="008A2B2C" w:rsidRPr="00290018">
        <w:rPr>
          <w:rFonts w:hint="cs"/>
          <w:color w:val="E36C0A" w:themeColor="accent6" w:themeShade="BF"/>
          <w:rtl/>
        </w:rPr>
        <w:t xml:space="preserve"> בשו"ע</w:t>
      </w:r>
      <w:r w:rsidR="008A2B2C">
        <w:rPr>
          <w:rFonts w:hint="cs"/>
          <w:color w:val="E36C0A" w:themeColor="accent6" w:themeShade="BF"/>
          <w:rtl/>
        </w:rPr>
        <w:t>)</w:t>
      </w:r>
    </w:p>
    <w:p w14:paraId="4BCFB964" w14:textId="77777777" w:rsidR="00C94812" w:rsidRDefault="00700349" w:rsidP="009000E3">
      <w:pPr>
        <w:pStyle w:val="ab"/>
        <w:numPr>
          <w:ilvl w:val="0"/>
          <w:numId w:val="61"/>
        </w:numPr>
      </w:pPr>
      <w:r>
        <w:rPr>
          <w:rFonts w:cs="Arial" w:hint="cs"/>
          <w:rtl/>
        </w:rPr>
        <w:t>תוס'</w:t>
      </w:r>
      <w:r>
        <w:rPr>
          <w:rFonts w:cs="Arial" w:hint="cs"/>
          <w:sz w:val="16"/>
          <w:szCs w:val="16"/>
          <w:rtl/>
        </w:rPr>
        <w:t xml:space="preserve"> (נד. ד"ה לית הלכתא)</w:t>
      </w:r>
      <w:r>
        <w:rPr>
          <w:rFonts w:cs="Arial" w:hint="cs"/>
          <w:rtl/>
        </w:rPr>
        <w:t xml:space="preserve">- </w:t>
      </w:r>
      <w:r w:rsidRPr="006B3BF5">
        <w:rPr>
          <w:rFonts w:cs="Arial"/>
          <w:rtl/>
        </w:rPr>
        <w:t>תבעוה להנשא ונתפייסה - אין לה מזונות</w:t>
      </w:r>
      <w:r>
        <w:rPr>
          <w:rFonts w:hint="cs"/>
          <w:rtl/>
        </w:rPr>
        <w:t>.</w:t>
      </w:r>
    </w:p>
    <w:p w14:paraId="037C91FE" w14:textId="4992464D" w:rsidR="00C94812" w:rsidRPr="00C94812" w:rsidRDefault="00C94812" w:rsidP="00C94812">
      <w:pPr>
        <w:rPr>
          <w:u w:val="single"/>
        </w:rPr>
      </w:pPr>
      <w:r w:rsidRPr="00C94812">
        <w:rPr>
          <w:rFonts w:hint="cs"/>
          <w:u w:val="single"/>
          <w:rtl/>
        </w:rPr>
        <w:t>מזונות לאחר שנתארסה:</w:t>
      </w:r>
    </w:p>
    <w:p w14:paraId="55F624A6" w14:textId="78A8160C" w:rsidR="00392DBB" w:rsidRPr="00C94C46" w:rsidRDefault="001B7CBD" w:rsidP="009000E3">
      <w:pPr>
        <w:pStyle w:val="ab"/>
        <w:numPr>
          <w:ilvl w:val="0"/>
          <w:numId w:val="61"/>
        </w:numPr>
        <w:rPr>
          <w:rtl/>
        </w:rPr>
      </w:pPr>
      <w:r>
        <w:rPr>
          <w:rFonts w:cs="Arial" w:hint="cs"/>
          <w:rtl/>
        </w:rPr>
        <w:t xml:space="preserve">רמב"ם </w:t>
      </w:r>
      <w:r>
        <w:rPr>
          <w:rFonts w:cs="Arial" w:hint="cs"/>
          <w:sz w:val="16"/>
          <w:szCs w:val="16"/>
          <w:rtl/>
        </w:rPr>
        <w:t>(פי"ח מהל' אישות ה"א)</w:t>
      </w:r>
      <w:r>
        <w:rPr>
          <w:rFonts w:hint="cs"/>
          <w:rtl/>
        </w:rPr>
        <w:t xml:space="preserve"> ו</w:t>
      </w:r>
      <w:r w:rsidR="00C94812">
        <w:rPr>
          <w:rFonts w:hint="cs"/>
          <w:rtl/>
        </w:rPr>
        <w:t xml:space="preserve">טור- </w:t>
      </w:r>
      <w:r w:rsidRPr="001B7CBD">
        <w:rPr>
          <w:rFonts w:cs="Arial"/>
          <w:rtl/>
        </w:rPr>
        <w:t>משתתארס האלמנה אבדה מזונותיה</w:t>
      </w:r>
      <w:r>
        <w:rPr>
          <w:rFonts w:cs="Arial" w:hint="cs"/>
          <w:sz w:val="16"/>
          <w:szCs w:val="16"/>
          <w:rtl/>
        </w:rPr>
        <w:t xml:space="preserve"> (ל' הרמב"ם)</w:t>
      </w:r>
      <w:r w:rsidR="008A2B2C">
        <w:rPr>
          <w:rStyle w:val="a7"/>
          <w:rFonts w:cs="Arial"/>
          <w:rtl/>
        </w:rPr>
        <w:footnoteReference w:id="1573"/>
      </w:r>
      <w:r w:rsidR="00C94812" w:rsidRPr="00C94812">
        <w:rPr>
          <w:rFonts w:cs="Arial" w:hint="cs"/>
          <w:rtl/>
        </w:rPr>
        <w:t>.</w:t>
      </w:r>
      <w:r w:rsidR="008A2B2C" w:rsidRPr="008A2B2C">
        <w:rPr>
          <w:rFonts w:hint="cs"/>
          <w:color w:val="E36C0A" w:themeColor="accent6" w:themeShade="BF"/>
          <w:rtl/>
        </w:rPr>
        <w:t xml:space="preserve"> </w:t>
      </w:r>
      <w:r w:rsidR="008A2B2C" w:rsidRPr="00290018">
        <w:rPr>
          <w:rFonts w:hint="cs"/>
          <w:color w:val="E36C0A" w:themeColor="accent6" w:themeShade="BF"/>
          <w:rtl/>
        </w:rPr>
        <w:t>(וכ"</w:t>
      </w:r>
      <w:r w:rsidR="008A2B2C">
        <w:rPr>
          <w:rFonts w:hint="cs"/>
          <w:color w:val="E36C0A" w:themeColor="accent6" w:themeShade="BF"/>
          <w:rtl/>
        </w:rPr>
        <w:t>פ</w:t>
      </w:r>
      <w:r w:rsidR="008A2B2C" w:rsidRPr="00290018">
        <w:rPr>
          <w:rFonts w:hint="cs"/>
          <w:color w:val="E36C0A" w:themeColor="accent6" w:themeShade="BF"/>
          <w:rtl/>
        </w:rPr>
        <w:t xml:space="preserve"> בשו"ע</w:t>
      </w:r>
      <w:r w:rsidR="008A2B2C">
        <w:rPr>
          <w:rFonts w:hint="cs"/>
          <w:color w:val="E36C0A" w:themeColor="accent6" w:themeShade="BF"/>
          <w:rtl/>
        </w:rPr>
        <w:t>)</w:t>
      </w:r>
    </w:p>
    <w:p w14:paraId="5EE8D616"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569E568" w14:textId="0DFD2C31" w:rsidR="00392DBB" w:rsidRDefault="00392DBB" w:rsidP="00392DBB">
      <w:pPr>
        <w:rPr>
          <w:rtl/>
        </w:rPr>
      </w:pPr>
      <w:r>
        <w:rPr>
          <w:rFonts w:cs="Arial"/>
          <w:rtl/>
        </w:rPr>
        <w:lastRenderedPageBreak/>
        <w:t xml:space="preserve">תבעוה לינשא, אפילו נתפייסה, לא הפסידה מזונותיה. וכן אם כחלה או פרכסה או זנתה, לא הפסידה מזונותיה. אבל אם נתארסה, הפסידה מזונותיה. </w:t>
      </w:r>
      <w:r w:rsidR="008A2B2C" w:rsidRPr="008A2B2C">
        <w:rPr>
          <w:rFonts w:cs="Arial" w:hint="cs"/>
          <w:sz w:val="18"/>
          <w:szCs w:val="18"/>
          <w:rtl/>
        </w:rPr>
        <w:t xml:space="preserve">[הגה] </w:t>
      </w:r>
      <w:r w:rsidRPr="008A2B2C">
        <w:rPr>
          <w:rFonts w:cs="Arial"/>
          <w:sz w:val="18"/>
          <w:szCs w:val="18"/>
          <w:rtl/>
        </w:rPr>
        <w:t xml:space="preserve">וי"א דמיד שעשתה שידוך הפסידה מזונותיה (ב"י). </w:t>
      </w:r>
    </w:p>
    <w:p w14:paraId="6A929155" w14:textId="77777777" w:rsidR="00392DBB" w:rsidRDefault="00392DBB" w:rsidP="00392DBB">
      <w:pPr>
        <w:rPr>
          <w:rtl/>
        </w:rPr>
      </w:pPr>
    </w:p>
    <w:p w14:paraId="13DE5FD2" w14:textId="5382D4C0" w:rsidR="00392DBB" w:rsidRDefault="00392DBB" w:rsidP="000F64D0">
      <w:pPr>
        <w:pStyle w:val="2"/>
        <w:rPr>
          <w:rtl/>
        </w:rPr>
      </w:pPr>
      <w:r>
        <w:rPr>
          <w:rtl/>
        </w:rPr>
        <w:t>סעיף ח</w:t>
      </w:r>
      <w:r>
        <w:rPr>
          <w:rFonts w:hint="cs"/>
          <w:rtl/>
        </w:rPr>
        <w:t>:</w:t>
      </w:r>
      <w:r w:rsidR="00B156FF">
        <w:rPr>
          <w:rFonts w:hint="cs"/>
          <w:rtl/>
        </w:rPr>
        <w:t xml:space="preserve"> מכרה/</w:t>
      </w:r>
      <w:r w:rsidR="00D96CFD">
        <w:rPr>
          <w:rFonts w:hint="cs"/>
          <w:rtl/>
        </w:rPr>
        <w:t>משכנה כתובתה</w:t>
      </w:r>
      <w:r w:rsidR="00B25CC1">
        <w:rPr>
          <w:rFonts w:hint="cs"/>
          <w:rtl/>
        </w:rPr>
        <w:t>, או שעשתה כתובתה אפותיקי</w:t>
      </w:r>
      <w:r w:rsidR="00D96CFD">
        <w:rPr>
          <w:rFonts w:hint="cs"/>
          <w:rtl/>
        </w:rPr>
        <w:t>.</w:t>
      </w:r>
    </w:p>
    <w:p w14:paraId="34FC0EC0" w14:textId="77777777" w:rsidR="00420937" w:rsidRDefault="00420937" w:rsidP="00420937">
      <w:pPr>
        <w:rPr>
          <w:rFonts w:cs="Arial"/>
          <w:rtl/>
        </w:rPr>
      </w:pPr>
      <w:r w:rsidRPr="00CC415A">
        <w:rPr>
          <w:rFonts w:cs="Arial" w:hint="cs"/>
          <w:b/>
          <w:bCs/>
          <w:rtl/>
        </w:rPr>
        <w:t xml:space="preserve">כתובות </w:t>
      </w:r>
      <w:r w:rsidRPr="00CC415A">
        <w:rPr>
          <w:rFonts w:cs="Arial" w:hint="cs"/>
          <w:b/>
          <w:bCs/>
          <w:sz w:val="16"/>
          <w:szCs w:val="16"/>
          <w:rtl/>
        </w:rPr>
        <w:t>(</w:t>
      </w:r>
      <w:r w:rsidRPr="00CC415A">
        <w:rPr>
          <w:rFonts w:cs="Arial"/>
          <w:b/>
          <w:bCs/>
          <w:sz w:val="16"/>
          <w:szCs w:val="16"/>
          <w:rtl/>
        </w:rPr>
        <w:t>ס</w:t>
      </w:r>
      <w:r w:rsidRPr="00CC415A">
        <w:rPr>
          <w:rFonts w:cs="Arial" w:hint="cs"/>
          <w:b/>
          <w:bCs/>
          <w:sz w:val="16"/>
          <w:szCs w:val="16"/>
          <w:rtl/>
        </w:rPr>
        <w:t>"</w:t>
      </w:r>
      <w:r w:rsidRPr="00CC415A">
        <w:rPr>
          <w:rFonts w:cs="Arial"/>
          <w:b/>
          <w:bCs/>
          <w:sz w:val="16"/>
          <w:szCs w:val="16"/>
          <w:rtl/>
        </w:rPr>
        <w:t>פ נערה שנתפתתה</w:t>
      </w:r>
      <w:r w:rsidRPr="00CC415A">
        <w:rPr>
          <w:rFonts w:cs="Arial" w:hint="cs"/>
          <w:b/>
          <w:bCs/>
          <w:sz w:val="16"/>
          <w:szCs w:val="16"/>
          <w:rtl/>
        </w:rPr>
        <w:t>)</w:t>
      </w:r>
      <w:r w:rsidRPr="00CC415A">
        <w:rPr>
          <w:rFonts w:cs="Arial"/>
          <w:b/>
          <w:bCs/>
          <w:rtl/>
        </w:rPr>
        <w:t xml:space="preserve"> נד</w:t>
      </w:r>
      <w:r w:rsidRPr="00CC415A">
        <w:rPr>
          <w:rFonts w:cs="Arial" w:hint="cs"/>
          <w:b/>
          <w:bCs/>
          <w:rtl/>
        </w:rPr>
        <w:t xml:space="preserve"> ע"א:</w:t>
      </w:r>
      <w:r>
        <w:rPr>
          <w:rFonts w:cs="Arial" w:hint="cs"/>
          <w:rtl/>
        </w:rPr>
        <w:t xml:space="preserve"> </w:t>
      </w:r>
      <w:r w:rsidRPr="00D87B37">
        <w:rPr>
          <w:rFonts w:cs="Arial"/>
          <w:rtl/>
        </w:rPr>
        <w:t>והתניא: מכרה כתובתה, ומשכנה כתובתה, עשתה כתובתה אפותיקי</w:t>
      </w:r>
      <w:r>
        <w:rPr>
          <w:rStyle w:val="a7"/>
          <w:rFonts w:cs="Arial"/>
          <w:rtl/>
        </w:rPr>
        <w:footnoteReference w:id="1574"/>
      </w:r>
      <w:r w:rsidRPr="00D87B37">
        <w:rPr>
          <w:rFonts w:cs="Arial"/>
          <w:rtl/>
        </w:rPr>
        <w:t xml:space="preserve"> לאחר - אין לה מזונות; הני אין, אבל תובעת לא! הני בין בבית דין בין שלא בבית דין, תובעת - בבית דין אין, שלא בב"ד לא. </w:t>
      </w:r>
    </w:p>
    <w:p w14:paraId="617D36FD" w14:textId="5DE75FF9" w:rsidR="008A2B2C" w:rsidRPr="00D96CFD" w:rsidRDefault="00B25CC1" w:rsidP="00B25CC1">
      <w:pPr>
        <w:rPr>
          <w:u w:val="single"/>
          <w:rtl/>
        </w:rPr>
      </w:pPr>
      <w:r w:rsidRPr="00B25CC1">
        <w:rPr>
          <w:rFonts w:hint="cs"/>
          <w:u w:val="single"/>
          <w:rtl/>
        </w:rPr>
        <w:t>מכרה/משכנה כתובתה, או שעשתה כתובתה אפותיקי</w:t>
      </w:r>
      <w:r w:rsidR="00D96CFD" w:rsidRPr="00D96CFD">
        <w:rPr>
          <w:rFonts w:hint="cs"/>
          <w:u w:val="single"/>
          <w:rtl/>
        </w:rPr>
        <w:t>:</w:t>
      </w:r>
    </w:p>
    <w:p w14:paraId="60969B32" w14:textId="61E57019" w:rsidR="00CF594F" w:rsidRPr="00CF594F" w:rsidRDefault="00CF594F" w:rsidP="009000E3">
      <w:pPr>
        <w:pStyle w:val="ab"/>
        <w:numPr>
          <w:ilvl w:val="0"/>
          <w:numId w:val="61"/>
        </w:numPr>
      </w:pPr>
      <w:r>
        <w:rPr>
          <w:rFonts w:cs="Arial" w:hint="cs"/>
          <w:rtl/>
        </w:rPr>
        <w:t xml:space="preserve">רמב"ם </w:t>
      </w:r>
      <w:r>
        <w:rPr>
          <w:rFonts w:cs="Arial" w:hint="cs"/>
          <w:sz w:val="16"/>
          <w:szCs w:val="16"/>
          <w:rtl/>
        </w:rPr>
        <w:t>(פי"ח מהל' אישות ה"א)</w:t>
      </w:r>
      <w:r>
        <w:rPr>
          <w:rFonts w:cs="Arial" w:hint="cs"/>
          <w:rtl/>
        </w:rPr>
        <w:t xml:space="preserve"> ו</w:t>
      </w:r>
      <w:r w:rsidR="00392DBB">
        <w:rPr>
          <w:rFonts w:cs="Arial" w:hint="cs"/>
          <w:rtl/>
        </w:rPr>
        <w:t>טור</w:t>
      </w:r>
      <w:r>
        <w:rPr>
          <w:rFonts w:cs="Arial" w:hint="cs"/>
          <w:sz w:val="16"/>
          <w:szCs w:val="16"/>
          <w:rtl/>
        </w:rPr>
        <w:t xml:space="preserve"> (כאן ובסע' י)</w:t>
      </w:r>
      <w:r w:rsidR="00392DBB">
        <w:rPr>
          <w:rFonts w:cs="Arial" w:hint="cs"/>
          <w:rtl/>
        </w:rPr>
        <w:t xml:space="preserve">- </w:t>
      </w:r>
      <w:r w:rsidRPr="00CF594F">
        <w:rPr>
          <w:rFonts w:cs="Arial"/>
          <w:rtl/>
        </w:rPr>
        <w:t>אם מכרה כתובתה כולה או משכנה כתובתה</w:t>
      </w:r>
      <w:r>
        <w:rPr>
          <w:rFonts w:cs="Arial" w:hint="cs"/>
          <w:rtl/>
        </w:rPr>
        <w:t>,</w:t>
      </w:r>
      <w:r w:rsidRPr="00CF594F">
        <w:rPr>
          <w:rFonts w:cs="Arial"/>
          <w:rtl/>
        </w:rPr>
        <w:t xml:space="preserve"> או עשתה כתובתה אפותיקי לאחר והוא שתאמר לו פה תקנה חובך</w:t>
      </w:r>
      <w:r>
        <w:rPr>
          <w:rFonts w:cs="Arial" w:hint="cs"/>
          <w:rtl/>
        </w:rPr>
        <w:t>,</w:t>
      </w:r>
      <w:r w:rsidRPr="00CF594F">
        <w:rPr>
          <w:rFonts w:cs="Arial"/>
          <w:rtl/>
        </w:rPr>
        <w:t xml:space="preserve"> בין שעשת דברים אלו בבית דין מומחין בין שלא בבית דין</w:t>
      </w:r>
      <w:r>
        <w:rPr>
          <w:rFonts w:cs="Arial" w:hint="cs"/>
          <w:rtl/>
        </w:rPr>
        <w:t>,</w:t>
      </w:r>
      <w:r w:rsidRPr="00CF594F">
        <w:rPr>
          <w:rFonts w:cs="Arial"/>
          <w:rtl/>
        </w:rPr>
        <w:t xml:space="preserve"> בין שעשת בחיי בעלה בין שעשת לאחר מיתת בעלה </w:t>
      </w:r>
      <w:r>
        <w:rPr>
          <w:rFonts w:cs="Arial" w:hint="cs"/>
          <w:rtl/>
        </w:rPr>
        <w:t xml:space="preserve">- </w:t>
      </w:r>
      <w:r w:rsidRPr="00CF594F">
        <w:rPr>
          <w:rFonts w:cs="Arial"/>
          <w:rtl/>
        </w:rPr>
        <w:t>אין לה מזונות מן היורשים</w:t>
      </w:r>
      <w:r>
        <w:rPr>
          <w:rFonts w:cs="Arial" w:hint="cs"/>
          <w:rtl/>
        </w:rPr>
        <w:t>.</w:t>
      </w:r>
      <w:r w:rsidRPr="00CF594F">
        <w:rPr>
          <w:rFonts w:cs="Arial"/>
          <w:rtl/>
        </w:rPr>
        <w:t xml:space="preserve"> אבל אם מכרה מקצתה יש לה מזונות</w:t>
      </w:r>
      <w:r>
        <w:rPr>
          <w:rFonts w:cs="Arial" w:hint="cs"/>
          <w:sz w:val="16"/>
          <w:szCs w:val="16"/>
          <w:rtl/>
        </w:rPr>
        <w:t xml:space="preserve"> (ל' הרמב"ם)</w:t>
      </w:r>
      <w:r>
        <w:rPr>
          <w:rFonts w:cs="Arial" w:hint="cs"/>
          <w:rtl/>
        </w:rPr>
        <w:t>.</w:t>
      </w:r>
      <w:r w:rsidRPr="00CF594F">
        <w:rPr>
          <w:rFonts w:cs="Arial"/>
          <w:rtl/>
        </w:rPr>
        <w:t xml:space="preserve"> </w:t>
      </w:r>
      <w:r w:rsidR="00D96CFD" w:rsidRPr="00D96CFD">
        <w:rPr>
          <w:rFonts w:hint="cs"/>
          <w:color w:val="E36C0A" w:themeColor="accent6" w:themeShade="BF"/>
          <w:rtl/>
        </w:rPr>
        <w:t>(וכ"פ בשו"ע</w:t>
      </w:r>
      <w:r w:rsidR="00D96CFD" w:rsidRPr="00D96CFD">
        <w:rPr>
          <w:rFonts w:hint="cs"/>
          <w:color w:val="E36C0A" w:themeColor="accent6" w:themeShade="BF"/>
          <w:sz w:val="16"/>
          <w:szCs w:val="16"/>
          <w:rtl/>
        </w:rPr>
        <w:t xml:space="preserve"> </w:t>
      </w:r>
      <w:r w:rsidR="00D96CFD">
        <w:rPr>
          <w:rFonts w:hint="cs"/>
          <w:sz w:val="16"/>
          <w:szCs w:val="16"/>
          <w:rtl/>
        </w:rPr>
        <w:t>[כאן ובסע' י]</w:t>
      </w:r>
      <w:r w:rsidR="00D96CFD" w:rsidRPr="00D96CFD">
        <w:rPr>
          <w:rFonts w:hint="cs"/>
          <w:color w:val="E36C0A" w:themeColor="accent6" w:themeShade="BF"/>
          <w:rtl/>
        </w:rPr>
        <w:t>)</w:t>
      </w:r>
    </w:p>
    <w:p w14:paraId="0EA41B4B"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8B7C843" w14:textId="640FE33C" w:rsidR="00392DBB" w:rsidRDefault="00392DBB" w:rsidP="00392DBB">
      <w:pPr>
        <w:rPr>
          <w:rFonts w:cs="Arial"/>
          <w:rtl/>
        </w:rPr>
      </w:pPr>
      <w:r>
        <w:rPr>
          <w:rFonts w:cs="Arial"/>
          <w:rtl/>
        </w:rPr>
        <w:t>מכרה כתובתה כולה או משכנה או עשתה אפותיקי לאחר, בין שעשתה דברים אלו בפני ב</w:t>
      </w:r>
      <w:r w:rsidR="00CF594F">
        <w:rPr>
          <w:rFonts w:cs="Arial" w:hint="cs"/>
          <w:rtl/>
        </w:rPr>
        <w:t>ית דין</w:t>
      </w:r>
      <w:r>
        <w:rPr>
          <w:rFonts w:cs="Arial"/>
          <w:rtl/>
        </w:rPr>
        <w:t xml:space="preserve"> מומחין בין בפני </w:t>
      </w:r>
      <w:r w:rsidR="00243F7C">
        <w:rPr>
          <w:rFonts w:cs="Arial" w:hint="cs"/>
          <w:rtl/>
        </w:rPr>
        <w:t>שלשה</w:t>
      </w:r>
      <w:r>
        <w:rPr>
          <w:rFonts w:cs="Arial"/>
          <w:rtl/>
        </w:rPr>
        <w:t xml:space="preserve"> נאמנים, בין שעשתה בחיי בעלה בין שעשתה לאחר מיתת בעלה, אין לה מזונות מהיורשים.</w:t>
      </w:r>
    </w:p>
    <w:p w14:paraId="4D8A9F23" w14:textId="77777777" w:rsidR="00392DBB" w:rsidRDefault="00392DBB" w:rsidP="00392DBB">
      <w:pPr>
        <w:rPr>
          <w:rtl/>
        </w:rPr>
      </w:pPr>
      <w:r>
        <w:rPr>
          <w:rFonts w:cs="Arial"/>
          <w:rtl/>
        </w:rPr>
        <w:t xml:space="preserve"> </w:t>
      </w:r>
    </w:p>
    <w:p w14:paraId="5A07D1A9" w14:textId="2583F8EF" w:rsidR="00392DBB" w:rsidRDefault="00392DBB" w:rsidP="000F64D0">
      <w:pPr>
        <w:pStyle w:val="2"/>
        <w:rPr>
          <w:rtl/>
        </w:rPr>
      </w:pPr>
      <w:r>
        <w:rPr>
          <w:rtl/>
        </w:rPr>
        <w:t>סעיף ט</w:t>
      </w:r>
      <w:r>
        <w:rPr>
          <w:rFonts w:hint="cs"/>
          <w:rtl/>
        </w:rPr>
        <w:t>:</w:t>
      </w:r>
      <w:r w:rsidR="00F10F69">
        <w:rPr>
          <w:rFonts w:hint="cs"/>
          <w:rtl/>
        </w:rPr>
        <w:t xml:space="preserve"> מחלה כתובתה לבעלה.</w:t>
      </w:r>
    </w:p>
    <w:p w14:paraId="52F1B40D" w14:textId="275A1978" w:rsidR="007C347F" w:rsidRPr="007C347F" w:rsidRDefault="007C347F" w:rsidP="007C347F">
      <w:pPr>
        <w:rPr>
          <w:rtl/>
        </w:rPr>
      </w:pPr>
      <w:r w:rsidRPr="00CC415A">
        <w:rPr>
          <w:rFonts w:cs="Arial" w:hint="cs"/>
          <w:b/>
          <w:bCs/>
          <w:rtl/>
        </w:rPr>
        <w:t xml:space="preserve">כתובות </w:t>
      </w:r>
      <w:r w:rsidRPr="00CC415A">
        <w:rPr>
          <w:rFonts w:cs="Arial" w:hint="cs"/>
          <w:b/>
          <w:bCs/>
          <w:sz w:val="16"/>
          <w:szCs w:val="16"/>
          <w:rtl/>
        </w:rPr>
        <w:t>(</w:t>
      </w:r>
      <w:r w:rsidRPr="00CC415A">
        <w:rPr>
          <w:rFonts w:cs="Arial"/>
          <w:b/>
          <w:bCs/>
          <w:sz w:val="16"/>
          <w:szCs w:val="16"/>
          <w:rtl/>
        </w:rPr>
        <w:t>ס</w:t>
      </w:r>
      <w:r w:rsidRPr="00CC415A">
        <w:rPr>
          <w:rFonts w:cs="Arial" w:hint="cs"/>
          <w:b/>
          <w:bCs/>
          <w:sz w:val="16"/>
          <w:szCs w:val="16"/>
          <w:rtl/>
        </w:rPr>
        <w:t>"</w:t>
      </w:r>
      <w:r w:rsidRPr="00CC415A">
        <w:rPr>
          <w:rFonts w:cs="Arial"/>
          <w:b/>
          <w:bCs/>
          <w:sz w:val="16"/>
          <w:szCs w:val="16"/>
          <w:rtl/>
        </w:rPr>
        <w:t>פ נערה שנתפתתה</w:t>
      </w:r>
      <w:r w:rsidRPr="00CC415A">
        <w:rPr>
          <w:rFonts w:cs="Arial" w:hint="cs"/>
          <w:b/>
          <w:bCs/>
          <w:sz w:val="16"/>
          <w:szCs w:val="16"/>
          <w:rtl/>
        </w:rPr>
        <w:t>)</w:t>
      </w:r>
      <w:r w:rsidRPr="00CC415A">
        <w:rPr>
          <w:rFonts w:cs="Arial"/>
          <w:b/>
          <w:bCs/>
          <w:rtl/>
        </w:rPr>
        <w:t xml:space="preserve"> נ</w:t>
      </w:r>
      <w:r>
        <w:rPr>
          <w:rFonts w:cs="Arial" w:hint="cs"/>
          <w:b/>
          <w:bCs/>
          <w:rtl/>
        </w:rPr>
        <w:t>ג</w:t>
      </w:r>
      <w:r w:rsidRPr="00CC415A">
        <w:rPr>
          <w:rFonts w:cs="Arial" w:hint="cs"/>
          <w:b/>
          <w:bCs/>
          <w:rtl/>
        </w:rPr>
        <w:t xml:space="preserve"> ע"א:</w:t>
      </w:r>
      <w:r>
        <w:rPr>
          <w:rFonts w:cs="Arial" w:hint="cs"/>
          <w:rtl/>
        </w:rPr>
        <w:t xml:space="preserve"> </w:t>
      </w:r>
      <w:r w:rsidRPr="007C347F">
        <w:rPr>
          <w:rFonts w:cs="Arial"/>
          <w:u w:val="single"/>
          <w:rtl/>
        </w:rPr>
        <w:t>יתיב רבין בר חנינא קמיה דרב חסדא, ויתיב וקאמר משמיה דרבי אלעזר</w:t>
      </w:r>
      <w:r w:rsidRPr="007C347F">
        <w:rPr>
          <w:rFonts w:cs="Arial"/>
          <w:rtl/>
        </w:rPr>
        <w:t xml:space="preserve">: מוחלת כתובתה לבעלה - אין לה מזונות. </w:t>
      </w:r>
      <w:r w:rsidRPr="007C347F">
        <w:rPr>
          <w:rFonts w:cs="Arial"/>
          <w:u w:val="single"/>
          <w:rtl/>
        </w:rPr>
        <w:t>אמר ליה</w:t>
      </w:r>
      <w:r w:rsidRPr="007C347F">
        <w:rPr>
          <w:rFonts w:cs="Arial"/>
          <w:rtl/>
        </w:rPr>
        <w:t>: אי לאו דקאמרת לי משמיה דגברא רבא, הוה אמינא לך: משיב רעה תחת טובה לא תמוש רעה מביתו.</w:t>
      </w:r>
      <w:r w:rsidR="00505A35" w:rsidRPr="00505A35">
        <w:rPr>
          <w:rFonts w:cs="Arial" w:hint="cs"/>
          <w:sz w:val="16"/>
          <w:szCs w:val="16"/>
          <w:rtl/>
        </w:rPr>
        <w:t xml:space="preserve"> (</w:t>
      </w:r>
      <w:r w:rsidR="00505A35" w:rsidRPr="00505A35">
        <w:rPr>
          <w:rFonts w:cs="Arial"/>
          <w:sz w:val="16"/>
          <w:szCs w:val="16"/>
          <w:rtl/>
        </w:rPr>
        <w:t>ואע</w:t>
      </w:r>
      <w:r w:rsidR="00505A35" w:rsidRPr="00505A35">
        <w:rPr>
          <w:rFonts w:cs="Arial" w:hint="cs"/>
          <w:sz w:val="16"/>
          <w:szCs w:val="16"/>
          <w:rtl/>
        </w:rPr>
        <w:t>"</w:t>
      </w:r>
      <w:r w:rsidR="00505A35" w:rsidRPr="00505A35">
        <w:rPr>
          <w:rFonts w:cs="Arial"/>
          <w:sz w:val="16"/>
          <w:szCs w:val="16"/>
          <w:rtl/>
        </w:rPr>
        <w:t>פ שכתבו הר"ן (יט: ד"ה מוחלת) והה</w:t>
      </w:r>
      <w:r w:rsidR="00505A35" w:rsidRPr="00505A35">
        <w:rPr>
          <w:rFonts w:cs="Arial" w:hint="cs"/>
          <w:sz w:val="16"/>
          <w:szCs w:val="16"/>
          <w:rtl/>
        </w:rPr>
        <w:t>"</w:t>
      </w:r>
      <w:r w:rsidR="00505A35" w:rsidRPr="00505A35">
        <w:rPr>
          <w:rFonts w:cs="Arial"/>
          <w:sz w:val="16"/>
          <w:szCs w:val="16"/>
          <w:rtl/>
        </w:rPr>
        <w:t>מ (פי"ז הי"ט) שיש פוסקים כרב חסדא דמוחלת כתובתה יש לה מזונות</w:t>
      </w:r>
      <w:r w:rsidR="00505A35" w:rsidRPr="00505A35">
        <w:rPr>
          <w:rFonts w:cs="Arial" w:hint="cs"/>
          <w:sz w:val="16"/>
          <w:szCs w:val="16"/>
          <w:rtl/>
        </w:rPr>
        <w:t>,</w:t>
      </w:r>
      <w:r w:rsidR="00505A35" w:rsidRPr="00505A35">
        <w:rPr>
          <w:rFonts w:cs="Arial"/>
          <w:sz w:val="16"/>
          <w:szCs w:val="16"/>
          <w:rtl/>
        </w:rPr>
        <w:t xml:space="preserve"> הרמב"ם בפי"ח מהל</w:t>
      </w:r>
      <w:r w:rsidR="00505A35" w:rsidRPr="00505A35">
        <w:rPr>
          <w:rFonts w:cs="Arial" w:hint="cs"/>
          <w:sz w:val="16"/>
          <w:szCs w:val="16"/>
          <w:rtl/>
        </w:rPr>
        <w:t>'</w:t>
      </w:r>
      <w:r w:rsidR="00505A35" w:rsidRPr="00505A35">
        <w:rPr>
          <w:rFonts w:cs="Arial"/>
          <w:sz w:val="16"/>
          <w:szCs w:val="16"/>
          <w:rtl/>
        </w:rPr>
        <w:t xml:space="preserve"> אישות (הכ"ג) פסק כרבי אלעזר</w:t>
      </w:r>
      <w:r w:rsidR="00505A35" w:rsidRPr="00505A35">
        <w:rPr>
          <w:rFonts w:cs="Arial" w:hint="cs"/>
          <w:sz w:val="16"/>
          <w:szCs w:val="16"/>
          <w:rtl/>
        </w:rPr>
        <w:t>.</w:t>
      </w:r>
      <w:r w:rsidR="00505A35" w:rsidRPr="00505A35">
        <w:rPr>
          <w:rFonts w:cs="Arial"/>
          <w:sz w:val="16"/>
          <w:szCs w:val="16"/>
          <w:rtl/>
        </w:rPr>
        <w:t xml:space="preserve"> וכתב הה</w:t>
      </w:r>
      <w:r w:rsidR="00505A35" w:rsidRPr="00505A35">
        <w:rPr>
          <w:rFonts w:cs="Arial" w:hint="cs"/>
          <w:sz w:val="16"/>
          <w:szCs w:val="16"/>
          <w:rtl/>
        </w:rPr>
        <w:t>"</w:t>
      </w:r>
      <w:r w:rsidR="00505A35" w:rsidRPr="00505A35">
        <w:rPr>
          <w:rFonts w:cs="Arial"/>
          <w:sz w:val="16"/>
          <w:szCs w:val="16"/>
          <w:rtl/>
        </w:rPr>
        <w:t>מ (פי"ז שם) דטעמא משום דהא רב חסדא גופיה לא אמרה דוקא אלא באי לאו</w:t>
      </w:r>
      <w:r w:rsidR="00505A35" w:rsidRPr="00505A35">
        <w:rPr>
          <w:rFonts w:cs="Arial" w:hint="cs"/>
          <w:sz w:val="16"/>
          <w:szCs w:val="16"/>
          <w:rtl/>
        </w:rPr>
        <w:t>,</w:t>
      </w:r>
      <w:r w:rsidR="00505A35" w:rsidRPr="00505A35">
        <w:rPr>
          <w:rFonts w:cs="Arial"/>
          <w:sz w:val="16"/>
          <w:szCs w:val="16"/>
          <w:rtl/>
        </w:rPr>
        <w:t xml:space="preserve"> ובדרך דחיה</w:t>
      </w:r>
      <w:r w:rsidR="009B508F">
        <w:rPr>
          <w:rFonts w:cs="Arial" w:hint="cs"/>
          <w:sz w:val="16"/>
          <w:szCs w:val="16"/>
          <w:rtl/>
        </w:rPr>
        <w:t>.</w:t>
      </w:r>
      <w:r w:rsidR="00505A35" w:rsidRPr="00505A35">
        <w:rPr>
          <w:rFonts w:cs="Arial"/>
          <w:sz w:val="16"/>
          <w:szCs w:val="16"/>
          <w:rtl/>
        </w:rPr>
        <w:t xml:space="preserve"> ועוד דאפילו פליגי בהדיא דילמא הלכה כרבי אלעזר לגבי רב חסדא. וכן נראה שהוא דעת הרי"ף (יט:) והרא"ש (סי' כד)</w:t>
      </w:r>
      <w:r w:rsidR="00505A35" w:rsidRPr="00505A35">
        <w:rPr>
          <w:rFonts w:cs="Arial" w:hint="cs"/>
          <w:sz w:val="16"/>
          <w:szCs w:val="16"/>
          <w:rtl/>
        </w:rPr>
        <w:t>.</w:t>
      </w:r>
      <w:r w:rsidR="00505A35" w:rsidRPr="00505A35">
        <w:rPr>
          <w:rFonts w:cs="Arial"/>
          <w:sz w:val="16"/>
          <w:szCs w:val="16"/>
          <w:rtl/>
        </w:rPr>
        <w:t xml:space="preserve"> וגם הר"ן (שם) כתב שדברי הרמב"ם נראה עיקר</w:t>
      </w:r>
      <w:r w:rsidR="00505A35" w:rsidRPr="00505A35">
        <w:rPr>
          <w:rFonts w:cs="Arial" w:hint="cs"/>
          <w:sz w:val="16"/>
          <w:szCs w:val="16"/>
          <w:rtl/>
        </w:rPr>
        <w:t>, ב"י)</w:t>
      </w:r>
    </w:p>
    <w:p w14:paraId="1005505A" w14:textId="07181659" w:rsidR="00F10F69" w:rsidRPr="00F10F69" w:rsidRDefault="00F10F69" w:rsidP="00F10F69">
      <w:pPr>
        <w:rPr>
          <w:u w:val="single"/>
          <w:rtl/>
        </w:rPr>
      </w:pPr>
      <w:r w:rsidRPr="00F10F69">
        <w:rPr>
          <w:rFonts w:hint="cs"/>
          <w:u w:val="single"/>
          <w:rtl/>
        </w:rPr>
        <w:t>מחלה כתובתה לבעלה:</w:t>
      </w:r>
    </w:p>
    <w:p w14:paraId="1A56B261" w14:textId="6FE6F783" w:rsidR="008129BE" w:rsidRPr="008129BE" w:rsidRDefault="00392DBB" w:rsidP="009000E3">
      <w:pPr>
        <w:pStyle w:val="ab"/>
        <w:numPr>
          <w:ilvl w:val="0"/>
          <w:numId w:val="61"/>
        </w:numPr>
      </w:pPr>
      <w:r>
        <w:rPr>
          <w:rFonts w:cs="Arial" w:hint="cs"/>
          <w:rtl/>
        </w:rPr>
        <w:t xml:space="preserve">טור- </w:t>
      </w:r>
      <w:r w:rsidRPr="000A1431">
        <w:rPr>
          <w:rFonts w:cs="Arial"/>
          <w:rtl/>
        </w:rPr>
        <w:t>מחלה כתובתה לבעלה</w:t>
      </w:r>
      <w:r w:rsidR="009B508F">
        <w:rPr>
          <w:rFonts w:cs="Arial" w:hint="cs"/>
          <w:rtl/>
        </w:rPr>
        <w:t>,</w:t>
      </w:r>
      <w:r w:rsidR="00B25CC1">
        <w:rPr>
          <w:rFonts w:cs="Arial" w:hint="cs"/>
          <w:rtl/>
        </w:rPr>
        <w:t xml:space="preserve"> </w:t>
      </w:r>
      <w:r w:rsidRPr="000A1431">
        <w:rPr>
          <w:rFonts w:cs="Arial"/>
          <w:rtl/>
        </w:rPr>
        <w:t>הפסידה מזונותיה</w:t>
      </w:r>
      <w:r w:rsidR="00B25CC1">
        <w:rPr>
          <w:rFonts w:cs="Arial" w:hint="cs"/>
          <w:rtl/>
        </w:rPr>
        <w:t>.</w:t>
      </w:r>
      <w:r w:rsidRPr="000A1431">
        <w:rPr>
          <w:rFonts w:cs="Arial"/>
          <w:rtl/>
        </w:rPr>
        <w:t xml:space="preserve"> </w:t>
      </w:r>
      <w:r w:rsidR="00902604" w:rsidRPr="00D96CFD">
        <w:rPr>
          <w:rFonts w:hint="cs"/>
          <w:color w:val="E36C0A" w:themeColor="accent6" w:themeShade="BF"/>
          <w:rtl/>
        </w:rPr>
        <w:t>(וכ"פ בשו"ע</w:t>
      </w:r>
      <w:r w:rsidR="00902604">
        <w:rPr>
          <w:rFonts w:hint="cs"/>
          <w:color w:val="E36C0A" w:themeColor="accent6" w:themeShade="BF"/>
          <w:rtl/>
        </w:rPr>
        <w:t>)</w:t>
      </w:r>
    </w:p>
    <w:p w14:paraId="7BE3F27C" w14:textId="7B34DD36" w:rsidR="008129BE" w:rsidRPr="008129BE" w:rsidRDefault="008129BE" w:rsidP="008129BE">
      <w:pPr>
        <w:ind w:left="360"/>
        <w:rPr>
          <w:u w:val="dotted"/>
        </w:rPr>
      </w:pPr>
      <w:r w:rsidRPr="008129BE">
        <w:rPr>
          <w:rFonts w:hint="cs"/>
          <w:u w:val="dotted"/>
          <w:rtl/>
        </w:rPr>
        <w:t>האם הפסידה מזונותיה גם בחיי בעלה:</w:t>
      </w:r>
    </w:p>
    <w:p w14:paraId="1C7604E0" w14:textId="4B7C097B" w:rsidR="0013407E" w:rsidRPr="008129BE" w:rsidRDefault="009422B4" w:rsidP="009000E3">
      <w:pPr>
        <w:pStyle w:val="ab"/>
        <w:numPr>
          <w:ilvl w:val="0"/>
          <w:numId w:val="61"/>
        </w:numPr>
      </w:pPr>
      <w:r>
        <w:rPr>
          <w:rFonts w:cs="Arial" w:hint="cs"/>
          <w:rtl/>
        </w:rPr>
        <w:t xml:space="preserve">רש"י </w:t>
      </w:r>
      <w:r>
        <w:rPr>
          <w:rFonts w:cs="Arial" w:hint="cs"/>
          <w:sz w:val="16"/>
          <w:szCs w:val="16"/>
          <w:rtl/>
        </w:rPr>
        <w:t>(נג.</w:t>
      </w:r>
      <w:r w:rsidR="00F55724">
        <w:rPr>
          <w:rFonts w:cs="Arial" w:hint="cs"/>
          <w:sz w:val="16"/>
          <w:szCs w:val="16"/>
          <w:rtl/>
        </w:rPr>
        <w:t xml:space="preserve"> ד"ה אין לה</w:t>
      </w:r>
      <w:r>
        <w:rPr>
          <w:rFonts w:cs="Arial" w:hint="cs"/>
          <w:sz w:val="16"/>
          <w:szCs w:val="16"/>
          <w:rtl/>
        </w:rPr>
        <w:t xml:space="preserve">) </w:t>
      </w:r>
      <w:r w:rsidR="00902604">
        <w:rPr>
          <w:rFonts w:cs="Arial"/>
          <w:rtl/>
        </w:rPr>
        <w:t xml:space="preserve">רמב"ן </w:t>
      </w:r>
      <w:r w:rsidR="00902604" w:rsidRPr="00902604">
        <w:rPr>
          <w:rFonts w:cs="Arial"/>
          <w:sz w:val="16"/>
          <w:szCs w:val="16"/>
          <w:rtl/>
        </w:rPr>
        <w:t>(נג. ד"ה מוכרת)</w:t>
      </w:r>
      <w:r w:rsidR="00902604">
        <w:rPr>
          <w:rFonts w:cs="Arial"/>
          <w:rtl/>
        </w:rPr>
        <w:t xml:space="preserve"> רשב"א </w:t>
      </w:r>
      <w:r w:rsidR="00902604" w:rsidRPr="00902604">
        <w:rPr>
          <w:rFonts w:cs="Arial"/>
          <w:sz w:val="16"/>
          <w:szCs w:val="16"/>
          <w:rtl/>
        </w:rPr>
        <w:t xml:space="preserve">(נג. ד"ה הא) </w:t>
      </w:r>
      <w:r w:rsidR="008129BE">
        <w:rPr>
          <w:rFonts w:cs="Arial" w:hint="cs"/>
          <w:rtl/>
        </w:rPr>
        <w:t xml:space="preserve">רא"ש </w:t>
      </w:r>
      <w:r w:rsidR="008129BE">
        <w:rPr>
          <w:rFonts w:cs="Arial" w:hint="cs"/>
          <w:sz w:val="16"/>
          <w:szCs w:val="16"/>
          <w:rtl/>
        </w:rPr>
        <w:t>(סי' כד)</w:t>
      </w:r>
      <w:r w:rsidR="008129BE">
        <w:rPr>
          <w:rFonts w:cs="Arial" w:hint="cs"/>
          <w:rtl/>
        </w:rPr>
        <w:t xml:space="preserve"> וטור- </w:t>
      </w:r>
      <w:r w:rsidR="00392DBB" w:rsidRPr="000A1431">
        <w:rPr>
          <w:rFonts w:cs="Arial"/>
          <w:rtl/>
        </w:rPr>
        <w:t>דוקא אחרי מותו הפסידה מזונותיה במחילתה</w:t>
      </w:r>
      <w:r w:rsidR="00B25CC1">
        <w:rPr>
          <w:rFonts w:cs="Arial" w:hint="cs"/>
          <w:rtl/>
        </w:rPr>
        <w:t>,</w:t>
      </w:r>
      <w:r w:rsidR="00392DBB" w:rsidRPr="000A1431">
        <w:rPr>
          <w:rFonts w:cs="Arial"/>
          <w:rtl/>
        </w:rPr>
        <w:t xml:space="preserve"> אבל בחייו ניזונת אע</w:t>
      </w:r>
      <w:r w:rsidR="00B25CC1">
        <w:rPr>
          <w:rFonts w:cs="Arial" w:hint="cs"/>
          <w:rtl/>
        </w:rPr>
        <w:t>"</w:t>
      </w:r>
      <w:r w:rsidR="00392DBB" w:rsidRPr="000A1431">
        <w:rPr>
          <w:rFonts w:cs="Arial"/>
          <w:rtl/>
        </w:rPr>
        <w:t>פ שמחלה</w:t>
      </w:r>
      <w:r w:rsidR="00902604">
        <w:rPr>
          <w:rStyle w:val="a7"/>
          <w:rFonts w:cs="Arial"/>
          <w:rtl/>
        </w:rPr>
        <w:footnoteReference w:id="1575"/>
      </w:r>
      <w:r w:rsidR="008129BE">
        <w:rPr>
          <w:rFonts w:cs="Arial" w:hint="cs"/>
          <w:sz w:val="16"/>
          <w:szCs w:val="16"/>
          <w:rtl/>
        </w:rPr>
        <w:t xml:space="preserve"> (ל' הטור)</w:t>
      </w:r>
      <w:r w:rsidR="00392DBB">
        <w:rPr>
          <w:rFonts w:cs="Arial" w:hint="cs"/>
          <w:rtl/>
        </w:rPr>
        <w:t>.</w:t>
      </w:r>
      <w:r w:rsidR="00392DBB" w:rsidRPr="000A1431">
        <w:rPr>
          <w:rFonts w:cs="Arial"/>
          <w:rtl/>
        </w:rPr>
        <w:t xml:space="preserve"> </w:t>
      </w:r>
      <w:r w:rsidR="00902604" w:rsidRPr="00D96CFD">
        <w:rPr>
          <w:rFonts w:hint="cs"/>
          <w:color w:val="E36C0A" w:themeColor="accent6" w:themeShade="BF"/>
          <w:rtl/>
        </w:rPr>
        <w:t>(וכ"</w:t>
      </w:r>
      <w:r w:rsidR="00902604">
        <w:rPr>
          <w:rFonts w:hint="cs"/>
          <w:color w:val="E36C0A" w:themeColor="accent6" w:themeShade="BF"/>
          <w:rtl/>
        </w:rPr>
        <w:t>ס</w:t>
      </w:r>
      <w:r w:rsidR="00902604" w:rsidRPr="00D96CFD">
        <w:rPr>
          <w:rFonts w:hint="cs"/>
          <w:color w:val="E36C0A" w:themeColor="accent6" w:themeShade="BF"/>
          <w:rtl/>
        </w:rPr>
        <w:t xml:space="preserve"> בשו"ע</w:t>
      </w:r>
      <w:r w:rsidR="00902604">
        <w:rPr>
          <w:rFonts w:hint="cs"/>
          <w:color w:val="E36C0A" w:themeColor="accent6" w:themeShade="BF"/>
          <w:rtl/>
        </w:rPr>
        <w:t>)</w:t>
      </w:r>
    </w:p>
    <w:p w14:paraId="42A75C92" w14:textId="309A7631" w:rsidR="008129BE" w:rsidRPr="0013407E" w:rsidRDefault="008129BE" w:rsidP="009000E3">
      <w:pPr>
        <w:pStyle w:val="ab"/>
        <w:numPr>
          <w:ilvl w:val="0"/>
          <w:numId w:val="61"/>
        </w:numPr>
      </w:pPr>
      <w:r>
        <w:rPr>
          <w:rFonts w:cs="Arial" w:hint="cs"/>
          <w:rtl/>
        </w:rPr>
        <w:t xml:space="preserve">רמב"ם </w:t>
      </w:r>
      <w:r>
        <w:rPr>
          <w:rFonts w:cs="Arial" w:hint="cs"/>
          <w:sz w:val="16"/>
          <w:szCs w:val="16"/>
          <w:rtl/>
        </w:rPr>
        <w:t>(פי"ז מהל' אישות הי"ט)</w:t>
      </w:r>
      <w:r>
        <w:rPr>
          <w:rFonts w:cs="Arial" w:hint="cs"/>
          <w:rtl/>
        </w:rPr>
        <w:t xml:space="preserve">- </w:t>
      </w:r>
      <w:r w:rsidRPr="008129BE">
        <w:rPr>
          <w:rFonts w:cs="Arial"/>
          <w:rtl/>
        </w:rPr>
        <w:t>המוחלת כתובתה לבעלה איבדה כל תנאי כתובתה ואפילו מזונות אין לה עליו</w:t>
      </w:r>
      <w:r w:rsidR="00067B0B">
        <w:rPr>
          <w:rStyle w:val="a7"/>
          <w:rFonts w:cs="Arial"/>
          <w:rtl/>
        </w:rPr>
        <w:footnoteReference w:id="1576"/>
      </w:r>
      <w:r>
        <w:rPr>
          <w:rFonts w:hint="cs"/>
          <w:rtl/>
        </w:rPr>
        <w:t>.</w:t>
      </w:r>
    </w:p>
    <w:p w14:paraId="51D350C9" w14:textId="53EE748F" w:rsidR="0013407E" w:rsidRPr="008129BE" w:rsidRDefault="0013407E" w:rsidP="008129BE">
      <w:pPr>
        <w:rPr>
          <w:u w:val="single"/>
        </w:rPr>
      </w:pPr>
      <w:r w:rsidRPr="008129BE">
        <w:rPr>
          <w:rFonts w:hint="cs"/>
          <w:u w:val="single"/>
          <w:rtl/>
        </w:rPr>
        <w:t xml:space="preserve">מחלה </w:t>
      </w:r>
      <w:r w:rsidR="008129BE" w:rsidRPr="008129BE">
        <w:rPr>
          <w:rFonts w:hint="cs"/>
          <w:u w:val="single"/>
          <w:rtl/>
        </w:rPr>
        <w:t xml:space="preserve">כתובתה </w:t>
      </w:r>
      <w:r w:rsidRPr="008129BE">
        <w:rPr>
          <w:rFonts w:hint="cs"/>
          <w:u w:val="single"/>
          <w:rtl/>
        </w:rPr>
        <w:t>לי</w:t>
      </w:r>
      <w:r w:rsidR="00104786" w:rsidRPr="008129BE">
        <w:rPr>
          <w:rFonts w:hint="cs"/>
          <w:u w:val="single"/>
          <w:rtl/>
        </w:rPr>
        <w:t>ורש</w:t>
      </w:r>
      <w:r w:rsidRPr="008129BE">
        <w:rPr>
          <w:rFonts w:hint="cs"/>
          <w:u w:val="single"/>
          <w:rtl/>
        </w:rPr>
        <w:t>ים</w:t>
      </w:r>
      <w:r w:rsidR="00104786" w:rsidRPr="008129BE">
        <w:rPr>
          <w:rFonts w:hint="cs"/>
          <w:u w:val="single"/>
          <w:rtl/>
        </w:rPr>
        <w:t>:</w:t>
      </w:r>
    </w:p>
    <w:p w14:paraId="268C1AAF" w14:textId="34F8CCA3" w:rsidR="00392DBB" w:rsidRDefault="00392DBB" w:rsidP="009000E3">
      <w:pPr>
        <w:pStyle w:val="ab"/>
        <w:numPr>
          <w:ilvl w:val="0"/>
          <w:numId w:val="61"/>
        </w:numPr>
        <w:rPr>
          <w:rtl/>
        </w:rPr>
      </w:pPr>
      <w:r w:rsidRPr="0013407E">
        <w:rPr>
          <w:rFonts w:cs="Arial"/>
          <w:rtl/>
        </w:rPr>
        <w:t xml:space="preserve">ר"ן </w:t>
      </w:r>
      <w:r w:rsidRPr="00104786">
        <w:rPr>
          <w:rFonts w:cs="Arial"/>
          <w:sz w:val="16"/>
          <w:szCs w:val="16"/>
          <w:rtl/>
        </w:rPr>
        <w:t>(נז. דיבור ראשון)</w:t>
      </w:r>
      <w:r w:rsidR="00104786">
        <w:rPr>
          <w:rFonts w:cs="Arial" w:hint="cs"/>
          <w:rtl/>
        </w:rPr>
        <w:t>-</w:t>
      </w:r>
      <w:r w:rsidR="00104786" w:rsidRPr="0013407E">
        <w:rPr>
          <w:rFonts w:cs="Arial"/>
          <w:rtl/>
        </w:rPr>
        <w:t xml:space="preserve"> </w:t>
      </w:r>
      <w:r w:rsidRPr="0013407E">
        <w:rPr>
          <w:rFonts w:cs="Arial"/>
          <w:rtl/>
        </w:rPr>
        <w:t>תנן (צז:) נתנה כתובתה לאחר לא תמכור אלא בב"ד</w:t>
      </w:r>
      <w:r w:rsidR="00104786">
        <w:rPr>
          <w:rFonts w:cs="Arial" w:hint="cs"/>
          <w:rtl/>
        </w:rPr>
        <w:t>,</w:t>
      </w:r>
      <w:r w:rsidRPr="0013407E">
        <w:rPr>
          <w:rFonts w:cs="Arial"/>
          <w:rtl/>
        </w:rPr>
        <w:t xml:space="preserve"> משמע דדוקא לאחר</w:t>
      </w:r>
      <w:r w:rsidR="00104786">
        <w:rPr>
          <w:rFonts w:cs="Arial" w:hint="cs"/>
          <w:rtl/>
        </w:rPr>
        <w:t>,</w:t>
      </w:r>
      <w:r w:rsidRPr="0013407E">
        <w:rPr>
          <w:rFonts w:cs="Arial"/>
          <w:rtl/>
        </w:rPr>
        <w:t xml:space="preserve"> אבל מחלה ליורשים יש לה מזונות</w:t>
      </w:r>
      <w:r w:rsidR="00104786">
        <w:rPr>
          <w:rFonts w:cs="Arial" w:hint="cs"/>
          <w:rtl/>
        </w:rPr>
        <w:t>,</w:t>
      </w:r>
      <w:r w:rsidRPr="0013407E">
        <w:rPr>
          <w:rFonts w:cs="Arial"/>
          <w:rtl/>
        </w:rPr>
        <w:t xml:space="preserve"> והכי איתא בירושלמי (פי"א ה"ב)</w:t>
      </w:r>
      <w:r w:rsidR="0013407E" w:rsidRPr="0013407E">
        <w:rPr>
          <w:rFonts w:cs="Arial" w:hint="cs"/>
          <w:rtl/>
        </w:rPr>
        <w:t>.</w:t>
      </w:r>
      <w:r w:rsidRPr="0013407E">
        <w:rPr>
          <w:rFonts w:cs="Arial"/>
          <w:rtl/>
        </w:rPr>
        <w:t xml:space="preserve"> אבל הרשב"א כתב דלפום גמרין לא משמע הכי</w:t>
      </w:r>
      <w:r w:rsidR="0013407E" w:rsidRPr="0013407E">
        <w:rPr>
          <w:rFonts w:cs="Arial" w:hint="cs"/>
          <w:rtl/>
        </w:rPr>
        <w:t>,</w:t>
      </w:r>
      <w:r w:rsidRPr="0013407E">
        <w:rPr>
          <w:rFonts w:cs="Arial"/>
          <w:rtl/>
        </w:rPr>
        <w:t xml:space="preserve"> ולא דמיא למוחלת כתובתה לבעלה</w:t>
      </w:r>
      <w:r w:rsidR="0013407E" w:rsidRPr="0013407E">
        <w:rPr>
          <w:rFonts w:cs="Arial" w:hint="cs"/>
          <w:rtl/>
        </w:rPr>
        <w:t>,</w:t>
      </w:r>
      <w:r w:rsidRPr="0013407E">
        <w:rPr>
          <w:rFonts w:cs="Arial"/>
          <w:rtl/>
        </w:rPr>
        <w:t xml:space="preserve"> דהתם סומכת היא עליו שלא ימנע מזונותיה ולא מחלה להו</w:t>
      </w:r>
      <w:r w:rsidR="0013407E" w:rsidRPr="0013407E">
        <w:rPr>
          <w:rFonts w:cs="Arial" w:hint="cs"/>
          <w:rtl/>
        </w:rPr>
        <w:t>,</w:t>
      </w:r>
      <w:r w:rsidRPr="0013407E">
        <w:rPr>
          <w:rFonts w:cs="Arial"/>
          <w:rtl/>
        </w:rPr>
        <w:t xml:space="preserve"> אבל מוחלת ליתומים כיון שאין לה עליהם כתובה הא איסתלקא מביתייהו לגמרי ואין לה עליהם מזונות</w:t>
      </w:r>
      <w:r w:rsidR="00104786">
        <w:rPr>
          <w:rStyle w:val="a7"/>
          <w:rFonts w:cs="Arial"/>
          <w:rtl/>
        </w:rPr>
        <w:footnoteReference w:id="1577"/>
      </w:r>
      <w:r w:rsidR="0013407E" w:rsidRPr="0013407E">
        <w:rPr>
          <w:rFonts w:cs="Arial" w:hint="cs"/>
          <w:rtl/>
        </w:rPr>
        <w:t>.</w:t>
      </w:r>
      <w:r w:rsidR="00104786">
        <w:rPr>
          <w:rFonts w:hint="cs"/>
          <w:rtl/>
        </w:rPr>
        <w:t xml:space="preserve"> (וכ"פ הב"י)</w:t>
      </w:r>
      <w:r w:rsidR="00104786">
        <w:rPr>
          <w:rFonts w:hint="cs"/>
          <w:color w:val="00B0F0"/>
          <w:rtl/>
        </w:rPr>
        <w:t xml:space="preserve"> </w:t>
      </w:r>
      <w:r w:rsidR="00104786" w:rsidRPr="00104786">
        <w:rPr>
          <w:rFonts w:hint="cs"/>
          <w:color w:val="00B0F0"/>
          <w:rtl/>
        </w:rPr>
        <w:t>(וכ"פ הרמ"א)</w:t>
      </w:r>
    </w:p>
    <w:p w14:paraId="5DEE69B4"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1E5A14EE" w14:textId="5DBB66B2" w:rsidR="00392DBB" w:rsidRDefault="00392DBB" w:rsidP="00392DBB">
      <w:pPr>
        <w:rPr>
          <w:rtl/>
        </w:rPr>
      </w:pPr>
      <w:r>
        <w:rPr>
          <w:rFonts w:cs="Arial"/>
          <w:rtl/>
        </w:rPr>
        <w:t xml:space="preserve">מחלה כתובתה לבעלה, הפסידה מזונותיה שאחר מותו, אבל בחייו יש לה מזונות. ויש מי שאומר שאף בחייו הפסידה מזונות. </w:t>
      </w:r>
      <w:r w:rsidR="00B4029C" w:rsidRPr="00B4029C">
        <w:rPr>
          <w:rFonts w:cs="Arial" w:hint="cs"/>
          <w:sz w:val="18"/>
          <w:szCs w:val="18"/>
          <w:rtl/>
        </w:rPr>
        <w:t xml:space="preserve">[הגה] </w:t>
      </w:r>
      <w:r w:rsidRPr="00B4029C">
        <w:rPr>
          <w:rFonts w:cs="Arial"/>
          <w:sz w:val="18"/>
          <w:szCs w:val="18"/>
          <w:rtl/>
        </w:rPr>
        <w:t>וכן אם מחלה ליתומים אבדה מזונותיה (</w:t>
      </w:r>
      <w:r w:rsidR="00104786">
        <w:rPr>
          <w:rFonts w:cs="Arial" w:hint="cs"/>
          <w:sz w:val="18"/>
          <w:szCs w:val="18"/>
          <w:rtl/>
        </w:rPr>
        <w:t>רשב"א וב"י</w:t>
      </w:r>
      <w:r w:rsidRPr="00B4029C">
        <w:rPr>
          <w:rFonts w:cs="Arial"/>
          <w:sz w:val="18"/>
          <w:szCs w:val="18"/>
          <w:rtl/>
        </w:rPr>
        <w:t>).</w:t>
      </w:r>
      <w:r>
        <w:rPr>
          <w:rFonts w:cs="Arial"/>
          <w:rtl/>
        </w:rPr>
        <w:t xml:space="preserve"> </w:t>
      </w:r>
    </w:p>
    <w:p w14:paraId="15E6CF7B" w14:textId="77777777" w:rsidR="00420937" w:rsidRDefault="00420937" w:rsidP="00392DBB">
      <w:pPr>
        <w:rPr>
          <w:rtl/>
        </w:rPr>
      </w:pPr>
    </w:p>
    <w:p w14:paraId="6D196E52" w14:textId="7499B701" w:rsidR="00392DBB" w:rsidRDefault="00392DBB" w:rsidP="000F64D0">
      <w:pPr>
        <w:pStyle w:val="2"/>
        <w:rPr>
          <w:rtl/>
        </w:rPr>
      </w:pPr>
      <w:r>
        <w:rPr>
          <w:rtl/>
        </w:rPr>
        <w:t>סעיף י</w:t>
      </w:r>
      <w:r>
        <w:rPr>
          <w:rFonts w:hint="cs"/>
          <w:rtl/>
        </w:rPr>
        <w:t>:</w:t>
      </w:r>
      <w:r w:rsidR="007F5688">
        <w:rPr>
          <w:rFonts w:hint="cs"/>
          <w:rtl/>
        </w:rPr>
        <w:t xml:space="preserve"> מכרה/משכנה/מחלה חלק מכתובתה.</w:t>
      </w:r>
    </w:p>
    <w:p w14:paraId="50DEA7E5" w14:textId="15DDA5ED" w:rsidR="00E82F98" w:rsidRDefault="00E82F98" w:rsidP="00E82F98">
      <w:pPr>
        <w:rPr>
          <w:rFonts w:cs="Arial"/>
          <w:rtl/>
        </w:rPr>
      </w:pPr>
      <w:r w:rsidRPr="002E5176">
        <w:rPr>
          <w:rFonts w:cs="Arial" w:hint="cs"/>
          <w:b/>
          <w:bCs/>
          <w:rtl/>
        </w:rPr>
        <w:t xml:space="preserve">כתובות </w:t>
      </w:r>
      <w:r w:rsidRPr="002E5176">
        <w:rPr>
          <w:rFonts w:cs="Arial" w:hint="cs"/>
          <w:b/>
          <w:bCs/>
          <w:sz w:val="16"/>
          <w:szCs w:val="16"/>
          <w:rtl/>
        </w:rPr>
        <w:t xml:space="preserve">(פ' אלמנה ניזונת) </w:t>
      </w:r>
      <w:r w:rsidRPr="002E5176">
        <w:rPr>
          <w:rFonts w:cs="Arial" w:hint="cs"/>
          <w:b/>
          <w:bCs/>
          <w:rtl/>
        </w:rPr>
        <w:t>צז</w:t>
      </w:r>
      <w:r w:rsidR="00EF64D5">
        <w:rPr>
          <w:rStyle w:val="a7"/>
          <w:rFonts w:cs="Arial"/>
          <w:b/>
          <w:bCs/>
          <w:rtl/>
        </w:rPr>
        <w:footnoteReference w:id="1578"/>
      </w:r>
      <w:r w:rsidRPr="002E5176">
        <w:rPr>
          <w:rFonts w:cs="Arial" w:hint="cs"/>
          <w:b/>
          <w:bCs/>
          <w:rtl/>
        </w:rPr>
        <w:t xml:space="preserve"> ע"ב:</w:t>
      </w:r>
      <w:r>
        <w:rPr>
          <w:rFonts w:cs="Arial" w:hint="cs"/>
          <w:rtl/>
        </w:rPr>
        <w:t xml:space="preserve"> </w:t>
      </w:r>
      <w:r w:rsidRPr="00FB3294">
        <w:rPr>
          <w:rFonts w:cs="Arial"/>
          <w:u w:val="double"/>
          <w:rtl/>
        </w:rPr>
        <w:t>מתני'</w:t>
      </w:r>
      <w:r w:rsidR="00FB3294">
        <w:rPr>
          <w:rFonts w:cs="Arial" w:hint="cs"/>
          <w:rtl/>
        </w:rPr>
        <w:t>:</w:t>
      </w:r>
      <w:r w:rsidRPr="002E5176">
        <w:rPr>
          <w:rFonts w:cs="Arial"/>
          <w:rtl/>
        </w:rPr>
        <w:t xml:space="preserve"> מכרה כתובתה או מקצתה, משכנה כתובתה או מקצתה, נתנה כתובתה לאחר או מקצתה - לא תמכור את השאר אלא בבית דין</w:t>
      </w:r>
      <w:r>
        <w:rPr>
          <w:rStyle w:val="a7"/>
          <w:rFonts w:cs="Arial"/>
          <w:rtl/>
        </w:rPr>
        <w:footnoteReference w:id="1579"/>
      </w:r>
      <w:r w:rsidRPr="002E5176">
        <w:rPr>
          <w:rFonts w:cs="Arial"/>
          <w:rtl/>
        </w:rPr>
        <w:t xml:space="preserve">; </w:t>
      </w:r>
      <w:r w:rsidRPr="006E2349">
        <w:rPr>
          <w:rFonts w:cs="Arial"/>
          <w:u w:val="single"/>
          <w:rtl/>
        </w:rPr>
        <w:t>וחכ"א</w:t>
      </w:r>
      <w:r w:rsidRPr="002E5176">
        <w:rPr>
          <w:rFonts w:cs="Arial"/>
          <w:rtl/>
        </w:rPr>
        <w:t>: מוכרת היא</w:t>
      </w:r>
      <w:r>
        <w:rPr>
          <w:rStyle w:val="a7"/>
          <w:rFonts w:cs="Arial"/>
          <w:rtl/>
        </w:rPr>
        <w:footnoteReference w:id="1580"/>
      </w:r>
      <w:r w:rsidRPr="002E5176">
        <w:rPr>
          <w:rFonts w:cs="Arial"/>
          <w:rtl/>
        </w:rPr>
        <w:t xml:space="preserve"> אפי' ארבעה וחמשה פעמים, ומוכרת למזונות שלא בבית דין וכותבת למזונות מכרתי</w:t>
      </w:r>
      <w:r>
        <w:rPr>
          <w:rFonts w:cs="Arial" w:hint="cs"/>
          <w:rtl/>
        </w:rPr>
        <w:t>...</w:t>
      </w:r>
      <w:r w:rsidRPr="002E5176">
        <w:rPr>
          <w:rFonts w:cs="Arial"/>
          <w:rtl/>
        </w:rPr>
        <w:t xml:space="preserve"> </w:t>
      </w:r>
      <w:r>
        <w:rPr>
          <w:rFonts w:cs="Arial" w:hint="cs"/>
          <w:rtl/>
        </w:rPr>
        <w:t xml:space="preserve">      </w:t>
      </w:r>
      <w:r w:rsidRPr="009125FB">
        <w:rPr>
          <w:rFonts w:cs="Arial"/>
          <w:u w:val="double"/>
          <w:rtl/>
        </w:rPr>
        <w:t>גמ'</w:t>
      </w:r>
      <w:r>
        <w:rPr>
          <w:rFonts w:cs="Arial" w:hint="cs"/>
          <w:rtl/>
        </w:rPr>
        <w:t>:</w:t>
      </w:r>
      <w:r w:rsidRPr="002E5176">
        <w:rPr>
          <w:rFonts w:cs="Arial"/>
          <w:rtl/>
        </w:rPr>
        <w:t xml:space="preserve"> מתניתין מני</w:t>
      </w:r>
      <w:r>
        <w:rPr>
          <w:rStyle w:val="a7"/>
          <w:rFonts w:cs="Arial"/>
          <w:rtl/>
        </w:rPr>
        <w:footnoteReference w:id="1581"/>
      </w:r>
      <w:r w:rsidRPr="002E5176">
        <w:rPr>
          <w:rFonts w:cs="Arial"/>
          <w:rtl/>
        </w:rPr>
        <w:t>? ר"ש היא; דתניא: מכרה כתובתה</w:t>
      </w:r>
      <w:r>
        <w:rPr>
          <w:rStyle w:val="a7"/>
          <w:rFonts w:cs="Arial"/>
          <w:rtl/>
        </w:rPr>
        <w:footnoteReference w:id="1582"/>
      </w:r>
      <w:r w:rsidRPr="002E5176">
        <w:rPr>
          <w:rFonts w:cs="Arial"/>
          <w:rtl/>
        </w:rPr>
        <w:t>, משכנה כתובתה, עשתה כתובתה אפותיקי לאחר - אין לה מזונות</w:t>
      </w:r>
      <w:r>
        <w:rPr>
          <w:rFonts w:cs="Arial" w:hint="cs"/>
          <w:rtl/>
        </w:rPr>
        <w:t>,</w:t>
      </w:r>
      <w:r w:rsidRPr="002E5176">
        <w:rPr>
          <w:rFonts w:cs="Arial"/>
          <w:rtl/>
        </w:rPr>
        <w:t xml:space="preserve"> </w:t>
      </w:r>
      <w:r w:rsidRPr="009125FB">
        <w:rPr>
          <w:rFonts w:cs="Arial"/>
          <w:u w:val="single"/>
          <w:rtl/>
        </w:rPr>
        <w:t>ר"ש אומר</w:t>
      </w:r>
      <w:r w:rsidRPr="002E5176">
        <w:rPr>
          <w:rFonts w:cs="Arial"/>
          <w:rtl/>
        </w:rPr>
        <w:t>: אף על פי שלא מכרה ולא משכנה כתובתה אלא מחציתה - אבדה מזונותיה. למימרא, דרבי שמעון סבר: דלא אמרי' מקצת כסף</w:t>
      </w:r>
      <w:r>
        <w:rPr>
          <w:rStyle w:val="a7"/>
          <w:rFonts w:cs="Arial"/>
          <w:rtl/>
        </w:rPr>
        <w:footnoteReference w:id="1583"/>
      </w:r>
      <w:r w:rsidRPr="002E5176">
        <w:rPr>
          <w:rFonts w:cs="Arial"/>
          <w:rtl/>
        </w:rPr>
        <w:t xml:space="preserve"> ככל כסף, ורבנן סברי: אמרי' מקצת כסף ככל כסף</w:t>
      </w:r>
      <w:r>
        <w:rPr>
          <w:rFonts w:cs="Arial" w:hint="cs"/>
          <w:rtl/>
        </w:rPr>
        <w:t>...</w:t>
      </w:r>
      <w:r w:rsidRPr="002E5176">
        <w:rPr>
          <w:rFonts w:cs="Arial"/>
          <w:rtl/>
        </w:rPr>
        <w:t xml:space="preserve"> </w:t>
      </w:r>
      <w:r>
        <w:rPr>
          <w:rFonts w:cs="Arial" w:hint="cs"/>
          <w:sz w:val="14"/>
          <w:szCs w:val="14"/>
          <w:rtl/>
        </w:rPr>
        <w:t xml:space="preserve">(צח.) </w:t>
      </w:r>
      <w:r w:rsidRPr="00F61DD6">
        <w:rPr>
          <w:rFonts w:cs="Arial"/>
          <w:rtl/>
        </w:rPr>
        <w:t xml:space="preserve">ההיא איתתא דתפסה כסא דכספא בכתובתה, קתבעה מזוני, אתאי לקמיה דרבא, אמר להו ליתמי: זילו הבו לה מזונות, לית דחש להא דר' שמעון דאמר לא אמרינן מקצת כסף ככל כסף. </w:t>
      </w:r>
    </w:p>
    <w:p w14:paraId="462D3339" w14:textId="32C7C436" w:rsidR="004C75E6" w:rsidRDefault="00FB3294" w:rsidP="00392DBB">
      <w:pPr>
        <w:rPr>
          <w:rFonts w:cs="Arial"/>
          <w:rtl/>
        </w:rPr>
      </w:pPr>
      <w:r w:rsidRPr="002E5176">
        <w:rPr>
          <w:rFonts w:cs="Arial" w:hint="cs"/>
          <w:b/>
          <w:bCs/>
          <w:rtl/>
        </w:rPr>
        <w:t xml:space="preserve">כתובות </w:t>
      </w:r>
      <w:r w:rsidRPr="002E5176">
        <w:rPr>
          <w:rFonts w:cs="Arial" w:hint="cs"/>
          <w:b/>
          <w:bCs/>
          <w:sz w:val="16"/>
          <w:szCs w:val="16"/>
          <w:rtl/>
        </w:rPr>
        <w:t>(</w:t>
      </w:r>
      <w:r>
        <w:rPr>
          <w:rFonts w:cs="Arial" w:hint="cs"/>
          <w:b/>
          <w:bCs/>
          <w:sz w:val="16"/>
          <w:szCs w:val="16"/>
          <w:rtl/>
        </w:rPr>
        <w:t>ר"פ אף על פי</w:t>
      </w:r>
      <w:r w:rsidRPr="002E5176">
        <w:rPr>
          <w:rFonts w:cs="Arial" w:hint="cs"/>
          <w:b/>
          <w:bCs/>
          <w:sz w:val="16"/>
          <w:szCs w:val="16"/>
          <w:rtl/>
        </w:rPr>
        <w:t xml:space="preserve">) </w:t>
      </w:r>
      <w:r>
        <w:rPr>
          <w:rFonts w:cs="Arial" w:hint="cs"/>
          <w:b/>
          <w:bCs/>
          <w:rtl/>
        </w:rPr>
        <w:t>נד</w:t>
      </w:r>
      <w:r w:rsidR="009771DB">
        <w:rPr>
          <w:rStyle w:val="a7"/>
          <w:rFonts w:cs="Arial"/>
          <w:b/>
          <w:bCs/>
          <w:rtl/>
        </w:rPr>
        <w:footnoteReference w:id="1584"/>
      </w:r>
      <w:r w:rsidRPr="002E5176">
        <w:rPr>
          <w:rFonts w:cs="Arial" w:hint="cs"/>
          <w:b/>
          <w:bCs/>
          <w:rtl/>
        </w:rPr>
        <w:t xml:space="preserve"> ע"ב:</w:t>
      </w:r>
      <w:r>
        <w:rPr>
          <w:rFonts w:cs="Arial" w:hint="cs"/>
          <w:rtl/>
        </w:rPr>
        <w:t xml:space="preserve"> </w:t>
      </w:r>
      <w:r w:rsidRPr="00FB3294">
        <w:rPr>
          <w:rFonts w:cs="Arial"/>
          <w:u w:val="double"/>
          <w:rtl/>
        </w:rPr>
        <w:t>מתני'</w:t>
      </w:r>
      <w:r>
        <w:rPr>
          <w:rFonts w:cs="Arial" w:hint="cs"/>
          <w:rtl/>
        </w:rPr>
        <w:t>:</w:t>
      </w:r>
      <w:r w:rsidRPr="00FB3294">
        <w:rPr>
          <w:rFonts w:cs="Arial"/>
          <w:rtl/>
        </w:rPr>
        <w:t xml:space="preserve"> אף על פי שאמרו בתולה גובה מאתים ואלמנה מנה, אם רצה להוסיף אפי' מאה מנה - יוסיף.</w:t>
      </w:r>
      <w:r>
        <w:rPr>
          <w:rFonts w:cs="Arial" w:hint="cs"/>
          <w:rtl/>
        </w:rPr>
        <w:t xml:space="preserve">..      </w:t>
      </w:r>
      <w:r w:rsidRPr="00FB3294">
        <w:rPr>
          <w:rFonts w:cs="Arial" w:hint="cs"/>
          <w:u w:val="double"/>
          <w:rtl/>
        </w:rPr>
        <w:t>גמ'</w:t>
      </w:r>
      <w:r>
        <w:rPr>
          <w:rFonts w:cs="Arial" w:hint="cs"/>
          <w:rtl/>
        </w:rPr>
        <w:t>:</w:t>
      </w:r>
      <w:r w:rsidR="004142BD" w:rsidRPr="004142BD">
        <w:rPr>
          <w:rtl/>
        </w:rPr>
        <w:t xml:space="preserve"> </w:t>
      </w:r>
      <w:r w:rsidR="004142BD" w:rsidRPr="004142BD">
        <w:rPr>
          <w:rFonts w:cs="Arial"/>
          <w:rtl/>
        </w:rPr>
        <w:t>אם רצה להוסיף כו'. רצה לכתוב לה לא קתני</w:t>
      </w:r>
      <w:r w:rsidR="00E8456E">
        <w:rPr>
          <w:rStyle w:val="a7"/>
          <w:rFonts w:cs="Arial"/>
          <w:rtl/>
        </w:rPr>
        <w:footnoteReference w:id="1585"/>
      </w:r>
      <w:r w:rsidR="008A2C96">
        <w:rPr>
          <w:rFonts w:cs="Arial" w:hint="cs"/>
          <w:rtl/>
        </w:rPr>
        <w:t>,</w:t>
      </w:r>
      <w:r w:rsidR="004142BD" w:rsidRPr="004142BD">
        <w:rPr>
          <w:rFonts w:cs="Arial"/>
          <w:rtl/>
        </w:rPr>
        <w:t xml:space="preserve"> אלא רצה להוסיף, מסייע ליה לר' איבו אמר רבי ינאי, </w:t>
      </w:r>
      <w:r w:rsidR="004142BD" w:rsidRPr="005A6DB5">
        <w:rPr>
          <w:rFonts w:cs="Arial"/>
          <w:u w:val="single"/>
          <w:rtl/>
        </w:rPr>
        <w:t>דאמר ר' איבו אמר רבי ינאי</w:t>
      </w:r>
      <w:r w:rsidR="004142BD" w:rsidRPr="004142BD">
        <w:rPr>
          <w:rFonts w:cs="Arial"/>
          <w:rtl/>
        </w:rPr>
        <w:t>: תנאי כתובה</w:t>
      </w:r>
      <w:r w:rsidR="00E8456E">
        <w:rPr>
          <w:rStyle w:val="a7"/>
          <w:rFonts w:cs="Arial"/>
          <w:rtl/>
        </w:rPr>
        <w:footnoteReference w:id="1586"/>
      </w:r>
      <w:r w:rsidR="004142BD" w:rsidRPr="004142BD">
        <w:rPr>
          <w:rFonts w:cs="Arial"/>
          <w:rtl/>
        </w:rPr>
        <w:t xml:space="preserve"> ככתובה דמי. נפקא מינה למוכרת ולמוחלת</w:t>
      </w:r>
      <w:r w:rsidR="00302D33">
        <w:rPr>
          <w:rStyle w:val="a7"/>
          <w:rFonts w:cs="Arial"/>
          <w:rtl/>
        </w:rPr>
        <w:footnoteReference w:id="1587"/>
      </w:r>
      <w:r w:rsidR="004142BD" w:rsidRPr="004142BD">
        <w:rPr>
          <w:rFonts w:cs="Arial"/>
          <w:rtl/>
        </w:rPr>
        <w:t>, למורדת, ולפוגמת, לתובעת</w:t>
      </w:r>
      <w:r w:rsidR="00302D33">
        <w:rPr>
          <w:rStyle w:val="a7"/>
          <w:rFonts w:cs="Arial"/>
          <w:rtl/>
        </w:rPr>
        <w:footnoteReference w:id="1588"/>
      </w:r>
      <w:r w:rsidR="004142BD" w:rsidRPr="004142BD">
        <w:rPr>
          <w:rFonts w:cs="Arial"/>
          <w:rtl/>
        </w:rPr>
        <w:t>, ולעוברת על דת</w:t>
      </w:r>
      <w:r w:rsidR="004142BD">
        <w:rPr>
          <w:rFonts w:cs="Arial" w:hint="cs"/>
          <w:rtl/>
        </w:rPr>
        <w:t>...</w:t>
      </w:r>
    </w:p>
    <w:p w14:paraId="518CD107" w14:textId="7CC4BDF7" w:rsidR="00FB3294" w:rsidRPr="008E183F" w:rsidRDefault="004C75E6" w:rsidP="00392DBB">
      <w:pPr>
        <w:rPr>
          <w:rFonts w:cs="Arial"/>
          <w:u w:val="single"/>
          <w:rtl/>
        </w:rPr>
      </w:pPr>
      <w:r w:rsidRPr="008E183F">
        <w:rPr>
          <w:rFonts w:cs="Arial" w:hint="cs"/>
          <w:u w:val="single"/>
          <w:rtl/>
        </w:rPr>
        <w:t xml:space="preserve">מה פירוש דברי ר' ינאי </w:t>
      </w:r>
      <w:r w:rsidR="008E183F" w:rsidRPr="008E183F">
        <w:rPr>
          <w:rFonts w:cs="Arial" w:hint="cs"/>
          <w:u w:val="single"/>
          <w:rtl/>
        </w:rPr>
        <w:t>"נ</w:t>
      </w:r>
      <w:r w:rsidR="00F4685A">
        <w:rPr>
          <w:rFonts w:cs="Arial" w:hint="cs"/>
          <w:u w:val="single"/>
          <w:rtl/>
        </w:rPr>
        <w:t>פ</w:t>
      </w:r>
      <w:r w:rsidR="008E183F" w:rsidRPr="008E183F">
        <w:rPr>
          <w:rFonts w:cs="Arial" w:hint="cs"/>
          <w:u w:val="single"/>
          <w:rtl/>
        </w:rPr>
        <w:t>קא מינה</w:t>
      </w:r>
      <w:r w:rsidR="00F4685A">
        <w:rPr>
          <w:rFonts w:cs="Arial" w:hint="cs"/>
          <w:u w:val="single"/>
          <w:rtl/>
        </w:rPr>
        <w:t>...</w:t>
      </w:r>
      <w:r w:rsidR="008E183F" w:rsidRPr="008E183F">
        <w:rPr>
          <w:rFonts w:cs="Arial" w:hint="cs"/>
          <w:u w:val="single"/>
          <w:rtl/>
        </w:rPr>
        <w:t xml:space="preserve"> לתובעת":</w:t>
      </w:r>
      <w:r w:rsidR="004142BD" w:rsidRPr="008E183F">
        <w:rPr>
          <w:rFonts w:cs="Arial"/>
          <w:u w:val="single"/>
          <w:rtl/>
        </w:rPr>
        <w:t xml:space="preserve"> </w:t>
      </w:r>
      <w:r w:rsidR="00FB3294" w:rsidRPr="008E183F">
        <w:rPr>
          <w:rFonts w:cs="Arial" w:hint="cs"/>
          <w:u w:val="single"/>
          <w:rtl/>
        </w:rPr>
        <w:t xml:space="preserve"> </w:t>
      </w:r>
      <w:r w:rsidR="00FB3294" w:rsidRPr="008E183F">
        <w:rPr>
          <w:rFonts w:cs="Arial"/>
          <w:u w:val="single"/>
          <w:rtl/>
        </w:rPr>
        <w:t xml:space="preserve"> </w:t>
      </w:r>
    </w:p>
    <w:p w14:paraId="24653BA1" w14:textId="5EE65212" w:rsidR="004D43B8" w:rsidRDefault="004D43B8" w:rsidP="009000E3">
      <w:pPr>
        <w:pStyle w:val="ab"/>
        <w:numPr>
          <w:ilvl w:val="0"/>
          <w:numId w:val="81"/>
        </w:numPr>
        <w:rPr>
          <w:rFonts w:cs="Arial"/>
        </w:rPr>
      </w:pPr>
      <w:r>
        <w:rPr>
          <w:rFonts w:cs="Arial" w:hint="cs"/>
          <w:rtl/>
        </w:rPr>
        <w:t xml:space="preserve">רש"י </w:t>
      </w:r>
      <w:r>
        <w:rPr>
          <w:rFonts w:cs="Arial" w:hint="cs"/>
          <w:sz w:val="16"/>
          <w:szCs w:val="16"/>
          <w:rtl/>
        </w:rPr>
        <w:t>(נד: ד"ה לתובעת)</w:t>
      </w:r>
      <w:r>
        <w:rPr>
          <w:rFonts w:cs="Arial" w:hint="cs"/>
          <w:rtl/>
        </w:rPr>
        <w:t xml:space="preserve">- </w:t>
      </w:r>
      <w:r w:rsidRPr="004D43B8">
        <w:rPr>
          <w:rFonts w:cs="Arial"/>
          <w:rtl/>
        </w:rPr>
        <w:t>שאמרו חכמים התובעת כתובתה בב"ד אין לה מזונות</w:t>
      </w:r>
      <w:r w:rsidR="00345822">
        <w:rPr>
          <w:rFonts w:cs="Arial" w:hint="cs"/>
          <w:rtl/>
        </w:rPr>
        <w:t>,</w:t>
      </w:r>
      <w:r w:rsidRPr="004D43B8">
        <w:rPr>
          <w:rFonts w:cs="Arial"/>
          <w:rtl/>
        </w:rPr>
        <w:t xml:space="preserve"> תובעת תוספת נמי אין לה מזונות</w:t>
      </w:r>
      <w:r w:rsidR="000823F6">
        <w:rPr>
          <w:rStyle w:val="a7"/>
          <w:rFonts w:cs="Arial"/>
          <w:rtl/>
        </w:rPr>
        <w:footnoteReference w:id="1589"/>
      </w:r>
      <w:r>
        <w:rPr>
          <w:rFonts w:cs="Arial" w:hint="cs"/>
          <w:rtl/>
        </w:rPr>
        <w:t>.</w:t>
      </w:r>
      <w:r w:rsidRPr="004D43B8">
        <w:rPr>
          <w:rFonts w:cs="Arial"/>
          <w:rtl/>
        </w:rPr>
        <w:t xml:space="preserve"> </w:t>
      </w:r>
    </w:p>
    <w:p w14:paraId="0B390CF5" w14:textId="65E821E2" w:rsidR="008E183F" w:rsidRDefault="00392DBB" w:rsidP="009000E3">
      <w:pPr>
        <w:pStyle w:val="ab"/>
        <w:numPr>
          <w:ilvl w:val="0"/>
          <w:numId w:val="81"/>
        </w:numPr>
        <w:rPr>
          <w:rFonts w:cs="Arial"/>
        </w:rPr>
      </w:pPr>
      <w:r w:rsidRPr="00A863BC">
        <w:rPr>
          <w:rFonts w:cs="Arial"/>
          <w:rtl/>
        </w:rPr>
        <w:t>תוס</w:t>
      </w:r>
      <w:r w:rsidR="005858AE">
        <w:rPr>
          <w:rFonts w:cs="Arial" w:hint="cs"/>
          <w:rtl/>
        </w:rPr>
        <w:t>'</w:t>
      </w:r>
      <w:r w:rsidRPr="005858AE">
        <w:rPr>
          <w:rFonts w:cs="Arial"/>
          <w:sz w:val="16"/>
          <w:szCs w:val="16"/>
          <w:rtl/>
        </w:rPr>
        <w:t xml:space="preserve"> (</w:t>
      </w:r>
      <w:r w:rsidR="004D43B8">
        <w:rPr>
          <w:rFonts w:cs="Arial" w:hint="cs"/>
          <w:sz w:val="16"/>
          <w:szCs w:val="16"/>
          <w:rtl/>
        </w:rPr>
        <w:t xml:space="preserve">נד: </w:t>
      </w:r>
      <w:r w:rsidRPr="005858AE">
        <w:rPr>
          <w:rFonts w:cs="Arial"/>
          <w:sz w:val="16"/>
          <w:szCs w:val="16"/>
          <w:rtl/>
        </w:rPr>
        <w:t>ד"ה ולתובעת)</w:t>
      </w:r>
      <w:r w:rsidR="005858AE">
        <w:rPr>
          <w:rFonts w:cs="Arial" w:hint="cs"/>
          <w:rtl/>
        </w:rPr>
        <w:t xml:space="preserve"> ורשב"א </w:t>
      </w:r>
      <w:r w:rsidR="005858AE">
        <w:rPr>
          <w:rFonts w:cs="Arial" w:hint="cs"/>
          <w:sz w:val="16"/>
          <w:szCs w:val="16"/>
          <w:rtl/>
        </w:rPr>
        <w:t>(במיוחסות</w:t>
      </w:r>
      <w:r w:rsidR="004D43B8">
        <w:rPr>
          <w:rFonts w:cs="Arial" w:hint="cs"/>
          <w:sz w:val="16"/>
          <w:szCs w:val="16"/>
          <w:rtl/>
        </w:rPr>
        <w:t xml:space="preserve"> סי' מח</w:t>
      </w:r>
      <w:r w:rsidR="005858AE">
        <w:rPr>
          <w:rFonts w:cs="Arial" w:hint="cs"/>
          <w:sz w:val="16"/>
          <w:szCs w:val="16"/>
          <w:rtl/>
        </w:rPr>
        <w:t>)</w:t>
      </w:r>
      <w:r w:rsidR="005858AE">
        <w:rPr>
          <w:rFonts w:cs="Arial" w:hint="cs"/>
          <w:rtl/>
        </w:rPr>
        <w:t>-</w:t>
      </w:r>
      <w:r w:rsidRPr="00A863BC">
        <w:rPr>
          <w:rFonts w:cs="Arial"/>
          <w:rtl/>
        </w:rPr>
        <w:t xml:space="preserve"> </w:t>
      </w:r>
      <w:r w:rsidR="005858AE" w:rsidRPr="005858AE">
        <w:rPr>
          <w:rFonts w:cs="Arial"/>
          <w:rtl/>
        </w:rPr>
        <w:t>שאם תבעה מנה מאתים ושיירה תוספת דיש לה מזונות</w:t>
      </w:r>
      <w:r w:rsidR="005858AE">
        <w:rPr>
          <w:rFonts w:cs="Arial" w:hint="cs"/>
          <w:rtl/>
        </w:rPr>
        <w:t>,</w:t>
      </w:r>
      <w:r w:rsidR="005858AE" w:rsidRPr="005858AE">
        <w:rPr>
          <w:rFonts w:cs="Arial"/>
          <w:rtl/>
        </w:rPr>
        <w:t xml:space="preserve"> כיון דתנאי כתובה ככתובה הרי לא תבעה כי אם מקצת כתובה</w:t>
      </w:r>
      <w:r w:rsidR="005858AE">
        <w:rPr>
          <w:rFonts w:cs="Arial" w:hint="cs"/>
          <w:sz w:val="16"/>
          <w:szCs w:val="16"/>
          <w:rtl/>
        </w:rPr>
        <w:t xml:space="preserve"> (ל' התוס')</w:t>
      </w:r>
      <w:r w:rsidR="005858AE">
        <w:rPr>
          <w:rFonts w:cs="Arial" w:hint="cs"/>
          <w:rtl/>
        </w:rPr>
        <w:t>.</w:t>
      </w:r>
    </w:p>
    <w:p w14:paraId="70B5EB04" w14:textId="33B00A5A" w:rsidR="00A863BC" w:rsidRPr="00A863BC" w:rsidRDefault="00392DBB" w:rsidP="009000E3">
      <w:pPr>
        <w:pStyle w:val="ab"/>
        <w:numPr>
          <w:ilvl w:val="0"/>
          <w:numId w:val="81"/>
        </w:numPr>
        <w:rPr>
          <w:rFonts w:cs="Arial"/>
          <w:rtl/>
        </w:rPr>
      </w:pPr>
      <w:r w:rsidRPr="00A863BC">
        <w:rPr>
          <w:rFonts w:cs="Arial"/>
          <w:rtl/>
        </w:rPr>
        <w:t xml:space="preserve">רא"ש </w:t>
      </w:r>
      <w:r w:rsidRPr="00F4685A">
        <w:rPr>
          <w:rFonts w:cs="Arial"/>
          <w:sz w:val="16"/>
          <w:szCs w:val="16"/>
          <w:rtl/>
        </w:rPr>
        <w:t>(</w:t>
      </w:r>
      <w:r w:rsidR="00F4685A">
        <w:rPr>
          <w:rFonts w:cs="Arial" w:hint="cs"/>
          <w:sz w:val="16"/>
          <w:szCs w:val="16"/>
          <w:rtl/>
        </w:rPr>
        <w:t xml:space="preserve">פ"ה </w:t>
      </w:r>
      <w:r w:rsidRPr="00F4685A">
        <w:rPr>
          <w:rFonts w:cs="Arial"/>
          <w:sz w:val="16"/>
          <w:szCs w:val="16"/>
          <w:rtl/>
        </w:rPr>
        <w:t>סי' א)</w:t>
      </w:r>
      <w:r w:rsidR="008E183F">
        <w:rPr>
          <w:rFonts w:cs="Arial" w:hint="cs"/>
          <w:rtl/>
        </w:rPr>
        <w:t>-</w:t>
      </w:r>
      <w:r w:rsidRPr="00A863BC">
        <w:rPr>
          <w:rFonts w:cs="Arial"/>
          <w:rtl/>
        </w:rPr>
        <w:t xml:space="preserve"> </w:t>
      </w:r>
      <w:r w:rsidR="00F4685A" w:rsidRPr="00F4685A">
        <w:rPr>
          <w:rFonts w:cs="Arial"/>
          <w:rtl/>
        </w:rPr>
        <w:t>שאם תבעה מנה או מאתים ושיירה תוספת כאילו לא תבעה אלא מקצת מנה או מאתים וניזונת בשביל התוספת</w:t>
      </w:r>
      <w:r w:rsidR="00F4685A">
        <w:rPr>
          <w:rFonts w:cs="Arial" w:hint="cs"/>
          <w:rtl/>
        </w:rPr>
        <w:t>,</w:t>
      </w:r>
      <w:r w:rsidR="00F4685A" w:rsidRPr="00F4685A">
        <w:rPr>
          <w:rFonts w:cs="Arial"/>
          <w:rtl/>
        </w:rPr>
        <w:t xml:space="preserve"> א"נ אם תבעה כתובתה בסתם התוספת בכלל ואבדה מזונותיה.</w:t>
      </w:r>
      <w:r w:rsidRPr="00A863BC">
        <w:rPr>
          <w:rFonts w:cs="Arial"/>
          <w:rtl/>
        </w:rPr>
        <w:t xml:space="preserve"> </w:t>
      </w:r>
    </w:p>
    <w:p w14:paraId="54AE9BBE" w14:textId="1FA0CFB7" w:rsidR="003E41C2" w:rsidRPr="003E41C2" w:rsidRDefault="00392DBB" w:rsidP="009000E3">
      <w:pPr>
        <w:pStyle w:val="ab"/>
        <w:numPr>
          <w:ilvl w:val="0"/>
          <w:numId w:val="81"/>
        </w:numPr>
      </w:pPr>
      <w:r w:rsidRPr="00A863BC">
        <w:rPr>
          <w:rFonts w:cs="Arial"/>
          <w:rtl/>
        </w:rPr>
        <w:t xml:space="preserve">רי"ף </w:t>
      </w:r>
      <w:r w:rsidRPr="00F4685A">
        <w:rPr>
          <w:rFonts w:cs="Arial"/>
          <w:sz w:val="16"/>
          <w:szCs w:val="16"/>
          <w:rtl/>
        </w:rPr>
        <w:t>(כא:)</w:t>
      </w:r>
      <w:r w:rsidR="00F4685A">
        <w:rPr>
          <w:rFonts w:cs="Arial" w:hint="cs"/>
          <w:rtl/>
        </w:rPr>
        <w:t>-</w:t>
      </w:r>
      <w:r w:rsidRPr="00A863BC">
        <w:rPr>
          <w:rFonts w:cs="Arial"/>
          <w:rtl/>
        </w:rPr>
        <w:t xml:space="preserve"> </w:t>
      </w:r>
      <w:r w:rsidR="00566B61" w:rsidRPr="00566B61">
        <w:rPr>
          <w:rFonts w:cs="Arial"/>
          <w:rtl/>
        </w:rPr>
        <w:t xml:space="preserve">לא שנא תובעת כתובתה בב"ד ולא שנא תובעת תוספת </w:t>
      </w:r>
      <w:r w:rsidR="00566B61">
        <w:rPr>
          <w:rFonts w:cs="Arial" w:hint="cs"/>
          <w:rtl/>
        </w:rPr>
        <w:t xml:space="preserve">- </w:t>
      </w:r>
      <w:r w:rsidR="00566B61" w:rsidRPr="00566B61">
        <w:rPr>
          <w:rFonts w:cs="Arial"/>
          <w:rtl/>
        </w:rPr>
        <w:t>אין לה מזונות</w:t>
      </w:r>
      <w:r w:rsidR="00397B9E">
        <w:rPr>
          <w:rStyle w:val="a7"/>
          <w:rFonts w:cs="Arial"/>
          <w:rtl/>
        </w:rPr>
        <w:footnoteReference w:id="1590"/>
      </w:r>
      <w:r w:rsidRPr="00A863BC">
        <w:rPr>
          <w:rFonts w:cs="Arial"/>
          <w:rtl/>
        </w:rPr>
        <w:t xml:space="preserve">. </w:t>
      </w:r>
    </w:p>
    <w:p w14:paraId="6EF35946" w14:textId="59C9343F" w:rsidR="00A4289B" w:rsidRPr="00F40D6A" w:rsidRDefault="00A4289B" w:rsidP="00F40D6A">
      <w:pPr>
        <w:rPr>
          <w:u w:val="single"/>
        </w:rPr>
      </w:pPr>
      <w:r w:rsidRPr="007F5688">
        <w:rPr>
          <w:rFonts w:hint="cs"/>
          <w:u w:val="single"/>
          <w:rtl/>
        </w:rPr>
        <w:lastRenderedPageBreak/>
        <w:t>מכרה/משכנה/מחלה חלק מכתובתה:</w:t>
      </w:r>
      <w:r w:rsidRPr="00F40D6A">
        <w:rPr>
          <w:rFonts w:cs="Arial"/>
          <w:rtl/>
        </w:rPr>
        <w:t xml:space="preserve"> </w:t>
      </w:r>
    </w:p>
    <w:p w14:paraId="004DBF25" w14:textId="3F712F0F" w:rsidR="005541E1" w:rsidRDefault="005541E1" w:rsidP="009000E3">
      <w:pPr>
        <w:pStyle w:val="ab"/>
        <w:numPr>
          <w:ilvl w:val="0"/>
          <w:numId w:val="61"/>
        </w:numPr>
      </w:pPr>
      <w:r>
        <w:rPr>
          <w:rFonts w:cs="Arial" w:hint="cs"/>
          <w:rtl/>
        </w:rPr>
        <w:t xml:space="preserve">רמב"ם </w:t>
      </w:r>
      <w:r>
        <w:rPr>
          <w:rFonts w:cs="Arial" w:hint="cs"/>
          <w:sz w:val="16"/>
          <w:szCs w:val="16"/>
          <w:rtl/>
        </w:rPr>
        <w:t>(פי"ח מהל' אישות הכ"ח)</w:t>
      </w:r>
      <w:r w:rsidR="00F40D6A" w:rsidRPr="00F40D6A">
        <w:rPr>
          <w:rFonts w:cs="Arial" w:hint="cs"/>
          <w:rtl/>
        </w:rPr>
        <w:t xml:space="preserve"> </w:t>
      </w:r>
      <w:r w:rsidR="00F40D6A">
        <w:rPr>
          <w:rFonts w:cs="Arial" w:hint="cs"/>
          <w:rtl/>
        </w:rPr>
        <w:t>וטור</w:t>
      </w:r>
      <w:r w:rsidR="00F40D6A">
        <w:rPr>
          <w:rStyle w:val="a7"/>
          <w:rFonts w:cs="Arial"/>
          <w:rtl/>
        </w:rPr>
        <w:footnoteReference w:id="1591"/>
      </w:r>
      <w:r>
        <w:rPr>
          <w:rFonts w:cs="Arial" w:hint="cs"/>
          <w:rtl/>
        </w:rPr>
        <w:t xml:space="preserve">- </w:t>
      </w:r>
      <w:r w:rsidRPr="00F72E3A">
        <w:rPr>
          <w:rFonts w:cs="Arial"/>
          <w:rtl/>
        </w:rPr>
        <w:t xml:space="preserve">דין תוספת כתובה כדין העיקר, לפיכך אלמנה שתבעה או מכרה או מחלה או משכנה תוספת כתובתה עם העיקר </w:t>
      </w:r>
      <w:r>
        <w:rPr>
          <w:rFonts w:cs="Arial" w:hint="cs"/>
          <w:rtl/>
        </w:rPr>
        <w:t xml:space="preserve">- </w:t>
      </w:r>
      <w:r w:rsidRPr="00F72E3A">
        <w:rPr>
          <w:rFonts w:cs="Arial"/>
          <w:rtl/>
        </w:rPr>
        <w:t>אין לה מזונות</w:t>
      </w:r>
      <w:r>
        <w:rPr>
          <w:rStyle w:val="a7"/>
          <w:rFonts w:cs="Arial"/>
          <w:rtl/>
        </w:rPr>
        <w:footnoteReference w:id="1592"/>
      </w:r>
      <w:r>
        <w:rPr>
          <w:rFonts w:cs="Arial" w:hint="cs"/>
          <w:rtl/>
        </w:rPr>
        <w:t>.</w:t>
      </w:r>
      <w:r w:rsidRPr="00F72E3A">
        <w:rPr>
          <w:rFonts w:cs="Arial"/>
          <w:rtl/>
        </w:rPr>
        <w:t xml:space="preserve"> ואם תבעה מקצת והניחה מקצת</w:t>
      </w:r>
      <w:r>
        <w:rPr>
          <w:rFonts w:cs="Arial" w:hint="cs"/>
          <w:rtl/>
        </w:rPr>
        <w:t xml:space="preserve"> -</w:t>
      </w:r>
      <w:r w:rsidRPr="00F72E3A">
        <w:rPr>
          <w:rFonts w:cs="Arial"/>
          <w:rtl/>
        </w:rPr>
        <w:t xml:space="preserve"> הרי זו כמי שתבעה מקצת העיקר והניחה מקצתו</w:t>
      </w:r>
      <w:r>
        <w:rPr>
          <w:rFonts w:cs="Arial" w:hint="cs"/>
          <w:rtl/>
        </w:rPr>
        <w:t>.</w:t>
      </w:r>
      <w:r w:rsidRPr="00F72E3A">
        <w:rPr>
          <w:rFonts w:cs="Arial"/>
          <w:rtl/>
        </w:rPr>
        <w:t xml:space="preserve"> וכל המוכרת או המוחלת סתם</w:t>
      </w:r>
      <w:r>
        <w:rPr>
          <w:rFonts w:cs="Arial" w:hint="cs"/>
          <w:rtl/>
        </w:rPr>
        <w:t>,</w:t>
      </w:r>
      <w:r w:rsidRPr="00F72E3A">
        <w:rPr>
          <w:rFonts w:cs="Arial"/>
          <w:rtl/>
        </w:rPr>
        <w:t xml:space="preserve"> מכרה ומחלה התוספת עם העיקר</w:t>
      </w:r>
      <w:r w:rsidR="001348B7">
        <w:rPr>
          <w:rStyle w:val="a7"/>
          <w:rFonts w:cs="Arial"/>
          <w:rtl/>
        </w:rPr>
        <w:footnoteReference w:id="1593"/>
      </w:r>
      <w:r>
        <w:rPr>
          <w:rFonts w:cs="Arial" w:hint="cs"/>
          <w:rtl/>
        </w:rPr>
        <w:t>,</w:t>
      </w:r>
      <w:r w:rsidRPr="00F72E3A">
        <w:rPr>
          <w:rFonts w:cs="Arial"/>
          <w:rtl/>
        </w:rPr>
        <w:t xml:space="preserve"> ששניהם כתובה שמם בכל מקום</w:t>
      </w:r>
      <w:r w:rsidR="00F40D6A">
        <w:rPr>
          <w:rFonts w:cs="Arial" w:hint="cs"/>
          <w:sz w:val="16"/>
          <w:szCs w:val="16"/>
          <w:rtl/>
        </w:rPr>
        <w:t xml:space="preserve"> (ל' הרמב"ם)</w:t>
      </w:r>
      <w:r w:rsidRPr="00F72E3A">
        <w:rPr>
          <w:rFonts w:cs="Arial"/>
          <w:rtl/>
        </w:rPr>
        <w:t xml:space="preserve">. </w:t>
      </w:r>
      <w:r w:rsidR="00856D60" w:rsidRPr="00856D60">
        <w:rPr>
          <w:rFonts w:cs="Arial" w:hint="cs"/>
          <w:color w:val="E36C0A" w:themeColor="accent6" w:themeShade="BF"/>
          <w:rtl/>
        </w:rPr>
        <w:t>(וכ"פ בשו"ע)</w:t>
      </w:r>
    </w:p>
    <w:p w14:paraId="5CB583EF" w14:textId="13C91C56" w:rsidR="005541E1" w:rsidRPr="00290FE2" w:rsidRDefault="005541E1" w:rsidP="005541E1">
      <w:pPr>
        <w:ind w:left="360"/>
        <w:rPr>
          <w:u w:val="dotted"/>
        </w:rPr>
      </w:pPr>
      <w:r w:rsidRPr="00290FE2">
        <w:rPr>
          <w:rFonts w:hint="cs"/>
          <w:u w:val="dotted"/>
          <w:rtl/>
        </w:rPr>
        <w:t xml:space="preserve">האם יכולה </w:t>
      </w:r>
      <w:r w:rsidR="00290FE2" w:rsidRPr="00290FE2">
        <w:rPr>
          <w:rFonts w:hint="cs"/>
          <w:u w:val="dotted"/>
          <w:rtl/>
        </w:rPr>
        <w:t>האשה לא ל</w:t>
      </w:r>
      <w:r w:rsidR="00501214">
        <w:rPr>
          <w:rFonts w:hint="cs"/>
          <w:u w:val="dotted"/>
          <w:rtl/>
        </w:rPr>
        <w:t>תב</w:t>
      </w:r>
      <w:r w:rsidR="00290FE2" w:rsidRPr="00290FE2">
        <w:rPr>
          <w:rFonts w:hint="cs"/>
          <w:u w:val="dotted"/>
          <w:rtl/>
        </w:rPr>
        <w:t>וע את המותר כדי שימשיכו לזון אותה עד שתרצה לתבוע כל כתובתה</w:t>
      </w:r>
      <w:r w:rsidR="00290FE2">
        <w:rPr>
          <w:rFonts w:hint="cs"/>
          <w:u w:val="dotted"/>
          <w:rtl/>
        </w:rPr>
        <w:t xml:space="preserve"> </w:t>
      </w:r>
      <w:r w:rsidR="00290FE2">
        <w:rPr>
          <w:rFonts w:hint="cs"/>
          <w:sz w:val="16"/>
          <w:szCs w:val="16"/>
          <w:u w:val="dotted"/>
          <w:rtl/>
        </w:rPr>
        <w:t xml:space="preserve">(כאנשי </w:t>
      </w:r>
      <w:r w:rsidR="00501214">
        <w:rPr>
          <w:rFonts w:hint="cs"/>
          <w:sz w:val="16"/>
          <w:szCs w:val="16"/>
          <w:u w:val="dotted"/>
          <w:rtl/>
        </w:rPr>
        <w:t>גליל</w:t>
      </w:r>
      <w:r w:rsidR="00290FE2">
        <w:rPr>
          <w:rFonts w:hint="cs"/>
          <w:sz w:val="16"/>
          <w:szCs w:val="16"/>
          <w:u w:val="dotted"/>
          <w:rtl/>
        </w:rPr>
        <w:t>)</w:t>
      </w:r>
      <w:r w:rsidR="00290FE2" w:rsidRPr="00290FE2">
        <w:rPr>
          <w:rFonts w:hint="cs"/>
          <w:u w:val="dotted"/>
          <w:rtl/>
        </w:rPr>
        <w:t>:</w:t>
      </w:r>
    </w:p>
    <w:p w14:paraId="08B4BA5C" w14:textId="20C1D4EB" w:rsidR="00A4289B" w:rsidRPr="00F22E6E" w:rsidRDefault="00A4289B" w:rsidP="009000E3">
      <w:pPr>
        <w:pStyle w:val="ab"/>
        <w:numPr>
          <w:ilvl w:val="0"/>
          <w:numId w:val="61"/>
        </w:numPr>
      </w:pPr>
      <w:r>
        <w:rPr>
          <w:rFonts w:cs="Arial" w:hint="cs"/>
          <w:rtl/>
        </w:rPr>
        <w:t>רשב"א</w:t>
      </w:r>
      <w:r>
        <w:rPr>
          <w:rFonts w:cs="Arial"/>
          <w:rtl/>
        </w:rPr>
        <w:t xml:space="preserve"> </w:t>
      </w:r>
      <w:r w:rsidRPr="00397D58">
        <w:rPr>
          <w:rFonts w:cs="Arial"/>
          <w:sz w:val="16"/>
          <w:szCs w:val="16"/>
          <w:rtl/>
        </w:rPr>
        <w:t>(במיוחסות סי</w:t>
      </w:r>
      <w:r w:rsidRPr="00397D58">
        <w:rPr>
          <w:rFonts w:cs="Arial" w:hint="cs"/>
          <w:sz w:val="16"/>
          <w:szCs w:val="16"/>
          <w:rtl/>
        </w:rPr>
        <w:t>'</w:t>
      </w:r>
      <w:r w:rsidRPr="00397D58">
        <w:rPr>
          <w:rFonts w:cs="Arial"/>
          <w:sz w:val="16"/>
          <w:szCs w:val="16"/>
          <w:rtl/>
        </w:rPr>
        <w:t xml:space="preserve"> קיח</w:t>
      </w:r>
      <w:r w:rsidRPr="00397D58">
        <w:rPr>
          <w:rFonts w:cs="Arial" w:hint="cs"/>
          <w:sz w:val="16"/>
          <w:szCs w:val="16"/>
          <w:rtl/>
        </w:rPr>
        <w:t>)</w:t>
      </w:r>
      <w:r>
        <w:rPr>
          <w:rFonts w:cs="Arial" w:hint="cs"/>
          <w:sz w:val="16"/>
          <w:szCs w:val="16"/>
          <w:rtl/>
        </w:rPr>
        <w:t xml:space="preserve"> </w:t>
      </w:r>
      <w:r>
        <w:rPr>
          <w:rFonts w:cs="Arial" w:hint="cs"/>
          <w:rtl/>
        </w:rPr>
        <w:t>ו</w:t>
      </w:r>
      <w:r w:rsidRPr="000A1431">
        <w:rPr>
          <w:rFonts w:cs="Arial"/>
          <w:rtl/>
        </w:rPr>
        <w:t>רא"ש</w:t>
      </w:r>
      <w:r>
        <w:rPr>
          <w:rFonts w:cs="Arial" w:hint="cs"/>
          <w:sz w:val="16"/>
          <w:szCs w:val="16"/>
          <w:rtl/>
        </w:rPr>
        <w:t xml:space="preserve"> </w:t>
      </w:r>
      <w:r w:rsidRPr="00397D58">
        <w:rPr>
          <w:rFonts w:cs="Arial"/>
          <w:sz w:val="16"/>
          <w:szCs w:val="16"/>
          <w:rtl/>
        </w:rPr>
        <w:t>(</w:t>
      </w:r>
      <w:r w:rsidRPr="00397D58">
        <w:rPr>
          <w:rFonts w:cs="Arial" w:hint="cs"/>
          <w:sz w:val="16"/>
          <w:szCs w:val="16"/>
          <w:rtl/>
        </w:rPr>
        <w:t xml:space="preserve">פי"א </w:t>
      </w:r>
      <w:r w:rsidRPr="00397D58">
        <w:rPr>
          <w:rFonts w:cs="Arial"/>
          <w:sz w:val="16"/>
          <w:szCs w:val="16"/>
          <w:rtl/>
        </w:rPr>
        <w:t>סי' יב</w:t>
      </w:r>
      <w:r>
        <w:rPr>
          <w:rFonts w:cs="Arial" w:hint="cs"/>
          <w:sz w:val="16"/>
          <w:szCs w:val="16"/>
          <w:rtl/>
        </w:rPr>
        <w:t>, כ"כ הטור בשמו</w:t>
      </w:r>
      <w:r w:rsidRPr="00397D58">
        <w:rPr>
          <w:rFonts w:cs="Arial"/>
          <w:sz w:val="16"/>
          <w:szCs w:val="16"/>
          <w:rtl/>
        </w:rPr>
        <w:t>)</w:t>
      </w:r>
      <w:r>
        <w:rPr>
          <w:rFonts w:cs="Arial" w:hint="cs"/>
          <w:rtl/>
        </w:rPr>
        <w:t>-</w:t>
      </w:r>
      <w:r w:rsidRPr="000A1431">
        <w:rPr>
          <w:rFonts w:cs="Arial"/>
          <w:rtl/>
        </w:rPr>
        <w:t xml:space="preserve"> ומיהו אם ירצו היורשים יפרעו לה המותר של הכתובה ומסלקין אותה אפילו לאנשי גליל</w:t>
      </w:r>
      <w:r>
        <w:rPr>
          <w:rFonts w:cs="Arial" w:hint="cs"/>
          <w:rtl/>
        </w:rPr>
        <w:t>,</w:t>
      </w:r>
      <w:r w:rsidRPr="000A1431">
        <w:rPr>
          <w:rFonts w:cs="Arial"/>
          <w:rtl/>
        </w:rPr>
        <w:t xml:space="preserve"> דאל"כ כל אשה תגבה כתובתה עד תשלום דינר ותתפרנס כל ימיה בשביל הדינר החסר</w:t>
      </w:r>
      <w:r w:rsidR="007E7598">
        <w:rPr>
          <w:rFonts w:cs="Arial" w:hint="cs"/>
          <w:rtl/>
        </w:rPr>
        <w:t xml:space="preserve"> </w:t>
      </w:r>
      <w:r>
        <w:rPr>
          <w:rFonts w:cs="Arial" w:hint="cs"/>
          <w:sz w:val="16"/>
          <w:szCs w:val="16"/>
          <w:rtl/>
        </w:rPr>
        <w:t>(ל' טור בשם הרא"ש)</w:t>
      </w:r>
      <w:r>
        <w:rPr>
          <w:rFonts w:cs="Arial" w:hint="cs"/>
          <w:rtl/>
        </w:rPr>
        <w:t>.</w:t>
      </w:r>
      <w:r w:rsidR="00856D60">
        <w:rPr>
          <w:rFonts w:cs="Arial" w:hint="cs"/>
          <w:rtl/>
        </w:rPr>
        <w:t xml:space="preserve"> </w:t>
      </w:r>
      <w:r w:rsidR="00856D60" w:rsidRPr="00856D60">
        <w:rPr>
          <w:rFonts w:cs="Arial" w:hint="cs"/>
          <w:color w:val="E36C0A" w:themeColor="accent6" w:themeShade="BF"/>
          <w:rtl/>
        </w:rPr>
        <w:t>(וכ"פ בשו"ע)</w:t>
      </w:r>
      <w:r w:rsidRPr="000A1431">
        <w:rPr>
          <w:rFonts w:cs="Arial"/>
          <w:rtl/>
        </w:rPr>
        <w:t xml:space="preserve"> </w:t>
      </w:r>
    </w:p>
    <w:p w14:paraId="128734B8" w14:textId="42D4B921" w:rsidR="00621ABA" w:rsidRPr="00621ABA" w:rsidRDefault="00621ABA" w:rsidP="00621ABA">
      <w:pPr>
        <w:rPr>
          <w:u w:val="single"/>
        </w:rPr>
      </w:pPr>
      <w:r w:rsidRPr="00621ABA">
        <w:rPr>
          <w:rFonts w:hint="cs"/>
          <w:u w:val="single"/>
          <w:rtl/>
        </w:rPr>
        <w:t>אשה שתבעה את נדונייתא - האם יש לה מזונות:</w:t>
      </w:r>
    </w:p>
    <w:p w14:paraId="28402C3D" w14:textId="543C0CD9" w:rsidR="00397D58" w:rsidRDefault="00621ABA" w:rsidP="009000E3">
      <w:pPr>
        <w:pStyle w:val="ab"/>
        <w:numPr>
          <w:ilvl w:val="0"/>
          <w:numId w:val="81"/>
        </w:numPr>
      </w:pPr>
      <w:r>
        <w:rPr>
          <w:rFonts w:cs="Arial" w:hint="cs"/>
          <w:rtl/>
        </w:rPr>
        <w:t>רשב"ש</w:t>
      </w:r>
      <w:r>
        <w:rPr>
          <w:rFonts w:cs="Arial" w:hint="cs"/>
          <w:sz w:val="16"/>
          <w:szCs w:val="16"/>
          <w:rtl/>
        </w:rPr>
        <w:t xml:space="preserve"> (כ"כ הב"י בשמו)</w:t>
      </w:r>
      <w:r>
        <w:rPr>
          <w:rFonts w:cs="Arial" w:hint="cs"/>
          <w:rtl/>
        </w:rPr>
        <w:t>-</w:t>
      </w:r>
      <w:r w:rsidR="00392DBB" w:rsidRPr="00A863BC">
        <w:rPr>
          <w:rFonts w:cs="Arial"/>
          <w:rtl/>
        </w:rPr>
        <w:t xml:space="preserve"> אם תבעה הנדוניא ואפילו נפרעה ממנה </w:t>
      </w:r>
      <w:r w:rsidR="00F40D6A">
        <w:rPr>
          <w:rFonts w:cs="Arial" w:hint="cs"/>
          <w:rtl/>
        </w:rPr>
        <w:t xml:space="preserve">- </w:t>
      </w:r>
      <w:r w:rsidR="00392DBB" w:rsidRPr="00A863BC">
        <w:rPr>
          <w:rFonts w:cs="Arial"/>
          <w:rtl/>
        </w:rPr>
        <w:t>אינה מפסדת מזונות ותהא ניזונת משום מנה מאתים ותוספת</w:t>
      </w:r>
      <w:r w:rsidR="00F40D6A">
        <w:rPr>
          <w:rFonts w:cs="Arial" w:hint="cs"/>
          <w:rtl/>
        </w:rPr>
        <w:t>,</w:t>
      </w:r>
      <w:r w:rsidR="00392DBB" w:rsidRPr="00A863BC">
        <w:rPr>
          <w:rFonts w:cs="Arial"/>
          <w:rtl/>
        </w:rPr>
        <w:t xml:space="preserve"> משום דמזוני בתר עיקר כתובה גריר</w:t>
      </w:r>
      <w:r w:rsidR="00F40D6A">
        <w:rPr>
          <w:rFonts w:cs="Arial" w:hint="cs"/>
          <w:rtl/>
        </w:rPr>
        <w:t>,</w:t>
      </w:r>
      <w:r w:rsidR="00392DBB" w:rsidRPr="00A863BC">
        <w:rPr>
          <w:rFonts w:cs="Arial"/>
          <w:rtl/>
        </w:rPr>
        <w:t xml:space="preserve"> כ"כ המפרשים בשם הרשב"א</w:t>
      </w:r>
      <w:r w:rsidR="00F40D6A">
        <w:rPr>
          <w:rFonts w:cs="Arial" w:hint="cs"/>
          <w:rtl/>
        </w:rPr>
        <w:t>,</w:t>
      </w:r>
      <w:r w:rsidR="00392DBB" w:rsidRPr="00A863BC">
        <w:rPr>
          <w:rFonts w:cs="Arial"/>
          <w:rtl/>
        </w:rPr>
        <w:t xml:space="preserve"> וכן נראה פי"ח מהלכות אישות. </w:t>
      </w:r>
      <w:r w:rsidR="00990BC2" w:rsidRPr="00856D60">
        <w:rPr>
          <w:rFonts w:cs="Arial" w:hint="cs"/>
          <w:color w:val="E36C0A" w:themeColor="accent6" w:themeShade="BF"/>
          <w:rtl/>
        </w:rPr>
        <w:t>(וכ"פ בשו"ע</w:t>
      </w:r>
      <w:r w:rsidR="00990BC2">
        <w:rPr>
          <w:rFonts w:cs="Arial" w:hint="cs"/>
          <w:color w:val="E36C0A" w:themeColor="accent6" w:themeShade="BF"/>
          <w:sz w:val="16"/>
          <w:szCs w:val="16"/>
          <w:rtl/>
        </w:rPr>
        <w:t xml:space="preserve"> </w:t>
      </w:r>
      <w:r w:rsidR="00990BC2" w:rsidRPr="00990BC2">
        <w:rPr>
          <w:rFonts w:cs="Arial" w:hint="cs"/>
          <w:color w:val="000000" w:themeColor="text1"/>
          <w:sz w:val="16"/>
          <w:szCs w:val="16"/>
          <w:rtl/>
        </w:rPr>
        <w:t>[</w:t>
      </w:r>
      <w:r w:rsidR="00712DF1">
        <w:rPr>
          <w:rFonts w:cs="Arial" w:hint="cs"/>
          <w:color w:val="000000" w:themeColor="text1"/>
          <w:sz w:val="16"/>
          <w:szCs w:val="16"/>
          <w:rtl/>
        </w:rPr>
        <w:t>בסע' יא</w:t>
      </w:r>
      <w:r w:rsidR="00990BC2" w:rsidRPr="00990BC2">
        <w:rPr>
          <w:rFonts w:cs="Arial" w:hint="cs"/>
          <w:color w:val="000000" w:themeColor="text1"/>
          <w:sz w:val="16"/>
          <w:szCs w:val="16"/>
          <w:rtl/>
        </w:rPr>
        <w:t>]</w:t>
      </w:r>
      <w:r w:rsidR="00990BC2" w:rsidRPr="00856D60">
        <w:rPr>
          <w:rFonts w:cs="Arial" w:hint="cs"/>
          <w:color w:val="E36C0A" w:themeColor="accent6" w:themeShade="BF"/>
          <w:rtl/>
        </w:rPr>
        <w:t>)</w:t>
      </w:r>
    </w:p>
    <w:p w14:paraId="448AC942" w14:textId="209ECD02" w:rsidR="00F40D6A" w:rsidRPr="00923394" w:rsidRDefault="00923394" w:rsidP="00923394">
      <w:pPr>
        <w:ind w:left="360"/>
        <w:rPr>
          <w:u w:val="dotted"/>
        </w:rPr>
      </w:pPr>
      <w:r w:rsidRPr="00923394">
        <w:rPr>
          <w:rFonts w:hint="cs"/>
          <w:u w:val="dotted"/>
          <w:rtl/>
        </w:rPr>
        <w:t>ומה הדין אם תבעה את כל כתובתה אבל לא תבעה את נדוניית</w:t>
      </w:r>
      <w:r w:rsidR="00F84B7F">
        <w:rPr>
          <w:rFonts w:hint="cs"/>
          <w:u w:val="dotted"/>
          <w:rtl/>
        </w:rPr>
        <w:t>ה</w:t>
      </w:r>
      <w:r w:rsidRPr="00923394">
        <w:rPr>
          <w:rFonts w:hint="cs"/>
          <w:u w:val="dotted"/>
          <w:rtl/>
        </w:rPr>
        <w:t>:</w:t>
      </w:r>
    </w:p>
    <w:p w14:paraId="0EC7BCC0" w14:textId="7874AA14" w:rsidR="00392DBB" w:rsidRPr="00F84B7F" w:rsidRDefault="00923394" w:rsidP="009000E3">
      <w:pPr>
        <w:pStyle w:val="ab"/>
        <w:numPr>
          <w:ilvl w:val="0"/>
          <w:numId w:val="81"/>
        </w:numPr>
      </w:pPr>
      <w:r>
        <w:rPr>
          <w:rFonts w:cs="Arial" w:hint="cs"/>
          <w:rtl/>
        </w:rPr>
        <w:t xml:space="preserve">ב"י- </w:t>
      </w:r>
      <w:r w:rsidR="00392DBB" w:rsidRPr="00A863BC">
        <w:rPr>
          <w:rFonts w:cs="Arial"/>
          <w:rtl/>
        </w:rPr>
        <w:t>משמע שאע"פ שנדונייתה מאה מנה ולא תבעתה</w:t>
      </w:r>
      <w:r w:rsidR="00F40D6A">
        <w:rPr>
          <w:rFonts w:cs="Arial" w:hint="cs"/>
          <w:rtl/>
        </w:rPr>
        <w:t>,</w:t>
      </w:r>
      <w:r w:rsidR="00392DBB" w:rsidRPr="00A863BC">
        <w:rPr>
          <w:rFonts w:cs="Arial"/>
          <w:rtl/>
        </w:rPr>
        <w:t xml:space="preserve"> כיון שתבעה עיקר ותוספת </w:t>
      </w:r>
      <w:r>
        <w:rPr>
          <w:rFonts w:cs="Arial" w:hint="cs"/>
          <w:rtl/>
        </w:rPr>
        <w:t xml:space="preserve">- </w:t>
      </w:r>
      <w:r w:rsidR="00392DBB" w:rsidRPr="00A863BC">
        <w:rPr>
          <w:rFonts w:cs="Arial"/>
          <w:rtl/>
        </w:rPr>
        <w:t>שוב אין לה מזונו</w:t>
      </w:r>
      <w:r>
        <w:rPr>
          <w:rFonts w:cs="Arial" w:hint="cs"/>
          <w:rtl/>
        </w:rPr>
        <w:t>ת,</w:t>
      </w:r>
      <w:r w:rsidR="00392DBB" w:rsidRPr="00A863BC">
        <w:rPr>
          <w:rFonts w:cs="Arial"/>
          <w:rtl/>
        </w:rPr>
        <w:t xml:space="preserve"> דנדוניא הרי היא כחוב דעלמא ואינה ענין למזונות</w:t>
      </w:r>
      <w:r w:rsidR="00F84B7F">
        <w:rPr>
          <w:rFonts w:cs="Arial" w:hint="cs"/>
          <w:rtl/>
        </w:rPr>
        <w:t>,</w:t>
      </w:r>
      <w:r w:rsidR="00392DBB" w:rsidRPr="00A863BC">
        <w:rPr>
          <w:rFonts w:cs="Arial"/>
          <w:rtl/>
        </w:rPr>
        <w:t xml:space="preserve"> וכן נראה מדברי הריטב"א (צז: סוף ד"ה גרסת) שאכתוב בראש סימן ק"ג (קנה: ד"ה וכתב)</w:t>
      </w:r>
      <w:r w:rsidR="00397D58">
        <w:rPr>
          <w:rFonts w:cs="Arial" w:hint="cs"/>
          <w:rtl/>
        </w:rPr>
        <w:t>.</w:t>
      </w:r>
      <w:r w:rsidR="00BC4060" w:rsidRPr="00BC4060">
        <w:rPr>
          <w:rFonts w:cs="Arial" w:hint="cs"/>
          <w:color w:val="E36C0A" w:themeColor="accent6" w:themeShade="BF"/>
          <w:rtl/>
        </w:rPr>
        <w:t xml:space="preserve"> </w:t>
      </w:r>
      <w:r w:rsidR="00BC4060" w:rsidRPr="00856D60">
        <w:rPr>
          <w:rFonts w:cs="Arial" w:hint="cs"/>
          <w:color w:val="E36C0A" w:themeColor="accent6" w:themeShade="BF"/>
          <w:rtl/>
        </w:rPr>
        <w:t>(וכ"פ בשו"ע</w:t>
      </w:r>
      <w:r w:rsidR="00BC4060">
        <w:rPr>
          <w:rFonts w:cs="Arial" w:hint="cs"/>
          <w:color w:val="E36C0A" w:themeColor="accent6" w:themeShade="BF"/>
          <w:sz w:val="16"/>
          <w:szCs w:val="16"/>
          <w:rtl/>
        </w:rPr>
        <w:t xml:space="preserve"> </w:t>
      </w:r>
      <w:r w:rsidR="00BC4060" w:rsidRPr="00990BC2">
        <w:rPr>
          <w:rFonts w:cs="Arial" w:hint="cs"/>
          <w:color w:val="000000" w:themeColor="text1"/>
          <w:sz w:val="16"/>
          <w:szCs w:val="16"/>
          <w:rtl/>
        </w:rPr>
        <w:t>[</w:t>
      </w:r>
      <w:r w:rsidR="00BC4060">
        <w:rPr>
          <w:rFonts w:cs="Arial" w:hint="cs"/>
          <w:color w:val="000000" w:themeColor="text1"/>
          <w:sz w:val="16"/>
          <w:szCs w:val="16"/>
          <w:rtl/>
        </w:rPr>
        <w:t>בסע' יב</w:t>
      </w:r>
      <w:r w:rsidR="00BC4060" w:rsidRPr="00990BC2">
        <w:rPr>
          <w:rFonts w:cs="Arial" w:hint="cs"/>
          <w:color w:val="000000" w:themeColor="text1"/>
          <w:sz w:val="16"/>
          <w:szCs w:val="16"/>
          <w:rtl/>
        </w:rPr>
        <w:t>]</w:t>
      </w:r>
      <w:r w:rsidR="00BC4060" w:rsidRPr="00856D60">
        <w:rPr>
          <w:rFonts w:cs="Arial" w:hint="cs"/>
          <w:color w:val="E36C0A" w:themeColor="accent6" w:themeShade="BF"/>
          <w:rtl/>
        </w:rPr>
        <w:t>)</w:t>
      </w:r>
    </w:p>
    <w:p w14:paraId="77140438" w14:textId="79DEF2D3" w:rsidR="00392DBB" w:rsidRPr="00F22E6E" w:rsidRDefault="00392DBB" w:rsidP="009000E3">
      <w:pPr>
        <w:pStyle w:val="ab"/>
        <w:numPr>
          <w:ilvl w:val="0"/>
          <w:numId w:val="81"/>
        </w:numPr>
        <w:rPr>
          <w:rtl/>
        </w:rPr>
      </w:pPr>
      <w:r w:rsidRPr="00397D58">
        <w:rPr>
          <w:rFonts w:cs="Arial"/>
          <w:rtl/>
        </w:rPr>
        <w:t>רשב"א</w:t>
      </w:r>
      <w:r w:rsidR="0003322E">
        <w:rPr>
          <w:rStyle w:val="a7"/>
          <w:rFonts w:cs="Arial"/>
          <w:rtl/>
        </w:rPr>
        <w:footnoteReference w:id="1594"/>
      </w:r>
      <w:r w:rsidRPr="00397D58">
        <w:rPr>
          <w:rFonts w:cs="Arial"/>
          <w:rtl/>
        </w:rPr>
        <w:t xml:space="preserve"> </w:t>
      </w:r>
      <w:r w:rsidRPr="00397D58">
        <w:rPr>
          <w:rFonts w:cs="Arial"/>
          <w:sz w:val="16"/>
          <w:szCs w:val="16"/>
          <w:rtl/>
        </w:rPr>
        <w:t>(ח"ו סי' ה)</w:t>
      </w:r>
      <w:r w:rsidR="00397D58" w:rsidRPr="00397D58">
        <w:rPr>
          <w:rFonts w:cs="Arial" w:hint="cs"/>
          <w:rtl/>
        </w:rPr>
        <w:t>-</w:t>
      </w:r>
      <w:r w:rsidRPr="00397D58">
        <w:rPr>
          <w:rFonts w:cs="Arial"/>
          <w:rtl/>
        </w:rPr>
        <w:t xml:space="preserve"> קרוב הדבר שכל שלא מחלה כל מה שכתוב בכתובתה לא מחלה מזונותיה</w:t>
      </w:r>
      <w:r w:rsidR="00BB7FB4">
        <w:rPr>
          <w:rFonts w:cs="Arial" w:hint="cs"/>
          <w:rtl/>
        </w:rPr>
        <w:t>...</w:t>
      </w:r>
      <w:r w:rsidRPr="00397D58">
        <w:rPr>
          <w:rFonts w:cs="Arial"/>
          <w:rtl/>
        </w:rPr>
        <w:t xml:space="preserve"> דאמר רבי ינאי תוספת כתובה ככתובה</w:t>
      </w:r>
      <w:r w:rsidR="00C2378F">
        <w:rPr>
          <w:rFonts w:cs="Arial" w:hint="cs"/>
          <w:rtl/>
        </w:rPr>
        <w:t>,</w:t>
      </w:r>
      <w:r w:rsidRPr="00397D58">
        <w:rPr>
          <w:rFonts w:cs="Arial"/>
          <w:rtl/>
        </w:rPr>
        <w:t xml:space="preserve"> י"ל דאף נדוניא בכלל דברי רבי ינאי</w:t>
      </w:r>
      <w:r w:rsidR="00C2378F">
        <w:rPr>
          <w:rFonts w:cs="Arial" w:hint="cs"/>
          <w:rtl/>
        </w:rPr>
        <w:t>,</w:t>
      </w:r>
      <w:r w:rsidRPr="00397D58">
        <w:rPr>
          <w:rFonts w:cs="Arial"/>
          <w:rtl/>
        </w:rPr>
        <w:t xml:space="preserve"> וכן פירשו קצת מפרשים</w:t>
      </w:r>
      <w:r w:rsidR="00C2378F">
        <w:rPr>
          <w:rFonts w:cs="Arial" w:hint="cs"/>
          <w:rtl/>
        </w:rPr>
        <w:t>,</w:t>
      </w:r>
      <w:r w:rsidRPr="00397D58">
        <w:rPr>
          <w:rFonts w:cs="Arial"/>
          <w:rtl/>
        </w:rPr>
        <w:t xml:space="preserve"> ועל כרחנו יש לנו להודות להם במקצת מה שאמר רבי ינאי</w:t>
      </w:r>
      <w:r w:rsidR="00EF5BBA">
        <w:rPr>
          <w:rFonts w:cs="Arial" w:hint="cs"/>
          <w:rtl/>
        </w:rPr>
        <w:t>..</w:t>
      </w:r>
      <w:r w:rsidR="009622A5">
        <w:rPr>
          <w:rFonts w:cs="Arial" w:hint="cs"/>
          <w:rtl/>
        </w:rPr>
        <w:t>.</w:t>
      </w:r>
      <w:r w:rsidRPr="00397D58">
        <w:rPr>
          <w:rFonts w:cs="Arial"/>
          <w:rtl/>
        </w:rPr>
        <w:t xml:space="preserve"> ועוד שכל שמחלה סתם מקצת מכתובתה</w:t>
      </w:r>
      <w:r w:rsidR="009622A5">
        <w:rPr>
          <w:rFonts w:cs="Arial" w:hint="cs"/>
          <w:rtl/>
        </w:rPr>
        <w:t>,</w:t>
      </w:r>
      <w:r w:rsidRPr="00397D58">
        <w:rPr>
          <w:rFonts w:cs="Arial"/>
          <w:rtl/>
        </w:rPr>
        <w:t xml:space="preserve"> אני אומר מהנדוניא מחלה</w:t>
      </w:r>
      <w:r w:rsidR="00366471">
        <w:rPr>
          <w:rStyle w:val="a7"/>
          <w:rFonts w:cs="Arial"/>
          <w:rtl/>
        </w:rPr>
        <w:footnoteReference w:id="1595"/>
      </w:r>
      <w:r w:rsidR="009622A5">
        <w:rPr>
          <w:rFonts w:cs="Arial" w:hint="cs"/>
          <w:rtl/>
        </w:rPr>
        <w:t>.</w:t>
      </w:r>
    </w:p>
    <w:p w14:paraId="55F2DC4B"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0F9FE23" w14:textId="4711F79D" w:rsidR="00392DBB" w:rsidRDefault="00392DBB" w:rsidP="00392DBB">
      <w:pPr>
        <w:rPr>
          <w:rtl/>
        </w:rPr>
      </w:pPr>
      <w:r>
        <w:rPr>
          <w:rFonts w:cs="Arial"/>
          <w:rtl/>
        </w:rPr>
        <w:lastRenderedPageBreak/>
        <w:t>ב</w:t>
      </w:r>
      <w:r w:rsidR="00D96CFD">
        <w:rPr>
          <w:rFonts w:cs="Arial" w:hint="cs"/>
          <w:rtl/>
        </w:rPr>
        <w:t>מה דברים אמורים</w:t>
      </w:r>
      <w:r>
        <w:rPr>
          <w:rFonts w:cs="Arial"/>
          <w:rtl/>
        </w:rPr>
        <w:t xml:space="preserve">, כשמכרה או משכנה או מחלה כל הכתובה, עיקר ותוספת. אבל אם שיירה מקצת, נזונת, אפילו לא שיירה אלא התוספת או מקצתו. ומיהו אם ירצו היורשים, יפרעו לה מה ששיירה ויפטרו ממזונותיה. וכל המוכרת או מוחלת סתם, מכרה ומחלה התוספת עם העיקר. </w:t>
      </w:r>
    </w:p>
    <w:p w14:paraId="6A2298A4" w14:textId="77777777" w:rsidR="00856D60" w:rsidRDefault="00856D60" w:rsidP="00D274AF">
      <w:pPr>
        <w:rPr>
          <w:rtl/>
        </w:rPr>
      </w:pPr>
    </w:p>
    <w:p w14:paraId="5BAAEA5D" w14:textId="63B13B81" w:rsidR="00392DBB" w:rsidRDefault="00392DBB" w:rsidP="000F64D0">
      <w:pPr>
        <w:pStyle w:val="2"/>
        <w:rPr>
          <w:rtl/>
        </w:rPr>
      </w:pPr>
      <w:r>
        <w:rPr>
          <w:rtl/>
        </w:rPr>
        <w:t>סעיף יא</w:t>
      </w:r>
      <w:r>
        <w:rPr>
          <w:rFonts w:hint="cs"/>
          <w:rtl/>
        </w:rPr>
        <w:t>:</w:t>
      </w:r>
      <w:r w:rsidR="00712DF1">
        <w:rPr>
          <w:rFonts w:hint="cs"/>
          <w:rtl/>
        </w:rPr>
        <w:t xml:space="preserve"> תבעה/נפרעה </w:t>
      </w:r>
      <w:r w:rsidR="00BC4060">
        <w:rPr>
          <w:rFonts w:hint="cs"/>
          <w:rtl/>
        </w:rPr>
        <w:t>נדונייתה.</w:t>
      </w:r>
    </w:p>
    <w:p w14:paraId="46EDCDB9" w14:textId="7E709919" w:rsidR="00392DBB" w:rsidRPr="00F22E6E" w:rsidRDefault="00712DF1" w:rsidP="00392DBB">
      <w:pPr>
        <w:rPr>
          <w:rtl/>
        </w:rPr>
      </w:pPr>
      <w:r>
        <w:rPr>
          <w:rFonts w:hint="cs"/>
          <w:rtl/>
        </w:rPr>
        <w:t>עיין במקורות בסעיף י.</w:t>
      </w:r>
    </w:p>
    <w:p w14:paraId="2BFA072D"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1F22270" w14:textId="61852700" w:rsidR="00392DBB" w:rsidRDefault="00392DBB" w:rsidP="00392DBB">
      <w:pPr>
        <w:rPr>
          <w:rFonts w:cs="Arial"/>
          <w:rtl/>
        </w:rPr>
      </w:pPr>
      <w:r>
        <w:rPr>
          <w:rFonts w:cs="Arial"/>
          <w:rtl/>
        </w:rPr>
        <w:t>תבעה נדוניית</w:t>
      </w:r>
      <w:r w:rsidR="00BC4060">
        <w:rPr>
          <w:rFonts w:cs="Arial" w:hint="cs"/>
          <w:rtl/>
        </w:rPr>
        <w:t>ה</w:t>
      </w:r>
      <w:r>
        <w:rPr>
          <w:rFonts w:cs="Arial"/>
          <w:rtl/>
        </w:rPr>
        <w:t xml:space="preserve"> ונפרעה ממנה, לא הפסידה מזונות, כיון ששיירה עיקר או תוספת או מקצת. </w:t>
      </w:r>
    </w:p>
    <w:p w14:paraId="311FFB67" w14:textId="77777777" w:rsidR="00392DBB" w:rsidRDefault="00392DBB" w:rsidP="00392DBB">
      <w:pPr>
        <w:rPr>
          <w:rtl/>
        </w:rPr>
      </w:pPr>
    </w:p>
    <w:p w14:paraId="32FC7AA8" w14:textId="6643D6BC" w:rsidR="00392DBB" w:rsidRDefault="00392DBB" w:rsidP="000F64D0">
      <w:pPr>
        <w:pStyle w:val="2"/>
        <w:rPr>
          <w:rtl/>
        </w:rPr>
      </w:pPr>
      <w:r>
        <w:rPr>
          <w:rtl/>
        </w:rPr>
        <w:t>סעיף יב</w:t>
      </w:r>
      <w:r w:rsidR="00BC4060">
        <w:rPr>
          <w:rFonts w:hint="cs"/>
          <w:rtl/>
        </w:rPr>
        <w:t>: תבעה עיקר ותוספת</w:t>
      </w:r>
      <w:r w:rsidR="00FA464C">
        <w:rPr>
          <w:rFonts w:hint="cs"/>
          <w:rtl/>
        </w:rPr>
        <w:t>, ולא תבעה נדונייתה.</w:t>
      </w:r>
    </w:p>
    <w:p w14:paraId="1AFA4983" w14:textId="691379D1" w:rsidR="00392DBB" w:rsidRPr="00F22E6E" w:rsidRDefault="00BC4060" w:rsidP="00BC4060">
      <w:pPr>
        <w:rPr>
          <w:rtl/>
        </w:rPr>
      </w:pPr>
      <w:r>
        <w:rPr>
          <w:rFonts w:hint="cs"/>
          <w:rtl/>
        </w:rPr>
        <w:t>עיין במקורות בסעיף י.</w:t>
      </w:r>
    </w:p>
    <w:p w14:paraId="0EE2EF33"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2FF2B61" w14:textId="10DFE154" w:rsidR="00392DBB" w:rsidRDefault="00392DBB" w:rsidP="00392DBB">
      <w:pPr>
        <w:rPr>
          <w:rtl/>
        </w:rPr>
      </w:pPr>
      <w:r>
        <w:rPr>
          <w:rFonts w:cs="Arial"/>
          <w:rtl/>
        </w:rPr>
        <w:t xml:space="preserve">תבעה עיקר ותוספת בלבד, אפילו נדונייתה מאה מנה, הפסידה מזונות. </w:t>
      </w:r>
      <w:r w:rsidRPr="00E82F98">
        <w:rPr>
          <w:rFonts w:cs="Arial"/>
          <w:sz w:val="18"/>
          <w:szCs w:val="18"/>
          <w:rtl/>
        </w:rPr>
        <w:t xml:space="preserve">הגה: וכן אם תבעה כתובתה סתם, אבדה מזונותיה, ולא אמרינין דלא תבעה התוספת </w:t>
      </w:r>
      <w:r w:rsidR="0096328F">
        <w:rPr>
          <w:rFonts w:cs="Arial" w:hint="cs"/>
          <w:sz w:val="18"/>
          <w:szCs w:val="18"/>
          <w:rtl/>
        </w:rPr>
        <w:t>(</w:t>
      </w:r>
      <w:r w:rsidRPr="00E82F98">
        <w:rPr>
          <w:rFonts w:cs="Arial"/>
          <w:sz w:val="18"/>
          <w:szCs w:val="18"/>
          <w:rtl/>
        </w:rPr>
        <w:t>טור).</w:t>
      </w:r>
      <w:r>
        <w:rPr>
          <w:rFonts w:cs="Arial"/>
          <w:rtl/>
        </w:rPr>
        <w:t xml:space="preserve"> </w:t>
      </w:r>
    </w:p>
    <w:p w14:paraId="022FF665" w14:textId="77777777" w:rsidR="00392DBB" w:rsidRDefault="00392DBB" w:rsidP="00392DBB">
      <w:pPr>
        <w:rPr>
          <w:rtl/>
        </w:rPr>
      </w:pPr>
    </w:p>
    <w:p w14:paraId="050C1F1E" w14:textId="1EF68613" w:rsidR="00392DBB" w:rsidRDefault="00392DBB" w:rsidP="000F64D0">
      <w:pPr>
        <w:pStyle w:val="2"/>
        <w:rPr>
          <w:rtl/>
        </w:rPr>
      </w:pPr>
      <w:r>
        <w:rPr>
          <w:rtl/>
        </w:rPr>
        <w:t>סעיף יג</w:t>
      </w:r>
      <w:r>
        <w:rPr>
          <w:rFonts w:hint="cs"/>
          <w:rtl/>
        </w:rPr>
        <w:t>:</w:t>
      </w:r>
      <w:r w:rsidR="00CF6596">
        <w:rPr>
          <w:rFonts w:hint="cs"/>
          <w:rtl/>
        </w:rPr>
        <w:t xml:space="preserve"> </w:t>
      </w:r>
      <w:r w:rsidR="00C64123">
        <w:rPr>
          <w:rFonts w:hint="cs"/>
          <w:rtl/>
        </w:rPr>
        <w:t>מכירת נכסים שאינם מניבים רווחים, בעבור מזונות.</w:t>
      </w:r>
    </w:p>
    <w:p w14:paraId="384E3142" w14:textId="15FCA765" w:rsidR="006D41C9" w:rsidRPr="003464CD" w:rsidRDefault="006D41C9" w:rsidP="006D41C9">
      <w:pPr>
        <w:rPr>
          <w:rFonts w:cs="Arial"/>
          <w:rtl/>
        </w:rPr>
      </w:pPr>
      <w:r w:rsidRPr="002E5176">
        <w:rPr>
          <w:rFonts w:cs="Arial" w:hint="cs"/>
          <w:b/>
          <w:bCs/>
          <w:rtl/>
        </w:rPr>
        <w:t xml:space="preserve">כתובות </w:t>
      </w:r>
      <w:r w:rsidRPr="002E5176">
        <w:rPr>
          <w:rFonts w:cs="Arial" w:hint="cs"/>
          <w:b/>
          <w:bCs/>
          <w:sz w:val="16"/>
          <w:szCs w:val="16"/>
          <w:rtl/>
        </w:rPr>
        <w:t xml:space="preserve">(פ' אלמנה ניזונת) </w:t>
      </w:r>
      <w:r w:rsidRPr="002E5176">
        <w:rPr>
          <w:rFonts w:cs="Arial" w:hint="cs"/>
          <w:b/>
          <w:bCs/>
          <w:rtl/>
        </w:rPr>
        <w:t>צז ע"ב:</w:t>
      </w:r>
      <w:r>
        <w:rPr>
          <w:rFonts w:cs="Arial" w:hint="cs"/>
          <w:rtl/>
        </w:rPr>
        <w:t xml:space="preserve"> </w:t>
      </w:r>
      <w:r w:rsidRPr="00B07A97">
        <w:rPr>
          <w:rFonts w:cs="Arial"/>
          <w:u w:val="single"/>
          <w:rtl/>
        </w:rPr>
        <w:t>בעו מיניה מרב ששת</w:t>
      </w:r>
      <w:r w:rsidRPr="00285BE0">
        <w:rPr>
          <w:rFonts w:cs="Arial"/>
          <w:rtl/>
        </w:rPr>
        <w:t>: מוכרת למזונות, מהו שתחזור ותטרוף</w:t>
      </w:r>
      <w:r>
        <w:rPr>
          <w:rStyle w:val="a7"/>
          <w:rFonts w:cs="Arial"/>
          <w:rtl/>
        </w:rPr>
        <w:footnoteReference w:id="1596"/>
      </w:r>
      <w:r w:rsidRPr="00285BE0">
        <w:rPr>
          <w:rFonts w:cs="Arial"/>
          <w:rtl/>
        </w:rPr>
        <w:t xml:space="preserve"> לכתובה?</w:t>
      </w:r>
      <w:r>
        <w:rPr>
          <w:rFonts w:cs="Arial" w:hint="cs"/>
          <w:rtl/>
        </w:rPr>
        <w:t>...</w:t>
      </w:r>
      <w:r w:rsidRPr="00285BE0">
        <w:rPr>
          <w:rFonts w:cs="Arial"/>
          <w:rtl/>
        </w:rPr>
        <w:t xml:space="preserve"> </w:t>
      </w:r>
      <w:r w:rsidRPr="00426CEF">
        <w:rPr>
          <w:rFonts w:cs="Arial"/>
          <w:u w:val="single"/>
          <w:rtl/>
        </w:rPr>
        <w:t>אמר ליה</w:t>
      </w:r>
      <w:r>
        <w:rPr>
          <w:rFonts w:cs="Arial" w:hint="cs"/>
          <w:rtl/>
        </w:rPr>
        <w:t>:</w:t>
      </w:r>
      <w:r w:rsidRPr="00285BE0">
        <w:rPr>
          <w:rFonts w:cs="Arial"/>
          <w:rtl/>
        </w:rPr>
        <w:t xml:space="preserve"> תניתוה: מוכרת והולכת עד כדי כתובתה, וסמך לה שתגבה כתובתה מן השאר</w:t>
      </w:r>
      <w:r>
        <w:rPr>
          <w:rFonts w:cs="Arial" w:hint="cs"/>
          <w:rtl/>
        </w:rPr>
        <w:t>.</w:t>
      </w:r>
      <w:r w:rsidRPr="00285BE0">
        <w:rPr>
          <w:rFonts w:cs="Arial"/>
          <w:rtl/>
        </w:rPr>
        <w:t xml:space="preserve"> שמע מינה, שיירא אין, לא שיירא לא. ודלמא עצה טובה קא משמע לן, דלא ליקרו לה הדרינתא! א"כ, ליתני גובה כתובתה מן השאר, מאי סמך לה? שמע מינה, שיירא אין, לא שיירא לא. </w:t>
      </w:r>
      <w:r w:rsidRPr="003464CD">
        <w:rPr>
          <w:rFonts w:cs="Arial" w:hint="cs"/>
          <w:sz w:val="16"/>
          <w:szCs w:val="16"/>
          <w:rtl/>
        </w:rPr>
        <w:t xml:space="preserve">(וכתב </w:t>
      </w:r>
      <w:r w:rsidRPr="00641E89">
        <w:rPr>
          <w:rFonts w:cs="Arial" w:hint="cs"/>
          <w:b/>
          <w:bCs/>
          <w:sz w:val="16"/>
          <w:szCs w:val="16"/>
          <w:rtl/>
        </w:rPr>
        <w:t>ה</w:t>
      </w:r>
      <w:r w:rsidRPr="00641E89">
        <w:rPr>
          <w:rFonts w:cs="Arial"/>
          <w:b/>
          <w:bCs/>
          <w:sz w:val="16"/>
          <w:szCs w:val="16"/>
          <w:rtl/>
        </w:rPr>
        <w:t>רי"ף</w:t>
      </w:r>
      <w:r w:rsidRPr="003464CD">
        <w:rPr>
          <w:rFonts w:cs="Arial"/>
          <w:sz w:val="16"/>
          <w:szCs w:val="16"/>
          <w:rtl/>
        </w:rPr>
        <w:t xml:space="preserve"> </w:t>
      </w:r>
      <w:r w:rsidRPr="003464CD">
        <w:rPr>
          <w:rFonts w:cs="Arial" w:hint="cs"/>
          <w:sz w:val="16"/>
          <w:szCs w:val="16"/>
          <w:rtl/>
        </w:rPr>
        <w:t>(נו.)</w:t>
      </w:r>
      <w:r>
        <w:rPr>
          <w:rFonts w:cs="Arial" w:hint="cs"/>
          <w:sz w:val="16"/>
          <w:szCs w:val="16"/>
          <w:rtl/>
        </w:rPr>
        <w:t>:</w:t>
      </w:r>
      <w:r w:rsidRPr="003464CD">
        <w:rPr>
          <w:rFonts w:cs="Arial" w:hint="cs"/>
          <w:sz w:val="16"/>
          <w:szCs w:val="16"/>
          <w:rtl/>
        </w:rPr>
        <w:t xml:space="preserve"> </w:t>
      </w:r>
      <w:r w:rsidRPr="003464CD">
        <w:rPr>
          <w:rFonts w:cs="Arial"/>
          <w:sz w:val="16"/>
          <w:szCs w:val="16"/>
          <w:rtl/>
        </w:rPr>
        <w:t>מהא שמעינן דלית לה לזבוני אלא כדי כתובתה</w:t>
      </w:r>
      <w:r w:rsidRPr="003464CD">
        <w:rPr>
          <w:rFonts w:cs="Arial" w:hint="cs"/>
          <w:sz w:val="16"/>
          <w:szCs w:val="16"/>
          <w:rtl/>
        </w:rPr>
        <w:t>,</w:t>
      </w:r>
      <w:r w:rsidRPr="003464CD">
        <w:rPr>
          <w:rFonts w:cs="Arial"/>
          <w:sz w:val="16"/>
          <w:szCs w:val="16"/>
          <w:rtl/>
        </w:rPr>
        <w:t xml:space="preserve"> אבל יותר מכדי כתובתה לא</w:t>
      </w:r>
      <w:r w:rsidRPr="003464CD">
        <w:rPr>
          <w:rFonts w:cs="Arial" w:hint="cs"/>
          <w:sz w:val="16"/>
          <w:szCs w:val="16"/>
          <w:rtl/>
        </w:rPr>
        <w:t>.</w:t>
      </w:r>
      <w:r w:rsidRPr="003464CD">
        <w:rPr>
          <w:rFonts w:cs="Arial"/>
          <w:sz w:val="16"/>
          <w:szCs w:val="16"/>
          <w:rtl/>
        </w:rPr>
        <w:t xml:space="preserve"> וקשיא לן הא דגרסינן בפרק שני דייני גזירות </w:t>
      </w:r>
      <w:r w:rsidRPr="003464CD">
        <w:rPr>
          <w:rFonts w:cs="Arial" w:hint="cs"/>
          <w:sz w:val="16"/>
          <w:szCs w:val="16"/>
          <w:rtl/>
        </w:rPr>
        <w:t>(</w:t>
      </w:r>
      <w:r w:rsidRPr="003464CD">
        <w:rPr>
          <w:rFonts w:cs="Arial"/>
          <w:sz w:val="16"/>
          <w:szCs w:val="16"/>
          <w:rtl/>
        </w:rPr>
        <w:t>כתובות קז</w:t>
      </w:r>
      <w:r w:rsidRPr="003464CD">
        <w:rPr>
          <w:rFonts w:cs="Arial" w:hint="cs"/>
          <w:sz w:val="16"/>
          <w:szCs w:val="16"/>
          <w:rtl/>
        </w:rPr>
        <w:t>:)</w:t>
      </w:r>
      <w:r w:rsidRPr="003464CD">
        <w:rPr>
          <w:rFonts w:cs="Arial"/>
          <w:sz w:val="16"/>
          <w:szCs w:val="16"/>
          <w:rtl/>
        </w:rPr>
        <w:t xml:space="preserve"> האשה שהלכה היא ובעלה למדינת הים ובאה ואמרה מת בעלי רצתה ניזונת רצתה גובה כתובתה</w:t>
      </w:r>
      <w:r w:rsidRPr="003464CD">
        <w:rPr>
          <w:rFonts w:cs="Arial" w:hint="cs"/>
          <w:sz w:val="16"/>
          <w:szCs w:val="16"/>
          <w:rtl/>
        </w:rPr>
        <w:t>,</w:t>
      </w:r>
      <w:r w:rsidRPr="003464CD">
        <w:rPr>
          <w:rFonts w:cs="Arial"/>
          <w:sz w:val="16"/>
          <w:szCs w:val="16"/>
          <w:rtl/>
        </w:rPr>
        <w:t xml:space="preserve"> אמרה גרשני בעלי מתפרנסת והולכת עד כדי כתובתה</w:t>
      </w:r>
      <w:r w:rsidRPr="003464CD">
        <w:rPr>
          <w:rFonts w:cs="Arial" w:hint="cs"/>
          <w:sz w:val="16"/>
          <w:szCs w:val="16"/>
          <w:rtl/>
        </w:rPr>
        <w:t>,</w:t>
      </w:r>
      <w:r w:rsidRPr="003464CD">
        <w:rPr>
          <w:rFonts w:cs="Arial"/>
          <w:sz w:val="16"/>
          <w:szCs w:val="16"/>
          <w:rtl/>
        </w:rPr>
        <w:t xml:space="preserve"> ואוקמה שמואל בששמעו בו שמת</w:t>
      </w:r>
      <w:r w:rsidRPr="003464CD">
        <w:rPr>
          <w:rFonts w:cs="Arial" w:hint="cs"/>
          <w:sz w:val="16"/>
          <w:szCs w:val="16"/>
          <w:rtl/>
        </w:rPr>
        <w:t>.</w:t>
      </w:r>
      <w:r w:rsidRPr="003464CD">
        <w:rPr>
          <w:rFonts w:cs="Arial"/>
          <w:sz w:val="16"/>
          <w:szCs w:val="16"/>
          <w:rtl/>
        </w:rPr>
        <w:t xml:space="preserve"> ומקשינן ומ"ש עד כדי כתובתה</w:t>
      </w:r>
      <w:r w:rsidRPr="003464CD">
        <w:rPr>
          <w:rFonts w:cs="Arial" w:hint="cs"/>
          <w:sz w:val="16"/>
          <w:szCs w:val="16"/>
          <w:rtl/>
        </w:rPr>
        <w:t>,</w:t>
      </w:r>
      <w:r w:rsidRPr="003464CD">
        <w:rPr>
          <w:rFonts w:cs="Arial"/>
          <w:sz w:val="16"/>
          <w:szCs w:val="16"/>
          <w:rtl/>
        </w:rPr>
        <w:t xml:space="preserve"> ופרקינן איהי אפסדה אנפשה דאמרה גרשני בעלי</w:t>
      </w:r>
      <w:r w:rsidRPr="003464CD">
        <w:rPr>
          <w:rFonts w:cs="Arial" w:hint="cs"/>
          <w:sz w:val="16"/>
          <w:szCs w:val="16"/>
          <w:rtl/>
        </w:rPr>
        <w:t>,</w:t>
      </w:r>
      <w:r w:rsidRPr="003464CD">
        <w:rPr>
          <w:rFonts w:cs="Arial"/>
          <w:sz w:val="16"/>
          <w:szCs w:val="16"/>
          <w:rtl/>
        </w:rPr>
        <w:t xml:space="preserve"> ושמעינן מינה דאי לא אמרה גרשני בעלי ניזונת והולכת עד לעולם</w:t>
      </w:r>
      <w:r w:rsidRPr="003464CD">
        <w:rPr>
          <w:rFonts w:cs="Arial" w:hint="cs"/>
          <w:sz w:val="16"/>
          <w:szCs w:val="16"/>
          <w:rtl/>
        </w:rPr>
        <w:t>.</w:t>
      </w:r>
      <w:r>
        <w:rPr>
          <w:rFonts w:cs="Arial" w:hint="cs"/>
          <w:sz w:val="16"/>
          <w:szCs w:val="16"/>
          <w:rtl/>
        </w:rPr>
        <w:t>.</w:t>
      </w:r>
      <w:r w:rsidRPr="003464CD">
        <w:rPr>
          <w:rFonts w:cs="Arial" w:hint="cs"/>
          <w:sz w:val="16"/>
          <w:szCs w:val="16"/>
          <w:rtl/>
        </w:rPr>
        <w:t>.</w:t>
      </w:r>
      <w:r w:rsidRPr="003464CD">
        <w:rPr>
          <w:rFonts w:cs="Arial"/>
          <w:sz w:val="16"/>
          <w:szCs w:val="16"/>
          <w:rtl/>
        </w:rPr>
        <w:t xml:space="preserve"> ואנן מסתברא לן פירוקא דהאי קושיא הא דתניא מוכרת והולכת עד כדי כתובתה אבל יתר מכדי כתובתה לא</w:t>
      </w:r>
      <w:r w:rsidRPr="003464CD">
        <w:rPr>
          <w:rFonts w:cs="Arial" w:hint="cs"/>
          <w:sz w:val="16"/>
          <w:szCs w:val="16"/>
          <w:rtl/>
        </w:rPr>
        <w:t xml:space="preserve"> -</w:t>
      </w:r>
      <w:r w:rsidRPr="003464CD">
        <w:rPr>
          <w:rFonts w:cs="Arial"/>
          <w:sz w:val="16"/>
          <w:szCs w:val="16"/>
          <w:rtl/>
        </w:rPr>
        <w:t xml:space="preserve"> בדלא אפשר לה לאתזוני אלא ממקרקעי</w:t>
      </w:r>
      <w:r w:rsidRPr="003464CD">
        <w:rPr>
          <w:rFonts w:cs="Arial" w:hint="cs"/>
          <w:sz w:val="16"/>
          <w:szCs w:val="16"/>
          <w:rtl/>
        </w:rPr>
        <w:t>,</w:t>
      </w:r>
      <w:r w:rsidRPr="003464CD">
        <w:rPr>
          <w:rFonts w:cs="Arial"/>
          <w:sz w:val="16"/>
          <w:szCs w:val="16"/>
          <w:rtl/>
        </w:rPr>
        <w:t xml:space="preserve"> הלכך לית לה לזבוני אלא כדי כתובתה</w:t>
      </w:r>
      <w:r w:rsidRPr="003464CD">
        <w:rPr>
          <w:rFonts w:cs="Arial" w:hint="cs"/>
          <w:sz w:val="16"/>
          <w:szCs w:val="16"/>
          <w:rtl/>
        </w:rPr>
        <w:t>.</w:t>
      </w:r>
      <w:r w:rsidRPr="003464CD">
        <w:rPr>
          <w:rFonts w:cs="Arial"/>
          <w:sz w:val="16"/>
          <w:szCs w:val="16"/>
          <w:rtl/>
        </w:rPr>
        <w:t xml:space="preserve"> והך אחריתי דשמעת מינה ניזונת לעולם מיירי </w:t>
      </w:r>
      <w:r w:rsidRPr="003464CD">
        <w:rPr>
          <w:rFonts w:cs="Arial" w:hint="cs"/>
          <w:sz w:val="16"/>
          <w:szCs w:val="16"/>
          <w:rtl/>
        </w:rPr>
        <w:t xml:space="preserve">- </w:t>
      </w:r>
      <w:r w:rsidRPr="003464CD">
        <w:rPr>
          <w:rFonts w:cs="Arial"/>
          <w:sz w:val="16"/>
          <w:szCs w:val="16"/>
          <w:rtl/>
        </w:rPr>
        <w:t>בדאפשר לה לאתזוני מפירי דמקרקעי ומאגרא דבתי ומאי דדמי ליה</w:t>
      </w:r>
      <w:r w:rsidRPr="003464CD">
        <w:rPr>
          <w:rFonts w:cs="Arial" w:hint="cs"/>
          <w:sz w:val="16"/>
          <w:szCs w:val="16"/>
          <w:rtl/>
        </w:rPr>
        <w:t>.</w:t>
      </w:r>
      <w:r w:rsidRPr="003464CD">
        <w:rPr>
          <w:rFonts w:cs="Arial"/>
          <w:sz w:val="16"/>
          <w:szCs w:val="16"/>
          <w:rtl/>
        </w:rPr>
        <w:t xml:space="preserve"> ודייקינן מדקתני בהאי מתניתא מוכרת ובהך לא קתני מוכרת אלא ניזונת</w:t>
      </w:r>
      <w:r w:rsidRPr="003464CD">
        <w:rPr>
          <w:rFonts w:cs="Arial" w:hint="cs"/>
          <w:sz w:val="16"/>
          <w:szCs w:val="16"/>
          <w:rtl/>
        </w:rPr>
        <w:t xml:space="preserve">. עכ"ל.     </w:t>
      </w:r>
      <w:r w:rsidRPr="003464CD">
        <w:rPr>
          <w:rFonts w:cs="Arial"/>
          <w:sz w:val="16"/>
          <w:szCs w:val="16"/>
          <w:rtl/>
        </w:rPr>
        <w:t xml:space="preserve"> וכתב </w:t>
      </w:r>
      <w:r w:rsidRPr="00641E89">
        <w:rPr>
          <w:rFonts w:cs="Arial"/>
          <w:b/>
          <w:bCs/>
          <w:sz w:val="16"/>
          <w:szCs w:val="16"/>
          <w:rtl/>
        </w:rPr>
        <w:t xml:space="preserve">הרא"ש </w:t>
      </w:r>
      <w:r w:rsidRPr="003464CD">
        <w:rPr>
          <w:rFonts w:cs="Arial"/>
          <w:sz w:val="16"/>
          <w:szCs w:val="16"/>
          <w:rtl/>
        </w:rPr>
        <w:t>(פי"א סי' ז) על זה</w:t>
      </w:r>
      <w:r w:rsidRPr="003464CD">
        <w:rPr>
          <w:rFonts w:cs="Arial" w:hint="cs"/>
          <w:sz w:val="16"/>
          <w:szCs w:val="16"/>
          <w:rtl/>
        </w:rPr>
        <w:t>:</w:t>
      </w:r>
      <w:r w:rsidRPr="003464CD">
        <w:rPr>
          <w:rFonts w:cs="Arial"/>
          <w:sz w:val="16"/>
          <w:szCs w:val="16"/>
          <w:rtl/>
        </w:rPr>
        <w:t xml:space="preserve"> ודברים של תימה הן</w:t>
      </w:r>
      <w:r w:rsidRPr="003464CD">
        <w:rPr>
          <w:rFonts w:cs="Arial" w:hint="cs"/>
          <w:sz w:val="16"/>
          <w:szCs w:val="16"/>
          <w:rtl/>
        </w:rPr>
        <w:t>,</w:t>
      </w:r>
      <w:r w:rsidRPr="003464CD">
        <w:rPr>
          <w:rFonts w:cs="Arial"/>
          <w:sz w:val="16"/>
          <w:szCs w:val="16"/>
          <w:rtl/>
        </w:rPr>
        <w:t xml:space="preserve"> היאך דקדקו מכאן דאינה מוכרת למזונות אלא עד כדי כתובתה</w:t>
      </w:r>
      <w:r w:rsidRPr="003464CD">
        <w:rPr>
          <w:rFonts w:cs="Arial" w:hint="cs"/>
          <w:sz w:val="16"/>
          <w:szCs w:val="16"/>
          <w:rtl/>
        </w:rPr>
        <w:t>,</w:t>
      </w:r>
      <w:r w:rsidRPr="003464CD">
        <w:rPr>
          <w:rFonts w:cs="Arial"/>
          <w:sz w:val="16"/>
          <w:szCs w:val="16"/>
          <w:rtl/>
        </w:rPr>
        <w:t xml:space="preserve"> הא בהדיא מוכח בבריתא שהשאר הוא כדי כתובתה שתגבה מהם כדי כתובתה</w:t>
      </w:r>
      <w:r w:rsidRPr="003464CD">
        <w:rPr>
          <w:rFonts w:cs="Arial" w:hint="cs"/>
          <w:sz w:val="16"/>
          <w:szCs w:val="16"/>
          <w:rtl/>
        </w:rPr>
        <w:t>,</w:t>
      </w:r>
      <w:r w:rsidRPr="003464CD">
        <w:rPr>
          <w:rFonts w:cs="Arial"/>
          <w:sz w:val="16"/>
          <w:szCs w:val="16"/>
          <w:rtl/>
        </w:rPr>
        <w:t xml:space="preserve"> וקמ</w:t>
      </w:r>
      <w:r w:rsidRPr="003464CD">
        <w:rPr>
          <w:rFonts w:cs="Arial" w:hint="cs"/>
          <w:sz w:val="16"/>
          <w:szCs w:val="16"/>
          <w:rtl/>
        </w:rPr>
        <w:t>"</w:t>
      </w:r>
      <w:r w:rsidRPr="003464CD">
        <w:rPr>
          <w:rFonts w:cs="Arial"/>
          <w:sz w:val="16"/>
          <w:szCs w:val="16"/>
          <w:rtl/>
        </w:rPr>
        <w:t>ל דמה שמכרה למזונו</w:t>
      </w:r>
      <w:r w:rsidRPr="003464CD">
        <w:rPr>
          <w:rFonts w:cs="Arial" w:hint="cs"/>
          <w:sz w:val="16"/>
          <w:szCs w:val="16"/>
          <w:rtl/>
        </w:rPr>
        <w:t>ת</w:t>
      </w:r>
      <w:r w:rsidRPr="003464CD">
        <w:rPr>
          <w:rFonts w:cs="Arial"/>
          <w:sz w:val="16"/>
          <w:szCs w:val="16"/>
          <w:rtl/>
        </w:rPr>
        <w:t xml:space="preserve"> אינה חוזרת וטורפת לכתובתה</w:t>
      </w:r>
      <w:r w:rsidRPr="003464CD">
        <w:rPr>
          <w:rFonts w:cs="Arial" w:hint="cs"/>
          <w:sz w:val="16"/>
          <w:szCs w:val="16"/>
          <w:rtl/>
        </w:rPr>
        <w:t>,</w:t>
      </w:r>
      <w:r w:rsidRPr="003464CD">
        <w:rPr>
          <w:rFonts w:cs="Arial"/>
          <w:sz w:val="16"/>
          <w:szCs w:val="16"/>
          <w:rtl/>
        </w:rPr>
        <w:t xml:space="preserve"> דאחריות דנפשא קבילת עלה</w:t>
      </w:r>
      <w:r w:rsidRPr="003464CD">
        <w:rPr>
          <w:rFonts w:cs="Arial" w:hint="cs"/>
          <w:sz w:val="16"/>
          <w:szCs w:val="16"/>
          <w:rtl/>
        </w:rPr>
        <w:t>,</w:t>
      </w:r>
      <w:r w:rsidRPr="003464CD">
        <w:rPr>
          <w:rFonts w:cs="Arial"/>
          <w:sz w:val="16"/>
          <w:szCs w:val="16"/>
          <w:rtl/>
        </w:rPr>
        <w:t xml:space="preserve"> אבל אם אינה חוששת על גביית כתובתה יכולה להיות נזונת לעולם עכ"ל. </w:t>
      </w:r>
      <w:r w:rsidRPr="003464CD">
        <w:rPr>
          <w:rFonts w:cs="Arial" w:hint="cs"/>
          <w:sz w:val="16"/>
          <w:szCs w:val="16"/>
          <w:rtl/>
        </w:rPr>
        <w:t xml:space="preserve">     </w:t>
      </w:r>
      <w:r w:rsidRPr="003464CD">
        <w:rPr>
          <w:rFonts w:cs="Arial"/>
          <w:sz w:val="16"/>
          <w:szCs w:val="16"/>
          <w:rtl/>
        </w:rPr>
        <w:t xml:space="preserve">וגם </w:t>
      </w:r>
      <w:r w:rsidRPr="00641E89">
        <w:rPr>
          <w:rFonts w:cs="Arial"/>
          <w:b/>
          <w:bCs/>
          <w:sz w:val="16"/>
          <w:szCs w:val="16"/>
          <w:rtl/>
        </w:rPr>
        <w:t xml:space="preserve">הר"ן </w:t>
      </w:r>
      <w:r w:rsidRPr="003464CD">
        <w:rPr>
          <w:rFonts w:cs="Arial"/>
          <w:sz w:val="16"/>
          <w:szCs w:val="16"/>
          <w:rtl/>
        </w:rPr>
        <w:t>(נו. ד"ה אמר) כתב שאין דברי הרי"ף מחוורין</w:t>
      </w:r>
      <w:r w:rsidRPr="003464CD">
        <w:rPr>
          <w:rFonts w:cs="Arial" w:hint="cs"/>
          <w:sz w:val="16"/>
          <w:szCs w:val="16"/>
          <w:rtl/>
        </w:rPr>
        <w:t>,</w:t>
      </w:r>
      <w:r w:rsidRPr="003464CD">
        <w:rPr>
          <w:rFonts w:cs="Arial"/>
          <w:sz w:val="16"/>
          <w:szCs w:val="16"/>
          <w:rtl/>
        </w:rPr>
        <w:t xml:space="preserve"> דכי קתני מוכרת ואוכלת עד כדי כתובתה לאו למימרא שלא תהא רשאה למכור למזונות אלא כדי כתובתה ותו לא</w:t>
      </w:r>
      <w:r w:rsidRPr="003464CD">
        <w:rPr>
          <w:rFonts w:cs="Arial" w:hint="cs"/>
          <w:sz w:val="16"/>
          <w:szCs w:val="16"/>
          <w:rtl/>
        </w:rPr>
        <w:t>,</w:t>
      </w:r>
      <w:r w:rsidRPr="003464CD">
        <w:rPr>
          <w:rFonts w:cs="Arial"/>
          <w:sz w:val="16"/>
          <w:szCs w:val="16"/>
          <w:rtl/>
        </w:rPr>
        <w:t xml:space="preserve"> אלא עצה טובה קמ"ל שלא תמכור הכל אלא לצורך מזונות</w:t>
      </w:r>
      <w:r w:rsidRPr="003464CD">
        <w:rPr>
          <w:rFonts w:cs="Arial" w:hint="cs"/>
          <w:sz w:val="16"/>
          <w:szCs w:val="16"/>
          <w:rtl/>
        </w:rPr>
        <w:t>,</w:t>
      </w:r>
      <w:r w:rsidRPr="003464CD">
        <w:rPr>
          <w:rFonts w:cs="Arial"/>
          <w:sz w:val="16"/>
          <w:szCs w:val="16"/>
          <w:rtl/>
        </w:rPr>
        <w:t xml:space="preserve"> שאם תעשה כן איפשר דאתי מלוה בשטר ויטרוף הדמים מידי הלקוחות ואינה יכולה לחזור ולטרפן מחמת כתובתה דה"ל מטלטלי ולא משתעבדי לכתובה</w:t>
      </w:r>
      <w:r w:rsidRPr="003464CD">
        <w:rPr>
          <w:rFonts w:cs="Arial" w:hint="cs"/>
          <w:sz w:val="16"/>
          <w:szCs w:val="16"/>
          <w:rtl/>
        </w:rPr>
        <w:t>,</w:t>
      </w:r>
      <w:r w:rsidRPr="003464CD">
        <w:rPr>
          <w:rFonts w:cs="Arial"/>
          <w:sz w:val="16"/>
          <w:szCs w:val="16"/>
          <w:rtl/>
        </w:rPr>
        <w:t xml:space="preserve"> ומ"ה קאמר שתשייר במכירתה כדי כתובתה כדי שתוכל לגבותו מחמת כתובתה ולא יוכל להפסידה מלוה בשטר</w:t>
      </w:r>
      <w:r w:rsidRPr="003464CD">
        <w:rPr>
          <w:rFonts w:cs="Arial" w:hint="cs"/>
          <w:sz w:val="16"/>
          <w:szCs w:val="16"/>
          <w:rtl/>
        </w:rPr>
        <w:t>.</w:t>
      </w:r>
      <w:r w:rsidRPr="003464CD">
        <w:rPr>
          <w:rFonts w:cs="Arial"/>
          <w:sz w:val="16"/>
          <w:szCs w:val="16"/>
          <w:rtl/>
        </w:rPr>
        <w:t xml:space="preserve"> וכן פי' בתוספות (צז. ד"ה וסמך) והראב"ד ז"ל (בהשגות לרי"ף נו.) דעד כדי כתובתה </w:t>
      </w:r>
      <w:r w:rsidRPr="003464CD">
        <w:rPr>
          <w:rFonts w:cs="Arial" w:hint="cs"/>
          <w:sz w:val="16"/>
          <w:szCs w:val="16"/>
          <w:rtl/>
        </w:rPr>
        <w:t xml:space="preserve">- </w:t>
      </w:r>
      <w:r w:rsidRPr="003464CD">
        <w:rPr>
          <w:rFonts w:cs="Arial"/>
          <w:sz w:val="16"/>
          <w:szCs w:val="16"/>
          <w:rtl/>
        </w:rPr>
        <w:t>עד שתשייר כדי כתובתה קאמר</w:t>
      </w:r>
      <w:r w:rsidRPr="003464CD">
        <w:rPr>
          <w:rFonts w:cs="Arial" w:hint="cs"/>
          <w:sz w:val="16"/>
          <w:szCs w:val="16"/>
          <w:rtl/>
        </w:rPr>
        <w:t>.</w:t>
      </w:r>
      <w:r w:rsidRPr="003464CD">
        <w:rPr>
          <w:rFonts w:cs="Arial"/>
          <w:sz w:val="16"/>
          <w:szCs w:val="16"/>
          <w:rtl/>
        </w:rPr>
        <w:t xml:space="preserve"> ואף במקצת נסחי הלכות מצא כתוב כך שחזר בו הרי"ף בסוף ימיו והגיה</w:t>
      </w:r>
      <w:r w:rsidRPr="003464CD">
        <w:rPr>
          <w:rFonts w:cs="Arial" w:hint="cs"/>
          <w:sz w:val="16"/>
          <w:szCs w:val="16"/>
          <w:rtl/>
        </w:rPr>
        <w:t>.</w:t>
      </w:r>
      <w:r w:rsidRPr="003464CD">
        <w:rPr>
          <w:rFonts w:cs="Arial"/>
          <w:sz w:val="16"/>
          <w:szCs w:val="16"/>
          <w:rtl/>
        </w:rPr>
        <w:t xml:space="preserve"> וכן כתב הרמב"ם ז"ל בפי"ח מהל</w:t>
      </w:r>
      <w:r w:rsidRPr="003464CD">
        <w:rPr>
          <w:rFonts w:cs="Arial" w:hint="cs"/>
          <w:sz w:val="16"/>
          <w:szCs w:val="16"/>
          <w:rtl/>
        </w:rPr>
        <w:t>'</w:t>
      </w:r>
      <w:r w:rsidRPr="003464CD">
        <w:rPr>
          <w:rFonts w:cs="Arial"/>
          <w:sz w:val="16"/>
          <w:szCs w:val="16"/>
          <w:rtl/>
        </w:rPr>
        <w:t xml:space="preserve"> אישות (הכ"א) עכ"ל. </w:t>
      </w:r>
      <w:r w:rsidRPr="003464CD">
        <w:rPr>
          <w:rFonts w:cs="Arial" w:hint="cs"/>
          <w:sz w:val="16"/>
          <w:szCs w:val="16"/>
          <w:rtl/>
        </w:rPr>
        <w:t xml:space="preserve">    </w:t>
      </w:r>
      <w:r w:rsidRPr="003464CD">
        <w:rPr>
          <w:rFonts w:cs="Arial"/>
          <w:sz w:val="16"/>
          <w:szCs w:val="16"/>
          <w:rtl/>
        </w:rPr>
        <w:t xml:space="preserve">וגם </w:t>
      </w:r>
      <w:r w:rsidRPr="00641E89">
        <w:rPr>
          <w:rFonts w:cs="Arial"/>
          <w:b/>
          <w:bCs/>
          <w:sz w:val="16"/>
          <w:szCs w:val="16"/>
          <w:rtl/>
        </w:rPr>
        <w:t>הה</w:t>
      </w:r>
      <w:r w:rsidRPr="00641E89">
        <w:rPr>
          <w:rFonts w:cs="Arial" w:hint="cs"/>
          <w:b/>
          <w:bCs/>
          <w:sz w:val="16"/>
          <w:szCs w:val="16"/>
          <w:rtl/>
        </w:rPr>
        <w:t>"</w:t>
      </w:r>
      <w:r w:rsidRPr="00641E89">
        <w:rPr>
          <w:rFonts w:cs="Arial"/>
          <w:b/>
          <w:bCs/>
          <w:sz w:val="16"/>
          <w:szCs w:val="16"/>
          <w:rtl/>
        </w:rPr>
        <w:t xml:space="preserve">מ </w:t>
      </w:r>
      <w:r w:rsidRPr="003464CD">
        <w:rPr>
          <w:rFonts w:cs="Arial"/>
          <w:sz w:val="16"/>
          <w:szCs w:val="16"/>
          <w:rtl/>
        </w:rPr>
        <w:t>כתב שם שכדברי הרמב"ם עיקר</w:t>
      </w:r>
      <w:r w:rsidRPr="003464CD">
        <w:rPr>
          <w:rFonts w:cs="Arial" w:hint="cs"/>
          <w:sz w:val="16"/>
          <w:szCs w:val="16"/>
          <w:rtl/>
        </w:rPr>
        <w:t>,</w:t>
      </w:r>
      <w:r w:rsidRPr="003464CD">
        <w:rPr>
          <w:rFonts w:cs="Arial"/>
          <w:sz w:val="16"/>
          <w:szCs w:val="16"/>
          <w:rtl/>
        </w:rPr>
        <w:t xml:space="preserve"> וכן העלו האחרונים ז"ל.</w:t>
      </w:r>
      <w:r w:rsidRPr="003464CD">
        <w:rPr>
          <w:rFonts w:cs="Arial" w:hint="cs"/>
          <w:sz w:val="16"/>
          <w:szCs w:val="16"/>
          <w:rtl/>
        </w:rPr>
        <w:t xml:space="preserve">    </w:t>
      </w:r>
      <w:r w:rsidRPr="003464CD">
        <w:rPr>
          <w:rFonts w:cs="Arial"/>
          <w:sz w:val="16"/>
          <w:szCs w:val="16"/>
          <w:rtl/>
        </w:rPr>
        <w:t xml:space="preserve"> וגם </w:t>
      </w:r>
      <w:r w:rsidRPr="00641E89">
        <w:rPr>
          <w:rFonts w:cs="Arial"/>
          <w:b/>
          <w:bCs/>
          <w:sz w:val="16"/>
          <w:szCs w:val="16"/>
          <w:rtl/>
        </w:rPr>
        <w:t>המרדכי</w:t>
      </w:r>
      <w:r w:rsidRPr="003464CD">
        <w:rPr>
          <w:rFonts w:cs="Arial"/>
          <w:sz w:val="16"/>
          <w:szCs w:val="16"/>
          <w:rtl/>
        </w:rPr>
        <w:t xml:space="preserve"> (סי' רנג) כתב על דברי הרי"ף</w:t>
      </w:r>
      <w:r w:rsidR="00EF64D5">
        <w:rPr>
          <w:rFonts w:cs="Arial" w:hint="cs"/>
          <w:sz w:val="16"/>
          <w:szCs w:val="16"/>
          <w:rtl/>
        </w:rPr>
        <w:t>:</w:t>
      </w:r>
      <w:r w:rsidRPr="003464CD">
        <w:rPr>
          <w:rFonts w:cs="Arial"/>
          <w:sz w:val="16"/>
          <w:szCs w:val="16"/>
          <w:rtl/>
        </w:rPr>
        <w:t xml:space="preserve"> רש"י (צז. ד"ה עד) לא פירש כן</w:t>
      </w:r>
      <w:r w:rsidRPr="003464CD">
        <w:rPr>
          <w:rFonts w:cs="Arial" w:hint="cs"/>
          <w:sz w:val="16"/>
          <w:szCs w:val="16"/>
          <w:rtl/>
        </w:rPr>
        <w:t>,</w:t>
      </w:r>
      <w:r w:rsidRPr="003464CD">
        <w:rPr>
          <w:rFonts w:cs="Arial"/>
          <w:sz w:val="16"/>
          <w:szCs w:val="16"/>
          <w:rtl/>
        </w:rPr>
        <w:t xml:space="preserve"> אלא נזונת לעולם יותר מכדי כתובתה</w:t>
      </w:r>
      <w:r w:rsidRPr="003464CD">
        <w:rPr>
          <w:rFonts w:cs="Arial" w:hint="cs"/>
          <w:sz w:val="16"/>
          <w:szCs w:val="16"/>
          <w:rtl/>
        </w:rPr>
        <w:t>,</w:t>
      </w:r>
      <w:r w:rsidRPr="003464CD">
        <w:rPr>
          <w:rFonts w:cs="Arial"/>
          <w:sz w:val="16"/>
          <w:szCs w:val="16"/>
          <w:rtl/>
        </w:rPr>
        <w:t xml:space="preserve"> וכן בירושלמי (פי"א סוף ה"ב) עכ"ל</w:t>
      </w:r>
      <w:r w:rsidRPr="003464CD">
        <w:rPr>
          <w:rFonts w:cs="Arial" w:hint="cs"/>
          <w:sz w:val="16"/>
          <w:szCs w:val="16"/>
          <w:rtl/>
        </w:rPr>
        <w:t>, ב"י</w:t>
      </w:r>
      <w:r>
        <w:rPr>
          <w:rFonts w:cs="Arial" w:hint="cs"/>
          <w:sz w:val="16"/>
          <w:szCs w:val="16"/>
          <w:rtl/>
        </w:rPr>
        <w:t>)</w:t>
      </w:r>
    </w:p>
    <w:p w14:paraId="06B4C326" w14:textId="7CAD07EA" w:rsidR="00976F49" w:rsidRPr="006D41C9" w:rsidRDefault="00511578" w:rsidP="00976F49">
      <w:pPr>
        <w:rPr>
          <w:u w:val="single"/>
          <w:rtl/>
        </w:rPr>
      </w:pPr>
      <w:r w:rsidRPr="006D41C9">
        <w:rPr>
          <w:rFonts w:hint="cs"/>
          <w:u w:val="single"/>
          <w:rtl/>
        </w:rPr>
        <w:t xml:space="preserve">נכסים שאי אפשר להתפרנס מהרווחים שלהם - </w:t>
      </w:r>
      <w:r w:rsidR="006D41C9" w:rsidRPr="006D41C9">
        <w:rPr>
          <w:rFonts w:hint="cs"/>
          <w:u w:val="single"/>
          <w:rtl/>
        </w:rPr>
        <w:t xml:space="preserve">האם יכולה למכור </w:t>
      </w:r>
      <w:r w:rsidR="006D41C9">
        <w:rPr>
          <w:rFonts w:hint="cs"/>
          <w:u w:val="single"/>
          <w:rtl/>
        </w:rPr>
        <w:t>מה</w:t>
      </w:r>
      <w:r w:rsidR="006D41C9" w:rsidRPr="006D41C9">
        <w:rPr>
          <w:rFonts w:hint="cs"/>
          <w:u w:val="single"/>
          <w:rtl/>
        </w:rPr>
        <w:t>ם למזונות יתר על סך כתובתה:</w:t>
      </w:r>
    </w:p>
    <w:p w14:paraId="6030CE70" w14:textId="4484232E" w:rsidR="00E90CF4" w:rsidRPr="00E90CF4" w:rsidRDefault="00095159" w:rsidP="009000E3">
      <w:pPr>
        <w:pStyle w:val="ab"/>
        <w:numPr>
          <w:ilvl w:val="0"/>
          <w:numId w:val="61"/>
        </w:numPr>
      </w:pPr>
      <w:r>
        <w:rPr>
          <w:rFonts w:cs="Arial" w:hint="cs"/>
          <w:rtl/>
        </w:rPr>
        <w:t>רי"ף</w:t>
      </w:r>
      <w:r>
        <w:rPr>
          <w:rFonts w:cs="Arial" w:hint="cs"/>
          <w:sz w:val="16"/>
          <w:szCs w:val="16"/>
          <w:rtl/>
        </w:rPr>
        <w:t xml:space="preserve"> (נו.)</w:t>
      </w:r>
      <w:r>
        <w:rPr>
          <w:rFonts w:cs="Arial" w:hint="cs"/>
          <w:rtl/>
        </w:rPr>
        <w:t xml:space="preserve">- </w:t>
      </w:r>
      <w:r w:rsidR="00392DBB" w:rsidRPr="000A1431">
        <w:rPr>
          <w:rFonts w:cs="Arial"/>
          <w:rtl/>
        </w:rPr>
        <w:t>כשאין בנכסים שתתפרנס מן הריוח</w:t>
      </w:r>
      <w:r>
        <w:rPr>
          <w:rFonts w:cs="Arial" w:hint="cs"/>
          <w:rtl/>
        </w:rPr>
        <w:t>,</w:t>
      </w:r>
      <w:r w:rsidR="00392DBB" w:rsidRPr="000A1431">
        <w:rPr>
          <w:rFonts w:cs="Arial"/>
          <w:rtl/>
        </w:rPr>
        <w:t xml:space="preserve"> כגון בשכירות בתים ומפירות קרקעות</w:t>
      </w:r>
      <w:r w:rsidR="00E90CF4">
        <w:rPr>
          <w:rFonts w:cs="Arial" w:hint="cs"/>
          <w:rtl/>
        </w:rPr>
        <w:t>,</w:t>
      </w:r>
      <w:r w:rsidR="00392DBB" w:rsidRPr="000A1431">
        <w:rPr>
          <w:rFonts w:cs="Arial"/>
          <w:rtl/>
        </w:rPr>
        <w:t xml:space="preserve"> אלא שצריכה למכור מהנכסים כדי לפרנסה</w:t>
      </w:r>
      <w:r w:rsidR="00511578">
        <w:rPr>
          <w:rFonts w:cs="Arial" w:hint="cs"/>
          <w:rtl/>
        </w:rPr>
        <w:t xml:space="preserve"> -</w:t>
      </w:r>
      <w:r w:rsidR="00392DBB" w:rsidRPr="000A1431">
        <w:rPr>
          <w:rFonts w:cs="Arial"/>
          <w:rtl/>
        </w:rPr>
        <w:t xml:space="preserve"> אז אינה ניזונת אלא כדי כתובתה</w:t>
      </w:r>
      <w:r w:rsidR="00511578">
        <w:rPr>
          <w:rFonts w:cs="Arial" w:hint="cs"/>
          <w:rtl/>
        </w:rPr>
        <w:t>.</w:t>
      </w:r>
      <w:r w:rsidR="00392DBB" w:rsidRPr="000A1431">
        <w:rPr>
          <w:rFonts w:cs="Arial"/>
          <w:rtl/>
        </w:rPr>
        <w:t xml:space="preserve"> אלא אם יש בפירות ובשכירות הבתים כדי שתיזון </w:t>
      </w:r>
      <w:r w:rsidR="00511578">
        <w:rPr>
          <w:rFonts w:cs="Arial" w:hint="cs"/>
          <w:rtl/>
        </w:rPr>
        <w:t xml:space="preserve">- </w:t>
      </w:r>
      <w:r w:rsidR="00392DBB" w:rsidRPr="000A1431">
        <w:rPr>
          <w:rFonts w:cs="Arial"/>
          <w:rtl/>
        </w:rPr>
        <w:t>ניזונת לעולם</w:t>
      </w:r>
      <w:r w:rsidR="00C64123">
        <w:rPr>
          <w:rFonts w:cs="Arial" w:hint="cs"/>
          <w:sz w:val="16"/>
          <w:szCs w:val="16"/>
          <w:rtl/>
        </w:rPr>
        <w:t xml:space="preserve"> (ל' הטור בשמו)</w:t>
      </w:r>
      <w:r w:rsidR="00E90CF4">
        <w:rPr>
          <w:rFonts w:cs="Arial" w:hint="cs"/>
          <w:rtl/>
        </w:rPr>
        <w:t>.</w:t>
      </w:r>
      <w:r w:rsidR="00392DBB" w:rsidRPr="000A1431">
        <w:rPr>
          <w:rFonts w:cs="Arial"/>
          <w:rtl/>
        </w:rPr>
        <w:t xml:space="preserve"> </w:t>
      </w:r>
    </w:p>
    <w:p w14:paraId="3D126BA3" w14:textId="6E8F9303" w:rsidR="00392DBB" w:rsidRPr="00DB1BB3" w:rsidRDefault="00872EC7" w:rsidP="009000E3">
      <w:pPr>
        <w:pStyle w:val="ab"/>
        <w:numPr>
          <w:ilvl w:val="0"/>
          <w:numId w:val="61"/>
        </w:numPr>
      </w:pPr>
      <w:r>
        <w:rPr>
          <w:rFonts w:cs="Arial" w:hint="cs"/>
          <w:rtl/>
        </w:rPr>
        <w:t>רמב"ם</w:t>
      </w:r>
      <w:r w:rsidR="00913371">
        <w:rPr>
          <w:rFonts w:cs="Arial" w:hint="cs"/>
          <w:rtl/>
        </w:rPr>
        <w:t xml:space="preserve"> </w:t>
      </w:r>
      <w:r w:rsidR="00E867A3">
        <w:rPr>
          <w:rFonts w:cs="Arial" w:hint="cs"/>
          <w:sz w:val="16"/>
          <w:szCs w:val="16"/>
          <w:rtl/>
        </w:rPr>
        <w:t>(פי"ח מהל' אישות הכ"א)</w:t>
      </w:r>
      <w:r w:rsidR="00E867A3">
        <w:rPr>
          <w:rFonts w:cs="Arial" w:hint="cs"/>
          <w:rtl/>
        </w:rPr>
        <w:t xml:space="preserve"> </w:t>
      </w:r>
      <w:r>
        <w:rPr>
          <w:rFonts w:cs="Arial" w:hint="cs"/>
          <w:rtl/>
        </w:rPr>
        <w:t xml:space="preserve">רשב"א </w:t>
      </w:r>
      <w:r w:rsidRPr="00872EC7">
        <w:rPr>
          <w:rFonts w:cs="Arial"/>
          <w:sz w:val="16"/>
          <w:szCs w:val="16"/>
          <w:rtl/>
        </w:rPr>
        <w:t>(במיוחסות סי</w:t>
      </w:r>
      <w:r w:rsidRPr="00872EC7">
        <w:rPr>
          <w:rFonts w:cs="Arial" w:hint="cs"/>
          <w:sz w:val="16"/>
          <w:szCs w:val="16"/>
          <w:rtl/>
        </w:rPr>
        <w:t>'</w:t>
      </w:r>
      <w:r w:rsidRPr="00872EC7">
        <w:rPr>
          <w:rFonts w:cs="Arial"/>
          <w:sz w:val="16"/>
          <w:szCs w:val="16"/>
          <w:rtl/>
        </w:rPr>
        <w:t xml:space="preserve"> לג</w:t>
      </w:r>
      <w:r w:rsidRPr="00872EC7">
        <w:rPr>
          <w:rFonts w:cs="Arial" w:hint="cs"/>
          <w:sz w:val="16"/>
          <w:szCs w:val="16"/>
          <w:rtl/>
        </w:rPr>
        <w:t>)</w:t>
      </w:r>
      <w:r>
        <w:rPr>
          <w:rFonts w:cs="Arial" w:hint="cs"/>
          <w:rtl/>
        </w:rPr>
        <w:t xml:space="preserve"> </w:t>
      </w:r>
      <w:r w:rsidR="00392DBB" w:rsidRPr="000A1431">
        <w:rPr>
          <w:rFonts w:cs="Arial"/>
          <w:rtl/>
        </w:rPr>
        <w:t>רא"ש</w:t>
      </w:r>
      <w:r w:rsidR="00E867A3">
        <w:rPr>
          <w:rFonts w:cs="Arial" w:hint="cs"/>
          <w:sz w:val="16"/>
          <w:szCs w:val="16"/>
          <w:rtl/>
        </w:rPr>
        <w:t xml:space="preserve"> (פי"א סי' ז)</w:t>
      </w:r>
      <w:r w:rsidR="00E867A3">
        <w:rPr>
          <w:rFonts w:cs="Arial" w:hint="cs"/>
          <w:rtl/>
        </w:rPr>
        <w:t xml:space="preserve"> </w:t>
      </w:r>
      <w:r w:rsidR="00095159">
        <w:rPr>
          <w:rFonts w:cs="Arial" w:hint="cs"/>
          <w:rtl/>
        </w:rPr>
        <w:t>ו</w:t>
      </w:r>
      <w:r w:rsidR="00E867A3">
        <w:rPr>
          <w:rFonts w:cs="Arial" w:hint="cs"/>
          <w:rtl/>
        </w:rPr>
        <w:t xml:space="preserve">ר"ן </w:t>
      </w:r>
      <w:r w:rsidR="00E867A3">
        <w:rPr>
          <w:rFonts w:cs="Arial" w:hint="cs"/>
          <w:sz w:val="16"/>
          <w:szCs w:val="16"/>
          <w:rtl/>
        </w:rPr>
        <w:t>(נו.)</w:t>
      </w:r>
      <w:r>
        <w:rPr>
          <w:rFonts w:cs="Arial" w:hint="cs"/>
          <w:rtl/>
        </w:rPr>
        <w:t xml:space="preserve">- </w:t>
      </w:r>
      <w:r w:rsidR="00392DBB" w:rsidRPr="000A1431">
        <w:rPr>
          <w:rFonts w:cs="Arial"/>
          <w:rtl/>
        </w:rPr>
        <w:t>לעולם ניזונת והולכת עד שישארו בנכסים כדי כתובתה ונוטלתן בכתובתה</w:t>
      </w:r>
      <w:r w:rsidR="00095159">
        <w:rPr>
          <w:rFonts w:hint="cs"/>
          <w:sz w:val="16"/>
          <w:szCs w:val="16"/>
          <w:rtl/>
        </w:rPr>
        <w:t xml:space="preserve"> </w:t>
      </w:r>
      <w:r w:rsidR="00095159" w:rsidRPr="00095159">
        <w:rPr>
          <w:rFonts w:hint="cs"/>
          <w:sz w:val="16"/>
          <w:szCs w:val="16"/>
          <w:rtl/>
        </w:rPr>
        <w:t>(ל' הטור בשם הרא"ש)</w:t>
      </w:r>
      <w:r>
        <w:rPr>
          <w:rFonts w:cs="Arial" w:hint="cs"/>
          <w:rtl/>
        </w:rPr>
        <w:t>.</w:t>
      </w:r>
      <w:r w:rsidR="00392DBB" w:rsidRPr="000A1431">
        <w:rPr>
          <w:rFonts w:cs="Arial"/>
          <w:rtl/>
        </w:rPr>
        <w:t xml:space="preserve"> </w:t>
      </w:r>
      <w:r w:rsidR="00C64123" w:rsidRPr="00856D60">
        <w:rPr>
          <w:rFonts w:cs="Arial" w:hint="cs"/>
          <w:color w:val="E36C0A" w:themeColor="accent6" w:themeShade="BF"/>
          <w:rtl/>
        </w:rPr>
        <w:t>(וכ"פ בשו"ע)</w:t>
      </w:r>
    </w:p>
    <w:p w14:paraId="3542E75D"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2B2A09E" w14:textId="3F5DB44E" w:rsidR="00392DBB" w:rsidRDefault="00392DBB" w:rsidP="00392DBB">
      <w:pPr>
        <w:rPr>
          <w:rtl/>
        </w:rPr>
      </w:pPr>
      <w:r>
        <w:rPr>
          <w:rFonts w:cs="Arial"/>
          <w:rtl/>
        </w:rPr>
        <w:lastRenderedPageBreak/>
        <w:t>יש מי שכתב שאם אין בפירות נכסי המת כדי מזונותיה, אין לה מזונות אלא עד כדי כתובתה</w:t>
      </w:r>
      <w:r w:rsidR="0057598F">
        <w:rPr>
          <w:rFonts w:cs="Arial" w:hint="cs"/>
          <w:rtl/>
        </w:rPr>
        <w:t>.</w:t>
      </w:r>
      <w:r>
        <w:rPr>
          <w:rFonts w:cs="Arial"/>
          <w:rtl/>
        </w:rPr>
        <w:t xml:space="preserve"> וחלקו עליו</w:t>
      </w:r>
      <w:r w:rsidR="0057598F">
        <w:rPr>
          <w:rFonts w:cs="Arial" w:hint="cs"/>
          <w:rtl/>
        </w:rPr>
        <w:t>,</w:t>
      </w:r>
      <w:r>
        <w:rPr>
          <w:rFonts w:cs="Arial"/>
          <w:rtl/>
        </w:rPr>
        <w:t xml:space="preserve"> דלעולם היא ניזונת והולכת עד שלא ישאר בנכסים אלא כדי כתובתה, ואז נוטלתן בכתובתה. </w:t>
      </w:r>
    </w:p>
    <w:p w14:paraId="79C8B253" w14:textId="77777777" w:rsidR="00392DBB" w:rsidRDefault="00392DBB" w:rsidP="00392DBB">
      <w:pPr>
        <w:rPr>
          <w:rtl/>
        </w:rPr>
      </w:pPr>
    </w:p>
    <w:p w14:paraId="236E0DB2" w14:textId="740FCB5B" w:rsidR="00392DBB" w:rsidRDefault="00392DBB" w:rsidP="000F64D0">
      <w:pPr>
        <w:pStyle w:val="2"/>
        <w:rPr>
          <w:rtl/>
        </w:rPr>
      </w:pPr>
      <w:r>
        <w:rPr>
          <w:rtl/>
        </w:rPr>
        <w:t>סעיף יד</w:t>
      </w:r>
      <w:r>
        <w:rPr>
          <w:rFonts w:hint="cs"/>
          <w:rtl/>
        </w:rPr>
        <w:t>:</w:t>
      </w:r>
      <w:r w:rsidR="003B3EBC">
        <w:rPr>
          <w:rFonts w:hint="cs"/>
          <w:rtl/>
        </w:rPr>
        <w:t xml:space="preserve"> </w:t>
      </w:r>
      <w:r w:rsidR="00DA3F59">
        <w:rPr>
          <w:rFonts w:hint="cs"/>
          <w:rtl/>
        </w:rPr>
        <w:t>שתיקה כמחילה.</w:t>
      </w:r>
    </w:p>
    <w:p w14:paraId="1DA0EA90" w14:textId="57178587" w:rsidR="00D12F23" w:rsidRDefault="00D12F23" w:rsidP="00D12F23">
      <w:pPr>
        <w:rPr>
          <w:rFonts w:cs="Arial"/>
          <w:rtl/>
        </w:rPr>
      </w:pPr>
      <w:r w:rsidRPr="002E5176">
        <w:rPr>
          <w:rFonts w:cs="Arial" w:hint="cs"/>
          <w:b/>
          <w:bCs/>
          <w:rtl/>
        </w:rPr>
        <w:t xml:space="preserve">כתובות </w:t>
      </w:r>
      <w:r w:rsidRPr="002E5176">
        <w:rPr>
          <w:rFonts w:cs="Arial" w:hint="cs"/>
          <w:b/>
          <w:bCs/>
          <w:sz w:val="16"/>
          <w:szCs w:val="16"/>
          <w:rtl/>
        </w:rPr>
        <w:t>(</w:t>
      </w:r>
      <w:r>
        <w:rPr>
          <w:rFonts w:cs="Arial" w:hint="cs"/>
          <w:b/>
          <w:bCs/>
          <w:sz w:val="16"/>
          <w:szCs w:val="16"/>
          <w:rtl/>
        </w:rPr>
        <w:t>ר"</w:t>
      </w:r>
      <w:r w:rsidRPr="002E5176">
        <w:rPr>
          <w:rFonts w:cs="Arial" w:hint="cs"/>
          <w:b/>
          <w:bCs/>
          <w:sz w:val="16"/>
          <w:szCs w:val="16"/>
          <w:rtl/>
        </w:rPr>
        <w:t xml:space="preserve">פ אלמנה ניזונת) </w:t>
      </w:r>
      <w:r w:rsidRPr="002E5176">
        <w:rPr>
          <w:rFonts w:cs="Arial" w:hint="cs"/>
          <w:b/>
          <w:bCs/>
          <w:rtl/>
        </w:rPr>
        <w:t>צ</w:t>
      </w:r>
      <w:r>
        <w:rPr>
          <w:rFonts w:cs="Arial" w:hint="cs"/>
          <w:b/>
          <w:bCs/>
          <w:rtl/>
        </w:rPr>
        <w:t>ו</w:t>
      </w:r>
      <w:r>
        <w:rPr>
          <w:rStyle w:val="a7"/>
          <w:rFonts w:cs="Arial"/>
          <w:b/>
          <w:bCs/>
          <w:rtl/>
        </w:rPr>
        <w:footnoteReference w:id="1597"/>
      </w:r>
      <w:r w:rsidRPr="002E5176">
        <w:rPr>
          <w:rFonts w:cs="Arial" w:hint="cs"/>
          <w:b/>
          <w:bCs/>
          <w:rtl/>
        </w:rPr>
        <w:t xml:space="preserve"> ע"</w:t>
      </w:r>
      <w:r>
        <w:rPr>
          <w:rFonts w:cs="Arial" w:hint="cs"/>
          <w:b/>
          <w:bCs/>
          <w:rtl/>
        </w:rPr>
        <w:t>א</w:t>
      </w:r>
      <w:r w:rsidRPr="002E5176">
        <w:rPr>
          <w:rFonts w:cs="Arial" w:hint="cs"/>
          <w:b/>
          <w:bCs/>
          <w:rtl/>
        </w:rPr>
        <w:t>:</w:t>
      </w:r>
      <w:r>
        <w:rPr>
          <w:rFonts w:cs="Arial" w:hint="cs"/>
          <w:rtl/>
        </w:rPr>
        <w:t xml:space="preserve"> </w:t>
      </w:r>
      <w:r w:rsidRPr="008C20D4">
        <w:rPr>
          <w:rFonts w:cs="Arial"/>
          <w:u w:val="single"/>
          <w:rtl/>
        </w:rPr>
        <w:t>אמר ר' יוחנן משמיה דרבי יוסי בן זימרא</w:t>
      </w:r>
      <w:r w:rsidRPr="008C20D4">
        <w:rPr>
          <w:rFonts w:cs="Arial"/>
          <w:rtl/>
        </w:rPr>
        <w:t>: אלמנה ששהתה שתים ושלש שנים ולא תבעה מזונות - איבדה מזונות. השתא שתים איבדה, שלש מיבעיא? לא קשיא: כאן בעניה, כאן בעשירה</w:t>
      </w:r>
      <w:r>
        <w:rPr>
          <w:rStyle w:val="a7"/>
          <w:rFonts w:cs="Arial"/>
          <w:rtl/>
        </w:rPr>
        <w:footnoteReference w:id="1598"/>
      </w:r>
      <w:r w:rsidRPr="008C20D4">
        <w:rPr>
          <w:rFonts w:cs="Arial"/>
          <w:rtl/>
        </w:rPr>
        <w:t>; אי נמי, כאן בפרוצה, כאן בצנועה</w:t>
      </w:r>
      <w:r>
        <w:rPr>
          <w:rStyle w:val="a7"/>
          <w:rFonts w:cs="Arial"/>
          <w:rtl/>
        </w:rPr>
        <w:footnoteReference w:id="1599"/>
      </w:r>
      <w:r w:rsidRPr="008C20D4">
        <w:rPr>
          <w:rFonts w:cs="Arial"/>
          <w:rtl/>
        </w:rPr>
        <w:t xml:space="preserve">. </w:t>
      </w:r>
      <w:r w:rsidRPr="008C20D4">
        <w:rPr>
          <w:rFonts w:cs="Arial"/>
          <w:u w:val="single"/>
          <w:rtl/>
        </w:rPr>
        <w:t>אמר רבא</w:t>
      </w:r>
      <w:r w:rsidRPr="008C20D4">
        <w:rPr>
          <w:rFonts w:cs="Arial"/>
          <w:rtl/>
        </w:rPr>
        <w:t>: לא אמרן אלא למפרע</w:t>
      </w:r>
      <w:r>
        <w:rPr>
          <w:rStyle w:val="a7"/>
          <w:rFonts w:cs="Arial"/>
          <w:rtl/>
        </w:rPr>
        <w:footnoteReference w:id="1600"/>
      </w:r>
      <w:r w:rsidRPr="008C20D4">
        <w:rPr>
          <w:rFonts w:cs="Arial"/>
          <w:rtl/>
        </w:rPr>
        <w:t xml:space="preserve">, אבל להבא יש לה. </w:t>
      </w:r>
      <w:r w:rsidRPr="00690779">
        <w:rPr>
          <w:rFonts w:cs="Arial" w:hint="cs"/>
          <w:sz w:val="16"/>
          <w:szCs w:val="16"/>
          <w:rtl/>
        </w:rPr>
        <w:t>(</w:t>
      </w:r>
      <w:r w:rsidRPr="00690779">
        <w:rPr>
          <w:rFonts w:cs="Arial"/>
          <w:sz w:val="16"/>
          <w:szCs w:val="16"/>
          <w:rtl/>
        </w:rPr>
        <w:t>וכתב הרא"ש (סי' ד) הילכך לא איבדה בשתי שנים עד שתהא עניה ופרוצה ע"כ</w:t>
      </w:r>
      <w:r w:rsidRPr="00690779">
        <w:rPr>
          <w:rFonts w:cs="Arial" w:hint="cs"/>
          <w:sz w:val="16"/>
          <w:szCs w:val="16"/>
          <w:rtl/>
        </w:rPr>
        <w:t>.</w:t>
      </w:r>
      <w:r w:rsidRPr="00690779">
        <w:rPr>
          <w:rFonts w:cs="Arial"/>
          <w:sz w:val="16"/>
          <w:szCs w:val="16"/>
          <w:rtl/>
        </w:rPr>
        <w:t xml:space="preserve"> נראה שטעמו משום דכיון דאיכא תרי לישני ה"ל ספיקא כל שאינה עניה ופרוצה</w:t>
      </w:r>
      <w:r w:rsidRPr="00690779">
        <w:rPr>
          <w:rFonts w:cs="Arial" w:hint="cs"/>
          <w:sz w:val="16"/>
          <w:szCs w:val="16"/>
          <w:rtl/>
        </w:rPr>
        <w:t>,</w:t>
      </w:r>
      <w:r w:rsidRPr="00690779">
        <w:rPr>
          <w:rFonts w:cs="Arial"/>
          <w:sz w:val="16"/>
          <w:szCs w:val="16"/>
          <w:rtl/>
        </w:rPr>
        <w:t xml:space="preserve"> וכיון דסתם אלמנה אית לה מזוני</w:t>
      </w:r>
      <w:r w:rsidRPr="00690779">
        <w:rPr>
          <w:rFonts w:cs="Arial" w:hint="cs"/>
          <w:sz w:val="16"/>
          <w:szCs w:val="16"/>
          <w:rtl/>
        </w:rPr>
        <w:t>,</w:t>
      </w:r>
      <w:r w:rsidRPr="00690779">
        <w:rPr>
          <w:rFonts w:cs="Arial"/>
          <w:sz w:val="16"/>
          <w:szCs w:val="16"/>
          <w:rtl/>
        </w:rPr>
        <w:t xml:space="preserve"> ונכסי בחזקתה קיימי כל זמן שלא נשאת</w:t>
      </w:r>
      <w:r w:rsidRPr="00690779">
        <w:rPr>
          <w:rFonts w:cs="Arial" w:hint="cs"/>
          <w:sz w:val="16"/>
          <w:szCs w:val="16"/>
          <w:rtl/>
        </w:rPr>
        <w:t>,</w:t>
      </w:r>
      <w:r w:rsidRPr="00690779">
        <w:rPr>
          <w:rFonts w:cs="Arial"/>
          <w:sz w:val="16"/>
          <w:szCs w:val="16"/>
          <w:rtl/>
        </w:rPr>
        <w:t xml:space="preserve"> כדאמרינן בפרק אלמנה נזונת (שם:) גבי בעיא דיתומים אמרו נתננו וכו'</w:t>
      </w:r>
      <w:r w:rsidRPr="00690779">
        <w:rPr>
          <w:rFonts w:cs="Arial" w:hint="cs"/>
          <w:sz w:val="16"/>
          <w:szCs w:val="16"/>
          <w:rtl/>
        </w:rPr>
        <w:t>,</w:t>
      </w:r>
      <w:r w:rsidRPr="00690779">
        <w:rPr>
          <w:rFonts w:cs="Arial"/>
          <w:sz w:val="16"/>
          <w:szCs w:val="16"/>
          <w:rtl/>
        </w:rPr>
        <w:t xml:space="preserve"> מספיקא לא אמרינן דמחלה</w:t>
      </w:r>
      <w:r w:rsidRPr="00690779">
        <w:rPr>
          <w:rFonts w:cs="Arial" w:hint="cs"/>
          <w:sz w:val="16"/>
          <w:szCs w:val="16"/>
          <w:rtl/>
        </w:rPr>
        <w:t>.</w:t>
      </w:r>
      <w:r w:rsidRPr="00690779">
        <w:rPr>
          <w:rFonts w:cs="Arial"/>
          <w:sz w:val="16"/>
          <w:szCs w:val="16"/>
          <w:rtl/>
        </w:rPr>
        <w:t xml:space="preserve"> אבל הרמב"ם </w:t>
      </w:r>
      <w:r w:rsidRPr="00690779">
        <w:rPr>
          <w:rFonts w:cs="Arial" w:hint="cs"/>
          <w:sz w:val="16"/>
          <w:szCs w:val="16"/>
          <w:rtl/>
        </w:rPr>
        <w:t>(</w:t>
      </w:r>
      <w:r w:rsidRPr="00690779">
        <w:rPr>
          <w:rFonts w:cs="Arial"/>
          <w:sz w:val="16"/>
          <w:szCs w:val="16"/>
          <w:rtl/>
        </w:rPr>
        <w:t>פי"ח הכ"ו)</w:t>
      </w:r>
      <w:r w:rsidRPr="00690779">
        <w:rPr>
          <w:rFonts w:cs="Arial" w:hint="cs"/>
          <w:sz w:val="16"/>
          <w:szCs w:val="16"/>
          <w:rtl/>
        </w:rPr>
        <w:t>...</w:t>
      </w:r>
      <w:r w:rsidRPr="00690779">
        <w:rPr>
          <w:rFonts w:cs="Arial"/>
          <w:sz w:val="16"/>
          <w:szCs w:val="16"/>
          <w:rtl/>
        </w:rPr>
        <w:t xml:space="preserve"> פסק כלשון ראשון</w:t>
      </w:r>
      <w:r w:rsidRPr="00690779">
        <w:rPr>
          <w:rFonts w:cs="Arial" w:hint="cs"/>
          <w:sz w:val="16"/>
          <w:szCs w:val="16"/>
          <w:rtl/>
        </w:rPr>
        <w:t>, ב"י)</w:t>
      </w:r>
    </w:p>
    <w:p w14:paraId="3C6A7B63" w14:textId="03B2EBE5" w:rsidR="00B906FD" w:rsidRPr="00D12F23" w:rsidRDefault="00B906FD" w:rsidP="00D12F23">
      <w:pPr>
        <w:rPr>
          <w:rFonts w:cs="Arial"/>
          <w:rtl/>
        </w:rPr>
      </w:pPr>
      <w:r w:rsidRPr="00B906FD">
        <w:rPr>
          <w:rFonts w:cs="Arial" w:hint="cs"/>
          <w:b/>
          <w:bCs/>
          <w:rtl/>
        </w:rPr>
        <w:t>ירושלמי כתובות פי"א ה"ב:</w:t>
      </w:r>
      <w:r>
        <w:rPr>
          <w:rFonts w:cs="Arial" w:hint="cs"/>
          <w:rtl/>
        </w:rPr>
        <w:t xml:space="preserve"> </w:t>
      </w:r>
      <w:r w:rsidRPr="00B906FD">
        <w:rPr>
          <w:rFonts w:cs="Arial"/>
          <w:u w:val="single"/>
          <w:rtl/>
        </w:rPr>
        <w:t>רבי אלעזר בשם רבי יוסי בן זימרא</w:t>
      </w:r>
      <w:r>
        <w:rPr>
          <w:rFonts w:cs="Arial" w:hint="cs"/>
          <w:rtl/>
        </w:rPr>
        <w:t xml:space="preserve">: </w:t>
      </w:r>
      <w:r w:rsidRPr="00B906FD">
        <w:rPr>
          <w:rFonts w:cs="Arial"/>
          <w:rtl/>
        </w:rPr>
        <w:t xml:space="preserve">אלמנה שעשת שנים שלשה חדשים שלא לתבוע מזונותיה </w:t>
      </w:r>
      <w:r>
        <w:rPr>
          <w:rFonts w:cs="Arial" w:hint="cs"/>
          <w:rtl/>
        </w:rPr>
        <w:t xml:space="preserve">- </w:t>
      </w:r>
      <w:r w:rsidRPr="00B906FD">
        <w:rPr>
          <w:rFonts w:cs="Arial"/>
          <w:rtl/>
        </w:rPr>
        <w:t xml:space="preserve">אבדה מזונותיה </w:t>
      </w:r>
      <w:r w:rsidR="007E7B41">
        <w:rPr>
          <w:rFonts w:cs="Arial" w:hint="cs"/>
          <w:rtl/>
        </w:rPr>
        <w:t>ד</w:t>
      </w:r>
      <w:r w:rsidRPr="00B906FD">
        <w:rPr>
          <w:rFonts w:cs="Arial"/>
          <w:rtl/>
        </w:rPr>
        <w:t>אינון תלתי ירחייא</w:t>
      </w:r>
      <w:r w:rsidR="00C65451">
        <w:rPr>
          <w:rFonts w:cs="Arial" w:hint="cs"/>
          <w:rtl/>
        </w:rPr>
        <w:t>.</w:t>
      </w:r>
      <w:r w:rsidRPr="00B906FD">
        <w:rPr>
          <w:rFonts w:cs="Arial"/>
          <w:rtl/>
        </w:rPr>
        <w:t xml:space="preserve"> בשלא ללות</w:t>
      </w:r>
      <w:r w:rsidR="005C1FB9">
        <w:rPr>
          <w:rFonts w:cs="Arial" w:hint="cs"/>
          <w:rtl/>
        </w:rPr>
        <w:t>,</w:t>
      </w:r>
      <w:r w:rsidRPr="00B906FD">
        <w:rPr>
          <w:rFonts w:cs="Arial"/>
          <w:rtl/>
        </w:rPr>
        <w:t xml:space="preserve"> אבל אם לותה </w:t>
      </w:r>
      <w:r w:rsidR="005C1FB9">
        <w:rPr>
          <w:rFonts w:cs="Arial" w:hint="cs"/>
          <w:rtl/>
        </w:rPr>
        <w:t xml:space="preserve">- </w:t>
      </w:r>
      <w:r w:rsidRPr="00B906FD">
        <w:rPr>
          <w:rFonts w:cs="Arial"/>
          <w:rtl/>
        </w:rPr>
        <w:t>גובה</w:t>
      </w:r>
      <w:r w:rsidR="005C1FB9">
        <w:rPr>
          <w:rFonts w:cs="Arial" w:hint="cs"/>
          <w:rtl/>
        </w:rPr>
        <w:t>.</w:t>
      </w:r>
      <w:r w:rsidRPr="00B906FD">
        <w:rPr>
          <w:rFonts w:cs="Arial"/>
          <w:rtl/>
        </w:rPr>
        <w:t xml:space="preserve"> בשאין בידיה משכון</w:t>
      </w:r>
      <w:r w:rsidR="005C1FB9">
        <w:rPr>
          <w:rFonts w:cs="Arial" w:hint="cs"/>
          <w:rtl/>
        </w:rPr>
        <w:t>,</w:t>
      </w:r>
      <w:r w:rsidRPr="00B906FD">
        <w:rPr>
          <w:rFonts w:cs="Arial"/>
          <w:rtl/>
        </w:rPr>
        <w:t xml:space="preserve"> אבל אם יש בידיה משכון </w:t>
      </w:r>
      <w:r w:rsidR="005C1FB9">
        <w:rPr>
          <w:rFonts w:cs="Arial" w:hint="cs"/>
          <w:rtl/>
        </w:rPr>
        <w:t xml:space="preserve">- </w:t>
      </w:r>
      <w:r w:rsidRPr="00B906FD">
        <w:rPr>
          <w:rFonts w:cs="Arial"/>
          <w:rtl/>
        </w:rPr>
        <w:t>אפילו לא לותה גובה</w:t>
      </w:r>
      <w:r>
        <w:rPr>
          <w:rFonts w:cs="Arial" w:hint="cs"/>
          <w:rtl/>
        </w:rPr>
        <w:t>.</w:t>
      </w:r>
      <w:r w:rsidR="00862C2A" w:rsidRPr="00862C2A">
        <w:rPr>
          <w:rFonts w:cs="Arial"/>
          <w:sz w:val="16"/>
          <w:szCs w:val="16"/>
          <w:rtl/>
        </w:rPr>
        <w:t xml:space="preserve"> </w:t>
      </w:r>
      <w:r w:rsidR="00862C2A">
        <w:rPr>
          <w:rFonts w:cs="Arial" w:hint="cs"/>
          <w:sz w:val="16"/>
          <w:szCs w:val="16"/>
          <w:rtl/>
        </w:rPr>
        <w:t>(</w:t>
      </w:r>
      <w:r w:rsidR="00862C2A" w:rsidRPr="00862C2A">
        <w:rPr>
          <w:rFonts w:cs="Arial"/>
          <w:sz w:val="16"/>
          <w:szCs w:val="16"/>
          <w:rtl/>
        </w:rPr>
        <w:t>כתבוהו הרא"ש (שם) והר"ן (נה: ד"ה אלמנה) והה</w:t>
      </w:r>
      <w:r w:rsidR="00862C2A">
        <w:rPr>
          <w:rFonts w:cs="Arial" w:hint="cs"/>
          <w:sz w:val="16"/>
          <w:szCs w:val="16"/>
          <w:rtl/>
        </w:rPr>
        <w:t>"</w:t>
      </w:r>
      <w:r w:rsidR="00862C2A" w:rsidRPr="00862C2A">
        <w:rPr>
          <w:rFonts w:cs="Arial"/>
          <w:sz w:val="16"/>
          <w:szCs w:val="16"/>
          <w:rtl/>
        </w:rPr>
        <w:t>מ (שם)</w:t>
      </w:r>
      <w:r w:rsidR="000638BA" w:rsidRPr="000638BA">
        <w:rPr>
          <w:rtl/>
        </w:rPr>
        <w:t xml:space="preserve"> </w:t>
      </w:r>
      <w:r w:rsidR="000638BA" w:rsidRPr="000638BA">
        <w:rPr>
          <w:rFonts w:cs="Arial"/>
          <w:sz w:val="16"/>
          <w:szCs w:val="16"/>
          <w:rtl/>
        </w:rPr>
        <w:t>ז"ל</w:t>
      </w:r>
      <w:r w:rsidR="000638BA">
        <w:rPr>
          <w:rFonts w:cs="Arial" w:hint="cs"/>
          <w:sz w:val="16"/>
          <w:szCs w:val="16"/>
          <w:rtl/>
        </w:rPr>
        <w:t>:</w:t>
      </w:r>
      <w:r w:rsidR="000638BA" w:rsidRPr="000638BA">
        <w:rPr>
          <w:rFonts w:cs="Arial"/>
          <w:sz w:val="16"/>
          <w:szCs w:val="16"/>
          <w:rtl/>
        </w:rPr>
        <w:t xml:space="preserve"> רבי אלעזר בשם רבי יוסי בן זמרא כשלא לותה ואין בידה משכון אבל אם לותה או שיש בידה משכון גובה אפילו למפרע</w:t>
      </w:r>
      <w:r w:rsidR="00862C2A" w:rsidRPr="00862C2A">
        <w:rPr>
          <w:rFonts w:cs="Arial"/>
          <w:sz w:val="16"/>
          <w:szCs w:val="16"/>
          <w:rtl/>
        </w:rPr>
        <w:t>. וכתבו הר"ן וה</w:t>
      </w:r>
      <w:r w:rsidR="00862C2A" w:rsidRPr="00862C2A">
        <w:rPr>
          <w:rFonts w:cs="Arial" w:hint="cs"/>
          <w:sz w:val="16"/>
          <w:szCs w:val="16"/>
          <w:rtl/>
        </w:rPr>
        <w:t>ה"מ</w:t>
      </w:r>
      <w:r w:rsidR="00862C2A">
        <w:rPr>
          <w:rFonts w:cs="Arial" w:hint="cs"/>
          <w:sz w:val="16"/>
          <w:szCs w:val="16"/>
          <w:rtl/>
        </w:rPr>
        <w:t>:</w:t>
      </w:r>
      <w:r w:rsidR="00862C2A" w:rsidRPr="00862C2A">
        <w:rPr>
          <w:rFonts w:cs="Arial" w:hint="cs"/>
          <w:sz w:val="16"/>
          <w:szCs w:val="16"/>
          <w:rtl/>
        </w:rPr>
        <w:t xml:space="preserve"> </w:t>
      </w:r>
      <w:r w:rsidR="00862C2A" w:rsidRPr="00862C2A">
        <w:rPr>
          <w:rFonts w:cs="Arial"/>
          <w:sz w:val="16"/>
          <w:szCs w:val="16"/>
          <w:rtl/>
        </w:rPr>
        <w:t>היה בידה משכון כלומר שתפסה משכון תוך ג' שנים</w:t>
      </w:r>
      <w:r w:rsidR="00862C2A" w:rsidRPr="00862C2A">
        <w:rPr>
          <w:rFonts w:cs="Arial" w:hint="cs"/>
          <w:sz w:val="16"/>
          <w:szCs w:val="16"/>
          <w:rtl/>
        </w:rPr>
        <w:t>,</w:t>
      </w:r>
      <w:r w:rsidR="00862C2A" w:rsidRPr="00862C2A">
        <w:rPr>
          <w:rFonts w:cs="Arial"/>
          <w:sz w:val="16"/>
          <w:szCs w:val="16"/>
          <w:rtl/>
        </w:rPr>
        <w:t xml:space="preserve"> אבל אחר ג' מדין מחילה נגעו בה ואין תפיסתה כלום</w:t>
      </w:r>
      <w:r w:rsidR="00862C2A" w:rsidRPr="00862C2A">
        <w:rPr>
          <w:rStyle w:val="a7"/>
          <w:rFonts w:cs="Arial"/>
          <w:sz w:val="16"/>
          <w:szCs w:val="16"/>
          <w:rtl/>
        </w:rPr>
        <w:footnoteReference w:id="1601"/>
      </w:r>
      <w:r w:rsidR="00862C2A">
        <w:rPr>
          <w:rFonts w:cs="Arial" w:hint="cs"/>
          <w:sz w:val="16"/>
          <w:szCs w:val="16"/>
          <w:rtl/>
        </w:rPr>
        <w:t>, ב"י)</w:t>
      </w:r>
    </w:p>
    <w:p w14:paraId="6F16E92E" w14:textId="61775EFB" w:rsidR="00E93D97" w:rsidRPr="006071E5" w:rsidRDefault="00FC37A5" w:rsidP="00E93D97">
      <w:pPr>
        <w:rPr>
          <w:u w:val="single"/>
          <w:rtl/>
        </w:rPr>
      </w:pPr>
      <w:r w:rsidRPr="006071E5">
        <w:rPr>
          <w:rFonts w:hint="cs"/>
          <w:u w:val="single"/>
          <w:rtl/>
        </w:rPr>
        <w:t xml:space="preserve">אלמנה ששתקה ולא </w:t>
      </w:r>
      <w:r w:rsidR="006071E5" w:rsidRPr="006071E5">
        <w:rPr>
          <w:rFonts w:hint="cs"/>
          <w:u w:val="single"/>
          <w:rtl/>
        </w:rPr>
        <w:t>תבעה מזונותיה במשך שנתיים/שלש:</w:t>
      </w:r>
    </w:p>
    <w:p w14:paraId="50101CBC" w14:textId="75C8D1B5" w:rsidR="00392DBB" w:rsidRDefault="003B3EBC" w:rsidP="009000E3">
      <w:pPr>
        <w:pStyle w:val="ab"/>
        <w:numPr>
          <w:ilvl w:val="0"/>
          <w:numId w:val="61"/>
        </w:numPr>
      </w:pPr>
      <w:r>
        <w:rPr>
          <w:rFonts w:cs="Arial" w:hint="cs"/>
          <w:rtl/>
        </w:rPr>
        <w:t>רא"ש</w:t>
      </w:r>
      <w:r>
        <w:rPr>
          <w:rFonts w:cs="Arial" w:hint="cs"/>
          <w:sz w:val="16"/>
          <w:szCs w:val="16"/>
          <w:rtl/>
        </w:rPr>
        <w:t xml:space="preserve"> (כ"כ הטור בשמו)</w:t>
      </w:r>
      <w:r>
        <w:rPr>
          <w:rFonts w:cs="Arial" w:hint="cs"/>
          <w:rtl/>
        </w:rPr>
        <w:t xml:space="preserve"> ו</w:t>
      </w:r>
      <w:r w:rsidR="00392DBB">
        <w:rPr>
          <w:rFonts w:cs="Arial" w:hint="cs"/>
          <w:rtl/>
        </w:rPr>
        <w:t xml:space="preserve">טור- </w:t>
      </w:r>
      <w:r w:rsidR="00392DBB" w:rsidRPr="000A1431">
        <w:rPr>
          <w:rFonts w:cs="Arial"/>
          <w:rtl/>
        </w:rPr>
        <w:t>אלמנה שהיא ענייה ופרוצה שאינה בושה לשאול מזונותיה</w:t>
      </w:r>
      <w:r w:rsidR="00E93D97">
        <w:rPr>
          <w:rFonts w:cs="Arial" w:hint="cs"/>
          <w:rtl/>
        </w:rPr>
        <w:t>,</w:t>
      </w:r>
      <w:r w:rsidR="00392DBB" w:rsidRPr="000A1431">
        <w:rPr>
          <w:rFonts w:cs="Arial"/>
          <w:rtl/>
        </w:rPr>
        <w:t xml:space="preserve"> ושתקה ב' שנים ולא תבעה מזונותיה </w:t>
      </w:r>
      <w:r w:rsidR="00E93D97">
        <w:rPr>
          <w:rFonts w:cs="Arial" w:hint="cs"/>
          <w:rtl/>
        </w:rPr>
        <w:t xml:space="preserve">- </w:t>
      </w:r>
      <w:r w:rsidR="00392DBB" w:rsidRPr="000A1431">
        <w:rPr>
          <w:rFonts w:cs="Arial"/>
          <w:rtl/>
        </w:rPr>
        <w:t>ודאי מחלה מזונותיה</w:t>
      </w:r>
      <w:r w:rsidR="00E93D97">
        <w:rPr>
          <w:rFonts w:cs="Arial" w:hint="cs"/>
          <w:rtl/>
        </w:rPr>
        <w:t>.</w:t>
      </w:r>
      <w:r w:rsidR="00392DBB" w:rsidRPr="000A1431">
        <w:rPr>
          <w:rFonts w:cs="Arial"/>
          <w:rtl/>
        </w:rPr>
        <w:t xml:space="preserve"> בד"א</w:t>
      </w:r>
      <w:r w:rsidR="00E93D97">
        <w:rPr>
          <w:rFonts w:cs="Arial" w:hint="cs"/>
          <w:rtl/>
        </w:rPr>
        <w:t>,</w:t>
      </w:r>
      <w:r w:rsidR="00392DBB" w:rsidRPr="000A1431">
        <w:rPr>
          <w:rFonts w:cs="Arial"/>
          <w:rtl/>
        </w:rPr>
        <w:t xml:space="preserve"> במזונות שעברו</w:t>
      </w:r>
      <w:r w:rsidR="00E93D97">
        <w:rPr>
          <w:rFonts w:cs="Arial" w:hint="cs"/>
          <w:rtl/>
        </w:rPr>
        <w:t>,</w:t>
      </w:r>
      <w:r w:rsidR="00392DBB" w:rsidRPr="000A1431">
        <w:rPr>
          <w:rFonts w:cs="Arial"/>
          <w:rtl/>
        </w:rPr>
        <w:t xml:space="preserve"> אבל להבא לא</w:t>
      </w:r>
      <w:r w:rsidR="00DF2F2A">
        <w:rPr>
          <w:rFonts w:cs="Arial" w:hint="cs"/>
          <w:rtl/>
        </w:rPr>
        <w:t>...</w:t>
      </w:r>
      <w:r w:rsidR="00FC37A5">
        <w:rPr>
          <w:rFonts w:cs="Arial" w:hint="cs"/>
          <w:sz w:val="16"/>
          <w:szCs w:val="16"/>
          <w:rtl/>
        </w:rPr>
        <w:t xml:space="preserve"> </w:t>
      </w:r>
      <w:r w:rsidR="00DF2F2A" w:rsidRPr="000A1431">
        <w:rPr>
          <w:rFonts w:cs="Arial"/>
          <w:rtl/>
        </w:rPr>
        <w:t>ואם היא עשירה אפי' פרוצה</w:t>
      </w:r>
      <w:r w:rsidR="0055555B">
        <w:rPr>
          <w:rFonts w:cs="Arial" w:hint="cs"/>
          <w:rtl/>
        </w:rPr>
        <w:t>,</w:t>
      </w:r>
      <w:r w:rsidR="00DF2F2A" w:rsidRPr="000A1431">
        <w:rPr>
          <w:rFonts w:cs="Arial"/>
          <w:rtl/>
        </w:rPr>
        <w:t xml:space="preserve"> או ענייה צנועה</w:t>
      </w:r>
      <w:r w:rsidR="0055555B">
        <w:rPr>
          <w:rFonts w:cs="Arial" w:hint="cs"/>
          <w:rtl/>
        </w:rPr>
        <w:t xml:space="preserve"> -</w:t>
      </w:r>
      <w:r w:rsidR="00DF2F2A" w:rsidRPr="000A1431">
        <w:rPr>
          <w:rFonts w:cs="Arial"/>
          <w:rtl/>
        </w:rPr>
        <w:t xml:space="preserve"> לא הויא שתיקתה מחילה עד סוף ג' שנים שלימות</w:t>
      </w:r>
      <w:r w:rsidR="00DF2F2A">
        <w:rPr>
          <w:rFonts w:cs="Arial" w:hint="cs"/>
          <w:sz w:val="16"/>
          <w:szCs w:val="16"/>
          <w:rtl/>
        </w:rPr>
        <w:t xml:space="preserve"> </w:t>
      </w:r>
      <w:r w:rsidR="00FC37A5">
        <w:rPr>
          <w:rFonts w:cs="Arial" w:hint="cs"/>
          <w:sz w:val="16"/>
          <w:szCs w:val="16"/>
          <w:rtl/>
        </w:rPr>
        <w:t>(ל' הטור)</w:t>
      </w:r>
      <w:r w:rsidR="00E93D97">
        <w:rPr>
          <w:rFonts w:cs="Arial" w:hint="cs"/>
          <w:rtl/>
        </w:rPr>
        <w:t>.</w:t>
      </w:r>
      <w:r w:rsidR="00392DBB" w:rsidRPr="000A1431">
        <w:rPr>
          <w:rFonts w:cs="Arial"/>
          <w:rtl/>
        </w:rPr>
        <w:t xml:space="preserve"> </w:t>
      </w:r>
    </w:p>
    <w:p w14:paraId="13E219A8" w14:textId="6C730C26" w:rsidR="00913371" w:rsidRPr="00FC37A5" w:rsidRDefault="00913371" w:rsidP="009000E3">
      <w:pPr>
        <w:pStyle w:val="ab"/>
        <w:numPr>
          <w:ilvl w:val="0"/>
          <w:numId w:val="61"/>
        </w:numPr>
      </w:pPr>
      <w:r>
        <w:rPr>
          <w:rFonts w:cs="Arial" w:hint="cs"/>
          <w:rtl/>
        </w:rPr>
        <w:t xml:space="preserve">רמב"ם </w:t>
      </w:r>
      <w:r>
        <w:rPr>
          <w:rFonts w:cs="Arial" w:hint="cs"/>
          <w:sz w:val="16"/>
          <w:szCs w:val="16"/>
          <w:rtl/>
        </w:rPr>
        <w:t>(פי"ח מהל' אישות הכ"ו)</w:t>
      </w:r>
      <w:r w:rsidR="00D12F23" w:rsidRPr="00D12F23">
        <w:rPr>
          <w:rFonts w:cs="Arial"/>
          <w:rtl/>
        </w:rPr>
        <w:t xml:space="preserve"> </w:t>
      </w:r>
      <w:r w:rsidR="00D12F23">
        <w:rPr>
          <w:rFonts w:cs="Arial" w:hint="cs"/>
          <w:rtl/>
        </w:rPr>
        <w:t>ו</w:t>
      </w:r>
      <w:r w:rsidR="00D12F23" w:rsidRPr="000A1431">
        <w:rPr>
          <w:rFonts w:cs="Arial"/>
          <w:rtl/>
        </w:rPr>
        <w:t>רמ"ה</w:t>
      </w:r>
      <w:r w:rsidR="00D12F23">
        <w:rPr>
          <w:rFonts w:cs="Arial" w:hint="cs"/>
          <w:rtl/>
        </w:rPr>
        <w:t xml:space="preserve"> </w:t>
      </w:r>
      <w:r w:rsidR="00D12F23">
        <w:rPr>
          <w:rFonts w:cs="Arial" w:hint="cs"/>
          <w:sz w:val="16"/>
          <w:szCs w:val="16"/>
          <w:rtl/>
        </w:rPr>
        <w:t>(כ"כ הטור בשמו)</w:t>
      </w:r>
      <w:r>
        <w:rPr>
          <w:rFonts w:cs="Arial" w:hint="cs"/>
          <w:rtl/>
        </w:rPr>
        <w:t xml:space="preserve">- </w:t>
      </w:r>
      <w:r w:rsidRPr="00913371">
        <w:rPr>
          <w:rFonts w:cs="Arial"/>
          <w:rtl/>
        </w:rPr>
        <w:t>אלמנה עניה ששהת שתי שנים ולא תבעה מזונות</w:t>
      </w:r>
      <w:r>
        <w:rPr>
          <w:rFonts w:cs="Arial" w:hint="cs"/>
          <w:rtl/>
        </w:rPr>
        <w:t>,</w:t>
      </w:r>
      <w:r w:rsidRPr="00913371">
        <w:rPr>
          <w:rFonts w:cs="Arial"/>
          <w:rtl/>
        </w:rPr>
        <w:t xml:space="preserve"> או עשירה ששהת שלש שנים ולא תבעה </w:t>
      </w:r>
      <w:r>
        <w:rPr>
          <w:rFonts w:cs="Arial" w:hint="cs"/>
          <w:rtl/>
        </w:rPr>
        <w:t xml:space="preserve">- </w:t>
      </w:r>
      <w:r w:rsidRPr="00913371">
        <w:rPr>
          <w:rFonts w:cs="Arial"/>
          <w:rtl/>
        </w:rPr>
        <w:t>ויתרה ואין לה מזונות בשנים שעברו אלא משעה שתבעה</w:t>
      </w:r>
      <w:r>
        <w:rPr>
          <w:rFonts w:cs="Arial" w:hint="cs"/>
          <w:rtl/>
        </w:rPr>
        <w:t>.</w:t>
      </w:r>
      <w:r w:rsidRPr="00913371">
        <w:rPr>
          <w:rFonts w:cs="Arial"/>
          <w:rtl/>
        </w:rPr>
        <w:t xml:space="preserve"> ואם שהת פחות מזה אפילו ביום אחד </w:t>
      </w:r>
      <w:r>
        <w:rPr>
          <w:rFonts w:cs="Arial" w:hint="cs"/>
          <w:rtl/>
        </w:rPr>
        <w:t xml:space="preserve">- </w:t>
      </w:r>
      <w:r w:rsidRPr="00913371">
        <w:rPr>
          <w:rFonts w:cs="Arial"/>
          <w:rtl/>
        </w:rPr>
        <w:t>לא ויתרה</w:t>
      </w:r>
      <w:r>
        <w:rPr>
          <w:rFonts w:cs="Arial" w:hint="cs"/>
          <w:rtl/>
        </w:rPr>
        <w:t>,</w:t>
      </w:r>
      <w:r w:rsidRPr="00913371">
        <w:rPr>
          <w:rFonts w:cs="Arial"/>
          <w:rtl/>
        </w:rPr>
        <w:t xml:space="preserve"> אלא תובעת ונוטלת מזון השנים שעברו</w:t>
      </w:r>
      <w:r w:rsidR="00D12F23">
        <w:rPr>
          <w:rFonts w:cs="Arial" w:hint="cs"/>
          <w:sz w:val="16"/>
          <w:szCs w:val="16"/>
          <w:rtl/>
        </w:rPr>
        <w:t xml:space="preserve"> (ל' הרמב"ם)</w:t>
      </w:r>
      <w:r w:rsidRPr="00913371">
        <w:rPr>
          <w:rFonts w:cs="Arial"/>
          <w:rtl/>
        </w:rPr>
        <w:t>.</w:t>
      </w:r>
      <w:r w:rsidR="00B61596" w:rsidRPr="00B61596">
        <w:rPr>
          <w:rFonts w:cs="Arial" w:hint="cs"/>
          <w:color w:val="E36C0A" w:themeColor="accent6" w:themeShade="BF"/>
          <w:rtl/>
        </w:rPr>
        <w:t xml:space="preserve"> </w:t>
      </w:r>
      <w:r w:rsidR="00B61596" w:rsidRPr="00856D60">
        <w:rPr>
          <w:rFonts w:cs="Arial" w:hint="cs"/>
          <w:color w:val="E36C0A" w:themeColor="accent6" w:themeShade="BF"/>
          <w:rtl/>
        </w:rPr>
        <w:t>(וכ"פ בשו"ע)</w:t>
      </w:r>
    </w:p>
    <w:p w14:paraId="6E0223D9" w14:textId="4CF172A3" w:rsidR="00FC37A5" w:rsidRPr="00FC37A5" w:rsidRDefault="00FC37A5" w:rsidP="00FC37A5">
      <w:pPr>
        <w:ind w:left="360"/>
        <w:rPr>
          <w:u w:val="dotted"/>
        </w:rPr>
      </w:pPr>
      <w:r w:rsidRPr="00FC37A5">
        <w:rPr>
          <w:rFonts w:hint="cs"/>
          <w:u w:val="dotted"/>
          <w:rtl/>
        </w:rPr>
        <w:t>ומה הדין אם יש לה משכון מהיורשים</w:t>
      </w:r>
      <w:r w:rsidR="00826216">
        <w:rPr>
          <w:rFonts w:hint="cs"/>
          <w:u w:val="dotted"/>
          <w:rtl/>
        </w:rPr>
        <w:t xml:space="preserve"> או שלותה ממקום אחר</w:t>
      </w:r>
      <w:r w:rsidRPr="00FC37A5">
        <w:rPr>
          <w:rFonts w:hint="cs"/>
          <w:u w:val="dotted"/>
          <w:rtl/>
        </w:rPr>
        <w:t>:</w:t>
      </w:r>
    </w:p>
    <w:p w14:paraId="5DA7570B" w14:textId="41A51233" w:rsidR="00841657" w:rsidRPr="00862C2A" w:rsidRDefault="00862C2A" w:rsidP="009000E3">
      <w:pPr>
        <w:pStyle w:val="ab"/>
        <w:numPr>
          <w:ilvl w:val="0"/>
          <w:numId w:val="61"/>
        </w:numPr>
        <w:rPr>
          <w:rtl/>
        </w:rPr>
      </w:pPr>
      <w:r>
        <w:rPr>
          <w:rFonts w:cs="Arial" w:hint="cs"/>
          <w:rtl/>
        </w:rPr>
        <w:t xml:space="preserve">רא"ש </w:t>
      </w:r>
      <w:r>
        <w:rPr>
          <w:rFonts w:cs="Arial" w:hint="cs"/>
          <w:sz w:val="16"/>
          <w:szCs w:val="16"/>
          <w:rtl/>
        </w:rPr>
        <w:t xml:space="preserve">(שם) </w:t>
      </w:r>
      <w:r>
        <w:rPr>
          <w:rFonts w:cs="Arial" w:hint="cs"/>
          <w:rtl/>
        </w:rPr>
        <w:t xml:space="preserve">הה"מ </w:t>
      </w:r>
      <w:r>
        <w:rPr>
          <w:rFonts w:cs="Arial" w:hint="cs"/>
          <w:sz w:val="16"/>
          <w:szCs w:val="16"/>
          <w:rtl/>
        </w:rPr>
        <w:t xml:space="preserve">(שם) </w:t>
      </w:r>
      <w:r w:rsidR="00FC37A5">
        <w:rPr>
          <w:rFonts w:cs="Arial" w:hint="cs"/>
          <w:rtl/>
        </w:rPr>
        <w:t>טור</w:t>
      </w:r>
      <w:r>
        <w:rPr>
          <w:rFonts w:cs="Arial" w:hint="cs"/>
          <w:rtl/>
        </w:rPr>
        <w:t xml:space="preserve"> ור"ן </w:t>
      </w:r>
      <w:r>
        <w:rPr>
          <w:rFonts w:cs="Arial" w:hint="cs"/>
          <w:sz w:val="16"/>
          <w:szCs w:val="16"/>
          <w:rtl/>
        </w:rPr>
        <w:t>(</w:t>
      </w:r>
      <w:r w:rsidR="004B38E4">
        <w:rPr>
          <w:rFonts w:cs="Arial" w:hint="cs"/>
          <w:sz w:val="16"/>
          <w:szCs w:val="16"/>
          <w:rtl/>
        </w:rPr>
        <w:t>נה:</w:t>
      </w:r>
      <w:r>
        <w:rPr>
          <w:rFonts w:cs="Arial" w:hint="cs"/>
          <w:sz w:val="16"/>
          <w:szCs w:val="16"/>
          <w:rtl/>
        </w:rPr>
        <w:t>)</w:t>
      </w:r>
      <w:r w:rsidR="00FC37A5">
        <w:rPr>
          <w:rFonts w:cs="Arial" w:hint="cs"/>
          <w:rtl/>
        </w:rPr>
        <w:t xml:space="preserve">- </w:t>
      </w:r>
      <w:r w:rsidR="00FC37A5" w:rsidRPr="000A1431">
        <w:rPr>
          <w:rFonts w:cs="Arial"/>
          <w:rtl/>
        </w:rPr>
        <w:t>ואפילו שעברו</w:t>
      </w:r>
      <w:r w:rsidR="00FC37A5">
        <w:rPr>
          <w:rFonts w:cs="Arial" w:hint="cs"/>
          <w:rtl/>
        </w:rPr>
        <w:t>,</w:t>
      </w:r>
      <w:r w:rsidR="00FC37A5" w:rsidRPr="000A1431">
        <w:rPr>
          <w:rFonts w:cs="Arial"/>
          <w:rtl/>
        </w:rPr>
        <w:t xml:space="preserve"> אם יש לה משכון מהיורשים או שלותה ממקום אחר </w:t>
      </w:r>
      <w:r w:rsidR="00FC37A5">
        <w:rPr>
          <w:rFonts w:cs="Arial" w:hint="cs"/>
          <w:rtl/>
        </w:rPr>
        <w:t xml:space="preserve">- </w:t>
      </w:r>
      <w:r w:rsidR="00FC37A5" w:rsidRPr="000A1431">
        <w:rPr>
          <w:rFonts w:cs="Arial"/>
          <w:rtl/>
        </w:rPr>
        <w:t xml:space="preserve">לא הויא שתיקתה מחילה </w:t>
      </w:r>
      <w:r w:rsidR="00FC37A5">
        <w:rPr>
          <w:rFonts w:cs="Arial" w:hint="cs"/>
          <w:sz w:val="16"/>
          <w:szCs w:val="16"/>
          <w:rtl/>
        </w:rPr>
        <w:t>(ל' הטור)</w:t>
      </w:r>
      <w:r w:rsidR="00FC37A5">
        <w:rPr>
          <w:rFonts w:cs="Arial" w:hint="cs"/>
          <w:rtl/>
        </w:rPr>
        <w:t>.</w:t>
      </w:r>
      <w:r w:rsidR="00B61596" w:rsidRPr="00B61596">
        <w:rPr>
          <w:rFonts w:cs="Arial" w:hint="cs"/>
          <w:color w:val="E36C0A" w:themeColor="accent6" w:themeShade="BF"/>
          <w:rtl/>
        </w:rPr>
        <w:t xml:space="preserve"> </w:t>
      </w:r>
      <w:r w:rsidR="00B61596" w:rsidRPr="00856D60">
        <w:rPr>
          <w:rFonts w:cs="Arial" w:hint="cs"/>
          <w:color w:val="E36C0A" w:themeColor="accent6" w:themeShade="BF"/>
          <w:rtl/>
        </w:rPr>
        <w:t>(וכ"פ בשו"ע)</w:t>
      </w:r>
    </w:p>
    <w:p w14:paraId="052D56CE" w14:textId="4FC270E5" w:rsidR="004B38E4" w:rsidRDefault="004B38E4" w:rsidP="00392DBB">
      <w:pPr>
        <w:rPr>
          <w:rFonts w:cs="Arial"/>
          <w:b/>
          <w:bCs/>
          <w:rtl/>
        </w:rPr>
      </w:pPr>
      <w:r>
        <w:rPr>
          <w:rFonts w:hint="cs"/>
          <w:u w:val="single"/>
          <w:rtl/>
        </w:rPr>
        <w:t>אשת איש</w:t>
      </w:r>
      <w:r w:rsidRPr="006071E5">
        <w:rPr>
          <w:rFonts w:hint="cs"/>
          <w:u w:val="single"/>
          <w:rtl/>
        </w:rPr>
        <w:t xml:space="preserve"> ששתקה ולא תבעה מזונותיה במשך שנתיים/שלש:</w:t>
      </w:r>
    </w:p>
    <w:p w14:paraId="3817B8E4" w14:textId="75EEE83A" w:rsidR="00392DBB" w:rsidRPr="00A91D9C" w:rsidRDefault="00392DBB" w:rsidP="009000E3">
      <w:pPr>
        <w:pStyle w:val="ab"/>
        <w:numPr>
          <w:ilvl w:val="0"/>
          <w:numId w:val="61"/>
        </w:numPr>
        <w:rPr>
          <w:rFonts w:cs="Arial"/>
          <w:rtl/>
        </w:rPr>
      </w:pPr>
      <w:r w:rsidRPr="004B38E4">
        <w:rPr>
          <w:rFonts w:cs="Arial"/>
          <w:rtl/>
        </w:rPr>
        <w:t xml:space="preserve">רמב"ן </w:t>
      </w:r>
      <w:r w:rsidRPr="004B38E4">
        <w:rPr>
          <w:rFonts w:cs="Arial"/>
          <w:sz w:val="16"/>
          <w:szCs w:val="16"/>
          <w:rtl/>
        </w:rPr>
        <w:t>(צו. ד"ה אלמנה</w:t>
      </w:r>
      <w:r w:rsidR="00650457">
        <w:rPr>
          <w:rFonts w:cs="Arial" w:hint="cs"/>
          <w:sz w:val="16"/>
          <w:szCs w:val="16"/>
          <w:rtl/>
        </w:rPr>
        <w:t xml:space="preserve"> ששהתה</w:t>
      </w:r>
      <w:r w:rsidR="004B38E4" w:rsidRPr="004B38E4">
        <w:rPr>
          <w:rFonts w:cs="Arial" w:hint="cs"/>
          <w:sz w:val="16"/>
          <w:szCs w:val="16"/>
          <w:rtl/>
        </w:rPr>
        <w:t xml:space="preserve">, כ"כ בשמו הה"מ [שם] </w:t>
      </w:r>
      <w:r w:rsidR="00650457">
        <w:rPr>
          <w:rFonts w:cs="Arial" w:hint="cs"/>
          <w:sz w:val="16"/>
          <w:szCs w:val="16"/>
          <w:rtl/>
        </w:rPr>
        <w:t>הריטב"א [</w:t>
      </w:r>
      <w:r w:rsidR="00077DF1">
        <w:rPr>
          <w:rFonts w:cs="Arial" w:hint="cs"/>
          <w:sz w:val="16"/>
          <w:szCs w:val="16"/>
          <w:rtl/>
        </w:rPr>
        <w:t>צו.</w:t>
      </w:r>
      <w:r w:rsidR="00650457">
        <w:rPr>
          <w:rFonts w:cs="Arial" w:hint="cs"/>
          <w:sz w:val="16"/>
          <w:szCs w:val="16"/>
          <w:rtl/>
        </w:rPr>
        <w:t xml:space="preserve">] </w:t>
      </w:r>
      <w:r w:rsidR="004B38E4" w:rsidRPr="004B38E4">
        <w:rPr>
          <w:rFonts w:cs="Arial" w:hint="cs"/>
          <w:sz w:val="16"/>
          <w:szCs w:val="16"/>
          <w:rtl/>
        </w:rPr>
        <w:t>והר"ן [שם]</w:t>
      </w:r>
      <w:r w:rsidRPr="004B38E4">
        <w:rPr>
          <w:rFonts w:cs="Arial"/>
          <w:sz w:val="16"/>
          <w:szCs w:val="16"/>
          <w:rtl/>
        </w:rPr>
        <w:t>)</w:t>
      </w:r>
      <w:r w:rsidR="004B38E4" w:rsidRPr="004B38E4">
        <w:rPr>
          <w:rFonts w:cs="Arial" w:hint="cs"/>
          <w:rtl/>
        </w:rPr>
        <w:t xml:space="preserve">- </w:t>
      </w:r>
      <w:r w:rsidR="0055018A" w:rsidRPr="0055018A">
        <w:rPr>
          <w:rFonts w:cs="Arial"/>
          <w:rtl/>
        </w:rPr>
        <w:t>דוקא אלמנה הוא דבעיא שתים ושלש שנים</w:t>
      </w:r>
      <w:r w:rsidR="0055018A">
        <w:rPr>
          <w:rFonts w:cs="Arial" w:hint="cs"/>
          <w:rtl/>
        </w:rPr>
        <w:t>,</w:t>
      </w:r>
      <w:r w:rsidR="0055018A" w:rsidRPr="0055018A">
        <w:rPr>
          <w:rFonts w:cs="Arial"/>
          <w:rtl/>
        </w:rPr>
        <w:t xml:space="preserve"> אבל אשת איש אפי' שהתה יום א' ולא תבעה </w:t>
      </w:r>
      <w:r w:rsidR="0055018A">
        <w:rPr>
          <w:rFonts w:cs="Arial" w:hint="cs"/>
          <w:rtl/>
        </w:rPr>
        <w:t xml:space="preserve">- </w:t>
      </w:r>
      <w:r w:rsidR="0055018A" w:rsidRPr="0055018A">
        <w:rPr>
          <w:rFonts w:cs="Arial"/>
          <w:rtl/>
        </w:rPr>
        <w:t>אבדה מזונותיה למפרע</w:t>
      </w:r>
      <w:r w:rsidR="00077DF1">
        <w:rPr>
          <w:rStyle w:val="a7"/>
          <w:rFonts w:cs="Arial"/>
          <w:rtl/>
        </w:rPr>
        <w:footnoteReference w:id="1602"/>
      </w:r>
      <w:r w:rsidR="0055018A">
        <w:rPr>
          <w:rFonts w:cs="Arial" w:hint="cs"/>
          <w:rtl/>
        </w:rPr>
        <w:t>.</w:t>
      </w:r>
      <w:r w:rsidR="0055018A" w:rsidRPr="0055018A">
        <w:rPr>
          <w:rFonts w:cs="Arial"/>
          <w:rtl/>
        </w:rPr>
        <w:t xml:space="preserve"> דבשלמא אלמנה אפשר דמתזנא מדידה כגון ממציאתה</w:t>
      </w:r>
      <w:r w:rsidR="0055018A">
        <w:rPr>
          <w:rFonts w:cs="Arial" w:hint="cs"/>
          <w:rtl/>
        </w:rPr>
        <w:t>,</w:t>
      </w:r>
      <w:r w:rsidR="0055018A" w:rsidRPr="0055018A">
        <w:rPr>
          <w:rFonts w:cs="Arial"/>
          <w:rtl/>
        </w:rPr>
        <w:t xml:space="preserve"> אבל א</w:t>
      </w:r>
      <w:r w:rsidR="00FE51B0">
        <w:rPr>
          <w:rFonts w:cs="Arial" w:hint="cs"/>
          <w:rtl/>
        </w:rPr>
        <w:t>שת איש</w:t>
      </w:r>
      <w:r w:rsidR="0055018A" w:rsidRPr="0055018A">
        <w:rPr>
          <w:rFonts w:cs="Arial"/>
          <w:rtl/>
        </w:rPr>
        <w:t xml:space="preserve"> שהכל לבעלה </w:t>
      </w:r>
      <w:r w:rsidR="0055018A">
        <w:rPr>
          <w:rFonts w:cs="Arial" w:hint="cs"/>
          <w:rtl/>
        </w:rPr>
        <w:t xml:space="preserve">- </w:t>
      </w:r>
      <w:r w:rsidR="0055018A" w:rsidRPr="0055018A">
        <w:rPr>
          <w:rFonts w:cs="Arial"/>
          <w:rtl/>
        </w:rPr>
        <w:t>מדידיה מתזנא</w:t>
      </w:r>
      <w:r w:rsidR="0055018A">
        <w:rPr>
          <w:rFonts w:cs="Arial" w:hint="cs"/>
          <w:rtl/>
        </w:rPr>
        <w:t>.</w:t>
      </w:r>
      <w:r w:rsidR="0055018A" w:rsidRPr="0055018A">
        <w:rPr>
          <w:rFonts w:cs="Arial"/>
          <w:rtl/>
        </w:rPr>
        <w:t xml:space="preserve"> ואי אמרה דלותה ואכלה תביא ראיה לדבריה</w:t>
      </w:r>
      <w:r w:rsidR="00650457">
        <w:rPr>
          <w:rFonts w:cs="Arial" w:hint="cs"/>
          <w:rtl/>
        </w:rPr>
        <w:t>,</w:t>
      </w:r>
      <w:r w:rsidR="0055018A" w:rsidRPr="0055018A">
        <w:rPr>
          <w:rFonts w:cs="Arial"/>
          <w:rtl/>
        </w:rPr>
        <w:t xml:space="preserve"> דכל היכי דאיהי מפקא מבעל עליה להביא ראיה</w:t>
      </w:r>
      <w:r w:rsidR="00650457">
        <w:rPr>
          <w:rFonts w:cs="Arial" w:hint="cs"/>
          <w:rtl/>
        </w:rPr>
        <w:t>,</w:t>
      </w:r>
      <w:r w:rsidR="0055018A" w:rsidRPr="0055018A">
        <w:rPr>
          <w:rFonts w:cs="Arial"/>
          <w:rtl/>
        </w:rPr>
        <w:t xml:space="preserve"> משא"כ באלמנה דנכסי בחזקת אלמנה קיימי</w:t>
      </w:r>
      <w:r w:rsidR="00650457">
        <w:rPr>
          <w:rFonts w:cs="Arial" w:hint="cs"/>
          <w:rtl/>
        </w:rPr>
        <w:t>.</w:t>
      </w:r>
      <w:r w:rsidR="0055018A" w:rsidRPr="0055018A">
        <w:rPr>
          <w:rFonts w:cs="Arial"/>
          <w:rtl/>
        </w:rPr>
        <w:t xml:space="preserve"> ומסתברא דאפי' מכרה בנכסיה בטובת הנאה ולא תבעה </w:t>
      </w:r>
      <w:r w:rsidR="00650457">
        <w:rPr>
          <w:rFonts w:cs="Arial" w:hint="cs"/>
          <w:rtl/>
        </w:rPr>
        <w:t xml:space="preserve">- </w:t>
      </w:r>
      <w:r w:rsidR="0055018A" w:rsidRPr="0055018A">
        <w:rPr>
          <w:rFonts w:cs="Arial"/>
          <w:rtl/>
        </w:rPr>
        <w:t>הפסידה מיד</w:t>
      </w:r>
      <w:r w:rsidR="00650457">
        <w:rPr>
          <w:rStyle w:val="a7"/>
          <w:rFonts w:cs="Arial"/>
          <w:rtl/>
        </w:rPr>
        <w:footnoteReference w:id="1603"/>
      </w:r>
      <w:r w:rsidR="00650457">
        <w:rPr>
          <w:rFonts w:cs="Arial" w:hint="cs"/>
          <w:rtl/>
        </w:rPr>
        <w:t>,</w:t>
      </w:r>
      <w:r w:rsidR="0055018A" w:rsidRPr="0055018A">
        <w:rPr>
          <w:rFonts w:cs="Arial"/>
          <w:rtl/>
        </w:rPr>
        <w:t xml:space="preserve"> שדרך הנשים לגלגל עם בעליהן ולסייע להם. וה"מ לאפוקי מבעל אבל אם לא נתן לה מזונות ועשתה ואכלה אע</w:t>
      </w:r>
      <w:r w:rsidR="00FE51B0">
        <w:rPr>
          <w:rFonts w:cs="Arial" w:hint="cs"/>
          <w:rtl/>
        </w:rPr>
        <w:t>"</w:t>
      </w:r>
      <w:r w:rsidR="0055018A" w:rsidRPr="0055018A">
        <w:rPr>
          <w:rFonts w:cs="Arial"/>
          <w:rtl/>
        </w:rPr>
        <w:t xml:space="preserve">פ שהותירה אין לבעלה עלי' כלום דכל היכא דאיהו לא יהיב לה מזוני הרי משכון בידה תמשכננו עליו ואינה צריכה להתנות עמו בב"ד ולומר איני ניזונית ואיני עושה, וזו היא ששנינו </w:t>
      </w:r>
      <w:r w:rsidR="00650457" w:rsidRPr="004B38E4">
        <w:rPr>
          <w:rFonts w:cs="Arial"/>
          <w:rtl/>
        </w:rPr>
        <w:t xml:space="preserve">(סד:) </w:t>
      </w:r>
      <w:r w:rsidR="0055018A" w:rsidRPr="0055018A">
        <w:rPr>
          <w:rFonts w:cs="Arial"/>
          <w:rtl/>
        </w:rPr>
        <w:t>אם אינו נותן לה מזונות מעה כסף לצרכיה מעשה ידיה שלה</w:t>
      </w:r>
      <w:r w:rsidR="00650457">
        <w:rPr>
          <w:rFonts w:cs="Arial" w:hint="cs"/>
          <w:rtl/>
        </w:rPr>
        <w:t>.</w:t>
      </w:r>
    </w:p>
    <w:p w14:paraId="011CE30A"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C3EB2CD" w14:textId="77777777" w:rsidR="00392DBB" w:rsidRDefault="00392DBB" w:rsidP="00392DBB">
      <w:pPr>
        <w:rPr>
          <w:rtl/>
        </w:rPr>
      </w:pPr>
      <w:r>
        <w:rPr>
          <w:rFonts w:cs="Arial"/>
          <w:rtl/>
        </w:rPr>
        <w:lastRenderedPageBreak/>
        <w:t xml:space="preserve">אלמנה עניה ששהתה שתי שנים ולא תבעה מזונות, או עשירה ששהתה שלש שנים ולא תבעה, ויתרה ואין לה מזונות משנים שעברו. ואם שהתה פחות מזה אפילו יום אחד, לא ויתרה, ואם היה בידה משכון בתוך אותם שנים, או שלותה, לא ויתרה. </w:t>
      </w:r>
    </w:p>
    <w:p w14:paraId="1C5E36D8" w14:textId="77777777" w:rsidR="00392DBB" w:rsidRDefault="00392DBB" w:rsidP="00392DBB">
      <w:pPr>
        <w:rPr>
          <w:rtl/>
        </w:rPr>
      </w:pPr>
    </w:p>
    <w:p w14:paraId="656ACFA3" w14:textId="5DC9F4C7" w:rsidR="00392DBB" w:rsidRDefault="00392DBB" w:rsidP="000F64D0">
      <w:pPr>
        <w:pStyle w:val="2"/>
        <w:rPr>
          <w:rtl/>
        </w:rPr>
      </w:pPr>
      <w:r>
        <w:rPr>
          <w:rtl/>
        </w:rPr>
        <w:t>סעיף טו</w:t>
      </w:r>
      <w:r w:rsidR="00B61596">
        <w:rPr>
          <w:rFonts w:hint="cs"/>
          <w:rtl/>
        </w:rPr>
        <w:t xml:space="preserve">: </w:t>
      </w:r>
      <w:r w:rsidR="00B57535">
        <w:rPr>
          <w:rFonts w:hint="cs"/>
          <w:rtl/>
        </w:rPr>
        <w:t>יורשים אומרים נתנו לה מזונות, והאלמנה אומרת לא נתלתי.</w:t>
      </w:r>
    </w:p>
    <w:p w14:paraId="659CF5DF" w14:textId="77777777" w:rsidR="00B57535" w:rsidRPr="00B57535" w:rsidRDefault="00B57535" w:rsidP="00B57535">
      <w:pPr>
        <w:rPr>
          <w:rFonts w:cs="Arial"/>
          <w:rtl/>
        </w:rPr>
      </w:pPr>
      <w:r w:rsidRPr="002E5176">
        <w:rPr>
          <w:rFonts w:cs="Arial" w:hint="cs"/>
          <w:b/>
          <w:bCs/>
          <w:rtl/>
        </w:rPr>
        <w:t xml:space="preserve">כתובות </w:t>
      </w:r>
      <w:r w:rsidRPr="002E5176">
        <w:rPr>
          <w:rFonts w:cs="Arial" w:hint="cs"/>
          <w:b/>
          <w:bCs/>
          <w:sz w:val="16"/>
          <w:szCs w:val="16"/>
          <w:rtl/>
        </w:rPr>
        <w:t>(</w:t>
      </w:r>
      <w:r>
        <w:rPr>
          <w:rFonts w:cs="Arial" w:hint="cs"/>
          <w:b/>
          <w:bCs/>
          <w:sz w:val="16"/>
          <w:szCs w:val="16"/>
          <w:rtl/>
        </w:rPr>
        <w:t>ר"</w:t>
      </w:r>
      <w:r w:rsidRPr="002E5176">
        <w:rPr>
          <w:rFonts w:cs="Arial" w:hint="cs"/>
          <w:b/>
          <w:bCs/>
          <w:sz w:val="16"/>
          <w:szCs w:val="16"/>
          <w:rtl/>
        </w:rPr>
        <w:t xml:space="preserve">פ אלמנה ניזונת) </w:t>
      </w:r>
      <w:r w:rsidRPr="002E5176">
        <w:rPr>
          <w:rFonts w:cs="Arial" w:hint="cs"/>
          <w:b/>
          <w:bCs/>
          <w:rtl/>
        </w:rPr>
        <w:t>צ</w:t>
      </w:r>
      <w:r>
        <w:rPr>
          <w:rFonts w:cs="Arial" w:hint="cs"/>
          <w:b/>
          <w:bCs/>
          <w:rtl/>
        </w:rPr>
        <w:t>ו</w:t>
      </w:r>
      <w:r w:rsidRPr="002E5176">
        <w:rPr>
          <w:rFonts w:cs="Arial" w:hint="cs"/>
          <w:b/>
          <w:bCs/>
          <w:rtl/>
        </w:rPr>
        <w:t xml:space="preserve"> ע"</w:t>
      </w:r>
      <w:r>
        <w:rPr>
          <w:rFonts w:cs="Arial" w:hint="cs"/>
          <w:b/>
          <w:bCs/>
          <w:rtl/>
        </w:rPr>
        <w:t>א</w:t>
      </w:r>
      <w:r w:rsidRPr="002E5176">
        <w:rPr>
          <w:rFonts w:cs="Arial" w:hint="cs"/>
          <w:b/>
          <w:bCs/>
          <w:rtl/>
        </w:rPr>
        <w:t>:</w:t>
      </w:r>
      <w:r>
        <w:rPr>
          <w:rFonts w:cs="Arial" w:hint="cs"/>
          <w:rtl/>
        </w:rPr>
        <w:t xml:space="preserve"> </w:t>
      </w:r>
      <w:r w:rsidRPr="003B209F">
        <w:rPr>
          <w:rFonts w:cs="Arial"/>
          <w:u w:val="single"/>
          <w:rtl/>
        </w:rPr>
        <w:t>בעי ר' יוחנן</w:t>
      </w:r>
      <w:r w:rsidRPr="003B209F">
        <w:rPr>
          <w:rFonts w:cs="Arial"/>
          <w:rtl/>
        </w:rPr>
        <w:t>: יתומים אומרים נתננו והיא אומרת לא נטלתי, על מי להביא ראיה?</w:t>
      </w:r>
      <w:r>
        <w:rPr>
          <w:rFonts w:cs="Arial" w:hint="cs"/>
          <w:sz w:val="14"/>
          <w:szCs w:val="14"/>
          <w:rtl/>
        </w:rPr>
        <w:t xml:space="preserve"> (צו:) </w:t>
      </w:r>
      <w:r w:rsidRPr="003B209F">
        <w:rPr>
          <w:rFonts w:cs="Arial"/>
          <w:rtl/>
        </w:rPr>
        <w:t xml:space="preserve">נכסי בחזקת יתמי קיימי, ועל אלמנה להביא ראיה, או דלמא נכסי בחזקת אלמנה קיימי, ועל היתומים להביא ראיה? ת"ש, דתני לוי: אלמנה כל זמן שלא ניסת - על היתומים להביא ראיה, ניסת - עליה להביא ראיה. </w:t>
      </w:r>
      <w:r w:rsidRPr="00B57535">
        <w:rPr>
          <w:rFonts w:cs="Arial" w:hint="cs"/>
          <w:sz w:val="16"/>
          <w:szCs w:val="16"/>
          <w:rtl/>
        </w:rPr>
        <w:t>(</w:t>
      </w:r>
      <w:r w:rsidRPr="00B57535">
        <w:rPr>
          <w:rFonts w:cs="Arial"/>
          <w:sz w:val="16"/>
          <w:szCs w:val="16"/>
          <w:rtl/>
        </w:rPr>
        <w:t>וכתב הרא"ש (סי' ה) בעי רבי יוחנן יתומים אומרים נתננו לה מזונות עד היום הזה</w:t>
      </w:r>
      <w:r w:rsidRPr="00B57535">
        <w:rPr>
          <w:rFonts w:cs="Arial" w:hint="cs"/>
          <w:sz w:val="16"/>
          <w:szCs w:val="16"/>
          <w:rtl/>
        </w:rPr>
        <w:t>,</w:t>
      </w:r>
      <w:r w:rsidRPr="00B57535">
        <w:rPr>
          <w:rFonts w:cs="Arial"/>
          <w:sz w:val="16"/>
          <w:szCs w:val="16"/>
          <w:rtl/>
        </w:rPr>
        <w:t xml:space="preserve"> והיא אומרת לא נטלתי</w:t>
      </w:r>
      <w:r w:rsidRPr="00B57535">
        <w:rPr>
          <w:rFonts w:cs="Arial" w:hint="cs"/>
          <w:sz w:val="16"/>
          <w:szCs w:val="16"/>
          <w:rtl/>
        </w:rPr>
        <w:t>,</w:t>
      </w:r>
      <w:r w:rsidRPr="00B57535">
        <w:rPr>
          <w:rFonts w:cs="Arial"/>
          <w:sz w:val="16"/>
          <w:szCs w:val="16"/>
          <w:rtl/>
        </w:rPr>
        <w:t xml:space="preserve"> ולא שהתה עדיין ב' וג' שנים</w:t>
      </w:r>
      <w:r w:rsidRPr="00B57535">
        <w:rPr>
          <w:rFonts w:cs="Arial" w:hint="cs"/>
          <w:sz w:val="16"/>
          <w:szCs w:val="16"/>
          <w:rtl/>
        </w:rPr>
        <w:t>,</w:t>
      </w:r>
      <w:r w:rsidRPr="00B57535">
        <w:rPr>
          <w:rFonts w:cs="Arial"/>
          <w:sz w:val="16"/>
          <w:szCs w:val="16"/>
          <w:rtl/>
        </w:rPr>
        <w:t xml:space="preserve"> על מי להביא ראיה</w:t>
      </w:r>
      <w:r w:rsidRPr="00B57535">
        <w:rPr>
          <w:rFonts w:cs="Arial" w:hint="cs"/>
          <w:sz w:val="16"/>
          <w:szCs w:val="16"/>
          <w:rtl/>
        </w:rPr>
        <w:t>.</w:t>
      </w:r>
      <w:r w:rsidRPr="00B57535">
        <w:rPr>
          <w:rFonts w:cs="Arial"/>
          <w:sz w:val="16"/>
          <w:szCs w:val="16"/>
          <w:rtl/>
        </w:rPr>
        <w:t xml:space="preserve"> ודלא כפירוש רש"י שפירש נתננו לה דמי מזונות שנה הבאה</w:t>
      </w:r>
      <w:r w:rsidRPr="00B57535">
        <w:rPr>
          <w:rFonts w:cs="Arial" w:hint="cs"/>
          <w:sz w:val="16"/>
          <w:szCs w:val="16"/>
          <w:rtl/>
        </w:rPr>
        <w:t>,</w:t>
      </w:r>
      <w:r w:rsidRPr="00B57535">
        <w:rPr>
          <w:rFonts w:cs="Arial"/>
          <w:sz w:val="16"/>
          <w:szCs w:val="16"/>
          <w:rtl/>
        </w:rPr>
        <w:t xml:space="preserve"> דהא פשיטא דעל היתומים להביא ראיה</w:t>
      </w:r>
      <w:r w:rsidRPr="00B57535">
        <w:rPr>
          <w:rFonts w:cs="Arial" w:hint="cs"/>
          <w:sz w:val="16"/>
          <w:szCs w:val="16"/>
          <w:rtl/>
        </w:rPr>
        <w:t>.</w:t>
      </w:r>
      <w:r w:rsidRPr="00B57535">
        <w:rPr>
          <w:rFonts w:cs="Arial"/>
          <w:sz w:val="16"/>
          <w:szCs w:val="16"/>
          <w:rtl/>
        </w:rPr>
        <w:t xml:space="preserve"> וכדברי הרא"ש כתבו התוספות (ד"ה יתומים)</w:t>
      </w:r>
      <w:r w:rsidRPr="00B57535">
        <w:rPr>
          <w:rFonts w:cs="Arial" w:hint="cs"/>
          <w:sz w:val="16"/>
          <w:szCs w:val="16"/>
          <w:rtl/>
        </w:rPr>
        <w:t>.</w:t>
      </w:r>
      <w:r w:rsidRPr="00B57535">
        <w:rPr>
          <w:rFonts w:cs="Arial"/>
          <w:sz w:val="16"/>
          <w:szCs w:val="16"/>
          <w:rtl/>
        </w:rPr>
        <w:t xml:space="preserve"> וגם הר"ן (נה: ד"ה בעי) כתב על פירוש רש"י ולא נהירא דאי הכי פשיטא דלא מהימני דדמי לחוב שהוא תוך הזמן שאין הלוה נאמן לומר פרעתי (ב"ב ה:)</w:t>
      </w:r>
      <w:r w:rsidRPr="00B57535">
        <w:rPr>
          <w:rFonts w:cs="Arial" w:hint="cs"/>
          <w:sz w:val="16"/>
          <w:szCs w:val="16"/>
          <w:rtl/>
        </w:rPr>
        <w:t>.</w:t>
      </w:r>
      <w:r w:rsidRPr="00B57535">
        <w:rPr>
          <w:rFonts w:cs="Arial"/>
          <w:sz w:val="16"/>
          <w:szCs w:val="16"/>
          <w:rtl/>
        </w:rPr>
        <w:t xml:space="preserve"> ועוד דאם איתא אין לך אלמנה שלא הפסידה מזונותיה</w:t>
      </w:r>
      <w:r w:rsidRPr="00B57535">
        <w:rPr>
          <w:rFonts w:cs="Arial" w:hint="cs"/>
          <w:sz w:val="16"/>
          <w:szCs w:val="16"/>
          <w:rtl/>
        </w:rPr>
        <w:t>.</w:t>
      </w:r>
      <w:r w:rsidRPr="00B57535">
        <w:rPr>
          <w:rFonts w:cs="Arial"/>
          <w:sz w:val="16"/>
          <w:szCs w:val="16"/>
          <w:rtl/>
        </w:rPr>
        <w:t xml:space="preserve"> אלא ודאי ע"כ ממזונות דלמפרע וכגון שהיא בתוך הג'</w:t>
      </w:r>
      <w:r w:rsidRPr="00B57535">
        <w:rPr>
          <w:rFonts w:cs="Arial" w:hint="cs"/>
          <w:sz w:val="16"/>
          <w:szCs w:val="16"/>
          <w:rtl/>
        </w:rPr>
        <w:t>.</w:t>
      </w:r>
      <w:r w:rsidRPr="00B57535">
        <w:rPr>
          <w:rFonts w:cs="Arial"/>
          <w:sz w:val="16"/>
          <w:szCs w:val="16"/>
          <w:rtl/>
        </w:rPr>
        <w:t xml:space="preserve"> והכי נמי משמע מדפשטינא לה מדתני לוי וההיא ודאי במזונות שעברו מיירי מדתני כל זמן שלא נשאת על היתומים להביא ראיה ע"כ</w:t>
      </w:r>
      <w:r w:rsidRPr="00B57535">
        <w:rPr>
          <w:rFonts w:cs="Arial" w:hint="cs"/>
          <w:sz w:val="16"/>
          <w:szCs w:val="16"/>
          <w:rtl/>
        </w:rPr>
        <w:t>.</w:t>
      </w:r>
      <w:r w:rsidRPr="00B57535">
        <w:rPr>
          <w:rFonts w:cs="Arial"/>
          <w:sz w:val="16"/>
          <w:szCs w:val="16"/>
          <w:rtl/>
        </w:rPr>
        <w:t xml:space="preserve"> וכן נראה מדברי הרמב"ם בפי"ח מהלכות אישות (הכ"ז)</w:t>
      </w:r>
      <w:r w:rsidRPr="00B57535">
        <w:rPr>
          <w:rFonts w:cs="Arial" w:hint="cs"/>
          <w:sz w:val="16"/>
          <w:szCs w:val="16"/>
          <w:rtl/>
        </w:rPr>
        <w:t>, ב"י)</w:t>
      </w:r>
    </w:p>
    <w:p w14:paraId="4389B623" w14:textId="7F138FF3" w:rsidR="00B61596" w:rsidRPr="00B57535" w:rsidRDefault="00B57535" w:rsidP="00B61596">
      <w:pPr>
        <w:rPr>
          <w:u w:val="single"/>
          <w:rtl/>
        </w:rPr>
      </w:pPr>
      <w:r w:rsidRPr="00B57535">
        <w:rPr>
          <w:rFonts w:hint="cs"/>
          <w:u w:val="single"/>
          <w:rtl/>
        </w:rPr>
        <w:t xml:space="preserve">יורשים אומרים נתנו לה מזונות, והאלמנה אומרת לא </w:t>
      </w:r>
      <w:r>
        <w:rPr>
          <w:rFonts w:hint="cs"/>
          <w:u w:val="single"/>
          <w:rtl/>
        </w:rPr>
        <w:t>נת</w:t>
      </w:r>
      <w:r w:rsidRPr="00B57535">
        <w:rPr>
          <w:rFonts w:hint="cs"/>
          <w:u w:val="single"/>
          <w:rtl/>
        </w:rPr>
        <w:t>לתי:</w:t>
      </w:r>
    </w:p>
    <w:p w14:paraId="4DAC91E1" w14:textId="37E4D499" w:rsidR="00392DBB" w:rsidRDefault="00392DBB" w:rsidP="009000E3">
      <w:pPr>
        <w:pStyle w:val="ab"/>
        <w:numPr>
          <w:ilvl w:val="0"/>
          <w:numId w:val="61"/>
        </w:numPr>
      </w:pPr>
      <w:r>
        <w:rPr>
          <w:rFonts w:cs="Arial" w:hint="cs"/>
          <w:rtl/>
        </w:rPr>
        <w:t xml:space="preserve">טור- </w:t>
      </w:r>
      <w:r w:rsidRPr="000A1431">
        <w:rPr>
          <w:rFonts w:cs="Arial"/>
          <w:rtl/>
        </w:rPr>
        <w:t>אם היורשים אומרין נתננו לה מזונות</w:t>
      </w:r>
      <w:r w:rsidR="00B61596">
        <w:rPr>
          <w:rFonts w:cs="Arial" w:hint="cs"/>
          <w:rtl/>
        </w:rPr>
        <w:t>,</w:t>
      </w:r>
      <w:r w:rsidRPr="000A1431">
        <w:rPr>
          <w:rFonts w:cs="Arial"/>
          <w:rtl/>
        </w:rPr>
        <w:t xml:space="preserve"> והיא אומרת לא נטלתי</w:t>
      </w:r>
      <w:r w:rsidR="00B61596">
        <w:rPr>
          <w:rFonts w:cs="Arial" w:hint="cs"/>
          <w:rtl/>
        </w:rPr>
        <w:t>,</w:t>
      </w:r>
      <w:r w:rsidRPr="000A1431">
        <w:rPr>
          <w:rFonts w:cs="Arial"/>
          <w:rtl/>
        </w:rPr>
        <w:t xml:space="preserve"> לא מיבעיא להבא שאין היורשים נאמנים אלא אפילו לשעבר אם לא שתקה ג' שנים אינם נאמנים</w:t>
      </w:r>
      <w:r w:rsidR="00B61596">
        <w:rPr>
          <w:rFonts w:cs="Arial" w:hint="cs"/>
          <w:rtl/>
        </w:rPr>
        <w:t>.</w:t>
      </w:r>
      <w:r w:rsidRPr="000A1431">
        <w:rPr>
          <w:rFonts w:cs="Arial"/>
          <w:rtl/>
        </w:rPr>
        <w:t xml:space="preserve"> וכתב הרמב"ם </w:t>
      </w:r>
      <w:r w:rsidR="00FF0DBD">
        <w:rPr>
          <w:rFonts w:cs="Arial" w:hint="cs"/>
          <w:rtl/>
        </w:rPr>
        <w:t xml:space="preserve">(פי"ח הכ"ז) </w:t>
      </w:r>
      <w:r w:rsidRPr="000A1431">
        <w:rPr>
          <w:rFonts w:cs="Arial"/>
          <w:rtl/>
        </w:rPr>
        <w:t>והיא נשבעת שבועת היסת ונוטלת</w:t>
      </w:r>
      <w:r w:rsidR="00571687">
        <w:rPr>
          <w:rStyle w:val="a7"/>
          <w:rFonts w:cs="Arial"/>
          <w:rtl/>
        </w:rPr>
        <w:footnoteReference w:id="1604"/>
      </w:r>
      <w:r w:rsidR="00895A3C">
        <w:rPr>
          <w:rFonts w:cs="Arial" w:hint="cs"/>
          <w:rtl/>
        </w:rPr>
        <w:t>.</w:t>
      </w:r>
      <w:r w:rsidRPr="000A1431">
        <w:rPr>
          <w:rFonts w:cs="Arial"/>
          <w:rtl/>
        </w:rPr>
        <w:t xml:space="preserve"> בד"א כל זמן שלא ניסת אז אינם נאמנים אפילו פרעו לה כתובתה בב"ד</w:t>
      </w:r>
      <w:r w:rsidR="00B61596">
        <w:rPr>
          <w:rFonts w:cs="Arial" w:hint="cs"/>
          <w:rtl/>
        </w:rPr>
        <w:t>,</w:t>
      </w:r>
      <w:r w:rsidRPr="000A1431">
        <w:rPr>
          <w:rFonts w:cs="Arial"/>
          <w:rtl/>
        </w:rPr>
        <w:t xml:space="preserve"> אבל אם נישאת </w:t>
      </w:r>
      <w:r w:rsidR="00895A3C">
        <w:rPr>
          <w:rFonts w:cs="Arial" w:hint="cs"/>
          <w:rtl/>
        </w:rPr>
        <w:t xml:space="preserve">- </w:t>
      </w:r>
      <w:r w:rsidRPr="000A1431">
        <w:rPr>
          <w:rFonts w:cs="Arial"/>
          <w:rtl/>
        </w:rPr>
        <w:t>אז היורשים נאמנים</w:t>
      </w:r>
      <w:r w:rsidR="00B61596">
        <w:rPr>
          <w:rFonts w:cs="Arial" w:hint="cs"/>
          <w:rtl/>
        </w:rPr>
        <w:t>.</w:t>
      </w:r>
      <w:r w:rsidRPr="000A1431">
        <w:rPr>
          <w:rFonts w:cs="Arial"/>
          <w:rtl/>
        </w:rPr>
        <w:t xml:space="preserve"> גם בזה כתב הרמב"ם ונשבעין שבועת היסת ונפטרין</w:t>
      </w:r>
      <w:r>
        <w:rPr>
          <w:rFonts w:cs="Arial" w:hint="cs"/>
          <w:rtl/>
        </w:rPr>
        <w:t>.</w:t>
      </w:r>
      <w:r w:rsidR="00571687">
        <w:rPr>
          <w:rFonts w:cs="Arial" w:hint="cs"/>
          <w:rtl/>
        </w:rPr>
        <w:t xml:space="preserve"> </w:t>
      </w:r>
      <w:r w:rsidR="00571687" w:rsidRPr="00856D60">
        <w:rPr>
          <w:rFonts w:cs="Arial" w:hint="cs"/>
          <w:color w:val="E36C0A" w:themeColor="accent6" w:themeShade="BF"/>
          <w:rtl/>
        </w:rPr>
        <w:t>(וכ"פ בשו"ע)</w:t>
      </w:r>
      <w:r w:rsidRPr="000A1431">
        <w:rPr>
          <w:rFonts w:cs="Arial"/>
          <w:rtl/>
        </w:rPr>
        <w:t xml:space="preserve"> </w:t>
      </w:r>
    </w:p>
    <w:p w14:paraId="43CDFD6A"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07FA20D" w14:textId="0531654E" w:rsidR="00392DBB" w:rsidRDefault="00392DBB" w:rsidP="00392DBB">
      <w:pPr>
        <w:rPr>
          <w:rFonts w:cs="Arial"/>
          <w:rtl/>
        </w:rPr>
      </w:pPr>
      <w:r>
        <w:rPr>
          <w:rFonts w:cs="Arial"/>
          <w:rtl/>
        </w:rPr>
        <w:t>אלמנה שתבעה מזונות מהיורשים, והם אמרו שנתנו לה</w:t>
      </w:r>
      <w:r w:rsidR="00221078">
        <w:rPr>
          <w:rFonts w:cs="Arial" w:hint="cs"/>
          <w:rtl/>
        </w:rPr>
        <w:t>,</w:t>
      </w:r>
      <w:r>
        <w:rPr>
          <w:rFonts w:cs="Arial"/>
          <w:rtl/>
        </w:rPr>
        <w:t xml:space="preserve"> והיא אומרת שלא נטלה, כל זמן שלא נשאת על היתומים להביא ראיה או תשבע שבועת היסת ותטול</w:t>
      </w:r>
      <w:r w:rsidR="00FF555A">
        <w:rPr>
          <w:rFonts w:cs="Arial" w:hint="cs"/>
          <w:rtl/>
        </w:rPr>
        <w:t>.</w:t>
      </w:r>
      <w:r>
        <w:rPr>
          <w:rFonts w:cs="Arial"/>
          <w:rtl/>
        </w:rPr>
        <w:t xml:space="preserve"> משנשאת, עליה להביא ראיה או ישבע היורש שבועת היסת שנתנם לה. </w:t>
      </w:r>
    </w:p>
    <w:p w14:paraId="197C1A74" w14:textId="77777777" w:rsidR="00FF555A" w:rsidRDefault="00FF555A" w:rsidP="00392DBB">
      <w:pPr>
        <w:rPr>
          <w:rtl/>
        </w:rPr>
      </w:pPr>
    </w:p>
    <w:p w14:paraId="4B789EB2" w14:textId="2C31DCAD" w:rsidR="00392DBB" w:rsidRDefault="00392DBB" w:rsidP="000F64D0">
      <w:pPr>
        <w:pStyle w:val="2"/>
        <w:rPr>
          <w:rtl/>
        </w:rPr>
      </w:pPr>
      <w:r>
        <w:rPr>
          <w:rtl/>
        </w:rPr>
        <w:t>סעיף טז</w:t>
      </w:r>
      <w:r>
        <w:rPr>
          <w:rFonts w:hint="cs"/>
          <w:rtl/>
        </w:rPr>
        <w:t>:</w:t>
      </w:r>
      <w:r w:rsidR="00297600">
        <w:rPr>
          <w:rFonts w:hint="cs"/>
          <w:rtl/>
        </w:rPr>
        <w:t xml:space="preserve"> </w:t>
      </w:r>
      <w:r w:rsidR="00151DCD">
        <w:rPr>
          <w:rFonts w:hint="cs"/>
          <w:rtl/>
        </w:rPr>
        <w:t>מי שייחד קרקע למזונות.</w:t>
      </w:r>
    </w:p>
    <w:p w14:paraId="23D0450B" w14:textId="77777777" w:rsidR="0098097B" w:rsidRDefault="0098097B" w:rsidP="0098097B">
      <w:pPr>
        <w:rPr>
          <w:rFonts w:cs="Arial"/>
          <w:rtl/>
        </w:rPr>
      </w:pPr>
      <w:r w:rsidRPr="00CC415A">
        <w:rPr>
          <w:rFonts w:cs="Arial" w:hint="cs"/>
          <w:b/>
          <w:bCs/>
          <w:rtl/>
        </w:rPr>
        <w:t xml:space="preserve">כתובות </w:t>
      </w:r>
      <w:r w:rsidRPr="00CC415A">
        <w:rPr>
          <w:rFonts w:cs="Arial" w:hint="cs"/>
          <w:b/>
          <w:bCs/>
          <w:sz w:val="16"/>
          <w:szCs w:val="16"/>
          <w:rtl/>
        </w:rPr>
        <w:t>(</w:t>
      </w:r>
      <w:r w:rsidRPr="00CC415A">
        <w:rPr>
          <w:rFonts w:cs="Arial"/>
          <w:b/>
          <w:bCs/>
          <w:sz w:val="16"/>
          <w:szCs w:val="16"/>
          <w:rtl/>
        </w:rPr>
        <w:t>ס</w:t>
      </w:r>
      <w:r w:rsidRPr="00CC415A">
        <w:rPr>
          <w:rFonts w:cs="Arial" w:hint="cs"/>
          <w:b/>
          <w:bCs/>
          <w:sz w:val="16"/>
          <w:szCs w:val="16"/>
          <w:rtl/>
        </w:rPr>
        <w:t>"</w:t>
      </w:r>
      <w:r w:rsidRPr="00CC415A">
        <w:rPr>
          <w:rFonts w:cs="Arial"/>
          <w:b/>
          <w:bCs/>
          <w:sz w:val="16"/>
          <w:szCs w:val="16"/>
          <w:rtl/>
        </w:rPr>
        <w:t>פ נערה שנתפתתה</w:t>
      </w:r>
      <w:r w:rsidRPr="00CC415A">
        <w:rPr>
          <w:rFonts w:cs="Arial" w:hint="cs"/>
          <w:b/>
          <w:bCs/>
          <w:sz w:val="16"/>
          <w:szCs w:val="16"/>
          <w:rtl/>
        </w:rPr>
        <w:t>)</w:t>
      </w:r>
      <w:r w:rsidRPr="00CC415A">
        <w:rPr>
          <w:rFonts w:cs="Arial"/>
          <w:b/>
          <w:bCs/>
          <w:rtl/>
        </w:rPr>
        <w:t xml:space="preserve"> נ</w:t>
      </w:r>
      <w:r>
        <w:rPr>
          <w:rFonts w:cs="Arial" w:hint="cs"/>
          <w:b/>
          <w:bCs/>
          <w:rtl/>
        </w:rPr>
        <w:t>ד</w:t>
      </w:r>
      <w:r w:rsidRPr="00CC415A">
        <w:rPr>
          <w:rFonts w:cs="Arial" w:hint="cs"/>
          <w:b/>
          <w:bCs/>
          <w:rtl/>
        </w:rPr>
        <w:t xml:space="preserve"> ע"</w:t>
      </w:r>
      <w:r>
        <w:rPr>
          <w:rFonts w:cs="Arial" w:hint="cs"/>
          <w:b/>
          <w:bCs/>
          <w:rtl/>
        </w:rPr>
        <w:t>ב</w:t>
      </w:r>
      <w:r w:rsidRPr="00CC415A">
        <w:rPr>
          <w:rFonts w:cs="Arial" w:hint="cs"/>
          <w:b/>
          <w:bCs/>
          <w:rtl/>
        </w:rPr>
        <w:t>:</w:t>
      </w:r>
      <w:r>
        <w:rPr>
          <w:rFonts w:cs="Arial" w:hint="cs"/>
          <w:rtl/>
        </w:rPr>
        <w:t xml:space="preserve"> </w:t>
      </w:r>
      <w:r w:rsidRPr="005A2088">
        <w:rPr>
          <w:rFonts w:cs="Arial"/>
          <w:rtl/>
        </w:rPr>
        <w:t>קריביה דרבי יוחנן הוה להו איתת אבא דהוה קמפסדה מזוני</w:t>
      </w:r>
      <w:r>
        <w:rPr>
          <w:rStyle w:val="a7"/>
          <w:rFonts w:cs="Arial"/>
          <w:rtl/>
        </w:rPr>
        <w:footnoteReference w:id="1605"/>
      </w:r>
      <w:r w:rsidRPr="005A2088">
        <w:rPr>
          <w:rFonts w:cs="Arial"/>
          <w:rtl/>
        </w:rPr>
        <w:t xml:space="preserve">, </w:t>
      </w:r>
      <w:r w:rsidRPr="00AD6332">
        <w:rPr>
          <w:rFonts w:cs="Arial"/>
          <w:u w:val="single"/>
          <w:rtl/>
        </w:rPr>
        <w:t>אתו לקמיה דרבי יוחנן, אמר להו</w:t>
      </w:r>
      <w:r w:rsidRPr="005A2088">
        <w:rPr>
          <w:rFonts w:cs="Arial"/>
          <w:rtl/>
        </w:rPr>
        <w:t>: איזילו ואמרו ליה לאבוכון דנייחד לה</w:t>
      </w:r>
      <w:r>
        <w:rPr>
          <w:rStyle w:val="a7"/>
          <w:rFonts w:cs="Arial"/>
          <w:rtl/>
        </w:rPr>
        <w:footnoteReference w:id="1606"/>
      </w:r>
      <w:r w:rsidRPr="005A2088">
        <w:rPr>
          <w:rFonts w:cs="Arial"/>
          <w:rtl/>
        </w:rPr>
        <w:t xml:space="preserve"> ארעא למזונה. </w:t>
      </w:r>
      <w:r w:rsidRPr="00AD6332">
        <w:rPr>
          <w:rFonts w:cs="Arial"/>
          <w:u w:val="single"/>
          <w:rtl/>
        </w:rPr>
        <w:t>אתו לקמיה דריש לקיש, אמר להו</w:t>
      </w:r>
      <w:r w:rsidRPr="005A2088">
        <w:rPr>
          <w:rFonts w:cs="Arial"/>
          <w:rtl/>
        </w:rPr>
        <w:t>: כל שכן שריבה לה מזונות</w:t>
      </w:r>
      <w:r>
        <w:rPr>
          <w:rStyle w:val="a7"/>
          <w:rFonts w:cs="Arial"/>
          <w:rtl/>
        </w:rPr>
        <w:footnoteReference w:id="1607"/>
      </w:r>
      <w:r w:rsidRPr="005A2088">
        <w:rPr>
          <w:rFonts w:cs="Arial"/>
          <w:rtl/>
        </w:rPr>
        <w:t xml:space="preserve">. </w:t>
      </w:r>
      <w:r w:rsidRPr="00AD6332">
        <w:rPr>
          <w:rFonts w:cs="Arial"/>
          <w:u w:val="single"/>
          <w:rtl/>
        </w:rPr>
        <w:t>אמרו ליה</w:t>
      </w:r>
      <w:r w:rsidRPr="005A2088">
        <w:rPr>
          <w:rFonts w:cs="Arial"/>
          <w:rtl/>
        </w:rPr>
        <w:t xml:space="preserve">: והא רבי יוחנן לא אמר הכי? </w:t>
      </w:r>
      <w:r w:rsidRPr="00AD6332">
        <w:rPr>
          <w:rFonts w:cs="Arial"/>
          <w:u w:val="single"/>
          <w:rtl/>
        </w:rPr>
        <w:t>אמר להו</w:t>
      </w:r>
      <w:r w:rsidRPr="005A2088">
        <w:rPr>
          <w:rFonts w:cs="Arial"/>
          <w:rtl/>
        </w:rPr>
        <w:t xml:space="preserve">: זילו הבו לה, ואי לא - מפיקנא לכו רבי יוחנן מאונייכו. אתו לקמיה דרבי יוחנן, </w:t>
      </w:r>
      <w:r w:rsidRPr="00AD6332">
        <w:rPr>
          <w:rFonts w:cs="Arial"/>
          <w:u w:val="single"/>
          <w:rtl/>
        </w:rPr>
        <w:t>אמר להו</w:t>
      </w:r>
      <w:r w:rsidRPr="005A2088">
        <w:rPr>
          <w:rFonts w:cs="Arial"/>
          <w:rtl/>
        </w:rPr>
        <w:t>: מה אעשה, שכנגדי</w:t>
      </w:r>
      <w:r>
        <w:rPr>
          <w:rStyle w:val="a7"/>
          <w:rFonts w:cs="Arial"/>
          <w:rtl/>
        </w:rPr>
        <w:footnoteReference w:id="1608"/>
      </w:r>
      <w:r w:rsidRPr="005A2088">
        <w:rPr>
          <w:rFonts w:cs="Arial"/>
          <w:rtl/>
        </w:rPr>
        <w:t xml:space="preserve"> חלוק עלי. </w:t>
      </w:r>
      <w:r w:rsidRPr="00AD6332">
        <w:rPr>
          <w:rFonts w:cs="Arial"/>
          <w:u w:val="single"/>
          <w:rtl/>
        </w:rPr>
        <w:t>אמר רבי אבהו, לדידי מפרשא לי מיניה דרבי יוחנן</w:t>
      </w:r>
      <w:r w:rsidRPr="005A2088">
        <w:rPr>
          <w:rFonts w:cs="Arial"/>
          <w:rtl/>
        </w:rPr>
        <w:t>: אמר למזונות - ריבה לה מזונות, אמר במזונות</w:t>
      </w:r>
      <w:r>
        <w:rPr>
          <w:rStyle w:val="a7"/>
          <w:rFonts w:cs="Arial"/>
          <w:rtl/>
        </w:rPr>
        <w:footnoteReference w:id="1609"/>
      </w:r>
      <w:r w:rsidRPr="005A2088">
        <w:rPr>
          <w:rFonts w:cs="Arial"/>
          <w:rtl/>
        </w:rPr>
        <w:t xml:space="preserve"> - קצץ לה מזונות. </w:t>
      </w:r>
    </w:p>
    <w:p w14:paraId="6D6CE190" w14:textId="5A0C6310" w:rsidR="00392DBB" w:rsidRPr="00151DCD" w:rsidRDefault="00151DCD" w:rsidP="00392DBB">
      <w:pPr>
        <w:rPr>
          <w:u w:val="single"/>
          <w:rtl/>
        </w:rPr>
      </w:pPr>
      <w:r w:rsidRPr="00151DCD">
        <w:rPr>
          <w:rFonts w:hint="cs"/>
          <w:u w:val="single"/>
          <w:rtl/>
        </w:rPr>
        <w:t>מי שייחד קרקע למזונות:</w:t>
      </w:r>
    </w:p>
    <w:p w14:paraId="7956167E" w14:textId="67632DE5" w:rsidR="00EF02A2" w:rsidRPr="00DB1BB3" w:rsidRDefault="00EF02A2" w:rsidP="009000E3">
      <w:pPr>
        <w:pStyle w:val="ab"/>
        <w:numPr>
          <w:ilvl w:val="0"/>
          <w:numId w:val="61"/>
        </w:numPr>
      </w:pPr>
      <w:r>
        <w:rPr>
          <w:rFonts w:cs="Arial" w:hint="cs"/>
          <w:rtl/>
        </w:rPr>
        <w:t xml:space="preserve">רמב"ם </w:t>
      </w:r>
      <w:r>
        <w:rPr>
          <w:rFonts w:cs="Arial" w:hint="cs"/>
          <w:sz w:val="16"/>
          <w:szCs w:val="16"/>
          <w:rtl/>
        </w:rPr>
        <w:t>(פי"ח מהל' אישות הי"ח)</w:t>
      </w:r>
      <w:r w:rsidR="0098097B">
        <w:rPr>
          <w:rFonts w:cs="Arial" w:hint="cs"/>
          <w:rtl/>
        </w:rPr>
        <w:t xml:space="preserve"> וטור</w:t>
      </w:r>
      <w:r>
        <w:rPr>
          <w:rFonts w:cs="Arial" w:hint="cs"/>
          <w:rtl/>
        </w:rPr>
        <w:t xml:space="preserve">- </w:t>
      </w:r>
      <w:r w:rsidRPr="00EF02A2">
        <w:rPr>
          <w:rFonts w:cs="Arial"/>
          <w:rtl/>
        </w:rPr>
        <w:t>מי שייחד קרקע לאשתו במזונותיה בשעת מיתה ואמר</w:t>
      </w:r>
      <w:r>
        <w:rPr>
          <w:rFonts w:cs="Arial" w:hint="cs"/>
          <w:rtl/>
        </w:rPr>
        <w:t>:</w:t>
      </w:r>
      <w:r w:rsidRPr="00EF02A2">
        <w:rPr>
          <w:rFonts w:cs="Arial"/>
          <w:rtl/>
        </w:rPr>
        <w:t xml:space="preserve"> יהיה מקום פלוני למזונות </w:t>
      </w:r>
      <w:r>
        <w:rPr>
          <w:rFonts w:cs="Arial" w:hint="cs"/>
          <w:rtl/>
        </w:rPr>
        <w:t xml:space="preserve">- </w:t>
      </w:r>
      <w:r w:rsidRPr="00EF02A2">
        <w:rPr>
          <w:rFonts w:cs="Arial"/>
          <w:rtl/>
        </w:rPr>
        <w:t>הרי ריבה לה מזונות</w:t>
      </w:r>
      <w:r>
        <w:rPr>
          <w:rFonts w:cs="Arial" w:hint="cs"/>
          <w:rtl/>
        </w:rPr>
        <w:t>.</w:t>
      </w:r>
      <w:r w:rsidRPr="00EF02A2">
        <w:rPr>
          <w:rFonts w:cs="Arial"/>
          <w:rtl/>
        </w:rPr>
        <w:t xml:space="preserve"> ואם היה שכרו פחות ממזונות הראויות לה</w:t>
      </w:r>
      <w:r>
        <w:rPr>
          <w:rFonts w:cs="Arial" w:hint="cs"/>
          <w:rtl/>
        </w:rPr>
        <w:t xml:space="preserve"> -</w:t>
      </w:r>
      <w:r w:rsidRPr="00EF02A2">
        <w:rPr>
          <w:rFonts w:cs="Arial"/>
          <w:rtl/>
        </w:rPr>
        <w:t xml:space="preserve"> נוטלת השאר משאר נכסים</w:t>
      </w:r>
      <w:r>
        <w:rPr>
          <w:rFonts w:cs="Arial" w:hint="cs"/>
          <w:rtl/>
        </w:rPr>
        <w:t>.</w:t>
      </w:r>
      <w:r w:rsidRPr="00EF02A2">
        <w:rPr>
          <w:rFonts w:cs="Arial"/>
          <w:rtl/>
        </w:rPr>
        <w:t xml:space="preserve"> </w:t>
      </w:r>
      <w:r w:rsidRPr="00EF02A2">
        <w:rPr>
          <w:rFonts w:cs="Arial"/>
          <w:rtl/>
        </w:rPr>
        <w:lastRenderedPageBreak/>
        <w:t xml:space="preserve">ואם היה שכרו יתר מן הראוי לה </w:t>
      </w:r>
      <w:r>
        <w:rPr>
          <w:rFonts w:cs="Arial" w:hint="cs"/>
          <w:rtl/>
        </w:rPr>
        <w:t xml:space="preserve">- </w:t>
      </w:r>
      <w:r w:rsidRPr="00EF02A2">
        <w:rPr>
          <w:rFonts w:cs="Arial"/>
          <w:rtl/>
        </w:rPr>
        <w:t>נוטלת הכל</w:t>
      </w:r>
      <w:r>
        <w:rPr>
          <w:rFonts w:cs="Arial" w:hint="cs"/>
          <w:rtl/>
        </w:rPr>
        <w:t>.</w:t>
      </w:r>
      <w:r w:rsidRPr="00EF02A2">
        <w:rPr>
          <w:rFonts w:cs="Arial"/>
          <w:rtl/>
        </w:rPr>
        <w:t xml:space="preserve"> אבל אם אמר לה</w:t>
      </w:r>
      <w:r>
        <w:rPr>
          <w:rFonts w:cs="Arial" w:hint="cs"/>
          <w:rtl/>
        </w:rPr>
        <w:t>:</w:t>
      </w:r>
      <w:r w:rsidRPr="00EF02A2">
        <w:rPr>
          <w:rFonts w:cs="Arial"/>
          <w:rtl/>
        </w:rPr>
        <w:t xml:space="preserve"> יהיה מקום פלוני במזונות</w:t>
      </w:r>
      <w:r>
        <w:rPr>
          <w:rFonts w:cs="Arial" w:hint="cs"/>
          <w:rtl/>
        </w:rPr>
        <w:t>,</w:t>
      </w:r>
      <w:r w:rsidRPr="00EF02A2">
        <w:rPr>
          <w:rFonts w:cs="Arial"/>
          <w:rtl/>
        </w:rPr>
        <w:t xml:space="preserve"> ושתקה</w:t>
      </w:r>
      <w:r w:rsidR="0098097B">
        <w:rPr>
          <w:rStyle w:val="a7"/>
          <w:rFonts w:cs="Arial"/>
          <w:rtl/>
        </w:rPr>
        <w:footnoteReference w:id="1610"/>
      </w:r>
      <w:r w:rsidRPr="00EF02A2">
        <w:rPr>
          <w:rFonts w:cs="Arial"/>
          <w:rtl/>
        </w:rPr>
        <w:t xml:space="preserve"> </w:t>
      </w:r>
      <w:r>
        <w:rPr>
          <w:rFonts w:cs="Arial" w:hint="cs"/>
          <w:rtl/>
        </w:rPr>
        <w:t xml:space="preserve">- </w:t>
      </w:r>
      <w:r w:rsidRPr="00EF02A2">
        <w:rPr>
          <w:rFonts w:cs="Arial"/>
          <w:rtl/>
        </w:rPr>
        <w:t>אין לה אלא פירות אותו מקום בלבד שהרי קצץ לה מזונות</w:t>
      </w:r>
      <w:r w:rsidR="0098097B">
        <w:rPr>
          <w:rFonts w:cs="Arial" w:hint="cs"/>
          <w:sz w:val="16"/>
          <w:szCs w:val="16"/>
          <w:rtl/>
        </w:rPr>
        <w:t xml:space="preserve"> (ל' הרמב"ם)</w:t>
      </w:r>
      <w:r w:rsidRPr="00EF02A2">
        <w:rPr>
          <w:rFonts w:cs="Arial"/>
          <w:rtl/>
        </w:rPr>
        <w:t>.</w:t>
      </w:r>
      <w:r w:rsidR="0098097B" w:rsidRPr="0098097B">
        <w:rPr>
          <w:rFonts w:cs="Arial" w:hint="cs"/>
          <w:color w:val="E36C0A" w:themeColor="accent6" w:themeShade="BF"/>
          <w:rtl/>
        </w:rPr>
        <w:t xml:space="preserve"> </w:t>
      </w:r>
      <w:r w:rsidR="0098097B" w:rsidRPr="00856D60">
        <w:rPr>
          <w:rFonts w:cs="Arial" w:hint="cs"/>
          <w:color w:val="E36C0A" w:themeColor="accent6" w:themeShade="BF"/>
          <w:rtl/>
        </w:rPr>
        <w:t>(וכ"פ בשו"ע)</w:t>
      </w:r>
    </w:p>
    <w:p w14:paraId="5F3D7C17"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4CE5A4B" w14:textId="19972EAA" w:rsidR="00392DBB" w:rsidRDefault="00392DBB" w:rsidP="00392DBB">
      <w:pPr>
        <w:rPr>
          <w:rtl/>
        </w:rPr>
      </w:pPr>
      <w:r>
        <w:rPr>
          <w:rFonts w:cs="Arial"/>
          <w:rtl/>
        </w:rPr>
        <w:t>מי שיחד קרקע לאשתו בשעת מיתה שתהיה ניזונית ממנו, אם אמר: יהא קרקע פלוני למזונותיה, הרי ריבה לה מזונות</w:t>
      </w:r>
      <w:r w:rsidR="00CD15CB">
        <w:rPr>
          <w:rFonts w:cs="Arial" w:hint="cs"/>
          <w:rtl/>
        </w:rPr>
        <w:t>.</w:t>
      </w:r>
      <w:r>
        <w:rPr>
          <w:rFonts w:cs="Arial"/>
          <w:rtl/>
        </w:rPr>
        <w:t xml:space="preserve"> ואם היה שכרו פחות ממזונות הראוים לה</w:t>
      </w:r>
      <w:r w:rsidR="00F344FD">
        <w:rPr>
          <w:rFonts w:cs="Arial" w:hint="cs"/>
          <w:rtl/>
        </w:rPr>
        <w:t>,</w:t>
      </w:r>
      <w:r>
        <w:rPr>
          <w:rFonts w:cs="Arial"/>
          <w:rtl/>
        </w:rPr>
        <w:t xml:space="preserve"> נוטלת השאר משאר נכסים</w:t>
      </w:r>
      <w:r w:rsidR="00F344FD">
        <w:rPr>
          <w:rFonts w:cs="Arial" w:hint="cs"/>
          <w:rtl/>
        </w:rPr>
        <w:t>.</w:t>
      </w:r>
      <w:r>
        <w:rPr>
          <w:rFonts w:cs="Arial"/>
          <w:rtl/>
        </w:rPr>
        <w:t xml:space="preserve"> ואם היה שכרו יותר מהראוי לה</w:t>
      </w:r>
      <w:r w:rsidR="00F344FD">
        <w:rPr>
          <w:rFonts w:cs="Arial" w:hint="cs"/>
          <w:rtl/>
        </w:rPr>
        <w:t>,</w:t>
      </w:r>
      <w:r>
        <w:rPr>
          <w:rFonts w:cs="Arial"/>
          <w:rtl/>
        </w:rPr>
        <w:t xml:space="preserve"> נוטלת הכל. אבל אם אמר לה: יהא קרקע פלוני במזונותיה, ושתקה, אין לה אלא פירות אותו קרקע בלבד. </w:t>
      </w:r>
    </w:p>
    <w:p w14:paraId="0B6AC438" w14:textId="77777777" w:rsidR="00392DBB" w:rsidRDefault="00392DBB" w:rsidP="00392DBB">
      <w:pPr>
        <w:rPr>
          <w:rtl/>
        </w:rPr>
      </w:pPr>
    </w:p>
    <w:p w14:paraId="19F64B13" w14:textId="70626E6F" w:rsidR="00392DBB" w:rsidRDefault="00392DBB" w:rsidP="000F64D0">
      <w:pPr>
        <w:pStyle w:val="2"/>
        <w:rPr>
          <w:rtl/>
        </w:rPr>
      </w:pPr>
      <w:r>
        <w:rPr>
          <w:rtl/>
        </w:rPr>
        <w:t>סעיף יז</w:t>
      </w:r>
      <w:r>
        <w:rPr>
          <w:rFonts w:hint="cs"/>
          <w:rtl/>
        </w:rPr>
        <w:t>:</w:t>
      </w:r>
      <w:r w:rsidR="00F91E68">
        <w:rPr>
          <w:rFonts w:hint="cs"/>
          <w:rtl/>
        </w:rPr>
        <w:t xml:space="preserve"> אמרה מת/גירשני בעלי.</w:t>
      </w:r>
    </w:p>
    <w:p w14:paraId="728CA517" w14:textId="3F0D5BB8" w:rsidR="00F91E68" w:rsidRDefault="00F91E68" w:rsidP="00F91E68">
      <w:pPr>
        <w:rPr>
          <w:rtl/>
        </w:rPr>
      </w:pPr>
      <w:r w:rsidRPr="00CC415A">
        <w:rPr>
          <w:rFonts w:cs="Arial" w:hint="cs"/>
          <w:b/>
          <w:bCs/>
          <w:rtl/>
        </w:rPr>
        <w:t xml:space="preserve">כתובות </w:t>
      </w:r>
      <w:r w:rsidRPr="00CC415A">
        <w:rPr>
          <w:rFonts w:cs="Arial" w:hint="cs"/>
          <w:b/>
          <w:bCs/>
          <w:sz w:val="16"/>
          <w:szCs w:val="16"/>
          <w:rtl/>
        </w:rPr>
        <w:t>(</w:t>
      </w:r>
      <w:r w:rsidR="007A7A5E">
        <w:rPr>
          <w:rFonts w:cs="Arial" w:hint="cs"/>
          <w:b/>
          <w:bCs/>
          <w:sz w:val="16"/>
          <w:szCs w:val="16"/>
          <w:rtl/>
        </w:rPr>
        <w:t>פ</w:t>
      </w:r>
      <w:r w:rsidR="00FB53DB">
        <w:rPr>
          <w:rFonts w:cs="Arial" w:hint="cs"/>
          <w:b/>
          <w:bCs/>
          <w:sz w:val="16"/>
          <w:szCs w:val="16"/>
          <w:rtl/>
        </w:rPr>
        <w:t>'</w:t>
      </w:r>
      <w:r w:rsidR="007A7A5E">
        <w:rPr>
          <w:rFonts w:cs="Arial" w:hint="cs"/>
          <w:b/>
          <w:bCs/>
          <w:sz w:val="16"/>
          <w:szCs w:val="16"/>
          <w:rtl/>
        </w:rPr>
        <w:t xml:space="preserve"> בתרא</w:t>
      </w:r>
      <w:r w:rsidRPr="00CC415A">
        <w:rPr>
          <w:rFonts w:cs="Arial" w:hint="cs"/>
          <w:b/>
          <w:bCs/>
          <w:sz w:val="16"/>
          <w:szCs w:val="16"/>
          <w:rtl/>
        </w:rPr>
        <w:t>)</w:t>
      </w:r>
      <w:r w:rsidRPr="00CC415A">
        <w:rPr>
          <w:rFonts w:cs="Arial"/>
          <w:b/>
          <w:bCs/>
          <w:rtl/>
        </w:rPr>
        <w:t xml:space="preserve"> </w:t>
      </w:r>
      <w:r>
        <w:rPr>
          <w:rFonts w:cs="Arial" w:hint="cs"/>
          <w:b/>
          <w:bCs/>
          <w:rtl/>
        </w:rPr>
        <w:t>קז</w:t>
      </w:r>
      <w:r w:rsidRPr="00CC415A">
        <w:rPr>
          <w:rFonts w:cs="Arial" w:hint="cs"/>
          <w:b/>
          <w:bCs/>
          <w:rtl/>
        </w:rPr>
        <w:t xml:space="preserve"> ע"</w:t>
      </w:r>
      <w:r>
        <w:rPr>
          <w:rFonts w:cs="Arial" w:hint="cs"/>
          <w:b/>
          <w:bCs/>
          <w:rtl/>
        </w:rPr>
        <w:t>ב</w:t>
      </w:r>
      <w:r w:rsidRPr="00CC415A">
        <w:rPr>
          <w:rFonts w:cs="Arial" w:hint="cs"/>
          <w:b/>
          <w:bCs/>
          <w:rtl/>
        </w:rPr>
        <w:t>:</w:t>
      </w:r>
      <w:r>
        <w:rPr>
          <w:rFonts w:cs="Arial" w:hint="cs"/>
          <w:rtl/>
        </w:rPr>
        <w:t xml:space="preserve"> </w:t>
      </w:r>
      <w:r w:rsidR="000A764D" w:rsidRPr="000A764D">
        <w:rPr>
          <w:rFonts w:cs="Arial"/>
          <w:rtl/>
        </w:rPr>
        <w:t>תא שמע: האשה שהלכה היא ובעלה למדינת הים, ובאת ואמרה מת בעלי, רצתה - ניזונת, רצתה - גובה כתובתה</w:t>
      </w:r>
      <w:r w:rsidR="006E1CBF">
        <w:rPr>
          <w:rFonts w:cs="Arial" w:hint="cs"/>
          <w:rtl/>
        </w:rPr>
        <w:t>.</w:t>
      </w:r>
      <w:r w:rsidR="000A764D" w:rsidRPr="000A764D">
        <w:rPr>
          <w:rFonts w:cs="Arial"/>
          <w:rtl/>
        </w:rPr>
        <w:t xml:space="preserve"> גירשני בעלי, מתפרנסת והולכת עד כדי כתובתה</w:t>
      </w:r>
      <w:r w:rsidR="005C6D67">
        <w:rPr>
          <w:rStyle w:val="a7"/>
          <w:rFonts w:cs="Arial"/>
          <w:rtl/>
        </w:rPr>
        <w:footnoteReference w:id="1611"/>
      </w:r>
      <w:r w:rsidR="000A764D" w:rsidRPr="000A764D">
        <w:rPr>
          <w:rFonts w:cs="Arial"/>
          <w:rtl/>
        </w:rPr>
        <w:t>! הכא נמי כששמעו בו שמת. ומאי שנא עד כדי כתובתה? דאיהי היא דאפסידה אנפשה</w:t>
      </w:r>
      <w:r w:rsidR="006A6867">
        <w:rPr>
          <w:rStyle w:val="a7"/>
          <w:rFonts w:cs="Arial"/>
          <w:rtl/>
        </w:rPr>
        <w:footnoteReference w:id="1612"/>
      </w:r>
      <w:r w:rsidR="000A764D" w:rsidRPr="000A764D">
        <w:rPr>
          <w:rFonts w:cs="Arial"/>
          <w:rtl/>
        </w:rPr>
        <w:t>.</w:t>
      </w:r>
    </w:p>
    <w:p w14:paraId="7A8FBD2B" w14:textId="2E1F5C94" w:rsidR="00F91E68" w:rsidRPr="00F91E68" w:rsidRDefault="00F91E68" w:rsidP="00F91E68">
      <w:pPr>
        <w:rPr>
          <w:u w:val="single"/>
          <w:rtl/>
        </w:rPr>
      </w:pPr>
      <w:r w:rsidRPr="00F91E68">
        <w:rPr>
          <w:rFonts w:hint="cs"/>
          <w:u w:val="single"/>
          <w:rtl/>
        </w:rPr>
        <w:t>אמרה מת/גירשני בעלי:</w:t>
      </w:r>
    </w:p>
    <w:p w14:paraId="18AACA42" w14:textId="624DCFA5" w:rsidR="00392DBB" w:rsidRPr="00DB1BB3" w:rsidRDefault="00392DBB" w:rsidP="009000E3">
      <w:pPr>
        <w:pStyle w:val="ab"/>
        <w:numPr>
          <w:ilvl w:val="0"/>
          <w:numId w:val="61"/>
        </w:numPr>
      </w:pPr>
      <w:r>
        <w:rPr>
          <w:rFonts w:cs="Arial" w:hint="cs"/>
          <w:rtl/>
        </w:rPr>
        <w:t xml:space="preserve">טור- </w:t>
      </w:r>
      <w:r w:rsidRPr="000A1431">
        <w:rPr>
          <w:rFonts w:cs="Arial"/>
          <w:rtl/>
        </w:rPr>
        <w:t>האשה שאומרת מת בעלי</w:t>
      </w:r>
      <w:r w:rsidR="00CD15CB">
        <w:rPr>
          <w:rFonts w:cs="Arial" w:hint="cs"/>
          <w:rtl/>
        </w:rPr>
        <w:t xml:space="preserve"> -</w:t>
      </w:r>
      <w:r w:rsidRPr="000A1431">
        <w:rPr>
          <w:rFonts w:cs="Arial"/>
          <w:rtl/>
        </w:rPr>
        <w:t xml:space="preserve"> נאמנת</w:t>
      </w:r>
      <w:r w:rsidR="00CD15CB">
        <w:rPr>
          <w:rFonts w:cs="Arial" w:hint="cs"/>
          <w:rtl/>
        </w:rPr>
        <w:t>,</w:t>
      </w:r>
      <w:r w:rsidRPr="000A1431">
        <w:rPr>
          <w:rFonts w:cs="Arial"/>
          <w:rtl/>
        </w:rPr>
        <w:t xml:space="preserve"> וניזונת והולכת לעולם כדין כל אלמנה</w:t>
      </w:r>
      <w:r w:rsidR="00CD15CB">
        <w:rPr>
          <w:rFonts w:cs="Arial" w:hint="cs"/>
          <w:rtl/>
        </w:rPr>
        <w:t>.</w:t>
      </w:r>
      <w:r w:rsidRPr="000A1431">
        <w:rPr>
          <w:rFonts w:cs="Arial"/>
          <w:rtl/>
        </w:rPr>
        <w:t xml:space="preserve"> אבל אם באה ואומרת גירשני </w:t>
      </w:r>
      <w:r w:rsidR="00CD15CB">
        <w:rPr>
          <w:rFonts w:cs="Arial" w:hint="cs"/>
          <w:rtl/>
        </w:rPr>
        <w:t xml:space="preserve">- </w:t>
      </w:r>
      <w:r w:rsidRPr="000A1431">
        <w:rPr>
          <w:rFonts w:cs="Arial"/>
          <w:rtl/>
        </w:rPr>
        <w:t>אינה ניזונת אלא עד כדי כתובתה</w:t>
      </w:r>
      <w:r w:rsidR="00F91E68">
        <w:rPr>
          <w:rFonts w:cs="Arial" w:hint="cs"/>
          <w:rtl/>
        </w:rPr>
        <w:t>,</w:t>
      </w:r>
      <w:r w:rsidRPr="000A1431">
        <w:rPr>
          <w:rFonts w:cs="Arial"/>
          <w:rtl/>
        </w:rPr>
        <w:t xml:space="preserve"> שאינה נאמנת לומר גירשני כדי ליטול כתובה</w:t>
      </w:r>
      <w:r w:rsidR="00F91E68">
        <w:rPr>
          <w:rFonts w:cs="Arial" w:hint="cs"/>
          <w:rtl/>
        </w:rPr>
        <w:t>,</w:t>
      </w:r>
      <w:r w:rsidRPr="000A1431">
        <w:rPr>
          <w:rFonts w:cs="Arial"/>
          <w:rtl/>
        </w:rPr>
        <w:t xml:space="preserve"> ואינה ניזונת משלו כיון שאומרת שגירשה</w:t>
      </w:r>
      <w:r w:rsidR="00F91E68">
        <w:rPr>
          <w:rFonts w:cs="Arial" w:hint="cs"/>
          <w:rtl/>
        </w:rPr>
        <w:t>,</w:t>
      </w:r>
      <w:r w:rsidRPr="000A1431">
        <w:rPr>
          <w:rFonts w:cs="Arial"/>
          <w:rtl/>
        </w:rPr>
        <w:t xml:space="preserve"> אבל עד כדי כתובתה ניזונת ממ"נ</w:t>
      </w:r>
      <w:r w:rsidR="00F91E68">
        <w:rPr>
          <w:rFonts w:cs="Arial" w:hint="cs"/>
          <w:rtl/>
        </w:rPr>
        <w:t>,</w:t>
      </w:r>
      <w:r w:rsidRPr="000A1431">
        <w:rPr>
          <w:rFonts w:cs="Arial"/>
          <w:rtl/>
        </w:rPr>
        <w:t xml:space="preserve"> אם לא גירשה חייב במזונותיה</w:t>
      </w:r>
      <w:r w:rsidR="00F91E68">
        <w:rPr>
          <w:rFonts w:cs="Arial" w:hint="cs"/>
          <w:rtl/>
        </w:rPr>
        <w:t>,</w:t>
      </w:r>
      <w:r w:rsidRPr="000A1431">
        <w:rPr>
          <w:rFonts w:cs="Arial"/>
          <w:rtl/>
        </w:rPr>
        <w:t xml:space="preserve"> ואם גירשה תחשב לה בפירעון כתובתה</w:t>
      </w:r>
      <w:r>
        <w:rPr>
          <w:rFonts w:cs="Arial" w:hint="cs"/>
          <w:rtl/>
        </w:rPr>
        <w:t>.</w:t>
      </w:r>
      <w:r w:rsidRPr="000A1431">
        <w:rPr>
          <w:rFonts w:cs="Arial"/>
          <w:rtl/>
        </w:rPr>
        <w:t xml:space="preserve"> </w:t>
      </w:r>
      <w:r w:rsidR="00CA66E1" w:rsidRPr="00856D60">
        <w:rPr>
          <w:rFonts w:cs="Arial" w:hint="cs"/>
          <w:color w:val="E36C0A" w:themeColor="accent6" w:themeShade="BF"/>
          <w:rtl/>
        </w:rPr>
        <w:t>(וכ"פ בשו"ע)</w:t>
      </w:r>
    </w:p>
    <w:p w14:paraId="7853A4AC"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BE1499B" w14:textId="77777777" w:rsidR="00392DBB" w:rsidRDefault="00392DBB" w:rsidP="00392DBB">
      <w:pPr>
        <w:rPr>
          <w:rtl/>
        </w:rPr>
      </w:pPr>
      <w:r>
        <w:rPr>
          <w:rFonts w:cs="Arial"/>
          <w:rtl/>
        </w:rPr>
        <w:t xml:space="preserve">אשה שהלכה היא ובעלה למדינת הים, ובאה ואמרה: מת בעלי, רצתה ניזונת, רצתה נוטלת כתובה. אבל אם אמרה: גרשני בעלי, אינה נאמנת, וניזונת מנכסיו עד כדי כתובתה. </w:t>
      </w:r>
    </w:p>
    <w:p w14:paraId="4CD1812C" w14:textId="77777777" w:rsidR="00392DBB" w:rsidRDefault="00392DBB" w:rsidP="00392DBB">
      <w:pPr>
        <w:rPr>
          <w:rtl/>
        </w:rPr>
      </w:pPr>
    </w:p>
    <w:p w14:paraId="1C5541DD" w14:textId="246C27E8" w:rsidR="00392DBB" w:rsidRDefault="00392DBB" w:rsidP="000F64D0">
      <w:pPr>
        <w:pStyle w:val="2"/>
        <w:rPr>
          <w:rtl/>
        </w:rPr>
      </w:pPr>
      <w:r>
        <w:rPr>
          <w:rtl/>
        </w:rPr>
        <w:t>סעיף יח</w:t>
      </w:r>
      <w:r w:rsidR="00CA66E1">
        <w:rPr>
          <w:rFonts w:hint="cs"/>
          <w:rtl/>
        </w:rPr>
        <w:t>:</w:t>
      </w:r>
      <w:r w:rsidR="0014456D">
        <w:rPr>
          <w:rFonts w:hint="cs"/>
          <w:rtl/>
        </w:rPr>
        <w:t xml:space="preserve"> מזונות ללא שטר כתובה.</w:t>
      </w:r>
      <w:r w:rsidR="00CA66E1">
        <w:rPr>
          <w:rFonts w:hint="cs"/>
          <w:rtl/>
        </w:rPr>
        <w:t xml:space="preserve"> </w:t>
      </w:r>
    </w:p>
    <w:p w14:paraId="59853D23" w14:textId="7558EA58" w:rsidR="00CA66E1" w:rsidRPr="0014456D" w:rsidRDefault="00EB064A" w:rsidP="00CA66E1">
      <w:pPr>
        <w:rPr>
          <w:u w:val="single"/>
          <w:rtl/>
        </w:rPr>
      </w:pPr>
      <w:r>
        <w:rPr>
          <w:rFonts w:hint="cs"/>
          <w:u w:val="single"/>
          <w:rtl/>
        </w:rPr>
        <w:t>אלמנה שאין שטר הכתובה בידה - האם ניזונת מנכסי הבעל</w:t>
      </w:r>
      <w:r w:rsidR="0014456D" w:rsidRPr="0014456D">
        <w:rPr>
          <w:rFonts w:hint="cs"/>
          <w:u w:val="single"/>
          <w:rtl/>
        </w:rPr>
        <w:t>:</w:t>
      </w:r>
    </w:p>
    <w:p w14:paraId="74F72129" w14:textId="4C470B84" w:rsidR="00484449" w:rsidRDefault="001C6186" w:rsidP="009000E3">
      <w:pPr>
        <w:pStyle w:val="ab"/>
        <w:numPr>
          <w:ilvl w:val="0"/>
          <w:numId w:val="61"/>
        </w:numPr>
      </w:pPr>
      <w:r>
        <w:rPr>
          <w:rFonts w:cs="Arial" w:hint="cs"/>
          <w:rtl/>
        </w:rPr>
        <w:t>ר"י מי</w:t>
      </w:r>
      <w:r w:rsidRPr="001C6186">
        <w:rPr>
          <w:rFonts w:cs="Arial" w:hint="cs"/>
          <w:rtl/>
        </w:rPr>
        <w:t xml:space="preserve">גאש </w:t>
      </w:r>
      <w:r w:rsidRPr="001C6186">
        <w:rPr>
          <w:rFonts w:cs="Arial" w:hint="cs"/>
          <w:sz w:val="16"/>
          <w:szCs w:val="16"/>
          <w:rtl/>
        </w:rPr>
        <w:t>(סי' רט)</w:t>
      </w:r>
      <w:r>
        <w:rPr>
          <w:rFonts w:cs="Arial" w:hint="cs"/>
          <w:rtl/>
        </w:rPr>
        <w:t xml:space="preserve"> </w:t>
      </w:r>
      <w:r w:rsidR="00484449">
        <w:rPr>
          <w:rFonts w:cs="Arial" w:hint="cs"/>
          <w:rtl/>
        </w:rPr>
        <w:t xml:space="preserve">רמב"ם </w:t>
      </w:r>
      <w:r w:rsidR="00484449">
        <w:rPr>
          <w:rFonts w:cs="Arial" w:hint="cs"/>
          <w:sz w:val="16"/>
          <w:szCs w:val="16"/>
          <w:rtl/>
        </w:rPr>
        <w:t>(פי"ח מהל' אישות הכ"ג)</w:t>
      </w:r>
      <w:r w:rsidR="005641EA">
        <w:rPr>
          <w:rFonts w:cs="Arial" w:hint="cs"/>
          <w:rtl/>
        </w:rPr>
        <w:t xml:space="preserve"> </w:t>
      </w:r>
      <w:r w:rsidR="00D43295">
        <w:rPr>
          <w:rFonts w:cs="Arial" w:hint="cs"/>
          <w:rtl/>
        </w:rPr>
        <w:t xml:space="preserve">ריטב"א </w:t>
      </w:r>
      <w:r w:rsidR="00D43295">
        <w:rPr>
          <w:rFonts w:cs="Arial" w:hint="cs"/>
          <w:sz w:val="16"/>
          <w:szCs w:val="16"/>
          <w:rtl/>
        </w:rPr>
        <w:t xml:space="preserve">(קד:) </w:t>
      </w:r>
      <w:r w:rsidR="001105F0">
        <w:rPr>
          <w:rFonts w:cs="Arial" w:hint="cs"/>
          <w:rtl/>
        </w:rPr>
        <w:t>ו</w:t>
      </w:r>
      <w:r w:rsidR="005641EA">
        <w:rPr>
          <w:rFonts w:cs="Arial" w:hint="cs"/>
          <w:rtl/>
        </w:rPr>
        <w:t>רשב"ש</w:t>
      </w:r>
      <w:r w:rsidR="005641EA">
        <w:rPr>
          <w:rFonts w:cs="Arial" w:hint="cs"/>
          <w:sz w:val="16"/>
          <w:szCs w:val="16"/>
          <w:rtl/>
        </w:rPr>
        <w:t xml:space="preserve"> (סי' שנב)</w:t>
      </w:r>
      <w:r w:rsidR="00484449">
        <w:rPr>
          <w:rFonts w:cs="Arial" w:hint="cs"/>
          <w:rtl/>
        </w:rPr>
        <w:t xml:space="preserve">- </w:t>
      </w:r>
      <w:r w:rsidR="00484449" w:rsidRPr="00484449">
        <w:rPr>
          <w:rFonts w:cs="Arial"/>
          <w:rtl/>
        </w:rPr>
        <w:t xml:space="preserve">אלמנה שאין שטר כתובה יוצא מתחת ידה </w:t>
      </w:r>
      <w:r w:rsidR="00C15119">
        <w:rPr>
          <w:rFonts w:cs="Arial" w:hint="cs"/>
          <w:rtl/>
        </w:rPr>
        <w:t xml:space="preserve">- </w:t>
      </w:r>
      <w:r w:rsidR="00484449" w:rsidRPr="00484449">
        <w:rPr>
          <w:rFonts w:cs="Arial"/>
          <w:rtl/>
        </w:rPr>
        <w:t>אין לה מזונות</w:t>
      </w:r>
      <w:r w:rsidR="00C15119">
        <w:rPr>
          <w:rFonts w:cs="Arial" w:hint="cs"/>
          <w:rtl/>
        </w:rPr>
        <w:t>,</w:t>
      </w:r>
      <w:r w:rsidR="00484449" w:rsidRPr="00484449">
        <w:rPr>
          <w:rFonts w:cs="Arial"/>
          <w:rtl/>
        </w:rPr>
        <w:t xml:space="preserve"> שמא מחלה כתובתה או מכרה או משכנה אותה</w:t>
      </w:r>
      <w:r w:rsidR="00466266">
        <w:rPr>
          <w:rStyle w:val="a7"/>
          <w:rFonts w:cs="Arial"/>
          <w:rtl/>
        </w:rPr>
        <w:footnoteReference w:id="1613"/>
      </w:r>
      <w:r w:rsidR="00C15119">
        <w:rPr>
          <w:rFonts w:cs="Arial" w:hint="cs"/>
          <w:rtl/>
        </w:rPr>
        <w:t>.</w:t>
      </w:r>
      <w:r w:rsidR="00484449" w:rsidRPr="00484449">
        <w:rPr>
          <w:rFonts w:cs="Arial"/>
          <w:rtl/>
        </w:rPr>
        <w:t xml:space="preserve"> ואע</w:t>
      </w:r>
      <w:r w:rsidR="00484449">
        <w:rPr>
          <w:rFonts w:cs="Arial" w:hint="cs"/>
          <w:rtl/>
        </w:rPr>
        <w:t>"</w:t>
      </w:r>
      <w:r w:rsidR="00484449" w:rsidRPr="00484449">
        <w:rPr>
          <w:rFonts w:cs="Arial"/>
          <w:rtl/>
        </w:rPr>
        <w:t>פ שלא טען יורש אנו טוענין לו ואומרים לה הביאי כתובתיך והשבעי וטלי מזונות</w:t>
      </w:r>
      <w:r w:rsidR="00484449">
        <w:rPr>
          <w:rFonts w:cs="Arial" w:hint="cs"/>
          <w:rtl/>
        </w:rPr>
        <w:t>.</w:t>
      </w:r>
      <w:r w:rsidR="00484449" w:rsidRPr="00484449">
        <w:rPr>
          <w:rFonts w:cs="Arial"/>
          <w:rtl/>
        </w:rPr>
        <w:t xml:space="preserve"> אלא אם אין דרכם לכתוב כתובה</w:t>
      </w:r>
      <w:r>
        <w:rPr>
          <w:rFonts w:cs="Arial" w:hint="cs"/>
          <w:sz w:val="16"/>
          <w:szCs w:val="16"/>
          <w:rtl/>
        </w:rPr>
        <w:t xml:space="preserve"> (ל' הרמב"ם)</w:t>
      </w:r>
      <w:r w:rsidR="00484449" w:rsidRPr="00484449">
        <w:rPr>
          <w:rFonts w:cs="Arial"/>
          <w:rtl/>
        </w:rPr>
        <w:t>.</w:t>
      </w:r>
      <w:r w:rsidR="008C36F9" w:rsidRPr="008C36F9">
        <w:rPr>
          <w:rFonts w:cs="Arial" w:hint="cs"/>
          <w:color w:val="E36C0A" w:themeColor="accent6" w:themeShade="BF"/>
          <w:rtl/>
        </w:rPr>
        <w:t xml:space="preserve"> </w:t>
      </w:r>
      <w:r w:rsidR="008C36F9" w:rsidRPr="00856D60">
        <w:rPr>
          <w:rFonts w:cs="Arial" w:hint="cs"/>
          <w:color w:val="E36C0A" w:themeColor="accent6" w:themeShade="BF"/>
          <w:rtl/>
        </w:rPr>
        <w:t>(וכ"</w:t>
      </w:r>
      <w:r w:rsidR="008C36F9">
        <w:rPr>
          <w:rFonts w:cs="Arial" w:hint="cs"/>
          <w:color w:val="E36C0A" w:themeColor="accent6" w:themeShade="BF"/>
          <w:rtl/>
        </w:rPr>
        <w:t>ס</w:t>
      </w:r>
      <w:r w:rsidR="008C36F9" w:rsidRPr="00856D60">
        <w:rPr>
          <w:rFonts w:cs="Arial" w:hint="cs"/>
          <w:color w:val="E36C0A" w:themeColor="accent6" w:themeShade="BF"/>
          <w:rtl/>
        </w:rPr>
        <w:t xml:space="preserve"> בשו"ע)</w:t>
      </w:r>
    </w:p>
    <w:p w14:paraId="45BFC8EB" w14:textId="1FA97314" w:rsidR="00676A3E" w:rsidRDefault="000811C8" w:rsidP="009000E3">
      <w:pPr>
        <w:pStyle w:val="ab"/>
        <w:numPr>
          <w:ilvl w:val="0"/>
          <w:numId w:val="61"/>
        </w:numPr>
      </w:pPr>
      <w:r>
        <w:rPr>
          <w:rFonts w:cs="Arial" w:hint="cs"/>
          <w:rtl/>
        </w:rPr>
        <w:t xml:space="preserve">רשב"א </w:t>
      </w:r>
      <w:r>
        <w:rPr>
          <w:rFonts w:cs="Arial" w:hint="cs"/>
          <w:sz w:val="16"/>
          <w:szCs w:val="16"/>
          <w:rtl/>
        </w:rPr>
        <w:t>(ח"ב סי' קסה, ובמיוחסות סי' מח)</w:t>
      </w:r>
      <w:r>
        <w:rPr>
          <w:rFonts w:cs="Arial" w:hint="cs"/>
          <w:rtl/>
        </w:rPr>
        <w:t xml:space="preserve"> </w:t>
      </w:r>
      <w:r w:rsidR="00676A3E">
        <w:rPr>
          <w:rFonts w:cs="Arial" w:hint="cs"/>
          <w:rtl/>
        </w:rPr>
        <w:t>רא"ש</w:t>
      </w:r>
      <w:r w:rsidR="00D413B1">
        <w:rPr>
          <w:rFonts w:cs="Arial" w:hint="cs"/>
          <w:sz w:val="16"/>
          <w:szCs w:val="16"/>
          <w:rtl/>
        </w:rPr>
        <w:t xml:space="preserve"> (פי"ג סי' ו)</w:t>
      </w:r>
      <w:r w:rsidR="008C36F9">
        <w:rPr>
          <w:rFonts w:cs="Arial" w:hint="cs"/>
          <w:rtl/>
        </w:rPr>
        <w:t xml:space="preserve"> וטור</w:t>
      </w:r>
      <w:r w:rsidR="008C36F9">
        <w:rPr>
          <w:rFonts w:cs="Arial" w:hint="cs"/>
          <w:sz w:val="16"/>
          <w:szCs w:val="16"/>
          <w:rtl/>
        </w:rPr>
        <w:t xml:space="preserve"> (סי' קה ס"ד)</w:t>
      </w:r>
      <w:r w:rsidR="00676A3E">
        <w:rPr>
          <w:rFonts w:cs="Arial" w:hint="cs"/>
          <w:rtl/>
        </w:rPr>
        <w:t xml:space="preserve">- </w:t>
      </w:r>
      <w:r w:rsidR="00676A3E" w:rsidRPr="000A1431">
        <w:rPr>
          <w:rFonts w:cs="Arial"/>
          <w:rtl/>
        </w:rPr>
        <w:t>ניזונת מתנאי ב"ד אפי' בלא כתובה</w:t>
      </w:r>
      <w:r>
        <w:rPr>
          <w:rFonts w:hint="cs"/>
          <w:sz w:val="16"/>
          <w:szCs w:val="16"/>
          <w:rtl/>
        </w:rPr>
        <w:t xml:space="preserve"> (ל' הטור בשם הרא"ש)</w:t>
      </w:r>
      <w:r w:rsidR="00676A3E">
        <w:rPr>
          <w:rFonts w:hint="cs"/>
          <w:rtl/>
        </w:rPr>
        <w:t>.</w:t>
      </w:r>
      <w:r w:rsidR="004559D6" w:rsidRPr="004559D6">
        <w:rPr>
          <w:rFonts w:cs="Arial" w:hint="cs"/>
          <w:color w:val="E36C0A" w:themeColor="accent6" w:themeShade="BF"/>
          <w:rtl/>
        </w:rPr>
        <w:t xml:space="preserve"> </w:t>
      </w:r>
    </w:p>
    <w:p w14:paraId="778A8B66"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912BA06" w14:textId="20EC2F26" w:rsidR="00392DBB" w:rsidRDefault="00392DBB" w:rsidP="00392DBB">
      <w:pPr>
        <w:rPr>
          <w:rtl/>
        </w:rPr>
      </w:pPr>
      <w:r>
        <w:rPr>
          <w:rFonts w:cs="Arial"/>
          <w:rtl/>
        </w:rPr>
        <w:t>אלמנה שאין שטר כתובה יוצא מתחת ידה, אין לה מזונות, שמא מחלה כתובתה או מכרה או משכנה אותו</w:t>
      </w:r>
      <w:r w:rsidR="0014456D">
        <w:rPr>
          <w:rFonts w:cs="Arial" w:hint="cs"/>
          <w:rtl/>
        </w:rPr>
        <w:t>.</w:t>
      </w:r>
      <w:r>
        <w:rPr>
          <w:rFonts w:cs="Arial"/>
          <w:rtl/>
        </w:rPr>
        <w:t xml:space="preserve"> ויש חולקין. </w:t>
      </w:r>
    </w:p>
    <w:p w14:paraId="7E77364B" w14:textId="77777777" w:rsidR="00392DBB" w:rsidRDefault="00392DBB" w:rsidP="00392DBB">
      <w:pPr>
        <w:rPr>
          <w:rtl/>
        </w:rPr>
      </w:pPr>
    </w:p>
    <w:p w14:paraId="3E6ACB57" w14:textId="4409911A" w:rsidR="00392DBB" w:rsidRDefault="00392DBB" w:rsidP="000F64D0">
      <w:pPr>
        <w:pStyle w:val="2"/>
        <w:rPr>
          <w:rtl/>
        </w:rPr>
      </w:pPr>
      <w:bookmarkStart w:id="18" w:name="_Hlk135405066"/>
      <w:r>
        <w:rPr>
          <w:rtl/>
        </w:rPr>
        <w:t>סעיף יט</w:t>
      </w:r>
      <w:r>
        <w:rPr>
          <w:rFonts w:hint="cs"/>
          <w:rtl/>
        </w:rPr>
        <w:t>:</w:t>
      </w:r>
      <w:r w:rsidR="004559D6">
        <w:rPr>
          <w:rFonts w:hint="cs"/>
          <w:rtl/>
        </w:rPr>
        <w:t xml:space="preserve"> </w:t>
      </w:r>
      <w:r w:rsidR="00542A6B">
        <w:rPr>
          <w:rFonts w:hint="cs"/>
          <w:rtl/>
        </w:rPr>
        <w:t>שבועה כדי לקבל מזונות.</w:t>
      </w:r>
    </w:p>
    <w:p w14:paraId="0512B378" w14:textId="36DC109C" w:rsidR="00B24364" w:rsidRDefault="004559D6" w:rsidP="00337E84">
      <w:r w:rsidRPr="00CC415A">
        <w:rPr>
          <w:rFonts w:cs="Arial" w:hint="cs"/>
          <w:b/>
          <w:bCs/>
          <w:rtl/>
        </w:rPr>
        <w:t xml:space="preserve">כתובות </w:t>
      </w:r>
      <w:r w:rsidRPr="00CC415A">
        <w:rPr>
          <w:rFonts w:cs="Arial" w:hint="cs"/>
          <w:b/>
          <w:bCs/>
          <w:sz w:val="16"/>
          <w:szCs w:val="16"/>
          <w:rtl/>
        </w:rPr>
        <w:t>(</w:t>
      </w:r>
      <w:r>
        <w:rPr>
          <w:rFonts w:cs="Arial" w:hint="cs"/>
          <w:b/>
          <w:bCs/>
          <w:sz w:val="16"/>
          <w:szCs w:val="16"/>
          <w:rtl/>
        </w:rPr>
        <w:t>ר"פ בתרא</w:t>
      </w:r>
      <w:r w:rsidRPr="00CC415A">
        <w:rPr>
          <w:rFonts w:cs="Arial" w:hint="cs"/>
          <w:b/>
          <w:bCs/>
          <w:sz w:val="16"/>
          <w:szCs w:val="16"/>
          <w:rtl/>
        </w:rPr>
        <w:t>)</w:t>
      </w:r>
      <w:r w:rsidRPr="00CC415A">
        <w:rPr>
          <w:rFonts w:cs="Arial"/>
          <w:b/>
          <w:bCs/>
          <w:rtl/>
        </w:rPr>
        <w:t xml:space="preserve"> </w:t>
      </w:r>
      <w:r>
        <w:rPr>
          <w:rFonts w:cs="Arial" w:hint="cs"/>
          <w:b/>
          <w:bCs/>
          <w:rtl/>
        </w:rPr>
        <w:t>קד</w:t>
      </w:r>
      <w:r w:rsidR="00B75E2D">
        <w:rPr>
          <w:rStyle w:val="a7"/>
          <w:rFonts w:cs="Arial"/>
          <w:b/>
          <w:bCs/>
          <w:rtl/>
        </w:rPr>
        <w:footnoteReference w:id="1614"/>
      </w:r>
      <w:r w:rsidRPr="00CC415A">
        <w:rPr>
          <w:rFonts w:cs="Arial" w:hint="cs"/>
          <w:b/>
          <w:bCs/>
          <w:rtl/>
        </w:rPr>
        <w:t xml:space="preserve"> ע"</w:t>
      </w:r>
      <w:r>
        <w:rPr>
          <w:rFonts w:cs="Arial" w:hint="cs"/>
          <w:b/>
          <w:bCs/>
          <w:rtl/>
        </w:rPr>
        <w:t>ב</w:t>
      </w:r>
      <w:r w:rsidRPr="00CC415A">
        <w:rPr>
          <w:rFonts w:cs="Arial" w:hint="cs"/>
          <w:b/>
          <w:bCs/>
          <w:rtl/>
        </w:rPr>
        <w:t>:</w:t>
      </w:r>
      <w:r>
        <w:rPr>
          <w:rFonts w:cs="Arial" w:hint="cs"/>
          <w:rtl/>
        </w:rPr>
        <w:t xml:space="preserve"> </w:t>
      </w:r>
      <w:r w:rsidRPr="00FB53DB">
        <w:rPr>
          <w:rFonts w:cs="Arial"/>
          <w:u w:val="double"/>
          <w:rtl/>
        </w:rPr>
        <w:t>מתני'</w:t>
      </w:r>
      <w:r>
        <w:rPr>
          <w:rFonts w:cs="Arial" w:hint="cs"/>
          <w:rtl/>
        </w:rPr>
        <w:t>:</w:t>
      </w:r>
      <w:r w:rsidRPr="00FB53DB">
        <w:rPr>
          <w:rFonts w:cs="Arial"/>
          <w:rtl/>
        </w:rPr>
        <w:t xml:space="preserve"> שני דייני גזירות היו בירושלים: אדמון וחנן בן אבישלום, חנן אומר שני דברים, אדמון אומר שבעה. מי שהלך למדינת הים ואשתו תובעת מזונות, </w:t>
      </w:r>
      <w:r w:rsidRPr="00FB53DB">
        <w:rPr>
          <w:rFonts w:cs="Arial"/>
          <w:u w:val="single"/>
          <w:rtl/>
        </w:rPr>
        <w:t>חנן אומר</w:t>
      </w:r>
      <w:r w:rsidRPr="00FB53DB">
        <w:rPr>
          <w:rFonts w:cs="Arial"/>
          <w:rtl/>
        </w:rPr>
        <w:t>:</w:t>
      </w:r>
      <w:r w:rsidRPr="0057397C">
        <w:rPr>
          <w:rtl/>
        </w:rPr>
        <w:t xml:space="preserve"> </w:t>
      </w:r>
      <w:r w:rsidRPr="0057397C">
        <w:rPr>
          <w:rFonts w:cs="Arial"/>
          <w:rtl/>
        </w:rPr>
        <w:t>תשבע בסוף</w:t>
      </w:r>
      <w:r>
        <w:rPr>
          <w:rStyle w:val="a7"/>
          <w:rFonts w:cs="Arial"/>
          <w:rtl/>
        </w:rPr>
        <w:footnoteReference w:id="1615"/>
      </w:r>
      <w:r w:rsidRPr="0057397C">
        <w:rPr>
          <w:rFonts w:cs="Arial"/>
          <w:rtl/>
        </w:rPr>
        <w:t xml:space="preserve"> ולא תשבע בתחלה</w:t>
      </w:r>
      <w:r>
        <w:rPr>
          <w:rStyle w:val="a7"/>
          <w:rFonts w:cs="Arial"/>
          <w:rtl/>
        </w:rPr>
        <w:footnoteReference w:id="1616"/>
      </w:r>
      <w:r w:rsidRPr="0057397C">
        <w:rPr>
          <w:rFonts w:cs="Arial"/>
          <w:rtl/>
        </w:rPr>
        <w:t xml:space="preserve">, </w:t>
      </w:r>
      <w:r w:rsidRPr="0057397C">
        <w:rPr>
          <w:rFonts w:cs="Arial"/>
          <w:u w:val="single"/>
          <w:rtl/>
        </w:rPr>
        <w:t>נחלקו עליו בני כהנים גדולים ואמרו</w:t>
      </w:r>
      <w:r w:rsidRPr="0057397C">
        <w:rPr>
          <w:rFonts w:cs="Arial"/>
          <w:rtl/>
        </w:rPr>
        <w:t xml:space="preserve">: תשבע בתחלה ובסוף. </w:t>
      </w:r>
      <w:r w:rsidRPr="0057397C">
        <w:rPr>
          <w:rFonts w:cs="Arial"/>
          <w:u w:val="single"/>
          <w:rtl/>
        </w:rPr>
        <w:t>אמר רבי דוסא בן הרכינס</w:t>
      </w:r>
      <w:r w:rsidRPr="0057397C">
        <w:rPr>
          <w:rFonts w:cs="Arial"/>
          <w:rtl/>
        </w:rPr>
        <w:t xml:space="preserve"> כדבריהם. </w:t>
      </w:r>
      <w:r w:rsidRPr="0057397C">
        <w:rPr>
          <w:rFonts w:cs="Arial"/>
          <w:u w:val="single"/>
          <w:rtl/>
        </w:rPr>
        <w:t>אמר רבן יוחנן בן זכאי</w:t>
      </w:r>
      <w:r w:rsidRPr="0057397C">
        <w:rPr>
          <w:rFonts w:cs="Arial"/>
          <w:rtl/>
        </w:rPr>
        <w:t>: יפה אמר חנן לא תשבע אלא בסוף.</w:t>
      </w:r>
      <w:r w:rsidRPr="00B46DB7">
        <w:rPr>
          <w:rFonts w:cs="Arial"/>
          <w:rtl/>
        </w:rPr>
        <w:t xml:space="preserve"> </w:t>
      </w:r>
      <w:r w:rsidR="00337E84" w:rsidRPr="00337E84">
        <w:rPr>
          <w:rFonts w:cs="Arial" w:hint="cs"/>
          <w:sz w:val="16"/>
          <w:szCs w:val="16"/>
          <w:rtl/>
        </w:rPr>
        <w:t>(</w:t>
      </w:r>
      <w:r w:rsidR="00B24364" w:rsidRPr="00337E84">
        <w:rPr>
          <w:rFonts w:cs="Arial"/>
          <w:sz w:val="16"/>
          <w:szCs w:val="16"/>
          <w:rtl/>
        </w:rPr>
        <w:t>והלכתא כחנן כדאפסיקא הלכתא בגמרא</w:t>
      </w:r>
      <w:r w:rsidR="000E6BCC" w:rsidRPr="00337E84">
        <w:rPr>
          <w:rFonts w:cs="Arial" w:hint="cs"/>
          <w:sz w:val="16"/>
          <w:szCs w:val="16"/>
          <w:rtl/>
        </w:rPr>
        <w:t xml:space="preserve"> (קז.)</w:t>
      </w:r>
      <w:r w:rsidR="00B24364" w:rsidRPr="00337E84">
        <w:rPr>
          <w:rFonts w:cs="Arial"/>
          <w:sz w:val="16"/>
          <w:szCs w:val="16"/>
          <w:rtl/>
        </w:rPr>
        <w:t xml:space="preserve">, ודעת </w:t>
      </w:r>
      <w:r w:rsidR="00894E84" w:rsidRPr="00337E84">
        <w:rPr>
          <w:rFonts w:cs="Arial"/>
          <w:sz w:val="16"/>
          <w:szCs w:val="16"/>
          <w:rtl/>
        </w:rPr>
        <w:t xml:space="preserve">הרמב"ם (פי"ח מאישות הי"ט) </w:t>
      </w:r>
      <w:r w:rsidR="00B24364" w:rsidRPr="00337E84">
        <w:rPr>
          <w:rFonts w:cs="Arial"/>
          <w:sz w:val="16"/>
          <w:szCs w:val="16"/>
          <w:rtl/>
        </w:rPr>
        <w:t>ז"ל דדוקא מי שהלך בעלה למדינת הים</w:t>
      </w:r>
      <w:r w:rsidR="000E6BCC" w:rsidRPr="00337E84">
        <w:rPr>
          <w:rFonts w:cs="Arial" w:hint="cs"/>
          <w:sz w:val="16"/>
          <w:szCs w:val="16"/>
          <w:rtl/>
        </w:rPr>
        <w:t>,</w:t>
      </w:r>
      <w:r w:rsidR="00B24364" w:rsidRPr="00337E84">
        <w:rPr>
          <w:rFonts w:cs="Arial"/>
          <w:sz w:val="16"/>
          <w:szCs w:val="16"/>
          <w:rtl/>
        </w:rPr>
        <w:t xml:space="preserve"> אבל אלמנה אין נותנין לה מזונות אלא בשבועה דחיישינן לצררי, דטפי מתפיס איניש לצררי דאחר מיתה כדי שלא תתבזה אצל היתומים</w:t>
      </w:r>
      <w:r w:rsidR="000E6BCC" w:rsidRPr="00337E84">
        <w:rPr>
          <w:rFonts w:cs="Arial" w:hint="cs"/>
          <w:sz w:val="16"/>
          <w:szCs w:val="16"/>
          <w:rtl/>
        </w:rPr>
        <w:t>.</w:t>
      </w:r>
      <w:r w:rsidR="00B24364" w:rsidRPr="00337E84">
        <w:rPr>
          <w:rFonts w:cs="Arial"/>
          <w:sz w:val="16"/>
          <w:szCs w:val="16"/>
          <w:rtl/>
        </w:rPr>
        <w:t xml:space="preserve"> ואינו מחוור, חדא דהא שמואל אמר בגמרא </w:t>
      </w:r>
      <w:r w:rsidR="00894E84" w:rsidRPr="00337E84">
        <w:rPr>
          <w:rFonts w:cs="Arial"/>
          <w:sz w:val="16"/>
          <w:szCs w:val="16"/>
          <w:rtl/>
        </w:rPr>
        <w:t xml:space="preserve">(קז.) </w:t>
      </w:r>
      <w:r w:rsidR="00B24364" w:rsidRPr="00337E84">
        <w:rPr>
          <w:rFonts w:cs="Arial"/>
          <w:sz w:val="16"/>
          <w:szCs w:val="16"/>
          <w:rtl/>
        </w:rPr>
        <w:t>שאין פוסקין מזונות לאשת איש</w:t>
      </w:r>
      <w:r w:rsidR="00EB064A">
        <w:rPr>
          <w:rFonts w:cs="Arial" w:hint="cs"/>
          <w:sz w:val="16"/>
          <w:szCs w:val="16"/>
          <w:rtl/>
        </w:rPr>
        <w:t>,</w:t>
      </w:r>
      <w:r w:rsidR="00B24364" w:rsidRPr="00337E84">
        <w:rPr>
          <w:rFonts w:cs="Arial"/>
          <w:sz w:val="16"/>
          <w:szCs w:val="16"/>
          <w:rtl/>
        </w:rPr>
        <w:t xml:space="preserve"> וכששמעו בו שמת מודה שפוסקים</w:t>
      </w:r>
      <w:r w:rsidR="00FD47A8">
        <w:rPr>
          <w:rFonts w:cs="Arial" w:hint="cs"/>
          <w:sz w:val="16"/>
          <w:szCs w:val="16"/>
          <w:rtl/>
        </w:rPr>
        <w:t>.</w:t>
      </w:r>
      <w:r w:rsidR="00B24364" w:rsidRPr="00337E84">
        <w:rPr>
          <w:rFonts w:cs="Arial"/>
          <w:sz w:val="16"/>
          <w:szCs w:val="16"/>
          <w:rtl/>
        </w:rPr>
        <w:t xml:space="preserve"> ועוד דבפרק השולח (גיטין לה</w:t>
      </w:r>
      <w:r w:rsidR="00894E84" w:rsidRPr="00337E84">
        <w:rPr>
          <w:rFonts w:cs="Arial" w:hint="cs"/>
          <w:sz w:val="16"/>
          <w:szCs w:val="16"/>
          <w:rtl/>
        </w:rPr>
        <w:t>.</w:t>
      </w:r>
      <w:r w:rsidR="00B24364" w:rsidRPr="00337E84">
        <w:rPr>
          <w:rFonts w:cs="Arial"/>
          <w:sz w:val="16"/>
          <w:szCs w:val="16"/>
          <w:rtl/>
        </w:rPr>
        <w:t>) אמרינן בההיא איתתא דחשידא אשבועתא ואתיא תבעה כתובתה</w:t>
      </w:r>
      <w:r w:rsidR="00EB064A">
        <w:rPr>
          <w:rFonts w:cs="Arial" w:hint="cs"/>
          <w:sz w:val="16"/>
          <w:szCs w:val="16"/>
          <w:rtl/>
        </w:rPr>
        <w:t>,</w:t>
      </w:r>
      <w:r w:rsidR="00B24364" w:rsidRPr="00337E84">
        <w:rPr>
          <w:rFonts w:cs="Arial"/>
          <w:sz w:val="16"/>
          <w:szCs w:val="16"/>
          <w:rtl/>
        </w:rPr>
        <w:t xml:space="preserve"> ואמר דלית לה כתובה משום דחשידא</w:t>
      </w:r>
      <w:r w:rsidR="009B3FDF">
        <w:rPr>
          <w:rFonts w:cs="Arial" w:hint="cs"/>
          <w:sz w:val="16"/>
          <w:szCs w:val="16"/>
          <w:rtl/>
        </w:rPr>
        <w:t>,</w:t>
      </w:r>
      <w:r w:rsidR="00B24364" w:rsidRPr="00337E84">
        <w:rPr>
          <w:rFonts w:cs="Arial"/>
          <w:sz w:val="16"/>
          <w:szCs w:val="16"/>
          <w:rtl/>
        </w:rPr>
        <w:t xml:space="preserve"> ואמרה להו הבו לי מזוני</w:t>
      </w:r>
      <w:r w:rsidR="009B3FDF">
        <w:rPr>
          <w:rFonts w:cs="Arial" w:hint="cs"/>
          <w:sz w:val="16"/>
          <w:szCs w:val="16"/>
          <w:rtl/>
        </w:rPr>
        <w:t>,</w:t>
      </w:r>
      <w:r w:rsidR="00B24364" w:rsidRPr="00337E84">
        <w:rPr>
          <w:rFonts w:cs="Arial"/>
          <w:sz w:val="16"/>
          <w:szCs w:val="16"/>
          <w:rtl/>
        </w:rPr>
        <w:t xml:space="preserve"> ואמרו לה מזוני נמי לית לך דאמר שמואל התובעת כתובתה בב"ד אין לה מזונות, ואם איתא למה לי מדשמואל תיפוק ליה דבעיא שבועה והיא חשודה, אלא ודאי דאלמנה נותנין לה מזונות בלא שבועה כל זמן ששטר כתובתה יוצא מתחת ידה במקום שכותבין כתובה ותשבע בסוף</w:t>
      </w:r>
      <w:r w:rsidR="000B7DF5" w:rsidRPr="00337E84">
        <w:rPr>
          <w:rFonts w:cs="Arial" w:hint="cs"/>
          <w:sz w:val="16"/>
          <w:szCs w:val="16"/>
          <w:rtl/>
        </w:rPr>
        <w:t>,</w:t>
      </w:r>
      <w:r w:rsidR="000B7DF5" w:rsidRPr="00337E84">
        <w:rPr>
          <w:rFonts w:cs="Arial"/>
          <w:sz w:val="16"/>
          <w:szCs w:val="16"/>
          <w:rtl/>
        </w:rPr>
        <w:t xml:space="preserve"> ריטב"א (קד:)</w:t>
      </w:r>
      <w:r w:rsidR="00337E84">
        <w:rPr>
          <w:rFonts w:cs="Arial" w:hint="cs"/>
          <w:sz w:val="16"/>
          <w:szCs w:val="16"/>
          <w:rtl/>
        </w:rPr>
        <w:t>)</w:t>
      </w:r>
    </w:p>
    <w:p w14:paraId="5DCA44DD" w14:textId="77777777" w:rsidR="004559D6" w:rsidRPr="00B10D65" w:rsidRDefault="004559D6" w:rsidP="004559D6">
      <w:pPr>
        <w:rPr>
          <w:u w:val="single"/>
        </w:rPr>
      </w:pPr>
      <w:r>
        <w:rPr>
          <w:rFonts w:hint="cs"/>
          <w:u w:val="single"/>
          <w:rtl/>
        </w:rPr>
        <w:t>אלמנה</w:t>
      </w:r>
      <w:r w:rsidRPr="00B10D65">
        <w:rPr>
          <w:rFonts w:hint="cs"/>
          <w:u w:val="single"/>
          <w:rtl/>
        </w:rPr>
        <w:t xml:space="preserve"> שבאה לתבוע מזונות בבית דין</w:t>
      </w:r>
      <w:r>
        <w:rPr>
          <w:rFonts w:hint="cs"/>
          <w:sz w:val="16"/>
          <w:szCs w:val="16"/>
          <w:u w:val="single"/>
          <w:rtl/>
        </w:rPr>
        <w:t xml:space="preserve"> (ויש לה שטר כתובה, לרמב"ם וסיעתו)</w:t>
      </w:r>
      <w:r w:rsidRPr="00B10D65">
        <w:rPr>
          <w:rFonts w:hint="cs"/>
          <w:u w:val="single"/>
          <w:rtl/>
        </w:rPr>
        <w:t xml:space="preserve"> - האם צריכה להשבע:</w:t>
      </w:r>
    </w:p>
    <w:p w14:paraId="33C0CBBF" w14:textId="77777777" w:rsidR="004559D6" w:rsidRPr="00857B9E" w:rsidRDefault="004559D6" w:rsidP="009000E3">
      <w:pPr>
        <w:pStyle w:val="ab"/>
        <w:numPr>
          <w:ilvl w:val="0"/>
          <w:numId w:val="61"/>
        </w:numPr>
      </w:pPr>
      <w:r>
        <w:rPr>
          <w:rFonts w:cs="Arial" w:hint="cs"/>
          <w:rtl/>
        </w:rPr>
        <w:t>ר"י מי</w:t>
      </w:r>
      <w:r w:rsidRPr="001C6186">
        <w:rPr>
          <w:rFonts w:cs="Arial" w:hint="cs"/>
          <w:rtl/>
        </w:rPr>
        <w:t xml:space="preserve">גאש </w:t>
      </w:r>
      <w:r w:rsidRPr="001C6186">
        <w:rPr>
          <w:rFonts w:cs="Arial" w:hint="cs"/>
          <w:sz w:val="16"/>
          <w:szCs w:val="16"/>
          <w:rtl/>
        </w:rPr>
        <w:t>(סי' רט)</w:t>
      </w:r>
      <w:r>
        <w:rPr>
          <w:rFonts w:cs="Arial" w:hint="cs"/>
          <w:rtl/>
        </w:rPr>
        <w:t xml:space="preserve"> ורמב"ם </w:t>
      </w:r>
      <w:r>
        <w:rPr>
          <w:rFonts w:cs="Arial" w:hint="cs"/>
          <w:sz w:val="16"/>
          <w:szCs w:val="16"/>
          <w:rtl/>
        </w:rPr>
        <w:t>(פי"ח מהל' אישות הי"ט)</w:t>
      </w:r>
      <w:r>
        <w:rPr>
          <w:rFonts w:cs="Arial" w:hint="cs"/>
          <w:rtl/>
        </w:rPr>
        <w:t xml:space="preserve">- </w:t>
      </w:r>
      <w:r w:rsidRPr="00857B9E">
        <w:rPr>
          <w:rFonts w:cs="Arial"/>
          <w:rtl/>
        </w:rPr>
        <w:t>אלמנה שבאת לבית דין לתבוע מזונות</w:t>
      </w:r>
      <w:r>
        <w:rPr>
          <w:rFonts w:cs="Arial" w:hint="cs"/>
          <w:rtl/>
        </w:rPr>
        <w:t>,</w:t>
      </w:r>
      <w:r w:rsidRPr="00857B9E">
        <w:rPr>
          <w:rFonts w:cs="Arial"/>
          <w:rtl/>
        </w:rPr>
        <w:t xml:space="preserve"> יש מי שהורה שפוסקין לה מזונות ואין משביעין אותה, ואין ראוי לסמוך על הוראה זו מפני שנתחלף לו הדבר באשה שהלך בעלה למדינת הים</w:t>
      </w:r>
      <w:r>
        <w:rPr>
          <w:rFonts w:cs="Arial" w:hint="cs"/>
          <w:rtl/>
        </w:rPr>
        <w:t>.</w:t>
      </w:r>
      <w:r w:rsidRPr="00857B9E">
        <w:rPr>
          <w:rFonts w:cs="Arial"/>
          <w:rtl/>
        </w:rPr>
        <w:t xml:space="preserve"> ורבותי הורו </w:t>
      </w:r>
      <w:r w:rsidRPr="001C6186">
        <w:rPr>
          <w:rFonts w:cs="Arial"/>
          <w:rtl/>
        </w:rPr>
        <w:t>שאין לה מזונות מבית דין עד שתשבע</w:t>
      </w:r>
      <w:r>
        <w:rPr>
          <w:rStyle w:val="a7"/>
          <w:rFonts w:cs="Arial"/>
          <w:rtl/>
        </w:rPr>
        <w:footnoteReference w:id="1617"/>
      </w:r>
      <w:r w:rsidRPr="001C6186">
        <w:rPr>
          <w:rFonts w:cs="Arial" w:hint="cs"/>
          <w:rtl/>
        </w:rPr>
        <w:t>,</w:t>
      </w:r>
      <w:r w:rsidRPr="001C6186">
        <w:rPr>
          <w:rFonts w:cs="Arial"/>
          <w:rtl/>
        </w:rPr>
        <w:t xml:space="preserve"> שהרי זו באה להפרע מנכסי יתומים</w:t>
      </w:r>
      <w:r w:rsidRPr="001C6186">
        <w:rPr>
          <w:rFonts w:cs="Arial" w:hint="cs"/>
          <w:rtl/>
        </w:rPr>
        <w:t>,</w:t>
      </w:r>
      <w:r w:rsidRPr="001C6186">
        <w:rPr>
          <w:rFonts w:cs="Arial"/>
          <w:rtl/>
        </w:rPr>
        <w:t xml:space="preserve"> וכל הנפרע מנכסי יתומים לא יפרע אלא בשבועה, ולזה דעתי נוטה ובו ראוי לדון</w:t>
      </w:r>
      <w:r>
        <w:rPr>
          <w:rFonts w:cs="Arial" w:hint="cs"/>
          <w:sz w:val="16"/>
          <w:szCs w:val="16"/>
          <w:rtl/>
        </w:rPr>
        <w:t xml:space="preserve"> (ל' הרמב"ם)</w:t>
      </w:r>
      <w:r w:rsidRPr="001C6186">
        <w:rPr>
          <w:rFonts w:cs="Arial"/>
          <w:rtl/>
        </w:rPr>
        <w:t xml:space="preserve">. </w:t>
      </w:r>
    </w:p>
    <w:p w14:paraId="065522BA" w14:textId="1B5C1518" w:rsidR="004559D6" w:rsidRPr="008D63EC" w:rsidRDefault="004559D6" w:rsidP="009000E3">
      <w:pPr>
        <w:pStyle w:val="ab"/>
        <w:numPr>
          <w:ilvl w:val="0"/>
          <w:numId w:val="61"/>
        </w:numPr>
      </w:pPr>
      <w:r>
        <w:rPr>
          <w:rFonts w:cs="Arial"/>
          <w:rtl/>
        </w:rPr>
        <w:t xml:space="preserve">רמב"ן </w:t>
      </w:r>
      <w:r w:rsidRPr="008D63EC">
        <w:rPr>
          <w:rFonts w:cs="Arial"/>
          <w:sz w:val="16"/>
          <w:szCs w:val="16"/>
          <w:rtl/>
        </w:rPr>
        <w:t>(גיטין לה.</w:t>
      </w:r>
      <w:r w:rsidRPr="008D63EC">
        <w:rPr>
          <w:rFonts w:cs="Arial" w:hint="cs"/>
          <w:sz w:val="16"/>
          <w:szCs w:val="16"/>
          <w:rtl/>
        </w:rPr>
        <w:t>)</w:t>
      </w:r>
      <w:r>
        <w:rPr>
          <w:rFonts w:cs="Arial"/>
          <w:rtl/>
        </w:rPr>
        <w:t xml:space="preserve"> </w:t>
      </w:r>
      <w:r>
        <w:rPr>
          <w:rFonts w:cs="Arial" w:hint="cs"/>
          <w:rtl/>
        </w:rPr>
        <w:t xml:space="preserve">רשב"א </w:t>
      </w:r>
      <w:r>
        <w:rPr>
          <w:rFonts w:cs="Arial" w:hint="cs"/>
          <w:sz w:val="16"/>
          <w:szCs w:val="16"/>
          <w:rtl/>
        </w:rPr>
        <w:t>(ח"ב סי' קסה, ובמיוחסות סי' מח)</w:t>
      </w:r>
      <w:r>
        <w:rPr>
          <w:rFonts w:cs="Arial" w:hint="cs"/>
          <w:rtl/>
        </w:rPr>
        <w:t xml:space="preserve"> ריטב"א </w:t>
      </w:r>
      <w:r>
        <w:rPr>
          <w:rFonts w:cs="Arial" w:hint="cs"/>
          <w:sz w:val="16"/>
          <w:szCs w:val="16"/>
          <w:rtl/>
        </w:rPr>
        <w:t xml:space="preserve">(קד:) </w:t>
      </w:r>
      <w:r>
        <w:rPr>
          <w:rFonts w:cs="Arial" w:hint="cs"/>
          <w:rtl/>
        </w:rPr>
        <w:t>רא"ש</w:t>
      </w:r>
      <w:r>
        <w:rPr>
          <w:rFonts w:cs="Arial" w:hint="cs"/>
          <w:sz w:val="16"/>
          <w:szCs w:val="16"/>
          <w:rtl/>
        </w:rPr>
        <w:t xml:space="preserve"> (פי"ג סי' ו)</w:t>
      </w:r>
      <w:r>
        <w:rPr>
          <w:rFonts w:cs="Arial" w:hint="cs"/>
          <w:rtl/>
        </w:rPr>
        <w:t xml:space="preserve"> ור"ן</w:t>
      </w:r>
      <w:r>
        <w:rPr>
          <w:rFonts w:cs="Arial" w:hint="cs"/>
          <w:sz w:val="16"/>
          <w:szCs w:val="16"/>
          <w:rtl/>
        </w:rPr>
        <w:t xml:space="preserve"> (סג.)</w:t>
      </w:r>
      <w:r>
        <w:rPr>
          <w:rFonts w:cs="Arial" w:hint="cs"/>
          <w:rtl/>
        </w:rPr>
        <w:t xml:space="preserve">- </w:t>
      </w:r>
      <w:r>
        <w:rPr>
          <w:rFonts w:cs="Arial"/>
          <w:rtl/>
        </w:rPr>
        <w:t>אין האלמנה נשבעת למזונות</w:t>
      </w:r>
      <w:r>
        <w:rPr>
          <w:rFonts w:cs="Arial" w:hint="cs"/>
          <w:rtl/>
        </w:rPr>
        <w:t>,</w:t>
      </w:r>
      <w:r>
        <w:rPr>
          <w:rFonts w:cs="Arial"/>
          <w:rtl/>
        </w:rPr>
        <w:t xml:space="preserve"> לפי שאינה נשבעת בתחלה אלא לבסוף כשתבא לגבות כתובתה</w:t>
      </w:r>
      <w:r>
        <w:rPr>
          <w:rFonts w:cs="Arial" w:hint="cs"/>
          <w:sz w:val="16"/>
          <w:szCs w:val="16"/>
          <w:rtl/>
        </w:rPr>
        <w:t xml:space="preserve"> (ל' הרשב"א)</w:t>
      </w:r>
      <w:r w:rsidRPr="006A2A32">
        <w:rPr>
          <w:rFonts w:cs="Arial" w:hint="cs"/>
          <w:rtl/>
        </w:rPr>
        <w:t>.</w:t>
      </w:r>
      <w:r w:rsidRPr="006A2A32">
        <w:rPr>
          <w:rFonts w:cs="Arial"/>
          <w:rtl/>
        </w:rPr>
        <w:t xml:space="preserve"> </w:t>
      </w:r>
      <w:r w:rsidR="00542A6B" w:rsidRPr="00856D60">
        <w:rPr>
          <w:rFonts w:cs="Arial" w:hint="cs"/>
          <w:color w:val="E36C0A" w:themeColor="accent6" w:themeShade="BF"/>
          <w:rtl/>
        </w:rPr>
        <w:t>(וכ"</w:t>
      </w:r>
      <w:r w:rsidR="00542A6B">
        <w:rPr>
          <w:rFonts w:cs="Arial" w:hint="cs"/>
          <w:color w:val="E36C0A" w:themeColor="accent6" w:themeShade="BF"/>
          <w:rtl/>
        </w:rPr>
        <w:t>ס</w:t>
      </w:r>
      <w:r w:rsidR="00542A6B" w:rsidRPr="00856D60">
        <w:rPr>
          <w:rFonts w:cs="Arial" w:hint="cs"/>
          <w:color w:val="E36C0A" w:themeColor="accent6" w:themeShade="BF"/>
          <w:rtl/>
        </w:rPr>
        <w:t xml:space="preserve"> בשו"ע)</w:t>
      </w:r>
      <w:r w:rsidR="00542A6B">
        <w:rPr>
          <w:rFonts w:cs="Arial" w:hint="cs"/>
          <w:color w:val="E36C0A" w:themeColor="accent6" w:themeShade="BF"/>
          <w:rtl/>
        </w:rPr>
        <w:t xml:space="preserve"> </w:t>
      </w:r>
      <w:r w:rsidR="00542A6B" w:rsidRPr="00542A6B">
        <w:rPr>
          <w:rFonts w:cs="Arial" w:hint="cs"/>
          <w:color w:val="00B0F0"/>
          <w:rtl/>
        </w:rPr>
        <w:t>(וכ"פ הרמ"א)</w:t>
      </w:r>
    </w:p>
    <w:p w14:paraId="30E6416E" w14:textId="0BC02C75" w:rsidR="004559D6" w:rsidRPr="004559D6" w:rsidRDefault="004559D6" w:rsidP="009000E3">
      <w:pPr>
        <w:pStyle w:val="ab"/>
        <w:numPr>
          <w:ilvl w:val="1"/>
          <w:numId w:val="61"/>
        </w:numPr>
        <w:rPr>
          <w:rtl/>
        </w:rPr>
      </w:pPr>
      <w:r w:rsidRPr="008D63EC">
        <w:rPr>
          <w:rFonts w:cs="Arial" w:hint="cs"/>
          <w:rtl/>
        </w:rPr>
        <w:t xml:space="preserve">ב"י- </w:t>
      </w:r>
      <w:r w:rsidRPr="008D63EC">
        <w:rPr>
          <w:rFonts w:cs="Arial"/>
          <w:rtl/>
        </w:rPr>
        <w:t>ולענין הלכה נקיטינן ככל הני רבוותא דה"ל הרמב"ם יחידאה לגבייהו</w:t>
      </w:r>
      <w:r w:rsidRPr="008D63EC">
        <w:rPr>
          <w:rFonts w:cs="Arial" w:hint="cs"/>
          <w:rtl/>
        </w:rPr>
        <w:t>.</w:t>
      </w:r>
    </w:p>
    <w:p w14:paraId="1868D2AD"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8670141" w14:textId="1D14F6D0" w:rsidR="00392DBB" w:rsidRDefault="00392DBB" w:rsidP="00392DBB">
      <w:pPr>
        <w:rPr>
          <w:rtl/>
        </w:rPr>
      </w:pPr>
      <w:r>
        <w:rPr>
          <w:rFonts w:cs="Arial"/>
          <w:rtl/>
        </w:rPr>
        <w:t>אלמנה ניזונת אף על פי שלא נשבעה</w:t>
      </w:r>
      <w:r w:rsidR="00542A6B">
        <w:rPr>
          <w:rFonts w:cs="Arial" w:hint="cs"/>
          <w:rtl/>
        </w:rPr>
        <w:t>.</w:t>
      </w:r>
      <w:r>
        <w:rPr>
          <w:rFonts w:cs="Arial"/>
          <w:rtl/>
        </w:rPr>
        <w:t xml:space="preserve"> ויש חולקים. </w:t>
      </w:r>
      <w:r w:rsidR="00542A6B" w:rsidRPr="00542A6B">
        <w:rPr>
          <w:rFonts w:cs="Arial" w:hint="cs"/>
          <w:sz w:val="18"/>
          <w:szCs w:val="18"/>
          <w:rtl/>
        </w:rPr>
        <w:t xml:space="preserve">[הגה] </w:t>
      </w:r>
      <w:r w:rsidRPr="00542A6B">
        <w:rPr>
          <w:rFonts w:cs="Arial"/>
          <w:sz w:val="18"/>
          <w:szCs w:val="18"/>
          <w:rtl/>
        </w:rPr>
        <w:t>והסברא ראשונה עיקר.</w:t>
      </w:r>
      <w:r>
        <w:rPr>
          <w:rFonts w:cs="Arial"/>
          <w:rtl/>
        </w:rPr>
        <w:t xml:space="preserve"> </w:t>
      </w:r>
    </w:p>
    <w:bookmarkEnd w:id="18"/>
    <w:p w14:paraId="72A7DC3F" w14:textId="77777777" w:rsidR="00392DBB" w:rsidRDefault="00392DBB" w:rsidP="00392DBB">
      <w:pPr>
        <w:rPr>
          <w:rtl/>
        </w:rPr>
      </w:pPr>
    </w:p>
    <w:p w14:paraId="2CB96196" w14:textId="57B6E56E" w:rsidR="00392DBB" w:rsidRDefault="00392DBB" w:rsidP="000F64D0">
      <w:pPr>
        <w:pStyle w:val="2"/>
        <w:rPr>
          <w:rtl/>
        </w:rPr>
      </w:pPr>
      <w:r>
        <w:rPr>
          <w:rtl/>
        </w:rPr>
        <w:t>סעיף כ</w:t>
      </w:r>
      <w:r w:rsidR="0024202E">
        <w:rPr>
          <w:rFonts w:hint="cs"/>
          <w:rtl/>
        </w:rPr>
        <w:t xml:space="preserve">: </w:t>
      </w:r>
      <w:r w:rsidR="005F3672">
        <w:rPr>
          <w:rFonts w:hint="cs"/>
          <w:rtl/>
        </w:rPr>
        <w:t>מאלו נכסים אלמנה ניזונת.</w:t>
      </w:r>
    </w:p>
    <w:p w14:paraId="2876A00B" w14:textId="5F0C915E" w:rsidR="003E4AB0" w:rsidRDefault="003E4AB0" w:rsidP="003E4AB0">
      <w:pPr>
        <w:rPr>
          <w:rFonts w:cs="Arial"/>
          <w:rtl/>
        </w:rPr>
      </w:pPr>
      <w:r w:rsidRPr="00852261">
        <w:rPr>
          <w:rFonts w:cs="Arial" w:hint="cs"/>
          <w:b/>
          <w:bCs/>
          <w:rtl/>
        </w:rPr>
        <w:t>גיטין</w:t>
      </w:r>
      <w:r>
        <w:rPr>
          <w:rFonts w:cs="Arial" w:hint="cs"/>
          <w:b/>
          <w:bCs/>
          <w:sz w:val="16"/>
          <w:szCs w:val="16"/>
          <w:rtl/>
        </w:rPr>
        <w:t xml:space="preserve"> (ר"פ הניזקין)</w:t>
      </w:r>
      <w:r w:rsidRPr="00852261">
        <w:rPr>
          <w:rFonts w:cs="Arial" w:hint="cs"/>
          <w:b/>
          <w:bCs/>
          <w:rtl/>
        </w:rPr>
        <w:t xml:space="preserve"> מח</w:t>
      </w:r>
      <w:r w:rsidR="005B7021">
        <w:rPr>
          <w:rStyle w:val="a7"/>
          <w:rFonts w:cs="Arial"/>
          <w:b/>
          <w:bCs/>
          <w:rtl/>
        </w:rPr>
        <w:footnoteReference w:id="1618"/>
      </w:r>
      <w:r w:rsidRPr="00852261">
        <w:rPr>
          <w:rFonts w:cs="Arial" w:hint="cs"/>
          <w:b/>
          <w:bCs/>
          <w:rtl/>
        </w:rPr>
        <w:t xml:space="preserve"> ע"ב: </w:t>
      </w:r>
      <w:r w:rsidRPr="005D7E59">
        <w:rPr>
          <w:rFonts w:cs="Arial" w:hint="cs"/>
          <w:u w:val="double"/>
          <w:rtl/>
        </w:rPr>
        <w:t>מתני'</w:t>
      </w:r>
      <w:r>
        <w:rPr>
          <w:rFonts w:cs="Arial" w:hint="cs"/>
          <w:rtl/>
        </w:rPr>
        <w:t xml:space="preserve">:... </w:t>
      </w:r>
      <w:r w:rsidRPr="005D7E59">
        <w:rPr>
          <w:rFonts w:cs="Arial"/>
          <w:rtl/>
        </w:rPr>
        <w:t>אין מוציאין לאכילת פירות ולשבח קרקעות ולמזון האשה והבנות מנכסים משועבדין, מפני תיקון העולם</w:t>
      </w:r>
      <w:r>
        <w:rPr>
          <w:rFonts w:cs="Arial" w:hint="cs"/>
          <w:rtl/>
        </w:rPr>
        <w:t>..</w:t>
      </w:r>
      <w:r w:rsidRPr="005D7E59">
        <w:rPr>
          <w:rFonts w:cs="Arial"/>
          <w:rtl/>
        </w:rPr>
        <w:t xml:space="preserve">. </w:t>
      </w:r>
    </w:p>
    <w:p w14:paraId="69E6987D" w14:textId="699E451C" w:rsidR="003E4AB0" w:rsidRDefault="003E4AB0" w:rsidP="003E4AB0">
      <w:pPr>
        <w:rPr>
          <w:rFonts w:cs="Arial"/>
          <w:rtl/>
        </w:rPr>
      </w:pPr>
      <w:r w:rsidRPr="008A103C">
        <w:rPr>
          <w:rFonts w:cs="Arial" w:hint="cs"/>
          <w:b/>
          <w:bCs/>
          <w:rtl/>
        </w:rPr>
        <w:t xml:space="preserve">כתובות </w:t>
      </w:r>
      <w:r>
        <w:rPr>
          <w:rFonts w:cs="Arial" w:hint="cs"/>
          <w:b/>
          <w:bCs/>
          <w:sz w:val="16"/>
          <w:szCs w:val="16"/>
          <w:rtl/>
        </w:rPr>
        <w:t xml:space="preserve">(פ' מציאת האשה) </w:t>
      </w:r>
      <w:r w:rsidRPr="008A103C">
        <w:rPr>
          <w:rFonts w:cs="Arial" w:hint="cs"/>
          <w:b/>
          <w:bCs/>
          <w:rtl/>
        </w:rPr>
        <w:t xml:space="preserve">סט ע"א: </w:t>
      </w:r>
      <w:r w:rsidRPr="007C05FC">
        <w:rPr>
          <w:rFonts w:cs="Arial"/>
          <w:u w:val="single"/>
          <w:rtl/>
        </w:rPr>
        <w:t>תלה ליה רב לרבי ביני חטי</w:t>
      </w:r>
      <w:r w:rsidRPr="00272EAE">
        <w:rPr>
          <w:rFonts w:cs="Arial"/>
          <w:rtl/>
        </w:rPr>
        <w:t xml:space="preserve">: האחין ששיעבדו, מהו? </w:t>
      </w:r>
      <w:r w:rsidRPr="007C05FC">
        <w:rPr>
          <w:rFonts w:cs="Arial"/>
          <w:u w:val="single"/>
          <w:rtl/>
        </w:rPr>
        <w:t>הוה יתיב ר' חייא קמיה, אמר ליה</w:t>
      </w:r>
      <w:r w:rsidRPr="00272EAE">
        <w:rPr>
          <w:rFonts w:cs="Arial"/>
          <w:rtl/>
        </w:rPr>
        <w:t xml:space="preserve">: מכרו או משכנו? </w:t>
      </w:r>
      <w:r w:rsidRPr="007C05FC">
        <w:rPr>
          <w:rFonts w:cs="Arial"/>
          <w:u w:val="single"/>
          <w:rtl/>
        </w:rPr>
        <w:t>אמר ליה</w:t>
      </w:r>
      <w:r w:rsidRPr="00272EAE">
        <w:rPr>
          <w:rFonts w:cs="Arial"/>
          <w:rtl/>
        </w:rPr>
        <w:t xml:space="preserve">: מאי נפקא מינה? בין מכרו בין שמשכנו, מוציאין לפרנסה ואין מוציאין למזונות. </w:t>
      </w:r>
      <w:r w:rsidRPr="008A103C">
        <w:rPr>
          <w:rFonts w:cs="Arial" w:hint="cs"/>
          <w:sz w:val="16"/>
          <w:szCs w:val="16"/>
          <w:rtl/>
        </w:rPr>
        <w:t>(ו</w:t>
      </w:r>
      <w:r w:rsidRPr="008A103C">
        <w:rPr>
          <w:rFonts w:cs="Arial"/>
          <w:sz w:val="16"/>
          <w:szCs w:val="16"/>
          <w:rtl/>
        </w:rPr>
        <w:t>אמרינן</w:t>
      </w:r>
      <w:r w:rsidRPr="008A103C">
        <w:rPr>
          <w:rFonts w:cs="Arial" w:hint="cs"/>
          <w:sz w:val="16"/>
          <w:szCs w:val="16"/>
          <w:rtl/>
        </w:rPr>
        <w:t xml:space="preserve"> בגמרא</w:t>
      </w:r>
      <w:r w:rsidRPr="008A103C">
        <w:rPr>
          <w:rFonts w:cs="Arial"/>
          <w:sz w:val="16"/>
          <w:szCs w:val="16"/>
          <w:rtl/>
        </w:rPr>
        <w:t xml:space="preserve"> דבין לר</w:t>
      </w:r>
      <w:r w:rsidRPr="008A103C">
        <w:rPr>
          <w:rFonts w:cs="Arial" w:hint="cs"/>
          <w:sz w:val="16"/>
          <w:szCs w:val="16"/>
          <w:rtl/>
        </w:rPr>
        <w:t>ב</w:t>
      </w:r>
      <w:r w:rsidRPr="008A103C">
        <w:rPr>
          <w:rFonts w:cs="Arial"/>
          <w:sz w:val="16"/>
          <w:szCs w:val="16"/>
          <w:rtl/>
        </w:rPr>
        <w:t xml:space="preserve"> בין לרבי יוחנן האחים שמכרו או משכנו אין מוציאין למזונות</w:t>
      </w:r>
      <w:r w:rsidRPr="008A103C">
        <w:rPr>
          <w:rFonts w:cs="Arial" w:hint="cs"/>
          <w:sz w:val="16"/>
          <w:szCs w:val="16"/>
          <w:rtl/>
        </w:rPr>
        <w:t>.</w:t>
      </w:r>
      <w:r w:rsidRPr="008A103C">
        <w:rPr>
          <w:rFonts w:cs="Arial"/>
          <w:sz w:val="16"/>
          <w:szCs w:val="16"/>
          <w:rtl/>
        </w:rPr>
        <w:t xml:space="preserve"> ומשמע דבין למזון האשה בין למזון הבנות קאמ</w:t>
      </w:r>
      <w:r w:rsidRPr="008A103C">
        <w:rPr>
          <w:rFonts w:cs="Arial" w:hint="cs"/>
          <w:sz w:val="16"/>
          <w:szCs w:val="16"/>
          <w:rtl/>
        </w:rPr>
        <w:t>ר,</w:t>
      </w:r>
      <w:r w:rsidRPr="008A103C">
        <w:rPr>
          <w:rFonts w:cs="Arial"/>
          <w:sz w:val="16"/>
          <w:szCs w:val="16"/>
          <w:rtl/>
        </w:rPr>
        <w:t xml:space="preserve"> וכ</w:t>
      </w:r>
      <w:r w:rsidR="00B75E2D">
        <w:rPr>
          <w:rFonts w:cs="Arial" w:hint="cs"/>
          <w:sz w:val="16"/>
          <w:szCs w:val="16"/>
          <w:rtl/>
        </w:rPr>
        <w:t>"</w:t>
      </w:r>
      <w:r w:rsidRPr="008A103C">
        <w:rPr>
          <w:rFonts w:cs="Arial"/>
          <w:sz w:val="16"/>
          <w:szCs w:val="16"/>
          <w:rtl/>
        </w:rPr>
        <w:t>כ הר"ן ז"ל (ל: ד"ה תלא)</w:t>
      </w:r>
      <w:r w:rsidRPr="008A103C">
        <w:rPr>
          <w:rFonts w:cs="Arial" w:hint="cs"/>
          <w:sz w:val="16"/>
          <w:szCs w:val="16"/>
          <w:rtl/>
        </w:rPr>
        <w:t>, ב"י)</w:t>
      </w:r>
    </w:p>
    <w:p w14:paraId="71542D61" w14:textId="715BCDD1" w:rsidR="00612DE8" w:rsidRDefault="00930F11" w:rsidP="00394F99">
      <w:pPr>
        <w:rPr>
          <w:rFonts w:cs="Arial"/>
          <w:rtl/>
        </w:rPr>
      </w:pPr>
      <w:r w:rsidRPr="008A103C">
        <w:rPr>
          <w:rFonts w:cs="Arial" w:hint="cs"/>
          <w:b/>
          <w:bCs/>
          <w:rtl/>
        </w:rPr>
        <w:t xml:space="preserve">כתובות </w:t>
      </w:r>
      <w:r>
        <w:rPr>
          <w:rFonts w:cs="Arial" w:hint="cs"/>
          <w:b/>
          <w:bCs/>
          <w:sz w:val="16"/>
          <w:szCs w:val="16"/>
          <w:rtl/>
        </w:rPr>
        <w:t>(</w:t>
      </w:r>
      <w:r w:rsidR="00C12A84">
        <w:rPr>
          <w:rFonts w:cs="Arial" w:hint="cs"/>
          <w:b/>
          <w:bCs/>
          <w:sz w:val="16"/>
          <w:szCs w:val="16"/>
          <w:rtl/>
        </w:rPr>
        <w:t>ס"</w:t>
      </w:r>
      <w:r>
        <w:rPr>
          <w:rFonts w:cs="Arial" w:hint="cs"/>
          <w:b/>
          <w:bCs/>
          <w:sz w:val="16"/>
          <w:szCs w:val="16"/>
          <w:rtl/>
        </w:rPr>
        <w:t xml:space="preserve">פ מציאת האשה) </w:t>
      </w:r>
      <w:r w:rsidRPr="008A103C">
        <w:rPr>
          <w:rFonts w:cs="Arial" w:hint="cs"/>
          <w:b/>
          <w:bCs/>
          <w:rtl/>
        </w:rPr>
        <w:t>סט ע"</w:t>
      </w:r>
      <w:r>
        <w:rPr>
          <w:rFonts w:cs="Arial" w:hint="cs"/>
          <w:b/>
          <w:bCs/>
          <w:rtl/>
        </w:rPr>
        <w:t>ב</w:t>
      </w:r>
      <w:r w:rsidRPr="008A103C">
        <w:rPr>
          <w:rFonts w:cs="Arial" w:hint="cs"/>
          <w:b/>
          <w:bCs/>
          <w:rtl/>
        </w:rPr>
        <w:t>:</w:t>
      </w:r>
      <w:r>
        <w:rPr>
          <w:rFonts w:cs="Arial" w:hint="cs"/>
          <w:rtl/>
        </w:rPr>
        <w:t xml:space="preserve"> </w:t>
      </w:r>
      <w:r w:rsidRPr="00C12A84">
        <w:rPr>
          <w:rFonts w:cs="Arial"/>
          <w:u w:val="single"/>
          <w:rtl/>
        </w:rPr>
        <w:t>אמר רבא</w:t>
      </w:r>
      <w:r w:rsidR="00C90C48">
        <w:rPr>
          <w:rFonts w:cs="Arial" w:hint="cs"/>
          <w:rtl/>
        </w:rPr>
        <w:t>:</w:t>
      </w:r>
      <w:r w:rsidRPr="00930F11">
        <w:rPr>
          <w:rFonts w:cs="Arial"/>
          <w:rtl/>
        </w:rPr>
        <w:t xml:space="preserve"> הלכתא: ממקרקעי ולא ממטלטלי, בין למזוני, בין לכתובה, בין לפרנסה. </w:t>
      </w:r>
      <w:r w:rsidR="00394F99" w:rsidRPr="00394F99">
        <w:rPr>
          <w:rFonts w:cs="Arial" w:hint="cs"/>
          <w:sz w:val="16"/>
          <w:szCs w:val="16"/>
          <w:rtl/>
        </w:rPr>
        <w:t>(</w:t>
      </w:r>
      <w:r w:rsidR="00C633A0" w:rsidRPr="00394F99">
        <w:rPr>
          <w:rFonts w:cs="Arial" w:hint="cs"/>
          <w:sz w:val="16"/>
          <w:szCs w:val="16"/>
          <w:rtl/>
        </w:rPr>
        <w:t>ו</w:t>
      </w:r>
      <w:r w:rsidR="00A526FA" w:rsidRPr="00394F99">
        <w:rPr>
          <w:rFonts w:cs="Arial"/>
          <w:sz w:val="16"/>
          <w:szCs w:val="16"/>
          <w:rtl/>
        </w:rPr>
        <w:t xml:space="preserve">כתב הרי"ף </w:t>
      </w:r>
      <w:r w:rsidR="00C633A0" w:rsidRPr="00394F99">
        <w:rPr>
          <w:rFonts w:cs="Arial" w:hint="cs"/>
          <w:sz w:val="16"/>
          <w:szCs w:val="16"/>
          <w:rtl/>
        </w:rPr>
        <w:t>(נה:)</w:t>
      </w:r>
      <w:r w:rsidR="00A526FA" w:rsidRPr="00394F99">
        <w:rPr>
          <w:rFonts w:cs="Arial"/>
          <w:sz w:val="16"/>
          <w:szCs w:val="16"/>
          <w:rtl/>
        </w:rPr>
        <w:t xml:space="preserve"> וז"ל</w:t>
      </w:r>
      <w:r w:rsidR="003950D0" w:rsidRPr="00394F99">
        <w:rPr>
          <w:rFonts w:cs="Arial" w:hint="cs"/>
          <w:sz w:val="16"/>
          <w:szCs w:val="16"/>
          <w:rtl/>
        </w:rPr>
        <w:t>:</w:t>
      </w:r>
      <w:r w:rsidR="00A526FA" w:rsidRPr="00394F99">
        <w:rPr>
          <w:rFonts w:cs="Arial"/>
          <w:sz w:val="16"/>
          <w:szCs w:val="16"/>
          <w:rtl/>
        </w:rPr>
        <w:t xml:space="preserve"> והאידנא תקינו רבנן כתובה אפילו ממטלטלי</w:t>
      </w:r>
      <w:r w:rsidR="00AE5707" w:rsidRPr="00394F99">
        <w:rPr>
          <w:rFonts w:cs="Arial" w:hint="cs"/>
          <w:sz w:val="16"/>
          <w:szCs w:val="16"/>
          <w:rtl/>
        </w:rPr>
        <w:t>,</w:t>
      </w:r>
      <w:r w:rsidR="00A526FA" w:rsidRPr="00394F99">
        <w:rPr>
          <w:rFonts w:cs="Arial"/>
          <w:sz w:val="16"/>
          <w:szCs w:val="16"/>
          <w:rtl/>
        </w:rPr>
        <w:t xml:space="preserve"> וכיון דמזוני תנאי כתובה</w:t>
      </w:r>
      <w:r w:rsidR="00AE5707" w:rsidRPr="00394F99">
        <w:rPr>
          <w:rFonts w:cs="Arial" w:hint="cs"/>
          <w:sz w:val="16"/>
          <w:szCs w:val="16"/>
          <w:rtl/>
        </w:rPr>
        <w:t>,</w:t>
      </w:r>
      <w:r w:rsidR="00A526FA" w:rsidRPr="00394F99">
        <w:rPr>
          <w:rFonts w:cs="Arial"/>
          <w:sz w:val="16"/>
          <w:szCs w:val="16"/>
          <w:rtl/>
        </w:rPr>
        <w:t xml:space="preserve"> ותנאי כתובה ככתובה דמי</w:t>
      </w:r>
      <w:r w:rsidR="00AE5707" w:rsidRPr="00394F99">
        <w:rPr>
          <w:rFonts w:cs="Arial" w:hint="cs"/>
          <w:sz w:val="16"/>
          <w:szCs w:val="16"/>
          <w:rtl/>
        </w:rPr>
        <w:t>,</w:t>
      </w:r>
      <w:r w:rsidR="00A526FA" w:rsidRPr="00394F99">
        <w:rPr>
          <w:rFonts w:cs="Arial"/>
          <w:sz w:val="16"/>
          <w:szCs w:val="16"/>
          <w:rtl/>
        </w:rPr>
        <w:t xml:space="preserve"> נזונת נמי ממטלטלי בין תפסה בין לא תפסה</w:t>
      </w:r>
      <w:r w:rsidR="003950D0" w:rsidRPr="00394F99">
        <w:rPr>
          <w:rFonts w:cs="Arial" w:hint="cs"/>
          <w:sz w:val="16"/>
          <w:szCs w:val="16"/>
          <w:rtl/>
        </w:rPr>
        <w:t>.</w:t>
      </w:r>
      <w:r w:rsidR="00A526FA" w:rsidRPr="00394F99">
        <w:rPr>
          <w:rFonts w:cs="Arial"/>
          <w:sz w:val="16"/>
          <w:szCs w:val="16"/>
          <w:rtl/>
        </w:rPr>
        <w:t xml:space="preserve"> וכן כתב הרא"ש שם (סי' ג)</w:t>
      </w:r>
      <w:r w:rsidR="003950D0" w:rsidRPr="00394F99">
        <w:rPr>
          <w:rFonts w:cs="Arial" w:hint="cs"/>
          <w:sz w:val="16"/>
          <w:szCs w:val="16"/>
          <w:rtl/>
        </w:rPr>
        <w:t>,</w:t>
      </w:r>
      <w:r w:rsidR="00A526FA" w:rsidRPr="00394F99">
        <w:rPr>
          <w:rFonts w:cs="Arial"/>
          <w:sz w:val="16"/>
          <w:szCs w:val="16"/>
          <w:rtl/>
        </w:rPr>
        <w:t xml:space="preserve"> וכן כתב הרמב"ם בפי"ח מהל</w:t>
      </w:r>
      <w:r w:rsidR="003950D0" w:rsidRPr="00394F99">
        <w:rPr>
          <w:rFonts w:cs="Arial" w:hint="cs"/>
          <w:sz w:val="16"/>
          <w:szCs w:val="16"/>
          <w:rtl/>
        </w:rPr>
        <w:t>'</w:t>
      </w:r>
      <w:r w:rsidR="00A526FA" w:rsidRPr="00394F99">
        <w:rPr>
          <w:rFonts w:cs="Arial"/>
          <w:sz w:val="16"/>
          <w:szCs w:val="16"/>
          <w:rtl/>
        </w:rPr>
        <w:t xml:space="preserve"> אישות (הי"א</w:t>
      </w:r>
      <w:r w:rsidR="00394F99" w:rsidRPr="00394F99">
        <w:rPr>
          <w:rFonts w:cs="Arial" w:hint="cs"/>
          <w:sz w:val="16"/>
          <w:szCs w:val="16"/>
          <w:rtl/>
        </w:rPr>
        <w:t>)</w:t>
      </w:r>
      <w:r w:rsidR="00394F99">
        <w:rPr>
          <w:rFonts w:cs="Arial" w:hint="cs"/>
          <w:sz w:val="16"/>
          <w:szCs w:val="16"/>
          <w:rtl/>
        </w:rPr>
        <w:t>, ב"י)</w:t>
      </w:r>
      <w:r w:rsidR="00A526FA">
        <w:rPr>
          <w:rFonts w:cs="Arial"/>
          <w:rtl/>
        </w:rPr>
        <w:t xml:space="preserve"> </w:t>
      </w:r>
    </w:p>
    <w:p w14:paraId="577753A7" w14:textId="59FD7BE8" w:rsidR="0024202E" w:rsidRPr="005F3672" w:rsidRDefault="005F3672" w:rsidP="0024202E">
      <w:pPr>
        <w:rPr>
          <w:u w:val="single"/>
          <w:rtl/>
        </w:rPr>
      </w:pPr>
      <w:r w:rsidRPr="005F3672">
        <w:rPr>
          <w:rFonts w:hint="cs"/>
          <w:u w:val="single"/>
          <w:rtl/>
        </w:rPr>
        <w:t>מאלו נכסים אלמנה ניזונת:</w:t>
      </w:r>
    </w:p>
    <w:p w14:paraId="0C19C99F" w14:textId="25AC63E7" w:rsidR="00A40193" w:rsidRPr="00A40193" w:rsidRDefault="00392DBB" w:rsidP="009000E3">
      <w:pPr>
        <w:pStyle w:val="ab"/>
        <w:numPr>
          <w:ilvl w:val="0"/>
          <w:numId w:val="61"/>
        </w:numPr>
      </w:pPr>
      <w:r>
        <w:rPr>
          <w:rFonts w:cs="Arial" w:hint="cs"/>
          <w:rtl/>
        </w:rPr>
        <w:t xml:space="preserve">טור- </w:t>
      </w:r>
      <w:r w:rsidRPr="000A1431">
        <w:rPr>
          <w:rFonts w:cs="Arial"/>
          <w:rtl/>
        </w:rPr>
        <w:t>מדינא דגמרא אין אלמנה ניזונת אלא מקרקעי בני חורין</w:t>
      </w:r>
      <w:r w:rsidR="007E112D">
        <w:rPr>
          <w:rFonts w:cs="Arial" w:hint="cs"/>
          <w:rtl/>
        </w:rPr>
        <w:t>,</w:t>
      </w:r>
      <w:r w:rsidRPr="000A1431">
        <w:rPr>
          <w:rFonts w:cs="Arial"/>
          <w:rtl/>
        </w:rPr>
        <w:t xml:space="preserve"> לא מיבעיא אם מכר או נתן הבעל בחייו שאין מוציאין למזון האשה והבנות מנכסים משועבדים</w:t>
      </w:r>
      <w:r w:rsidR="007E112D">
        <w:rPr>
          <w:rFonts w:cs="Arial" w:hint="cs"/>
          <w:rtl/>
        </w:rPr>
        <w:t>,</w:t>
      </w:r>
      <w:r w:rsidRPr="000A1431">
        <w:rPr>
          <w:rFonts w:cs="Arial"/>
          <w:rtl/>
        </w:rPr>
        <w:t xml:space="preserve"> אלא אפי' מכרו או שמשכנו או נתנו היורשים לאחר מיתת אביהם אין מוציאין למזון האשה והבנות</w:t>
      </w:r>
      <w:r w:rsidR="007E112D">
        <w:rPr>
          <w:rFonts w:cs="Arial" w:hint="cs"/>
          <w:rtl/>
        </w:rPr>
        <w:t>.</w:t>
      </w:r>
      <w:r w:rsidRPr="000A1431">
        <w:rPr>
          <w:rFonts w:cs="Arial"/>
          <w:rtl/>
        </w:rPr>
        <w:t xml:space="preserve"> ודוקא</w:t>
      </w:r>
      <w:r w:rsidR="003E4AB0">
        <w:rPr>
          <w:rStyle w:val="a7"/>
          <w:rFonts w:cs="Arial"/>
          <w:rtl/>
        </w:rPr>
        <w:footnoteReference w:id="1619"/>
      </w:r>
      <w:r w:rsidRPr="000A1431">
        <w:rPr>
          <w:rFonts w:cs="Arial"/>
          <w:rtl/>
        </w:rPr>
        <w:t xml:space="preserve"> שנתן האב מתנת בריא</w:t>
      </w:r>
      <w:r w:rsidR="007E112D">
        <w:rPr>
          <w:rFonts w:cs="Arial" w:hint="cs"/>
          <w:rtl/>
        </w:rPr>
        <w:t>,</w:t>
      </w:r>
      <w:r w:rsidRPr="000A1431">
        <w:rPr>
          <w:rFonts w:cs="Arial"/>
          <w:rtl/>
        </w:rPr>
        <w:t xml:space="preserve"> אבל אם נתן מתנת שכיב מרע </w:t>
      </w:r>
      <w:r w:rsidR="007E112D">
        <w:rPr>
          <w:rFonts w:cs="Arial" w:hint="cs"/>
          <w:rtl/>
        </w:rPr>
        <w:t>-</w:t>
      </w:r>
      <w:r w:rsidRPr="000A1431">
        <w:rPr>
          <w:rFonts w:cs="Arial"/>
          <w:rtl/>
        </w:rPr>
        <w:lastRenderedPageBreak/>
        <w:t>ניזונת ממנו ולא ממטלטלי אפי' בני חרי</w:t>
      </w:r>
      <w:r w:rsidR="007E112D">
        <w:rPr>
          <w:rFonts w:cs="Arial" w:hint="cs"/>
          <w:rtl/>
        </w:rPr>
        <w:t>.</w:t>
      </w:r>
      <w:r w:rsidRPr="000A1431">
        <w:rPr>
          <w:rFonts w:cs="Arial"/>
          <w:rtl/>
        </w:rPr>
        <w:t xml:space="preserve"> ומיהו אם תפשה</w:t>
      </w:r>
      <w:r w:rsidR="00394F99">
        <w:rPr>
          <w:rStyle w:val="a7"/>
          <w:rFonts w:cs="Arial"/>
          <w:rtl/>
        </w:rPr>
        <w:footnoteReference w:id="1620"/>
      </w:r>
      <w:r w:rsidRPr="000A1431">
        <w:rPr>
          <w:rFonts w:cs="Arial"/>
          <w:rtl/>
        </w:rPr>
        <w:t xml:space="preserve"> מטלטלין אפי' אחר מיתה </w:t>
      </w:r>
      <w:r w:rsidR="0030387E">
        <w:rPr>
          <w:rFonts w:cs="Arial" w:hint="cs"/>
          <w:rtl/>
        </w:rPr>
        <w:t xml:space="preserve">- </w:t>
      </w:r>
      <w:r w:rsidRPr="000A1431">
        <w:rPr>
          <w:rFonts w:cs="Arial"/>
          <w:rtl/>
        </w:rPr>
        <w:t>לא מפקינן מינה</w:t>
      </w:r>
      <w:r w:rsidR="0030387E">
        <w:rPr>
          <w:rStyle w:val="a7"/>
          <w:rFonts w:cs="Arial"/>
          <w:rtl/>
        </w:rPr>
        <w:footnoteReference w:id="1621"/>
      </w:r>
      <w:r w:rsidR="007E112D">
        <w:rPr>
          <w:rFonts w:cs="Arial" w:hint="cs"/>
          <w:rtl/>
        </w:rPr>
        <w:t>.</w:t>
      </w:r>
      <w:r w:rsidRPr="000A1431">
        <w:rPr>
          <w:rFonts w:cs="Arial"/>
          <w:rtl/>
        </w:rPr>
        <w:t xml:space="preserve"> אבל לפי תקנת הגאונים שכתובה נגבת ממטלטלים</w:t>
      </w:r>
      <w:r w:rsidR="00D73903">
        <w:rPr>
          <w:rFonts w:cs="Arial" w:hint="cs"/>
          <w:rtl/>
        </w:rPr>
        <w:t>,</w:t>
      </w:r>
      <w:r w:rsidRPr="000A1431">
        <w:rPr>
          <w:rFonts w:cs="Arial"/>
          <w:rtl/>
        </w:rPr>
        <w:t xml:space="preserve"> ה</w:t>
      </w:r>
      <w:r w:rsidR="00D73903">
        <w:rPr>
          <w:rFonts w:cs="Arial" w:hint="cs"/>
          <w:rtl/>
        </w:rPr>
        <w:t>ו</w:t>
      </w:r>
      <w:r w:rsidRPr="000A1431">
        <w:rPr>
          <w:rFonts w:cs="Arial"/>
          <w:rtl/>
        </w:rPr>
        <w:t>א הדין נמי מזונות</w:t>
      </w:r>
      <w:r w:rsidR="00BB57C6">
        <w:rPr>
          <w:rFonts w:cs="Arial" w:hint="cs"/>
          <w:rtl/>
        </w:rPr>
        <w:t>.</w:t>
      </w:r>
      <w:r w:rsidRPr="000A1431">
        <w:rPr>
          <w:rFonts w:cs="Arial"/>
          <w:rtl/>
        </w:rPr>
        <w:t xml:space="preserve"> ואפי' לא תפשה ניזונת ממטלטלין</w:t>
      </w:r>
      <w:r w:rsidR="00BB57C6">
        <w:rPr>
          <w:rFonts w:cs="Arial" w:hint="cs"/>
          <w:rtl/>
        </w:rPr>
        <w:t>.</w:t>
      </w:r>
      <w:r w:rsidR="00B940D2">
        <w:rPr>
          <w:rFonts w:hint="cs"/>
          <w:rtl/>
        </w:rPr>
        <w:t xml:space="preserve"> </w:t>
      </w:r>
      <w:r w:rsidR="00B940D2" w:rsidRPr="00B940D2">
        <w:rPr>
          <w:rFonts w:hint="cs"/>
          <w:color w:val="E36C0A" w:themeColor="accent6" w:themeShade="BF"/>
          <w:rtl/>
        </w:rPr>
        <w:t>(וכ"פ בשו"ע)</w:t>
      </w:r>
    </w:p>
    <w:p w14:paraId="65AC433F" w14:textId="77777777" w:rsidR="001E7C1A" w:rsidRPr="00423D9F" w:rsidRDefault="001E7C1A" w:rsidP="001E7C1A">
      <w:pPr>
        <w:rPr>
          <w:u w:val="single"/>
        </w:rPr>
      </w:pPr>
      <w:r w:rsidRPr="00423D9F">
        <w:rPr>
          <w:rFonts w:hint="cs"/>
          <w:u w:val="single"/>
          <w:rtl/>
        </w:rPr>
        <w:t>מי שהקדיש כל נכסיו - ממה אשתו ניזונת:</w:t>
      </w:r>
      <w:r>
        <w:rPr>
          <w:rFonts w:cs="Arial" w:hint="cs"/>
          <w:sz w:val="16"/>
          <w:szCs w:val="16"/>
          <w:rtl/>
        </w:rPr>
        <w:t xml:space="preserve"> </w:t>
      </w:r>
      <w:r w:rsidRPr="007B1A3E">
        <w:rPr>
          <w:rFonts w:cs="Arial"/>
          <w:sz w:val="16"/>
          <w:szCs w:val="16"/>
          <w:rtl/>
        </w:rPr>
        <w:t>(</w:t>
      </w:r>
      <w:r w:rsidRPr="007B1A3E">
        <w:rPr>
          <w:rFonts w:cs="Arial" w:hint="cs"/>
          <w:sz w:val="16"/>
          <w:szCs w:val="16"/>
          <w:rtl/>
        </w:rPr>
        <w:t xml:space="preserve">דרכ"מ אות </w:t>
      </w:r>
      <w:r w:rsidRPr="007B1A3E">
        <w:rPr>
          <w:rFonts w:cs="Arial"/>
          <w:sz w:val="16"/>
          <w:szCs w:val="16"/>
          <w:rtl/>
        </w:rPr>
        <w:t>י)</w:t>
      </w:r>
    </w:p>
    <w:p w14:paraId="1C9CC65E" w14:textId="7F799596" w:rsidR="001E7C1A" w:rsidRPr="00A440E9" w:rsidRDefault="001E7C1A" w:rsidP="009000E3">
      <w:pPr>
        <w:pStyle w:val="ab"/>
        <w:numPr>
          <w:ilvl w:val="0"/>
          <w:numId w:val="82"/>
        </w:numPr>
      </w:pPr>
      <w:r w:rsidRPr="007B1A3E">
        <w:rPr>
          <w:rFonts w:cs="Arial"/>
          <w:rtl/>
        </w:rPr>
        <w:t xml:space="preserve">ר"ן </w:t>
      </w:r>
      <w:r w:rsidRPr="00423D9F">
        <w:rPr>
          <w:rFonts w:cs="Arial" w:hint="cs"/>
          <w:sz w:val="16"/>
          <w:szCs w:val="16"/>
          <w:rtl/>
        </w:rPr>
        <w:t>(</w:t>
      </w:r>
      <w:r w:rsidRPr="00423D9F">
        <w:rPr>
          <w:rFonts w:cs="Arial"/>
          <w:sz w:val="16"/>
          <w:szCs w:val="16"/>
          <w:rtl/>
        </w:rPr>
        <w:t>ר</w:t>
      </w:r>
      <w:r w:rsidRPr="00423D9F">
        <w:rPr>
          <w:rFonts w:cs="Arial" w:hint="cs"/>
          <w:sz w:val="16"/>
          <w:szCs w:val="16"/>
          <w:rtl/>
        </w:rPr>
        <w:t>"פ</w:t>
      </w:r>
      <w:r w:rsidRPr="00423D9F">
        <w:rPr>
          <w:rFonts w:cs="Arial"/>
          <w:sz w:val="16"/>
          <w:szCs w:val="16"/>
          <w:rtl/>
        </w:rPr>
        <w:t xml:space="preserve"> המדיר לא: ד"ה גמ')</w:t>
      </w:r>
      <w:r>
        <w:rPr>
          <w:rFonts w:cs="Arial" w:hint="cs"/>
          <w:rtl/>
        </w:rPr>
        <w:t>-</w:t>
      </w:r>
      <w:r w:rsidRPr="007B1A3E">
        <w:rPr>
          <w:rFonts w:cs="Arial"/>
          <w:rtl/>
        </w:rPr>
        <w:t xml:space="preserve"> הקדיש נכסיו אין אשתו נזונת מהן</w:t>
      </w:r>
      <w:r>
        <w:rPr>
          <w:rFonts w:cs="Arial" w:hint="cs"/>
          <w:rtl/>
        </w:rPr>
        <w:t>,</w:t>
      </w:r>
      <w:r w:rsidRPr="007B1A3E">
        <w:rPr>
          <w:rFonts w:cs="Arial"/>
          <w:rtl/>
        </w:rPr>
        <w:t xml:space="preserve"> דהוי כמתנת בריא</w:t>
      </w:r>
      <w:r>
        <w:rPr>
          <w:rStyle w:val="a7"/>
          <w:rFonts w:cs="Arial"/>
          <w:rtl/>
        </w:rPr>
        <w:footnoteReference w:id="1622"/>
      </w:r>
      <w:r>
        <w:rPr>
          <w:rFonts w:cs="Arial" w:hint="cs"/>
          <w:rtl/>
        </w:rPr>
        <w:t>.</w:t>
      </w:r>
      <w:r w:rsidR="00910C86">
        <w:rPr>
          <w:rFonts w:hint="cs"/>
          <w:rtl/>
        </w:rPr>
        <w:t xml:space="preserve"> </w:t>
      </w:r>
      <w:r w:rsidR="00910C86" w:rsidRPr="00910C86">
        <w:rPr>
          <w:rFonts w:hint="cs"/>
          <w:color w:val="00B0F0"/>
          <w:rtl/>
        </w:rPr>
        <w:t>(וכ"פ הרמ"א)</w:t>
      </w:r>
    </w:p>
    <w:p w14:paraId="28F41D90" w14:textId="77777777" w:rsidR="00910C86" w:rsidRPr="007B1A3E" w:rsidRDefault="00910C86" w:rsidP="00910C86">
      <w:pPr>
        <w:rPr>
          <w:u w:val="single"/>
        </w:rPr>
      </w:pPr>
      <w:r w:rsidRPr="007B1A3E">
        <w:rPr>
          <w:rFonts w:cs="Arial"/>
          <w:u w:val="single"/>
          <w:rtl/>
        </w:rPr>
        <w:t>נתן למקצת בניו בלשון מתנה ולמקצתן בלשון ירושה</w:t>
      </w:r>
      <w:r w:rsidRPr="007B1A3E">
        <w:rPr>
          <w:rFonts w:cs="Arial" w:hint="cs"/>
          <w:u w:val="single"/>
          <w:rtl/>
        </w:rPr>
        <w:t xml:space="preserve"> - ממה</w:t>
      </w:r>
      <w:r>
        <w:rPr>
          <w:rFonts w:cs="Arial" w:hint="cs"/>
          <w:u w:val="single"/>
          <w:rtl/>
        </w:rPr>
        <w:t xml:space="preserve"> האלמנה</w:t>
      </w:r>
      <w:r w:rsidRPr="007B1A3E">
        <w:rPr>
          <w:rFonts w:cs="Arial" w:hint="cs"/>
          <w:u w:val="single"/>
          <w:rtl/>
        </w:rPr>
        <w:t xml:space="preserve"> ניזונת:</w:t>
      </w:r>
      <w:r w:rsidRPr="00423D9F">
        <w:rPr>
          <w:rFonts w:cs="Arial"/>
          <w:sz w:val="16"/>
          <w:szCs w:val="16"/>
          <w:rtl/>
        </w:rPr>
        <w:t xml:space="preserve"> </w:t>
      </w:r>
      <w:r w:rsidRPr="007B1A3E">
        <w:rPr>
          <w:rFonts w:cs="Arial"/>
          <w:sz w:val="16"/>
          <w:szCs w:val="16"/>
          <w:rtl/>
        </w:rPr>
        <w:t>(</w:t>
      </w:r>
      <w:r w:rsidRPr="007B1A3E">
        <w:rPr>
          <w:rFonts w:cs="Arial" w:hint="cs"/>
          <w:sz w:val="16"/>
          <w:szCs w:val="16"/>
          <w:rtl/>
        </w:rPr>
        <w:t xml:space="preserve">דרכ"מ אות </w:t>
      </w:r>
      <w:r w:rsidRPr="007B1A3E">
        <w:rPr>
          <w:rFonts w:cs="Arial"/>
          <w:sz w:val="16"/>
          <w:szCs w:val="16"/>
          <w:rtl/>
        </w:rPr>
        <w:t>י)</w:t>
      </w:r>
    </w:p>
    <w:p w14:paraId="381EDE20" w14:textId="4E6CC7AB" w:rsidR="00910C86" w:rsidRPr="00423D9F" w:rsidRDefault="00910C86" w:rsidP="009000E3">
      <w:pPr>
        <w:pStyle w:val="ab"/>
        <w:numPr>
          <w:ilvl w:val="0"/>
          <w:numId w:val="82"/>
        </w:numPr>
      </w:pPr>
      <w:r w:rsidRPr="007B1A3E">
        <w:rPr>
          <w:rFonts w:cs="Arial" w:hint="cs"/>
          <w:rtl/>
        </w:rPr>
        <w:t>דרכ"מ</w:t>
      </w:r>
      <w:r w:rsidRPr="007B1A3E">
        <w:rPr>
          <w:rFonts w:cs="Arial" w:hint="cs"/>
          <w:sz w:val="16"/>
          <w:szCs w:val="16"/>
          <w:rtl/>
        </w:rPr>
        <w:t xml:space="preserve"> </w:t>
      </w:r>
      <w:r w:rsidRPr="007B1A3E">
        <w:rPr>
          <w:rFonts w:cs="Arial"/>
          <w:sz w:val="16"/>
          <w:szCs w:val="16"/>
          <w:rtl/>
        </w:rPr>
        <w:t>(</w:t>
      </w:r>
      <w:r w:rsidRPr="007B1A3E">
        <w:rPr>
          <w:rFonts w:cs="Arial" w:hint="cs"/>
          <w:sz w:val="16"/>
          <w:szCs w:val="16"/>
          <w:rtl/>
        </w:rPr>
        <w:t xml:space="preserve">אות </w:t>
      </w:r>
      <w:r w:rsidRPr="007B1A3E">
        <w:rPr>
          <w:rFonts w:cs="Arial"/>
          <w:sz w:val="16"/>
          <w:szCs w:val="16"/>
          <w:rtl/>
        </w:rPr>
        <w:t>י)</w:t>
      </w:r>
      <w:r w:rsidRPr="007B1A3E">
        <w:rPr>
          <w:rFonts w:cs="Arial" w:hint="cs"/>
          <w:rtl/>
        </w:rPr>
        <w:t xml:space="preserve">- </w:t>
      </w:r>
      <w:r>
        <w:rPr>
          <w:rFonts w:cs="Arial" w:hint="cs"/>
          <w:rtl/>
        </w:rPr>
        <w:t>כתב ה</w:t>
      </w:r>
      <w:r w:rsidRPr="007B1A3E">
        <w:rPr>
          <w:rFonts w:cs="Arial"/>
          <w:rtl/>
        </w:rPr>
        <w:t xml:space="preserve">ריב"ש </w:t>
      </w:r>
      <w:r w:rsidRPr="007B1A3E">
        <w:rPr>
          <w:rFonts w:cs="Arial" w:hint="cs"/>
          <w:rtl/>
        </w:rPr>
        <w:t>(</w:t>
      </w:r>
      <w:r w:rsidRPr="007B1A3E">
        <w:rPr>
          <w:rFonts w:cs="Arial"/>
          <w:rtl/>
        </w:rPr>
        <w:t>סי</w:t>
      </w:r>
      <w:r w:rsidRPr="007B1A3E">
        <w:rPr>
          <w:rFonts w:cs="Arial" w:hint="cs"/>
          <w:rtl/>
        </w:rPr>
        <w:t>'</w:t>
      </w:r>
      <w:r w:rsidRPr="007B1A3E">
        <w:rPr>
          <w:rFonts w:cs="Arial"/>
          <w:rtl/>
        </w:rPr>
        <w:t xml:space="preserve"> קז</w:t>
      </w:r>
      <w:r w:rsidRPr="007B1A3E">
        <w:rPr>
          <w:rFonts w:cs="Arial" w:hint="cs"/>
          <w:rtl/>
        </w:rPr>
        <w:t>)</w:t>
      </w:r>
      <w:r w:rsidRPr="007B1A3E">
        <w:rPr>
          <w:rFonts w:cs="Arial"/>
          <w:rtl/>
        </w:rPr>
        <w:t xml:space="preserve"> </w:t>
      </w:r>
      <w:r>
        <w:rPr>
          <w:rFonts w:cs="Arial" w:hint="cs"/>
          <w:rtl/>
        </w:rPr>
        <w:t>ד</w:t>
      </w:r>
      <w:r w:rsidRPr="007B1A3E">
        <w:rPr>
          <w:rFonts w:cs="Arial"/>
          <w:rtl/>
        </w:rPr>
        <w:t xml:space="preserve">אם נתן למקצת בניו בלשון מתנה ולמקצתן בלשון ירושה </w:t>
      </w:r>
      <w:r w:rsidR="001474C4">
        <w:rPr>
          <w:rFonts w:cs="Arial" w:hint="cs"/>
          <w:rtl/>
        </w:rPr>
        <w:t xml:space="preserve">- </w:t>
      </w:r>
      <w:r w:rsidRPr="007B1A3E">
        <w:rPr>
          <w:rFonts w:cs="Arial"/>
          <w:rtl/>
        </w:rPr>
        <w:t>אינה נזונת מן המתנה</w:t>
      </w:r>
      <w:r>
        <w:rPr>
          <w:rFonts w:cs="Arial" w:hint="cs"/>
          <w:rtl/>
        </w:rPr>
        <w:t>,</w:t>
      </w:r>
      <w:r w:rsidRPr="007B1A3E">
        <w:rPr>
          <w:rFonts w:cs="Arial"/>
          <w:rtl/>
        </w:rPr>
        <w:t xml:space="preserve"> דאותן שנתן בלשון ירושה נקראים בני חורין</w:t>
      </w:r>
      <w:r>
        <w:rPr>
          <w:rFonts w:cs="Arial" w:hint="cs"/>
          <w:rtl/>
        </w:rPr>
        <w:t>.</w:t>
      </w:r>
      <w:r w:rsidRPr="007B1A3E">
        <w:rPr>
          <w:rFonts w:cs="Arial"/>
          <w:rtl/>
        </w:rPr>
        <w:t xml:space="preserve"> </w:t>
      </w:r>
      <w:r w:rsidRPr="00423D9F">
        <w:rPr>
          <w:rFonts w:cs="Arial"/>
          <w:rtl/>
        </w:rPr>
        <w:t xml:space="preserve">ובמרדכי </w:t>
      </w:r>
      <w:r>
        <w:rPr>
          <w:rFonts w:cs="Arial" w:hint="cs"/>
          <w:rtl/>
        </w:rPr>
        <w:t>(</w:t>
      </w:r>
      <w:r w:rsidRPr="00423D9F">
        <w:rPr>
          <w:rFonts w:cs="Arial"/>
          <w:rtl/>
        </w:rPr>
        <w:t>פרק נערה שנתפתת</w:t>
      </w:r>
      <w:r>
        <w:rPr>
          <w:rFonts w:cs="Arial" w:hint="cs"/>
          <w:rtl/>
        </w:rPr>
        <w:t>ה</w:t>
      </w:r>
      <w:r w:rsidRPr="00423D9F">
        <w:rPr>
          <w:rFonts w:cs="Arial"/>
          <w:rtl/>
        </w:rPr>
        <w:t xml:space="preserve"> סי' קסא) האריך בזה וכתב דמוהר"ם סבירא ליה דנזונת אפילו ממתנת בריא</w:t>
      </w:r>
      <w:r>
        <w:rPr>
          <w:rFonts w:cs="Arial" w:hint="cs"/>
          <w:rtl/>
        </w:rPr>
        <w:t>,</w:t>
      </w:r>
      <w:r w:rsidRPr="00423D9F">
        <w:rPr>
          <w:rFonts w:cs="Arial"/>
          <w:rtl/>
        </w:rPr>
        <w:t xml:space="preserve"> ויש סוברים (רבינו שמואל במרדכי שם) דאפילו ממתנת שכיב מרע ממטלטלין אינה נזונת אפילו לאחר תקנת הגאונים שתקנו שכתובה נגבית ממטלטלין</w:t>
      </w:r>
      <w:r w:rsidR="001474C4">
        <w:rPr>
          <w:rFonts w:cs="Arial" w:hint="cs"/>
          <w:rtl/>
        </w:rPr>
        <w:t xml:space="preserve"> </w:t>
      </w:r>
      <w:r w:rsidR="001474C4" w:rsidRPr="001474C4">
        <w:rPr>
          <w:rFonts w:hint="cs"/>
          <w:color w:val="00B0F0"/>
          <w:sz w:val="16"/>
          <w:szCs w:val="16"/>
          <w:rtl/>
        </w:rPr>
        <w:t>(וכ"</w:t>
      </w:r>
      <w:r w:rsidR="001474C4">
        <w:rPr>
          <w:rFonts w:hint="cs"/>
          <w:color w:val="00B0F0"/>
          <w:sz w:val="16"/>
          <w:szCs w:val="16"/>
          <w:rtl/>
        </w:rPr>
        <w:t>כ</w:t>
      </w:r>
      <w:r w:rsidR="001474C4" w:rsidRPr="001474C4">
        <w:rPr>
          <w:rFonts w:hint="cs"/>
          <w:color w:val="00B0F0"/>
          <w:sz w:val="16"/>
          <w:szCs w:val="16"/>
          <w:rtl/>
        </w:rPr>
        <w:t xml:space="preserve"> </w:t>
      </w:r>
      <w:r w:rsidR="001474C4">
        <w:rPr>
          <w:rFonts w:hint="cs"/>
          <w:color w:val="00B0F0"/>
          <w:sz w:val="16"/>
          <w:szCs w:val="16"/>
          <w:rtl/>
        </w:rPr>
        <w:t>בהג"ה</w:t>
      </w:r>
      <w:r w:rsidR="001474C4" w:rsidRPr="001474C4">
        <w:rPr>
          <w:rFonts w:hint="cs"/>
          <w:color w:val="00B0F0"/>
          <w:sz w:val="16"/>
          <w:szCs w:val="16"/>
          <w:rtl/>
        </w:rPr>
        <w:t>)</w:t>
      </w:r>
      <w:r>
        <w:rPr>
          <w:rFonts w:cs="Arial" w:hint="cs"/>
          <w:rtl/>
        </w:rPr>
        <w:t>.</w:t>
      </w:r>
      <w:r w:rsidRPr="00423D9F">
        <w:rPr>
          <w:rFonts w:cs="Arial"/>
          <w:rtl/>
        </w:rPr>
        <w:t xml:space="preserve"> וע"ש, ועיין בחושן המשפט סימן רנ"ב (ס"א) יתבארו עוד מדינים אלו. </w:t>
      </w:r>
    </w:p>
    <w:p w14:paraId="474B083E"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4880A6B" w14:textId="672324E2" w:rsidR="00392DBB" w:rsidRDefault="00392DBB" w:rsidP="00392DBB">
      <w:pPr>
        <w:rPr>
          <w:rFonts w:cs="Arial"/>
          <w:rtl/>
        </w:rPr>
      </w:pPr>
      <w:r>
        <w:rPr>
          <w:rFonts w:cs="Arial"/>
          <w:rtl/>
        </w:rPr>
        <w:t>אין אלמנה ניזונית אלא מקרקעות בני חורין, ולא מהמשועבדים. לא מבעיא אם מכר או נתן הבעל בחייו, אלא אפילו מכרו או משכנו או נתנו היורשים לאחר מיתת אביהם, אין מוציאין למזון האשה והבנות. ודוקא שנתן האב מתנת בריא, אבל אם נתן מתנת שכיב מרע, ניזונת ממנה</w:t>
      </w:r>
      <w:r w:rsidR="00955968">
        <w:rPr>
          <w:rFonts w:cs="Arial" w:hint="cs"/>
          <w:rtl/>
        </w:rPr>
        <w:t>.</w:t>
      </w:r>
      <w:r>
        <w:rPr>
          <w:rFonts w:cs="Arial"/>
          <w:rtl/>
        </w:rPr>
        <w:t xml:space="preserve"> </w:t>
      </w:r>
      <w:r w:rsidR="00955968">
        <w:rPr>
          <w:rFonts w:cs="Arial" w:hint="cs"/>
          <w:sz w:val="18"/>
          <w:szCs w:val="18"/>
          <w:rtl/>
        </w:rPr>
        <w:t>[הגה]</w:t>
      </w:r>
      <w:r w:rsidR="00183399">
        <w:rPr>
          <w:rFonts w:cs="Arial" w:hint="cs"/>
          <w:sz w:val="18"/>
          <w:szCs w:val="18"/>
          <w:rtl/>
        </w:rPr>
        <w:t xml:space="preserve"> </w:t>
      </w:r>
      <w:r w:rsidRPr="00955968">
        <w:rPr>
          <w:rFonts w:cs="Arial"/>
          <w:sz w:val="18"/>
          <w:szCs w:val="18"/>
          <w:rtl/>
        </w:rPr>
        <w:t>אם אין כאן בני חורין (ריב"ש).</w:t>
      </w:r>
      <w:r>
        <w:rPr>
          <w:rFonts w:cs="Arial"/>
          <w:rtl/>
        </w:rPr>
        <w:t xml:space="preserve"> </w:t>
      </w:r>
      <w:r w:rsidRPr="007B1A3E">
        <w:rPr>
          <w:rFonts w:cs="Arial"/>
          <w:sz w:val="18"/>
          <w:szCs w:val="18"/>
          <w:rtl/>
        </w:rPr>
        <w:t>הקדיש נכסיו</w:t>
      </w:r>
      <w:r w:rsidR="00650FC7">
        <w:rPr>
          <w:rStyle w:val="a7"/>
          <w:rFonts w:cs="Arial"/>
          <w:sz w:val="18"/>
          <w:szCs w:val="18"/>
          <w:rtl/>
        </w:rPr>
        <w:footnoteReference w:id="1623"/>
      </w:r>
      <w:r w:rsidRPr="007B1A3E">
        <w:rPr>
          <w:rFonts w:cs="Arial"/>
          <w:sz w:val="18"/>
          <w:szCs w:val="18"/>
          <w:rtl/>
        </w:rPr>
        <w:t xml:space="preserve"> הוי כמתנת בריא (ר"ן). </w:t>
      </w:r>
      <w:r>
        <w:rPr>
          <w:rFonts w:cs="Arial"/>
          <w:rtl/>
        </w:rPr>
        <w:t>ואינה ניזונית ממטלטלי, אפילו בני חורין. ומיהו אם תפסה ממטלטלין, אפילו אחר מיתה, לא מפקינן מינה</w:t>
      </w:r>
      <w:r w:rsidR="00317189">
        <w:rPr>
          <w:rStyle w:val="a7"/>
          <w:rFonts w:cs="Arial"/>
          <w:rtl/>
        </w:rPr>
        <w:footnoteReference w:id="1624"/>
      </w:r>
      <w:r>
        <w:rPr>
          <w:rFonts w:cs="Arial"/>
          <w:rtl/>
        </w:rPr>
        <w:t xml:space="preserve">. ועכשיו שתקנו הגאונים שתגבה כתובה ותנאי כתובה ממטלטלין, הרי היא ניזונית ממטלטלין, אפילו לא תפסה. </w:t>
      </w:r>
      <w:r w:rsidR="00183399">
        <w:rPr>
          <w:rFonts w:cs="Arial" w:hint="cs"/>
          <w:sz w:val="18"/>
          <w:szCs w:val="18"/>
          <w:rtl/>
        </w:rPr>
        <w:t xml:space="preserve">[הגה] </w:t>
      </w:r>
      <w:r w:rsidRPr="00183399">
        <w:rPr>
          <w:rFonts w:cs="Arial"/>
          <w:sz w:val="18"/>
          <w:szCs w:val="18"/>
          <w:rtl/>
        </w:rPr>
        <w:t>מיהו אם נתן המטלטלין לאחרים, אפילו במתנת שכיב מרע, י</w:t>
      </w:r>
      <w:r w:rsidR="00910C86">
        <w:rPr>
          <w:rFonts w:cs="Arial" w:hint="cs"/>
          <w:sz w:val="18"/>
          <w:szCs w:val="18"/>
          <w:rtl/>
        </w:rPr>
        <w:t>ש אומרים</w:t>
      </w:r>
      <w:r w:rsidRPr="00183399">
        <w:rPr>
          <w:rFonts w:cs="Arial"/>
          <w:sz w:val="18"/>
          <w:szCs w:val="18"/>
          <w:rtl/>
        </w:rPr>
        <w:t xml:space="preserve"> דאינה ניזונת מהן (מרדכי בשם י"א).</w:t>
      </w:r>
      <w:r>
        <w:rPr>
          <w:rFonts w:cs="Arial"/>
          <w:rtl/>
        </w:rPr>
        <w:t xml:space="preserve"> </w:t>
      </w:r>
    </w:p>
    <w:p w14:paraId="45B0922A" w14:textId="77777777" w:rsidR="005F3672" w:rsidRDefault="005F3672" w:rsidP="00D274AF">
      <w:pPr>
        <w:rPr>
          <w:rtl/>
        </w:rPr>
      </w:pPr>
    </w:p>
    <w:p w14:paraId="120460D3" w14:textId="1C97D3E0" w:rsidR="00392DBB" w:rsidRDefault="00392DBB" w:rsidP="000F64D0">
      <w:pPr>
        <w:pStyle w:val="2"/>
        <w:rPr>
          <w:rtl/>
        </w:rPr>
      </w:pPr>
      <w:r>
        <w:rPr>
          <w:rtl/>
        </w:rPr>
        <w:t>סעיף כא</w:t>
      </w:r>
      <w:r>
        <w:rPr>
          <w:rFonts w:hint="cs"/>
          <w:rtl/>
        </w:rPr>
        <w:t>:</w:t>
      </w:r>
      <w:r w:rsidR="00317189">
        <w:rPr>
          <w:rFonts w:hint="cs"/>
          <w:rtl/>
        </w:rPr>
        <w:t xml:space="preserve"> </w:t>
      </w:r>
      <w:r w:rsidR="00D7667C">
        <w:rPr>
          <w:rFonts w:hint="cs"/>
          <w:rtl/>
        </w:rPr>
        <w:t xml:space="preserve">עיכוב היורשים מלמכור </w:t>
      </w:r>
      <w:r w:rsidR="001474C4">
        <w:rPr>
          <w:rFonts w:hint="cs"/>
          <w:rtl/>
        </w:rPr>
        <w:t>מ</w:t>
      </w:r>
      <w:r w:rsidR="00D7667C">
        <w:rPr>
          <w:rFonts w:hint="cs"/>
          <w:rtl/>
        </w:rPr>
        <w:t>נכסי</w:t>
      </w:r>
      <w:r w:rsidR="001474C4">
        <w:rPr>
          <w:rFonts w:hint="cs"/>
          <w:rtl/>
        </w:rPr>
        <w:t xml:space="preserve"> האב</w:t>
      </w:r>
      <w:r w:rsidR="00D7667C">
        <w:rPr>
          <w:rFonts w:hint="cs"/>
          <w:rtl/>
        </w:rPr>
        <w:t xml:space="preserve"> כדי שי</w:t>
      </w:r>
      <w:r w:rsidR="00CD42D0">
        <w:rPr>
          <w:rFonts w:hint="cs"/>
          <w:rtl/>
        </w:rPr>
        <w:t>עמדו</w:t>
      </w:r>
      <w:r w:rsidR="00D7667C">
        <w:rPr>
          <w:rFonts w:hint="cs"/>
          <w:rtl/>
        </w:rPr>
        <w:t xml:space="preserve"> למזונות האלמנה.</w:t>
      </w:r>
    </w:p>
    <w:p w14:paraId="6F501404" w14:textId="6495D980" w:rsidR="001E7C1A" w:rsidRDefault="001E7C1A" w:rsidP="001E7C1A">
      <w:pPr>
        <w:rPr>
          <w:rFonts w:cs="Arial"/>
          <w:rtl/>
        </w:rPr>
      </w:pPr>
      <w:r w:rsidRPr="00852261">
        <w:rPr>
          <w:rFonts w:cs="Arial" w:hint="cs"/>
          <w:b/>
          <w:bCs/>
          <w:rtl/>
        </w:rPr>
        <w:t>גיטין</w:t>
      </w:r>
      <w:r>
        <w:rPr>
          <w:rFonts w:cs="Arial" w:hint="cs"/>
          <w:b/>
          <w:bCs/>
          <w:sz w:val="16"/>
          <w:szCs w:val="16"/>
          <w:rtl/>
        </w:rPr>
        <w:t xml:space="preserve"> (ר"פ הניזקין)</w:t>
      </w:r>
      <w:r w:rsidRPr="00852261">
        <w:rPr>
          <w:rFonts w:cs="Arial" w:hint="cs"/>
          <w:b/>
          <w:bCs/>
          <w:rtl/>
        </w:rPr>
        <w:t xml:space="preserve"> מח</w:t>
      </w:r>
      <w:r w:rsidR="009E24BB">
        <w:rPr>
          <w:rStyle w:val="a7"/>
          <w:rFonts w:cs="Arial"/>
          <w:b/>
          <w:bCs/>
          <w:rtl/>
        </w:rPr>
        <w:footnoteReference w:id="1625"/>
      </w:r>
      <w:r w:rsidRPr="00852261">
        <w:rPr>
          <w:rFonts w:cs="Arial" w:hint="cs"/>
          <w:b/>
          <w:bCs/>
          <w:rtl/>
        </w:rPr>
        <w:t xml:space="preserve"> ע"ב: </w:t>
      </w:r>
      <w:r w:rsidRPr="005D7E59">
        <w:rPr>
          <w:rFonts w:cs="Arial" w:hint="cs"/>
          <w:u w:val="double"/>
          <w:rtl/>
        </w:rPr>
        <w:t>מתני'</w:t>
      </w:r>
      <w:r>
        <w:rPr>
          <w:rFonts w:cs="Arial" w:hint="cs"/>
          <w:rtl/>
        </w:rPr>
        <w:t xml:space="preserve">:... </w:t>
      </w:r>
      <w:r w:rsidRPr="005D7E59">
        <w:rPr>
          <w:rFonts w:cs="Arial"/>
          <w:rtl/>
        </w:rPr>
        <w:t>אין מוציאין לאכילת פירות ולשבח קרקעות ולמזון האשה והבנות מנכסים משועבדין, מפני תיקון העולם</w:t>
      </w:r>
      <w:r>
        <w:rPr>
          <w:rFonts w:cs="Arial" w:hint="cs"/>
          <w:rtl/>
        </w:rPr>
        <w:t>..</w:t>
      </w:r>
      <w:r w:rsidRPr="005D7E59">
        <w:rPr>
          <w:rFonts w:cs="Arial"/>
          <w:rtl/>
        </w:rPr>
        <w:t xml:space="preserve">. </w:t>
      </w:r>
      <w:r w:rsidR="009E24BB">
        <w:rPr>
          <w:rFonts w:cs="Arial" w:hint="cs"/>
          <w:rtl/>
        </w:rPr>
        <w:t xml:space="preserve"> </w:t>
      </w:r>
    </w:p>
    <w:p w14:paraId="6E1CD45D" w14:textId="3BE55EB2" w:rsidR="001E7C1A" w:rsidRDefault="009E24BB" w:rsidP="001E7C1A">
      <w:pPr>
        <w:rPr>
          <w:rFonts w:cs="Arial"/>
          <w:rtl/>
        </w:rPr>
      </w:pPr>
      <w:r w:rsidRPr="008A103C">
        <w:rPr>
          <w:rFonts w:cs="Arial" w:hint="cs"/>
          <w:b/>
          <w:bCs/>
          <w:rtl/>
        </w:rPr>
        <w:t xml:space="preserve">כתובות </w:t>
      </w:r>
      <w:r>
        <w:rPr>
          <w:rFonts w:cs="Arial" w:hint="cs"/>
          <w:b/>
          <w:bCs/>
          <w:sz w:val="16"/>
          <w:szCs w:val="16"/>
          <w:rtl/>
        </w:rPr>
        <w:t xml:space="preserve">(פ' מציאת האשה) </w:t>
      </w:r>
      <w:r w:rsidRPr="008A103C">
        <w:rPr>
          <w:rFonts w:cs="Arial" w:hint="cs"/>
          <w:b/>
          <w:bCs/>
          <w:rtl/>
        </w:rPr>
        <w:t xml:space="preserve">סט ע"א: </w:t>
      </w:r>
      <w:r w:rsidRPr="007C05FC">
        <w:rPr>
          <w:rFonts w:cs="Arial"/>
          <w:u w:val="single"/>
          <w:rtl/>
        </w:rPr>
        <w:t>תלה ליה רב לרבי ביני חטי</w:t>
      </w:r>
      <w:r w:rsidRPr="00272EAE">
        <w:rPr>
          <w:rFonts w:cs="Arial"/>
          <w:rtl/>
        </w:rPr>
        <w:t xml:space="preserve">: האחין ששיעבדו, מהו? </w:t>
      </w:r>
      <w:r w:rsidRPr="007C05FC">
        <w:rPr>
          <w:rFonts w:cs="Arial"/>
          <w:u w:val="single"/>
          <w:rtl/>
        </w:rPr>
        <w:t>הוה יתיב ר' חייא קמיה, אמר ליה</w:t>
      </w:r>
      <w:r w:rsidRPr="00272EAE">
        <w:rPr>
          <w:rFonts w:cs="Arial"/>
          <w:rtl/>
        </w:rPr>
        <w:t xml:space="preserve">: מכרו או משכנו? </w:t>
      </w:r>
      <w:r w:rsidRPr="007C05FC">
        <w:rPr>
          <w:rFonts w:cs="Arial"/>
          <w:u w:val="single"/>
          <w:rtl/>
        </w:rPr>
        <w:t>אמר ליה</w:t>
      </w:r>
      <w:r w:rsidRPr="00272EAE">
        <w:rPr>
          <w:rFonts w:cs="Arial"/>
          <w:rtl/>
        </w:rPr>
        <w:t xml:space="preserve">: מאי נפקא מינה? בין מכרו בין שמשכנו, מוציאין לפרנסה ואין מוציאין למזונות. </w:t>
      </w:r>
    </w:p>
    <w:p w14:paraId="630BD7D0" w14:textId="77777777" w:rsidR="001E7C1A" w:rsidRDefault="001E7C1A" w:rsidP="001E7C1A">
      <w:pPr>
        <w:rPr>
          <w:rFonts w:cs="Arial"/>
          <w:rtl/>
        </w:rPr>
      </w:pPr>
      <w:r w:rsidRPr="008A103C">
        <w:rPr>
          <w:rFonts w:cs="Arial" w:hint="cs"/>
          <w:b/>
          <w:bCs/>
          <w:rtl/>
        </w:rPr>
        <w:t xml:space="preserve">כתובות </w:t>
      </w:r>
      <w:r>
        <w:rPr>
          <w:rFonts w:cs="Arial" w:hint="cs"/>
          <w:b/>
          <w:bCs/>
          <w:sz w:val="16"/>
          <w:szCs w:val="16"/>
          <w:rtl/>
        </w:rPr>
        <w:t xml:space="preserve">(ס"פ מציאת האשה) </w:t>
      </w:r>
      <w:r w:rsidRPr="008A103C">
        <w:rPr>
          <w:rFonts w:cs="Arial" w:hint="cs"/>
          <w:b/>
          <w:bCs/>
          <w:rtl/>
        </w:rPr>
        <w:t>סט ע"</w:t>
      </w:r>
      <w:r>
        <w:rPr>
          <w:rFonts w:cs="Arial" w:hint="cs"/>
          <w:b/>
          <w:bCs/>
          <w:rtl/>
        </w:rPr>
        <w:t>ב</w:t>
      </w:r>
      <w:r w:rsidRPr="008A103C">
        <w:rPr>
          <w:rFonts w:cs="Arial" w:hint="cs"/>
          <w:b/>
          <w:bCs/>
          <w:rtl/>
        </w:rPr>
        <w:t>:</w:t>
      </w:r>
      <w:r>
        <w:rPr>
          <w:rFonts w:cs="Arial" w:hint="cs"/>
          <w:rtl/>
        </w:rPr>
        <w:t xml:space="preserve"> </w:t>
      </w:r>
      <w:r w:rsidRPr="00C12A84">
        <w:rPr>
          <w:rFonts w:cs="Arial"/>
          <w:u w:val="single"/>
          <w:rtl/>
        </w:rPr>
        <w:t>אמר רבא</w:t>
      </w:r>
      <w:r>
        <w:rPr>
          <w:rFonts w:cs="Arial" w:hint="cs"/>
          <w:rtl/>
        </w:rPr>
        <w:t>:</w:t>
      </w:r>
      <w:r w:rsidRPr="00930F11">
        <w:rPr>
          <w:rFonts w:cs="Arial"/>
          <w:rtl/>
        </w:rPr>
        <w:t xml:space="preserve"> הלכתא: ממקרקעי ולא ממטלטלי, בין למזוני, בין לכתובה, בין לפרנסה. </w:t>
      </w:r>
      <w:r w:rsidRPr="00394F99">
        <w:rPr>
          <w:rFonts w:cs="Arial" w:hint="cs"/>
          <w:sz w:val="16"/>
          <w:szCs w:val="16"/>
          <w:rtl/>
        </w:rPr>
        <w:t>(ו</w:t>
      </w:r>
      <w:r w:rsidRPr="00394F99">
        <w:rPr>
          <w:rFonts w:cs="Arial"/>
          <w:sz w:val="16"/>
          <w:szCs w:val="16"/>
          <w:rtl/>
        </w:rPr>
        <w:t xml:space="preserve">כתב הרי"ף </w:t>
      </w:r>
      <w:r w:rsidRPr="00394F99">
        <w:rPr>
          <w:rFonts w:cs="Arial" w:hint="cs"/>
          <w:sz w:val="16"/>
          <w:szCs w:val="16"/>
          <w:rtl/>
        </w:rPr>
        <w:t>(נה:)</w:t>
      </w:r>
      <w:r w:rsidRPr="00394F99">
        <w:rPr>
          <w:rFonts w:cs="Arial"/>
          <w:sz w:val="16"/>
          <w:szCs w:val="16"/>
          <w:rtl/>
        </w:rPr>
        <w:t xml:space="preserve"> וז"ל</w:t>
      </w:r>
      <w:r w:rsidRPr="00394F99">
        <w:rPr>
          <w:rFonts w:cs="Arial" w:hint="cs"/>
          <w:sz w:val="16"/>
          <w:szCs w:val="16"/>
          <w:rtl/>
        </w:rPr>
        <w:t>:</w:t>
      </w:r>
      <w:r w:rsidRPr="00394F99">
        <w:rPr>
          <w:rFonts w:cs="Arial"/>
          <w:sz w:val="16"/>
          <w:szCs w:val="16"/>
          <w:rtl/>
        </w:rPr>
        <w:t xml:space="preserve"> והאידנא תקינו רבנן כתובה אפילו ממטלטלי</w:t>
      </w:r>
      <w:r w:rsidRPr="00394F99">
        <w:rPr>
          <w:rFonts w:cs="Arial" w:hint="cs"/>
          <w:sz w:val="16"/>
          <w:szCs w:val="16"/>
          <w:rtl/>
        </w:rPr>
        <w:t>,</w:t>
      </w:r>
      <w:r w:rsidRPr="00394F99">
        <w:rPr>
          <w:rFonts w:cs="Arial"/>
          <w:sz w:val="16"/>
          <w:szCs w:val="16"/>
          <w:rtl/>
        </w:rPr>
        <w:t xml:space="preserve"> וכיון דמזוני תנאי כתובה</w:t>
      </w:r>
      <w:r w:rsidRPr="00394F99">
        <w:rPr>
          <w:rFonts w:cs="Arial" w:hint="cs"/>
          <w:sz w:val="16"/>
          <w:szCs w:val="16"/>
          <w:rtl/>
        </w:rPr>
        <w:t>,</w:t>
      </w:r>
      <w:r w:rsidRPr="00394F99">
        <w:rPr>
          <w:rFonts w:cs="Arial"/>
          <w:sz w:val="16"/>
          <w:szCs w:val="16"/>
          <w:rtl/>
        </w:rPr>
        <w:t xml:space="preserve"> ותנאי כתובה ככתובה דמי</w:t>
      </w:r>
      <w:r w:rsidRPr="00394F99">
        <w:rPr>
          <w:rFonts w:cs="Arial" w:hint="cs"/>
          <w:sz w:val="16"/>
          <w:szCs w:val="16"/>
          <w:rtl/>
        </w:rPr>
        <w:t>,</w:t>
      </w:r>
      <w:r w:rsidRPr="00394F99">
        <w:rPr>
          <w:rFonts w:cs="Arial"/>
          <w:sz w:val="16"/>
          <w:szCs w:val="16"/>
          <w:rtl/>
        </w:rPr>
        <w:t xml:space="preserve"> נזונת נמי ממטלטלי בין תפסה בין לא תפסה</w:t>
      </w:r>
      <w:r w:rsidRPr="00394F99">
        <w:rPr>
          <w:rFonts w:cs="Arial" w:hint="cs"/>
          <w:sz w:val="16"/>
          <w:szCs w:val="16"/>
          <w:rtl/>
        </w:rPr>
        <w:t>.</w:t>
      </w:r>
      <w:r w:rsidRPr="00394F99">
        <w:rPr>
          <w:rFonts w:cs="Arial"/>
          <w:sz w:val="16"/>
          <w:szCs w:val="16"/>
          <w:rtl/>
        </w:rPr>
        <w:t xml:space="preserve"> וכן כתב הרא"ש שם (סי' ג)</w:t>
      </w:r>
      <w:r w:rsidRPr="00394F99">
        <w:rPr>
          <w:rFonts w:cs="Arial" w:hint="cs"/>
          <w:sz w:val="16"/>
          <w:szCs w:val="16"/>
          <w:rtl/>
        </w:rPr>
        <w:t>,</w:t>
      </w:r>
      <w:r w:rsidRPr="00394F99">
        <w:rPr>
          <w:rFonts w:cs="Arial"/>
          <w:sz w:val="16"/>
          <w:szCs w:val="16"/>
          <w:rtl/>
        </w:rPr>
        <w:t xml:space="preserve"> וכן כתב הרמב"ם בפי"ח מהל</w:t>
      </w:r>
      <w:r w:rsidRPr="00394F99">
        <w:rPr>
          <w:rFonts w:cs="Arial" w:hint="cs"/>
          <w:sz w:val="16"/>
          <w:szCs w:val="16"/>
          <w:rtl/>
        </w:rPr>
        <w:t>'</w:t>
      </w:r>
      <w:r w:rsidRPr="00394F99">
        <w:rPr>
          <w:rFonts w:cs="Arial"/>
          <w:sz w:val="16"/>
          <w:szCs w:val="16"/>
          <w:rtl/>
        </w:rPr>
        <w:t xml:space="preserve"> אישות (הי"א</w:t>
      </w:r>
      <w:r w:rsidRPr="00394F99">
        <w:rPr>
          <w:rFonts w:cs="Arial" w:hint="cs"/>
          <w:sz w:val="16"/>
          <w:szCs w:val="16"/>
          <w:rtl/>
        </w:rPr>
        <w:t>)</w:t>
      </w:r>
      <w:r>
        <w:rPr>
          <w:rFonts w:cs="Arial" w:hint="cs"/>
          <w:sz w:val="16"/>
          <w:szCs w:val="16"/>
          <w:rtl/>
        </w:rPr>
        <w:t>, ב"י)</w:t>
      </w:r>
      <w:r>
        <w:rPr>
          <w:rFonts w:cs="Arial"/>
          <w:rtl/>
        </w:rPr>
        <w:t xml:space="preserve"> </w:t>
      </w:r>
    </w:p>
    <w:p w14:paraId="58633348" w14:textId="77777777" w:rsidR="001E7C1A" w:rsidRPr="00B24D1F" w:rsidRDefault="001E7C1A" w:rsidP="001E7C1A">
      <w:pPr>
        <w:rPr>
          <w:u w:val="single"/>
        </w:rPr>
      </w:pPr>
      <w:r w:rsidRPr="00B24D1F">
        <w:rPr>
          <w:rFonts w:hint="cs"/>
          <w:u w:val="single"/>
          <w:rtl/>
        </w:rPr>
        <w:t>האם אלמנה יכולה לעכב את היורשים מלמכור נכסים:</w:t>
      </w:r>
    </w:p>
    <w:p w14:paraId="70B3407F" w14:textId="07A7E7CF" w:rsidR="001E7C1A" w:rsidRPr="00F41DB3" w:rsidRDefault="001E7C1A" w:rsidP="009000E3">
      <w:pPr>
        <w:pStyle w:val="ab"/>
        <w:numPr>
          <w:ilvl w:val="0"/>
          <w:numId w:val="61"/>
        </w:numPr>
        <w:rPr>
          <w:rFonts w:cs="Arial"/>
        </w:rPr>
      </w:pPr>
      <w:r>
        <w:rPr>
          <w:rFonts w:cs="Arial" w:hint="cs"/>
          <w:rtl/>
        </w:rPr>
        <w:t xml:space="preserve">רמב"ם </w:t>
      </w:r>
      <w:r>
        <w:rPr>
          <w:rFonts w:cs="Arial" w:hint="cs"/>
          <w:sz w:val="16"/>
          <w:szCs w:val="16"/>
          <w:rtl/>
        </w:rPr>
        <w:t>(פי"ח מהל' אישות הי"א-יג, וכ"כ הטור בשמו)</w:t>
      </w:r>
      <w:r>
        <w:rPr>
          <w:rFonts w:cs="Arial" w:hint="cs"/>
          <w:rtl/>
        </w:rPr>
        <w:t xml:space="preserve">- </w:t>
      </w:r>
      <w:r w:rsidRPr="006F451B">
        <w:rPr>
          <w:rFonts w:cs="Arial"/>
          <w:rtl/>
        </w:rPr>
        <w:t>אע</w:t>
      </w:r>
      <w:r>
        <w:rPr>
          <w:rFonts w:cs="Arial" w:hint="cs"/>
          <w:rtl/>
        </w:rPr>
        <w:t>"</w:t>
      </w:r>
      <w:r w:rsidRPr="006F451B">
        <w:rPr>
          <w:rFonts w:cs="Arial"/>
          <w:rtl/>
        </w:rPr>
        <w:t>פ שתקנו הגאונים שתגבה הכתובה ותנאי הכתובה מן המטלטלין</w:t>
      </w:r>
      <w:r w:rsidR="001474C4">
        <w:rPr>
          <w:rFonts w:cs="Arial" w:hint="cs"/>
          <w:rtl/>
        </w:rPr>
        <w:t>,</w:t>
      </w:r>
      <w:r w:rsidRPr="006F451B">
        <w:rPr>
          <w:rFonts w:cs="Arial"/>
          <w:rtl/>
        </w:rPr>
        <w:t xml:space="preserve"> ולפיכך תזון האלמנה מן המטלטלין אע</w:t>
      </w:r>
      <w:r>
        <w:rPr>
          <w:rFonts w:cs="Arial" w:hint="cs"/>
          <w:rtl/>
        </w:rPr>
        <w:t>"</w:t>
      </w:r>
      <w:r w:rsidRPr="006F451B">
        <w:rPr>
          <w:rFonts w:cs="Arial"/>
          <w:rtl/>
        </w:rPr>
        <w:t>פ שלא תפסה</w:t>
      </w:r>
      <w:r>
        <w:rPr>
          <w:rFonts w:cs="Arial" w:hint="cs"/>
          <w:rtl/>
        </w:rPr>
        <w:t xml:space="preserve">, </w:t>
      </w:r>
      <w:r w:rsidRPr="00F41DB3">
        <w:rPr>
          <w:rFonts w:cs="Arial"/>
          <w:rtl/>
        </w:rPr>
        <w:t xml:space="preserve">אם הניח בעלה מטלטלין ולא תפסה אותן </w:t>
      </w:r>
      <w:r>
        <w:rPr>
          <w:rFonts w:cs="Arial" w:hint="cs"/>
          <w:rtl/>
        </w:rPr>
        <w:lastRenderedPageBreak/>
        <w:t xml:space="preserve">- </w:t>
      </w:r>
      <w:r w:rsidRPr="00F41DB3">
        <w:rPr>
          <w:rFonts w:cs="Arial"/>
          <w:rtl/>
        </w:rPr>
        <w:t>היורשים נוטלין אותן והן מעלין לה מזונות</w:t>
      </w:r>
      <w:r>
        <w:rPr>
          <w:rFonts w:cs="Arial" w:hint="cs"/>
          <w:rtl/>
        </w:rPr>
        <w:t>,</w:t>
      </w:r>
      <w:r w:rsidRPr="00F41DB3">
        <w:rPr>
          <w:rFonts w:cs="Arial"/>
          <w:rtl/>
        </w:rPr>
        <w:t xml:space="preserve"> ואינה יכולה לעכב עליהן ולומר יהיו המטלטלין מונחין בבית דין עד שאזון מהן שמא יאבדו ולא יהיו לי מזונות</w:t>
      </w:r>
      <w:r>
        <w:rPr>
          <w:rStyle w:val="a7"/>
          <w:rFonts w:cs="Arial"/>
          <w:rtl/>
        </w:rPr>
        <w:footnoteReference w:id="1626"/>
      </w:r>
      <w:r>
        <w:rPr>
          <w:rFonts w:cs="Arial" w:hint="cs"/>
          <w:rtl/>
        </w:rPr>
        <w:t>.</w:t>
      </w:r>
      <w:r w:rsidRPr="00F41DB3">
        <w:rPr>
          <w:rFonts w:cs="Arial"/>
          <w:rtl/>
        </w:rPr>
        <w:t xml:space="preserve"> ואפילו התנתה עליו בפירוש שתזון מן המטלטלין </w:t>
      </w:r>
      <w:r>
        <w:rPr>
          <w:rFonts w:cs="Arial" w:hint="cs"/>
          <w:rtl/>
        </w:rPr>
        <w:t xml:space="preserve">- </w:t>
      </w:r>
      <w:r w:rsidRPr="00F41DB3">
        <w:rPr>
          <w:rFonts w:cs="Arial"/>
          <w:rtl/>
        </w:rPr>
        <w:t>אינה מעכבת</w:t>
      </w:r>
      <w:r>
        <w:rPr>
          <w:rStyle w:val="a7"/>
          <w:rFonts w:cs="Arial"/>
          <w:rtl/>
        </w:rPr>
        <w:footnoteReference w:id="1627"/>
      </w:r>
      <w:r>
        <w:rPr>
          <w:rFonts w:cs="Arial" w:hint="cs"/>
          <w:rtl/>
        </w:rPr>
        <w:t>.</w:t>
      </w:r>
      <w:r w:rsidRPr="00F41DB3">
        <w:rPr>
          <w:rFonts w:cs="Arial"/>
          <w:rtl/>
        </w:rPr>
        <w:t xml:space="preserve"> וכזה דנין תמיד בכל בתי דינין. אבל אם הניח קרקע </w:t>
      </w:r>
      <w:r>
        <w:rPr>
          <w:rFonts w:cs="Arial" w:hint="cs"/>
          <w:rtl/>
        </w:rPr>
        <w:t xml:space="preserve">- </w:t>
      </w:r>
      <w:r w:rsidRPr="00F41DB3">
        <w:rPr>
          <w:rFonts w:cs="Arial"/>
          <w:rtl/>
        </w:rPr>
        <w:t>יכולה היא לעכב עליהן שלא ימכרו</w:t>
      </w:r>
      <w:r>
        <w:rPr>
          <w:rStyle w:val="a7"/>
          <w:rFonts w:cs="Arial"/>
          <w:rtl/>
        </w:rPr>
        <w:footnoteReference w:id="1628"/>
      </w:r>
      <w:r>
        <w:rPr>
          <w:rFonts w:cs="Arial" w:hint="cs"/>
          <w:rtl/>
        </w:rPr>
        <w:t>.</w:t>
      </w:r>
      <w:r w:rsidRPr="00F41DB3">
        <w:rPr>
          <w:rFonts w:cs="Arial"/>
          <w:rtl/>
        </w:rPr>
        <w:t xml:space="preserve"> ואם מכרו </w:t>
      </w:r>
      <w:r>
        <w:rPr>
          <w:rFonts w:cs="Arial" w:hint="cs"/>
          <w:rtl/>
        </w:rPr>
        <w:t xml:space="preserve">- </w:t>
      </w:r>
      <w:r w:rsidRPr="00F41DB3">
        <w:rPr>
          <w:rFonts w:cs="Arial"/>
          <w:rtl/>
        </w:rPr>
        <w:t>אינה מוציאה מיד הלקוחות</w:t>
      </w:r>
      <w:r>
        <w:rPr>
          <w:rStyle w:val="a7"/>
          <w:rFonts w:cs="Arial"/>
          <w:rtl/>
        </w:rPr>
        <w:footnoteReference w:id="1629"/>
      </w:r>
      <w:r>
        <w:rPr>
          <w:rFonts w:cs="Arial" w:hint="cs"/>
          <w:rtl/>
        </w:rPr>
        <w:t>,</w:t>
      </w:r>
      <w:r w:rsidRPr="00F41DB3">
        <w:rPr>
          <w:rFonts w:cs="Arial"/>
          <w:rtl/>
        </w:rPr>
        <w:t xml:space="preserve"> שאין האשה והבנות ניזונות אלא מנכסים בני חורין. </w:t>
      </w:r>
      <w:r w:rsidR="00B25D45" w:rsidRPr="00B940D2">
        <w:rPr>
          <w:rFonts w:hint="cs"/>
          <w:color w:val="E36C0A" w:themeColor="accent6" w:themeShade="BF"/>
          <w:rtl/>
        </w:rPr>
        <w:t>(וכ"פ בשו"ע)</w:t>
      </w:r>
    </w:p>
    <w:p w14:paraId="27BE4532" w14:textId="77777777" w:rsidR="001E7C1A" w:rsidRPr="00E4626A" w:rsidRDefault="001E7C1A" w:rsidP="001E7C1A">
      <w:pPr>
        <w:ind w:left="360"/>
        <w:rPr>
          <w:u w:val="dotted"/>
        </w:rPr>
      </w:pPr>
      <w:r w:rsidRPr="00E4626A">
        <w:rPr>
          <w:rFonts w:hint="cs"/>
          <w:u w:val="dotted"/>
          <w:rtl/>
        </w:rPr>
        <w:t>כשמכרו</w:t>
      </w:r>
      <w:r>
        <w:rPr>
          <w:rFonts w:hint="cs"/>
          <w:u w:val="dotted"/>
          <w:rtl/>
        </w:rPr>
        <w:t xml:space="preserve"> היורשים</w:t>
      </w:r>
      <w:r w:rsidRPr="00E4626A">
        <w:rPr>
          <w:rFonts w:hint="cs"/>
          <w:u w:val="dotted"/>
          <w:rtl/>
        </w:rPr>
        <w:t xml:space="preserve"> </w:t>
      </w:r>
      <w:r>
        <w:rPr>
          <w:rFonts w:hint="cs"/>
          <w:u w:val="dotted"/>
          <w:rtl/>
        </w:rPr>
        <w:t xml:space="preserve">קרקע </w:t>
      </w:r>
      <w:r w:rsidRPr="00E4626A">
        <w:rPr>
          <w:rFonts w:hint="cs"/>
          <w:u w:val="dotted"/>
          <w:rtl/>
        </w:rPr>
        <w:t>והדמים בידם - האם האלמנה ניזונת מדמים אלו:</w:t>
      </w:r>
    </w:p>
    <w:p w14:paraId="497148C9" w14:textId="6D774E91" w:rsidR="001E7C1A" w:rsidRDefault="001E7C1A" w:rsidP="009000E3">
      <w:pPr>
        <w:pStyle w:val="ab"/>
        <w:numPr>
          <w:ilvl w:val="0"/>
          <w:numId w:val="61"/>
        </w:numPr>
      </w:pPr>
      <w:r>
        <w:rPr>
          <w:rFonts w:cs="Arial" w:hint="cs"/>
          <w:rtl/>
        </w:rPr>
        <w:t xml:space="preserve">טור- </w:t>
      </w:r>
      <w:r w:rsidRPr="000A1431">
        <w:rPr>
          <w:rFonts w:cs="Arial"/>
          <w:rtl/>
        </w:rPr>
        <w:t>לענין דמי הקרקע שמכרו שביד</w:t>
      </w:r>
      <w:r>
        <w:rPr>
          <w:rFonts w:cs="Arial" w:hint="cs"/>
          <w:rtl/>
        </w:rPr>
        <w:t>ם,</w:t>
      </w:r>
      <w:r w:rsidRPr="000A1431">
        <w:rPr>
          <w:rFonts w:cs="Arial"/>
          <w:rtl/>
        </w:rPr>
        <w:t xml:space="preserve"> לרב האי שכתב קדמו הבנים ומכרו בנכסים מועטים שהבנות ניזונות מדמים שבידם </w:t>
      </w:r>
      <w:r>
        <w:rPr>
          <w:rFonts w:cs="Arial" w:hint="cs"/>
          <w:rtl/>
        </w:rPr>
        <w:t xml:space="preserve">- </w:t>
      </w:r>
      <w:r w:rsidRPr="000A1431">
        <w:rPr>
          <w:rFonts w:cs="Arial"/>
          <w:rtl/>
        </w:rPr>
        <w:t>הכא נמי ניזונת מהדמים</w:t>
      </w:r>
      <w:r w:rsidR="009E24BB">
        <w:rPr>
          <w:rFonts w:hint="cs"/>
          <w:color w:val="E36C0A" w:themeColor="accent6" w:themeShade="BF"/>
          <w:sz w:val="16"/>
          <w:szCs w:val="16"/>
          <w:rtl/>
        </w:rPr>
        <w:t xml:space="preserve"> </w:t>
      </w:r>
      <w:r w:rsidR="009E24BB" w:rsidRPr="009E24BB">
        <w:rPr>
          <w:rFonts w:hint="cs"/>
          <w:color w:val="E36C0A" w:themeColor="accent6" w:themeShade="BF"/>
          <w:sz w:val="16"/>
          <w:szCs w:val="16"/>
          <w:rtl/>
        </w:rPr>
        <w:t>(וכ"</w:t>
      </w:r>
      <w:r w:rsidR="009E24BB">
        <w:rPr>
          <w:rFonts w:hint="cs"/>
          <w:color w:val="E36C0A" w:themeColor="accent6" w:themeShade="BF"/>
          <w:sz w:val="16"/>
          <w:szCs w:val="16"/>
          <w:rtl/>
        </w:rPr>
        <w:t>ס</w:t>
      </w:r>
      <w:r w:rsidR="009E24BB" w:rsidRPr="009E24BB">
        <w:rPr>
          <w:rFonts w:hint="cs"/>
          <w:color w:val="E36C0A" w:themeColor="accent6" w:themeShade="BF"/>
          <w:sz w:val="16"/>
          <w:szCs w:val="16"/>
          <w:rtl/>
        </w:rPr>
        <w:t xml:space="preserve"> בשו"ע)</w:t>
      </w:r>
      <w:r>
        <w:rPr>
          <w:rFonts w:cs="Arial" w:hint="cs"/>
          <w:rtl/>
        </w:rPr>
        <w:t>.</w:t>
      </w:r>
      <w:r w:rsidRPr="000A1431">
        <w:rPr>
          <w:rFonts w:cs="Arial"/>
          <w:rtl/>
        </w:rPr>
        <w:t xml:space="preserve"> </w:t>
      </w:r>
      <w:r w:rsidRPr="00B05C9C">
        <w:rPr>
          <w:rFonts w:cs="Arial"/>
          <w:rtl/>
        </w:rPr>
        <w:t>ולדעת אדוני אבי הרא"ש ז"ל</w:t>
      </w:r>
      <w:r>
        <w:rPr>
          <w:rStyle w:val="a7"/>
          <w:rFonts w:cs="Arial"/>
          <w:rtl/>
        </w:rPr>
        <w:footnoteReference w:id="1630"/>
      </w:r>
      <w:r w:rsidRPr="00B05C9C">
        <w:rPr>
          <w:rFonts w:cs="Arial"/>
          <w:rtl/>
        </w:rPr>
        <w:t xml:space="preserve"> </w:t>
      </w:r>
      <w:r>
        <w:rPr>
          <w:rFonts w:cs="Arial" w:hint="cs"/>
          <w:rtl/>
        </w:rPr>
        <w:t xml:space="preserve">- </w:t>
      </w:r>
      <w:r w:rsidRPr="00B05C9C">
        <w:rPr>
          <w:rFonts w:cs="Arial"/>
          <w:rtl/>
        </w:rPr>
        <w:t>אינה ניזונת מהם</w:t>
      </w:r>
      <w:r>
        <w:rPr>
          <w:rStyle w:val="a7"/>
          <w:rFonts w:cs="Arial"/>
          <w:rtl/>
        </w:rPr>
        <w:footnoteReference w:id="1631"/>
      </w:r>
      <w:r w:rsidRPr="00B05C9C">
        <w:rPr>
          <w:rFonts w:cs="Arial" w:hint="cs"/>
          <w:rtl/>
        </w:rPr>
        <w:t>.</w:t>
      </w:r>
      <w:r w:rsidRPr="00B05C9C">
        <w:rPr>
          <w:rFonts w:cs="Arial"/>
          <w:rtl/>
        </w:rPr>
        <w:t xml:space="preserve"> </w:t>
      </w:r>
    </w:p>
    <w:p w14:paraId="213D17A7" w14:textId="2641B3DA" w:rsidR="007D63D0" w:rsidRDefault="007D63D0" w:rsidP="00392DBB">
      <w:pPr>
        <w:rPr>
          <w:rFonts w:cs="Arial"/>
          <w:rtl/>
        </w:rPr>
      </w:pPr>
      <w:r w:rsidRPr="007D63D0">
        <w:rPr>
          <w:rFonts w:cs="Arial" w:hint="cs"/>
          <w:u w:val="single"/>
          <w:rtl/>
        </w:rPr>
        <w:t>אפוטרופוס שמכר קרקעות היתומים</w:t>
      </w:r>
      <w:r w:rsidR="00F22876">
        <w:rPr>
          <w:rFonts w:cs="Arial" w:hint="cs"/>
          <w:u w:val="single"/>
          <w:rtl/>
        </w:rPr>
        <w:t>, וכן בעל שקיבל קנין על מזונות אשתו</w:t>
      </w:r>
      <w:r w:rsidRPr="007D63D0">
        <w:rPr>
          <w:rFonts w:cs="Arial" w:hint="cs"/>
          <w:u w:val="single"/>
          <w:rtl/>
        </w:rPr>
        <w:t>:</w:t>
      </w:r>
    </w:p>
    <w:p w14:paraId="764DE3E3" w14:textId="793872F5" w:rsidR="00CA0F7E" w:rsidRDefault="00392DBB" w:rsidP="009000E3">
      <w:pPr>
        <w:pStyle w:val="ab"/>
        <w:numPr>
          <w:ilvl w:val="0"/>
          <w:numId w:val="61"/>
        </w:numPr>
        <w:rPr>
          <w:rFonts w:cs="Arial"/>
        </w:rPr>
      </w:pPr>
      <w:r w:rsidRPr="007D63D0">
        <w:rPr>
          <w:rFonts w:cs="Arial"/>
          <w:rtl/>
        </w:rPr>
        <w:t xml:space="preserve">רשב"א </w:t>
      </w:r>
      <w:r w:rsidR="004B635C" w:rsidRPr="007D63D0">
        <w:rPr>
          <w:rFonts w:cs="Arial" w:hint="cs"/>
          <w:sz w:val="16"/>
          <w:szCs w:val="16"/>
          <w:rtl/>
        </w:rPr>
        <w:t>(החדשות סי' שעא)</w:t>
      </w:r>
      <w:r w:rsidR="004B635C" w:rsidRPr="007D63D0">
        <w:rPr>
          <w:rFonts w:cs="Arial" w:hint="cs"/>
          <w:rtl/>
        </w:rPr>
        <w:t xml:space="preserve">- </w:t>
      </w:r>
      <w:r w:rsidRPr="007D63D0">
        <w:rPr>
          <w:rFonts w:cs="Arial"/>
          <w:rtl/>
        </w:rPr>
        <w:t>שאלת</w:t>
      </w:r>
      <w:r w:rsidR="000C7D67" w:rsidRPr="007D63D0">
        <w:rPr>
          <w:rFonts w:cs="Arial" w:hint="cs"/>
          <w:rtl/>
        </w:rPr>
        <w:t>:</w:t>
      </w:r>
      <w:r w:rsidRPr="007D63D0">
        <w:rPr>
          <w:rFonts w:cs="Arial"/>
          <w:rtl/>
        </w:rPr>
        <w:t xml:space="preserve"> אפטרופין שמינו אותם ב"ד ונתנו להם רשות למכור</w:t>
      </w:r>
      <w:r w:rsidR="004B635C" w:rsidRPr="007D63D0">
        <w:rPr>
          <w:rFonts w:cs="Arial" w:hint="cs"/>
          <w:rtl/>
        </w:rPr>
        <w:t>,</w:t>
      </w:r>
      <w:r w:rsidRPr="007D63D0">
        <w:rPr>
          <w:rFonts w:cs="Arial"/>
          <w:rtl/>
        </w:rPr>
        <w:t xml:space="preserve"> ומכרו הקרקעות</w:t>
      </w:r>
      <w:r w:rsidR="004B635C" w:rsidRPr="007D63D0">
        <w:rPr>
          <w:rFonts w:cs="Arial" w:hint="cs"/>
          <w:rtl/>
        </w:rPr>
        <w:t>.</w:t>
      </w:r>
      <w:r w:rsidRPr="007D63D0">
        <w:rPr>
          <w:rFonts w:cs="Arial"/>
          <w:rtl/>
        </w:rPr>
        <w:t xml:space="preserve"> ובאה האלמנה לגבות מזונותיה מאותן נכסים</w:t>
      </w:r>
      <w:r w:rsidR="004B635C" w:rsidRPr="007D63D0">
        <w:rPr>
          <w:rFonts w:cs="Arial" w:hint="cs"/>
          <w:rtl/>
        </w:rPr>
        <w:t>.</w:t>
      </w:r>
      <w:r w:rsidRPr="007D63D0">
        <w:rPr>
          <w:rFonts w:cs="Arial"/>
          <w:rtl/>
        </w:rPr>
        <w:t xml:space="preserve"> מי אמרינן נכסים משועבדים ואינה נזונת מהם</w:t>
      </w:r>
      <w:r w:rsidR="004B635C" w:rsidRPr="007D63D0">
        <w:rPr>
          <w:rFonts w:cs="Arial" w:hint="cs"/>
          <w:rtl/>
        </w:rPr>
        <w:t>,</w:t>
      </w:r>
      <w:r w:rsidRPr="007D63D0">
        <w:rPr>
          <w:rFonts w:cs="Arial"/>
          <w:rtl/>
        </w:rPr>
        <w:t xml:space="preserve"> או לא. </w:t>
      </w:r>
      <w:r w:rsidR="000C7D67" w:rsidRPr="007D63D0">
        <w:rPr>
          <w:rFonts w:cs="Arial" w:hint="cs"/>
          <w:rtl/>
        </w:rPr>
        <w:t xml:space="preserve">    </w:t>
      </w:r>
      <w:r w:rsidRPr="007D63D0">
        <w:rPr>
          <w:rFonts w:cs="Arial"/>
          <w:rtl/>
        </w:rPr>
        <w:t>תשובה</w:t>
      </w:r>
      <w:r w:rsidR="000C7D67" w:rsidRPr="007D63D0">
        <w:rPr>
          <w:rFonts w:cs="Arial" w:hint="cs"/>
          <w:rtl/>
        </w:rPr>
        <w:t>:</w:t>
      </w:r>
      <w:r w:rsidRPr="007D63D0">
        <w:rPr>
          <w:rFonts w:cs="Arial"/>
          <w:rtl/>
        </w:rPr>
        <w:t xml:space="preserve"> כל שמכרו היתומים או ב"ד או האפטרופין שיש בידם כח למכור </w:t>
      </w:r>
      <w:r w:rsidR="000C7D67" w:rsidRPr="007D63D0">
        <w:rPr>
          <w:rFonts w:cs="Arial" w:hint="cs"/>
          <w:rtl/>
        </w:rPr>
        <w:t xml:space="preserve">- </w:t>
      </w:r>
      <w:r w:rsidRPr="007D63D0">
        <w:rPr>
          <w:rFonts w:cs="Arial"/>
          <w:rtl/>
        </w:rPr>
        <w:t>משועבדים הם</w:t>
      </w:r>
      <w:r w:rsidR="000C7D67" w:rsidRPr="007D63D0">
        <w:rPr>
          <w:rFonts w:cs="Arial" w:hint="cs"/>
          <w:rtl/>
        </w:rPr>
        <w:t>.</w:t>
      </w:r>
      <w:r w:rsidRPr="007D63D0">
        <w:rPr>
          <w:rFonts w:cs="Arial"/>
          <w:rtl/>
        </w:rPr>
        <w:t xml:space="preserve"> ואלא מיהו כדי להתלמד אני אומר לך שאם קנו לאשה מיד הבעל למזונות</w:t>
      </w:r>
      <w:r w:rsidR="00057710" w:rsidRPr="007D63D0">
        <w:rPr>
          <w:rFonts w:cs="Arial" w:hint="cs"/>
          <w:rtl/>
        </w:rPr>
        <w:t>,</w:t>
      </w:r>
      <w:r w:rsidRPr="007D63D0">
        <w:rPr>
          <w:rFonts w:cs="Arial"/>
          <w:rtl/>
        </w:rPr>
        <w:t xml:space="preserve"> הרי היא נזונת אפילו מהמשועבדים</w:t>
      </w:r>
      <w:r w:rsidR="007022B5" w:rsidRPr="007D63D0">
        <w:rPr>
          <w:rFonts w:cs="Arial" w:hint="cs"/>
          <w:rtl/>
        </w:rPr>
        <w:t>,</w:t>
      </w:r>
      <w:r w:rsidRPr="007D63D0">
        <w:rPr>
          <w:rFonts w:cs="Arial"/>
          <w:rtl/>
        </w:rPr>
        <w:t xml:space="preserve"> כדאוקימנא בפרק הניזקין (גיטין נא.) מתניתין דמקבל עליו לזון את בת אשתו שנזונת מהמשועבדים כשקנו מידו</w:t>
      </w:r>
      <w:r w:rsidR="009E5B5A" w:rsidRPr="007D63D0">
        <w:rPr>
          <w:rFonts w:cs="Arial" w:hint="cs"/>
          <w:rtl/>
        </w:rPr>
        <w:t>.</w:t>
      </w:r>
      <w:r w:rsidRPr="007D63D0">
        <w:rPr>
          <w:rFonts w:cs="Arial"/>
          <w:rtl/>
        </w:rPr>
        <w:t xml:space="preserve"> ולפי שהורגלו עכשיו לקנות מידו למזונות האשה כתבתי כן</w:t>
      </w:r>
      <w:r w:rsidR="009E5B5A" w:rsidRPr="007D63D0">
        <w:rPr>
          <w:rFonts w:cs="Arial" w:hint="cs"/>
          <w:rtl/>
        </w:rPr>
        <w:t>.</w:t>
      </w:r>
      <w:r w:rsidRPr="007D63D0">
        <w:rPr>
          <w:rFonts w:cs="Arial"/>
          <w:rtl/>
        </w:rPr>
        <w:t xml:space="preserve"> ומכל מקום איפשר שאין בכלל קנינו סתם אלא למזונות שבחייו אבל לא למזונות שיש לה מחמת תנאי כתובה דהיינו את תהא יתבא בביתי ומיתזנא מנכסי כל יומי מיגד אלמנותיך</w:t>
      </w:r>
      <w:r w:rsidR="00CA0F7E" w:rsidRPr="007D63D0">
        <w:rPr>
          <w:rFonts w:cs="Arial" w:hint="cs"/>
          <w:rtl/>
        </w:rPr>
        <w:t>,</w:t>
      </w:r>
      <w:r w:rsidRPr="007D63D0">
        <w:rPr>
          <w:rFonts w:cs="Arial"/>
          <w:rtl/>
        </w:rPr>
        <w:t xml:space="preserve"> שתנאי כתובה לא נכתבו בכתובה</w:t>
      </w:r>
      <w:r w:rsidR="00CA0F7E" w:rsidRPr="007D63D0">
        <w:rPr>
          <w:rFonts w:cs="Arial" w:hint="cs"/>
          <w:rtl/>
        </w:rPr>
        <w:t>,</w:t>
      </w:r>
      <w:r w:rsidRPr="007D63D0">
        <w:rPr>
          <w:rFonts w:cs="Arial"/>
          <w:rtl/>
        </w:rPr>
        <w:t xml:space="preserve"> ועד שיקנו ממנו לזון מנכסיו אחריו כל ימי אלמנותה אינה נזונת מהמשועבדין.</w:t>
      </w:r>
      <w:r w:rsidR="00F22876" w:rsidRPr="00F22876">
        <w:rPr>
          <w:rFonts w:cs="Arial"/>
          <w:color w:val="00B0F0"/>
          <w:rtl/>
        </w:rPr>
        <w:t xml:space="preserve"> </w:t>
      </w:r>
      <w:r w:rsidR="00F22876" w:rsidRPr="00F22876">
        <w:rPr>
          <w:rFonts w:cs="Arial" w:hint="cs"/>
          <w:color w:val="00B0F0"/>
          <w:rtl/>
        </w:rPr>
        <w:t>(וכ"פ הרמ"א)</w:t>
      </w:r>
      <w:r w:rsidR="00F22876">
        <w:rPr>
          <w:rFonts w:cs="Arial" w:hint="cs"/>
          <w:rtl/>
        </w:rPr>
        <w:t xml:space="preserve"> </w:t>
      </w:r>
    </w:p>
    <w:p w14:paraId="0E158967" w14:textId="738D3876" w:rsidR="00F22876" w:rsidRPr="00F22876" w:rsidRDefault="00F22876" w:rsidP="00F22876">
      <w:pPr>
        <w:rPr>
          <w:rFonts w:cs="Arial"/>
          <w:b/>
          <w:bCs/>
          <w:rtl/>
        </w:rPr>
      </w:pPr>
      <w:r w:rsidRPr="007D63D0">
        <w:rPr>
          <w:rFonts w:cs="Arial" w:hint="cs"/>
          <w:u w:val="single"/>
          <w:rtl/>
        </w:rPr>
        <w:t xml:space="preserve">אפוטרופוס שמכר קרקעות </w:t>
      </w:r>
      <w:r>
        <w:rPr>
          <w:rFonts w:cs="Arial" w:hint="cs"/>
          <w:u w:val="single"/>
          <w:rtl/>
        </w:rPr>
        <w:t xml:space="preserve">לתועלת </w:t>
      </w:r>
      <w:r w:rsidRPr="007D63D0">
        <w:rPr>
          <w:rFonts w:cs="Arial" w:hint="cs"/>
          <w:u w:val="single"/>
          <w:rtl/>
        </w:rPr>
        <w:t>היתומים</w:t>
      </w:r>
      <w:r>
        <w:rPr>
          <w:rFonts w:cs="Arial" w:hint="cs"/>
          <w:u w:val="single"/>
          <w:rtl/>
        </w:rPr>
        <w:t xml:space="preserve"> והאלמנה טוענת שמכר כדי להבריח ממנה בני חורין:</w:t>
      </w:r>
    </w:p>
    <w:p w14:paraId="4D0329BC" w14:textId="48DA7CCE" w:rsidR="00392DBB" w:rsidRPr="00D1147A" w:rsidRDefault="009927B5" w:rsidP="009000E3">
      <w:pPr>
        <w:pStyle w:val="ab"/>
        <w:numPr>
          <w:ilvl w:val="0"/>
          <w:numId w:val="61"/>
        </w:numPr>
        <w:rPr>
          <w:rtl/>
        </w:rPr>
      </w:pPr>
      <w:r w:rsidRPr="007D63D0">
        <w:rPr>
          <w:rFonts w:cs="Arial" w:hint="cs"/>
          <w:rtl/>
        </w:rPr>
        <w:t>רשב"א</w:t>
      </w:r>
      <w:r w:rsidR="00392DBB" w:rsidRPr="007D63D0">
        <w:rPr>
          <w:rFonts w:cs="Arial"/>
          <w:rtl/>
        </w:rPr>
        <w:t xml:space="preserve"> </w:t>
      </w:r>
      <w:r w:rsidR="00392DBB" w:rsidRPr="007D63D0">
        <w:rPr>
          <w:rFonts w:cs="Arial"/>
          <w:sz w:val="16"/>
          <w:szCs w:val="16"/>
          <w:rtl/>
        </w:rPr>
        <w:t>(במיוחסות סי</w:t>
      </w:r>
      <w:r w:rsidRPr="007D63D0">
        <w:rPr>
          <w:rFonts w:cs="Arial" w:hint="cs"/>
          <w:sz w:val="16"/>
          <w:szCs w:val="16"/>
          <w:rtl/>
        </w:rPr>
        <w:t>'</w:t>
      </w:r>
      <w:r w:rsidR="00392DBB" w:rsidRPr="007D63D0">
        <w:rPr>
          <w:rFonts w:cs="Arial"/>
          <w:sz w:val="16"/>
          <w:szCs w:val="16"/>
          <w:rtl/>
        </w:rPr>
        <w:t xml:space="preserve"> לה</w:t>
      </w:r>
      <w:r w:rsidRPr="007D63D0">
        <w:rPr>
          <w:rFonts w:cs="Arial" w:hint="cs"/>
          <w:sz w:val="16"/>
          <w:szCs w:val="16"/>
          <w:rtl/>
        </w:rPr>
        <w:t>)</w:t>
      </w:r>
      <w:r w:rsidRPr="007D63D0">
        <w:rPr>
          <w:rFonts w:cs="Arial" w:hint="cs"/>
          <w:rtl/>
        </w:rPr>
        <w:t>-</w:t>
      </w:r>
      <w:r w:rsidR="00392DBB" w:rsidRPr="007D63D0">
        <w:rPr>
          <w:rFonts w:cs="Arial"/>
          <w:rtl/>
        </w:rPr>
        <w:t xml:space="preserve"> אפטרופוס שמכר קרקע לתועלת היתומים</w:t>
      </w:r>
      <w:r w:rsidR="00B0768B" w:rsidRPr="007D63D0">
        <w:rPr>
          <w:rFonts w:cs="Arial" w:hint="cs"/>
          <w:rtl/>
        </w:rPr>
        <w:t>,</w:t>
      </w:r>
      <w:r w:rsidR="00392DBB" w:rsidRPr="007D63D0">
        <w:rPr>
          <w:rFonts w:cs="Arial"/>
          <w:rtl/>
        </w:rPr>
        <w:t xml:space="preserve"> והאלמנה טוענת על הלוקח שלא לקח אלא להבריח ממנה מזונותיה שלא תמצא בני חרי ליזון מהם</w:t>
      </w:r>
      <w:r w:rsidR="00B0768B" w:rsidRPr="007D63D0">
        <w:rPr>
          <w:rFonts w:cs="Arial" w:hint="cs"/>
          <w:rtl/>
        </w:rPr>
        <w:t>.</w:t>
      </w:r>
      <w:r w:rsidR="00392DBB" w:rsidRPr="007D63D0">
        <w:rPr>
          <w:rFonts w:cs="Arial"/>
          <w:rtl/>
        </w:rPr>
        <w:t xml:space="preserve"> אם לא תמצא מקום לגבות מזונותיה אלא מקרקע זה </w:t>
      </w:r>
      <w:r w:rsidR="00B0768B" w:rsidRPr="007D63D0">
        <w:rPr>
          <w:rFonts w:cs="Arial" w:hint="cs"/>
          <w:rtl/>
        </w:rPr>
        <w:t xml:space="preserve">- </w:t>
      </w:r>
      <w:r w:rsidR="00392DBB" w:rsidRPr="007D63D0">
        <w:rPr>
          <w:rFonts w:cs="Arial"/>
          <w:rtl/>
        </w:rPr>
        <w:t>יש לה רשות להחרים חרם סתם שכל מי שיחזיק מנכסי בעלה שיש לה בהם שעבוד מזונותיה שיודה בפני בית דין</w:t>
      </w:r>
      <w:r w:rsidRPr="007D63D0">
        <w:rPr>
          <w:rFonts w:cs="Arial" w:hint="cs"/>
          <w:rtl/>
        </w:rPr>
        <w:t>.</w:t>
      </w:r>
    </w:p>
    <w:p w14:paraId="0D64FC26"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629F207" w14:textId="77806C7A" w:rsidR="00392DBB" w:rsidRDefault="00392DBB" w:rsidP="00392DBB">
      <w:pPr>
        <w:rPr>
          <w:rtl/>
        </w:rPr>
      </w:pPr>
      <w:r>
        <w:rPr>
          <w:rFonts w:cs="Arial"/>
          <w:rtl/>
        </w:rPr>
        <w:t>הניח מטלטלין ולא תפסה אותם, היורשים נוטלין אותם והם מעלין לה מזונות. ואינה יכולה לעכב עליהם ולומר: יהיו המטלטלין מונחים ב</w:t>
      </w:r>
      <w:r w:rsidR="005F3672">
        <w:rPr>
          <w:rFonts w:cs="Arial" w:hint="cs"/>
          <w:rtl/>
        </w:rPr>
        <w:t xml:space="preserve">בית </w:t>
      </w:r>
      <w:r>
        <w:rPr>
          <w:rFonts w:cs="Arial"/>
          <w:rtl/>
        </w:rPr>
        <w:t>ד</w:t>
      </w:r>
      <w:r w:rsidR="005F3672">
        <w:rPr>
          <w:rFonts w:cs="Arial" w:hint="cs"/>
          <w:rtl/>
        </w:rPr>
        <w:t>ין</w:t>
      </w:r>
      <w:r>
        <w:rPr>
          <w:rFonts w:cs="Arial"/>
          <w:rtl/>
        </w:rPr>
        <w:t xml:space="preserve"> שאזון מהם שמא יאבדו ולא יהיו לי מזונות. ואפילו התנה עליו בפירוש שתזון מהמטלטלין, אינה מעכבת. אבל אם הניח קרקע, יכולה היא לעכב עליהם שלא ימכרו, ואם מכרו אינה מוציאה מיד הלקוחות, והיא ניזונית מדמי הקרקע שבידם. ויש מי שחולק ואומר שאינה ניזונית מאותם הדמים. </w:t>
      </w:r>
      <w:r w:rsidRPr="00183399">
        <w:rPr>
          <w:rFonts w:cs="Arial"/>
          <w:sz w:val="18"/>
          <w:szCs w:val="18"/>
          <w:rtl/>
        </w:rPr>
        <w:t>הגה: הקנה לה בקנין על המזונות, מוציאה למזונות ממשועבדים. ודוקא שפירש בהדיא מזונות שלאחר מיתה, אבל בלאו הכי, אע</w:t>
      </w:r>
      <w:r w:rsidR="00AD7353">
        <w:rPr>
          <w:rFonts w:cs="Arial" w:hint="cs"/>
          <w:sz w:val="18"/>
          <w:szCs w:val="18"/>
          <w:rtl/>
        </w:rPr>
        <w:t>"</w:t>
      </w:r>
      <w:r w:rsidRPr="00183399">
        <w:rPr>
          <w:rFonts w:cs="Arial"/>
          <w:sz w:val="18"/>
          <w:szCs w:val="18"/>
          <w:rtl/>
        </w:rPr>
        <w:t>ג שכתב לה בכתובתה מזונות, וקנו מידו, לא נתכוין על מזונות רק מחייה (רשב"א).</w:t>
      </w:r>
      <w:r>
        <w:rPr>
          <w:rFonts w:cs="Arial"/>
          <w:rtl/>
        </w:rPr>
        <w:t xml:space="preserve"> </w:t>
      </w:r>
    </w:p>
    <w:p w14:paraId="088D0A92" w14:textId="77777777" w:rsidR="00183399" w:rsidRDefault="00183399" w:rsidP="00392DBB">
      <w:pPr>
        <w:rPr>
          <w:rtl/>
        </w:rPr>
      </w:pPr>
    </w:p>
    <w:p w14:paraId="4236E789" w14:textId="302F37F5" w:rsidR="00392DBB" w:rsidRDefault="00392DBB" w:rsidP="000F64D0">
      <w:pPr>
        <w:pStyle w:val="2"/>
        <w:rPr>
          <w:rtl/>
        </w:rPr>
      </w:pPr>
      <w:r>
        <w:rPr>
          <w:rtl/>
        </w:rPr>
        <w:lastRenderedPageBreak/>
        <w:t>סעיף כב</w:t>
      </w:r>
      <w:r w:rsidR="00183399">
        <w:rPr>
          <w:rFonts w:hint="cs"/>
          <w:rtl/>
        </w:rPr>
        <w:t xml:space="preserve">: קדימה </w:t>
      </w:r>
      <w:r w:rsidR="00DC5527">
        <w:rPr>
          <w:rFonts w:hint="cs"/>
          <w:rtl/>
        </w:rPr>
        <w:t>במזונות בין נשיו.</w:t>
      </w:r>
    </w:p>
    <w:p w14:paraId="57F1A849" w14:textId="77777777" w:rsidR="001E7C1A" w:rsidRDefault="001E7C1A" w:rsidP="001E7C1A">
      <w:r w:rsidRPr="00A40193">
        <w:rPr>
          <w:rFonts w:cs="Arial" w:hint="cs"/>
          <w:b/>
          <w:bCs/>
          <w:rtl/>
        </w:rPr>
        <w:t>ירושלמי כתובות פ"י ה"א</w:t>
      </w:r>
      <w:r>
        <w:rPr>
          <w:rStyle w:val="a7"/>
          <w:rFonts w:cs="Arial"/>
          <w:b/>
          <w:bCs/>
          <w:rtl/>
        </w:rPr>
        <w:footnoteReference w:id="1632"/>
      </w:r>
      <w:r w:rsidRPr="00A40193">
        <w:rPr>
          <w:rFonts w:cs="Arial" w:hint="cs"/>
          <w:b/>
          <w:bCs/>
          <w:rtl/>
        </w:rPr>
        <w:t>:</w:t>
      </w:r>
      <w:r>
        <w:rPr>
          <w:rFonts w:cs="Arial" w:hint="cs"/>
          <w:rtl/>
        </w:rPr>
        <w:t xml:space="preserve"> </w:t>
      </w:r>
      <w:r w:rsidRPr="00A40193">
        <w:rPr>
          <w:rFonts w:cs="Arial"/>
          <w:u w:val="double"/>
          <w:rtl/>
        </w:rPr>
        <w:t>מתני'</w:t>
      </w:r>
      <w:r>
        <w:rPr>
          <w:rFonts w:cs="Arial" w:hint="cs"/>
          <w:rtl/>
        </w:rPr>
        <w:t>:</w:t>
      </w:r>
      <w:r w:rsidRPr="00A40193">
        <w:rPr>
          <w:rFonts w:cs="Arial"/>
          <w:rtl/>
        </w:rPr>
        <w:t xml:space="preserve"> מי שהיה נשוי לשתי נשים ומת</w:t>
      </w:r>
      <w:r>
        <w:rPr>
          <w:rFonts w:cs="Arial" w:hint="cs"/>
          <w:rtl/>
        </w:rPr>
        <w:t>,</w:t>
      </w:r>
      <w:r w:rsidRPr="00A40193">
        <w:rPr>
          <w:rFonts w:cs="Arial"/>
          <w:rtl/>
        </w:rPr>
        <w:t xml:space="preserve"> הראשונה קודמת לשנייה</w:t>
      </w:r>
      <w:r>
        <w:rPr>
          <w:rFonts w:cs="Arial" w:hint="cs"/>
          <w:rtl/>
        </w:rPr>
        <w:t>,</w:t>
      </w:r>
      <w:r w:rsidRPr="00A40193">
        <w:rPr>
          <w:rFonts w:cs="Arial"/>
          <w:rtl/>
        </w:rPr>
        <w:t xml:space="preserve"> יורשי הראשונה קודמין ליורשי השנייה</w:t>
      </w:r>
      <w:r>
        <w:rPr>
          <w:rFonts w:cs="Arial" w:hint="cs"/>
          <w:rtl/>
        </w:rPr>
        <w:t>,</w:t>
      </w:r>
      <w:r w:rsidRPr="00A40193">
        <w:rPr>
          <w:rFonts w:cs="Arial"/>
          <w:rtl/>
        </w:rPr>
        <w:t xml:space="preserve"> נשא את הראשונה ומתה</w:t>
      </w:r>
      <w:r>
        <w:rPr>
          <w:rFonts w:cs="Arial" w:hint="cs"/>
          <w:rtl/>
        </w:rPr>
        <w:t>,</w:t>
      </w:r>
      <w:r w:rsidRPr="00A40193">
        <w:rPr>
          <w:rFonts w:cs="Arial"/>
          <w:rtl/>
        </w:rPr>
        <w:t xml:space="preserve"> נשא שנייה ומת הוא</w:t>
      </w:r>
      <w:r>
        <w:rPr>
          <w:rFonts w:cs="Arial" w:hint="cs"/>
          <w:rtl/>
        </w:rPr>
        <w:t>,</w:t>
      </w:r>
      <w:r w:rsidRPr="00A40193">
        <w:rPr>
          <w:rFonts w:cs="Arial"/>
          <w:rtl/>
        </w:rPr>
        <w:t xml:space="preserve"> שנייה ויורשיה קודמין ליורשי הראשונה</w:t>
      </w:r>
      <w:r>
        <w:rPr>
          <w:rFonts w:cs="Arial" w:hint="cs"/>
          <w:rtl/>
        </w:rPr>
        <w:t xml:space="preserve">.    </w:t>
      </w:r>
      <w:r w:rsidRPr="00A40193">
        <w:rPr>
          <w:rFonts w:cs="Arial"/>
          <w:rtl/>
        </w:rPr>
        <w:t xml:space="preserve"> </w:t>
      </w:r>
      <w:r w:rsidRPr="00A40193">
        <w:rPr>
          <w:rFonts w:cs="Arial"/>
          <w:u w:val="double"/>
          <w:rtl/>
        </w:rPr>
        <w:t>גמ'</w:t>
      </w:r>
      <w:r>
        <w:rPr>
          <w:rFonts w:cs="Arial" w:hint="cs"/>
          <w:rtl/>
        </w:rPr>
        <w:t>:</w:t>
      </w:r>
      <w:r w:rsidRPr="00A40193">
        <w:rPr>
          <w:rFonts w:cs="Arial"/>
          <w:rtl/>
        </w:rPr>
        <w:t xml:space="preserve"> מתניתא לענין כתובה אבל לענין מזונות שתיהן שוות</w:t>
      </w:r>
      <w:r>
        <w:rPr>
          <w:rFonts w:cs="Arial" w:hint="cs"/>
          <w:rtl/>
        </w:rPr>
        <w:t>.</w:t>
      </w:r>
      <w:r w:rsidRPr="00A40193">
        <w:rPr>
          <w:rFonts w:cs="Arial"/>
          <w:rtl/>
        </w:rPr>
        <w:t xml:space="preserve">  </w:t>
      </w:r>
    </w:p>
    <w:p w14:paraId="6CD1F007" w14:textId="77777777" w:rsidR="001E7C1A" w:rsidRPr="00836DFD" w:rsidRDefault="001E7C1A" w:rsidP="001E7C1A">
      <w:pPr>
        <w:rPr>
          <w:u w:val="single"/>
        </w:rPr>
      </w:pPr>
      <w:r w:rsidRPr="00836DFD">
        <w:rPr>
          <w:rFonts w:hint="cs"/>
          <w:u w:val="single"/>
          <w:rtl/>
        </w:rPr>
        <w:t>האם יש קדימה במזונות לאשה שנשא ראשונה:</w:t>
      </w:r>
    </w:p>
    <w:p w14:paraId="4CF231E1" w14:textId="4C329896" w:rsidR="001E7C1A" w:rsidRPr="00836DFD" w:rsidRDefault="001E7C1A" w:rsidP="009000E3">
      <w:pPr>
        <w:pStyle w:val="ab"/>
        <w:numPr>
          <w:ilvl w:val="0"/>
          <w:numId w:val="61"/>
        </w:numPr>
      </w:pPr>
      <w:r>
        <w:rPr>
          <w:rFonts w:cs="Arial" w:hint="cs"/>
          <w:rtl/>
        </w:rPr>
        <w:t xml:space="preserve">רמב"ם </w:t>
      </w:r>
      <w:r>
        <w:rPr>
          <w:rFonts w:cs="Arial" w:hint="cs"/>
          <w:sz w:val="16"/>
          <w:szCs w:val="16"/>
          <w:rtl/>
        </w:rPr>
        <w:t>(פי"ח מהל' אישות הי"ד)</w:t>
      </w:r>
      <w:r>
        <w:rPr>
          <w:rFonts w:cs="Arial" w:hint="cs"/>
          <w:rtl/>
        </w:rPr>
        <w:t xml:space="preserve">- </w:t>
      </w:r>
      <w:r w:rsidRPr="00021C93">
        <w:rPr>
          <w:rFonts w:cs="Arial"/>
          <w:rtl/>
        </w:rPr>
        <w:t>הניח נשים רבות אע</w:t>
      </w:r>
      <w:r>
        <w:rPr>
          <w:rFonts w:cs="Arial" w:hint="cs"/>
          <w:rtl/>
        </w:rPr>
        <w:t>"</w:t>
      </w:r>
      <w:r w:rsidRPr="00021C93">
        <w:rPr>
          <w:rFonts w:cs="Arial"/>
          <w:rtl/>
        </w:rPr>
        <w:t xml:space="preserve">פ שנשאן זו אחר זו </w:t>
      </w:r>
      <w:r>
        <w:rPr>
          <w:rFonts w:cs="Arial" w:hint="cs"/>
          <w:rtl/>
        </w:rPr>
        <w:t xml:space="preserve">- </w:t>
      </w:r>
      <w:r w:rsidRPr="00021C93">
        <w:rPr>
          <w:rFonts w:cs="Arial"/>
          <w:rtl/>
        </w:rPr>
        <w:t>ניזונות בשוה</w:t>
      </w:r>
      <w:r>
        <w:rPr>
          <w:rFonts w:cs="Arial" w:hint="cs"/>
          <w:rtl/>
        </w:rPr>
        <w:t>,</w:t>
      </w:r>
      <w:r w:rsidRPr="00021C93">
        <w:rPr>
          <w:rFonts w:cs="Arial"/>
          <w:rtl/>
        </w:rPr>
        <w:t xml:space="preserve"> שאין דין קדימה במטלטלין</w:t>
      </w:r>
      <w:r>
        <w:rPr>
          <w:rStyle w:val="a7"/>
          <w:rFonts w:cs="Arial"/>
          <w:rtl/>
        </w:rPr>
        <w:footnoteReference w:id="1633"/>
      </w:r>
      <w:r w:rsidRPr="00021C93">
        <w:rPr>
          <w:rFonts w:cs="Arial"/>
          <w:rtl/>
        </w:rPr>
        <w:t xml:space="preserve">. </w:t>
      </w:r>
      <w:r w:rsidR="00727A9B" w:rsidRPr="00B940D2">
        <w:rPr>
          <w:rFonts w:hint="cs"/>
          <w:color w:val="E36C0A" w:themeColor="accent6" w:themeShade="BF"/>
          <w:rtl/>
        </w:rPr>
        <w:t>(וכ"פ בשו"ע)</w:t>
      </w:r>
    </w:p>
    <w:p w14:paraId="1E827751" w14:textId="4C555F2B" w:rsidR="00DC5527" w:rsidRPr="00DC5527" w:rsidRDefault="001E7C1A" w:rsidP="009000E3">
      <w:pPr>
        <w:pStyle w:val="ab"/>
        <w:numPr>
          <w:ilvl w:val="0"/>
          <w:numId w:val="61"/>
        </w:numPr>
        <w:rPr>
          <w:rtl/>
        </w:rPr>
      </w:pPr>
      <w:r w:rsidRPr="00021C93">
        <w:rPr>
          <w:rFonts w:cs="Arial"/>
          <w:rtl/>
        </w:rPr>
        <w:t>ראב"ד</w:t>
      </w:r>
      <w:r>
        <w:rPr>
          <w:rFonts w:cs="Arial" w:hint="cs"/>
          <w:sz w:val="16"/>
          <w:szCs w:val="16"/>
          <w:rtl/>
        </w:rPr>
        <w:t xml:space="preserve"> (בהשגות שם)</w:t>
      </w:r>
      <w:r>
        <w:rPr>
          <w:rStyle w:val="a7"/>
          <w:rFonts w:cs="Arial"/>
          <w:rtl/>
        </w:rPr>
        <w:footnoteReference w:id="1634"/>
      </w:r>
      <w:r>
        <w:rPr>
          <w:rFonts w:cs="Arial" w:hint="cs"/>
          <w:rtl/>
        </w:rPr>
        <w:t>-</w:t>
      </w:r>
      <w:r w:rsidRPr="00021C93">
        <w:rPr>
          <w:rFonts w:cs="Arial"/>
          <w:rtl/>
        </w:rPr>
        <w:t xml:space="preserve"> אפילו ניזונות מן הקרקע</w:t>
      </w:r>
      <w:r>
        <w:rPr>
          <w:rFonts w:cs="Arial" w:hint="cs"/>
          <w:sz w:val="16"/>
          <w:szCs w:val="16"/>
          <w:rtl/>
        </w:rPr>
        <w:t xml:space="preserve"> {</w:t>
      </w:r>
      <w:r w:rsidRPr="00B7195E">
        <w:rPr>
          <w:rFonts w:cs="Arial"/>
          <w:sz w:val="16"/>
          <w:szCs w:val="16"/>
          <w:rtl/>
        </w:rPr>
        <w:t>אין בהן דין קדימה</w:t>
      </w:r>
      <w:r>
        <w:rPr>
          <w:rFonts w:cs="Arial" w:hint="cs"/>
          <w:sz w:val="16"/>
          <w:szCs w:val="16"/>
          <w:rtl/>
        </w:rPr>
        <w:t>}</w:t>
      </w:r>
      <w:r>
        <w:rPr>
          <w:rStyle w:val="a7"/>
          <w:rFonts w:cs="Arial"/>
          <w:rtl/>
        </w:rPr>
        <w:footnoteReference w:id="1635"/>
      </w:r>
      <w:r>
        <w:rPr>
          <w:rFonts w:cs="Arial" w:hint="cs"/>
          <w:rtl/>
        </w:rPr>
        <w:t>,</w:t>
      </w:r>
      <w:r w:rsidRPr="00021C93">
        <w:rPr>
          <w:rFonts w:cs="Arial"/>
          <w:rtl/>
        </w:rPr>
        <w:t xml:space="preserve"> לפי שאין חיוב המזונות אלא לאחר מותו</w:t>
      </w:r>
      <w:r>
        <w:rPr>
          <w:rFonts w:cs="Arial" w:hint="cs"/>
          <w:rtl/>
        </w:rPr>
        <w:t>,</w:t>
      </w:r>
      <w:r w:rsidRPr="00021C93">
        <w:rPr>
          <w:rFonts w:cs="Arial"/>
          <w:rtl/>
        </w:rPr>
        <w:t xml:space="preserve"> וכבר הגיע שעת החיוב לכולן בבת אחת</w:t>
      </w:r>
      <w:r>
        <w:rPr>
          <w:rFonts w:cs="Arial" w:hint="cs"/>
          <w:rtl/>
        </w:rPr>
        <w:t>,</w:t>
      </w:r>
      <w:r w:rsidRPr="00021C93">
        <w:rPr>
          <w:rFonts w:cs="Arial"/>
          <w:rtl/>
        </w:rPr>
        <w:t xml:space="preserve"> והוה ליה כלוה ולוה וחזר וקנה שכולן שוים בו.</w:t>
      </w:r>
      <w:r w:rsidRPr="004F1FF3">
        <w:rPr>
          <w:rFonts w:cs="Arial"/>
          <w:rtl/>
        </w:rPr>
        <w:t xml:space="preserve"> </w:t>
      </w:r>
    </w:p>
    <w:p w14:paraId="4F5D4950"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8D25409" w14:textId="0E281294" w:rsidR="00392DBB" w:rsidRDefault="00392DBB" w:rsidP="00392DBB">
      <w:pPr>
        <w:rPr>
          <w:rtl/>
        </w:rPr>
      </w:pPr>
      <w:r>
        <w:rPr>
          <w:rFonts w:cs="Arial"/>
          <w:rtl/>
        </w:rPr>
        <w:t xml:space="preserve">הניח נשים רבות, אף על פי שנשאן זו אחר זו, נזונות בשוה, שאין דין קדימה במזונות. </w:t>
      </w:r>
    </w:p>
    <w:p w14:paraId="325D7B6D" w14:textId="77777777" w:rsidR="00DC5527" w:rsidRDefault="00DC5527" w:rsidP="00392DBB">
      <w:pPr>
        <w:rPr>
          <w:rtl/>
        </w:rPr>
      </w:pPr>
    </w:p>
    <w:p w14:paraId="47EEAC2B" w14:textId="5C157140" w:rsidR="00392DBB" w:rsidRDefault="00392DBB" w:rsidP="000F64D0">
      <w:pPr>
        <w:pStyle w:val="2"/>
        <w:rPr>
          <w:rtl/>
        </w:rPr>
      </w:pPr>
      <w:r>
        <w:rPr>
          <w:rtl/>
        </w:rPr>
        <w:t>סעיף כג</w:t>
      </w:r>
      <w:r w:rsidR="00DC5527">
        <w:rPr>
          <w:rFonts w:hint="cs"/>
          <w:rtl/>
        </w:rPr>
        <w:t>: אלמנה שתפסה מטלטלין.</w:t>
      </w:r>
    </w:p>
    <w:p w14:paraId="064E4671" w14:textId="78F7F1FD" w:rsidR="001E7C1A" w:rsidRDefault="001E7C1A" w:rsidP="001E7C1A">
      <w:pPr>
        <w:rPr>
          <w:rFonts w:cs="Arial"/>
          <w:rtl/>
        </w:rPr>
      </w:pPr>
      <w:r w:rsidRPr="001E711F">
        <w:rPr>
          <w:rFonts w:cs="Arial" w:hint="cs"/>
          <w:b/>
          <w:bCs/>
          <w:rtl/>
        </w:rPr>
        <w:t xml:space="preserve">כתובות </w:t>
      </w:r>
      <w:r w:rsidRPr="001E711F">
        <w:rPr>
          <w:rFonts w:cs="Arial" w:hint="cs"/>
          <w:b/>
          <w:bCs/>
          <w:sz w:val="16"/>
          <w:szCs w:val="16"/>
          <w:rtl/>
        </w:rPr>
        <w:t xml:space="preserve">(ר"פ אלמנה ניזונת) </w:t>
      </w:r>
      <w:r w:rsidRPr="001E711F">
        <w:rPr>
          <w:rFonts w:cs="Arial" w:hint="cs"/>
          <w:b/>
          <w:bCs/>
          <w:rtl/>
        </w:rPr>
        <w:t>צו</w:t>
      </w:r>
      <w:r w:rsidR="002805FF">
        <w:rPr>
          <w:rStyle w:val="a7"/>
          <w:rFonts w:cs="Arial"/>
          <w:b/>
          <w:bCs/>
          <w:rtl/>
        </w:rPr>
        <w:footnoteReference w:id="1636"/>
      </w:r>
      <w:r w:rsidRPr="001E711F">
        <w:rPr>
          <w:rFonts w:cs="Arial" w:hint="cs"/>
          <w:b/>
          <w:bCs/>
          <w:rtl/>
        </w:rPr>
        <w:t xml:space="preserve"> ע"א: </w:t>
      </w:r>
      <w:r w:rsidRPr="001E711F">
        <w:rPr>
          <w:rFonts w:cs="Arial"/>
          <w:u w:val="single"/>
          <w:rtl/>
        </w:rPr>
        <w:t>אמר רבי אלעזר</w:t>
      </w:r>
      <w:r w:rsidRPr="001E711F">
        <w:rPr>
          <w:rFonts w:cs="Arial"/>
          <w:rtl/>
        </w:rPr>
        <w:t xml:space="preserve">: אלמנה שתפסה מטלטלין במזונותיה - מה שתפסה תפסה. תניא נמי הכי: אלמנה שתפסה מטלטלין במזונותיה - מה שתפסה תפסה. </w:t>
      </w:r>
      <w:r w:rsidRPr="001E711F">
        <w:rPr>
          <w:rFonts w:cs="Arial"/>
          <w:u w:val="single"/>
          <w:rtl/>
        </w:rPr>
        <w:t>וכן כי אתא רב דימי אמר</w:t>
      </w:r>
      <w:r w:rsidRPr="001E711F">
        <w:rPr>
          <w:rFonts w:cs="Arial"/>
          <w:rtl/>
        </w:rPr>
        <w:t>: מעשה בכלתו של ר' שבתי שתפסה דסקיא מלאה מעות, ולא היה כח ביד חכמים להוציא מידה.</w:t>
      </w:r>
    </w:p>
    <w:p w14:paraId="03F11267" w14:textId="77777777" w:rsidR="001E7C1A" w:rsidRPr="001E711F" w:rsidRDefault="001E7C1A" w:rsidP="001E7C1A">
      <w:pPr>
        <w:rPr>
          <w:rFonts w:cs="Arial"/>
          <w:rtl/>
        </w:rPr>
      </w:pPr>
      <w:r w:rsidRPr="00DE6CD0">
        <w:rPr>
          <w:rFonts w:cs="Arial" w:hint="cs"/>
          <w:b/>
          <w:bCs/>
          <w:rtl/>
        </w:rPr>
        <w:t>ירושלמי כתובות פי"א ה"ב:</w:t>
      </w:r>
      <w:r>
        <w:rPr>
          <w:rFonts w:cs="Arial" w:hint="cs"/>
          <w:rtl/>
        </w:rPr>
        <w:t xml:space="preserve"> </w:t>
      </w:r>
      <w:r w:rsidRPr="00DE6CD0">
        <w:rPr>
          <w:rFonts w:cs="Arial"/>
          <w:rtl/>
        </w:rPr>
        <w:t>כהדא דתני</w:t>
      </w:r>
      <w:r>
        <w:rPr>
          <w:rFonts w:cs="Arial" w:hint="cs"/>
          <w:rtl/>
        </w:rPr>
        <w:t>:</w:t>
      </w:r>
      <w:r w:rsidRPr="00DE6CD0">
        <w:rPr>
          <w:rFonts w:cs="Arial"/>
          <w:rtl/>
        </w:rPr>
        <w:t xml:space="preserve"> אלמנה שתפסה אפילו אלף זוז למזונותיה </w:t>
      </w:r>
      <w:r>
        <w:rPr>
          <w:rFonts w:cs="Arial" w:hint="cs"/>
          <w:rtl/>
        </w:rPr>
        <w:t xml:space="preserve">- </w:t>
      </w:r>
      <w:r w:rsidRPr="00DE6CD0">
        <w:rPr>
          <w:rFonts w:cs="Arial"/>
          <w:rtl/>
        </w:rPr>
        <w:t>אין מוציאין מידה</w:t>
      </w:r>
      <w:r>
        <w:rPr>
          <w:rFonts w:cs="Arial" w:hint="cs"/>
          <w:rtl/>
        </w:rPr>
        <w:t>.</w:t>
      </w:r>
      <w:r w:rsidRPr="00DE6CD0">
        <w:rPr>
          <w:rFonts w:cs="Arial"/>
          <w:rtl/>
        </w:rPr>
        <w:t xml:space="preserve"> מהו מימר לה חוי מה בידיך</w:t>
      </w:r>
      <w:r>
        <w:rPr>
          <w:rFonts w:cs="Arial" w:hint="cs"/>
          <w:rtl/>
        </w:rPr>
        <w:t>?</w:t>
      </w:r>
      <w:r w:rsidRPr="00DE6CD0">
        <w:rPr>
          <w:rFonts w:cs="Arial"/>
          <w:rtl/>
        </w:rPr>
        <w:t xml:space="preserve"> </w:t>
      </w:r>
      <w:r w:rsidRPr="00332F59">
        <w:rPr>
          <w:rFonts w:cs="Arial"/>
          <w:u w:val="single"/>
          <w:rtl/>
        </w:rPr>
        <w:t>תלמידוי דרבי מנא</w:t>
      </w:r>
      <w:r>
        <w:rPr>
          <w:rFonts w:cs="Arial" w:hint="cs"/>
          <w:rtl/>
        </w:rPr>
        <w:t>:</w:t>
      </w:r>
      <w:r w:rsidRPr="00DE6CD0">
        <w:rPr>
          <w:rFonts w:cs="Arial"/>
          <w:rtl/>
        </w:rPr>
        <w:t xml:space="preserve"> אמרין לה חוי מה בידיך</w:t>
      </w:r>
      <w:r>
        <w:rPr>
          <w:rFonts w:cs="Arial" w:hint="cs"/>
          <w:rtl/>
        </w:rPr>
        <w:t>.</w:t>
      </w:r>
      <w:r w:rsidRPr="00DE6CD0">
        <w:rPr>
          <w:rFonts w:cs="Arial"/>
          <w:rtl/>
        </w:rPr>
        <w:t xml:space="preserve"> </w:t>
      </w:r>
      <w:r w:rsidRPr="00332F59">
        <w:rPr>
          <w:rFonts w:cs="Arial"/>
          <w:u w:val="single"/>
          <w:rtl/>
        </w:rPr>
        <w:t>אמר לון רבי יוסי בי רבי בון</w:t>
      </w:r>
      <w:r>
        <w:rPr>
          <w:rFonts w:cs="Arial" w:hint="cs"/>
          <w:rtl/>
        </w:rPr>
        <w:t>:</w:t>
      </w:r>
      <w:r w:rsidRPr="00DE6CD0">
        <w:rPr>
          <w:rFonts w:cs="Arial"/>
          <w:rtl/>
        </w:rPr>
        <w:t xml:space="preserve"> מכיון שהיא עתידה להישבע בסוף אפילו </w:t>
      </w:r>
      <w:r>
        <w:rPr>
          <w:rFonts w:cs="Arial" w:hint="cs"/>
          <w:rtl/>
        </w:rPr>
        <w:t xml:space="preserve">חוי </w:t>
      </w:r>
      <w:r w:rsidRPr="00DE6CD0">
        <w:rPr>
          <w:rFonts w:cs="Arial"/>
          <w:rtl/>
        </w:rPr>
        <w:t xml:space="preserve">מה בידיך </w:t>
      </w:r>
      <w:r>
        <w:rPr>
          <w:rFonts w:cs="Arial" w:hint="cs"/>
          <w:rtl/>
        </w:rPr>
        <w:t xml:space="preserve">לא </w:t>
      </w:r>
      <w:r w:rsidRPr="00DE6CD0">
        <w:rPr>
          <w:rFonts w:cs="Arial"/>
          <w:rtl/>
        </w:rPr>
        <w:t>אמרין לה</w:t>
      </w:r>
      <w:r>
        <w:rPr>
          <w:rFonts w:cs="Arial" w:hint="cs"/>
          <w:rtl/>
        </w:rPr>
        <w:t>.</w:t>
      </w:r>
      <w:r>
        <w:rPr>
          <w:rFonts w:cs="Arial" w:hint="cs"/>
          <w:sz w:val="16"/>
          <w:szCs w:val="16"/>
          <w:rtl/>
        </w:rPr>
        <w:t xml:space="preserve"> (והביא הרא"ש (פי"א סי' ג) את הירושלמי הנ"ל וכתב: </w:t>
      </w:r>
      <w:r w:rsidRPr="0087704A">
        <w:rPr>
          <w:rFonts w:cs="Arial"/>
          <w:b/>
          <w:bCs/>
          <w:sz w:val="16"/>
          <w:szCs w:val="16"/>
          <w:rtl/>
        </w:rPr>
        <w:t>וריצב"א</w:t>
      </w:r>
      <w:r w:rsidRPr="00824AA7">
        <w:rPr>
          <w:rFonts w:cs="Arial"/>
          <w:sz w:val="16"/>
          <w:szCs w:val="16"/>
          <w:rtl/>
        </w:rPr>
        <w:t xml:space="preserve"> כתב </w:t>
      </w:r>
      <w:r w:rsidRPr="0087704A">
        <w:rPr>
          <w:rFonts w:cs="Arial"/>
          <w:b/>
          <w:bCs/>
          <w:sz w:val="16"/>
          <w:szCs w:val="16"/>
          <w:rtl/>
        </w:rPr>
        <w:t>לרבינו שמשון</w:t>
      </w:r>
      <w:r w:rsidRPr="00824AA7">
        <w:rPr>
          <w:rFonts w:cs="Arial"/>
          <w:sz w:val="16"/>
          <w:szCs w:val="16"/>
          <w:rtl/>
        </w:rPr>
        <w:t xml:space="preserve"> אחיו</w:t>
      </w:r>
      <w:r>
        <w:rPr>
          <w:rFonts w:cs="Arial" w:hint="cs"/>
          <w:sz w:val="16"/>
          <w:szCs w:val="16"/>
          <w:rtl/>
        </w:rPr>
        <w:t>,</w:t>
      </w:r>
      <w:r w:rsidRPr="00824AA7">
        <w:rPr>
          <w:rFonts w:cs="Arial"/>
          <w:sz w:val="16"/>
          <w:szCs w:val="16"/>
          <w:rtl/>
        </w:rPr>
        <w:t xml:space="preserve"> מה שכתבת אחי דאלמנה שתפסה למזונותיה כל מה שתפסה יכולה לעכב אפילו כמה וכמה מההיא ירושלמי דפ' אלמנה</w:t>
      </w:r>
      <w:r>
        <w:rPr>
          <w:rFonts w:cs="Arial" w:hint="cs"/>
          <w:sz w:val="16"/>
          <w:szCs w:val="16"/>
          <w:rtl/>
        </w:rPr>
        <w:t>,</w:t>
      </w:r>
      <w:r w:rsidRPr="00824AA7">
        <w:rPr>
          <w:rFonts w:cs="Arial"/>
          <w:sz w:val="16"/>
          <w:szCs w:val="16"/>
          <w:rtl/>
        </w:rPr>
        <w:t xml:space="preserve"> לפי זה לא שבקת חיי לכל בריה</w:t>
      </w:r>
      <w:r>
        <w:rPr>
          <w:rFonts w:cs="Arial" w:hint="cs"/>
          <w:sz w:val="16"/>
          <w:szCs w:val="16"/>
          <w:rtl/>
        </w:rPr>
        <w:t>,</w:t>
      </w:r>
      <w:r w:rsidRPr="00824AA7">
        <w:rPr>
          <w:rFonts w:cs="Arial"/>
          <w:sz w:val="16"/>
          <w:szCs w:val="16"/>
          <w:rtl/>
        </w:rPr>
        <w:t xml:space="preserve"> נשים גבירות ושולטות בממון בעליהן ויש להן בנים קטנים יקחו כל הממון ולא יתבעו לעולם כתובה ויתפסו הכל בשביל מזונות</w:t>
      </w:r>
      <w:r>
        <w:rPr>
          <w:rFonts w:cs="Arial" w:hint="cs"/>
          <w:sz w:val="16"/>
          <w:szCs w:val="16"/>
          <w:rtl/>
        </w:rPr>
        <w:t>.</w:t>
      </w:r>
      <w:r w:rsidRPr="00824AA7">
        <w:rPr>
          <w:rFonts w:cs="Arial"/>
          <w:sz w:val="16"/>
          <w:szCs w:val="16"/>
          <w:rtl/>
        </w:rPr>
        <w:t xml:space="preserve"> וכן נשים שאינן גבירות אם יש מטלטלין הרבה בתוך הבית או כסף וזהב יקחו הכל</w:t>
      </w:r>
      <w:r>
        <w:rPr>
          <w:rFonts w:cs="Arial" w:hint="cs"/>
          <w:sz w:val="16"/>
          <w:szCs w:val="16"/>
          <w:rtl/>
        </w:rPr>
        <w:t>.</w:t>
      </w:r>
      <w:r w:rsidRPr="00824AA7">
        <w:rPr>
          <w:rFonts w:cs="Arial"/>
          <w:sz w:val="16"/>
          <w:szCs w:val="16"/>
          <w:rtl/>
        </w:rPr>
        <w:t xml:space="preserve"> אלא יש לפרש הא דקאמר התם </w:t>
      </w:r>
      <w:r>
        <w:rPr>
          <w:rFonts w:cs="Arial" w:hint="cs"/>
          <w:sz w:val="16"/>
          <w:szCs w:val="16"/>
          <w:rtl/>
        </w:rPr>
        <w:t>"</w:t>
      </w:r>
      <w:r w:rsidRPr="00824AA7">
        <w:rPr>
          <w:rFonts w:cs="Arial"/>
          <w:sz w:val="16"/>
          <w:szCs w:val="16"/>
          <w:rtl/>
        </w:rPr>
        <w:t>ר' יוסי בר' בון אמר מכיון שהיא עתידה לישבע בסוף אפי' חוי מה שבידך לא אמרי' לה</w:t>
      </w:r>
      <w:r>
        <w:rPr>
          <w:rFonts w:cs="Arial" w:hint="cs"/>
          <w:sz w:val="16"/>
          <w:szCs w:val="16"/>
          <w:rtl/>
        </w:rPr>
        <w:t>"</w:t>
      </w:r>
      <w:r w:rsidRPr="00824AA7">
        <w:rPr>
          <w:rFonts w:cs="Arial"/>
          <w:sz w:val="16"/>
          <w:szCs w:val="16"/>
          <w:rtl/>
        </w:rPr>
        <w:t xml:space="preserve"> מתוך לשונו משמע דוקא בשביל שסופה לישבע</w:t>
      </w:r>
      <w:r>
        <w:rPr>
          <w:rFonts w:cs="Arial" w:hint="cs"/>
          <w:sz w:val="16"/>
          <w:szCs w:val="16"/>
          <w:rtl/>
        </w:rPr>
        <w:t>,</w:t>
      </w:r>
      <w:r w:rsidRPr="00824AA7">
        <w:rPr>
          <w:rFonts w:cs="Arial"/>
          <w:sz w:val="16"/>
          <w:szCs w:val="16"/>
          <w:rtl/>
        </w:rPr>
        <w:t xml:space="preserve"> הא אין סופה לישבע אמרי</w:t>
      </w:r>
      <w:r>
        <w:rPr>
          <w:rFonts w:cs="Arial" w:hint="cs"/>
          <w:sz w:val="16"/>
          <w:szCs w:val="16"/>
          <w:rtl/>
        </w:rPr>
        <w:t>נן</w:t>
      </w:r>
      <w:r w:rsidRPr="00824AA7">
        <w:rPr>
          <w:rFonts w:cs="Arial"/>
          <w:sz w:val="16"/>
          <w:szCs w:val="16"/>
          <w:rtl/>
        </w:rPr>
        <w:t xml:space="preserve"> לה חוי מה שבידך</w:t>
      </w:r>
      <w:r>
        <w:rPr>
          <w:rFonts w:cs="Arial" w:hint="cs"/>
          <w:sz w:val="16"/>
          <w:szCs w:val="16"/>
          <w:rtl/>
        </w:rPr>
        <w:t>.</w:t>
      </w:r>
      <w:r w:rsidRPr="00824AA7">
        <w:rPr>
          <w:rFonts w:cs="Arial"/>
          <w:sz w:val="16"/>
          <w:szCs w:val="16"/>
          <w:rtl/>
        </w:rPr>
        <w:t xml:space="preserve"> א"כ בנדון זה שלקחה הכל ואינה עתידה לישבע בסוף אמרי</w:t>
      </w:r>
      <w:r>
        <w:rPr>
          <w:rFonts w:cs="Arial" w:hint="cs"/>
          <w:sz w:val="16"/>
          <w:szCs w:val="16"/>
          <w:rtl/>
        </w:rPr>
        <w:t>נן</w:t>
      </w:r>
      <w:r w:rsidRPr="00824AA7">
        <w:rPr>
          <w:rFonts w:cs="Arial"/>
          <w:sz w:val="16"/>
          <w:szCs w:val="16"/>
          <w:rtl/>
        </w:rPr>
        <w:t xml:space="preserve"> לה חוי</w:t>
      </w:r>
      <w:r>
        <w:rPr>
          <w:rFonts w:cs="Arial" w:hint="cs"/>
          <w:sz w:val="16"/>
          <w:szCs w:val="16"/>
          <w:rtl/>
        </w:rPr>
        <w:t>,</w:t>
      </w:r>
      <w:r w:rsidRPr="00824AA7">
        <w:rPr>
          <w:rFonts w:cs="Arial"/>
          <w:sz w:val="16"/>
          <w:szCs w:val="16"/>
          <w:rtl/>
        </w:rPr>
        <w:t xml:space="preserve"> ומוציאין מידה כל המותר על מזונותיה לשנים עשר חודש</w:t>
      </w:r>
      <w:r>
        <w:rPr>
          <w:rFonts w:cs="Arial" w:hint="cs"/>
          <w:sz w:val="16"/>
          <w:szCs w:val="16"/>
          <w:rtl/>
        </w:rPr>
        <w:t>.</w:t>
      </w:r>
      <w:r w:rsidRPr="00824AA7">
        <w:rPr>
          <w:rFonts w:cs="Arial"/>
          <w:sz w:val="16"/>
          <w:szCs w:val="16"/>
          <w:rtl/>
        </w:rPr>
        <w:t xml:space="preserve"> כי יותר אין ראוי שישאר בידה ממה שראוי בפעם אחת למכור בקרקעות</w:t>
      </w:r>
      <w:r>
        <w:rPr>
          <w:rFonts w:cs="Arial" w:hint="cs"/>
          <w:sz w:val="16"/>
          <w:szCs w:val="16"/>
          <w:rtl/>
        </w:rPr>
        <w:t>,</w:t>
      </w:r>
      <w:r w:rsidRPr="00824AA7">
        <w:rPr>
          <w:rFonts w:cs="Arial"/>
          <w:sz w:val="16"/>
          <w:szCs w:val="16"/>
          <w:rtl/>
        </w:rPr>
        <w:t xml:space="preserve"> ובהא שיעורא אמרינן מה שתפסה תפסה</w:t>
      </w:r>
      <w:r>
        <w:rPr>
          <w:rFonts w:cs="Arial" w:hint="cs"/>
          <w:sz w:val="16"/>
          <w:szCs w:val="16"/>
          <w:rtl/>
        </w:rPr>
        <w:t>,</w:t>
      </w:r>
      <w:r w:rsidRPr="00824AA7">
        <w:rPr>
          <w:rFonts w:cs="Arial"/>
          <w:sz w:val="16"/>
          <w:szCs w:val="16"/>
          <w:rtl/>
        </w:rPr>
        <w:t xml:space="preserve"> ואלף זוז דקאמר לאו דוקא</w:t>
      </w:r>
      <w:r>
        <w:rPr>
          <w:rFonts w:cs="Arial" w:hint="cs"/>
          <w:sz w:val="16"/>
          <w:szCs w:val="16"/>
          <w:rtl/>
        </w:rPr>
        <w:t>.</w:t>
      </w:r>
      <w:r w:rsidRPr="00824AA7">
        <w:rPr>
          <w:rFonts w:cs="Arial"/>
          <w:sz w:val="16"/>
          <w:szCs w:val="16"/>
          <w:rtl/>
        </w:rPr>
        <w:t xml:space="preserve"> אי נמי בעשירה שראויה לכך בשנים עשר חדש</w:t>
      </w:r>
      <w:r>
        <w:rPr>
          <w:rFonts w:cs="Arial" w:hint="cs"/>
          <w:sz w:val="16"/>
          <w:szCs w:val="16"/>
          <w:rtl/>
        </w:rPr>
        <w:t>.</w:t>
      </w:r>
      <w:r w:rsidRPr="00824AA7">
        <w:rPr>
          <w:rFonts w:cs="Arial"/>
          <w:sz w:val="16"/>
          <w:szCs w:val="16"/>
          <w:rtl/>
        </w:rPr>
        <w:t xml:space="preserve"> אי נמי נראה מה שתפסה תפסה ראוי לומר אפי' ביתר משנים עשר חדש ובלבד שתפסה פחות מכדי כתובתה שסופה לישבע על כתובתה</w:t>
      </w:r>
      <w:r>
        <w:rPr>
          <w:rFonts w:cs="Arial" w:hint="cs"/>
          <w:sz w:val="16"/>
          <w:szCs w:val="16"/>
          <w:rtl/>
        </w:rPr>
        <w:t>,</w:t>
      </w:r>
      <w:r w:rsidRPr="00824AA7">
        <w:rPr>
          <w:rFonts w:cs="Arial"/>
          <w:sz w:val="16"/>
          <w:szCs w:val="16"/>
          <w:rtl/>
        </w:rPr>
        <w:t xml:space="preserve"> אבל אם תפסה יותר מכדי כתובתה שאין סופה לישבע על כתובתה </w:t>
      </w:r>
      <w:r>
        <w:rPr>
          <w:rFonts w:cs="Arial" w:hint="cs"/>
          <w:sz w:val="16"/>
          <w:szCs w:val="16"/>
          <w:rtl/>
        </w:rPr>
        <w:t xml:space="preserve">- </w:t>
      </w:r>
      <w:r w:rsidRPr="00824AA7">
        <w:rPr>
          <w:rFonts w:cs="Arial"/>
          <w:sz w:val="16"/>
          <w:szCs w:val="16"/>
          <w:rtl/>
        </w:rPr>
        <w:t>לא</w:t>
      </w:r>
      <w:r>
        <w:rPr>
          <w:rFonts w:cs="Arial" w:hint="cs"/>
          <w:sz w:val="16"/>
          <w:szCs w:val="16"/>
          <w:rtl/>
        </w:rPr>
        <w:t>.</w:t>
      </w:r>
      <w:r w:rsidRPr="00824AA7">
        <w:rPr>
          <w:rFonts w:cs="Arial"/>
          <w:sz w:val="16"/>
          <w:szCs w:val="16"/>
          <w:rtl/>
        </w:rPr>
        <w:t xml:space="preserve"> והא דקאמר </w:t>
      </w:r>
      <w:r>
        <w:rPr>
          <w:rFonts w:cs="Arial" w:hint="cs"/>
          <w:sz w:val="16"/>
          <w:szCs w:val="16"/>
          <w:rtl/>
        </w:rPr>
        <w:t>"</w:t>
      </w:r>
      <w:r w:rsidRPr="00824AA7">
        <w:rPr>
          <w:rFonts w:cs="Arial"/>
          <w:sz w:val="16"/>
          <w:szCs w:val="16"/>
          <w:rtl/>
        </w:rPr>
        <w:t>אפילו חוי מה שבידך לא אמרינן</w:t>
      </w:r>
      <w:r>
        <w:rPr>
          <w:rFonts w:cs="Arial" w:hint="cs"/>
          <w:sz w:val="16"/>
          <w:szCs w:val="16"/>
          <w:rtl/>
        </w:rPr>
        <w:t>"</w:t>
      </w:r>
      <w:r w:rsidRPr="00824AA7">
        <w:rPr>
          <w:rFonts w:cs="Arial"/>
          <w:sz w:val="16"/>
          <w:szCs w:val="16"/>
          <w:rtl/>
        </w:rPr>
        <w:t xml:space="preserve"> היינו היכא דידע לן שלא תפסה כדי כתובתה לפי שסופה לישבע</w:t>
      </w:r>
      <w:r>
        <w:rPr>
          <w:rFonts w:cs="Arial" w:hint="cs"/>
          <w:sz w:val="16"/>
          <w:szCs w:val="16"/>
          <w:rtl/>
        </w:rPr>
        <w:t>,</w:t>
      </w:r>
      <w:r w:rsidRPr="00824AA7">
        <w:rPr>
          <w:rFonts w:cs="Arial"/>
          <w:sz w:val="16"/>
          <w:szCs w:val="16"/>
          <w:rtl/>
        </w:rPr>
        <w:t xml:space="preserve"> אבל אי לא ידעינן כמה תפסה </w:t>
      </w:r>
      <w:r>
        <w:rPr>
          <w:rFonts w:cs="Arial" w:hint="cs"/>
          <w:sz w:val="16"/>
          <w:szCs w:val="16"/>
          <w:rtl/>
        </w:rPr>
        <w:t xml:space="preserve">- </w:t>
      </w:r>
      <w:r w:rsidRPr="00824AA7">
        <w:rPr>
          <w:rFonts w:cs="Arial"/>
          <w:sz w:val="16"/>
          <w:szCs w:val="16"/>
          <w:rtl/>
        </w:rPr>
        <w:t>לא</w:t>
      </w:r>
      <w:r>
        <w:rPr>
          <w:rFonts w:cs="Arial" w:hint="cs"/>
          <w:sz w:val="16"/>
          <w:szCs w:val="16"/>
          <w:rtl/>
        </w:rPr>
        <w:t>.</w:t>
      </w:r>
      <w:r w:rsidRPr="00824AA7">
        <w:rPr>
          <w:rFonts w:cs="Arial"/>
          <w:sz w:val="16"/>
          <w:szCs w:val="16"/>
          <w:rtl/>
        </w:rPr>
        <w:t xml:space="preserve"> ולכאורה אם היתה תובעת מזונותיה אחרי כן ואמרה שכבר אכלה כל מה שתפסה לא היו זנין אותה עד שתשבע כמה לקחה</w:t>
      </w:r>
      <w:r>
        <w:rPr>
          <w:rFonts w:cs="Arial" w:hint="cs"/>
          <w:sz w:val="16"/>
          <w:szCs w:val="16"/>
          <w:rtl/>
        </w:rPr>
        <w:t>.</w:t>
      </w:r>
      <w:r w:rsidRPr="00824AA7">
        <w:rPr>
          <w:rFonts w:cs="Arial"/>
          <w:sz w:val="16"/>
          <w:szCs w:val="16"/>
          <w:rtl/>
        </w:rPr>
        <w:t xml:space="preserve"> עד כאן דבריו</w:t>
      </w:r>
      <w:r>
        <w:rPr>
          <w:rFonts w:cs="Arial" w:hint="cs"/>
          <w:sz w:val="14"/>
          <w:szCs w:val="14"/>
          <w:rtl/>
        </w:rPr>
        <w:t xml:space="preserve"> {של הריצב"א}</w:t>
      </w:r>
      <w:r>
        <w:rPr>
          <w:rFonts w:cs="Arial" w:hint="cs"/>
          <w:sz w:val="16"/>
          <w:szCs w:val="16"/>
          <w:rtl/>
        </w:rPr>
        <w:t>.</w:t>
      </w:r>
      <w:r w:rsidRPr="00824AA7">
        <w:rPr>
          <w:rFonts w:cs="Arial"/>
          <w:sz w:val="16"/>
          <w:szCs w:val="16"/>
          <w:rtl/>
        </w:rPr>
        <w:t xml:space="preserve"> </w:t>
      </w:r>
      <w:r w:rsidRPr="00C337BA">
        <w:rPr>
          <w:rFonts w:cs="Arial"/>
          <w:b/>
          <w:bCs/>
          <w:sz w:val="16"/>
          <w:szCs w:val="16"/>
          <w:rtl/>
        </w:rPr>
        <w:t>ורבינו מאיר</w:t>
      </w:r>
      <w:r w:rsidRPr="00824AA7">
        <w:rPr>
          <w:rFonts w:cs="Arial"/>
          <w:sz w:val="16"/>
          <w:szCs w:val="16"/>
          <w:rtl/>
        </w:rPr>
        <w:t xml:space="preserve"> כתב השתא לפי דבריו אחרי שהיתומים אומרים שתפסה יותר מכתובתה היה לנו להשביעה</w:t>
      </w:r>
      <w:r>
        <w:rPr>
          <w:rFonts w:cs="Arial" w:hint="cs"/>
          <w:sz w:val="16"/>
          <w:szCs w:val="16"/>
          <w:rtl/>
        </w:rPr>
        <w:t>,</w:t>
      </w:r>
      <w:r w:rsidRPr="00824AA7">
        <w:rPr>
          <w:rFonts w:cs="Arial"/>
          <w:sz w:val="16"/>
          <w:szCs w:val="16"/>
          <w:rtl/>
        </w:rPr>
        <w:t xml:space="preserve"> אמנם לפי דברי רבינו שמשון אחיו שנחלקו עליו אפילו בתפסה יותר אין להשביעה</w:t>
      </w:r>
      <w:r>
        <w:rPr>
          <w:rFonts w:cs="Arial" w:hint="cs"/>
          <w:sz w:val="16"/>
          <w:szCs w:val="16"/>
          <w:rtl/>
        </w:rPr>
        <w:t>,</w:t>
      </w:r>
      <w:r w:rsidRPr="00824AA7">
        <w:rPr>
          <w:rFonts w:cs="Arial"/>
          <w:sz w:val="16"/>
          <w:szCs w:val="16"/>
          <w:rtl/>
        </w:rPr>
        <w:t xml:space="preserve"> וכן משמע מדברי </w:t>
      </w:r>
      <w:r w:rsidRPr="0087704A">
        <w:rPr>
          <w:rFonts w:cs="Arial"/>
          <w:b/>
          <w:bCs/>
          <w:sz w:val="16"/>
          <w:szCs w:val="16"/>
          <w:rtl/>
        </w:rPr>
        <w:t>הרמב"ם</w:t>
      </w:r>
      <w:r w:rsidRPr="00824AA7">
        <w:rPr>
          <w:rFonts w:cs="Arial"/>
          <w:sz w:val="16"/>
          <w:szCs w:val="16"/>
          <w:rtl/>
        </w:rPr>
        <w:t xml:space="preserve"> ז"ל (פי"ח מהל' אישות ה"י) שכתב</w:t>
      </w:r>
      <w:r>
        <w:rPr>
          <w:rFonts w:cs="Arial" w:hint="cs"/>
          <w:sz w:val="16"/>
          <w:szCs w:val="16"/>
          <w:rtl/>
        </w:rPr>
        <w:t>:</w:t>
      </w:r>
      <w:r w:rsidRPr="00824AA7">
        <w:rPr>
          <w:rFonts w:cs="Arial"/>
          <w:sz w:val="16"/>
          <w:szCs w:val="16"/>
          <w:rtl/>
        </w:rPr>
        <w:t xml:space="preserve"> אלמנה שתפסה מטלטלין כדי שתזון מהן</w:t>
      </w:r>
      <w:r>
        <w:rPr>
          <w:rFonts w:cs="Arial" w:hint="cs"/>
          <w:sz w:val="16"/>
          <w:szCs w:val="16"/>
          <w:rtl/>
        </w:rPr>
        <w:t>,</w:t>
      </w:r>
      <w:r w:rsidRPr="00824AA7">
        <w:rPr>
          <w:rFonts w:cs="Arial"/>
          <w:sz w:val="16"/>
          <w:szCs w:val="16"/>
          <w:rtl/>
        </w:rPr>
        <w:t xml:space="preserve"> בין שתפסה מחיים בין שתפסה אחר מיתה</w:t>
      </w:r>
      <w:r>
        <w:rPr>
          <w:rFonts w:cs="Arial" w:hint="cs"/>
          <w:sz w:val="16"/>
          <w:szCs w:val="16"/>
          <w:rtl/>
        </w:rPr>
        <w:t>,</w:t>
      </w:r>
      <w:r w:rsidRPr="00824AA7">
        <w:rPr>
          <w:rFonts w:cs="Arial"/>
          <w:sz w:val="16"/>
          <w:szCs w:val="16"/>
          <w:rtl/>
        </w:rPr>
        <w:t xml:space="preserve"> אפי' תפסה ככר זהב </w:t>
      </w:r>
      <w:r>
        <w:rPr>
          <w:rFonts w:cs="Arial" w:hint="cs"/>
          <w:sz w:val="16"/>
          <w:szCs w:val="16"/>
          <w:rtl/>
        </w:rPr>
        <w:t xml:space="preserve">- </w:t>
      </w:r>
      <w:r w:rsidRPr="00824AA7">
        <w:rPr>
          <w:rFonts w:cs="Arial"/>
          <w:sz w:val="16"/>
          <w:szCs w:val="16"/>
          <w:rtl/>
        </w:rPr>
        <w:t>אין מוציאין מידה</w:t>
      </w:r>
      <w:r>
        <w:rPr>
          <w:rFonts w:cs="Arial" w:hint="cs"/>
          <w:sz w:val="16"/>
          <w:szCs w:val="16"/>
          <w:rtl/>
        </w:rPr>
        <w:t>,</w:t>
      </w:r>
      <w:r w:rsidRPr="00824AA7">
        <w:rPr>
          <w:rFonts w:cs="Arial"/>
          <w:sz w:val="16"/>
          <w:szCs w:val="16"/>
          <w:rtl/>
        </w:rPr>
        <w:t xml:space="preserve"> אלא שכותבין לה ב"ד מה שתפסה ופוסקין לה מזונות ומחשבין עמה והיא ניזונת ממה שבידה עד שלא יהא לה מזונות יותר או עד שתמות ויקחו היורשין את השאר וכו'</w:t>
      </w:r>
      <w:r>
        <w:rPr>
          <w:rFonts w:cs="Arial" w:hint="cs"/>
          <w:sz w:val="16"/>
          <w:szCs w:val="16"/>
          <w:rtl/>
        </w:rPr>
        <w:t>.</w:t>
      </w:r>
      <w:r w:rsidRPr="00824AA7">
        <w:rPr>
          <w:rFonts w:cs="Arial"/>
          <w:sz w:val="16"/>
          <w:szCs w:val="16"/>
          <w:rtl/>
        </w:rPr>
        <w:t xml:space="preserve"> ואחרי שכתב אפילו ככר זהב שמע מינה דסבירא ליה דתפיסה למזונות מהניא אפי</w:t>
      </w:r>
      <w:r>
        <w:rPr>
          <w:rFonts w:cs="Arial" w:hint="cs"/>
          <w:sz w:val="16"/>
          <w:szCs w:val="16"/>
          <w:rtl/>
        </w:rPr>
        <w:t>לו</w:t>
      </w:r>
      <w:r w:rsidRPr="00824AA7">
        <w:rPr>
          <w:rFonts w:cs="Arial"/>
          <w:sz w:val="16"/>
          <w:szCs w:val="16"/>
          <w:rtl/>
        </w:rPr>
        <w:t xml:space="preserve"> ביותר מכתובתה ולא מפקינן מינה</w:t>
      </w:r>
      <w:r>
        <w:rPr>
          <w:rFonts w:cs="Arial" w:hint="cs"/>
          <w:sz w:val="16"/>
          <w:szCs w:val="16"/>
          <w:rtl/>
        </w:rPr>
        <w:t>.</w:t>
      </w:r>
      <w:r w:rsidRPr="00824AA7">
        <w:rPr>
          <w:rFonts w:cs="Arial"/>
          <w:sz w:val="16"/>
          <w:szCs w:val="16"/>
          <w:rtl/>
        </w:rPr>
        <w:t xml:space="preserve"> ופשט הירושלמי דקאמר אלף זוז וגמרא דידן דקאמר דסקיא מליאה מעות משמע נמי הכי</w:t>
      </w:r>
      <w:r>
        <w:rPr>
          <w:rFonts w:cs="Arial" w:hint="cs"/>
          <w:sz w:val="16"/>
          <w:szCs w:val="16"/>
          <w:rtl/>
        </w:rPr>
        <w:t>,</w:t>
      </w:r>
      <w:r w:rsidRPr="00824AA7">
        <w:rPr>
          <w:rFonts w:cs="Arial"/>
          <w:sz w:val="16"/>
          <w:szCs w:val="16"/>
          <w:rtl/>
        </w:rPr>
        <w:t xml:space="preserve"> דאפילו טובא יותר מכדי כתובתה לא מפקינן מינה</w:t>
      </w:r>
      <w:r>
        <w:rPr>
          <w:rFonts w:cs="Arial" w:hint="cs"/>
          <w:sz w:val="16"/>
          <w:szCs w:val="16"/>
          <w:rtl/>
        </w:rPr>
        <w:t>.</w:t>
      </w:r>
      <w:r w:rsidRPr="00824AA7">
        <w:rPr>
          <w:rFonts w:cs="Arial"/>
          <w:sz w:val="16"/>
          <w:szCs w:val="16"/>
          <w:rtl/>
        </w:rPr>
        <w:t xml:space="preserve"> וטעמא הוי משום דלא ידעינן כמה תחיה וכמה תצטרך למזונות</w:t>
      </w:r>
      <w:r>
        <w:rPr>
          <w:rFonts w:cs="Arial" w:hint="cs"/>
          <w:sz w:val="16"/>
          <w:szCs w:val="16"/>
          <w:rtl/>
        </w:rPr>
        <w:t>,</w:t>
      </w:r>
      <w:r w:rsidRPr="00824AA7">
        <w:rPr>
          <w:rFonts w:cs="Arial"/>
          <w:sz w:val="16"/>
          <w:szCs w:val="16"/>
          <w:rtl/>
        </w:rPr>
        <w:t xml:space="preserve"> כי שמא יאבד מהן או שמא תחלה ותצטרך לרפואה שאין לה קצבה שהיא בכלל מזונות</w:t>
      </w:r>
      <w:r>
        <w:rPr>
          <w:rFonts w:cs="Arial" w:hint="cs"/>
          <w:sz w:val="16"/>
          <w:szCs w:val="16"/>
          <w:rtl/>
        </w:rPr>
        <w:t xml:space="preserve"> </w:t>
      </w:r>
      <w:r w:rsidRPr="007C16E1">
        <w:rPr>
          <w:rFonts w:cs="Arial"/>
          <w:sz w:val="16"/>
          <w:szCs w:val="16"/>
          <w:rtl/>
        </w:rPr>
        <w:t>(שם נב:)</w:t>
      </w:r>
      <w:r>
        <w:rPr>
          <w:rFonts w:cs="Arial" w:hint="cs"/>
          <w:sz w:val="16"/>
          <w:szCs w:val="16"/>
          <w:rtl/>
        </w:rPr>
        <w:t>.</w:t>
      </w:r>
      <w:r w:rsidRPr="00824AA7">
        <w:rPr>
          <w:rFonts w:cs="Arial"/>
          <w:sz w:val="16"/>
          <w:szCs w:val="16"/>
          <w:rtl/>
        </w:rPr>
        <w:t xml:space="preserve"> וכיון דאף אם תפסה למזונותיה הרבה יותר ממזונותיה לא מפקינן מינה</w:t>
      </w:r>
      <w:r>
        <w:rPr>
          <w:rFonts w:cs="Arial" w:hint="cs"/>
          <w:sz w:val="16"/>
          <w:szCs w:val="16"/>
          <w:rtl/>
        </w:rPr>
        <w:t>,</w:t>
      </w:r>
      <w:r w:rsidRPr="00824AA7">
        <w:rPr>
          <w:rFonts w:cs="Arial"/>
          <w:sz w:val="16"/>
          <w:szCs w:val="16"/>
          <w:rtl/>
        </w:rPr>
        <w:t xml:space="preserve"> א"כ למה היה לנו להשביעה השתא</w:t>
      </w:r>
      <w:r>
        <w:rPr>
          <w:rFonts w:cs="Arial" w:hint="cs"/>
          <w:sz w:val="16"/>
          <w:szCs w:val="16"/>
          <w:rtl/>
        </w:rPr>
        <w:t>,</w:t>
      </w:r>
      <w:r w:rsidRPr="00824AA7">
        <w:rPr>
          <w:rFonts w:cs="Arial"/>
          <w:sz w:val="16"/>
          <w:szCs w:val="16"/>
          <w:rtl/>
        </w:rPr>
        <w:t xml:space="preserve"> הרי לא מצינו שום שבועה כיוצא בזו</w:t>
      </w:r>
      <w:r>
        <w:rPr>
          <w:rFonts w:cs="Arial" w:hint="cs"/>
          <w:sz w:val="16"/>
          <w:szCs w:val="16"/>
          <w:rtl/>
        </w:rPr>
        <w:t>,</w:t>
      </w:r>
      <w:r w:rsidRPr="00824AA7">
        <w:rPr>
          <w:rFonts w:cs="Arial"/>
          <w:sz w:val="16"/>
          <w:szCs w:val="16"/>
          <w:rtl/>
        </w:rPr>
        <w:t xml:space="preserve"> מצינו נשבעין ולא משלמין</w:t>
      </w:r>
      <w:r>
        <w:rPr>
          <w:rFonts w:cs="Arial" w:hint="cs"/>
          <w:sz w:val="16"/>
          <w:szCs w:val="16"/>
          <w:rtl/>
        </w:rPr>
        <w:t>,</w:t>
      </w:r>
      <w:r w:rsidRPr="00824AA7">
        <w:rPr>
          <w:rFonts w:cs="Arial"/>
          <w:sz w:val="16"/>
          <w:szCs w:val="16"/>
          <w:rtl/>
        </w:rPr>
        <w:t xml:space="preserve"> נשבעין ונוטלין</w:t>
      </w:r>
      <w:r>
        <w:rPr>
          <w:rFonts w:cs="Arial" w:hint="cs"/>
          <w:sz w:val="16"/>
          <w:szCs w:val="16"/>
          <w:rtl/>
        </w:rPr>
        <w:t>,</w:t>
      </w:r>
      <w:r w:rsidRPr="00824AA7">
        <w:rPr>
          <w:rFonts w:cs="Arial"/>
          <w:sz w:val="16"/>
          <w:szCs w:val="16"/>
          <w:rtl/>
        </w:rPr>
        <w:t xml:space="preserve"> אבל בנדון זה שבועה זו למה לא ליטול ולא ליפטר מעכשיו</w:t>
      </w:r>
      <w:r>
        <w:rPr>
          <w:rFonts w:cs="Arial" w:hint="cs"/>
          <w:sz w:val="16"/>
          <w:szCs w:val="16"/>
          <w:rtl/>
        </w:rPr>
        <w:t>.</w:t>
      </w:r>
      <w:r w:rsidRPr="00824AA7">
        <w:rPr>
          <w:rFonts w:cs="Arial"/>
          <w:sz w:val="16"/>
          <w:szCs w:val="16"/>
          <w:rtl/>
        </w:rPr>
        <w:t xml:space="preserve"> אמנם אם אחר זמן תאמר שכלו כל המטלטלין שתפסה ותבוא לתבוע מזונות לא יהבינן לה מידי עד שתשבע שלא נשאר בידה ממה שתפסה ולא נתנה ולא בזבזה כלום</w:t>
      </w:r>
      <w:r>
        <w:rPr>
          <w:rFonts w:cs="Arial" w:hint="cs"/>
          <w:sz w:val="16"/>
          <w:szCs w:val="16"/>
          <w:rtl/>
        </w:rPr>
        <w:t>,</w:t>
      </w:r>
      <w:r w:rsidRPr="00824AA7">
        <w:rPr>
          <w:rFonts w:cs="Arial"/>
          <w:sz w:val="16"/>
          <w:szCs w:val="16"/>
          <w:rtl/>
        </w:rPr>
        <w:t xml:space="preserve"> דבהא מודה הרמב"ם ז"ל שהרי הוא כתב (שם הי"ט)</w:t>
      </w:r>
      <w:r>
        <w:rPr>
          <w:rFonts w:cs="Arial" w:hint="cs"/>
          <w:sz w:val="16"/>
          <w:szCs w:val="16"/>
          <w:rtl/>
        </w:rPr>
        <w:t>:</w:t>
      </w:r>
      <w:r w:rsidRPr="00824AA7">
        <w:rPr>
          <w:rFonts w:cs="Arial"/>
          <w:sz w:val="16"/>
          <w:szCs w:val="16"/>
          <w:rtl/>
        </w:rPr>
        <w:t xml:space="preserve"> אלמנה שבאה לבית דין לתבוע מזונות יש מי שהורה שפוסקין לה מזונות ואין משביעין אותה ואין ראוי לסמוך על הוראה זו מפני שנתחלף לו הדבר באשה שהלך בעלה למדינת הים</w:t>
      </w:r>
      <w:r>
        <w:rPr>
          <w:rFonts w:cs="Arial" w:hint="cs"/>
          <w:sz w:val="16"/>
          <w:szCs w:val="16"/>
          <w:rtl/>
        </w:rPr>
        <w:t>,</w:t>
      </w:r>
      <w:r w:rsidRPr="00824AA7">
        <w:rPr>
          <w:rFonts w:cs="Arial"/>
          <w:sz w:val="16"/>
          <w:szCs w:val="16"/>
          <w:rtl/>
        </w:rPr>
        <w:t xml:space="preserve"> ורבותי הורו שאין לה מזונות עד שתשבע שהרי זו באה ליפרע מנכסי יתומים ולזה דעתי נוטה וכן ראוי לדון עכ"ל</w:t>
      </w:r>
      <w:r>
        <w:rPr>
          <w:rFonts w:cs="Arial" w:hint="cs"/>
          <w:sz w:val="16"/>
          <w:szCs w:val="16"/>
          <w:rtl/>
        </w:rPr>
        <w:t>.</w:t>
      </w:r>
      <w:r w:rsidRPr="00824AA7">
        <w:rPr>
          <w:rFonts w:cs="Arial"/>
          <w:sz w:val="16"/>
          <w:szCs w:val="16"/>
          <w:rtl/>
        </w:rPr>
        <w:t xml:space="preserve"> ואפי' לדברי הגדולים האומרים דבכל ענין קאמר חנן לא תשבע בתחלה אפי' כי אתיא לאפוקי מזוני מיתמי נראה לי דכל כהאי גוונא שעכבה ממון היתומים יותר מן הראוי להגבותה בבית דין בפעם אחת</w:t>
      </w:r>
      <w:r>
        <w:rPr>
          <w:rFonts w:cs="Arial" w:hint="cs"/>
          <w:sz w:val="16"/>
          <w:szCs w:val="16"/>
          <w:rtl/>
        </w:rPr>
        <w:t>,</w:t>
      </w:r>
      <w:r w:rsidRPr="00824AA7">
        <w:rPr>
          <w:rFonts w:cs="Arial"/>
          <w:sz w:val="16"/>
          <w:szCs w:val="16"/>
          <w:rtl/>
        </w:rPr>
        <w:t xml:space="preserve"> דהיינו כדי מזון שלשים יום מודו כ</w:t>
      </w:r>
      <w:r>
        <w:rPr>
          <w:rFonts w:cs="Arial" w:hint="cs"/>
          <w:sz w:val="16"/>
          <w:szCs w:val="16"/>
          <w:rtl/>
        </w:rPr>
        <w:t>ו</w:t>
      </w:r>
      <w:r w:rsidRPr="00824AA7">
        <w:rPr>
          <w:rFonts w:cs="Arial"/>
          <w:sz w:val="16"/>
          <w:szCs w:val="16"/>
          <w:rtl/>
        </w:rPr>
        <w:t>"ע דלא יהבינן לה עד שתשבע</w:t>
      </w:r>
      <w:r>
        <w:rPr>
          <w:rFonts w:cs="Arial" w:hint="cs"/>
          <w:sz w:val="16"/>
          <w:szCs w:val="16"/>
          <w:rtl/>
        </w:rPr>
        <w:t>.</w:t>
      </w:r>
      <w:r w:rsidRPr="00824AA7">
        <w:rPr>
          <w:rFonts w:cs="Arial"/>
          <w:sz w:val="16"/>
          <w:szCs w:val="16"/>
          <w:rtl/>
        </w:rPr>
        <w:t xml:space="preserve"> כי צריך לתת טעם מאי שנא למזוני דלא משביעינן לה משום דסופה עתידה לישבע על כתובתה ואע</w:t>
      </w:r>
      <w:r>
        <w:rPr>
          <w:rFonts w:cs="Arial" w:hint="cs"/>
          <w:sz w:val="16"/>
          <w:szCs w:val="16"/>
          <w:rtl/>
        </w:rPr>
        <w:t>"</w:t>
      </w:r>
      <w:r w:rsidRPr="00824AA7">
        <w:rPr>
          <w:rFonts w:cs="Arial"/>
          <w:sz w:val="16"/>
          <w:szCs w:val="16"/>
          <w:rtl/>
        </w:rPr>
        <w:t>פ דשמא לא תבוא לעולם לידי גיבוי כתובה ובשאר דוכתי לא אמרינן הכי</w:t>
      </w:r>
      <w:r>
        <w:rPr>
          <w:rFonts w:cs="Arial" w:hint="cs"/>
          <w:sz w:val="16"/>
          <w:szCs w:val="16"/>
          <w:rtl/>
        </w:rPr>
        <w:t>,</w:t>
      </w:r>
      <w:r w:rsidRPr="00824AA7">
        <w:rPr>
          <w:rFonts w:cs="Arial"/>
          <w:sz w:val="16"/>
          <w:szCs w:val="16"/>
          <w:rtl/>
        </w:rPr>
        <w:t xml:space="preserve"> שהרי אפוטרופא ושותפין ואריסין הנשבעין שלא בטענה אי בעי משבעי אהדדי כל יומא ולא אמרי' ימתין עד לבסוף ואז ישבע על הכל</w:t>
      </w:r>
      <w:r>
        <w:rPr>
          <w:rFonts w:cs="Arial" w:hint="cs"/>
          <w:sz w:val="16"/>
          <w:szCs w:val="16"/>
          <w:rtl/>
        </w:rPr>
        <w:t>,</w:t>
      </w:r>
      <w:r w:rsidRPr="00824AA7">
        <w:rPr>
          <w:rFonts w:cs="Arial"/>
          <w:sz w:val="16"/>
          <w:szCs w:val="16"/>
          <w:rtl/>
        </w:rPr>
        <w:t xml:space="preserve"> אלא נראה דהיינו טעמא גבי אשה דאי ידעה שעתידין להשביעה על מזונותיה בימי מיגר אלמנותיה שהיא יושבת לכבודו הויא לה קטטה מעיקרא בהדי בעלה ואין אדם דר עם נחש בכפיפה</w:t>
      </w:r>
      <w:r>
        <w:rPr>
          <w:rFonts w:cs="Arial" w:hint="cs"/>
          <w:sz w:val="16"/>
          <w:szCs w:val="16"/>
          <w:rtl/>
        </w:rPr>
        <w:t>,</w:t>
      </w:r>
      <w:r w:rsidRPr="00824AA7">
        <w:rPr>
          <w:rFonts w:cs="Arial"/>
          <w:sz w:val="16"/>
          <w:szCs w:val="16"/>
          <w:rtl/>
        </w:rPr>
        <w:t xml:space="preserve"> אבל בנדון זה שרגלים לדבר וראוי לחושדה לפי שתפסה ממון היתומים </w:t>
      </w:r>
      <w:r w:rsidRPr="00824AA7">
        <w:rPr>
          <w:rFonts w:cs="Arial"/>
          <w:sz w:val="16"/>
          <w:szCs w:val="16"/>
          <w:rtl/>
        </w:rPr>
        <w:lastRenderedPageBreak/>
        <w:t>והיה ראוי להשביעה מיד אלא שלא מצינו שבועה כיוצא בזו כדפרישית לעיל מ"מ ודאי אם תתבע מזונות אח"כ ראוי להשביעה לכ</w:t>
      </w:r>
      <w:r>
        <w:rPr>
          <w:rFonts w:cs="Arial" w:hint="cs"/>
          <w:sz w:val="16"/>
          <w:szCs w:val="16"/>
          <w:rtl/>
        </w:rPr>
        <w:t>ו</w:t>
      </w:r>
      <w:r w:rsidRPr="00824AA7">
        <w:rPr>
          <w:rFonts w:cs="Arial"/>
          <w:sz w:val="16"/>
          <w:szCs w:val="16"/>
          <w:rtl/>
        </w:rPr>
        <w:t>"ע</w:t>
      </w:r>
      <w:r>
        <w:rPr>
          <w:rFonts w:cs="Arial" w:hint="cs"/>
          <w:sz w:val="16"/>
          <w:szCs w:val="16"/>
          <w:rtl/>
        </w:rPr>
        <w:t>.</w:t>
      </w:r>
      <w:r w:rsidRPr="00824AA7">
        <w:rPr>
          <w:rFonts w:cs="Arial"/>
          <w:sz w:val="16"/>
          <w:szCs w:val="16"/>
          <w:rtl/>
        </w:rPr>
        <w:t xml:space="preserve"> ע"כ דברי רבינו מאיר</w:t>
      </w:r>
      <w:r>
        <w:rPr>
          <w:rFonts w:cs="Arial" w:hint="cs"/>
          <w:sz w:val="16"/>
          <w:szCs w:val="16"/>
          <w:rtl/>
        </w:rPr>
        <w:t>.</w:t>
      </w:r>
      <w:r w:rsidRPr="00824AA7">
        <w:rPr>
          <w:rFonts w:cs="Arial"/>
          <w:sz w:val="16"/>
          <w:szCs w:val="16"/>
          <w:rtl/>
        </w:rPr>
        <w:t xml:space="preserve"> ומתוך דברי הרמב"ם ז"ל משמע שפסק כתלמידי דרבי' יונה דאמרי' לה חוי מה שבידך</w:t>
      </w:r>
      <w:r>
        <w:rPr>
          <w:rFonts w:cs="Arial" w:hint="cs"/>
          <w:sz w:val="16"/>
          <w:szCs w:val="16"/>
          <w:rtl/>
        </w:rPr>
        <w:t>,</w:t>
      </w:r>
      <w:r w:rsidRPr="00824AA7">
        <w:rPr>
          <w:rFonts w:cs="Arial"/>
          <w:sz w:val="16"/>
          <w:szCs w:val="16"/>
          <w:rtl/>
        </w:rPr>
        <w:t xml:space="preserve"> וכן מסתבר</w:t>
      </w:r>
      <w:r>
        <w:rPr>
          <w:rFonts w:cs="Arial" w:hint="cs"/>
          <w:sz w:val="16"/>
          <w:szCs w:val="16"/>
          <w:rtl/>
        </w:rPr>
        <w:t xml:space="preserve">. </w:t>
      </w:r>
      <w:r w:rsidRPr="002805FF">
        <w:rPr>
          <w:rFonts w:cs="Arial" w:hint="cs"/>
          <w:b/>
          <w:bCs/>
          <w:sz w:val="16"/>
          <w:szCs w:val="16"/>
          <w:rtl/>
        </w:rPr>
        <w:t>עכ"ל הרא"ש</w:t>
      </w:r>
      <w:r>
        <w:rPr>
          <w:rFonts w:cs="Arial" w:hint="cs"/>
          <w:sz w:val="16"/>
          <w:szCs w:val="16"/>
          <w:rtl/>
        </w:rPr>
        <w:t>. וכ"כ המרדכי (סי' רנא))</w:t>
      </w:r>
      <w:r w:rsidRPr="001E711F">
        <w:rPr>
          <w:rFonts w:cs="Arial"/>
          <w:rtl/>
        </w:rPr>
        <w:t xml:space="preserve"> </w:t>
      </w:r>
    </w:p>
    <w:p w14:paraId="525BB97B" w14:textId="77777777" w:rsidR="001E7C1A" w:rsidRPr="00E27156" w:rsidRDefault="001E7C1A" w:rsidP="001E7C1A">
      <w:pPr>
        <w:rPr>
          <w:u w:val="single"/>
        </w:rPr>
      </w:pPr>
      <w:r w:rsidRPr="00E27156">
        <w:rPr>
          <w:rFonts w:hint="cs"/>
          <w:u w:val="single"/>
          <w:rtl/>
        </w:rPr>
        <w:t>אלמנה שתפ</w:t>
      </w:r>
      <w:r>
        <w:rPr>
          <w:rFonts w:hint="cs"/>
          <w:u w:val="single"/>
          <w:rtl/>
        </w:rPr>
        <w:t>ס</w:t>
      </w:r>
      <w:r w:rsidRPr="00E27156">
        <w:rPr>
          <w:rFonts w:hint="cs"/>
          <w:u w:val="single"/>
          <w:rtl/>
        </w:rPr>
        <w:t>ה מטלטלים</w:t>
      </w:r>
      <w:r>
        <w:rPr>
          <w:rFonts w:hint="cs"/>
          <w:u w:val="single"/>
          <w:rtl/>
        </w:rPr>
        <w:t xml:space="preserve"> בשביל מזונותיה</w:t>
      </w:r>
      <w:r w:rsidRPr="00E27156">
        <w:rPr>
          <w:rFonts w:hint="cs"/>
          <w:u w:val="single"/>
          <w:rtl/>
        </w:rPr>
        <w:t>:</w:t>
      </w:r>
    </w:p>
    <w:p w14:paraId="23E78923" w14:textId="0FCDC0A4" w:rsidR="001E7C1A" w:rsidRPr="00A34864" w:rsidRDefault="001E7C1A" w:rsidP="009000E3">
      <w:pPr>
        <w:pStyle w:val="ab"/>
        <w:numPr>
          <w:ilvl w:val="0"/>
          <w:numId w:val="61"/>
        </w:numPr>
        <w:ind w:left="360"/>
        <w:rPr>
          <w:u w:val="dotted"/>
        </w:rPr>
      </w:pPr>
      <w:r w:rsidRPr="005D4C04">
        <w:rPr>
          <w:rFonts w:cs="Arial" w:hint="cs"/>
          <w:rtl/>
        </w:rPr>
        <w:t xml:space="preserve">טור- </w:t>
      </w:r>
      <w:r w:rsidRPr="005D4C04">
        <w:rPr>
          <w:rFonts w:cs="Arial"/>
          <w:rtl/>
        </w:rPr>
        <w:t xml:space="preserve">תפשה הרבה מטלטלים בשביל מזונותיה </w:t>
      </w:r>
      <w:r w:rsidRPr="005D4C04">
        <w:rPr>
          <w:rFonts w:cs="Arial" w:hint="cs"/>
          <w:rtl/>
        </w:rPr>
        <w:t xml:space="preserve">- </w:t>
      </w:r>
      <w:r w:rsidRPr="005D4C04">
        <w:rPr>
          <w:rFonts w:cs="Arial"/>
          <w:rtl/>
        </w:rPr>
        <w:t>אין מוציאין מידה</w:t>
      </w:r>
      <w:r w:rsidRPr="005D4C04">
        <w:rPr>
          <w:rFonts w:cs="Arial" w:hint="cs"/>
          <w:rtl/>
        </w:rPr>
        <w:t>.</w:t>
      </w:r>
      <w:r w:rsidRPr="005D4C04">
        <w:rPr>
          <w:rFonts w:cs="Arial"/>
          <w:rtl/>
        </w:rPr>
        <w:t xml:space="preserve"> </w:t>
      </w:r>
      <w:r w:rsidR="00324B06" w:rsidRPr="00B940D2">
        <w:rPr>
          <w:rFonts w:hint="cs"/>
          <w:color w:val="E36C0A" w:themeColor="accent6" w:themeShade="BF"/>
          <w:rtl/>
        </w:rPr>
        <w:t>(וכ"פ בשו"ע)</w:t>
      </w:r>
    </w:p>
    <w:p w14:paraId="0484DB4F" w14:textId="77777777" w:rsidR="001E7C1A" w:rsidRPr="00A34864" w:rsidRDefault="001E7C1A" w:rsidP="00603FE2">
      <w:pPr>
        <w:ind w:left="360"/>
        <w:rPr>
          <w:u w:val="dotted"/>
        </w:rPr>
      </w:pPr>
      <w:r w:rsidRPr="00A34864">
        <w:rPr>
          <w:rFonts w:hint="cs"/>
          <w:u w:val="dotted"/>
          <w:rtl/>
        </w:rPr>
        <w:t>ומה הדין אם היורשים טוענים שתפ</w:t>
      </w:r>
      <w:r>
        <w:rPr>
          <w:rFonts w:hint="cs"/>
          <w:u w:val="dotted"/>
          <w:rtl/>
        </w:rPr>
        <w:t>ס</w:t>
      </w:r>
      <w:r w:rsidRPr="00A34864">
        <w:rPr>
          <w:rFonts w:hint="cs"/>
          <w:u w:val="dotted"/>
          <w:rtl/>
        </w:rPr>
        <w:t>ה יותר מכדי כתובתה</w:t>
      </w:r>
      <w:r>
        <w:rPr>
          <w:rFonts w:hint="cs"/>
          <w:u w:val="dotted"/>
          <w:rtl/>
        </w:rPr>
        <w:t xml:space="preserve"> - האם אומרים להראות/להישבע כמה לקחה</w:t>
      </w:r>
      <w:r w:rsidRPr="00A34864">
        <w:rPr>
          <w:rFonts w:hint="cs"/>
          <w:u w:val="dotted"/>
          <w:rtl/>
        </w:rPr>
        <w:t>:</w:t>
      </w:r>
    </w:p>
    <w:p w14:paraId="4BCA165B" w14:textId="3F279520" w:rsidR="006619E4" w:rsidRPr="006619E4" w:rsidRDefault="001E7C1A" w:rsidP="009000E3">
      <w:pPr>
        <w:pStyle w:val="ab"/>
        <w:numPr>
          <w:ilvl w:val="0"/>
          <w:numId w:val="61"/>
        </w:numPr>
      </w:pPr>
      <w:r w:rsidRPr="000A1431">
        <w:rPr>
          <w:rFonts w:cs="Arial"/>
          <w:rtl/>
        </w:rPr>
        <w:t>רי</w:t>
      </w:r>
      <w:r>
        <w:rPr>
          <w:rFonts w:cs="Arial" w:hint="cs"/>
          <w:rtl/>
        </w:rPr>
        <w:t>צ</w:t>
      </w:r>
      <w:r w:rsidRPr="000A1431">
        <w:rPr>
          <w:rFonts w:cs="Arial"/>
          <w:rtl/>
        </w:rPr>
        <w:t>ב"א</w:t>
      </w:r>
      <w:r>
        <w:rPr>
          <w:rFonts w:cs="Arial" w:hint="cs"/>
          <w:sz w:val="16"/>
          <w:szCs w:val="16"/>
          <w:rtl/>
        </w:rPr>
        <w:t xml:space="preserve"> (כ"כ הרא"ש [שם] והטור בשמו)</w:t>
      </w:r>
      <w:r>
        <w:rPr>
          <w:rFonts w:cs="Arial" w:hint="cs"/>
          <w:rtl/>
        </w:rPr>
        <w:t>-</w:t>
      </w:r>
      <w:r w:rsidRPr="000A1431">
        <w:rPr>
          <w:rFonts w:cs="Arial"/>
          <w:rtl/>
        </w:rPr>
        <w:t xml:space="preserve"> דוקא שהדבר ידוע שתפסה פחות מכדי כתובתה</w:t>
      </w:r>
      <w:r>
        <w:rPr>
          <w:rFonts w:cs="Arial" w:hint="cs"/>
          <w:sz w:val="16"/>
          <w:szCs w:val="16"/>
          <w:rtl/>
        </w:rPr>
        <w:t xml:space="preserve"> {אין מוציאין מידה ואינה צריכה להישבע}</w:t>
      </w:r>
      <w:r>
        <w:rPr>
          <w:rFonts w:cs="Arial" w:hint="cs"/>
          <w:rtl/>
        </w:rPr>
        <w:t>,</w:t>
      </w:r>
      <w:r w:rsidRPr="000A1431">
        <w:rPr>
          <w:rFonts w:cs="Arial"/>
          <w:rtl/>
        </w:rPr>
        <w:t xml:space="preserve"> אבל אם היורשים אומרים שתפשה יותר מכדי כתובתה</w:t>
      </w:r>
      <w:r>
        <w:rPr>
          <w:rFonts w:cs="Arial" w:hint="cs"/>
          <w:rtl/>
        </w:rPr>
        <w:t xml:space="preserve"> -</w:t>
      </w:r>
      <w:r w:rsidRPr="000A1431">
        <w:rPr>
          <w:rFonts w:cs="Arial"/>
          <w:rtl/>
        </w:rPr>
        <w:t xml:space="preserve"> צריכה לישבע מה שתפשה</w:t>
      </w:r>
      <w:r w:rsidR="00603FE2">
        <w:rPr>
          <w:rFonts w:cs="Arial" w:hint="cs"/>
          <w:rtl/>
        </w:rPr>
        <w:t xml:space="preserve"> </w:t>
      </w:r>
      <w:r w:rsidR="00603FE2">
        <w:rPr>
          <w:rFonts w:cs="Arial" w:hint="cs"/>
          <w:sz w:val="16"/>
          <w:szCs w:val="16"/>
          <w:rtl/>
        </w:rPr>
        <w:t>(ל' הטור בשמו)</w:t>
      </w:r>
      <w:r>
        <w:rPr>
          <w:rFonts w:cs="Arial" w:hint="cs"/>
          <w:rtl/>
        </w:rPr>
        <w:t>.</w:t>
      </w:r>
      <w:r w:rsidRPr="000A1431">
        <w:rPr>
          <w:rFonts w:cs="Arial"/>
          <w:rtl/>
        </w:rPr>
        <w:t xml:space="preserve"> </w:t>
      </w:r>
    </w:p>
    <w:p w14:paraId="02A37E43" w14:textId="416D8C5E" w:rsidR="006619E4" w:rsidRDefault="001E7C1A" w:rsidP="009000E3">
      <w:pPr>
        <w:pStyle w:val="ab"/>
        <w:numPr>
          <w:ilvl w:val="0"/>
          <w:numId w:val="61"/>
        </w:numPr>
        <w:rPr>
          <w:rFonts w:cs="Arial"/>
        </w:rPr>
      </w:pPr>
      <w:r w:rsidRPr="000A1431">
        <w:rPr>
          <w:rFonts w:cs="Arial"/>
          <w:rtl/>
        </w:rPr>
        <w:t>רבינו שמשון</w:t>
      </w:r>
      <w:r>
        <w:rPr>
          <w:rFonts w:cs="Arial" w:hint="cs"/>
          <w:rtl/>
        </w:rPr>
        <w:t xml:space="preserve"> ומהר"ם </w:t>
      </w:r>
      <w:r>
        <w:rPr>
          <w:rFonts w:cs="Arial" w:hint="cs"/>
          <w:sz w:val="16"/>
          <w:szCs w:val="16"/>
          <w:rtl/>
        </w:rPr>
        <w:t>(כ"כ הרא"ש [שם] והטור בשמם)</w:t>
      </w:r>
      <w:r>
        <w:rPr>
          <w:rFonts w:cs="Arial" w:hint="cs"/>
          <w:rtl/>
        </w:rPr>
        <w:t xml:space="preserve">- </w:t>
      </w:r>
      <w:r w:rsidRPr="00271B8E">
        <w:rPr>
          <w:rFonts w:cs="Arial"/>
          <w:rtl/>
        </w:rPr>
        <w:t>אפי' תפשה הרבה יותר מכתובתה אין מוציאין מידה ואין משביעין אותה</w:t>
      </w:r>
      <w:r w:rsidR="00603FE2">
        <w:rPr>
          <w:rFonts w:cs="Arial" w:hint="cs"/>
          <w:rtl/>
        </w:rPr>
        <w:t xml:space="preserve"> </w:t>
      </w:r>
      <w:r w:rsidR="00603FE2">
        <w:rPr>
          <w:rFonts w:cs="Arial" w:hint="cs"/>
          <w:sz w:val="16"/>
          <w:szCs w:val="16"/>
          <w:rtl/>
        </w:rPr>
        <w:t>(ל' הטור בשם מהר"ם)</w:t>
      </w:r>
      <w:r>
        <w:rPr>
          <w:rFonts w:cs="Arial" w:hint="cs"/>
          <w:rtl/>
        </w:rPr>
        <w:t>.</w:t>
      </w:r>
      <w:r w:rsidRPr="00271B8E">
        <w:rPr>
          <w:rFonts w:cs="Arial"/>
          <w:rtl/>
        </w:rPr>
        <w:t xml:space="preserve"> </w:t>
      </w:r>
    </w:p>
    <w:p w14:paraId="1AF5195E" w14:textId="22AEC15A" w:rsidR="001E7C1A" w:rsidRDefault="001E7C1A" w:rsidP="009000E3">
      <w:pPr>
        <w:pStyle w:val="ab"/>
        <w:numPr>
          <w:ilvl w:val="0"/>
          <w:numId w:val="61"/>
        </w:numPr>
      </w:pPr>
      <w:r>
        <w:rPr>
          <w:rFonts w:cs="Arial" w:hint="cs"/>
          <w:rtl/>
        </w:rPr>
        <w:t xml:space="preserve">רמב"ם </w:t>
      </w:r>
      <w:r>
        <w:rPr>
          <w:rFonts w:cs="Arial" w:hint="cs"/>
          <w:sz w:val="16"/>
          <w:szCs w:val="16"/>
          <w:rtl/>
        </w:rPr>
        <w:t>(פי"ח ה"י)</w:t>
      </w:r>
      <w:r>
        <w:rPr>
          <w:rFonts w:cs="Arial" w:hint="cs"/>
          <w:rtl/>
        </w:rPr>
        <w:t>-</w:t>
      </w:r>
      <w:r w:rsidRPr="003F410D">
        <w:rPr>
          <w:rtl/>
        </w:rPr>
        <w:t xml:space="preserve"> </w:t>
      </w:r>
      <w:r w:rsidRPr="003F410D">
        <w:rPr>
          <w:rFonts w:cs="Arial"/>
          <w:rtl/>
        </w:rPr>
        <w:t>אלמנה שתפסה מטלטלין כדי שתזון מהן</w:t>
      </w:r>
      <w:r>
        <w:rPr>
          <w:rFonts w:cs="Arial" w:hint="cs"/>
          <w:rtl/>
        </w:rPr>
        <w:t>,</w:t>
      </w:r>
      <w:r w:rsidRPr="003F410D">
        <w:rPr>
          <w:rFonts w:cs="Arial"/>
          <w:rtl/>
        </w:rPr>
        <w:t xml:space="preserve"> בין שתפסה מחיים בין שתפסה אחר מותו</w:t>
      </w:r>
      <w:r>
        <w:rPr>
          <w:rFonts w:cs="Arial" w:hint="cs"/>
          <w:rtl/>
        </w:rPr>
        <w:t>,</w:t>
      </w:r>
      <w:r w:rsidRPr="003F410D">
        <w:rPr>
          <w:rFonts w:cs="Arial"/>
          <w:rtl/>
        </w:rPr>
        <w:t xml:space="preserve"> אפילו תפסה ככר זהב </w:t>
      </w:r>
      <w:r>
        <w:rPr>
          <w:rFonts w:cs="Arial" w:hint="cs"/>
          <w:rtl/>
        </w:rPr>
        <w:t xml:space="preserve">- </w:t>
      </w:r>
      <w:r w:rsidRPr="003F410D">
        <w:rPr>
          <w:rFonts w:cs="Arial"/>
          <w:rtl/>
        </w:rPr>
        <w:t>אין מוציאין מידה</w:t>
      </w:r>
      <w:r>
        <w:rPr>
          <w:rFonts w:cs="Arial" w:hint="cs"/>
          <w:rtl/>
        </w:rPr>
        <w:t>,</w:t>
      </w:r>
      <w:r w:rsidRPr="003F410D">
        <w:rPr>
          <w:rFonts w:cs="Arial"/>
          <w:rtl/>
        </w:rPr>
        <w:t xml:space="preserve"> אלא כותבין עליה בית דין מה שתפסה</w:t>
      </w:r>
      <w:r>
        <w:rPr>
          <w:rStyle w:val="a7"/>
          <w:rFonts w:cs="Arial"/>
          <w:rtl/>
        </w:rPr>
        <w:footnoteReference w:id="1637"/>
      </w:r>
      <w:r>
        <w:rPr>
          <w:rFonts w:cs="Arial" w:hint="cs"/>
          <w:rtl/>
        </w:rPr>
        <w:t>,</w:t>
      </w:r>
      <w:r w:rsidRPr="003F410D">
        <w:rPr>
          <w:rFonts w:cs="Arial"/>
          <w:rtl/>
        </w:rPr>
        <w:t xml:space="preserve"> ופוסקין לה מזונות ומחשבין עמה</w:t>
      </w:r>
      <w:r>
        <w:rPr>
          <w:rFonts w:cs="Arial" w:hint="cs"/>
          <w:rtl/>
        </w:rPr>
        <w:t>,</w:t>
      </w:r>
      <w:r w:rsidRPr="003F410D">
        <w:rPr>
          <w:rFonts w:cs="Arial"/>
          <w:rtl/>
        </w:rPr>
        <w:t xml:space="preserve"> והיא ניזונית ממה שבידה עד שתמות או עד שלא יהיו לה מזונות</w:t>
      </w:r>
      <w:r>
        <w:rPr>
          <w:rFonts w:cs="Arial" w:hint="cs"/>
          <w:rtl/>
        </w:rPr>
        <w:t>,</w:t>
      </w:r>
      <w:r w:rsidRPr="003F410D">
        <w:rPr>
          <w:rFonts w:cs="Arial"/>
          <w:rtl/>
        </w:rPr>
        <w:t xml:space="preserve"> ויקחו היורשין את השאר.</w:t>
      </w:r>
      <w:r w:rsidRPr="001107E9">
        <w:rPr>
          <w:rFonts w:cs="Arial"/>
          <w:rtl/>
        </w:rPr>
        <w:t xml:space="preserve"> </w:t>
      </w:r>
      <w:r w:rsidR="00324B06" w:rsidRPr="00B940D2">
        <w:rPr>
          <w:rFonts w:hint="cs"/>
          <w:color w:val="E36C0A" w:themeColor="accent6" w:themeShade="BF"/>
          <w:rtl/>
        </w:rPr>
        <w:t>(וכ"פ בשו"ע)</w:t>
      </w:r>
    </w:p>
    <w:p w14:paraId="253C4CF3" w14:textId="12810831" w:rsidR="00603FE2" w:rsidRPr="00603FE2" w:rsidRDefault="00603FE2" w:rsidP="00603FE2">
      <w:pPr>
        <w:ind w:left="360"/>
        <w:rPr>
          <w:u w:val="dotted"/>
        </w:rPr>
      </w:pPr>
      <w:r w:rsidRPr="00603FE2">
        <w:rPr>
          <w:rFonts w:hint="cs"/>
          <w:u w:val="dotted"/>
          <w:rtl/>
        </w:rPr>
        <w:t xml:space="preserve">ומה הדין אם </w:t>
      </w:r>
      <w:r>
        <w:rPr>
          <w:rFonts w:hint="cs"/>
          <w:u w:val="dotted"/>
          <w:rtl/>
        </w:rPr>
        <w:t xml:space="preserve">האלמנה </w:t>
      </w:r>
      <w:r w:rsidRPr="00603FE2">
        <w:rPr>
          <w:rFonts w:hint="cs"/>
          <w:u w:val="dotted"/>
          <w:rtl/>
        </w:rPr>
        <w:t xml:space="preserve">טוענת שנגמרו </w:t>
      </w:r>
      <w:r>
        <w:rPr>
          <w:rFonts w:hint="cs"/>
          <w:u w:val="dotted"/>
          <w:rtl/>
        </w:rPr>
        <w:t>ה</w:t>
      </w:r>
      <w:r w:rsidRPr="00603FE2">
        <w:rPr>
          <w:rFonts w:hint="cs"/>
          <w:u w:val="dotted"/>
          <w:rtl/>
        </w:rPr>
        <w:t>מזונות</w:t>
      </w:r>
      <w:r>
        <w:rPr>
          <w:rFonts w:hint="cs"/>
          <w:u w:val="dotted"/>
          <w:rtl/>
        </w:rPr>
        <w:t xml:space="preserve"> שתפסה</w:t>
      </w:r>
      <w:r w:rsidRPr="00603FE2">
        <w:rPr>
          <w:rFonts w:hint="cs"/>
          <w:u w:val="dotted"/>
          <w:rtl/>
        </w:rPr>
        <w:t xml:space="preserve"> ותובעת עוד:</w:t>
      </w:r>
    </w:p>
    <w:p w14:paraId="0D70D150" w14:textId="77777777" w:rsidR="00603FE2" w:rsidRPr="001051CE" w:rsidRDefault="00603FE2" w:rsidP="009000E3">
      <w:pPr>
        <w:pStyle w:val="ab"/>
        <w:numPr>
          <w:ilvl w:val="0"/>
          <w:numId w:val="61"/>
        </w:numPr>
      </w:pPr>
      <w:r w:rsidRPr="000A1431">
        <w:rPr>
          <w:rFonts w:cs="Arial"/>
          <w:rtl/>
        </w:rPr>
        <w:t>רי</w:t>
      </w:r>
      <w:r>
        <w:rPr>
          <w:rFonts w:cs="Arial" w:hint="cs"/>
          <w:rtl/>
        </w:rPr>
        <w:t>צ</w:t>
      </w:r>
      <w:r w:rsidRPr="000A1431">
        <w:rPr>
          <w:rFonts w:cs="Arial"/>
          <w:rtl/>
        </w:rPr>
        <w:t>ב"א</w:t>
      </w:r>
      <w:r>
        <w:rPr>
          <w:rFonts w:cs="Arial" w:hint="cs"/>
          <w:sz w:val="16"/>
          <w:szCs w:val="16"/>
          <w:rtl/>
        </w:rPr>
        <w:t xml:space="preserve"> (כ"כ הרא"ש [שם] והטור בשמו)</w:t>
      </w:r>
      <w:r>
        <w:rPr>
          <w:rFonts w:cs="Arial" w:hint="cs"/>
          <w:rtl/>
        </w:rPr>
        <w:t>-</w:t>
      </w:r>
      <w:r w:rsidRPr="000A1431">
        <w:rPr>
          <w:rFonts w:cs="Arial"/>
          <w:rtl/>
        </w:rPr>
        <w:t xml:space="preserve"> ואפילו תפשה פחות מכדי כתובתה</w:t>
      </w:r>
      <w:r>
        <w:rPr>
          <w:rFonts w:cs="Arial" w:hint="cs"/>
          <w:rtl/>
        </w:rPr>
        <w:t>,</w:t>
      </w:r>
      <w:r w:rsidRPr="000A1431">
        <w:rPr>
          <w:rFonts w:cs="Arial"/>
          <w:rtl/>
        </w:rPr>
        <w:t xml:space="preserve"> אם באת אח"כ ואמר אכלתי הכל </w:t>
      </w:r>
      <w:r>
        <w:rPr>
          <w:rFonts w:cs="Arial" w:hint="cs"/>
          <w:rtl/>
        </w:rPr>
        <w:t xml:space="preserve">- </w:t>
      </w:r>
      <w:r w:rsidRPr="000A1431">
        <w:rPr>
          <w:rFonts w:cs="Arial"/>
          <w:rtl/>
        </w:rPr>
        <w:t>צריכ</w:t>
      </w:r>
      <w:r>
        <w:rPr>
          <w:rFonts w:cs="Arial" w:hint="cs"/>
          <w:rtl/>
        </w:rPr>
        <w:t>ה</w:t>
      </w:r>
      <w:r w:rsidRPr="000A1431">
        <w:rPr>
          <w:rFonts w:cs="Arial"/>
          <w:rtl/>
        </w:rPr>
        <w:t xml:space="preserve"> לישבע</w:t>
      </w:r>
      <w:r>
        <w:rPr>
          <w:rFonts w:cs="Arial" w:hint="cs"/>
          <w:sz w:val="16"/>
          <w:szCs w:val="16"/>
          <w:rtl/>
        </w:rPr>
        <w:t xml:space="preserve"> (ל' הטור בשמו)</w:t>
      </w:r>
      <w:r>
        <w:rPr>
          <w:rFonts w:cs="Arial" w:hint="cs"/>
          <w:rtl/>
        </w:rPr>
        <w:t>.</w:t>
      </w:r>
      <w:r w:rsidRPr="000A1431">
        <w:rPr>
          <w:rFonts w:cs="Arial"/>
          <w:rtl/>
        </w:rPr>
        <w:t xml:space="preserve"> </w:t>
      </w:r>
    </w:p>
    <w:p w14:paraId="2EC66DD8" w14:textId="187E5F3A" w:rsidR="00603FE2" w:rsidRPr="00603FE2" w:rsidRDefault="00603FE2" w:rsidP="009000E3">
      <w:pPr>
        <w:pStyle w:val="ab"/>
        <w:numPr>
          <w:ilvl w:val="0"/>
          <w:numId w:val="61"/>
        </w:numPr>
        <w:rPr>
          <w:rFonts w:cs="Arial"/>
          <w:rtl/>
        </w:rPr>
      </w:pPr>
      <w:r>
        <w:rPr>
          <w:rFonts w:cs="Arial" w:hint="cs"/>
          <w:rtl/>
        </w:rPr>
        <w:t xml:space="preserve">רמב"ם </w:t>
      </w:r>
      <w:r>
        <w:rPr>
          <w:rFonts w:cs="Arial" w:hint="cs"/>
          <w:sz w:val="16"/>
          <w:szCs w:val="16"/>
          <w:rtl/>
        </w:rPr>
        <w:t>(פי"ח הי"ט)</w:t>
      </w:r>
      <w:r>
        <w:rPr>
          <w:rFonts w:cs="Arial" w:hint="cs"/>
          <w:rtl/>
        </w:rPr>
        <w:t xml:space="preserve"> </w:t>
      </w:r>
      <w:r w:rsidRPr="000A1431">
        <w:rPr>
          <w:rFonts w:cs="Arial"/>
          <w:rtl/>
        </w:rPr>
        <w:t>רבינו שמשון</w:t>
      </w:r>
      <w:r>
        <w:rPr>
          <w:rFonts w:cs="Arial" w:hint="cs"/>
          <w:rtl/>
        </w:rPr>
        <w:t xml:space="preserve"> ומהר"ם </w:t>
      </w:r>
      <w:r>
        <w:rPr>
          <w:rFonts w:cs="Arial" w:hint="cs"/>
          <w:sz w:val="16"/>
          <w:szCs w:val="16"/>
          <w:rtl/>
        </w:rPr>
        <w:t>(כ"כ הרא"ש [שם] והטור בשמם)</w:t>
      </w:r>
      <w:r>
        <w:rPr>
          <w:rFonts w:cs="Arial" w:hint="cs"/>
          <w:rtl/>
        </w:rPr>
        <w:t xml:space="preserve">- </w:t>
      </w:r>
      <w:r w:rsidRPr="00271B8E">
        <w:rPr>
          <w:rFonts w:cs="Arial"/>
          <w:rtl/>
        </w:rPr>
        <w:t>אבל אם אחר כך שואלת מזונות יותר</w:t>
      </w:r>
      <w:r>
        <w:rPr>
          <w:rFonts w:cs="Arial" w:hint="cs"/>
          <w:rtl/>
        </w:rPr>
        <w:t>,</w:t>
      </w:r>
      <w:r w:rsidRPr="00271B8E">
        <w:rPr>
          <w:rFonts w:cs="Arial"/>
          <w:rtl/>
        </w:rPr>
        <w:t xml:space="preserve"> אפי' אם לא תפשה יותר מכתובתה אלא שתפשה יותר ממה שראוי להגבות בב"ד בפעם אחת דהיינו מזון ל' יום </w:t>
      </w:r>
      <w:r>
        <w:rPr>
          <w:rFonts w:cs="Arial" w:hint="cs"/>
          <w:rtl/>
        </w:rPr>
        <w:t xml:space="preserve">- </w:t>
      </w:r>
      <w:r w:rsidRPr="00271B8E">
        <w:rPr>
          <w:rFonts w:cs="Arial"/>
          <w:rtl/>
        </w:rPr>
        <w:t>לא יהבינן לה עד שתשבע שמשביעין אותה שלא נשאר בידה ממה שתפשה ולא נתנה ולא בזבזה ממנו כלום</w:t>
      </w:r>
      <w:r>
        <w:rPr>
          <w:rFonts w:cs="Arial" w:hint="cs"/>
          <w:sz w:val="16"/>
          <w:szCs w:val="16"/>
          <w:rtl/>
        </w:rPr>
        <w:t xml:space="preserve"> (ל' הטור בשם מהר"ם)</w:t>
      </w:r>
      <w:r w:rsidRPr="00271B8E">
        <w:rPr>
          <w:rFonts w:cs="Arial" w:hint="cs"/>
          <w:rtl/>
        </w:rPr>
        <w:t>.</w:t>
      </w:r>
      <w:r w:rsidRPr="00324B06">
        <w:rPr>
          <w:rFonts w:hint="cs"/>
          <w:color w:val="E36C0A" w:themeColor="accent6" w:themeShade="BF"/>
          <w:rtl/>
        </w:rPr>
        <w:t xml:space="preserve"> </w:t>
      </w:r>
      <w:r w:rsidRPr="00B940D2">
        <w:rPr>
          <w:rFonts w:hint="cs"/>
          <w:color w:val="E36C0A" w:themeColor="accent6" w:themeShade="BF"/>
          <w:rtl/>
        </w:rPr>
        <w:t>(וכ"פ בשו"ע</w:t>
      </w:r>
      <w:r>
        <w:rPr>
          <w:rFonts w:hint="cs"/>
          <w:color w:val="E36C0A" w:themeColor="accent6" w:themeShade="BF"/>
          <w:sz w:val="16"/>
          <w:szCs w:val="16"/>
          <w:rtl/>
        </w:rPr>
        <w:t xml:space="preserve"> </w:t>
      </w:r>
      <w:r w:rsidRPr="00324B06">
        <w:rPr>
          <w:rFonts w:hint="cs"/>
          <w:color w:val="000000" w:themeColor="text1"/>
          <w:sz w:val="16"/>
          <w:szCs w:val="16"/>
          <w:rtl/>
        </w:rPr>
        <w:t>[</w:t>
      </w:r>
      <w:r>
        <w:rPr>
          <w:rFonts w:hint="cs"/>
          <w:color w:val="000000" w:themeColor="text1"/>
          <w:sz w:val="16"/>
          <w:szCs w:val="16"/>
          <w:rtl/>
        </w:rPr>
        <w:t>בסע' כד</w:t>
      </w:r>
      <w:r w:rsidRPr="00324B06">
        <w:rPr>
          <w:rFonts w:hint="cs"/>
          <w:color w:val="000000" w:themeColor="text1"/>
          <w:sz w:val="16"/>
          <w:szCs w:val="16"/>
          <w:rtl/>
        </w:rPr>
        <w:t>]</w:t>
      </w:r>
      <w:r w:rsidRPr="00B940D2">
        <w:rPr>
          <w:rFonts w:hint="cs"/>
          <w:color w:val="E36C0A" w:themeColor="accent6" w:themeShade="BF"/>
          <w:rtl/>
        </w:rPr>
        <w:t>)</w:t>
      </w:r>
      <w:r w:rsidRPr="00271B8E">
        <w:rPr>
          <w:rFonts w:cs="Arial"/>
          <w:rtl/>
        </w:rPr>
        <w:t xml:space="preserve"> </w:t>
      </w:r>
    </w:p>
    <w:p w14:paraId="47DAF46E" w14:textId="77777777" w:rsidR="001E7C1A" w:rsidRDefault="001E7C1A" w:rsidP="001E7C1A">
      <w:pPr>
        <w:rPr>
          <w:rFonts w:cs="Arial"/>
          <w:rtl/>
        </w:rPr>
      </w:pPr>
      <w:r w:rsidRPr="00924F79">
        <w:rPr>
          <w:rFonts w:cs="Arial" w:hint="cs"/>
          <w:u w:val="single"/>
          <w:rtl/>
        </w:rPr>
        <w:t>אלמנה שתפסה מטלטלים לאחר מיתת הבעל:</w:t>
      </w:r>
    </w:p>
    <w:p w14:paraId="35DFEC2A" w14:textId="77777777" w:rsidR="001E7C1A" w:rsidRPr="00170D6C" w:rsidRDefault="001E7C1A" w:rsidP="009000E3">
      <w:pPr>
        <w:pStyle w:val="ab"/>
        <w:numPr>
          <w:ilvl w:val="0"/>
          <w:numId w:val="82"/>
        </w:numPr>
      </w:pPr>
      <w:r w:rsidRPr="00924F79">
        <w:rPr>
          <w:rFonts w:cs="Arial" w:hint="cs"/>
          <w:rtl/>
        </w:rPr>
        <w:t>רי"ו</w:t>
      </w:r>
      <w:r w:rsidRPr="00924F79">
        <w:rPr>
          <w:rFonts w:cs="Arial"/>
          <w:rtl/>
        </w:rPr>
        <w:t xml:space="preserve"> </w:t>
      </w:r>
      <w:r w:rsidRPr="00924F79">
        <w:rPr>
          <w:rFonts w:cs="Arial"/>
          <w:sz w:val="16"/>
          <w:szCs w:val="16"/>
          <w:rtl/>
        </w:rPr>
        <w:t>(מישרים נכ"ד חי"א סה ע"ב)</w:t>
      </w:r>
      <w:r w:rsidRPr="00924F79">
        <w:rPr>
          <w:rFonts w:cs="Arial" w:hint="cs"/>
          <w:rtl/>
        </w:rPr>
        <w:t>-</w:t>
      </w:r>
      <w:r w:rsidRPr="00924F79">
        <w:rPr>
          <w:rFonts w:cs="Arial"/>
          <w:rtl/>
        </w:rPr>
        <w:t xml:space="preserve"> כתב רב אלפס בתשובה (סי' מד) שהאשה שתפסה מטלטלין למזונות כשחזרה מקבר בעלה ואינה רוצה לישבע ולא לגבות כתובה ויש שם יורשים אין מוציאין מידה ואין משערים לה כדי מזונותיה בין תפסה רב או מעט ע"כ</w:t>
      </w:r>
      <w:r>
        <w:rPr>
          <w:rFonts w:cs="Arial" w:hint="cs"/>
          <w:rtl/>
        </w:rPr>
        <w:t>.</w:t>
      </w:r>
      <w:r w:rsidRPr="00924F79">
        <w:rPr>
          <w:rFonts w:cs="Arial"/>
          <w:rtl/>
        </w:rPr>
        <w:t xml:space="preserve"> ונראה דאין מוציאין מידה לתת ביד יורשים אלא נותנין אותו ביד נאמן</w:t>
      </w:r>
      <w:r>
        <w:rPr>
          <w:rStyle w:val="a7"/>
          <w:rFonts w:cs="Arial"/>
          <w:rtl/>
        </w:rPr>
        <w:footnoteReference w:id="1638"/>
      </w:r>
      <w:r w:rsidRPr="00924F79">
        <w:rPr>
          <w:rFonts w:cs="Arial"/>
          <w:rtl/>
        </w:rPr>
        <w:t xml:space="preserve">. </w:t>
      </w:r>
    </w:p>
    <w:p w14:paraId="6A73D6AE" w14:textId="77777777" w:rsidR="001E7C1A" w:rsidRPr="00372EAE" w:rsidRDefault="001E7C1A" w:rsidP="001E7C1A">
      <w:pPr>
        <w:ind w:left="360"/>
        <w:rPr>
          <w:u w:val="dotted"/>
        </w:rPr>
      </w:pPr>
      <w:r w:rsidRPr="00372EAE">
        <w:rPr>
          <w:rFonts w:hint="cs"/>
          <w:u w:val="dotted"/>
          <w:rtl/>
        </w:rPr>
        <w:t xml:space="preserve">ומה הדין במקום שנוהגים לכתוב בכתובה </w:t>
      </w:r>
      <w:r>
        <w:rPr>
          <w:rFonts w:hint="cs"/>
          <w:u w:val="dotted"/>
          <w:rtl/>
        </w:rPr>
        <w:t>"</w:t>
      </w:r>
      <w:r w:rsidRPr="00372EAE">
        <w:rPr>
          <w:rFonts w:hint="cs"/>
          <w:u w:val="dotted"/>
          <w:rtl/>
        </w:rPr>
        <w:t>מטלטלי ומקרקעי</w:t>
      </w:r>
      <w:r>
        <w:rPr>
          <w:rFonts w:hint="cs"/>
          <w:u w:val="dotted"/>
          <w:rtl/>
        </w:rPr>
        <w:t>"</w:t>
      </w:r>
      <w:r w:rsidRPr="00372EAE">
        <w:rPr>
          <w:rFonts w:hint="cs"/>
          <w:u w:val="dotted"/>
          <w:rtl/>
        </w:rPr>
        <w:t>:</w:t>
      </w:r>
    </w:p>
    <w:p w14:paraId="78FFBFBA" w14:textId="77777777" w:rsidR="001E7C1A" w:rsidRDefault="001E7C1A" w:rsidP="009000E3">
      <w:pPr>
        <w:pStyle w:val="ab"/>
        <w:numPr>
          <w:ilvl w:val="0"/>
          <w:numId w:val="82"/>
        </w:numPr>
        <w:rPr>
          <w:rtl/>
        </w:rPr>
      </w:pPr>
      <w:r w:rsidRPr="00924F79">
        <w:rPr>
          <w:rFonts w:cs="Arial"/>
          <w:rtl/>
        </w:rPr>
        <w:t xml:space="preserve">רשב"א </w:t>
      </w:r>
      <w:r>
        <w:rPr>
          <w:rFonts w:cs="Arial" w:hint="cs"/>
          <w:sz w:val="16"/>
          <w:szCs w:val="16"/>
          <w:rtl/>
        </w:rPr>
        <w:t>(ח"ב סי' קיח)</w:t>
      </w:r>
      <w:r>
        <w:rPr>
          <w:rFonts w:cs="Arial" w:hint="cs"/>
          <w:rtl/>
        </w:rPr>
        <w:t>-</w:t>
      </w:r>
      <w:r w:rsidRPr="00924F79">
        <w:rPr>
          <w:rFonts w:cs="Arial"/>
          <w:rtl/>
        </w:rPr>
        <w:t xml:space="preserve"> עכשיו שנהגו לכתוב מטלטלי ומקרקעי</w:t>
      </w:r>
      <w:r>
        <w:rPr>
          <w:rFonts w:cs="Arial" w:hint="cs"/>
          <w:rtl/>
        </w:rPr>
        <w:t>,</w:t>
      </w:r>
      <w:r w:rsidRPr="00924F79">
        <w:rPr>
          <w:rFonts w:cs="Arial"/>
          <w:rtl/>
        </w:rPr>
        <w:t xml:space="preserve"> וכתובה</w:t>
      </w:r>
      <w:r>
        <w:rPr>
          <w:rFonts w:cs="Arial" w:hint="cs"/>
          <w:rtl/>
        </w:rPr>
        <w:t xml:space="preserve"> </w:t>
      </w:r>
      <w:r w:rsidRPr="00924F79">
        <w:rPr>
          <w:rFonts w:cs="Arial"/>
          <w:rtl/>
        </w:rPr>
        <w:t>גובה אפילו מן המטלטלין</w:t>
      </w:r>
      <w:r>
        <w:rPr>
          <w:rFonts w:cs="Arial" w:hint="cs"/>
          <w:rtl/>
        </w:rPr>
        <w:t>,</w:t>
      </w:r>
      <w:r w:rsidRPr="00924F79">
        <w:rPr>
          <w:rFonts w:cs="Arial"/>
          <w:rtl/>
        </w:rPr>
        <w:t xml:space="preserve"> אפילו תפסה לכתובה ואפילו לאחר מיתת הבעל</w:t>
      </w:r>
      <w:r>
        <w:rPr>
          <w:rFonts w:cs="Arial" w:hint="cs"/>
          <w:rtl/>
        </w:rPr>
        <w:t xml:space="preserve"> -</w:t>
      </w:r>
      <w:r w:rsidRPr="00924F79">
        <w:rPr>
          <w:rFonts w:cs="Arial"/>
          <w:rtl/>
        </w:rPr>
        <w:t xml:space="preserve"> מה שתפסה תפסה</w:t>
      </w:r>
      <w:r>
        <w:rPr>
          <w:rStyle w:val="a7"/>
          <w:rFonts w:cs="Arial"/>
          <w:rtl/>
        </w:rPr>
        <w:footnoteReference w:id="1639"/>
      </w:r>
      <w:r>
        <w:rPr>
          <w:rFonts w:cs="Arial" w:hint="cs"/>
          <w:rtl/>
        </w:rPr>
        <w:t>.</w:t>
      </w:r>
    </w:p>
    <w:p w14:paraId="066B3FB4" w14:textId="77777777" w:rsidR="001E7C1A" w:rsidRDefault="001E7C1A" w:rsidP="001E7C1A">
      <w:pPr>
        <w:rPr>
          <w:rFonts w:cs="Arial"/>
          <w:rtl/>
        </w:rPr>
      </w:pPr>
      <w:r w:rsidRPr="00E9317D">
        <w:rPr>
          <w:rFonts w:cs="Arial" w:hint="cs"/>
          <w:u w:val="single"/>
          <w:rtl/>
        </w:rPr>
        <w:t>תפיסת שטר חוב:</w:t>
      </w:r>
      <w:r>
        <w:rPr>
          <w:rFonts w:cs="Arial" w:hint="cs"/>
          <w:rtl/>
        </w:rPr>
        <w:t xml:space="preserve"> </w:t>
      </w:r>
    </w:p>
    <w:p w14:paraId="5B779D0D" w14:textId="77777777" w:rsidR="001E7C1A" w:rsidRPr="00E9317D" w:rsidRDefault="001E7C1A" w:rsidP="009000E3">
      <w:pPr>
        <w:pStyle w:val="ab"/>
        <w:numPr>
          <w:ilvl w:val="0"/>
          <w:numId w:val="82"/>
        </w:numPr>
      </w:pPr>
      <w:r w:rsidRPr="00E9317D">
        <w:rPr>
          <w:rFonts w:cs="Arial" w:hint="cs"/>
          <w:rtl/>
        </w:rPr>
        <w:t xml:space="preserve">רשב"א </w:t>
      </w:r>
      <w:r w:rsidRPr="00E9317D">
        <w:rPr>
          <w:rFonts w:cs="Arial"/>
          <w:sz w:val="16"/>
          <w:szCs w:val="16"/>
          <w:rtl/>
        </w:rPr>
        <w:t>(במיוחסות סי</w:t>
      </w:r>
      <w:r w:rsidRPr="00E9317D">
        <w:rPr>
          <w:rFonts w:cs="Arial" w:hint="cs"/>
          <w:sz w:val="16"/>
          <w:szCs w:val="16"/>
          <w:rtl/>
        </w:rPr>
        <w:t>'</w:t>
      </w:r>
      <w:r w:rsidRPr="00E9317D">
        <w:rPr>
          <w:rFonts w:cs="Arial"/>
          <w:sz w:val="16"/>
          <w:szCs w:val="16"/>
          <w:rtl/>
        </w:rPr>
        <w:t xml:space="preserve"> נ</w:t>
      </w:r>
      <w:r>
        <w:rPr>
          <w:rFonts w:cs="Arial" w:hint="cs"/>
          <w:sz w:val="16"/>
          <w:szCs w:val="16"/>
          <w:rtl/>
        </w:rPr>
        <w:t>, ובשו"ת הרשב"א סי' תתעט</w:t>
      </w:r>
      <w:r w:rsidRPr="00E9317D">
        <w:rPr>
          <w:rFonts w:cs="Arial" w:hint="cs"/>
          <w:sz w:val="16"/>
          <w:szCs w:val="16"/>
          <w:rtl/>
        </w:rPr>
        <w:t>)</w:t>
      </w:r>
      <w:r w:rsidRPr="00E9317D">
        <w:rPr>
          <w:rFonts w:cs="Arial" w:hint="cs"/>
          <w:rtl/>
        </w:rPr>
        <w:t>-</w:t>
      </w:r>
      <w:r w:rsidRPr="00E9317D">
        <w:rPr>
          <w:rFonts w:cs="Arial"/>
          <w:rtl/>
        </w:rPr>
        <w:t xml:space="preserve"> ה"ה אם תפסה שטר חוב אין מוציאין מידה</w:t>
      </w:r>
      <w:r>
        <w:rPr>
          <w:rStyle w:val="a7"/>
          <w:rFonts w:cs="Arial"/>
          <w:rtl/>
        </w:rPr>
        <w:footnoteReference w:id="1640"/>
      </w:r>
      <w:r w:rsidRPr="00E9317D">
        <w:rPr>
          <w:rFonts w:cs="Arial" w:hint="cs"/>
          <w:rtl/>
        </w:rPr>
        <w:t>.</w:t>
      </w:r>
      <w:r w:rsidRPr="00E9317D">
        <w:rPr>
          <w:rFonts w:cs="Arial"/>
          <w:rtl/>
        </w:rPr>
        <w:t xml:space="preserve"> </w:t>
      </w:r>
    </w:p>
    <w:p w14:paraId="16D0F290" w14:textId="77777777" w:rsidR="001E7C1A" w:rsidRPr="001F6529" w:rsidRDefault="001E7C1A" w:rsidP="009000E3">
      <w:pPr>
        <w:pStyle w:val="ab"/>
        <w:numPr>
          <w:ilvl w:val="0"/>
          <w:numId w:val="82"/>
        </w:numPr>
      </w:pPr>
      <w:r>
        <w:rPr>
          <w:rFonts w:cs="Arial" w:hint="cs"/>
          <w:rtl/>
        </w:rPr>
        <w:lastRenderedPageBreak/>
        <w:t xml:space="preserve">ריב"ש </w:t>
      </w:r>
      <w:r>
        <w:rPr>
          <w:rFonts w:cs="Arial" w:hint="cs"/>
          <w:sz w:val="16"/>
          <w:szCs w:val="16"/>
          <w:rtl/>
        </w:rPr>
        <w:t>(סי' שסה)</w:t>
      </w:r>
      <w:r>
        <w:rPr>
          <w:rFonts w:cs="Arial" w:hint="cs"/>
          <w:rtl/>
        </w:rPr>
        <w:t xml:space="preserve">- </w:t>
      </w:r>
      <w:r w:rsidRPr="00A105D0">
        <w:rPr>
          <w:rFonts w:cs="Arial"/>
          <w:rtl/>
        </w:rPr>
        <w:t>אם יש ביד אבי היבמה שטרי חובות שנפקדו בידו מיד בעלה ואחר פטירתו מסר האב בידה השטרות תפיסה מועלת היא. אמנם אם נשאלה שאלה זו לענין שומרת יבם האומרת מאיס עלי אין תפיסתה מועלת אא</w:t>
      </w:r>
      <w:r>
        <w:rPr>
          <w:rFonts w:cs="Arial" w:hint="cs"/>
          <w:rtl/>
        </w:rPr>
        <w:t>"</w:t>
      </w:r>
      <w:r w:rsidRPr="00A105D0">
        <w:rPr>
          <w:rFonts w:cs="Arial"/>
          <w:rtl/>
        </w:rPr>
        <w:t>כ היו השטרות האלה מנדונייתה ר"ל שהכניסה אלו השטרות עצמם לבעלה</w:t>
      </w:r>
      <w:r>
        <w:rPr>
          <w:rFonts w:cs="Arial" w:hint="cs"/>
          <w:rtl/>
        </w:rPr>
        <w:t>.</w:t>
      </w:r>
      <w:r w:rsidRPr="00A105D0">
        <w:rPr>
          <w:rFonts w:cs="Arial"/>
          <w:rtl/>
        </w:rPr>
        <w:t xml:space="preserve"> ואם נשאלה שאלה זו לענין מזונות </w:t>
      </w:r>
      <w:r>
        <w:rPr>
          <w:rFonts w:cs="Arial" w:hint="cs"/>
          <w:rtl/>
        </w:rPr>
        <w:t xml:space="preserve">- </w:t>
      </w:r>
      <w:r w:rsidRPr="00A105D0">
        <w:rPr>
          <w:rFonts w:cs="Arial"/>
          <w:rtl/>
        </w:rPr>
        <w:t>אין תפיסתה בנכסים אלו כלום שהרי אין שעבוד מזונותיה על נכסים אלו</w:t>
      </w:r>
      <w:r>
        <w:rPr>
          <w:rFonts w:cs="Arial" w:hint="cs"/>
          <w:rtl/>
        </w:rPr>
        <w:t>,</w:t>
      </w:r>
      <w:r w:rsidRPr="00A105D0">
        <w:rPr>
          <w:rFonts w:cs="Arial"/>
          <w:rtl/>
        </w:rPr>
        <w:t xml:space="preserve"> שהרי אין לה מזונות אלא מיבם ונכסים אלו לא משל יבם הן עד שיכנוס כיון שיש לבעלה אב. ואם נשאלה שאלה זו לענין לתפסן משכון לאחריות כתובתה </w:t>
      </w:r>
      <w:r>
        <w:rPr>
          <w:rFonts w:cs="Arial" w:hint="cs"/>
          <w:rtl/>
        </w:rPr>
        <w:t xml:space="preserve">- </w:t>
      </w:r>
      <w:r w:rsidRPr="00A105D0">
        <w:rPr>
          <w:rFonts w:cs="Arial"/>
          <w:rtl/>
        </w:rPr>
        <w:t>אין תפיסתה כלום</w:t>
      </w:r>
      <w:r>
        <w:rPr>
          <w:rFonts w:cs="Arial" w:hint="cs"/>
          <w:rtl/>
        </w:rPr>
        <w:t>,</w:t>
      </w:r>
      <w:r w:rsidRPr="00A105D0">
        <w:rPr>
          <w:rFonts w:cs="Arial"/>
          <w:rtl/>
        </w:rPr>
        <w:t xml:space="preserve"> דהא קיימא לן כרבינא דאמר (שם צו.) הני מילי למזוני אבל לכתובה מפקינן</w:t>
      </w:r>
      <w:r>
        <w:rPr>
          <w:rFonts w:cs="Arial" w:hint="cs"/>
          <w:rtl/>
        </w:rPr>
        <w:t>,</w:t>
      </w:r>
      <w:r w:rsidRPr="00A105D0">
        <w:rPr>
          <w:rFonts w:cs="Arial"/>
          <w:rtl/>
        </w:rPr>
        <w:t xml:space="preserve"> וכתב הרי"ף (נה:) דבתפיסה דלאחר מיתה היא אבל תפסה מחיים אפילו לכתובה לא מפקינן מינה</w:t>
      </w:r>
      <w:r>
        <w:rPr>
          <w:rFonts w:cs="Arial" w:hint="cs"/>
          <w:rtl/>
        </w:rPr>
        <w:t>.</w:t>
      </w:r>
      <w:r w:rsidRPr="00A105D0">
        <w:rPr>
          <w:rFonts w:cs="Arial"/>
          <w:rtl/>
        </w:rPr>
        <w:t xml:space="preserve"> ומיהו עכשיו שנוהגים לכתוב בכתובות מטלטלי אגב מקרקעי יש לדון ולומר בשומרת יבם שימכרו כל מטלטלי בעלה וילקח בהם קרקע והיבם אוכל פירות בין תפסה בין לא תפסה</w:t>
      </w:r>
      <w:r>
        <w:rPr>
          <w:rFonts w:cs="Arial" w:hint="cs"/>
          <w:rtl/>
        </w:rPr>
        <w:t>,</w:t>
      </w:r>
      <w:r w:rsidRPr="00A105D0">
        <w:rPr>
          <w:rFonts w:cs="Arial"/>
          <w:rtl/>
        </w:rPr>
        <w:t xml:space="preserve"> ואין די בשיהיו קיימים כדי שיעור כתובתה דילמא משתדפי ותפסיד כתובתה</w:t>
      </w:r>
      <w:r>
        <w:rPr>
          <w:rFonts w:cs="Arial" w:hint="cs"/>
          <w:rtl/>
        </w:rPr>
        <w:t>.</w:t>
      </w:r>
      <w:r w:rsidRPr="00A105D0">
        <w:rPr>
          <w:rFonts w:cs="Arial"/>
          <w:rtl/>
        </w:rPr>
        <w:t xml:space="preserve"> </w:t>
      </w:r>
    </w:p>
    <w:p w14:paraId="68F634EF" w14:textId="679DB298" w:rsidR="001E7C1A" w:rsidRPr="00A345A5" w:rsidRDefault="001E7C1A" w:rsidP="001E7C1A">
      <w:pPr>
        <w:rPr>
          <w:u w:val="single"/>
        </w:rPr>
      </w:pPr>
      <w:r w:rsidRPr="00A345A5">
        <w:rPr>
          <w:rFonts w:hint="cs"/>
          <w:u w:val="single"/>
          <w:rtl/>
        </w:rPr>
        <w:t>מת בעלה ונשארו נכסים בביתה</w:t>
      </w:r>
      <w:r w:rsidR="001C2814">
        <w:rPr>
          <w:rFonts w:hint="cs"/>
          <w:u w:val="single"/>
          <w:rtl/>
        </w:rPr>
        <w:t xml:space="preserve"> או שתפסה את מפתחות הבית</w:t>
      </w:r>
      <w:r w:rsidRPr="00A345A5">
        <w:rPr>
          <w:rFonts w:hint="cs"/>
          <w:u w:val="single"/>
          <w:rtl/>
        </w:rPr>
        <w:t xml:space="preserve"> - האם הוי תפיסה:</w:t>
      </w:r>
    </w:p>
    <w:p w14:paraId="539430AF" w14:textId="17283C7B" w:rsidR="00313AC8" w:rsidRPr="00313AC8" w:rsidRDefault="00313AC8" w:rsidP="009000E3">
      <w:pPr>
        <w:pStyle w:val="ab"/>
        <w:numPr>
          <w:ilvl w:val="0"/>
          <w:numId w:val="82"/>
        </w:numPr>
      </w:pPr>
      <w:r>
        <w:rPr>
          <w:rFonts w:cs="Arial" w:hint="cs"/>
          <w:rtl/>
        </w:rPr>
        <w:t xml:space="preserve">ר"ן </w:t>
      </w:r>
      <w:r>
        <w:rPr>
          <w:rFonts w:cs="Arial" w:hint="cs"/>
          <w:sz w:val="16"/>
          <w:szCs w:val="16"/>
          <w:rtl/>
        </w:rPr>
        <w:t>(כתובות נה:)</w:t>
      </w:r>
      <w:r>
        <w:rPr>
          <w:rFonts w:cs="Arial" w:hint="cs"/>
          <w:rtl/>
        </w:rPr>
        <w:t xml:space="preserve">- </w:t>
      </w:r>
      <w:r w:rsidRPr="00313AC8">
        <w:rPr>
          <w:rFonts w:cs="Arial"/>
          <w:rtl/>
        </w:rPr>
        <w:t>משמו של רש"י ז"ל אמרו דאלמנה שתפסה מטלטלין דקא אמרינן דוקא בשתפסה לה מרשות הרבים או מסימטא</w:t>
      </w:r>
      <w:r>
        <w:rPr>
          <w:rFonts w:cs="Arial" w:hint="cs"/>
          <w:rtl/>
        </w:rPr>
        <w:t>,</w:t>
      </w:r>
      <w:r w:rsidRPr="00313AC8">
        <w:rPr>
          <w:rFonts w:cs="Arial"/>
          <w:rtl/>
        </w:rPr>
        <w:t xml:space="preserve"> אבל מרשות היורש לא</w:t>
      </w:r>
      <w:r>
        <w:rPr>
          <w:rFonts w:cs="Arial" w:hint="cs"/>
          <w:rtl/>
        </w:rPr>
        <w:t>.</w:t>
      </w:r>
      <w:r w:rsidRPr="00313AC8">
        <w:rPr>
          <w:rFonts w:cs="Arial"/>
          <w:rtl/>
        </w:rPr>
        <w:t xml:space="preserve"> דכי היכי דלר' טרפון דמהניא תפיסה דלאחר מיתה לכתובה לא מהניא אלא בהני גווני</w:t>
      </w:r>
      <w:r>
        <w:rPr>
          <w:rFonts w:cs="Arial" w:hint="cs"/>
          <w:rtl/>
        </w:rPr>
        <w:t>,</w:t>
      </w:r>
      <w:r w:rsidRPr="00313AC8">
        <w:rPr>
          <w:rFonts w:cs="Arial"/>
          <w:rtl/>
        </w:rPr>
        <w:t xml:space="preserve"> הכי נמי לדידן בתפיסה דמחיים</w:t>
      </w:r>
      <w:r>
        <w:rPr>
          <w:rStyle w:val="a7"/>
          <w:rFonts w:cs="Arial"/>
          <w:rtl/>
        </w:rPr>
        <w:footnoteReference w:id="1641"/>
      </w:r>
      <w:r w:rsidRPr="00313AC8">
        <w:rPr>
          <w:rFonts w:cs="Arial"/>
          <w:rtl/>
        </w:rPr>
        <w:t>.</w:t>
      </w:r>
    </w:p>
    <w:p w14:paraId="48599E9F" w14:textId="4A04474A" w:rsidR="001E7C1A" w:rsidRPr="0029045E" w:rsidRDefault="001E7C1A" w:rsidP="009000E3">
      <w:pPr>
        <w:pStyle w:val="ab"/>
        <w:numPr>
          <w:ilvl w:val="0"/>
          <w:numId w:val="82"/>
        </w:numPr>
      </w:pPr>
      <w:r w:rsidRPr="00A105D0">
        <w:rPr>
          <w:rFonts w:cs="Arial"/>
          <w:rtl/>
        </w:rPr>
        <w:t xml:space="preserve">ריב"ש </w:t>
      </w:r>
      <w:r w:rsidRPr="00D70AC8">
        <w:rPr>
          <w:rFonts w:cs="Arial" w:hint="cs"/>
          <w:sz w:val="16"/>
          <w:szCs w:val="16"/>
          <w:rtl/>
        </w:rPr>
        <w:t>(</w:t>
      </w:r>
      <w:r w:rsidRPr="00D70AC8">
        <w:rPr>
          <w:rFonts w:cs="Arial"/>
          <w:sz w:val="16"/>
          <w:szCs w:val="16"/>
          <w:rtl/>
        </w:rPr>
        <w:t>סי</w:t>
      </w:r>
      <w:r w:rsidRPr="00D70AC8">
        <w:rPr>
          <w:rFonts w:cs="Arial" w:hint="cs"/>
          <w:sz w:val="16"/>
          <w:szCs w:val="16"/>
          <w:rtl/>
        </w:rPr>
        <w:t>'</w:t>
      </w:r>
      <w:r w:rsidRPr="00D70AC8">
        <w:rPr>
          <w:rFonts w:cs="Arial"/>
          <w:sz w:val="16"/>
          <w:szCs w:val="16"/>
          <w:rtl/>
        </w:rPr>
        <w:t xml:space="preserve"> שסד</w:t>
      </w:r>
      <w:r w:rsidRPr="00D70AC8">
        <w:rPr>
          <w:rFonts w:cs="Arial" w:hint="cs"/>
          <w:sz w:val="16"/>
          <w:szCs w:val="16"/>
          <w:rtl/>
        </w:rPr>
        <w:t xml:space="preserve"> וסי' קז)</w:t>
      </w:r>
      <w:r>
        <w:rPr>
          <w:rFonts w:cs="Arial" w:hint="cs"/>
          <w:rtl/>
        </w:rPr>
        <w:t>-</w:t>
      </w:r>
      <w:r w:rsidRPr="00A105D0">
        <w:rPr>
          <w:rFonts w:cs="Arial"/>
          <w:rtl/>
        </w:rPr>
        <w:t xml:space="preserve"> דבר ברור הוא כי הנכסים שהם בבית הבעל אע</w:t>
      </w:r>
      <w:r>
        <w:rPr>
          <w:rFonts w:cs="Arial" w:hint="cs"/>
          <w:rtl/>
        </w:rPr>
        <w:t>"</w:t>
      </w:r>
      <w:r w:rsidRPr="00A105D0">
        <w:rPr>
          <w:rFonts w:cs="Arial"/>
          <w:rtl/>
        </w:rPr>
        <w:t>פ שכשמת נשארו הנכסים בידה ואוהלים כאשר המה שאין זו תפיסה של כלום</w:t>
      </w:r>
      <w:r w:rsidR="00B60C17">
        <w:rPr>
          <w:rFonts w:cs="Arial" w:hint="cs"/>
          <w:rtl/>
        </w:rPr>
        <w:t>,</w:t>
      </w:r>
      <w:r w:rsidRPr="00A105D0">
        <w:rPr>
          <w:rFonts w:cs="Arial"/>
          <w:rtl/>
        </w:rPr>
        <w:t xml:space="preserve"> שכל תופס צריך תפיסה גמורה שיקנה הדבר באחת מהקניות</w:t>
      </w:r>
      <w:r w:rsidR="001C2814">
        <w:rPr>
          <w:rFonts w:cs="Arial" w:hint="cs"/>
          <w:rtl/>
        </w:rPr>
        <w:t>.</w:t>
      </w:r>
      <w:r w:rsidRPr="00A105D0">
        <w:rPr>
          <w:rFonts w:cs="Arial"/>
          <w:rtl/>
        </w:rPr>
        <w:t xml:space="preserve"> כמו שאמרו בפרק הכותב (כתובות פד: פה.) גבי עובדא דיימר בר חשו</w:t>
      </w:r>
      <w:r w:rsidR="001C2814">
        <w:rPr>
          <w:rFonts w:cs="Arial" w:hint="cs"/>
          <w:rtl/>
        </w:rPr>
        <w:t>.</w:t>
      </w:r>
      <w:r w:rsidRPr="00A105D0">
        <w:rPr>
          <w:rFonts w:cs="Arial"/>
          <w:rtl/>
        </w:rPr>
        <w:t xml:space="preserve"> אבל בכאן הבית והתיבות והמטלטלין הכל ברשות היורש ואינה נקראת תופסת בשביל תפיסת המפתחות</w:t>
      </w:r>
      <w:r w:rsidR="001C2814">
        <w:rPr>
          <w:rFonts w:cs="Arial" w:hint="cs"/>
          <w:rtl/>
        </w:rPr>
        <w:t>,</w:t>
      </w:r>
      <w:r w:rsidRPr="00A105D0">
        <w:rPr>
          <w:rFonts w:cs="Arial"/>
          <w:rtl/>
        </w:rPr>
        <w:t xml:space="preserve"> שאין מסירת המפתחות קונה</w:t>
      </w:r>
      <w:r w:rsidR="001C2814">
        <w:rPr>
          <w:rFonts w:cs="Arial" w:hint="cs"/>
          <w:rtl/>
        </w:rPr>
        <w:t>,</w:t>
      </w:r>
      <w:r w:rsidRPr="00A105D0">
        <w:rPr>
          <w:rFonts w:cs="Arial"/>
          <w:rtl/>
        </w:rPr>
        <w:t xml:space="preserve"> וכל שכן תפיסתן</w:t>
      </w:r>
      <w:r>
        <w:rPr>
          <w:rFonts w:cs="Arial" w:hint="cs"/>
          <w:rtl/>
        </w:rPr>
        <w:t>.</w:t>
      </w:r>
      <w:r w:rsidRPr="00A105D0">
        <w:rPr>
          <w:rFonts w:cs="Arial"/>
          <w:rtl/>
        </w:rPr>
        <w:t xml:space="preserve"> ואם קדמו היורשים ותפסום כדי שלא תשלח היא יד בהם ותתפסם</w:t>
      </w:r>
      <w:r>
        <w:rPr>
          <w:rFonts w:cs="Arial" w:hint="cs"/>
          <w:rtl/>
        </w:rPr>
        <w:t>,</w:t>
      </w:r>
      <w:r w:rsidRPr="00A105D0">
        <w:rPr>
          <w:rFonts w:cs="Arial"/>
          <w:rtl/>
        </w:rPr>
        <w:t xml:space="preserve"> הטיבו לעשות</w:t>
      </w:r>
      <w:r>
        <w:rPr>
          <w:rFonts w:cs="Arial" w:hint="cs"/>
          <w:rtl/>
        </w:rPr>
        <w:t>.</w:t>
      </w:r>
      <w:r w:rsidRPr="00A105D0">
        <w:rPr>
          <w:rFonts w:cs="Arial"/>
          <w:rtl/>
        </w:rPr>
        <w:t xml:space="preserve"> ואע</w:t>
      </w:r>
      <w:r>
        <w:rPr>
          <w:rFonts w:cs="Arial" w:hint="cs"/>
          <w:rtl/>
        </w:rPr>
        <w:t>"</w:t>
      </w:r>
      <w:r w:rsidRPr="00A105D0">
        <w:rPr>
          <w:rFonts w:cs="Arial"/>
          <w:rtl/>
        </w:rPr>
        <w:t>פ שמה שתפסו היה דרך גניבה אין היזק בזה אבל הוא יפוי כחם דהויא תפיסה שלא בעדים דלפעמים מהניא שלא בעדים ובעדים לא מהניא</w:t>
      </w:r>
      <w:r>
        <w:rPr>
          <w:rFonts w:cs="Arial" w:hint="cs"/>
          <w:sz w:val="16"/>
          <w:szCs w:val="16"/>
          <w:rtl/>
        </w:rPr>
        <w:t xml:space="preserve"> (לשונו בסימן שסד)</w:t>
      </w:r>
      <w:r w:rsidRPr="00A105D0">
        <w:rPr>
          <w:rFonts w:cs="Arial"/>
          <w:rtl/>
        </w:rPr>
        <w:t xml:space="preserve">. </w:t>
      </w:r>
      <w:r>
        <w:rPr>
          <w:rFonts w:cs="Arial" w:hint="cs"/>
          <w:rtl/>
        </w:rPr>
        <w:t>ו</w:t>
      </w:r>
      <w:r w:rsidRPr="00A105D0">
        <w:rPr>
          <w:rFonts w:cs="Arial"/>
          <w:rtl/>
        </w:rPr>
        <w:t>כן אם פקח הדיין וזריז ראוי לו לילך בפתע פתאום לבית המוריש</w:t>
      </w:r>
      <w:r w:rsidR="00E90598">
        <w:rPr>
          <w:rFonts w:cs="Arial" w:hint="cs"/>
          <w:rtl/>
        </w:rPr>
        <w:t>,</w:t>
      </w:r>
      <w:r w:rsidRPr="00A105D0">
        <w:rPr>
          <w:rFonts w:cs="Arial"/>
          <w:rtl/>
        </w:rPr>
        <w:t xml:space="preserve"> ואם לא עשתה בנכסים תפיסה המועלת לקנות</w:t>
      </w:r>
      <w:r w:rsidR="00E90598">
        <w:rPr>
          <w:rFonts w:cs="Arial" w:hint="cs"/>
          <w:rtl/>
        </w:rPr>
        <w:t>,</w:t>
      </w:r>
      <w:r w:rsidRPr="00A105D0">
        <w:rPr>
          <w:rFonts w:cs="Arial"/>
          <w:rtl/>
        </w:rPr>
        <w:t xml:space="preserve"> יחזיק בהם היורשים והמקבלי מתנה בעד זכותם.</w:t>
      </w:r>
      <w:r>
        <w:rPr>
          <w:rFonts w:cs="Arial" w:hint="cs"/>
          <w:rtl/>
        </w:rPr>
        <w:t>..</w:t>
      </w:r>
      <w:r w:rsidRPr="00A105D0">
        <w:rPr>
          <w:rFonts w:cs="Arial"/>
          <w:rtl/>
        </w:rPr>
        <w:t xml:space="preserve"> ועוד צריך בתפיסה זו שתתפוס היא בעצמה ולא ע"י אחר</w:t>
      </w:r>
      <w:r w:rsidR="00E90598">
        <w:rPr>
          <w:rFonts w:cs="Arial" w:hint="cs"/>
          <w:rtl/>
        </w:rPr>
        <w:t>,</w:t>
      </w:r>
      <w:r w:rsidRPr="00A105D0">
        <w:rPr>
          <w:rFonts w:cs="Arial"/>
          <w:rtl/>
        </w:rPr>
        <w:t xml:space="preserve"> ואפילו עשאתו שליח לתפוס בעדה</w:t>
      </w:r>
      <w:r w:rsidR="00E90598">
        <w:rPr>
          <w:rFonts w:cs="Arial" w:hint="cs"/>
          <w:rtl/>
        </w:rPr>
        <w:t>,</w:t>
      </w:r>
      <w:r w:rsidRPr="00A105D0">
        <w:rPr>
          <w:rFonts w:cs="Arial"/>
          <w:rtl/>
        </w:rPr>
        <w:t xml:space="preserve"> משום דקיי</w:t>
      </w:r>
      <w:r>
        <w:rPr>
          <w:rFonts w:cs="Arial" w:hint="cs"/>
          <w:rtl/>
        </w:rPr>
        <w:t>"</w:t>
      </w:r>
      <w:r w:rsidRPr="00A105D0">
        <w:rPr>
          <w:rFonts w:cs="Arial"/>
          <w:rtl/>
        </w:rPr>
        <w:t>ל (כתובות פד:) התופס לבעל חוב במקום שחב לאחרים לא קנה</w:t>
      </w:r>
      <w:r w:rsidR="00E90598">
        <w:rPr>
          <w:rFonts w:cs="Arial" w:hint="cs"/>
          <w:rtl/>
        </w:rPr>
        <w:t>,</w:t>
      </w:r>
      <w:r w:rsidRPr="00A105D0">
        <w:rPr>
          <w:rFonts w:cs="Arial"/>
          <w:rtl/>
        </w:rPr>
        <w:t xml:space="preserve"> וכאן הרי יש חוב לבעלי המתנה בתפיסה זו כיון שהנכסים היו מספיקים לכולם אם לא מחמת תפיסה זו</w:t>
      </w:r>
      <w:r>
        <w:rPr>
          <w:rFonts w:cs="Arial" w:hint="cs"/>
          <w:sz w:val="16"/>
          <w:szCs w:val="16"/>
          <w:rtl/>
        </w:rPr>
        <w:t xml:space="preserve"> (לשונו בסימן קז)</w:t>
      </w:r>
      <w:r w:rsidRPr="00A105D0">
        <w:rPr>
          <w:rFonts w:cs="Arial"/>
          <w:rtl/>
        </w:rPr>
        <w:t xml:space="preserve">. </w:t>
      </w:r>
      <w:r w:rsidR="00B60C17" w:rsidRPr="00B60C17">
        <w:rPr>
          <w:rFonts w:hint="cs"/>
          <w:color w:val="00B0F0"/>
          <w:rtl/>
        </w:rPr>
        <w:t>(</w:t>
      </w:r>
      <w:r w:rsidR="00B60C17">
        <w:rPr>
          <w:rFonts w:hint="cs"/>
          <w:color w:val="00B0F0"/>
          <w:rtl/>
        </w:rPr>
        <w:t>ו</w:t>
      </w:r>
      <w:r w:rsidR="00B60C17" w:rsidRPr="00B60C17">
        <w:rPr>
          <w:rFonts w:hint="cs"/>
          <w:color w:val="00B0F0"/>
          <w:rtl/>
        </w:rPr>
        <w:t>כ"פ הרמ"א)</w:t>
      </w:r>
    </w:p>
    <w:p w14:paraId="312725E2" w14:textId="77777777" w:rsidR="001E7C1A" w:rsidRPr="00F52117" w:rsidRDefault="001E7C1A" w:rsidP="001E7C1A">
      <w:pPr>
        <w:rPr>
          <w:u w:val="single"/>
        </w:rPr>
      </w:pPr>
      <w:r w:rsidRPr="00F52117">
        <w:rPr>
          <w:rFonts w:hint="cs"/>
          <w:u w:val="single"/>
          <w:rtl/>
        </w:rPr>
        <w:t>יבמה שתפסה משל בעלה למזונותיה:</w:t>
      </w:r>
    </w:p>
    <w:p w14:paraId="45E52D10" w14:textId="77777777" w:rsidR="001E7C1A" w:rsidRPr="007B1A3E" w:rsidRDefault="001E7C1A" w:rsidP="009000E3">
      <w:pPr>
        <w:pStyle w:val="ab"/>
        <w:numPr>
          <w:ilvl w:val="0"/>
          <w:numId w:val="82"/>
        </w:numPr>
      </w:pPr>
      <w:r w:rsidRPr="00A105D0">
        <w:rPr>
          <w:rFonts w:cs="Arial"/>
          <w:rtl/>
        </w:rPr>
        <w:t xml:space="preserve">ריב"ש </w:t>
      </w:r>
      <w:r w:rsidRPr="00D70AC8">
        <w:rPr>
          <w:rFonts w:cs="Arial" w:hint="cs"/>
          <w:sz w:val="16"/>
          <w:szCs w:val="16"/>
          <w:rtl/>
        </w:rPr>
        <w:t>(</w:t>
      </w:r>
      <w:r w:rsidRPr="00D70AC8">
        <w:rPr>
          <w:rFonts w:cs="Arial"/>
          <w:sz w:val="16"/>
          <w:szCs w:val="16"/>
          <w:rtl/>
        </w:rPr>
        <w:t>סי</w:t>
      </w:r>
      <w:r w:rsidRPr="00D70AC8">
        <w:rPr>
          <w:rFonts w:cs="Arial" w:hint="cs"/>
          <w:sz w:val="16"/>
          <w:szCs w:val="16"/>
          <w:rtl/>
        </w:rPr>
        <w:t>'</w:t>
      </w:r>
      <w:r w:rsidRPr="00D70AC8">
        <w:rPr>
          <w:rFonts w:cs="Arial"/>
          <w:sz w:val="16"/>
          <w:szCs w:val="16"/>
          <w:rtl/>
        </w:rPr>
        <w:t xml:space="preserve"> </w:t>
      </w:r>
      <w:r>
        <w:rPr>
          <w:rFonts w:cs="Arial" w:hint="cs"/>
          <w:sz w:val="16"/>
          <w:szCs w:val="16"/>
          <w:rtl/>
        </w:rPr>
        <w:t>קד)</w:t>
      </w:r>
      <w:r>
        <w:rPr>
          <w:rFonts w:cs="Arial" w:hint="cs"/>
          <w:rtl/>
        </w:rPr>
        <w:t xml:space="preserve">- </w:t>
      </w:r>
      <w:r w:rsidRPr="00A105D0">
        <w:rPr>
          <w:rFonts w:cs="Arial"/>
          <w:rtl/>
        </w:rPr>
        <w:t>יבמה שטענה שאין בידה כלום משל בעלה והוא היה אמוד בנכסים</w:t>
      </w:r>
      <w:r>
        <w:rPr>
          <w:rFonts w:cs="Arial" w:hint="cs"/>
          <w:rtl/>
        </w:rPr>
        <w:t>,</w:t>
      </w:r>
      <w:r w:rsidRPr="00A105D0">
        <w:rPr>
          <w:rFonts w:cs="Arial"/>
          <w:rtl/>
        </w:rPr>
        <w:t xml:space="preserve"> ותבעו תוך ג' חדשים ליבם או לחלוץ</w:t>
      </w:r>
      <w:r>
        <w:rPr>
          <w:rFonts w:cs="Arial" w:hint="cs"/>
          <w:rtl/>
        </w:rPr>
        <w:t>,</w:t>
      </w:r>
      <w:r w:rsidRPr="00A105D0">
        <w:rPr>
          <w:rFonts w:cs="Arial"/>
          <w:rtl/>
        </w:rPr>
        <w:t xml:space="preserve"> ראוי לדיין לאיים עליה ולחקור בזה בכל מיני חקירות הן בחרמות חזקים בשופרות</w:t>
      </w:r>
      <w:r>
        <w:rPr>
          <w:rFonts w:cs="Arial" w:hint="cs"/>
          <w:rtl/>
        </w:rPr>
        <w:t>,</w:t>
      </w:r>
      <w:r w:rsidRPr="00A105D0">
        <w:rPr>
          <w:rFonts w:cs="Arial"/>
          <w:rtl/>
        </w:rPr>
        <w:t xml:space="preserve"> הן לחפש בביתה</w:t>
      </w:r>
      <w:r>
        <w:rPr>
          <w:rFonts w:cs="Arial" w:hint="cs"/>
          <w:rtl/>
        </w:rPr>
        <w:t>,</w:t>
      </w:r>
      <w:r w:rsidRPr="00A105D0">
        <w:rPr>
          <w:rFonts w:cs="Arial"/>
          <w:rtl/>
        </w:rPr>
        <w:t xml:space="preserve"> ולענות דינה בכל מה שיוכל</w:t>
      </w:r>
      <w:r>
        <w:rPr>
          <w:rFonts w:cs="Arial" w:hint="cs"/>
          <w:rtl/>
        </w:rPr>
        <w:t>,</w:t>
      </w:r>
      <w:r w:rsidRPr="00A105D0">
        <w:rPr>
          <w:rFonts w:cs="Arial"/>
          <w:rtl/>
        </w:rPr>
        <w:t xml:space="preserve"> כדי להוציא הדין לאמתו.</w:t>
      </w:r>
      <w:r>
        <w:rPr>
          <w:rFonts w:cs="Arial" w:hint="cs"/>
          <w:rtl/>
        </w:rPr>
        <w:t>..</w:t>
      </w:r>
      <w:r w:rsidRPr="00A105D0">
        <w:rPr>
          <w:rFonts w:cs="Arial"/>
          <w:rtl/>
        </w:rPr>
        <w:t xml:space="preserve"> ומה שטענה שתפסה למזונות </w:t>
      </w:r>
      <w:r>
        <w:rPr>
          <w:rFonts w:cs="Arial" w:hint="cs"/>
          <w:rtl/>
        </w:rPr>
        <w:t xml:space="preserve">- </w:t>
      </w:r>
      <w:r w:rsidRPr="00A105D0">
        <w:rPr>
          <w:rFonts w:cs="Arial"/>
          <w:rtl/>
        </w:rPr>
        <w:t>אין בה ממש</w:t>
      </w:r>
      <w:r>
        <w:rPr>
          <w:rFonts w:cs="Arial" w:hint="cs"/>
          <w:rtl/>
        </w:rPr>
        <w:t>,</w:t>
      </w:r>
      <w:r w:rsidRPr="00A105D0">
        <w:rPr>
          <w:rFonts w:cs="Arial"/>
          <w:rtl/>
        </w:rPr>
        <w:t xml:space="preserve"> כי שומרת יבם אינה נזונת כי אם ג' חדשים אא</w:t>
      </w:r>
      <w:r>
        <w:rPr>
          <w:rFonts w:cs="Arial" w:hint="cs"/>
          <w:rtl/>
        </w:rPr>
        <w:t>"</w:t>
      </w:r>
      <w:r w:rsidRPr="00A105D0">
        <w:rPr>
          <w:rFonts w:cs="Arial"/>
          <w:rtl/>
        </w:rPr>
        <w:t>כ תבעה מן היבם בב"ד או חלוץ או יבם</w:t>
      </w:r>
      <w:r>
        <w:rPr>
          <w:rFonts w:cs="Arial" w:hint="cs"/>
          <w:rtl/>
        </w:rPr>
        <w:t>,</w:t>
      </w:r>
      <w:r w:rsidRPr="00A105D0">
        <w:rPr>
          <w:rFonts w:cs="Arial"/>
          <w:rtl/>
        </w:rPr>
        <w:t xml:space="preserve"> וברח או חלה</w:t>
      </w:r>
      <w:r>
        <w:rPr>
          <w:rFonts w:cs="Arial" w:hint="cs"/>
          <w:rtl/>
        </w:rPr>
        <w:t>.</w:t>
      </w:r>
      <w:r w:rsidRPr="00A105D0">
        <w:rPr>
          <w:rFonts w:cs="Arial"/>
          <w:rtl/>
        </w:rPr>
        <w:t xml:space="preserve"> והנדון זה אין כאן העמדה בדין</w:t>
      </w:r>
      <w:r>
        <w:rPr>
          <w:rFonts w:cs="Arial" w:hint="cs"/>
          <w:rtl/>
        </w:rPr>
        <w:t>,</w:t>
      </w:r>
      <w:r w:rsidRPr="00A105D0">
        <w:rPr>
          <w:rFonts w:cs="Arial"/>
          <w:rtl/>
        </w:rPr>
        <w:t xml:space="preserve"> כי מה שתבעה ליבם או לחלוץ תוך ג' חדשים אינו כלום. </w:t>
      </w:r>
    </w:p>
    <w:p w14:paraId="6F5A381F" w14:textId="77777777" w:rsidR="001E7C1A" w:rsidRPr="00FD6ED3" w:rsidRDefault="001E7C1A" w:rsidP="001E7C1A">
      <w:pPr>
        <w:rPr>
          <w:u w:val="single"/>
        </w:rPr>
      </w:pPr>
      <w:r>
        <w:rPr>
          <w:rFonts w:hint="cs"/>
          <w:u w:val="single"/>
          <w:rtl/>
        </w:rPr>
        <w:t xml:space="preserve">כל מיני </w:t>
      </w:r>
      <w:r w:rsidRPr="00FD6ED3">
        <w:rPr>
          <w:rFonts w:hint="cs"/>
          <w:u w:val="single"/>
          <w:rtl/>
        </w:rPr>
        <w:t>מחלוקות בין היורשים לאלמנה</w:t>
      </w:r>
      <w:r>
        <w:rPr>
          <w:rFonts w:hint="cs"/>
          <w:u w:val="single"/>
          <w:rtl/>
        </w:rPr>
        <w:t xml:space="preserve"> לגבי הנכסים</w:t>
      </w:r>
      <w:r w:rsidRPr="00FD6ED3">
        <w:rPr>
          <w:rFonts w:hint="cs"/>
          <w:u w:val="single"/>
          <w:rtl/>
        </w:rPr>
        <w:t>:</w:t>
      </w:r>
    </w:p>
    <w:p w14:paraId="7327E017" w14:textId="2B2D03CF" w:rsidR="001E7C1A" w:rsidRPr="007744D0" w:rsidRDefault="001E7C1A" w:rsidP="009000E3">
      <w:pPr>
        <w:pStyle w:val="ab"/>
        <w:numPr>
          <w:ilvl w:val="0"/>
          <w:numId w:val="82"/>
        </w:numPr>
      </w:pPr>
      <w:r w:rsidRPr="00A440E9">
        <w:rPr>
          <w:rFonts w:cs="Arial"/>
          <w:rtl/>
        </w:rPr>
        <w:t xml:space="preserve">ריטב"א </w:t>
      </w:r>
      <w:r w:rsidRPr="007744D0">
        <w:rPr>
          <w:rFonts w:cs="Arial"/>
          <w:sz w:val="16"/>
          <w:szCs w:val="16"/>
          <w:rtl/>
        </w:rPr>
        <w:t>(סי' קה</w:t>
      </w:r>
      <w:r w:rsidRPr="007744D0">
        <w:rPr>
          <w:rFonts w:cs="Arial" w:hint="cs"/>
          <w:sz w:val="16"/>
          <w:szCs w:val="16"/>
          <w:rtl/>
        </w:rPr>
        <w:t>, הביאו</w:t>
      </w:r>
      <w:r w:rsidR="002805FF">
        <w:rPr>
          <w:rFonts w:cs="Arial" w:hint="cs"/>
          <w:sz w:val="16"/>
          <w:szCs w:val="16"/>
          <w:rtl/>
        </w:rPr>
        <w:t>הו</w:t>
      </w:r>
      <w:r w:rsidRPr="007744D0">
        <w:rPr>
          <w:rFonts w:cs="Arial" w:hint="cs"/>
          <w:sz w:val="16"/>
          <w:szCs w:val="16"/>
          <w:rtl/>
        </w:rPr>
        <w:t xml:space="preserve"> הב"י [חו"מ סי' רנג] והדרכ"מ [כאן אות י]</w:t>
      </w:r>
      <w:r w:rsidRPr="007744D0">
        <w:rPr>
          <w:rFonts w:cs="Arial"/>
          <w:sz w:val="16"/>
          <w:szCs w:val="16"/>
          <w:rtl/>
        </w:rPr>
        <w:t>)</w:t>
      </w:r>
      <w:r>
        <w:rPr>
          <w:rFonts w:cs="Arial" w:hint="cs"/>
          <w:rtl/>
        </w:rPr>
        <w:t>-</w:t>
      </w:r>
      <w:r w:rsidRPr="00A440E9">
        <w:rPr>
          <w:rFonts w:cs="Arial"/>
          <w:rtl/>
        </w:rPr>
        <w:t xml:space="preserve"> שכיב מרע שצוה שיחלוקו אשתו ובניו נכסיו שוה בשוה ואם תרצה היא לשבת עם בניה שיתנו לה פירות כל נכסי הבנים שיתפרנסו מהן היא והבנים ועכשיו מת אחד מהבנים והאפוטרופסים טוענים שמאחר שנפטר אחד מהבנים אין לה להחזיק בנכסים אלא שיהיו ליורשים, עוד אומרים האפוטרופסים שרוצים למכור או להשכין מבתי היתומים לתועלתם והאלמנה טוענת שאינם רשאים לפי שיש לה ליטול פירות כל הנכסים</w:t>
      </w:r>
      <w:r w:rsidR="002805FF">
        <w:rPr>
          <w:rFonts w:cs="Arial" w:hint="cs"/>
          <w:rtl/>
        </w:rPr>
        <w:t xml:space="preserve">.    </w:t>
      </w:r>
      <w:r w:rsidRPr="00A440E9">
        <w:rPr>
          <w:rFonts w:cs="Arial"/>
          <w:rtl/>
        </w:rPr>
        <w:t xml:space="preserve"> </w:t>
      </w:r>
      <w:r w:rsidR="002805FF">
        <w:rPr>
          <w:rFonts w:cs="Arial" w:hint="cs"/>
          <w:rtl/>
        </w:rPr>
        <w:t>תשובה:</w:t>
      </w:r>
      <w:r w:rsidRPr="00A440E9">
        <w:rPr>
          <w:rFonts w:cs="Arial"/>
          <w:rtl/>
        </w:rPr>
        <w:t xml:space="preserve"> הדין עם האלמנה דכל פירות בין קרקע בין מטלטלין בכלל נכסיו ואף על פי שמת אחד מהבנים עוד זכותה קיים בכל הנכסים ההם, ומכל מקום לפי לשון הצוואה שכתבת איני רואה שתהא מחזקת בנכסי הבנים אלא הם מחזיקין בנכסיהם ונותנין לה מהפירות שתהא מתפרנסת עמהן כדין אלמנה דעלמא ואם יותיר הרי הוא שלהם</w:t>
      </w:r>
      <w:r>
        <w:rPr>
          <w:rFonts w:cs="Arial" w:hint="cs"/>
          <w:rtl/>
        </w:rPr>
        <w:t>.</w:t>
      </w:r>
      <w:r w:rsidRPr="00A440E9">
        <w:rPr>
          <w:rFonts w:cs="Arial"/>
          <w:rtl/>
        </w:rPr>
        <w:t xml:space="preserve"> </w:t>
      </w:r>
    </w:p>
    <w:p w14:paraId="5BCCC2AC" w14:textId="77777777" w:rsidR="001E7C1A" w:rsidRPr="007744D0" w:rsidRDefault="001E7C1A" w:rsidP="009000E3">
      <w:pPr>
        <w:pStyle w:val="ab"/>
        <w:numPr>
          <w:ilvl w:val="0"/>
          <w:numId w:val="82"/>
        </w:numPr>
      </w:pPr>
      <w:r>
        <w:rPr>
          <w:rFonts w:cs="Arial" w:hint="cs"/>
          <w:rtl/>
        </w:rPr>
        <w:t xml:space="preserve">רשב"א </w:t>
      </w:r>
      <w:r w:rsidRPr="007744D0">
        <w:rPr>
          <w:rFonts w:cs="Arial"/>
          <w:sz w:val="16"/>
          <w:szCs w:val="16"/>
          <w:rtl/>
        </w:rPr>
        <w:t>(במיוחסות סי</w:t>
      </w:r>
      <w:r w:rsidRPr="007744D0">
        <w:rPr>
          <w:rFonts w:cs="Arial" w:hint="cs"/>
          <w:sz w:val="16"/>
          <w:szCs w:val="16"/>
          <w:rtl/>
        </w:rPr>
        <w:t>'</w:t>
      </w:r>
      <w:r w:rsidRPr="007744D0">
        <w:rPr>
          <w:rFonts w:cs="Arial"/>
          <w:sz w:val="16"/>
          <w:szCs w:val="16"/>
          <w:rtl/>
        </w:rPr>
        <w:t xml:space="preserve"> לא</w:t>
      </w:r>
      <w:r w:rsidRPr="007744D0">
        <w:rPr>
          <w:rFonts w:cs="Arial" w:hint="cs"/>
          <w:sz w:val="16"/>
          <w:szCs w:val="16"/>
          <w:rtl/>
        </w:rPr>
        <w:t>)</w:t>
      </w:r>
      <w:r>
        <w:rPr>
          <w:rFonts w:cs="Arial" w:hint="cs"/>
          <w:rtl/>
        </w:rPr>
        <w:t>-</w:t>
      </w:r>
      <w:r w:rsidRPr="00A440E9">
        <w:rPr>
          <w:rFonts w:cs="Arial"/>
          <w:rtl/>
        </w:rPr>
        <w:t xml:space="preserve"> אלמנה שרוצה למכור מהקרקעות למזונות והאפטרופין אומרים תיזון מהמטלטלין הדין עמהם שאין מוכרים קרקע של יתומים כל שיש שם מטלטלין למכור. </w:t>
      </w:r>
    </w:p>
    <w:p w14:paraId="5955251D" w14:textId="77777777" w:rsidR="001E7C1A" w:rsidRPr="00827A54" w:rsidRDefault="001E7C1A" w:rsidP="009000E3">
      <w:pPr>
        <w:pStyle w:val="ab"/>
        <w:numPr>
          <w:ilvl w:val="0"/>
          <w:numId w:val="82"/>
        </w:numPr>
      </w:pPr>
      <w:r>
        <w:rPr>
          <w:rFonts w:cs="Arial" w:hint="cs"/>
          <w:rtl/>
        </w:rPr>
        <w:lastRenderedPageBreak/>
        <w:t xml:space="preserve">רשב"א </w:t>
      </w:r>
      <w:r w:rsidRPr="007744D0">
        <w:rPr>
          <w:rFonts w:cs="Arial"/>
          <w:sz w:val="16"/>
          <w:szCs w:val="16"/>
          <w:rtl/>
        </w:rPr>
        <w:t>(במיוחסות סי</w:t>
      </w:r>
      <w:r w:rsidRPr="007744D0">
        <w:rPr>
          <w:rFonts w:cs="Arial" w:hint="cs"/>
          <w:sz w:val="16"/>
          <w:szCs w:val="16"/>
          <w:rtl/>
        </w:rPr>
        <w:t>'</w:t>
      </w:r>
      <w:r w:rsidRPr="007744D0">
        <w:rPr>
          <w:rFonts w:cs="Arial"/>
          <w:sz w:val="16"/>
          <w:szCs w:val="16"/>
          <w:rtl/>
        </w:rPr>
        <w:t xml:space="preserve"> לא</w:t>
      </w:r>
      <w:r w:rsidRPr="007744D0">
        <w:rPr>
          <w:rFonts w:cs="Arial" w:hint="cs"/>
          <w:sz w:val="16"/>
          <w:szCs w:val="16"/>
          <w:rtl/>
        </w:rPr>
        <w:t>)</w:t>
      </w:r>
      <w:r>
        <w:rPr>
          <w:rFonts w:cs="Arial" w:hint="cs"/>
          <w:rtl/>
        </w:rPr>
        <w:t>-</w:t>
      </w:r>
      <w:r w:rsidRPr="00A440E9">
        <w:rPr>
          <w:rFonts w:cs="Arial"/>
          <w:rtl/>
        </w:rPr>
        <w:t xml:space="preserve"> אם האפטרופוסין רוצים להעלות לה מזונות והיא רוצה למכור מנכסי בעלה</w:t>
      </w:r>
      <w:r>
        <w:rPr>
          <w:rFonts w:cs="Arial" w:hint="cs"/>
          <w:rtl/>
        </w:rPr>
        <w:t xml:space="preserve"> -</w:t>
      </w:r>
      <w:r w:rsidRPr="00A440E9">
        <w:rPr>
          <w:rFonts w:cs="Arial"/>
          <w:rtl/>
        </w:rPr>
        <w:t xml:space="preserve"> בית דין מוחין בידה</w:t>
      </w:r>
      <w:r>
        <w:rPr>
          <w:rFonts w:cs="Arial" w:hint="cs"/>
          <w:rtl/>
        </w:rPr>
        <w:t>,</w:t>
      </w:r>
      <w:r w:rsidRPr="00A440E9">
        <w:rPr>
          <w:rFonts w:cs="Arial"/>
          <w:rtl/>
        </w:rPr>
        <w:t xml:space="preserve"> ואם מכרה אחר התראת האפטרופוסים שהם רוצים להספיק מזונותיה מכרה בטל. </w:t>
      </w:r>
    </w:p>
    <w:p w14:paraId="1E05DEF0" w14:textId="113356B9" w:rsidR="00DC5527" w:rsidRPr="00DC5527" w:rsidRDefault="001E7C1A" w:rsidP="009000E3">
      <w:pPr>
        <w:pStyle w:val="ab"/>
        <w:numPr>
          <w:ilvl w:val="0"/>
          <w:numId w:val="82"/>
        </w:numPr>
        <w:rPr>
          <w:rtl/>
        </w:rPr>
      </w:pPr>
      <w:r>
        <w:rPr>
          <w:rFonts w:cs="Arial" w:hint="cs"/>
          <w:rtl/>
        </w:rPr>
        <w:t xml:space="preserve">רשב"א </w:t>
      </w:r>
      <w:r w:rsidRPr="007744D0">
        <w:rPr>
          <w:rFonts w:cs="Arial"/>
          <w:sz w:val="16"/>
          <w:szCs w:val="16"/>
          <w:rtl/>
        </w:rPr>
        <w:t>(במיוחסות סי</w:t>
      </w:r>
      <w:r w:rsidRPr="007744D0">
        <w:rPr>
          <w:rFonts w:cs="Arial" w:hint="cs"/>
          <w:sz w:val="16"/>
          <w:szCs w:val="16"/>
          <w:rtl/>
        </w:rPr>
        <w:t>'</w:t>
      </w:r>
      <w:r w:rsidRPr="007744D0">
        <w:rPr>
          <w:rFonts w:cs="Arial"/>
          <w:sz w:val="16"/>
          <w:szCs w:val="16"/>
          <w:rtl/>
        </w:rPr>
        <w:t xml:space="preserve"> </w:t>
      </w:r>
      <w:r>
        <w:rPr>
          <w:rFonts w:cs="Arial" w:hint="cs"/>
          <w:sz w:val="16"/>
          <w:szCs w:val="16"/>
          <w:rtl/>
        </w:rPr>
        <w:t>נז</w:t>
      </w:r>
      <w:r w:rsidRPr="007744D0">
        <w:rPr>
          <w:rFonts w:cs="Arial" w:hint="cs"/>
          <w:sz w:val="16"/>
          <w:szCs w:val="16"/>
          <w:rtl/>
        </w:rPr>
        <w:t>)</w:t>
      </w:r>
      <w:r>
        <w:rPr>
          <w:rFonts w:cs="Arial" w:hint="cs"/>
          <w:rtl/>
        </w:rPr>
        <w:t>-</w:t>
      </w:r>
      <w:r w:rsidRPr="00A440E9">
        <w:rPr>
          <w:rFonts w:cs="Arial"/>
          <w:rtl/>
        </w:rPr>
        <w:t xml:space="preserve"> מזונות של אשה כתובים הם עכשיו אפילו אצל משועבדים שהכל נהגו לקנות מידו וחזרו הנשים כבת אשתו שקנו מידו. </w:t>
      </w:r>
    </w:p>
    <w:p w14:paraId="2A4FD1BA"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4BF8808" w14:textId="62F3EC3B" w:rsidR="00DC5527" w:rsidRPr="00B60C17" w:rsidRDefault="00392DBB" w:rsidP="00B60C17">
      <w:pPr>
        <w:rPr>
          <w:rFonts w:cs="Arial"/>
          <w:sz w:val="18"/>
          <w:szCs w:val="18"/>
          <w:rtl/>
        </w:rPr>
      </w:pPr>
      <w:r>
        <w:rPr>
          <w:rFonts w:cs="Arial"/>
          <w:rtl/>
        </w:rPr>
        <w:t>אלמנה שתפסה מטלטלין כדי שתזון מהם, בין שתפסה מחיים בין שתפסה אחר מותו, אפילו תפסה ככר זהב, אין מוציאין מידה אלא כותבים עליה ב</w:t>
      </w:r>
      <w:r w:rsidR="00DC5527">
        <w:rPr>
          <w:rFonts w:cs="Arial" w:hint="cs"/>
          <w:rtl/>
        </w:rPr>
        <w:t>ית דין</w:t>
      </w:r>
      <w:r>
        <w:rPr>
          <w:rFonts w:cs="Arial"/>
          <w:rtl/>
        </w:rPr>
        <w:t xml:space="preserve"> מה שתפסה, ופוסקין לה מזונות, ומחשבין עליה והיא נזונית ממה שבידה עד שתמות או עד שלא יהיו לה מזונות, ויקחו היורשים את השאר. </w:t>
      </w:r>
      <w:r w:rsidRPr="00DC5527">
        <w:rPr>
          <w:rFonts w:cs="Arial"/>
          <w:sz w:val="18"/>
          <w:szCs w:val="18"/>
          <w:rtl/>
        </w:rPr>
        <w:t>הגה: י"א דלא הוי תפיסה אלא תפיסה מרשות הרבים או מסימטא, אבל לא מרשות יורשין (ר"ן בשם רש"י). ויש חולקין (</w:t>
      </w:r>
      <w:r w:rsidR="00E90598">
        <w:rPr>
          <w:rFonts w:cs="Arial" w:hint="cs"/>
          <w:sz w:val="18"/>
          <w:szCs w:val="18"/>
          <w:rtl/>
        </w:rPr>
        <w:t>כ"מ מה</w:t>
      </w:r>
      <w:r w:rsidRPr="00DC5527">
        <w:rPr>
          <w:rFonts w:cs="Arial"/>
          <w:sz w:val="18"/>
          <w:szCs w:val="18"/>
          <w:rtl/>
        </w:rPr>
        <w:t>ריב"ש)</w:t>
      </w:r>
      <w:r w:rsidR="00B60C17">
        <w:rPr>
          <w:rFonts w:cs="Arial" w:hint="cs"/>
          <w:sz w:val="18"/>
          <w:szCs w:val="18"/>
          <w:rtl/>
        </w:rPr>
        <w:t>.</w:t>
      </w:r>
      <w:r w:rsidRPr="00DC5527">
        <w:rPr>
          <w:rFonts w:cs="Arial"/>
          <w:sz w:val="18"/>
          <w:szCs w:val="18"/>
          <w:rtl/>
        </w:rPr>
        <w:t xml:space="preserve"> ולכולי עלמא בעינן תפיסה גמורה, דהיינו שתפסה מאחד מדרכי הקניות, אבל אם תפסה רק מפתחות החדרים לא מקרי תפיסה</w:t>
      </w:r>
      <w:r w:rsidR="00DF7E66">
        <w:rPr>
          <w:rStyle w:val="a7"/>
          <w:rFonts w:cs="Arial"/>
          <w:sz w:val="18"/>
          <w:szCs w:val="18"/>
          <w:rtl/>
        </w:rPr>
        <w:footnoteReference w:id="1642"/>
      </w:r>
      <w:r w:rsidRPr="00DC5527">
        <w:rPr>
          <w:rFonts w:cs="Arial"/>
          <w:sz w:val="18"/>
          <w:szCs w:val="18"/>
          <w:rtl/>
        </w:rPr>
        <w:t xml:space="preserve"> ונותנין הכל ליורשין. ודוקא שתפסה בעצמה, אבל ע"י שליח לא מהני תפיסתה (ריב"ש).</w:t>
      </w:r>
      <w:r>
        <w:rPr>
          <w:rFonts w:cs="Arial"/>
          <w:rtl/>
        </w:rPr>
        <w:t xml:space="preserve"> </w:t>
      </w:r>
    </w:p>
    <w:p w14:paraId="2A40C9D3" w14:textId="77777777" w:rsidR="00DC5527" w:rsidRDefault="00DC5527" w:rsidP="00392DBB">
      <w:pPr>
        <w:rPr>
          <w:rtl/>
        </w:rPr>
      </w:pPr>
    </w:p>
    <w:p w14:paraId="1772F18C" w14:textId="7AE8CF93" w:rsidR="00392DBB" w:rsidRDefault="00392DBB" w:rsidP="000F64D0">
      <w:pPr>
        <w:pStyle w:val="2"/>
        <w:rPr>
          <w:rtl/>
        </w:rPr>
      </w:pPr>
      <w:r>
        <w:rPr>
          <w:rtl/>
        </w:rPr>
        <w:t>סעיף כד</w:t>
      </w:r>
      <w:r w:rsidR="00DC5527">
        <w:rPr>
          <w:rFonts w:hint="cs"/>
          <w:rtl/>
        </w:rPr>
        <w:t>:</w:t>
      </w:r>
      <w:r w:rsidR="00603FE2">
        <w:rPr>
          <w:rFonts w:hint="cs"/>
          <w:rtl/>
        </w:rPr>
        <w:t xml:space="preserve"> אלמנה שטוענת שנגמרו המזונות שתפסה.</w:t>
      </w:r>
    </w:p>
    <w:p w14:paraId="7A273914" w14:textId="02DD8D61" w:rsidR="00DC5527" w:rsidRPr="00DC5527" w:rsidRDefault="00603FE2" w:rsidP="00DC5527">
      <w:pPr>
        <w:rPr>
          <w:rtl/>
        </w:rPr>
      </w:pPr>
      <w:r>
        <w:rPr>
          <w:rFonts w:hint="cs"/>
          <w:rtl/>
        </w:rPr>
        <w:t>עיין במקורות בסעיף כג.</w:t>
      </w:r>
    </w:p>
    <w:p w14:paraId="2FA93CAF"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A89E197" w14:textId="77777777" w:rsidR="00392DBB" w:rsidRDefault="00392DBB" w:rsidP="00392DBB">
      <w:pPr>
        <w:rPr>
          <w:rtl/>
        </w:rPr>
      </w:pPr>
      <w:r>
        <w:rPr>
          <w:rFonts w:cs="Arial"/>
          <w:rtl/>
        </w:rPr>
        <w:t xml:space="preserve">אם תפסה יותר מהראוי להגבותה בבית דין בבת אחת, דהיינו כדי מזון שלשים יום, ואחר שכלה מה שתפסה תבא לתבוע מזונות, משביעין אותה לדברי הכל. </w:t>
      </w:r>
    </w:p>
    <w:p w14:paraId="66A0136D" w14:textId="77777777" w:rsidR="00392DBB" w:rsidRDefault="00392DBB" w:rsidP="00392DBB">
      <w:pPr>
        <w:rPr>
          <w:rtl/>
        </w:rPr>
      </w:pPr>
    </w:p>
    <w:p w14:paraId="261637EE" w14:textId="2E6B399D" w:rsidR="00392DBB" w:rsidRDefault="00392DBB" w:rsidP="000F64D0">
      <w:pPr>
        <w:pStyle w:val="2"/>
        <w:rPr>
          <w:rtl/>
        </w:rPr>
      </w:pPr>
      <w:r>
        <w:rPr>
          <w:rtl/>
        </w:rPr>
        <w:t>סעיף כה</w:t>
      </w:r>
      <w:r>
        <w:rPr>
          <w:rFonts w:hint="cs"/>
          <w:rtl/>
        </w:rPr>
        <w:t>:</w:t>
      </w:r>
      <w:r w:rsidRPr="00616AD7">
        <w:rPr>
          <w:rFonts w:hint="cs"/>
          <w:rtl/>
        </w:rPr>
        <w:t xml:space="preserve"> </w:t>
      </w:r>
      <w:r>
        <w:rPr>
          <w:rFonts w:hint="cs"/>
          <w:rtl/>
        </w:rPr>
        <w:t>אלמנה מוכרת מנכסי בעלה כדי לגבות מזונות.</w:t>
      </w:r>
    </w:p>
    <w:p w14:paraId="628E10DA" w14:textId="0E73355B" w:rsidR="00B525E6" w:rsidRDefault="00B525E6" w:rsidP="00B525E6">
      <w:pPr>
        <w:rPr>
          <w:rtl/>
        </w:rPr>
      </w:pPr>
      <w:r w:rsidRPr="00B525E6">
        <w:rPr>
          <w:rFonts w:cs="Arial" w:hint="cs"/>
          <w:b/>
          <w:bCs/>
          <w:rtl/>
        </w:rPr>
        <w:t xml:space="preserve">כתובות </w:t>
      </w:r>
      <w:r w:rsidRPr="00B525E6">
        <w:rPr>
          <w:rFonts w:cs="Arial" w:hint="cs"/>
          <w:b/>
          <w:bCs/>
          <w:sz w:val="16"/>
          <w:szCs w:val="16"/>
          <w:rtl/>
        </w:rPr>
        <w:t>(פ' הכותב)</w:t>
      </w:r>
      <w:r w:rsidRPr="00B525E6">
        <w:rPr>
          <w:rFonts w:cs="Arial" w:hint="cs"/>
          <w:b/>
          <w:bCs/>
          <w:rtl/>
        </w:rPr>
        <w:t xml:space="preserve"> פז ע"א:</w:t>
      </w:r>
      <w:r>
        <w:rPr>
          <w:rFonts w:cs="Arial" w:hint="cs"/>
          <w:rtl/>
        </w:rPr>
        <w:t xml:space="preserve"> </w:t>
      </w:r>
      <w:r w:rsidRPr="00B525E6">
        <w:rPr>
          <w:rFonts w:cs="Arial"/>
          <w:u w:val="single"/>
          <w:rtl/>
        </w:rPr>
        <w:t>דאמרי נהרדעי</w:t>
      </w:r>
      <w:r w:rsidRPr="00B525E6">
        <w:rPr>
          <w:rFonts w:cs="Arial"/>
          <w:rtl/>
        </w:rPr>
        <w:t>: לכרגא</w:t>
      </w:r>
      <w:r w:rsidR="00975145">
        <w:rPr>
          <w:rStyle w:val="a7"/>
          <w:rFonts w:cs="Arial"/>
          <w:rtl/>
        </w:rPr>
        <w:footnoteReference w:id="1643"/>
      </w:r>
      <w:r w:rsidRPr="00B525E6">
        <w:rPr>
          <w:rFonts w:cs="Arial"/>
          <w:rtl/>
        </w:rPr>
        <w:t>, ולמזוני</w:t>
      </w:r>
      <w:r w:rsidR="00975145">
        <w:rPr>
          <w:rStyle w:val="a7"/>
          <w:rFonts w:cs="Arial"/>
          <w:rtl/>
        </w:rPr>
        <w:footnoteReference w:id="1644"/>
      </w:r>
      <w:r w:rsidRPr="00B525E6">
        <w:rPr>
          <w:rFonts w:cs="Arial"/>
          <w:rtl/>
        </w:rPr>
        <w:t>, ולקבורה</w:t>
      </w:r>
      <w:r w:rsidR="00975145">
        <w:rPr>
          <w:rStyle w:val="a7"/>
          <w:rFonts w:cs="Arial"/>
          <w:rtl/>
        </w:rPr>
        <w:footnoteReference w:id="1645"/>
      </w:r>
      <w:r w:rsidRPr="00B525E6">
        <w:rPr>
          <w:rFonts w:cs="Arial"/>
          <w:rtl/>
        </w:rPr>
        <w:t xml:space="preserve"> - מזבנינן</w:t>
      </w:r>
      <w:r w:rsidR="00975145">
        <w:rPr>
          <w:rStyle w:val="a7"/>
          <w:rFonts w:cs="Arial"/>
          <w:rtl/>
        </w:rPr>
        <w:footnoteReference w:id="1646"/>
      </w:r>
      <w:r w:rsidRPr="00B525E6">
        <w:rPr>
          <w:rFonts w:cs="Arial"/>
          <w:rtl/>
        </w:rPr>
        <w:t xml:space="preserve"> בלא אכרזתא.</w:t>
      </w:r>
    </w:p>
    <w:p w14:paraId="4F1D4828" w14:textId="77777777" w:rsidR="00D31416" w:rsidRDefault="00D31416" w:rsidP="00D31416">
      <w:pPr>
        <w:rPr>
          <w:rFonts w:cs="Arial"/>
          <w:rtl/>
        </w:rPr>
      </w:pPr>
      <w:r w:rsidRPr="009E1CA8">
        <w:rPr>
          <w:rFonts w:hint="cs"/>
          <w:b/>
          <w:bCs/>
          <w:rtl/>
        </w:rPr>
        <w:t xml:space="preserve">כתובות </w:t>
      </w:r>
      <w:r w:rsidRPr="009E1CA8">
        <w:rPr>
          <w:rFonts w:hint="cs"/>
          <w:b/>
          <w:bCs/>
          <w:sz w:val="16"/>
          <w:szCs w:val="16"/>
          <w:rtl/>
        </w:rPr>
        <w:t xml:space="preserve">(פ' אלמנה נזונת) </w:t>
      </w:r>
      <w:r w:rsidRPr="009E1CA8">
        <w:rPr>
          <w:rFonts w:hint="cs"/>
          <w:b/>
          <w:bCs/>
          <w:rtl/>
        </w:rPr>
        <w:t>צז ע"א:</w:t>
      </w:r>
      <w:r>
        <w:rPr>
          <w:rFonts w:hint="cs"/>
          <w:rtl/>
        </w:rPr>
        <w:t xml:space="preserve"> </w:t>
      </w:r>
      <w:r w:rsidRPr="009E1CA8">
        <w:rPr>
          <w:rFonts w:cs="Arial"/>
          <w:u w:val="double"/>
          <w:rtl/>
        </w:rPr>
        <w:t>מתני'</w:t>
      </w:r>
      <w:r>
        <w:rPr>
          <w:rFonts w:cs="Arial" w:hint="cs"/>
          <w:rtl/>
        </w:rPr>
        <w:t>:</w:t>
      </w:r>
      <w:r>
        <w:rPr>
          <w:rFonts w:cs="Arial"/>
          <w:rtl/>
        </w:rPr>
        <w:t xml:space="preserve"> אלמנה בין מן האירוסין</w:t>
      </w:r>
      <w:r>
        <w:rPr>
          <w:rStyle w:val="a7"/>
          <w:rFonts w:cs="Arial"/>
          <w:rtl/>
        </w:rPr>
        <w:footnoteReference w:id="1647"/>
      </w:r>
      <w:r>
        <w:rPr>
          <w:rFonts w:cs="Arial"/>
          <w:rtl/>
        </w:rPr>
        <w:t xml:space="preserve"> בין מן הנשואין</w:t>
      </w:r>
      <w:r>
        <w:rPr>
          <w:rStyle w:val="a7"/>
          <w:rFonts w:cs="Arial"/>
          <w:rtl/>
        </w:rPr>
        <w:footnoteReference w:id="1648"/>
      </w:r>
      <w:r>
        <w:rPr>
          <w:rFonts w:cs="Arial"/>
          <w:rtl/>
        </w:rPr>
        <w:t xml:space="preserve"> - מוכרת שלא בבית דין</w:t>
      </w:r>
      <w:r>
        <w:rPr>
          <w:rFonts w:cs="Arial" w:hint="cs"/>
          <w:rtl/>
        </w:rPr>
        <w:t>.</w:t>
      </w:r>
      <w:r>
        <w:rPr>
          <w:rFonts w:cs="Arial"/>
          <w:rtl/>
        </w:rPr>
        <w:t xml:space="preserve"> </w:t>
      </w:r>
    </w:p>
    <w:p w14:paraId="74D29EA6" w14:textId="2BF3DAC0" w:rsidR="00D31416" w:rsidRDefault="00D31416" w:rsidP="00D31416">
      <w:pPr>
        <w:rPr>
          <w:rFonts w:cs="Arial"/>
          <w:rtl/>
        </w:rPr>
      </w:pPr>
      <w:r w:rsidRPr="008B5011">
        <w:rPr>
          <w:rFonts w:cs="Arial" w:hint="cs"/>
          <w:b/>
          <w:bCs/>
          <w:rtl/>
        </w:rPr>
        <w:t xml:space="preserve">בבא מציעא </w:t>
      </w:r>
      <w:r w:rsidRPr="008B5011">
        <w:rPr>
          <w:rFonts w:cs="Arial" w:hint="cs"/>
          <w:b/>
          <w:bCs/>
          <w:sz w:val="16"/>
          <w:szCs w:val="16"/>
          <w:rtl/>
        </w:rPr>
        <w:t xml:space="preserve">(פ"ב) </w:t>
      </w:r>
      <w:r w:rsidRPr="008B5011">
        <w:rPr>
          <w:rFonts w:cs="Arial" w:hint="cs"/>
          <w:b/>
          <w:bCs/>
          <w:rtl/>
        </w:rPr>
        <w:t>ל</w:t>
      </w:r>
      <w:r>
        <w:rPr>
          <w:rFonts w:cs="Arial" w:hint="cs"/>
          <w:b/>
          <w:bCs/>
          <w:rtl/>
        </w:rPr>
        <w:t>ב</w:t>
      </w:r>
      <w:r w:rsidR="002805FF">
        <w:rPr>
          <w:rStyle w:val="a7"/>
          <w:rFonts w:cs="Arial"/>
          <w:b/>
          <w:bCs/>
          <w:rtl/>
        </w:rPr>
        <w:footnoteReference w:id="1649"/>
      </w:r>
      <w:r w:rsidRPr="008B5011">
        <w:rPr>
          <w:rFonts w:cs="Arial" w:hint="cs"/>
          <w:b/>
          <w:bCs/>
          <w:rtl/>
        </w:rPr>
        <w:t xml:space="preserve"> ע"</w:t>
      </w:r>
      <w:r>
        <w:rPr>
          <w:rFonts w:cs="Arial" w:hint="cs"/>
          <w:b/>
          <w:bCs/>
          <w:rtl/>
        </w:rPr>
        <w:t>א</w:t>
      </w:r>
      <w:r w:rsidRPr="008B5011">
        <w:rPr>
          <w:rFonts w:cs="Arial" w:hint="cs"/>
          <w:b/>
          <w:bCs/>
          <w:rtl/>
        </w:rPr>
        <w:t>:</w:t>
      </w:r>
      <w:r>
        <w:rPr>
          <w:rFonts w:cs="Arial" w:hint="cs"/>
          <w:rtl/>
        </w:rPr>
        <w:t xml:space="preserve"> </w:t>
      </w:r>
      <w:r w:rsidRPr="00BE6405">
        <w:rPr>
          <w:rFonts w:cs="Arial"/>
          <w:u w:val="single"/>
          <w:rtl/>
        </w:rPr>
        <w:t>אמר רב יוסף בר מניומי אמר רב נחמן</w:t>
      </w:r>
      <w:r w:rsidRPr="00B95108">
        <w:rPr>
          <w:rFonts w:cs="Arial"/>
          <w:rtl/>
        </w:rPr>
        <w:t>: אלמנה אינה צריכה בית דין של מומחין, אבל צריכה בית דין של הדיוטות.</w:t>
      </w:r>
      <w:r w:rsidRPr="009D3864">
        <w:rPr>
          <w:rFonts w:cs="Arial"/>
          <w:sz w:val="18"/>
          <w:szCs w:val="18"/>
          <w:rtl/>
        </w:rPr>
        <w:t xml:space="preserve"> </w:t>
      </w:r>
      <w:r>
        <w:rPr>
          <w:rFonts w:cs="Arial" w:hint="cs"/>
          <w:sz w:val="16"/>
          <w:szCs w:val="16"/>
          <w:rtl/>
        </w:rPr>
        <w:t>(</w:t>
      </w:r>
      <w:r w:rsidRPr="00D31416">
        <w:rPr>
          <w:rFonts w:cs="Arial"/>
          <w:sz w:val="16"/>
          <w:szCs w:val="16"/>
          <w:rtl/>
        </w:rPr>
        <w:t>ופירש רש"י אלמנה הנזונת מנכסי יתומים מוכרת למזונות שלא בבית דין ובלבד שיראו שנים שלא תמכור בזול ע"כ</w:t>
      </w:r>
      <w:r w:rsidRPr="00D31416">
        <w:rPr>
          <w:rStyle w:val="a7"/>
          <w:rFonts w:cs="Arial"/>
          <w:sz w:val="16"/>
          <w:szCs w:val="16"/>
          <w:rtl/>
        </w:rPr>
        <w:footnoteReference w:id="1650"/>
      </w:r>
      <w:r w:rsidRPr="00D31416">
        <w:rPr>
          <w:rFonts w:cs="Arial" w:hint="cs"/>
          <w:sz w:val="16"/>
          <w:szCs w:val="16"/>
          <w:rtl/>
        </w:rPr>
        <w:t>.</w:t>
      </w:r>
      <w:r w:rsidRPr="00D31416">
        <w:rPr>
          <w:rFonts w:cs="Arial"/>
          <w:sz w:val="16"/>
          <w:szCs w:val="16"/>
          <w:rtl/>
        </w:rPr>
        <w:t xml:space="preserve"> אבל הרמב"ם כתב </w:t>
      </w:r>
      <w:r w:rsidRPr="00D31416">
        <w:rPr>
          <w:rFonts w:cs="Arial" w:hint="cs"/>
          <w:sz w:val="16"/>
          <w:szCs w:val="16"/>
          <w:rtl/>
        </w:rPr>
        <w:t>(</w:t>
      </w:r>
      <w:r w:rsidRPr="00D31416">
        <w:rPr>
          <w:rFonts w:cs="Arial"/>
          <w:sz w:val="16"/>
          <w:szCs w:val="16"/>
          <w:rtl/>
        </w:rPr>
        <w:t>פי"ח מהל</w:t>
      </w:r>
      <w:r w:rsidRPr="00D31416">
        <w:rPr>
          <w:rFonts w:cs="Arial" w:hint="cs"/>
          <w:sz w:val="16"/>
          <w:szCs w:val="16"/>
          <w:rtl/>
        </w:rPr>
        <w:t>'</w:t>
      </w:r>
      <w:r w:rsidRPr="00D31416">
        <w:rPr>
          <w:rFonts w:cs="Arial"/>
          <w:sz w:val="16"/>
          <w:szCs w:val="16"/>
          <w:rtl/>
        </w:rPr>
        <w:t xml:space="preserve"> אישות ה"כ) יש לה למכור שלא בבית דין מומחין אלא בג' אנשים נאמנים בלא הכרזה</w:t>
      </w:r>
      <w:r w:rsidRPr="00D31416">
        <w:rPr>
          <w:rFonts w:cs="Arial" w:hint="cs"/>
          <w:sz w:val="16"/>
          <w:szCs w:val="16"/>
          <w:rtl/>
        </w:rPr>
        <w:t>.</w:t>
      </w:r>
      <w:r w:rsidRPr="00D31416">
        <w:rPr>
          <w:rFonts w:cs="Arial"/>
          <w:sz w:val="16"/>
          <w:szCs w:val="16"/>
          <w:rtl/>
        </w:rPr>
        <w:t xml:space="preserve"> וכן נראה מדברי הרי"ף והרא"ש שכתבו בפרק אלמנה נזונת (הרי"ף נו:, הרא"ש סי' י) אהא דרב נחמן צריכה בית דין הדיוטות כגון גברי מהימני דבקיאי בשומא ע"כ</w:t>
      </w:r>
      <w:r w:rsidRPr="00D31416">
        <w:rPr>
          <w:rFonts w:cs="Arial" w:hint="cs"/>
          <w:sz w:val="16"/>
          <w:szCs w:val="16"/>
          <w:rtl/>
        </w:rPr>
        <w:t>.</w:t>
      </w:r>
      <w:r w:rsidRPr="00D31416">
        <w:rPr>
          <w:rFonts w:cs="Arial"/>
          <w:sz w:val="16"/>
          <w:szCs w:val="16"/>
          <w:rtl/>
        </w:rPr>
        <w:t xml:space="preserve"> וב"ד הדיוטות סתם משמע דאינו </w:t>
      </w:r>
      <w:r w:rsidRPr="00D31416">
        <w:rPr>
          <w:rFonts w:cs="Arial"/>
          <w:sz w:val="16"/>
          <w:szCs w:val="16"/>
          <w:rtl/>
        </w:rPr>
        <w:lastRenderedPageBreak/>
        <w:t>פחות מג'</w:t>
      </w:r>
      <w:r w:rsidRPr="00D31416">
        <w:rPr>
          <w:rFonts w:cs="Arial" w:hint="cs"/>
          <w:sz w:val="16"/>
          <w:szCs w:val="16"/>
          <w:rtl/>
        </w:rPr>
        <w:t>.</w:t>
      </w:r>
      <w:r w:rsidRPr="00D31416">
        <w:rPr>
          <w:rFonts w:cs="Arial"/>
          <w:sz w:val="16"/>
          <w:szCs w:val="16"/>
          <w:rtl/>
        </w:rPr>
        <w:t xml:space="preserve"> וכך הם דברי רבינו</w:t>
      </w:r>
      <w:r w:rsidRPr="00D31416">
        <w:rPr>
          <w:rFonts w:cs="Arial" w:hint="cs"/>
          <w:sz w:val="16"/>
          <w:szCs w:val="16"/>
          <w:rtl/>
        </w:rPr>
        <w:t>.</w:t>
      </w:r>
      <w:r w:rsidRPr="00D31416">
        <w:rPr>
          <w:rFonts w:cs="Arial"/>
          <w:sz w:val="16"/>
          <w:szCs w:val="16"/>
          <w:rtl/>
        </w:rPr>
        <w:t xml:space="preserve"> וכתבו הר"ן שם (נו: ד"ה גמ') ו</w:t>
      </w:r>
      <w:r w:rsidRPr="00D31416">
        <w:rPr>
          <w:rFonts w:cs="Arial" w:hint="cs"/>
          <w:sz w:val="16"/>
          <w:szCs w:val="16"/>
          <w:rtl/>
        </w:rPr>
        <w:t>ה</w:t>
      </w:r>
      <w:r w:rsidRPr="00D31416">
        <w:rPr>
          <w:rFonts w:cs="Arial"/>
          <w:sz w:val="16"/>
          <w:szCs w:val="16"/>
          <w:rtl/>
        </w:rPr>
        <w:t>ה</w:t>
      </w:r>
      <w:r w:rsidRPr="00D31416">
        <w:rPr>
          <w:rFonts w:cs="Arial" w:hint="cs"/>
          <w:sz w:val="16"/>
          <w:szCs w:val="16"/>
          <w:rtl/>
        </w:rPr>
        <w:t>"</w:t>
      </w:r>
      <w:r w:rsidRPr="00D31416">
        <w:rPr>
          <w:rFonts w:cs="Arial"/>
          <w:sz w:val="16"/>
          <w:szCs w:val="16"/>
          <w:rtl/>
        </w:rPr>
        <w:t xml:space="preserve">מ </w:t>
      </w:r>
      <w:r w:rsidRPr="00D31416">
        <w:rPr>
          <w:rFonts w:cs="Arial" w:hint="cs"/>
          <w:sz w:val="16"/>
          <w:szCs w:val="16"/>
          <w:rtl/>
        </w:rPr>
        <w:t>(</w:t>
      </w:r>
      <w:r w:rsidRPr="00D31416">
        <w:rPr>
          <w:rFonts w:cs="Arial"/>
          <w:sz w:val="16"/>
          <w:szCs w:val="16"/>
          <w:rtl/>
        </w:rPr>
        <w:t>פי"ז מהל</w:t>
      </w:r>
      <w:r w:rsidRPr="00D31416">
        <w:rPr>
          <w:rFonts w:cs="Arial" w:hint="cs"/>
          <w:sz w:val="16"/>
          <w:szCs w:val="16"/>
          <w:rtl/>
        </w:rPr>
        <w:t>'</w:t>
      </w:r>
      <w:r w:rsidRPr="00D31416">
        <w:rPr>
          <w:rFonts w:cs="Arial"/>
          <w:sz w:val="16"/>
          <w:szCs w:val="16"/>
          <w:rtl/>
        </w:rPr>
        <w:t xml:space="preserve"> אישות הי"ג) פי' אע</w:t>
      </w:r>
      <w:r w:rsidRPr="00D31416">
        <w:rPr>
          <w:rFonts w:cs="Arial" w:hint="cs"/>
          <w:sz w:val="16"/>
          <w:szCs w:val="16"/>
          <w:rtl/>
        </w:rPr>
        <w:t>"</w:t>
      </w:r>
      <w:r w:rsidRPr="00D31416">
        <w:rPr>
          <w:rFonts w:cs="Arial"/>
          <w:sz w:val="16"/>
          <w:szCs w:val="16"/>
          <w:rtl/>
        </w:rPr>
        <w:t>ג דליכא בינייהו מאן דגמיר ואינן ראויים לדון דיני ממונות</w:t>
      </w:r>
      <w:r w:rsidRPr="00D31416">
        <w:rPr>
          <w:rFonts w:cs="Arial" w:hint="cs"/>
          <w:sz w:val="16"/>
          <w:szCs w:val="16"/>
          <w:rtl/>
        </w:rPr>
        <w:t>,</w:t>
      </w:r>
      <w:r w:rsidRPr="00D31416">
        <w:rPr>
          <w:rFonts w:cs="Arial"/>
          <w:sz w:val="16"/>
          <w:szCs w:val="16"/>
          <w:rtl/>
        </w:rPr>
        <w:t xml:space="preserve"> שאל</w:t>
      </w:r>
      <w:r w:rsidR="00F6703F">
        <w:rPr>
          <w:rFonts w:cs="Arial" w:hint="cs"/>
          <w:sz w:val="16"/>
          <w:szCs w:val="16"/>
          <w:rtl/>
        </w:rPr>
        <w:t>"</w:t>
      </w:r>
      <w:r w:rsidRPr="00D31416">
        <w:rPr>
          <w:rFonts w:cs="Arial"/>
          <w:sz w:val="16"/>
          <w:szCs w:val="16"/>
          <w:rtl/>
        </w:rPr>
        <w:t>כ במה יפה כחה משאר דינים</w:t>
      </w:r>
      <w:r w:rsidR="00F6703F">
        <w:rPr>
          <w:rStyle w:val="a7"/>
          <w:rFonts w:cs="Arial"/>
          <w:sz w:val="16"/>
          <w:szCs w:val="16"/>
          <w:rtl/>
        </w:rPr>
        <w:footnoteReference w:id="1651"/>
      </w:r>
      <w:r>
        <w:rPr>
          <w:rFonts w:cs="Arial" w:hint="cs"/>
          <w:sz w:val="16"/>
          <w:szCs w:val="16"/>
          <w:rtl/>
        </w:rPr>
        <w:t>, ב"י)</w:t>
      </w:r>
    </w:p>
    <w:p w14:paraId="302892F0" w14:textId="2F2A1CC2" w:rsidR="000A75A9" w:rsidRDefault="00D8769A" w:rsidP="000A75A9">
      <w:pPr>
        <w:rPr>
          <w:rtl/>
        </w:rPr>
      </w:pPr>
      <w:r w:rsidRPr="009E1CA8">
        <w:rPr>
          <w:rFonts w:hint="cs"/>
          <w:b/>
          <w:bCs/>
          <w:rtl/>
        </w:rPr>
        <w:t xml:space="preserve">כתובות </w:t>
      </w:r>
      <w:r w:rsidRPr="009E1CA8">
        <w:rPr>
          <w:rFonts w:hint="cs"/>
          <w:b/>
          <w:bCs/>
          <w:sz w:val="16"/>
          <w:szCs w:val="16"/>
          <w:rtl/>
        </w:rPr>
        <w:t xml:space="preserve">(פ' אלמנה נזונת) </w:t>
      </w:r>
      <w:r w:rsidRPr="009E1CA8">
        <w:rPr>
          <w:rFonts w:hint="cs"/>
          <w:b/>
          <w:bCs/>
          <w:rtl/>
        </w:rPr>
        <w:t>צ</w:t>
      </w:r>
      <w:r>
        <w:rPr>
          <w:rFonts w:hint="cs"/>
          <w:b/>
          <w:bCs/>
          <w:rtl/>
        </w:rPr>
        <w:t>ח</w:t>
      </w:r>
      <w:r w:rsidR="002805FF">
        <w:rPr>
          <w:rStyle w:val="a7"/>
          <w:b/>
          <w:bCs/>
          <w:rtl/>
        </w:rPr>
        <w:footnoteReference w:id="1652"/>
      </w:r>
      <w:r w:rsidRPr="009E1CA8">
        <w:rPr>
          <w:rFonts w:hint="cs"/>
          <w:b/>
          <w:bCs/>
          <w:rtl/>
        </w:rPr>
        <w:t xml:space="preserve"> ע"</w:t>
      </w:r>
      <w:r>
        <w:rPr>
          <w:rFonts w:hint="cs"/>
          <w:b/>
          <w:bCs/>
          <w:rtl/>
        </w:rPr>
        <w:t>א</w:t>
      </w:r>
      <w:r w:rsidRPr="009E1CA8">
        <w:rPr>
          <w:rFonts w:hint="cs"/>
          <w:b/>
          <w:bCs/>
          <w:rtl/>
        </w:rPr>
        <w:t>:</w:t>
      </w:r>
      <w:r>
        <w:rPr>
          <w:rFonts w:hint="cs"/>
          <w:b/>
          <w:bCs/>
          <w:rtl/>
        </w:rPr>
        <w:t xml:space="preserve"> </w:t>
      </w:r>
      <w:r w:rsidRPr="00CA236B">
        <w:rPr>
          <w:rFonts w:cs="Arial"/>
          <w:u w:val="single"/>
          <w:rtl/>
        </w:rPr>
        <w:t>דא"ר זירא אמר רב נחמן</w:t>
      </w:r>
      <w:r w:rsidRPr="00E3423A">
        <w:rPr>
          <w:rFonts w:cs="Arial"/>
          <w:rtl/>
        </w:rPr>
        <w:t>: אלמנה ששמה לעצמה</w:t>
      </w:r>
      <w:r>
        <w:rPr>
          <w:rStyle w:val="a7"/>
          <w:rFonts w:cs="Arial"/>
          <w:rtl/>
        </w:rPr>
        <w:footnoteReference w:id="1653"/>
      </w:r>
      <w:r w:rsidRPr="00E3423A">
        <w:rPr>
          <w:rFonts w:cs="Arial"/>
          <w:rtl/>
        </w:rPr>
        <w:t xml:space="preserve"> - לא עשתה ולא כלום</w:t>
      </w:r>
      <w:r>
        <w:rPr>
          <w:rStyle w:val="a7"/>
          <w:rFonts w:cs="Arial"/>
          <w:rtl/>
        </w:rPr>
        <w:footnoteReference w:id="1654"/>
      </w:r>
      <w:r w:rsidRPr="00E3423A">
        <w:rPr>
          <w:rFonts w:cs="Arial"/>
          <w:rtl/>
        </w:rPr>
        <w:t>, ה"ד?</w:t>
      </w:r>
      <w:r w:rsidRPr="001D66A0">
        <w:rPr>
          <w:rtl/>
        </w:rPr>
        <w:t xml:space="preserve"> </w:t>
      </w:r>
      <w:r w:rsidRPr="001D66A0">
        <w:rPr>
          <w:rFonts w:cs="Arial"/>
          <w:rtl/>
        </w:rPr>
        <w:t>אי דאכרוז, אמאי לא עשתה ולא כלום? אלא לאו דלא אכרוז, ולעצמה הוא דלא עשתה ולא כלום, הא לאחר</w:t>
      </w:r>
      <w:r>
        <w:rPr>
          <w:rFonts w:cs="Arial" w:hint="cs"/>
          <w:rtl/>
        </w:rPr>
        <w:t xml:space="preserve"> -</w:t>
      </w:r>
      <w:r w:rsidRPr="001D66A0">
        <w:rPr>
          <w:rFonts w:cs="Arial"/>
          <w:rtl/>
        </w:rPr>
        <w:t xml:space="preserve"> מה שעשתה עשתה.</w:t>
      </w:r>
      <w:r w:rsidRPr="00E3423A">
        <w:rPr>
          <w:rFonts w:cs="Arial"/>
          <w:rtl/>
        </w:rPr>
        <w:t xml:space="preserve"> לעולם דאכרוז, ודאמרי לה: מאן שם ליך</w:t>
      </w:r>
      <w:r>
        <w:rPr>
          <w:rStyle w:val="a7"/>
          <w:rFonts w:cs="Arial"/>
          <w:rtl/>
        </w:rPr>
        <w:footnoteReference w:id="1655"/>
      </w:r>
      <w:r w:rsidRPr="00E3423A">
        <w:rPr>
          <w:rFonts w:cs="Arial"/>
          <w:rtl/>
        </w:rPr>
        <w:t>? כי האי דההוא גברא דאפקידו גביה כיסתא</w:t>
      </w:r>
      <w:r>
        <w:rPr>
          <w:rStyle w:val="a7"/>
          <w:rFonts w:cs="Arial"/>
          <w:rtl/>
        </w:rPr>
        <w:footnoteReference w:id="1656"/>
      </w:r>
      <w:r w:rsidRPr="00E3423A">
        <w:rPr>
          <w:rFonts w:cs="Arial"/>
          <w:rtl/>
        </w:rPr>
        <w:t xml:space="preserve"> דיתמי, אזל שמה לנפשיה בארבע מאה זוזי, אייקר קם בשית מאה, אתא לקמיה דרבי אמי, אמר ליה: מאן שם לך?</w:t>
      </w:r>
      <w:r w:rsidR="000A75A9" w:rsidRPr="000A75A9">
        <w:rPr>
          <w:rtl/>
        </w:rPr>
        <w:t xml:space="preserve"> </w:t>
      </w:r>
    </w:p>
    <w:p w14:paraId="12AB94A7" w14:textId="2C0D8A56" w:rsidR="00D8769A" w:rsidRDefault="000A75A9" w:rsidP="0029515B">
      <w:pPr>
        <w:rPr>
          <w:rFonts w:cs="Arial"/>
          <w:sz w:val="16"/>
          <w:szCs w:val="16"/>
          <w:rtl/>
        </w:rPr>
      </w:pPr>
      <w:r w:rsidRPr="009E1CA8">
        <w:rPr>
          <w:rFonts w:hint="cs"/>
          <w:b/>
          <w:bCs/>
          <w:rtl/>
        </w:rPr>
        <w:t xml:space="preserve">כתובות </w:t>
      </w:r>
      <w:r w:rsidRPr="009E1CA8">
        <w:rPr>
          <w:rFonts w:hint="cs"/>
          <w:b/>
          <w:bCs/>
          <w:sz w:val="16"/>
          <w:szCs w:val="16"/>
          <w:rtl/>
        </w:rPr>
        <w:t xml:space="preserve">(פ' אלמנה נזונת) </w:t>
      </w:r>
      <w:r w:rsidRPr="009E1CA8">
        <w:rPr>
          <w:rFonts w:hint="cs"/>
          <w:b/>
          <w:bCs/>
          <w:rtl/>
        </w:rPr>
        <w:t>צ</w:t>
      </w:r>
      <w:r>
        <w:rPr>
          <w:rFonts w:hint="cs"/>
          <w:b/>
          <w:bCs/>
          <w:rtl/>
        </w:rPr>
        <w:t>ח</w:t>
      </w:r>
      <w:r w:rsidRPr="009E1CA8">
        <w:rPr>
          <w:rFonts w:hint="cs"/>
          <w:b/>
          <w:bCs/>
          <w:rtl/>
        </w:rPr>
        <w:t xml:space="preserve"> ע"</w:t>
      </w:r>
      <w:r>
        <w:rPr>
          <w:rFonts w:hint="cs"/>
          <w:b/>
          <w:bCs/>
          <w:rtl/>
        </w:rPr>
        <w:t>א</w:t>
      </w:r>
      <w:r w:rsidRPr="009E1CA8">
        <w:rPr>
          <w:rFonts w:hint="cs"/>
          <w:b/>
          <w:bCs/>
          <w:rtl/>
        </w:rPr>
        <w:t>:</w:t>
      </w:r>
      <w:r>
        <w:rPr>
          <w:rFonts w:cs="Arial" w:hint="cs"/>
          <w:rtl/>
        </w:rPr>
        <w:t xml:space="preserve"> </w:t>
      </w:r>
      <w:r w:rsidRPr="0029515B">
        <w:rPr>
          <w:rFonts w:cs="Arial"/>
          <w:u w:val="double"/>
          <w:rtl/>
        </w:rPr>
        <w:t>מתני'</w:t>
      </w:r>
      <w:r w:rsidR="0029515B">
        <w:rPr>
          <w:rFonts w:cs="Arial" w:hint="cs"/>
          <w:rtl/>
        </w:rPr>
        <w:t>:</w:t>
      </w:r>
      <w:r w:rsidRPr="000A75A9">
        <w:rPr>
          <w:rFonts w:cs="Arial"/>
          <w:rtl/>
        </w:rPr>
        <w:t xml:space="preserve"> אלמנה</w:t>
      </w:r>
      <w:r w:rsidR="0029515B">
        <w:rPr>
          <w:rFonts w:cs="Arial" w:hint="cs"/>
          <w:rtl/>
        </w:rPr>
        <w:t>...</w:t>
      </w:r>
      <w:r w:rsidRPr="000A75A9">
        <w:rPr>
          <w:rFonts w:cs="Arial"/>
          <w:rtl/>
        </w:rPr>
        <w:t xml:space="preserve"> היתה כתובתה מנה, ומכרה שוה מנה ודינר במנה - מכרה בטל, אפילו היא אומרת אחזיר דינר ליורשין - מכרה בטל</w:t>
      </w:r>
      <w:r w:rsidR="0029515B">
        <w:rPr>
          <w:rFonts w:cs="Arial" w:hint="cs"/>
          <w:rtl/>
        </w:rPr>
        <w:t xml:space="preserve">... </w:t>
      </w:r>
      <w:r w:rsidR="0029515B">
        <w:rPr>
          <w:rFonts w:cs="Arial" w:hint="cs"/>
          <w:sz w:val="16"/>
          <w:szCs w:val="16"/>
          <w:rtl/>
        </w:rPr>
        <w:t>(</w:t>
      </w:r>
      <w:r w:rsidR="0029515B" w:rsidRPr="0029515B">
        <w:rPr>
          <w:rFonts w:cs="Arial"/>
          <w:sz w:val="16"/>
          <w:szCs w:val="16"/>
          <w:rtl/>
        </w:rPr>
        <w:t>ומשמע לרבינו דהוא הדין במכרה למזונות</w:t>
      </w:r>
      <w:r w:rsidR="0029515B">
        <w:rPr>
          <w:rFonts w:cs="Arial" w:hint="cs"/>
          <w:sz w:val="16"/>
          <w:szCs w:val="16"/>
          <w:rtl/>
        </w:rPr>
        <w:t>, ב"י)</w:t>
      </w:r>
      <w:r w:rsidRPr="000A75A9">
        <w:rPr>
          <w:rFonts w:cs="Arial"/>
          <w:rtl/>
        </w:rPr>
        <w:t xml:space="preserve"> </w:t>
      </w:r>
      <w:r w:rsidR="00D8769A" w:rsidRPr="00653EE7">
        <w:rPr>
          <w:rFonts w:cs="Arial"/>
          <w:sz w:val="16"/>
          <w:szCs w:val="16"/>
          <w:rtl/>
        </w:rPr>
        <w:t xml:space="preserve"> </w:t>
      </w:r>
    </w:p>
    <w:p w14:paraId="1E80E0E2" w14:textId="1757666C" w:rsidR="002F6F6E" w:rsidRPr="002F6F6E" w:rsidRDefault="002F6F6E" w:rsidP="0029515B">
      <w:pPr>
        <w:rPr>
          <w:rFonts w:cs="Arial"/>
          <w:rtl/>
        </w:rPr>
      </w:pPr>
      <w:r w:rsidRPr="009E1CA8">
        <w:rPr>
          <w:rFonts w:hint="cs"/>
          <w:b/>
          <w:bCs/>
          <w:rtl/>
        </w:rPr>
        <w:t xml:space="preserve">כתובות </w:t>
      </w:r>
      <w:r w:rsidRPr="009E1CA8">
        <w:rPr>
          <w:rFonts w:hint="cs"/>
          <w:b/>
          <w:bCs/>
          <w:sz w:val="16"/>
          <w:szCs w:val="16"/>
          <w:rtl/>
        </w:rPr>
        <w:t xml:space="preserve">(פ' אלמנה נזונת) </w:t>
      </w:r>
      <w:r w:rsidRPr="009E1CA8">
        <w:rPr>
          <w:rFonts w:hint="cs"/>
          <w:b/>
          <w:bCs/>
          <w:rtl/>
        </w:rPr>
        <w:t>צז ע"א:</w:t>
      </w:r>
      <w:r>
        <w:rPr>
          <w:rFonts w:hint="cs"/>
          <w:rtl/>
        </w:rPr>
        <w:t xml:space="preserve"> </w:t>
      </w:r>
      <w:r w:rsidR="008500F1" w:rsidRPr="008500F1">
        <w:rPr>
          <w:rFonts w:cs="Arial"/>
          <w:u w:val="single"/>
          <w:rtl/>
        </w:rPr>
        <w:t>בעו מיניה מרב ששת</w:t>
      </w:r>
      <w:r w:rsidR="008500F1" w:rsidRPr="008500F1">
        <w:rPr>
          <w:rFonts w:cs="Arial"/>
          <w:rtl/>
        </w:rPr>
        <w:t xml:space="preserve">: מוכרת למזונות, מהו שתחזור ותטרוף לכתובה? קמיבעיא להו בדרב יוסף, </w:t>
      </w:r>
      <w:r w:rsidR="008500F1" w:rsidRPr="008500F1">
        <w:rPr>
          <w:rFonts w:cs="Arial"/>
          <w:u w:val="single"/>
          <w:rtl/>
        </w:rPr>
        <w:t>דאמר רב יוסף</w:t>
      </w:r>
      <w:r w:rsidR="008500F1" w:rsidRPr="008500F1">
        <w:rPr>
          <w:rFonts w:cs="Arial"/>
          <w:rtl/>
        </w:rPr>
        <w:t xml:space="preserve">: ארמלתא דזבין </w:t>
      </w:r>
      <w:r w:rsidR="008500F1">
        <w:rPr>
          <w:rFonts w:cs="Arial" w:hint="cs"/>
          <w:rtl/>
        </w:rPr>
        <w:t xml:space="preserve">- </w:t>
      </w:r>
      <w:r w:rsidR="008500F1" w:rsidRPr="008500F1">
        <w:rPr>
          <w:rFonts w:cs="Arial"/>
          <w:rtl/>
        </w:rPr>
        <w:t>אחריות איתמי</w:t>
      </w:r>
      <w:r w:rsidR="008500F1">
        <w:rPr>
          <w:rStyle w:val="a7"/>
          <w:rFonts w:cs="Arial"/>
          <w:rtl/>
        </w:rPr>
        <w:footnoteReference w:id="1657"/>
      </w:r>
      <w:r w:rsidR="008500F1" w:rsidRPr="008500F1">
        <w:rPr>
          <w:rFonts w:cs="Arial"/>
          <w:rtl/>
        </w:rPr>
        <w:t xml:space="preserve">, ובי דינא דזבין </w:t>
      </w:r>
      <w:r w:rsidR="008500F1">
        <w:rPr>
          <w:rFonts w:cs="Arial" w:hint="cs"/>
          <w:rtl/>
        </w:rPr>
        <w:t xml:space="preserve">- </w:t>
      </w:r>
      <w:r w:rsidR="008500F1" w:rsidRPr="008500F1">
        <w:rPr>
          <w:rFonts w:cs="Arial"/>
          <w:rtl/>
        </w:rPr>
        <w:t>אחריות איתמי</w:t>
      </w:r>
      <w:r w:rsidR="008500F1">
        <w:rPr>
          <w:rFonts w:cs="Arial" w:hint="cs"/>
          <w:rtl/>
        </w:rPr>
        <w:t>.</w:t>
      </w:r>
      <w:r w:rsidR="008500F1" w:rsidRPr="008500F1">
        <w:rPr>
          <w:rFonts w:cs="Arial"/>
          <w:rtl/>
        </w:rPr>
        <w:t xml:space="preserve"> מאי? כיון דאחריות איתמי - טרפא, או דלמא מצי אמרי לה: נהי דאחריות דעלמא לא קבילת עילוך, אחריות דנפשך מי לא קבולי קבילת? </w:t>
      </w:r>
      <w:r w:rsidR="008500F1" w:rsidRPr="008500F1">
        <w:rPr>
          <w:rFonts w:cs="Arial"/>
          <w:u w:val="single"/>
          <w:rtl/>
        </w:rPr>
        <w:t>אמר ליה</w:t>
      </w:r>
      <w:r w:rsidR="008500F1">
        <w:rPr>
          <w:rFonts w:cs="Arial" w:hint="cs"/>
          <w:rtl/>
        </w:rPr>
        <w:t>:</w:t>
      </w:r>
      <w:r w:rsidR="008500F1" w:rsidRPr="008500F1">
        <w:rPr>
          <w:rFonts w:cs="Arial"/>
          <w:rtl/>
        </w:rPr>
        <w:t xml:space="preserve"> תניתוה: מוכרת והולכת עד כדי כתובתה, וסמך לה שתגבה כתובתה מן השאר; שמע מינה, שיירא אין, לא שיירא לא</w:t>
      </w:r>
      <w:r>
        <w:rPr>
          <w:rFonts w:cs="Arial" w:hint="cs"/>
          <w:rtl/>
        </w:rPr>
        <w:t>.</w:t>
      </w:r>
    </w:p>
    <w:p w14:paraId="67080EC4" w14:textId="41B05010" w:rsidR="00D31416" w:rsidRPr="00D31416" w:rsidRDefault="00D31416" w:rsidP="00D31416">
      <w:pPr>
        <w:rPr>
          <w:rFonts w:cs="Arial"/>
          <w:u w:val="single"/>
          <w:rtl/>
        </w:rPr>
      </w:pPr>
      <w:r w:rsidRPr="00D31416">
        <w:rPr>
          <w:rFonts w:hint="cs"/>
          <w:u w:val="single"/>
          <w:rtl/>
        </w:rPr>
        <w:t xml:space="preserve">אלמנה </w:t>
      </w:r>
      <w:r>
        <w:rPr>
          <w:rFonts w:hint="cs"/>
          <w:u w:val="single"/>
          <w:rtl/>
        </w:rPr>
        <w:t>שבאה ל</w:t>
      </w:r>
      <w:r w:rsidRPr="00D31416">
        <w:rPr>
          <w:rFonts w:hint="cs"/>
          <w:u w:val="single"/>
          <w:rtl/>
        </w:rPr>
        <w:t>מכ</w:t>
      </w:r>
      <w:r>
        <w:rPr>
          <w:rFonts w:hint="cs"/>
          <w:u w:val="single"/>
          <w:rtl/>
        </w:rPr>
        <w:t>ו</w:t>
      </w:r>
      <w:r w:rsidRPr="00D31416">
        <w:rPr>
          <w:rFonts w:hint="cs"/>
          <w:u w:val="single"/>
          <w:rtl/>
        </w:rPr>
        <w:t>ר מנכסי בעלה כדי לגבות מזונות</w:t>
      </w:r>
      <w:r w:rsidRPr="00D31416">
        <w:rPr>
          <w:rFonts w:cs="Arial" w:hint="cs"/>
          <w:u w:val="single"/>
          <w:rtl/>
        </w:rPr>
        <w:t>:</w:t>
      </w:r>
    </w:p>
    <w:p w14:paraId="08381EBD" w14:textId="6F761699" w:rsidR="004521BC" w:rsidRPr="004521BC" w:rsidRDefault="00392DBB" w:rsidP="009000E3">
      <w:pPr>
        <w:pStyle w:val="ab"/>
        <w:numPr>
          <w:ilvl w:val="0"/>
          <w:numId w:val="61"/>
        </w:numPr>
      </w:pPr>
      <w:r>
        <w:rPr>
          <w:rFonts w:cs="Arial" w:hint="cs"/>
          <w:rtl/>
        </w:rPr>
        <w:t xml:space="preserve">טור- </w:t>
      </w:r>
      <w:r w:rsidRPr="000A1431">
        <w:rPr>
          <w:rFonts w:cs="Arial"/>
          <w:rtl/>
        </w:rPr>
        <w:t>אלמנה שבאה למכור מנכסי בעלה למזונות אינה צריכה שבועה</w:t>
      </w:r>
      <w:r w:rsidR="00AC5B36">
        <w:rPr>
          <w:rStyle w:val="a7"/>
          <w:rFonts w:cs="Arial"/>
          <w:rtl/>
        </w:rPr>
        <w:footnoteReference w:id="1658"/>
      </w:r>
      <w:r w:rsidRPr="000A1431">
        <w:rPr>
          <w:rFonts w:cs="Arial"/>
          <w:rtl/>
        </w:rPr>
        <w:t xml:space="preserve"> ולא הכרזה ולא לבא לפני ב"ד מומחין</w:t>
      </w:r>
      <w:r w:rsidR="00F17F5E">
        <w:rPr>
          <w:rFonts w:cs="Arial" w:hint="cs"/>
          <w:rtl/>
        </w:rPr>
        <w:t>,</w:t>
      </w:r>
      <w:r w:rsidRPr="000A1431">
        <w:rPr>
          <w:rFonts w:cs="Arial"/>
          <w:rtl/>
        </w:rPr>
        <w:t xml:space="preserve"> אבל צריכה לפחות ג' אנשים בקיאים בשומא</w:t>
      </w:r>
      <w:r w:rsidR="00F17F5E">
        <w:rPr>
          <w:rFonts w:cs="Arial" w:hint="cs"/>
          <w:rtl/>
        </w:rPr>
        <w:t>.</w:t>
      </w:r>
      <w:r w:rsidR="004521BC" w:rsidRPr="004521BC">
        <w:rPr>
          <w:rFonts w:cs="Arial" w:hint="cs"/>
          <w:color w:val="E36C0A" w:themeColor="accent6" w:themeShade="BF"/>
          <w:rtl/>
        </w:rPr>
        <w:t xml:space="preserve"> </w:t>
      </w:r>
      <w:r w:rsidR="004521BC" w:rsidRPr="009C33F7">
        <w:rPr>
          <w:rFonts w:cs="Arial" w:hint="cs"/>
          <w:color w:val="E36C0A" w:themeColor="accent6" w:themeShade="BF"/>
          <w:rtl/>
        </w:rPr>
        <w:t>(וכ"פ בשו"ע</w:t>
      </w:r>
      <w:r w:rsidR="004521BC">
        <w:rPr>
          <w:rFonts w:cs="Arial" w:hint="cs"/>
          <w:color w:val="E36C0A" w:themeColor="accent6" w:themeShade="BF"/>
          <w:rtl/>
        </w:rPr>
        <w:t>)</w:t>
      </w:r>
    </w:p>
    <w:p w14:paraId="68FF2851" w14:textId="6D41FA30" w:rsidR="004521BC" w:rsidRPr="00753497" w:rsidRDefault="004521BC" w:rsidP="004521BC">
      <w:pPr>
        <w:ind w:left="360"/>
        <w:rPr>
          <w:u w:val="dotted"/>
        </w:rPr>
      </w:pPr>
      <w:r w:rsidRPr="00753497">
        <w:rPr>
          <w:rFonts w:hint="cs"/>
          <w:u w:val="dotted"/>
          <w:rtl/>
        </w:rPr>
        <w:t>מכרה לעצמה</w:t>
      </w:r>
      <w:r w:rsidR="00753497" w:rsidRPr="00753497">
        <w:rPr>
          <w:rFonts w:hint="cs"/>
          <w:u w:val="dotted"/>
          <w:rtl/>
        </w:rPr>
        <w:t xml:space="preserve"> בלא בית דין:</w:t>
      </w:r>
    </w:p>
    <w:p w14:paraId="61EAFB6C" w14:textId="7A2EC4BC" w:rsidR="007A788E" w:rsidRDefault="004521BC" w:rsidP="009000E3">
      <w:pPr>
        <w:pStyle w:val="ab"/>
        <w:numPr>
          <w:ilvl w:val="0"/>
          <w:numId w:val="61"/>
        </w:numPr>
      </w:pPr>
      <w:r>
        <w:rPr>
          <w:rFonts w:cs="Arial" w:hint="cs"/>
          <w:rtl/>
        </w:rPr>
        <w:t>טור-</w:t>
      </w:r>
      <w:r w:rsidR="00392DBB" w:rsidRPr="000A1431">
        <w:rPr>
          <w:rFonts w:cs="Arial"/>
          <w:rtl/>
        </w:rPr>
        <w:t xml:space="preserve"> לפיכך אם לקחה הקרקע לעצמה בסכום ידוע </w:t>
      </w:r>
      <w:r w:rsidR="00F17F5E">
        <w:rPr>
          <w:rFonts w:cs="Arial" w:hint="cs"/>
          <w:rtl/>
        </w:rPr>
        <w:t xml:space="preserve">- </w:t>
      </w:r>
      <w:r w:rsidR="00392DBB" w:rsidRPr="000A1431">
        <w:rPr>
          <w:rFonts w:cs="Arial"/>
          <w:rtl/>
        </w:rPr>
        <w:t>אינו כלום</w:t>
      </w:r>
      <w:r w:rsidR="000674DB">
        <w:rPr>
          <w:rFonts w:cs="Arial" w:hint="cs"/>
          <w:rtl/>
        </w:rPr>
        <w:t>,</w:t>
      </w:r>
      <w:r w:rsidR="00392DBB" w:rsidRPr="000A1431">
        <w:rPr>
          <w:rFonts w:cs="Arial"/>
          <w:rtl/>
        </w:rPr>
        <w:t xml:space="preserve"> ואם נתייקר אח"כ</w:t>
      </w:r>
      <w:r w:rsidR="00F17F5E">
        <w:rPr>
          <w:rFonts w:cs="Arial" w:hint="cs"/>
          <w:rtl/>
        </w:rPr>
        <w:t xml:space="preserve"> -</w:t>
      </w:r>
      <w:r w:rsidR="00392DBB" w:rsidRPr="000A1431">
        <w:rPr>
          <w:rFonts w:cs="Arial"/>
          <w:rtl/>
        </w:rPr>
        <w:t xml:space="preserve"> צריכה להחזירו ליורשים</w:t>
      </w:r>
      <w:r w:rsidR="00F17F5E">
        <w:rPr>
          <w:rFonts w:cs="Arial" w:hint="cs"/>
          <w:rtl/>
        </w:rPr>
        <w:t>,</w:t>
      </w:r>
      <w:r w:rsidR="00392DBB" w:rsidRPr="000A1431">
        <w:rPr>
          <w:rFonts w:cs="Arial"/>
          <w:rtl/>
        </w:rPr>
        <w:t xml:space="preserve"> או אפי' לא נתייקר אם ירצו יבטלו המקח</w:t>
      </w:r>
      <w:r w:rsidR="00F17F5E">
        <w:rPr>
          <w:rFonts w:cs="Arial" w:hint="cs"/>
          <w:rtl/>
        </w:rPr>
        <w:t>.</w:t>
      </w:r>
      <w:r w:rsidR="00392DBB" w:rsidRPr="000A1431">
        <w:rPr>
          <w:rFonts w:cs="Arial"/>
          <w:rtl/>
        </w:rPr>
        <w:t xml:space="preserve"> </w:t>
      </w:r>
      <w:r w:rsidR="00EB4DFC" w:rsidRPr="009C33F7">
        <w:rPr>
          <w:rFonts w:cs="Arial" w:hint="cs"/>
          <w:color w:val="E36C0A" w:themeColor="accent6" w:themeShade="BF"/>
          <w:rtl/>
        </w:rPr>
        <w:t>(וכ"פ בשו"ע</w:t>
      </w:r>
      <w:r w:rsidR="00EB4DFC" w:rsidRPr="009C33F7">
        <w:rPr>
          <w:rFonts w:cs="Arial" w:hint="cs"/>
          <w:color w:val="E36C0A" w:themeColor="accent6" w:themeShade="BF"/>
          <w:sz w:val="16"/>
          <w:szCs w:val="16"/>
          <w:rtl/>
        </w:rPr>
        <w:t xml:space="preserve"> </w:t>
      </w:r>
      <w:r w:rsidR="00EB4DFC" w:rsidRPr="009C33F7">
        <w:rPr>
          <w:rFonts w:cs="Arial" w:hint="cs"/>
          <w:sz w:val="16"/>
          <w:szCs w:val="16"/>
          <w:rtl/>
        </w:rPr>
        <w:t>[בס</w:t>
      </w:r>
      <w:r w:rsidR="00EB4DFC">
        <w:rPr>
          <w:rFonts w:cs="Arial" w:hint="cs"/>
          <w:sz w:val="16"/>
          <w:szCs w:val="16"/>
          <w:rtl/>
        </w:rPr>
        <w:t>ע</w:t>
      </w:r>
      <w:r w:rsidR="00EB4DFC" w:rsidRPr="009C33F7">
        <w:rPr>
          <w:rFonts w:cs="Arial" w:hint="cs"/>
          <w:sz w:val="16"/>
          <w:szCs w:val="16"/>
          <w:rtl/>
        </w:rPr>
        <w:t xml:space="preserve">' </w:t>
      </w:r>
      <w:r w:rsidR="00EB4DFC">
        <w:rPr>
          <w:rFonts w:cs="Arial" w:hint="cs"/>
          <w:sz w:val="16"/>
          <w:szCs w:val="16"/>
          <w:rtl/>
        </w:rPr>
        <w:t>כז</w:t>
      </w:r>
      <w:r w:rsidR="00EB4DFC" w:rsidRPr="009C33F7">
        <w:rPr>
          <w:rFonts w:cs="Arial" w:hint="cs"/>
          <w:sz w:val="16"/>
          <w:szCs w:val="16"/>
          <w:rtl/>
        </w:rPr>
        <w:t>]</w:t>
      </w:r>
      <w:r w:rsidR="00EB4DFC" w:rsidRPr="009C33F7">
        <w:rPr>
          <w:rFonts w:cs="Arial" w:hint="cs"/>
          <w:color w:val="E36C0A" w:themeColor="accent6" w:themeShade="BF"/>
          <w:rtl/>
        </w:rPr>
        <w:t>)</w:t>
      </w:r>
    </w:p>
    <w:p w14:paraId="076E881F" w14:textId="684FF0EA" w:rsidR="008B24CE" w:rsidRPr="008B24CE" w:rsidRDefault="008B24CE" w:rsidP="008B24CE">
      <w:pPr>
        <w:ind w:left="720"/>
        <w:rPr>
          <w:u w:val="wave"/>
        </w:rPr>
      </w:pPr>
      <w:r>
        <w:rPr>
          <w:rFonts w:hint="cs"/>
          <w:u w:val="wave"/>
          <w:rtl/>
        </w:rPr>
        <w:t>ומה הדין אם מכרה לעצמה בפני בית דין הדיוטות:</w:t>
      </w:r>
    </w:p>
    <w:p w14:paraId="4E7845A1" w14:textId="15B6CEDE" w:rsidR="00333465" w:rsidRPr="00333465" w:rsidRDefault="00AB3006" w:rsidP="009000E3">
      <w:pPr>
        <w:pStyle w:val="ab"/>
        <w:numPr>
          <w:ilvl w:val="0"/>
          <w:numId w:val="61"/>
        </w:numPr>
      </w:pPr>
      <w:r>
        <w:rPr>
          <w:rFonts w:cs="Arial"/>
          <w:rtl/>
        </w:rPr>
        <w:t xml:space="preserve">ר"ח </w:t>
      </w:r>
      <w:r w:rsidR="00333465">
        <w:rPr>
          <w:rFonts w:cs="Arial" w:hint="cs"/>
          <w:sz w:val="16"/>
          <w:szCs w:val="16"/>
          <w:rtl/>
        </w:rPr>
        <w:t>(כ"כ הה"מ [פי"ז הי"ד] בשמו)</w:t>
      </w:r>
      <w:r w:rsidR="00CB78BA" w:rsidRPr="00CB78BA">
        <w:rPr>
          <w:rFonts w:cs="Arial"/>
          <w:rtl/>
        </w:rPr>
        <w:t xml:space="preserve"> </w:t>
      </w:r>
      <w:r w:rsidR="00CB78BA">
        <w:rPr>
          <w:rFonts w:cs="Arial" w:hint="cs"/>
          <w:rtl/>
        </w:rPr>
        <w:t>ו</w:t>
      </w:r>
      <w:r w:rsidR="00CB78BA">
        <w:rPr>
          <w:rFonts w:cs="Arial"/>
          <w:rtl/>
        </w:rPr>
        <w:t>רמב"ן</w:t>
      </w:r>
      <w:r w:rsidR="00CB78BA">
        <w:rPr>
          <w:rStyle w:val="a7"/>
          <w:rFonts w:cs="Arial"/>
          <w:rtl/>
        </w:rPr>
        <w:footnoteReference w:id="1659"/>
      </w:r>
      <w:r w:rsidR="00CB78BA">
        <w:rPr>
          <w:rFonts w:cs="Arial"/>
          <w:rtl/>
        </w:rPr>
        <w:t xml:space="preserve"> </w:t>
      </w:r>
      <w:r w:rsidR="00CB78BA" w:rsidRPr="00616AD7">
        <w:rPr>
          <w:rFonts w:cs="Arial"/>
          <w:sz w:val="16"/>
          <w:szCs w:val="16"/>
          <w:rtl/>
        </w:rPr>
        <w:t>(ב"מ לב</w:t>
      </w:r>
      <w:r w:rsidR="00CB78BA">
        <w:rPr>
          <w:rFonts w:cs="Arial" w:hint="cs"/>
          <w:sz w:val="16"/>
          <w:szCs w:val="16"/>
          <w:rtl/>
        </w:rPr>
        <w:t>.</w:t>
      </w:r>
      <w:r w:rsidR="00CB78BA" w:rsidRPr="00616AD7">
        <w:rPr>
          <w:rFonts w:cs="Arial"/>
          <w:sz w:val="16"/>
          <w:szCs w:val="16"/>
          <w:rtl/>
        </w:rPr>
        <w:t xml:space="preserve"> ד"ה ואי)</w:t>
      </w:r>
      <w:r w:rsidR="00333465">
        <w:rPr>
          <w:rFonts w:cs="Arial" w:hint="cs"/>
          <w:rtl/>
        </w:rPr>
        <w:t xml:space="preserve">- </w:t>
      </w:r>
      <w:r>
        <w:rPr>
          <w:rFonts w:cs="Arial"/>
          <w:rtl/>
        </w:rPr>
        <w:t xml:space="preserve">אפילו בשלשה הדיוטות אם שמה לעצמה </w:t>
      </w:r>
      <w:r w:rsidR="00333465">
        <w:rPr>
          <w:rFonts w:cs="Arial" w:hint="cs"/>
          <w:rtl/>
        </w:rPr>
        <w:t xml:space="preserve">- </w:t>
      </w:r>
      <w:r>
        <w:rPr>
          <w:rFonts w:cs="Arial"/>
          <w:rtl/>
        </w:rPr>
        <w:t>לא עשתה כלום דכיון שאינם ראויים לדין אמרינן לה מאן שם ליך</w:t>
      </w:r>
      <w:r w:rsidR="00CB78BA">
        <w:rPr>
          <w:rFonts w:cs="Arial" w:hint="cs"/>
          <w:sz w:val="16"/>
          <w:szCs w:val="16"/>
          <w:rtl/>
        </w:rPr>
        <w:t xml:space="preserve"> (ל' הה"מ בשם ר"ח)</w:t>
      </w:r>
      <w:r>
        <w:rPr>
          <w:rFonts w:cs="Arial" w:hint="cs"/>
          <w:rtl/>
        </w:rPr>
        <w:t>.</w:t>
      </w:r>
      <w:r>
        <w:rPr>
          <w:rFonts w:cs="Arial"/>
          <w:rtl/>
        </w:rPr>
        <w:t xml:space="preserve"> </w:t>
      </w:r>
    </w:p>
    <w:p w14:paraId="36F697E5" w14:textId="2AB0011D" w:rsidR="006D02A7" w:rsidRPr="007A788E" w:rsidRDefault="00AB3006" w:rsidP="009000E3">
      <w:pPr>
        <w:pStyle w:val="ab"/>
        <w:numPr>
          <w:ilvl w:val="0"/>
          <w:numId w:val="61"/>
        </w:numPr>
      </w:pPr>
      <w:r>
        <w:rPr>
          <w:rFonts w:cs="Arial"/>
          <w:rtl/>
        </w:rPr>
        <w:t>רמב"ם</w:t>
      </w:r>
      <w:r w:rsidR="00CB78BA">
        <w:rPr>
          <w:rStyle w:val="a7"/>
          <w:rFonts w:cs="Arial"/>
          <w:rtl/>
        </w:rPr>
        <w:footnoteReference w:id="1660"/>
      </w:r>
      <w:r>
        <w:rPr>
          <w:rFonts w:cs="Arial"/>
          <w:rtl/>
        </w:rPr>
        <w:t xml:space="preserve"> </w:t>
      </w:r>
      <w:r w:rsidR="00333465">
        <w:rPr>
          <w:rFonts w:cs="Arial" w:hint="cs"/>
          <w:sz w:val="16"/>
          <w:szCs w:val="16"/>
          <w:rtl/>
        </w:rPr>
        <w:t>(כ"כ הה"מ [שם] בשמו)</w:t>
      </w:r>
      <w:r w:rsidR="00333465">
        <w:rPr>
          <w:rFonts w:cs="Arial" w:hint="cs"/>
          <w:rtl/>
        </w:rPr>
        <w:t xml:space="preserve">- </w:t>
      </w:r>
      <w:r>
        <w:rPr>
          <w:rFonts w:cs="Arial"/>
          <w:rtl/>
        </w:rPr>
        <w:t>כל שהיו שלשה בקיאים בשומא אם שמה לעצמה מדעתם מעשיה קיימים</w:t>
      </w:r>
      <w:r w:rsidR="00216388">
        <w:rPr>
          <w:rStyle w:val="a7"/>
          <w:rFonts w:cs="Arial"/>
          <w:rtl/>
        </w:rPr>
        <w:footnoteReference w:id="1661"/>
      </w:r>
      <w:r w:rsidR="00CB78BA">
        <w:rPr>
          <w:rFonts w:cs="Arial" w:hint="cs"/>
          <w:sz w:val="16"/>
          <w:szCs w:val="16"/>
          <w:rtl/>
        </w:rPr>
        <w:t xml:space="preserve"> (ל' הה"מ בשמו)</w:t>
      </w:r>
      <w:r>
        <w:rPr>
          <w:rFonts w:cs="Arial" w:hint="cs"/>
          <w:rtl/>
        </w:rPr>
        <w:t>.</w:t>
      </w:r>
      <w:r w:rsidR="00B12A45" w:rsidRPr="00B12A45">
        <w:rPr>
          <w:rFonts w:cs="Arial" w:hint="cs"/>
          <w:color w:val="E36C0A" w:themeColor="accent6" w:themeShade="BF"/>
          <w:rtl/>
        </w:rPr>
        <w:t xml:space="preserve"> </w:t>
      </w:r>
      <w:r w:rsidR="00B12A45" w:rsidRPr="009C33F7">
        <w:rPr>
          <w:rFonts w:cs="Arial" w:hint="cs"/>
          <w:color w:val="E36C0A" w:themeColor="accent6" w:themeShade="BF"/>
          <w:rtl/>
        </w:rPr>
        <w:t>(וכ"</w:t>
      </w:r>
      <w:r w:rsidR="00B12A45">
        <w:rPr>
          <w:rFonts w:cs="Arial" w:hint="cs"/>
          <w:color w:val="E36C0A" w:themeColor="accent6" w:themeShade="BF"/>
          <w:rtl/>
        </w:rPr>
        <w:t>ס</w:t>
      </w:r>
      <w:r w:rsidR="00B12A45" w:rsidRPr="009C33F7">
        <w:rPr>
          <w:rFonts w:cs="Arial" w:hint="cs"/>
          <w:color w:val="E36C0A" w:themeColor="accent6" w:themeShade="BF"/>
          <w:rtl/>
        </w:rPr>
        <w:t xml:space="preserve"> בשו"ע</w:t>
      </w:r>
      <w:r w:rsidR="00B12A45" w:rsidRPr="009C33F7">
        <w:rPr>
          <w:rFonts w:cs="Arial" w:hint="cs"/>
          <w:color w:val="E36C0A" w:themeColor="accent6" w:themeShade="BF"/>
          <w:sz w:val="16"/>
          <w:szCs w:val="16"/>
          <w:rtl/>
        </w:rPr>
        <w:t xml:space="preserve"> </w:t>
      </w:r>
      <w:r w:rsidR="00B12A45" w:rsidRPr="009C33F7">
        <w:rPr>
          <w:rFonts w:cs="Arial" w:hint="cs"/>
          <w:sz w:val="16"/>
          <w:szCs w:val="16"/>
          <w:rtl/>
        </w:rPr>
        <w:t>[בס</w:t>
      </w:r>
      <w:r w:rsidR="00B12A45">
        <w:rPr>
          <w:rFonts w:cs="Arial" w:hint="cs"/>
          <w:sz w:val="16"/>
          <w:szCs w:val="16"/>
          <w:rtl/>
        </w:rPr>
        <w:t>ע</w:t>
      </w:r>
      <w:r w:rsidR="00B12A45" w:rsidRPr="009C33F7">
        <w:rPr>
          <w:rFonts w:cs="Arial" w:hint="cs"/>
          <w:sz w:val="16"/>
          <w:szCs w:val="16"/>
          <w:rtl/>
        </w:rPr>
        <w:t>'</w:t>
      </w:r>
      <w:r w:rsidR="00B12A45">
        <w:rPr>
          <w:rFonts w:cs="Arial" w:hint="cs"/>
          <w:sz w:val="16"/>
          <w:szCs w:val="16"/>
          <w:rtl/>
        </w:rPr>
        <w:t xml:space="preserve"> כח</w:t>
      </w:r>
      <w:r w:rsidR="00B12A45" w:rsidRPr="009C33F7">
        <w:rPr>
          <w:rFonts w:cs="Arial" w:hint="cs"/>
          <w:sz w:val="16"/>
          <w:szCs w:val="16"/>
          <w:rtl/>
        </w:rPr>
        <w:t>]</w:t>
      </w:r>
      <w:r w:rsidR="00B12A45" w:rsidRPr="009C33F7">
        <w:rPr>
          <w:rFonts w:cs="Arial" w:hint="cs"/>
          <w:color w:val="E36C0A" w:themeColor="accent6" w:themeShade="BF"/>
          <w:rtl/>
        </w:rPr>
        <w:t>)</w:t>
      </w:r>
    </w:p>
    <w:p w14:paraId="7774F0D7" w14:textId="5803526B" w:rsidR="00BE267F" w:rsidRPr="008E1CC1" w:rsidRDefault="00BE267F" w:rsidP="00D31416">
      <w:pPr>
        <w:ind w:left="360"/>
        <w:rPr>
          <w:u w:val="dotted"/>
        </w:rPr>
      </w:pPr>
      <w:r w:rsidRPr="008E1CC1">
        <w:rPr>
          <w:rFonts w:hint="cs"/>
          <w:u w:val="dotted"/>
          <w:rtl/>
        </w:rPr>
        <w:t xml:space="preserve">מכרה </w:t>
      </w:r>
      <w:r w:rsidR="00753497">
        <w:rPr>
          <w:rFonts w:hint="cs"/>
          <w:u w:val="dotted"/>
          <w:rtl/>
        </w:rPr>
        <w:t>לאחר</w:t>
      </w:r>
      <w:r w:rsidR="00D751C5">
        <w:rPr>
          <w:rFonts w:hint="cs"/>
          <w:u w:val="dotted"/>
          <w:rtl/>
        </w:rPr>
        <w:t>ים</w:t>
      </w:r>
      <w:r w:rsidR="00753497">
        <w:rPr>
          <w:rFonts w:hint="cs"/>
          <w:u w:val="dotted"/>
          <w:rtl/>
        </w:rPr>
        <w:t xml:space="preserve"> </w:t>
      </w:r>
      <w:r w:rsidRPr="008E1CC1">
        <w:rPr>
          <w:rFonts w:hint="cs"/>
          <w:u w:val="dotted"/>
          <w:rtl/>
        </w:rPr>
        <w:t>בלא בית דין:</w:t>
      </w:r>
    </w:p>
    <w:p w14:paraId="5C486948" w14:textId="45F841E3" w:rsidR="00BE267F" w:rsidRDefault="00BE267F" w:rsidP="009000E3">
      <w:pPr>
        <w:pStyle w:val="ab"/>
        <w:numPr>
          <w:ilvl w:val="0"/>
          <w:numId w:val="61"/>
        </w:numPr>
      </w:pPr>
      <w:r>
        <w:rPr>
          <w:rFonts w:cs="Arial" w:hint="cs"/>
          <w:rtl/>
        </w:rPr>
        <w:t xml:space="preserve">ר"ח </w:t>
      </w:r>
      <w:r>
        <w:rPr>
          <w:rFonts w:cs="Arial" w:hint="cs"/>
          <w:sz w:val="16"/>
          <w:szCs w:val="16"/>
          <w:rtl/>
        </w:rPr>
        <w:t>(כ"כ בשמו בהעי"ט [</w:t>
      </w:r>
      <w:r w:rsidRPr="00616AD7">
        <w:rPr>
          <w:rFonts w:cs="Arial"/>
          <w:sz w:val="16"/>
          <w:szCs w:val="16"/>
          <w:rtl/>
        </w:rPr>
        <w:t>אות כ כתובות לה ע"ג</w:t>
      </w:r>
      <w:r>
        <w:rPr>
          <w:rFonts w:cs="Arial" w:hint="cs"/>
          <w:sz w:val="16"/>
          <w:szCs w:val="16"/>
          <w:rtl/>
        </w:rPr>
        <w:t xml:space="preserve">] והטור) </w:t>
      </w:r>
      <w:r>
        <w:rPr>
          <w:rFonts w:cs="Arial"/>
          <w:rtl/>
        </w:rPr>
        <w:t xml:space="preserve">רמב"ן </w:t>
      </w:r>
      <w:r w:rsidRPr="00616AD7">
        <w:rPr>
          <w:rFonts w:cs="Arial"/>
          <w:sz w:val="16"/>
          <w:szCs w:val="16"/>
          <w:rtl/>
        </w:rPr>
        <w:t>(ב"מ לב</w:t>
      </w:r>
      <w:r w:rsidR="008B3094">
        <w:rPr>
          <w:rFonts w:cs="Arial" w:hint="cs"/>
          <w:sz w:val="16"/>
          <w:szCs w:val="16"/>
          <w:rtl/>
        </w:rPr>
        <w:t>.</w:t>
      </w:r>
      <w:r w:rsidRPr="00616AD7">
        <w:rPr>
          <w:rFonts w:cs="Arial"/>
          <w:sz w:val="16"/>
          <w:szCs w:val="16"/>
          <w:rtl/>
        </w:rPr>
        <w:t xml:space="preserve"> ד"ה ואי)</w:t>
      </w:r>
      <w:r>
        <w:rPr>
          <w:rFonts w:cs="Arial" w:hint="cs"/>
          <w:rtl/>
        </w:rPr>
        <w:t xml:space="preserve"> ורא"ש </w:t>
      </w:r>
      <w:r w:rsidRPr="00616AD7">
        <w:rPr>
          <w:rFonts w:cs="Arial"/>
          <w:sz w:val="16"/>
          <w:szCs w:val="16"/>
          <w:rtl/>
        </w:rPr>
        <w:t>(</w:t>
      </w:r>
      <w:r>
        <w:rPr>
          <w:rFonts w:cs="Arial" w:hint="cs"/>
          <w:sz w:val="16"/>
          <w:szCs w:val="16"/>
          <w:rtl/>
        </w:rPr>
        <w:t>כלל צא סי' ט, ו</w:t>
      </w:r>
      <w:r w:rsidRPr="00616AD7">
        <w:rPr>
          <w:rFonts w:cs="Arial"/>
          <w:sz w:val="16"/>
          <w:szCs w:val="16"/>
          <w:rtl/>
        </w:rPr>
        <w:t>כלל נ סי' ח)</w:t>
      </w:r>
      <w:r>
        <w:rPr>
          <w:rFonts w:cs="Arial" w:hint="cs"/>
          <w:rtl/>
        </w:rPr>
        <w:t xml:space="preserve">- </w:t>
      </w:r>
      <w:r w:rsidRPr="00031435">
        <w:rPr>
          <w:rFonts w:cs="Arial"/>
          <w:rtl/>
        </w:rPr>
        <w:t xml:space="preserve">אם מכרה </w:t>
      </w:r>
      <w:r w:rsidR="00565DEE">
        <w:rPr>
          <w:rFonts w:cs="Arial" w:hint="cs"/>
          <w:rtl/>
        </w:rPr>
        <w:t>ש</w:t>
      </w:r>
      <w:r w:rsidRPr="00031435">
        <w:rPr>
          <w:rFonts w:cs="Arial"/>
          <w:rtl/>
        </w:rPr>
        <w:t xml:space="preserve">לא </w:t>
      </w:r>
      <w:r w:rsidR="00565DEE">
        <w:rPr>
          <w:rFonts w:cs="Arial" w:hint="cs"/>
          <w:rtl/>
        </w:rPr>
        <w:t>ב</w:t>
      </w:r>
      <w:r w:rsidRPr="00031435">
        <w:rPr>
          <w:rFonts w:cs="Arial"/>
          <w:rtl/>
        </w:rPr>
        <w:t xml:space="preserve">ב"ד </w:t>
      </w:r>
      <w:r w:rsidR="00565DEE">
        <w:rPr>
          <w:rFonts w:cs="Arial" w:hint="cs"/>
          <w:rtl/>
        </w:rPr>
        <w:t xml:space="preserve">אפילו </w:t>
      </w:r>
      <w:r w:rsidRPr="00031435">
        <w:rPr>
          <w:rFonts w:cs="Arial"/>
          <w:rtl/>
        </w:rPr>
        <w:t xml:space="preserve">הדיוטות </w:t>
      </w:r>
      <w:r>
        <w:rPr>
          <w:rFonts w:cs="Arial" w:hint="cs"/>
          <w:rtl/>
        </w:rPr>
        <w:t xml:space="preserve">- </w:t>
      </w:r>
      <w:r w:rsidRPr="00031435">
        <w:rPr>
          <w:rFonts w:cs="Arial"/>
          <w:rtl/>
        </w:rPr>
        <w:t>מכרה בטל</w:t>
      </w:r>
      <w:r w:rsidR="00565DEE">
        <w:rPr>
          <w:rFonts w:cs="Arial" w:hint="cs"/>
          <w:sz w:val="16"/>
          <w:szCs w:val="16"/>
          <w:rtl/>
        </w:rPr>
        <w:t xml:space="preserve"> (ל' הטור בשם ר"ח)</w:t>
      </w:r>
      <w:r>
        <w:rPr>
          <w:rFonts w:cs="Arial" w:hint="cs"/>
          <w:rtl/>
        </w:rPr>
        <w:t>.</w:t>
      </w:r>
      <w:r w:rsidRPr="00031435">
        <w:rPr>
          <w:rFonts w:cs="Arial"/>
          <w:rtl/>
        </w:rPr>
        <w:t xml:space="preserve"> </w:t>
      </w:r>
    </w:p>
    <w:p w14:paraId="2906F272" w14:textId="5B45DFEE" w:rsidR="00EB4DFC" w:rsidRDefault="00BE267F" w:rsidP="009000E3">
      <w:pPr>
        <w:pStyle w:val="ab"/>
        <w:numPr>
          <w:ilvl w:val="0"/>
          <w:numId w:val="61"/>
        </w:numPr>
      </w:pPr>
      <w:r w:rsidRPr="00616AD7">
        <w:rPr>
          <w:rFonts w:cs="Arial"/>
          <w:rtl/>
        </w:rPr>
        <w:lastRenderedPageBreak/>
        <w:t xml:space="preserve">רמב"ם </w:t>
      </w:r>
      <w:r w:rsidRPr="00616AD7">
        <w:rPr>
          <w:rFonts w:cs="Arial" w:hint="cs"/>
          <w:sz w:val="16"/>
          <w:szCs w:val="16"/>
          <w:rtl/>
        </w:rPr>
        <w:t>(</w:t>
      </w:r>
      <w:r w:rsidRPr="00616AD7">
        <w:rPr>
          <w:rFonts w:cs="Arial"/>
          <w:sz w:val="16"/>
          <w:szCs w:val="16"/>
          <w:rtl/>
        </w:rPr>
        <w:t>פי"ח ה"כ</w:t>
      </w:r>
      <w:r w:rsidR="00757C8F">
        <w:rPr>
          <w:rFonts w:cs="Arial" w:hint="cs"/>
          <w:sz w:val="16"/>
          <w:szCs w:val="16"/>
          <w:rtl/>
        </w:rPr>
        <w:t>,</w:t>
      </w:r>
      <w:r w:rsidR="00757C8F" w:rsidRPr="00757C8F">
        <w:rPr>
          <w:rFonts w:cs="Arial"/>
          <w:sz w:val="16"/>
          <w:szCs w:val="16"/>
          <w:rtl/>
        </w:rPr>
        <w:t xml:space="preserve"> </w:t>
      </w:r>
      <w:r w:rsidR="00757C8F">
        <w:rPr>
          <w:rFonts w:cs="Arial" w:hint="cs"/>
          <w:sz w:val="16"/>
          <w:szCs w:val="16"/>
          <w:rtl/>
        </w:rPr>
        <w:t>וכן ב</w:t>
      </w:r>
      <w:r w:rsidR="00757C8F" w:rsidRPr="00616AD7">
        <w:rPr>
          <w:rFonts w:cs="Arial"/>
          <w:sz w:val="16"/>
          <w:szCs w:val="16"/>
          <w:rtl/>
        </w:rPr>
        <w:t>פי"ז הי"ד</w:t>
      </w:r>
      <w:r w:rsidR="00757C8F">
        <w:rPr>
          <w:rStyle w:val="a7"/>
          <w:rFonts w:cs="Arial"/>
          <w:sz w:val="16"/>
          <w:szCs w:val="16"/>
          <w:rtl/>
        </w:rPr>
        <w:footnoteReference w:id="1662"/>
      </w:r>
      <w:r w:rsidRPr="00616AD7">
        <w:rPr>
          <w:rFonts w:cs="Arial" w:hint="cs"/>
          <w:sz w:val="16"/>
          <w:szCs w:val="16"/>
          <w:rtl/>
        </w:rPr>
        <w:t>)</w:t>
      </w:r>
      <w:r>
        <w:rPr>
          <w:rFonts w:cs="Arial" w:hint="cs"/>
          <w:rtl/>
        </w:rPr>
        <w:t xml:space="preserve">- </w:t>
      </w:r>
      <w:r w:rsidR="00757C8F" w:rsidRPr="009C33F7">
        <w:rPr>
          <w:rFonts w:cs="Arial"/>
          <w:rtl/>
        </w:rPr>
        <w:t xml:space="preserve">אם מכרה למזונות בינה לבין עצמה שוה בשוה </w:t>
      </w:r>
      <w:r w:rsidR="00265ECC">
        <w:rPr>
          <w:rFonts w:cs="Arial" w:hint="cs"/>
          <w:rtl/>
        </w:rPr>
        <w:t xml:space="preserve">- </w:t>
      </w:r>
      <w:r w:rsidR="00757C8F" w:rsidRPr="009C33F7">
        <w:rPr>
          <w:rFonts w:cs="Arial"/>
          <w:rtl/>
        </w:rPr>
        <w:t>מכרה קיים, וכשיבאו היורשין להשביע אותה נשבעת</w:t>
      </w:r>
      <w:r w:rsidRPr="009819B5">
        <w:rPr>
          <w:rFonts w:cs="Arial" w:hint="cs"/>
          <w:rtl/>
        </w:rPr>
        <w:t>.</w:t>
      </w:r>
      <w:r w:rsidRPr="009C33F7">
        <w:rPr>
          <w:rFonts w:cs="Arial"/>
          <w:rtl/>
        </w:rPr>
        <w:t xml:space="preserve"> </w:t>
      </w:r>
      <w:r w:rsidRPr="009C33F7">
        <w:rPr>
          <w:rFonts w:cs="Arial" w:hint="cs"/>
          <w:color w:val="E36C0A" w:themeColor="accent6" w:themeShade="BF"/>
          <w:rtl/>
        </w:rPr>
        <w:t>(וכ"פ בשו"ע</w:t>
      </w:r>
      <w:r w:rsidRPr="009C33F7">
        <w:rPr>
          <w:rFonts w:cs="Arial" w:hint="cs"/>
          <w:color w:val="E36C0A" w:themeColor="accent6" w:themeShade="BF"/>
          <w:sz w:val="16"/>
          <w:szCs w:val="16"/>
          <w:rtl/>
        </w:rPr>
        <w:t xml:space="preserve"> </w:t>
      </w:r>
      <w:r w:rsidRPr="009C33F7">
        <w:rPr>
          <w:rFonts w:cs="Arial" w:hint="cs"/>
          <w:sz w:val="16"/>
          <w:szCs w:val="16"/>
          <w:rtl/>
        </w:rPr>
        <w:t xml:space="preserve">[כאן, ובסי' </w:t>
      </w:r>
      <w:r w:rsidR="008A0B1E">
        <w:rPr>
          <w:rFonts w:cs="Arial" w:hint="cs"/>
          <w:sz w:val="16"/>
          <w:szCs w:val="16"/>
          <w:rtl/>
        </w:rPr>
        <w:t>ק</w:t>
      </w:r>
      <w:r w:rsidRPr="009C33F7">
        <w:rPr>
          <w:rFonts w:cs="Arial" w:hint="cs"/>
          <w:sz w:val="16"/>
          <w:szCs w:val="16"/>
          <w:rtl/>
        </w:rPr>
        <w:t>ג ס"</w:t>
      </w:r>
      <w:r w:rsidR="008A0B1E">
        <w:rPr>
          <w:rFonts w:cs="Arial" w:hint="cs"/>
          <w:sz w:val="16"/>
          <w:szCs w:val="16"/>
          <w:rtl/>
        </w:rPr>
        <w:t>א</w:t>
      </w:r>
      <w:r w:rsidRPr="009C33F7">
        <w:rPr>
          <w:rFonts w:cs="Arial" w:hint="cs"/>
          <w:sz w:val="16"/>
          <w:szCs w:val="16"/>
          <w:rtl/>
        </w:rPr>
        <w:t>]</w:t>
      </w:r>
      <w:r w:rsidRPr="009C33F7">
        <w:rPr>
          <w:rFonts w:cs="Arial" w:hint="cs"/>
          <w:color w:val="E36C0A" w:themeColor="accent6" w:themeShade="BF"/>
          <w:rtl/>
        </w:rPr>
        <w:t>)</w:t>
      </w:r>
    </w:p>
    <w:p w14:paraId="22AC880D" w14:textId="4CC1349E" w:rsidR="00B75889" w:rsidRPr="00D8337F" w:rsidRDefault="00B75889" w:rsidP="00D8337F">
      <w:pPr>
        <w:ind w:left="720"/>
        <w:rPr>
          <w:u w:val="wave"/>
        </w:rPr>
      </w:pPr>
      <w:r w:rsidRPr="00D8337F">
        <w:rPr>
          <w:rFonts w:hint="cs"/>
          <w:u w:val="wave"/>
          <w:rtl/>
        </w:rPr>
        <w:t>מכרה לאחרים בפני בית דין הדיוטות - וטעתה</w:t>
      </w:r>
      <w:r w:rsidR="00D8337F">
        <w:rPr>
          <w:rFonts w:hint="cs"/>
          <w:u w:val="wave"/>
          <w:rtl/>
        </w:rPr>
        <w:t>:</w:t>
      </w:r>
    </w:p>
    <w:p w14:paraId="48B2489A" w14:textId="77777777" w:rsidR="00FF650C" w:rsidRPr="00FF650C" w:rsidRDefault="00EB4DFC" w:rsidP="009000E3">
      <w:pPr>
        <w:pStyle w:val="ab"/>
        <w:numPr>
          <w:ilvl w:val="0"/>
          <w:numId w:val="61"/>
        </w:numPr>
      </w:pPr>
      <w:r>
        <w:rPr>
          <w:rFonts w:cs="Arial" w:hint="cs"/>
          <w:rtl/>
        </w:rPr>
        <w:t xml:space="preserve">טור- </w:t>
      </w:r>
      <w:r w:rsidRPr="000A1431">
        <w:rPr>
          <w:rFonts w:cs="Arial"/>
          <w:rtl/>
        </w:rPr>
        <w:t>ואם טעתה אפילו כל שהוא</w:t>
      </w:r>
      <w:r>
        <w:rPr>
          <w:rFonts w:cs="Arial" w:hint="cs"/>
          <w:rtl/>
        </w:rPr>
        <w:t>,</w:t>
      </w:r>
      <w:r w:rsidRPr="000A1431">
        <w:rPr>
          <w:rFonts w:cs="Arial"/>
          <w:rtl/>
        </w:rPr>
        <w:t xml:space="preserve"> שמכרה שוה מנה ודינר במנה</w:t>
      </w:r>
      <w:r>
        <w:rPr>
          <w:rFonts w:cs="Arial" w:hint="cs"/>
          <w:rtl/>
        </w:rPr>
        <w:t xml:space="preserve"> -</w:t>
      </w:r>
      <w:r w:rsidRPr="000A1431">
        <w:rPr>
          <w:rFonts w:cs="Arial"/>
          <w:rtl/>
        </w:rPr>
        <w:t xml:space="preserve"> מכרה בטל</w:t>
      </w:r>
      <w:r>
        <w:rPr>
          <w:rStyle w:val="a7"/>
          <w:rFonts w:cs="Arial"/>
          <w:rtl/>
        </w:rPr>
        <w:footnoteReference w:id="1663"/>
      </w:r>
      <w:r>
        <w:rPr>
          <w:rFonts w:cs="Arial" w:hint="cs"/>
          <w:rtl/>
        </w:rPr>
        <w:t>.</w:t>
      </w:r>
      <w:r w:rsidRPr="000A1431">
        <w:rPr>
          <w:rFonts w:cs="Arial"/>
          <w:rtl/>
        </w:rPr>
        <w:t xml:space="preserve"> </w:t>
      </w:r>
    </w:p>
    <w:p w14:paraId="040005E6" w14:textId="36BE54A2" w:rsidR="00FF650C" w:rsidRPr="00FF650C" w:rsidRDefault="00FF650C" w:rsidP="00FF650C">
      <w:pPr>
        <w:ind w:left="720"/>
      </w:pPr>
      <w:r w:rsidRPr="00D8337F">
        <w:rPr>
          <w:rFonts w:hint="cs"/>
          <w:u w:val="wave"/>
          <w:rtl/>
        </w:rPr>
        <w:t xml:space="preserve">מכרה לאחרים בפני בית דין הדיוטות - </w:t>
      </w:r>
      <w:r>
        <w:rPr>
          <w:rFonts w:hint="cs"/>
          <w:u w:val="wave"/>
          <w:rtl/>
        </w:rPr>
        <w:t>על מי האחריות:</w:t>
      </w:r>
    </w:p>
    <w:p w14:paraId="60FBCEB0" w14:textId="11917676" w:rsidR="00BE267F" w:rsidRPr="00790BDF" w:rsidRDefault="00FF650C" w:rsidP="009000E3">
      <w:pPr>
        <w:pStyle w:val="ab"/>
        <w:numPr>
          <w:ilvl w:val="0"/>
          <w:numId w:val="61"/>
        </w:numPr>
      </w:pPr>
      <w:r>
        <w:rPr>
          <w:rFonts w:cs="Arial" w:hint="cs"/>
          <w:rtl/>
        </w:rPr>
        <w:t xml:space="preserve">טור- </w:t>
      </w:r>
      <w:r w:rsidR="00EB4DFC" w:rsidRPr="000A1431">
        <w:rPr>
          <w:rFonts w:cs="Arial"/>
          <w:rtl/>
        </w:rPr>
        <w:t>האחריות הוא על היתומים</w:t>
      </w:r>
      <w:r w:rsidR="00EB4DFC">
        <w:rPr>
          <w:rStyle w:val="a7"/>
          <w:rFonts w:cs="Arial"/>
          <w:rtl/>
        </w:rPr>
        <w:footnoteReference w:id="1664"/>
      </w:r>
      <w:r w:rsidR="00EB4DFC">
        <w:rPr>
          <w:rFonts w:cs="Arial" w:hint="cs"/>
          <w:rtl/>
        </w:rPr>
        <w:t>,</w:t>
      </w:r>
      <w:r w:rsidR="00EB4DFC" w:rsidRPr="000A1431">
        <w:rPr>
          <w:rFonts w:cs="Arial"/>
          <w:rtl/>
        </w:rPr>
        <w:t xml:space="preserve"> אפ"ה כשבאה לגבות כתובתה אינה יכולה לטרוף מהלקוחות שמכרה להם לצורך מזונותיה</w:t>
      </w:r>
      <w:r w:rsidR="00EB4DFC">
        <w:rPr>
          <w:rStyle w:val="a7"/>
          <w:rFonts w:cs="Arial"/>
          <w:rtl/>
        </w:rPr>
        <w:footnoteReference w:id="1665"/>
      </w:r>
      <w:r w:rsidR="00EB4DFC">
        <w:rPr>
          <w:rFonts w:cs="Arial" w:hint="cs"/>
          <w:rtl/>
        </w:rPr>
        <w:t>.</w:t>
      </w:r>
      <w:r w:rsidR="00EB4DFC" w:rsidRPr="000A1431">
        <w:rPr>
          <w:rFonts w:cs="Arial"/>
          <w:rtl/>
        </w:rPr>
        <w:t xml:space="preserve"> </w:t>
      </w:r>
      <w:r w:rsidR="00EB4DFC" w:rsidRPr="009C33F7">
        <w:rPr>
          <w:rFonts w:cs="Arial" w:hint="cs"/>
          <w:color w:val="E36C0A" w:themeColor="accent6" w:themeShade="BF"/>
          <w:rtl/>
        </w:rPr>
        <w:t>(וכ"פ בשו"ע</w:t>
      </w:r>
      <w:r w:rsidR="00EB4DFC" w:rsidRPr="009C33F7">
        <w:rPr>
          <w:rFonts w:cs="Arial" w:hint="cs"/>
          <w:color w:val="E36C0A" w:themeColor="accent6" w:themeShade="BF"/>
          <w:sz w:val="16"/>
          <w:szCs w:val="16"/>
          <w:rtl/>
        </w:rPr>
        <w:t xml:space="preserve"> </w:t>
      </w:r>
      <w:r w:rsidR="00EB4DFC" w:rsidRPr="009C33F7">
        <w:rPr>
          <w:rFonts w:cs="Arial" w:hint="cs"/>
          <w:sz w:val="16"/>
          <w:szCs w:val="16"/>
          <w:rtl/>
        </w:rPr>
        <w:t>[בס</w:t>
      </w:r>
      <w:r w:rsidR="00EB4DFC">
        <w:rPr>
          <w:rFonts w:cs="Arial" w:hint="cs"/>
          <w:sz w:val="16"/>
          <w:szCs w:val="16"/>
          <w:rtl/>
        </w:rPr>
        <w:t>ע</w:t>
      </w:r>
      <w:r w:rsidR="00EB4DFC" w:rsidRPr="009C33F7">
        <w:rPr>
          <w:rFonts w:cs="Arial" w:hint="cs"/>
          <w:sz w:val="16"/>
          <w:szCs w:val="16"/>
          <w:rtl/>
        </w:rPr>
        <w:t>'</w:t>
      </w:r>
      <w:r w:rsidR="00EB4DFC">
        <w:rPr>
          <w:rFonts w:cs="Arial" w:hint="cs"/>
          <w:sz w:val="16"/>
          <w:szCs w:val="16"/>
          <w:rtl/>
        </w:rPr>
        <w:t xml:space="preserve"> כט</w:t>
      </w:r>
      <w:r w:rsidR="00EB4DFC" w:rsidRPr="009C33F7">
        <w:rPr>
          <w:rFonts w:cs="Arial" w:hint="cs"/>
          <w:sz w:val="16"/>
          <w:szCs w:val="16"/>
          <w:rtl/>
        </w:rPr>
        <w:t>]</w:t>
      </w:r>
      <w:r w:rsidR="00EB4DFC" w:rsidRPr="009C33F7">
        <w:rPr>
          <w:rFonts w:cs="Arial" w:hint="cs"/>
          <w:color w:val="E36C0A" w:themeColor="accent6" w:themeShade="BF"/>
          <w:rtl/>
        </w:rPr>
        <w:t>)</w:t>
      </w:r>
      <w:r w:rsidR="00BE267F">
        <w:rPr>
          <w:rFonts w:hint="cs"/>
          <w:rtl/>
        </w:rPr>
        <w:t xml:space="preserve"> </w:t>
      </w:r>
    </w:p>
    <w:p w14:paraId="272296A8"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4FA6FBD" w14:textId="110BDAC3" w:rsidR="00392DBB" w:rsidRDefault="00392DBB" w:rsidP="00392DBB">
      <w:pPr>
        <w:rPr>
          <w:rtl/>
        </w:rPr>
      </w:pPr>
      <w:r>
        <w:rPr>
          <w:rFonts w:cs="Arial"/>
          <w:rtl/>
        </w:rPr>
        <w:t>אלמנה שבאה לבית דין לתבוע מזונות, מוכרין בלא הכרזה ונותנין לה מזונות. וכן יש לה למכור למזונות שלא בב</w:t>
      </w:r>
      <w:r w:rsidR="006E2242">
        <w:rPr>
          <w:rFonts w:cs="Arial" w:hint="cs"/>
          <w:rtl/>
        </w:rPr>
        <w:t>ית דין</w:t>
      </w:r>
      <w:r>
        <w:rPr>
          <w:rFonts w:cs="Arial"/>
          <w:rtl/>
        </w:rPr>
        <w:t xml:space="preserve"> מומחין, אלא בג' אנשים נאמנים בלא הכרזה. וכן אם מכרה בינה לבין עצמה שוה בשוה, מכרה קיים</w:t>
      </w:r>
      <w:r w:rsidR="006E2242">
        <w:rPr>
          <w:rFonts w:cs="Arial" w:hint="cs"/>
          <w:rtl/>
        </w:rPr>
        <w:t>.</w:t>
      </w:r>
      <w:r>
        <w:rPr>
          <w:rFonts w:cs="Arial"/>
          <w:rtl/>
        </w:rPr>
        <w:t xml:space="preserve"> ויש חולקין בזו. </w:t>
      </w:r>
    </w:p>
    <w:p w14:paraId="469D9527" w14:textId="77777777" w:rsidR="00392DBB" w:rsidRDefault="00392DBB" w:rsidP="00392DBB">
      <w:pPr>
        <w:rPr>
          <w:rtl/>
        </w:rPr>
      </w:pPr>
    </w:p>
    <w:p w14:paraId="266FDDCC" w14:textId="2FB9C8D9" w:rsidR="00392DBB" w:rsidRDefault="00392DBB" w:rsidP="000F64D0">
      <w:pPr>
        <w:pStyle w:val="2"/>
        <w:rPr>
          <w:rtl/>
        </w:rPr>
      </w:pPr>
      <w:r>
        <w:rPr>
          <w:rtl/>
        </w:rPr>
        <w:t>סעיף כו</w:t>
      </w:r>
      <w:r>
        <w:rPr>
          <w:rFonts w:hint="cs"/>
          <w:rtl/>
        </w:rPr>
        <w:t>:</w:t>
      </w:r>
      <w:r w:rsidR="00C92A1B">
        <w:rPr>
          <w:rFonts w:hint="cs"/>
          <w:rtl/>
        </w:rPr>
        <w:t xml:space="preserve"> משכון שלא בפני בית דין.</w:t>
      </w:r>
    </w:p>
    <w:p w14:paraId="54C3A099" w14:textId="7BCDE7B9" w:rsidR="00C92A1B" w:rsidRDefault="00C92A1B" w:rsidP="00C92A1B">
      <w:pPr>
        <w:rPr>
          <w:u w:val="single"/>
          <w:rtl/>
        </w:rPr>
      </w:pPr>
      <w:r w:rsidRPr="008B5011">
        <w:rPr>
          <w:rFonts w:cs="Arial" w:hint="cs"/>
          <w:b/>
          <w:bCs/>
          <w:rtl/>
        </w:rPr>
        <w:t xml:space="preserve">בבא מציעא </w:t>
      </w:r>
      <w:r w:rsidRPr="008B5011">
        <w:rPr>
          <w:rFonts w:cs="Arial" w:hint="cs"/>
          <w:b/>
          <w:bCs/>
          <w:sz w:val="16"/>
          <w:szCs w:val="16"/>
          <w:rtl/>
        </w:rPr>
        <w:t xml:space="preserve">(פ"ב) </w:t>
      </w:r>
      <w:r w:rsidRPr="008B5011">
        <w:rPr>
          <w:rFonts w:cs="Arial" w:hint="cs"/>
          <w:b/>
          <w:bCs/>
          <w:rtl/>
        </w:rPr>
        <w:t>ל</w:t>
      </w:r>
      <w:r>
        <w:rPr>
          <w:rFonts w:cs="Arial" w:hint="cs"/>
          <w:b/>
          <w:bCs/>
          <w:rtl/>
        </w:rPr>
        <w:t>ב</w:t>
      </w:r>
      <w:r w:rsidR="002805FF">
        <w:rPr>
          <w:rStyle w:val="a7"/>
          <w:rFonts w:cs="Arial"/>
          <w:b/>
          <w:bCs/>
          <w:rtl/>
        </w:rPr>
        <w:footnoteReference w:id="1666"/>
      </w:r>
      <w:r w:rsidRPr="008B5011">
        <w:rPr>
          <w:rFonts w:cs="Arial" w:hint="cs"/>
          <w:b/>
          <w:bCs/>
          <w:rtl/>
        </w:rPr>
        <w:t xml:space="preserve"> ע"</w:t>
      </w:r>
      <w:r>
        <w:rPr>
          <w:rFonts w:cs="Arial" w:hint="cs"/>
          <w:b/>
          <w:bCs/>
          <w:rtl/>
        </w:rPr>
        <w:t>א</w:t>
      </w:r>
      <w:r w:rsidRPr="008B5011">
        <w:rPr>
          <w:rFonts w:cs="Arial" w:hint="cs"/>
          <w:b/>
          <w:bCs/>
          <w:rtl/>
        </w:rPr>
        <w:t>:</w:t>
      </w:r>
      <w:r>
        <w:rPr>
          <w:rFonts w:cs="Arial" w:hint="cs"/>
          <w:rtl/>
        </w:rPr>
        <w:t xml:space="preserve"> </w:t>
      </w:r>
      <w:r w:rsidRPr="00BE6405">
        <w:rPr>
          <w:rFonts w:cs="Arial"/>
          <w:u w:val="single"/>
          <w:rtl/>
        </w:rPr>
        <w:t>אמר רב יוסף בר מניומי אמר רב נחמן</w:t>
      </w:r>
      <w:r w:rsidRPr="00B95108">
        <w:rPr>
          <w:rFonts w:cs="Arial"/>
          <w:rtl/>
        </w:rPr>
        <w:t>: אלמנה אינה צריכה בית דין של מומחין, אבל צריכה בית דין של הדיוטות.</w:t>
      </w:r>
      <w:r w:rsidRPr="009D3864">
        <w:rPr>
          <w:rFonts w:cs="Arial"/>
          <w:sz w:val="18"/>
          <w:szCs w:val="18"/>
          <w:rtl/>
        </w:rPr>
        <w:t xml:space="preserve"> </w:t>
      </w:r>
    </w:p>
    <w:p w14:paraId="055AE794" w14:textId="2E4629F0" w:rsidR="00C92A1B" w:rsidRPr="00C92A1B" w:rsidRDefault="00C92A1B" w:rsidP="00C92A1B">
      <w:pPr>
        <w:rPr>
          <w:u w:val="single"/>
          <w:rtl/>
        </w:rPr>
      </w:pPr>
      <w:r w:rsidRPr="00C92A1B">
        <w:rPr>
          <w:rFonts w:hint="cs"/>
          <w:u w:val="single"/>
          <w:rtl/>
        </w:rPr>
        <w:t>משכון שלא בפני בית דין:</w:t>
      </w:r>
    </w:p>
    <w:p w14:paraId="2C9CB2C7" w14:textId="5B42FC8F" w:rsidR="00392DBB" w:rsidRPr="00D1147A" w:rsidRDefault="00DE57FC" w:rsidP="009000E3">
      <w:pPr>
        <w:pStyle w:val="ab"/>
        <w:numPr>
          <w:ilvl w:val="0"/>
          <w:numId w:val="83"/>
        </w:numPr>
        <w:rPr>
          <w:rtl/>
        </w:rPr>
      </w:pPr>
      <w:r w:rsidRPr="00DE57FC">
        <w:rPr>
          <w:rtl/>
        </w:rPr>
        <w:t>תשובות הגאונים</w:t>
      </w:r>
      <w:r w:rsidR="00C92A1B" w:rsidRPr="00C92A1B">
        <w:rPr>
          <w:rFonts w:hint="cs"/>
          <w:sz w:val="16"/>
          <w:szCs w:val="16"/>
          <w:rtl/>
        </w:rPr>
        <w:t xml:space="preserve"> (כ"כ הב"י בשמם)</w:t>
      </w:r>
      <w:r w:rsidR="00C92A1B">
        <w:rPr>
          <w:rFonts w:hint="cs"/>
          <w:rtl/>
        </w:rPr>
        <w:t>-</w:t>
      </w:r>
      <w:r w:rsidRPr="00DE57FC">
        <w:rPr>
          <w:rtl/>
        </w:rPr>
        <w:t xml:space="preserve"> לא הצריכוה ב"ד הדיוטות אלא למכור</w:t>
      </w:r>
      <w:r w:rsidRPr="00DE57FC">
        <w:rPr>
          <w:rFonts w:hint="cs"/>
          <w:rtl/>
        </w:rPr>
        <w:t>,</w:t>
      </w:r>
      <w:r w:rsidRPr="00DE57FC">
        <w:rPr>
          <w:rtl/>
        </w:rPr>
        <w:t xml:space="preserve"> אבל למשכן אינה צריכה</w:t>
      </w:r>
      <w:r>
        <w:rPr>
          <w:rFonts w:hint="cs"/>
          <w:rtl/>
        </w:rPr>
        <w:t>.</w:t>
      </w:r>
      <w:r w:rsidR="00C92A1B" w:rsidRPr="00C92A1B">
        <w:rPr>
          <w:rFonts w:cs="Arial" w:hint="cs"/>
          <w:color w:val="E36C0A" w:themeColor="accent6" w:themeShade="BF"/>
          <w:rtl/>
        </w:rPr>
        <w:t xml:space="preserve"> </w:t>
      </w:r>
      <w:r w:rsidR="00C92A1B" w:rsidRPr="009C33F7">
        <w:rPr>
          <w:rFonts w:cs="Arial" w:hint="cs"/>
          <w:color w:val="E36C0A" w:themeColor="accent6" w:themeShade="BF"/>
          <w:rtl/>
        </w:rPr>
        <w:t>(וכ"פ בשו"ע)</w:t>
      </w:r>
    </w:p>
    <w:p w14:paraId="128343B4"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0C907D6" w14:textId="202DE4F8" w:rsidR="00392DBB" w:rsidRDefault="00392DBB" w:rsidP="00392DBB">
      <w:pPr>
        <w:rPr>
          <w:rFonts w:cs="Arial"/>
          <w:rtl/>
        </w:rPr>
      </w:pPr>
      <w:r>
        <w:rPr>
          <w:rFonts w:cs="Arial"/>
          <w:rtl/>
        </w:rPr>
        <w:t>לא הצריכוה ב</w:t>
      </w:r>
      <w:r w:rsidR="00373186">
        <w:rPr>
          <w:rFonts w:cs="Arial" w:hint="cs"/>
          <w:rtl/>
        </w:rPr>
        <w:t xml:space="preserve">ית </w:t>
      </w:r>
      <w:r>
        <w:rPr>
          <w:rFonts w:cs="Arial"/>
          <w:rtl/>
        </w:rPr>
        <w:t>ד</w:t>
      </w:r>
      <w:r w:rsidR="00373186">
        <w:rPr>
          <w:rFonts w:cs="Arial" w:hint="cs"/>
          <w:rtl/>
        </w:rPr>
        <w:t>ין</w:t>
      </w:r>
      <w:r>
        <w:rPr>
          <w:rFonts w:cs="Arial"/>
          <w:rtl/>
        </w:rPr>
        <w:t xml:space="preserve"> הדיוטות אלא למכור, אבל למשכן אינה צריכה. </w:t>
      </w:r>
    </w:p>
    <w:p w14:paraId="1BB5C1B8" w14:textId="77777777" w:rsidR="00373186" w:rsidRDefault="00373186" w:rsidP="00392DBB">
      <w:pPr>
        <w:rPr>
          <w:rtl/>
        </w:rPr>
      </w:pPr>
    </w:p>
    <w:p w14:paraId="4B3E8677" w14:textId="7D2DC662" w:rsidR="00392DBB" w:rsidRDefault="00392DBB" w:rsidP="000F64D0">
      <w:pPr>
        <w:pStyle w:val="2"/>
        <w:rPr>
          <w:rtl/>
        </w:rPr>
      </w:pPr>
      <w:r>
        <w:rPr>
          <w:rtl/>
        </w:rPr>
        <w:t>סעיף כז</w:t>
      </w:r>
      <w:r w:rsidR="000674DB">
        <w:rPr>
          <w:rFonts w:hint="cs"/>
          <w:rtl/>
        </w:rPr>
        <w:t xml:space="preserve">: </w:t>
      </w:r>
      <w:r w:rsidR="00E60638">
        <w:rPr>
          <w:rFonts w:hint="cs"/>
          <w:rtl/>
        </w:rPr>
        <w:t>מכרה לעצמה מנכסי בעלה.</w:t>
      </w:r>
    </w:p>
    <w:p w14:paraId="5D5321FB" w14:textId="69CDC77D" w:rsidR="000674DB" w:rsidRPr="000674DB" w:rsidRDefault="000674DB" w:rsidP="000674DB">
      <w:pPr>
        <w:rPr>
          <w:rtl/>
        </w:rPr>
      </w:pPr>
      <w:r>
        <w:rPr>
          <w:rFonts w:hint="cs"/>
          <w:rtl/>
        </w:rPr>
        <w:t>עיין במקורות בסעיף כה.</w:t>
      </w:r>
    </w:p>
    <w:p w14:paraId="38B96862"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BE659AF" w14:textId="310C2F29" w:rsidR="00392DBB" w:rsidRDefault="00392DBB" w:rsidP="00392DBB">
      <w:pPr>
        <w:rPr>
          <w:rFonts w:cs="Arial"/>
          <w:rtl/>
        </w:rPr>
      </w:pPr>
      <w:r>
        <w:rPr>
          <w:rFonts w:cs="Arial"/>
          <w:rtl/>
        </w:rPr>
        <w:t>אם לקחה הקרקע לעצמה בסכום ידוע, אפילו הוא שוה בשוה, אינו כלום אפילו הכריזה, ואם נתייקר אח</w:t>
      </w:r>
      <w:r w:rsidR="000674DB">
        <w:rPr>
          <w:rFonts w:cs="Arial" w:hint="cs"/>
          <w:rtl/>
        </w:rPr>
        <w:t>ר כך</w:t>
      </w:r>
      <w:r>
        <w:rPr>
          <w:rFonts w:cs="Arial"/>
          <w:rtl/>
        </w:rPr>
        <w:t xml:space="preserve"> צריכה להחזירו ליורשים</w:t>
      </w:r>
      <w:r w:rsidR="000674DB">
        <w:rPr>
          <w:rFonts w:cs="Arial" w:hint="cs"/>
          <w:rtl/>
        </w:rPr>
        <w:t>,</w:t>
      </w:r>
      <w:r>
        <w:rPr>
          <w:rFonts w:cs="Arial"/>
          <w:rtl/>
        </w:rPr>
        <w:t xml:space="preserve"> ואפילו לא נתייקר, אם ירצו יבטלו המקח. </w:t>
      </w:r>
    </w:p>
    <w:p w14:paraId="41639CAF" w14:textId="77777777" w:rsidR="000674DB" w:rsidRDefault="000674DB" w:rsidP="00392DBB">
      <w:pPr>
        <w:rPr>
          <w:rtl/>
        </w:rPr>
      </w:pPr>
    </w:p>
    <w:p w14:paraId="0F0B5F80" w14:textId="737B011D" w:rsidR="00392DBB" w:rsidRDefault="00392DBB" w:rsidP="000F64D0">
      <w:pPr>
        <w:pStyle w:val="2"/>
        <w:rPr>
          <w:rtl/>
        </w:rPr>
      </w:pPr>
      <w:r>
        <w:rPr>
          <w:rtl/>
        </w:rPr>
        <w:lastRenderedPageBreak/>
        <w:t>סעיף כח</w:t>
      </w:r>
      <w:r w:rsidR="00E60638">
        <w:rPr>
          <w:rFonts w:hint="cs"/>
          <w:rtl/>
        </w:rPr>
        <w:t>:</w:t>
      </w:r>
      <w:r w:rsidR="00B12A45">
        <w:rPr>
          <w:rFonts w:hint="cs"/>
          <w:rtl/>
        </w:rPr>
        <w:t xml:space="preserve"> שמה לעצמה בפני בית דין הדיוטות.</w:t>
      </w:r>
    </w:p>
    <w:p w14:paraId="080E45F0" w14:textId="269DBA2B" w:rsidR="00B12A45" w:rsidRPr="00B12A45" w:rsidRDefault="00B12A45" w:rsidP="00B12A45">
      <w:pPr>
        <w:rPr>
          <w:rtl/>
        </w:rPr>
      </w:pPr>
      <w:r>
        <w:rPr>
          <w:rFonts w:hint="cs"/>
          <w:rtl/>
        </w:rPr>
        <w:t>עיין במקורות בסעיף כה.</w:t>
      </w:r>
    </w:p>
    <w:p w14:paraId="425B6B92"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83A911C" w14:textId="7005A2CD" w:rsidR="00392DBB" w:rsidRDefault="00392DBB" w:rsidP="00392DBB">
      <w:pPr>
        <w:rPr>
          <w:rFonts w:cs="Arial"/>
          <w:rtl/>
        </w:rPr>
      </w:pPr>
      <w:r>
        <w:rPr>
          <w:rFonts w:cs="Arial"/>
          <w:rtl/>
        </w:rPr>
        <w:t>ואם היו ב</w:t>
      </w:r>
      <w:r w:rsidR="00E60638">
        <w:rPr>
          <w:rFonts w:cs="Arial" w:hint="cs"/>
          <w:rtl/>
        </w:rPr>
        <w:t xml:space="preserve">ית </w:t>
      </w:r>
      <w:r>
        <w:rPr>
          <w:rFonts w:cs="Arial"/>
          <w:rtl/>
        </w:rPr>
        <w:t>ד</w:t>
      </w:r>
      <w:r w:rsidR="00E60638">
        <w:rPr>
          <w:rFonts w:cs="Arial" w:hint="cs"/>
          <w:rtl/>
        </w:rPr>
        <w:t>ין</w:t>
      </w:r>
      <w:r>
        <w:rPr>
          <w:rFonts w:cs="Arial"/>
          <w:rtl/>
        </w:rPr>
        <w:t xml:space="preserve"> הדיוטות שם, מקחה קיים. וי</w:t>
      </w:r>
      <w:r w:rsidR="00E60638">
        <w:rPr>
          <w:rFonts w:cs="Arial" w:hint="cs"/>
          <w:rtl/>
        </w:rPr>
        <w:t>ש אומרים</w:t>
      </w:r>
      <w:r>
        <w:rPr>
          <w:rFonts w:cs="Arial"/>
          <w:rtl/>
        </w:rPr>
        <w:t xml:space="preserve"> שגם בזו אינו כלום עד שיהיו שם ב</w:t>
      </w:r>
      <w:r w:rsidR="00E60638">
        <w:rPr>
          <w:rFonts w:cs="Arial" w:hint="cs"/>
          <w:rtl/>
        </w:rPr>
        <w:t>ית דין</w:t>
      </w:r>
      <w:r>
        <w:rPr>
          <w:rFonts w:cs="Arial"/>
          <w:rtl/>
        </w:rPr>
        <w:t xml:space="preserve"> מומחין. </w:t>
      </w:r>
    </w:p>
    <w:p w14:paraId="2343899C" w14:textId="77777777" w:rsidR="00E60638" w:rsidRDefault="00E60638" w:rsidP="00392DBB">
      <w:pPr>
        <w:rPr>
          <w:rtl/>
        </w:rPr>
      </w:pPr>
    </w:p>
    <w:p w14:paraId="09DDCD8B" w14:textId="3C4792D6" w:rsidR="00392DBB" w:rsidRDefault="00392DBB" w:rsidP="000F64D0">
      <w:pPr>
        <w:pStyle w:val="2"/>
        <w:rPr>
          <w:rtl/>
        </w:rPr>
      </w:pPr>
      <w:r>
        <w:rPr>
          <w:rtl/>
        </w:rPr>
        <w:t>סעיף כט</w:t>
      </w:r>
      <w:r w:rsidR="008814BF">
        <w:rPr>
          <w:rFonts w:hint="cs"/>
          <w:rtl/>
        </w:rPr>
        <w:t>: אחריות המכר על היתומים.</w:t>
      </w:r>
    </w:p>
    <w:p w14:paraId="20D8E732" w14:textId="2B64F624" w:rsidR="008814BF" w:rsidRPr="008814BF" w:rsidRDefault="008814BF" w:rsidP="008814BF">
      <w:pPr>
        <w:rPr>
          <w:rtl/>
        </w:rPr>
      </w:pPr>
      <w:r>
        <w:rPr>
          <w:rFonts w:hint="cs"/>
          <w:rtl/>
        </w:rPr>
        <w:t>עיין במקורות בסעיף כה.</w:t>
      </w:r>
    </w:p>
    <w:p w14:paraId="1D231654"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61C5D45" w14:textId="4E205891" w:rsidR="00392DBB" w:rsidRDefault="00392DBB" w:rsidP="00392DBB">
      <w:pPr>
        <w:rPr>
          <w:rtl/>
        </w:rPr>
      </w:pPr>
      <w:r>
        <w:rPr>
          <w:rFonts w:cs="Arial"/>
          <w:rtl/>
        </w:rPr>
        <w:t>אלמנה שמכרה, האחריות על היתומים</w:t>
      </w:r>
      <w:r w:rsidR="008814BF">
        <w:rPr>
          <w:rFonts w:cs="Arial" w:hint="cs"/>
          <w:rtl/>
        </w:rPr>
        <w:t>.</w:t>
      </w:r>
      <w:r>
        <w:rPr>
          <w:rFonts w:cs="Arial"/>
          <w:rtl/>
        </w:rPr>
        <w:t xml:space="preserve"> וא</w:t>
      </w:r>
      <w:r w:rsidR="008814BF">
        <w:rPr>
          <w:rFonts w:cs="Arial" w:hint="cs"/>
          <w:rtl/>
        </w:rPr>
        <w:t>ף על פי כן</w:t>
      </w:r>
      <w:r>
        <w:rPr>
          <w:rFonts w:cs="Arial"/>
          <w:rtl/>
        </w:rPr>
        <w:t xml:space="preserve"> כשבאה לגבות כתובתה אינה יכולה לטרוף מהלקוחות שמכרה להם. </w:t>
      </w:r>
    </w:p>
    <w:p w14:paraId="49F289F8" w14:textId="77777777" w:rsidR="008814BF" w:rsidRDefault="008814BF" w:rsidP="00392DBB">
      <w:pPr>
        <w:rPr>
          <w:rtl/>
        </w:rPr>
      </w:pPr>
    </w:p>
    <w:p w14:paraId="69330837" w14:textId="5AD7C24E" w:rsidR="00392DBB" w:rsidRDefault="00392DBB" w:rsidP="000F64D0">
      <w:pPr>
        <w:pStyle w:val="2"/>
        <w:rPr>
          <w:rtl/>
        </w:rPr>
      </w:pPr>
      <w:r>
        <w:rPr>
          <w:rtl/>
        </w:rPr>
        <w:t>סעיף ל</w:t>
      </w:r>
      <w:r w:rsidR="00B12A45">
        <w:rPr>
          <w:rFonts w:hint="cs"/>
          <w:rtl/>
        </w:rPr>
        <w:t xml:space="preserve">: </w:t>
      </w:r>
      <w:r w:rsidR="00361991">
        <w:rPr>
          <w:rFonts w:hint="cs"/>
          <w:rtl/>
        </w:rPr>
        <w:t>לכדי כמה מזונות מוכרים כל פעם.</w:t>
      </w:r>
    </w:p>
    <w:p w14:paraId="4DC4D6AC" w14:textId="7C42BE14" w:rsidR="00B12A45" w:rsidRDefault="00362502" w:rsidP="00B12A45">
      <w:pPr>
        <w:rPr>
          <w:b/>
          <w:bCs/>
          <w:rtl/>
        </w:rPr>
      </w:pPr>
      <w:r w:rsidRPr="009E1CA8">
        <w:rPr>
          <w:rFonts w:hint="cs"/>
          <w:b/>
          <w:bCs/>
          <w:rtl/>
        </w:rPr>
        <w:t xml:space="preserve">כתובות </w:t>
      </w:r>
      <w:r w:rsidRPr="009E1CA8">
        <w:rPr>
          <w:rFonts w:hint="cs"/>
          <w:b/>
          <w:bCs/>
          <w:sz w:val="16"/>
          <w:szCs w:val="16"/>
          <w:rtl/>
        </w:rPr>
        <w:t xml:space="preserve">(פ' אלמנה נזונת) </w:t>
      </w:r>
      <w:r w:rsidRPr="009E1CA8">
        <w:rPr>
          <w:rFonts w:hint="cs"/>
          <w:b/>
          <w:bCs/>
          <w:rtl/>
        </w:rPr>
        <w:t>צז ע"א:</w:t>
      </w:r>
      <w:r w:rsidR="005B3E32" w:rsidRPr="005B3E32">
        <w:rPr>
          <w:rtl/>
        </w:rPr>
        <w:t xml:space="preserve"> </w:t>
      </w:r>
      <w:r w:rsidR="005B3E32" w:rsidRPr="005B3E32">
        <w:rPr>
          <w:rFonts w:cs="Arial"/>
          <w:rtl/>
        </w:rPr>
        <w:t xml:space="preserve">כיצד מוכרת? </w:t>
      </w:r>
      <w:r w:rsidR="005B3E32" w:rsidRPr="005B3E32">
        <w:rPr>
          <w:rFonts w:cs="Arial"/>
          <w:u w:val="single"/>
          <w:rtl/>
        </w:rPr>
        <w:t>אמר רבי דניאל בר רב קטינא אמר רב הונא</w:t>
      </w:r>
      <w:r w:rsidR="005B3E32" w:rsidRPr="005B3E32">
        <w:rPr>
          <w:rFonts w:cs="Arial"/>
          <w:rtl/>
        </w:rPr>
        <w:t>: מוכרת אחת לשנים עשר חדש</w:t>
      </w:r>
      <w:r w:rsidR="00E90994">
        <w:rPr>
          <w:rStyle w:val="a7"/>
          <w:rFonts w:cs="Arial"/>
          <w:rtl/>
        </w:rPr>
        <w:footnoteReference w:id="1667"/>
      </w:r>
      <w:r w:rsidR="005B3E32" w:rsidRPr="005B3E32">
        <w:rPr>
          <w:rFonts w:cs="Arial"/>
          <w:rtl/>
        </w:rPr>
        <w:t>, ולוקח</w:t>
      </w:r>
      <w:r w:rsidR="00361991">
        <w:rPr>
          <w:rStyle w:val="a7"/>
          <w:rFonts w:cs="Arial"/>
          <w:rtl/>
        </w:rPr>
        <w:footnoteReference w:id="1668"/>
      </w:r>
      <w:r w:rsidR="005B3E32" w:rsidRPr="005B3E32">
        <w:rPr>
          <w:rFonts w:cs="Arial"/>
          <w:rtl/>
        </w:rPr>
        <w:t xml:space="preserve"> מפרנס אחת לשלשים יום; </w:t>
      </w:r>
      <w:r w:rsidR="005B3E32" w:rsidRPr="005B3E32">
        <w:rPr>
          <w:rFonts w:cs="Arial"/>
          <w:u w:val="single"/>
          <w:rtl/>
        </w:rPr>
        <w:t>ורב יהודה אמר</w:t>
      </w:r>
      <w:r w:rsidR="005B3E32" w:rsidRPr="005B3E32">
        <w:rPr>
          <w:rFonts w:cs="Arial"/>
          <w:rtl/>
        </w:rPr>
        <w:t xml:space="preserve">: מוכרת לששה חדשים, ולוקח מפרנס אחת לשלשים יום. תניא כוותיה דרב הונא: מוכרת לשנים עשר חדש, ולוקח מפרנס אחת לשלשים יום. תניא כוותיה דרבי יהודה: מוכרת לששה חדשים, ולוקח מפרנס אחת לשלשים יום. </w:t>
      </w:r>
      <w:r w:rsidR="005B3E32" w:rsidRPr="005B3E32">
        <w:rPr>
          <w:rFonts w:cs="Arial"/>
          <w:u w:val="single"/>
          <w:rtl/>
        </w:rPr>
        <w:t>אמר אמימר</w:t>
      </w:r>
      <w:r w:rsidR="005B3E32">
        <w:rPr>
          <w:rFonts w:cs="Arial" w:hint="cs"/>
          <w:rtl/>
        </w:rPr>
        <w:t>:</w:t>
      </w:r>
      <w:r w:rsidR="005B3E32" w:rsidRPr="005B3E32">
        <w:rPr>
          <w:rFonts w:cs="Arial"/>
          <w:rtl/>
        </w:rPr>
        <w:t xml:space="preserve"> הלכתא: מוכרת לששה חדשים, ולוקח מפרנס אחת לשלשים יום. </w:t>
      </w:r>
      <w:r w:rsidR="005B3E32" w:rsidRPr="005B3E32">
        <w:rPr>
          <w:rFonts w:cs="Arial"/>
          <w:u w:val="single"/>
          <w:rtl/>
        </w:rPr>
        <w:t>אמר ליה רב אשי לאמימר</w:t>
      </w:r>
      <w:r w:rsidR="005B3E32" w:rsidRPr="005B3E32">
        <w:rPr>
          <w:rFonts w:cs="Arial"/>
          <w:rtl/>
        </w:rPr>
        <w:t>: דרב הונא מאי? אמר ליה: לא שמיע לי, כלומר, לא סבירא לי.</w:t>
      </w:r>
      <w:r w:rsidR="000171D3" w:rsidRPr="000171D3">
        <w:rPr>
          <w:rFonts w:cs="Arial"/>
          <w:rtl/>
        </w:rPr>
        <w:t xml:space="preserve"> </w:t>
      </w:r>
      <w:r w:rsidR="00E90994">
        <w:rPr>
          <w:rFonts w:cs="Arial" w:hint="cs"/>
          <w:sz w:val="16"/>
          <w:szCs w:val="16"/>
          <w:rtl/>
        </w:rPr>
        <w:t>(</w:t>
      </w:r>
      <w:r w:rsidR="00E90994" w:rsidRPr="00E90994">
        <w:rPr>
          <w:rFonts w:cs="Arial"/>
          <w:sz w:val="16"/>
          <w:szCs w:val="16"/>
          <w:rtl/>
        </w:rPr>
        <w:t>וכתב הרמב"ם בפי"ח (הכ"א) וכן מוכרת והולכת לעולם עד שישאר מן הנכסים כדי כתובתה גובה כתובתה מן השאר והולכת לה</w:t>
      </w:r>
      <w:r w:rsidR="00E90994" w:rsidRPr="00E90994">
        <w:rPr>
          <w:rFonts w:cs="Arial" w:hint="cs"/>
          <w:sz w:val="16"/>
          <w:szCs w:val="16"/>
          <w:rtl/>
        </w:rPr>
        <w:t>,</w:t>
      </w:r>
      <w:r w:rsidR="00E90994" w:rsidRPr="00E90994">
        <w:rPr>
          <w:rFonts w:cs="Arial"/>
          <w:sz w:val="16"/>
          <w:szCs w:val="16"/>
          <w:rtl/>
        </w:rPr>
        <w:t xml:space="preserve"> וכבר נתבאר בסימן זה (קלח. ד"ה כתב הרי"ף) שאע"פ שדעת הרי"ף שאין לה מזונות יותר מכדי כתובתה אא</w:t>
      </w:r>
      <w:r w:rsidR="00E90994" w:rsidRPr="00E90994">
        <w:rPr>
          <w:rFonts w:cs="Arial" w:hint="cs"/>
          <w:sz w:val="16"/>
          <w:szCs w:val="16"/>
          <w:rtl/>
        </w:rPr>
        <w:t>"</w:t>
      </w:r>
      <w:r w:rsidR="00E90994" w:rsidRPr="00E90994">
        <w:rPr>
          <w:rFonts w:cs="Arial"/>
          <w:sz w:val="16"/>
          <w:szCs w:val="16"/>
          <w:rtl/>
        </w:rPr>
        <w:t>כ יש בנכסים כדי שתתפרנס מהריוח</w:t>
      </w:r>
      <w:r w:rsidR="00E90994" w:rsidRPr="00E90994">
        <w:rPr>
          <w:rFonts w:cs="Arial" w:hint="cs"/>
          <w:sz w:val="16"/>
          <w:szCs w:val="16"/>
          <w:rtl/>
        </w:rPr>
        <w:t>,</w:t>
      </w:r>
      <w:r w:rsidR="00E90994" w:rsidRPr="00E90994">
        <w:rPr>
          <w:rFonts w:cs="Arial"/>
          <w:sz w:val="16"/>
          <w:szCs w:val="16"/>
          <w:rtl/>
        </w:rPr>
        <w:t xml:space="preserve"> דעת הרמב"ם עיקר</w:t>
      </w:r>
      <w:r w:rsidR="00E90994" w:rsidRPr="00E90994">
        <w:rPr>
          <w:rFonts w:cs="Arial" w:hint="cs"/>
          <w:sz w:val="16"/>
          <w:szCs w:val="16"/>
          <w:rtl/>
        </w:rPr>
        <w:t>,</w:t>
      </w:r>
      <w:r w:rsidR="00E90994" w:rsidRPr="00E90994">
        <w:rPr>
          <w:rFonts w:cs="Arial"/>
          <w:sz w:val="16"/>
          <w:szCs w:val="16"/>
          <w:rtl/>
        </w:rPr>
        <w:t xml:space="preserve"> וכן דעת הרא"ש והה</w:t>
      </w:r>
      <w:r w:rsidR="00E90994" w:rsidRPr="00E90994">
        <w:rPr>
          <w:rFonts w:cs="Arial" w:hint="cs"/>
          <w:sz w:val="16"/>
          <w:szCs w:val="16"/>
          <w:rtl/>
        </w:rPr>
        <w:t>"</w:t>
      </w:r>
      <w:r w:rsidR="00E90994" w:rsidRPr="00E90994">
        <w:rPr>
          <w:rFonts w:cs="Arial"/>
          <w:sz w:val="16"/>
          <w:szCs w:val="16"/>
          <w:rtl/>
        </w:rPr>
        <w:t>מ והאחרונים ז"ל</w:t>
      </w:r>
      <w:r w:rsidR="00E90994">
        <w:rPr>
          <w:rFonts w:cs="Arial" w:hint="cs"/>
          <w:sz w:val="16"/>
          <w:szCs w:val="16"/>
          <w:rtl/>
        </w:rPr>
        <w:t>, ב"י)</w:t>
      </w:r>
    </w:p>
    <w:p w14:paraId="2782F6EF" w14:textId="71EC112C" w:rsidR="00361991" w:rsidRPr="00361991" w:rsidRDefault="00361991" w:rsidP="00B12A45">
      <w:pPr>
        <w:rPr>
          <w:u w:val="single"/>
          <w:rtl/>
        </w:rPr>
      </w:pPr>
      <w:r w:rsidRPr="00361991">
        <w:rPr>
          <w:rFonts w:hint="cs"/>
          <w:u w:val="single"/>
          <w:rtl/>
        </w:rPr>
        <w:t>לכדי כמה מזונות מוכרים כל פעם:</w:t>
      </w:r>
    </w:p>
    <w:p w14:paraId="5C564C97" w14:textId="4E5569E3" w:rsidR="00362502" w:rsidRPr="00E679B6" w:rsidRDefault="00392DBB" w:rsidP="009000E3">
      <w:pPr>
        <w:pStyle w:val="ab"/>
        <w:numPr>
          <w:ilvl w:val="0"/>
          <w:numId w:val="61"/>
        </w:numPr>
      </w:pPr>
      <w:r>
        <w:rPr>
          <w:rFonts w:cs="Arial" w:hint="cs"/>
          <w:rtl/>
        </w:rPr>
        <w:t xml:space="preserve">טור- </w:t>
      </w:r>
      <w:r w:rsidRPr="000A1431">
        <w:rPr>
          <w:rFonts w:cs="Arial"/>
          <w:rtl/>
        </w:rPr>
        <w:t>מוכרת כדי מזונות הצריכות לה לו' חדשים</w:t>
      </w:r>
      <w:r w:rsidR="002E0395">
        <w:rPr>
          <w:rFonts w:cs="Arial" w:hint="cs"/>
          <w:rtl/>
        </w:rPr>
        <w:t>,</w:t>
      </w:r>
      <w:r w:rsidRPr="000A1431">
        <w:rPr>
          <w:rFonts w:cs="Arial"/>
          <w:rtl/>
        </w:rPr>
        <w:t xml:space="preserve"> והמעות ישארו ביד הלוקח שלא יתנם לה הכל מיד</w:t>
      </w:r>
      <w:r w:rsidR="00365D88">
        <w:rPr>
          <w:rFonts w:cs="Arial" w:hint="cs"/>
          <w:rtl/>
        </w:rPr>
        <w:t>,</w:t>
      </w:r>
      <w:r w:rsidRPr="000A1431">
        <w:rPr>
          <w:rFonts w:cs="Arial"/>
          <w:rtl/>
        </w:rPr>
        <w:t xml:space="preserve"> שמא תינשא או תתבע כתובתה שאין לה עוד מזונות</w:t>
      </w:r>
      <w:r w:rsidR="00365D88">
        <w:rPr>
          <w:rFonts w:cs="Arial" w:hint="cs"/>
          <w:rtl/>
        </w:rPr>
        <w:t>,</w:t>
      </w:r>
      <w:r w:rsidRPr="000A1431">
        <w:rPr>
          <w:rFonts w:cs="Arial"/>
          <w:rtl/>
        </w:rPr>
        <w:t xml:space="preserve"> אלא נותן לה מזונות של ל' יום</w:t>
      </w:r>
      <w:r w:rsidR="00365D88">
        <w:rPr>
          <w:rFonts w:cs="Arial" w:hint="cs"/>
          <w:rtl/>
        </w:rPr>
        <w:t>,</w:t>
      </w:r>
      <w:r w:rsidRPr="000A1431">
        <w:rPr>
          <w:rFonts w:cs="Arial"/>
          <w:rtl/>
        </w:rPr>
        <w:t xml:space="preserve"> וכן לעולם</w:t>
      </w:r>
      <w:r w:rsidR="00365D88">
        <w:rPr>
          <w:rFonts w:cs="Arial" w:hint="cs"/>
          <w:rtl/>
        </w:rPr>
        <w:t>.</w:t>
      </w:r>
      <w:r w:rsidRPr="000A1431">
        <w:rPr>
          <w:rFonts w:cs="Arial"/>
          <w:rtl/>
        </w:rPr>
        <w:t xml:space="preserve"> </w:t>
      </w:r>
      <w:r w:rsidR="00DF58A2" w:rsidRPr="009C33F7">
        <w:rPr>
          <w:rFonts w:cs="Arial" w:hint="cs"/>
          <w:color w:val="E36C0A" w:themeColor="accent6" w:themeShade="BF"/>
          <w:rtl/>
        </w:rPr>
        <w:t>(וכ"פ בשו"ע)</w:t>
      </w:r>
    </w:p>
    <w:p w14:paraId="1EBEA407" w14:textId="72E010F0" w:rsidR="00E679B6" w:rsidRPr="00E679B6" w:rsidRDefault="00E679B6" w:rsidP="00E679B6">
      <w:pPr>
        <w:ind w:left="360"/>
        <w:rPr>
          <w:u w:val="dotted"/>
        </w:rPr>
      </w:pPr>
      <w:r w:rsidRPr="00E679B6">
        <w:rPr>
          <w:rFonts w:hint="cs"/>
          <w:u w:val="dotted"/>
          <w:rtl/>
        </w:rPr>
        <w:t>האם הדין כן גם במכירת מטלטלין</w:t>
      </w:r>
      <w:r>
        <w:rPr>
          <w:rFonts w:hint="cs"/>
          <w:sz w:val="16"/>
          <w:szCs w:val="16"/>
          <w:u w:val="dotted"/>
          <w:rtl/>
        </w:rPr>
        <w:t xml:space="preserve"> (שהרי הגמ' דיברה במקרקעי)</w:t>
      </w:r>
      <w:r w:rsidRPr="00E679B6">
        <w:rPr>
          <w:rFonts w:hint="cs"/>
          <w:u w:val="dotted"/>
          <w:rtl/>
        </w:rPr>
        <w:t>:</w:t>
      </w:r>
    </w:p>
    <w:p w14:paraId="342DBF6F" w14:textId="1975D929" w:rsidR="00330791" w:rsidRPr="00330791" w:rsidRDefault="00392DBB" w:rsidP="009000E3">
      <w:pPr>
        <w:pStyle w:val="ab"/>
        <w:numPr>
          <w:ilvl w:val="0"/>
          <w:numId w:val="61"/>
        </w:numPr>
      </w:pPr>
      <w:r w:rsidRPr="000A1431">
        <w:rPr>
          <w:rFonts w:cs="Arial"/>
          <w:rtl/>
        </w:rPr>
        <w:t>בהעי</w:t>
      </w:r>
      <w:r w:rsidR="00E679B6">
        <w:rPr>
          <w:rFonts w:cs="Arial" w:hint="cs"/>
          <w:rtl/>
        </w:rPr>
        <w:t>"</w:t>
      </w:r>
      <w:r w:rsidRPr="000A1431">
        <w:rPr>
          <w:rFonts w:cs="Arial"/>
          <w:rtl/>
        </w:rPr>
        <w:t>ט</w:t>
      </w:r>
      <w:r w:rsidR="00E24994">
        <w:rPr>
          <w:rFonts w:cs="Arial" w:hint="cs"/>
          <w:rtl/>
        </w:rPr>
        <w:t xml:space="preserve"> </w:t>
      </w:r>
      <w:r w:rsidR="00E24994" w:rsidRPr="00E24994">
        <w:rPr>
          <w:rFonts w:cs="Arial"/>
          <w:sz w:val="16"/>
          <w:szCs w:val="16"/>
          <w:rtl/>
        </w:rPr>
        <w:t>(אות כ כתובות לה ע"ג</w:t>
      </w:r>
      <w:r w:rsidR="003679C9">
        <w:rPr>
          <w:rFonts w:cs="Arial" w:hint="cs"/>
          <w:sz w:val="16"/>
          <w:szCs w:val="16"/>
          <w:rtl/>
        </w:rPr>
        <w:t>, כ"כ הטור בשמו</w:t>
      </w:r>
      <w:r w:rsidR="00E24994" w:rsidRPr="00E24994">
        <w:rPr>
          <w:rFonts w:cs="Arial"/>
          <w:sz w:val="16"/>
          <w:szCs w:val="16"/>
          <w:rtl/>
        </w:rPr>
        <w:t>)</w:t>
      </w:r>
      <w:r w:rsidR="003679C9">
        <w:rPr>
          <w:rFonts w:cs="Arial" w:hint="cs"/>
          <w:rtl/>
        </w:rPr>
        <w:t>-</w:t>
      </w:r>
      <w:r w:rsidRPr="000A1431">
        <w:rPr>
          <w:rFonts w:cs="Arial"/>
          <w:rtl/>
        </w:rPr>
        <w:t xml:space="preserve"> ומסתבר </w:t>
      </w:r>
      <w:r w:rsidR="008D6963" w:rsidRPr="008D6963">
        <w:rPr>
          <w:rFonts w:cs="Arial"/>
          <w:rtl/>
        </w:rPr>
        <w:t xml:space="preserve">דוקא קרקע שאינו ראוי למכור דבר מועט אבל מטלטלין בזמן הזה אינה מוכרת אלא חפץ חפץ </w:t>
      </w:r>
      <w:r w:rsidR="00E679B6">
        <w:rPr>
          <w:rFonts w:cs="Arial" w:hint="cs"/>
          <w:sz w:val="16"/>
          <w:szCs w:val="16"/>
          <w:rtl/>
        </w:rPr>
        <w:t xml:space="preserve">(ל' </w:t>
      </w:r>
      <w:r w:rsidR="008D6963">
        <w:rPr>
          <w:rFonts w:cs="Arial" w:hint="cs"/>
          <w:sz w:val="16"/>
          <w:szCs w:val="16"/>
          <w:rtl/>
        </w:rPr>
        <w:t>בהעי"ט</w:t>
      </w:r>
      <w:r w:rsidR="00E679B6">
        <w:rPr>
          <w:rFonts w:cs="Arial" w:hint="cs"/>
          <w:sz w:val="16"/>
          <w:szCs w:val="16"/>
          <w:rtl/>
        </w:rPr>
        <w:t>)</w:t>
      </w:r>
      <w:r w:rsidR="0090417A">
        <w:rPr>
          <w:rFonts w:cs="Arial" w:hint="cs"/>
          <w:rtl/>
        </w:rPr>
        <w:t>.</w:t>
      </w:r>
      <w:r w:rsidRPr="00DF58A2">
        <w:rPr>
          <w:rFonts w:cs="Arial"/>
          <w:color w:val="00B0F0"/>
          <w:rtl/>
        </w:rPr>
        <w:t xml:space="preserve"> </w:t>
      </w:r>
      <w:r w:rsidR="00DF58A2" w:rsidRPr="00DF58A2">
        <w:rPr>
          <w:rFonts w:hint="cs"/>
          <w:color w:val="00B0F0"/>
          <w:rtl/>
        </w:rPr>
        <w:t>(וכ"כ הרמ"א)</w:t>
      </w:r>
    </w:p>
    <w:p w14:paraId="3AED0147" w14:textId="11009EC1" w:rsidR="00244829" w:rsidRPr="00244829" w:rsidRDefault="00244829" w:rsidP="00244829">
      <w:pPr>
        <w:ind w:left="360"/>
        <w:rPr>
          <w:u w:val="dotted"/>
        </w:rPr>
      </w:pPr>
      <w:r w:rsidRPr="00244829">
        <w:rPr>
          <w:rFonts w:hint="cs"/>
          <w:u w:val="dotted"/>
          <w:rtl/>
        </w:rPr>
        <w:t>האם תמיד כשהיא מוכרת תמכור לששה חודשים בלבד:</w:t>
      </w:r>
    </w:p>
    <w:p w14:paraId="7A42586E" w14:textId="579EC3DA" w:rsidR="009256E7" w:rsidRPr="00E679B6" w:rsidRDefault="00AF34CE" w:rsidP="009000E3">
      <w:pPr>
        <w:pStyle w:val="ab"/>
        <w:numPr>
          <w:ilvl w:val="0"/>
          <w:numId w:val="61"/>
        </w:numPr>
      </w:pPr>
      <w:r w:rsidRPr="000A1431">
        <w:rPr>
          <w:rFonts w:cs="Arial"/>
          <w:rtl/>
        </w:rPr>
        <w:t>בהעי</w:t>
      </w:r>
      <w:r>
        <w:rPr>
          <w:rFonts w:cs="Arial" w:hint="cs"/>
          <w:rtl/>
        </w:rPr>
        <w:t>"</w:t>
      </w:r>
      <w:r w:rsidRPr="000A1431">
        <w:rPr>
          <w:rFonts w:cs="Arial"/>
          <w:rtl/>
        </w:rPr>
        <w:t>ט</w:t>
      </w:r>
      <w:r>
        <w:rPr>
          <w:rFonts w:cs="Arial" w:hint="cs"/>
          <w:rtl/>
        </w:rPr>
        <w:t xml:space="preserve"> </w:t>
      </w:r>
      <w:r w:rsidRPr="00E24994">
        <w:rPr>
          <w:rFonts w:cs="Arial"/>
          <w:sz w:val="16"/>
          <w:szCs w:val="16"/>
          <w:rtl/>
        </w:rPr>
        <w:t>(אות כ כתובות לה ע"ג</w:t>
      </w:r>
      <w:r>
        <w:rPr>
          <w:rFonts w:cs="Arial" w:hint="cs"/>
          <w:sz w:val="16"/>
          <w:szCs w:val="16"/>
          <w:rtl/>
        </w:rPr>
        <w:t>, כ"כ הטור בשמו</w:t>
      </w:r>
      <w:r w:rsidRPr="00E24994">
        <w:rPr>
          <w:rFonts w:cs="Arial"/>
          <w:sz w:val="16"/>
          <w:szCs w:val="16"/>
          <w:rtl/>
        </w:rPr>
        <w:t>)</w:t>
      </w:r>
      <w:r>
        <w:rPr>
          <w:rFonts w:cs="Arial" w:hint="cs"/>
          <w:rtl/>
        </w:rPr>
        <w:t xml:space="preserve">- </w:t>
      </w:r>
      <w:r w:rsidR="009256E7" w:rsidRPr="009256E7">
        <w:rPr>
          <w:rFonts w:cs="Arial"/>
          <w:rtl/>
        </w:rPr>
        <w:t xml:space="preserve">לריש מתיבתא כי אמרינן מוכרת לששה חדשים </w:t>
      </w:r>
      <w:r w:rsidR="00A949A1">
        <w:rPr>
          <w:rFonts w:cs="Arial" w:hint="cs"/>
          <w:rtl/>
        </w:rPr>
        <w:t xml:space="preserve">- </w:t>
      </w:r>
      <w:r w:rsidR="009256E7" w:rsidRPr="009256E7">
        <w:rPr>
          <w:rFonts w:cs="Arial"/>
          <w:rtl/>
        </w:rPr>
        <w:t xml:space="preserve">שלא בב"ד </w:t>
      </w:r>
      <w:r w:rsidR="00A949A1">
        <w:rPr>
          <w:rFonts w:cs="Arial" w:hint="cs"/>
          <w:rtl/>
        </w:rPr>
        <w:t>לאלתר,</w:t>
      </w:r>
      <w:r w:rsidR="00610B39" w:rsidRPr="00610B39">
        <w:rPr>
          <w:rtl/>
        </w:rPr>
        <w:t xml:space="preserve"> </w:t>
      </w:r>
      <w:r w:rsidR="00610B39" w:rsidRPr="00610B39">
        <w:rPr>
          <w:rFonts w:cs="Arial"/>
          <w:rtl/>
        </w:rPr>
        <w:t>דשכיח שאין אדם רוצה שתתבזה אשתו בב"ד</w:t>
      </w:r>
      <w:r w:rsidR="00610B39">
        <w:rPr>
          <w:rFonts w:cs="Arial" w:hint="cs"/>
          <w:rtl/>
        </w:rPr>
        <w:t>.</w:t>
      </w:r>
      <w:r w:rsidR="00A949A1">
        <w:rPr>
          <w:rFonts w:cs="Arial" w:hint="cs"/>
          <w:rtl/>
        </w:rPr>
        <w:t xml:space="preserve"> </w:t>
      </w:r>
      <w:r w:rsidR="009256E7" w:rsidRPr="009256E7">
        <w:rPr>
          <w:rFonts w:cs="Arial"/>
          <w:rtl/>
        </w:rPr>
        <w:t>אבל מכאן ואילך מוכרין בב"ד אפילו לכמה שנים עד שתיטול כתובתה</w:t>
      </w:r>
      <w:r w:rsidR="00610B39">
        <w:rPr>
          <w:rFonts w:cs="Arial" w:hint="cs"/>
          <w:rtl/>
        </w:rPr>
        <w:t>.</w:t>
      </w:r>
      <w:r w:rsidR="009256E7" w:rsidRPr="009256E7">
        <w:rPr>
          <w:rFonts w:cs="Arial"/>
          <w:rtl/>
        </w:rPr>
        <w:t xml:space="preserve"> והני מילי בסתמ</w:t>
      </w:r>
      <w:r w:rsidR="00610B39">
        <w:rPr>
          <w:rFonts w:cs="Arial" w:hint="cs"/>
          <w:rtl/>
        </w:rPr>
        <w:t>א</w:t>
      </w:r>
      <w:r w:rsidR="009256E7" w:rsidRPr="009256E7">
        <w:rPr>
          <w:rFonts w:cs="Arial"/>
          <w:rtl/>
        </w:rPr>
        <w:t xml:space="preserve"> אבל היכא דיהב רשותא לזבוני ואיתזוני מוכרין אפי' שלא בב"ד הדיוט</w:t>
      </w:r>
      <w:r w:rsidR="00610B39">
        <w:rPr>
          <w:rFonts w:cs="Arial" w:hint="cs"/>
          <w:rtl/>
        </w:rPr>
        <w:t>.</w:t>
      </w:r>
      <w:r w:rsidR="009256E7" w:rsidRPr="009256E7">
        <w:rPr>
          <w:rFonts w:cs="Arial"/>
          <w:rtl/>
        </w:rPr>
        <w:t xml:space="preserve"> ולא בריר לן</w:t>
      </w:r>
      <w:r w:rsidR="00F01BC0">
        <w:rPr>
          <w:rFonts w:cs="Arial" w:hint="cs"/>
          <w:rtl/>
        </w:rPr>
        <w:t>,</w:t>
      </w:r>
      <w:r w:rsidR="009256E7" w:rsidRPr="009256E7">
        <w:rPr>
          <w:rFonts w:cs="Arial"/>
          <w:rtl/>
        </w:rPr>
        <w:t xml:space="preserve"> ומסתברא לעולם אינה מוכרת אלא לו' חדשים</w:t>
      </w:r>
      <w:r w:rsidR="00F01BC0">
        <w:rPr>
          <w:rStyle w:val="a7"/>
          <w:rFonts w:cs="Arial"/>
          <w:rtl/>
        </w:rPr>
        <w:footnoteReference w:id="1669"/>
      </w:r>
      <w:r w:rsidR="00DF58A2">
        <w:rPr>
          <w:rFonts w:cs="Arial" w:hint="cs"/>
          <w:sz w:val="16"/>
          <w:szCs w:val="16"/>
          <w:rtl/>
        </w:rPr>
        <w:t xml:space="preserve"> (ל'  הטור בשמו)</w:t>
      </w:r>
      <w:r>
        <w:rPr>
          <w:rFonts w:hint="cs"/>
          <w:rtl/>
        </w:rPr>
        <w:t>.</w:t>
      </w:r>
    </w:p>
    <w:p w14:paraId="2D9939BA" w14:textId="70DD347C" w:rsidR="003679C9" w:rsidRPr="00E679B6" w:rsidRDefault="00E679B6" w:rsidP="00E679B6">
      <w:pPr>
        <w:ind w:left="360"/>
        <w:rPr>
          <w:u w:val="dotted"/>
        </w:rPr>
      </w:pPr>
      <w:r w:rsidRPr="00E679B6">
        <w:rPr>
          <w:rFonts w:cs="Arial" w:hint="cs"/>
          <w:u w:val="dotted"/>
          <w:rtl/>
        </w:rPr>
        <w:t>ומה הדין אם ב"ד מוכרים את הנכסים</w:t>
      </w:r>
      <w:r w:rsidR="00244829">
        <w:rPr>
          <w:rFonts w:cs="Arial" w:hint="cs"/>
          <w:u w:val="dotted"/>
          <w:rtl/>
        </w:rPr>
        <w:t xml:space="preserve"> ולא היא</w:t>
      </w:r>
      <w:r w:rsidRPr="00E679B6">
        <w:rPr>
          <w:rFonts w:cs="Arial" w:hint="cs"/>
          <w:u w:val="dotted"/>
          <w:rtl/>
        </w:rPr>
        <w:t xml:space="preserve"> - האם גם אז לא ימכרו יותר מכדי מזונות של ששה חודשים:</w:t>
      </w:r>
      <w:r w:rsidR="00392DBB" w:rsidRPr="00E679B6">
        <w:rPr>
          <w:rFonts w:cs="Arial"/>
          <w:u w:val="dotted"/>
          <w:rtl/>
        </w:rPr>
        <w:t xml:space="preserve"> </w:t>
      </w:r>
    </w:p>
    <w:p w14:paraId="65CF1240" w14:textId="722072E2" w:rsidR="00392DBB" w:rsidRPr="000A1431" w:rsidRDefault="003679C9" w:rsidP="009000E3">
      <w:pPr>
        <w:pStyle w:val="ab"/>
        <w:numPr>
          <w:ilvl w:val="0"/>
          <w:numId w:val="61"/>
        </w:numPr>
        <w:rPr>
          <w:rtl/>
        </w:rPr>
      </w:pPr>
      <w:r>
        <w:rPr>
          <w:rFonts w:cs="Arial" w:hint="cs"/>
          <w:rtl/>
        </w:rPr>
        <w:t>רא"ש</w:t>
      </w:r>
      <w:r>
        <w:rPr>
          <w:rFonts w:cs="Arial" w:hint="cs"/>
          <w:sz w:val="16"/>
          <w:szCs w:val="16"/>
          <w:rtl/>
        </w:rPr>
        <w:t xml:space="preserve"> (</w:t>
      </w:r>
      <w:r w:rsidR="00362502">
        <w:rPr>
          <w:rFonts w:cs="Arial" w:hint="cs"/>
          <w:sz w:val="16"/>
          <w:szCs w:val="16"/>
          <w:rtl/>
        </w:rPr>
        <w:t>פי"א סי' ח)</w:t>
      </w:r>
      <w:r w:rsidR="00BB44E0">
        <w:rPr>
          <w:rFonts w:cs="Arial" w:hint="cs"/>
          <w:rtl/>
        </w:rPr>
        <w:t xml:space="preserve"> וטור</w:t>
      </w:r>
      <w:r>
        <w:rPr>
          <w:rFonts w:cs="Arial" w:hint="cs"/>
          <w:rtl/>
        </w:rPr>
        <w:t xml:space="preserve">- </w:t>
      </w:r>
      <w:r w:rsidR="00392DBB" w:rsidRPr="000A1431">
        <w:rPr>
          <w:rFonts w:cs="Arial"/>
          <w:rtl/>
        </w:rPr>
        <w:t>וכל זה אינו אלא כשהיא מוכרת</w:t>
      </w:r>
      <w:r w:rsidR="00E679B6">
        <w:rPr>
          <w:rFonts w:cs="Arial" w:hint="cs"/>
          <w:rtl/>
        </w:rPr>
        <w:t>,</w:t>
      </w:r>
      <w:r w:rsidR="00392DBB" w:rsidRPr="000A1431">
        <w:rPr>
          <w:rFonts w:cs="Arial"/>
          <w:rtl/>
        </w:rPr>
        <w:t xml:space="preserve"> אז לא הרשוה למכור אלא כדי מזונות ששה חדשים</w:t>
      </w:r>
      <w:r w:rsidR="00DF2992">
        <w:rPr>
          <w:rFonts w:cs="Arial" w:hint="cs"/>
          <w:rtl/>
        </w:rPr>
        <w:t>,</w:t>
      </w:r>
      <w:r w:rsidR="00392DBB" w:rsidRPr="000A1431">
        <w:rPr>
          <w:rFonts w:cs="Arial"/>
          <w:rtl/>
        </w:rPr>
        <w:t xml:space="preserve"> אבל מכרו ב"ד אין קצבה לדבר אלא לפי ראות עיניהם מה שהוא תועלת היתומים</w:t>
      </w:r>
      <w:r w:rsidR="00BB44E0">
        <w:rPr>
          <w:rFonts w:cs="Arial" w:hint="cs"/>
          <w:sz w:val="16"/>
          <w:szCs w:val="16"/>
          <w:rtl/>
        </w:rPr>
        <w:t xml:space="preserve"> (ל' הטור)</w:t>
      </w:r>
      <w:r w:rsidR="00DF2992">
        <w:rPr>
          <w:rFonts w:cs="Arial" w:hint="cs"/>
          <w:rtl/>
        </w:rPr>
        <w:t>.</w:t>
      </w:r>
    </w:p>
    <w:p w14:paraId="790F9BEA"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66DD4D67" w14:textId="35C7ADB5" w:rsidR="00392DBB" w:rsidRDefault="00392DBB" w:rsidP="00392DBB">
      <w:pPr>
        <w:rPr>
          <w:rtl/>
        </w:rPr>
      </w:pPr>
      <w:r>
        <w:rPr>
          <w:rFonts w:cs="Arial"/>
          <w:rtl/>
        </w:rPr>
        <w:t>כמה מוכרים למזונות כדי לזון מהם, ששה חדשים ולא יותר. והמעות ישארו ביד הלוקח, שלא יתנם לה הכל מיד, אלא כדי מזון</w:t>
      </w:r>
      <w:r w:rsidR="00DF58A2">
        <w:rPr>
          <w:rFonts w:cs="Arial" w:hint="cs"/>
          <w:rtl/>
        </w:rPr>
        <w:t xml:space="preserve"> שלשים</w:t>
      </w:r>
      <w:r>
        <w:rPr>
          <w:rFonts w:cs="Arial"/>
          <w:rtl/>
        </w:rPr>
        <w:t xml:space="preserve"> יום, וכן משלשים יום לשלשים יום. וחוזרת ומוכרה שנית לששה חדשים</w:t>
      </w:r>
      <w:r w:rsidR="00DF58A2">
        <w:rPr>
          <w:rFonts w:cs="Arial" w:hint="cs"/>
          <w:rtl/>
        </w:rPr>
        <w:t>.</w:t>
      </w:r>
      <w:r>
        <w:rPr>
          <w:rFonts w:cs="Arial"/>
          <w:rtl/>
        </w:rPr>
        <w:t xml:space="preserve"> וכן מוכרת והולכת לעולם, עד שישאר מהנכסים כדי כתובתה, גובה כתובתה מהשאר והולכת לה. </w:t>
      </w:r>
      <w:r w:rsidRPr="00D1147A">
        <w:rPr>
          <w:rFonts w:cs="Arial"/>
          <w:sz w:val="18"/>
          <w:szCs w:val="18"/>
          <w:rtl/>
        </w:rPr>
        <w:t>הגה: י"א הא דמוכרת לו' חדשים היינו דוקא קרקע, אבל בזמן הזה דניזונת ממטלטלין אין למכור אלא חפץ אחד (טור בשם בהעי</w:t>
      </w:r>
      <w:r w:rsidR="00DF58A2">
        <w:rPr>
          <w:rFonts w:cs="Arial" w:hint="cs"/>
          <w:sz w:val="18"/>
          <w:szCs w:val="18"/>
          <w:rtl/>
        </w:rPr>
        <w:t>"</w:t>
      </w:r>
      <w:r w:rsidRPr="00D1147A">
        <w:rPr>
          <w:rFonts w:cs="Arial"/>
          <w:sz w:val="18"/>
          <w:szCs w:val="18"/>
          <w:rtl/>
        </w:rPr>
        <w:t>ט).</w:t>
      </w:r>
      <w:r>
        <w:rPr>
          <w:rFonts w:cs="Arial"/>
          <w:rtl/>
        </w:rPr>
        <w:t xml:space="preserve"> </w:t>
      </w:r>
    </w:p>
    <w:p w14:paraId="52EF49C0" w14:textId="77777777" w:rsidR="00392DBB" w:rsidRDefault="00392DBB" w:rsidP="00392DBB">
      <w:pPr>
        <w:rPr>
          <w:rtl/>
        </w:rPr>
      </w:pPr>
    </w:p>
    <w:p w14:paraId="40ED22B7" w14:textId="784959A0" w:rsidR="00392DBB" w:rsidRDefault="00392DBB" w:rsidP="000F64D0">
      <w:pPr>
        <w:pStyle w:val="2"/>
        <w:rPr>
          <w:rtl/>
        </w:rPr>
      </w:pPr>
      <w:r>
        <w:rPr>
          <w:rtl/>
        </w:rPr>
        <w:t>סעיף לא</w:t>
      </w:r>
      <w:r w:rsidR="003D1035">
        <w:rPr>
          <w:rFonts w:hint="cs"/>
          <w:rtl/>
        </w:rPr>
        <w:t>: לא מצאו קונה שיקנה כדי מזונות של ששה חודשים.</w:t>
      </w:r>
    </w:p>
    <w:p w14:paraId="310054F3" w14:textId="2BF69F5F" w:rsidR="003D1035" w:rsidRPr="003D1035" w:rsidRDefault="003D1035" w:rsidP="003D1035">
      <w:pPr>
        <w:rPr>
          <w:u w:val="single"/>
          <w:rtl/>
        </w:rPr>
      </w:pPr>
      <w:r w:rsidRPr="003D1035">
        <w:rPr>
          <w:rFonts w:hint="cs"/>
          <w:u w:val="single"/>
          <w:rtl/>
        </w:rPr>
        <w:t>לא מצאו קונה שיקנה כדי מזונות של ששה חודשים:</w:t>
      </w:r>
    </w:p>
    <w:p w14:paraId="6459A9C2" w14:textId="4A157218" w:rsidR="00392DBB" w:rsidRPr="00D1147A" w:rsidRDefault="00392DBB" w:rsidP="009000E3">
      <w:pPr>
        <w:pStyle w:val="ab"/>
        <w:numPr>
          <w:ilvl w:val="0"/>
          <w:numId w:val="61"/>
        </w:numPr>
        <w:rPr>
          <w:rtl/>
        </w:rPr>
      </w:pPr>
      <w:r w:rsidRPr="003D1035">
        <w:rPr>
          <w:rFonts w:cs="Arial"/>
          <w:rtl/>
        </w:rPr>
        <w:t xml:space="preserve">ריטב"א </w:t>
      </w:r>
      <w:r w:rsidRPr="003D1035">
        <w:rPr>
          <w:rFonts w:cs="Arial"/>
          <w:sz w:val="16"/>
          <w:szCs w:val="16"/>
          <w:rtl/>
        </w:rPr>
        <w:t>(צז. ד"ה אמר)</w:t>
      </w:r>
      <w:r w:rsidR="003D1035" w:rsidRPr="003D1035">
        <w:rPr>
          <w:rFonts w:cs="Arial" w:hint="cs"/>
          <w:rtl/>
        </w:rPr>
        <w:t>-</w:t>
      </w:r>
      <w:r w:rsidRPr="003D1035">
        <w:rPr>
          <w:rFonts w:cs="Arial"/>
          <w:rtl/>
        </w:rPr>
        <w:t xml:space="preserve"> אומר רבינו מאיר שאם היה בענין שלא היו מוצאין ליקח כדי מזונות של ששה חדשים שמוכרין ביותר לפי ראות עיני הדיינים כדי שיהיו לה מזונות כי היכי דמזבנית למזונותיה בלא אכרזתא (פז.)</w:t>
      </w:r>
      <w:r w:rsidR="003D1035">
        <w:rPr>
          <w:rFonts w:cs="Arial" w:hint="cs"/>
          <w:rtl/>
        </w:rPr>
        <w:t>.</w:t>
      </w:r>
      <w:r w:rsidRPr="003D1035">
        <w:rPr>
          <w:rFonts w:cs="Arial"/>
          <w:rtl/>
        </w:rPr>
        <w:t xml:space="preserve"> ומכאן נלמוד ג"כ כי כשפוסקין מזונות לאלמנה שאינה נזונת עם היתומים אין נותנין לה לפחות משלשים יום וכן לאשת איש כדי שלא תצטרך להתבזות על מזונותיה בב"ד בכל יום</w:t>
      </w:r>
      <w:r w:rsidR="003D1035">
        <w:rPr>
          <w:rFonts w:cs="Arial" w:hint="cs"/>
          <w:rtl/>
        </w:rPr>
        <w:t>.</w:t>
      </w:r>
      <w:r w:rsidR="003A4927" w:rsidRPr="003A4927">
        <w:rPr>
          <w:rFonts w:cs="Arial" w:hint="cs"/>
          <w:color w:val="E36C0A" w:themeColor="accent6" w:themeShade="BF"/>
          <w:rtl/>
        </w:rPr>
        <w:t xml:space="preserve"> </w:t>
      </w:r>
      <w:r w:rsidR="003A4927" w:rsidRPr="009C33F7">
        <w:rPr>
          <w:rFonts w:cs="Arial" w:hint="cs"/>
          <w:color w:val="E36C0A" w:themeColor="accent6" w:themeShade="BF"/>
          <w:rtl/>
        </w:rPr>
        <w:t>(וכ"פ בשו"ע</w:t>
      </w:r>
      <w:r w:rsidR="003A4927" w:rsidRPr="009C33F7">
        <w:rPr>
          <w:rFonts w:cs="Arial" w:hint="cs"/>
          <w:color w:val="E36C0A" w:themeColor="accent6" w:themeShade="BF"/>
          <w:sz w:val="16"/>
          <w:szCs w:val="16"/>
          <w:rtl/>
        </w:rPr>
        <w:t xml:space="preserve"> </w:t>
      </w:r>
      <w:r w:rsidR="003A4927" w:rsidRPr="009C33F7">
        <w:rPr>
          <w:rFonts w:cs="Arial" w:hint="cs"/>
          <w:sz w:val="16"/>
          <w:szCs w:val="16"/>
          <w:rtl/>
        </w:rPr>
        <w:t>[כאן ובס</w:t>
      </w:r>
      <w:r w:rsidR="003A4927">
        <w:rPr>
          <w:rFonts w:cs="Arial" w:hint="cs"/>
          <w:sz w:val="16"/>
          <w:szCs w:val="16"/>
          <w:rtl/>
        </w:rPr>
        <w:t>ע</w:t>
      </w:r>
      <w:r w:rsidR="003A4927" w:rsidRPr="009C33F7">
        <w:rPr>
          <w:rFonts w:cs="Arial" w:hint="cs"/>
          <w:sz w:val="16"/>
          <w:szCs w:val="16"/>
          <w:rtl/>
        </w:rPr>
        <w:t xml:space="preserve">' </w:t>
      </w:r>
      <w:r w:rsidR="003A4927">
        <w:rPr>
          <w:rFonts w:cs="Arial" w:hint="cs"/>
          <w:sz w:val="16"/>
          <w:szCs w:val="16"/>
          <w:rtl/>
        </w:rPr>
        <w:t>הבא</w:t>
      </w:r>
      <w:r w:rsidR="003A4927" w:rsidRPr="009C33F7">
        <w:rPr>
          <w:rFonts w:cs="Arial" w:hint="cs"/>
          <w:sz w:val="16"/>
          <w:szCs w:val="16"/>
          <w:rtl/>
        </w:rPr>
        <w:t>]</w:t>
      </w:r>
      <w:r w:rsidR="003A4927" w:rsidRPr="009C33F7">
        <w:rPr>
          <w:rFonts w:cs="Arial" w:hint="cs"/>
          <w:color w:val="E36C0A" w:themeColor="accent6" w:themeShade="BF"/>
          <w:rtl/>
        </w:rPr>
        <w:t>)</w:t>
      </w:r>
    </w:p>
    <w:p w14:paraId="5ED26B2A"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966157B" w14:textId="77777777" w:rsidR="00392DBB" w:rsidRDefault="00392DBB" w:rsidP="00392DBB">
      <w:pPr>
        <w:rPr>
          <w:rtl/>
        </w:rPr>
      </w:pPr>
      <w:r>
        <w:rPr>
          <w:rFonts w:cs="Arial"/>
          <w:rtl/>
        </w:rPr>
        <w:t xml:space="preserve">אם אין מוצאים ליקח כדי מזונות של ששה חדשים, מוכרים ביותר, לפי ראות עיני הדיינים, כדי שיהיו לה מזונות. </w:t>
      </w:r>
    </w:p>
    <w:p w14:paraId="6C52E6BF" w14:textId="77777777" w:rsidR="00392DBB" w:rsidRDefault="00392DBB" w:rsidP="00392DBB">
      <w:pPr>
        <w:rPr>
          <w:rtl/>
        </w:rPr>
      </w:pPr>
    </w:p>
    <w:p w14:paraId="436B3023" w14:textId="58973F56" w:rsidR="00392DBB" w:rsidRDefault="00392DBB" w:rsidP="000F64D0">
      <w:pPr>
        <w:pStyle w:val="2"/>
        <w:rPr>
          <w:rtl/>
        </w:rPr>
      </w:pPr>
      <w:r>
        <w:rPr>
          <w:rtl/>
        </w:rPr>
        <w:t>סעיף לב</w:t>
      </w:r>
      <w:r w:rsidR="00B2032B">
        <w:rPr>
          <w:rFonts w:hint="cs"/>
          <w:rtl/>
        </w:rPr>
        <w:t xml:space="preserve">: </w:t>
      </w:r>
      <w:r w:rsidR="00205328">
        <w:rPr>
          <w:rFonts w:hint="cs"/>
          <w:rtl/>
        </w:rPr>
        <w:t>מינימום מזונות שפוסקים כל פעם.</w:t>
      </w:r>
    </w:p>
    <w:p w14:paraId="18CB8B5B" w14:textId="4DE1B8FF" w:rsidR="00B2032B" w:rsidRPr="00B2032B" w:rsidRDefault="00205328" w:rsidP="00B2032B">
      <w:pPr>
        <w:rPr>
          <w:rtl/>
        </w:rPr>
      </w:pPr>
      <w:r>
        <w:rPr>
          <w:rFonts w:hint="cs"/>
          <w:rtl/>
        </w:rPr>
        <w:t>עיין במקורות בסעיף לא.</w:t>
      </w:r>
    </w:p>
    <w:p w14:paraId="02228736"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0A98AE8" w14:textId="6D0E4261" w:rsidR="00392DBB" w:rsidRDefault="00392DBB" w:rsidP="00392DBB">
      <w:pPr>
        <w:rPr>
          <w:rFonts w:cs="Arial"/>
          <w:rtl/>
        </w:rPr>
      </w:pPr>
      <w:r>
        <w:rPr>
          <w:rFonts w:cs="Arial"/>
          <w:rtl/>
        </w:rPr>
        <w:t>כשפוסקין מזונות לאלמנה שאינה ניזונת עם היתומים, אין נותנין לה לפחות משלשים יום</w:t>
      </w:r>
      <w:r w:rsidR="003A4927">
        <w:rPr>
          <w:rFonts w:cs="Arial" w:hint="cs"/>
          <w:rtl/>
        </w:rPr>
        <w:t>,</w:t>
      </w:r>
      <w:r>
        <w:rPr>
          <w:rFonts w:cs="Arial"/>
          <w:rtl/>
        </w:rPr>
        <w:t xml:space="preserve"> וכן לאשת איש, כדי שלא תצטרך להתבזות על מזונותיה בב</w:t>
      </w:r>
      <w:r w:rsidR="00B2032B">
        <w:rPr>
          <w:rFonts w:cs="Arial" w:hint="cs"/>
          <w:rtl/>
        </w:rPr>
        <w:t>ית דין</w:t>
      </w:r>
      <w:r>
        <w:rPr>
          <w:rFonts w:cs="Arial"/>
          <w:rtl/>
        </w:rPr>
        <w:t xml:space="preserve"> בכל יום.</w:t>
      </w:r>
    </w:p>
    <w:p w14:paraId="01A9C397" w14:textId="4834E7B3" w:rsidR="00B2032B" w:rsidRPr="007A3469" w:rsidRDefault="00B2032B" w:rsidP="00392DBB">
      <w:pPr>
        <w:rPr>
          <w:rtl/>
        </w:rPr>
        <w:sectPr w:rsidR="00B2032B" w:rsidRPr="007A3469" w:rsidSect="00A347B3">
          <w:headerReference w:type="default" r:id="rId36"/>
          <w:footerReference w:type="default" r:id="rId37"/>
          <w:footnotePr>
            <w:numRestart w:val="eachSect"/>
          </w:footnotePr>
          <w:pgSz w:w="11906" w:h="16838"/>
          <w:pgMar w:top="720" w:right="1134" w:bottom="720" w:left="1134" w:header="0" w:footer="0" w:gutter="0"/>
          <w:cols w:space="720"/>
          <w:bidi/>
          <w:rtlGutter/>
          <w:docGrid w:linePitch="360"/>
        </w:sectPr>
      </w:pPr>
    </w:p>
    <w:p w14:paraId="68C12856" w14:textId="24B6888C" w:rsidR="00392DBB" w:rsidRDefault="00392DBB" w:rsidP="00392DBB">
      <w:pPr>
        <w:pStyle w:val="1"/>
        <w:rPr>
          <w:rtl/>
        </w:rPr>
      </w:pPr>
      <w:r>
        <w:rPr>
          <w:rFonts w:hint="cs"/>
          <w:rtl/>
        </w:rPr>
        <w:lastRenderedPageBreak/>
        <w:t>סימן צד:</w:t>
      </w:r>
      <w:r w:rsidRPr="00C12B74">
        <w:rPr>
          <w:rtl/>
        </w:rPr>
        <w:t xml:space="preserve"> </w:t>
      </w:r>
      <w:r>
        <w:rPr>
          <w:rFonts w:cs="Arial"/>
          <w:rtl/>
        </w:rPr>
        <w:t>חיוב דירת אלמנה וכסותה, ואם אמרה שיתנו לה מזונות בבית אביה, ובו ז' סעיפים.</w:t>
      </w:r>
      <w:r w:rsidR="00B77B1F">
        <w:rPr>
          <w:rFonts w:cs="Arial" w:hint="cs"/>
          <w:rtl/>
        </w:rPr>
        <w:t xml:space="preserve"> </w:t>
      </w:r>
    </w:p>
    <w:p w14:paraId="553549B8" w14:textId="18565329" w:rsidR="00392DBB" w:rsidRDefault="00392DBB" w:rsidP="000F64D0">
      <w:pPr>
        <w:pStyle w:val="2"/>
        <w:rPr>
          <w:rtl/>
        </w:rPr>
      </w:pPr>
      <w:r>
        <w:rPr>
          <w:rtl/>
        </w:rPr>
        <w:t>סעיף א</w:t>
      </w:r>
      <w:r w:rsidR="00835288">
        <w:rPr>
          <w:rFonts w:hint="cs"/>
          <w:rtl/>
        </w:rPr>
        <w:t xml:space="preserve">: </w:t>
      </w:r>
      <w:r w:rsidR="00A95D19">
        <w:rPr>
          <w:rFonts w:hint="cs"/>
          <w:rtl/>
        </w:rPr>
        <w:t xml:space="preserve">חיוב לתת לאלמנה דירה כלים </w:t>
      </w:r>
      <w:r w:rsidR="00270CBD">
        <w:rPr>
          <w:rFonts w:hint="cs"/>
          <w:rtl/>
        </w:rPr>
        <w:t>ושפחות.</w:t>
      </w:r>
    </w:p>
    <w:p w14:paraId="43905CBD" w14:textId="32F02FC0" w:rsidR="00D13A47" w:rsidRDefault="00D13A47" w:rsidP="00D13A47">
      <w:pPr>
        <w:rPr>
          <w:rFonts w:cs="Arial"/>
          <w:rtl/>
        </w:rPr>
      </w:pPr>
      <w:r w:rsidRPr="00270CBD">
        <w:rPr>
          <w:rFonts w:cs="Arial"/>
          <w:b/>
          <w:bCs/>
          <w:rtl/>
        </w:rPr>
        <w:t xml:space="preserve">כתובות </w:t>
      </w:r>
      <w:r w:rsidRPr="00270CBD">
        <w:rPr>
          <w:rFonts w:cs="Arial" w:hint="cs"/>
          <w:b/>
          <w:bCs/>
          <w:sz w:val="16"/>
          <w:szCs w:val="16"/>
          <w:rtl/>
        </w:rPr>
        <w:t>(פ' הנושא)</w:t>
      </w:r>
      <w:r w:rsidRPr="00270CBD">
        <w:rPr>
          <w:rFonts w:cs="Arial" w:hint="cs"/>
          <w:b/>
          <w:bCs/>
          <w:rtl/>
        </w:rPr>
        <w:t xml:space="preserve"> </w:t>
      </w:r>
      <w:r w:rsidRPr="00270CBD">
        <w:rPr>
          <w:rFonts w:cs="Arial"/>
          <w:b/>
          <w:bCs/>
          <w:rtl/>
        </w:rPr>
        <w:t>קג</w:t>
      </w:r>
      <w:r w:rsidR="002805FF">
        <w:rPr>
          <w:rStyle w:val="a7"/>
          <w:rFonts w:cs="Arial"/>
          <w:b/>
          <w:bCs/>
          <w:rtl/>
        </w:rPr>
        <w:footnoteReference w:id="1670"/>
      </w:r>
      <w:r w:rsidRPr="00270CBD">
        <w:rPr>
          <w:rFonts w:cs="Arial" w:hint="cs"/>
          <w:b/>
          <w:bCs/>
          <w:rtl/>
        </w:rPr>
        <w:t xml:space="preserve"> ע"א:</w:t>
      </w:r>
      <w:r w:rsidRPr="006F1E49">
        <w:rPr>
          <w:rtl/>
        </w:rPr>
        <w:t xml:space="preserve"> </w:t>
      </w:r>
      <w:r w:rsidR="00C63E1E" w:rsidRPr="00C63E1E">
        <w:rPr>
          <w:rFonts w:cs="Arial"/>
          <w:u w:val="double"/>
          <w:rtl/>
        </w:rPr>
        <w:t>מתני'</w:t>
      </w:r>
      <w:r w:rsidR="00C63E1E">
        <w:rPr>
          <w:rFonts w:cs="Arial" w:hint="cs"/>
          <w:rtl/>
        </w:rPr>
        <w:t>:</w:t>
      </w:r>
      <w:r w:rsidR="00C63E1E" w:rsidRPr="00C63E1E">
        <w:rPr>
          <w:rFonts w:cs="Arial"/>
          <w:rtl/>
        </w:rPr>
        <w:t xml:space="preserve"> אלמנה שאמרה אי אפשי לזוז מבית בעלי, אין היורשין יכולין לומר לה לכי לבית אביך ואנו זנין אותך, אלא זנין אותה ונותנין לה מדור לפי כבודה.</w:t>
      </w:r>
      <w:r w:rsidR="00C63E1E">
        <w:rPr>
          <w:rFonts w:cs="Arial" w:hint="cs"/>
          <w:rtl/>
        </w:rPr>
        <w:t xml:space="preserve">..    </w:t>
      </w:r>
      <w:r w:rsidR="00C63E1E" w:rsidRPr="00C63E1E">
        <w:rPr>
          <w:rFonts w:cs="Arial" w:hint="cs"/>
          <w:u w:val="double"/>
          <w:rtl/>
        </w:rPr>
        <w:t>גמ'</w:t>
      </w:r>
      <w:r w:rsidR="00C63E1E">
        <w:rPr>
          <w:rFonts w:cs="Arial" w:hint="cs"/>
          <w:rtl/>
        </w:rPr>
        <w:t>:</w:t>
      </w:r>
      <w:r w:rsidR="00C63E1E" w:rsidRPr="00C63E1E">
        <w:rPr>
          <w:rFonts w:cs="Arial"/>
          <w:rtl/>
        </w:rPr>
        <w:t xml:space="preserve"> </w:t>
      </w:r>
      <w:r w:rsidRPr="006F1E49">
        <w:rPr>
          <w:rFonts w:cs="Arial"/>
          <w:rtl/>
        </w:rPr>
        <w:t xml:space="preserve">תנו רבנן: משתמשת במדור כדרך שמשתמשת בחיי בעלה, בעבדים ושפחות - כדרך שמשתמשת בחיי בעלה, בכרים וכסתות - כדרך שמשתמשת בחיי בעלה, בכלי כסף ובכלי זהב - כדרך שמשתמשת בחיי בעלה, שכך כתב לה ואת תהא יתבת בביתי ומיתזנא מנכסי כל ימי מגר ארמלותיך בביתי. </w:t>
      </w:r>
    </w:p>
    <w:p w14:paraId="42C11C5E" w14:textId="53394526" w:rsidR="00270CBD" w:rsidRPr="00270CBD" w:rsidRDefault="00270CBD" w:rsidP="00270CBD">
      <w:pPr>
        <w:rPr>
          <w:u w:val="single"/>
          <w:rtl/>
        </w:rPr>
      </w:pPr>
      <w:r w:rsidRPr="00270CBD">
        <w:rPr>
          <w:rFonts w:hint="cs"/>
          <w:u w:val="single"/>
          <w:rtl/>
        </w:rPr>
        <w:t>חיוב לתת לאלמנה דירה כלים ושפחות:</w:t>
      </w:r>
    </w:p>
    <w:p w14:paraId="20A668B1" w14:textId="60F1EB52" w:rsidR="00835288" w:rsidRPr="00835288" w:rsidRDefault="00DA71B9" w:rsidP="009000E3">
      <w:pPr>
        <w:pStyle w:val="ab"/>
        <w:numPr>
          <w:ilvl w:val="0"/>
          <w:numId w:val="61"/>
        </w:numPr>
      </w:pPr>
      <w:r>
        <w:rPr>
          <w:rFonts w:hint="cs"/>
          <w:rtl/>
        </w:rPr>
        <w:t xml:space="preserve">טור- </w:t>
      </w:r>
      <w:r w:rsidRPr="00DA71B9">
        <w:rPr>
          <w:rFonts w:cs="Arial"/>
          <w:rtl/>
        </w:rPr>
        <w:t>כדרך שחייבין במזונות האלמנה כך חייבין ליתן לה מדור לדור בו</w:t>
      </w:r>
      <w:r w:rsidR="007B1885">
        <w:rPr>
          <w:rFonts w:cs="Arial" w:hint="cs"/>
          <w:rtl/>
        </w:rPr>
        <w:t>,</w:t>
      </w:r>
      <w:r w:rsidRPr="00DA71B9">
        <w:rPr>
          <w:rFonts w:cs="Arial"/>
          <w:rtl/>
        </w:rPr>
        <w:t xml:space="preserve"> וכלים להשתמש בהן</w:t>
      </w:r>
      <w:r w:rsidR="007B1885">
        <w:rPr>
          <w:rFonts w:cs="Arial" w:hint="cs"/>
          <w:rtl/>
        </w:rPr>
        <w:t>,</w:t>
      </w:r>
      <w:r w:rsidRPr="00DA71B9">
        <w:rPr>
          <w:rFonts w:cs="Arial"/>
          <w:rtl/>
        </w:rPr>
        <w:t xml:space="preserve"> ועבדים ושפחות</w:t>
      </w:r>
      <w:r w:rsidR="00FB0EDC">
        <w:rPr>
          <w:rStyle w:val="a7"/>
          <w:rFonts w:cs="Arial"/>
          <w:rtl/>
        </w:rPr>
        <w:footnoteReference w:id="1671"/>
      </w:r>
      <w:r w:rsidRPr="00DA71B9">
        <w:rPr>
          <w:rFonts w:cs="Arial"/>
          <w:rtl/>
        </w:rPr>
        <w:t xml:space="preserve"> כדרך שהיו לה בחיי בעלה</w:t>
      </w:r>
      <w:r w:rsidR="00835288">
        <w:rPr>
          <w:rFonts w:cs="Arial" w:hint="cs"/>
          <w:rtl/>
        </w:rPr>
        <w:t>.</w:t>
      </w:r>
      <w:r w:rsidRPr="00DA71B9">
        <w:rPr>
          <w:rFonts w:cs="Arial"/>
          <w:rtl/>
        </w:rPr>
        <w:t xml:space="preserve"> </w:t>
      </w:r>
      <w:r w:rsidR="0029634B" w:rsidRPr="009C33F7">
        <w:rPr>
          <w:rFonts w:cs="Arial" w:hint="cs"/>
          <w:color w:val="E36C0A" w:themeColor="accent6" w:themeShade="BF"/>
          <w:rtl/>
        </w:rPr>
        <w:t>(וכ"פ בשו"ע)</w:t>
      </w:r>
    </w:p>
    <w:p w14:paraId="56320FB8" w14:textId="70D83534" w:rsidR="004D2BAD" w:rsidRPr="004D2BAD" w:rsidRDefault="004D2BAD" w:rsidP="004D2BAD">
      <w:pPr>
        <w:ind w:left="360"/>
        <w:rPr>
          <w:rFonts w:cs="Arial"/>
          <w:u w:val="dotted"/>
          <w:rtl/>
        </w:rPr>
      </w:pPr>
      <w:r w:rsidRPr="004D2BAD">
        <w:rPr>
          <w:rFonts w:cs="Arial" w:hint="cs"/>
          <w:u w:val="dotted"/>
          <w:rtl/>
        </w:rPr>
        <w:t>האם צרי</w:t>
      </w:r>
      <w:r w:rsidR="007246DD">
        <w:rPr>
          <w:rFonts w:cs="Arial" w:hint="cs"/>
          <w:u w:val="dotted"/>
          <w:rtl/>
        </w:rPr>
        <w:t>ך לתת לה כשם שהיתה משתמשת בבית בעלה</w:t>
      </w:r>
      <w:r w:rsidR="0009073A">
        <w:rPr>
          <w:rFonts w:cs="Arial" w:hint="cs"/>
          <w:u w:val="dotted"/>
          <w:rtl/>
        </w:rPr>
        <w:t>, או לפי כבודה:</w:t>
      </w:r>
    </w:p>
    <w:p w14:paraId="790A9519" w14:textId="1D2B28CC" w:rsidR="0009073A" w:rsidRDefault="004D2BAD" w:rsidP="009000E3">
      <w:pPr>
        <w:pStyle w:val="ab"/>
        <w:numPr>
          <w:ilvl w:val="0"/>
          <w:numId w:val="61"/>
        </w:numPr>
        <w:rPr>
          <w:rFonts w:cs="Arial"/>
        </w:rPr>
      </w:pPr>
      <w:r w:rsidRPr="004D2BAD">
        <w:rPr>
          <w:rFonts w:cs="Arial" w:hint="cs"/>
          <w:rtl/>
        </w:rPr>
        <w:t xml:space="preserve">רשב"א </w:t>
      </w:r>
      <w:r w:rsidRPr="0009073A">
        <w:rPr>
          <w:rFonts w:cs="Arial" w:hint="cs"/>
          <w:sz w:val="16"/>
          <w:szCs w:val="16"/>
          <w:rtl/>
        </w:rPr>
        <w:t>(</w:t>
      </w:r>
      <w:r w:rsidRPr="0009073A">
        <w:rPr>
          <w:rFonts w:cs="Arial"/>
          <w:sz w:val="16"/>
          <w:szCs w:val="16"/>
          <w:rtl/>
        </w:rPr>
        <w:t>ח"א סי</w:t>
      </w:r>
      <w:r w:rsidRPr="0009073A">
        <w:rPr>
          <w:rFonts w:cs="Arial" w:hint="cs"/>
          <w:sz w:val="16"/>
          <w:szCs w:val="16"/>
          <w:rtl/>
        </w:rPr>
        <w:t>'</w:t>
      </w:r>
      <w:r w:rsidRPr="0009073A">
        <w:rPr>
          <w:rFonts w:cs="Arial"/>
          <w:sz w:val="16"/>
          <w:szCs w:val="16"/>
          <w:rtl/>
        </w:rPr>
        <w:t xml:space="preserve"> תתקכג</w:t>
      </w:r>
      <w:r w:rsidRPr="0009073A">
        <w:rPr>
          <w:rFonts w:cs="Arial" w:hint="cs"/>
          <w:sz w:val="16"/>
          <w:szCs w:val="16"/>
          <w:rtl/>
        </w:rPr>
        <w:t>)</w:t>
      </w:r>
      <w:r w:rsidR="0009073A">
        <w:rPr>
          <w:rFonts w:cs="Arial" w:hint="cs"/>
          <w:rtl/>
        </w:rPr>
        <w:t xml:space="preserve">- </w:t>
      </w:r>
      <w:r w:rsidR="0009073A" w:rsidRPr="0009073A">
        <w:rPr>
          <w:rFonts w:cs="Arial"/>
          <w:rtl/>
        </w:rPr>
        <w:t>שאלת</w:t>
      </w:r>
      <w:r w:rsidR="0009073A">
        <w:rPr>
          <w:rFonts w:cs="Arial" w:hint="cs"/>
          <w:rtl/>
        </w:rPr>
        <w:t>:</w:t>
      </w:r>
      <w:r w:rsidR="0009073A" w:rsidRPr="0009073A">
        <w:rPr>
          <w:rFonts w:cs="Arial"/>
          <w:rtl/>
        </w:rPr>
        <w:t xml:space="preserve"> אם נותנין לאלמנה הנזונת מנכסי בעלה שנים או שלש שפחות ומזונותיהן כדרך שהיתה משתמשת בחיי בעלה או נותנין לה שפחה אחת בלבד לשמשה? </w:t>
      </w:r>
      <w:r w:rsidR="0009073A">
        <w:rPr>
          <w:rFonts w:cs="Arial" w:hint="cs"/>
          <w:rtl/>
        </w:rPr>
        <w:t xml:space="preserve">    </w:t>
      </w:r>
      <w:r w:rsidR="00B64BE5">
        <w:rPr>
          <w:rFonts w:cs="Arial" w:hint="cs"/>
          <w:rtl/>
        </w:rPr>
        <w:t xml:space="preserve"> </w:t>
      </w:r>
      <w:r w:rsidR="0009073A" w:rsidRPr="0009073A">
        <w:rPr>
          <w:rFonts w:cs="Arial"/>
          <w:rtl/>
        </w:rPr>
        <w:t>תשובה</w:t>
      </w:r>
      <w:r w:rsidR="0009073A">
        <w:rPr>
          <w:rFonts w:cs="Arial" w:hint="cs"/>
          <w:rtl/>
        </w:rPr>
        <w:t>:</w:t>
      </w:r>
      <w:r w:rsidR="0009073A" w:rsidRPr="0009073A">
        <w:rPr>
          <w:rFonts w:cs="Arial"/>
          <w:rtl/>
        </w:rPr>
        <w:t xml:space="preserve"> אם בנות המשפחה רגילות בשתים ובשלש נותנין גם לאלמנה כן לפי שאינה יורדת עמו. אבל אם היא ומשפחתה אינן רגילות בכך אע</w:t>
      </w:r>
      <w:r w:rsidR="0009073A">
        <w:rPr>
          <w:rFonts w:cs="Arial" w:hint="cs"/>
          <w:rtl/>
        </w:rPr>
        <w:t>"</w:t>
      </w:r>
      <w:r w:rsidR="0009073A" w:rsidRPr="0009073A">
        <w:rPr>
          <w:rFonts w:cs="Arial"/>
          <w:rtl/>
        </w:rPr>
        <w:t>פ שהיו לה שתים ושלש בחיי בעלה משתמשות בבית בעלה אין נותנין לה אלא אחת שאינה משתמש' בכל מה שהיתה משתמשת בבית בעלה בחיי בעלה. שכך שנינו בפרק הנושא את האשה (קג</w:t>
      </w:r>
      <w:r w:rsidR="0009073A">
        <w:rPr>
          <w:rFonts w:cs="Arial" w:hint="cs"/>
          <w:rtl/>
        </w:rPr>
        <w:t>.</w:t>
      </w:r>
      <w:r w:rsidR="0009073A" w:rsidRPr="0009073A">
        <w:rPr>
          <w:rFonts w:cs="Arial"/>
          <w:rtl/>
        </w:rPr>
        <w:t>) אלמנה שאמרה אי אפשי לזוז מבית בעלי אין היורשין יכולין לומר לכי לבית אביך ואנו זנין אותך. אלא זנין אותה ונותנין לה מדור לפי כבודה. אלמא אינה יכולה לומר אני משתמשת בכל הבתים כדרך שהייתי משתמשת בחיי בעלי. ומיהא נמי שמעינן למה ששנינו שם בגמרא בכתובות משתמשת במדור כדרך שמשתמשת בחיי בעלה בכרים וכסתות כדרך שהיתה משתמשת בחיי בעלה. שאין משתמשת בכל המדורות ובכל הכרי' וכסתות בכל כלי כסף וזהב שהיתה משתמשת בהם בחייו</w:t>
      </w:r>
      <w:r w:rsidR="0009073A">
        <w:rPr>
          <w:rFonts w:cs="Arial" w:hint="cs"/>
          <w:rtl/>
        </w:rPr>
        <w:t>,</w:t>
      </w:r>
      <w:r w:rsidR="0009073A" w:rsidRPr="0009073A">
        <w:rPr>
          <w:rFonts w:cs="Arial"/>
          <w:rtl/>
        </w:rPr>
        <w:t xml:space="preserve"> אלא מייחדין לה מקצת להשתמש בהם. וכל שכן הוא בשפחות דבחיי בעלה הוו נפישי אורחי ופרחי. אבל לאחר מיתה לאו לפום ארחי ופרחי מיתו לה שפחות כדאיתא בפרק אף על פי (פא</w:t>
      </w:r>
      <w:r w:rsidR="0009073A">
        <w:rPr>
          <w:rFonts w:cs="Arial" w:hint="cs"/>
          <w:rtl/>
        </w:rPr>
        <w:t>.</w:t>
      </w:r>
      <w:r w:rsidR="0009073A" w:rsidRPr="0009073A">
        <w:rPr>
          <w:rFonts w:cs="Arial"/>
          <w:rtl/>
        </w:rPr>
        <w:t xml:space="preserve">). </w:t>
      </w:r>
    </w:p>
    <w:p w14:paraId="1BC8DE12" w14:textId="1BF4C0D0" w:rsidR="00B64BE5" w:rsidRPr="00106848" w:rsidRDefault="00B64BE5" w:rsidP="00B64BE5">
      <w:pPr>
        <w:ind w:left="360"/>
        <w:rPr>
          <w:rFonts w:cs="Arial"/>
          <w:u w:val="dotted"/>
        </w:rPr>
      </w:pPr>
      <w:r w:rsidRPr="00106848">
        <w:rPr>
          <w:rFonts w:cs="Arial" w:hint="cs"/>
          <w:u w:val="dotted"/>
          <w:rtl/>
        </w:rPr>
        <w:t xml:space="preserve">האם צריך לייחד לה </w:t>
      </w:r>
      <w:r w:rsidR="00B933B0">
        <w:rPr>
          <w:rFonts w:cs="Arial" w:hint="cs"/>
          <w:u w:val="dotted"/>
          <w:rtl/>
        </w:rPr>
        <w:t>מדור</w:t>
      </w:r>
      <w:r w:rsidRPr="00106848">
        <w:rPr>
          <w:rFonts w:cs="Arial" w:hint="cs"/>
          <w:u w:val="dotted"/>
          <w:rtl/>
        </w:rPr>
        <w:t xml:space="preserve"> שיהיה רק לה</w:t>
      </w:r>
      <w:r w:rsidR="00106848" w:rsidRPr="00106848">
        <w:rPr>
          <w:rFonts w:cs="Arial" w:hint="cs"/>
          <w:u w:val="dotted"/>
          <w:rtl/>
        </w:rPr>
        <w:t>:</w:t>
      </w:r>
    </w:p>
    <w:p w14:paraId="1D531352" w14:textId="6BBB8F89" w:rsidR="00114B8B" w:rsidRPr="00AF5117" w:rsidRDefault="00106848" w:rsidP="009000E3">
      <w:pPr>
        <w:pStyle w:val="ab"/>
        <w:numPr>
          <w:ilvl w:val="0"/>
          <w:numId w:val="61"/>
        </w:numPr>
        <w:rPr>
          <w:rFonts w:cs="Arial"/>
          <w:rtl/>
        </w:rPr>
      </w:pPr>
      <w:r>
        <w:rPr>
          <w:rFonts w:cs="Arial" w:hint="cs"/>
          <w:rtl/>
        </w:rPr>
        <w:t>רשב"א</w:t>
      </w:r>
      <w:r w:rsidRPr="00106848">
        <w:rPr>
          <w:rFonts w:cs="Arial" w:hint="cs"/>
          <w:sz w:val="16"/>
          <w:szCs w:val="16"/>
          <w:rtl/>
        </w:rPr>
        <w:t xml:space="preserve"> (</w:t>
      </w:r>
      <w:r w:rsidR="004D2BAD" w:rsidRPr="00106848">
        <w:rPr>
          <w:rFonts w:cs="Arial" w:hint="cs"/>
          <w:sz w:val="16"/>
          <w:szCs w:val="16"/>
          <w:rtl/>
        </w:rPr>
        <w:t xml:space="preserve">כ"כ בשמו הה"מ </w:t>
      </w:r>
      <w:r w:rsidRPr="00106848">
        <w:rPr>
          <w:rFonts w:cs="Arial" w:hint="cs"/>
          <w:sz w:val="16"/>
          <w:szCs w:val="16"/>
          <w:rtl/>
        </w:rPr>
        <w:t>[</w:t>
      </w:r>
      <w:r w:rsidR="004D2BAD" w:rsidRPr="00106848">
        <w:rPr>
          <w:rFonts w:cs="Arial"/>
          <w:sz w:val="16"/>
          <w:szCs w:val="16"/>
          <w:rtl/>
        </w:rPr>
        <w:t>פי"ח מאישות ה"ב</w:t>
      </w:r>
      <w:r w:rsidRPr="00106848">
        <w:rPr>
          <w:rFonts w:cs="Arial" w:hint="cs"/>
          <w:sz w:val="16"/>
          <w:szCs w:val="16"/>
          <w:rtl/>
        </w:rPr>
        <w:t>]</w:t>
      </w:r>
      <w:r w:rsidR="004D2BAD" w:rsidRPr="00106848">
        <w:rPr>
          <w:rFonts w:cs="Arial" w:hint="cs"/>
          <w:sz w:val="16"/>
          <w:szCs w:val="16"/>
          <w:rtl/>
        </w:rPr>
        <w:t xml:space="preserve"> והר"ן </w:t>
      </w:r>
      <w:r w:rsidRPr="00106848">
        <w:rPr>
          <w:rFonts w:cs="Arial" w:hint="cs"/>
          <w:sz w:val="16"/>
          <w:szCs w:val="16"/>
          <w:rtl/>
        </w:rPr>
        <w:t>[</w:t>
      </w:r>
      <w:r w:rsidR="004D2BAD" w:rsidRPr="00106848">
        <w:rPr>
          <w:rFonts w:cs="Arial" w:hint="cs"/>
          <w:sz w:val="16"/>
          <w:szCs w:val="16"/>
          <w:rtl/>
        </w:rPr>
        <w:t>כ:</w:t>
      </w:r>
      <w:r w:rsidRPr="00106848">
        <w:rPr>
          <w:rFonts w:cs="Arial" w:hint="cs"/>
          <w:sz w:val="16"/>
          <w:szCs w:val="16"/>
          <w:rtl/>
        </w:rPr>
        <w:t>]</w:t>
      </w:r>
      <w:r w:rsidR="004D2BAD" w:rsidRPr="00106848">
        <w:rPr>
          <w:rFonts w:cs="Arial" w:hint="cs"/>
          <w:sz w:val="16"/>
          <w:szCs w:val="16"/>
          <w:rtl/>
        </w:rPr>
        <w:t>)</w:t>
      </w:r>
      <w:r w:rsidR="004D2BAD" w:rsidRPr="004D2BAD">
        <w:rPr>
          <w:rFonts w:cs="Arial" w:hint="cs"/>
          <w:rtl/>
        </w:rPr>
        <w:t xml:space="preserve">- </w:t>
      </w:r>
      <w:r w:rsidR="00114B8B" w:rsidRPr="004D2BAD">
        <w:rPr>
          <w:rFonts w:cs="Arial"/>
          <w:rtl/>
        </w:rPr>
        <w:t>נ"ל ממתני' דאין משתמשת בכל הבתים עם היורשים</w:t>
      </w:r>
      <w:r w:rsidR="0095647C" w:rsidRPr="004D2BAD">
        <w:rPr>
          <w:rFonts w:cs="Arial" w:hint="cs"/>
          <w:rtl/>
        </w:rPr>
        <w:t>,</w:t>
      </w:r>
      <w:r w:rsidR="00114B8B" w:rsidRPr="004D2BAD">
        <w:rPr>
          <w:rFonts w:cs="Arial"/>
          <w:rtl/>
        </w:rPr>
        <w:t xml:space="preserve"> אלא מיחדין לה מדור אחד לפי כבודה בבית בעלה</w:t>
      </w:r>
      <w:r w:rsidR="006F1E49" w:rsidRPr="004D2BAD">
        <w:rPr>
          <w:rFonts w:cs="Arial" w:hint="cs"/>
          <w:rtl/>
        </w:rPr>
        <w:t>,</w:t>
      </w:r>
      <w:r w:rsidR="00114B8B" w:rsidRPr="004D2BAD">
        <w:rPr>
          <w:rFonts w:cs="Arial"/>
          <w:rtl/>
        </w:rPr>
        <w:t xml:space="preserve"> דאל</w:t>
      </w:r>
      <w:r w:rsidR="00A116D6" w:rsidRPr="004D2BAD">
        <w:rPr>
          <w:rFonts w:cs="Arial" w:hint="cs"/>
          <w:rtl/>
        </w:rPr>
        <w:t>"</w:t>
      </w:r>
      <w:r w:rsidR="00114B8B" w:rsidRPr="004D2BAD">
        <w:rPr>
          <w:rFonts w:cs="Arial"/>
          <w:rtl/>
        </w:rPr>
        <w:t>כ מאי קאמר נותנין לה מדור לפי כבודה הא במדור כולו היא משתמשת</w:t>
      </w:r>
      <w:r w:rsidR="00A116D6" w:rsidRPr="004D2BAD">
        <w:rPr>
          <w:rFonts w:cs="Arial" w:hint="cs"/>
          <w:rtl/>
        </w:rPr>
        <w:t>.</w:t>
      </w:r>
      <w:r w:rsidR="00114B8B" w:rsidRPr="004D2BAD">
        <w:rPr>
          <w:rFonts w:cs="Arial"/>
          <w:rtl/>
        </w:rPr>
        <w:t xml:space="preserve"> והא דתניא משתמשת וכו' לאפוקי שאין יכולין לדחותה מן המדור ולהשכיר לה אחר</w:t>
      </w:r>
      <w:r w:rsidR="00AF5117">
        <w:rPr>
          <w:rStyle w:val="a7"/>
          <w:rFonts w:cs="Arial"/>
          <w:rtl/>
        </w:rPr>
        <w:footnoteReference w:id="1672"/>
      </w:r>
      <w:r w:rsidR="004D2BAD" w:rsidRPr="004D2BAD">
        <w:rPr>
          <w:rFonts w:cs="Arial" w:hint="cs"/>
          <w:rtl/>
        </w:rPr>
        <w:t>.</w:t>
      </w:r>
      <w:r w:rsidR="00F003E8" w:rsidRPr="00AF5117">
        <w:rPr>
          <w:rFonts w:cs="Arial" w:hint="cs"/>
          <w:rtl/>
        </w:rPr>
        <w:t xml:space="preserve"> </w:t>
      </w:r>
      <w:r w:rsidR="00114B8B" w:rsidRPr="00AF5117">
        <w:rPr>
          <w:rFonts w:cs="Arial"/>
          <w:rtl/>
        </w:rPr>
        <w:t xml:space="preserve">  </w:t>
      </w:r>
    </w:p>
    <w:p w14:paraId="6F7405E6"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85A06CF" w14:textId="5C95B18B" w:rsidR="00392DBB" w:rsidRDefault="00392DBB" w:rsidP="00392DBB">
      <w:pPr>
        <w:rPr>
          <w:rtl/>
        </w:rPr>
      </w:pPr>
      <w:r>
        <w:rPr>
          <w:rFonts w:cs="Arial"/>
          <w:rtl/>
        </w:rPr>
        <w:t xml:space="preserve">כדרך שניזונת אלמנתו מנכסיו, כך נותנין לה כסות וכלי תשמיש ומדור, או יושבת במדור שהיתה בו בחיי בעלה. </w:t>
      </w:r>
      <w:r w:rsidRPr="007B1885">
        <w:rPr>
          <w:rFonts w:cs="Arial"/>
          <w:sz w:val="18"/>
          <w:szCs w:val="18"/>
          <w:rtl/>
        </w:rPr>
        <w:t>הגה: ואינה משמשת בכל הבית עם היורשים, רק נותנין לה מדור מיוחד לפי כבודה</w:t>
      </w:r>
      <w:r w:rsidR="00AF5117">
        <w:rPr>
          <w:rFonts w:cs="Arial" w:hint="cs"/>
          <w:sz w:val="18"/>
          <w:szCs w:val="18"/>
          <w:rtl/>
        </w:rPr>
        <w:t>,</w:t>
      </w:r>
      <w:r w:rsidRPr="007B1885">
        <w:rPr>
          <w:rFonts w:cs="Arial"/>
          <w:sz w:val="18"/>
          <w:szCs w:val="18"/>
          <w:rtl/>
        </w:rPr>
        <w:t xml:space="preserve"> בבית (</w:t>
      </w:r>
      <w:r w:rsidR="00B933B0">
        <w:rPr>
          <w:rFonts w:cs="Arial" w:hint="cs"/>
          <w:sz w:val="18"/>
          <w:szCs w:val="18"/>
          <w:rtl/>
        </w:rPr>
        <w:t>הה"מ ו</w:t>
      </w:r>
      <w:r w:rsidRPr="007B1885">
        <w:rPr>
          <w:rFonts w:cs="Arial"/>
          <w:sz w:val="18"/>
          <w:szCs w:val="18"/>
          <w:rtl/>
        </w:rPr>
        <w:t xml:space="preserve">ר"ן </w:t>
      </w:r>
      <w:r w:rsidR="00B933B0">
        <w:rPr>
          <w:rFonts w:cs="Arial" w:hint="cs"/>
          <w:sz w:val="18"/>
          <w:szCs w:val="18"/>
          <w:rtl/>
        </w:rPr>
        <w:t>בשם הרשב"א</w:t>
      </w:r>
      <w:r w:rsidRPr="007B1885">
        <w:rPr>
          <w:rFonts w:cs="Arial"/>
          <w:sz w:val="18"/>
          <w:szCs w:val="18"/>
          <w:rtl/>
        </w:rPr>
        <w:t>)</w:t>
      </w:r>
      <w:r w:rsidR="00B933B0">
        <w:rPr>
          <w:rFonts w:cs="Arial" w:hint="cs"/>
          <w:sz w:val="18"/>
          <w:szCs w:val="18"/>
          <w:rtl/>
        </w:rPr>
        <w:t>.</w:t>
      </w:r>
      <w:r w:rsidRPr="007B1885">
        <w:rPr>
          <w:rFonts w:cs="Arial"/>
          <w:sz w:val="18"/>
          <w:szCs w:val="18"/>
          <w:rtl/>
        </w:rPr>
        <w:t xml:space="preserve"> וי"א דיכולין ליתן לה מדור הראוי לה בבית אחר (מרדכי). ואין האלמנה יכולה להשכיר מדור שלה לאחרים (רשב"א ור"ן). </w:t>
      </w:r>
      <w:r>
        <w:rPr>
          <w:rFonts w:cs="Arial"/>
          <w:rtl/>
        </w:rPr>
        <w:t xml:space="preserve">ומשתמשת בכרים ובכסתות בעבדים ושפחות שנשתמשה בהם בחיי בעלה </w:t>
      </w:r>
      <w:r w:rsidR="00B933B0">
        <w:rPr>
          <w:rFonts w:cs="Arial" w:hint="cs"/>
          <w:sz w:val="18"/>
          <w:szCs w:val="18"/>
          <w:rtl/>
        </w:rPr>
        <w:t xml:space="preserve">[הגה] </w:t>
      </w:r>
      <w:r w:rsidRPr="007B1885">
        <w:rPr>
          <w:rFonts w:cs="Arial"/>
          <w:sz w:val="18"/>
          <w:szCs w:val="18"/>
          <w:rtl/>
        </w:rPr>
        <w:t>כשהיה בעלה במדינת הים (</w:t>
      </w:r>
      <w:r w:rsidR="00B933B0">
        <w:rPr>
          <w:rFonts w:cs="Arial" w:hint="cs"/>
          <w:sz w:val="18"/>
          <w:szCs w:val="18"/>
          <w:rtl/>
        </w:rPr>
        <w:t>ירושלמי</w:t>
      </w:r>
      <w:r w:rsidRPr="007B1885">
        <w:rPr>
          <w:rFonts w:cs="Arial"/>
          <w:sz w:val="18"/>
          <w:szCs w:val="18"/>
          <w:rtl/>
        </w:rPr>
        <w:t xml:space="preserve">). </w:t>
      </w:r>
    </w:p>
    <w:p w14:paraId="21FFFFAC" w14:textId="77777777" w:rsidR="007B1885" w:rsidRDefault="007B1885" w:rsidP="00392DBB">
      <w:pPr>
        <w:rPr>
          <w:rtl/>
        </w:rPr>
      </w:pPr>
    </w:p>
    <w:p w14:paraId="30C433C7" w14:textId="07365CD5" w:rsidR="00392DBB" w:rsidRDefault="00392DBB" w:rsidP="000F64D0">
      <w:pPr>
        <w:pStyle w:val="2"/>
        <w:rPr>
          <w:rtl/>
        </w:rPr>
      </w:pPr>
      <w:r>
        <w:rPr>
          <w:rtl/>
        </w:rPr>
        <w:lastRenderedPageBreak/>
        <w:t>סעיף ב</w:t>
      </w:r>
      <w:r w:rsidR="006547DB">
        <w:rPr>
          <w:rFonts w:hint="cs"/>
          <w:rtl/>
        </w:rPr>
        <w:t>:</w:t>
      </w:r>
      <w:r w:rsidR="00AD4CD0">
        <w:rPr>
          <w:rFonts w:hint="cs"/>
          <w:rtl/>
        </w:rPr>
        <w:t xml:space="preserve"> נפל המדור. אלמנה שרוצה לשפץ את המדור.</w:t>
      </w:r>
    </w:p>
    <w:p w14:paraId="5C827222" w14:textId="77777777" w:rsidR="005763E2" w:rsidRPr="005763E2" w:rsidRDefault="005763E2" w:rsidP="005763E2">
      <w:pPr>
        <w:rPr>
          <w:rFonts w:cs="Arial"/>
          <w:rtl/>
        </w:rPr>
      </w:pPr>
      <w:r w:rsidRPr="00270CBD">
        <w:rPr>
          <w:rFonts w:cs="Arial"/>
          <w:b/>
          <w:bCs/>
          <w:rtl/>
        </w:rPr>
        <w:t xml:space="preserve">כתובות </w:t>
      </w:r>
      <w:r w:rsidRPr="00270CBD">
        <w:rPr>
          <w:rFonts w:cs="Arial" w:hint="cs"/>
          <w:b/>
          <w:bCs/>
          <w:sz w:val="16"/>
          <w:szCs w:val="16"/>
          <w:rtl/>
        </w:rPr>
        <w:t>(פ' הנושא)</w:t>
      </w:r>
      <w:r w:rsidRPr="00270CBD">
        <w:rPr>
          <w:rFonts w:cs="Arial" w:hint="cs"/>
          <w:b/>
          <w:bCs/>
          <w:rtl/>
        </w:rPr>
        <w:t xml:space="preserve"> </w:t>
      </w:r>
      <w:r w:rsidRPr="00270CBD">
        <w:rPr>
          <w:rFonts w:cs="Arial"/>
          <w:b/>
          <w:bCs/>
          <w:rtl/>
        </w:rPr>
        <w:t>קג</w:t>
      </w:r>
      <w:r w:rsidRPr="00270CBD">
        <w:rPr>
          <w:rFonts w:cs="Arial" w:hint="cs"/>
          <w:b/>
          <w:bCs/>
          <w:rtl/>
        </w:rPr>
        <w:t xml:space="preserve"> ע"א:</w:t>
      </w:r>
      <w:r w:rsidRPr="006F1E49">
        <w:rPr>
          <w:rtl/>
        </w:rPr>
        <w:t xml:space="preserve"> </w:t>
      </w:r>
      <w:r w:rsidRPr="00563B5A">
        <w:rPr>
          <w:rFonts w:cs="Arial"/>
          <w:u w:val="single"/>
          <w:rtl/>
        </w:rPr>
        <w:t>אמר אביי</w:t>
      </w:r>
      <w:r>
        <w:rPr>
          <w:rFonts w:cs="Arial" w:hint="cs"/>
          <w:rtl/>
        </w:rPr>
        <w:t>:</w:t>
      </w:r>
      <w:r w:rsidRPr="00563B5A">
        <w:rPr>
          <w:rFonts w:cs="Arial"/>
          <w:rtl/>
        </w:rPr>
        <w:t xml:space="preserve"> נקיטינן: מדור אלמנה שנפל - אין היורשין חייבין לבנותו. תניא נמי הכי: מדור אלמנה שנפל - אין היורשין חייבין לבנותו</w:t>
      </w:r>
      <w:r>
        <w:rPr>
          <w:rFonts w:cs="Arial" w:hint="cs"/>
          <w:rtl/>
        </w:rPr>
        <w:t>.</w:t>
      </w:r>
      <w:r w:rsidRPr="00563B5A">
        <w:rPr>
          <w:rFonts w:cs="Arial"/>
          <w:rtl/>
        </w:rPr>
        <w:t xml:space="preserve"> ולא עוד, אלא אפילו היא אומרת הניחוני ואבננו משלי - אין שומעין לה. </w:t>
      </w:r>
      <w:r w:rsidRPr="00563B5A">
        <w:rPr>
          <w:rFonts w:cs="Arial"/>
          <w:u w:val="single"/>
          <w:rtl/>
        </w:rPr>
        <w:t>בעי אביי</w:t>
      </w:r>
      <w:r w:rsidRPr="00563B5A">
        <w:rPr>
          <w:rFonts w:cs="Arial"/>
          <w:rtl/>
        </w:rPr>
        <w:t>: שיפצה</w:t>
      </w:r>
      <w:r>
        <w:rPr>
          <w:rStyle w:val="a7"/>
          <w:rFonts w:cs="Arial"/>
          <w:rtl/>
        </w:rPr>
        <w:footnoteReference w:id="1673"/>
      </w:r>
      <w:r w:rsidRPr="00563B5A">
        <w:rPr>
          <w:rFonts w:cs="Arial"/>
          <w:rtl/>
        </w:rPr>
        <w:t>, מאי? תיקו</w:t>
      </w:r>
      <w:r>
        <w:rPr>
          <w:rFonts w:cs="Arial" w:hint="cs"/>
          <w:rtl/>
        </w:rPr>
        <w:t>.</w:t>
      </w:r>
    </w:p>
    <w:p w14:paraId="6520B21F" w14:textId="5AFA2776" w:rsidR="00AD4CD0" w:rsidRPr="00AD4CD0" w:rsidRDefault="00AD4CD0" w:rsidP="00AD4CD0">
      <w:pPr>
        <w:rPr>
          <w:u w:val="single"/>
        </w:rPr>
      </w:pPr>
      <w:r w:rsidRPr="00AD4CD0">
        <w:rPr>
          <w:rFonts w:hint="cs"/>
          <w:u w:val="single"/>
          <w:rtl/>
        </w:rPr>
        <w:t>נפל המדור, וכן אלמנה שרוצה לשפץ את המדור:</w:t>
      </w:r>
    </w:p>
    <w:p w14:paraId="63891231" w14:textId="5E1BEFAA" w:rsidR="00835288" w:rsidRPr="00835288" w:rsidRDefault="00835288" w:rsidP="009000E3">
      <w:pPr>
        <w:pStyle w:val="ab"/>
        <w:numPr>
          <w:ilvl w:val="0"/>
          <w:numId w:val="61"/>
        </w:numPr>
      </w:pPr>
      <w:r>
        <w:rPr>
          <w:rFonts w:hint="cs"/>
          <w:rtl/>
        </w:rPr>
        <w:t>טור-</w:t>
      </w:r>
      <w:r>
        <w:rPr>
          <w:rFonts w:cs="Arial" w:hint="cs"/>
          <w:rtl/>
        </w:rPr>
        <w:t xml:space="preserve"> </w:t>
      </w:r>
      <w:r w:rsidRPr="00DA71B9">
        <w:rPr>
          <w:rFonts w:cs="Arial"/>
          <w:rtl/>
        </w:rPr>
        <w:t>אם נפל אין חייבין לחזור ולבנותו</w:t>
      </w:r>
      <w:r w:rsidR="005763E2">
        <w:rPr>
          <w:rFonts w:cs="Arial" w:hint="cs"/>
          <w:rtl/>
        </w:rPr>
        <w:t>.</w:t>
      </w:r>
      <w:r w:rsidRPr="00DA71B9">
        <w:rPr>
          <w:rFonts w:cs="Arial"/>
          <w:rtl/>
        </w:rPr>
        <w:t xml:space="preserve"> ולא עוד אלא אפילו תאמר אני אחזקנו ואבננו משלי כדי שלא יפול </w:t>
      </w:r>
      <w:r w:rsidR="005763E2">
        <w:rPr>
          <w:rFonts w:cs="Arial" w:hint="cs"/>
          <w:rtl/>
        </w:rPr>
        <w:t xml:space="preserve">- </w:t>
      </w:r>
      <w:r w:rsidRPr="00DA71B9">
        <w:rPr>
          <w:rFonts w:cs="Arial"/>
          <w:rtl/>
        </w:rPr>
        <w:t>אין שומעין לה אלא תדור בו כל זמן שהוא קיים</w:t>
      </w:r>
      <w:r>
        <w:rPr>
          <w:rFonts w:cs="Arial" w:hint="cs"/>
          <w:rtl/>
        </w:rPr>
        <w:t>.</w:t>
      </w:r>
      <w:r w:rsidRPr="00DA71B9">
        <w:rPr>
          <w:rFonts w:cs="Arial"/>
          <w:rtl/>
        </w:rPr>
        <w:t xml:space="preserve"> </w:t>
      </w:r>
      <w:r w:rsidR="00E80258" w:rsidRPr="009C33F7">
        <w:rPr>
          <w:rFonts w:cs="Arial" w:hint="cs"/>
          <w:color w:val="E36C0A" w:themeColor="accent6" w:themeShade="BF"/>
          <w:rtl/>
        </w:rPr>
        <w:t>(וכ"פ בשו"ע)</w:t>
      </w:r>
    </w:p>
    <w:p w14:paraId="51134097"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2032771" w14:textId="2EC06440" w:rsidR="00392DBB" w:rsidRDefault="00392DBB" w:rsidP="00392DBB">
      <w:pPr>
        <w:rPr>
          <w:rtl/>
        </w:rPr>
      </w:pPr>
      <w:r>
        <w:rPr>
          <w:rFonts w:cs="Arial"/>
          <w:rtl/>
        </w:rPr>
        <w:t>נפל המדור, אין היורשין חייבין לבנותו. ואם אמרה: הניחו לי ואני אבננו משלי, אין שומעין לה</w:t>
      </w:r>
      <w:r w:rsidR="00E80258">
        <w:rPr>
          <w:rFonts w:cs="Arial" w:hint="cs"/>
          <w:rtl/>
        </w:rPr>
        <w:t>.</w:t>
      </w:r>
      <w:r>
        <w:rPr>
          <w:rFonts w:cs="Arial"/>
          <w:rtl/>
        </w:rPr>
        <w:t xml:space="preserve"> וכן לא תחזק בדקו ולא תטחה אותו, אלא תשב בו כמו שהוא</w:t>
      </w:r>
      <w:r w:rsidR="00E80258">
        <w:rPr>
          <w:rFonts w:cs="Arial" w:hint="cs"/>
          <w:rtl/>
        </w:rPr>
        <w:t>,</w:t>
      </w:r>
      <w:r>
        <w:rPr>
          <w:rFonts w:cs="Arial"/>
          <w:rtl/>
        </w:rPr>
        <w:t xml:space="preserve"> או תצא. </w:t>
      </w:r>
    </w:p>
    <w:p w14:paraId="401A13DF" w14:textId="77777777" w:rsidR="0029634B" w:rsidRDefault="0029634B" w:rsidP="00392DBB">
      <w:pPr>
        <w:rPr>
          <w:rtl/>
        </w:rPr>
      </w:pPr>
    </w:p>
    <w:p w14:paraId="7E0D0532" w14:textId="57F10C22" w:rsidR="00392DBB" w:rsidRDefault="00392DBB" w:rsidP="000F64D0">
      <w:pPr>
        <w:pStyle w:val="2"/>
        <w:rPr>
          <w:rtl/>
        </w:rPr>
      </w:pPr>
      <w:r>
        <w:rPr>
          <w:rtl/>
        </w:rPr>
        <w:t>סעיף ג</w:t>
      </w:r>
      <w:r w:rsidR="00E80258">
        <w:rPr>
          <w:rFonts w:hint="cs"/>
          <w:rtl/>
        </w:rPr>
        <w:t>: נפל המדור ובנאוהו היורשין.</w:t>
      </w:r>
    </w:p>
    <w:p w14:paraId="517CF372" w14:textId="5C827E72" w:rsidR="00E80258" w:rsidRPr="00E80258" w:rsidRDefault="00E80258" w:rsidP="00E80258">
      <w:pPr>
        <w:rPr>
          <w:u w:val="single"/>
          <w:rtl/>
        </w:rPr>
      </w:pPr>
      <w:r w:rsidRPr="00E80258">
        <w:rPr>
          <w:rFonts w:hint="cs"/>
          <w:u w:val="single"/>
          <w:rtl/>
        </w:rPr>
        <w:t>נפל המדור ובנאוהו היורשין:</w:t>
      </w:r>
    </w:p>
    <w:p w14:paraId="36A5315D" w14:textId="2AB4045B" w:rsidR="00B63502" w:rsidRDefault="00E80258" w:rsidP="009000E3">
      <w:pPr>
        <w:pStyle w:val="ab"/>
        <w:numPr>
          <w:ilvl w:val="0"/>
          <w:numId w:val="61"/>
        </w:numPr>
        <w:rPr>
          <w:rFonts w:cs="Arial"/>
        </w:rPr>
      </w:pPr>
      <w:r w:rsidRPr="00B63502">
        <w:rPr>
          <w:rFonts w:cs="Arial" w:hint="cs"/>
          <w:rtl/>
        </w:rPr>
        <w:t>רשב"א</w:t>
      </w:r>
      <w:r w:rsidRPr="00B63502">
        <w:rPr>
          <w:rFonts w:cs="Arial" w:hint="cs"/>
          <w:sz w:val="16"/>
          <w:szCs w:val="16"/>
          <w:rtl/>
        </w:rPr>
        <w:t xml:space="preserve"> (כ"כ בשמו הה"מ [</w:t>
      </w:r>
      <w:r w:rsidRPr="00B63502">
        <w:rPr>
          <w:rFonts w:cs="Arial"/>
          <w:sz w:val="16"/>
          <w:szCs w:val="16"/>
          <w:rtl/>
        </w:rPr>
        <w:t>פי"ח מאישות ה"ב</w:t>
      </w:r>
      <w:r w:rsidRPr="00B63502">
        <w:rPr>
          <w:rFonts w:cs="Arial" w:hint="cs"/>
          <w:sz w:val="16"/>
          <w:szCs w:val="16"/>
          <w:rtl/>
        </w:rPr>
        <w:t>]</w:t>
      </w:r>
      <w:r w:rsidR="00B63502" w:rsidRPr="00B63502">
        <w:rPr>
          <w:rFonts w:cs="Arial" w:hint="cs"/>
          <w:sz w:val="16"/>
          <w:szCs w:val="16"/>
          <w:rtl/>
        </w:rPr>
        <w:t xml:space="preserve"> והר"ן [כ:]</w:t>
      </w:r>
      <w:r w:rsidRPr="00B63502">
        <w:rPr>
          <w:rFonts w:cs="Arial" w:hint="cs"/>
          <w:sz w:val="16"/>
          <w:szCs w:val="16"/>
          <w:rtl/>
        </w:rPr>
        <w:t>)</w:t>
      </w:r>
      <w:r w:rsidRPr="00B63502">
        <w:rPr>
          <w:rFonts w:cs="Arial" w:hint="cs"/>
          <w:rtl/>
        </w:rPr>
        <w:t>-</w:t>
      </w:r>
      <w:r w:rsidR="006547DB" w:rsidRPr="00B63502">
        <w:rPr>
          <w:rFonts w:cs="Arial"/>
          <w:rtl/>
        </w:rPr>
        <w:t xml:space="preserve"> הא דאין חייבין לבנותו לאו למימרא שאין חייבים לבנותו אבל אם בנאוהו שתהא היא דרה בו</w:t>
      </w:r>
      <w:r w:rsidR="00B63502" w:rsidRPr="00B63502">
        <w:rPr>
          <w:rFonts w:cs="Arial" w:hint="cs"/>
          <w:rtl/>
        </w:rPr>
        <w:t>,</w:t>
      </w:r>
      <w:r w:rsidR="006547DB" w:rsidRPr="00B63502">
        <w:rPr>
          <w:rFonts w:cs="Arial"/>
          <w:rtl/>
        </w:rPr>
        <w:t xml:space="preserve"> אלא מכיון שנפל נסתלק זכותה ממנו</w:t>
      </w:r>
      <w:r w:rsidR="006547DB">
        <w:rPr>
          <w:rStyle w:val="a7"/>
          <w:rFonts w:cs="Arial"/>
          <w:rtl/>
        </w:rPr>
        <w:footnoteReference w:id="1674"/>
      </w:r>
      <w:r w:rsidRPr="00B63502">
        <w:rPr>
          <w:rFonts w:cs="Arial" w:hint="cs"/>
          <w:rtl/>
        </w:rPr>
        <w:t>.</w:t>
      </w:r>
      <w:r w:rsidR="00E32534" w:rsidRPr="00DA71B9">
        <w:rPr>
          <w:rFonts w:cs="Arial"/>
          <w:rtl/>
        </w:rPr>
        <w:t xml:space="preserve"> </w:t>
      </w:r>
      <w:r w:rsidR="00E32534" w:rsidRPr="009C33F7">
        <w:rPr>
          <w:rFonts w:cs="Arial" w:hint="cs"/>
          <w:color w:val="E36C0A" w:themeColor="accent6" w:themeShade="BF"/>
          <w:rtl/>
        </w:rPr>
        <w:t>(וכ"פ בשו"ע)</w:t>
      </w:r>
    </w:p>
    <w:p w14:paraId="5B007980" w14:textId="08C2782D" w:rsidR="00B63502" w:rsidRPr="00A41C51" w:rsidRDefault="00A41C51" w:rsidP="00B63502">
      <w:pPr>
        <w:rPr>
          <w:rFonts w:cs="Arial"/>
          <w:u w:val="single"/>
        </w:rPr>
      </w:pPr>
      <w:r w:rsidRPr="00A41C51">
        <w:rPr>
          <w:rFonts w:cs="Arial" w:hint="cs"/>
          <w:u w:val="single"/>
          <w:rtl/>
        </w:rPr>
        <w:t>בעל שנתן את המדור מתנה למישהו:</w:t>
      </w:r>
    </w:p>
    <w:p w14:paraId="5210B561" w14:textId="77777777" w:rsidR="00A41C51" w:rsidRDefault="006547DB" w:rsidP="009000E3">
      <w:pPr>
        <w:pStyle w:val="ab"/>
        <w:numPr>
          <w:ilvl w:val="0"/>
          <w:numId w:val="61"/>
        </w:numPr>
        <w:rPr>
          <w:rFonts w:cs="Arial"/>
        </w:rPr>
      </w:pPr>
      <w:r w:rsidRPr="00B63502">
        <w:rPr>
          <w:rFonts w:cs="Arial"/>
          <w:rtl/>
        </w:rPr>
        <w:t xml:space="preserve">רשב"א </w:t>
      </w:r>
      <w:r w:rsidRPr="00B63502">
        <w:rPr>
          <w:rFonts w:cs="Arial"/>
          <w:sz w:val="16"/>
          <w:szCs w:val="16"/>
          <w:rtl/>
        </w:rPr>
        <w:t>(ח"ב סי' קסה)</w:t>
      </w:r>
      <w:r w:rsidR="00B63502">
        <w:rPr>
          <w:rFonts w:cs="Arial" w:hint="cs"/>
          <w:rtl/>
        </w:rPr>
        <w:t>-</w:t>
      </w:r>
      <w:r w:rsidRPr="00B63502">
        <w:rPr>
          <w:rFonts w:cs="Arial"/>
          <w:rtl/>
        </w:rPr>
        <w:t xml:space="preserve"> אם מכר הבעל או נתן במתנת בריא מדורו </w:t>
      </w:r>
      <w:r w:rsidR="00FB7278">
        <w:rPr>
          <w:rFonts w:cs="Arial" w:hint="cs"/>
          <w:rtl/>
        </w:rPr>
        <w:t xml:space="preserve">- </w:t>
      </w:r>
      <w:r w:rsidRPr="00B63502">
        <w:rPr>
          <w:rFonts w:cs="Arial"/>
          <w:rtl/>
        </w:rPr>
        <w:t>מה שעשה עשוי</w:t>
      </w:r>
      <w:r w:rsidR="00FB7278">
        <w:rPr>
          <w:rFonts w:cs="Arial" w:hint="cs"/>
          <w:rtl/>
        </w:rPr>
        <w:t>.</w:t>
      </w:r>
      <w:r w:rsidRPr="00B63502">
        <w:rPr>
          <w:rFonts w:cs="Arial"/>
          <w:rtl/>
        </w:rPr>
        <w:t xml:space="preserve"> אבל אם נתנו במתנת שכיב מרע </w:t>
      </w:r>
      <w:r w:rsidR="00FB7278">
        <w:rPr>
          <w:rFonts w:cs="Arial" w:hint="cs"/>
          <w:rtl/>
        </w:rPr>
        <w:t xml:space="preserve">- </w:t>
      </w:r>
      <w:r w:rsidRPr="00B63502">
        <w:rPr>
          <w:rFonts w:cs="Arial"/>
          <w:rtl/>
        </w:rPr>
        <w:t>לא גרע כחה אצל מתנה זו שהיא דרבנן ממה שיש לה אצל ירושה</w:t>
      </w:r>
      <w:r w:rsidR="00A41C51">
        <w:rPr>
          <w:rFonts w:cs="Arial" w:hint="cs"/>
          <w:rtl/>
        </w:rPr>
        <w:t>,</w:t>
      </w:r>
      <w:r w:rsidRPr="00B63502">
        <w:rPr>
          <w:rFonts w:cs="Arial"/>
          <w:rtl/>
        </w:rPr>
        <w:t xml:space="preserve"> והילכך הרי זו משתמשת כדרך שנשתמשה בחיי בעלה. </w:t>
      </w:r>
    </w:p>
    <w:p w14:paraId="02D5F0BA" w14:textId="399FF301" w:rsidR="00A41C51" w:rsidRPr="00421800" w:rsidRDefault="00A41C51" w:rsidP="00A41C51">
      <w:pPr>
        <w:rPr>
          <w:rFonts w:cs="Arial"/>
          <w:u w:val="single"/>
        </w:rPr>
      </w:pPr>
      <w:r w:rsidRPr="00421800">
        <w:rPr>
          <w:rFonts w:cs="Arial" w:hint="cs"/>
          <w:u w:val="single"/>
          <w:rtl/>
        </w:rPr>
        <w:t>אשה</w:t>
      </w:r>
      <w:r w:rsidR="00421800" w:rsidRPr="00421800">
        <w:rPr>
          <w:rFonts w:cs="Arial" w:hint="cs"/>
          <w:u w:val="single"/>
          <w:rtl/>
        </w:rPr>
        <w:t xml:space="preserve"> שאין לה כתובה - האם יש לה מדור:</w:t>
      </w:r>
    </w:p>
    <w:p w14:paraId="6E6D6D3C" w14:textId="0BB7707A" w:rsidR="006547DB" w:rsidRPr="00B63502" w:rsidRDefault="00A41C51" w:rsidP="009000E3">
      <w:pPr>
        <w:pStyle w:val="ab"/>
        <w:numPr>
          <w:ilvl w:val="0"/>
          <w:numId w:val="61"/>
        </w:numPr>
        <w:rPr>
          <w:rFonts w:cs="Arial"/>
          <w:rtl/>
        </w:rPr>
      </w:pPr>
      <w:r w:rsidRPr="00B63502">
        <w:rPr>
          <w:rFonts w:cs="Arial"/>
          <w:rtl/>
        </w:rPr>
        <w:t xml:space="preserve">רשב"א </w:t>
      </w:r>
      <w:r w:rsidRPr="00B63502">
        <w:rPr>
          <w:rFonts w:cs="Arial"/>
          <w:sz w:val="16"/>
          <w:szCs w:val="16"/>
          <w:rtl/>
        </w:rPr>
        <w:t>(ח"ב סי' קסה)</w:t>
      </w:r>
      <w:r>
        <w:rPr>
          <w:rFonts w:cs="Arial" w:hint="cs"/>
          <w:rtl/>
        </w:rPr>
        <w:t>-</w:t>
      </w:r>
      <w:r w:rsidRPr="00B63502">
        <w:rPr>
          <w:rFonts w:cs="Arial"/>
          <w:rtl/>
        </w:rPr>
        <w:t xml:space="preserve"> </w:t>
      </w:r>
      <w:r w:rsidR="006547DB" w:rsidRPr="00B63502">
        <w:rPr>
          <w:rFonts w:cs="Arial"/>
          <w:rtl/>
        </w:rPr>
        <w:t>ומה שטען שאין לאלמנה שום זכות עד שתוציא כתובתה ותשבע</w:t>
      </w:r>
      <w:r w:rsidR="00421800">
        <w:rPr>
          <w:rFonts w:cs="Arial" w:hint="cs"/>
          <w:rtl/>
        </w:rPr>
        <w:t xml:space="preserve"> -</w:t>
      </w:r>
      <w:r w:rsidR="006547DB" w:rsidRPr="00B63502">
        <w:rPr>
          <w:rFonts w:cs="Arial"/>
          <w:rtl/>
        </w:rPr>
        <w:t xml:space="preserve"> אין טענתו יפה שאין זכות המדור תלוי בגביית הכתובה</w:t>
      </w:r>
      <w:r w:rsidR="00421800">
        <w:rPr>
          <w:rFonts w:cs="Arial" w:hint="cs"/>
          <w:rtl/>
        </w:rPr>
        <w:t>,</w:t>
      </w:r>
      <w:r w:rsidR="006547DB" w:rsidRPr="00B63502">
        <w:rPr>
          <w:rFonts w:cs="Arial"/>
          <w:rtl/>
        </w:rPr>
        <w:t xml:space="preserve"> שאפילו אין לה מזונות ולא כתובה יש לה מדור</w:t>
      </w:r>
      <w:r w:rsidR="00421800">
        <w:rPr>
          <w:rFonts w:cs="Arial" w:hint="cs"/>
          <w:rtl/>
        </w:rPr>
        <w:t>,</w:t>
      </w:r>
      <w:r w:rsidR="006547DB" w:rsidRPr="00B63502">
        <w:rPr>
          <w:rFonts w:cs="Arial"/>
          <w:rtl/>
        </w:rPr>
        <w:t xml:space="preserve"> ואם אין לה מדור יש לה מזונות</w:t>
      </w:r>
      <w:r w:rsidR="00421800">
        <w:rPr>
          <w:rFonts w:cs="Arial" w:hint="cs"/>
          <w:rtl/>
        </w:rPr>
        <w:t>,</w:t>
      </w:r>
      <w:r w:rsidR="006547DB" w:rsidRPr="00B63502">
        <w:rPr>
          <w:rFonts w:cs="Arial"/>
          <w:rtl/>
        </w:rPr>
        <w:t xml:space="preserve"> וכדאמרינן בשילהי נערה שנתפתתה (נד.) תני בביתי ולא בבקתי אבל מזוני אית לה</w:t>
      </w:r>
      <w:r w:rsidR="00421800">
        <w:rPr>
          <w:rFonts w:cs="Arial" w:hint="cs"/>
          <w:rtl/>
        </w:rPr>
        <w:t>.</w:t>
      </w:r>
    </w:p>
    <w:p w14:paraId="6AA1BA64"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48D45C6" w14:textId="419441DE" w:rsidR="00392DBB" w:rsidRDefault="00392DBB" w:rsidP="00392DBB">
      <w:pPr>
        <w:rPr>
          <w:rFonts w:cs="Arial"/>
          <w:rtl/>
        </w:rPr>
      </w:pPr>
      <w:r>
        <w:rPr>
          <w:rFonts w:cs="Arial"/>
          <w:rtl/>
        </w:rPr>
        <w:t xml:space="preserve">ואם נפל, אפילו בנאוהו יורשין, אבדה זכותה ממנו. </w:t>
      </w:r>
    </w:p>
    <w:p w14:paraId="6FAFB93D" w14:textId="77777777" w:rsidR="00E80258" w:rsidRDefault="00E80258" w:rsidP="00392DBB">
      <w:pPr>
        <w:rPr>
          <w:rtl/>
        </w:rPr>
      </w:pPr>
    </w:p>
    <w:p w14:paraId="4ABAAB73" w14:textId="1A751E88" w:rsidR="00392DBB" w:rsidRDefault="00392DBB" w:rsidP="000F64D0">
      <w:pPr>
        <w:pStyle w:val="2"/>
        <w:rPr>
          <w:rtl/>
        </w:rPr>
      </w:pPr>
      <w:r>
        <w:rPr>
          <w:rtl/>
        </w:rPr>
        <w:t>סעיף ד</w:t>
      </w:r>
      <w:r w:rsidR="00E32534">
        <w:rPr>
          <w:rFonts w:hint="cs"/>
          <w:rtl/>
        </w:rPr>
        <w:t xml:space="preserve">: </w:t>
      </w:r>
      <w:r w:rsidR="00EF341D">
        <w:rPr>
          <w:rFonts w:hint="cs"/>
          <w:rtl/>
        </w:rPr>
        <w:t>ירושים שמכרו את המדור הראוי ל</w:t>
      </w:r>
      <w:r w:rsidR="00B77B1F">
        <w:rPr>
          <w:rFonts w:hint="cs"/>
          <w:rtl/>
        </w:rPr>
        <w:t>אלמנה</w:t>
      </w:r>
      <w:r w:rsidR="00EF341D">
        <w:rPr>
          <w:rFonts w:hint="cs"/>
          <w:rtl/>
        </w:rPr>
        <w:t>.</w:t>
      </w:r>
    </w:p>
    <w:p w14:paraId="1E9FEA60" w14:textId="33008670" w:rsidR="00EF341D" w:rsidRPr="00EF341D" w:rsidRDefault="00EF341D" w:rsidP="00EF341D">
      <w:pPr>
        <w:rPr>
          <w:rtl/>
        </w:rPr>
      </w:pPr>
      <w:r w:rsidRPr="00270CBD">
        <w:rPr>
          <w:rFonts w:cs="Arial"/>
          <w:b/>
          <w:bCs/>
          <w:rtl/>
        </w:rPr>
        <w:t xml:space="preserve">כתובות </w:t>
      </w:r>
      <w:r w:rsidRPr="00270CBD">
        <w:rPr>
          <w:rFonts w:cs="Arial" w:hint="cs"/>
          <w:b/>
          <w:bCs/>
          <w:sz w:val="16"/>
          <w:szCs w:val="16"/>
          <w:rtl/>
        </w:rPr>
        <w:t>(פ' הנושא)</w:t>
      </w:r>
      <w:r w:rsidRPr="00270CBD">
        <w:rPr>
          <w:rFonts w:cs="Arial" w:hint="cs"/>
          <w:b/>
          <w:bCs/>
          <w:rtl/>
        </w:rPr>
        <w:t xml:space="preserve"> </w:t>
      </w:r>
      <w:r w:rsidRPr="00270CBD">
        <w:rPr>
          <w:rFonts w:cs="Arial"/>
          <w:b/>
          <w:bCs/>
          <w:rtl/>
        </w:rPr>
        <w:t>קג</w:t>
      </w:r>
      <w:r w:rsidR="002805FF">
        <w:rPr>
          <w:rStyle w:val="a7"/>
          <w:rFonts w:cs="Arial"/>
          <w:b/>
          <w:bCs/>
          <w:rtl/>
        </w:rPr>
        <w:footnoteReference w:id="1675"/>
      </w:r>
      <w:r w:rsidRPr="00270CBD">
        <w:rPr>
          <w:rFonts w:cs="Arial" w:hint="cs"/>
          <w:b/>
          <w:bCs/>
          <w:rtl/>
        </w:rPr>
        <w:t xml:space="preserve"> ע"א:</w:t>
      </w:r>
      <w:r>
        <w:rPr>
          <w:rFonts w:cs="Arial" w:hint="cs"/>
          <w:rtl/>
        </w:rPr>
        <w:t xml:space="preserve"> </w:t>
      </w:r>
      <w:r w:rsidRPr="00EF341D">
        <w:rPr>
          <w:rFonts w:cs="Arial"/>
          <w:u w:val="single"/>
          <w:rtl/>
        </w:rPr>
        <w:t>אמר רב נחמן</w:t>
      </w:r>
      <w:r w:rsidRPr="00EF341D">
        <w:rPr>
          <w:rFonts w:cs="Arial"/>
          <w:rtl/>
        </w:rPr>
        <w:t>: יתומים שמכרו מדור אלמנה - לא עשו ולא כלום. ומ"ש מדרבי אסי א"ר יוחנן? דא"ר אסי אמר ר' יוחנן: יתומים שקדמו ומכרו בנכסים מועטין - מה שמכרו מכרו! התם לא משתעבדי לה מחיים, הכא משתעבדי לה מחיים.</w:t>
      </w:r>
    </w:p>
    <w:p w14:paraId="2C44B6BA" w14:textId="15A06B9F" w:rsidR="00EF341D" w:rsidRPr="00EF341D" w:rsidRDefault="00B77B1F" w:rsidP="00EF341D">
      <w:pPr>
        <w:rPr>
          <w:u w:val="single"/>
          <w:rtl/>
        </w:rPr>
      </w:pPr>
      <w:r>
        <w:rPr>
          <w:rFonts w:hint="cs"/>
          <w:u w:val="single"/>
          <w:rtl/>
        </w:rPr>
        <w:t>יו</w:t>
      </w:r>
      <w:r w:rsidR="00EF341D" w:rsidRPr="00EF341D">
        <w:rPr>
          <w:rFonts w:hint="cs"/>
          <w:u w:val="single"/>
          <w:rtl/>
        </w:rPr>
        <w:t>רשים שמכרו את המדור הראוי ל</w:t>
      </w:r>
      <w:r>
        <w:rPr>
          <w:rFonts w:hint="cs"/>
          <w:u w:val="single"/>
          <w:rtl/>
        </w:rPr>
        <w:t>אלמנה</w:t>
      </w:r>
      <w:r w:rsidR="00EF341D" w:rsidRPr="00EF341D">
        <w:rPr>
          <w:rFonts w:hint="cs"/>
          <w:u w:val="single"/>
          <w:rtl/>
        </w:rPr>
        <w:t>:</w:t>
      </w:r>
    </w:p>
    <w:p w14:paraId="0D7860B6" w14:textId="305E185C" w:rsidR="00835288" w:rsidRPr="00835288" w:rsidRDefault="00835288" w:rsidP="009000E3">
      <w:pPr>
        <w:pStyle w:val="ab"/>
        <w:numPr>
          <w:ilvl w:val="0"/>
          <w:numId w:val="61"/>
        </w:numPr>
      </w:pPr>
      <w:r>
        <w:rPr>
          <w:rFonts w:hint="cs"/>
          <w:rtl/>
        </w:rPr>
        <w:lastRenderedPageBreak/>
        <w:t>טור-</w:t>
      </w:r>
      <w:r>
        <w:rPr>
          <w:rFonts w:cs="Arial" w:hint="cs"/>
          <w:rtl/>
        </w:rPr>
        <w:t xml:space="preserve"> </w:t>
      </w:r>
      <w:r w:rsidRPr="00DA71B9">
        <w:rPr>
          <w:rFonts w:cs="Arial"/>
          <w:rtl/>
        </w:rPr>
        <w:t>אם מכרו היורשים הבית</w:t>
      </w:r>
      <w:r w:rsidR="00EF341D">
        <w:rPr>
          <w:rFonts w:cs="Arial" w:hint="cs"/>
          <w:rtl/>
        </w:rPr>
        <w:t xml:space="preserve"> -</w:t>
      </w:r>
      <w:r w:rsidRPr="00DA71B9">
        <w:rPr>
          <w:rFonts w:cs="Arial"/>
          <w:rtl/>
        </w:rPr>
        <w:t xml:space="preserve"> לא עשו ולא כלום</w:t>
      </w:r>
      <w:r>
        <w:rPr>
          <w:rFonts w:cs="Arial" w:hint="cs"/>
          <w:rtl/>
        </w:rPr>
        <w:t>.</w:t>
      </w:r>
      <w:r w:rsidR="00EF341D" w:rsidRPr="00EF341D">
        <w:rPr>
          <w:rFonts w:cs="Arial" w:hint="cs"/>
          <w:color w:val="E36C0A" w:themeColor="accent6" w:themeShade="BF"/>
          <w:rtl/>
        </w:rPr>
        <w:t xml:space="preserve"> </w:t>
      </w:r>
      <w:r w:rsidR="00EF341D" w:rsidRPr="009C33F7">
        <w:rPr>
          <w:rFonts w:cs="Arial" w:hint="cs"/>
          <w:color w:val="E36C0A" w:themeColor="accent6" w:themeShade="BF"/>
          <w:rtl/>
        </w:rPr>
        <w:t>(וכ"פ בשו"ע)</w:t>
      </w:r>
      <w:r w:rsidRPr="00DA71B9">
        <w:rPr>
          <w:rFonts w:cs="Arial"/>
          <w:rtl/>
        </w:rPr>
        <w:t xml:space="preserve"> </w:t>
      </w:r>
    </w:p>
    <w:p w14:paraId="597890DA" w14:textId="69FFAEBA"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DDD358F" w14:textId="77777777" w:rsidR="00EF341D" w:rsidRDefault="00EB7813" w:rsidP="00392DBB">
      <w:pPr>
        <w:rPr>
          <w:rFonts w:cs="Arial"/>
          <w:rtl/>
        </w:rPr>
      </w:pPr>
      <w:r>
        <w:rPr>
          <w:rFonts w:cs="Arial" w:hint="cs"/>
          <w:rtl/>
        </w:rPr>
        <w:t>י</w:t>
      </w:r>
      <w:r w:rsidR="00392DBB">
        <w:rPr>
          <w:rFonts w:cs="Arial"/>
          <w:rtl/>
        </w:rPr>
        <w:t>ורשין שמכרו מדור אלמנה, לא עשו כלום.</w:t>
      </w:r>
    </w:p>
    <w:p w14:paraId="7650318B" w14:textId="24D9429D" w:rsidR="00392DBB" w:rsidRDefault="00392DBB" w:rsidP="00392DBB">
      <w:pPr>
        <w:rPr>
          <w:rtl/>
        </w:rPr>
      </w:pPr>
      <w:r>
        <w:rPr>
          <w:rFonts w:cs="Arial"/>
          <w:rtl/>
        </w:rPr>
        <w:t xml:space="preserve"> </w:t>
      </w:r>
    </w:p>
    <w:p w14:paraId="7D89885F" w14:textId="30850225" w:rsidR="00392DBB" w:rsidRDefault="00392DBB" w:rsidP="000F64D0">
      <w:pPr>
        <w:pStyle w:val="2"/>
        <w:rPr>
          <w:rtl/>
        </w:rPr>
      </w:pPr>
      <w:r>
        <w:rPr>
          <w:rtl/>
        </w:rPr>
        <w:t>סעיף ה</w:t>
      </w:r>
      <w:r w:rsidR="002964E8">
        <w:rPr>
          <w:rFonts w:hint="cs"/>
          <w:rtl/>
        </w:rPr>
        <w:t>:</w:t>
      </w:r>
      <w:r w:rsidR="00EF341D">
        <w:rPr>
          <w:rFonts w:hint="cs"/>
          <w:rtl/>
        </w:rPr>
        <w:t xml:space="preserve"> </w:t>
      </w:r>
      <w:r w:rsidR="005314D6">
        <w:rPr>
          <w:rFonts w:hint="cs"/>
          <w:rtl/>
        </w:rPr>
        <w:t xml:space="preserve">שכירת מדור </w:t>
      </w:r>
      <w:r w:rsidR="00A66D65">
        <w:rPr>
          <w:rFonts w:hint="cs"/>
          <w:rtl/>
        </w:rPr>
        <w:t xml:space="preserve">במקרים שאין </w:t>
      </w:r>
      <w:r w:rsidR="006A79C4">
        <w:rPr>
          <w:rFonts w:hint="cs"/>
          <w:rtl/>
        </w:rPr>
        <w:t>מדור לתת לאלמנה.</w:t>
      </w:r>
    </w:p>
    <w:p w14:paraId="68AEC344" w14:textId="3EEFAEC4" w:rsidR="00F52FB4" w:rsidRDefault="005314D6" w:rsidP="005314D6">
      <w:pPr>
        <w:rPr>
          <w:rFonts w:cs="Arial"/>
          <w:rtl/>
        </w:rPr>
      </w:pPr>
      <w:r w:rsidRPr="00270CBD">
        <w:rPr>
          <w:rFonts w:cs="Arial"/>
          <w:b/>
          <w:bCs/>
          <w:rtl/>
        </w:rPr>
        <w:t xml:space="preserve">כתובות </w:t>
      </w:r>
      <w:r w:rsidRPr="00270CBD">
        <w:rPr>
          <w:rFonts w:cs="Arial" w:hint="cs"/>
          <w:b/>
          <w:bCs/>
          <w:sz w:val="16"/>
          <w:szCs w:val="16"/>
          <w:rtl/>
        </w:rPr>
        <w:t>(פ' הנושא)</w:t>
      </w:r>
      <w:r w:rsidRPr="00270CBD">
        <w:rPr>
          <w:rFonts w:cs="Arial" w:hint="cs"/>
          <w:b/>
          <w:bCs/>
          <w:rtl/>
        </w:rPr>
        <w:t xml:space="preserve"> </w:t>
      </w:r>
      <w:r w:rsidRPr="00270CBD">
        <w:rPr>
          <w:rFonts w:cs="Arial"/>
          <w:b/>
          <w:bCs/>
          <w:rtl/>
        </w:rPr>
        <w:t>קג</w:t>
      </w:r>
      <w:r w:rsidR="002805FF">
        <w:rPr>
          <w:rStyle w:val="a7"/>
          <w:rFonts w:cs="Arial"/>
          <w:b/>
          <w:bCs/>
          <w:rtl/>
        </w:rPr>
        <w:footnoteReference w:id="1676"/>
      </w:r>
      <w:r w:rsidRPr="00270CBD">
        <w:rPr>
          <w:rFonts w:cs="Arial" w:hint="cs"/>
          <w:b/>
          <w:bCs/>
          <w:rtl/>
        </w:rPr>
        <w:t xml:space="preserve"> ע"א:</w:t>
      </w:r>
      <w:r w:rsidRPr="006F1E49">
        <w:rPr>
          <w:rtl/>
        </w:rPr>
        <w:t xml:space="preserve"> </w:t>
      </w:r>
      <w:r w:rsidRPr="006F1E49">
        <w:rPr>
          <w:rFonts w:cs="Arial"/>
          <w:rtl/>
        </w:rPr>
        <w:t>תני רב יוסף: בביתי - ולא בבקתי</w:t>
      </w:r>
      <w:r>
        <w:rPr>
          <w:rStyle w:val="a7"/>
          <w:rFonts w:cs="Arial"/>
          <w:rtl/>
        </w:rPr>
        <w:footnoteReference w:id="1677"/>
      </w:r>
      <w:r w:rsidRPr="006F1E49">
        <w:rPr>
          <w:rFonts w:cs="Arial"/>
          <w:rtl/>
        </w:rPr>
        <w:t>.</w:t>
      </w:r>
    </w:p>
    <w:p w14:paraId="6DF5E2C4" w14:textId="67A65F78" w:rsidR="005314D6" w:rsidRPr="00DB7A35" w:rsidRDefault="00F52FB4" w:rsidP="004E6B7F">
      <w:pPr>
        <w:rPr>
          <w:rFonts w:cs="Arial"/>
          <w:sz w:val="16"/>
          <w:szCs w:val="16"/>
          <w:rtl/>
        </w:rPr>
      </w:pPr>
      <w:r w:rsidRPr="00270CBD">
        <w:rPr>
          <w:rFonts w:cs="Arial"/>
          <w:b/>
          <w:bCs/>
          <w:rtl/>
        </w:rPr>
        <w:t xml:space="preserve">כתובות </w:t>
      </w:r>
      <w:r w:rsidRPr="00270CBD">
        <w:rPr>
          <w:rFonts w:cs="Arial" w:hint="cs"/>
          <w:b/>
          <w:bCs/>
          <w:sz w:val="16"/>
          <w:szCs w:val="16"/>
          <w:rtl/>
        </w:rPr>
        <w:t xml:space="preserve">(פ' </w:t>
      </w:r>
      <w:r>
        <w:rPr>
          <w:rFonts w:cs="Arial" w:hint="cs"/>
          <w:b/>
          <w:bCs/>
          <w:sz w:val="16"/>
          <w:szCs w:val="16"/>
          <w:rtl/>
        </w:rPr>
        <w:t>נערה שנתפתתה</w:t>
      </w:r>
      <w:r w:rsidRPr="00270CBD">
        <w:rPr>
          <w:rFonts w:cs="Arial" w:hint="cs"/>
          <w:b/>
          <w:bCs/>
          <w:sz w:val="16"/>
          <w:szCs w:val="16"/>
          <w:rtl/>
        </w:rPr>
        <w:t>)</w:t>
      </w:r>
      <w:r w:rsidRPr="00270CBD">
        <w:rPr>
          <w:rFonts w:cs="Arial" w:hint="cs"/>
          <w:b/>
          <w:bCs/>
          <w:rtl/>
        </w:rPr>
        <w:t xml:space="preserve"> </w:t>
      </w:r>
      <w:r>
        <w:rPr>
          <w:rFonts w:cs="Arial" w:hint="cs"/>
          <w:b/>
          <w:bCs/>
          <w:rtl/>
        </w:rPr>
        <w:t>נד</w:t>
      </w:r>
      <w:r w:rsidRPr="00270CBD">
        <w:rPr>
          <w:rFonts w:cs="Arial" w:hint="cs"/>
          <w:b/>
          <w:bCs/>
          <w:rtl/>
        </w:rPr>
        <w:t xml:space="preserve"> ע"א:</w:t>
      </w:r>
      <w:r w:rsidRPr="006F1E49">
        <w:rPr>
          <w:rtl/>
        </w:rPr>
        <w:t xml:space="preserve"> </w:t>
      </w:r>
      <w:r w:rsidRPr="00F52FB4">
        <w:rPr>
          <w:rFonts w:cs="Arial"/>
          <w:rtl/>
        </w:rPr>
        <w:t>תני רב יוסף: בביתי - ולא בביקתי</w:t>
      </w:r>
      <w:r w:rsidR="00486F06">
        <w:rPr>
          <w:rStyle w:val="a7"/>
          <w:rFonts w:cs="Arial"/>
          <w:rtl/>
        </w:rPr>
        <w:footnoteReference w:id="1678"/>
      </w:r>
      <w:r w:rsidRPr="00F52FB4">
        <w:rPr>
          <w:rFonts w:cs="Arial"/>
          <w:rtl/>
        </w:rPr>
        <w:t>, אבל מזוני אית לה.</w:t>
      </w:r>
      <w:r w:rsidR="005314D6" w:rsidRPr="006F1E49">
        <w:rPr>
          <w:rFonts w:cs="Arial"/>
          <w:rtl/>
        </w:rPr>
        <w:t xml:space="preserve"> </w:t>
      </w:r>
      <w:r w:rsidR="00DB7A35">
        <w:rPr>
          <w:rFonts w:cs="Arial" w:hint="cs"/>
          <w:sz w:val="16"/>
          <w:szCs w:val="16"/>
          <w:rtl/>
        </w:rPr>
        <w:t>(</w:t>
      </w:r>
      <w:r w:rsidR="00DB7A35" w:rsidRPr="00DB7A35">
        <w:rPr>
          <w:rFonts w:cs="Arial"/>
          <w:sz w:val="16"/>
          <w:szCs w:val="16"/>
          <w:rtl/>
        </w:rPr>
        <w:t>שאם היה בית קטן מהכיל אלמנה והיתומים</w:t>
      </w:r>
      <w:r w:rsidR="00DB7A35">
        <w:rPr>
          <w:rFonts w:cs="Arial" w:hint="cs"/>
          <w:sz w:val="16"/>
          <w:szCs w:val="16"/>
          <w:rtl/>
        </w:rPr>
        <w:t>,</w:t>
      </w:r>
      <w:r w:rsidR="00DB7A35" w:rsidRPr="00DB7A35">
        <w:rPr>
          <w:rFonts w:cs="Arial"/>
          <w:sz w:val="16"/>
          <w:szCs w:val="16"/>
          <w:rtl/>
        </w:rPr>
        <w:t xml:space="preserve"> ובחיי אביהן היו יורשין שוכרין בתים</w:t>
      </w:r>
      <w:r w:rsidR="00DB7A35">
        <w:rPr>
          <w:rFonts w:cs="Arial" w:hint="cs"/>
          <w:sz w:val="16"/>
          <w:szCs w:val="16"/>
          <w:rtl/>
        </w:rPr>
        <w:t>,</w:t>
      </w:r>
      <w:r w:rsidR="00DB7A35" w:rsidRPr="00DB7A35">
        <w:rPr>
          <w:rFonts w:cs="Arial"/>
          <w:sz w:val="16"/>
          <w:szCs w:val="16"/>
          <w:rtl/>
        </w:rPr>
        <w:t xml:space="preserve"> ועתה רוצים לחזור לביתם</w:t>
      </w:r>
      <w:r w:rsidR="00DB7A35">
        <w:rPr>
          <w:rFonts w:cs="Arial" w:hint="cs"/>
          <w:sz w:val="16"/>
          <w:szCs w:val="16"/>
          <w:rtl/>
        </w:rPr>
        <w:t>,</w:t>
      </w:r>
      <w:r w:rsidR="00DB7A35" w:rsidRPr="00DB7A35">
        <w:rPr>
          <w:rFonts w:cs="Arial"/>
          <w:sz w:val="16"/>
          <w:szCs w:val="16"/>
          <w:rtl/>
        </w:rPr>
        <w:t xml:space="preserve"> או שהיה בעלה שוכר בית ובניו היו דרים בביתו</w:t>
      </w:r>
      <w:r w:rsidR="00DB7A35">
        <w:rPr>
          <w:rFonts w:cs="Arial" w:hint="cs"/>
          <w:sz w:val="16"/>
          <w:szCs w:val="16"/>
          <w:rtl/>
        </w:rPr>
        <w:t>,</w:t>
      </w:r>
      <w:r w:rsidR="00DB7A35" w:rsidRPr="00DB7A35">
        <w:rPr>
          <w:rFonts w:cs="Arial"/>
          <w:sz w:val="16"/>
          <w:szCs w:val="16"/>
          <w:rtl/>
        </w:rPr>
        <w:t xml:space="preserve"> וכשמת אין היורשין חייבין לשכור לה בית</w:t>
      </w:r>
      <w:r w:rsidR="00DB7A35">
        <w:rPr>
          <w:rFonts w:cs="Arial" w:hint="cs"/>
          <w:sz w:val="16"/>
          <w:szCs w:val="16"/>
          <w:rtl/>
        </w:rPr>
        <w:t>,</w:t>
      </w:r>
      <w:r w:rsidR="00DB7A35" w:rsidRPr="00DB7A35">
        <w:rPr>
          <w:rFonts w:cs="Arial"/>
          <w:sz w:val="16"/>
          <w:szCs w:val="16"/>
          <w:rtl/>
        </w:rPr>
        <w:t xml:space="preserve"> שלא התנה אלא שתהא יושבת בביתו</w:t>
      </w:r>
      <w:r w:rsidR="00F25BAF">
        <w:rPr>
          <w:rFonts w:cs="Arial" w:hint="cs"/>
          <w:sz w:val="16"/>
          <w:szCs w:val="16"/>
          <w:rtl/>
        </w:rPr>
        <w:t>,</w:t>
      </w:r>
      <w:r w:rsidR="00DB7A35" w:rsidRPr="00DB7A35">
        <w:rPr>
          <w:rFonts w:cs="Arial"/>
          <w:sz w:val="16"/>
          <w:szCs w:val="16"/>
          <w:rtl/>
        </w:rPr>
        <w:t xml:space="preserve"> והבית קטן מהכילם </w:t>
      </w:r>
      <w:r w:rsidR="00F25BAF">
        <w:rPr>
          <w:rFonts w:cs="Arial" w:hint="cs"/>
          <w:sz w:val="16"/>
          <w:szCs w:val="16"/>
          <w:rtl/>
        </w:rPr>
        <w:t xml:space="preserve">- </w:t>
      </w:r>
      <w:r w:rsidR="00DB7A35" w:rsidRPr="00DB7A35">
        <w:rPr>
          <w:rFonts w:cs="Arial"/>
          <w:sz w:val="16"/>
          <w:szCs w:val="16"/>
          <w:rtl/>
        </w:rPr>
        <w:t>תצא האלמנה מן הבית</w:t>
      </w:r>
      <w:r w:rsidR="00F25BAF">
        <w:rPr>
          <w:rFonts w:cs="Arial" w:hint="cs"/>
          <w:sz w:val="16"/>
          <w:szCs w:val="16"/>
          <w:rtl/>
        </w:rPr>
        <w:t>,</w:t>
      </w:r>
      <w:r w:rsidR="00DB7A35" w:rsidRPr="00DB7A35">
        <w:rPr>
          <w:rFonts w:cs="Arial"/>
          <w:sz w:val="16"/>
          <w:szCs w:val="16"/>
          <w:rtl/>
        </w:rPr>
        <w:t xml:space="preserve"> אבל מזוני אית לה</w:t>
      </w:r>
      <w:r w:rsidR="00F25BAF">
        <w:rPr>
          <w:rFonts w:cs="Arial" w:hint="cs"/>
          <w:sz w:val="16"/>
          <w:szCs w:val="16"/>
          <w:rtl/>
        </w:rPr>
        <w:t>.</w:t>
      </w:r>
      <w:r w:rsidR="00DB7A35" w:rsidRPr="00DB7A35">
        <w:rPr>
          <w:rFonts w:cs="Arial"/>
          <w:sz w:val="16"/>
          <w:szCs w:val="16"/>
          <w:rtl/>
        </w:rPr>
        <w:t xml:space="preserve"> וה"ה נמי אם אין הנכסים מספיקין לזונה והיא רוצה לשבת בבית בעלה בלא מזונות ובלא תביעת כתובתה</w:t>
      </w:r>
      <w:r w:rsidR="00F25BAF">
        <w:rPr>
          <w:rFonts w:cs="Arial" w:hint="cs"/>
          <w:sz w:val="16"/>
          <w:szCs w:val="16"/>
          <w:rtl/>
        </w:rPr>
        <w:t xml:space="preserve"> -</w:t>
      </w:r>
      <w:r w:rsidR="00DB7A35" w:rsidRPr="00DB7A35">
        <w:rPr>
          <w:rFonts w:cs="Arial"/>
          <w:sz w:val="16"/>
          <w:szCs w:val="16"/>
          <w:rtl/>
        </w:rPr>
        <w:t xml:space="preserve"> תשב דאין המזונות והדירה תלויין זה בזה.</w:t>
      </w:r>
      <w:r w:rsidR="00973041">
        <w:rPr>
          <w:rFonts w:cs="Arial" w:hint="cs"/>
          <w:sz w:val="16"/>
          <w:szCs w:val="16"/>
          <w:rtl/>
        </w:rPr>
        <w:t>.</w:t>
      </w:r>
      <w:r w:rsidR="00DB7A35" w:rsidRPr="00DB7A35">
        <w:rPr>
          <w:rFonts w:cs="Arial"/>
          <w:sz w:val="16"/>
          <w:szCs w:val="16"/>
          <w:rtl/>
        </w:rPr>
        <w:t>. וגרסינן התם מדור אלמנה שנפל אין היורשין חייבין לבנותו ולא עוד אלא אפילו היא אומרת הניחו לי ואני אבננו משלי אין שומעין לה בעי אביי שיפצה מהו תיקו</w:t>
      </w:r>
      <w:r w:rsidR="00973041">
        <w:rPr>
          <w:rFonts w:cs="Arial" w:hint="cs"/>
          <w:sz w:val="16"/>
          <w:szCs w:val="16"/>
          <w:rtl/>
        </w:rPr>
        <w:t>.</w:t>
      </w:r>
      <w:r w:rsidR="00DB7A35" w:rsidRPr="00DB7A35">
        <w:rPr>
          <w:rFonts w:cs="Arial"/>
          <w:sz w:val="16"/>
          <w:szCs w:val="16"/>
          <w:rtl/>
        </w:rPr>
        <w:t xml:space="preserve"> הלכך לא תשפץ</w:t>
      </w:r>
      <w:r w:rsidR="00973041">
        <w:rPr>
          <w:rFonts w:cs="Arial" w:hint="cs"/>
          <w:sz w:val="16"/>
          <w:szCs w:val="16"/>
          <w:rtl/>
        </w:rPr>
        <w:t>,</w:t>
      </w:r>
      <w:r w:rsidR="00DB7A35" w:rsidRPr="00DB7A35">
        <w:rPr>
          <w:rFonts w:cs="Arial"/>
          <w:sz w:val="16"/>
          <w:szCs w:val="16"/>
          <w:rtl/>
        </w:rPr>
        <w:t xml:space="preserve"> וכ"ש שאין היורשין חייבין לשכור לה בית. וכן מוכח שמעתין דכשהבית צר מוציאין אותה ואין שוכרין לה בית דירה</w:t>
      </w:r>
      <w:r w:rsidR="00973041">
        <w:rPr>
          <w:rFonts w:cs="Arial" w:hint="cs"/>
          <w:sz w:val="16"/>
          <w:szCs w:val="16"/>
          <w:rtl/>
        </w:rPr>
        <w:t>,</w:t>
      </w:r>
      <w:r w:rsidR="00DB7A35" w:rsidRPr="00DB7A35">
        <w:rPr>
          <w:rFonts w:cs="Arial"/>
          <w:sz w:val="16"/>
          <w:szCs w:val="16"/>
          <w:rtl/>
        </w:rPr>
        <w:t xml:space="preserve"> דאי חייבין לשכור לה דירה פשיטא דמזונות אית לה</w:t>
      </w:r>
      <w:r w:rsidR="00DF6DE3">
        <w:rPr>
          <w:rFonts w:cs="Arial" w:hint="cs"/>
          <w:sz w:val="16"/>
          <w:szCs w:val="16"/>
          <w:rtl/>
        </w:rPr>
        <w:t>,</w:t>
      </w:r>
      <w:r w:rsidR="00DB7A35" w:rsidRPr="00DB7A35">
        <w:rPr>
          <w:rFonts w:cs="Arial"/>
          <w:sz w:val="16"/>
          <w:szCs w:val="16"/>
          <w:rtl/>
        </w:rPr>
        <w:t xml:space="preserve"> והיאך קאמר מר בר רב אשי דלית לה מזונות. ובירושלמי </w:t>
      </w:r>
      <w:r w:rsidR="005C11AB">
        <w:rPr>
          <w:rFonts w:cs="Arial" w:hint="cs"/>
          <w:sz w:val="16"/>
          <w:szCs w:val="16"/>
          <w:rtl/>
        </w:rPr>
        <w:t xml:space="preserve">(פ"ד הי"ג) </w:t>
      </w:r>
      <w:r w:rsidR="00DB7A35" w:rsidRPr="00DB7A35">
        <w:rPr>
          <w:rFonts w:cs="Arial"/>
          <w:sz w:val="16"/>
          <w:szCs w:val="16"/>
          <w:rtl/>
        </w:rPr>
        <w:t>משמע שחייבין לשכור לה בית דגרס</w:t>
      </w:r>
      <w:r w:rsidR="005C11AB">
        <w:rPr>
          <w:rFonts w:cs="Arial" w:hint="cs"/>
          <w:sz w:val="16"/>
          <w:szCs w:val="16"/>
          <w:rtl/>
        </w:rPr>
        <w:t>:</w:t>
      </w:r>
      <w:r w:rsidR="00DB7A35" w:rsidRPr="00DB7A35">
        <w:rPr>
          <w:rFonts w:cs="Arial"/>
          <w:sz w:val="16"/>
          <w:szCs w:val="16"/>
          <w:rtl/>
        </w:rPr>
        <w:t xml:space="preserve"> ר' זעירא שלח שאלה לרב נחמן בר יצחק ולר' אבימי בר פפא</w:t>
      </w:r>
      <w:r w:rsidR="00103CC2">
        <w:rPr>
          <w:rFonts w:cs="Arial" w:hint="cs"/>
          <w:sz w:val="16"/>
          <w:szCs w:val="16"/>
          <w:rtl/>
        </w:rPr>
        <w:t>,</w:t>
      </w:r>
      <w:r w:rsidR="00DB7A35" w:rsidRPr="00DB7A35">
        <w:rPr>
          <w:rFonts w:cs="Arial"/>
          <w:sz w:val="16"/>
          <w:szCs w:val="16"/>
          <w:rtl/>
        </w:rPr>
        <w:t xml:space="preserve"> לא היה שם בית מאי</w:t>
      </w:r>
      <w:r w:rsidR="00103CC2">
        <w:rPr>
          <w:rFonts w:cs="Arial" w:hint="cs"/>
          <w:sz w:val="16"/>
          <w:szCs w:val="16"/>
          <w:rtl/>
        </w:rPr>
        <w:t>?</w:t>
      </w:r>
      <w:r w:rsidR="00DB7A35" w:rsidRPr="00DB7A35">
        <w:rPr>
          <w:rFonts w:cs="Arial"/>
          <w:sz w:val="16"/>
          <w:szCs w:val="16"/>
          <w:rtl/>
        </w:rPr>
        <w:t xml:space="preserve"> א"ל היורשין שוכרין לה בית</w:t>
      </w:r>
      <w:r w:rsidR="00D03C62">
        <w:rPr>
          <w:rFonts w:cs="Arial" w:hint="cs"/>
          <w:sz w:val="16"/>
          <w:szCs w:val="16"/>
          <w:rtl/>
        </w:rPr>
        <w:t>.</w:t>
      </w:r>
      <w:r w:rsidR="00DB7A35" w:rsidRPr="00DB7A35">
        <w:rPr>
          <w:rFonts w:cs="Arial"/>
          <w:sz w:val="16"/>
          <w:szCs w:val="16"/>
          <w:rtl/>
        </w:rPr>
        <w:t xml:space="preserve"> מכאן ואילך היא אומרת קרקע</w:t>
      </w:r>
      <w:r w:rsidR="00103CC2">
        <w:rPr>
          <w:rFonts w:cs="Arial" w:hint="cs"/>
          <w:sz w:val="16"/>
          <w:szCs w:val="16"/>
          <w:rtl/>
        </w:rPr>
        <w:t>,</w:t>
      </w:r>
      <w:r w:rsidR="00DB7A35" w:rsidRPr="00DB7A35">
        <w:rPr>
          <w:rFonts w:cs="Arial"/>
          <w:sz w:val="16"/>
          <w:szCs w:val="16"/>
          <w:rtl/>
        </w:rPr>
        <w:t xml:space="preserve"> והם אומרים מעות </w:t>
      </w:r>
      <w:r w:rsidR="00103CC2">
        <w:rPr>
          <w:rFonts w:cs="Arial" w:hint="cs"/>
          <w:sz w:val="16"/>
          <w:szCs w:val="16"/>
          <w:rtl/>
        </w:rPr>
        <w:t xml:space="preserve">- </w:t>
      </w:r>
      <w:r w:rsidR="00DB7A35" w:rsidRPr="00DB7A35">
        <w:rPr>
          <w:rFonts w:cs="Arial"/>
          <w:sz w:val="16"/>
          <w:szCs w:val="16"/>
          <w:rtl/>
        </w:rPr>
        <w:t>הדין עם היתומים</w:t>
      </w:r>
      <w:r w:rsidR="00CE5D76">
        <w:rPr>
          <w:rFonts w:cs="Arial" w:hint="cs"/>
          <w:sz w:val="16"/>
          <w:szCs w:val="16"/>
          <w:rtl/>
        </w:rPr>
        <w:t>...</w:t>
      </w:r>
      <w:r w:rsidR="00DB7A35" w:rsidRPr="00DB7A35">
        <w:rPr>
          <w:rFonts w:cs="Arial"/>
          <w:sz w:val="16"/>
          <w:szCs w:val="16"/>
          <w:rtl/>
        </w:rPr>
        <w:t xml:space="preserve"> ע"כ הירושלמי. וזה פירושו לא היה שם בית ראוי לדירת אלמנה והיתומים מהו</w:t>
      </w:r>
      <w:r w:rsidR="00CE5D76">
        <w:rPr>
          <w:rFonts w:cs="Arial" w:hint="cs"/>
          <w:sz w:val="16"/>
          <w:szCs w:val="16"/>
          <w:rtl/>
        </w:rPr>
        <w:t>,</w:t>
      </w:r>
      <w:r w:rsidR="00DB7A35" w:rsidRPr="00DB7A35">
        <w:rPr>
          <w:rFonts w:cs="Arial"/>
          <w:sz w:val="16"/>
          <w:szCs w:val="16"/>
          <w:rtl/>
        </w:rPr>
        <w:t xml:space="preserve"> א"ל היורשין שוכרין לה בית</w:t>
      </w:r>
      <w:r w:rsidR="00CE5D76">
        <w:rPr>
          <w:rFonts w:cs="Arial" w:hint="cs"/>
          <w:sz w:val="16"/>
          <w:szCs w:val="16"/>
          <w:rtl/>
        </w:rPr>
        <w:t>,</w:t>
      </w:r>
      <w:r w:rsidR="00DB7A35" w:rsidRPr="00DB7A35">
        <w:rPr>
          <w:rFonts w:cs="Arial"/>
          <w:sz w:val="16"/>
          <w:szCs w:val="16"/>
          <w:rtl/>
        </w:rPr>
        <w:t xml:space="preserve"> ואם היא אומרת קרקע פירוש בבית בעלי אני רוצה לדור</w:t>
      </w:r>
      <w:r w:rsidR="00CE5D76">
        <w:rPr>
          <w:rFonts w:cs="Arial" w:hint="cs"/>
          <w:sz w:val="16"/>
          <w:szCs w:val="16"/>
          <w:rtl/>
        </w:rPr>
        <w:t>,</w:t>
      </w:r>
      <w:r w:rsidR="00DB7A35" w:rsidRPr="00DB7A35">
        <w:rPr>
          <w:rFonts w:cs="Arial"/>
          <w:sz w:val="16"/>
          <w:szCs w:val="16"/>
          <w:rtl/>
        </w:rPr>
        <w:t xml:space="preserve"> והם אומרים מעות פי' נשכור לך בית למדור ונדור בבתינו </w:t>
      </w:r>
      <w:r w:rsidR="00CE5D76">
        <w:rPr>
          <w:rFonts w:cs="Arial" w:hint="cs"/>
          <w:sz w:val="16"/>
          <w:szCs w:val="16"/>
          <w:rtl/>
        </w:rPr>
        <w:t xml:space="preserve">- </w:t>
      </w:r>
      <w:r w:rsidR="00DB7A35" w:rsidRPr="00DB7A35">
        <w:rPr>
          <w:rFonts w:cs="Arial"/>
          <w:sz w:val="16"/>
          <w:szCs w:val="16"/>
          <w:rtl/>
        </w:rPr>
        <w:t>הדין עם היורשין לפי שאין גוף הקרקע קנוי לה אלא לדירה בעלמא</w:t>
      </w:r>
      <w:r w:rsidR="00CE5D76">
        <w:rPr>
          <w:rFonts w:cs="Arial" w:hint="cs"/>
          <w:sz w:val="16"/>
          <w:szCs w:val="16"/>
          <w:rtl/>
        </w:rPr>
        <w:t>,</w:t>
      </w:r>
      <w:r w:rsidR="00DB7A35" w:rsidRPr="00DB7A35">
        <w:rPr>
          <w:rFonts w:cs="Arial"/>
          <w:sz w:val="16"/>
          <w:szCs w:val="16"/>
          <w:rtl/>
        </w:rPr>
        <w:t xml:space="preserve"> הלכך יכולין לשכור לה בית אחר וידורו הם בביתם. והא דאמרינן משתמשת במדור שנשתמשה בו בחיי בעלה היינו כשיש לכולם דירה והם רוצים ליתן דירה פחותה מבית בעלה</w:t>
      </w:r>
      <w:r w:rsidR="00CE5D76">
        <w:rPr>
          <w:rFonts w:cs="Arial" w:hint="cs"/>
          <w:sz w:val="16"/>
          <w:szCs w:val="16"/>
          <w:rtl/>
        </w:rPr>
        <w:t>..</w:t>
      </w:r>
      <w:r w:rsidR="00DB7A35" w:rsidRPr="00DB7A35">
        <w:rPr>
          <w:rFonts w:cs="Arial"/>
          <w:sz w:val="16"/>
          <w:szCs w:val="16"/>
          <w:rtl/>
        </w:rPr>
        <w:t>. וי"מ גמרא דידן כמו הירושלמי</w:t>
      </w:r>
      <w:r w:rsidR="00CE5D76">
        <w:rPr>
          <w:rFonts w:cs="Arial" w:hint="cs"/>
          <w:sz w:val="16"/>
          <w:szCs w:val="16"/>
          <w:rtl/>
        </w:rPr>
        <w:t>,</w:t>
      </w:r>
      <w:r w:rsidR="00DB7A35" w:rsidRPr="00DB7A35">
        <w:rPr>
          <w:rFonts w:cs="Arial"/>
          <w:sz w:val="16"/>
          <w:szCs w:val="16"/>
          <w:rtl/>
        </w:rPr>
        <w:t xml:space="preserve"> בביתי ולא בבית עקתי כגון שהבית צר מהכיל כולם </w:t>
      </w:r>
      <w:r w:rsidR="00CE5D76">
        <w:rPr>
          <w:rFonts w:cs="Arial" w:hint="cs"/>
          <w:sz w:val="16"/>
          <w:szCs w:val="16"/>
          <w:rtl/>
        </w:rPr>
        <w:t xml:space="preserve">- </w:t>
      </w:r>
      <w:r w:rsidR="00DB7A35" w:rsidRPr="00DB7A35">
        <w:rPr>
          <w:rFonts w:cs="Arial"/>
          <w:sz w:val="16"/>
          <w:szCs w:val="16"/>
          <w:rtl/>
        </w:rPr>
        <w:t>ישכירו לה בית אחר</w:t>
      </w:r>
      <w:r w:rsidR="00CE5D76">
        <w:rPr>
          <w:rFonts w:cs="Arial" w:hint="cs"/>
          <w:sz w:val="16"/>
          <w:szCs w:val="16"/>
          <w:rtl/>
        </w:rPr>
        <w:t>,</w:t>
      </w:r>
      <w:r w:rsidR="00DB7A35" w:rsidRPr="00DB7A35">
        <w:rPr>
          <w:rFonts w:cs="Arial"/>
          <w:sz w:val="16"/>
          <w:szCs w:val="16"/>
          <w:rtl/>
        </w:rPr>
        <w:t xml:space="preserve"> ואינה יכולה לומר אדור בבית בעלי ואתם תשכרו לכם בית. והא דקאמר מר בר רב אשי אף מזוני לית לה</w:t>
      </w:r>
      <w:r w:rsidR="00C76041">
        <w:rPr>
          <w:rFonts w:cs="Arial" w:hint="cs"/>
          <w:sz w:val="16"/>
          <w:szCs w:val="16"/>
          <w:rtl/>
        </w:rPr>
        <w:t>,</w:t>
      </w:r>
      <w:r w:rsidR="00DB7A35" w:rsidRPr="00DB7A35">
        <w:rPr>
          <w:rFonts w:cs="Arial"/>
          <w:sz w:val="16"/>
          <w:szCs w:val="16"/>
          <w:rtl/>
        </w:rPr>
        <w:t xml:space="preserve"> פי' אין לה מזונות משלם אלא לפי ברכת הבית</w:t>
      </w:r>
      <w:r w:rsidR="00C76041">
        <w:rPr>
          <w:rFonts w:cs="Arial" w:hint="cs"/>
          <w:sz w:val="16"/>
          <w:szCs w:val="16"/>
          <w:rtl/>
        </w:rPr>
        <w:t>,</w:t>
      </w:r>
      <w:r w:rsidR="00DB7A35" w:rsidRPr="00DB7A35">
        <w:rPr>
          <w:rFonts w:cs="Arial"/>
          <w:sz w:val="16"/>
          <w:szCs w:val="16"/>
          <w:rtl/>
        </w:rPr>
        <w:t xml:space="preserve"> ורב יוסף סבר דמזוני משלם אית לה</w:t>
      </w:r>
      <w:r w:rsidR="00C76041">
        <w:rPr>
          <w:rFonts w:cs="Arial" w:hint="cs"/>
          <w:sz w:val="16"/>
          <w:szCs w:val="16"/>
          <w:rtl/>
        </w:rPr>
        <w:t>...</w:t>
      </w:r>
      <w:r w:rsidR="00DB7A35" w:rsidRPr="00DB7A35">
        <w:rPr>
          <w:rFonts w:cs="Arial"/>
          <w:sz w:val="16"/>
          <w:szCs w:val="16"/>
          <w:rtl/>
        </w:rPr>
        <w:t xml:space="preserve"> ומדור אלמנה שנפל אין חייבין לבנותו אלא שוכרין לה בית וגם אין מניחין לה לבנותו ולא לשפץ כי חפצים יותר לשכור לה בית</w:t>
      </w:r>
      <w:r w:rsidR="00DB7A35">
        <w:rPr>
          <w:rFonts w:cs="Arial" w:hint="cs"/>
          <w:sz w:val="16"/>
          <w:szCs w:val="16"/>
          <w:rtl/>
        </w:rPr>
        <w:t xml:space="preserve">, </w:t>
      </w:r>
      <w:r w:rsidR="00DB7A35" w:rsidRPr="00190F4A">
        <w:rPr>
          <w:rFonts w:cs="Arial" w:hint="cs"/>
          <w:b/>
          <w:bCs/>
          <w:sz w:val="16"/>
          <w:szCs w:val="16"/>
          <w:rtl/>
        </w:rPr>
        <w:t>רא"ש</w:t>
      </w:r>
      <w:r w:rsidR="00DB7A35">
        <w:rPr>
          <w:rFonts w:cs="Arial" w:hint="cs"/>
          <w:sz w:val="16"/>
          <w:szCs w:val="16"/>
          <w:rtl/>
        </w:rPr>
        <w:t xml:space="preserve"> (פ"ד סי' כט)</w:t>
      </w:r>
      <w:r w:rsidR="00190F4A">
        <w:rPr>
          <w:rFonts w:cs="Arial" w:hint="cs"/>
          <w:sz w:val="16"/>
          <w:szCs w:val="16"/>
          <w:rtl/>
        </w:rPr>
        <w:t xml:space="preserve">.     </w:t>
      </w:r>
      <w:r w:rsidR="00190F4A" w:rsidRPr="00190F4A">
        <w:rPr>
          <w:rFonts w:cs="Arial"/>
          <w:sz w:val="16"/>
          <w:szCs w:val="16"/>
          <w:rtl/>
        </w:rPr>
        <w:t>והר"ן בס"פ נערה שנתפתתה (כ: ד"ה אבל) כתב שאין פירוש זה מחוור אלא שיש לדחוק כדי לקיים דברי הראשונים שסמכו על הירושלמי</w:t>
      </w:r>
      <w:r w:rsidR="00190F4A">
        <w:rPr>
          <w:rFonts w:cs="Arial" w:hint="cs"/>
          <w:sz w:val="16"/>
          <w:szCs w:val="16"/>
          <w:rtl/>
        </w:rPr>
        <w:t xml:space="preserve">, </w:t>
      </w:r>
      <w:r w:rsidR="00190F4A" w:rsidRPr="00190F4A">
        <w:rPr>
          <w:rFonts w:cs="Arial" w:hint="cs"/>
          <w:b/>
          <w:bCs/>
          <w:sz w:val="16"/>
          <w:szCs w:val="16"/>
          <w:rtl/>
        </w:rPr>
        <w:t>ב"י</w:t>
      </w:r>
      <w:r w:rsidR="004E6B7F">
        <w:rPr>
          <w:rFonts w:cs="Arial" w:hint="cs"/>
          <w:sz w:val="16"/>
          <w:szCs w:val="16"/>
          <w:rtl/>
        </w:rPr>
        <w:t xml:space="preserve">. וכתב עוד הב"י לעיין </w:t>
      </w:r>
      <w:r w:rsidR="004E6B7F" w:rsidRPr="004E6B7F">
        <w:rPr>
          <w:rFonts w:cs="Arial"/>
          <w:sz w:val="16"/>
          <w:szCs w:val="16"/>
          <w:rtl/>
        </w:rPr>
        <w:t>במרדכי (סי' קסז)</w:t>
      </w:r>
      <w:r w:rsidR="00DB7A35">
        <w:rPr>
          <w:rFonts w:cs="Arial" w:hint="cs"/>
          <w:sz w:val="16"/>
          <w:szCs w:val="16"/>
          <w:rtl/>
        </w:rPr>
        <w:t>)</w:t>
      </w:r>
    </w:p>
    <w:p w14:paraId="61C6614E" w14:textId="69467A87" w:rsidR="00831494" w:rsidRDefault="00831494" w:rsidP="005314D6">
      <w:pPr>
        <w:rPr>
          <w:rFonts w:cs="Arial"/>
          <w:rtl/>
        </w:rPr>
      </w:pPr>
      <w:r w:rsidRPr="00831494">
        <w:rPr>
          <w:rFonts w:cs="Arial" w:hint="cs"/>
          <w:b/>
          <w:bCs/>
          <w:rtl/>
        </w:rPr>
        <w:t xml:space="preserve">ירושלמי כתובות פ"ד הי"ג: </w:t>
      </w:r>
      <w:r w:rsidRPr="00831494">
        <w:rPr>
          <w:rFonts w:cs="Arial"/>
          <w:u w:val="single"/>
          <w:rtl/>
        </w:rPr>
        <w:t>רבי זעירא שאל שאיל לרב נחמן בר יעקב ולר' אבימי בר פפי</w:t>
      </w:r>
      <w:r>
        <w:rPr>
          <w:rFonts w:cs="Arial" w:hint="cs"/>
          <w:rtl/>
        </w:rPr>
        <w:t>:</w:t>
      </w:r>
      <w:r w:rsidRPr="00831494">
        <w:rPr>
          <w:rFonts w:cs="Arial"/>
          <w:rtl/>
        </w:rPr>
        <w:t xml:space="preserve"> לא היה שם בית</w:t>
      </w:r>
      <w:r>
        <w:rPr>
          <w:rFonts w:cs="Arial" w:hint="cs"/>
          <w:rtl/>
        </w:rPr>
        <w:t>.</w:t>
      </w:r>
      <w:r w:rsidRPr="00831494">
        <w:rPr>
          <w:rFonts w:cs="Arial"/>
          <w:rtl/>
        </w:rPr>
        <w:t xml:space="preserve"> </w:t>
      </w:r>
      <w:r w:rsidRPr="00831494">
        <w:rPr>
          <w:rFonts w:cs="Arial"/>
          <w:u w:val="single"/>
          <w:rtl/>
        </w:rPr>
        <w:t>אמר ליה</w:t>
      </w:r>
      <w:r>
        <w:rPr>
          <w:rFonts w:cs="Arial" w:hint="cs"/>
          <w:rtl/>
        </w:rPr>
        <w:t>:</w:t>
      </w:r>
      <w:r w:rsidRPr="00831494">
        <w:rPr>
          <w:rFonts w:cs="Arial"/>
          <w:rtl/>
        </w:rPr>
        <w:t xml:space="preserve"> היורשין שוכרין לה בית</w:t>
      </w:r>
      <w:r>
        <w:rPr>
          <w:rFonts w:cs="Arial" w:hint="cs"/>
          <w:rtl/>
        </w:rPr>
        <w:t>.</w:t>
      </w:r>
    </w:p>
    <w:p w14:paraId="79A52216" w14:textId="0C7628DC" w:rsidR="005314D6" w:rsidRPr="006A79C4" w:rsidRDefault="006A79C4" w:rsidP="005314D6">
      <w:pPr>
        <w:rPr>
          <w:u w:val="single"/>
          <w:rtl/>
        </w:rPr>
      </w:pPr>
      <w:r w:rsidRPr="006A79C4">
        <w:rPr>
          <w:rFonts w:hint="cs"/>
          <w:u w:val="single"/>
          <w:rtl/>
        </w:rPr>
        <w:t>שכירת מדור במקרים שאין מדור לתת לאלמנה</w:t>
      </w:r>
      <w:r w:rsidR="005314D6" w:rsidRPr="006A79C4">
        <w:rPr>
          <w:rFonts w:hint="cs"/>
          <w:u w:val="single"/>
          <w:rtl/>
        </w:rPr>
        <w:t>:</w:t>
      </w:r>
    </w:p>
    <w:p w14:paraId="1D9C67F2" w14:textId="0EC07A77" w:rsidR="000367DB" w:rsidRPr="000367DB" w:rsidRDefault="006F5317" w:rsidP="009000E3">
      <w:pPr>
        <w:pStyle w:val="ab"/>
        <w:numPr>
          <w:ilvl w:val="0"/>
          <w:numId w:val="61"/>
        </w:numPr>
      </w:pPr>
      <w:r>
        <w:rPr>
          <w:rFonts w:cs="Arial" w:hint="cs"/>
          <w:rtl/>
        </w:rPr>
        <w:t xml:space="preserve">רמב"ם </w:t>
      </w:r>
      <w:r>
        <w:rPr>
          <w:rFonts w:cs="Arial" w:hint="cs"/>
          <w:sz w:val="16"/>
          <w:szCs w:val="16"/>
          <w:rtl/>
        </w:rPr>
        <w:t>(פי"ח ה"ג)</w:t>
      </w:r>
      <w:r w:rsidR="00190F4A">
        <w:rPr>
          <w:rFonts w:cs="Arial" w:hint="cs"/>
          <w:rtl/>
        </w:rPr>
        <w:t xml:space="preserve"> רמב"ן </w:t>
      </w:r>
      <w:r w:rsidR="00190F4A">
        <w:rPr>
          <w:rFonts w:cs="Arial" w:hint="cs"/>
          <w:sz w:val="16"/>
          <w:szCs w:val="16"/>
          <w:rtl/>
        </w:rPr>
        <w:t xml:space="preserve">(נד.) </w:t>
      </w:r>
      <w:r w:rsidR="00190F4A">
        <w:rPr>
          <w:rFonts w:cs="Arial" w:hint="cs"/>
          <w:rtl/>
        </w:rPr>
        <w:t xml:space="preserve">רשב"א </w:t>
      </w:r>
      <w:r w:rsidR="00190F4A">
        <w:rPr>
          <w:rFonts w:cs="Arial" w:hint="cs"/>
          <w:sz w:val="16"/>
          <w:szCs w:val="16"/>
          <w:rtl/>
        </w:rPr>
        <w:t xml:space="preserve">(נד.) </w:t>
      </w:r>
      <w:r w:rsidR="00521D51">
        <w:rPr>
          <w:rFonts w:cs="Arial" w:hint="cs"/>
          <w:rtl/>
        </w:rPr>
        <w:t>ו</w:t>
      </w:r>
      <w:r w:rsidR="00190F4A">
        <w:rPr>
          <w:rFonts w:cs="Arial" w:hint="cs"/>
          <w:rtl/>
        </w:rPr>
        <w:t xml:space="preserve">רא"ש </w:t>
      </w:r>
      <w:r w:rsidR="00190F4A">
        <w:rPr>
          <w:rFonts w:cs="Arial" w:hint="cs"/>
          <w:sz w:val="16"/>
          <w:szCs w:val="16"/>
          <w:rtl/>
        </w:rPr>
        <w:t>(שם, כ"כ הטור בשמו</w:t>
      </w:r>
      <w:r w:rsidR="00190F4A">
        <w:rPr>
          <w:rStyle w:val="a7"/>
          <w:rFonts w:cs="Arial"/>
          <w:sz w:val="16"/>
          <w:szCs w:val="16"/>
          <w:rtl/>
        </w:rPr>
        <w:footnoteReference w:id="1679"/>
      </w:r>
      <w:r w:rsidR="00190F4A">
        <w:rPr>
          <w:rFonts w:cs="Arial" w:hint="cs"/>
          <w:sz w:val="16"/>
          <w:szCs w:val="16"/>
          <w:rtl/>
        </w:rPr>
        <w:t>)</w:t>
      </w:r>
      <w:r>
        <w:rPr>
          <w:rFonts w:cs="Arial" w:hint="cs"/>
          <w:rtl/>
        </w:rPr>
        <w:t xml:space="preserve">- </w:t>
      </w:r>
      <w:r w:rsidRPr="006F5317">
        <w:rPr>
          <w:rFonts w:cs="Arial"/>
          <w:rtl/>
        </w:rPr>
        <w:t>נפל הבית</w:t>
      </w:r>
      <w:r>
        <w:rPr>
          <w:rFonts w:cs="Arial" w:hint="cs"/>
          <w:rtl/>
        </w:rPr>
        <w:t>,</w:t>
      </w:r>
      <w:r w:rsidRPr="006F5317">
        <w:rPr>
          <w:rFonts w:cs="Arial"/>
          <w:rtl/>
        </w:rPr>
        <w:t xml:space="preserve"> או שלא היה לבעלה בית אלא בשכר</w:t>
      </w:r>
      <w:r w:rsidR="00800BF5">
        <w:rPr>
          <w:rStyle w:val="a7"/>
          <w:rFonts w:cs="Arial"/>
          <w:rtl/>
        </w:rPr>
        <w:footnoteReference w:id="1680"/>
      </w:r>
      <w:r w:rsidRPr="006F5317">
        <w:rPr>
          <w:rFonts w:cs="Arial"/>
          <w:rtl/>
        </w:rPr>
        <w:t xml:space="preserve"> </w:t>
      </w:r>
      <w:r>
        <w:rPr>
          <w:rFonts w:cs="Arial" w:hint="cs"/>
          <w:rtl/>
        </w:rPr>
        <w:t xml:space="preserve">- </w:t>
      </w:r>
      <w:r w:rsidRPr="006F5317">
        <w:rPr>
          <w:rFonts w:cs="Arial"/>
          <w:rtl/>
        </w:rPr>
        <w:t>נותנין לה מדור לפי כבודה</w:t>
      </w:r>
      <w:r w:rsidR="00190F4A">
        <w:rPr>
          <w:rStyle w:val="a7"/>
          <w:rFonts w:cs="Arial"/>
          <w:rtl/>
        </w:rPr>
        <w:footnoteReference w:id="1681"/>
      </w:r>
      <w:r w:rsidRPr="006F5317">
        <w:rPr>
          <w:rFonts w:cs="Arial"/>
          <w:rtl/>
        </w:rPr>
        <w:t>, וכן מזונותיה וכסותה לפי כבודה</w:t>
      </w:r>
      <w:r w:rsidR="00521D51">
        <w:rPr>
          <w:rFonts w:cs="Arial" w:hint="cs"/>
          <w:rtl/>
        </w:rPr>
        <w:t xml:space="preserve"> </w:t>
      </w:r>
      <w:r w:rsidR="00521D51">
        <w:rPr>
          <w:rFonts w:cs="Arial" w:hint="cs"/>
          <w:sz w:val="16"/>
          <w:szCs w:val="16"/>
          <w:rtl/>
        </w:rPr>
        <w:t>(ל' הרמב"ם)</w:t>
      </w:r>
      <w:r>
        <w:rPr>
          <w:rFonts w:cs="Arial" w:hint="cs"/>
          <w:rtl/>
        </w:rPr>
        <w:t>.</w:t>
      </w:r>
      <w:r w:rsidRPr="006F5317">
        <w:rPr>
          <w:rFonts w:cs="Arial"/>
          <w:rtl/>
        </w:rPr>
        <w:t xml:space="preserve"> </w:t>
      </w:r>
      <w:r w:rsidR="00800BF5" w:rsidRPr="009C33F7">
        <w:rPr>
          <w:rFonts w:cs="Arial" w:hint="cs"/>
          <w:color w:val="E36C0A" w:themeColor="accent6" w:themeShade="BF"/>
          <w:rtl/>
        </w:rPr>
        <w:t>(וכ"פ בשו"ע)</w:t>
      </w:r>
    </w:p>
    <w:p w14:paraId="570C5204" w14:textId="2C8BF09F" w:rsidR="000367DB" w:rsidRPr="00BD5BBA" w:rsidRDefault="000367DB" w:rsidP="009000E3">
      <w:pPr>
        <w:pStyle w:val="ab"/>
        <w:numPr>
          <w:ilvl w:val="0"/>
          <w:numId w:val="61"/>
        </w:numPr>
      </w:pPr>
      <w:r>
        <w:rPr>
          <w:rFonts w:hint="cs"/>
          <w:rtl/>
        </w:rPr>
        <w:t>י"א</w:t>
      </w:r>
      <w:r w:rsidR="00800BF5">
        <w:rPr>
          <w:rFonts w:hint="cs"/>
          <w:sz w:val="16"/>
          <w:szCs w:val="16"/>
          <w:rtl/>
        </w:rPr>
        <w:t xml:space="preserve"> (הביאם הטור)</w:t>
      </w:r>
      <w:r>
        <w:rPr>
          <w:rFonts w:hint="cs"/>
          <w:rtl/>
        </w:rPr>
        <w:t>-</w:t>
      </w:r>
      <w:r>
        <w:rPr>
          <w:rFonts w:cs="Arial" w:hint="cs"/>
          <w:rtl/>
        </w:rPr>
        <w:t xml:space="preserve"> </w:t>
      </w:r>
      <w:r w:rsidRPr="00DA71B9">
        <w:rPr>
          <w:rFonts w:cs="Arial"/>
          <w:rtl/>
        </w:rPr>
        <w:t>אם בית בעלה קטן מהכיל אותה ואת היורשין</w:t>
      </w:r>
      <w:r>
        <w:rPr>
          <w:rFonts w:cs="Arial" w:hint="cs"/>
          <w:rtl/>
        </w:rPr>
        <w:t>,</w:t>
      </w:r>
      <w:r w:rsidRPr="00DA71B9">
        <w:rPr>
          <w:rFonts w:cs="Arial"/>
          <w:rtl/>
        </w:rPr>
        <w:t xml:space="preserve"> ובחיי אביהן היו הבנים שוכרין בתים ועתה רוצים לחזור ולדור בביתה</w:t>
      </w:r>
      <w:r>
        <w:rPr>
          <w:rFonts w:cs="Arial" w:hint="cs"/>
          <w:rtl/>
        </w:rPr>
        <w:t>,</w:t>
      </w:r>
      <w:r w:rsidRPr="00DA71B9">
        <w:rPr>
          <w:rFonts w:cs="Arial"/>
          <w:rtl/>
        </w:rPr>
        <w:t xml:space="preserve"> או שהיה בעלה שוכר בית ובניו דרין בביתו </w:t>
      </w:r>
      <w:r>
        <w:rPr>
          <w:rFonts w:cs="Arial" w:hint="cs"/>
          <w:rtl/>
        </w:rPr>
        <w:t xml:space="preserve">- </w:t>
      </w:r>
      <w:r w:rsidRPr="00DA71B9">
        <w:rPr>
          <w:rFonts w:cs="Arial"/>
          <w:rtl/>
        </w:rPr>
        <w:t>כשמת אין היורשים חייבים לשכור לה בית</w:t>
      </w:r>
      <w:r>
        <w:rPr>
          <w:rFonts w:cs="Arial" w:hint="cs"/>
          <w:rtl/>
        </w:rPr>
        <w:t>,</w:t>
      </w:r>
      <w:r w:rsidRPr="00DA71B9">
        <w:rPr>
          <w:rFonts w:cs="Arial"/>
          <w:rtl/>
        </w:rPr>
        <w:t xml:space="preserve"> שלא התנה אלא את תהא יתבא בביתי</w:t>
      </w:r>
      <w:r>
        <w:rPr>
          <w:rFonts w:cs="Arial" w:hint="cs"/>
          <w:rtl/>
        </w:rPr>
        <w:t>,</w:t>
      </w:r>
      <w:r w:rsidRPr="00DA71B9">
        <w:rPr>
          <w:rFonts w:cs="Arial"/>
          <w:rtl/>
        </w:rPr>
        <w:t xml:space="preserve"> וכיון שהבית קטן מהכיל תצא היא ממנו ואין צריכים לשכור לה בית אחר</w:t>
      </w:r>
      <w:r>
        <w:rPr>
          <w:rFonts w:cs="Arial" w:hint="cs"/>
          <w:rtl/>
        </w:rPr>
        <w:t>.</w:t>
      </w:r>
      <w:r w:rsidRPr="00DA71B9">
        <w:rPr>
          <w:rFonts w:cs="Arial"/>
          <w:rtl/>
        </w:rPr>
        <w:t xml:space="preserve"> אבל מזונותיה יש לה</w:t>
      </w:r>
      <w:r>
        <w:rPr>
          <w:rFonts w:cs="Arial" w:hint="cs"/>
          <w:rtl/>
        </w:rPr>
        <w:t>.</w:t>
      </w:r>
      <w:r w:rsidRPr="00DA71B9">
        <w:rPr>
          <w:rFonts w:cs="Arial"/>
          <w:rtl/>
        </w:rPr>
        <w:t xml:space="preserve"> וכן אם אין הנכסים מספיקין לזונה והיא רוצה לשבת בבית בעלה בלא מזונות ובלא תביעת כתובה </w:t>
      </w:r>
      <w:r>
        <w:rPr>
          <w:rFonts w:cs="Arial" w:hint="cs"/>
          <w:rtl/>
        </w:rPr>
        <w:t xml:space="preserve">- </w:t>
      </w:r>
      <w:r w:rsidRPr="00DA71B9">
        <w:rPr>
          <w:rFonts w:cs="Arial"/>
          <w:rtl/>
        </w:rPr>
        <w:t>תשב</w:t>
      </w:r>
      <w:r>
        <w:rPr>
          <w:rFonts w:cs="Arial" w:hint="cs"/>
          <w:rtl/>
        </w:rPr>
        <w:t>,</w:t>
      </w:r>
      <w:r w:rsidRPr="00DA71B9">
        <w:rPr>
          <w:rFonts w:cs="Arial"/>
          <w:rtl/>
        </w:rPr>
        <w:t xml:space="preserve"> שאין המזונות והדירה תלויין זה בזה</w:t>
      </w:r>
      <w:r w:rsidR="00800BF5">
        <w:rPr>
          <w:rFonts w:cs="Arial" w:hint="cs"/>
          <w:sz w:val="16"/>
          <w:szCs w:val="16"/>
          <w:rtl/>
        </w:rPr>
        <w:t xml:space="preserve"> (ל' הטור)</w:t>
      </w:r>
      <w:r>
        <w:rPr>
          <w:rFonts w:cs="Arial" w:hint="cs"/>
          <w:rtl/>
        </w:rPr>
        <w:t>.</w:t>
      </w:r>
      <w:r w:rsidRPr="00DA71B9">
        <w:rPr>
          <w:rFonts w:cs="Arial"/>
          <w:rtl/>
        </w:rPr>
        <w:t xml:space="preserve"> </w:t>
      </w:r>
    </w:p>
    <w:p w14:paraId="470A7292" w14:textId="169B03C6" w:rsidR="000367DB" w:rsidRPr="000367DB" w:rsidRDefault="000367DB" w:rsidP="000367DB">
      <w:pPr>
        <w:ind w:left="360"/>
        <w:rPr>
          <w:u w:val="dotted"/>
        </w:rPr>
      </w:pPr>
      <w:r w:rsidRPr="000367DB">
        <w:rPr>
          <w:rFonts w:hint="cs"/>
          <w:u w:val="dotted"/>
          <w:rtl/>
        </w:rPr>
        <w:t>ומה הדין אם היה גדול כבוד הבעל מכבודה:</w:t>
      </w:r>
    </w:p>
    <w:p w14:paraId="735EA98B" w14:textId="0926D038" w:rsidR="006F5317" w:rsidRDefault="000367DB" w:rsidP="009000E3">
      <w:pPr>
        <w:pStyle w:val="ab"/>
        <w:numPr>
          <w:ilvl w:val="0"/>
          <w:numId w:val="61"/>
        </w:numPr>
      </w:pPr>
      <w:r>
        <w:rPr>
          <w:rFonts w:cs="Arial" w:hint="cs"/>
          <w:rtl/>
        </w:rPr>
        <w:t xml:space="preserve">רמב"ם </w:t>
      </w:r>
      <w:r>
        <w:rPr>
          <w:rFonts w:cs="Arial" w:hint="cs"/>
          <w:sz w:val="16"/>
          <w:szCs w:val="16"/>
          <w:rtl/>
        </w:rPr>
        <w:t>(פי"ח ה"ג)</w:t>
      </w:r>
      <w:r>
        <w:rPr>
          <w:rFonts w:cs="Arial" w:hint="cs"/>
          <w:rtl/>
        </w:rPr>
        <w:t xml:space="preserve">- </w:t>
      </w:r>
      <w:r w:rsidR="006F5317" w:rsidRPr="006F5317">
        <w:rPr>
          <w:rFonts w:cs="Arial"/>
          <w:rtl/>
        </w:rPr>
        <w:t xml:space="preserve">ואם היה כבוד הבעל גדול מכבודה </w:t>
      </w:r>
      <w:r w:rsidR="006F5317">
        <w:rPr>
          <w:rFonts w:cs="Arial" w:hint="cs"/>
          <w:rtl/>
        </w:rPr>
        <w:t xml:space="preserve">- </w:t>
      </w:r>
      <w:r w:rsidR="006F5317" w:rsidRPr="006F5317">
        <w:rPr>
          <w:rFonts w:cs="Arial"/>
          <w:rtl/>
        </w:rPr>
        <w:t>נותנין לה לפי כבודו</w:t>
      </w:r>
      <w:r w:rsidR="006F5317">
        <w:rPr>
          <w:rFonts w:cs="Arial" w:hint="cs"/>
          <w:rtl/>
        </w:rPr>
        <w:t>,</w:t>
      </w:r>
      <w:r w:rsidR="006F5317" w:rsidRPr="006F5317">
        <w:rPr>
          <w:rFonts w:cs="Arial"/>
          <w:rtl/>
        </w:rPr>
        <w:t xml:space="preserve"> מפני שעולה עמו ואינה יורדת אפילו לאחר מיתה</w:t>
      </w:r>
      <w:r w:rsidR="00190F4A">
        <w:rPr>
          <w:rStyle w:val="a7"/>
          <w:rFonts w:cs="Arial"/>
          <w:rtl/>
        </w:rPr>
        <w:footnoteReference w:id="1682"/>
      </w:r>
      <w:r w:rsidR="006F5317" w:rsidRPr="006F5317">
        <w:rPr>
          <w:rFonts w:cs="Arial"/>
          <w:rtl/>
        </w:rPr>
        <w:t xml:space="preserve">. </w:t>
      </w:r>
      <w:r w:rsidR="00800BF5" w:rsidRPr="009C33F7">
        <w:rPr>
          <w:rFonts w:cs="Arial" w:hint="cs"/>
          <w:color w:val="E36C0A" w:themeColor="accent6" w:themeShade="BF"/>
          <w:rtl/>
        </w:rPr>
        <w:t>(וכ"פ בשו"ע)</w:t>
      </w:r>
    </w:p>
    <w:p w14:paraId="0537FA8C"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20418D7D" w14:textId="6A5C9573" w:rsidR="00392DBB" w:rsidRDefault="00392DBB" w:rsidP="00392DBB">
      <w:pPr>
        <w:rPr>
          <w:rtl/>
        </w:rPr>
      </w:pPr>
      <w:r>
        <w:rPr>
          <w:rFonts w:cs="Arial"/>
          <w:rtl/>
        </w:rPr>
        <w:t xml:space="preserve">נפל הבית, או שלא היה לבעלה בית אלא בשכר, נותנין לה מדור לפי כבודה, וכן מזונותיה וכסותה לפי כבודה. ואם היה כבוד בעלה גדול, נותנין לה לפי כבודו. </w:t>
      </w:r>
    </w:p>
    <w:p w14:paraId="7CDE4932" w14:textId="77777777" w:rsidR="00EF341D" w:rsidRDefault="00EF341D" w:rsidP="00392DBB">
      <w:pPr>
        <w:rPr>
          <w:rtl/>
        </w:rPr>
      </w:pPr>
    </w:p>
    <w:p w14:paraId="0DDDBA52" w14:textId="1D2E260E" w:rsidR="00392DBB" w:rsidRDefault="00392DBB" w:rsidP="000F64D0">
      <w:pPr>
        <w:pStyle w:val="2"/>
        <w:rPr>
          <w:rtl/>
        </w:rPr>
      </w:pPr>
      <w:r>
        <w:rPr>
          <w:rtl/>
        </w:rPr>
        <w:t>סעיף ו</w:t>
      </w:r>
      <w:r w:rsidR="002964E8">
        <w:rPr>
          <w:rFonts w:hint="cs"/>
          <w:rtl/>
        </w:rPr>
        <w:t>:</w:t>
      </w:r>
      <w:r w:rsidR="00972316">
        <w:rPr>
          <w:rFonts w:hint="cs"/>
          <w:rtl/>
        </w:rPr>
        <w:t xml:space="preserve"> </w:t>
      </w:r>
      <w:r w:rsidR="00213E4F">
        <w:rPr>
          <w:rFonts w:hint="cs"/>
          <w:rtl/>
        </w:rPr>
        <w:t>מקום</w:t>
      </w:r>
      <w:r w:rsidR="007A45DD">
        <w:rPr>
          <w:rFonts w:hint="cs"/>
          <w:rtl/>
        </w:rPr>
        <w:t xml:space="preserve"> נתינת המזונות.</w:t>
      </w:r>
    </w:p>
    <w:p w14:paraId="629BDEFF" w14:textId="18738834" w:rsidR="00972316" w:rsidRDefault="00477CE3" w:rsidP="00972316">
      <w:pPr>
        <w:rPr>
          <w:rtl/>
        </w:rPr>
      </w:pPr>
      <w:r w:rsidRPr="00270CBD">
        <w:rPr>
          <w:rFonts w:cs="Arial"/>
          <w:b/>
          <w:bCs/>
          <w:rtl/>
        </w:rPr>
        <w:t xml:space="preserve">כתובות </w:t>
      </w:r>
      <w:r w:rsidRPr="00270CBD">
        <w:rPr>
          <w:rFonts w:cs="Arial" w:hint="cs"/>
          <w:b/>
          <w:bCs/>
          <w:sz w:val="16"/>
          <w:szCs w:val="16"/>
          <w:rtl/>
        </w:rPr>
        <w:t>(פ' הנושא)</w:t>
      </w:r>
      <w:r w:rsidRPr="00270CBD">
        <w:rPr>
          <w:rFonts w:cs="Arial" w:hint="cs"/>
          <w:b/>
          <w:bCs/>
          <w:rtl/>
        </w:rPr>
        <w:t xml:space="preserve"> </w:t>
      </w:r>
      <w:r w:rsidRPr="00270CBD">
        <w:rPr>
          <w:rFonts w:cs="Arial"/>
          <w:b/>
          <w:bCs/>
          <w:rtl/>
        </w:rPr>
        <w:t>קג</w:t>
      </w:r>
      <w:r w:rsidR="00B77B1F">
        <w:rPr>
          <w:rStyle w:val="a7"/>
          <w:rFonts w:cs="Arial"/>
          <w:b/>
          <w:bCs/>
          <w:rtl/>
        </w:rPr>
        <w:footnoteReference w:id="1683"/>
      </w:r>
      <w:r w:rsidRPr="00270CBD">
        <w:rPr>
          <w:rFonts w:cs="Arial" w:hint="cs"/>
          <w:b/>
          <w:bCs/>
          <w:rtl/>
        </w:rPr>
        <w:t xml:space="preserve"> ע"א:</w:t>
      </w:r>
      <w:r w:rsidRPr="006F1E49">
        <w:rPr>
          <w:rtl/>
        </w:rPr>
        <w:t xml:space="preserve"> </w:t>
      </w:r>
      <w:r w:rsidRPr="00C63E1E">
        <w:rPr>
          <w:rFonts w:cs="Arial"/>
          <w:u w:val="double"/>
          <w:rtl/>
        </w:rPr>
        <w:t>מתני'</w:t>
      </w:r>
      <w:r>
        <w:rPr>
          <w:rFonts w:cs="Arial" w:hint="cs"/>
          <w:rtl/>
        </w:rPr>
        <w:t>:</w:t>
      </w:r>
      <w:r w:rsidRPr="00C63E1E">
        <w:rPr>
          <w:rFonts w:cs="Arial"/>
          <w:rtl/>
        </w:rPr>
        <w:t xml:space="preserve"> אלמנה שאמרה אי אפשי לזוז מבית בעלי, אין היורשין יכולין לומר לה לכי לבית אביך ואנו זנין אותך, אלא זנין אותה ונותנין לה מדור לפי כבודה.</w:t>
      </w:r>
      <w:r w:rsidR="00000383" w:rsidRPr="00000383">
        <w:rPr>
          <w:rtl/>
        </w:rPr>
        <w:t xml:space="preserve"> </w:t>
      </w:r>
      <w:r w:rsidR="00000383" w:rsidRPr="00000383">
        <w:rPr>
          <w:rFonts w:cs="Arial"/>
          <w:rtl/>
        </w:rPr>
        <w:t>אמרה אי אפשי לזוז מבית אבא, יכולין היורשין לומר לה אם את אצלנו יש ליך מזונות, ואם אין את אצלנו אין ליך מזונות. אם היתה טוענת מפני שהיא ילדה והן ילדים, זנין אותה והיא בבית אביה</w:t>
      </w:r>
      <w:r w:rsidR="00000383">
        <w:rPr>
          <w:rFonts w:cs="Arial" w:hint="cs"/>
          <w:rtl/>
        </w:rPr>
        <w:t>.</w:t>
      </w:r>
      <w:r>
        <w:rPr>
          <w:rFonts w:cs="Arial" w:hint="cs"/>
          <w:rtl/>
        </w:rPr>
        <w:t xml:space="preserve">    </w:t>
      </w:r>
      <w:r w:rsidRPr="00C63E1E">
        <w:rPr>
          <w:rFonts w:cs="Arial" w:hint="cs"/>
          <w:u w:val="double"/>
          <w:rtl/>
        </w:rPr>
        <w:t>גמ'</w:t>
      </w:r>
      <w:r>
        <w:rPr>
          <w:rFonts w:cs="Arial" w:hint="cs"/>
          <w:rtl/>
        </w:rPr>
        <w:t>:</w:t>
      </w:r>
      <w:r w:rsidRPr="00C63E1E">
        <w:rPr>
          <w:rFonts w:cs="Arial"/>
          <w:rtl/>
        </w:rPr>
        <w:t xml:space="preserve"> </w:t>
      </w:r>
      <w:r w:rsidR="00000383" w:rsidRPr="00000383">
        <w:rPr>
          <w:rFonts w:cs="Arial"/>
          <w:rtl/>
        </w:rPr>
        <w:t>אמרה אי אפשי. וליתבו לה כי יתבה התם! מסייע ליה לרב הונא, דאמר רב הונא: ברכת הבית ברובה. וליתבו לה לפי ברכת הבית! ה"נ.</w:t>
      </w:r>
    </w:p>
    <w:p w14:paraId="1880A71C" w14:textId="2F9A7388" w:rsidR="00213E4F" w:rsidRPr="007A45DD" w:rsidRDefault="007A45DD" w:rsidP="00972316">
      <w:pPr>
        <w:rPr>
          <w:u w:val="single"/>
          <w:rtl/>
        </w:rPr>
      </w:pPr>
      <w:r w:rsidRPr="007A45DD">
        <w:rPr>
          <w:rFonts w:hint="cs"/>
          <w:u w:val="single"/>
          <w:rtl/>
        </w:rPr>
        <w:t>מקום נתינת המזונות:</w:t>
      </w:r>
    </w:p>
    <w:p w14:paraId="06EFA4FB" w14:textId="25E732F7" w:rsidR="007F4046" w:rsidRPr="007F4046" w:rsidRDefault="00835288" w:rsidP="009000E3">
      <w:pPr>
        <w:pStyle w:val="ab"/>
        <w:numPr>
          <w:ilvl w:val="0"/>
          <w:numId w:val="61"/>
        </w:numPr>
      </w:pPr>
      <w:r>
        <w:rPr>
          <w:rFonts w:hint="cs"/>
          <w:rtl/>
        </w:rPr>
        <w:t>טור-</w:t>
      </w:r>
      <w:r>
        <w:rPr>
          <w:rFonts w:cs="Arial" w:hint="cs"/>
          <w:rtl/>
        </w:rPr>
        <w:t xml:space="preserve"> </w:t>
      </w:r>
      <w:r w:rsidRPr="00DA71B9">
        <w:rPr>
          <w:rFonts w:cs="Arial"/>
          <w:rtl/>
        </w:rPr>
        <w:t>ואם היא אומרת תנו לי מזונות בבית אבי</w:t>
      </w:r>
      <w:r w:rsidR="00DF5703">
        <w:rPr>
          <w:rFonts w:cs="Arial" w:hint="cs"/>
          <w:rtl/>
        </w:rPr>
        <w:t>,</w:t>
      </w:r>
      <w:r w:rsidRPr="00DA71B9">
        <w:rPr>
          <w:rFonts w:cs="Arial"/>
          <w:rtl/>
        </w:rPr>
        <w:t xml:space="preserve"> והיורשים אומרים תשב עמנו </w:t>
      </w:r>
      <w:r w:rsidR="00DF5703">
        <w:rPr>
          <w:rFonts w:cs="Arial" w:hint="cs"/>
          <w:rtl/>
        </w:rPr>
        <w:t xml:space="preserve">- </w:t>
      </w:r>
      <w:r w:rsidRPr="00DA71B9">
        <w:rPr>
          <w:rFonts w:cs="Arial"/>
          <w:rtl/>
        </w:rPr>
        <w:t>אין נותנין לה מזונותיה בבית אביה</w:t>
      </w:r>
      <w:r w:rsidR="00DF5703">
        <w:rPr>
          <w:rFonts w:cs="Arial" w:hint="cs"/>
          <w:rtl/>
        </w:rPr>
        <w:t>,</w:t>
      </w:r>
      <w:r w:rsidRPr="00DA71B9">
        <w:rPr>
          <w:rFonts w:cs="Arial"/>
          <w:rtl/>
        </w:rPr>
        <w:t xml:space="preserve"> אלא רואין כמה תספיק לה אם תשב עמהם כי ברכת הבית ברובה נר לאחד נר למאה</w:t>
      </w:r>
      <w:r>
        <w:rPr>
          <w:rStyle w:val="a7"/>
          <w:rFonts w:cs="Arial"/>
          <w:rtl/>
        </w:rPr>
        <w:footnoteReference w:id="1684"/>
      </w:r>
      <w:r w:rsidRPr="00DA71B9">
        <w:rPr>
          <w:rFonts w:cs="Arial"/>
          <w:rtl/>
        </w:rPr>
        <w:t xml:space="preserve"> וכיוצא בזה</w:t>
      </w:r>
      <w:r w:rsidR="00DF5703">
        <w:rPr>
          <w:rFonts w:cs="Arial" w:hint="cs"/>
          <w:rtl/>
        </w:rPr>
        <w:t>,</w:t>
      </w:r>
      <w:r w:rsidRPr="00DA71B9">
        <w:rPr>
          <w:rFonts w:cs="Arial"/>
          <w:rtl/>
        </w:rPr>
        <w:t xml:space="preserve"> ולפי זה יתנו לה</w:t>
      </w:r>
      <w:r w:rsidR="00DF5703">
        <w:rPr>
          <w:rFonts w:cs="Arial" w:hint="cs"/>
          <w:rtl/>
        </w:rPr>
        <w:t>.</w:t>
      </w:r>
      <w:r w:rsidRPr="00DA71B9">
        <w:rPr>
          <w:rFonts w:cs="Arial"/>
          <w:rtl/>
        </w:rPr>
        <w:t xml:space="preserve"> ואם יש לה טענה שאינה יכולה לדור עמהם מפני שהיא ילדה והם ילדים </w:t>
      </w:r>
      <w:r w:rsidR="00213E4F">
        <w:rPr>
          <w:rFonts w:cs="Arial" w:hint="cs"/>
          <w:rtl/>
        </w:rPr>
        <w:t xml:space="preserve">- </w:t>
      </w:r>
      <w:r w:rsidRPr="00DA71B9">
        <w:rPr>
          <w:rFonts w:cs="Arial"/>
          <w:rtl/>
        </w:rPr>
        <w:t>נותנים לה מזונותיה בבית אביה משלם</w:t>
      </w:r>
      <w:r w:rsidR="00213E4F">
        <w:rPr>
          <w:rFonts w:cs="Arial" w:hint="cs"/>
          <w:rtl/>
        </w:rPr>
        <w:t>.</w:t>
      </w:r>
      <w:r w:rsidR="007F4046" w:rsidRPr="007F4046">
        <w:rPr>
          <w:rFonts w:cs="Arial" w:hint="cs"/>
          <w:color w:val="E36C0A" w:themeColor="accent6" w:themeShade="BF"/>
          <w:rtl/>
        </w:rPr>
        <w:t xml:space="preserve"> </w:t>
      </w:r>
      <w:r w:rsidR="007F4046" w:rsidRPr="009C33F7">
        <w:rPr>
          <w:rFonts w:cs="Arial" w:hint="cs"/>
          <w:color w:val="E36C0A" w:themeColor="accent6" w:themeShade="BF"/>
          <w:rtl/>
        </w:rPr>
        <w:t>(וכ"פ בשו"ע)</w:t>
      </w:r>
      <w:r w:rsidRPr="00DA71B9">
        <w:rPr>
          <w:rFonts w:cs="Arial"/>
          <w:rtl/>
        </w:rPr>
        <w:t xml:space="preserve"> </w:t>
      </w:r>
    </w:p>
    <w:p w14:paraId="537CAF51" w14:textId="5AA84060" w:rsidR="007F4046" w:rsidRPr="007F4046" w:rsidRDefault="007F4046" w:rsidP="007F4046">
      <w:pPr>
        <w:ind w:left="360"/>
        <w:rPr>
          <w:u w:val="dotted"/>
        </w:rPr>
      </w:pPr>
      <w:r w:rsidRPr="007F4046">
        <w:rPr>
          <w:rFonts w:hint="cs"/>
          <w:u w:val="dotted"/>
          <w:rtl/>
        </w:rPr>
        <w:t xml:space="preserve">מתי יכולה לטעון </w:t>
      </w:r>
      <w:r>
        <w:rPr>
          <w:rFonts w:hint="cs"/>
          <w:u w:val="dotted"/>
          <w:rtl/>
        </w:rPr>
        <w:t>"</w:t>
      </w:r>
      <w:r w:rsidRPr="007F4046">
        <w:rPr>
          <w:rFonts w:hint="cs"/>
          <w:u w:val="dotted"/>
          <w:rtl/>
        </w:rPr>
        <w:t>איני יכולה לדור עמ</w:t>
      </w:r>
      <w:r w:rsidR="00891BDB">
        <w:rPr>
          <w:rFonts w:hint="cs"/>
          <w:u w:val="dotted"/>
          <w:rtl/>
        </w:rPr>
        <w:t>ה</w:t>
      </w:r>
      <w:r w:rsidRPr="007F4046">
        <w:rPr>
          <w:rFonts w:hint="cs"/>
          <w:u w:val="dotted"/>
          <w:rtl/>
        </w:rPr>
        <w:t>ם מפני שהם ילדים ואני ילדה</w:t>
      </w:r>
      <w:r>
        <w:rPr>
          <w:rFonts w:hint="cs"/>
          <w:u w:val="dotted"/>
          <w:rtl/>
        </w:rPr>
        <w:t>"</w:t>
      </w:r>
      <w:r w:rsidRPr="007F4046">
        <w:rPr>
          <w:rFonts w:hint="cs"/>
          <w:u w:val="dotted"/>
          <w:rtl/>
        </w:rPr>
        <w:t>:</w:t>
      </w:r>
    </w:p>
    <w:p w14:paraId="3CAF6AE2" w14:textId="740C831B" w:rsidR="00835288" w:rsidRPr="00835288" w:rsidRDefault="00835288" w:rsidP="009000E3">
      <w:pPr>
        <w:pStyle w:val="ab"/>
        <w:numPr>
          <w:ilvl w:val="0"/>
          <w:numId w:val="61"/>
        </w:numPr>
      </w:pPr>
      <w:r w:rsidRPr="00DA71B9">
        <w:rPr>
          <w:rFonts w:cs="Arial"/>
          <w:rtl/>
        </w:rPr>
        <w:t>רמ"ה</w:t>
      </w:r>
      <w:r w:rsidR="007F4046">
        <w:rPr>
          <w:rFonts w:cs="Arial" w:hint="cs"/>
          <w:sz w:val="16"/>
          <w:szCs w:val="16"/>
          <w:rtl/>
        </w:rPr>
        <w:t xml:space="preserve"> (כ"כ הטור בשמו)</w:t>
      </w:r>
      <w:r w:rsidR="007F4046">
        <w:rPr>
          <w:rFonts w:cs="Arial" w:hint="cs"/>
          <w:rtl/>
        </w:rPr>
        <w:t xml:space="preserve">- </w:t>
      </w:r>
      <w:r w:rsidRPr="00DA71B9">
        <w:rPr>
          <w:rFonts w:cs="Arial"/>
          <w:rtl/>
        </w:rPr>
        <w:t>אין טענה זו אלא כשאינם בניה</w:t>
      </w:r>
      <w:r w:rsidR="00213E4F">
        <w:rPr>
          <w:rFonts w:cs="Arial" w:hint="cs"/>
          <w:rtl/>
        </w:rPr>
        <w:t>,</w:t>
      </w:r>
      <w:r w:rsidRPr="00DA71B9">
        <w:rPr>
          <w:rFonts w:cs="Arial"/>
          <w:rtl/>
        </w:rPr>
        <w:t xml:space="preserve"> כגון באשת אב</w:t>
      </w:r>
      <w:r w:rsidR="00213E4F">
        <w:rPr>
          <w:rFonts w:cs="Arial" w:hint="cs"/>
          <w:rtl/>
        </w:rPr>
        <w:t>,</w:t>
      </w:r>
      <w:r w:rsidRPr="00DA71B9">
        <w:rPr>
          <w:rFonts w:cs="Arial"/>
          <w:rtl/>
        </w:rPr>
        <w:t xml:space="preserve"> או שלא הניח בנים אלא אחיו יורשין אותו</w:t>
      </w:r>
      <w:r w:rsidR="00213E4F">
        <w:rPr>
          <w:rFonts w:cs="Arial" w:hint="cs"/>
          <w:rtl/>
        </w:rPr>
        <w:t>,</w:t>
      </w:r>
      <w:r w:rsidRPr="00DA71B9">
        <w:rPr>
          <w:rFonts w:cs="Arial"/>
          <w:rtl/>
        </w:rPr>
        <w:t xml:space="preserve"> אבל אם היא אמם </w:t>
      </w:r>
      <w:r w:rsidR="00213E4F">
        <w:rPr>
          <w:rFonts w:cs="Arial" w:hint="cs"/>
          <w:rtl/>
        </w:rPr>
        <w:t xml:space="preserve">- </w:t>
      </w:r>
      <w:r w:rsidRPr="00DA71B9">
        <w:rPr>
          <w:rFonts w:cs="Arial"/>
          <w:rtl/>
        </w:rPr>
        <w:t>אינה יכולה לטעון כך</w:t>
      </w:r>
      <w:r w:rsidR="00213E4F">
        <w:rPr>
          <w:rFonts w:cs="Arial" w:hint="cs"/>
          <w:rtl/>
        </w:rPr>
        <w:t>,</w:t>
      </w:r>
      <w:r w:rsidRPr="00DA71B9">
        <w:rPr>
          <w:rFonts w:cs="Arial"/>
          <w:rtl/>
        </w:rPr>
        <w:t xml:space="preserve"> דגבי אמם ליכא למיחש להכי</w:t>
      </w:r>
      <w:r>
        <w:rPr>
          <w:rFonts w:cs="Arial" w:hint="cs"/>
          <w:rtl/>
        </w:rPr>
        <w:t>.</w:t>
      </w:r>
      <w:r w:rsidRPr="007F4046">
        <w:rPr>
          <w:rFonts w:cs="Arial"/>
          <w:color w:val="00B0F0"/>
          <w:rtl/>
        </w:rPr>
        <w:t xml:space="preserve"> </w:t>
      </w:r>
      <w:r w:rsidR="007F4046" w:rsidRPr="007F4046">
        <w:rPr>
          <w:rFonts w:cs="Arial" w:hint="cs"/>
          <w:color w:val="00B0F0"/>
          <w:rtl/>
        </w:rPr>
        <w:t>(וכ"כ הרמ"א)</w:t>
      </w:r>
    </w:p>
    <w:p w14:paraId="4F9383C8"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1F9E5E8" w14:textId="044B397E" w:rsidR="00AE4D35" w:rsidRDefault="00392DBB" w:rsidP="00392DBB">
      <w:pPr>
        <w:rPr>
          <w:rFonts w:cs="Arial"/>
          <w:rtl/>
        </w:rPr>
      </w:pPr>
      <w:r>
        <w:rPr>
          <w:rFonts w:cs="Arial"/>
          <w:rtl/>
        </w:rPr>
        <w:t xml:space="preserve">אלמנה שאמרה: איני זזה מבית אבי, פסקו לי מזונות ותנו לי שם, יכולין היורשין לומר: אם את אצלנו יש לך מזונות, ואם לאו אין אנו נותנין לך אלא כפי ברכת הבית. ואם היתה טוענת מפני שהיא ילדה והם ילדים, נותנין לה מזונות המספיקים לה לבדה והיא בבית אביה. </w:t>
      </w:r>
      <w:r w:rsidR="00AE4D35" w:rsidRPr="00AE4D35">
        <w:rPr>
          <w:rFonts w:cs="Arial" w:hint="cs"/>
          <w:sz w:val="18"/>
          <w:szCs w:val="18"/>
          <w:rtl/>
        </w:rPr>
        <w:t xml:space="preserve">[הגה] </w:t>
      </w:r>
      <w:r w:rsidRPr="00AE4D35">
        <w:rPr>
          <w:rFonts w:cs="Arial"/>
          <w:sz w:val="18"/>
          <w:szCs w:val="18"/>
          <w:rtl/>
        </w:rPr>
        <w:t>וי"א שאין זה טענה אלא באשת אב שאינה אמם (טור בשם הרמ"ה).</w:t>
      </w:r>
    </w:p>
    <w:p w14:paraId="0E41A153" w14:textId="5BCCFC5A" w:rsidR="00392DBB" w:rsidRDefault="00392DBB" w:rsidP="00392DBB">
      <w:pPr>
        <w:rPr>
          <w:rtl/>
        </w:rPr>
      </w:pPr>
      <w:r>
        <w:rPr>
          <w:rFonts w:cs="Arial"/>
          <w:rtl/>
        </w:rPr>
        <w:t xml:space="preserve"> </w:t>
      </w:r>
    </w:p>
    <w:p w14:paraId="06D6B636" w14:textId="6DEFB99B" w:rsidR="00392DBB" w:rsidRDefault="00392DBB" w:rsidP="000F64D0">
      <w:pPr>
        <w:pStyle w:val="2"/>
        <w:rPr>
          <w:rtl/>
        </w:rPr>
      </w:pPr>
      <w:r>
        <w:rPr>
          <w:rtl/>
        </w:rPr>
        <w:t>סעיף ז</w:t>
      </w:r>
      <w:r w:rsidR="002964E8">
        <w:rPr>
          <w:rFonts w:hint="cs"/>
          <w:rtl/>
        </w:rPr>
        <w:t>:</w:t>
      </w:r>
      <w:r w:rsidR="00891BDB">
        <w:rPr>
          <w:rFonts w:hint="cs"/>
          <w:rtl/>
        </w:rPr>
        <w:t xml:space="preserve"> פריעת מס</w:t>
      </w:r>
      <w:r w:rsidR="009A637D">
        <w:rPr>
          <w:rFonts w:hint="cs"/>
          <w:rtl/>
        </w:rPr>
        <w:t xml:space="preserve"> גולגלתה, פדיונה, רפואתה וקבורתה.</w:t>
      </w:r>
    </w:p>
    <w:p w14:paraId="20B05B6F" w14:textId="5A726F8D" w:rsidR="009A637D" w:rsidRPr="009A637D" w:rsidRDefault="009A637D" w:rsidP="009A637D">
      <w:pPr>
        <w:rPr>
          <w:u w:val="single"/>
          <w:rtl/>
        </w:rPr>
      </w:pPr>
      <w:r w:rsidRPr="009A637D">
        <w:rPr>
          <w:rFonts w:hint="cs"/>
          <w:u w:val="single"/>
          <w:rtl/>
        </w:rPr>
        <w:t>פריעת מס גולגלתה</w:t>
      </w:r>
      <w:r w:rsidR="005B1598">
        <w:rPr>
          <w:rFonts w:hint="cs"/>
          <w:u w:val="single"/>
          <w:rtl/>
        </w:rPr>
        <w:t>:</w:t>
      </w:r>
    </w:p>
    <w:p w14:paraId="0EC7A762" w14:textId="79D331E8" w:rsidR="005B1598" w:rsidRDefault="005B1598" w:rsidP="009000E3">
      <w:pPr>
        <w:pStyle w:val="ab"/>
        <w:numPr>
          <w:ilvl w:val="0"/>
          <w:numId w:val="61"/>
        </w:numPr>
      </w:pPr>
      <w:r>
        <w:rPr>
          <w:rFonts w:cs="Arial" w:hint="cs"/>
          <w:rtl/>
        </w:rPr>
        <w:t xml:space="preserve">רמ"ה </w:t>
      </w:r>
      <w:r w:rsidRPr="005B1598">
        <w:rPr>
          <w:rFonts w:cs="Arial" w:hint="cs"/>
          <w:sz w:val="16"/>
          <w:szCs w:val="16"/>
          <w:rtl/>
        </w:rPr>
        <w:t>(כ"כ בשמו ה</w:t>
      </w:r>
      <w:r w:rsidR="00835288" w:rsidRPr="005B1598">
        <w:rPr>
          <w:rFonts w:cs="Arial" w:hint="cs"/>
          <w:sz w:val="16"/>
          <w:szCs w:val="16"/>
          <w:rtl/>
        </w:rPr>
        <w:t>טור</w:t>
      </w:r>
      <w:r w:rsidRPr="005B1598">
        <w:rPr>
          <w:rFonts w:cs="Arial" w:hint="cs"/>
          <w:sz w:val="16"/>
          <w:szCs w:val="16"/>
          <w:rtl/>
        </w:rPr>
        <w:t xml:space="preserve"> ורי"</w:t>
      </w:r>
      <w:r>
        <w:rPr>
          <w:rFonts w:cs="Arial" w:hint="cs"/>
          <w:sz w:val="16"/>
          <w:szCs w:val="16"/>
          <w:rtl/>
        </w:rPr>
        <w:t>ו [</w:t>
      </w:r>
      <w:r w:rsidRPr="009A637D">
        <w:rPr>
          <w:rFonts w:cs="Arial"/>
          <w:sz w:val="16"/>
          <w:szCs w:val="16"/>
          <w:rtl/>
        </w:rPr>
        <w:t>מישרים נכ"ג חי"א סו ע"א</w:t>
      </w:r>
      <w:r>
        <w:rPr>
          <w:rFonts w:cs="Arial" w:hint="cs"/>
          <w:sz w:val="16"/>
          <w:szCs w:val="16"/>
          <w:rtl/>
        </w:rPr>
        <w:t>]</w:t>
      </w:r>
      <w:r w:rsidRPr="005B1598">
        <w:rPr>
          <w:rFonts w:cs="Arial" w:hint="cs"/>
          <w:sz w:val="16"/>
          <w:szCs w:val="16"/>
          <w:rtl/>
        </w:rPr>
        <w:t>)</w:t>
      </w:r>
      <w:r w:rsidR="00835288">
        <w:rPr>
          <w:rFonts w:cs="Arial" w:hint="cs"/>
          <w:rtl/>
        </w:rPr>
        <w:t xml:space="preserve">- </w:t>
      </w:r>
      <w:r w:rsidR="00835288" w:rsidRPr="00DA71B9">
        <w:rPr>
          <w:rFonts w:cs="Arial"/>
          <w:rtl/>
        </w:rPr>
        <w:t>וחייבים לפרוע בשבילה כסף גולגלתה ומס שעליה כדרך שפרע בעלה בשבילה</w:t>
      </w:r>
      <w:r>
        <w:rPr>
          <w:rFonts w:cs="Arial" w:hint="cs"/>
          <w:sz w:val="16"/>
          <w:szCs w:val="16"/>
          <w:rtl/>
        </w:rPr>
        <w:t xml:space="preserve"> (ל' הטור בשמו)</w:t>
      </w:r>
      <w:r w:rsidR="00891BDB">
        <w:rPr>
          <w:rFonts w:cs="Arial" w:hint="cs"/>
          <w:rtl/>
        </w:rPr>
        <w:t>.</w:t>
      </w:r>
      <w:r w:rsidRPr="005B1598">
        <w:rPr>
          <w:rFonts w:cs="Arial" w:hint="cs"/>
          <w:color w:val="E36C0A" w:themeColor="accent6" w:themeShade="BF"/>
          <w:rtl/>
        </w:rPr>
        <w:t xml:space="preserve"> </w:t>
      </w:r>
      <w:r w:rsidRPr="009C33F7">
        <w:rPr>
          <w:rFonts w:cs="Arial" w:hint="cs"/>
          <w:color w:val="E36C0A" w:themeColor="accent6" w:themeShade="BF"/>
          <w:rtl/>
        </w:rPr>
        <w:t>(וכ"פ בשו"ע)</w:t>
      </w:r>
      <w:r w:rsidRPr="00DA71B9">
        <w:rPr>
          <w:rFonts w:cs="Arial"/>
          <w:rtl/>
        </w:rPr>
        <w:t xml:space="preserve"> </w:t>
      </w:r>
      <w:r w:rsidR="00835288" w:rsidRPr="00DA71B9">
        <w:rPr>
          <w:rFonts w:cs="Arial"/>
          <w:rtl/>
        </w:rPr>
        <w:t xml:space="preserve"> </w:t>
      </w:r>
    </w:p>
    <w:p w14:paraId="2EBCFFF1" w14:textId="732E6237" w:rsidR="005B1598" w:rsidRPr="005B1598" w:rsidRDefault="005B1598" w:rsidP="005B1598">
      <w:r w:rsidRPr="009A637D">
        <w:rPr>
          <w:rFonts w:hint="cs"/>
          <w:u w:val="single"/>
          <w:rtl/>
        </w:rPr>
        <w:t>פדיונה, רפואתה וקבורתה:</w:t>
      </w:r>
    </w:p>
    <w:p w14:paraId="26EC45C7" w14:textId="348468BA" w:rsidR="00835288" w:rsidRDefault="005B1598" w:rsidP="009000E3">
      <w:pPr>
        <w:pStyle w:val="ab"/>
        <w:numPr>
          <w:ilvl w:val="0"/>
          <w:numId w:val="61"/>
        </w:numPr>
      </w:pPr>
      <w:r>
        <w:rPr>
          <w:rFonts w:cs="Arial" w:hint="cs"/>
          <w:rtl/>
        </w:rPr>
        <w:t>טור-</w:t>
      </w:r>
      <w:r w:rsidR="00835288" w:rsidRPr="00DA71B9">
        <w:rPr>
          <w:rFonts w:cs="Arial"/>
          <w:rtl/>
        </w:rPr>
        <w:t xml:space="preserve"> אינם חייבים בפדיונה וברפואתה שיש לה קצבה</w:t>
      </w:r>
      <w:r w:rsidR="00891BDB">
        <w:rPr>
          <w:rFonts w:cs="Arial" w:hint="cs"/>
          <w:rtl/>
        </w:rPr>
        <w:t>,</w:t>
      </w:r>
      <w:r w:rsidR="00835288" w:rsidRPr="00DA71B9">
        <w:rPr>
          <w:rFonts w:cs="Arial"/>
          <w:rtl/>
        </w:rPr>
        <w:t xml:space="preserve"> ולא בקבורתה כדפרישית לעיל</w:t>
      </w:r>
      <w:r w:rsidR="009A637D">
        <w:rPr>
          <w:rStyle w:val="a7"/>
          <w:rFonts w:cs="Arial"/>
          <w:rtl/>
        </w:rPr>
        <w:footnoteReference w:id="1685"/>
      </w:r>
      <w:r w:rsidR="00891BDB">
        <w:rPr>
          <w:rFonts w:cs="Arial" w:hint="cs"/>
          <w:rtl/>
        </w:rPr>
        <w:t>.</w:t>
      </w:r>
      <w:r>
        <w:rPr>
          <w:rFonts w:cs="Arial" w:hint="cs"/>
          <w:rtl/>
        </w:rPr>
        <w:t xml:space="preserve"> </w:t>
      </w:r>
      <w:r w:rsidRPr="009C33F7">
        <w:rPr>
          <w:rFonts w:cs="Arial" w:hint="cs"/>
          <w:color w:val="E36C0A" w:themeColor="accent6" w:themeShade="BF"/>
          <w:rtl/>
        </w:rPr>
        <w:t>(וכ"פ בשו"ע)</w:t>
      </w:r>
    </w:p>
    <w:p w14:paraId="69336EF6"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473BAD3" w14:textId="0F5BAD0A" w:rsidR="00392DBB" w:rsidRDefault="00392DBB" w:rsidP="00392DBB">
      <w:pPr>
        <w:rPr>
          <w:rFonts w:cs="Arial"/>
          <w:rtl/>
        </w:rPr>
      </w:pPr>
      <w:r>
        <w:rPr>
          <w:rFonts w:cs="Arial"/>
          <w:rtl/>
        </w:rPr>
        <w:t>חייבים לפרוע בשבילה כסף גולגלתה ומס שעליה, כדרך שפרע בעלה בשבילה. אבל אין חייבין בפדיונה, ולא ברפואתה שיש לה קצבה, ולא בקבורתה.</w:t>
      </w:r>
    </w:p>
    <w:p w14:paraId="4B0A0E22" w14:textId="77777777" w:rsidR="00AE4D35" w:rsidRDefault="00AE4D35" w:rsidP="00392DBB">
      <w:pPr>
        <w:rPr>
          <w:rFonts w:cs="Arial"/>
          <w:rtl/>
        </w:rPr>
      </w:pPr>
    </w:p>
    <w:p w14:paraId="7618ECE9" w14:textId="4D01ADC2" w:rsidR="002964E8" w:rsidRPr="007A3469" w:rsidRDefault="002964E8" w:rsidP="00392DBB">
      <w:pPr>
        <w:rPr>
          <w:rtl/>
        </w:rPr>
        <w:sectPr w:rsidR="002964E8" w:rsidRPr="007A3469" w:rsidSect="00A347B3">
          <w:headerReference w:type="default" r:id="rId38"/>
          <w:footnotePr>
            <w:numRestart w:val="eachSect"/>
          </w:footnotePr>
          <w:pgSz w:w="11906" w:h="16838"/>
          <w:pgMar w:top="720" w:right="1134" w:bottom="720" w:left="1134" w:header="0" w:footer="0" w:gutter="0"/>
          <w:cols w:space="720"/>
          <w:bidi/>
          <w:rtlGutter/>
          <w:docGrid w:linePitch="360"/>
        </w:sectPr>
      </w:pPr>
    </w:p>
    <w:p w14:paraId="3545A8CC" w14:textId="77777777" w:rsidR="00392DBB" w:rsidRDefault="00392DBB" w:rsidP="00392DBB">
      <w:pPr>
        <w:pStyle w:val="1"/>
        <w:rPr>
          <w:rtl/>
        </w:rPr>
      </w:pPr>
      <w:r>
        <w:rPr>
          <w:rFonts w:hint="cs"/>
          <w:rtl/>
        </w:rPr>
        <w:lastRenderedPageBreak/>
        <w:t>סימן צה:</w:t>
      </w:r>
      <w:r w:rsidRPr="00C12B74">
        <w:rPr>
          <w:rtl/>
        </w:rPr>
        <w:t xml:space="preserve"> </w:t>
      </w:r>
      <w:r>
        <w:rPr>
          <w:rFonts w:cs="Arial"/>
          <w:rtl/>
        </w:rPr>
        <w:t xml:space="preserve">חיוב מעשה ידיה ליורשים, ואם השביחו הנכסים אם נוטלת בהם, ובו ז' סעיפים. </w:t>
      </w:r>
    </w:p>
    <w:p w14:paraId="4C696137" w14:textId="7A5A1803" w:rsidR="00392DBB" w:rsidRDefault="00392DBB" w:rsidP="000F64D0">
      <w:pPr>
        <w:pStyle w:val="2"/>
        <w:rPr>
          <w:rtl/>
        </w:rPr>
      </w:pPr>
      <w:r>
        <w:rPr>
          <w:rtl/>
        </w:rPr>
        <w:t>סעיף א</w:t>
      </w:r>
      <w:r w:rsidR="003D2C1E">
        <w:rPr>
          <w:rFonts w:hint="cs"/>
          <w:rtl/>
        </w:rPr>
        <w:t xml:space="preserve">: </w:t>
      </w:r>
      <w:r w:rsidR="0082377E">
        <w:rPr>
          <w:rFonts w:hint="cs"/>
          <w:rtl/>
        </w:rPr>
        <w:t xml:space="preserve">מעשה ידיה </w:t>
      </w:r>
      <w:r w:rsidR="00D8747D">
        <w:rPr>
          <w:rFonts w:hint="cs"/>
          <w:rtl/>
        </w:rPr>
        <w:t>ליורשים.</w:t>
      </w:r>
    </w:p>
    <w:p w14:paraId="0118348B" w14:textId="2F98F5FE" w:rsidR="005B66BF" w:rsidRDefault="00D8747D" w:rsidP="005B66BF">
      <w:pPr>
        <w:rPr>
          <w:rtl/>
        </w:rPr>
      </w:pPr>
      <w:r w:rsidRPr="00270CBD">
        <w:rPr>
          <w:rFonts w:cs="Arial"/>
          <w:b/>
          <w:bCs/>
          <w:rtl/>
        </w:rPr>
        <w:t xml:space="preserve">כתובות </w:t>
      </w:r>
      <w:r w:rsidRPr="00270CBD">
        <w:rPr>
          <w:rFonts w:cs="Arial" w:hint="cs"/>
          <w:b/>
          <w:bCs/>
          <w:sz w:val="16"/>
          <w:szCs w:val="16"/>
          <w:rtl/>
        </w:rPr>
        <w:t>(</w:t>
      </w:r>
      <w:r w:rsidR="000F0AA2">
        <w:rPr>
          <w:rFonts w:cs="Arial" w:hint="cs"/>
          <w:b/>
          <w:bCs/>
          <w:sz w:val="16"/>
          <w:szCs w:val="16"/>
          <w:rtl/>
        </w:rPr>
        <w:t>ר"</w:t>
      </w:r>
      <w:r w:rsidRPr="00270CBD">
        <w:rPr>
          <w:rFonts w:cs="Arial" w:hint="cs"/>
          <w:b/>
          <w:bCs/>
          <w:sz w:val="16"/>
          <w:szCs w:val="16"/>
          <w:rtl/>
        </w:rPr>
        <w:t xml:space="preserve">פ </w:t>
      </w:r>
      <w:r>
        <w:rPr>
          <w:rFonts w:cs="Arial" w:hint="cs"/>
          <w:b/>
          <w:bCs/>
          <w:sz w:val="16"/>
          <w:szCs w:val="16"/>
          <w:rtl/>
        </w:rPr>
        <w:t>אלמנה ניזונת</w:t>
      </w:r>
      <w:r w:rsidRPr="00270CBD">
        <w:rPr>
          <w:rFonts w:cs="Arial" w:hint="cs"/>
          <w:b/>
          <w:bCs/>
          <w:sz w:val="16"/>
          <w:szCs w:val="16"/>
          <w:rtl/>
        </w:rPr>
        <w:t>)</w:t>
      </w:r>
      <w:r w:rsidRPr="00270CBD">
        <w:rPr>
          <w:rFonts w:cs="Arial" w:hint="cs"/>
          <w:b/>
          <w:bCs/>
          <w:rtl/>
        </w:rPr>
        <w:t xml:space="preserve"> </w:t>
      </w:r>
      <w:r w:rsidR="000F0AA2">
        <w:rPr>
          <w:rFonts w:cs="Arial" w:hint="cs"/>
          <w:b/>
          <w:bCs/>
          <w:rtl/>
        </w:rPr>
        <w:t>צה</w:t>
      </w:r>
      <w:r w:rsidRPr="00270CBD">
        <w:rPr>
          <w:rFonts w:cs="Arial" w:hint="cs"/>
          <w:b/>
          <w:bCs/>
          <w:rtl/>
        </w:rPr>
        <w:t xml:space="preserve"> ע"</w:t>
      </w:r>
      <w:r w:rsidR="000F0AA2">
        <w:rPr>
          <w:rFonts w:cs="Arial" w:hint="cs"/>
          <w:b/>
          <w:bCs/>
          <w:rtl/>
        </w:rPr>
        <w:t>ב</w:t>
      </w:r>
      <w:r w:rsidRPr="00270CBD">
        <w:rPr>
          <w:rFonts w:cs="Arial" w:hint="cs"/>
          <w:b/>
          <w:bCs/>
          <w:rtl/>
        </w:rPr>
        <w:t>:</w:t>
      </w:r>
      <w:r w:rsidRPr="006F1E49">
        <w:rPr>
          <w:rtl/>
        </w:rPr>
        <w:t xml:space="preserve"> </w:t>
      </w:r>
      <w:r w:rsidRPr="00C63E1E">
        <w:rPr>
          <w:rFonts w:cs="Arial"/>
          <w:u w:val="double"/>
          <w:rtl/>
        </w:rPr>
        <w:t>מתני'</w:t>
      </w:r>
      <w:r>
        <w:rPr>
          <w:rFonts w:cs="Arial" w:hint="cs"/>
          <w:rtl/>
        </w:rPr>
        <w:t>:</w:t>
      </w:r>
      <w:r w:rsidR="000F0AA2" w:rsidRPr="000F0AA2">
        <w:rPr>
          <w:rtl/>
        </w:rPr>
        <w:t xml:space="preserve"> </w:t>
      </w:r>
      <w:r w:rsidR="000F0AA2" w:rsidRPr="000F0AA2">
        <w:rPr>
          <w:rFonts w:cs="Arial"/>
          <w:rtl/>
        </w:rPr>
        <w:t>אלמנה ניזונת מנכסי יתומים, מעשה ידיה שלהן</w:t>
      </w:r>
      <w:r w:rsidR="00636F48">
        <w:rPr>
          <w:rFonts w:cs="Arial" w:hint="cs"/>
          <w:rtl/>
        </w:rPr>
        <w:t>,</w:t>
      </w:r>
      <w:r w:rsidR="00636F48" w:rsidRPr="00636F48">
        <w:rPr>
          <w:rtl/>
        </w:rPr>
        <w:t xml:space="preserve"> </w:t>
      </w:r>
      <w:r w:rsidR="00636F48" w:rsidRPr="00636F48">
        <w:rPr>
          <w:rFonts w:cs="Arial"/>
          <w:rtl/>
        </w:rPr>
        <w:t>ואין חייבין בקבורתה; יורשיה יורשי כתובתה - חייבין בקבורתה</w:t>
      </w:r>
      <w:r w:rsidR="00636F48">
        <w:rPr>
          <w:rFonts w:cs="Arial" w:hint="cs"/>
          <w:rtl/>
        </w:rPr>
        <w:t>.</w:t>
      </w:r>
      <w:r w:rsidR="00636F48" w:rsidRPr="00636F48">
        <w:rPr>
          <w:rFonts w:cs="Arial"/>
          <w:rtl/>
        </w:rPr>
        <w:t xml:space="preserve">  </w:t>
      </w:r>
    </w:p>
    <w:p w14:paraId="653E89F0" w14:textId="170FCE96" w:rsidR="005B66BF" w:rsidRDefault="005B66BF" w:rsidP="005B66BF">
      <w:pPr>
        <w:rPr>
          <w:rtl/>
        </w:rPr>
      </w:pPr>
      <w:r w:rsidRPr="005B66BF">
        <w:rPr>
          <w:rFonts w:cs="Arial" w:hint="cs"/>
          <w:b/>
          <w:bCs/>
          <w:rtl/>
        </w:rPr>
        <w:t xml:space="preserve">ירושלמי כתובות פי"א ה"א: </w:t>
      </w:r>
      <w:r w:rsidRPr="005B66BF">
        <w:rPr>
          <w:rFonts w:cs="Arial"/>
          <w:rtl/>
        </w:rPr>
        <w:t>אלמנה שאמרה יצאו מעשה ידי למזונותיי</w:t>
      </w:r>
      <w:r>
        <w:rPr>
          <w:rFonts w:cs="Arial" w:hint="cs"/>
          <w:rtl/>
        </w:rPr>
        <w:t xml:space="preserve"> -</w:t>
      </w:r>
      <w:r w:rsidRPr="005B66BF">
        <w:rPr>
          <w:rFonts w:cs="Arial"/>
          <w:rtl/>
        </w:rPr>
        <w:t xml:space="preserve"> שומעין לה</w:t>
      </w:r>
      <w:r>
        <w:rPr>
          <w:rFonts w:hint="cs"/>
          <w:rtl/>
        </w:rPr>
        <w:t>.</w:t>
      </w:r>
      <w:r w:rsidRPr="005B66BF">
        <w:rPr>
          <w:rFonts w:cs="Arial" w:hint="cs"/>
          <w:sz w:val="16"/>
          <w:szCs w:val="16"/>
          <w:rtl/>
        </w:rPr>
        <w:t xml:space="preserve"> (</w:t>
      </w:r>
      <w:r w:rsidRPr="005B66BF">
        <w:rPr>
          <w:rFonts w:cs="Arial"/>
          <w:sz w:val="16"/>
          <w:szCs w:val="16"/>
          <w:rtl/>
        </w:rPr>
        <w:t>וכ</w:t>
      </w:r>
      <w:r w:rsidRPr="005B66BF">
        <w:rPr>
          <w:rFonts w:cs="Arial" w:hint="cs"/>
          <w:sz w:val="16"/>
          <w:szCs w:val="16"/>
          <w:rtl/>
        </w:rPr>
        <w:t>ן פסק</w:t>
      </w:r>
      <w:r w:rsidRPr="005B66BF">
        <w:rPr>
          <w:rFonts w:cs="Arial"/>
          <w:sz w:val="16"/>
          <w:szCs w:val="16"/>
          <w:rtl/>
        </w:rPr>
        <w:t xml:space="preserve"> הר"ן (נה. ד"ה אלמנה</w:t>
      </w:r>
      <w:r>
        <w:rPr>
          <w:rFonts w:cs="Arial" w:hint="cs"/>
          <w:sz w:val="16"/>
          <w:szCs w:val="16"/>
          <w:rtl/>
        </w:rPr>
        <w:t>)</w:t>
      </w:r>
      <w:r w:rsidR="006C1F84">
        <w:rPr>
          <w:rFonts w:cs="Arial" w:hint="cs"/>
          <w:sz w:val="16"/>
          <w:szCs w:val="16"/>
          <w:rtl/>
        </w:rPr>
        <w:t xml:space="preserve">. </w:t>
      </w:r>
      <w:r w:rsidR="00A01DCB">
        <w:rPr>
          <w:rFonts w:cs="Arial" w:hint="cs"/>
          <w:color w:val="E36C0A" w:themeColor="accent6" w:themeShade="BF"/>
          <w:sz w:val="16"/>
          <w:szCs w:val="16"/>
          <w:rtl/>
        </w:rPr>
        <w:t>(</w:t>
      </w:r>
      <w:r w:rsidR="006C1F84" w:rsidRPr="00A01DCB">
        <w:rPr>
          <w:rFonts w:cs="Arial" w:hint="cs"/>
          <w:color w:val="E36C0A" w:themeColor="accent6" w:themeShade="BF"/>
          <w:sz w:val="16"/>
          <w:szCs w:val="16"/>
          <w:rtl/>
        </w:rPr>
        <w:t>וכ"</w:t>
      </w:r>
      <w:r w:rsidR="00A01DCB" w:rsidRPr="00A01DCB">
        <w:rPr>
          <w:rFonts w:cs="Arial" w:hint="cs"/>
          <w:color w:val="E36C0A" w:themeColor="accent6" w:themeShade="BF"/>
          <w:sz w:val="16"/>
          <w:szCs w:val="16"/>
          <w:rtl/>
        </w:rPr>
        <w:t>פ בשו"ע)</w:t>
      </w:r>
      <w:r>
        <w:rPr>
          <w:rFonts w:cs="Arial" w:hint="cs"/>
          <w:sz w:val="16"/>
          <w:szCs w:val="16"/>
          <w:rtl/>
        </w:rPr>
        <w:t>)</w:t>
      </w:r>
    </w:p>
    <w:p w14:paraId="2F2A5681" w14:textId="3C1A21B8" w:rsidR="005B66BF" w:rsidRPr="005B66BF" w:rsidRDefault="005B66BF" w:rsidP="005B66BF">
      <w:pPr>
        <w:rPr>
          <w:u w:val="single"/>
          <w:rtl/>
        </w:rPr>
      </w:pPr>
      <w:r w:rsidRPr="005B66BF">
        <w:rPr>
          <w:rFonts w:hint="cs"/>
          <w:u w:val="single"/>
          <w:rtl/>
        </w:rPr>
        <w:t>מעשה ידיה ל</w:t>
      </w:r>
      <w:r>
        <w:rPr>
          <w:rFonts w:hint="cs"/>
          <w:u w:val="single"/>
          <w:rtl/>
        </w:rPr>
        <w:t>יורשים</w:t>
      </w:r>
      <w:r w:rsidRPr="005B66BF">
        <w:rPr>
          <w:rFonts w:hint="cs"/>
          <w:u w:val="single"/>
          <w:rtl/>
        </w:rPr>
        <w:t>:</w:t>
      </w:r>
    </w:p>
    <w:p w14:paraId="15959359" w14:textId="337CE7BC" w:rsidR="001A728C" w:rsidRPr="001A728C" w:rsidRDefault="00AB751F" w:rsidP="009000E3">
      <w:pPr>
        <w:pStyle w:val="ab"/>
        <w:numPr>
          <w:ilvl w:val="0"/>
          <w:numId w:val="61"/>
        </w:numPr>
      </w:pPr>
      <w:r w:rsidRPr="00AB751F">
        <w:rPr>
          <w:rFonts w:cs="Arial" w:hint="cs"/>
          <w:rtl/>
        </w:rPr>
        <w:t xml:space="preserve">טור- </w:t>
      </w:r>
      <w:r w:rsidRPr="00AB751F">
        <w:rPr>
          <w:rFonts w:cs="Arial"/>
          <w:rtl/>
        </w:rPr>
        <w:t>כיון שחייבים במזונותיה מעשה ידיה שלהן</w:t>
      </w:r>
      <w:r w:rsidR="0082377E">
        <w:rPr>
          <w:rFonts w:cs="Arial" w:hint="cs"/>
          <w:rtl/>
        </w:rPr>
        <w:t>.</w:t>
      </w:r>
      <w:r w:rsidRPr="00AB751F">
        <w:rPr>
          <w:rFonts w:cs="Arial"/>
          <w:rtl/>
        </w:rPr>
        <w:t xml:space="preserve"> ואם אומרים לה היורשים טלי מעשה ידיך במזונותיך </w:t>
      </w:r>
      <w:r w:rsidR="0082377E">
        <w:rPr>
          <w:rFonts w:cs="Arial" w:hint="cs"/>
          <w:rtl/>
        </w:rPr>
        <w:t xml:space="preserve">- </w:t>
      </w:r>
      <w:r w:rsidRPr="00AB751F">
        <w:rPr>
          <w:rFonts w:cs="Arial"/>
          <w:rtl/>
        </w:rPr>
        <w:t>אין שומעין להם אלא אם כן תתרצה היא</w:t>
      </w:r>
      <w:r w:rsidR="006C1F84">
        <w:rPr>
          <w:rStyle w:val="a7"/>
          <w:rFonts w:cs="Arial"/>
          <w:rtl/>
        </w:rPr>
        <w:footnoteReference w:id="1686"/>
      </w:r>
      <w:r w:rsidR="001A728C">
        <w:rPr>
          <w:rFonts w:cs="Arial" w:hint="cs"/>
          <w:rtl/>
        </w:rPr>
        <w:t>.</w:t>
      </w:r>
      <w:r w:rsidRPr="00AB751F">
        <w:rPr>
          <w:rFonts w:cs="Arial"/>
          <w:rtl/>
        </w:rPr>
        <w:t xml:space="preserve"> </w:t>
      </w:r>
      <w:r w:rsidR="00A01DCB" w:rsidRPr="00A01DCB">
        <w:rPr>
          <w:rFonts w:cs="Arial" w:hint="cs"/>
          <w:color w:val="E36C0A" w:themeColor="accent6" w:themeShade="BF"/>
          <w:rtl/>
        </w:rPr>
        <w:t>(וכ"פ בשו"ע)</w:t>
      </w:r>
    </w:p>
    <w:p w14:paraId="7534D55D"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1C36349" w14:textId="2E877A1C" w:rsidR="00392DBB" w:rsidRDefault="00392DBB" w:rsidP="00392DBB">
      <w:pPr>
        <w:rPr>
          <w:rFonts w:cs="Arial"/>
          <w:rtl/>
        </w:rPr>
      </w:pPr>
      <w:r>
        <w:rPr>
          <w:rFonts w:cs="Arial"/>
          <w:rtl/>
        </w:rPr>
        <w:t xml:space="preserve">מאחר שהיורשים חייבים במזונות האלמנה, מעשה ידיה שלהם. ואם היורשים אומרים לה: טלי מעשה ידיך למזונותיך, אין שומעין להם. אבל אם היא אומרת כן, שומעין לה. </w:t>
      </w:r>
    </w:p>
    <w:p w14:paraId="1711E345" w14:textId="77777777" w:rsidR="009B2E0A" w:rsidRDefault="009B2E0A" w:rsidP="00392DBB">
      <w:pPr>
        <w:rPr>
          <w:rtl/>
        </w:rPr>
      </w:pPr>
    </w:p>
    <w:p w14:paraId="3FC49500" w14:textId="6FCC63FE" w:rsidR="00392DBB" w:rsidRDefault="00392DBB" w:rsidP="000F64D0">
      <w:pPr>
        <w:pStyle w:val="2"/>
        <w:rPr>
          <w:rtl/>
        </w:rPr>
      </w:pPr>
      <w:r>
        <w:rPr>
          <w:rtl/>
        </w:rPr>
        <w:t>סעיף ב</w:t>
      </w:r>
      <w:r w:rsidR="004368B8">
        <w:rPr>
          <w:rFonts w:hint="cs"/>
          <w:rtl/>
        </w:rPr>
        <w:t>: אלמנה מניקה.</w:t>
      </w:r>
    </w:p>
    <w:p w14:paraId="0A7D537A" w14:textId="77777777" w:rsidR="00A673EB" w:rsidRDefault="00A673EB" w:rsidP="00A673EB">
      <w:pPr>
        <w:rPr>
          <w:rFonts w:cs="Arial"/>
          <w:rtl/>
        </w:rPr>
      </w:pPr>
      <w:r w:rsidRPr="00A673EB">
        <w:rPr>
          <w:rFonts w:cs="Arial" w:hint="cs"/>
          <w:u w:val="single"/>
          <w:rtl/>
        </w:rPr>
        <w:t>אלמנה מניקה - האם יכולה לדרוש שכר/כתובה:</w:t>
      </w:r>
    </w:p>
    <w:p w14:paraId="59C51A13" w14:textId="0FDA551E" w:rsidR="007E1ACD" w:rsidRPr="00A673EB" w:rsidRDefault="007E1ACD" w:rsidP="009000E3">
      <w:pPr>
        <w:pStyle w:val="ab"/>
        <w:numPr>
          <w:ilvl w:val="0"/>
          <w:numId w:val="61"/>
        </w:numPr>
        <w:rPr>
          <w:rFonts w:cs="Arial"/>
          <w:rtl/>
        </w:rPr>
      </w:pPr>
      <w:r w:rsidRPr="00A673EB">
        <w:rPr>
          <w:rFonts w:cs="Arial" w:hint="cs"/>
          <w:rtl/>
        </w:rPr>
        <w:t xml:space="preserve">הה"מ </w:t>
      </w:r>
      <w:r w:rsidR="00A673EB" w:rsidRPr="00A673EB">
        <w:rPr>
          <w:rFonts w:cs="Arial" w:hint="cs"/>
          <w:sz w:val="16"/>
          <w:szCs w:val="16"/>
          <w:rtl/>
        </w:rPr>
        <w:t>(פי"ח מהל' אישות ה"ו)</w:t>
      </w:r>
      <w:r w:rsidR="00A673EB" w:rsidRPr="00A673EB">
        <w:rPr>
          <w:rFonts w:cs="Arial" w:hint="cs"/>
          <w:rtl/>
        </w:rPr>
        <w:t xml:space="preserve">- </w:t>
      </w:r>
      <w:r w:rsidRPr="00A673EB">
        <w:rPr>
          <w:rFonts w:cs="Arial"/>
          <w:rtl/>
        </w:rPr>
        <w:t xml:space="preserve">אמרו </w:t>
      </w:r>
      <w:r w:rsidR="00A673EB" w:rsidRPr="00A673EB">
        <w:rPr>
          <w:rFonts w:cs="Arial" w:hint="cs"/>
          <w:rtl/>
        </w:rPr>
        <w:t xml:space="preserve">המפרשים </w:t>
      </w:r>
      <w:r w:rsidRPr="00A673EB">
        <w:rPr>
          <w:rFonts w:cs="Arial"/>
          <w:rtl/>
        </w:rPr>
        <w:t>שאפילו היתה מניקה</w:t>
      </w:r>
      <w:r w:rsidR="00A673EB" w:rsidRPr="00A673EB">
        <w:rPr>
          <w:rFonts w:cs="Arial" w:hint="cs"/>
          <w:rtl/>
        </w:rPr>
        <w:t>,</w:t>
      </w:r>
      <w:r w:rsidRPr="00A673EB">
        <w:rPr>
          <w:rFonts w:cs="Arial"/>
          <w:rtl/>
        </w:rPr>
        <w:t xml:space="preserve"> יכולה היא לומר איני מניקה אלא בשכר</w:t>
      </w:r>
      <w:r w:rsidR="00A673EB" w:rsidRPr="00A673EB">
        <w:rPr>
          <w:rFonts w:cs="Arial" w:hint="cs"/>
          <w:rtl/>
        </w:rPr>
        <w:t>.</w:t>
      </w:r>
      <w:r w:rsidRPr="00A673EB">
        <w:rPr>
          <w:rFonts w:cs="Arial"/>
          <w:rtl/>
        </w:rPr>
        <w:t xml:space="preserve"> ויכולה היא לתבוע כתובתה לאלתר ואע</w:t>
      </w:r>
      <w:r w:rsidR="00A673EB" w:rsidRPr="00A673EB">
        <w:rPr>
          <w:rFonts w:cs="Arial" w:hint="cs"/>
          <w:rtl/>
        </w:rPr>
        <w:t>"</w:t>
      </w:r>
      <w:r w:rsidRPr="00A673EB">
        <w:rPr>
          <w:rFonts w:cs="Arial"/>
          <w:rtl/>
        </w:rPr>
        <w:t>פ שאינה רשאה לינשא תוך כ"ד חדש ללידת הולד כמו שנתבאר פי"א מהלכות גירושין</w:t>
      </w:r>
      <w:r w:rsidR="00A673EB" w:rsidRPr="00A673EB">
        <w:rPr>
          <w:rFonts w:cs="Arial" w:hint="cs"/>
          <w:rtl/>
        </w:rPr>
        <w:t>,</w:t>
      </w:r>
      <w:r w:rsidRPr="00A673EB">
        <w:rPr>
          <w:rFonts w:cs="Arial"/>
          <w:rtl/>
        </w:rPr>
        <w:t xml:space="preserve"> וכן הסכים הרשב"א ז"ל</w:t>
      </w:r>
      <w:r w:rsidR="00A673EB" w:rsidRPr="00A673EB">
        <w:rPr>
          <w:rFonts w:cs="Arial" w:hint="cs"/>
          <w:rtl/>
        </w:rPr>
        <w:t>.</w:t>
      </w:r>
      <w:r w:rsidRPr="00A673EB">
        <w:rPr>
          <w:rFonts w:cs="Arial"/>
          <w:rtl/>
        </w:rPr>
        <w:t xml:space="preserve"> </w:t>
      </w:r>
      <w:r w:rsidR="0066022D" w:rsidRPr="00A01DCB">
        <w:rPr>
          <w:rFonts w:cs="Arial" w:hint="cs"/>
          <w:color w:val="E36C0A" w:themeColor="accent6" w:themeShade="BF"/>
          <w:rtl/>
        </w:rPr>
        <w:t>(וכ"פ בשו"ע)</w:t>
      </w:r>
    </w:p>
    <w:p w14:paraId="06EA569C"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39504A7" w14:textId="244892DA" w:rsidR="00392DBB" w:rsidRDefault="00392DBB" w:rsidP="00392DBB">
      <w:pPr>
        <w:rPr>
          <w:rtl/>
        </w:rPr>
      </w:pPr>
      <w:r>
        <w:rPr>
          <w:rFonts w:cs="Arial"/>
          <w:rtl/>
        </w:rPr>
        <w:t xml:space="preserve">אם היתה מניקה, יכולה היא לומר: איני מניקה אלא בשכר. ויכולה היא לתבוע כתובתה לאלתר, אף על פי שאינה יכולה לינשא תוך כ"ד חדש. </w:t>
      </w:r>
    </w:p>
    <w:p w14:paraId="0F36854C" w14:textId="77777777" w:rsidR="009B2E0A" w:rsidRDefault="009B2E0A" w:rsidP="00392DBB">
      <w:pPr>
        <w:rPr>
          <w:rtl/>
        </w:rPr>
      </w:pPr>
    </w:p>
    <w:p w14:paraId="36E081D7" w14:textId="638AB85C" w:rsidR="00392DBB" w:rsidRDefault="00392DBB" w:rsidP="000F64D0">
      <w:pPr>
        <w:pStyle w:val="2"/>
        <w:rPr>
          <w:rtl/>
        </w:rPr>
      </w:pPr>
      <w:r>
        <w:rPr>
          <w:rtl/>
        </w:rPr>
        <w:t>סעיף ג</w:t>
      </w:r>
      <w:r w:rsidR="00A673EB">
        <w:rPr>
          <w:rFonts w:hint="cs"/>
          <w:rtl/>
        </w:rPr>
        <w:t xml:space="preserve">: </w:t>
      </w:r>
      <w:r w:rsidR="00E3218E">
        <w:rPr>
          <w:rFonts w:hint="cs"/>
          <w:rtl/>
        </w:rPr>
        <w:t>מלאכות שהאלמנה עושה ליורשים.</w:t>
      </w:r>
    </w:p>
    <w:p w14:paraId="07CB6634" w14:textId="77777777" w:rsidR="00E3218E" w:rsidRPr="009B2E0A" w:rsidRDefault="00E3218E" w:rsidP="00E3218E">
      <w:pPr>
        <w:rPr>
          <w:rtl/>
        </w:rPr>
      </w:pPr>
      <w:r w:rsidRPr="00270CBD">
        <w:rPr>
          <w:rFonts w:cs="Arial"/>
          <w:b/>
          <w:bCs/>
          <w:rtl/>
        </w:rPr>
        <w:t xml:space="preserve">כתובות </w:t>
      </w:r>
      <w:r w:rsidRPr="00270CBD">
        <w:rPr>
          <w:rFonts w:cs="Arial" w:hint="cs"/>
          <w:b/>
          <w:bCs/>
          <w:sz w:val="16"/>
          <w:szCs w:val="16"/>
          <w:rtl/>
        </w:rPr>
        <w:t>(</w:t>
      </w:r>
      <w:r>
        <w:rPr>
          <w:rFonts w:cs="Arial" w:hint="cs"/>
          <w:b/>
          <w:bCs/>
          <w:sz w:val="16"/>
          <w:szCs w:val="16"/>
          <w:rtl/>
        </w:rPr>
        <w:t>ר"</w:t>
      </w:r>
      <w:r w:rsidRPr="00270CBD">
        <w:rPr>
          <w:rFonts w:cs="Arial" w:hint="cs"/>
          <w:b/>
          <w:bCs/>
          <w:sz w:val="16"/>
          <w:szCs w:val="16"/>
          <w:rtl/>
        </w:rPr>
        <w:t xml:space="preserve">פ </w:t>
      </w:r>
      <w:r>
        <w:rPr>
          <w:rFonts w:cs="Arial" w:hint="cs"/>
          <w:b/>
          <w:bCs/>
          <w:sz w:val="16"/>
          <w:szCs w:val="16"/>
          <w:rtl/>
        </w:rPr>
        <w:t>אלמנה ניזונת</w:t>
      </w:r>
      <w:r w:rsidRPr="00270CBD">
        <w:rPr>
          <w:rFonts w:cs="Arial" w:hint="cs"/>
          <w:b/>
          <w:bCs/>
          <w:sz w:val="16"/>
          <w:szCs w:val="16"/>
          <w:rtl/>
        </w:rPr>
        <w:t>)</w:t>
      </w:r>
      <w:r w:rsidRPr="00270CBD">
        <w:rPr>
          <w:rFonts w:cs="Arial" w:hint="cs"/>
          <w:b/>
          <w:bCs/>
          <w:rtl/>
        </w:rPr>
        <w:t xml:space="preserve"> </w:t>
      </w:r>
      <w:r>
        <w:rPr>
          <w:rFonts w:cs="Arial" w:hint="cs"/>
          <w:b/>
          <w:bCs/>
          <w:rtl/>
        </w:rPr>
        <w:t>צו</w:t>
      </w:r>
      <w:r w:rsidRPr="00270CBD">
        <w:rPr>
          <w:rFonts w:cs="Arial" w:hint="cs"/>
          <w:b/>
          <w:bCs/>
          <w:rtl/>
        </w:rPr>
        <w:t xml:space="preserve"> ע"</w:t>
      </w:r>
      <w:r>
        <w:rPr>
          <w:rFonts w:cs="Arial" w:hint="cs"/>
          <w:b/>
          <w:bCs/>
          <w:rtl/>
        </w:rPr>
        <w:t>א</w:t>
      </w:r>
      <w:r w:rsidRPr="00270CBD">
        <w:rPr>
          <w:rFonts w:cs="Arial" w:hint="cs"/>
          <w:b/>
          <w:bCs/>
          <w:rtl/>
        </w:rPr>
        <w:t>:</w:t>
      </w:r>
      <w:r w:rsidRPr="006F1E49">
        <w:rPr>
          <w:rtl/>
        </w:rPr>
        <w:t xml:space="preserve"> </w:t>
      </w:r>
      <w:r w:rsidRPr="00D56355">
        <w:rPr>
          <w:rFonts w:cs="Arial"/>
          <w:u w:val="single"/>
          <w:rtl/>
        </w:rPr>
        <w:t>אמר רבי יוסי בר חנינא</w:t>
      </w:r>
      <w:r w:rsidRPr="00E3218E">
        <w:rPr>
          <w:rFonts w:cs="Arial"/>
          <w:rtl/>
        </w:rPr>
        <w:t xml:space="preserve">: כל מלאכות שהאשה עושה לבעלה - אלמנה עושה ליורשים, חוץ ממזיגת הכוס, והצעת המטה, והרחצת פניו ידיו ורגליו. </w:t>
      </w:r>
    </w:p>
    <w:p w14:paraId="53F1A216" w14:textId="74291AC3" w:rsidR="00E3218E" w:rsidRPr="00E3218E" w:rsidRDefault="00E3218E" w:rsidP="00E3218E">
      <w:pPr>
        <w:rPr>
          <w:u w:val="single"/>
          <w:rtl/>
        </w:rPr>
      </w:pPr>
      <w:r w:rsidRPr="00E3218E">
        <w:rPr>
          <w:rFonts w:hint="cs"/>
          <w:u w:val="single"/>
          <w:rtl/>
        </w:rPr>
        <w:t>מלאכות שהאלמנה עושה ליורשים:</w:t>
      </w:r>
    </w:p>
    <w:p w14:paraId="175BF403" w14:textId="46000C42" w:rsidR="001A728C" w:rsidRPr="001A728C" w:rsidRDefault="0066022D" w:rsidP="009000E3">
      <w:pPr>
        <w:pStyle w:val="ab"/>
        <w:numPr>
          <w:ilvl w:val="0"/>
          <w:numId w:val="61"/>
        </w:numPr>
      </w:pPr>
      <w:r>
        <w:rPr>
          <w:rFonts w:cs="Arial" w:hint="cs"/>
          <w:rtl/>
        </w:rPr>
        <w:t xml:space="preserve">רמב"ם </w:t>
      </w:r>
      <w:r>
        <w:rPr>
          <w:rFonts w:cs="Arial" w:hint="cs"/>
          <w:sz w:val="16"/>
          <w:szCs w:val="16"/>
          <w:rtl/>
        </w:rPr>
        <w:t>(פי"ח ה"ז)</w:t>
      </w:r>
      <w:r>
        <w:rPr>
          <w:rFonts w:cs="Arial" w:hint="cs"/>
          <w:rtl/>
        </w:rPr>
        <w:t xml:space="preserve"> ו</w:t>
      </w:r>
      <w:r w:rsidRPr="00895F56">
        <w:rPr>
          <w:rFonts w:cs="Arial" w:hint="cs"/>
          <w:rtl/>
        </w:rPr>
        <w:t xml:space="preserve">טור- </w:t>
      </w:r>
      <w:r w:rsidR="001A728C" w:rsidRPr="00AB751F">
        <w:rPr>
          <w:rFonts w:cs="Arial"/>
          <w:rtl/>
        </w:rPr>
        <w:t>כל מלאכות שהאשה עושה לבעלה עושה היא להם</w:t>
      </w:r>
      <w:r w:rsidR="008D5024">
        <w:rPr>
          <w:rFonts w:cs="Arial" w:hint="cs"/>
          <w:rtl/>
        </w:rPr>
        <w:t>,</w:t>
      </w:r>
      <w:r w:rsidR="001A728C" w:rsidRPr="00AB751F">
        <w:rPr>
          <w:rFonts w:cs="Arial"/>
          <w:rtl/>
        </w:rPr>
        <w:t xml:space="preserve"> חוץ ממזיגת הכוס והצעת המטה ורחיצת פנים ידים ורגלים</w:t>
      </w:r>
      <w:r>
        <w:rPr>
          <w:rFonts w:cs="Arial" w:hint="cs"/>
          <w:sz w:val="16"/>
          <w:szCs w:val="16"/>
          <w:rtl/>
        </w:rPr>
        <w:t xml:space="preserve"> (ל' הטור)</w:t>
      </w:r>
      <w:r w:rsidR="008D5024">
        <w:rPr>
          <w:rFonts w:cs="Arial" w:hint="cs"/>
          <w:rtl/>
        </w:rPr>
        <w:t>.</w:t>
      </w:r>
      <w:r w:rsidR="001A728C" w:rsidRPr="00AB751F">
        <w:rPr>
          <w:rFonts w:cs="Arial"/>
          <w:rtl/>
        </w:rPr>
        <w:t xml:space="preserve"> </w:t>
      </w:r>
      <w:r w:rsidRPr="00A01DCB">
        <w:rPr>
          <w:rFonts w:cs="Arial" w:hint="cs"/>
          <w:color w:val="E36C0A" w:themeColor="accent6" w:themeShade="BF"/>
          <w:rtl/>
        </w:rPr>
        <w:t>(וכ"פ בשו"ע)</w:t>
      </w:r>
    </w:p>
    <w:p w14:paraId="67096208"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DE1E2A8" w14:textId="369D6717" w:rsidR="00392DBB" w:rsidRDefault="00392DBB" w:rsidP="00392DBB">
      <w:pPr>
        <w:rPr>
          <w:rFonts w:cs="Arial"/>
          <w:rtl/>
        </w:rPr>
      </w:pPr>
      <w:r>
        <w:rPr>
          <w:rFonts w:cs="Arial"/>
          <w:rtl/>
        </w:rPr>
        <w:t xml:space="preserve">כל מלאכות שהאשה עושה לבעלה אלמנה עושה ליורשים, חוץ ממזיגת הכוס והצעת המטה והרחצת פנים ידים ורגלים. </w:t>
      </w:r>
    </w:p>
    <w:p w14:paraId="4F88BF23" w14:textId="77777777" w:rsidR="00E3218E" w:rsidRDefault="00E3218E" w:rsidP="00392DBB">
      <w:pPr>
        <w:rPr>
          <w:rtl/>
        </w:rPr>
      </w:pPr>
    </w:p>
    <w:p w14:paraId="3DC120CC" w14:textId="237B8A66" w:rsidR="00392DBB" w:rsidRDefault="00392DBB" w:rsidP="000F64D0">
      <w:pPr>
        <w:pStyle w:val="2"/>
        <w:rPr>
          <w:rtl/>
        </w:rPr>
      </w:pPr>
      <w:r>
        <w:rPr>
          <w:rtl/>
        </w:rPr>
        <w:lastRenderedPageBreak/>
        <w:t>סעיף ד</w:t>
      </w:r>
      <w:r w:rsidR="00E3218E">
        <w:rPr>
          <w:rFonts w:hint="cs"/>
          <w:rtl/>
        </w:rPr>
        <w:t xml:space="preserve">: </w:t>
      </w:r>
      <w:r w:rsidR="0030761F">
        <w:rPr>
          <w:rFonts w:hint="cs"/>
          <w:rtl/>
        </w:rPr>
        <w:t>מציאתה ופירות נכסיה.</w:t>
      </w:r>
    </w:p>
    <w:p w14:paraId="41082B8D" w14:textId="04C908C8" w:rsidR="00636F48" w:rsidRPr="00636F48" w:rsidRDefault="00636F48" w:rsidP="00636F48">
      <w:pPr>
        <w:rPr>
          <w:rFonts w:cs="Arial"/>
          <w:sz w:val="16"/>
          <w:szCs w:val="16"/>
          <w:rtl/>
        </w:rPr>
      </w:pPr>
      <w:r w:rsidRPr="00270CBD">
        <w:rPr>
          <w:rFonts w:cs="Arial"/>
          <w:b/>
          <w:bCs/>
          <w:rtl/>
        </w:rPr>
        <w:t xml:space="preserve">כתובות </w:t>
      </w:r>
      <w:r w:rsidRPr="00270CBD">
        <w:rPr>
          <w:rFonts w:cs="Arial" w:hint="cs"/>
          <w:b/>
          <w:bCs/>
          <w:sz w:val="16"/>
          <w:szCs w:val="16"/>
          <w:rtl/>
        </w:rPr>
        <w:t>(</w:t>
      </w:r>
      <w:r>
        <w:rPr>
          <w:rFonts w:cs="Arial" w:hint="cs"/>
          <w:b/>
          <w:bCs/>
          <w:sz w:val="16"/>
          <w:szCs w:val="16"/>
          <w:rtl/>
        </w:rPr>
        <w:t>ר"</w:t>
      </w:r>
      <w:r w:rsidRPr="00270CBD">
        <w:rPr>
          <w:rFonts w:cs="Arial" w:hint="cs"/>
          <w:b/>
          <w:bCs/>
          <w:sz w:val="16"/>
          <w:szCs w:val="16"/>
          <w:rtl/>
        </w:rPr>
        <w:t xml:space="preserve">פ </w:t>
      </w:r>
      <w:r>
        <w:rPr>
          <w:rFonts w:cs="Arial" w:hint="cs"/>
          <w:b/>
          <w:bCs/>
          <w:sz w:val="16"/>
          <w:szCs w:val="16"/>
          <w:rtl/>
        </w:rPr>
        <w:t>אלמנה ניזונת</w:t>
      </w:r>
      <w:r w:rsidRPr="00270CBD">
        <w:rPr>
          <w:rFonts w:cs="Arial" w:hint="cs"/>
          <w:b/>
          <w:bCs/>
          <w:sz w:val="16"/>
          <w:szCs w:val="16"/>
          <w:rtl/>
        </w:rPr>
        <w:t>)</w:t>
      </w:r>
      <w:r w:rsidRPr="00270CBD">
        <w:rPr>
          <w:rFonts w:cs="Arial" w:hint="cs"/>
          <w:b/>
          <w:bCs/>
          <w:rtl/>
        </w:rPr>
        <w:t xml:space="preserve"> </w:t>
      </w:r>
      <w:r>
        <w:rPr>
          <w:rFonts w:cs="Arial" w:hint="cs"/>
          <w:b/>
          <w:bCs/>
          <w:rtl/>
        </w:rPr>
        <w:t>צה</w:t>
      </w:r>
      <w:r w:rsidRPr="00270CBD">
        <w:rPr>
          <w:rFonts w:cs="Arial" w:hint="cs"/>
          <w:b/>
          <w:bCs/>
          <w:rtl/>
        </w:rPr>
        <w:t xml:space="preserve"> ע"</w:t>
      </w:r>
      <w:r>
        <w:rPr>
          <w:rFonts w:cs="Arial" w:hint="cs"/>
          <w:b/>
          <w:bCs/>
          <w:rtl/>
        </w:rPr>
        <w:t>ב</w:t>
      </w:r>
      <w:r w:rsidRPr="00270CBD">
        <w:rPr>
          <w:rFonts w:cs="Arial" w:hint="cs"/>
          <w:b/>
          <w:bCs/>
          <w:rtl/>
        </w:rPr>
        <w:t>:</w:t>
      </w:r>
      <w:r w:rsidRPr="006F1E49">
        <w:rPr>
          <w:rtl/>
        </w:rPr>
        <w:t xml:space="preserve"> </w:t>
      </w:r>
      <w:r w:rsidRPr="00C63E1E">
        <w:rPr>
          <w:rFonts w:cs="Arial"/>
          <w:u w:val="double"/>
          <w:rtl/>
        </w:rPr>
        <w:t>מתני'</w:t>
      </w:r>
      <w:r>
        <w:rPr>
          <w:rFonts w:cs="Arial" w:hint="cs"/>
          <w:rtl/>
        </w:rPr>
        <w:t>:</w:t>
      </w:r>
      <w:r w:rsidRPr="000F0AA2">
        <w:rPr>
          <w:rtl/>
        </w:rPr>
        <w:t xml:space="preserve"> </w:t>
      </w:r>
      <w:r w:rsidRPr="000F0AA2">
        <w:rPr>
          <w:rFonts w:cs="Arial"/>
          <w:rtl/>
        </w:rPr>
        <w:t>אלמנה ניזונת מנכסי יתומים, מעשה ידיה שלהן</w:t>
      </w:r>
      <w:r>
        <w:rPr>
          <w:rFonts w:cs="Arial" w:hint="cs"/>
          <w:rtl/>
        </w:rPr>
        <w:t>,</w:t>
      </w:r>
      <w:r w:rsidRPr="00636F48">
        <w:rPr>
          <w:rtl/>
        </w:rPr>
        <w:t xml:space="preserve"> </w:t>
      </w:r>
      <w:r w:rsidRPr="00636F48">
        <w:rPr>
          <w:rFonts w:cs="Arial"/>
          <w:rtl/>
        </w:rPr>
        <w:t>ואין חייבין בקבורתה; יורשיה יורשי כתובתה - חייבין בקבורתה</w:t>
      </w:r>
      <w:r>
        <w:rPr>
          <w:rFonts w:cs="Arial" w:hint="cs"/>
          <w:rtl/>
        </w:rPr>
        <w:t>.</w:t>
      </w:r>
      <w:r w:rsidRPr="00636F48">
        <w:rPr>
          <w:rFonts w:cs="Arial"/>
          <w:rtl/>
        </w:rPr>
        <w:t xml:space="preserve"> </w:t>
      </w:r>
      <w:r w:rsidRPr="00636F48">
        <w:rPr>
          <w:rFonts w:cs="Arial" w:hint="cs"/>
          <w:sz w:val="16"/>
          <w:szCs w:val="16"/>
          <w:rtl/>
        </w:rPr>
        <w:t>(</w:t>
      </w:r>
      <w:r w:rsidR="006D11A1">
        <w:rPr>
          <w:rFonts w:cs="Arial" w:hint="cs"/>
          <w:sz w:val="16"/>
          <w:szCs w:val="16"/>
          <w:rtl/>
        </w:rPr>
        <w:t>וכתב ה</w:t>
      </w:r>
      <w:r w:rsidR="006D11A1" w:rsidRPr="00636F48">
        <w:rPr>
          <w:rFonts w:cs="Arial" w:hint="cs"/>
          <w:sz w:val="16"/>
          <w:szCs w:val="16"/>
          <w:rtl/>
        </w:rPr>
        <w:t xml:space="preserve">רי"ף </w:t>
      </w:r>
      <w:r w:rsidR="006D11A1">
        <w:rPr>
          <w:rFonts w:cs="Arial" w:hint="cs"/>
          <w:sz w:val="16"/>
          <w:szCs w:val="16"/>
          <w:rtl/>
        </w:rPr>
        <w:t>ב</w:t>
      </w:r>
      <w:r w:rsidR="006D11A1" w:rsidRPr="00636F48">
        <w:rPr>
          <w:rFonts w:cs="Arial" w:hint="cs"/>
          <w:sz w:val="16"/>
          <w:szCs w:val="16"/>
          <w:rtl/>
        </w:rPr>
        <w:t xml:space="preserve">פ' נערה שנתפתתה </w:t>
      </w:r>
      <w:r w:rsidR="006D11A1">
        <w:rPr>
          <w:rFonts w:cs="Arial" w:hint="cs"/>
          <w:sz w:val="16"/>
          <w:szCs w:val="16"/>
          <w:rtl/>
        </w:rPr>
        <w:t>(</w:t>
      </w:r>
      <w:r w:rsidR="006D11A1" w:rsidRPr="00636F48">
        <w:rPr>
          <w:rFonts w:cs="Arial" w:hint="cs"/>
          <w:sz w:val="16"/>
          <w:szCs w:val="16"/>
          <w:rtl/>
        </w:rPr>
        <w:t>יט.)</w:t>
      </w:r>
      <w:r w:rsidR="006D11A1">
        <w:rPr>
          <w:rFonts w:cs="Arial" w:hint="cs"/>
          <w:sz w:val="16"/>
          <w:szCs w:val="16"/>
          <w:rtl/>
        </w:rPr>
        <w:t xml:space="preserve">: </w:t>
      </w:r>
      <w:r w:rsidRPr="00636F48">
        <w:rPr>
          <w:rFonts w:cs="Arial"/>
          <w:sz w:val="16"/>
          <w:szCs w:val="16"/>
          <w:rtl/>
        </w:rPr>
        <w:t>תדע דהא תנן אלמנה ניזונית מנכסי יתומים ומעשה ידיה שלהן ואין חייבין בקבורתה</w:t>
      </w:r>
      <w:r>
        <w:rPr>
          <w:rFonts w:cs="Arial" w:hint="cs"/>
          <w:sz w:val="16"/>
          <w:szCs w:val="16"/>
          <w:rtl/>
        </w:rPr>
        <w:t>,</w:t>
      </w:r>
      <w:r w:rsidRPr="00636F48">
        <w:rPr>
          <w:rFonts w:cs="Arial"/>
          <w:sz w:val="16"/>
          <w:szCs w:val="16"/>
          <w:rtl/>
        </w:rPr>
        <w:t xml:space="preserve"> אלמא דכיון דחייבין במזונותיה </w:t>
      </w:r>
      <w:r>
        <w:rPr>
          <w:rFonts w:cs="Arial" w:hint="cs"/>
          <w:sz w:val="16"/>
          <w:szCs w:val="16"/>
          <w:rtl/>
        </w:rPr>
        <w:t xml:space="preserve">- </w:t>
      </w:r>
      <w:r w:rsidRPr="00636F48">
        <w:rPr>
          <w:rFonts w:cs="Arial"/>
          <w:sz w:val="16"/>
          <w:szCs w:val="16"/>
          <w:rtl/>
        </w:rPr>
        <w:t>מעשה ידיה שלהן</w:t>
      </w:r>
      <w:r>
        <w:rPr>
          <w:rFonts w:cs="Arial" w:hint="cs"/>
          <w:sz w:val="16"/>
          <w:szCs w:val="16"/>
          <w:rtl/>
        </w:rPr>
        <w:t>,</w:t>
      </w:r>
      <w:r w:rsidRPr="00636F48">
        <w:rPr>
          <w:rFonts w:cs="Arial"/>
          <w:sz w:val="16"/>
          <w:szCs w:val="16"/>
          <w:rtl/>
        </w:rPr>
        <w:t xml:space="preserve"> וכיון דאין יורשין כתובתה </w:t>
      </w:r>
      <w:r>
        <w:rPr>
          <w:rFonts w:cs="Arial" w:hint="cs"/>
          <w:sz w:val="16"/>
          <w:szCs w:val="16"/>
          <w:rtl/>
        </w:rPr>
        <w:t xml:space="preserve">- </w:t>
      </w:r>
      <w:r w:rsidRPr="00636F48">
        <w:rPr>
          <w:rFonts w:cs="Arial"/>
          <w:sz w:val="16"/>
          <w:szCs w:val="16"/>
          <w:rtl/>
        </w:rPr>
        <w:t>אין חייבין בקבורתה</w:t>
      </w:r>
      <w:r>
        <w:rPr>
          <w:rFonts w:cs="Arial" w:hint="cs"/>
          <w:sz w:val="16"/>
          <w:szCs w:val="16"/>
          <w:rtl/>
        </w:rPr>
        <w:t>,</w:t>
      </w:r>
      <w:r w:rsidRPr="00636F48">
        <w:rPr>
          <w:rFonts w:cs="Arial"/>
          <w:sz w:val="16"/>
          <w:szCs w:val="16"/>
          <w:rtl/>
        </w:rPr>
        <w:t xml:space="preserve"> הכא נמי כיון דלא מיחייבי בפרקונה </w:t>
      </w:r>
      <w:r>
        <w:rPr>
          <w:rFonts w:cs="Arial" w:hint="cs"/>
          <w:sz w:val="16"/>
          <w:szCs w:val="16"/>
          <w:rtl/>
        </w:rPr>
        <w:t xml:space="preserve">- </w:t>
      </w:r>
      <w:r w:rsidRPr="00636F48">
        <w:rPr>
          <w:rFonts w:cs="Arial"/>
          <w:sz w:val="16"/>
          <w:szCs w:val="16"/>
          <w:rtl/>
        </w:rPr>
        <w:t>לית להו פירי</w:t>
      </w:r>
      <w:r w:rsidRPr="00636F48">
        <w:rPr>
          <w:rFonts w:cs="Arial" w:hint="cs"/>
          <w:sz w:val="16"/>
          <w:szCs w:val="16"/>
          <w:rtl/>
        </w:rPr>
        <w:t>)</w:t>
      </w:r>
    </w:p>
    <w:p w14:paraId="32F3E0BB" w14:textId="37600C8E" w:rsidR="00895F56" w:rsidRDefault="00895F56" w:rsidP="00E3218E">
      <w:pPr>
        <w:rPr>
          <w:rFonts w:cs="Arial"/>
          <w:rtl/>
        </w:rPr>
      </w:pPr>
      <w:r w:rsidRPr="00270CBD">
        <w:rPr>
          <w:rFonts w:cs="Arial"/>
          <w:b/>
          <w:bCs/>
          <w:rtl/>
        </w:rPr>
        <w:t xml:space="preserve">כתובות </w:t>
      </w:r>
      <w:r w:rsidRPr="00270CBD">
        <w:rPr>
          <w:rFonts w:cs="Arial" w:hint="cs"/>
          <w:b/>
          <w:bCs/>
          <w:sz w:val="16"/>
          <w:szCs w:val="16"/>
          <w:rtl/>
        </w:rPr>
        <w:t>(</w:t>
      </w:r>
      <w:r>
        <w:rPr>
          <w:rFonts w:cs="Arial" w:hint="cs"/>
          <w:b/>
          <w:bCs/>
          <w:sz w:val="16"/>
          <w:szCs w:val="16"/>
          <w:rtl/>
        </w:rPr>
        <w:t>ר"</w:t>
      </w:r>
      <w:r w:rsidRPr="00270CBD">
        <w:rPr>
          <w:rFonts w:cs="Arial" w:hint="cs"/>
          <w:b/>
          <w:bCs/>
          <w:sz w:val="16"/>
          <w:szCs w:val="16"/>
          <w:rtl/>
        </w:rPr>
        <w:t xml:space="preserve">פ </w:t>
      </w:r>
      <w:r>
        <w:rPr>
          <w:rFonts w:cs="Arial" w:hint="cs"/>
          <w:b/>
          <w:bCs/>
          <w:sz w:val="16"/>
          <w:szCs w:val="16"/>
          <w:rtl/>
        </w:rPr>
        <w:t>אלמנה ניזונת</w:t>
      </w:r>
      <w:r w:rsidRPr="00270CBD">
        <w:rPr>
          <w:rFonts w:cs="Arial" w:hint="cs"/>
          <w:b/>
          <w:bCs/>
          <w:sz w:val="16"/>
          <w:szCs w:val="16"/>
          <w:rtl/>
        </w:rPr>
        <w:t>)</w:t>
      </w:r>
      <w:r w:rsidRPr="00270CBD">
        <w:rPr>
          <w:rFonts w:cs="Arial" w:hint="cs"/>
          <w:b/>
          <w:bCs/>
          <w:rtl/>
        </w:rPr>
        <w:t xml:space="preserve"> </w:t>
      </w:r>
      <w:r>
        <w:rPr>
          <w:rFonts w:cs="Arial" w:hint="cs"/>
          <w:b/>
          <w:bCs/>
          <w:rtl/>
        </w:rPr>
        <w:t>צו</w:t>
      </w:r>
      <w:r w:rsidRPr="00270CBD">
        <w:rPr>
          <w:rFonts w:cs="Arial" w:hint="cs"/>
          <w:b/>
          <w:bCs/>
          <w:rtl/>
        </w:rPr>
        <w:t xml:space="preserve"> ע"</w:t>
      </w:r>
      <w:r>
        <w:rPr>
          <w:rFonts w:cs="Arial" w:hint="cs"/>
          <w:b/>
          <w:bCs/>
          <w:rtl/>
        </w:rPr>
        <w:t>א</w:t>
      </w:r>
      <w:r w:rsidRPr="00270CBD">
        <w:rPr>
          <w:rFonts w:cs="Arial" w:hint="cs"/>
          <w:b/>
          <w:bCs/>
          <w:rtl/>
        </w:rPr>
        <w:t>:</w:t>
      </w:r>
      <w:r w:rsidRPr="006F1E49">
        <w:rPr>
          <w:rtl/>
        </w:rPr>
        <w:t xml:space="preserve"> </w:t>
      </w:r>
      <w:r w:rsidRPr="00895F56">
        <w:rPr>
          <w:rFonts w:cs="Arial"/>
          <w:u w:val="single"/>
          <w:rtl/>
        </w:rPr>
        <w:t>אמר רבי זירא אמר שמואל</w:t>
      </w:r>
      <w:r w:rsidRPr="00895F56">
        <w:rPr>
          <w:rFonts w:cs="Arial"/>
          <w:rtl/>
        </w:rPr>
        <w:t>: מציאת אלמנה לעצמה</w:t>
      </w:r>
      <w:r>
        <w:rPr>
          <w:rFonts w:cs="Arial" w:hint="cs"/>
          <w:rtl/>
        </w:rPr>
        <w:t>.</w:t>
      </w:r>
      <w:r w:rsidRPr="00895F56">
        <w:rPr>
          <w:rFonts w:cs="Arial"/>
          <w:rtl/>
        </w:rPr>
        <w:t xml:space="preserve"> </w:t>
      </w:r>
    </w:p>
    <w:p w14:paraId="7ACE6EE3" w14:textId="048989BC" w:rsidR="00895F56" w:rsidRPr="0030761F" w:rsidRDefault="0030761F" w:rsidP="00E3218E">
      <w:pPr>
        <w:rPr>
          <w:rFonts w:cs="Arial"/>
          <w:u w:val="single"/>
          <w:rtl/>
        </w:rPr>
      </w:pPr>
      <w:r w:rsidRPr="0030761F">
        <w:rPr>
          <w:rFonts w:hint="cs"/>
          <w:u w:val="single"/>
          <w:rtl/>
        </w:rPr>
        <w:t>מציאתה ופירות נכסיה</w:t>
      </w:r>
      <w:r w:rsidRPr="0030761F">
        <w:rPr>
          <w:rFonts w:cs="Arial" w:hint="cs"/>
          <w:u w:val="single"/>
          <w:rtl/>
        </w:rPr>
        <w:t>:</w:t>
      </w:r>
    </w:p>
    <w:p w14:paraId="7E8029A1" w14:textId="2F62A059" w:rsidR="00E3218E" w:rsidRPr="00E3218E" w:rsidRDefault="00636F48" w:rsidP="009000E3">
      <w:pPr>
        <w:pStyle w:val="ab"/>
        <w:numPr>
          <w:ilvl w:val="0"/>
          <w:numId w:val="61"/>
        </w:numPr>
        <w:rPr>
          <w:rtl/>
        </w:rPr>
      </w:pPr>
      <w:r>
        <w:rPr>
          <w:rFonts w:cs="Arial" w:hint="cs"/>
          <w:rtl/>
        </w:rPr>
        <w:t xml:space="preserve">רי"ף </w:t>
      </w:r>
      <w:r>
        <w:rPr>
          <w:rFonts w:cs="Arial" w:hint="cs"/>
          <w:sz w:val="16"/>
          <w:szCs w:val="16"/>
          <w:rtl/>
        </w:rPr>
        <w:t xml:space="preserve">(יט.) </w:t>
      </w:r>
      <w:r w:rsidR="0000630C">
        <w:rPr>
          <w:rFonts w:cs="Arial" w:hint="cs"/>
          <w:rtl/>
        </w:rPr>
        <w:t xml:space="preserve">רמב"ם </w:t>
      </w:r>
      <w:r w:rsidR="0000630C">
        <w:rPr>
          <w:rFonts w:cs="Arial" w:hint="cs"/>
          <w:sz w:val="16"/>
          <w:szCs w:val="16"/>
          <w:rtl/>
        </w:rPr>
        <w:t>(פי"ח ה"ח)</w:t>
      </w:r>
      <w:r w:rsidR="0000630C">
        <w:rPr>
          <w:rFonts w:cs="Arial" w:hint="cs"/>
          <w:rtl/>
        </w:rPr>
        <w:t xml:space="preserve"> ו</w:t>
      </w:r>
      <w:r w:rsidR="0098259E" w:rsidRPr="00895F56">
        <w:rPr>
          <w:rFonts w:cs="Arial" w:hint="cs"/>
          <w:rtl/>
        </w:rPr>
        <w:t xml:space="preserve">טור- </w:t>
      </w:r>
      <w:r w:rsidR="0000630C" w:rsidRPr="0000630C">
        <w:rPr>
          <w:rFonts w:cs="Arial"/>
          <w:rtl/>
        </w:rPr>
        <w:t xml:space="preserve">מציאת האלמנה ופירות נכסים שהכניסה לבעל </w:t>
      </w:r>
      <w:r w:rsidR="00D56355">
        <w:rPr>
          <w:rFonts w:cs="Arial" w:hint="cs"/>
          <w:rtl/>
        </w:rPr>
        <w:t xml:space="preserve">- </w:t>
      </w:r>
      <w:r w:rsidR="0000630C" w:rsidRPr="0000630C">
        <w:rPr>
          <w:rFonts w:cs="Arial"/>
          <w:rtl/>
        </w:rPr>
        <w:t>לעצמה</w:t>
      </w:r>
      <w:r w:rsidR="00D56355">
        <w:rPr>
          <w:rFonts w:cs="Arial" w:hint="cs"/>
          <w:rtl/>
        </w:rPr>
        <w:t>,</w:t>
      </w:r>
      <w:r w:rsidR="0000630C" w:rsidRPr="0000630C">
        <w:rPr>
          <w:rFonts w:cs="Arial"/>
          <w:rtl/>
        </w:rPr>
        <w:t xml:space="preserve"> ואין ליורש בהם כלום</w:t>
      </w:r>
      <w:r w:rsidR="0000630C">
        <w:rPr>
          <w:rFonts w:cs="Arial" w:hint="cs"/>
          <w:sz w:val="16"/>
          <w:szCs w:val="16"/>
          <w:rtl/>
        </w:rPr>
        <w:t xml:space="preserve"> (ל' הרמב"ם)</w:t>
      </w:r>
      <w:r w:rsidR="00E3218E" w:rsidRPr="00895F56">
        <w:rPr>
          <w:rFonts w:cs="Arial" w:hint="cs"/>
          <w:rtl/>
        </w:rPr>
        <w:t>.</w:t>
      </w:r>
      <w:r w:rsidR="0066022D" w:rsidRPr="00AB751F">
        <w:rPr>
          <w:rFonts w:cs="Arial"/>
          <w:rtl/>
        </w:rPr>
        <w:t xml:space="preserve"> </w:t>
      </w:r>
      <w:r w:rsidR="0066022D" w:rsidRPr="00A01DCB">
        <w:rPr>
          <w:rFonts w:cs="Arial" w:hint="cs"/>
          <w:color w:val="E36C0A" w:themeColor="accent6" w:themeShade="BF"/>
          <w:rtl/>
        </w:rPr>
        <w:t>(וכ"פ בשו"ע)</w:t>
      </w:r>
    </w:p>
    <w:p w14:paraId="6E02B20F"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513FCD0" w14:textId="03FF3AA8" w:rsidR="00392DBB" w:rsidRDefault="00392DBB" w:rsidP="00392DBB">
      <w:pPr>
        <w:rPr>
          <w:rtl/>
        </w:rPr>
      </w:pPr>
      <w:r>
        <w:rPr>
          <w:rFonts w:cs="Arial"/>
          <w:rtl/>
        </w:rPr>
        <w:t xml:space="preserve">מציאתה ופירות נכסיה לעצמה. </w:t>
      </w:r>
    </w:p>
    <w:p w14:paraId="63B9DB34" w14:textId="77777777" w:rsidR="0098259E" w:rsidRDefault="0098259E" w:rsidP="00392DBB">
      <w:pPr>
        <w:rPr>
          <w:rtl/>
        </w:rPr>
      </w:pPr>
    </w:p>
    <w:p w14:paraId="5AD69512" w14:textId="6DFF1D57" w:rsidR="00392DBB" w:rsidRDefault="00392DBB" w:rsidP="000F64D0">
      <w:pPr>
        <w:pStyle w:val="2"/>
        <w:rPr>
          <w:rtl/>
        </w:rPr>
      </w:pPr>
      <w:r>
        <w:rPr>
          <w:rtl/>
        </w:rPr>
        <w:t>סעיף ה</w:t>
      </w:r>
      <w:r w:rsidR="00E07581">
        <w:rPr>
          <w:rFonts w:hint="cs"/>
          <w:rtl/>
        </w:rPr>
        <w:t>:</w:t>
      </w:r>
      <w:r w:rsidR="0066022D" w:rsidRPr="0066022D">
        <w:rPr>
          <w:rtl/>
        </w:rPr>
        <w:t xml:space="preserve"> </w:t>
      </w:r>
      <w:r w:rsidR="0066022D" w:rsidRPr="00AB751F">
        <w:rPr>
          <w:rtl/>
        </w:rPr>
        <w:t>צמצמה והותירה ממזונותיה</w:t>
      </w:r>
      <w:r w:rsidR="006D11A1">
        <w:rPr>
          <w:rFonts w:hint="cs"/>
          <w:rtl/>
        </w:rPr>
        <w:t xml:space="preserve">, ומותר </w:t>
      </w:r>
      <w:r w:rsidR="00FB637F">
        <w:rPr>
          <w:rFonts w:hint="cs"/>
          <w:rtl/>
        </w:rPr>
        <w:t>כסותה</w:t>
      </w:r>
      <w:r w:rsidR="0066022D">
        <w:rPr>
          <w:rFonts w:hint="cs"/>
          <w:rtl/>
        </w:rPr>
        <w:t>.</w:t>
      </w:r>
    </w:p>
    <w:p w14:paraId="26CD0506" w14:textId="2F7A18B6" w:rsidR="00B67509" w:rsidRDefault="00B67509" w:rsidP="00B67509">
      <w:pPr>
        <w:rPr>
          <w:rFonts w:cs="Arial"/>
          <w:rtl/>
        </w:rPr>
      </w:pPr>
      <w:r w:rsidRPr="00270CBD">
        <w:rPr>
          <w:rFonts w:cs="Arial"/>
          <w:b/>
          <w:bCs/>
          <w:rtl/>
        </w:rPr>
        <w:t xml:space="preserve">כתובות </w:t>
      </w:r>
      <w:r w:rsidRPr="00270CBD">
        <w:rPr>
          <w:rFonts w:cs="Arial" w:hint="cs"/>
          <w:b/>
          <w:bCs/>
          <w:sz w:val="16"/>
          <w:szCs w:val="16"/>
          <w:rtl/>
        </w:rPr>
        <w:t>(</w:t>
      </w:r>
      <w:r>
        <w:rPr>
          <w:rFonts w:cs="Arial" w:hint="cs"/>
          <w:b/>
          <w:bCs/>
          <w:sz w:val="16"/>
          <w:szCs w:val="16"/>
          <w:rtl/>
        </w:rPr>
        <w:t>ס"פ אף על פי</w:t>
      </w:r>
      <w:r w:rsidRPr="00270CBD">
        <w:rPr>
          <w:rFonts w:cs="Arial" w:hint="cs"/>
          <w:b/>
          <w:bCs/>
          <w:sz w:val="16"/>
          <w:szCs w:val="16"/>
          <w:rtl/>
        </w:rPr>
        <w:t>)</w:t>
      </w:r>
      <w:r w:rsidRPr="00270CBD">
        <w:rPr>
          <w:rFonts w:cs="Arial" w:hint="cs"/>
          <w:b/>
          <w:bCs/>
          <w:rtl/>
        </w:rPr>
        <w:t xml:space="preserve"> </w:t>
      </w:r>
      <w:r>
        <w:rPr>
          <w:rFonts w:cs="Arial" w:hint="cs"/>
          <w:b/>
          <w:bCs/>
          <w:rtl/>
        </w:rPr>
        <w:t>סה</w:t>
      </w:r>
      <w:r w:rsidR="00B523E9">
        <w:rPr>
          <w:rStyle w:val="a7"/>
          <w:rFonts w:cs="Arial"/>
          <w:b/>
          <w:bCs/>
          <w:rtl/>
        </w:rPr>
        <w:footnoteReference w:id="1687"/>
      </w:r>
      <w:r w:rsidRPr="00270CBD">
        <w:rPr>
          <w:rFonts w:cs="Arial" w:hint="cs"/>
          <w:b/>
          <w:bCs/>
          <w:rtl/>
        </w:rPr>
        <w:t xml:space="preserve"> ע"</w:t>
      </w:r>
      <w:r>
        <w:rPr>
          <w:rFonts w:cs="Arial" w:hint="cs"/>
          <w:b/>
          <w:bCs/>
          <w:rtl/>
        </w:rPr>
        <w:t>ב</w:t>
      </w:r>
      <w:r w:rsidRPr="00270CBD">
        <w:rPr>
          <w:rFonts w:cs="Arial" w:hint="cs"/>
          <w:b/>
          <w:bCs/>
          <w:rtl/>
        </w:rPr>
        <w:t>:</w:t>
      </w:r>
      <w:r>
        <w:rPr>
          <w:rFonts w:cs="Arial" w:hint="cs"/>
          <w:rtl/>
        </w:rPr>
        <w:t xml:space="preserve"> </w:t>
      </w:r>
      <w:r w:rsidRPr="00B14795">
        <w:rPr>
          <w:rFonts w:cs="Arial"/>
          <w:rtl/>
        </w:rPr>
        <w:t>ת"ר: מותר מזונות</w:t>
      </w:r>
      <w:r>
        <w:rPr>
          <w:rStyle w:val="a7"/>
          <w:rFonts w:cs="Arial"/>
          <w:rtl/>
        </w:rPr>
        <w:footnoteReference w:id="1688"/>
      </w:r>
      <w:r w:rsidRPr="00B14795">
        <w:rPr>
          <w:rFonts w:cs="Arial"/>
          <w:rtl/>
        </w:rPr>
        <w:t xml:space="preserve"> לבעל, מותר בלאות לאשה. מותר בלאות לאשה למה לה? </w:t>
      </w:r>
      <w:r w:rsidRPr="00B14795">
        <w:rPr>
          <w:rFonts w:cs="Arial"/>
          <w:u w:val="single"/>
          <w:rtl/>
        </w:rPr>
        <w:t>אמר רחבה</w:t>
      </w:r>
      <w:r w:rsidRPr="00B14795">
        <w:rPr>
          <w:rFonts w:cs="Arial"/>
          <w:rtl/>
        </w:rPr>
        <w:t>: שמתכסה בהן בימי נדתה, כדי שלא תתגנה על בעלה</w:t>
      </w:r>
      <w:r>
        <w:rPr>
          <w:rStyle w:val="a7"/>
          <w:rFonts w:cs="Arial"/>
          <w:rtl/>
        </w:rPr>
        <w:footnoteReference w:id="1689"/>
      </w:r>
      <w:r w:rsidRPr="00B14795">
        <w:rPr>
          <w:rFonts w:cs="Arial"/>
          <w:rtl/>
        </w:rPr>
        <w:t xml:space="preserve">. </w:t>
      </w:r>
      <w:r w:rsidRPr="00B14795">
        <w:rPr>
          <w:rFonts w:cs="Arial"/>
          <w:u w:val="single"/>
          <w:rtl/>
        </w:rPr>
        <w:t>אמר אביי</w:t>
      </w:r>
      <w:r>
        <w:rPr>
          <w:rFonts w:cs="Arial" w:hint="cs"/>
          <w:rtl/>
        </w:rPr>
        <w:t>:</w:t>
      </w:r>
      <w:r w:rsidRPr="008E12C6">
        <w:rPr>
          <w:rFonts w:cs="Arial"/>
          <w:rtl/>
        </w:rPr>
        <w:t xml:space="preserve"> נקטינן</w:t>
      </w:r>
      <w:r w:rsidRPr="00B14795">
        <w:rPr>
          <w:rFonts w:cs="Arial"/>
          <w:rtl/>
        </w:rPr>
        <w:t>: מותר בלאות</w:t>
      </w:r>
      <w:r>
        <w:rPr>
          <w:rStyle w:val="a7"/>
          <w:rFonts w:cs="Arial"/>
          <w:rtl/>
        </w:rPr>
        <w:footnoteReference w:id="1690"/>
      </w:r>
      <w:r w:rsidRPr="00B14795">
        <w:rPr>
          <w:rFonts w:cs="Arial"/>
          <w:rtl/>
        </w:rPr>
        <w:t xml:space="preserve"> אלמנה ליורשיו, התם הוא דלא תתגני באפיה, הכא תתגני ותתגני.</w:t>
      </w:r>
      <w:r>
        <w:rPr>
          <w:rFonts w:cs="Arial" w:hint="cs"/>
          <w:sz w:val="16"/>
          <w:szCs w:val="16"/>
          <w:rtl/>
        </w:rPr>
        <w:t xml:space="preserve"> (</w:t>
      </w:r>
      <w:r w:rsidRPr="000744C0">
        <w:rPr>
          <w:rFonts w:cs="Arial"/>
          <w:sz w:val="16"/>
          <w:szCs w:val="16"/>
          <w:rtl/>
        </w:rPr>
        <w:t>וכל שכן שמותר מזונות אלמנה ליורשים</w:t>
      </w:r>
      <w:r>
        <w:rPr>
          <w:rFonts w:cs="Arial" w:hint="cs"/>
          <w:sz w:val="16"/>
          <w:szCs w:val="16"/>
          <w:rtl/>
        </w:rPr>
        <w:t>, הה"מ (י"ח ה"ד))</w:t>
      </w:r>
      <w:r w:rsidRPr="00B14795">
        <w:rPr>
          <w:rFonts w:cs="Arial"/>
          <w:rtl/>
        </w:rPr>
        <w:t xml:space="preserve"> </w:t>
      </w:r>
    </w:p>
    <w:p w14:paraId="17DA5BBB" w14:textId="6DFF17AB" w:rsidR="007002AF" w:rsidRDefault="007002AF" w:rsidP="00B67509">
      <w:pPr>
        <w:rPr>
          <w:rFonts w:cs="Arial"/>
          <w:rtl/>
        </w:rPr>
      </w:pPr>
      <w:r w:rsidRPr="007002AF">
        <w:rPr>
          <w:rFonts w:cs="Arial" w:hint="cs"/>
          <w:b/>
          <w:bCs/>
          <w:rtl/>
        </w:rPr>
        <w:t xml:space="preserve">ירושלמי כתובות פי"א ה"א: </w:t>
      </w:r>
      <w:r w:rsidRPr="007002AF">
        <w:rPr>
          <w:rFonts w:cs="Arial"/>
          <w:u w:val="single"/>
          <w:rtl/>
        </w:rPr>
        <w:t>רב יהודה בשם שמואל רבי אבהו בשם רבי יוחנן</w:t>
      </w:r>
      <w:r>
        <w:rPr>
          <w:rFonts w:cs="Arial" w:hint="cs"/>
          <w:rtl/>
        </w:rPr>
        <w:t>:</w:t>
      </w:r>
      <w:r w:rsidRPr="007002AF">
        <w:rPr>
          <w:rFonts w:cs="Arial"/>
          <w:rtl/>
        </w:rPr>
        <w:t xml:space="preserve"> מציאתה שלה</w:t>
      </w:r>
      <w:r>
        <w:rPr>
          <w:rFonts w:cs="Arial" w:hint="cs"/>
          <w:rtl/>
        </w:rPr>
        <w:t>.</w:t>
      </w:r>
      <w:r w:rsidRPr="007002AF">
        <w:rPr>
          <w:rFonts w:cs="Arial"/>
          <w:rtl/>
        </w:rPr>
        <w:t xml:space="preserve"> הותירה מזונות</w:t>
      </w:r>
      <w:r>
        <w:rPr>
          <w:rFonts w:cs="Arial" w:hint="cs"/>
          <w:rtl/>
        </w:rPr>
        <w:t>,</w:t>
      </w:r>
      <w:r w:rsidRPr="007002AF">
        <w:rPr>
          <w:rFonts w:cs="Arial"/>
          <w:rtl/>
        </w:rPr>
        <w:t xml:space="preserve"> אשת איש שמציאתה שלו</w:t>
      </w:r>
      <w:r>
        <w:rPr>
          <w:rFonts w:cs="Arial" w:hint="cs"/>
          <w:rtl/>
        </w:rPr>
        <w:t>,</w:t>
      </w:r>
      <w:r w:rsidRPr="007002AF">
        <w:rPr>
          <w:rFonts w:cs="Arial"/>
          <w:rtl/>
        </w:rPr>
        <w:t xml:space="preserve"> הותירה </w:t>
      </w:r>
      <w:r>
        <w:rPr>
          <w:rFonts w:cs="Arial" w:hint="cs"/>
          <w:rtl/>
        </w:rPr>
        <w:t xml:space="preserve">- </w:t>
      </w:r>
      <w:r w:rsidRPr="007002AF">
        <w:rPr>
          <w:rFonts w:cs="Arial"/>
          <w:rtl/>
        </w:rPr>
        <w:t>מזונות שלו</w:t>
      </w:r>
      <w:r>
        <w:rPr>
          <w:rFonts w:cs="Arial" w:hint="cs"/>
          <w:rtl/>
        </w:rPr>
        <w:t>.</w:t>
      </w:r>
      <w:r w:rsidRPr="007002AF">
        <w:rPr>
          <w:rFonts w:cs="Arial"/>
          <w:rtl/>
        </w:rPr>
        <w:t xml:space="preserve"> אלמנה שמציאתה שלה</w:t>
      </w:r>
      <w:r>
        <w:rPr>
          <w:rFonts w:cs="Arial" w:hint="cs"/>
          <w:rtl/>
        </w:rPr>
        <w:t>,</w:t>
      </w:r>
      <w:r w:rsidRPr="007002AF">
        <w:rPr>
          <w:rFonts w:cs="Arial"/>
          <w:rtl/>
        </w:rPr>
        <w:t xml:space="preserve"> הותירה </w:t>
      </w:r>
      <w:r w:rsidR="0002672B">
        <w:rPr>
          <w:rFonts w:cs="Arial" w:hint="cs"/>
          <w:rtl/>
        </w:rPr>
        <w:t xml:space="preserve">- </w:t>
      </w:r>
      <w:r w:rsidRPr="007002AF">
        <w:rPr>
          <w:rFonts w:cs="Arial"/>
          <w:rtl/>
        </w:rPr>
        <w:t>מזונות שלה</w:t>
      </w:r>
      <w:r w:rsidR="0002672B">
        <w:rPr>
          <w:rFonts w:cs="Arial" w:hint="cs"/>
          <w:rtl/>
        </w:rPr>
        <w:t>.</w:t>
      </w:r>
      <w:r w:rsidRPr="007002AF">
        <w:rPr>
          <w:rFonts w:cs="Arial"/>
          <w:rtl/>
        </w:rPr>
        <w:t xml:space="preserve"> הותירה בליות שלה</w:t>
      </w:r>
      <w:r w:rsidR="0002672B">
        <w:rPr>
          <w:rFonts w:cs="Arial" w:hint="cs"/>
          <w:rtl/>
        </w:rPr>
        <w:t>,</w:t>
      </w:r>
      <w:r w:rsidRPr="007002AF">
        <w:rPr>
          <w:rFonts w:cs="Arial"/>
          <w:rtl/>
        </w:rPr>
        <w:t xml:space="preserve"> מה אם אשת איש שהותירה מזונות שלו הותירה בליות שלה</w:t>
      </w:r>
      <w:r w:rsidR="0002672B">
        <w:rPr>
          <w:rFonts w:cs="Arial" w:hint="cs"/>
          <w:rtl/>
        </w:rPr>
        <w:t>,</w:t>
      </w:r>
      <w:r w:rsidRPr="007002AF">
        <w:rPr>
          <w:rFonts w:cs="Arial"/>
          <w:rtl/>
        </w:rPr>
        <w:t xml:space="preserve"> אלמנה שהותירה מזונות שלה הותירה בליות לא כל שכן</w:t>
      </w:r>
      <w:r w:rsidR="0002672B">
        <w:rPr>
          <w:rFonts w:cs="Arial" w:hint="cs"/>
          <w:rtl/>
        </w:rPr>
        <w:t>,</w:t>
      </w:r>
      <w:r w:rsidRPr="007002AF">
        <w:rPr>
          <w:rFonts w:cs="Arial"/>
          <w:rtl/>
        </w:rPr>
        <w:t xml:space="preserve"> תמן צריכה לון לנידתה אף הכא צריכא לון לנידתה</w:t>
      </w:r>
      <w:r w:rsidR="0002672B">
        <w:rPr>
          <w:rFonts w:cs="Arial" w:hint="cs"/>
          <w:rtl/>
        </w:rPr>
        <w:t>.</w:t>
      </w:r>
    </w:p>
    <w:p w14:paraId="021ED937" w14:textId="010D0DB1" w:rsidR="0066022D" w:rsidRPr="0066022D" w:rsidRDefault="0066022D" w:rsidP="0066022D">
      <w:pPr>
        <w:rPr>
          <w:u w:val="single"/>
          <w:rtl/>
        </w:rPr>
      </w:pPr>
      <w:r w:rsidRPr="0066022D">
        <w:rPr>
          <w:rFonts w:cs="Arial"/>
          <w:u w:val="single"/>
          <w:rtl/>
        </w:rPr>
        <w:t>צמצמה והותירה ממזונותי</w:t>
      </w:r>
      <w:r w:rsidR="006D11A1">
        <w:rPr>
          <w:rFonts w:cs="Arial" w:hint="cs"/>
          <w:u w:val="single"/>
          <w:rtl/>
        </w:rPr>
        <w:t xml:space="preserve">ה, </w:t>
      </w:r>
      <w:r w:rsidR="006D11A1">
        <w:rPr>
          <w:rFonts w:hint="cs"/>
          <w:u w:val="single"/>
          <w:rtl/>
        </w:rPr>
        <w:t xml:space="preserve">ומותר </w:t>
      </w:r>
      <w:r w:rsidR="00B67509">
        <w:rPr>
          <w:rFonts w:hint="cs"/>
          <w:u w:val="single"/>
          <w:rtl/>
        </w:rPr>
        <w:t>כסותה</w:t>
      </w:r>
      <w:r w:rsidRPr="0066022D">
        <w:rPr>
          <w:rFonts w:hint="cs"/>
          <w:u w:val="single"/>
          <w:rtl/>
        </w:rPr>
        <w:t>:</w:t>
      </w:r>
    </w:p>
    <w:p w14:paraId="33AC67E4" w14:textId="512D1B93" w:rsidR="004E15F3" w:rsidRPr="004E15F3" w:rsidRDefault="004E15F3" w:rsidP="009000E3">
      <w:pPr>
        <w:pStyle w:val="ab"/>
        <w:numPr>
          <w:ilvl w:val="0"/>
          <w:numId w:val="61"/>
        </w:numPr>
      </w:pPr>
      <w:r>
        <w:rPr>
          <w:rFonts w:cs="Arial" w:hint="cs"/>
          <w:rtl/>
        </w:rPr>
        <w:t xml:space="preserve">רמב"ם </w:t>
      </w:r>
      <w:r>
        <w:rPr>
          <w:rFonts w:cs="Arial" w:hint="cs"/>
          <w:sz w:val="16"/>
          <w:szCs w:val="16"/>
          <w:rtl/>
        </w:rPr>
        <w:t>(פי"ח ה"ח)</w:t>
      </w:r>
      <w:r w:rsidR="009D0E3B">
        <w:rPr>
          <w:rFonts w:cs="Arial" w:hint="cs"/>
          <w:rtl/>
        </w:rPr>
        <w:t xml:space="preserve"> רשב"א </w:t>
      </w:r>
      <w:r w:rsidR="00B67509">
        <w:rPr>
          <w:rFonts w:cs="Arial" w:hint="cs"/>
          <w:sz w:val="16"/>
          <w:szCs w:val="16"/>
          <w:rtl/>
        </w:rPr>
        <w:t>(סה:)</w:t>
      </w:r>
      <w:r w:rsidR="00B67509">
        <w:rPr>
          <w:rFonts w:cs="Arial" w:hint="cs"/>
          <w:rtl/>
        </w:rPr>
        <w:t xml:space="preserve"> ור"ן </w:t>
      </w:r>
      <w:r w:rsidR="00B67509">
        <w:rPr>
          <w:rFonts w:cs="Arial" w:hint="cs"/>
          <w:sz w:val="16"/>
          <w:szCs w:val="16"/>
          <w:rtl/>
        </w:rPr>
        <w:t>(כח:)</w:t>
      </w:r>
      <w:r>
        <w:rPr>
          <w:rFonts w:cs="Arial" w:hint="cs"/>
          <w:rtl/>
        </w:rPr>
        <w:t xml:space="preserve">- </w:t>
      </w:r>
      <w:r w:rsidRPr="004E15F3">
        <w:rPr>
          <w:rFonts w:cs="Arial"/>
          <w:rtl/>
        </w:rPr>
        <w:t xml:space="preserve">מותר מזונות האלמנה ומותר הכסות </w:t>
      </w:r>
      <w:r w:rsidR="00B67509">
        <w:rPr>
          <w:rFonts w:cs="Arial" w:hint="cs"/>
          <w:rtl/>
        </w:rPr>
        <w:t xml:space="preserve">- </w:t>
      </w:r>
      <w:r w:rsidRPr="004E15F3">
        <w:rPr>
          <w:rFonts w:cs="Arial"/>
          <w:rtl/>
        </w:rPr>
        <w:t>ליורשין</w:t>
      </w:r>
      <w:r w:rsidR="00B67509">
        <w:rPr>
          <w:rFonts w:cs="Arial" w:hint="cs"/>
          <w:sz w:val="16"/>
          <w:szCs w:val="16"/>
          <w:rtl/>
        </w:rPr>
        <w:t xml:space="preserve"> (ל' הרמב"ם)</w:t>
      </w:r>
      <w:r w:rsidRPr="004E15F3">
        <w:rPr>
          <w:rFonts w:cs="Arial"/>
          <w:rtl/>
        </w:rPr>
        <w:t xml:space="preserve">. </w:t>
      </w:r>
      <w:r w:rsidR="00751494" w:rsidRPr="00A01DCB">
        <w:rPr>
          <w:rFonts w:cs="Arial" w:hint="cs"/>
          <w:color w:val="E36C0A" w:themeColor="accent6" w:themeShade="BF"/>
          <w:rtl/>
        </w:rPr>
        <w:t>(וכ"פ בשו"ע)</w:t>
      </w:r>
    </w:p>
    <w:p w14:paraId="79917100" w14:textId="4442F01A" w:rsidR="001A728C" w:rsidRPr="001A728C" w:rsidRDefault="004E15F3" w:rsidP="009000E3">
      <w:pPr>
        <w:pStyle w:val="ab"/>
        <w:numPr>
          <w:ilvl w:val="0"/>
          <w:numId w:val="61"/>
        </w:numPr>
      </w:pPr>
      <w:r w:rsidRPr="004E15F3">
        <w:rPr>
          <w:rFonts w:cs="Arial"/>
          <w:rtl/>
        </w:rPr>
        <w:t xml:space="preserve">ראב"ד </w:t>
      </w:r>
      <w:r w:rsidR="009D0E3B">
        <w:rPr>
          <w:rFonts w:cs="Arial" w:hint="cs"/>
          <w:sz w:val="16"/>
          <w:szCs w:val="16"/>
          <w:rtl/>
        </w:rPr>
        <w:t>(בהשגות שם)</w:t>
      </w:r>
      <w:r w:rsidR="009D0E3B">
        <w:rPr>
          <w:rFonts w:cs="Arial" w:hint="cs"/>
          <w:rtl/>
        </w:rPr>
        <w:t xml:space="preserve">- </w:t>
      </w:r>
      <w:r w:rsidRPr="004E15F3">
        <w:rPr>
          <w:rFonts w:cs="Arial"/>
          <w:rtl/>
        </w:rPr>
        <w:t>ומותר מזונות האלמנה ומותר כסות ליורשים. א</w:t>
      </w:r>
      <w:r w:rsidR="009D0E3B">
        <w:rPr>
          <w:rFonts w:cs="Arial" w:hint="cs"/>
          <w:rtl/>
        </w:rPr>
        <w:t>מר אברהם</w:t>
      </w:r>
      <w:r w:rsidRPr="004E15F3">
        <w:rPr>
          <w:rFonts w:cs="Arial"/>
          <w:rtl/>
        </w:rPr>
        <w:t xml:space="preserve"> אף אני כך הייתי סבור עד שראיתי בירושלמי פרק אלמנה ניזונת (ה"א) רב יהודה בשם רב ר' אבהו בשם רבי יוחנן מציאתה שלה הותירה מזונות</w:t>
      </w:r>
      <w:r w:rsidR="00B67509">
        <w:rPr>
          <w:rFonts w:cs="Arial" w:hint="cs"/>
          <w:rtl/>
        </w:rPr>
        <w:t>,</w:t>
      </w:r>
      <w:r w:rsidRPr="004E15F3">
        <w:rPr>
          <w:rFonts w:cs="Arial"/>
          <w:rtl/>
        </w:rPr>
        <w:t xml:space="preserve"> אשת איש שמציאתה שלו הותירה </w:t>
      </w:r>
      <w:r w:rsidR="00B67509">
        <w:rPr>
          <w:rFonts w:cs="Arial" w:hint="cs"/>
          <w:rtl/>
        </w:rPr>
        <w:t xml:space="preserve">- </w:t>
      </w:r>
      <w:r w:rsidRPr="004E15F3">
        <w:rPr>
          <w:rFonts w:cs="Arial"/>
          <w:rtl/>
        </w:rPr>
        <w:t>מזונותיה שלו</w:t>
      </w:r>
      <w:r w:rsidR="00B67509">
        <w:rPr>
          <w:rFonts w:cs="Arial" w:hint="cs"/>
          <w:rtl/>
        </w:rPr>
        <w:t>,</w:t>
      </w:r>
      <w:r w:rsidRPr="004E15F3">
        <w:rPr>
          <w:rFonts w:cs="Arial"/>
          <w:rtl/>
        </w:rPr>
        <w:t xml:space="preserve"> אלמנה שמציאתה שלה הותירה </w:t>
      </w:r>
      <w:r w:rsidR="00B67509">
        <w:rPr>
          <w:rFonts w:cs="Arial" w:hint="cs"/>
          <w:rtl/>
        </w:rPr>
        <w:t xml:space="preserve">- </w:t>
      </w:r>
      <w:r w:rsidRPr="004E15F3">
        <w:rPr>
          <w:rFonts w:cs="Arial"/>
          <w:rtl/>
        </w:rPr>
        <w:t>מזונותיה שלה</w:t>
      </w:r>
      <w:r w:rsidR="009D0E3B">
        <w:rPr>
          <w:rStyle w:val="a7"/>
          <w:rFonts w:cs="Arial"/>
          <w:rtl/>
        </w:rPr>
        <w:footnoteReference w:id="1691"/>
      </w:r>
      <w:r w:rsidRPr="004E15F3">
        <w:rPr>
          <w:rFonts w:cs="Arial"/>
          <w:rtl/>
        </w:rPr>
        <w:t>.</w:t>
      </w:r>
    </w:p>
    <w:p w14:paraId="7875CB87"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521C7C0" w14:textId="76D412F9" w:rsidR="00392DBB" w:rsidRDefault="00392DBB" w:rsidP="00392DBB">
      <w:pPr>
        <w:rPr>
          <w:rtl/>
        </w:rPr>
      </w:pPr>
      <w:r>
        <w:rPr>
          <w:rFonts w:cs="Arial"/>
          <w:rtl/>
        </w:rPr>
        <w:t xml:space="preserve">צמצמה עצמה והותירה ממזונותיה, וכן אם הותירה מכסותה ובגדיה, הכל ליורשים. </w:t>
      </w:r>
    </w:p>
    <w:p w14:paraId="40E8D08B" w14:textId="77777777" w:rsidR="00B67509" w:rsidRDefault="00B67509" w:rsidP="00392DBB">
      <w:pPr>
        <w:rPr>
          <w:rtl/>
        </w:rPr>
      </w:pPr>
    </w:p>
    <w:p w14:paraId="2BF90664" w14:textId="5CC8C1FD" w:rsidR="00392DBB" w:rsidRDefault="00392DBB" w:rsidP="000F64D0">
      <w:pPr>
        <w:pStyle w:val="2"/>
        <w:rPr>
          <w:rtl/>
        </w:rPr>
      </w:pPr>
      <w:r>
        <w:rPr>
          <w:rtl/>
        </w:rPr>
        <w:lastRenderedPageBreak/>
        <w:t>סעיף ו</w:t>
      </w:r>
      <w:r w:rsidR="003B3349">
        <w:rPr>
          <w:rFonts w:hint="cs"/>
          <w:rtl/>
        </w:rPr>
        <w:t xml:space="preserve">: </w:t>
      </w:r>
      <w:r w:rsidR="008C11DE">
        <w:rPr>
          <w:rFonts w:hint="cs"/>
          <w:rtl/>
        </w:rPr>
        <w:t>חישוב מעשה ידיה</w:t>
      </w:r>
      <w:r w:rsidR="00456FE1">
        <w:rPr>
          <w:rFonts w:hint="cs"/>
          <w:rtl/>
        </w:rPr>
        <w:t>.</w:t>
      </w:r>
    </w:p>
    <w:p w14:paraId="14573FAD" w14:textId="176DA2A8" w:rsidR="00980E22" w:rsidRDefault="00980E22" w:rsidP="00980E22">
      <w:pPr>
        <w:rPr>
          <w:rFonts w:cs="Arial"/>
          <w:rtl/>
        </w:rPr>
      </w:pPr>
      <w:r w:rsidRPr="00D611D4">
        <w:rPr>
          <w:rFonts w:cs="Arial" w:hint="cs"/>
          <w:b/>
          <w:bCs/>
          <w:rtl/>
        </w:rPr>
        <w:t xml:space="preserve">כתובות </w:t>
      </w:r>
      <w:r>
        <w:rPr>
          <w:rFonts w:cs="Arial" w:hint="cs"/>
          <w:b/>
          <w:bCs/>
          <w:sz w:val="16"/>
          <w:szCs w:val="16"/>
          <w:rtl/>
        </w:rPr>
        <w:t>(פ' שני דייני)</w:t>
      </w:r>
      <w:r>
        <w:rPr>
          <w:rFonts w:cs="Arial" w:hint="cs"/>
          <w:b/>
          <w:bCs/>
          <w:rtl/>
        </w:rPr>
        <w:t xml:space="preserve"> </w:t>
      </w:r>
      <w:r w:rsidRPr="00D611D4">
        <w:rPr>
          <w:rFonts w:cs="Arial" w:hint="cs"/>
          <w:b/>
          <w:bCs/>
          <w:rtl/>
        </w:rPr>
        <w:t>קו</w:t>
      </w:r>
      <w:r w:rsidR="00F80E5F">
        <w:rPr>
          <w:rStyle w:val="a7"/>
          <w:rFonts w:cs="Arial"/>
          <w:b/>
          <w:bCs/>
          <w:rtl/>
        </w:rPr>
        <w:footnoteReference w:id="1692"/>
      </w:r>
      <w:r w:rsidRPr="00D611D4">
        <w:rPr>
          <w:rFonts w:cs="Arial" w:hint="cs"/>
          <w:b/>
          <w:bCs/>
          <w:rtl/>
        </w:rPr>
        <w:t xml:space="preserve"> ע"ב: </w:t>
      </w:r>
      <w:r w:rsidRPr="00197A95">
        <w:rPr>
          <w:rFonts w:cs="Arial"/>
          <w:rtl/>
        </w:rPr>
        <w:t xml:space="preserve">מי שהלך למדינת הים. איתמר, </w:t>
      </w:r>
      <w:r w:rsidRPr="00DC6EE6">
        <w:rPr>
          <w:rFonts w:cs="Arial"/>
          <w:u w:val="single"/>
          <w:rtl/>
        </w:rPr>
        <w:t>רב אמר</w:t>
      </w:r>
      <w:r w:rsidRPr="00197A95">
        <w:rPr>
          <w:rFonts w:cs="Arial"/>
          <w:rtl/>
        </w:rPr>
        <w:t>:</w:t>
      </w:r>
      <w:r>
        <w:rPr>
          <w:rFonts w:cs="Arial" w:hint="cs"/>
          <w:rtl/>
        </w:rPr>
        <w:t xml:space="preserve"> </w:t>
      </w:r>
      <w:r>
        <w:rPr>
          <w:rFonts w:hint="cs"/>
          <w:sz w:val="14"/>
          <w:szCs w:val="14"/>
          <w:rtl/>
        </w:rPr>
        <w:t>(קז.)</w:t>
      </w:r>
      <w:r>
        <w:rPr>
          <w:rFonts w:cs="Arial" w:hint="cs"/>
          <w:rtl/>
        </w:rPr>
        <w:t xml:space="preserve"> </w:t>
      </w:r>
      <w:r w:rsidRPr="00D611D4">
        <w:rPr>
          <w:rFonts w:cs="Arial"/>
          <w:rtl/>
        </w:rPr>
        <w:t xml:space="preserve">פוסקין מזונות לאשת איש, </w:t>
      </w:r>
      <w:r w:rsidRPr="00DC6EE6">
        <w:rPr>
          <w:rFonts w:cs="Arial"/>
          <w:u w:val="single"/>
          <w:rtl/>
        </w:rPr>
        <w:t>ושמואל אמר</w:t>
      </w:r>
      <w:r w:rsidRPr="00D611D4">
        <w:rPr>
          <w:rFonts w:cs="Arial"/>
          <w:rtl/>
        </w:rPr>
        <w:t xml:space="preserve">: אין פוסקין מזונות לאשת איש. </w:t>
      </w:r>
      <w:r w:rsidRPr="00DC6EE6">
        <w:rPr>
          <w:rFonts w:cs="Arial"/>
          <w:u w:val="single"/>
          <w:rtl/>
        </w:rPr>
        <w:t>אמר שמואל</w:t>
      </w:r>
      <w:r w:rsidRPr="00D611D4">
        <w:rPr>
          <w:rFonts w:cs="Arial"/>
          <w:rtl/>
        </w:rPr>
        <w:t>: מודה לי אבא, בשלשה חדשים הראשונים, לפי שאין אדם מניח ביתו ריקן. בששמעו בו שמת כולי עלמא לא פליגי, כי פליגי - בשלא שמעו בו שמת</w:t>
      </w:r>
      <w:r>
        <w:rPr>
          <w:rFonts w:cs="Arial" w:hint="cs"/>
          <w:rtl/>
        </w:rPr>
        <w:t>..</w:t>
      </w:r>
      <w:r w:rsidRPr="00D611D4">
        <w:rPr>
          <w:rFonts w:cs="Arial"/>
          <w:rtl/>
        </w:rPr>
        <w:t xml:space="preserve">. </w:t>
      </w:r>
    </w:p>
    <w:p w14:paraId="3EA03C47" w14:textId="723297ED" w:rsidR="003B3349" w:rsidRPr="00980E22" w:rsidRDefault="00456FE1" w:rsidP="003B3349">
      <w:pPr>
        <w:rPr>
          <w:u w:val="single"/>
          <w:rtl/>
        </w:rPr>
      </w:pPr>
      <w:r w:rsidRPr="00980E22">
        <w:rPr>
          <w:rFonts w:hint="cs"/>
          <w:u w:val="single"/>
          <w:rtl/>
        </w:rPr>
        <w:t>האם בית דין צריכים לחשב את מעשה ידיה בשעה שרוצים לפסוק לה מזונות:</w:t>
      </w:r>
    </w:p>
    <w:p w14:paraId="094FE36A" w14:textId="3428ABDB" w:rsidR="0057109E" w:rsidRPr="0057109E" w:rsidRDefault="0057109E" w:rsidP="009000E3">
      <w:pPr>
        <w:pStyle w:val="ab"/>
        <w:numPr>
          <w:ilvl w:val="0"/>
          <w:numId w:val="61"/>
        </w:numPr>
      </w:pPr>
      <w:r>
        <w:rPr>
          <w:rFonts w:cs="Arial" w:hint="cs"/>
          <w:rtl/>
        </w:rPr>
        <w:t xml:space="preserve">רמב"ם </w:t>
      </w:r>
      <w:r>
        <w:rPr>
          <w:rFonts w:cs="Arial" w:hint="cs"/>
          <w:sz w:val="16"/>
          <w:szCs w:val="16"/>
          <w:rtl/>
        </w:rPr>
        <w:t>(פי"ח הכ"ב</w:t>
      </w:r>
      <w:r w:rsidR="00A46EF0">
        <w:rPr>
          <w:rFonts w:cs="Arial" w:hint="cs"/>
          <w:sz w:val="16"/>
          <w:szCs w:val="16"/>
          <w:rtl/>
        </w:rPr>
        <w:t>, וכ"כ הטור בשמו</w:t>
      </w:r>
      <w:r>
        <w:rPr>
          <w:rFonts w:cs="Arial" w:hint="cs"/>
          <w:sz w:val="16"/>
          <w:szCs w:val="16"/>
          <w:rtl/>
        </w:rPr>
        <w:t>)</w:t>
      </w:r>
      <w:r>
        <w:rPr>
          <w:rFonts w:cs="Arial" w:hint="cs"/>
          <w:rtl/>
        </w:rPr>
        <w:t xml:space="preserve">- </w:t>
      </w:r>
      <w:r w:rsidRPr="0057109E">
        <w:rPr>
          <w:rFonts w:cs="Arial"/>
          <w:rtl/>
        </w:rPr>
        <w:t>אלמנה שפסקו לה בית דין מזונות אין מחשבין עמה על מעשה ידיה עד שיבאו היורשים ויתבעוה</w:t>
      </w:r>
      <w:r w:rsidR="001A36CF">
        <w:rPr>
          <w:rStyle w:val="a7"/>
          <w:rFonts w:cs="Arial"/>
          <w:rtl/>
        </w:rPr>
        <w:footnoteReference w:id="1693"/>
      </w:r>
      <w:r w:rsidRPr="0057109E">
        <w:rPr>
          <w:rFonts w:cs="Arial"/>
          <w:rtl/>
        </w:rPr>
        <w:t>, אם מצאו לה מעשה ידיה נוטלין אותן</w:t>
      </w:r>
      <w:r w:rsidR="007370BD">
        <w:rPr>
          <w:rFonts w:cs="Arial" w:hint="cs"/>
          <w:rtl/>
        </w:rPr>
        <w:t>,</w:t>
      </w:r>
      <w:r w:rsidRPr="0057109E">
        <w:rPr>
          <w:rFonts w:cs="Arial"/>
          <w:rtl/>
        </w:rPr>
        <w:t xml:space="preserve"> ואם לאו הולכין לדרכם</w:t>
      </w:r>
      <w:r w:rsidR="00A46EF0">
        <w:rPr>
          <w:rFonts w:cs="Arial" w:hint="cs"/>
          <w:rtl/>
        </w:rPr>
        <w:t>.</w:t>
      </w:r>
      <w:r w:rsidRPr="0057109E">
        <w:rPr>
          <w:rFonts w:cs="Arial"/>
          <w:rtl/>
        </w:rPr>
        <w:t xml:space="preserve"> ואני אומר שאם היו היורשים קטנים בית דין מחשבין עמה ופוסקין לה מעשה ידיה כדרך שפוסקין לה מזונות</w:t>
      </w:r>
      <w:r w:rsidR="006E1B37">
        <w:rPr>
          <w:rStyle w:val="a7"/>
          <w:rFonts w:cs="Arial"/>
          <w:rtl/>
        </w:rPr>
        <w:footnoteReference w:id="1694"/>
      </w:r>
      <w:r w:rsidRPr="0057109E">
        <w:rPr>
          <w:rFonts w:cs="Arial"/>
          <w:rtl/>
        </w:rPr>
        <w:t xml:space="preserve">. </w:t>
      </w:r>
      <w:r w:rsidR="00980E22" w:rsidRPr="00A01DCB">
        <w:rPr>
          <w:rFonts w:cs="Arial" w:hint="cs"/>
          <w:color w:val="E36C0A" w:themeColor="accent6" w:themeShade="BF"/>
          <w:rtl/>
        </w:rPr>
        <w:t>(וכ"פ בשו"ע)</w:t>
      </w:r>
    </w:p>
    <w:p w14:paraId="5A0DF167"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E1D6693" w14:textId="48EF95B0" w:rsidR="001A7305" w:rsidRDefault="00392DBB" w:rsidP="00392DBB">
      <w:pPr>
        <w:rPr>
          <w:rFonts w:cs="Arial"/>
          <w:rtl/>
        </w:rPr>
      </w:pPr>
      <w:r>
        <w:rPr>
          <w:rFonts w:cs="Arial"/>
          <w:rtl/>
        </w:rPr>
        <w:t>כשבאה האלמנה לב</w:t>
      </w:r>
      <w:r w:rsidR="00765443">
        <w:rPr>
          <w:rFonts w:cs="Arial" w:hint="cs"/>
          <w:rtl/>
        </w:rPr>
        <w:t>ית דין</w:t>
      </w:r>
      <w:r>
        <w:rPr>
          <w:rFonts w:cs="Arial"/>
          <w:rtl/>
        </w:rPr>
        <w:t xml:space="preserve"> לתבוע מזונותיה אין מחשבין עמה על מעשה ידיה עד שיבואו היורשים ויתבעוה, אם ימצאו לה מעשה ידיה נוטלין אותו, ואם לאו ילכו לדרכם. ואם היורשים קטנים, ב</w:t>
      </w:r>
      <w:r w:rsidR="00765443">
        <w:rPr>
          <w:rFonts w:cs="Arial" w:hint="cs"/>
          <w:rtl/>
        </w:rPr>
        <w:t>ית דין</w:t>
      </w:r>
      <w:r>
        <w:rPr>
          <w:rFonts w:cs="Arial"/>
          <w:rtl/>
        </w:rPr>
        <w:t xml:space="preserve"> מחשבין עמה ופוסקין לה מעשה ידיה כדרך שפוסקין לה מזונות.</w:t>
      </w:r>
    </w:p>
    <w:p w14:paraId="0B76E4B3" w14:textId="5CC008C5" w:rsidR="00392DBB" w:rsidRDefault="00392DBB" w:rsidP="00392DBB">
      <w:pPr>
        <w:rPr>
          <w:rtl/>
        </w:rPr>
      </w:pPr>
      <w:r>
        <w:rPr>
          <w:rFonts w:cs="Arial"/>
          <w:rtl/>
        </w:rPr>
        <w:t xml:space="preserve"> </w:t>
      </w:r>
    </w:p>
    <w:p w14:paraId="6B306D9C" w14:textId="3FBEB0D3" w:rsidR="00392DBB" w:rsidRDefault="00392DBB" w:rsidP="000F64D0">
      <w:pPr>
        <w:pStyle w:val="2"/>
        <w:rPr>
          <w:rtl/>
        </w:rPr>
      </w:pPr>
      <w:r>
        <w:rPr>
          <w:rtl/>
        </w:rPr>
        <w:t>סעיף ז</w:t>
      </w:r>
      <w:r w:rsidR="00B07A04">
        <w:rPr>
          <w:rFonts w:hint="cs"/>
          <w:rtl/>
        </w:rPr>
        <w:t>: אלמנה שהשביחה נכסים שהשאיר בעלה.</w:t>
      </w:r>
    </w:p>
    <w:p w14:paraId="11926FEA" w14:textId="58F33D19" w:rsidR="00435E59" w:rsidRPr="00435E59" w:rsidRDefault="00435E59" w:rsidP="00435E59">
      <w:pPr>
        <w:rPr>
          <w:rFonts w:cs="Arial"/>
          <w:rtl/>
        </w:rPr>
      </w:pPr>
      <w:r w:rsidRPr="00435E59">
        <w:rPr>
          <w:rFonts w:cs="Arial" w:hint="cs"/>
          <w:b/>
          <w:bCs/>
          <w:rtl/>
        </w:rPr>
        <w:t xml:space="preserve">בבא בתרא </w:t>
      </w:r>
      <w:r w:rsidRPr="00435E59">
        <w:rPr>
          <w:rFonts w:cs="Arial" w:hint="cs"/>
          <w:b/>
          <w:bCs/>
          <w:sz w:val="16"/>
          <w:szCs w:val="16"/>
          <w:rtl/>
        </w:rPr>
        <w:t>(פ' מי שמת)</w:t>
      </w:r>
      <w:r w:rsidRPr="00435E59">
        <w:rPr>
          <w:rFonts w:cs="Arial" w:hint="cs"/>
          <w:b/>
          <w:bCs/>
          <w:rtl/>
        </w:rPr>
        <w:t xml:space="preserve"> קמג</w:t>
      </w:r>
      <w:r w:rsidR="00F80E5F">
        <w:rPr>
          <w:rStyle w:val="a7"/>
          <w:rFonts w:cs="Arial"/>
          <w:b/>
          <w:bCs/>
          <w:rtl/>
        </w:rPr>
        <w:footnoteReference w:id="1695"/>
      </w:r>
      <w:r w:rsidRPr="00435E59">
        <w:rPr>
          <w:rFonts w:cs="Arial" w:hint="cs"/>
          <w:b/>
          <w:bCs/>
          <w:rtl/>
        </w:rPr>
        <w:t xml:space="preserve"> ע"ב: </w:t>
      </w:r>
      <w:r w:rsidRPr="00435E59">
        <w:rPr>
          <w:rFonts w:cs="Arial"/>
          <w:u w:val="double"/>
          <w:rtl/>
        </w:rPr>
        <w:t>מתני'</w:t>
      </w:r>
      <w:r>
        <w:rPr>
          <w:rFonts w:cs="Arial" w:hint="cs"/>
          <w:rtl/>
        </w:rPr>
        <w:t>:</w:t>
      </w:r>
      <w:r w:rsidRPr="00435E59">
        <w:rPr>
          <w:rFonts w:cs="Arial"/>
          <w:rtl/>
        </w:rPr>
        <w:t xml:space="preserve"> הניח בנים גדולים וקטנים, השביחו גדולים את הנכסים - השביחו לאמצע; אם אמרו: ראו מה שהניח אבא הרי אנו עושין ואוכלים - השביחו לעצמן. וכן האשה שהשביחה את הנכסים - השביחה לאמצע; אם אמרה: ראו מה שהניח לי בעלי הרי אני עושה ואוכלת - השביחה לעצמה. </w:t>
      </w:r>
      <w:r>
        <w:rPr>
          <w:rFonts w:cs="Arial" w:hint="cs"/>
          <w:rtl/>
        </w:rPr>
        <w:t xml:space="preserve">    </w:t>
      </w:r>
      <w:r w:rsidRPr="00435E59">
        <w:rPr>
          <w:rFonts w:cs="Arial" w:hint="cs"/>
          <w:u w:val="double"/>
          <w:rtl/>
        </w:rPr>
        <w:t>גמ'</w:t>
      </w:r>
      <w:r>
        <w:rPr>
          <w:rFonts w:cs="Arial" w:hint="cs"/>
          <w:sz w:val="14"/>
          <w:szCs w:val="14"/>
          <w:u w:val="double"/>
          <w:rtl/>
        </w:rPr>
        <w:t>(קמד.)</w:t>
      </w:r>
      <w:r w:rsidRPr="00435E59">
        <w:rPr>
          <w:rFonts w:cs="Arial" w:hint="cs"/>
          <w:u w:val="double"/>
          <w:rtl/>
        </w:rPr>
        <w:t>:</w:t>
      </w:r>
      <w:r>
        <w:rPr>
          <w:rFonts w:cs="Arial" w:hint="cs"/>
          <w:rtl/>
        </w:rPr>
        <w:t xml:space="preserve"> </w:t>
      </w:r>
      <w:r w:rsidR="00D47023" w:rsidRPr="00D47023">
        <w:rPr>
          <w:rFonts w:cs="Arial"/>
          <w:rtl/>
        </w:rPr>
        <w:t xml:space="preserve">אמרו: ראו מה שהניח אבא הרי אנו עושין ואוכלין - השביחו לעצמן. </w:t>
      </w:r>
      <w:r w:rsidR="00D47023" w:rsidRPr="00B032E4">
        <w:rPr>
          <w:rFonts w:cs="Arial"/>
          <w:u w:val="single"/>
          <w:rtl/>
        </w:rPr>
        <w:t>רב ספרא</w:t>
      </w:r>
      <w:r w:rsidR="00D47023" w:rsidRPr="00D47023">
        <w:rPr>
          <w:rFonts w:cs="Arial"/>
          <w:rtl/>
        </w:rPr>
        <w:t xml:space="preserve"> שבק אבוה זוזי, שקלינהו עבד בהו עיסקא; </w:t>
      </w:r>
      <w:r w:rsidR="00D47023" w:rsidRPr="00B032E4">
        <w:rPr>
          <w:rFonts w:cs="Arial"/>
          <w:u w:val="single"/>
          <w:rtl/>
        </w:rPr>
        <w:t>אתו אחי תבעוהו בדינא קמיה דרבא, אמר להו</w:t>
      </w:r>
      <w:r w:rsidR="00D47023" w:rsidRPr="00D47023">
        <w:rPr>
          <w:rFonts w:cs="Arial"/>
          <w:rtl/>
        </w:rPr>
        <w:t xml:space="preserve">: רב ספרא גברא רבה הוא, לא שביק גירסיה וטרח לאחריני. </w:t>
      </w:r>
      <w:r w:rsidR="00D47023">
        <w:rPr>
          <w:rFonts w:cs="Arial" w:hint="cs"/>
          <w:rtl/>
        </w:rPr>
        <w:t xml:space="preserve">     </w:t>
      </w:r>
      <w:r>
        <w:rPr>
          <w:rFonts w:cs="Arial"/>
          <w:rtl/>
        </w:rPr>
        <w:t xml:space="preserve">האשה שהשביחה את הנכסים - השביחה לאמצע. אשה בנכסי יתמי מאי עבידתה? </w:t>
      </w:r>
      <w:r w:rsidRPr="00435E59">
        <w:rPr>
          <w:rFonts w:cs="Arial"/>
          <w:u w:val="single"/>
          <w:rtl/>
        </w:rPr>
        <w:t>אמר רבי ירמיה</w:t>
      </w:r>
      <w:r>
        <w:rPr>
          <w:rFonts w:cs="Arial"/>
          <w:rtl/>
        </w:rPr>
        <w:t xml:space="preserve">: באשה יורשת. פשיטא! מהו דתימא: כיון דלאו דרכה למטרח, אף על גב דלא פריש כמו דפריש דמי, קמשמע לן. </w:t>
      </w:r>
      <w:r>
        <w:rPr>
          <w:rFonts w:cs="Arial" w:hint="cs"/>
          <w:rtl/>
        </w:rPr>
        <w:t xml:space="preserve">     </w:t>
      </w:r>
      <w:r>
        <w:rPr>
          <w:rFonts w:cs="Arial"/>
          <w:rtl/>
        </w:rPr>
        <w:t>ואם אמרה: ראו מה שהניח לי בעלי הריני עושה ואוכלת - השביחה לעצמה. פשיטא! מהו דתימא: כיון דשביחא לה מילתא, דאמרי קא טרחא קמי יתמי - אחולי אחלה, קא משמע לן.</w:t>
      </w:r>
    </w:p>
    <w:p w14:paraId="4446A5F6" w14:textId="3AE772D1" w:rsidR="00B07A04" w:rsidRPr="00B07A04" w:rsidRDefault="00B07A04" w:rsidP="00B07A04">
      <w:pPr>
        <w:rPr>
          <w:u w:val="single"/>
          <w:rtl/>
        </w:rPr>
      </w:pPr>
      <w:r w:rsidRPr="00B07A04">
        <w:rPr>
          <w:rFonts w:hint="cs"/>
          <w:u w:val="single"/>
          <w:rtl/>
        </w:rPr>
        <w:t>אלמנה שהשביחה נכסים שהשאיר בעלה:</w:t>
      </w:r>
    </w:p>
    <w:p w14:paraId="60AAEAB3" w14:textId="77F6CB77" w:rsidR="00914856" w:rsidRPr="00914856" w:rsidRDefault="001A728C" w:rsidP="009000E3">
      <w:pPr>
        <w:pStyle w:val="ab"/>
        <w:numPr>
          <w:ilvl w:val="0"/>
          <w:numId w:val="61"/>
        </w:numPr>
      </w:pPr>
      <w:r w:rsidRPr="00AB751F">
        <w:rPr>
          <w:rFonts w:cs="Arial"/>
          <w:rtl/>
        </w:rPr>
        <w:t xml:space="preserve">רשב"ם </w:t>
      </w:r>
      <w:r w:rsidR="00B07A04">
        <w:rPr>
          <w:rFonts w:cs="Arial" w:hint="cs"/>
          <w:sz w:val="16"/>
          <w:szCs w:val="16"/>
          <w:rtl/>
        </w:rPr>
        <w:t>(</w:t>
      </w:r>
      <w:r w:rsidR="00C53E2E">
        <w:rPr>
          <w:rFonts w:cs="Arial" w:hint="cs"/>
          <w:sz w:val="16"/>
          <w:szCs w:val="16"/>
          <w:rtl/>
        </w:rPr>
        <w:t xml:space="preserve">פרק מי שמת, </w:t>
      </w:r>
      <w:r w:rsidR="00B07A04">
        <w:rPr>
          <w:rFonts w:cs="Arial" w:hint="cs"/>
          <w:sz w:val="16"/>
          <w:szCs w:val="16"/>
          <w:rtl/>
        </w:rPr>
        <w:t xml:space="preserve">כ"כ </w:t>
      </w:r>
      <w:r w:rsidR="00565B23">
        <w:rPr>
          <w:rFonts w:cs="Arial" w:hint="cs"/>
          <w:sz w:val="16"/>
          <w:szCs w:val="16"/>
          <w:rtl/>
        </w:rPr>
        <w:t>בשמו הרא"ש [ב"ב פ"ט סי' י] ו</w:t>
      </w:r>
      <w:r w:rsidR="00B07A04">
        <w:rPr>
          <w:rFonts w:cs="Arial" w:hint="cs"/>
          <w:sz w:val="16"/>
          <w:szCs w:val="16"/>
          <w:rtl/>
        </w:rPr>
        <w:t>הטור)</w:t>
      </w:r>
      <w:r w:rsidR="00B07A04">
        <w:rPr>
          <w:rFonts w:cs="Arial" w:hint="cs"/>
          <w:rtl/>
        </w:rPr>
        <w:t xml:space="preserve">- </w:t>
      </w:r>
      <w:r w:rsidR="00914856" w:rsidRPr="00914856">
        <w:rPr>
          <w:rFonts w:cs="Arial"/>
          <w:rtl/>
        </w:rPr>
        <w:t xml:space="preserve">אשה שמת בעלה והיא ניזונית מנכסי יתומים והשביחה את הנכסים </w:t>
      </w:r>
      <w:r w:rsidR="00565B23">
        <w:rPr>
          <w:rFonts w:cs="Arial" w:hint="cs"/>
          <w:rtl/>
        </w:rPr>
        <w:t xml:space="preserve">- </w:t>
      </w:r>
      <w:r w:rsidR="00914856" w:rsidRPr="00914856">
        <w:rPr>
          <w:rFonts w:cs="Arial"/>
          <w:rtl/>
        </w:rPr>
        <w:t>אף שכר טרחה אינה נוטלת</w:t>
      </w:r>
      <w:r w:rsidR="00E10AAA">
        <w:rPr>
          <w:rStyle w:val="a7"/>
          <w:rFonts w:cs="Arial"/>
          <w:rtl/>
        </w:rPr>
        <w:footnoteReference w:id="1696"/>
      </w:r>
      <w:r w:rsidR="00565B23">
        <w:rPr>
          <w:rFonts w:cs="Arial" w:hint="cs"/>
          <w:rtl/>
        </w:rPr>
        <w:t>,</w:t>
      </w:r>
      <w:r w:rsidR="00914856" w:rsidRPr="00914856">
        <w:rPr>
          <w:rFonts w:cs="Arial"/>
          <w:rtl/>
        </w:rPr>
        <w:t xml:space="preserve"> כיון דניזונית משל יתומים מעשה ידיה שלהן</w:t>
      </w:r>
      <w:r w:rsidR="00741C58">
        <w:rPr>
          <w:rFonts w:cs="Arial" w:hint="cs"/>
          <w:rtl/>
        </w:rPr>
        <w:t>.</w:t>
      </w:r>
      <w:r w:rsidR="00914856" w:rsidRPr="00914856">
        <w:rPr>
          <w:rFonts w:cs="Arial"/>
          <w:rtl/>
        </w:rPr>
        <w:t xml:space="preserve"> ואם אינה נזונית כגון שתבעה כתובתה בב"ד דשוב אין לה מזונות והניח בעלה נכסים מועטין שאין בהן כדי כתובתה</w:t>
      </w:r>
      <w:r w:rsidR="00257307">
        <w:rPr>
          <w:rFonts w:cs="Arial" w:hint="cs"/>
          <w:rtl/>
        </w:rPr>
        <w:t>,</w:t>
      </w:r>
      <w:r w:rsidR="00914856" w:rsidRPr="00914856">
        <w:rPr>
          <w:rFonts w:cs="Arial"/>
          <w:rtl/>
        </w:rPr>
        <w:t xml:space="preserve"> אם אמרה ראו מה שהניח לי בעלי ונתעצלו בית דין או היורשים מלהשביעה ולהגבותה כתובתה</w:t>
      </w:r>
      <w:r w:rsidR="00257307">
        <w:rPr>
          <w:rFonts w:cs="Arial" w:hint="cs"/>
          <w:rtl/>
        </w:rPr>
        <w:t>,</w:t>
      </w:r>
      <w:r w:rsidR="00914856" w:rsidRPr="00914856">
        <w:rPr>
          <w:rFonts w:cs="Arial"/>
          <w:rtl/>
        </w:rPr>
        <w:t xml:space="preserve"> אפילו השביחו נכסים ועמדו על אלף דינרים </w:t>
      </w:r>
      <w:r w:rsidR="008E3143">
        <w:rPr>
          <w:rFonts w:cs="Arial" w:hint="cs"/>
          <w:rtl/>
        </w:rPr>
        <w:t xml:space="preserve">- </w:t>
      </w:r>
      <w:r w:rsidR="00914856" w:rsidRPr="00914856">
        <w:rPr>
          <w:rFonts w:cs="Arial"/>
          <w:rtl/>
        </w:rPr>
        <w:t>השביחה לעצמה</w:t>
      </w:r>
      <w:r w:rsidR="008E3143">
        <w:rPr>
          <w:rStyle w:val="a7"/>
          <w:rFonts w:cs="Arial"/>
          <w:rtl/>
        </w:rPr>
        <w:footnoteReference w:id="1697"/>
      </w:r>
      <w:r w:rsidR="00257307">
        <w:rPr>
          <w:rFonts w:cs="Arial" w:hint="cs"/>
          <w:rtl/>
        </w:rPr>
        <w:t>.</w:t>
      </w:r>
      <w:r w:rsidR="00914856" w:rsidRPr="00914856">
        <w:rPr>
          <w:rFonts w:cs="Arial"/>
          <w:rtl/>
        </w:rPr>
        <w:t xml:space="preserve"> אבל השביחה הנכסים בסתם </w:t>
      </w:r>
      <w:r w:rsidR="00257307">
        <w:rPr>
          <w:rFonts w:cs="Arial" w:hint="cs"/>
          <w:rtl/>
        </w:rPr>
        <w:t xml:space="preserve">- </w:t>
      </w:r>
      <w:r w:rsidR="00914856" w:rsidRPr="00914856">
        <w:rPr>
          <w:rFonts w:cs="Arial"/>
          <w:rtl/>
        </w:rPr>
        <w:t>נוטלת כתובתה</w:t>
      </w:r>
      <w:r w:rsidR="00582A12">
        <w:rPr>
          <w:rStyle w:val="a7"/>
          <w:rFonts w:cs="Arial"/>
          <w:rtl/>
        </w:rPr>
        <w:footnoteReference w:id="1698"/>
      </w:r>
      <w:r w:rsidR="00914856" w:rsidRPr="00914856">
        <w:rPr>
          <w:rFonts w:cs="Arial"/>
          <w:rtl/>
        </w:rPr>
        <w:t xml:space="preserve"> והמותר ליורשים</w:t>
      </w:r>
      <w:r w:rsidR="008E3143">
        <w:rPr>
          <w:rFonts w:cs="Arial" w:hint="cs"/>
          <w:sz w:val="16"/>
          <w:szCs w:val="16"/>
          <w:rtl/>
        </w:rPr>
        <w:t xml:space="preserve"> </w:t>
      </w:r>
      <w:r w:rsidR="008E3143" w:rsidRPr="008E3143">
        <w:rPr>
          <w:rFonts w:cs="Arial" w:hint="cs"/>
          <w:sz w:val="16"/>
          <w:szCs w:val="16"/>
          <w:rtl/>
        </w:rPr>
        <w:t>(ל' ה</w:t>
      </w:r>
      <w:r w:rsidR="008E3143">
        <w:rPr>
          <w:rFonts w:cs="Arial" w:hint="cs"/>
          <w:sz w:val="16"/>
          <w:szCs w:val="16"/>
          <w:rtl/>
        </w:rPr>
        <w:t>רא"ש</w:t>
      </w:r>
      <w:r w:rsidR="008E3143" w:rsidRPr="008E3143">
        <w:rPr>
          <w:rFonts w:cs="Arial" w:hint="cs"/>
          <w:sz w:val="16"/>
          <w:szCs w:val="16"/>
          <w:rtl/>
        </w:rPr>
        <w:t xml:space="preserve"> בשמו)</w:t>
      </w:r>
      <w:r w:rsidR="00257307">
        <w:rPr>
          <w:rFonts w:cs="Arial" w:hint="cs"/>
          <w:rtl/>
        </w:rPr>
        <w:t>.</w:t>
      </w:r>
      <w:r w:rsidR="00914856" w:rsidRPr="00914856">
        <w:rPr>
          <w:rFonts w:cs="Arial"/>
          <w:rtl/>
        </w:rPr>
        <w:t xml:space="preserve"> </w:t>
      </w:r>
    </w:p>
    <w:p w14:paraId="29BF9ED9" w14:textId="17BAB9BD" w:rsidR="00880277" w:rsidRPr="00880277" w:rsidRDefault="001A728C" w:rsidP="009000E3">
      <w:pPr>
        <w:pStyle w:val="ab"/>
        <w:numPr>
          <w:ilvl w:val="0"/>
          <w:numId w:val="61"/>
        </w:numPr>
      </w:pPr>
      <w:r w:rsidRPr="00AB751F">
        <w:rPr>
          <w:rFonts w:cs="Arial"/>
          <w:rtl/>
        </w:rPr>
        <w:lastRenderedPageBreak/>
        <w:t xml:space="preserve">ראב"ד </w:t>
      </w:r>
      <w:r w:rsidR="00B07A04">
        <w:rPr>
          <w:rFonts w:cs="Arial" w:hint="cs"/>
          <w:sz w:val="16"/>
          <w:szCs w:val="16"/>
          <w:rtl/>
        </w:rPr>
        <w:t>(כ"כ הטור בשמו)</w:t>
      </w:r>
      <w:r w:rsidR="00B07A04">
        <w:rPr>
          <w:rFonts w:cs="Arial" w:hint="cs"/>
          <w:rtl/>
        </w:rPr>
        <w:t>- אע"פ</w:t>
      </w:r>
      <w:r w:rsidRPr="00AB751F">
        <w:rPr>
          <w:rFonts w:cs="Arial"/>
          <w:rtl/>
        </w:rPr>
        <w:t xml:space="preserve"> שהיא ניזונת אין השבח שהשביחה הקרקע שלהן</w:t>
      </w:r>
      <w:r w:rsidR="00AB1E0F">
        <w:rPr>
          <w:rFonts w:cs="Arial" w:hint="cs"/>
          <w:rtl/>
        </w:rPr>
        <w:t>,</w:t>
      </w:r>
      <w:r w:rsidRPr="00AB751F">
        <w:rPr>
          <w:rFonts w:cs="Arial"/>
          <w:rtl/>
        </w:rPr>
        <w:t xml:space="preserve"> שלא אמרו מעשה ידיה שלהן אלא במעשה ידיה הקבועים כגון טווה או אורגת</w:t>
      </w:r>
      <w:r w:rsidR="00AB1E0F">
        <w:rPr>
          <w:rFonts w:cs="Arial" w:hint="cs"/>
          <w:rtl/>
        </w:rPr>
        <w:t>,</w:t>
      </w:r>
      <w:r w:rsidRPr="00AB751F">
        <w:rPr>
          <w:rFonts w:cs="Arial"/>
          <w:rtl/>
        </w:rPr>
        <w:t xml:space="preserve"> אבל במלאכה אחרת שאין דרכה בכך </w:t>
      </w:r>
      <w:r w:rsidR="0095477C">
        <w:rPr>
          <w:rFonts w:cs="Arial" w:hint="cs"/>
          <w:rtl/>
        </w:rPr>
        <w:t xml:space="preserve">- </w:t>
      </w:r>
      <w:r w:rsidRPr="00AB751F">
        <w:rPr>
          <w:rFonts w:cs="Arial"/>
          <w:rtl/>
        </w:rPr>
        <w:t>לא</w:t>
      </w:r>
      <w:r w:rsidR="00AB1E0F">
        <w:rPr>
          <w:rFonts w:cs="Arial" w:hint="cs"/>
          <w:rtl/>
        </w:rPr>
        <w:t>,</w:t>
      </w:r>
      <w:r w:rsidRPr="00AB751F">
        <w:rPr>
          <w:rFonts w:cs="Arial"/>
          <w:rtl/>
        </w:rPr>
        <w:t xml:space="preserve"> כיון שאינם יכולים לשנותה לאותה מלאכה אם עשתה הרי היא לעצמה</w:t>
      </w:r>
      <w:r w:rsidR="00AB1E0F">
        <w:rPr>
          <w:rFonts w:cs="Arial" w:hint="cs"/>
          <w:rtl/>
        </w:rPr>
        <w:t>.</w:t>
      </w:r>
      <w:r w:rsidRPr="00AB751F">
        <w:rPr>
          <w:rFonts w:cs="Arial"/>
          <w:rtl/>
        </w:rPr>
        <w:t xml:space="preserve"> ולענין לשלם ליתומים שכר בטלה של מעשה ידיה יש מחייבים ויש פוטרים</w:t>
      </w:r>
      <w:r w:rsidR="008E3143">
        <w:rPr>
          <w:rFonts w:cs="Arial" w:hint="cs"/>
          <w:rtl/>
        </w:rPr>
        <w:t xml:space="preserve"> </w:t>
      </w:r>
      <w:r w:rsidR="00A33D81" w:rsidRPr="008E3143">
        <w:rPr>
          <w:rFonts w:cs="Arial" w:hint="cs"/>
          <w:sz w:val="16"/>
          <w:szCs w:val="16"/>
          <w:rtl/>
        </w:rPr>
        <w:t>(ל' הטור בשמו)</w:t>
      </w:r>
      <w:r w:rsidR="00880277" w:rsidRPr="008E3143">
        <w:rPr>
          <w:rFonts w:cs="Arial" w:hint="cs"/>
          <w:rtl/>
        </w:rPr>
        <w:t>.</w:t>
      </w:r>
      <w:r w:rsidRPr="008E3143">
        <w:rPr>
          <w:rFonts w:cs="Arial"/>
          <w:rtl/>
        </w:rPr>
        <w:t xml:space="preserve"> </w:t>
      </w:r>
      <w:r w:rsidR="00C53E2E">
        <w:rPr>
          <w:rFonts w:hint="cs"/>
          <w:rtl/>
        </w:rPr>
        <w:t xml:space="preserve"> </w:t>
      </w:r>
    </w:p>
    <w:p w14:paraId="742D064E" w14:textId="2D483F58" w:rsidR="001A728C" w:rsidRDefault="0081743D" w:rsidP="009000E3">
      <w:pPr>
        <w:pStyle w:val="ab"/>
        <w:numPr>
          <w:ilvl w:val="0"/>
          <w:numId w:val="61"/>
        </w:numPr>
      </w:pPr>
      <w:r>
        <w:rPr>
          <w:rFonts w:cs="Arial" w:hint="cs"/>
          <w:rtl/>
        </w:rPr>
        <w:t>רא"ש</w:t>
      </w:r>
      <w:r w:rsidR="004A61CA">
        <w:rPr>
          <w:rFonts w:cs="Arial" w:hint="cs"/>
          <w:sz w:val="16"/>
          <w:szCs w:val="16"/>
          <w:rtl/>
        </w:rPr>
        <w:t xml:space="preserve"> (ב"ב פ"ט סי' י, וכ"כ הטור בשמו)</w:t>
      </w:r>
      <w:r>
        <w:rPr>
          <w:rFonts w:cs="Arial" w:hint="cs"/>
          <w:rtl/>
        </w:rPr>
        <w:t>-</w:t>
      </w:r>
      <w:r w:rsidR="001A728C" w:rsidRPr="00AB751F">
        <w:rPr>
          <w:rFonts w:cs="Arial"/>
          <w:rtl/>
        </w:rPr>
        <w:t xml:space="preserve"> אשה שאינה יורשת</w:t>
      </w:r>
      <w:r w:rsidR="004D7446">
        <w:rPr>
          <w:rFonts w:cs="Arial" w:hint="cs"/>
          <w:rtl/>
        </w:rPr>
        <w:t>...</w:t>
      </w:r>
      <w:r w:rsidR="001A728C" w:rsidRPr="00AB751F">
        <w:rPr>
          <w:rFonts w:cs="Arial"/>
          <w:rtl/>
        </w:rPr>
        <w:t xml:space="preserve"> </w:t>
      </w:r>
      <w:r w:rsidR="001A728C" w:rsidRPr="009A1A8E">
        <w:rPr>
          <w:rFonts w:cs="Arial"/>
          <w:rtl/>
        </w:rPr>
        <w:t xml:space="preserve">בין אמרה ראו בין לא אמרה ראו </w:t>
      </w:r>
      <w:r w:rsidR="009A1A8E">
        <w:rPr>
          <w:rFonts w:cs="Arial" w:hint="cs"/>
          <w:rtl/>
        </w:rPr>
        <w:t xml:space="preserve">- </w:t>
      </w:r>
      <w:r w:rsidR="001A728C" w:rsidRPr="009A1A8E">
        <w:rPr>
          <w:rFonts w:cs="Arial"/>
          <w:rtl/>
        </w:rPr>
        <w:t>כל השבח ליורשים ולא תטול ממנו כלום</w:t>
      </w:r>
      <w:r w:rsidR="004A61CA">
        <w:rPr>
          <w:rStyle w:val="a7"/>
          <w:rFonts w:cs="Arial"/>
          <w:rtl/>
        </w:rPr>
        <w:footnoteReference w:id="1699"/>
      </w:r>
      <w:r w:rsidR="009A1A8E">
        <w:rPr>
          <w:rFonts w:cs="Arial" w:hint="cs"/>
          <w:rtl/>
        </w:rPr>
        <w:t>,</w:t>
      </w:r>
      <w:r w:rsidR="001A728C" w:rsidRPr="009A1A8E">
        <w:rPr>
          <w:rFonts w:cs="Arial"/>
          <w:rtl/>
        </w:rPr>
        <w:t xml:space="preserve"> ואפי' כתובתה לא תגבה ממנו</w:t>
      </w:r>
      <w:r w:rsidR="009A1A8E">
        <w:rPr>
          <w:rFonts w:cs="Arial" w:hint="cs"/>
          <w:rtl/>
        </w:rPr>
        <w:t>,</w:t>
      </w:r>
      <w:r w:rsidR="001A728C" w:rsidRPr="009A1A8E">
        <w:rPr>
          <w:rFonts w:cs="Arial"/>
          <w:rtl/>
        </w:rPr>
        <w:t xml:space="preserve"> אלא שנוטלת שכר טרחה וידה על התחתונה ליקח בשדה שאינה עשויה ליטע ההוצאה אם השבח מרובה</w:t>
      </w:r>
      <w:r w:rsidR="009A1A8E">
        <w:rPr>
          <w:rFonts w:cs="Arial" w:hint="cs"/>
          <w:rtl/>
        </w:rPr>
        <w:t>.</w:t>
      </w:r>
      <w:r w:rsidR="001A728C" w:rsidRPr="009A1A8E">
        <w:rPr>
          <w:rFonts w:cs="Arial"/>
          <w:rtl/>
        </w:rPr>
        <w:t xml:space="preserve"> ואם הן מעות</w:t>
      </w:r>
      <w:r w:rsidR="009A1A8E">
        <w:rPr>
          <w:rFonts w:cs="Arial" w:hint="cs"/>
          <w:rtl/>
        </w:rPr>
        <w:t>,</w:t>
      </w:r>
      <w:r w:rsidR="001A728C" w:rsidRPr="009A1A8E">
        <w:rPr>
          <w:rFonts w:cs="Arial"/>
          <w:rtl/>
        </w:rPr>
        <w:t xml:space="preserve"> אינה נוטלת אלא שכר טרחה</w:t>
      </w:r>
      <w:r w:rsidR="004A61CA">
        <w:rPr>
          <w:rFonts w:cs="Arial" w:hint="cs"/>
          <w:sz w:val="16"/>
          <w:szCs w:val="16"/>
          <w:rtl/>
        </w:rPr>
        <w:t xml:space="preserve"> </w:t>
      </w:r>
      <w:r w:rsidR="004A61CA" w:rsidRPr="008E3143">
        <w:rPr>
          <w:rFonts w:cs="Arial" w:hint="cs"/>
          <w:sz w:val="16"/>
          <w:szCs w:val="16"/>
          <w:rtl/>
        </w:rPr>
        <w:t>(ל' הטור בשמו)</w:t>
      </w:r>
      <w:r w:rsidR="004A61CA" w:rsidRPr="008E3143">
        <w:rPr>
          <w:rFonts w:cs="Arial" w:hint="cs"/>
          <w:rtl/>
        </w:rPr>
        <w:t>.</w:t>
      </w:r>
      <w:r w:rsidR="004A61CA" w:rsidRPr="0095477C">
        <w:rPr>
          <w:rFonts w:hint="cs"/>
          <w:color w:val="E36C0A" w:themeColor="accent6" w:themeShade="BF"/>
          <w:rtl/>
        </w:rPr>
        <w:t xml:space="preserve"> </w:t>
      </w:r>
      <w:r w:rsidR="0095477C" w:rsidRPr="0095477C">
        <w:rPr>
          <w:rFonts w:hint="cs"/>
          <w:color w:val="E36C0A" w:themeColor="accent6" w:themeShade="BF"/>
          <w:rtl/>
        </w:rPr>
        <w:t>(וכ"פ בשו"ע)</w:t>
      </w:r>
    </w:p>
    <w:p w14:paraId="7ACAD28D" w14:textId="2FC83138" w:rsidR="00E52731" w:rsidRDefault="0044154E" w:rsidP="001A7305">
      <w:pPr>
        <w:rPr>
          <w:rFonts w:cs="Arial"/>
          <w:rtl/>
        </w:rPr>
      </w:pPr>
      <w:r w:rsidRPr="00B07A04">
        <w:rPr>
          <w:rFonts w:hint="cs"/>
          <w:u w:val="single"/>
          <w:rtl/>
        </w:rPr>
        <w:t>אלמנה שהשביחה נכסים שהשאיר בעלה</w:t>
      </w:r>
      <w:r>
        <w:rPr>
          <w:rFonts w:hint="cs"/>
          <w:u w:val="single"/>
          <w:rtl/>
        </w:rPr>
        <w:t>, ונישאה והכניסה לו הכל:</w:t>
      </w:r>
    </w:p>
    <w:p w14:paraId="01BB3933" w14:textId="026F9FFE" w:rsidR="009B20A7" w:rsidRPr="009B20A7" w:rsidRDefault="001A7305" w:rsidP="009000E3">
      <w:pPr>
        <w:pStyle w:val="ab"/>
        <w:numPr>
          <w:ilvl w:val="0"/>
          <w:numId w:val="84"/>
        </w:numPr>
      </w:pPr>
      <w:r w:rsidRPr="007455D7">
        <w:rPr>
          <w:rFonts w:cs="Arial"/>
          <w:rtl/>
        </w:rPr>
        <w:t>הגמ</w:t>
      </w:r>
      <w:r w:rsidR="007455D7">
        <w:rPr>
          <w:rFonts w:cs="Arial" w:hint="cs"/>
          <w:rtl/>
        </w:rPr>
        <w:t>"</w:t>
      </w:r>
      <w:r w:rsidRPr="007455D7">
        <w:rPr>
          <w:rFonts w:cs="Arial"/>
          <w:rtl/>
        </w:rPr>
        <w:t xml:space="preserve">ר </w:t>
      </w:r>
      <w:r w:rsidR="007455D7" w:rsidRPr="00D15895">
        <w:rPr>
          <w:rFonts w:cs="Arial" w:hint="cs"/>
          <w:sz w:val="16"/>
          <w:szCs w:val="16"/>
          <w:rtl/>
        </w:rPr>
        <w:t>(</w:t>
      </w:r>
      <w:r w:rsidRPr="00D15895">
        <w:rPr>
          <w:rFonts w:cs="Arial"/>
          <w:sz w:val="16"/>
          <w:szCs w:val="16"/>
          <w:rtl/>
        </w:rPr>
        <w:t>כתובות סי' שי)</w:t>
      </w:r>
      <w:r w:rsidR="007455D7">
        <w:rPr>
          <w:rFonts w:cs="Arial" w:hint="cs"/>
          <w:rtl/>
        </w:rPr>
        <w:t xml:space="preserve">- </w:t>
      </w:r>
      <w:r w:rsidR="007943E3" w:rsidRPr="007943E3">
        <w:rPr>
          <w:rFonts w:cs="Arial"/>
          <w:rtl/>
        </w:rPr>
        <w:t>על אלמנת ראובן שנשאת לשמעון ולא נשבעה קודם לכן על כתובתה</w:t>
      </w:r>
      <w:r w:rsidR="007943E3">
        <w:rPr>
          <w:rFonts w:cs="Arial" w:hint="cs"/>
          <w:rtl/>
        </w:rPr>
        <w:t>,</w:t>
      </w:r>
      <w:r w:rsidR="007943E3" w:rsidRPr="007943E3">
        <w:rPr>
          <w:rFonts w:cs="Arial"/>
          <w:rtl/>
        </w:rPr>
        <w:t xml:space="preserve"> והיתה נושאת ונותנת בבית בעלה הראשון</w:t>
      </w:r>
      <w:r w:rsidR="007943E3">
        <w:rPr>
          <w:rFonts w:cs="Arial" w:hint="cs"/>
          <w:rtl/>
        </w:rPr>
        <w:t>,</w:t>
      </w:r>
      <w:r w:rsidR="007943E3" w:rsidRPr="007943E3">
        <w:rPr>
          <w:rFonts w:cs="Arial"/>
          <w:rtl/>
        </w:rPr>
        <w:t xml:space="preserve"> וכשנשאת נתנה ליד האחרון כל הנמצא בידיה בלי רשות ב"ד</w:t>
      </w:r>
      <w:r w:rsidR="007943E3">
        <w:rPr>
          <w:rFonts w:cs="Arial" w:hint="cs"/>
          <w:rtl/>
        </w:rPr>
        <w:t>,</w:t>
      </w:r>
      <w:r w:rsidR="007943E3" w:rsidRPr="007943E3">
        <w:rPr>
          <w:rFonts w:cs="Arial"/>
          <w:rtl/>
        </w:rPr>
        <w:t xml:space="preserve"> אם נאמינה יותר בשבועה</w:t>
      </w:r>
      <w:r w:rsidR="00C45AEC">
        <w:rPr>
          <w:rFonts w:cs="Arial" w:hint="cs"/>
          <w:rtl/>
        </w:rPr>
        <w:t>?</w:t>
      </w:r>
      <w:r w:rsidR="007943E3" w:rsidRPr="007943E3">
        <w:rPr>
          <w:rFonts w:cs="Arial"/>
          <w:rtl/>
        </w:rPr>
        <w:t xml:space="preserve"> כי כך מקובל אני מפי ר"י שאמר בשם רב צמח גאון ששוב אינה נאמנת לישבע אחרי שלקחה ממון היתומים ונתנה לבעלה הויא לה גזלנית ושוב לא תשבע. </w:t>
      </w:r>
      <w:r w:rsidR="00C45AEC">
        <w:rPr>
          <w:rFonts w:cs="Arial" w:hint="cs"/>
          <w:rtl/>
        </w:rPr>
        <w:t xml:space="preserve">     </w:t>
      </w:r>
      <w:r w:rsidR="00023500">
        <w:rPr>
          <w:rFonts w:cs="Arial" w:hint="cs"/>
          <w:rtl/>
        </w:rPr>
        <w:t>תשובה</w:t>
      </w:r>
      <w:r w:rsidR="00C45AEC">
        <w:rPr>
          <w:rFonts w:cs="Arial" w:hint="cs"/>
          <w:rtl/>
        </w:rPr>
        <w:t>:</w:t>
      </w:r>
      <w:r w:rsidR="007943E3" w:rsidRPr="007943E3">
        <w:rPr>
          <w:rFonts w:cs="Arial"/>
          <w:rtl/>
        </w:rPr>
        <w:t xml:space="preserve"> מלאך החונה יחנה סביב למורי הרב רבי שמואל</w:t>
      </w:r>
      <w:r w:rsidR="00C45AEC">
        <w:rPr>
          <w:rFonts w:cs="Arial" w:hint="cs"/>
          <w:rtl/>
        </w:rPr>
        <w:t>,</w:t>
      </w:r>
      <w:r w:rsidR="007943E3" w:rsidRPr="007943E3">
        <w:rPr>
          <w:rFonts w:cs="Arial"/>
          <w:rtl/>
        </w:rPr>
        <w:t xml:space="preserve"> מה ידעתי ולא </w:t>
      </w:r>
      <w:r w:rsidR="00C45AEC">
        <w:rPr>
          <w:rFonts w:cs="Arial" w:hint="cs"/>
          <w:rtl/>
        </w:rPr>
        <w:t>א</w:t>
      </w:r>
      <w:r w:rsidR="007943E3" w:rsidRPr="007943E3">
        <w:rPr>
          <w:rFonts w:cs="Arial"/>
          <w:rtl/>
        </w:rPr>
        <w:t>דע</w:t>
      </w:r>
      <w:r w:rsidR="00C45AEC">
        <w:rPr>
          <w:rFonts w:cs="Arial" w:hint="cs"/>
          <w:rtl/>
        </w:rPr>
        <w:t>,</w:t>
      </w:r>
      <w:r w:rsidR="007943E3" w:rsidRPr="007943E3">
        <w:rPr>
          <w:rFonts w:cs="Arial"/>
          <w:rtl/>
        </w:rPr>
        <w:t xml:space="preserve"> אך קבלתי מרבינו שמחה אלמנה שנשאת לאחר קודם שנשבעה על כתובתה והכניסה לו נכסי ראשון נאמנת בשבועה לתפוס מה בידה</w:t>
      </w:r>
      <w:r w:rsidR="00C45AEC">
        <w:rPr>
          <w:rFonts w:cs="Arial" w:hint="cs"/>
          <w:rtl/>
        </w:rPr>
        <w:t>,</w:t>
      </w:r>
      <w:r w:rsidR="007943E3" w:rsidRPr="007943E3">
        <w:rPr>
          <w:rFonts w:cs="Arial"/>
          <w:rtl/>
        </w:rPr>
        <w:t xml:space="preserve"> דאין אדם נעשה גזלן ליפסל לעדות ולשבועה אלא בממון שאין לו עליו טענה כלל</w:t>
      </w:r>
      <w:r w:rsidR="00C45AEC">
        <w:rPr>
          <w:rFonts w:cs="Arial" w:hint="cs"/>
          <w:rtl/>
        </w:rPr>
        <w:t>,</w:t>
      </w:r>
      <w:r w:rsidR="007943E3" w:rsidRPr="007943E3">
        <w:rPr>
          <w:rFonts w:cs="Arial"/>
          <w:rtl/>
        </w:rPr>
        <w:t xml:space="preserve"> אבל כתובה זו אינה מחוסרת כי אם שבועה דלמא צררי אתפסה ואין זו גזלנות ומהימנא בשבועה</w:t>
      </w:r>
      <w:r w:rsidR="00C45AEC">
        <w:rPr>
          <w:rFonts w:cs="Arial" w:hint="cs"/>
          <w:rtl/>
        </w:rPr>
        <w:t>,</w:t>
      </w:r>
      <w:r w:rsidR="007943E3" w:rsidRPr="007943E3">
        <w:rPr>
          <w:rFonts w:cs="Arial"/>
          <w:rtl/>
        </w:rPr>
        <w:t xml:space="preserve"> דהא שומר משביעין אותו שאינה ברשותו ולא חשבינן ליה חשוד אממונא דמימר אמר דמי יהבינא</w:t>
      </w:r>
      <w:r w:rsidR="007943E3">
        <w:rPr>
          <w:rFonts w:cs="Arial" w:hint="cs"/>
          <w:rtl/>
        </w:rPr>
        <w:t>...</w:t>
      </w:r>
      <w:r w:rsidR="007943E3" w:rsidRPr="007943E3">
        <w:rPr>
          <w:rFonts w:cs="Arial"/>
          <w:rtl/>
        </w:rPr>
        <w:t xml:space="preserve"> </w:t>
      </w:r>
      <w:r w:rsidR="009B20A7" w:rsidRPr="009B20A7">
        <w:rPr>
          <w:rFonts w:cs="Arial"/>
          <w:rtl/>
        </w:rPr>
        <w:t>ואע</w:t>
      </w:r>
      <w:r w:rsidR="00C45AEC">
        <w:rPr>
          <w:rFonts w:cs="Arial" w:hint="cs"/>
          <w:rtl/>
        </w:rPr>
        <w:t>"</w:t>
      </w:r>
      <w:r w:rsidR="009B20A7" w:rsidRPr="009B20A7">
        <w:rPr>
          <w:rFonts w:cs="Arial"/>
          <w:rtl/>
        </w:rPr>
        <w:t xml:space="preserve">ג דאמרי' פרק מי שמת </w:t>
      </w:r>
      <w:r w:rsidR="00C45AEC">
        <w:rPr>
          <w:rFonts w:cs="Arial" w:hint="cs"/>
          <w:rtl/>
        </w:rPr>
        <w:t xml:space="preserve">(קמג:) </w:t>
      </w:r>
      <w:r w:rsidR="009B20A7" w:rsidRPr="009B20A7">
        <w:rPr>
          <w:rFonts w:cs="Arial"/>
          <w:rtl/>
        </w:rPr>
        <w:t>אלמנה שהשביחה הנכסים השביחה לאמצע</w:t>
      </w:r>
      <w:r w:rsidR="00C45AEC">
        <w:rPr>
          <w:rFonts w:cs="Arial" w:hint="cs"/>
          <w:rtl/>
        </w:rPr>
        <w:t>,</w:t>
      </w:r>
      <w:r w:rsidR="009B20A7" w:rsidRPr="009B20A7">
        <w:rPr>
          <w:rFonts w:cs="Arial"/>
          <w:rtl/>
        </w:rPr>
        <w:t xml:space="preserve"> התם מוקי לה באשה יורשת והשביחה הנכסים באלמנותה ולא נשאת לאחר</w:t>
      </w:r>
      <w:r w:rsidR="00C45AEC">
        <w:rPr>
          <w:rFonts w:cs="Arial" w:hint="cs"/>
          <w:rtl/>
        </w:rPr>
        <w:t>,</w:t>
      </w:r>
      <w:r w:rsidR="009B20A7" w:rsidRPr="009B20A7">
        <w:rPr>
          <w:rFonts w:cs="Arial"/>
          <w:rtl/>
        </w:rPr>
        <w:t xml:space="preserve"> דמסתמא כ"ז שלא אמרה ראו מה הניח לי בעלי אדעתא דיתמי השביחה</w:t>
      </w:r>
      <w:r w:rsidR="00C64CE2">
        <w:rPr>
          <w:rFonts w:cs="Arial" w:hint="cs"/>
          <w:rtl/>
        </w:rPr>
        <w:t>,</w:t>
      </w:r>
      <w:r w:rsidR="009B20A7" w:rsidRPr="009B20A7">
        <w:rPr>
          <w:rFonts w:cs="Arial"/>
          <w:rtl/>
        </w:rPr>
        <w:t xml:space="preserve"> אבל הכא שהכניסה לבעלה השני מוכחא מילתא דאדעתא דידה ובעלה עבדא ולא אדעתא דיתמי</w:t>
      </w:r>
      <w:r w:rsidR="00C64CE2">
        <w:rPr>
          <w:rFonts w:cs="Arial" w:hint="cs"/>
          <w:rtl/>
        </w:rPr>
        <w:t>,</w:t>
      </w:r>
      <w:r w:rsidR="009B20A7" w:rsidRPr="009B20A7">
        <w:rPr>
          <w:rFonts w:cs="Arial"/>
          <w:rtl/>
        </w:rPr>
        <w:t xml:space="preserve"> ודמי לעובדא דרב ספרא</w:t>
      </w:r>
      <w:r w:rsidR="00C64CE2">
        <w:rPr>
          <w:rFonts w:cs="Arial" w:hint="cs"/>
          <w:rtl/>
        </w:rPr>
        <w:t xml:space="preserve"> (שם קמד.)</w:t>
      </w:r>
      <w:r w:rsidR="009B20A7" w:rsidRPr="009B20A7">
        <w:rPr>
          <w:rFonts w:cs="Arial"/>
          <w:rtl/>
        </w:rPr>
        <w:t xml:space="preserve"> דלא שביק גי</w:t>
      </w:r>
      <w:r w:rsidR="00C64CE2">
        <w:rPr>
          <w:rFonts w:cs="Arial" w:hint="cs"/>
          <w:rtl/>
        </w:rPr>
        <w:t>ר</w:t>
      </w:r>
      <w:r w:rsidR="009B20A7" w:rsidRPr="009B20A7">
        <w:rPr>
          <w:rFonts w:cs="Arial"/>
          <w:rtl/>
        </w:rPr>
        <w:t>ס</w:t>
      </w:r>
      <w:r w:rsidR="0061732C">
        <w:rPr>
          <w:rFonts w:cs="Arial" w:hint="cs"/>
          <w:rtl/>
        </w:rPr>
        <w:t>יה</w:t>
      </w:r>
      <w:r w:rsidR="009B20A7" w:rsidRPr="009B20A7">
        <w:rPr>
          <w:rFonts w:cs="Arial"/>
          <w:rtl/>
        </w:rPr>
        <w:t xml:space="preserve"> וטרח לאחריני. אביגדור כהן</w:t>
      </w:r>
      <w:r w:rsidR="00C64CE2">
        <w:rPr>
          <w:rFonts w:cs="Arial" w:hint="cs"/>
          <w:rtl/>
        </w:rPr>
        <w:t>.</w:t>
      </w:r>
    </w:p>
    <w:p w14:paraId="76571C24" w14:textId="4E753FF2" w:rsidR="00486572" w:rsidRPr="00486572" w:rsidRDefault="00B76A28" w:rsidP="00486572">
      <w:r>
        <w:rPr>
          <w:rFonts w:hint="cs"/>
          <w:u w:val="single"/>
          <w:rtl/>
        </w:rPr>
        <w:t xml:space="preserve">תשובה בעניין </w:t>
      </w:r>
      <w:r w:rsidR="00C64CE2" w:rsidRPr="00B07A04">
        <w:rPr>
          <w:rFonts w:hint="cs"/>
          <w:u w:val="single"/>
          <w:rtl/>
        </w:rPr>
        <w:t>אלמנה שהשביחה נכסים שהשאיר בעלה</w:t>
      </w:r>
      <w:r w:rsidR="0044154E">
        <w:rPr>
          <w:rFonts w:hint="cs"/>
          <w:u w:val="single"/>
          <w:rtl/>
        </w:rPr>
        <w:t>:</w:t>
      </w:r>
    </w:p>
    <w:p w14:paraId="498D780C" w14:textId="57B260BC" w:rsidR="001A7305" w:rsidRPr="001A7305" w:rsidRDefault="001A7305" w:rsidP="009000E3">
      <w:pPr>
        <w:pStyle w:val="ab"/>
        <w:numPr>
          <w:ilvl w:val="0"/>
          <w:numId w:val="84"/>
        </w:numPr>
        <w:rPr>
          <w:rtl/>
        </w:rPr>
      </w:pPr>
      <w:r w:rsidRPr="007455D7">
        <w:rPr>
          <w:rFonts w:cs="Arial"/>
          <w:rtl/>
        </w:rPr>
        <w:t xml:space="preserve">רשב"א </w:t>
      </w:r>
      <w:r w:rsidR="00486572">
        <w:rPr>
          <w:rFonts w:cs="Arial" w:hint="cs"/>
          <w:sz w:val="16"/>
          <w:szCs w:val="16"/>
          <w:rtl/>
        </w:rPr>
        <w:t>(</w:t>
      </w:r>
      <w:r w:rsidR="00412D11">
        <w:rPr>
          <w:rFonts w:cs="Arial" w:hint="cs"/>
          <w:sz w:val="16"/>
          <w:szCs w:val="16"/>
          <w:rtl/>
        </w:rPr>
        <w:t>ח"ד סי' קנב</w:t>
      </w:r>
      <w:r w:rsidR="00486572">
        <w:rPr>
          <w:rFonts w:cs="Arial" w:hint="cs"/>
          <w:sz w:val="16"/>
          <w:szCs w:val="16"/>
          <w:rtl/>
        </w:rPr>
        <w:t>)</w:t>
      </w:r>
      <w:r w:rsidR="00486572">
        <w:rPr>
          <w:rFonts w:cs="Arial" w:hint="cs"/>
          <w:rtl/>
        </w:rPr>
        <w:t xml:space="preserve">- </w:t>
      </w:r>
      <w:r w:rsidRPr="007455D7">
        <w:rPr>
          <w:rFonts w:cs="Arial"/>
          <w:rtl/>
        </w:rPr>
        <w:t>ולענין מה שאמרתם אם נתעסקה בנכסים סתם נראה שהדבר פשוט בעיניכם שאילו היו נכסים מרובים מכתובתה כל מה שהרויחה ברבית ליורשים משום דמעשה ידיה שלהם אא</w:t>
      </w:r>
      <w:r w:rsidR="000E01A8">
        <w:rPr>
          <w:rFonts w:cs="Arial" w:hint="cs"/>
          <w:rtl/>
        </w:rPr>
        <w:t>"</w:t>
      </w:r>
      <w:r w:rsidRPr="007455D7">
        <w:rPr>
          <w:rFonts w:cs="Arial"/>
          <w:rtl/>
        </w:rPr>
        <w:t>כ אמר</w:t>
      </w:r>
      <w:r w:rsidR="00023500">
        <w:rPr>
          <w:rFonts w:cs="Arial" w:hint="cs"/>
          <w:rtl/>
        </w:rPr>
        <w:t>ה</w:t>
      </w:r>
      <w:r w:rsidRPr="007455D7">
        <w:rPr>
          <w:rFonts w:cs="Arial"/>
          <w:rtl/>
        </w:rPr>
        <w:t xml:space="preserve"> בפי' שאינה רוצה ליזון משלהם</w:t>
      </w:r>
      <w:r w:rsidR="000E01A8">
        <w:rPr>
          <w:rFonts w:cs="Arial" w:hint="cs"/>
          <w:rtl/>
        </w:rPr>
        <w:t>.</w:t>
      </w:r>
      <w:r w:rsidRPr="007455D7">
        <w:rPr>
          <w:rFonts w:cs="Arial"/>
          <w:rtl/>
        </w:rPr>
        <w:t xml:space="preserve"> ואפילו אמרה ראו מה שהניח לי בעלי לא הועילה כלום כל שהיא נזונת משל יורשים</w:t>
      </w:r>
      <w:r w:rsidR="000E01A8">
        <w:rPr>
          <w:rFonts w:cs="Arial" w:hint="cs"/>
          <w:rtl/>
        </w:rPr>
        <w:t>.</w:t>
      </w:r>
      <w:r w:rsidRPr="007455D7">
        <w:rPr>
          <w:rFonts w:cs="Arial"/>
          <w:rtl/>
        </w:rPr>
        <w:t xml:space="preserve"> ומתניתין (ב"ב קמג:) דקתני וכן האשה</w:t>
      </w:r>
      <w:r w:rsidR="000E01A8">
        <w:rPr>
          <w:rFonts w:cs="Arial" w:hint="cs"/>
          <w:rtl/>
        </w:rPr>
        <w:t>,</w:t>
      </w:r>
      <w:r w:rsidRPr="007455D7">
        <w:rPr>
          <w:rFonts w:cs="Arial"/>
          <w:rtl/>
        </w:rPr>
        <w:t xml:space="preserve"> דוקא באשה יורשת וכדאוקימנא בגמרא (קמד.)</w:t>
      </w:r>
      <w:r w:rsidR="000E01A8">
        <w:rPr>
          <w:rFonts w:cs="Arial" w:hint="cs"/>
          <w:rtl/>
        </w:rPr>
        <w:t>.</w:t>
      </w:r>
      <w:r w:rsidRPr="007455D7">
        <w:rPr>
          <w:rFonts w:cs="Arial"/>
          <w:rtl/>
        </w:rPr>
        <w:t xml:space="preserve"> ובנכסים מועטים הסכימו רוב המורים דאפילו לא אמרה כאילו אמרה</w:t>
      </w:r>
      <w:r w:rsidR="008A726D">
        <w:rPr>
          <w:rFonts w:cs="Arial" w:hint="cs"/>
          <w:rtl/>
        </w:rPr>
        <w:t>.</w:t>
      </w:r>
      <w:r w:rsidRPr="007455D7">
        <w:rPr>
          <w:rFonts w:cs="Arial"/>
          <w:rtl/>
        </w:rPr>
        <w:t xml:space="preserve"> עוד היא צריכה לי</w:t>
      </w:r>
      <w:r w:rsidR="006F0909">
        <w:rPr>
          <w:rFonts w:cs="Arial" w:hint="cs"/>
          <w:rtl/>
        </w:rPr>
        <w:t>,</w:t>
      </w:r>
      <w:r w:rsidRPr="007455D7">
        <w:rPr>
          <w:rFonts w:cs="Arial"/>
          <w:rtl/>
        </w:rPr>
        <w:t xml:space="preserve"> שאלו בנכסים מרובים</w:t>
      </w:r>
      <w:r w:rsidR="006F0909">
        <w:rPr>
          <w:rFonts w:cs="Arial" w:hint="cs"/>
          <w:rtl/>
        </w:rPr>
        <w:t>,</w:t>
      </w:r>
      <w:r w:rsidRPr="007455D7">
        <w:rPr>
          <w:rFonts w:cs="Arial"/>
          <w:rtl/>
        </w:rPr>
        <w:t xml:space="preserve"> אם אמרה בפני עדים ראו מה שהניח לי בעלי הריני עושה לעצמי</w:t>
      </w:r>
      <w:r w:rsidR="008A726D">
        <w:rPr>
          <w:rFonts w:cs="Arial" w:hint="cs"/>
          <w:rtl/>
        </w:rPr>
        <w:t>,</w:t>
      </w:r>
      <w:r w:rsidRPr="007455D7">
        <w:rPr>
          <w:rFonts w:cs="Arial"/>
          <w:rtl/>
        </w:rPr>
        <w:t xml:space="preserve"> אם מטלטלין הם </w:t>
      </w:r>
      <w:r w:rsidR="008A726D">
        <w:rPr>
          <w:rFonts w:cs="Arial" w:hint="cs"/>
          <w:rtl/>
        </w:rPr>
        <w:t xml:space="preserve">- </w:t>
      </w:r>
      <w:r w:rsidRPr="007455D7">
        <w:rPr>
          <w:rFonts w:cs="Arial"/>
          <w:rtl/>
        </w:rPr>
        <w:t>מה שהרויחה לעצמה</w:t>
      </w:r>
      <w:r w:rsidR="008A726D">
        <w:rPr>
          <w:rFonts w:cs="Arial" w:hint="cs"/>
          <w:rtl/>
        </w:rPr>
        <w:t>,</w:t>
      </w:r>
      <w:r w:rsidRPr="007455D7">
        <w:rPr>
          <w:rFonts w:cs="Arial"/>
          <w:rtl/>
        </w:rPr>
        <w:t xml:space="preserve"> ואפילו אינה יורשת ואע</w:t>
      </w:r>
      <w:r w:rsidR="008A726D">
        <w:rPr>
          <w:rFonts w:cs="Arial" w:hint="cs"/>
          <w:rtl/>
        </w:rPr>
        <w:t>"</w:t>
      </w:r>
      <w:r w:rsidRPr="007455D7">
        <w:rPr>
          <w:rFonts w:cs="Arial"/>
          <w:rtl/>
        </w:rPr>
        <w:t>פ שהיא נזונת מן היתומים</w:t>
      </w:r>
      <w:r w:rsidR="008A726D">
        <w:rPr>
          <w:rFonts w:cs="Arial" w:hint="cs"/>
          <w:rtl/>
        </w:rPr>
        <w:t>,</w:t>
      </w:r>
      <w:r w:rsidRPr="007455D7">
        <w:rPr>
          <w:rFonts w:cs="Arial"/>
          <w:rtl/>
        </w:rPr>
        <w:t xml:space="preserve"> משום דהרי זו שולחת יד במה שאינו שלה וגזלנית היא ושבח גזילה דגזלן הוי (ב"ק צה:)</w:t>
      </w:r>
      <w:r w:rsidR="008A726D">
        <w:rPr>
          <w:rFonts w:cs="Arial" w:hint="cs"/>
          <w:rtl/>
        </w:rPr>
        <w:t>.</w:t>
      </w:r>
      <w:r w:rsidRPr="007455D7">
        <w:rPr>
          <w:rFonts w:cs="Arial"/>
          <w:rtl/>
        </w:rPr>
        <w:t xml:space="preserve"> ומה שהעמידו משנתינו ביורשת</w:t>
      </w:r>
      <w:r w:rsidR="009664FC">
        <w:rPr>
          <w:rFonts w:cs="Arial" w:hint="cs"/>
          <w:rtl/>
        </w:rPr>
        <w:t>,</w:t>
      </w:r>
      <w:r w:rsidRPr="007455D7">
        <w:rPr>
          <w:rFonts w:cs="Arial"/>
          <w:rtl/>
        </w:rPr>
        <w:t xml:space="preserve"> נראה לי דהיינו טעמא משום דקתני השביחה לאמצע</w:t>
      </w:r>
      <w:r w:rsidR="008A726D">
        <w:rPr>
          <w:rFonts w:cs="Arial" w:hint="cs"/>
          <w:rtl/>
        </w:rPr>
        <w:t>,</w:t>
      </w:r>
      <w:r w:rsidRPr="007455D7">
        <w:rPr>
          <w:rFonts w:cs="Arial"/>
          <w:rtl/>
        </w:rPr>
        <w:t xml:space="preserve"> ועלה הוא דאקשינן אשה מאי עיבידתא</w:t>
      </w:r>
      <w:r w:rsidR="008A726D">
        <w:rPr>
          <w:rFonts w:cs="Arial" w:hint="cs"/>
          <w:rtl/>
        </w:rPr>
        <w:t>,</w:t>
      </w:r>
      <w:r w:rsidRPr="007455D7">
        <w:rPr>
          <w:rFonts w:cs="Arial"/>
          <w:rtl/>
        </w:rPr>
        <w:t xml:space="preserve"> כלומר כל שהשביחה נכסי' למה השבח לאמצע שאין עסק לחלוקת האמצע כאן</w:t>
      </w:r>
      <w:r w:rsidR="009664FC">
        <w:rPr>
          <w:rFonts w:cs="Arial" w:hint="cs"/>
          <w:rtl/>
        </w:rPr>
        <w:t>,</w:t>
      </w:r>
      <w:r w:rsidRPr="007455D7">
        <w:rPr>
          <w:rFonts w:cs="Arial"/>
          <w:rtl/>
        </w:rPr>
        <w:t xml:space="preserve"> שאילו אתה חושבה מן הסתם כמתעסקת וטורחת להשביח את הנכסים ליתומים הכל ליתומים</w:t>
      </w:r>
      <w:r w:rsidR="009664FC">
        <w:rPr>
          <w:rFonts w:cs="Arial" w:hint="cs"/>
          <w:rtl/>
        </w:rPr>
        <w:t>.</w:t>
      </w:r>
      <w:r w:rsidRPr="007455D7">
        <w:rPr>
          <w:rFonts w:cs="Arial"/>
          <w:rtl/>
        </w:rPr>
        <w:t xml:space="preserve"> ואם אתה חושבה כמתכוונת להשביח לעצמה</w:t>
      </w:r>
      <w:r w:rsidR="009664FC">
        <w:rPr>
          <w:rFonts w:cs="Arial" w:hint="cs"/>
          <w:rtl/>
        </w:rPr>
        <w:t>,</w:t>
      </w:r>
      <w:r w:rsidRPr="007455D7">
        <w:rPr>
          <w:rFonts w:cs="Arial"/>
          <w:rtl/>
        </w:rPr>
        <w:t xml:space="preserve"> אם מטלטלין הם </w:t>
      </w:r>
      <w:r w:rsidR="009664FC">
        <w:rPr>
          <w:rFonts w:cs="Arial" w:hint="cs"/>
          <w:rtl/>
        </w:rPr>
        <w:t xml:space="preserve">- </w:t>
      </w:r>
      <w:r w:rsidRPr="007455D7">
        <w:rPr>
          <w:rFonts w:cs="Arial"/>
          <w:rtl/>
        </w:rPr>
        <w:t>הכל לעצמה כאילו אמרה ראו דגזלנית היא זו</w:t>
      </w:r>
      <w:r w:rsidR="009664FC">
        <w:rPr>
          <w:rFonts w:cs="Arial" w:hint="cs"/>
          <w:rtl/>
        </w:rPr>
        <w:t>.</w:t>
      </w:r>
      <w:r w:rsidRPr="007455D7">
        <w:rPr>
          <w:rFonts w:cs="Arial"/>
          <w:rtl/>
        </w:rPr>
        <w:t xml:space="preserve"> ומשום הכי אוקימנא ביורשת</w:t>
      </w:r>
      <w:r w:rsidR="009664FC">
        <w:rPr>
          <w:rFonts w:cs="Arial" w:hint="cs"/>
          <w:rtl/>
        </w:rPr>
        <w:t>.</w:t>
      </w:r>
      <w:r w:rsidRPr="007455D7">
        <w:rPr>
          <w:rFonts w:cs="Arial"/>
          <w:rtl/>
        </w:rPr>
        <w:t xml:space="preserve"> ומה שאמרתם שכל שהיא נזונת מן היתומים אפילו אמרה ראו לא אמרה כלום דמכל מקום מעשה ידיה של יתומים הם</w:t>
      </w:r>
      <w:r w:rsidR="009664FC">
        <w:rPr>
          <w:rFonts w:cs="Arial" w:hint="cs"/>
          <w:rtl/>
        </w:rPr>
        <w:t>,</w:t>
      </w:r>
      <w:r w:rsidRPr="007455D7">
        <w:rPr>
          <w:rFonts w:cs="Arial"/>
          <w:rtl/>
        </w:rPr>
        <w:t xml:space="preserve"> אף ר"ח כן פירש שם</w:t>
      </w:r>
      <w:r w:rsidR="009664FC">
        <w:rPr>
          <w:rFonts w:cs="Arial" w:hint="cs"/>
          <w:rtl/>
        </w:rPr>
        <w:t>,</w:t>
      </w:r>
      <w:r w:rsidRPr="007455D7">
        <w:rPr>
          <w:rFonts w:cs="Arial"/>
          <w:rtl/>
        </w:rPr>
        <w:t xml:space="preserve"> ואני אומר מי יוכל לדין עם שתקיף ממנו ומי ישיב את האריות אבל אם לדין יש תשובה</w:t>
      </w:r>
      <w:r w:rsidR="0014662D">
        <w:rPr>
          <w:rFonts w:cs="Arial" w:hint="cs"/>
          <w:rtl/>
        </w:rPr>
        <w:t>,</w:t>
      </w:r>
      <w:r w:rsidRPr="007455D7">
        <w:rPr>
          <w:rFonts w:cs="Arial"/>
          <w:rtl/>
        </w:rPr>
        <w:t xml:space="preserve"> שהרי האשה אינה חייבת לטרוח לסתור ולבנות לעקור ולנטוע ולא להתעסק ברבית אלא לעשות בצמר</w:t>
      </w:r>
      <w:r w:rsidR="0014662D">
        <w:rPr>
          <w:rFonts w:cs="Arial" w:hint="cs"/>
          <w:rtl/>
        </w:rPr>
        <w:t>,</w:t>
      </w:r>
      <w:r w:rsidRPr="007455D7">
        <w:rPr>
          <w:rFonts w:cs="Arial"/>
          <w:rtl/>
        </w:rPr>
        <w:t xml:space="preserve"> ואם רוצה הבעל לשנותה למלאכה אחרת אינו רשאי שאינה אצלו כעבדים אי נמי כפועלים שאמר להם עשו עמי מלאכה היום</w:t>
      </w:r>
      <w:r w:rsidR="0014662D">
        <w:rPr>
          <w:rFonts w:cs="Arial" w:hint="cs"/>
          <w:rtl/>
        </w:rPr>
        <w:t>,</w:t>
      </w:r>
      <w:r w:rsidRPr="007455D7">
        <w:rPr>
          <w:rFonts w:cs="Arial"/>
          <w:rtl/>
        </w:rPr>
        <w:t xml:space="preserve"> ולפיכך מציאתן לבעל הבית</w:t>
      </w:r>
      <w:r w:rsidR="0014662D">
        <w:rPr>
          <w:rFonts w:cs="Arial" w:hint="cs"/>
          <w:rtl/>
        </w:rPr>
        <w:t>,</w:t>
      </w:r>
      <w:r w:rsidRPr="007455D7">
        <w:rPr>
          <w:rFonts w:cs="Arial"/>
          <w:rtl/>
        </w:rPr>
        <w:t xml:space="preserve"> מש"כ במציאת האשה דמן הדין מציאתה לעצמה אלא שתקנו שתהא לבעל משום איבה וכדאיתא בירושלמי בפרק מציאת האשה (ה"א)</w:t>
      </w:r>
      <w:r w:rsidR="0014662D">
        <w:rPr>
          <w:rFonts w:cs="Arial" w:hint="cs"/>
          <w:rtl/>
        </w:rPr>
        <w:t>.</w:t>
      </w:r>
      <w:r w:rsidRPr="007455D7">
        <w:rPr>
          <w:rFonts w:cs="Arial"/>
          <w:rtl/>
        </w:rPr>
        <w:t xml:space="preserve"> וכיון שכן</w:t>
      </w:r>
      <w:r w:rsidR="0014662D">
        <w:rPr>
          <w:rFonts w:cs="Arial" w:hint="cs"/>
          <w:rtl/>
        </w:rPr>
        <w:t>,</w:t>
      </w:r>
      <w:r w:rsidRPr="007455D7">
        <w:rPr>
          <w:rFonts w:cs="Arial"/>
          <w:rtl/>
        </w:rPr>
        <w:t xml:space="preserve"> אם נזונת משל יתומים אם השביחה או הרויחה במעות למה אנו דנין שבח וריוח זה כמעשה ידיה להיות ליתומים</w:t>
      </w:r>
      <w:r w:rsidR="0014662D">
        <w:rPr>
          <w:rFonts w:cs="Arial" w:hint="cs"/>
          <w:rtl/>
        </w:rPr>
        <w:t>,</w:t>
      </w:r>
      <w:r w:rsidRPr="007455D7">
        <w:rPr>
          <w:rFonts w:cs="Arial"/>
          <w:rtl/>
        </w:rPr>
        <w:t xml:space="preserve"> אלא מן הדין הייתי אומר שכל שהרויחה לעצמה ומשלמת ליתומים כמו שנתבטלה ממעשה ידיה כפועל ששכרו בעל הבית לעבוד עמו שמציאתו לעצמו ומשלם אגר בטלה לבעל הבית</w:t>
      </w:r>
      <w:r w:rsidR="0014662D">
        <w:rPr>
          <w:rFonts w:cs="Arial" w:hint="cs"/>
          <w:rtl/>
        </w:rPr>
        <w:t>.</w:t>
      </w:r>
      <w:r w:rsidRPr="007455D7">
        <w:rPr>
          <w:rFonts w:cs="Arial"/>
          <w:rtl/>
        </w:rPr>
        <w:t xml:space="preserve"> ואיפשר שהאשה אינה משלמת אפילו אגר בטלה</w:t>
      </w:r>
      <w:r w:rsidR="00A76AFA">
        <w:rPr>
          <w:rFonts w:cs="Arial" w:hint="cs"/>
          <w:rtl/>
        </w:rPr>
        <w:t>,</w:t>
      </w:r>
      <w:r w:rsidRPr="007455D7">
        <w:rPr>
          <w:rFonts w:cs="Arial"/>
          <w:rtl/>
        </w:rPr>
        <w:t xml:space="preserve"> שכל שהיא עושה אמר</w:t>
      </w:r>
      <w:r w:rsidR="00A76AFA">
        <w:rPr>
          <w:rFonts w:cs="Arial" w:hint="cs"/>
          <w:rtl/>
        </w:rPr>
        <w:t>ינן</w:t>
      </w:r>
      <w:r w:rsidRPr="007455D7">
        <w:rPr>
          <w:rFonts w:cs="Arial"/>
          <w:rtl/>
        </w:rPr>
        <w:t xml:space="preserve"> שמעשה ידיה לבעל אי נמי שכופה לעשות</w:t>
      </w:r>
      <w:r w:rsidR="00A76AFA">
        <w:rPr>
          <w:rFonts w:cs="Arial" w:hint="cs"/>
          <w:rtl/>
        </w:rPr>
        <w:t>,</w:t>
      </w:r>
      <w:r w:rsidRPr="007455D7">
        <w:rPr>
          <w:rFonts w:cs="Arial"/>
          <w:rtl/>
        </w:rPr>
        <w:t xml:space="preserve"> אבל אם נתבטלה ולא עשתה אינה חייבת לשלם</w:t>
      </w:r>
      <w:r w:rsidR="00A76AFA">
        <w:rPr>
          <w:rFonts w:cs="Arial" w:hint="cs"/>
          <w:rtl/>
        </w:rPr>
        <w:t>,</w:t>
      </w:r>
      <w:r w:rsidRPr="007455D7">
        <w:rPr>
          <w:rFonts w:cs="Arial"/>
          <w:rtl/>
        </w:rPr>
        <w:t xml:space="preserve"> וכדמוכחא שמעתא בפרק ב' </w:t>
      </w:r>
      <w:r w:rsidRPr="007455D7">
        <w:rPr>
          <w:rFonts w:cs="Arial"/>
          <w:rtl/>
        </w:rPr>
        <w:lastRenderedPageBreak/>
        <w:t>דייני גזילות במי שהלך בעלה למדינת הים שפוסקין לה מזונות ואין מחשבין עמה מעשה ידיה. ולענין מה ששנינו אם אמרה ראו</w:t>
      </w:r>
      <w:r w:rsidR="00C40341">
        <w:rPr>
          <w:rFonts w:cs="Arial" w:hint="cs"/>
          <w:rtl/>
        </w:rPr>
        <w:t>,</w:t>
      </w:r>
      <w:r w:rsidRPr="007455D7">
        <w:rPr>
          <w:rFonts w:cs="Arial"/>
          <w:rtl/>
        </w:rPr>
        <w:t xml:space="preserve"> מסתברא כדברי רש"י דלאו דוקא בבית דין</w:t>
      </w:r>
      <w:r w:rsidR="00C40341">
        <w:rPr>
          <w:rFonts w:cs="Arial" w:hint="cs"/>
          <w:rtl/>
        </w:rPr>
        <w:t>,</w:t>
      </w:r>
      <w:r w:rsidRPr="007455D7">
        <w:rPr>
          <w:rFonts w:cs="Arial"/>
          <w:rtl/>
        </w:rPr>
        <w:t xml:space="preserve"> דהוא הדין בפני עדים או אפילו יהיה שם גילוי דעת או דבר מוכיח כמעשה דרב ספרא (קמד.)</w:t>
      </w:r>
      <w:r w:rsidR="00C40341">
        <w:rPr>
          <w:rFonts w:cs="Arial" w:hint="cs"/>
          <w:rtl/>
        </w:rPr>
        <w:t>.</w:t>
      </w:r>
      <w:r w:rsidRPr="007455D7">
        <w:rPr>
          <w:rFonts w:cs="Arial"/>
          <w:rtl/>
        </w:rPr>
        <w:t xml:space="preserve"> והדין נותן</w:t>
      </w:r>
      <w:r w:rsidR="00C40341">
        <w:rPr>
          <w:rFonts w:cs="Arial" w:hint="cs"/>
          <w:rtl/>
        </w:rPr>
        <w:t>,</w:t>
      </w:r>
      <w:r w:rsidRPr="007455D7">
        <w:rPr>
          <w:rFonts w:cs="Arial"/>
          <w:rtl/>
        </w:rPr>
        <w:t xml:space="preserve"> שהרי כשהשביחו נכסים מחמת נכסים מדין מחילה נגעו בה וכדאמר אביי בפרק המפקיד (ב"מ מ.) התם ידע וקא מחיל</w:t>
      </w:r>
      <w:r w:rsidR="00C40341">
        <w:rPr>
          <w:rFonts w:cs="Arial" w:hint="cs"/>
          <w:rtl/>
        </w:rPr>
        <w:t>,</w:t>
      </w:r>
      <w:r w:rsidRPr="007455D7">
        <w:rPr>
          <w:rFonts w:cs="Arial"/>
          <w:rtl/>
        </w:rPr>
        <w:t xml:space="preserve"> וכיון שכן כל שיש הוכחה שאינו מוחל דיו</w:t>
      </w:r>
      <w:r w:rsidR="00C26C16">
        <w:rPr>
          <w:rFonts w:cs="Arial" w:hint="cs"/>
          <w:rtl/>
        </w:rPr>
        <w:t>,</w:t>
      </w:r>
      <w:r w:rsidRPr="007455D7">
        <w:rPr>
          <w:rFonts w:cs="Arial"/>
          <w:rtl/>
        </w:rPr>
        <w:t xml:space="preserve"> וכל שכן שאינו צריך להתנות בפני בית דין</w:t>
      </w:r>
      <w:r w:rsidR="00C26C16">
        <w:rPr>
          <w:rFonts w:cs="Arial" w:hint="cs"/>
          <w:rtl/>
        </w:rPr>
        <w:t>,</w:t>
      </w:r>
      <w:r w:rsidRPr="007455D7">
        <w:rPr>
          <w:rFonts w:cs="Arial"/>
          <w:rtl/>
        </w:rPr>
        <w:t xml:space="preserve"> שכל שצריך בית דין לא שתקי לא במתניתין ולא בברייתא</w:t>
      </w:r>
      <w:r w:rsidR="00C26C16">
        <w:rPr>
          <w:rFonts w:cs="Arial" w:hint="cs"/>
          <w:rtl/>
        </w:rPr>
        <w:t>.</w:t>
      </w:r>
      <w:r w:rsidRPr="007455D7">
        <w:rPr>
          <w:rFonts w:cs="Arial"/>
          <w:rtl/>
        </w:rPr>
        <w:t xml:space="preserve"> אלא שאני רואה שרבינו הגדול הר"מ המקום יהיה בעזרו אמרה מתוך הירושלמי (ב"ב פ"ט ה"ג)</w:t>
      </w:r>
      <w:r w:rsidR="00C26C16">
        <w:rPr>
          <w:rFonts w:cs="Arial" w:hint="cs"/>
          <w:rtl/>
        </w:rPr>
        <w:t>,</w:t>
      </w:r>
      <w:r w:rsidRPr="007455D7">
        <w:rPr>
          <w:rFonts w:cs="Arial"/>
          <w:rtl/>
        </w:rPr>
        <w:t xml:space="preserve"> וכתב גירסת הירושלמי כן</w:t>
      </w:r>
      <w:r w:rsidR="00C26C16">
        <w:rPr>
          <w:rFonts w:cs="Arial" w:hint="cs"/>
          <w:rtl/>
        </w:rPr>
        <w:t>:</w:t>
      </w:r>
      <w:r w:rsidRPr="007455D7">
        <w:rPr>
          <w:rFonts w:cs="Arial"/>
          <w:rtl/>
        </w:rPr>
        <w:t xml:space="preserve"> א"ר לא אמרה בב"ד</w:t>
      </w:r>
      <w:r w:rsidR="006C649E">
        <w:rPr>
          <w:rFonts w:cs="Arial" w:hint="cs"/>
          <w:rtl/>
        </w:rPr>
        <w:t>.</w:t>
      </w:r>
      <w:r w:rsidRPr="007455D7">
        <w:rPr>
          <w:rFonts w:cs="Arial"/>
          <w:rtl/>
        </w:rPr>
        <w:t xml:space="preserve"> ופי</w:t>
      </w:r>
      <w:r w:rsidR="006F0909">
        <w:rPr>
          <w:rFonts w:cs="Arial" w:hint="cs"/>
          <w:rtl/>
        </w:rPr>
        <w:t>רוש</w:t>
      </w:r>
      <w:r w:rsidRPr="007455D7">
        <w:rPr>
          <w:rFonts w:cs="Arial"/>
          <w:rtl/>
        </w:rPr>
        <w:t xml:space="preserve"> לא </w:t>
      </w:r>
      <w:r w:rsidR="006C649E">
        <w:rPr>
          <w:rFonts w:cs="Arial" w:hint="cs"/>
          <w:rtl/>
        </w:rPr>
        <w:t xml:space="preserve">- </w:t>
      </w:r>
      <w:r w:rsidRPr="007455D7">
        <w:rPr>
          <w:rFonts w:cs="Arial"/>
          <w:rtl/>
        </w:rPr>
        <w:t>שם אמורא</w:t>
      </w:r>
      <w:r w:rsidR="006C649E">
        <w:rPr>
          <w:rFonts w:cs="Arial" w:hint="cs"/>
          <w:rtl/>
        </w:rPr>
        <w:t>,</w:t>
      </w:r>
      <w:r w:rsidRPr="007455D7">
        <w:rPr>
          <w:rFonts w:cs="Arial"/>
          <w:rtl/>
        </w:rPr>
        <w:t xml:space="preserve"> וכן הוא בספרים שלנו</w:t>
      </w:r>
      <w:r w:rsidR="006C649E">
        <w:rPr>
          <w:rFonts w:cs="Arial" w:hint="cs"/>
          <w:rtl/>
        </w:rPr>
        <w:t>.</w:t>
      </w:r>
      <w:r w:rsidRPr="007455D7">
        <w:rPr>
          <w:rFonts w:cs="Arial"/>
          <w:rtl/>
        </w:rPr>
        <w:t xml:space="preserve"> אבל בפירוש ר"ח א"ר אמי אם אמרו ראו לא אמרו בבית דין וכן האשה שאמרה א"ר אמי לא אמרה בבית דין</w:t>
      </w:r>
      <w:r w:rsidR="006C649E">
        <w:rPr>
          <w:rFonts w:cs="Arial" w:hint="cs"/>
          <w:rtl/>
        </w:rPr>
        <w:t>.</w:t>
      </w:r>
      <w:r w:rsidRPr="007455D7">
        <w:rPr>
          <w:rFonts w:cs="Arial"/>
          <w:rtl/>
        </w:rPr>
        <w:t xml:space="preserve"> ואם הגירסא כן פירושו בהפך ולומר דאמרו ואמרה שנינו במשנתינו אין צריכין לומר בב"ד</w:t>
      </w:r>
      <w:r w:rsidR="006C649E">
        <w:rPr>
          <w:rFonts w:cs="Arial" w:hint="cs"/>
          <w:rtl/>
        </w:rPr>
        <w:t>,</w:t>
      </w:r>
      <w:r w:rsidRPr="007455D7">
        <w:rPr>
          <w:rFonts w:cs="Arial"/>
          <w:rtl/>
        </w:rPr>
        <w:t xml:space="preserve"> והגירסא הזאת נראית יותר לפי שמסכמת עם הגמרא שלא הזכירו אמירה בבית דין כלל</w:t>
      </w:r>
      <w:r w:rsidR="006C649E">
        <w:rPr>
          <w:rFonts w:cs="Arial" w:hint="cs"/>
          <w:rtl/>
        </w:rPr>
        <w:t>.</w:t>
      </w:r>
      <w:r w:rsidRPr="007455D7">
        <w:rPr>
          <w:rFonts w:cs="Arial"/>
          <w:rtl/>
        </w:rPr>
        <w:t xml:space="preserve"> ואפילו לגירסת הספרים שלנו גרסי בין ביורשים בין באשה כן</w:t>
      </w:r>
      <w:r w:rsidR="006C649E">
        <w:rPr>
          <w:rFonts w:cs="Arial" w:hint="cs"/>
          <w:rtl/>
        </w:rPr>
        <w:t>.</w:t>
      </w:r>
      <w:r w:rsidRPr="007455D7">
        <w:rPr>
          <w:rFonts w:cs="Arial"/>
          <w:rtl/>
        </w:rPr>
        <w:t xml:space="preserve"> וכן הגירסא בספרים</w:t>
      </w:r>
      <w:r w:rsidR="006C649E">
        <w:rPr>
          <w:rFonts w:cs="Arial" w:hint="cs"/>
          <w:rtl/>
        </w:rPr>
        <w:t>:</w:t>
      </w:r>
      <w:r w:rsidRPr="007455D7">
        <w:rPr>
          <w:rFonts w:cs="Arial"/>
          <w:rtl/>
        </w:rPr>
        <w:t xml:space="preserve"> אם אמרו ראו א"ר לא אמרה בב"ד וכן האשה א"ר לא אמרה בב"ד</w:t>
      </w:r>
      <w:r w:rsidR="004B097C">
        <w:rPr>
          <w:rFonts w:cs="Arial" w:hint="cs"/>
          <w:rtl/>
        </w:rPr>
        <w:t>.</w:t>
      </w:r>
      <w:r w:rsidRPr="007455D7">
        <w:rPr>
          <w:rFonts w:cs="Arial"/>
          <w:rtl/>
        </w:rPr>
        <w:t xml:space="preserve"> ואם היו נכסים מועטים שיהא מן הסתם בלא אמירה גילוי דעת שאינה ליזון מן היתומים דאמרן הוא בדברי רשב"ם (קמד. ד"ה לא שביק)</w:t>
      </w:r>
      <w:r w:rsidR="004B097C">
        <w:rPr>
          <w:rFonts w:cs="Arial" w:hint="cs"/>
          <w:rtl/>
        </w:rPr>
        <w:t>,</w:t>
      </w:r>
      <w:r w:rsidRPr="007455D7">
        <w:rPr>
          <w:rFonts w:cs="Arial"/>
          <w:rtl/>
        </w:rPr>
        <w:t xml:space="preserve"> איפשר הואיל ונפק מפומיה דמר וכל שכן שהסכים על דבריו ה"ר פרץ ואע</w:t>
      </w:r>
      <w:r w:rsidR="004B097C">
        <w:rPr>
          <w:rFonts w:cs="Arial" w:hint="cs"/>
          <w:rtl/>
        </w:rPr>
        <w:t>"</w:t>
      </w:r>
      <w:r w:rsidRPr="007455D7">
        <w:rPr>
          <w:rFonts w:cs="Arial"/>
          <w:rtl/>
        </w:rPr>
        <w:t>פ שיש לבעל הדין לחלוק הרי אנו כופפים אזננו להסכמתם ונאמר כבר הורו זקנים ומוסדי ארץ אשר בית ישראל נכון עליהם</w:t>
      </w:r>
      <w:r w:rsidR="004B097C">
        <w:rPr>
          <w:rFonts w:cs="Arial" w:hint="cs"/>
          <w:rtl/>
        </w:rPr>
        <w:t>.</w:t>
      </w:r>
      <w:r w:rsidRPr="007455D7">
        <w:rPr>
          <w:rFonts w:cs="Arial"/>
          <w:rtl/>
        </w:rPr>
        <w:t xml:space="preserve"> אלא שאני רואה דבריך מורי ה"ר אלעזר נכונים ומסכימים אל האמת</w:t>
      </w:r>
      <w:r w:rsidR="004B097C">
        <w:rPr>
          <w:rFonts w:cs="Arial" w:hint="cs"/>
          <w:rtl/>
        </w:rPr>
        <w:t>,</w:t>
      </w:r>
      <w:r w:rsidRPr="007455D7">
        <w:rPr>
          <w:rFonts w:cs="Arial"/>
          <w:rtl/>
        </w:rPr>
        <w:t xml:space="preserve"> דכל שלא אמרה ראו מן הסתם אורחא להשביח נכסי היתומים </w:t>
      </w:r>
      <w:r w:rsidR="003830CD">
        <w:rPr>
          <w:rFonts w:cs="Arial" w:hint="cs"/>
          <w:rtl/>
        </w:rPr>
        <w:t xml:space="preserve">- </w:t>
      </w:r>
      <w:r w:rsidRPr="007455D7">
        <w:rPr>
          <w:rFonts w:cs="Arial"/>
          <w:rtl/>
        </w:rPr>
        <w:t>השבח הוא לה</w:t>
      </w:r>
      <w:r w:rsidR="003830CD">
        <w:rPr>
          <w:rFonts w:cs="Arial" w:hint="cs"/>
          <w:rtl/>
        </w:rPr>
        <w:t>,</w:t>
      </w:r>
      <w:r w:rsidRPr="007455D7">
        <w:rPr>
          <w:rFonts w:cs="Arial"/>
          <w:rtl/>
        </w:rPr>
        <w:t xml:space="preserve"> שטורחת ומשבחת להם</w:t>
      </w:r>
      <w:r w:rsidR="003830CD">
        <w:rPr>
          <w:rFonts w:cs="Arial" w:hint="cs"/>
          <w:rtl/>
        </w:rPr>
        <w:t>.</w:t>
      </w:r>
      <w:r w:rsidRPr="007455D7">
        <w:rPr>
          <w:rFonts w:cs="Arial"/>
          <w:rtl/>
        </w:rPr>
        <w:t xml:space="preserve"> ואפילו לדברי רשב"ם אני אומר דלכאורה יש לחלק בין זוזי למטלטלין שצריכים שומא</w:t>
      </w:r>
      <w:r w:rsidR="003830CD">
        <w:rPr>
          <w:rFonts w:cs="Arial" w:hint="cs"/>
          <w:rtl/>
        </w:rPr>
        <w:t>.</w:t>
      </w:r>
      <w:r w:rsidRPr="007455D7">
        <w:rPr>
          <w:rFonts w:cs="Arial"/>
          <w:rtl/>
        </w:rPr>
        <w:t xml:space="preserve"> דבזוזי תפיסתה תפיסה גמורה לפרעון כתובתה דלא צריכי שומא</w:t>
      </w:r>
      <w:r w:rsidR="003830CD">
        <w:rPr>
          <w:rFonts w:cs="Arial" w:hint="cs"/>
          <w:rtl/>
        </w:rPr>
        <w:t>.</w:t>
      </w:r>
      <w:r w:rsidRPr="007455D7">
        <w:rPr>
          <w:rFonts w:cs="Arial"/>
          <w:rtl/>
        </w:rPr>
        <w:t xml:space="preserve"> אבל מטלטלי דצריכי שומא עד שישומו אותם לה ב"ד הרי הם של יתומים</w:t>
      </w:r>
      <w:r w:rsidR="00F72237">
        <w:rPr>
          <w:rFonts w:cs="Arial" w:hint="cs"/>
          <w:rtl/>
        </w:rPr>
        <w:t>.</w:t>
      </w:r>
      <w:r w:rsidRPr="007455D7">
        <w:rPr>
          <w:rFonts w:cs="Arial"/>
          <w:rtl/>
        </w:rPr>
        <w:t xml:space="preserve"> אלא שיש לי לומר לפי דבריהם דמכל מקום אע</w:t>
      </w:r>
      <w:r w:rsidR="00F72237">
        <w:rPr>
          <w:rFonts w:cs="Arial" w:hint="cs"/>
          <w:rtl/>
        </w:rPr>
        <w:t>"</w:t>
      </w:r>
      <w:r w:rsidRPr="007455D7">
        <w:rPr>
          <w:rFonts w:cs="Arial"/>
          <w:rtl/>
        </w:rPr>
        <w:t>פ שאין תפיסתה עושה גביה גמורה אפילו הכי אנן סהדי דאף היא רוצה לעכבם בכתובתה ולהתעסק בהם ושלא תזון מן היתומים מעתה</w:t>
      </w:r>
      <w:r w:rsidR="00DE679C">
        <w:rPr>
          <w:rFonts w:cs="Arial" w:hint="cs"/>
          <w:rtl/>
        </w:rPr>
        <w:t>,</w:t>
      </w:r>
      <w:r w:rsidRPr="007455D7">
        <w:rPr>
          <w:rFonts w:cs="Arial"/>
          <w:rtl/>
        </w:rPr>
        <w:t xml:space="preserve"> וכיון שכן אין מעשה ידיה שלהם</w:t>
      </w:r>
      <w:r w:rsidR="00DE679C">
        <w:rPr>
          <w:rFonts w:cs="Arial" w:hint="cs"/>
          <w:rtl/>
        </w:rPr>
        <w:t>,</w:t>
      </w:r>
      <w:r w:rsidRPr="007455D7">
        <w:rPr>
          <w:rFonts w:cs="Arial"/>
          <w:rtl/>
        </w:rPr>
        <w:t xml:space="preserve"> וה"ל כאמרה בב"ד</w:t>
      </w:r>
      <w:r w:rsidR="00DE679C">
        <w:rPr>
          <w:rFonts w:cs="Arial" w:hint="cs"/>
          <w:rtl/>
        </w:rPr>
        <w:t>.</w:t>
      </w:r>
      <w:r w:rsidRPr="007455D7">
        <w:rPr>
          <w:rFonts w:cs="Arial"/>
          <w:rtl/>
        </w:rPr>
        <w:t xml:space="preserve"> ואני כבר כתבתי מה שנראה לי בדין מעשה ידיה בכענין זה</w:t>
      </w:r>
      <w:r w:rsidR="00DE679C">
        <w:rPr>
          <w:rFonts w:cs="Arial" w:hint="cs"/>
          <w:rtl/>
        </w:rPr>
        <w:t>.</w:t>
      </w:r>
      <w:r w:rsidRPr="007455D7">
        <w:rPr>
          <w:rFonts w:cs="Arial"/>
          <w:rtl/>
        </w:rPr>
        <w:t xml:space="preserve"> ואע</w:t>
      </w:r>
      <w:r w:rsidR="00DE679C">
        <w:rPr>
          <w:rFonts w:cs="Arial" w:hint="cs"/>
          <w:rtl/>
        </w:rPr>
        <w:t>"</w:t>
      </w:r>
      <w:r w:rsidRPr="007455D7">
        <w:rPr>
          <w:rFonts w:cs="Arial"/>
          <w:rtl/>
        </w:rPr>
        <w:t>פ שאין דעתנו מכריע את ההרים שהם אמרו והם יודעים מאיזה טעם אמרו ויש לנו לענות אמן על דבריהם</w:t>
      </w:r>
      <w:r w:rsidR="00DE679C">
        <w:rPr>
          <w:rFonts w:cs="Arial" w:hint="cs"/>
          <w:rtl/>
        </w:rPr>
        <w:t>,</w:t>
      </w:r>
      <w:r w:rsidRPr="007455D7">
        <w:rPr>
          <w:rFonts w:cs="Arial"/>
          <w:rtl/>
        </w:rPr>
        <w:t xml:space="preserve"> אלא שאנו כמלקטים שבלים אחריהם</w:t>
      </w:r>
      <w:r w:rsidR="00DE679C">
        <w:rPr>
          <w:rFonts w:cs="Arial" w:hint="cs"/>
          <w:rtl/>
        </w:rPr>
        <w:t>.</w:t>
      </w:r>
    </w:p>
    <w:p w14:paraId="63F2E3E4"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677916B" w14:textId="210691B2" w:rsidR="00392DBB" w:rsidRDefault="00392DBB" w:rsidP="00392DBB">
      <w:pPr>
        <w:rPr>
          <w:rFonts w:cs="Arial"/>
          <w:rtl/>
        </w:rPr>
      </w:pPr>
      <w:r>
        <w:rPr>
          <w:rFonts w:cs="Arial"/>
          <w:rtl/>
        </w:rPr>
        <w:t xml:space="preserve">אלמנה שניזונית מן היתומים, והניח בעלה קרקע והשביחתו, יש מי שאומר שכל השבח שלהם, ואפילו שכר טרחה אינה נוטלת. יש מי שאומר שהשבח הוא לעצמה. ויש מי שאומר שנוטלת שכר טרחה, אלא שידה על התחתונה. ואם אינה ניזונית משלהם, והניח בעלה נכסים מועטים שאין בהם כדי כתובתה, יש מי שאומר שאם אמרה: ראו מה שהניח לי בעלי ואשביח לעצמי, ונתעצלו מלהגבות כתובתה, אפילו השביחו הנכסים אלף זוז, השבח לעצמה. אבל אם השביחה הנכסים סתם, נוטלת כתובתה והמותר ליורשים. ויש מי שאומר שבין אמרה: ראו, בין לא אמרה, כל השבח ליורשים, ואפילו כתובתה לא תגבה ממנו, אלא שנוטלת שכר טרחה וידה על התחתונה. </w:t>
      </w:r>
      <w:r w:rsidRPr="00765443">
        <w:rPr>
          <w:rFonts w:cs="Arial"/>
          <w:sz w:val="18"/>
          <w:szCs w:val="18"/>
          <w:rtl/>
        </w:rPr>
        <w:t>הגה: וכן עיקר דהשבח כולו הוא של היתומים, ואינה גובה כתובתה ולא מזונות מאותו שבח (מרדכי)</w:t>
      </w:r>
      <w:r w:rsidR="00B76A28">
        <w:rPr>
          <w:rFonts w:cs="Arial" w:hint="cs"/>
          <w:sz w:val="18"/>
          <w:szCs w:val="18"/>
          <w:rtl/>
        </w:rPr>
        <w:t>.</w:t>
      </w:r>
      <w:r w:rsidRPr="00765443">
        <w:rPr>
          <w:rFonts w:cs="Arial"/>
          <w:sz w:val="18"/>
          <w:szCs w:val="18"/>
          <w:rtl/>
        </w:rPr>
        <w:t xml:space="preserve"> ולכן אלמנה שישבה זמן ארוך בבית בעלה וניזונית מהם עד שבודאי כלה הקרן שהניח בעלה, אע</w:t>
      </w:r>
      <w:r w:rsidR="00B76A28">
        <w:rPr>
          <w:rFonts w:cs="Arial" w:hint="cs"/>
          <w:sz w:val="18"/>
          <w:szCs w:val="18"/>
          <w:rtl/>
        </w:rPr>
        <w:t>"</w:t>
      </w:r>
      <w:r w:rsidRPr="00765443">
        <w:rPr>
          <w:rFonts w:cs="Arial"/>
          <w:sz w:val="18"/>
          <w:szCs w:val="18"/>
          <w:rtl/>
        </w:rPr>
        <w:t>ג דיש כאן הרבה מן השבח ששבחה, אינה גובאת כתובתה משם (טור ומהרי"ו סי' קעו). ויש חולקין, אלא כל מה שהוציאה מנכין מן השבח וגובאת כתובתה מן הקרן ולא מן השבח (מהרי"ל סי</w:t>
      </w:r>
      <w:r w:rsidR="00B76A28">
        <w:rPr>
          <w:rFonts w:cs="Arial" w:hint="cs"/>
          <w:sz w:val="18"/>
          <w:szCs w:val="18"/>
          <w:rtl/>
        </w:rPr>
        <w:t>'</w:t>
      </w:r>
      <w:r w:rsidRPr="00765443">
        <w:rPr>
          <w:rFonts w:cs="Arial"/>
          <w:sz w:val="18"/>
          <w:szCs w:val="18"/>
          <w:rtl/>
        </w:rPr>
        <w:t xml:space="preserve"> מו)</w:t>
      </w:r>
      <w:r w:rsidR="00B76A28">
        <w:rPr>
          <w:rFonts w:cs="Arial" w:hint="cs"/>
          <w:sz w:val="18"/>
          <w:szCs w:val="18"/>
          <w:rtl/>
        </w:rPr>
        <w:t>.</w:t>
      </w:r>
      <w:r w:rsidRPr="00765443">
        <w:rPr>
          <w:rFonts w:cs="Arial"/>
          <w:sz w:val="18"/>
          <w:szCs w:val="18"/>
          <w:rtl/>
        </w:rPr>
        <w:t xml:space="preserve"> ועיין לקמן סימן ק'.</w:t>
      </w:r>
    </w:p>
    <w:p w14:paraId="3BE9D78F" w14:textId="26C24902" w:rsidR="00765443" w:rsidRPr="007A3469" w:rsidRDefault="00765443" w:rsidP="00392DBB">
      <w:pPr>
        <w:rPr>
          <w:rtl/>
        </w:rPr>
        <w:sectPr w:rsidR="00765443" w:rsidRPr="007A3469" w:rsidSect="00A347B3">
          <w:headerReference w:type="default" r:id="rId39"/>
          <w:footnotePr>
            <w:numRestart w:val="eachSect"/>
          </w:footnotePr>
          <w:pgSz w:w="11906" w:h="16838"/>
          <w:pgMar w:top="720" w:right="1134" w:bottom="720" w:left="1134" w:header="0" w:footer="0" w:gutter="0"/>
          <w:cols w:space="720"/>
          <w:bidi/>
          <w:rtlGutter/>
          <w:docGrid w:linePitch="360"/>
        </w:sectPr>
      </w:pPr>
    </w:p>
    <w:p w14:paraId="14FF535B" w14:textId="77777777" w:rsidR="00392DBB" w:rsidRDefault="00392DBB" w:rsidP="00392DBB">
      <w:pPr>
        <w:pStyle w:val="1"/>
        <w:rPr>
          <w:rtl/>
        </w:rPr>
      </w:pPr>
      <w:r>
        <w:rPr>
          <w:rFonts w:hint="cs"/>
          <w:rtl/>
        </w:rPr>
        <w:lastRenderedPageBreak/>
        <w:t>סימן צו:</w:t>
      </w:r>
      <w:r w:rsidRPr="00C12B74">
        <w:rPr>
          <w:rtl/>
        </w:rPr>
        <w:t xml:space="preserve"> </w:t>
      </w:r>
      <w:r>
        <w:rPr>
          <w:rFonts w:cs="Arial"/>
          <w:rtl/>
        </w:rPr>
        <w:t xml:space="preserve">שבועת אלמנה וגרושה על כתובה, ובו כ"א סעיפים. </w:t>
      </w:r>
    </w:p>
    <w:p w14:paraId="222D8BB3" w14:textId="5ED5C6F2" w:rsidR="00392DBB" w:rsidRDefault="00392DBB" w:rsidP="000F64D0">
      <w:pPr>
        <w:pStyle w:val="2"/>
        <w:rPr>
          <w:rtl/>
        </w:rPr>
      </w:pPr>
      <w:r>
        <w:rPr>
          <w:rtl/>
        </w:rPr>
        <w:t>סעיף א</w:t>
      </w:r>
      <w:r w:rsidR="001E7315">
        <w:rPr>
          <w:rFonts w:hint="cs"/>
          <w:rtl/>
        </w:rPr>
        <w:t>: אלמנה גובה כתובתה בשבועה.</w:t>
      </w:r>
    </w:p>
    <w:p w14:paraId="75259575" w14:textId="77777777" w:rsidR="000E2748" w:rsidRPr="000E2748" w:rsidRDefault="000E2748" w:rsidP="000E2748">
      <w:pPr>
        <w:rPr>
          <w:rFonts w:cs="Arial"/>
          <w:rtl/>
        </w:rPr>
      </w:pPr>
      <w:r w:rsidRPr="000E2748">
        <w:rPr>
          <w:rFonts w:cs="Arial" w:hint="cs"/>
          <w:b/>
          <w:bCs/>
          <w:rtl/>
        </w:rPr>
        <w:t xml:space="preserve">גיטין </w:t>
      </w:r>
      <w:r w:rsidRPr="000E2748">
        <w:rPr>
          <w:rFonts w:cs="Arial" w:hint="cs"/>
          <w:b/>
          <w:bCs/>
          <w:sz w:val="16"/>
          <w:szCs w:val="16"/>
          <w:rtl/>
        </w:rPr>
        <w:t>(פ' השולח)</w:t>
      </w:r>
      <w:r w:rsidRPr="000E2748">
        <w:rPr>
          <w:rFonts w:cs="Arial" w:hint="cs"/>
          <w:b/>
          <w:bCs/>
          <w:rtl/>
        </w:rPr>
        <w:t xml:space="preserve"> לד ע"ב:</w:t>
      </w:r>
      <w:r w:rsidRPr="000E2748">
        <w:rPr>
          <w:rFonts w:cs="Arial" w:hint="cs"/>
          <w:rtl/>
        </w:rPr>
        <w:t xml:space="preserve"> </w:t>
      </w:r>
      <w:r w:rsidRPr="000E2748">
        <w:rPr>
          <w:rFonts w:cs="Arial"/>
          <w:u w:val="double"/>
          <w:rtl/>
        </w:rPr>
        <w:t>מתני'</w:t>
      </w:r>
      <w:r w:rsidRPr="000E2748">
        <w:rPr>
          <w:rFonts w:cs="Arial" w:hint="cs"/>
          <w:rtl/>
        </w:rPr>
        <w:t>:</w:t>
      </w:r>
      <w:r w:rsidRPr="000E2748">
        <w:rPr>
          <w:rFonts w:cs="Arial"/>
          <w:rtl/>
        </w:rPr>
        <w:t xml:space="preserve"> אין אלמנה נפרעת מנכסי יתומים אלא בשבועה. נמנעו מלהשביעה, התקין ר"ג הזקן, שתהא נודרת ליתומים כל מה שירצו וגובה כתובתה.</w:t>
      </w:r>
    </w:p>
    <w:p w14:paraId="4705F263" w14:textId="42001E94" w:rsidR="00DD28D0" w:rsidRDefault="001E7315" w:rsidP="000A166B">
      <w:pPr>
        <w:rPr>
          <w:rFonts w:cs="Arial"/>
          <w:rtl/>
        </w:rPr>
      </w:pPr>
      <w:r w:rsidRPr="00D611D4">
        <w:rPr>
          <w:rFonts w:cs="Arial" w:hint="cs"/>
          <w:b/>
          <w:bCs/>
          <w:rtl/>
        </w:rPr>
        <w:t xml:space="preserve">כתובות </w:t>
      </w:r>
      <w:r>
        <w:rPr>
          <w:rFonts w:cs="Arial" w:hint="cs"/>
          <w:b/>
          <w:bCs/>
          <w:sz w:val="16"/>
          <w:szCs w:val="16"/>
          <w:rtl/>
        </w:rPr>
        <w:t xml:space="preserve">(פ' </w:t>
      </w:r>
      <w:r w:rsidR="00DD28D0">
        <w:rPr>
          <w:rFonts w:cs="Arial" w:hint="cs"/>
          <w:b/>
          <w:bCs/>
          <w:sz w:val="16"/>
          <w:szCs w:val="16"/>
          <w:rtl/>
        </w:rPr>
        <w:t>הכותב</w:t>
      </w:r>
      <w:r>
        <w:rPr>
          <w:rFonts w:cs="Arial" w:hint="cs"/>
          <w:b/>
          <w:bCs/>
          <w:sz w:val="16"/>
          <w:szCs w:val="16"/>
          <w:rtl/>
        </w:rPr>
        <w:t>)</w:t>
      </w:r>
      <w:r>
        <w:rPr>
          <w:rFonts w:cs="Arial" w:hint="cs"/>
          <w:b/>
          <w:bCs/>
          <w:rtl/>
        </w:rPr>
        <w:t xml:space="preserve"> </w:t>
      </w:r>
      <w:r w:rsidR="00DD28D0">
        <w:rPr>
          <w:rFonts w:cs="Arial" w:hint="cs"/>
          <w:b/>
          <w:bCs/>
          <w:rtl/>
        </w:rPr>
        <w:t>פז</w:t>
      </w:r>
      <w:r w:rsidRPr="00D611D4">
        <w:rPr>
          <w:rFonts w:cs="Arial" w:hint="cs"/>
          <w:b/>
          <w:bCs/>
          <w:rtl/>
        </w:rPr>
        <w:t xml:space="preserve"> ע"ב: </w:t>
      </w:r>
      <w:r w:rsidR="000E2748" w:rsidRPr="0060374F">
        <w:rPr>
          <w:rFonts w:cs="Arial"/>
          <w:u w:val="double"/>
          <w:rtl/>
        </w:rPr>
        <w:t>מתני'</w:t>
      </w:r>
      <w:r w:rsidR="000E2748">
        <w:rPr>
          <w:rFonts w:cs="Arial" w:hint="cs"/>
          <w:rtl/>
        </w:rPr>
        <w:t xml:space="preserve">:... </w:t>
      </w:r>
      <w:r w:rsidR="00DD28D0" w:rsidRPr="009108E5">
        <w:rPr>
          <w:rFonts w:cs="Arial"/>
          <w:u w:val="single"/>
          <w:rtl/>
        </w:rPr>
        <w:t>ר' שמעון אומר</w:t>
      </w:r>
      <w:r w:rsidR="00DD28D0" w:rsidRPr="00DD28D0">
        <w:rPr>
          <w:rFonts w:cs="Arial"/>
          <w:rtl/>
        </w:rPr>
        <w:t xml:space="preserve">: כל זמן שהיא תובעת כתובתה - היורשין משביעין אותה, ואם אינה תובעת כתובתה - אין היורשין משביעין אותה. </w:t>
      </w:r>
    </w:p>
    <w:p w14:paraId="0E866C48" w14:textId="4515D8C6" w:rsidR="00F773C1" w:rsidRPr="00F773C1" w:rsidRDefault="000E2748" w:rsidP="00F773C1">
      <w:pPr>
        <w:rPr>
          <w:rtl/>
        </w:rPr>
      </w:pPr>
      <w:r w:rsidRPr="00401992">
        <w:rPr>
          <w:rFonts w:cs="Arial" w:hint="cs"/>
          <w:b/>
          <w:bCs/>
          <w:rtl/>
        </w:rPr>
        <w:t>שבועות</w:t>
      </w:r>
      <w:r>
        <w:rPr>
          <w:rFonts w:cs="Arial" w:hint="cs"/>
          <w:b/>
          <w:bCs/>
          <w:sz w:val="16"/>
          <w:szCs w:val="16"/>
          <w:rtl/>
        </w:rPr>
        <w:t xml:space="preserve"> (פ' כל הנשבעין)</w:t>
      </w:r>
      <w:r w:rsidRPr="00401992">
        <w:rPr>
          <w:rFonts w:cs="Arial" w:hint="cs"/>
          <w:b/>
          <w:bCs/>
          <w:rtl/>
        </w:rPr>
        <w:t xml:space="preserve"> מ</w:t>
      </w:r>
      <w:r w:rsidR="00B71FEE">
        <w:rPr>
          <w:rFonts w:cs="Arial" w:hint="cs"/>
          <w:b/>
          <w:bCs/>
          <w:rtl/>
        </w:rPr>
        <w:t>ה</w:t>
      </w:r>
      <w:r w:rsidRPr="00401992">
        <w:rPr>
          <w:rFonts w:cs="Arial" w:hint="cs"/>
          <w:b/>
          <w:bCs/>
          <w:rtl/>
        </w:rPr>
        <w:t xml:space="preserve"> ע"א: </w:t>
      </w:r>
      <w:r w:rsidR="003B3E57" w:rsidRPr="0060374F">
        <w:rPr>
          <w:rFonts w:cs="Arial"/>
          <w:u w:val="double"/>
          <w:rtl/>
        </w:rPr>
        <w:t>מתני'</w:t>
      </w:r>
      <w:r w:rsidR="003B3E57">
        <w:rPr>
          <w:rFonts w:cs="Arial" w:hint="cs"/>
          <w:rtl/>
        </w:rPr>
        <w:t xml:space="preserve">:... </w:t>
      </w:r>
      <w:r w:rsidR="003B3E57" w:rsidRPr="003B3E57">
        <w:rPr>
          <w:rFonts w:cs="Arial"/>
          <w:rtl/>
        </w:rPr>
        <w:t>וכן היתומים לא יפרעו אלא בשבועה</w:t>
      </w:r>
      <w:r w:rsidR="003B3E57">
        <w:rPr>
          <w:rFonts w:cs="Arial" w:hint="cs"/>
          <w:rtl/>
        </w:rPr>
        <w:t>.</w:t>
      </w:r>
      <w:r w:rsidR="00B71FEE">
        <w:rPr>
          <w:rFonts w:cs="Arial" w:hint="cs"/>
          <w:rtl/>
        </w:rPr>
        <w:t xml:space="preserve">..     </w:t>
      </w:r>
      <w:r w:rsidR="00B71FEE" w:rsidRPr="00B71FEE">
        <w:rPr>
          <w:rFonts w:cs="Arial" w:hint="cs"/>
          <w:u w:val="double"/>
          <w:rtl/>
        </w:rPr>
        <w:t>גמ'</w:t>
      </w:r>
      <w:r w:rsidR="00B71FEE">
        <w:rPr>
          <w:rFonts w:cs="Arial" w:hint="cs"/>
          <w:sz w:val="14"/>
          <w:szCs w:val="14"/>
          <w:u w:val="double"/>
          <w:rtl/>
        </w:rPr>
        <w:t>(מח.)</w:t>
      </w:r>
      <w:r w:rsidR="00B71FEE" w:rsidRPr="00B71FEE">
        <w:rPr>
          <w:rFonts w:cs="Arial" w:hint="cs"/>
          <w:u w:val="double"/>
          <w:rtl/>
        </w:rPr>
        <w:t>:</w:t>
      </w:r>
      <w:r w:rsidR="003B3E57" w:rsidRPr="003B3E57">
        <w:rPr>
          <w:rFonts w:cs="Arial"/>
          <w:b/>
          <w:bCs/>
          <w:rtl/>
        </w:rPr>
        <w:t xml:space="preserve"> </w:t>
      </w:r>
      <w:r w:rsidR="00AE4978" w:rsidRPr="000B68F6">
        <w:rPr>
          <w:rFonts w:cs="Arial"/>
          <w:rtl/>
        </w:rPr>
        <w:t xml:space="preserve">כשם שאמרו: הפוגמת כתובתה וכו' וכן היתומין לא יפרעו. ממאן? אילימא מלוה, אבוהון שקיל בלא שבועה ואינהו בשבועה? הכי קאמר: וכן היתומים מן היתומים לא יפרעו אלא בשבועה. </w:t>
      </w:r>
      <w:r w:rsidR="00AE4978" w:rsidRPr="000B68F6">
        <w:rPr>
          <w:rFonts w:cs="Arial"/>
          <w:u w:val="single"/>
          <w:rtl/>
        </w:rPr>
        <w:t>רב ושמואל דאמרי תרוייהו</w:t>
      </w:r>
      <w:r w:rsidR="00AE4978" w:rsidRPr="000B68F6">
        <w:rPr>
          <w:rFonts w:cs="Arial"/>
          <w:rtl/>
        </w:rPr>
        <w:t>: לא שנו אלא שמת מלוה בחיי לוה, אבל מת לוה בחיי מלוה - כבר נתחייב מלוה לבני לוה שבועה, ואין אדם מוריש שבועה לבניו.</w:t>
      </w:r>
      <w:r w:rsidR="00F773C1">
        <w:rPr>
          <w:rFonts w:cs="Arial" w:hint="cs"/>
          <w:b/>
          <w:bCs/>
          <w:rtl/>
        </w:rPr>
        <w:t xml:space="preserve"> </w:t>
      </w:r>
      <w:r w:rsidR="00F773C1" w:rsidRPr="00F773C1">
        <w:rPr>
          <w:rFonts w:cs="Arial" w:hint="cs"/>
          <w:sz w:val="18"/>
          <w:szCs w:val="18"/>
          <w:rtl/>
        </w:rPr>
        <w:t>(</w:t>
      </w:r>
      <w:r w:rsidR="00A913B2" w:rsidRPr="00F773C1">
        <w:rPr>
          <w:rFonts w:cs="Arial"/>
          <w:sz w:val="18"/>
          <w:szCs w:val="18"/>
          <w:rtl/>
        </w:rPr>
        <w:t>ומשמע בגמרא בהדיא דהוא הדין לכתובה דמתיב עלה מדתנן מתה יורשיה מזכירין כתובתה עד כ"ה שנה</w:t>
      </w:r>
      <w:r w:rsidR="00F773C1">
        <w:rPr>
          <w:rFonts w:cs="Arial" w:hint="cs"/>
          <w:sz w:val="18"/>
          <w:szCs w:val="18"/>
          <w:rtl/>
        </w:rPr>
        <w:t>,</w:t>
      </w:r>
      <w:r w:rsidR="00A913B2" w:rsidRPr="00F773C1">
        <w:rPr>
          <w:rFonts w:cs="Arial"/>
          <w:sz w:val="18"/>
          <w:szCs w:val="18"/>
          <w:rtl/>
        </w:rPr>
        <w:t xml:space="preserve"> וכן מדתנן נשא את הראשונה ומתה נשא שנייה ומת הוא שנייה ויורשיה קודמין ליורשי הראשונה</w:t>
      </w:r>
      <w:r w:rsidR="00EA3206">
        <w:rPr>
          <w:rFonts w:cs="Arial" w:hint="cs"/>
          <w:sz w:val="18"/>
          <w:szCs w:val="18"/>
          <w:rtl/>
        </w:rPr>
        <w:t>,</w:t>
      </w:r>
      <w:r w:rsidR="00A913B2" w:rsidRPr="00F773C1">
        <w:rPr>
          <w:rFonts w:cs="Arial"/>
          <w:sz w:val="18"/>
          <w:szCs w:val="18"/>
          <w:rtl/>
        </w:rPr>
        <w:t xml:space="preserve"> ומוקי להו בשנשבע' ומתה</w:t>
      </w:r>
      <w:r w:rsidR="000B68F6" w:rsidRPr="00F773C1">
        <w:rPr>
          <w:rFonts w:cs="Arial" w:hint="cs"/>
          <w:sz w:val="18"/>
          <w:szCs w:val="18"/>
          <w:rtl/>
        </w:rPr>
        <w:t>.</w:t>
      </w:r>
      <w:r w:rsidR="00A913B2" w:rsidRPr="00F773C1">
        <w:rPr>
          <w:rFonts w:cs="Arial"/>
          <w:sz w:val="18"/>
          <w:szCs w:val="18"/>
          <w:rtl/>
        </w:rPr>
        <w:t xml:space="preserve"> וכן כתב הרי"ף בר</w:t>
      </w:r>
      <w:r w:rsidR="00EA3206">
        <w:rPr>
          <w:rFonts w:cs="Arial" w:hint="cs"/>
          <w:sz w:val="18"/>
          <w:szCs w:val="18"/>
          <w:rtl/>
        </w:rPr>
        <w:t>"</w:t>
      </w:r>
      <w:r w:rsidR="00A913B2" w:rsidRPr="00F773C1">
        <w:rPr>
          <w:rFonts w:cs="Arial"/>
          <w:sz w:val="18"/>
          <w:szCs w:val="18"/>
          <w:rtl/>
        </w:rPr>
        <w:t>פ מי שהיה נשוי (כתובות מט.) ובס</w:t>
      </w:r>
      <w:r w:rsidR="00EA3206">
        <w:rPr>
          <w:rFonts w:cs="Arial" w:hint="cs"/>
          <w:sz w:val="18"/>
          <w:szCs w:val="18"/>
          <w:rtl/>
        </w:rPr>
        <w:t>"</w:t>
      </w:r>
      <w:r w:rsidR="00A913B2" w:rsidRPr="00F773C1">
        <w:rPr>
          <w:rFonts w:cs="Arial"/>
          <w:sz w:val="18"/>
          <w:szCs w:val="18"/>
          <w:rtl/>
        </w:rPr>
        <w:t>פ הנושא (כתובות סב.) על המשניות הנזכ' אוקימנא בסוף פרק הנשבעין בשנשבעה ומתה</w:t>
      </w:r>
      <w:r w:rsidR="000B68F6" w:rsidRPr="00F773C1">
        <w:rPr>
          <w:rFonts w:cs="Arial" w:hint="cs"/>
          <w:sz w:val="18"/>
          <w:szCs w:val="18"/>
          <w:rtl/>
        </w:rPr>
        <w:t>,</w:t>
      </w:r>
      <w:r w:rsidR="00A913B2" w:rsidRPr="00F773C1">
        <w:rPr>
          <w:rFonts w:cs="Arial"/>
          <w:sz w:val="18"/>
          <w:szCs w:val="18"/>
          <w:rtl/>
        </w:rPr>
        <w:t xml:space="preserve"> אבל מתה ולא נשבעה אין יורשין נוטלין כתובתה דאין אדם מוריש שבועה לבניו</w:t>
      </w:r>
      <w:r w:rsidR="000B68F6" w:rsidRPr="00F773C1">
        <w:rPr>
          <w:rFonts w:cs="Arial" w:hint="cs"/>
          <w:sz w:val="18"/>
          <w:szCs w:val="18"/>
          <w:rtl/>
        </w:rPr>
        <w:t>.</w:t>
      </w:r>
      <w:r w:rsidR="00A913B2" w:rsidRPr="00F773C1">
        <w:rPr>
          <w:rFonts w:cs="Arial"/>
          <w:sz w:val="18"/>
          <w:szCs w:val="18"/>
          <w:rtl/>
        </w:rPr>
        <w:t xml:space="preserve"> וכ</w:t>
      </w:r>
      <w:r w:rsidR="000B68F6" w:rsidRPr="00F773C1">
        <w:rPr>
          <w:rFonts w:cs="Arial" w:hint="cs"/>
          <w:sz w:val="18"/>
          <w:szCs w:val="18"/>
          <w:rtl/>
        </w:rPr>
        <w:t>"</w:t>
      </w:r>
      <w:r w:rsidR="00A913B2" w:rsidRPr="00F773C1">
        <w:rPr>
          <w:rFonts w:cs="Arial"/>
          <w:sz w:val="18"/>
          <w:szCs w:val="18"/>
          <w:rtl/>
        </w:rPr>
        <w:t>כ הרמב"ם בפ</w:t>
      </w:r>
      <w:r w:rsidR="00624741" w:rsidRPr="00F773C1">
        <w:rPr>
          <w:rFonts w:cs="Arial" w:hint="cs"/>
          <w:sz w:val="18"/>
          <w:szCs w:val="18"/>
          <w:rtl/>
        </w:rPr>
        <w:t>ט"ז</w:t>
      </w:r>
      <w:r w:rsidR="00A913B2" w:rsidRPr="00F773C1">
        <w:rPr>
          <w:rFonts w:cs="Arial"/>
          <w:sz w:val="18"/>
          <w:szCs w:val="18"/>
          <w:rtl/>
        </w:rPr>
        <w:t xml:space="preserve"> מהל</w:t>
      </w:r>
      <w:r w:rsidR="00624741" w:rsidRPr="00F773C1">
        <w:rPr>
          <w:rFonts w:cs="Arial" w:hint="cs"/>
          <w:sz w:val="18"/>
          <w:szCs w:val="18"/>
          <w:rtl/>
        </w:rPr>
        <w:t>'</w:t>
      </w:r>
      <w:r w:rsidR="00A913B2" w:rsidRPr="00F773C1">
        <w:rPr>
          <w:rFonts w:cs="Arial"/>
          <w:sz w:val="18"/>
          <w:szCs w:val="18"/>
          <w:rtl/>
        </w:rPr>
        <w:t xml:space="preserve"> אישות (הי"ב) מתה האלמנה קודם שתשבע אין יורשיה יורשין מכתובתה כלום שאין לה כתובה עד שתשבע</w:t>
      </w:r>
      <w:r w:rsidR="00624741" w:rsidRPr="00F773C1">
        <w:rPr>
          <w:rFonts w:cs="Arial" w:hint="cs"/>
          <w:sz w:val="18"/>
          <w:szCs w:val="18"/>
          <w:rtl/>
        </w:rPr>
        <w:t>.</w:t>
      </w:r>
      <w:r w:rsidR="00A913B2" w:rsidRPr="00F773C1">
        <w:rPr>
          <w:rFonts w:cs="Arial"/>
          <w:sz w:val="18"/>
          <w:szCs w:val="18"/>
          <w:rtl/>
        </w:rPr>
        <w:t xml:space="preserve"> וכ</w:t>
      </w:r>
      <w:r w:rsidR="008C791B">
        <w:rPr>
          <w:rFonts w:cs="Arial" w:hint="cs"/>
          <w:sz w:val="18"/>
          <w:szCs w:val="18"/>
          <w:rtl/>
        </w:rPr>
        <w:t>"</w:t>
      </w:r>
      <w:r w:rsidR="00A913B2" w:rsidRPr="00F773C1">
        <w:rPr>
          <w:rFonts w:cs="Arial"/>
          <w:sz w:val="18"/>
          <w:szCs w:val="18"/>
          <w:rtl/>
        </w:rPr>
        <w:t xml:space="preserve">כ הרא"ש עוד בתשובה </w:t>
      </w:r>
      <w:r w:rsidR="00624741" w:rsidRPr="00F773C1">
        <w:rPr>
          <w:rFonts w:cs="Arial" w:hint="cs"/>
          <w:sz w:val="18"/>
          <w:szCs w:val="18"/>
          <w:rtl/>
        </w:rPr>
        <w:t>(</w:t>
      </w:r>
      <w:r w:rsidR="00A913B2" w:rsidRPr="00F773C1">
        <w:rPr>
          <w:rFonts w:cs="Arial"/>
          <w:sz w:val="18"/>
          <w:szCs w:val="18"/>
          <w:rtl/>
        </w:rPr>
        <w:t>כלל צא סי' א ד"ה שאלה עוד) וז"ל</w:t>
      </w:r>
      <w:r w:rsidR="00F773C1" w:rsidRPr="00F773C1">
        <w:rPr>
          <w:rFonts w:cs="Arial" w:hint="cs"/>
          <w:sz w:val="18"/>
          <w:szCs w:val="18"/>
          <w:rtl/>
        </w:rPr>
        <w:t>:</w:t>
      </w:r>
      <w:r w:rsidR="00A913B2" w:rsidRPr="00F773C1">
        <w:rPr>
          <w:rFonts w:cs="Arial"/>
          <w:sz w:val="18"/>
          <w:szCs w:val="18"/>
          <w:rtl/>
        </w:rPr>
        <w:t xml:space="preserve"> אמנם אם לא נשבעה האלמנה על כתובתה ועל נדונייתה שלא גבתה מהם כלום</w:t>
      </w:r>
      <w:r w:rsidR="00F773C1" w:rsidRPr="00F773C1">
        <w:rPr>
          <w:rFonts w:cs="Arial" w:hint="cs"/>
          <w:sz w:val="18"/>
          <w:szCs w:val="18"/>
          <w:rtl/>
        </w:rPr>
        <w:t>,</w:t>
      </w:r>
      <w:r w:rsidR="00A913B2" w:rsidRPr="00F773C1">
        <w:rPr>
          <w:rFonts w:cs="Arial"/>
          <w:sz w:val="18"/>
          <w:szCs w:val="18"/>
          <w:rtl/>
        </w:rPr>
        <w:t xml:space="preserve"> וגם לא פטרה בעלה מן השבועה</w:t>
      </w:r>
      <w:r w:rsidR="00F773C1" w:rsidRPr="00F773C1">
        <w:rPr>
          <w:rFonts w:cs="Arial" w:hint="cs"/>
          <w:sz w:val="18"/>
          <w:szCs w:val="18"/>
          <w:rtl/>
        </w:rPr>
        <w:t>,</w:t>
      </w:r>
      <w:r w:rsidR="00A913B2" w:rsidRPr="00F773C1">
        <w:rPr>
          <w:rFonts w:cs="Arial"/>
          <w:sz w:val="18"/>
          <w:szCs w:val="18"/>
          <w:rtl/>
        </w:rPr>
        <w:t xml:space="preserve"> נמצא כשמתה נסתלק שעבודה מן הנכסים כי יורשיה לא היו יכולים לגבות מכתובתה ונדונייתה כלום כיון שנתחייבה שבועה ולא נשבעה כמו שכתבתי למעלה דאין אדם מוריש שבועה לבניו</w:t>
      </w:r>
      <w:r w:rsidR="00F773C1" w:rsidRPr="00F773C1">
        <w:rPr>
          <w:rFonts w:cs="Arial" w:hint="cs"/>
          <w:sz w:val="18"/>
          <w:szCs w:val="18"/>
          <w:rtl/>
        </w:rPr>
        <w:t>.</w:t>
      </w:r>
      <w:r w:rsidR="00A913B2" w:rsidRPr="00F773C1">
        <w:rPr>
          <w:rFonts w:cs="Arial"/>
          <w:sz w:val="18"/>
          <w:szCs w:val="18"/>
          <w:rtl/>
        </w:rPr>
        <w:t xml:space="preserve"> נמצא שאינן יורשות מאמן כלום אלא את אביהם הן יורשות</w:t>
      </w:r>
      <w:r w:rsidR="00F773C1" w:rsidRPr="00F773C1">
        <w:rPr>
          <w:rFonts w:cs="Arial" w:hint="cs"/>
          <w:sz w:val="18"/>
          <w:szCs w:val="18"/>
          <w:rtl/>
        </w:rPr>
        <w:t>,</w:t>
      </w:r>
      <w:r w:rsidR="00A913B2" w:rsidRPr="00F773C1">
        <w:rPr>
          <w:rFonts w:cs="Arial"/>
          <w:sz w:val="18"/>
          <w:szCs w:val="18"/>
          <w:rtl/>
        </w:rPr>
        <w:t xml:space="preserve"> וגם מה שמשכנה האלמנה קודם שנשבעה על כתובתה אינו כלום עכ"ל</w:t>
      </w:r>
      <w:r w:rsidR="00F773C1">
        <w:rPr>
          <w:rFonts w:cs="Arial" w:hint="cs"/>
          <w:sz w:val="18"/>
          <w:szCs w:val="18"/>
          <w:rtl/>
        </w:rPr>
        <w:t>, ב"י)</w:t>
      </w:r>
      <w:r w:rsidR="00A913B2" w:rsidRPr="00F773C1">
        <w:rPr>
          <w:rFonts w:cs="Arial"/>
          <w:sz w:val="18"/>
          <w:szCs w:val="18"/>
          <w:rtl/>
        </w:rPr>
        <w:t xml:space="preserve"> </w:t>
      </w:r>
    </w:p>
    <w:p w14:paraId="5F1BE005" w14:textId="77777777" w:rsidR="00CC4790" w:rsidRPr="001E7315" w:rsidRDefault="00CC4790" w:rsidP="00CC4790">
      <w:pPr>
        <w:rPr>
          <w:u w:val="single"/>
          <w:rtl/>
        </w:rPr>
      </w:pPr>
      <w:r w:rsidRPr="001E7315">
        <w:rPr>
          <w:rFonts w:hint="cs"/>
          <w:u w:val="single"/>
          <w:rtl/>
        </w:rPr>
        <w:t>אלמנה גובה כתובתה בשבועה:</w:t>
      </w:r>
    </w:p>
    <w:p w14:paraId="61E60F81" w14:textId="0D4645ED" w:rsidR="000A64E2" w:rsidRPr="000A64E2" w:rsidRDefault="00CC4790" w:rsidP="009000E3">
      <w:pPr>
        <w:pStyle w:val="ab"/>
        <w:numPr>
          <w:ilvl w:val="0"/>
          <w:numId w:val="84"/>
        </w:numPr>
      </w:pPr>
      <w:r>
        <w:rPr>
          <w:rFonts w:hint="cs"/>
          <w:rtl/>
        </w:rPr>
        <w:t xml:space="preserve">טור- </w:t>
      </w:r>
      <w:r w:rsidRPr="007F14E0">
        <w:rPr>
          <w:rFonts w:cs="Arial"/>
          <w:rtl/>
        </w:rPr>
        <w:t>אין האלמנה גובה כתובתה אלא בשבועה</w:t>
      </w:r>
      <w:r>
        <w:rPr>
          <w:rFonts w:cs="Arial" w:hint="cs"/>
          <w:rtl/>
        </w:rPr>
        <w:t>.</w:t>
      </w:r>
      <w:r w:rsidRPr="007F14E0">
        <w:rPr>
          <w:rFonts w:cs="Arial"/>
          <w:rtl/>
        </w:rPr>
        <w:t xml:space="preserve"> </w:t>
      </w:r>
      <w:r w:rsidR="007C63A1" w:rsidRPr="0095477C">
        <w:rPr>
          <w:rFonts w:hint="cs"/>
          <w:color w:val="E36C0A" w:themeColor="accent6" w:themeShade="BF"/>
          <w:rtl/>
        </w:rPr>
        <w:t>(וכ"פ בשו"ע)</w:t>
      </w:r>
    </w:p>
    <w:p w14:paraId="4CCC475F" w14:textId="6100ABD7" w:rsidR="000A64E2" w:rsidRPr="0004674C" w:rsidRDefault="000A64E2" w:rsidP="000A64E2">
      <w:pPr>
        <w:ind w:left="360"/>
        <w:rPr>
          <w:u w:val="dotted"/>
        </w:rPr>
      </w:pPr>
      <w:r w:rsidRPr="0004674C">
        <w:rPr>
          <w:rFonts w:hint="cs"/>
          <w:u w:val="dotted"/>
          <w:rtl/>
        </w:rPr>
        <w:t>ומה הדין אם מתה קודם שנשבעה - האם היורשים י</w:t>
      </w:r>
      <w:r w:rsidR="0004674C" w:rsidRPr="0004674C">
        <w:rPr>
          <w:rFonts w:hint="cs"/>
          <w:u w:val="dotted"/>
          <w:rtl/>
        </w:rPr>
        <w:t>ורשים את כתובתה:</w:t>
      </w:r>
    </w:p>
    <w:p w14:paraId="77FF009E" w14:textId="5BF542CD" w:rsidR="000A64E2" w:rsidRPr="0004674C" w:rsidRDefault="000A64E2" w:rsidP="009000E3">
      <w:pPr>
        <w:pStyle w:val="ab"/>
        <w:numPr>
          <w:ilvl w:val="0"/>
          <w:numId w:val="84"/>
        </w:numPr>
      </w:pPr>
      <w:r>
        <w:rPr>
          <w:rFonts w:cs="Arial" w:hint="cs"/>
          <w:rtl/>
        </w:rPr>
        <w:t xml:space="preserve">טור- </w:t>
      </w:r>
      <w:r w:rsidR="00CC4790" w:rsidRPr="007F14E0">
        <w:rPr>
          <w:rFonts w:cs="Arial"/>
          <w:rtl/>
        </w:rPr>
        <w:t xml:space="preserve">לפיכך אם מתה קודם שנשבעת </w:t>
      </w:r>
      <w:r w:rsidR="00CC4790">
        <w:rPr>
          <w:rFonts w:cs="Arial" w:hint="cs"/>
          <w:rtl/>
        </w:rPr>
        <w:t xml:space="preserve">- </w:t>
      </w:r>
      <w:r w:rsidR="00CC4790" w:rsidRPr="007F14E0">
        <w:rPr>
          <w:rFonts w:cs="Arial"/>
          <w:rtl/>
        </w:rPr>
        <w:t>אין יורשיה יורשים כתובתה</w:t>
      </w:r>
      <w:r w:rsidR="00CC4790">
        <w:rPr>
          <w:rFonts w:cs="Arial" w:hint="cs"/>
          <w:rtl/>
        </w:rPr>
        <w:t>,</w:t>
      </w:r>
      <w:r w:rsidR="00CC4790" w:rsidRPr="007F14E0">
        <w:rPr>
          <w:rFonts w:cs="Arial"/>
          <w:rtl/>
        </w:rPr>
        <w:t xml:space="preserve"> שאין אדם מוריש לבניו ממון שאין יכול לגבותו אלא בשבועה</w:t>
      </w:r>
      <w:r w:rsidR="00CC4790">
        <w:rPr>
          <w:rFonts w:cs="Arial" w:hint="cs"/>
          <w:rtl/>
        </w:rPr>
        <w:t>.</w:t>
      </w:r>
      <w:r w:rsidR="00CC4790" w:rsidRPr="007F14E0">
        <w:rPr>
          <w:rFonts w:cs="Arial"/>
          <w:rtl/>
        </w:rPr>
        <w:t xml:space="preserve"> </w:t>
      </w:r>
      <w:r w:rsidR="007C63A1" w:rsidRPr="0095477C">
        <w:rPr>
          <w:rFonts w:hint="cs"/>
          <w:color w:val="E36C0A" w:themeColor="accent6" w:themeShade="BF"/>
          <w:rtl/>
        </w:rPr>
        <w:t>(וכ"פ בשו"ע)</w:t>
      </w:r>
    </w:p>
    <w:p w14:paraId="6C8FEF65" w14:textId="762CB1E6" w:rsidR="0004674C" w:rsidRPr="00F60B0E" w:rsidRDefault="0004674C" w:rsidP="00F60B0E">
      <w:pPr>
        <w:ind w:left="720"/>
        <w:rPr>
          <w:u w:val="wave"/>
        </w:rPr>
      </w:pPr>
      <w:r w:rsidRPr="00F60B0E">
        <w:rPr>
          <w:rFonts w:hint="cs"/>
          <w:u w:val="wave"/>
          <w:rtl/>
        </w:rPr>
        <w:t>ומה הדין אם כתב לה נאמנות</w:t>
      </w:r>
      <w:r w:rsidR="00F60B0E" w:rsidRPr="00F60B0E">
        <w:rPr>
          <w:rFonts w:hint="cs"/>
          <w:u w:val="wave"/>
          <w:rtl/>
        </w:rPr>
        <w:t xml:space="preserve"> בכתובה</w:t>
      </w:r>
      <w:r w:rsidRPr="00F60B0E">
        <w:rPr>
          <w:rFonts w:hint="cs"/>
          <w:u w:val="wave"/>
          <w:rtl/>
        </w:rPr>
        <w:t>:</w:t>
      </w:r>
    </w:p>
    <w:p w14:paraId="03180B45" w14:textId="77777777" w:rsidR="00F60B0E" w:rsidRPr="00CC4790" w:rsidRDefault="00F60B0E" w:rsidP="009000E3">
      <w:pPr>
        <w:pStyle w:val="ab"/>
        <w:numPr>
          <w:ilvl w:val="0"/>
          <w:numId w:val="84"/>
        </w:numPr>
        <w:rPr>
          <w:rtl/>
        </w:rPr>
      </w:pPr>
      <w:r w:rsidRPr="00CC4790">
        <w:rPr>
          <w:rFonts w:cs="Arial" w:hint="cs"/>
          <w:rtl/>
        </w:rPr>
        <w:t>ר</w:t>
      </w:r>
      <w:r w:rsidRPr="00CC4790">
        <w:rPr>
          <w:rFonts w:cs="Arial"/>
          <w:rtl/>
        </w:rPr>
        <w:t xml:space="preserve">יב"ש </w:t>
      </w:r>
      <w:r w:rsidRPr="00CC4790">
        <w:rPr>
          <w:rFonts w:cs="Arial" w:hint="cs"/>
          <w:sz w:val="16"/>
          <w:szCs w:val="16"/>
          <w:rtl/>
        </w:rPr>
        <w:t>(</w:t>
      </w:r>
      <w:r w:rsidRPr="00CC4790">
        <w:rPr>
          <w:rFonts w:cs="Arial"/>
          <w:sz w:val="16"/>
          <w:szCs w:val="16"/>
          <w:rtl/>
        </w:rPr>
        <w:t>סי</w:t>
      </w:r>
      <w:r w:rsidRPr="00CC4790">
        <w:rPr>
          <w:rFonts w:cs="Arial" w:hint="cs"/>
          <w:sz w:val="16"/>
          <w:szCs w:val="16"/>
          <w:rtl/>
        </w:rPr>
        <w:t>'</w:t>
      </w:r>
      <w:r w:rsidRPr="00CC4790">
        <w:rPr>
          <w:rFonts w:cs="Arial"/>
          <w:sz w:val="16"/>
          <w:szCs w:val="16"/>
          <w:rtl/>
        </w:rPr>
        <w:t xml:space="preserve"> תצב</w:t>
      </w:r>
      <w:r w:rsidRPr="00CC4790">
        <w:rPr>
          <w:rFonts w:cs="Arial" w:hint="cs"/>
          <w:sz w:val="16"/>
          <w:szCs w:val="16"/>
          <w:rtl/>
        </w:rPr>
        <w:t>)</w:t>
      </w:r>
      <w:r w:rsidRPr="00CC4790">
        <w:rPr>
          <w:rFonts w:cs="Arial" w:hint="cs"/>
          <w:rtl/>
        </w:rPr>
        <w:t xml:space="preserve"> ור"ן </w:t>
      </w:r>
      <w:r w:rsidRPr="00CC4790">
        <w:rPr>
          <w:rFonts w:cs="Arial" w:hint="cs"/>
          <w:sz w:val="16"/>
          <w:szCs w:val="16"/>
          <w:rtl/>
        </w:rPr>
        <w:t>(בתשו' סי' לא)</w:t>
      </w:r>
      <w:r w:rsidRPr="00CC4790">
        <w:rPr>
          <w:rFonts w:cs="Arial" w:hint="cs"/>
          <w:rtl/>
        </w:rPr>
        <w:t>-</w:t>
      </w:r>
      <w:r w:rsidRPr="00CC4790">
        <w:rPr>
          <w:rFonts w:cs="Arial"/>
          <w:rtl/>
        </w:rPr>
        <w:t xml:space="preserve"> מתה קודם שתשבע</w:t>
      </w:r>
      <w:r w:rsidRPr="00CC4790">
        <w:rPr>
          <w:rFonts w:cs="Arial" w:hint="cs"/>
          <w:rtl/>
        </w:rPr>
        <w:t>,</w:t>
      </w:r>
      <w:r w:rsidRPr="00CC4790">
        <w:rPr>
          <w:rFonts w:cs="Arial"/>
          <w:rtl/>
        </w:rPr>
        <w:t xml:space="preserve"> אין יורשיה גובין מכתובתה כלום</w:t>
      </w:r>
      <w:r w:rsidRPr="00CC4790">
        <w:rPr>
          <w:rFonts w:cs="Arial" w:hint="cs"/>
          <w:rtl/>
        </w:rPr>
        <w:t>.</w:t>
      </w:r>
      <w:r w:rsidRPr="00CC4790">
        <w:rPr>
          <w:rFonts w:cs="Arial"/>
          <w:rtl/>
        </w:rPr>
        <w:t xml:space="preserve"> ומיהו אין קורעין הכתובה אע</w:t>
      </w:r>
      <w:r w:rsidRPr="00CC4790">
        <w:rPr>
          <w:rFonts w:cs="Arial" w:hint="cs"/>
          <w:rtl/>
        </w:rPr>
        <w:t>"</w:t>
      </w:r>
      <w:r w:rsidRPr="00CC4790">
        <w:rPr>
          <w:rFonts w:cs="Arial"/>
          <w:rtl/>
        </w:rPr>
        <w:t>פ שאין מגבין כדאיתא בפרק כל הנשבעין (מח:)</w:t>
      </w:r>
      <w:r>
        <w:rPr>
          <w:rStyle w:val="a7"/>
          <w:rFonts w:cs="Arial"/>
          <w:rtl/>
        </w:rPr>
        <w:footnoteReference w:id="1700"/>
      </w:r>
      <w:r w:rsidRPr="00CC4790">
        <w:rPr>
          <w:rFonts w:cs="Arial" w:hint="cs"/>
          <w:rtl/>
        </w:rPr>
        <w:t>.</w:t>
      </w:r>
      <w:r w:rsidRPr="00CC4790">
        <w:rPr>
          <w:rFonts w:cs="Arial"/>
          <w:rtl/>
        </w:rPr>
        <w:t xml:space="preserve"> אמנם אם יש בכתובה נאמנות</w:t>
      </w:r>
      <w:r w:rsidRPr="00CC4790">
        <w:rPr>
          <w:rFonts w:cs="Arial" w:hint="cs"/>
          <w:rtl/>
        </w:rPr>
        <w:t>,</w:t>
      </w:r>
      <w:r w:rsidRPr="00CC4790">
        <w:rPr>
          <w:rFonts w:cs="Arial"/>
          <w:rtl/>
        </w:rPr>
        <w:t xml:space="preserve"> בין ממנו בין מיורשיו</w:t>
      </w:r>
      <w:r w:rsidRPr="00CC4790">
        <w:rPr>
          <w:rFonts w:cs="Arial" w:hint="cs"/>
          <w:rtl/>
        </w:rPr>
        <w:t>,</w:t>
      </w:r>
      <w:r w:rsidRPr="00CC4790">
        <w:rPr>
          <w:rFonts w:cs="Arial"/>
          <w:rtl/>
        </w:rPr>
        <w:t xml:space="preserve"> יורשיה גובין כתובתה אע</w:t>
      </w:r>
      <w:r w:rsidRPr="00CC4790">
        <w:rPr>
          <w:rFonts w:cs="Arial" w:hint="cs"/>
          <w:rtl/>
        </w:rPr>
        <w:t>"</w:t>
      </w:r>
      <w:r w:rsidRPr="00CC4790">
        <w:rPr>
          <w:rFonts w:cs="Arial"/>
          <w:rtl/>
        </w:rPr>
        <w:t>פ שלא נשבעה</w:t>
      </w:r>
      <w:r w:rsidRPr="00CC4790">
        <w:rPr>
          <w:rFonts w:cs="Arial" w:hint="cs"/>
          <w:rtl/>
        </w:rPr>
        <w:t>.</w:t>
      </w:r>
      <w:r w:rsidRPr="00CC4790">
        <w:rPr>
          <w:rFonts w:cs="Arial"/>
          <w:rtl/>
        </w:rPr>
        <w:t xml:space="preserve"> ואפילו לדברי האומר דאין שום נאמנות מועיל לגבי יורשים מודה היכא דמתה ולא נשבעה</w:t>
      </w:r>
      <w:r w:rsidRPr="00CC4790">
        <w:rPr>
          <w:rFonts w:cs="Arial" w:hint="cs"/>
          <w:rtl/>
        </w:rPr>
        <w:t xml:space="preserve">... </w:t>
      </w:r>
      <w:r w:rsidRPr="00CC4790">
        <w:rPr>
          <w:rFonts w:cs="Arial"/>
          <w:rtl/>
        </w:rPr>
        <w:t>וכ</w:t>
      </w:r>
      <w:r w:rsidRPr="00CC4790">
        <w:rPr>
          <w:rFonts w:cs="Arial" w:hint="cs"/>
          <w:rtl/>
        </w:rPr>
        <w:t>"</w:t>
      </w:r>
      <w:r w:rsidRPr="00CC4790">
        <w:rPr>
          <w:rFonts w:cs="Arial"/>
          <w:rtl/>
        </w:rPr>
        <w:t>כ הרשב"א בתשובה</w:t>
      </w:r>
      <w:r w:rsidRPr="00CC4790">
        <w:rPr>
          <w:rFonts w:cs="Arial" w:hint="cs"/>
          <w:rtl/>
        </w:rPr>
        <w:t>,</w:t>
      </w:r>
      <w:r w:rsidRPr="00CC4790">
        <w:rPr>
          <w:rFonts w:cs="Arial"/>
          <w:rtl/>
        </w:rPr>
        <w:t xml:space="preserve"> אף הרז"ה שהוא חלוק על הרי"ף (כתובות מז.) ופסק שאפילו בפוטר ממש כעין משנתינו אין תנאו מועיל ודאבא שאול אמתניתין קאי </w:t>
      </w:r>
      <w:r w:rsidRPr="00CC4790">
        <w:rPr>
          <w:rFonts w:cs="Arial" w:hint="cs"/>
          <w:rtl/>
        </w:rPr>
        <w:t xml:space="preserve">- </w:t>
      </w:r>
      <w:r w:rsidRPr="00CC4790">
        <w:rPr>
          <w:rFonts w:cs="Arial"/>
          <w:rtl/>
        </w:rPr>
        <w:t>מודה הוא בשטר שיש בו נאמנות ומת לוה בחיי מלוה ואח"כ מת מלוה שהיורשין נשבעין שבועת יורשין דהיינו שלא פקדנו אבא</w:t>
      </w:r>
      <w:r w:rsidRPr="00CC4790">
        <w:rPr>
          <w:rFonts w:cs="Arial" w:hint="cs"/>
          <w:rtl/>
        </w:rPr>
        <w:t>,</w:t>
      </w:r>
      <w:r w:rsidRPr="00CC4790">
        <w:rPr>
          <w:rFonts w:cs="Arial"/>
          <w:rtl/>
        </w:rPr>
        <w:t xml:space="preserve"> דתרי קולי לא עבדינן</w:t>
      </w:r>
      <w:r w:rsidRPr="00CC4790">
        <w:rPr>
          <w:rFonts w:cs="Arial" w:hint="cs"/>
          <w:rtl/>
        </w:rPr>
        <w:t>,</w:t>
      </w:r>
      <w:r w:rsidRPr="00CC4790">
        <w:rPr>
          <w:rFonts w:cs="Arial"/>
          <w:rtl/>
        </w:rPr>
        <w:t xml:space="preserve"> קולא דאבא שאול וקולא דרב ושמואל</w:t>
      </w:r>
      <w:r w:rsidRPr="00CC4790">
        <w:rPr>
          <w:rFonts w:cs="Arial" w:hint="cs"/>
          <w:rtl/>
        </w:rPr>
        <w:t>,</w:t>
      </w:r>
      <w:r w:rsidRPr="00CC4790">
        <w:rPr>
          <w:rFonts w:cs="Arial"/>
          <w:rtl/>
        </w:rPr>
        <w:t xml:space="preserve"> ובכי הא לכתחלה עבדינן כרבי אליעזר</w:t>
      </w:r>
      <w:r w:rsidRPr="00CC4790">
        <w:rPr>
          <w:rFonts w:cs="Arial" w:hint="cs"/>
          <w:rtl/>
        </w:rPr>
        <w:t>,</w:t>
      </w:r>
      <w:r w:rsidRPr="00CC4790">
        <w:rPr>
          <w:rFonts w:cs="Arial"/>
          <w:rtl/>
        </w:rPr>
        <w:t xml:space="preserve"> ונכון הוא</w:t>
      </w:r>
      <w:r>
        <w:rPr>
          <w:rStyle w:val="a7"/>
          <w:rFonts w:cs="Arial"/>
          <w:rtl/>
        </w:rPr>
        <w:footnoteReference w:id="1701"/>
      </w:r>
      <w:r w:rsidRPr="00CC4790">
        <w:rPr>
          <w:rFonts w:cs="Arial" w:hint="cs"/>
          <w:sz w:val="16"/>
          <w:szCs w:val="16"/>
          <w:rtl/>
        </w:rPr>
        <w:t xml:space="preserve"> (ל' הריב"ש)</w:t>
      </w:r>
      <w:r w:rsidRPr="00CC4790">
        <w:rPr>
          <w:rFonts w:cs="Arial"/>
          <w:rtl/>
        </w:rPr>
        <w:t xml:space="preserve">. </w:t>
      </w:r>
    </w:p>
    <w:p w14:paraId="7E17AC77" w14:textId="150B8E09" w:rsidR="00F60B0E" w:rsidRPr="00F60B0E" w:rsidRDefault="00F60B0E" w:rsidP="00F60B0E">
      <w:pPr>
        <w:ind w:left="720"/>
        <w:rPr>
          <w:u w:val="wave"/>
        </w:rPr>
      </w:pPr>
      <w:r w:rsidRPr="00F60B0E">
        <w:rPr>
          <w:rFonts w:hint="cs"/>
          <w:u w:val="wave"/>
          <w:rtl/>
        </w:rPr>
        <w:t>ומה הדין אם תפסו היורשים:</w:t>
      </w:r>
      <w:r w:rsidR="00162E6F" w:rsidRPr="00162E6F">
        <w:rPr>
          <w:rFonts w:cs="Arial"/>
          <w:sz w:val="16"/>
          <w:szCs w:val="16"/>
          <w:rtl/>
        </w:rPr>
        <w:t xml:space="preserve"> (</w:t>
      </w:r>
      <w:r w:rsidR="00162E6F" w:rsidRPr="00162E6F">
        <w:rPr>
          <w:rFonts w:cs="Arial" w:hint="cs"/>
          <w:sz w:val="16"/>
          <w:szCs w:val="16"/>
          <w:rtl/>
        </w:rPr>
        <w:t xml:space="preserve">דרכ"מ אות </w:t>
      </w:r>
      <w:r w:rsidR="00162E6F" w:rsidRPr="00162E6F">
        <w:rPr>
          <w:rFonts w:cs="Arial"/>
          <w:sz w:val="16"/>
          <w:szCs w:val="16"/>
          <w:rtl/>
        </w:rPr>
        <w:t>ב)</w:t>
      </w:r>
    </w:p>
    <w:p w14:paraId="6A07BF8B" w14:textId="636F9331" w:rsidR="00370D91" w:rsidRDefault="00370D91" w:rsidP="009000E3">
      <w:pPr>
        <w:pStyle w:val="ab"/>
        <w:numPr>
          <w:ilvl w:val="0"/>
          <w:numId w:val="84"/>
        </w:numPr>
        <w:rPr>
          <w:rFonts w:cs="Arial"/>
        </w:rPr>
      </w:pPr>
      <w:r>
        <w:rPr>
          <w:rFonts w:cs="Arial" w:hint="cs"/>
          <w:rtl/>
        </w:rPr>
        <w:t xml:space="preserve">דרכ"מ </w:t>
      </w:r>
      <w:r w:rsidR="00F60B0E" w:rsidRPr="00162E6F">
        <w:rPr>
          <w:rFonts w:cs="Arial"/>
          <w:sz w:val="16"/>
          <w:szCs w:val="16"/>
          <w:rtl/>
        </w:rPr>
        <w:t>(</w:t>
      </w:r>
      <w:r w:rsidR="00F60B0E" w:rsidRPr="00162E6F">
        <w:rPr>
          <w:rFonts w:cs="Arial" w:hint="cs"/>
          <w:sz w:val="16"/>
          <w:szCs w:val="16"/>
          <w:rtl/>
        </w:rPr>
        <w:t xml:space="preserve">אות </w:t>
      </w:r>
      <w:r w:rsidR="00F60B0E" w:rsidRPr="00162E6F">
        <w:rPr>
          <w:rFonts w:cs="Arial"/>
          <w:sz w:val="16"/>
          <w:szCs w:val="16"/>
          <w:rtl/>
        </w:rPr>
        <w:t>ב)</w:t>
      </w:r>
      <w:r>
        <w:rPr>
          <w:rFonts w:cs="Arial" w:hint="cs"/>
          <w:rtl/>
        </w:rPr>
        <w:t xml:space="preserve">- </w:t>
      </w:r>
      <w:r w:rsidR="00F60B0E" w:rsidRPr="00F60B0E">
        <w:rPr>
          <w:rFonts w:cs="Arial"/>
          <w:rtl/>
        </w:rPr>
        <w:t>בחושן המשפט סימן ק"ח (סכ"ח) משמע דאע"ג דאין אדם מוריש שבועה לבניו ואין גובין</w:t>
      </w:r>
      <w:r w:rsidR="008C791B">
        <w:rPr>
          <w:rFonts w:cs="Arial" w:hint="cs"/>
          <w:rtl/>
        </w:rPr>
        <w:t>,</w:t>
      </w:r>
      <w:r w:rsidR="00F60B0E" w:rsidRPr="00F60B0E">
        <w:rPr>
          <w:rFonts w:cs="Arial"/>
          <w:rtl/>
        </w:rPr>
        <w:t xml:space="preserve"> היינו דוקא להוציא</w:t>
      </w:r>
      <w:r w:rsidR="00F60B0E" w:rsidRPr="00F60B0E">
        <w:rPr>
          <w:rFonts w:cs="Arial" w:hint="cs"/>
          <w:rtl/>
        </w:rPr>
        <w:t>,</w:t>
      </w:r>
      <w:r w:rsidR="00F60B0E" w:rsidRPr="00F60B0E">
        <w:rPr>
          <w:rFonts w:cs="Arial"/>
          <w:rtl/>
        </w:rPr>
        <w:t xml:space="preserve"> אבל אי תפסו היורשין אין מוציאין מידם</w:t>
      </w:r>
      <w:r w:rsidR="00F60B0E" w:rsidRPr="00F60B0E">
        <w:rPr>
          <w:rFonts w:cs="Arial" w:hint="cs"/>
          <w:rtl/>
        </w:rPr>
        <w:t>.</w:t>
      </w:r>
      <w:r w:rsidR="00F60B0E" w:rsidRPr="00F60B0E">
        <w:rPr>
          <w:rFonts w:cs="Arial"/>
          <w:rtl/>
        </w:rPr>
        <w:t xml:space="preserve"> וכן הוא במרדכי ריש אלמנה נזונית (סי' רנ) ובפרק מי שמת (סי' תרלג) ובפרק כל הנשבעין (סי' תשעט), מיהו בפרק כל הנשבעין כתב דיש חולקין וסבירא ליה דלא מהני תפיסה</w:t>
      </w:r>
      <w:r w:rsidR="001A75A3">
        <w:rPr>
          <w:rFonts w:cs="Arial" w:hint="cs"/>
          <w:rtl/>
        </w:rPr>
        <w:t>,</w:t>
      </w:r>
      <w:r w:rsidR="00F60B0E" w:rsidRPr="00F60B0E">
        <w:rPr>
          <w:rFonts w:cs="Arial"/>
          <w:rtl/>
        </w:rPr>
        <w:t xml:space="preserve"> וכ"נ שם (סי' תשפ) דעת מוהר"ם</w:t>
      </w:r>
      <w:r w:rsidR="001A75A3">
        <w:rPr>
          <w:rFonts w:cs="Arial" w:hint="cs"/>
          <w:rtl/>
        </w:rPr>
        <w:t>,</w:t>
      </w:r>
      <w:r w:rsidR="00F60B0E" w:rsidRPr="00F60B0E">
        <w:rPr>
          <w:rFonts w:cs="Arial"/>
          <w:rtl/>
        </w:rPr>
        <w:t xml:space="preserve"> וכן פסק בפרק חזקת (סי' תקכז</w:t>
      </w:r>
      <w:r w:rsidR="001A75A3">
        <w:rPr>
          <w:rFonts w:cs="Arial" w:hint="cs"/>
          <w:rtl/>
        </w:rPr>
        <w:t xml:space="preserve"> ו</w:t>
      </w:r>
      <w:r w:rsidR="00F60B0E" w:rsidRPr="00F60B0E">
        <w:rPr>
          <w:rFonts w:cs="Arial"/>
          <w:rtl/>
        </w:rPr>
        <w:t>סי' תקמז) בשם מוהר"ם דלא מהני תפיסה אפילו תפסה אמם מחיים</w:t>
      </w:r>
      <w:r w:rsidR="001A75A3">
        <w:rPr>
          <w:rFonts w:cs="Arial" w:hint="cs"/>
          <w:rtl/>
        </w:rPr>
        <w:t>,</w:t>
      </w:r>
      <w:r w:rsidR="00F60B0E" w:rsidRPr="00F60B0E">
        <w:rPr>
          <w:rFonts w:cs="Arial"/>
          <w:rtl/>
        </w:rPr>
        <w:t xml:space="preserve"> אא</w:t>
      </w:r>
      <w:r w:rsidR="001A75A3">
        <w:rPr>
          <w:rFonts w:cs="Arial" w:hint="cs"/>
          <w:rtl/>
        </w:rPr>
        <w:t>"</w:t>
      </w:r>
      <w:r w:rsidR="00F60B0E" w:rsidRPr="00F60B0E">
        <w:rPr>
          <w:rFonts w:cs="Arial"/>
          <w:rtl/>
        </w:rPr>
        <w:t>כ תפסה דברים שהיתה יכולה לומר עליהם לקוחים הן בידי או החזרתים אז נאמנת במגו</w:t>
      </w:r>
      <w:r w:rsidR="001A75A3">
        <w:rPr>
          <w:rFonts w:cs="Arial" w:hint="cs"/>
          <w:rtl/>
        </w:rPr>
        <w:t>,</w:t>
      </w:r>
      <w:r w:rsidR="00F60B0E" w:rsidRPr="00F60B0E">
        <w:rPr>
          <w:rFonts w:cs="Arial"/>
          <w:rtl/>
        </w:rPr>
        <w:t xml:space="preserve"> אבל בלאו הכי לא מהני תפיסה</w:t>
      </w:r>
      <w:r w:rsidR="008C791B">
        <w:rPr>
          <w:rFonts w:cs="Arial" w:hint="cs"/>
          <w:rtl/>
        </w:rPr>
        <w:t>.</w:t>
      </w:r>
      <w:r w:rsidR="00F60B0E" w:rsidRPr="00F60B0E">
        <w:rPr>
          <w:rFonts w:cs="Arial"/>
          <w:rtl/>
        </w:rPr>
        <w:t xml:space="preserve"> וכתב עוד שם דלא מהני תפיסה רק במטלטלין אבל במקרקעי לא שייך תפיסה</w:t>
      </w:r>
      <w:r w:rsidR="008C791B">
        <w:rPr>
          <w:rFonts w:cs="Arial" w:hint="cs"/>
          <w:rtl/>
        </w:rPr>
        <w:t>.</w:t>
      </w:r>
      <w:r w:rsidR="00F60B0E" w:rsidRPr="00F60B0E">
        <w:rPr>
          <w:rFonts w:cs="Arial"/>
          <w:rtl/>
        </w:rPr>
        <w:t xml:space="preserve"> ומהרי"ו </w:t>
      </w:r>
      <w:r w:rsidR="001A75A3">
        <w:rPr>
          <w:rFonts w:cs="Arial" w:hint="cs"/>
          <w:rtl/>
        </w:rPr>
        <w:t>(</w:t>
      </w:r>
      <w:r w:rsidR="00F60B0E" w:rsidRPr="00F60B0E">
        <w:rPr>
          <w:rFonts w:cs="Arial"/>
          <w:rtl/>
        </w:rPr>
        <w:t>סי</w:t>
      </w:r>
      <w:r w:rsidR="001A75A3">
        <w:rPr>
          <w:rFonts w:cs="Arial" w:hint="cs"/>
          <w:rtl/>
        </w:rPr>
        <w:t>'</w:t>
      </w:r>
      <w:r w:rsidR="00F60B0E" w:rsidRPr="00F60B0E">
        <w:rPr>
          <w:rFonts w:cs="Arial"/>
          <w:rtl/>
        </w:rPr>
        <w:t xml:space="preserve"> צח</w:t>
      </w:r>
      <w:r w:rsidR="001A75A3">
        <w:rPr>
          <w:rFonts w:cs="Arial" w:hint="cs"/>
          <w:rtl/>
        </w:rPr>
        <w:t>)</w:t>
      </w:r>
      <w:r w:rsidR="00F60B0E" w:rsidRPr="00F60B0E">
        <w:rPr>
          <w:rFonts w:cs="Arial"/>
          <w:rtl/>
        </w:rPr>
        <w:t xml:space="preserve"> פסק דמהני תפיסה, אמנם </w:t>
      </w:r>
      <w:r w:rsidR="00FD2205">
        <w:rPr>
          <w:rFonts w:cs="Arial" w:hint="cs"/>
          <w:rtl/>
        </w:rPr>
        <w:t>ב</w:t>
      </w:r>
      <w:r w:rsidR="00F60B0E" w:rsidRPr="00F60B0E">
        <w:rPr>
          <w:rFonts w:cs="Arial"/>
          <w:rtl/>
        </w:rPr>
        <w:t>סימן קע"ה מסתפק בדבר</w:t>
      </w:r>
      <w:r w:rsidR="008C791B">
        <w:rPr>
          <w:rFonts w:cs="Arial" w:hint="cs"/>
          <w:rtl/>
        </w:rPr>
        <w:t>.</w:t>
      </w:r>
      <w:r w:rsidR="00F60B0E" w:rsidRPr="00F60B0E">
        <w:rPr>
          <w:rFonts w:cs="Arial"/>
          <w:rtl/>
        </w:rPr>
        <w:t xml:space="preserve"> ובתר</w:t>
      </w:r>
      <w:r w:rsidR="00FD2205">
        <w:rPr>
          <w:rFonts w:cs="Arial" w:hint="cs"/>
          <w:rtl/>
        </w:rPr>
        <w:t>ו</w:t>
      </w:r>
      <w:r w:rsidR="00F60B0E" w:rsidRPr="00F60B0E">
        <w:rPr>
          <w:rFonts w:cs="Arial"/>
          <w:rtl/>
        </w:rPr>
        <w:t>ה</w:t>
      </w:r>
      <w:r w:rsidR="00FD2205">
        <w:rPr>
          <w:rFonts w:cs="Arial" w:hint="cs"/>
          <w:rtl/>
        </w:rPr>
        <w:t>"</w:t>
      </w:r>
      <w:r w:rsidR="00F60B0E" w:rsidRPr="00F60B0E">
        <w:rPr>
          <w:rFonts w:cs="Arial"/>
          <w:rtl/>
        </w:rPr>
        <w:t xml:space="preserve">ד </w:t>
      </w:r>
      <w:r w:rsidR="00FD2205">
        <w:rPr>
          <w:rFonts w:cs="Arial" w:hint="cs"/>
          <w:rtl/>
        </w:rPr>
        <w:t>(</w:t>
      </w:r>
      <w:r w:rsidR="00F60B0E" w:rsidRPr="00F60B0E">
        <w:rPr>
          <w:rFonts w:cs="Arial"/>
          <w:rtl/>
        </w:rPr>
        <w:t>סי</w:t>
      </w:r>
      <w:r w:rsidR="00FD2205">
        <w:rPr>
          <w:rFonts w:cs="Arial" w:hint="cs"/>
          <w:rtl/>
        </w:rPr>
        <w:t>'</w:t>
      </w:r>
      <w:r w:rsidR="00F60B0E" w:rsidRPr="00F60B0E">
        <w:rPr>
          <w:rFonts w:cs="Arial"/>
          <w:rtl/>
        </w:rPr>
        <w:t xml:space="preserve"> של</w:t>
      </w:r>
      <w:r w:rsidR="00FD2205">
        <w:rPr>
          <w:rFonts w:cs="Arial" w:hint="cs"/>
          <w:rtl/>
        </w:rPr>
        <w:t>)</w:t>
      </w:r>
      <w:r w:rsidR="00F60B0E" w:rsidRPr="00F60B0E">
        <w:rPr>
          <w:rFonts w:cs="Arial"/>
          <w:rtl/>
        </w:rPr>
        <w:t xml:space="preserve"> כתב דנ"ל לדינא דמהני תפיסה ואפילו הנכסים מונחים ביד בית דין בחזקת שניהם </w:t>
      </w:r>
      <w:r w:rsidR="00F60B0E" w:rsidRPr="00F60B0E">
        <w:rPr>
          <w:rFonts w:cs="Arial"/>
          <w:rtl/>
        </w:rPr>
        <w:lastRenderedPageBreak/>
        <w:t>אפילו הכי נראה דגובין משם הכתובה</w:t>
      </w:r>
      <w:r w:rsidR="00FD2205">
        <w:rPr>
          <w:rFonts w:cs="Arial" w:hint="cs"/>
          <w:rtl/>
        </w:rPr>
        <w:t>,</w:t>
      </w:r>
      <w:r w:rsidR="00F60B0E" w:rsidRPr="00F60B0E">
        <w:rPr>
          <w:rFonts w:cs="Arial"/>
          <w:rtl/>
        </w:rPr>
        <w:t xml:space="preserve"> אלא שמדומה לי דסוגיא דב' דייני לא אזלא הכי אלא סברי דכל שמתה בלא שבועה אין ליורשיה כלום אפילו היו מוחזקין בנכסים עכ"ל</w:t>
      </w:r>
      <w:r w:rsidR="00FD2205">
        <w:rPr>
          <w:rFonts w:cs="Arial" w:hint="cs"/>
          <w:rtl/>
        </w:rPr>
        <w:t>,</w:t>
      </w:r>
      <w:r w:rsidR="00F60B0E" w:rsidRPr="00F60B0E">
        <w:rPr>
          <w:rFonts w:cs="Arial"/>
          <w:rtl/>
        </w:rPr>
        <w:t xml:space="preserve"> וע"ש שהאריך</w:t>
      </w:r>
      <w:r w:rsidR="00FD2205">
        <w:rPr>
          <w:rFonts w:cs="Arial" w:hint="cs"/>
          <w:rtl/>
        </w:rPr>
        <w:t>.</w:t>
      </w:r>
      <w:r w:rsidR="00F60B0E" w:rsidRPr="00F60B0E">
        <w:rPr>
          <w:rFonts w:cs="Arial"/>
          <w:rtl/>
        </w:rPr>
        <w:t xml:space="preserve"> וכן נראה דעת ב"י בחושן משפט סימן רנ"ב (מחודש ג)</w:t>
      </w:r>
      <w:r w:rsidR="00FD2205">
        <w:rPr>
          <w:rFonts w:cs="Arial" w:hint="cs"/>
          <w:rtl/>
        </w:rPr>
        <w:t>,</w:t>
      </w:r>
      <w:r w:rsidR="00F60B0E" w:rsidRPr="00F60B0E">
        <w:rPr>
          <w:rFonts w:cs="Arial"/>
          <w:rtl/>
        </w:rPr>
        <w:t xml:space="preserve"> ותמה שם על הרשב"ץ שכתב דמהני תפיסה וכתב עליו לא ידעתי מנין לו עכ"ל</w:t>
      </w:r>
      <w:r w:rsidR="00FD2205">
        <w:rPr>
          <w:rFonts w:cs="Arial" w:hint="cs"/>
          <w:rtl/>
        </w:rPr>
        <w:t>.</w:t>
      </w:r>
      <w:r w:rsidR="00F60B0E" w:rsidRPr="00F60B0E">
        <w:rPr>
          <w:rFonts w:cs="Arial"/>
          <w:rtl/>
        </w:rPr>
        <w:t xml:space="preserve"> ואין בתמיהתו כלום</w:t>
      </w:r>
      <w:r w:rsidR="00FD2205">
        <w:rPr>
          <w:rFonts w:cs="Arial" w:hint="cs"/>
          <w:rtl/>
        </w:rPr>
        <w:t>,</w:t>
      </w:r>
      <w:r w:rsidR="00F60B0E" w:rsidRPr="00F60B0E">
        <w:rPr>
          <w:rFonts w:cs="Arial"/>
          <w:rtl/>
        </w:rPr>
        <w:t xml:space="preserve"> שהרי כמה פוסקים ס"ל הכי וכמו שכתבתי. </w:t>
      </w:r>
      <w:r w:rsidR="00954357" w:rsidRPr="00954357">
        <w:rPr>
          <w:rFonts w:cs="Arial" w:hint="cs"/>
          <w:color w:val="00B0F0"/>
          <w:rtl/>
        </w:rPr>
        <w:t xml:space="preserve">(וכ"כ </w:t>
      </w:r>
      <w:r w:rsidR="00954357">
        <w:rPr>
          <w:rFonts w:cs="Arial" w:hint="cs"/>
          <w:color w:val="00B0F0"/>
          <w:rtl/>
        </w:rPr>
        <w:t>בהג"ה</w:t>
      </w:r>
      <w:r w:rsidR="00954357" w:rsidRPr="00954357">
        <w:rPr>
          <w:rFonts w:cs="Arial" w:hint="cs"/>
          <w:color w:val="00B0F0"/>
          <w:rtl/>
        </w:rPr>
        <w:t>)</w:t>
      </w:r>
    </w:p>
    <w:p w14:paraId="6C990684" w14:textId="0595B425" w:rsidR="00370D91" w:rsidRPr="00370D91" w:rsidRDefault="00370D91" w:rsidP="00370D91">
      <w:pPr>
        <w:ind w:left="720"/>
        <w:rPr>
          <w:rFonts w:cs="Arial"/>
        </w:rPr>
      </w:pPr>
      <w:r w:rsidRPr="00370D91">
        <w:rPr>
          <w:rFonts w:hint="cs"/>
          <w:u w:val="wave"/>
          <w:rtl/>
        </w:rPr>
        <w:t xml:space="preserve">ומה הדין אם </w:t>
      </w:r>
      <w:r>
        <w:rPr>
          <w:rFonts w:hint="cs"/>
          <w:u w:val="wave"/>
          <w:rtl/>
        </w:rPr>
        <w:t>ייחד לה קרקע/מטלטלין בכתובתה</w:t>
      </w:r>
      <w:r w:rsidRPr="00370D91">
        <w:rPr>
          <w:rFonts w:hint="cs"/>
          <w:u w:val="wave"/>
          <w:rtl/>
        </w:rPr>
        <w:t>:</w:t>
      </w:r>
      <w:r w:rsidRPr="00370D91">
        <w:rPr>
          <w:rFonts w:cs="Arial"/>
          <w:sz w:val="16"/>
          <w:szCs w:val="16"/>
          <w:rtl/>
        </w:rPr>
        <w:t xml:space="preserve"> (</w:t>
      </w:r>
      <w:r w:rsidRPr="00370D91">
        <w:rPr>
          <w:rFonts w:cs="Arial" w:hint="cs"/>
          <w:sz w:val="16"/>
          <w:szCs w:val="16"/>
          <w:rtl/>
        </w:rPr>
        <w:t xml:space="preserve">דרכ"מ אות </w:t>
      </w:r>
      <w:r w:rsidRPr="00370D91">
        <w:rPr>
          <w:rFonts w:cs="Arial"/>
          <w:sz w:val="16"/>
          <w:szCs w:val="16"/>
          <w:rtl/>
        </w:rPr>
        <w:t>ב)</w:t>
      </w:r>
    </w:p>
    <w:p w14:paraId="089D2EC2" w14:textId="797E35B5" w:rsidR="00F60B0E" w:rsidRPr="00F60B0E" w:rsidRDefault="00370D91" w:rsidP="009000E3">
      <w:pPr>
        <w:pStyle w:val="ab"/>
        <w:numPr>
          <w:ilvl w:val="0"/>
          <w:numId w:val="84"/>
        </w:numPr>
        <w:rPr>
          <w:rFonts w:cs="Arial"/>
          <w:rtl/>
        </w:rPr>
      </w:pPr>
      <w:r>
        <w:rPr>
          <w:rFonts w:cs="Arial" w:hint="cs"/>
          <w:rtl/>
        </w:rPr>
        <w:t xml:space="preserve">מרדכי </w:t>
      </w:r>
      <w:r>
        <w:rPr>
          <w:rFonts w:cs="Arial" w:hint="cs"/>
          <w:sz w:val="16"/>
          <w:szCs w:val="16"/>
          <w:rtl/>
        </w:rPr>
        <w:t>(פ' הכותב סי' רכד)</w:t>
      </w:r>
      <w:r>
        <w:rPr>
          <w:rFonts w:cs="Arial" w:hint="cs"/>
          <w:rtl/>
        </w:rPr>
        <w:t xml:space="preserve"> ו</w:t>
      </w:r>
      <w:r w:rsidR="00F60B0E" w:rsidRPr="00F60B0E">
        <w:rPr>
          <w:rFonts w:cs="Arial"/>
          <w:rtl/>
        </w:rPr>
        <w:t>נמוק</w:t>
      </w:r>
      <w:r w:rsidR="00FD2205">
        <w:rPr>
          <w:rFonts w:cs="Arial" w:hint="cs"/>
          <w:rtl/>
        </w:rPr>
        <w:t>"</w:t>
      </w:r>
      <w:r w:rsidR="00F60B0E" w:rsidRPr="00F60B0E">
        <w:rPr>
          <w:rFonts w:cs="Arial"/>
          <w:rtl/>
        </w:rPr>
        <w:t>י</w:t>
      </w:r>
      <w:r w:rsidR="00F60B0E" w:rsidRPr="00370D91">
        <w:rPr>
          <w:rFonts w:cs="Arial"/>
          <w:sz w:val="16"/>
          <w:szCs w:val="16"/>
          <w:rtl/>
        </w:rPr>
        <w:t xml:space="preserve"> </w:t>
      </w:r>
      <w:r w:rsidRPr="00370D91">
        <w:rPr>
          <w:rFonts w:cs="Arial" w:hint="cs"/>
          <w:sz w:val="16"/>
          <w:szCs w:val="16"/>
          <w:rtl/>
        </w:rPr>
        <w:t>(</w:t>
      </w:r>
      <w:r w:rsidR="00F60B0E" w:rsidRPr="00370D91">
        <w:rPr>
          <w:rFonts w:cs="Arial"/>
          <w:sz w:val="16"/>
          <w:szCs w:val="16"/>
          <w:rtl/>
        </w:rPr>
        <w:t>פרק מי שמת עד: דיבור ראשון)</w:t>
      </w:r>
      <w:r>
        <w:rPr>
          <w:rFonts w:cs="Arial" w:hint="cs"/>
          <w:rtl/>
        </w:rPr>
        <w:t xml:space="preserve">- </w:t>
      </w:r>
      <w:r w:rsidR="00F60B0E" w:rsidRPr="00F60B0E">
        <w:rPr>
          <w:rFonts w:cs="Arial"/>
          <w:rtl/>
        </w:rPr>
        <w:t>אם יחד לה קרקעות ומטלטלין בכתובתה יורשיה גובין בלא שבועה</w:t>
      </w:r>
      <w:r>
        <w:rPr>
          <w:rStyle w:val="a7"/>
          <w:rFonts w:cs="Arial"/>
          <w:rtl/>
        </w:rPr>
        <w:footnoteReference w:id="1702"/>
      </w:r>
      <w:r>
        <w:rPr>
          <w:rFonts w:cs="Arial" w:hint="cs"/>
          <w:rtl/>
        </w:rPr>
        <w:t>.</w:t>
      </w:r>
      <w:r w:rsidR="007C63A1">
        <w:rPr>
          <w:rFonts w:cs="Arial" w:hint="cs"/>
          <w:rtl/>
        </w:rPr>
        <w:t xml:space="preserve"> </w:t>
      </w:r>
      <w:r w:rsidR="007C63A1" w:rsidRPr="0095477C">
        <w:rPr>
          <w:rFonts w:hint="cs"/>
          <w:color w:val="E36C0A" w:themeColor="accent6" w:themeShade="BF"/>
          <w:rtl/>
        </w:rPr>
        <w:t>(וכ"פ בשו"ע)</w:t>
      </w:r>
    </w:p>
    <w:p w14:paraId="51E2BFA4" w14:textId="30AD0532" w:rsidR="005076E4" w:rsidRDefault="005076E4" w:rsidP="005076E4">
      <w:pPr>
        <w:rPr>
          <w:rtl/>
        </w:rPr>
      </w:pPr>
      <w:r w:rsidRPr="005076E4">
        <w:rPr>
          <w:rFonts w:cs="Arial"/>
          <w:b/>
          <w:bCs/>
          <w:rtl/>
        </w:rPr>
        <w:t xml:space="preserve">כתובות </w:t>
      </w:r>
      <w:r w:rsidRPr="005076E4">
        <w:rPr>
          <w:rFonts w:cs="Arial" w:hint="cs"/>
          <w:b/>
          <w:bCs/>
          <w:sz w:val="16"/>
          <w:szCs w:val="16"/>
          <w:rtl/>
        </w:rPr>
        <w:t>(ס"</w:t>
      </w:r>
      <w:r w:rsidRPr="005076E4">
        <w:rPr>
          <w:rFonts w:cs="Arial"/>
          <w:b/>
          <w:bCs/>
          <w:sz w:val="16"/>
          <w:szCs w:val="16"/>
          <w:rtl/>
        </w:rPr>
        <w:t>פ הנושא</w:t>
      </w:r>
      <w:r w:rsidRPr="005076E4">
        <w:rPr>
          <w:rFonts w:cs="Arial" w:hint="cs"/>
          <w:b/>
          <w:bCs/>
          <w:sz w:val="16"/>
          <w:szCs w:val="16"/>
          <w:rtl/>
        </w:rPr>
        <w:t>)</w:t>
      </w:r>
      <w:r w:rsidRPr="005076E4">
        <w:rPr>
          <w:rFonts w:cs="Arial" w:hint="cs"/>
          <w:b/>
          <w:bCs/>
          <w:rtl/>
        </w:rPr>
        <w:t xml:space="preserve"> </w:t>
      </w:r>
      <w:r w:rsidRPr="005076E4">
        <w:rPr>
          <w:rFonts w:cs="Arial"/>
          <w:b/>
          <w:bCs/>
          <w:rtl/>
        </w:rPr>
        <w:t>קד</w:t>
      </w:r>
      <w:r w:rsidR="00D96B47">
        <w:rPr>
          <w:rStyle w:val="a7"/>
          <w:rFonts w:cs="Arial"/>
          <w:b/>
          <w:bCs/>
          <w:rtl/>
        </w:rPr>
        <w:footnoteReference w:id="1703"/>
      </w:r>
      <w:r w:rsidRPr="005076E4">
        <w:rPr>
          <w:rFonts w:cs="Arial" w:hint="cs"/>
          <w:b/>
          <w:bCs/>
          <w:rtl/>
        </w:rPr>
        <w:t xml:space="preserve"> ע"א</w:t>
      </w:r>
      <w:r w:rsidRPr="005076E4">
        <w:rPr>
          <w:rFonts w:cs="Arial"/>
          <w:b/>
          <w:bCs/>
          <w:rtl/>
        </w:rPr>
        <w:t>:</w:t>
      </w:r>
      <w:r w:rsidRPr="00BA48F0">
        <w:rPr>
          <w:rtl/>
        </w:rPr>
        <w:t xml:space="preserve"> </w:t>
      </w:r>
      <w:r w:rsidRPr="005076E4">
        <w:rPr>
          <w:rFonts w:cs="Arial"/>
          <w:u w:val="double"/>
          <w:rtl/>
        </w:rPr>
        <w:t>מתני'</w:t>
      </w:r>
      <w:r w:rsidRPr="005076E4">
        <w:rPr>
          <w:rFonts w:cs="Arial" w:hint="cs"/>
          <w:rtl/>
        </w:rPr>
        <w:t>:</w:t>
      </w:r>
      <w:r w:rsidRPr="005076E4">
        <w:rPr>
          <w:rFonts w:cs="Arial"/>
          <w:rtl/>
        </w:rPr>
        <w:t xml:space="preserve"> כל זמן שהיא בבית אביה</w:t>
      </w:r>
      <w:r>
        <w:rPr>
          <w:rStyle w:val="a7"/>
          <w:rFonts w:cs="Arial"/>
          <w:rtl/>
        </w:rPr>
        <w:footnoteReference w:id="1704"/>
      </w:r>
      <w:r w:rsidRPr="005076E4">
        <w:rPr>
          <w:rFonts w:cs="Arial"/>
          <w:rtl/>
        </w:rPr>
        <w:t xml:space="preserve"> - גובה</w:t>
      </w:r>
      <w:r>
        <w:rPr>
          <w:rStyle w:val="a7"/>
          <w:rFonts w:cs="Arial"/>
          <w:rtl/>
        </w:rPr>
        <w:footnoteReference w:id="1705"/>
      </w:r>
      <w:r w:rsidRPr="005076E4">
        <w:rPr>
          <w:rFonts w:cs="Arial"/>
          <w:rtl/>
        </w:rPr>
        <w:t xml:space="preserve"> כתובתה לעולם, כל זמן שהיא בבית בעלה - גובה כתובתה עד עשרים וחמש שנים, שיש בכ"ה שנים שתעשה טובה</w:t>
      </w:r>
      <w:r>
        <w:rPr>
          <w:rStyle w:val="a7"/>
          <w:rFonts w:cs="Arial"/>
          <w:rtl/>
        </w:rPr>
        <w:footnoteReference w:id="1706"/>
      </w:r>
      <w:r w:rsidRPr="005076E4">
        <w:rPr>
          <w:rFonts w:cs="Arial"/>
          <w:rtl/>
        </w:rPr>
        <w:t xml:space="preserve"> כנגד כתובתה, </w:t>
      </w:r>
      <w:r w:rsidRPr="005076E4">
        <w:rPr>
          <w:rFonts w:cs="Arial"/>
          <w:u w:val="single"/>
          <w:rtl/>
        </w:rPr>
        <w:t>דברי ר' מאיר שאמר משום רשב"ג</w:t>
      </w:r>
      <w:r w:rsidRPr="005076E4">
        <w:rPr>
          <w:rFonts w:cs="Arial" w:hint="cs"/>
          <w:rtl/>
        </w:rPr>
        <w:t>.</w:t>
      </w:r>
      <w:r w:rsidRPr="005076E4">
        <w:rPr>
          <w:rFonts w:cs="Arial"/>
          <w:rtl/>
        </w:rPr>
        <w:t xml:space="preserve"> </w:t>
      </w:r>
      <w:r w:rsidRPr="005076E4">
        <w:rPr>
          <w:rFonts w:cs="Arial"/>
          <w:u w:val="single"/>
          <w:rtl/>
        </w:rPr>
        <w:t>וחכ"א</w:t>
      </w:r>
      <w:r>
        <w:rPr>
          <w:rStyle w:val="a7"/>
          <w:rFonts w:cs="Arial"/>
          <w:rtl/>
        </w:rPr>
        <w:footnoteReference w:id="1707"/>
      </w:r>
      <w:r w:rsidRPr="005076E4">
        <w:rPr>
          <w:rFonts w:cs="Arial"/>
          <w:rtl/>
        </w:rPr>
        <w:t>: כל זמן שהיא בבית בעלה - גובה כתובתה לעולם, כל זמן שהיא בבית אביה - גובה כתובתה עד עשרים וחמש שנים. מתה, יורשיה מזכירין כתובתה עד עשרים וחמש שנים</w:t>
      </w:r>
      <w:r>
        <w:rPr>
          <w:rStyle w:val="a7"/>
          <w:rFonts w:cs="Arial"/>
          <w:rtl/>
        </w:rPr>
        <w:footnoteReference w:id="1708"/>
      </w:r>
      <w:r w:rsidRPr="005076E4">
        <w:rPr>
          <w:rFonts w:cs="Arial"/>
          <w:rtl/>
        </w:rPr>
        <w:t>.</w:t>
      </w:r>
      <w:r w:rsidRPr="005076E4">
        <w:rPr>
          <w:rFonts w:cs="Arial" w:hint="cs"/>
          <w:rtl/>
        </w:rPr>
        <w:t xml:space="preserve">        </w:t>
      </w:r>
      <w:r w:rsidRPr="005076E4">
        <w:rPr>
          <w:rFonts w:hint="cs"/>
          <w:u w:val="double"/>
          <w:rtl/>
        </w:rPr>
        <w:t>גמ':</w:t>
      </w:r>
      <w:r w:rsidRPr="005076E4">
        <w:rPr>
          <w:rFonts w:cs="Arial" w:hint="cs"/>
          <w:rtl/>
        </w:rPr>
        <w:t xml:space="preserve"> </w:t>
      </w:r>
      <w:r w:rsidRPr="005076E4">
        <w:rPr>
          <w:rFonts w:cs="Arial"/>
          <w:u w:val="single"/>
          <w:rtl/>
        </w:rPr>
        <w:t>אמר רב נחמן בר יצחק</w:t>
      </w:r>
      <w:r w:rsidRPr="005076E4">
        <w:rPr>
          <w:rFonts w:cs="Arial" w:hint="cs"/>
          <w:rtl/>
        </w:rPr>
        <w:t>:</w:t>
      </w:r>
      <w:r w:rsidRPr="005076E4">
        <w:rPr>
          <w:rFonts w:cs="Arial"/>
          <w:rtl/>
        </w:rPr>
        <w:t xml:space="preserve"> תני רב יהודה בר קזא במתניתא דבי בר קזא: תבעה כתובתה </w:t>
      </w:r>
      <w:r>
        <w:rPr>
          <w:rFonts w:cs="Arial" w:hint="cs"/>
          <w:rtl/>
        </w:rPr>
        <w:t>-</w:t>
      </w:r>
      <w:r w:rsidRPr="005076E4">
        <w:rPr>
          <w:rFonts w:cs="Arial" w:hint="cs"/>
          <w:rtl/>
        </w:rPr>
        <w:t xml:space="preserve"> </w:t>
      </w:r>
      <w:r w:rsidRPr="005076E4">
        <w:rPr>
          <w:rFonts w:cs="Arial" w:hint="cs"/>
          <w:sz w:val="14"/>
          <w:szCs w:val="14"/>
          <w:rtl/>
        </w:rPr>
        <w:t xml:space="preserve">(קד:) </w:t>
      </w:r>
      <w:r w:rsidRPr="005076E4">
        <w:rPr>
          <w:rFonts w:cs="Arial"/>
          <w:rtl/>
        </w:rPr>
        <w:t>הרי היא כבתחלה</w:t>
      </w:r>
      <w:r>
        <w:rPr>
          <w:rStyle w:val="a7"/>
          <w:rFonts w:cs="Arial"/>
          <w:rtl/>
        </w:rPr>
        <w:footnoteReference w:id="1709"/>
      </w:r>
      <w:r w:rsidRPr="005076E4">
        <w:rPr>
          <w:rFonts w:cs="Arial" w:hint="cs"/>
          <w:rtl/>
        </w:rPr>
        <w:t>,</w:t>
      </w:r>
      <w:r w:rsidRPr="0048018E">
        <w:rPr>
          <w:rtl/>
        </w:rPr>
        <w:t xml:space="preserve"> </w:t>
      </w:r>
      <w:r w:rsidRPr="005076E4">
        <w:rPr>
          <w:rFonts w:cs="Arial"/>
          <w:rtl/>
        </w:rPr>
        <w:t xml:space="preserve">ואם היה שטר כתובה יוצא מתחת ידיה - גובה כתובתה לעולם. </w:t>
      </w:r>
      <w:r w:rsidRPr="005076E4">
        <w:rPr>
          <w:rFonts w:cs="Arial"/>
          <w:u w:val="single"/>
          <w:rtl/>
        </w:rPr>
        <w:t>שלח ליה רב נחמן בר רב חסדא לרב נחמן בר יעקב</w:t>
      </w:r>
      <w:r w:rsidRPr="005076E4">
        <w:rPr>
          <w:rFonts w:cs="Arial"/>
          <w:rtl/>
        </w:rPr>
        <w:t>: ילמדנו רבינו, כששטר כתובה יוצא מתחת ידה מחלוקת, או כשאין שטר כתובה יוצא מתחת ידה? והלכה כדברי מי</w:t>
      </w:r>
      <w:r>
        <w:rPr>
          <w:rStyle w:val="a7"/>
          <w:rFonts w:cs="Arial"/>
          <w:rtl/>
        </w:rPr>
        <w:footnoteReference w:id="1710"/>
      </w:r>
      <w:r w:rsidRPr="005076E4">
        <w:rPr>
          <w:rFonts w:cs="Arial"/>
          <w:rtl/>
        </w:rPr>
        <w:t xml:space="preserve">? </w:t>
      </w:r>
      <w:r w:rsidRPr="005076E4">
        <w:rPr>
          <w:rFonts w:cs="Arial"/>
          <w:u w:val="single"/>
          <w:rtl/>
        </w:rPr>
        <w:t>שלח ליה</w:t>
      </w:r>
      <w:r w:rsidRPr="005076E4">
        <w:rPr>
          <w:rFonts w:cs="Arial"/>
          <w:rtl/>
        </w:rPr>
        <w:t>: בשאין שטר כתובה יוצא מתחת ידה מחלוקת, אבל שטר כתובה יוצא מתחת ידה - גובה כתובתה לעולם, והלכה כדברי חכמים.</w:t>
      </w:r>
    </w:p>
    <w:p w14:paraId="1D6379DC" w14:textId="76801C36" w:rsidR="00370D91" w:rsidRPr="00EF663E" w:rsidRDefault="008B4ABA" w:rsidP="00370D91">
      <w:pPr>
        <w:rPr>
          <w:u w:val="single"/>
        </w:rPr>
      </w:pPr>
      <w:r w:rsidRPr="00EF663E">
        <w:rPr>
          <w:rFonts w:hint="cs"/>
          <w:u w:val="single"/>
          <w:rtl/>
        </w:rPr>
        <w:t xml:space="preserve">עד מתי יכולה </w:t>
      </w:r>
      <w:r w:rsidR="00EF663E" w:rsidRPr="00EF663E">
        <w:rPr>
          <w:rFonts w:hint="cs"/>
          <w:u w:val="single"/>
          <w:rtl/>
        </w:rPr>
        <w:t>אלמנה/גרושה לגבות כתובתה:</w:t>
      </w:r>
    </w:p>
    <w:p w14:paraId="490E7837" w14:textId="689361AB" w:rsidR="008410FC" w:rsidRPr="008410FC" w:rsidRDefault="005F6F55" w:rsidP="009000E3">
      <w:pPr>
        <w:pStyle w:val="ab"/>
        <w:numPr>
          <w:ilvl w:val="0"/>
          <w:numId w:val="84"/>
        </w:numPr>
      </w:pPr>
      <w:r>
        <w:rPr>
          <w:rFonts w:cs="Arial" w:hint="cs"/>
          <w:rtl/>
        </w:rPr>
        <w:t xml:space="preserve">רמב"ם </w:t>
      </w:r>
      <w:r>
        <w:rPr>
          <w:rFonts w:cs="Arial" w:hint="cs"/>
          <w:sz w:val="16"/>
          <w:szCs w:val="16"/>
          <w:rtl/>
        </w:rPr>
        <w:t>(פט"ז מהל' אישות הכ"א)</w:t>
      </w:r>
      <w:r>
        <w:rPr>
          <w:rFonts w:cs="Arial" w:hint="cs"/>
          <w:rtl/>
        </w:rPr>
        <w:t xml:space="preserve"> ו</w:t>
      </w:r>
      <w:r w:rsidR="00A913B2" w:rsidRPr="00370D91">
        <w:rPr>
          <w:rFonts w:cs="Arial"/>
          <w:rtl/>
        </w:rPr>
        <w:t>רא"</w:t>
      </w:r>
      <w:r w:rsidR="00370D91" w:rsidRPr="00370D91">
        <w:rPr>
          <w:rFonts w:cs="Arial" w:hint="cs"/>
          <w:rtl/>
        </w:rPr>
        <w:t>ש</w:t>
      </w:r>
      <w:r w:rsidR="00A913B2" w:rsidRPr="00370D91">
        <w:rPr>
          <w:rFonts w:cs="Arial"/>
          <w:rtl/>
        </w:rPr>
        <w:t xml:space="preserve"> </w:t>
      </w:r>
      <w:r w:rsidR="00370D91" w:rsidRPr="00370D91">
        <w:rPr>
          <w:rFonts w:cs="Arial" w:hint="cs"/>
          <w:sz w:val="16"/>
          <w:szCs w:val="16"/>
          <w:rtl/>
        </w:rPr>
        <w:t>(</w:t>
      </w:r>
      <w:r w:rsidR="00A913B2" w:rsidRPr="00370D91">
        <w:rPr>
          <w:rFonts w:cs="Arial"/>
          <w:sz w:val="16"/>
          <w:szCs w:val="16"/>
          <w:rtl/>
        </w:rPr>
        <w:t>כלל לו סי</w:t>
      </w:r>
      <w:r w:rsidR="00370D91" w:rsidRPr="00370D91">
        <w:rPr>
          <w:rFonts w:cs="Arial" w:hint="cs"/>
          <w:sz w:val="16"/>
          <w:szCs w:val="16"/>
          <w:rtl/>
        </w:rPr>
        <w:t>'</w:t>
      </w:r>
      <w:r w:rsidR="00A913B2" w:rsidRPr="00370D91">
        <w:rPr>
          <w:rFonts w:cs="Arial"/>
          <w:sz w:val="16"/>
          <w:szCs w:val="16"/>
          <w:rtl/>
        </w:rPr>
        <w:t xml:space="preserve"> ב</w:t>
      </w:r>
      <w:r w:rsidR="00370D91" w:rsidRPr="00370D91">
        <w:rPr>
          <w:rFonts w:cs="Arial" w:hint="cs"/>
          <w:sz w:val="16"/>
          <w:szCs w:val="16"/>
          <w:rtl/>
        </w:rPr>
        <w:t>)</w:t>
      </w:r>
      <w:r w:rsidR="00370D91" w:rsidRPr="00370D91">
        <w:rPr>
          <w:rFonts w:cs="Arial" w:hint="cs"/>
          <w:rtl/>
        </w:rPr>
        <w:t>-</w:t>
      </w:r>
      <w:r w:rsidR="00A913B2" w:rsidRPr="00370D91">
        <w:rPr>
          <w:rFonts w:cs="Arial"/>
          <w:rtl/>
        </w:rPr>
        <w:t xml:space="preserve"> </w:t>
      </w:r>
      <w:r w:rsidRPr="005F6F55">
        <w:rPr>
          <w:rFonts w:cs="Arial"/>
          <w:rtl/>
        </w:rPr>
        <w:t>אלמנה שהיה שטר כתובה יוצא מתחת ידה נשבעת וגובה כתובתה לעולם אפילו אחר מאה שנה, בין שהיתה בבית בעלה בין שהיתה בבית אביה</w:t>
      </w:r>
      <w:r w:rsidR="002D52E2">
        <w:rPr>
          <w:rFonts w:cs="Arial" w:hint="cs"/>
          <w:rtl/>
        </w:rPr>
        <w:t>.</w:t>
      </w:r>
      <w:r w:rsidRPr="005F6F55">
        <w:rPr>
          <w:rFonts w:cs="Arial"/>
          <w:rtl/>
        </w:rPr>
        <w:t xml:space="preserve"> ואם אין שטר כתובה יוצא מתחת ידה אין לה כלום ואפילו עיקר כתובה ואפילו תבעה ביום מיתת בעלה</w:t>
      </w:r>
      <w:r w:rsidR="002D52E2">
        <w:rPr>
          <w:rFonts w:cs="Arial" w:hint="cs"/>
          <w:rtl/>
        </w:rPr>
        <w:t>.</w:t>
      </w:r>
      <w:r w:rsidRPr="005F6F55">
        <w:rPr>
          <w:rFonts w:cs="Arial"/>
          <w:rtl/>
        </w:rPr>
        <w:t xml:space="preserve"> וכן הגרושה אפילו עיקר כתובה אין לה עד שתוציא שטר כתובה</w:t>
      </w:r>
      <w:r>
        <w:rPr>
          <w:rFonts w:cs="Arial" w:hint="cs"/>
          <w:sz w:val="16"/>
          <w:szCs w:val="16"/>
          <w:rtl/>
        </w:rPr>
        <w:t xml:space="preserve"> (ל' הרמב"ם)</w:t>
      </w:r>
      <w:r w:rsidRPr="005F6F55">
        <w:rPr>
          <w:rFonts w:cs="Arial"/>
          <w:rtl/>
        </w:rPr>
        <w:t>.</w:t>
      </w:r>
    </w:p>
    <w:p w14:paraId="44D009C0" w14:textId="3F708EA1" w:rsidR="00370D91" w:rsidRPr="005F6F55" w:rsidRDefault="00A408A1" w:rsidP="008410FC">
      <w:r w:rsidRPr="00A408A1">
        <w:rPr>
          <w:rFonts w:cs="Arial" w:hint="cs"/>
          <w:b/>
          <w:bCs/>
          <w:rtl/>
        </w:rPr>
        <w:t xml:space="preserve">ערכין </w:t>
      </w:r>
      <w:r>
        <w:rPr>
          <w:rFonts w:cs="Arial" w:hint="cs"/>
          <w:b/>
          <w:bCs/>
          <w:sz w:val="16"/>
          <w:szCs w:val="16"/>
          <w:rtl/>
        </w:rPr>
        <w:t>(פ' שום היתומים)</w:t>
      </w:r>
      <w:r>
        <w:rPr>
          <w:rFonts w:cs="Arial" w:hint="cs"/>
          <w:b/>
          <w:bCs/>
          <w:rtl/>
        </w:rPr>
        <w:t xml:space="preserve"> </w:t>
      </w:r>
      <w:r w:rsidRPr="00A408A1">
        <w:rPr>
          <w:rFonts w:cs="Arial" w:hint="cs"/>
          <w:b/>
          <w:bCs/>
          <w:rtl/>
        </w:rPr>
        <w:t xml:space="preserve">כב ע"א: </w:t>
      </w:r>
      <w:r w:rsidR="008410FC" w:rsidRPr="00A408A1">
        <w:rPr>
          <w:rFonts w:cs="Arial"/>
          <w:u w:val="single"/>
          <w:rtl/>
        </w:rPr>
        <w:t>אמר רב יהודה אמר רב אסי</w:t>
      </w:r>
      <w:r w:rsidR="008410FC" w:rsidRPr="008410FC">
        <w:rPr>
          <w:rFonts w:cs="Arial"/>
          <w:rtl/>
        </w:rPr>
        <w:t xml:space="preserve">: אין נזקקין לנכסי יתומים אלא אם כן היתה רבית אוכלת בהן; </w:t>
      </w:r>
      <w:r w:rsidR="008410FC" w:rsidRPr="00A408A1">
        <w:rPr>
          <w:rFonts w:cs="Arial"/>
          <w:u w:val="single"/>
          <w:rtl/>
        </w:rPr>
        <w:t>ורבי יוחנן אומר</w:t>
      </w:r>
      <w:r w:rsidR="008410FC" w:rsidRPr="008410FC">
        <w:rPr>
          <w:rFonts w:cs="Arial"/>
          <w:rtl/>
        </w:rPr>
        <w:t>: או לשטר שיש בו רבית, או לכתובת אשה משום מזוני.</w:t>
      </w:r>
      <w:r>
        <w:rPr>
          <w:rFonts w:cs="Arial" w:hint="cs"/>
          <w:rtl/>
        </w:rPr>
        <w:t>..</w:t>
      </w:r>
      <w:r w:rsidRPr="00A408A1">
        <w:rPr>
          <w:rtl/>
        </w:rPr>
        <w:t xml:space="preserve"> </w:t>
      </w:r>
      <w:r w:rsidRPr="00A408A1">
        <w:rPr>
          <w:rFonts w:cs="Arial"/>
          <w:rtl/>
        </w:rPr>
        <w:t xml:space="preserve">מרימר אגבי כתובתה לגרושה מנכסי דיתמי. </w:t>
      </w:r>
      <w:r w:rsidRPr="00A408A1">
        <w:rPr>
          <w:rFonts w:cs="Arial"/>
          <w:u w:val="single"/>
          <w:rtl/>
        </w:rPr>
        <w:t>א"ל רבינא לאמימר</w:t>
      </w:r>
      <w:r>
        <w:rPr>
          <w:rFonts w:cs="Arial" w:hint="cs"/>
          <w:rtl/>
        </w:rPr>
        <w:t>:</w:t>
      </w:r>
      <w:r w:rsidRPr="00A408A1">
        <w:rPr>
          <w:rFonts w:cs="Arial"/>
          <w:rtl/>
        </w:rPr>
        <w:t xml:space="preserve"> והאמר רב יהודה אמר רב אסי: אין נזקקין לנכסי יתומין אלא א"כ היתה רבית אוכלת בהן, רבי יוחנן אומר: או לשטר שיש בו רבית או לכתובת אשה משום מזוני, ואפי' רבי יוחנן לא קאמר אלא באלמנה דקמפסדא מזוני, אבל גרושה לא! </w:t>
      </w:r>
      <w:r w:rsidRPr="00A408A1">
        <w:rPr>
          <w:rFonts w:cs="Arial"/>
          <w:u w:val="single"/>
          <w:rtl/>
        </w:rPr>
        <w:t>אמר ליה</w:t>
      </w:r>
      <w:r w:rsidRPr="00A408A1">
        <w:rPr>
          <w:rFonts w:cs="Arial"/>
          <w:rtl/>
        </w:rPr>
        <w:t xml:space="preserve">: הא אנן דרבי יוחנן משום חינא מתנינן לה. </w:t>
      </w:r>
      <w:r w:rsidRPr="00A408A1">
        <w:rPr>
          <w:rFonts w:cs="Arial"/>
          <w:u w:val="single"/>
          <w:rtl/>
        </w:rPr>
        <w:t>אמר רב נחמן</w:t>
      </w:r>
      <w:r w:rsidRPr="00A408A1">
        <w:rPr>
          <w:rFonts w:cs="Arial"/>
          <w:rtl/>
        </w:rPr>
        <w:t xml:space="preserve">: מרישא לא הוה מיזדקיקנא לנכסי יתמי, כיון דשמענא להא דרב הונא חברין משמיה דרב: יתמי דאכלי דלא דידהו ליזלו בתר שיבקייהו, מכאן ואילך מיזדקקנא. מעיקרא מאי טעמא לא? </w:t>
      </w:r>
      <w:r w:rsidRPr="00A408A1">
        <w:rPr>
          <w:rFonts w:cs="Arial"/>
          <w:u w:val="single"/>
          <w:rtl/>
        </w:rPr>
        <w:t>אמר רב פפא</w:t>
      </w:r>
      <w:r w:rsidRPr="00A408A1">
        <w:rPr>
          <w:rFonts w:cs="Arial"/>
          <w:rtl/>
        </w:rPr>
        <w:t xml:space="preserve">: פריעת בעל חוב מצוה, ויתמי לא בני מיעבד מצוה נינהו. </w:t>
      </w:r>
      <w:r w:rsidRPr="00A408A1">
        <w:rPr>
          <w:rFonts w:cs="Arial"/>
          <w:u w:val="single"/>
          <w:rtl/>
        </w:rPr>
        <w:t>רב הונא בריה דרב יהושע אמר</w:t>
      </w:r>
      <w:r w:rsidRPr="00A408A1">
        <w:rPr>
          <w:rFonts w:cs="Arial"/>
          <w:rtl/>
        </w:rPr>
        <w:t>: אימר צררי אתפסיה. מאי בינייהו? איכא בינייהו בשחייב מודה; אי נמי, שמתוה ומת בשמתיה.</w:t>
      </w:r>
      <w:r w:rsidR="003145F5" w:rsidRPr="003145F5">
        <w:rPr>
          <w:rtl/>
        </w:rPr>
        <w:t xml:space="preserve"> </w:t>
      </w:r>
      <w:r w:rsidR="003145F5" w:rsidRPr="003145F5">
        <w:rPr>
          <w:rFonts w:cs="Arial"/>
          <w:rtl/>
        </w:rPr>
        <w:t xml:space="preserve">שלחו מתם: דשמתוה ומית בשמתיה. והלכתא כרב הונא בריה דרב יהושע. </w:t>
      </w:r>
      <w:r w:rsidRPr="00A408A1">
        <w:rPr>
          <w:rFonts w:cs="Arial"/>
          <w:rtl/>
        </w:rPr>
        <w:t xml:space="preserve"> </w:t>
      </w:r>
      <w:r w:rsidR="005F6F55" w:rsidRPr="008410FC">
        <w:rPr>
          <w:rFonts w:cs="Arial"/>
          <w:rtl/>
        </w:rPr>
        <w:t xml:space="preserve"> </w:t>
      </w:r>
    </w:p>
    <w:p w14:paraId="5BAAE54C" w14:textId="006DE1EF" w:rsidR="005F6F55" w:rsidRPr="0027652C" w:rsidRDefault="00C2348B" w:rsidP="005F6F55">
      <w:pPr>
        <w:rPr>
          <w:u w:val="single"/>
        </w:rPr>
      </w:pPr>
      <w:r w:rsidRPr="0027652C">
        <w:rPr>
          <w:rFonts w:hint="cs"/>
          <w:u w:val="single"/>
          <w:rtl/>
        </w:rPr>
        <w:t xml:space="preserve">העמדת </w:t>
      </w:r>
      <w:r w:rsidR="0027652C" w:rsidRPr="0027652C">
        <w:rPr>
          <w:rFonts w:hint="cs"/>
          <w:u w:val="single"/>
          <w:rtl/>
        </w:rPr>
        <w:t>אפוטרופוס לאשה משום חינה:</w:t>
      </w:r>
    </w:p>
    <w:p w14:paraId="1108B0F0" w14:textId="1F47B3B6" w:rsidR="004151AD" w:rsidRDefault="00A913B2" w:rsidP="009000E3">
      <w:pPr>
        <w:pStyle w:val="ab"/>
        <w:numPr>
          <w:ilvl w:val="0"/>
          <w:numId w:val="84"/>
        </w:numPr>
        <w:rPr>
          <w:rFonts w:cs="Arial"/>
        </w:rPr>
      </w:pPr>
      <w:r w:rsidRPr="00370D91">
        <w:rPr>
          <w:rFonts w:cs="Arial"/>
          <w:rtl/>
        </w:rPr>
        <w:t xml:space="preserve">רמב"ם </w:t>
      </w:r>
      <w:r w:rsidR="004151AD">
        <w:rPr>
          <w:rFonts w:cs="Arial" w:hint="cs"/>
          <w:sz w:val="16"/>
          <w:szCs w:val="16"/>
          <w:rtl/>
        </w:rPr>
        <w:t>(פי"ב מהל' מלוה ולוה ה"ג)</w:t>
      </w:r>
      <w:r w:rsidR="004151AD">
        <w:rPr>
          <w:rFonts w:cs="Arial" w:hint="cs"/>
          <w:rtl/>
        </w:rPr>
        <w:t xml:space="preserve">- </w:t>
      </w:r>
      <w:r w:rsidR="004151AD" w:rsidRPr="004151AD">
        <w:rPr>
          <w:rFonts w:cs="Arial"/>
          <w:rtl/>
        </w:rPr>
        <w:t>אשה שתבעה כתובתה בין אלמנה בין גרושה מעמידים להם אפוטרופוס ונזקקין משום חן האשה כדי שיהיה לה כלום שתנשא בו האשה לאחר</w:t>
      </w:r>
      <w:r w:rsidR="00C2682D">
        <w:rPr>
          <w:rFonts w:cs="Arial" w:hint="cs"/>
          <w:rtl/>
        </w:rPr>
        <w:t>.</w:t>
      </w:r>
      <w:r w:rsidR="004151AD" w:rsidRPr="004151AD">
        <w:rPr>
          <w:rFonts w:cs="Arial"/>
          <w:rtl/>
        </w:rPr>
        <w:t xml:space="preserve"> לפיכך אם קפצה האשה ונשאת ואחר כך באת לתבוע כתובתה מנכסי יתומים </w:t>
      </w:r>
      <w:r w:rsidR="00C2682D">
        <w:rPr>
          <w:rFonts w:cs="Arial" w:hint="cs"/>
          <w:rtl/>
        </w:rPr>
        <w:t xml:space="preserve">- </w:t>
      </w:r>
      <w:r w:rsidR="004151AD" w:rsidRPr="004151AD">
        <w:rPr>
          <w:rFonts w:cs="Arial"/>
          <w:rtl/>
        </w:rPr>
        <w:t>אין נזקקין לה עד שיגדלו היתומים שהרי אין לה מזונות והרי נשאת</w:t>
      </w:r>
      <w:r w:rsidR="00C2682D">
        <w:rPr>
          <w:rStyle w:val="a7"/>
          <w:rFonts w:cs="Arial"/>
          <w:rtl/>
        </w:rPr>
        <w:footnoteReference w:id="1711"/>
      </w:r>
      <w:r w:rsidR="004151AD" w:rsidRPr="004151AD">
        <w:rPr>
          <w:rFonts w:cs="Arial"/>
          <w:rtl/>
        </w:rPr>
        <w:t xml:space="preserve">. </w:t>
      </w:r>
      <w:r w:rsidR="004151AD">
        <w:rPr>
          <w:rFonts w:cs="Arial" w:hint="cs"/>
          <w:sz w:val="14"/>
          <w:szCs w:val="14"/>
          <w:rtl/>
        </w:rPr>
        <w:t xml:space="preserve">(ה"ד) </w:t>
      </w:r>
      <w:r w:rsidR="004151AD" w:rsidRPr="004151AD">
        <w:rPr>
          <w:rFonts w:cs="Arial"/>
          <w:rtl/>
        </w:rPr>
        <w:t xml:space="preserve">הורו מקצת הגאונים שאם היו הנכסים כנגד הכתובה בלבד או פחותים ממנה אין נזקקין לה שהרי אין כאן </w:t>
      </w:r>
      <w:r w:rsidR="004151AD" w:rsidRPr="004151AD">
        <w:rPr>
          <w:rFonts w:cs="Arial"/>
          <w:rtl/>
        </w:rPr>
        <w:lastRenderedPageBreak/>
        <w:t>זכות ליתומים</w:t>
      </w:r>
      <w:r w:rsidR="0009701B">
        <w:rPr>
          <w:rFonts w:cs="Arial" w:hint="cs"/>
          <w:rtl/>
        </w:rPr>
        <w:t>,</w:t>
      </w:r>
      <w:r w:rsidR="004151AD" w:rsidRPr="004151AD">
        <w:rPr>
          <w:rFonts w:cs="Arial"/>
          <w:rtl/>
        </w:rPr>
        <w:t xml:space="preserve"> שלא אמרו נזקקין לנכסי יתומים להפרע מהן הכתובה אלא כדי שלא יפחתו הנכסים מחמת המזונות</w:t>
      </w:r>
      <w:r w:rsidR="0009701B">
        <w:rPr>
          <w:rFonts w:cs="Arial" w:hint="cs"/>
          <w:rtl/>
        </w:rPr>
        <w:t>,</w:t>
      </w:r>
      <w:r w:rsidR="004151AD" w:rsidRPr="004151AD">
        <w:rPr>
          <w:rFonts w:cs="Arial"/>
          <w:rtl/>
        </w:rPr>
        <w:t xml:space="preserve"> וזאת הואיל והיא נוטלת הכל מה זכות יש ליתומים הקטנים בדבר זה עד שנזקקין להן</w:t>
      </w:r>
      <w:r w:rsidR="00C2348B">
        <w:rPr>
          <w:rFonts w:cs="Arial" w:hint="cs"/>
          <w:rtl/>
        </w:rPr>
        <w:t>.</w:t>
      </w:r>
      <w:r w:rsidR="004151AD" w:rsidRPr="004151AD">
        <w:rPr>
          <w:rFonts w:cs="Arial"/>
          <w:rtl/>
        </w:rPr>
        <w:t xml:space="preserve"> ולא חשו לחן האשה</w:t>
      </w:r>
      <w:r w:rsidR="00C2348B">
        <w:rPr>
          <w:rStyle w:val="a7"/>
          <w:rFonts w:cs="Arial"/>
          <w:rtl/>
        </w:rPr>
        <w:footnoteReference w:id="1712"/>
      </w:r>
      <w:r w:rsidR="004151AD" w:rsidRPr="004151AD">
        <w:rPr>
          <w:rFonts w:cs="Arial"/>
          <w:rtl/>
        </w:rPr>
        <w:t xml:space="preserve">. </w:t>
      </w:r>
    </w:p>
    <w:p w14:paraId="5FFBBC8A" w14:textId="35FFE4FA" w:rsidR="00275D4D" w:rsidRPr="00E12E16" w:rsidRDefault="00275D4D" w:rsidP="009000E3">
      <w:pPr>
        <w:pStyle w:val="ab"/>
        <w:numPr>
          <w:ilvl w:val="0"/>
          <w:numId w:val="84"/>
        </w:numPr>
      </w:pPr>
      <w:r w:rsidRPr="00370D91">
        <w:rPr>
          <w:rFonts w:cs="Arial"/>
          <w:rtl/>
        </w:rPr>
        <w:t xml:space="preserve">רא"ש </w:t>
      </w:r>
      <w:r>
        <w:rPr>
          <w:rFonts w:cs="Arial" w:hint="cs"/>
          <w:sz w:val="16"/>
          <w:szCs w:val="16"/>
          <w:rtl/>
        </w:rPr>
        <w:t>(כלל פה סי' א)</w:t>
      </w:r>
      <w:r>
        <w:rPr>
          <w:rFonts w:cs="Arial" w:hint="cs"/>
          <w:rtl/>
        </w:rPr>
        <w:t>-</w:t>
      </w:r>
      <w:r w:rsidRPr="00370D91">
        <w:rPr>
          <w:rFonts w:cs="Arial"/>
          <w:rtl/>
        </w:rPr>
        <w:t xml:space="preserve"> </w:t>
      </w:r>
      <w:r w:rsidRPr="00E12E16">
        <w:rPr>
          <w:rFonts w:cs="Arial"/>
          <w:rtl/>
        </w:rPr>
        <w:t xml:space="preserve">ואשר כתבת ליזקק בנכסי יתומים קטנים לכתובת אשה שכבר נשאת, ובפרק שום היתומים לא משמע הכי, וגם בספר רבינו משה </w:t>
      </w:r>
      <w:r>
        <w:rPr>
          <w:rFonts w:cs="Arial" w:hint="cs"/>
          <w:rtl/>
        </w:rPr>
        <w:t xml:space="preserve">(שם) </w:t>
      </w:r>
      <w:r w:rsidRPr="00E12E16">
        <w:rPr>
          <w:rFonts w:cs="Arial"/>
          <w:rtl/>
        </w:rPr>
        <w:t xml:space="preserve">ובספר המצות </w:t>
      </w:r>
      <w:r w:rsidRPr="00370D91">
        <w:rPr>
          <w:rFonts w:cs="Arial"/>
          <w:rtl/>
        </w:rPr>
        <w:t>(עשין צד קעו ע"א)</w:t>
      </w:r>
      <w:r>
        <w:rPr>
          <w:rFonts w:cs="Arial" w:hint="cs"/>
          <w:rtl/>
        </w:rPr>
        <w:t xml:space="preserve"> </w:t>
      </w:r>
      <w:r w:rsidRPr="00E12E16">
        <w:rPr>
          <w:rFonts w:cs="Arial"/>
          <w:rtl/>
        </w:rPr>
        <w:t>כתוב בהדיא דאין נזקקין בכה</w:t>
      </w:r>
      <w:r w:rsidR="00704B08">
        <w:rPr>
          <w:rFonts w:cs="Arial" w:hint="cs"/>
          <w:rtl/>
        </w:rPr>
        <w:t>"</w:t>
      </w:r>
      <w:r w:rsidRPr="00E12E16">
        <w:rPr>
          <w:rFonts w:cs="Arial"/>
          <w:rtl/>
        </w:rPr>
        <w:t>ג. כן ודאי כתבתי דנזקקין היכא דליכא למיחש לצררי כרב הונא בריה דרב יהושע</w:t>
      </w:r>
      <w:r w:rsidR="00E0302B" w:rsidRPr="00E0302B">
        <w:rPr>
          <w:rtl/>
        </w:rPr>
        <w:t xml:space="preserve"> </w:t>
      </w:r>
      <w:r w:rsidR="00E0302B" w:rsidRPr="00E0302B">
        <w:rPr>
          <w:rFonts w:cs="Arial"/>
          <w:rtl/>
        </w:rPr>
        <w:t>ולא כרב פפא</w:t>
      </w:r>
      <w:r w:rsidR="00E0302B">
        <w:rPr>
          <w:rFonts w:cs="Arial" w:hint="cs"/>
          <w:rtl/>
        </w:rPr>
        <w:t xml:space="preserve"> (ערכין כב.)</w:t>
      </w:r>
      <w:r>
        <w:rPr>
          <w:rFonts w:cs="Arial" w:hint="cs"/>
          <w:rtl/>
        </w:rPr>
        <w:t>...</w:t>
      </w:r>
      <w:r w:rsidRPr="00E12E16">
        <w:rPr>
          <w:rFonts w:cs="Arial"/>
          <w:rtl/>
        </w:rPr>
        <w:t xml:space="preserve"> וכן פסק תלמודא בב"ב (קעד:)</w:t>
      </w:r>
      <w:r>
        <w:rPr>
          <w:rFonts w:cs="Arial" w:hint="cs"/>
          <w:rtl/>
        </w:rPr>
        <w:t>...</w:t>
      </w:r>
      <w:r w:rsidRPr="00E12E16">
        <w:rPr>
          <w:rFonts w:cs="Arial"/>
          <w:rtl/>
        </w:rPr>
        <w:t xml:space="preserve"> ואפילו לפי רבינו משה וספר המצות דפירשו טעמא דחינא כדי שיהא לה במה לינשא ואם קפצה ונשאת דאין נזקקין עד שיגדלו היתומים היינו דוקא היכא דאיכא למיחש לצררי</w:t>
      </w:r>
      <w:r>
        <w:rPr>
          <w:rFonts w:cs="Arial" w:hint="cs"/>
          <w:rtl/>
        </w:rPr>
        <w:t>,</w:t>
      </w:r>
      <w:r w:rsidRPr="00E12E16">
        <w:rPr>
          <w:rFonts w:cs="Arial"/>
          <w:rtl/>
        </w:rPr>
        <w:t xml:space="preserve"> אבל האידנא שאנו מגבין כתובות לכל יורשי האלמנות שקדשו ולא חיישי לצררי</w:t>
      </w:r>
      <w:r w:rsidR="00704B08">
        <w:rPr>
          <w:rFonts w:cs="Arial" w:hint="cs"/>
          <w:rtl/>
        </w:rPr>
        <w:t>,</w:t>
      </w:r>
      <w:r w:rsidRPr="00E12E16">
        <w:rPr>
          <w:rFonts w:cs="Arial"/>
          <w:rtl/>
        </w:rPr>
        <w:t xml:space="preserve"> ואנו סומכין על תירוץ ה"ר שמעון מיינביל שתירץ דהיכא דמת פתאום ולא צוה לביתו לא חיישינן לצררי, וכן היה דן רבנא מאיר ז"ל והיה נותן סעד לדבריו לסמוך על אותו תירוץ יותר משני תירוצים אחרים שתירץ ר"י</w:t>
      </w:r>
      <w:r>
        <w:rPr>
          <w:rFonts w:cs="Arial" w:hint="cs"/>
          <w:rtl/>
        </w:rPr>
        <w:t>,</w:t>
      </w:r>
      <w:r w:rsidRPr="00E12E16">
        <w:rPr>
          <w:rFonts w:cs="Arial"/>
          <w:rtl/>
        </w:rPr>
        <w:t xml:space="preserve"> כי האידנא כתובות נשותינו מרובות ולא שכיח האידנא התפסת צררי</w:t>
      </w:r>
      <w:r>
        <w:rPr>
          <w:rFonts w:cs="Arial" w:hint="cs"/>
          <w:rtl/>
        </w:rPr>
        <w:t>,</w:t>
      </w:r>
      <w:r w:rsidRPr="00E12E16">
        <w:rPr>
          <w:rFonts w:cs="Arial"/>
          <w:rtl/>
        </w:rPr>
        <w:t xml:space="preserve"> וכיון דלא חיישינן לצררי לא גריעא גביית אלמנה מגביית שאר חובות דמגבינן מיתמי היכא דליכא למיחש לצררי. </w:t>
      </w:r>
    </w:p>
    <w:p w14:paraId="5A77A21E" w14:textId="24724E70" w:rsidR="00197EDD" w:rsidRPr="006A50C2" w:rsidRDefault="00197EDD" w:rsidP="00197EDD">
      <w:pPr>
        <w:ind w:left="360"/>
        <w:rPr>
          <w:rFonts w:cs="Arial"/>
          <w:u w:val="dotted"/>
        </w:rPr>
      </w:pPr>
      <w:r w:rsidRPr="006A50C2">
        <w:rPr>
          <w:rFonts w:cs="Arial" w:hint="cs"/>
          <w:u w:val="dotted"/>
          <w:rtl/>
        </w:rPr>
        <w:t xml:space="preserve">ומה הדין אם </w:t>
      </w:r>
      <w:r w:rsidR="006A50C2" w:rsidRPr="006A50C2">
        <w:rPr>
          <w:rFonts w:cs="Arial" w:hint="cs"/>
          <w:u w:val="dotted"/>
          <w:rtl/>
        </w:rPr>
        <w:t>אינה ראויה לינשא:</w:t>
      </w:r>
    </w:p>
    <w:p w14:paraId="08BA249B" w14:textId="77777777" w:rsidR="006A50C2" w:rsidRPr="006A50C2" w:rsidRDefault="00A913B2" w:rsidP="009000E3">
      <w:pPr>
        <w:pStyle w:val="ab"/>
        <w:numPr>
          <w:ilvl w:val="0"/>
          <w:numId w:val="84"/>
        </w:numPr>
      </w:pPr>
      <w:r w:rsidRPr="00370D91">
        <w:rPr>
          <w:rFonts w:cs="Arial"/>
          <w:rtl/>
        </w:rPr>
        <w:t xml:space="preserve">רשב"א </w:t>
      </w:r>
      <w:r w:rsidRPr="006A50C2">
        <w:rPr>
          <w:rFonts w:cs="Arial"/>
          <w:sz w:val="16"/>
          <w:szCs w:val="16"/>
          <w:rtl/>
        </w:rPr>
        <w:t>(ח"ה סי' צ)</w:t>
      </w:r>
      <w:r w:rsidR="006A50C2">
        <w:rPr>
          <w:rFonts w:cs="Arial" w:hint="cs"/>
          <w:rtl/>
        </w:rPr>
        <w:t xml:space="preserve">- </w:t>
      </w:r>
      <w:r w:rsidRPr="00370D91">
        <w:rPr>
          <w:rFonts w:cs="Arial"/>
          <w:rtl/>
        </w:rPr>
        <w:t xml:space="preserve">אפילו היא זקנה שאינה ראויה להנשא נזקקין לה. </w:t>
      </w:r>
    </w:p>
    <w:p w14:paraId="354C9A02" w14:textId="0570EDE8" w:rsidR="00370D91" w:rsidRPr="00D06DAF" w:rsidRDefault="00195209" w:rsidP="00C2682D">
      <w:pPr>
        <w:rPr>
          <w:u w:val="single"/>
        </w:rPr>
      </w:pPr>
      <w:r>
        <w:rPr>
          <w:rFonts w:hint="cs"/>
          <w:u w:val="single"/>
          <w:rtl/>
        </w:rPr>
        <w:t xml:space="preserve">מעשים </w:t>
      </w:r>
      <w:r w:rsidR="002B7B47">
        <w:rPr>
          <w:rFonts w:hint="cs"/>
          <w:u w:val="single"/>
          <w:rtl/>
        </w:rPr>
        <w:t>לגבי נכסי אלמנה והיורשים:</w:t>
      </w:r>
    </w:p>
    <w:p w14:paraId="723A38C1" w14:textId="7DD9E5FF" w:rsidR="00370D91" w:rsidRPr="00370D91" w:rsidRDefault="00A913B2" w:rsidP="009000E3">
      <w:pPr>
        <w:pStyle w:val="ab"/>
        <w:numPr>
          <w:ilvl w:val="0"/>
          <w:numId w:val="84"/>
        </w:numPr>
      </w:pPr>
      <w:r w:rsidRPr="00370D91">
        <w:rPr>
          <w:rFonts w:cs="Arial"/>
          <w:rtl/>
        </w:rPr>
        <w:t xml:space="preserve">ריב"ש </w:t>
      </w:r>
      <w:r w:rsidR="004D0D0D">
        <w:rPr>
          <w:rFonts w:cs="Arial" w:hint="cs"/>
          <w:sz w:val="16"/>
          <w:szCs w:val="16"/>
          <w:rtl/>
        </w:rPr>
        <w:t>(סי' קסט)</w:t>
      </w:r>
      <w:r w:rsidR="004D0D0D">
        <w:rPr>
          <w:rFonts w:cs="Arial" w:hint="cs"/>
          <w:rtl/>
        </w:rPr>
        <w:t>-</w:t>
      </w:r>
      <w:r w:rsidRPr="00370D91">
        <w:rPr>
          <w:rFonts w:cs="Arial"/>
          <w:rtl/>
        </w:rPr>
        <w:t xml:space="preserve"> לפי מה שבא בשאלה שלאה לא עשתה גוביינא מכתובתה אלא שהיתה נזונת מהנכסים והבן והבת היו מיטפלים בנכסים</w:t>
      </w:r>
      <w:r w:rsidR="004D0D0D">
        <w:rPr>
          <w:rFonts w:cs="Arial" w:hint="cs"/>
          <w:rtl/>
        </w:rPr>
        <w:t>,</w:t>
      </w:r>
      <w:r w:rsidRPr="00370D91">
        <w:rPr>
          <w:rFonts w:cs="Arial"/>
          <w:rtl/>
        </w:rPr>
        <w:t xml:space="preserve"> אין טענת בן בתה הבא להחזיק בנכסים מכח מתנת לאה זקנתו כלום במה שטען שהנכסים הם של לאה שהיו לה מטורח מעשה ידיה</w:t>
      </w:r>
      <w:r w:rsidR="004D0D0D">
        <w:rPr>
          <w:rFonts w:cs="Arial" w:hint="cs"/>
          <w:rtl/>
        </w:rPr>
        <w:t>,</w:t>
      </w:r>
      <w:r w:rsidRPr="00370D91">
        <w:rPr>
          <w:rFonts w:cs="Arial"/>
          <w:rtl/>
        </w:rPr>
        <w:t xml:space="preserve"> שהרי כיון שהיתה נזונת מהנכסים מעשה ידיה ליתומים וגם מותר מזונותיה</w:t>
      </w:r>
      <w:r w:rsidR="001C0E47">
        <w:rPr>
          <w:rFonts w:cs="Arial" w:hint="cs"/>
          <w:rtl/>
        </w:rPr>
        <w:t>.</w:t>
      </w:r>
      <w:r w:rsidRPr="00370D91">
        <w:rPr>
          <w:rFonts w:cs="Arial"/>
          <w:rtl/>
        </w:rPr>
        <w:t xml:space="preserve"> אבל היה יכול לטעון שמציאה מצאה</w:t>
      </w:r>
      <w:r w:rsidR="00704B08">
        <w:rPr>
          <w:rFonts w:cs="Arial" w:hint="cs"/>
          <w:rtl/>
        </w:rPr>
        <w:t>,</w:t>
      </w:r>
      <w:r w:rsidRPr="00370D91">
        <w:rPr>
          <w:rFonts w:cs="Arial"/>
          <w:rtl/>
        </w:rPr>
        <w:t xml:space="preserve"> שהרי מציאתה לעצמה כמו שמבואר בר"פ אלמנה נזונת (צו.)</w:t>
      </w:r>
      <w:r w:rsidR="003F35D2">
        <w:rPr>
          <w:rFonts w:cs="Arial" w:hint="cs"/>
          <w:rtl/>
        </w:rPr>
        <w:t>.</w:t>
      </w:r>
      <w:r w:rsidRPr="00370D91">
        <w:rPr>
          <w:rFonts w:cs="Arial"/>
          <w:rtl/>
        </w:rPr>
        <w:t xml:space="preserve"> אמנם זהו במה שבידה</w:t>
      </w:r>
      <w:r w:rsidR="004D0D0D">
        <w:rPr>
          <w:rFonts w:cs="Arial" w:hint="cs"/>
          <w:rtl/>
        </w:rPr>
        <w:t>,</w:t>
      </w:r>
      <w:r w:rsidRPr="00370D91">
        <w:rPr>
          <w:rFonts w:cs="Arial"/>
          <w:rtl/>
        </w:rPr>
        <w:t xml:space="preserve"> כגון הא דאמרינן בפרק חזקת באשה הנושאת ונותנת בתוך הבית והיו אונות ושטרות יוצאות על שמה דאמר שמואל מודה לי אבא שאם מתה על האחים להביא ראיה</w:t>
      </w:r>
      <w:r w:rsidR="004D0D0D">
        <w:rPr>
          <w:rFonts w:cs="Arial" w:hint="cs"/>
          <w:rtl/>
        </w:rPr>
        <w:t>,</w:t>
      </w:r>
      <w:r w:rsidRPr="00370D91">
        <w:rPr>
          <w:rFonts w:cs="Arial"/>
          <w:rtl/>
        </w:rPr>
        <w:t xml:space="preserve"> אמנם זהו באונות ושטרות היוצאות על שמה</w:t>
      </w:r>
      <w:r w:rsidR="004D0D0D">
        <w:rPr>
          <w:rFonts w:cs="Arial" w:hint="cs"/>
          <w:rtl/>
        </w:rPr>
        <w:t>,</w:t>
      </w:r>
      <w:r w:rsidRPr="00370D91">
        <w:rPr>
          <w:rFonts w:cs="Arial"/>
          <w:rtl/>
        </w:rPr>
        <w:t xml:space="preserve"> אבל בכאן שהנכסים נשארו ברשות הבן והבת שהיו גדולים הנה כל הנכסים בחזקת יורשיו ואין לאלמנה זכות בהם אלא במה שקנתה והשטרות היוצאות על שמה</w:t>
      </w:r>
      <w:r w:rsidR="004D0D0D">
        <w:rPr>
          <w:rFonts w:cs="Arial" w:hint="cs"/>
          <w:rtl/>
        </w:rPr>
        <w:t>,</w:t>
      </w:r>
      <w:r w:rsidRPr="00370D91">
        <w:rPr>
          <w:rFonts w:cs="Arial"/>
          <w:rtl/>
        </w:rPr>
        <w:t xml:space="preserve"> שאם היא נושאת ונותנת בנכסים עליה להביא ראיה בחייה שהם שלה</w:t>
      </w:r>
      <w:r w:rsidR="003F35D2">
        <w:rPr>
          <w:rFonts w:cs="Arial" w:hint="cs"/>
          <w:rtl/>
        </w:rPr>
        <w:t>,</w:t>
      </w:r>
      <w:r w:rsidRPr="00370D91">
        <w:rPr>
          <w:rFonts w:cs="Arial"/>
          <w:rtl/>
        </w:rPr>
        <w:t xml:space="preserve"> אם שקנתה מממון שירשה</w:t>
      </w:r>
      <w:r w:rsidR="003F35D2">
        <w:rPr>
          <w:rFonts w:cs="Arial" w:hint="cs"/>
          <w:rtl/>
        </w:rPr>
        <w:t>,</w:t>
      </w:r>
      <w:r w:rsidRPr="00370D91">
        <w:rPr>
          <w:rFonts w:cs="Arial"/>
          <w:rtl/>
        </w:rPr>
        <w:t xml:space="preserve"> או ממציאתה</w:t>
      </w:r>
      <w:r w:rsidR="003F35D2">
        <w:rPr>
          <w:rFonts w:cs="Arial" w:hint="cs"/>
          <w:rtl/>
        </w:rPr>
        <w:t>.</w:t>
      </w:r>
      <w:r w:rsidRPr="00370D91">
        <w:rPr>
          <w:rFonts w:cs="Arial"/>
          <w:rtl/>
        </w:rPr>
        <w:t xml:space="preserve"> ואם מתה אין יורשיה צריכין להביא ראיה אע</w:t>
      </w:r>
      <w:r w:rsidR="004D0D0D">
        <w:rPr>
          <w:rFonts w:cs="Arial" w:hint="cs"/>
          <w:rtl/>
        </w:rPr>
        <w:t>"</w:t>
      </w:r>
      <w:r w:rsidRPr="00370D91">
        <w:rPr>
          <w:rFonts w:cs="Arial"/>
          <w:rtl/>
        </w:rPr>
        <w:t>פ שנושאת ונותנת בנכסים כמו שכתבתי למעלה</w:t>
      </w:r>
      <w:r w:rsidR="004D0D0D">
        <w:rPr>
          <w:rFonts w:cs="Arial" w:hint="cs"/>
          <w:rtl/>
        </w:rPr>
        <w:t>.</w:t>
      </w:r>
      <w:r w:rsidRPr="00370D91">
        <w:rPr>
          <w:rFonts w:cs="Arial"/>
          <w:rtl/>
        </w:rPr>
        <w:t xml:space="preserve"> והטענה שטען בן הבת שכבר נשבעה לפני בית דין ואבדה שטר השבועה באונס הגזירה ולריחוק המקום אי אפשר לו להביא עדים </w:t>
      </w:r>
      <w:r w:rsidR="004D0D0D">
        <w:rPr>
          <w:rFonts w:cs="Arial" w:hint="cs"/>
          <w:rtl/>
        </w:rPr>
        <w:t xml:space="preserve">- </w:t>
      </w:r>
      <w:r w:rsidRPr="00370D91">
        <w:rPr>
          <w:rFonts w:cs="Arial"/>
          <w:rtl/>
        </w:rPr>
        <w:t>אינה טענה</w:t>
      </w:r>
      <w:r w:rsidR="004D0D0D">
        <w:rPr>
          <w:rFonts w:cs="Arial" w:hint="cs"/>
          <w:rtl/>
        </w:rPr>
        <w:t>,</w:t>
      </w:r>
      <w:r w:rsidRPr="00370D91">
        <w:rPr>
          <w:rFonts w:cs="Arial"/>
          <w:rtl/>
        </w:rPr>
        <w:t xml:space="preserve"> שעליו להביא ראיה</w:t>
      </w:r>
      <w:r w:rsidR="004D0D0D">
        <w:rPr>
          <w:rFonts w:cs="Arial" w:hint="cs"/>
          <w:rtl/>
        </w:rPr>
        <w:t>,</w:t>
      </w:r>
      <w:r w:rsidRPr="00370D91">
        <w:rPr>
          <w:rFonts w:cs="Arial"/>
          <w:rtl/>
        </w:rPr>
        <w:t xml:space="preserve"> ואם לא הביא הפסיד ונסתחפה שדהו. </w:t>
      </w:r>
      <w:r w:rsidR="00323526" w:rsidRPr="002F4458">
        <w:rPr>
          <w:rFonts w:hint="cs"/>
          <w:color w:val="00B0F0"/>
          <w:rtl/>
        </w:rPr>
        <w:t>(וכ"פ הרמ"א)</w:t>
      </w:r>
    </w:p>
    <w:p w14:paraId="7F30CE95" w14:textId="74FFCA5F" w:rsidR="002B7B47" w:rsidRPr="002B7B47" w:rsidRDefault="00A913B2" w:rsidP="009000E3">
      <w:pPr>
        <w:pStyle w:val="ab"/>
        <w:numPr>
          <w:ilvl w:val="0"/>
          <w:numId w:val="84"/>
        </w:numPr>
      </w:pPr>
      <w:r w:rsidRPr="00370D91">
        <w:rPr>
          <w:rFonts w:cs="Arial"/>
          <w:rtl/>
        </w:rPr>
        <w:t>רשב"א</w:t>
      </w:r>
      <w:r w:rsidRPr="00AC5FD0">
        <w:rPr>
          <w:rFonts w:cs="Arial"/>
          <w:sz w:val="16"/>
          <w:szCs w:val="16"/>
          <w:rtl/>
        </w:rPr>
        <w:t xml:space="preserve"> (ח"א סי</w:t>
      </w:r>
      <w:r w:rsidR="00AC5FD0" w:rsidRPr="00AC5FD0">
        <w:rPr>
          <w:rFonts w:cs="Arial" w:hint="cs"/>
          <w:sz w:val="16"/>
          <w:szCs w:val="16"/>
          <w:rtl/>
        </w:rPr>
        <w:t>'</w:t>
      </w:r>
      <w:r w:rsidRPr="00AC5FD0">
        <w:rPr>
          <w:rFonts w:cs="Arial"/>
          <w:sz w:val="16"/>
          <w:szCs w:val="16"/>
          <w:rtl/>
        </w:rPr>
        <w:t xml:space="preserve"> תתפו</w:t>
      </w:r>
      <w:r w:rsidR="00AC5FD0" w:rsidRPr="00AC5FD0">
        <w:rPr>
          <w:rFonts w:cs="Arial" w:hint="cs"/>
          <w:sz w:val="16"/>
          <w:szCs w:val="16"/>
          <w:rtl/>
        </w:rPr>
        <w:t>)</w:t>
      </w:r>
      <w:r w:rsidR="00AC5FD0">
        <w:rPr>
          <w:rFonts w:cs="Arial" w:hint="cs"/>
          <w:rtl/>
        </w:rPr>
        <w:t>-</w:t>
      </w:r>
      <w:r w:rsidRPr="00370D91">
        <w:rPr>
          <w:rFonts w:cs="Arial"/>
          <w:rtl/>
        </w:rPr>
        <w:t xml:space="preserve"> אלמנה שפרע לה היורש קצת כתובתה וכתב השאר עליו שטר חוב לזמן</w:t>
      </w:r>
      <w:r w:rsidR="004B2054">
        <w:rPr>
          <w:rFonts w:cs="Arial" w:hint="cs"/>
          <w:rtl/>
        </w:rPr>
        <w:t>,</w:t>
      </w:r>
      <w:r w:rsidRPr="00370D91">
        <w:rPr>
          <w:rFonts w:cs="Arial"/>
          <w:rtl/>
        </w:rPr>
        <w:t xml:space="preserve"> והחזירה לו כתובתה ולא נשבעה שבועת אלמנה</w:t>
      </w:r>
      <w:r w:rsidR="004B2054">
        <w:rPr>
          <w:rFonts w:cs="Arial" w:hint="cs"/>
          <w:rtl/>
        </w:rPr>
        <w:t>,</w:t>
      </w:r>
      <w:r w:rsidRPr="00370D91">
        <w:rPr>
          <w:rFonts w:cs="Arial"/>
          <w:rtl/>
        </w:rPr>
        <w:t xml:space="preserve"> ומתה</w:t>
      </w:r>
      <w:r w:rsidR="004B2054">
        <w:rPr>
          <w:rFonts w:cs="Arial" w:hint="cs"/>
          <w:rtl/>
        </w:rPr>
        <w:t>.</w:t>
      </w:r>
      <w:r w:rsidRPr="00370D91">
        <w:rPr>
          <w:rFonts w:cs="Arial"/>
          <w:rtl/>
        </w:rPr>
        <w:t xml:space="preserve"> והיורש טוען שהוא יורשה מצד שלא נשבעה</w:t>
      </w:r>
      <w:r w:rsidR="004B2054">
        <w:rPr>
          <w:rFonts w:cs="Arial" w:hint="cs"/>
          <w:rtl/>
        </w:rPr>
        <w:t>.</w:t>
      </w:r>
      <w:r w:rsidRPr="00370D91">
        <w:rPr>
          <w:rFonts w:cs="Arial"/>
          <w:rtl/>
        </w:rPr>
        <w:t xml:space="preserve"> יראה שהדין פשוט שאין בטענתו ממש לפי שפרע מקצת וזקף מקצת</w:t>
      </w:r>
      <w:r w:rsidR="004B2054">
        <w:rPr>
          <w:rFonts w:cs="Arial" w:hint="cs"/>
          <w:rtl/>
        </w:rPr>
        <w:t>,</w:t>
      </w:r>
      <w:r w:rsidRPr="00370D91">
        <w:rPr>
          <w:rFonts w:cs="Arial"/>
          <w:rtl/>
        </w:rPr>
        <w:t xml:space="preserve"> ויכולים יורשיה לטעון כיון שנתפשרת עמה וזקפתה במלוה סתמא דמילתא כבר נשבעה או שמחל לה השבועה</w:t>
      </w:r>
      <w:r w:rsidR="004B2054">
        <w:rPr>
          <w:rFonts w:cs="Arial" w:hint="cs"/>
          <w:rtl/>
        </w:rPr>
        <w:t>,</w:t>
      </w:r>
      <w:r w:rsidRPr="00370D91">
        <w:rPr>
          <w:rFonts w:cs="Arial"/>
          <w:rtl/>
        </w:rPr>
        <w:t xml:space="preserve"> שכל זקיפה כפרעון דמי.</w:t>
      </w:r>
      <w:r w:rsidRPr="002F4458">
        <w:rPr>
          <w:rFonts w:cs="Arial"/>
          <w:color w:val="00B0F0"/>
          <w:rtl/>
        </w:rPr>
        <w:t xml:space="preserve"> </w:t>
      </w:r>
      <w:r w:rsidR="002F4458" w:rsidRPr="002F4458">
        <w:rPr>
          <w:rFonts w:hint="cs"/>
          <w:color w:val="00B0F0"/>
          <w:rtl/>
        </w:rPr>
        <w:t>(וכ"פ הרמ"א)</w:t>
      </w:r>
    </w:p>
    <w:p w14:paraId="46291C91" w14:textId="51CAA213" w:rsidR="00D34007" w:rsidRPr="00D34007" w:rsidRDefault="002B7B47" w:rsidP="009000E3">
      <w:pPr>
        <w:pStyle w:val="ab"/>
        <w:numPr>
          <w:ilvl w:val="0"/>
          <w:numId w:val="84"/>
        </w:numPr>
      </w:pPr>
      <w:r w:rsidRPr="00370D91">
        <w:rPr>
          <w:rFonts w:cs="Arial"/>
          <w:rtl/>
        </w:rPr>
        <w:t>רשב"א</w:t>
      </w:r>
      <w:r w:rsidRPr="00AC5FD0">
        <w:rPr>
          <w:rFonts w:cs="Arial"/>
          <w:sz w:val="16"/>
          <w:szCs w:val="16"/>
          <w:rtl/>
        </w:rPr>
        <w:t xml:space="preserve"> (ח"א סי</w:t>
      </w:r>
      <w:r w:rsidRPr="00AC5FD0">
        <w:rPr>
          <w:rFonts w:cs="Arial" w:hint="cs"/>
          <w:sz w:val="16"/>
          <w:szCs w:val="16"/>
          <w:rtl/>
        </w:rPr>
        <w:t>'</w:t>
      </w:r>
      <w:r w:rsidRPr="00AC5FD0">
        <w:rPr>
          <w:rFonts w:cs="Arial"/>
          <w:sz w:val="16"/>
          <w:szCs w:val="16"/>
          <w:rtl/>
        </w:rPr>
        <w:t xml:space="preserve"> תתפו</w:t>
      </w:r>
      <w:r w:rsidRPr="00AC5FD0">
        <w:rPr>
          <w:rFonts w:cs="Arial" w:hint="cs"/>
          <w:sz w:val="16"/>
          <w:szCs w:val="16"/>
          <w:rtl/>
        </w:rPr>
        <w:t>)</w:t>
      </w:r>
      <w:r>
        <w:rPr>
          <w:rFonts w:cs="Arial" w:hint="cs"/>
          <w:rtl/>
        </w:rPr>
        <w:t xml:space="preserve">- </w:t>
      </w:r>
      <w:r w:rsidR="00A913B2" w:rsidRPr="00370D91">
        <w:rPr>
          <w:rFonts w:cs="Arial"/>
          <w:rtl/>
        </w:rPr>
        <w:t>אלמנה שהיה לה בן ונשאת לבעל</w:t>
      </w:r>
      <w:r>
        <w:rPr>
          <w:rFonts w:cs="Arial" w:hint="cs"/>
          <w:rtl/>
        </w:rPr>
        <w:t>,</w:t>
      </w:r>
      <w:r w:rsidR="00A913B2" w:rsidRPr="00370D91">
        <w:rPr>
          <w:rFonts w:cs="Arial"/>
          <w:rtl/>
        </w:rPr>
        <w:t xml:space="preserve"> והכניסה לו קרקע ומתה</w:t>
      </w:r>
      <w:r>
        <w:rPr>
          <w:rFonts w:cs="Arial" w:hint="cs"/>
          <w:rtl/>
        </w:rPr>
        <w:t>.</w:t>
      </w:r>
      <w:r w:rsidR="00A913B2" w:rsidRPr="00370D91">
        <w:rPr>
          <w:rFonts w:cs="Arial"/>
          <w:rtl/>
        </w:rPr>
        <w:t xml:space="preserve"> והבן תובע הקרקע בטענה שלא נשבעה אמו</w:t>
      </w:r>
      <w:r>
        <w:rPr>
          <w:rFonts w:cs="Arial" w:hint="cs"/>
          <w:rtl/>
        </w:rPr>
        <w:t>.</w:t>
      </w:r>
      <w:r w:rsidR="00A913B2" w:rsidRPr="00370D91">
        <w:rPr>
          <w:rFonts w:cs="Arial"/>
          <w:rtl/>
        </w:rPr>
        <w:t xml:space="preserve"> ויורשי הבעל השני טוענים שנשבעה</w:t>
      </w:r>
      <w:r>
        <w:rPr>
          <w:rFonts w:cs="Arial" w:hint="cs"/>
          <w:rtl/>
        </w:rPr>
        <w:t>.</w:t>
      </w:r>
      <w:r w:rsidR="00323526">
        <w:rPr>
          <w:rFonts w:cs="Arial" w:hint="cs"/>
          <w:rtl/>
        </w:rPr>
        <w:t xml:space="preserve">   </w:t>
      </w:r>
      <w:r w:rsidR="00A913B2" w:rsidRPr="00370D91">
        <w:rPr>
          <w:rFonts w:cs="Arial"/>
          <w:rtl/>
        </w:rPr>
        <w:t xml:space="preserve"> </w:t>
      </w:r>
      <w:r w:rsidR="004E3486">
        <w:rPr>
          <w:rFonts w:cs="Arial" w:hint="cs"/>
          <w:rtl/>
        </w:rPr>
        <w:t xml:space="preserve">תשובה: </w:t>
      </w:r>
      <w:r w:rsidR="00A913B2" w:rsidRPr="00370D91">
        <w:rPr>
          <w:rFonts w:cs="Arial"/>
          <w:rtl/>
        </w:rPr>
        <w:t>אם היה הבן קטן בשעת פטירת אביו הדין עמו לפי שהיא לא נשבעה לא בתחלה ולא בסוף</w:t>
      </w:r>
      <w:r w:rsidR="004E3486">
        <w:rPr>
          <w:rFonts w:cs="Arial" w:hint="cs"/>
          <w:rtl/>
        </w:rPr>
        <w:t>,</w:t>
      </w:r>
      <w:r w:rsidR="00A913B2" w:rsidRPr="00370D91">
        <w:rPr>
          <w:rFonts w:cs="Arial"/>
          <w:rtl/>
        </w:rPr>
        <w:t xml:space="preserve"> ואע</w:t>
      </w:r>
      <w:r w:rsidR="004E3486">
        <w:rPr>
          <w:rFonts w:cs="Arial" w:hint="cs"/>
          <w:rtl/>
        </w:rPr>
        <w:t>"</w:t>
      </w:r>
      <w:r w:rsidR="00A913B2" w:rsidRPr="00370D91">
        <w:rPr>
          <w:rFonts w:cs="Arial"/>
          <w:rtl/>
        </w:rPr>
        <w:t>פ שיורשי הבעל השני טוענין שנשבעה אין שומעין להם שאין לה זכות בנכסים אא</w:t>
      </w:r>
      <w:r w:rsidR="004E3486">
        <w:rPr>
          <w:rFonts w:cs="Arial" w:hint="cs"/>
          <w:rtl/>
        </w:rPr>
        <w:t>"</w:t>
      </w:r>
      <w:r w:rsidR="00A913B2" w:rsidRPr="00370D91">
        <w:rPr>
          <w:rFonts w:cs="Arial"/>
          <w:rtl/>
        </w:rPr>
        <w:t>כ נשבעה</w:t>
      </w:r>
      <w:r w:rsidR="004E3486">
        <w:rPr>
          <w:rFonts w:cs="Arial" w:hint="cs"/>
          <w:rtl/>
        </w:rPr>
        <w:t xml:space="preserve">, </w:t>
      </w:r>
      <w:r w:rsidR="00A913B2" w:rsidRPr="00370D91">
        <w:rPr>
          <w:rFonts w:cs="Arial"/>
          <w:rtl/>
        </w:rPr>
        <w:t>ואם מתה קודם שתשבע פקע זכותה</w:t>
      </w:r>
      <w:r w:rsidR="004E3486">
        <w:rPr>
          <w:rFonts w:cs="Arial" w:hint="cs"/>
          <w:rtl/>
        </w:rPr>
        <w:t>.</w:t>
      </w:r>
      <w:r w:rsidR="00A913B2" w:rsidRPr="00370D91">
        <w:rPr>
          <w:rFonts w:cs="Arial"/>
          <w:rtl/>
        </w:rPr>
        <w:t xml:space="preserve"> ועוד שאלמנה זו היתה צריכה לשום אותו קרקע בבית דין של הדיוטות מיהא</w:t>
      </w:r>
      <w:r w:rsidR="004E3486">
        <w:rPr>
          <w:rFonts w:cs="Arial" w:hint="cs"/>
          <w:rtl/>
        </w:rPr>
        <w:t>,</w:t>
      </w:r>
      <w:r w:rsidR="00A913B2" w:rsidRPr="00370D91">
        <w:rPr>
          <w:rFonts w:cs="Arial"/>
          <w:rtl/>
        </w:rPr>
        <w:t xml:space="preserve"> ואם לאו לא עשתה כלום</w:t>
      </w:r>
      <w:r w:rsidR="004E3486">
        <w:rPr>
          <w:rFonts w:cs="Arial" w:hint="cs"/>
          <w:rtl/>
        </w:rPr>
        <w:t>.</w:t>
      </w:r>
    </w:p>
    <w:p w14:paraId="0CA2632B" w14:textId="77777777" w:rsidR="007C63A1" w:rsidRPr="008D597D" w:rsidRDefault="007C63A1" w:rsidP="009000E3">
      <w:pPr>
        <w:pStyle w:val="ab"/>
        <w:numPr>
          <w:ilvl w:val="0"/>
          <w:numId w:val="84"/>
        </w:numPr>
      </w:pPr>
      <w:r w:rsidRPr="00B9007D">
        <w:rPr>
          <w:rFonts w:cs="Arial"/>
          <w:rtl/>
        </w:rPr>
        <w:t xml:space="preserve">מהרי"ק </w:t>
      </w:r>
      <w:r w:rsidRPr="003357FD">
        <w:rPr>
          <w:rFonts w:cs="Arial" w:hint="cs"/>
          <w:sz w:val="16"/>
          <w:szCs w:val="16"/>
          <w:rtl/>
        </w:rPr>
        <w:t>(</w:t>
      </w:r>
      <w:r w:rsidRPr="003357FD">
        <w:rPr>
          <w:rFonts w:cs="Arial"/>
          <w:sz w:val="16"/>
          <w:szCs w:val="16"/>
          <w:rtl/>
        </w:rPr>
        <w:t>שורש צא</w:t>
      </w:r>
      <w:r>
        <w:rPr>
          <w:rFonts w:cs="Arial" w:hint="cs"/>
          <w:sz w:val="16"/>
          <w:szCs w:val="16"/>
          <w:rtl/>
        </w:rPr>
        <w:t>, כ"כ הדרכ"מ [אות ה] בשמו</w:t>
      </w:r>
      <w:r w:rsidRPr="003357FD">
        <w:rPr>
          <w:rFonts w:cs="Arial" w:hint="cs"/>
          <w:sz w:val="16"/>
          <w:szCs w:val="16"/>
          <w:rtl/>
        </w:rPr>
        <w:t>)</w:t>
      </w:r>
      <w:r>
        <w:rPr>
          <w:rFonts w:cs="Arial" w:hint="cs"/>
          <w:rtl/>
        </w:rPr>
        <w:t>-</w:t>
      </w:r>
      <w:r w:rsidRPr="00B9007D">
        <w:rPr>
          <w:rFonts w:cs="Arial"/>
          <w:rtl/>
        </w:rPr>
        <w:t xml:space="preserve"> יעקב שנתן עליו שטר לאשת ראובן בנו וערב לה בנדונייתה ומתה לאחר מיתת בעלה </w:t>
      </w:r>
      <w:r>
        <w:rPr>
          <w:rFonts w:cs="Arial" w:hint="cs"/>
          <w:rtl/>
        </w:rPr>
        <w:t xml:space="preserve">- </w:t>
      </w:r>
      <w:r w:rsidRPr="00B9007D">
        <w:rPr>
          <w:rFonts w:cs="Arial"/>
          <w:rtl/>
        </w:rPr>
        <w:t>יורשיה יורשין נדונייתה מיעקב</w:t>
      </w:r>
      <w:r>
        <w:rPr>
          <w:rFonts w:cs="Arial" w:hint="cs"/>
          <w:rtl/>
        </w:rPr>
        <w:t>,</w:t>
      </w:r>
      <w:r w:rsidRPr="00B9007D">
        <w:rPr>
          <w:rFonts w:cs="Arial"/>
          <w:rtl/>
        </w:rPr>
        <w:t xml:space="preserve"> ולא שייך בזה לומר אין אדם מוריש שבועה לבניו</w:t>
      </w:r>
      <w:r>
        <w:rPr>
          <w:rFonts w:cs="Arial" w:hint="cs"/>
          <w:rtl/>
        </w:rPr>
        <w:t>,</w:t>
      </w:r>
      <w:r w:rsidRPr="00B9007D">
        <w:rPr>
          <w:rFonts w:cs="Arial"/>
          <w:rtl/>
        </w:rPr>
        <w:t xml:space="preserve"> דמיעקב היתה יכולה לגבות בלא שבועה</w:t>
      </w:r>
      <w:r>
        <w:rPr>
          <w:rFonts w:cs="Arial" w:hint="cs"/>
          <w:rtl/>
        </w:rPr>
        <w:t>.</w:t>
      </w:r>
      <w:r w:rsidRPr="00B9007D">
        <w:rPr>
          <w:rFonts w:cs="Arial"/>
          <w:rtl/>
        </w:rPr>
        <w:t xml:space="preserve"> ודוקא שאין כאן יורש קרוב יותר מיעקב</w:t>
      </w:r>
      <w:r>
        <w:rPr>
          <w:rFonts w:cs="Arial" w:hint="cs"/>
          <w:rtl/>
        </w:rPr>
        <w:t>,</w:t>
      </w:r>
      <w:r w:rsidRPr="00B9007D">
        <w:rPr>
          <w:rFonts w:cs="Arial"/>
          <w:rtl/>
        </w:rPr>
        <w:t xml:space="preserve"> אבל אם היו לראובן בנים אין יורשיה גובין כלום דהואיל ואיכא יורשין אף מיעקב אינה גובה אלא בשבועה</w:t>
      </w:r>
      <w:r>
        <w:rPr>
          <w:rFonts w:cs="Arial" w:hint="cs"/>
          <w:rtl/>
        </w:rPr>
        <w:t>.</w:t>
      </w:r>
      <w:r w:rsidRPr="00B9007D">
        <w:rPr>
          <w:rFonts w:cs="Arial"/>
          <w:rtl/>
        </w:rPr>
        <w:t xml:space="preserve"> </w:t>
      </w:r>
    </w:p>
    <w:p w14:paraId="0351DAA3" w14:textId="5DA77949" w:rsidR="003145F5" w:rsidRPr="005F6F55" w:rsidRDefault="003145F5" w:rsidP="003145F5">
      <w:r w:rsidRPr="003145F5">
        <w:rPr>
          <w:rFonts w:cs="Arial" w:hint="cs"/>
          <w:b/>
          <w:bCs/>
          <w:rtl/>
        </w:rPr>
        <w:t xml:space="preserve">ערכין </w:t>
      </w:r>
      <w:r w:rsidRPr="003145F5">
        <w:rPr>
          <w:rFonts w:cs="Arial" w:hint="cs"/>
          <w:b/>
          <w:bCs/>
          <w:sz w:val="16"/>
          <w:szCs w:val="16"/>
          <w:rtl/>
        </w:rPr>
        <w:t>(פ' שום היתומים)</w:t>
      </w:r>
      <w:r w:rsidRPr="003145F5">
        <w:rPr>
          <w:rFonts w:cs="Arial" w:hint="cs"/>
          <w:b/>
          <w:bCs/>
          <w:rtl/>
        </w:rPr>
        <w:t xml:space="preserve"> כב ע"א: </w:t>
      </w:r>
      <w:r w:rsidRPr="003145F5">
        <w:rPr>
          <w:rFonts w:cs="Arial"/>
          <w:u w:val="single"/>
          <w:rtl/>
        </w:rPr>
        <w:t>אמר רב נחמן</w:t>
      </w:r>
      <w:r w:rsidRPr="003145F5">
        <w:rPr>
          <w:rFonts w:cs="Arial"/>
          <w:rtl/>
        </w:rPr>
        <w:t xml:space="preserve">: מרישא לא הוה מיזדקיקנא לנכסי יתמי, כיון דשמענא להא דרב הונא חברין משמיה דרב: יתמי דאכלי דלא דידהו ליזלו בתר שיבקייהו, מכאן ואילך מיזדקקנא. מעיקרא מאי טעמא לא? </w:t>
      </w:r>
      <w:r w:rsidRPr="003145F5">
        <w:rPr>
          <w:rFonts w:cs="Arial"/>
          <w:u w:val="single"/>
          <w:rtl/>
        </w:rPr>
        <w:t>אמר רב פפא</w:t>
      </w:r>
      <w:r w:rsidRPr="003145F5">
        <w:rPr>
          <w:rFonts w:cs="Arial"/>
          <w:rtl/>
        </w:rPr>
        <w:t xml:space="preserve">: פריעת בעל חוב מצוה, ויתמי לא בני מיעבד מצוה נינהו. </w:t>
      </w:r>
      <w:r w:rsidRPr="003145F5">
        <w:rPr>
          <w:rFonts w:cs="Arial"/>
          <w:u w:val="single"/>
          <w:rtl/>
        </w:rPr>
        <w:t>רב הונא בריה דרב יהושע אמר</w:t>
      </w:r>
      <w:r w:rsidRPr="003145F5">
        <w:rPr>
          <w:rFonts w:cs="Arial"/>
          <w:rtl/>
        </w:rPr>
        <w:t>: אימר צררי אתפסיה. מאי בינייהו? איכא בינייהו בשחייב מודה; אי נמי, שמתוה ומת בשמתיה.</w:t>
      </w:r>
      <w:r w:rsidRPr="003145F5">
        <w:rPr>
          <w:rtl/>
        </w:rPr>
        <w:t xml:space="preserve"> </w:t>
      </w:r>
      <w:r w:rsidRPr="003145F5">
        <w:rPr>
          <w:rFonts w:cs="Arial"/>
          <w:rtl/>
        </w:rPr>
        <w:t xml:space="preserve">שלחו מתם: דשמתוה ומית </w:t>
      </w:r>
      <w:r w:rsidRPr="003145F5">
        <w:rPr>
          <w:rFonts w:cs="Arial"/>
          <w:rtl/>
        </w:rPr>
        <w:lastRenderedPageBreak/>
        <w:t xml:space="preserve">בשמתיה. והלכתא כרב הונא בריה דרב יהושע. </w:t>
      </w:r>
      <w:r w:rsidR="00AC1643">
        <w:rPr>
          <w:rFonts w:cs="Arial" w:hint="cs"/>
          <w:sz w:val="16"/>
          <w:szCs w:val="16"/>
          <w:rtl/>
        </w:rPr>
        <w:t>(</w:t>
      </w:r>
      <w:r w:rsidR="00AC1643" w:rsidRPr="00AC1643">
        <w:rPr>
          <w:rFonts w:cs="Arial"/>
          <w:sz w:val="16"/>
          <w:szCs w:val="16"/>
          <w:rtl/>
        </w:rPr>
        <w:t>מדאסיקנא דהלכתא כרב הונא בריה דרב יהושע דאמר דטעמא דאין נזקקין לנכסי יתומים הוי משום דאימור צררי אתפסה</w:t>
      </w:r>
      <w:r w:rsidR="00AC1643" w:rsidRPr="00AC1643">
        <w:rPr>
          <w:rFonts w:cs="Arial" w:hint="cs"/>
          <w:sz w:val="16"/>
          <w:szCs w:val="16"/>
          <w:rtl/>
        </w:rPr>
        <w:t>,</w:t>
      </w:r>
      <w:r w:rsidR="00AC1643" w:rsidRPr="00AC1643">
        <w:rPr>
          <w:rFonts w:cs="Arial"/>
          <w:sz w:val="16"/>
          <w:szCs w:val="16"/>
          <w:rtl/>
        </w:rPr>
        <w:t xml:space="preserve"> </w:t>
      </w:r>
      <w:r w:rsidR="00AC1643" w:rsidRPr="00AC1643">
        <w:rPr>
          <w:rFonts w:cs="Arial" w:hint="cs"/>
          <w:sz w:val="16"/>
          <w:szCs w:val="16"/>
          <w:rtl/>
        </w:rPr>
        <w:t>ו</w:t>
      </w:r>
      <w:r w:rsidR="00AC1643" w:rsidRPr="00AC1643">
        <w:rPr>
          <w:rFonts w:cs="Arial"/>
          <w:sz w:val="16"/>
          <w:szCs w:val="16"/>
          <w:rtl/>
        </w:rPr>
        <w:t>בנתגרשה ליכא למימר הכי</w:t>
      </w:r>
      <w:r w:rsidR="00AC1643" w:rsidRPr="00AC1643">
        <w:rPr>
          <w:rFonts w:cs="Arial" w:hint="cs"/>
          <w:sz w:val="16"/>
          <w:szCs w:val="16"/>
          <w:rtl/>
        </w:rPr>
        <w:t>,</w:t>
      </w:r>
      <w:r w:rsidR="00AC1643" w:rsidRPr="00AC1643">
        <w:rPr>
          <w:rFonts w:cs="Arial"/>
          <w:sz w:val="16"/>
          <w:szCs w:val="16"/>
          <w:rtl/>
        </w:rPr>
        <w:t xml:space="preserve"> ואם כן בחייה היתה גובה בלא שבועה</w:t>
      </w:r>
      <w:r w:rsidR="00AC1643" w:rsidRPr="00AC1643">
        <w:rPr>
          <w:rFonts w:cs="Arial" w:hint="cs"/>
          <w:sz w:val="16"/>
          <w:szCs w:val="16"/>
          <w:rtl/>
        </w:rPr>
        <w:t>,</w:t>
      </w:r>
      <w:r w:rsidR="00AC1643" w:rsidRPr="00AC1643">
        <w:rPr>
          <w:rFonts w:cs="Arial"/>
          <w:sz w:val="16"/>
          <w:szCs w:val="16"/>
          <w:rtl/>
        </w:rPr>
        <w:t xml:space="preserve"> וכן כתב הרמב"ם בפ</w:t>
      </w:r>
      <w:r w:rsidR="00AC1643" w:rsidRPr="00AC1643">
        <w:rPr>
          <w:rFonts w:cs="Arial" w:hint="cs"/>
          <w:sz w:val="16"/>
          <w:szCs w:val="16"/>
          <w:rtl/>
        </w:rPr>
        <w:t>ט"ז</w:t>
      </w:r>
      <w:r w:rsidR="00AC1643" w:rsidRPr="00AC1643">
        <w:rPr>
          <w:rFonts w:cs="Arial"/>
          <w:sz w:val="16"/>
          <w:szCs w:val="16"/>
          <w:rtl/>
        </w:rPr>
        <w:t xml:space="preserve"> מהל</w:t>
      </w:r>
      <w:r w:rsidR="00AC1643" w:rsidRPr="00AC1643">
        <w:rPr>
          <w:rFonts w:cs="Arial" w:hint="cs"/>
          <w:sz w:val="16"/>
          <w:szCs w:val="16"/>
          <w:rtl/>
        </w:rPr>
        <w:t>'</w:t>
      </w:r>
      <w:r w:rsidR="00AC1643" w:rsidRPr="00AC1643">
        <w:rPr>
          <w:rFonts w:cs="Arial"/>
          <w:sz w:val="16"/>
          <w:szCs w:val="16"/>
          <w:rtl/>
        </w:rPr>
        <w:t xml:space="preserve"> אישות (ה"ד)</w:t>
      </w:r>
      <w:r w:rsidR="00AC1643" w:rsidRPr="00AC1643">
        <w:rPr>
          <w:rFonts w:cs="Arial" w:hint="cs"/>
          <w:sz w:val="16"/>
          <w:szCs w:val="16"/>
          <w:rtl/>
        </w:rPr>
        <w:t>,</w:t>
      </w:r>
      <w:r w:rsidR="00AC1643" w:rsidRPr="00AC1643">
        <w:rPr>
          <w:rFonts w:cs="Arial"/>
          <w:sz w:val="16"/>
          <w:szCs w:val="16"/>
          <w:rtl/>
        </w:rPr>
        <w:t xml:space="preserve"> ואם כן ליכא למימר בה אין אדם מוריש שבועה לבניו</w:t>
      </w:r>
      <w:r w:rsidR="00AC1643" w:rsidRPr="00AC1643">
        <w:rPr>
          <w:rFonts w:cs="Arial" w:hint="cs"/>
          <w:sz w:val="16"/>
          <w:szCs w:val="16"/>
          <w:rtl/>
        </w:rPr>
        <w:t>.</w:t>
      </w:r>
      <w:r w:rsidR="00AC1643" w:rsidRPr="00AC1643">
        <w:rPr>
          <w:rFonts w:cs="Arial"/>
          <w:sz w:val="16"/>
          <w:szCs w:val="16"/>
          <w:rtl/>
        </w:rPr>
        <w:t xml:space="preserve"> ומכל מקום צריכים לישבע שלא פקדתנו וכדתנן בפרק הנשבעים (שבועות מה.</w:t>
      </w:r>
      <w:r w:rsidR="008B3E25">
        <w:rPr>
          <w:rFonts w:cs="Arial" w:hint="cs"/>
          <w:sz w:val="16"/>
          <w:szCs w:val="16"/>
          <w:rtl/>
        </w:rPr>
        <w:t>)...</w:t>
      </w:r>
      <w:r w:rsidR="00AC1643" w:rsidRPr="00AC1643">
        <w:rPr>
          <w:rFonts w:cs="Arial"/>
          <w:sz w:val="16"/>
          <w:szCs w:val="16"/>
          <w:rtl/>
        </w:rPr>
        <w:t xml:space="preserve"> וכמו שיתבאר בחושן משפט (סי' קח). וכן מבואר בגמרא ס</w:t>
      </w:r>
      <w:r w:rsidR="00AC1643">
        <w:rPr>
          <w:rFonts w:cs="Arial" w:hint="cs"/>
          <w:sz w:val="16"/>
          <w:szCs w:val="16"/>
          <w:rtl/>
        </w:rPr>
        <w:t>"</w:t>
      </w:r>
      <w:r w:rsidR="00AC1643" w:rsidRPr="00AC1643">
        <w:rPr>
          <w:rFonts w:cs="Arial"/>
          <w:sz w:val="16"/>
          <w:szCs w:val="16"/>
          <w:rtl/>
        </w:rPr>
        <w:t>פ הנשבעין (מח.)</w:t>
      </w:r>
      <w:r w:rsidR="00AC1643" w:rsidRPr="00AC1643">
        <w:rPr>
          <w:rFonts w:cs="Arial" w:hint="cs"/>
          <w:sz w:val="16"/>
          <w:szCs w:val="16"/>
          <w:rtl/>
        </w:rPr>
        <w:t>, ב"י)</w:t>
      </w:r>
    </w:p>
    <w:p w14:paraId="1486AB52" w14:textId="4EF652A0" w:rsidR="00AC1643" w:rsidRDefault="00AC1643" w:rsidP="00D34007">
      <w:pPr>
        <w:rPr>
          <w:u w:val="single"/>
          <w:rtl/>
        </w:rPr>
      </w:pPr>
      <w:r w:rsidRPr="00401992">
        <w:rPr>
          <w:rFonts w:cs="Arial" w:hint="cs"/>
          <w:b/>
          <w:bCs/>
          <w:rtl/>
        </w:rPr>
        <w:t>שבועות</w:t>
      </w:r>
      <w:r>
        <w:rPr>
          <w:rFonts w:cs="Arial" w:hint="cs"/>
          <w:b/>
          <w:bCs/>
          <w:sz w:val="16"/>
          <w:szCs w:val="16"/>
          <w:rtl/>
        </w:rPr>
        <w:t xml:space="preserve"> (פ' כל הנשבעין)</w:t>
      </w:r>
      <w:r w:rsidRPr="00401992">
        <w:rPr>
          <w:rFonts w:cs="Arial" w:hint="cs"/>
          <w:b/>
          <w:bCs/>
          <w:rtl/>
        </w:rPr>
        <w:t xml:space="preserve"> מ</w:t>
      </w:r>
      <w:r>
        <w:rPr>
          <w:rFonts w:cs="Arial" w:hint="cs"/>
          <w:b/>
          <w:bCs/>
          <w:rtl/>
        </w:rPr>
        <w:t>ה</w:t>
      </w:r>
      <w:r w:rsidRPr="00401992">
        <w:rPr>
          <w:rFonts w:cs="Arial" w:hint="cs"/>
          <w:b/>
          <w:bCs/>
          <w:rtl/>
        </w:rPr>
        <w:t xml:space="preserve"> ע"א: </w:t>
      </w:r>
      <w:r w:rsidRPr="0060374F">
        <w:rPr>
          <w:rFonts w:cs="Arial"/>
          <w:u w:val="double"/>
          <w:rtl/>
        </w:rPr>
        <w:t>מתני'</w:t>
      </w:r>
      <w:r>
        <w:rPr>
          <w:rFonts w:cs="Arial" w:hint="cs"/>
          <w:rtl/>
        </w:rPr>
        <w:t>:...</w:t>
      </w:r>
      <w:r w:rsidR="00FB0267" w:rsidRPr="00FB0267">
        <w:rPr>
          <w:rtl/>
        </w:rPr>
        <w:t xml:space="preserve"> </w:t>
      </w:r>
      <w:r w:rsidR="00FB0267" w:rsidRPr="00FB0267">
        <w:rPr>
          <w:rFonts w:cs="Arial"/>
          <w:rtl/>
        </w:rPr>
        <w:t>וכן היתומים לא יפרעו אלא בשבועה, שבועה שלא פקדנו אבא, ולא אמר לנו אבא, שלא מצינו בין שטרותיו של אבא ששטר זה פרוע</w:t>
      </w:r>
      <w:r w:rsidR="00FB0267">
        <w:rPr>
          <w:rFonts w:cs="Arial" w:hint="cs"/>
          <w:rtl/>
        </w:rPr>
        <w:t>...</w:t>
      </w:r>
      <w:r w:rsidR="00C74894" w:rsidRPr="00C74894">
        <w:rPr>
          <w:rtl/>
        </w:rPr>
        <w:t xml:space="preserve"> </w:t>
      </w:r>
      <w:r w:rsidR="00C74894">
        <w:rPr>
          <w:rFonts w:hint="cs"/>
          <w:rtl/>
        </w:rPr>
        <w:t xml:space="preserve">     </w:t>
      </w:r>
      <w:r w:rsidR="00C74894">
        <w:rPr>
          <w:rFonts w:cs="Arial" w:hint="cs"/>
          <w:u w:val="double"/>
          <w:rtl/>
        </w:rPr>
        <w:t>גמ</w:t>
      </w:r>
      <w:r w:rsidR="00C74894" w:rsidRPr="0060374F">
        <w:rPr>
          <w:rFonts w:cs="Arial"/>
          <w:u w:val="double"/>
          <w:rtl/>
        </w:rPr>
        <w:t>'</w:t>
      </w:r>
      <w:r w:rsidR="00C74894" w:rsidRPr="00C74894">
        <w:rPr>
          <w:rFonts w:cs="Arial" w:hint="cs"/>
          <w:sz w:val="14"/>
          <w:szCs w:val="14"/>
          <w:u w:val="double"/>
          <w:rtl/>
        </w:rPr>
        <w:t>(מח.)</w:t>
      </w:r>
      <w:r w:rsidR="00C74894" w:rsidRPr="00C74894">
        <w:rPr>
          <w:rFonts w:cs="Arial" w:hint="cs"/>
          <w:u w:val="double"/>
          <w:rtl/>
        </w:rPr>
        <w:t>:</w:t>
      </w:r>
      <w:r w:rsidR="00C74894">
        <w:rPr>
          <w:rFonts w:cs="Arial" w:hint="cs"/>
          <w:rtl/>
        </w:rPr>
        <w:t xml:space="preserve"> </w:t>
      </w:r>
      <w:r w:rsidR="00C74894" w:rsidRPr="00C74894">
        <w:rPr>
          <w:rFonts w:cs="Arial"/>
          <w:rtl/>
        </w:rPr>
        <w:t>כשם שאמרו: הפוגמת כתובתה [וכו'] וכן היתומין לא יפרעו. ממאן? אילימא מלוה, אבוהון שקיל בלא שבועה ואינהו בשבועה? הכי קאמר: וכן היתומים מן היתומים לא יפרעו אלא בשבועה.</w:t>
      </w:r>
      <w:r w:rsidR="00F67714" w:rsidRPr="00F67714">
        <w:rPr>
          <w:rtl/>
        </w:rPr>
        <w:t xml:space="preserve"> </w:t>
      </w:r>
      <w:r w:rsidR="00F67714" w:rsidRPr="00F67714">
        <w:rPr>
          <w:rFonts w:cs="Arial"/>
          <w:u w:val="single"/>
          <w:rtl/>
        </w:rPr>
        <w:t>רב ושמואל דאמרי תרוייהו</w:t>
      </w:r>
      <w:r w:rsidR="00F67714" w:rsidRPr="00F67714">
        <w:rPr>
          <w:rFonts w:cs="Arial"/>
          <w:rtl/>
        </w:rPr>
        <w:t>: לא שנו אלא שמת מלוה בחיי לוה, אבל מת לוה בחיי מלוה - כבר נתחייב מלוה לבני לוה שבועה, ואין אדם מוריש שבועה לבניו.</w:t>
      </w:r>
      <w:r w:rsidR="00F67714">
        <w:rPr>
          <w:rFonts w:cs="Arial" w:hint="cs"/>
          <w:rtl/>
        </w:rPr>
        <w:t>..</w:t>
      </w:r>
      <w:r w:rsidR="0046759B" w:rsidRPr="0046759B">
        <w:rPr>
          <w:rtl/>
        </w:rPr>
        <w:t xml:space="preserve"> </w:t>
      </w:r>
      <w:r w:rsidR="0046759B" w:rsidRPr="00F67714">
        <w:rPr>
          <w:rFonts w:cs="Arial"/>
          <w:u w:val="single"/>
          <w:rtl/>
        </w:rPr>
        <w:t>מתיב רב אושעיא</w:t>
      </w:r>
      <w:r w:rsidR="0046759B" w:rsidRPr="0046759B">
        <w:rPr>
          <w:rFonts w:cs="Arial"/>
          <w:rtl/>
        </w:rPr>
        <w:t xml:space="preserve">: מתה - יורשיה מזכירין את כתובתה עד עשרים וחמש שנים! הכא במאי עסקינן - שנשבעה ומתה. תא שמע: נשא ראשונה ומתה, נשא שניה ומת הוא - שניה ויורשיה קודמין ליורשי הראשונה! ה"נ שנשבעה ומתה. ת"ש: אבל יורשיו משביעין אותה ואת יורשיה ואת הבאין ברשותה! </w:t>
      </w:r>
      <w:r w:rsidR="0046759B" w:rsidRPr="00F67714">
        <w:rPr>
          <w:rFonts w:cs="Arial"/>
          <w:u w:val="single"/>
          <w:rtl/>
        </w:rPr>
        <w:t>אמר רב שמעי'</w:t>
      </w:r>
      <w:r w:rsidR="0046759B" w:rsidRPr="0046759B">
        <w:rPr>
          <w:rFonts w:cs="Arial"/>
          <w:rtl/>
        </w:rPr>
        <w:t>: לצדדין קתני, אותה באלמנה</w:t>
      </w:r>
      <w:r w:rsidR="00D022E4">
        <w:rPr>
          <w:rStyle w:val="a7"/>
          <w:rFonts w:cs="Arial"/>
          <w:rtl/>
        </w:rPr>
        <w:footnoteReference w:id="1713"/>
      </w:r>
      <w:r w:rsidR="0046759B" w:rsidRPr="0046759B">
        <w:rPr>
          <w:rFonts w:cs="Arial"/>
          <w:rtl/>
        </w:rPr>
        <w:t>, ויורשיה בגרושה.</w:t>
      </w:r>
      <w:r w:rsidR="00C74894" w:rsidRPr="00C74894">
        <w:rPr>
          <w:rFonts w:cs="Arial"/>
          <w:rtl/>
        </w:rPr>
        <w:t xml:space="preserve"> </w:t>
      </w:r>
      <w:r>
        <w:rPr>
          <w:rFonts w:cs="Arial" w:hint="cs"/>
          <w:rtl/>
        </w:rPr>
        <w:t xml:space="preserve"> </w:t>
      </w:r>
    </w:p>
    <w:p w14:paraId="6513519C" w14:textId="09FB9B6F" w:rsidR="00D34007" w:rsidRPr="00162E6F" w:rsidRDefault="00D34007" w:rsidP="00D34007">
      <w:pPr>
        <w:rPr>
          <w:u w:val="single"/>
        </w:rPr>
      </w:pPr>
      <w:r w:rsidRPr="00162E6F">
        <w:rPr>
          <w:rFonts w:hint="cs"/>
          <w:u w:val="single"/>
          <w:rtl/>
        </w:rPr>
        <w:t>נתגרשה ומתה קודם שתגבה את כתובתה:</w:t>
      </w:r>
    </w:p>
    <w:p w14:paraId="312EAA36" w14:textId="6E11E966" w:rsidR="00D34007" w:rsidRPr="00162E6F" w:rsidRDefault="00D34007" w:rsidP="009000E3">
      <w:pPr>
        <w:pStyle w:val="ab"/>
        <w:numPr>
          <w:ilvl w:val="0"/>
          <w:numId w:val="84"/>
        </w:numPr>
      </w:pPr>
      <w:r>
        <w:rPr>
          <w:rFonts w:cs="Arial" w:hint="cs"/>
          <w:rtl/>
        </w:rPr>
        <w:t xml:space="preserve">טור- אבל </w:t>
      </w:r>
      <w:r w:rsidRPr="00F60B0E">
        <w:rPr>
          <w:rFonts w:cs="Arial"/>
          <w:rtl/>
        </w:rPr>
        <w:t>נתגרשה ומתה</w:t>
      </w:r>
      <w:r>
        <w:rPr>
          <w:rFonts w:cs="Arial" w:hint="cs"/>
          <w:rtl/>
        </w:rPr>
        <w:t>,</w:t>
      </w:r>
      <w:r w:rsidRPr="00F60B0E">
        <w:rPr>
          <w:rFonts w:cs="Arial" w:hint="cs"/>
          <w:rtl/>
        </w:rPr>
        <w:t xml:space="preserve"> </w:t>
      </w:r>
      <w:r w:rsidRPr="00F60B0E">
        <w:rPr>
          <w:rFonts w:cs="Arial"/>
          <w:rtl/>
        </w:rPr>
        <w:t>בניה נשבעין שבועה שלא פקדתנו ונוטלין</w:t>
      </w:r>
      <w:r w:rsidRPr="00F60B0E">
        <w:rPr>
          <w:rFonts w:cs="Arial" w:hint="cs"/>
          <w:rtl/>
        </w:rPr>
        <w:t>,</w:t>
      </w:r>
      <w:r w:rsidRPr="00F60B0E">
        <w:rPr>
          <w:rFonts w:cs="Arial"/>
          <w:rtl/>
        </w:rPr>
        <w:t xml:space="preserve"> ואפי' מיורשיו אם מת אחריה</w:t>
      </w:r>
      <w:r w:rsidRPr="00F60B0E">
        <w:rPr>
          <w:rFonts w:cs="Arial" w:hint="cs"/>
          <w:rtl/>
        </w:rPr>
        <w:t>.</w:t>
      </w:r>
      <w:r w:rsidRPr="00F60B0E">
        <w:rPr>
          <w:rFonts w:cs="Arial"/>
          <w:rtl/>
        </w:rPr>
        <w:t xml:space="preserve"> </w:t>
      </w:r>
      <w:r w:rsidR="00415D3C" w:rsidRPr="0095477C">
        <w:rPr>
          <w:rFonts w:hint="cs"/>
          <w:color w:val="E36C0A" w:themeColor="accent6" w:themeShade="BF"/>
          <w:rtl/>
        </w:rPr>
        <w:t>(וכ"פ בשו"ע)</w:t>
      </w:r>
    </w:p>
    <w:p w14:paraId="0078DCBB" w14:textId="0984531E" w:rsidR="00E45E97" w:rsidRPr="00C416D7" w:rsidRDefault="008F6CB5" w:rsidP="00E45E97">
      <w:pPr>
        <w:rPr>
          <w:u w:val="single"/>
        </w:rPr>
      </w:pPr>
      <w:r w:rsidRPr="00C416D7">
        <w:rPr>
          <w:rFonts w:hint="cs"/>
          <w:u w:val="single"/>
          <w:rtl/>
        </w:rPr>
        <w:t xml:space="preserve">אלמנה </w:t>
      </w:r>
      <w:r w:rsidR="00C416D7" w:rsidRPr="00C416D7">
        <w:rPr>
          <w:rFonts w:hint="cs"/>
          <w:u w:val="single"/>
          <w:rtl/>
        </w:rPr>
        <w:t>שנשתתקה - כיצד משביעין/בודקין אותה:</w:t>
      </w:r>
    </w:p>
    <w:p w14:paraId="52404C9F" w14:textId="77D61A55" w:rsidR="00A913B2" w:rsidRDefault="00A913B2" w:rsidP="009000E3">
      <w:pPr>
        <w:pStyle w:val="ab"/>
        <w:numPr>
          <w:ilvl w:val="0"/>
          <w:numId w:val="84"/>
        </w:numPr>
        <w:rPr>
          <w:rtl/>
        </w:rPr>
      </w:pPr>
      <w:r w:rsidRPr="00370D91">
        <w:rPr>
          <w:rFonts w:cs="Arial"/>
          <w:rtl/>
        </w:rPr>
        <w:t>רשב"א</w:t>
      </w:r>
      <w:r w:rsidR="00C416D7">
        <w:rPr>
          <w:rFonts w:cs="Arial" w:hint="cs"/>
          <w:sz w:val="16"/>
          <w:szCs w:val="16"/>
          <w:rtl/>
        </w:rPr>
        <w:t xml:space="preserve"> (החדשות סי' קצא)</w:t>
      </w:r>
      <w:r w:rsidR="00C416D7">
        <w:rPr>
          <w:rFonts w:cs="Arial" w:hint="cs"/>
          <w:rtl/>
        </w:rPr>
        <w:t>-</w:t>
      </w:r>
      <w:r w:rsidRPr="00370D91">
        <w:rPr>
          <w:rFonts w:cs="Arial"/>
          <w:rtl/>
        </w:rPr>
        <w:t xml:space="preserve"> </w:t>
      </w:r>
      <w:r w:rsidR="00C416D7">
        <w:rPr>
          <w:rFonts w:cs="Arial" w:hint="cs"/>
          <w:rtl/>
        </w:rPr>
        <w:t xml:space="preserve">שאלת: </w:t>
      </w:r>
      <w:r w:rsidRPr="00370D91">
        <w:rPr>
          <w:rFonts w:cs="Arial"/>
          <w:rtl/>
        </w:rPr>
        <w:t xml:space="preserve">אלמנה שנשתתקה ובאה לגבות כתובתה וצריכה שבועה ונבדקה והיא רומזת ומכירין ברמיזותיה שלא נטלה כלום משל בעלה מהו לסמוך על דבר זה. </w:t>
      </w:r>
      <w:r w:rsidR="00C416D7">
        <w:rPr>
          <w:rFonts w:cs="Arial" w:hint="cs"/>
          <w:rtl/>
        </w:rPr>
        <w:t xml:space="preserve">     </w:t>
      </w:r>
      <w:r w:rsidRPr="00370D91">
        <w:rPr>
          <w:rFonts w:cs="Arial"/>
          <w:rtl/>
        </w:rPr>
        <w:t>תשובה</w:t>
      </w:r>
      <w:r w:rsidR="00C416D7">
        <w:rPr>
          <w:rFonts w:cs="Arial" w:hint="cs"/>
          <w:rtl/>
        </w:rPr>
        <w:t>:</w:t>
      </w:r>
      <w:r w:rsidRPr="00370D91">
        <w:rPr>
          <w:rFonts w:cs="Arial"/>
          <w:rtl/>
        </w:rPr>
        <w:t xml:space="preserve"> אם שומעת אע</w:t>
      </w:r>
      <w:r w:rsidR="00C416D7">
        <w:rPr>
          <w:rFonts w:cs="Arial" w:hint="cs"/>
          <w:rtl/>
        </w:rPr>
        <w:t>"</w:t>
      </w:r>
      <w:r w:rsidRPr="00370D91">
        <w:rPr>
          <w:rFonts w:cs="Arial"/>
          <w:rtl/>
        </w:rPr>
        <w:t>פ שאינה מדברת דכפקחת היא לכל הדברים וכדתניא (חגיגה ב:) מדבר ואינו שומע זהו חרש</w:t>
      </w:r>
      <w:r w:rsidR="00C416D7">
        <w:rPr>
          <w:rFonts w:cs="Arial" w:hint="cs"/>
          <w:rtl/>
        </w:rPr>
        <w:t>,</w:t>
      </w:r>
      <w:r w:rsidRPr="00370D91">
        <w:rPr>
          <w:rFonts w:cs="Arial"/>
          <w:rtl/>
        </w:rPr>
        <w:t xml:space="preserve"> שומע ואינו מדבר זהו אלם</w:t>
      </w:r>
      <w:r w:rsidR="00C416D7">
        <w:rPr>
          <w:rFonts w:cs="Arial" w:hint="cs"/>
          <w:rtl/>
        </w:rPr>
        <w:t>,</w:t>
      </w:r>
      <w:r w:rsidRPr="00370D91">
        <w:rPr>
          <w:rFonts w:cs="Arial"/>
          <w:rtl/>
        </w:rPr>
        <w:t xml:space="preserve"> וזה וזה כפקחים לכל דבריהם</w:t>
      </w:r>
      <w:r w:rsidR="00C416D7">
        <w:rPr>
          <w:rFonts w:cs="Arial" w:hint="cs"/>
          <w:rtl/>
        </w:rPr>
        <w:t>.</w:t>
      </w:r>
      <w:r w:rsidRPr="00370D91">
        <w:rPr>
          <w:rFonts w:cs="Arial"/>
          <w:rtl/>
        </w:rPr>
        <w:t xml:space="preserve"> ואע</w:t>
      </w:r>
      <w:r w:rsidR="00C416D7">
        <w:rPr>
          <w:rFonts w:cs="Arial" w:hint="cs"/>
          <w:rtl/>
        </w:rPr>
        <w:t>"</w:t>
      </w:r>
      <w:r w:rsidRPr="00370D91">
        <w:rPr>
          <w:rFonts w:cs="Arial"/>
          <w:rtl/>
        </w:rPr>
        <w:t>פ שהיתה פקחת מעיקרא ונשתתקה</w:t>
      </w:r>
      <w:r w:rsidR="00C416D7">
        <w:rPr>
          <w:rFonts w:cs="Arial" w:hint="cs"/>
          <w:rtl/>
        </w:rPr>
        <w:t>,</w:t>
      </w:r>
      <w:r w:rsidRPr="00370D91">
        <w:rPr>
          <w:rFonts w:cs="Arial"/>
          <w:rtl/>
        </w:rPr>
        <w:t xml:space="preserve"> לכאורה לא גרעה מאלם מעיקרו כדמשמע בפרק מי שאחזו (גיטין עא.) דלא גרע פקח ונשתתק מאלם מעיקרו</w:t>
      </w:r>
      <w:r w:rsidR="00BD2ABB">
        <w:rPr>
          <w:rFonts w:cs="Arial" w:hint="cs"/>
          <w:rtl/>
        </w:rPr>
        <w:t>,</w:t>
      </w:r>
      <w:r w:rsidRPr="00370D91">
        <w:rPr>
          <w:rFonts w:cs="Arial"/>
          <w:rtl/>
        </w:rPr>
        <w:t xml:space="preserve"> ובלבד אחר בדיקה ונתברר דלאו דעתא שגישתה הוא</w:t>
      </w:r>
      <w:r w:rsidR="00BD2ABB">
        <w:rPr>
          <w:rFonts w:cs="Arial" w:hint="cs"/>
          <w:rtl/>
        </w:rPr>
        <w:t>.</w:t>
      </w:r>
      <w:r w:rsidRPr="00370D91">
        <w:rPr>
          <w:rFonts w:cs="Arial"/>
          <w:rtl/>
        </w:rPr>
        <w:t xml:space="preserve"> ולא שנלך אחר רמיזותיו אלא הרכנת הראש</w:t>
      </w:r>
      <w:r w:rsidR="00BD2ABB">
        <w:rPr>
          <w:rFonts w:cs="Arial" w:hint="cs"/>
          <w:rtl/>
        </w:rPr>
        <w:t>,</w:t>
      </w:r>
      <w:r w:rsidRPr="00370D91">
        <w:rPr>
          <w:rFonts w:cs="Arial"/>
          <w:rtl/>
        </w:rPr>
        <w:t xml:space="preserve"> דהרכנת הראש כדיבור וכדגרסינן בירושלמי (גיטין פ"ז) עד שישמעו את קולו א"ר מונא היא שמיעת הקול היא הרכנת הראש</w:t>
      </w:r>
      <w:r w:rsidR="00BD2ABB">
        <w:rPr>
          <w:rFonts w:cs="Arial" w:hint="cs"/>
          <w:rtl/>
        </w:rPr>
        <w:t>.</w:t>
      </w:r>
      <w:r w:rsidRPr="00370D91">
        <w:rPr>
          <w:rFonts w:cs="Arial"/>
          <w:rtl/>
        </w:rPr>
        <w:t xml:space="preserve"> ומכל מקום כל שצריכה שבועה ואינה מדברת איך תשבע</w:t>
      </w:r>
      <w:r w:rsidR="00BD2ABB">
        <w:rPr>
          <w:rFonts w:cs="Arial" w:hint="cs"/>
          <w:rtl/>
        </w:rPr>
        <w:t>,</w:t>
      </w:r>
      <w:r w:rsidRPr="00370D91">
        <w:rPr>
          <w:rFonts w:cs="Arial"/>
          <w:rtl/>
        </w:rPr>
        <w:t xml:space="preserve"> שאפילו בדקנוה ושאלנוה אם נטלה כלום והרכינה בראשה שלא נטלה והשביעוה מפי אחרים שמא לא נתכוון בהרכנת הראש לאמת אלא להפכו</w:t>
      </w:r>
      <w:r w:rsidR="00BD2ABB">
        <w:rPr>
          <w:rFonts w:cs="Arial" w:hint="cs"/>
          <w:rtl/>
        </w:rPr>
        <w:t>,</w:t>
      </w:r>
      <w:r w:rsidRPr="00370D91">
        <w:rPr>
          <w:rFonts w:cs="Arial"/>
          <w:rtl/>
        </w:rPr>
        <w:t xml:space="preserve"> כל שאינה מוציאה מפיו לא שבועה ולא אמן</w:t>
      </w:r>
      <w:r w:rsidR="00BD2ABB">
        <w:rPr>
          <w:rFonts w:cs="Arial" w:hint="cs"/>
          <w:rtl/>
        </w:rPr>
        <w:t>,</w:t>
      </w:r>
      <w:r w:rsidRPr="00370D91">
        <w:rPr>
          <w:rFonts w:cs="Arial"/>
          <w:rtl/>
        </w:rPr>
        <w:t xml:space="preserve"> ואפילו בשבועת האלה כן</w:t>
      </w:r>
      <w:r w:rsidR="00BD2ABB">
        <w:rPr>
          <w:rFonts w:cs="Arial" w:hint="cs"/>
          <w:rtl/>
        </w:rPr>
        <w:t>,</w:t>
      </w:r>
      <w:r w:rsidRPr="00370D91">
        <w:rPr>
          <w:rFonts w:cs="Arial"/>
          <w:rtl/>
        </w:rPr>
        <w:t xml:space="preserve"> דהא בין בסוטה בין בשמיעת קול אלה כתיב</w:t>
      </w:r>
      <w:r w:rsidR="00BD2ABB">
        <w:rPr>
          <w:rFonts w:cs="Arial" w:hint="cs"/>
          <w:rtl/>
        </w:rPr>
        <w:t>,</w:t>
      </w:r>
      <w:r w:rsidRPr="00370D91">
        <w:rPr>
          <w:rFonts w:cs="Arial"/>
          <w:rtl/>
        </w:rPr>
        <w:t xml:space="preserve"> ואפילו הכי בעי</w:t>
      </w:r>
      <w:r w:rsidR="00BD2ABB">
        <w:rPr>
          <w:rFonts w:cs="Arial" w:hint="cs"/>
          <w:rtl/>
        </w:rPr>
        <w:t>נן</w:t>
      </w:r>
      <w:r w:rsidRPr="00370D91">
        <w:rPr>
          <w:rFonts w:cs="Arial"/>
          <w:rtl/>
        </w:rPr>
        <w:t xml:space="preserve"> דאמ</w:t>
      </w:r>
      <w:r w:rsidR="00BD2ABB">
        <w:rPr>
          <w:rFonts w:cs="Arial" w:hint="cs"/>
          <w:rtl/>
        </w:rPr>
        <w:t>רה</w:t>
      </w:r>
      <w:r w:rsidRPr="00370D91">
        <w:rPr>
          <w:rFonts w:cs="Arial"/>
          <w:rtl/>
        </w:rPr>
        <w:t xml:space="preserve"> אמן</w:t>
      </w:r>
      <w:r w:rsidR="00BD2ABB">
        <w:rPr>
          <w:rFonts w:cs="Arial" w:hint="cs"/>
          <w:rtl/>
        </w:rPr>
        <w:t>.</w:t>
      </w:r>
      <w:r w:rsidRPr="00370D91">
        <w:rPr>
          <w:rFonts w:cs="Arial"/>
          <w:rtl/>
        </w:rPr>
        <w:t xml:space="preserve"> אלא שקרוב בעיני דשבועה הבא ליפרע מנכסי יתומים שאינה תורה אלא משום תקנת היתומים אם היא מושבעת מפי אחרים בשבועת האלה כל שאינה יכולה לישבע ולענות אמן כזו </w:t>
      </w:r>
      <w:r w:rsidR="00BD2ABB">
        <w:rPr>
          <w:rFonts w:cs="Arial" w:hint="cs"/>
          <w:rtl/>
        </w:rPr>
        <w:t xml:space="preserve">- </w:t>
      </w:r>
      <w:r w:rsidRPr="00370D91">
        <w:rPr>
          <w:rFonts w:cs="Arial"/>
          <w:rtl/>
        </w:rPr>
        <w:t>משביעין אותה ונוטלת כדי שלא תפסיד כתובתה ונדונייתה</w:t>
      </w:r>
      <w:r w:rsidR="00BD2ABB">
        <w:rPr>
          <w:rFonts w:cs="Arial" w:hint="cs"/>
          <w:rtl/>
        </w:rPr>
        <w:t>.</w:t>
      </w:r>
      <w:r w:rsidRPr="00370D91">
        <w:rPr>
          <w:rFonts w:cs="Arial"/>
          <w:rtl/>
        </w:rPr>
        <w:t xml:space="preserve"> ותדע לך דשבועה זו קלה דאפילו מת לוה בחיי מלוה</w:t>
      </w:r>
      <w:r w:rsidR="00FF71EC">
        <w:rPr>
          <w:rFonts w:cs="Arial" w:hint="cs"/>
          <w:rtl/>
        </w:rPr>
        <w:t>,</w:t>
      </w:r>
      <w:r w:rsidRPr="00370D91">
        <w:rPr>
          <w:rFonts w:cs="Arial"/>
          <w:rtl/>
        </w:rPr>
        <w:t xml:space="preserve"> ואח"כ מת מלוה היתומים נוטלים מן היתומים בשבועה שלא פקדנו אבא כדברי רבי אליעזר (שבועות מח.) כדי שלא יפסידו יתומי מלוה את חובם</w:t>
      </w:r>
      <w:r w:rsidR="00FF71EC">
        <w:rPr>
          <w:rFonts w:cs="Arial" w:hint="cs"/>
          <w:rtl/>
        </w:rPr>
        <w:t>,</w:t>
      </w:r>
      <w:r w:rsidRPr="00370D91">
        <w:rPr>
          <w:rFonts w:cs="Arial"/>
          <w:rtl/>
        </w:rPr>
        <w:t xml:space="preserve"> אלא דרב ושמואל החמירו על זה</w:t>
      </w:r>
      <w:r w:rsidR="00FF71EC">
        <w:rPr>
          <w:rFonts w:cs="Arial" w:hint="cs"/>
          <w:rtl/>
        </w:rPr>
        <w:t>,</w:t>
      </w:r>
      <w:r w:rsidRPr="00370D91">
        <w:rPr>
          <w:rFonts w:cs="Arial"/>
          <w:rtl/>
        </w:rPr>
        <w:t xml:space="preserve"> ואפילו הכי דיינא דעבד כרבי אליעזר עבד (שם:) אבל לא עקרינן להא דרב ושמואל משום כבודם</w:t>
      </w:r>
      <w:r w:rsidR="00FF71EC">
        <w:rPr>
          <w:rFonts w:cs="Arial" w:hint="cs"/>
          <w:rtl/>
        </w:rPr>
        <w:t>,</w:t>
      </w:r>
      <w:r w:rsidRPr="00370D91">
        <w:rPr>
          <w:rFonts w:cs="Arial"/>
          <w:rtl/>
        </w:rPr>
        <w:t xml:space="preserve"> ואפילו הכי אמרו הבו דלא לוסיף עלה</w:t>
      </w:r>
      <w:r w:rsidR="00FF71EC">
        <w:rPr>
          <w:rFonts w:cs="Arial" w:hint="cs"/>
          <w:rtl/>
        </w:rPr>
        <w:t>.</w:t>
      </w:r>
      <w:r w:rsidRPr="00370D91">
        <w:rPr>
          <w:rFonts w:cs="Arial"/>
          <w:rtl/>
        </w:rPr>
        <w:t xml:space="preserve"> ועוד דלאו שבועה דוקא הצריכוה שהרי נמנעו מלהשביעה ומגבין לה בהדרה</w:t>
      </w:r>
      <w:r w:rsidR="00312076">
        <w:rPr>
          <w:rFonts w:cs="Arial" w:hint="cs"/>
          <w:rtl/>
        </w:rPr>
        <w:t>.</w:t>
      </w:r>
      <w:r w:rsidRPr="00370D91">
        <w:rPr>
          <w:rFonts w:cs="Arial"/>
          <w:rtl/>
        </w:rPr>
        <w:t xml:space="preserve"> והילכך איפשר לומר דשבועת האלה סגי כל שאי אפשר אלא בהכי</w:t>
      </w:r>
      <w:r w:rsidR="00312076">
        <w:rPr>
          <w:rFonts w:cs="Arial" w:hint="cs"/>
          <w:rtl/>
        </w:rPr>
        <w:t>.</w:t>
      </w:r>
      <w:r w:rsidRPr="00370D91">
        <w:rPr>
          <w:rFonts w:cs="Arial"/>
          <w:rtl/>
        </w:rPr>
        <w:t xml:space="preserve"> ואע</w:t>
      </w:r>
      <w:r w:rsidR="00312076">
        <w:rPr>
          <w:rFonts w:cs="Arial" w:hint="cs"/>
          <w:rtl/>
        </w:rPr>
        <w:t>"</w:t>
      </w:r>
      <w:r w:rsidRPr="00370D91">
        <w:rPr>
          <w:rFonts w:cs="Arial"/>
          <w:rtl/>
        </w:rPr>
        <w:t>פ שיש לבעל הדין לחלוק עלי בזה</w:t>
      </w:r>
      <w:r w:rsidR="00312076">
        <w:rPr>
          <w:rFonts w:cs="Arial" w:hint="cs"/>
          <w:rtl/>
        </w:rPr>
        <w:t>,</w:t>
      </w:r>
      <w:r w:rsidRPr="00370D91">
        <w:rPr>
          <w:rFonts w:cs="Arial"/>
          <w:rtl/>
        </w:rPr>
        <w:t xml:space="preserve"> כך יראה לי. ולענין המאה זהב שמחלה מחשש עונש השבועה א</w:t>
      </w:r>
      <w:r w:rsidR="00312076">
        <w:rPr>
          <w:rFonts w:cs="Arial" w:hint="cs"/>
          <w:rtl/>
        </w:rPr>
        <w:t>ע"פ</w:t>
      </w:r>
      <w:r w:rsidRPr="00370D91">
        <w:rPr>
          <w:rFonts w:cs="Arial"/>
          <w:rtl/>
        </w:rPr>
        <w:t xml:space="preserve"> שמצאו לבסוף שהבעל מחל לה על כל מה שתפסה משלו כנ"ל כמו שכתבת דמה שמחלה מחלה ולא שייך בכי הא מחילה בטעות מאותם טעמים שאמרת</w:t>
      </w:r>
      <w:r w:rsidR="00312076">
        <w:rPr>
          <w:rFonts w:cs="Arial" w:hint="cs"/>
          <w:rtl/>
        </w:rPr>
        <w:t>.</w:t>
      </w:r>
      <w:r w:rsidRPr="00370D91">
        <w:rPr>
          <w:rFonts w:cs="Arial"/>
          <w:rtl/>
        </w:rPr>
        <w:t xml:space="preserve"> ועוד שמחמת יראת עונש השבועה באה לגבות אותו סך מכתובתה ובאמת לולי שעשתה כן אם נטלה כלום משל בעל חל עליה עונש השבועה שהיא נשבעה שלא נטלה והיא כבר נטלה ואין מחילת הבעל פוטרת מעונש השבועה שנשבעה שלא נטלה</w:t>
      </w:r>
      <w:r w:rsidR="00312076">
        <w:rPr>
          <w:rFonts w:cs="Arial" w:hint="cs"/>
          <w:rtl/>
        </w:rPr>
        <w:t>.</w:t>
      </w:r>
      <w:r w:rsidRPr="00370D91">
        <w:rPr>
          <w:rFonts w:cs="Arial"/>
          <w:rtl/>
        </w:rPr>
        <w:t xml:space="preserve"> ועוד מאן לימא לן שהיא לא ידעה באותה מחילה</w:t>
      </w:r>
      <w:r w:rsidR="00312076">
        <w:rPr>
          <w:rFonts w:cs="Arial" w:hint="cs"/>
          <w:rtl/>
        </w:rPr>
        <w:t>,</w:t>
      </w:r>
      <w:r w:rsidRPr="00370D91">
        <w:rPr>
          <w:rFonts w:cs="Arial"/>
          <w:rtl/>
        </w:rPr>
        <w:t xml:space="preserve"> אני אומר ידעה ולא רצת במחילתו</w:t>
      </w:r>
      <w:r w:rsidR="00941BC1">
        <w:rPr>
          <w:rFonts w:cs="Arial" w:hint="cs"/>
          <w:rtl/>
        </w:rPr>
        <w:t>,</w:t>
      </w:r>
      <w:r w:rsidRPr="00370D91">
        <w:rPr>
          <w:rFonts w:cs="Arial"/>
          <w:rtl/>
        </w:rPr>
        <w:t xml:space="preserve"> וע"כ נכתה מכתובתה מה שנכתה</w:t>
      </w:r>
      <w:r w:rsidR="00941BC1">
        <w:rPr>
          <w:rFonts w:cs="Arial" w:hint="cs"/>
          <w:rtl/>
        </w:rPr>
        <w:t>.</w:t>
      </w:r>
      <w:r w:rsidRPr="00370D91">
        <w:rPr>
          <w:rFonts w:cs="Arial"/>
          <w:rtl/>
        </w:rPr>
        <w:t xml:space="preserve"> ואפילו טענה היא שלא ידעה עליה להביא ראיה וכל שכן שהיא עצמה אינה טוענת כך דהא אשתקל מילולא</w:t>
      </w:r>
      <w:r w:rsidR="00941BC1">
        <w:rPr>
          <w:rFonts w:cs="Arial" w:hint="cs"/>
          <w:rtl/>
        </w:rPr>
        <w:t>.</w:t>
      </w:r>
      <w:r w:rsidRPr="00370D91">
        <w:rPr>
          <w:rFonts w:cs="Arial"/>
          <w:rtl/>
        </w:rPr>
        <w:t xml:space="preserve"> ואם הם עשו מעשה הפך מזה הנח להם שכבר הורו זקנים.</w:t>
      </w:r>
      <w:r w:rsidR="00323526" w:rsidRPr="002F4458">
        <w:rPr>
          <w:rFonts w:cs="Arial"/>
          <w:color w:val="00B0F0"/>
          <w:rtl/>
        </w:rPr>
        <w:t xml:space="preserve"> </w:t>
      </w:r>
      <w:r w:rsidR="00323526" w:rsidRPr="002F4458">
        <w:rPr>
          <w:rFonts w:hint="cs"/>
          <w:color w:val="00B0F0"/>
          <w:rtl/>
        </w:rPr>
        <w:t>(וכ"פ הרמ"א)</w:t>
      </w:r>
    </w:p>
    <w:p w14:paraId="2BEE0467" w14:textId="68EA6CB9" w:rsidR="003C2CC4" w:rsidRPr="0070353C" w:rsidRDefault="004E3486" w:rsidP="0070353C">
      <w:pPr>
        <w:rPr>
          <w:u w:val="single"/>
        </w:rPr>
      </w:pPr>
      <w:r>
        <w:rPr>
          <w:rFonts w:hint="cs"/>
          <w:u w:val="single"/>
          <w:rtl/>
        </w:rPr>
        <w:t>יורשי האלמנה - אלו נכסים הם יורשים ממנה</w:t>
      </w:r>
      <w:r w:rsidR="009D15B5" w:rsidRPr="00162E6F">
        <w:rPr>
          <w:rFonts w:hint="cs"/>
          <w:u w:val="single"/>
          <w:rtl/>
        </w:rPr>
        <w:t>:</w:t>
      </w:r>
    </w:p>
    <w:p w14:paraId="26EF5C93" w14:textId="653E7539" w:rsidR="00FC6042" w:rsidRPr="00FC6042" w:rsidRDefault="00AC7A94" w:rsidP="009000E3">
      <w:pPr>
        <w:pStyle w:val="ab"/>
        <w:numPr>
          <w:ilvl w:val="0"/>
          <w:numId w:val="84"/>
        </w:numPr>
      </w:pPr>
      <w:r w:rsidRPr="003C2CC4">
        <w:rPr>
          <w:rFonts w:cs="Arial"/>
          <w:rtl/>
        </w:rPr>
        <w:lastRenderedPageBreak/>
        <w:t xml:space="preserve">רמב"ם </w:t>
      </w:r>
      <w:r w:rsidR="007E4658" w:rsidRPr="003C2CC4">
        <w:rPr>
          <w:rFonts w:cs="Arial" w:hint="cs"/>
          <w:sz w:val="16"/>
          <w:szCs w:val="16"/>
          <w:rtl/>
        </w:rPr>
        <w:t>(</w:t>
      </w:r>
      <w:r w:rsidRPr="003C2CC4">
        <w:rPr>
          <w:rFonts w:cs="Arial"/>
          <w:sz w:val="16"/>
          <w:szCs w:val="16"/>
          <w:rtl/>
        </w:rPr>
        <w:t>פי"ח מהל</w:t>
      </w:r>
      <w:r w:rsidR="007E4658" w:rsidRPr="003C2CC4">
        <w:rPr>
          <w:rFonts w:cs="Arial" w:hint="cs"/>
          <w:sz w:val="16"/>
          <w:szCs w:val="16"/>
          <w:rtl/>
        </w:rPr>
        <w:t>'</w:t>
      </w:r>
      <w:r w:rsidRPr="003C2CC4">
        <w:rPr>
          <w:rFonts w:cs="Arial"/>
          <w:sz w:val="16"/>
          <w:szCs w:val="16"/>
          <w:rtl/>
        </w:rPr>
        <w:t xml:space="preserve"> אישות ה</w:t>
      </w:r>
      <w:r w:rsidR="007E4658" w:rsidRPr="003C2CC4">
        <w:rPr>
          <w:rFonts w:cs="Arial" w:hint="cs"/>
          <w:sz w:val="16"/>
          <w:szCs w:val="16"/>
          <w:rtl/>
        </w:rPr>
        <w:t>"</w:t>
      </w:r>
      <w:r w:rsidRPr="003C2CC4">
        <w:rPr>
          <w:rFonts w:cs="Arial"/>
          <w:sz w:val="16"/>
          <w:szCs w:val="16"/>
          <w:rtl/>
        </w:rPr>
        <w:t>ח)</w:t>
      </w:r>
      <w:r w:rsidR="0070353C">
        <w:rPr>
          <w:rFonts w:cs="Arial" w:hint="cs"/>
          <w:rtl/>
        </w:rPr>
        <w:t xml:space="preserve"> וטור</w:t>
      </w:r>
      <w:r w:rsidR="0070353C">
        <w:rPr>
          <w:rStyle w:val="a7"/>
          <w:rFonts w:cs="Arial"/>
          <w:rtl/>
        </w:rPr>
        <w:footnoteReference w:id="1714"/>
      </w:r>
      <w:r w:rsidR="003C2CC4" w:rsidRPr="003C2CC4">
        <w:rPr>
          <w:rFonts w:cs="Arial" w:hint="cs"/>
          <w:rtl/>
        </w:rPr>
        <w:t xml:space="preserve">- </w:t>
      </w:r>
      <w:r w:rsidR="003C2CC4" w:rsidRPr="003C2CC4">
        <w:rPr>
          <w:rFonts w:cs="Arial"/>
          <w:rtl/>
        </w:rPr>
        <w:t xml:space="preserve">מציאת האלמנה ופירות נכסים שהכניסה לבעל </w:t>
      </w:r>
      <w:r w:rsidR="00201FE3">
        <w:rPr>
          <w:rFonts w:cs="Arial" w:hint="cs"/>
          <w:rtl/>
        </w:rPr>
        <w:t xml:space="preserve">- </w:t>
      </w:r>
      <w:r w:rsidR="003C2CC4" w:rsidRPr="003C2CC4">
        <w:rPr>
          <w:rFonts w:cs="Arial"/>
          <w:rtl/>
        </w:rPr>
        <w:t>לעצמה</w:t>
      </w:r>
      <w:r w:rsidR="00201FE3">
        <w:rPr>
          <w:rFonts w:cs="Arial" w:hint="cs"/>
          <w:rtl/>
        </w:rPr>
        <w:t>,</w:t>
      </w:r>
      <w:r w:rsidR="003C2CC4" w:rsidRPr="003C2CC4">
        <w:rPr>
          <w:rFonts w:cs="Arial"/>
          <w:rtl/>
        </w:rPr>
        <w:t xml:space="preserve"> ואין ליורש בהם כלום. </w:t>
      </w:r>
      <w:r w:rsidR="003C2CC4" w:rsidRPr="003C2CC4">
        <w:rPr>
          <w:rFonts w:cs="Arial" w:hint="cs"/>
          <w:sz w:val="14"/>
          <w:szCs w:val="14"/>
          <w:rtl/>
        </w:rPr>
        <w:t xml:space="preserve">(ה"ט) </w:t>
      </w:r>
      <w:r w:rsidR="003C2CC4" w:rsidRPr="003C2CC4">
        <w:rPr>
          <w:rFonts w:cs="Arial"/>
          <w:rtl/>
        </w:rPr>
        <w:t>והנכסים עצמם שהם נדוניתה נוטלת אותן בלא שבועה ואין ליורשים בהם דין לעולם</w:t>
      </w:r>
      <w:r w:rsidR="00201FE3">
        <w:rPr>
          <w:rFonts w:cs="Arial" w:hint="cs"/>
          <w:rtl/>
        </w:rPr>
        <w:t>,</w:t>
      </w:r>
      <w:r w:rsidR="003C2CC4" w:rsidRPr="003C2CC4">
        <w:rPr>
          <w:rFonts w:cs="Arial"/>
          <w:rtl/>
        </w:rPr>
        <w:t xml:space="preserve"> א</w:t>
      </w:r>
      <w:r w:rsidR="00201FE3">
        <w:rPr>
          <w:rFonts w:cs="Arial" w:hint="cs"/>
          <w:rtl/>
        </w:rPr>
        <w:t>א"</w:t>
      </w:r>
      <w:r w:rsidR="003C2CC4" w:rsidRPr="003C2CC4">
        <w:rPr>
          <w:rFonts w:cs="Arial"/>
          <w:rtl/>
        </w:rPr>
        <w:t>כ הותירו בחיי הבעל והיו נכסי צאן ברזל שהמותר לבעל</w:t>
      </w:r>
      <w:r w:rsidR="00201FE3">
        <w:rPr>
          <w:rFonts w:cs="Arial" w:hint="cs"/>
          <w:rtl/>
        </w:rPr>
        <w:t>.</w:t>
      </w:r>
      <w:r w:rsidR="003C2CC4" w:rsidRPr="003C2CC4">
        <w:rPr>
          <w:rFonts w:cs="Arial"/>
          <w:rtl/>
        </w:rPr>
        <w:t xml:space="preserve"> ואם מתה האלמנה בלא שבועה יורשיה יורשים נדוניתה ואע</w:t>
      </w:r>
      <w:r w:rsidR="00201FE3">
        <w:rPr>
          <w:rFonts w:cs="Arial" w:hint="cs"/>
          <w:rtl/>
        </w:rPr>
        <w:t>"</w:t>
      </w:r>
      <w:r w:rsidR="003C2CC4" w:rsidRPr="003C2CC4">
        <w:rPr>
          <w:rFonts w:cs="Arial"/>
          <w:rtl/>
        </w:rPr>
        <w:t>פ שהיא נכסי צאן ברזל</w:t>
      </w:r>
      <w:r w:rsidR="00333151">
        <w:rPr>
          <w:rStyle w:val="a7"/>
          <w:rFonts w:cs="Arial"/>
          <w:rtl/>
        </w:rPr>
        <w:footnoteReference w:id="1715"/>
      </w:r>
      <w:r w:rsidR="00201FE3">
        <w:rPr>
          <w:rFonts w:cs="Arial" w:hint="cs"/>
          <w:rtl/>
        </w:rPr>
        <w:t>.</w:t>
      </w:r>
      <w:r w:rsidR="003C2CC4" w:rsidRPr="003C2CC4">
        <w:rPr>
          <w:rFonts w:cs="Arial"/>
          <w:rtl/>
        </w:rPr>
        <w:t xml:space="preserve"> ואם היה בהן מותר</w:t>
      </w:r>
      <w:r w:rsidR="00C8584E">
        <w:rPr>
          <w:rFonts w:cs="Arial" w:hint="cs"/>
          <w:rtl/>
        </w:rPr>
        <w:t>,</w:t>
      </w:r>
      <w:r w:rsidR="003C2CC4" w:rsidRPr="003C2CC4">
        <w:rPr>
          <w:rFonts w:cs="Arial"/>
          <w:rtl/>
        </w:rPr>
        <w:t xml:space="preserve"> המותר ליורשי הבעל</w:t>
      </w:r>
      <w:r w:rsidR="0070353C">
        <w:rPr>
          <w:rFonts w:cs="Arial" w:hint="cs"/>
          <w:sz w:val="16"/>
          <w:szCs w:val="16"/>
          <w:rtl/>
        </w:rPr>
        <w:t xml:space="preserve"> (ל' הרמב"ם)</w:t>
      </w:r>
      <w:r w:rsidR="003C2CC4" w:rsidRPr="003C2CC4">
        <w:rPr>
          <w:rFonts w:cs="Arial"/>
          <w:rtl/>
        </w:rPr>
        <w:t>.</w:t>
      </w:r>
      <w:r w:rsidR="007C63A1" w:rsidRPr="007C63A1">
        <w:rPr>
          <w:rFonts w:hint="cs"/>
          <w:color w:val="E36C0A" w:themeColor="accent6" w:themeShade="BF"/>
          <w:rtl/>
        </w:rPr>
        <w:t xml:space="preserve"> </w:t>
      </w:r>
      <w:r w:rsidR="007C63A1" w:rsidRPr="0095477C">
        <w:rPr>
          <w:rFonts w:hint="cs"/>
          <w:color w:val="E36C0A" w:themeColor="accent6" w:themeShade="BF"/>
          <w:rtl/>
        </w:rPr>
        <w:t>(וכ"פ בשו"ע)</w:t>
      </w:r>
    </w:p>
    <w:p w14:paraId="0FAFE476" w14:textId="2228B3F5" w:rsidR="00FC6042" w:rsidRPr="00FC6042" w:rsidRDefault="00FC6042" w:rsidP="00FC6042">
      <w:pPr>
        <w:ind w:left="360"/>
        <w:rPr>
          <w:u w:val="dotted"/>
        </w:rPr>
      </w:pPr>
      <w:r w:rsidRPr="00FC6042">
        <w:rPr>
          <w:rFonts w:hint="cs"/>
          <w:u w:val="dotted"/>
          <w:rtl/>
        </w:rPr>
        <w:t>ומה הדין אם אין הנכסים קיימים:</w:t>
      </w:r>
    </w:p>
    <w:p w14:paraId="194E8F40" w14:textId="33290C78" w:rsidR="00D3507C" w:rsidRPr="00D3507C" w:rsidRDefault="00FC6042" w:rsidP="009000E3">
      <w:pPr>
        <w:pStyle w:val="ab"/>
        <w:numPr>
          <w:ilvl w:val="0"/>
          <w:numId w:val="84"/>
        </w:numPr>
      </w:pPr>
      <w:r>
        <w:rPr>
          <w:rFonts w:cs="Arial" w:hint="cs"/>
          <w:rtl/>
        </w:rPr>
        <w:t>הה"מ</w:t>
      </w:r>
      <w:r w:rsidR="00AC7A94" w:rsidRPr="00FC6042">
        <w:rPr>
          <w:rFonts w:cs="Arial"/>
          <w:sz w:val="16"/>
          <w:szCs w:val="16"/>
          <w:rtl/>
        </w:rPr>
        <w:t xml:space="preserve"> (</w:t>
      </w:r>
      <w:r w:rsidRPr="00FC6042">
        <w:rPr>
          <w:rFonts w:cs="Arial" w:hint="cs"/>
          <w:sz w:val="16"/>
          <w:szCs w:val="16"/>
          <w:rtl/>
        </w:rPr>
        <w:t xml:space="preserve">שם </w:t>
      </w:r>
      <w:r w:rsidR="00AC7A94" w:rsidRPr="00FC6042">
        <w:rPr>
          <w:rFonts w:cs="Arial"/>
          <w:sz w:val="16"/>
          <w:szCs w:val="16"/>
          <w:rtl/>
        </w:rPr>
        <w:t>ה"ט)</w:t>
      </w:r>
      <w:r>
        <w:rPr>
          <w:rFonts w:cs="Arial" w:hint="cs"/>
          <w:rtl/>
        </w:rPr>
        <w:t>-</w:t>
      </w:r>
      <w:r w:rsidR="00AC7A94" w:rsidRPr="00FC6042">
        <w:rPr>
          <w:rFonts w:cs="Arial"/>
          <w:rtl/>
        </w:rPr>
        <w:t xml:space="preserve"> ביאור דברי רבינו הוא בשאותם הנכסים שהכניסה לו הם בעין קיימים</w:t>
      </w:r>
      <w:r w:rsidR="003C2CC4" w:rsidRPr="00FC6042">
        <w:rPr>
          <w:rFonts w:cs="Arial" w:hint="cs"/>
          <w:rtl/>
        </w:rPr>
        <w:t>,</w:t>
      </w:r>
      <w:r w:rsidR="00AC7A94" w:rsidRPr="00FC6042">
        <w:rPr>
          <w:rFonts w:cs="Arial"/>
          <w:rtl/>
        </w:rPr>
        <w:t xml:space="preserve"> וכבר נתבאר בפ</w:t>
      </w:r>
      <w:r w:rsidRPr="00FC6042">
        <w:rPr>
          <w:rFonts w:cs="Arial" w:hint="cs"/>
          <w:rtl/>
        </w:rPr>
        <w:t>ט"ז</w:t>
      </w:r>
      <w:r>
        <w:rPr>
          <w:rStyle w:val="a7"/>
          <w:rFonts w:cs="Arial"/>
          <w:rtl/>
        </w:rPr>
        <w:footnoteReference w:id="1716"/>
      </w:r>
      <w:r w:rsidR="00AC7A94" w:rsidRPr="00FC6042">
        <w:rPr>
          <w:rFonts w:cs="Arial"/>
          <w:rtl/>
        </w:rPr>
        <w:t xml:space="preserve"> (הי"ג) שאם נתייחד לה קרקע</w:t>
      </w:r>
      <w:r w:rsidR="003C2CC4" w:rsidRPr="00FC6042">
        <w:rPr>
          <w:rFonts w:cs="Arial" w:hint="cs"/>
          <w:rtl/>
        </w:rPr>
        <w:t>,</w:t>
      </w:r>
      <w:r w:rsidR="00AC7A94" w:rsidRPr="00FC6042">
        <w:rPr>
          <w:rFonts w:cs="Arial"/>
          <w:rtl/>
        </w:rPr>
        <w:t xml:space="preserve"> או מטלטלין שלה קיימים</w:t>
      </w:r>
      <w:r w:rsidR="003C2CC4" w:rsidRPr="00FC6042">
        <w:rPr>
          <w:rFonts w:cs="Arial" w:hint="cs"/>
          <w:rtl/>
        </w:rPr>
        <w:t>,</w:t>
      </w:r>
      <w:r w:rsidR="00AC7A94" w:rsidRPr="00FC6042">
        <w:rPr>
          <w:rFonts w:cs="Arial"/>
          <w:rtl/>
        </w:rPr>
        <w:t xml:space="preserve"> שגובה אות</w:t>
      </w:r>
      <w:r w:rsidR="003C2CC4" w:rsidRPr="00FC6042">
        <w:rPr>
          <w:rFonts w:cs="Arial" w:hint="cs"/>
          <w:rtl/>
        </w:rPr>
        <w:t>ם</w:t>
      </w:r>
      <w:r w:rsidR="00AC7A94" w:rsidRPr="00FC6042">
        <w:rPr>
          <w:rFonts w:cs="Arial"/>
          <w:rtl/>
        </w:rPr>
        <w:t xml:space="preserve"> בלא שבועה</w:t>
      </w:r>
      <w:r w:rsidR="009F0314" w:rsidRPr="00FC6042">
        <w:rPr>
          <w:rFonts w:cs="Arial" w:hint="cs"/>
          <w:rtl/>
        </w:rPr>
        <w:t>,</w:t>
      </w:r>
      <w:r w:rsidR="00AC7A94" w:rsidRPr="00FC6042">
        <w:rPr>
          <w:rFonts w:cs="Arial"/>
          <w:rtl/>
        </w:rPr>
        <w:t xml:space="preserve"> שיורשיה יורשים הנדוניא</w:t>
      </w:r>
      <w:r w:rsidR="009F0314" w:rsidRPr="00FC6042">
        <w:rPr>
          <w:rFonts w:cs="Arial" w:hint="cs"/>
          <w:rtl/>
        </w:rPr>
        <w:t>,</w:t>
      </w:r>
      <w:r w:rsidR="00AC7A94" w:rsidRPr="00FC6042">
        <w:rPr>
          <w:rFonts w:cs="Arial"/>
          <w:rtl/>
        </w:rPr>
        <w:t xml:space="preserve"> וז"ש ואם היה בהם מותר חוזר ליורשי הבעל</w:t>
      </w:r>
      <w:r w:rsidR="009F0314" w:rsidRPr="00FC6042">
        <w:rPr>
          <w:rFonts w:cs="Arial" w:hint="cs"/>
          <w:rtl/>
        </w:rPr>
        <w:t>.</w:t>
      </w:r>
      <w:r w:rsidR="00AC7A94" w:rsidRPr="00FC6042">
        <w:rPr>
          <w:rFonts w:cs="Arial"/>
          <w:rtl/>
        </w:rPr>
        <w:t xml:space="preserve"> אבל ודאי אם נאבדה הנדוניא או אם נפחתה ובאה לגבות מן היורשים צריכה היא לישבע</w:t>
      </w:r>
      <w:r w:rsidR="009F0314" w:rsidRPr="00FC6042">
        <w:rPr>
          <w:rFonts w:cs="Arial" w:hint="cs"/>
          <w:rtl/>
        </w:rPr>
        <w:t>,</w:t>
      </w:r>
      <w:r w:rsidR="00AC7A94" w:rsidRPr="00FC6042">
        <w:rPr>
          <w:rFonts w:cs="Arial"/>
          <w:rtl/>
        </w:rPr>
        <w:t xml:space="preserve"> ואם מתה בלא שבועה ודאי אין יורשיה נוטלין</w:t>
      </w:r>
      <w:r w:rsidR="00B9007D">
        <w:rPr>
          <w:rStyle w:val="a7"/>
          <w:rFonts w:cs="Arial"/>
          <w:rtl/>
        </w:rPr>
        <w:footnoteReference w:id="1717"/>
      </w:r>
      <w:r w:rsidR="00B612E2" w:rsidRPr="00FC6042">
        <w:rPr>
          <w:rFonts w:cs="Arial" w:hint="cs"/>
          <w:rtl/>
        </w:rPr>
        <w:t>,</w:t>
      </w:r>
      <w:r w:rsidR="00AC7A94" w:rsidRPr="00FC6042">
        <w:rPr>
          <w:rFonts w:cs="Arial"/>
          <w:rtl/>
        </w:rPr>
        <w:t xml:space="preserve"> דלא עדיף מחוב דעלמא שאין אדם מוריש שבועה לבניו כנזכר פי"ז מהל</w:t>
      </w:r>
      <w:r w:rsidR="00B612E2" w:rsidRPr="00FC6042">
        <w:rPr>
          <w:rFonts w:cs="Arial" w:hint="cs"/>
          <w:rtl/>
        </w:rPr>
        <w:t>'</w:t>
      </w:r>
      <w:r w:rsidR="00AC7A94" w:rsidRPr="00FC6042">
        <w:rPr>
          <w:rFonts w:cs="Arial"/>
          <w:rtl/>
        </w:rPr>
        <w:t xml:space="preserve"> מלוה ולוה (ה"ג)</w:t>
      </w:r>
      <w:r w:rsidR="00B612E2" w:rsidRPr="00FC6042">
        <w:rPr>
          <w:rFonts w:cs="Arial" w:hint="cs"/>
          <w:rtl/>
        </w:rPr>
        <w:t>.</w:t>
      </w:r>
      <w:r w:rsidR="00AC7A94" w:rsidRPr="00FC6042">
        <w:rPr>
          <w:rFonts w:cs="Arial"/>
          <w:rtl/>
        </w:rPr>
        <w:t xml:space="preserve"> וכן מבואר בעיטור (אות כ כתובות לא ע"ג) ודברים ברורים הם</w:t>
      </w:r>
      <w:r>
        <w:rPr>
          <w:rFonts w:cs="Arial" w:hint="cs"/>
          <w:rtl/>
        </w:rPr>
        <w:t>.</w:t>
      </w:r>
      <w:r w:rsidR="007C63A1" w:rsidRPr="007C63A1">
        <w:rPr>
          <w:rFonts w:hint="cs"/>
          <w:color w:val="E36C0A" w:themeColor="accent6" w:themeShade="BF"/>
          <w:rtl/>
        </w:rPr>
        <w:t xml:space="preserve"> </w:t>
      </w:r>
      <w:r w:rsidR="007C63A1" w:rsidRPr="0095477C">
        <w:rPr>
          <w:rFonts w:hint="cs"/>
          <w:color w:val="E36C0A" w:themeColor="accent6" w:themeShade="BF"/>
          <w:rtl/>
        </w:rPr>
        <w:t>(וכ"פ בשו"ע)</w:t>
      </w:r>
    </w:p>
    <w:p w14:paraId="7156F84E" w14:textId="04F75DB1" w:rsidR="00565070" w:rsidRPr="00020B3F" w:rsidRDefault="00565070" w:rsidP="00565070">
      <w:pPr>
        <w:rPr>
          <w:u w:val="single"/>
        </w:rPr>
      </w:pPr>
      <w:r w:rsidRPr="00020B3F">
        <w:rPr>
          <w:rFonts w:hint="cs"/>
          <w:u w:val="single"/>
          <w:rtl/>
        </w:rPr>
        <w:t>אלמנה ש</w:t>
      </w:r>
      <w:r w:rsidR="00020B3F">
        <w:rPr>
          <w:rFonts w:hint="cs"/>
          <w:u w:val="single"/>
          <w:rtl/>
        </w:rPr>
        <w:t>ו</w:t>
      </w:r>
      <w:r w:rsidR="00E265F6" w:rsidRPr="00020B3F">
        <w:rPr>
          <w:rFonts w:hint="cs"/>
          <w:u w:val="single"/>
          <w:rtl/>
        </w:rPr>
        <w:t xml:space="preserve">טה </w:t>
      </w:r>
      <w:r w:rsidR="00020B3F">
        <w:rPr>
          <w:rFonts w:hint="cs"/>
          <w:u w:val="single"/>
          <w:rtl/>
        </w:rPr>
        <w:t>ש</w:t>
      </w:r>
      <w:r w:rsidR="00E265F6" w:rsidRPr="00020B3F">
        <w:rPr>
          <w:rFonts w:hint="cs"/>
          <w:u w:val="single"/>
          <w:rtl/>
        </w:rPr>
        <w:t xml:space="preserve">יורשיה תובעים כתובתה מיורשי </w:t>
      </w:r>
      <w:r w:rsidR="00020B3F">
        <w:rPr>
          <w:rFonts w:hint="cs"/>
          <w:u w:val="single"/>
          <w:rtl/>
        </w:rPr>
        <w:t>ה</w:t>
      </w:r>
      <w:r w:rsidR="00E265F6" w:rsidRPr="00020B3F">
        <w:rPr>
          <w:rFonts w:hint="cs"/>
          <w:u w:val="single"/>
          <w:rtl/>
        </w:rPr>
        <w:t>בעל:</w:t>
      </w:r>
    </w:p>
    <w:p w14:paraId="51F1699F" w14:textId="19B992F0" w:rsidR="0063508D" w:rsidRDefault="004E35F2" w:rsidP="009000E3">
      <w:pPr>
        <w:pStyle w:val="ab"/>
        <w:numPr>
          <w:ilvl w:val="0"/>
          <w:numId w:val="84"/>
        </w:numPr>
        <w:rPr>
          <w:rFonts w:cs="Arial"/>
        </w:rPr>
      </w:pPr>
      <w:r w:rsidRPr="008D597D">
        <w:rPr>
          <w:rFonts w:cs="Arial"/>
          <w:rtl/>
        </w:rPr>
        <w:t xml:space="preserve">רשב"א </w:t>
      </w:r>
      <w:r w:rsidR="00020B3F">
        <w:rPr>
          <w:rFonts w:cs="Arial" w:hint="cs"/>
          <w:sz w:val="16"/>
          <w:szCs w:val="16"/>
          <w:rtl/>
        </w:rPr>
        <w:t>(במיוחסות סי' סו)</w:t>
      </w:r>
      <w:r w:rsidR="008D597D">
        <w:rPr>
          <w:rFonts w:cs="Arial" w:hint="cs"/>
          <w:rtl/>
        </w:rPr>
        <w:t>-</w:t>
      </w:r>
      <w:r w:rsidRPr="008D597D">
        <w:rPr>
          <w:rFonts w:cs="Arial"/>
          <w:rtl/>
        </w:rPr>
        <w:t xml:space="preserve"> </w:t>
      </w:r>
      <w:r w:rsidR="0063508D" w:rsidRPr="0063508D">
        <w:rPr>
          <w:rFonts w:cs="Arial"/>
          <w:rtl/>
        </w:rPr>
        <w:t>שאלה</w:t>
      </w:r>
      <w:r w:rsidR="0063508D">
        <w:rPr>
          <w:rFonts w:cs="Arial" w:hint="cs"/>
          <w:rtl/>
        </w:rPr>
        <w:t>:</w:t>
      </w:r>
      <w:r w:rsidR="0063508D" w:rsidRPr="0063508D">
        <w:rPr>
          <w:rFonts w:cs="Arial"/>
          <w:rtl/>
        </w:rPr>
        <w:t xml:space="preserve"> לאה אשת בנימין אינה בדעתה זה כמה שנים מחמת חלי כבד שחלתה. ואינה מדברת ואינה מכרת שום בריה. ועכשיו יורשיה תובעין מיורשי בנימין הנזכר שטר כתובתה ומתנתה. ויורשי בנימין טוענין שאין יכולים יורשיה לתבוע בעדה שום דבר אחר שאינה בדעתה כלל. הודיעני הדין עם מי. </w:t>
      </w:r>
      <w:r w:rsidR="00145700">
        <w:rPr>
          <w:rFonts w:cs="Arial" w:hint="cs"/>
          <w:rtl/>
        </w:rPr>
        <w:t xml:space="preserve">    </w:t>
      </w:r>
      <w:r w:rsidR="0063508D" w:rsidRPr="00145700">
        <w:rPr>
          <w:rFonts w:cs="Arial"/>
          <w:rtl/>
        </w:rPr>
        <w:t>תשובה</w:t>
      </w:r>
      <w:r w:rsidR="00145700">
        <w:rPr>
          <w:rFonts w:cs="Arial" w:hint="cs"/>
          <w:rtl/>
        </w:rPr>
        <w:t>:</w:t>
      </w:r>
      <w:r w:rsidR="0063508D" w:rsidRPr="00145700">
        <w:rPr>
          <w:rFonts w:cs="Arial"/>
          <w:rtl/>
        </w:rPr>
        <w:t xml:space="preserve"> הדין עם יורשי הבעל. ואין ליורשיה לתבוע כתובתה מכמה טעמים. חדא</w:t>
      </w:r>
      <w:r w:rsidR="00145700">
        <w:rPr>
          <w:rFonts w:cs="Arial" w:hint="cs"/>
          <w:rtl/>
        </w:rPr>
        <w:t>,</w:t>
      </w:r>
      <w:r w:rsidR="0063508D" w:rsidRPr="00145700">
        <w:rPr>
          <w:rFonts w:cs="Arial"/>
          <w:rtl/>
        </w:rPr>
        <w:t xml:space="preserve"> דאין האלמנה גובה כתובתה מהיתומים אלא בשבועה וזו לא נשבעה. ועוד</w:t>
      </w:r>
      <w:r w:rsidR="00145700">
        <w:rPr>
          <w:rFonts w:cs="Arial" w:hint="cs"/>
          <w:rtl/>
        </w:rPr>
        <w:t>,</w:t>
      </w:r>
      <w:r w:rsidR="0063508D" w:rsidRPr="00145700">
        <w:rPr>
          <w:rFonts w:cs="Arial"/>
          <w:rtl/>
        </w:rPr>
        <w:t xml:space="preserve"> דהא טבא לה משום דנכסי הבעל בחזקת ניזונת על ידי כתובה</w:t>
      </w:r>
      <w:r w:rsidR="00145700">
        <w:rPr>
          <w:rFonts w:cs="Arial" w:hint="cs"/>
          <w:rtl/>
        </w:rPr>
        <w:t>,</w:t>
      </w:r>
      <w:r w:rsidR="0063508D" w:rsidRPr="00145700">
        <w:rPr>
          <w:rFonts w:cs="Arial"/>
          <w:rtl/>
        </w:rPr>
        <w:t xml:space="preserve"> ואם יגבו כתובתה תפסיד מזונותיה</w:t>
      </w:r>
      <w:r w:rsidR="00145700">
        <w:rPr>
          <w:rFonts w:cs="Arial" w:hint="cs"/>
          <w:rtl/>
        </w:rPr>
        <w:t>,</w:t>
      </w:r>
      <w:r w:rsidR="0063508D" w:rsidRPr="00145700">
        <w:rPr>
          <w:rFonts w:cs="Arial"/>
          <w:rtl/>
        </w:rPr>
        <w:t xml:space="preserve"> ושמא יופסדו הנכסים ביד יורשיה וישמטו ויאכלו אותם</w:t>
      </w:r>
      <w:r w:rsidR="00145700">
        <w:rPr>
          <w:rFonts w:cs="Arial" w:hint="cs"/>
          <w:rtl/>
        </w:rPr>
        <w:t>,</w:t>
      </w:r>
      <w:r w:rsidR="0063508D" w:rsidRPr="00145700">
        <w:rPr>
          <w:rFonts w:cs="Arial"/>
          <w:rtl/>
        </w:rPr>
        <w:t xml:space="preserve"> ונמצאת היא מפסדת כתובתה ומזונותיה. ועוד</w:t>
      </w:r>
      <w:r w:rsidR="00145700">
        <w:rPr>
          <w:rFonts w:cs="Arial" w:hint="cs"/>
          <w:rtl/>
        </w:rPr>
        <w:t>,</w:t>
      </w:r>
      <w:r w:rsidR="0063508D" w:rsidRPr="00145700">
        <w:rPr>
          <w:rFonts w:cs="Arial"/>
          <w:rtl/>
        </w:rPr>
        <w:t xml:space="preserve"> דבר מן דין אילו היה הדין לגבות כתובה לא היו גובים היורשים אלא ב"ד</w:t>
      </w:r>
      <w:r w:rsidR="00145700">
        <w:rPr>
          <w:rFonts w:cs="Arial" w:hint="cs"/>
          <w:rtl/>
        </w:rPr>
        <w:t>,</w:t>
      </w:r>
      <w:r w:rsidR="0063508D" w:rsidRPr="00145700">
        <w:rPr>
          <w:rFonts w:cs="Arial"/>
          <w:rtl/>
        </w:rPr>
        <w:t xml:space="preserve"> וכדגרסינן פרק נערה (</w:t>
      </w:r>
      <w:r w:rsidR="00145700">
        <w:rPr>
          <w:rFonts w:cs="Arial" w:hint="cs"/>
          <w:rtl/>
        </w:rPr>
        <w:t xml:space="preserve">כתובות </w:t>
      </w:r>
      <w:r w:rsidR="0063508D" w:rsidRPr="00145700">
        <w:rPr>
          <w:rFonts w:cs="Arial"/>
          <w:rtl/>
        </w:rPr>
        <w:t>מח</w:t>
      </w:r>
      <w:r w:rsidR="00145700">
        <w:rPr>
          <w:rFonts w:cs="Arial" w:hint="cs"/>
          <w:rtl/>
        </w:rPr>
        <w:t>.</w:t>
      </w:r>
      <w:r w:rsidR="0063508D" w:rsidRPr="00145700">
        <w:rPr>
          <w:rFonts w:cs="Arial"/>
          <w:rtl/>
        </w:rPr>
        <w:t>) אמר מר עוקבא מי שנשתטה בית דין יורדין לנכסיו וזנין ומפרנסין אשתו ובניו ובנותיו וד"א. ועוד</w:t>
      </w:r>
      <w:r w:rsidR="0065225F">
        <w:rPr>
          <w:rFonts w:cs="Arial" w:hint="cs"/>
          <w:rtl/>
        </w:rPr>
        <w:t>,</w:t>
      </w:r>
      <w:r w:rsidR="0063508D" w:rsidRPr="00145700">
        <w:rPr>
          <w:rFonts w:cs="Arial"/>
          <w:rtl/>
        </w:rPr>
        <w:t xml:space="preserve"> דהיא כשבוי</w:t>
      </w:r>
      <w:r w:rsidR="0065225F">
        <w:rPr>
          <w:rFonts w:cs="Arial" w:hint="cs"/>
          <w:rtl/>
        </w:rPr>
        <w:t>,</w:t>
      </w:r>
      <w:r w:rsidR="0063508D" w:rsidRPr="00145700">
        <w:rPr>
          <w:rFonts w:cs="Arial"/>
          <w:rtl/>
        </w:rPr>
        <w:t xml:space="preserve"> וגרסינן בפרק המפקיד (</w:t>
      </w:r>
      <w:r w:rsidR="0065225F">
        <w:rPr>
          <w:rFonts w:cs="Arial" w:hint="cs"/>
          <w:rtl/>
        </w:rPr>
        <w:t xml:space="preserve">ב"מ </w:t>
      </w:r>
      <w:r w:rsidR="0063508D" w:rsidRPr="00145700">
        <w:rPr>
          <w:rFonts w:cs="Arial"/>
          <w:rtl/>
        </w:rPr>
        <w:t>לט</w:t>
      </w:r>
      <w:r w:rsidR="0065225F">
        <w:rPr>
          <w:rFonts w:cs="Arial" w:hint="cs"/>
          <w:rtl/>
        </w:rPr>
        <w:t>.</w:t>
      </w:r>
      <w:r w:rsidR="0063508D" w:rsidRPr="00145700">
        <w:rPr>
          <w:rFonts w:cs="Arial"/>
          <w:rtl/>
        </w:rPr>
        <w:t xml:space="preserve">) אמר רב יהודה אמר שמואל שבוי שנשבה והניח קמה לקצור ענבים לבצור זיתים למסוק ב"ד יורדין לנכסיו ומעמידין לו אפוטרופוס וקוצר ובוצר ומוסק. וחוב וכתובה כקמה לקצור וענבים לבצור שאין מניחין היורשים לירד להם. אלא שאין אנו צריכים לכך מן הטעמים שאמרתי למעלה. ומיהו ב"ד מעמידין אפוטרופוס לכל מי שנשתטה לפקח על נכסיו בכל מה שיהא לו בו תיקון. דאפילו בשבוי שנשבה שאלו בגמרא בההיא דהניח קמה לקצור </w:t>
      </w:r>
      <w:r w:rsidR="0065225F">
        <w:rPr>
          <w:rFonts w:cs="Arial" w:hint="cs"/>
          <w:rtl/>
        </w:rPr>
        <w:t>(</w:t>
      </w:r>
      <w:r w:rsidR="0063508D" w:rsidRPr="00145700">
        <w:rPr>
          <w:rFonts w:cs="Arial"/>
          <w:rtl/>
        </w:rPr>
        <w:t>ב</w:t>
      </w:r>
      <w:r w:rsidR="0065225F">
        <w:rPr>
          <w:rFonts w:cs="Arial" w:hint="cs"/>
          <w:rtl/>
        </w:rPr>
        <w:t>"מ</w:t>
      </w:r>
      <w:r w:rsidR="0063508D" w:rsidRPr="00145700">
        <w:rPr>
          <w:rFonts w:cs="Arial"/>
          <w:rtl/>
        </w:rPr>
        <w:t xml:space="preserve"> לט</w:t>
      </w:r>
      <w:r w:rsidR="0065225F">
        <w:rPr>
          <w:rFonts w:cs="Arial" w:hint="cs"/>
          <w:rtl/>
        </w:rPr>
        <w:t>.)</w:t>
      </w:r>
      <w:r w:rsidR="0063508D" w:rsidRPr="00145700">
        <w:rPr>
          <w:rFonts w:cs="Arial"/>
          <w:rtl/>
        </w:rPr>
        <w:t xml:space="preserve"> ונוקי אפוטרופוס לעולם, ופריק אפוטרופוס לדיקנני לא מוקמינן. אלמא בעלמא מוקמינן. ושוטה מצוה לפקח בנכסיו כקטן.</w:t>
      </w:r>
      <w:r w:rsidR="00323526" w:rsidRPr="002F4458">
        <w:rPr>
          <w:rFonts w:cs="Arial"/>
          <w:color w:val="00B0F0"/>
          <w:rtl/>
        </w:rPr>
        <w:t xml:space="preserve"> </w:t>
      </w:r>
      <w:r w:rsidR="00323526" w:rsidRPr="002F4458">
        <w:rPr>
          <w:rFonts w:hint="cs"/>
          <w:color w:val="00B0F0"/>
          <w:rtl/>
        </w:rPr>
        <w:t>(וכ"פ הרמ"א)</w:t>
      </w:r>
      <w:r w:rsidR="0063508D" w:rsidRPr="00145700">
        <w:rPr>
          <w:rFonts w:cs="Arial"/>
          <w:rtl/>
        </w:rPr>
        <w:t xml:space="preserve"> </w:t>
      </w:r>
    </w:p>
    <w:p w14:paraId="4C28832C" w14:textId="0B216770" w:rsidR="00493BD6" w:rsidRPr="0011674D" w:rsidRDefault="00493BD6" w:rsidP="00493BD6">
      <w:pPr>
        <w:rPr>
          <w:rFonts w:cs="Arial"/>
          <w:u w:val="single"/>
        </w:rPr>
      </w:pPr>
      <w:r w:rsidRPr="0011674D">
        <w:rPr>
          <w:rFonts w:cs="Arial" w:hint="cs"/>
          <w:u w:val="single"/>
          <w:rtl/>
        </w:rPr>
        <w:t>יורשים שטוענים שהאלמ</w:t>
      </w:r>
      <w:r w:rsidR="001B1C22">
        <w:rPr>
          <w:rFonts w:cs="Arial" w:hint="cs"/>
          <w:u w:val="single"/>
          <w:rtl/>
        </w:rPr>
        <w:t>נ</w:t>
      </w:r>
      <w:r w:rsidRPr="0011674D">
        <w:rPr>
          <w:rFonts w:cs="Arial" w:hint="cs"/>
          <w:u w:val="single"/>
          <w:rtl/>
        </w:rPr>
        <w:t>ה קיבלה חלק מכתובתה</w:t>
      </w:r>
      <w:r w:rsidR="0011674D">
        <w:rPr>
          <w:rFonts w:cs="Arial" w:hint="cs"/>
          <w:u w:val="single"/>
          <w:rtl/>
        </w:rPr>
        <w:t xml:space="preserve"> בחיי הבעל</w:t>
      </w:r>
      <w:r w:rsidRPr="0011674D">
        <w:rPr>
          <w:rFonts w:cs="Arial" w:hint="cs"/>
          <w:u w:val="single"/>
          <w:rtl/>
        </w:rPr>
        <w:t xml:space="preserve"> כיון שרשום שטר </w:t>
      </w:r>
      <w:r w:rsidR="0011674D" w:rsidRPr="0011674D">
        <w:rPr>
          <w:rFonts w:cs="Arial" w:hint="cs"/>
          <w:u w:val="single"/>
          <w:rtl/>
        </w:rPr>
        <w:t xml:space="preserve">מכירה </w:t>
      </w:r>
      <w:r w:rsidR="0011674D">
        <w:rPr>
          <w:rFonts w:cs="Arial" w:hint="cs"/>
          <w:u w:val="single"/>
          <w:rtl/>
        </w:rPr>
        <w:t xml:space="preserve">גם </w:t>
      </w:r>
      <w:r w:rsidR="0011674D" w:rsidRPr="0011674D">
        <w:rPr>
          <w:rFonts w:cs="Arial" w:hint="cs"/>
          <w:u w:val="single"/>
          <w:rtl/>
        </w:rPr>
        <w:t>על שמה:</w:t>
      </w:r>
    </w:p>
    <w:p w14:paraId="0D18C9FA" w14:textId="6AC9EF26" w:rsidR="00493BD6" w:rsidRPr="00493BD6" w:rsidRDefault="00493BD6" w:rsidP="009000E3">
      <w:pPr>
        <w:pStyle w:val="ab"/>
        <w:numPr>
          <w:ilvl w:val="0"/>
          <w:numId w:val="84"/>
        </w:numPr>
        <w:rPr>
          <w:rFonts w:cs="Arial"/>
        </w:rPr>
      </w:pPr>
      <w:r w:rsidRPr="008D597D">
        <w:rPr>
          <w:rFonts w:cs="Arial"/>
          <w:rtl/>
        </w:rPr>
        <w:t xml:space="preserve">רשב"א </w:t>
      </w:r>
      <w:r>
        <w:rPr>
          <w:rFonts w:cs="Arial" w:hint="cs"/>
          <w:sz w:val="16"/>
          <w:szCs w:val="16"/>
          <w:rtl/>
        </w:rPr>
        <w:t>(במיוחסות סי' לו)</w:t>
      </w:r>
      <w:r>
        <w:rPr>
          <w:rFonts w:cs="Arial" w:hint="cs"/>
          <w:rtl/>
        </w:rPr>
        <w:t xml:space="preserve">- </w:t>
      </w:r>
      <w:r w:rsidRPr="00493BD6">
        <w:rPr>
          <w:rFonts w:cs="Arial"/>
          <w:rtl/>
        </w:rPr>
        <w:t>שאלה</w:t>
      </w:r>
      <w:r>
        <w:rPr>
          <w:rFonts w:cs="Arial" w:hint="cs"/>
          <w:rtl/>
        </w:rPr>
        <w:t>:</w:t>
      </w:r>
      <w:r w:rsidRPr="00493BD6">
        <w:rPr>
          <w:rFonts w:cs="Arial"/>
          <w:rtl/>
        </w:rPr>
        <w:t xml:space="preserve"> יעקב ולאה אשתו מכרו כרם אחד שהיה ליעקב. וכתוב בשטר המכירה שקבלו יעקב ולאה מאתים זהובים מדמי הכרם. ואחר כך מת יעקב ובאה לאה לגבות כתובתה מנכסי יעקב. וראובן בן יעקב טוען שכבר קבלה היא מנכסי יעקב מאה זהובים. שהרי קבלה מחצית דמי הכרם. ולאה טוענת אמת הוא שמכרתי הכרם עם יעקב בעלי אבל לא קבלתי מהם כלום אע</w:t>
      </w:r>
      <w:r w:rsidR="001B1C22">
        <w:rPr>
          <w:rFonts w:cs="Arial" w:hint="cs"/>
          <w:rtl/>
        </w:rPr>
        <w:t>"</w:t>
      </w:r>
      <w:r w:rsidRPr="00493BD6">
        <w:rPr>
          <w:rFonts w:cs="Arial"/>
          <w:rtl/>
        </w:rPr>
        <w:t>פ שכתוב בשטר. הדין עם מי</w:t>
      </w:r>
      <w:r>
        <w:rPr>
          <w:rFonts w:cs="Arial" w:hint="cs"/>
          <w:rtl/>
        </w:rPr>
        <w:t xml:space="preserve">.     </w:t>
      </w:r>
      <w:r w:rsidRPr="00493BD6">
        <w:rPr>
          <w:rFonts w:cs="Arial"/>
          <w:rtl/>
        </w:rPr>
        <w:t>תשובה</w:t>
      </w:r>
      <w:r>
        <w:rPr>
          <w:rFonts w:cs="Arial" w:hint="cs"/>
          <w:rtl/>
        </w:rPr>
        <w:t>:</w:t>
      </w:r>
      <w:r w:rsidRPr="00493BD6">
        <w:rPr>
          <w:rFonts w:cs="Arial"/>
          <w:rtl/>
        </w:rPr>
        <w:t xml:space="preserve"> הדין עם האלמנה מכמה טעמים. האחד</w:t>
      </w:r>
      <w:r>
        <w:rPr>
          <w:rFonts w:cs="Arial" w:hint="cs"/>
          <w:rtl/>
        </w:rPr>
        <w:t>,</w:t>
      </w:r>
      <w:r w:rsidRPr="00493BD6">
        <w:rPr>
          <w:rFonts w:cs="Arial"/>
          <w:rtl/>
        </w:rPr>
        <w:t xml:space="preserve"> שכן דרך המוכרים בין איש לאשתו בין אב ובנים שכותבין כן אע</w:t>
      </w:r>
      <w:r>
        <w:rPr>
          <w:rFonts w:cs="Arial" w:hint="cs"/>
          <w:rtl/>
        </w:rPr>
        <w:t>"</w:t>
      </w:r>
      <w:r w:rsidRPr="00493BD6">
        <w:rPr>
          <w:rFonts w:cs="Arial"/>
          <w:rtl/>
        </w:rPr>
        <w:t>פ שאין לוקח מעות המכר אלא האחד. ולשופרא דשטרא רוצה הלוקח שיכתבו לו כל המוכרים שהם לקחו מידו כך וכך מעות ומכרו לו בהם קרקע פלוני. ודבר זה פשוט בכל המקומות. ועוד שאפילו נודע באמת שהיא קבלה מחצית המעות ושהוציאתן בצרכיה או נתנתן לאחרים אפילו הכי אין מנכין לה מכתובתה כלום. חדא</w:t>
      </w:r>
      <w:r>
        <w:rPr>
          <w:rFonts w:cs="Arial" w:hint="cs"/>
          <w:rtl/>
        </w:rPr>
        <w:t>,</w:t>
      </w:r>
      <w:r w:rsidRPr="00493BD6">
        <w:rPr>
          <w:rFonts w:cs="Arial"/>
          <w:rtl/>
        </w:rPr>
        <w:t xml:space="preserve"> דאפשר שהבעל נתנה לה במתנה</w:t>
      </w:r>
      <w:r>
        <w:rPr>
          <w:rFonts w:cs="Arial" w:hint="cs"/>
          <w:rtl/>
        </w:rPr>
        <w:t>,</w:t>
      </w:r>
      <w:r w:rsidRPr="00493BD6">
        <w:rPr>
          <w:rFonts w:cs="Arial"/>
          <w:rtl/>
        </w:rPr>
        <w:t xml:space="preserve"> או שהיה חייב לה שלוה ממנה המעות שנתנו לה אחרים ע"מ שאין לבעלה רשות בהם</w:t>
      </w:r>
      <w:r>
        <w:rPr>
          <w:rFonts w:cs="Arial" w:hint="cs"/>
          <w:rtl/>
        </w:rPr>
        <w:t>,</w:t>
      </w:r>
      <w:r w:rsidRPr="00493BD6">
        <w:rPr>
          <w:rFonts w:cs="Arial"/>
          <w:rtl/>
        </w:rPr>
        <w:t xml:space="preserve"> או ממעות שהפקידו בידה אחרים. ואם אתה אומר כן אמור מעתה אילו ראינו שקבלה מיד הבעל מעות מועטים או מרובים נאמר שבפירעון כתובתה נתנם לה</w:t>
      </w:r>
      <w:r>
        <w:rPr>
          <w:rFonts w:cs="Arial" w:hint="cs"/>
          <w:rtl/>
        </w:rPr>
        <w:t>,</w:t>
      </w:r>
      <w:r w:rsidRPr="00493BD6">
        <w:rPr>
          <w:rFonts w:cs="Arial"/>
          <w:rtl/>
        </w:rPr>
        <w:t xml:space="preserve"> וזה אינו שא"כ לא הנחת בת לאברהם אבינו שיש לה כתובה</w:t>
      </w:r>
      <w:r>
        <w:rPr>
          <w:rFonts w:cs="Arial" w:hint="cs"/>
          <w:rtl/>
        </w:rPr>
        <w:t>,</w:t>
      </w:r>
      <w:r w:rsidRPr="00493BD6">
        <w:rPr>
          <w:rFonts w:cs="Arial"/>
          <w:rtl/>
        </w:rPr>
        <w:t xml:space="preserve"> שכל הנשים מקבלות מעות מיד בעליהן. ולא עוד אלא אפילו היה הבעל טוען </w:t>
      </w:r>
      <w:r w:rsidRPr="00493BD6">
        <w:rPr>
          <w:rFonts w:cs="Arial"/>
          <w:rtl/>
        </w:rPr>
        <w:lastRenderedPageBreak/>
        <w:t>בברי</w:t>
      </w:r>
      <w:r>
        <w:rPr>
          <w:rFonts w:cs="Arial" w:hint="cs"/>
          <w:rtl/>
        </w:rPr>
        <w:t>,</w:t>
      </w:r>
      <w:r w:rsidRPr="00493BD6">
        <w:rPr>
          <w:rFonts w:cs="Arial"/>
          <w:rtl/>
        </w:rPr>
        <w:t xml:space="preserve"> והיא אומרת במתנה נתנה לי </w:t>
      </w:r>
      <w:r>
        <w:rPr>
          <w:rFonts w:cs="Arial" w:hint="cs"/>
          <w:rtl/>
        </w:rPr>
        <w:t xml:space="preserve">- </w:t>
      </w:r>
      <w:r w:rsidRPr="00493BD6">
        <w:rPr>
          <w:rFonts w:cs="Arial"/>
          <w:rtl/>
        </w:rPr>
        <w:t>נאמנת כל זמן שלא הזכיר פירעון</w:t>
      </w:r>
      <w:r>
        <w:rPr>
          <w:rFonts w:cs="Arial" w:hint="cs"/>
          <w:rtl/>
        </w:rPr>
        <w:t>,</w:t>
      </w:r>
      <w:r w:rsidRPr="00493BD6">
        <w:rPr>
          <w:rFonts w:cs="Arial"/>
          <w:rtl/>
        </w:rPr>
        <w:t xml:space="preserve"> וכענין שאמרו פרק שבועת העדות (</w:t>
      </w:r>
      <w:r>
        <w:rPr>
          <w:rFonts w:cs="Arial" w:hint="cs"/>
          <w:rtl/>
        </w:rPr>
        <w:t xml:space="preserve">שבועות </w:t>
      </w:r>
      <w:r w:rsidRPr="00493BD6">
        <w:rPr>
          <w:rFonts w:cs="Arial"/>
          <w:rtl/>
        </w:rPr>
        <w:t>לד</w:t>
      </w:r>
      <w:r>
        <w:rPr>
          <w:rFonts w:cs="Arial" w:hint="cs"/>
          <w:rtl/>
        </w:rPr>
        <w:t>.</w:t>
      </w:r>
      <w:r w:rsidRPr="00493BD6">
        <w:rPr>
          <w:rFonts w:cs="Arial"/>
          <w:rtl/>
        </w:rPr>
        <w:t>) יתיב רב יהודה וקמבעי ליה מנה מכרתי לך בפני פלוני ופלוני ועדים רואים אותו מבחוץ מאי, אמר ליה רב המנונא והלה מה טוען, אי דאמר ליה להד"מ הוחזק כפרן. אי אמר במתנה נתנם לי כי אתו עדים מאי הוי, א"ל עול תא. כלומר הודה לדבריו ושבחו. וזו שאמרה לא נטלתי כלום לא הוחזקה כפרנית. שהא מודה היא שכן כתבה. אלא דלא נטלה שכן דרך האשה והבעל כשמוכרין כן. וכ"ש כאן שאין הבעל טוען נגדה כלום והיורש טוען בספק. ועוד שזה תוך הזמן היה. וחזקה אין אדם עשוי לפרוע תוך זמנו. וכדר"ל בריש פ"ק ב"ב (ה</w:t>
      </w:r>
      <w:r>
        <w:rPr>
          <w:rFonts w:cs="Arial" w:hint="cs"/>
          <w:rtl/>
        </w:rPr>
        <w:t>:</w:t>
      </w:r>
      <w:r w:rsidRPr="00493BD6">
        <w:rPr>
          <w:rFonts w:cs="Arial"/>
          <w:rtl/>
        </w:rPr>
        <w:t xml:space="preserve">) ואיפסיק הלכתא כוותיה. </w:t>
      </w:r>
    </w:p>
    <w:p w14:paraId="781D9C1C"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8550A00" w14:textId="3ECEAC6C" w:rsidR="00392DBB" w:rsidRDefault="00392DBB" w:rsidP="00392DBB">
      <w:pPr>
        <w:rPr>
          <w:rFonts w:cs="Arial"/>
          <w:rtl/>
        </w:rPr>
      </w:pPr>
      <w:r>
        <w:rPr>
          <w:rFonts w:cs="Arial"/>
          <w:rtl/>
        </w:rPr>
        <w:t>אין אלמנה גובה כתובתה, עיקר ותוספת, אלא בשבועה. ונ</w:t>
      </w:r>
      <w:r w:rsidR="008A708B">
        <w:rPr>
          <w:rFonts w:cs="Arial" w:hint="cs"/>
          <w:rtl/>
        </w:rPr>
        <w:t>כסי מלוג</w:t>
      </w:r>
      <w:r>
        <w:rPr>
          <w:rFonts w:cs="Arial"/>
          <w:rtl/>
        </w:rPr>
        <w:t xml:space="preserve"> ונכסי צ</w:t>
      </w:r>
      <w:r w:rsidR="008A708B">
        <w:rPr>
          <w:rFonts w:cs="Arial" w:hint="cs"/>
          <w:rtl/>
        </w:rPr>
        <w:t>אן ברזל</w:t>
      </w:r>
      <w:r>
        <w:rPr>
          <w:rFonts w:cs="Arial"/>
          <w:rtl/>
        </w:rPr>
        <w:t>, או נכסים שייחד לה בכתובתה בעין, אם אותם שהכניסה לו הם בעצמם קיימים, או דברים שידוע שבאו מכחם, נוטלת אותם בלא שבועה. ואם נכסי צאן ברזל אינם קיימים, ולא דברים הבאים מכחם, ובאה ליפרע מנכסיו, אינה נפרעת אלא בשבועה. וה</w:t>
      </w:r>
      <w:r w:rsidR="008A708B">
        <w:rPr>
          <w:rFonts w:cs="Arial" w:hint="cs"/>
          <w:rtl/>
        </w:rPr>
        <w:t>וא הדין</w:t>
      </w:r>
      <w:r>
        <w:rPr>
          <w:rFonts w:cs="Arial"/>
          <w:rtl/>
        </w:rPr>
        <w:t xml:space="preserve"> אם ייחד לה מטלטלים בכתובתה, שיש לחלק בהם כמו שחילקנו בנכסי צ</w:t>
      </w:r>
      <w:r w:rsidR="008A708B">
        <w:rPr>
          <w:rFonts w:cs="Arial" w:hint="cs"/>
          <w:rtl/>
        </w:rPr>
        <w:t>אן ברזל</w:t>
      </w:r>
      <w:r>
        <w:rPr>
          <w:rFonts w:cs="Arial"/>
          <w:rtl/>
        </w:rPr>
        <w:t xml:space="preserve">. ואם ייחד לה קרקע בכתובתה, אף על פי שלא פירש אלא מצד אחד, נוטלתו בלא שבועה. ואם מתה קודם שנשבעה, אין יורשיה יורשין כתובתה, שאין אדם מוריש לבניו ממון שאין יכול לגבותו אלא בשבועה. </w:t>
      </w:r>
      <w:r w:rsidRPr="002F794C">
        <w:rPr>
          <w:rFonts w:cs="Arial"/>
          <w:sz w:val="18"/>
          <w:szCs w:val="18"/>
          <w:rtl/>
        </w:rPr>
        <w:t>הגה: ועיין בחילוקי דין זה בח</w:t>
      </w:r>
      <w:r w:rsidR="00954357">
        <w:rPr>
          <w:rFonts w:cs="Arial" w:hint="cs"/>
          <w:sz w:val="18"/>
          <w:szCs w:val="18"/>
          <w:rtl/>
        </w:rPr>
        <w:t>ו"מ</w:t>
      </w:r>
      <w:r w:rsidRPr="002F794C">
        <w:rPr>
          <w:rFonts w:cs="Arial"/>
          <w:sz w:val="18"/>
          <w:szCs w:val="18"/>
          <w:rtl/>
        </w:rPr>
        <w:t xml:space="preserve"> סימן ק"ח</w:t>
      </w:r>
      <w:r w:rsidR="00954357">
        <w:rPr>
          <w:rFonts w:cs="Arial" w:hint="cs"/>
          <w:sz w:val="18"/>
          <w:szCs w:val="18"/>
          <w:rtl/>
        </w:rPr>
        <w:t>,</w:t>
      </w:r>
      <w:r w:rsidRPr="002F794C">
        <w:rPr>
          <w:rFonts w:cs="Arial"/>
          <w:sz w:val="18"/>
          <w:szCs w:val="18"/>
          <w:rtl/>
        </w:rPr>
        <w:t xml:space="preserve"> י"א הא דאין יורשיה יורשין כתובתה היינו בדלא תפסה, אבל תפסה, יורשיה יורשין כתובתה הואיל והן מוחזקין (</w:t>
      </w:r>
      <w:r w:rsidR="00954357">
        <w:rPr>
          <w:rFonts w:cs="Arial" w:hint="cs"/>
          <w:sz w:val="18"/>
          <w:szCs w:val="18"/>
          <w:rtl/>
        </w:rPr>
        <w:t>טור [חו"מ סי' קח]</w:t>
      </w:r>
      <w:r w:rsidR="00954357" w:rsidRPr="002F794C">
        <w:rPr>
          <w:rFonts w:cs="Arial"/>
          <w:sz w:val="18"/>
          <w:szCs w:val="18"/>
          <w:rtl/>
        </w:rPr>
        <w:t xml:space="preserve"> </w:t>
      </w:r>
      <w:r w:rsidRPr="002F794C">
        <w:rPr>
          <w:rFonts w:cs="Arial"/>
          <w:sz w:val="18"/>
          <w:szCs w:val="18"/>
          <w:rtl/>
        </w:rPr>
        <w:t xml:space="preserve">מרדכי מהרי"ו </w:t>
      </w:r>
      <w:r w:rsidR="00954357">
        <w:rPr>
          <w:rFonts w:cs="Arial" w:hint="cs"/>
          <w:sz w:val="18"/>
          <w:szCs w:val="18"/>
          <w:rtl/>
        </w:rPr>
        <w:t>ו</w:t>
      </w:r>
      <w:r w:rsidRPr="002F794C">
        <w:rPr>
          <w:rFonts w:cs="Arial"/>
          <w:sz w:val="18"/>
          <w:szCs w:val="18"/>
          <w:rtl/>
        </w:rPr>
        <w:t>ת</w:t>
      </w:r>
      <w:r w:rsidR="00954357">
        <w:rPr>
          <w:rFonts w:cs="Arial" w:hint="cs"/>
          <w:sz w:val="18"/>
          <w:szCs w:val="18"/>
          <w:rtl/>
        </w:rPr>
        <w:t>רו</w:t>
      </w:r>
      <w:r w:rsidRPr="002F794C">
        <w:rPr>
          <w:rFonts w:cs="Arial"/>
          <w:sz w:val="18"/>
          <w:szCs w:val="18"/>
          <w:rtl/>
        </w:rPr>
        <w:t>ה</w:t>
      </w:r>
      <w:r w:rsidR="00954357">
        <w:rPr>
          <w:rFonts w:cs="Arial" w:hint="cs"/>
          <w:sz w:val="18"/>
          <w:szCs w:val="18"/>
          <w:rtl/>
        </w:rPr>
        <w:t>"ד),</w:t>
      </w:r>
      <w:r w:rsidRPr="002F794C">
        <w:rPr>
          <w:rFonts w:cs="Arial"/>
          <w:sz w:val="18"/>
          <w:szCs w:val="18"/>
          <w:rtl/>
        </w:rPr>
        <w:t xml:space="preserve"> ויש חולקין (מהר"ם), ועיין בח</w:t>
      </w:r>
      <w:r w:rsidR="00972EEC">
        <w:rPr>
          <w:rFonts w:cs="Arial" w:hint="cs"/>
          <w:sz w:val="18"/>
          <w:szCs w:val="18"/>
          <w:rtl/>
        </w:rPr>
        <w:t>ו"מ</w:t>
      </w:r>
      <w:r w:rsidRPr="002F794C">
        <w:rPr>
          <w:rFonts w:cs="Arial"/>
          <w:sz w:val="18"/>
          <w:szCs w:val="18"/>
          <w:rtl/>
        </w:rPr>
        <w:t xml:space="preserve"> סי</w:t>
      </w:r>
      <w:r w:rsidR="00972EEC">
        <w:rPr>
          <w:rFonts w:cs="Arial" w:hint="cs"/>
          <w:sz w:val="18"/>
          <w:szCs w:val="18"/>
          <w:rtl/>
        </w:rPr>
        <w:t>'</w:t>
      </w:r>
      <w:r w:rsidRPr="002F794C">
        <w:rPr>
          <w:rFonts w:cs="Arial"/>
          <w:sz w:val="18"/>
          <w:szCs w:val="18"/>
          <w:rtl/>
        </w:rPr>
        <w:t xml:space="preserve"> ק"ח. אם היורשים אומרים: נשבעה, עליהם להביא ראיה (ריב"ש סי</w:t>
      </w:r>
      <w:r w:rsidR="002F4458">
        <w:rPr>
          <w:rFonts w:cs="Arial" w:hint="cs"/>
          <w:sz w:val="18"/>
          <w:szCs w:val="18"/>
          <w:rtl/>
        </w:rPr>
        <w:t>'</w:t>
      </w:r>
      <w:r w:rsidRPr="002F794C">
        <w:rPr>
          <w:rFonts w:cs="Arial"/>
          <w:sz w:val="18"/>
          <w:szCs w:val="18"/>
          <w:rtl/>
        </w:rPr>
        <w:t xml:space="preserve"> קסט). אם פרעו לה מקצת כתובתה ועשו לה שטר חוב על הנשאר, יורשיה יורשין החוב ההוא אפילו לא נשבעה (רשב"א). אלמנה שנשתתקה, ורמזה קודם מיתתה שלא נטלה כלום, סגי בכך והוי כאלו נשבעה (רשב"א). אשה שנשתטית ונתאלמנה, אין יורשיה נוטלין כתובתה הואיל ואינה יכולה לישבע (רשב"א). ועיין לקמן סימן ק"ה סעיף ג'. </w:t>
      </w:r>
      <w:r w:rsidRPr="00323526">
        <w:rPr>
          <w:rFonts w:cs="Arial"/>
          <w:rtl/>
        </w:rPr>
        <w:t>אבל אם נתגרשה ומתה, יורשיה נשבעים: שלא פקדתנו, ונוטלין ואפילו מיורשיו, אם מת אחריה.</w:t>
      </w:r>
      <w:r>
        <w:rPr>
          <w:rFonts w:cs="Arial"/>
          <w:rtl/>
        </w:rPr>
        <w:t xml:space="preserve"> </w:t>
      </w:r>
    </w:p>
    <w:p w14:paraId="20C9A12E" w14:textId="77777777" w:rsidR="00855B84" w:rsidRPr="00855B84" w:rsidRDefault="00855B84" w:rsidP="00415D3C">
      <w:pPr>
        <w:rPr>
          <w:rFonts w:cs="Arial"/>
          <w:u w:val="single"/>
          <w:rtl/>
        </w:rPr>
      </w:pPr>
      <w:r w:rsidRPr="00855B84">
        <w:rPr>
          <w:rFonts w:cs="Arial" w:hint="cs"/>
          <w:u w:val="single"/>
          <w:rtl/>
        </w:rPr>
        <w:t xml:space="preserve">נכסי מלוג שאינן קיימים: </w:t>
      </w:r>
    </w:p>
    <w:p w14:paraId="7909688D" w14:textId="7566117D" w:rsidR="00415D3C" w:rsidRDefault="00855B84" w:rsidP="009000E3">
      <w:pPr>
        <w:pStyle w:val="ab"/>
        <w:numPr>
          <w:ilvl w:val="0"/>
          <w:numId w:val="84"/>
        </w:numPr>
        <w:rPr>
          <w:rtl/>
        </w:rPr>
      </w:pPr>
      <w:r w:rsidRPr="00855B84">
        <w:rPr>
          <w:rFonts w:cs="Arial" w:hint="cs"/>
          <w:rtl/>
        </w:rPr>
        <w:t xml:space="preserve">פת"ש </w:t>
      </w:r>
      <w:r w:rsidRPr="00855B84">
        <w:rPr>
          <w:rFonts w:cs="Arial" w:hint="cs"/>
          <w:sz w:val="16"/>
          <w:szCs w:val="16"/>
          <w:rtl/>
        </w:rPr>
        <w:t>(סק"ב)</w:t>
      </w:r>
      <w:r w:rsidRPr="00855B84">
        <w:rPr>
          <w:rFonts w:cs="Arial" w:hint="cs"/>
          <w:rtl/>
        </w:rPr>
        <w:t>-</w:t>
      </w:r>
      <w:r w:rsidR="00415D3C" w:rsidRPr="00855B84">
        <w:rPr>
          <w:rFonts w:cs="Arial"/>
          <w:rtl/>
        </w:rPr>
        <w:t xml:space="preserve"> ע' בתשו' שב יעקב </w:t>
      </w:r>
      <w:r>
        <w:rPr>
          <w:rFonts w:cs="Arial" w:hint="cs"/>
          <w:rtl/>
        </w:rPr>
        <w:t>(</w:t>
      </w:r>
      <w:r w:rsidR="00415D3C" w:rsidRPr="00855B84">
        <w:rPr>
          <w:rFonts w:cs="Arial"/>
          <w:rtl/>
        </w:rPr>
        <w:t>סי</w:t>
      </w:r>
      <w:r>
        <w:rPr>
          <w:rFonts w:cs="Arial" w:hint="cs"/>
          <w:rtl/>
        </w:rPr>
        <w:t>'</w:t>
      </w:r>
      <w:r w:rsidR="00415D3C" w:rsidRPr="00855B84">
        <w:rPr>
          <w:rFonts w:cs="Arial"/>
          <w:rtl/>
        </w:rPr>
        <w:t xml:space="preserve"> כז</w:t>
      </w:r>
      <w:r>
        <w:rPr>
          <w:rFonts w:cs="Arial" w:hint="cs"/>
          <w:rtl/>
        </w:rPr>
        <w:t>)</w:t>
      </w:r>
      <w:r w:rsidR="00415D3C" w:rsidRPr="00855B84">
        <w:rPr>
          <w:rFonts w:cs="Arial"/>
          <w:rtl/>
        </w:rPr>
        <w:t xml:space="preserve"> במעשה באלמנה שבאה לגבו</w:t>
      </w:r>
      <w:r>
        <w:rPr>
          <w:rFonts w:cs="Arial" w:hint="cs"/>
          <w:rtl/>
        </w:rPr>
        <w:t>ת</w:t>
      </w:r>
      <w:r w:rsidR="00415D3C" w:rsidRPr="00855B84">
        <w:rPr>
          <w:rFonts w:cs="Arial"/>
          <w:rtl/>
        </w:rPr>
        <w:t xml:space="preserve"> כתובה מיתומים וגם תובעת סך ד' מאות זהובים שירשה מאביה מעות מזומנים והגיעו ליד בעלה זה שנתים קודם מותו בכן תבעה סך הנ"ל מלבד כתובתה. והשיב לכאורה נראה דאין נוטלת אותם אפילו בשבועה כיון דזה הממון שירשה מאביה הוא נקרא נ"מ שהמה באחריות האשה והבעל אינו חייב בגניבה ואבידה ואפילו בפשיעה פטור משום דהוי שמירה בבעלים כמ"ש בסימן פ"ה לפ"ז בנ"ד שאין אלו המעות עצמם בעין אנן טענינן ליתמי דנגנבו או נאבדו או נפחתו</w:t>
      </w:r>
      <w:r w:rsidR="00DF6BF4">
        <w:rPr>
          <w:rFonts w:cs="Arial" w:hint="cs"/>
          <w:rtl/>
        </w:rPr>
        <w:t>.</w:t>
      </w:r>
      <w:r w:rsidR="00415D3C" w:rsidRPr="00855B84">
        <w:rPr>
          <w:rFonts w:cs="Arial"/>
          <w:rtl/>
        </w:rPr>
        <w:t xml:space="preserve"> וכן מוכח מלשון הש"ע בסי' צ"ו שכתב ונ"מ ונצ"ב או נכסים שיחד לה בכתובתה בעין כו' ואם נכסי צ"ב אינם קיימים כו'</w:t>
      </w:r>
      <w:r w:rsidR="00DF6BF4">
        <w:rPr>
          <w:rFonts w:cs="Arial" w:hint="cs"/>
          <w:rtl/>
        </w:rPr>
        <w:t>.</w:t>
      </w:r>
      <w:r w:rsidR="00415D3C" w:rsidRPr="00855B84">
        <w:rPr>
          <w:rFonts w:cs="Arial"/>
          <w:rtl/>
        </w:rPr>
        <w:t xml:space="preserve"> הנה פתח בתרתי נ"מ ונצ"ב</w:t>
      </w:r>
      <w:r w:rsidR="00DF6BF4">
        <w:rPr>
          <w:rFonts w:cs="Arial" w:hint="cs"/>
          <w:rtl/>
        </w:rPr>
        <w:t>,</w:t>
      </w:r>
      <w:r w:rsidR="00415D3C" w:rsidRPr="00855B84">
        <w:rPr>
          <w:rFonts w:cs="Arial"/>
          <w:rtl/>
        </w:rPr>
        <w:t xml:space="preserve"> וסיים בחדא בנכסי צ"ב והשמיט נ"מ</w:t>
      </w:r>
      <w:r w:rsidR="00DF6BF4">
        <w:rPr>
          <w:rFonts w:cs="Arial" w:hint="cs"/>
          <w:rtl/>
        </w:rPr>
        <w:t>,</w:t>
      </w:r>
      <w:r w:rsidR="00415D3C" w:rsidRPr="00855B84">
        <w:rPr>
          <w:rFonts w:cs="Arial"/>
          <w:rtl/>
        </w:rPr>
        <w:t xml:space="preserve"> א"ו משום דאם נ"מ אינם בעין אינה גובה אפילו בשבועה משום דטענינן ליתמי דנפחתו או נאבדו</w:t>
      </w:r>
      <w:r w:rsidR="00CC6AB8" w:rsidRPr="00855B84">
        <w:rPr>
          <w:rFonts w:cs="Arial" w:hint="cs"/>
          <w:rtl/>
        </w:rPr>
        <w:t>.</w:t>
      </w:r>
      <w:r w:rsidR="00415D3C" w:rsidRPr="00855B84">
        <w:rPr>
          <w:rFonts w:cs="Arial"/>
          <w:rtl/>
        </w:rPr>
        <w:t xml:space="preserve"> ולפ"ז תמוהים דברי הב"ש שכ' בסק"א ונראה נ"מ ונצ"ב דלא שייך בהו תקנתא כו' א"צ שבועה לגבו' אפי' כשאין בעין כו'</w:t>
      </w:r>
      <w:r w:rsidR="00DF6BF4">
        <w:rPr>
          <w:rFonts w:cs="Arial" w:hint="cs"/>
          <w:rtl/>
        </w:rPr>
        <w:t>.</w:t>
      </w:r>
      <w:r w:rsidR="00415D3C" w:rsidRPr="00855B84">
        <w:rPr>
          <w:rFonts w:cs="Arial"/>
          <w:rtl/>
        </w:rPr>
        <w:t xml:space="preserve"> משמע דס"ל דאפילו נ"מ גביא האלמנה אפי' כשאינו בעין</w:t>
      </w:r>
      <w:r w:rsidR="0053592A" w:rsidRPr="00855B84">
        <w:rPr>
          <w:rFonts w:cs="Arial" w:hint="cs"/>
          <w:rtl/>
        </w:rPr>
        <w:t>.</w:t>
      </w:r>
      <w:r w:rsidR="00415D3C" w:rsidRPr="00855B84">
        <w:rPr>
          <w:rFonts w:cs="Arial"/>
          <w:rtl/>
        </w:rPr>
        <w:t xml:space="preserve"> אך באמת נראה בנ"ד אינו דומה כלל לדין נ"מ</w:t>
      </w:r>
      <w:r w:rsidR="0053592A" w:rsidRPr="00855B84">
        <w:rPr>
          <w:rFonts w:cs="Arial" w:hint="cs"/>
          <w:rtl/>
        </w:rPr>
        <w:t>,</w:t>
      </w:r>
      <w:r w:rsidR="00415D3C" w:rsidRPr="00855B84">
        <w:rPr>
          <w:rFonts w:cs="Arial"/>
          <w:rtl/>
        </w:rPr>
        <w:t xml:space="preserve"> דהקרן הוא בחזקת האשה ואין להבעל רשות בה רק לאכול הפירות</w:t>
      </w:r>
      <w:r w:rsidR="0053592A" w:rsidRPr="00855B84">
        <w:rPr>
          <w:rFonts w:cs="Arial" w:hint="cs"/>
          <w:rtl/>
        </w:rPr>
        <w:t>,</w:t>
      </w:r>
      <w:r w:rsidR="00415D3C" w:rsidRPr="00855B84">
        <w:rPr>
          <w:rFonts w:cs="Arial"/>
          <w:rtl/>
        </w:rPr>
        <w:t xml:space="preserve"> ואם נפל לה כספים לוקחין בהן קרקע ואין להבעל רשות לישא וליתן בהם כמ"ש הרשב"א הובא בב"י </w:t>
      </w:r>
      <w:r w:rsidR="0053592A" w:rsidRPr="00855B84">
        <w:rPr>
          <w:rFonts w:cs="Arial" w:hint="cs"/>
          <w:rtl/>
        </w:rPr>
        <w:t>(</w:t>
      </w:r>
      <w:r w:rsidR="00415D3C" w:rsidRPr="00855B84">
        <w:rPr>
          <w:rFonts w:cs="Arial"/>
          <w:rtl/>
        </w:rPr>
        <w:t>סי' פה</w:t>
      </w:r>
      <w:r w:rsidR="0053592A" w:rsidRPr="00855B84">
        <w:rPr>
          <w:rFonts w:cs="Arial" w:hint="cs"/>
          <w:rtl/>
        </w:rPr>
        <w:t>),</w:t>
      </w:r>
      <w:r w:rsidR="00415D3C" w:rsidRPr="00855B84">
        <w:rPr>
          <w:rFonts w:cs="Arial"/>
          <w:rtl/>
        </w:rPr>
        <w:t xml:space="preserve"> אבל בנ"ד שנתנה לו רשות לישא וליתן עם המעות הוי כולה מלוה והם באחריות של הבעל וגם לא חיישינן שמא החזיר לה כיון דהבעל יש לו פירות כל ימי חייו מהיכי תיתי יחזיר לה והוי כמו החזקה דא"א פורע תוך זמנו</w:t>
      </w:r>
      <w:r w:rsidR="0053592A" w:rsidRPr="00855B84">
        <w:rPr>
          <w:rFonts w:cs="Arial" w:hint="cs"/>
          <w:rtl/>
        </w:rPr>
        <w:t>.</w:t>
      </w:r>
      <w:r w:rsidR="00415D3C" w:rsidRPr="00855B84">
        <w:rPr>
          <w:rFonts w:cs="Arial"/>
          <w:rtl/>
        </w:rPr>
        <w:t xml:space="preserve"> ואפשר לפרש דעת הב"ש הנ"ל שכתב גם בנ"מ אם אינו בעין שלוקחת שלא בשבועה מיירי ג"כ בכה"ג שנפל לה כספים או שנמכר הקרקע או הכלים של נ"מ והבעל לקח המעות בתורת הלואה. ולפ"ז בנ"ד פשוט שלוקחת אותן ד' מאות זהובים בלא שבועה. אמנם היה קשה עלי לסמוך על דעתי לגבות מיתומים קטנים דבר שאינו בעין בלי שטר וראיה רק ע"פ הרשימה מהב"ד (שהביאה האלמנה רשימה של חלוקת עזבון אביה החתום בחתימת ב"ד שנעשה החלוק' לפניהם שהגיע לחלקה ד' מאות זהובים והגיעו ליד בעלה. כן מבואר שם) עד שמצאתי דין זה ממש בתשו' רמ"א סי' קט"ו כו' ויצא מזה עכ"פ דין חדש שאם נפל לה בירושה מטלטלים וכלים וידוע דהגיעו ליד הבעל ואינם נמצאים בשעת גביה בעין דלא גביא דמי שווים דאנן טענינן ליתמי עכ"</w:t>
      </w:r>
      <w:r w:rsidR="00A15D6A">
        <w:rPr>
          <w:rFonts w:cs="Arial" w:hint="cs"/>
          <w:rtl/>
        </w:rPr>
        <w:t>ד ע"ש.</w:t>
      </w:r>
    </w:p>
    <w:p w14:paraId="769C3BDE" w14:textId="541BF4BE" w:rsidR="000D2627" w:rsidRPr="00907BED" w:rsidRDefault="00722B82" w:rsidP="00415D3C">
      <w:pPr>
        <w:rPr>
          <w:rFonts w:cs="Arial"/>
          <w:u w:val="single"/>
          <w:rtl/>
        </w:rPr>
      </w:pPr>
      <w:r>
        <w:rPr>
          <w:rFonts w:cs="Arial" w:hint="cs"/>
          <w:u w:val="single"/>
          <w:rtl/>
        </w:rPr>
        <w:t>מת</w:t>
      </w:r>
      <w:r w:rsidR="00FB63D6">
        <w:rPr>
          <w:rFonts w:cs="Arial" w:hint="cs"/>
          <w:u w:val="single"/>
          <w:rtl/>
        </w:rPr>
        <w:t xml:space="preserve"> האב</w:t>
      </w:r>
      <w:r>
        <w:rPr>
          <w:rFonts w:cs="Arial" w:hint="cs"/>
          <w:u w:val="single"/>
          <w:rtl/>
        </w:rPr>
        <w:t>,</w:t>
      </w:r>
      <w:r w:rsidR="00B560A0">
        <w:rPr>
          <w:rFonts w:cs="Arial" w:hint="cs"/>
          <w:u w:val="single"/>
          <w:rtl/>
        </w:rPr>
        <w:t xml:space="preserve"> </w:t>
      </w:r>
      <w:r>
        <w:rPr>
          <w:rFonts w:cs="Arial" w:hint="cs"/>
          <w:u w:val="single"/>
          <w:rtl/>
        </w:rPr>
        <w:t>ואח"כ מתה הא</w:t>
      </w:r>
      <w:r w:rsidR="00FB63D6">
        <w:rPr>
          <w:rFonts w:cs="Arial" w:hint="cs"/>
          <w:u w:val="single"/>
          <w:rtl/>
        </w:rPr>
        <w:t>ם</w:t>
      </w:r>
      <w:r>
        <w:rPr>
          <w:rFonts w:cs="Arial" w:hint="cs"/>
          <w:u w:val="single"/>
          <w:rtl/>
        </w:rPr>
        <w:t xml:space="preserve"> קודם שנשבעה, ויש בע"ח על האב, והיורשים רוצים לוותר על השבועה כדי להיפתר</w:t>
      </w:r>
      <w:r>
        <w:rPr>
          <w:rStyle w:val="a7"/>
          <w:rFonts w:cs="Arial"/>
          <w:u w:val="single"/>
          <w:rtl/>
        </w:rPr>
        <w:footnoteReference w:id="1718"/>
      </w:r>
      <w:r w:rsidR="00907BED" w:rsidRPr="00907BED">
        <w:rPr>
          <w:rFonts w:cs="Arial" w:hint="cs"/>
          <w:u w:val="single"/>
          <w:rtl/>
        </w:rPr>
        <w:t>:</w:t>
      </w:r>
    </w:p>
    <w:p w14:paraId="2863BBF4" w14:textId="7A87840C" w:rsidR="000D2627" w:rsidRPr="00907BED" w:rsidRDefault="00907BED" w:rsidP="009000E3">
      <w:pPr>
        <w:pStyle w:val="ab"/>
        <w:numPr>
          <w:ilvl w:val="0"/>
          <w:numId w:val="84"/>
        </w:numPr>
        <w:rPr>
          <w:rFonts w:cs="Arial"/>
          <w:rtl/>
        </w:rPr>
      </w:pPr>
      <w:r w:rsidRPr="00907BED">
        <w:rPr>
          <w:rFonts w:cs="Arial" w:hint="cs"/>
          <w:rtl/>
        </w:rPr>
        <w:t xml:space="preserve">ב"ש </w:t>
      </w:r>
      <w:r w:rsidRPr="00907BED">
        <w:rPr>
          <w:rFonts w:cs="Arial" w:hint="cs"/>
          <w:sz w:val="16"/>
          <w:szCs w:val="16"/>
          <w:rtl/>
        </w:rPr>
        <w:t>(סק"ד)</w:t>
      </w:r>
      <w:r w:rsidRPr="00907BED">
        <w:rPr>
          <w:rFonts w:cs="Arial" w:hint="cs"/>
          <w:rtl/>
        </w:rPr>
        <w:t xml:space="preserve">- </w:t>
      </w:r>
      <w:r w:rsidR="000D2627" w:rsidRPr="00907BED">
        <w:rPr>
          <w:rFonts w:cs="Arial"/>
          <w:rtl/>
        </w:rPr>
        <w:t xml:space="preserve">כתב בתשו' ש"י </w:t>
      </w:r>
      <w:r w:rsidR="00DF6BF4">
        <w:rPr>
          <w:rFonts w:cs="Arial" w:hint="cs"/>
          <w:rtl/>
        </w:rPr>
        <w:t>(</w:t>
      </w:r>
      <w:r w:rsidR="00B560A0">
        <w:rPr>
          <w:rFonts w:cs="Arial" w:hint="cs"/>
          <w:rtl/>
        </w:rPr>
        <w:t>סי' מ"ב ס"ג</w:t>
      </w:r>
      <w:r w:rsidR="00DF6BF4">
        <w:rPr>
          <w:rFonts w:cs="Arial" w:hint="cs"/>
          <w:rtl/>
        </w:rPr>
        <w:t>)</w:t>
      </w:r>
      <w:r w:rsidR="000D2627" w:rsidRPr="00907BED">
        <w:rPr>
          <w:rFonts w:cs="Arial"/>
          <w:rtl/>
        </w:rPr>
        <w:t xml:space="preserve"> כשיש בעלי חובות על אביהם י</w:t>
      </w:r>
      <w:r>
        <w:rPr>
          <w:rFonts w:cs="Arial" w:hint="cs"/>
          <w:rtl/>
        </w:rPr>
        <w:t>כולים לומר</w:t>
      </w:r>
      <w:r w:rsidR="000D2627" w:rsidRPr="00907BED">
        <w:rPr>
          <w:rFonts w:cs="Arial"/>
          <w:rtl/>
        </w:rPr>
        <w:t xml:space="preserve"> היורשי</w:t>
      </w:r>
      <w:r>
        <w:rPr>
          <w:rFonts w:cs="Arial" w:hint="cs"/>
          <w:rtl/>
        </w:rPr>
        <w:t>ם</w:t>
      </w:r>
      <w:r w:rsidR="000D2627" w:rsidRPr="00907BED">
        <w:rPr>
          <w:rFonts w:cs="Arial"/>
          <w:rtl/>
        </w:rPr>
        <w:t xml:space="preserve"> לא ניחא לן השבועה של אמנו</w:t>
      </w:r>
      <w:r w:rsidR="00FB63D6">
        <w:rPr>
          <w:rFonts w:cs="Arial" w:hint="cs"/>
          <w:sz w:val="16"/>
          <w:szCs w:val="16"/>
          <w:rtl/>
        </w:rPr>
        <w:t xml:space="preserve"> {שהייתה צריכה להישבע קודם שמתה}</w:t>
      </w:r>
      <w:r w:rsidR="00FB63D6">
        <w:rPr>
          <w:rFonts w:cs="Arial" w:hint="cs"/>
          <w:rtl/>
        </w:rPr>
        <w:t>,</w:t>
      </w:r>
      <w:r w:rsidR="000D2627" w:rsidRPr="00907BED">
        <w:rPr>
          <w:rFonts w:cs="Arial"/>
          <w:rtl/>
        </w:rPr>
        <w:t xml:space="preserve"> כי השבועה תקנו חז"ל לטובת היורשי</w:t>
      </w:r>
      <w:r>
        <w:rPr>
          <w:rFonts w:cs="Arial" w:hint="cs"/>
          <w:rtl/>
        </w:rPr>
        <w:t>ם,</w:t>
      </w:r>
      <w:r w:rsidR="000D2627" w:rsidRPr="00907BED">
        <w:rPr>
          <w:rFonts w:cs="Arial"/>
          <w:rtl/>
        </w:rPr>
        <w:t xml:space="preserve"> וי</w:t>
      </w:r>
      <w:r>
        <w:rPr>
          <w:rFonts w:cs="Arial" w:hint="cs"/>
          <w:rtl/>
        </w:rPr>
        <w:t>כולים</w:t>
      </w:r>
      <w:r w:rsidR="000D2627" w:rsidRPr="00907BED">
        <w:rPr>
          <w:rFonts w:cs="Arial"/>
          <w:rtl/>
        </w:rPr>
        <w:t xml:space="preserve"> </w:t>
      </w:r>
      <w:r>
        <w:rPr>
          <w:rFonts w:cs="Arial" w:hint="cs"/>
          <w:rtl/>
        </w:rPr>
        <w:t xml:space="preserve">לומר </w:t>
      </w:r>
      <w:r w:rsidR="000D2627" w:rsidRPr="00907BED">
        <w:rPr>
          <w:rFonts w:cs="Arial"/>
          <w:rtl/>
        </w:rPr>
        <w:t>לא ניחא לן תקנות חז"ל</w:t>
      </w:r>
      <w:r w:rsidR="00DF6BF4">
        <w:rPr>
          <w:rFonts w:cs="Arial" w:hint="cs"/>
          <w:rtl/>
        </w:rPr>
        <w:t>,</w:t>
      </w:r>
      <w:r w:rsidR="000D2627" w:rsidRPr="00907BED">
        <w:rPr>
          <w:rFonts w:cs="Arial"/>
          <w:rtl/>
        </w:rPr>
        <w:t xml:space="preserve"> ואז יורשי</w:t>
      </w:r>
      <w:r>
        <w:rPr>
          <w:rFonts w:cs="Arial" w:hint="cs"/>
          <w:rtl/>
        </w:rPr>
        <w:t>ם</w:t>
      </w:r>
      <w:r w:rsidR="000D2627" w:rsidRPr="00907BED">
        <w:rPr>
          <w:rFonts w:cs="Arial"/>
          <w:rtl/>
        </w:rPr>
        <w:t xml:space="preserve"> את הכתובה</w:t>
      </w:r>
      <w:r w:rsidR="00FB63D6">
        <w:rPr>
          <w:rFonts w:cs="Arial" w:hint="cs"/>
          <w:rtl/>
        </w:rPr>
        <w:t>,</w:t>
      </w:r>
      <w:r w:rsidR="000D2627" w:rsidRPr="00907BED">
        <w:rPr>
          <w:rFonts w:cs="Arial"/>
          <w:rtl/>
        </w:rPr>
        <w:t xml:space="preserve"> וא</w:t>
      </w:r>
      <w:r>
        <w:rPr>
          <w:rFonts w:cs="Arial" w:hint="cs"/>
          <w:rtl/>
        </w:rPr>
        <w:t xml:space="preserve">ינן צריכים </w:t>
      </w:r>
      <w:r w:rsidR="000D2627" w:rsidRPr="00907BED">
        <w:rPr>
          <w:rFonts w:cs="Arial"/>
          <w:rtl/>
        </w:rPr>
        <w:t>לשלם ממעות הכתובה לב</w:t>
      </w:r>
      <w:r w:rsidR="001170E6">
        <w:rPr>
          <w:rFonts w:cs="Arial" w:hint="cs"/>
          <w:rtl/>
        </w:rPr>
        <w:t>עלי חוב</w:t>
      </w:r>
      <w:r w:rsidR="00567704">
        <w:rPr>
          <w:rStyle w:val="a7"/>
          <w:rFonts w:cs="Arial"/>
          <w:rtl/>
        </w:rPr>
        <w:footnoteReference w:id="1719"/>
      </w:r>
      <w:r w:rsidRPr="00907BED">
        <w:rPr>
          <w:rFonts w:cs="Arial" w:hint="cs"/>
          <w:rtl/>
        </w:rPr>
        <w:t>.</w:t>
      </w:r>
    </w:p>
    <w:p w14:paraId="56DFFEFE" w14:textId="77777777" w:rsidR="005762CE" w:rsidRDefault="00356A1F" w:rsidP="00415D3C">
      <w:pPr>
        <w:rPr>
          <w:rFonts w:cs="Arial"/>
          <w:rtl/>
        </w:rPr>
      </w:pPr>
      <w:r>
        <w:rPr>
          <w:rFonts w:cs="Arial" w:hint="cs"/>
          <w:u w:val="single"/>
          <w:rtl/>
        </w:rPr>
        <w:lastRenderedPageBreak/>
        <w:t xml:space="preserve">האם אמרינן </w:t>
      </w:r>
      <w:r w:rsidRPr="00356A1F">
        <w:rPr>
          <w:rFonts w:cs="Arial" w:hint="cs"/>
          <w:u w:val="single"/>
          <w:rtl/>
        </w:rPr>
        <w:t xml:space="preserve">מיגו </w:t>
      </w:r>
      <w:r>
        <w:rPr>
          <w:rFonts w:cs="Arial" w:hint="cs"/>
          <w:u w:val="single"/>
          <w:rtl/>
        </w:rPr>
        <w:t xml:space="preserve">כדי </w:t>
      </w:r>
      <w:r w:rsidRPr="00356A1F">
        <w:rPr>
          <w:rFonts w:cs="Arial" w:hint="cs"/>
          <w:u w:val="single"/>
          <w:rtl/>
        </w:rPr>
        <w:t>להשביע:</w:t>
      </w:r>
      <w:r>
        <w:rPr>
          <w:rFonts w:cs="Arial" w:hint="cs"/>
          <w:rtl/>
        </w:rPr>
        <w:t xml:space="preserve"> </w:t>
      </w:r>
    </w:p>
    <w:p w14:paraId="3143AD3E" w14:textId="71E3F33D" w:rsidR="002F794C" w:rsidRDefault="005762CE" w:rsidP="009000E3">
      <w:pPr>
        <w:pStyle w:val="ab"/>
        <w:numPr>
          <w:ilvl w:val="0"/>
          <w:numId w:val="84"/>
        </w:numPr>
        <w:rPr>
          <w:rtl/>
        </w:rPr>
      </w:pPr>
      <w:r w:rsidRPr="005762CE">
        <w:rPr>
          <w:rFonts w:cs="Arial" w:hint="cs"/>
          <w:rtl/>
        </w:rPr>
        <w:t>ב"ש</w:t>
      </w:r>
      <w:r w:rsidRPr="005762CE">
        <w:rPr>
          <w:rFonts w:cs="Arial" w:hint="cs"/>
          <w:sz w:val="16"/>
          <w:szCs w:val="16"/>
          <w:rtl/>
        </w:rPr>
        <w:t xml:space="preserve"> (סק"ח)</w:t>
      </w:r>
      <w:r w:rsidRPr="005762CE">
        <w:rPr>
          <w:rFonts w:cs="Arial" w:hint="cs"/>
          <w:rtl/>
        </w:rPr>
        <w:t xml:space="preserve">- </w:t>
      </w:r>
      <w:r w:rsidRPr="005762CE">
        <w:rPr>
          <w:rFonts w:cs="Arial"/>
          <w:rtl/>
        </w:rPr>
        <w:t>משמע מתשו' הרי"ף הנ"ל אם הבעל טוען עמה אחר הגט ואמר נתתי צררי קודם הגט</w:t>
      </w:r>
      <w:r w:rsidR="00FB63D6">
        <w:rPr>
          <w:rFonts w:cs="Arial" w:hint="cs"/>
          <w:rtl/>
        </w:rPr>
        <w:t xml:space="preserve"> -</w:t>
      </w:r>
      <w:r w:rsidRPr="005762CE">
        <w:rPr>
          <w:rFonts w:cs="Arial"/>
          <w:rtl/>
        </w:rPr>
        <w:t xml:space="preserve"> א</w:t>
      </w:r>
      <w:r w:rsidR="00FB63D6">
        <w:rPr>
          <w:rFonts w:cs="Arial" w:hint="cs"/>
          <w:rtl/>
        </w:rPr>
        <w:t>ינו יכול</w:t>
      </w:r>
      <w:r w:rsidRPr="005762CE">
        <w:rPr>
          <w:rFonts w:cs="Arial"/>
          <w:rtl/>
        </w:rPr>
        <w:t xml:space="preserve"> להשביעה</w:t>
      </w:r>
      <w:r w:rsidR="00FB63D6">
        <w:rPr>
          <w:rFonts w:cs="Arial" w:hint="cs"/>
          <w:rtl/>
        </w:rPr>
        <w:t>,</w:t>
      </w:r>
      <w:r w:rsidRPr="005762CE">
        <w:rPr>
          <w:rFonts w:cs="Arial"/>
          <w:rtl/>
        </w:rPr>
        <w:t xml:space="preserve"> אע</w:t>
      </w:r>
      <w:r w:rsidR="00DF6BF4">
        <w:rPr>
          <w:rFonts w:cs="Arial" w:hint="cs"/>
          <w:rtl/>
        </w:rPr>
        <w:t>"</w:t>
      </w:r>
      <w:r w:rsidRPr="005762CE">
        <w:rPr>
          <w:rFonts w:cs="Arial"/>
          <w:rtl/>
        </w:rPr>
        <w:t xml:space="preserve">ג </w:t>
      </w:r>
      <w:r w:rsidR="00FB63D6">
        <w:rPr>
          <w:rFonts w:cs="Arial" w:hint="cs"/>
          <w:rtl/>
        </w:rPr>
        <w:t>ד</w:t>
      </w:r>
      <w:r w:rsidRPr="005762CE">
        <w:rPr>
          <w:rFonts w:cs="Arial"/>
          <w:rtl/>
        </w:rPr>
        <w:t>אם היה אומר פרעתי אחר הגט היה יכול להשביעה אין אומרים מיגו להשביע</w:t>
      </w:r>
      <w:r>
        <w:rPr>
          <w:rStyle w:val="a7"/>
          <w:rFonts w:cs="Arial"/>
          <w:rtl/>
        </w:rPr>
        <w:footnoteReference w:id="1720"/>
      </w:r>
      <w:r w:rsidRPr="005762CE">
        <w:rPr>
          <w:rFonts w:cs="Arial" w:hint="cs"/>
          <w:rtl/>
        </w:rPr>
        <w:t>.</w:t>
      </w:r>
      <w:r w:rsidRPr="005762CE">
        <w:rPr>
          <w:rFonts w:cs="Arial"/>
          <w:rtl/>
        </w:rPr>
        <w:t xml:space="preserve"> </w:t>
      </w:r>
    </w:p>
    <w:p w14:paraId="707F2935" w14:textId="77777777" w:rsidR="00567704" w:rsidRDefault="00567704" w:rsidP="00415D3C">
      <w:pPr>
        <w:rPr>
          <w:rtl/>
        </w:rPr>
      </w:pPr>
    </w:p>
    <w:p w14:paraId="016D6FC8" w14:textId="263ACD73" w:rsidR="00392DBB" w:rsidRDefault="00392DBB" w:rsidP="000F64D0">
      <w:pPr>
        <w:pStyle w:val="2"/>
        <w:rPr>
          <w:rtl/>
        </w:rPr>
      </w:pPr>
      <w:r>
        <w:rPr>
          <w:rtl/>
        </w:rPr>
        <w:t>סעיף ב</w:t>
      </w:r>
      <w:r w:rsidR="00B22F68">
        <w:rPr>
          <w:rFonts w:hint="cs"/>
          <w:rtl/>
        </w:rPr>
        <w:t xml:space="preserve">: </w:t>
      </w:r>
      <w:r w:rsidR="00FB63D6">
        <w:rPr>
          <w:rFonts w:hint="cs"/>
          <w:rtl/>
        </w:rPr>
        <w:t>שבועת</w:t>
      </w:r>
      <w:r w:rsidR="00B22F68">
        <w:rPr>
          <w:rFonts w:hint="cs"/>
          <w:rtl/>
        </w:rPr>
        <w:t xml:space="preserve"> אלמנה</w:t>
      </w:r>
      <w:r w:rsidR="00FB63D6">
        <w:rPr>
          <w:rFonts w:hint="cs"/>
          <w:rtl/>
        </w:rPr>
        <w:t xml:space="preserve"> כיצד</w:t>
      </w:r>
      <w:r w:rsidR="00B22F68">
        <w:rPr>
          <w:rFonts w:hint="cs"/>
          <w:rtl/>
        </w:rPr>
        <w:t>.</w:t>
      </w:r>
    </w:p>
    <w:p w14:paraId="0B3978BA" w14:textId="7E842BF3" w:rsidR="0066094F" w:rsidRPr="0066094F" w:rsidRDefault="00FB63D6" w:rsidP="0066094F">
      <w:pPr>
        <w:rPr>
          <w:u w:val="single"/>
          <w:rtl/>
        </w:rPr>
      </w:pPr>
      <w:r>
        <w:rPr>
          <w:rFonts w:hint="cs"/>
          <w:u w:val="single"/>
          <w:rtl/>
        </w:rPr>
        <w:t>שבועת אלמנה כיצד</w:t>
      </w:r>
      <w:r w:rsidR="0066094F" w:rsidRPr="0066094F">
        <w:rPr>
          <w:rFonts w:hint="cs"/>
          <w:u w:val="single"/>
          <w:rtl/>
        </w:rPr>
        <w:t>:</w:t>
      </w:r>
    </w:p>
    <w:p w14:paraId="62CB98BD" w14:textId="4957EAAA" w:rsidR="00AB34B6" w:rsidRPr="003D5BBD" w:rsidRDefault="00F5668F" w:rsidP="009000E3">
      <w:pPr>
        <w:pStyle w:val="ab"/>
        <w:numPr>
          <w:ilvl w:val="0"/>
          <w:numId w:val="84"/>
        </w:numPr>
      </w:pPr>
      <w:r>
        <w:rPr>
          <w:rFonts w:hint="cs"/>
          <w:rtl/>
        </w:rPr>
        <w:t>טור-</w:t>
      </w:r>
      <w:r>
        <w:rPr>
          <w:rFonts w:cs="Arial" w:hint="cs"/>
          <w:rtl/>
        </w:rPr>
        <w:t xml:space="preserve"> </w:t>
      </w:r>
      <w:r w:rsidRPr="007F14E0">
        <w:rPr>
          <w:rFonts w:cs="Arial"/>
          <w:rtl/>
        </w:rPr>
        <w:t>ומה שבועה נשבעת</w:t>
      </w:r>
      <w:r w:rsidR="0066094F">
        <w:rPr>
          <w:rFonts w:cs="Arial" w:hint="cs"/>
          <w:rtl/>
        </w:rPr>
        <w:t>,</w:t>
      </w:r>
      <w:r w:rsidRPr="007F14E0">
        <w:rPr>
          <w:rFonts w:cs="Arial"/>
          <w:rtl/>
        </w:rPr>
        <w:t xml:space="preserve"> שלא התפיסה הבעל צררי בחייו</w:t>
      </w:r>
      <w:r w:rsidR="004C16B3">
        <w:rPr>
          <w:rStyle w:val="a7"/>
          <w:rFonts w:cs="Arial"/>
          <w:rtl/>
        </w:rPr>
        <w:footnoteReference w:id="1721"/>
      </w:r>
      <w:r w:rsidR="0066094F">
        <w:rPr>
          <w:rFonts w:cs="Arial" w:hint="cs"/>
          <w:rtl/>
        </w:rPr>
        <w:t>,</w:t>
      </w:r>
      <w:r w:rsidRPr="007F14E0">
        <w:rPr>
          <w:rFonts w:cs="Arial"/>
          <w:rtl/>
        </w:rPr>
        <w:t xml:space="preserve"> ולא תפשה היא משלו כלום</w:t>
      </w:r>
      <w:r w:rsidR="004C16B3">
        <w:rPr>
          <w:rStyle w:val="a7"/>
          <w:rFonts w:cs="Arial"/>
          <w:rtl/>
        </w:rPr>
        <w:footnoteReference w:id="1722"/>
      </w:r>
      <w:r w:rsidR="0066094F">
        <w:rPr>
          <w:rFonts w:cs="Arial" w:hint="cs"/>
          <w:rtl/>
        </w:rPr>
        <w:t>.</w:t>
      </w:r>
      <w:r w:rsidRPr="007F14E0">
        <w:rPr>
          <w:rFonts w:cs="Arial"/>
          <w:rtl/>
        </w:rPr>
        <w:t xml:space="preserve"> והרמב"ם </w:t>
      </w:r>
      <w:r w:rsidR="006E48F0" w:rsidRPr="003D5BBD">
        <w:rPr>
          <w:rFonts w:cs="Arial" w:hint="cs"/>
          <w:sz w:val="16"/>
          <w:szCs w:val="16"/>
          <w:rtl/>
        </w:rPr>
        <w:t xml:space="preserve">(פט"ז מאישות ה"ד) </w:t>
      </w:r>
      <w:r w:rsidRPr="007F14E0">
        <w:rPr>
          <w:rFonts w:cs="Arial"/>
          <w:rtl/>
        </w:rPr>
        <w:t>כתב שצריכה לישבע ג"כ שלא מחלה לו כתובתה או שלא מכרה לו</w:t>
      </w:r>
      <w:r w:rsidR="0066094F">
        <w:rPr>
          <w:rFonts w:cs="Arial" w:hint="cs"/>
          <w:rtl/>
        </w:rPr>
        <w:t>.</w:t>
      </w:r>
      <w:r w:rsidRPr="007F14E0">
        <w:rPr>
          <w:rFonts w:cs="Arial"/>
          <w:rtl/>
        </w:rPr>
        <w:t xml:space="preserve"> ונראה שאם כתובתה בידה אינה צריכה לישבע על זה</w:t>
      </w:r>
      <w:r w:rsidR="0066094F">
        <w:rPr>
          <w:rFonts w:cs="Arial" w:hint="cs"/>
          <w:rtl/>
        </w:rPr>
        <w:t>,</w:t>
      </w:r>
      <w:r w:rsidRPr="007F14E0">
        <w:rPr>
          <w:rFonts w:cs="Arial"/>
          <w:rtl/>
        </w:rPr>
        <w:t xml:space="preserve"> שאילו מחלה לו או מכרה היתה מחזרת לו הכתובה</w:t>
      </w:r>
      <w:r w:rsidR="0048635C">
        <w:rPr>
          <w:rStyle w:val="a7"/>
          <w:rFonts w:cs="Arial"/>
          <w:rtl/>
        </w:rPr>
        <w:footnoteReference w:id="1723"/>
      </w:r>
      <w:r>
        <w:rPr>
          <w:rFonts w:cs="Arial" w:hint="cs"/>
          <w:rtl/>
        </w:rPr>
        <w:t>.</w:t>
      </w:r>
      <w:r w:rsidRPr="007F14E0">
        <w:rPr>
          <w:rFonts w:cs="Arial"/>
          <w:rtl/>
        </w:rPr>
        <w:t xml:space="preserve"> </w:t>
      </w:r>
    </w:p>
    <w:p w14:paraId="4CD2633C" w14:textId="52568184" w:rsidR="003D5BBD" w:rsidRPr="003D5BBD" w:rsidRDefault="003D5BBD" w:rsidP="003D5BBD">
      <w:pPr>
        <w:ind w:left="360"/>
        <w:rPr>
          <w:u w:val="dotted"/>
        </w:rPr>
      </w:pPr>
      <w:r w:rsidRPr="003D5BBD">
        <w:rPr>
          <w:rFonts w:hint="cs"/>
          <w:u w:val="dotted"/>
          <w:rtl/>
        </w:rPr>
        <w:t>האם יש לחוש לצררי היכא שמת פתאום:</w:t>
      </w:r>
    </w:p>
    <w:p w14:paraId="6E449725" w14:textId="18DA363C" w:rsidR="00FD3D93" w:rsidRPr="00FD3D93" w:rsidRDefault="005D3413" w:rsidP="009000E3">
      <w:pPr>
        <w:pStyle w:val="ab"/>
        <w:numPr>
          <w:ilvl w:val="0"/>
          <w:numId w:val="84"/>
        </w:numPr>
      </w:pPr>
      <w:r w:rsidRPr="00AB34B6">
        <w:rPr>
          <w:rFonts w:cs="Arial"/>
          <w:rtl/>
        </w:rPr>
        <w:t xml:space="preserve">רא"ש </w:t>
      </w:r>
      <w:r w:rsidR="00465875" w:rsidRPr="00AB34B6">
        <w:rPr>
          <w:rFonts w:cs="Arial" w:hint="cs"/>
          <w:sz w:val="16"/>
          <w:szCs w:val="16"/>
          <w:rtl/>
        </w:rPr>
        <w:t>(</w:t>
      </w:r>
      <w:r w:rsidRPr="00AB34B6">
        <w:rPr>
          <w:rFonts w:cs="Arial"/>
          <w:sz w:val="16"/>
          <w:szCs w:val="16"/>
          <w:rtl/>
        </w:rPr>
        <w:t>כלל פה סי' א)</w:t>
      </w:r>
      <w:r w:rsidR="0072527E">
        <w:rPr>
          <w:rFonts w:cs="Arial" w:hint="cs"/>
          <w:rtl/>
        </w:rPr>
        <w:t xml:space="preserve"> וי"א</w:t>
      </w:r>
      <w:r w:rsidR="0072527E">
        <w:rPr>
          <w:rStyle w:val="a7"/>
          <w:rFonts w:cs="Arial"/>
          <w:rtl/>
        </w:rPr>
        <w:footnoteReference w:id="1724"/>
      </w:r>
      <w:r w:rsidR="0072527E">
        <w:rPr>
          <w:rFonts w:cs="Arial" w:hint="cs"/>
          <w:sz w:val="16"/>
          <w:szCs w:val="16"/>
          <w:rtl/>
        </w:rPr>
        <w:t xml:space="preserve"> (הביאו הב"י)</w:t>
      </w:r>
      <w:r w:rsidR="00AB34B6" w:rsidRPr="00AB34B6">
        <w:rPr>
          <w:rFonts w:cs="Arial" w:hint="cs"/>
          <w:rtl/>
        </w:rPr>
        <w:t>-</w:t>
      </w:r>
      <w:r w:rsidRPr="00AB34B6">
        <w:rPr>
          <w:rFonts w:cs="Arial"/>
          <w:rtl/>
        </w:rPr>
        <w:t xml:space="preserve"> </w:t>
      </w:r>
      <w:r w:rsidR="00ED3320" w:rsidRPr="00ED3320">
        <w:rPr>
          <w:rFonts w:cs="Arial"/>
          <w:rtl/>
        </w:rPr>
        <w:t>האידנא שאנו מגבין כתובות לכל יורשי האלמנות שקדשו ולא חיישי לצררי</w:t>
      </w:r>
      <w:r w:rsidR="00ED3320">
        <w:rPr>
          <w:rFonts w:cs="Arial" w:hint="cs"/>
          <w:rtl/>
        </w:rPr>
        <w:t>,</w:t>
      </w:r>
      <w:r w:rsidR="00ED3320" w:rsidRPr="00ED3320">
        <w:rPr>
          <w:rFonts w:cs="Arial"/>
          <w:rtl/>
        </w:rPr>
        <w:t xml:space="preserve"> ואנו סומכין על תירוץ ה"ר שמעון מיינביל </w:t>
      </w:r>
      <w:r w:rsidR="00F26549" w:rsidRPr="00840E5A">
        <w:rPr>
          <w:rFonts w:cs="Arial"/>
          <w:sz w:val="16"/>
          <w:szCs w:val="16"/>
          <w:rtl/>
        </w:rPr>
        <w:t>(</w:t>
      </w:r>
      <w:r w:rsidR="00F26549" w:rsidRPr="00840E5A">
        <w:rPr>
          <w:rFonts w:cs="Arial" w:hint="cs"/>
          <w:sz w:val="16"/>
          <w:szCs w:val="16"/>
          <w:rtl/>
        </w:rPr>
        <w:t xml:space="preserve">בתוס' </w:t>
      </w:r>
      <w:r w:rsidR="00F26549" w:rsidRPr="00840E5A">
        <w:rPr>
          <w:rFonts w:cs="Arial"/>
          <w:sz w:val="16"/>
          <w:szCs w:val="16"/>
          <w:rtl/>
        </w:rPr>
        <w:t xml:space="preserve">קנח. </w:t>
      </w:r>
      <w:r w:rsidR="00F26549" w:rsidRPr="00840E5A">
        <w:rPr>
          <w:rFonts w:cs="Arial" w:hint="cs"/>
          <w:sz w:val="16"/>
          <w:szCs w:val="16"/>
          <w:rtl/>
        </w:rPr>
        <w:t>ס</w:t>
      </w:r>
      <w:r w:rsidR="00F26549" w:rsidRPr="00840E5A">
        <w:rPr>
          <w:rFonts w:cs="Arial"/>
          <w:sz w:val="16"/>
          <w:szCs w:val="16"/>
          <w:rtl/>
        </w:rPr>
        <w:t xml:space="preserve">ד"ה ובית </w:t>
      </w:r>
      <w:r w:rsidR="00F26549" w:rsidRPr="00840E5A">
        <w:rPr>
          <w:rFonts w:cs="Arial" w:hint="cs"/>
          <w:sz w:val="16"/>
          <w:szCs w:val="16"/>
          <w:rtl/>
        </w:rPr>
        <w:t xml:space="preserve">הלל </w:t>
      </w:r>
      <w:r w:rsidR="00F26549" w:rsidRPr="00840E5A">
        <w:rPr>
          <w:rFonts w:cs="Arial"/>
          <w:sz w:val="16"/>
          <w:szCs w:val="16"/>
          <w:rtl/>
        </w:rPr>
        <w:t>[השני])</w:t>
      </w:r>
      <w:r w:rsidR="00F26549" w:rsidRPr="00840E5A">
        <w:rPr>
          <w:rFonts w:cs="Arial" w:hint="cs"/>
          <w:sz w:val="16"/>
          <w:szCs w:val="16"/>
          <w:rtl/>
        </w:rPr>
        <w:t xml:space="preserve"> </w:t>
      </w:r>
      <w:r w:rsidR="00ED3320" w:rsidRPr="00ED3320">
        <w:rPr>
          <w:rFonts w:cs="Arial"/>
          <w:rtl/>
        </w:rPr>
        <w:t>שתירץ דהיכא דמת פתאום ולא צוה לביתו לא חיישינן לצררי</w:t>
      </w:r>
      <w:r w:rsidR="00961C26">
        <w:rPr>
          <w:rFonts w:cs="Arial" w:hint="cs"/>
          <w:rtl/>
        </w:rPr>
        <w:t>.</w:t>
      </w:r>
      <w:r w:rsidR="00ED3320" w:rsidRPr="00ED3320">
        <w:rPr>
          <w:rFonts w:cs="Arial"/>
          <w:rtl/>
        </w:rPr>
        <w:t xml:space="preserve"> וכן היה דן רבנא מאיר ז"ל</w:t>
      </w:r>
      <w:r w:rsidR="0014569B">
        <w:rPr>
          <w:rFonts w:cs="Arial" w:hint="cs"/>
          <w:rtl/>
        </w:rPr>
        <w:t xml:space="preserve"> </w:t>
      </w:r>
      <w:r w:rsidR="0014569B" w:rsidRPr="00840E5A">
        <w:rPr>
          <w:rFonts w:cs="Arial" w:hint="cs"/>
          <w:sz w:val="16"/>
          <w:szCs w:val="16"/>
          <w:rtl/>
        </w:rPr>
        <w:t xml:space="preserve">(ד"ק סי' קעב, </w:t>
      </w:r>
      <w:r w:rsidR="00B83A45" w:rsidRPr="00840E5A">
        <w:rPr>
          <w:rFonts w:cs="Arial" w:hint="cs"/>
          <w:sz w:val="16"/>
          <w:szCs w:val="16"/>
          <w:rtl/>
        </w:rPr>
        <w:t xml:space="preserve">ד"ל סי' תכג, ספר סיני סי' תט, ובמרדכי </w:t>
      </w:r>
      <w:r w:rsidR="00840E5A" w:rsidRPr="00840E5A">
        <w:rPr>
          <w:rFonts w:cs="Arial" w:hint="cs"/>
          <w:sz w:val="16"/>
          <w:szCs w:val="16"/>
          <w:rtl/>
        </w:rPr>
        <w:t>ב"ב סי' תרלט</w:t>
      </w:r>
      <w:r w:rsidR="00B83A45" w:rsidRPr="00840E5A">
        <w:rPr>
          <w:rFonts w:cs="Arial" w:hint="cs"/>
          <w:sz w:val="16"/>
          <w:szCs w:val="16"/>
          <w:rtl/>
        </w:rPr>
        <w:t>)</w:t>
      </w:r>
      <w:r w:rsidR="00ED3320">
        <w:rPr>
          <w:rFonts w:cs="Arial" w:hint="cs"/>
          <w:rtl/>
        </w:rPr>
        <w:t>,</w:t>
      </w:r>
      <w:r w:rsidR="00ED3320" w:rsidRPr="00ED3320">
        <w:rPr>
          <w:rFonts w:cs="Arial"/>
          <w:rtl/>
        </w:rPr>
        <w:t xml:space="preserve"> והיה נותן סעד לדבריו לסמוך על אותו תירוץ יותר משני תירוצים אחרים שתירץ ר"י</w:t>
      </w:r>
      <w:r w:rsidR="00314F60">
        <w:rPr>
          <w:rFonts w:cs="Arial" w:hint="cs"/>
          <w:rtl/>
        </w:rPr>
        <w:t>,</w:t>
      </w:r>
      <w:r w:rsidR="00ED3320" w:rsidRPr="00ED3320">
        <w:rPr>
          <w:rFonts w:cs="Arial"/>
          <w:rtl/>
        </w:rPr>
        <w:t xml:space="preserve"> כי האידנא כתובות נשותינו מרובות ולא שכיח האידנא התפסת צררי</w:t>
      </w:r>
      <w:r w:rsidR="00314F60">
        <w:rPr>
          <w:rFonts w:cs="Arial" w:hint="cs"/>
          <w:rtl/>
        </w:rPr>
        <w:t>.</w:t>
      </w:r>
      <w:r w:rsidR="00ED3320" w:rsidRPr="00ED3320">
        <w:rPr>
          <w:rFonts w:cs="Arial"/>
          <w:rtl/>
        </w:rPr>
        <w:t xml:space="preserve"> וכיון דלא חיישינן לצררי לא גריעא גביית אלמנה מגביית שאר חובות דמגבינן מיתמי היכא דליכא למיחש לצררי</w:t>
      </w:r>
      <w:r w:rsidR="0072527E">
        <w:rPr>
          <w:rFonts w:cs="Arial" w:hint="cs"/>
          <w:sz w:val="16"/>
          <w:szCs w:val="16"/>
          <w:rtl/>
        </w:rPr>
        <w:t xml:space="preserve"> (ל' הרא"ש)</w:t>
      </w:r>
      <w:r w:rsidR="0091709F" w:rsidRPr="00AB34B6">
        <w:rPr>
          <w:rFonts w:cs="Arial" w:hint="cs"/>
          <w:rtl/>
        </w:rPr>
        <w:t>.</w:t>
      </w:r>
      <w:r w:rsidRPr="00AB34B6">
        <w:rPr>
          <w:rFonts w:cs="Arial"/>
          <w:rtl/>
        </w:rPr>
        <w:t xml:space="preserve"> </w:t>
      </w:r>
    </w:p>
    <w:p w14:paraId="536F00A3" w14:textId="2C6DC218" w:rsidR="00B27B68" w:rsidRDefault="006D509D" w:rsidP="009000E3">
      <w:pPr>
        <w:pStyle w:val="ab"/>
        <w:numPr>
          <w:ilvl w:val="0"/>
          <w:numId w:val="84"/>
        </w:numPr>
        <w:rPr>
          <w:rtl/>
        </w:rPr>
      </w:pPr>
      <w:r>
        <w:rPr>
          <w:rFonts w:cs="Arial" w:hint="cs"/>
          <w:rtl/>
        </w:rPr>
        <w:t>ר"י</w:t>
      </w:r>
      <w:r w:rsidR="004F6510">
        <w:rPr>
          <w:rStyle w:val="a7"/>
          <w:rFonts w:cs="Arial"/>
          <w:rtl/>
        </w:rPr>
        <w:footnoteReference w:id="1725"/>
      </w:r>
      <w:r>
        <w:rPr>
          <w:rFonts w:cs="Arial" w:hint="cs"/>
          <w:rtl/>
        </w:rPr>
        <w:t xml:space="preserve"> </w:t>
      </w:r>
      <w:r w:rsidRPr="00840E5A">
        <w:rPr>
          <w:rFonts w:cs="Arial"/>
          <w:sz w:val="16"/>
          <w:szCs w:val="16"/>
          <w:rtl/>
        </w:rPr>
        <w:t>(</w:t>
      </w:r>
      <w:r w:rsidRPr="00840E5A">
        <w:rPr>
          <w:rFonts w:cs="Arial" w:hint="cs"/>
          <w:sz w:val="16"/>
          <w:szCs w:val="16"/>
          <w:rtl/>
        </w:rPr>
        <w:t xml:space="preserve">בתוס' </w:t>
      </w:r>
      <w:r w:rsidRPr="00840E5A">
        <w:rPr>
          <w:rFonts w:cs="Arial"/>
          <w:sz w:val="16"/>
          <w:szCs w:val="16"/>
          <w:rtl/>
        </w:rPr>
        <w:t xml:space="preserve">קנח. </w:t>
      </w:r>
      <w:r w:rsidRPr="00840E5A">
        <w:rPr>
          <w:rFonts w:cs="Arial" w:hint="cs"/>
          <w:sz w:val="16"/>
          <w:szCs w:val="16"/>
          <w:rtl/>
        </w:rPr>
        <w:t>ס</w:t>
      </w:r>
      <w:r w:rsidRPr="00840E5A">
        <w:rPr>
          <w:rFonts w:cs="Arial"/>
          <w:sz w:val="16"/>
          <w:szCs w:val="16"/>
          <w:rtl/>
        </w:rPr>
        <w:t xml:space="preserve">ד"ה ובית </w:t>
      </w:r>
      <w:r w:rsidRPr="00840E5A">
        <w:rPr>
          <w:rFonts w:cs="Arial" w:hint="cs"/>
          <w:sz w:val="16"/>
          <w:szCs w:val="16"/>
          <w:rtl/>
        </w:rPr>
        <w:t xml:space="preserve">הלל </w:t>
      </w:r>
      <w:r w:rsidRPr="00840E5A">
        <w:rPr>
          <w:rFonts w:cs="Arial"/>
          <w:sz w:val="16"/>
          <w:szCs w:val="16"/>
          <w:rtl/>
        </w:rPr>
        <w:t>[השני])</w:t>
      </w:r>
      <w:r>
        <w:rPr>
          <w:rFonts w:cs="Arial" w:hint="cs"/>
          <w:rtl/>
        </w:rPr>
        <w:t xml:space="preserve">- </w:t>
      </w:r>
      <w:r w:rsidR="004F6510">
        <w:rPr>
          <w:rFonts w:cs="Arial" w:hint="cs"/>
          <w:rtl/>
        </w:rPr>
        <w:t>גם במת פתאום יש לחוש שמא התפיסה צררי מחיים</w:t>
      </w:r>
      <w:r w:rsidR="004F6510">
        <w:rPr>
          <w:rStyle w:val="a7"/>
          <w:rFonts w:cs="Arial"/>
          <w:rtl/>
        </w:rPr>
        <w:footnoteReference w:id="1726"/>
      </w:r>
      <w:r w:rsidR="004F6510">
        <w:rPr>
          <w:rFonts w:cs="Arial" w:hint="cs"/>
          <w:rtl/>
        </w:rPr>
        <w:t xml:space="preserve">. </w:t>
      </w:r>
    </w:p>
    <w:p w14:paraId="6DEC5DBC" w14:textId="77777777" w:rsidR="00716830" w:rsidRDefault="00716830" w:rsidP="005D3413">
      <w:pPr>
        <w:rPr>
          <w:rFonts w:cs="Arial"/>
          <w:rtl/>
        </w:rPr>
      </w:pPr>
      <w:r w:rsidRPr="00716830">
        <w:rPr>
          <w:rFonts w:cs="Arial"/>
          <w:u w:val="single"/>
          <w:rtl/>
        </w:rPr>
        <w:t>נוסח שבועת אלמנה</w:t>
      </w:r>
      <w:r w:rsidRPr="00716830">
        <w:rPr>
          <w:rFonts w:cs="Arial" w:hint="cs"/>
          <w:u w:val="single"/>
          <w:rtl/>
        </w:rPr>
        <w:t>:</w:t>
      </w:r>
      <w:r>
        <w:rPr>
          <w:rFonts w:cs="Arial" w:hint="cs"/>
          <w:rtl/>
        </w:rPr>
        <w:t xml:space="preserve"> </w:t>
      </w:r>
    </w:p>
    <w:p w14:paraId="1124F051" w14:textId="4268F76F" w:rsidR="00716830" w:rsidRDefault="00716830" w:rsidP="009000E3">
      <w:pPr>
        <w:pStyle w:val="ab"/>
        <w:numPr>
          <w:ilvl w:val="0"/>
          <w:numId w:val="84"/>
        </w:numPr>
      </w:pPr>
      <w:r w:rsidRPr="00716830">
        <w:rPr>
          <w:rFonts w:cs="Arial" w:hint="cs"/>
          <w:rtl/>
        </w:rPr>
        <w:t xml:space="preserve">ב"י- </w:t>
      </w:r>
      <w:r w:rsidR="004E35F2" w:rsidRPr="00716830">
        <w:rPr>
          <w:rFonts w:cs="Arial"/>
          <w:rtl/>
        </w:rPr>
        <w:t xml:space="preserve">מצאתי כתוב נוסח שבועת אלמנה: בפנינו ב"ד ח"מ באת פב"פ אלמנת פב"פ ורצתה לגבות כתובתה מנכסי בעלה פב"פ ובידה שטר כתובתה ותוספתה דכתיב ביה כך וכך ובכן השבענוה על דעתנו שלא גבתה </w:t>
      </w:r>
      <w:r w:rsidR="004E35F2" w:rsidRPr="00716830">
        <w:rPr>
          <w:rFonts w:cs="Arial"/>
          <w:rtl/>
        </w:rPr>
        <w:lastRenderedPageBreak/>
        <w:t>כתובתה ושלא התפיסה בעלה צררי בכתובתה לא בכולה ולא מקצתה ושאין לה כתובה אחרת ושלא גנבה משל בעלה ולא החביאה ולא תפסה בכתובתה ולא במקצתה כלום לא בחיי בעלה ולא לאחר מותו ושלא מכרה ולא משכנה ולא מחלה ולא נתנה במתנה לא כתובתה ולא תוספתה לא כולה ולא מקצתה</w:t>
      </w:r>
      <w:r>
        <w:rPr>
          <w:rStyle w:val="a7"/>
          <w:rFonts w:cs="Arial"/>
          <w:rtl/>
        </w:rPr>
        <w:footnoteReference w:id="1727"/>
      </w:r>
      <w:r>
        <w:rPr>
          <w:rFonts w:cs="Arial" w:hint="cs"/>
          <w:rtl/>
        </w:rPr>
        <w:t>.</w:t>
      </w:r>
    </w:p>
    <w:p w14:paraId="4FE9445A" w14:textId="089A1FCB" w:rsidR="00716830" w:rsidRPr="0071079D" w:rsidRDefault="00D930E5" w:rsidP="00716830">
      <w:pPr>
        <w:rPr>
          <w:u w:val="single"/>
        </w:rPr>
      </w:pPr>
      <w:r w:rsidRPr="0071079D">
        <w:rPr>
          <w:rFonts w:cs="Arial" w:hint="cs"/>
          <w:u w:val="single"/>
          <w:rtl/>
        </w:rPr>
        <w:t>מי ש</w:t>
      </w:r>
      <w:r w:rsidRPr="0071079D">
        <w:rPr>
          <w:rFonts w:cs="Arial"/>
          <w:u w:val="single"/>
          <w:rtl/>
        </w:rPr>
        <w:t>שעבד עצמו בקנין שישבע הוא ואשתו</w:t>
      </w:r>
      <w:r w:rsidR="00232284">
        <w:rPr>
          <w:rFonts w:cs="Arial" w:hint="cs"/>
          <w:sz w:val="16"/>
          <w:szCs w:val="16"/>
          <w:u w:val="single"/>
          <w:rtl/>
        </w:rPr>
        <w:t xml:space="preserve"> (כגון בעסקה שעשו עם מישהו)</w:t>
      </w:r>
      <w:r w:rsidRPr="0071079D">
        <w:rPr>
          <w:rFonts w:cs="Arial" w:hint="cs"/>
          <w:u w:val="single"/>
          <w:rtl/>
        </w:rPr>
        <w:t xml:space="preserve"> </w:t>
      </w:r>
      <w:r w:rsidR="00232284">
        <w:rPr>
          <w:rFonts w:cs="Arial" w:hint="cs"/>
          <w:u w:val="single"/>
          <w:rtl/>
        </w:rPr>
        <w:t xml:space="preserve">ונפטר האיש </w:t>
      </w:r>
      <w:r w:rsidRPr="0071079D">
        <w:rPr>
          <w:rFonts w:cs="Arial" w:hint="cs"/>
          <w:u w:val="single"/>
          <w:rtl/>
        </w:rPr>
        <w:t xml:space="preserve">- האם </w:t>
      </w:r>
      <w:r w:rsidR="00232284">
        <w:rPr>
          <w:rFonts w:cs="Arial" w:hint="cs"/>
          <w:u w:val="single"/>
          <w:rtl/>
        </w:rPr>
        <w:t>אשתו מחוייבת להישבע</w:t>
      </w:r>
      <w:r w:rsidR="0071079D" w:rsidRPr="0071079D">
        <w:rPr>
          <w:rFonts w:cs="Arial" w:hint="cs"/>
          <w:u w:val="single"/>
          <w:rtl/>
        </w:rPr>
        <w:t>:</w:t>
      </w:r>
    </w:p>
    <w:p w14:paraId="5E7F61DA" w14:textId="1BC25796" w:rsidR="00232284" w:rsidRPr="00232284" w:rsidRDefault="004E35F2" w:rsidP="009000E3">
      <w:pPr>
        <w:pStyle w:val="ab"/>
        <w:numPr>
          <w:ilvl w:val="0"/>
          <w:numId w:val="84"/>
        </w:numPr>
      </w:pPr>
      <w:r w:rsidRPr="00716830">
        <w:rPr>
          <w:rFonts w:cs="Arial"/>
          <w:rtl/>
        </w:rPr>
        <w:t xml:space="preserve">מהרי"ק </w:t>
      </w:r>
      <w:r w:rsidR="00AE51A2" w:rsidRPr="0071079D">
        <w:rPr>
          <w:rFonts w:cs="Arial" w:hint="cs"/>
          <w:sz w:val="16"/>
          <w:szCs w:val="16"/>
          <w:rtl/>
        </w:rPr>
        <w:t>(</w:t>
      </w:r>
      <w:r w:rsidRPr="0071079D">
        <w:rPr>
          <w:rFonts w:cs="Arial"/>
          <w:sz w:val="16"/>
          <w:szCs w:val="16"/>
          <w:rtl/>
        </w:rPr>
        <w:t>שורש כד ענף ד)</w:t>
      </w:r>
      <w:r w:rsidR="0071079D">
        <w:rPr>
          <w:rFonts w:cs="Arial" w:hint="cs"/>
          <w:rtl/>
        </w:rPr>
        <w:t>-</w:t>
      </w:r>
      <w:r w:rsidRPr="00716830">
        <w:rPr>
          <w:rFonts w:cs="Arial"/>
          <w:rtl/>
        </w:rPr>
        <w:t xml:space="preserve"> </w:t>
      </w:r>
      <w:r w:rsidR="00232284" w:rsidRPr="00232284">
        <w:rPr>
          <w:rFonts w:cs="Arial"/>
          <w:rtl/>
        </w:rPr>
        <w:t>וע"ד האלמנה שקבל עליו בעלה בחייו שישבע הוא ואשתו</w:t>
      </w:r>
      <w:r w:rsidR="00232284">
        <w:rPr>
          <w:rFonts w:cs="Arial" w:hint="cs"/>
          <w:rtl/>
        </w:rPr>
        <w:t>,</w:t>
      </w:r>
      <w:r w:rsidR="00232284" w:rsidRPr="00232284">
        <w:rPr>
          <w:rFonts w:cs="Arial"/>
          <w:rtl/>
        </w:rPr>
        <w:t xml:space="preserve"> דבר פשוט הוא שאין הקנין שקבל הבעל מחייב את אשתו לישבע. </w:t>
      </w:r>
    </w:p>
    <w:p w14:paraId="22FAC8CC"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0712BF3" w14:textId="3A377587" w:rsidR="002F794C" w:rsidRDefault="00392DBB" w:rsidP="0040394C">
      <w:pPr>
        <w:rPr>
          <w:rtl/>
        </w:rPr>
      </w:pPr>
      <w:r>
        <w:rPr>
          <w:rFonts w:cs="Arial"/>
          <w:rtl/>
        </w:rPr>
        <w:t xml:space="preserve">מה שבועה נשבעת האלמנה, שלא התפיסה ושלא תפסה היא משלו כלום. ויש מי שאומר שצריכה לישבע שלא מחלה לו כתובתה ושלא מכרה לו. </w:t>
      </w:r>
      <w:r w:rsidRPr="002F794C">
        <w:rPr>
          <w:rFonts w:cs="Arial"/>
          <w:sz w:val="18"/>
          <w:szCs w:val="18"/>
          <w:rtl/>
        </w:rPr>
        <w:t>הגה: ואם נשבעה סתם: שלא נהניתי מכתובתי, סגי בכך (ר"ן). ונהגו ג"כ להשביע אותה שלא בזבזה כלום</w:t>
      </w:r>
      <w:r w:rsidR="0040394C">
        <w:rPr>
          <w:rStyle w:val="a7"/>
          <w:rFonts w:cs="Arial"/>
          <w:sz w:val="18"/>
          <w:szCs w:val="18"/>
          <w:rtl/>
        </w:rPr>
        <w:footnoteReference w:id="1728"/>
      </w:r>
      <w:r w:rsidRPr="002F794C">
        <w:rPr>
          <w:rFonts w:cs="Arial"/>
          <w:sz w:val="18"/>
          <w:szCs w:val="18"/>
          <w:rtl/>
        </w:rPr>
        <w:t xml:space="preserve"> בלא רשות בעלה, ואם בעלה אינו בר דעת אומרים סתם: שלא בזבזה יותר מן הראוי (מהרי"ק שורש יט</w:t>
      </w:r>
      <w:r w:rsidR="00875E99">
        <w:rPr>
          <w:rFonts w:cs="Arial" w:hint="cs"/>
          <w:sz w:val="18"/>
          <w:szCs w:val="18"/>
          <w:rtl/>
        </w:rPr>
        <w:t xml:space="preserve"> ענף ד</w:t>
      </w:r>
      <w:r w:rsidRPr="002F794C">
        <w:rPr>
          <w:rFonts w:cs="Arial"/>
          <w:sz w:val="18"/>
          <w:szCs w:val="18"/>
          <w:rtl/>
        </w:rPr>
        <w:t>).</w:t>
      </w:r>
      <w:r>
        <w:rPr>
          <w:rFonts w:cs="Arial"/>
          <w:rtl/>
        </w:rPr>
        <w:t xml:space="preserve"> </w:t>
      </w:r>
    </w:p>
    <w:p w14:paraId="3C878410" w14:textId="77777777" w:rsidR="00F726A3" w:rsidRDefault="00F726A3" w:rsidP="005F69E9">
      <w:pPr>
        <w:rPr>
          <w:rtl/>
        </w:rPr>
      </w:pPr>
    </w:p>
    <w:p w14:paraId="0758EB4A" w14:textId="6202B40B" w:rsidR="00392DBB" w:rsidRDefault="00392DBB" w:rsidP="000F64D0">
      <w:pPr>
        <w:pStyle w:val="2"/>
        <w:rPr>
          <w:rtl/>
        </w:rPr>
      </w:pPr>
      <w:r>
        <w:rPr>
          <w:rtl/>
        </w:rPr>
        <w:t>סעיף ג</w:t>
      </w:r>
      <w:r w:rsidR="008428A1">
        <w:rPr>
          <w:rFonts w:hint="cs"/>
          <w:rtl/>
        </w:rPr>
        <w:t>:</w:t>
      </w:r>
      <w:r w:rsidR="00331644">
        <w:rPr>
          <w:rFonts w:hint="cs"/>
          <w:rtl/>
        </w:rPr>
        <w:t xml:space="preserve"> אלמנה שרוצה לחכות עם השבועה</w:t>
      </w:r>
      <w:r w:rsidR="006E6DEC">
        <w:rPr>
          <w:rFonts w:hint="cs"/>
          <w:rtl/>
        </w:rPr>
        <w:t xml:space="preserve"> עד שיגדלו בניה וימחלו</w:t>
      </w:r>
      <w:r w:rsidR="00331644">
        <w:rPr>
          <w:rFonts w:hint="cs"/>
          <w:rtl/>
        </w:rPr>
        <w:t>.</w:t>
      </w:r>
    </w:p>
    <w:p w14:paraId="1CC1F4EC" w14:textId="70A5BCF7" w:rsidR="006E6DEC" w:rsidRPr="006E6DEC" w:rsidRDefault="006E6DEC" w:rsidP="006E6DEC">
      <w:pPr>
        <w:rPr>
          <w:u w:val="single"/>
          <w:rtl/>
        </w:rPr>
      </w:pPr>
      <w:r w:rsidRPr="006E6DEC">
        <w:rPr>
          <w:rFonts w:hint="cs"/>
          <w:u w:val="single"/>
          <w:rtl/>
        </w:rPr>
        <w:t>אלמנה שרוצה לחכות עם השבועה עד שיגדלו בניה וימחלו:</w:t>
      </w:r>
    </w:p>
    <w:p w14:paraId="673326A0" w14:textId="739741F5" w:rsidR="00F5668F" w:rsidRPr="00810407" w:rsidRDefault="00814194" w:rsidP="009000E3">
      <w:pPr>
        <w:pStyle w:val="ab"/>
        <w:numPr>
          <w:ilvl w:val="0"/>
          <w:numId w:val="84"/>
        </w:numPr>
      </w:pPr>
      <w:r>
        <w:rPr>
          <w:rFonts w:hint="cs"/>
          <w:rtl/>
        </w:rPr>
        <w:t xml:space="preserve">רא"ש </w:t>
      </w:r>
      <w:r>
        <w:rPr>
          <w:rFonts w:hint="cs"/>
          <w:sz w:val="16"/>
          <w:szCs w:val="16"/>
          <w:rtl/>
        </w:rPr>
        <w:t>(כלל נ סי' ג)</w:t>
      </w:r>
      <w:r>
        <w:rPr>
          <w:rFonts w:hint="cs"/>
          <w:rtl/>
        </w:rPr>
        <w:t xml:space="preserve"> ו</w:t>
      </w:r>
      <w:r w:rsidR="00F5668F">
        <w:rPr>
          <w:rFonts w:hint="cs"/>
          <w:rtl/>
        </w:rPr>
        <w:t>טור-</w:t>
      </w:r>
      <w:r w:rsidR="00F5668F">
        <w:rPr>
          <w:rFonts w:cs="Arial" w:hint="cs"/>
          <w:rtl/>
        </w:rPr>
        <w:t xml:space="preserve"> </w:t>
      </w:r>
      <w:r w:rsidR="00F5668F" w:rsidRPr="007F14E0">
        <w:rPr>
          <w:rFonts w:cs="Arial"/>
          <w:rtl/>
        </w:rPr>
        <w:t>אם היורשים קטנים</w:t>
      </w:r>
      <w:r w:rsidR="006E6DEC">
        <w:rPr>
          <w:rFonts w:cs="Arial" w:hint="cs"/>
          <w:rtl/>
        </w:rPr>
        <w:t>,</w:t>
      </w:r>
      <w:r w:rsidR="00F5668F" w:rsidRPr="007F14E0">
        <w:rPr>
          <w:rFonts w:cs="Arial"/>
          <w:rtl/>
        </w:rPr>
        <w:t xml:space="preserve"> והאפוטרופסים רוצים להשביעה</w:t>
      </w:r>
      <w:r w:rsidR="006E6DEC">
        <w:rPr>
          <w:rFonts w:cs="Arial" w:hint="cs"/>
          <w:rtl/>
        </w:rPr>
        <w:t>,</w:t>
      </w:r>
      <w:r w:rsidR="00F5668F" w:rsidRPr="007F14E0">
        <w:rPr>
          <w:rFonts w:cs="Arial"/>
          <w:rtl/>
        </w:rPr>
        <w:t xml:space="preserve"> והיא אומרת שאינה רוצה לישבע עד שיגדלו בניה כי שמא הם ימחלו לה או תתפשר עמהם</w:t>
      </w:r>
      <w:r w:rsidR="006E6DEC">
        <w:rPr>
          <w:rFonts w:cs="Arial" w:hint="cs"/>
          <w:rtl/>
        </w:rPr>
        <w:t>...</w:t>
      </w:r>
      <w:r w:rsidR="00F5668F" w:rsidRPr="007F14E0">
        <w:rPr>
          <w:rFonts w:cs="Arial"/>
          <w:rtl/>
        </w:rPr>
        <w:t xml:space="preserve"> </w:t>
      </w:r>
      <w:r w:rsidR="006E6DEC">
        <w:rPr>
          <w:rFonts w:cs="Arial" w:hint="cs"/>
          <w:rtl/>
        </w:rPr>
        <w:t xml:space="preserve">- </w:t>
      </w:r>
      <w:r w:rsidR="00F5668F" w:rsidRPr="007F14E0">
        <w:rPr>
          <w:rFonts w:cs="Arial"/>
          <w:rtl/>
        </w:rPr>
        <w:t>אין שומעין לה</w:t>
      </w:r>
      <w:r w:rsidR="006E6DEC">
        <w:rPr>
          <w:rFonts w:cs="Arial" w:hint="cs"/>
          <w:rtl/>
        </w:rPr>
        <w:t>,</w:t>
      </w:r>
      <w:r w:rsidR="00F5668F" w:rsidRPr="007F14E0">
        <w:rPr>
          <w:rFonts w:cs="Arial"/>
          <w:rtl/>
        </w:rPr>
        <w:t xml:space="preserve"> אלא לא תטול כלום עד שתשבע</w:t>
      </w:r>
      <w:r>
        <w:rPr>
          <w:rFonts w:cs="Arial" w:hint="cs"/>
          <w:sz w:val="16"/>
          <w:szCs w:val="16"/>
          <w:rtl/>
        </w:rPr>
        <w:t xml:space="preserve"> (ל' הטור</w:t>
      </w:r>
      <w:r w:rsidR="004B3951">
        <w:rPr>
          <w:rFonts w:cs="Arial" w:hint="cs"/>
          <w:sz w:val="16"/>
          <w:szCs w:val="16"/>
          <w:rtl/>
        </w:rPr>
        <w:t xml:space="preserve"> בשם הרא"ש</w:t>
      </w:r>
      <w:r>
        <w:rPr>
          <w:rFonts w:cs="Arial" w:hint="cs"/>
          <w:sz w:val="16"/>
          <w:szCs w:val="16"/>
          <w:rtl/>
        </w:rPr>
        <w:t>)</w:t>
      </w:r>
      <w:r w:rsidR="00F5668F">
        <w:rPr>
          <w:rFonts w:cs="Arial" w:hint="cs"/>
          <w:rtl/>
        </w:rPr>
        <w:t>.</w:t>
      </w:r>
      <w:r w:rsidRPr="00814194">
        <w:rPr>
          <w:rFonts w:cs="Arial" w:hint="cs"/>
          <w:color w:val="E36C0A" w:themeColor="accent6" w:themeShade="BF"/>
          <w:rtl/>
        </w:rPr>
        <w:t xml:space="preserve"> (וכ"פ בשו"ע)</w:t>
      </w:r>
      <w:r w:rsidR="00F5668F" w:rsidRPr="007F14E0">
        <w:rPr>
          <w:rFonts w:cs="Arial"/>
          <w:rtl/>
        </w:rPr>
        <w:t xml:space="preserve"> </w:t>
      </w:r>
    </w:p>
    <w:p w14:paraId="09F5FFDF"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947399D" w14:textId="40B00236" w:rsidR="00392DBB" w:rsidRDefault="00392DBB" w:rsidP="00392DBB">
      <w:pPr>
        <w:rPr>
          <w:rtl/>
        </w:rPr>
      </w:pPr>
      <w:r>
        <w:rPr>
          <w:rFonts w:cs="Arial"/>
          <w:rtl/>
        </w:rPr>
        <w:t xml:space="preserve">אם האלמנה רוצה ליטול כתובתה, ואינה רוצה לישבע עד שיגדלו בניה, שמא ימחלו לה השבועה, אין שומעין לה. </w:t>
      </w:r>
    </w:p>
    <w:p w14:paraId="1FF3C807" w14:textId="77777777" w:rsidR="0040394C" w:rsidRDefault="0040394C" w:rsidP="00392DBB">
      <w:pPr>
        <w:rPr>
          <w:rtl/>
        </w:rPr>
      </w:pPr>
    </w:p>
    <w:p w14:paraId="3C7A4408" w14:textId="2E15D593" w:rsidR="00392DBB" w:rsidRDefault="00392DBB" w:rsidP="000F64D0">
      <w:pPr>
        <w:pStyle w:val="2"/>
        <w:rPr>
          <w:rtl/>
        </w:rPr>
      </w:pPr>
      <w:r>
        <w:rPr>
          <w:rtl/>
        </w:rPr>
        <w:t>סעיף ד</w:t>
      </w:r>
      <w:r w:rsidR="00331644">
        <w:rPr>
          <w:rFonts w:hint="cs"/>
          <w:rtl/>
        </w:rPr>
        <w:t>:</w:t>
      </w:r>
      <w:r w:rsidR="00331644" w:rsidRPr="00331644">
        <w:rPr>
          <w:rtl/>
        </w:rPr>
        <w:t xml:space="preserve"> </w:t>
      </w:r>
      <w:r w:rsidR="00331644">
        <w:rPr>
          <w:rtl/>
        </w:rPr>
        <w:t>מנה נתן לי במתנה</w:t>
      </w:r>
      <w:r w:rsidR="00331644">
        <w:rPr>
          <w:rFonts w:hint="cs"/>
          <w:rtl/>
        </w:rPr>
        <w:t xml:space="preserve"> שאינו </w:t>
      </w:r>
      <w:r w:rsidR="003541F8">
        <w:rPr>
          <w:rFonts w:hint="cs"/>
          <w:rtl/>
        </w:rPr>
        <w:t>חלק מ</w:t>
      </w:r>
      <w:r w:rsidR="00331644">
        <w:rPr>
          <w:rFonts w:hint="cs"/>
          <w:rtl/>
        </w:rPr>
        <w:t>כתוב</w:t>
      </w:r>
      <w:r w:rsidR="003541F8">
        <w:rPr>
          <w:rFonts w:hint="cs"/>
          <w:rtl/>
        </w:rPr>
        <w:t>תי</w:t>
      </w:r>
      <w:r w:rsidR="00331644">
        <w:rPr>
          <w:rFonts w:hint="cs"/>
          <w:rtl/>
        </w:rPr>
        <w:t>.</w:t>
      </w:r>
    </w:p>
    <w:p w14:paraId="6FD745D1" w14:textId="76C0AC31" w:rsidR="002721C2" w:rsidRPr="002721C2" w:rsidRDefault="003541F8" w:rsidP="002721C2">
      <w:pPr>
        <w:rPr>
          <w:u w:val="single"/>
          <w:rtl/>
        </w:rPr>
      </w:pPr>
      <w:r w:rsidRPr="003541F8">
        <w:rPr>
          <w:rFonts w:cs="Arial"/>
          <w:u w:val="single"/>
          <w:rtl/>
        </w:rPr>
        <w:t>מנה נתן לי במתנה</w:t>
      </w:r>
      <w:r w:rsidRPr="003541F8">
        <w:rPr>
          <w:rFonts w:cs="Arial" w:hint="cs"/>
          <w:u w:val="single"/>
          <w:rtl/>
        </w:rPr>
        <w:t xml:space="preserve"> שאינו חלק מכתובתי</w:t>
      </w:r>
      <w:r w:rsidR="002721C2" w:rsidRPr="002721C2">
        <w:rPr>
          <w:rFonts w:hint="cs"/>
          <w:u w:val="single"/>
          <w:rtl/>
        </w:rPr>
        <w:t>:</w:t>
      </w:r>
    </w:p>
    <w:p w14:paraId="3E6442A6" w14:textId="5E700427" w:rsidR="004B3951" w:rsidRPr="004B3951" w:rsidRDefault="004B3951" w:rsidP="009000E3">
      <w:pPr>
        <w:pStyle w:val="ab"/>
        <w:numPr>
          <w:ilvl w:val="0"/>
          <w:numId w:val="84"/>
        </w:numPr>
      </w:pPr>
      <w:r>
        <w:rPr>
          <w:rFonts w:hint="cs"/>
          <w:rtl/>
        </w:rPr>
        <w:t xml:space="preserve">רא"ש </w:t>
      </w:r>
      <w:r>
        <w:rPr>
          <w:rFonts w:hint="cs"/>
          <w:sz w:val="16"/>
          <w:szCs w:val="16"/>
          <w:rtl/>
        </w:rPr>
        <w:t>(כלל נ סי' ב)</w:t>
      </w:r>
      <w:r>
        <w:rPr>
          <w:rFonts w:hint="cs"/>
          <w:rtl/>
        </w:rPr>
        <w:t xml:space="preserve"> וטור</w:t>
      </w:r>
      <w:r w:rsidR="009044F6">
        <w:rPr>
          <w:rFonts w:hint="cs"/>
          <w:rtl/>
        </w:rPr>
        <w:t>-</w:t>
      </w:r>
      <w:r w:rsidR="009044F6">
        <w:rPr>
          <w:rFonts w:cs="Arial" w:hint="cs"/>
          <w:rtl/>
        </w:rPr>
        <w:t xml:space="preserve"> </w:t>
      </w:r>
      <w:r w:rsidR="009044F6" w:rsidRPr="007F14E0">
        <w:rPr>
          <w:rFonts w:cs="Arial"/>
          <w:rtl/>
        </w:rPr>
        <w:t>וששאלת אלמנה שאומרת בעלי נתן לי מנה קודם מותו במתנה גמורה ע"מ שלא ינכם לי בכתובתי</w:t>
      </w:r>
      <w:r>
        <w:rPr>
          <w:rFonts w:cs="Arial" w:hint="cs"/>
          <w:rtl/>
        </w:rPr>
        <w:t>,</w:t>
      </w:r>
      <w:r w:rsidR="009044F6" w:rsidRPr="007F14E0">
        <w:rPr>
          <w:rFonts w:cs="Arial"/>
          <w:rtl/>
        </w:rPr>
        <w:t xml:space="preserve"> ועדים אין לה</w:t>
      </w:r>
      <w:r>
        <w:rPr>
          <w:rFonts w:cs="Arial" w:hint="cs"/>
          <w:rtl/>
        </w:rPr>
        <w:t>.</w:t>
      </w:r>
      <w:r w:rsidR="009044F6" w:rsidRPr="007F14E0">
        <w:rPr>
          <w:rFonts w:cs="Arial"/>
          <w:rtl/>
        </w:rPr>
        <w:t xml:space="preserve"> </w:t>
      </w:r>
      <w:r>
        <w:rPr>
          <w:rFonts w:cs="Arial" w:hint="cs"/>
          <w:rtl/>
        </w:rPr>
        <w:t xml:space="preserve">  </w:t>
      </w:r>
      <w:r w:rsidR="00232284">
        <w:rPr>
          <w:rFonts w:cs="Arial" w:hint="cs"/>
          <w:rtl/>
        </w:rPr>
        <w:t xml:space="preserve">  </w:t>
      </w:r>
      <w:r>
        <w:rPr>
          <w:rFonts w:cs="Arial" w:hint="cs"/>
          <w:rtl/>
        </w:rPr>
        <w:t xml:space="preserve"> </w:t>
      </w:r>
      <w:r w:rsidR="009044F6" w:rsidRPr="007F14E0">
        <w:rPr>
          <w:rFonts w:cs="Arial"/>
          <w:rtl/>
        </w:rPr>
        <w:t>תשובה</w:t>
      </w:r>
      <w:r>
        <w:rPr>
          <w:rFonts w:cs="Arial" w:hint="cs"/>
          <w:rtl/>
        </w:rPr>
        <w:t>:</w:t>
      </w:r>
      <w:r w:rsidR="009044F6" w:rsidRPr="007F14E0">
        <w:rPr>
          <w:rFonts w:cs="Arial"/>
          <w:rtl/>
        </w:rPr>
        <w:t xml:space="preserve"> אם היא מוחזקת במנה</w:t>
      </w:r>
      <w:r>
        <w:rPr>
          <w:rFonts w:cs="Arial" w:hint="cs"/>
          <w:rtl/>
        </w:rPr>
        <w:t>,</w:t>
      </w:r>
      <w:r w:rsidR="009044F6" w:rsidRPr="007F14E0">
        <w:rPr>
          <w:rFonts w:cs="Arial"/>
          <w:rtl/>
        </w:rPr>
        <w:t xml:space="preserve"> כגון שיש ממון בעלה תחת ידיה והיא יכולה לטעון על אותו ממון אין בידי משל בעלי כלום </w:t>
      </w:r>
      <w:r>
        <w:rPr>
          <w:rFonts w:cs="Arial" w:hint="cs"/>
          <w:rtl/>
        </w:rPr>
        <w:t xml:space="preserve">- </w:t>
      </w:r>
      <w:r w:rsidR="009044F6" w:rsidRPr="007F14E0">
        <w:rPr>
          <w:rFonts w:cs="Arial"/>
          <w:rtl/>
        </w:rPr>
        <w:t>נאמנת ג"כ במגו לומר נתנו לי במתנה ובשבועה</w:t>
      </w:r>
      <w:r>
        <w:rPr>
          <w:rFonts w:cs="Arial" w:hint="cs"/>
          <w:rtl/>
        </w:rPr>
        <w:t>.</w:t>
      </w:r>
      <w:r w:rsidR="009044F6" w:rsidRPr="007F14E0">
        <w:rPr>
          <w:rFonts w:cs="Arial"/>
          <w:rtl/>
        </w:rPr>
        <w:t xml:space="preserve"> אבל אם היא אינה מוחזקת בממון בעלה </w:t>
      </w:r>
      <w:r>
        <w:rPr>
          <w:rFonts w:cs="Arial" w:hint="cs"/>
          <w:rtl/>
        </w:rPr>
        <w:t xml:space="preserve">- </w:t>
      </w:r>
      <w:r w:rsidR="009044F6" w:rsidRPr="007F14E0">
        <w:rPr>
          <w:rFonts w:cs="Arial"/>
          <w:rtl/>
        </w:rPr>
        <w:t>אז אינה נאמנת</w:t>
      </w:r>
      <w:r>
        <w:rPr>
          <w:rFonts w:cs="Arial" w:hint="cs"/>
          <w:sz w:val="16"/>
          <w:szCs w:val="16"/>
          <w:rtl/>
        </w:rPr>
        <w:t xml:space="preserve"> (ל' הטור בשם הרא"ש)</w:t>
      </w:r>
      <w:r w:rsidR="009044F6">
        <w:rPr>
          <w:rFonts w:cs="Arial" w:hint="cs"/>
          <w:rtl/>
        </w:rPr>
        <w:t>.</w:t>
      </w:r>
      <w:r w:rsidR="009044F6" w:rsidRPr="007F14E0">
        <w:rPr>
          <w:rFonts w:cs="Arial"/>
          <w:rtl/>
        </w:rPr>
        <w:t xml:space="preserve"> </w:t>
      </w:r>
      <w:r w:rsidR="003541F8" w:rsidRPr="00814194">
        <w:rPr>
          <w:rFonts w:cs="Arial" w:hint="cs"/>
          <w:color w:val="E36C0A" w:themeColor="accent6" w:themeShade="BF"/>
          <w:rtl/>
        </w:rPr>
        <w:t>(וכ"פ בשו"ע)</w:t>
      </w:r>
    </w:p>
    <w:p w14:paraId="4D7C27A7" w14:textId="6B979564" w:rsidR="004B3951" w:rsidRPr="0059273F" w:rsidRDefault="0059273F" w:rsidP="004B3951">
      <w:pPr>
        <w:rPr>
          <w:u w:val="single"/>
        </w:rPr>
      </w:pPr>
      <w:r w:rsidRPr="0059273F">
        <w:rPr>
          <w:rFonts w:cs="Arial" w:hint="cs"/>
          <w:u w:val="single"/>
          <w:rtl/>
        </w:rPr>
        <w:t>מטלטלין שנשארו ביד ה</w:t>
      </w:r>
      <w:r w:rsidRPr="0059273F">
        <w:rPr>
          <w:rFonts w:cs="Arial"/>
          <w:u w:val="single"/>
          <w:rtl/>
        </w:rPr>
        <w:t>אלמנה</w:t>
      </w:r>
      <w:r w:rsidRPr="0059273F">
        <w:rPr>
          <w:rFonts w:cs="Arial" w:hint="cs"/>
          <w:u w:val="single"/>
          <w:rtl/>
        </w:rPr>
        <w:t xml:space="preserve"> לאחר מות בעלה - האם נאמנת לומר "</w:t>
      </w:r>
      <w:r w:rsidRPr="0059273F">
        <w:rPr>
          <w:rFonts w:cs="Arial"/>
          <w:u w:val="single"/>
          <w:rtl/>
        </w:rPr>
        <w:t>בעלי נתנם לי</w:t>
      </w:r>
      <w:r w:rsidRPr="0059273F">
        <w:rPr>
          <w:rFonts w:cs="Arial" w:hint="cs"/>
          <w:u w:val="single"/>
          <w:rtl/>
        </w:rPr>
        <w:t>"</w:t>
      </w:r>
      <w:r>
        <w:rPr>
          <w:rFonts w:cs="Arial" w:hint="cs"/>
          <w:u w:val="single"/>
          <w:rtl/>
        </w:rPr>
        <w:t>,</w:t>
      </w:r>
      <w:r w:rsidRPr="0059273F">
        <w:rPr>
          <w:rFonts w:cs="Arial"/>
          <w:u w:val="single"/>
          <w:rtl/>
        </w:rPr>
        <w:t xml:space="preserve"> או </w:t>
      </w:r>
      <w:r w:rsidRPr="0059273F">
        <w:rPr>
          <w:rFonts w:cs="Arial" w:hint="cs"/>
          <w:u w:val="single"/>
          <w:rtl/>
        </w:rPr>
        <w:t>"</w:t>
      </w:r>
      <w:r w:rsidRPr="0059273F">
        <w:rPr>
          <w:rFonts w:cs="Arial"/>
          <w:u w:val="single"/>
          <w:rtl/>
        </w:rPr>
        <w:t>מכרם לי</w:t>
      </w:r>
      <w:r w:rsidRPr="0059273F">
        <w:rPr>
          <w:rFonts w:cs="Arial" w:hint="cs"/>
          <w:u w:val="single"/>
          <w:rtl/>
        </w:rPr>
        <w:t>"</w:t>
      </w:r>
      <w:r>
        <w:rPr>
          <w:rFonts w:cs="Arial" w:hint="cs"/>
          <w:u w:val="single"/>
          <w:rtl/>
        </w:rPr>
        <w:t>,</w:t>
      </w:r>
      <w:r w:rsidRPr="0059273F">
        <w:rPr>
          <w:rFonts w:hint="cs"/>
          <w:u w:val="single"/>
          <w:rtl/>
        </w:rPr>
        <w:t xml:space="preserve"> וכדומה:</w:t>
      </w:r>
    </w:p>
    <w:p w14:paraId="27B9AFC7" w14:textId="4001BF49" w:rsidR="00A07C3E" w:rsidRPr="00A07C3E" w:rsidRDefault="008428A1" w:rsidP="009000E3">
      <w:pPr>
        <w:pStyle w:val="ab"/>
        <w:numPr>
          <w:ilvl w:val="0"/>
          <w:numId w:val="84"/>
        </w:numPr>
        <w:rPr>
          <w:rFonts w:cs="Arial"/>
        </w:rPr>
      </w:pPr>
      <w:r w:rsidRPr="004B3951">
        <w:rPr>
          <w:rFonts w:cs="Arial"/>
          <w:rtl/>
        </w:rPr>
        <w:t xml:space="preserve">רשב"א </w:t>
      </w:r>
      <w:r w:rsidRPr="00A07C3E">
        <w:rPr>
          <w:rFonts w:cs="Arial"/>
          <w:sz w:val="16"/>
          <w:szCs w:val="16"/>
          <w:rtl/>
        </w:rPr>
        <w:t>(ח"א סי</w:t>
      </w:r>
      <w:r w:rsidR="004B3951" w:rsidRPr="00A07C3E">
        <w:rPr>
          <w:rFonts w:cs="Arial" w:hint="cs"/>
          <w:sz w:val="16"/>
          <w:szCs w:val="16"/>
          <w:rtl/>
        </w:rPr>
        <w:t>'</w:t>
      </w:r>
      <w:r w:rsidRPr="00A07C3E">
        <w:rPr>
          <w:rFonts w:cs="Arial"/>
          <w:sz w:val="16"/>
          <w:szCs w:val="16"/>
          <w:rtl/>
        </w:rPr>
        <w:t xml:space="preserve"> אלף עב</w:t>
      </w:r>
      <w:r w:rsidR="004B3951" w:rsidRPr="00A07C3E">
        <w:rPr>
          <w:rFonts w:cs="Arial" w:hint="cs"/>
          <w:sz w:val="16"/>
          <w:szCs w:val="16"/>
          <w:rtl/>
        </w:rPr>
        <w:t>)</w:t>
      </w:r>
      <w:r w:rsidR="004B3951">
        <w:rPr>
          <w:rFonts w:cs="Arial" w:hint="cs"/>
          <w:rtl/>
        </w:rPr>
        <w:t>-</w:t>
      </w:r>
      <w:r w:rsidRPr="004B3951">
        <w:rPr>
          <w:rFonts w:cs="Arial"/>
          <w:rtl/>
        </w:rPr>
        <w:t xml:space="preserve"> </w:t>
      </w:r>
      <w:r w:rsidR="00A07C3E" w:rsidRPr="00A07C3E">
        <w:rPr>
          <w:rFonts w:cs="Arial"/>
          <w:rtl/>
        </w:rPr>
        <w:t>שאלת</w:t>
      </w:r>
      <w:r w:rsidR="00A07C3E">
        <w:rPr>
          <w:rFonts w:cs="Arial" w:hint="cs"/>
          <w:rtl/>
        </w:rPr>
        <w:t>:</w:t>
      </w:r>
      <w:r w:rsidR="00A07C3E" w:rsidRPr="00A07C3E">
        <w:rPr>
          <w:rFonts w:cs="Arial"/>
          <w:rtl/>
        </w:rPr>
        <w:t xml:space="preserve"> אלמנה שתפסה מטלטלים שנשארו בידה אחר מות בעלה</w:t>
      </w:r>
      <w:r w:rsidR="0059273F">
        <w:rPr>
          <w:rFonts w:cs="Arial" w:hint="cs"/>
          <w:rtl/>
        </w:rPr>
        <w:t>,</w:t>
      </w:r>
      <w:r w:rsidR="00A07C3E" w:rsidRPr="00A07C3E">
        <w:rPr>
          <w:rFonts w:cs="Arial"/>
          <w:rtl/>
        </w:rPr>
        <w:t xml:space="preserve"> אם נאמנת לומר בעלי נתנם לי או מכרם לי או בחייו תפסתים אם לא? </w:t>
      </w:r>
      <w:r w:rsidR="00A07C3E">
        <w:rPr>
          <w:rFonts w:cs="Arial" w:hint="cs"/>
          <w:rtl/>
        </w:rPr>
        <w:t xml:space="preserve">     </w:t>
      </w:r>
      <w:r w:rsidR="00A07C3E" w:rsidRPr="00A07C3E">
        <w:rPr>
          <w:rFonts w:cs="Arial"/>
          <w:rtl/>
        </w:rPr>
        <w:t>תשובה</w:t>
      </w:r>
      <w:r w:rsidR="00A07C3E" w:rsidRPr="00A07C3E">
        <w:rPr>
          <w:rFonts w:cs="Arial" w:hint="cs"/>
          <w:rtl/>
        </w:rPr>
        <w:t>:</w:t>
      </w:r>
      <w:r w:rsidR="00A07C3E" w:rsidRPr="00A07C3E">
        <w:rPr>
          <w:rFonts w:cs="Arial"/>
          <w:rtl/>
        </w:rPr>
        <w:t xml:space="preserve"> אם מטלטלין אלו היו ידועין לבעל ויש עדים שעדין תחת ידה אינה נאמנת דהא איכא עדי' וראיה שאין מטלטלין אלו שלה.</w:t>
      </w:r>
      <w:r w:rsidR="00900ECB">
        <w:rPr>
          <w:rFonts w:cs="Arial" w:hint="cs"/>
          <w:rtl/>
        </w:rPr>
        <w:t>.</w:t>
      </w:r>
      <w:r w:rsidR="00A07C3E" w:rsidRPr="00A07C3E">
        <w:rPr>
          <w:rFonts w:cs="Arial"/>
          <w:rtl/>
        </w:rPr>
        <w:t xml:space="preserve">. אבל אם אין עדים שהיו של בעלה או שאין עדים שישנן תחת ידה נאמנת משום מיגו דאי בעיא אמר' לא היו מבעלי מעולם. אי נמי לא באו לידי מעולם ואפילו ראו אותם תחת ידה יכולה לומר החזרתים. וכל שיש לה מגו נאמנת. </w:t>
      </w:r>
    </w:p>
    <w:p w14:paraId="3673C3F9" w14:textId="2327B0D8" w:rsidR="00B54824" w:rsidRPr="00B54824" w:rsidRDefault="00B54824" w:rsidP="00B54824">
      <w:pPr>
        <w:ind w:left="360"/>
        <w:rPr>
          <w:u w:val="dotted"/>
        </w:rPr>
      </w:pPr>
      <w:r w:rsidRPr="00B54824">
        <w:rPr>
          <w:rFonts w:hint="cs"/>
          <w:u w:val="dotted"/>
          <w:rtl/>
        </w:rPr>
        <w:t>ומה הדין בשטרות שבידה:</w:t>
      </w:r>
    </w:p>
    <w:p w14:paraId="04BC9049" w14:textId="3D2C28A8" w:rsidR="00574E2D" w:rsidRPr="00545BDB" w:rsidRDefault="00B54824" w:rsidP="009000E3">
      <w:pPr>
        <w:pStyle w:val="ab"/>
        <w:numPr>
          <w:ilvl w:val="0"/>
          <w:numId w:val="84"/>
        </w:numPr>
      </w:pPr>
      <w:r>
        <w:rPr>
          <w:rFonts w:cs="Arial" w:hint="cs"/>
          <w:rtl/>
        </w:rPr>
        <w:lastRenderedPageBreak/>
        <w:t>רשב"א</w:t>
      </w:r>
      <w:r w:rsidRPr="00B54824">
        <w:rPr>
          <w:rFonts w:cs="Arial" w:hint="cs"/>
          <w:sz w:val="16"/>
          <w:szCs w:val="16"/>
          <w:rtl/>
        </w:rPr>
        <w:t xml:space="preserve"> </w:t>
      </w:r>
      <w:r w:rsidR="008428A1" w:rsidRPr="00B54824">
        <w:rPr>
          <w:rFonts w:cs="Arial"/>
          <w:sz w:val="16"/>
          <w:szCs w:val="16"/>
          <w:rtl/>
        </w:rPr>
        <w:t>(במיוחסות</w:t>
      </w:r>
      <w:r w:rsidRPr="00B54824">
        <w:rPr>
          <w:rFonts w:cs="Arial" w:hint="cs"/>
          <w:sz w:val="16"/>
          <w:szCs w:val="16"/>
          <w:rtl/>
        </w:rPr>
        <w:t xml:space="preserve"> סי' ל)</w:t>
      </w:r>
      <w:r>
        <w:rPr>
          <w:rFonts w:cs="Arial" w:hint="cs"/>
          <w:rtl/>
        </w:rPr>
        <w:t>-</w:t>
      </w:r>
      <w:r w:rsidR="008428A1" w:rsidRPr="004B3951">
        <w:rPr>
          <w:rFonts w:cs="Arial"/>
          <w:rtl/>
        </w:rPr>
        <w:t xml:space="preserve"> ולענין ש"ח שטענו האפטרופוסים</w:t>
      </w:r>
      <w:r w:rsidR="00FF6F73">
        <w:rPr>
          <w:rFonts w:cs="Arial" w:hint="cs"/>
          <w:rtl/>
        </w:rPr>
        <w:t>,</w:t>
      </w:r>
      <w:r w:rsidR="008428A1" w:rsidRPr="004B3951">
        <w:rPr>
          <w:rFonts w:cs="Arial"/>
          <w:rtl/>
        </w:rPr>
        <w:t xml:space="preserve"> אם טענה שהבעל נתנ</w:t>
      </w:r>
      <w:r>
        <w:rPr>
          <w:rFonts w:cs="Arial" w:hint="cs"/>
          <w:rtl/>
        </w:rPr>
        <w:t>ו</w:t>
      </w:r>
      <w:r w:rsidR="008428A1" w:rsidRPr="004B3951">
        <w:rPr>
          <w:rFonts w:cs="Arial"/>
          <w:rtl/>
        </w:rPr>
        <w:t xml:space="preserve"> לה </w:t>
      </w:r>
      <w:r w:rsidR="00FF6F73">
        <w:rPr>
          <w:rFonts w:cs="Arial" w:hint="cs"/>
          <w:rtl/>
        </w:rPr>
        <w:t xml:space="preserve">- </w:t>
      </w:r>
      <w:r w:rsidR="008428A1" w:rsidRPr="004B3951">
        <w:rPr>
          <w:rFonts w:cs="Arial"/>
          <w:rtl/>
        </w:rPr>
        <w:t>הדין עם האפטרופוס שהשטר אינו נקנה אלא בכתיבה ומסירה ואפילו ליכא עדים וראיה</w:t>
      </w:r>
      <w:r w:rsidR="00FF6F73">
        <w:rPr>
          <w:rStyle w:val="a7"/>
          <w:rFonts w:cs="Arial"/>
          <w:rtl/>
        </w:rPr>
        <w:footnoteReference w:id="1729"/>
      </w:r>
      <w:r w:rsidR="002721C2">
        <w:rPr>
          <w:rFonts w:cs="Arial" w:hint="cs"/>
          <w:rtl/>
        </w:rPr>
        <w:t>,</w:t>
      </w:r>
      <w:r w:rsidR="008428A1" w:rsidRPr="004B3951">
        <w:rPr>
          <w:rFonts w:cs="Arial"/>
          <w:rtl/>
        </w:rPr>
        <w:t xml:space="preserve"> דהא לא שייך בשטרות מיגו וכמו שכתב הרי"ף בפרק הכותב (כתובות מג.) במלוגא דשטרי</w:t>
      </w:r>
      <w:r w:rsidR="007C6819">
        <w:rPr>
          <w:rStyle w:val="a7"/>
          <w:rFonts w:cs="Arial"/>
          <w:rtl/>
        </w:rPr>
        <w:footnoteReference w:id="1730"/>
      </w:r>
      <w:r w:rsidR="008428A1" w:rsidRPr="00574E2D">
        <w:rPr>
          <w:rFonts w:cs="Arial"/>
          <w:rtl/>
        </w:rPr>
        <w:t xml:space="preserve">. </w:t>
      </w:r>
    </w:p>
    <w:p w14:paraId="7BBFC036" w14:textId="0078370D" w:rsidR="00862570" w:rsidRPr="00862570" w:rsidRDefault="00862570" w:rsidP="00862570">
      <w:pPr>
        <w:ind w:left="720"/>
        <w:rPr>
          <w:rFonts w:cs="Arial"/>
          <w:u w:val="wave"/>
        </w:rPr>
      </w:pPr>
      <w:r w:rsidRPr="00862570">
        <w:rPr>
          <w:rFonts w:cs="Arial" w:hint="cs"/>
          <w:u w:val="wave"/>
          <w:rtl/>
        </w:rPr>
        <w:t>ומה הדין אם השטרות על שמה בחיי הבעל:</w:t>
      </w:r>
    </w:p>
    <w:p w14:paraId="2BB2F9E8" w14:textId="7519D752" w:rsidR="00545BDB" w:rsidRPr="00545BDB" w:rsidRDefault="00545BDB" w:rsidP="009000E3">
      <w:pPr>
        <w:pStyle w:val="ab"/>
        <w:numPr>
          <w:ilvl w:val="0"/>
          <w:numId w:val="84"/>
        </w:numPr>
        <w:rPr>
          <w:rFonts w:cs="Arial"/>
        </w:rPr>
      </w:pPr>
      <w:r w:rsidRPr="00545BDB">
        <w:rPr>
          <w:rFonts w:cs="Arial"/>
          <w:rtl/>
        </w:rPr>
        <w:t>רשב"א</w:t>
      </w:r>
      <w:r w:rsidRPr="00862570">
        <w:rPr>
          <w:rFonts w:cs="Arial"/>
          <w:sz w:val="16"/>
          <w:szCs w:val="16"/>
          <w:rtl/>
        </w:rPr>
        <w:t xml:space="preserve"> (ח"א סי</w:t>
      </w:r>
      <w:r w:rsidR="00862570" w:rsidRPr="00862570">
        <w:rPr>
          <w:rFonts w:cs="Arial" w:hint="cs"/>
          <w:sz w:val="16"/>
          <w:szCs w:val="16"/>
          <w:rtl/>
        </w:rPr>
        <w:t>'</w:t>
      </w:r>
      <w:r w:rsidRPr="00862570">
        <w:rPr>
          <w:rFonts w:cs="Arial"/>
          <w:sz w:val="16"/>
          <w:szCs w:val="16"/>
          <w:rtl/>
        </w:rPr>
        <w:t xml:space="preserve"> תתעט</w:t>
      </w:r>
      <w:r w:rsidR="00862570" w:rsidRPr="00862570">
        <w:rPr>
          <w:rFonts w:cs="Arial" w:hint="cs"/>
          <w:sz w:val="16"/>
          <w:szCs w:val="16"/>
          <w:rtl/>
        </w:rPr>
        <w:t>)</w:t>
      </w:r>
      <w:r w:rsidR="00862570">
        <w:rPr>
          <w:rFonts w:cs="Arial" w:hint="cs"/>
          <w:rtl/>
        </w:rPr>
        <w:t>-</w:t>
      </w:r>
      <w:r w:rsidRPr="00545BDB">
        <w:rPr>
          <w:rFonts w:cs="Arial"/>
          <w:rtl/>
        </w:rPr>
        <w:t xml:space="preserve"> אשה שהיו שטרי חוב יוצאים על שמה בחיי הבעל ונתנה אותם לבן שיש לה מאיש אחר ונשבעה שבועת אלמנה ואח</w:t>
      </w:r>
      <w:r w:rsidR="00850F45">
        <w:rPr>
          <w:rFonts w:cs="Arial" w:hint="cs"/>
          <w:rtl/>
        </w:rPr>
        <w:t>"</w:t>
      </w:r>
      <w:r w:rsidRPr="00545BDB">
        <w:rPr>
          <w:rFonts w:cs="Arial"/>
          <w:rtl/>
        </w:rPr>
        <w:t xml:space="preserve">כ מתה </w:t>
      </w:r>
      <w:r w:rsidR="00850F45">
        <w:rPr>
          <w:rFonts w:cs="Arial" w:hint="cs"/>
          <w:rtl/>
        </w:rPr>
        <w:t xml:space="preserve">- </w:t>
      </w:r>
      <w:r w:rsidRPr="00545BDB">
        <w:rPr>
          <w:rFonts w:cs="Arial"/>
          <w:rtl/>
        </w:rPr>
        <w:t>דבריה קיימים בהם</w:t>
      </w:r>
      <w:r w:rsidR="00850F45">
        <w:rPr>
          <w:rFonts w:cs="Arial" w:hint="cs"/>
          <w:rtl/>
        </w:rPr>
        <w:t>.</w:t>
      </w:r>
      <w:r w:rsidRPr="00545BDB">
        <w:rPr>
          <w:rFonts w:cs="Arial"/>
          <w:rtl/>
        </w:rPr>
        <w:t xml:space="preserve"> חדא</w:t>
      </w:r>
      <w:r w:rsidR="00850F45">
        <w:rPr>
          <w:rFonts w:cs="Arial" w:hint="cs"/>
          <w:rtl/>
        </w:rPr>
        <w:t>,</w:t>
      </w:r>
      <w:r w:rsidRPr="00545BDB">
        <w:rPr>
          <w:rFonts w:cs="Arial"/>
          <w:rtl/>
        </w:rPr>
        <w:t xml:space="preserve"> דהא תפסינהו מחיים ותפיסה דשטרות תפיסה היא</w:t>
      </w:r>
      <w:r w:rsidR="00850F45">
        <w:rPr>
          <w:rFonts w:cs="Arial" w:hint="cs"/>
          <w:rtl/>
        </w:rPr>
        <w:t>.</w:t>
      </w:r>
      <w:r w:rsidRPr="00545BDB">
        <w:rPr>
          <w:rFonts w:cs="Arial"/>
          <w:rtl/>
        </w:rPr>
        <w:t xml:space="preserve"> ועוד</w:t>
      </w:r>
      <w:r w:rsidR="00850F45">
        <w:rPr>
          <w:rFonts w:cs="Arial" w:hint="cs"/>
          <w:rtl/>
        </w:rPr>
        <w:t>,</w:t>
      </w:r>
      <w:r w:rsidRPr="00545BDB">
        <w:rPr>
          <w:rFonts w:cs="Arial"/>
          <w:rtl/>
        </w:rPr>
        <w:t xml:space="preserve"> דהכא השטרות יוצאים על שמה מאן לימא לן שלא נפלו לה מבית אביה. </w:t>
      </w:r>
    </w:p>
    <w:p w14:paraId="7875A6A4" w14:textId="77777777" w:rsidR="009F5592" w:rsidRPr="009F5592" w:rsidRDefault="009F5592" w:rsidP="009000E3">
      <w:pPr>
        <w:pStyle w:val="ab"/>
        <w:numPr>
          <w:ilvl w:val="0"/>
          <w:numId w:val="84"/>
        </w:numPr>
        <w:rPr>
          <w:rFonts w:cs="Arial"/>
          <w:rtl/>
        </w:rPr>
      </w:pPr>
      <w:r w:rsidRPr="009F5592">
        <w:rPr>
          <w:rFonts w:cs="Arial" w:hint="cs"/>
          <w:rtl/>
        </w:rPr>
        <w:t>רשב"א</w:t>
      </w:r>
      <w:r w:rsidRPr="009F5592">
        <w:rPr>
          <w:rFonts w:cs="Arial"/>
          <w:rtl/>
        </w:rPr>
        <w:t xml:space="preserve"> </w:t>
      </w:r>
      <w:r w:rsidRPr="009F5592">
        <w:rPr>
          <w:rFonts w:cs="Arial"/>
          <w:sz w:val="16"/>
          <w:szCs w:val="16"/>
          <w:rtl/>
        </w:rPr>
        <w:t>(ח"א סי</w:t>
      </w:r>
      <w:r w:rsidRPr="009F5592">
        <w:rPr>
          <w:rFonts w:cs="Arial" w:hint="cs"/>
          <w:sz w:val="16"/>
          <w:szCs w:val="16"/>
          <w:rtl/>
        </w:rPr>
        <w:t>'</w:t>
      </w:r>
      <w:r w:rsidRPr="009F5592">
        <w:rPr>
          <w:rFonts w:cs="Arial"/>
          <w:sz w:val="16"/>
          <w:szCs w:val="16"/>
          <w:rtl/>
        </w:rPr>
        <w:t xml:space="preserve"> תתקנז)</w:t>
      </w:r>
      <w:r w:rsidRPr="009F5592">
        <w:rPr>
          <w:rFonts w:cs="Arial" w:hint="cs"/>
          <w:rtl/>
        </w:rPr>
        <w:t>-</w:t>
      </w:r>
      <w:r w:rsidRPr="009F5592">
        <w:rPr>
          <w:rFonts w:cs="Arial"/>
          <w:rtl/>
        </w:rPr>
        <w:t xml:space="preserve"> ראובן קנה בתים</w:t>
      </w:r>
      <w:r w:rsidRPr="009F5592">
        <w:rPr>
          <w:rFonts w:cs="Arial" w:hint="cs"/>
          <w:rtl/>
        </w:rPr>
        <w:t>,</w:t>
      </w:r>
      <w:r w:rsidRPr="009F5592">
        <w:rPr>
          <w:rFonts w:cs="Arial"/>
          <w:rtl/>
        </w:rPr>
        <w:t xml:space="preserve"> ועשה השטר בשמו ובשם אשתו</w:t>
      </w:r>
      <w:r w:rsidRPr="009F5592">
        <w:rPr>
          <w:rFonts w:cs="Arial" w:hint="cs"/>
          <w:rtl/>
        </w:rPr>
        <w:t>,</w:t>
      </w:r>
      <w:r w:rsidRPr="009F5592">
        <w:rPr>
          <w:rFonts w:cs="Arial"/>
          <w:rtl/>
        </w:rPr>
        <w:t xml:space="preserve"> ומת</w:t>
      </w:r>
      <w:r w:rsidRPr="009F5592">
        <w:rPr>
          <w:rFonts w:cs="Arial" w:hint="cs"/>
          <w:rtl/>
        </w:rPr>
        <w:t>.</w:t>
      </w:r>
      <w:r w:rsidRPr="009F5592">
        <w:rPr>
          <w:rFonts w:cs="Arial"/>
          <w:rtl/>
        </w:rPr>
        <w:t xml:space="preserve"> והיא אומרת שהבתים קנו אותם מנכסים שנפלו לה מבית אבי אמה תוספת על מה שכתב לה בכתובתה</w:t>
      </w:r>
      <w:r w:rsidRPr="009F5592">
        <w:rPr>
          <w:rFonts w:cs="Arial" w:hint="cs"/>
          <w:rtl/>
        </w:rPr>
        <w:t xml:space="preserve">. </w:t>
      </w:r>
      <w:r w:rsidRPr="009F5592">
        <w:rPr>
          <w:rFonts w:cs="Arial"/>
          <w:rtl/>
        </w:rPr>
        <w:t>אילו קנה ראובן מנכסיו</w:t>
      </w:r>
      <w:r w:rsidRPr="009F5592">
        <w:rPr>
          <w:rFonts w:cs="Arial" w:hint="cs"/>
          <w:rtl/>
        </w:rPr>
        <w:t>,</w:t>
      </w:r>
      <w:r w:rsidRPr="009F5592">
        <w:rPr>
          <w:rFonts w:cs="Arial"/>
          <w:rtl/>
        </w:rPr>
        <w:t xml:space="preserve"> אע</w:t>
      </w:r>
      <w:r w:rsidRPr="009F5592">
        <w:rPr>
          <w:rFonts w:cs="Arial" w:hint="cs"/>
          <w:rtl/>
        </w:rPr>
        <w:t>"</w:t>
      </w:r>
      <w:r w:rsidRPr="009F5592">
        <w:rPr>
          <w:rFonts w:cs="Arial"/>
          <w:rtl/>
        </w:rPr>
        <w:t xml:space="preserve">פ שכתב השטר בשם אשתו </w:t>
      </w:r>
      <w:r w:rsidRPr="009F5592">
        <w:rPr>
          <w:rFonts w:cs="Arial" w:hint="cs"/>
          <w:rtl/>
        </w:rPr>
        <w:t xml:space="preserve">- </w:t>
      </w:r>
      <w:r w:rsidRPr="009F5592">
        <w:rPr>
          <w:rFonts w:cs="Arial"/>
          <w:rtl/>
        </w:rPr>
        <w:t>לא קנתה</w:t>
      </w:r>
      <w:r w:rsidRPr="009F5592">
        <w:rPr>
          <w:rFonts w:cs="Arial" w:hint="cs"/>
          <w:rtl/>
        </w:rPr>
        <w:t>.</w:t>
      </w:r>
      <w:r w:rsidRPr="009F5592">
        <w:rPr>
          <w:rFonts w:cs="Arial"/>
          <w:rtl/>
        </w:rPr>
        <w:t xml:space="preserve"> אבל אם היא טוענת שקנתה מנכסים שנפלו לה מבית אביה</w:t>
      </w:r>
      <w:r w:rsidRPr="009F5592">
        <w:rPr>
          <w:rFonts w:cs="Arial" w:hint="cs"/>
          <w:rtl/>
        </w:rPr>
        <w:t xml:space="preserve">, </w:t>
      </w:r>
      <w:r w:rsidRPr="009F5592">
        <w:rPr>
          <w:rFonts w:cs="Arial"/>
          <w:rtl/>
        </w:rPr>
        <w:t>רואים</w:t>
      </w:r>
      <w:r w:rsidRPr="009F5592">
        <w:rPr>
          <w:rFonts w:cs="Arial" w:hint="cs"/>
          <w:rtl/>
        </w:rPr>
        <w:t>,</w:t>
      </w:r>
      <w:r w:rsidRPr="009F5592">
        <w:rPr>
          <w:rFonts w:cs="Arial"/>
          <w:rtl/>
        </w:rPr>
        <w:t xml:space="preserve"> אם מוחזקת בכך שיש לה נכסי מלוג </w:t>
      </w:r>
      <w:r w:rsidRPr="009F5592">
        <w:rPr>
          <w:rFonts w:cs="Arial" w:hint="cs"/>
          <w:rtl/>
        </w:rPr>
        <w:t xml:space="preserve">- </w:t>
      </w:r>
      <w:r w:rsidRPr="009F5592">
        <w:rPr>
          <w:rFonts w:cs="Arial"/>
          <w:rtl/>
        </w:rPr>
        <w:t>הדין עמה</w:t>
      </w:r>
      <w:r w:rsidRPr="009F5592">
        <w:rPr>
          <w:rFonts w:cs="Arial" w:hint="cs"/>
          <w:rtl/>
        </w:rPr>
        <w:t>.</w:t>
      </w:r>
      <w:r w:rsidRPr="009F5592">
        <w:rPr>
          <w:rFonts w:cs="Arial"/>
          <w:rtl/>
        </w:rPr>
        <w:t xml:space="preserve"> ואם אינה מוחזקת בכך </w:t>
      </w:r>
      <w:r w:rsidRPr="009F5592">
        <w:rPr>
          <w:rFonts w:cs="Arial" w:hint="cs"/>
          <w:rtl/>
        </w:rPr>
        <w:t xml:space="preserve">- </w:t>
      </w:r>
      <w:r w:rsidRPr="009F5592">
        <w:rPr>
          <w:rFonts w:cs="Arial"/>
          <w:rtl/>
        </w:rPr>
        <w:t>אינה נאמנת ואפילו בשבועה</w:t>
      </w:r>
      <w:r w:rsidRPr="009F5592">
        <w:rPr>
          <w:rFonts w:cs="Arial" w:hint="cs"/>
          <w:rtl/>
        </w:rPr>
        <w:t>,</w:t>
      </w:r>
      <w:r w:rsidRPr="009F5592">
        <w:rPr>
          <w:rFonts w:cs="Arial"/>
          <w:rtl/>
        </w:rPr>
        <w:t xml:space="preserve"> לפי שכל מה שיש לאשה הרי הוא בחזקת הבעל. </w:t>
      </w:r>
    </w:p>
    <w:p w14:paraId="5486DF4F" w14:textId="199570CD" w:rsidR="009F5592" w:rsidRPr="007C6819" w:rsidRDefault="009F5592" w:rsidP="009000E3">
      <w:pPr>
        <w:pStyle w:val="ab"/>
        <w:numPr>
          <w:ilvl w:val="0"/>
          <w:numId w:val="84"/>
        </w:numPr>
        <w:rPr>
          <w:rtl/>
        </w:rPr>
      </w:pPr>
      <w:r w:rsidRPr="009F5592">
        <w:rPr>
          <w:rFonts w:cs="Arial" w:hint="cs"/>
          <w:rtl/>
        </w:rPr>
        <w:t>רשב"א</w:t>
      </w:r>
      <w:r w:rsidRPr="009F5592">
        <w:rPr>
          <w:rFonts w:cs="Arial"/>
          <w:rtl/>
        </w:rPr>
        <w:t xml:space="preserve"> </w:t>
      </w:r>
      <w:r w:rsidRPr="009F5592">
        <w:rPr>
          <w:rFonts w:cs="Arial" w:hint="cs"/>
          <w:sz w:val="16"/>
          <w:szCs w:val="16"/>
          <w:rtl/>
        </w:rPr>
        <w:t>(</w:t>
      </w:r>
      <w:r w:rsidRPr="009F5592">
        <w:rPr>
          <w:rFonts w:cs="Arial"/>
          <w:sz w:val="16"/>
          <w:szCs w:val="16"/>
          <w:rtl/>
        </w:rPr>
        <w:t>תתקצ</w:t>
      </w:r>
      <w:r w:rsidRPr="009F5592">
        <w:rPr>
          <w:rFonts w:cs="Arial" w:hint="cs"/>
          <w:sz w:val="16"/>
          <w:szCs w:val="16"/>
          <w:rtl/>
        </w:rPr>
        <w:t>ו</w:t>
      </w:r>
      <w:r w:rsidRPr="009F5592">
        <w:rPr>
          <w:rFonts w:cs="Arial"/>
          <w:sz w:val="16"/>
          <w:szCs w:val="16"/>
          <w:rtl/>
        </w:rPr>
        <w:t xml:space="preserve"> ח"א</w:t>
      </w:r>
      <w:r w:rsidRPr="009F5592">
        <w:rPr>
          <w:rFonts w:cs="Arial" w:hint="cs"/>
          <w:sz w:val="16"/>
          <w:szCs w:val="16"/>
          <w:rtl/>
        </w:rPr>
        <w:t>, ובמיוחסות סי' מב</w:t>
      </w:r>
      <w:r w:rsidRPr="009F5592">
        <w:rPr>
          <w:rFonts w:cs="Arial"/>
          <w:sz w:val="16"/>
          <w:szCs w:val="16"/>
          <w:rtl/>
        </w:rPr>
        <w:t>)</w:t>
      </w:r>
      <w:r w:rsidRPr="009F5592">
        <w:rPr>
          <w:rFonts w:cs="Arial" w:hint="cs"/>
          <w:rtl/>
        </w:rPr>
        <w:t>-</w:t>
      </w:r>
      <w:r w:rsidRPr="009F5592">
        <w:rPr>
          <w:rFonts w:cs="Arial"/>
          <w:rtl/>
        </w:rPr>
        <w:t xml:space="preserve"> אב ובן שהיו דרים בבית אחד ואוכלים על שלחן אחד</w:t>
      </w:r>
      <w:r w:rsidRPr="009F5592">
        <w:rPr>
          <w:rFonts w:cs="Arial" w:hint="cs"/>
          <w:rtl/>
        </w:rPr>
        <w:t>,</w:t>
      </w:r>
      <w:r w:rsidRPr="009F5592">
        <w:rPr>
          <w:rFonts w:cs="Arial"/>
          <w:rtl/>
        </w:rPr>
        <w:t xml:space="preserve"> והבן נשוי</w:t>
      </w:r>
      <w:r w:rsidRPr="009F5592">
        <w:rPr>
          <w:rFonts w:cs="Arial" w:hint="cs"/>
          <w:rtl/>
        </w:rPr>
        <w:t>,</w:t>
      </w:r>
      <w:r w:rsidRPr="009F5592">
        <w:rPr>
          <w:rFonts w:cs="Arial"/>
          <w:rtl/>
        </w:rPr>
        <w:t xml:space="preserve"> והיה נושא ונותן בתוך הבית והיו אונות ושטרות יוצאים על שמו</w:t>
      </w:r>
      <w:r w:rsidRPr="009F5592">
        <w:rPr>
          <w:rFonts w:cs="Arial" w:hint="cs"/>
          <w:rtl/>
        </w:rPr>
        <w:t>,</w:t>
      </w:r>
      <w:r w:rsidRPr="009F5592">
        <w:rPr>
          <w:rFonts w:cs="Arial"/>
          <w:rtl/>
        </w:rPr>
        <w:t xml:space="preserve"> ונפטרו האב והבן</w:t>
      </w:r>
      <w:r w:rsidRPr="009F5592">
        <w:rPr>
          <w:rFonts w:cs="Arial" w:hint="cs"/>
          <w:rtl/>
        </w:rPr>
        <w:t>.</w:t>
      </w:r>
      <w:r w:rsidRPr="009F5592">
        <w:rPr>
          <w:rFonts w:cs="Arial"/>
          <w:rtl/>
        </w:rPr>
        <w:t xml:space="preserve"> יורשי האב אומרים שהכל של אב</w:t>
      </w:r>
      <w:r w:rsidRPr="009F5592">
        <w:rPr>
          <w:rFonts w:cs="Arial" w:hint="cs"/>
          <w:rtl/>
        </w:rPr>
        <w:t>,</w:t>
      </w:r>
      <w:r w:rsidRPr="009F5592">
        <w:rPr>
          <w:rFonts w:cs="Arial"/>
          <w:rtl/>
        </w:rPr>
        <w:t xml:space="preserve"> והאלמנה טוענת שהכל שלה</w:t>
      </w:r>
      <w:r w:rsidRPr="009F5592">
        <w:rPr>
          <w:rFonts w:cs="Arial" w:hint="cs"/>
          <w:rtl/>
        </w:rPr>
        <w:t xml:space="preserve"> - </w:t>
      </w:r>
      <w:r w:rsidRPr="009F5592">
        <w:rPr>
          <w:rFonts w:cs="Arial"/>
          <w:rtl/>
        </w:rPr>
        <w:t>הדין עם האלמנה</w:t>
      </w:r>
      <w:r w:rsidRPr="009F5592">
        <w:rPr>
          <w:rFonts w:cs="Arial" w:hint="cs"/>
          <w:rtl/>
        </w:rPr>
        <w:t>,</w:t>
      </w:r>
      <w:r w:rsidRPr="009F5592">
        <w:rPr>
          <w:rFonts w:cs="Arial"/>
          <w:rtl/>
        </w:rPr>
        <w:t xml:space="preserve"> ואפילו אין לבעלה נכסים ידועים כלל</w:t>
      </w:r>
      <w:r w:rsidRPr="009F5592">
        <w:rPr>
          <w:rFonts w:cs="Arial" w:hint="cs"/>
          <w:rtl/>
        </w:rPr>
        <w:t>,</w:t>
      </w:r>
      <w:r w:rsidRPr="009F5592">
        <w:rPr>
          <w:rFonts w:cs="Arial"/>
          <w:rtl/>
        </w:rPr>
        <w:t xml:space="preserve"> ושאר כל הנכסים חוץ מאונות ושטרות היוצאים על שמו הכל בחזקת האב.</w:t>
      </w:r>
      <w:r>
        <w:rPr>
          <w:rFonts w:cs="Arial" w:hint="cs"/>
          <w:rtl/>
        </w:rPr>
        <w:t xml:space="preserve"> </w:t>
      </w:r>
      <w:r w:rsidRPr="009F5592">
        <w:rPr>
          <w:rFonts w:cs="Arial"/>
          <w:rtl/>
        </w:rPr>
        <w:t xml:space="preserve"> </w:t>
      </w:r>
    </w:p>
    <w:p w14:paraId="3250DF94" w14:textId="040A4B1E" w:rsidR="00574E2D" w:rsidRPr="007825E5" w:rsidRDefault="000755BA" w:rsidP="00574E2D">
      <w:pPr>
        <w:rPr>
          <w:u w:val="single"/>
        </w:rPr>
      </w:pPr>
      <w:r w:rsidRPr="007825E5">
        <w:rPr>
          <w:rFonts w:hint="cs"/>
          <w:u w:val="single"/>
          <w:rtl/>
        </w:rPr>
        <w:t>אשה איבדה כתובתה, והבע"ח הוציא שט"ח על בעלה, והיא טוענת שהיא מוחזקת ב</w:t>
      </w:r>
      <w:r w:rsidR="007825E5">
        <w:rPr>
          <w:rFonts w:hint="cs"/>
          <w:u w:val="single"/>
          <w:rtl/>
        </w:rPr>
        <w:t>נכסיו</w:t>
      </w:r>
      <w:r w:rsidR="007825E5" w:rsidRPr="007825E5">
        <w:rPr>
          <w:rFonts w:hint="cs"/>
          <w:u w:val="single"/>
          <w:rtl/>
        </w:rPr>
        <w:t>:</w:t>
      </w:r>
      <w:r w:rsidRPr="007825E5">
        <w:rPr>
          <w:rFonts w:hint="cs"/>
          <w:u w:val="single"/>
          <w:rtl/>
        </w:rPr>
        <w:t xml:space="preserve"> </w:t>
      </w:r>
    </w:p>
    <w:p w14:paraId="03E57041" w14:textId="1481F889" w:rsidR="008428A1" w:rsidRPr="008428A1" w:rsidRDefault="008428A1" w:rsidP="009000E3">
      <w:pPr>
        <w:pStyle w:val="ab"/>
        <w:numPr>
          <w:ilvl w:val="0"/>
          <w:numId w:val="84"/>
        </w:numPr>
        <w:rPr>
          <w:rtl/>
        </w:rPr>
      </w:pPr>
      <w:r w:rsidRPr="00574E2D">
        <w:rPr>
          <w:rFonts w:cs="Arial"/>
          <w:rtl/>
        </w:rPr>
        <w:t xml:space="preserve">רא"ש </w:t>
      </w:r>
      <w:r w:rsidR="00574E2D" w:rsidRPr="00574E2D">
        <w:rPr>
          <w:rFonts w:cs="Arial" w:hint="cs"/>
          <w:sz w:val="16"/>
          <w:szCs w:val="16"/>
          <w:rtl/>
        </w:rPr>
        <w:t>(</w:t>
      </w:r>
      <w:r w:rsidRPr="00574E2D">
        <w:rPr>
          <w:rFonts w:cs="Arial"/>
          <w:sz w:val="16"/>
          <w:szCs w:val="16"/>
          <w:rtl/>
        </w:rPr>
        <w:t>כלל לו סי' ה)</w:t>
      </w:r>
      <w:r w:rsidR="00574E2D">
        <w:rPr>
          <w:rFonts w:cs="Arial" w:hint="cs"/>
          <w:rtl/>
        </w:rPr>
        <w:t>-</w:t>
      </w:r>
      <w:r w:rsidRPr="00574E2D">
        <w:rPr>
          <w:rFonts w:cs="Arial"/>
          <w:rtl/>
        </w:rPr>
        <w:t xml:space="preserve"> שאלת</w:t>
      </w:r>
      <w:r w:rsidR="00E3417A">
        <w:rPr>
          <w:rFonts w:cs="Arial" w:hint="cs"/>
          <w:rtl/>
        </w:rPr>
        <w:t>:</w:t>
      </w:r>
      <w:r w:rsidRPr="00574E2D">
        <w:rPr>
          <w:rFonts w:cs="Arial"/>
          <w:rtl/>
        </w:rPr>
        <w:t xml:space="preserve"> לאה אבדה כתובתה</w:t>
      </w:r>
      <w:r w:rsidR="00CA173A">
        <w:rPr>
          <w:rFonts w:cs="Arial" w:hint="cs"/>
          <w:rtl/>
        </w:rPr>
        <w:t>,</w:t>
      </w:r>
      <w:r w:rsidRPr="00574E2D">
        <w:rPr>
          <w:rFonts w:cs="Arial"/>
          <w:rtl/>
        </w:rPr>
        <w:t xml:space="preserve"> ובא בעל חוב של שמעון בעלה והוציא שטר חוב עליו</w:t>
      </w:r>
      <w:r w:rsidR="00CA173A">
        <w:rPr>
          <w:rFonts w:cs="Arial" w:hint="cs"/>
          <w:rtl/>
        </w:rPr>
        <w:t>,</w:t>
      </w:r>
      <w:r w:rsidRPr="00574E2D">
        <w:rPr>
          <w:rFonts w:cs="Arial"/>
          <w:rtl/>
        </w:rPr>
        <w:t xml:space="preserve"> והגבו לו בית דין מנכסיו</w:t>
      </w:r>
      <w:r w:rsidR="00CA173A">
        <w:rPr>
          <w:rFonts w:cs="Arial" w:hint="cs"/>
          <w:rtl/>
        </w:rPr>
        <w:t>.</w:t>
      </w:r>
      <w:r w:rsidRPr="00574E2D">
        <w:rPr>
          <w:rFonts w:cs="Arial"/>
          <w:rtl/>
        </w:rPr>
        <w:t xml:space="preserve"> וטענה לאה אלו הבתים נתן לי בכתובתי אע</w:t>
      </w:r>
      <w:r w:rsidR="00CA173A">
        <w:rPr>
          <w:rFonts w:cs="Arial" w:hint="cs"/>
          <w:rtl/>
        </w:rPr>
        <w:t>"</w:t>
      </w:r>
      <w:r w:rsidRPr="00574E2D">
        <w:rPr>
          <w:rFonts w:cs="Arial"/>
          <w:rtl/>
        </w:rPr>
        <w:t>פ שאבדה כתובתי איני חוששת מאחר שאני מוחזקת באלו הבתים</w:t>
      </w:r>
      <w:r w:rsidR="00CA173A">
        <w:rPr>
          <w:rFonts w:cs="Arial" w:hint="cs"/>
          <w:rtl/>
        </w:rPr>
        <w:t>,</w:t>
      </w:r>
      <w:r w:rsidRPr="00574E2D">
        <w:rPr>
          <w:rFonts w:cs="Arial"/>
          <w:rtl/>
        </w:rPr>
        <w:t xml:space="preserve"> אם היא נאמנת אם לאו. </w:t>
      </w:r>
      <w:r w:rsidR="00CA173A">
        <w:rPr>
          <w:rFonts w:cs="Arial" w:hint="cs"/>
          <w:rtl/>
        </w:rPr>
        <w:t xml:space="preserve">    </w:t>
      </w:r>
      <w:r w:rsidRPr="00574E2D">
        <w:rPr>
          <w:rFonts w:cs="Arial"/>
          <w:rtl/>
        </w:rPr>
        <w:t>תשובה</w:t>
      </w:r>
      <w:r w:rsidR="00CA173A">
        <w:rPr>
          <w:rFonts w:cs="Arial" w:hint="cs"/>
          <w:rtl/>
        </w:rPr>
        <w:t>:</w:t>
      </w:r>
      <w:r w:rsidRPr="00574E2D">
        <w:rPr>
          <w:rFonts w:cs="Arial"/>
          <w:rtl/>
        </w:rPr>
        <w:t xml:space="preserve"> אם אין לשמעון יתומים קטנים</w:t>
      </w:r>
      <w:r w:rsidR="00FF6F73">
        <w:rPr>
          <w:rFonts w:cs="Arial" w:hint="cs"/>
          <w:rtl/>
        </w:rPr>
        <w:t>,</w:t>
      </w:r>
      <w:r w:rsidRPr="00574E2D">
        <w:rPr>
          <w:rFonts w:cs="Arial"/>
          <w:rtl/>
        </w:rPr>
        <w:t xml:space="preserve"> ולאה דרה בבית אחד</w:t>
      </w:r>
      <w:r w:rsidR="00FF6F73">
        <w:rPr>
          <w:rFonts w:cs="Arial" w:hint="cs"/>
          <w:rtl/>
        </w:rPr>
        <w:t>,</w:t>
      </w:r>
      <w:r w:rsidRPr="00574E2D">
        <w:rPr>
          <w:rFonts w:cs="Arial"/>
          <w:rtl/>
        </w:rPr>
        <w:t xml:space="preserve"> והבתים האחרים שהיא טוענת עליהן ששמעון בעלה נתנם לה בכתובתה סמוך למיתתו החזיקה בהם ג' שנים בלי ערעור </w:t>
      </w:r>
      <w:r w:rsidR="00CA173A">
        <w:rPr>
          <w:rFonts w:cs="Arial" w:hint="cs"/>
          <w:rtl/>
        </w:rPr>
        <w:t xml:space="preserve">- </w:t>
      </w:r>
      <w:r w:rsidRPr="00574E2D">
        <w:rPr>
          <w:rFonts w:cs="Arial"/>
          <w:rtl/>
        </w:rPr>
        <w:t>היא נאמנת בשבועה שהוא כדבריה</w:t>
      </w:r>
      <w:r w:rsidR="00CA173A">
        <w:rPr>
          <w:rFonts w:cs="Arial" w:hint="cs"/>
          <w:rtl/>
        </w:rPr>
        <w:t>.</w:t>
      </w:r>
      <w:r w:rsidRPr="00574E2D">
        <w:rPr>
          <w:rFonts w:cs="Arial"/>
          <w:rtl/>
        </w:rPr>
        <w:t xml:space="preserve"> אבל אם היא דרה בהם אינה יכולה לטעון בהם חזקה</w:t>
      </w:r>
      <w:r w:rsidR="00CA173A">
        <w:rPr>
          <w:rFonts w:cs="Arial" w:hint="cs"/>
          <w:rtl/>
        </w:rPr>
        <w:t>,</w:t>
      </w:r>
      <w:r w:rsidRPr="00574E2D">
        <w:rPr>
          <w:rFonts w:cs="Arial"/>
          <w:rtl/>
        </w:rPr>
        <w:t xml:space="preserve"> שכן דרך אשה לדור בבית בעלה בתנאי כתובה</w:t>
      </w:r>
      <w:r w:rsidR="002721C2">
        <w:rPr>
          <w:rStyle w:val="a7"/>
          <w:rFonts w:cs="Arial"/>
          <w:rtl/>
        </w:rPr>
        <w:footnoteReference w:id="1731"/>
      </w:r>
      <w:r w:rsidR="00FF6F73">
        <w:rPr>
          <w:rFonts w:cs="Arial" w:hint="cs"/>
          <w:rtl/>
        </w:rPr>
        <w:t>,</w:t>
      </w:r>
      <w:r w:rsidRPr="00574E2D">
        <w:rPr>
          <w:rFonts w:cs="Arial"/>
          <w:rtl/>
        </w:rPr>
        <w:t xml:space="preserve"> וגם אם יש לשמעון יתומים קטנים אין מחזיקין בנכסי קטן אפילו הגדיל. </w:t>
      </w:r>
    </w:p>
    <w:p w14:paraId="3D65C59C"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208F31D" w14:textId="77777777" w:rsidR="002F794C" w:rsidRDefault="00392DBB" w:rsidP="00392DBB">
      <w:pPr>
        <w:rPr>
          <w:rFonts w:cs="Arial"/>
          <w:rtl/>
        </w:rPr>
      </w:pPr>
      <w:r>
        <w:rPr>
          <w:rFonts w:cs="Arial"/>
          <w:rtl/>
        </w:rPr>
        <w:t>אלמנה שאומרת: מנה נתן לי במתנה שלא יכנס בכתובתי, אם היא מוחזקת במנה ויכולה לטעון אין בידי משל בעלי כלום, נאמנת במגו.</w:t>
      </w:r>
    </w:p>
    <w:p w14:paraId="3990B475" w14:textId="48286DCB" w:rsidR="00392DBB" w:rsidRDefault="00392DBB" w:rsidP="00392DBB">
      <w:pPr>
        <w:rPr>
          <w:rtl/>
        </w:rPr>
      </w:pPr>
      <w:r>
        <w:rPr>
          <w:rFonts w:cs="Arial"/>
          <w:rtl/>
        </w:rPr>
        <w:t xml:space="preserve"> </w:t>
      </w:r>
    </w:p>
    <w:p w14:paraId="7F67C644" w14:textId="20DB655F" w:rsidR="00392DBB" w:rsidRDefault="00392DBB" w:rsidP="000F64D0">
      <w:pPr>
        <w:pStyle w:val="2"/>
        <w:rPr>
          <w:rtl/>
        </w:rPr>
      </w:pPr>
      <w:r>
        <w:rPr>
          <w:rtl/>
        </w:rPr>
        <w:t>סעיף ה</w:t>
      </w:r>
      <w:r w:rsidR="00637DFB">
        <w:rPr>
          <w:rFonts w:hint="cs"/>
          <w:rtl/>
        </w:rPr>
        <w:t>: אלמנה שמכרה/נתנה</w:t>
      </w:r>
      <w:r w:rsidR="00331644">
        <w:rPr>
          <w:rFonts w:hint="cs"/>
          <w:rtl/>
        </w:rPr>
        <w:t xml:space="preserve"> מנכסי בעלה</w:t>
      </w:r>
      <w:r w:rsidR="00637DFB">
        <w:rPr>
          <w:rFonts w:hint="cs"/>
          <w:rtl/>
        </w:rPr>
        <w:t>.</w:t>
      </w:r>
    </w:p>
    <w:p w14:paraId="1BCCA0EA" w14:textId="5BD652A0" w:rsidR="003541F8" w:rsidRPr="003541F8" w:rsidRDefault="003541F8" w:rsidP="003541F8">
      <w:pPr>
        <w:rPr>
          <w:u w:val="single"/>
          <w:rtl/>
        </w:rPr>
      </w:pPr>
      <w:bookmarkStart w:id="19" w:name="_Hlk135565551"/>
      <w:r w:rsidRPr="003541F8">
        <w:rPr>
          <w:rFonts w:hint="cs"/>
          <w:u w:val="single"/>
          <w:rtl/>
        </w:rPr>
        <w:t>אלמנה שמכרה/נתנה מנכסי בעלה:</w:t>
      </w:r>
    </w:p>
    <w:p w14:paraId="72C50C2B" w14:textId="2FF3CE32" w:rsidR="00B673E8" w:rsidRPr="00B673E8" w:rsidRDefault="00B673E8" w:rsidP="009000E3">
      <w:pPr>
        <w:pStyle w:val="ab"/>
        <w:numPr>
          <w:ilvl w:val="0"/>
          <w:numId w:val="84"/>
        </w:numPr>
        <w:rPr>
          <w:rFonts w:cs="Arial"/>
        </w:rPr>
      </w:pPr>
      <w:r>
        <w:rPr>
          <w:rFonts w:cs="Arial" w:hint="cs"/>
          <w:rtl/>
        </w:rPr>
        <w:t xml:space="preserve">רי"ף </w:t>
      </w:r>
      <w:r>
        <w:rPr>
          <w:rFonts w:cs="Arial" w:hint="cs"/>
          <w:sz w:val="16"/>
          <w:szCs w:val="16"/>
          <w:rtl/>
        </w:rPr>
        <w:t>(שו"ת סי' נה)</w:t>
      </w:r>
      <w:r w:rsidR="00A13F3F">
        <w:rPr>
          <w:rFonts w:cs="Arial" w:hint="cs"/>
          <w:rtl/>
        </w:rPr>
        <w:t xml:space="preserve"> ו</w:t>
      </w:r>
      <w:r w:rsidR="00A13F3F" w:rsidRPr="00DE7003">
        <w:rPr>
          <w:rFonts w:cs="Arial"/>
          <w:rtl/>
        </w:rPr>
        <w:t>רשב"א</w:t>
      </w:r>
      <w:r w:rsidR="00A13F3F">
        <w:rPr>
          <w:rStyle w:val="a7"/>
          <w:rFonts w:cs="Arial"/>
          <w:rtl/>
        </w:rPr>
        <w:footnoteReference w:id="1732"/>
      </w:r>
      <w:r w:rsidR="00A13F3F" w:rsidRPr="00DE7003">
        <w:rPr>
          <w:rFonts w:cs="Arial"/>
          <w:rtl/>
        </w:rPr>
        <w:t xml:space="preserve"> </w:t>
      </w:r>
      <w:r w:rsidR="00A13F3F" w:rsidRPr="00DE7003">
        <w:rPr>
          <w:rFonts w:cs="Arial"/>
          <w:sz w:val="16"/>
          <w:szCs w:val="16"/>
          <w:rtl/>
        </w:rPr>
        <w:t>(ח"ב סי' רכב)</w:t>
      </w:r>
      <w:r>
        <w:rPr>
          <w:rFonts w:cs="Arial" w:hint="cs"/>
          <w:rtl/>
        </w:rPr>
        <w:t xml:space="preserve">- </w:t>
      </w:r>
      <w:r w:rsidRPr="00B673E8">
        <w:rPr>
          <w:rFonts w:cs="Arial"/>
          <w:rtl/>
        </w:rPr>
        <w:t>שאלה</w:t>
      </w:r>
      <w:r>
        <w:rPr>
          <w:rFonts w:cs="Arial" w:hint="cs"/>
          <w:rtl/>
        </w:rPr>
        <w:t>:</w:t>
      </w:r>
      <w:r w:rsidRPr="00B673E8">
        <w:rPr>
          <w:rFonts w:cs="Arial"/>
          <w:rtl/>
        </w:rPr>
        <w:t xml:space="preserve"> אם מכרה האלמנה קודם שבועתה</w:t>
      </w:r>
      <w:r w:rsidR="00FF6F73">
        <w:rPr>
          <w:rFonts w:cs="Arial" w:hint="cs"/>
          <w:rtl/>
        </w:rPr>
        <w:t>,</w:t>
      </w:r>
      <w:r w:rsidRPr="00B673E8">
        <w:rPr>
          <w:rFonts w:cs="Arial"/>
          <w:rtl/>
        </w:rPr>
        <w:t xml:space="preserve"> או נתנה קרקע במתנה או מטלטלין</w:t>
      </w:r>
      <w:r>
        <w:rPr>
          <w:rFonts w:cs="Arial" w:hint="cs"/>
          <w:rtl/>
        </w:rPr>
        <w:t>,</w:t>
      </w:r>
      <w:r w:rsidRPr="00B673E8">
        <w:rPr>
          <w:rFonts w:cs="Arial"/>
          <w:rtl/>
        </w:rPr>
        <w:t xml:space="preserve"> ואח</w:t>
      </w:r>
      <w:r>
        <w:rPr>
          <w:rFonts w:cs="Arial" w:hint="cs"/>
          <w:rtl/>
        </w:rPr>
        <w:t>"</w:t>
      </w:r>
      <w:r w:rsidRPr="00B673E8">
        <w:rPr>
          <w:rFonts w:cs="Arial"/>
          <w:rtl/>
        </w:rPr>
        <w:t>כ נשבעה שבועת אלמנה</w:t>
      </w:r>
      <w:r>
        <w:rPr>
          <w:rFonts w:cs="Arial" w:hint="cs"/>
          <w:rtl/>
        </w:rPr>
        <w:t>,</w:t>
      </w:r>
      <w:r w:rsidRPr="00B673E8">
        <w:rPr>
          <w:rFonts w:cs="Arial"/>
          <w:rtl/>
        </w:rPr>
        <w:t xml:space="preserve"> נאמר כיון שנשבעה ונעשית ראויה ליטול כל מה שהניח בעלה איגלאי מילתא למפרע שמכירתה ומתנתה קיימין</w:t>
      </w:r>
      <w:r>
        <w:rPr>
          <w:rFonts w:cs="Arial" w:hint="cs"/>
          <w:rtl/>
        </w:rPr>
        <w:t>,</w:t>
      </w:r>
      <w:r w:rsidRPr="00B673E8">
        <w:rPr>
          <w:rFonts w:cs="Arial"/>
          <w:rtl/>
        </w:rPr>
        <w:t xml:space="preserve"> או דילמא כיון שמכרה ונתנה בשעה שלא היתה ראויה ליטול כלום מאותם נכסים יהיו מכירתה ומתנתה בטלין. </w:t>
      </w:r>
      <w:r>
        <w:rPr>
          <w:rFonts w:cs="Arial" w:hint="cs"/>
          <w:rtl/>
        </w:rPr>
        <w:t xml:space="preserve">    </w:t>
      </w:r>
      <w:r w:rsidRPr="00B673E8">
        <w:rPr>
          <w:rFonts w:cs="Arial"/>
          <w:rtl/>
        </w:rPr>
        <w:t>תשובה</w:t>
      </w:r>
      <w:r>
        <w:rPr>
          <w:rFonts w:cs="Arial" w:hint="cs"/>
          <w:rtl/>
        </w:rPr>
        <w:t>:</w:t>
      </w:r>
      <w:r w:rsidRPr="00B673E8">
        <w:rPr>
          <w:rFonts w:cs="Arial"/>
          <w:rtl/>
        </w:rPr>
        <w:t xml:space="preserve"> כך אמר המשנה אלמנה בין מן הנשואין בין מן האירוסין מוכרת שלא בבית דין</w:t>
      </w:r>
      <w:r>
        <w:rPr>
          <w:rFonts w:cs="Arial" w:hint="cs"/>
          <w:rtl/>
        </w:rPr>
        <w:t>,</w:t>
      </w:r>
      <w:r w:rsidRPr="00B673E8">
        <w:rPr>
          <w:rFonts w:cs="Arial"/>
          <w:rtl/>
        </w:rPr>
        <w:t xml:space="preserve"> ואיתמר בגמרא בשלמא מן הנישואין משום מזונות וכו'</w:t>
      </w:r>
      <w:r>
        <w:rPr>
          <w:rFonts w:cs="Arial" w:hint="cs"/>
          <w:rtl/>
        </w:rPr>
        <w:t>.</w:t>
      </w:r>
      <w:r w:rsidRPr="00B673E8">
        <w:rPr>
          <w:rFonts w:cs="Arial"/>
          <w:rtl/>
        </w:rPr>
        <w:t xml:space="preserve"> ודבר זה בשלא נשבעה</w:t>
      </w:r>
      <w:r>
        <w:rPr>
          <w:rFonts w:cs="Arial" w:hint="cs"/>
          <w:rtl/>
        </w:rPr>
        <w:t>,</w:t>
      </w:r>
      <w:r w:rsidRPr="00B673E8">
        <w:rPr>
          <w:rFonts w:cs="Arial"/>
          <w:rtl/>
        </w:rPr>
        <w:t xml:space="preserve"> שאם תאמר כשנשבעה כיון שנשבעה אין לה מזונות לפי שלא תשבע עד שתגבה כתובתה </w:t>
      </w:r>
      <w:r w:rsidRPr="00B673E8">
        <w:rPr>
          <w:rFonts w:cs="Arial"/>
          <w:rtl/>
        </w:rPr>
        <w:lastRenderedPageBreak/>
        <w:t>בבית דין</w:t>
      </w:r>
      <w:r>
        <w:rPr>
          <w:rFonts w:cs="Arial" w:hint="cs"/>
          <w:rtl/>
        </w:rPr>
        <w:t>,</w:t>
      </w:r>
      <w:r w:rsidRPr="00B673E8">
        <w:rPr>
          <w:rFonts w:cs="Arial"/>
          <w:rtl/>
        </w:rPr>
        <w:t xml:space="preserve"> ומשעה שתובע</w:t>
      </w:r>
      <w:r w:rsidR="00BB61CB">
        <w:rPr>
          <w:rFonts w:cs="Arial" w:hint="cs"/>
          <w:rtl/>
        </w:rPr>
        <w:t>ת</w:t>
      </w:r>
      <w:r w:rsidRPr="00B673E8">
        <w:rPr>
          <w:rFonts w:cs="Arial"/>
          <w:rtl/>
        </w:rPr>
        <w:t xml:space="preserve"> כתובתה בבית דין אין לה מזונות</w:t>
      </w:r>
      <w:r>
        <w:rPr>
          <w:rFonts w:cs="Arial" w:hint="cs"/>
          <w:rtl/>
        </w:rPr>
        <w:t>.</w:t>
      </w:r>
      <w:r w:rsidRPr="00B673E8">
        <w:rPr>
          <w:rFonts w:cs="Arial"/>
          <w:rtl/>
        </w:rPr>
        <w:t xml:space="preserve"> ודין המכירה והמתנה בדבר זה שוין על פי שאמר' מכרה כתובתה או מקצתה נתנה לאחר או מקצתה לא תמכור את השאר אלא בבית דין</w:t>
      </w:r>
      <w:r w:rsidR="00BA2ED2">
        <w:rPr>
          <w:rFonts w:cs="Arial" w:hint="cs"/>
          <w:rtl/>
        </w:rPr>
        <w:t>.</w:t>
      </w:r>
      <w:r w:rsidRPr="00B673E8">
        <w:rPr>
          <w:rFonts w:cs="Arial"/>
          <w:rtl/>
        </w:rPr>
        <w:t xml:space="preserve"> ואע</w:t>
      </w:r>
      <w:r w:rsidR="00BA2ED2">
        <w:rPr>
          <w:rFonts w:cs="Arial" w:hint="cs"/>
          <w:rtl/>
        </w:rPr>
        <w:t>"</w:t>
      </w:r>
      <w:r w:rsidRPr="00B673E8">
        <w:rPr>
          <w:rFonts w:cs="Arial"/>
          <w:rtl/>
        </w:rPr>
        <w:t>פ ששמועה זו אוקמוה כרבי שמעון שאין הלכה כמותו אין לחוש לדין זה</w:t>
      </w:r>
      <w:r w:rsidR="00BA2ED2">
        <w:rPr>
          <w:rFonts w:cs="Arial" w:hint="cs"/>
          <w:rtl/>
        </w:rPr>
        <w:t>,</w:t>
      </w:r>
      <w:r w:rsidRPr="00B673E8">
        <w:rPr>
          <w:rFonts w:cs="Arial"/>
          <w:rtl/>
        </w:rPr>
        <w:t xml:space="preserve"> אין הלכה כמותו אינו אלא כשלא תמכור השאר אלא בבית דין משום שסובר רבי שמעון שכיון שמכרה מקצת כתובתה אין לה מזונות</w:t>
      </w:r>
      <w:r w:rsidR="00BA2ED2">
        <w:rPr>
          <w:rFonts w:cs="Arial" w:hint="cs"/>
          <w:rtl/>
        </w:rPr>
        <w:t>,</w:t>
      </w:r>
      <w:r w:rsidRPr="00B673E8">
        <w:rPr>
          <w:rFonts w:cs="Arial"/>
          <w:rtl/>
        </w:rPr>
        <w:t xml:space="preserve"> אבל המתנה והמכירה קיימת לדברי הכל</w:t>
      </w:r>
      <w:r w:rsidR="00A13F3F">
        <w:rPr>
          <w:rStyle w:val="a7"/>
          <w:rFonts w:cs="Arial"/>
          <w:rtl/>
        </w:rPr>
        <w:footnoteReference w:id="1733"/>
      </w:r>
      <w:r w:rsidR="0058116F">
        <w:rPr>
          <w:rFonts w:cs="Arial" w:hint="cs"/>
          <w:sz w:val="16"/>
          <w:szCs w:val="16"/>
          <w:rtl/>
        </w:rPr>
        <w:t xml:space="preserve"> (ל' הרי"ף)</w:t>
      </w:r>
      <w:r w:rsidRPr="00B673E8">
        <w:rPr>
          <w:rFonts w:cs="Arial"/>
          <w:rtl/>
        </w:rPr>
        <w:t xml:space="preserve">. </w:t>
      </w:r>
    </w:p>
    <w:p w14:paraId="3C1BC266" w14:textId="1950ADB9" w:rsidR="0023365C" w:rsidRDefault="0026246A" w:rsidP="009000E3">
      <w:pPr>
        <w:pStyle w:val="ab"/>
        <w:numPr>
          <w:ilvl w:val="0"/>
          <w:numId w:val="84"/>
        </w:numPr>
      </w:pPr>
      <w:r>
        <w:rPr>
          <w:rFonts w:cs="Arial" w:hint="cs"/>
          <w:rtl/>
        </w:rPr>
        <w:t>בה"ג ה"</w:t>
      </w:r>
      <w:r w:rsidRPr="0026246A">
        <w:rPr>
          <w:rFonts w:cs="Arial"/>
          <w:rtl/>
        </w:rPr>
        <w:t>ר יוסף טוב עלם ר</w:t>
      </w:r>
      <w:r>
        <w:rPr>
          <w:rFonts w:cs="Arial" w:hint="cs"/>
          <w:rtl/>
        </w:rPr>
        <w:t>'</w:t>
      </w:r>
      <w:r w:rsidRPr="0026246A">
        <w:rPr>
          <w:rFonts w:cs="Arial"/>
          <w:rtl/>
        </w:rPr>
        <w:t xml:space="preserve"> שלמה בר' יצחק</w:t>
      </w:r>
      <w:r w:rsidR="004166FA">
        <w:rPr>
          <w:rFonts w:cs="Arial" w:hint="cs"/>
          <w:rtl/>
        </w:rPr>
        <w:t xml:space="preserve"> מהר"ם</w:t>
      </w:r>
      <w:r w:rsidRPr="0026246A">
        <w:rPr>
          <w:rFonts w:cs="Arial"/>
          <w:rtl/>
        </w:rPr>
        <w:t xml:space="preserve"> </w:t>
      </w:r>
      <w:r>
        <w:rPr>
          <w:rFonts w:cs="Arial" w:hint="cs"/>
          <w:sz w:val="16"/>
          <w:szCs w:val="16"/>
          <w:rtl/>
        </w:rPr>
        <w:t>(כ"כ המרדכי בשמם</w:t>
      </w:r>
      <w:r w:rsidR="00C74BFC">
        <w:rPr>
          <w:rFonts w:cs="Arial" w:hint="cs"/>
          <w:sz w:val="16"/>
          <w:szCs w:val="16"/>
          <w:rtl/>
        </w:rPr>
        <w:t xml:space="preserve"> [כתובות סי' רכז])</w:t>
      </w:r>
      <w:r w:rsidR="00C74BFC">
        <w:rPr>
          <w:rFonts w:cs="Arial" w:hint="cs"/>
          <w:rtl/>
        </w:rPr>
        <w:t xml:space="preserve"> (ורא"ש</w:t>
      </w:r>
      <w:r w:rsidR="001A50BC">
        <w:rPr>
          <w:rStyle w:val="a7"/>
          <w:rFonts w:cs="Arial"/>
          <w:rtl/>
        </w:rPr>
        <w:footnoteReference w:id="1734"/>
      </w:r>
      <w:r w:rsidR="00C74BFC">
        <w:rPr>
          <w:rFonts w:cs="Arial" w:hint="cs"/>
          <w:rtl/>
        </w:rPr>
        <w:t xml:space="preserve"> </w:t>
      </w:r>
      <w:r w:rsidR="00C74BFC">
        <w:rPr>
          <w:rFonts w:cs="Arial" w:hint="cs"/>
          <w:sz w:val="16"/>
          <w:szCs w:val="16"/>
          <w:rtl/>
        </w:rPr>
        <w:t>להב' הב"י</w:t>
      </w:r>
      <w:r w:rsidR="00C74BFC">
        <w:rPr>
          <w:rFonts w:cs="Arial" w:hint="cs"/>
          <w:rtl/>
        </w:rPr>
        <w:t>)</w:t>
      </w:r>
      <w:r>
        <w:rPr>
          <w:rFonts w:cs="Arial" w:hint="cs"/>
          <w:rtl/>
        </w:rPr>
        <w:t xml:space="preserve">- </w:t>
      </w:r>
      <w:r w:rsidRPr="0026246A">
        <w:rPr>
          <w:rFonts w:cs="Arial"/>
          <w:rtl/>
        </w:rPr>
        <w:t xml:space="preserve">אם מכרה ונתנה קודם שבועה </w:t>
      </w:r>
      <w:r w:rsidR="00A13F3F">
        <w:rPr>
          <w:rFonts w:cs="Arial" w:hint="cs"/>
          <w:rtl/>
        </w:rPr>
        <w:t xml:space="preserve">- </w:t>
      </w:r>
      <w:r w:rsidRPr="0026246A">
        <w:rPr>
          <w:rFonts w:cs="Arial"/>
          <w:rtl/>
        </w:rPr>
        <w:t>אתו יורשים ומפקי</w:t>
      </w:r>
      <w:r w:rsidR="00BB61CB">
        <w:rPr>
          <w:rFonts w:cs="Arial" w:hint="cs"/>
          <w:rtl/>
        </w:rPr>
        <w:t>,</w:t>
      </w:r>
      <w:r w:rsidRPr="0026246A">
        <w:rPr>
          <w:rFonts w:cs="Arial"/>
          <w:rtl/>
        </w:rPr>
        <w:t xml:space="preserve"> לא שנא מקרקעי ול"ש מטלטלי</w:t>
      </w:r>
      <w:r w:rsidR="00A13F3F">
        <w:rPr>
          <w:rFonts w:cs="Arial" w:hint="cs"/>
          <w:rtl/>
        </w:rPr>
        <w:t>.</w:t>
      </w:r>
      <w:r w:rsidRPr="0026246A">
        <w:rPr>
          <w:rFonts w:cs="Arial"/>
          <w:rtl/>
        </w:rPr>
        <w:t xml:space="preserve"> ואפילו תפסה מחיים לא מהניא אא"כ תבעוה מחיים ולא רצתה להשיב</w:t>
      </w:r>
      <w:r w:rsidR="00C74BFC">
        <w:rPr>
          <w:rFonts w:hint="cs"/>
          <w:sz w:val="16"/>
          <w:szCs w:val="16"/>
          <w:rtl/>
        </w:rPr>
        <w:t xml:space="preserve"> (ל' המרדכי)</w:t>
      </w:r>
      <w:r>
        <w:rPr>
          <w:rFonts w:hint="cs"/>
          <w:rtl/>
        </w:rPr>
        <w:t>.</w:t>
      </w:r>
      <w:r w:rsidR="00EA3960">
        <w:rPr>
          <w:rFonts w:hint="cs"/>
          <w:rtl/>
        </w:rPr>
        <w:t xml:space="preserve"> (וכ"פ בב"י)</w:t>
      </w:r>
    </w:p>
    <w:p w14:paraId="2891A9AC" w14:textId="774BE396" w:rsidR="0058116F" w:rsidRDefault="0058116F" w:rsidP="009000E3">
      <w:pPr>
        <w:pStyle w:val="ab"/>
        <w:numPr>
          <w:ilvl w:val="0"/>
          <w:numId w:val="84"/>
        </w:numPr>
      </w:pPr>
      <w:r>
        <w:rPr>
          <w:rFonts w:hint="cs"/>
          <w:rtl/>
        </w:rPr>
        <w:t>טור-</w:t>
      </w:r>
      <w:r>
        <w:rPr>
          <w:rFonts w:cs="Arial" w:hint="cs"/>
          <w:rtl/>
        </w:rPr>
        <w:t xml:space="preserve"> </w:t>
      </w:r>
      <w:r w:rsidR="00C71A82">
        <w:rPr>
          <w:rStyle w:val="a7"/>
          <w:rFonts w:cs="Arial"/>
          <w:rtl/>
        </w:rPr>
        <w:footnoteReference w:id="1735"/>
      </w:r>
      <w:r w:rsidRPr="007F14E0">
        <w:rPr>
          <w:rFonts w:cs="Arial"/>
          <w:rtl/>
        </w:rPr>
        <w:t>א</w:t>
      </w:r>
      <w:r w:rsidR="00C71A82">
        <w:rPr>
          <w:rFonts w:cs="Arial" w:hint="cs"/>
          <w:rtl/>
        </w:rPr>
        <w:t>דוני אבי</w:t>
      </w:r>
      <w:r w:rsidRPr="007F14E0">
        <w:rPr>
          <w:rFonts w:cs="Arial"/>
          <w:rtl/>
        </w:rPr>
        <w:t xml:space="preserve"> הרא"ש ז"ל מביא דבריו</w:t>
      </w:r>
      <w:r w:rsidR="00C71A82">
        <w:rPr>
          <w:rFonts w:cs="Arial" w:hint="cs"/>
          <w:sz w:val="16"/>
          <w:szCs w:val="16"/>
          <w:rtl/>
        </w:rPr>
        <w:t xml:space="preserve"> {של הרי"ף}</w:t>
      </w:r>
      <w:r w:rsidRPr="007F14E0">
        <w:rPr>
          <w:rFonts w:cs="Arial"/>
          <w:rtl/>
        </w:rPr>
        <w:t xml:space="preserve"> בפסקיו </w:t>
      </w:r>
      <w:r w:rsidRPr="00363168">
        <w:rPr>
          <w:rFonts w:cs="Arial"/>
          <w:sz w:val="16"/>
          <w:szCs w:val="16"/>
          <w:rtl/>
        </w:rPr>
        <w:t>(</w:t>
      </w:r>
      <w:r w:rsidRPr="00363168">
        <w:rPr>
          <w:rFonts w:cs="Arial" w:hint="cs"/>
          <w:sz w:val="16"/>
          <w:szCs w:val="16"/>
          <w:rtl/>
        </w:rPr>
        <w:t xml:space="preserve">כתובות פי"א </w:t>
      </w:r>
      <w:r w:rsidRPr="00363168">
        <w:rPr>
          <w:rFonts w:cs="Arial"/>
          <w:sz w:val="16"/>
          <w:szCs w:val="16"/>
          <w:rtl/>
        </w:rPr>
        <w:t>סו"ס יג)</w:t>
      </w:r>
      <w:r>
        <w:rPr>
          <w:rFonts w:cs="Arial" w:hint="cs"/>
          <w:rtl/>
        </w:rPr>
        <w:t xml:space="preserve"> </w:t>
      </w:r>
      <w:r w:rsidRPr="007F14E0">
        <w:rPr>
          <w:rFonts w:cs="Arial"/>
          <w:rtl/>
        </w:rPr>
        <w:t>לפסק הלכה</w:t>
      </w:r>
      <w:r>
        <w:rPr>
          <w:rFonts w:cs="Arial" w:hint="cs"/>
          <w:rtl/>
        </w:rPr>
        <w:t>,</w:t>
      </w:r>
      <w:r w:rsidRPr="007F14E0">
        <w:rPr>
          <w:rFonts w:cs="Arial"/>
          <w:rtl/>
        </w:rPr>
        <w:t xml:space="preserve"> אבל כתב בתשובה </w:t>
      </w:r>
      <w:r>
        <w:rPr>
          <w:rFonts w:cs="Arial" w:hint="cs"/>
          <w:sz w:val="16"/>
          <w:szCs w:val="16"/>
          <w:rtl/>
        </w:rPr>
        <w:t xml:space="preserve">(כלל נ סי' ו, וסי' ח) </w:t>
      </w:r>
      <w:r w:rsidRPr="007F14E0">
        <w:rPr>
          <w:rFonts w:cs="Arial"/>
          <w:rtl/>
        </w:rPr>
        <w:t>דוקא במטלטלי</w:t>
      </w:r>
      <w:r w:rsidR="00A147A9">
        <w:rPr>
          <w:rFonts w:cs="Arial" w:hint="cs"/>
          <w:rtl/>
        </w:rPr>
        <w:t>,</w:t>
      </w:r>
      <w:r w:rsidRPr="007F14E0">
        <w:rPr>
          <w:rFonts w:cs="Arial"/>
          <w:rtl/>
        </w:rPr>
        <w:t xml:space="preserve"> אבל מקרקעי </w:t>
      </w:r>
      <w:r w:rsidR="00A147A9">
        <w:rPr>
          <w:rFonts w:cs="Arial" w:hint="cs"/>
          <w:rtl/>
        </w:rPr>
        <w:t xml:space="preserve">- </w:t>
      </w:r>
      <w:r w:rsidRPr="007F14E0">
        <w:rPr>
          <w:rFonts w:cs="Arial"/>
          <w:rtl/>
        </w:rPr>
        <w:t>בחזקת יורשים קיימי</w:t>
      </w:r>
      <w:r>
        <w:rPr>
          <w:rStyle w:val="a7"/>
          <w:rFonts w:cs="Arial"/>
          <w:rtl/>
        </w:rPr>
        <w:footnoteReference w:id="1736"/>
      </w:r>
      <w:r w:rsidR="00A147A9">
        <w:rPr>
          <w:rFonts w:cs="Arial" w:hint="cs"/>
          <w:rtl/>
        </w:rPr>
        <w:t>,</w:t>
      </w:r>
      <w:r w:rsidRPr="007F14E0">
        <w:rPr>
          <w:rFonts w:cs="Arial"/>
          <w:rtl/>
        </w:rPr>
        <w:t xml:space="preserve"> ואין בידם לתתם עד שיגבוה ב"ד</w:t>
      </w:r>
      <w:r w:rsidR="00A147A9">
        <w:rPr>
          <w:rFonts w:cs="Arial" w:hint="cs"/>
          <w:rtl/>
        </w:rPr>
        <w:t>.</w:t>
      </w:r>
      <w:r w:rsidRPr="007F14E0">
        <w:rPr>
          <w:rFonts w:cs="Arial"/>
          <w:rtl/>
        </w:rPr>
        <w:t xml:space="preserve"> ואם מכרה או נתנה </w:t>
      </w:r>
      <w:r w:rsidR="00A147A9">
        <w:rPr>
          <w:rFonts w:cs="Arial" w:hint="cs"/>
          <w:rtl/>
        </w:rPr>
        <w:t xml:space="preserve">- </w:t>
      </w:r>
      <w:r w:rsidRPr="007F14E0">
        <w:rPr>
          <w:rFonts w:cs="Arial"/>
          <w:rtl/>
        </w:rPr>
        <w:t>אין מכירתה ומתנתה קיימת</w:t>
      </w:r>
      <w:r>
        <w:rPr>
          <w:rFonts w:cs="Arial" w:hint="cs"/>
          <w:rtl/>
        </w:rPr>
        <w:t>.</w:t>
      </w:r>
      <w:r w:rsidR="00692F59">
        <w:rPr>
          <w:rFonts w:cs="Arial" w:hint="cs"/>
          <w:rtl/>
        </w:rPr>
        <w:t xml:space="preserve"> </w:t>
      </w:r>
      <w:r w:rsidR="00692F59" w:rsidRPr="00692F59">
        <w:rPr>
          <w:rFonts w:cs="Arial" w:hint="cs"/>
          <w:color w:val="E36C0A" w:themeColor="accent6" w:themeShade="BF"/>
          <w:rtl/>
        </w:rPr>
        <w:t>(וכ"</w:t>
      </w:r>
      <w:r w:rsidR="00EA3960">
        <w:rPr>
          <w:rFonts w:cs="Arial" w:hint="cs"/>
          <w:color w:val="E36C0A" w:themeColor="accent6" w:themeShade="BF"/>
          <w:rtl/>
        </w:rPr>
        <w:t>ס</w:t>
      </w:r>
      <w:r w:rsidR="00692F59" w:rsidRPr="00692F59">
        <w:rPr>
          <w:rFonts w:cs="Arial" w:hint="cs"/>
          <w:color w:val="E36C0A" w:themeColor="accent6" w:themeShade="BF"/>
          <w:rtl/>
        </w:rPr>
        <w:t xml:space="preserve"> בשו"ע)</w:t>
      </w:r>
      <w:r w:rsidRPr="007F14E0">
        <w:rPr>
          <w:rFonts w:cs="Arial"/>
          <w:rtl/>
        </w:rPr>
        <w:t xml:space="preserve"> </w:t>
      </w:r>
    </w:p>
    <w:p w14:paraId="4CEA9BEB" w14:textId="0480E651" w:rsidR="004E5614" w:rsidRPr="0023365C" w:rsidRDefault="0023365C" w:rsidP="009000E3">
      <w:pPr>
        <w:pStyle w:val="ab"/>
        <w:numPr>
          <w:ilvl w:val="1"/>
          <w:numId w:val="84"/>
        </w:numPr>
        <w:rPr>
          <w:rtl/>
        </w:rPr>
      </w:pPr>
      <w:r>
        <w:rPr>
          <w:rFonts w:hint="cs"/>
          <w:rtl/>
        </w:rPr>
        <w:t xml:space="preserve">ב"י- </w:t>
      </w:r>
      <w:r w:rsidR="007C6819" w:rsidRPr="0023365C">
        <w:rPr>
          <w:rFonts w:cs="Arial"/>
          <w:rtl/>
        </w:rPr>
        <w:t xml:space="preserve">אע"פ שכתוב שם </w:t>
      </w:r>
      <w:r>
        <w:rPr>
          <w:rFonts w:cs="Arial" w:hint="cs"/>
          <w:rtl/>
        </w:rPr>
        <w:t xml:space="preserve">(במרדכי סי' רכז) </w:t>
      </w:r>
      <w:r w:rsidR="007C6819" w:rsidRPr="0023365C">
        <w:rPr>
          <w:rFonts w:cs="Arial"/>
          <w:rtl/>
        </w:rPr>
        <w:t>דראבי"ה (שו"ת סי' תתקכה) וכמה רבוותא פסקו הלכה למעשה שאם מכרה או נתנה קיים</w:t>
      </w:r>
      <w:r w:rsidR="00903516">
        <w:rPr>
          <w:rStyle w:val="a7"/>
          <w:rFonts w:cs="Arial"/>
          <w:rtl/>
        </w:rPr>
        <w:footnoteReference w:id="1737"/>
      </w:r>
      <w:r w:rsidR="00FB12CF" w:rsidRPr="0023365C">
        <w:rPr>
          <w:rFonts w:cs="Arial" w:hint="cs"/>
          <w:rtl/>
        </w:rPr>
        <w:t>,</w:t>
      </w:r>
      <w:r w:rsidR="007C6819" w:rsidRPr="0023365C">
        <w:rPr>
          <w:rFonts w:cs="Arial"/>
          <w:rtl/>
        </w:rPr>
        <w:t xml:space="preserve"> כיון דבה"ג פליג עליה נקיטינן כוותיה</w:t>
      </w:r>
      <w:r w:rsidR="00FB12CF" w:rsidRPr="0023365C">
        <w:rPr>
          <w:rFonts w:cs="Arial" w:hint="cs"/>
          <w:rtl/>
        </w:rPr>
        <w:t>,</w:t>
      </w:r>
      <w:r w:rsidR="007C6819" w:rsidRPr="0023365C">
        <w:rPr>
          <w:rFonts w:cs="Arial"/>
          <w:rtl/>
        </w:rPr>
        <w:t xml:space="preserve"> שדבריו דברי קבלה</w:t>
      </w:r>
      <w:r w:rsidR="00FB12CF" w:rsidRPr="0023365C">
        <w:rPr>
          <w:rFonts w:cs="Arial" w:hint="cs"/>
          <w:rtl/>
        </w:rPr>
        <w:t>.</w:t>
      </w:r>
      <w:r w:rsidR="007C6819" w:rsidRPr="0023365C">
        <w:rPr>
          <w:rFonts w:cs="Arial"/>
          <w:rtl/>
        </w:rPr>
        <w:t xml:space="preserve"> ועוד שהרי כתוב שם שהר"מ פסק הלכה למעשה אע</w:t>
      </w:r>
      <w:r w:rsidR="00FB12CF" w:rsidRPr="0023365C">
        <w:rPr>
          <w:rFonts w:cs="Arial" w:hint="cs"/>
          <w:rtl/>
        </w:rPr>
        <w:t>"</w:t>
      </w:r>
      <w:r w:rsidR="007C6819" w:rsidRPr="0023365C">
        <w:rPr>
          <w:rFonts w:cs="Arial"/>
          <w:rtl/>
        </w:rPr>
        <w:t>פ שראבי"ה ורבינו ברוך ורבינו שמחה פסקו דמתנתה קיימת נ"ל דברי הגאונים עיקר שפסקו אין מתנתה קיימת דנכסי בחזקת יתמי קיימי</w:t>
      </w:r>
      <w:r w:rsidR="00FB12CF" w:rsidRPr="0023365C">
        <w:rPr>
          <w:rFonts w:cs="Arial" w:hint="cs"/>
          <w:rtl/>
        </w:rPr>
        <w:t>,</w:t>
      </w:r>
      <w:r w:rsidR="007C6819" w:rsidRPr="0023365C">
        <w:rPr>
          <w:rFonts w:cs="Arial"/>
          <w:rtl/>
        </w:rPr>
        <w:t xml:space="preserve"> ואפילו אם אחר שנתנה נשבעה מכל מקום בשעה שנתנה לא היה לה כח שלא היו הנכסים שלה אלא שעבודא בעלמא דקיי</w:t>
      </w:r>
      <w:r w:rsidR="00FB12CF" w:rsidRPr="0023365C">
        <w:rPr>
          <w:rFonts w:cs="Arial" w:hint="cs"/>
          <w:rtl/>
        </w:rPr>
        <w:t>"</w:t>
      </w:r>
      <w:r w:rsidR="007C6819" w:rsidRPr="0023365C">
        <w:rPr>
          <w:rFonts w:cs="Arial"/>
          <w:rtl/>
        </w:rPr>
        <w:t>ל כרבא דאמר בפרק כל שעה (שם) בעל חוב מכאן ולהבא הוא גובה. ועוד שדברי הסוברים דמתנתה קיימת דחויים הם</w:t>
      </w:r>
      <w:r w:rsidR="00BC1C7D" w:rsidRPr="0023365C">
        <w:rPr>
          <w:rFonts w:cs="Arial" w:hint="cs"/>
          <w:rtl/>
        </w:rPr>
        <w:t>,</w:t>
      </w:r>
      <w:r w:rsidR="007C6819" w:rsidRPr="0023365C">
        <w:rPr>
          <w:rFonts w:cs="Arial"/>
          <w:rtl/>
        </w:rPr>
        <w:t xml:space="preserve"> שהרי ראיית רבי' שמחה דחאה ראבי"ה כמבואר שם במרדכי. וראבי"ה שנתן טעם משום דרוב הגאונים פסקו כרבי אלעזר (שבועות מח.) ולא כפי' ר"ח (בגליון שם:) והרי"ף (שם לב.) שפסקו כרב ושמואל</w:t>
      </w:r>
      <w:r w:rsidR="00BC1C7D" w:rsidRPr="0023365C">
        <w:rPr>
          <w:rFonts w:cs="Arial" w:hint="cs"/>
          <w:rtl/>
        </w:rPr>
        <w:t>,</w:t>
      </w:r>
      <w:r w:rsidR="007C6819" w:rsidRPr="0023365C">
        <w:rPr>
          <w:rFonts w:cs="Arial"/>
          <w:rtl/>
        </w:rPr>
        <w:t xml:space="preserve"> ממקום שבא </w:t>
      </w:r>
      <w:r w:rsidR="0058116F">
        <w:rPr>
          <w:rFonts w:cs="Arial" w:hint="cs"/>
          <w:rtl/>
        </w:rPr>
        <w:t xml:space="preserve">- </w:t>
      </w:r>
      <w:r w:rsidR="007C6819" w:rsidRPr="0023365C">
        <w:rPr>
          <w:rFonts w:cs="Arial"/>
          <w:rtl/>
        </w:rPr>
        <w:t>משם ראיה</w:t>
      </w:r>
      <w:r w:rsidR="00BC1C7D" w:rsidRPr="0023365C">
        <w:rPr>
          <w:rFonts w:cs="Arial" w:hint="cs"/>
          <w:rtl/>
        </w:rPr>
        <w:t>,</w:t>
      </w:r>
      <w:r w:rsidR="007C6819" w:rsidRPr="0023365C">
        <w:rPr>
          <w:rFonts w:cs="Arial"/>
          <w:rtl/>
        </w:rPr>
        <w:t xml:space="preserve"> שכל הפוסקים שאנו סומכים עליהם בהוראותינו סוברים שאין מתנתה קיימת</w:t>
      </w:r>
      <w:r w:rsidR="00BC1C7D" w:rsidRPr="0023365C">
        <w:rPr>
          <w:rFonts w:cs="Arial" w:hint="cs"/>
          <w:rtl/>
        </w:rPr>
        <w:t>,</w:t>
      </w:r>
      <w:r w:rsidR="007C6819" w:rsidRPr="0023365C">
        <w:rPr>
          <w:rFonts w:cs="Arial"/>
          <w:rtl/>
        </w:rPr>
        <w:t xml:space="preserve"> שהרי הרי"ף והרמב"ם (פי"ז ממלוה) והרא"ש (פ"ז סי' יב) פסקו כרב ושמואל ואם כן הם סוברים דאין מתנתה קיימת</w:t>
      </w:r>
      <w:r w:rsidR="00BC1C7D" w:rsidRPr="0023365C">
        <w:rPr>
          <w:rFonts w:cs="Arial" w:hint="cs"/>
          <w:rtl/>
        </w:rPr>
        <w:t>.</w:t>
      </w:r>
      <w:r w:rsidR="007C6819" w:rsidRPr="0023365C">
        <w:rPr>
          <w:rFonts w:cs="Arial"/>
          <w:rtl/>
        </w:rPr>
        <w:t xml:space="preserve"> ומכאן הוכחא עוד למה שהעמדתי דברי הרא"ש בתשובה דמתנתה קיימת במטלטלין במה שהעמדתיה</w:t>
      </w:r>
      <w:r w:rsidR="006566B7" w:rsidRPr="0023365C">
        <w:rPr>
          <w:rFonts w:cs="Arial" w:hint="cs"/>
          <w:rtl/>
        </w:rPr>
        <w:t>,</w:t>
      </w:r>
      <w:r w:rsidR="007C6819" w:rsidRPr="0023365C">
        <w:rPr>
          <w:rFonts w:cs="Arial"/>
          <w:rtl/>
        </w:rPr>
        <w:t xml:space="preserve"> הא לאו הכי אין מתנתה קיימת כדי שלא יסתור דבריו שפסק כרב ושמואל והארכתי בזה בתשובה</w:t>
      </w:r>
      <w:r w:rsidR="00D7237F">
        <w:rPr>
          <w:rStyle w:val="a7"/>
          <w:rFonts w:cs="Arial"/>
          <w:rtl/>
        </w:rPr>
        <w:footnoteReference w:id="1738"/>
      </w:r>
      <w:r w:rsidR="006566B7" w:rsidRPr="0023365C">
        <w:rPr>
          <w:rFonts w:cs="Arial" w:hint="cs"/>
          <w:rtl/>
        </w:rPr>
        <w:t>.</w:t>
      </w:r>
      <w:r w:rsidR="007C6819" w:rsidRPr="0023365C">
        <w:rPr>
          <w:rFonts w:cs="Arial"/>
          <w:rtl/>
        </w:rPr>
        <w:t xml:space="preserve"> </w:t>
      </w:r>
    </w:p>
    <w:p w14:paraId="045AC2F9"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4B2E0FC5" w14:textId="777720D3" w:rsidR="00392DBB" w:rsidRPr="003871C2" w:rsidRDefault="00392DBB" w:rsidP="003871C2">
      <w:pPr>
        <w:rPr>
          <w:rFonts w:cs="Arial"/>
          <w:rtl/>
        </w:rPr>
      </w:pPr>
      <w:r>
        <w:rPr>
          <w:rFonts w:cs="Arial"/>
          <w:rtl/>
        </w:rPr>
        <w:t>אלמנה שמכרה או נתנה, קיים אם נשבעה לבסוף, ומנכין אותה בכתובתה. וה</w:t>
      </w:r>
      <w:r w:rsidR="002F794C">
        <w:rPr>
          <w:rFonts w:cs="Arial" w:hint="cs"/>
          <w:rtl/>
        </w:rPr>
        <w:t xml:space="preserve">ני </w:t>
      </w:r>
      <w:r>
        <w:rPr>
          <w:rFonts w:cs="Arial"/>
          <w:rtl/>
        </w:rPr>
        <w:t>מ</w:t>
      </w:r>
      <w:r w:rsidR="002F794C">
        <w:rPr>
          <w:rFonts w:cs="Arial" w:hint="cs"/>
          <w:rtl/>
        </w:rPr>
        <w:t>ילי</w:t>
      </w:r>
      <w:r>
        <w:rPr>
          <w:rFonts w:cs="Arial"/>
          <w:rtl/>
        </w:rPr>
        <w:t xml:space="preserve"> במטלטלי</w:t>
      </w:r>
      <w:r w:rsidR="003871C2">
        <w:rPr>
          <w:rStyle w:val="a7"/>
          <w:rFonts w:cs="Arial"/>
          <w:rtl/>
        </w:rPr>
        <w:footnoteReference w:id="1739"/>
      </w:r>
      <w:r>
        <w:rPr>
          <w:rFonts w:cs="Arial"/>
          <w:rtl/>
        </w:rPr>
        <w:t>, אבל במקרקעי אפילו נשבעה לבסוף, אין מכרה ומתנתה קיימים א</w:t>
      </w:r>
      <w:r w:rsidR="00795134">
        <w:rPr>
          <w:rFonts w:cs="Arial" w:hint="cs"/>
          <w:rtl/>
        </w:rPr>
        <w:t>לא אם כן</w:t>
      </w:r>
      <w:r>
        <w:rPr>
          <w:rFonts w:cs="Arial"/>
          <w:rtl/>
        </w:rPr>
        <w:t xml:space="preserve"> שמו לה ב</w:t>
      </w:r>
      <w:r w:rsidR="00795134">
        <w:rPr>
          <w:rFonts w:cs="Arial" w:hint="cs"/>
          <w:rtl/>
        </w:rPr>
        <w:t>ית דין</w:t>
      </w:r>
      <w:r>
        <w:rPr>
          <w:rFonts w:cs="Arial"/>
          <w:rtl/>
        </w:rPr>
        <w:t xml:space="preserve"> אפילו של הדיוטות. ויש מי שאומר שצריך שיגבו לה ב</w:t>
      </w:r>
      <w:r w:rsidR="00795134">
        <w:rPr>
          <w:rFonts w:cs="Arial" w:hint="cs"/>
          <w:rtl/>
        </w:rPr>
        <w:t>ית דין</w:t>
      </w:r>
      <w:r>
        <w:rPr>
          <w:rFonts w:cs="Arial"/>
          <w:rtl/>
        </w:rPr>
        <w:t xml:space="preserve">. </w:t>
      </w:r>
      <w:r w:rsidRPr="002F794C">
        <w:rPr>
          <w:rFonts w:cs="Arial"/>
          <w:sz w:val="18"/>
          <w:szCs w:val="18"/>
          <w:rtl/>
        </w:rPr>
        <w:t>הגה: וי"א דאף במטלטלים מכירתה ומתנתה בטלה, אע</w:t>
      </w:r>
      <w:r w:rsidR="00692F59">
        <w:rPr>
          <w:rFonts w:cs="Arial" w:hint="cs"/>
          <w:sz w:val="18"/>
          <w:szCs w:val="18"/>
          <w:rtl/>
        </w:rPr>
        <w:t>"</w:t>
      </w:r>
      <w:r w:rsidRPr="002F794C">
        <w:rPr>
          <w:rFonts w:cs="Arial"/>
          <w:sz w:val="18"/>
          <w:szCs w:val="18"/>
          <w:rtl/>
        </w:rPr>
        <w:t>ג דנשבעה לבסוף, הואיל ולא נשבעה תחלה</w:t>
      </w:r>
      <w:r w:rsidR="00692F59">
        <w:rPr>
          <w:rFonts w:cs="Arial" w:hint="cs"/>
          <w:sz w:val="18"/>
          <w:szCs w:val="18"/>
          <w:rtl/>
        </w:rPr>
        <w:t xml:space="preserve"> (בה"ג וריט"ע)</w:t>
      </w:r>
      <w:r w:rsidRPr="002F794C">
        <w:rPr>
          <w:rFonts w:cs="Arial"/>
          <w:sz w:val="18"/>
          <w:szCs w:val="18"/>
          <w:rtl/>
        </w:rPr>
        <w:t>. וי"א שיש לדון בזה לפי ראות עיני הדיין (מרדכי), כי במקום שנראה לדיין שלא תפסה צררי, כגון שמת פתאום או כדומה, יש לדון שמכירתה ומתנתה קיים (רא"ש). וכן אם מוחזקים המקבל או הקונה</w:t>
      </w:r>
      <w:r w:rsidR="00692F59">
        <w:rPr>
          <w:rFonts w:cs="Arial" w:hint="cs"/>
          <w:sz w:val="18"/>
          <w:szCs w:val="18"/>
          <w:rtl/>
        </w:rPr>
        <w:t xml:space="preserve"> (מהרי"ק),</w:t>
      </w:r>
      <w:r w:rsidRPr="002F794C">
        <w:rPr>
          <w:rFonts w:cs="Arial"/>
          <w:sz w:val="18"/>
          <w:szCs w:val="18"/>
          <w:rtl/>
        </w:rPr>
        <w:t xml:space="preserve"> וכן נ"ל לדון. וכל זה כשהאשה חזרה בה לאחר שנשבעה, אבל אם לא חזרה, מכירתה ומתנתה קיימים מעכשיו (מהרי"ק)</w:t>
      </w:r>
      <w:r w:rsidR="00692F59">
        <w:rPr>
          <w:rFonts w:cs="Arial" w:hint="cs"/>
          <w:sz w:val="18"/>
          <w:szCs w:val="18"/>
          <w:rtl/>
        </w:rPr>
        <w:t>.</w:t>
      </w:r>
      <w:r w:rsidRPr="002F794C">
        <w:rPr>
          <w:rFonts w:cs="Arial"/>
          <w:sz w:val="18"/>
          <w:szCs w:val="18"/>
          <w:rtl/>
        </w:rPr>
        <w:t xml:space="preserve"> ולכן</w:t>
      </w:r>
      <w:r w:rsidR="00FA4DE1">
        <w:rPr>
          <w:rFonts w:cs="Arial" w:hint="cs"/>
          <w:sz w:val="18"/>
          <w:szCs w:val="18"/>
          <w:rtl/>
        </w:rPr>
        <w:t>,</w:t>
      </w:r>
      <w:r w:rsidRPr="002F794C">
        <w:rPr>
          <w:rFonts w:cs="Arial"/>
          <w:sz w:val="18"/>
          <w:szCs w:val="18"/>
          <w:rtl/>
        </w:rPr>
        <w:t xml:space="preserve"> אלמנה שלא נשבעה על כתובתה, ונשאת לבעל</w:t>
      </w:r>
      <w:r w:rsidR="00FA4DE1">
        <w:rPr>
          <w:rFonts w:cs="Arial" w:hint="cs"/>
          <w:sz w:val="18"/>
          <w:szCs w:val="18"/>
          <w:rtl/>
        </w:rPr>
        <w:t>,</w:t>
      </w:r>
      <w:r w:rsidRPr="002F794C">
        <w:rPr>
          <w:rFonts w:cs="Arial"/>
          <w:sz w:val="18"/>
          <w:szCs w:val="18"/>
          <w:rtl/>
        </w:rPr>
        <w:t xml:space="preserve"> והכניסה לו הרבה מממון בעלה הראשון, תשבע עדיין. ואם מתה, הבעל השני יורשה ומחזיק במה שבידה (הגמ</w:t>
      </w:r>
      <w:r w:rsidR="00692F59">
        <w:rPr>
          <w:rFonts w:cs="Arial" w:hint="cs"/>
          <w:sz w:val="18"/>
          <w:szCs w:val="18"/>
          <w:rtl/>
        </w:rPr>
        <w:t>"</w:t>
      </w:r>
      <w:r w:rsidRPr="002F794C">
        <w:rPr>
          <w:rFonts w:cs="Arial"/>
          <w:sz w:val="18"/>
          <w:szCs w:val="18"/>
          <w:rtl/>
        </w:rPr>
        <w:t>ר). וע"ל סימן ק"א.</w:t>
      </w:r>
    </w:p>
    <w:bookmarkEnd w:id="19"/>
    <w:p w14:paraId="76A8B0E0" w14:textId="77777777" w:rsidR="003541F8" w:rsidRDefault="003541F8" w:rsidP="00392DBB">
      <w:pPr>
        <w:rPr>
          <w:rtl/>
        </w:rPr>
      </w:pPr>
    </w:p>
    <w:p w14:paraId="411FD627" w14:textId="4924496A" w:rsidR="00392DBB" w:rsidRDefault="00392DBB" w:rsidP="000F64D0">
      <w:pPr>
        <w:pStyle w:val="2"/>
        <w:rPr>
          <w:rtl/>
        </w:rPr>
      </w:pPr>
      <w:r>
        <w:rPr>
          <w:rtl/>
        </w:rPr>
        <w:t>סעיף ו</w:t>
      </w:r>
      <w:r w:rsidR="00795134">
        <w:rPr>
          <w:rFonts w:hint="cs"/>
          <w:rtl/>
        </w:rPr>
        <w:t xml:space="preserve">: </w:t>
      </w:r>
      <w:r w:rsidR="006F2A17">
        <w:rPr>
          <w:rFonts w:hint="cs"/>
          <w:rtl/>
        </w:rPr>
        <w:t>אלמנה שמחלה לבע</w:t>
      </w:r>
      <w:r w:rsidR="00810407">
        <w:rPr>
          <w:rFonts w:hint="cs"/>
          <w:rtl/>
        </w:rPr>
        <w:t xml:space="preserve">לי </w:t>
      </w:r>
      <w:r w:rsidR="006F2A17">
        <w:rPr>
          <w:rFonts w:hint="cs"/>
          <w:rtl/>
        </w:rPr>
        <w:t>ח</w:t>
      </w:r>
      <w:r w:rsidR="00810407">
        <w:rPr>
          <w:rFonts w:hint="cs"/>
          <w:rtl/>
        </w:rPr>
        <w:t>ובות</w:t>
      </w:r>
      <w:r w:rsidR="006F2A17">
        <w:rPr>
          <w:rFonts w:hint="cs"/>
          <w:rtl/>
        </w:rPr>
        <w:t xml:space="preserve"> של בעלה.</w:t>
      </w:r>
    </w:p>
    <w:p w14:paraId="10213A02" w14:textId="54A20778" w:rsidR="003871C2" w:rsidRPr="003871C2" w:rsidRDefault="003871C2" w:rsidP="003871C2">
      <w:pPr>
        <w:rPr>
          <w:u w:val="single"/>
          <w:rtl/>
        </w:rPr>
      </w:pPr>
      <w:r w:rsidRPr="003871C2">
        <w:rPr>
          <w:rFonts w:hint="cs"/>
          <w:u w:val="single"/>
          <w:rtl/>
        </w:rPr>
        <w:t>אלמנה שמחלה לבעלי חובות של בעלה:</w:t>
      </w:r>
    </w:p>
    <w:p w14:paraId="1105AA6D" w14:textId="2E6F3517" w:rsidR="00810407" w:rsidRPr="00810407" w:rsidRDefault="003871C2" w:rsidP="009000E3">
      <w:pPr>
        <w:pStyle w:val="ab"/>
        <w:numPr>
          <w:ilvl w:val="0"/>
          <w:numId w:val="84"/>
        </w:numPr>
      </w:pPr>
      <w:r>
        <w:rPr>
          <w:rFonts w:cs="Arial" w:hint="cs"/>
          <w:rtl/>
        </w:rPr>
        <w:t xml:space="preserve">רא"ש </w:t>
      </w:r>
      <w:r>
        <w:rPr>
          <w:rFonts w:cs="Arial" w:hint="cs"/>
          <w:sz w:val="16"/>
          <w:szCs w:val="16"/>
          <w:rtl/>
        </w:rPr>
        <w:t>(כלל לו סי' ד)</w:t>
      </w:r>
      <w:r>
        <w:rPr>
          <w:rFonts w:cs="Arial" w:hint="cs"/>
          <w:rtl/>
        </w:rPr>
        <w:t xml:space="preserve"> ו</w:t>
      </w:r>
      <w:r w:rsidR="00810407">
        <w:rPr>
          <w:rFonts w:cs="Arial" w:hint="cs"/>
          <w:rtl/>
        </w:rPr>
        <w:t xml:space="preserve">טור- </w:t>
      </w:r>
      <w:r w:rsidR="00810407" w:rsidRPr="007F14E0">
        <w:rPr>
          <w:rFonts w:cs="Arial"/>
          <w:rtl/>
        </w:rPr>
        <w:t xml:space="preserve">אם מחלה לבעלי חובות של בעלה </w:t>
      </w:r>
      <w:r>
        <w:rPr>
          <w:rFonts w:cs="Arial" w:hint="cs"/>
          <w:rtl/>
        </w:rPr>
        <w:t xml:space="preserve">- </w:t>
      </w:r>
      <w:r w:rsidR="00810407" w:rsidRPr="007F14E0">
        <w:rPr>
          <w:rFonts w:cs="Arial"/>
          <w:rtl/>
        </w:rPr>
        <w:t>אין מחילתה כלום</w:t>
      </w:r>
      <w:r>
        <w:rPr>
          <w:rFonts w:cs="Arial" w:hint="cs"/>
          <w:rtl/>
        </w:rPr>
        <w:t>,</w:t>
      </w:r>
      <w:r w:rsidR="00810407" w:rsidRPr="007F14E0">
        <w:rPr>
          <w:rFonts w:cs="Arial"/>
          <w:rtl/>
        </w:rPr>
        <w:t xml:space="preserve"> שכל זמן שלא תגבה חובות בעלה אין לה בהן כלום</w:t>
      </w:r>
      <w:r>
        <w:rPr>
          <w:rFonts w:cs="Arial" w:hint="cs"/>
          <w:rtl/>
        </w:rPr>
        <w:t>,</w:t>
      </w:r>
      <w:r w:rsidR="00810407" w:rsidRPr="007F14E0">
        <w:rPr>
          <w:rFonts w:cs="Arial"/>
          <w:rtl/>
        </w:rPr>
        <w:t xml:space="preserve"> ואין בידה לא ליתן ולא למחול</w:t>
      </w:r>
      <w:r>
        <w:rPr>
          <w:rFonts w:cs="Arial" w:hint="cs"/>
          <w:sz w:val="16"/>
          <w:szCs w:val="16"/>
          <w:rtl/>
        </w:rPr>
        <w:t xml:space="preserve"> (ל' הטור)</w:t>
      </w:r>
      <w:r w:rsidR="00810407">
        <w:rPr>
          <w:rFonts w:cs="Arial" w:hint="cs"/>
          <w:rtl/>
        </w:rPr>
        <w:t>.</w:t>
      </w:r>
      <w:r w:rsidRPr="003871C2">
        <w:rPr>
          <w:rFonts w:cs="Arial" w:hint="cs"/>
          <w:color w:val="E36C0A" w:themeColor="accent6" w:themeShade="BF"/>
          <w:rtl/>
        </w:rPr>
        <w:t xml:space="preserve"> </w:t>
      </w:r>
      <w:r w:rsidRPr="00692F59">
        <w:rPr>
          <w:rFonts w:cs="Arial" w:hint="cs"/>
          <w:color w:val="E36C0A" w:themeColor="accent6" w:themeShade="BF"/>
          <w:rtl/>
        </w:rPr>
        <w:t>(וכ"פ בשו"ע)</w:t>
      </w:r>
      <w:r w:rsidRPr="007F14E0">
        <w:rPr>
          <w:rFonts w:cs="Arial"/>
          <w:rtl/>
        </w:rPr>
        <w:t xml:space="preserve"> </w:t>
      </w:r>
      <w:r w:rsidR="00810407" w:rsidRPr="007F14E0">
        <w:rPr>
          <w:rFonts w:cs="Arial"/>
          <w:rtl/>
        </w:rPr>
        <w:t xml:space="preserve"> </w:t>
      </w:r>
    </w:p>
    <w:p w14:paraId="28F68102"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D676AFC" w14:textId="761AEE4B" w:rsidR="00392DBB" w:rsidRDefault="00392DBB" w:rsidP="00392DBB">
      <w:pPr>
        <w:rPr>
          <w:rtl/>
        </w:rPr>
      </w:pPr>
      <w:r>
        <w:rPr>
          <w:rFonts w:cs="Arial"/>
          <w:rtl/>
        </w:rPr>
        <w:t xml:space="preserve">אלמנה שמחלה לבעל חוב של בעלה, אינה כלום. </w:t>
      </w:r>
    </w:p>
    <w:p w14:paraId="0234B746" w14:textId="77777777" w:rsidR="00795134" w:rsidRDefault="00795134" w:rsidP="00392DBB">
      <w:pPr>
        <w:rPr>
          <w:rtl/>
        </w:rPr>
      </w:pPr>
    </w:p>
    <w:p w14:paraId="03803711" w14:textId="0141F3A6" w:rsidR="00392DBB" w:rsidRDefault="00392DBB" w:rsidP="000F64D0">
      <w:pPr>
        <w:pStyle w:val="2"/>
        <w:rPr>
          <w:rtl/>
        </w:rPr>
      </w:pPr>
      <w:r>
        <w:rPr>
          <w:rtl/>
        </w:rPr>
        <w:t>סעיף ז</w:t>
      </w:r>
      <w:r w:rsidR="006F2A17">
        <w:rPr>
          <w:rFonts w:hint="cs"/>
          <w:rtl/>
        </w:rPr>
        <w:t>: שבועת גרושה.</w:t>
      </w:r>
    </w:p>
    <w:p w14:paraId="5A2CE319" w14:textId="16C2F35B" w:rsidR="00495C75" w:rsidRPr="00495C75" w:rsidRDefault="00495C75" w:rsidP="00495C75">
      <w:pPr>
        <w:rPr>
          <w:rtl/>
        </w:rPr>
      </w:pPr>
      <w:r w:rsidRPr="00495C75">
        <w:rPr>
          <w:rFonts w:cs="Arial" w:hint="cs"/>
          <w:b/>
          <w:bCs/>
          <w:rtl/>
        </w:rPr>
        <w:t xml:space="preserve">כתובות </w:t>
      </w:r>
      <w:r>
        <w:rPr>
          <w:rFonts w:cs="Arial" w:hint="cs"/>
          <w:b/>
          <w:bCs/>
          <w:sz w:val="16"/>
          <w:szCs w:val="16"/>
          <w:rtl/>
        </w:rPr>
        <w:t>(פ' הכותב)</w:t>
      </w:r>
      <w:r>
        <w:rPr>
          <w:rFonts w:cs="Arial" w:hint="cs"/>
          <w:b/>
          <w:bCs/>
          <w:rtl/>
        </w:rPr>
        <w:t xml:space="preserve"> </w:t>
      </w:r>
      <w:r w:rsidRPr="00495C75">
        <w:rPr>
          <w:rFonts w:cs="Arial" w:hint="cs"/>
          <w:b/>
          <w:bCs/>
          <w:rtl/>
        </w:rPr>
        <w:t>פז</w:t>
      </w:r>
      <w:r w:rsidR="00FA4DE1">
        <w:rPr>
          <w:rStyle w:val="a7"/>
          <w:rFonts w:cs="Arial"/>
          <w:b/>
          <w:bCs/>
          <w:rtl/>
        </w:rPr>
        <w:footnoteReference w:id="1740"/>
      </w:r>
      <w:r w:rsidRPr="00495C75">
        <w:rPr>
          <w:rFonts w:cs="Arial" w:hint="cs"/>
          <w:b/>
          <w:bCs/>
          <w:rtl/>
        </w:rPr>
        <w:t xml:space="preserve"> ע"א: </w:t>
      </w:r>
      <w:r w:rsidRPr="00495C75">
        <w:rPr>
          <w:rFonts w:cs="Arial"/>
          <w:u w:val="double"/>
          <w:rtl/>
        </w:rPr>
        <w:t>מתני'</w:t>
      </w:r>
      <w:r>
        <w:rPr>
          <w:rFonts w:cs="Arial" w:hint="cs"/>
          <w:rtl/>
        </w:rPr>
        <w:t>:</w:t>
      </w:r>
      <w:r w:rsidRPr="00495C75">
        <w:rPr>
          <w:rFonts w:cs="Arial"/>
          <w:rtl/>
        </w:rPr>
        <w:t xml:space="preserve"> הפוגמת כתובתה - לא תפרע אלא בשבועה. עד אחד מעידה שהיא פרועה - לא תפרע אלא בשבועה. מנכסי יתומים, ומנכסים משועבדים</w:t>
      </w:r>
      <w:r w:rsidR="001070E9">
        <w:rPr>
          <w:rStyle w:val="a7"/>
          <w:rFonts w:cs="Arial"/>
          <w:rtl/>
        </w:rPr>
        <w:footnoteReference w:id="1741"/>
      </w:r>
      <w:r w:rsidRPr="00495C75">
        <w:rPr>
          <w:rFonts w:cs="Arial"/>
          <w:rtl/>
        </w:rPr>
        <w:t>, ושלא בפניו - לא תפרע אלא בשבועה. הפוגמת כתובתה כיצד? היתה כתובתה אלף זוז, ואמר לה התקבלת כתובתיך והיא אומרת לא התקבלתי אלא מנה - לא תפרע אלא בשבועה. עד אחד מעידה שהיא פרועה כיצד? היתה כתובתה אלף זוז, ואמר לה, התקבלת כתובתיך והיא אומרת לא התקבלתי, ועד אחד מעידה שהיא פרועה - לא תפרע אלא בשבועה. מנכסים משועבדים כיצד? מכר נכסיו לאחרים, והיא נפרעת מן הלקוחות - לא תפרע אלא בשבועה. מנכסי יתומים כיצד? מת והניח נכסיו ליתומים, והיא נפרעת מן היתומים - לא תפרע אלא בשבועה. ושלא בפניו כיצד? הלך לו למדינת הים, והיא נפרעת שלא בפניו - אינה נפרעת אלא בשבועה</w:t>
      </w:r>
      <w:r w:rsidR="009138F1">
        <w:rPr>
          <w:rFonts w:cs="Arial" w:hint="cs"/>
          <w:rtl/>
        </w:rPr>
        <w:t>...</w:t>
      </w:r>
      <w:r w:rsidR="009138F1">
        <w:rPr>
          <w:rFonts w:hint="cs"/>
          <w:rtl/>
        </w:rPr>
        <w:t xml:space="preserve">     </w:t>
      </w:r>
      <w:r w:rsidR="009138F1" w:rsidRPr="009138F1">
        <w:rPr>
          <w:rFonts w:hint="cs"/>
          <w:u w:val="double"/>
          <w:rtl/>
        </w:rPr>
        <w:t>גמ'</w:t>
      </w:r>
      <w:r w:rsidR="009138F1">
        <w:rPr>
          <w:rFonts w:hint="cs"/>
          <w:u w:val="double"/>
          <w:rtl/>
        </w:rPr>
        <w:t xml:space="preserve"> </w:t>
      </w:r>
      <w:r w:rsidR="009138F1" w:rsidRPr="009138F1">
        <w:rPr>
          <w:rFonts w:hint="cs"/>
          <w:sz w:val="14"/>
          <w:szCs w:val="14"/>
          <w:u w:val="double"/>
          <w:rtl/>
        </w:rPr>
        <w:t>(</w:t>
      </w:r>
      <w:r w:rsidR="009138F1">
        <w:rPr>
          <w:rFonts w:hint="cs"/>
          <w:sz w:val="14"/>
          <w:szCs w:val="14"/>
          <w:u w:val="double"/>
          <w:rtl/>
        </w:rPr>
        <w:t>פז:</w:t>
      </w:r>
      <w:r w:rsidR="009138F1" w:rsidRPr="009138F1">
        <w:rPr>
          <w:rFonts w:hint="cs"/>
          <w:sz w:val="14"/>
          <w:szCs w:val="14"/>
          <w:u w:val="double"/>
          <w:rtl/>
        </w:rPr>
        <w:t>)</w:t>
      </w:r>
      <w:r w:rsidR="009138F1" w:rsidRPr="009138F1">
        <w:rPr>
          <w:rFonts w:hint="cs"/>
          <w:u w:val="double"/>
          <w:rtl/>
        </w:rPr>
        <w:t>:</w:t>
      </w:r>
      <w:r w:rsidR="009138F1">
        <w:rPr>
          <w:rFonts w:hint="cs"/>
          <w:rtl/>
        </w:rPr>
        <w:t xml:space="preserve"> </w:t>
      </w:r>
      <w:r w:rsidR="008F16AF" w:rsidRPr="008F16AF">
        <w:rPr>
          <w:rFonts w:cs="Arial"/>
          <w:rtl/>
        </w:rPr>
        <w:t>איבעיא להו: פוגמת כתובתה בעדים, מהו? אם איתא דפרעה - בעדים הוה פרע לה, או דלמא איתרמויי איתרמי ליה?</w:t>
      </w:r>
      <w:r w:rsidR="008F16AF">
        <w:rPr>
          <w:rFonts w:cs="Arial" w:hint="cs"/>
          <w:rtl/>
        </w:rPr>
        <w:t>..</w:t>
      </w:r>
      <w:r w:rsidR="008F16AF" w:rsidRPr="008F16AF">
        <w:rPr>
          <w:rFonts w:cs="Arial"/>
          <w:rtl/>
        </w:rPr>
        <w:t xml:space="preserve">. </w:t>
      </w:r>
      <w:r w:rsidR="009138F1" w:rsidRPr="009138F1">
        <w:rPr>
          <w:rFonts w:cs="Arial"/>
          <w:rtl/>
        </w:rPr>
        <w:t>איבעיא להו: הפוגמת כתובתה פחות פחות משוה פרוטה, מהו? מי אמרינן כיון דקא דייקא כולי האי קושטא קא אמרה, או דלמא איערומי קא מערמא? תיקו</w:t>
      </w:r>
      <w:r w:rsidR="008F16AF">
        <w:rPr>
          <w:rStyle w:val="a7"/>
          <w:rFonts w:cs="Arial"/>
          <w:rtl/>
        </w:rPr>
        <w:footnoteReference w:id="1742"/>
      </w:r>
      <w:r w:rsidR="009138F1" w:rsidRPr="009138F1">
        <w:rPr>
          <w:rFonts w:cs="Arial"/>
          <w:rtl/>
        </w:rPr>
        <w:t>.</w:t>
      </w:r>
    </w:p>
    <w:p w14:paraId="748E9648" w14:textId="41FD0158" w:rsidR="003871C2" w:rsidRPr="002C1465" w:rsidRDefault="002C1465" w:rsidP="003871C2">
      <w:pPr>
        <w:rPr>
          <w:u w:val="single"/>
          <w:rtl/>
        </w:rPr>
      </w:pPr>
      <w:r w:rsidRPr="002C1465">
        <w:rPr>
          <w:rFonts w:hint="cs"/>
          <w:u w:val="single"/>
          <w:rtl/>
        </w:rPr>
        <w:t>שבועת גרושה:</w:t>
      </w:r>
    </w:p>
    <w:p w14:paraId="7CCB9748" w14:textId="0C0CC498" w:rsidR="00810407" w:rsidRPr="00810407" w:rsidRDefault="00810407" w:rsidP="009000E3">
      <w:pPr>
        <w:pStyle w:val="ab"/>
        <w:numPr>
          <w:ilvl w:val="0"/>
          <w:numId w:val="84"/>
        </w:numPr>
      </w:pPr>
      <w:r>
        <w:rPr>
          <w:rFonts w:cs="Arial" w:hint="cs"/>
          <w:rtl/>
        </w:rPr>
        <w:t xml:space="preserve">טור- </w:t>
      </w:r>
      <w:r w:rsidRPr="007F14E0">
        <w:rPr>
          <w:rFonts w:cs="Arial"/>
          <w:rtl/>
        </w:rPr>
        <w:t>פעמים שאף גרושה משביעין אותה אפילו כשלא יטעון</w:t>
      </w:r>
      <w:r w:rsidR="002C1465">
        <w:rPr>
          <w:rFonts w:cs="Arial" w:hint="cs"/>
          <w:rtl/>
        </w:rPr>
        <w:t>,</w:t>
      </w:r>
      <w:r w:rsidRPr="007F14E0">
        <w:rPr>
          <w:rFonts w:cs="Arial"/>
          <w:rtl/>
        </w:rPr>
        <w:t xml:space="preserve"> דתנן הפוגמת כתובתה</w:t>
      </w:r>
      <w:r w:rsidR="00287587">
        <w:rPr>
          <w:rFonts w:cs="Arial" w:hint="cs"/>
          <w:rtl/>
        </w:rPr>
        <w:t>,</w:t>
      </w:r>
      <w:r w:rsidRPr="007F14E0">
        <w:rPr>
          <w:rFonts w:cs="Arial"/>
          <w:rtl/>
        </w:rPr>
        <w:t xml:space="preserve"> או ע</w:t>
      </w:r>
      <w:r w:rsidR="006018D8">
        <w:rPr>
          <w:rFonts w:cs="Arial" w:hint="cs"/>
          <w:rtl/>
        </w:rPr>
        <w:t>ד אחד</w:t>
      </w:r>
      <w:r w:rsidRPr="007F14E0">
        <w:rPr>
          <w:rFonts w:cs="Arial"/>
          <w:rtl/>
        </w:rPr>
        <w:t xml:space="preserve"> מעידה שהיא פרועה</w:t>
      </w:r>
      <w:r w:rsidR="00287587">
        <w:rPr>
          <w:rFonts w:cs="Arial" w:hint="cs"/>
          <w:rtl/>
        </w:rPr>
        <w:t>,</w:t>
      </w:r>
      <w:r w:rsidRPr="007F14E0">
        <w:rPr>
          <w:rFonts w:cs="Arial"/>
          <w:rtl/>
        </w:rPr>
        <w:t xml:space="preserve"> והנפרעת שלא בפניו ומנכסים משועבדים </w:t>
      </w:r>
      <w:r w:rsidR="00287587">
        <w:rPr>
          <w:rFonts w:cs="Arial" w:hint="cs"/>
          <w:rtl/>
        </w:rPr>
        <w:t xml:space="preserve">- </w:t>
      </w:r>
      <w:r w:rsidRPr="007F14E0">
        <w:rPr>
          <w:rFonts w:cs="Arial"/>
          <w:rtl/>
        </w:rPr>
        <w:t>לא תפרע אלא בשבועה</w:t>
      </w:r>
      <w:r w:rsidR="00287587">
        <w:rPr>
          <w:rFonts w:cs="Arial" w:hint="cs"/>
          <w:rtl/>
        </w:rPr>
        <w:t>.</w:t>
      </w:r>
      <w:r w:rsidRPr="007F14E0">
        <w:rPr>
          <w:rFonts w:cs="Arial"/>
          <w:rtl/>
        </w:rPr>
        <w:t xml:space="preserve"> פוגמת כיצד</w:t>
      </w:r>
      <w:r w:rsidR="00287587">
        <w:rPr>
          <w:rFonts w:cs="Arial" w:hint="cs"/>
          <w:rtl/>
        </w:rPr>
        <w:t>,</w:t>
      </w:r>
      <w:r w:rsidRPr="007F14E0">
        <w:rPr>
          <w:rFonts w:cs="Arial"/>
          <w:rtl/>
        </w:rPr>
        <w:t xml:space="preserve"> היתה כתובתה אלף זוז</w:t>
      </w:r>
      <w:r w:rsidR="00287587">
        <w:rPr>
          <w:rFonts w:cs="Arial" w:hint="cs"/>
          <w:rtl/>
        </w:rPr>
        <w:t>,</w:t>
      </w:r>
      <w:r w:rsidRPr="007F14E0">
        <w:rPr>
          <w:rFonts w:cs="Arial"/>
          <w:rtl/>
        </w:rPr>
        <w:t xml:space="preserve"> והוא אומר קבלת כתובתיך</w:t>
      </w:r>
      <w:r w:rsidR="00287587">
        <w:rPr>
          <w:rFonts w:cs="Arial" w:hint="cs"/>
          <w:rtl/>
        </w:rPr>
        <w:t>,</w:t>
      </w:r>
      <w:r w:rsidRPr="007F14E0">
        <w:rPr>
          <w:rFonts w:cs="Arial"/>
          <w:rtl/>
        </w:rPr>
        <w:t xml:space="preserve"> והיא אומרת לא קבלתי אלא כך וכך</w:t>
      </w:r>
      <w:r w:rsidR="00CC6EC9">
        <w:rPr>
          <w:rFonts w:cs="Arial" w:hint="cs"/>
          <w:rtl/>
        </w:rPr>
        <w:t>,</w:t>
      </w:r>
      <w:r w:rsidRPr="007F14E0">
        <w:rPr>
          <w:rFonts w:cs="Arial"/>
          <w:rtl/>
        </w:rPr>
        <w:t xml:space="preserve"> אפילו יש לה עדים כמה קבלה דאיכא למימר אם איתא דקבלה טפי הוה פרע לה בעדים אפילו דקדקה מה שנטלה</w:t>
      </w:r>
      <w:r w:rsidR="00CD5C00">
        <w:rPr>
          <w:rFonts w:cs="Arial" w:hint="cs"/>
          <w:rtl/>
        </w:rPr>
        <w:t>,</w:t>
      </w:r>
      <w:r w:rsidRPr="007F14E0">
        <w:rPr>
          <w:rFonts w:cs="Arial"/>
          <w:rtl/>
        </w:rPr>
        <w:t xml:space="preserve"> אפי' בחצי פרוטה דאיכא למימר כיון דדקדקה בודאי אומרת אמת</w:t>
      </w:r>
      <w:r w:rsidR="00CD5C00">
        <w:rPr>
          <w:rFonts w:cs="Arial" w:hint="cs"/>
          <w:rtl/>
        </w:rPr>
        <w:t>,</w:t>
      </w:r>
      <w:r w:rsidRPr="007F14E0">
        <w:rPr>
          <w:rFonts w:cs="Arial"/>
          <w:rtl/>
        </w:rPr>
        <w:t xml:space="preserve"> אפ"ה לא תפרע אלא בשבועה</w:t>
      </w:r>
      <w:r w:rsidR="006018D8">
        <w:rPr>
          <w:rFonts w:cs="Arial" w:hint="cs"/>
          <w:rtl/>
        </w:rPr>
        <w:t>.</w:t>
      </w:r>
      <w:r w:rsidRPr="007F14E0">
        <w:rPr>
          <w:rFonts w:cs="Arial"/>
          <w:rtl/>
        </w:rPr>
        <w:t xml:space="preserve"> או שכופרת בכל ואומרת לא </w:t>
      </w:r>
      <w:r w:rsidRPr="007F14E0">
        <w:rPr>
          <w:rFonts w:cs="Arial"/>
          <w:rtl/>
        </w:rPr>
        <w:lastRenderedPageBreak/>
        <w:t>נפרעתי כלום</w:t>
      </w:r>
      <w:r w:rsidR="00CD5C00">
        <w:rPr>
          <w:rFonts w:cs="Arial" w:hint="cs"/>
          <w:rtl/>
        </w:rPr>
        <w:t>,</w:t>
      </w:r>
      <w:r w:rsidRPr="007F14E0">
        <w:rPr>
          <w:rFonts w:cs="Arial"/>
          <w:rtl/>
        </w:rPr>
        <w:t xml:space="preserve"> ועד אחד מעידה שהיא פרוע</w:t>
      </w:r>
      <w:r w:rsidR="006018D8">
        <w:rPr>
          <w:rFonts w:cs="Arial" w:hint="cs"/>
          <w:rtl/>
        </w:rPr>
        <w:t xml:space="preserve"> -</w:t>
      </w:r>
      <w:r w:rsidRPr="007F14E0">
        <w:rPr>
          <w:rFonts w:cs="Arial"/>
          <w:rtl/>
        </w:rPr>
        <w:t xml:space="preserve"> לא תפרע אלא בשבועה</w:t>
      </w:r>
      <w:r w:rsidR="006018D8">
        <w:rPr>
          <w:rFonts w:cs="Arial" w:hint="cs"/>
          <w:rtl/>
        </w:rPr>
        <w:t>.</w:t>
      </w:r>
      <w:r w:rsidRPr="007F14E0">
        <w:rPr>
          <w:rFonts w:cs="Arial"/>
          <w:rtl/>
        </w:rPr>
        <w:t xml:space="preserve"> או מנכסים משועבדים שבאו לטרוף מהלקוחות</w:t>
      </w:r>
      <w:r w:rsidR="006018D8">
        <w:rPr>
          <w:rFonts w:cs="Arial" w:hint="cs"/>
          <w:rtl/>
        </w:rPr>
        <w:t>,</w:t>
      </w:r>
      <w:r w:rsidRPr="007F14E0">
        <w:rPr>
          <w:rFonts w:cs="Arial"/>
          <w:rtl/>
        </w:rPr>
        <w:t xml:space="preserve"> או שלא בפניו</w:t>
      </w:r>
      <w:r w:rsidR="006018D8">
        <w:rPr>
          <w:rFonts w:cs="Arial" w:hint="cs"/>
          <w:rtl/>
        </w:rPr>
        <w:t>,</w:t>
      </w:r>
      <w:r w:rsidRPr="007F14E0">
        <w:rPr>
          <w:rFonts w:cs="Arial"/>
          <w:rtl/>
        </w:rPr>
        <w:t xml:space="preserve"> כגון שגרש והלך לו</w:t>
      </w:r>
      <w:r w:rsidR="006018D8">
        <w:rPr>
          <w:rFonts w:cs="Arial" w:hint="cs"/>
          <w:rtl/>
        </w:rPr>
        <w:t xml:space="preserve"> -</w:t>
      </w:r>
      <w:r w:rsidRPr="007F14E0">
        <w:rPr>
          <w:rFonts w:cs="Arial"/>
          <w:rtl/>
        </w:rPr>
        <w:t xml:space="preserve"> לא תפרע אלא בשבועה</w:t>
      </w:r>
      <w:r w:rsidR="001B52C9">
        <w:rPr>
          <w:rFonts w:cs="Arial" w:hint="cs"/>
          <w:rtl/>
        </w:rPr>
        <w:t>.</w:t>
      </w:r>
      <w:r w:rsidRPr="007F14E0">
        <w:rPr>
          <w:rFonts w:cs="Arial"/>
          <w:rtl/>
        </w:rPr>
        <w:t xml:space="preserve"> </w:t>
      </w:r>
      <w:r w:rsidRPr="00114F4F">
        <w:rPr>
          <w:rFonts w:cs="Arial"/>
          <w:rtl/>
        </w:rPr>
        <w:t xml:space="preserve">וכתב הרמב"ם </w:t>
      </w:r>
      <w:r w:rsidR="001B52C9" w:rsidRPr="00114F4F">
        <w:rPr>
          <w:rFonts w:cs="Arial" w:hint="cs"/>
          <w:rtl/>
        </w:rPr>
        <w:t xml:space="preserve">(פט"ז מהל' אישות הט"ז) </w:t>
      </w:r>
      <w:r w:rsidRPr="00114F4F">
        <w:rPr>
          <w:rFonts w:cs="Arial"/>
          <w:rtl/>
        </w:rPr>
        <w:t>והוא שיהיה במקום רחוק שיש טורח להודיעו</w:t>
      </w:r>
      <w:r w:rsidR="00114F4F" w:rsidRPr="00114F4F">
        <w:rPr>
          <w:rFonts w:cs="Arial" w:hint="cs"/>
          <w:rtl/>
        </w:rPr>
        <w:t>.</w:t>
      </w:r>
      <w:r w:rsidRPr="00114F4F">
        <w:rPr>
          <w:rFonts w:cs="Arial"/>
          <w:rtl/>
        </w:rPr>
        <w:t xml:space="preserve"> אבל אם הוא קרוב להודיעו</w:t>
      </w:r>
      <w:r w:rsidR="00114F4F" w:rsidRPr="00114F4F">
        <w:rPr>
          <w:rFonts w:cs="Arial" w:hint="cs"/>
          <w:rtl/>
        </w:rPr>
        <w:t xml:space="preserve">, </w:t>
      </w:r>
      <w:r w:rsidRPr="00114F4F">
        <w:rPr>
          <w:rFonts w:cs="Arial"/>
          <w:rtl/>
        </w:rPr>
        <w:t>מודיעין אותו</w:t>
      </w:r>
      <w:r w:rsidR="00114F4F" w:rsidRPr="00114F4F">
        <w:rPr>
          <w:rFonts w:cs="Arial" w:hint="cs"/>
          <w:rtl/>
        </w:rPr>
        <w:t>,</w:t>
      </w:r>
      <w:r w:rsidRPr="00114F4F">
        <w:rPr>
          <w:rFonts w:cs="Arial"/>
          <w:rtl/>
        </w:rPr>
        <w:t xml:space="preserve"> ואם לא יבא </w:t>
      </w:r>
      <w:r w:rsidR="00114F4F" w:rsidRPr="00114F4F">
        <w:rPr>
          <w:rFonts w:cs="Arial" w:hint="cs"/>
          <w:rtl/>
        </w:rPr>
        <w:t xml:space="preserve">- </w:t>
      </w:r>
      <w:r w:rsidRPr="00114F4F">
        <w:rPr>
          <w:rFonts w:cs="Arial"/>
          <w:rtl/>
        </w:rPr>
        <w:t>ישביעוה ותטול</w:t>
      </w:r>
      <w:r w:rsidR="00CE371B" w:rsidRPr="00114F4F">
        <w:rPr>
          <w:rFonts w:cs="Arial" w:hint="cs"/>
          <w:rtl/>
        </w:rPr>
        <w:t>.</w:t>
      </w:r>
      <w:r w:rsidRPr="00114F4F">
        <w:rPr>
          <w:rFonts w:cs="Arial"/>
          <w:rtl/>
        </w:rPr>
        <w:t xml:space="preserve"> וכ"כ רי"ף </w:t>
      </w:r>
      <w:r w:rsidR="001B52C9" w:rsidRPr="00114F4F">
        <w:rPr>
          <w:rFonts w:cs="Arial" w:hint="cs"/>
          <w:rtl/>
        </w:rPr>
        <w:t>(</w:t>
      </w:r>
      <w:r w:rsidR="001B52C9" w:rsidRPr="00114F4F">
        <w:rPr>
          <w:rFonts w:cs="Arial"/>
          <w:rtl/>
        </w:rPr>
        <w:t>פ</w:t>
      </w:r>
      <w:r w:rsidR="001B52C9" w:rsidRPr="00114F4F">
        <w:rPr>
          <w:rFonts w:cs="Arial" w:hint="cs"/>
          <w:rtl/>
        </w:rPr>
        <w:t>'</w:t>
      </w:r>
      <w:r w:rsidR="001B52C9" w:rsidRPr="00114F4F">
        <w:rPr>
          <w:rFonts w:cs="Arial"/>
          <w:rtl/>
        </w:rPr>
        <w:t xml:space="preserve"> הכותב מח:)</w:t>
      </w:r>
      <w:r w:rsidR="001B52C9" w:rsidRPr="00114F4F">
        <w:rPr>
          <w:rFonts w:cs="Arial" w:hint="cs"/>
          <w:rtl/>
        </w:rPr>
        <w:t xml:space="preserve">. </w:t>
      </w:r>
      <w:r w:rsidRPr="00114F4F">
        <w:rPr>
          <w:rFonts w:cs="Arial"/>
          <w:rtl/>
        </w:rPr>
        <w:t>וכתב א"א ז"ל</w:t>
      </w:r>
      <w:r w:rsidR="001B52C9" w:rsidRPr="00114F4F">
        <w:rPr>
          <w:rFonts w:cs="Arial" w:hint="cs"/>
          <w:rtl/>
        </w:rPr>
        <w:t xml:space="preserve"> (פ' הכותב סי' כז)</w:t>
      </w:r>
      <w:r w:rsidRPr="00114F4F">
        <w:rPr>
          <w:rFonts w:cs="Arial"/>
          <w:rtl/>
        </w:rPr>
        <w:t xml:space="preserve"> ויראה לי דהאי מקום קרוב כדי שילך השליח ויחזור תוך ל' יום שהוא זמן ב"ד</w:t>
      </w:r>
      <w:r w:rsidR="00114F4F" w:rsidRPr="00114F4F">
        <w:rPr>
          <w:rFonts w:cs="Arial" w:hint="cs"/>
          <w:rtl/>
        </w:rPr>
        <w:t>,</w:t>
      </w:r>
      <w:r w:rsidRPr="00114F4F">
        <w:rPr>
          <w:rFonts w:cs="Arial"/>
          <w:rtl/>
        </w:rPr>
        <w:t xml:space="preserve"> אבל טפי מל' יום אין לנו לאחר הפרעון</w:t>
      </w:r>
      <w:r w:rsidR="00114F4F" w:rsidRPr="00114F4F">
        <w:rPr>
          <w:rFonts w:cs="Arial" w:hint="cs"/>
          <w:rtl/>
        </w:rPr>
        <w:t>,</w:t>
      </w:r>
      <w:r w:rsidRPr="00114F4F">
        <w:rPr>
          <w:rFonts w:cs="Arial"/>
          <w:rtl/>
        </w:rPr>
        <w:t xml:space="preserve"> אלא ב"ד מוכרים מיד ופורעין והאשה נותנת שכר השליח ומוספת אותו על כתובתה</w:t>
      </w:r>
      <w:r w:rsidRPr="00114F4F">
        <w:rPr>
          <w:rFonts w:cs="Arial" w:hint="cs"/>
          <w:rtl/>
        </w:rPr>
        <w:t>.</w:t>
      </w:r>
      <w:r w:rsidRPr="00114F4F">
        <w:rPr>
          <w:rFonts w:cs="Arial"/>
          <w:rtl/>
        </w:rPr>
        <w:t xml:space="preserve"> </w:t>
      </w:r>
      <w:r w:rsidR="00681973" w:rsidRPr="009F7256">
        <w:rPr>
          <w:rFonts w:hint="cs"/>
          <w:color w:val="E36C0A" w:themeColor="accent6" w:themeShade="BF"/>
          <w:rtl/>
        </w:rPr>
        <w:t>(וכ"פ בש</w:t>
      </w:r>
      <w:r w:rsidR="009F7256" w:rsidRPr="009F7256">
        <w:rPr>
          <w:rFonts w:hint="cs"/>
          <w:color w:val="E36C0A" w:themeColor="accent6" w:themeShade="BF"/>
          <w:rtl/>
        </w:rPr>
        <w:t>ו"ע</w:t>
      </w:r>
      <w:r w:rsidR="009F7256" w:rsidRPr="009F7256">
        <w:rPr>
          <w:rFonts w:hint="cs"/>
          <w:color w:val="E36C0A" w:themeColor="accent6" w:themeShade="BF"/>
          <w:sz w:val="16"/>
          <w:szCs w:val="16"/>
          <w:rtl/>
        </w:rPr>
        <w:t xml:space="preserve"> </w:t>
      </w:r>
      <w:r w:rsidR="009F7256">
        <w:rPr>
          <w:rFonts w:hint="cs"/>
          <w:sz w:val="16"/>
          <w:szCs w:val="16"/>
          <w:rtl/>
        </w:rPr>
        <w:t>[כאן ובסע' ח-י]</w:t>
      </w:r>
      <w:r w:rsidR="009F7256" w:rsidRPr="009F7256">
        <w:rPr>
          <w:rFonts w:hint="cs"/>
          <w:color w:val="E36C0A" w:themeColor="accent6" w:themeShade="BF"/>
          <w:rtl/>
        </w:rPr>
        <w:t>)</w:t>
      </w:r>
    </w:p>
    <w:p w14:paraId="13BFE632"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8CD41D8" w14:textId="069D7A18" w:rsidR="00392DBB" w:rsidRDefault="00392DBB" w:rsidP="00392DBB">
      <w:pPr>
        <w:rPr>
          <w:rtl/>
        </w:rPr>
      </w:pPr>
      <w:r>
        <w:rPr>
          <w:rFonts w:cs="Arial"/>
          <w:rtl/>
        </w:rPr>
        <w:t xml:space="preserve">פעמים שאף גרושה משביעין אותה, אפילו לא יטעון, כגון פוגמת כתובתה, כגון שהיתה כתובתה אלף, ואמר לה: התקבלת כתובתיך, והיא אומרת: לא התקבלתי אלא מנה, אפילו יש לה עדים כמה קבלה, ואפילו דקדקה מה שנטלה אפילו בחצי פרוטה, לא תפרע אלא בשבועה. </w:t>
      </w:r>
    </w:p>
    <w:p w14:paraId="62618F35" w14:textId="77777777" w:rsidR="006F2A17" w:rsidRDefault="006F2A17" w:rsidP="00392DBB">
      <w:pPr>
        <w:rPr>
          <w:rtl/>
        </w:rPr>
      </w:pPr>
    </w:p>
    <w:p w14:paraId="2563DDED" w14:textId="4CF1015B" w:rsidR="00392DBB" w:rsidRDefault="00392DBB" w:rsidP="000F64D0">
      <w:pPr>
        <w:pStyle w:val="2"/>
        <w:rPr>
          <w:rtl/>
        </w:rPr>
      </w:pPr>
      <w:r>
        <w:rPr>
          <w:rtl/>
        </w:rPr>
        <w:t>סעיף ח</w:t>
      </w:r>
      <w:r w:rsidR="006F2A17">
        <w:rPr>
          <w:rFonts w:hint="cs"/>
          <w:rtl/>
        </w:rPr>
        <w:t xml:space="preserve">: עד אחד מעיד שהגרושה </w:t>
      </w:r>
      <w:r w:rsidR="00766CCE">
        <w:rPr>
          <w:rFonts w:hint="cs"/>
          <w:rtl/>
        </w:rPr>
        <w:t>נפרעה.</w:t>
      </w:r>
    </w:p>
    <w:p w14:paraId="54CDEAD5" w14:textId="6DD4A49D" w:rsidR="00766CCE" w:rsidRPr="00766CCE" w:rsidRDefault="00114F4F" w:rsidP="00766CCE">
      <w:pPr>
        <w:rPr>
          <w:rtl/>
        </w:rPr>
      </w:pPr>
      <w:r>
        <w:rPr>
          <w:rFonts w:hint="cs"/>
          <w:rtl/>
        </w:rPr>
        <w:t>עיין במקורות בסעיף ז.</w:t>
      </w:r>
    </w:p>
    <w:p w14:paraId="43EED60B"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3459A81" w14:textId="7AB6C0FF" w:rsidR="00392DBB" w:rsidRDefault="00392DBB" w:rsidP="00392DBB">
      <w:pPr>
        <w:rPr>
          <w:rtl/>
        </w:rPr>
      </w:pPr>
      <w:r>
        <w:rPr>
          <w:rFonts w:cs="Arial"/>
          <w:rtl/>
        </w:rPr>
        <w:t xml:space="preserve">וכן אם עד אחד מעידה שהיא פרועה. </w:t>
      </w:r>
    </w:p>
    <w:p w14:paraId="5016EBC0" w14:textId="77777777" w:rsidR="00766CCE" w:rsidRDefault="00766CCE" w:rsidP="00392DBB">
      <w:pPr>
        <w:rPr>
          <w:rtl/>
        </w:rPr>
      </w:pPr>
    </w:p>
    <w:p w14:paraId="2044EC54" w14:textId="6190847F" w:rsidR="00392DBB" w:rsidRDefault="00392DBB" w:rsidP="000F64D0">
      <w:pPr>
        <w:pStyle w:val="2"/>
        <w:rPr>
          <w:rtl/>
        </w:rPr>
      </w:pPr>
      <w:r>
        <w:rPr>
          <w:rtl/>
        </w:rPr>
        <w:t>סעיף ט</w:t>
      </w:r>
      <w:r w:rsidR="00766CCE">
        <w:rPr>
          <w:rFonts w:hint="cs"/>
          <w:rtl/>
        </w:rPr>
        <w:t>: גרושה שטורפת מלקוחות.</w:t>
      </w:r>
    </w:p>
    <w:p w14:paraId="0037F992" w14:textId="04EB3AC4" w:rsidR="00766CCE" w:rsidRPr="00766CCE" w:rsidRDefault="00114F4F" w:rsidP="00114F4F">
      <w:pPr>
        <w:rPr>
          <w:rtl/>
        </w:rPr>
      </w:pPr>
      <w:r>
        <w:rPr>
          <w:rFonts w:hint="cs"/>
          <w:rtl/>
        </w:rPr>
        <w:t>עיין במקורות בסעיף ז.</w:t>
      </w:r>
    </w:p>
    <w:p w14:paraId="3C964195"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F2B2578" w14:textId="7E6E0C0F" w:rsidR="00392DBB" w:rsidRDefault="00392DBB" w:rsidP="00392DBB">
      <w:pPr>
        <w:rPr>
          <w:rtl/>
        </w:rPr>
      </w:pPr>
      <w:r>
        <w:rPr>
          <w:rFonts w:cs="Arial"/>
          <w:rtl/>
        </w:rPr>
        <w:t xml:space="preserve">וכן אם היא טורפת מלקוחות. </w:t>
      </w:r>
      <w:r w:rsidRPr="00766CCE">
        <w:rPr>
          <w:rFonts w:cs="Arial"/>
          <w:sz w:val="18"/>
          <w:szCs w:val="18"/>
          <w:rtl/>
        </w:rPr>
        <w:t>הגה: וכן אם היו לו שתי נשים וגירש אחת, צריכה לישבע לשניה (ב"י בשם המ"מ), וכמו שיתבאר לקמן סעיף ט"ז.</w:t>
      </w:r>
      <w:r>
        <w:rPr>
          <w:rFonts w:cs="Arial"/>
          <w:rtl/>
        </w:rPr>
        <w:t xml:space="preserve"> </w:t>
      </w:r>
    </w:p>
    <w:p w14:paraId="5ED19A3A" w14:textId="77777777" w:rsidR="00766CCE" w:rsidRDefault="00766CCE" w:rsidP="00392DBB">
      <w:pPr>
        <w:rPr>
          <w:rtl/>
        </w:rPr>
      </w:pPr>
    </w:p>
    <w:p w14:paraId="054913A3" w14:textId="4070F451" w:rsidR="00392DBB" w:rsidRDefault="00392DBB" w:rsidP="000F64D0">
      <w:pPr>
        <w:pStyle w:val="2"/>
        <w:rPr>
          <w:rtl/>
        </w:rPr>
      </w:pPr>
      <w:r>
        <w:rPr>
          <w:rtl/>
        </w:rPr>
        <w:t>סעיף י</w:t>
      </w:r>
      <w:r w:rsidR="00766CCE">
        <w:rPr>
          <w:rFonts w:hint="cs"/>
          <w:rtl/>
        </w:rPr>
        <w:t>: גרושה שנפרעת שלא בפניו.</w:t>
      </w:r>
    </w:p>
    <w:p w14:paraId="76433E02" w14:textId="77777777" w:rsidR="00114F4F" w:rsidRPr="00766CCE" w:rsidRDefault="00114F4F" w:rsidP="00114F4F">
      <w:pPr>
        <w:rPr>
          <w:rtl/>
        </w:rPr>
      </w:pPr>
      <w:r>
        <w:rPr>
          <w:rFonts w:hint="cs"/>
          <w:rtl/>
        </w:rPr>
        <w:t>עיין במקורות בסעיף ז.</w:t>
      </w:r>
    </w:p>
    <w:p w14:paraId="6B5EC5F2"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F82F9AD" w14:textId="7279AFDB" w:rsidR="00392DBB" w:rsidRDefault="00392DBB" w:rsidP="00392DBB">
      <w:pPr>
        <w:rPr>
          <w:rFonts w:cs="Arial"/>
          <w:rtl/>
        </w:rPr>
      </w:pPr>
      <w:r>
        <w:rPr>
          <w:rFonts w:cs="Arial"/>
          <w:rtl/>
        </w:rPr>
        <w:t>וכן אם היא נפרעת שלא בפניו, והוא שיהיה במקום רחוק. אבל אם הוא במקום קרוב כדי שילך השליח ויחזור תוך שלשים יום, מודיעין אותו, ואם לא יבא ישביעוה ותטול</w:t>
      </w:r>
      <w:r w:rsidR="00681973">
        <w:rPr>
          <w:rFonts w:cs="Arial" w:hint="cs"/>
          <w:rtl/>
        </w:rPr>
        <w:t>,</w:t>
      </w:r>
      <w:r>
        <w:rPr>
          <w:rFonts w:cs="Arial"/>
          <w:rtl/>
        </w:rPr>
        <w:t xml:space="preserve"> והאשה נותנת שכר השליח ומוסיפים על כתובתה. </w:t>
      </w:r>
    </w:p>
    <w:p w14:paraId="46C58357" w14:textId="77777777" w:rsidR="00766CCE" w:rsidRDefault="00766CCE" w:rsidP="00392DBB">
      <w:pPr>
        <w:rPr>
          <w:rtl/>
        </w:rPr>
      </w:pPr>
    </w:p>
    <w:p w14:paraId="3EB15B28" w14:textId="7CB41AA6" w:rsidR="00392DBB" w:rsidRDefault="00392DBB" w:rsidP="000F64D0">
      <w:pPr>
        <w:pStyle w:val="2"/>
        <w:rPr>
          <w:rtl/>
        </w:rPr>
      </w:pPr>
      <w:r>
        <w:rPr>
          <w:rtl/>
        </w:rPr>
        <w:t>סעיף יא</w:t>
      </w:r>
      <w:r w:rsidR="00766CCE">
        <w:rPr>
          <w:rFonts w:hint="cs"/>
          <w:rtl/>
        </w:rPr>
        <w:t xml:space="preserve">: </w:t>
      </w:r>
      <w:r w:rsidR="00B05992">
        <w:rPr>
          <w:rFonts w:hint="cs"/>
          <w:rtl/>
        </w:rPr>
        <w:t xml:space="preserve">חיוב </w:t>
      </w:r>
      <w:r w:rsidR="00B33389">
        <w:rPr>
          <w:rFonts w:hint="cs"/>
          <w:rtl/>
        </w:rPr>
        <w:t>ה</w:t>
      </w:r>
      <w:r w:rsidR="00B05992">
        <w:rPr>
          <w:rFonts w:hint="cs"/>
          <w:rtl/>
        </w:rPr>
        <w:t xml:space="preserve">שבועה מדרבנן. </w:t>
      </w:r>
      <w:r w:rsidR="00FA12DC">
        <w:rPr>
          <w:rFonts w:hint="cs"/>
          <w:rtl/>
        </w:rPr>
        <w:t>נקיטת חפץ. תפסה ואינה רוצה להישבע. הפיכת השבועה.</w:t>
      </w:r>
    </w:p>
    <w:p w14:paraId="5FCDFF2D" w14:textId="261AA839" w:rsidR="00677DD4" w:rsidRDefault="00677DD4" w:rsidP="00677DD4">
      <w:pPr>
        <w:rPr>
          <w:rFonts w:cs="Arial"/>
          <w:rtl/>
        </w:rPr>
      </w:pPr>
      <w:r w:rsidRPr="00495C75">
        <w:rPr>
          <w:rFonts w:cs="Arial" w:hint="cs"/>
          <w:b/>
          <w:bCs/>
          <w:rtl/>
        </w:rPr>
        <w:t xml:space="preserve">כתובות </w:t>
      </w:r>
      <w:r>
        <w:rPr>
          <w:rFonts w:cs="Arial" w:hint="cs"/>
          <w:b/>
          <w:bCs/>
          <w:sz w:val="16"/>
          <w:szCs w:val="16"/>
          <w:rtl/>
        </w:rPr>
        <w:t>(פ' הכותב)</w:t>
      </w:r>
      <w:r>
        <w:rPr>
          <w:rFonts w:cs="Arial" w:hint="cs"/>
          <w:b/>
          <w:bCs/>
          <w:rtl/>
        </w:rPr>
        <w:t xml:space="preserve"> </w:t>
      </w:r>
      <w:r w:rsidRPr="00495C75">
        <w:rPr>
          <w:rFonts w:cs="Arial" w:hint="cs"/>
          <w:b/>
          <w:bCs/>
          <w:rtl/>
        </w:rPr>
        <w:t xml:space="preserve">פז ע"א: </w:t>
      </w:r>
      <w:r w:rsidRPr="00495C75">
        <w:rPr>
          <w:rFonts w:cs="Arial"/>
          <w:u w:val="double"/>
          <w:rtl/>
        </w:rPr>
        <w:t>מתני'</w:t>
      </w:r>
      <w:r>
        <w:rPr>
          <w:rFonts w:cs="Arial" w:hint="cs"/>
          <w:rtl/>
        </w:rPr>
        <w:t>:</w:t>
      </w:r>
      <w:r w:rsidRPr="00495C75">
        <w:rPr>
          <w:rFonts w:cs="Arial"/>
          <w:rtl/>
        </w:rPr>
        <w:t xml:space="preserve"> הפוגמת כתובתה - לא תפרע אלא בשבועה. עד אחד מעידה שהיא פרועה - לא תפרע אלא בשבועה. מנכסי יתומים, ומנכסים משועבדים</w:t>
      </w:r>
      <w:r>
        <w:rPr>
          <w:rStyle w:val="a7"/>
          <w:rFonts w:cs="Arial"/>
          <w:rtl/>
        </w:rPr>
        <w:footnoteReference w:id="1743"/>
      </w:r>
      <w:r w:rsidRPr="00495C75">
        <w:rPr>
          <w:rFonts w:cs="Arial"/>
          <w:rtl/>
        </w:rPr>
        <w:t>, ושלא בפניו - לא תפרע אלא בשבועה</w:t>
      </w:r>
      <w:r>
        <w:rPr>
          <w:rFonts w:cs="Arial" w:hint="cs"/>
          <w:rtl/>
        </w:rPr>
        <w:t>..</w:t>
      </w:r>
      <w:r w:rsidRPr="00495C75">
        <w:rPr>
          <w:rFonts w:cs="Arial"/>
          <w:rtl/>
        </w:rPr>
        <w:t xml:space="preserve">. </w:t>
      </w:r>
      <w:r>
        <w:rPr>
          <w:rFonts w:cs="Arial" w:hint="cs"/>
          <w:rtl/>
        </w:rPr>
        <w:t xml:space="preserve">      </w:t>
      </w:r>
      <w:r w:rsidRPr="003866FC">
        <w:rPr>
          <w:rFonts w:cs="Arial"/>
          <w:u w:val="double"/>
          <w:rtl/>
        </w:rPr>
        <w:t>גמ'</w:t>
      </w:r>
      <w:r>
        <w:rPr>
          <w:rFonts w:cs="Arial" w:hint="cs"/>
          <w:sz w:val="14"/>
          <w:szCs w:val="14"/>
          <w:u w:val="double"/>
          <w:rtl/>
        </w:rPr>
        <w:t>(פז:)</w:t>
      </w:r>
      <w:r w:rsidRPr="003866FC">
        <w:rPr>
          <w:rFonts w:cs="Arial" w:hint="cs"/>
          <w:u w:val="double"/>
          <w:rtl/>
        </w:rPr>
        <w:t>:</w:t>
      </w:r>
      <w:r w:rsidRPr="003866FC">
        <w:rPr>
          <w:rFonts w:cs="Arial"/>
          <w:rtl/>
        </w:rPr>
        <w:t xml:space="preserve"> </w:t>
      </w:r>
      <w:r w:rsidRPr="000B2A4D">
        <w:rPr>
          <w:rFonts w:cs="Arial"/>
          <w:u w:val="single"/>
          <w:rtl/>
        </w:rPr>
        <w:t>סבר רמי בר חמא למימר</w:t>
      </w:r>
      <w:r>
        <w:rPr>
          <w:rFonts w:cs="Arial" w:hint="cs"/>
          <w:rtl/>
        </w:rPr>
        <w:t>:</w:t>
      </w:r>
      <w:r w:rsidRPr="003866FC">
        <w:rPr>
          <w:rFonts w:cs="Arial"/>
          <w:rtl/>
        </w:rPr>
        <w:t xml:space="preserve"> שבועה דאורייתא, דקא טעין מאתים וקא מודה ליה במאה, הויא ליה הודאה במקצת הטענה, </w:t>
      </w:r>
      <w:r w:rsidRPr="003866FC">
        <w:rPr>
          <w:rFonts w:cs="Arial"/>
          <w:rtl/>
        </w:rPr>
        <w:lastRenderedPageBreak/>
        <w:t>וכל המודה במקצת הטענה ישבע</w:t>
      </w:r>
      <w:r>
        <w:rPr>
          <w:rFonts w:cs="Arial" w:hint="cs"/>
          <w:rtl/>
        </w:rPr>
        <w:t>.</w:t>
      </w:r>
      <w:r w:rsidRPr="003866FC">
        <w:rPr>
          <w:rFonts w:cs="Arial"/>
          <w:rtl/>
        </w:rPr>
        <w:t xml:space="preserve"> </w:t>
      </w:r>
      <w:r w:rsidRPr="009677C2">
        <w:rPr>
          <w:rFonts w:cs="Arial"/>
          <w:u w:val="single"/>
          <w:rtl/>
        </w:rPr>
        <w:t>אמר רבא</w:t>
      </w:r>
      <w:r>
        <w:rPr>
          <w:rFonts w:cs="Arial" w:hint="cs"/>
          <w:rtl/>
        </w:rPr>
        <w:t>:</w:t>
      </w:r>
      <w:r w:rsidRPr="003866FC">
        <w:rPr>
          <w:rFonts w:cs="Arial"/>
          <w:rtl/>
        </w:rPr>
        <w:t xml:space="preserve"> שתי תשובות בדבר: חדא, דכל הנשבעין שבתורה - נשבעין ולא משלמין, והיא נשבעת ונוטלת: ועוד, אין נשבעין על כפירת שעבוד קרקעות! </w:t>
      </w:r>
      <w:r w:rsidRPr="009677C2">
        <w:rPr>
          <w:rFonts w:cs="Arial"/>
          <w:u w:val="single"/>
          <w:rtl/>
        </w:rPr>
        <w:t>אלא אמר רבא</w:t>
      </w:r>
      <w:r w:rsidRPr="003866FC">
        <w:rPr>
          <w:rFonts w:cs="Arial"/>
          <w:rtl/>
        </w:rPr>
        <w:t>: מדרבנן, דפרע דייק, דמיפרע לא דייק, ורמו רבנן שבועה עלה כי היכי דתידוק.</w:t>
      </w:r>
      <w:r>
        <w:rPr>
          <w:rFonts w:cs="Arial" w:hint="cs"/>
          <w:rtl/>
        </w:rPr>
        <w:t>..</w:t>
      </w:r>
      <w:r w:rsidRPr="00F73B46">
        <w:rPr>
          <w:rtl/>
        </w:rPr>
        <w:t xml:space="preserve"> </w:t>
      </w:r>
      <w:r w:rsidR="00250965">
        <w:rPr>
          <w:rStyle w:val="a7"/>
          <w:rFonts w:cs="Arial"/>
          <w:rtl/>
        </w:rPr>
        <w:footnoteReference w:id="1744"/>
      </w:r>
      <w:r w:rsidRPr="00F73B46">
        <w:rPr>
          <w:rFonts w:cs="Arial"/>
          <w:rtl/>
        </w:rPr>
        <w:t xml:space="preserve">עד אחד מעידה שהיא פרועה. </w:t>
      </w:r>
      <w:r w:rsidRPr="000B2A4D">
        <w:rPr>
          <w:rFonts w:cs="Arial"/>
          <w:u w:val="single"/>
          <w:rtl/>
        </w:rPr>
        <w:t>סבר רמי בר חמא למימר</w:t>
      </w:r>
      <w:r>
        <w:rPr>
          <w:rFonts w:cs="Arial" w:hint="cs"/>
          <w:rtl/>
        </w:rPr>
        <w:t>:</w:t>
      </w:r>
      <w:r w:rsidRPr="00F73B46">
        <w:rPr>
          <w:rFonts w:cs="Arial"/>
          <w:rtl/>
        </w:rPr>
        <w:t xml:space="preserve"> שבועה דאורייתא, דכתיב: לא יקום עד אחד באיש לכל עון ולכל חטאת, לכל עון ולכל חטאת הוא דאינו קם אבל קם הוא לשבועה, ואמר מר: כל מקום שהשנים מחייבין אותו ממון, אחד מחייבו שבועה; </w:t>
      </w:r>
      <w:r w:rsidRPr="009677C2">
        <w:rPr>
          <w:rFonts w:cs="Arial"/>
          <w:u w:val="single"/>
          <w:rtl/>
        </w:rPr>
        <w:t>אמר רבא</w:t>
      </w:r>
      <w:r>
        <w:rPr>
          <w:rFonts w:cs="Arial" w:hint="cs"/>
          <w:rtl/>
        </w:rPr>
        <w:t>:</w:t>
      </w:r>
      <w:r w:rsidRPr="00F73B46">
        <w:rPr>
          <w:rFonts w:cs="Arial"/>
          <w:rtl/>
        </w:rPr>
        <w:t xml:space="preserve"> שתי תשובות בדבר: חדא, דכל הנשבעין שבתורה - נשבעין ולא משלמין, והיא נשבעת ונוטלת; ועוד, אין נשבעין על כפירת שיעבוד קרקעות! </w:t>
      </w:r>
      <w:r w:rsidRPr="009677C2">
        <w:rPr>
          <w:rFonts w:cs="Arial"/>
          <w:u w:val="single"/>
          <w:rtl/>
        </w:rPr>
        <w:t>אלא אמר רבא</w:t>
      </w:r>
      <w:r w:rsidRPr="00F73B46">
        <w:rPr>
          <w:rFonts w:cs="Arial"/>
          <w:rtl/>
        </w:rPr>
        <w:t>: מדרבנן, כדי להפיס דעתו של בעל.</w:t>
      </w:r>
      <w:r w:rsidRPr="009677C2">
        <w:rPr>
          <w:rtl/>
        </w:rPr>
        <w:t xml:space="preserve"> </w:t>
      </w:r>
      <w:r w:rsidRPr="009677C2">
        <w:rPr>
          <w:rFonts w:cs="Arial"/>
          <w:u w:val="single"/>
          <w:rtl/>
        </w:rPr>
        <w:t>אמר רב פפא</w:t>
      </w:r>
      <w:r w:rsidRPr="009677C2">
        <w:rPr>
          <w:rFonts w:cs="Arial"/>
          <w:rtl/>
        </w:rPr>
        <w:t>:</w:t>
      </w:r>
      <w:r>
        <w:rPr>
          <w:rFonts w:cs="Arial" w:hint="cs"/>
          <w:sz w:val="14"/>
          <w:szCs w:val="14"/>
          <w:rtl/>
        </w:rPr>
        <w:t xml:space="preserve"> (פח.) </w:t>
      </w:r>
      <w:r w:rsidRPr="009677C2">
        <w:rPr>
          <w:rFonts w:cs="Arial"/>
          <w:rtl/>
        </w:rPr>
        <w:t>אי פיקח הוא, מייתי לה לידי שבועה דאורייתא</w:t>
      </w:r>
      <w:r>
        <w:rPr>
          <w:rStyle w:val="a7"/>
          <w:rFonts w:cs="Arial"/>
          <w:rtl/>
        </w:rPr>
        <w:footnoteReference w:id="1745"/>
      </w:r>
      <w:r>
        <w:rPr>
          <w:rFonts w:cs="Arial" w:hint="cs"/>
          <w:rtl/>
        </w:rPr>
        <w:t>...</w:t>
      </w:r>
    </w:p>
    <w:p w14:paraId="246F604C" w14:textId="534552E6" w:rsidR="00677DD4" w:rsidRPr="00F524C1" w:rsidRDefault="00F524C1" w:rsidP="00677DD4">
      <w:pPr>
        <w:rPr>
          <w:u w:val="single"/>
          <w:rtl/>
        </w:rPr>
      </w:pPr>
      <w:r w:rsidRPr="00F524C1">
        <w:rPr>
          <w:rFonts w:hint="cs"/>
          <w:u w:val="single"/>
          <w:rtl/>
        </w:rPr>
        <w:t>חיוב השבועה מדרבנן</w:t>
      </w:r>
      <w:r>
        <w:rPr>
          <w:rFonts w:hint="cs"/>
          <w:u w:val="single"/>
          <w:rtl/>
        </w:rPr>
        <w:t>,</w:t>
      </w:r>
      <w:r w:rsidRPr="00F524C1">
        <w:rPr>
          <w:rFonts w:hint="cs"/>
          <w:u w:val="single"/>
          <w:rtl/>
        </w:rPr>
        <w:t xml:space="preserve"> נקיטת חפץ</w:t>
      </w:r>
      <w:r>
        <w:rPr>
          <w:rFonts w:hint="cs"/>
          <w:u w:val="single"/>
          <w:rtl/>
        </w:rPr>
        <w:t>,</w:t>
      </w:r>
      <w:r w:rsidRPr="00F524C1">
        <w:rPr>
          <w:rFonts w:hint="cs"/>
          <w:u w:val="single"/>
          <w:rtl/>
        </w:rPr>
        <w:t xml:space="preserve"> תפסה ואינה רוצה להישבע</w:t>
      </w:r>
      <w:r>
        <w:rPr>
          <w:rFonts w:hint="cs"/>
          <w:u w:val="single"/>
          <w:rtl/>
        </w:rPr>
        <w:t>, ו</w:t>
      </w:r>
      <w:r w:rsidRPr="00F524C1">
        <w:rPr>
          <w:rFonts w:hint="cs"/>
          <w:u w:val="single"/>
          <w:rtl/>
        </w:rPr>
        <w:t>הפיכת השבועה:</w:t>
      </w:r>
    </w:p>
    <w:p w14:paraId="0A5AFF37" w14:textId="289A34C9" w:rsidR="00334D89" w:rsidRPr="00334D89" w:rsidRDefault="00AD7EF2" w:rsidP="009000E3">
      <w:pPr>
        <w:pStyle w:val="ab"/>
        <w:numPr>
          <w:ilvl w:val="0"/>
          <w:numId w:val="84"/>
        </w:numPr>
        <w:rPr>
          <w:rtl/>
        </w:rPr>
      </w:pPr>
      <w:r>
        <w:rPr>
          <w:rFonts w:cs="Arial"/>
          <w:rtl/>
        </w:rPr>
        <w:t>רי"ף</w:t>
      </w:r>
      <w:r>
        <w:rPr>
          <w:rFonts w:cs="Arial" w:hint="cs"/>
          <w:rtl/>
        </w:rPr>
        <w:t xml:space="preserve"> </w:t>
      </w:r>
      <w:r w:rsidRPr="008631A7">
        <w:rPr>
          <w:rFonts w:cs="Arial" w:hint="cs"/>
          <w:sz w:val="16"/>
          <w:szCs w:val="16"/>
          <w:rtl/>
        </w:rPr>
        <w:t>(מח.)</w:t>
      </w:r>
      <w:r w:rsidRPr="008631A7">
        <w:rPr>
          <w:rFonts w:cs="Arial"/>
          <w:sz w:val="16"/>
          <w:szCs w:val="16"/>
          <w:rtl/>
        </w:rPr>
        <w:t xml:space="preserve"> </w:t>
      </w:r>
      <w:r>
        <w:rPr>
          <w:rFonts w:cs="Arial"/>
          <w:rtl/>
        </w:rPr>
        <w:t xml:space="preserve">רא"ש </w:t>
      </w:r>
      <w:r w:rsidRPr="008631A7">
        <w:rPr>
          <w:rFonts w:cs="Arial" w:hint="cs"/>
          <w:sz w:val="16"/>
          <w:szCs w:val="16"/>
          <w:rtl/>
        </w:rPr>
        <w:t xml:space="preserve">(סי' כה) </w:t>
      </w:r>
      <w:r>
        <w:rPr>
          <w:rFonts w:cs="Arial" w:hint="cs"/>
          <w:rtl/>
        </w:rPr>
        <w:t>ו</w:t>
      </w:r>
      <w:r w:rsidR="00810407">
        <w:rPr>
          <w:rFonts w:cs="Arial" w:hint="cs"/>
          <w:rtl/>
        </w:rPr>
        <w:t xml:space="preserve">טור- </w:t>
      </w:r>
      <w:r w:rsidR="00810407" w:rsidRPr="007F14E0">
        <w:rPr>
          <w:rFonts w:cs="Arial"/>
          <w:rtl/>
        </w:rPr>
        <w:t>וכל הנך שבועות הן דרבנן</w:t>
      </w:r>
      <w:r w:rsidR="00B33389">
        <w:rPr>
          <w:rFonts w:cs="Arial" w:hint="cs"/>
          <w:rtl/>
        </w:rPr>
        <w:t>,</w:t>
      </w:r>
      <w:r w:rsidR="00810407" w:rsidRPr="007F14E0">
        <w:rPr>
          <w:rFonts w:cs="Arial"/>
          <w:rtl/>
        </w:rPr>
        <w:t xml:space="preserve"> אפ"ה צריכין נקיטת חפץ</w:t>
      </w:r>
      <w:r w:rsidR="00B33389">
        <w:rPr>
          <w:rFonts w:cs="Arial" w:hint="cs"/>
          <w:rtl/>
        </w:rPr>
        <w:t>.</w:t>
      </w:r>
      <w:r w:rsidR="00810407" w:rsidRPr="007F14E0">
        <w:rPr>
          <w:rFonts w:cs="Arial"/>
          <w:rtl/>
        </w:rPr>
        <w:t xml:space="preserve"> ולא נפקא מינה אלא דאי קדמה ותפשה ואומרת לא משתבענא ולא מהדרנא דדידי שקלי לא מפקינן מינה כיון דהוא דרבנן</w:t>
      </w:r>
      <w:r w:rsidR="008631A7">
        <w:rPr>
          <w:rStyle w:val="a7"/>
          <w:rFonts w:cs="Arial"/>
          <w:rtl/>
        </w:rPr>
        <w:footnoteReference w:id="1746"/>
      </w:r>
      <w:r w:rsidR="00B33389">
        <w:rPr>
          <w:rFonts w:cs="Arial" w:hint="cs"/>
          <w:rtl/>
        </w:rPr>
        <w:t>,</w:t>
      </w:r>
      <w:r w:rsidR="00810407" w:rsidRPr="007F14E0">
        <w:rPr>
          <w:rFonts w:cs="Arial"/>
          <w:rtl/>
        </w:rPr>
        <w:t xml:space="preserve"> אבל בדאורייתא מפקינן בכה</w:t>
      </w:r>
      <w:r w:rsidR="00765B27">
        <w:rPr>
          <w:rFonts w:cs="Arial" w:hint="cs"/>
          <w:rtl/>
        </w:rPr>
        <w:t>"</w:t>
      </w:r>
      <w:r w:rsidR="00810407" w:rsidRPr="007F14E0">
        <w:rPr>
          <w:rFonts w:cs="Arial"/>
          <w:rtl/>
        </w:rPr>
        <w:t>ג אי לא בעי לישבע</w:t>
      </w:r>
      <w:r w:rsidR="00B33389">
        <w:rPr>
          <w:rFonts w:cs="Arial" w:hint="cs"/>
          <w:rtl/>
        </w:rPr>
        <w:t>.</w:t>
      </w:r>
      <w:r w:rsidR="00810407" w:rsidRPr="007F14E0">
        <w:rPr>
          <w:rFonts w:cs="Arial"/>
          <w:rtl/>
        </w:rPr>
        <w:t xml:space="preserve"> אבל אפוכי לא אפכינן להו אע"ג דקי"ל דשבועה דרבנן מפכינן ה"מ כשהנתבע יש לו לישבע וליפטר יכול להפכו על התובע ולומר לו אין לך אצלי כלום או השבע וטול או תלך לך</w:t>
      </w:r>
      <w:r w:rsidR="00A21404">
        <w:rPr>
          <w:rFonts w:cs="Arial" w:hint="cs"/>
          <w:rtl/>
        </w:rPr>
        <w:t>,</w:t>
      </w:r>
      <w:r w:rsidR="00810407" w:rsidRPr="007F14E0">
        <w:rPr>
          <w:rFonts w:cs="Arial"/>
          <w:rtl/>
        </w:rPr>
        <w:t xml:space="preserve"> אבל כשהתובע יש לו לישבע וליטול אינו יכול להפכו על הנתבע ולומר השבע והפטר שיכול לומר לו איני רוצה לישבע אתה יש לך לישבע וליטול או השבע וטול או תלך לך</w:t>
      </w:r>
      <w:r>
        <w:rPr>
          <w:rFonts w:cs="Arial" w:hint="cs"/>
          <w:sz w:val="16"/>
          <w:szCs w:val="16"/>
          <w:rtl/>
        </w:rPr>
        <w:t xml:space="preserve"> (ל' הטור)</w:t>
      </w:r>
      <w:r w:rsidR="00810407">
        <w:rPr>
          <w:rFonts w:cs="Arial" w:hint="cs"/>
          <w:rtl/>
        </w:rPr>
        <w:t>.</w:t>
      </w:r>
      <w:r w:rsidR="008631A7" w:rsidRPr="008631A7">
        <w:rPr>
          <w:rFonts w:hint="cs"/>
          <w:color w:val="E36C0A" w:themeColor="accent6" w:themeShade="BF"/>
          <w:rtl/>
        </w:rPr>
        <w:t xml:space="preserve"> (וכ"פ בשו"ע)</w:t>
      </w:r>
      <w:r w:rsidR="008631A7">
        <w:rPr>
          <w:rFonts w:hint="cs"/>
          <w:rtl/>
        </w:rPr>
        <w:t xml:space="preserve"> </w:t>
      </w:r>
    </w:p>
    <w:p w14:paraId="09B54AFF"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4730326" w14:textId="0EE638E2" w:rsidR="00FA12DC" w:rsidRDefault="00392DBB" w:rsidP="008631A7">
      <w:pPr>
        <w:rPr>
          <w:rtl/>
        </w:rPr>
      </w:pPr>
      <w:r>
        <w:rPr>
          <w:rFonts w:cs="Arial"/>
          <w:rtl/>
        </w:rPr>
        <w:t>כל אלו השבועות אף על פי שהם דרבנן, הן בנקיטת חפץ. ואם קדמה ותפסה מעות</w:t>
      </w:r>
      <w:r w:rsidR="008631A7">
        <w:rPr>
          <w:rStyle w:val="a7"/>
          <w:rFonts w:cs="Arial"/>
          <w:rtl/>
        </w:rPr>
        <w:footnoteReference w:id="1747"/>
      </w:r>
      <w:r>
        <w:rPr>
          <w:rFonts w:cs="Arial"/>
          <w:rtl/>
        </w:rPr>
        <w:t xml:space="preserve"> ואינה רוצה לישבע, לא מפקינן מינה, ואפוכי לא מפכינן לה. </w:t>
      </w:r>
    </w:p>
    <w:p w14:paraId="2CAE2405" w14:textId="77777777" w:rsidR="008631A7" w:rsidRDefault="008631A7" w:rsidP="00392DBB">
      <w:pPr>
        <w:rPr>
          <w:rtl/>
        </w:rPr>
      </w:pPr>
    </w:p>
    <w:p w14:paraId="4BE31424" w14:textId="35B3086F" w:rsidR="00392DBB" w:rsidRDefault="00392DBB" w:rsidP="000F64D0">
      <w:pPr>
        <w:pStyle w:val="2"/>
        <w:rPr>
          <w:rtl/>
        </w:rPr>
      </w:pPr>
      <w:r>
        <w:rPr>
          <w:rtl/>
        </w:rPr>
        <w:t>סעיף יב</w:t>
      </w:r>
      <w:r w:rsidR="00FA12DC">
        <w:rPr>
          <w:rFonts w:hint="cs"/>
          <w:rtl/>
        </w:rPr>
        <w:t xml:space="preserve">: </w:t>
      </w:r>
      <w:r w:rsidR="00DA1296">
        <w:rPr>
          <w:rFonts w:hint="cs"/>
          <w:rtl/>
        </w:rPr>
        <w:t>חשודה על השבועה.</w:t>
      </w:r>
    </w:p>
    <w:p w14:paraId="305762BE" w14:textId="1696F2EA" w:rsidR="00CC4F20" w:rsidRPr="003D66DE" w:rsidRDefault="003D66DE" w:rsidP="00CC4F20">
      <w:pPr>
        <w:rPr>
          <w:u w:val="single"/>
          <w:rtl/>
        </w:rPr>
      </w:pPr>
      <w:r w:rsidRPr="003D66DE">
        <w:rPr>
          <w:rFonts w:hint="cs"/>
          <w:u w:val="single"/>
          <w:rtl/>
        </w:rPr>
        <w:t>חשודה על השבועה שרוצה ליטול כתובה:</w:t>
      </w:r>
    </w:p>
    <w:p w14:paraId="0B84D6B3" w14:textId="6CDC8348" w:rsidR="00810407" w:rsidRPr="00810407" w:rsidRDefault="00DA2B71" w:rsidP="009000E3">
      <w:pPr>
        <w:pStyle w:val="ab"/>
        <w:numPr>
          <w:ilvl w:val="0"/>
          <w:numId w:val="84"/>
        </w:numPr>
      </w:pPr>
      <w:r>
        <w:rPr>
          <w:rFonts w:cs="Arial" w:hint="cs"/>
          <w:rtl/>
        </w:rPr>
        <w:t>רי"ף</w:t>
      </w:r>
      <w:r w:rsidR="00CC4F20">
        <w:rPr>
          <w:rStyle w:val="a7"/>
          <w:rFonts w:cs="Arial"/>
          <w:rtl/>
        </w:rPr>
        <w:footnoteReference w:id="1748"/>
      </w:r>
      <w:r>
        <w:rPr>
          <w:rFonts w:cs="Arial" w:hint="cs"/>
          <w:rtl/>
        </w:rPr>
        <w:t xml:space="preserve"> </w:t>
      </w:r>
      <w:r>
        <w:rPr>
          <w:rFonts w:cs="Arial" w:hint="cs"/>
          <w:sz w:val="16"/>
          <w:szCs w:val="16"/>
          <w:rtl/>
        </w:rPr>
        <w:t>(שו"ת סי' פה)</w:t>
      </w:r>
      <w:r>
        <w:rPr>
          <w:rFonts w:cs="Arial" w:hint="cs"/>
          <w:rtl/>
        </w:rPr>
        <w:t xml:space="preserve"> רא"ש </w:t>
      </w:r>
      <w:r w:rsidR="00CC4F20">
        <w:rPr>
          <w:rFonts w:cs="Arial" w:hint="cs"/>
          <w:sz w:val="16"/>
          <w:szCs w:val="16"/>
          <w:rtl/>
        </w:rPr>
        <w:t>(סי' כה)</w:t>
      </w:r>
      <w:r w:rsidR="00CC4F20">
        <w:rPr>
          <w:rFonts w:cs="Arial" w:hint="cs"/>
          <w:rtl/>
        </w:rPr>
        <w:t xml:space="preserve"> </w:t>
      </w:r>
      <w:r w:rsidR="00810407">
        <w:rPr>
          <w:rFonts w:cs="Arial" w:hint="cs"/>
          <w:rtl/>
        </w:rPr>
        <w:t>טור</w:t>
      </w:r>
      <w:r w:rsidR="00CC4F20">
        <w:rPr>
          <w:rFonts w:cs="Arial" w:hint="cs"/>
          <w:rtl/>
        </w:rPr>
        <w:t xml:space="preserve"> ור"ן </w:t>
      </w:r>
      <w:r w:rsidR="00CC4F20">
        <w:rPr>
          <w:rFonts w:cs="Arial" w:hint="cs"/>
          <w:sz w:val="16"/>
          <w:szCs w:val="16"/>
          <w:rtl/>
        </w:rPr>
        <w:t>(מח:)</w:t>
      </w:r>
      <w:r w:rsidR="00810407">
        <w:rPr>
          <w:rFonts w:cs="Arial" w:hint="cs"/>
          <w:rtl/>
        </w:rPr>
        <w:t xml:space="preserve">- </w:t>
      </w:r>
      <w:r w:rsidR="00810407" w:rsidRPr="007F14E0">
        <w:rPr>
          <w:rFonts w:cs="Arial"/>
          <w:rtl/>
        </w:rPr>
        <w:t>ואם היא חשודה על השבועה שאינה יכולה לישבע</w:t>
      </w:r>
      <w:r w:rsidR="00F524C1">
        <w:rPr>
          <w:rFonts w:cs="Arial" w:hint="cs"/>
          <w:rtl/>
        </w:rPr>
        <w:t>,</w:t>
      </w:r>
      <w:r w:rsidR="00810407" w:rsidRPr="007F14E0">
        <w:rPr>
          <w:rFonts w:cs="Arial"/>
          <w:rtl/>
        </w:rPr>
        <w:t xml:space="preserve"> אם שכנגדה אינו חשוד </w:t>
      </w:r>
      <w:r w:rsidR="00F524C1">
        <w:rPr>
          <w:rFonts w:cs="Arial" w:hint="cs"/>
          <w:rtl/>
        </w:rPr>
        <w:t xml:space="preserve">- </w:t>
      </w:r>
      <w:r w:rsidR="00810407" w:rsidRPr="007F14E0">
        <w:rPr>
          <w:rFonts w:cs="Arial"/>
          <w:rtl/>
        </w:rPr>
        <w:t>ישבע ויפטר</w:t>
      </w:r>
      <w:r w:rsidR="00F524C1">
        <w:rPr>
          <w:rFonts w:cs="Arial" w:hint="cs"/>
          <w:rtl/>
        </w:rPr>
        <w:t>.</w:t>
      </w:r>
      <w:r w:rsidR="00810407" w:rsidRPr="007F14E0">
        <w:rPr>
          <w:rFonts w:cs="Arial"/>
          <w:rtl/>
        </w:rPr>
        <w:t xml:space="preserve"> ואם הוא חשוד אין כאן לא שבועה ולא תשלומין</w:t>
      </w:r>
      <w:r w:rsidR="00CC4F20">
        <w:rPr>
          <w:rFonts w:cs="Arial" w:hint="cs"/>
          <w:sz w:val="16"/>
          <w:szCs w:val="16"/>
          <w:rtl/>
        </w:rPr>
        <w:t xml:space="preserve"> (ל' הטור)</w:t>
      </w:r>
      <w:r w:rsidR="00810407">
        <w:rPr>
          <w:rFonts w:cs="Arial" w:hint="cs"/>
          <w:rtl/>
        </w:rPr>
        <w:t>.</w:t>
      </w:r>
      <w:r w:rsidR="003D66DE" w:rsidRPr="008631A7">
        <w:rPr>
          <w:rFonts w:hint="cs"/>
          <w:color w:val="E36C0A" w:themeColor="accent6" w:themeShade="BF"/>
          <w:rtl/>
        </w:rPr>
        <w:t xml:space="preserve"> (וכ"פ בשו"ע)</w:t>
      </w:r>
      <w:r w:rsidR="003D66DE">
        <w:rPr>
          <w:rFonts w:hint="cs"/>
          <w:rtl/>
        </w:rPr>
        <w:t xml:space="preserve"> </w:t>
      </w:r>
      <w:r w:rsidR="00810407" w:rsidRPr="007F14E0">
        <w:rPr>
          <w:rFonts w:cs="Arial"/>
          <w:rtl/>
        </w:rPr>
        <w:t xml:space="preserve"> </w:t>
      </w:r>
    </w:p>
    <w:p w14:paraId="2DDCC66F"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1887B33" w14:textId="14A066B8" w:rsidR="00392DBB" w:rsidRDefault="00392DBB" w:rsidP="00392DBB">
      <w:pPr>
        <w:rPr>
          <w:rtl/>
        </w:rPr>
      </w:pPr>
      <w:r>
        <w:rPr>
          <w:rFonts w:cs="Arial"/>
          <w:rtl/>
        </w:rPr>
        <w:t xml:space="preserve">כשהיא רוצה לישבע, אם היא חשודה על השבועה, שכנגדה ישבע ויפטר. ואם גם הוא חשוד, אין כאן לא שבועה ולא תשלומין. </w:t>
      </w:r>
    </w:p>
    <w:p w14:paraId="68916D6B" w14:textId="77777777" w:rsidR="00DA1296" w:rsidRDefault="00DA1296" w:rsidP="00392DBB">
      <w:pPr>
        <w:rPr>
          <w:rtl/>
        </w:rPr>
      </w:pPr>
    </w:p>
    <w:p w14:paraId="4BEB305D" w14:textId="7899EC12" w:rsidR="00392DBB" w:rsidRDefault="00392DBB" w:rsidP="000F64D0">
      <w:pPr>
        <w:pStyle w:val="2"/>
        <w:rPr>
          <w:rtl/>
        </w:rPr>
      </w:pPr>
      <w:r>
        <w:rPr>
          <w:rtl/>
        </w:rPr>
        <w:t>סעיף יג</w:t>
      </w:r>
      <w:r w:rsidR="00DA1296">
        <w:rPr>
          <w:rFonts w:hint="cs"/>
          <w:rtl/>
        </w:rPr>
        <w:t xml:space="preserve">: </w:t>
      </w:r>
      <w:r w:rsidR="00C92A51">
        <w:rPr>
          <w:rFonts w:hint="cs"/>
          <w:rtl/>
        </w:rPr>
        <w:t xml:space="preserve">כיצד מביאה לידי </w:t>
      </w:r>
      <w:r w:rsidR="00B05992">
        <w:rPr>
          <w:rFonts w:hint="cs"/>
          <w:rtl/>
        </w:rPr>
        <w:t>חיוב שבועה מדאורייתא.</w:t>
      </w:r>
    </w:p>
    <w:p w14:paraId="1A07B26D" w14:textId="0B1E513A" w:rsidR="006B2EA1" w:rsidRDefault="006B2EA1" w:rsidP="006B2EA1">
      <w:pPr>
        <w:rPr>
          <w:rFonts w:cs="Arial"/>
          <w:rtl/>
        </w:rPr>
      </w:pPr>
      <w:r w:rsidRPr="00495C75">
        <w:rPr>
          <w:rFonts w:cs="Arial" w:hint="cs"/>
          <w:b/>
          <w:bCs/>
          <w:rtl/>
        </w:rPr>
        <w:t xml:space="preserve">כתובות </w:t>
      </w:r>
      <w:r>
        <w:rPr>
          <w:rFonts w:cs="Arial" w:hint="cs"/>
          <w:b/>
          <w:bCs/>
          <w:sz w:val="16"/>
          <w:szCs w:val="16"/>
          <w:rtl/>
        </w:rPr>
        <w:t>(פ' הכותב)</w:t>
      </w:r>
      <w:r>
        <w:rPr>
          <w:rFonts w:cs="Arial" w:hint="cs"/>
          <w:b/>
          <w:bCs/>
          <w:rtl/>
        </w:rPr>
        <w:t xml:space="preserve"> </w:t>
      </w:r>
      <w:r w:rsidRPr="00495C75">
        <w:rPr>
          <w:rFonts w:cs="Arial" w:hint="cs"/>
          <w:b/>
          <w:bCs/>
          <w:rtl/>
        </w:rPr>
        <w:t>פז</w:t>
      </w:r>
      <w:r w:rsidR="00765B27">
        <w:rPr>
          <w:rStyle w:val="a7"/>
          <w:rFonts w:cs="Arial"/>
          <w:b/>
          <w:bCs/>
          <w:rtl/>
        </w:rPr>
        <w:footnoteReference w:id="1749"/>
      </w:r>
      <w:r w:rsidRPr="00495C75">
        <w:rPr>
          <w:rFonts w:cs="Arial" w:hint="cs"/>
          <w:b/>
          <w:bCs/>
          <w:rtl/>
        </w:rPr>
        <w:t xml:space="preserve"> ע"</w:t>
      </w:r>
      <w:r w:rsidR="002E20E6">
        <w:rPr>
          <w:rFonts w:cs="Arial" w:hint="cs"/>
          <w:b/>
          <w:bCs/>
          <w:rtl/>
        </w:rPr>
        <w:t>ב</w:t>
      </w:r>
      <w:r w:rsidRPr="00495C75">
        <w:rPr>
          <w:rFonts w:cs="Arial" w:hint="cs"/>
          <w:b/>
          <w:bCs/>
          <w:rtl/>
        </w:rPr>
        <w:t xml:space="preserve">: </w:t>
      </w:r>
      <w:r w:rsidRPr="009677C2">
        <w:rPr>
          <w:rFonts w:cs="Arial"/>
          <w:u w:val="single"/>
          <w:rtl/>
        </w:rPr>
        <w:t>אמר רב פפא</w:t>
      </w:r>
      <w:r w:rsidRPr="009677C2">
        <w:rPr>
          <w:rFonts w:cs="Arial"/>
          <w:rtl/>
        </w:rPr>
        <w:t>:</w:t>
      </w:r>
      <w:r>
        <w:rPr>
          <w:rFonts w:cs="Arial" w:hint="cs"/>
          <w:sz w:val="14"/>
          <w:szCs w:val="14"/>
          <w:rtl/>
        </w:rPr>
        <w:t xml:space="preserve"> (פח.) </w:t>
      </w:r>
      <w:r w:rsidRPr="009677C2">
        <w:rPr>
          <w:rFonts w:cs="Arial"/>
          <w:rtl/>
        </w:rPr>
        <w:t>אי פיקח הוא, מייתי לה לידי שבועה דאורייתא</w:t>
      </w:r>
      <w:r w:rsidR="00C70E21">
        <w:rPr>
          <w:rFonts w:cs="Arial" w:hint="cs"/>
          <w:rtl/>
        </w:rPr>
        <w:t xml:space="preserve">... </w:t>
      </w:r>
      <w:r w:rsidR="006E37FE" w:rsidRPr="006E37FE">
        <w:rPr>
          <w:rFonts w:cs="Arial"/>
          <w:rtl/>
        </w:rPr>
        <w:t xml:space="preserve">יהיב לה כתובתה באפי סהדא קמא וסהדא בתרא, ומוקים לה להנך קמאי בהלואה. </w:t>
      </w:r>
      <w:r w:rsidR="006E37FE" w:rsidRPr="006E37FE">
        <w:rPr>
          <w:rFonts w:cs="Arial"/>
          <w:u w:val="single"/>
          <w:rtl/>
        </w:rPr>
        <w:t>מתקיף לה רב אשי</w:t>
      </w:r>
      <w:r w:rsidR="006E37FE" w:rsidRPr="006E37FE">
        <w:rPr>
          <w:rFonts w:cs="Arial"/>
          <w:rtl/>
        </w:rPr>
        <w:t xml:space="preserve">: אכתי יכולה למימר ב' כתובות הואי! </w:t>
      </w:r>
      <w:r w:rsidR="006E37FE" w:rsidRPr="006E37FE">
        <w:rPr>
          <w:rFonts w:cs="Arial"/>
          <w:u w:val="single"/>
          <w:rtl/>
        </w:rPr>
        <w:t>אלא אמר רב אשי</w:t>
      </w:r>
      <w:r w:rsidR="006E37FE" w:rsidRPr="006E37FE">
        <w:rPr>
          <w:rFonts w:cs="Arial"/>
          <w:rtl/>
        </w:rPr>
        <w:t>: הוא דמודע להו.</w:t>
      </w:r>
    </w:p>
    <w:p w14:paraId="5E7B250E" w14:textId="5CE71D1F" w:rsidR="00C92A51" w:rsidRPr="00C92A51" w:rsidRDefault="00C92A51" w:rsidP="006B2EA1">
      <w:pPr>
        <w:rPr>
          <w:rFonts w:cs="Arial"/>
          <w:u w:val="single"/>
          <w:rtl/>
        </w:rPr>
      </w:pPr>
      <w:r w:rsidRPr="00C92A51">
        <w:rPr>
          <w:rFonts w:hint="cs"/>
          <w:u w:val="single"/>
          <w:rtl/>
        </w:rPr>
        <w:lastRenderedPageBreak/>
        <w:t>כיצד מביאה לידי חיוב שבועה מדאורייתא</w:t>
      </w:r>
      <w:r w:rsidRPr="00C92A51">
        <w:rPr>
          <w:rFonts w:cs="Arial" w:hint="cs"/>
          <w:u w:val="single"/>
          <w:rtl/>
        </w:rPr>
        <w:t>:</w:t>
      </w:r>
    </w:p>
    <w:p w14:paraId="4E10C6A7" w14:textId="28DAA705" w:rsidR="00810407" w:rsidRPr="00946029" w:rsidRDefault="00810407" w:rsidP="009000E3">
      <w:pPr>
        <w:pStyle w:val="ab"/>
        <w:numPr>
          <w:ilvl w:val="0"/>
          <w:numId w:val="84"/>
        </w:numPr>
      </w:pPr>
      <w:r>
        <w:rPr>
          <w:rFonts w:cs="Arial" w:hint="cs"/>
          <w:rtl/>
        </w:rPr>
        <w:t xml:space="preserve">טור- </w:t>
      </w:r>
      <w:r w:rsidRPr="007F14E0">
        <w:rPr>
          <w:rFonts w:cs="Arial"/>
          <w:rtl/>
        </w:rPr>
        <w:t>בעד אחד מעידה שהיא פרועה יכול להביאה לידי שבועה דאורייתא</w:t>
      </w:r>
      <w:r w:rsidR="002C7EB5">
        <w:rPr>
          <w:rFonts w:cs="Arial" w:hint="cs"/>
          <w:rtl/>
        </w:rPr>
        <w:t>.</w:t>
      </w:r>
      <w:r w:rsidRPr="007F14E0">
        <w:rPr>
          <w:rFonts w:cs="Arial"/>
          <w:rtl/>
        </w:rPr>
        <w:t xml:space="preserve"> כיצד</w:t>
      </w:r>
      <w:r w:rsidR="002C7EB5">
        <w:rPr>
          <w:rFonts w:cs="Arial" w:hint="cs"/>
          <w:rtl/>
        </w:rPr>
        <w:t>,</w:t>
      </w:r>
      <w:r w:rsidRPr="007F14E0">
        <w:rPr>
          <w:rFonts w:cs="Arial"/>
          <w:rtl/>
        </w:rPr>
        <w:t xml:space="preserve"> יפרע לה כתובתה פעם שני בפני העד הראשון ועד אחר עמו</w:t>
      </w:r>
      <w:r w:rsidR="002C7EB5">
        <w:rPr>
          <w:rFonts w:cs="Arial" w:hint="cs"/>
          <w:rtl/>
        </w:rPr>
        <w:t>,</w:t>
      </w:r>
      <w:r w:rsidRPr="007F14E0">
        <w:rPr>
          <w:rFonts w:cs="Arial"/>
          <w:rtl/>
        </w:rPr>
        <w:t xml:space="preserve"> הרי כאן שני עדים על פרעון השני</w:t>
      </w:r>
      <w:r w:rsidR="002C7EB5">
        <w:rPr>
          <w:rFonts w:cs="Arial" w:hint="cs"/>
          <w:rtl/>
        </w:rPr>
        <w:t>,</w:t>
      </w:r>
      <w:r w:rsidRPr="007F14E0">
        <w:rPr>
          <w:rFonts w:cs="Arial"/>
          <w:rtl/>
        </w:rPr>
        <w:t xml:space="preserve"> ויתבענה מה שנתן לה תחילה ויאמר בהלואה נתתיו לך שהרי נתקבלה כתובתך פעם שנית</w:t>
      </w:r>
      <w:r w:rsidR="0046652D">
        <w:rPr>
          <w:rFonts w:cs="Arial" w:hint="cs"/>
          <w:rtl/>
        </w:rPr>
        <w:t>,</w:t>
      </w:r>
      <w:r w:rsidRPr="007F14E0">
        <w:rPr>
          <w:rFonts w:cs="Arial"/>
          <w:rtl/>
        </w:rPr>
        <w:t xml:space="preserve"> והיא כשתכפור ותאמר לא קבלתי אלא פעם אחת הרי עד מכחישה וצריכה לישבע שבועה דאורייתא</w:t>
      </w:r>
      <w:r w:rsidR="00C92A51">
        <w:rPr>
          <w:rFonts w:cs="Arial" w:hint="cs"/>
          <w:rtl/>
        </w:rPr>
        <w:t>.</w:t>
      </w:r>
      <w:r w:rsidRPr="007F14E0">
        <w:rPr>
          <w:rFonts w:cs="Arial"/>
          <w:rtl/>
        </w:rPr>
        <w:t xml:space="preserve"> וצריך שיאמר לעד הראשון שמכוין לכך</w:t>
      </w:r>
      <w:r w:rsidR="00C92A51">
        <w:rPr>
          <w:rFonts w:cs="Arial" w:hint="cs"/>
          <w:rtl/>
        </w:rPr>
        <w:t>,</w:t>
      </w:r>
      <w:r w:rsidRPr="007F14E0">
        <w:rPr>
          <w:rFonts w:cs="Arial"/>
          <w:rtl/>
        </w:rPr>
        <w:t xml:space="preserve"> שאל</w:t>
      </w:r>
      <w:r w:rsidR="002E20E6">
        <w:rPr>
          <w:rFonts w:cs="Arial" w:hint="cs"/>
          <w:rtl/>
        </w:rPr>
        <w:t>"</w:t>
      </w:r>
      <w:r w:rsidRPr="007F14E0">
        <w:rPr>
          <w:rFonts w:cs="Arial"/>
          <w:rtl/>
        </w:rPr>
        <w:t>כ תאמר באמת שקבלתי שתיהן אבל היו עליך ב' כתובות והרי העד הראשון מסייעה</w:t>
      </w:r>
      <w:r w:rsidR="00C92A51">
        <w:rPr>
          <w:rFonts w:cs="Arial" w:hint="cs"/>
          <w:rtl/>
        </w:rPr>
        <w:t>.</w:t>
      </w:r>
      <w:r w:rsidRPr="007F14E0">
        <w:rPr>
          <w:rFonts w:cs="Arial"/>
          <w:rtl/>
        </w:rPr>
        <w:t xml:space="preserve"> אבל כשמודיע לעד תחילה שאין כוונתו אלא להביאה לידי שבועה דאורייתא אז אין הראשון מסייעה</w:t>
      </w:r>
      <w:r w:rsidR="00C92A51">
        <w:rPr>
          <w:rFonts w:cs="Arial" w:hint="cs"/>
          <w:rtl/>
        </w:rPr>
        <w:t>,</w:t>
      </w:r>
      <w:r w:rsidRPr="007F14E0">
        <w:rPr>
          <w:rFonts w:cs="Arial"/>
          <w:rtl/>
        </w:rPr>
        <w:t xml:space="preserve"> וכיון שאין מסייעה אינה יכולה לומר ב' כתובות היו לי דמילתא דלא שכיחא היא</w:t>
      </w:r>
      <w:r>
        <w:rPr>
          <w:rFonts w:cs="Arial" w:hint="cs"/>
          <w:rtl/>
        </w:rPr>
        <w:t>.</w:t>
      </w:r>
      <w:r w:rsidRPr="007F14E0">
        <w:rPr>
          <w:rFonts w:cs="Arial"/>
          <w:rtl/>
        </w:rPr>
        <w:t xml:space="preserve"> </w:t>
      </w:r>
      <w:r w:rsidR="00CD736C" w:rsidRPr="008631A7">
        <w:rPr>
          <w:rFonts w:hint="cs"/>
          <w:color w:val="E36C0A" w:themeColor="accent6" w:themeShade="BF"/>
          <w:rtl/>
        </w:rPr>
        <w:t>(וכ"פ בשו"ע)</w:t>
      </w:r>
      <w:r w:rsidR="00CD736C">
        <w:rPr>
          <w:rFonts w:hint="cs"/>
          <w:rtl/>
        </w:rPr>
        <w:t xml:space="preserve"> </w:t>
      </w:r>
      <w:r w:rsidR="00CD736C" w:rsidRPr="007F14E0">
        <w:rPr>
          <w:rFonts w:cs="Arial"/>
          <w:rtl/>
        </w:rPr>
        <w:t xml:space="preserve"> </w:t>
      </w:r>
    </w:p>
    <w:p w14:paraId="0B0AD4BC"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8AB3BA6" w14:textId="1356E522" w:rsidR="00392DBB" w:rsidRDefault="00392DBB" w:rsidP="00392DBB">
      <w:pPr>
        <w:rPr>
          <w:rFonts w:cs="Arial"/>
          <w:rtl/>
        </w:rPr>
      </w:pPr>
      <w:r>
        <w:rPr>
          <w:rFonts w:cs="Arial"/>
          <w:rtl/>
        </w:rPr>
        <w:t xml:space="preserve">כשעד אחד מעידה שהיא פרועה, יכול להביאה לידי שבועה דאורייתא. כיצד, יפרע לה כתובתה שנית בפני העד הראשון ועד אחר עמו, ויתבענה מה שנתן לה תחלה, ויאמר: בהלואה נתתיו לך; והוא שידוע לעד הראשון שמכוין לכך. </w:t>
      </w:r>
    </w:p>
    <w:p w14:paraId="07A0F843" w14:textId="77777777" w:rsidR="00DA1296" w:rsidRDefault="00DA1296" w:rsidP="00392DBB">
      <w:pPr>
        <w:rPr>
          <w:rtl/>
        </w:rPr>
      </w:pPr>
    </w:p>
    <w:p w14:paraId="7C1C1D4D" w14:textId="643C66D4" w:rsidR="00392DBB" w:rsidRDefault="00392DBB" w:rsidP="000F64D0">
      <w:pPr>
        <w:pStyle w:val="2"/>
        <w:rPr>
          <w:rtl/>
        </w:rPr>
      </w:pPr>
      <w:r>
        <w:rPr>
          <w:rtl/>
        </w:rPr>
        <w:t>סעיף יד</w:t>
      </w:r>
      <w:r w:rsidR="00B05992">
        <w:rPr>
          <w:rFonts w:hint="cs"/>
          <w:rtl/>
        </w:rPr>
        <w:t>: הפוחתת כתובתה.</w:t>
      </w:r>
    </w:p>
    <w:p w14:paraId="13F90B98" w14:textId="77777777" w:rsidR="00CD736C" w:rsidRDefault="00CD736C" w:rsidP="00CD736C">
      <w:pPr>
        <w:rPr>
          <w:rtl/>
        </w:rPr>
      </w:pPr>
      <w:r w:rsidRPr="00495C75">
        <w:rPr>
          <w:rFonts w:cs="Arial" w:hint="cs"/>
          <w:b/>
          <w:bCs/>
          <w:rtl/>
        </w:rPr>
        <w:t xml:space="preserve">כתובות </w:t>
      </w:r>
      <w:r>
        <w:rPr>
          <w:rFonts w:cs="Arial" w:hint="cs"/>
          <w:b/>
          <w:bCs/>
          <w:sz w:val="16"/>
          <w:szCs w:val="16"/>
          <w:rtl/>
        </w:rPr>
        <w:t>(פ' הכותב)</w:t>
      </w:r>
      <w:r>
        <w:rPr>
          <w:rFonts w:cs="Arial" w:hint="cs"/>
          <w:b/>
          <w:bCs/>
          <w:rtl/>
        </w:rPr>
        <w:t xml:space="preserve"> </w:t>
      </w:r>
      <w:r w:rsidRPr="00495C75">
        <w:rPr>
          <w:rFonts w:cs="Arial" w:hint="cs"/>
          <w:b/>
          <w:bCs/>
          <w:rtl/>
        </w:rPr>
        <w:t>פז ע"</w:t>
      </w:r>
      <w:r>
        <w:rPr>
          <w:rFonts w:cs="Arial" w:hint="cs"/>
          <w:b/>
          <w:bCs/>
          <w:rtl/>
        </w:rPr>
        <w:t>ב</w:t>
      </w:r>
      <w:r w:rsidRPr="00495C75">
        <w:rPr>
          <w:rFonts w:cs="Arial" w:hint="cs"/>
          <w:b/>
          <w:bCs/>
          <w:rtl/>
        </w:rPr>
        <w:t xml:space="preserve">: </w:t>
      </w:r>
      <w:r w:rsidRPr="00C073E1">
        <w:rPr>
          <w:rFonts w:cs="Arial"/>
          <w:rtl/>
        </w:rPr>
        <w:t xml:space="preserve">איבעיא להו: פוחתת כתובתה, מהו? מי אמרינן היינו פוגמת, או דלמא פוגמת מודיא במקצת, הא לא קא מודיא במקצת? ת"ש: פוחתת תפרע שלא בשבועה, כיצד? היתה כתובתה אלף זוז, ואמר לה התקבלת כתובתיך והיא אומרת לא התקבלתי ואינה אלא מנה - נפרעת שלא בשבועה. במאי גביא? בהאי שטרא, האי שטרא חספא בעלמא הוא! </w:t>
      </w:r>
      <w:r w:rsidRPr="00C073E1">
        <w:rPr>
          <w:rFonts w:cs="Arial"/>
          <w:u w:val="single"/>
          <w:rtl/>
        </w:rPr>
        <w:t>אמר רבא בריה דרבה</w:t>
      </w:r>
      <w:r w:rsidRPr="00C073E1">
        <w:rPr>
          <w:rFonts w:cs="Arial"/>
          <w:rtl/>
        </w:rPr>
        <w:t xml:space="preserve">: באומרת אמנה היתה לי ביני לבינו. </w:t>
      </w:r>
    </w:p>
    <w:p w14:paraId="7C41C9D9" w14:textId="619ADE88" w:rsidR="00C70E21" w:rsidRPr="003302F6" w:rsidRDefault="003302F6" w:rsidP="00C70E21">
      <w:pPr>
        <w:rPr>
          <w:u w:val="single"/>
          <w:rtl/>
        </w:rPr>
      </w:pPr>
      <w:r w:rsidRPr="003302F6">
        <w:rPr>
          <w:rFonts w:hint="cs"/>
          <w:u w:val="single"/>
          <w:rtl/>
        </w:rPr>
        <w:t>הפוחתת כתובתה:</w:t>
      </w:r>
    </w:p>
    <w:p w14:paraId="409C539B" w14:textId="592B5097" w:rsidR="00810407" w:rsidRPr="00946029" w:rsidRDefault="00810407" w:rsidP="009000E3">
      <w:pPr>
        <w:pStyle w:val="ab"/>
        <w:numPr>
          <w:ilvl w:val="0"/>
          <w:numId w:val="84"/>
        </w:numPr>
      </w:pPr>
      <w:r>
        <w:rPr>
          <w:rFonts w:cs="Arial" w:hint="cs"/>
          <w:rtl/>
        </w:rPr>
        <w:t xml:space="preserve">טור- </w:t>
      </w:r>
      <w:r w:rsidRPr="007F14E0">
        <w:rPr>
          <w:rFonts w:cs="Arial"/>
          <w:rtl/>
        </w:rPr>
        <w:t>הפוחתת כתובתה אינה צריכה שבועה</w:t>
      </w:r>
      <w:r w:rsidR="00C073E1">
        <w:rPr>
          <w:rFonts w:cs="Arial" w:hint="cs"/>
          <w:rtl/>
        </w:rPr>
        <w:t>.</w:t>
      </w:r>
      <w:r w:rsidRPr="007F14E0">
        <w:rPr>
          <w:rFonts w:cs="Arial"/>
          <w:rtl/>
        </w:rPr>
        <w:t xml:space="preserve"> ה</w:t>
      </w:r>
      <w:r w:rsidR="00C073E1">
        <w:rPr>
          <w:rFonts w:cs="Arial" w:hint="cs"/>
          <w:rtl/>
        </w:rPr>
        <w:t>יכי דמי</w:t>
      </w:r>
      <w:r w:rsidRPr="007F14E0">
        <w:rPr>
          <w:rFonts w:cs="Arial"/>
          <w:rtl/>
        </w:rPr>
        <w:t xml:space="preserve"> פוחתת</w:t>
      </w:r>
      <w:r w:rsidR="00C073E1">
        <w:rPr>
          <w:rFonts w:cs="Arial" w:hint="cs"/>
          <w:rtl/>
        </w:rPr>
        <w:t>,</w:t>
      </w:r>
      <w:r w:rsidRPr="007F14E0">
        <w:rPr>
          <w:rFonts w:cs="Arial"/>
          <w:rtl/>
        </w:rPr>
        <w:t xml:space="preserve"> כגון שהוציאה כתובתה מאלף זוז</w:t>
      </w:r>
      <w:r w:rsidR="00CB42E3">
        <w:rPr>
          <w:rFonts w:cs="Arial" w:hint="cs"/>
          <w:rtl/>
        </w:rPr>
        <w:t>,</w:t>
      </w:r>
      <w:r w:rsidRPr="007F14E0">
        <w:rPr>
          <w:rFonts w:cs="Arial"/>
          <w:rtl/>
        </w:rPr>
        <w:t xml:space="preserve"> והוא אומר נפרעת</w:t>
      </w:r>
      <w:r w:rsidR="00CB42E3">
        <w:rPr>
          <w:rFonts w:cs="Arial" w:hint="cs"/>
          <w:rtl/>
        </w:rPr>
        <w:t>,</w:t>
      </w:r>
      <w:r w:rsidRPr="007F14E0">
        <w:rPr>
          <w:rFonts w:cs="Arial"/>
          <w:rtl/>
        </w:rPr>
        <w:t xml:space="preserve"> והיא אומרת לא נפרעתי כלום אבל אין לי עליך אלא ה' מאות זוז כי אמנה</w:t>
      </w:r>
      <w:r w:rsidR="00CD736C">
        <w:rPr>
          <w:rStyle w:val="a7"/>
          <w:rFonts w:cs="Arial"/>
          <w:rtl/>
        </w:rPr>
        <w:footnoteReference w:id="1750"/>
      </w:r>
      <w:r w:rsidRPr="007F14E0">
        <w:rPr>
          <w:rFonts w:cs="Arial"/>
          <w:rtl/>
        </w:rPr>
        <w:t xml:space="preserve"> היתה ביני לבינך שנתחייבת לי בקנין אלף זוז והאמנת בי שלא אתבע ממך אלא ה' מאות </w:t>
      </w:r>
      <w:r w:rsidR="00CB42E3">
        <w:rPr>
          <w:rFonts w:cs="Arial" w:hint="cs"/>
          <w:rtl/>
        </w:rPr>
        <w:t xml:space="preserve">- </w:t>
      </w:r>
      <w:r w:rsidRPr="007F14E0">
        <w:rPr>
          <w:rFonts w:cs="Arial"/>
          <w:rtl/>
        </w:rPr>
        <w:t>נוטלת בלא שבועה</w:t>
      </w:r>
      <w:r w:rsidR="00CB42E3">
        <w:rPr>
          <w:rFonts w:cs="Arial" w:hint="cs"/>
          <w:rtl/>
        </w:rPr>
        <w:t>.</w:t>
      </w:r>
      <w:r w:rsidRPr="007F14E0">
        <w:rPr>
          <w:rFonts w:cs="Arial"/>
          <w:rtl/>
        </w:rPr>
        <w:t xml:space="preserve"> אבל אם אינה אומרת אמנה היתה ביני לבינך</w:t>
      </w:r>
      <w:r w:rsidR="00CB42E3">
        <w:rPr>
          <w:rFonts w:cs="Arial" w:hint="cs"/>
          <w:rtl/>
        </w:rPr>
        <w:t xml:space="preserve"> -</w:t>
      </w:r>
      <w:r w:rsidRPr="007F14E0">
        <w:rPr>
          <w:rFonts w:cs="Arial"/>
          <w:rtl/>
        </w:rPr>
        <w:t xml:space="preserve"> אפי' ה' מאות אינה נוטלת</w:t>
      </w:r>
      <w:r w:rsidR="00CB42E3">
        <w:rPr>
          <w:rFonts w:cs="Arial" w:hint="cs"/>
          <w:rtl/>
        </w:rPr>
        <w:t>,</w:t>
      </w:r>
      <w:r w:rsidRPr="007F14E0">
        <w:rPr>
          <w:rFonts w:cs="Arial"/>
          <w:rtl/>
        </w:rPr>
        <w:t xml:space="preserve"> דהאי שטרא חספא בעלמא הוא</w:t>
      </w:r>
      <w:r>
        <w:rPr>
          <w:rFonts w:cs="Arial" w:hint="cs"/>
          <w:rtl/>
        </w:rPr>
        <w:t>.</w:t>
      </w:r>
      <w:r w:rsidRPr="007F14E0">
        <w:rPr>
          <w:rFonts w:cs="Arial"/>
          <w:rtl/>
        </w:rPr>
        <w:t xml:space="preserve"> </w:t>
      </w:r>
      <w:r w:rsidR="00CD736C" w:rsidRPr="008631A7">
        <w:rPr>
          <w:rFonts w:hint="cs"/>
          <w:color w:val="E36C0A" w:themeColor="accent6" w:themeShade="BF"/>
          <w:rtl/>
        </w:rPr>
        <w:t>(וכ"פ בשו"ע)</w:t>
      </w:r>
      <w:r w:rsidR="00CD736C">
        <w:rPr>
          <w:rFonts w:hint="cs"/>
          <w:rtl/>
        </w:rPr>
        <w:t xml:space="preserve"> </w:t>
      </w:r>
      <w:r w:rsidR="00CD736C" w:rsidRPr="007F14E0">
        <w:rPr>
          <w:rFonts w:cs="Arial"/>
          <w:rtl/>
        </w:rPr>
        <w:t xml:space="preserve"> </w:t>
      </w:r>
    </w:p>
    <w:p w14:paraId="398FD756"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D9D168C" w14:textId="328C2E3F" w:rsidR="00392DBB" w:rsidRDefault="00392DBB" w:rsidP="00392DBB">
      <w:pPr>
        <w:rPr>
          <w:rtl/>
        </w:rPr>
      </w:pPr>
      <w:r>
        <w:rPr>
          <w:rFonts w:cs="Arial"/>
          <w:rtl/>
        </w:rPr>
        <w:t xml:space="preserve">הוציאה שטר כתובתה באלף זוז, והוא אומר: נפרעת הכל, והיא אומרת: לא נפרעתי כלום אבל אין לי עליך אלא </w:t>
      </w:r>
      <w:r w:rsidR="003302F6">
        <w:rPr>
          <w:rFonts w:cs="Arial" w:hint="cs"/>
          <w:rtl/>
        </w:rPr>
        <w:t>חמש מאות</w:t>
      </w:r>
      <w:r>
        <w:rPr>
          <w:rFonts w:cs="Arial"/>
          <w:rtl/>
        </w:rPr>
        <w:t xml:space="preserve"> כי אמנה היתה ביני לבינך, נוטלת בלא שבועה. אבל אם אומרת: אין בשטר כתובתי אלא </w:t>
      </w:r>
      <w:r w:rsidR="003302F6">
        <w:rPr>
          <w:rFonts w:cs="Arial" w:hint="cs"/>
          <w:rtl/>
        </w:rPr>
        <w:t>חמש מאות</w:t>
      </w:r>
      <w:r>
        <w:rPr>
          <w:rFonts w:cs="Arial"/>
          <w:rtl/>
        </w:rPr>
        <w:t xml:space="preserve">, אינה נפרעת בשטר זה שיש בו אלף, כלום. </w:t>
      </w:r>
      <w:r w:rsidR="00CD736C">
        <w:rPr>
          <w:rFonts w:cs="Arial" w:hint="cs"/>
          <w:sz w:val="18"/>
          <w:szCs w:val="18"/>
          <w:rtl/>
        </w:rPr>
        <w:t xml:space="preserve">[הגה] </w:t>
      </w:r>
      <w:r w:rsidRPr="00B05992">
        <w:rPr>
          <w:rFonts w:cs="Arial"/>
          <w:sz w:val="18"/>
          <w:szCs w:val="18"/>
          <w:rtl/>
        </w:rPr>
        <w:t xml:space="preserve">והבעל ישבע שבועת היסת ויפטר </w:t>
      </w:r>
      <w:r w:rsidR="00CD736C">
        <w:rPr>
          <w:rFonts w:cs="Arial" w:hint="cs"/>
          <w:sz w:val="18"/>
          <w:szCs w:val="18"/>
          <w:rtl/>
        </w:rPr>
        <w:t>(</w:t>
      </w:r>
      <w:r w:rsidRPr="00B05992">
        <w:rPr>
          <w:rFonts w:cs="Arial"/>
          <w:sz w:val="18"/>
          <w:szCs w:val="18"/>
          <w:rtl/>
        </w:rPr>
        <w:t xml:space="preserve">רמב"ם). </w:t>
      </w:r>
    </w:p>
    <w:p w14:paraId="66111CC7" w14:textId="77777777" w:rsidR="00B05992" w:rsidRDefault="00B05992" w:rsidP="00392DBB">
      <w:pPr>
        <w:rPr>
          <w:rtl/>
        </w:rPr>
      </w:pPr>
    </w:p>
    <w:p w14:paraId="6E76D133" w14:textId="0D57E7D8" w:rsidR="00392DBB" w:rsidRDefault="00392DBB" w:rsidP="000F64D0">
      <w:pPr>
        <w:pStyle w:val="2"/>
        <w:rPr>
          <w:rtl/>
        </w:rPr>
      </w:pPr>
      <w:r>
        <w:rPr>
          <w:rtl/>
        </w:rPr>
        <w:t>סעיף טו</w:t>
      </w:r>
      <w:r w:rsidR="00B05992">
        <w:rPr>
          <w:rFonts w:hint="cs"/>
          <w:rtl/>
        </w:rPr>
        <w:t xml:space="preserve">: </w:t>
      </w:r>
      <w:r w:rsidR="00A36792">
        <w:rPr>
          <w:rFonts w:hint="cs"/>
          <w:rtl/>
        </w:rPr>
        <w:t xml:space="preserve">היא </w:t>
      </w:r>
      <w:r w:rsidR="00027095">
        <w:rPr>
          <w:rFonts w:hint="cs"/>
          <w:rtl/>
        </w:rPr>
        <w:t>אומרת מאתים, והוא אומר מנה.</w:t>
      </w:r>
    </w:p>
    <w:p w14:paraId="5F7DCC77" w14:textId="77777777" w:rsidR="007239EB" w:rsidRDefault="007239EB" w:rsidP="007239EB">
      <w:pPr>
        <w:rPr>
          <w:rFonts w:cs="Arial"/>
          <w:rtl/>
        </w:rPr>
      </w:pPr>
      <w:r w:rsidRPr="00D24C83">
        <w:rPr>
          <w:rFonts w:cs="Arial" w:hint="cs"/>
          <w:b/>
          <w:bCs/>
          <w:rtl/>
        </w:rPr>
        <w:t xml:space="preserve">כתובות </w:t>
      </w:r>
      <w:r w:rsidRPr="00D24C83">
        <w:rPr>
          <w:rFonts w:cs="Arial" w:hint="cs"/>
          <w:b/>
          <w:bCs/>
          <w:sz w:val="16"/>
          <w:szCs w:val="16"/>
          <w:rtl/>
        </w:rPr>
        <w:t>(רפ"ב)</w:t>
      </w:r>
      <w:r w:rsidRPr="00D24C83">
        <w:rPr>
          <w:rFonts w:cs="Arial" w:hint="cs"/>
          <w:b/>
          <w:bCs/>
          <w:rtl/>
        </w:rPr>
        <w:t xml:space="preserve"> טו ע"ב: </w:t>
      </w:r>
      <w:r w:rsidRPr="00A96F27">
        <w:rPr>
          <w:rFonts w:cs="Arial"/>
          <w:u w:val="double"/>
          <w:rtl/>
        </w:rPr>
        <w:t>מתני'</w:t>
      </w:r>
      <w:r>
        <w:rPr>
          <w:rFonts w:cs="Arial" w:hint="cs"/>
          <w:rtl/>
        </w:rPr>
        <w:t xml:space="preserve">: </w:t>
      </w:r>
      <w:r w:rsidRPr="00D24C83">
        <w:rPr>
          <w:rFonts w:cs="Arial"/>
          <w:rtl/>
        </w:rPr>
        <w:t>האשה שנתארמלה או שנתגרשה, היא אומרת בתולה נשאתני, והוא אומר לא כי, אלא אלמנה נשאתיך, אם יש עדים שיצאת בהינומא וראשה פרוע - כתובתה מאתים</w:t>
      </w:r>
      <w:r>
        <w:rPr>
          <w:rFonts w:cs="Arial" w:hint="cs"/>
          <w:rtl/>
        </w:rPr>
        <w:t>.</w:t>
      </w:r>
      <w:r w:rsidRPr="00D24C83">
        <w:rPr>
          <w:rFonts w:cs="Arial"/>
          <w:rtl/>
        </w:rPr>
        <w:t xml:space="preserve"> </w:t>
      </w:r>
      <w:r w:rsidRPr="00D24C83">
        <w:rPr>
          <w:rFonts w:cs="Arial"/>
          <w:u w:val="single"/>
          <w:rtl/>
        </w:rPr>
        <w:t>רבי יוחנן בן ברוקה אומר</w:t>
      </w:r>
      <w:r w:rsidRPr="00D24C83">
        <w:rPr>
          <w:rFonts w:cs="Arial"/>
          <w:rtl/>
        </w:rPr>
        <w:t>: אף חילוק קליות ראיה.</w:t>
      </w:r>
      <w:r>
        <w:rPr>
          <w:rFonts w:cs="Arial" w:hint="cs"/>
          <w:rtl/>
        </w:rPr>
        <w:t>..</w:t>
      </w:r>
      <w:r w:rsidRPr="00D24C83">
        <w:rPr>
          <w:rFonts w:cs="Arial"/>
          <w:rtl/>
        </w:rPr>
        <w:t xml:space="preserve"> </w:t>
      </w:r>
    </w:p>
    <w:p w14:paraId="7819E18B" w14:textId="44F46004" w:rsidR="007239EB" w:rsidRDefault="007239EB" w:rsidP="007239EB">
      <w:pPr>
        <w:rPr>
          <w:rFonts w:cs="Arial"/>
          <w:rtl/>
        </w:rPr>
      </w:pPr>
      <w:r w:rsidRPr="00D24C83">
        <w:rPr>
          <w:rFonts w:cs="Arial" w:hint="cs"/>
          <w:b/>
          <w:bCs/>
          <w:rtl/>
        </w:rPr>
        <w:t xml:space="preserve">כתובות </w:t>
      </w:r>
      <w:r w:rsidRPr="00D24C83">
        <w:rPr>
          <w:rFonts w:cs="Arial" w:hint="cs"/>
          <w:b/>
          <w:bCs/>
          <w:sz w:val="16"/>
          <w:szCs w:val="16"/>
          <w:rtl/>
        </w:rPr>
        <w:t>(</w:t>
      </w:r>
      <w:r>
        <w:rPr>
          <w:rFonts w:cs="Arial" w:hint="cs"/>
          <w:b/>
          <w:bCs/>
          <w:sz w:val="16"/>
          <w:szCs w:val="16"/>
          <w:rtl/>
        </w:rPr>
        <w:t>ס</w:t>
      </w:r>
      <w:r w:rsidRPr="00D24C83">
        <w:rPr>
          <w:rFonts w:cs="Arial" w:hint="cs"/>
          <w:b/>
          <w:bCs/>
          <w:sz w:val="16"/>
          <w:szCs w:val="16"/>
          <w:rtl/>
        </w:rPr>
        <w:t>פ"ב)</w:t>
      </w:r>
      <w:r w:rsidRPr="00D24C83">
        <w:rPr>
          <w:rFonts w:cs="Arial" w:hint="cs"/>
          <w:b/>
          <w:bCs/>
          <w:rtl/>
        </w:rPr>
        <w:t xml:space="preserve"> </w:t>
      </w:r>
      <w:r>
        <w:rPr>
          <w:rFonts w:cs="Arial" w:hint="cs"/>
          <w:b/>
          <w:bCs/>
          <w:rtl/>
        </w:rPr>
        <w:t>כח</w:t>
      </w:r>
      <w:r w:rsidR="001B44B8">
        <w:rPr>
          <w:rStyle w:val="a7"/>
          <w:rFonts w:cs="Arial"/>
          <w:b/>
          <w:bCs/>
          <w:rtl/>
        </w:rPr>
        <w:footnoteReference w:id="1751"/>
      </w:r>
      <w:r w:rsidRPr="00D24C83">
        <w:rPr>
          <w:rFonts w:cs="Arial" w:hint="cs"/>
          <w:b/>
          <w:bCs/>
          <w:rtl/>
        </w:rPr>
        <w:t xml:space="preserve"> ע"</w:t>
      </w:r>
      <w:r>
        <w:rPr>
          <w:rFonts w:cs="Arial" w:hint="cs"/>
          <w:b/>
          <w:bCs/>
          <w:rtl/>
        </w:rPr>
        <w:t>א</w:t>
      </w:r>
      <w:r w:rsidRPr="00D24C83">
        <w:rPr>
          <w:rFonts w:cs="Arial" w:hint="cs"/>
          <w:b/>
          <w:bCs/>
          <w:rtl/>
        </w:rPr>
        <w:t>:</w:t>
      </w:r>
      <w:r>
        <w:rPr>
          <w:rFonts w:cs="Arial" w:hint="cs"/>
          <w:rtl/>
        </w:rPr>
        <w:t xml:space="preserve"> </w:t>
      </w:r>
      <w:r w:rsidRPr="00A96F27">
        <w:rPr>
          <w:rFonts w:cs="Arial"/>
          <w:u w:val="double"/>
          <w:rtl/>
        </w:rPr>
        <w:t>מתני'</w:t>
      </w:r>
      <w:r>
        <w:rPr>
          <w:rFonts w:cs="Arial" w:hint="cs"/>
          <w:rtl/>
        </w:rPr>
        <w:t>:</w:t>
      </w:r>
      <w:r w:rsidRPr="00A96F27">
        <w:rPr>
          <w:rFonts w:cs="Arial"/>
          <w:rtl/>
        </w:rPr>
        <w:t xml:space="preserve"> ואלו נאמנין להעיד בגודלן מה שראו בקוטנן: נאמן אדם לומר זה כתב ידו של אבא וזה כתב ידו של רבי וזה כתב ידו של אחי, זכור הייתי בפלונית שיצאה בהינומא וראשה פרוע</w:t>
      </w:r>
      <w:r>
        <w:rPr>
          <w:rFonts w:hint="cs"/>
          <w:rtl/>
        </w:rPr>
        <w:t>,</w:t>
      </w:r>
      <w:r w:rsidRPr="003B386A">
        <w:rPr>
          <w:rtl/>
        </w:rPr>
        <w:t xml:space="preserve"> </w:t>
      </w:r>
      <w:r w:rsidRPr="003B386A">
        <w:rPr>
          <w:rFonts w:cs="Arial"/>
          <w:rtl/>
        </w:rPr>
        <w:t>ושהיה איש פלוני יוצא מבית הספר לטבול לאכול בתרומה, ושהיה חולק עמנו על הגורן, והמקום הזה בית הפרס, ועד כאן היינו באין בשבת</w:t>
      </w:r>
      <w:r>
        <w:rPr>
          <w:rFonts w:cs="Arial" w:hint="cs"/>
          <w:rtl/>
        </w:rPr>
        <w:t>...</w:t>
      </w:r>
      <w:r w:rsidRPr="001025ED">
        <w:rPr>
          <w:rtl/>
        </w:rPr>
        <w:t xml:space="preserve"> </w:t>
      </w:r>
      <w:r>
        <w:rPr>
          <w:rFonts w:hint="cs"/>
          <w:rtl/>
        </w:rPr>
        <w:t xml:space="preserve">     </w:t>
      </w:r>
      <w:r w:rsidRPr="001025ED">
        <w:rPr>
          <w:rFonts w:cs="Arial"/>
          <w:u w:val="double"/>
          <w:rtl/>
        </w:rPr>
        <w:t>גמ'</w:t>
      </w:r>
      <w:r>
        <w:rPr>
          <w:rFonts w:cs="Arial" w:hint="cs"/>
          <w:rtl/>
        </w:rPr>
        <w:t>:</w:t>
      </w:r>
      <w:r w:rsidRPr="001025ED">
        <w:rPr>
          <w:rFonts w:cs="Arial"/>
          <w:rtl/>
        </w:rPr>
        <w:t xml:space="preserve"> </w:t>
      </w:r>
      <w:r w:rsidRPr="001025ED">
        <w:rPr>
          <w:rFonts w:cs="Arial"/>
          <w:u w:val="single"/>
          <w:rtl/>
        </w:rPr>
        <w:t>אמר רב הונא בריה דרב יהושע</w:t>
      </w:r>
      <w:r w:rsidRPr="001025ED">
        <w:rPr>
          <w:rFonts w:cs="Arial"/>
          <w:rtl/>
        </w:rPr>
        <w:t>: והוא, שיש גדול עמו</w:t>
      </w:r>
      <w:r>
        <w:rPr>
          <w:rStyle w:val="a7"/>
          <w:rFonts w:cs="Arial"/>
          <w:rtl/>
        </w:rPr>
        <w:footnoteReference w:id="1752"/>
      </w:r>
      <w:r w:rsidRPr="001025ED">
        <w:rPr>
          <w:rFonts w:cs="Arial"/>
          <w:rtl/>
        </w:rPr>
        <w:t>.</w:t>
      </w:r>
    </w:p>
    <w:p w14:paraId="0065F42F" w14:textId="20ADE2A5" w:rsidR="003302F6" w:rsidRPr="005B5130" w:rsidRDefault="005B5130" w:rsidP="003302F6">
      <w:pPr>
        <w:rPr>
          <w:u w:val="single"/>
          <w:rtl/>
        </w:rPr>
      </w:pPr>
      <w:r w:rsidRPr="005B5130">
        <w:rPr>
          <w:rFonts w:hint="cs"/>
          <w:u w:val="single"/>
          <w:rtl/>
        </w:rPr>
        <w:lastRenderedPageBreak/>
        <w:t>היא אומרת מאתים, והוא אומר מנה:</w:t>
      </w:r>
    </w:p>
    <w:p w14:paraId="0D0DA571" w14:textId="4DD88710" w:rsidR="00B533D8" w:rsidRPr="007239EB" w:rsidRDefault="00946029" w:rsidP="009000E3">
      <w:pPr>
        <w:pStyle w:val="ab"/>
        <w:numPr>
          <w:ilvl w:val="0"/>
          <w:numId w:val="84"/>
        </w:numPr>
      </w:pPr>
      <w:r>
        <w:rPr>
          <w:rFonts w:cs="Arial" w:hint="cs"/>
          <w:rtl/>
        </w:rPr>
        <w:t xml:space="preserve">טור- </w:t>
      </w:r>
      <w:r w:rsidRPr="007F14E0">
        <w:rPr>
          <w:rFonts w:cs="Arial"/>
          <w:rtl/>
        </w:rPr>
        <w:t>היא אומרת בתולה נשאתני וכתובתי מאתים</w:t>
      </w:r>
      <w:r w:rsidR="00B533D8">
        <w:rPr>
          <w:rFonts w:cs="Arial" w:hint="cs"/>
          <w:rtl/>
        </w:rPr>
        <w:t>,</w:t>
      </w:r>
      <w:r w:rsidRPr="007F14E0">
        <w:rPr>
          <w:rFonts w:cs="Arial"/>
          <w:rtl/>
        </w:rPr>
        <w:t xml:space="preserve"> והבעל כשנתגרשה או היורשים כשנתאלמנה אומרים אלמנה ניסת ואין לך אלא מנה</w:t>
      </w:r>
      <w:r w:rsidR="00B533D8">
        <w:rPr>
          <w:rFonts w:cs="Arial" w:hint="cs"/>
          <w:rtl/>
        </w:rPr>
        <w:t>,</w:t>
      </w:r>
      <w:r w:rsidRPr="007F14E0">
        <w:rPr>
          <w:rFonts w:cs="Arial"/>
          <w:rtl/>
        </w:rPr>
        <w:t xml:space="preserve"> והכתובה נאבדה או במקום שאין כותבים כתובה</w:t>
      </w:r>
      <w:r w:rsidR="00B533D8">
        <w:rPr>
          <w:rFonts w:cs="Arial" w:hint="cs"/>
          <w:rtl/>
        </w:rPr>
        <w:t>,</w:t>
      </w:r>
      <w:r w:rsidRPr="007F14E0">
        <w:rPr>
          <w:rFonts w:cs="Arial"/>
          <w:rtl/>
        </w:rPr>
        <w:t xml:space="preserve"> אם יש עדים שיצתה בהינומא פי' שעשו לה כמנהג הבתולות במלבוש שרגילין להלביש בתולות או בשאר דבר ידוע לפי מנהג העיר </w:t>
      </w:r>
      <w:r w:rsidR="00B533D8">
        <w:rPr>
          <w:rFonts w:cs="Arial" w:hint="cs"/>
          <w:rtl/>
        </w:rPr>
        <w:t xml:space="preserve">- </w:t>
      </w:r>
      <w:r w:rsidRPr="007F14E0">
        <w:rPr>
          <w:rFonts w:cs="Arial"/>
          <w:rtl/>
        </w:rPr>
        <w:t>כתובתה מאתים אפי' אחד מהם קטן כשראה העדות</w:t>
      </w:r>
      <w:r w:rsidR="00B533D8">
        <w:rPr>
          <w:rFonts w:cs="Arial" w:hint="cs"/>
          <w:rtl/>
        </w:rPr>
        <w:t>,</w:t>
      </w:r>
      <w:r w:rsidRPr="007F14E0">
        <w:rPr>
          <w:rFonts w:cs="Arial"/>
          <w:rtl/>
        </w:rPr>
        <w:t xml:space="preserve"> דכיון שהוא עתה גדול ויש אחר עמו מהני</w:t>
      </w:r>
      <w:r w:rsidR="00B533D8">
        <w:rPr>
          <w:rFonts w:cs="Arial" w:hint="cs"/>
          <w:rtl/>
        </w:rPr>
        <w:t>.</w:t>
      </w:r>
      <w:r w:rsidRPr="007F14E0">
        <w:rPr>
          <w:rFonts w:cs="Arial"/>
          <w:rtl/>
        </w:rPr>
        <w:t xml:space="preserve"> ואם אין עדים </w:t>
      </w:r>
      <w:r w:rsidR="00B533D8">
        <w:rPr>
          <w:rFonts w:cs="Arial" w:hint="cs"/>
          <w:rtl/>
        </w:rPr>
        <w:t xml:space="preserve">- </w:t>
      </w:r>
      <w:r w:rsidRPr="007F14E0">
        <w:rPr>
          <w:rFonts w:cs="Arial"/>
          <w:rtl/>
        </w:rPr>
        <w:t>אינה נוטלת אלא מנה</w:t>
      </w:r>
      <w:r w:rsidR="00B533D8">
        <w:rPr>
          <w:rFonts w:cs="Arial" w:hint="cs"/>
          <w:rtl/>
        </w:rPr>
        <w:t>.</w:t>
      </w:r>
      <w:r w:rsidRPr="007F14E0">
        <w:rPr>
          <w:rFonts w:cs="Arial"/>
          <w:rtl/>
        </w:rPr>
        <w:t xml:space="preserve"> </w:t>
      </w:r>
      <w:r w:rsidR="00514AE5" w:rsidRPr="008631A7">
        <w:rPr>
          <w:rFonts w:hint="cs"/>
          <w:color w:val="E36C0A" w:themeColor="accent6" w:themeShade="BF"/>
          <w:rtl/>
        </w:rPr>
        <w:t>(וכ"פ בשו"ע)</w:t>
      </w:r>
    </w:p>
    <w:p w14:paraId="4570B16E" w14:textId="0392A2FF" w:rsidR="007239EB" w:rsidRPr="00B533D8" w:rsidRDefault="007239EB" w:rsidP="009000E3">
      <w:pPr>
        <w:pStyle w:val="ab"/>
        <w:numPr>
          <w:ilvl w:val="0"/>
          <w:numId w:val="84"/>
        </w:numPr>
      </w:pPr>
      <w:r>
        <w:rPr>
          <w:rFonts w:cs="Arial" w:hint="cs"/>
          <w:rtl/>
        </w:rPr>
        <w:t xml:space="preserve">רמב"ם </w:t>
      </w:r>
      <w:r>
        <w:rPr>
          <w:rFonts w:cs="Arial" w:hint="cs"/>
          <w:sz w:val="16"/>
          <w:szCs w:val="16"/>
          <w:rtl/>
        </w:rPr>
        <w:t>(פט"ז מהל' אישות הכ"ה)</w:t>
      </w:r>
      <w:r>
        <w:rPr>
          <w:rFonts w:cs="Arial" w:hint="cs"/>
          <w:rtl/>
        </w:rPr>
        <w:t xml:space="preserve">- </w:t>
      </w:r>
      <w:r w:rsidRPr="007239EB">
        <w:rPr>
          <w:rFonts w:cs="Arial"/>
          <w:rtl/>
        </w:rPr>
        <w:t>היא אומרת בתולה נישאתי ועיקר כתובתי מאתים</w:t>
      </w:r>
      <w:r>
        <w:rPr>
          <w:rFonts w:cs="Arial" w:hint="cs"/>
          <w:rtl/>
        </w:rPr>
        <w:t>,</w:t>
      </w:r>
      <w:r w:rsidRPr="007239EB">
        <w:rPr>
          <w:rFonts w:cs="Arial"/>
          <w:rtl/>
        </w:rPr>
        <w:t xml:space="preserve"> והבעל או יורשיו אומרים בעולה נשאת ואין לה אלא מאה, אם יש עדים שראו שעשו לה המנהגות שנהגו אנשי אותה העיר לעשותן לבתולה כגון מיני שמחה או כתרים או מלבוש ידוע או שאר דברים שאין עושין כך אלא לבתולה </w:t>
      </w:r>
      <w:r>
        <w:rPr>
          <w:rFonts w:cs="Arial" w:hint="cs"/>
          <w:rtl/>
        </w:rPr>
        <w:t xml:space="preserve">- </w:t>
      </w:r>
      <w:r w:rsidRPr="007239EB">
        <w:rPr>
          <w:rFonts w:cs="Arial"/>
          <w:rtl/>
        </w:rPr>
        <w:t>הרי זו נוטלת מאתים</w:t>
      </w:r>
      <w:r>
        <w:rPr>
          <w:rFonts w:cs="Arial" w:hint="cs"/>
          <w:rtl/>
        </w:rPr>
        <w:t>.</w:t>
      </w:r>
      <w:r w:rsidRPr="007239EB">
        <w:rPr>
          <w:rFonts w:cs="Arial"/>
          <w:rtl/>
        </w:rPr>
        <w:t xml:space="preserve"> ואם אין לה עדים בזה </w:t>
      </w:r>
      <w:r>
        <w:rPr>
          <w:rFonts w:cs="Arial" w:hint="cs"/>
          <w:rtl/>
        </w:rPr>
        <w:t xml:space="preserve">- </w:t>
      </w:r>
      <w:r w:rsidRPr="007239EB">
        <w:rPr>
          <w:rFonts w:cs="Arial"/>
          <w:rtl/>
        </w:rPr>
        <w:t>הרי זו נוטלת מנה</w:t>
      </w:r>
      <w:r>
        <w:rPr>
          <w:rFonts w:cs="Arial" w:hint="cs"/>
          <w:rtl/>
        </w:rPr>
        <w:t>...</w:t>
      </w:r>
      <w:r w:rsidRPr="007239EB">
        <w:rPr>
          <w:rFonts w:cs="Arial"/>
          <w:rtl/>
        </w:rPr>
        <w:t xml:space="preserve"> ונאמן הקטן</w:t>
      </w:r>
      <w:r>
        <w:rPr>
          <w:rStyle w:val="a7"/>
          <w:rFonts w:cs="Arial"/>
          <w:rtl/>
        </w:rPr>
        <w:footnoteReference w:id="1753"/>
      </w:r>
      <w:r w:rsidRPr="007239EB">
        <w:rPr>
          <w:rFonts w:cs="Arial"/>
          <w:rtl/>
        </w:rPr>
        <w:t xml:space="preserve"> להעיד בגדלו ולומר זכור אני כשהייתי קטן שנעשה לפלונית מנהג הבתולות</w:t>
      </w:r>
      <w:r>
        <w:rPr>
          <w:rFonts w:cs="Arial" w:hint="cs"/>
          <w:rtl/>
        </w:rPr>
        <w:t>.</w:t>
      </w:r>
      <w:r w:rsidRPr="007239EB">
        <w:rPr>
          <w:rFonts w:cs="Arial"/>
          <w:rtl/>
        </w:rPr>
        <w:t xml:space="preserve"> וכל הדברים האלו במקום שאין כותבין כתובה כמו שאמרנו.</w:t>
      </w:r>
    </w:p>
    <w:p w14:paraId="1C2F3AA5" w14:textId="561DDA91" w:rsidR="007239EB" w:rsidRPr="007239EB" w:rsidRDefault="007239EB" w:rsidP="007239EB">
      <w:pPr>
        <w:ind w:left="360"/>
        <w:rPr>
          <w:u w:val="dotted"/>
        </w:rPr>
      </w:pPr>
      <w:r>
        <w:rPr>
          <w:rFonts w:hint="cs"/>
          <w:u w:val="dotted"/>
          <w:rtl/>
        </w:rPr>
        <w:t xml:space="preserve">כשאין לה עדים - </w:t>
      </w:r>
      <w:r w:rsidRPr="007239EB">
        <w:rPr>
          <w:rFonts w:hint="cs"/>
          <w:u w:val="dotted"/>
          <w:rtl/>
        </w:rPr>
        <w:t>האם הבעל צריך להשבע שאין לה אלא מנה:</w:t>
      </w:r>
    </w:p>
    <w:p w14:paraId="2DB41249" w14:textId="3A6A8AFF" w:rsidR="007239EB" w:rsidRPr="007239EB" w:rsidRDefault="007239EB" w:rsidP="009000E3">
      <w:pPr>
        <w:pStyle w:val="ab"/>
        <w:numPr>
          <w:ilvl w:val="0"/>
          <w:numId w:val="84"/>
        </w:numPr>
      </w:pPr>
      <w:r>
        <w:rPr>
          <w:rFonts w:cs="Arial" w:hint="cs"/>
          <w:rtl/>
        </w:rPr>
        <w:t xml:space="preserve">רמב"ם </w:t>
      </w:r>
      <w:r>
        <w:rPr>
          <w:rFonts w:cs="Arial" w:hint="cs"/>
          <w:sz w:val="16"/>
          <w:szCs w:val="16"/>
          <w:rtl/>
        </w:rPr>
        <w:t>(פט"ז מהל' אישות הכ"ה)</w:t>
      </w:r>
      <w:r>
        <w:rPr>
          <w:rFonts w:cs="Arial" w:hint="cs"/>
          <w:rtl/>
        </w:rPr>
        <w:t xml:space="preserve">- </w:t>
      </w:r>
      <w:r w:rsidRPr="007239EB">
        <w:rPr>
          <w:rFonts w:cs="Arial"/>
          <w:rtl/>
        </w:rPr>
        <w:t>אם היה הבעל קיים יש לה להשביעו שבועת התורה</w:t>
      </w:r>
      <w:r w:rsidR="0042558F">
        <w:rPr>
          <w:rFonts w:cs="Arial" w:hint="cs"/>
          <w:rtl/>
        </w:rPr>
        <w:t>,</w:t>
      </w:r>
      <w:r w:rsidRPr="007239EB">
        <w:rPr>
          <w:rFonts w:cs="Arial"/>
          <w:rtl/>
        </w:rPr>
        <w:t xml:space="preserve"> שהרי הודה במקצת הטענה</w:t>
      </w:r>
      <w:r w:rsidR="00974AEC">
        <w:rPr>
          <w:rStyle w:val="a7"/>
          <w:rtl/>
        </w:rPr>
        <w:footnoteReference w:id="1754"/>
      </w:r>
      <w:r>
        <w:rPr>
          <w:rFonts w:hint="cs"/>
          <w:rtl/>
        </w:rPr>
        <w:t>.</w:t>
      </w:r>
    </w:p>
    <w:p w14:paraId="1759A1C7" w14:textId="29603B9F" w:rsidR="009165C8" w:rsidRPr="009165C8" w:rsidRDefault="00946029" w:rsidP="009000E3">
      <w:pPr>
        <w:pStyle w:val="ab"/>
        <w:numPr>
          <w:ilvl w:val="0"/>
          <w:numId w:val="84"/>
        </w:numPr>
        <w:rPr>
          <w:rtl/>
        </w:rPr>
      </w:pPr>
      <w:r w:rsidRPr="007F14E0">
        <w:rPr>
          <w:rFonts w:cs="Arial"/>
          <w:rtl/>
        </w:rPr>
        <w:t>רא"ש</w:t>
      </w:r>
      <w:r w:rsidR="006934C7">
        <w:rPr>
          <w:rFonts w:cs="Arial" w:hint="cs"/>
          <w:sz w:val="16"/>
          <w:szCs w:val="16"/>
          <w:rtl/>
        </w:rPr>
        <w:t xml:space="preserve"> (פ"ב סי' א)</w:t>
      </w:r>
      <w:r w:rsidR="007239EB">
        <w:rPr>
          <w:rFonts w:cs="Arial" w:hint="cs"/>
          <w:rtl/>
        </w:rPr>
        <w:t>- א</w:t>
      </w:r>
      <w:r w:rsidRPr="007F14E0">
        <w:rPr>
          <w:rFonts w:cs="Arial"/>
          <w:rtl/>
        </w:rPr>
        <w:t>ינו נשבע אלא היסת</w:t>
      </w:r>
      <w:r w:rsidR="004F6DD3">
        <w:rPr>
          <w:rStyle w:val="a7"/>
          <w:rFonts w:cs="Arial"/>
          <w:rtl/>
        </w:rPr>
        <w:footnoteReference w:id="1755"/>
      </w:r>
      <w:r w:rsidR="004F6DD3">
        <w:rPr>
          <w:rFonts w:cs="Arial" w:hint="cs"/>
          <w:sz w:val="16"/>
          <w:szCs w:val="16"/>
          <w:rtl/>
        </w:rPr>
        <w:t xml:space="preserve"> (ל' הטור בשמו)</w:t>
      </w:r>
      <w:r>
        <w:rPr>
          <w:rFonts w:cs="Arial" w:hint="cs"/>
          <w:rtl/>
        </w:rPr>
        <w:t>.</w:t>
      </w:r>
      <w:r w:rsidRPr="007F14E0">
        <w:rPr>
          <w:rFonts w:cs="Arial"/>
          <w:rtl/>
        </w:rPr>
        <w:t xml:space="preserve"> </w:t>
      </w:r>
      <w:r w:rsidR="009E0B70" w:rsidRPr="008631A7">
        <w:rPr>
          <w:rFonts w:hint="cs"/>
          <w:color w:val="E36C0A" w:themeColor="accent6" w:themeShade="BF"/>
          <w:rtl/>
        </w:rPr>
        <w:t>(וכ"פ בשו"ע)</w:t>
      </w:r>
    </w:p>
    <w:p w14:paraId="5E44CA11"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F447149" w14:textId="01174E74" w:rsidR="00392DBB" w:rsidRDefault="00392DBB" w:rsidP="00392DBB">
      <w:pPr>
        <w:rPr>
          <w:rtl/>
        </w:rPr>
      </w:pPr>
      <w:r>
        <w:rPr>
          <w:rFonts w:cs="Arial"/>
          <w:rtl/>
        </w:rPr>
        <w:t>היא אומרת: בתולה נשאתני וכתובתי מאתים</w:t>
      </w:r>
      <w:r w:rsidR="004F6DD3">
        <w:rPr>
          <w:rFonts w:cs="Arial" w:hint="cs"/>
          <w:rtl/>
        </w:rPr>
        <w:t>.</w:t>
      </w:r>
      <w:r>
        <w:rPr>
          <w:rFonts w:cs="Arial"/>
          <w:rtl/>
        </w:rPr>
        <w:t xml:space="preserve"> והבעל או היורשים אומרים: לא כי אלא אלמנה, והכתובה נאבד</w:t>
      </w:r>
      <w:r w:rsidR="004F6DD3">
        <w:rPr>
          <w:rFonts w:cs="Arial" w:hint="cs"/>
          <w:rtl/>
        </w:rPr>
        <w:t>ה</w:t>
      </w:r>
      <w:r>
        <w:rPr>
          <w:rFonts w:cs="Arial"/>
          <w:rtl/>
        </w:rPr>
        <w:t>, או במקום שאין כותבין כתובה</w:t>
      </w:r>
      <w:r w:rsidR="004F6DD3">
        <w:rPr>
          <w:rFonts w:cs="Arial" w:hint="cs"/>
          <w:rtl/>
        </w:rPr>
        <w:t>.</w:t>
      </w:r>
      <w:r>
        <w:rPr>
          <w:rFonts w:cs="Arial"/>
          <w:rtl/>
        </w:rPr>
        <w:t xml:space="preserve"> אם יש עדים שעשו לה כמנהג הבתולות, כתובתה ר', אפילו אם אחד היה קטן כשראה העדות ועכשיו הוא גדול ויש אחר עמו, מהני. ואם אין עדים, לא תיטול אלא מנה. והבעל צריך לישבע, יש מי שאומר שבועה דאורייתא, ויש מי שכתב שבועת היסת. </w:t>
      </w:r>
      <w:r w:rsidRPr="00A36792">
        <w:rPr>
          <w:rFonts w:cs="Arial"/>
          <w:sz w:val="18"/>
          <w:szCs w:val="18"/>
          <w:rtl/>
        </w:rPr>
        <w:t>הגה: וי"א במקום שאין כותבין כתובה, שבועת היסת; במקום שכותבין ונאבדה, שבועה דאורייתא, דהרי מצי הכל לכפור ולומר: פרעתי, ולכן מיקרי מודה מקצת (ה</w:t>
      </w:r>
      <w:r w:rsidR="005B5130">
        <w:rPr>
          <w:rFonts w:cs="Arial" w:hint="cs"/>
          <w:sz w:val="18"/>
          <w:szCs w:val="18"/>
          <w:rtl/>
        </w:rPr>
        <w:t>ה</w:t>
      </w:r>
      <w:r w:rsidRPr="00A36792">
        <w:rPr>
          <w:rFonts w:cs="Arial"/>
          <w:sz w:val="18"/>
          <w:szCs w:val="18"/>
          <w:rtl/>
        </w:rPr>
        <w:t>"מ). וע"ל סימן ק' סעיף ו'.</w:t>
      </w:r>
      <w:r>
        <w:rPr>
          <w:rFonts w:cs="Arial"/>
          <w:rtl/>
        </w:rPr>
        <w:t xml:space="preserve"> </w:t>
      </w:r>
    </w:p>
    <w:p w14:paraId="45B47999" w14:textId="77777777" w:rsidR="00A36792" w:rsidRDefault="00A36792" w:rsidP="00392DBB">
      <w:pPr>
        <w:rPr>
          <w:rtl/>
        </w:rPr>
      </w:pPr>
    </w:p>
    <w:p w14:paraId="5FBADCC0" w14:textId="06C24303" w:rsidR="00392DBB" w:rsidRDefault="00392DBB" w:rsidP="000F64D0">
      <w:pPr>
        <w:pStyle w:val="2"/>
        <w:rPr>
          <w:rtl/>
        </w:rPr>
      </w:pPr>
      <w:r>
        <w:rPr>
          <w:rtl/>
        </w:rPr>
        <w:t>סעיף טז</w:t>
      </w:r>
      <w:r w:rsidR="00027095">
        <w:rPr>
          <w:rFonts w:hint="cs"/>
          <w:rtl/>
        </w:rPr>
        <w:t xml:space="preserve">: </w:t>
      </w:r>
      <w:r w:rsidR="00F2340F">
        <w:rPr>
          <w:rFonts w:hint="cs"/>
          <w:rtl/>
        </w:rPr>
        <w:t>מי שנש</w:t>
      </w:r>
      <w:r w:rsidR="00431BF9">
        <w:rPr>
          <w:rFonts w:hint="cs"/>
          <w:rtl/>
        </w:rPr>
        <w:t>א</w:t>
      </w:r>
      <w:r w:rsidR="00F2340F">
        <w:rPr>
          <w:rFonts w:hint="cs"/>
          <w:rtl/>
        </w:rPr>
        <w:t xml:space="preserve"> מספר נשים.</w:t>
      </w:r>
    </w:p>
    <w:p w14:paraId="2EA903DE" w14:textId="6133C0DB" w:rsidR="00CD0FFC" w:rsidRDefault="00CD0FFC" w:rsidP="00CD0FFC">
      <w:pPr>
        <w:rPr>
          <w:rFonts w:cs="Arial"/>
          <w:rtl/>
        </w:rPr>
      </w:pPr>
      <w:r w:rsidRPr="00E65AD5">
        <w:rPr>
          <w:rFonts w:cs="Arial"/>
          <w:b/>
          <w:bCs/>
          <w:rtl/>
        </w:rPr>
        <w:t xml:space="preserve">כתובות </w:t>
      </w:r>
      <w:r w:rsidRPr="00E65AD5">
        <w:rPr>
          <w:rFonts w:cs="Arial" w:hint="cs"/>
          <w:b/>
          <w:bCs/>
          <w:sz w:val="16"/>
          <w:szCs w:val="16"/>
          <w:rtl/>
        </w:rPr>
        <w:t>(</w:t>
      </w:r>
      <w:r w:rsidR="00D36C74">
        <w:rPr>
          <w:rFonts w:cs="Arial" w:hint="cs"/>
          <w:b/>
          <w:bCs/>
          <w:sz w:val="16"/>
          <w:szCs w:val="16"/>
          <w:rtl/>
        </w:rPr>
        <w:t>פ' מי שהיה נשוי</w:t>
      </w:r>
      <w:r w:rsidRPr="00E65AD5">
        <w:rPr>
          <w:rFonts w:cs="Arial" w:hint="cs"/>
          <w:b/>
          <w:bCs/>
          <w:sz w:val="16"/>
          <w:szCs w:val="16"/>
          <w:rtl/>
        </w:rPr>
        <w:t>)</w:t>
      </w:r>
      <w:r w:rsidRPr="00E65AD5">
        <w:rPr>
          <w:rFonts w:cs="Arial" w:hint="cs"/>
          <w:b/>
          <w:bCs/>
          <w:rtl/>
        </w:rPr>
        <w:t xml:space="preserve"> צג</w:t>
      </w:r>
      <w:r w:rsidR="00BC27F0">
        <w:rPr>
          <w:rStyle w:val="a7"/>
          <w:rFonts w:cs="Arial"/>
          <w:b/>
          <w:bCs/>
          <w:rtl/>
        </w:rPr>
        <w:footnoteReference w:id="1756"/>
      </w:r>
      <w:r w:rsidRPr="00E65AD5">
        <w:rPr>
          <w:rFonts w:cs="Arial" w:hint="cs"/>
          <w:b/>
          <w:bCs/>
          <w:rtl/>
        </w:rPr>
        <w:t xml:space="preserve"> ע"ב</w:t>
      </w:r>
      <w:r w:rsidRPr="00E65AD5">
        <w:rPr>
          <w:rFonts w:cs="Arial"/>
          <w:b/>
          <w:bCs/>
          <w:rtl/>
        </w:rPr>
        <w:t>:</w:t>
      </w:r>
      <w:r w:rsidRPr="00E65AD5">
        <w:rPr>
          <w:rFonts w:cs="Arial"/>
          <w:rtl/>
        </w:rPr>
        <w:t xml:space="preserve"> </w:t>
      </w:r>
      <w:r w:rsidRPr="00E65AD5">
        <w:rPr>
          <w:rFonts w:cs="Arial"/>
          <w:u w:val="double"/>
          <w:rtl/>
        </w:rPr>
        <w:t>מתני'</w:t>
      </w:r>
      <w:r w:rsidRPr="00E65AD5">
        <w:rPr>
          <w:rFonts w:cs="Arial" w:hint="cs"/>
          <w:rtl/>
        </w:rPr>
        <w:t>:</w:t>
      </w:r>
      <w:r w:rsidRPr="00E65AD5">
        <w:rPr>
          <w:rFonts w:cs="Arial"/>
          <w:rtl/>
        </w:rPr>
        <w:t xml:space="preserve"> מי שהיה נשוי ד' נשים ומת - הראשונה קודמת לשניה</w:t>
      </w:r>
      <w:r>
        <w:rPr>
          <w:rStyle w:val="a7"/>
          <w:rFonts w:cs="Arial"/>
          <w:rtl/>
        </w:rPr>
        <w:footnoteReference w:id="1757"/>
      </w:r>
      <w:r w:rsidRPr="00E65AD5">
        <w:rPr>
          <w:rFonts w:cs="Arial"/>
          <w:rtl/>
        </w:rPr>
        <w:t>, ושניה לשלישית, ושלישית לרביעית</w:t>
      </w:r>
      <w:r w:rsidRPr="00E65AD5">
        <w:rPr>
          <w:rFonts w:cs="Arial" w:hint="cs"/>
          <w:rtl/>
        </w:rPr>
        <w:t>.</w:t>
      </w:r>
      <w:r w:rsidRPr="00E65AD5">
        <w:rPr>
          <w:rFonts w:cs="Arial"/>
          <w:rtl/>
        </w:rPr>
        <w:t xml:space="preserve"> וראשונה נשבעת לשניה, ושניה לשלישית, ושלישית לרביעית, והרביעית נפרעת שלא בשבועה</w:t>
      </w:r>
      <w:r w:rsidRPr="00E65AD5">
        <w:rPr>
          <w:rFonts w:cs="Arial" w:hint="cs"/>
          <w:rtl/>
        </w:rPr>
        <w:t>.</w:t>
      </w:r>
      <w:r w:rsidRPr="00E65AD5">
        <w:rPr>
          <w:rFonts w:cs="Arial"/>
          <w:rtl/>
        </w:rPr>
        <w:t xml:space="preserve"> </w:t>
      </w:r>
      <w:r w:rsidRPr="00E65AD5">
        <w:rPr>
          <w:rFonts w:cs="Arial"/>
          <w:u w:val="single"/>
          <w:rtl/>
        </w:rPr>
        <w:t>בן ננס אומר</w:t>
      </w:r>
      <w:r w:rsidRPr="00E65AD5">
        <w:rPr>
          <w:rFonts w:cs="Arial"/>
          <w:rtl/>
        </w:rPr>
        <w:t>: וכי מפני שהיא אחרונה נשכרת? אף היא לא תפרע אלא בשבועה.</w:t>
      </w:r>
      <w:r w:rsidRPr="00E65AD5">
        <w:rPr>
          <w:rFonts w:cs="Arial" w:hint="cs"/>
          <w:rtl/>
        </w:rPr>
        <w:t>.</w:t>
      </w:r>
      <w:r w:rsidRPr="00E65AD5">
        <w:rPr>
          <w:rFonts w:cs="Arial"/>
          <w:rtl/>
        </w:rPr>
        <w:t xml:space="preserve">. </w:t>
      </w:r>
      <w:r>
        <w:rPr>
          <w:rFonts w:hint="cs"/>
          <w:rtl/>
        </w:rPr>
        <w:t xml:space="preserve">       </w:t>
      </w:r>
      <w:r w:rsidRPr="00E65AD5">
        <w:rPr>
          <w:rFonts w:cs="Arial"/>
          <w:u w:val="double"/>
          <w:rtl/>
        </w:rPr>
        <w:t>גמ'</w:t>
      </w:r>
      <w:r w:rsidRPr="00E65AD5">
        <w:rPr>
          <w:rFonts w:cs="Arial" w:hint="cs"/>
          <w:rtl/>
        </w:rPr>
        <w:t>:</w:t>
      </w:r>
      <w:r w:rsidRPr="00E65AD5">
        <w:rPr>
          <w:rFonts w:cs="Arial"/>
          <w:rtl/>
        </w:rPr>
        <w:t xml:space="preserve"> במאי קמיפלגי?</w:t>
      </w:r>
      <w:r>
        <w:rPr>
          <w:rFonts w:cs="Arial" w:hint="cs"/>
          <w:rtl/>
        </w:rPr>
        <w:t>...</w:t>
      </w:r>
      <w:r w:rsidRPr="00E65AD5">
        <w:rPr>
          <w:rFonts w:hint="cs"/>
          <w:sz w:val="14"/>
          <w:szCs w:val="14"/>
          <w:rtl/>
        </w:rPr>
        <w:t xml:space="preserve"> (צד.)</w:t>
      </w:r>
      <w:r>
        <w:rPr>
          <w:rFonts w:hint="cs"/>
          <w:rtl/>
        </w:rPr>
        <w:t xml:space="preserve"> </w:t>
      </w:r>
      <w:r w:rsidRPr="003F1136">
        <w:rPr>
          <w:rFonts w:cs="Arial"/>
          <w:u w:val="single"/>
          <w:rtl/>
        </w:rPr>
        <w:t>אביי אמר</w:t>
      </w:r>
      <w:r w:rsidRPr="003F1136">
        <w:rPr>
          <w:rFonts w:cs="Arial"/>
          <w:rtl/>
        </w:rPr>
        <w:t>: דאביי קשישא איכא בינייהו</w:t>
      </w:r>
      <w:r w:rsidR="00FD167C">
        <w:rPr>
          <w:rStyle w:val="a7"/>
          <w:rFonts w:cs="Arial"/>
          <w:rtl/>
        </w:rPr>
        <w:footnoteReference w:id="1758"/>
      </w:r>
      <w:r w:rsidRPr="003F1136">
        <w:rPr>
          <w:rFonts w:cs="Arial"/>
          <w:rtl/>
        </w:rPr>
        <w:t>, דתני אביי קשישא: יתומים שאמרו</w:t>
      </w:r>
      <w:r w:rsidR="00FD167C">
        <w:rPr>
          <w:rStyle w:val="a7"/>
          <w:rFonts w:cs="Arial"/>
          <w:rtl/>
        </w:rPr>
        <w:footnoteReference w:id="1759"/>
      </w:r>
      <w:r w:rsidRPr="003F1136">
        <w:rPr>
          <w:rFonts w:cs="Arial"/>
          <w:rtl/>
        </w:rPr>
        <w:t xml:space="preserve"> - גדולים ואין צ"ל קטנים, ת"ק לית ליה דאביי קשישא, ובן ננס אית ליה דאביי קשישא.</w:t>
      </w:r>
      <w:r w:rsidRPr="00E65AD5">
        <w:rPr>
          <w:rFonts w:cs="Arial" w:hint="cs"/>
          <w:sz w:val="16"/>
          <w:szCs w:val="16"/>
          <w:rtl/>
        </w:rPr>
        <w:t xml:space="preserve"> </w:t>
      </w:r>
      <w:r>
        <w:rPr>
          <w:rFonts w:cs="Arial" w:hint="cs"/>
          <w:sz w:val="16"/>
          <w:szCs w:val="16"/>
          <w:rtl/>
        </w:rPr>
        <w:t>(</w:t>
      </w:r>
      <w:r w:rsidRPr="00454CBB">
        <w:rPr>
          <w:rFonts w:cs="Arial"/>
          <w:sz w:val="16"/>
          <w:szCs w:val="16"/>
          <w:rtl/>
        </w:rPr>
        <w:t>ופסק הרא"ש (סי' יא) הלכה כבן ננס</w:t>
      </w:r>
      <w:r w:rsidRPr="00454CBB">
        <w:rPr>
          <w:rFonts w:cs="Arial" w:hint="cs"/>
          <w:sz w:val="16"/>
          <w:szCs w:val="16"/>
          <w:rtl/>
        </w:rPr>
        <w:t>,</w:t>
      </w:r>
      <w:r w:rsidRPr="00454CBB">
        <w:rPr>
          <w:rFonts w:cs="Arial"/>
          <w:sz w:val="16"/>
          <w:szCs w:val="16"/>
          <w:rtl/>
        </w:rPr>
        <w:t xml:space="preserve"> וכן פסק הרמב"ם בריש פי"ז מהל</w:t>
      </w:r>
      <w:r w:rsidRPr="00454CBB">
        <w:rPr>
          <w:rFonts w:cs="Arial" w:hint="cs"/>
          <w:sz w:val="16"/>
          <w:szCs w:val="16"/>
          <w:rtl/>
        </w:rPr>
        <w:t>'</w:t>
      </w:r>
      <w:r w:rsidRPr="00454CBB">
        <w:rPr>
          <w:rFonts w:cs="Arial"/>
          <w:sz w:val="16"/>
          <w:szCs w:val="16"/>
          <w:rtl/>
        </w:rPr>
        <w:t xml:space="preserve"> אישות (ה"א)</w:t>
      </w:r>
      <w:r>
        <w:rPr>
          <w:rFonts w:cs="Arial" w:hint="cs"/>
          <w:sz w:val="16"/>
          <w:szCs w:val="16"/>
          <w:rtl/>
        </w:rPr>
        <w:t>, ב"י)</w:t>
      </w:r>
    </w:p>
    <w:p w14:paraId="65918787" w14:textId="03C5B53A" w:rsidR="00514AE5" w:rsidRPr="00454CBB" w:rsidRDefault="00454CBB" w:rsidP="00514AE5">
      <w:pPr>
        <w:rPr>
          <w:u w:val="single"/>
          <w:rtl/>
        </w:rPr>
      </w:pPr>
      <w:r w:rsidRPr="00454CBB">
        <w:rPr>
          <w:rFonts w:hint="cs"/>
          <w:u w:val="single"/>
          <w:rtl/>
        </w:rPr>
        <w:t>מי שנשא מספר נשים</w:t>
      </w:r>
      <w:r w:rsidR="00CD0FFC">
        <w:rPr>
          <w:rFonts w:hint="cs"/>
          <w:u w:val="single"/>
          <w:rtl/>
        </w:rPr>
        <w:t xml:space="preserve"> - מי נשבעת כדי לגבות כתובתה</w:t>
      </w:r>
      <w:r w:rsidRPr="00454CBB">
        <w:rPr>
          <w:rFonts w:hint="cs"/>
          <w:u w:val="single"/>
          <w:rtl/>
        </w:rPr>
        <w:t>:</w:t>
      </w:r>
    </w:p>
    <w:p w14:paraId="2BFA51FD" w14:textId="2A2DB5D1" w:rsidR="0075435C" w:rsidRPr="0075435C" w:rsidRDefault="00946029" w:rsidP="009000E3">
      <w:pPr>
        <w:pStyle w:val="ab"/>
        <w:numPr>
          <w:ilvl w:val="0"/>
          <w:numId w:val="84"/>
        </w:numPr>
      </w:pPr>
      <w:r>
        <w:rPr>
          <w:rFonts w:cs="Arial" w:hint="cs"/>
          <w:rtl/>
        </w:rPr>
        <w:lastRenderedPageBreak/>
        <w:t xml:space="preserve">טור- </w:t>
      </w:r>
      <w:r w:rsidRPr="007F14E0">
        <w:rPr>
          <w:rFonts w:cs="Arial"/>
          <w:rtl/>
        </w:rPr>
        <w:t>מי שהיה נשוי ד' נשים</w:t>
      </w:r>
      <w:r w:rsidR="00292D25">
        <w:rPr>
          <w:rFonts w:cs="Arial" w:hint="cs"/>
          <w:rtl/>
        </w:rPr>
        <w:t>,</w:t>
      </w:r>
      <w:r w:rsidRPr="007F14E0">
        <w:rPr>
          <w:rFonts w:cs="Arial"/>
          <w:rtl/>
        </w:rPr>
        <w:t xml:space="preserve"> שנשאן זו אחר זו ומת</w:t>
      </w:r>
      <w:r w:rsidR="00292D25">
        <w:rPr>
          <w:rFonts w:cs="Arial" w:hint="cs"/>
          <w:rtl/>
        </w:rPr>
        <w:t>,</w:t>
      </w:r>
      <w:r w:rsidRPr="007F14E0">
        <w:rPr>
          <w:rFonts w:cs="Arial"/>
          <w:rtl/>
        </w:rPr>
        <w:t xml:space="preserve"> ובאי</w:t>
      </w:r>
      <w:r w:rsidR="00292D25">
        <w:rPr>
          <w:rFonts w:cs="Arial" w:hint="cs"/>
          <w:rtl/>
        </w:rPr>
        <w:t>ן</w:t>
      </w:r>
      <w:r w:rsidRPr="007F14E0">
        <w:rPr>
          <w:rFonts w:cs="Arial"/>
          <w:rtl/>
        </w:rPr>
        <w:t xml:space="preserve"> לגבות כתובתן</w:t>
      </w:r>
      <w:r w:rsidR="00292D25">
        <w:rPr>
          <w:rFonts w:cs="Arial" w:hint="cs"/>
          <w:rtl/>
        </w:rPr>
        <w:t>,</w:t>
      </w:r>
      <w:r w:rsidRPr="007F14E0">
        <w:rPr>
          <w:rFonts w:cs="Arial"/>
          <w:rtl/>
        </w:rPr>
        <w:t xml:space="preserve"> הראשונה נשבעת לשנייה שאין משל בעלה כלום</w:t>
      </w:r>
      <w:r w:rsidR="00292D25">
        <w:rPr>
          <w:rFonts w:cs="Arial" w:hint="cs"/>
          <w:rtl/>
        </w:rPr>
        <w:t>,</w:t>
      </w:r>
      <w:r w:rsidRPr="007F14E0">
        <w:rPr>
          <w:rFonts w:cs="Arial"/>
          <w:rtl/>
        </w:rPr>
        <w:t xml:space="preserve"> והשנייה לשלישית</w:t>
      </w:r>
      <w:r w:rsidR="00292D25">
        <w:rPr>
          <w:rFonts w:cs="Arial" w:hint="cs"/>
          <w:rtl/>
        </w:rPr>
        <w:t>,</w:t>
      </w:r>
      <w:r w:rsidRPr="007F14E0">
        <w:rPr>
          <w:rFonts w:cs="Arial"/>
          <w:rtl/>
        </w:rPr>
        <w:t xml:space="preserve"> והשלישית לרביעית</w:t>
      </w:r>
      <w:r w:rsidR="00292D25">
        <w:rPr>
          <w:rFonts w:cs="Arial" w:hint="cs"/>
          <w:rtl/>
        </w:rPr>
        <w:t>,</w:t>
      </w:r>
      <w:r w:rsidRPr="007F14E0">
        <w:rPr>
          <w:rFonts w:cs="Arial"/>
          <w:rtl/>
        </w:rPr>
        <w:t xml:space="preserve"> והרביעית נשבעת ליתומים</w:t>
      </w:r>
      <w:r w:rsidR="00E65AD5">
        <w:rPr>
          <w:rFonts w:cs="Arial" w:hint="cs"/>
          <w:rtl/>
        </w:rPr>
        <w:t>,</w:t>
      </w:r>
      <w:r w:rsidRPr="007F14E0">
        <w:rPr>
          <w:rFonts w:cs="Arial"/>
          <w:rtl/>
        </w:rPr>
        <w:t xml:space="preserve"> ואפי' אם הם גדולים אין נפרעין מהם אלא בשבועה</w:t>
      </w:r>
      <w:r>
        <w:rPr>
          <w:rFonts w:cs="Arial" w:hint="cs"/>
          <w:rtl/>
        </w:rPr>
        <w:t>.</w:t>
      </w:r>
      <w:r w:rsidR="00FC4EBE" w:rsidRPr="00FC4EBE">
        <w:rPr>
          <w:rFonts w:hint="cs"/>
          <w:color w:val="E36C0A" w:themeColor="accent6" w:themeShade="BF"/>
          <w:rtl/>
        </w:rPr>
        <w:t xml:space="preserve"> </w:t>
      </w:r>
      <w:r w:rsidR="00FC4EBE" w:rsidRPr="008631A7">
        <w:rPr>
          <w:rFonts w:hint="cs"/>
          <w:color w:val="E36C0A" w:themeColor="accent6" w:themeShade="BF"/>
          <w:rtl/>
        </w:rPr>
        <w:t>(וכ"פ בשו"ע)</w:t>
      </w:r>
    </w:p>
    <w:p w14:paraId="7795F211" w14:textId="4CE005F5" w:rsidR="00A45E0C" w:rsidRPr="00A45E0C" w:rsidRDefault="00FC4EBE" w:rsidP="009000E3">
      <w:pPr>
        <w:pStyle w:val="ab"/>
        <w:numPr>
          <w:ilvl w:val="0"/>
          <w:numId w:val="84"/>
        </w:numPr>
        <w:rPr>
          <w:rtl/>
        </w:rPr>
      </w:pPr>
      <w:r>
        <w:rPr>
          <w:rFonts w:cs="Arial" w:hint="cs"/>
          <w:rtl/>
        </w:rPr>
        <w:t xml:space="preserve">רמב"ם </w:t>
      </w:r>
      <w:r>
        <w:rPr>
          <w:rFonts w:cs="Arial" w:hint="cs"/>
          <w:sz w:val="16"/>
          <w:szCs w:val="16"/>
          <w:rtl/>
        </w:rPr>
        <w:t>(פי"ז מהל' אישות ה"א)</w:t>
      </w:r>
      <w:r>
        <w:rPr>
          <w:rFonts w:cs="Arial" w:hint="cs"/>
          <w:rtl/>
        </w:rPr>
        <w:t xml:space="preserve">- </w:t>
      </w:r>
      <w:r w:rsidR="0075435C" w:rsidRPr="0075435C">
        <w:rPr>
          <w:rFonts w:cs="Arial"/>
          <w:rtl/>
        </w:rPr>
        <w:t>מי שהיה נשוי נשים רבות ומת, כל שנשאת בתחלה קודמת ליטול כתובתה, ואין אחת מהן נוטלת אלא בשבועה, ואין לאחרונה אלא מה ששיירה שלפניה וגם היא נשבעת</w:t>
      </w:r>
      <w:r w:rsidR="009D1D5B">
        <w:rPr>
          <w:rStyle w:val="a7"/>
          <w:rFonts w:cs="Arial"/>
          <w:rtl/>
        </w:rPr>
        <w:footnoteReference w:id="1760"/>
      </w:r>
      <w:r w:rsidR="0075435C" w:rsidRPr="0075435C">
        <w:rPr>
          <w:rFonts w:cs="Arial"/>
          <w:rtl/>
        </w:rPr>
        <w:t xml:space="preserve"> ונוטלת השאר</w:t>
      </w:r>
      <w:r w:rsidR="0075435C">
        <w:rPr>
          <w:rFonts w:cs="Arial" w:hint="cs"/>
          <w:rtl/>
        </w:rPr>
        <w:t>.</w:t>
      </w:r>
      <w:r w:rsidR="00946029" w:rsidRPr="007F14E0">
        <w:rPr>
          <w:rFonts w:cs="Arial"/>
          <w:rtl/>
        </w:rPr>
        <w:t xml:space="preserve"> </w:t>
      </w:r>
    </w:p>
    <w:p w14:paraId="1008E77D"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EB3ACC9" w14:textId="06315270" w:rsidR="00392DBB" w:rsidRDefault="00392DBB" w:rsidP="00392DBB">
      <w:pPr>
        <w:rPr>
          <w:rtl/>
        </w:rPr>
      </w:pPr>
      <w:r>
        <w:rPr>
          <w:rFonts w:cs="Arial"/>
          <w:rtl/>
        </w:rPr>
        <w:t xml:space="preserve">מי שהיה נשוי ד' נשים, שנשאם זו אחר זו, ומת, ובאות לגבות כתובתן, הראשונה נשבעת לשניה שאין לה משל בעלה כלום, והשניה לשלישית, והשלישית לרביעית, והרביעית נשבעת ליתומים; ואפילו הם גדולים, אין נפרעים מהם אלא בשבועה. </w:t>
      </w:r>
    </w:p>
    <w:p w14:paraId="2D34487D" w14:textId="77777777" w:rsidR="00027095" w:rsidRDefault="00027095" w:rsidP="00392DBB">
      <w:pPr>
        <w:rPr>
          <w:rtl/>
        </w:rPr>
      </w:pPr>
    </w:p>
    <w:p w14:paraId="6DF8583C" w14:textId="0A4CF0BC" w:rsidR="00392DBB" w:rsidRDefault="00392DBB" w:rsidP="000F64D0">
      <w:pPr>
        <w:pStyle w:val="2"/>
        <w:rPr>
          <w:rtl/>
        </w:rPr>
      </w:pPr>
      <w:r>
        <w:rPr>
          <w:rtl/>
        </w:rPr>
        <w:t>סעיף יז</w:t>
      </w:r>
      <w:r w:rsidR="00F2340F">
        <w:rPr>
          <w:rFonts w:hint="cs"/>
          <w:rtl/>
        </w:rPr>
        <w:t xml:space="preserve">: </w:t>
      </w:r>
      <w:r w:rsidR="00431BF9">
        <w:rPr>
          <w:rFonts w:hint="cs"/>
          <w:rtl/>
        </w:rPr>
        <w:t xml:space="preserve">מספר נשים </w:t>
      </w:r>
      <w:r w:rsidR="006D2C91">
        <w:rPr>
          <w:rFonts w:hint="cs"/>
          <w:rtl/>
        </w:rPr>
        <w:t xml:space="preserve">שיצאו מהבעל </w:t>
      </w:r>
      <w:r w:rsidR="00431BF9">
        <w:rPr>
          <w:rFonts w:hint="cs"/>
          <w:rtl/>
        </w:rPr>
        <w:t>ביום אחד.</w:t>
      </w:r>
    </w:p>
    <w:p w14:paraId="49340984" w14:textId="6073ABED" w:rsidR="007867F2" w:rsidRDefault="007867F2" w:rsidP="007867F2">
      <w:pPr>
        <w:rPr>
          <w:rtl/>
        </w:rPr>
      </w:pPr>
      <w:r w:rsidRPr="00E65AD5">
        <w:rPr>
          <w:rFonts w:cs="Arial"/>
          <w:b/>
          <w:bCs/>
          <w:rtl/>
        </w:rPr>
        <w:t xml:space="preserve">כתובות </w:t>
      </w:r>
      <w:r w:rsidRPr="00E65AD5">
        <w:rPr>
          <w:rFonts w:cs="Arial" w:hint="cs"/>
          <w:b/>
          <w:bCs/>
          <w:sz w:val="16"/>
          <w:szCs w:val="16"/>
          <w:rtl/>
        </w:rPr>
        <w:t>(</w:t>
      </w:r>
      <w:r w:rsidR="00D36C74">
        <w:rPr>
          <w:rFonts w:cs="Arial" w:hint="cs"/>
          <w:b/>
          <w:bCs/>
          <w:sz w:val="16"/>
          <w:szCs w:val="16"/>
          <w:rtl/>
        </w:rPr>
        <w:t>פ' מי שהיה נשוי</w:t>
      </w:r>
      <w:r w:rsidRPr="00E65AD5">
        <w:rPr>
          <w:rFonts w:cs="Arial" w:hint="cs"/>
          <w:b/>
          <w:bCs/>
          <w:sz w:val="16"/>
          <w:szCs w:val="16"/>
          <w:rtl/>
        </w:rPr>
        <w:t>)</w:t>
      </w:r>
      <w:r w:rsidRPr="00E65AD5">
        <w:rPr>
          <w:rFonts w:cs="Arial" w:hint="cs"/>
          <w:b/>
          <w:bCs/>
          <w:rtl/>
        </w:rPr>
        <w:t xml:space="preserve"> צג</w:t>
      </w:r>
      <w:r w:rsidR="00BC27F0">
        <w:rPr>
          <w:rStyle w:val="a7"/>
          <w:rFonts w:cs="Arial"/>
          <w:b/>
          <w:bCs/>
          <w:rtl/>
        </w:rPr>
        <w:footnoteReference w:id="1761"/>
      </w:r>
      <w:r w:rsidRPr="00E65AD5">
        <w:rPr>
          <w:rFonts w:cs="Arial" w:hint="cs"/>
          <w:b/>
          <w:bCs/>
          <w:rtl/>
        </w:rPr>
        <w:t xml:space="preserve"> ע"ב</w:t>
      </w:r>
      <w:r w:rsidRPr="00E65AD5">
        <w:rPr>
          <w:rFonts w:cs="Arial"/>
          <w:b/>
          <w:bCs/>
          <w:rtl/>
        </w:rPr>
        <w:t>:</w:t>
      </w:r>
      <w:r w:rsidRPr="00E65AD5">
        <w:rPr>
          <w:rFonts w:cs="Arial"/>
          <w:rtl/>
        </w:rPr>
        <w:t xml:space="preserve"> </w:t>
      </w:r>
      <w:r w:rsidRPr="00E65AD5">
        <w:rPr>
          <w:rFonts w:cs="Arial"/>
          <w:u w:val="double"/>
          <w:rtl/>
        </w:rPr>
        <w:t>מתני'</w:t>
      </w:r>
      <w:r w:rsidRPr="00E65AD5">
        <w:rPr>
          <w:rFonts w:cs="Arial" w:hint="cs"/>
          <w:rtl/>
        </w:rPr>
        <w:t>:</w:t>
      </w:r>
      <w:r w:rsidRPr="00E65AD5">
        <w:rPr>
          <w:rFonts w:cs="Arial"/>
          <w:rtl/>
        </w:rPr>
        <w:t xml:space="preserve"> מי שהיה נשוי ד' נשים ומת</w:t>
      </w:r>
      <w:r w:rsidR="004469A6">
        <w:rPr>
          <w:rFonts w:hint="cs"/>
          <w:rtl/>
        </w:rPr>
        <w:t>...</w:t>
      </w:r>
      <w:r w:rsidR="004469A6" w:rsidRPr="004469A6">
        <w:rPr>
          <w:rtl/>
        </w:rPr>
        <w:t xml:space="preserve"> </w:t>
      </w:r>
      <w:r w:rsidR="004469A6" w:rsidRPr="004469A6">
        <w:rPr>
          <w:rFonts w:cs="Arial"/>
          <w:rtl/>
        </w:rPr>
        <w:t>היו יוצאות כולן ביום אחד</w:t>
      </w:r>
      <w:r w:rsidR="00D82514">
        <w:rPr>
          <w:rStyle w:val="a7"/>
          <w:rFonts w:cs="Arial"/>
          <w:rtl/>
        </w:rPr>
        <w:footnoteReference w:id="1762"/>
      </w:r>
      <w:r w:rsidR="004469A6" w:rsidRPr="004469A6">
        <w:rPr>
          <w:rFonts w:cs="Arial"/>
          <w:rtl/>
        </w:rPr>
        <w:t>, כל הקודמת לחברתה אפילו שעה אחת - זכתה; וכך היו כותבין בירושלים שעות. היו כולן יוצאות בשעה אחת, ואין שם אלא מנה - חולקות בשוה.</w:t>
      </w:r>
    </w:p>
    <w:p w14:paraId="1A0885F8" w14:textId="4347EEE7" w:rsidR="004469A6" w:rsidRPr="004469A6" w:rsidRDefault="005B3DBA" w:rsidP="007867F2">
      <w:pPr>
        <w:rPr>
          <w:u w:val="single"/>
          <w:rtl/>
        </w:rPr>
      </w:pPr>
      <w:r w:rsidRPr="005B3DBA">
        <w:rPr>
          <w:rFonts w:hint="cs"/>
          <w:u w:val="single"/>
          <w:rtl/>
        </w:rPr>
        <w:t>מספר נשים שיצאו מהבעל ביום אחד</w:t>
      </w:r>
      <w:r w:rsidR="004469A6" w:rsidRPr="004469A6">
        <w:rPr>
          <w:rFonts w:hint="cs"/>
          <w:u w:val="single"/>
          <w:rtl/>
        </w:rPr>
        <w:t>:</w:t>
      </w:r>
    </w:p>
    <w:p w14:paraId="5C35C7B3" w14:textId="4787702F" w:rsidR="00946029" w:rsidRPr="00946029" w:rsidRDefault="00946029" w:rsidP="009000E3">
      <w:pPr>
        <w:pStyle w:val="ab"/>
        <w:numPr>
          <w:ilvl w:val="0"/>
          <w:numId w:val="84"/>
        </w:numPr>
      </w:pPr>
      <w:r>
        <w:rPr>
          <w:rFonts w:cs="Arial" w:hint="cs"/>
          <w:rtl/>
        </w:rPr>
        <w:t xml:space="preserve">טור- </w:t>
      </w:r>
      <w:r w:rsidRPr="007F14E0">
        <w:rPr>
          <w:rFonts w:cs="Arial"/>
          <w:rtl/>
        </w:rPr>
        <w:t>היו כולם יוצאות ביום אחד</w:t>
      </w:r>
      <w:r w:rsidR="007C4C46">
        <w:rPr>
          <w:rFonts w:cs="Arial" w:hint="cs"/>
          <w:rtl/>
        </w:rPr>
        <w:t>,</w:t>
      </w:r>
      <w:r w:rsidRPr="007F14E0">
        <w:rPr>
          <w:rFonts w:cs="Arial"/>
          <w:rtl/>
        </w:rPr>
        <w:t xml:space="preserve"> במקום שכותבי</w:t>
      </w:r>
      <w:r w:rsidR="007C4C46">
        <w:rPr>
          <w:rFonts w:cs="Arial" w:hint="cs"/>
          <w:rtl/>
        </w:rPr>
        <w:t>ם</w:t>
      </w:r>
      <w:r w:rsidRPr="007F14E0">
        <w:rPr>
          <w:rFonts w:cs="Arial"/>
          <w:rtl/>
        </w:rPr>
        <w:t xml:space="preserve"> שעות</w:t>
      </w:r>
      <w:r w:rsidR="007C4C46">
        <w:rPr>
          <w:rFonts w:cs="Arial" w:hint="cs"/>
          <w:rtl/>
        </w:rPr>
        <w:t xml:space="preserve">, </w:t>
      </w:r>
      <w:r w:rsidRPr="007F14E0">
        <w:rPr>
          <w:rFonts w:cs="Arial"/>
          <w:rtl/>
        </w:rPr>
        <w:t>הראשונה תקדום</w:t>
      </w:r>
      <w:r w:rsidR="007C4C46">
        <w:rPr>
          <w:rFonts w:cs="Arial" w:hint="cs"/>
          <w:rtl/>
        </w:rPr>
        <w:t>.</w:t>
      </w:r>
      <w:r w:rsidRPr="007F14E0">
        <w:rPr>
          <w:rFonts w:cs="Arial"/>
          <w:rtl/>
        </w:rPr>
        <w:t xml:space="preserve"> ואם אין כותבין שעות</w:t>
      </w:r>
      <w:r w:rsidR="007C4C46">
        <w:rPr>
          <w:rFonts w:cs="Arial" w:hint="cs"/>
          <w:rtl/>
        </w:rPr>
        <w:t>,</w:t>
      </w:r>
      <w:r w:rsidRPr="007F14E0">
        <w:rPr>
          <w:rFonts w:cs="Arial"/>
          <w:rtl/>
        </w:rPr>
        <w:t xml:space="preserve"> אז שיעבוד כולם חל ביחד</w:t>
      </w:r>
      <w:r>
        <w:rPr>
          <w:rFonts w:cs="Arial" w:hint="cs"/>
          <w:rtl/>
        </w:rPr>
        <w:t>.</w:t>
      </w:r>
      <w:r w:rsidRPr="007F14E0">
        <w:rPr>
          <w:rFonts w:cs="Arial"/>
          <w:rtl/>
        </w:rPr>
        <w:t xml:space="preserve"> </w:t>
      </w:r>
      <w:r w:rsidR="00D82514" w:rsidRPr="008631A7">
        <w:rPr>
          <w:rFonts w:hint="cs"/>
          <w:color w:val="E36C0A" w:themeColor="accent6" w:themeShade="BF"/>
          <w:rtl/>
        </w:rPr>
        <w:t>(וכ"פ בשו"ע)</w:t>
      </w:r>
    </w:p>
    <w:p w14:paraId="40A55CCF"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B5DDEFE" w14:textId="1BAFD5C0" w:rsidR="00392DBB" w:rsidRDefault="00392DBB" w:rsidP="00392DBB">
      <w:pPr>
        <w:rPr>
          <w:rFonts w:cs="Arial"/>
          <w:rtl/>
        </w:rPr>
      </w:pPr>
      <w:r>
        <w:rPr>
          <w:rFonts w:cs="Arial"/>
          <w:rtl/>
        </w:rPr>
        <w:t xml:space="preserve">ואם היו כלן חתומות ביום אחד, במקום שכותבין שעות, הראשונות תקדם. ואם אין כותבין שעות, אז שעבוד כולן חל כאחד. </w:t>
      </w:r>
    </w:p>
    <w:p w14:paraId="43A7E6BD" w14:textId="77777777" w:rsidR="00865791" w:rsidRDefault="00865791" w:rsidP="00392DBB">
      <w:pPr>
        <w:rPr>
          <w:rtl/>
        </w:rPr>
      </w:pPr>
    </w:p>
    <w:p w14:paraId="0B40B761" w14:textId="5C2C7C83" w:rsidR="00392DBB" w:rsidRDefault="00392DBB" w:rsidP="000F64D0">
      <w:pPr>
        <w:pStyle w:val="2"/>
        <w:rPr>
          <w:rtl/>
        </w:rPr>
      </w:pPr>
      <w:r>
        <w:rPr>
          <w:rtl/>
        </w:rPr>
        <w:t>סעיף יח</w:t>
      </w:r>
      <w:r w:rsidR="00431BF9">
        <w:rPr>
          <w:rFonts w:hint="cs"/>
          <w:rtl/>
        </w:rPr>
        <w:t xml:space="preserve">: נשא מספר נשים </w:t>
      </w:r>
      <w:r w:rsidR="00EF2A52">
        <w:rPr>
          <w:rFonts w:hint="cs"/>
          <w:rtl/>
        </w:rPr>
        <w:t>וכתובתן שונה</w:t>
      </w:r>
      <w:r w:rsidR="00246A7B">
        <w:rPr>
          <w:rFonts w:hint="cs"/>
          <w:rtl/>
        </w:rPr>
        <w:t>, ואין בנכסיו כדי כתובת כולן.</w:t>
      </w:r>
    </w:p>
    <w:p w14:paraId="143FB5CC" w14:textId="260E1CE8" w:rsidR="00425354" w:rsidRPr="00425354" w:rsidRDefault="00425354" w:rsidP="00425354">
      <w:pPr>
        <w:rPr>
          <w:rFonts w:cs="Arial"/>
          <w:rtl/>
        </w:rPr>
      </w:pPr>
      <w:r w:rsidRPr="00E65AD5">
        <w:rPr>
          <w:rFonts w:cs="Arial"/>
          <w:b/>
          <w:bCs/>
          <w:rtl/>
        </w:rPr>
        <w:t xml:space="preserve">כתובות </w:t>
      </w:r>
      <w:r w:rsidRPr="00E65AD5">
        <w:rPr>
          <w:rFonts w:cs="Arial" w:hint="cs"/>
          <w:b/>
          <w:bCs/>
          <w:sz w:val="16"/>
          <w:szCs w:val="16"/>
          <w:rtl/>
        </w:rPr>
        <w:t>(</w:t>
      </w:r>
      <w:r>
        <w:rPr>
          <w:rFonts w:cs="Arial" w:hint="cs"/>
          <w:b/>
          <w:bCs/>
          <w:sz w:val="16"/>
          <w:szCs w:val="16"/>
          <w:rtl/>
        </w:rPr>
        <w:t>פ' מי שהיה נשוי</w:t>
      </w:r>
      <w:r w:rsidRPr="00E65AD5">
        <w:rPr>
          <w:rFonts w:cs="Arial" w:hint="cs"/>
          <w:b/>
          <w:bCs/>
          <w:sz w:val="16"/>
          <w:szCs w:val="16"/>
          <w:rtl/>
        </w:rPr>
        <w:t>)</w:t>
      </w:r>
      <w:r w:rsidRPr="00E65AD5">
        <w:rPr>
          <w:rFonts w:cs="Arial" w:hint="cs"/>
          <w:b/>
          <w:bCs/>
          <w:rtl/>
        </w:rPr>
        <w:t xml:space="preserve"> צג ע"</w:t>
      </w:r>
      <w:r>
        <w:rPr>
          <w:rFonts w:cs="Arial" w:hint="cs"/>
          <w:b/>
          <w:bCs/>
          <w:rtl/>
        </w:rPr>
        <w:t>א</w:t>
      </w:r>
      <w:r w:rsidRPr="00E65AD5">
        <w:rPr>
          <w:rFonts w:cs="Arial"/>
          <w:b/>
          <w:bCs/>
          <w:rtl/>
        </w:rPr>
        <w:t>:</w:t>
      </w:r>
      <w:r w:rsidRPr="00E65AD5">
        <w:rPr>
          <w:rFonts w:cs="Arial"/>
          <w:rtl/>
        </w:rPr>
        <w:t xml:space="preserve"> </w:t>
      </w:r>
      <w:r w:rsidRPr="00E65AD5">
        <w:rPr>
          <w:rFonts w:cs="Arial"/>
          <w:u w:val="double"/>
          <w:rtl/>
        </w:rPr>
        <w:t>מתני'</w:t>
      </w:r>
      <w:r w:rsidRPr="00E65AD5">
        <w:rPr>
          <w:rFonts w:cs="Arial" w:hint="cs"/>
          <w:rtl/>
        </w:rPr>
        <w:t>:</w:t>
      </w:r>
      <w:r>
        <w:rPr>
          <w:rFonts w:cs="Arial" w:hint="cs"/>
          <w:rtl/>
        </w:rPr>
        <w:t xml:space="preserve"> </w:t>
      </w:r>
      <w:r w:rsidRPr="00D36C74">
        <w:rPr>
          <w:rFonts w:cs="Arial"/>
          <w:rtl/>
        </w:rPr>
        <w:t>מי שהיה נשוי שלש נשים ומת, כתובתה של זו מנה ושל זו מאתים ושל זו שלש מאות</w:t>
      </w:r>
      <w:r>
        <w:rPr>
          <w:rStyle w:val="a7"/>
          <w:rFonts w:cs="Arial"/>
          <w:rtl/>
        </w:rPr>
        <w:footnoteReference w:id="1763"/>
      </w:r>
      <w:r w:rsidRPr="00D36C74">
        <w:rPr>
          <w:rFonts w:cs="Arial"/>
          <w:rtl/>
        </w:rPr>
        <w:t>, ואין שם אלא מנה - חולקין בשוה</w:t>
      </w:r>
      <w:r>
        <w:rPr>
          <w:rStyle w:val="a7"/>
          <w:rFonts w:cs="Arial"/>
          <w:rtl/>
        </w:rPr>
        <w:footnoteReference w:id="1764"/>
      </w:r>
      <w:r w:rsidRPr="00D36C74">
        <w:rPr>
          <w:rFonts w:cs="Arial"/>
          <w:rtl/>
        </w:rPr>
        <w:t>. היו שם מאתים</w:t>
      </w:r>
      <w:r>
        <w:rPr>
          <w:rStyle w:val="a7"/>
          <w:rFonts w:cs="Arial"/>
          <w:rtl/>
        </w:rPr>
        <w:footnoteReference w:id="1765"/>
      </w:r>
      <w:r w:rsidRPr="00D36C74">
        <w:rPr>
          <w:rFonts w:cs="Arial"/>
          <w:rtl/>
        </w:rPr>
        <w:t>, של מנה - נוטלת חמשים, של מאתים ושל שלש מאות - שלשה שלשה של זהב</w:t>
      </w:r>
      <w:r>
        <w:rPr>
          <w:rStyle w:val="a7"/>
          <w:rFonts w:cs="Arial"/>
          <w:rtl/>
        </w:rPr>
        <w:footnoteReference w:id="1766"/>
      </w:r>
      <w:r w:rsidRPr="00D36C74">
        <w:rPr>
          <w:rFonts w:cs="Arial"/>
          <w:rtl/>
        </w:rPr>
        <w:t>. היו שם שלש מאות</w:t>
      </w:r>
      <w:r>
        <w:rPr>
          <w:rStyle w:val="a7"/>
          <w:rFonts w:cs="Arial"/>
          <w:rtl/>
        </w:rPr>
        <w:footnoteReference w:id="1767"/>
      </w:r>
      <w:r w:rsidRPr="00D36C74">
        <w:rPr>
          <w:rFonts w:cs="Arial"/>
          <w:rtl/>
        </w:rPr>
        <w:t>, של מנה - נוטלת חמשים, ושל מאתים - מנה, ושל שלש מאות - ששה של זהב</w:t>
      </w:r>
      <w:r>
        <w:rPr>
          <w:rStyle w:val="a7"/>
          <w:rFonts w:cs="Arial"/>
          <w:rtl/>
        </w:rPr>
        <w:footnoteReference w:id="1768"/>
      </w:r>
      <w:r w:rsidRPr="00D36C74">
        <w:rPr>
          <w:rFonts w:cs="Arial"/>
          <w:rtl/>
        </w:rPr>
        <w:t>.</w:t>
      </w:r>
      <w:r>
        <w:rPr>
          <w:rFonts w:cs="Arial" w:hint="cs"/>
          <w:rtl/>
        </w:rPr>
        <w:t>.</w:t>
      </w:r>
      <w:r w:rsidRPr="00D36C74">
        <w:rPr>
          <w:rFonts w:cs="Arial"/>
          <w:rtl/>
        </w:rPr>
        <w:t xml:space="preserve">. </w:t>
      </w:r>
      <w:r>
        <w:rPr>
          <w:rFonts w:cs="Arial" w:hint="cs"/>
          <w:rtl/>
        </w:rPr>
        <w:t xml:space="preserve">    </w:t>
      </w:r>
      <w:r w:rsidRPr="00E65AD5">
        <w:rPr>
          <w:rFonts w:cs="Arial"/>
          <w:u w:val="double"/>
          <w:rtl/>
        </w:rPr>
        <w:t>מתני'</w:t>
      </w:r>
      <w:r w:rsidRPr="00E65AD5">
        <w:rPr>
          <w:rFonts w:cs="Arial" w:hint="cs"/>
          <w:rtl/>
        </w:rPr>
        <w:t>:</w:t>
      </w:r>
      <w:r>
        <w:rPr>
          <w:rFonts w:cs="Arial" w:hint="cs"/>
          <w:rtl/>
        </w:rPr>
        <w:t xml:space="preserve"> </w:t>
      </w:r>
      <w:r w:rsidRPr="00D40FAB">
        <w:rPr>
          <w:rFonts w:cs="Arial"/>
          <w:rtl/>
        </w:rPr>
        <w:t xml:space="preserve">תניא: זו משנת רבי נתן; </w:t>
      </w:r>
      <w:r w:rsidRPr="00D40FAB">
        <w:rPr>
          <w:rFonts w:cs="Arial"/>
          <w:u w:val="single"/>
          <w:rtl/>
        </w:rPr>
        <w:t>רבי אומר</w:t>
      </w:r>
      <w:r w:rsidRPr="00D40FAB">
        <w:rPr>
          <w:rFonts w:cs="Arial"/>
          <w:rtl/>
        </w:rPr>
        <w:t>: אין אני רואה דבריו של רבי נתן באלו, אלא חולקות בשוה.</w:t>
      </w:r>
      <w:r>
        <w:rPr>
          <w:rFonts w:cs="Arial" w:hint="cs"/>
          <w:sz w:val="16"/>
          <w:szCs w:val="16"/>
          <w:rtl/>
        </w:rPr>
        <w:t xml:space="preserve"> (</w:t>
      </w:r>
      <w:r w:rsidRPr="00425354">
        <w:rPr>
          <w:rFonts w:cs="Arial"/>
          <w:sz w:val="16"/>
          <w:szCs w:val="16"/>
          <w:rtl/>
        </w:rPr>
        <w:t>ופסקו הרי"ף (נב.) והרמב"ם (פי"ז ה"ח) והתוספות (צג. ד"ה רבי) והרא"ש (סי' ט) הלכה כרבי</w:t>
      </w:r>
      <w:r w:rsidRPr="00425354">
        <w:rPr>
          <w:rFonts w:cs="Arial" w:hint="cs"/>
          <w:sz w:val="16"/>
          <w:szCs w:val="16"/>
          <w:rtl/>
        </w:rPr>
        <w:t>.</w:t>
      </w:r>
      <w:r w:rsidRPr="00425354">
        <w:rPr>
          <w:rFonts w:cs="Arial"/>
          <w:sz w:val="16"/>
          <w:szCs w:val="16"/>
          <w:rtl/>
        </w:rPr>
        <w:t xml:space="preserve"> וכתב הרא"ש וז"ל פר"ח דקיי"ל בהא כרבי ואי אפשר להעמיד דבריו בזמן שיש שם ש' שיחלקו בשוה</w:t>
      </w:r>
      <w:r w:rsidR="00BC27F0">
        <w:rPr>
          <w:rFonts w:cs="Arial" w:hint="cs"/>
          <w:sz w:val="16"/>
          <w:szCs w:val="16"/>
          <w:rtl/>
        </w:rPr>
        <w:t>,</w:t>
      </w:r>
      <w:r w:rsidRPr="00425354">
        <w:rPr>
          <w:rFonts w:cs="Arial"/>
          <w:sz w:val="16"/>
          <w:szCs w:val="16"/>
          <w:rtl/>
        </w:rPr>
        <w:t xml:space="preserve"> אלא כל עזבון המת חולקים לששה חלקים</w:t>
      </w:r>
      <w:r w:rsidR="00BC27F0">
        <w:rPr>
          <w:rFonts w:cs="Arial" w:hint="cs"/>
          <w:sz w:val="16"/>
          <w:szCs w:val="16"/>
          <w:rtl/>
        </w:rPr>
        <w:t>,</w:t>
      </w:r>
      <w:r w:rsidRPr="00425354">
        <w:rPr>
          <w:rFonts w:cs="Arial"/>
          <w:sz w:val="16"/>
          <w:szCs w:val="16"/>
          <w:rtl/>
        </w:rPr>
        <w:t xml:space="preserve"> של מנה נוטלת חלק אחד</w:t>
      </w:r>
      <w:r w:rsidR="00BC27F0">
        <w:rPr>
          <w:rFonts w:cs="Arial" w:hint="cs"/>
          <w:sz w:val="16"/>
          <w:szCs w:val="16"/>
          <w:rtl/>
        </w:rPr>
        <w:t>,</w:t>
      </w:r>
      <w:r w:rsidRPr="00425354">
        <w:rPr>
          <w:rFonts w:cs="Arial"/>
          <w:sz w:val="16"/>
          <w:szCs w:val="16"/>
          <w:rtl/>
        </w:rPr>
        <w:t xml:space="preserve"> ושל ק"ק ב' חלקים</w:t>
      </w:r>
      <w:r w:rsidR="00BC27F0">
        <w:rPr>
          <w:rFonts w:cs="Arial" w:hint="cs"/>
          <w:sz w:val="16"/>
          <w:szCs w:val="16"/>
          <w:rtl/>
        </w:rPr>
        <w:t>,</w:t>
      </w:r>
      <w:r w:rsidRPr="00425354">
        <w:rPr>
          <w:rFonts w:cs="Arial"/>
          <w:sz w:val="16"/>
          <w:szCs w:val="16"/>
          <w:rtl/>
        </w:rPr>
        <w:t xml:space="preserve"> ושל ש' ג' חלקים</w:t>
      </w:r>
      <w:r w:rsidR="00BC27F0">
        <w:rPr>
          <w:rFonts w:cs="Arial" w:hint="cs"/>
          <w:sz w:val="16"/>
          <w:szCs w:val="16"/>
          <w:rtl/>
        </w:rPr>
        <w:t>,</w:t>
      </w:r>
      <w:r w:rsidRPr="00425354">
        <w:rPr>
          <w:rFonts w:cs="Arial"/>
          <w:sz w:val="16"/>
          <w:szCs w:val="16"/>
          <w:rtl/>
        </w:rPr>
        <w:t xml:space="preserve"> וכל חדא וחדא נוטלת כפי מעותיה עד שתפרע כל כתובתה</w:t>
      </w:r>
      <w:r w:rsidR="00BC27F0">
        <w:rPr>
          <w:rFonts w:cs="Arial" w:hint="cs"/>
          <w:sz w:val="16"/>
          <w:szCs w:val="16"/>
          <w:rtl/>
        </w:rPr>
        <w:t>,</w:t>
      </w:r>
      <w:r w:rsidRPr="00425354">
        <w:rPr>
          <w:rFonts w:cs="Arial"/>
          <w:sz w:val="16"/>
          <w:szCs w:val="16"/>
          <w:rtl/>
        </w:rPr>
        <w:t xml:space="preserve"> כי זה הדין משפט צדק</w:t>
      </w:r>
      <w:r w:rsidR="00BC27F0">
        <w:rPr>
          <w:rFonts w:cs="Arial" w:hint="cs"/>
          <w:sz w:val="16"/>
          <w:szCs w:val="16"/>
          <w:rtl/>
        </w:rPr>
        <w:t>.</w:t>
      </w:r>
      <w:r w:rsidRPr="00425354">
        <w:rPr>
          <w:rFonts w:cs="Arial"/>
          <w:sz w:val="16"/>
          <w:szCs w:val="16"/>
          <w:rtl/>
        </w:rPr>
        <w:t xml:space="preserve"> ומה שאמר רבי אין אני רואה דבריו של רבי נתן בזו </w:t>
      </w:r>
      <w:r w:rsidR="00BC27F0">
        <w:rPr>
          <w:rFonts w:cs="Arial" w:hint="cs"/>
          <w:sz w:val="16"/>
          <w:szCs w:val="16"/>
          <w:rtl/>
        </w:rPr>
        <w:t xml:space="preserve">- </w:t>
      </w:r>
      <w:r w:rsidRPr="00425354">
        <w:rPr>
          <w:rFonts w:cs="Arial"/>
          <w:sz w:val="16"/>
          <w:szCs w:val="16"/>
          <w:rtl/>
        </w:rPr>
        <w:t>בבבא רישא ומציעתא</w:t>
      </w:r>
      <w:r w:rsidR="00BC27F0">
        <w:rPr>
          <w:rFonts w:cs="Arial" w:hint="cs"/>
          <w:sz w:val="16"/>
          <w:szCs w:val="16"/>
          <w:rtl/>
        </w:rPr>
        <w:t>,</w:t>
      </w:r>
      <w:r w:rsidRPr="00425354">
        <w:rPr>
          <w:rFonts w:cs="Arial"/>
          <w:sz w:val="16"/>
          <w:szCs w:val="16"/>
          <w:rtl/>
        </w:rPr>
        <w:t xml:space="preserve"> אבל בבבא דסיפא לא פליג רבי ע"כ</w:t>
      </w:r>
      <w:r w:rsidRPr="00425354">
        <w:rPr>
          <w:rFonts w:cs="Arial" w:hint="cs"/>
          <w:sz w:val="16"/>
          <w:szCs w:val="16"/>
          <w:rtl/>
        </w:rPr>
        <w:t>,</w:t>
      </w:r>
      <w:r w:rsidRPr="00425354">
        <w:rPr>
          <w:rFonts w:cs="Arial"/>
          <w:sz w:val="16"/>
          <w:szCs w:val="16"/>
          <w:rtl/>
        </w:rPr>
        <w:t xml:space="preserve"> והאריך בראיות</w:t>
      </w:r>
      <w:r w:rsidRPr="00425354">
        <w:rPr>
          <w:rFonts w:cs="Arial" w:hint="cs"/>
          <w:sz w:val="16"/>
          <w:szCs w:val="16"/>
          <w:rtl/>
        </w:rPr>
        <w:t>,</w:t>
      </w:r>
      <w:r w:rsidRPr="00425354">
        <w:rPr>
          <w:rFonts w:cs="Arial"/>
          <w:sz w:val="16"/>
          <w:szCs w:val="16"/>
          <w:rtl/>
        </w:rPr>
        <w:t xml:space="preserve"> והרא"ש דחה ראיותיו</w:t>
      </w:r>
      <w:r w:rsidRPr="00425354">
        <w:rPr>
          <w:rFonts w:cs="Arial" w:hint="cs"/>
          <w:sz w:val="16"/>
          <w:szCs w:val="16"/>
          <w:rtl/>
        </w:rPr>
        <w:t>,</w:t>
      </w:r>
      <w:r w:rsidRPr="00425354">
        <w:rPr>
          <w:rFonts w:cs="Arial"/>
          <w:sz w:val="16"/>
          <w:szCs w:val="16"/>
          <w:rtl/>
        </w:rPr>
        <w:t xml:space="preserve"> והסכים לדברי רש"י והרי"ף שפירשו דסבר רבי דכל השלשה מנים משועבדים לבעלת מנה כשאר חברותיה עד שתגבה כל כתובתה לפיכך חולקות בשוה</w:t>
      </w:r>
      <w:r w:rsidRPr="00425354">
        <w:rPr>
          <w:rFonts w:cs="Arial" w:hint="cs"/>
          <w:sz w:val="16"/>
          <w:szCs w:val="16"/>
          <w:rtl/>
        </w:rPr>
        <w:t>.</w:t>
      </w:r>
      <w:r w:rsidRPr="00425354">
        <w:rPr>
          <w:rFonts w:cs="Arial"/>
          <w:sz w:val="16"/>
          <w:szCs w:val="16"/>
          <w:rtl/>
        </w:rPr>
        <w:t xml:space="preserve"> וכן דעת הרמב"ם בפי"ז מהלכות אישות</w:t>
      </w:r>
      <w:r w:rsidRPr="00425354">
        <w:rPr>
          <w:rFonts w:cs="Arial" w:hint="cs"/>
          <w:sz w:val="16"/>
          <w:szCs w:val="16"/>
          <w:rtl/>
        </w:rPr>
        <w:t>.</w:t>
      </w:r>
      <w:r w:rsidRPr="00425354">
        <w:rPr>
          <w:rFonts w:cs="Arial"/>
          <w:sz w:val="16"/>
          <w:szCs w:val="16"/>
          <w:rtl/>
        </w:rPr>
        <w:t xml:space="preserve"> וכתב הרב המגיד שכן הכריחו הרבה מהמפרשים האחרונים ובכללם הרשב"א ועיקר</w:t>
      </w:r>
      <w:r w:rsidRPr="00425354">
        <w:rPr>
          <w:rFonts w:cs="Arial" w:hint="cs"/>
          <w:sz w:val="16"/>
          <w:szCs w:val="16"/>
          <w:rtl/>
        </w:rPr>
        <w:t>, ב"י)</w:t>
      </w:r>
    </w:p>
    <w:p w14:paraId="04A9FB07" w14:textId="08D2A4FF" w:rsidR="005B3DBA" w:rsidRPr="005B3DBA" w:rsidRDefault="005B3DBA" w:rsidP="005B3DBA">
      <w:pPr>
        <w:rPr>
          <w:u w:val="single"/>
          <w:rtl/>
        </w:rPr>
      </w:pPr>
      <w:r w:rsidRPr="005B3DBA">
        <w:rPr>
          <w:rFonts w:hint="cs"/>
          <w:u w:val="single"/>
          <w:rtl/>
        </w:rPr>
        <w:t>נשא מספר נשים וכתובתן שונה, ואין בנכסיו כדי כתובת כולן:</w:t>
      </w:r>
    </w:p>
    <w:p w14:paraId="3743D264" w14:textId="5C86DBD0" w:rsidR="00FF156A" w:rsidRPr="00FF156A" w:rsidRDefault="00FF156A" w:rsidP="009000E3">
      <w:pPr>
        <w:pStyle w:val="ab"/>
        <w:numPr>
          <w:ilvl w:val="0"/>
          <w:numId w:val="84"/>
        </w:numPr>
      </w:pPr>
      <w:r>
        <w:rPr>
          <w:rFonts w:cs="Arial" w:hint="cs"/>
          <w:rtl/>
        </w:rPr>
        <w:lastRenderedPageBreak/>
        <w:t xml:space="preserve">רי"ף </w:t>
      </w:r>
      <w:r>
        <w:rPr>
          <w:rFonts w:cs="Arial" w:hint="cs"/>
          <w:sz w:val="16"/>
          <w:szCs w:val="16"/>
          <w:rtl/>
        </w:rPr>
        <w:t xml:space="preserve">(נב.) </w:t>
      </w:r>
      <w:r w:rsidR="00AA78C0">
        <w:rPr>
          <w:rFonts w:cs="Arial" w:hint="cs"/>
          <w:rtl/>
        </w:rPr>
        <w:t xml:space="preserve">רמב"ם </w:t>
      </w:r>
      <w:r w:rsidR="00AA78C0">
        <w:rPr>
          <w:rFonts w:cs="Arial" w:hint="cs"/>
          <w:sz w:val="16"/>
          <w:szCs w:val="16"/>
          <w:rtl/>
        </w:rPr>
        <w:t>(פי"ז מהל' אישות ה"ח)</w:t>
      </w:r>
      <w:r w:rsidR="00AA78C0">
        <w:rPr>
          <w:rFonts w:cs="Arial" w:hint="cs"/>
          <w:rtl/>
        </w:rPr>
        <w:t xml:space="preserve"> </w:t>
      </w:r>
      <w:r>
        <w:rPr>
          <w:rFonts w:cs="Arial" w:hint="cs"/>
          <w:rtl/>
        </w:rPr>
        <w:t xml:space="preserve">רא"ש </w:t>
      </w:r>
      <w:r>
        <w:rPr>
          <w:rFonts w:cs="Arial" w:hint="cs"/>
          <w:sz w:val="16"/>
          <w:szCs w:val="16"/>
          <w:rtl/>
        </w:rPr>
        <w:t>(סי' ט)</w:t>
      </w:r>
      <w:r>
        <w:rPr>
          <w:rFonts w:cs="Arial" w:hint="cs"/>
          <w:rtl/>
        </w:rPr>
        <w:t xml:space="preserve"> ו</w:t>
      </w:r>
      <w:r w:rsidR="00946029">
        <w:rPr>
          <w:rFonts w:cs="Arial" w:hint="cs"/>
          <w:rtl/>
        </w:rPr>
        <w:t xml:space="preserve">טור- </w:t>
      </w:r>
      <w:r w:rsidR="00AA78C0" w:rsidRPr="00AA78C0">
        <w:rPr>
          <w:rFonts w:cs="Arial"/>
          <w:rtl/>
        </w:rPr>
        <w:t>מי שמת או גירש ויש לו נשים רבות ואין שם דין קדימה ואין לו כדי כל הכתובות כיצד הן חולקות</w:t>
      </w:r>
      <w:r w:rsidR="00BC27F0">
        <w:rPr>
          <w:rFonts w:cs="Arial" w:hint="cs"/>
          <w:rtl/>
        </w:rPr>
        <w:t>.</w:t>
      </w:r>
      <w:r w:rsidR="00AA78C0" w:rsidRPr="00AA78C0">
        <w:rPr>
          <w:rFonts w:cs="Arial"/>
          <w:rtl/>
        </w:rPr>
        <w:t xml:space="preserve"> רואים</w:t>
      </w:r>
      <w:r w:rsidR="00BC27F0">
        <w:rPr>
          <w:rFonts w:cs="Arial" w:hint="cs"/>
          <w:rtl/>
        </w:rPr>
        <w:t>,</w:t>
      </w:r>
      <w:r w:rsidR="00AA78C0" w:rsidRPr="00AA78C0">
        <w:rPr>
          <w:rFonts w:cs="Arial"/>
          <w:rtl/>
        </w:rPr>
        <w:t xml:space="preserve"> אם כשיחלק הממון על מנין הנשים יגיע לפחותה שבהן כדי כתובתה או פחות </w:t>
      </w:r>
      <w:r w:rsidR="00BC27F0">
        <w:rPr>
          <w:rFonts w:cs="Arial" w:hint="cs"/>
          <w:rtl/>
        </w:rPr>
        <w:t xml:space="preserve">- </w:t>
      </w:r>
      <w:r w:rsidR="00AA78C0" w:rsidRPr="00AA78C0">
        <w:rPr>
          <w:rFonts w:cs="Arial"/>
          <w:rtl/>
        </w:rPr>
        <w:t>חולקות בשוה</w:t>
      </w:r>
      <w:r w:rsidR="00BC27F0">
        <w:rPr>
          <w:rFonts w:cs="Arial" w:hint="cs"/>
          <w:rtl/>
        </w:rPr>
        <w:t>.</w:t>
      </w:r>
      <w:r w:rsidR="00AA78C0" w:rsidRPr="00AA78C0">
        <w:rPr>
          <w:rFonts w:cs="Arial"/>
          <w:rtl/>
        </w:rPr>
        <w:t xml:space="preserve"> ואם היה הממון יתר על זה</w:t>
      </w:r>
      <w:r w:rsidR="00BC27F0">
        <w:rPr>
          <w:rFonts w:cs="Arial" w:hint="cs"/>
          <w:rtl/>
        </w:rPr>
        <w:t xml:space="preserve"> -</w:t>
      </w:r>
      <w:r w:rsidR="00AA78C0" w:rsidRPr="00AA78C0">
        <w:rPr>
          <w:rFonts w:cs="Arial"/>
          <w:rtl/>
        </w:rPr>
        <w:t xml:space="preserve"> חולקים ממנו כדי שיגיע לפחותה שבהן כשיעור כתובתה</w:t>
      </w:r>
      <w:r w:rsidR="00BC27F0">
        <w:rPr>
          <w:rFonts w:cs="Arial" w:hint="cs"/>
          <w:rtl/>
        </w:rPr>
        <w:t>,</w:t>
      </w:r>
      <w:r w:rsidR="00AA78C0" w:rsidRPr="00AA78C0">
        <w:rPr>
          <w:rFonts w:cs="Arial"/>
          <w:rtl/>
        </w:rPr>
        <w:t xml:space="preserve"> וחוזרות וחולקות את המותר בין הנותרות על הדרך הראשונה. כיצד</w:t>
      </w:r>
      <w:r w:rsidR="00BC27F0">
        <w:rPr>
          <w:rFonts w:cs="Arial" w:hint="cs"/>
          <w:rtl/>
        </w:rPr>
        <w:t>,</w:t>
      </w:r>
      <w:r w:rsidR="00AA78C0" w:rsidRPr="00AA78C0">
        <w:rPr>
          <w:rFonts w:cs="Arial"/>
          <w:rtl/>
        </w:rPr>
        <w:t xml:space="preserve"> מי שהיה נשוי ארבע נשים</w:t>
      </w:r>
      <w:r w:rsidR="00BC27F0">
        <w:rPr>
          <w:rFonts w:cs="Arial" w:hint="cs"/>
          <w:rtl/>
        </w:rPr>
        <w:t>,</w:t>
      </w:r>
      <w:r w:rsidR="00AA78C0" w:rsidRPr="00AA78C0">
        <w:rPr>
          <w:rFonts w:cs="Arial"/>
          <w:rtl/>
        </w:rPr>
        <w:t xml:space="preserve"> כתובתה של ראשונה ארבע מאות</w:t>
      </w:r>
      <w:r w:rsidR="00BC27F0">
        <w:rPr>
          <w:rFonts w:cs="Arial" w:hint="cs"/>
          <w:rtl/>
        </w:rPr>
        <w:t>,</w:t>
      </w:r>
      <w:r w:rsidR="00AA78C0" w:rsidRPr="00AA78C0">
        <w:rPr>
          <w:rFonts w:cs="Arial"/>
          <w:rtl/>
        </w:rPr>
        <w:t xml:space="preserve"> ושל שנייה שלש מאות</w:t>
      </w:r>
      <w:r w:rsidR="00BC27F0">
        <w:rPr>
          <w:rFonts w:cs="Arial" w:hint="cs"/>
          <w:rtl/>
        </w:rPr>
        <w:t>,</w:t>
      </w:r>
      <w:r w:rsidR="00AA78C0" w:rsidRPr="00AA78C0">
        <w:rPr>
          <w:rFonts w:cs="Arial"/>
          <w:rtl/>
        </w:rPr>
        <w:t xml:space="preserve"> ושל שלישית מאתים</w:t>
      </w:r>
      <w:r w:rsidR="00BC27F0">
        <w:rPr>
          <w:rFonts w:cs="Arial" w:hint="cs"/>
          <w:rtl/>
        </w:rPr>
        <w:t>,</w:t>
      </w:r>
      <w:r w:rsidR="00AA78C0" w:rsidRPr="00AA78C0">
        <w:rPr>
          <w:rFonts w:cs="Arial"/>
          <w:rtl/>
        </w:rPr>
        <w:t xml:space="preserve"> ושל רביעית מאה</w:t>
      </w:r>
      <w:r w:rsidR="00BC27F0">
        <w:rPr>
          <w:rFonts w:cs="Arial" w:hint="cs"/>
          <w:rtl/>
        </w:rPr>
        <w:t>,</w:t>
      </w:r>
      <w:r w:rsidR="00AA78C0" w:rsidRPr="00AA78C0">
        <w:rPr>
          <w:rFonts w:cs="Arial"/>
          <w:rtl/>
        </w:rPr>
        <w:t xml:space="preserve"> נמצא הכל אלף</w:t>
      </w:r>
      <w:r w:rsidR="00BC27F0">
        <w:rPr>
          <w:rFonts w:cs="Arial" w:hint="cs"/>
          <w:rtl/>
        </w:rPr>
        <w:t>,</w:t>
      </w:r>
      <w:r w:rsidR="00AA78C0" w:rsidRPr="00AA78C0">
        <w:rPr>
          <w:rFonts w:cs="Arial"/>
          <w:rtl/>
        </w:rPr>
        <w:t xml:space="preserve"> וגירש כולן או מת</w:t>
      </w:r>
      <w:r w:rsidR="00BC27F0">
        <w:rPr>
          <w:rFonts w:cs="Arial" w:hint="cs"/>
          <w:rtl/>
        </w:rPr>
        <w:t>.</w:t>
      </w:r>
      <w:r w:rsidR="00AA78C0" w:rsidRPr="00AA78C0">
        <w:rPr>
          <w:rFonts w:cs="Arial"/>
          <w:rtl/>
        </w:rPr>
        <w:t xml:space="preserve"> אם הניח ארבע מאות או פחות </w:t>
      </w:r>
      <w:r w:rsidR="00BC27F0">
        <w:rPr>
          <w:rFonts w:cs="Arial" w:hint="cs"/>
          <w:rtl/>
        </w:rPr>
        <w:t xml:space="preserve">- </w:t>
      </w:r>
      <w:r w:rsidR="00AA78C0" w:rsidRPr="00AA78C0">
        <w:rPr>
          <w:rFonts w:cs="Arial"/>
          <w:rtl/>
        </w:rPr>
        <w:t>חולקות בשוה וכל אחת נוטלת מאה או פחות. הניח שמונה מאות אם תחלק בין כולן בשוה נמצאת הרביעית נוטלת מאתים והרי אין בכתובתה אלא מאה, אלא כיצד עושין לוקחין ארבע מאות וחולקין אותן ביניהן בשוה מאה מאה, נמצאת הרביעית נטלה כדי כתובתה והלכה לה</w:t>
      </w:r>
      <w:r w:rsidR="00BC27F0">
        <w:rPr>
          <w:rFonts w:cs="Arial" w:hint="cs"/>
          <w:rtl/>
        </w:rPr>
        <w:t>,</w:t>
      </w:r>
      <w:r w:rsidR="00AA78C0" w:rsidRPr="00AA78C0">
        <w:rPr>
          <w:rFonts w:cs="Arial"/>
          <w:rtl/>
        </w:rPr>
        <w:t xml:space="preserve"> ונשאר כאן ארבע מאות ושלש נשים שביד כל אחת משלשתן מאה, אם תחלק הארבע מאות בין שלשתן בשוה נמצאת השלישית נוטלת מאתים ושלשים ושלשה ושליש והרי אין בכתובתה אלא מאתים, לפיכך לוקחין מארבע המאות שלש מאות וחולקין בין שלשתן בשוה שנמצאת השלישית נטלה מאתים שלה והלכה לה</w:t>
      </w:r>
      <w:r w:rsidR="005E1860">
        <w:rPr>
          <w:rFonts w:cs="Arial" w:hint="cs"/>
          <w:rtl/>
        </w:rPr>
        <w:t>.</w:t>
      </w:r>
      <w:r w:rsidR="00AA78C0" w:rsidRPr="00AA78C0">
        <w:rPr>
          <w:rFonts w:cs="Arial"/>
          <w:rtl/>
        </w:rPr>
        <w:t xml:space="preserve"> נשאר כאן מאה ושתי נשים, חולקין את המאה בשוה בין ראשונה ושנייה, נמצא ביד הראשונה מאתים וחמשים וכן ביד השנייה</w:t>
      </w:r>
      <w:r w:rsidR="005E1860">
        <w:rPr>
          <w:rFonts w:cs="Arial" w:hint="cs"/>
          <w:rtl/>
        </w:rPr>
        <w:t>.</w:t>
      </w:r>
      <w:r w:rsidR="00AA78C0" w:rsidRPr="00AA78C0">
        <w:rPr>
          <w:rFonts w:cs="Arial"/>
          <w:rtl/>
        </w:rPr>
        <w:t xml:space="preserve"> ונמצא ביד השלישית מאתים וביד הרביעית מאה, ועל דרך זו חולקות לעולם אפילו הן מאה </w:t>
      </w:r>
      <w:r>
        <w:rPr>
          <w:rFonts w:cs="Arial" w:hint="cs"/>
          <w:sz w:val="16"/>
          <w:szCs w:val="16"/>
          <w:rtl/>
        </w:rPr>
        <w:t>(ל' ה</w:t>
      </w:r>
      <w:r w:rsidR="00AA78C0">
        <w:rPr>
          <w:rFonts w:cs="Arial" w:hint="cs"/>
          <w:sz w:val="16"/>
          <w:szCs w:val="16"/>
          <w:rtl/>
        </w:rPr>
        <w:t>רמב"ם</w:t>
      </w:r>
      <w:r>
        <w:rPr>
          <w:rFonts w:cs="Arial" w:hint="cs"/>
          <w:sz w:val="16"/>
          <w:szCs w:val="16"/>
          <w:rtl/>
        </w:rPr>
        <w:t>)</w:t>
      </w:r>
      <w:r>
        <w:rPr>
          <w:rFonts w:cs="Arial" w:hint="cs"/>
          <w:rtl/>
        </w:rPr>
        <w:t>.</w:t>
      </w:r>
      <w:r w:rsidR="00AA78C0" w:rsidRPr="00AA78C0">
        <w:rPr>
          <w:rFonts w:hint="cs"/>
          <w:color w:val="E36C0A" w:themeColor="accent6" w:themeShade="BF"/>
          <w:rtl/>
        </w:rPr>
        <w:t xml:space="preserve"> </w:t>
      </w:r>
      <w:r w:rsidR="00AA78C0" w:rsidRPr="008631A7">
        <w:rPr>
          <w:rFonts w:hint="cs"/>
          <w:color w:val="E36C0A" w:themeColor="accent6" w:themeShade="BF"/>
          <w:rtl/>
        </w:rPr>
        <w:t>(וכ"פ בשו"ע)</w:t>
      </w:r>
    </w:p>
    <w:p w14:paraId="49AB7EF5" w14:textId="23C964AB" w:rsidR="00FF156A" w:rsidRPr="00FF156A" w:rsidRDefault="00946029" w:rsidP="009000E3">
      <w:pPr>
        <w:pStyle w:val="ab"/>
        <w:numPr>
          <w:ilvl w:val="0"/>
          <w:numId w:val="84"/>
        </w:numPr>
      </w:pPr>
      <w:r w:rsidRPr="007F14E0">
        <w:rPr>
          <w:rFonts w:cs="Arial"/>
          <w:rtl/>
        </w:rPr>
        <w:t>ר"ח</w:t>
      </w:r>
      <w:r w:rsidR="00FF156A">
        <w:rPr>
          <w:rFonts w:cs="Arial" w:hint="cs"/>
          <w:sz w:val="16"/>
          <w:szCs w:val="16"/>
          <w:rtl/>
        </w:rPr>
        <w:t xml:space="preserve"> (כ"כ הטור בשמו)</w:t>
      </w:r>
      <w:r w:rsidR="00FF156A">
        <w:rPr>
          <w:rFonts w:cs="Arial" w:hint="cs"/>
          <w:rtl/>
        </w:rPr>
        <w:t>-</w:t>
      </w:r>
      <w:r w:rsidRPr="007F14E0">
        <w:rPr>
          <w:rFonts w:cs="Arial"/>
          <w:rtl/>
        </w:rPr>
        <w:t xml:space="preserve"> </w:t>
      </w:r>
      <w:r w:rsidR="00A33324">
        <w:rPr>
          <w:rFonts w:cs="Arial" w:hint="cs"/>
          <w:rtl/>
        </w:rPr>
        <w:t xml:space="preserve">- </w:t>
      </w:r>
      <w:r w:rsidR="00A33324" w:rsidRPr="007F14E0">
        <w:rPr>
          <w:rFonts w:cs="Arial"/>
          <w:rtl/>
        </w:rPr>
        <w:t>אם כתובתה של האחת מנה</w:t>
      </w:r>
      <w:r w:rsidR="00A33324">
        <w:rPr>
          <w:rFonts w:cs="Arial" w:hint="cs"/>
          <w:rtl/>
        </w:rPr>
        <w:t>,</w:t>
      </w:r>
      <w:r w:rsidR="00A33324" w:rsidRPr="007F14E0">
        <w:rPr>
          <w:rFonts w:cs="Arial"/>
          <w:rtl/>
        </w:rPr>
        <w:t xml:space="preserve"> ושל זו מאתים</w:t>
      </w:r>
      <w:r w:rsidR="00A33324">
        <w:rPr>
          <w:rFonts w:cs="Arial" w:hint="cs"/>
          <w:rtl/>
        </w:rPr>
        <w:t>,</w:t>
      </w:r>
      <w:r w:rsidR="00A33324" w:rsidRPr="007F14E0">
        <w:rPr>
          <w:rFonts w:cs="Arial"/>
          <w:rtl/>
        </w:rPr>
        <w:t xml:space="preserve"> ושל זו ג' מאות</w:t>
      </w:r>
      <w:r w:rsidR="00A33324">
        <w:rPr>
          <w:rFonts w:cs="Arial" w:hint="cs"/>
          <w:rtl/>
        </w:rPr>
        <w:t>...</w:t>
      </w:r>
      <w:r w:rsidR="00A33324" w:rsidRPr="007F14E0">
        <w:rPr>
          <w:rFonts w:cs="Arial"/>
          <w:rtl/>
        </w:rPr>
        <w:t xml:space="preserve"> </w:t>
      </w:r>
      <w:r w:rsidRPr="007F14E0">
        <w:rPr>
          <w:rFonts w:cs="Arial"/>
          <w:rtl/>
        </w:rPr>
        <w:t>בין הניח רב או מעט כך הדין</w:t>
      </w:r>
      <w:r w:rsidR="00AA78C0">
        <w:rPr>
          <w:rFonts w:cs="Arial" w:hint="cs"/>
          <w:rtl/>
        </w:rPr>
        <w:t>:</w:t>
      </w:r>
      <w:r w:rsidRPr="007F14E0">
        <w:rPr>
          <w:rFonts w:cs="Arial"/>
          <w:rtl/>
        </w:rPr>
        <w:t xml:space="preserve"> שיחלקו כל עזבון המת לו' חלקים</w:t>
      </w:r>
      <w:r w:rsidR="00583D1D">
        <w:rPr>
          <w:rFonts w:cs="Arial" w:hint="cs"/>
          <w:rtl/>
        </w:rPr>
        <w:t>,</w:t>
      </w:r>
      <w:r w:rsidRPr="007F14E0">
        <w:rPr>
          <w:rFonts w:cs="Arial"/>
          <w:rtl/>
        </w:rPr>
        <w:t xml:space="preserve"> ונוטלת של מנה חלק אח</w:t>
      </w:r>
      <w:r w:rsidR="00583D1D">
        <w:rPr>
          <w:rFonts w:cs="Arial" w:hint="cs"/>
          <w:rtl/>
        </w:rPr>
        <w:t>ד,</w:t>
      </w:r>
      <w:r w:rsidRPr="007F14E0">
        <w:rPr>
          <w:rFonts w:cs="Arial"/>
          <w:rtl/>
        </w:rPr>
        <w:t xml:space="preserve"> ושל מאתים ב' חלקים</w:t>
      </w:r>
      <w:r w:rsidR="00583D1D">
        <w:rPr>
          <w:rFonts w:cs="Arial" w:hint="cs"/>
          <w:rtl/>
        </w:rPr>
        <w:t>,</w:t>
      </w:r>
      <w:r w:rsidRPr="007F14E0">
        <w:rPr>
          <w:rFonts w:cs="Arial"/>
          <w:rtl/>
        </w:rPr>
        <w:t xml:space="preserve"> ושל ג' מאות ג' חלקים</w:t>
      </w:r>
      <w:r w:rsidR="00583D1D">
        <w:rPr>
          <w:rFonts w:cs="Arial" w:hint="cs"/>
          <w:rtl/>
        </w:rPr>
        <w:t>,</w:t>
      </w:r>
      <w:r w:rsidRPr="007F14E0">
        <w:rPr>
          <w:rFonts w:cs="Arial"/>
          <w:rtl/>
        </w:rPr>
        <w:t xml:space="preserve"> שכל אחת ואחת נוטלת לפי מעותיה עד שתפרע כתובתה</w:t>
      </w:r>
      <w:r w:rsidR="00583D1D">
        <w:rPr>
          <w:rFonts w:cs="Arial" w:hint="cs"/>
          <w:rtl/>
        </w:rPr>
        <w:t>.</w:t>
      </w:r>
      <w:r w:rsidRPr="007F14E0">
        <w:rPr>
          <w:rFonts w:cs="Arial"/>
          <w:rtl/>
        </w:rPr>
        <w:t xml:space="preserve"> ולפ"ז אם הניח שלש מאות</w:t>
      </w:r>
      <w:r w:rsidR="00583D1D">
        <w:rPr>
          <w:rFonts w:cs="Arial" w:hint="cs"/>
          <w:rtl/>
        </w:rPr>
        <w:t>,</w:t>
      </w:r>
      <w:r w:rsidRPr="007F14E0">
        <w:rPr>
          <w:rFonts w:cs="Arial"/>
          <w:rtl/>
        </w:rPr>
        <w:t xml:space="preserve"> של מנה נוטלת חמשים</w:t>
      </w:r>
      <w:r w:rsidR="00583D1D">
        <w:rPr>
          <w:rFonts w:cs="Arial" w:hint="cs"/>
          <w:rtl/>
        </w:rPr>
        <w:t>,</w:t>
      </w:r>
      <w:r w:rsidRPr="007F14E0">
        <w:rPr>
          <w:rFonts w:cs="Arial"/>
          <w:rtl/>
        </w:rPr>
        <w:t xml:space="preserve"> ושל מאתים מאה</w:t>
      </w:r>
      <w:r w:rsidR="00583D1D">
        <w:rPr>
          <w:rFonts w:cs="Arial" w:hint="cs"/>
          <w:rtl/>
        </w:rPr>
        <w:t>,</w:t>
      </w:r>
      <w:r w:rsidRPr="007F14E0">
        <w:rPr>
          <w:rFonts w:cs="Arial"/>
          <w:rtl/>
        </w:rPr>
        <w:t xml:space="preserve"> ושל ג' מאות מאה וחמשים</w:t>
      </w:r>
      <w:r w:rsidR="00583D1D">
        <w:rPr>
          <w:rFonts w:cs="Arial" w:hint="cs"/>
          <w:rtl/>
        </w:rPr>
        <w:t>.</w:t>
      </w:r>
      <w:r w:rsidRPr="007F14E0">
        <w:rPr>
          <w:rFonts w:cs="Arial"/>
          <w:rtl/>
        </w:rPr>
        <w:t xml:space="preserve"> </w:t>
      </w:r>
    </w:p>
    <w:p w14:paraId="22E64618"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CC7B684" w14:textId="6ED7E738" w:rsidR="00392DBB" w:rsidRDefault="00392DBB" w:rsidP="00392DBB">
      <w:pPr>
        <w:rPr>
          <w:rtl/>
        </w:rPr>
      </w:pPr>
      <w:r>
        <w:rPr>
          <w:rFonts w:cs="Arial"/>
          <w:rtl/>
        </w:rPr>
        <w:t xml:space="preserve">מי שהיה נשוי ד' נשים, כתובה של זו מנה, ושל זו ר', ושל זו ש', ושל זו ת', וכולן נחתמו ביום אחד, ומת ואין לו כדי כל הכתובות, כיצד הם חולקות, רואים אם כשיחלק הממון על מנין הנשים יגיעו לפחותה שבהם כדי כתובתה או פחות, חולקין בשוה. ואם היה הממון יותר על זה, חולקין ממנו כדי שיגיע לפחותה שבהם כשיעור כתובתה, וחוזרת וחולקות את המותר בין הנותרות על הדרך הראשון. </w:t>
      </w:r>
    </w:p>
    <w:p w14:paraId="6BCE3ADD" w14:textId="77777777" w:rsidR="00431BF9" w:rsidRDefault="00431BF9" w:rsidP="00392DBB">
      <w:pPr>
        <w:rPr>
          <w:rtl/>
        </w:rPr>
      </w:pPr>
    </w:p>
    <w:p w14:paraId="24B1BB39" w14:textId="00FCF30A" w:rsidR="00392DBB" w:rsidRDefault="00392DBB" w:rsidP="000F64D0">
      <w:pPr>
        <w:pStyle w:val="2"/>
        <w:rPr>
          <w:rtl/>
        </w:rPr>
      </w:pPr>
      <w:r>
        <w:rPr>
          <w:rtl/>
        </w:rPr>
        <w:t>סעיף יט</w:t>
      </w:r>
      <w:r w:rsidR="00732CF1">
        <w:rPr>
          <w:rFonts w:hint="cs"/>
          <w:rtl/>
        </w:rPr>
        <w:t xml:space="preserve">: </w:t>
      </w:r>
      <w:r w:rsidR="00E4482A">
        <w:rPr>
          <w:rFonts w:hint="cs"/>
          <w:rtl/>
        </w:rPr>
        <w:t>איפה</w:t>
      </w:r>
      <w:r w:rsidR="001E6874">
        <w:rPr>
          <w:rFonts w:hint="cs"/>
          <w:rtl/>
        </w:rPr>
        <w:t xml:space="preserve"> וכיצד</w:t>
      </w:r>
      <w:r w:rsidR="00732CF1">
        <w:rPr>
          <w:rFonts w:hint="cs"/>
          <w:rtl/>
        </w:rPr>
        <w:t xml:space="preserve"> </w:t>
      </w:r>
      <w:r w:rsidR="00E4482A">
        <w:rPr>
          <w:rFonts w:hint="cs"/>
          <w:rtl/>
        </w:rPr>
        <w:t>ה</w:t>
      </w:r>
      <w:r w:rsidR="00732CF1">
        <w:rPr>
          <w:rFonts w:hint="cs"/>
          <w:rtl/>
        </w:rPr>
        <w:t>אלמנה</w:t>
      </w:r>
      <w:r w:rsidR="00E4482A">
        <w:rPr>
          <w:rFonts w:hint="cs"/>
          <w:rtl/>
        </w:rPr>
        <w:t xml:space="preserve"> נשבעת</w:t>
      </w:r>
      <w:r w:rsidR="00732CF1">
        <w:rPr>
          <w:rFonts w:hint="cs"/>
          <w:rtl/>
        </w:rPr>
        <w:t>.</w:t>
      </w:r>
    </w:p>
    <w:p w14:paraId="387D3B73" w14:textId="0911DF9E" w:rsidR="00384208" w:rsidRDefault="00B94040" w:rsidP="004E1368">
      <w:pPr>
        <w:rPr>
          <w:rFonts w:cs="Arial"/>
          <w:rtl/>
        </w:rPr>
      </w:pPr>
      <w:r w:rsidRPr="00B94040">
        <w:rPr>
          <w:rFonts w:cs="Arial" w:hint="cs"/>
          <w:b/>
          <w:bCs/>
          <w:rtl/>
        </w:rPr>
        <w:t xml:space="preserve">גיטין </w:t>
      </w:r>
      <w:r w:rsidRPr="00B94040">
        <w:rPr>
          <w:rFonts w:cs="Arial" w:hint="cs"/>
          <w:b/>
          <w:bCs/>
          <w:sz w:val="16"/>
          <w:szCs w:val="16"/>
          <w:rtl/>
        </w:rPr>
        <w:t>(פ' השולח)</w:t>
      </w:r>
      <w:r w:rsidRPr="00B94040">
        <w:rPr>
          <w:rFonts w:cs="Arial" w:hint="cs"/>
          <w:b/>
          <w:bCs/>
          <w:rtl/>
        </w:rPr>
        <w:t xml:space="preserve"> לד</w:t>
      </w:r>
      <w:r w:rsidR="00BA0136">
        <w:rPr>
          <w:rStyle w:val="a7"/>
          <w:rFonts w:cs="Arial"/>
          <w:b/>
          <w:bCs/>
          <w:rtl/>
        </w:rPr>
        <w:footnoteReference w:id="1769"/>
      </w:r>
      <w:r w:rsidRPr="00B94040">
        <w:rPr>
          <w:rFonts w:cs="Arial" w:hint="cs"/>
          <w:b/>
          <w:bCs/>
          <w:rtl/>
        </w:rPr>
        <w:t xml:space="preserve"> ע"ב:</w:t>
      </w:r>
      <w:r w:rsidRPr="00B94040">
        <w:rPr>
          <w:rFonts w:cs="Arial" w:hint="cs"/>
          <w:rtl/>
        </w:rPr>
        <w:t xml:space="preserve"> </w:t>
      </w:r>
      <w:r w:rsidRPr="00B94040">
        <w:rPr>
          <w:rFonts w:cs="Arial"/>
          <w:u w:val="double"/>
          <w:rtl/>
        </w:rPr>
        <w:t>מתני'</w:t>
      </w:r>
      <w:r w:rsidRPr="00B94040">
        <w:rPr>
          <w:rFonts w:cs="Arial" w:hint="cs"/>
          <w:rtl/>
        </w:rPr>
        <w:t>:</w:t>
      </w:r>
      <w:r w:rsidRPr="00B94040">
        <w:rPr>
          <w:rFonts w:cs="Arial"/>
          <w:rtl/>
        </w:rPr>
        <w:t xml:space="preserve"> אין אלמנה נפרעת מנכסי יתומים אלא בשבועה. נמנעו מלהשביעה, התקין ר"ג הזקן שתהא נודרת ליתומים כל מה שירצו</w:t>
      </w:r>
      <w:r>
        <w:rPr>
          <w:rFonts w:cs="Arial" w:hint="cs"/>
          <w:rtl/>
        </w:rPr>
        <w:t>,</w:t>
      </w:r>
      <w:r w:rsidRPr="00B94040">
        <w:rPr>
          <w:rFonts w:cs="Arial"/>
          <w:rtl/>
        </w:rPr>
        <w:t xml:space="preserve"> וגובה כתובתה.</w:t>
      </w:r>
      <w:r w:rsidR="00F53EC0">
        <w:rPr>
          <w:rFonts w:cs="Arial" w:hint="cs"/>
          <w:rtl/>
        </w:rPr>
        <w:t xml:space="preserve">      </w:t>
      </w:r>
      <w:r w:rsidR="00F53EC0">
        <w:rPr>
          <w:rFonts w:cs="Arial" w:hint="cs"/>
          <w:u w:val="double"/>
          <w:rtl/>
        </w:rPr>
        <w:t>ג</w:t>
      </w:r>
      <w:r w:rsidR="00F53EC0" w:rsidRPr="00B94040">
        <w:rPr>
          <w:rFonts w:cs="Arial"/>
          <w:u w:val="double"/>
          <w:rtl/>
        </w:rPr>
        <w:t>מ'</w:t>
      </w:r>
      <w:r w:rsidR="00F53EC0">
        <w:rPr>
          <w:rFonts w:cs="Arial" w:hint="cs"/>
          <w:sz w:val="14"/>
          <w:szCs w:val="14"/>
          <w:u w:val="double"/>
          <w:rtl/>
        </w:rPr>
        <w:t>(</w:t>
      </w:r>
      <w:r w:rsidR="007D6F89">
        <w:rPr>
          <w:rFonts w:cs="Arial" w:hint="cs"/>
          <w:sz w:val="14"/>
          <w:szCs w:val="14"/>
          <w:u w:val="double"/>
          <w:rtl/>
        </w:rPr>
        <w:t>לה.</w:t>
      </w:r>
      <w:r w:rsidR="00F53EC0">
        <w:rPr>
          <w:rFonts w:cs="Arial" w:hint="cs"/>
          <w:sz w:val="14"/>
          <w:szCs w:val="14"/>
          <w:u w:val="double"/>
          <w:rtl/>
        </w:rPr>
        <w:t>)</w:t>
      </w:r>
      <w:r w:rsidR="00F53EC0">
        <w:rPr>
          <w:rFonts w:cs="Arial" w:hint="cs"/>
          <w:u w:val="double"/>
          <w:rtl/>
        </w:rPr>
        <w:t>:</w:t>
      </w:r>
      <w:r w:rsidR="00F53EC0" w:rsidRPr="00B94040">
        <w:rPr>
          <w:rFonts w:cs="Arial"/>
          <w:rtl/>
        </w:rPr>
        <w:t xml:space="preserve"> </w:t>
      </w:r>
      <w:r w:rsidR="00F53EC0" w:rsidRPr="00F53EC0">
        <w:rPr>
          <w:rFonts w:cs="Arial"/>
          <w:rtl/>
        </w:rPr>
        <w:t>נמנעו מלהשביעה. מ"ט?</w:t>
      </w:r>
      <w:r w:rsidR="003C3FC9">
        <w:rPr>
          <w:rFonts w:cs="Arial" w:hint="cs"/>
          <w:rtl/>
        </w:rPr>
        <w:t>...</w:t>
      </w:r>
      <w:r w:rsidR="00F53EC0" w:rsidRPr="00F53EC0">
        <w:rPr>
          <w:rFonts w:cs="Arial"/>
          <w:rtl/>
        </w:rPr>
        <w:t xml:space="preserve"> </w:t>
      </w:r>
      <w:r w:rsidR="00F53EC0" w:rsidRPr="00651929">
        <w:rPr>
          <w:rFonts w:cs="Arial"/>
          <w:u w:val="single"/>
          <w:rtl/>
        </w:rPr>
        <w:t>דאמר רב כהנא, ואמרי לה אמר רב יהודה אמר רב</w:t>
      </w:r>
      <w:r w:rsidR="00F53EC0" w:rsidRPr="00F53EC0">
        <w:rPr>
          <w:rFonts w:cs="Arial"/>
          <w:rtl/>
        </w:rPr>
        <w:t>: מעשה באדם אחד בשני בצורת שהפקיד דינר זהב אצל אלמנה, והניחתו בכד של קמח, ואפאתו בפת ונתנתו לעני, לימים בא בעל הדינר ואמר לה: הבי לי דינרי, אמרה ליה: יהנה סם המות באחד מבניה של אותה אשה אם נהניתי מדינרך כלום! אמרו: לא היו ימים מועטין עד שמת אחד מבניה, וכששמעו חכמים בדבר אמרו: מה מי שנשבע באמת - כך, הנשבע על שקר - על אחת כמה וכמה</w:t>
      </w:r>
      <w:r w:rsidR="00872B02">
        <w:rPr>
          <w:rStyle w:val="a7"/>
          <w:rFonts w:cs="Arial"/>
          <w:rtl/>
        </w:rPr>
        <w:footnoteReference w:id="1770"/>
      </w:r>
      <w:r w:rsidR="00F53EC0">
        <w:rPr>
          <w:rFonts w:cs="Arial" w:hint="cs"/>
          <w:rtl/>
        </w:rPr>
        <w:t>.</w:t>
      </w:r>
      <w:r w:rsidR="00ED248B">
        <w:rPr>
          <w:rFonts w:cs="Arial" w:hint="cs"/>
          <w:rtl/>
        </w:rPr>
        <w:t>..</w:t>
      </w:r>
      <w:r w:rsidR="00ED248B" w:rsidRPr="00ED248B">
        <w:rPr>
          <w:rtl/>
        </w:rPr>
        <w:t xml:space="preserve"> </w:t>
      </w:r>
      <w:r w:rsidR="00ED248B" w:rsidRPr="00ED248B">
        <w:rPr>
          <w:rFonts w:cs="Arial"/>
          <w:u w:val="single"/>
          <w:rtl/>
        </w:rPr>
        <w:t>אמר רב יהודה אמר ר' ירמיה בר אבא, רב ושמואל דאמרי תרוייהו</w:t>
      </w:r>
      <w:r w:rsidR="00ED248B" w:rsidRPr="00ED248B">
        <w:rPr>
          <w:rFonts w:cs="Arial"/>
          <w:rtl/>
        </w:rPr>
        <w:t>: לא שנו אלא בב"ד, אבל חוץ לבית דין - משביעין אותה</w:t>
      </w:r>
      <w:r w:rsidR="005213C8">
        <w:rPr>
          <w:rStyle w:val="a7"/>
          <w:rFonts w:cs="Arial"/>
          <w:rtl/>
        </w:rPr>
        <w:footnoteReference w:id="1771"/>
      </w:r>
      <w:r w:rsidR="00ED248B" w:rsidRPr="00ED248B">
        <w:rPr>
          <w:rFonts w:cs="Arial"/>
          <w:rtl/>
        </w:rPr>
        <w:t xml:space="preserve">. איני? והא רב לא מגבי כתובה לארמלתא! קשיא. בסורא מתנו הכי. בנהרדעא מתנו הכי, </w:t>
      </w:r>
      <w:r w:rsidR="00ED248B" w:rsidRPr="00ED248B">
        <w:rPr>
          <w:rFonts w:cs="Arial"/>
          <w:u w:val="single"/>
          <w:rtl/>
        </w:rPr>
        <w:t>אמר רב יהודה אמר שמואל</w:t>
      </w:r>
      <w:r w:rsidR="00ED248B" w:rsidRPr="00ED248B">
        <w:rPr>
          <w:rFonts w:cs="Arial"/>
          <w:rtl/>
        </w:rPr>
        <w:t xml:space="preserve">: לא שנו אלא בבית דין, אבל חוץ לב"ד - משביעין אותה; </w:t>
      </w:r>
      <w:r w:rsidR="00ED248B" w:rsidRPr="00ED248B">
        <w:rPr>
          <w:rFonts w:cs="Arial"/>
          <w:u w:val="single"/>
          <w:rtl/>
        </w:rPr>
        <w:t>ורב אמר</w:t>
      </w:r>
      <w:r w:rsidR="00ED248B" w:rsidRPr="00ED248B">
        <w:rPr>
          <w:rFonts w:cs="Arial"/>
          <w:rtl/>
        </w:rPr>
        <w:t>: אפי' חוץ לב"ד נמי אין משביעין אותה. רב לטעמיה, דרב לא מגבי כתובה לארמלתא. וליאדרה וליגבייה! בשני דרב קילי נדרי.</w:t>
      </w:r>
      <w:r w:rsidR="00E76BD5">
        <w:rPr>
          <w:rFonts w:cs="Arial" w:hint="cs"/>
          <w:rtl/>
        </w:rPr>
        <w:t>..</w:t>
      </w:r>
      <w:r w:rsidR="00E76BD5" w:rsidRPr="00E76BD5">
        <w:rPr>
          <w:rtl/>
        </w:rPr>
        <w:t xml:space="preserve"> </w:t>
      </w:r>
      <w:r w:rsidR="00E76BD5" w:rsidRPr="00E76BD5">
        <w:rPr>
          <w:rFonts w:cs="Arial"/>
          <w:u w:val="single"/>
          <w:rtl/>
        </w:rPr>
        <w:t>אמר ליה רב יהודה לרב ירמיה ביראה</w:t>
      </w:r>
      <w:r w:rsidR="00E76BD5" w:rsidRPr="00E76BD5">
        <w:rPr>
          <w:rFonts w:cs="Arial"/>
          <w:rtl/>
        </w:rPr>
        <w:t>: אדרה בב"ד</w:t>
      </w:r>
      <w:r w:rsidR="00384208">
        <w:rPr>
          <w:rStyle w:val="a7"/>
          <w:rFonts w:cs="Arial"/>
          <w:rtl/>
        </w:rPr>
        <w:footnoteReference w:id="1772"/>
      </w:r>
      <w:r w:rsidR="00E76BD5" w:rsidRPr="00E76BD5">
        <w:rPr>
          <w:rFonts w:cs="Arial"/>
          <w:rtl/>
        </w:rPr>
        <w:t xml:space="preserve"> ואשבעה חוץ לב"ד</w:t>
      </w:r>
      <w:r w:rsidR="006C235D">
        <w:rPr>
          <w:rStyle w:val="a7"/>
          <w:rFonts w:cs="Arial"/>
          <w:rtl/>
        </w:rPr>
        <w:footnoteReference w:id="1773"/>
      </w:r>
      <w:r w:rsidR="00E76BD5" w:rsidRPr="00E76BD5">
        <w:rPr>
          <w:rFonts w:cs="Arial"/>
          <w:rtl/>
        </w:rPr>
        <w:t>, וליתי קלא וליפול באודני</w:t>
      </w:r>
      <w:r w:rsidR="00384208">
        <w:rPr>
          <w:rStyle w:val="a7"/>
          <w:rFonts w:cs="Arial"/>
          <w:rtl/>
        </w:rPr>
        <w:footnoteReference w:id="1774"/>
      </w:r>
      <w:r w:rsidR="00E76BD5" w:rsidRPr="00E76BD5">
        <w:rPr>
          <w:rFonts w:cs="Arial"/>
          <w:rtl/>
        </w:rPr>
        <w:t>, דבעינא כי היכי דאעביד בה מעשה</w:t>
      </w:r>
      <w:r w:rsidR="00811FEC">
        <w:rPr>
          <w:rStyle w:val="a7"/>
          <w:rFonts w:cs="Arial"/>
          <w:rtl/>
        </w:rPr>
        <w:footnoteReference w:id="1775"/>
      </w:r>
      <w:r w:rsidR="00E76BD5" w:rsidRPr="00E76BD5">
        <w:rPr>
          <w:rFonts w:cs="Arial"/>
          <w:rtl/>
        </w:rPr>
        <w:t xml:space="preserve">. </w:t>
      </w:r>
      <w:r w:rsidR="004E1368" w:rsidRPr="00BA4E80">
        <w:rPr>
          <w:rFonts w:cs="Arial" w:hint="cs"/>
          <w:sz w:val="16"/>
          <w:szCs w:val="16"/>
          <w:rtl/>
        </w:rPr>
        <w:t>(</w:t>
      </w:r>
      <w:r w:rsidR="00325D28" w:rsidRPr="00BA4E80">
        <w:rPr>
          <w:rFonts w:cs="Arial"/>
          <w:sz w:val="16"/>
          <w:szCs w:val="16"/>
          <w:rtl/>
        </w:rPr>
        <w:t>ומשמע דהלכה כרב יהודה דעבד בה עובדא</w:t>
      </w:r>
      <w:r w:rsidR="005213C8" w:rsidRPr="00BA4E80">
        <w:rPr>
          <w:rFonts w:cs="Arial" w:hint="cs"/>
          <w:sz w:val="16"/>
          <w:szCs w:val="16"/>
          <w:rtl/>
        </w:rPr>
        <w:t>,</w:t>
      </w:r>
      <w:r w:rsidR="00325D28" w:rsidRPr="00BA4E80">
        <w:rPr>
          <w:rFonts w:cs="Arial"/>
          <w:sz w:val="16"/>
          <w:szCs w:val="16"/>
          <w:rtl/>
        </w:rPr>
        <w:t xml:space="preserve"> וכן </w:t>
      </w:r>
      <w:r w:rsidR="00325D28" w:rsidRPr="00BA4E80">
        <w:rPr>
          <w:rFonts w:cs="Arial"/>
          <w:sz w:val="16"/>
          <w:szCs w:val="16"/>
          <w:rtl/>
        </w:rPr>
        <w:lastRenderedPageBreak/>
        <w:t>נראה מדברי הרי"ף (יח.) והרא"ש (סי' ח)</w:t>
      </w:r>
      <w:r w:rsidR="005213C8" w:rsidRPr="00BA4E80">
        <w:rPr>
          <w:rFonts w:cs="Arial" w:hint="cs"/>
          <w:sz w:val="16"/>
          <w:szCs w:val="16"/>
          <w:rtl/>
        </w:rPr>
        <w:t>,</w:t>
      </w:r>
      <w:r w:rsidR="00325D28" w:rsidRPr="00BA4E80">
        <w:rPr>
          <w:rFonts w:cs="Arial"/>
          <w:sz w:val="16"/>
          <w:szCs w:val="16"/>
          <w:rtl/>
        </w:rPr>
        <w:t xml:space="preserve"> וכך הם דברי הרמב"ם בפי"ו (הי"א) שכתב וז"ל</w:t>
      </w:r>
      <w:r w:rsidR="004E1368" w:rsidRPr="00BA4E80">
        <w:rPr>
          <w:rFonts w:cs="Arial" w:hint="cs"/>
          <w:sz w:val="16"/>
          <w:szCs w:val="16"/>
          <w:rtl/>
        </w:rPr>
        <w:t>:</w:t>
      </w:r>
      <w:r w:rsidR="00325D28" w:rsidRPr="00BA4E80">
        <w:rPr>
          <w:rFonts w:cs="Arial"/>
          <w:sz w:val="16"/>
          <w:szCs w:val="16"/>
          <w:rtl/>
        </w:rPr>
        <w:t xml:space="preserve"> אין משביעין אותה אלא חוץ לבית דין מפני שבתי דינים היו נמנעים מלהשביעה שמא לא תדקדק על עצמה בשבועה ואם רצו היתומים להדירה נודרת להם כל מה שירצו ומדירין אותה בבית דין ואח"כ נוטלת כתובתה</w:t>
      </w:r>
      <w:r w:rsidR="004E1368" w:rsidRPr="00BA4E80">
        <w:rPr>
          <w:rFonts w:cs="Arial" w:hint="cs"/>
          <w:sz w:val="16"/>
          <w:szCs w:val="16"/>
          <w:rtl/>
        </w:rPr>
        <w:t xml:space="preserve"> </w:t>
      </w:r>
      <w:r w:rsidR="004E1368" w:rsidRPr="00BA4E80">
        <w:rPr>
          <w:rFonts w:cs="Arial" w:hint="cs"/>
          <w:sz w:val="14"/>
          <w:szCs w:val="14"/>
          <w:rtl/>
        </w:rPr>
        <w:t>[עכ"ל]</w:t>
      </w:r>
      <w:r w:rsidR="00325D28" w:rsidRPr="00BA4E80">
        <w:rPr>
          <w:rFonts w:cs="Arial"/>
          <w:sz w:val="16"/>
          <w:szCs w:val="16"/>
          <w:rtl/>
        </w:rPr>
        <w:t>. וכתב ה</w:t>
      </w:r>
      <w:r w:rsidR="004E1368" w:rsidRPr="00BA4E80">
        <w:rPr>
          <w:rFonts w:cs="Arial" w:hint="cs"/>
          <w:sz w:val="16"/>
          <w:szCs w:val="16"/>
          <w:rtl/>
        </w:rPr>
        <w:t xml:space="preserve">ה"מ: </w:t>
      </w:r>
      <w:r w:rsidR="00325D28" w:rsidRPr="00BA4E80">
        <w:rPr>
          <w:rFonts w:cs="Arial"/>
          <w:sz w:val="16"/>
          <w:szCs w:val="16"/>
          <w:rtl/>
        </w:rPr>
        <w:t>קיי"ל כרב יהודה דאמר אדרה בבית דין ואשבעה חוץ לבית דין</w:t>
      </w:r>
      <w:r w:rsidR="00BA4E80">
        <w:rPr>
          <w:rFonts w:cs="Arial" w:hint="cs"/>
          <w:sz w:val="16"/>
          <w:szCs w:val="16"/>
          <w:rtl/>
        </w:rPr>
        <w:t>,</w:t>
      </w:r>
      <w:r w:rsidR="00325D28" w:rsidRPr="00BA4E80">
        <w:rPr>
          <w:rFonts w:cs="Arial"/>
          <w:sz w:val="16"/>
          <w:szCs w:val="16"/>
          <w:rtl/>
        </w:rPr>
        <w:t xml:space="preserve"> פי</w:t>
      </w:r>
      <w:r w:rsidR="00BA4E80">
        <w:rPr>
          <w:rFonts w:cs="Arial" w:hint="cs"/>
          <w:sz w:val="16"/>
          <w:szCs w:val="16"/>
          <w:rtl/>
        </w:rPr>
        <w:t>רוש</w:t>
      </w:r>
      <w:r w:rsidR="00325D28" w:rsidRPr="00BA4E80">
        <w:rPr>
          <w:rFonts w:cs="Arial"/>
          <w:sz w:val="16"/>
          <w:szCs w:val="16"/>
          <w:rtl/>
        </w:rPr>
        <w:t xml:space="preserve"> או האי או האי</w:t>
      </w:r>
      <w:r w:rsidR="00BA4E80">
        <w:rPr>
          <w:rFonts w:cs="Arial" w:hint="cs"/>
          <w:sz w:val="16"/>
          <w:szCs w:val="16"/>
          <w:rtl/>
        </w:rPr>
        <w:t>,</w:t>
      </w:r>
      <w:r w:rsidR="00325D28" w:rsidRPr="00BA4E80">
        <w:rPr>
          <w:rFonts w:cs="Arial"/>
          <w:sz w:val="16"/>
          <w:szCs w:val="16"/>
          <w:rtl/>
        </w:rPr>
        <w:t xml:space="preserve"> אי זה שירצו יתומים</w:t>
      </w:r>
      <w:r w:rsidR="00BA4E80">
        <w:rPr>
          <w:rFonts w:cs="Arial" w:hint="cs"/>
          <w:sz w:val="16"/>
          <w:szCs w:val="16"/>
          <w:rtl/>
        </w:rPr>
        <w:t>,</w:t>
      </w:r>
      <w:r w:rsidR="00325D28" w:rsidRPr="00BA4E80">
        <w:rPr>
          <w:rFonts w:cs="Arial"/>
          <w:sz w:val="16"/>
          <w:szCs w:val="16"/>
          <w:rtl/>
        </w:rPr>
        <w:t xml:space="preserve"> אם שבועה חוץ לבית דין</w:t>
      </w:r>
      <w:r w:rsidR="00BA4E80">
        <w:rPr>
          <w:rFonts w:cs="Arial" w:hint="cs"/>
          <w:sz w:val="16"/>
          <w:szCs w:val="16"/>
          <w:rtl/>
        </w:rPr>
        <w:t>,</w:t>
      </w:r>
      <w:r w:rsidR="00325D28" w:rsidRPr="00BA4E80">
        <w:rPr>
          <w:rFonts w:cs="Arial"/>
          <w:sz w:val="16"/>
          <w:szCs w:val="16"/>
          <w:rtl/>
        </w:rPr>
        <w:t xml:space="preserve"> או נדר בבית דין</w:t>
      </w:r>
      <w:r w:rsidR="00BA4E80">
        <w:rPr>
          <w:rFonts w:cs="Arial" w:hint="cs"/>
          <w:sz w:val="16"/>
          <w:szCs w:val="16"/>
          <w:rtl/>
        </w:rPr>
        <w:t>,</w:t>
      </w:r>
      <w:r w:rsidR="00325D28" w:rsidRPr="00BA4E80">
        <w:rPr>
          <w:rFonts w:cs="Arial"/>
          <w:sz w:val="16"/>
          <w:szCs w:val="16"/>
          <w:rtl/>
        </w:rPr>
        <w:t xml:space="preserve"> וכן הסכימו הרמב"ן (גיטין לד: ד"ה הא) והרשב"א (לה. ד"ה הא דא"ל) ז"ל</w:t>
      </w:r>
      <w:r w:rsidR="004E1368" w:rsidRPr="00BA4E80">
        <w:rPr>
          <w:rFonts w:cs="Arial" w:hint="cs"/>
          <w:sz w:val="16"/>
          <w:szCs w:val="16"/>
          <w:rtl/>
        </w:rPr>
        <w:t xml:space="preserve"> </w:t>
      </w:r>
      <w:r w:rsidR="004E1368" w:rsidRPr="00BA4E80">
        <w:rPr>
          <w:rFonts w:cs="Arial" w:hint="cs"/>
          <w:sz w:val="14"/>
          <w:szCs w:val="14"/>
          <w:rtl/>
        </w:rPr>
        <w:t>[עכ"ל הה"מ]</w:t>
      </w:r>
      <w:r w:rsidR="00BA4E80" w:rsidRPr="00BA4E80">
        <w:rPr>
          <w:rFonts w:cs="Arial" w:hint="cs"/>
          <w:sz w:val="16"/>
          <w:szCs w:val="16"/>
          <w:rtl/>
        </w:rPr>
        <w:t>, ב"י)</w:t>
      </w:r>
      <w:r w:rsidR="00325D28">
        <w:rPr>
          <w:rFonts w:cs="Arial"/>
          <w:rtl/>
        </w:rPr>
        <w:t xml:space="preserve"> </w:t>
      </w:r>
    </w:p>
    <w:p w14:paraId="18FCF21B" w14:textId="5330CD47" w:rsidR="00FF1267" w:rsidRDefault="00FF1267" w:rsidP="00FF1267">
      <w:pPr>
        <w:rPr>
          <w:rFonts w:cs="Arial"/>
          <w:rtl/>
        </w:rPr>
      </w:pPr>
      <w:r w:rsidRPr="00B94040">
        <w:rPr>
          <w:rFonts w:cs="Arial" w:hint="cs"/>
          <w:b/>
          <w:bCs/>
          <w:rtl/>
        </w:rPr>
        <w:t xml:space="preserve">גיטין </w:t>
      </w:r>
      <w:r w:rsidRPr="00B94040">
        <w:rPr>
          <w:rFonts w:cs="Arial" w:hint="cs"/>
          <w:b/>
          <w:bCs/>
          <w:sz w:val="16"/>
          <w:szCs w:val="16"/>
          <w:rtl/>
        </w:rPr>
        <w:t>(פ' השולח)</w:t>
      </w:r>
      <w:r w:rsidRPr="00B94040">
        <w:rPr>
          <w:rFonts w:cs="Arial" w:hint="cs"/>
          <w:b/>
          <w:bCs/>
          <w:rtl/>
        </w:rPr>
        <w:t xml:space="preserve"> ל</w:t>
      </w:r>
      <w:r>
        <w:rPr>
          <w:rFonts w:cs="Arial" w:hint="cs"/>
          <w:b/>
          <w:bCs/>
          <w:rtl/>
        </w:rPr>
        <w:t>ה</w:t>
      </w:r>
      <w:r w:rsidRPr="00B94040">
        <w:rPr>
          <w:rFonts w:cs="Arial" w:hint="cs"/>
          <w:b/>
          <w:bCs/>
          <w:rtl/>
        </w:rPr>
        <w:t xml:space="preserve"> ע"ב:</w:t>
      </w:r>
      <w:r>
        <w:rPr>
          <w:rFonts w:cs="Arial" w:hint="cs"/>
          <w:rtl/>
        </w:rPr>
        <w:t xml:space="preserve"> </w:t>
      </w:r>
      <w:r w:rsidRPr="00CE7A04">
        <w:rPr>
          <w:rFonts w:cs="Arial"/>
          <w:rtl/>
        </w:rPr>
        <w:t xml:space="preserve">התקין רבן גמליאל הזקן שתהא נודרת כו'. </w:t>
      </w:r>
      <w:r w:rsidRPr="00CE7A04">
        <w:rPr>
          <w:rFonts w:cs="Arial"/>
          <w:u w:val="single"/>
          <w:rtl/>
        </w:rPr>
        <w:t>אמר רב הונא</w:t>
      </w:r>
      <w:r w:rsidRPr="00CE7A04">
        <w:rPr>
          <w:rFonts w:cs="Arial"/>
          <w:rtl/>
        </w:rPr>
        <w:t xml:space="preserve">: לא שנו אלא בשלא ניסת, אבל ניסת - אין מדירין אותה. ניסת מאי טעמא? דמיפר לה בעל, כי לא ניסת נמי, לכי מנסבא מיפר לה בעל! אין הבעל מיפר בקודמין. וניחוש דלמא אזלה לגבי חכם ושרי לה! קסבר: צריך לפרט את הנדר. </w:t>
      </w:r>
      <w:r w:rsidRPr="00CE7A04">
        <w:rPr>
          <w:rFonts w:cs="Arial"/>
          <w:u w:val="single"/>
          <w:rtl/>
        </w:rPr>
        <w:t>רב נחמן אמר</w:t>
      </w:r>
      <w:r w:rsidRPr="00CE7A04">
        <w:rPr>
          <w:rFonts w:cs="Arial"/>
          <w:rtl/>
        </w:rPr>
        <w:t>: אפי' ניסת. ניסת ודאי מיפר לה בעל! דמדרינן לה ברבים. מיתיבי: ניסת - גובה כתובתה אם נדרה; מאי לאו נדרה השתא! לא, דנדרה מעיקרא. והתניא: ניסת - נודרת וגובה כתובתה! תנאי היא, דאיכא למאן דאמר: נדר שהודר ברבים - יש לו הפרה, ואיכא למאן דאמר: אין לו הפרה.</w:t>
      </w:r>
      <w:r w:rsidRPr="00CE7A04">
        <w:rPr>
          <w:rFonts w:cs="Arial"/>
          <w:sz w:val="16"/>
          <w:szCs w:val="16"/>
          <w:rtl/>
        </w:rPr>
        <w:t xml:space="preserve"> </w:t>
      </w:r>
      <w:r w:rsidRPr="00CE7A04">
        <w:rPr>
          <w:rFonts w:cs="Arial" w:hint="cs"/>
          <w:sz w:val="16"/>
          <w:szCs w:val="16"/>
          <w:rtl/>
        </w:rPr>
        <w:t>(</w:t>
      </w:r>
      <w:r w:rsidRPr="00CE7A04">
        <w:rPr>
          <w:rFonts w:cs="Arial"/>
          <w:sz w:val="16"/>
          <w:szCs w:val="16"/>
          <w:rtl/>
        </w:rPr>
        <w:t>הרי"ף (יח:) והרא"ש (שם) לא כתבו אלא דברי רב הונא</w:t>
      </w:r>
      <w:r w:rsidRPr="00CE7A04">
        <w:rPr>
          <w:rFonts w:cs="Arial" w:hint="cs"/>
          <w:sz w:val="16"/>
          <w:szCs w:val="16"/>
          <w:rtl/>
        </w:rPr>
        <w:t>,</w:t>
      </w:r>
      <w:r w:rsidRPr="00CE7A04">
        <w:rPr>
          <w:rFonts w:cs="Arial"/>
          <w:sz w:val="16"/>
          <w:szCs w:val="16"/>
          <w:rtl/>
        </w:rPr>
        <w:t xml:space="preserve"> וכן פסק הרמב"ם בפי"ו מהלכות אישות (הי"ב) וז"ל</w:t>
      </w:r>
      <w:r w:rsidRPr="00CE7A04">
        <w:rPr>
          <w:rFonts w:cs="Arial" w:hint="cs"/>
          <w:sz w:val="16"/>
          <w:szCs w:val="16"/>
          <w:rtl/>
        </w:rPr>
        <w:t>:</w:t>
      </w:r>
      <w:r w:rsidRPr="00CE7A04">
        <w:rPr>
          <w:rFonts w:cs="Arial"/>
          <w:sz w:val="16"/>
          <w:szCs w:val="16"/>
          <w:rtl/>
        </w:rPr>
        <w:t xml:space="preserve"> אם נישאת קודם שתשבע הרי זו נשבעת אחר הנישואין ונוטלת כל זמן שתרצה</w:t>
      </w:r>
      <w:r w:rsidR="00BA0136">
        <w:rPr>
          <w:rFonts w:cs="Arial" w:hint="cs"/>
          <w:sz w:val="16"/>
          <w:szCs w:val="16"/>
          <w:rtl/>
        </w:rPr>
        <w:t>,</w:t>
      </w:r>
      <w:r w:rsidRPr="00CE7A04">
        <w:rPr>
          <w:rFonts w:cs="Arial"/>
          <w:sz w:val="16"/>
          <w:szCs w:val="16"/>
          <w:rtl/>
        </w:rPr>
        <w:t xml:space="preserve"> אבל אינה נודרת ונוטלת שמא יפר הבעל</w:t>
      </w:r>
      <w:r w:rsidRPr="005722A9">
        <w:rPr>
          <w:rStyle w:val="a7"/>
          <w:rFonts w:cs="Arial"/>
          <w:sz w:val="16"/>
          <w:szCs w:val="16"/>
          <w:rtl/>
        </w:rPr>
        <w:footnoteReference w:id="1776"/>
      </w:r>
      <w:r w:rsidR="00BA0136">
        <w:rPr>
          <w:rFonts w:cs="Arial" w:hint="cs"/>
          <w:sz w:val="16"/>
          <w:szCs w:val="16"/>
          <w:rtl/>
        </w:rPr>
        <w:t xml:space="preserve"> [ע"כ]</w:t>
      </w:r>
      <w:r>
        <w:rPr>
          <w:rFonts w:cs="Arial" w:hint="cs"/>
          <w:sz w:val="16"/>
          <w:szCs w:val="16"/>
          <w:rtl/>
        </w:rPr>
        <w:t>, ב"י</w:t>
      </w:r>
      <w:r w:rsidRPr="00CE7A04">
        <w:rPr>
          <w:rFonts w:cs="Arial" w:hint="cs"/>
          <w:sz w:val="16"/>
          <w:szCs w:val="16"/>
          <w:rtl/>
        </w:rPr>
        <w:t>)</w:t>
      </w:r>
    </w:p>
    <w:p w14:paraId="7C82950F" w14:textId="786D87F9" w:rsidR="00867536" w:rsidRPr="00E4482A" w:rsidRDefault="00867536" w:rsidP="00867536">
      <w:pPr>
        <w:rPr>
          <w:u w:val="single"/>
          <w:rtl/>
        </w:rPr>
      </w:pPr>
      <w:bookmarkStart w:id="20" w:name="_Hlk135574220"/>
      <w:r w:rsidRPr="00E4482A">
        <w:rPr>
          <w:rFonts w:hint="cs"/>
          <w:u w:val="single"/>
          <w:rtl/>
        </w:rPr>
        <w:t xml:space="preserve">איפה </w:t>
      </w:r>
      <w:r w:rsidR="001E6874">
        <w:rPr>
          <w:rFonts w:hint="cs"/>
          <w:u w:val="single"/>
          <w:rtl/>
        </w:rPr>
        <w:t xml:space="preserve">וכיצד </w:t>
      </w:r>
      <w:r w:rsidRPr="00E4482A">
        <w:rPr>
          <w:rFonts w:hint="cs"/>
          <w:u w:val="single"/>
          <w:rtl/>
        </w:rPr>
        <w:t>האלמנה נשבעת:</w:t>
      </w:r>
    </w:p>
    <w:p w14:paraId="7E4947C8" w14:textId="4A8AB4A2" w:rsidR="00895F1B" w:rsidRPr="00895F1B" w:rsidRDefault="00867536" w:rsidP="00867536">
      <w:pPr>
        <w:pStyle w:val="ab"/>
        <w:numPr>
          <w:ilvl w:val="0"/>
          <w:numId w:val="84"/>
        </w:numPr>
      </w:pPr>
      <w:r>
        <w:rPr>
          <w:rFonts w:cs="Arial" w:hint="cs"/>
          <w:rtl/>
        </w:rPr>
        <w:t xml:space="preserve">טור- </w:t>
      </w:r>
      <w:r w:rsidRPr="007F14E0">
        <w:rPr>
          <w:rFonts w:cs="Arial"/>
          <w:rtl/>
        </w:rPr>
        <w:t>כשב"ד או יורשין משביעין האלמנ</w:t>
      </w:r>
      <w:r>
        <w:rPr>
          <w:rFonts w:cs="Arial" w:hint="cs"/>
          <w:rtl/>
        </w:rPr>
        <w:t>ה</w:t>
      </w:r>
      <w:r w:rsidRPr="007F14E0">
        <w:rPr>
          <w:rFonts w:cs="Arial"/>
          <w:rtl/>
        </w:rPr>
        <w:t xml:space="preserve"> ביניהם</w:t>
      </w:r>
      <w:r>
        <w:rPr>
          <w:rFonts w:cs="Arial" w:hint="cs"/>
          <w:rtl/>
        </w:rPr>
        <w:t xml:space="preserve">, </w:t>
      </w:r>
      <w:r w:rsidRPr="007F14E0">
        <w:rPr>
          <w:rFonts w:cs="Arial"/>
          <w:rtl/>
        </w:rPr>
        <w:t>אין להשביעה בב"ד</w:t>
      </w:r>
      <w:r w:rsidR="00FF4FC3">
        <w:rPr>
          <w:rStyle w:val="a7"/>
          <w:rFonts w:cs="Arial"/>
          <w:rtl/>
        </w:rPr>
        <w:footnoteReference w:id="1777"/>
      </w:r>
      <w:r w:rsidRPr="007F14E0">
        <w:rPr>
          <w:rFonts w:cs="Arial"/>
          <w:rtl/>
        </w:rPr>
        <w:t xml:space="preserve"> אלא חוץ לב"ד</w:t>
      </w:r>
      <w:r>
        <w:rPr>
          <w:rFonts w:cs="Arial" w:hint="cs"/>
          <w:rtl/>
        </w:rPr>
        <w:t>.</w:t>
      </w:r>
      <w:r w:rsidRPr="007F14E0">
        <w:rPr>
          <w:rFonts w:cs="Arial"/>
          <w:rtl/>
        </w:rPr>
        <w:t xml:space="preserve"> אבל מדירין אותה אפי' בב"ד</w:t>
      </w:r>
      <w:r>
        <w:rPr>
          <w:rFonts w:cs="Arial" w:hint="cs"/>
          <w:rtl/>
        </w:rPr>
        <w:t>,</w:t>
      </w:r>
      <w:r w:rsidRPr="007F14E0">
        <w:rPr>
          <w:rFonts w:cs="Arial"/>
          <w:rtl/>
        </w:rPr>
        <w:t xml:space="preserve"> וצריך שידירנה בדבר שיש בו עינוי נפש</w:t>
      </w:r>
      <w:r>
        <w:rPr>
          <w:rFonts w:cs="Arial" w:hint="cs"/>
          <w:rtl/>
        </w:rPr>
        <w:t>,</w:t>
      </w:r>
      <w:r w:rsidRPr="007F14E0">
        <w:rPr>
          <w:rFonts w:cs="Arial"/>
          <w:rtl/>
        </w:rPr>
        <w:t xml:space="preserve"> ושתהיה באיסור כל ימיה</w:t>
      </w:r>
      <w:r w:rsidR="00B815E1">
        <w:rPr>
          <w:rFonts w:cs="Arial" w:hint="cs"/>
          <w:rtl/>
        </w:rPr>
        <w:t>,</w:t>
      </w:r>
      <w:r w:rsidRPr="007F14E0">
        <w:rPr>
          <w:rFonts w:cs="Arial"/>
          <w:rtl/>
        </w:rPr>
        <w:t xml:space="preserve"> כגון שתאמר יאסר עלי דבר זה אם נהניתי שום דבר מכתובתי</w:t>
      </w:r>
      <w:r>
        <w:rPr>
          <w:rFonts w:cs="Arial" w:hint="cs"/>
          <w:rtl/>
        </w:rPr>
        <w:t>,</w:t>
      </w:r>
      <w:r w:rsidRPr="007F14E0">
        <w:rPr>
          <w:rFonts w:cs="Arial"/>
          <w:rtl/>
        </w:rPr>
        <w:t xml:space="preserve"> והוא דבר שיש בו עינוי נפש</w:t>
      </w:r>
      <w:r>
        <w:rPr>
          <w:rFonts w:cs="Arial" w:hint="cs"/>
          <w:rtl/>
        </w:rPr>
        <w:t>.</w:t>
      </w:r>
      <w:r w:rsidRPr="007F14E0">
        <w:rPr>
          <w:rFonts w:cs="Arial"/>
          <w:rtl/>
        </w:rPr>
        <w:t xml:space="preserve"> אבל אם אין בו עינוי נפש</w:t>
      </w:r>
      <w:r>
        <w:rPr>
          <w:rFonts w:cs="Arial" w:hint="cs"/>
          <w:rtl/>
        </w:rPr>
        <w:t>,</w:t>
      </w:r>
      <w:r w:rsidRPr="007F14E0">
        <w:rPr>
          <w:rFonts w:cs="Arial"/>
          <w:rtl/>
        </w:rPr>
        <w:t xml:space="preserve"> או אפי</w:t>
      </w:r>
      <w:r>
        <w:rPr>
          <w:rFonts w:cs="Arial" w:hint="cs"/>
          <w:rtl/>
        </w:rPr>
        <w:t>לו</w:t>
      </w:r>
      <w:r w:rsidRPr="007F14E0">
        <w:rPr>
          <w:rFonts w:cs="Arial"/>
          <w:rtl/>
        </w:rPr>
        <w:t xml:space="preserve"> יש בו עינוי נפש ואינה באיסור כל ימיה</w:t>
      </w:r>
      <w:r>
        <w:rPr>
          <w:rFonts w:cs="Arial" w:hint="cs"/>
          <w:rtl/>
        </w:rPr>
        <w:t>,</w:t>
      </w:r>
      <w:r w:rsidRPr="007F14E0">
        <w:rPr>
          <w:rFonts w:cs="Arial"/>
          <w:rtl/>
        </w:rPr>
        <w:t xml:space="preserve"> כגון שאומרים לה משביעין אנו עליך שלא תאכל דבר זה אם גבית שום דבר מכתובתך והיא אוכלת אותו בפנינו </w:t>
      </w:r>
      <w:r>
        <w:rPr>
          <w:rFonts w:cs="Arial" w:hint="cs"/>
          <w:rtl/>
        </w:rPr>
        <w:t xml:space="preserve">- </w:t>
      </w:r>
      <w:r w:rsidRPr="007F14E0">
        <w:rPr>
          <w:rFonts w:cs="Arial"/>
          <w:rtl/>
        </w:rPr>
        <w:t>לא מהני</w:t>
      </w:r>
      <w:r>
        <w:rPr>
          <w:rFonts w:cs="Arial" w:hint="cs"/>
          <w:rtl/>
        </w:rPr>
        <w:t>,</w:t>
      </w:r>
      <w:r w:rsidRPr="007F14E0">
        <w:rPr>
          <w:rFonts w:cs="Arial"/>
          <w:rtl/>
        </w:rPr>
        <w:t xml:space="preserve"> שאינה חוששת על העונש אלא בנדר של עינוי נפש שעומדת בו כל ימיה</w:t>
      </w:r>
      <w:r w:rsidR="00D5328B">
        <w:rPr>
          <w:rStyle w:val="a7"/>
          <w:rFonts w:cs="Arial"/>
          <w:rtl/>
        </w:rPr>
        <w:footnoteReference w:id="1778"/>
      </w:r>
      <w:r>
        <w:rPr>
          <w:rFonts w:cs="Arial" w:hint="cs"/>
          <w:rtl/>
        </w:rPr>
        <w:t>.</w:t>
      </w:r>
      <w:r w:rsidRPr="007F14E0">
        <w:rPr>
          <w:rFonts w:cs="Arial"/>
          <w:rtl/>
        </w:rPr>
        <w:t xml:space="preserve"> </w:t>
      </w:r>
      <w:r w:rsidR="00B73ECB" w:rsidRPr="008631A7">
        <w:rPr>
          <w:rFonts w:hint="cs"/>
          <w:color w:val="E36C0A" w:themeColor="accent6" w:themeShade="BF"/>
          <w:rtl/>
        </w:rPr>
        <w:t>(וכ"פ בשו"ע)</w:t>
      </w:r>
    </w:p>
    <w:p w14:paraId="4CD0931F" w14:textId="2D3AC854" w:rsidR="00895F1B" w:rsidRPr="006B51D7" w:rsidRDefault="00895F1B" w:rsidP="00895F1B">
      <w:pPr>
        <w:pStyle w:val="ab"/>
        <w:numPr>
          <w:ilvl w:val="0"/>
          <w:numId w:val="84"/>
        </w:numPr>
      </w:pPr>
      <w:r>
        <w:rPr>
          <w:rFonts w:cs="Arial" w:hint="cs"/>
          <w:rtl/>
        </w:rPr>
        <w:t xml:space="preserve">רמב"ם </w:t>
      </w:r>
      <w:r>
        <w:rPr>
          <w:rFonts w:cs="Arial" w:hint="cs"/>
          <w:sz w:val="16"/>
          <w:szCs w:val="16"/>
          <w:rtl/>
        </w:rPr>
        <w:t>(פט"ז הי"א)</w:t>
      </w:r>
      <w:r>
        <w:rPr>
          <w:rFonts w:cs="Arial" w:hint="cs"/>
          <w:rtl/>
        </w:rPr>
        <w:t xml:space="preserve">- </w:t>
      </w:r>
      <w:r w:rsidRPr="00867536">
        <w:rPr>
          <w:rFonts w:cs="Arial"/>
          <w:rtl/>
        </w:rPr>
        <w:t>כשמשביעין בית דין או היורשין את האלמנה כשתבוא לגבות כתובתה אין משביעין אותה אלא חוץ לבית דין, מפני שבתי דינין היו נמנעין מלהשביעה שחוששין לה שמא לא תדקדק על עצמה בשבועה</w:t>
      </w:r>
      <w:r w:rsidR="005C5513">
        <w:rPr>
          <w:rFonts w:cs="Arial" w:hint="cs"/>
          <w:rtl/>
        </w:rPr>
        <w:t>.</w:t>
      </w:r>
      <w:r w:rsidRPr="00867536">
        <w:rPr>
          <w:rFonts w:cs="Arial"/>
          <w:rtl/>
        </w:rPr>
        <w:t xml:space="preserve"> ואם רצו היתומים להדירה נודרת להן כל מה שירצו ומדירין אותה בבית דין</w:t>
      </w:r>
      <w:r>
        <w:rPr>
          <w:rFonts w:cs="Arial" w:hint="cs"/>
          <w:rtl/>
        </w:rPr>
        <w:t>,</w:t>
      </w:r>
      <w:r w:rsidRPr="00867536">
        <w:rPr>
          <w:rFonts w:cs="Arial"/>
          <w:rtl/>
        </w:rPr>
        <w:t xml:space="preserve"> ואחר כך נוטלת כתובתה.</w:t>
      </w:r>
    </w:p>
    <w:p w14:paraId="155F7728" w14:textId="17A17DD3" w:rsidR="00895F1B" w:rsidRPr="00895F1B" w:rsidRDefault="00895F1B" w:rsidP="00895F1B">
      <w:pPr>
        <w:ind w:left="360"/>
        <w:rPr>
          <w:u w:val="dotted"/>
        </w:rPr>
      </w:pPr>
      <w:r w:rsidRPr="00895F1B">
        <w:rPr>
          <w:rFonts w:hint="cs"/>
          <w:u w:val="dotted"/>
          <w:rtl/>
        </w:rPr>
        <w:t>ומה הדין אם כבר נשאת:</w:t>
      </w:r>
    </w:p>
    <w:p w14:paraId="03313DE1" w14:textId="31FEC531" w:rsidR="00895F1B" w:rsidRPr="00895F1B" w:rsidRDefault="00895F1B" w:rsidP="00867536">
      <w:pPr>
        <w:pStyle w:val="ab"/>
        <w:numPr>
          <w:ilvl w:val="0"/>
          <w:numId w:val="84"/>
        </w:numPr>
      </w:pPr>
      <w:r>
        <w:rPr>
          <w:rFonts w:cs="Arial" w:hint="cs"/>
          <w:rtl/>
        </w:rPr>
        <w:t xml:space="preserve">טור- </w:t>
      </w:r>
      <w:r w:rsidR="00867536" w:rsidRPr="007F14E0">
        <w:rPr>
          <w:rFonts w:cs="Arial"/>
          <w:rtl/>
        </w:rPr>
        <w:t>לא מהני נדרה אלא כל זמן שלא נשאת</w:t>
      </w:r>
      <w:r w:rsidR="00867536">
        <w:rPr>
          <w:rFonts w:cs="Arial" w:hint="cs"/>
          <w:rtl/>
        </w:rPr>
        <w:t>,</w:t>
      </w:r>
      <w:r w:rsidR="00867536" w:rsidRPr="007F14E0">
        <w:rPr>
          <w:rFonts w:cs="Arial"/>
          <w:rtl/>
        </w:rPr>
        <w:t xml:space="preserve"> אבל אם נשאת אינה גובה בנדרה</w:t>
      </w:r>
      <w:r w:rsidR="00867536">
        <w:rPr>
          <w:rFonts w:cs="Arial" w:hint="cs"/>
          <w:rtl/>
        </w:rPr>
        <w:t>,</w:t>
      </w:r>
      <w:r w:rsidR="00867536" w:rsidRPr="007F14E0">
        <w:rPr>
          <w:rFonts w:cs="Arial"/>
          <w:rtl/>
        </w:rPr>
        <w:t xml:space="preserve"> שהבעל יפר לה</w:t>
      </w:r>
      <w:r w:rsidR="00867536">
        <w:rPr>
          <w:rFonts w:cs="Arial" w:hint="cs"/>
          <w:rtl/>
        </w:rPr>
        <w:t>,</w:t>
      </w:r>
      <w:r w:rsidR="00867536" w:rsidRPr="007F14E0">
        <w:rPr>
          <w:rFonts w:cs="Arial"/>
          <w:rtl/>
        </w:rPr>
        <w:t xml:space="preserve"> אפי</w:t>
      </w:r>
      <w:r w:rsidR="00867536">
        <w:rPr>
          <w:rFonts w:cs="Arial" w:hint="cs"/>
          <w:rtl/>
        </w:rPr>
        <w:t>לו</w:t>
      </w:r>
      <w:r w:rsidR="00867536" w:rsidRPr="007F14E0">
        <w:rPr>
          <w:rFonts w:cs="Arial"/>
          <w:rtl/>
        </w:rPr>
        <w:t xml:space="preserve"> נדרה ע</w:t>
      </w:r>
      <w:r w:rsidR="00867536">
        <w:rPr>
          <w:rFonts w:cs="Arial" w:hint="cs"/>
          <w:rtl/>
        </w:rPr>
        <w:t>ל דעת</w:t>
      </w:r>
      <w:r w:rsidR="00867536" w:rsidRPr="007F14E0">
        <w:rPr>
          <w:rFonts w:cs="Arial"/>
          <w:rtl/>
        </w:rPr>
        <w:t xml:space="preserve"> רבים</w:t>
      </w:r>
      <w:r w:rsidR="00867536">
        <w:rPr>
          <w:rFonts w:cs="Arial" w:hint="cs"/>
          <w:rtl/>
        </w:rPr>
        <w:t>,</w:t>
      </w:r>
      <w:r w:rsidR="00867536" w:rsidRPr="007F14E0">
        <w:rPr>
          <w:rFonts w:cs="Arial"/>
          <w:rtl/>
        </w:rPr>
        <w:t xml:space="preserve"> ואפי</w:t>
      </w:r>
      <w:r w:rsidR="00867536">
        <w:rPr>
          <w:rFonts w:cs="Arial" w:hint="cs"/>
          <w:rtl/>
        </w:rPr>
        <w:t>לו</w:t>
      </w:r>
      <w:r w:rsidR="00867536" w:rsidRPr="007F14E0">
        <w:rPr>
          <w:rFonts w:cs="Arial"/>
          <w:rtl/>
        </w:rPr>
        <w:t xml:space="preserve"> אם נתן לה רשות שתדור ע</w:t>
      </w:r>
      <w:r w:rsidR="00867536">
        <w:rPr>
          <w:rFonts w:cs="Arial" w:hint="cs"/>
          <w:rtl/>
        </w:rPr>
        <w:t>ל דעת</w:t>
      </w:r>
      <w:r w:rsidR="00867536" w:rsidRPr="007F14E0">
        <w:rPr>
          <w:rFonts w:cs="Arial"/>
          <w:rtl/>
        </w:rPr>
        <w:t xml:space="preserve"> הב"ד</w:t>
      </w:r>
      <w:r w:rsidR="00867536">
        <w:rPr>
          <w:rFonts w:cs="Arial" w:hint="cs"/>
          <w:rtl/>
        </w:rPr>
        <w:t>,</w:t>
      </w:r>
      <w:r w:rsidR="00867536" w:rsidRPr="007F14E0">
        <w:rPr>
          <w:rFonts w:cs="Arial"/>
          <w:rtl/>
        </w:rPr>
        <w:t xml:space="preserve"> יכול לחזור ממה שהרשה ויפר לה</w:t>
      </w:r>
      <w:r w:rsidR="00FF1267">
        <w:rPr>
          <w:rStyle w:val="a7"/>
          <w:rFonts w:cs="Arial"/>
          <w:rtl/>
        </w:rPr>
        <w:footnoteReference w:id="1779"/>
      </w:r>
      <w:r w:rsidR="00867536">
        <w:rPr>
          <w:rFonts w:cs="Arial" w:hint="cs"/>
          <w:rtl/>
        </w:rPr>
        <w:t>.</w:t>
      </w:r>
      <w:r w:rsidR="00B73ECB">
        <w:rPr>
          <w:rFonts w:cs="Arial" w:hint="cs"/>
          <w:rtl/>
        </w:rPr>
        <w:t xml:space="preserve"> </w:t>
      </w:r>
      <w:r w:rsidR="00B73ECB" w:rsidRPr="008631A7">
        <w:rPr>
          <w:rFonts w:hint="cs"/>
          <w:color w:val="E36C0A" w:themeColor="accent6" w:themeShade="BF"/>
          <w:rtl/>
        </w:rPr>
        <w:t>(וכ"פ בשו"ע)</w:t>
      </w:r>
    </w:p>
    <w:p w14:paraId="389D4A79" w14:textId="13FAC439" w:rsidR="00867536" w:rsidRDefault="00895F1B" w:rsidP="00867536">
      <w:pPr>
        <w:pStyle w:val="ab"/>
        <w:numPr>
          <w:ilvl w:val="0"/>
          <w:numId w:val="84"/>
        </w:numPr>
      </w:pPr>
      <w:r>
        <w:rPr>
          <w:rFonts w:cs="Arial" w:hint="cs"/>
          <w:rtl/>
        </w:rPr>
        <w:t xml:space="preserve">רמב"ם </w:t>
      </w:r>
      <w:r>
        <w:rPr>
          <w:rFonts w:cs="Arial" w:hint="cs"/>
          <w:sz w:val="16"/>
          <w:szCs w:val="16"/>
          <w:rtl/>
        </w:rPr>
        <w:t>(פט"ז הי"א)</w:t>
      </w:r>
      <w:r>
        <w:rPr>
          <w:rFonts w:cs="Arial" w:hint="cs"/>
          <w:rtl/>
        </w:rPr>
        <w:t xml:space="preserve">- </w:t>
      </w:r>
      <w:r w:rsidR="001E6874" w:rsidRPr="001E6874">
        <w:rPr>
          <w:rFonts w:cs="Arial"/>
          <w:rtl/>
        </w:rPr>
        <w:t xml:space="preserve">אם נשאת קודם שתשבע הרי זו נשבעת אחר הנישואין ונוטלת כל זמן שתרצה, אבל אינה נודרת ונוטלת שמא יפר הבעל. </w:t>
      </w:r>
      <w:r>
        <w:rPr>
          <w:rFonts w:cs="Arial" w:hint="cs"/>
          <w:rtl/>
        </w:rPr>
        <w:t xml:space="preserve"> </w:t>
      </w:r>
      <w:r w:rsidR="00867536" w:rsidRPr="007F14E0">
        <w:rPr>
          <w:rFonts w:cs="Arial"/>
          <w:rtl/>
        </w:rPr>
        <w:t xml:space="preserve"> </w:t>
      </w:r>
    </w:p>
    <w:p w14:paraId="2B3E36ED" w14:textId="07999A13" w:rsidR="006B51D7" w:rsidRPr="008E7283" w:rsidRDefault="006B51D7" w:rsidP="006B51D7">
      <w:pPr>
        <w:ind w:left="360"/>
        <w:rPr>
          <w:u w:val="dotted"/>
        </w:rPr>
      </w:pPr>
      <w:r w:rsidRPr="008E7283">
        <w:rPr>
          <w:rFonts w:hint="cs"/>
          <w:u w:val="dotted"/>
          <w:rtl/>
        </w:rPr>
        <w:t xml:space="preserve">כשמשביעה חוץ לבית דין - האם משביעה </w:t>
      </w:r>
      <w:r w:rsidR="008E7283" w:rsidRPr="008E7283">
        <w:rPr>
          <w:rFonts w:hint="cs"/>
          <w:u w:val="dotted"/>
          <w:rtl/>
        </w:rPr>
        <w:t xml:space="preserve">כעין שבועת התורה </w:t>
      </w:r>
      <w:r w:rsidR="008E7283">
        <w:rPr>
          <w:rFonts w:hint="cs"/>
          <w:sz w:val="16"/>
          <w:szCs w:val="16"/>
          <w:u w:val="dotted"/>
          <w:rtl/>
        </w:rPr>
        <w:t>(בנקיטת חפץ ובשם)</w:t>
      </w:r>
      <w:r w:rsidR="008E7283">
        <w:rPr>
          <w:rFonts w:hint="cs"/>
          <w:u w:val="dotted"/>
          <w:rtl/>
        </w:rPr>
        <w:t xml:space="preserve"> </w:t>
      </w:r>
      <w:r w:rsidR="008E7283" w:rsidRPr="008E7283">
        <w:rPr>
          <w:rFonts w:hint="cs"/>
          <w:u w:val="dotted"/>
          <w:rtl/>
        </w:rPr>
        <w:t>או כעין היסת:</w:t>
      </w:r>
    </w:p>
    <w:p w14:paraId="436153ED" w14:textId="1CFC9DA3" w:rsidR="008A11FD" w:rsidRDefault="008E7283" w:rsidP="002A3EEE">
      <w:pPr>
        <w:pStyle w:val="ab"/>
        <w:numPr>
          <w:ilvl w:val="0"/>
          <w:numId w:val="84"/>
        </w:numPr>
        <w:rPr>
          <w:rFonts w:cs="Arial"/>
        </w:rPr>
      </w:pPr>
      <w:r>
        <w:rPr>
          <w:rFonts w:cs="Arial" w:hint="cs"/>
          <w:rtl/>
        </w:rPr>
        <w:t>רש"י</w:t>
      </w:r>
      <w:r>
        <w:rPr>
          <w:rFonts w:cs="Arial" w:hint="cs"/>
          <w:sz w:val="16"/>
          <w:szCs w:val="16"/>
          <w:rtl/>
        </w:rPr>
        <w:t xml:space="preserve"> (</w:t>
      </w:r>
      <w:r w:rsidR="0027187E">
        <w:rPr>
          <w:rFonts w:cs="Arial" w:hint="cs"/>
          <w:sz w:val="16"/>
          <w:szCs w:val="16"/>
          <w:rtl/>
        </w:rPr>
        <w:t xml:space="preserve">לה. </w:t>
      </w:r>
      <w:r w:rsidR="00FE00D3">
        <w:rPr>
          <w:rFonts w:cs="Arial" w:hint="cs"/>
          <w:sz w:val="16"/>
          <w:szCs w:val="16"/>
          <w:rtl/>
        </w:rPr>
        <w:t>ד"ה חוץ</w:t>
      </w:r>
      <w:r>
        <w:rPr>
          <w:rFonts w:cs="Arial" w:hint="cs"/>
          <w:sz w:val="16"/>
          <w:szCs w:val="16"/>
          <w:rtl/>
        </w:rPr>
        <w:t>)</w:t>
      </w:r>
      <w:r w:rsidR="008C23BB">
        <w:rPr>
          <w:rFonts w:cs="Arial" w:hint="cs"/>
          <w:rtl/>
        </w:rPr>
        <w:t xml:space="preserve"> רמב"ן </w:t>
      </w:r>
      <w:r w:rsidR="008C23BB">
        <w:rPr>
          <w:rFonts w:cs="Arial" w:hint="cs"/>
          <w:sz w:val="16"/>
          <w:szCs w:val="16"/>
          <w:rtl/>
        </w:rPr>
        <w:t xml:space="preserve">(שם) </w:t>
      </w:r>
      <w:r w:rsidR="008C23BB">
        <w:rPr>
          <w:rFonts w:cs="Arial" w:hint="cs"/>
          <w:rtl/>
        </w:rPr>
        <w:t xml:space="preserve">רשב"א </w:t>
      </w:r>
      <w:r w:rsidR="008C23BB">
        <w:rPr>
          <w:rFonts w:cs="Arial" w:hint="cs"/>
          <w:sz w:val="16"/>
          <w:szCs w:val="16"/>
          <w:rtl/>
        </w:rPr>
        <w:t>(שם</w:t>
      </w:r>
      <w:r w:rsidR="006C235D">
        <w:rPr>
          <w:rFonts w:cs="Arial" w:hint="cs"/>
          <w:sz w:val="16"/>
          <w:szCs w:val="16"/>
          <w:rtl/>
        </w:rPr>
        <w:t xml:space="preserve"> ובמיו</w:t>
      </w:r>
      <w:r w:rsidR="00C0309E">
        <w:rPr>
          <w:rFonts w:cs="Arial" w:hint="cs"/>
          <w:sz w:val="16"/>
          <w:szCs w:val="16"/>
          <w:rtl/>
        </w:rPr>
        <w:t>ח</w:t>
      </w:r>
      <w:r w:rsidR="006C235D">
        <w:rPr>
          <w:rFonts w:cs="Arial" w:hint="cs"/>
          <w:sz w:val="16"/>
          <w:szCs w:val="16"/>
          <w:rtl/>
        </w:rPr>
        <w:t>סות סי' מח</w:t>
      </w:r>
      <w:r w:rsidR="008C23BB">
        <w:rPr>
          <w:rFonts w:cs="Arial" w:hint="cs"/>
          <w:sz w:val="16"/>
          <w:szCs w:val="16"/>
          <w:rtl/>
        </w:rPr>
        <w:t>)</w:t>
      </w:r>
      <w:r w:rsidR="00C007FC" w:rsidRPr="00C007FC">
        <w:rPr>
          <w:rFonts w:cs="Arial" w:hint="cs"/>
          <w:rtl/>
        </w:rPr>
        <w:t xml:space="preserve"> </w:t>
      </w:r>
      <w:r w:rsidR="00C007FC">
        <w:rPr>
          <w:rFonts w:cs="Arial" w:hint="cs"/>
          <w:rtl/>
        </w:rPr>
        <w:t xml:space="preserve">ורי"ו </w:t>
      </w:r>
      <w:r w:rsidR="00C007FC" w:rsidRPr="00C007FC">
        <w:rPr>
          <w:rFonts w:cs="Arial"/>
          <w:sz w:val="16"/>
          <w:szCs w:val="16"/>
          <w:rtl/>
        </w:rPr>
        <w:t>(מישרים נכ"ג חי"א סד סוף ע"ד</w:t>
      </w:r>
      <w:r w:rsidR="00C007FC" w:rsidRPr="00C007FC">
        <w:rPr>
          <w:rFonts w:cs="Arial" w:hint="cs"/>
          <w:sz w:val="16"/>
          <w:szCs w:val="16"/>
          <w:rtl/>
        </w:rPr>
        <w:t>)</w:t>
      </w:r>
      <w:r>
        <w:rPr>
          <w:rFonts w:cs="Arial" w:hint="cs"/>
          <w:rtl/>
        </w:rPr>
        <w:t xml:space="preserve">- </w:t>
      </w:r>
      <w:r w:rsidR="00325D28" w:rsidRPr="002A3EEE">
        <w:rPr>
          <w:rFonts w:cs="Arial"/>
          <w:rtl/>
        </w:rPr>
        <w:t>כעין היסת שלא בשם ושלא בנקיטת חפץ</w:t>
      </w:r>
      <w:r w:rsidR="002A3EEE">
        <w:rPr>
          <w:rFonts w:cs="Arial" w:hint="cs"/>
          <w:sz w:val="16"/>
          <w:szCs w:val="16"/>
          <w:rtl/>
        </w:rPr>
        <w:t xml:space="preserve"> (ל' הה"מ בשם</w:t>
      </w:r>
      <w:r w:rsidR="00C007FC">
        <w:rPr>
          <w:rFonts w:cs="Arial" w:hint="cs"/>
          <w:sz w:val="16"/>
          <w:szCs w:val="16"/>
          <w:rtl/>
        </w:rPr>
        <w:t xml:space="preserve"> רש"י</w:t>
      </w:r>
      <w:r w:rsidR="002A3EEE">
        <w:rPr>
          <w:rFonts w:cs="Arial" w:hint="cs"/>
          <w:sz w:val="16"/>
          <w:szCs w:val="16"/>
          <w:rtl/>
        </w:rPr>
        <w:t>)</w:t>
      </w:r>
      <w:r w:rsidR="00F2680F">
        <w:rPr>
          <w:rStyle w:val="a7"/>
          <w:rFonts w:cs="Arial"/>
          <w:rtl/>
        </w:rPr>
        <w:footnoteReference w:id="1780"/>
      </w:r>
      <w:r w:rsidR="00325D28" w:rsidRPr="002A3EEE">
        <w:rPr>
          <w:rFonts w:cs="Arial"/>
          <w:rtl/>
        </w:rPr>
        <w:t xml:space="preserve">. </w:t>
      </w:r>
      <w:r w:rsidR="00B73ECB" w:rsidRPr="008631A7">
        <w:rPr>
          <w:rFonts w:hint="cs"/>
          <w:color w:val="E36C0A" w:themeColor="accent6" w:themeShade="BF"/>
          <w:rtl/>
        </w:rPr>
        <w:t>(וכ"פ בשו"ע)</w:t>
      </w:r>
    </w:p>
    <w:p w14:paraId="1C04A384" w14:textId="78563203" w:rsidR="00325D28" w:rsidRPr="002A3EEE" w:rsidRDefault="00C007FC" w:rsidP="002A3EEE">
      <w:pPr>
        <w:pStyle w:val="ab"/>
        <w:numPr>
          <w:ilvl w:val="0"/>
          <w:numId w:val="84"/>
        </w:numPr>
        <w:rPr>
          <w:rFonts w:cs="Arial"/>
          <w:rtl/>
        </w:rPr>
      </w:pPr>
      <w:r>
        <w:rPr>
          <w:rFonts w:cs="Arial" w:hint="cs"/>
          <w:rtl/>
        </w:rPr>
        <w:t xml:space="preserve">ר"י </w:t>
      </w:r>
      <w:r>
        <w:rPr>
          <w:rFonts w:cs="Arial" w:hint="cs"/>
          <w:sz w:val="16"/>
          <w:szCs w:val="16"/>
          <w:rtl/>
        </w:rPr>
        <w:t>(כ"כ המרדכי בשמו [סי' שעא])</w:t>
      </w:r>
      <w:r w:rsidR="002B26F8">
        <w:rPr>
          <w:rFonts w:cs="Arial" w:hint="cs"/>
          <w:rtl/>
        </w:rPr>
        <w:t xml:space="preserve"> ורמב"ם</w:t>
      </w:r>
      <w:r w:rsidR="002B26F8">
        <w:rPr>
          <w:rFonts w:cs="Arial" w:hint="cs"/>
          <w:sz w:val="16"/>
          <w:szCs w:val="16"/>
          <w:rtl/>
        </w:rPr>
        <w:t xml:space="preserve"> (כ"כ הה"מ בשמו)</w:t>
      </w:r>
      <w:r>
        <w:rPr>
          <w:rFonts w:cs="Arial" w:hint="cs"/>
          <w:rtl/>
        </w:rPr>
        <w:t xml:space="preserve">- </w:t>
      </w:r>
      <w:r w:rsidR="0027187E" w:rsidRPr="0027187E">
        <w:rPr>
          <w:rFonts w:cs="Arial"/>
          <w:rtl/>
        </w:rPr>
        <w:t>בין שבועה דאורייתא ובין שבועה דרבנן הויא בנקיטת חפץ</w:t>
      </w:r>
      <w:r w:rsidR="002B26F8">
        <w:rPr>
          <w:rFonts w:cs="Arial" w:hint="cs"/>
          <w:sz w:val="16"/>
          <w:szCs w:val="16"/>
          <w:rtl/>
        </w:rPr>
        <w:t xml:space="preserve"> (ל' המרדכי בשם ר"י)</w:t>
      </w:r>
      <w:r w:rsidR="008A11FD">
        <w:rPr>
          <w:rFonts w:cs="Arial" w:hint="cs"/>
          <w:rtl/>
        </w:rPr>
        <w:t>.</w:t>
      </w:r>
      <w:r w:rsidR="0027187E">
        <w:rPr>
          <w:rFonts w:cs="Arial" w:hint="cs"/>
          <w:rtl/>
        </w:rPr>
        <w:t xml:space="preserve"> </w:t>
      </w:r>
    </w:p>
    <w:p w14:paraId="3834BA44" w14:textId="5EF6725E" w:rsidR="00E4482A" w:rsidRPr="00FF4FC3" w:rsidRDefault="00FF4FC3" w:rsidP="00325D28">
      <w:pPr>
        <w:rPr>
          <w:u w:val="single"/>
          <w:rtl/>
        </w:rPr>
      </w:pPr>
      <w:r w:rsidRPr="00FF4FC3">
        <w:rPr>
          <w:rFonts w:cs="Arial"/>
          <w:u w:val="single"/>
          <w:rtl/>
        </w:rPr>
        <w:t>נוסח שבועת אלמנה</w:t>
      </w:r>
      <w:r w:rsidR="00B62E83">
        <w:rPr>
          <w:rFonts w:cs="Arial" w:hint="cs"/>
          <w:u w:val="single"/>
          <w:rtl/>
        </w:rPr>
        <w:t xml:space="preserve"> </w:t>
      </w:r>
      <w:r w:rsidR="00B62E83" w:rsidRPr="00B62E83">
        <w:rPr>
          <w:rFonts w:cs="Arial" w:hint="cs"/>
          <w:sz w:val="16"/>
          <w:szCs w:val="16"/>
          <w:u w:val="single"/>
          <w:rtl/>
        </w:rPr>
        <w:t>(כשצריכה להשבע בגלל שפגמה או שהבעל אומרת פרעתי וכו')</w:t>
      </w:r>
      <w:r w:rsidRPr="00FF4FC3">
        <w:rPr>
          <w:rFonts w:hint="cs"/>
          <w:u w:val="single"/>
          <w:rtl/>
        </w:rPr>
        <w:t>:</w:t>
      </w:r>
    </w:p>
    <w:p w14:paraId="56C65C94" w14:textId="2670C328" w:rsidR="00E4482A" w:rsidRDefault="00E4482A" w:rsidP="009000E3">
      <w:pPr>
        <w:pStyle w:val="ab"/>
        <w:numPr>
          <w:ilvl w:val="0"/>
          <w:numId w:val="85"/>
        </w:numPr>
      </w:pPr>
      <w:r w:rsidRPr="00E4482A">
        <w:rPr>
          <w:rFonts w:cs="Arial"/>
          <w:rtl/>
        </w:rPr>
        <w:lastRenderedPageBreak/>
        <w:t xml:space="preserve">רשב"א </w:t>
      </w:r>
      <w:r w:rsidRPr="00E4482A">
        <w:rPr>
          <w:rFonts w:cs="Arial" w:hint="cs"/>
          <w:sz w:val="16"/>
          <w:szCs w:val="16"/>
          <w:rtl/>
        </w:rPr>
        <w:t>(במיוחסות סי' מח)</w:t>
      </w:r>
      <w:r w:rsidRPr="00E4482A">
        <w:rPr>
          <w:rFonts w:cs="Arial" w:hint="cs"/>
          <w:rtl/>
        </w:rPr>
        <w:t xml:space="preserve">- </w:t>
      </w:r>
      <w:r w:rsidRPr="00E4482A">
        <w:rPr>
          <w:rFonts w:cs="Arial"/>
          <w:rtl/>
        </w:rPr>
        <w:t>ומה ששאלת אי זהו נוסח שבועת אלמנה אם באה לגבות כתובתה מדירים אותה בבית דין</w:t>
      </w:r>
      <w:r w:rsidR="00FF4FC3">
        <w:rPr>
          <w:rFonts w:cs="Arial" w:hint="cs"/>
          <w:rtl/>
        </w:rPr>
        <w:t>,</w:t>
      </w:r>
      <w:r w:rsidRPr="00E4482A">
        <w:rPr>
          <w:rFonts w:cs="Arial"/>
          <w:rtl/>
        </w:rPr>
        <w:t xml:space="preserve"> ותאסור עליה מקצת פירות כגון בשר ויין וכיוצא בהם אם נטלה משל בעל כלום בין בחייו בין לאחר מותו</w:t>
      </w:r>
      <w:r w:rsidR="00FF4FC3">
        <w:rPr>
          <w:rFonts w:cs="Arial" w:hint="cs"/>
          <w:rtl/>
        </w:rPr>
        <w:t>.</w:t>
      </w:r>
      <w:r w:rsidRPr="00E4482A">
        <w:rPr>
          <w:rFonts w:cs="Arial"/>
          <w:rtl/>
        </w:rPr>
        <w:t xml:space="preserve"> ואם נטלה כלום תאמר</w:t>
      </w:r>
      <w:r w:rsidR="00FF4FC3">
        <w:rPr>
          <w:rFonts w:cs="Arial" w:hint="cs"/>
          <w:rtl/>
        </w:rPr>
        <w:t>:</w:t>
      </w:r>
      <w:r w:rsidRPr="00E4482A">
        <w:rPr>
          <w:rFonts w:cs="Arial"/>
          <w:rtl/>
        </w:rPr>
        <w:t xml:space="preserve"> אם נטלה אלא כן וכן</w:t>
      </w:r>
      <w:r w:rsidR="00577334">
        <w:rPr>
          <w:rFonts w:cs="Arial" w:hint="cs"/>
          <w:rtl/>
        </w:rPr>
        <w:t>.</w:t>
      </w:r>
    </w:p>
    <w:p w14:paraId="4EFBAD92" w14:textId="269DAC06" w:rsidR="00770821" w:rsidRPr="00770821" w:rsidRDefault="00770821" w:rsidP="00770821">
      <w:pPr>
        <w:rPr>
          <w:u w:val="single"/>
        </w:rPr>
      </w:pPr>
      <w:r w:rsidRPr="00770821">
        <w:rPr>
          <w:rFonts w:cs="Arial"/>
          <w:u w:val="single"/>
          <w:rtl/>
        </w:rPr>
        <w:t>אלמנה שנשבעה בפני בית דין של ג'</w:t>
      </w:r>
      <w:r w:rsidRPr="00770821">
        <w:rPr>
          <w:rFonts w:cs="Arial" w:hint="cs"/>
          <w:u w:val="single"/>
          <w:rtl/>
        </w:rPr>
        <w:t>,</w:t>
      </w:r>
      <w:r w:rsidRPr="00770821">
        <w:rPr>
          <w:rFonts w:cs="Arial"/>
          <w:u w:val="single"/>
          <w:rtl/>
        </w:rPr>
        <w:t xml:space="preserve"> </w:t>
      </w:r>
      <w:r w:rsidRPr="00770821">
        <w:rPr>
          <w:rFonts w:cs="Arial" w:hint="cs"/>
          <w:u w:val="single"/>
          <w:rtl/>
        </w:rPr>
        <w:t>ו</w:t>
      </w:r>
      <w:r w:rsidRPr="00770821">
        <w:rPr>
          <w:rFonts w:cs="Arial"/>
          <w:u w:val="single"/>
          <w:rtl/>
        </w:rPr>
        <w:t>אחד מהם קרוב לחבירו</w:t>
      </w:r>
      <w:r w:rsidRPr="00770821">
        <w:rPr>
          <w:rFonts w:hint="cs"/>
          <w:u w:val="single"/>
          <w:rtl/>
        </w:rPr>
        <w:t>:</w:t>
      </w:r>
    </w:p>
    <w:p w14:paraId="72430564" w14:textId="60F41653" w:rsidR="00770821" w:rsidRDefault="00770821" w:rsidP="00770821">
      <w:pPr>
        <w:pStyle w:val="ab"/>
        <w:numPr>
          <w:ilvl w:val="0"/>
          <w:numId w:val="85"/>
        </w:numPr>
        <w:rPr>
          <w:rtl/>
        </w:rPr>
      </w:pPr>
      <w:r w:rsidRPr="00770821">
        <w:rPr>
          <w:rFonts w:cs="Arial"/>
          <w:rtl/>
        </w:rPr>
        <w:t xml:space="preserve">רשב"א </w:t>
      </w:r>
      <w:r w:rsidRPr="00770821">
        <w:rPr>
          <w:rFonts w:cs="Arial"/>
          <w:sz w:val="16"/>
          <w:szCs w:val="16"/>
          <w:rtl/>
        </w:rPr>
        <w:t>(ח"ו סי</w:t>
      </w:r>
      <w:r w:rsidRPr="00770821">
        <w:rPr>
          <w:rFonts w:cs="Arial" w:hint="cs"/>
          <w:sz w:val="16"/>
          <w:szCs w:val="16"/>
          <w:rtl/>
        </w:rPr>
        <w:t>'</w:t>
      </w:r>
      <w:r w:rsidRPr="00770821">
        <w:rPr>
          <w:rFonts w:cs="Arial"/>
          <w:sz w:val="16"/>
          <w:szCs w:val="16"/>
          <w:rtl/>
        </w:rPr>
        <w:t xml:space="preserve"> ו)</w:t>
      </w:r>
      <w:r w:rsidRPr="00770821">
        <w:rPr>
          <w:rFonts w:cs="Arial" w:hint="cs"/>
          <w:rtl/>
        </w:rPr>
        <w:t>-</w:t>
      </w:r>
      <w:r w:rsidRPr="00770821">
        <w:rPr>
          <w:rFonts w:cs="Arial"/>
          <w:rtl/>
        </w:rPr>
        <w:t xml:space="preserve"> </w:t>
      </w:r>
      <w:r>
        <w:rPr>
          <w:rFonts w:cs="Arial" w:hint="cs"/>
          <w:rtl/>
        </w:rPr>
        <w:t xml:space="preserve">שאלת: </w:t>
      </w:r>
      <w:r w:rsidRPr="00770821">
        <w:rPr>
          <w:rFonts w:cs="Arial"/>
          <w:rtl/>
        </w:rPr>
        <w:t>אלמנה שנשבעה בפני בית דין של ג'</w:t>
      </w:r>
      <w:r w:rsidRPr="00770821">
        <w:rPr>
          <w:rFonts w:cs="Arial" w:hint="cs"/>
          <w:rtl/>
        </w:rPr>
        <w:t>,</w:t>
      </w:r>
      <w:r w:rsidRPr="00770821">
        <w:rPr>
          <w:rFonts w:cs="Arial"/>
          <w:rtl/>
        </w:rPr>
        <w:t xml:space="preserve"> </w:t>
      </w:r>
      <w:r w:rsidRPr="00770821">
        <w:rPr>
          <w:rFonts w:cs="Arial" w:hint="cs"/>
          <w:rtl/>
        </w:rPr>
        <w:t>ו</w:t>
      </w:r>
      <w:r w:rsidRPr="00770821">
        <w:rPr>
          <w:rFonts w:cs="Arial"/>
          <w:rtl/>
        </w:rPr>
        <w:t>אחד מהם קרוב לחבירו</w:t>
      </w:r>
      <w:r w:rsidRPr="00770821">
        <w:rPr>
          <w:rFonts w:cs="Arial" w:hint="cs"/>
          <w:rtl/>
        </w:rPr>
        <w:t>.</w:t>
      </w:r>
      <w:r w:rsidRPr="00770821">
        <w:rPr>
          <w:rFonts w:cs="Arial"/>
          <w:rtl/>
        </w:rPr>
        <w:t xml:space="preserve"> </w:t>
      </w:r>
      <w:r w:rsidRPr="00770821">
        <w:rPr>
          <w:rFonts w:cs="Arial" w:hint="cs"/>
          <w:rtl/>
        </w:rPr>
        <w:t xml:space="preserve">   תשובה:</w:t>
      </w:r>
      <w:r w:rsidRPr="00770821">
        <w:rPr>
          <w:rFonts w:cs="Arial"/>
          <w:rtl/>
        </w:rPr>
        <w:t xml:space="preserve"> מה שנשבעה לא נשבעה שהרי צריכה לישבע בבית דין ואין כאן בית דין</w:t>
      </w:r>
      <w:r w:rsidRPr="00770821">
        <w:rPr>
          <w:rFonts w:cs="Arial" w:hint="cs"/>
          <w:rtl/>
        </w:rPr>
        <w:t>.</w:t>
      </w:r>
      <w:r w:rsidRPr="00770821">
        <w:rPr>
          <w:rFonts w:cs="Arial"/>
          <w:rtl/>
        </w:rPr>
        <w:t xml:space="preserve"> והא דגרסינן בפרק השולח (גיטין לה.) אדרה בבית דין ואשבעה חוץ לבית דין דמשמע דאפילו נשבעה שלא בבית דין הויא שבועה </w:t>
      </w:r>
      <w:r w:rsidRPr="00770821">
        <w:rPr>
          <w:rFonts w:cs="Arial" w:hint="cs"/>
          <w:rtl/>
        </w:rPr>
        <w:t xml:space="preserve">- </w:t>
      </w:r>
      <w:r w:rsidRPr="00770821">
        <w:rPr>
          <w:rFonts w:cs="Arial"/>
          <w:rtl/>
        </w:rPr>
        <w:t>ליתא</w:t>
      </w:r>
      <w:r w:rsidRPr="00770821">
        <w:rPr>
          <w:rFonts w:cs="Arial" w:hint="cs"/>
          <w:rtl/>
        </w:rPr>
        <w:t>,</w:t>
      </w:r>
      <w:r w:rsidRPr="00770821">
        <w:rPr>
          <w:rFonts w:cs="Arial"/>
          <w:rtl/>
        </w:rPr>
        <w:t xml:space="preserve"> דאיכא מאן דמפ</w:t>
      </w:r>
      <w:r w:rsidRPr="00770821">
        <w:rPr>
          <w:rFonts w:cs="Arial" w:hint="cs"/>
          <w:rtl/>
        </w:rPr>
        <w:t>רש</w:t>
      </w:r>
      <w:r w:rsidRPr="00770821">
        <w:rPr>
          <w:rFonts w:cs="Arial"/>
          <w:rtl/>
        </w:rPr>
        <w:t xml:space="preserve"> דתרוייהו א"ל דליעבד אדרה בבית דין ועוד אשבעה חוץ לבית דין</w:t>
      </w:r>
      <w:r w:rsidRPr="00770821">
        <w:rPr>
          <w:rFonts w:cs="Arial" w:hint="cs"/>
          <w:rtl/>
        </w:rPr>
        <w:t>,</w:t>
      </w:r>
      <w:r w:rsidRPr="00770821">
        <w:rPr>
          <w:rFonts w:cs="Arial"/>
          <w:rtl/>
        </w:rPr>
        <w:t xml:space="preserve"> ואיכא מאן דמפ' דה"ק עשה לה מה שירצו היתומים או אדרה בבית דין או אשבעה שלא בנקיטת חפץ שלא בבית דין אי זה מהם שירצו היתומים</w:t>
      </w:r>
      <w:r w:rsidRPr="00770821">
        <w:rPr>
          <w:rFonts w:cs="Arial" w:hint="cs"/>
          <w:rtl/>
        </w:rPr>
        <w:t>,</w:t>
      </w:r>
      <w:r w:rsidRPr="00770821">
        <w:rPr>
          <w:rFonts w:cs="Arial"/>
          <w:rtl/>
        </w:rPr>
        <w:t xml:space="preserve"> ולזה דעתי נוטה</w:t>
      </w:r>
      <w:r w:rsidRPr="00770821">
        <w:rPr>
          <w:rFonts w:cs="Arial" w:hint="cs"/>
          <w:rtl/>
        </w:rPr>
        <w:t>.</w:t>
      </w:r>
      <w:r w:rsidRPr="00770821">
        <w:rPr>
          <w:rFonts w:cs="Arial"/>
          <w:rtl/>
        </w:rPr>
        <w:t xml:space="preserve"> ולפי</w:t>
      </w:r>
      <w:r w:rsidRPr="00770821">
        <w:rPr>
          <w:rFonts w:cs="Arial" w:hint="cs"/>
          <w:rtl/>
        </w:rPr>
        <w:t>כך</w:t>
      </w:r>
      <w:r w:rsidRPr="00770821">
        <w:rPr>
          <w:rFonts w:cs="Arial"/>
          <w:rtl/>
        </w:rPr>
        <w:t xml:space="preserve"> צריכה היא עוד להיות נודרת בבית דין ולאסור עצמה בכל</w:t>
      </w:r>
      <w:r>
        <w:rPr>
          <w:rStyle w:val="a7"/>
          <w:rFonts w:cs="Arial"/>
          <w:rtl/>
        </w:rPr>
        <w:footnoteReference w:id="1781"/>
      </w:r>
      <w:r w:rsidRPr="00770821">
        <w:rPr>
          <w:rFonts w:cs="Arial"/>
          <w:rtl/>
        </w:rPr>
        <w:t xml:space="preserve"> פירות חוץ מפת וכיוצא בזה אם נטלה משל בעל כלום</w:t>
      </w:r>
      <w:r w:rsidRPr="00770821">
        <w:rPr>
          <w:rFonts w:cs="Arial" w:hint="cs"/>
          <w:rtl/>
        </w:rPr>
        <w:t>.</w:t>
      </w:r>
      <w:r w:rsidR="00C12B0F">
        <w:rPr>
          <w:rFonts w:hint="cs"/>
          <w:rtl/>
        </w:rPr>
        <w:t xml:space="preserve"> </w:t>
      </w:r>
      <w:r w:rsidR="00C12B0F" w:rsidRPr="00C12B0F">
        <w:rPr>
          <w:rFonts w:cs="Arial" w:hint="cs"/>
          <w:color w:val="00B0F0"/>
          <w:rtl/>
        </w:rPr>
        <w:t>(וכ"פ הרמ"א</w:t>
      </w:r>
      <w:r w:rsidR="00C12B0F">
        <w:rPr>
          <w:rFonts w:cs="Arial" w:hint="cs"/>
          <w:color w:val="00B0F0"/>
          <w:sz w:val="16"/>
          <w:szCs w:val="16"/>
          <w:rtl/>
        </w:rPr>
        <w:t xml:space="preserve"> </w:t>
      </w:r>
      <w:r w:rsidR="00C12B0F" w:rsidRPr="00C12B0F">
        <w:rPr>
          <w:rFonts w:cs="Arial" w:hint="cs"/>
          <w:color w:val="000000" w:themeColor="text1"/>
          <w:sz w:val="16"/>
          <w:szCs w:val="16"/>
          <w:rtl/>
        </w:rPr>
        <w:t>[</w:t>
      </w:r>
      <w:r w:rsidR="00C12B0F">
        <w:rPr>
          <w:rFonts w:cs="Arial" w:hint="cs"/>
          <w:color w:val="000000" w:themeColor="text1"/>
          <w:sz w:val="16"/>
          <w:szCs w:val="16"/>
          <w:rtl/>
        </w:rPr>
        <w:t>בסע' כא</w:t>
      </w:r>
      <w:r w:rsidR="00C12B0F" w:rsidRPr="00C12B0F">
        <w:rPr>
          <w:rFonts w:cs="Arial" w:hint="cs"/>
          <w:color w:val="000000" w:themeColor="text1"/>
          <w:sz w:val="16"/>
          <w:szCs w:val="16"/>
          <w:rtl/>
        </w:rPr>
        <w:t>]</w:t>
      </w:r>
      <w:r w:rsidR="00C12B0F" w:rsidRPr="00C12B0F">
        <w:rPr>
          <w:rFonts w:cs="Arial" w:hint="cs"/>
          <w:color w:val="00B0F0"/>
          <w:rtl/>
        </w:rPr>
        <w:t>)</w:t>
      </w:r>
    </w:p>
    <w:p w14:paraId="771BD8D6"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168484E" w14:textId="5F08EE3C" w:rsidR="00392DBB" w:rsidRDefault="00392DBB" w:rsidP="00392DBB">
      <w:pPr>
        <w:rPr>
          <w:rFonts w:cs="Arial"/>
          <w:rtl/>
        </w:rPr>
      </w:pPr>
      <w:r>
        <w:rPr>
          <w:rFonts w:cs="Arial"/>
          <w:rtl/>
        </w:rPr>
        <w:t>כשמשביעין בית דין או היורשים את האלמנה</w:t>
      </w:r>
      <w:r w:rsidR="00B73ECB">
        <w:rPr>
          <w:rStyle w:val="a7"/>
          <w:rFonts w:cs="Arial"/>
          <w:rtl/>
        </w:rPr>
        <w:footnoteReference w:id="1782"/>
      </w:r>
      <w:r>
        <w:rPr>
          <w:rFonts w:cs="Arial"/>
          <w:rtl/>
        </w:rPr>
        <w:t xml:space="preserve"> כשתבא לגבות כתובתה, אין משביעין אלא חוץ לבית דין, מפני שבתי דינין היו נמנעים מלהשביע, שחוששין שמא לא תדקדק על עצמה, ושבועה חוץ לבית דין אינה חמורה כל כך, שאינה בשם ולא בנקיטת חפץ, אלא בקבלת ארור. ואם רצו היתומים להדירה, נודרת להם כל מה שירצו, ומדירין אותה בב</w:t>
      </w:r>
      <w:r w:rsidR="00920F3A">
        <w:rPr>
          <w:rFonts w:cs="Arial" w:hint="cs"/>
          <w:rtl/>
        </w:rPr>
        <w:t>ית דין</w:t>
      </w:r>
      <w:r>
        <w:rPr>
          <w:rFonts w:cs="Arial"/>
          <w:rtl/>
        </w:rPr>
        <w:t xml:space="preserve"> ואח</w:t>
      </w:r>
      <w:r w:rsidR="00920F3A">
        <w:rPr>
          <w:rFonts w:cs="Arial" w:hint="cs"/>
          <w:rtl/>
        </w:rPr>
        <w:t>ר כך</w:t>
      </w:r>
      <w:r>
        <w:rPr>
          <w:rFonts w:cs="Arial"/>
          <w:rtl/>
        </w:rPr>
        <w:t xml:space="preserve"> נוטלת כתובתה. וצריך שהנדר יהיה בדבר שיש בו עינוי נפש, שתהיה באיסור כל ימיה. ולא מהני נדר אלא כל זמן שלא נשאת, אבל אם נשאת אינה גובה בנדר, מפני שהבעל יפר לה. </w:t>
      </w:r>
    </w:p>
    <w:bookmarkEnd w:id="20"/>
    <w:p w14:paraId="6A7FCD3F" w14:textId="77777777" w:rsidR="00B73ECB" w:rsidRDefault="00B73ECB" w:rsidP="00392DBB">
      <w:pPr>
        <w:rPr>
          <w:rtl/>
        </w:rPr>
      </w:pPr>
    </w:p>
    <w:p w14:paraId="28AAC6EF" w14:textId="2F5D654F" w:rsidR="00392DBB" w:rsidRDefault="00392DBB" w:rsidP="000F64D0">
      <w:pPr>
        <w:pStyle w:val="2"/>
        <w:rPr>
          <w:rtl/>
        </w:rPr>
      </w:pPr>
      <w:r>
        <w:rPr>
          <w:rtl/>
        </w:rPr>
        <w:t>סעיף כ</w:t>
      </w:r>
      <w:r w:rsidR="00920F3A">
        <w:rPr>
          <w:rFonts w:hint="cs"/>
          <w:rtl/>
        </w:rPr>
        <w:t>:</w:t>
      </w:r>
      <w:r w:rsidR="00732CF1">
        <w:rPr>
          <w:rFonts w:hint="cs"/>
          <w:rtl/>
        </w:rPr>
        <w:t xml:space="preserve"> </w:t>
      </w:r>
      <w:r w:rsidR="009B00FC">
        <w:rPr>
          <w:rFonts w:hint="cs"/>
          <w:rtl/>
        </w:rPr>
        <w:t xml:space="preserve">איפה </w:t>
      </w:r>
      <w:r w:rsidR="00334531">
        <w:rPr>
          <w:rFonts w:hint="cs"/>
          <w:rtl/>
        </w:rPr>
        <w:t>וכיצד</w:t>
      </w:r>
      <w:r w:rsidR="00732CF1">
        <w:rPr>
          <w:rFonts w:hint="cs"/>
          <w:rtl/>
        </w:rPr>
        <w:t xml:space="preserve"> גרושה</w:t>
      </w:r>
      <w:r w:rsidR="00334531">
        <w:rPr>
          <w:rFonts w:hint="cs"/>
          <w:rtl/>
        </w:rPr>
        <w:t xml:space="preserve"> נשבעת</w:t>
      </w:r>
      <w:r w:rsidR="00732CF1">
        <w:rPr>
          <w:rFonts w:hint="cs"/>
          <w:rtl/>
        </w:rPr>
        <w:t>.</w:t>
      </w:r>
    </w:p>
    <w:p w14:paraId="2D0449A3" w14:textId="4521DADF" w:rsidR="00357A89" w:rsidRPr="00357A89" w:rsidRDefault="00357A89" w:rsidP="00357A89">
      <w:pPr>
        <w:rPr>
          <w:rtl/>
        </w:rPr>
      </w:pPr>
      <w:r w:rsidRPr="00B94040">
        <w:rPr>
          <w:rFonts w:cs="Arial" w:hint="cs"/>
          <w:b/>
          <w:bCs/>
          <w:rtl/>
        </w:rPr>
        <w:t xml:space="preserve">גיטין </w:t>
      </w:r>
      <w:r w:rsidRPr="00B94040">
        <w:rPr>
          <w:rFonts w:cs="Arial" w:hint="cs"/>
          <w:b/>
          <w:bCs/>
          <w:sz w:val="16"/>
          <w:szCs w:val="16"/>
          <w:rtl/>
        </w:rPr>
        <w:t>(פ' השולח)</w:t>
      </w:r>
      <w:r w:rsidRPr="00B94040">
        <w:rPr>
          <w:rFonts w:cs="Arial" w:hint="cs"/>
          <w:b/>
          <w:bCs/>
          <w:rtl/>
        </w:rPr>
        <w:t xml:space="preserve"> ל</w:t>
      </w:r>
      <w:r w:rsidR="003B2E45">
        <w:rPr>
          <w:rFonts w:cs="Arial" w:hint="cs"/>
          <w:b/>
          <w:bCs/>
          <w:rtl/>
        </w:rPr>
        <w:t>ה</w:t>
      </w:r>
      <w:r w:rsidRPr="00B94040">
        <w:rPr>
          <w:rFonts w:cs="Arial" w:hint="cs"/>
          <w:b/>
          <w:bCs/>
          <w:rtl/>
        </w:rPr>
        <w:t xml:space="preserve"> ע"</w:t>
      </w:r>
      <w:r w:rsidR="003B2E45">
        <w:rPr>
          <w:rFonts w:cs="Arial" w:hint="cs"/>
          <w:b/>
          <w:bCs/>
          <w:rtl/>
        </w:rPr>
        <w:t>א</w:t>
      </w:r>
      <w:r w:rsidRPr="00B94040">
        <w:rPr>
          <w:rFonts w:cs="Arial" w:hint="cs"/>
          <w:b/>
          <w:bCs/>
          <w:rtl/>
        </w:rPr>
        <w:t>:</w:t>
      </w:r>
      <w:r w:rsidRPr="00B94040">
        <w:rPr>
          <w:rFonts w:cs="Arial" w:hint="cs"/>
          <w:rtl/>
        </w:rPr>
        <w:t xml:space="preserve"> </w:t>
      </w:r>
      <w:r w:rsidR="003B2E45" w:rsidRPr="003B2E45">
        <w:rPr>
          <w:rFonts w:cs="Arial"/>
          <w:u w:val="single"/>
          <w:rtl/>
        </w:rPr>
        <w:t>א"ר זירא אמר שמואל</w:t>
      </w:r>
      <w:r w:rsidR="003B2E45" w:rsidRPr="003B2E45">
        <w:rPr>
          <w:rFonts w:cs="Arial"/>
          <w:rtl/>
        </w:rPr>
        <w:t>: לא שנו אלא אלמנה, אבל גרושה משביעין אותה</w:t>
      </w:r>
      <w:r w:rsidR="003B2E45">
        <w:rPr>
          <w:rFonts w:cs="Arial" w:hint="cs"/>
          <w:rtl/>
        </w:rPr>
        <w:t>.</w:t>
      </w:r>
      <w:r w:rsidR="003B2E45" w:rsidRPr="003B2E45">
        <w:rPr>
          <w:rFonts w:cs="Arial"/>
          <w:rtl/>
        </w:rPr>
        <w:t xml:space="preserve"> אלמנה שאני, דבההיא הנאה דקא טרחה קמי דיתמי אתיא לאורויי היתרא</w:t>
      </w:r>
      <w:r w:rsidR="00AA0DCE">
        <w:rPr>
          <w:rStyle w:val="a7"/>
          <w:rFonts w:cs="Arial"/>
          <w:rtl/>
        </w:rPr>
        <w:footnoteReference w:id="1783"/>
      </w:r>
      <w:r w:rsidR="003B2E45" w:rsidRPr="003B2E45">
        <w:rPr>
          <w:rFonts w:cs="Arial"/>
          <w:rtl/>
        </w:rPr>
        <w:t>.</w:t>
      </w:r>
    </w:p>
    <w:p w14:paraId="137A3AB9" w14:textId="48347F66" w:rsidR="00334531" w:rsidRPr="00334531" w:rsidRDefault="00334531" w:rsidP="00334531">
      <w:pPr>
        <w:rPr>
          <w:u w:val="single"/>
          <w:rtl/>
        </w:rPr>
      </w:pPr>
      <w:r w:rsidRPr="00334531">
        <w:rPr>
          <w:rFonts w:hint="cs"/>
          <w:u w:val="single"/>
          <w:rtl/>
        </w:rPr>
        <w:t>איפה וכיצד גרושה נשבעת:</w:t>
      </w:r>
    </w:p>
    <w:p w14:paraId="32207643" w14:textId="2030C14E" w:rsidR="00946029" w:rsidRPr="000A166B" w:rsidRDefault="00946029" w:rsidP="00157A96">
      <w:pPr>
        <w:pStyle w:val="ab"/>
        <w:numPr>
          <w:ilvl w:val="0"/>
          <w:numId w:val="84"/>
        </w:numPr>
      </w:pPr>
      <w:r>
        <w:rPr>
          <w:rFonts w:cs="Arial" w:hint="cs"/>
          <w:rtl/>
        </w:rPr>
        <w:t xml:space="preserve">טור- </w:t>
      </w:r>
      <w:r w:rsidRPr="007F14E0">
        <w:rPr>
          <w:rFonts w:cs="Arial"/>
          <w:rtl/>
        </w:rPr>
        <w:t>גרושה שבאה לישבע</w:t>
      </w:r>
      <w:r w:rsidR="00157A96">
        <w:rPr>
          <w:rFonts w:cs="Arial" w:hint="cs"/>
          <w:rtl/>
        </w:rPr>
        <w:t>,</w:t>
      </w:r>
      <w:r w:rsidRPr="007F14E0">
        <w:rPr>
          <w:rFonts w:cs="Arial"/>
          <w:rtl/>
        </w:rPr>
        <w:t xml:space="preserve"> כגון שהבעל אומר פרעתי או פוגמת וכיוצא בזה</w:t>
      </w:r>
      <w:r w:rsidR="00157A96">
        <w:rPr>
          <w:rFonts w:cs="Arial" w:hint="cs"/>
          <w:rtl/>
        </w:rPr>
        <w:t>,</w:t>
      </w:r>
      <w:r w:rsidRPr="007F14E0">
        <w:rPr>
          <w:rFonts w:cs="Arial"/>
          <w:rtl/>
        </w:rPr>
        <w:t xml:space="preserve"> נשבעת אפי' בבית דין</w:t>
      </w:r>
      <w:r w:rsidR="00157A96">
        <w:rPr>
          <w:rFonts w:cs="Arial" w:hint="cs"/>
          <w:rtl/>
        </w:rPr>
        <w:t>.</w:t>
      </w:r>
      <w:r w:rsidR="00AA0DCE" w:rsidRPr="00AA0DCE">
        <w:rPr>
          <w:rFonts w:hint="cs"/>
          <w:color w:val="E36C0A" w:themeColor="accent6" w:themeShade="BF"/>
          <w:rtl/>
        </w:rPr>
        <w:t xml:space="preserve"> </w:t>
      </w:r>
      <w:r w:rsidR="00AA0DCE" w:rsidRPr="008631A7">
        <w:rPr>
          <w:rFonts w:hint="cs"/>
          <w:color w:val="E36C0A" w:themeColor="accent6" w:themeShade="BF"/>
          <w:rtl/>
        </w:rPr>
        <w:t>(וכ"פ בשו"ע)</w:t>
      </w:r>
      <w:r w:rsidRPr="007F14E0">
        <w:rPr>
          <w:rFonts w:cs="Arial"/>
          <w:rtl/>
        </w:rPr>
        <w:t xml:space="preserve"> </w:t>
      </w:r>
    </w:p>
    <w:p w14:paraId="025A8CF2"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95923ED" w14:textId="77777777" w:rsidR="00920F3A" w:rsidRDefault="00392DBB" w:rsidP="00392DBB">
      <w:pPr>
        <w:rPr>
          <w:rFonts w:cs="Arial"/>
          <w:rtl/>
        </w:rPr>
      </w:pPr>
      <w:r>
        <w:rPr>
          <w:rFonts w:cs="Arial"/>
          <w:rtl/>
        </w:rPr>
        <w:t>גרושה שבאה לישבע, משביעים אותה בב</w:t>
      </w:r>
      <w:r w:rsidR="00920F3A">
        <w:rPr>
          <w:rFonts w:cs="Arial" w:hint="cs"/>
          <w:rtl/>
        </w:rPr>
        <w:t>ית דין</w:t>
      </w:r>
      <w:r>
        <w:rPr>
          <w:rFonts w:cs="Arial"/>
          <w:rtl/>
        </w:rPr>
        <w:t>.</w:t>
      </w:r>
    </w:p>
    <w:p w14:paraId="3A9E7632" w14:textId="7937B64A" w:rsidR="00392DBB" w:rsidRDefault="00392DBB" w:rsidP="00392DBB">
      <w:pPr>
        <w:rPr>
          <w:rtl/>
        </w:rPr>
      </w:pPr>
      <w:r>
        <w:rPr>
          <w:rFonts w:cs="Arial"/>
          <w:rtl/>
        </w:rPr>
        <w:t xml:space="preserve"> </w:t>
      </w:r>
    </w:p>
    <w:p w14:paraId="1CADA37B" w14:textId="0536F261" w:rsidR="000727D9" w:rsidRDefault="00392DBB" w:rsidP="000F64D0">
      <w:pPr>
        <w:pStyle w:val="2"/>
        <w:rPr>
          <w:rtl/>
        </w:rPr>
      </w:pPr>
      <w:r>
        <w:rPr>
          <w:rtl/>
        </w:rPr>
        <w:t>סעיף כ</w:t>
      </w:r>
      <w:r w:rsidR="000727D9">
        <w:rPr>
          <w:rFonts w:hint="cs"/>
          <w:rtl/>
        </w:rPr>
        <w:t>א:</w:t>
      </w:r>
      <w:r w:rsidR="00732CF1">
        <w:rPr>
          <w:rFonts w:hint="cs"/>
          <w:rtl/>
        </w:rPr>
        <w:t xml:space="preserve"> </w:t>
      </w:r>
      <w:r w:rsidR="000D6F6A">
        <w:rPr>
          <w:rFonts w:hint="cs"/>
          <w:rtl/>
        </w:rPr>
        <w:t>איפה</w:t>
      </w:r>
      <w:r w:rsidR="00732CF1">
        <w:rPr>
          <w:rFonts w:hint="cs"/>
          <w:rtl/>
        </w:rPr>
        <w:t xml:space="preserve"> אלמנה </w:t>
      </w:r>
      <w:r w:rsidR="000D6F6A">
        <w:rPr>
          <w:rFonts w:hint="cs"/>
          <w:rtl/>
        </w:rPr>
        <w:t xml:space="preserve">נשבעת </w:t>
      </w:r>
      <w:r w:rsidR="00732CF1">
        <w:rPr>
          <w:rFonts w:hint="cs"/>
          <w:rtl/>
        </w:rPr>
        <w:t>בזמן הזה.</w:t>
      </w:r>
    </w:p>
    <w:p w14:paraId="3415CB2D" w14:textId="77777777" w:rsidR="008B6A82" w:rsidRPr="008B6A82" w:rsidRDefault="008B6A82" w:rsidP="008B6A82">
      <w:pPr>
        <w:rPr>
          <w:rFonts w:cs="Arial"/>
          <w:u w:val="single"/>
        </w:rPr>
      </w:pPr>
      <w:r w:rsidRPr="008B6A82">
        <w:rPr>
          <w:rFonts w:cs="Arial" w:hint="cs"/>
          <w:u w:val="single"/>
          <w:rtl/>
        </w:rPr>
        <w:t xml:space="preserve">האם בזמן הזה </w:t>
      </w:r>
      <w:r w:rsidRPr="008B6A82">
        <w:rPr>
          <w:rFonts w:cs="Arial" w:hint="cs"/>
          <w:sz w:val="16"/>
          <w:szCs w:val="16"/>
          <w:u w:val="single"/>
          <w:rtl/>
        </w:rPr>
        <w:t>(שאין משביעים כמו שהיו משביעים שבועת המשנה)</w:t>
      </w:r>
      <w:r w:rsidRPr="008B6A82">
        <w:rPr>
          <w:rFonts w:cs="Arial" w:hint="cs"/>
          <w:u w:val="single"/>
          <w:rtl/>
        </w:rPr>
        <w:t xml:space="preserve"> אפשר להשביע אלמנה בבית דין:</w:t>
      </w:r>
    </w:p>
    <w:p w14:paraId="43204F18" w14:textId="57A799B6" w:rsidR="008B6A82" w:rsidRDefault="008B6A82" w:rsidP="008B6A82">
      <w:pPr>
        <w:pStyle w:val="ab"/>
        <w:numPr>
          <w:ilvl w:val="0"/>
          <w:numId w:val="84"/>
        </w:numPr>
      </w:pPr>
      <w:r>
        <w:rPr>
          <w:rFonts w:cs="Arial" w:hint="cs"/>
          <w:rtl/>
        </w:rPr>
        <w:t xml:space="preserve">ר"י </w:t>
      </w:r>
      <w:r>
        <w:rPr>
          <w:rFonts w:cs="Arial" w:hint="cs"/>
          <w:sz w:val="16"/>
          <w:szCs w:val="16"/>
          <w:rtl/>
        </w:rPr>
        <w:t>(כ"כ בשמו רא"ש [גיטין פ"ד סי' ח] מרדכי</w:t>
      </w:r>
      <w:r>
        <w:rPr>
          <w:rStyle w:val="a7"/>
          <w:rFonts w:cs="Arial"/>
          <w:sz w:val="16"/>
          <w:szCs w:val="16"/>
          <w:rtl/>
        </w:rPr>
        <w:footnoteReference w:id="1784"/>
      </w:r>
      <w:r>
        <w:rPr>
          <w:rFonts w:cs="Arial" w:hint="cs"/>
          <w:sz w:val="16"/>
          <w:szCs w:val="16"/>
          <w:rtl/>
        </w:rPr>
        <w:t xml:space="preserve"> [סי' שעא-שעב] וטור)</w:t>
      </w:r>
      <w:r>
        <w:rPr>
          <w:rFonts w:cs="Arial" w:hint="cs"/>
          <w:rtl/>
        </w:rPr>
        <w:t xml:space="preserve"> ורי"ו </w:t>
      </w:r>
      <w:r>
        <w:rPr>
          <w:rFonts w:cs="Arial" w:hint="cs"/>
          <w:sz w:val="16"/>
          <w:szCs w:val="16"/>
          <w:rtl/>
        </w:rPr>
        <w:t>(מישרים נכ"ג חי"א סה.)</w:t>
      </w:r>
      <w:r>
        <w:rPr>
          <w:rFonts w:cs="Arial" w:hint="cs"/>
          <w:rtl/>
        </w:rPr>
        <w:t xml:space="preserve">- </w:t>
      </w:r>
      <w:r w:rsidRPr="00805B74">
        <w:rPr>
          <w:rFonts w:cs="Arial"/>
          <w:rtl/>
        </w:rPr>
        <w:t>האידנא נהיגי להשביע האלמנה אפי' בב"ד</w:t>
      </w:r>
      <w:r>
        <w:rPr>
          <w:rFonts w:cs="Arial" w:hint="cs"/>
          <w:rtl/>
        </w:rPr>
        <w:t>,</w:t>
      </w:r>
      <w:r w:rsidRPr="00805B74">
        <w:rPr>
          <w:rFonts w:cs="Arial"/>
          <w:rtl/>
        </w:rPr>
        <w:t xml:space="preserve"> דבאותו ענין שאנו רגילין להשביעה שגוזרין עליה בחרם ובשבועה שתודה על מה שקבלה </w:t>
      </w:r>
      <w:r w:rsidRPr="00805B74">
        <w:rPr>
          <w:rFonts w:cs="Arial"/>
          <w:rtl/>
        </w:rPr>
        <w:lastRenderedPageBreak/>
        <w:t>בכתובתה אין העונש מרובה כל כך כמו היכא דבשעת שבועה יוצא שבועה מפיה לשקר דהוי כענין שבועת שוא דכתיב לא ינקה</w:t>
      </w:r>
      <w:r>
        <w:rPr>
          <w:rStyle w:val="a7"/>
          <w:rFonts w:cs="Arial"/>
          <w:rtl/>
        </w:rPr>
        <w:footnoteReference w:id="1785"/>
      </w:r>
      <w:r>
        <w:rPr>
          <w:rFonts w:cs="Arial" w:hint="cs"/>
          <w:sz w:val="16"/>
          <w:szCs w:val="16"/>
          <w:rtl/>
        </w:rPr>
        <w:t xml:space="preserve"> (ל' הרא"ש בשמו)</w:t>
      </w:r>
      <w:r w:rsidRPr="004F1E41">
        <w:rPr>
          <w:rFonts w:cs="Arial" w:hint="cs"/>
          <w:rtl/>
        </w:rPr>
        <w:t>.</w:t>
      </w:r>
      <w:r w:rsidRPr="008B6A82">
        <w:rPr>
          <w:rFonts w:hint="cs"/>
          <w:color w:val="E36C0A" w:themeColor="accent6" w:themeShade="BF"/>
          <w:rtl/>
        </w:rPr>
        <w:t xml:space="preserve"> </w:t>
      </w:r>
      <w:r w:rsidRPr="008631A7">
        <w:rPr>
          <w:rFonts w:hint="cs"/>
          <w:color w:val="E36C0A" w:themeColor="accent6" w:themeShade="BF"/>
          <w:rtl/>
        </w:rPr>
        <w:t>(וכ"</w:t>
      </w:r>
      <w:r>
        <w:rPr>
          <w:rFonts w:hint="cs"/>
          <w:color w:val="E36C0A" w:themeColor="accent6" w:themeShade="BF"/>
          <w:rtl/>
        </w:rPr>
        <w:t>כ</w:t>
      </w:r>
      <w:r w:rsidRPr="008631A7">
        <w:rPr>
          <w:rFonts w:hint="cs"/>
          <w:color w:val="E36C0A" w:themeColor="accent6" w:themeShade="BF"/>
          <w:rtl/>
        </w:rPr>
        <w:t xml:space="preserve"> בשו"ע)</w:t>
      </w:r>
      <w:r>
        <w:rPr>
          <w:rFonts w:hint="cs"/>
          <w:rtl/>
        </w:rPr>
        <w:t xml:space="preserve"> </w:t>
      </w:r>
    </w:p>
    <w:p w14:paraId="49872C14" w14:textId="753E8ABF" w:rsidR="008B6A82" w:rsidRPr="00805B74" w:rsidRDefault="008B6A82" w:rsidP="008B6A82">
      <w:pPr>
        <w:pStyle w:val="ab"/>
        <w:numPr>
          <w:ilvl w:val="0"/>
          <w:numId w:val="84"/>
        </w:numPr>
      </w:pPr>
      <w:r w:rsidRPr="000D6F6A">
        <w:rPr>
          <w:rFonts w:cs="Arial"/>
          <w:rtl/>
        </w:rPr>
        <w:t>תוס</w:t>
      </w:r>
      <w:r>
        <w:rPr>
          <w:rFonts w:cs="Arial" w:hint="cs"/>
          <w:rtl/>
        </w:rPr>
        <w:t>'</w:t>
      </w:r>
      <w:r w:rsidRPr="000D6F6A">
        <w:rPr>
          <w:rFonts w:cs="Arial"/>
          <w:rtl/>
        </w:rPr>
        <w:t xml:space="preserve"> </w:t>
      </w:r>
      <w:r w:rsidRPr="002E43E1">
        <w:rPr>
          <w:rFonts w:cs="Arial"/>
          <w:sz w:val="16"/>
          <w:szCs w:val="16"/>
          <w:rtl/>
        </w:rPr>
        <w:t>(</w:t>
      </w:r>
      <w:r w:rsidR="00B62E83">
        <w:rPr>
          <w:rFonts w:cs="Arial" w:hint="cs"/>
          <w:sz w:val="16"/>
          <w:szCs w:val="16"/>
          <w:rtl/>
        </w:rPr>
        <w:t xml:space="preserve">לה. </w:t>
      </w:r>
      <w:r w:rsidRPr="002E43E1">
        <w:rPr>
          <w:rFonts w:cs="Arial"/>
          <w:sz w:val="16"/>
          <w:szCs w:val="16"/>
          <w:rtl/>
        </w:rPr>
        <w:t>ד"ה דמוריא)</w:t>
      </w:r>
      <w:r>
        <w:rPr>
          <w:rFonts w:cs="Arial" w:hint="cs"/>
          <w:rtl/>
        </w:rPr>
        <w:t>-</w:t>
      </w:r>
      <w:r w:rsidRPr="001522ED">
        <w:rPr>
          <w:rtl/>
        </w:rPr>
        <w:t xml:space="preserve"> </w:t>
      </w:r>
      <w:r w:rsidRPr="001522ED">
        <w:rPr>
          <w:rFonts w:cs="Arial"/>
          <w:rtl/>
        </w:rPr>
        <w:t>והשתא בזמן הזה תקנו לקבל חרם במקום שבועה שלא יהא העונש גדול כל כך</w:t>
      </w:r>
      <w:r>
        <w:rPr>
          <w:rStyle w:val="a7"/>
          <w:rFonts w:cs="Arial"/>
          <w:rtl/>
        </w:rPr>
        <w:footnoteReference w:id="1786"/>
      </w:r>
      <w:r>
        <w:rPr>
          <w:rFonts w:cs="Arial" w:hint="cs"/>
          <w:rtl/>
        </w:rPr>
        <w:t>.</w:t>
      </w:r>
    </w:p>
    <w:p w14:paraId="753DA96C" w14:textId="77777777" w:rsidR="00653FA9" w:rsidRDefault="00EB39EB" w:rsidP="00DA44C7">
      <w:pPr>
        <w:rPr>
          <w:rFonts w:cs="Arial"/>
          <w:rtl/>
        </w:rPr>
      </w:pPr>
      <w:r w:rsidRPr="00653FA9">
        <w:rPr>
          <w:rFonts w:cs="Arial"/>
          <w:u w:val="single"/>
          <w:rtl/>
        </w:rPr>
        <w:t>אלמנה שגבתה כתובתה שלא בשבועה בערכאות של גוים</w:t>
      </w:r>
      <w:r w:rsidRPr="00653FA9">
        <w:rPr>
          <w:rFonts w:cs="Arial" w:hint="cs"/>
          <w:u w:val="single"/>
          <w:rtl/>
        </w:rPr>
        <w:t xml:space="preserve">, ורצה עכשיו להשבע להסיר ממנה </w:t>
      </w:r>
      <w:r w:rsidR="00653FA9" w:rsidRPr="00653FA9">
        <w:rPr>
          <w:rFonts w:cs="Arial" w:hint="cs"/>
          <w:u w:val="single"/>
          <w:rtl/>
        </w:rPr>
        <w:t>חשד:</w:t>
      </w:r>
    </w:p>
    <w:p w14:paraId="76EE9499" w14:textId="289AD74B" w:rsidR="00C43AC4" w:rsidRDefault="00E450A0" w:rsidP="00C43AC4">
      <w:pPr>
        <w:pStyle w:val="ab"/>
        <w:numPr>
          <w:ilvl w:val="0"/>
          <w:numId w:val="87"/>
        </w:numPr>
        <w:rPr>
          <w:rFonts w:cs="Arial"/>
        </w:rPr>
      </w:pPr>
      <w:r w:rsidRPr="00653FA9">
        <w:rPr>
          <w:rFonts w:cs="Arial" w:hint="cs"/>
          <w:rtl/>
        </w:rPr>
        <w:t xml:space="preserve">רשב"א </w:t>
      </w:r>
      <w:r w:rsidRPr="00653FA9">
        <w:rPr>
          <w:rFonts w:cs="Arial" w:hint="cs"/>
          <w:sz w:val="16"/>
          <w:szCs w:val="16"/>
          <w:rtl/>
        </w:rPr>
        <w:t>(החדשות סי' קצ)</w:t>
      </w:r>
      <w:r w:rsidRPr="00653FA9">
        <w:rPr>
          <w:rFonts w:cs="Arial" w:hint="cs"/>
          <w:rtl/>
        </w:rPr>
        <w:t xml:space="preserve">- </w:t>
      </w:r>
      <w:r w:rsidR="00DA44C7" w:rsidRPr="00653FA9">
        <w:rPr>
          <w:rFonts w:cs="Arial"/>
          <w:rtl/>
        </w:rPr>
        <w:t>שאלת</w:t>
      </w:r>
      <w:r w:rsidRPr="00653FA9">
        <w:rPr>
          <w:rFonts w:cs="Arial" w:hint="cs"/>
          <w:rtl/>
        </w:rPr>
        <w:t>:</w:t>
      </w:r>
      <w:r w:rsidR="00DA44C7" w:rsidRPr="00653FA9">
        <w:rPr>
          <w:rFonts w:cs="Arial"/>
          <w:rtl/>
        </w:rPr>
        <w:t xml:space="preserve"> אלמנה שגבתה כתובתה שלא בשבועה בערכאות של גוים</w:t>
      </w:r>
      <w:r w:rsidRPr="00653FA9">
        <w:rPr>
          <w:rFonts w:cs="Arial" w:hint="cs"/>
          <w:rtl/>
        </w:rPr>
        <w:t>,</w:t>
      </w:r>
      <w:r w:rsidR="00DA44C7" w:rsidRPr="00653FA9">
        <w:rPr>
          <w:rFonts w:cs="Arial"/>
          <w:rtl/>
        </w:rPr>
        <w:t xml:space="preserve"> ויש בשטר כתובתה נאמנות</w:t>
      </w:r>
      <w:r w:rsidRPr="00653FA9">
        <w:rPr>
          <w:rFonts w:cs="Arial" w:hint="cs"/>
          <w:rtl/>
        </w:rPr>
        <w:t>,</w:t>
      </w:r>
      <w:r w:rsidR="00DA44C7" w:rsidRPr="00653FA9">
        <w:rPr>
          <w:rFonts w:cs="Arial"/>
          <w:rtl/>
        </w:rPr>
        <w:t xml:space="preserve"> ועם כל זה לבה נוקפה שלא יאמרו עליה שגבתה שלא כדין ורצת עכשיו לישבע בבית דין שבועת אלמנה</w:t>
      </w:r>
      <w:r w:rsidRPr="00653FA9">
        <w:rPr>
          <w:rFonts w:cs="Arial" w:hint="cs"/>
          <w:rtl/>
        </w:rPr>
        <w:t>,</w:t>
      </w:r>
      <w:r w:rsidR="00DA44C7" w:rsidRPr="00653FA9">
        <w:rPr>
          <w:rFonts w:cs="Arial"/>
          <w:rtl/>
        </w:rPr>
        <w:t xml:space="preserve"> ולא רצו היתומים לבא לפני בית דין בזמן השבועה. </w:t>
      </w:r>
      <w:r w:rsidR="00FF2138" w:rsidRPr="00653FA9">
        <w:rPr>
          <w:rFonts w:cs="Arial" w:hint="cs"/>
          <w:rtl/>
        </w:rPr>
        <w:t xml:space="preserve">    </w:t>
      </w:r>
      <w:r w:rsidR="00DA44C7" w:rsidRPr="00653FA9">
        <w:rPr>
          <w:rFonts w:cs="Arial"/>
          <w:rtl/>
        </w:rPr>
        <w:t>תשובה</w:t>
      </w:r>
      <w:r w:rsidR="00FF2138" w:rsidRPr="00653FA9">
        <w:rPr>
          <w:rFonts w:cs="Arial" w:hint="cs"/>
          <w:rtl/>
        </w:rPr>
        <w:t>:</w:t>
      </w:r>
      <w:r w:rsidR="00DA44C7" w:rsidRPr="00653FA9">
        <w:rPr>
          <w:rFonts w:cs="Arial"/>
          <w:rtl/>
        </w:rPr>
        <w:t xml:space="preserve"> אשה זו שבאה להוציא עצמה מחשד תבא עליה ברכה ושבועת האלמנה לא הלכה מפני שכבר גבת</w:t>
      </w:r>
      <w:r w:rsidR="006E3DE5" w:rsidRPr="00653FA9">
        <w:rPr>
          <w:rFonts w:cs="Arial" w:hint="cs"/>
          <w:rtl/>
        </w:rPr>
        <w:t>ה,</w:t>
      </w:r>
      <w:r w:rsidR="00DA44C7" w:rsidRPr="00653FA9">
        <w:rPr>
          <w:rFonts w:cs="Arial"/>
          <w:rtl/>
        </w:rPr>
        <w:t xml:space="preserve"> ויש לבית דין להזקק לה לשלוח אחר היתומים להשביעה בפניהם</w:t>
      </w:r>
      <w:r w:rsidR="006E3DE5" w:rsidRPr="00653FA9">
        <w:rPr>
          <w:rFonts w:cs="Arial" w:hint="cs"/>
          <w:rtl/>
        </w:rPr>
        <w:t>.</w:t>
      </w:r>
      <w:r w:rsidR="00DA44C7" w:rsidRPr="00653FA9">
        <w:rPr>
          <w:rFonts w:cs="Arial"/>
          <w:rtl/>
        </w:rPr>
        <w:t xml:space="preserve"> ואם לא ירצו לבא</w:t>
      </w:r>
      <w:r w:rsidR="006E3DE5" w:rsidRPr="00653FA9">
        <w:rPr>
          <w:rFonts w:cs="Arial" w:hint="cs"/>
          <w:rtl/>
        </w:rPr>
        <w:t>,</w:t>
      </w:r>
      <w:r w:rsidR="00DA44C7" w:rsidRPr="00653FA9">
        <w:rPr>
          <w:rFonts w:cs="Arial"/>
          <w:rtl/>
        </w:rPr>
        <w:t xml:space="preserve"> ישביעוה בית דין שלא בפני היתומים</w:t>
      </w:r>
      <w:r w:rsidR="006E3DE5" w:rsidRPr="00653FA9">
        <w:rPr>
          <w:rFonts w:cs="Arial" w:hint="cs"/>
          <w:rtl/>
        </w:rPr>
        <w:t>.</w:t>
      </w:r>
      <w:r w:rsidR="00DA44C7" w:rsidRPr="00653FA9">
        <w:rPr>
          <w:rFonts w:cs="Arial"/>
          <w:rtl/>
        </w:rPr>
        <w:t xml:space="preserve"> ואף אם לא רצו בית דין להשביעה שלא בפני היתומים</w:t>
      </w:r>
      <w:r w:rsidR="006E3DE5" w:rsidRPr="00653FA9">
        <w:rPr>
          <w:rFonts w:cs="Arial" w:hint="cs"/>
          <w:rtl/>
        </w:rPr>
        <w:t>,</w:t>
      </w:r>
      <w:r w:rsidR="00DA44C7" w:rsidRPr="00653FA9">
        <w:rPr>
          <w:rFonts w:cs="Arial"/>
          <w:rtl/>
        </w:rPr>
        <w:t xml:space="preserve"> אם עמדה ונשבעה בפניהם </w:t>
      </w:r>
      <w:r w:rsidR="006E3DE5" w:rsidRPr="00653FA9">
        <w:rPr>
          <w:rFonts w:cs="Arial" w:hint="cs"/>
          <w:rtl/>
        </w:rPr>
        <w:t xml:space="preserve">- </w:t>
      </w:r>
      <w:r w:rsidR="00DA44C7" w:rsidRPr="00653FA9">
        <w:rPr>
          <w:rFonts w:cs="Arial"/>
          <w:rtl/>
        </w:rPr>
        <w:t>נשבעה</w:t>
      </w:r>
      <w:r w:rsidR="00653FA9">
        <w:rPr>
          <w:rStyle w:val="a7"/>
          <w:rFonts w:cs="Arial"/>
          <w:rtl/>
        </w:rPr>
        <w:footnoteReference w:id="1787"/>
      </w:r>
      <w:r w:rsidR="006E3DE5" w:rsidRPr="00653FA9">
        <w:rPr>
          <w:rFonts w:cs="Arial" w:hint="cs"/>
          <w:rtl/>
        </w:rPr>
        <w:t>,</w:t>
      </w:r>
      <w:r w:rsidR="00DA44C7" w:rsidRPr="00653FA9">
        <w:rPr>
          <w:rFonts w:cs="Arial"/>
          <w:rtl/>
        </w:rPr>
        <w:t xml:space="preserve"> וכדגרסינן בפרק השולח (לה.) מודה רב בקופצת</w:t>
      </w:r>
      <w:r w:rsidR="006E3DE5" w:rsidRPr="00653FA9">
        <w:rPr>
          <w:rFonts w:cs="Arial" w:hint="cs"/>
          <w:rtl/>
        </w:rPr>
        <w:t>.</w:t>
      </w:r>
      <w:r w:rsidR="00DA44C7" w:rsidRPr="00653FA9">
        <w:rPr>
          <w:rFonts w:cs="Arial"/>
          <w:rtl/>
        </w:rPr>
        <w:t xml:space="preserve"> ויש מי שפי' דיצאה בשבועה זו אפילו להגבותה כתובתה ע"י שבועה זו</w:t>
      </w:r>
      <w:r w:rsidR="006E3DE5" w:rsidRPr="00653FA9">
        <w:rPr>
          <w:rFonts w:cs="Arial" w:hint="cs"/>
          <w:rtl/>
        </w:rPr>
        <w:t>,</w:t>
      </w:r>
      <w:r w:rsidR="00DA44C7" w:rsidRPr="00653FA9">
        <w:rPr>
          <w:rFonts w:cs="Arial"/>
          <w:rtl/>
        </w:rPr>
        <w:t xml:space="preserve"> אע</w:t>
      </w:r>
      <w:r w:rsidR="006E3DE5" w:rsidRPr="00653FA9">
        <w:rPr>
          <w:rFonts w:cs="Arial" w:hint="cs"/>
          <w:rtl/>
        </w:rPr>
        <w:t>"</w:t>
      </w:r>
      <w:r w:rsidR="00DA44C7" w:rsidRPr="00653FA9">
        <w:rPr>
          <w:rFonts w:cs="Arial"/>
          <w:rtl/>
        </w:rPr>
        <w:t>פ שיש מפרשים בע</w:t>
      </w:r>
      <w:r w:rsidR="00B80AA7">
        <w:rPr>
          <w:rFonts w:cs="Arial" w:hint="cs"/>
          <w:rtl/>
        </w:rPr>
        <w:t xml:space="preserve">ניין </w:t>
      </w:r>
      <w:r w:rsidR="00DA44C7" w:rsidRPr="00653FA9">
        <w:rPr>
          <w:rFonts w:cs="Arial"/>
          <w:rtl/>
        </w:rPr>
        <w:t>א</w:t>
      </w:r>
      <w:r w:rsidR="00B80AA7">
        <w:rPr>
          <w:rFonts w:cs="Arial" w:hint="cs"/>
          <w:rtl/>
        </w:rPr>
        <w:t>חר</w:t>
      </w:r>
      <w:r w:rsidR="00DA44C7" w:rsidRPr="00653FA9">
        <w:rPr>
          <w:rFonts w:cs="Arial"/>
          <w:rtl/>
        </w:rPr>
        <w:t xml:space="preserve"> מכל מקום זו שבאה לישבע כדרכה אחר שנטלה כתובתה די לה בכך</w:t>
      </w:r>
      <w:r w:rsidR="006E3DE5" w:rsidRPr="00653FA9">
        <w:rPr>
          <w:rFonts w:cs="Arial" w:hint="cs"/>
          <w:rtl/>
        </w:rPr>
        <w:t>.</w:t>
      </w:r>
      <w:r w:rsidR="00DA44C7" w:rsidRPr="00653FA9">
        <w:rPr>
          <w:rFonts w:cs="Arial"/>
          <w:rtl/>
        </w:rPr>
        <w:t xml:space="preserve"> ועוד כי מדין הגמרא אינה נשבעת אלא חוץ לבית דין</w:t>
      </w:r>
      <w:r w:rsidR="006E3DE5" w:rsidRPr="00653FA9">
        <w:rPr>
          <w:rFonts w:cs="Arial" w:hint="cs"/>
          <w:rtl/>
        </w:rPr>
        <w:t>.</w:t>
      </w:r>
      <w:r w:rsidR="00DA44C7" w:rsidRPr="00653FA9">
        <w:rPr>
          <w:rFonts w:cs="Arial"/>
          <w:rtl/>
        </w:rPr>
        <w:t xml:space="preserve"> ועוד כי לדעת ר"ת והרי"ף (כתובות מז.) אינה צריכה השבועה כל שהאמינה הבעל.</w:t>
      </w:r>
      <w:r w:rsidR="00C12B0F">
        <w:rPr>
          <w:rFonts w:cs="Arial" w:hint="cs"/>
          <w:rtl/>
        </w:rPr>
        <w:t xml:space="preserve"> </w:t>
      </w:r>
      <w:r w:rsidR="00C12B0F" w:rsidRPr="00C12B0F">
        <w:rPr>
          <w:rFonts w:cs="Arial" w:hint="cs"/>
          <w:color w:val="00B0F0"/>
          <w:rtl/>
        </w:rPr>
        <w:t>(וכ"פ הרמ"א)</w:t>
      </w:r>
    </w:p>
    <w:p w14:paraId="1E25C9F4" w14:textId="6B41CB4C" w:rsidR="00C43AC4" w:rsidRPr="00C43AC4" w:rsidRDefault="00C43AC4" w:rsidP="00C43AC4">
      <w:pPr>
        <w:rPr>
          <w:rFonts w:cs="Arial"/>
          <w:u w:val="single"/>
        </w:rPr>
      </w:pPr>
      <w:r w:rsidRPr="00C43AC4">
        <w:rPr>
          <w:rFonts w:cs="Arial"/>
          <w:u w:val="single"/>
          <w:rtl/>
        </w:rPr>
        <w:t>אלמנה שתבעה כתובתה בבית דין ונשבעה</w:t>
      </w:r>
      <w:r w:rsidRPr="00C43AC4">
        <w:rPr>
          <w:rFonts w:cs="Arial" w:hint="cs"/>
          <w:u w:val="single"/>
          <w:rtl/>
        </w:rPr>
        <w:t>,</w:t>
      </w:r>
      <w:r w:rsidRPr="00C43AC4">
        <w:rPr>
          <w:rFonts w:cs="Arial"/>
          <w:u w:val="single"/>
          <w:rtl/>
        </w:rPr>
        <w:t xml:space="preserve"> ולא הספיקו להגבותה כתובתה עד שמתה</w:t>
      </w:r>
      <w:r w:rsidRPr="00C43AC4">
        <w:rPr>
          <w:rFonts w:cs="Arial" w:hint="cs"/>
          <w:u w:val="single"/>
          <w:rtl/>
        </w:rPr>
        <w:t>:</w:t>
      </w:r>
      <w:r w:rsidR="00DA44C7" w:rsidRPr="00C43AC4">
        <w:rPr>
          <w:rFonts w:cs="Arial"/>
          <w:u w:val="single"/>
          <w:rtl/>
        </w:rPr>
        <w:t xml:space="preserve"> </w:t>
      </w:r>
    </w:p>
    <w:p w14:paraId="0825CBBA" w14:textId="41BD0BE8" w:rsidR="00C43AC4" w:rsidRDefault="00C43AC4" w:rsidP="00C43AC4">
      <w:pPr>
        <w:pStyle w:val="ab"/>
        <w:numPr>
          <w:ilvl w:val="0"/>
          <w:numId w:val="87"/>
        </w:numPr>
        <w:rPr>
          <w:rFonts w:cs="Arial"/>
        </w:rPr>
      </w:pPr>
      <w:r w:rsidRPr="00C43AC4">
        <w:rPr>
          <w:rFonts w:cs="Arial" w:hint="cs"/>
          <w:rtl/>
        </w:rPr>
        <w:t xml:space="preserve">רשב"א </w:t>
      </w:r>
      <w:r w:rsidRPr="00C43AC4">
        <w:rPr>
          <w:rFonts w:cs="Arial" w:hint="cs"/>
          <w:sz w:val="16"/>
          <w:szCs w:val="16"/>
          <w:rtl/>
        </w:rPr>
        <w:t>(</w:t>
      </w:r>
      <w:r w:rsidR="00DA44C7" w:rsidRPr="00C43AC4">
        <w:rPr>
          <w:rFonts w:cs="Arial"/>
          <w:sz w:val="16"/>
          <w:szCs w:val="16"/>
          <w:rtl/>
        </w:rPr>
        <w:t>סי</w:t>
      </w:r>
      <w:r w:rsidRPr="00C43AC4">
        <w:rPr>
          <w:rFonts w:cs="Arial" w:hint="cs"/>
          <w:sz w:val="16"/>
          <w:szCs w:val="16"/>
          <w:rtl/>
        </w:rPr>
        <w:t>'</w:t>
      </w:r>
      <w:r w:rsidR="00DA44C7" w:rsidRPr="00C43AC4">
        <w:rPr>
          <w:rFonts w:cs="Arial"/>
          <w:sz w:val="16"/>
          <w:szCs w:val="16"/>
          <w:rtl/>
        </w:rPr>
        <w:t xml:space="preserve"> אלף פט</w:t>
      </w:r>
      <w:r w:rsidRPr="00C43AC4">
        <w:rPr>
          <w:rFonts w:cs="Arial" w:hint="cs"/>
          <w:sz w:val="16"/>
          <w:szCs w:val="16"/>
          <w:rtl/>
        </w:rPr>
        <w:t>)</w:t>
      </w:r>
      <w:r w:rsidRPr="00C43AC4">
        <w:rPr>
          <w:rFonts w:cs="Arial" w:hint="cs"/>
          <w:rtl/>
        </w:rPr>
        <w:t>-</w:t>
      </w:r>
      <w:r w:rsidR="00DA44C7" w:rsidRPr="00C43AC4">
        <w:rPr>
          <w:rFonts w:cs="Arial"/>
          <w:rtl/>
        </w:rPr>
        <w:t xml:space="preserve"> אלמנה שתבעה כתובתה בבית דין ונשבעה</w:t>
      </w:r>
      <w:r>
        <w:rPr>
          <w:rFonts w:cs="Arial" w:hint="cs"/>
          <w:rtl/>
        </w:rPr>
        <w:t>,</w:t>
      </w:r>
      <w:r w:rsidR="00DA44C7" w:rsidRPr="00C43AC4">
        <w:rPr>
          <w:rFonts w:cs="Arial"/>
          <w:rtl/>
        </w:rPr>
        <w:t xml:space="preserve"> ולא הספיקו להגבותה כתובתה עד שמתה</w:t>
      </w:r>
      <w:r>
        <w:rPr>
          <w:rFonts w:cs="Arial" w:hint="cs"/>
          <w:rtl/>
        </w:rPr>
        <w:t>,</w:t>
      </w:r>
      <w:r w:rsidR="00DA44C7" w:rsidRPr="00C43AC4">
        <w:rPr>
          <w:rFonts w:cs="Arial"/>
          <w:rtl/>
        </w:rPr>
        <w:t xml:space="preserve"> ויורשי הבעל טוענים כבר גבתה בבית דין אח</w:t>
      </w:r>
      <w:r>
        <w:rPr>
          <w:rFonts w:cs="Arial" w:hint="cs"/>
          <w:rtl/>
        </w:rPr>
        <w:t>ֵ</w:t>
      </w:r>
      <w:r w:rsidR="00DA44C7" w:rsidRPr="00C43AC4">
        <w:rPr>
          <w:rFonts w:cs="Arial"/>
          <w:rtl/>
        </w:rPr>
        <w:t>ר א</w:t>
      </w:r>
      <w:r>
        <w:rPr>
          <w:rFonts w:cs="Arial" w:hint="cs"/>
          <w:rtl/>
        </w:rPr>
        <w:t>ַ</w:t>
      </w:r>
      <w:r w:rsidR="00DA44C7" w:rsidRPr="00C43AC4">
        <w:rPr>
          <w:rFonts w:cs="Arial"/>
          <w:rtl/>
        </w:rPr>
        <w:t>ח</w:t>
      </w:r>
      <w:r>
        <w:rPr>
          <w:rFonts w:cs="Arial" w:hint="cs"/>
          <w:rtl/>
        </w:rPr>
        <w:t>ָ</w:t>
      </w:r>
      <w:r w:rsidR="00DA44C7" w:rsidRPr="00C43AC4">
        <w:rPr>
          <w:rFonts w:cs="Arial"/>
          <w:rtl/>
        </w:rPr>
        <w:t>ר שנשבע</w:t>
      </w:r>
      <w:r w:rsidR="00C224DC" w:rsidRPr="00C43AC4">
        <w:rPr>
          <w:rFonts w:cs="Arial" w:hint="cs"/>
          <w:rtl/>
        </w:rPr>
        <w:t>ה</w:t>
      </w:r>
      <w:r w:rsidR="00DA44C7" w:rsidRPr="00C43AC4">
        <w:rPr>
          <w:rFonts w:cs="Arial"/>
          <w:rtl/>
        </w:rPr>
        <w:t xml:space="preserve"> מיד</w:t>
      </w:r>
      <w:r>
        <w:rPr>
          <w:rFonts w:cs="Arial" w:hint="cs"/>
          <w:rtl/>
        </w:rPr>
        <w:t xml:space="preserve">.    </w:t>
      </w:r>
      <w:r w:rsidR="00DA44C7" w:rsidRPr="00C43AC4">
        <w:rPr>
          <w:rFonts w:cs="Arial"/>
          <w:rtl/>
        </w:rPr>
        <w:t xml:space="preserve"> </w:t>
      </w:r>
      <w:r>
        <w:rPr>
          <w:rFonts w:cs="Arial" w:hint="cs"/>
          <w:rtl/>
        </w:rPr>
        <w:t>תשובה:</w:t>
      </w:r>
      <w:r w:rsidR="00DA44C7" w:rsidRPr="00C43AC4">
        <w:rPr>
          <w:rFonts w:cs="Arial"/>
          <w:rtl/>
        </w:rPr>
        <w:t xml:space="preserve"> הדין עם יורשי האלמנה</w:t>
      </w:r>
      <w:r>
        <w:rPr>
          <w:rFonts w:cs="Arial" w:hint="cs"/>
          <w:rtl/>
        </w:rPr>
        <w:t>,</w:t>
      </w:r>
      <w:r w:rsidR="00DA44C7" w:rsidRPr="00C43AC4">
        <w:rPr>
          <w:rFonts w:cs="Arial"/>
          <w:rtl/>
        </w:rPr>
        <w:t xml:space="preserve"> שהרי שטר כתובתה בידם ומצי למימר שטרך בידי מאי בעי. </w:t>
      </w:r>
    </w:p>
    <w:p w14:paraId="0C7E988E" w14:textId="2F8E7929" w:rsidR="005C3DA6" w:rsidRPr="005C3DA6" w:rsidRDefault="005C3DA6" w:rsidP="005C3DA6">
      <w:pPr>
        <w:rPr>
          <w:rFonts w:cs="Arial"/>
        </w:rPr>
      </w:pPr>
      <w:r w:rsidRPr="005C3DA6">
        <w:rPr>
          <w:rFonts w:cs="Arial" w:hint="cs"/>
          <w:u w:val="single"/>
          <w:rtl/>
        </w:rPr>
        <w:t>בית דין שהגבו ליתום כתובת אמו בלי שהעמידו לו אפוטרופוס:</w:t>
      </w:r>
      <w:r>
        <w:rPr>
          <w:rFonts w:cs="Arial" w:hint="cs"/>
          <w:rtl/>
        </w:rPr>
        <w:t xml:space="preserve"> </w:t>
      </w:r>
    </w:p>
    <w:p w14:paraId="1863E722" w14:textId="45BEF8EF" w:rsidR="00DA44C7" w:rsidRPr="00C43AC4" w:rsidRDefault="00DA44C7" w:rsidP="005C3DA6">
      <w:pPr>
        <w:pStyle w:val="ab"/>
        <w:rPr>
          <w:rFonts w:cs="Arial"/>
          <w:rtl/>
        </w:rPr>
      </w:pPr>
      <w:r w:rsidRPr="00C43AC4">
        <w:rPr>
          <w:rFonts w:cs="Arial"/>
          <w:rtl/>
        </w:rPr>
        <w:t xml:space="preserve">רשב"א </w:t>
      </w:r>
      <w:r w:rsidR="00BE3175">
        <w:rPr>
          <w:rFonts w:cs="Arial" w:hint="cs"/>
          <w:sz w:val="16"/>
          <w:szCs w:val="16"/>
          <w:rtl/>
        </w:rPr>
        <w:t>(כ"כ הב"י בשמו)</w:t>
      </w:r>
      <w:r w:rsidR="00BE3175">
        <w:rPr>
          <w:rFonts w:cs="Arial" w:hint="cs"/>
          <w:rtl/>
        </w:rPr>
        <w:t xml:space="preserve">- </w:t>
      </w:r>
      <w:r w:rsidRPr="00C43AC4">
        <w:rPr>
          <w:rFonts w:cs="Arial"/>
          <w:rtl/>
        </w:rPr>
        <w:t>יתום שבא לערער על מה שהגבו בית דין כתובה לאמו לפי שהוא היה אז קטן ולא העמידו לו אפטרפוס</w:t>
      </w:r>
      <w:r w:rsidR="00C43AC4">
        <w:rPr>
          <w:rFonts w:cs="Arial" w:hint="cs"/>
          <w:rtl/>
        </w:rPr>
        <w:t>.</w:t>
      </w:r>
      <w:r w:rsidRPr="00C43AC4">
        <w:rPr>
          <w:rFonts w:cs="Arial"/>
          <w:rtl/>
        </w:rPr>
        <w:t xml:space="preserve"> </w:t>
      </w:r>
      <w:r w:rsidR="00BE3175">
        <w:rPr>
          <w:rFonts w:cs="Arial" w:hint="cs"/>
          <w:rtl/>
        </w:rPr>
        <w:t xml:space="preserve">    תשובה:</w:t>
      </w:r>
      <w:r w:rsidRPr="00C43AC4">
        <w:rPr>
          <w:rFonts w:cs="Arial"/>
          <w:rtl/>
        </w:rPr>
        <w:t xml:space="preserve"> לאו בדוקא אמרו שמעמידין אפטרפוס על היתומים</w:t>
      </w:r>
      <w:r w:rsidR="00BE3175">
        <w:rPr>
          <w:rFonts w:cs="Arial" w:hint="cs"/>
          <w:rtl/>
        </w:rPr>
        <w:t>,</w:t>
      </w:r>
      <w:r w:rsidRPr="00C43AC4">
        <w:rPr>
          <w:rFonts w:cs="Arial"/>
          <w:rtl/>
        </w:rPr>
        <w:t xml:space="preserve"> אלא להקל על בית דין אמרו</w:t>
      </w:r>
      <w:r w:rsidR="00BE3175">
        <w:rPr>
          <w:rFonts w:cs="Arial" w:hint="cs"/>
          <w:rtl/>
        </w:rPr>
        <w:t>,</w:t>
      </w:r>
      <w:r w:rsidRPr="00C43AC4">
        <w:rPr>
          <w:rFonts w:cs="Arial"/>
          <w:rtl/>
        </w:rPr>
        <w:t xml:space="preserve"> שלא יצטרכו הם לטעון בשביל היתומים ולטרוח ולחפש בעד זכותם</w:t>
      </w:r>
      <w:r w:rsidR="00BE3175">
        <w:rPr>
          <w:rFonts w:cs="Arial" w:hint="cs"/>
          <w:rtl/>
        </w:rPr>
        <w:t>.</w:t>
      </w:r>
      <w:r w:rsidRPr="00C43AC4">
        <w:rPr>
          <w:rFonts w:cs="Arial"/>
          <w:rtl/>
        </w:rPr>
        <w:t xml:space="preserve"> הא אם רצו בית דין שלא למנות אפטרופוס אלא שיהיו הם עצמם משתדלים לטעון להם ולטרוח ולחפש אח</w:t>
      </w:r>
      <w:r w:rsidR="00BE3175">
        <w:rPr>
          <w:rFonts w:cs="Arial" w:hint="cs"/>
          <w:rtl/>
        </w:rPr>
        <w:t>ר</w:t>
      </w:r>
      <w:r w:rsidRPr="00C43AC4">
        <w:rPr>
          <w:rFonts w:cs="Arial"/>
          <w:rtl/>
        </w:rPr>
        <w:t xml:space="preserve"> כל זכותם</w:t>
      </w:r>
      <w:r w:rsidR="00BE3175">
        <w:rPr>
          <w:rFonts w:cs="Arial" w:hint="cs"/>
          <w:rtl/>
        </w:rPr>
        <w:t>,</w:t>
      </w:r>
      <w:r w:rsidRPr="00C43AC4">
        <w:rPr>
          <w:rFonts w:cs="Arial"/>
          <w:rtl/>
        </w:rPr>
        <w:t xml:space="preserve"> אין לך אפטרופוסין יפים מהם</w:t>
      </w:r>
      <w:r w:rsidR="005C3DA6">
        <w:rPr>
          <w:rFonts w:cs="Arial" w:hint="cs"/>
          <w:rtl/>
        </w:rPr>
        <w:t>.</w:t>
      </w:r>
    </w:p>
    <w:p w14:paraId="2A028E14" w14:textId="77777777" w:rsidR="00C12B0F" w:rsidRDefault="00C12B0F" w:rsidP="00C12B0F">
      <w:pPr>
        <w:rPr>
          <w:rFonts w:cs="Arial"/>
          <w:sz w:val="16"/>
          <w:szCs w:val="16"/>
          <w:rtl/>
        </w:rPr>
      </w:pPr>
      <w:r w:rsidRPr="00442739">
        <w:rPr>
          <w:rFonts w:cs="Arial" w:hint="cs"/>
          <w:u w:val="single"/>
          <w:rtl/>
        </w:rPr>
        <w:t>אלמנה שנשבעה והיתומים או בית הדין רוצים</w:t>
      </w:r>
      <w:r>
        <w:rPr>
          <w:rFonts w:cs="Arial" w:hint="cs"/>
          <w:u w:val="single"/>
          <w:rtl/>
        </w:rPr>
        <w:t xml:space="preserve"> גם</w:t>
      </w:r>
      <w:r w:rsidRPr="00442739">
        <w:rPr>
          <w:rFonts w:cs="Arial" w:hint="cs"/>
          <w:u w:val="single"/>
          <w:rtl/>
        </w:rPr>
        <w:t xml:space="preserve"> להחרים:</w:t>
      </w:r>
      <w:r>
        <w:rPr>
          <w:rFonts w:cs="Arial" w:hint="cs"/>
          <w:rtl/>
        </w:rPr>
        <w:t xml:space="preserve"> </w:t>
      </w:r>
      <w:r w:rsidRPr="00442739">
        <w:rPr>
          <w:rFonts w:cs="Arial"/>
          <w:sz w:val="16"/>
          <w:szCs w:val="16"/>
          <w:rtl/>
        </w:rPr>
        <w:t>(</w:t>
      </w:r>
      <w:r w:rsidRPr="00442739">
        <w:rPr>
          <w:rFonts w:cs="Arial" w:hint="cs"/>
          <w:sz w:val="16"/>
          <w:szCs w:val="16"/>
          <w:rtl/>
        </w:rPr>
        <w:t xml:space="preserve">דרכ"מ </w:t>
      </w:r>
      <w:r w:rsidRPr="00442739">
        <w:rPr>
          <w:rFonts w:cs="Arial"/>
          <w:sz w:val="16"/>
          <w:szCs w:val="16"/>
          <w:rtl/>
        </w:rPr>
        <w:t>יב)</w:t>
      </w:r>
    </w:p>
    <w:p w14:paraId="3F114B84" w14:textId="5C534884" w:rsidR="00C12B0F" w:rsidRDefault="00C12B0F" w:rsidP="00C12B0F">
      <w:pPr>
        <w:pStyle w:val="ab"/>
        <w:numPr>
          <w:ilvl w:val="0"/>
          <w:numId w:val="86"/>
        </w:numPr>
        <w:rPr>
          <w:rtl/>
        </w:rPr>
      </w:pPr>
      <w:r w:rsidRPr="00442739">
        <w:rPr>
          <w:rFonts w:cs="Arial"/>
          <w:rtl/>
        </w:rPr>
        <w:t xml:space="preserve">ריב"ש </w:t>
      </w:r>
      <w:r w:rsidRPr="00442739">
        <w:rPr>
          <w:rFonts w:cs="Arial" w:hint="cs"/>
          <w:sz w:val="16"/>
          <w:szCs w:val="16"/>
          <w:rtl/>
        </w:rPr>
        <w:t>(</w:t>
      </w:r>
      <w:r w:rsidRPr="00442739">
        <w:rPr>
          <w:rFonts w:cs="Arial"/>
          <w:sz w:val="16"/>
          <w:szCs w:val="16"/>
          <w:rtl/>
        </w:rPr>
        <w:t>סי</w:t>
      </w:r>
      <w:r w:rsidRPr="00442739">
        <w:rPr>
          <w:rFonts w:cs="Arial" w:hint="cs"/>
          <w:sz w:val="16"/>
          <w:szCs w:val="16"/>
          <w:rtl/>
        </w:rPr>
        <w:t>'</w:t>
      </w:r>
      <w:r w:rsidRPr="00442739">
        <w:rPr>
          <w:rFonts w:cs="Arial"/>
          <w:sz w:val="16"/>
          <w:szCs w:val="16"/>
          <w:rtl/>
        </w:rPr>
        <w:t xml:space="preserve"> שכה</w:t>
      </w:r>
      <w:r w:rsidRPr="00442739">
        <w:rPr>
          <w:rFonts w:cs="Arial" w:hint="cs"/>
          <w:sz w:val="16"/>
          <w:szCs w:val="16"/>
          <w:rtl/>
        </w:rPr>
        <w:t>)</w:t>
      </w:r>
      <w:r>
        <w:rPr>
          <w:rFonts w:cs="Arial" w:hint="cs"/>
          <w:rtl/>
        </w:rPr>
        <w:t>-</w:t>
      </w:r>
      <w:r w:rsidRPr="00442739">
        <w:rPr>
          <w:rFonts w:cs="Arial"/>
          <w:rtl/>
        </w:rPr>
        <w:t xml:space="preserve"> אע</w:t>
      </w:r>
      <w:r>
        <w:rPr>
          <w:rFonts w:cs="Arial" w:hint="cs"/>
          <w:rtl/>
        </w:rPr>
        <w:t>"</w:t>
      </w:r>
      <w:r w:rsidRPr="00442739">
        <w:rPr>
          <w:rFonts w:cs="Arial"/>
          <w:rtl/>
        </w:rPr>
        <w:t>פ שכבר נשבעה האלמנה אם היתומים או הבית דין רוצים להחרים על כל מי שיודע שהפקידה האלמנה נכסים ביד אחרים הרשות בידן כי אם באו עדים אחר השבועה מפקינן מינה</w:t>
      </w:r>
      <w:r>
        <w:rPr>
          <w:rFonts w:cs="Arial" w:hint="cs"/>
          <w:rtl/>
        </w:rPr>
        <w:t>,</w:t>
      </w:r>
      <w:r w:rsidRPr="00442739">
        <w:rPr>
          <w:rFonts w:cs="Arial"/>
          <w:rtl/>
        </w:rPr>
        <w:t xml:space="preserve"> אבל היא אינה צריכה לקבל על עצמה בחר</w:t>
      </w:r>
      <w:r>
        <w:rPr>
          <w:rFonts w:cs="Arial" w:hint="cs"/>
          <w:rtl/>
        </w:rPr>
        <w:t>ם.</w:t>
      </w:r>
      <w:r w:rsidRPr="00C12B0F">
        <w:rPr>
          <w:rFonts w:cs="Arial" w:hint="cs"/>
          <w:color w:val="00B0F0"/>
          <w:rtl/>
        </w:rPr>
        <w:t xml:space="preserve"> (וכ"פ הרמ"א)</w:t>
      </w:r>
    </w:p>
    <w:p w14:paraId="4ABD0A62" w14:textId="77777777" w:rsidR="002056DB" w:rsidRDefault="002056DB" w:rsidP="00DA44C7">
      <w:pPr>
        <w:rPr>
          <w:rFonts w:cs="Arial"/>
          <w:rtl/>
        </w:rPr>
      </w:pPr>
      <w:r w:rsidRPr="002056DB">
        <w:rPr>
          <w:rFonts w:cs="Arial" w:hint="cs"/>
          <w:u w:val="single"/>
          <w:rtl/>
        </w:rPr>
        <w:t>בעל שפטר את אשתו משבועה על כתובתה:</w:t>
      </w:r>
      <w:r>
        <w:rPr>
          <w:rFonts w:cs="Arial" w:hint="cs"/>
          <w:rtl/>
        </w:rPr>
        <w:t xml:space="preserve"> </w:t>
      </w:r>
      <w:r w:rsidR="00770821" w:rsidRPr="002056DB">
        <w:rPr>
          <w:rFonts w:cs="Arial"/>
          <w:sz w:val="16"/>
          <w:szCs w:val="16"/>
          <w:rtl/>
        </w:rPr>
        <w:t>(</w:t>
      </w:r>
      <w:r w:rsidR="00770821" w:rsidRPr="002056DB">
        <w:rPr>
          <w:rFonts w:cs="Arial" w:hint="cs"/>
          <w:sz w:val="16"/>
          <w:szCs w:val="16"/>
          <w:rtl/>
        </w:rPr>
        <w:t xml:space="preserve">דרכ"מ אות </w:t>
      </w:r>
      <w:r w:rsidR="00770821" w:rsidRPr="002056DB">
        <w:rPr>
          <w:rFonts w:cs="Arial"/>
          <w:sz w:val="16"/>
          <w:szCs w:val="16"/>
          <w:rtl/>
        </w:rPr>
        <w:t>ו)</w:t>
      </w:r>
      <w:r w:rsidR="00770821" w:rsidRPr="005D3413">
        <w:rPr>
          <w:rFonts w:cs="Arial"/>
          <w:rtl/>
        </w:rPr>
        <w:t xml:space="preserve"> </w:t>
      </w:r>
    </w:p>
    <w:p w14:paraId="46839426" w14:textId="4AB10F34" w:rsidR="00770821" w:rsidRDefault="00770821" w:rsidP="002056DB">
      <w:pPr>
        <w:pStyle w:val="ab"/>
        <w:numPr>
          <w:ilvl w:val="0"/>
          <w:numId w:val="86"/>
        </w:numPr>
        <w:rPr>
          <w:rtl/>
        </w:rPr>
      </w:pPr>
      <w:r w:rsidRPr="002056DB">
        <w:rPr>
          <w:rFonts w:cs="Arial"/>
          <w:rtl/>
        </w:rPr>
        <w:t xml:space="preserve">רא"ש </w:t>
      </w:r>
      <w:r w:rsidR="00FF1BA9" w:rsidRPr="002056DB">
        <w:rPr>
          <w:rFonts w:cs="Arial" w:hint="cs"/>
          <w:sz w:val="16"/>
          <w:szCs w:val="16"/>
          <w:rtl/>
        </w:rPr>
        <w:t>(</w:t>
      </w:r>
      <w:r w:rsidRPr="002056DB">
        <w:rPr>
          <w:rFonts w:cs="Arial"/>
          <w:sz w:val="16"/>
          <w:szCs w:val="16"/>
          <w:rtl/>
        </w:rPr>
        <w:t>כלל עא סי</w:t>
      </w:r>
      <w:r w:rsidR="00FF1BA9" w:rsidRPr="002056DB">
        <w:rPr>
          <w:rFonts w:cs="Arial" w:hint="cs"/>
          <w:sz w:val="16"/>
          <w:szCs w:val="16"/>
          <w:rtl/>
        </w:rPr>
        <w:t>'</w:t>
      </w:r>
      <w:r w:rsidRPr="002056DB">
        <w:rPr>
          <w:rFonts w:cs="Arial"/>
          <w:sz w:val="16"/>
          <w:szCs w:val="16"/>
          <w:rtl/>
        </w:rPr>
        <w:t xml:space="preserve"> ד</w:t>
      </w:r>
      <w:r w:rsidR="00FF1BA9" w:rsidRPr="002056DB">
        <w:rPr>
          <w:rFonts w:cs="Arial" w:hint="cs"/>
          <w:sz w:val="16"/>
          <w:szCs w:val="16"/>
          <w:rtl/>
        </w:rPr>
        <w:t>)</w:t>
      </w:r>
      <w:r w:rsidR="002056DB">
        <w:rPr>
          <w:rFonts w:cs="Arial" w:hint="cs"/>
          <w:rtl/>
        </w:rPr>
        <w:t>-</w:t>
      </w:r>
      <w:r w:rsidRPr="002056DB">
        <w:rPr>
          <w:rFonts w:cs="Arial"/>
          <w:rtl/>
        </w:rPr>
        <w:t xml:space="preserve"> </w:t>
      </w:r>
      <w:r w:rsidR="00D474B9" w:rsidRPr="00D474B9">
        <w:rPr>
          <w:rFonts w:cs="Arial"/>
          <w:rtl/>
        </w:rPr>
        <w:t xml:space="preserve">וששאלת אם אין מועיל הנאמנות על האפטרופוס של אחר מיתת בעלה ומתה האלמנה בלא שבועה מי אמרינן בכי האי גוונא אין אדם מוריש שבועה לבניו, כי הממון שהיתה אמם ראויה לגבות מנכסי בעלה היה לה לגבות בלא שבועה ושבועת אפוטרופוס שנעשית לאחר מיתת בעלה מילתא אחריתי היא ולא היה לה לגבות שום ממון בשבועה זו. הא דאמרי' היכא דמית לוה בחיי מלוה כבר נתחייב מלוה לבני לוה שבועה ואין אדם מוריש שבועה לבניו שאינו יכול לגבות אלא בשבועה. אבל אם פטר הלוה את המלוה </w:t>
      </w:r>
      <w:r w:rsidR="00D474B9" w:rsidRPr="00D474B9">
        <w:rPr>
          <w:rFonts w:cs="Arial"/>
          <w:rtl/>
        </w:rPr>
        <w:lastRenderedPageBreak/>
        <w:t>משבועה ממנו ומיורשיו גובין בני המלוה מיורשי הלוה אף אם המלוה נתחייב ללוה שבועה על עסק תביעה אחרת</w:t>
      </w:r>
      <w:r w:rsidR="00D474B9">
        <w:rPr>
          <w:rStyle w:val="a7"/>
          <w:rFonts w:cs="Arial"/>
          <w:rtl/>
        </w:rPr>
        <w:footnoteReference w:id="1788"/>
      </w:r>
      <w:r w:rsidR="00FF1BA9" w:rsidRPr="002056DB">
        <w:rPr>
          <w:rFonts w:cs="Arial" w:hint="cs"/>
          <w:rtl/>
        </w:rPr>
        <w:t>.</w:t>
      </w:r>
    </w:p>
    <w:p w14:paraId="66DDD57C"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857BB2C" w14:textId="2082B36F" w:rsidR="00392DBB" w:rsidRDefault="00392DBB" w:rsidP="00392DBB">
      <w:pPr>
        <w:rPr>
          <w:rtl/>
        </w:rPr>
      </w:pPr>
      <w:r>
        <w:rPr>
          <w:rFonts w:cs="Arial"/>
          <w:rtl/>
        </w:rPr>
        <w:t>יש מי שאומר דהאידנא משביעים אלמנה בב</w:t>
      </w:r>
      <w:r w:rsidR="00732CF1">
        <w:rPr>
          <w:rFonts w:cs="Arial" w:hint="cs"/>
          <w:rtl/>
        </w:rPr>
        <w:t>ית דין</w:t>
      </w:r>
      <w:r>
        <w:rPr>
          <w:rFonts w:cs="Arial"/>
          <w:rtl/>
        </w:rPr>
        <w:t>, מפני שבאותו ענין שהיו רגילים להשביעה, שהיו גוזרים בחרם ובשבועת התורה שתודה מה שקבלה בכתובתה, אין העונש מרובה כל כך כמו שבועה</w:t>
      </w:r>
      <w:r w:rsidR="00B80AA7">
        <w:rPr>
          <w:rFonts w:cs="Arial" w:hint="cs"/>
          <w:rtl/>
        </w:rPr>
        <w:t>,</w:t>
      </w:r>
      <w:r>
        <w:rPr>
          <w:rFonts w:cs="Arial"/>
          <w:rtl/>
        </w:rPr>
        <w:t xml:space="preserve"> שבשעה שנשבעת יוצאה שבועה מפיה לשקר. </w:t>
      </w:r>
      <w:r w:rsidRPr="00732CF1">
        <w:rPr>
          <w:rFonts w:cs="Arial"/>
          <w:sz w:val="18"/>
          <w:szCs w:val="18"/>
          <w:rtl/>
        </w:rPr>
        <w:t>הגה: וצריכה לישבע לפני שלשה שהם כשרים, ואם נשבעה לפני שלשה שהם קרובים, צריכה לחזור ולישבע</w:t>
      </w:r>
      <w:r w:rsidR="00E05559">
        <w:rPr>
          <w:rFonts w:cs="Arial" w:hint="cs"/>
          <w:sz w:val="18"/>
          <w:szCs w:val="18"/>
          <w:rtl/>
        </w:rPr>
        <w:t xml:space="preserve"> (</w:t>
      </w:r>
      <w:r w:rsidRPr="00732CF1">
        <w:rPr>
          <w:rFonts w:cs="Arial"/>
          <w:sz w:val="18"/>
          <w:szCs w:val="18"/>
          <w:rtl/>
        </w:rPr>
        <w:t>רשב"א). ולכתחלה צריכה לישבע לפני היתומים, אבל אם נשבעה שלא בפניהם, או שאין היתומים רוצים להיות אצל השבועה, משביעין אותה שלא בפניהם (רשב"א</w:t>
      </w:r>
      <w:r w:rsidR="00E05559">
        <w:rPr>
          <w:rFonts w:cs="Arial" w:hint="cs"/>
          <w:sz w:val="18"/>
          <w:szCs w:val="18"/>
          <w:rtl/>
        </w:rPr>
        <w:t xml:space="preserve"> ומהר"ם</w:t>
      </w:r>
      <w:r w:rsidRPr="00732CF1">
        <w:rPr>
          <w:rFonts w:cs="Arial"/>
          <w:sz w:val="18"/>
          <w:szCs w:val="18"/>
          <w:rtl/>
        </w:rPr>
        <w:t>). אלמנה שנשבעה על כתובתה, יכולין היתומים להחרים אח</w:t>
      </w:r>
      <w:r w:rsidR="00E05559">
        <w:rPr>
          <w:rFonts w:cs="Arial" w:hint="cs"/>
          <w:sz w:val="18"/>
          <w:szCs w:val="18"/>
          <w:rtl/>
        </w:rPr>
        <w:t>"</w:t>
      </w:r>
      <w:r w:rsidRPr="00732CF1">
        <w:rPr>
          <w:rFonts w:cs="Arial"/>
          <w:sz w:val="18"/>
          <w:szCs w:val="18"/>
          <w:rtl/>
        </w:rPr>
        <w:t>כ על כל מי שיודע אם הפקידה האלמנה מנכסים שלהם (ריב"ש).</w:t>
      </w:r>
    </w:p>
    <w:p w14:paraId="69F890DF" w14:textId="77777777" w:rsidR="003541F8" w:rsidRDefault="003541F8" w:rsidP="00392DBB">
      <w:pPr>
        <w:rPr>
          <w:rtl/>
        </w:rPr>
      </w:pPr>
    </w:p>
    <w:p w14:paraId="055FA6A6" w14:textId="54BB812F" w:rsidR="00732CF1" w:rsidRPr="007A3469" w:rsidRDefault="00732CF1" w:rsidP="00392DBB">
      <w:pPr>
        <w:rPr>
          <w:rtl/>
        </w:rPr>
        <w:sectPr w:rsidR="00732CF1" w:rsidRPr="007A3469" w:rsidSect="00A347B3">
          <w:headerReference w:type="default" r:id="rId40"/>
          <w:footnotePr>
            <w:numRestart w:val="eachSect"/>
          </w:footnotePr>
          <w:pgSz w:w="11906" w:h="16838"/>
          <w:pgMar w:top="720" w:right="1134" w:bottom="720" w:left="1134" w:header="0" w:footer="0" w:gutter="0"/>
          <w:cols w:space="720"/>
          <w:bidi/>
          <w:rtlGutter/>
          <w:docGrid w:linePitch="360"/>
        </w:sectPr>
      </w:pPr>
    </w:p>
    <w:p w14:paraId="4188E9B9" w14:textId="77777777" w:rsidR="00392DBB" w:rsidRDefault="00392DBB" w:rsidP="00392DBB">
      <w:pPr>
        <w:pStyle w:val="1"/>
        <w:rPr>
          <w:rtl/>
        </w:rPr>
      </w:pPr>
      <w:r>
        <w:rPr>
          <w:rFonts w:hint="cs"/>
          <w:rtl/>
        </w:rPr>
        <w:lastRenderedPageBreak/>
        <w:t>סימן צז:</w:t>
      </w:r>
      <w:r w:rsidRPr="00C12B74">
        <w:rPr>
          <w:rtl/>
        </w:rPr>
        <w:t xml:space="preserve"> </w:t>
      </w:r>
      <w:r>
        <w:rPr>
          <w:rFonts w:cs="Arial"/>
          <w:rtl/>
        </w:rPr>
        <w:t xml:space="preserve">אם הבעל יכול להשביע אשתו בטענת ספק, ובו ב' סעיפים. </w:t>
      </w:r>
    </w:p>
    <w:p w14:paraId="3C7B399F" w14:textId="254DB200" w:rsidR="00392DBB" w:rsidRDefault="00392DBB" w:rsidP="000F64D0">
      <w:pPr>
        <w:pStyle w:val="2"/>
        <w:rPr>
          <w:rtl/>
        </w:rPr>
      </w:pPr>
      <w:r>
        <w:rPr>
          <w:rtl/>
        </w:rPr>
        <w:t>סעיף א</w:t>
      </w:r>
      <w:r w:rsidR="00D474B9">
        <w:rPr>
          <w:rFonts w:hint="cs"/>
          <w:rtl/>
        </w:rPr>
        <w:t>:</w:t>
      </w:r>
      <w:r w:rsidR="00606315">
        <w:rPr>
          <w:rFonts w:hint="cs"/>
          <w:rtl/>
        </w:rPr>
        <w:t xml:space="preserve"> השבעת אשתו </w:t>
      </w:r>
      <w:r w:rsidR="003D1A6E">
        <w:rPr>
          <w:rFonts w:hint="cs"/>
          <w:rtl/>
        </w:rPr>
        <w:t>בטענת ספק (שבועת אפוטרופוס)</w:t>
      </w:r>
      <w:r w:rsidR="00F57918">
        <w:rPr>
          <w:rFonts w:hint="cs"/>
          <w:rtl/>
        </w:rPr>
        <w:t>.</w:t>
      </w:r>
    </w:p>
    <w:p w14:paraId="5422EF91" w14:textId="73A1DA31" w:rsidR="00A23EEC" w:rsidRPr="00B825DD" w:rsidRDefault="00A23EEC" w:rsidP="00A23EEC">
      <w:pPr>
        <w:rPr>
          <w:rFonts w:cs="Arial"/>
          <w:rtl/>
        </w:rPr>
      </w:pPr>
      <w:r>
        <w:rPr>
          <w:rFonts w:cs="Arial" w:hint="cs"/>
          <w:b/>
          <w:bCs/>
          <w:rtl/>
        </w:rPr>
        <w:t xml:space="preserve">כתובות </w:t>
      </w:r>
      <w:r w:rsidRPr="00B94040">
        <w:rPr>
          <w:rFonts w:cs="Arial" w:hint="cs"/>
          <w:b/>
          <w:bCs/>
          <w:sz w:val="16"/>
          <w:szCs w:val="16"/>
          <w:rtl/>
        </w:rPr>
        <w:t>(פ' ה</w:t>
      </w:r>
      <w:r>
        <w:rPr>
          <w:rFonts w:cs="Arial" w:hint="cs"/>
          <w:b/>
          <w:bCs/>
          <w:sz w:val="16"/>
          <w:szCs w:val="16"/>
          <w:rtl/>
        </w:rPr>
        <w:t>כו</w:t>
      </w:r>
      <w:r w:rsidR="003E5999">
        <w:rPr>
          <w:rFonts w:cs="Arial" w:hint="cs"/>
          <w:b/>
          <w:bCs/>
          <w:sz w:val="16"/>
          <w:szCs w:val="16"/>
          <w:rtl/>
        </w:rPr>
        <w:t>ת</w:t>
      </w:r>
      <w:r>
        <w:rPr>
          <w:rFonts w:cs="Arial" w:hint="cs"/>
          <w:b/>
          <w:bCs/>
          <w:sz w:val="16"/>
          <w:szCs w:val="16"/>
          <w:rtl/>
        </w:rPr>
        <w:t>ב</w:t>
      </w:r>
      <w:r w:rsidRPr="00B94040">
        <w:rPr>
          <w:rFonts w:cs="Arial" w:hint="cs"/>
          <w:b/>
          <w:bCs/>
          <w:sz w:val="16"/>
          <w:szCs w:val="16"/>
          <w:rtl/>
        </w:rPr>
        <w:t>)</w:t>
      </w:r>
      <w:r w:rsidRPr="00B94040">
        <w:rPr>
          <w:rFonts w:cs="Arial" w:hint="cs"/>
          <w:b/>
          <w:bCs/>
          <w:rtl/>
        </w:rPr>
        <w:t xml:space="preserve"> </w:t>
      </w:r>
      <w:r>
        <w:rPr>
          <w:rFonts w:cs="Arial" w:hint="cs"/>
          <w:b/>
          <w:bCs/>
          <w:rtl/>
        </w:rPr>
        <w:t>פו</w:t>
      </w:r>
      <w:r w:rsidRPr="00B94040">
        <w:rPr>
          <w:rFonts w:cs="Arial" w:hint="cs"/>
          <w:b/>
          <w:bCs/>
          <w:rtl/>
        </w:rPr>
        <w:t xml:space="preserve"> ע"</w:t>
      </w:r>
      <w:r>
        <w:rPr>
          <w:rFonts w:cs="Arial" w:hint="cs"/>
          <w:b/>
          <w:bCs/>
          <w:rtl/>
        </w:rPr>
        <w:t>ב</w:t>
      </w:r>
      <w:r w:rsidRPr="00B94040">
        <w:rPr>
          <w:rFonts w:cs="Arial" w:hint="cs"/>
          <w:b/>
          <w:bCs/>
          <w:rtl/>
        </w:rPr>
        <w:t>:</w:t>
      </w:r>
      <w:r>
        <w:rPr>
          <w:rFonts w:cs="Arial" w:hint="cs"/>
          <w:rtl/>
        </w:rPr>
        <w:t xml:space="preserve"> </w:t>
      </w:r>
      <w:r w:rsidRPr="002B5D2F">
        <w:rPr>
          <w:rFonts w:cs="Arial"/>
          <w:u w:val="double"/>
          <w:rtl/>
        </w:rPr>
        <w:t>מתני'</w:t>
      </w:r>
      <w:r>
        <w:rPr>
          <w:rFonts w:cs="Arial" w:hint="cs"/>
          <w:rtl/>
        </w:rPr>
        <w:t>:</w:t>
      </w:r>
      <w:r w:rsidRPr="002B5D2F">
        <w:rPr>
          <w:rFonts w:cs="Arial"/>
          <w:rtl/>
        </w:rPr>
        <w:t xml:space="preserve"> המושיב את אשתו חנוונית, או שמינה אפוטרופיא - הרי זה משביעה כל זמן שירצה; </w:t>
      </w:r>
      <w:r w:rsidRPr="00D6446A">
        <w:rPr>
          <w:rFonts w:cs="Arial"/>
          <w:u w:val="single"/>
          <w:rtl/>
        </w:rPr>
        <w:t>ר' אליעזר אומר</w:t>
      </w:r>
      <w:r w:rsidRPr="002B5D2F">
        <w:rPr>
          <w:rFonts w:cs="Arial"/>
          <w:rtl/>
        </w:rPr>
        <w:t xml:space="preserve">: אפילו על פילכה ועל עיסתה. </w:t>
      </w:r>
      <w:r w:rsidRPr="00B825DD">
        <w:rPr>
          <w:rFonts w:cs="Arial" w:hint="cs"/>
          <w:sz w:val="16"/>
          <w:szCs w:val="16"/>
          <w:rtl/>
        </w:rPr>
        <w:t>(</w:t>
      </w:r>
      <w:r w:rsidRPr="00B825DD">
        <w:rPr>
          <w:rFonts w:cs="Arial"/>
          <w:sz w:val="16"/>
          <w:szCs w:val="16"/>
          <w:rtl/>
        </w:rPr>
        <w:t>וידוע דליתא לדרבי אליעזר מקמי סתם מתניתין</w:t>
      </w:r>
      <w:r w:rsidRPr="00B825DD">
        <w:rPr>
          <w:rFonts w:cs="Arial" w:hint="cs"/>
          <w:sz w:val="16"/>
          <w:szCs w:val="16"/>
          <w:rtl/>
        </w:rPr>
        <w:t>,</w:t>
      </w:r>
      <w:r w:rsidRPr="00B825DD">
        <w:rPr>
          <w:rFonts w:cs="Arial"/>
          <w:sz w:val="16"/>
          <w:szCs w:val="16"/>
          <w:rtl/>
        </w:rPr>
        <w:t xml:space="preserve"> ולפיכך כתב רבינו אבל אם אינה נושאת ונותנת אלא שמתעסקת בצרכי הבית בפלכה ובעיסתה וכו' אינו יכול להשביעה בטענת שמא וכו'</w:t>
      </w:r>
      <w:r>
        <w:rPr>
          <w:rFonts w:cs="Arial" w:hint="cs"/>
          <w:sz w:val="16"/>
          <w:szCs w:val="16"/>
          <w:rtl/>
        </w:rPr>
        <w:t>, ב"י)</w:t>
      </w:r>
    </w:p>
    <w:p w14:paraId="5B4D5F6C" w14:textId="2D089206" w:rsidR="00A23EEC" w:rsidRPr="001862D0" w:rsidRDefault="00A23EEC" w:rsidP="00A23EEC">
      <w:pPr>
        <w:rPr>
          <w:rFonts w:cs="Arial"/>
          <w:rtl/>
        </w:rPr>
      </w:pPr>
      <w:r>
        <w:rPr>
          <w:rFonts w:cs="Arial" w:hint="cs"/>
          <w:b/>
          <w:bCs/>
          <w:rtl/>
        </w:rPr>
        <w:t xml:space="preserve">כתובות </w:t>
      </w:r>
      <w:r w:rsidRPr="00B94040">
        <w:rPr>
          <w:rFonts w:cs="Arial" w:hint="cs"/>
          <w:b/>
          <w:bCs/>
          <w:sz w:val="16"/>
          <w:szCs w:val="16"/>
          <w:rtl/>
        </w:rPr>
        <w:t>(פ' ה</w:t>
      </w:r>
      <w:r>
        <w:rPr>
          <w:rFonts w:cs="Arial" w:hint="cs"/>
          <w:b/>
          <w:bCs/>
          <w:sz w:val="16"/>
          <w:szCs w:val="16"/>
          <w:rtl/>
        </w:rPr>
        <w:t>כו</w:t>
      </w:r>
      <w:r w:rsidR="003E5999">
        <w:rPr>
          <w:rFonts w:cs="Arial" w:hint="cs"/>
          <w:b/>
          <w:bCs/>
          <w:sz w:val="16"/>
          <w:szCs w:val="16"/>
          <w:rtl/>
        </w:rPr>
        <w:t>ת</w:t>
      </w:r>
      <w:r>
        <w:rPr>
          <w:rFonts w:cs="Arial" w:hint="cs"/>
          <w:b/>
          <w:bCs/>
          <w:sz w:val="16"/>
          <w:szCs w:val="16"/>
          <w:rtl/>
        </w:rPr>
        <w:t>ב</w:t>
      </w:r>
      <w:r w:rsidRPr="00B94040">
        <w:rPr>
          <w:rFonts w:cs="Arial" w:hint="cs"/>
          <w:b/>
          <w:bCs/>
          <w:sz w:val="16"/>
          <w:szCs w:val="16"/>
          <w:rtl/>
        </w:rPr>
        <w:t>)</w:t>
      </w:r>
      <w:r w:rsidRPr="00B94040">
        <w:rPr>
          <w:rFonts w:cs="Arial" w:hint="cs"/>
          <w:b/>
          <w:bCs/>
          <w:rtl/>
        </w:rPr>
        <w:t xml:space="preserve"> </w:t>
      </w:r>
      <w:r>
        <w:rPr>
          <w:rFonts w:cs="Arial" w:hint="cs"/>
          <w:b/>
          <w:bCs/>
          <w:rtl/>
        </w:rPr>
        <w:t>פ</w:t>
      </w:r>
      <w:r w:rsidR="00215925">
        <w:rPr>
          <w:rFonts w:cs="Arial" w:hint="cs"/>
          <w:b/>
          <w:bCs/>
          <w:rtl/>
        </w:rPr>
        <w:t>ז</w:t>
      </w:r>
      <w:r w:rsidRPr="00B94040">
        <w:rPr>
          <w:rFonts w:cs="Arial" w:hint="cs"/>
          <w:b/>
          <w:bCs/>
          <w:rtl/>
        </w:rPr>
        <w:t xml:space="preserve"> ע"</w:t>
      </w:r>
      <w:r>
        <w:rPr>
          <w:rFonts w:cs="Arial" w:hint="cs"/>
          <w:b/>
          <w:bCs/>
          <w:rtl/>
        </w:rPr>
        <w:t>ב</w:t>
      </w:r>
      <w:r w:rsidRPr="00B94040">
        <w:rPr>
          <w:rFonts w:cs="Arial" w:hint="cs"/>
          <w:b/>
          <w:bCs/>
          <w:rtl/>
        </w:rPr>
        <w:t>:</w:t>
      </w:r>
      <w:r>
        <w:rPr>
          <w:rFonts w:cs="Arial" w:hint="cs"/>
          <w:rtl/>
        </w:rPr>
        <w:t xml:space="preserve"> </w:t>
      </w:r>
      <w:r w:rsidRPr="002B5D2F">
        <w:rPr>
          <w:rFonts w:cs="Arial"/>
          <w:u w:val="double"/>
          <w:rtl/>
        </w:rPr>
        <w:t>מתני'</w:t>
      </w:r>
      <w:r>
        <w:rPr>
          <w:rFonts w:cs="Arial" w:hint="cs"/>
          <w:rtl/>
        </w:rPr>
        <w:t>:...</w:t>
      </w:r>
      <w:r w:rsidRPr="00E24E73">
        <w:rPr>
          <w:rtl/>
        </w:rPr>
        <w:t xml:space="preserve"> </w:t>
      </w:r>
      <w:r w:rsidRPr="00D47DED">
        <w:rPr>
          <w:rFonts w:cs="Arial"/>
          <w:u w:val="single"/>
          <w:rtl/>
        </w:rPr>
        <w:t>ר' שמעון אומר</w:t>
      </w:r>
      <w:r w:rsidRPr="00E24E73">
        <w:rPr>
          <w:rFonts w:cs="Arial"/>
          <w:rtl/>
        </w:rPr>
        <w:t>: כל זמן שהיא תובעת כתובתה - היורשין משביעין אותה, ואם אינה תובעת כתובתה - אין היורשין משביעין אותה.</w:t>
      </w:r>
      <w:r w:rsidRPr="00C15909">
        <w:rPr>
          <w:rtl/>
        </w:rPr>
        <w:t xml:space="preserve"> </w:t>
      </w:r>
      <w:r w:rsidR="00B80AA7">
        <w:rPr>
          <w:rFonts w:hint="cs"/>
          <w:rtl/>
        </w:rPr>
        <w:t xml:space="preserve">     </w:t>
      </w:r>
      <w:r>
        <w:rPr>
          <w:rFonts w:cs="Arial" w:hint="cs"/>
          <w:u w:val="double"/>
          <w:rtl/>
        </w:rPr>
        <w:t>גמ</w:t>
      </w:r>
      <w:r w:rsidRPr="002B5D2F">
        <w:rPr>
          <w:rFonts w:cs="Arial"/>
          <w:u w:val="double"/>
          <w:rtl/>
        </w:rPr>
        <w:t>'</w:t>
      </w:r>
      <w:r>
        <w:rPr>
          <w:rFonts w:cs="Arial" w:hint="cs"/>
          <w:sz w:val="14"/>
          <w:szCs w:val="14"/>
          <w:u w:val="double"/>
          <w:rtl/>
        </w:rPr>
        <w:t>(פח.)</w:t>
      </w:r>
      <w:r>
        <w:rPr>
          <w:rFonts w:cs="Arial" w:hint="cs"/>
          <w:u w:val="double"/>
          <w:rtl/>
        </w:rPr>
        <w:t>:</w:t>
      </w:r>
      <w:r>
        <w:rPr>
          <w:rFonts w:cs="Arial" w:hint="cs"/>
          <w:rtl/>
        </w:rPr>
        <w:t xml:space="preserve"> </w:t>
      </w:r>
      <w:r w:rsidRPr="00C15909">
        <w:rPr>
          <w:rFonts w:cs="Arial"/>
          <w:rtl/>
        </w:rPr>
        <w:t>ר"ש אומר: כל זמן שתובעת כתובתה וכו'. ר"ש אהייא?</w:t>
      </w:r>
      <w:r>
        <w:rPr>
          <w:rFonts w:cs="Arial" w:hint="cs"/>
          <w:rtl/>
        </w:rPr>
        <w:t>...</w:t>
      </w:r>
      <w:r w:rsidRPr="00C15909">
        <w:rPr>
          <w:rFonts w:cs="Arial"/>
          <w:rtl/>
        </w:rPr>
        <w:t xml:space="preserve"> </w:t>
      </w:r>
      <w:r w:rsidRPr="001862D0">
        <w:rPr>
          <w:rFonts w:cs="Arial"/>
          <w:u w:val="single"/>
          <w:rtl/>
        </w:rPr>
        <w:t>אמר רב פפא</w:t>
      </w:r>
      <w:r w:rsidRPr="001862D0">
        <w:rPr>
          <w:rFonts w:cs="Arial"/>
          <w:rtl/>
        </w:rPr>
        <w:t>: לאפוקי מדר"א ומחלוקתו</w:t>
      </w:r>
      <w:r>
        <w:rPr>
          <w:rStyle w:val="a7"/>
          <w:rFonts w:cs="Arial"/>
          <w:rtl/>
        </w:rPr>
        <w:footnoteReference w:id="1789"/>
      </w:r>
      <w:r w:rsidRPr="001862D0">
        <w:rPr>
          <w:rFonts w:cs="Arial"/>
          <w:rtl/>
        </w:rPr>
        <w:t>.</w:t>
      </w:r>
      <w:r>
        <w:rPr>
          <w:rFonts w:cs="Arial" w:hint="cs"/>
          <w:rtl/>
        </w:rPr>
        <w:t xml:space="preserve"> </w:t>
      </w:r>
      <w:r w:rsidRPr="00A23EEC">
        <w:rPr>
          <w:rFonts w:cs="Arial" w:hint="cs"/>
          <w:sz w:val="16"/>
          <w:szCs w:val="16"/>
          <w:rtl/>
        </w:rPr>
        <w:t>(</w:t>
      </w:r>
      <w:r w:rsidRPr="00A23EEC">
        <w:rPr>
          <w:rFonts w:cs="Arial"/>
          <w:sz w:val="16"/>
          <w:szCs w:val="16"/>
          <w:rtl/>
        </w:rPr>
        <w:t>ופסק הרי"ף (מו.) כת"ק דהוא סתם מתניתין</w:t>
      </w:r>
      <w:r w:rsidR="00C2585B">
        <w:rPr>
          <w:rFonts w:cs="Arial" w:hint="cs"/>
          <w:sz w:val="16"/>
          <w:szCs w:val="16"/>
          <w:rtl/>
        </w:rPr>
        <w:t>,</w:t>
      </w:r>
      <w:r w:rsidRPr="00A23EEC">
        <w:rPr>
          <w:rFonts w:cs="Arial"/>
          <w:sz w:val="16"/>
          <w:szCs w:val="16"/>
          <w:rtl/>
        </w:rPr>
        <w:t xml:space="preserve"> דקיי"ל בכל דוכתא דלא איפסיקא הלכתא בהדיא</w:t>
      </w:r>
      <w:r w:rsidR="00C2585B">
        <w:rPr>
          <w:rFonts w:cs="Arial" w:hint="cs"/>
          <w:sz w:val="16"/>
          <w:szCs w:val="16"/>
          <w:rtl/>
        </w:rPr>
        <w:t xml:space="preserve"> -</w:t>
      </w:r>
      <w:r w:rsidRPr="00A23EEC">
        <w:rPr>
          <w:rFonts w:cs="Arial"/>
          <w:sz w:val="16"/>
          <w:szCs w:val="16"/>
          <w:rtl/>
        </w:rPr>
        <w:t xml:space="preserve"> הלכה כסתם מתניתין</w:t>
      </w:r>
      <w:r w:rsidRPr="00A23EEC">
        <w:rPr>
          <w:rFonts w:cs="Arial" w:hint="cs"/>
          <w:sz w:val="16"/>
          <w:szCs w:val="16"/>
          <w:rtl/>
        </w:rPr>
        <w:t>.</w:t>
      </w:r>
      <w:r w:rsidRPr="00A23EEC">
        <w:rPr>
          <w:rFonts w:cs="Arial"/>
          <w:sz w:val="16"/>
          <w:szCs w:val="16"/>
          <w:rtl/>
        </w:rPr>
        <w:t xml:space="preserve"> וכן נראה שהוא דעת הרמב"ם בפ"ט מהל</w:t>
      </w:r>
      <w:r w:rsidRPr="00A23EEC">
        <w:rPr>
          <w:rFonts w:cs="Arial" w:hint="cs"/>
          <w:sz w:val="16"/>
          <w:szCs w:val="16"/>
          <w:rtl/>
        </w:rPr>
        <w:t>'</w:t>
      </w:r>
      <w:r w:rsidRPr="00A23EEC">
        <w:rPr>
          <w:rFonts w:cs="Arial"/>
          <w:sz w:val="16"/>
          <w:szCs w:val="16"/>
          <w:rtl/>
        </w:rPr>
        <w:t xml:space="preserve"> שותפין (ה"א). והתוספות (פח: ד"ה לאפוקי) והרא"ש (סי' כז) כתבו שר"ת ור"ח הכריעו דהלכה כרבי שמעון</w:t>
      </w:r>
      <w:r w:rsidRPr="00A23EEC">
        <w:rPr>
          <w:rFonts w:cs="Arial" w:hint="cs"/>
          <w:sz w:val="16"/>
          <w:szCs w:val="16"/>
          <w:rtl/>
        </w:rPr>
        <w:t>,</w:t>
      </w:r>
      <w:r w:rsidRPr="00A23EEC">
        <w:rPr>
          <w:rFonts w:cs="Arial"/>
          <w:sz w:val="16"/>
          <w:szCs w:val="16"/>
          <w:rtl/>
        </w:rPr>
        <w:t xml:space="preserve"> ושעשה ר"ת מעשה כרבי שמעון</w:t>
      </w:r>
      <w:r w:rsidRPr="00A23EEC">
        <w:rPr>
          <w:rFonts w:cs="Arial" w:hint="cs"/>
          <w:sz w:val="16"/>
          <w:szCs w:val="16"/>
          <w:rtl/>
        </w:rPr>
        <w:t>,</w:t>
      </w:r>
      <w:r w:rsidRPr="00A23EEC">
        <w:rPr>
          <w:rFonts w:cs="Arial"/>
          <w:sz w:val="16"/>
          <w:szCs w:val="16"/>
          <w:rtl/>
        </w:rPr>
        <w:t xml:space="preserve"> וכתב הרא"ש (סי' כח) שנראין דבריו</w:t>
      </w:r>
      <w:r>
        <w:rPr>
          <w:rFonts w:cs="Arial" w:hint="cs"/>
          <w:sz w:val="16"/>
          <w:szCs w:val="16"/>
          <w:rtl/>
        </w:rPr>
        <w:t>, ב"י)</w:t>
      </w:r>
    </w:p>
    <w:p w14:paraId="5D57312F" w14:textId="43D67D4D" w:rsidR="00A76B76" w:rsidRPr="00F57918" w:rsidRDefault="00F57918" w:rsidP="00A76B76">
      <w:pPr>
        <w:rPr>
          <w:u w:val="single"/>
          <w:rtl/>
        </w:rPr>
      </w:pPr>
      <w:r w:rsidRPr="00F57918">
        <w:rPr>
          <w:rFonts w:hint="cs"/>
          <w:u w:val="single"/>
          <w:rtl/>
        </w:rPr>
        <w:t xml:space="preserve">השבעת אשתו </w:t>
      </w:r>
      <w:r w:rsidR="00CD4F59">
        <w:rPr>
          <w:rFonts w:hint="cs"/>
          <w:u w:val="single"/>
          <w:rtl/>
        </w:rPr>
        <w:t>בטענת ספק</w:t>
      </w:r>
      <w:r w:rsidR="003D1A6E">
        <w:rPr>
          <w:rFonts w:hint="cs"/>
          <w:u w:val="single"/>
          <w:rtl/>
        </w:rPr>
        <w:t xml:space="preserve"> </w:t>
      </w:r>
      <w:r w:rsidR="003D1A6E" w:rsidRPr="003D1A6E">
        <w:rPr>
          <w:rFonts w:hint="cs"/>
          <w:sz w:val="16"/>
          <w:szCs w:val="16"/>
          <w:u w:val="single"/>
          <w:rtl/>
        </w:rPr>
        <w:t>(שבועת אפוטרופוס)</w:t>
      </w:r>
      <w:r w:rsidRPr="00F57918">
        <w:rPr>
          <w:rFonts w:hint="cs"/>
          <w:u w:val="single"/>
          <w:rtl/>
        </w:rPr>
        <w:t>:</w:t>
      </w:r>
    </w:p>
    <w:p w14:paraId="4E04C512" w14:textId="71BEDFAB" w:rsidR="0047064C" w:rsidRPr="00A23EEC" w:rsidRDefault="0047064C" w:rsidP="00A23EEC">
      <w:pPr>
        <w:pStyle w:val="ab"/>
        <w:numPr>
          <w:ilvl w:val="0"/>
          <w:numId w:val="86"/>
        </w:numPr>
        <w:rPr>
          <w:rFonts w:cs="Arial"/>
          <w:rtl/>
        </w:rPr>
      </w:pPr>
      <w:r w:rsidRPr="0047064C">
        <w:rPr>
          <w:rFonts w:cs="Arial" w:hint="cs"/>
          <w:rtl/>
        </w:rPr>
        <w:t xml:space="preserve">טור- </w:t>
      </w:r>
      <w:r w:rsidRPr="0047064C">
        <w:rPr>
          <w:rFonts w:cs="Arial"/>
          <w:rtl/>
        </w:rPr>
        <w:t>הבעל שמשביע אשתו על כתובתה יכול להשביעה ג"כ על כל שנתעסקה בו כל ימי היותה תחתיו</w:t>
      </w:r>
      <w:r w:rsidR="00145194">
        <w:rPr>
          <w:rFonts w:cs="Arial" w:hint="cs"/>
          <w:rtl/>
        </w:rPr>
        <w:t>,</w:t>
      </w:r>
      <w:r w:rsidRPr="0047064C">
        <w:rPr>
          <w:rFonts w:cs="Arial"/>
          <w:rtl/>
        </w:rPr>
        <w:t xml:space="preserve"> אבל קודם לכן אינו יכול להשביעה בטענת שמא</w:t>
      </w:r>
      <w:r w:rsidR="00145194">
        <w:rPr>
          <w:rFonts w:cs="Arial" w:hint="cs"/>
          <w:rtl/>
        </w:rPr>
        <w:t>.</w:t>
      </w:r>
      <w:r w:rsidRPr="0047064C">
        <w:rPr>
          <w:rFonts w:cs="Arial"/>
          <w:rtl/>
        </w:rPr>
        <w:t xml:space="preserve"> דתנן המושיב אשתו חנונית או שמינה אפוטרופוס הרי זה משביעה בכל שעה שירצה</w:t>
      </w:r>
      <w:r w:rsidR="00145194">
        <w:rPr>
          <w:rFonts w:cs="Arial" w:hint="cs"/>
          <w:rtl/>
        </w:rPr>
        <w:t>,</w:t>
      </w:r>
      <w:r w:rsidRPr="0047064C">
        <w:rPr>
          <w:rFonts w:cs="Arial"/>
          <w:rtl/>
        </w:rPr>
        <w:t xml:space="preserve"> כיון שנושאת ונותנת בשלו יכול להשביעה אפילו בטענת שמא אם הפסידה שתי כסף</w:t>
      </w:r>
      <w:r w:rsidR="00B825DD">
        <w:rPr>
          <w:rStyle w:val="a7"/>
          <w:rFonts w:cs="Arial"/>
          <w:rtl/>
        </w:rPr>
        <w:footnoteReference w:id="1790"/>
      </w:r>
      <w:r w:rsidR="00145194">
        <w:rPr>
          <w:rFonts w:cs="Arial" w:hint="cs"/>
          <w:rtl/>
        </w:rPr>
        <w:t>.</w:t>
      </w:r>
      <w:r w:rsidRPr="0047064C">
        <w:rPr>
          <w:rFonts w:cs="Arial"/>
          <w:rtl/>
        </w:rPr>
        <w:t xml:space="preserve"> אבל אם אינה נושאת ונותנת אלא שמתעסקת בצרכי הבית בפלכה ובעיסתה כדרך כל הנשים</w:t>
      </w:r>
      <w:r w:rsidR="00145194">
        <w:rPr>
          <w:rFonts w:cs="Arial" w:hint="cs"/>
          <w:rtl/>
        </w:rPr>
        <w:t>,</w:t>
      </w:r>
      <w:r w:rsidRPr="0047064C">
        <w:rPr>
          <w:rFonts w:cs="Arial"/>
          <w:rtl/>
        </w:rPr>
        <w:t xml:space="preserve"> אינו יכול להשביעה בטענת שמא אם לא בטענת ברי או ע"י גלגול</w:t>
      </w:r>
      <w:r w:rsidR="00145194">
        <w:rPr>
          <w:rFonts w:cs="Arial" w:hint="cs"/>
          <w:rtl/>
        </w:rPr>
        <w:t>.</w:t>
      </w:r>
      <w:r w:rsidRPr="0047064C">
        <w:rPr>
          <w:rFonts w:cs="Arial"/>
          <w:rtl/>
        </w:rPr>
        <w:t xml:space="preserve"> ורבי שמעון פליג ואומר דאף אם הושיבה חנונית או מינה אפוטרופוס אינו יכול להשביעה בטענת שמא כ"ז שאינה תובעת כתובתה</w:t>
      </w:r>
      <w:r w:rsidR="00145194">
        <w:rPr>
          <w:rFonts w:cs="Arial" w:hint="cs"/>
          <w:rtl/>
        </w:rPr>
        <w:t>,</w:t>
      </w:r>
      <w:r w:rsidRPr="0047064C">
        <w:rPr>
          <w:rFonts w:cs="Arial"/>
          <w:rtl/>
        </w:rPr>
        <w:t xml:space="preserve"> אבל אם גירשה ותובעת כתובתה משביעה על הכל</w:t>
      </w:r>
      <w:r w:rsidR="00145194">
        <w:rPr>
          <w:rFonts w:cs="Arial" w:hint="cs"/>
          <w:rtl/>
        </w:rPr>
        <w:t>.</w:t>
      </w:r>
      <w:r w:rsidRPr="0047064C">
        <w:rPr>
          <w:rFonts w:cs="Arial"/>
          <w:rtl/>
        </w:rPr>
        <w:t xml:space="preserve"> </w:t>
      </w:r>
      <w:r w:rsidRPr="00A23EEC">
        <w:rPr>
          <w:rFonts w:cs="Arial"/>
          <w:rtl/>
        </w:rPr>
        <w:t>ופסק רב אלפס כת"ק שאם מינה אפוטרופוס משביעה כל שעה שירצה</w:t>
      </w:r>
      <w:r w:rsidR="00145194" w:rsidRPr="00A23EEC">
        <w:rPr>
          <w:rFonts w:cs="Arial" w:hint="cs"/>
          <w:rtl/>
        </w:rPr>
        <w:t>.</w:t>
      </w:r>
      <w:r w:rsidRPr="00A23EEC">
        <w:rPr>
          <w:rFonts w:cs="Arial"/>
          <w:rtl/>
        </w:rPr>
        <w:t xml:space="preserve"> ור"ת פסק כר' שמעון והורה הלכה למעשה באשה שמינה בעלה אפוטרופוס והיה לה הרבה מעות ואומרת של אחרים הם ורצה בעלה להשביעה ופסק ר"ת שלא היה יכול להשביעה כל זמן שלא תבעה כתובתה וכתב א"א ז"ל ונראין דבריו</w:t>
      </w:r>
      <w:r>
        <w:rPr>
          <w:rStyle w:val="a7"/>
          <w:rFonts w:cs="Arial"/>
          <w:rtl/>
        </w:rPr>
        <w:footnoteReference w:id="1791"/>
      </w:r>
      <w:r w:rsidR="007E7489">
        <w:rPr>
          <w:rFonts w:cs="Arial" w:hint="cs"/>
          <w:rtl/>
        </w:rPr>
        <w:t>,</w:t>
      </w:r>
      <w:r w:rsidRPr="00A23EEC">
        <w:rPr>
          <w:rFonts w:cs="Arial"/>
          <w:rtl/>
        </w:rPr>
        <w:t xml:space="preserve"> וגם כיון דאיכא פלוגתא דרבוותא לא עבדינן עובדא לחייבה שבועה</w:t>
      </w:r>
      <w:r w:rsidR="00A23EEC">
        <w:rPr>
          <w:rFonts w:cs="Arial" w:hint="cs"/>
          <w:rtl/>
        </w:rPr>
        <w:t>.</w:t>
      </w:r>
      <w:r w:rsidR="00555A32" w:rsidRPr="00555A32">
        <w:rPr>
          <w:rFonts w:cs="Arial" w:hint="cs"/>
          <w:color w:val="E36C0A" w:themeColor="accent6" w:themeShade="BF"/>
          <w:rtl/>
        </w:rPr>
        <w:t xml:space="preserve"> (וכ"ס בשו"ע</w:t>
      </w:r>
      <w:r w:rsidR="00555A32">
        <w:rPr>
          <w:rFonts w:cs="Arial" w:hint="cs"/>
          <w:color w:val="E36C0A" w:themeColor="accent6" w:themeShade="BF"/>
          <w:sz w:val="16"/>
          <w:szCs w:val="16"/>
          <w:rtl/>
        </w:rPr>
        <w:t xml:space="preserve"> </w:t>
      </w:r>
      <w:r w:rsidR="00555A32" w:rsidRPr="00555A32">
        <w:rPr>
          <w:rFonts w:cs="Arial" w:hint="cs"/>
          <w:color w:val="000000" w:themeColor="text1"/>
          <w:sz w:val="16"/>
          <w:szCs w:val="16"/>
          <w:rtl/>
        </w:rPr>
        <w:t>[</w:t>
      </w:r>
      <w:r w:rsidR="00555A32">
        <w:rPr>
          <w:rFonts w:cs="Arial" w:hint="cs"/>
          <w:color w:val="000000" w:themeColor="text1"/>
          <w:sz w:val="16"/>
          <w:szCs w:val="16"/>
          <w:rtl/>
        </w:rPr>
        <w:t>כאן ובסע' הבא</w:t>
      </w:r>
      <w:r w:rsidR="00555A32" w:rsidRPr="00555A32">
        <w:rPr>
          <w:rFonts w:cs="Arial" w:hint="cs"/>
          <w:color w:val="000000" w:themeColor="text1"/>
          <w:sz w:val="16"/>
          <w:szCs w:val="16"/>
          <w:rtl/>
        </w:rPr>
        <w:t>]</w:t>
      </w:r>
      <w:r w:rsidR="00555A32" w:rsidRPr="00555A32">
        <w:rPr>
          <w:rFonts w:cs="Arial" w:hint="cs"/>
          <w:color w:val="E36C0A" w:themeColor="accent6" w:themeShade="BF"/>
          <w:rtl/>
        </w:rPr>
        <w:t>)</w:t>
      </w:r>
    </w:p>
    <w:p w14:paraId="6753F161"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580646C" w14:textId="6112AD57" w:rsidR="00D474B9" w:rsidRDefault="00392DBB" w:rsidP="00392DBB">
      <w:pPr>
        <w:rPr>
          <w:rFonts w:cs="Arial"/>
          <w:rtl/>
        </w:rPr>
      </w:pPr>
      <w:r>
        <w:rPr>
          <w:rFonts w:cs="Arial"/>
          <w:rtl/>
        </w:rPr>
        <w:t>המושיב אשתו חנונית או שמינה אפוטרופא, משביעה אפי</w:t>
      </w:r>
      <w:r w:rsidR="00494289">
        <w:rPr>
          <w:rFonts w:cs="Arial" w:hint="cs"/>
          <w:rtl/>
        </w:rPr>
        <w:t>לו</w:t>
      </w:r>
      <w:r>
        <w:rPr>
          <w:rFonts w:cs="Arial"/>
          <w:rtl/>
        </w:rPr>
        <w:t xml:space="preserve"> בטענת שמא של שתי כסף. אבל אם אינה נושאת ונותנת, אלא שמתעסקת בצרכי הבית בפלכה ובעיסתה כדרך כל הנשים, אינו יכול להשביעה בטענת שמא</w:t>
      </w:r>
      <w:r w:rsidR="007E7489">
        <w:rPr>
          <w:rStyle w:val="a7"/>
          <w:rFonts w:cs="Arial"/>
          <w:rtl/>
        </w:rPr>
        <w:footnoteReference w:id="1792"/>
      </w:r>
      <w:r>
        <w:rPr>
          <w:rFonts w:cs="Arial"/>
          <w:rtl/>
        </w:rPr>
        <w:t>.</w:t>
      </w:r>
    </w:p>
    <w:p w14:paraId="5E5E5350" w14:textId="017E4DEE" w:rsidR="00392DBB" w:rsidRDefault="00392DBB" w:rsidP="00392DBB">
      <w:pPr>
        <w:rPr>
          <w:rtl/>
        </w:rPr>
      </w:pPr>
      <w:r>
        <w:rPr>
          <w:rFonts w:cs="Arial"/>
          <w:rtl/>
        </w:rPr>
        <w:t xml:space="preserve"> </w:t>
      </w:r>
    </w:p>
    <w:p w14:paraId="63AF19FF" w14:textId="07288B97" w:rsidR="00392DBB" w:rsidRDefault="00392DBB" w:rsidP="000F64D0">
      <w:pPr>
        <w:pStyle w:val="2"/>
        <w:rPr>
          <w:rtl/>
        </w:rPr>
      </w:pPr>
      <w:r>
        <w:rPr>
          <w:rtl/>
        </w:rPr>
        <w:t>סעיף ב</w:t>
      </w:r>
      <w:r w:rsidR="00D474B9">
        <w:rPr>
          <w:rFonts w:hint="cs"/>
          <w:rtl/>
        </w:rPr>
        <w:t>:</w:t>
      </w:r>
      <w:r w:rsidR="00606315">
        <w:rPr>
          <w:rFonts w:hint="cs"/>
          <w:rtl/>
        </w:rPr>
        <w:t xml:space="preserve"> מתי יכול להשביעה.</w:t>
      </w:r>
    </w:p>
    <w:p w14:paraId="63020839" w14:textId="4AF37D86" w:rsidR="00D474B9" w:rsidRPr="00D474B9" w:rsidRDefault="00606315" w:rsidP="00D474B9">
      <w:pPr>
        <w:rPr>
          <w:rtl/>
        </w:rPr>
      </w:pPr>
      <w:r>
        <w:rPr>
          <w:rFonts w:hint="cs"/>
          <w:rtl/>
        </w:rPr>
        <w:t>עיין במקורות בסעיף א.</w:t>
      </w:r>
    </w:p>
    <w:p w14:paraId="1A600655"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E5A7F18" w14:textId="086686FA" w:rsidR="00392DBB" w:rsidRDefault="00392DBB" w:rsidP="00392DBB">
      <w:pPr>
        <w:rPr>
          <w:rFonts w:cs="Arial"/>
          <w:rtl/>
        </w:rPr>
      </w:pPr>
      <w:r>
        <w:rPr>
          <w:rFonts w:cs="Arial"/>
          <w:rtl/>
        </w:rPr>
        <w:lastRenderedPageBreak/>
        <w:t xml:space="preserve">המושיב אשתו חנונית או שמינה אפוטרופא, אינו יכול להשביעה עד שתתבע כתובתה. ויש אומרים שמשביעה כל זמן שירצה. </w:t>
      </w:r>
      <w:r w:rsidR="00D474B9">
        <w:rPr>
          <w:rFonts w:cs="Arial" w:hint="cs"/>
          <w:sz w:val="18"/>
          <w:szCs w:val="18"/>
          <w:rtl/>
        </w:rPr>
        <w:t xml:space="preserve">[הגה] </w:t>
      </w:r>
      <w:r w:rsidRPr="00D474B9">
        <w:rPr>
          <w:rFonts w:cs="Arial"/>
          <w:sz w:val="18"/>
          <w:szCs w:val="18"/>
          <w:rtl/>
        </w:rPr>
        <w:t>ייחד לה קרקע בכתובתה, אע</w:t>
      </w:r>
      <w:r w:rsidR="00606315">
        <w:rPr>
          <w:rFonts w:cs="Arial" w:hint="cs"/>
          <w:sz w:val="18"/>
          <w:szCs w:val="18"/>
          <w:rtl/>
        </w:rPr>
        <w:t>"</w:t>
      </w:r>
      <w:r w:rsidRPr="00D474B9">
        <w:rPr>
          <w:rFonts w:cs="Arial"/>
          <w:sz w:val="18"/>
          <w:szCs w:val="18"/>
          <w:rtl/>
        </w:rPr>
        <w:t>פ שבאתה לגבות כתובתה לא מיקרי תובעת כתובה, ואינו יכול להשביעה (מרדכי)</w:t>
      </w:r>
      <w:r w:rsidR="00606315">
        <w:rPr>
          <w:rFonts w:cs="Arial" w:hint="cs"/>
          <w:sz w:val="18"/>
          <w:szCs w:val="18"/>
          <w:rtl/>
        </w:rPr>
        <w:t>,</w:t>
      </w:r>
      <w:r w:rsidRPr="00D474B9">
        <w:rPr>
          <w:rFonts w:cs="Arial"/>
          <w:sz w:val="18"/>
          <w:szCs w:val="18"/>
          <w:rtl/>
        </w:rPr>
        <w:t xml:space="preserve"> לפי סברא הראשונה.</w:t>
      </w:r>
    </w:p>
    <w:p w14:paraId="4F1DFDD7" w14:textId="77777777" w:rsidR="00D474B9" w:rsidRDefault="00D474B9" w:rsidP="00392DBB">
      <w:pPr>
        <w:rPr>
          <w:rFonts w:cs="Arial"/>
          <w:rtl/>
        </w:rPr>
      </w:pPr>
    </w:p>
    <w:p w14:paraId="4F854818" w14:textId="09996F96" w:rsidR="00D474B9" w:rsidRPr="007A3469" w:rsidRDefault="00D474B9" w:rsidP="00392DBB">
      <w:pPr>
        <w:rPr>
          <w:rtl/>
        </w:rPr>
        <w:sectPr w:rsidR="00D474B9" w:rsidRPr="007A3469" w:rsidSect="00A347B3">
          <w:headerReference w:type="default" r:id="rId41"/>
          <w:footnotePr>
            <w:numRestart w:val="eachSect"/>
          </w:footnotePr>
          <w:pgSz w:w="11906" w:h="16838"/>
          <w:pgMar w:top="720" w:right="1134" w:bottom="720" w:left="1134" w:header="0" w:footer="0" w:gutter="0"/>
          <w:cols w:space="720"/>
          <w:bidi/>
          <w:rtlGutter/>
          <w:docGrid w:linePitch="360"/>
        </w:sectPr>
      </w:pPr>
    </w:p>
    <w:p w14:paraId="472B8F3E" w14:textId="77777777" w:rsidR="00392DBB" w:rsidRDefault="00392DBB" w:rsidP="00392DBB">
      <w:pPr>
        <w:pStyle w:val="1"/>
        <w:rPr>
          <w:rtl/>
        </w:rPr>
      </w:pPr>
      <w:r>
        <w:rPr>
          <w:rFonts w:hint="cs"/>
          <w:rtl/>
        </w:rPr>
        <w:lastRenderedPageBreak/>
        <w:t>סימן צח:</w:t>
      </w:r>
      <w:r w:rsidRPr="00C12B74">
        <w:rPr>
          <w:rtl/>
        </w:rPr>
        <w:t xml:space="preserve"> </w:t>
      </w:r>
      <w:r>
        <w:rPr>
          <w:rFonts w:cs="Arial"/>
          <w:rtl/>
        </w:rPr>
        <w:t xml:space="preserve">פטרה משבועה או ייחד לה מטלטלין, גובה בלא שבועה, ובו ז' סעיפים. </w:t>
      </w:r>
    </w:p>
    <w:p w14:paraId="6D232526" w14:textId="262AC681" w:rsidR="00392DBB" w:rsidRDefault="00392DBB" w:rsidP="000F64D0">
      <w:pPr>
        <w:pStyle w:val="2"/>
        <w:rPr>
          <w:rtl/>
        </w:rPr>
      </w:pPr>
      <w:r>
        <w:rPr>
          <w:rtl/>
        </w:rPr>
        <w:t>סעיף א</w:t>
      </w:r>
      <w:r w:rsidR="008B1E9D">
        <w:rPr>
          <w:rFonts w:hint="cs"/>
          <w:rtl/>
        </w:rPr>
        <w:t xml:space="preserve">: </w:t>
      </w:r>
      <w:r w:rsidR="009B5285">
        <w:rPr>
          <w:rFonts w:hint="cs"/>
          <w:rtl/>
        </w:rPr>
        <w:t>ה</w:t>
      </w:r>
      <w:r w:rsidR="008B1E9D" w:rsidRPr="008B1E9D">
        <w:rPr>
          <w:rFonts w:hint="cs"/>
          <w:rtl/>
        </w:rPr>
        <w:t>פ</w:t>
      </w:r>
      <w:r w:rsidR="009B5285">
        <w:rPr>
          <w:rFonts w:hint="cs"/>
          <w:rtl/>
        </w:rPr>
        <w:t>ו</w:t>
      </w:r>
      <w:r w:rsidR="008B1E9D" w:rsidRPr="008B1E9D">
        <w:rPr>
          <w:rFonts w:hint="cs"/>
          <w:rtl/>
        </w:rPr>
        <w:t>טר את אשתו משבועה</w:t>
      </w:r>
      <w:r w:rsidR="008B1E9D">
        <w:rPr>
          <w:rFonts w:hint="cs"/>
          <w:rtl/>
        </w:rPr>
        <w:t>.</w:t>
      </w:r>
    </w:p>
    <w:p w14:paraId="332D7EC8" w14:textId="14A317A6" w:rsidR="005538BE" w:rsidRPr="003C70AB" w:rsidRDefault="005538BE" w:rsidP="005538BE">
      <w:pPr>
        <w:rPr>
          <w:rFonts w:cs="Arial"/>
          <w:rtl/>
        </w:rPr>
      </w:pPr>
      <w:r>
        <w:rPr>
          <w:rFonts w:cs="Arial" w:hint="cs"/>
          <w:b/>
          <w:bCs/>
          <w:rtl/>
        </w:rPr>
        <w:t xml:space="preserve">כתובות </w:t>
      </w:r>
      <w:r w:rsidRPr="00B94040">
        <w:rPr>
          <w:rFonts w:cs="Arial" w:hint="cs"/>
          <w:b/>
          <w:bCs/>
          <w:sz w:val="16"/>
          <w:szCs w:val="16"/>
          <w:rtl/>
        </w:rPr>
        <w:t>(פ' ה</w:t>
      </w:r>
      <w:r>
        <w:rPr>
          <w:rFonts w:cs="Arial" w:hint="cs"/>
          <w:b/>
          <w:bCs/>
          <w:sz w:val="16"/>
          <w:szCs w:val="16"/>
          <w:rtl/>
        </w:rPr>
        <w:t>כותב</w:t>
      </w:r>
      <w:r w:rsidRPr="00B94040">
        <w:rPr>
          <w:rFonts w:cs="Arial" w:hint="cs"/>
          <w:b/>
          <w:bCs/>
          <w:sz w:val="16"/>
          <w:szCs w:val="16"/>
          <w:rtl/>
        </w:rPr>
        <w:t>)</w:t>
      </w:r>
      <w:r w:rsidRPr="00B94040">
        <w:rPr>
          <w:rFonts w:cs="Arial" w:hint="cs"/>
          <w:b/>
          <w:bCs/>
          <w:rtl/>
        </w:rPr>
        <w:t xml:space="preserve"> </w:t>
      </w:r>
      <w:r>
        <w:rPr>
          <w:rFonts w:cs="Arial" w:hint="cs"/>
          <w:b/>
          <w:bCs/>
          <w:rtl/>
        </w:rPr>
        <w:t>פו</w:t>
      </w:r>
      <w:r w:rsidR="008721CD">
        <w:rPr>
          <w:rStyle w:val="a7"/>
          <w:rFonts w:cs="Arial"/>
          <w:b/>
          <w:bCs/>
          <w:rtl/>
        </w:rPr>
        <w:footnoteReference w:id="1793"/>
      </w:r>
      <w:r w:rsidRPr="00B94040">
        <w:rPr>
          <w:rFonts w:cs="Arial" w:hint="cs"/>
          <w:b/>
          <w:bCs/>
          <w:rtl/>
        </w:rPr>
        <w:t xml:space="preserve"> ע"</w:t>
      </w:r>
      <w:r>
        <w:rPr>
          <w:rFonts w:cs="Arial" w:hint="cs"/>
          <w:b/>
          <w:bCs/>
          <w:rtl/>
        </w:rPr>
        <w:t>ב</w:t>
      </w:r>
      <w:r w:rsidRPr="00B94040">
        <w:rPr>
          <w:rFonts w:cs="Arial" w:hint="cs"/>
          <w:b/>
          <w:bCs/>
          <w:rtl/>
        </w:rPr>
        <w:t>:</w:t>
      </w:r>
      <w:r>
        <w:rPr>
          <w:rFonts w:cs="Arial" w:hint="cs"/>
          <w:rtl/>
        </w:rPr>
        <w:t xml:space="preserve"> </w:t>
      </w:r>
      <w:r w:rsidRPr="002B5D2F">
        <w:rPr>
          <w:rFonts w:cs="Arial"/>
          <w:u w:val="double"/>
          <w:rtl/>
        </w:rPr>
        <w:t>מתני'</w:t>
      </w:r>
      <w:r>
        <w:rPr>
          <w:rFonts w:cs="Arial" w:hint="cs"/>
          <w:rtl/>
        </w:rPr>
        <w:t>:</w:t>
      </w:r>
      <w:r w:rsidRPr="003E5999">
        <w:rPr>
          <w:rFonts w:cs="Arial"/>
          <w:rtl/>
        </w:rPr>
        <w:t xml:space="preserve"> כתב לה נדר ושבועה אין לי עליך - אין יכול להשביעה, אבל משביע הוא את יורשיה</w:t>
      </w:r>
      <w:r>
        <w:rPr>
          <w:rStyle w:val="a7"/>
          <w:rFonts w:cs="Arial"/>
          <w:rtl/>
        </w:rPr>
        <w:footnoteReference w:id="1794"/>
      </w:r>
      <w:r w:rsidRPr="003E5999">
        <w:rPr>
          <w:rFonts w:cs="Arial"/>
          <w:rtl/>
        </w:rPr>
        <w:t xml:space="preserve"> ואת הבאים ברשותה</w:t>
      </w:r>
      <w:r>
        <w:rPr>
          <w:rStyle w:val="a7"/>
          <w:rFonts w:cs="Arial"/>
          <w:rtl/>
        </w:rPr>
        <w:footnoteReference w:id="1795"/>
      </w:r>
      <w:r w:rsidRPr="003E5999">
        <w:rPr>
          <w:rFonts w:cs="Arial"/>
          <w:rtl/>
        </w:rPr>
        <w:t xml:space="preserve">. </w:t>
      </w:r>
      <w:r>
        <w:rPr>
          <w:rFonts w:cs="Arial" w:hint="cs"/>
          <w:rtl/>
        </w:rPr>
        <w:t xml:space="preserve">     </w:t>
      </w:r>
      <w:r w:rsidRPr="00517054">
        <w:rPr>
          <w:rFonts w:cs="Arial"/>
          <w:u w:val="double"/>
          <w:rtl/>
        </w:rPr>
        <w:t>גמ'</w:t>
      </w:r>
      <w:r>
        <w:rPr>
          <w:rFonts w:cs="Arial" w:hint="cs"/>
          <w:rtl/>
        </w:rPr>
        <w:t>:</w:t>
      </w:r>
      <w:r w:rsidRPr="00517054">
        <w:rPr>
          <w:rFonts w:cs="Arial"/>
          <w:rtl/>
        </w:rPr>
        <w:t xml:space="preserve"> שבועה מאי עבידתה</w:t>
      </w:r>
      <w:r>
        <w:rPr>
          <w:rStyle w:val="a7"/>
          <w:rFonts w:cs="Arial"/>
          <w:rtl/>
        </w:rPr>
        <w:footnoteReference w:id="1796"/>
      </w:r>
      <w:r w:rsidRPr="00517054">
        <w:rPr>
          <w:rFonts w:cs="Arial"/>
          <w:rtl/>
        </w:rPr>
        <w:t xml:space="preserve">? </w:t>
      </w:r>
      <w:r w:rsidRPr="00B63191">
        <w:rPr>
          <w:rFonts w:cs="Arial"/>
          <w:u w:val="single"/>
          <w:rtl/>
        </w:rPr>
        <w:t>אמר רב יהודה אמר רב</w:t>
      </w:r>
      <w:r w:rsidRPr="00517054">
        <w:rPr>
          <w:rFonts w:cs="Arial"/>
          <w:rtl/>
        </w:rPr>
        <w:t>:</w:t>
      </w:r>
      <w:r w:rsidR="008721CD">
        <w:rPr>
          <w:rFonts w:cs="Arial" w:hint="cs"/>
          <w:sz w:val="14"/>
          <w:szCs w:val="14"/>
          <w:rtl/>
        </w:rPr>
        <w:t xml:space="preserve"> (פז.)</w:t>
      </w:r>
      <w:r w:rsidRPr="00B63191">
        <w:rPr>
          <w:rtl/>
        </w:rPr>
        <w:t xml:space="preserve"> </w:t>
      </w:r>
      <w:r w:rsidRPr="00B63191">
        <w:rPr>
          <w:rFonts w:cs="Arial"/>
          <w:rtl/>
        </w:rPr>
        <w:t>על אפוטרופיא</w:t>
      </w:r>
      <w:r>
        <w:rPr>
          <w:rStyle w:val="a7"/>
          <w:rFonts w:cs="Arial"/>
          <w:rtl/>
        </w:rPr>
        <w:footnoteReference w:id="1797"/>
      </w:r>
      <w:r w:rsidRPr="00B63191">
        <w:rPr>
          <w:rFonts w:cs="Arial"/>
          <w:rtl/>
        </w:rPr>
        <w:t xml:space="preserve"> שנעשית בחיי בעלה; </w:t>
      </w:r>
      <w:r w:rsidRPr="00B63191">
        <w:rPr>
          <w:rFonts w:cs="Arial"/>
          <w:u w:val="single"/>
          <w:rtl/>
        </w:rPr>
        <w:t>ר"נ אמר רבה בר אבוה</w:t>
      </w:r>
      <w:r w:rsidRPr="00B63191">
        <w:rPr>
          <w:rFonts w:cs="Arial"/>
          <w:rtl/>
        </w:rPr>
        <w:t>: על הפוגמת</w:t>
      </w:r>
      <w:r>
        <w:rPr>
          <w:rStyle w:val="a7"/>
          <w:rFonts w:cs="Arial"/>
          <w:rtl/>
        </w:rPr>
        <w:footnoteReference w:id="1798"/>
      </w:r>
      <w:r w:rsidRPr="00B63191">
        <w:rPr>
          <w:rFonts w:cs="Arial"/>
          <w:rtl/>
        </w:rPr>
        <w:t xml:space="preserve"> כתובתה.</w:t>
      </w:r>
      <w:r>
        <w:rPr>
          <w:rFonts w:cs="Arial" w:hint="cs"/>
          <w:rtl/>
        </w:rPr>
        <w:t xml:space="preserve"> </w:t>
      </w:r>
      <w:r w:rsidRPr="003C70AB">
        <w:rPr>
          <w:rFonts w:cs="Arial" w:hint="cs"/>
          <w:sz w:val="16"/>
          <w:szCs w:val="16"/>
          <w:rtl/>
        </w:rPr>
        <w:t>(</w:t>
      </w:r>
      <w:r w:rsidRPr="003C70AB">
        <w:rPr>
          <w:rFonts w:cs="Arial"/>
          <w:sz w:val="16"/>
          <w:szCs w:val="16"/>
          <w:rtl/>
        </w:rPr>
        <w:t>וכתב הרא"ש (סי' כח) שבועה מאי עיבידתא וקאמר רב נחמן על הפוגמת כתובתה</w:t>
      </w:r>
      <w:r w:rsidRPr="003C70AB">
        <w:rPr>
          <w:rFonts w:cs="Arial" w:hint="cs"/>
          <w:sz w:val="16"/>
          <w:szCs w:val="16"/>
          <w:rtl/>
        </w:rPr>
        <w:t>,</w:t>
      </w:r>
      <w:r w:rsidRPr="003C70AB">
        <w:rPr>
          <w:rFonts w:cs="Arial"/>
          <w:sz w:val="16"/>
          <w:szCs w:val="16"/>
          <w:rtl/>
        </w:rPr>
        <w:t xml:space="preserve"> משום דמסקא אדעתא בשעת נישואין דילמא מצריך לה זוזי ושקלה מכתובתה</w:t>
      </w:r>
      <w:r w:rsidRPr="003C70AB">
        <w:rPr>
          <w:rFonts w:cs="Arial" w:hint="cs"/>
          <w:sz w:val="16"/>
          <w:szCs w:val="16"/>
          <w:rtl/>
        </w:rPr>
        <w:t>,</w:t>
      </w:r>
      <w:r w:rsidRPr="003C70AB">
        <w:rPr>
          <w:rFonts w:cs="Arial"/>
          <w:sz w:val="16"/>
          <w:szCs w:val="16"/>
          <w:rtl/>
        </w:rPr>
        <w:t xml:space="preserve"> ואמרה כתוב לי דלא משבעת לי</w:t>
      </w:r>
      <w:r w:rsidRPr="003C70AB">
        <w:rPr>
          <w:rFonts w:cs="Arial" w:hint="cs"/>
          <w:sz w:val="16"/>
          <w:szCs w:val="16"/>
          <w:rtl/>
        </w:rPr>
        <w:t>.</w:t>
      </w:r>
      <w:r w:rsidRPr="003C70AB">
        <w:rPr>
          <w:rFonts w:cs="Arial"/>
          <w:sz w:val="16"/>
          <w:szCs w:val="16"/>
          <w:rtl/>
        </w:rPr>
        <w:t xml:space="preserve"> ואגב פיטור זה בקשה לפוטרה אף אם הושיבה חנונית או מינה אותה אפטרופא</w:t>
      </w:r>
      <w:r w:rsidRPr="003C70AB">
        <w:rPr>
          <w:rFonts w:cs="Arial" w:hint="cs"/>
          <w:sz w:val="16"/>
          <w:szCs w:val="16"/>
          <w:rtl/>
        </w:rPr>
        <w:t>.</w:t>
      </w:r>
      <w:r w:rsidRPr="003C70AB">
        <w:rPr>
          <w:rFonts w:cs="Arial"/>
          <w:sz w:val="16"/>
          <w:szCs w:val="16"/>
          <w:rtl/>
        </w:rPr>
        <w:t xml:space="preserve"> וגם נמי פיטור דשבועת עד אחד בכלל כאשר כתבתי למעלה (סי' יח)</w:t>
      </w:r>
      <w:r w:rsidRPr="003C70AB">
        <w:rPr>
          <w:rFonts w:cs="Arial" w:hint="cs"/>
          <w:sz w:val="16"/>
          <w:szCs w:val="16"/>
          <w:rtl/>
        </w:rPr>
        <w:t>,</w:t>
      </w:r>
      <w:r w:rsidRPr="003C70AB">
        <w:rPr>
          <w:rFonts w:cs="Arial"/>
          <w:sz w:val="16"/>
          <w:szCs w:val="16"/>
          <w:rtl/>
        </w:rPr>
        <w:t xml:space="preserve"> ולא כמו שכתב הראב"ד ז"ל (בהשגות על הרי"ף מו:)</w:t>
      </w:r>
      <w:r w:rsidRPr="003C70AB">
        <w:rPr>
          <w:rFonts w:cs="Arial" w:hint="cs"/>
          <w:sz w:val="16"/>
          <w:szCs w:val="16"/>
          <w:rtl/>
        </w:rPr>
        <w:t>.</w:t>
      </w:r>
      <w:r w:rsidRPr="003C70AB">
        <w:rPr>
          <w:rFonts w:cs="Arial"/>
          <w:sz w:val="16"/>
          <w:szCs w:val="16"/>
          <w:rtl/>
        </w:rPr>
        <w:t xml:space="preserve"> ויש להסתפק אם פיטור דשבועה הנפרעת שלא בפניו הוי בכלל</w:t>
      </w:r>
      <w:r w:rsidRPr="003C70AB">
        <w:rPr>
          <w:rFonts w:cs="Arial" w:hint="cs"/>
          <w:sz w:val="16"/>
          <w:szCs w:val="16"/>
          <w:rtl/>
        </w:rPr>
        <w:t>,</w:t>
      </w:r>
      <w:r w:rsidRPr="003C70AB">
        <w:rPr>
          <w:rFonts w:cs="Arial"/>
          <w:sz w:val="16"/>
          <w:szCs w:val="16"/>
          <w:rtl/>
        </w:rPr>
        <w:t xml:space="preserve"> לפי שראוי היה שלא לירד לנכסי אדם שלא בפניו דחיישינן לשובר או לצררי</w:t>
      </w:r>
      <w:r w:rsidRPr="003C70AB">
        <w:rPr>
          <w:rFonts w:cs="Arial" w:hint="cs"/>
          <w:sz w:val="16"/>
          <w:szCs w:val="16"/>
          <w:rtl/>
        </w:rPr>
        <w:t>,</w:t>
      </w:r>
      <w:r w:rsidRPr="003C70AB">
        <w:rPr>
          <w:rFonts w:cs="Arial"/>
          <w:sz w:val="16"/>
          <w:szCs w:val="16"/>
          <w:rtl/>
        </w:rPr>
        <w:t xml:space="preserve"> אלא שאמרו חכמים (פח.) לעשות כן לר' יצחק נפחא דוקא בכתובת אשה משום חינא ולרב נחמן אף בבעל חוב משום נעילת דלת</w:t>
      </w:r>
      <w:r w:rsidRPr="003C70AB">
        <w:rPr>
          <w:rFonts w:cs="Arial" w:hint="cs"/>
          <w:sz w:val="16"/>
          <w:szCs w:val="16"/>
          <w:rtl/>
        </w:rPr>
        <w:t>,</w:t>
      </w:r>
      <w:r w:rsidRPr="003C70AB">
        <w:rPr>
          <w:rFonts w:cs="Arial"/>
          <w:sz w:val="16"/>
          <w:szCs w:val="16"/>
          <w:rtl/>
        </w:rPr>
        <w:t xml:space="preserve"> הילכך ראוי שלא יועיל לה הפיטור לענין זה</w:t>
      </w:r>
      <w:r w:rsidRPr="003C70AB">
        <w:rPr>
          <w:rFonts w:cs="Arial" w:hint="cs"/>
          <w:sz w:val="16"/>
          <w:szCs w:val="16"/>
          <w:rtl/>
        </w:rPr>
        <w:t>,</w:t>
      </w:r>
      <w:r w:rsidRPr="003C70AB">
        <w:rPr>
          <w:rFonts w:cs="Arial"/>
          <w:sz w:val="16"/>
          <w:szCs w:val="16"/>
          <w:rtl/>
        </w:rPr>
        <w:t xml:space="preserve"> דכיון דשלא בפניו היא מעיזה פניה</w:t>
      </w:r>
      <w:r w:rsidRPr="003C70AB">
        <w:rPr>
          <w:rFonts w:cs="Arial" w:hint="cs"/>
          <w:sz w:val="16"/>
          <w:szCs w:val="16"/>
          <w:rtl/>
        </w:rPr>
        <w:t>.</w:t>
      </w:r>
      <w:r w:rsidRPr="003C70AB">
        <w:rPr>
          <w:rFonts w:cs="Arial"/>
          <w:sz w:val="16"/>
          <w:szCs w:val="16"/>
          <w:rtl/>
        </w:rPr>
        <w:t xml:space="preserve"> אמנם יראה שהפיטור מועיל לכל שבועה שבית דין מחייבין אותה</w:t>
      </w:r>
      <w:r w:rsidRPr="003C70AB">
        <w:rPr>
          <w:rFonts w:cs="Arial" w:hint="cs"/>
          <w:sz w:val="16"/>
          <w:szCs w:val="16"/>
          <w:rtl/>
        </w:rPr>
        <w:t>,</w:t>
      </w:r>
      <w:r w:rsidRPr="003C70AB">
        <w:rPr>
          <w:rFonts w:cs="Arial"/>
          <w:sz w:val="16"/>
          <w:szCs w:val="16"/>
          <w:rtl/>
        </w:rPr>
        <w:t xml:space="preserve"> מדתנן הכא (פז.) הנך שבועות שצריכה לישבע</w:t>
      </w:r>
      <w:r w:rsidRPr="003C70AB">
        <w:rPr>
          <w:rFonts w:cs="Arial" w:hint="cs"/>
          <w:sz w:val="16"/>
          <w:szCs w:val="16"/>
          <w:rtl/>
        </w:rPr>
        <w:t xml:space="preserve"> </w:t>
      </w:r>
      <w:r w:rsidRPr="003C70AB">
        <w:rPr>
          <w:rFonts w:cs="Arial" w:hint="cs"/>
          <w:sz w:val="14"/>
          <w:szCs w:val="14"/>
          <w:rtl/>
        </w:rPr>
        <w:t xml:space="preserve">{והן: </w:t>
      </w:r>
      <w:r w:rsidRPr="003C70AB">
        <w:rPr>
          <w:rFonts w:cs="Arial"/>
          <w:sz w:val="14"/>
          <w:szCs w:val="14"/>
          <w:rtl/>
        </w:rPr>
        <w:t>הפוגמת</w:t>
      </w:r>
      <w:r w:rsidRPr="003C70AB">
        <w:rPr>
          <w:rFonts w:cs="Arial" w:hint="cs"/>
          <w:sz w:val="14"/>
          <w:szCs w:val="14"/>
          <w:rtl/>
        </w:rPr>
        <w:t>,</w:t>
      </w:r>
      <w:r w:rsidRPr="003C70AB">
        <w:rPr>
          <w:rFonts w:cs="Arial"/>
          <w:sz w:val="14"/>
          <w:szCs w:val="14"/>
          <w:rtl/>
        </w:rPr>
        <w:t xml:space="preserve"> עד אחד מעידה</w:t>
      </w:r>
      <w:r w:rsidRPr="003C70AB">
        <w:rPr>
          <w:rFonts w:cs="Arial" w:hint="cs"/>
          <w:sz w:val="14"/>
          <w:szCs w:val="14"/>
          <w:rtl/>
        </w:rPr>
        <w:t>,</w:t>
      </w:r>
      <w:r w:rsidRPr="003C70AB">
        <w:rPr>
          <w:rFonts w:cs="Arial"/>
          <w:sz w:val="14"/>
          <w:szCs w:val="14"/>
          <w:rtl/>
        </w:rPr>
        <w:t xml:space="preserve"> מנכסי יתומים, מנכסים משועבדים, ושלא בפניו</w:t>
      </w:r>
      <w:r w:rsidRPr="003C70AB">
        <w:rPr>
          <w:rFonts w:cs="Arial" w:hint="cs"/>
          <w:sz w:val="14"/>
          <w:szCs w:val="14"/>
          <w:rtl/>
        </w:rPr>
        <w:t>}</w:t>
      </w:r>
      <w:r w:rsidRPr="003C70AB">
        <w:rPr>
          <w:rFonts w:cs="Arial"/>
          <w:sz w:val="16"/>
          <w:szCs w:val="16"/>
          <w:rtl/>
        </w:rPr>
        <w:t xml:space="preserve"> ושנאן באמצע דבריהם קודם ששנה מחלוקת רבי שמעון דפליג אכולה מתניתין</w:t>
      </w:r>
      <w:r w:rsidR="000679EA">
        <w:rPr>
          <w:rFonts w:cs="Arial" w:hint="cs"/>
          <w:sz w:val="16"/>
          <w:szCs w:val="16"/>
          <w:rtl/>
        </w:rPr>
        <w:t>,</w:t>
      </w:r>
      <w:r w:rsidRPr="003C70AB">
        <w:rPr>
          <w:rFonts w:cs="Arial"/>
          <w:sz w:val="16"/>
          <w:szCs w:val="16"/>
          <w:rtl/>
        </w:rPr>
        <w:t xml:space="preserve"> אלא לכך הפסיק בדבריהם לפרש מאיזה שבועה פטרה עכ"ל</w:t>
      </w:r>
      <w:r>
        <w:rPr>
          <w:rFonts w:cs="Arial" w:hint="cs"/>
          <w:sz w:val="16"/>
          <w:szCs w:val="16"/>
          <w:rtl/>
        </w:rPr>
        <w:t>, ב"י)</w:t>
      </w:r>
    </w:p>
    <w:p w14:paraId="61F31E79" w14:textId="4FABD877" w:rsidR="0016235F" w:rsidRPr="00484132" w:rsidRDefault="009B5285" w:rsidP="0016235F">
      <w:pPr>
        <w:rPr>
          <w:u w:val="single"/>
          <w:rtl/>
        </w:rPr>
      </w:pPr>
      <w:r>
        <w:rPr>
          <w:rFonts w:hint="cs"/>
          <w:u w:val="single"/>
          <w:rtl/>
        </w:rPr>
        <w:t>ה</w:t>
      </w:r>
      <w:r w:rsidR="00484132" w:rsidRPr="008B1E9D">
        <w:rPr>
          <w:rFonts w:hint="cs"/>
          <w:u w:val="single"/>
          <w:rtl/>
        </w:rPr>
        <w:t>פ</w:t>
      </w:r>
      <w:r>
        <w:rPr>
          <w:rFonts w:hint="cs"/>
          <w:u w:val="single"/>
          <w:rtl/>
        </w:rPr>
        <w:t>ו</w:t>
      </w:r>
      <w:r w:rsidR="00484132" w:rsidRPr="008B1E9D">
        <w:rPr>
          <w:rFonts w:hint="cs"/>
          <w:u w:val="single"/>
          <w:rtl/>
        </w:rPr>
        <w:t>טר את אשתו משבועה</w:t>
      </w:r>
      <w:r w:rsidR="00484132" w:rsidRPr="00484132">
        <w:rPr>
          <w:rFonts w:hint="cs"/>
          <w:u w:val="single"/>
          <w:rtl/>
        </w:rPr>
        <w:t>:</w:t>
      </w:r>
    </w:p>
    <w:p w14:paraId="16023772" w14:textId="2C0AB134" w:rsidR="00717CA8" w:rsidRDefault="00D71C6B" w:rsidP="00D71C6B">
      <w:pPr>
        <w:pStyle w:val="ab"/>
        <w:numPr>
          <w:ilvl w:val="0"/>
          <w:numId w:val="86"/>
        </w:numPr>
      </w:pPr>
      <w:r>
        <w:rPr>
          <w:rFonts w:hint="cs"/>
          <w:rtl/>
        </w:rPr>
        <w:t xml:space="preserve">טור- </w:t>
      </w:r>
      <w:r w:rsidRPr="00D71C6B">
        <w:rPr>
          <w:rFonts w:cs="Arial"/>
          <w:rtl/>
        </w:rPr>
        <w:t>פטרה הבעל משבועה</w:t>
      </w:r>
      <w:r w:rsidR="00FD12D7">
        <w:rPr>
          <w:rFonts w:cs="Arial" w:hint="cs"/>
          <w:rtl/>
        </w:rPr>
        <w:t>,</w:t>
      </w:r>
      <w:r w:rsidRPr="00D71C6B">
        <w:rPr>
          <w:rFonts w:cs="Arial"/>
          <w:rtl/>
        </w:rPr>
        <w:t xml:space="preserve"> גובה כתובתה בלא שבועה</w:t>
      </w:r>
      <w:r w:rsidR="00CA7BAD">
        <w:rPr>
          <w:rFonts w:cs="Arial" w:hint="cs"/>
          <w:rtl/>
        </w:rPr>
        <w:t>,</w:t>
      </w:r>
      <w:r w:rsidRPr="00D71C6B">
        <w:rPr>
          <w:rFonts w:cs="Arial"/>
          <w:rtl/>
        </w:rPr>
        <w:t xml:space="preserve"> וכפי לשון הפטור היא נפטרת</w:t>
      </w:r>
      <w:r w:rsidR="00CA7BAD">
        <w:rPr>
          <w:rFonts w:cs="Arial" w:hint="cs"/>
          <w:rtl/>
        </w:rPr>
        <w:t>.</w:t>
      </w:r>
      <w:r w:rsidRPr="00D71C6B">
        <w:rPr>
          <w:rFonts w:cs="Arial"/>
          <w:rtl/>
        </w:rPr>
        <w:t xml:space="preserve"> כיצד</w:t>
      </w:r>
      <w:r w:rsidR="00CA7BAD">
        <w:rPr>
          <w:rFonts w:cs="Arial" w:hint="cs"/>
          <w:rtl/>
        </w:rPr>
        <w:t>,</w:t>
      </w:r>
      <w:r w:rsidRPr="00D71C6B">
        <w:rPr>
          <w:rFonts w:cs="Arial"/>
          <w:rtl/>
        </w:rPr>
        <w:t xml:space="preserve"> כתב</w:t>
      </w:r>
      <w:r w:rsidR="00483FAD">
        <w:rPr>
          <w:rStyle w:val="a7"/>
          <w:rFonts w:cs="Arial"/>
          <w:rtl/>
        </w:rPr>
        <w:footnoteReference w:id="1799"/>
      </w:r>
      <w:r w:rsidRPr="00D71C6B">
        <w:rPr>
          <w:rFonts w:cs="Arial"/>
          <w:rtl/>
        </w:rPr>
        <w:t xml:space="preserve"> לה נדר</w:t>
      </w:r>
      <w:r w:rsidR="00822106">
        <w:rPr>
          <w:rStyle w:val="a7"/>
          <w:rFonts w:cs="Arial"/>
          <w:rtl/>
        </w:rPr>
        <w:footnoteReference w:id="1800"/>
      </w:r>
      <w:r w:rsidRPr="00D71C6B">
        <w:rPr>
          <w:rFonts w:cs="Arial"/>
          <w:rtl/>
        </w:rPr>
        <w:t xml:space="preserve"> ושבועה אין לי עליך </w:t>
      </w:r>
      <w:r w:rsidR="00CA7BAD">
        <w:rPr>
          <w:rFonts w:cs="Arial" w:hint="cs"/>
          <w:rtl/>
        </w:rPr>
        <w:t xml:space="preserve">- </w:t>
      </w:r>
      <w:r w:rsidRPr="00D71C6B">
        <w:rPr>
          <w:rFonts w:cs="Arial"/>
          <w:rtl/>
        </w:rPr>
        <w:t>אינו יכול להשביעה שום שבועה</w:t>
      </w:r>
      <w:r w:rsidR="00CA7BAD">
        <w:rPr>
          <w:rFonts w:cs="Arial" w:hint="cs"/>
          <w:rtl/>
        </w:rPr>
        <w:t>,</w:t>
      </w:r>
      <w:r w:rsidRPr="00D71C6B">
        <w:rPr>
          <w:rFonts w:cs="Arial"/>
          <w:rtl/>
        </w:rPr>
        <w:t xml:space="preserve"> לא שבועת אפוטרופסת</w:t>
      </w:r>
      <w:r w:rsidR="00611D2D">
        <w:rPr>
          <w:rStyle w:val="a7"/>
          <w:rFonts w:cs="Arial"/>
          <w:rtl/>
        </w:rPr>
        <w:footnoteReference w:id="1801"/>
      </w:r>
      <w:r w:rsidRPr="00D71C6B">
        <w:rPr>
          <w:rFonts w:cs="Arial"/>
          <w:rtl/>
        </w:rPr>
        <w:t xml:space="preserve"> אם היתה נושאת ונותנת</w:t>
      </w:r>
      <w:r w:rsidR="00CA7BAD">
        <w:rPr>
          <w:rFonts w:cs="Arial" w:hint="cs"/>
          <w:rtl/>
        </w:rPr>
        <w:t>,</w:t>
      </w:r>
      <w:r w:rsidRPr="00D71C6B">
        <w:rPr>
          <w:rFonts w:cs="Arial"/>
          <w:rtl/>
        </w:rPr>
        <w:t xml:space="preserve"> ולא שבועת פוגמת</w:t>
      </w:r>
      <w:r w:rsidR="00CA7BAD">
        <w:rPr>
          <w:rFonts w:cs="Arial" w:hint="cs"/>
          <w:rtl/>
        </w:rPr>
        <w:t>.</w:t>
      </w:r>
      <w:r w:rsidRPr="00D71C6B">
        <w:rPr>
          <w:rFonts w:cs="Arial"/>
          <w:rtl/>
        </w:rPr>
        <w:t xml:space="preserve"> </w:t>
      </w:r>
      <w:r w:rsidR="00F73265" w:rsidRPr="008631A7">
        <w:rPr>
          <w:rFonts w:hint="cs"/>
          <w:color w:val="E36C0A" w:themeColor="accent6" w:themeShade="BF"/>
          <w:rtl/>
        </w:rPr>
        <w:t>(וכ"</w:t>
      </w:r>
      <w:r w:rsidR="00F73265">
        <w:rPr>
          <w:rFonts w:hint="cs"/>
          <w:color w:val="E36C0A" w:themeColor="accent6" w:themeShade="BF"/>
          <w:rtl/>
        </w:rPr>
        <w:t>פ</w:t>
      </w:r>
      <w:r w:rsidR="00F73265" w:rsidRPr="008631A7">
        <w:rPr>
          <w:rFonts w:hint="cs"/>
          <w:color w:val="E36C0A" w:themeColor="accent6" w:themeShade="BF"/>
          <w:rtl/>
        </w:rPr>
        <w:t xml:space="preserve"> בשו"ע)</w:t>
      </w:r>
    </w:p>
    <w:p w14:paraId="5713CCEA" w14:textId="2E1FC6B3" w:rsidR="00484132" w:rsidRPr="004E3051" w:rsidRDefault="00484132" w:rsidP="00484132">
      <w:pPr>
        <w:ind w:left="360"/>
        <w:rPr>
          <w:u w:val="dotted"/>
        </w:rPr>
      </w:pPr>
      <w:r w:rsidRPr="004E3051">
        <w:rPr>
          <w:rFonts w:hint="cs"/>
          <w:u w:val="dotted"/>
          <w:rtl/>
        </w:rPr>
        <w:t xml:space="preserve">ומה הדין אם עד אחד מעיד שהיא </w:t>
      </w:r>
      <w:r w:rsidR="004E3051" w:rsidRPr="004E3051">
        <w:rPr>
          <w:rFonts w:hint="cs"/>
          <w:u w:val="dotted"/>
          <w:rtl/>
        </w:rPr>
        <w:t>נפרעה כתובתה:</w:t>
      </w:r>
    </w:p>
    <w:p w14:paraId="3F03638E" w14:textId="2A1E67C7" w:rsidR="008B1E9D" w:rsidRPr="008B1E9D" w:rsidRDefault="008B1E9D" w:rsidP="00D71C6B">
      <w:pPr>
        <w:pStyle w:val="ab"/>
        <w:numPr>
          <w:ilvl w:val="0"/>
          <w:numId w:val="86"/>
        </w:numPr>
      </w:pPr>
      <w:r>
        <w:rPr>
          <w:rFonts w:cs="Arial" w:hint="cs"/>
          <w:rtl/>
        </w:rPr>
        <w:t xml:space="preserve">רא"ש </w:t>
      </w:r>
      <w:r>
        <w:rPr>
          <w:rFonts w:cs="Arial" w:hint="cs"/>
          <w:sz w:val="16"/>
          <w:szCs w:val="16"/>
          <w:rtl/>
        </w:rPr>
        <w:t>(</w:t>
      </w:r>
      <w:r w:rsidR="003152AF">
        <w:rPr>
          <w:rFonts w:cs="Arial" w:hint="cs"/>
          <w:sz w:val="16"/>
          <w:szCs w:val="16"/>
          <w:rtl/>
        </w:rPr>
        <w:t>סי' יח וסי' כח, ו</w:t>
      </w:r>
      <w:r>
        <w:rPr>
          <w:rFonts w:cs="Arial" w:hint="cs"/>
          <w:sz w:val="16"/>
          <w:szCs w:val="16"/>
          <w:rtl/>
        </w:rPr>
        <w:t>כ"כ הטור בשמו)</w:t>
      </w:r>
      <w:r>
        <w:rPr>
          <w:rFonts w:cs="Arial" w:hint="cs"/>
          <w:rtl/>
        </w:rPr>
        <w:t xml:space="preserve">- מועיל גם </w:t>
      </w:r>
      <w:r w:rsidR="00D71C6B" w:rsidRPr="00D71C6B">
        <w:rPr>
          <w:rFonts w:cs="Arial"/>
          <w:rtl/>
        </w:rPr>
        <w:t>לענין עד אחד מעידה שהיא פרועה</w:t>
      </w:r>
      <w:r>
        <w:rPr>
          <w:rFonts w:cs="Arial" w:hint="cs"/>
          <w:rtl/>
        </w:rPr>
        <w:t>.</w:t>
      </w:r>
      <w:r w:rsidR="00D71C6B" w:rsidRPr="00D71C6B">
        <w:rPr>
          <w:rFonts w:cs="Arial"/>
          <w:rtl/>
        </w:rPr>
        <w:t xml:space="preserve"> </w:t>
      </w:r>
    </w:p>
    <w:p w14:paraId="5783EB68" w14:textId="67D0F50A" w:rsidR="00717CA8" w:rsidRPr="007E28D5" w:rsidRDefault="00D71C6B" w:rsidP="003152AF">
      <w:pPr>
        <w:pStyle w:val="ab"/>
        <w:numPr>
          <w:ilvl w:val="0"/>
          <w:numId w:val="86"/>
        </w:numPr>
      </w:pPr>
      <w:r w:rsidRPr="00D71C6B">
        <w:rPr>
          <w:rFonts w:cs="Arial"/>
          <w:rtl/>
        </w:rPr>
        <w:t xml:space="preserve">ראב"ד </w:t>
      </w:r>
      <w:r w:rsidR="008B1E9D">
        <w:rPr>
          <w:rFonts w:cs="Arial" w:hint="cs"/>
          <w:sz w:val="16"/>
          <w:szCs w:val="16"/>
          <w:rtl/>
        </w:rPr>
        <w:t>(</w:t>
      </w:r>
      <w:r w:rsidR="003152AF" w:rsidRPr="003152AF">
        <w:rPr>
          <w:rFonts w:cs="Arial"/>
          <w:sz w:val="16"/>
          <w:szCs w:val="16"/>
          <w:rtl/>
        </w:rPr>
        <w:t>בהשגות על הרי"ף מו:</w:t>
      </w:r>
      <w:r w:rsidR="003152AF">
        <w:rPr>
          <w:rFonts w:cs="Arial" w:hint="cs"/>
          <w:sz w:val="16"/>
          <w:szCs w:val="16"/>
          <w:rtl/>
        </w:rPr>
        <w:t>, ו</w:t>
      </w:r>
      <w:r w:rsidR="008B1E9D">
        <w:rPr>
          <w:rFonts w:cs="Arial" w:hint="cs"/>
          <w:sz w:val="16"/>
          <w:szCs w:val="16"/>
          <w:rtl/>
        </w:rPr>
        <w:t>כ"כ הטור בשמו)</w:t>
      </w:r>
      <w:r w:rsidR="008B1E9D">
        <w:rPr>
          <w:rFonts w:cs="Arial" w:hint="cs"/>
          <w:rtl/>
        </w:rPr>
        <w:t xml:space="preserve">- </w:t>
      </w:r>
      <w:r w:rsidRPr="00D71C6B">
        <w:rPr>
          <w:rFonts w:cs="Arial"/>
          <w:rtl/>
        </w:rPr>
        <w:t>אינו מועיל הפטור</w:t>
      </w:r>
      <w:r w:rsidR="008B1E9D">
        <w:rPr>
          <w:rFonts w:cs="Arial" w:hint="cs"/>
          <w:rtl/>
        </w:rPr>
        <w:t>.</w:t>
      </w:r>
      <w:r w:rsidRPr="00D71C6B">
        <w:rPr>
          <w:rFonts w:cs="Arial"/>
          <w:rtl/>
        </w:rPr>
        <w:t xml:space="preserve"> </w:t>
      </w:r>
    </w:p>
    <w:p w14:paraId="1A96C515" w14:textId="7D5A7625" w:rsidR="007E28D5" w:rsidRPr="007E28D5" w:rsidRDefault="007E28D5" w:rsidP="007E28D5">
      <w:pPr>
        <w:ind w:left="360"/>
        <w:rPr>
          <w:u w:val="dotted"/>
        </w:rPr>
      </w:pPr>
      <w:r w:rsidRPr="007E28D5">
        <w:rPr>
          <w:rFonts w:hint="cs"/>
          <w:u w:val="dotted"/>
          <w:rtl/>
        </w:rPr>
        <w:t>ומה הדין אם נפרעת שלא בפניו:</w:t>
      </w:r>
    </w:p>
    <w:p w14:paraId="6F4FC034" w14:textId="426B7ADC" w:rsidR="007E28D5" w:rsidRPr="007E28D5" w:rsidRDefault="008A7A33" w:rsidP="00D71C6B">
      <w:pPr>
        <w:pStyle w:val="ab"/>
        <w:numPr>
          <w:ilvl w:val="0"/>
          <w:numId w:val="86"/>
        </w:numPr>
      </w:pPr>
      <w:r>
        <w:rPr>
          <w:rFonts w:cs="Arial" w:hint="cs"/>
          <w:rtl/>
        </w:rPr>
        <w:t xml:space="preserve">רא"ש </w:t>
      </w:r>
      <w:r>
        <w:rPr>
          <w:rFonts w:cs="Arial" w:hint="cs"/>
          <w:sz w:val="16"/>
          <w:szCs w:val="16"/>
          <w:rtl/>
        </w:rPr>
        <w:t>(כ"כ הטור בשמו)</w:t>
      </w:r>
      <w:r>
        <w:rPr>
          <w:rFonts w:cs="Arial" w:hint="cs"/>
          <w:rtl/>
        </w:rPr>
        <w:t xml:space="preserve"> וטור- </w:t>
      </w:r>
      <w:r w:rsidR="00D71C6B" w:rsidRPr="00D71C6B">
        <w:rPr>
          <w:rFonts w:cs="Arial"/>
          <w:rtl/>
        </w:rPr>
        <w:t>יש להסתפק אם יועיל</w:t>
      </w:r>
      <w:r w:rsidR="00822106">
        <w:rPr>
          <w:rFonts w:cs="Arial" w:hint="cs"/>
          <w:rtl/>
        </w:rPr>
        <w:t>,</w:t>
      </w:r>
      <w:r w:rsidR="00D71C6B" w:rsidRPr="00D71C6B">
        <w:rPr>
          <w:rFonts w:cs="Arial"/>
          <w:rtl/>
        </w:rPr>
        <w:t xml:space="preserve"> דלכאורה נראה שלא יועיל דכיון דנפרעת שלא בפניו מעיזה פניה</w:t>
      </w:r>
      <w:r w:rsidR="00822106">
        <w:rPr>
          <w:rFonts w:cs="Arial" w:hint="cs"/>
          <w:rtl/>
        </w:rPr>
        <w:t>,</w:t>
      </w:r>
      <w:r w:rsidR="00D71C6B" w:rsidRPr="00D71C6B">
        <w:rPr>
          <w:rFonts w:cs="Arial"/>
          <w:rtl/>
        </w:rPr>
        <w:t xml:space="preserve"> אמנם יראה שהפטור מועיל גם בזה</w:t>
      </w:r>
      <w:r>
        <w:rPr>
          <w:rFonts w:cs="Arial" w:hint="cs"/>
          <w:sz w:val="16"/>
          <w:szCs w:val="16"/>
          <w:rtl/>
        </w:rPr>
        <w:t xml:space="preserve"> (ל' הטור בשם הרא"ש)</w:t>
      </w:r>
      <w:r w:rsidR="00C47CFD">
        <w:rPr>
          <w:rFonts w:cs="Arial" w:hint="cs"/>
          <w:rtl/>
        </w:rPr>
        <w:t>.</w:t>
      </w:r>
    </w:p>
    <w:p w14:paraId="7B7C5584" w14:textId="5004CF56" w:rsidR="00C47CFD" w:rsidRPr="006A1D62" w:rsidRDefault="008A7A33" w:rsidP="007E28D5">
      <w:pPr>
        <w:ind w:left="360"/>
        <w:rPr>
          <w:u w:val="dotted"/>
        </w:rPr>
      </w:pPr>
      <w:r>
        <w:rPr>
          <w:rFonts w:cs="Arial" w:hint="cs"/>
          <w:u w:val="dotted"/>
          <w:rtl/>
        </w:rPr>
        <w:t>ומה דין יורשיה או הבאים ברשותה</w:t>
      </w:r>
      <w:r w:rsidR="00AC046B">
        <w:rPr>
          <w:rFonts w:cs="Arial" w:hint="cs"/>
          <w:u w:val="dotted"/>
          <w:rtl/>
        </w:rPr>
        <w:t xml:space="preserve"> - האם צריכה לישבע שלא פקדתנו</w:t>
      </w:r>
      <w:r>
        <w:rPr>
          <w:rFonts w:cs="Arial" w:hint="cs"/>
          <w:u w:val="dotted"/>
          <w:rtl/>
        </w:rPr>
        <w:t>:</w:t>
      </w:r>
      <w:r w:rsidR="00D71C6B" w:rsidRPr="006A1D62">
        <w:rPr>
          <w:rFonts w:cs="Arial"/>
          <w:u w:val="dotted"/>
          <w:rtl/>
        </w:rPr>
        <w:t xml:space="preserve"> </w:t>
      </w:r>
    </w:p>
    <w:p w14:paraId="62B71E40" w14:textId="30552376" w:rsidR="001F4529" w:rsidRDefault="006F059D" w:rsidP="00D71C6B">
      <w:pPr>
        <w:pStyle w:val="ab"/>
        <w:numPr>
          <w:ilvl w:val="0"/>
          <w:numId w:val="86"/>
        </w:numPr>
      </w:pPr>
      <w:r>
        <w:rPr>
          <w:rFonts w:cs="Arial" w:hint="cs"/>
          <w:rtl/>
        </w:rPr>
        <w:t xml:space="preserve">רא"ש </w:t>
      </w:r>
      <w:r>
        <w:rPr>
          <w:rFonts w:cs="Arial" w:hint="cs"/>
          <w:sz w:val="16"/>
          <w:szCs w:val="16"/>
          <w:rtl/>
        </w:rPr>
        <w:t xml:space="preserve">(סי' כח) </w:t>
      </w:r>
      <w:r>
        <w:rPr>
          <w:rFonts w:cs="Arial" w:hint="cs"/>
          <w:rtl/>
        </w:rPr>
        <w:t>ו</w:t>
      </w:r>
      <w:r w:rsidR="008A7A33">
        <w:rPr>
          <w:rFonts w:cs="Arial" w:hint="cs"/>
          <w:rtl/>
        </w:rPr>
        <w:t xml:space="preserve">טור- </w:t>
      </w:r>
      <w:r w:rsidR="00D71C6B" w:rsidRPr="00D71C6B">
        <w:rPr>
          <w:rFonts w:cs="Arial"/>
          <w:rtl/>
        </w:rPr>
        <w:t>אבל משביע את יורשיה</w:t>
      </w:r>
      <w:r w:rsidR="006A1D62">
        <w:rPr>
          <w:rFonts w:cs="Arial" w:hint="cs"/>
          <w:rtl/>
        </w:rPr>
        <w:t>,</w:t>
      </w:r>
      <w:r w:rsidR="00D71C6B" w:rsidRPr="00D71C6B">
        <w:rPr>
          <w:rFonts w:cs="Arial"/>
          <w:rtl/>
        </w:rPr>
        <w:t xml:space="preserve"> אם גירשה ומתה</w:t>
      </w:r>
      <w:r w:rsidR="006A1D62">
        <w:rPr>
          <w:rFonts w:cs="Arial" w:hint="cs"/>
          <w:rtl/>
        </w:rPr>
        <w:t>,</w:t>
      </w:r>
      <w:r w:rsidR="00D71C6B" w:rsidRPr="00D71C6B">
        <w:rPr>
          <w:rFonts w:cs="Arial"/>
          <w:rtl/>
        </w:rPr>
        <w:t xml:space="preserve"> יורשיה נשבעין שבועת יורשין שלא פקדתנו בשעת מיתה ולא אמרה לנו קודם לכן ששטר זה פרוע</w:t>
      </w:r>
      <w:r w:rsidR="006A1D62">
        <w:rPr>
          <w:rFonts w:cs="Arial" w:hint="cs"/>
          <w:rtl/>
        </w:rPr>
        <w:t>.</w:t>
      </w:r>
      <w:r w:rsidR="00D71C6B" w:rsidRPr="00D71C6B">
        <w:rPr>
          <w:rFonts w:cs="Arial"/>
          <w:rtl/>
        </w:rPr>
        <w:t xml:space="preserve"> ואת הבאים ברשותה</w:t>
      </w:r>
      <w:r w:rsidR="006A1D62">
        <w:rPr>
          <w:rFonts w:cs="Arial" w:hint="cs"/>
          <w:rtl/>
        </w:rPr>
        <w:t>,</w:t>
      </w:r>
      <w:r w:rsidR="00D71C6B" w:rsidRPr="00D71C6B">
        <w:rPr>
          <w:rFonts w:cs="Arial"/>
          <w:rtl/>
        </w:rPr>
        <w:t xml:space="preserve"> כגון אם מכרה כתובתה </w:t>
      </w:r>
      <w:r w:rsidR="00D71C6B" w:rsidRPr="00D71C6B">
        <w:rPr>
          <w:rFonts w:cs="Arial"/>
          <w:rtl/>
        </w:rPr>
        <w:lastRenderedPageBreak/>
        <w:t>לאחרים ונתגרשה ומתה והלקוחות תובעים כתובתה</w:t>
      </w:r>
      <w:r w:rsidR="00822106">
        <w:rPr>
          <w:rFonts w:cs="Arial" w:hint="cs"/>
          <w:rtl/>
        </w:rPr>
        <w:t>,</w:t>
      </w:r>
      <w:r w:rsidR="00D71C6B" w:rsidRPr="00D71C6B">
        <w:rPr>
          <w:rFonts w:cs="Arial"/>
          <w:rtl/>
        </w:rPr>
        <w:t xml:space="preserve"> נשבעים שבועה שלא פקדתנו</w:t>
      </w:r>
      <w:r w:rsidR="008A7A33">
        <w:rPr>
          <w:rFonts w:cs="Arial" w:hint="cs"/>
          <w:rtl/>
        </w:rPr>
        <w:t>.</w:t>
      </w:r>
      <w:r w:rsidR="00D71C6B" w:rsidRPr="00D71C6B">
        <w:rPr>
          <w:rFonts w:cs="Arial"/>
          <w:rtl/>
        </w:rPr>
        <w:t xml:space="preserve"> ודוקא שמתה</w:t>
      </w:r>
      <w:r w:rsidR="008A7A33">
        <w:rPr>
          <w:rFonts w:cs="Arial" w:hint="cs"/>
          <w:rtl/>
        </w:rPr>
        <w:t>,</w:t>
      </w:r>
      <w:r w:rsidR="00D71C6B" w:rsidRPr="00D71C6B">
        <w:rPr>
          <w:rFonts w:cs="Arial"/>
          <w:rtl/>
        </w:rPr>
        <w:t xml:space="preserve"> אבל אם היא עדיין קיימת לא יתנו ללקוחות כלום אא</w:t>
      </w:r>
      <w:r w:rsidR="008A7A33">
        <w:rPr>
          <w:rFonts w:cs="Arial" w:hint="cs"/>
          <w:rtl/>
        </w:rPr>
        <w:t>"</w:t>
      </w:r>
      <w:r w:rsidR="00D71C6B" w:rsidRPr="00D71C6B">
        <w:rPr>
          <w:rFonts w:cs="Arial"/>
          <w:rtl/>
        </w:rPr>
        <w:t>כ תשבע היא שלא נפרעה</w:t>
      </w:r>
      <w:r>
        <w:rPr>
          <w:rFonts w:cs="Arial" w:hint="cs"/>
          <w:sz w:val="16"/>
          <w:szCs w:val="16"/>
          <w:rtl/>
        </w:rPr>
        <w:t xml:space="preserve"> (ל' הטור)</w:t>
      </w:r>
      <w:r w:rsidR="001F4529">
        <w:rPr>
          <w:rFonts w:cs="Arial" w:hint="cs"/>
          <w:rtl/>
        </w:rPr>
        <w:t>.</w:t>
      </w:r>
      <w:r w:rsidR="00F73265" w:rsidRPr="00F73265">
        <w:rPr>
          <w:rFonts w:hint="cs"/>
          <w:color w:val="E36C0A" w:themeColor="accent6" w:themeShade="BF"/>
          <w:rtl/>
        </w:rPr>
        <w:t xml:space="preserve"> </w:t>
      </w:r>
      <w:r w:rsidR="00F73265" w:rsidRPr="008631A7">
        <w:rPr>
          <w:rFonts w:hint="cs"/>
          <w:color w:val="E36C0A" w:themeColor="accent6" w:themeShade="BF"/>
          <w:rtl/>
        </w:rPr>
        <w:t>(וכ"</w:t>
      </w:r>
      <w:r w:rsidR="00F73265">
        <w:rPr>
          <w:rFonts w:hint="cs"/>
          <w:color w:val="E36C0A" w:themeColor="accent6" w:themeShade="BF"/>
          <w:rtl/>
        </w:rPr>
        <w:t>פ</w:t>
      </w:r>
      <w:r w:rsidR="00F73265" w:rsidRPr="008631A7">
        <w:rPr>
          <w:rFonts w:hint="cs"/>
          <w:color w:val="E36C0A" w:themeColor="accent6" w:themeShade="BF"/>
          <w:rtl/>
        </w:rPr>
        <w:t xml:space="preserve"> בשו"ע)</w:t>
      </w:r>
    </w:p>
    <w:p w14:paraId="5003F1C0" w14:textId="7FD332E0" w:rsidR="00A16699" w:rsidRPr="00E75032" w:rsidRDefault="00E75032" w:rsidP="00A16699">
      <w:pPr>
        <w:rPr>
          <w:u w:val="single"/>
        </w:rPr>
      </w:pPr>
      <w:r w:rsidRPr="00E75032">
        <w:rPr>
          <w:rFonts w:hint="cs"/>
          <w:u w:val="single"/>
          <w:rtl/>
        </w:rPr>
        <w:t>מי</w:t>
      </w:r>
      <w:r>
        <w:rPr>
          <w:rFonts w:hint="cs"/>
          <w:u w:val="single"/>
          <w:rtl/>
        </w:rPr>
        <w:t xml:space="preserve"> </w:t>
      </w:r>
      <w:r w:rsidRPr="00E75032">
        <w:rPr>
          <w:rFonts w:hint="cs"/>
          <w:u w:val="single"/>
          <w:rtl/>
        </w:rPr>
        <w:t>שצי</w:t>
      </w:r>
      <w:r>
        <w:rPr>
          <w:rFonts w:hint="cs"/>
          <w:u w:val="single"/>
          <w:rtl/>
        </w:rPr>
        <w:t>ו</w:t>
      </w:r>
      <w:r w:rsidRPr="00E75032">
        <w:rPr>
          <w:rFonts w:hint="cs"/>
          <w:u w:val="single"/>
          <w:rtl/>
        </w:rPr>
        <w:t xml:space="preserve">וה/כתב בשעת מיתתו לפטור את אשתו משבועה </w:t>
      </w:r>
      <w:r>
        <w:rPr>
          <w:rFonts w:hint="cs"/>
          <w:u w:val="single"/>
          <w:rtl/>
        </w:rPr>
        <w:t>גם</w:t>
      </w:r>
      <w:r w:rsidRPr="00E75032">
        <w:rPr>
          <w:rFonts w:hint="cs"/>
          <w:u w:val="single"/>
          <w:rtl/>
        </w:rPr>
        <w:t xml:space="preserve"> להבא</w:t>
      </w:r>
      <w:r>
        <w:rPr>
          <w:rFonts w:hint="cs"/>
          <w:u w:val="single"/>
          <w:rtl/>
        </w:rPr>
        <w:t xml:space="preserve"> - האם יכולה לגבות מהיורשים בלא שבועה</w:t>
      </w:r>
      <w:r w:rsidRPr="00E75032">
        <w:rPr>
          <w:rFonts w:hint="cs"/>
          <w:u w:val="single"/>
          <w:rtl/>
        </w:rPr>
        <w:t>:</w:t>
      </w:r>
    </w:p>
    <w:p w14:paraId="750686E4" w14:textId="479730C8" w:rsidR="004654AB" w:rsidRPr="00312EEA" w:rsidRDefault="004654AB" w:rsidP="00312EEA">
      <w:pPr>
        <w:pStyle w:val="ab"/>
        <w:numPr>
          <w:ilvl w:val="0"/>
          <w:numId w:val="86"/>
        </w:numPr>
      </w:pPr>
      <w:r w:rsidRPr="00312EEA">
        <w:rPr>
          <w:rFonts w:cs="Arial"/>
          <w:rtl/>
        </w:rPr>
        <w:t xml:space="preserve">רב נטרונאי </w:t>
      </w:r>
      <w:r w:rsidRPr="00312EEA">
        <w:rPr>
          <w:rFonts w:cs="Arial"/>
          <w:sz w:val="16"/>
          <w:szCs w:val="16"/>
          <w:rtl/>
        </w:rPr>
        <w:t>(שו"ת שערי צדק ח"ד שער ד סי' י)</w:t>
      </w:r>
      <w:r w:rsidR="00B537DC" w:rsidRPr="00312EEA">
        <w:rPr>
          <w:rFonts w:cs="Arial" w:hint="cs"/>
          <w:rtl/>
        </w:rPr>
        <w:t xml:space="preserve"> ו</w:t>
      </w:r>
      <w:r w:rsidR="002A7EB9">
        <w:rPr>
          <w:rFonts w:cs="Arial" w:hint="cs"/>
          <w:rtl/>
        </w:rPr>
        <w:t xml:space="preserve">ספר המקצועות </w:t>
      </w:r>
      <w:r w:rsidR="00B537DC" w:rsidRPr="00312EEA">
        <w:rPr>
          <w:rFonts w:cs="Arial" w:hint="cs"/>
          <w:sz w:val="16"/>
          <w:szCs w:val="16"/>
          <w:rtl/>
        </w:rPr>
        <w:t>(</w:t>
      </w:r>
      <w:r w:rsidR="002A7EB9">
        <w:rPr>
          <w:rFonts w:cs="Arial" w:hint="cs"/>
          <w:sz w:val="16"/>
          <w:szCs w:val="16"/>
          <w:rtl/>
        </w:rPr>
        <w:t>כ"כ בשמו המרדכי [</w:t>
      </w:r>
      <w:r w:rsidR="00B537DC" w:rsidRPr="00312EEA">
        <w:rPr>
          <w:rFonts w:cs="Arial" w:hint="cs"/>
          <w:sz w:val="16"/>
          <w:szCs w:val="16"/>
          <w:rtl/>
        </w:rPr>
        <w:t>סי' רכה</w:t>
      </w:r>
      <w:r w:rsidR="002A7EB9">
        <w:rPr>
          <w:rFonts w:cs="Arial" w:hint="cs"/>
          <w:sz w:val="16"/>
          <w:szCs w:val="16"/>
          <w:rtl/>
        </w:rPr>
        <w:t>]</w:t>
      </w:r>
      <w:r w:rsidR="00B537DC" w:rsidRPr="00312EEA">
        <w:rPr>
          <w:rFonts w:cs="Arial" w:hint="cs"/>
          <w:sz w:val="16"/>
          <w:szCs w:val="16"/>
          <w:rtl/>
        </w:rPr>
        <w:t>)</w:t>
      </w:r>
      <w:r w:rsidR="005538BE" w:rsidRPr="00312EEA">
        <w:rPr>
          <w:rFonts w:cs="Arial" w:hint="cs"/>
          <w:rtl/>
        </w:rPr>
        <w:t xml:space="preserve">- </w:t>
      </w:r>
      <w:r w:rsidRPr="00312EEA">
        <w:rPr>
          <w:rFonts w:cs="Arial"/>
          <w:rtl/>
        </w:rPr>
        <w:t>הא דאמר אבא שאול בין אימא מרים אבל מה אעשה שהרי אמרו חכמים הבא ליפרע מנכסי יתומים לא יפרע אלא בשבועה</w:t>
      </w:r>
      <w:r w:rsidR="009C4D90" w:rsidRPr="00312EEA">
        <w:rPr>
          <w:rFonts w:cs="Arial" w:hint="cs"/>
          <w:rtl/>
        </w:rPr>
        <w:t>,</w:t>
      </w:r>
      <w:r w:rsidRPr="00312EEA">
        <w:rPr>
          <w:rFonts w:cs="Arial"/>
          <w:rtl/>
        </w:rPr>
        <w:t xml:space="preserve"> הני מילי דכתב לה בשעת קידושין דלא מהני תנאיה אלא לנפשיה</w:t>
      </w:r>
      <w:r w:rsidR="009C4D90" w:rsidRPr="00312EEA">
        <w:rPr>
          <w:rFonts w:cs="Arial" w:hint="cs"/>
          <w:rtl/>
        </w:rPr>
        <w:t>,</w:t>
      </w:r>
      <w:r w:rsidRPr="00312EEA">
        <w:rPr>
          <w:rFonts w:cs="Arial"/>
          <w:rtl/>
        </w:rPr>
        <w:t xml:space="preserve"> אבל פטרה בשעת מיתתו ואמר תנו לה כתובה ואל תשביעו אותה </w:t>
      </w:r>
      <w:r w:rsidR="00FC083B" w:rsidRPr="00312EEA">
        <w:rPr>
          <w:rFonts w:cs="Arial" w:hint="cs"/>
          <w:rtl/>
        </w:rPr>
        <w:t xml:space="preserve">- </w:t>
      </w:r>
      <w:r w:rsidRPr="00312EEA">
        <w:rPr>
          <w:rFonts w:cs="Arial"/>
          <w:rtl/>
        </w:rPr>
        <w:t>דבריו קיימים ונוטלת שלא בשבועה בין לשעבר ובין לעתיד לבא ואע</w:t>
      </w:r>
      <w:r w:rsidR="00110E63" w:rsidRPr="00312EEA">
        <w:rPr>
          <w:rFonts w:cs="Arial" w:hint="cs"/>
          <w:rtl/>
        </w:rPr>
        <w:t>"</w:t>
      </w:r>
      <w:r w:rsidRPr="00312EEA">
        <w:rPr>
          <w:rFonts w:cs="Arial"/>
          <w:rtl/>
        </w:rPr>
        <w:t>פ שהיא בבית בעלה</w:t>
      </w:r>
      <w:r w:rsidR="009C4D90" w:rsidRPr="00312EEA">
        <w:rPr>
          <w:rFonts w:cs="Arial" w:hint="cs"/>
          <w:rtl/>
        </w:rPr>
        <w:t>,</w:t>
      </w:r>
      <w:r w:rsidRPr="00312EEA">
        <w:rPr>
          <w:rFonts w:cs="Arial"/>
          <w:rtl/>
        </w:rPr>
        <w:t xml:space="preserve"> דכיון דקא מפקיד בשעת מיתה כמקבלת מתנה דמיא</w:t>
      </w:r>
      <w:r w:rsidR="009C4D90" w:rsidRPr="00312EEA">
        <w:rPr>
          <w:rFonts w:cs="Arial" w:hint="cs"/>
          <w:rtl/>
        </w:rPr>
        <w:t>.</w:t>
      </w:r>
      <w:r w:rsidRPr="00312EEA">
        <w:rPr>
          <w:rFonts w:cs="Arial"/>
          <w:rtl/>
        </w:rPr>
        <w:t xml:space="preserve"> אבל אם ראו אותה שמפסד</w:t>
      </w:r>
      <w:r w:rsidR="005538BE" w:rsidRPr="00312EEA">
        <w:rPr>
          <w:rFonts w:cs="Arial" w:hint="cs"/>
          <w:rtl/>
        </w:rPr>
        <w:t>ת</w:t>
      </w:r>
      <w:r w:rsidRPr="00312EEA">
        <w:rPr>
          <w:rFonts w:cs="Arial"/>
          <w:rtl/>
        </w:rPr>
        <w:t xml:space="preserve"> במה שהניח בעלה בדבר גניבה בדבר ברור</w:t>
      </w:r>
      <w:r w:rsidR="009C4D90" w:rsidRPr="00312EEA">
        <w:rPr>
          <w:rFonts w:cs="Arial" w:hint="cs"/>
          <w:rtl/>
        </w:rPr>
        <w:t xml:space="preserve"> -</w:t>
      </w:r>
      <w:r w:rsidRPr="00312EEA">
        <w:rPr>
          <w:rFonts w:cs="Arial"/>
          <w:rtl/>
        </w:rPr>
        <w:t xml:space="preserve"> תשבע להבא</w:t>
      </w:r>
      <w:r w:rsidR="002A7EB9">
        <w:rPr>
          <w:rFonts w:cs="Arial" w:hint="cs"/>
          <w:sz w:val="16"/>
          <w:szCs w:val="16"/>
          <w:rtl/>
        </w:rPr>
        <w:t xml:space="preserve"> (ל' </w:t>
      </w:r>
      <w:r w:rsidR="00D66A72">
        <w:rPr>
          <w:rFonts w:cs="Arial" w:hint="cs"/>
          <w:sz w:val="16"/>
          <w:szCs w:val="16"/>
          <w:rtl/>
        </w:rPr>
        <w:t>הב"י בשם רב נטרונאי)</w:t>
      </w:r>
      <w:r w:rsidR="005538BE" w:rsidRPr="00312EEA">
        <w:rPr>
          <w:rFonts w:cs="Arial" w:hint="cs"/>
          <w:rtl/>
        </w:rPr>
        <w:t>.</w:t>
      </w:r>
      <w:r w:rsidR="00D443BB">
        <w:rPr>
          <w:rFonts w:hint="cs"/>
          <w:rtl/>
        </w:rPr>
        <w:t xml:space="preserve"> </w:t>
      </w:r>
      <w:r w:rsidR="00D443BB" w:rsidRPr="00D443BB">
        <w:rPr>
          <w:rFonts w:hint="cs"/>
          <w:color w:val="00B0F0"/>
          <w:rtl/>
        </w:rPr>
        <w:t>(וכ"פ הרמ"א)</w:t>
      </w:r>
    </w:p>
    <w:p w14:paraId="39CCE033" w14:textId="1FCF83AB" w:rsidR="00312EEA" w:rsidRDefault="00D66A72" w:rsidP="00312EEA">
      <w:pPr>
        <w:pStyle w:val="ab"/>
        <w:numPr>
          <w:ilvl w:val="0"/>
          <w:numId w:val="86"/>
        </w:numPr>
        <w:rPr>
          <w:rtl/>
        </w:rPr>
      </w:pPr>
      <w:r>
        <w:rPr>
          <w:rFonts w:cs="Arial" w:hint="cs"/>
          <w:rtl/>
        </w:rPr>
        <w:t xml:space="preserve">רי"ף </w:t>
      </w:r>
      <w:r w:rsidRPr="00A16699">
        <w:rPr>
          <w:rFonts w:cs="Arial" w:hint="cs"/>
          <w:sz w:val="16"/>
          <w:szCs w:val="16"/>
          <w:rtl/>
        </w:rPr>
        <w:t>(</w:t>
      </w:r>
      <w:r w:rsidR="00312EEA" w:rsidRPr="00A16699">
        <w:rPr>
          <w:rFonts w:cs="Arial"/>
          <w:sz w:val="16"/>
          <w:szCs w:val="16"/>
          <w:rtl/>
        </w:rPr>
        <w:t>בשערים לרי"ף שער ט"ז אופן עשירי</w:t>
      </w:r>
      <w:r w:rsidRPr="00A16699">
        <w:rPr>
          <w:rFonts w:cs="Arial" w:hint="cs"/>
          <w:sz w:val="16"/>
          <w:szCs w:val="16"/>
          <w:rtl/>
        </w:rPr>
        <w:t>)</w:t>
      </w:r>
      <w:r>
        <w:rPr>
          <w:rFonts w:cs="Arial" w:hint="cs"/>
          <w:rtl/>
        </w:rPr>
        <w:t>-</w:t>
      </w:r>
      <w:r w:rsidR="00312EEA" w:rsidRPr="00312EEA">
        <w:rPr>
          <w:rFonts w:cs="Arial"/>
          <w:rtl/>
        </w:rPr>
        <w:t xml:space="preserve"> </w:t>
      </w:r>
      <w:r>
        <w:rPr>
          <w:rFonts w:cs="Arial" w:hint="cs"/>
          <w:rtl/>
        </w:rPr>
        <w:t>אע"פ</w:t>
      </w:r>
      <w:r w:rsidR="00312EEA" w:rsidRPr="00312EEA">
        <w:rPr>
          <w:rFonts w:cs="Arial"/>
          <w:rtl/>
        </w:rPr>
        <w:t xml:space="preserve"> שכתב לה הבעל שטר נאמנות ממנו ומיורשיו </w:t>
      </w:r>
      <w:r>
        <w:rPr>
          <w:rFonts w:cs="Arial" w:hint="cs"/>
          <w:rtl/>
        </w:rPr>
        <w:t xml:space="preserve">- </w:t>
      </w:r>
      <w:r w:rsidR="00312EEA" w:rsidRPr="00312EEA">
        <w:rPr>
          <w:rFonts w:cs="Arial"/>
          <w:rtl/>
        </w:rPr>
        <w:t>לא הועיל כלום להוציא כתובתה מן היורשין בלא שבועה</w:t>
      </w:r>
      <w:r>
        <w:rPr>
          <w:rFonts w:cs="Arial" w:hint="cs"/>
          <w:rtl/>
        </w:rPr>
        <w:t>,</w:t>
      </w:r>
      <w:r w:rsidR="00312EEA" w:rsidRPr="00312EEA">
        <w:rPr>
          <w:rFonts w:cs="Arial"/>
          <w:rtl/>
        </w:rPr>
        <w:t xml:space="preserve"> אא"כ כתוב נאמנות ג"כ לכתובה בפי</w:t>
      </w:r>
      <w:r w:rsidR="006D661B">
        <w:rPr>
          <w:rFonts w:cs="Arial" w:hint="cs"/>
          <w:rtl/>
        </w:rPr>
        <w:t>רוש</w:t>
      </w:r>
      <w:r>
        <w:rPr>
          <w:rFonts w:cs="Arial" w:hint="cs"/>
          <w:rtl/>
        </w:rPr>
        <w:t>,</w:t>
      </w:r>
      <w:r w:rsidR="00312EEA" w:rsidRPr="00312EEA">
        <w:rPr>
          <w:rFonts w:cs="Arial"/>
          <w:rtl/>
        </w:rPr>
        <w:t xml:space="preserve"> דיד בעל השטר על התחתונה</w:t>
      </w:r>
      <w:r w:rsidR="00A16699">
        <w:rPr>
          <w:rStyle w:val="a7"/>
          <w:rtl/>
        </w:rPr>
        <w:footnoteReference w:id="1802"/>
      </w:r>
      <w:r>
        <w:rPr>
          <w:rFonts w:cs="Arial" w:hint="cs"/>
          <w:rtl/>
        </w:rPr>
        <w:t>.</w:t>
      </w:r>
    </w:p>
    <w:p w14:paraId="60B42040" w14:textId="446EC3FD" w:rsidR="00BE6351" w:rsidRPr="005E32AA" w:rsidRDefault="00611D2D" w:rsidP="001F4D9D">
      <w:pPr>
        <w:rPr>
          <w:rFonts w:cs="Arial"/>
          <w:u w:val="single"/>
          <w:rtl/>
        </w:rPr>
      </w:pPr>
      <w:r>
        <w:rPr>
          <w:rFonts w:cs="Arial" w:hint="cs"/>
          <w:u w:val="single"/>
          <w:rtl/>
        </w:rPr>
        <w:t>בעל שפטר את אשתו משבועה</w:t>
      </w:r>
      <w:r w:rsidR="00BE6351" w:rsidRPr="005E32AA">
        <w:rPr>
          <w:rFonts w:cs="Arial"/>
          <w:u w:val="single"/>
          <w:rtl/>
        </w:rPr>
        <w:t xml:space="preserve"> והאמין אותה על הבאים מכחו בכל מה שתאמר</w:t>
      </w:r>
      <w:r>
        <w:rPr>
          <w:rFonts w:cs="Arial" w:hint="cs"/>
          <w:u w:val="single"/>
          <w:rtl/>
        </w:rPr>
        <w:t>, ומת,</w:t>
      </w:r>
      <w:r w:rsidR="00BE6351" w:rsidRPr="005E32AA">
        <w:rPr>
          <w:rFonts w:cs="Arial" w:hint="cs"/>
          <w:u w:val="single"/>
          <w:rtl/>
        </w:rPr>
        <w:t xml:space="preserve"> והחזירה שט"ח ל</w:t>
      </w:r>
      <w:r w:rsidR="005E32AA" w:rsidRPr="005E32AA">
        <w:rPr>
          <w:rFonts w:cs="Arial" w:hint="cs"/>
          <w:u w:val="single"/>
          <w:rtl/>
        </w:rPr>
        <w:t>בע"ח:</w:t>
      </w:r>
    </w:p>
    <w:p w14:paraId="5EF6AEF8" w14:textId="31DA7DC1" w:rsidR="001F4529" w:rsidRPr="0047064C" w:rsidRDefault="001F4529" w:rsidP="005E32AA">
      <w:pPr>
        <w:pStyle w:val="ab"/>
        <w:numPr>
          <w:ilvl w:val="0"/>
          <w:numId w:val="88"/>
        </w:numPr>
        <w:rPr>
          <w:rtl/>
        </w:rPr>
      </w:pPr>
      <w:r w:rsidRPr="005E32AA">
        <w:rPr>
          <w:rFonts w:cs="Arial"/>
          <w:rtl/>
        </w:rPr>
        <w:t xml:space="preserve">רא"ש </w:t>
      </w:r>
      <w:r w:rsidR="005538BE" w:rsidRPr="005E32AA">
        <w:rPr>
          <w:rFonts w:cs="Arial" w:hint="cs"/>
          <w:sz w:val="16"/>
          <w:szCs w:val="16"/>
          <w:rtl/>
        </w:rPr>
        <w:t>(</w:t>
      </w:r>
      <w:r w:rsidRPr="005E32AA">
        <w:rPr>
          <w:rFonts w:cs="Arial"/>
          <w:sz w:val="16"/>
          <w:szCs w:val="16"/>
          <w:rtl/>
        </w:rPr>
        <w:t>כלל נ סי</w:t>
      </w:r>
      <w:r w:rsidR="005538BE" w:rsidRPr="005E32AA">
        <w:rPr>
          <w:rFonts w:cs="Arial" w:hint="cs"/>
          <w:sz w:val="16"/>
          <w:szCs w:val="16"/>
          <w:rtl/>
        </w:rPr>
        <w:t>'</w:t>
      </w:r>
      <w:r w:rsidRPr="005E32AA">
        <w:rPr>
          <w:rFonts w:cs="Arial"/>
          <w:sz w:val="16"/>
          <w:szCs w:val="16"/>
          <w:rtl/>
        </w:rPr>
        <w:t xml:space="preserve"> ז</w:t>
      </w:r>
      <w:r w:rsidR="005538BE" w:rsidRPr="005E32AA">
        <w:rPr>
          <w:rFonts w:cs="Arial" w:hint="cs"/>
          <w:sz w:val="16"/>
          <w:szCs w:val="16"/>
          <w:rtl/>
        </w:rPr>
        <w:t>)</w:t>
      </w:r>
      <w:r w:rsidR="005538BE" w:rsidRPr="005E32AA">
        <w:rPr>
          <w:rFonts w:cs="Arial" w:hint="cs"/>
          <w:rtl/>
        </w:rPr>
        <w:t>-</w:t>
      </w:r>
      <w:r w:rsidRPr="005E32AA">
        <w:rPr>
          <w:rFonts w:cs="Arial"/>
          <w:rtl/>
        </w:rPr>
        <w:t xml:space="preserve"> אלמנה שצוה בעלה שתטול כתובתה ופטרה משבועה והאמין אותה על הבאים מכחו בכל מה שתאמר נאמנות גמורה</w:t>
      </w:r>
      <w:r w:rsidR="00231A63" w:rsidRPr="005E32AA">
        <w:rPr>
          <w:rFonts w:cs="Arial" w:hint="cs"/>
          <w:rtl/>
        </w:rPr>
        <w:t>,</w:t>
      </w:r>
      <w:r w:rsidRPr="005E32AA">
        <w:rPr>
          <w:rFonts w:cs="Arial"/>
          <w:rtl/>
        </w:rPr>
        <w:t xml:space="preserve"> ואחר מות בעלה קרעה שטרי חובות שהיו לבעלה על אחרים והחזירתם להם קרועים ואמרה שכך צוה לה בעלה ושהוא האמינה בכל מה שתאמר</w:t>
      </w:r>
      <w:r w:rsidR="009E58C4" w:rsidRPr="005E32AA">
        <w:rPr>
          <w:rFonts w:cs="Arial" w:hint="cs"/>
          <w:rtl/>
        </w:rPr>
        <w:t>.</w:t>
      </w:r>
      <w:r w:rsidR="006F4A8E" w:rsidRPr="005E32AA">
        <w:rPr>
          <w:rFonts w:cs="Arial" w:hint="cs"/>
          <w:rtl/>
        </w:rPr>
        <w:t xml:space="preserve">    </w:t>
      </w:r>
      <w:r w:rsidRPr="005E32AA">
        <w:rPr>
          <w:rFonts w:cs="Arial"/>
          <w:rtl/>
        </w:rPr>
        <w:t xml:space="preserve"> </w:t>
      </w:r>
      <w:r w:rsidR="006F4A8E" w:rsidRPr="005E32AA">
        <w:rPr>
          <w:rFonts w:cs="Arial" w:hint="cs"/>
          <w:rtl/>
        </w:rPr>
        <w:t xml:space="preserve">תשובה: </w:t>
      </w:r>
      <w:r w:rsidRPr="005E32AA">
        <w:rPr>
          <w:rFonts w:cs="Arial"/>
          <w:rtl/>
        </w:rPr>
        <w:t>יש להחרים אם שום אדם יודע שהשטרות היו קיימים אחר מות אביהם אז לא מהימנא לומר בעלי צוני להחזירם לבעליהם קרועים</w:t>
      </w:r>
      <w:r w:rsidR="006F4A8E" w:rsidRPr="005E32AA">
        <w:rPr>
          <w:rFonts w:cs="Arial" w:hint="cs"/>
          <w:rtl/>
        </w:rPr>
        <w:t>,</w:t>
      </w:r>
      <w:r w:rsidRPr="005E32AA">
        <w:rPr>
          <w:rFonts w:cs="Arial"/>
          <w:rtl/>
        </w:rPr>
        <w:t xml:space="preserve"> דמכח נאמנות שהאמינה בעלה לא מהימנא</w:t>
      </w:r>
      <w:r w:rsidR="006F4A8E" w:rsidRPr="005E32AA">
        <w:rPr>
          <w:rFonts w:cs="Arial" w:hint="cs"/>
          <w:rtl/>
        </w:rPr>
        <w:t>.</w:t>
      </w:r>
      <w:r w:rsidRPr="005E32AA">
        <w:rPr>
          <w:rFonts w:cs="Arial"/>
          <w:rtl/>
        </w:rPr>
        <w:t xml:space="preserve"> שמה שכתוב בצוואתו </w:t>
      </w:r>
      <w:r w:rsidR="00C27165" w:rsidRPr="005E32AA">
        <w:rPr>
          <w:rFonts w:cs="Arial" w:hint="cs"/>
          <w:rtl/>
        </w:rPr>
        <w:t>"</w:t>
      </w:r>
      <w:r w:rsidRPr="005E32AA">
        <w:rPr>
          <w:rFonts w:cs="Arial"/>
          <w:rtl/>
        </w:rPr>
        <w:t>והאמין אותה על כל הבאים מכחו מכל מה שתאמר</w:t>
      </w:r>
      <w:r w:rsidR="00C27165" w:rsidRPr="005E32AA">
        <w:rPr>
          <w:rFonts w:cs="Arial" w:hint="cs"/>
          <w:rtl/>
        </w:rPr>
        <w:t>"</w:t>
      </w:r>
      <w:r w:rsidRPr="005E32AA">
        <w:rPr>
          <w:rFonts w:cs="Arial"/>
          <w:rtl/>
        </w:rPr>
        <w:t xml:space="preserve"> לא קאי אלא אמאי דכתיב לעיל ופטר אותה משבועה</w:t>
      </w:r>
      <w:r w:rsidR="00C27165" w:rsidRPr="005E32AA">
        <w:rPr>
          <w:rFonts w:cs="Arial" w:hint="cs"/>
          <w:rtl/>
        </w:rPr>
        <w:t>,</w:t>
      </w:r>
      <w:r w:rsidRPr="005E32AA">
        <w:rPr>
          <w:rFonts w:cs="Arial"/>
          <w:rtl/>
        </w:rPr>
        <w:t xml:space="preserve"> אבל לא האמינה על כל נכסיו לומר של פלוני ופלוני הם</w:t>
      </w:r>
      <w:r w:rsidR="00D55335" w:rsidRPr="005E32AA">
        <w:rPr>
          <w:rFonts w:cs="Arial" w:hint="cs"/>
          <w:rtl/>
        </w:rPr>
        <w:t>.</w:t>
      </w:r>
      <w:r w:rsidRPr="005E32AA">
        <w:rPr>
          <w:rFonts w:cs="Arial"/>
          <w:rtl/>
        </w:rPr>
        <w:t xml:space="preserve"> וגם אינה נאמנת לומר פרועים הם במגו דאי בעיא קלתינהו</w:t>
      </w:r>
      <w:r w:rsidR="00D55335" w:rsidRPr="005E32AA">
        <w:rPr>
          <w:rFonts w:cs="Arial" w:hint="cs"/>
          <w:rtl/>
        </w:rPr>
        <w:t>,</w:t>
      </w:r>
      <w:r w:rsidRPr="005E32AA">
        <w:rPr>
          <w:rFonts w:cs="Arial"/>
          <w:rtl/>
        </w:rPr>
        <w:t xml:space="preserve"> שהרי לא הופקדו בידה כההיא דפרק זה בורר (סנהדרין לא.)</w:t>
      </w:r>
      <w:r w:rsidR="00D55335" w:rsidRPr="005E32AA">
        <w:rPr>
          <w:rFonts w:cs="Arial" w:hint="cs"/>
          <w:rtl/>
        </w:rPr>
        <w:t>,</w:t>
      </w:r>
      <w:r w:rsidRPr="005E32AA">
        <w:rPr>
          <w:rFonts w:cs="Arial"/>
          <w:rtl/>
        </w:rPr>
        <w:t xml:space="preserve"> אלא ברשות היורשים היו אחרי מות אביהם</w:t>
      </w:r>
      <w:r w:rsidR="00D55335" w:rsidRPr="005E32AA">
        <w:rPr>
          <w:rFonts w:cs="Arial" w:hint="cs"/>
          <w:rtl/>
        </w:rPr>
        <w:t>,</w:t>
      </w:r>
      <w:r w:rsidRPr="005E32AA">
        <w:rPr>
          <w:rFonts w:cs="Arial"/>
          <w:rtl/>
        </w:rPr>
        <w:t xml:space="preserve"> והיא נכנסה לרשותם ולקחה שטרות וקרעתן וחייבת לשלם דמיהם כפי שומת הדיינין שישומו ערך השטרות כמה היו שוים לימכר</w:t>
      </w:r>
      <w:r w:rsidR="00D55335" w:rsidRPr="005E32AA">
        <w:rPr>
          <w:rFonts w:cs="Arial" w:hint="cs"/>
          <w:rtl/>
        </w:rPr>
        <w:t>.</w:t>
      </w:r>
      <w:r w:rsidRPr="005E32AA">
        <w:rPr>
          <w:rFonts w:cs="Arial"/>
          <w:rtl/>
        </w:rPr>
        <w:t xml:space="preserve"> ואפילו אין עדים שראו השטרות אחרי מות אביהם </w:t>
      </w:r>
      <w:r w:rsidR="00D55335" w:rsidRPr="005E32AA">
        <w:rPr>
          <w:rFonts w:cs="Arial" w:hint="cs"/>
          <w:rtl/>
        </w:rPr>
        <w:t xml:space="preserve">- </w:t>
      </w:r>
      <w:r w:rsidRPr="005E32AA">
        <w:rPr>
          <w:rFonts w:cs="Arial"/>
          <w:rtl/>
        </w:rPr>
        <w:t>חייבת לפרוע</w:t>
      </w:r>
      <w:r w:rsidR="00D55335" w:rsidRPr="005E32AA">
        <w:rPr>
          <w:rFonts w:cs="Arial" w:hint="cs"/>
          <w:rtl/>
        </w:rPr>
        <w:t>,</w:t>
      </w:r>
      <w:r w:rsidRPr="005E32AA">
        <w:rPr>
          <w:rFonts w:cs="Arial"/>
          <w:rtl/>
        </w:rPr>
        <w:t xml:space="preserve"> דאין כאן מגו לפטרה כיון שהיא מודה שהחזירה להם חייבת לשלם</w:t>
      </w:r>
      <w:r>
        <w:rPr>
          <w:rStyle w:val="a7"/>
          <w:rtl/>
        </w:rPr>
        <w:footnoteReference w:id="1803"/>
      </w:r>
      <w:r w:rsidR="006E2446" w:rsidRPr="005E32AA">
        <w:rPr>
          <w:rFonts w:cs="Arial" w:hint="cs"/>
          <w:rtl/>
        </w:rPr>
        <w:t>.</w:t>
      </w:r>
      <w:r w:rsidR="008721CD">
        <w:rPr>
          <w:rFonts w:cs="Arial" w:hint="cs"/>
          <w:rtl/>
        </w:rPr>
        <w:t xml:space="preserve"> </w:t>
      </w:r>
      <w:r w:rsidR="008721CD" w:rsidRPr="00D443BB">
        <w:rPr>
          <w:rFonts w:hint="cs"/>
          <w:color w:val="00B0F0"/>
          <w:rtl/>
        </w:rPr>
        <w:t>(וכ"פ הרמ"א)</w:t>
      </w:r>
    </w:p>
    <w:p w14:paraId="70DFBA86"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85504A8" w14:textId="53600129" w:rsidR="00392DBB" w:rsidRDefault="00392DBB" w:rsidP="00392DBB">
      <w:pPr>
        <w:rPr>
          <w:rFonts w:cs="Arial"/>
          <w:rtl/>
        </w:rPr>
      </w:pPr>
      <w:r>
        <w:rPr>
          <w:rFonts w:cs="Arial"/>
          <w:rtl/>
        </w:rPr>
        <w:t>אם פטרה הבעל משבועה, גובה כתובתה בלא שבועה. וכפי לשון הפיטור היא נפטרת. כיצד, כתב: נדר ושבועה אין לי עליך, אינו יכול להשביעה שום שבועה</w:t>
      </w:r>
      <w:r w:rsidR="00F73265">
        <w:rPr>
          <w:rFonts w:cs="Arial" w:hint="cs"/>
          <w:rtl/>
        </w:rPr>
        <w:t>.</w:t>
      </w:r>
      <w:r>
        <w:rPr>
          <w:rFonts w:cs="Arial"/>
          <w:rtl/>
        </w:rPr>
        <w:t xml:space="preserve"> אבל משביע את יורשיה, אם גירשה ומתה יורשיה נשבעים שבועת היורשים, ואת הבאים ברשותה, כגון אם מכרה כתובתה לאחרים ונתגרשה ומתה, והלקוחות תובעים כתובתה, נשבעים: שלא פקדתנו. ואם היא עדיין קיימת, לא יגבו הלקוחות אלא אם כן תשבע היא שלא נפרעה. </w:t>
      </w:r>
      <w:r w:rsidRPr="0016235F">
        <w:rPr>
          <w:rFonts w:cs="Arial"/>
          <w:sz w:val="18"/>
          <w:szCs w:val="18"/>
          <w:rtl/>
        </w:rPr>
        <w:t>הגה: וע"ל סימן ק"ה. פטר אשתו בשעת מיתתו מן השבועה, נוטלת כתובתה בלא שבועה. אבל אם ראו אותה אחר כך שמפסידה הנכסים, צריכה לישבע (</w:t>
      </w:r>
      <w:r w:rsidR="00D443BB">
        <w:rPr>
          <w:rFonts w:cs="Arial" w:hint="cs"/>
          <w:sz w:val="18"/>
          <w:szCs w:val="18"/>
          <w:rtl/>
        </w:rPr>
        <w:t>רב נטרונאי</w:t>
      </w:r>
      <w:r w:rsidRPr="0016235F">
        <w:rPr>
          <w:rFonts w:cs="Arial"/>
          <w:sz w:val="18"/>
          <w:szCs w:val="18"/>
          <w:rtl/>
        </w:rPr>
        <w:t>). ואם יש עדים שהפסידה או נתנה לאחרים, או שהיא מודה, צריכה לשלם ואינה נאמנת לומר שבעלה צוה לה כך (רא"ש). אבל אם עשאה נאמן בפירוש על כל דבר כשני עדים, נאמנת (</w:t>
      </w:r>
      <w:r w:rsidR="00D443BB">
        <w:rPr>
          <w:rFonts w:cs="Arial" w:hint="cs"/>
          <w:sz w:val="18"/>
          <w:szCs w:val="18"/>
          <w:rtl/>
        </w:rPr>
        <w:t>ד"ע</w:t>
      </w:r>
      <w:r w:rsidRPr="0016235F">
        <w:rPr>
          <w:rFonts w:cs="Arial"/>
          <w:sz w:val="18"/>
          <w:szCs w:val="18"/>
          <w:rtl/>
        </w:rPr>
        <w:t>).</w:t>
      </w:r>
      <w:r>
        <w:rPr>
          <w:rFonts w:cs="Arial"/>
          <w:rtl/>
        </w:rPr>
        <w:t xml:space="preserve"> </w:t>
      </w:r>
    </w:p>
    <w:p w14:paraId="570A5185" w14:textId="77777777" w:rsidR="0016235F" w:rsidRDefault="0016235F" w:rsidP="00392DBB">
      <w:pPr>
        <w:rPr>
          <w:rtl/>
        </w:rPr>
      </w:pPr>
    </w:p>
    <w:p w14:paraId="70A0A9EC" w14:textId="2E9CC03B" w:rsidR="00392DBB" w:rsidRDefault="00392DBB" w:rsidP="000F64D0">
      <w:pPr>
        <w:pStyle w:val="2"/>
        <w:rPr>
          <w:rtl/>
        </w:rPr>
      </w:pPr>
      <w:r>
        <w:rPr>
          <w:rtl/>
        </w:rPr>
        <w:t>סעיף ב</w:t>
      </w:r>
      <w:r w:rsidR="009B5AC2">
        <w:rPr>
          <w:rFonts w:hint="cs"/>
          <w:rtl/>
        </w:rPr>
        <w:t>:</w:t>
      </w:r>
      <w:r w:rsidR="007357CB">
        <w:rPr>
          <w:rFonts w:hint="cs"/>
          <w:rtl/>
        </w:rPr>
        <w:t xml:space="preserve"> </w:t>
      </w:r>
      <w:r w:rsidR="00F2678E">
        <w:rPr>
          <w:rFonts w:hint="cs"/>
          <w:rtl/>
        </w:rPr>
        <w:t xml:space="preserve">עוד </w:t>
      </w:r>
      <w:r w:rsidR="007357CB">
        <w:rPr>
          <w:rFonts w:hint="cs"/>
          <w:rtl/>
        </w:rPr>
        <w:t>שבוע</w:t>
      </w:r>
      <w:r w:rsidR="00F2678E">
        <w:rPr>
          <w:rFonts w:hint="cs"/>
          <w:rtl/>
        </w:rPr>
        <w:t>ו</w:t>
      </w:r>
      <w:r w:rsidR="007357CB">
        <w:rPr>
          <w:rFonts w:hint="cs"/>
          <w:rtl/>
        </w:rPr>
        <w:t xml:space="preserve">ת </w:t>
      </w:r>
      <w:r w:rsidR="00F2678E">
        <w:rPr>
          <w:rFonts w:hint="cs"/>
          <w:rtl/>
        </w:rPr>
        <w:t>שמתחייבי</w:t>
      </w:r>
      <w:r w:rsidR="00FA6831">
        <w:rPr>
          <w:rFonts w:hint="cs"/>
          <w:rtl/>
        </w:rPr>
        <w:t>ם</w:t>
      </w:r>
      <w:r w:rsidR="00F2678E">
        <w:rPr>
          <w:rFonts w:hint="cs"/>
          <w:rtl/>
        </w:rPr>
        <w:t xml:space="preserve"> </w:t>
      </w:r>
      <w:r w:rsidR="007357CB">
        <w:rPr>
          <w:rFonts w:hint="cs"/>
          <w:rtl/>
        </w:rPr>
        <w:t>יורשיה והבאים ברשותה</w:t>
      </w:r>
      <w:r w:rsidR="00F2678E">
        <w:rPr>
          <w:rFonts w:hint="cs"/>
          <w:rtl/>
        </w:rPr>
        <w:t>.</w:t>
      </w:r>
    </w:p>
    <w:p w14:paraId="41C389DB" w14:textId="7B6E5153" w:rsidR="00625C19" w:rsidRPr="00625C19" w:rsidRDefault="007252DA" w:rsidP="00625C19">
      <w:pPr>
        <w:rPr>
          <w:rFonts w:cs="Arial"/>
          <w:sz w:val="16"/>
          <w:szCs w:val="16"/>
          <w:rtl/>
        </w:rPr>
      </w:pPr>
      <w:r>
        <w:rPr>
          <w:rFonts w:cs="Arial" w:hint="cs"/>
          <w:b/>
          <w:bCs/>
          <w:rtl/>
        </w:rPr>
        <w:t xml:space="preserve">כתובות </w:t>
      </w:r>
      <w:r w:rsidRPr="00B94040">
        <w:rPr>
          <w:rFonts w:cs="Arial" w:hint="cs"/>
          <w:b/>
          <w:bCs/>
          <w:sz w:val="16"/>
          <w:szCs w:val="16"/>
          <w:rtl/>
        </w:rPr>
        <w:t>(פ' ה</w:t>
      </w:r>
      <w:r>
        <w:rPr>
          <w:rFonts w:cs="Arial" w:hint="cs"/>
          <w:b/>
          <w:bCs/>
          <w:sz w:val="16"/>
          <w:szCs w:val="16"/>
          <w:rtl/>
        </w:rPr>
        <w:t>כותב</w:t>
      </w:r>
      <w:r w:rsidRPr="00B94040">
        <w:rPr>
          <w:rFonts w:cs="Arial" w:hint="cs"/>
          <w:b/>
          <w:bCs/>
          <w:sz w:val="16"/>
          <w:szCs w:val="16"/>
          <w:rtl/>
        </w:rPr>
        <w:t>)</w:t>
      </w:r>
      <w:r w:rsidRPr="00B94040">
        <w:rPr>
          <w:rFonts w:cs="Arial" w:hint="cs"/>
          <w:b/>
          <w:bCs/>
          <w:rtl/>
        </w:rPr>
        <w:t xml:space="preserve"> </w:t>
      </w:r>
      <w:r>
        <w:rPr>
          <w:rFonts w:cs="Arial" w:hint="cs"/>
          <w:b/>
          <w:bCs/>
          <w:rtl/>
        </w:rPr>
        <w:t>פו</w:t>
      </w:r>
      <w:r w:rsidR="0094206C">
        <w:rPr>
          <w:rStyle w:val="a7"/>
          <w:rFonts w:cs="Arial"/>
          <w:b/>
          <w:bCs/>
          <w:rtl/>
        </w:rPr>
        <w:footnoteReference w:id="1804"/>
      </w:r>
      <w:r w:rsidRPr="00B94040">
        <w:rPr>
          <w:rFonts w:cs="Arial" w:hint="cs"/>
          <w:b/>
          <w:bCs/>
          <w:rtl/>
        </w:rPr>
        <w:t xml:space="preserve"> ע"</w:t>
      </w:r>
      <w:r>
        <w:rPr>
          <w:rFonts w:cs="Arial" w:hint="cs"/>
          <w:b/>
          <w:bCs/>
          <w:rtl/>
        </w:rPr>
        <w:t>ב</w:t>
      </w:r>
      <w:r w:rsidRPr="00B94040">
        <w:rPr>
          <w:rFonts w:cs="Arial" w:hint="cs"/>
          <w:b/>
          <w:bCs/>
          <w:rtl/>
        </w:rPr>
        <w:t>:</w:t>
      </w:r>
      <w:r>
        <w:rPr>
          <w:rFonts w:cs="Arial" w:hint="cs"/>
          <w:rtl/>
        </w:rPr>
        <w:t xml:space="preserve"> </w:t>
      </w:r>
      <w:r w:rsidRPr="002B5D2F">
        <w:rPr>
          <w:rFonts w:cs="Arial"/>
          <w:u w:val="double"/>
          <w:rtl/>
        </w:rPr>
        <w:t>מתני'</w:t>
      </w:r>
      <w:r>
        <w:rPr>
          <w:rFonts w:cs="Arial" w:hint="cs"/>
          <w:rtl/>
        </w:rPr>
        <w:t>:</w:t>
      </w:r>
      <w:r w:rsidRPr="003E5999">
        <w:rPr>
          <w:rFonts w:cs="Arial"/>
          <w:rtl/>
        </w:rPr>
        <w:t xml:space="preserve"> כתב לה נדר ושבועה אין לי עליך - אין יכול להשביעה, אבל משביע הוא את יורשיה</w:t>
      </w:r>
      <w:r>
        <w:rPr>
          <w:rStyle w:val="a7"/>
          <w:rFonts w:cs="Arial"/>
          <w:rtl/>
        </w:rPr>
        <w:footnoteReference w:id="1805"/>
      </w:r>
      <w:r w:rsidRPr="003E5999">
        <w:rPr>
          <w:rFonts w:cs="Arial"/>
          <w:rtl/>
        </w:rPr>
        <w:t xml:space="preserve"> ואת הבאים ברשותה</w:t>
      </w:r>
      <w:r>
        <w:rPr>
          <w:rStyle w:val="a7"/>
          <w:rFonts w:cs="Arial"/>
          <w:rtl/>
        </w:rPr>
        <w:footnoteReference w:id="1806"/>
      </w:r>
      <w:r w:rsidRPr="003E5999">
        <w:rPr>
          <w:rFonts w:cs="Arial"/>
          <w:rtl/>
        </w:rPr>
        <w:t>.</w:t>
      </w:r>
      <w:r w:rsidR="00293ABE">
        <w:rPr>
          <w:rFonts w:cs="Arial" w:hint="cs"/>
          <w:rtl/>
        </w:rPr>
        <w:t>..</w:t>
      </w:r>
      <w:r w:rsidRPr="003E5999">
        <w:rPr>
          <w:rFonts w:cs="Arial"/>
          <w:rtl/>
        </w:rPr>
        <w:t xml:space="preserve"> </w:t>
      </w:r>
      <w:r>
        <w:rPr>
          <w:rFonts w:cs="Arial" w:hint="cs"/>
          <w:rtl/>
        </w:rPr>
        <w:t xml:space="preserve">     </w:t>
      </w:r>
      <w:r w:rsidRPr="00517054">
        <w:rPr>
          <w:rFonts w:cs="Arial"/>
          <w:u w:val="double"/>
          <w:rtl/>
        </w:rPr>
        <w:t>גמ'</w:t>
      </w:r>
      <w:r>
        <w:rPr>
          <w:rFonts w:cs="Arial" w:hint="cs"/>
          <w:rtl/>
        </w:rPr>
        <w:t>:</w:t>
      </w:r>
      <w:r w:rsidRPr="00517054">
        <w:rPr>
          <w:rFonts w:cs="Arial"/>
          <w:rtl/>
        </w:rPr>
        <w:t xml:space="preserve"> שבועה מאי עבידתה</w:t>
      </w:r>
      <w:r>
        <w:rPr>
          <w:rStyle w:val="a7"/>
          <w:rFonts w:cs="Arial"/>
          <w:rtl/>
        </w:rPr>
        <w:footnoteReference w:id="1807"/>
      </w:r>
      <w:r w:rsidRPr="00517054">
        <w:rPr>
          <w:rFonts w:cs="Arial"/>
          <w:rtl/>
        </w:rPr>
        <w:t xml:space="preserve">? </w:t>
      </w:r>
      <w:r w:rsidRPr="00B63191">
        <w:rPr>
          <w:rFonts w:cs="Arial"/>
          <w:u w:val="single"/>
          <w:rtl/>
        </w:rPr>
        <w:t>אמר רב יהודה אמר רב</w:t>
      </w:r>
      <w:r w:rsidRPr="00517054">
        <w:rPr>
          <w:rFonts w:cs="Arial"/>
          <w:rtl/>
        </w:rPr>
        <w:t>:</w:t>
      </w:r>
      <w:r w:rsidRPr="00B63191">
        <w:rPr>
          <w:rtl/>
        </w:rPr>
        <w:t xml:space="preserve"> </w:t>
      </w:r>
      <w:r w:rsidRPr="00B63191">
        <w:rPr>
          <w:rFonts w:cs="Arial"/>
          <w:rtl/>
        </w:rPr>
        <w:t>על אפוטרופיא</w:t>
      </w:r>
      <w:r>
        <w:rPr>
          <w:rStyle w:val="a7"/>
          <w:rFonts w:cs="Arial"/>
          <w:rtl/>
        </w:rPr>
        <w:footnoteReference w:id="1808"/>
      </w:r>
      <w:r w:rsidRPr="00B63191">
        <w:rPr>
          <w:rFonts w:cs="Arial"/>
          <w:rtl/>
        </w:rPr>
        <w:t xml:space="preserve"> </w:t>
      </w:r>
      <w:r w:rsidRPr="00B63191">
        <w:rPr>
          <w:rFonts w:cs="Arial"/>
          <w:rtl/>
        </w:rPr>
        <w:lastRenderedPageBreak/>
        <w:t xml:space="preserve">שנעשית בחיי בעלה; </w:t>
      </w:r>
      <w:r w:rsidRPr="00B63191">
        <w:rPr>
          <w:rFonts w:cs="Arial"/>
          <w:u w:val="single"/>
          <w:rtl/>
        </w:rPr>
        <w:t>ר"נ אמר רבה בר אבוה</w:t>
      </w:r>
      <w:r w:rsidRPr="00B63191">
        <w:rPr>
          <w:rFonts w:cs="Arial"/>
          <w:rtl/>
        </w:rPr>
        <w:t>: על הפוגמת</w:t>
      </w:r>
      <w:r>
        <w:rPr>
          <w:rStyle w:val="a7"/>
          <w:rFonts w:cs="Arial"/>
          <w:rtl/>
        </w:rPr>
        <w:footnoteReference w:id="1809"/>
      </w:r>
      <w:r w:rsidRPr="00B63191">
        <w:rPr>
          <w:rFonts w:cs="Arial"/>
          <w:rtl/>
        </w:rPr>
        <w:t xml:space="preserve"> כתובתה.</w:t>
      </w:r>
      <w:r>
        <w:rPr>
          <w:rFonts w:cs="Arial" w:hint="cs"/>
          <w:rtl/>
        </w:rPr>
        <w:t xml:space="preserve"> </w:t>
      </w:r>
      <w:r w:rsidRPr="003C70AB">
        <w:rPr>
          <w:rFonts w:cs="Arial" w:hint="cs"/>
          <w:sz w:val="16"/>
          <w:szCs w:val="16"/>
          <w:rtl/>
        </w:rPr>
        <w:t>(</w:t>
      </w:r>
      <w:r w:rsidRPr="003C70AB">
        <w:rPr>
          <w:rFonts w:cs="Arial"/>
          <w:sz w:val="16"/>
          <w:szCs w:val="16"/>
          <w:rtl/>
        </w:rPr>
        <w:t>וכתב הרא"ש (סי' כח</w:t>
      </w:r>
      <w:r w:rsidR="007357CB">
        <w:rPr>
          <w:rFonts w:cs="Arial" w:hint="cs"/>
          <w:sz w:val="16"/>
          <w:szCs w:val="16"/>
          <w:rtl/>
        </w:rPr>
        <w:t xml:space="preserve"> - כט</w:t>
      </w:r>
      <w:r w:rsidRPr="003C70AB">
        <w:rPr>
          <w:rFonts w:cs="Arial"/>
          <w:sz w:val="16"/>
          <w:szCs w:val="16"/>
          <w:rtl/>
        </w:rPr>
        <w:t>)</w:t>
      </w:r>
      <w:r w:rsidR="00625C19">
        <w:rPr>
          <w:rFonts w:cs="Arial" w:hint="cs"/>
          <w:sz w:val="16"/>
          <w:szCs w:val="16"/>
          <w:rtl/>
        </w:rPr>
        <w:t>:</w:t>
      </w:r>
      <w:r w:rsidRPr="003C70AB">
        <w:rPr>
          <w:rFonts w:cs="Arial"/>
          <w:sz w:val="16"/>
          <w:szCs w:val="16"/>
          <w:rtl/>
        </w:rPr>
        <w:t xml:space="preserve"> </w:t>
      </w:r>
      <w:r w:rsidR="00625C19">
        <w:rPr>
          <w:rFonts w:cs="Arial" w:hint="cs"/>
          <w:sz w:val="16"/>
          <w:szCs w:val="16"/>
          <w:rtl/>
        </w:rPr>
        <w:t>"</w:t>
      </w:r>
      <w:r w:rsidR="00625C19" w:rsidRPr="00625C19">
        <w:rPr>
          <w:rFonts w:cs="Arial"/>
          <w:sz w:val="16"/>
          <w:szCs w:val="16"/>
          <w:rtl/>
        </w:rPr>
        <w:t>אבל משביע את יורשיה</w:t>
      </w:r>
      <w:r w:rsidR="00625C19">
        <w:rPr>
          <w:rFonts w:cs="Arial" w:hint="cs"/>
          <w:sz w:val="16"/>
          <w:szCs w:val="16"/>
          <w:rtl/>
        </w:rPr>
        <w:t>",</w:t>
      </w:r>
      <w:r w:rsidR="00625C19" w:rsidRPr="00625C19">
        <w:rPr>
          <w:rFonts w:cs="Arial"/>
          <w:sz w:val="16"/>
          <w:szCs w:val="16"/>
          <w:rtl/>
        </w:rPr>
        <w:t xml:space="preserve"> אם גירשה ומתה נשבעין שבועת יורשין שלא פקדנו ששטר זה פרוע</w:t>
      </w:r>
      <w:r w:rsidR="00625C19">
        <w:rPr>
          <w:rFonts w:cs="Arial" w:hint="cs"/>
          <w:sz w:val="16"/>
          <w:szCs w:val="16"/>
          <w:rtl/>
        </w:rPr>
        <w:t>. "</w:t>
      </w:r>
      <w:r w:rsidR="00625C19" w:rsidRPr="00625C19">
        <w:rPr>
          <w:rFonts w:cs="Arial"/>
          <w:sz w:val="16"/>
          <w:szCs w:val="16"/>
          <w:rtl/>
        </w:rPr>
        <w:t>ואת הבאין ברשותה</w:t>
      </w:r>
      <w:r w:rsidR="00625C19">
        <w:rPr>
          <w:rFonts w:cs="Arial" w:hint="cs"/>
          <w:sz w:val="16"/>
          <w:szCs w:val="16"/>
          <w:rtl/>
        </w:rPr>
        <w:t>",</w:t>
      </w:r>
      <w:r w:rsidR="00625C19" w:rsidRPr="00625C19">
        <w:rPr>
          <w:rFonts w:cs="Arial"/>
          <w:sz w:val="16"/>
          <w:szCs w:val="16"/>
          <w:rtl/>
        </w:rPr>
        <w:t xml:space="preserve"> מפרש בתוספתא כגון שמכרה או נתנה כתובתה</w:t>
      </w:r>
      <w:r w:rsidR="00F2678E">
        <w:rPr>
          <w:rFonts w:cs="Arial" w:hint="cs"/>
          <w:sz w:val="16"/>
          <w:szCs w:val="16"/>
          <w:rtl/>
        </w:rPr>
        <w:t>,</w:t>
      </w:r>
      <w:r w:rsidR="00E46A78" w:rsidRPr="00E46A78">
        <w:rPr>
          <w:rtl/>
        </w:rPr>
        <w:t xml:space="preserve"> </w:t>
      </w:r>
      <w:r w:rsidR="00E46A78" w:rsidRPr="00E46A78">
        <w:rPr>
          <w:rFonts w:cs="Arial"/>
          <w:sz w:val="16"/>
          <w:szCs w:val="16"/>
          <w:rtl/>
        </w:rPr>
        <w:t>ופרש"י ונתגרשה ומתה ובאין הלקוחות לגבות כתובתה נשבעין שלא אמרה להם שהיתה פרוע</w:t>
      </w:r>
      <w:r w:rsidR="00625C19">
        <w:rPr>
          <w:rFonts w:cs="Arial" w:hint="cs"/>
          <w:sz w:val="16"/>
          <w:szCs w:val="16"/>
          <w:rtl/>
        </w:rPr>
        <w:t>...</w:t>
      </w:r>
      <w:r w:rsidR="00625C19" w:rsidRPr="00625C19">
        <w:rPr>
          <w:rFonts w:cs="Arial"/>
          <w:sz w:val="16"/>
          <w:szCs w:val="16"/>
          <w:rtl/>
        </w:rPr>
        <w:t xml:space="preserve"> וי"מ אבל משביעין את יורשיה ואת הבאים ברשותה אם פגמו הם הכתובה</w:t>
      </w:r>
      <w:r w:rsidR="00625C19" w:rsidRPr="00625C19">
        <w:rPr>
          <w:rFonts w:cs="Arial" w:hint="cs"/>
          <w:sz w:val="16"/>
          <w:szCs w:val="16"/>
          <w:rtl/>
        </w:rPr>
        <w:t xml:space="preserve">. </w:t>
      </w:r>
      <w:r w:rsidR="00625C19" w:rsidRPr="00625C19">
        <w:rPr>
          <w:rFonts w:cs="Arial"/>
          <w:sz w:val="16"/>
          <w:szCs w:val="16"/>
          <w:rtl/>
        </w:rPr>
        <w:t>ובירושלמי (</w:t>
      </w:r>
      <w:r w:rsidR="00625C19" w:rsidRPr="00625C19">
        <w:rPr>
          <w:rFonts w:cs="Arial" w:hint="cs"/>
          <w:sz w:val="16"/>
          <w:szCs w:val="16"/>
          <w:rtl/>
        </w:rPr>
        <w:t xml:space="preserve">פ"ט </w:t>
      </w:r>
      <w:r w:rsidR="00625C19" w:rsidRPr="00625C19">
        <w:rPr>
          <w:rFonts w:cs="Arial"/>
          <w:sz w:val="16"/>
          <w:szCs w:val="16"/>
          <w:rtl/>
        </w:rPr>
        <w:t>ה</w:t>
      </w:r>
      <w:r w:rsidR="00625C19" w:rsidRPr="00625C19">
        <w:rPr>
          <w:rFonts w:cs="Arial" w:hint="cs"/>
          <w:sz w:val="16"/>
          <w:szCs w:val="16"/>
          <w:rtl/>
        </w:rPr>
        <w:t>"</w:t>
      </w:r>
      <w:r w:rsidR="00625C19" w:rsidRPr="00625C19">
        <w:rPr>
          <w:rFonts w:cs="Arial"/>
          <w:sz w:val="16"/>
          <w:szCs w:val="16"/>
          <w:rtl/>
        </w:rPr>
        <w:t>ה) מפרש משביעין את יורשיה ואת הבאים ברשותה אשבועת אפיטרופוס כגון שנתן לה רשות למנות את יורשיה או אדם נכרי אפוטרופוס תחתיה</w:t>
      </w:r>
      <w:r w:rsidR="00F2678E">
        <w:rPr>
          <w:rFonts w:cs="Arial" w:hint="cs"/>
          <w:sz w:val="16"/>
          <w:szCs w:val="16"/>
          <w:rtl/>
        </w:rPr>
        <w:t>,</w:t>
      </w:r>
      <w:r w:rsidR="00625C19" w:rsidRPr="00625C19">
        <w:rPr>
          <w:rFonts w:cs="Arial"/>
          <w:sz w:val="16"/>
          <w:szCs w:val="16"/>
          <w:rtl/>
        </w:rPr>
        <w:t xml:space="preserve"> אע</w:t>
      </w:r>
      <w:r w:rsidR="00F2678E">
        <w:rPr>
          <w:rFonts w:cs="Arial" w:hint="cs"/>
          <w:sz w:val="16"/>
          <w:szCs w:val="16"/>
          <w:rtl/>
        </w:rPr>
        <w:t>"</w:t>
      </w:r>
      <w:r w:rsidR="00625C19" w:rsidRPr="00625C19">
        <w:rPr>
          <w:rFonts w:cs="Arial"/>
          <w:sz w:val="16"/>
          <w:szCs w:val="16"/>
          <w:rtl/>
        </w:rPr>
        <w:t>פ שפטרה מן השבועה משביע את יורשיה ואת הבאים ברשותה</w:t>
      </w:r>
      <w:r w:rsidR="00F2678E">
        <w:rPr>
          <w:rFonts w:cs="Arial" w:hint="cs"/>
          <w:sz w:val="16"/>
          <w:szCs w:val="16"/>
          <w:rtl/>
        </w:rPr>
        <w:t>.</w:t>
      </w:r>
      <w:r w:rsidR="00625C19" w:rsidRPr="00625C19">
        <w:rPr>
          <w:rFonts w:cs="Arial"/>
          <w:sz w:val="16"/>
          <w:szCs w:val="16"/>
          <w:rtl/>
        </w:rPr>
        <w:t xml:space="preserve"> ומדקדק מזה בירושלמי דכל ארבעה שומרים</w:t>
      </w:r>
      <w:r w:rsidR="00F2678E">
        <w:rPr>
          <w:rFonts w:cs="Arial" w:hint="cs"/>
          <w:sz w:val="16"/>
          <w:szCs w:val="16"/>
          <w:rtl/>
        </w:rPr>
        <w:t>,</w:t>
      </w:r>
      <w:r w:rsidR="00625C19" w:rsidRPr="00625C19">
        <w:rPr>
          <w:rFonts w:cs="Arial"/>
          <w:sz w:val="16"/>
          <w:szCs w:val="16"/>
          <w:rtl/>
        </w:rPr>
        <w:t xml:space="preserve"> אם כשפטרן מן השבועה והשאילו לאחרים ברשות</w:t>
      </w:r>
      <w:r w:rsidR="00F2678E">
        <w:rPr>
          <w:rFonts w:cs="Arial" w:hint="cs"/>
          <w:sz w:val="16"/>
          <w:szCs w:val="16"/>
          <w:rtl/>
        </w:rPr>
        <w:t xml:space="preserve"> -</w:t>
      </w:r>
      <w:r w:rsidR="00625C19" w:rsidRPr="00625C19">
        <w:rPr>
          <w:rFonts w:cs="Arial"/>
          <w:sz w:val="16"/>
          <w:szCs w:val="16"/>
          <w:rtl/>
        </w:rPr>
        <w:t xml:space="preserve"> משביע את האחרים</w:t>
      </w:r>
      <w:r w:rsidR="001141A3">
        <w:rPr>
          <w:rFonts w:cs="Arial" w:hint="cs"/>
          <w:sz w:val="16"/>
          <w:szCs w:val="16"/>
          <w:rtl/>
        </w:rPr>
        <w:t xml:space="preserve"> עכ"ל.</w:t>
      </w:r>
      <w:r w:rsidR="001141A3" w:rsidRPr="001141A3">
        <w:rPr>
          <w:rFonts w:cs="Arial"/>
          <w:sz w:val="16"/>
          <w:szCs w:val="16"/>
          <w:rtl/>
        </w:rPr>
        <w:t xml:space="preserve"> </w:t>
      </w:r>
      <w:r w:rsidR="001141A3" w:rsidRPr="007357CB">
        <w:rPr>
          <w:rFonts w:cs="Arial"/>
          <w:sz w:val="16"/>
          <w:szCs w:val="16"/>
          <w:rtl/>
        </w:rPr>
        <w:t>וכתב רבינו כחומרי כל הפרושים</w:t>
      </w:r>
      <w:r w:rsidR="001141A3">
        <w:rPr>
          <w:rFonts w:cs="Arial" w:hint="cs"/>
          <w:sz w:val="16"/>
          <w:szCs w:val="16"/>
          <w:rtl/>
        </w:rPr>
        <w:t>,</w:t>
      </w:r>
      <w:r w:rsidR="001141A3" w:rsidRPr="007357CB">
        <w:rPr>
          <w:rFonts w:cs="Arial"/>
          <w:sz w:val="16"/>
          <w:szCs w:val="16"/>
          <w:rtl/>
        </w:rPr>
        <w:t xml:space="preserve"> פירוש רש"י</w:t>
      </w:r>
      <w:r w:rsidR="001141A3">
        <w:rPr>
          <w:rFonts w:cs="Arial" w:hint="cs"/>
          <w:sz w:val="16"/>
          <w:szCs w:val="16"/>
          <w:rtl/>
        </w:rPr>
        <w:t>,</w:t>
      </w:r>
      <w:r w:rsidR="001141A3" w:rsidRPr="007357CB">
        <w:rPr>
          <w:rFonts w:cs="Arial"/>
          <w:sz w:val="16"/>
          <w:szCs w:val="16"/>
          <w:rtl/>
        </w:rPr>
        <w:t xml:space="preserve"> ופירוש היש מפרשים</w:t>
      </w:r>
      <w:r w:rsidR="001141A3">
        <w:rPr>
          <w:rFonts w:cs="Arial" w:hint="cs"/>
          <w:sz w:val="16"/>
          <w:szCs w:val="16"/>
          <w:rtl/>
        </w:rPr>
        <w:t>,</w:t>
      </w:r>
      <w:r w:rsidR="001141A3" w:rsidRPr="007357CB">
        <w:rPr>
          <w:rFonts w:cs="Arial"/>
          <w:sz w:val="16"/>
          <w:szCs w:val="16"/>
          <w:rtl/>
        </w:rPr>
        <w:t xml:space="preserve"> ופירוש הירושלמי</w:t>
      </w:r>
      <w:r w:rsidR="001141A3">
        <w:rPr>
          <w:rFonts w:cs="Arial" w:hint="cs"/>
          <w:sz w:val="16"/>
          <w:szCs w:val="16"/>
          <w:rtl/>
        </w:rPr>
        <w:t>,</w:t>
      </w:r>
      <w:r w:rsidR="001141A3" w:rsidRPr="007357CB">
        <w:rPr>
          <w:rFonts w:cs="Arial"/>
          <w:sz w:val="16"/>
          <w:szCs w:val="16"/>
          <w:rtl/>
        </w:rPr>
        <w:t xml:space="preserve"> משום דכיון שהבעל מוחזק בכתובה לא מפקינן מיניה אלא בדבר הברור לדברי הכל. עיין במרדכי בפרק הנזכר</w:t>
      </w:r>
      <w:r w:rsidR="001141A3">
        <w:rPr>
          <w:rFonts w:cs="Arial" w:hint="cs"/>
          <w:sz w:val="16"/>
          <w:szCs w:val="16"/>
          <w:rtl/>
        </w:rPr>
        <w:t>, ב"י)</w:t>
      </w:r>
      <w:r w:rsidR="0094206C">
        <w:rPr>
          <w:rFonts w:cs="Arial" w:hint="cs"/>
          <w:sz w:val="16"/>
          <w:szCs w:val="16"/>
          <w:rtl/>
        </w:rPr>
        <w:t xml:space="preserve"> </w:t>
      </w:r>
    </w:p>
    <w:p w14:paraId="14030225" w14:textId="00A1EBF4" w:rsidR="00625C19" w:rsidRPr="007357CB" w:rsidRDefault="00DA528B" w:rsidP="00625C19">
      <w:pPr>
        <w:rPr>
          <w:rFonts w:cs="Arial"/>
          <w:sz w:val="16"/>
          <w:szCs w:val="16"/>
          <w:u w:val="single"/>
          <w:rtl/>
        </w:rPr>
      </w:pPr>
      <w:r>
        <w:rPr>
          <w:rFonts w:hint="cs"/>
          <w:u w:val="single"/>
          <w:rtl/>
        </w:rPr>
        <w:t xml:space="preserve">בעל שפטר את אשתו משבועה - </w:t>
      </w:r>
      <w:r w:rsidR="007357CB" w:rsidRPr="007357CB">
        <w:rPr>
          <w:rFonts w:hint="cs"/>
          <w:u w:val="single"/>
          <w:rtl/>
        </w:rPr>
        <w:t xml:space="preserve">יורשיה והבאים ברשותה </w:t>
      </w:r>
      <w:r>
        <w:rPr>
          <w:rFonts w:hint="cs"/>
          <w:u w:val="single"/>
          <w:rtl/>
        </w:rPr>
        <w:t xml:space="preserve">נשבעים </w:t>
      </w:r>
      <w:r w:rsidR="007357CB" w:rsidRPr="007357CB">
        <w:rPr>
          <w:rFonts w:hint="cs"/>
          <w:u w:val="single"/>
          <w:rtl/>
        </w:rPr>
        <w:t>שלא פגמו כתובתה</w:t>
      </w:r>
      <w:r w:rsidR="00F2678E">
        <w:rPr>
          <w:rFonts w:hint="cs"/>
          <w:u w:val="single"/>
          <w:rtl/>
        </w:rPr>
        <w:t xml:space="preserve"> ושלא נעשו אפ</w:t>
      </w:r>
      <w:r w:rsidR="00F01C25">
        <w:rPr>
          <w:rFonts w:hint="cs"/>
          <w:u w:val="single"/>
          <w:rtl/>
        </w:rPr>
        <w:t>וטרופסים</w:t>
      </w:r>
      <w:r w:rsidR="007357CB" w:rsidRPr="007357CB">
        <w:rPr>
          <w:rFonts w:hint="cs"/>
          <w:u w:val="single"/>
          <w:rtl/>
        </w:rPr>
        <w:t>:</w:t>
      </w:r>
      <w:r w:rsidR="00625C19" w:rsidRPr="007357CB">
        <w:rPr>
          <w:rFonts w:cs="Arial"/>
          <w:sz w:val="16"/>
          <w:szCs w:val="16"/>
          <w:u w:val="single"/>
          <w:rtl/>
        </w:rPr>
        <w:t xml:space="preserve"> </w:t>
      </w:r>
    </w:p>
    <w:p w14:paraId="0B58742A" w14:textId="5BE70EB1" w:rsidR="009B5AC2" w:rsidRPr="009B5AC2" w:rsidRDefault="001F4529" w:rsidP="007357CB">
      <w:pPr>
        <w:pStyle w:val="ab"/>
        <w:numPr>
          <w:ilvl w:val="0"/>
          <w:numId w:val="86"/>
        </w:numPr>
        <w:rPr>
          <w:rtl/>
        </w:rPr>
      </w:pPr>
      <w:r>
        <w:rPr>
          <w:rFonts w:hint="cs"/>
          <w:rtl/>
        </w:rPr>
        <w:t>טור-</w:t>
      </w:r>
      <w:r>
        <w:rPr>
          <w:rFonts w:cs="Arial" w:hint="cs"/>
          <w:rtl/>
        </w:rPr>
        <w:t xml:space="preserve"> </w:t>
      </w:r>
      <w:r w:rsidRPr="00D71C6B">
        <w:rPr>
          <w:rFonts w:cs="Arial"/>
          <w:rtl/>
        </w:rPr>
        <w:t>ומשביעין גם כן יורשיה והבאים ברשותה אם פגמו הכתובה או אם נעשו אפוטרופין</w:t>
      </w:r>
      <w:r w:rsidR="00FA6831">
        <w:rPr>
          <w:rFonts w:cs="Arial" w:hint="cs"/>
          <w:rtl/>
        </w:rPr>
        <w:t>.</w:t>
      </w:r>
      <w:r w:rsidRPr="00D71C6B">
        <w:rPr>
          <w:rFonts w:cs="Arial"/>
          <w:rtl/>
        </w:rPr>
        <w:t xml:space="preserve"> ואפילו אם נתן לה רשות למנות אפוטרופין ליורשים או לאחרים אינו מועיל להם לפטור בפטור שפטרה</w:t>
      </w:r>
      <w:r>
        <w:rPr>
          <w:rFonts w:cs="Arial" w:hint="cs"/>
          <w:rtl/>
        </w:rPr>
        <w:t>.</w:t>
      </w:r>
      <w:r w:rsidR="00BC32E2" w:rsidRPr="00BC32E2">
        <w:rPr>
          <w:rFonts w:hint="cs"/>
          <w:color w:val="E36C0A" w:themeColor="accent6" w:themeShade="BF"/>
          <w:rtl/>
        </w:rPr>
        <w:t xml:space="preserve"> </w:t>
      </w:r>
      <w:r w:rsidR="00BC32E2" w:rsidRPr="008631A7">
        <w:rPr>
          <w:rFonts w:hint="cs"/>
          <w:color w:val="E36C0A" w:themeColor="accent6" w:themeShade="BF"/>
          <w:rtl/>
        </w:rPr>
        <w:t>(וכ"</w:t>
      </w:r>
      <w:r w:rsidR="00BC32E2">
        <w:rPr>
          <w:rFonts w:hint="cs"/>
          <w:color w:val="E36C0A" w:themeColor="accent6" w:themeShade="BF"/>
          <w:rtl/>
        </w:rPr>
        <w:t>פ</w:t>
      </w:r>
      <w:r w:rsidR="00BC32E2" w:rsidRPr="008631A7">
        <w:rPr>
          <w:rFonts w:hint="cs"/>
          <w:color w:val="E36C0A" w:themeColor="accent6" w:themeShade="BF"/>
          <w:rtl/>
        </w:rPr>
        <w:t xml:space="preserve"> בשו"ע)</w:t>
      </w:r>
      <w:r w:rsidRPr="00D71C6B">
        <w:rPr>
          <w:rFonts w:cs="Arial"/>
          <w:rtl/>
        </w:rPr>
        <w:t xml:space="preserve"> </w:t>
      </w:r>
    </w:p>
    <w:p w14:paraId="5203AA1A"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EA3BD8A" w14:textId="3205F576" w:rsidR="00392DBB" w:rsidRDefault="00392DBB" w:rsidP="00392DBB">
      <w:pPr>
        <w:rPr>
          <w:rtl/>
        </w:rPr>
      </w:pPr>
      <w:r>
        <w:rPr>
          <w:rFonts w:cs="Arial"/>
          <w:rtl/>
        </w:rPr>
        <w:t>ומשביעין ג</w:t>
      </w:r>
      <w:r w:rsidR="0016235F">
        <w:rPr>
          <w:rFonts w:cs="Arial" w:hint="cs"/>
          <w:rtl/>
        </w:rPr>
        <w:t>ם כן</w:t>
      </w:r>
      <w:r>
        <w:rPr>
          <w:rFonts w:cs="Arial"/>
          <w:rtl/>
        </w:rPr>
        <w:t xml:space="preserve"> יורשיה והבאים ברשותה אם פגמו הכתובה או אם נעשו אפוטרופוס, ואפילו אם נתן לה רשות למנות אפוטרופוס. </w:t>
      </w:r>
    </w:p>
    <w:p w14:paraId="395DFC83" w14:textId="77777777" w:rsidR="0016235F" w:rsidRDefault="0016235F" w:rsidP="00392DBB">
      <w:pPr>
        <w:rPr>
          <w:rtl/>
        </w:rPr>
      </w:pPr>
    </w:p>
    <w:p w14:paraId="4AAB4C3F" w14:textId="00C03BF6" w:rsidR="00392DBB" w:rsidRDefault="00392DBB" w:rsidP="000F64D0">
      <w:pPr>
        <w:pStyle w:val="2"/>
        <w:rPr>
          <w:rtl/>
        </w:rPr>
      </w:pPr>
      <w:r>
        <w:rPr>
          <w:rtl/>
        </w:rPr>
        <w:t>סעיף ג</w:t>
      </w:r>
      <w:r w:rsidR="00FA6831">
        <w:rPr>
          <w:rFonts w:hint="cs"/>
          <w:rtl/>
        </w:rPr>
        <w:t xml:space="preserve">: </w:t>
      </w:r>
      <w:r w:rsidR="009B5285">
        <w:rPr>
          <w:rFonts w:hint="cs"/>
          <w:rtl/>
        </w:rPr>
        <w:t>ה</w:t>
      </w:r>
      <w:r w:rsidR="009B5285" w:rsidRPr="008B1E9D">
        <w:rPr>
          <w:rFonts w:hint="cs"/>
          <w:rtl/>
        </w:rPr>
        <w:t>פ</w:t>
      </w:r>
      <w:r w:rsidR="009B5285">
        <w:rPr>
          <w:rFonts w:hint="cs"/>
          <w:rtl/>
        </w:rPr>
        <w:t>ו</w:t>
      </w:r>
      <w:r w:rsidR="009B5285" w:rsidRPr="008B1E9D">
        <w:rPr>
          <w:rFonts w:hint="cs"/>
          <w:rtl/>
        </w:rPr>
        <w:t xml:space="preserve">טר את אשתו </w:t>
      </w:r>
      <w:r w:rsidR="00A23C95">
        <w:rPr>
          <w:rFonts w:hint="cs"/>
          <w:rtl/>
        </w:rPr>
        <w:t xml:space="preserve">ואת יורשיה והבאים ברשותה </w:t>
      </w:r>
      <w:r w:rsidR="009B5285" w:rsidRPr="008B1E9D">
        <w:rPr>
          <w:rFonts w:hint="cs"/>
          <w:rtl/>
        </w:rPr>
        <w:t>משבועה</w:t>
      </w:r>
      <w:r w:rsidR="00A23C95">
        <w:rPr>
          <w:rFonts w:hint="cs"/>
          <w:rtl/>
        </w:rPr>
        <w:t>.</w:t>
      </w:r>
    </w:p>
    <w:p w14:paraId="69C8FA99" w14:textId="6D9CBA4A" w:rsidR="00A23C95" w:rsidRPr="00A23C95" w:rsidRDefault="00A23C95" w:rsidP="00A23C95">
      <w:pPr>
        <w:rPr>
          <w:rtl/>
        </w:rPr>
      </w:pPr>
      <w:r>
        <w:rPr>
          <w:rFonts w:cs="Arial" w:hint="cs"/>
          <w:b/>
          <w:bCs/>
          <w:rtl/>
        </w:rPr>
        <w:t xml:space="preserve">כתובות </w:t>
      </w:r>
      <w:r w:rsidRPr="00B94040">
        <w:rPr>
          <w:rFonts w:cs="Arial" w:hint="cs"/>
          <w:b/>
          <w:bCs/>
          <w:sz w:val="16"/>
          <w:szCs w:val="16"/>
          <w:rtl/>
        </w:rPr>
        <w:t>(פ' ה</w:t>
      </w:r>
      <w:r>
        <w:rPr>
          <w:rFonts w:cs="Arial" w:hint="cs"/>
          <w:b/>
          <w:bCs/>
          <w:sz w:val="16"/>
          <w:szCs w:val="16"/>
          <w:rtl/>
        </w:rPr>
        <w:t>כותב</w:t>
      </w:r>
      <w:r w:rsidRPr="00B94040">
        <w:rPr>
          <w:rFonts w:cs="Arial" w:hint="cs"/>
          <w:b/>
          <w:bCs/>
          <w:sz w:val="16"/>
          <w:szCs w:val="16"/>
          <w:rtl/>
        </w:rPr>
        <w:t>)</w:t>
      </w:r>
      <w:r w:rsidRPr="00B94040">
        <w:rPr>
          <w:rFonts w:cs="Arial" w:hint="cs"/>
          <w:b/>
          <w:bCs/>
          <w:rtl/>
        </w:rPr>
        <w:t xml:space="preserve"> </w:t>
      </w:r>
      <w:r>
        <w:rPr>
          <w:rFonts w:cs="Arial" w:hint="cs"/>
          <w:b/>
          <w:bCs/>
          <w:rtl/>
        </w:rPr>
        <w:t>פו</w:t>
      </w:r>
      <w:r w:rsidRPr="00B94040">
        <w:rPr>
          <w:rFonts w:cs="Arial" w:hint="cs"/>
          <w:b/>
          <w:bCs/>
          <w:rtl/>
        </w:rPr>
        <w:t xml:space="preserve"> ע"</w:t>
      </w:r>
      <w:r>
        <w:rPr>
          <w:rFonts w:cs="Arial" w:hint="cs"/>
          <w:b/>
          <w:bCs/>
          <w:rtl/>
        </w:rPr>
        <w:t>ב</w:t>
      </w:r>
      <w:r w:rsidRPr="00B94040">
        <w:rPr>
          <w:rFonts w:cs="Arial" w:hint="cs"/>
          <w:b/>
          <w:bCs/>
          <w:rtl/>
        </w:rPr>
        <w:t>:</w:t>
      </w:r>
      <w:r>
        <w:rPr>
          <w:rFonts w:cs="Arial" w:hint="cs"/>
          <w:rtl/>
        </w:rPr>
        <w:t xml:space="preserve"> </w:t>
      </w:r>
      <w:r w:rsidRPr="002B5D2F">
        <w:rPr>
          <w:rFonts w:cs="Arial"/>
          <w:u w:val="double"/>
          <w:rtl/>
        </w:rPr>
        <w:t>מתני'</w:t>
      </w:r>
      <w:r>
        <w:rPr>
          <w:rFonts w:cs="Arial" w:hint="cs"/>
          <w:rtl/>
        </w:rPr>
        <w:t>:</w:t>
      </w:r>
      <w:r w:rsidR="00197414">
        <w:rPr>
          <w:rFonts w:cs="Arial" w:hint="cs"/>
          <w:rtl/>
        </w:rPr>
        <w:t>...</w:t>
      </w:r>
      <w:r w:rsidR="00197414" w:rsidRPr="00197414">
        <w:rPr>
          <w:rtl/>
        </w:rPr>
        <w:t xml:space="preserve"> </w:t>
      </w:r>
      <w:r w:rsidR="00197414" w:rsidRPr="00197414">
        <w:rPr>
          <w:rFonts w:cs="Arial"/>
          <w:rtl/>
        </w:rPr>
        <w:t>נדר ושבועה אין לי עליך ועל יורשיך ועל הבאים ברשותך - אינו יכול להשביעה לא היא ולא יורשיה ולא את הבאים ברשותה, אבל יורשיו משביעין אותה ואת יורשיה ואת הבאים ברשותה</w:t>
      </w:r>
      <w:r w:rsidR="00293ABE">
        <w:rPr>
          <w:rFonts w:cs="Arial" w:hint="cs"/>
          <w:rtl/>
        </w:rPr>
        <w:t>..</w:t>
      </w:r>
      <w:r w:rsidR="00197414" w:rsidRPr="00197414">
        <w:rPr>
          <w:rFonts w:cs="Arial"/>
          <w:rtl/>
        </w:rPr>
        <w:t>.</w:t>
      </w:r>
      <w:r w:rsidR="00784C53" w:rsidRPr="00784C53">
        <w:rPr>
          <w:rtl/>
        </w:rPr>
        <w:t xml:space="preserve"> </w:t>
      </w:r>
      <w:r w:rsidR="00784C53" w:rsidRPr="00784C53">
        <w:rPr>
          <w:rFonts w:hint="cs"/>
          <w:sz w:val="16"/>
          <w:szCs w:val="16"/>
          <w:rtl/>
        </w:rPr>
        <w:t>(</w:t>
      </w:r>
      <w:r w:rsidR="00784C53" w:rsidRPr="00784C53">
        <w:rPr>
          <w:rFonts w:cs="Arial"/>
          <w:sz w:val="16"/>
          <w:szCs w:val="16"/>
          <w:rtl/>
        </w:rPr>
        <w:t>בגרושה מפרשא הך בבא</w:t>
      </w:r>
      <w:r w:rsidR="00433C12">
        <w:rPr>
          <w:rFonts w:cs="Arial" w:hint="cs"/>
          <w:sz w:val="16"/>
          <w:szCs w:val="16"/>
          <w:rtl/>
        </w:rPr>
        <w:t>,</w:t>
      </w:r>
      <w:r w:rsidR="00784C53" w:rsidRPr="00784C53">
        <w:rPr>
          <w:rFonts w:cs="Arial"/>
          <w:sz w:val="16"/>
          <w:szCs w:val="16"/>
          <w:rtl/>
        </w:rPr>
        <w:t xml:space="preserve"> אבל באלמנה לא משכחת יורשין משביעין יורשין</w:t>
      </w:r>
      <w:r w:rsidR="00433C12">
        <w:rPr>
          <w:rFonts w:cs="Arial" w:hint="cs"/>
          <w:sz w:val="16"/>
          <w:szCs w:val="16"/>
          <w:rtl/>
        </w:rPr>
        <w:t>,</w:t>
      </w:r>
      <w:r w:rsidR="00784C53" w:rsidRPr="00784C53">
        <w:rPr>
          <w:rFonts w:cs="Arial"/>
          <w:sz w:val="16"/>
          <w:szCs w:val="16"/>
          <w:rtl/>
        </w:rPr>
        <w:t xml:space="preserve"> דאם לא נשבעה האלמנה אינה מורשת שבועה ליורשין</w:t>
      </w:r>
      <w:r w:rsidR="00784C53">
        <w:rPr>
          <w:rFonts w:cs="Arial" w:hint="cs"/>
          <w:sz w:val="16"/>
          <w:szCs w:val="16"/>
          <w:rtl/>
        </w:rPr>
        <w:t>, רא"ש (סי' כט))</w:t>
      </w:r>
    </w:p>
    <w:p w14:paraId="5340D962" w14:textId="432BC70E" w:rsidR="00FA6831" w:rsidRPr="00A23C95" w:rsidRDefault="00A23C95" w:rsidP="00FA6831">
      <w:pPr>
        <w:rPr>
          <w:u w:val="single"/>
          <w:rtl/>
        </w:rPr>
      </w:pPr>
      <w:r w:rsidRPr="00A23C95">
        <w:rPr>
          <w:rFonts w:hint="cs"/>
          <w:u w:val="single"/>
          <w:rtl/>
        </w:rPr>
        <w:t>הפוטר את אשתו ואת יורשיה והבאים ברשותה משבועה:</w:t>
      </w:r>
    </w:p>
    <w:p w14:paraId="2F134D2F" w14:textId="18E6FBDF" w:rsidR="001F4529" w:rsidRPr="001F4529" w:rsidRDefault="001F4529" w:rsidP="001F4529">
      <w:pPr>
        <w:pStyle w:val="ab"/>
        <w:numPr>
          <w:ilvl w:val="0"/>
          <w:numId w:val="86"/>
        </w:numPr>
      </w:pPr>
      <w:r>
        <w:rPr>
          <w:rFonts w:hint="cs"/>
          <w:rtl/>
        </w:rPr>
        <w:t>טור-</w:t>
      </w:r>
      <w:r>
        <w:rPr>
          <w:rFonts w:cs="Arial" w:hint="cs"/>
          <w:rtl/>
        </w:rPr>
        <w:t xml:space="preserve"> </w:t>
      </w:r>
      <w:r w:rsidRPr="00D71C6B">
        <w:rPr>
          <w:rFonts w:cs="Arial"/>
          <w:rtl/>
        </w:rPr>
        <w:t>כתב לה</w:t>
      </w:r>
      <w:r w:rsidR="00AC046B">
        <w:rPr>
          <w:rFonts w:cs="Arial" w:hint="cs"/>
          <w:rtl/>
        </w:rPr>
        <w:t>:</w:t>
      </w:r>
      <w:r w:rsidRPr="00D71C6B">
        <w:rPr>
          <w:rFonts w:cs="Arial"/>
          <w:rtl/>
        </w:rPr>
        <w:t xml:space="preserve"> נדר ושבועה אין לי עליך ועל יורשיך ועל הבאים ברשותך </w:t>
      </w:r>
      <w:r w:rsidR="00AC046B">
        <w:rPr>
          <w:rFonts w:cs="Arial" w:hint="cs"/>
          <w:rtl/>
        </w:rPr>
        <w:t xml:space="preserve">- </w:t>
      </w:r>
      <w:r w:rsidRPr="00D71C6B">
        <w:rPr>
          <w:rFonts w:cs="Arial"/>
          <w:rtl/>
        </w:rPr>
        <w:t>אינו יכול להשביע לא אותה ולא יורשיה ולא הבאים ברשותה שום שבועה</w:t>
      </w:r>
      <w:r w:rsidR="00AC046B">
        <w:rPr>
          <w:rFonts w:cs="Arial" w:hint="cs"/>
          <w:rtl/>
        </w:rPr>
        <w:t>.</w:t>
      </w:r>
      <w:r w:rsidRPr="00D71C6B">
        <w:rPr>
          <w:rFonts w:cs="Arial"/>
          <w:rtl/>
        </w:rPr>
        <w:t xml:space="preserve"> אבל יורשיו</w:t>
      </w:r>
      <w:r w:rsidR="00AC046B">
        <w:rPr>
          <w:rFonts w:cs="Arial" w:hint="cs"/>
          <w:rtl/>
        </w:rPr>
        <w:t>,</w:t>
      </w:r>
      <w:r w:rsidRPr="00D71C6B">
        <w:rPr>
          <w:rFonts w:cs="Arial"/>
          <w:rtl/>
        </w:rPr>
        <w:t xml:space="preserve"> או הבאים ברשותו כגון לקוחות שקנו ממנו</w:t>
      </w:r>
      <w:r w:rsidR="009B5285">
        <w:rPr>
          <w:rFonts w:cs="Arial" w:hint="cs"/>
          <w:rtl/>
        </w:rPr>
        <w:t>,</w:t>
      </w:r>
      <w:r w:rsidRPr="00D71C6B">
        <w:rPr>
          <w:rFonts w:cs="Arial"/>
          <w:rtl/>
        </w:rPr>
        <w:t xml:space="preserve"> משביעין אותה ואת יורשיה ואת הבאים ברשותה</w:t>
      </w:r>
      <w:r w:rsidR="009B5285">
        <w:rPr>
          <w:rFonts w:cs="Arial" w:hint="cs"/>
          <w:rtl/>
        </w:rPr>
        <w:t>,</w:t>
      </w:r>
      <w:r w:rsidRPr="00D71C6B">
        <w:rPr>
          <w:rFonts w:cs="Arial"/>
          <w:rtl/>
        </w:rPr>
        <w:t xml:space="preserve"> כגון אם נתגרשה ומתה</w:t>
      </w:r>
      <w:r w:rsidR="009B5285">
        <w:rPr>
          <w:rFonts w:cs="Arial" w:hint="cs"/>
          <w:rtl/>
        </w:rPr>
        <w:t>.</w:t>
      </w:r>
      <w:r w:rsidRPr="00D71C6B">
        <w:rPr>
          <w:rFonts w:cs="Arial"/>
          <w:rtl/>
        </w:rPr>
        <w:t xml:space="preserve"> אבל נתאלמנה ומתה קודם שנשבעה אין יורשיה יורשין כתובתה כדפירשתי לעיל</w:t>
      </w:r>
      <w:r w:rsidR="00197414">
        <w:rPr>
          <w:rFonts w:cs="Arial" w:hint="cs"/>
          <w:rtl/>
        </w:rPr>
        <w:t xml:space="preserve"> (סי' צו)</w:t>
      </w:r>
      <w:r>
        <w:rPr>
          <w:rFonts w:cs="Arial" w:hint="cs"/>
          <w:rtl/>
        </w:rPr>
        <w:t>.</w:t>
      </w:r>
      <w:r w:rsidR="00197414" w:rsidRPr="00197414">
        <w:rPr>
          <w:rFonts w:hint="cs"/>
          <w:color w:val="E36C0A" w:themeColor="accent6" w:themeShade="BF"/>
          <w:rtl/>
        </w:rPr>
        <w:t xml:space="preserve"> </w:t>
      </w:r>
      <w:r w:rsidR="00197414" w:rsidRPr="008631A7">
        <w:rPr>
          <w:rFonts w:hint="cs"/>
          <w:color w:val="E36C0A" w:themeColor="accent6" w:themeShade="BF"/>
          <w:rtl/>
        </w:rPr>
        <w:t>(וכ"</w:t>
      </w:r>
      <w:r w:rsidR="00197414">
        <w:rPr>
          <w:rFonts w:hint="cs"/>
          <w:color w:val="E36C0A" w:themeColor="accent6" w:themeShade="BF"/>
          <w:rtl/>
        </w:rPr>
        <w:t>פ</w:t>
      </w:r>
      <w:r w:rsidR="00197414" w:rsidRPr="008631A7">
        <w:rPr>
          <w:rFonts w:hint="cs"/>
          <w:color w:val="E36C0A" w:themeColor="accent6" w:themeShade="BF"/>
          <w:rtl/>
        </w:rPr>
        <w:t xml:space="preserve"> בשו"ע)</w:t>
      </w:r>
      <w:r w:rsidR="00197414" w:rsidRPr="00D71C6B">
        <w:rPr>
          <w:rFonts w:cs="Arial"/>
          <w:rtl/>
        </w:rPr>
        <w:t xml:space="preserve"> </w:t>
      </w:r>
      <w:r w:rsidRPr="00D71C6B">
        <w:rPr>
          <w:rFonts w:cs="Arial"/>
          <w:rtl/>
        </w:rPr>
        <w:t xml:space="preserve"> </w:t>
      </w:r>
    </w:p>
    <w:p w14:paraId="71A1985C"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1743F29" w14:textId="54B2CAE9" w:rsidR="0016235F" w:rsidRDefault="00392DBB" w:rsidP="00392DBB">
      <w:pPr>
        <w:rPr>
          <w:rFonts w:cs="Arial"/>
          <w:rtl/>
        </w:rPr>
      </w:pPr>
      <w:r>
        <w:rPr>
          <w:rFonts w:cs="Arial"/>
          <w:rtl/>
        </w:rPr>
        <w:t>כתב לה: נדר ושבועה אין לי עליך ועל יורשיך ועל הבאים ברשותיך, אינו יכול להשביע לא אותה ולא יורשיה ולא את הבאים ברשותה שום שבועה, אבל יורשיו והבאים ברשותו, כגון לקוחות שקנו ממנו, משביעים אותה ואת יורשיה ואת הבאים ברשותה, כגון אם נתגרשה ומתה</w:t>
      </w:r>
      <w:r w:rsidR="00F90600">
        <w:rPr>
          <w:rFonts w:cs="Arial" w:hint="cs"/>
          <w:rtl/>
        </w:rPr>
        <w:t>.</w:t>
      </w:r>
      <w:r>
        <w:rPr>
          <w:rFonts w:cs="Arial"/>
          <w:rtl/>
        </w:rPr>
        <w:t xml:space="preserve"> אבל אם נתאלמנה ומתה קודם שנשבעה, אין יורשיה ולא הבאים ברשותה גובין כתובתה.</w:t>
      </w:r>
    </w:p>
    <w:p w14:paraId="4C79A20B" w14:textId="15A04B01" w:rsidR="00DB4A4E" w:rsidRPr="00824B96" w:rsidRDefault="00DB4A4E" w:rsidP="00392DBB">
      <w:pPr>
        <w:rPr>
          <w:rFonts w:cs="Arial"/>
          <w:u w:val="single"/>
          <w:rtl/>
        </w:rPr>
      </w:pPr>
      <w:r w:rsidRPr="00824B96">
        <w:rPr>
          <w:rFonts w:cs="Arial" w:hint="cs"/>
          <w:u w:val="single"/>
          <w:rtl/>
        </w:rPr>
        <w:t xml:space="preserve">נאמנות שנכתבת </w:t>
      </w:r>
      <w:r w:rsidR="00F06771" w:rsidRPr="00824B96">
        <w:rPr>
          <w:rFonts w:cs="Arial" w:hint="cs"/>
          <w:u w:val="single"/>
          <w:rtl/>
        </w:rPr>
        <w:t>בכתובה, וכתוב שם שתהא נאמנת גם במותו</w:t>
      </w:r>
      <w:r w:rsidR="00824B96">
        <w:rPr>
          <w:rFonts w:cs="Arial" w:hint="cs"/>
          <w:u w:val="single"/>
          <w:rtl/>
        </w:rPr>
        <w:t xml:space="preserve"> -</w:t>
      </w:r>
      <w:r w:rsidR="00F06771" w:rsidRPr="00824B96">
        <w:rPr>
          <w:rFonts w:cs="Arial" w:hint="cs"/>
          <w:u w:val="single"/>
          <w:rtl/>
        </w:rPr>
        <w:t xml:space="preserve"> האם </w:t>
      </w:r>
      <w:r w:rsidR="00824B96" w:rsidRPr="00824B96">
        <w:rPr>
          <w:rFonts w:cs="Arial" w:hint="cs"/>
          <w:u w:val="single"/>
          <w:rtl/>
        </w:rPr>
        <w:t>הוי נאמנות ליורשים:</w:t>
      </w:r>
      <w:r w:rsidR="00F06771" w:rsidRPr="00824B96">
        <w:rPr>
          <w:rFonts w:cs="Arial" w:hint="cs"/>
          <w:u w:val="single"/>
          <w:rtl/>
        </w:rPr>
        <w:t xml:space="preserve"> </w:t>
      </w:r>
    </w:p>
    <w:p w14:paraId="3199110F" w14:textId="272FA916" w:rsidR="00197414" w:rsidRPr="00824B96" w:rsidRDefault="00DB4A4E" w:rsidP="00824B96">
      <w:pPr>
        <w:pStyle w:val="ab"/>
        <w:numPr>
          <w:ilvl w:val="0"/>
          <w:numId w:val="86"/>
        </w:numPr>
        <w:rPr>
          <w:rFonts w:cs="Arial"/>
          <w:rtl/>
        </w:rPr>
      </w:pPr>
      <w:r w:rsidRPr="00824B96">
        <w:rPr>
          <w:rFonts w:cs="Arial" w:hint="cs"/>
          <w:rtl/>
        </w:rPr>
        <w:t xml:space="preserve">פת"ש </w:t>
      </w:r>
      <w:r w:rsidRPr="00824B96">
        <w:rPr>
          <w:rFonts w:cs="Arial" w:hint="cs"/>
          <w:sz w:val="16"/>
          <w:szCs w:val="16"/>
          <w:rtl/>
        </w:rPr>
        <w:t>(סק"א)</w:t>
      </w:r>
      <w:r w:rsidRPr="00824B96">
        <w:rPr>
          <w:rFonts w:cs="Arial" w:hint="cs"/>
          <w:rtl/>
        </w:rPr>
        <w:t xml:space="preserve">- </w:t>
      </w:r>
      <w:r w:rsidR="007C62DE" w:rsidRPr="00824B96">
        <w:rPr>
          <w:rFonts w:cs="Arial"/>
          <w:rtl/>
        </w:rPr>
        <w:t xml:space="preserve">ע' בתשו' נו"ב </w:t>
      </w:r>
      <w:r w:rsidR="006378B4" w:rsidRPr="00824B96">
        <w:rPr>
          <w:rFonts w:cs="Arial" w:hint="cs"/>
          <w:rtl/>
        </w:rPr>
        <w:t>(</w:t>
      </w:r>
      <w:r w:rsidR="007C62DE" w:rsidRPr="00824B96">
        <w:rPr>
          <w:rFonts w:cs="Arial"/>
          <w:rtl/>
        </w:rPr>
        <w:t>ח</w:t>
      </w:r>
      <w:r w:rsidR="006378B4" w:rsidRPr="00824B96">
        <w:rPr>
          <w:rFonts w:cs="Arial" w:hint="cs"/>
          <w:rtl/>
        </w:rPr>
        <w:t>ו</w:t>
      </w:r>
      <w:r w:rsidR="007C62DE" w:rsidRPr="00824B96">
        <w:rPr>
          <w:rFonts w:cs="Arial"/>
          <w:rtl/>
        </w:rPr>
        <w:t>"מ ס"ס יח</w:t>
      </w:r>
      <w:r w:rsidR="006378B4" w:rsidRPr="00824B96">
        <w:rPr>
          <w:rFonts w:cs="Arial" w:hint="cs"/>
          <w:rtl/>
        </w:rPr>
        <w:t>)</w:t>
      </w:r>
      <w:r w:rsidR="007C62DE" w:rsidRPr="00824B96">
        <w:rPr>
          <w:rFonts w:cs="Arial"/>
          <w:rtl/>
        </w:rPr>
        <w:t xml:space="preserve"> שכ</w:t>
      </w:r>
      <w:r w:rsidR="006378B4" w:rsidRPr="00824B96">
        <w:rPr>
          <w:rFonts w:cs="Arial" w:hint="cs"/>
          <w:rtl/>
        </w:rPr>
        <w:t>תב:</w:t>
      </w:r>
      <w:r w:rsidR="007C62DE" w:rsidRPr="00824B96">
        <w:rPr>
          <w:rFonts w:cs="Arial"/>
          <w:rtl/>
        </w:rPr>
        <w:t xml:space="preserve"> נ"ל דבר חדש</w:t>
      </w:r>
      <w:r w:rsidR="006378B4" w:rsidRPr="00824B96">
        <w:rPr>
          <w:rFonts w:cs="Arial" w:hint="cs"/>
          <w:rtl/>
        </w:rPr>
        <w:t>,</w:t>
      </w:r>
      <w:r w:rsidR="007C62DE" w:rsidRPr="00824B96">
        <w:rPr>
          <w:rFonts w:cs="Arial"/>
          <w:rtl/>
        </w:rPr>
        <w:t xml:space="preserve"> דזה כשנותן לה כתב בפני עצמה על הנאמנות אז אמרינן שלא האמינה רק על עצמו ולא על יורשיו היכא שלא פירש בהדיא גם על יורשיו</w:t>
      </w:r>
      <w:r w:rsidR="006378B4" w:rsidRPr="00824B96">
        <w:rPr>
          <w:rFonts w:cs="Arial" w:hint="cs"/>
          <w:rtl/>
        </w:rPr>
        <w:t>.</w:t>
      </w:r>
      <w:r w:rsidR="007C62DE" w:rsidRPr="00824B96">
        <w:rPr>
          <w:rFonts w:cs="Arial"/>
          <w:rtl/>
        </w:rPr>
        <w:t xml:space="preserve"> אבל בתוספת כתובה דנהיגי האידנא שכתוב בהו נאמנות</w:t>
      </w:r>
      <w:r w:rsidR="006378B4" w:rsidRPr="00824B96">
        <w:rPr>
          <w:rFonts w:cs="Arial" w:hint="cs"/>
          <w:rtl/>
        </w:rPr>
        <w:t>,</w:t>
      </w:r>
      <w:r w:rsidR="007C62DE" w:rsidRPr="00824B96">
        <w:rPr>
          <w:rFonts w:cs="Arial"/>
          <w:rtl/>
        </w:rPr>
        <w:t xml:space="preserve"> כיון שכתובה זו מפורש לפרוע שטר כתובה דין בחיי ובמותי </w:t>
      </w:r>
      <w:r w:rsidR="00C03377" w:rsidRPr="00824B96">
        <w:rPr>
          <w:rFonts w:cs="Arial" w:hint="cs"/>
          <w:rtl/>
        </w:rPr>
        <w:t xml:space="preserve">- </w:t>
      </w:r>
      <w:r w:rsidR="007C62DE" w:rsidRPr="00824B96">
        <w:rPr>
          <w:rFonts w:cs="Arial"/>
          <w:rtl/>
        </w:rPr>
        <w:t>גם הנאמנות הוא בחיי ובמותי והרי האמינה גם נגד יורשיו. וא</w:t>
      </w:r>
      <w:r w:rsidR="00C03377" w:rsidRPr="00824B96">
        <w:rPr>
          <w:rFonts w:cs="Arial" w:hint="cs"/>
          <w:rtl/>
        </w:rPr>
        <w:t>ין לומר</w:t>
      </w:r>
      <w:r w:rsidR="007C62DE" w:rsidRPr="00824B96">
        <w:rPr>
          <w:rFonts w:cs="Arial"/>
          <w:rtl/>
        </w:rPr>
        <w:t xml:space="preserve"> דכיון שנהגו לכתוב נאמנות בלא המלכת בעלים לא מהני כמבואר בח</w:t>
      </w:r>
      <w:r w:rsidR="00C03377" w:rsidRPr="00824B96">
        <w:rPr>
          <w:rFonts w:cs="Arial" w:hint="cs"/>
          <w:rtl/>
        </w:rPr>
        <w:t>ו</w:t>
      </w:r>
      <w:r w:rsidR="007C62DE" w:rsidRPr="00824B96">
        <w:rPr>
          <w:rFonts w:cs="Arial"/>
          <w:rtl/>
        </w:rPr>
        <w:t xml:space="preserve">"מ </w:t>
      </w:r>
      <w:r w:rsidR="00C03377" w:rsidRPr="00824B96">
        <w:rPr>
          <w:rFonts w:cs="Arial" w:hint="cs"/>
          <w:rtl/>
        </w:rPr>
        <w:t>(</w:t>
      </w:r>
      <w:r w:rsidR="007C62DE" w:rsidRPr="00824B96">
        <w:rPr>
          <w:rFonts w:cs="Arial"/>
          <w:rtl/>
        </w:rPr>
        <w:t>סי' עא סע</w:t>
      </w:r>
      <w:r w:rsidR="00C03377" w:rsidRPr="00824B96">
        <w:rPr>
          <w:rFonts w:cs="Arial" w:hint="cs"/>
          <w:rtl/>
        </w:rPr>
        <w:t>'</w:t>
      </w:r>
      <w:r w:rsidR="007C62DE" w:rsidRPr="00824B96">
        <w:rPr>
          <w:rFonts w:cs="Arial"/>
          <w:rtl/>
        </w:rPr>
        <w:t xml:space="preserve"> יד</w:t>
      </w:r>
      <w:r w:rsidR="00C03377" w:rsidRPr="00824B96">
        <w:rPr>
          <w:rFonts w:cs="Arial" w:hint="cs"/>
          <w:rtl/>
        </w:rPr>
        <w:t>)</w:t>
      </w:r>
      <w:r w:rsidR="00A024E4" w:rsidRPr="00824B96">
        <w:rPr>
          <w:rFonts w:cs="Arial" w:hint="cs"/>
          <w:rtl/>
        </w:rPr>
        <w:t>,</w:t>
      </w:r>
      <w:r w:rsidR="007C62DE" w:rsidRPr="00824B96">
        <w:rPr>
          <w:rFonts w:cs="Arial"/>
          <w:rtl/>
        </w:rPr>
        <w:t xml:space="preserve"> זה אינו</w:t>
      </w:r>
      <w:r w:rsidR="00A024E4" w:rsidRPr="00824B96">
        <w:rPr>
          <w:rFonts w:cs="Arial" w:hint="cs"/>
          <w:rtl/>
        </w:rPr>
        <w:t>,</w:t>
      </w:r>
      <w:r w:rsidR="007C62DE" w:rsidRPr="00824B96">
        <w:rPr>
          <w:rFonts w:cs="Arial"/>
          <w:rtl/>
        </w:rPr>
        <w:t xml:space="preserve"> חדא דזה דוקא כשעדים אומרים בפירוש שכתב הנאמנות בלא המלכת בעליה</w:t>
      </w:r>
      <w:r w:rsidR="00C03377" w:rsidRPr="00824B96">
        <w:rPr>
          <w:rFonts w:cs="Arial" w:hint="cs"/>
          <w:rtl/>
        </w:rPr>
        <w:t>,</w:t>
      </w:r>
      <w:r w:rsidR="007C62DE" w:rsidRPr="00824B96">
        <w:rPr>
          <w:rFonts w:cs="Arial"/>
          <w:rtl/>
        </w:rPr>
        <w:t xml:space="preserve"> וגם בזה מפקפק הש"ך שם </w:t>
      </w:r>
      <w:r w:rsidR="00C03377" w:rsidRPr="00824B96">
        <w:rPr>
          <w:rFonts w:cs="Arial" w:hint="cs"/>
          <w:rtl/>
        </w:rPr>
        <w:t>(</w:t>
      </w:r>
      <w:r w:rsidR="007C62DE" w:rsidRPr="00824B96">
        <w:rPr>
          <w:rFonts w:cs="Arial"/>
          <w:rtl/>
        </w:rPr>
        <w:t>סק</w:t>
      </w:r>
      <w:r w:rsidR="00A024E4" w:rsidRPr="00824B96">
        <w:rPr>
          <w:rFonts w:cs="Arial" w:hint="cs"/>
          <w:rtl/>
        </w:rPr>
        <w:t>ל</w:t>
      </w:r>
      <w:r w:rsidR="007C62DE" w:rsidRPr="00824B96">
        <w:rPr>
          <w:rFonts w:cs="Arial"/>
          <w:rtl/>
        </w:rPr>
        <w:t>"א</w:t>
      </w:r>
      <w:r w:rsidR="00C03377" w:rsidRPr="00824B96">
        <w:rPr>
          <w:rFonts w:cs="Arial" w:hint="cs"/>
          <w:rtl/>
        </w:rPr>
        <w:t>).</w:t>
      </w:r>
      <w:r w:rsidR="007C62DE" w:rsidRPr="00824B96">
        <w:rPr>
          <w:rFonts w:cs="Arial"/>
          <w:rtl/>
        </w:rPr>
        <w:t xml:space="preserve"> אבל בקהילתינו שהבעל בעצמו חותם בח</w:t>
      </w:r>
      <w:r w:rsidR="0005514B" w:rsidRPr="00824B96">
        <w:rPr>
          <w:rFonts w:cs="Arial" w:hint="cs"/>
          <w:rtl/>
        </w:rPr>
        <w:t>"י</w:t>
      </w:r>
      <w:r w:rsidR="007C62DE" w:rsidRPr="00824B96">
        <w:rPr>
          <w:rFonts w:cs="Arial"/>
          <w:rtl/>
        </w:rPr>
        <w:t xml:space="preserve"> ג"כ</w:t>
      </w:r>
      <w:r w:rsidR="0005514B" w:rsidRPr="00824B96">
        <w:rPr>
          <w:rFonts w:cs="Arial" w:hint="cs"/>
          <w:rtl/>
        </w:rPr>
        <w:t>,</w:t>
      </w:r>
      <w:r w:rsidR="007C62DE" w:rsidRPr="00824B96">
        <w:rPr>
          <w:rFonts w:cs="Arial"/>
          <w:rtl/>
        </w:rPr>
        <w:t xml:space="preserve"> הרי נשתעבד בכל מה שכתוב בשטר</w:t>
      </w:r>
      <w:r w:rsidR="0005514B" w:rsidRPr="00824B96">
        <w:rPr>
          <w:rFonts w:cs="Arial" w:hint="cs"/>
          <w:rtl/>
        </w:rPr>
        <w:t>.</w:t>
      </w:r>
      <w:r w:rsidR="007C62DE" w:rsidRPr="00824B96">
        <w:rPr>
          <w:rFonts w:cs="Arial"/>
          <w:rtl/>
        </w:rPr>
        <w:t xml:space="preserve"> ובפרט בנ"ד (בעובדא דידיה דמיירי שהאשה </w:t>
      </w:r>
      <w:r w:rsidR="007C62DE" w:rsidRPr="00824B96">
        <w:rPr>
          <w:rFonts w:cs="Arial"/>
          <w:rtl/>
        </w:rPr>
        <w:lastRenderedPageBreak/>
        <w:t xml:space="preserve">מתה קודם שנשבעה) כבר כ' הרשב"א </w:t>
      </w:r>
      <w:r w:rsidR="000810D5">
        <w:rPr>
          <w:rFonts w:cs="Arial" w:hint="cs"/>
          <w:rtl/>
        </w:rPr>
        <w:t>(</w:t>
      </w:r>
      <w:r w:rsidR="007C62DE" w:rsidRPr="00824B96">
        <w:rPr>
          <w:rFonts w:cs="Arial"/>
          <w:rtl/>
        </w:rPr>
        <w:t>הובא בב"י סי' צו</w:t>
      </w:r>
      <w:r w:rsidR="000810D5">
        <w:rPr>
          <w:rFonts w:cs="Arial" w:hint="cs"/>
          <w:rtl/>
        </w:rPr>
        <w:t>)</w:t>
      </w:r>
      <w:r w:rsidR="007C62DE" w:rsidRPr="00824B96">
        <w:rPr>
          <w:rFonts w:cs="Arial"/>
          <w:rtl/>
        </w:rPr>
        <w:t xml:space="preserve"> שאפילו במקום דלא מהני הנאמנות ע"פ דין לפטור משבועה מ"מ עכ"פ מועיל דלא אמרינן ביה דין יתומים מיתומים ע"ש עכ"ד. ונ"ל דזה שכ' אבל בקהילתינו שהבעל בעצמו חותם כו' לרווחא דמלתא כ' כן</w:t>
      </w:r>
      <w:r w:rsidR="0005514B" w:rsidRPr="00824B96">
        <w:rPr>
          <w:rFonts w:cs="Arial" w:hint="cs"/>
          <w:rtl/>
        </w:rPr>
        <w:t>,</w:t>
      </w:r>
      <w:r w:rsidR="007C62DE" w:rsidRPr="00824B96">
        <w:rPr>
          <w:rFonts w:cs="Arial"/>
          <w:rtl/>
        </w:rPr>
        <w:t xml:space="preserve"> אבל באמת א"צ לזה לפי המבואר שם בריש דבריו</w:t>
      </w:r>
      <w:r w:rsidR="0005514B" w:rsidRPr="00824B96">
        <w:rPr>
          <w:rFonts w:cs="Arial" w:hint="cs"/>
          <w:rtl/>
        </w:rPr>
        <w:t>,</w:t>
      </w:r>
      <w:r w:rsidR="007C62DE" w:rsidRPr="00824B96">
        <w:rPr>
          <w:rFonts w:cs="Arial"/>
          <w:rtl/>
        </w:rPr>
        <w:t xml:space="preserve"> דבכל כתובות הנעשים בעירו כותבין בהם נאמנות</w:t>
      </w:r>
      <w:r w:rsidRPr="00824B96">
        <w:rPr>
          <w:rFonts w:cs="Arial" w:hint="cs"/>
          <w:rtl/>
        </w:rPr>
        <w:t>,</w:t>
      </w:r>
      <w:r w:rsidR="007C62DE" w:rsidRPr="00824B96">
        <w:rPr>
          <w:rFonts w:cs="Arial"/>
          <w:rtl/>
        </w:rPr>
        <w:t xml:space="preserve"> משמע דפשט כן המנהג</w:t>
      </w:r>
      <w:r w:rsidRPr="00824B96">
        <w:rPr>
          <w:rFonts w:cs="Arial" w:hint="cs"/>
          <w:rtl/>
        </w:rPr>
        <w:t>.</w:t>
      </w:r>
      <w:r w:rsidR="007C62DE" w:rsidRPr="00824B96">
        <w:rPr>
          <w:rFonts w:cs="Arial"/>
          <w:rtl/>
        </w:rPr>
        <w:t xml:space="preserve"> וא"כ הרי מבואר בח"מ סי' ע"א שם וביותר בסי' ס"א ס"ה דאם הי' מנהג פשוט כו' ע"ש</w:t>
      </w:r>
      <w:r w:rsidR="006E505A" w:rsidRPr="00824B96">
        <w:rPr>
          <w:rFonts w:cs="Arial" w:hint="cs"/>
          <w:rtl/>
        </w:rPr>
        <w:t>.</w:t>
      </w:r>
    </w:p>
    <w:p w14:paraId="2898E30E" w14:textId="70596C35" w:rsidR="00392DBB" w:rsidRDefault="00392DBB" w:rsidP="00392DBB">
      <w:pPr>
        <w:rPr>
          <w:rtl/>
        </w:rPr>
      </w:pPr>
      <w:r>
        <w:rPr>
          <w:rFonts w:cs="Arial"/>
          <w:rtl/>
        </w:rPr>
        <w:t xml:space="preserve"> </w:t>
      </w:r>
    </w:p>
    <w:p w14:paraId="49226890" w14:textId="31C88BE0" w:rsidR="00F90600" w:rsidRPr="00F90600" w:rsidRDefault="00392DBB" w:rsidP="000F64D0">
      <w:pPr>
        <w:pStyle w:val="2"/>
        <w:rPr>
          <w:rtl/>
        </w:rPr>
      </w:pPr>
      <w:r>
        <w:rPr>
          <w:rtl/>
        </w:rPr>
        <w:t>סעיף ד</w:t>
      </w:r>
      <w:r w:rsidR="00197414">
        <w:rPr>
          <w:rFonts w:hint="cs"/>
          <w:rtl/>
        </w:rPr>
        <w:t>:</w:t>
      </w:r>
      <w:r w:rsidR="00F90600" w:rsidRPr="00F90600">
        <w:rPr>
          <w:rFonts w:hint="cs"/>
          <w:rtl/>
        </w:rPr>
        <w:t xml:space="preserve"> </w:t>
      </w:r>
      <w:r w:rsidR="00F90600">
        <w:rPr>
          <w:rFonts w:hint="cs"/>
          <w:rtl/>
        </w:rPr>
        <w:t>ה</w:t>
      </w:r>
      <w:r w:rsidR="00F90600" w:rsidRPr="008B1E9D">
        <w:rPr>
          <w:rFonts w:hint="cs"/>
          <w:rtl/>
        </w:rPr>
        <w:t>פ</w:t>
      </w:r>
      <w:r w:rsidR="00F90600">
        <w:rPr>
          <w:rFonts w:hint="cs"/>
          <w:rtl/>
        </w:rPr>
        <w:t>ו</w:t>
      </w:r>
      <w:r w:rsidR="00F90600" w:rsidRPr="008B1E9D">
        <w:rPr>
          <w:rFonts w:hint="cs"/>
          <w:rtl/>
        </w:rPr>
        <w:t xml:space="preserve">טר את אשתו </w:t>
      </w:r>
      <w:r w:rsidR="00F90600">
        <w:rPr>
          <w:rFonts w:hint="cs"/>
          <w:rtl/>
        </w:rPr>
        <w:t xml:space="preserve">ואת יורשיה והבאים ברשותה </w:t>
      </w:r>
      <w:r w:rsidR="00F90600" w:rsidRPr="008B1E9D">
        <w:rPr>
          <w:rFonts w:hint="cs"/>
          <w:rtl/>
        </w:rPr>
        <w:t>משבועה</w:t>
      </w:r>
      <w:r w:rsidR="00573386">
        <w:rPr>
          <w:rFonts w:hint="cs"/>
          <w:rtl/>
        </w:rPr>
        <w:t>, ממנו ומיורשיו.</w:t>
      </w:r>
    </w:p>
    <w:p w14:paraId="0FF115E2" w14:textId="1E512FCD" w:rsidR="00433C12" w:rsidRDefault="00197414" w:rsidP="004655C4">
      <w:pPr>
        <w:rPr>
          <w:rtl/>
        </w:rPr>
      </w:pPr>
      <w:r>
        <w:rPr>
          <w:rFonts w:cs="Arial" w:hint="cs"/>
          <w:b/>
          <w:bCs/>
          <w:rtl/>
        </w:rPr>
        <w:t xml:space="preserve">כתובות </w:t>
      </w:r>
      <w:r w:rsidRPr="00B94040">
        <w:rPr>
          <w:rFonts w:cs="Arial" w:hint="cs"/>
          <w:b/>
          <w:bCs/>
          <w:sz w:val="16"/>
          <w:szCs w:val="16"/>
          <w:rtl/>
        </w:rPr>
        <w:t>(פ' ה</w:t>
      </w:r>
      <w:r>
        <w:rPr>
          <w:rFonts w:cs="Arial" w:hint="cs"/>
          <w:b/>
          <w:bCs/>
          <w:sz w:val="16"/>
          <w:szCs w:val="16"/>
          <w:rtl/>
        </w:rPr>
        <w:t>כותב</w:t>
      </w:r>
      <w:r w:rsidRPr="00B94040">
        <w:rPr>
          <w:rFonts w:cs="Arial" w:hint="cs"/>
          <w:b/>
          <w:bCs/>
          <w:sz w:val="16"/>
          <w:szCs w:val="16"/>
          <w:rtl/>
        </w:rPr>
        <w:t>)</w:t>
      </w:r>
      <w:r w:rsidRPr="00B94040">
        <w:rPr>
          <w:rFonts w:cs="Arial" w:hint="cs"/>
          <w:b/>
          <w:bCs/>
          <w:rtl/>
        </w:rPr>
        <w:t xml:space="preserve"> </w:t>
      </w:r>
      <w:r>
        <w:rPr>
          <w:rFonts w:cs="Arial" w:hint="cs"/>
          <w:b/>
          <w:bCs/>
          <w:rtl/>
        </w:rPr>
        <w:t>פו</w:t>
      </w:r>
      <w:r w:rsidR="00CA0623">
        <w:rPr>
          <w:rStyle w:val="a7"/>
          <w:rFonts w:cs="Arial"/>
          <w:b/>
          <w:bCs/>
          <w:rtl/>
        </w:rPr>
        <w:footnoteReference w:id="1810"/>
      </w:r>
      <w:r w:rsidRPr="00B94040">
        <w:rPr>
          <w:rFonts w:cs="Arial" w:hint="cs"/>
          <w:b/>
          <w:bCs/>
          <w:rtl/>
        </w:rPr>
        <w:t xml:space="preserve"> ע"</w:t>
      </w:r>
      <w:r>
        <w:rPr>
          <w:rFonts w:cs="Arial" w:hint="cs"/>
          <w:b/>
          <w:bCs/>
          <w:rtl/>
        </w:rPr>
        <w:t>ב</w:t>
      </w:r>
      <w:r w:rsidRPr="00B94040">
        <w:rPr>
          <w:rFonts w:cs="Arial" w:hint="cs"/>
          <w:b/>
          <w:bCs/>
          <w:rtl/>
        </w:rPr>
        <w:t>:</w:t>
      </w:r>
      <w:r>
        <w:rPr>
          <w:rFonts w:cs="Arial" w:hint="cs"/>
          <w:rtl/>
        </w:rPr>
        <w:t xml:space="preserve"> </w:t>
      </w:r>
      <w:r w:rsidRPr="002B5D2F">
        <w:rPr>
          <w:rFonts w:cs="Arial"/>
          <w:u w:val="double"/>
          <w:rtl/>
        </w:rPr>
        <w:t>מתני'</w:t>
      </w:r>
      <w:r>
        <w:rPr>
          <w:rFonts w:cs="Arial" w:hint="cs"/>
          <w:rtl/>
        </w:rPr>
        <w:t>:...</w:t>
      </w:r>
      <w:r w:rsidR="00293ABE" w:rsidRPr="00293ABE">
        <w:rPr>
          <w:rtl/>
        </w:rPr>
        <w:t xml:space="preserve"> </w:t>
      </w:r>
      <w:r w:rsidR="00293ABE" w:rsidRPr="00293ABE">
        <w:rPr>
          <w:rFonts w:cs="Arial"/>
          <w:rtl/>
        </w:rPr>
        <w:t>נדר ושבועה אין לי ולא ליורשי ולא לבאים ברשותי עליך ועל יורשיך ועל הבאים ברשותיך - אינו יכול להשביעה לא הוא ולא יורשיו ולא הבאים ברשותו לא אותה ולא יורשיה ולא הבאים ברשותה.</w:t>
      </w:r>
      <w:r w:rsidR="00293ABE">
        <w:rPr>
          <w:rFonts w:hint="cs"/>
          <w:rtl/>
        </w:rPr>
        <w:t>..</w:t>
      </w:r>
      <w:r w:rsidR="004655C4">
        <w:rPr>
          <w:rFonts w:hint="cs"/>
          <w:rtl/>
        </w:rPr>
        <w:t xml:space="preserve"> </w:t>
      </w:r>
      <w:r w:rsidR="004655C4" w:rsidRPr="004655C4">
        <w:rPr>
          <w:rFonts w:hint="cs"/>
          <w:sz w:val="16"/>
          <w:szCs w:val="16"/>
          <w:rtl/>
        </w:rPr>
        <w:t>(</w:t>
      </w:r>
      <w:r w:rsidR="00433C12" w:rsidRPr="004655C4">
        <w:rPr>
          <w:rFonts w:cs="Arial"/>
          <w:sz w:val="16"/>
          <w:szCs w:val="16"/>
          <w:rtl/>
        </w:rPr>
        <w:t>ואף אם פגמה כתובתה מן היורשין</w:t>
      </w:r>
      <w:r w:rsidR="0028427F" w:rsidRPr="004655C4">
        <w:rPr>
          <w:rFonts w:cs="Arial" w:hint="cs"/>
          <w:sz w:val="16"/>
          <w:szCs w:val="16"/>
          <w:rtl/>
        </w:rPr>
        <w:t>,</w:t>
      </w:r>
      <w:r w:rsidR="00433C12" w:rsidRPr="004655C4">
        <w:rPr>
          <w:rFonts w:cs="Arial"/>
          <w:sz w:val="16"/>
          <w:szCs w:val="16"/>
          <w:rtl/>
        </w:rPr>
        <w:t xml:space="preserve"> או יורשיה מן הבעל</w:t>
      </w:r>
      <w:r w:rsidR="0028427F" w:rsidRPr="004655C4">
        <w:rPr>
          <w:rFonts w:cs="Arial" w:hint="cs"/>
          <w:sz w:val="16"/>
          <w:szCs w:val="16"/>
          <w:rtl/>
        </w:rPr>
        <w:t>,</w:t>
      </w:r>
      <w:r w:rsidR="00433C12" w:rsidRPr="004655C4">
        <w:rPr>
          <w:rFonts w:cs="Arial"/>
          <w:sz w:val="16"/>
          <w:szCs w:val="16"/>
          <w:rtl/>
        </w:rPr>
        <w:t xml:space="preserve"> או יורשין מן היורשין </w:t>
      </w:r>
      <w:r w:rsidR="0028427F" w:rsidRPr="004655C4">
        <w:rPr>
          <w:rFonts w:cs="Arial" w:hint="cs"/>
          <w:sz w:val="16"/>
          <w:szCs w:val="16"/>
          <w:rtl/>
        </w:rPr>
        <w:t xml:space="preserve">- </w:t>
      </w:r>
      <w:r w:rsidR="00433C12" w:rsidRPr="004655C4">
        <w:rPr>
          <w:rFonts w:cs="Arial"/>
          <w:sz w:val="16"/>
          <w:szCs w:val="16"/>
          <w:rtl/>
        </w:rPr>
        <w:t>פטורין מן השבועה</w:t>
      </w:r>
      <w:r w:rsidR="009C63E1" w:rsidRPr="004655C4">
        <w:rPr>
          <w:rFonts w:cs="Arial" w:hint="cs"/>
          <w:sz w:val="16"/>
          <w:szCs w:val="16"/>
          <w:rtl/>
        </w:rPr>
        <w:t>.</w:t>
      </w:r>
      <w:r w:rsidR="00433C12" w:rsidRPr="004655C4">
        <w:rPr>
          <w:rFonts w:cs="Arial"/>
          <w:sz w:val="16"/>
          <w:szCs w:val="16"/>
          <w:rtl/>
        </w:rPr>
        <w:t xml:space="preserve"> ולא דמי לשבועת אפוטרופסות דאע"פ שפטרה ממנו ומיורשיו אם נעשית אפוטרופוס אחר מיתת בעלה צריכה לישבע</w:t>
      </w:r>
      <w:r w:rsidR="009C63E1" w:rsidRPr="004655C4">
        <w:rPr>
          <w:rFonts w:cs="Arial" w:hint="cs"/>
          <w:sz w:val="16"/>
          <w:szCs w:val="16"/>
          <w:rtl/>
        </w:rPr>
        <w:t>,</w:t>
      </w:r>
      <w:r w:rsidR="00433C12" w:rsidRPr="004655C4">
        <w:rPr>
          <w:rFonts w:cs="Arial"/>
          <w:sz w:val="16"/>
          <w:szCs w:val="16"/>
          <w:rtl/>
        </w:rPr>
        <w:t xml:space="preserve"> דהתם לא פטרה אלא מאפוטרופסות של ממונו שאף יורשין לא ישביעוה על שנעשית אפוטרופסת על ממונו</w:t>
      </w:r>
      <w:r w:rsidR="009C63E1" w:rsidRPr="004655C4">
        <w:rPr>
          <w:rFonts w:cs="Arial" w:hint="cs"/>
          <w:sz w:val="16"/>
          <w:szCs w:val="16"/>
          <w:rtl/>
        </w:rPr>
        <w:t>,</w:t>
      </w:r>
      <w:r w:rsidR="00433C12" w:rsidRPr="004655C4">
        <w:rPr>
          <w:rFonts w:cs="Arial"/>
          <w:sz w:val="16"/>
          <w:szCs w:val="16"/>
          <w:rtl/>
        </w:rPr>
        <w:t xml:space="preserve"> וכשמת יצא הממון מרשותו ונכנס לרשות היתומים ואפוטרופסות של ממון יורשין לא פטרה</w:t>
      </w:r>
      <w:r w:rsidR="00E76F47" w:rsidRPr="004655C4">
        <w:rPr>
          <w:rFonts w:cs="Arial" w:hint="cs"/>
          <w:sz w:val="16"/>
          <w:szCs w:val="16"/>
          <w:rtl/>
        </w:rPr>
        <w:t>.</w:t>
      </w:r>
      <w:r w:rsidR="00433C12" w:rsidRPr="004655C4">
        <w:rPr>
          <w:rFonts w:cs="Arial"/>
          <w:sz w:val="16"/>
          <w:szCs w:val="16"/>
          <w:rtl/>
        </w:rPr>
        <w:t xml:space="preserve"> אבל שבועה דפוגמת פטרה מכל פגם שיבא לאותה כתובה שכתב לה ממה שיהיה ולמי שיהיה</w:t>
      </w:r>
      <w:r w:rsidR="00E76F47" w:rsidRPr="004655C4">
        <w:rPr>
          <w:rFonts w:cs="Arial" w:hint="cs"/>
          <w:sz w:val="16"/>
          <w:szCs w:val="16"/>
          <w:rtl/>
        </w:rPr>
        <w:t>.</w:t>
      </w:r>
      <w:r w:rsidR="00433C12" w:rsidRPr="004655C4">
        <w:rPr>
          <w:rFonts w:cs="Arial"/>
          <w:sz w:val="16"/>
          <w:szCs w:val="16"/>
          <w:rtl/>
        </w:rPr>
        <w:t xml:space="preserve"> ועוד מסקא אדעתא דלמא לא יכלו יורשיו לפרוע כתובתה בבת אחת ותיצטרך לפוגמה על כן בקשה שיפטרנה מן השבועה גם מיורשין</w:t>
      </w:r>
      <w:r w:rsidR="00E9081E" w:rsidRPr="004655C4">
        <w:rPr>
          <w:rFonts w:cs="Arial" w:hint="cs"/>
          <w:sz w:val="16"/>
          <w:szCs w:val="16"/>
          <w:rtl/>
        </w:rPr>
        <w:t>,</w:t>
      </w:r>
      <w:r w:rsidR="00433C12" w:rsidRPr="004655C4">
        <w:rPr>
          <w:rFonts w:cs="Arial"/>
          <w:sz w:val="16"/>
          <w:szCs w:val="16"/>
          <w:rtl/>
        </w:rPr>
        <w:t xml:space="preserve"> אבל לא מסקא אדעתה כלל שיורשין ימנוה אפוטרופוס. הא דקתני ולא הבאים ברשותי היינו לקוחות שאחר הפטור</w:t>
      </w:r>
      <w:r w:rsidR="00E9081E" w:rsidRPr="004655C4">
        <w:rPr>
          <w:rFonts w:cs="Arial" w:hint="cs"/>
          <w:sz w:val="16"/>
          <w:szCs w:val="16"/>
          <w:rtl/>
        </w:rPr>
        <w:t>,</w:t>
      </w:r>
      <w:r w:rsidR="00433C12" w:rsidRPr="004655C4">
        <w:rPr>
          <w:rFonts w:cs="Arial"/>
          <w:sz w:val="16"/>
          <w:szCs w:val="16"/>
          <w:rtl/>
        </w:rPr>
        <w:t xml:space="preserve"> אבל לקוחות שקדמו לפטור לאו כל כמיניה</w:t>
      </w:r>
      <w:r w:rsidR="00E9081E" w:rsidRPr="004655C4">
        <w:rPr>
          <w:rFonts w:cs="Arial" w:hint="cs"/>
          <w:sz w:val="16"/>
          <w:szCs w:val="16"/>
          <w:rtl/>
        </w:rPr>
        <w:t>.</w:t>
      </w:r>
      <w:r w:rsidR="00433C12" w:rsidRPr="004655C4">
        <w:rPr>
          <w:rFonts w:cs="Arial"/>
          <w:sz w:val="16"/>
          <w:szCs w:val="16"/>
          <w:rtl/>
        </w:rPr>
        <w:t xml:space="preserve"> ומיהו טוב להשביעה אפילו אחר הפטור כדברי רבינו חננאל ז"ל מפני הרמאים</w:t>
      </w:r>
      <w:r w:rsidR="004655C4">
        <w:rPr>
          <w:rFonts w:cs="Arial" w:hint="cs"/>
          <w:sz w:val="16"/>
          <w:szCs w:val="16"/>
          <w:rtl/>
        </w:rPr>
        <w:t>, רא"ש (סי' כט))</w:t>
      </w:r>
    </w:p>
    <w:p w14:paraId="2A64D0E5" w14:textId="38D112B0" w:rsidR="00824B96" w:rsidRPr="00573386" w:rsidRDefault="00573386" w:rsidP="00197414">
      <w:pPr>
        <w:rPr>
          <w:u w:val="single"/>
          <w:rtl/>
        </w:rPr>
      </w:pPr>
      <w:r w:rsidRPr="00573386">
        <w:rPr>
          <w:rFonts w:hint="cs"/>
          <w:u w:val="single"/>
          <w:rtl/>
        </w:rPr>
        <w:t>הפוטר את אשתו ואת יורשיה והבאים ברשותה משבועה, ממנו ומיורשיו:</w:t>
      </w:r>
    </w:p>
    <w:p w14:paraId="27124789" w14:textId="3301D820" w:rsidR="005104CE" w:rsidRPr="005104CE" w:rsidRDefault="001F4529" w:rsidP="001F4529">
      <w:pPr>
        <w:pStyle w:val="ab"/>
        <w:numPr>
          <w:ilvl w:val="0"/>
          <w:numId w:val="86"/>
        </w:numPr>
      </w:pPr>
      <w:r>
        <w:rPr>
          <w:rFonts w:cs="Arial" w:hint="cs"/>
          <w:rtl/>
        </w:rPr>
        <w:t xml:space="preserve">טור- </w:t>
      </w:r>
      <w:r w:rsidRPr="00D71C6B">
        <w:rPr>
          <w:rFonts w:cs="Arial"/>
          <w:rtl/>
        </w:rPr>
        <w:t>כתב לה</w:t>
      </w:r>
      <w:r w:rsidR="00573386">
        <w:rPr>
          <w:rFonts w:cs="Arial" w:hint="cs"/>
          <w:rtl/>
        </w:rPr>
        <w:t>:</w:t>
      </w:r>
      <w:r w:rsidRPr="00D71C6B">
        <w:rPr>
          <w:rFonts w:cs="Arial"/>
          <w:rtl/>
        </w:rPr>
        <w:t xml:space="preserve"> נדר ושבועה אין לי וליורשי ולבאים ברשותי עליך ועל יורשיך ועל הבאים ברשותך </w:t>
      </w:r>
      <w:r w:rsidR="00573386">
        <w:rPr>
          <w:rFonts w:cs="Arial" w:hint="cs"/>
          <w:rtl/>
        </w:rPr>
        <w:t xml:space="preserve">- </w:t>
      </w:r>
      <w:r w:rsidRPr="00D71C6B">
        <w:rPr>
          <w:rFonts w:cs="Arial"/>
          <w:rtl/>
        </w:rPr>
        <w:t>לא הוא ולא יורשיו ולא הבאים ברשותו יכולין להשביע לא היא ולא יורשיה ולא הבאים ברשותה</w:t>
      </w:r>
      <w:r w:rsidR="00573386">
        <w:rPr>
          <w:rFonts w:cs="Arial" w:hint="cs"/>
          <w:rtl/>
        </w:rPr>
        <w:t>.</w:t>
      </w:r>
      <w:r w:rsidRPr="00D71C6B">
        <w:rPr>
          <w:rFonts w:cs="Arial"/>
          <w:rtl/>
        </w:rPr>
        <w:t xml:space="preserve"> ואפילו אם פגמה כתובתה או היורשים או אפי' יורשים מן היורשים </w:t>
      </w:r>
      <w:r w:rsidR="00573386">
        <w:rPr>
          <w:rFonts w:cs="Arial" w:hint="cs"/>
          <w:rtl/>
        </w:rPr>
        <w:t xml:space="preserve">- </w:t>
      </w:r>
      <w:r w:rsidRPr="00D71C6B">
        <w:rPr>
          <w:rFonts w:cs="Arial"/>
          <w:rtl/>
        </w:rPr>
        <w:t>פטורין משבועה</w:t>
      </w:r>
      <w:r w:rsidR="00573386">
        <w:rPr>
          <w:rFonts w:cs="Arial" w:hint="cs"/>
          <w:rtl/>
        </w:rPr>
        <w:t>.</w:t>
      </w:r>
      <w:r w:rsidRPr="00D71C6B">
        <w:rPr>
          <w:rFonts w:cs="Arial"/>
          <w:rtl/>
        </w:rPr>
        <w:t xml:space="preserve"> </w:t>
      </w:r>
      <w:r w:rsidR="0060411F" w:rsidRPr="008631A7">
        <w:rPr>
          <w:rFonts w:hint="cs"/>
          <w:color w:val="E36C0A" w:themeColor="accent6" w:themeShade="BF"/>
          <w:rtl/>
        </w:rPr>
        <w:t>(וכ"</w:t>
      </w:r>
      <w:r w:rsidR="0060411F">
        <w:rPr>
          <w:rFonts w:hint="cs"/>
          <w:color w:val="E36C0A" w:themeColor="accent6" w:themeShade="BF"/>
          <w:rtl/>
        </w:rPr>
        <w:t>פ</w:t>
      </w:r>
      <w:r w:rsidR="0060411F" w:rsidRPr="008631A7">
        <w:rPr>
          <w:rFonts w:hint="cs"/>
          <w:color w:val="E36C0A" w:themeColor="accent6" w:themeShade="BF"/>
          <w:rtl/>
        </w:rPr>
        <w:t xml:space="preserve"> בשו"ע)</w:t>
      </w:r>
      <w:r w:rsidR="0060411F" w:rsidRPr="00D71C6B">
        <w:rPr>
          <w:rFonts w:cs="Arial"/>
          <w:rtl/>
        </w:rPr>
        <w:t xml:space="preserve">  </w:t>
      </w:r>
    </w:p>
    <w:p w14:paraId="0D580E92" w14:textId="001FF981" w:rsidR="004D0D14" w:rsidRPr="004D0D14" w:rsidRDefault="004D0D14" w:rsidP="004D0D14">
      <w:pPr>
        <w:ind w:left="360"/>
        <w:rPr>
          <w:u w:val="dotted"/>
        </w:rPr>
      </w:pPr>
      <w:r w:rsidRPr="004D0D14">
        <w:rPr>
          <w:rFonts w:hint="cs"/>
          <w:u w:val="dotted"/>
          <w:rtl/>
        </w:rPr>
        <w:t xml:space="preserve">ומה הדין אם נעשית </w:t>
      </w:r>
      <w:r>
        <w:rPr>
          <w:rFonts w:hint="cs"/>
          <w:u w:val="dotted"/>
          <w:rtl/>
        </w:rPr>
        <w:t xml:space="preserve">האשה </w:t>
      </w:r>
      <w:r w:rsidRPr="004D0D14">
        <w:rPr>
          <w:rFonts w:hint="cs"/>
          <w:u w:val="dotted"/>
          <w:rtl/>
        </w:rPr>
        <w:t>אפוטרופוס על נכסיו:</w:t>
      </w:r>
    </w:p>
    <w:p w14:paraId="3B6BAEC7" w14:textId="0B1FF91C" w:rsidR="00573386" w:rsidRPr="00573386" w:rsidRDefault="004D0D14" w:rsidP="001F4529">
      <w:pPr>
        <w:pStyle w:val="ab"/>
        <w:numPr>
          <w:ilvl w:val="0"/>
          <w:numId w:val="86"/>
        </w:numPr>
      </w:pPr>
      <w:r>
        <w:rPr>
          <w:rFonts w:cs="Arial" w:hint="cs"/>
          <w:rtl/>
        </w:rPr>
        <w:t xml:space="preserve">טור- </w:t>
      </w:r>
      <w:r w:rsidR="001F4529" w:rsidRPr="00D71C6B">
        <w:rPr>
          <w:rFonts w:cs="Arial"/>
          <w:rtl/>
        </w:rPr>
        <w:t xml:space="preserve">אבל אם נעשית אפוטרופא לאחר מיתת בעלה </w:t>
      </w:r>
      <w:r w:rsidR="00CA0623">
        <w:rPr>
          <w:rFonts w:cs="Arial" w:hint="cs"/>
          <w:rtl/>
        </w:rPr>
        <w:t xml:space="preserve">- </w:t>
      </w:r>
      <w:r w:rsidR="001F4529" w:rsidRPr="00D71C6B">
        <w:rPr>
          <w:rFonts w:cs="Arial"/>
          <w:rtl/>
        </w:rPr>
        <w:t>לזה אינו מועיל הפטור</w:t>
      </w:r>
      <w:r w:rsidR="00573386">
        <w:rPr>
          <w:rFonts w:cs="Arial" w:hint="cs"/>
          <w:rtl/>
        </w:rPr>
        <w:t>,</w:t>
      </w:r>
      <w:r w:rsidR="001F4529" w:rsidRPr="00D71C6B">
        <w:rPr>
          <w:rFonts w:cs="Arial"/>
          <w:rtl/>
        </w:rPr>
        <w:t xml:space="preserve"> אלא משביעין אותה על אותו אפוטרופסת</w:t>
      </w:r>
      <w:r w:rsidR="00573386">
        <w:rPr>
          <w:rFonts w:cs="Arial" w:hint="cs"/>
          <w:rtl/>
        </w:rPr>
        <w:t>.</w:t>
      </w:r>
      <w:r w:rsidR="001F4529" w:rsidRPr="00D71C6B">
        <w:rPr>
          <w:rFonts w:cs="Arial"/>
          <w:rtl/>
        </w:rPr>
        <w:t xml:space="preserve"> אבל לאפוטרופא שנעשית בחיי בעלה מועיל שאפילו על ידי גלגול אין יכולין להשביעה</w:t>
      </w:r>
      <w:r w:rsidR="0068598A">
        <w:rPr>
          <w:rStyle w:val="a7"/>
          <w:rFonts w:cs="Arial"/>
          <w:rtl/>
        </w:rPr>
        <w:footnoteReference w:id="1811"/>
      </w:r>
      <w:r w:rsidR="00573386">
        <w:rPr>
          <w:rFonts w:cs="Arial" w:hint="cs"/>
          <w:rtl/>
        </w:rPr>
        <w:t>.</w:t>
      </w:r>
      <w:r w:rsidR="0060411F">
        <w:rPr>
          <w:rFonts w:hint="cs"/>
          <w:color w:val="E36C0A" w:themeColor="accent6" w:themeShade="BF"/>
          <w:rtl/>
        </w:rPr>
        <w:t xml:space="preserve"> </w:t>
      </w:r>
      <w:r w:rsidR="0060411F" w:rsidRPr="008631A7">
        <w:rPr>
          <w:rFonts w:hint="cs"/>
          <w:color w:val="E36C0A" w:themeColor="accent6" w:themeShade="BF"/>
          <w:rtl/>
        </w:rPr>
        <w:t>(וכ"</w:t>
      </w:r>
      <w:r w:rsidR="0060411F">
        <w:rPr>
          <w:rFonts w:hint="cs"/>
          <w:color w:val="E36C0A" w:themeColor="accent6" w:themeShade="BF"/>
          <w:rtl/>
        </w:rPr>
        <w:t>פ</w:t>
      </w:r>
      <w:r w:rsidR="0060411F" w:rsidRPr="008631A7">
        <w:rPr>
          <w:rFonts w:hint="cs"/>
          <w:color w:val="E36C0A" w:themeColor="accent6" w:themeShade="BF"/>
          <w:rtl/>
        </w:rPr>
        <w:t xml:space="preserve"> בשו"ע)</w:t>
      </w:r>
      <w:r w:rsidR="0060411F" w:rsidRPr="00D71C6B">
        <w:rPr>
          <w:rFonts w:cs="Arial"/>
          <w:rtl/>
        </w:rPr>
        <w:t xml:space="preserve">  </w:t>
      </w:r>
      <w:r w:rsidR="001F4529" w:rsidRPr="00D71C6B">
        <w:rPr>
          <w:rFonts w:cs="Arial"/>
          <w:rtl/>
        </w:rPr>
        <w:t xml:space="preserve"> </w:t>
      </w:r>
    </w:p>
    <w:p w14:paraId="612CCEDA" w14:textId="0C38F457" w:rsidR="004D0D14" w:rsidRPr="00A7481C" w:rsidRDefault="004D0D14" w:rsidP="004D0D14">
      <w:pPr>
        <w:ind w:left="720"/>
        <w:rPr>
          <w:u w:val="wave"/>
        </w:rPr>
      </w:pPr>
      <w:r w:rsidRPr="00A7481C">
        <w:rPr>
          <w:rFonts w:cs="Arial" w:hint="cs"/>
          <w:u w:val="wave"/>
          <w:rtl/>
        </w:rPr>
        <w:t>כ</w:t>
      </w:r>
      <w:r w:rsidRPr="00A7481C">
        <w:rPr>
          <w:rFonts w:cs="Arial"/>
          <w:u w:val="wave"/>
          <w:rtl/>
        </w:rPr>
        <w:t>שנעשית אפוטרופוס בחיי בעלה</w:t>
      </w:r>
      <w:r w:rsidRPr="00A7481C">
        <w:rPr>
          <w:rFonts w:cs="Arial" w:hint="cs"/>
          <w:u w:val="wave"/>
          <w:rtl/>
        </w:rPr>
        <w:t xml:space="preserve"> - האם </w:t>
      </w:r>
      <w:r w:rsidR="00A7481C" w:rsidRPr="00A7481C">
        <w:rPr>
          <w:rFonts w:cs="Arial" w:hint="cs"/>
          <w:u w:val="wave"/>
          <w:rtl/>
        </w:rPr>
        <w:t>פטורה משבועה אע"ג שלא פטרה בעלה משבועה:</w:t>
      </w:r>
      <w:r w:rsidRPr="00A7481C">
        <w:rPr>
          <w:rFonts w:cs="Arial"/>
          <w:u w:val="wave"/>
          <w:rtl/>
        </w:rPr>
        <w:t xml:space="preserve"> </w:t>
      </w:r>
    </w:p>
    <w:p w14:paraId="2A002D1D" w14:textId="4FCF7FC1" w:rsidR="00A7481C" w:rsidRPr="00A7481C" w:rsidRDefault="00A7481C" w:rsidP="001F4529">
      <w:pPr>
        <w:pStyle w:val="ab"/>
        <w:numPr>
          <w:ilvl w:val="0"/>
          <w:numId w:val="86"/>
        </w:numPr>
      </w:pPr>
      <w:r>
        <w:rPr>
          <w:rFonts w:cs="Arial" w:hint="cs"/>
          <w:rtl/>
        </w:rPr>
        <w:t>רי"ף</w:t>
      </w:r>
      <w:r w:rsidR="00982D7E">
        <w:rPr>
          <w:rFonts w:cs="Arial" w:hint="cs"/>
          <w:sz w:val="16"/>
          <w:szCs w:val="16"/>
          <w:rtl/>
        </w:rPr>
        <w:t xml:space="preserve"> (כ"כ הטור בשמו)</w:t>
      </w:r>
      <w:r>
        <w:rPr>
          <w:rFonts w:cs="Arial" w:hint="cs"/>
          <w:rtl/>
        </w:rPr>
        <w:t xml:space="preserve">- </w:t>
      </w:r>
      <w:r w:rsidR="001F4529" w:rsidRPr="00D71C6B">
        <w:rPr>
          <w:rFonts w:cs="Arial"/>
          <w:rtl/>
        </w:rPr>
        <w:t>אפילו לא פטרה אין היורשים יכולים להשביעה על אפוטרופוס שנעשית בחיי</w:t>
      </w:r>
      <w:r w:rsidR="00AE3F2D">
        <w:rPr>
          <w:rStyle w:val="a7"/>
          <w:rFonts w:cs="Arial"/>
          <w:rtl/>
        </w:rPr>
        <w:footnoteReference w:id="1812"/>
      </w:r>
      <w:r w:rsidR="001F4529" w:rsidRPr="00D71C6B">
        <w:rPr>
          <w:rFonts w:cs="Arial"/>
          <w:rtl/>
        </w:rPr>
        <w:t xml:space="preserve"> בעלה</w:t>
      </w:r>
      <w:r w:rsidR="001F4529">
        <w:rPr>
          <w:rStyle w:val="a7"/>
          <w:rFonts w:cs="Arial"/>
          <w:rtl/>
        </w:rPr>
        <w:footnoteReference w:id="1813"/>
      </w:r>
      <w:r>
        <w:rPr>
          <w:rFonts w:cs="Arial" w:hint="cs"/>
          <w:rtl/>
        </w:rPr>
        <w:t>.</w:t>
      </w:r>
      <w:r w:rsidR="001F4529" w:rsidRPr="00D71C6B">
        <w:rPr>
          <w:rFonts w:cs="Arial"/>
          <w:rtl/>
        </w:rPr>
        <w:t xml:space="preserve"> </w:t>
      </w:r>
      <w:r w:rsidR="00946CAC" w:rsidRPr="008631A7">
        <w:rPr>
          <w:rFonts w:hint="cs"/>
          <w:color w:val="E36C0A" w:themeColor="accent6" w:themeShade="BF"/>
          <w:rtl/>
        </w:rPr>
        <w:t>(וכ"</w:t>
      </w:r>
      <w:r w:rsidR="00946CAC">
        <w:rPr>
          <w:rFonts w:hint="cs"/>
          <w:color w:val="E36C0A" w:themeColor="accent6" w:themeShade="BF"/>
          <w:rtl/>
        </w:rPr>
        <w:t>כ</w:t>
      </w:r>
      <w:r w:rsidR="00946CAC" w:rsidRPr="008631A7">
        <w:rPr>
          <w:rFonts w:hint="cs"/>
          <w:color w:val="E36C0A" w:themeColor="accent6" w:themeShade="BF"/>
          <w:rtl/>
        </w:rPr>
        <w:t xml:space="preserve"> בשו"ע)</w:t>
      </w:r>
      <w:r w:rsidR="00946CAC" w:rsidRPr="00D71C6B">
        <w:rPr>
          <w:rFonts w:cs="Arial"/>
          <w:rtl/>
        </w:rPr>
        <w:t xml:space="preserve"> </w:t>
      </w:r>
    </w:p>
    <w:p w14:paraId="1C25DAE1" w14:textId="1705103B" w:rsidR="00F52486" w:rsidRDefault="00A7481C" w:rsidP="00982D7E">
      <w:pPr>
        <w:pStyle w:val="ab"/>
        <w:numPr>
          <w:ilvl w:val="0"/>
          <w:numId w:val="86"/>
        </w:numPr>
        <w:rPr>
          <w:rtl/>
        </w:rPr>
      </w:pPr>
      <w:r>
        <w:rPr>
          <w:rFonts w:cs="Arial" w:hint="cs"/>
          <w:rtl/>
        </w:rPr>
        <w:t>רא"ש</w:t>
      </w:r>
      <w:r w:rsidR="00AE3F2D">
        <w:rPr>
          <w:rFonts w:cs="Arial" w:hint="cs"/>
          <w:sz w:val="16"/>
          <w:szCs w:val="16"/>
          <w:rtl/>
        </w:rPr>
        <w:t xml:space="preserve"> (כ"כ הטור בשמו)</w:t>
      </w:r>
      <w:r>
        <w:rPr>
          <w:rFonts w:cs="Arial" w:hint="cs"/>
          <w:rtl/>
        </w:rPr>
        <w:t xml:space="preserve">- </w:t>
      </w:r>
      <w:r w:rsidR="00AE3F2D">
        <w:rPr>
          <w:rFonts w:cs="Arial" w:hint="cs"/>
          <w:rtl/>
        </w:rPr>
        <w:t>אינה פטורה אא"כ פטרה בעלה</w:t>
      </w:r>
      <w:r w:rsidR="00AE3F2D">
        <w:rPr>
          <w:rStyle w:val="a7"/>
          <w:rFonts w:cs="Arial"/>
          <w:rtl/>
        </w:rPr>
        <w:footnoteReference w:id="1814"/>
      </w:r>
      <w:r w:rsidR="001F4529">
        <w:rPr>
          <w:rFonts w:cs="Arial" w:hint="cs"/>
          <w:rtl/>
        </w:rPr>
        <w:t>.</w:t>
      </w:r>
      <w:r w:rsidR="001F4529" w:rsidRPr="00D71C6B">
        <w:rPr>
          <w:rFonts w:cs="Arial"/>
          <w:rtl/>
        </w:rPr>
        <w:t xml:space="preserve"> </w:t>
      </w:r>
    </w:p>
    <w:p w14:paraId="5F5EF75C"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384C245" w14:textId="421BD62B" w:rsidR="00392DBB" w:rsidRDefault="00392DBB" w:rsidP="00392DBB">
      <w:pPr>
        <w:rPr>
          <w:rtl/>
        </w:rPr>
      </w:pPr>
      <w:r>
        <w:rPr>
          <w:rFonts w:cs="Arial"/>
          <w:rtl/>
        </w:rPr>
        <w:t xml:space="preserve">כתב לה: נדר ושבועה אין לי וליורשי ולא לבאים ברשותי לא עליך ולא על יורשיך ולא על הבאים ברשותיך, אינו יכול להשביע לא הוא ולא יורשיו ולא הבאים ברשותו לא אותה ולא יורשיה ולא הבאים ברשותה. ואפילו פגמה היא או </w:t>
      </w:r>
      <w:r>
        <w:rPr>
          <w:rFonts w:cs="Arial"/>
          <w:rtl/>
        </w:rPr>
        <w:lastRenderedPageBreak/>
        <w:t>היורשים כתובתה או יורשים מן היורשים. אבל אם נעשית אפטרופסת לאחר מיתת הבעל, לזה אינו מועיל הפיטור. אבל לאפוטרופסות שנעשית בחיי בעלה, מועיל, שאפילו ע</w:t>
      </w:r>
      <w:r w:rsidR="0016235F">
        <w:rPr>
          <w:rFonts w:cs="Arial" w:hint="cs"/>
          <w:rtl/>
        </w:rPr>
        <w:t>ל ידי</w:t>
      </w:r>
      <w:r>
        <w:rPr>
          <w:rFonts w:cs="Arial"/>
          <w:rtl/>
        </w:rPr>
        <w:t xml:space="preserve"> גלגול אינו יכול להשביעה. ויש מי שאומר שאפילו לא פטרה אין היורשים יכולים להשביעה על אפוטרופסות שנעשית בחיי בעלה. </w:t>
      </w:r>
    </w:p>
    <w:p w14:paraId="40F3FF7F" w14:textId="4769AD05" w:rsidR="0016235F" w:rsidRDefault="0016235F" w:rsidP="00392DBB">
      <w:pPr>
        <w:rPr>
          <w:rtl/>
        </w:rPr>
      </w:pPr>
    </w:p>
    <w:p w14:paraId="571DB34C" w14:textId="3B7BB39A" w:rsidR="00392DBB" w:rsidRDefault="00392DBB" w:rsidP="000F64D0">
      <w:pPr>
        <w:pStyle w:val="2"/>
        <w:rPr>
          <w:rtl/>
        </w:rPr>
      </w:pPr>
      <w:r>
        <w:rPr>
          <w:rtl/>
        </w:rPr>
        <w:t>סעיף ה</w:t>
      </w:r>
      <w:r w:rsidR="007E60D1">
        <w:rPr>
          <w:rFonts w:hint="cs"/>
          <w:rtl/>
        </w:rPr>
        <w:t xml:space="preserve">: </w:t>
      </w:r>
      <w:r w:rsidR="005613FC">
        <w:rPr>
          <w:rFonts w:hint="cs"/>
          <w:rtl/>
        </w:rPr>
        <w:t>שבועה על מה שמכרה לצורך קבורה.</w:t>
      </w:r>
    </w:p>
    <w:p w14:paraId="7785C56E" w14:textId="77777777" w:rsidR="00B72020" w:rsidRPr="00DF3730" w:rsidRDefault="00B72020" w:rsidP="00B72020">
      <w:pPr>
        <w:rPr>
          <w:rFonts w:cs="Arial"/>
          <w:rtl/>
        </w:rPr>
      </w:pPr>
      <w:r>
        <w:rPr>
          <w:rFonts w:cs="Arial" w:hint="cs"/>
          <w:b/>
          <w:bCs/>
          <w:rtl/>
        </w:rPr>
        <w:t xml:space="preserve">כתובות </w:t>
      </w:r>
      <w:r w:rsidRPr="00B94040">
        <w:rPr>
          <w:rFonts w:cs="Arial" w:hint="cs"/>
          <w:b/>
          <w:bCs/>
          <w:sz w:val="16"/>
          <w:szCs w:val="16"/>
          <w:rtl/>
        </w:rPr>
        <w:t>(פ' ה</w:t>
      </w:r>
      <w:r>
        <w:rPr>
          <w:rFonts w:cs="Arial" w:hint="cs"/>
          <w:b/>
          <w:bCs/>
          <w:sz w:val="16"/>
          <w:szCs w:val="16"/>
          <w:rtl/>
        </w:rPr>
        <w:t>כותב</w:t>
      </w:r>
      <w:r w:rsidRPr="00B94040">
        <w:rPr>
          <w:rFonts w:cs="Arial" w:hint="cs"/>
          <w:b/>
          <w:bCs/>
          <w:sz w:val="16"/>
          <w:szCs w:val="16"/>
          <w:rtl/>
        </w:rPr>
        <w:t>)</w:t>
      </w:r>
      <w:r w:rsidRPr="00B94040">
        <w:rPr>
          <w:rFonts w:cs="Arial" w:hint="cs"/>
          <w:b/>
          <w:bCs/>
          <w:rtl/>
        </w:rPr>
        <w:t xml:space="preserve"> </w:t>
      </w:r>
      <w:r>
        <w:rPr>
          <w:rFonts w:cs="Arial" w:hint="cs"/>
          <w:b/>
          <w:bCs/>
          <w:rtl/>
        </w:rPr>
        <w:t>פו</w:t>
      </w:r>
      <w:r w:rsidRPr="00B94040">
        <w:rPr>
          <w:rFonts w:cs="Arial" w:hint="cs"/>
          <w:b/>
          <w:bCs/>
          <w:rtl/>
        </w:rPr>
        <w:t xml:space="preserve"> ע"</w:t>
      </w:r>
      <w:r>
        <w:rPr>
          <w:rFonts w:cs="Arial" w:hint="cs"/>
          <w:b/>
          <w:bCs/>
          <w:rtl/>
        </w:rPr>
        <w:t>ב</w:t>
      </w:r>
      <w:r w:rsidRPr="00B94040">
        <w:rPr>
          <w:rFonts w:cs="Arial" w:hint="cs"/>
          <w:b/>
          <w:bCs/>
          <w:rtl/>
        </w:rPr>
        <w:t>:</w:t>
      </w:r>
      <w:r>
        <w:rPr>
          <w:rFonts w:cs="Arial" w:hint="cs"/>
          <w:rtl/>
        </w:rPr>
        <w:t xml:space="preserve"> </w:t>
      </w:r>
      <w:r w:rsidRPr="002B5D2F">
        <w:rPr>
          <w:rFonts w:cs="Arial"/>
          <w:u w:val="double"/>
          <w:rtl/>
        </w:rPr>
        <w:t>מתני'</w:t>
      </w:r>
      <w:r>
        <w:rPr>
          <w:rFonts w:cs="Arial" w:hint="cs"/>
          <w:rtl/>
        </w:rPr>
        <w:t>:...</w:t>
      </w:r>
      <w:r w:rsidRPr="00293ABE">
        <w:rPr>
          <w:rtl/>
        </w:rPr>
        <w:t xml:space="preserve"> </w:t>
      </w:r>
      <w:r w:rsidRPr="004C5CD6">
        <w:rPr>
          <w:rFonts w:cs="Arial"/>
          <w:rtl/>
        </w:rPr>
        <w:t xml:space="preserve">הלכה מקבר בעלה לבית אביה, או שחזרה לבית חמיה ולא נעשית אפוטרופיא - אין היורשין משביעין אותה, ואם נעשית אפוטרופיא - היורשין משביעין אותה על העתיד לבא, ואין משביעין אותה על מה שעבר. </w:t>
      </w:r>
      <w:r>
        <w:rPr>
          <w:rFonts w:cs="Arial" w:hint="cs"/>
          <w:rtl/>
        </w:rPr>
        <w:t xml:space="preserve">    </w:t>
      </w:r>
      <w:r w:rsidRPr="00FF78AA">
        <w:rPr>
          <w:rFonts w:cs="Arial" w:hint="cs"/>
          <w:u w:val="double"/>
          <w:rtl/>
        </w:rPr>
        <w:t>גמ'</w:t>
      </w:r>
      <w:r>
        <w:rPr>
          <w:rFonts w:cs="Arial" w:hint="cs"/>
          <w:sz w:val="14"/>
          <w:szCs w:val="14"/>
          <w:u w:val="double"/>
          <w:rtl/>
        </w:rPr>
        <w:t>(פז.)</w:t>
      </w:r>
      <w:r w:rsidRPr="00FF78AA">
        <w:rPr>
          <w:rFonts w:cs="Arial" w:hint="cs"/>
          <w:u w:val="double"/>
          <w:rtl/>
        </w:rPr>
        <w:t>:</w:t>
      </w:r>
      <w:r>
        <w:rPr>
          <w:rFonts w:cs="Arial" w:hint="cs"/>
          <w:rtl/>
        </w:rPr>
        <w:t xml:space="preserve"> </w:t>
      </w:r>
      <w:r w:rsidRPr="00FF78AA">
        <w:rPr>
          <w:rFonts w:cs="Arial"/>
          <w:rtl/>
        </w:rPr>
        <w:t xml:space="preserve">שעבר מאי עבידתיה? </w:t>
      </w:r>
      <w:r w:rsidRPr="00FF78AA">
        <w:rPr>
          <w:rFonts w:cs="Arial"/>
          <w:u w:val="single"/>
          <w:rtl/>
        </w:rPr>
        <w:t>א"ר יהודה אמר רב</w:t>
      </w:r>
      <w:r w:rsidRPr="00FF78AA">
        <w:rPr>
          <w:rFonts w:cs="Arial"/>
          <w:rtl/>
        </w:rPr>
        <w:t xml:space="preserve">: על אפוטרופיא שנעשית בחיי הבעל, אבל בין מיתה לקבורה - משבעינן לה; </w:t>
      </w:r>
      <w:r w:rsidRPr="00FF78AA">
        <w:rPr>
          <w:rFonts w:cs="Arial"/>
          <w:u w:val="single"/>
          <w:rtl/>
        </w:rPr>
        <w:t>ורב מתנא אמר</w:t>
      </w:r>
      <w:r w:rsidRPr="00FF78AA">
        <w:rPr>
          <w:rFonts w:cs="Arial"/>
          <w:rtl/>
        </w:rPr>
        <w:t>: אפילו בין מיתה לקבורה - לא משבעינן לה, דאמרי נהרדעי: לכרגא, ולמזוני, ולקבורה - מזבנינן בלא אכרזתא.</w:t>
      </w:r>
      <w:r>
        <w:rPr>
          <w:rFonts w:cs="Arial" w:hint="cs"/>
          <w:sz w:val="16"/>
          <w:szCs w:val="16"/>
          <w:rtl/>
        </w:rPr>
        <w:t xml:space="preserve"> (</w:t>
      </w:r>
      <w:r w:rsidRPr="00DF3730">
        <w:rPr>
          <w:rFonts w:cs="Arial"/>
          <w:sz w:val="16"/>
          <w:szCs w:val="16"/>
          <w:rtl/>
        </w:rPr>
        <w:t>ומשמע דהלכתא כרב מתנה</w:t>
      </w:r>
      <w:r w:rsidRPr="00DF3730">
        <w:rPr>
          <w:rFonts w:cs="Arial" w:hint="cs"/>
          <w:sz w:val="16"/>
          <w:szCs w:val="16"/>
          <w:rtl/>
        </w:rPr>
        <w:t>,</w:t>
      </w:r>
      <w:r w:rsidRPr="00DF3730">
        <w:rPr>
          <w:rFonts w:cs="Arial"/>
          <w:sz w:val="16"/>
          <w:szCs w:val="16"/>
          <w:rtl/>
        </w:rPr>
        <w:t xml:space="preserve"> וכך הם דברי הרי"ף (מז.)</w:t>
      </w:r>
      <w:r w:rsidRPr="00DF3730">
        <w:rPr>
          <w:rFonts w:cs="Arial" w:hint="cs"/>
          <w:sz w:val="16"/>
          <w:szCs w:val="16"/>
          <w:rtl/>
        </w:rPr>
        <w:t>.</w:t>
      </w:r>
      <w:r w:rsidRPr="00DF3730">
        <w:rPr>
          <w:rFonts w:cs="Arial"/>
          <w:sz w:val="16"/>
          <w:szCs w:val="16"/>
          <w:rtl/>
        </w:rPr>
        <w:t xml:space="preserve"> [בדק הבית] ומשמע דהא דאין משביעין אותה על מה שמכרה כדי שלא תתרשל ונמצא המת מתנוול</w:t>
      </w:r>
      <w:r w:rsidRPr="00DF3730">
        <w:rPr>
          <w:rFonts w:cs="Arial" w:hint="cs"/>
          <w:sz w:val="16"/>
          <w:szCs w:val="16"/>
          <w:rtl/>
        </w:rPr>
        <w:t>,</w:t>
      </w:r>
      <w:r w:rsidRPr="00DF3730">
        <w:rPr>
          <w:rFonts w:cs="Arial"/>
          <w:sz w:val="16"/>
          <w:szCs w:val="16"/>
          <w:rtl/>
        </w:rPr>
        <w:t xml:space="preserve"> דמהאי טעמא מזבנינן בלא אכרזתא</w:t>
      </w:r>
      <w:r w:rsidRPr="00DF3730">
        <w:rPr>
          <w:rFonts w:cs="Arial" w:hint="cs"/>
          <w:sz w:val="16"/>
          <w:szCs w:val="16"/>
          <w:rtl/>
        </w:rPr>
        <w:t>.</w:t>
      </w:r>
      <w:r w:rsidRPr="00DF3730">
        <w:rPr>
          <w:rFonts w:cs="Arial"/>
          <w:sz w:val="16"/>
          <w:szCs w:val="16"/>
          <w:rtl/>
        </w:rPr>
        <w:t xml:space="preserve"> ולפי זה אפילו לא פטרה אין משביעין אותה</w:t>
      </w:r>
      <w:r w:rsidRPr="00DF3730">
        <w:rPr>
          <w:rFonts w:cs="Arial" w:hint="cs"/>
          <w:sz w:val="16"/>
          <w:szCs w:val="16"/>
          <w:rtl/>
        </w:rPr>
        <w:t>.</w:t>
      </w:r>
      <w:r w:rsidRPr="00DF3730">
        <w:rPr>
          <w:rFonts w:cs="Arial"/>
          <w:sz w:val="16"/>
          <w:szCs w:val="16"/>
          <w:rtl/>
        </w:rPr>
        <w:t xml:space="preserve"> ויש לתמוה על מה שכתב רבינו על מה שפטרה לצורך קבורה מהני</w:t>
      </w:r>
      <w:r w:rsidRPr="00DF3730">
        <w:rPr>
          <w:rFonts w:cs="Arial" w:hint="cs"/>
          <w:sz w:val="16"/>
          <w:szCs w:val="16"/>
          <w:rtl/>
        </w:rPr>
        <w:t>,</w:t>
      </w:r>
      <w:r w:rsidRPr="00DF3730">
        <w:rPr>
          <w:rFonts w:cs="Arial"/>
          <w:sz w:val="16"/>
          <w:szCs w:val="16"/>
          <w:rtl/>
        </w:rPr>
        <w:t xml:space="preserve"> דמאי איריא שפטרה אפילו לא פטרה נמי [עד כאן]</w:t>
      </w:r>
      <w:r w:rsidRPr="00DF3730">
        <w:rPr>
          <w:rFonts w:cs="Arial" w:hint="cs"/>
          <w:sz w:val="16"/>
          <w:szCs w:val="16"/>
          <w:rtl/>
        </w:rPr>
        <w:t>, ב"י)</w:t>
      </w:r>
    </w:p>
    <w:p w14:paraId="61F40A3D" w14:textId="77777777" w:rsidR="00B72020" w:rsidRDefault="00B72020" w:rsidP="00B72020">
      <w:pPr>
        <w:rPr>
          <w:rFonts w:cs="Arial"/>
          <w:rtl/>
        </w:rPr>
      </w:pPr>
      <w:r w:rsidRPr="002319CB">
        <w:rPr>
          <w:rFonts w:cs="Arial" w:hint="cs"/>
          <w:b/>
          <w:bCs/>
          <w:rtl/>
        </w:rPr>
        <w:t xml:space="preserve">ירושלמי כתובות פ"ט ה"ו: </w:t>
      </w:r>
      <w:r w:rsidRPr="002319CB">
        <w:rPr>
          <w:rFonts w:cs="Arial"/>
          <w:u w:val="single"/>
          <w:rtl/>
        </w:rPr>
        <w:t>רבי יונה ורבי יוסי תריהון אמרין</w:t>
      </w:r>
      <w:r>
        <w:rPr>
          <w:rFonts w:cs="Arial" w:hint="cs"/>
          <w:rtl/>
        </w:rPr>
        <w:t>:</w:t>
      </w:r>
      <w:r w:rsidRPr="002319CB">
        <w:rPr>
          <w:rFonts w:cs="Arial"/>
          <w:rtl/>
        </w:rPr>
        <w:t xml:space="preserve"> לא סוף דבר בנכסים שנשתלטה בהן בחיי בעלה</w:t>
      </w:r>
      <w:r>
        <w:rPr>
          <w:rFonts w:cs="Arial" w:hint="cs"/>
          <w:rtl/>
        </w:rPr>
        <w:t>,</w:t>
      </w:r>
      <w:r w:rsidRPr="002319CB">
        <w:rPr>
          <w:rFonts w:cs="Arial"/>
          <w:rtl/>
        </w:rPr>
        <w:t xml:space="preserve"> אלא אפי' נכסים שנשתלטה בהן לאחר מיתת הבעל אין היורשין משביעין אותה</w:t>
      </w:r>
      <w:r>
        <w:rPr>
          <w:rFonts w:cs="Arial" w:hint="cs"/>
          <w:rtl/>
        </w:rPr>
        <w:t>.</w:t>
      </w:r>
      <w:r w:rsidRPr="002319CB">
        <w:rPr>
          <w:rFonts w:cs="Arial"/>
          <w:rtl/>
        </w:rPr>
        <w:t xml:space="preserve"> פתר לה משעת מיתה עד שעת קבורה</w:t>
      </w:r>
      <w:r>
        <w:rPr>
          <w:rFonts w:cs="Arial" w:hint="cs"/>
          <w:rtl/>
        </w:rPr>
        <w:t>,</w:t>
      </w:r>
      <w:r w:rsidRPr="002319CB">
        <w:rPr>
          <w:rFonts w:cs="Arial"/>
          <w:rtl/>
        </w:rPr>
        <w:t xml:space="preserve"> </w:t>
      </w:r>
      <w:r w:rsidRPr="00B72020">
        <w:rPr>
          <w:rFonts w:cs="Arial"/>
          <w:u w:val="single"/>
          <w:rtl/>
        </w:rPr>
        <w:t>דמר רבי אבהו בשם רבי יוחנן</w:t>
      </w:r>
      <w:r>
        <w:rPr>
          <w:rFonts w:cs="Arial" w:hint="cs"/>
          <w:rtl/>
        </w:rPr>
        <w:t xml:space="preserve">: </w:t>
      </w:r>
      <w:r w:rsidRPr="002319CB">
        <w:rPr>
          <w:rFonts w:cs="Arial"/>
          <w:rtl/>
        </w:rPr>
        <w:t>משעת מיתה עד שעת קבורה אין היורשין משביעין אותה</w:t>
      </w:r>
      <w:r>
        <w:rPr>
          <w:rFonts w:cs="Arial" w:hint="cs"/>
          <w:rtl/>
        </w:rPr>
        <w:t>.</w:t>
      </w:r>
      <w:r w:rsidRPr="002319CB">
        <w:rPr>
          <w:rFonts w:cs="Arial"/>
          <w:rtl/>
        </w:rPr>
        <w:t xml:space="preserve"> </w:t>
      </w:r>
      <w:r w:rsidRPr="00B72020">
        <w:rPr>
          <w:rFonts w:cs="Arial"/>
          <w:u w:val="single"/>
          <w:rtl/>
        </w:rPr>
        <w:t>תני בר קפרא</w:t>
      </w:r>
      <w:r>
        <w:rPr>
          <w:rFonts w:cs="Arial" w:hint="cs"/>
          <w:rtl/>
        </w:rPr>
        <w:t>:</w:t>
      </w:r>
      <w:r w:rsidRPr="002319CB">
        <w:rPr>
          <w:rFonts w:cs="Arial"/>
          <w:rtl/>
        </w:rPr>
        <w:t xml:space="preserve"> שלא תהא מניחתו והולכת לבית אביה</w:t>
      </w:r>
      <w:r>
        <w:rPr>
          <w:rFonts w:cs="Arial" w:hint="cs"/>
          <w:rtl/>
        </w:rPr>
        <w:t>.</w:t>
      </w:r>
      <w:r w:rsidRPr="002319CB">
        <w:rPr>
          <w:rFonts w:cs="Arial"/>
          <w:rtl/>
        </w:rPr>
        <w:t xml:space="preserve"> </w:t>
      </w:r>
      <w:r w:rsidRPr="00B72020">
        <w:rPr>
          <w:rFonts w:cs="Arial" w:hint="cs"/>
          <w:sz w:val="16"/>
          <w:szCs w:val="16"/>
          <w:rtl/>
        </w:rPr>
        <w:t>(</w:t>
      </w:r>
      <w:r w:rsidRPr="00B72020">
        <w:rPr>
          <w:rFonts w:cs="Arial"/>
          <w:sz w:val="16"/>
          <w:szCs w:val="16"/>
          <w:rtl/>
        </w:rPr>
        <w:t>מוכח קצת דאפילו נתעסקה בין מיתה לקבורה בשאר דברים שאינו לצורך המת אין משביעין אותה</w:t>
      </w:r>
      <w:r w:rsidRPr="00B72020">
        <w:rPr>
          <w:rFonts w:cs="Arial" w:hint="cs"/>
          <w:sz w:val="16"/>
          <w:szCs w:val="16"/>
          <w:rtl/>
        </w:rPr>
        <w:t>...</w:t>
      </w:r>
      <w:r w:rsidRPr="00B72020">
        <w:rPr>
          <w:rFonts w:cs="Arial"/>
          <w:sz w:val="16"/>
          <w:szCs w:val="16"/>
          <w:rtl/>
        </w:rPr>
        <w:t xml:space="preserve"> אבל לפום גמרא דידן דמייתי עלה הא דנהרדעי משמע דאיירי דוקא בצרכי המת ואבא שאול פליג אמתני' וסבר דאפילו פטרה ואת יורשיה ממנו ומיורשיו כשבאין לגבות כתובתה מן היורשין צריכין שבועה והלכתא כוותיה</w:t>
      </w:r>
      <w:r>
        <w:rPr>
          <w:rFonts w:cs="Arial" w:hint="cs"/>
          <w:sz w:val="16"/>
          <w:szCs w:val="16"/>
          <w:rtl/>
        </w:rPr>
        <w:t>,</w:t>
      </w:r>
      <w:r w:rsidRPr="00B72020">
        <w:rPr>
          <w:rFonts w:cs="Arial" w:hint="cs"/>
          <w:sz w:val="16"/>
          <w:szCs w:val="16"/>
          <w:rtl/>
        </w:rPr>
        <w:t xml:space="preserve"> רא"ש (סי' כט</w:t>
      </w:r>
      <w:r>
        <w:rPr>
          <w:rFonts w:cs="Arial" w:hint="cs"/>
          <w:sz w:val="16"/>
          <w:szCs w:val="16"/>
          <w:rtl/>
        </w:rPr>
        <w:t>).</w:t>
      </w:r>
      <w:r w:rsidRPr="00B72020">
        <w:rPr>
          <w:rFonts w:cs="Arial"/>
          <w:sz w:val="16"/>
          <w:szCs w:val="16"/>
          <w:rtl/>
        </w:rPr>
        <w:t xml:space="preserve"> וגם הרי"ף (שם) כתב בהדיא דלצרכי המת דוקא אמרו</w:t>
      </w:r>
      <w:r>
        <w:rPr>
          <w:rFonts w:cs="Arial" w:hint="cs"/>
          <w:sz w:val="16"/>
          <w:szCs w:val="16"/>
          <w:rtl/>
        </w:rPr>
        <w:t>, ב"י)</w:t>
      </w:r>
    </w:p>
    <w:p w14:paraId="417C5E1E" w14:textId="074939D5" w:rsidR="007E60D1" w:rsidRPr="005613FC" w:rsidRDefault="005613FC" w:rsidP="007E60D1">
      <w:pPr>
        <w:rPr>
          <w:u w:val="single"/>
          <w:rtl/>
        </w:rPr>
      </w:pPr>
      <w:r w:rsidRPr="005613FC">
        <w:rPr>
          <w:rFonts w:hint="cs"/>
          <w:u w:val="single"/>
          <w:rtl/>
        </w:rPr>
        <w:t>שבועה על מה שמכרה לצורך קבורה:</w:t>
      </w:r>
    </w:p>
    <w:p w14:paraId="0915E30A" w14:textId="0D8623E6" w:rsidR="00B72020" w:rsidRPr="00B72020" w:rsidRDefault="001F4529" w:rsidP="00B72020">
      <w:pPr>
        <w:pStyle w:val="ab"/>
        <w:numPr>
          <w:ilvl w:val="0"/>
          <w:numId w:val="86"/>
        </w:numPr>
      </w:pPr>
      <w:r>
        <w:rPr>
          <w:rFonts w:cs="Arial" w:hint="cs"/>
          <w:rtl/>
        </w:rPr>
        <w:t xml:space="preserve">טור- </w:t>
      </w:r>
      <w:r w:rsidRPr="00D71C6B">
        <w:rPr>
          <w:rFonts w:cs="Arial"/>
          <w:rtl/>
        </w:rPr>
        <w:t>ומיהו על מה שמכרה לצורך קבורה בין מיתה לקבורה מהני</w:t>
      </w:r>
      <w:r w:rsidR="0054147C">
        <w:rPr>
          <w:rStyle w:val="a7"/>
          <w:rFonts w:cs="Arial"/>
          <w:rtl/>
        </w:rPr>
        <w:footnoteReference w:id="1815"/>
      </w:r>
      <w:r w:rsidRPr="00D71C6B">
        <w:rPr>
          <w:rFonts w:cs="Arial"/>
          <w:rtl/>
        </w:rPr>
        <w:t xml:space="preserve"> שאין משביעין אותה עליו אפי' ע"י גילגול</w:t>
      </w:r>
      <w:r w:rsidR="007E60D1">
        <w:rPr>
          <w:rFonts w:cs="Arial" w:hint="cs"/>
          <w:rtl/>
        </w:rPr>
        <w:t>.</w:t>
      </w:r>
      <w:r w:rsidRPr="00D71C6B">
        <w:rPr>
          <w:rFonts w:cs="Arial"/>
          <w:rtl/>
        </w:rPr>
        <w:t xml:space="preserve"> ובירושלמי משמע דאפילו אם מכרה שלא לצורך קבורה בין מיתה לקבורה מועיל הפטור שפטרה</w:t>
      </w:r>
      <w:r w:rsidR="007E60D1">
        <w:rPr>
          <w:rFonts w:cs="Arial" w:hint="cs"/>
          <w:rtl/>
        </w:rPr>
        <w:t>.</w:t>
      </w:r>
      <w:r w:rsidRPr="00D71C6B">
        <w:rPr>
          <w:rFonts w:cs="Arial"/>
          <w:rtl/>
        </w:rPr>
        <w:t xml:space="preserve"> ובגמרא דידן לא משמע כן</w:t>
      </w:r>
      <w:r w:rsidR="007E60D1">
        <w:rPr>
          <w:rFonts w:cs="Arial" w:hint="cs"/>
          <w:rtl/>
        </w:rPr>
        <w:t>,</w:t>
      </w:r>
      <w:r w:rsidRPr="00D71C6B">
        <w:rPr>
          <w:rFonts w:cs="Arial"/>
          <w:rtl/>
        </w:rPr>
        <w:t xml:space="preserve"> וגמרא דידן עיקר</w:t>
      </w:r>
      <w:r w:rsidR="007E60D1">
        <w:rPr>
          <w:rFonts w:cs="Arial" w:hint="cs"/>
          <w:rtl/>
        </w:rPr>
        <w:t>.</w:t>
      </w:r>
      <w:r w:rsidRPr="00D71C6B">
        <w:rPr>
          <w:rFonts w:cs="Arial"/>
          <w:rtl/>
        </w:rPr>
        <w:t xml:space="preserve"> </w:t>
      </w:r>
      <w:r w:rsidR="00392B23" w:rsidRPr="008631A7">
        <w:rPr>
          <w:rFonts w:hint="cs"/>
          <w:color w:val="E36C0A" w:themeColor="accent6" w:themeShade="BF"/>
          <w:rtl/>
        </w:rPr>
        <w:t>(וכ"</w:t>
      </w:r>
      <w:r w:rsidR="00392B23">
        <w:rPr>
          <w:rFonts w:hint="cs"/>
          <w:color w:val="E36C0A" w:themeColor="accent6" w:themeShade="BF"/>
          <w:rtl/>
        </w:rPr>
        <w:t>פ</w:t>
      </w:r>
      <w:r w:rsidR="00392B23" w:rsidRPr="008631A7">
        <w:rPr>
          <w:rFonts w:hint="cs"/>
          <w:color w:val="E36C0A" w:themeColor="accent6" w:themeShade="BF"/>
          <w:rtl/>
        </w:rPr>
        <w:t xml:space="preserve"> בשו"ע)</w:t>
      </w:r>
    </w:p>
    <w:p w14:paraId="3554E608" w14:textId="5DADD067" w:rsidR="00B72020" w:rsidRPr="00812FE3" w:rsidRDefault="00812FE3" w:rsidP="00B72020">
      <w:pPr>
        <w:rPr>
          <w:u w:val="single"/>
        </w:rPr>
      </w:pPr>
      <w:r w:rsidRPr="00812FE3">
        <w:rPr>
          <w:rFonts w:hint="cs"/>
          <w:u w:val="single"/>
          <w:rtl/>
        </w:rPr>
        <w:t>כיצד יכתוב הבעל שתהא אשתו נאמנת אע"ג שנעשית אפוטרופס:</w:t>
      </w:r>
    </w:p>
    <w:p w14:paraId="6FB05F94" w14:textId="734A9F40" w:rsidR="00F03809" w:rsidRPr="00B72020" w:rsidRDefault="00F52486" w:rsidP="00B72020">
      <w:pPr>
        <w:pStyle w:val="ab"/>
        <w:numPr>
          <w:ilvl w:val="0"/>
          <w:numId w:val="86"/>
        </w:numPr>
        <w:rPr>
          <w:rtl/>
        </w:rPr>
      </w:pPr>
      <w:r w:rsidRPr="00B72020">
        <w:rPr>
          <w:rFonts w:cs="Arial"/>
          <w:rtl/>
        </w:rPr>
        <w:t xml:space="preserve">ריב"ש </w:t>
      </w:r>
      <w:r w:rsidR="00B72020" w:rsidRPr="00B72020">
        <w:rPr>
          <w:rFonts w:cs="Arial" w:hint="cs"/>
          <w:sz w:val="16"/>
          <w:szCs w:val="16"/>
          <w:rtl/>
        </w:rPr>
        <w:t>(</w:t>
      </w:r>
      <w:r w:rsidRPr="00B72020">
        <w:rPr>
          <w:rFonts w:cs="Arial"/>
          <w:sz w:val="16"/>
          <w:szCs w:val="16"/>
          <w:rtl/>
        </w:rPr>
        <w:t>סי</w:t>
      </w:r>
      <w:r w:rsidR="00B72020" w:rsidRPr="00B72020">
        <w:rPr>
          <w:rFonts w:cs="Arial" w:hint="cs"/>
          <w:sz w:val="16"/>
          <w:szCs w:val="16"/>
          <w:rtl/>
        </w:rPr>
        <w:t>'</w:t>
      </w:r>
      <w:r w:rsidRPr="00B72020">
        <w:rPr>
          <w:rFonts w:cs="Arial"/>
          <w:sz w:val="16"/>
          <w:szCs w:val="16"/>
          <w:rtl/>
        </w:rPr>
        <w:t xml:space="preserve"> קח</w:t>
      </w:r>
      <w:r w:rsidR="00B72020" w:rsidRPr="00B72020">
        <w:rPr>
          <w:rFonts w:cs="Arial" w:hint="cs"/>
          <w:sz w:val="16"/>
          <w:szCs w:val="16"/>
          <w:rtl/>
        </w:rPr>
        <w:t>)</w:t>
      </w:r>
      <w:r w:rsidR="00B72020" w:rsidRPr="00B72020">
        <w:rPr>
          <w:rFonts w:cs="Arial" w:hint="cs"/>
          <w:rtl/>
        </w:rPr>
        <w:t>-</w:t>
      </w:r>
      <w:r w:rsidRPr="00B72020">
        <w:rPr>
          <w:rFonts w:cs="Arial"/>
          <w:rtl/>
        </w:rPr>
        <w:t xml:space="preserve"> בנדון זה אין כאן פיטור לא ממנו ולא מיורשיו</w:t>
      </w:r>
      <w:r w:rsidR="00C4273D">
        <w:rPr>
          <w:rFonts w:cs="Arial" w:hint="cs"/>
          <w:rtl/>
        </w:rPr>
        <w:t>,</w:t>
      </w:r>
      <w:r w:rsidRPr="00B72020">
        <w:rPr>
          <w:rFonts w:cs="Arial"/>
          <w:rtl/>
        </w:rPr>
        <w:t xml:space="preserve"> דמתניתין תנן כתב לה נדר ושבועה אין לי עליך וכו'</w:t>
      </w:r>
      <w:r w:rsidR="00C4273D">
        <w:rPr>
          <w:rFonts w:cs="Arial" w:hint="cs"/>
          <w:rtl/>
        </w:rPr>
        <w:t>,</w:t>
      </w:r>
      <w:r w:rsidRPr="00B72020">
        <w:rPr>
          <w:rFonts w:cs="Arial"/>
          <w:rtl/>
        </w:rPr>
        <w:t xml:space="preserve"> ולשון זה כולל אפטרופוסות ומה שנשאה ונתנה בתוך הבית ופגימת כתובה</w:t>
      </w:r>
      <w:r w:rsidR="00C4273D">
        <w:rPr>
          <w:rFonts w:cs="Arial" w:hint="cs"/>
          <w:rtl/>
        </w:rPr>
        <w:t>.</w:t>
      </w:r>
      <w:r w:rsidRPr="00B72020">
        <w:rPr>
          <w:rFonts w:cs="Arial"/>
          <w:rtl/>
        </w:rPr>
        <w:t xml:space="preserve"> אבל בלשון שרגילין עתה הסופרים לכתוב בכתובות איני רואה שיהא נכלל בלשון ההוא מה שנעשית אפטרופא בחיי בעלה</w:t>
      </w:r>
      <w:r w:rsidR="00C4273D">
        <w:rPr>
          <w:rFonts w:cs="Arial" w:hint="cs"/>
          <w:rtl/>
        </w:rPr>
        <w:t>,</w:t>
      </w:r>
      <w:r w:rsidRPr="00B72020">
        <w:rPr>
          <w:rFonts w:cs="Arial"/>
          <w:rtl/>
        </w:rPr>
        <w:t xml:space="preserve"> שהם כותבים וכל זמן ששטר כתובה יוצא וכו' תהא נאמנת לומר לא נתפרעתי בלא שום שבועה קלה וכו' כשני עדים כשרים לעולם</w:t>
      </w:r>
      <w:r w:rsidR="00C4273D">
        <w:rPr>
          <w:rFonts w:cs="Arial" w:hint="cs"/>
          <w:rtl/>
        </w:rPr>
        <w:t>.</w:t>
      </w:r>
      <w:r w:rsidRPr="00B72020">
        <w:rPr>
          <w:rFonts w:cs="Arial"/>
          <w:rtl/>
        </w:rPr>
        <w:t xml:space="preserve"> ולשון זה אינו כולל שום נאמנות על מה שנשאה ונתנה בחייו שלא יוכל להשביעה הוא או יורשיו</w:t>
      </w:r>
      <w:r w:rsidR="00C4273D">
        <w:rPr>
          <w:rFonts w:cs="Arial" w:hint="cs"/>
          <w:rtl/>
        </w:rPr>
        <w:t>.</w:t>
      </w:r>
    </w:p>
    <w:p w14:paraId="59445AAA"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2E11511" w14:textId="7045C810" w:rsidR="0016235F" w:rsidRDefault="00392DBB" w:rsidP="00392DBB">
      <w:pPr>
        <w:rPr>
          <w:rFonts w:cs="Arial"/>
          <w:rtl/>
        </w:rPr>
      </w:pPr>
      <w:r>
        <w:rPr>
          <w:rFonts w:cs="Arial"/>
          <w:rtl/>
        </w:rPr>
        <w:t>על מה שמכרה בין מיתה לקבורה, לצורך קבורה, אין משביעין אותה אפילו ע</w:t>
      </w:r>
      <w:r w:rsidR="0016235F">
        <w:rPr>
          <w:rFonts w:cs="Arial" w:hint="cs"/>
          <w:rtl/>
        </w:rPr>
        <w:t>ל ידי</w:t>
      </w:r>
      <w:r>
        <w:rPr>
          <w:rFonts w:cs="Arial"/>
          <w:rtl/>
        </w:rPr>
        <w:t xml:space="preserve"> גלגול.</w:t>
      </w:r>
    </w:p>
    <w:p w14:paraId="29744978" w14:textId="6B9D76BD" w:rsidR="00392DBB" w:rsidRDefault="00392DBB" w:rsidP="00392DBB">
      <w:pPr>
        <w:rPr>
          <w:rtl/>
        </w:rPr>
      </w:pPr>
      <w:r>
        <w:rPr>
          <w:rFonts w:cs="Arial"/>
          <w:rtl/>
        </w:rPr>
        <w:t xml:space="preserve"> </w:t>
      </w:r>
    </w:p>
    <w:p w14:paraId="6D3358C8" w14:textId="2DD55423" w:rsidR="00392DBB" w:rsidRDefault="00392DBB" w:rsidP="000F64D0">
      <w:pPr>
        <w:pStyle w:val="2"/>
        <w:rPr>
          <w:rtl/>
        </w:rPr>
      </w:pPr>
      <w:r>
        <w:rPr>
          <w:rtl/>
        </w:rPr>
        <w:t>סעיף ו</w:t>
      </w:r>
      <w:r w:rsidR="00392B23">
        <w:rPr>
          <w:rFonts w:hint="cs"/>
          <w:rtl/>
        </w:rPr>
        <w:t xml:space="preserve">: </w:t>
      </w:r>
      <w:r w:rsidR="004745C8" w:rsidRPr="004745C8">
        <w:rPr>
          <w:rtl/>
        </w:rPr>
        <w:t xml:space="preserve">כתב לה </w:t>
      </w:r>
      <w:r w:rsidR="004745C8" w:rsidRPr="004745C8">
        <w:rPr>
          <w:rFonts w:hint="cs"/>
          <w:rtl/>
        </w:rPr>
        <w:t>"</w:t>
      </w:r>
      <w:r w:rsidR="004745C8" w:rsidRPr="004745C8">
        <w:rPr>
          <w:rtl/>
        </w:rPr>
        <w:t>דלא נדר ודלא שבועה</w:t>
      </w:r>
      <w:r w:rsidR="004745C8" w:rsidRPr="004745C8">
        <w:rPr>
          <w:rFonts w:hint="cs"/>
          <w:rtl/>
        </w:rPr>
        <w:t xml:space="preserve"> מנכסי",</w:t>
      </w:r>
      <w:r w:rsidR="004745C8" w:rsidRPr="004745C8">
        <w:rPr>
          <w:rtl/>
        </w:rPr>
        <w:t xml:space="preserve"> או </w:t>
      </w:r>
      <w:r w:rsidR="004745C8" w:rsidRPr="004745C8">
        <w:rPr>
          <w:rFonts w:hint="cs"/>
          <w:rtl/>
        </w:rPr>
        <w:t>"</w:t>
      </w:r>
      <w:r w:rsidR="004745C8" w:rsidRPr="004745C8">
        <w:rPr>
          <w:rtl/>
        </w:rPr>
        <w:t>נקי נדר או נקי שבועה מנכסי</w:t>
      </w:r>
      <w:r w:rsidR="004745C8" w:rsidRPr="004745C8">
        <w:rPr>
          <w:rFonts w:hint="cs"/>
          <w:rtl/>
        </w:rPr>
        <w:t>"</w:t>
      </w:r>
      <w:r w:rsidR="004745C8">
        <w:rPr>
          <w:rFonts w:hint="cs"/>
          <w:rtl/>
        </w:rPr>
        <w:t>.</w:t>
      </w:r>
    </w:p>
    <w:p w14:paraId="544F6DB0" w14:textId="77777777" w:rsidR="009D7CD2" w:rsidRPr="009D7CD2" w:rsidRDefault="009D7CD2" w:rsidP="009D7CD2">
      <w:pPr>
        <w:rPr>
          <w:rFonts w:cs="Arial"/>
          <w:rtl/>
        </w:rPr>
      </w:pPr>
      <w:r>
        <w:rPr>
          <w:rFonts w:cs="Arial" w:hint="cs"/>
          <w:b/>
          <w:bCs/>
          <w:rtl/>
        </w:rPr>
        <w:t xml:space="preserve">כתובות </w:t>
      </w:r>
      <w:r w:rsidRPr="00B94040">
        <w:rPr>
          <w:rFonts w:cs="Arial" w:hint="cs"/>
          <w:b/>
          <w:bCs/>
          <w:sz w:val="16"/>
          <w:szCs w:val="16"/>
          <w:rtl/>
        </w:rPr>
        <w:t>(פ' ה</w:t>
      </w:r>
      <w:r>
        <w:rPr>
          <w:rFonts w:cs="Arial" w:hint="cs"/>
          <w:b/>
          <w:bCs/>
          <w:sz w:val="16"/>
          <w:szCs w:val="16"/>
          <w:rtl/>
        </w:rPr>
        <w:t>כותב</w:t>
      </w:r>
      <w:r w:rsidRPr="00B94040">
        <w:rPr>
          <w:rFonts w:cs="Arial" w:hint="cs"/>
          <w:b/>
          <w:bCs/>
          <w:sz w:val="16"/>
          <w:szCs w:val="16"/>
          <w:rtl/>
        </w:rPr>
        <w:t>)</w:t>
      </w:r>
      <w:r w:rsidRPr="00B94040">
        <w:rPr>
          <w:rFonts w:cs="Arial" w:hint="cs"/>
          <w:b/>
          <w:bCs/>
          <w:rtl/>
        </w:rPr>
        <w:t xml:space="preserve"> </w:t>
      </w:r>
      <w:r>
        <w:rPr>
          <w:rFonts w:cs="Arial" w:hint="cs"/>
          <w:b/>
          <w:bCs/>
          <w:rtl/>
        </w:rPr>
        <w:t>פז</w:t>
      </w:r>
      <w:r w:rsidRPr="00B94040">
        <w:rPr>
          <w:rFonts w:cs="Arial" w:hint="cs"/>
          <w:b/>
          <w:bCs/>
          <w:rtl/>
        </w:rPr>
        <w:t xml:space="preserve"> ע"</w:t>
      </w:r>
      <w:r>
        <w:rPr>
          <w:rFonts w:cs="Arial" w:hint="cs"/>
          <w:b/>
          <w:bCs/>
          <w:rtl/>
        </w:rPr>
        <w:t>א</w:t>
      </w:r>
      <w:r w:rsidRPr="00B94040">
        <w:rPr>
          <w:rFonts w:cs="Arial" w:hint="cs"/>
          <w:b/>
          <w:bCs/>
          <w:rtl/>
        </w:rPr>
        <w:t>:</w:t>
      </w:r>
      <w:r>
        <w:rPr>
          <w:rFonts w:cs="Arial" w:hint="cs"/>
          <w:rtl/>
        </w:rPr>
        <w:t xml:space="preserve"> </w:t>
      </w:r>
      <w:r w:rsidRPr="002B783C">
        <w:rPr>
          <w:rFonts w:cs="Arial"/>
          <w:u w:val="single"/>
          <w:rtl/>
        </w:rPr>
        <w:t>אמר רבה א"ר חייא</w:t>
      </w:r>
      <w:r w:rsidRPr="0033571F">
        <w:rPr>
          <w:rFonts w:cs="Arial"/>
          <w:rtl/>
        </w:rPr>
        <w:t>: דלא נדר ודלא שבועה - הוא אינו יכול להשביעה, אבל יורשין משביעין אותה, נקי נדר נקי שבועה - בין הוא ובין יורשין אין משביעין אותה, ה"ק לה: מנקית משבועתא</w:t>
      </w:r>
      <w:r>
        <w:rPr>
          <w:rFonts w:cs="Arial" w:hint="cs"/>
          <w:rtl/>
        </w:rPr>
        <w:t>.</w:t>
      </w:r>
      <w:r w:rsidRPr="0033571F">
        <w:rPr>
          <w:rFonts w:cs="Arial"/>
          <w:rtl/>
        </w:rPr>
        <w:t xml:space="preserve"> </w:t>
      </w:r>
      <w:r w:rsidRPr="002B783C">
        <w:rPr>
          <w:rFonts w:cs="Arial"/>
          <w:u w:val="single"/>
          <w:rtl/>
        </w:rPr>
        <w:t>ורב יוסף אמר רבי חייא</w:t>
      </w:r>
      <w:r w:rsidRPr="0033571F">
        <w:rPr>
          <w:rFonts w:cs="Arial"/>
          <w:rtl/>
        </w:rPr>
        <w:t xml:space="preserve">: דלא נדר ודלא שבועה - הוא אינו יכול להשביעה, אבל יורשין משביעין אותה, נקי נדר נקי שבועה - בין הוא ובין יורשין משביעין אותה, ה"ק לה: נקי נפשך בשבועתא. </w:t>
      </w:r>
      <w:r w:rsidRPr="006E6983">
        <w:rPr>
          <w:rFonts w:cs="Arial"/>
          <w:u w:val="single"/>
          <w:rtl/>
        </w:rPr>
        <w:t>שלח ר' זכאי למר עוקבא</w:t>
      </w:r>
      <w:r w:rsidRPr="0033571F">
        <w:rPr>
          <w:rFonts w:cs="Arial"/>
          <w:rtl/>
        </w:rPr>
        <w:t xml:space="preserve">: בין דלא שבועה בין דנקי שבועה, בין דלא נדר ובין דנקי נדר, בנכסי - הוא אינו יכול להשביעה, אבל יורשין משביעין אותה, מנכסיא אילין - בין הוא ובין יורשיו אין משביעין אותה. </w:t>
      </w:r>
      <w:r w:rsidRPr="006E6983">
        <w:rPr>
          <w:rFonts w:cs="Arial"/>
          <w:u w:val="single"/>
          <w:rtl/>
        </w:rPr>
        <w:t>אמר רב נחמן אמר שמואל משום אבא שאול בן אימא מרים</w:t>
      </w:r>
      <w:r w:rsidRPr="0033571F">
        <w:rPr>
          <w:rFonts w:cs="Arial"/>
          <w:rtl/>
        </w:rPr>
        <w:t xml:space="preserve">: בין דלא שבועה בין דנקי שבועה, בין דלא נדר ובין דנקי נדר, בין מנכסי ובין מנכסיא אילין - בין הוא ובין יורשיו אין משביעין אותה, אבל מה אעשה שהרי אמרו חכמים: הבא ליפרע מנכסי יתומים - לא יפרע אלא בשבועה. </w:t>
      </w:r>
      <w:r w:rsidRPr="006E6983">
        <w:rPr>
          <w:rFonts w:cs="Arial"/>
          <w:u w:val="dotted"/>
          <w:rtl/>
        </w:rPr>
        <w:t>ואיכא דאמרי</w:t>
      </w:r>
      <w:r w:rsidRPr="0033571F">
        <w:rPr>
          <w:rFonts w:cs="Arial"/>
          <w:rtl/>
        </w:rPr>
        <w:t xml:space="preserve"> לה מתניתא, </w:t>
      </w:r>
      <w:r w:rsidRPr="006E6983">
        <w:rPr>
          <w:rFonts w:cs="Arial"/>
          <w:u w:val="single"/>
          <w:rtl/>
        </w:rPr>
        <w:t>אבא שאול בן אימא מרים אמ</w:t>
      </w:r>
      <w:r w:rsidRPr="0033571F">
        <w:rPr>
          <w:rFonts w:cs="Arial"/>
          <w:rtl/>
        </w:rPr>
        <w:t xml:space="preserve">ר: בין דלא שבועה בין דנקי שבועה, בין דלא נדר ובין נקי נדר, בין מנכסי ובין מנכסיא אילין - בין הוא </w:t>
      </w:r>
      <w:r w:rsidRPr="0033571F">
        <w:rPr>
          <w:rFonts w:cs="Arial"/>
          <w:rtl/>
        </w:rPr>
        <w:lastRenderedPageBreak/>
        <w:t xml:space="preserve">ובין יורשיו אין משביעין אותה, אבל מה אעשה שהרי אמרו חכמים: הבא ליפרע מנכסי יתומים - לא יפרע אלא בשבועה. </w:t>
      </w:r>
      <w:r w:rsidRPr="006E6983">
        <w:rPr>
          <w:rFonts w:cs="Arial"/>
          <w:u w:val="single"/>
          <w:rtl/>
        </w:rPr>
        <w:t>אמר רב נחמן אמר שמואל</w:t>
      </w:r>
      <w:r w:rsidRPr="0033571F">
        <w:rPr>
          <w:rFonts w:cs="Arial"/>
          <w:rtl/>
        </w:rPr>
        <w:t xml:space="preserve">: הלכה כבן אימא מרים. </w:t>
      </w:r>
    </w:p>
    <w:p w14:paraId="60380E71" w14:textId="258C0578" w:rsidR="00392B23" w:rsidRPr="00AF66DF" w:rsidRDefault="00AF66DF" w:rsidP="00392B23">
      <w:pPr>
        <w:rPr>
          <w:u w:val="single"/>
          <w:rtl/>
        </w:rPr>
      </w:pPr>
      <w:r w:rsidRPr="004745C8">
        <w:rPr>
          <w:rFonts w:cs="Arial"/>
          <w:u w:val="single"/>
          <w:rtl/>
        </w:rPr>
        <w:t xml:space="preserve">כתב לה </w:t>
      </w:r>
      <w:r w:rsidRPr="004745C8">
        <w:rPr>
          <w:rFonts w:cs="Arial" w:hint="cs"/>
          <w:u w:val="single"/>
          <w:rtl/>
        </w:rPr>
        <w:t>"</w:t>
      </w:r>
      <w:r w:rsidRPr="004745C8">
        <w:rPr>
          <w:rFonts w:cs="Arial"/>
          <w:u w:val="single"/>
          <w:rtl/>
        </w:rPr>
        <w:t>דלא נדר ודלא שבועה</w:t>
      </w:r>
      <w:r w:rsidR="004745C8" w:rsidRPr="004745C8">
        <w:rPr>
          <w:rFonts w:cs="Arial" w:hint="cs"/>
          <w:u w:val="single"/>
          <w:rtl/>
        </w:rPr>
        <w:t xml:space="preserve"> מנכסי</w:t>
      </w:r>
      <w:r w:rsidRPr="004745C8">
        <w:rPr>
          <w:rFonts w:cs="Arial" w:hint="cs"/>
          <w:u w:val="single"/>
          <w:rtl/>
        </w:rPr>
        <w:t>",</w:t>
      </w:r>
      <w:r w:rsidRPr="004745C8">
        <w:rPr>
          <w:rFonts w:cs="Arial"/>
          <w:u w:val="single"/>
          <w:rtl/>
        </w:rPr>
        <w:t xml:space="preserve"> או </w:t>
      </w:r>
      <w:r w:rsidRPr="004745C8">
        <w:rPr>
          <w:rFonts w:cs="Arial" w:hint="cs"/>
          <w:u w:val="single"/>
          <w:rtl/>
        </w:rPr>
        <w:t>"</w:t>
      </w:r>
      <w:r w:rsidRPr="004745C8">
        <w:rPr>
          <w:rFonts w:cs="Arial"/>
          <w:u w:val="single"/>
          <w:rtl/>
        </w:rPr>
        <w:t>נקי נדר או נקי שבועה מנכסי</w:t>
      </w:r>
      <w:r w:rsidRPr="004745C8">
        <w:rPr>
          <w:rFonts w:cs="Arial" w:hint="cs"/>
          <w:u w:val="single"/>
          <w:rtl/>
        </w:rPr>
        <w:t>"</w:t>
      </w:r>
      <w:r w:rsidRPr="00AF66DF">
        <w:rPr>
          <w:rFonts w:hint="cs"/>
          <w:u w:val="single"/>
          <w:rtl/>
        </w:rPr>
        <w:t>:</w:t>
      </w:r>
    </w:p>
    <w:p w14:paraId="54CB64E1" w14:textId="3A41D9B4" w:rsidR="006C632E" w:rsidRPr="006C632E" w:rsidRDefault="00BB621E" w:rsidP="006C632E">
      <w:pPr>
        <w:pStyle w:val="ab"/>
        <w:numPr>
          <w:ilvl w:val="0"/>
          <w:numId w:val="86"/>
        </w:numPr>
      </w:pPr>
      <w:r>
        <w:rPr>
          <w:rFonts w:cs="Arial" w:hint="cs"/>
          <w:rtl/>
        </w:rPr>
        <w:t xml:space="preserve">טור- </w:t>
      </w:r>
      <w:r w:rsidRPr="00D71C6B">
        <w:rPr>
          <w:rFonts w:cs="Arial"/>
          <w:rtl/>
        </w:rPr>
        <w:t>כתב לה דלא נדר ודלא שבועה</w:t>
      </w:r>
      <w:r>
        <w:rPr>
          <w:rFonts w:cs="Arial" w:hint="cs"/>
          <w:rtl/>
        </w:rPr>
        <w:t>,</w:t>
      </w:r>
      <w:r w:rsidRPr="00D71C6B">
        <w:rPr>
          <w:rFonts w:cs="Arial"/>
          <w:rtl/>
        </w:rPr>
        <w:t xml:space="preserve"> או נקי נדר או נקי שבועה מנכסי</w:t>
      </w:r>
      <w:r>
        <w:rPr>
          <w:rFonts w:cs="Arial" w:hint="cs"/>
          <w:rtl/>
        </w:rPr>
        <w:t>,</w:t>
      </w:r>
      <w:r w:rsidRPr="00D71C6B">
        <w:rPr>
          <w:rFonts w:cs="Arial"/>
          <w:rtl/>
        </w:rPr>
        <w:t xml:space="preserve"> הוי כאילו כתב לה שבועה אין לי עליך</w:t>
      </w:r>
      <w:r>
        <w:rPr>
          <w:rFonts w:cs="Arial" w:hint="cs"/>
          <w:rtl/>
        </w:rPr>
        <w:t>,</w:t>
      </w:r>
      <w:r w:rsidRPr="00D71C6B">
        <w:rPr>
          <w:rFonts w:cs="Arial"/>
          <w:rtl/>
        </w:rPr>
        <w:t xml:space="preserve"> והוא אינו יכול להשביעה</w:t>
      </w:r>
      <w:r w:rsidR="00C005CA">
        <w:rPr>
          <w:rFonts w:cs="Arial" w:hint="cs"/>
          <w:rtl/>
        </w:rPr>
        <w:t>,</w:t>
      </w:r>
      <w:r w:rsidRPr="00D71C6B">
        <w:rPr>
          <w:rFonts w:cs="Arial"/>
          <w:rtl/>
        </w:rPr>
        <w:t xml:space="preserve"> אבל יורשיו ובאי כחו משביעין אותה</w:t>
      </w:r>
      <w:r>
        <w:rPr>
          <w:rFonts w:cs="Arial" w:hint="cs"/>
          <w:rtl/>
        </w:rPr>
        <w:t>.</w:t>
      </w:r>
      <w:r w:rsidR="006C632E">
        <w:rPr>
          <w:rFonts w:cs="Arial" w:hint="cs"/>
          <w:rtl/>
        </w:rPr>
        <w:t xml:space="preserve"> </w:t>
      </w:r>
      <w:r w:rsidR="007B4E6C" w:rsidRPr="008631A7">
        <w:rPr>
          <w:rFonts w:hint="cs"/>
          <w:color w:val="E36C0A" w:themeColor="accent6" w:themeShade="BF"/>
          <w:rtl/>
        </w:rPr>
        <w:t>(וכ"</w:t>
      </w:r>
      <w:r w:rsidR="007B4E6C">
        <w:rPr>
          <w:rFonts w:hint="cs"/>
          <w:color w:val="E36C0A" w:themeColor="accent6" w:themeShade="BF"/>
          <w:rtl/>
        </w:rPr>
        <w:t>פ</w:t>
      </w:r>
      <w:r w:rsidR="007B4E6C" w:rsidRPr="008631A7">
        <w:rPr>
          <w:rFonts w:hint="cs"/>
          <w:color w:val="E36C0A" w:themeColor="accent6" w:themeShade="BF"/>
          <w:rtl/>
        </w:rPr>
        <w:t xml:space="preserve"> בשו"ע)</w:t>
      </w:r>
    </w:p>
    <w:p w14:paraId="58CE43C9" w14:textId="4BE4BBFF" w:rsidR="006C632E" w:rsidRPr="003E3371" w:rsidRDefault="006C632E" w:rsidP="006C632E">
      <w:pPr>
        <w:ind w:left="360"/>
        <w:rPr>
          <w:u w:val="dotted"/>
        </w:rPr>
      </w:pPr>
      <w:r w:rsidRPr="003E3371">
        <w:rPr>
          <w:rFonts w:hint="cs"/>
          <w:u w:val="dotted"/>
          <w:rtl/>
        </w:rPr>
        <w:t xml:space="preserve">ומה הדין אם כתב </w:t>
      </w:r>
      <w:r w:rsidR="003E3371" w:rsidRPr="003E3371">
        <w:rPr>
          <w:rFonts w:cs="Arial" w:hint="cs"/>
          <w:u w:val="dotted"/>
          <w:rtl/>
        </w:rPr>
        <w:t>"</w:t>
      </w:r>
      <w:r w:rsidR="003E3371" w:rsidRPr="003E3371">
        <w:rPr>
          <w:rFonts w:cs="Arial"/>
          <w:u w:val="dotted"/>
          <w:rtl/>
        </w:rPr>
        <w:t>בין ממני בין מיורשי אחרי</w:t>
      </w:r>
      <w:r w:rsidR="003E3371" w:rsidRPr="003E3371">
        <w:rPr>
          <w:rFonts w:cs="Arial" w:hint="cs"/>
          <w:u w:val="dotted"/>
          <w:rtl/>
        </w:rPr>
        <w:t>"</w:t>
      </w:r>
      <w:r w:rsidR="003E3371" w:rsidRPr="003E3371">
        <w:rPr>
          <w:rFonts w:hint="cs"/>
          <w:u w:val="dotted"/>
          <w:rtl/>
        </w:rPr>
        <w:t>:</w:t>
      </w:r>
    </w:p>
    <w:p w14:paraId="6C500BEA" w14:textId="520DA7B4" w:rsidR="006C632E" w:rsidRPr="006C632E" w:rsidRDefault="006C632E" w:rsidP="006C632E">
      <w:pPr>
        <w:pStyle w:val="ab"/>
        <w:numPr>
          <w:ilvl w:val="0"/>
          <w:numId w:val="86"/>
        </w:numPr>
        <w:rPr>
          <w:rFonts w:cs="Arial"/>
          <w:rtl/>
        </w:rPr>
      </w:pPr>
      <w:r w:rsidRPr="006C632E">
        <w:rPr>
          <w:rFonts w:cs="Arial" w:hint="cs"/>
          <w:rtl/>
        </w:rPr>
        <w:t>רי"ף</w:t>
      </w:r>
      <w:r w:rsidRPr="006C632E">
        <w:rPr>
          <w:rFonts w:cs="Arial"/>
          <w:rtl/>
        </w:rPr>
        <w:t xml:space="preserve"> </w:t>
      </w:r>
      <w:r w:rsidRPr="006C632E">
        <w:rPr>
          <w:rFonts w:cs="Arial"/>
          <w:sz w:val="16"/>
          <w:szCs w:val="16"/>
          <w:rtl/>
        </w:rPr>
        <w:t>(מז.)</w:t>
      </w:r>
      <w:r w:rsidR="008454AB">
        <w:rPr>
          <w:rFonts w:cs="Arial" w:hint="cs"/>
          <w:rtl/>
        </w:rPr>
        <w:t xml:space="preserve"> רמב"ם</w:t>
      </w:r>
      <w:r w:rsidR="008454AB">
        <w:rPr>
          <w:rFonts w:cs="Arial" w:hint="cs"/>
          <w:sz w:val="16"/>
          <w:szCs w:val="16"/>
          <w:rtl/>
        </w:rPr>
        <w:t xml:space="preserve"> (פט"ז מהל' אישות ה"כ</w:t>
      </w:r>
      <w:r w:rsidR="009441B5">
        <w:rPr>
          <w:rFonts w:cs="Arial" w:hint="cs"/>
          <w:sz w:val="16"/>
          <w:szCs w:val="16"/>
          <w:rtl/>
        </w:rPr>
        <w:t xml:space="preserve">, </w:t>
      </w:r>
      <w:r w:rsidR="008A3AFA">
        <w:rPr>
          <w:rFonts w:cs="Arial" w:hint="cs"/>
          <w:sz w:val="16"/>
          <w:szCs w:val="16"/>
          <w:rtl/>
        </w:rPr>
        <w:t>ופט"ו מהל' מלוה ולוה ה"ז</w:t>
      </w:r>
      <w:r w:rsidR="008454AB">
        <w:rPr>
          <w:rFonts w:cs="Arial" w:hint="cs"/>
          <w:sz w:val="16"/>
          <w:szCs w:val="16"/>
          <w:rtl/>
        </w:rPr>
        <w:t>)</w:t>
      </w:r>
      <w:r w:rsidR="007B4E6C">
        <w:rPr>
          <w:rFonts w:cs="Arial" w:hint="cs"/>
          <w:rtl/>
        </w:rPr>
        <w:t xml:space="preserve"> ו</w:t>
      </w:r>
      <w:r w:rsidR="007B4E6C">
        <w:rPr>
          <w:rFonts w:cs="Arial"/>
          <w:rtl/>
        </w:rPr>
        <w:t>רשב"א</w:t>
      </w:r>
      <w:r w:rsidR="007B4E6C">
        <w:rPr>
          <w:rStyle w:val="a7"/>
          <w:rFonts w:cs="Arial"/>
          <w:rtl/>
        </w:rPr>
        <w:footnoteReference w:id="1816"/>
      </w:r>
      <w:r w:rsidR="007B4E6C">
        <w:rPr>
          <w:rFonts w:cs="Arial"/>
          <w:rtl/>
        </w:rPr>
        <w:t xml:space="preserve"> </w:t>
      </w:r>
      <w:r w:rsidR="007B4E6C">
        <w:rPr>
          <w:rFonts w:cs="Arial" w:hint="cs"/>
          <w:sz w:val="16"/>
          <w:szCs w:val="16"/>
          <w:rtl/>
        </w:rPr>
        <w:t>(החדשות סי' קצא)</w:t>
      </w:r>
      <w:r w:rsidRPr="006C632E">
        <w:rPr>
          <w:rFonts w:cs="Arial" w:hint="cs"/>
          <w:rtl/>
        </w:rPr>
        <w:t>-</w:t>
      </w:r>
      <w:r w:rsidRPr="006C632E">
        <w:rPr>
          <w:rFonts w:cs="Arial"/>
          <w:rtl/>
        </w:rPr>
        <w:t xml:space="preserve"> הני מילי דכתב לה דלא נדר ודלא שבועה</w:t>
      </w:r>
      <w:r w:rsidRPr="006C632E">
        <w:rPr>
          <w:rFonts w:cs="Arial" w:hint="cs"/>
          <w:rtl/>
        </w:rPr>
        <w:t>,</w:t>
      </w:r>
      <w:r w:rsidRPr="006C632E">
        <w:rPr>
          <w:rFonts w:cs="Arial"/>
          <w:rtl/>
        </w:rPr>
        <w:t xml:space="preserve"> אי נמי נקי נדר נקי שבועה</w:t>
      </w:r>
      <w:r w:rsidRPr="006C632E">
        <w:rPr>
          <w:rFonts w:cs="Arial" w:hint="cs"/>
          <w:rtl/>
        </w:rPr>
        <w:t>,</w:t>
      </w:r>
      <w:r w:rsidRPr="006C632E">
        <w:rPr>
          <w:rFonts w:cs="Arial"/>
          <w:rtl/>
        </w:rPr>
        <w:t xml:space="preserve"> בלחוד</w:t>
      </w:r>
      <w:r w:rsidRPr="006C632E">
        <w:rPr>
          <w:rFonts w:cs="Arial" w:hint="cs"/>
          <w:rtl/>
        </w:rPr>
        <w:t>,</w:t>
      </w:r>
      <w:r w:rsidRPr="006C632E">
        <w:rPr>
          <w:rFonts w:cs="Arial"/>
          <w:rtl/>
        </w:rPr>
        <w:t xml:space="preserve"> ולא כתב לה בין ממני בין מיורשי אחרי</w:t>
      </w:r>
      <w:r w:rsidRPr="006C632E">
        <w:rPr>
          <w:rFonts w:cs="Arial" w:hint="cs"/>
          <w:rtl/>
        </w:rPr>
        <w:t>.</w:t>
      </w:r>
      <w:r w:rsidRPr="006C632E">
        <w:rPr>
          <w:rFonts w:cs="Arial"/>
          <w:rtl/>
        </w:rPr>
        <w:t xml:space="preserve"> אבל אי כתב לה </w:t>
      </w:r>
      <w:r w:rsidRPr="006C632E">
        <w:rPr>
          <w:rFonts w:cs="Arial" w:hint="cs"/>
          <w:rtl/>
        </w:rPr>
        <w:t>"</w:t>
      </w:r>
      <w:r w:rsidRPr="006C632E">
        <w:rPr>
          <w:rFonts w:cs="Arial"/>
          <w:rtl/>
        </w:rPr>
        <w:t>בין ממני בין מיורשי אחרי</w:t>
      </w:r>
      <w:r w:rsidRPr="006C632E">
        <w:rPr>
          <w:rFonts w:cs="Arial" w:hint="cs"/>
          <w:rtl/>
        </w:rPr>
        <w:t>" -</w:t>
      </w:r>
      <w:r w:rsidRPr="006C632E">
        <w:rPr>
          <w:rFonts w:cs="Arial"/>
          <w:rtl/>
        </w:rPr>
        <w:t xml:space="preserve"> גובה בלא שבועה</w:t>
      </w:r>
      <w:r w:rsidR="003E3371">
        <w:rPr>
          <w:rStyle w:val="a7"/>
          <w:rFonts w:cs="Arial"/>
          <w:rtl/>
        </w:rPr>
        <w:footnoteReference w:id="1817"/>
      </w:r>
      <w:r w:rsidR="003E3371">
        <w:rPr>
          <w:rFonts w:cs="Arial" w:hint="cs"/>
          <w:rtl/>
        </w:rPr>
        <w:t>,</w:t>
      </w:r>
      <w:r w:rsidRPr="006C632E">
        <w:rPr>
          <w:rFonts w:cs="Arial"/>
          <w:rtl/>
        </w:rPr>
        <w:t xml:space="preserve"> ואפילו היא פוגמת כתובתה בין ממנו בין מיורשיו אחריו כסתם מתני'</w:t>
      </w:r>
      <w:r>
        <w:rPr>
          <w:rStyle w:val="a7"/>
          <w:rFonts w:cs="Arial"/>
          <w:rtl/>
        </w:rPr>
        <w:footnoteReference w:id="1818"/>
      </w:r>
      <w:r w:rsidR="008454AB">
        <w:rPr>
          <w:rFonts w:cs="Arial" w:hint="cs"/>
          <w:sz w:val="16"/>
          <w:szCs w:val="16"/>
          <w:rtl/>
        </w:rPr>
        <w:t xml:space="preserve"> (ל' הרי"ף)</w:t>
      </w:r>
      <w:r>
        <w:rPr>
          <w:rFonts w:cs="Arial" w:hint="cs"/>
          <w:rtl/>
        </w:rPr>
        <w:t>.</w:t>
      </w:r>
      <w:r w:rsidR="007B4E6C" w:rsidRPr="007B4E6C">
        <w:rPr>
          <w:rFonts w:hint="cs"/>
          <w:color w:val="E36C0A" w:themeColor="accent6" w:themeShade="BF"/>
          <w:rtl/>
        </w:rPr>
        <w:t xml:space="preserve"> </w:t>
      </w:r>
      <w:r w:rsidR="007B4E6C" w:rsidRPr="008631A7">
        <w:rPr>
          <w:rFonts w:hint="cs"/>
          <w:color w:val="E36C0A" w:themeColor="accent6" w:themeShade="BF"/>
          <w:rtl/>
        </w:rPr>
        <w:t>(וכ"</w:t>
      </w:r>
      <w:r w:rsidR="007B4E6C">
        <w:rPr>
          <w:rFonts w:hint="cs"/>
          <w:color w:val="E36C0A" w:themeColor="accent6" w:themeShade="BF"/>
          <w:rtl/>
        </w:rPr>
        <w:t>פ</w:t>
      </w:r>
      <w:r w:rsidR="007B4E6C" w:rsidRPr="008631A7">
        <w:rPr>
          <w:rFonts w:hint="cs"/>
          <w:color w:val="E36C0A" w:themeColor="accent6" w:themeShade="BF"/>
          <w:rtl/>
        </w:rPr>
        <w:t xml:space="preserve"> בשו"ע)</w:t>
      </w:r>
    </w:p>
    <w:p w14:paraId="0F849FFC" w14:textId="7E644E1C" w:rsidR="00631FDA" w:rsidRPr="006D2829" w:rsidRDefault="006C632E" w:rsidP="00631FDA">
      <w:pPr>
        <w:pStyle w:val="ab"/>
        <w:numPr>
          <w:ilvl w:val="0"/>
          <w:numId w:val="86"/>
        </w:numPr>
      </w:pPr>
      <w:r>
        <w:rPr>
          <w:rFonts w:cs="Arial" w:hint="cs"/>
          <w:rtl/>
        </w:rPr>
        <w:t xml:space="preserve">ר"ח </w:t>
      </w:r>
      <w:r w:rsidR="000249A4">
        <w:rPr>
          <w:rFonts w:cs="Arial" w:hint="cs"/>
          <w:rtl/>
        </w:rPr>
        <w:t>תוס'</w:t>
      </w:r>
      <w:r>
        <w:rPr>
          <w:rFonts w:cs="Arial" w:hint="cs"/>
          <w:rtl/>
        </w:rPr>
        <w:t xml:space="preserve"> </w:t>
      </w:r>
      <w:r w:rsidR="008454AB">
        <w:rPr>
          <w:rFonts w:cs="Arial" w:hint="cs"/>
          <w:sz w:val="16"/>
          <w:szCs w:val="16"/>
          <w:rtl/>
        </w:rPr>
        <w:t xml:space="preserve">(כ"כ </w:t>
      </w:r>
      <w:r w:rsidR="000249A4">
        <w:rPr>
          <w:rFonts w:cs="Arial" w:hint="cs"/>
          <w:sz w:val="16"/>
          <w:szCs w:val="16"/>
          <w:rtl/>
        </w:rPr>
        <w:t>בשמם רא"ש [סי' כ] ו</w:t>
      </w:r>
      <w:r w:rsidR="008454AB">
        <w:rPr>
          <w:rFonts w:cs="Arial" w:hint="cs"/>
          <w:sz w:val="16"/>
          <w:szCs w:val="16"/>
          <w:rtl/>
        </w:rPr>
        <w:t>טור)</w:t>
      </w:r>
      <w:r w:rsidR="0033778C">
        <w:rPr>
          <w:rFonts w:cs="Arial" w:hint="cs"/>
          <w:rtl/>
        </w:rPr>
        <w:t xml:space="preserve"> רז"ה</w:t>
      </w:r>
      <w:r w:rsidR="008454AB">
        <w:rPr>
          <w:rFonts w:cs="Arial" w:hint="cs"/>
          <w:rtl/>
        </w:rPr>
        <w:t xml:space="preserve"> </w:t>
      </w:r>
      <w:r w:rsidR="0033778C" w:rsidRPr="0033778C">
        <w:rPr>
          <w:rFonts w:cs="Arial"/>
          <w:sz w:val="16"/>
          <w:szCs w:val="16"/>
          <w:rtl/>
        </w:rPr>
        <w:t>(שבועות לא:)</w:t>
      </w:r>
      <w:r w:rsidR="0033778C">
        <w:rPr>
          <w:rFonts w:cs="Arial" w:hint="cs"/>
          <w:rtl/>
        </w:rPr>
        <w:t xml:space="preserve"> </w:t>
      </w:r>
      <w:r w:rsidR="00C051AE" w:rsidRPr="007172F8">
        <w:rPr>
          <w:rFonts w:cs="Arial"/>
          <w:rtl/>
        </w:rPr>
        <w:t>ריטב"א</w:t>
      </w:r>
      <w:r w:rsidR="00C051AE">
        <w:rPr>
          <w:rStyle w:val="a7"/>
          <w:rFonts w:cs="Arial"/>
          <w:rtl/>
        </w:rPr>
        <w:footnoteReference w:id="1819"/>
      </w:r>
      <w:r w:rsidR="00C051AE" w:rsidRPr="007172F8">
        <w:rPr>
          <w:rFonts w:cs="Arial"/>
          <w:rtl/>
        </w:rPr>
        <w:t xml:space="preserve"> </w:t>
      </w:r>
      <w:r w:rsidR="00C051AE" w:rsidRPr="00507476">
        <w:rPr>
          <w:rFonts w:cs="Arial"/>
          <w:sz w:val="16"/>
          <w:szCs w:val="16"/>
          <w:rtl/>
        </w:rPr>
        <w:t>(סי</w:t>
      </w:r>
      <w:r w:rsidR="00C051AE" w:rsidRPr="00507476">
        <w:rPr>
          <w:rFonts w:cs="Arial" w:hint="cs"/>
          <w:sz w:val="16"/>
          <w:szCs w:val="16"/>
          <w:rtl/>
        </w:rPr>
        <w:t>'</w:t>
      </w:r>
      <w:r w:rsidR="00C051AE" w:rsidRPr="00507476">
        <w:rPr>
          <w:rFonts w:cs="Arial"/>
          <w:sz w:val="16"/>
          <w:szCs w:val="16"/>
          <w:rtl/>
        </w:rPr>
        <w:t xml:space="preserve"> רה)</w:t>
      </w:r>
      <w:r w:rsidR="00C051AE">
        <w:rPr>
          <w:rFonts w:cs="Arial" w:hint="cs"/>
          <w:sz w:val="16"/>
          <w:szCs w:val="16"/>
          <w:rtl/>
        </w:rPr>
        <w:t xml:space="preserve"> </w:t>
      </w:r>
      <w:r>
        <w:rPr>
          <w:rFonts w:cs="Arial" w:hint="cs"/>
          <w:rtl/>
        </w:rPr>
        <w:t>ורא"ש</w:t>
      </w:r>
      <w:r w:rsidR="008454AB">
        <w:rPr>
          <w:rFonts w:cs="Arial" w:hint="cs"/>
          <w:sz w:val="16"/>
          <w:szCs w:val="16"/>
          <w:rtl/>
        </w:rPr>
        <w:t xml:space="preserve"> (סי' </w:t>
      </w:r>
      <w:r w:rsidR="00642B81">
        <w:rPr>
          <w:rFonts w:cs="Arial" w:hint="cs"/>
          <w:sz w:val="16"/>
          <w:szCs w:val="16"/>
          <w:rtl/>
        </w:rPr>
        <w:t>כ</w:t>
      </w:r>
      <w:r w:rsidR="00642B81">
        <w:rPr>
          <w:rStyle w:val="a7"/>
          <w:rFonts w:cs="Arial"/>
          <w:sz w:val="16"/>
          <w:szCs w:val="16"/>
          <w:rtl/>
        </w:rPr>
        <w:footnoteReference w:id="1820"/>
      </w:r>
      <w:r w:rsidR="008454AB">
        <w:rPr>
          <w:rFonts w:cs="Arial" w:hint="cs"/>
          <w:sz w:val="16"/>
          <w:szCs w:val="16"/>
          <w:rtl/>
        </w:rPr>
        <w:t>, וכ"כ הטור בשמו)</w:t>
      </w:r>
      <w:r>
        <w:rPr>
          <w:rFonts w:cs="Arial" w:hint="cs"/>
          <w:rtl/>
        </w:rPr>
        <w:t xml:space="preserve">- </w:t>
      </w:r>
      <w:r w:rsidR="00631FDA" w:rsidRPr="00D71C6B">
        <w:rPr>
          <w:rFonts w:cs="Arial"/>
          <w:rtl/>
        </w:rPr>
        <w:t>אפי' פטרה בפירוש מן היורשים</w:t>
      </w:r>
      <w:r w:rsidR="003E3371">
        <w:rPr>
          <w:rFonts w:cs="Arial" w:hint="cs"/>
          <w:rtl/>
        </w:rPr>
        <w:t>,</w:t>
      </w:r>
      <w:r w:rsidR="00631FDA" w:rsidRPr="00D71C6B">
        <w:rPr>
          <w:rFonts w:cs="Arial"/>
          <w:rtl/>
        </w:rPr>
        <w:t xml:space="preserve"> או כתב לה </w:t>
      </w:r>
      <w:r>
        <w:rPr>
          <w:rFonts w:cs="Arial" w:hint="cs"/>
          <w:rtl/>
        </w:rPr>
        <w:t>"</w:t>
      </w:r>
      <w:r w:rsidR="00631FDA" w:rsidRPr="00D71C6B">
        <w:rPr>
          <w:rFonts w:cs="Arial"/>
          <w:rtl/>
        </w:rPr>
        <w:t>נקי נדר נקי שבועה מנכסי אילין</w:t>
      </w:r>
      <w:r>
        <w:rPr>
          <w:rFonts w:cs="Arial" w:hint="cs"/>
          <w:rtl/>
        </w:rPr>
        <w:t>" -</w:t>
      </w:r>
      <w:r w:rsidR="00631FDA" w:rsidRPr="00D71C6B">
        <w:rPr>
          <w:rFonts w:cs="Arial"/>
          <w:rtl/>
        </w:rPr>
        <w:t xml:space="preserve"> אינו מועיל גבי יורשין ואינה גובה מהן אלא בשבועה</w:t>
      </w:r>
      <w:r w:rsidR="008454AB">
        <w:rPr>
          <w:rFonts w:cs="Arial" w:hint="cs"/>
          <w:sz w:val="16"/>
          <w:szCs w:val="16"/>
          <w:rtl/>
        </w:rPr>
        <w:t xml:space="preserve"> (ל' הטור בש</w:t>
      </w:r>
      <w:r w:rsidR="0033778C">
        <w:rPr>
          <w:rFonts w:cs="Arial" w:hint="cs"/>
          <w:sz w:val="16"/>
          <w:szCs w:val="16"/>
          <w:rtl/>
        </w:rPr>
        <w:t>ם ר"ח ור"י</w:t>
      </w:r>
      <w:r w:rsidR="008454AB">
        <w:rPr>
          <w:rFonts w:cs="Arial" w:hint="cs"/>
          <w:sz w:val="16"/>
          <w:szCs w:val="16"/>
          <w:rtl/>
        </w:rPr>
        <w:t>)</w:t>
      </w:r>
      <w:r>
        <w:rPr>
          <w:rFonts w:cs="Arial" w:hint="cs"/>
          <w:rtl/>
        </w:rPr>
        <w:t>.</w:t>
      </w:r>
      <w:r w:rsidR="00785CA0">
        <w:rPr>
          <w:rFonts w:hint="cs"/>
          <w:rtl/>
        </w:rPr>
        <w:t xml:space="preserve"> </w:t>
      </w:r>
      <w:r w:rsidR="00785CA0" w:rsidRPr="00785CA0">
        <w:rPr>
          <w:rFonts w:hint="cs"/>
          <w:color w:val="00B0F0"/>
          <w:rtl/>
        </w:rPr>
        <w:t>(וכ"כ הרמ"א</w:t>
      </w:r>
      <w:r w:rsidR="00785CA0" w:rsidRPr="00785CA0">
        <w:rPr>
          <w:rFonts w:hint="cs"/>
          <w:color w:val="00B0F0"/>
          <w:sz w:val="16"/>
          <w:szCs w:val="16"/>
          <w:rtl/>
        </w:rPr>
        <w:t xml:space="preserve"> </w:t>
      </w:r>
      <w:r w:rsidR="00785CA0">
        <w:rPr>
          <w:rFonts w:hint="cs"/>
          <w:sz w:val="16"/>
          <w:szCs w:val="16"/>
          <w:rtl/>
        </w:rPr>
        <w:t>[בסע' הבא]</w:t>
      </w:r>
      <w:r w:rsidR="00785CA0" w:rsidRPr="00785CA0">
        <w:rPr>
          <w:rFonts w:hint="cs"/>
          <w:color w:val="00B0F0"/>
          <w:rtl/>
        </w:rPr>
        <w:t>)</w:t>
      </w:r>
    </w:p>
    <w:p w14:paraId="27E807E6" w14:textId="4128CB61" w:rsidR="009441B5" w:rsidRPr="007172F8" w:rsidRDefault="009441B5" w:rsidP="009441B5">
      <w:pPr>
        <w:pStyle w:val="ab"/>
        <w:numPr>
          <w:ilvl w:val="1"/>
          <w:numId w:val="86"/>
        </w:numPr>
      </w:pPr>
      <w:r>
        <w:rPr>
          <w:rFonts w:cs="Arial" w:hint="cs"/>
          <w:rtl/>
        </w:rPr>
        <w:t>ב"י</w:t>
      </w:r>
      <w:r>
        <w:rPr>
          <w:rFonts w:cs="Arial" w:hint="cs"/>
          <w:sz w:val="16"/>
          <w:szCs w:val="16"/>
          <w:rtl/>
        </w:rPr>
        <w:t xml:space="preserve"> (בבדה"ב)</w:t>
      </w:r>
      <w:r>
        <w:rPr>
          <w:rFonts w:cs="Arial" w:hint="cs"/>
          <w:rtl/>
        </w:rPr>
        <w:t xml:space="preserve">- </w:t>
      </w:r>
      <w:r w:rsidRPr="007172F8">
        <w:rPr>
          <w:rFonts w:cs="Arial"/>
          <w:rtl/>
        </w:rPr>
        <w:t>ולענין הלכה כיון שהרי"ף והרמב"ם מסכימים לדעת אחת</w:t>
      </w:r>
      <w:r w:rsidR="008A3AFA">
        <w:rPr>
          <w:rFonts w:cs="Arial" w:hint="cs"/>
          <w:rtl/>
        </w:rPr>
        <w:t>,</w:t>
      </w:r>
      <w:r w:rsidRPr="007172F8">
        <w:rPr>
          <w:rFonts w:cs="Arial"/>
          <w:rtl/>
        </w:rPr>
        <w:t xml:space="preserve"> וכל שכן דהני רבוותא סבירא להו כוותייהו </w:t>
      </w:r>
      <w:r w:rsidR="008A3AFA">
        <w:rPr>
          <w:rFonts w:cs="Arial" w:hint="cs"/>
          <w:rtl/>
        </w:rPr>
        <w:t xml:space="preserve">- </w:t>
      </w:r>
      <w:r w:rsidRPr="007172F8">
        <w:rPr>
          <w:rFonts w:cs="Arial"/>
          <w:rtl/>
        </w:rPr>
        <w:t>הכי נקטינן</w:t>
      </w:r>
      <w:r>
        <w:rPr>
          <w:rFonts w:cs="Arial" w:hint="cs"/>
          <w:rtl/>
        </w:rPr>
        <w:t>.</w:t>
      </w:r>
    </w:p>
    <w:p w14:paraId="58BFAAFA" w14:textId="1D0E2EAA" w:rsidR="003069D8" w:rsidRPr="001B0632" w:rsidRDefault="001B0632" w:rsidP="003069D8">
      <w:pPr>
        <w:ind w:left="360"/>
        <w:rPr>
          <w:u w:val="dotted"/>
        </w:rPr>
      </w:pPr>
      <w:r w:rsidRPr="001B0632">
        <w:rPr>
          <w:rFonts w:hint="cs"/>
          <w:u w:val="dotted"/>
          <w:rtl/>
        </w:rPr>
        <w:lastRenderedPageBreak/>
        <w:t>לר"ח וסיעתו - מה הדין אם קנו מיניה:</w:t>
      </w:r>
    </w:p>
    <w:p w14:paraId="2FA9371A" w14:textId="08024583" w:rsidR="007172F8" w:rsidRDefault="008454AB" w:rsidP="007B4E6C">
      <w:pPr>
        <w:pStyle w:val="ab"/>
        <w:numPr>
          <w:ilvl w:val="0"/>
          <w:numId w:val="86"/>
        </w:numPr>
      </w:pPr>
      <w:r>
        <w:rPr>
          <w:rFonts w:cs="Arial" w:hint="cs"/>
          <w:rtl/>
        </w:rPr>
        <w:t xml:space="preserve">טור- </w:t>
      </w:r>
      <w:r w:rsidR="00631FDA" w:rsidRPr="00D71C6B">
        <w:rPr>
          <w:rFonts w:cs="Arial"/>
          <w:rtl/>
        </w:rPr>
        <w:t>כתב ר"ח דוקא דלא קנו מיניה</w:t>
      </w:r>
      <w:r>
        <w:rPr>
          <w:rFonts w:cs="Arial" w:hint="cs"/>
          <w:rtl/>
        </w:rPr>
        <w:t>,</w:t>
      </w:r>
      <w:r w:rsidR="00631FDA" w:rsidRPr="00D71C6B">
        <w:rPr>
          <w:rFonts w:cs="Arial"/>
          <w:rtl/>
        </w:rPr>
        <w:t xml:space="preserve"> אבל קנו מיניה </w:t>
      </w:r>
      <w:r>
        <w:rPr>
          <w:rFonts w:cs="Arial" w:hint="cs"/>
          <w:rtl/>
        </w:rPr>
        <w:t xml:space="preserve">- </w:t>
      </w:r>
      <w:r w:rsidR="00631FDA" w:rsidRPr="00D71C6B">
        <w:rPr>
          <w:rFonts w:cs="Arial"/>
          <w:rtl/>
        </w:rPr>
        <w:t>אין משביעין לא אותה ולא יורשיה</w:t>
      </w:r>
      <w:r>
        <w:rPr>
          <w:rFonts w:cs="Arial" w:hint="cs"/>
          <w:rtl/>
        </w:rPr>
        <w:t>,</w:t>
      </w:r>
      <w:r w:rsidR="00631FDA" w:rsidRPr="00D71C6B">
        <w:rPr>
          <w:rFonts w:cs="Arial"/>
          <w:rtl/>
        </w:rPr>
        <w:t xml:space="preserve"> דאלים כח קנין לפוטרה לגמרי ממנו ומיורשיו</w:t>
      </w:r>
      <w:r w:rsidR="00631FDA">
        <w:rPr>
          <w:rFonts w:cs="Arial" w:hint="cs"/>
          <w:rtl/>
        </w:rPr>
        <w:t>.</w:t>
      </w:r>
    </w:p>
    <w:p w14:paraId="6CD2099C" w14:textId="77777777" w:rsidR="009441B5" w:rsidRPr="009441B5" w:rsidRDefault="009441B5" w:rsidP="009441B5">
      <w:pPr>
        <w:ind w:left="360"/>
        <w:rPr>
          <w:rFonts w:cs="Arial"/>
          <w:u w:val="dotted"/>
          <w:rtl/>
        </w:rPr>
      </w:pPr>
      <w:r w:rsidRPr="009441B5">
        <w:rPr>
          <w:rFonts w:cs="Arial" w:hint="cs"/>
          <w:u w:val="dotted"/>
          <w:rtl/>
        </w:rPr>
        <w:t>לר"ח וסיעתו - מה הדין אם האמינה כשני עדים כשרים עליו ועל יורשיו:</w:t>
      </w:r>
      <w:r w:rsidRPr="009441B5">
        <w:rPr>
          <w:rFonts w:cs="Arial"/>
          <w:u w:val="dotted"/>
          <w:rtl/>
        </w:rPr>
        <w:t xml:space="preserve"> </w:t>
      </w:r>
    </w:p>
    <w:p w14:paraId="50C79743" w14:textId="5A479A96" w:rsidR="009441B5" w:rsidRPr="009441B5" w:rsidRDefault="009441B5" w:rsidP="009441B5">
      <w:pPr>
        <w:pStyle w:val="ab"/>
        <w:numPr>
          <w:ilvl w:val="0"/>
          <w:numId w:val="86"/>
        </w:numPr>
        <w:rPr>
          <w:rFonts w:cs="Arial"/>
          <w:rtl/>
        </w:rPr>
      </w:pPr>
      <w:r w:rsidRPr="007172F8">
        <w:rPr>
          <w:rFonts w:cs="Arial"/>
          <w:rtl/>
        </w:rPr>
        <w:t xml:space="preserve">ריב"ש </w:t>
      </w:r>
      <w:r w:rsidRPr="007172F8">
        <w:rPr>
          <w:rFonts w:cs="Arial" w:hint="cs"/>
          <w:sz w:val="16"/>
          <w:szCs w:val="16"/>
          <w:rtl/>
        </w:rPr>
        <w:t>(סי' ק</w:t>
      </w:r>
      <w:r>
        <w:rPr>
          <w:rFonts w:cs="Arial" w:hint="cs"/>
          <w:sz w:val="16"/>
          <w:szCs w:val="16"/>
          <w:rtl/>
        </w:rPr>
        <w:t>ח</w:t>
      </w:r>
      <w:r w:rsidRPr="007172F8">
        <w:rPr>
          <w:rFonts w:cs="Arial" w:hint="cs"/>
          <w:sz w:val="16"/>
          <w:szCs w:val="16"/>
          <w:rtl/>
        </w:rPr>
        <w:t>)</w:t>
      </w:r>
      <w:r w:rsidRPr="007172F8">
        <w:rPr>
          <w:rFonts w:cs="Arial" w:hint="cs"/>
          <w:rtl/>
        </w:rPr>
        <w:t>-</w:t>
      </w:r>
      <w:r w:rsidRPr="007172F8">
        <w:rPr>
          <w:rFonts w:cs="Arial"/>
          <w:rtl/>
        </w:rPr>
        <w:t xml:space="preserve"> אם כתוב בכתובתה של זו נאמנות בין ממנו בין מיורשיו כשני עדים כשרים</w:t>
      </w:r>
      <w:r>
        <w:rPr>
          <w:rFonts w:cs="Arial" w:hint="cs"/>
          <w:rtl/>
        </w:rPr>
        <w:t xml:space="preserve"> -</w:t>
      </w:r>
      <w:r w:rsidRPr="007172F8">
        <w:rPr>
          <w:rFonts w:cs="Arial"/>
          <w:rtl/>
        </w:rPr>
        <w:t xml:space="preserve"> לעולם אין להם להשביעה</w:t>
      </w:r>
      <w:r>
        <w:rPr>
          <w:rFonts w:cs="Arial" w:hint="cs"/>
          <w:rtl/>
        </w:rPr>
        <w:t>.</w:t>
      </w:r>
      <w:r w:rsidRPr="007172F8">
        <w:rPr>
          <w:rFonts w:cs="Arial"/>
          <w:rtl/>
        </w:rPr>
        <w:t xml:space="preserve"> ואע</w:t>
      </w:r>
      <w:r>
        <w:rPr>
          <w:rFonts w:cs="Arial" w:hint="cs"/>
          <w:rtl/>
        </w:rPr>
        <w:t>"</w:t>
      </w:r>
      <w:r w:rsidRPr="007172F8">
        <w:rPr>
          <w:rFonts w:cs="Arial"/>
          <w:rtl/>
        </w:rPr>
        <w:t>פ שנהגו להשביע אלמנה לגבות כתובתה</w:t>
      </w:r>
      <w:r>
        <w:rPr>
          <w:rFonts w:cs="Arial" w:hint="cs"/>
          <w:rtl/>
        </w:rPr>
        <w:t>,</w:t>
      </w:r>
      <w:r w:rsidRPr="007172F8">
        <w:rPr>
          <w:rFonts w:cs="Arial"/>
          <w:rtl/>
        </w:rPr>
        <w:t xml:space="preserve"> זהו לכתחלה לחוש לדברי הפוסקים דאין נאמנות מועיל לגבי יורשים ואפילו במפרש</w:t>
      </w:r>
      <w:r>
        <w:rPr>
          <w:rFonts w:cs="Arial" w:hint="cs"/>
          <w:rtl/>
        </w:rPr>
        <w:t>,</w:t>
      </w:r>
      <w:r w:rsidRPr="007172F8">
        <w:rPr>
          <w:rFonts w:cs="Arial"/>
          <w:rtl/>
        </w:rPr>
        <w:t xml:space="preserve"> אבל בדיעבד להפסידה כתובתה כשאינה יכולה לישבע או שמתה ולא נשבעה אין מפסידין אותה כתובתה</w:t>
      </w:r>
      <w:r>
        <w:rPr>
          <w:rFonts w:cs="Arial" w:hint="cs"/>
          <w:rtl/>
        </w:rPr>
        <w:t>.</w:t>
      </w:r>
      <w:r w:rsidRPr="007172F8">
        <w:rPr>
          <w:rFonts w:cs="Arial"/>
          <w:rtl/>
        </w:rPr>
        <w:t xml:space="preserve"> וכ"כ בעל המאור בשם חכמי נרבונא</w:t>
      </w:r>
      <w:r>
        <w:rPr>
          <w:rFonts w:cs="Arial" w:hint="cs"/>
          <w:rtl/>
        </w:rPr>
        <w:t>,</w:t>
      </w:r>
      <w:r w:rsidRPr="007172F8">
        <w:rPr>
          <w:rFonts w:cs="Arial"/>
          <w:rtl/>
        </w:rPr>
        <w:t xml:space="preserve"> ושבחוה מן האחרונים</w:t>
      </w:r>
      <w:r w:rsidRPr="007172F8">
        <w:rPr>
          <w:rFonts w:cs="Arial" w:hint="cs"/>
          <w:rtl/>
        </w:rPr>
        <w:t>.</w:t>
      </w:r>
      <w:r w:rsidRPr="007172F8">
        <w:rPr>
          <w:rFonts w:cs="Arial"/>
          <w:rtl/>
        </w:rPr>
        <w:t xml:space="preserve"> וכן יש לומר בנדון זה שכיון שיש כמה גאוני עולם סוברים שנאמנות מן היורשים בפירוש מועיל אין להפסידה לזו כתובתה מפני החשד</w:t>
      </w:r>
      <w:r>
        <w:rPr>
          <w:rFonts w:cs="Arial" w:hint="cs"/>
          <w:rtl/>
        </w:rPr>
        <w:t>,</w:t>
      </w:r>
      <w:r w:rsidRPr="007172F8">
        <w:rPr>
          <w:rFonts w:cs="Arial"/>
          <w:rtl/>
        </w:rPr>
        <w:t xml:space="preserve"> שהרי אפילו העידו עליה מאה עדים שנפרעה מכתובתה בפניהם היא נאמנת יותר מכולם</w:t>
      </w:r>
      <w:r>
        <w:rPr>
          <w:rFonts w:cs="Arial" w:hint="cs"/>
          <w:rtl/>
        </w:rPr>
        <w:t>,</w:t>
      </w:r>
      <w:r w:rsidRPr="007172F8">
        <w:rPr>
          <w:rFonts w:cs="Arial"/>
          <w:rtl/>
        </w:rPr>
        <w:t xml:space="preserve"> שהרי האמינה כשני עדים ותרי כמאה</w:t>
      </w:r>
      <w:r>
        <w:rPr>
          <w:rStyle w:val="a7"/>
          <w:rFonts w:cs="Arial"/>
          <w:rtl/>
        </w:rPr>
        <w:footnoteReference w:id="1821"/>
      </w:r>
      <w:r w:rsidRPr="007172F8">
        <w:rPr>
          <w:rFonts w:cs="Arial" w:hint="cs"/>
          <w:rtl/>
        </w:rPr>
        <w:t>.</w:t>
      </w:r>
      <w:r w:rsidRPr="007172F8">
        <w:rPr>
          <w:rFonts w:cs="Arial"/>
          <w:rtl/>
        </w:rPr>
        <w:t xml:space="preserve"> </w:t>
      </w:r>
    </w:p>
    <w:p w14:paraId="05D77B51" w14:textId="7F430D73" w:rsidR="007172F8" w:rsidRPr="008C084C" w:rsidRDefault="00223E37" w:rsidP="008C084C">
      <w:pPr>
        <w:ind w:left="360"/>
        <w:rPr>
          <w:rFonts w:cs="Arial"/>
          <w:u w:val="dotted"/>
          <w:rtl/>
        </w:rPr>
      </w:pPr>
      <w:r w:rsidRPr="008C084C">
        <w:rPr>
          <w:rFonts w:cs="Arial" w:hint="cs"/>
          <w:u w:val="dotted"/>
          <w:rtl/>
        </w:rPr>
        <w:t xml:space="preserve">לר"ח וסיעתו - מה הדין </w:t>
      </w:r>
      <w:r w:rsidR="008A3AFA" w:rsidRPr="008C084C">
        <w:rPr>
          <w:rFonts w:cs="Arial" w:hint="cs"/>
          <w:u w:val="dotted"/>
          <w:rtl/>
        </w:rPr>
        <w:t xml:space="preserve">אם </w:t>
      </w:r>
      <w:r w:rsidR="00787A54" w:rsidRPr="008C084C">
        <w:rPr>
          <w:rFonts w:cs="Arial" w:hint="cs"/>
          <w:u w:val="dotted"/>
          <w:rtl/>
        </w:rPr>
        <w:t>לוה נתן נאמנות למלוה</w:t>
      </w:r>
      <w:r w:rsidR="008A3AFA" w:rsidRPr="008C084C">
        <w:rPr>
          <w:rFonts w:cs="Arial" w:hint="cs"/>
          <w:u w:val="dotted"/>
          <w:rtl/>
        </w:rPr>
        <w:t xml:space="preserve"> עליו ועל יורשיו</w:t>
      </w:r>
      <w:r w:rsidR="008C084C">
        <w:rPr>
          <w:rFonts w:cs="Arial" w:hint="cs"/>
          <w:u w:val="dotted"/>
          <w:rtl/>
        </w:rPr>
        <w:t xml:space="preserve"> </w:t>
      </w:r>
      <w:r w:rsidR="008C084C">
        <w:rPr>
          <w:rFonts w:cs="Arial" w:hint="cs"/>
          <w:sz w:val="16"/>
          <w:szCs w:val="16"/>
          <w:u w:val="dotted"/>
          <w:rtl/>
        </w:rPr>
        <w:t>(וכן בעל לאשה</w:t>
      </w:r>
      <w:r w:rsidR="008C084C">
        <w:rPr>
          <w:rStyle w:val="a7"/>
          <w:rFonts w:cs="Arial"/>
          <w:sz w:val="16"/>
          <w:szCs w:val="16"/>
          <w:u w:val="dotted"/>
          <w:rtl/>
        </w:rPr>
        <w:footnoteReference w:id="1822"/>
      </w:r>
      <w:r w:rsidR="008C084C">
        <w:rPr>
          <w:rFonts w:cs="Arial" w:hint="cs"/>
          <w:sz w:val="16"/>
          <w:szCs w:val="16"/>
          <w:u w:val="dotted"/>
          <w:rtl/>
        </w:rPr>
        <w:t>)</w:t>
      </w:r>
      <w:r w:rsidR="00787A54" w:rsidRPr="008C084C">
        <w:rPr>
          <w:rFonts w:cs="Arial" w:hint="cs"/>
          <w:u w:val="dotted"/>
          <w:rtl/>
        </w:rPr>
        <w:t>, ו</w:t>
      </w:r>
      <w:r w:rsidRPr="008C084C">
        <w:rPr>
          <w:rFonts w:cs="Arial" w:hint="cs"/>
          <w:u w:val="dotted"/>
          <w:rtl/>
        </w:rPr>
        <w:t>המלוה מת:</w:t>
      </w:r>
    </w:p>
    <w:p w14:paraId="7513C162" w14:textId="032A0D0B" w:rsidR="00631FDA" w:rsidRPr="00C051AE" w:rsidRDefault="007172F8" w:rsidP="00C051AE">
      <w:pPr>
        <w:pStyle w:val="ab"/>
        <w:numPr>
          <w:ilvl w:val="0"/>
          <w:numId w:val="86"/>
        </w:numPr>
        <w:rPr>
          <w:rFonts w:cs="Arial"/>
        </w:rPr>
      </w:pPr>
      <w:r w:rsidRPr="007172F8">
        <w:rPr>
          <w:rFonts w:cs="Arial"/>
          <w:rtl/>
        </w:rPr>
        <w:t xml:space="preserve">ריב"ש </w:t>
      </w:r>
      <w:r w:rsidRPr="007172F8">
        <w:rPr>
          <w:rFonts w:cs="Arial" w:hint="cs"/>
          <w:sz w:val="16"/>
          <w:szCs w:val="16"/>
          <w:rtl/>
        </w:rPr>
        <w:t>(סי' קסט)</w:t>
      </w:r>
      <w:r w:rsidRPr="007172F8">
        <w:rPr>
          <w:rFonts w:cs="Arial" w:hint="cs"/>
          <w:rtl/>
        </w:rPr>
        <w:t>-</w:t>
      </w:r>
      <w:r w:rsidRPr="007172F8">
        <w:rPr>
          <w:rFonts w:cs="Arial"/>
          <w:rtl/>
        </w:rPr>
        <w:t xml:space="preserve"> אפילו לדעת אותם שפוסקים שאין נאמנות מועיל לעקור תקנת חכמים ואפילו התנה כן בפירוש</w:t>
      </w:r>
      <w:r w:rsidRPr="007172F8">
        <w:rPr>
          <w:rFonts w:cs="Arial" w:hint="cs"/>
          <w:rtl/>
        </w:rPr>
        <w:t>,</w:t>
      </w:r>
      <w:r w:rsidRPr="007172F8">
        <w:rPr>
          <w:rFonts w:cs="Arial"/>
          <w:rtl/>
        </w:rPr>
        <w:t xml:space="preserve"> מכל מקום זה הוא כשהמלוה הוא חי ובא ליפרע מנכסי יתומים שצריך לישבע</w:t>
      </w:r>
      <w:r w:rsidRPr="007172F8">
        <w:rPr>
          <w:rFonts w:cs="Arial" w:hint="cs"/>
          <w:rtl/>
        </w:rPr>
        <w:t>,</w:t>
      </w:r>
      <w:r w:rsidRPr="007172F8">
        <w:rPr>
          <w:rFonts w:cs="Arial"/>
          <w:rtl/>
        </w:rPr>
        <w:t xml:space="preserve"> אבל כשמת מלוה אין יורשיו מפסידים</w:t>
      </w:r>
      <w:r w:rsidRPr="007172F8">
        <w:rPr>
          <w:rFonts w:cs="Arial" w:hint="cs"/>
          <w:rtl/>
        </w:rPr>
        <w:t>.</w:t>
      </w:r>
      <w:r w:rsidRPr="007172F8">
        <w:rPr>
          <w:rFonts w:cs="Arial"/>
          <w:rtl/>
        </w:rPr>
        <w:t xml:space="preserve"> ולא דיינינן להו בדינא דרב ושמואל (שבועות מח.)</w:t>
      </w:r>
      <w:r w:rsidR="00181C3B">
        <w:rPr>
          <w:rFonts w:cs="Arial" w:hint="cs"/>
          <w:rtl/>
        </w:rPr>
        <w:t>,</w:t>
      </w:r>
      <w:r w:rsidRPr="007172F8">
        <w:rPr>
          <w:rFonts w:cs="Arial"/>
          <w:rtl/>
        </w:rPr>
        <w:t xml:space="preserve"> דכיון דדיינא דעבד כרבי אלעזר עבד (שם:) הכא שיש בו נאמנות עבדינן לכתחלה כרבי אלעזר</w:t>
      </w:r>
      <w:r w:rsidRPr="007172F8">
        <w:rPr>
          <w:rFonts w:cs="Arial" w:hint="cs"/>
          <w:rtl/>
        </w:rPr>
        <w:t>.</w:t>
      </w:r>
      <w:r w:rsidRPr="007172F8">
        <w:rPr>
          <w:rFonts w:cs="Arial"/>
          <w:rtl/>
        </w:rPr>
        <w:t xml:space="preserve"> דכיון דמדינא מהני נאמנות אלא דרבנן עשו חיזוק לדבריהם שלא לעקור תקנתם בתנאי</w:t>
      </w:r>
      <w:r w:rsidRPr="007172F8">
        <w:rPr>
          <w:rFonts w:cs="Arial" w:hint="cs"/>
          <w:rtl/>
        </w:rPr>
        <w:t>,</w:t>
      </w:r>
      <w:r w:rsidRPr="007172F8">
        <w:rPr>
          <w:rFonts w:cs="Arial"/>
          <w:rtl/>
        </w:rPr>
        <w:t xml:space="preserve"> הכא לא דיינינן ליה בתרי קולי</w:t>
      </w:r>
      <w:r w:rsidRPr="007172F8">
        <w:rPr>
          <w:rFonts w:cs="Arial" w:hint="cs"/>
          <w:rtl/>
        </w:rPr>
        <w:t>,</w:t>
      </w:r>
      <w:r w:rsidRPr="007172F8">
        <w:rPr>
          <w:rFonts w:cs="Arial"/>
          <w:rtl/>
        </w:rPr>
        <w:t xml:space="preserve"> קולא דאבא שאול וקולא דרב ושמואל</w:t>
      </w:r>
      <w:r w:rsidRPr="007172F8">
        <w:rPr>
          <w:rFonts w:cs="Arial" w:hint="cs"/>
          <w:rtl/>
        </w:rPr>
        <w:t>,</w:t>
      </w:r>
      <w:r w:rsidRPr="007172F8">
        <w:rPr>
          <w:rFonts w:cs="Arial"/>
          <w:rtl/>
        </w:rPr>
        <w:t xml:space="preserve"> כדאמרינן התם הבו דלא לוסיף עלה</w:t>
      </w:r>
      <w:r w:rsidRPr="007172F8">
        <w:rPr>
          <w:rFonts w:cs="Arial" w:hint="cs"/>
          <w:rtl/>
        </w:rPr>
        <w:t>.</w:t>
      </w:r>
      <w:r w:rsidRPr="007172F8">
        <w:rPr>
          <w:rFonts w:cs="Arial"/>
          <w:rtl/>
        </w:rPr>
        <w:t xml:space="preserve"> וכן דעת בעל המאור (שבועות לא:) בשם חכמי נרבונא וסברא נכונה היא</w:t>
      </w:r>
      <w:r>
        <w:rPr>
          <w:rStyle w:val="a7"/>
          <w:rFonts w:cs="Arial"/>
          <w:rtl/>
        </w:rPr>
        <w:footnoteReference w:id="1823"/>
      </w:r>
      <w:r w:rsidRPr="007172F8">
        <w:rPr>
          <w:rFonts w:cs="Arial"/>
          <w:rtl/>
        </w:rPr>
        <w:t xml:space="preserve">. </w:t>
      </w:r>
      <w:r w:rsidR="00785CA0" w:rsidRPr="00785CA0">
        <w:rPr>
          <w:rFonts w:hint="cs"/>
          <w:color w:val="00B0F0"/>
          <w:rtl/>
        </w:rPr>
        <w:t>(וכ"</w:t>
      </w:r>
      <w:r w:rsidR="008C084C">
        <w:rPr>
          <w:rFonts w:hint="cs"/>
          <w:color w:val="00B0F0"/>
          <w:rtl/>
        </w:rPr>
        <w:t>פ</w:t>
      </w:r>
      <w:r w:rsidR="00785CA0" w:rsidRPr="00785CA0">
        <w:rPr>
          <w:rFonts w:hint="cs"/>
          <w:color w:val="00B0F0"/>
          <w:rtl/>
        </w:rPr>
        <w:t xml:space="preserve"> הרמ"א</w:t>
      </w:r>
      <w:r w:rsidR="00785CA0" w:rsidRPr="00785CA0">
        <w:rPr>
          <w:rFonts w:hint="cs"/>
          <w:color w:val="00B0F0"/>
          <w:sz w:val="16"/>
          <w:szCs w:val="16"/>
          <w:rtl/>
        </w:rPr>
        <w:t xml:space="preserve"> </w:t>
      </w:r>
      <w:r w:rsidR="00785CA0">
        <w:rPr>
          <w:rFonts w:hint="cs"/>
          <w:sz w:val="16"/>
          <w:szCs w:val="16"/>
          <w:rtl/>
        </w:rPr>
        <w:t>[בסע' הבא]</w:t>
      </w:r>
      <w:r w:rsidR="00785CA0" w:rsidRPr="00785CA0">
        <w:rPr>
          <w:rFonts w:hint="cs"/>
          <w:color w:val="00B0F0"/>
          <w:rtl/>
        </w:rPr>
        <w:t>)</w:t>
      </w:r>
    </w:p>
    <w:p w14:paraId="2E570839"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7CC1436" w14:textId="77777777" w:rsidR="0016235F" w:rsidRDefault="00392DBB" w:rsidP="00392DBB">
      <w:pPr>
        <w:rPr>
          <w:rFonts w:cs="Arial"/>
          <w:rtl/>
        </w:rPr>
      </w:pPr>
      <w:r>
        <w:rPr>
          <w:rFonts w:cs="Arial"/>
          <w:rtl/>
        </w:rPr>
        <w:t>כתב: דלא נדר דלא שבועה, אפילו אמר: מנכסי אילין, היורשים משביעין אותה, אלא אם כן פטרה בפירוש מהיורשים.</w:t>
      </w:r>
    </w:p>
    <w:p w14:paraId="65E1E8D7" w14:textId="4018F06B" w:rsidR="00392DBB" w:rsidRDefault="00392DBB" w:rsidP="00392DBB">
      <w:pPr>
        <w:rPr>
          <w:rtl/>
        </w:rPr>
      </w:pPr>
      <w:r>
        <w:rPr>
          <w:rFonts w:cs="Arial"/>
          <w:rtl/>
        </w:rPr>
        <w:t xml:space="preserve"> </w:t>
      </w:r>
    </w:p>
    <w:p w14:paraId="26AE676F" w14:textId="5E1A4DA2" w:rsidR="00392DBB" w:rsidRDefault="00392DBB" w:rsidP="000F64D0">
      <w:pPr>
        <w:pStyle w:val="2"/>
        <w:rPr>
          <w:rtl/>
        </w:rPr>
      </w:pPr>
      <w:r>
        <w:rPr>
          <w:rtl/>
        </w:rPr>
        <w:t>סעיף ז</w:t>
      </w:r>
      <w:r w:rsidR="008107DC">
        <w:rPr>
          <w:rFonts w:hint="cs"/>
          <w:rtl/>
        </w:rPr>
        <w:t>:</w:t>
      </w:r>
      <w:r w:rsidR="009603C0">
        <w:rPr>
          <w:rFonts w:hint="cs"/>
          <w:rtl/>
        </w:rPr>
        <w:t xml:space="preserve"> </w:t>
      </w:r>
      <w:r w:rsidR="00EE64DF">
        <w:rPr>
          <w:rFonts w:hint="cs"/>
          <w:rtl/>
        </w:rPr>
        <w:t>ה</w:t>
      </w:r>
      <w:r w:rsidR="00EE64DF" w:rsidRPr="008B1E9D">
        <w:rPr>
          <w:rFonts w:hint="cs"/>
          <w:rtl/>
        </w:rPr>
        <w:t>פ</w:t>
      </w:r>
      <w:r w:rsidR="00EE64DF">
        <w:rPr>
          <w:rFonts w:hint="cs"/>
          <w:rtl/>
        </w:rPr>
        <w:t>ו</w:t>
      </w:r>
      <w:r w:rsidR="00EE64DF" w:rsidRPr="008B1E9D">
        <w:rPr>
          <w:rFonts w:hint="cs"/>
          <w:rtl/>
        </w:rPr>
        <w:t xml:space="preserve">טר את אשתו </w:t>
      </w:r>
      <w:r w:rsidR="002A4A6D">
        <w:rPr>
          <w:rFonts w:hint="cs"/>
          <w:rtl/>
        </w:rPr>
        <w:t xml:space="preserve">משבועה </w:t>
      </w:r>
      <w:r w:rsidR="003676FC">
        <w:rPr>
          <w:rFonts w:hint="cs"/>
          <w:rtl/>
        </w:rPr>
        <w:t>לגבי לקוחות.</w:t>
      </w:r>
    </w:p>
    <w:p w14:paraId="22D483BF" w14:textId="77777777" w:rsidR="00E014C6" w:rsidRDefault="00B82284" w:rsidP="008107DC">
      <w:pPr>
        <w:rPr>
          <w:rFonts w:cs="Arial"/>
          <w:rtl/>
        </w:rPr>
      </w:pPr>
      <w:r w:rsidRPr="00495C75">
        <w:rPr>
          <w:rFonts w:cs="Arial" w:hint="cs"/>
          <w:b/>
          <w:bCs/>
          <w:rtl/>
        </w:rPr>
        <w:t xml:space="preserve">כתובות </w:t>
      </w:r>
      <w:r>
        <w:rPr>
          <w:rFonts w:cs="Arial" w:hint="cs"/>
          <w:b/>
          <w:bCs/>
          <w:sz w:val="16"/>
          <w:szCs w:val="16"/>
          <w:rtl/>
        </w:rPr>
        <w:t>(פ' הכותב)</w:t>
      </w:r>
      <w:r>
        <w:rPr>
          <w:rFonts w:cs="Arial" w:hint="cs"/>
          <w:b/>
          <w:bCs/>
          <w:rtl/>
        </w:rPr>
        <w:t xml:space="preserve"> </w:t>
      </w:r>
      <w:r w:rsidRPr="00495C75">
        <w:rPr>
          <w:rFonts w:cs="Arial" w:hint="cs"/>
          <w:b/>
          <w:bCs/>
          <w:rtl/>
        </w:rPr>
        <w:t xml:space="preserve">פז ע"א: </w:t>
      </w:r>
      <w:r w:rsidRPr="00495C75">
        <w:rPr>
          <w:rFonts w:cs="Arial"/>
          <w:u w:val="double"/>
          <w:rtl/>
        </w:rPr>
        <w:t>מתני'</w:t>
      </w:r>
      <w:r>
        <w:rPr>
          <w:rFonts w:cs="Arial" w:hint="cs"/>
          <w:rtl/>
        </w:rPr>
        <w:t>:...</w:t>
      </w:r>
      <w:r w:rsidRPr="00495C75">
        <w:rPr>
          <w:rFonts w:cs="Arial"/>
          <w:rtl/>
        </w:rPr>
        <w:t xml:space="preserve"> מנכסי יתומים, ומנכסים משועבדים</w:t>
      </w:r>
      <w:r>
        <w:rPr>
          <w:rStyle w:val="a7"/>
          <w:rFonts w:cs="Arial"/>
          <w:rtl/>
        </w:rPr>
        <w:footnoteReference w:id="1824"/>
      </w:r>
      <w:r w:rsidRPr="00495C75">
        <w:rPr>
          <w:rFonts w:cs="Arial"/>
          <w:rtl/>
        </w:rPr>
        <w:t>, ושלא בפניו - לא תפרע אלא בשבועה.</w:t>
      </w:r>
      <w:r>
        <w:rPr>
          <w:rFonts w:cs="Arial" w:hint="cs"/>
          <w:rtl/>
        </w:rPr>
        <w:t>.</w:t>
      </w:r>
      <w:r w:rsidRPr="00495C75">
        <w:rPr>
          <w:rFonts w:cs="Arial"/>
          <w:rtl/>
        </w:rPr>
        <w:t>. מנכסים משועבדים כיצד? מכר נכסיו לאחרים, והיא נפרעת מן הלקוחות - לא תפרע אלא בשבועה</w:t>
      </w:r>
      <w:r>
        <w:rPr>
          <w:rFonts w:cs="Arial" w:hint="cs"/>
          <w:rtl/>
        </w:rPr>
        <w:t>...</w:t>
      </w:r>
    </w:p>
    <w:p w14:paraId="37D2C53A" w14:textId="77777777" w:rsidR="00A22F0A" w:rsidRDefault="00A22F0A" w:rsidP="008107DC">
      <w:pPr>
        <w:rPr>
          <w:rtl/>
        </w:rPr>
      </w:pPr>
      <w:r>
        <w:rPr>
          <w:rFonts w:cs="Arial" w:hint="cs"/>
          <w:b/>
          <w:bCs/>
          <w:rtl/>
        </w:rPr>
        <w:t xml:space="preserve">כתובות </w:t>
      </w:r>
      <w:r w:rsidRPr="00B94040">
        <w:rPr>
          <w:rFonts w:cs="Arial" w:hint="cs"/>
          <w:b/>
          <w:bCs/>
          <w:sz w:val="16"/>
          <w:szCs w:val="16"/>
          <w:rtl/>
        </w:rPr>
        <w:t>(פ' ה</w:t>
      </w:r>
      <w:r>
        <w:rPr>
          <w:rFonts w:cs="Arial" w:hint="cs"/>
          <w:b/>
          <w:bCs/>
          <w:sz w:val="16"/>
          <w:szCs w:val="16"/>
          <w:rtl/>
        </w:rPr>
        <w:t>כותב</w:t>
      </w:r>
      <w:r w:rsidRPr="00B94040">
        <w:rPr>
          <w:rFonts w:cs="Arial" w:hint="cs"/>
          <w:b/>
          <w:bCs/>
          <w:sz w:val="16"/>
          <w:szCs w:val="16"/>
          <w:rtl/>
        </w:rPr>
        <w:t>)</w:t>
      </w:r>
      <w:r w:rsidRPr="00B94040">
        <w:rPr>
          <w:rFonts w:cs="Arial" w:hint="cs"/>
          <w:b/>
          <w:bCs/>
          <w:rtl/>
        </w:rPr>
        <w:t xml:space="preserve"> </w:t>
      </w:r>
      <w:r>
        <w:rPr>
          <w:rFonts w:cs="Arial" w:hint="cs"/>
          <w:b/>
          <w:bCs/>
          <w:rtl/>
        </w:rPr>
        <w:t>פו</w:t>
      </w:r>
      <w:r w:rsidRPr="00B94040">
        <w:rPr>
          <w:rFonts w:cs="Arial" w:hint="cs"/>
          <w:b/>
          <w:bCs/>
          <w:rtl/>
        </w:rPr>
        <w:t xml:space="preserve"> ע"</w:t>
      </w:r>
      <w:r>
        <w:rPr>
          <w:rFonts w:cs="Arial" w:hint="cs"/>
          <w:b/>
          <w:bCs/>
          <w:rtl/>
        </w:rPr>
        <w:t>ב</w:t>
      </w:r>
      <w:r w:rsidRPr="00B94040">
        <w:rPr>
          <w:rFonts w:cs="Arial" w:hint="cs"/>
          <w:b/>
          <w:bCs/>
          <w:rtl/>
        </w:rPr>
        <w:t>:</w:t>
      </w:r>
      <w:r>
        <w:rPr>
          <w:rFonts w:cs="Arial" w:hint="cs"/>
          <w:rtl/>
        </w:rPr>
        <w:t xml:space="preserve"> </w:t>
      </w:r>
      <w:r w:rsidRPr="002B5D2F">
        <w:rPr>
          <w:rFonts w:cs="Arial"/>
          <w:u w:val="double"/>
          <w:rtl/>
        </w:rPr>
        <w:t>מתני'</w:t>
      </w:r>
      <w:r>
        <w:rPr>
          <w:rFonts w:cs="Arial" w:hint="cs"/>
          <w:rtl/>
        </w:rPr>
        <w:t>:...</w:t>
      </w:r>
      <w:r w:rsidRPr="00293ABE">
        <w:rPr>
          <w:rtl/>
        </w:rPr>
        <w:t xml:space="preserve"> </w:t>
      </w:r>
      <w:r w:rsidRPr="00293ABE">
        <w:rPr>
          <w:rFonts w:cs="Arial"/>
          <w:rtl/>
        </w:rPr>
        <w:t>נדר ושבועה אין לי ולא ליורשי ולא לבאים ברשותי עליך ועל יורשיך ועל הבאים ברשותיך - אינו יכול להשביעה לא הוא ולא יורשיו ולא הבאים ברשותו לא אותה ולא יורשיה ולא הבאים ברשותה.</w:t>
      </w:r>
      <w:r>
        <w:rPr>
          <w:rFonts w:hint="cs"/>
          <w:rtl/>
        </w:rPr>
        <w:t>..</w:t>
      </w:r>
    </w:p>
    <w:p w14:paraId="70142527" w14:textId="6EFC93AC" w:rsidR="00B82284" w:rsidRDefault="00E014C6" w:rsidP="008107DC">
      <w:pPr>
        <w:rPr>
          <w:rFonts w:cs="Arial"/>
          <w:rtl/>
        </w:rPr>
      </w:pPr>
      <w:r w:rsidRPr="00A22F0A">
        <w:rPr>
          <w:rFonts w:cs="Arial" w:hint="cs"/>
          <w:b/>
          <w:bCs/>
          <w:rtl/>
        </w:rPr>
        <w:t>תוספתא כתובות פ"ט ה"</w:t>
      </w:r>
      <w:r w:rsidR="00A22F0A" w:rsidRPr="00A22F0A">
        <w:rPr>
          <w:rFonts w:cs="Arial" w:hint="cs"/>
          <w:b/>
          <w:bCs/>
          <w:rtl/>
        </w:rPr>
        <w:t xml:space="preserve">ג: </w:t>
      </w:r>
      <w:r w:rsidRPr="00E014C6">
        <w:rPr>
          <w:rFonts w:cs="Arial"/>
          <w:rtl/>
        </w:rPr>
        <w:t>אילו הן יורשין הבאין ברשותה</w:t>
      </w:r>
      <w:r w:rsidR="001C04AC">
        <w:rPr>
          <w:rFonts w:cs="Arial" w:hint="cs"/>
          <w:rtl/>
        </w:rPr>
        <w:t>,</w:t>
      </w:r>
      <w:r w:rsidRPr="00E014C6">
        <w:rPr>
          <w:rFonts w:cs="Arial"/>
          <w:rtl/>
        </w:rPr>
        <w:t xml:space="preserve"> כל שמכרה להן או נתנה להן במתנה</w:t>
      </w:r>
      <w:r>
        <w:rPr>
          <w:rFonts w:cs="Arial" w:hint="cs"/>
          <w:rtl/>
        </w:rPr>
        <w:t>.</w:t>
      </w:r>
      <w:r w:rsidR="00B82284" w:rsidRPr="008F16AF">
        <w:rPr>
          <w:rFonts w:cs="Arial"/>
          <w:rtl/>
        </w:rPr>
        <w:t xml:space="preserve"> </w:t>
      </w:r>
    </w:p>
    <w:p w14:paraId="5F4527CB" w14:textId="77777777" w:rsidR="00A33D7A" w:rsidRPr="003676FC" w:rsidRDefault="00A33D7A" w:rsidP="00A33D7A">
      <w:pPr>
        <w:rPr>
          <w:u w:val="single"/>
          <w:rtl/>
        </w:rPr>
      </w:pPr>
      <w:r w:rsidRPr="003676FC">
        <w:rPr>
          <w:rFonts w:hint="cs"/>
          <w:u w:val="single"/>
          <w:rtl/>
        </w:rPr>
        <w:t xml:space="preserve">הפוטר את אשתו </w:t>
      </w:r>
      <w:r>
        <w:rPr>
          <w:rFonts w:hint="cs"/>
          <w:u w:val="single"/>
          <w:rtl/>
        </w:rPr>
        <w:t xml:space="preserve">משבועה </w:t>
      </w:r>
      <w:r w:rsidRPr="003676FC">
        <w:rPr>
          <w:rFonts w:hint="cs"/>
          <w:u w:val="single"/>
          <w:rtl/>
        </w:rPr>
        <w:t>לגבי לקוחות:</w:t>
      </w:r>
    </w:p>
    <w:p w14:paraId="1D959396" w14:textId="7376F6E9" w:rsidR="00A33D7A" w:rsidRPr="00A33D7A" w:rsidRDefault="007E4BCD" w:rsidP="00A33D7A">
      <w:pPr>
        <w:pStyle w:val="ab"/>
        <w:numPr>
          <w:ilvl w:val="0"/>
          <w:numId w:val="89"/>
        </w:numPr>
        <w:rPr>
          <w:rFonts w:cs="Arial"/>
          <w:rtl/>
        </w:rPr>
      </w:pPr>
      <w:r>
        <w:rPr>
          <w:rFonts w:cs="Arial" w:hint="cs"/>
          <w:rtl/>
        </w:rPr>
        <w:t xml:space="preserve">ר"ח </w:t>
      </w:r>
      <w:r>
        <w:rPr>
          <w:rFonts w:cs="Arial" w:hint="cs"/>
          <w:sz w:val="16"/>
          <w:szCs w:val="16"/>
          <w:rtl/>
        </w:rPr>
        <w:t>(כ"כ הרא"ש בשמו)</w:t>
      </w:r>
      <w:r>
        <w:rPr>
          <w:rFonts w:cs="Arial" w:hint="cs"/>
          <w:rtl/>
        </w:rPr>
        <w:t xml:space="preserve"> </w:t>
      </w:r>
      <w:r w:rsidR="00271009">
        <w:rPr>
          <w:rFonts w:cs="Arial" w:hint="cs"/>
          <w:rtl/>
        </w:rPr>
        <w:t>ו</w:t>
      </w:r>
      <w:r w:rsidR="008107DC" w:rsidRPr="00A33D7A">
        <w:rPr>
          <w:rFonts w:cs="Arial"/>
          <w:rtl/>
        </w:rPr>
        <w:t xml:space="preserve">רי"ף </w:t>
      </w:r>
      <w:r w:rsidR="00A33D7A" w:rsidRPr="00A33D7A">
        <w:rPr>
          <w:rFonts w:cs="Arial" w:hint="cs"/>
          <w:sz w:val="16"/>
          <w:szCs w:val="16"/>
          <w:rtl/>
        </w:rPr>
        <w:t>(</w:t>
      </w:r>
      <w:r w:rsidR="008107DC" w:rsidRPr="00A33D7A">
        <w:rPr>
          <w:rFonts w:cs="Arial"/>
          <w:sz w:val="16"/>
          <w:szCs w:val="16"/>
          <w:rtl/>
        </w:rPr>
        <w:t>מז:)</w:t>
      </w:r>
      <w:r w:rsidR="00A33D7A" w:rsidRPr="00A33D7A">
        <w:rPr>
          <w:rFonts w:cs="Arial" w:hint="cs"/>
          <w:rtl/>
        </w:rPr>
        <w:t>-</w:t>
      </w:r>
      <w:r w:rsidR="00A33D7A" w:rsidRPr="00A33D7A">
        <w:rPr>
          <w:rtl/>
        </w:rPr>
        <w:t xml:space="preserve"> </w:t>
      </w:r>
      <w:r w:rsidR="00A33D7A" w:rsidRPr="00A33D7A">
        <w:rPr>
          <w:rFonts w:cs="Arial"/>
          <w:rtl/>
        </w:rPr>
        <w:t>אע</w:t>
      </w:r>
      <w:r w:rsidR="0089771B">
        <w:rPr>
          <w:rFonts w:cs="Arial" w:hint="cs"/>
          <w:rtl/>
        </w:rPr>
        <w:t>"</w:t>
      </w:r>
      <w:r w:rsidR="00A33D7A" w:rsidRPr="00A33D7A">
        <w:rPr>
          <w:rFonts w:cs="Arial"/>
          <w:rtl/>
        </w:rPr>
        <w:t>ג דכתב לה בעלה נאמנות לא תפרע אלא בשבועה</w:t>
      </w:r>
      <w:r w:rsidR="0089771B">
        <w:rPr>
          <w:rFonts w:cs="Arial" w:hint="cs"/>
          <w:rtl/>
        </w:rPr>
        <w:t>,</w:t>
      </w:r>
      <w:r w:rsidR="00A33D7A" w:rsidRPr="00A33D7A">
        <w:rPr>
          <w:rFonts w:cs="Arial"/>
          <w:rtl/>
        </w:rPr>
        <w:t xml:space="preserve"> דלא מהניא נאמנות אלא היכא דהמניה לוה למלוה עליה דידיה ועל ירתיה בתריה</w:t>
      </w:r>
      <w:r w:rsidR="0089771B">
        <w:rPr>
          <w:rFonts w:cs="Arial" w:hint="cs"/>
          <w:rtl/>
        </w:rPr>
        <w:t>,</w:t>
      </w:r>
      <w:r w:rsidR="00A33D7A" w:rsidRPr="00A33D7A">
        <w:rPr>
          <w:rFonts w:cs="Arial"/>
          <w:rtl/>
        </w:rPr>
        <w:t xml:space="preserve"> אבל היכא דאיכא עליה חוב לאיניש אחרינא או כתובת אשה או לוקח דזבן מיניה לא מהניא</w:t>
      </w:r>
      <w:r w:rsidR="002910D4">
        <w:rPr>
          <w:rStyle w:val="a7"/>
          <w:rFonts w:cs="Arial"/>
          <w:rtl/>
        </w:rPr>
        <w:footnoteReference w:id="1825"/>
      </w:r>
      <w:r>
        <w:rPr>
          <w:rFonts w:cs="Arial" w:hint="cs"/>
          <w:sz w:val="16"/>
          <w:szCs w:val="16"/>
          <w:rtl/>
        </w:rPr>
        <w:t xml:space="preserve"> (ל' הרי"ף)</w:t>
      </w:r>
      <w:r w:rsidR="00A33D7A">
        <w:rPr>
          <w:rFonts w:cs="Arial" w:hint="cs"/>
          <w:rtl/>
        </w:rPr>
        <w:t>.</w:t>
      </w:r>
      <w:r w:rsidR="00D30FE4" w:rsidRPr="00D30FE4">
        <w:rPr>
          <w:rFonts w:hint="cs"/>
          <w:color w:val="E36C0A" w:themeColor="accent6" w:themeShade="BF"/>
          <w:rtl/>
        </w:rPr>
        <w:t xml:space="preserve"> </w:t>
      </w:r>
      <w:r w:rsidR="00D30FE4" w:rsidRPr="008631A7">
        <w:rPr>
          <w:rFonts w:hint="cs"/>
          <w:color w:val="E36C0A" w:themeColor="accent6" w:themeShade="BF"/>
          <w:rtl/>
        </w:rPr>
        <w:t>(וכ"</w:t>
      </w:r>
      <w:r w:rsidR="00D30FE4">
        <w:rPr>
          <w:rFonts w:hint="cs"/>
          <w:color w:val="E36C0A" w:themeColor="accent6" w:themeShade="BF"/>
          <w:rtl/>
        </w:rPr>
        <w:t>פ</w:t>
      </w:r>
      <w:r w:rsidR="00D30FE4" w:rsidRPr="008631A7">
        <w:rPr>
          <w:rFonts w:hint="cs"/>
          <w:color w:val="E36C0A" w:themeColor="accent6" w:themeShade="BF"/>
          <w:rtl/>
        </w:rPr>
        <w:t xml:space="preserve"> בשו"ע)</w:t>
      </w:r>
    </w:p>
    <w:p w14:paraId="59B555C3" w14:textId="219B6D27" w:rsidR="00CD2228" w:rsidRDefault="00A22F0A" w:rsidP="0093255D">
      <w:pPr>
        <w:pStyle w:val="ab"/>
        <w:numPr>
          <w:ilvl w:val="0"/>
          <w:numId w:val="89"/>
        </w:numPr>
      </w:pPr>
      <w:r>
        <w:rPr>
          <w:rFonts w:cs="Arial" w:hint="cs"/>
          <w:rtl/>
        </w:rPr>
        <w:lastRenderedPageBreak/>
        <w:t xml:space="preserve">רז"ה </w:t>
      </w:r>
      <w:r>
        <w:rPr>
          <w:rFonts w:cs="Arial" w:hint="cs"/>
          <w:sz w:val="16"/>
          <w:szCs w:val="16"/>
          <w:rtl/>
        </w:rPr>
        <w:t>(המאור מז:)</w:t>
      </w:r>
      <w:r>
        <w:rPr>
          <w:rFonts w:cs="Arial" w:hint="cs"/>
          <w:rtl/>
        </w:rPr>
        <w:t xml:space="preserve"> </w:t>
      </w:r>
      <w:r w:rsidR="00CD2228">
        <w:rPr>
          <w:rFonts w:cs="Arial" w:hint="cs"/>
          <w:rtl/>
        </w:rPr>
        <w:t xml:space="preserve">ראב"ד </w:t>
      </w:r>
      <w:r w:rsidR="00CD2228">
        <w:rPr>
          <w:rFonts w:cs="Arial" w:hint="cs"/>
          <w:sz w:val="16"/>
          <w:szCs w:val="16"/>
          <w:rtl/>
        </w:rPr>
        <w:t xml:space="preserve">(כ"כ הרא"ש [שם] בשמו) </w:t>
      </w:r>
      <w:r w:rsidR="0093255D">
        <w:rPr>
          <w:rFonts w:cs="Arial" w:hint="cs"/>
          <w:rtl/>
        </w:rPr>
        <w:t>ו</w:t>
      </w:r>
      <w:r>
        <w:rPr>
          <w:rFonts w:cs="Arial" w:hint="cs"/>
          <w:rtl/>
        </w:rPr>
        <w:t xml:space="preserve">רמ"ה </w:t>
      </w:r>
      <w:r>
        <w:rPr>
          <w:rFonts w:cs="Arial" w:hint="cs"/>
          <w:sz w:val="16"/>
          <w:szCs w:val="16"/>
          <w:rtl/>
        </w:rPr>
        <w:t xml:space="preserve">(כ"כ </w:t>
      </w:r>
      <w:r w:rsidR="00E76DB6">
        <w:rPr>
          <w:rFonts w:cs="Arial" w:hint="cs"/>
          <w:sz w:val="16"/>
          <w:szCs w:val="16"/>
          <w:rtl/>
        </w:rPr>
        <w:t>בשמו רא"ש [</w:t>
      </w:r>
      <w:r w:rsidR="00CD2228">
        <w:rPr>
          <w:rFonts w:cs="Arial" w:hint="cs"/>
          <w:sz w:val="16"/>
          <w:szCs w:val="16"/>
          <w:rtl/>
        </w:rPr>
        <w:t>שם</w:t>
      </w:r>
      <w:r w:rsidR="00E76DB6">
        <w:rPr>
          <w:rFonts w:cs="Arial" w:hint="cs"/>
          <w:sz w:val="16"/>
          <w:szCs w:val="16"/>
          <w:rtl/>
        </w:rPr>
        <w:t>] ו</w:t>
      </w:r>
      <w:r>
        <w:rPr>
          <w:rFonts w:cs="Arial" w:hint="cs"/>
          <w:sz w:val="16"/>
          <w:szCs w:val="16"/>
          <w:rtl/>
        </w:rPr>
        <w:t>טור)</w:t>
      </w:r>
      <w:r>
        <w:rPr>
          <w:rFonts w:cs="Arial" w:hint="cs"/>
          <w:rtl/>
        </w:rPr>
        <w:t xml:space="preserve">- </w:t>
      </w:r>
      <w:r w:rsidRPr="002E6E13">
        <w:rPr>
          <w:rFonts w:cs="Arial"/>
          <w:rtl/>
        </w:rPr>
        <w:t xml:space="preserve">כל שקדמה כתיבת הנאמנות לשעבוד </w:t>
      </w:r>
      <w:r>
        <w:rPr>
          <w:rFonts w:cs="Arial" w:hint="cs"/>
          <w:rtl/>
        </w:rPr>
        <w:t xml:space="preserve">- </w:t>
      </w:r>
      <w:r w:rsidRPr="002E6E13">
        <w:rPr>
          <w:rFonts w:cs="Arial"/>
          <w:rtl/>
        </w:rPr>
        <w:t>גובה שלא בשבועה</w:t>
      </w:r>
      <w:r>
        <w:rPr>
          <w:rStyle w:val="a7"/>
          <w:rFonts w:cs="Arial"/>
          <w:rtl/>
        </w:rPr>
        <w:footnoteReference w:id="1826"/>
      </w:r>
      <w:r>
        <w:rPr>
          <w:rFonts w:cs="Arial" w:hint="cs"/>
          <w:rtl/>
        </w:rPr>
        <w:t>...</w:t>
      </w:r>
      <w:r w:rsidRPr="002E6E13">
        <w:rPr>
          <w:rFonts w:cs="Arial"/>
          <w:rtl/>
        </w:rPr>
        <w:t xml:space="preserve"> אבל אם קדם השעבוד לנאמנות </w:t>
      </w:r>
      <w:r>
        <w:rPr>
          <w:rFonts w:cs="Arial" w:hint="cs"/>
          <w:rtl/>
        </w:rPr>
        <w:t xml:space="preserve">- </w:t>
      </w:r>
      <w:r w:rsidRPr="002E6E13">
        <w:rPr>
          <w:rFonts w:cs="Arial"/>
          <w:rtl/>
        </w:rPr>
        <w:t>הא ודאי לאו כל כמיניה</w:t>
      </w:r>
      <w:r>
        <w:rPr>
          <w:rStyle w:val="a7"/>
          <w:rFonts w:cs="Arial"/>
          <w:rtl/>
        </w:rPr>
        <w:footnoteReference w:id="1827"/>
      </w:r>
      <w:r>
        <w:rPr>
          <w:rFonts w:cs="Arial" w:hint="cs"/>
          <w:sz w:val="16"/>
          <w:szCs w:val="16"/>
          <w:rtl/>
        </w:rPr>
        <w:t xml:space="preserve"> (ל' הרז"ה)</w:t>
      </w:r>
      <w:r>
        <w:rPr>
          <w:rFonts w:cs="Arial" w:hint="cs"/>
          <w:rtl/>
        </w:rPr>
        <w:t>.</w:t>
      </w:r>
    </w:p>
    <w:p w14:paraId="550EB6C5" w14:textId="77777777" w:rsidR="007172F8" w:rsidRPr="007172F8" w:rsidRDefault="006D0B7B" w:rsidP="007172F8">
      <w:pPr>
        <w:pStyle w:val="ab"/>
        <w:numPr>
          <w:ilvl w:val="1"/>
          <w:numId w:val="89"/>
        </w:numPr>
      </w:pPr>
      <w:r w:rsidRPr="00CD2228">
        <w:rPr>
          <w:rFonts w:cs="Arial" w:hint="cs"/>
          <w:rtl/>
        </w:rPr>
        <w:t xml:space="preserve">ב"י </w:t>
      </w:r>
      <w:r w:rsidRPr="00CD2228">
        <w:rPr>
          <w:rFonts w:cs="Arial" w:hint="cs"/>
          <w:sz w:val="16"/>
          <w:szCs w:val="16"/>
          <w:rtl/>
        </w:rPr>
        <w:t>(בבדה"ב)</w:t>
      </w:r>
      <w:r w:rsidRPr="00CD2228">
        <w:rPr>
          <w:rFonts w:cs="Arial" w:hint="cs"/>
          <w:rtl/>
        </w:rPr>
        <w:t xml:space="preserve">- </w:t>
      </w:r>
      <w:r w:rsidR="008107DC" w:rsidRPr="00CD2228">
        <w:rPr>
          <w:rFonts w:cs="Arial"/>
          <w:rtl/>
        </w:rPr>
        <w:t xml:space="preserve">כתב הרמב"ם </w:t>
      </w:r>
      <w:r w:rsidRPr="00CD2228">
        <w:rPr>
          <w:rFonts w:cs="Arial" w:hint="cs"/>
          <w:rtl/>
        </w:rPr>
        <w:t>(</w:t>
      </w:r>
      <w:r w:rsidR="008107DC" w:rsidRPr="00CD2228">
        <w:rPr>
          <w:rFonts w:cs="Arial"/>
          <w:rtl/>
        </w:rPr>
        <w:t>פט"ו מהל</w:t>
      </w:r>
      <w:r w:rsidRPr="00CD2228">
        <w:rPr>
          <w:rFonts w:cs="Arial" w:hint="cs"/>
          <w:rtl/>
        </w:rPr>
        <w:t>'</w:t>
      </w:r>
      <w:r w:rsidR="008107DC" w:rsidRPr="00CD2228">
        <w:rPr>
          <w:rFonts w:cs="Arial"/>
          <w:rtl/>
        </w:rPr>
        <w:t xml:space="preserve"> מלוה ולוה ה"ז) שאפילו התנה בפירוש שיגבה מהלקוחות בלא שבועה אין תנאי מועיל שאין זה יכול להתנות לאבד ממון חבירו</w:t>
      </w:r>
      <w:r w:rsidRPr="00CD2228">
        <w:rPr>
          <w:rFonts w:cs="Arial" w:hint="cs"/>
          <w:rtl/>
        </w:rPr>
        <w:t>,</w:t>
      </w:r>
      <w:r w:rsidR="008107DC" w:rsidRPr="00CD2228">
        <w:rPr>
          <w:rFonts w:cs="Arial"/>
          <w:rtl/>
        </w:rPr>
        <w:t xml:space="preserve"> והכי נקטינן</w:t>
      </w:r>
      <w:r w:rsidR="0093255D">
        <w:rPr>
          <w:rStyle w:val="a7"/>
          <w:rFonts w:cs="Arial"/>
          <w:rtl/>
        </w:rPr>
        <w:footnoteReference w:id="1828"/>
      </w:r>
      <w:r w:rsidRPr="00CD2228">
        <w:rPr>
          <w:rFonts w:cs="Arial" w:hint="cs"/>
          <w:rtl/>
        </w:rPr>
        <w:t>.</w:t>
      </w:r>
    </w:p>
    <w:p w14:paraId="12C1273C" w14:textId="281C8A37" w:rsidR="007172F8" w:rsidRDefault="00FD7AC6" w:rsidP="007172F8">
      <w:pPr>
        <w:rPr>
          <w:rFonts w:cs="Arial"/>
          <w:rtl/>
        </w:rPr>
      </w:pPr>
      <w:r w:rsidRPr="00FD7AC6">
        <w:rPr>
          <w:rFonts w:cs="Arial" w:hint="cs"/>
          <w:b/>
          <w:bCs/>
          <w:rtl/>
        </w:rPr>
        <w:t xml:space="preserve">כתובות </w:t>
      </w:r>
      <w:r w:rsidRPr="00FD7AC6">
        <w:rPr>
          <w:rFonts w:cs="Arial" w:hint="cs"/>
          <w:b/>
          <w:bCs/>
          <w:sz w:val="16"/>
          <w:szCs w:val="16"/>
          <w:rtl/>
        </w:rPr>
        <w:t>(פ' אף על פי)</w:t>
      </w:r>
      <w:r w:rsidRPr="00FD7AC6">
        <w:rPr>
          <w:rFonts w:cs="Arial" w:hint="cs"/>
          <w:b/>
          <w:bCs/>
          <w:rtl/>
        </w:rPr>
        <w:t xml:space="preserve"> נה ע"א: </w:t>
      </w:r>
      <w:r w:rsidRPr="00FD7AC6">
        <w:rPr>
          <w:rFonts w:cs="Arial"/>
          <w:rtl/>
        </w:rPr>
        <w:t>ייחד לה ארעא בארבעה מצרנהא - בלא שבועה, בחד מצרא - פומבדיתא אמרי: בלא שבועה, בני מתא מחסיא אמרי: בשבועה. והלכתא: בלא שבועה.</w:t>
      </w:r>
      <w:r w:rsidRPr="00FD7AC6">
        <w:rPr>
          <w:rFonts w:cs="Arial"/>
          <w:sz w:val="16"/>
          <w:szCs w:val="16"/>
          <w:rtl/>
        </w:rPr>
        <w:t xml:space="preserve"> </w:t>
      </w:r>
      <w:r>
        <w:rPr>
          <w:rFonts w:cs="Arial" w:hint="cs"/>
          <w:sz w:val="16"/>
          <w:szCs w:val="16"/>
          <w:rtl/>
        </w:rPr>
        <w:t>(</w:t>
      </w:r>
      <w:r w:rsidRPr="00FD7AC6">
        <w:rPr>
          <w:rFonts w:cs="Arial"/>
          <w:sz w:val="16"/>
          <w:szCs w:val="16"/>
          <w:rtl/>
        </w:rPr>
        <w:t>וטעמא משום דכיון דייחד לה קרקע זה תו לא מתפיס לה צררי אחריני ועיין במרדכי</w:t>
      </w:r>
      <w:r w:rsidR="006C048D" w:rsidRPr="006C048D">
        <w:rPr>
          <w:rStyle w:val="a7"/>
          <w:rFonts w:cs="Arial"/>
          <w:sz w:val="16"/>
          <w:szCs w:val="16"/>
          <w:rtl/>
        </w:rPr>
        <w:footnoteReference w:id="1829"/>
      </w:r>
      <w:r w:rsidRPr="00FD7AC6">
        <w:rPr>
          <w:rFonts w:cs="Arial"/>
          <w:sz w:val="16"/>
          <w:szCs w:val="16"/>
          <w:rtl/>
        </w:rPr>
        <w:t xml:space="preserve"> פרק הכותב (סי' רכד)</w:t>
      </w:r>
      <w:r>
        <w:rPr>
          <w:rFonts w:cs="Arial" w:hint="cs"/>
          <w:sz w:val="16"/>
          <w:szCs w:val="16"/>
          <w:rtl/>
        </w:rPr>
        <w:t>, ב"י)</w:t>
      </w:r>
    </w:p>
    <w:p w14:paraId="69EF310D" w14:textId="52FDCED0" w:rsidR="006C048D" w:rsidRPr="006C048D" w:rsidRDefault="006C048D" w:rsidP="007172F8">
      <w:pPr>
        <w:rPr>
          <w:rFonts w:cs="Arial"/>
          <w:u w:val="single"/>
          <w:rtl/>
        </w:rPr>
      </w:pPr>
      <w:r w:rsidRPr="006C048D">
        <w:rPr>
          <w:rFonts w:cs="Arial"/>
          <w:u w:val="single"/>
          <w:rtl/>
        </w:rPr>
        <w:t>ייחד לה קרקע שתגבה כתובתה ממנו</w:t>
      </w:r>
      <w:r w:rsidRPr="006C048D">
        <w:rPr>
          <w:rFonts w:cs="Arial" w:hint="cs"/>
          <w:u w:val="single"/>
          <w:rtl/>
        </w:rPr>
        <w:t xml:space="preserve"> - האם צריכה להשבע:</w:t>
      </w:r>
    </w:p>
    <w:p w14:paraId="16572469" w14:textId="3C36743B" w:rsidR="006C048D" w:rsidRDefault="00FC2D3E" w:rsidP="007172F8">
      <w:pPr>
        <w:pStyle w:val="ab"/>
        <w:numPr>
          <w:ilvl w:val="0"/>
          <w:numId w:val="90"/>
        </w:numPr>
      </w:pPr>
      <w:r w:rsidRPr="007172F8">
        <w:rPr>
          <w:rFonts w:cs="Arial" w:hint="cs"/>
          <w:rtl/>
        </w:rPr>
        <w:t xml:space="preserve">טור- </w:t>
      </w:r>
      <w:r w:rsidRPr="007172F8">
        <w:rPr>
          <w:rFonts w:cs="Arial"/>
          <w:rtl/>
        </w:rPr>
        <w:t>ייחד לה קרקע שתגבה כתובתה ממנו</w:t>
      </w:r>
      <w:r w:rsidR="006C048D">
        <w:rPr>
          <w:rFonts w:cs="Arial" w:hint="cs"/>
          <w:rtl/>
        </w:rPr>
        <w:t>,</w:t>
      </w:r>
      <w:r w:rsidRPr="007172F8">
        <w:rPr>
          <w:rFonts w:cs="Arial"/>
          <w:rtl/>
        </w:rPr>
        <w:t xml:space="preserve"> אפי</w:t>
      </w:r>
      <w:r w:rsidR="006C048D">
        <w:rPr>
          <w:rFonts w:cs="Arial" w:hint="cs"/>
          <w:rtl/>
        </w:rPr>
        <w:t>לו</w:t>
      </w:r>
      <w:r w:rsidRPr="007172F8">
        <w:rPr>
          <w:rFonts w:cs="Arial"/>
          <w:rtl/>
        </w:rPr>
        <w:t xml:space="preserve"> לא פירש ד' מצריו אלא אחד מהם </w:t>
      </w:r>
      <w:r w:rsidR="006C048D">
        <w:rPr>
          <w:rFonts w:cs="Arial" w:hint="cs"/>
          <w:rtl/>
        </w:rPr>
        <w:t xml:space="preserve">- </w:t>
      </w:r>
      <w:r w:rsidRPr="007172F8">
        <w:rPr>
          <w:rFonts w:cs="Arial"/>
          <w:rtl/>
        </w:rPr>
        <w:t>גובה בלא שבועה</w:t>
      </w:r>
      <w:r w:rsidR="006C048D">
        <w:rPr>
          <w:rFonts w:cs="Arial" w:hint="cs"/>
          <w:rtl/>
        </w:rPr>
        <w:t>,</w:t>
      </w:r>
      <w:r w:rsidRPr="007172F8">
        <w:rPr>
          <w:rFonts w:cs="Arial"/>
          <w:rtl/>
        </w:rPr>
        <w:t xml:space="preserve"> דלא חיישי</w:t>
      </w:r>
      <w:r w:rsidR="006C048D">
        <w:rPr>
          <w:rFonts w:cs="Arial" w:hint="cs"/>
          <w:rtl/>
        </w:rPr>
        <w:t>נן</w:t>
      </w:r>
      <w:r w:rsidRPr="007172F8">
        <w:rPr>
          <w:rFonts w:cs="Arial"/>
          <w:rtl/>
        </w:rPr>
        <w:t xml:space="preserve"> תו לצררי</w:t>
      </w:r>
      <w:r w:rsidR="006C048D">
        <w:rPr>
          <w:rFonts w:cs="Arial" w:hint="cs"/>
          <w:rtl/>
        </w:rPr>
        <w:t>.</w:t>
      </w:r>
      <w:r w:rsidRPr="007172F8">
        <w:rPr>
          <w:rFonts w:cs="Arial"/>
          <w:rtl/>
        </w:rPr>
        <w:t xml:space="preserve"> </w:t>
      </w:r>
    </w:p>
    <w:p w14:paraId="1015DE44" w14:textId="14217925" w:rsidR="00EA6A63" w:rsidRDefault="00EA6A63" w:rsidP="00EA6A63">
      <w:pPr>
        <w:rPr>
          <w:rtl/>
        </w:rPr>
      </w:pPr>
      <w:r w:rsidRPr="00FD7AC6">
        <w:rPr>
          <w:rFonts w:cs="Arial" w:hint="cs"/>
          <w:b/>
          <w:bCs/>
          <w:rtl/>
        </w:rPr>
        <w:t xml:space="preserve">כתובות </w:t>
      </w:r>
      <w:r w:rsidRPr="00FD7AC6">
        <w:rPr>
          <w:rFonts w:cs="Arial" w:hint="cs"/>
          <w:b/>
          <w:bCs/>
          <w:sz w:val="16"/>
          <w:szCs w:val="16"/>
          <w:rtl/>
        </w:rPr>
        <w:t>(פ' אף על פי)</w:t>
      </w:r>
      <w:r w:rsidRPr="00FD7AC6">
        <w:rPr>
          <w:rFonts w:cs="Arial" w:hint="cs"/>
          <w:b/>
          <w:bCs/>
          <w:rtl/>
        </w:rPr>
        <w:t xml:space="preserve"> נה ע"א: </w:t>
      </w:r>
      <w:r w:rsidRPr="00EA6A63">
        <w:rPr>
          <w:rFonts w:cs="Arial"/>
          <w:rtl/>
        </w:rPr>
        <w:t>מטלטלי ואיתנהו בעינייהו</w:t>
      </w:r>
      <w:r w:rsidR="0041441D">
        <w:rPr>
          <w:rStyle w:val="a7"/>
          <w:rFonts w:cs="Arial"/>
          <w:rtl/>
        </w:rPr>
        <w:footnoteReference w:id="1830"/>
      </w:r>
      <w:r w:rsidRPr="00EA6A63">
        <w:rPr>
          <w:rFonts w:cs="Arial"/>
          <w:rtl/>
        </w:rPr>
        <w:t xml:space="preserve"> - בלא שבועה, ליתנהו בעינייהו</w:t>
      </w:r>
      <w:r w:rsidR="0041441D">
        <w:rPr>
          <w:rStyle w:val="a7"/>
          <w:rFonts w:cs="Arial"/>
          <w:rtl/>
        </w:rPr>
        <w:footnoteReference w:id="1831"/>
      </w:r>
      <w:r w:rsidRPr="00EA6A63">
        <w:rPr>
          <w:rFonts w:cs="Arial"/>
          <w:rtl/>
        </w:rPr>
        <w:t xml:space="preserve"> - פומבדיתא אמרי: בלא שבועה, בני מתא מחסיא אמרי: בשבועה. והלכתא: בלא שבועה.</w:t>
      </w:r>
      <w:r w:rsidR="00D30FE4" w:rsidRPr="00D30FE4">
        <w:rPr>
          <w:rFonts w:hint="cs"/>
          <w:sz w:val="16"/>
          <w:szCs w:val="16"/>
          <w:rtl/>
        </w:rPr>
        <w:t xml:space="preserve"> (ופירש רש"י </w:t>
      </w:r>
      <w:r w:rsidR="00D30FE4" w:rsidRPr="00D30FE4">
        <w:rPr>
          <w:rFonts w:cs="Arial"/>
          <w:sz w:val="16"/>
          <w:szCs w:val="16"/>
          <w:rtl/>
        </w:rPr>
        <w:t>דכיון דאבוד הני לא אתפסה אחריני וכל נכסיו אחראין לכתובתה ונפרעת מן הקרקעות</w:t>
      </w:r>
      <w:r w:rsidR="00D30FE4" w:rsidRPr="00D30FE4">
        <w:rPr>
          <w:rFonts w:cs="Arial" w:hint="cs"/>
          <w:sz w:val="16"/>
          <w:szCs w:val="16"/>
          <w:rtl/>
        </w:rPr>
        <w:t>.</w:t>
      </w:r>
      <w:r w:rsidR="00D30FE4" w:rsidRPr="00D30FE4">
        <w:rPr>
          <w:rFonts w:cs="Arial"/>
          <w:sz w:val="16"/>
          <w:szCs w:val="16"/>
          <w:rtl/>
        </w:rPr>
        <w:t xml:space="preserve"> אבל הרי"ף (כב:) כתב ליתנהו בעינייהו בלא שבועה והוא דידיע דהני מטלטלי מחמת מטלטלי קמאי נינהו</w:t>
      </w:r>
      <w:r w:rsidR="00D30FE4" w:rsidRPr="00D30FE4">
        <w:rPr>
          <w:rFonts w:cs="Arial" w:hint="cs"/>
          <w:sz w:val="16"/>
          <w:szCs w:val="16"/>
          <w:rtl/>
        </w:rPr>
        <w:t>.</w:t>
      </w:r>
      <w:r w:rsidR="00D30FE4" w:rsidRPr="00D30FE4">
        <w:rPr>
          <w:rFonts w:cs="Arial"/>
          <w:sz w:val="16"/>
          <w:szCs w:val="16"/>
          <w:rtl/>
        </w:rPr>
        <w:t xml:space="preserve"> וכ"כ הרמב"ם </w:t>
      </w:r>
      <w:r w:rsidR="00D30FE4" w:rsidRPr="00D30FE4">
        <w:rPr>
          <w:rFonts w:cs="Arial" w:hint="cs"/>
          <w:sz w:val="16"/>
          <w:szCs w:val="16"/>
          <w:rtl/>
        </w:rPr>
        <w:t xml:space="preserve">(פט"ז מהל' אישות </w:t>
      </w:r>
      <w:r w:rsidR="00D30FE4" w:rsidRPr="00D30FE4">
        <w:rPr>
          <w:rFonts w:cs="Arial"/>
          <w:sz w:val="16"/>
          <w:szCs w:val="16"/>
          <w:rtl/>
        </w:rPr>
        <w:t>הי"ג)</w:t>
      </w:r>
      <w:r w:rsidR="00D30FE4" w:rsidRPr="00D30FE4">
        <w:rPr>
          <w:rFonts w:cs="Arial" w:hint="cs"/>
          <w:sz w:val="16"/>
          <w:szCs w:val="16"/>
          <w:rtl/>
        </w:rPr>
        <w:t>.</w:t>
      </w:r>
      <w:r w:rsidR="00D30FE4" w:rsidRPr="00D30FE4">
        <w:rPr>
          <w:rFonts w:cs="Arial"/>
          <w:sz w:val="16"/>
          <w:szCs w:val="16"/>
          <w:rtl/>
        </w:rPr>
        <w:t xml:space="preserve"> וכתב הר"ן (כב ריש ע"ב) שהזקיקם לומר כן לישנא דליתנהו בעינייהו</w:t>
      </w:r>
      <w:r w:rsidR="00D30FE4" w:rsidRPr="00D30FE4">
        <w:rPr>
          <w:rFonts w:cs="Arial" w:hint="cs"/>
          <w:sz w:val="16"/>
          <w:szCs w:val="16"/>
          <w:rtl/>
        </w:rPr>
        <w:t>,</w:t>
      </w:r>
      <w:r w:rsidR="00D30FE4" w:rsidRPr="00D30FE4">
        <w:rPr>
          <w:rFonts w:cs="Arial"/>
          <w:sz w:val="16"/>
          <w:szCs w:val="16"/>
          <w:rtl/>
        </w:rPr>
        <w:t xml:space="preserve"> דמשמע דאיתנהו מיהת אבל לא בעינייהו</w:t>
      </w:r>
      <w:r w:rsidR="00D30FE4" w:rsidRPr="00D30FE4">
        <w:rPr>
          <w:rFonts w:cs="Arial" w:hint="cs"/>
          <w:sz w:val="16"/>
          <w:szCs w:val="16"/>
          <w:rtl/>
        </w:rPr>
        <w:t>,</w:t>
      </w:r>
      <w:r w:rsidR="00D30FE4" w:rsidRPr="00D30FE4">
        <w:rPr>
          <w:rFonts w:cs="Arial"/>
          <w:sz w:val="16"/>
          <w:szCs w:val="16"/>
          <w:rtl/>
        </w:rPr>
        <w:t xml:space="preserve"> ואילו לדברי רש"י לא ה</w:t>
      </w:r>
      <w:r w:rsidR="00D30FE4" w:rsidRPr="00D30FE4">
        <w:rPr>
          <w:rFonts w:cs="Arial" w:hint="cs"/>
          <w:sz w:val="16"/>
          <w:szCs w:val="16"/>
          <w:rtl/>
        </w:rPr>
        <w:t>וה ליה למימר</w:t>
      </w:r>
      <w:r w:rsidR="00D30FE4" w:rsidRPr="00D30FE4">
        <w:rPr>
          <w:rFonts w:cs="Arial"/>
          <w:sz w:val="16"/>
          <w:szCs w:val="16"/>
          <w:rtl/>
        </w:rPr>
        <w:t xml:space="preserve"> אלא איתנהו וליתנהו</w:t>
      </w:r>
      <w:r w:rsidR="00D30FE4" w:rsidRPr="00D30FE4">
        <w:rPr>
          <w:rFonts w:cs="Arial" w:hint="cs"/>
          <w:sz w:val="16"/>
          <w:szCs w:val="16"/>
          <w:rtl/>
        </w:rPr>
        <w:t>.</w:t>
      </w:r>
      <w:r w:rsidR="00D30FE4" w:rsidRPr="00D30FE4">
        <w:rPr>
          <w:rFonts w:cs="Arial"/>
          <w:sz w:val="16"/>
          <w:szCs w:val="16"/>
          <w:rtl/>
        </w:rPr>
        <w:t xml:space="preserve"> וגם הרא"ש (סי' ב) כתב טעם זה</w:t>
      </w:r>
      <w:r w:rsidR="00D30FE4" w:rsidRPr="00D30FE4">
        <w:rPr>
          <w:rFonts w:cs="Arial" w:hint="cs"/>
          <w:sz w:val="16"/>
          <w:szCs w:val="16"/>
          <w:rtl/>
        </w:rPr>
        <w:t>,</w:t>
      </w:r>
      <w:r w:rsidR="00D30FE4" w:rsidRPr="00D30FE4">
        <w:rPr>
          <w:rFonts w:cs="Arial"/>
          <w:sz w:val="16"/>
          <w:szCs w:val="16"/>
          <w:rtl/>
        </w:rPr>
        <w:t xml:space="preserve"> אלא שהקשה לפירוש הרי"ף ז"ל אם כן מאי טעמיהו דבני מתא מחסיא דאמרי צריכה שבועה</w:t>
      </w:r>
      <w:r w:rsidR="00D30FE4" w:rsidRPr="00D30FE4">
        <w:rPr>
          <w:rFonts w:cs="Arial" w:hint="cs"/>
          <w:sz w:val="16"/>
          <w:szCs w:val="16"/>
          <w:rtl/>
        </w:rPr>
        <w:t>,</w:t>
      </w:r>
      <w:r w:rsidR="00D30FE4" w:rsidRPr="00D30FE4">
        <w:rPr>
          <w:rFonts w:cs="Arial"/>
          <w:sz w:val="16"/>
          <w:szCs w:val="16"/>
          <w:rtl/>
        </w:rPr>
        <w:t xml:space="preserve"> מה לי מטלטלי קמאי מה לי מטלטלי אחריני דאתו מחמתייהו</w:t>
      </w:r>
      <w:r w:rsidR="00D30FE4" w:rsidRPr="00D30FE4">
        <w:rPr>
          <w:rStyle w:val="a7"/>
          <w:rFonts w:cs="Arial"/>
          <w:sz w:val="16"/>
          <w:szCs w:val="16"/>
          <w:rtl/>
        </w:rPr>
        <w:footnoteReference w:id="1832"/>
      </w:r>
      <w:r w:rsidR="00D30FE4" w:rsidRPr="00D30FE4">
        <w:rPr>
          <w:rFonts w:cs="Arial"/>
          <w:sz w:val="16"/>
          <w:szCs w:val="16"/>
          <w:rtl/>
        </w:rPr>
        <w:t xml:space="preserve"> ע"כ</w:t>
      </w:r>
      <w:r w:rsidR="00D30FE4" w:rsidRPr="00D30FE4">
        <w:rPr>
          <w:rFonts w:cs="Arial" w:hint="cs"/>
          <w:sz w:val="16"/>
          <w:szCs w:val="16"/>
          <w:rtl/>
        </w:rPr>
        <w:t>.</w:t>
      </w:r>
      <w:r w:rsidR="00D30FE4" w:rsidRPr="00D30FE4">
        <w:rPr>
          <w:rFonts w:cs="Arial"/>
          <w:sz w:val="16"/>
          <w:szCs w:val="16"/>
          <w:rtl/>
        </w:rPr>
        <w:t xml:space="preserve"> ומפני כך כתב רבינו שמסקנת הרא"ש כפרש"י</w:t>
      </w:r>
      <w:r w:rsidR="00D30FE4">
        <w:rPr>
          <w:rFonts w:cs="Arial" w:hint="cs"/>
          <w:sz w:val="16"/>
          <w:szCs w:val="16"/>
          <w:rtl/>
        </w:rPr>
        <w:t>, ב"י)</w:t>
      </w:r>
    </w:p>
    <w:p w14:paraId="06D3507A" w14:textId="13003758" w:rsidR="00EA6A63" w:rsidRPr="006C048D" w:rsidRDefault="00EA6A63" w:rsidP="00EA6A63">
      <w:r w:rsidRPr="006C048D">
        <w:rPr>
          <w:rFonts w:cs="Arial"/>
          <w:u w:val="single"/>
          <w:rtl/>
        </w:rPr>
        <w:t xml:space="preserve">ייחד לה </w:t>
      </w:r>
      <w:r>
        <w:rPr>
          <w:rFonts w:cs="Arial" w:hint="cs"/>
          <w:u w:val="single"/>
          <w:rtl/>
        </w:rPr>
        <w:t>מטלטלין</w:t>
      </w:r>
      <w:r w:rsidRPr="006C048D">
        <w:rPr>
          <w:rFonts w:cs="Arial"/>
          <w:u w:val="single"/>
          <w:rtl/>
        </w:rPr>
        <w:t xml:space="preserve"> שתגבה כתובתה מ</w:t>
      </w:r>
      <w:r>
        <w:rPr>
          <w:rFonts w:cs="Arial" w:hint="cs"/>
          <w:u w:val="single"/>
          <w:rtl/>
        </w:rPr>
        <w:t>הם</w:t>
      </w:r>
      <w:r w:rsidRPr="006C048D">
        <w:rPr>
          <w:rFonts w:cs="Arial" w:hint="cs"/>
          <w:u w:val="single"/>
          <w:rtl/>
        </w:rPr>
        <w:t xml:space="preserve"> - האם צריכה להשבע:</w:t>
      </w:r>
    </w:p>
    <w:p w14:paraId="76491E39" w14:textId="77777777" w:rsidR="00850466" w:rsidRPr="00850466" w:rsidRDefault="006C048D" w:rsidP="007172F8">
      <w:pPr>
        <w:pStyle w:val="ab"/>
        <w:numPr>
          <w:ilvl w:val="0"/>
          <w:numId w:val="90"/>
        </w:numPr>
      </w:pPr>
      <w:r>
        <w:rPr>
          <w:rFonts w:cs="Arial" w:hint="cs"/>
          <w:rtl/>
        </w:rPr>
        <w:t xml:space="preserve">טור- </w:t>
      </w:r>
      <w:r w:rsidR="00FC2D3E" w:rsidRPr="007172F8">
        <w:rPr>
          <w:rFonts w:cs="Arial"/>
          <w:rtl/>
        </w:rPr>
        <w:t xml:space="preserve">אם ייחד לה מטלטלי אפי' אינן בעין </w:t>
      </w:r>
      <w:r>
        <w:rPr>
          <w:rFonts w:cs="Arial" w:hint="cs"/>
          <w:rtl/>
        </w:rPr>
        <w:t xml:space="preserve">- </w:t>
      </w:r>
      <w:r w:rsidR="00FC2D3E" w:rsidRPr="007172F8">
        <w:rPr>
          <w:rFonts w:cs="Arial"/>
          <w:rtl/>
        </w:rPr>
        <w:t>גובה בלא שבועה</w:t>
      </w:r>
      <w:r w:rsidR="00FC2D3E" w:rsidRPr="007172F8">
        <w:rPr>
          <w:rFonts w:cs="Arial" w:hint="cs"/>
          <w:rtl/>
        </w:rPr>
        <w:t>.</w:t>
      </w:r>
    </w:p>
    <w:p w14:paraId="7E9DD04E" w14:textId="0C6447C6" w:rsidR="006C048D" w:rsidRPr="004C1C79" w:rsidRDefault="00850466" w:rsidP="00850466">
      <w:pPr>
        <w:ind w:left="360"/>
        <w:rPr>
          <w:u w:val="dotted"/>
        </w:rPr>
      </w:pPr>
      <w:r w:rsidRPr="004C1C79">
        <w:rPr>
          <w:rFonts w:cs="Arial" w:hint="cs"/>
          <w:u w:val="dotted"/>
          <w:rtl/>
        </w:rPr>
        <w:t>ומה הדין אינן בעין וגם אין ד</w:t>
      </w:r>
      <w:r w:rsidR="004C1C79" w:rsidRPr="004C1C79">
        <w:rPr>
          <w:rFonts w:cs="Arial" w:hint="cs"/>
          <w:u w:val="dotted"/>
          <w:rtl/>
        </w:rPr>
        <w:t>בר אחר שבא מחמתן:</w:t>
      </w:r>
      <w:r w:rsidR="00FC2D3E" w:rsidRPr="004C1C79">
        <w:rPr>
          <w:rFonts w:cs="Arial"/>
          <w:u w:val="dotted"/>
          <w:rtl/>
        </w:rPr>
        <w:t xml:space="preserve"> </w:t>
      </w:r>
    </w:p>
    <w:p w14:paraId="63BAE515" w14:textId="479DD03E" w:rsidR="00850466" w:rsidRPr="00850466" w:rsidRDefault="004C1C79" w:rsidP="007172F8">
      <w:pPr>
        <w:pStyle w:val="ab"/>
        <w:numPr>
          <w:ilvl w:val="0"/>
          <w:numId w:val="90"/>
        </w:numPr>
      </w:pPr>
      <w:r>
        <w:rPr>
          <w:rFonts w:cs="Arial" w:hint="cs"/>
          <w:rtl/>
        </w:rPr>
        <w:t>רי"ף</w:t>
      </w:r>
      <w:r w:rsidR="00B0720D">
        <w:rPr>
          <w:rFonts w:cs="Arial" w:hint="cs"/>
          <w:sz w:val="16"/>
          <w:szCs w:val="16"/>
          <w:rtl/>
        </w:rPr>
        <w:t xml:space="preserve"> (כב:)</w:t>
      </w:r>
      <w:r w:rsidR="00B0720D">
        <w:rPr>
          <w:rFonts w:cs="Arial" w:hint="cs"/>
          <w:rtl/>
        </w:rPr>
        <w:t xml:space="preserve"> ורמב"ם</w:t>
      </w:r>
      <w:r w:rsidR="00B0720D">
        <w:rPr>
          <w:rFonts w:cs="Arial" w:hint="cs"/>
          <w:sz w:val="16"/>
          <w:szCs w:val="16"/>
          <w:rtl/>
        </w:rPr>
        <w:t xml:space="preserve"> (</w:t>
      </w:r>
      <w:r w:rsidR="00CF2421">
        <w:rPr>
          <w:rFonts w:cs="Arial" w:hint="cs"/>
          <w:sz w:val="16"/>
          <w:szCs w:val="16"/>
          <w:rtl/>
        </w:rPr>
        <w:t>פט"ז הי"ג</w:t>
      </w:r>
      <w:r w:rsidR="00B0720D">
        <w:rPr>
          <w:rFonts w:cs="Arial" w:hint="cs"/>
          <w:sz w:val="16"/>
          <w:szCs w:val="16"/>
          <w:rtl/>
        </w:rPr>
        <w:t>)</w:t>
      </w:r>
      <w:r>
        <w:rPr>
          <w:rFonts w:cs="Arial" w:hint="cs"/>
          <w:rtl/>
        </w:rPr>
        <w:t xml:space="preserve">- </w:t>
      </w:r>
      <w:r w:rsidR="00FC2D3E" w:rsidRPr="007172F8">
        <w:rPr>
          <w:rFonts w:cs="Arial"/>
          <w:rtl/>
        </w:rPr>
        <w:t>צריך שיהיו בעין או אחרים שבאים מחמתן</w:t>
      </w:r>
      <w:r w:rsidR="00714013">
        <w:rPr>
          <w:rFonts w:cs="Arial" w:hint="cs"/>
          <w:rtl/>
        </w:rPr>
        <w:t>,</w:t>
      </w:r>
      <w:r w:rsidR="00FC2D3E" w:rsidRPr="007172F8">
        <w:rPr>
          <w:rFonts w:cs="Arial"/>
          <w:rtl/>
        </w:rPr>
        <w:t xml:space="preserve"> כגון שייחד לה מטלטלים והם עיסקא והוא נושא ונותן בהם ומכרם וקנה בדמיהם סחורה</w:t>
      </w:r>
      <w:r w:rsidR="00714013">
        <w:rPr>
          <w:rFonts w:cs="Arial" w:hint="cs"/>
          <w:rtl/>
        </w:rPr>
        <w:t>.</w:t>
      </w:r>
      <w:r w:rsidR="00FC2D3E" w:rsidRPr="007172F8">
        <w:rPr>
          <w:rFonts w:cs="Arial"/>
          <w:rtl/>
        </w:rPr>
        <w:t xml:space="preserve"> אבל אם אינן בעין ולא אחרים שבאין מחמתן </w:t>
      </w:r>
      <w:r w:rsidR="00714013">
        <w:rPr>
          <w:rFonts w:cs="Arial" w:hint="cs"/>
          <w:rtl/>
        </w:rPr>
        <w:t xml:space="preserve">- </w:t>
      </w:r>
      <w:r w:rsidR="00FC2D3E" w:rsidRPr="007172F8">
        <w:rPr>
          <w:rFonts w:cs="Arial"/>
          <w:rtl/>
        </w:rPr>
        <w:t>צריכה שבועה</w:t>
      </w:r>
      <w:r w:rsidR="00CF2421">
        <w:rPr>
          <w:rFonts w:cs="Arial" w:hint="cs"/>
          <w:sz w:val="16"/>
          <w:szCs w:val="16"/>
          <w:rtl/>
        </w:rPr>
        <w:t xml:space="preserve"> (ל' הטור בשם הרי"ף)</w:t>
      </w:r>
      <w:r w:rsidR="00714013">
        <w:rPr>
          <w:rFonts w:cs="Arial" w:hint="cs"/>
          <w:rtl/>
        </w:rPr>
        <w:t>.</w:t>
      </w:r>
      <w:r w:rsidR="00FC2D3E" w:rsidRPr="007172F8">
        <w:rPr>
          <w:rFonts w:cs="Arial"/>
          <w:rtl/>
        </w:rPr>
        <w:t xml:space="preserve"> </w:t>
      </w:r>
    </w:p>
    <w:p w14:paraId="52C93880" w14:textId="5B2D7E83" w:rsidR="008107DC" w:rsidRPr="008107DC" w:rsidRDefault="00FC2D3E" w:rsidP="00D30FE4">
      <w:pPr>
        <w:pStyle w:val="ab"/>
        <w:numPr>
          <w:ilvl w:val="0"/>
          <w:numId w:val="90"/>
        </w:numPr>
        <w:rPr>
          <w:rtl/>
        </w:rPr>
      </w:pPr>
      <w:r w:rsidRPr="007172F8">
        <w:rPr>
          <w:rFonts w:cs="Arial"/>
          <w:rtl/>
        </w:rPr>
        <w:t>רש"י</w:t>
      </w:r>
      <w:r w:rsidR="004C1C79">
        <w:rPr>
          <w:rFonts w:cs="Arial" w:hint="cs"/>
          <w:rtl/>
        </w:rPr>
        <w:t xml:space="preserve"> </w:t>
      </w:r>
      <w:r w:rsidR="00CF2421">
        <w:rPr>
          <w:rFonts w:cs="Arial" w:hint="cs"/>
          <w:sz w:val="16"/>
          <w:szCs w:val="16"/>
          <w:rtl/>
        </w:rPr>
        <w:t xml:space="preserve">(נה. ד"ה בלא שבועה) </w:t>
      </w:r>
      <w:r w:rsidR="004C1C79">
        <w:rPr>
          <w:rFonts w:cs="Arial" w:hint="cs"/>
          <w:rtl/>
        </w:rPr>
        <w:t>ורא"ש</w:t>
      </w:r>
      <w:r w:rsidR="00F53245">
        <w:rPr>
          <w:rFonts w:cs="Arial" w:hint="cs"/>
          <w:sz w:val="16"/>
          <w:szCs w:val="16"/>
          <w:rtl/>
        </w:rPr>
        <w:t xml:space="preserve"> (סי' ב, כ"כ הטור בשמו)</w:t>
      </w:r>
      <w:r w:rsidR="004C1C79">
        <w:rPr>
          <w:rFonts w:cs="Arial" w:hint="cs"/>
          <w:rtl/>
        </w:rPr>
        <w:t>-</w:t>
      </w:r>
      <w:r w:rsidRPr="007172F8">
        <w:rPr>
          <w:rFonts w:cs="Arial"/>
          <w:rtl/>
        </w:rPr>
        <w:t xml:space="preserve"> אפילו נגנבו או אבדו אותם שיחד </w:t>
      </w:r>
      <w:r w:rsidR="00502E75">
        <w:rPr>
          <w:rFonts w:cs="Arial" w:hint="cs"/>
          <w:rtl/>
        </w:rPr>
        <w:t xml:space="preserve">- </w:t>
      </w:r>
      <w:r w:rsidRPr="007172F8">
        <w:rPr>
          <w:rFonts w:cs="Arial"/>
          <w:rtl/>
        </w:rPr>
        <w:t>אינה צריכה שבועה</w:t>
      </w:r>
      <w:r w:rsidR="00502E75">
        <w:rPr>
          <w:rFonts w:cs="Arial" w:hint="cs"/>
          <w:rtl/>
        </w:rPr>
        <w:t>,</w:t>
      </w:r>
      <w:r w:rsidRPr="007172F8">
        <w:rPr>
          <w:rFonts w:cs="Arial"/>
          <w:rtl/>
        </w:rPr>
        <w:t xml:space="preserve"> דכיון שאבדו אותן שיחד לה תו לא מייחד לה אחריני</w:t>
      </w:r>
      <w:r w:rsidR="00CF2421">
        <w:rPr>
          <w:rFonts w:cs="Arial" w:hint="cs"/>
          <w:sz w:val="16"/>
          <w:szCs w:val="16"/>
          <w:rtl/>
        </w:rPr>
        <w:t xml:space="preserve"> (ל' הטור בשם רש"י)</w:t>
      </w:r>
      <w:r w:rsidR="004C1C79">
        <w:rPr>
          <w:rFonts w:cs="Arial" w:hint="cs"/>
          <w:rtl/>
        </w:rPr>
        <w:t>.</w:t>
      </w:r>
    </w:p>
    <w:p w14:paraId="5BE32BBA"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6B92EF69" w14:textId="4CC0599B" w:rsidR="00392DBB" w:rsidRDefault="00392DBB" w:rsidP="007C62DE">
      <w:pPr>
        <w:rPr>
          <w:rFonts w:cs="Arial"/>
          <w:rtl/>
        </w:rPr>
      </w:pPr>
      <w:r>
        <w:rPr>
          <w:rFonts w:cs="Arial"/>
          <w:rtl/>
        </w:rPr>
        <w:t>א</w:t>
      </w:r>
      <w:r w:rsidR="007C62DE">
        <w:rPr>
          <w:rFonts w:cs="Arial" w:hint="cs"/>
          <w:rtl/>
        </w:rPr>
        <w:t>ף על פי</w:t>
      </w:r>
      <w:r>
        <w:rPr>
          <w:rFonts w:cs="Arial"/>
          <w:rtl/>
        </w:rPr>
        <w:t xml:space="preserve"> שהאמינה על יורשיו ועל הבאים מכחו, אינו מועיל לגבות מהלקוחות בלא שבועה. </w:t>
      </w:r>
      <w:r w:rsidRPr="007C62DE">
        <w:rPr>
          <w:rFonts w:cs="Arial"/>
          <w:sz w:val="18"/>
          <w:szCs w:val="18"/>
          <w:rtl/>
        </w:rPr>
        <w:t>הגה: וי"א דגם לגבי יורשיו אינו מועיל פטור ונאמנות שהאמין לה, אפילו פטרה בפי</w:t>
      </w:r>
      <w:r w:rsidR="00271009">
        <w:rPr>
          <w:rFonts w:cs="Arial" w:hint="cs"/>
          <w:sz w:val="18"/>
          <w:szCs w:val="18"/>
          <w:rtl/>
        </w:rPr>
        <w:t>רוש</w:t>
      </w:r>
      <w:r w:rsidRPr="007C62DE">
        <w:rPr>
          <w:rFonts w:cs="Arial"/>
          <w:sz w:val="18"/>
          <w:szCs w:val="18"/>
          <w:rtl/>
        </w:rPr>
        <w:t xml:space="preserve"> לגבי יורשיו</w:t>
      </w:r>
      <w:r w:rsidR="008C084C">
        <w:rPr>
          <w:rStyle w:val="a7"/>
          <w:rFonts w:cs="Arial"/>
          <w:sz w:val="18"/>
          <w:szCs w:val="18"/>
          <w:rtl/>
        </w:rPr>
        <w:footnoteReference w:id="1833"/>
      </w:r>
      <w:r w:rsidRPr="007C62DE">
        <w:rPr>
          <w:rFonts w:cs="Arial"/>
          <w:sz w:val="18"/>
          <w:szCs w:val="18"/>
          <w:rtl/>
        </w:rPr>
        <w:t xml:space="preserve"> (ר"ח </w:t>
      </w:r>
      <w:r w:rsidR="00785CA0">
        <w:rPr>
          <w:rFonts w:cs="Arial" w:hint="cs"/>
          <w:sz w:val="18"/>
          <w:szCs w:val="18"/>
          <w:rtl/>
        </w:rPr>
        <w:t>תוס'</w:t>
      </w:r>
      <w:r w:rsidRPr="007C62DE">
        <w:rPr>
          <w:rFonts w:cs="Arial"/>
          <w:sz w:val="18"/>
          <w:szCs w:val="18"/>
          <w:rtl/>
        </w:rPr>
        <w:t xml:space="preserve"> ורא"ש). ודוקא כל זמן שהיא קיימת, אבל אם מתה, או אינה יכולה לישבע, יורשיה או היא נוטלין כתובתה כך בלא שבועה (ריב"ש). ונראה לי דכן ראוי להורות.</w:t>
      </w:r>
    </w:p>
    <w:p w14:paraId="413C98D7" w14:textId="77777777" w:rsidR="007C62DE" w:rsidRDefault="007C62DE" w:rsidP="007C62DE">
      <w:pPr>
        <w:rPr>
          <w:rFonts w:cs="Arial"/>
          <w:rtl/>
        </w:rPr>
      </w:pPr>
    </w:p>
    <w:p w14:paraId="0BC2D350" w14:textId="4C9D1507" w:rsidR="008C084C" w:rsidRPr="007C62DE" w:rsidRDefault="008C084C" w:rsidP="007C62DE">
      <w:pPr>
        <w:rPr>
          <w:rFonts w:cs="Arial"/>
          <w:rtl/>
        </w:rPr>
        <w:sectPr w:rsidR="008C084C" w:rsidRPr="007C62DE" w:rsidSect="00A347B3">
          <w:headerReference w:type="default" r:id="rId42"/>
          <w:footnotePr>
            <w:numRestart w:val="eachSect"/>
          </w:footnotePr>
          <w:pgSz w:w="11906" w:h="16838"/>
          <w:pgMar w:top="720" w:right="1134" w:bottom="720" w:left="1134" w:header="0" w:footer="0" w:gutter="0"/>
          <w:cols w:space="720"/>
          <w:bidi/>
          <w:rtlGutter/>
          <w:docGrid w:linePitch="360"/>
        </w:sectPr>
      </w:pPr>
    </w:p>
    <w:p w14:paraId="4C314A33" w14:textId="77777777" w:rsidR="00392DBB" w:rsidRDefault="00392DBB" w:rsidP="00392DBB">
      <w:pPr>
        <w:pStyle w:val="1"/>
        <w:rPr>
          <w:rtl/>
        </w:rPr>
      </w:pPr>
      <w:r>
        <w:rPr>
          <w:rFonts w:hint="cs"/>
          <w:rtl/>
        </w:rPr>
        <w:lastRenderedPageBreak/>
        <w:t>סימן צט:</w:t>
      </w:r>
      <w:r w:rsidRPr="00C12B74">
        <w:rPr>
          <w:rtl/>
        </w:rPr>
        <w:t xml:space="preserve"> </w:t>
      </w:r>
      <w:r>
        <w:rPr>
          <w:rFonts w:cs="Arial"/>
          <w:rtl/>
        </w:rPr>
        <w:t xml:space="preserve">שמין לאשה אלמנה בגדיה, ובו ב' סעיפים. </w:t>
      </w:r>
    </w:p>
    <w:p w14:paraId="19F871D4" w14:textId="6CE9F5DB" w:rsidR="00392DBB" w:rsidRDefault="00392DBB" w:rsidP="000F64D0">
      <w:pPr>
        <w:pStyle w:val="2"/>
        <w:rPr>
          <w:rtl/>
        </w:rPr>
      </w:pPr>
      <w:r>
        <w:rPr>
          <w:rtl/>
        </w:rPr>
        <w:t>סעיף א</w:t>
      </w:r>
      <w:r w:rsidR="002077E4">
        <w:rPr>
          <w:rFonts w:hint="cs"/>
          <w:rtl/>
        </w:rPr>
        <w:t xml:space="preserve">: </w:t>
      </w:r>
      <w:r w:rsidR="002077E4" w:rsidRPr="002077E4">
        <w:rPr>
          <w:rFonts w:hint="cs"/>
          <w:rtl/>
        </w:rPr>
        <w:t>ניכוי דמי בגדיה מסכום כתובתה</w:t>
      </w:r>
      <w:r w:rsidR="002077E4">
        <w:rPr>
          <w:rFonts w:hint="cs"/>
          <w:rtl/>
        </w:rPr>
        <w:t>.</w:t>
      </w:r>
    </w:p>
    <w:p w14:paraId="318ADE96" w14:textId="4DE97FFD" w:rsidR="000053D3" w:rsidRPr="000053D3" w:rsidRDefault="00D62CAD" w:rsidP="007C3F76">
      <w:pPr>
        <w:rPr>
          <w:sz w:val="16"/>
          <w:szCs w:val="16"/>
          <w:rtl/>
        </w:rPr>
      </w:pPr>
      <w:r w:rsidRPr="00FD7AC6">
        <w:rPr>
          <w:rFonts w:cs="Arial" w:hint="cs"/>
          <w:b/>
          <w:bCs/>
          <w:rtl/>
        </w:rPr>
        <w:t xml:space="preserve">כתובות </w:t>
      </w:r>
      <w:r w:rsidRPr="00FD7AC6">
        <w:rPr>
          <w:rFonts w:cs="Arial" w:hint="cs"/>
          <w:b/>
          <w:bCs/>
          <w:sz w:val="16"/>
          <w:szCs w:val="16"/>
          <w:rtl/>
        </w:rPr>
        <w:t>(</w:t>
      </w:r>
      <w:r w:rsidR="009700BD">
        <w:rPr>
          <w:rFonts w:cs="Arial" w:hint="cs"/>
          <w:b/>
          <w:bCs/>
          <w:sz w:val="16"/>
          <w:szCs w:val="16"/>
          <w:rtl/>
        </w:rPr>
        <w:t>ס"פ נערה שנתפתתה</w:t>
      </w:r>
      <w:r w:rsidRPr="00FD7AC6">
        <w:rPr>
          <w:rFonts w:cs="Arial" w:hint="cs"/>
          <w:b/>
          <w:bCs/>
          <w:sz w:val="16"/>
          <w:szCs w:val="16"/>
          <w:rtl/>
        </w:rPr>
        <w:t>)</w:t>
      </w:r>
      <w:r w:rsidRPr="00FD7AC6">
        <w:rPr>
          <w:rFonts w:cs="Arial" w:hint="cs"/>
          <w:b/>
          <w:bCs/>
          <w:rtl/>
        </w:rPr>
        <w:t xml:space="preserve"> נ</w:t>
      </w:r>
      <w:r w:rsidR="00080980">
        <w:rPr>
          <w:rFonts w:cs="Arial" w:hint="cs"/>
          <w:b/>
          <w:bCs/>
          <w:rtl/>
        </w:rPr>
        <w:t>ד</w:t>
      </w:r>
      <w:r w:rsidRPr="00FD7AC6">
        <w:rPr>
          <w:rFonts w:cs="Arial" w:hint="cs"/>
          <w:b/>
          <w:bCs/>
          <w:rtl/>
        </w:rPr>
        <w:t xml:space="preserve"> ע"א:</w:t>
      </w:r>
      <w:r>
        <w:rPr>
          <w:rFonts w:cs="Arial" w:hint="cs"/>
          <w:rtl/>
        </w:rPr>
        <w:t xml:space="preserve"> </w:t>
      </w:r>
      <w:r w:rsidRPr="00D62CAD">
        <w:rPr>
          <w:rFonts w:cs="Arial"/>
          <w:rtl/>
        </w:rPr>
        <w:t>איתמר: אלמנה</w:t>
      </w:r>
      <w:r w:rsidR="009700BD">
        <w:rPr>
          <w:rFonts w:cs="Arial" w:hint="cs"/>
          <w:rtl/>
        </w:rPr>
        <w:t>,</w:t>
      </w:r>
      <w:r w:rsidRPr="00D62CAD">
        <w:rPr>
          <w:rFonts w:cs="Arial"/>
          <w:rtl/>
        </w:rPr>
        <w:t xml:space="preserve"> </w:t>
      </w:r>
      <w:r w:rsidRPr="009700BD">
        <w:rPr>
          <w:rFonts w:cs="Arial"/>
          <w:u w:val="single"/>
          <w:rtl/>
        </w:rPr>
        <w:t>רב אמר</w:t>
      </w:r>
      <w:r w:rsidRPr="00D62CAD">
        <w:rPr>
          <w:rFonts w:cs="Arial"/>
          <w:rtl/>
        </w:rPr>
        <w:t xml:space="preserve">: שמין מה שעליה, </w:t>
      </w:r>
      <w:r w:rsidRPr="009700BD">
        <w:rPr>
          <w:rFonts w:cs="Arial"/>
          <w:u w:val="single"/>
          <w:rtl/>
        </w:rPr>
        <w:t>ושמואל אמר</w:t>
      </w:r>
      <w:r w:rsidRPr="00D62CAD">
        <w:rPr>
          <w:rFonts w:cs="Arial"/>
          <w:rtl/>
        </w:rPr>
        <w:t>: אין שמין מה שעליה.</w:t>
      </w:r>
      <w:r w:rsidR="00BF736A">
        <w:rPr>
          <w:rFonts w:cs="Arial" w:hint="cs"/>
          <w:rtl/>
        </w:rPr>
        <w:t>..</w:t>
      </w:r>
      <w:r w:rsidRPr="00D62CAD">
        <w:rPr>
          <w:rFonts w:cs="Arial"/>
          <w:rtl/>
        </w:rPr>
        <w:t xml:space="preserve"> </w:t>
      </w:r>
      <w:r w:rsidRPr="00BF736A">
        <w:rPr>
          <w:rFonts w:cs="Arial"/>
          <w:u w:val="single"/>
          <w:rtl/>
        </w:rPr>
        <w:t>אמר רב נחמן</w:t>
      </w:r>
      <w:r w:rsidRPr="00D62CAD">
        <w:rPr>
          <w:rFonts w:cs="Arial"/>
          <w:rtl/>
        </w:rPr>
        <w:t xml:space="preserve">: אף על גב דתנן במתניתין כוותיה דשמואל, הלכתא כוותיה דרב; דתנן: אחד המקדיש נכסיו, ואחד המעריך את עצמו - אין לו לא בכסות אשתו ולא בכסות בניו, ולא בצבע שצבע לשמן, ולא בסנדלים חדשים שלקח לשמן. </w:t>
      </w:r>
      <w:r w:rsidRPr="00080980">
        <w:rPr>
          <w:rFonts w:cs="Arial"/>
          <w:u w:val="single"/>
          <w:rtl/>
        </w:rPr>
        <w:t>אמר ליה רבא לרב נחמן</w:t>
      </w:r>
      <w:r w:rsidRPr="00D62CAD">
        <w:rPr>
          <w:rFonts w:cs="Arial"/>
          <w:rtl/>
        </w:rPr>
        <w:t xml:space="preserve">: וכי מאחר דתנן מתניתין כוותיה דשמואל, אמאי הלכתא כוותיה דרב? </w:t>
      </w:r>
      <w:r w:rsidRPr="00080980">
        <w:rPr>
          <w:rFonts w:cs="Arial"/>
          <w:u w:val="single"/>
          <w:rtl/>
        </w:rPr>
        <w:t>אמר ליה</w:t>
      </w:r>
      <w:r w:rsidRPr="00D62CAD">
        <w:rPr>
          <w:rFonts w:cs="Arial"/>
          <w:rtl/>
        </w:rPr>
        <w:t>: לכאורה כשמואל רהיטא, כי מעיינת בה הלכתא כוותיה דרב, מאי טעמא? כי אקני לה - אדעתא למיקם קמיה, אדעתא למשקל ולמיפק לא אקני לה. כלתא דבי בר אלישיב הוה קא תבעה כתובתה מיתמי, הוה קא ממטי להו לבי דינא, אמרי: זילא לן מילתא דתיזלי הכי. אזלא לבישתינהו ואיכסתינהו לכוליה מנא, אתו לקמיה דרבינא, אמר להו: הלכתא כוותיה דרב, דאמר: אלמנה שמין מה שעליה.</w:t>
      </w:r>
    </w:p>
    <w:p w14:paraId="54C79868" w14:textId="06892CEC" w:rsidR="00D66C60" w:rsidRPr="00D66C60" w:rsidRDefault="00D66C60" w:rsidP="00D66C60">
      <w:pPr>
        <w:rPr>
          <w:u w:val="single"/>
          <w:rtl/>
        </w:rPr>
      </w:pPr>
      <w:r w:rsidRPr="002077E4">
        <w:rPr>
          <w:rFonts w:hint="cs"/>
          <w:u w:val="single"/>
          <w:rtl/>
        </w:rPr>
        <w:t>ניכוי דמי בגדי</w:t>
      </w:r>
      <w:r w:rsidR="005368BB">
        <w:rPr>
          <w:rFonts w:hint="cs"/>
          <w:u w:val="single"/>
          <w:rtl/>
        </w:rPr>
        <w:t xml:space="preserve"> אלמנה</w:t>
      </w:r>
      <w:r w:rsidRPr="002077E4">
        <w:rPr>
          <w:rFonts w:hint="cs"/>
          <w:u w:val="single"/>
          <w:rtl/>
        </w:rPr>
        <w:t xml:space="preserve"> מסכום כתובתה</w:t>
      </w:r>
      <w:r w:rsidRPr="00D66C60">
        <w:rPr>
          <w:rFonts w:hint="cs"/>
          <w:u w:val="single"/>
          <w:rtl/>
        </w:rPr>
        <w:t>:</w:t>
      </w:r>
    </w:p>
    <w:p w14:paraId="4ED06353" w14:textId="21FA0AFB" w:rsidR="005368BB" w:rsidRPr="005368BB" w:rsidRDefault="00F12046" w:rsidP="00F12046">
      <w:pPr>
        <w:pStyle w:val="ab"/>
        <w:numPr>
          <w:ilvl w:val="0"/>
          <w:numId w:val="86"/>
        </w:numPr>
      </w:pPr>
      <w:r>
        <w:rPr>
          <w:rFonts w:hint="cs"/>
          <w:rtl/>
        </w:rPr>
        <w:t xml:space="preserve">טור- </w:t>
      </w:r>
      <w:r w:rsidRPr="00F12046">
        <w:rPr>
          <w:rFonts w:cs="Arial"/>
          <w:rtl/>
        </w:rPr>
        <w:t>אלמנה</w:t>
      </w:r>
      <w:r w:rsidR="00DC2E21">
        <w:rPr>
          <w:rStyle w:val="a7"/>
          <w:rFonts w:cs="Arial"/>
          <w:rtl/>
        </w:rPr>
        <w:footnoteReference w:id="1834"/>
      </w:r>
      <w:r w:rsidRPr="00F12046">
        <w:rPr>
          <w:rFonts w:cs="Arial"/>
          <w:rtl/>
        </w:rPr>
        <w:t xml:space="preserve"> שבאת לגבות כתובתה שמין</w:t>
      </w:r>
      <w:r w:rsidR="007D7C99">
        <w:rPr>
          <w:rStyle w:val="a7"/>
          <w:rFonts w:cs="Arial"/>
          <w:rtl/>
        </w:rPr>
        <w:footnoteReference w:id="1835"/>
      </w:r>
      <w:r w:rsidRPr="00F12046">
        <w:rPr>
          <w:rFonts w:cs="Arial"/>
          <w:rtl/>
        </w:rPr>
        <w:t xml:space="preserve"> כל בגדיה</w:t>
      </w:r>
      <w:r w:rsidR="00DB7B91">
        <w:rPr>
          <w:rFonts w:cs="Arial" w:hint="cs"/>
          <w:rtl/>
        </w:rPr>
        <w:t>,</w:t>
      </w:r>
      <w:r w:rsidRPr="00F12046">
        <w:rPr>
          <w:rFonts w:cs="Arial"/>
          <w:rtl/>
        </w:rPr>
        <w:t xml:space="preserve"> בין של חול בין של שבת</w:t>
      </w:r>
      <w:r w:rsidR="00DB7B91">
        <w:rPr>
          <w:rStyle w:val="a7"/>
          <w:rFonts w:cs="Arial"/>
          <w:rtl/>
        </w:rPr>
        <w:footnoteReference w:id="1836"/>
      </w:r>
      <w:r w:rsidR="00D66C60">
        <w:rPr>
          <w:rFonts w:cs="Arial" w:hint="cs"/>
          <w:rtl/>
        </w:rPr>
        <w:t>,</w:t>
      </w:r>
      <w:r w:rsidRPr="00F12046">
        <w:rPr>
          <w:rFonts w:cs="Arial"/>
          <w:rtl/>
        </w:rPr>
        <w:t xml:space="preserve"> ומנכין</w:t>
      </w:r>
      <w:r w:rsidR="00133DDD">
        <w:rPr>
          <w:rStyle w:val="a7"/>
          <w:rFonts w:cs="Arial"/>
          <w:rtl/>
        </w:rPr>
        <w:footnoteReference w:id="1837"/>
      </w:r>
      <w:r w:rsidRPr="00F12046">
        <w:rPr>
          <w:rFonts w:cs="Arial"/>
          <w:rtl/>
        </w:rPr>
        <w:t xml:space="preserve"> אותם מכתובתה</w:t>
      </w:r>
      <w:r w:rsidR="00D66C60">
        <w:rPr>
          <w:rFonts w:cs="Arial" w:hint="cs"/>
          <w:rtl/>
        </w:rPr>
        <w:t>.</w:t>
      </w:r>
      <w:r w:rsidRPr="00F12046">
        <w:rPr>
          <w:rFonts w:cs="Arial"/>
          <w:rtl/>
        </w:rPr>
        <w:t xml:space="preserve"> </w:t>
      </w:r>
      <w:r w:rsidR="005368BB" w:rsidRPr="008631A7">
        <w:rPr>
          <w:rFonts w:hint="cs"/>
          <w:color w:val="E36C0A" w:themeColor="accent6" w:themeShade="BF"/>
          <w:rtl/>
        </w:rPr>
        <w:t>(וכ"</w:t>
      </w:r>
      <w:r w:rsidR="005368BB">
        <w:rPr>
          <w:rFonts w:hint="cs"/>
          <w:color w:val="E36C0A" w:themeColor="accent6" w:themeShade="BF"/>
          <w:rtl/>
        </w:rPr>
        <w:t>פ</w:t>
      </w:r>
      <w:r w:rsidR="005368BB" w:rsidRPr="008631A7">
        <w:rPr>
          <w:rFonts w:hint="cs"/>
          <w:color w:val="E36C0A" w:themeColor="accent6" w:themeShade="BF"/>
          <w:rtl/>
        </w:rPr>
        <w:t xml:space="preserve"> בשו"ע)</w:t>
      </w:r>
    </w:p>
    <w:p w14:paraId="58D926F2" w14:textId="2FDDEF68" w:rsidR="005368BB" w:rsidRPr="005368BB" w:rsidRDefault="005368BB" w:rsidP="005368BB">
      <w:pPr>
        <w:ind w:left="360"/>
        <w:rPr>
          <w:u w:val="dotted"/>
        </w:rPr>
      </w:pPr>
      <w:r w:rsidRPr="005368BB">
        <w:rPr>
          <w:rFonts w:hint="cs"/>
          <w:u w:val="dotted"/>
          <w:rtl/>
        </w:rPr>
        <w:t>ומה הדין בגרושה:</w:t>
      </w:r>
    </w:p>
    <w:p w14:paraId="074519CC" w14:textId="41DFF425" w:rsidR="00D66C60" w:rsidRDefault="008D7D9D" w:rsidP="00F12046">
      <w:pPr>
        <w:pStyle w:val="ab"/>
        <w:numPr>
          <w:ilvl w:val="0"/>
          <w:numId w:val="86"/>
        </w:numPr>
      </w:pPr>
      <w:r>
        <w:rPr>
          <w:rFonts w:cs="Arial" w:hint="cs"/>
          <w:rtl/>
        </w:rPr>
        <w:t>רי"ף</w:t>
      </w:r>
      <w:r w:rsidR="00113C79">
        <w:rPr>
          <w:rStyle w:val="a7"/>
          <w:rFonts w:cs="Arial"/>
          <w:rtl/>
        </w:rPr>
        <w:footnoteReference w:id="1838"/>
      </w:r>
      <w:r>
        <w:rPr>
          <w:rFonts w:cs="Arial" w:hint="cs"/>
          <w:rtl/>
        </w:rPr>
        <w:t xml:space="preserve"> </w:t>
      </w:r>
      <w:r>
        <w:rPr>
          <w:rFonts w:cs="Arial" w:hint="cs"/>
          <w:sz w:val="16"/>
          <w:szCs w:val="16"/>
          <w:rtl/>
        </w:rPr>
        <w:t xml:space="preserve">(כא.) </w:t>
      </w:r>
      <w:r>
        <w:rPr>
          <w:rFonts w:cs="Arial" w:hint="cs"/>
          <w:rtl/>
        </w:rPr>
        <w:t>רמב"ם</w:t>
      </w:r>
      <w:r w:rsidR="004C3E8E">
        <w:rPr>
          <w:rStyle w:val="a7"/>
          <w:rFonts w:cs="Arial"/>
          <w:rtl/>
        </w:rPr>
        <w:footnoteReference w:id="1839"/>
      </w:r>
      <w:r>
        <w:rPr>
          <w:rFonts w:cs="Arial" w:hint="cs"/>
          <w:rtl/>
        </w:rPr>
        <w:t xml:space="preserve"> </w:t>
      </w:r>
      <w:r>
        <w:rPr>
          <w:rFonts w:cs="Arial" w:hint="cs"/>
          <w:sz w:val="16"/>
          <w:szCs w:val="16"/>
          <w:rtl/>
        </w:rPr>
        <w:t xml:space="preserve">(פט"ז מאישות ה"ד) </w:t>
      </w:r>
      <w:r>
        <w:rPr>
          <w:rFonts w:cs="Arial" w:hint="cs"/>
          <w:rtl/>
        </w:rPr>
        <w:t xml:space="preserve">רא"ש </w:t>
      </w:r>
      <w:r>
        <w:rPr>
          <w:rFonts w:cs="Arial" w:hint="cs"/>
          <w:sz w:val="16"/>
          <w:szCs w:val="16"/>
          <w:rtl/>
        </w:rPr>
        <w:t>(סי' לב)</w:t>
      </w:r>
      <w:r>
        <w:rPr>
          <w:rFonts w:cs="Arial" w:hint="cs"/>
          <w:rtl/>
        </w:rPr>
        <w:t xml:space="preserve"> ו</w:t>
      </w:r>
      <w:r w:rsidR="005368BB">
        <w:rPr>
          <w:rFonts w:cs="Arial" w:hint="cs"/>
          <w:rtl/>
        </w:rPr>
        <w:t xml:space="preserve">טור- </w:t>
      </w:r>
      <w:r w:rsidR="00F12046" w:rsidRPr="00F12046">
        <w:rPr>
          <w:rFonts w:cs="Arial"/>
          <w:rtl/>
        </w:rPr>
        <w:t xml:space="preserve">אבל גרושה כיון שמוציאה מדעתו </w:t>
      </w:r>
      <w:r w:rsidR="005368BB">
        <w:rPr>
          <w:rFonts w:cs="Arial" w:hint="cs"/>
          <w:rtl/>
        </w:rPr>
        <w:t xml:space="preserve">- </w:t>
      </w:r>
      <w:r w:rsidR="00F12046" w:rsidRPr="00F12046">
        <w:rPr>
          <w:rFonts w:cs="Arial"/>
          <w:rtl/>
        </w:rPr>
        <w:t>אין שמין לה בגדיה</w:t>
      </w:r>
      <w:r w:rsidR="00D66C60">
        <w:rPr>
          <w:rFonts w:cs="Arial" w:hint="cs"/>
          <w:rtl/>
        </w:rPr>
        <w:t>,</w:t>
      </w:r>
      <w:r w:rsidR="00F12046" w:rsidRPr="00F12046">
        <w:rPr>
          <w:rFonts w:cs="Arial"/>
          <w:rtl/>
        </w:rPr>
        <w:t xml:space="preserve"> לא של חול ולא של שבת</w:t>
      </w:r>
      <w:r w:rsidR="00D66C60">
        <w:rPr>
          <w:rFonts w:cs="Arial" w:hint="cs"/>
          <w:rtl/>
        </w:rPr>
        <w:t>,</w:t>
      </w:r>
      <w:r w:rsidR="00F12046" w:rsidRPr="00F12046">
        <w:rPr>
          <w:rFonts w:cs="Arial"/>
          <w:rtl/>
        </w:rPr>
        <w:t xml:space="preserve"> וכ"ש שגובה מתנה שכתב לה בכתובתה</w:t>
      </w:r>
      <w:r w:rsidR="00D66C60">
        <w:rPr>
          <w:rFonts w:cs="Arial" w:hint="cs"/>
          <w:rtl/>
        </w:rPr>
        <w:t>.</w:t>
      </w:r>
      <w:r w:rsidR="002F3516" w:rsidRPr="002F3516">
        <w:rPr>
          <w:rFonts w:hint="cs"/>
          <w:color w:val="E36C0A" w:themeColor="accent6" w:themeShade="BF"/>
          <w:rtl/>
        </w:rPr>
        <w:t xml:space="preserve"> </w:t>
      </w:r>
    </w:p>
    <w:p w14:paraId="54C00C9E" w14:textId="77777777" w:rsidR="008D7D9D" w:rsidRPr="00DB7B91" w:rsidRDefault="008D7D9D" w:rsidP="008D7D9D">
      <w:pPr>
        <w:pStyle w:val="ab"/>
        <w:numPr>
          <w:ilvl w:val="0"/>
          <w:numId w:val="86"/>
        </w:numPr>
        <w:rPr>
          <w:rFonts w:cs="Arial"/>
        </w:rPr>
      </w:pPr>
      <w:r w:rsidRPr="00DB7B91">
        <w:rPr>
          <w:rFonts w:cs="Arial"/>
          <w:rtl/>
        </w:rPr>
        <w:t xml:space="preserve">רז"ה </w:t>
      </w:r>
      <w:r w:rsidRPr="00FC4F1C">
        <w:rPr>
          <w:rFonts w:cs="Arial"/>
          <w:sz w:val="16"/>
          <w:szCs w:val="16"/>
          <w:rtl/>
        </w:rPr>
        <w:t>(שם</w:t>
      </w:r>
      <w:r w:rsidRPr="00FC4F1C">
        <w:rPr>
          <w:rFonts w:cs="Arial" w:hint="cs"/>
          <w:sz w:val="16"/>
          <w:szCs w:val="16"/>
          <w:rtl/>
        </w:rPr>
        <w:t>, וכ"כ הר"ן [שם] בשמו</w:t>
      </w:r>
      <w:r w:rsidRPr="00FC4F1C">
        <w:rPr>
          <w:rFonts w:cs="Arial"/>
          <w:sz w:val="16"/>
          <w:szCs w:val="16"/>
          <w:rtl/>
        </w:rPr>
        <w:t>)</w:t>
      </w:r>
      <w:r>
        <w:rPr>
          <w:rFonts w:cs="Arial" w:hint="cs"/>
          <w:rtl/>
        </w:rPr>
        <w:t>-</w:t>
      </w:r>
      <w:r w:rsidRPr="00DB7B91">
        <w:rPr>
          <w:rFonts w:cs="Arial"/>
          <w:rtl/>
        </w:rPr>
        <w:t xml:space="preserve"> אפילו בגרושה שמין מה שעליה</w:t>
      </w:r>
      <w:r>
        <w:rPr>
          <w:rFonts w:cs="Arial" w:hint="cs"/>
          <w:rtl/>
        </w:rPr>
        <w:t>,</w:t>
      </w:r>
      <w:r w:rsidRPr="00DB7B91">
        <w:rPr>
          <w:rFonts w:cs="Arial"/>
          <w:rtl/>
        </w:rPr>
        <w:t xml:space="preserve"> דהא אלמנה נמי לאו איהי נפקא אלא מן שמיא מפקי לה ואפילו הכי אמרינן דלא אקני לה אלא אדעתא דמיקם קמיה</w:t>
      </w:r>
      <w:r>
        <w:rPr>
          <w:rStyle w:val="a7"/>
          <w:rFonts w:cs="Arial"/>
          <w:rtl/>
        </w:rPr>
        <w:footnoteReference w:id="1840"/>
      </w:r>
      <w:r w:rsidRPr="00DB7B91">
        <w:rPr>
          <w:rFonts w:cs="Arial"/>
          <w:rtl/>
        </w:rPr>
        <w:t xml:space="preserve">. </w:t>
      </w:r>
    </w:p>
    <w:p w14:paraId="5A96CA0B" w14:textId="47A5F4AD" w:rsidR="00FC4F1C" w:rsidRDefault="00DB7B91" w:rsidP="00DB7B91">
      <w:pPr>
        <w:pStyle w:val="ab"/>
        <w:numPr>
          <w:ilvl w:val="0"/>
          <w:numId w:val="86"/>
        </w:numPr>
        <w:rPr>
          <w:rFonts w:cs="Arial"/>
        </w:rPr>
      </w:pPr>
      <w:r>
        <w:rPr>
          <w:rFonts w:cs="Arial" w:hint="cs"/>
          <w:rtl/>
        </w:rPr>
        <w:t>ב</w:t>
      </w:r>
      <w:r w:rsidRPr="00DB7B91">
        <w:rPr>
          <w:rFonts w:cs="Arial"/>
          <w:rtl/>
        </w:rPr>
        <w:t>העי</w:t>
      </w:r>
      <w:r>
        <w:rPr>
          <w:rFonts w:cs="Arial" w:hint="cs"/>
          <w:rtl/>
        </w:rPr>
        <w:t>"</w:t>
      </w:r>
      <w:r w:rsidRPr="00DB7B91">
        <w:rPr>
          <w:rFonts w:cs="Arial"/>
          <w:rtl/>
        </w:rPr>
        <w:t>ט</w:t>
      </w:r>
      <w:r w:rsidRPr="00DB7B91">
        <w:rPr>
          <w:rFonts w:cs="Arial"/>
          <w:sz w:val="16"/>
          <w:szCs w:val="16"/>
          <w:rtl/>
        </w:rPr>
        <w:t xml:space="preserve"> </w:t>
      </w:r>
      <w:r w:rsidRPr="00DB7B91">
        <w:rPr>
          <w:rFonts w:cs="Arial" w:hint="cs"/>
          <w:sz w:val="16"/>
          <w:szCs w:val="16"/>
          <w:rtl/>
        </w:rPr>
        <w:t>(</w:t>
      </w:r>
      <w:r w:rsidRPr="00DB7B91">
        <w:rPr>
          <w:rFonts w:cs="Arial"/>
          <w:sz w:val="16"/>
          <w:szCs w:val="16"/>
          <w:rtl/>
        </w:rPr>
        <w:t xml:space="preserve">אות ח </w:t>
      </w:r>
      <w:r w:rsidRPr="00DB7B91">
        <w:rPr>
          <w:rFonts w:cs="Arial" w:hint="cs"/>
          <w:sz w:val="16"/>
          <w:szCs w:val="16"/>
          <w:rtl/>
        </w:rPr>
        <w:t>-</w:t>
      </w:r>
      <w:r w:rsidRPr="00DB7B91">
        <w:rPr>
          <w:rFonts w:cs="Arial"/>
          <w:sz w:val="16"/>
          <w:szCs w:val="16"/>
          <w:rtl/>
        </w:rPr>
        <w:t xml:space="preserve"> חלוקת קרקעות כז ע"א)</w:t>
      </w:r>
      <w:r>
        <w:rPr>
          <w:rFonts w:cs="Arial" w:hint="cs"/>
          <w:rtl/>
        </w:rPr>
        <w:t>-</w:t>
      </w:r>
      <w:r w:rsidRPr="00DB7B91">
        <w:rPr>
          <w:rFonts w:cs="Arial"/>
          <w:rtl/>
        </w:rPr>
        <w:t xml:space="preserve"> אית דאמרי גרושה של רגל ושל שבת שמין</w:t>
      </w:r>
      <w:r w:rsidRPr="00DB7B91">
        <w:rPr>
          <w:rFonts w:cs="Arial" w:hint="cs"/>
          <w:rtl/>
        </w:rPr>
        <w:t>,</w:t>
      </w:r>
      <w:r w:rsidRPr="00DB7B91">
        <w:rPr>
          <w:rFonts w:cs="Arial"/>
          <w:rtl/>
        </w:rPr>
        <w:t xml:space="preserve"> ואית דאמרי כיון דאיהו מפיק לה אין שמין כלל דאקנויי אקני לה</w:t>
      </w:r>
      <w:r w:rsidRPr="00DB7B91">
        <w:rPr>
          <w:rFonts w:cs="Arial" w:hint="cs"/>
          <w:rtl/>
        </w:rPr>
        <w:t>,</w:t>
      </w:r>
      <w:r w:rsidRPr="00DB7B91">
        <w:rPr>
          <w:rFonts w:cs="Arial"/>
          <w:rtl/>
        </w:rPr>
        <w:t xml:space="preserve"> ומסתברא דשמין</w:t>
      </w:r>
      <w:r w:rsidR="00FC4F1C">
        <w:rPr>
          <w:rStyle w:val="a7"/>
          <w:rFonts w:cs="Arial"/>
          <w:rtl/>
        </w:rPr>
        <w:footnoteReference w:id="1841"/>
      </w:r>
      <w:r w:rsidRPr="00DB7B91">
        <w:rPr>
          <w:rFonts w:cs="Arial"/>
          <w:rtl/>
        </w:rPr>
        <w:t xml:space="preserve">. </w:t>
      </w:r>
      <w:r w:rsidR="004C3E8E" w:rsidRPr="008631A7">
        <w:rPr>
          <w:rFonts w:hint="cs"/>
          <w:color w:val="E36C0A" w:themeColor="accent6" w:themeShade="BF"/>
          <w:rtl/>
        </w:rPr>
        <w:t>(וכ"</w:t>
      </w:r>
      <w:r w:rsidR="004C3E8E">
        <w:rPr>
          <w:rFonts w:hint="cs"/>
          <w:color w:val="E36C0A" w:themeColor="accent6" w:themeShade="BF"/>
          <w:rtl/>
        </w:rPr>
        <w:t>פ</w:t>
      </w:r>
      <w:r w:rsidR="004C3E8E" w:rsidRPr="008631A7">
        <w:rPr>
          <w:rFonts w:hint="cs"/>
          <w:color w:val="E36C0A" w:themeColor="accent6" w:themeShade="BF"/>
          <w:rtl/>
        </w:rPr>
        <w:t xml:space="preserve"> בשו"ע)</w:t>
      </w:r>
    </w:p>
    <w:p w14:paraId="439B9783" w14:textId="14B207C2" w:rsidR="00D66C60" w:rsidRPr="008D7D9D" w:rsidRDefault="00A17BB3" w:rsidP="008D7D9D">
      <w:pPr>
        <w:ind w:left="720"/>
        <w:rPr>
          <w:u w:val="wave"/>
        </w:rPr>
      </w:pPr>
      <w:r w:rsidRPr="008D7D9D">
        <w:rPr>
          <w:rFonts w:hint="cs"/>
          <w:u w:val="wave"/>
          <w:rtl/>
        </w:rPr>
        <w:t>ל</w:t>
      </w:r>
      <w:r w:rsidR="002077E4" w:rsidRPr="008D7D9D">
        <w:rPr>
          <w:rFonts w:hint="cs"/>
          <w:u w:val="wave"/>
          <w:rtl/>
        </w:rPr>
        <w:t xml:space="preserve">טור וסיעתו - </w:t>
      </w:r>
      <w:r w:rsidR="00D66C60" w:rsidRPr="008D7D9D">
        <w:rPr>
          <w:rFonts w:hint="cs"/>
          <w:u w:val="wave"/>
          <w:rtl/>
        </w:rPr>
        <w:t>מה הדין אם מ</w:t>
      </w:r>
      <w:r w:rsidR="00C610EE" w:rsidRPr="008D7D9D">
        <w:rPr>
          <w:rFonts w:hint="cs"/>
          <w:u w:val="wave"/>
          <w:rtl/>
        </w:rPr>
        <w:t>גרש אותה</w:t>
      </w:r>
      <w:r w:rsidR="00AC13F7" w:rsidRPr="008D7D9D">
        <w:rPr>
          <w:rFonts w:hint="cs"/>
          <w:u w:val="wave"/>
          <w:rtl/>
        </w:rPr>
        <w:t xml:space="preserve"> שלא מ</w:t>
      </w:r>
      <w:r w:rsidR="00C610EE" w:rsidRPr="008D7D9D">
        <w:rPr>
          <w:rFonts w:hint="cs"/>
          <w:u w:val="wave"/>
          <w:rtl/>
        </w:rPr>
        <w:t>רצונו</w:t>
      </w:r>
      <w:r w:rsidR="00D66C60" w:rsidRPr="008D7D9D">
        <w:rPr>
          <w:rFonts w:hint="cs"/>
          <w:u w:val="wave"/>
          <w:rtl/>
        </w:rPr>
        <w:t>:</w:t>
      </w:r>
    </w:p>
    <w:p w14:paraId="6179EF1A" w14:textId="0A206EB5" w:rsidR="00DC7D7B" w:rsidRDefault="00AF555F" w:rsidP="00DC7D7B">
      <w:pPr>
        <w:pStyle w:val="ab"/>
        <w:numPr>
          <w:ilvl w:val="0"/>
          <w:numId w:val="86"/>
        </w:numPr>
      </w:pPr>
      <w:r>
        <w:rPr>
          <w:rFonts w:cs="Arial" w:hint="cs"/>
          <w:rtl/>
        </w:rPr>
        <w:t>בהעי"ט</w:t>
      </w:r>
      <w:r w:rsidR="00AC13F7">
        <w:rPr>
          <w:rStyle w:val="a7"/>
          <w:rFonts w:cs="Arial"/>
          <w:rtl/>
        </w:rPr>
        <w:footnoteReference w:id="1842"/>
      </w:r>
      <w:r>
        <w:rPr>
          <w:rFonts w:cs="Arial" w:hint="cs"/>
          <w:rtl/>
        </w:rPr>
        <w:t xml:space="preserve"> </w:t>
      </w:r>
      <w:r>
        <w:rPr>
          <w:rFonts w:cs="Arial" w:hint="cs"/>
          <w:sz w:val="16"/>
          <w:szCs w:val="16"/>
          <w:rtl/>
        </w:rPr>
        <w:t>(כ"כ הטור בשמו)</w:t>
      </w:r>
      <w:r>
        <w:rPr>
          <w:rFonts w:cs="Arial" w:hint="cs"/>
          <w:rtl/>
        </w:rPr>
        <w:t xml:space="preserve"> </w:t>
      </w:r>
      <w:r w:rsidR="00DC7D7B" w:rsidRPr="00DC7D7B">
        <w:rPr>
          <w:rFonts w:cs="Arial"/>
          <w:rtl/>
        </w:rPr>
        <w:t xml:space="preserve">מרדכי </w:t>
      </w:r>
      <w:r w:rsidR="00DC7D7B" w:rsidRPr="00DC7D7B">
        <w:rPr>
          <w:rFonts w:cs="Arial"/>
          <w:sz w:val="16"/>
          <w:szCs w:val="16"/>
          <w:rtl/>
        </w:rPr>
        <w:t>(סי' קעג)</w:t>
      </w:r>
      <w:r w:rsidR="00DC7D7B">
        <w:rPr>
          <w:rFonts w:cs="Arial" w:hint="cs"/>
          <w:rtl/>
        </w:rPr>
        <w:t xml:space="preserve"> </w:t>
      </w:r>
      <w:r>
        <w:rPr>
          <w:rFonts w:cs="Arial" w:hint="cs"/>
          <w:rtl/>
        </w:rPr>
        <w:t xml:space="preserve">והה"מ </w:t>
      </w:r>
      <w:r>
        <w:rPr>
          <w:rFonts w:cs="Arial" w:hint="cs"/>
          <w:sz w:val="16"/>
          <w:szCs w:val="16"/>
          <w:rtl/>
        </w:rPr>
        <w:t>(פט"ז ה"ד)</w:t>
      </w:r>
      <w:r>
        <w:rPr>
          <w:rFonts w:cs="Arial" w:hint="cs"/>
          <w:rtl/>
        </w:rPr>
        <w:t xml:space="preserve">- </w:t>
      </w:r>
      <w:r w:rsidRPr="00AF555F">
        <w:rPr>
          <w:rFonts w:cs="Arial"/>
          <w:rtl/>
        </w:rPr>
        <w:t>אם היא יוצאה בעל כרחו</w:t>
      </w:r>
      <w:r w:rsidR="008D7D9D">
        <w:rPr>
          <w:rFonts w:cs="Arial" w:hint="cs"/>
          <w:rtl/>
        </w:rPr>
        <w:t>,</w:t>
      </w:r>
      <w:r w:rsidRPr="00AF555F">
        <w:rPr>
          <w:rFonts w:cs="Arial"/>
          <w:rtl/>
        </w:rPr>
        <w:t xml:space="preserve"> וכגון אלו שכופין אותם להוציא</w:t>
      </w:r>
      <w:r w:rsidR="008D7D9D">
        <w:rPr>
          <w:rFonts w:cs="Arial" w:hint="cs"/>
          <w:rtl/>
        </w:rPr>
        <w:t xml:space="preserve"> -</w:t>
      </w:r>
      <w:r w:rsidRPr="00AF555F">
        <w:rPr>
          <w:rFonts w:cs="Arial"/>
          <w:rtl/>
        </w:rPr>
        <w:t xml:space="preserve"> ודאי שמין מה שעליה</w:t>
      </w:r>
      <w:r w:rsidR="008D7D9D">
        <w:rPr>
          <w:rFonts w:cs="Arial" w:hint="cs"/>
          <w:rtl/>
        </w:rPr>
        <w:t>,</w:t>
      </w:r>
      <w:r w:rsidRPr="00AF555F">
        <w:rPr>
          <w:rFonts w:cs="Arial"/>
          <w:rtl/>
        </w:rPr>
        <w:t xml:space="preserve"> וכן נראה מן ההלכות</w:t>
      </w:r>
      <w:r>
        <w:rPr>
          <w:rFonts w:cs="Arial" w:hint="cs"/>
          <w:sz w:val="16"/>
          <w:szCs w:val="16"/>
          <w:rtl/>
        </w:rPr>
        <w:t xml:space="preserve"> (ל' הה"מ)</w:t>
      </w:r>
      <w:r>
        <w:rPr>
          <w:rFonts w:cs="Arial" w:hint="cs"/>
          <w:rtl/>
        </w:rPr>
        <w:t>.</w:t>
      </w:r>
      <w:r w:rsidR="00DC7D7B" w:rsidRPr="00DC7D7B">
        <w:rPr>
          <w:rFonts w:cs="Arial" w:hint="cs"/>
          <w:rtl/>
        </w:rPr>
        <w:t xml:space="preserve"> </w:t>
      </w:r>
    </w:p>
    <w:p w14:paraId="3511612D"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B3389AF" w14:textId="37E6D98A" w:rsidR="00392DBB" w:rsidRDefault="00392DBB" w:rsidP="00392DBB">
      <w:pPr>
        <w:rPr>
          <w:rtl/>
        </w:rPr>
      </w:pPr>
      <w:r>
        <w:rPr>
          <w:rFonts w:cs="Arial"/>
          <w:rtl/>
        </w:rPr>
        <w:t xml:space="preserve">אלמנה שבאה לגבות כתובתה, שמין כל בגדיה בין של חול בין של שבת, ומנכין אותם מכתובתה. </w:t>
      </w:r>
      <w:r w:rsidR="00252D1A">
        <w:rPr>
          <w:rFonts w:cs="Arial" w:hint="cs"/>
          <w:sz w:val="18"/>
          <w:szCs w:val="18"/>
          <w:rtl/>
        </w:rPr>
        <w:t xml:space="preserve">[הגה] </w:t>
      </w:r>
      <w:r w:rsidRPr="00252D1A">
        <w:rPr>
          <w:rFonts w:cs="Arial"/>
          <w:sz w:val="18"/>
          <w:szCs w:val="18"/>
          <w:rtl/>
        </w:rPr>
        <w:t>וחלוצה דינה כאלמנה (ריב"ש).</w:t>
      </w:r>
      <w:r>
        <w:rPr>
          <w:rFonts w:cs="Arial"/>
          <w:rtl/>
        </w:rPr>
        <w:t xml:space="preserve"> אבל גרושה שגירשה בעלה מדעתו בלא טענה, אין שמין לה בגדי חול, אבל</w:t>
      </w:r>
      <w:r w:rsidR="00CF10FC">
        <w:rPr>
          <w:rStyle w:val="a7"/>
          <w:rFonts w:cs="Arial"/>
          <w:rtl/>
        </w:rPr>
        <w:footnoteReference w:id="1843"/>
      </w:r>
      <w:r>
        <w:rPr>
          <w:rFonts w:cs="Arial"/>
          <w:rtl/>
        </w:rPr>
        <w:t xml:space="preserve"> של רגל ושל שבת שמין לה. </w:t>
      </w:r>
      <w:r w:rsidR="00252D1A">
        <w:rPr>
          <w:rFonts w:cs="Arial" w:hint="cs"/>
          <w:sz w:val="18"/>
          <w:szCs w:val="18"/>
          <w:rtl/>
        </w:rPr>
        <w:t xml:space="preserve">[הגה] </w:t>
      </w:r>
      <w:r w:rsidRPr="00252D1A">
        <w:rPr>
          <w:rFonts w:cs="Arial"/>
          <w:sz w:val="18"/>
          <w:szCs w:val="18"/>
          <w:rtl/>
        </w:rPr>
        <w:t>ואין יכולין לסלקה מבגדיה במעות (ריטב"א), אלא היא נוטלת אותן בשווין (רא"ש).</w:t>
      </w:r>
      <w:r>
        <w:rPr>
          <w:rFonts w:cs="Arial"/>
          <w:rtl/>
        </w:rPr>
        <w:t xml:space="preserve"> </w:t>
      </w:r>
    </w:p>
    <w:p w14:paraId="7A6479BC" w14:textId="77777777" w:rsidR="00252D1A" w:rsidRDefault="00252D1A" w:rsidP="00392DBB">
      <w:pPr>
        <w:rPr>
          <w:rtl/>
        </w:rPr>
      </w:pPr>
    </w:p>
    <w:p w14:paraId="3335FD34" w14:textId="6D176379" w:rsidR="00392DBB" w:rsidRDefault="00392DBB" w:rsidP="000F64D0">
      <w:pPr>
        <w:pStyle w:val="2"/>
        <w:rPr>
          <w:rtl/>
        </w:rPr>
      </w:pPr>
      <w:r>
        <w:rPr>
          <w:rtl/>
        </w:rPr>
        <w:t>סעיף ב</w:t>
      </w:r>
      <w:r w:rsidR="002F3516">
        <w:rPr>
          <w:rFonts w:hint="cs"/>
          <w:rtl/>
        </w:rPr>
        <w:t xml:space="preserve">: </w:t>
      </w:r>
      <w:r w:rsidR="002F3516" w:rsidRPr="002F3516">
        <w:rPr>
          <w:rFonts w:hint="cs"/>
          <w:rtl/>
        </w:rPr>
        <w:t>ניכוי מתנותיה מסכום כתובתה</w:t>
      </w:r>
      <w:r w:rsidR="002F3516">
        <w:rPr>
          <w:rFonts w:hint="cs"/>
          <w:rtl/>
        </w:rPr>
        <w:t>.</w:t>
      </w:r>
    </w:p>
    <w:p w14:paraId="145CAE04" w14:textId="77777777" w:rsidR="00A06B6D" w:rsidRPr="00E94F32" w:rsidRDefault="00A06B6D" w:rsidP="00A06B6D">
      <w:pPr>
        <w:rPr>
          <w:u w:val="single"/>
        </w:rPr>
      </w:pPr>
      <w:r w:rsidRPr="002F3516">
        <w:rPr>
          <w:rFonts w:hint="cs"/>
          <w:u w:val="single"/>
          <w:rtl/>
        </w:rPr>
        <w:t>ניכוי מתנותיה מסכום כתובתה</w:t>
      </w:r>
      <w:r w:rsidRPr="00E94F32">
        <w:rPr>
          <w:rFonts w:hint="cs"/>
          <w:u w:val="single"/>
          <w:rtl/>
        </w:rPr>
        <w:t>:</w:t>
      </w:r>
    </w:p>
    <w:p w14:paraId="428C9284" w14:textId="4DB870C8" w:rsidR="00A06B6D" w:rsidRPr="00E94F32" w:rsidRDefault="00A06B6D" w:rsidP="00A06B6D">
      <w:pPr>
        <w:pStyle w:val="ab"/>
        <w:numPr>
          <w:ilvl w:val="0"/>
          <w:numId w:val="86"/>
        </w:numPr>
      </w:pPr>
      <w:r>
        <w:rPr>
          <w:rFonts w:cs="Arial" w:hint="cs"/>
          <w:rtl/>
        </w:rPr>
        <w:t xml:space="preserve">גאונים </w:t>
      </w:r>
      <w:r>
        <w:rPr>
          <w:rFonts w:cs="Arial" w:hint="cs"/>
          <w:sz w:val="16"/>
          <w:szCs w:val="16"/>
          <w:rtl/>
        </w:rPr>
        <w:t>(כ"כ בשמם הטור והר"ן [שם])</w:t>
      </w:r>
      <w:r>
        <w:rPr>
          <w:rFonts w:cs="Arial" w:hint="cs"/>
          <w:rtl/>
        </w:rPr>
        <w:t xml:space="preserve"> בהעי"ט </w:t>
      </w:r>
      <w:r w:rsidRPr="00E94F32">
        <w:rPr>
          <w:rFonts w:cs="Arial"/>
          <w:sz w:val="16"/>
          <w:szCs w:val="16"/>
          <w:rtl/>
        </w:rPr>
        <w:t xml:space="preserve">(ח"א אות כ כתובות לד ע"ד) </w:t>
      </w:r>
      <w:r>
        <w:rPr>
          <w:rFonts w:cs="Arial" w:hint="cs"/>
          <w:rtl/>
        </w:rPr>
        <w:t>טור</w:t>
      </w:r>
      <w:r>
        <w:rPr>
          <w:rStyle w:val="a7"/>
          <w:rFonts w:cs="Arial"/>
          <w:rtl/>
        </w:rPr>
        <w:footnoteReference w:id="1844"/>
      </w:r>
      <w:r>
        <w:rPr>
          <w:rFonts w:cs="Arial" w:hint="cs"/>
          <w:rtl/>
        </w:rPr>
        <w:t xml:space="preserve"> ר"ן </w:t>
      </w:r>
      <w:r>
        <w:rPr>
          <w:rFonts w:cs="Arial" w:hint="cs"/>
          <w:sz w:val="16"/>
          <w:szCs w:val="16"/>
          <w:rtl/>
        </w:rPr>
        <w:t>(שם)</w:t>
      </w:r>
      <w:r w:rsidRPr="00267815">
        <w:rPr>
          <w:rFonts w:cs="Arial"/>
          <w:rtl/>
        </w:rPr>
        <w:t xml:space="preserve"> </w:t>
      </w:r>
      <w:r>
        <w:rPr>
          <w:rFonts w:cs="Arial" w:hint="cs"/>
          <w:rtl/>
        </w:rPr>
        <w:t>ו</w:t>
      </w:r>
      <w:r w:rsidRPr="00E94F32">
        <w:rPr>
          <w:rFonts w:cs="Arial"/>
          <w:rtl/>
        </w:rPr>
        <w:t xml:space="preserve">ריב"ש </w:t>
      </w:r>
      <w:r w:rsidRPr="00E94F32">
        <w:rPr>
          <w:rFonts w:cs="Arial" w:hint="cs"/>
          <w:sz w:val="16"/>
          <w:szCs w:val="16"/>
          <w:rtl/>
        </w:rPr>
        <w:t>(</w:t>
      </w:r>
      <w:r w:rsidRPr="00E94F32">
        <w:rPr>
          <w:rFonts w:cs="Arial"/>
          <w:sz w:val="16"/>
          <w:szCs w:val="16"/>
          <w:rtl/>
        </w:rPr>
        <w:t>סי</w:t>
      </w:r>
      <w:r w:rsidRPr="00E94F32">
        <w:rPr>
          <w:rFonts w:cs="Arial" w:hint="cs"/>
          <w:sz w:val="16"/>
          <w:szCs w:val="16"/>
          <w:rtl/>
        </w:rPr>
        <w:t>'</w:t>
      </w:r>
      <w:r w:rsidRPr="00E94F32">
        <w:rPr>
          <w:rFonts w:cs="Arial"/>
          <w:sz w:val="16"/>
          <w:szCs w:val="16"/>
          <w:rtl/>
        </w:rPr>
        <w:t xml:space="preserve"> שא</w:t>
      </w:r>
      <w:r w:rsidRPr="00E94F32">
        <w:rPr>
          <w:rFonts w:cs="Arial" w:hint="cs"/>
          <w:sz w:val="16"/>
          <w:szCs w:val="16"/>
          <w:rtl/>
        </w:rPr>
        <w:t>)</w:t>
      </w:r>
      <w:r>
        <w:rPr>
          <w:rFonts w:cs="Arial" w:hint="cs"/>
          <w:rtl/>
        </w:rPr>
        <w:t xml:space="preserve">- </w:t>
      </w:r>
      <w:r>
        <w:rPr>
          <w:rFonts w:cs="Arial"/>
          <w:rtl/>
        </w:rPr>
        <w:t>דוקא במלבושים וכיוצא בהם אמרינן דלא אקני לה אדעתא דמיפק</w:t>
      </w:r>
      <w:r w:rsidR="00CF10FC">
        <w:rPr>
          <w:rFonts w:cs="Arial" w:hint="cs"/>
          <w:rtl/>
        </w:rPr>
        <w:t>,</w:t>
      </w:r>
      <w:r>
        <w:rPr>
          <w:rFonts w:cs="Arial"/>
          <w:rtl/>
        </w:rPr>
        <w:t xml:space="preserve"> אבל הנותן מתנה לאשתו ודאי אית לה</w:t>
      </w:r>
      <w:r>
        <w:rPr>
          <w:rFonts w:cs="Arial" w:hint="cs"/>
          <w:rtl/>
        </w:rPr>
        <w:t>,</w:t>
      </w:r>
      <w:r>
        <w:rPr>
          <w:rFonts w:cs="Arial"/>
          <w:rtl/>
        </w:rPr>
        <w:t xml:space="preserve"> וכי נפקא לא מפקינן מינה</w:t>
      </w:r>
      <w:r w:rsidRPr="00F12046">
        <w:rPr>
          <w:rFonts w:cs="Arial"/>
          <w:rtl/>
        </w:rPr>
        <w:t xml:space="preserve"> </w:t>
      </w:r>
      <w:r>
        <w:rPr>
          <w:rFonts w:cs="Arial" w:hint="cs"/>
          <w:sz w:val="16"/>
          <w:szCs w:val="16"/>
          <w:rtl/>
        </w:rPr>
        <w:t>(ל' ה</w:t>
      </w:r>
      <w:r w:rsidR="002F3516">
        <w:rPr>
          <w:rFonts w:cs="Arial" w:hint="cs"/>
          <w:sz w:val="16"/>
          <w:szCs w:val="16"/>
          <w:rtl/>
        </w:rPr>
        <w:t>ר"ן בשם הגאונים</w:t>
      </w:r>
      <w:r>
        <w:rPr>
          <w:rFonts w:cs="Arial" w:hint="cs"/>
          <w:sz w:val="16"/>
          <w:szCs w:val="16"/>
          <w:rtl/>
        </w:rPr>
        <w:t>)</w:t>
      </w:r>
      <w:r>
        <w:rPr>
          <w:rFonts w:cs="Arial" w:hint="cs"/>
          <w:rtl/>
        </w:rPr>
        <w:t>.</w:t>
      </w:r>
      <w:r w:rsidR="002F3516" w:rsidRPr="002F3516">
        <w:rPr>
          <w:rFonts w:hint="cs"/>
          <w:color w:val="E36C0A" w:themeColor="accent6" w:themeShade="BF"/>
          <w:rtl/>
        </w:rPr>
        <w:t xml:space="preserve"> </w:t>
      </w:r>
      <w:r w:rsidR="002F3516" w:rsidRPr="008631A7">
        <w:rPr>
          <w:rFonts w:hint="cs"/>
          <w:color w:val="E36C0A" w:themeColor="accent6" w:themeShade="BF"/>
          <w:rtl/>
        </w:rPr>
        <w:t>(וכ"</w:t>
      </w:r>
      <w:r w:rsidR="002F3516">
        <w:rPr>
          <w:rFonts w:hint="cs"/>
          <w:color w:val="E36C0A" w:themeColor="accent6" w:themeShade="BF"/>
          <w:rtl/>
        </w:rPr>
        <w:t>פ</w:t>
      </w:r>
      <w:r w:rsidR="002F3516" w:rsidRPr="008631A7">
        <w:rPr>
          <w:rFonts w:hint="cs"/>
          <w:color w:val="E36C0A" w:themeColor="accent6" w:themeShade="BF"/>
          <w:rtl/>
        </w:rPr>
        <w:t xml:space="preserve"> בשו"ע)</w:t>
      </w:r>
      <w:r w:rsidR="00636A6F" w:rsidRPr="00636A6F">
        <w:rPr>
          <w:rFonts w:cs="Arial" w:hint="cs"/>
          <w:color w:val="00B0F0"/>
          <w:rtl/>
        </w:rPr>
        <w:t xml:space="preserve"> </w:t>
      </w:r>
      <w:r w:rsidR="00636A6F" w:rsidRPr="00E94F32">
        <w:rPr>
          <w:rFonts w:cs="Arial" w:hint="cs"/>
          <w:color w:val="00B0F0"/>
          <w:rtl/>
        </w:rPr>
        <w:t>(וכ"פ הרמ"א)</w:t>
      </w:r>
    </w:p>
    <w:p w14:paraId="25DD9B3C" w14:textId="77777777" w:rsidR="00A06B6D" w:rsidRPr="00267815" w:rsidRDefault="00A06B6D" w:rsidP="00A06B6D">
      <w:pPr>
        <w:ind w:left="360"/>
        <w:rPr>
          <w:u w:val="dotted"/>
        </w:rPr>
      </w:pPr>
      <w:r w:rsidRPr="00267815">
        <w:rPr>
          <w:rFonts w:hint="cs"/>
          <w:u w:val="dotted"/>
          <w:rtl/>
        </w:rPr>
        <w:t>ומה הדין במתנות שנתן לה על מנת להתנאות בהן:</w:t>
      </w:r>
    </w:p>
    <w:p w14:paraId="001BFB49" w14:textId="14F85835" w:rsidR="00252D1A" w:rsidRPr="00252D1A" w:rsidRDefault="00A06B6D" w:rsidP="00A06B6D">
      <w:pPr>
        <w:pStyle w:val="ab"/>
        <w:numPr>
          <w:ilvl w:val="0"/>
          <w:numId w:val="86"/>
        </w:numPr>
        <w:rPr>
          <w:rtl/>
        </w:rPr>
      </w:pPr>
      <w:r w:rsidRPr="00E94F32">
        <w:rPr>
          <w:rFonts w:cs="Arial"/>
          <w:rtl/>
        </w:rPr>
        <w:t xml:space="preserve">ריב"ש </w:t>
      </w:r>
      <w:r w:rsidRPr="00E94F32">
        <w:rPr>
          <w:rFonts w:cs="Arial" w:hint="cs"/>
          <w:sz w:val="16"/>
          <w:szCs w:val="16"/>
          <w:rtl/>
        </w:rPr>
        <w:t>(</w:t>
      </w:r>
      <w:r w:rsidRPr="00E94F32">
        <w:rPr>
          <w:rFonts w:cs="Arial"/>
          <w:sz w:val="16"/>
          <w:szCs w:val="16"/>
          <w:rtl/>
        </w:rPr>
        <w:t>סי</w:t>
      </w:r>
      <w:r w:rsidRPr="00E94F32">
        <w:rPr>
          <w:rFonts w:cs="Arial" w:hint="cs"/>
          <w:sz w:val="16"/>
          <w:szCs w:val="16"/>
          <w:rtl/>
        </w:rPr>
        <w:t>'</w:t>
      </w:r>
      <w:r w:rsidRPr="00E94F32">
        <w:rPr>
          <w:rFonts w:cs="Arial"/>
          <w:sz w:val="16"/>
          <w:szCs w:val="16"/>
          <w:rtl/>
        </w:rPr>
        <w:t xml:space="preserve"> שא</w:t>
      </w:r>
      <w:r w:rsidRPr="00E94F32">
        <w:rPr>
          <w:rFonts w:cs="Arial" w:hint="cs"/>
          <w:sz w:val="16"/>
          <w:szCs w:val="16"/>
          <w:rtl/>
        </w:rPr>
        <w:t>)</w:t>
      </w:r>
      <w:r w:rsidRPr="00E94F32">
        <w:rPr>
          <w:rFonts w:cs="Arial" w:hint="cs"/>
          <w:rtl/>
        </w:rPr>
        <w:t xml:space="preserve">- </w:t>
      </w:r>
      <w:r w:rsidRPr="00E94F32">
        <w:rPr>
          <w:rFonts w:cs="Arial"/>
          <w:rtl/>
        </w:rPr>
        <w:t>מיהו אין דבריהם אלא בנותן קרקע או מעות או אפילו שאר מטלטלין שאינם לא מלבושים ולא תכשיטין ללבוש ולהתנאות בהם ואינן בכלל מה שעליה</w:t>
      </w:r>
      <w:r w:rsidRPr="00E94F32">
        <w:rPr>
          <w:rFonts w:cs="Arial" w:hint="cs"/>
          <w:rtl/>
        </w:rPr>
        <w:t>,</w:t>
      </w:r>
      <w:r w:rsidRPr="00E94F32">
        <w:rPr>
          <w:rFonts w:cs="Arial"/>
          <w:rtl/>
        </w:rPr>
        <w:t xml:space="preserve"> כגון אותם שנהגו לכתוב מתנה לחוד בשעת נישואין וזה נגבה בין באלמנות בין בגירושין כל שאינה מורדת בו</w:t>
      </w:r>
      <w:r w:rsidRPr="00E94F32">
        <w:rPr>
          <w:rFonts w:cs="Arial" w:hint="cs"/>
          <w:rtl/>
        </w:rPr>
        <w:t>,</w:t>
      </w:r>
      <w:r w:rsidRPr="00E94F32">
        <w:rPr>
          <w:rFonts w:cs="Arial"/>
          <w:rtl/>
        </w:rPr>
        <w:t xml:space="preserve"> אבל חתן הנותן סבלונות תכשיטי כסף וזהב לכלה להתנאות בהם בין שנתנם בשעת נישואין בין קודם לכן בעודה ארוסה </w:t>
      </w:r>
      <w:r w:rsidR="00CF10FC">
        <w:rPr>
          <w:rFonts w:cs="Arial" w:hint="cs"/>
          <w:rtl/>
        </w:rPr>
        <w:t xml:space="preserve">- </w:t>
      </w:r>
      <w:r w:rsidRPr="00E94F32">
        <w:rPr>
          <w:rFonts w:cs="Arial"/>
          <w:rtl/>
        </w:rPr>
        <w:t>אין זה מתנה גמורה</w:t>
      </w:r>
      <w:r w:rsidRPr="00E94F32">
        <w:rPr>
          <w:rFonts w:cs="Arial" w:hint="cs"/>
          <w:rtl/>
        </w:rPr>
        <w:t>,</w:t>
      </w:r>
      <w:r w:rsidRPr="00E94F32">
        <w:rPr>
          <w:rFonts w:cs="Arial"/>
          <w:rtl/>
        </w:rPr>
        <w:t xml:space="preserve"> ואע</w:t>
      </w:r>
      <w:r w:rsidRPr="00E94F32">
        <w:rPr>
          <w:rFonts w:cs="Arial" w:hint="cs"/>
          <w:rtl/>
        </w:rPr>
        <w:t>"</w:t>
      </w:r>
      <w:r w:rsidRPr="00E94F32">
        <w:rPr>
          <w:rFonts w:cs="Arial"/>
          <w:rtl/>
        </w:rPr>
        <w:t>פ ששולח ומכריז זה נותן החתן לכלה אין הכוונה למתנה גמורה</w:t>
      </w:r>
      <w:r w:rsidRPr="00E94F32">
        <w:rPr>
          <w:rFonts w:cs="Arial" w:hint="cs"/>
          <w:rtl/>
        </w:rPr>
        <w:t>.</w:t>
      </w:r>
      <w:r w:rsidRPr="00E94F32">
        <w:rPr>
          <w:rFonts w:cs="Arial"/>
          <w:rtl/>
        </w:rPr>
        <w:t xml:space="preserve"> ומעולם לא שמעתי מי שפקפק בדבר לומר שלא יהיו שמין תכשיטי כסף וזהב ואפילו בגרושה</w:t>
      </w:r>
      <w:r w:rsidRPr="00E94F32">
        <w:rPr>
          <w:rFonts w:cs="Arial" w:hint="cs"/>
          <w:rtl/>
        </w:rPr>
        <w:t>,</w:t>
      </w:r>
      <w:r w:rsidRPr="00E94F32">
        <w:rPr>
          <w:rFonts w:cs="Arial"/>
          <w:rtl/>
        </w:rPr>
        <w:t xml:space="preserve"> ואפילו החולקים עם הרמב"ם לומר דגרושה אין שמין בין בגדי חול בין בגדי שבת לא חלקו עליו בתכשיטי כסף וזהב</w:t>
      </w:r>
      <w:r w:rsidRPr="00E94F32">
        <w:rPr>
          <w:rFonts w:cs="Arial" w:hint="cs"/>
          <w:rtl/>
        </w:rPr>
        <w:t>,</w:t>
      </w:r>
      <w:r w:rsidRPr="00E94F32">
        <w:rPr>
          <w:rFonts w:cs="Arial"/>
          <w:rtl/>
        </w:rPr>
        <w:t xml:space="preserve"> שהרי במתניתין (ערכין כד.) דאחד המקדיש לא הזכירו אלא מיני מלבוש</w:t>
      </w:r>
      <w:r w:rsidRPr="00E94F32">
        <w:rPr>
          <w:rFonts w:cs="Arial" w:hint="cs"/>
          <w:rtl/>
        </w:rPr>
        <w:t>.</w:t>
      </w:r>
      <w:r w:rsidRPr="00E94F32">
        <w:rPr>
          <w:rFonts w:cs="Arial"/>
          <w:rtl/>
        </w:rPr>
        <w:t xml:space="preserve"> אמנם אם נתנו לה אחרים תכשיטין או מעות בשעת נישואין כמו שהוא נהוג שהקרובים לחתן ולכלה נותנין לה איש נזם זהב טבעת ועגיל בודאי הם שלה</w:t>
      </w:r>
      <w:r w:rsidRPr="00E94F32">
        <w:rPr>
          <w:rFonts w:cs="Arial" w:hint="cs"/>
          <w:rtl/>
        </w:rPr>
        <w:t>,</w:t>
      </w:r>
      <w:r w:rsidRPr="00E94F32">
        <w:rPr>
          <w:rFonts w:cs="Arial"/>
          <w:rtl/>
        </w:rPr>
        <w:t xml:space="preserve"> שהרי למתנה גמורה נתכוונו וה"ל כנכסי מלוג</w:t>
      </w:r>
      <w:r w:rsidRPr="00E94F32">
        <w:rPr>
          <w:rFonts w:cs="Arial" w:hint="cs"/>
          <w:rtl/>
        </w:rPr>
        <w:t>,</w:t>
      </w:r>
      <w:r w:rsidRPr="00E94F32">
        <w:rPr>
          <w:rFonts w:cs="Arial"/>
          <w:rtl/>
        </w:rPr>
        <w:t xml:space="preserve"> ואם כן בין באלמנות בין בגירושין אין שמין אותם לה. </w:t>
      </w:r>
      <w:r w:rsidRPr="00E94F32">
        <w:rPr>
          <w:rFonts w:cs="Arial" w:hint="cs"/>
          <w:color w:val="00B0F0"/>
          <w:rtl/>
        </w:rPr>
        <w:t>(וכ"פ הרמ"א)</w:t>
      </w:r>
    </w:p>
    <w:p w14:paraId="76C9D6AF" w14:textId="77777777" w:rsidR="00DF58A2" w:rsidRPr="00351B7D" w:rsidRDefault="00DF58A2" w:rsidP="00DF58A2">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7DFA2ED" w14:textId="1354247D" w:rsidR="00334C89" w:rsidRDefault="00392DBB" w:rsidP="00334C89">
      <w:pPr>
        <w:rPr>
          <w:rFonts w:cs="Arial"/>
          <w:rtl/>
        </w:rPr>
      </w:pPr>
      <w:r>
        <w:rPr>
          <w:rFonts w:cs="Arial"/>
          <w:rtl/>
        </w:rPr>
        <w:t xml:space="preserve">הנותן מתנה לאשתו, אף על פי שהוא מגרשה מדעתו, זכתה במתנתה. </w:t>
      </w:r>
      <w:r w:rsidRPr="00334C89">
        <w:rPr>
          <w:rFonts w:cs="Arial"/>
          <w:sz w:val="18"/>
          <w:szCs w:val="18"/>
          <w:rtl/>
        </w:rPr>
        <w:t>הגה: נראה לי כאן טעות, אלא כך ראוי להיות: אע</w:t>
      </w:r>
      <w:r w:rsidR="00FD12D7">
        <w:rPr>
          <w:rFonts w:cs="Arial" w:hint="cs"/>
          <w:sz w:val="18"/>
          <w:szCs w:val="18"/>
          <w:rtl/>
        </w:rPr>
        <w:t>"</w:t>
      </w:r>
      <w:r w:rsidRPr="00334C89">
        <w:rPr>
          <w:rFonts w:cs="Arial"/>
          <w:sz w:val="18"/>
          <w:szCs w:val="18"/>
          <w:rtl/>
        </w:rPr>
        <w:t>פ שמגרשה שלא מדעתה, כגון שסרחה עליו, אפילו הכי מתנתו שלה. וה"ה לאלמנה שנוטלת מתנה כל שאינן דברים שהם מלבושים או תכשיטים העשויין להתנאות בהם. ודוקא שעשאן לה הבעל, אבל אחרים שנתנו לה תכשיטים בשעת נשואין, למתנה גמורה נתכוונו הרי הם כנכסי מלוג שלה (ריב"ש).</w:t>
      </w:r>
    </w:p>
    <w:p w14:paraId="2290005A" w14:textId="77777777" w:rsidR="00252D1A" w:rsidRDefault="00252D1A" w:rsidP="00334C89">
      <w:pPr>
        <w:rPr>
          <w:rFonts w:cs="Arial"/>
          <w:rtl/>
        </w:rPr>
      </w:pPr>
    </w:p>
    <w:p w14:paraId="393F8CD5" w14:textId="58242D9C" w:rsidR="00334C89" w:rsidRPr="00334C89" w:rsidRDefault="00334C89" w:rsidP="00334C89">
      <w:pPr>
        <w:rPr>
          <w:rFonts w:cs="Arial"/>
          <w:rtl/>
        </w:rPr>
        <w:sectPr w:rsidR="00334C89" w:rsidRPr="00334C89" w:rsidSect="00A347B3">
          <w:headerReference w:type="default" r:id="rId43"/>
          <w:footnotePr>
            <w:numRestart w:val="eachSect"/>
          </w:footnotePr>
          <w:pgSz w:w="11906" w:h="16838"/>
          <w:pgMar w:top="720" w:right="1134" w:bottom="720" w:left="1134" w:header="0" w:footer="0" w:gutter="0"/>
          <w:cols w:space="720"/>
          <w:bidi/>
          <w:rtlGutter/>
          <w:docGrid w:linePitch="360"/>
        </w:sectPr>
      </w:pPr>
    </w:p>
    <w:p w14:paraId="560A9228" w14:textId="77777777" w:rsidR="00392DBB" w:rsidRDefault="00392DBB" w:rsidP="00392DBB">
      <w:pPr>
        <w:pStyle w:val="1"/>
        <w:rPr>
          <w:rtl/>
        </w:rPr>
      </w:pPr>
      <w:r>
        <w:rPr>
          <w:rFonts w:hint="cs"/>
          <w:rtl/>
        </w:rPr>
        <w:lastRenderedPageBreak/>
        <w:t>סימן ק:</w:t>
      </w:r>
      <w:r w:rsidRPr="00C12B74">
        <w:rPr>
          <w:rtl/>
        </w:rPr>
        <w:t xml:space="preserve"> </w:t>
      </w:r>
      <w:r>
        <w:rPr>
          <w:rFonts w:cs="Arial"/>
          <w:rtl/>
        </w:rPr>
        <w:t xml:space="preserve">כתובה ממה נגבית, וכל יתר דיני כתובה, ובו ט"ז סעיפים. </w:t>
      </w:r>
    </w:p>
    <w:p w14:paraId="6E95ED02" w14:textId="77777777" w:rsidR="00392DBB" w:rsidRDefault="00392DBB" w:rsidP="000F64D0">
      <w:pPr>
        <w:pStyle w:val="2"/>
        <w:rPr>
          <w:rtl/>
        </w:rPr>
      </w:pPr>
      <w:r>
        <w:rPr>
          <w:rtl/>
        </w:rPr>
        <w:t>סעיף א</w:t>
      </w:r>
      <w:r>
        <w:rPr>
          <w:rFonts w:hint="cs"/>
          <w:rtl/>
        </w:rPr>
        <w:t>: ממה נגבית הכתובה.</w:t>
      </w:r>
    </w:p>
    <w:p w14:paraId="08B255D3" w14:textId="7C03BDA4" w:rsidR="00392DBB" w:rsidRDefault="00392DBB" w:rsidP="00392DBB">
      <w:pPr>
        <w:rPr>
          <w:rtl/>
        </w:rPr>
      </w:pPr>
      <w:r w:rsidRPr="009B73CF">
        <w:rPr>
          <w:rFonts w:cs="Arial" w:hint="cs"/>
          <w:b/>
          <w:bCs/>
          <w:rtl/>
        </w:rPr>
        <w:t xml:space="preserve">כתובות </w:t>
      </w:r>
      <w:r>
        <w:rPr>
          <w:rFonts w:cs="Arial" w:hint="cs"/>
          <w:b/>
          <w:bCs/>
          <w:sz w:val="16"/>
          <w:szCs w:val="16"/>
          <w:rtl/>
        </w:rPr>
        <w:t xml:space="preserve">(פ' אף על פי) </w:t>
      </w:r>
      <w:r w:rsidRPr="009B73CF">
        <w:rPr>
          <w:rFonts w:cs="Arial" w:hint="cs"/>
          <w:b/>
          <w:bCs/>
          <w:rtl/>
        </w:rPr>
        <w:t>נ</w:t>
      </w:r>
      <w:r w:rsidR="00F7421F">
        <w:rPr>
          <w:rFonts w:cs="Arial" w:hint="cs"/>
          <w:b/>
          <w:bCs/>
          <w:rtl/>
        </w:rPr>
        <w:t>ד</w:t>
      </w:r>
      <w:r w:rsidR="00F7421F">
        <w:rPr>
          <w:rStyle w:val="a7"/>
          <w:rFonts w:cs="Arial"/>
          <w:b/>
          <w:bCs/>
          <w:rtl/>
        </w:rPr>
        <w:footnoteReference w:id="1845"/>
      </w:r>
      <w:r w:rsidRPr="009B73CF">
        <w:rPr>
          <w:rFonts w:cs="Arial" w:hint="cs"/>
          <w:b/>
          <w:bCs/>
          <w:rtl/>
        </w:rPr>
        <w:t xml:space="preserve"> ע"</w:t>
      </w:r>
      <w:r w:rsidR="00F7421F">
        <w:rPr>
          <w:rFonts w:cs="Arial" w:hint="cs"/>
          <w:b/>
          <w:bCs/>
          <w:rtl/>
        </w:rPr>
        <w:t>ב</w:t>
      </w:r>
      <w:r w:rsidRPr="009B73CF">
        <w:rPr>
          <w:rFonts w:cs="Arial" w:hint="cs"/>
          <w:b/>
          <w:bCs/>
          <w:rtl/>
        </w:rPr>
        <w:t xml:space="preserve">: </w:t>
      </w:r>
      <w:r w:rsidRPr="00337A2F">
        <w:rPr>
          <w:rFonts w:cs="Arial"/>
          <w:u w:val="single"/>
          <w:rtl/>
        </w:rPr>
        <w:t>דאמר ר' איבו אמר רבי ינאי</w:t>
      </w:r>
      <w:r w:rsidRPr="009B73CF">
        <w:rPr>
          <w:rFonts w:cs="Arial"/>
          <w:rtl/>
        </w:rPr>
        <w:t>: תנאי כתובה ככתובה דמי. נפקא מינה</w:t>
      </w:r>
      <w:r>
        <w:rPr>
          <w:rFonts w:cs="Arial" w:hint="cs"/>
          <w:rtl/>
        </w:rPr>
        <w:t>...</w:t>
      </w:r>
      <w:r w:rsidRPr="009B73CF">
        <w:rPr>
          <w:rFonts w:cs="Arial"/>
          <w:rtl/>
        </w:rPr>
        <w:t xml:space="preserve"> </w:t>
      </w:r>
      <w:r>
        <w:rPr>
          <w:rFonts w:cs="Arial" w:hint="cs"/>
          <w:sz w:val="14"/>
          <w:szCs w:val="14"/>
          <w:rtl/>
        </w:rPr>
        <w:t>(נה</w:t>
      </w:r>
      <w:r w:rsidR="00F7421F">
        <w:rPr>
          <w:rFonts w:cs="Arial" w:hint="cs"/>
          <w:sz w:val="14"/>
          <w:szCs w:val="14"/>
          <w:rtl/>
        </w:rPr>
        <w:t>.</w:t>
      </w:r>
      <w:r>
        <w:rPr>
          <w:rFonts w:cs="Arial" w:hint="cs"/>
          <w:sz w:val="14"/>
          <w:szCs w:val="14"/>
          <w:rtl/>
        </w:rPr>
        <w:t xml:space="preserve">) </w:t>
      </w:r>
      <w:r w:rsidRPr="00337A2F">
        <w:rPr>
          <w:rFonts w:cs="Arial"/>
          <w:rtl/>
        </w:rPr>
        <w:t>לגבות מן הקרקע ומן הזיבורית</w:t>
      </w:r>
      <w:r>
        <w:rPr>
          <w:rFonts w:hint="cs"/>
          <w:rtl/>
        </w:rPr>
        <w:t>.</w:t>
      </w:r>
    </w:p>
    <w:p w14:paraId="3C9328F0" w14:textId="58867A9C" w:rsidR="00392DBB" w:rsidRDefault="00392DBB" w:rsidP="00392DBB">
      <w:pPr>
        <w:rPr>
          <w:rtl/>
        </w:rPr>
      </w:pPr>
      <w:r w:rsidRPr="00734956">
        <w:rPr>
          <w:rFonts w:cs="Arial" w:hint="cs"/>
          <w:b/>
          <w:bCs/>
          <w:rtl/>
        </w:rPr>
        <w:t>גיטין</w:t>
      </w:r>
      <w:r>
        <w:rPr>
          <w:rFonts w:cs="Arial" w:hint="cs"/>
          <w:b/>
          <w:bCs/>
          <w:sz w:val="16"/>
          <w:szCs w:val="16"/>
          <w:rtl/>
        </w:rPr>
        <w:t xml:space="preserve"> (פ' הניזקין)</w:t>
      </w:r>
      <w:r w:rsidRPr="00734956">
        <w:rPr>
          <w:rFonts w:cs="Arial" w:hint="cs"/>
          <w:b/>
          <w:bCs/>
          <w:rtl/>
        </w:rPr>
        <w:t xml:space="preserve"> מח ע"ב: </w:t>
      </w:r>
      <w:r w:rsidRPr="00734956">
        <w:rPr>
          <w:rFonts w:cs="Arial"/>
          <w:u w:val="double"/>
          <w:rtl/>
        </w:rPr>
        <w:t>מתני'</w:t>
      </w:r>
      <w:r>
        <w:rPr>
          <w:rFonts w:cs="Arial" w:hint="cs"/>
          <w:rtl/>
        </w:rPr>
        <w:t>:</w:t>
      </w:r>
      <w:r w:rsidRPr="00734956">
        <w:rPr>
          <w:rFonts w:cs="Arial"/>
          <w:rtl/>
        </w:rPr>
        <w:t xml:space="preserve"> הניזקין שמין להן בעידית, ובעל חוב - בבינונית, וכתובת אשה - בזיבורית; </w:t>
      </w:r>
      <w:r w:rsidRPr="00F7421F">
        <w:rPr>
          <w:rFonts w:cs="Arial"/>
          <w:u w:val="single"/>
          <w:rtl/>
        </w:rPr>
        <w:t>ר"מ אומר</w:t>
      </w:r>
      <w:r w:rsidRPr="00734956">
        <w:rPr>
          <w:rFonts w:cs="Arial"/>
          <w:rtl/>
        </w:rPr>
        <w:t>: אף כתובת אשה - בבינונית.</w:t>
      </w:r>
      <w:r w:rsidRPr="00734956">
        <w:rPr>
          <w:rtl/>
        </w:rPr>
        <w:t xml:space="preserve"> </w:t>
      </w:r>
      <w:r>
        <w:rPr>
          <w:rFonts w:cs="Arial" w:hint="cs"/>
          <w:rtl/>
        </w:rPr>
        <w:t xml:space="preserve">      </w:t>
      </w:r>
      <w:r w:rsidRPr="00734956">
        <w:rPr>
          <w:rFonts w:cs="Arial" w:hint="cs"/>
          <w:u w:val="double"/>
          <w:rtl/>
        </w:rPr>
        <w:t>גמ'</w:t>
      </w:r>
      <w:r w:rsidR="00710E18">
        <w:rPr>
          <w:rFonts w:cs="Arial" w:hint="cs"/>
          <w:sz w:val="14"/>
          <w:szCs w:val="14"/>
          <w:u w:val="double"/>
          <w:rtl/>
        </w:rPr>
        <w:t>(מט:)</w:t>
      </w:r>
      <w:r w:rsidR="00710E18">
        <w:rPr>
          <w:rFonts w:cs="Arial" w:hint="cs"/>
          <w:u w:val="double"/>
          <w:rtl/>
        </w:rPr>
        <w:t>:</w:t>
      </w:r>
      <w:r>
        <w:rPr>
          <w:rFonts w:cs="Arial" w:hint="cs"/>
          <w:rtl/>
        </w:rPr>
        <w:t xml:space="preserve"> </w:t>
      </w:r>
      <w:r w:rsidRPr="00734956">
        <w:rPr>
          <w:rFonts w:cs="Arial"/>
          <w:rtl/>
        </w:rPr>
        <w:t xml:space="preserve">כתובת אשה - בזיבורית, </w:t>
      </w:r>
      <w:r w:rsidRPr="00F7421F">
        <w:rPr>
          <w:rFonts w:cs="Arial"/>
          <w:u w:val="single"/>
          <w:rtl/>
        </w:rPr>
        <w:t>דברי ר' יהודה</w:t>
      </w:r>
      <w:r w:rsidRPr="00734956">
        <w:rPr>
          <w:rFonts w:cs="Arial"/>
          <w:rtl/>
        </w:rPr>
        <w:t xml:space="preserve">, </w:t>
      </w:r>
      <w:r w:rsidRPr="00F7421F">
        <w:rPr>
          <w:rFonts w:cs="Arial"/>
          <w:u w:val="single"/>
          <w:rtl/>
        </w:rPr>
        <w:t>ר"מ אומר</w:t>
      </w:r>
      <w:r w:rsidRPr="00734956">
        <w:rPr>
          <w:rFonts w:cs="Arial"/>
          <w:rtl/>
        </w:rPr>
        <w:t xml:space="preserve">: בבינונית. </w:t>
      </w:r>
      <w:r w:rsidRPr="00792285">
        <w:rPr>
          <w:rFonts w:cs="Arial"/>
          <w:u w:val="single"/>
          <w:rtl/>
        </w:rPr>
        <w:t>אמר ר"ש</w:t>
      </w:r>
      <w:r w:rsidRPr="00734956">
        <w:rPr>
          <w:rFonts w:cs="Arial"/>
          <w:rtl/>
        </w:rPr>
        <w:t>: מפני מה אמרו כתובת אשה בזיבורית? שיותר ממה שהאיש רוצה לישא, האשה רוצה לינשא.</w:t>
      </w:r>
    </w:p>
    <w:p w14:paraId="74965C3F" w14:textId="7A10F23D" w:rsidR="00392DBB" w:rsidRDefault="00392DBB" w:rsidP="00392DBB">
      <w:pPr>
        <w:rPr>
          <w:rtl/>
        </w:rPr>
      </w:pPr>
      <w:r w:rsidRPr="00865456">
        <w:rPr>
          <w:rFonts w:cs="Arial" w:hint="cs"/>
          <w:b/>
          <w:bCs/>
          <w:rtl/>
        </w:rPr>
        <w:t>בכורות</w:t>
      </w:r>
      <w:r>
        <w:rPr>
          <w:rFonts w:cs="Arial" w:hint="cs"/>
          <w:b/>
          <w:bCs/>
          <w:sz w:val="16"/>
          <w:szCs w:val="16"/>
          <w:rtl/>
        </w:rPr>
        <w:t xml:space="preserve"> (פ' יש בכור)</w:t>
      </w:r>
      <w:r w:rsidRPr="00865456">
        <w:rPr>
          <w:rFonts w:cs="Arial" w:hint="cs"/>
          <w:b/>
          <w:bCs/>
          <w:rtl/>
        </w:rPr>
        <w:t xml:space="preserve"> נא ע"ב: </w:t>
      </w:r>
      <w:r w:rsidRPr="00865456">
        <w:rPr>
          <w:rFonts w:cs="Arial"/>
          <w:u w:val="double"/>
          <w:rtl/>
        </w:rPr>
        <w:t>מתני'</w:t>
      </w:r>
      <w:r>
        <w:rPr>
          <w:rFonts w:cs="Arial" w:hint="cs"/>
          <w:rtl/>
        </w:rPr>
        <w:t>:</w:t>
      </w:r>
      <w:r w:rsidRPr="00865456">
        <w:rPr>
          <w:rFonts w:cs="Arial"/>
          <w:rtl/>
        </w:rPr>
        <w:t xml:space="preserve"> הבכור נוטל פי שנים בנכסי האב, ואינו נוטל פי שנים בנכסי האם, ואינו נוטל בשבח, ולא בראוי כבמוחזק</w:t>
      </w:r>
      <w:r>
        <w:rPr>
          <w:rFonts w:hint="cs"/>
          <w:rtl/>
        </w:rPr>
        <w:t>,</w:t>
      </w:r>
      <w:r w:rsidR="00710E18">
        <w:rPr>
          <w:rFonts w:hint="cs"/>
          <w:sz w:val="14"/>
          <w:szCs w:val="14"/>
          <w:rtl/>
        </w:rPr>
        <w:t xml:space="preserve"> </w:t>
      </w:r>
      <w:r>
        <w:rPr>
          <w:rFonts w:hint="cs"/>
          <w:sz w:val="14"/>
          <w:szCs w:val="14"/>
          <w:rtl/>
        </w:rPr>
        <w:t>(נב.)</w:t>
      </w:r>
      <w:r w:rsidRPr="00BF47E4">
        <w:rPr>
          <w:rtl/>
        </w:rPr>
        <w:t xml:space="preserve"> </w:t>
      </w:r>
      <w:r w:rsidRPr="00BF47E4">
        <w:rPr>
          <w:rFonts w:cs="Arial"/>
          <w:rtl/>
        </w:rPr>
        <w:t>ולא האשה בכתובתה</w:t>
      </w:r>
      <w:r>
        <w:rPr>
          <w:rStyle w:val="a7"/>
          <w:rFonts w:cs="Arial"/>
          <w:rtl/>
        </w:rPr>
        <w:footnoteReference w:id="1846"/>
      </w:r>
      <w:r w:rsidRPr="00BF47E4">
        <w:rPr>
          <w:rFonts w:cs="Arial"/>
          <w:rtl/>
        </w:rPr>
        <w:t>, ולא הבנות במזונותיהן, ולא היבם, וכולם אין נוטלין בשבח ולא בראוי כבמוחזק.</w:t>
      </w:r>
      <w:r w:rsidRPr="00BF47E4">
        <w:rPr>
          <w:rtl/>
        </w:rPr>
        <w:t xml:space="preserve"> </w:t>
      </w:r>
      <w:r>
        <w:rPr>
          <w:rFonts w:hint="cs"/>
          <w:rtl/>
        </w:rPr>
        <w:t xml:space="preserve">      </w:t>
      </w:r>
      <w:r w:rsidRPr="00BF47E4">
        <w:rPr>
          <w:rFonts w:hint="cs"/>
          <w:u w:val="double"/>
          <w:rtl/>
        </w:rPr>
        <w:t>גמ'</w:t>
      </w:r>
      <w:r>
        <w:rPr>
          <w:rFonts w:hint="cs"/>
          <w:rtl/>
        </w:rPr>
        <w:t xml:space="preserve">: </w:t>
      </w:r>
      <w:r w:rsidRPr="00BF47E4">
        <w:rPr>
          <w:rFonts w:cs="Arial"/>
          <w:rtl/>
        </w:rPr>
        <w:t>ולא בראוי כבמוחזק דכתיב: בכל אשר ימצא לו. ולא האשה בכתובתה</w:t>
      </w:r>
      <w:r>
        <w:rPr>
          <w:rFonts w:cs="Arial" w:hint="cs"/>
          <w:rtl/>
        </w:rPr>
        <w:t>.</w:t>
      </w:r>
      <w:r w:rsidRPr="00BF47E4">
        <w:rPr>
          <w:rFonts w:cs="Arial"/>
          <w:rtl/>
        </w:rPr>
        <w:t xml:space="preserve"> איני, </w:t>
      </w:r>
      <w:r w:rsidRPr="00BF47E4">
        <w:rPr>
          <w:rFonts w:cs="Arial"/>
          <w:u w:val="single"/>
          <w:rtl/>
        </w:rPr>
        <w:t>והאמר שמואל</w:t>
      </w:r>
      <w:r w:rsidRPr="00BF47E4">
        <w:rPr>
          <w:rFonts w:cs="Arial"/>
          <w:rtl/>
        </w:rPr>
        <w:t>: בעל חוב</w:t>
      </w:r>
      <w:r>
        <w:rPr>
          <w:rStyle w:val="a7"/>
          <w:rFonts w:cs="Arial"/>
          <w:rtl/>
        </w:rPr>
        <w:footnoteReference w:id="1847"/>
      </w:r>
      <w:r w:rsidRPr="00BF47E4">
        <w:rPr>
          <w:rFonts w:cs="Arial"/>
          <w:rtl/>
        </w:rPr>
        <w:t xml:space="preserve"> גובה את השבח! </w:t>
      </w:r>
      <w:r w:rsidRPr="00BF47E4">
        <w:rPr>
          <w:rFonts w:cs="Arial"/>
          <w:u w:val="single"/>
          <w:rtl/>
        </w:rPr>
        <w:t>א"ר אבא</w:t>
      </w:r>
      <w:r w:rsidRPr="00BF47E4">
        <w:rPr>
          <w:rFonts w:cs="Arial"/>
          <w:rtl/>
        </w:rPr>
        <w:t>: מקולי כתובה</w:t>
      </w:r>
      <w:r>
        <w:rPr>
          <w:rStyle w:val="a7"/>
          <w:rFonts w:cs="Arial"/>
          <w:rtl/>
        </w:rPr>
        <w:footnoteReference w:id="1848"/>
      </w:r>
      <w:r w:rsidRPr="00BF47E4">
        <w:rPr>
          <w:rFonts w:cs="Arial"/>
          <w:rtl/>
        </w:rPr>
        <w:t xml:space="preserve"> שנו כאן.</w:t>
      </w:r>
    </w:p>
    <w:p w14:paraId="475DCDA7" w14:textId="77777777" w:rsidR="00392DBB" w:rsidRPr="00865456" w:rsidRDefault="00392DBB" w:rsidP="00392DBB">
      <w:pPr>
        <w:rPr>
          <w:u w:val="single"/>
          <w:rtl/>
        </w:rPr>
      </w:pPr>
      <w:r w:rsidRPr="00865456">
        <w:rPr>
          <w:rFonts w:hint="cs"/>
          <w:u w:val="single"/>
          <w:rtl/>
        </w:rPr>
        <w:t>כתובה</w:t>
      </w:r>
      <w:r>
        <w:rPr>
          <w:rFonts w:hint="cs"/>
          <w:u w:val="single"/>
          <w:rtl/>
        </w:rPr>
        <w:t xml:space="preserve"> -</w:t>
      </w:r>
      <w:r w:rsidRPr="00865456">
        <w:rPr>
          <w:rFonts w:hint="cs"/>
          <w:u w:val="single"/>
          <w:rtl/>
        </w:rPr>
        <w:t xml:space="preserve"> </w:t>
      </w:r>
      <w:r>
        <w:rPr>
          <w:rFonts w:hint="cs"/>
          <w:u w:val="single"/>
          <w:rtl/>
        </w:rPr>
        <w:t>ממה</w:t>
      </w:r>
      <w:r w:rsidRPr="00865456">
        <w:rPr>
          <w:rFonts w:hint="cs"/>
          <w:u w:val="single"/>
          <w:rtl/>
        </w:rPr>
        <w:t xml:space="preserve"> נגבית:</w:t>
      </w:r>
    </w:p>
    <w:p w14:paraId="74A767BE" w14:textId="77777777" w:rsidR="00392DBB" w:rsidRPr="00865456" w:rsidRDefault="00392DBB" w:rsidP="009000E3">
      <w:pPr>
        <w:pStyle w:val="ab"/>
        <w:numPr>
          <w:ilvl w:val="0"/>
          <w:numId w:val="61"/>
        </w:numPr>
      </w:pPr>
      <w:r>
        <w:rPr>
          <w:rFonts w:cs="Arial"/>
          <w:rtl/>
        </w:rPr>
        <w:t>רא"ש</w:t>
      </w:r>
      <w:r>
        <w:rPr>
          <w:rStyle w:val="a7"/>
          <w:rFonts w:cs="Arial"/>
          <w:rtl/>
        </w:rPr>
        <w:footnoteReference w:id="1849"/>
      </w:r>
      <w:r>
        <w:rPr>
          <w:rFonts w:cs="Arial"/>
          <w:rtl/>
        </w:rPr>
        <w:t xml:space="preserve"> </w:t>
      </w:r>
      <w:r w:rsidRPr="00C3296F">
        <w:rPr>
          <w:rFonts w:cs="Arial" w:hint="cs"/>
          <w:sz w:val="16"/>
          <w:szCs w:val="16"/>
          <w:rtl/>
        </w:rPr>
        <w:t>(</w:t>
      </w:r>
      <w:r w:rsidRPr="00C3296F">
        <w:rPr>
          <w:rFonts w:cs="Arial"/>
          <w:sz w:val="16"/>
          <w:szCs w:val="16"/>
          <w:rtl/>
        </w:rPr>
        <w:t>פ</w:t>
      </w:r>
      <w:r w:rsidRPr="00C3296F">
        <w:rPr>
          <w:rFonts w:cs="Arial" w:hint="cs"/>
          <w:sz w:val="16"/>
          <w:szCs w:val="16"/>
          <w:rtl/>
        </w:rPr>
        <w:t>'</w:t>
      </w:r>
      <w:r w:rsidRPr="00C3296F">
        <w:rPr>
          <w:rFonts w:cs="Arial"/>
          <w:sz w:val="16"/>
          <w:szCs w:val="16"/>
          <w:rtl/>
        </w:rPr>
        <w:t xml:space="preserve"> יש נוחלין ב"ב סי' יא) </w:t>
      </w:r>
      <w:r>
        <w:rPr>
          <w:rFonts w:cs="Arial" w:hint="cs"/>
          <w:rtl/>
        </w:rPr>
        <w:t xml:space="preserve">וטור- </w:t>
      </w:r>
      <w:r w:rsidRPr="003D2914">
        <w:rPr>
          <w:rFonts w:cs="Arial"/>
          <w:rtl/>
        </w:rPr>
        <w:t>אין הכתובה נגבית מדינא דגמרא אלא ממקרקעי</w:t>
      </w:r>
      <w:r>
        <w:rPr>
          <w:rFonts w:cs="Arial" w:hint="cs"/>
          <w:rtl/>
        </w:rPr>
        <w:t>,</w:t>
      </w:r>
      <w:r w:rsidRPr="003D2914">
        <w:rPr>
          <w:rFonts w:cs="Arial"/>
          <w:rtl/>
        </w:rPr>
        <w:t xml:space="preserve"> ומן הזיבורית שבנכסיו</w:t>
      </w:r>
      <w:r>
        <w:rPr>
          <w:rFonts w:cs="Arial" w:hint="cs"/>
          <w:rtl/>
        </w:rPr>
        <w:t>.</w:t>
      </w:r>
      <w:r w:rsidRPr="003D2914">
        <w:rPr>
          <w:rFonts w:cs="Arial"/>
          <w:rtl/>
        </w:rPr>
        <w:t xml:space="preserve"> ולא משבח שהשביחו הנכסים אחר מותו</w:t>
      </w:r>
      <w:r>
        <w:rPr>
          <w:rFonts w:cs="Arial" w:hint="cs"/>
          <w:rtl/>
        </w:rPr>
        <w:t>,</w:t>
      </w:r>
      <w:r w:rsidRPr="003D2914">
        <w:rPr>
          <w:rFonts w:cs="Arial"/>
          <w:rtl/>
        </w:rPr>
        <w:t xml:space="preserve"> לא שנא השביחו יורשין ול"ש השביחו לקוחות ובאה לטרוף מהם</w:t>
      </w:r>
      <w:r>
        <w:rPr>
          <w:rStyle w:val="a7"/>
          <w:rFonts w:cs="Arial"/>
          <w:rtl/>
        </w:rPr>
        <w:footnoteReference w:id="1850"/>
      </w:r>
      <w:r>
        <w:rPr>
          <w:rFonts w:cs="Arial" w:hint="cs"/>
          <w:rtl/>
        </w:rPr>
        <w:t>.</w:t>
      </w:r>
      <w:r w:rsidRPr="003D2914">
        <w:rPr>
          <w:rFonts w:cs="Arial"/>
          <w:rtl/>
        </w:rPr>
        <w:t xml:space="preserve"> ולא מהראוי</w:t>
      </w:r>
      <w:r>
        <w:rPr>
          <w:rFonts w:cs="Arial" w:hint="cs"/>
          <w:rtl/>
        </w:rPr>
        <w:t>.</w:t>
      </w:r>
      <w:r w:rsidRPr="003D2914">
        <w:rPr>
          <w:rFonts w:cs="Arial"/>
          <w:rtl/>
        </w:rPr>
        <w:t xml:space="preserve"> אבל במלוה שחייבים לבעל נקרא מוחזק</w:t>
      </w:r>
      <w:r>
        <w:rPr>
          <w:rStyle w:val="a7"/>
          <w:rFonts w:cs="Arial"/>
          <w:rtl/>
        </w:rPr>
        <w:footnoteReference w:id="1851"/>
      </w:r>
      <w:r w:rsidRPr="003D2914">
        <w:rPr>
          <w:rFonts w:cs="Arial"/>
          <w:rtl/>
        </w:rPr>
        <w:t xml:space="preserve"> ונגבית מהם אפי</w:t>
      </w:r>
      <w:r>
        <w:rPr>
          <w:rFonts w:cs="Arial" w:hint="cs"/>
          <w:rtl/>
        </w:rPr>
        <w:t>לו</w:t>
      </w:r>
      <w:r w:rsidRPr="003D2914">
        <w:rPr>
          <w:rFonts w:cs="Arial"/>
          <w:rtl/>
        </w:rPr>
        <w:t xml:space="preserve"> הוא על ה</w:t>
      </w:r>
      <w:r>
        <w:rPr>
          <w:rFonts w:cs="Arial" w:hint="cs"/>
          <w:rtl/>
        </w:rPr>
        <w:t>גוי</w:t>
      </w:r>
      <w:r>
        <w:rPr>
          <w:rFonts w:cs="Arial" w:hint="cs"/>
          <w:sz w:val="16"/>
          <w:szCs w:val="16"/>
          <w:rtl/>
        </w:rPr>
        <w:t xml:space="preserve"> (ל' הטור)</w:t>
      </w:r>
      <w:r>
        <w:rPr>
          <w:rFonts w:cs="Arial" w:hint="cs"/>
          <w:rtl/>
        </w:rPr>
        <w:t>.</w:t>
      </w:r>
      <w:r w:rsidRPr="003D2914">
        <w:rPr>
          <w:rFonts w:cs="Arial"/>
          <w:rtl/>
        </w:rPr>
        <w:t xml:space="preserve"> </w:t>
      </w:r>
      <w:r w:rsidRPr="006A6FBD">
        <w:rPr>
          <w:rFonts w:hint="cs"/>
          <w:color w:val="E36C0A" w:themeColor="accent6" w:themeShade="BF"/>
          <w:rtl/>
        </w:rPr>
        <w:t>(וכ"פ בשו"ע</w:t>
      </w:r>
      <w:r w:rsidRPr="00FD6149">
        <w:rPr>
          <w:rFonts w:hint="cs"/>
          <w:color w:val="000000" w:themeColor="text1"/>
          <w:sz w:val="16"/>
          <w:szCs w:val="16"/>
          <w:rtl/>
        </w:rPr>
        <w:t xml:space="preserve"> [כאן ובסע' ב]</w:t>
      </w:r>
      <w:r w:rsidRPr="006A6FBD">
        <w:rPr>
          <w:rFonts w:hint="cs"/>
          <w:color w:val="E36C0A" w:themeColor="accent6" w:themeShade="BF"/>
          <w:rtl/>
        </w:rPr>
        <w:t>)</w:t>
      </w:r>
    </w:p>
    <w:p w14:paraId="5543C953" w14:textId="77777777" w:rsidR="00392DBB" w:rsidRPr="00865456" w:rsidRDefault="00392DBB" w:rsidP="00392DBB">
      <w:pPr>
        <w:ind w:left="360"/>
        <w:rPr>
          <w:u w:val="dotted"/>
        </w:rPr>
      </w:pPr>
      <w:r w:rsidRPr="00865456">
        <w:rPr>
          <w:rFonts w:hint="cs"/>
          <w:u w:val="dotted"/>
          <w:rtl/>
        </w:rPr>
        <w:t>תקנת הגאונים לגבות כתובה ממטלטלים:</w:t>
      </w:r>
    </w:p>
    <w:p w14:paraId="248F652C" w14:textId="77777777" w:rsidR="00392DBB" w:rsidRDefault="00392DBB" w:rsidP="009000E3">
      <w:pPr>
        <w:pStyle w:val="ab"/>
        <w:numPr>
          <w:ilvl w:val="0"/>
          <w:numId w:val="61"/>
        </w:numPr>
      </w:pPr>
      <w:r>
        <w:rPr>
          <w:rFonts w:cs="Arial"/>
          <w:rtl/>
        </w:rPr>
        <w:t xml:space="preserve">רמב"ם </w:t>
      </w:r>
      <w:r w:rsidRPr="00142EEF">
        <w:rPr>
          <w:rFonts w:cs="Arial"/>
          <w:sz w:val="16"/>
          <w:szCs w:val="16"/>
          <w:rtl/>
        </w:rPr>
        <w:t>(</w:t>
      </w:r>
      <w:r w:rsidRPr="00142EEF">
        <w:rPr>
          <w:rFonts w:cs="Arial" w:hint="cs"/>
          <w:sz w:val="16"/>
          <w:szCs w:val="16"/>
          <w:rtl/>
        </w:rPr>
        <w:t xml:space="preserve">פט"ז מאישות ה"ז) </w:t>
      </w:r>
      <w:r>
        <w:rPr>
          <w:rFonts w:cs="Arial" w:hint="cs"/>
          <w:rtl/>
        </w:rPr>
        <w:t xml:space="preserve">וטור- </w:t>
      </w:r>
      <w:r w:rsidRPr="003D2914">
        <w:rPr>
          <w:rFonts w:cs="Arial"/>
          <w:rtl/>
        </w:rPr>
        <w:t>ומתקנת הגאונים</w:t>
      </w:r>
      <w:r>
        <w:rPr>
          <w:rStyle w:val="a7"/>
          <w:rFonts w:cs="Arial"/>
          <w:rtl/>
        </w:rPr>
        <w:footnoteReference w:id="1852"/>
      </w:r>
      <w:r w:rsidRPr="003D2914">
        <w:rPr>
          <w:rFonts w:cs="Arial"/>
          <w:rtl/>
        </w:rPr>
        <w:t xml:space="preserve"> נגבית ממטלטלים</w:t>
      </w:r>
      <w:r>
        <w:rPr>
          <w:rFonts w:cs="Arial" w:hint="cs"/>
          <w:rtl/>
        </w:rPr>
        <w:t>,</w:t>
      </w:r>
      <w:r w:rsidRPr="003D2914">
        <w:rPr>
          <w:rFonts w:cs="Arial"/>
          <w:rtl/>
        </w:rPr>
        <w:t xml:space="preserve"> וה"ה נמי לכל תנאיה חוץ מכתובת בנין דכרין כדלקמן</w:t>
      </w:r>
      <w:r>
        <w:rPr>
          <w:rFonts w:cs="Arial" w:hint="cs"/>
          <w:sz w:val="16"/>
          <w:szCs w:val="16"/>
          <w:rtl/>
        </w:rPr>
        <w:t xml:space="preserve"> (בסי' קיא)</w:t>
      </w:r>
      <w:r>
        <w:rPr>
          <w:rFonts w:cs="Arial" w:hint="cs"/>
          <w:rtl/>
        </w:rPr>
        <w:t>.</w:t>
      </w:r>
      <w:r w:rsidRPr="003D2914">
        <w:rPr>
          <w:rFonts w:cs="Arial"/>
          <w:rtl/>
        </w:rPr>
        <w:t xml:space="preserve"> לפיכך אם גבו היורשים מעות בחובת אביהן </w:t>
      </w:r>
      <w:r>
        <w:rPr>
          <w:rFonts w:cs="Arial" w:hint="cs"/>
          <w:rtl/>
        </w:rPr>
        <w:t xml:space="preserve">- </w:t>
      </w:r>
      <w:r w:rsidRPr="003D2914">
        <w:rPr>
          <w:rFonts w:cs="Arial"/>
          <w:rtl/>
        </w:rPr>
        <w:t>גובה מהן</w:t>
      </w:r>
      <w:r>
        <w:rPr>
          <w:rFonts w:cs="Arial" w:hint="cs"/>
          <w:sz w:val="16"/>
          <w:szCs w:val="16"/>
          <w:rtl/>
        </w:rPr>
        <w:t xml:space="preserve"> (ל' הטור)</w:t>
      </w:r>
      <w:r>
        <w:rPr>
          <w:rFonts w:cs="Arial" w:hint="cs"/>
          <w:rtl/>
        </w:rPr>
        <w:t>.</w:t>
      </w:r>
      <w:r w:rsidRPr="003D2914">
        <w:rPr>
          <w:rFonts w:cs="Arial"/>
          <w:rtl/>
        </w:rPr>
        <w:t xml:space="preserve"> </w:t>
      </w:r>
      <w:r w:rsidRPr="006A6FBD">
        <w:rPr>
          <w:rFonts w:hint="cs"/>
          <w:color w:val="E36C0A" w:themeColor="accent6" w:themeShade="BF"/>
          <w:rtl/>
        </w:rPr>
        <w:t>(וכ"פ בשו"ע)</w:t>
      </w:r>
    </w:p>
    <w:p w14:paraId="2C2911AB" w14:textId="77777777" w:rsidR="00392DBB" w:rsidRPr="00142EEF" w:rsidRDefault="00392DBB" w:rsidP="009000E3">
      <w:pPr>
        <w:pStyle w:val="ab"/>
        <w:numPr>
          <w:ilvl w:val="0"/>
          <w:numId w:val="61"/>
        </w:numPr>
      </w:pPr>
      <w:r>
        <w:rPr>
          <w:rFonts w:hint="cs"/>
          <w:rtl/>
        </w:rPr>
        <w:t>ראב"ן</w:t>
      </w:r>
      <w:r>
        <w:rPr>
          <w:rStyle w:val="a7"/>
          <w:rtl/>
        </w:rPr>
        <w:footnoteReference w:id="1853"/>
      </w:r>
      <w:r>
        <w:rPr>
          <w:rFonts w:hint="cs"/>
          <w:sz w:val="16"/>
          <w:szCs w:val="16"/>
          <w:rtl/>
        </w:rPr>
        <w:t xml:space="preserve"> (</w:t>
      </w:r>
      <w:r>
        <w:rPr>
          <w:rFonts w:cs="Arial" w:hint="cs"/>
          <w:sz w:val="16"/>
          <w:szCs w:val="16"/>
          <w:rtl/>
        </w:rPr>
        <w:t>בשו"ת ש</w:t>
      </w:r>
      <w:r w:rsidRPr="0089778D">
        <w:rPr>
          <w:rFonts w:cs="Arial"/>
          <w:sz w:val="16"/>
          <w:szCs w:val="16"/>
          <w:rtl/>
        </w:rPr>
        <w:t>בסוף ספר</w:t>
      </w:r>
      <w:r>
        <w:rPr>
          <w:rFonts w:cs="Arial" w:hint="cs"/>
          <w:sz w:val="16"/>
          <w:szCs w:val="16"/>
          <w:rtl/>
        </w:rPr>
        <w:t xml:space="preserve"> הראב"ן, וכ"כ בשמו ה</w:t>
      </w:r>
      <w:r w:rsidRPr="0089778D">
        <w:rPr>
          <w:rFonts w:cs="Arial"/>
          <w:sz w:val="16"/>
          <w:szCs w:val="16"/>
          <w:rtl/>
        </w:rPr>
        <w:t xml:space="preserve">מרדכי </w:t>
      </w:r>
      <w:r>
        <w:rPr>
          <w:rFonts w:cs="Arial" w:hint="cs"/>
          <w:sz w:val="16"/>
          <w:szCs w:val="16"/>
          <w:rtl/>
        </w:rPr>
        <w:t>[ב"ב סי'</w:t>
      </w:r>
      <w:r w:rsidRPr="0089778D">
        <w:rPr>
          <w:rFonts w:cs="Arial"/>
          <w:sz w:val="16"/>
          <w:szCs w:val="16"/>
          <w:rtl/>
        </w:rPr>
        <w:t xml:space="preserve"> תרלב</w:t>
      </w:r>
      <w:r>
        <w:rPr>
          <w:rFonts w:cs="Arial" w:hint="cs"/>
          <w:sz w:val="16"/>
          <w:szCs w:val="16"/>
          <w:rtl/>
        </w:rPr>
        <w:t>, וכתובות סי' רמט]</w:t>
      </w:r>
      <w:r>
        <w:rPr>
          <w:rFonts w:hint="cs"/>
          <w:sz w:val="16"/>
          <w:szCs w:val="16"/>
          <w:rtl/>
        </w:rPr>
        <w:t>)</w:t>
      </w:r>
      <w:r>
        <w:rPr>
          <w:rFonts w:hint="cs"/>
          <w:rtl/>
        </w:rPr>
        <w:t>- תקנת הגאונים היא רק על מטלטלין בעין דומיא גמלי דערביא. אבל במטלטלי שאינם בעין אינה יכולה לגבות מהם אא"כ תפסה</w:t>
      </w:r>
      <w:r>
        <w:rPr>
          <w:rStyle w:val="a7"/>
          <w:rtl/>
        </w:rPr>
        <w:footnoteReference w:id="1854"/>
      </w:r>
      <w:r>
        <w:rPr>
          <w:rFonts w:hint="cs"/>
          <w:rtl/>
        </w:rPr>
        <w:t xml:space="preserve">.  </w:t>
      </w:r>
    </w:p>
    <w:p w14:paraId="6FF44CEB" w14:textId="77777777" w:rsidR="00392DBB" w:rsidRPr="0071190C" w:rsidRDefault="00392DBB" w:rsidP="00392DBB">
      <w:pPr>
        <w:ind w:left="720"/>
        <w:rPr>
          <w:u w:val="wave"/>
        </w:rPr>
      </w:pPr>
      <w:r>
        <w:rPr>
          <w:rFonts w:hint="cs"/>
          <w:u w:val="wave"/>
          <w:rtl/>
        </w:rPr>
        <w:lastRenderedPageBreak/>
        <w:t>לטור וסיעתו - מה הדין אם מכרו היורשים את המטלטלים אחרי מות אביהם</w:t>
      </w:r>
      <w:r w:rsidRPr="0071190C">
        <w:rPr>
          <w:rFonts w:hint="cs"/>
          <w:u w:val="wave"/>
          <w:rtl/>
        </w:rPr>
        <w:t>:</w:t>
      </w:r>
    </w:p>
    <w:p w14:paraId="0A37BB3A" w14:textId="77777777" w:rsidR="00392DBB" w:rsidRDefault="00392DBB" w:rsidP="009000E3">
      <w:pPr>
        <w:pStyle w:val="ab"/>
        <w:numPr>
          <w:ilvl w:val="0"/>
          <w:numId w:val="61"/>
        </w:numPr>
      </w:pPr>
      <w:r>
        <w:rPr>
          <w:rFonts w:cs="Arial" w:hint="cs"/>
          <w:rtl/>
        </w:rPr>
        <w:t xml:space="preserve">טור- </w:t>
      </w:r>
      <w:r w:rsidRPr="003D2914">
        <w:rPr>
          <w:rFonts w:cs="Arial"/>
          <w:rtl/>
        </w:rPr>
        <w:t xml:space="preserve">אם מכרום היורשים אחרי מותו </w:t>
      </w:r>
      <w:r>
        <w:rPr>
          <w:rFonts w:cs="Arial" w:hint="cs"/>
          <w:rtl/>
        </w:rPr>
        <w:t xml:space="preserve">- </w:t>
      </w:r>
      <w:r w:rsidRPr="003D2914">
        <w:rPr>
          <w:rFonts w:cs="Arial"/>
          <w:rtl/>
        </w:rPr>
        <w:t>גובה מהם</w:t>
      </w:r>
      <w:r>
        <w:rPr>
          <w:rStyle w:val="a7"/>
          <w:rFonts w:cs="Arial"/>
          <w:rtl/>
        </w:rPr>
        <w:footnoteReference w:id="1855"/>
      </w:r>
      <w:r>
        <w:rPr>
          <w:rFonts w:cs="Arial" w:hint="cs"/>
          <w:rtl/>
        </w:rPr>
        <w:t>.</w:t>
      </w:r>
      <w:r w:rsidRPr="003D2914">
        <w:rPr>
          <w:rFonts w:cs="Arial"/>
          <w:rtl/>
        </w:rPr>
        <w:t xml:space="preserve"> </w:t>
      </w:r>
      <w:r w:rsidRPr="006A6FBD">
        <w:rPr>
          <w:rFonts w:hint="cs"/>
          <w:color w:val="E36C0A" w:themeColor="accent6" w:themeShade="BF"/>
          <w:rtl/>
        </w:rPr>
        <w:t>(וכ"פ בשו"ע)</w:t>
      </w:r>
    </w:p>
    <w:p w14:paraId="17164A42" w14:textId="77777777" w:rsidR="00392DBB" w:rsidRPr="000D2B2B" w:rsidRDefault="00392DBB" w:rsidP="009000E3">
      <w:pPr>
        <w:pStyle w:val="ab"/>
        <w:numPr>
          <w:ilvl w:val="0"/>
          <w:numId w:val="61"/>
        </w:numPr>
        <w:rPr>
          <w:rtl/>
        </w:rPr>
      </w:pPr>
      <w:r>
        <w:rPr>
          <w:rFonts w:hint="cs"/>
          <w:rtl/>
        </w:rPr>
        <w:t>תוס'</w:t>
      </w:r>
      <w:r>
        <w:rPr>
          <w:rStyle w:val="a7"/>
          <w:rtl/>
        </w:rPr>
        <w:footnoteReference w:id="1856"/>
      </w:r>
      <w:r>
        <w:rPr>
          <w:rFonts w:hint="cs"/>
          <w:rtl/>
        </w:rPr>
        <w:t xml:space="preserve"> </w:t>
      </w:r>
      <w:r w:rsidRPr="000D2B2B">
        <w:rPr>
          <w:rFonts w:cs="Arial"/>
          <w:sz w:val="16"/>
          <w:szCs w:val="16"/>
          <w:rtl/>
        </w:rPr>
        <w:t>(</w:t>
      </w:r>
      <w:r w:rsidRPr="000D2B2B">
        <w:rPr>
          <w:rFonts w:cs="Arial" w:hint="cs"/>
          <w:sz w:val="16"/>
          <w:szCs w:val="16"/>
          <w:rtl/>
        </w:rPr>
        <w:t xml:space="preserve">פ' נערה שנתפתתה </w:t>
      </w:r>
      <w:r w:rsidRPr="000D2B2B">
        <w:rPr>
          <w:rFonts w:cs="Arial"/>
          <w:sz w:val="16"/>
          <w:szCs w:val="16"/>
          <w:rtl/>
        </w:rPr>
        <w:t>מט: ד"ה הוא</w:t>
      </w:r>
      <w:r w:rsidRPr="000D2B2B">
        <w:rPr>
          <w:rFonts w:hint="cs"/>
          <w:sz w:val="16"/>
          <w:szCs w:val="16"/>
          <w:rtl/>
        </w:rPr>
        <w:t>)</w:t>
      </w:r>
      <w:r w:rsidRPr="000D2B2B">
        <w:rPr>
          <w:rFonts w:cs="Arial" w:hint="cs"/>
          <w:rtl/>
        </w:rPr>
        <w:t xml:space="preserve"> </w:t>
      </w:r>
      <w:r>
        <w:rPr>
          <w:rFonts w:cs="Arial" w:hint="cs"/>
          <w:rtl/>
        </w:rPr>
        <w:t xml:space="preserve">ורי"ו </w:t>
      </w:r>
      <w:r w:rsidRPr="000D2B2B">
        <w:rPr>
          <w:rFonts w:cs="Arial" w:hint="cs"/>
          <w:sz w:val="16"/>
          <w:szCs w:val="16"/>
          <w:rtl/>
        </w:rPr>
        <w:t>(</w:t>
      </w:r>
      <w:r w:rsidRPr="000D2B2B">
        <w:rPr>
          <w:rFonts w:cs="Arial"/>
          <w:sz w:val="16"/>
          <w:szCs w:val="16"/>
          <w:rtl/>
        </w:rPr>
        <w:t>מישרים נכ"ג ח"י סג ע"ג</w:t>
      </w:r>
      <w:r w:rsidRPr="000D2B2B">
        <w:rPr>
          <w:rFonts w:cs="Arial" w:hint="cs"/>
          <w:sz w:val="16"/>
          <w:szCs w:val="16"/>
          <w:rtl/>
        </w:rPr>
        <w:t>, עיין בריב"ש סי' קד</w:t>
      </w:r>
      <w:r w:rsidRPr="000D2B2B">
        <w:rPr>
          <w:rFonts w:cs="Arial"/>
          <w:sz w:val="16"/>
          <w:szCs w:val="16"/>
          <w:rtl/>
        </w:rPr>
        <w:t>)</w:t>
      </w:r>
      <w:r>
        <w:rPr>
          <w:rFonts w:hint="cs"/>
          <w:rtl/>
        </w:rPr>
        <w:t>- אינה גובה מהם</w:t>
      </w:r>
      <w:r>
        <w:rPr>
          <w:rStyle w:val="a7"/>
          <w:rtl/>
        </w:rPr>
        <w:footnoteReference w:id="1857"/>
      </w:r>
      <w:r>
        <w:rPr>
          <w:rFonts w:hint="cs"/>
          <w:rtl/>
        </w:rPr>
        <w:t>.</w:t>
      </w:r>
    </w:p>
    <w:p w14:paraId="3BC1BE07" w14:textId="77777777" w:rsidR="00092CB2" w:rsidRDefault="00306455" w:rsidP="00306455">
      <w:pPr>
        <w:rPr>
          <w:u w:val="single"/>
          <w:rtl/>
        </w:rPr>
      </w:pPr>
      <w:bookmarkStart w:id="21" w:name="_Hlk135649331"/>
      <w:r w:rsidRPr="00306455">
        <w:rPr>
          <w:rFonts w:hint="cs"/>
          <w:u w:val="single"/>
          <w:rtl/>
        </w:rPr>
        <w:t>ל</w:t>
      </w:r>
      <w:r>
        <w:rPr>
          <w:rFonts w:hint="cs"/>
          <w:u w:val="single"/>
          <w:rtl/>
        </w:rPr>
        <w:t xml:space="preserve">אחר תקנת הגאונים </w:t>
      </w:r>
      <w:r w:rsidRPr="00306455">
        <w:rPr>
          <w:rFonts w:hint="cs"/>
          <w:u w:val="single"/>
          <w:rtl/>
        </w:rPr>
        <w:t xml:space="preserve">- האם אשה יכולה לגבות ממטלטלי </w:t>
      </w:r>
      <w:r w:rsidR="00092CB2">
        <w:rPr>
          <w:rFonts w:hint="cs"/>
          <w:u w:val="single"/>
          <w:rtl/>
        </w:rPr>
        <w:t>במקרים הבאים:</w:t>
      </w:r>
    </w:p>
    <w:p w14:paraId="127D98BA" w14:textId="1F80A596" w:rsidR="00306455" w:rsidRPr="00092CB2" w:rsidRDefault="00306455" w:rsidP="00092CB2">
      <w:pPr>
        <w:ind w:left="360"/>
        <w:rPr>
          <w:u w:val="dotted"/>
        </w:rPr>
      </w:pPr>
      <w:r w:rsidRPr="00092CB2">
        <w:rPr>
          <w:rFonts w:hint="cs"/>
          <w:u w:val="dotted"/>
          <w:rtl/>
        </w:rPr>
        <w:t>מכר</w:t>
      </w:r>
      <w:r w:rsidR="00092CB2">
        <w:rPr>
          <w:rFonts w:hint="cs"/>
          <w:u w:val="dotted"/>
          <w:rtl/>
        </w:rPr>
        <w:t>ם לאחר</w:t>
      </w:r>
      <w:r w:rsidRPr="00092CB2">
        <w:rPr>
          <w:rFonts w:hint="cs"/>
          <w:u w:val="dotted"/>
          <w:rtl/>
        </w:rPr>
        <w:t>:</w:t>
      </w:r>
    </w:p>
    <w:p w14:paraId="7758DF59" w14:textId="46B9D6BC" w:rsidR="00306455" w:rsidRDefault="00092CB2" w:rsidP="00306455">
      <w:pPr>
        <w:pStyle w:val="ab"/>
        <w:numPr>
          <w:ilvl w:val="0"/>
          <w:numId w:val="61"/>
        </w:numPr>
      </w:pPr>
      <w:r>
        <w:rPr>
          <w:rFonts w:cs="Arial" w:hint="cs"/>
          <w:rtl/>
        </w:rPr>
        <w:t xml:space="preserve">תוס' </w:t>
      </w:r>
      <w:r>
        <w:rPr>
          <w:rFonts w:cs="Arial" w:hint="cs"/>
          <w:sz w:val="16"/>
          <w:szCs w:val="16"/>
          <w:rtl/>
        </w:rPr>
        <w:t xml:space="preserve">(סז.) </w:t>
      </w:r>
      <w:r>
        <w:rPr>
          <w:rFonts w:cs="Arial" w:hint="cs"/>
          <w:rtl/>
        </w:rPr>
        <w:t xml:space="preserve">רא"ש </w:t>
      </w:r>
      <w:r>
        <w:rPr>
          <w:rFonts w:cs="Arial" w:hint="cs"/>
          <w:sz w:val="16"/>
          <w:szCs w:val="16"/>
          <w:rtl/>
        </w:rPr>
        <w:t>(</w:t>
      </w:r>
      <w:r w:rsidR="00780041">
        <w:rPr>
          <w:rFonts w:cs="Arial" w:hint="cs"/>
          <w:sz w:val="16"/>
          <w:szCs w:val="16"/>
          <w:rtl/>
        </w:rPr>
        <w:t xml:space="preserve">כתובות </w:t>
      </w:r>
      <w:r>
        <w:rPr>
          <w:rFonts w:cs="Arial" w:hint="cs"/>
          <w:sz w:val="16"/>
          <w:szCs w:val="16"/>
          <w:rtl/>
        </w:rPr>
        <w:t xml:space="preserve">פ"ו סי' ה) </w:t>
      </w:r>
      <w:r>
        <w:rPr>
          <w:rFonts w:cs="Arial" w:hint="cs"/>
          <w:rtl/>
        </w:rPr>
        <w:t>ו</w:t>
      </w:r>
      <w:r w:rsidR="00306455">
        <w:rPr>
          <w:rFonts w:cs="Arial" w:hint="cs"/>
          <w:rtl/>
        </w:rPr>
        <w:t xml:space="preserve">טור- </w:t>
      </w:r>
      <w:r w:rsidR="00306455" w:rsidRPr="003D2914">
        <w:rPr>
          <w:rFonts w:cs="Arial"/>
          <w:rtl/>
        </w:rPr>
        <w:t>ודוקא מטלטלי דבני חרי</w:t>
      </w:r>
      <w:r w:rsidR="00306455">
        <w:rPr>
          <w:rFonts w:cs="Arial" w:hint="cs"/>
          <w:rtl/>
        </w:rPr>
        <w:t>,</w:t>
      </w:r>
      <w:r w:rsidR="00306455" w:rsidRPr="003D2914">
        <w:rPr>
          <w:rFonts w:cs="Arial"/>
          <w:rtl/>
        </w:rPr>
        <w:t xml:space="preserve"> אבל מכרם הבעל</w:t>
      </w:r>
      <w:r>
        <w:rPr>
          <w:rFonts w:cs="Arial" w:hint="cs"/>
          <w:rtl/>
        </w:rPr>
        <w:t>...</w:t>
      </w:r>
      <w:r w:rsidR="00306455" w:rsidRPr="003D2914">
        <w:rPr>
          <w:rFonts w:cs="Arial"/>
          <w:rtl/>
        </w:rPr>
        <w:t xml:space="preserve"> </w:t>
      </w:r>
      <w:r w:rsidR="00306455">
        <w:rPr>
          <w:rFonts w:cs="Arial" w:hint="cs"/>
          <w:rtl/>
        </w:rPr>
        <w:t xml:space="preserve">- </w:t>
      </w:r>
      <w:r w:rsidR="00306455" w:rsidRPr="003D2914">
        <w:rPr>
          <w:rFonts w:cs="Arial"/>
          <w:rtl/>
        </w:rPr>
        <w:t>אינה גובה מהם</w:t>
      </w:r>
      <w:r>
        <w:rPr>
          <w:rFonts w:cs="Arial" w:hint="cs"/>
          <w:sz w:val="16"/>
          <w:szCs w:val="16"/>
          <w:rtl/>
        </w:rPr>
        <w:t xml:space="preserve"> (ל' הטור)</w:t>
      </w:r>
      <w:r w:rsidR="00306455">
        <w:rPr>
          <w:rFonts w:cs="Arial" w:hint="cs"/>
          <w:rtl/>
        </w:rPr>
        <w:t xml:space="preserve">. </w:t>
      </w:r>
      <w:r w:rsidR="00306455" w:rsidRPr="006A6FBD">
        <w:rPr>
          <w:rFonts w:hint="cs"/>
          <w:color w:val="E36C0A" w:themeColor="accent6" w:themeShade="BF"/>
          <w:rtl/>
        </w:rPr>
        <w:t>(וכ"פ בשו"ע)</w:t>
      </w:r>
    </w:p>
    <w:p w14:paraId="01CA713F" w14:textId="38CD8AB7" w:rsidR="00092CB2" w:rsidRPr="00092CB2" w:rsidRDefault="00092CB2" w:rsidP="00092CB2">
      <w:pPr>
        <w:ind w:left="360"/>
        <w:rPr>
          <w:u w:val="dotted"/>
        </w:rPr>
      </w:pPr>
      <w:r w:rsidRPr="00092CB2">
        <w:rPr>
          <w:rFonts w:hint="cs"/>
          <w:u w:val="dotted"/>
          <w:rtl/>
        </w:rPr>
        <w:t>נתנם במתנת בריא:</w:t>
      </w:r>
    </w:p>
    <w:p w14:paraId="725E6EEB" w14:textId="297A01A6" w:rsidR="00092CB2" w:rsidRDefault="00780041" w:rsidP="00092CB2">
      <w:pPr>
        <w:pStyle w:val="ab"/>
        <w:numPr>
          <w:ilvl w:val="0"/>
          <w:numId w:val="61"/>
        </w:numPr>
      </w:pPr>
      <w:r>
        <w:rPr>
          <w:rFonts w:cs="Arial" w:hint="cs"/>
          <w:rtl/>
        </w:rPr>
        <w:t>תוס'</w:t>
      </w:r>
      <w:r>
        <w:rPr>
          <w:rStyle w:val="a7"/>
          <w:rFonts w:cs="Arial"/>
          <w:rtl/>
        </w:rPr>
        <w:footnoteReference w:id="1858"/>
      </w:r>
      <w:r>
        <w:rPr>
          <w:rFonts w:cs="Arial" w:hint="cs"/>
          <w:rtl/>
        </w:rPr>
        <w:t xml:space="preserve"> </w:t>
      </w:r>
      <w:r w:rsidRPr="00780041">
        <w:rPr>
          <w:rFonts w:cs="Arial"/>
          <w:sz w:val="16"/>
          <w:szCs w:val="16"/>
          <w:rtl/>
        </w:rPr>
        <w:t>(</w:t>
      </w:r>
      <w:r>
        <w:rPr>
          <w:rFonts w:cs="Arial" w:hint="cs"/>
          <w:sz w:val="16"/>
          <w:szCs w:val="16"/>
          <w:rtl/>
        </w:rPr>
        <w:t xml:space="preserve">כתובות </w:t>
      </w:r>
      <w:r w:rsidRPr="00780041">
        <w:rPr>
          <w:rFonts w:cs="Arial"/>
          <w:sz w:val="16"/>
          <w:szCs w:val="16"/>
          <w:rtl/>
        </w:rPr>
        <w:t>מט: ד"ה הוא)</w:t>
      </w:r>
      <w:r>
        <w:rPr>
          <w:rFonts w:cs="Arial" w:hint="cs"/>
          <w:sz w:val="16"/>
          <w:szCs w:val="16"/>
          <w:rtl/>
        </w:rPr>
        <w:t xml:space="preserve"> </w:t>
      </w:r>
      <w:r>
        <w:rPr>
          <w:rFonts w:cs="Arial" w:hint="cs"/>
          <w:rtl/>
        </w:rPr>
        <w:t>רא"ש</w:t>
      </w:r>
      <w:r>
        <w:rPr>
          <w:rStyle w:val="a7"/>
          <w:rFonts w:cs="Arial"/>
          <w:rtl/>
        </w:rPr>
        <w:footnoteReference w:id="1859"/>
      </w:r>
      <w:r>
        <w:rPr>
          <w:rFonts w:cs="Arial" w:hint="cs"/>
          <w:rtl/>
        </w:rPr>
        <w:t xml:space="preserve"> </w:t>
      </w:r>
      <w:r>
        <w:rPr>
          <w:rFonts w:cs="Arial" w:hint="cs"/>
          <w:sz w:val="16"/>
          <w:szCs w:val="16"/>
          <w:rtl/>
        </w:rPr>
        <w:t xml:space="preserve">(קידושין פ"ג סי' יד) </w:t>
      </w:r>
      <w:r>
        <w:rPr>
          <w:rFonts w:cs="Arial" w:hint="cs"/>
          <w:rtl/>
        </w:rPr>
        <w:t>וטור</w:t>
      </w:r>
      <w:r w:rsidR="00092CB2">
        <w:rPr>
          <w:rFonts w:cs="Arial" w:hint="cs"/>
          <w:rtl/>
        </w:rPr>
        <w:t xml:space="preserve">- </w:t>
      </w:r>
      <w:r w:rsidR="00092CB2" w:rsidRPr="003D2914">
        <w:rPr>
          <w:rFonts w:cs="Arial"/>
          <w:rtl/>
        </w:rPr>
        <w:t>ודוקא מטלטלי דבני חרי</w:t>
      </w:r>
      <w:r w:rsidR="00092CB2">
        <w:rPr>
          <w:rFonts w:cs="Arial" w:hint="cs"/>
          <w:rtl/>
        </w:rPr>
        <w:t>,</w:t>
      </w:r>
      <w:r w:rsidR="00092CB2" w:rsidRPr="003D2914">
        <w:rPr>
          <w:rFonts w:cs="Arial"/>
          <w:rtl/>
        </w:rPr>
        <w:t xml:space="preserve"> אבל</w:t>
      </w:r>
      <w:r>
        <w:rPr>
          <w:rFonts w:cs="Arial" w:hint="cs"/>
          <w:rtl/>
        </w:rPr>
        <w:t>...</w:t>
      </w:r>
      <w:r w:rsidR="00092CB2" w:rsidRPr="003D2914">
        <w:rPr>
          <w:rFonts w:cs="Arial"/>
          <w:rtl/>
        </w:rPr>
        <w:t xml:space="preserve"> נתנם במתנת בריא </w:t>
      </w:r>
      <w:r w:rsidR="00092CB2">
        <w:rPr>
          <w:rFonts w:cs="Arial" w:hint="cs"/>
          <w:rtl/>
        </w:rPr>
        <w:t xml:space="preserve">- </w:t>
      </w:r>
      <w:r w:rsidR="00092CB2" w:rsidRPr="003D2914">
        <w:rPr>
          <w:rFonts w:cs="Arial"/>
          <w:rtl/>
        </w:rPr>
        <w:t>אינה גובה מהם</w:t>
      </w:r>
      <w:r w:rsidR="00092CB2">
        <w:rPr>
          <w:rStyle w:val="a7"/>
          <w:rFonts w:cs="Arial"/>
          <w:rtl/>
        </w:rPr>
        <w:footnoteReference w:id="1860"/>
      </w:r>
      <w:r>
        <w:rPr>
          <w:rFonts w:cs="Arial" w:hint="cs"/>
          <w:sz w:val="16"/>
          <w:szCs w:val="16"/>
          <w:rtl/>
        </w:rPr>
        <w:t xml:space="preserve"> (ל' הטור)</w:t>
      </w:r>
      <w:r w:rsidR="00092CB2">
        <w:rPr>
          <w:rFonts w:cs="Arial" w:hint="cs"/>
          <w:rtl/>
        </w:rPr>
        <w:t xml:space="preserve">. </w:t>
      </w:r>
      <w:r w:rsidR="00092CB2" w:rsidRPr="006A6FBD">
        <w:rPr>
          <w:rFonts w:hint="cs"/>
          <w:color w:val="E36C0A" w:themeColor="accent6" w:themeShade="BF"/>
          <w:rtl/>
        </w:rPr>
        <w:t>(וכ"פ בשו"ע)</w:t>
      </w:r>
    </w:p>
    <w:p w14:paraId="277D59FC" w14:textId="77777777" w:rsidR="00306455" w:rsidRDefault="00306455" w:rsidP="00306455">
      <w:pPr>
        <w:pStyle w:val="ab"/>
        <w:numPr>
          <w:ilvl w:val="0"/>
          <w:numId w:val="61"/>
        </w:numPr>
      </w:pPr>
      <w:r w:rsidRPr="00142EEF">
        <w:rPr>
          <w:rFonts w:cs="Arial"/>
          <w:rtl/>
        </w:rPr>
        <w:t>רבינו יצחק בר' ברוך</w:t>
      </w:r>
      <w:r>
        <w:rPr>
          <w:rFonts w:cs="Arial" w:hint="cs"/>
          <w:sz w:val="16"/>
          <w:szCs w:val="16"/>
          <w:rtl/>
        </w:rPr>
        <w:t xml:space="preserve"> (כ"כ בשמו המרדכי [כתובות סי' קסא])</w:t>
      </w:r>
      <w:r>
        <w:rPr>
          <w:rFonts w:cs="Arial" w:hint="cs"/>
          <w:rtl/>
        </w:rPr>
        <w:t>-</w:t>
      </w:r>
      <w:r w:rsidRPr="00142EEF">
        <w:rPr>
          <w:rFonts w:cs="Arial"/>
          <w:rtl/>
        </w:rPr>
        <w:t xml:space="preserve"> אפילו מתנת בריא לאיניש אחרינא לא מפקעא שיעבוד כתובה</w:t>
      </w:r>
      <w:r>
        <w:rPr>
          <w:rFonts w:cs="Arial" w:hint="cs"/>
          <w:rtl/>
        </w:rPr>
        <w:t>.</w:t>
      </w:r>
      <w:r w:rsidRPr="00142EEF">
        <w:rPr>
          <w:rFonts w:cs="Arial"/>
          <w:rtl/>
        </w:rPr>
        <w:t xml:space="preserve"> </w:t>
      </w:r>
    </w:p>
    <w:p w14:paraId="1BF50035" w14:textId="7968EF7C" w:rsidR="00306455" w:rsidRPr="00306455" w:rsidRDefault="00306455" w:rsidP="00306455">
      <w:pPr>
        <w:ind w:left="360"/>
        <w:rPr>
          <w:u w:val="dotted"/>
        </w:rPr>
      </w:pPr>
      <w:r w:rsidRPr="00306455">
        <w:rPr>
          <w:rFonts w:hint="cs"/>
          <w:u w:val="dotted"/>
          <w:rtl/>
        </w:rPr>
        <w:t>נתנם במתנת שכיב מרע</w:t>
      </w:r>
      <w:r>
        <w:rPr>
          <w:rFonts w:hint="cs"/>
          <w:sz w:val="16"/>
          <w:szCs w:val="16"/>
          <w:u w:val="dotted"/>
          <w:rtl/>
        </w:rPr>
        <w:t xml:space="preserve"> (דהוי מתנה מדרבנן)</w:t>
      </w:r>
      <w:r w:rsidRPr="00306455">
        <w:rPr>
          <w:rFonts w:hint="cs"/>
          <w:u w:val="dotted"/>
          <w:rtl/>
        </w:rPr>
        <w:t>:</w:t>
      </w:r>
    </w:p>
    <w:p w14:paraId="3EE69AA4" w14:textId="72AEFA0C" w:rsidR="00092CB2" w:rsidRDefault="00780041" w:rsidP="00092CB2">
      <w:pPr>
        <w:pStyle w:val="ab"/>
        <w:numPr>
          <w:ilvl w:val="0"/>
          <w:numId w:val="61"/>
        </w:numPr>
      </w:pPr>
      <w:r>
        <w:rPr>
          <w:rFonts w:cs="Arial" w:hint="cs"/>
          <w:rtl/>
        </w:rPr>
        <w:t xml:space="preserve">תוס' </w:t>
      </w:r>
      <w:r w:rsidRPr="00780041">
        <w:rPr>
          <w:rFonts w:cs="Arial"/>
          <w:sz w:val="16"/>
          <w:szCs w:val="16"/>
          <w:rtl/>
        </w:rPr>
        <w:t>(</w:t>
      </w:r>
      <w:r>
        <w:rPr>
          <w:rFonts w:cs="Arial" w:hint="cs"/>
          <w:sz w:val="16"/>
          <w:szCs w:val="16"/>
          <w:rtl/>
        </w:rPr>
        <w:t xml:space="preserve">כתובות </w:t>
      </w:r>
      <w:r w:rsidRPr="00780041">
        <w:rPr>
          <w:rFonts w:cs="Arial"/>
          <w:sz w:val="16"/>
          <w:szCs w:val="16"/>
          <w:rtl/>
        </w:rPr>
        <w:t>מט: ד"ה הוא)</w:t>
      </w:r>
      <w:r>
        <w:rPr>
          <w:rFonts w:cs="Arial" w:hint="cs"/>
          <w:sz w:val="16"/>
          <w:szCs w:val="16"/>
          <w:rtl/>
        </w:rPr>
        <w:t xml:space="preserve"> </w:t>
      </w:r>
      <w:r>
        <w:rPr>
          <w:rFonts w:cs="Arial" w:hint="cs"/>
          <w:rtl/>
        </w:rPr>
        <w:t xml:space="preserve">רא"ש </w:t>
      </w:r>
      <w:r>
        <w:rPr>
          <w:rFonts w:cs="Arial" w:hint="cs"/>
          <w:sz w:val="16"/>
          <w:szCs w:val="16"/>
          <w:rtl/>
        </w:rPr>
        <w:t xml:space="preserve">(קידושין פ"ג סי' יד) </w:t>
      </w:r>
      <w:r>
        <w:rPr>
          <w:rFonts w:cs="Arial" w:hint="cs"/>
          <w:rtl/>
        </w:rPr>
        <w:t>וטור</w:t>
      </w:r>
      <w:r w:rsidR="00B37B66">
        <w:rPr>
          <w:rFonts w:cs="Arial" w:hint="cs"/>
          <w:sz w:val="16"/>
          <w:szCs w:val="16"/>
          <w:rtl/>
        </w:rPr>
        <w:t xml:space="preserve"> (מסתימת דבריו)</w:t>
      </w:r>
      <w:r>
        <w:rPr>
          <w:rFonts w:cs="Arial" w:hint="cs"/>
          <w:rtl/>
        </w:rPr>
        <w:t>-</w:t>
      </w:r>
      <w:r w:rsidR="00092CB2">
        <w:rPr>
          <w:rFonts w:cs="Arial" w:hint="cs"/>
          <w:rtl/>
        </w:rPr>
        <w:t xml:space="preserve"> </w:t>
      </w:r>
      <w:r>
        <w:rPr>
          <w:rFonts w:cs="Arial"/>
          <w:rtl/>
        </w:rPr>
        <w:t>לפי מה שתקנו הגאונים דאשה גובה כתובה ומזונות ממטלטלי דיתמי</w:t>
      </w:r>
      <w:r>
        <w:rPr>
          <w:rFonts w:cs="Arial" w:hint="cs"/>
          <w:rtl/>
        </w:rPr>
        <w:t>,</w:t>
      </w:r>
      <w:r>
        <w:rPr>
          <w:rFonts w:cs="Arial"/>
          <w:rtl/>
        </w:rPr>
        <w:t xml:space="preserve"> אע</w:t>
      </w:r>
      <w:r>
        <w:rPr>
          <w:rFonts w:cs="Arial" w:hint="cs"/>
          <w:rtl/>
        </w:rPr>
        <w:t>"</w:t>
      </w:r>
      <w:r>
        <w:rPr>
          <w:rFonts w:cs="Arial"/>
          <w:rtl/>
        </w:rPr>
        <w:t>ג דירושה הויא דאורייתא</w:t>
      </w:r>
      <w:r>
        <w:rPr>
          <w:rFonts w:cs="Arial" w:hint="cs"/>
          <w:rtl/>
        </w:rPr>
        <w:t>,</w:t>
      </w:r>
      <w:r>
        <w:rPr>
          <w:rFonts w:cs="Arial"/>
          <w:rtl/>
        </w:rPr>
        <w:t xml:space="preserve"> כל שכן דגביא ממטלטלי דמתנת שכיב מרע דרבנן</w:t>
      </w:r>
      <w:r>
        <w:rPr>
          <w:rFonts w:cs="Arial" w:hint="cs"/>
          <w:rtl/>
        </w:rPr>
        <w:t>,</w:t>
      </w:r>
      <w:r>
        <w:rPr>
          <w:rFonts w:cs="Arial"/>
          <w:rtl/>
        </w:rPr>
        <w:t xml:space="preserve"> דכה</w:t>
      </w:r>
      <w:r>
        <w:rPr>
          <w:rFonts w:cs="Arial" w:hint="cs"/>
          <w:rtl/>
        </w:rPr>
        <w:t>"</w:t>
      </w:r>
      <w:r>
        <w:rPr>
          <w:rFonts w:cs="Arial"/>
          <w:rtl/>
        </w:rPr>
        <w:t>ג אמרינן בפרק יש נוחלין (קלג.)</w:t>
      </w:r>
      <w:r>
        <w:rPr>
          <w:rStyle w:val="a7"/>
          <w:rFonts w:cs="Arial"/>
          <w:rtl/>
        </w:rPr>
        <w:footnoteReference w:id="1861"/>
      </w:r>
      <w:r>
        <w:rPr>
          <w:rFonts w:cs="Arial" w:hint="cs"/>
          <w:rtl/>
        </w:rPr>
        <w:t>.</w:t>
      </w:r>
      <w:r w:rsidR="00B37B66" w:rsidRPr="00B37B66">
        <w:rPr>
          <w:rFonts w:hint="cs"/>
          <w:color w:val="E36C0A" w:themeColor="accent6" w:themeShade="BF"/>
          <w:rtl/>
        </w:rPr>
        <w:t xml:space="preserve"> </w:t>
      </w:r>
      <w:r w:rsidR="00B37B66" w:rsidRPr="006A6FBD">
        <w:rPr>
          <w:rFonts w:hint="cs"/>
          <w:color w:val="E36C0A" w:themeColor="accent6" w:themeShade="BF"/>
          <w:rtl/>
        </w:rPr>
        <w:t>(וכ"</w:t>
      </w:r>
      <w:r w:rsidR="00B37B66">
        <w:rPr>
          <w:rFonts w:hint="cs"/>
          <w:color w:val="E36C0A" w:themeColor="accent6" w:themeShade="BF"/>
          <w:rtl/>
        </w:rPr>
        <w:t>ס</w:t>
      </w:r>
      <w:r w:rsidR="00B37B66" w:rsidRPr="006A6FBD">
        <w:rPr>
          <w:rFonts w:hint="cs"/>
          <w:color w:val="E36C0A" w:themeColor="accent6" w:themeShade="BF"/>
          <w:rtl/>
        </w:rPr>
        <w:t xml:space="preserve"> בשו"ע)</w:t>
      </w:r>
    </w:p>
    <w:p w14:paraId="0EF1EDBE" w14:textId="77777777" w:rsidR="00306455" w:rsidRDefault="00306455" w:rsidP="00306455">
      <w:pPr>
        <w:pStyle w:val="ab"/>
        <w:numPr>
          <w:ilvl w:val="0"/>
          <w:numId w:val="61"/>
        </w:numPr>
      </w:pPr>
      <w:r>
        <w:rPr>
          <w:rFonts w:cs="Arial" w:hint="cs"/>
          <w:rtl/>
        </w:rPr>
        <w:t xml:space="preserve">רבנו גרשום </w:t>
      </w:r>
      <w:r>
        <w:rPr>
          <w:rFonts w:cs="Arial" w:hint="cs"/>
          <w:sz w:val="16"/>
          <w:szCs w:val="16"/>
          <w:rtl/>
        </w:rPr>
        <w:t>(כ"כ בשמו המרדכי [ב"ב סי' תקפט])</w:t>
      </w:r>
      <w:r>
        <w:rPr>
          <w:rFonts w:cs="Arial" w:hint="cs"/>
          <w:rtl/>
        </w:rPr>
        <w:t xml:space="preserve"> ו</w:t>
      </w:r>
      <w:r w:rsidRPr="00142EEF">
        <w:rPr>
          <w:rFonts w:cs="Arial"/>
          <w:rtl/>
        </w:rPr>
        <w:t xml:space="preserve">רבינו שמואל </w:t>
      </w:r>
      <w:r>
        <w:rPr>
          <w:rFonts w:cs="Arial" w:hint="cs"/>
          <w:sz w:val="16"/>
          <w:szCs w:val="16"/>
          <w:rtl/>
        </w:rPr>
        <w:t>(כ"כ בשמו המרדכי [כתובות סי' קסא])</w:t>
      </w:r>
      <w:r>
        <w:rPr>
          <w:rFonts w:cs="Arial" w:hint="cs"/>
          <w:rtl/>
        </w:rPr>
        <w:t>-</w:t>
      </w:r>
      <w:r w:rsidRPr="00142EEF">
        <w:rPr>
          <w:rFonts w:cs="Arial"/>
          <w:rtl/>
        </w:rPr>
        <w:t xml:space="preserve"> מתנת ש"מ לאיניש אחריני מפקיע שיעבוד הכתובה ומזוני כמו מתנת בריא</w:t>
      </w:r>
      <w:r>
        <w:rPr>
          <w:rStyle w:val="a7"/>
          <w:rtl/>
        </w:rPr>
        <w:footnoteReference w:id="1862"/>
      </w:r>
      <w:r>
        <w:rPr>
          <w:rFonts w:hint="cs"/>
          <w:sz w:val="16"/>
          <w:szCs w:val="16"/>
          <w:rtl/>
        </w:rPr>
        <w:t xml:space="preserve"> (ל' המרדכי בשם ר"ש)</w:t>
      </w:r>
      <w:r>
        <w:rPr>
          <w:rFonts w:hint="cs"/>
          <w:rtl/>
        </w:rPr>
        <w:t>.</w:t>
      </w:r>
    </w:p>
    <w:p w14:paraId="0EA9B5A5" w14:textId="0B2A4B21" w:rsidR="005E5840" w:rsidRPr="00780041" w:rsidRDefault="00780041" w:rsidP="00780041">
      <w:pPr>
        <w:ind w:left="360"/>
        <w:rPr>
          <w:rFonts w:cs="Arial"/>
        </w:rPr>
      </w:pPr>
      <w:r w:rsidRPr="00780041">
        <w:rPr>
          <w:rFonts w:cs="Arial" w:hint="cs"/>
          <w:u w:val="dotted"/>
          <w:rtl/>
        </w:rPr>
        <w:lastRenderedPageBreak/>
        <w:t>נתנם ב</w:t>
      </w:r>
      <w:r w:rsidR="005E5840" w:rsidRPr="00780041">
        <w:rPr>
          <w:rFonts w:cs="Arial"/>
          <w:u w:val="dotted"/>
          <w:rtl/>
        </w:rPr>
        <w:t>מתנ</w:t>
      </w:r>
      <w:r w:rsidRPr="00780041">
        <w:rPr>
          <w:rFonts w:cs="Arial" w:hint="cs"/>
          <w:u w:val="dotted"/>
          <w:rtl/>
        </w:rPr>
        <w:t>ת</w:t>
      </w:r>
      <w:r w:rsidR="005E5840" w:rsidRPr="00780041">
        <w:rPr>
          <w:rFonts w:cs="Arial"/>
          <w:u w:val="dotted"/>
          <w:rtl/>
        </w:rPr>
        <w:t xml:space="preserve"> </w:t>
      </w:r>
      <w:r w:rsidRPr="00780041">
        <w:rPr>
          <w:rFonts w:cs="Arial" w:hint="cs"/>
          <w:u w:val="dotted"/>
          <w:rtl/>
        </w:rPr>
        <w:t xml:space="preserve">בריא </w:t>
      </w:r>
      <w:r w:rsidR="005E5840" w:rsidRPr="00780041">
        <w:rPr>
          <w:rFonts w:cs="Arial"/>
          <w:u w:val="dotted"/>
          <w:rtl/>
        </w:rPr>
        <w:t>לבנו הראוי ליורשו</w:t>
      </w:r>
      <w:r w:rsidRPr="00780041">
        <w:rPr>
          <w:rFonts w:cs="Arial" w:hint="cs"/>
          <w:u w:val="dotted"/>
          <w:rtl/>
        </w:rPr>
        <w:t>:</w:t>
      </w:r>
      <w:r w:rsidRPr="00780041">
        <w:rPr>
          <w:rFonts w:cs="Arial" w:hint="cs"/>
          <w:sz w:val="16"/>
          <w:szCs w:val="16"/>
          <w:rtl/>
        </w:rPr>
        <w:t xml:space="preserve"> </w:t>
      </w:r>
      <w:r w:rsidR="005E5840" w:rsidRPr="00780041">
        <w:rPr>
          <w:rFonts w:cs="Arial"/>
          <w:sz w:val="16"/>
          <w:szCs w:val="16"/>
          <w:rtl/>
        </w:rPr>
        <w:t>(</w:t>
      </w:r>
      <w:r w:rsidR="005E5840" w:rsidRPr="00780041">
        <w:rPr>
          <w:rFonts w:cs="Arial" w:hint="cs"/>
          <w:sz w:val="16"/>
          <w:szCs w:val="16"/>
          <w:rtl/>
        </w:rPr>
        <w:t xml:space="preserve">דרכ"מ אות </w:t>
      </w:r>
      <w:r w:rsidR="005E5840" w:rsidRPr="00780041">
        <w:rPr>
          <w:rFonts w:cs="Arial"/>
          <w:sz w:val="16"/>
          <w:szCs w:val="16"/>
          <w:rtl/>
        </w:rPr>
        <w:t>יא)</w:t>
      </w:r>
      <w:r w:rsidR="005E5840" w:rsidRPr="00780041">
        <w:rPr>
          <w:rFonts w:cs="Arial"/>
          <w:rtl/>
        </w:rPr>
        <w:t xml:space="preserve"> </w:t>
      </w:r>
    </w:p>
    <w:p w14:paraId="1FAA34A3" w14:textId="77777777" w:rsidR="005E5840" w:rsidRDefault="005E5840" w:rsidP="005E5840">
      <w:pPr>
        <w:pStyle w:val="ab"/>
        <w:numPr>
          <w:ilvl w:val="0"/>
          <w:numId w:val="61"/>
        </w:numPr>
        <w:rPr>
          <w:rFonts w:cs="Arial"/>
        </w:rPr>
      </w:pPr>
      <w:r>
        <w:rPr>
          <w:rFonts w:cs="Arial" w:hint="cs"/>
          <w:rtl/>
        </w:rPr>
        <w:t>מ</w:t>
      </w:r>
      <w:r w:rsidRPr="00F02E86">
        <w:rPr>
          <w:rFonts w:cs="Arial"/>
          <w:rtl/>
        </w:rPr>
        <w:t xml:space="preserve">הר"ם </w:t>
      </w:r>
      <w:r w:rsidRPr="00707E37">
        <w:rPr>
          <w:rFonts w:cs="Arial"/>
          <w:sz w:val="16"/>
          <w:szCs w:val="16"/>
          <w:rtl/>
        </w:rPr>
        <w:t>(עי' שו"ת ד"ק סי' קצב, ד"ב סי' מ</w:t>
      </w:r>
      <w:r w:rsidRPr="00707E37">
        <w:rPr>
          <w:rFonts w:cs="Arial" w:hint="cs"/>
          <w:sz w:val="16"/>
          <w:szCs w:val="16"/>
          <w:rtl/>
        </w:rPr>
        <w:t>, כ"כ בשמו המרדכי [</w:t>
      </w:r>
      <w:r>
        <w:rPr>
          <w:rFonts w:cs="Arial" w:hint="cs"/>
          <w:sz w:val="16"/>
          <w:szCs w:val="16"/>
          <w:rtl/>
        </w:rPr>
        <w:t xml:space="preserve">פ' נערה </w:t>
      </w:r>
      <w:r w:rsidRPr="00707E37">
        <w:rPr>
          <w:rFonts w:cs="Arial" w:hint="cs"/>
          <w:sz w:val="16"/>
          <w:szCs w:val="16"/>
          <w:rtl/>
        </w:rPr>
        <w:t>סי' קסא]</w:t>
      </w:r>
      <w:r w:rsidRPr="00707E37">
        <w:rPr>
          <w:rFonts w:cs="Arial"/>
          <w:sz w:val="16"/>
          <w:szCs w:val="16"/>
          <w:rtl/>
        </w:rPr>
        <w:t>)</w:t>
      </w:r>
      <w:r>
        <w:rPr>
          <w:rFonts w:cs="Arial" w:hint="cs"/>
          <w:rtl/>
        </w:rPr>
        <w:t>-</w:t>
      </w:r>
      <w:r w:rsidRPr="00F02E86">
        <w:rPr>
          <w:rFonts w:cs="Arial"/>
          <w:rtl/>
        </w:rPr>
        <w:t xml:space="preserve"> הנותן מתנה לבנו הראוי ליורשו במתנת בריא </w:t>
      </w:r>
      <w:r>
        <w:rPr>
          <w:rFonts w:cs="Arial" w:hint="cs"/>
          <w:rtl/>
        </w:rPr>
        <w:t xml:space="preserve">- </w:t>
      </w:r>
      <w:r w:rsidRPr="00F02E86">
        <w:rPr>
          <w:rFonts w:cs="Arial"/>
          <w:rtl/>
        </w:rPr>
        <w:t>לא הוי מתנה להפקיע מידי כתובה</w:t>
      </w:r>
      <w:r>
        <w:rPr>
          <w:rFonts w:cs="Arial" w:hint="cs"/>
          <w:rtl/>
        </w:rPr>
        <w:t>,</w:t>
      </w:r>
      <w:r w:rsidRPr="00F02E86">
        <w:rPr>
          <w:rFonts w:cs="Arial"/>
          <w:rtl/>
        </w:rPr>
        <w:t xml:space="preserve"> דכל מתנה שאדם נותן ליורשיו הוי כמו ירושה בעלמא</w:t>
      </w:r>
      <w:r>
        <w:rPr>
          <w:rStyle w:val="a7"/>
          <w:rFonts w:cs="Arial"/>
          <w:rtl/>
        </w:rPr>
        <w:footnoteReference w:id="1863"/>
      </w:r>
      <w:r>
        <w:rPr>
          <w:rFonts w:cs="Arial" w:hint="cs"/>
          <w:rtl/>
        </w:rPr>
        <w:t>.</w:t>
      </w:r>
      <w:r w:rsidRPr="00F02E86">
        <w:rPr>
          <w:rFonts w:cs="Arial"/>
          <w:rtl/>
        </w:rPr>
        <w:t xml:space="preserve"> </w:t>
      </w:r>
      <w:r w:rsidRPr="0020731C">
        <w:rPr>
          <w:rFonts w:hint="cs"/>
          <w:color w:val="00B0F0"/>
          <w:rtl/>
        </w:rPr>
        <w:t>(וכ"</w:t>
      </w:r>
      <w:r>
        <w:rPr>
          <w:rFonts w:hint="cs"/>
          <w:color w:val="00B0F0"/>
          <w:rtl/>
        </w:rPr>
        <w:t>כ</w:t>
      </w:r>
      <w:r w:rsidRPr="0020731C">
        <w:rPr>
          <w:rFonts w:hint="cs"/>
          <w:color w:val="00B0F0"/>
          <w:rtl/>
        </w:rPr>
        <w:t xml:space="preserve"> הרמ"א)</w:t>
      </w:r>
    </w:p>
    <w:p w14:paraId="2EE2C54A" w14:textId="3425E297" w:rsidR="000304DD" w:rsidRPr="008775E3" w:rsidRDefault="000304DD" w:rsidP="000304DD">
      <w:pPr>
        <w:ind w:left="360"/>
        <w:rPr>
          <w:rFonts w:cs="Arial"/>
          <w:u w:val="single"/>
        </w:rPr>
      </w:pPr>
      <w:r w:rsidRPr="000304DD">
        <w:rPr>
          <w:rFonts w:cs="Arial"/>
          <w:u w:val="dotted"/>
          <w:rtl/>
        </w:rPr>
        <w:t>כתב לבתו מהיום ולאחר מיתה כחלק א' מבניו הזכרים</w:t>
      </w:r>
      <w:r w:rsidRPr="000304DD">
        <w:rPr>
          <w:rFonts w:cs="Arial" w:hint="cs"/>
          <w:u w:val="dotted"/>
          <w:rtl/>
        </w:rPr>
        <w:t>:</w:t>
      </w:r>
      <w:r>
        <w:rPr>
          <w:rFonts w:cs="Arial" w:hint="cs"/>
          <w:sz w:val="16"/>
          <w:szCs w:val="16"/>
          <w:rtl/>
        </w:rPr>
        <w:t xml:space="preserve"> </w:t>
      </w:r>
      <w:r w:rsidRPr="00707E37">
        <w:rPr>
          <w:rFonts w:cs="Arial"/>
          <w:sz w:val="16"/>
          <w:szCs w:val="16"/>
          <w:rtl/>
        </w:rPr>
        <w:t>(</w:t>
      </w:r>
      <w:r w:rsidRPr="00707E37">
        <w:rPr>
          <w:rFonts w:cs="Arial" w:hint="cs"/>
          <w:sz w:val="16"/>
          <w:szCs w:val="16"/>
          <w:rtl/>
        </w:rPr>
        <w:t xml:space="preserve">דרכ"מ אות </w:t>
      </w:r>
      <w:r w:rsidRPr="00707E37">
        <w:rPr>
          <w:rFonts w:cs="Arial"/>
          <w:sz w:val="16"/>
          <w:szCs w:val="16"/>
          <w:rtl/>
        </w:rPr>
        <w:t>יא)</w:t>
      </w:r>
    </w:p>
    <w:p w14:paraId="4CB76F97" w14:textId="77777777" w:rsidR="000304DD" w:rsidRDefault="000304DD" w:rsidP="000304DD">
      <w:pPr>
        <w:pStyle w:val="ab"/>
        <w:numPr>
          <w:ilvl w:val="0"/>
          <w:numId w:val="61"/>
        </w:numPr>
        <w:rPr>
          <w:rFonts w:cs="Arial"/>
        </w:rPr>
      </w:pPr>
      <w:r w:rsidRPr="00F02E86">
        <w:rPr>
          <w:rFonts w:cs="Arial"/>
          <w:rtl/>
        </w:rPr>
        <w:t>מהר"ם</w:t>
      </w:r>
      <w:r w:rsidRPr="00BD70A0">
        <w:rPr>
          <w:rFonts w:cs="Arial"/>
          <w:sz w:val="16"/>
          <w:szCs w:val="16"/>
          <w:rtl/>
        </w:rPr>
        <w:t xml:space="preserve"> (שו"ת ד"פ סי' רמד</w:t>
      </w:r>
      <w:r w:rsidRPr="00BD70A0">
        <w:rPr>
          <w:rFonts w:cs="Arial" w:hint="cs"/>
          <w:sz w:val="16"/>
          <w:szCs w:val="16"/>
          <w:rtl/>
        </w:rPr>
        <w:t>, כ"כ המרדכי בשמו [פ' יש נוחלין סי' תקפד])</w:t>
      </w:r>
      <w:r>
        <w:rPr>
          <w:rFonts w:cs="Arial" w:hint="cs"/>
          <w:rtl/>
        </w:rPr>
        <w:t>-</w:t>
      </w:r>
      <w:r w:rsidRPr="00F02E86">
        <w:rPr>
          <w:rFonts w:cs="Arial"/>
          <w:rtl/>
        </w:rPr>
        <w:t xml:space="preserve"> הכותב לבתו מהיום ולאחר מיתה כחלק א' מבניו הזכרים </w:t>
      </w:r>
      <w:r>
        <w:rPr>
          <w:rFonts w:cs="Arial" w:hint="cs"/>
          <w:rtl/>
        </w:rPr>
        <w:t>- ה</w:t>
      </w:r>
      <w:r w:rsidRPr="00F02E86">
        <w:rPr>
          <w:rFonts w:cs="Arial"/>
          <w:rtl/>
        </w:rPr>
        <w:t xml:space="preserve">אשה גובה </w:t>
      </w:r>
      <w:r>
        <w:rPr>
          <w:rFonts w:cs="Arial" w:hint="cs"/>
          <w:rtl/>
        </w:rPr>
        <w:t xml:space="preserve">גם </w:t>
      </w:r>
      <w:r w:rsidRPr="00F02E86">
        <w:rPr>
          <w:rFonts w:cs="Arial"/>
          <w:rtl/>
        </w:rPr>
        <w:t>מזה כתובתה ואע</w:t>
      </w:r>
      <w:r>
        <w:rPr>
          <w:rFonts w:cs="Arial" w:hint="cs"/>
          <w:rtl/>
        </w:rPr>
        <w:t>"</w:t>
      </w:r>
      <w:r w:rsidRPr="00F02E86">
        <w:rPr>
          <w:rFonts w:cs="Arial"/>
          <w:rtl/>
        </w:rPr>
        <w:t>ג דהוי מתנת בריא</w:t>
      </w:r>
      <w:r>
        <w:rPr>
          <w:rFonts w:cs="Arial" w:hint="cs"/>
          <w:rtl/>
        </w:rPr>
        <w:t>,</w:t>
      </w:r>
      <w:r w:rsidRPr="00F02E86">
        <w:rPr>
          <w:rFonts w:cs="Arial"/>
          <w:rtl/>
        </w:rPr>
        <w:t xml:space="preserve"> דלעולם לא יטול מקבל מתנה זו יותר מן היורשין</w:t>
      </w:r>
      <w:r>
        <w:rPr>
          <w:rStyle w:val="a7"/>
          <w:rFonts w:cs="Arial"/>
          <w:rtl/>
        </w:rPr>
        <w:footnoteReference w:id="1864"/>
      </w:r>
      <w:r>
        <w:rPr>
          <w:rFonts w:cs="Arial" w:hint="cs"/>
          <w:rtl/>
        </w:rPr>
        <w:t>.</w:t>
      </w:r>
    </w:p>
    <w:p w14:paraId="5FB225CF" w14:textId="77777777" w:rsidR="005E5840" w:rsidRPr="00BD70A0" w:rsidRDefault="005E5840" w:rsidP="005E5840">
      <w:pPr>
        <w:rPr>
          <w:rFonts w:cs="Arial"/>
          <w:u w:val="single"/>
        </w:rPr>
      </w:pPr>
      <w:r w:rsidRPr="00BD70A0">
        <w:rPr>
          <w:rFonts w:cs="Arial" w:hint="cs"/>
          <w:u w:val="single"/>
          <w:rtl/>
        </w:rPr>
        <w:t>מי</w:t>
      </w:r>
      <w:r w:rsidRPr="00BD70A0">
        <w:rPr>
          <w:rFonts w:cs="Arial"/>
          <w:u w:val="single"/>
          <w:rtl/>
        </w:rPr>
        <w:t xml:space="preserve"> </w:t>
      </w:r>
      <w:r>
        <w:rPr>
          <w:rFonts w:cs="Arial" w:hint="cs"/>
          <w:u w:val="single"/>
          <w:rtl/>
        </w:rPr>
        <w:t xml:space="preserve">שנתן </w:t>
      </w:r>
      <w:r w:rsidRPr="00BD70A0">
        <w:rPr>
          <w:rFonts w:cs="Arial"/>
          <w:u w:val="single"/>
          <w:rtl/>
        </w:rPr>
        <w:t xml:space="preserve">מעות לחבירו </w:t>
      </w:r>
      <w:r>
        <w:rPr>
          <w:rFonts w:cs="Arial" w:hint="cs"/>
          <w:u w:val="single"/>
          <w:rtl/>
        </w:rPr>
        <w:t>ו</w:t>
      </w:r>
      <w:r w:rsidRPr="00BD70A0">
        <w:rPr>
          <w:rFonts w:cs="Arial"/>
          <w:u w:val="single"/>
          <w:rtl/>
        </w:rPr>
        <w:t xml:space="preserve">א"ל </w:t>
      </w:r>
      <w:r w:rsidRPr="00BD70A0">
        <w:rPr>
          <w:rFonts w:cs="Arial" w:hint="cs"/>
          <w:u w:val="single"/>
          <w:rtl/>
        </w:rPr>
        <w:t>'</w:t>
      </w:r>
      <w:r w:rsidRPr="00BD70A0">
        <w:rPr>
          <w:rFonts w:cs="Arial"/>
          <w:u w:val="single"/>
          <w:rtl/>
        </w:rPr>
        <w:t>אל תתנם לבני עד שישא אשה</w:t>
      </w:r>
      <w:r w:rsidRPr="00BD70A0">
        <w:rPr>
          <w:rFonts w:cs="Arial" w:hint="cs"/>
          <w:u w:val="single"/>
          <w:rtl/>
        </w:rPr>
        <w:t>',</w:t>
      </w:r>
      <w:r w:rsidRPr="00BD70A0">
        <w:rPr>
          <w:rFonts w:cs="Arial"/>
          <w:u w:val="single"/>
          <w:rtl/>
        </w:rPr>
        <w:t xml:space="preserve"> ומת </w:t>
      </w:r>
      <w:r>
        <w:rPr>
          <w:rFonts w:cs="Arial"/>
          <w:u w:val="single"/>
          <w:rtl/>
        </w:rPr>
        <w:t>-</w:t>
      </w:r>
      <w:r w:rsidRPr="00BD70A0">
        <w:rPr>
          <w:rFonts w:cs="Arial" w:hint="cs"/>
          <w:u w:val="single"/>
          <w:rtl/>
        </w:rPr>
        <w:t xml:space="preserve"> האם </w:t>
      </w:r>
      <w:r w:rsidRPr="00BD70A0">
        <w:rPr>
          <w:rFonts w:cs="Arial"/>
          <w:u w:val="single"/>
          <w:rtl/>
        </w:rPr>
        <w:t>האשה גובה כתובתה מהן</w:t>
      </w:r>
      <w:r w:rsidRPr="00BD70A0">
        <w:rPr>
          <w:rFonts w:cs="Arial" w:hint="cs"/>
          <w:u w:val="single"/>
          <w:rtl/>
        </w:rPr>
        <w:t>:</w:t>
      </w:r>
      <w:r w:rsidRPr="00707E37">
        <w:rPr>
          <w:rFonts w:cs="Arial"/>
          <w:sz w:val="16"/>
          <w:szCs w:val="16"/>
          <w:rtl/>
        </w:rPr>
        <w:t xml:space="preserve"> </w:t>
      </w:r>
      <w:r>
        <w:rPr>
          <w:rFonts w:cs="Arial" w:hint="cs"/>
          <w:sz w:val="16"/>
          <w:szCs w:val="16"/>
          <w:rtl/>
        </w:rPr>
        <w:t xml:space="preserve"> </w:t>
      </w:r>
      <w:r w:rsidRPr="00707E37">
        <w:rPr>
          <w:rFonts w:cs="Arial"/>
          <w:sz w:val="16"/>
          <w:szCs w:val="16"/>
          <w:rtl/>
        </w:rPr>
        <w:t>(</w:t>
      </w:r>
      <w:r w:rsidRPr="00707E37">
        <w:rPr>
          <w:rFonts w:cs="Arial" w:hint="cs"/>
          <w:sz w:val="16"/>
          <w:szCs w:val="16"/>
          <w:rtl/>
        </w:rPr>
        <w:t xml:space="preserve">דרכ"מ אות </w:t>
      </w:r>
      <w:r w:rsidRPr="00707E37">
        <w:rPr>
          <w:rFonts w:cs="Arial"/>
          <w:sz w:val="16"/>
          <w:szCs w:val="16"/>
          <w:rtl/>
        </w:rPr>
        <w:t>יא)</w:t>
      </w:r>
    </w:p>
    <w:p w14:paraId="506152CF" w14:textId="3A57F73B" w:rsidR="005E5840" w:rsidRDefault="005E5840" w:rsidP="005E5840">
      <w:pPr>
        <w:pStyle w:val="ab"/>
        <w:numPr>
          <w:ilvl w:val="0"/>
          <w:numId w:val="61"/>
        </w:numPr>
        <w:rPr>
          <w:rFonts w:cs="Arial"/>
        </w:rPr>
      </w:pPr>
      <w:r w:rsidRPr="00F02E86">
        <w:rPr>
          <w:rFonts w:cs="Arial"/>
          <w:rtl/>
        </w:rPr>
        <w:t xml:space="preserve">מהר"ם </w:t>
      </w:r>
      <w:r w:rsidRPr="00BD70A0">
        <w:rPr>
          <w:rFonts w:cs="Arial"/>
          <w:sz w:val="16"/>
          <w:szCs w:val="16"/>
          <w:rtl/>
        </w:rPr>
        <w:t>(ד"פ סי' תתקסו</w:t>
      </w:r>
      <w:r w:rsidRPr="00707E37">
        <w:rPr>
          <w:rFonts w:cs="Arial" w:hint="cs"/>
          <w:sz w:val="16"/>
          <w:szCs w:val="16"/>
          <w:rtl/>
        </w:rPr>
        <w:t>, כ"כ בשמו המרדכי [</w:t>
      </w:r>
      <w:r>
        <w:rPr>
          <w:rFonts w:cs="Arial" w:hint="cs"/>
          <w:sz w:val="16"/>
          <w:szCs w:val="16"/>
          <w:rtl/>
        </w:rPr>
        <w:t xml:space="preserve">פ' מי שמת </w:t>
      </w:r>
      <w:r w:rsidRPr="00707E37">
        <w:rPr>
          <w:rFonts w:cs="Arial" w:hint="cs"/>
          <w:sz w:val="16"/>
          <w:szCs w:val="16"/>
          <w:rtl/>
        </w:rPr>
        <w:t xml:space="preserve">סי' </w:t>
      </w:r>
      <w:r>
        <w:rPr>
          <w:rFonts w:cs="Arial" w:hint="cs"/>
          <w:sz w:val="16"/>
          <w:szCs w:val="16"/>
          <w:rtl/>
        </w:rPr>
        <w:t>תרכט</w:t>
      </w:r>
      <w:r w:rsidRPr="00707E37">
        <w:rPr>
          <w:rFonts w:cs="Arial" w:hint="cs"/>
          <w:sz w:val="16"/>
          <w:szCs w:val="16"/>
          <w:rtl/>
        </w:rPr>
        <w:t>]</w:t>
      </w:r>
      <w:r w:rsidRPr="00BD70A0">
        <w:rPr>
          <w:rFonts w:cs="Arial"/>
          <w:sz w:val="16"/>
          <w:szCs w:val="16"/>
          <w:rtl/>
        </w:rPr>
        <w:t>)</w:t>
      </w:r>
      <w:r>
        <w:rPr>
          <w:rFonts w:cs="Arial" w:hint="cs"/>
          <w:rtl/>
        </w:rPr>
        <w:t>-</w:t>
      </w:r>
      <w:r w:rsidRPr="00F02E86">
        <w:rPr>
          <w:rFonts w:cs="Arial"/>
          <w:rtl/>
        </w:rPr>
        <w:t xml:space="preserve"> אחד שנתן מעות לחבירו כשהיה בריא וא"ל אל תתנם לבני עד שישא אשה</w:t>
      </w:r>
      <w:r w:rsidR="000304DD">
        <w:rPr>
          <w:rFonts w:cs="Arial" w:hint="cs"/>
          <w:rtl/>
        </w:rPr>
        <w:t>,</w:t>
      </w:r>
      <w:r w:rsidRPr="00F02E86">
        <w:rPr>
          <w:rFonts w:cs="Arial"/>
          <w:rtl/>
        </w:rPr>
        <w:t xml:space="preserve"> ומת </w:t>
      </w:r>
      <w:r>
        <w:rPr>
          <w:rFonts w:cs="Arial" w:hint="cs"/>
          <w:rtl/>
        </w:rPr>
        <w:t xml:space="preserve">- </w:t>
      </w:r>
      <w:r w:rsidRPr="00F02E86">
        <w:rPr>
          <w:rFonts w:cs="Arial"/>
          <w:rtl/>
        </w:rPr>
        <w:t>האשה גובה כתובתה מהן</w:t>
      </w:r>
      <w:r>
        <w:rPr>
          <w:rFonts w:cs="Arial" w:hint="cs"/>
          <w:rtl/>
        </w:rPr>
        <w:t>,</w:t>
      </w:r>
      <w:r w:rsidRPr="00F02E86">
        <w:rPr>
          <w:rFonts w:cs="Arial"/>
          <w:rtl/>
        </w:rPr>
        <w:t xml:space="preserve"> דכיון דלא זיכה לו בחייו אלא לכשישא אשה ובההיא שעתא כבר מת ראובן אי אפשר לזכות בנכסים אלא מכח מצוה לקיים דברי המת</w:t>
      </w:r>
      <w:r>
        <w:rPr>
          <w:rFonts w:cs="Arial" w:hint="cs"/>
          <w:rtl/>
        </w:rPr>
        <w:t>.</w:t>
      </w:r>
      <w:r w:rsidRPr="00F02E86">
        <w:rPr>
          <w:rFonts w:cs="Arial"/>
          <w:rtl/>
        </w:rPr>
        <w:t xml:space="preserve"> וכל מתנה שאדם רוצה לזכות בה מכח מצוה לקיים דברי המת או מכח מתנת שכיב מרע או מצוה מחמת מיתה </w:t>
      </w:r>
      <w:r w:rsidR="000304DD">
        <w:rPr>
          <w:rFonts w:cs="Arial" w:hint="cs"/>
          <w:rtl/>
        </w:rPr>
        <w:t xml:space="preserve">- </w:t>
      </w:r>
      <w:r w:rsidRPr="00F02E86">
        <w:rPr>
          <w:rFonts w:cs="Arial"/>
          <w:rtl/>
        </w:rPr>
        <w:t>אשה גובה כתובתה מהן</w:t>
      </w:r>
      <w:r>
        <w:rPr>
          <w:rStyle w:val="a7"/>
          <w:rFonts w:cs="Arial"/>
          <w:rtl/>
        </w:rPr>
        <w:footnoteReference w:id="1865"/>
      </w:r>
      <w:r>
        <w:rPr>
          <w:rFonts w:cs="Arial" w:hint="cs"/>
          <w:rtl/>
        </w:rPr>
        <w:t>.</w:t>
      </w:r>
      <w:r w:rsidRPr="00F02E86">
        <w:rPr>
          <w:rFonts w:cs="Arial"/>
          <w:rtl/>
        </w:rPr>
        <w:t xml:space="preserve"> </w:t>
      </w:r>
      <w:r w:rsidRPr="0020731C">
        <w:rPr>
          <w:rFonts w:hint="cs"/>
          <w:color w:val="00B0F0"/>
          <w:rtl/>
        </w:rPr>
        <w:t>(וכ"</w:t>
      </w:r>
      <w:r w:rsidR="00B37B66">
        <w:rPr>
          <w:rFonts w:hint="cs"/>
          <w:color w:val="00B0F0"/>
          <w:rtl/>
        </w:rPr>
        <w:t>פ</w:t>
      </w:r>
      <w:r w:rsidRPr="0020731C">
        <w:rPr>
          <w:rFonts w:hint="cs"/>
          <w:color w:val="00B0F0"/>
          <w:rtl/>
        </w:rPr>
        <w:t xml:space="preserve"> הרמ"א)</w:t>
      </w:r>
    </w:p>
    <w:p w14:paraId="58E1334C" w14:textId="77777777" w:rsidR="005E5840" w:rsidRPr="005C2B22" w:rsidRDefault="005E5840" w:rsidP="005E5840">
      <w:pPr>
        <w:rPr>
          <w:rFonts w:cs="Arial"/>
          <w:u w:val="single"/>
        </w:rPr>
      </w:pPr>
      <w:r w:rsidRPr="005C2B22">
        <w:rPr>
          <w:rFonts w:cs="Arial" w:hint="cs"/>
          <w:u w:val="single"/>
          <w:rtl/>
        </w:rPr>
        <w:t xml:space="preserve">ראובן ציוה לחברו לפני מותו שיתן סך כסף לפלוני, ומת ראובן </w:t>
      </w:r>
      <w:r>
        <w:rPr>
          <w:rFonts w:cs="Arial"/>
          <w:u w:val="single"/>
          <w:rtl/>
        </w:rPr>
        <w:t>-</w:t>
      </w:r>
      <w:r w:rsidRPr="005C2B22">
        <w:rPr>
          <w:rFonts w:cs="Arial" w:hint="cs"/>
          <w:u w:val="single"/>
          <w:rtl/>
        </w:rPr>
        <w:t xml:space="preserve"> ואשת ראובן רוצה לגבות מזה כתובתה:</w:t>
      </w:r>
      <w:r>
        <w:rPr>
          <w:rFonts w:cs="Arial" w:hint="cs"/>
          <w:sz w:val="16"/>
          <w:szCs w:val="16"/>
          <w:rtl/>
        </w:rPr>
        <w:t xml:space="preserve"> </w:t>
      </w:r>
      <w:r w:rsidRPr="00707E37">
        <w:rPr>
          <w:rFonts w:cs="Arial"/>
          <w:sz w:val="16"/>
          <w:szCs w:val="16"/>
          <w:rtl/>
        </w:rPr>
        <w:t>(</w:t>
      </w:r>
      <w:r w:rsidRPr="00707E37">
        <w:rPr>
          <w:rFonts w:cs="Arial" w:hint="cs"/>
          <w:sz w:val="16"/>
          <w:szCs w:val="16"/>
          <w:rtl/>
        </w:rPr>
        <w:t xml:space="preserve">דרכ"מ אות </w:t>
      </w:r>
      <w:r w:rsidRPr="00707E37">
        <w:rPr>
          <w:rFonts w:cs="Arial"/>
          <w:sz w:val="16"/>
          <w:szCs w:val="16"/>
          <w:rtl/>
        </w:rPr>
        <w:t>יא)</w:t>
      </w:r>
    </w:p>
    <w:p w14:paraId="5279CD84" w14:textId="77777777" w:rsidR="005E5840" w:rsidRPr="005C2B22" w:rsidRDefault="005E5840" w:rsidP="005E5840">
      <w:pPr>
        <w:pStyle w:val="ab"/>
        <w:numPr>
          <w:ilvl w:val="0"/>
          <w:numId w:val="61"/>
        </w:numPr>
        <w:rPr>
          <w:rFonts w:cs="Arial"/>
          <w:rtl/>
        </w:rPr>
      </w:pPr>
      <w:r w:rsidRPr="00F02E86">
        <w:rPr>
          <w:rFonts w:cs="Arial"/>
          <w:rtl/>
        </w:rPr>
        <w:t xml:space="preserve">מרדכי </w:t>
      </w:r>
      <w:r w:rsidRPr="008775E3">
        <w:rPr>
          <w:rFonts w:cs="Arial" w:hint="cs"/>
          <w:sz w:val="16"/>
          <w:szCs w:val="16"/>
          <w:rtl/>
        </w:rPr>
        <w:t>(</w:t>
      </w:r>
      <w:r w:rsidRPr="008775E3">
        <w:rPr>
          <w:rFonts w:cs="Arial"/>
          <w:sz w:val="16"/>
          <w:szCs w:val="16"/>
          <w:rtl/>
        </w:rPr>
        <w:t>פ</w:t>
      </w:r>
      <w:r w:rsidRPr="008775E3">
        <w:rPr>
          <w:rFonts w:cs="Arial" w:hint="cs"/>
          <w:sz w:val="16"/>
          <w:szCs w:val="16"/>
          <w:rtl/>
        </w:rPr>
        <w:t>'</w:t>
      </w:r>
      <w:r w:rsidRPr="008775E3">
        <w:rPr>
          <w:rFonts w:cs="Arial"/>
          <w:sz w:val="16"/>
          <w:szCs w:val="16"/>
          <w:rtl/>
        </w:rPr>
        <w:t xml:space="preserve"> יש נוחלין סי' תקפט)</w:t>
      </w:r>
      <w:r>
        <w:rPr>
          <w:rFonts w:cs="Arial" w:hint="cs"/>
          <w:rtl/>
        </w:rPr>
        <w:t xml:space="preserve">- </w:t>
      </w:r>
      <w:r w:rsidRPr="00F02E86">
        <w:rPr>
          <w:rFonts w:cs="Arial"/>
          <w:rtl/>
        </w:rPr>
        <w:t>ראובן ושמעון שהיה להן שותפות ביחד</w:t>
      </w:r>
      <w:r>
        <w:rPr>
          <w:rFonts w:cs="Arial" w:hint="cs"/>
          <w:rtl/>
        </w:rPr>
        <w:t>,</w:t>
      </w:r>
      <w:r w:rsidRPr="00F02E86">
        <w:rPr>
          <w:rFonts w:cs="Arial"/>
          <w:rtl/>
        </w:rPr>
        <w:t xml:space="preserve"> והלכו למדינת הים</w:t>
      </w:r>
      <w:r>
        <w:rPr>
          <w:rFonts w:cs="Arial" w:hint="cs"/>
          <w:rtl/>
        </w:rPr>
        <w:t>.</w:t>
      </w:r>
      <w:r w:rsidRPr="00F02E86">
        <w:rPr>
          <w:rFonts w:cs="Arial"/>
          <w:rtl/>
        </w:rPr>
        <w:t xml:space="preserve"> וחלה ראובן ונטה למות</w:t>
      </w:r>
      <w:r>
        <w:rPr>
          <w:rFonts w:cs="Arial" w:hint="cs"/>
          <w:rtl/>
        </w:rPr>
        <w:t>.</w:t>
      </w:r>
      <w:r w:rsidRPr="00F02E86">
        <w:rPr>
          <w:rFonts w:cs="Arial"/>
          <w:rtl/>
        </w:rPr>
        <w:t xml:space="preserve"> וצוה לשמעון ליתן לפלוני מנכסיו כך וכך</w:t>
      </w:r>
      <w:r>
        <w:rPr>
          <w:rFonts w:cs="Arial" w:hint="cs"/>
          <w:rtl/>
        </w:rPr>
        <w:t>,</w:t>
      </w:r>
      <w:r w:rsidRPr="00F02E86">
        <w:rPr>
          <w:rFonts w:cs="Arial"/>
          <w:rtl/>
        </w:rPr>
        <w:t xml:space="preserve"> ונפטר ראובן</w:t>
      </w:r>
      <w:r>
        <w:rPr>
          <w:rFonts w:cs="Arial" w:hint="cs"/>
          <w:rtl/>
        </w:rPr>
        <w:t>,</w:t>
      </w:r>
      <w:r w:rsidRPr="00F02E86">
        <w:rPr>
          <w:rFonts w:cs="Arial"/>
          <w:rtl/>
        </w:rPr>
        <w:t xml:space="preserve"> ושמעון שב למקומו</w:t>
      </w:r>
      <w:r>
        <w:rPr>
          <w:rFonts w:cs="Arial" w:hint="cs"/>
          <w:rtl/>
        </w:rPr>
        <w:t>.</w:t>
      </w:r>
      <w:r w:rsidRPr="00F02E86">
        <w:rPr>
          <w:rFonts w:cs="Arial"/>
          <w:rtl/>
        </w:rPr>
        <w:t xml:space="preserve"> ובבואו הושיב דיינים וסיפר לפניהם הדבר</w:t>
      </w:r>
      <w:r>
        <w:rPr>
          <w:rFonts w:cs="Arial" w:hint="cs"/>
          <w:rtl/>
        </w:rPr>
        <w:t>,</w:t>
      </w:r>
      <w:r w:rsidRPr="00F02E86">
        <w:rPr>
          <w:rFonts w:cs="Arial"/>
          <w:rtl/>
        </w:rPr>
        <w:t xml:space="preserve"> ואח</w:t>
      </w:r>
      <w:r>
        <w:rPr>
          <w:rFonts w:cs="Arial" w:hint="cs"/>
          <w:rtl/>
        </w:rPr>
        <w:t>"</w:t>
      </w:r>
      <w:r w:rsidRPr="00F02E86">
        <w:rPr>
          <w:rFonts w:cs="Arial"/>
          <w:rtl/>
        </w:rPr>
        <w:t>כ תובעת אלמנת ראובן הכתובה מנכסים אלו</w:t>
      </w:r>
      <w:r>
        <w:rPr>
          <w:rFonts w:cs="Arial" w:hint="cs"/>
          <w:rtl/>
        </w:rPr>
        <w:t xml:space="preserve"> -</w:t>
      </w:r>
      <w:r w:rsidRPr="00F02E86">
        <w:rPr>
          <w:rFonts w:cs="Arial"/>
          <w:rtl/>
        </w:rPr>
        <w:t xml:space="preserve"> המקבל זכה במתנה כיון שהנכסים היו ביד שמעון הוי כאילו המשיכן וזכה בהן למקבל</w:t>
      </w:r>
      <w:r>
        <w:rPr>
          <w:rFonts w:cs="Arial" w:hint="cs"/>
          <w:rtl/>
        </w:rPr>
        <w:t>.</w:t>
      </w:r>
      <w:r w:rsidRPr="00F02E86">
        <w:rPr>
          <w:rFonts w:cs="Arial"/>
          <w:rtl/>
        </w:rPr>
        <w:t xml:space="preserve"> ושמעון זה נאמן בדבריו הואיל וסיפר הדבר בעוד שהיה הממון בידו וכו'</w:t>
      </w:r>
      <w:r w:rsidRPr="008775E3">
        <w:rPr>
          <w:rFonts w:cs="Arial"/>
          <w:rtl/>
        </w:rPr>
        <w:t xml:space="preserve"> </w:t>
      </w:r>
      <w:r>
        <w:rPr>
          <w:rFonts w:cs="Arial" w:hint="cs"/>
          <w:sz w:val="16"/>
          <w:szCs w:val="16"/>
          <w:rtl/>
        </w:rPr>
        <w:t>(</w:t>
      </w:r>
      <w:r w:rsidRPr="008775E3">
        <w:rPr>
          <w:rFonts w:cs="Arial"/>
          <w:sz w:val="16"/>
          <w:szCs w:val="16"/>
          <w:rtl/>
        </w:rPr>
        <w:t>ועיין לקמן סימן קי"ח מדין גביית הכתובה</w:t>
      </w:r>
      <w:r w:rsidRPr="008775E3">
        <w:rPr>
          <w:rFonts w:cs="Arial" w:hint="cs"/>
          <w:sz w:val="16"/>
          <w:szCs w:val="16"/>
          <w:rtl/>
        </w:rPr>
        <w:t>)</w:t>
      </w:r>
      <w:r w:rsidRPr="00F02E86">
        <w:rPr>
          <w:rFonts w:cs="Arial"/>
          <w:rtl/>
        </w:rPr>
        <w:t xml:space="preserve">. </w:t>
      </w:r>
    </w:p>
    <w:p w14:paraId="4D2B8391" w14:textId="77777777" w:rsidR="00392DBB" w:rsidRPr="00FD6149" w:rsidRDefault="00392DBB" w:rsidP="00392DBB">
      <w:pPr>
        <w:rPr>
          <w:u w:val="single"/>
        </w:rPr>
      </w:pPr>
      <w:r w:rsidRPr="00FD6149">
        <w:rPr>
          <w:rFonts w:hint="cs"/>
          <w:u w:val="single"/>
          <w:rtl/>
        </w:rPr>
        <w:t>מנהג לכתוב בכתובות 'מקרקעי ומטלטלי'</w:t>
      </w:r>
      <w:r>
        <w:rPr>
          <w:rFonts w:hint="cs"/>
          <w:u w:val="single"/>
          <w:rtl/>
        </w:rPr>
        <w:t>:</w:t>
      </w:r>
    </w:p>
    <w:p w14:paraId="1963375B" w14:textId="4BCAEC11" w:rsidR="00392DBB" w:rsidRDefault="00392DBB" w:rsidP="009000E3">
      <w:pPr>
        <w:pStyle w:val="ab"/>
        <w:numPr>
          <w:ilvl w:val="0"/>
          <w:numId w:val="61"/>
        </w:numPr>
      </w:pPr>
      <w:r w:rsidRPr="00383A73">
        <w:rPr>
          <w:rFonts w:cs="Arial"/>
          <w:rtl/>
        </w:rPr>
        <w:t>רמב"ם</w:t>
      </w:r>
      <w:r>
        <w:rPr>
          <w:rFonts w:cs="Arial" w:hint="cs"/>
          <w:sz w:val="16"/>
          <w:szCs w:val="16"/>
          <w:rtl/>
        </w:rPr>
        <w:t xml:space="preserve"> (פט"ז מאישות ה"ח</w:t>
      </w:r>
      <w:r w:rsidR="00C24BC5">
        <w:rPr>
          <w:rFonts w:cs="Arial" w:hint="cs"/>
          <w:sz w:val="16"/>
          <w:szCs w:val="16"/>
          <w:rtl/>
        </w:rPr>
        <w:t>, והעתיק הטור דבריו</w:t>
      </w:r>
      <w:r>
        <w:rPr>
          <w:rFonts w:cs="Arial" w:hint="cs"/>
          <w:sz w:val="16"/>
          <w:szCs w:val="16"/>
          <w:rtl/>
        </w:rPr>
        <w:t>)</w:t>
      </w:r>
      <w:r w:rsidR="00C24BC5">
        <w:rPr>
          <w:rFonts w:cs="Arial" w:hint="cs"/>
          <w:rtl/>
        </w:rPr>
        <w:t>-</w:t>
      </w:r>
      <w:r w:rsidR="00C24BC5" w:rsidRPr="00C24BC5">
        <w:rPr>
          <w:rtl/>
        </w:rPr>
        <w:t xml:space="preserve"> </w:t>
      </w:r>
      <w:r w:rsidR="00C24BC5" w:rsidRPr="00C24BC5">
        <w:rPr>
          <w:rFonts w:cs="Arial"/>
          <w:rtl/>
        </w:rPr>
        <w:t>כבר נהגו בכל המקומות שידענו וששמענו שמען שיכתבו בכתובה בין מקרקעי בין מטלטלי</w:t>
      </w:r>
      <w:r w:rsidR="00C24BC5">
        <w:rPr>
          <w:rStyle w:val="a7"/>
          <w:rFonts w:cs="Arial"/>
          <w:rtl/>
        </w:rPr>
        <w:footnoteReference w:id="1866"/>
      </w:r>
      <w:r w:rsidR="00C24BC5" w:rsidRPr="00C24BC5">
        <w:rPr>
          <w:rFonts w:cs="Arial"/>
          <w:rtl/>
        </w:rPr>
        <w:t xml:space="preserve">, ודבר זה תיקון גדול הוא ואנשים גדולים ונבונים הנהיגו דבר זה שהרי זה תנאי שבממון ונמצאת האלמנה גובה מן המטלטלין בתנאי זה לא בתקנת אחרונים. </w:t>
      </w:r>
      <w:r w:rsidRPr="006A6FBD">
        <w:rPr>
          <w:rFonts w:hint="cs"/>
          <w:color w:val="E36C0A" w:themeColor="accent6" w:themeShade="BF"/>
          <w:rtl/>
        </w:rPr>
        <w:t>(וכ"פ בשו"ע)</w:t>
      </w:r>
    </w:p>
    <w:p w14:paraId="0E4F6432" w14:textId="77777777" w:rsidR="00392DBB" w:rsidRPr="00FD6149" w:rsidRDefault="00392DBB" w:rsidP="00392DBB">
      <w:pPr>
        <w:ind w:left="360"/>
        <w:rPr>
          <w:u w:val="dotted"/>
        </w:rPr>
      </w:pPr>
      <w:r w:rsidRPr="00FD6149">
        <w:rPr>
          <w:rFonts w:hint="cs"/>
          <w:u w:val="dotted"/>
          <w:rtl/>
        </w:rPr>
        <w:t>ומה הדין אם לא כתב בכתובה כן:</w:t>
      </w:r>
    </w:p>
    <w:p w14:paraId="0FF031C1" w14:textId="332FAA61" w:rsidR="00EF7D95" w:rsidRPr="00E43BAA" w:rsidRDefault="00C24BC5" w:rsidP="009000E3">
      <w:pPr>
        <w:pStyle w:val="ab"/>
        <w:numPr>
          <w:ilvl w:val="0"/>
          <w:numId w:val="61"/>
        </w:numPr>
      </w:pPr>
      <w:r w:rsidRPr="00383A73">
        <w:rPr>
          <w:rFonts w:cs="Arial"/>
          <w:rtl/>
        </w:rPr>
        <w:t>רמב"ם</w:t>
      </w:r>
      <w:r>
        <w:rPr>
          <w:rFonts w:cs="Arial" w:hint="cs"/>
          <w:sz w:val="16"/>
          <w:szCs w:val="16"/>
          <w:rtl/>
        </w:rPr>
        <w:t xml:space="preserve"> (פט"ז מאישות ה"ט, והעתיק הטור דבריו)</w:t>
      </w:r>
      <w:r>
        <w:rPr>
          <w:rFonts w:cs="Arial" w:hint="cs"/>
          <w:rtl/>
        </w:rPr>
        <w:t xml:space="preserve">- </w:t>
      </w:r>
      <w:r w:rsidR="00EF7D95" w:rsidRPr="00EF7D95">
        <w:rPr>
          <w:rFonts w:cs="Arial"/>
          <w:rtl/>
        </w:rPr>
        <w:t>הרי שלא כתב כך בשטר הכתובה</w:t>
      </w:r>
      <w:r>
        <w:rPr>
          <w:rStyle w:val="a7"/>
          <w:rFonts w:cs="Arial"/>
          <w:rtl/>
        </w:rPr>
        <w:footnoteReference w:id="1867"/>
      </w:r>
      <w:r w:rsidR="00EF7D95" w:rsidRPr="00EF7D95">
        <w:rPr>
          <w:rFonts w:cs="Arial"/>
          <w:rtl/>
        </w:rPr>
        <w:t xml:space="preserve"> אלא נשא סתם, אם היה יודע בתקנה זו של גאונים </w:t>
      </w:r>
      <w:r w:rsidR="00EF7D95">
        <w:rPr>
          <w:rFonts w:cs="Arial" w:hint="cs"/>
          <w:rtl/>
        </w:rPr>
        <w:t xml:space="preserve">- </w:t>
      </w:r>
      <w:r w:rsidR="00EF7D95" w:rsidRPr="00EF7D95">
        <w:rPr>
          <w:rFonts w:cs="Arial"/>
          <w:rtl/>
        </w:rPr>
        <w:t>גובה</w:t>
      </w:r>
      <w:r w:rsidR="00EF7D95">
        <w:rPr>
          <w:rFonts w:cs="Arial" w:hint="cs"/>
          <w:rtl/>
        </w:rPr>
        <w:t>.</w:t>
      </w:r>
      <w:r w:rsidR="00EF7D95" w:rsidRPr="00EF7D95">
        <w:rPr>
          <w:rFonts w:cs="Arial"/>
          <w:rtl/>
        </w:rPr>
        <w:t xml:space="preserve"> ואם לאו</w:t>
      </w:r>
      <w:r w:rsidR="00EF7D95">
        <w:rPr>
          <w:rFonts w:cs="Arial" w:hint="cs"/>
          <w:rtl/>
        </w:rPr>
        <w:t>,</w:t>
      </w:r>
      <w:r w:rsidR="00EF7D95" w:rsidRPr="00EF7D95">
        <w:rPr>
          <w:rFonts w:cs="Arial"/>
          <w:rtl/>
        </w:rPr>
        <w:t xml:space="preserve"> או שנסתפק לנו הדבר</w:t>
      </w:r>
      <w:r w:rsidR="00EF7D95">
        <w:rPr>
          <w:rFonts w:cs="Arial" w:hint="cs"/>
          <w:rtl/>
        </w:rPr>
        <w:t>,</w:t>
      </w:r>
      <w:r w:rsidR="00EF7D95" w:rsidRPr="00EF7D95">
        <w:rPr>
          <w:rFonts w:cs="Arial"/>
          <w:rtl/>
        </w:rPr>
        <w:t xml:space="preserve"> מתישבין בדבר זה הרבה, שאין כח בתקנת </w:t>
      </w:r>
      <w:r w:rsidR="00EF7D95" w:rsidRPr="00EF7D95">
        <w:rPr>
          <w:rFonts w:cs="Arial"/>
          <w:rtl/>
        </w:rPr>
        <w:lastRenderedPageBreak/>
        <w:t>הגאונים לדון בה אע</w:t>
      </w:r>
      <w:r w:rsidR="00EF7D95">
        <w:rPr>
          <w:rFonts w:cs="Arial" w:hint="cs"/>
          <w:rtl/>
        </w:rPr>
        <w:t>"</w:t>
      </w:r>
      <w:r w:rsidR="00EF7D95" w:rsidRPr="00EF7D95">
        <w:rPr>
          <w:rFonts w:cs="Arial"/>
          <w:rtl/>
        </w:rPr>
        <w:t>פ שלא נתפרשה כדין תנאי כתובה שהם תקנת הסנהדרין הגדולה עד שנוציא בה ממון מן היורשים</w:t>
      </w:r>
      <w:r>
        <w:rPr>
          <w:rStyle w:val="a7"/>
          <w:rFonts w:cs="Arial"/>
          <w:rtl/>
        </w:rPr>
        <w:footnoteReference w:id="1868"/>
      </w:r>
      <w:r w:rsidR="00EF7D95" w:rsidRPr="00EF7D95">
        <w:rPr>
          <w:rFonts w:cs="Arial"/>
          <w:rtl/>
        </w:rPr>
        <w:t>.</w:t>
      </w:r>
    </w:p>
    <w:bookmarkEnd w:id="21"/>
    <w:p w14:paraId="6601B537" w14:textId="382A335D" w:rsidR="00392DBB" w:rsidRDefault="00392DBB" w:rsidP="00392DBB">
      <w:r w:rsidRPr="009B73CF">
        <w:rPr>
          <w:rFonts w:cs="Arial" w:hint="cs"/>
          <w:b/>
          <w:bCs/>
          <w:rtl/>
        </w:rPr>
        <w:t xml:space="preserve">כתובות </w:t>
      </w:r>
      <w:r>
        <w:rPr>
          <w:rFonts w:cs="Arial" w:hint="cs"/>
          <w:b/>
          <w:bCs/>
          <w:sz w:val="16"/>
          <w:szCs w:val="16"/>
          <w:rtl/>
        </w:rPr>
        <w:t xml:space="preserve">(פ' מציאת האשה) </w:t>
      </w:r>
      <w:r>
        <w:rPr>
          <w:rFonts w:cs="Arial" w:hint="cs"/>
          <w:b/>
          <w:bCs/>
          <w:rtl/>
        </w:rPr>
        <w:t>סז</w:t>
      </w:r>
      <w:r w:rsidRPr="009B73CF">
        <w:rPr>
          <w:rFonts w:cs="Arial" w:hint="cs"/>
          <w:b/>
          <w:bCs/>
          <w:rtl/>
        </w:rPr>
        <w:t xml:space="preserve"> ע"א: </w:t>
      </w:r>
      <w:r w:rsidRPr="00D75497">
        <w:rPr>
          <w:rFonts w:cs="Arial"/>
          <w:u w:val="single"/>
          <w:rtl/>
        </w:rPr>
        <w:t>אמר רבי שמואל בר נחמני אמר רבי יוחנ</w:t>
      </w:r>
      <w:r w:rsidRPr="00D75497">
        <w:rPr>
          <w:rFonts w:cs="Arial"/>
          <w:rtl/>
        </w:rPr>
        <w:t>ן: גמלים של ערביא, אשה גובה פרנא</w:t>
      </w:r>
      <w:r w:rsidR="00DD6900">
        <w:rPr>
          <w:rStyle w:val="a7"/>
          <w:rFonts w:cs="Arial"/>
          <w:rtl/>
        </w:rPr>
        <w:footnoteReference w:id="1869"/>
      </w:r>
      <w:r w:rsidRPr="00D75497">
        <w:rPr>
          <w:rFonts w:cs="Arial"/>
          <w:rtl/>
        </w:rPr>
        <w:t xml:space="preserve"> מהם. </w:t>
      </w:r>
      <w:r w:rsidRPr="00D75497">
        <w:rPr>
          <w:rFonts w:cs="Arial"/>
          <w:u w:val="single"/>
          <w:rtl/>
        </w:rPr>
        <w:t>אמר רב פפי</w:t>
      </w:r>
      <w:r w:rsidRPr="00D75497">
        <w:rPr>
          <w:rFonts w:cs="Arial"/>
          <w:rtl/>
        </w:rPr>
        <w:t>: הני תותבי דבי מכסי</w:t>
      </w:r>
      <w:r w:rsidR="00DD6900">
        <w:rPr>
          <w:rStyle w:val="a7"/>
          <w:rFonts w:cs="Arial"/>
          <w:rtl/>
        </w:rPr>
        <w:footnoteReference w:id="1870"/>
      </w:r>
      <w:r w:rsidRPr="00D75497">
        <w:rPr>
          <w:rFonts w:cs="Arial"/>
          <w:rtl/>
        </w:rPr>
        <w:t xml:space="preserve">, אשה גובה פרנא מהם. </w:t>
      </w:r>
      <w:r w:rsidRPr="00D75497">
        <w:rPr>
          <w:rFonts w:cs="Arial"/>
          <w:u w:val="single"/>
          <w:rtl/>
        </w:rPr>
        <w:t>ואמר רב פפי</w:t>
      </w:r>
      <w:r w:rsidRPr="00D75497">
        <w:rPr>
          <w:rFonts w:cs="Arial"/>
          <w:rtl/>
        </w:rPr>
        <w:t>: הני שקי דרודיא ואשלי</w:t>
      </w:r>
      <w:r w:rsidR="00DD6900">
        <w:rPr>
          <w:rStyle w:val="a7"/>
          <w:rFonts w:cs="Arial"/>
          <w:rtl/>
        </w:rPr>
        <w:footnoteReference w:id="1871"/>
      </w:r>
      <w:r w:rsidRPr="00D75497">
        <w:rPr>
          <w:rFonts w:cs="Arial"/>
          <w:rtl/>
        </w:rPr>
        <w:t xml:space="preserve"> דקמחוניא, אשה גובה פרנא מהן. </w:t>
      </w:r>
      <w:r w:rsidRPr="00D75497">
        <w:rPr>
          <w:rFonts w:cs="Arial"/>
          <w:u w:val="single"/>
          <w:rtl/>
        </w:rPr>
        <w:t>אמר רבא</w:t>
      </w:r>
      <w:r>
        <w:rPr>
          <w:rFonts w:cs="Arial" w:hint="cs"/>
          <w:rtl/>
        </w:rPr>
        <w:t>:</w:t>
      </w:r>
      <w:r w:rsidRPr="00D75497">
        <w:rPr>
          <w:rFonts w:cs="Arial"/>
          <w:rtl/>
        </w:rPr>
        <w:t xml:space="preserve"> מריש הוה אמינא הני ארנקי דמחוזא</w:t>
      </w:r>
      <w:r w:rsidR="00DD6900">
        <w:rPr>
          <w:rStyle w:val="a7"/>
          <w:rFonts w:cs="Arial"/>
          <w:rtl/>
        </w:rPr>
        <w:footnoteReference w:id="1872"/>
      </w:r>
      <w:r w:rsidRPr="00D75497">
        <w:rPr>
          <w:rFonts w:cs="Arial"/>
          <w:rtl/>
        </w:rPr>
        <w:t>, אשה גובה פרנא מהם</w:t>
      </w:r>
      <w:r w:rsidR="00DD6900">
        <w:rPr>
          <w:rStyle w:val="a7"/>
          <w:rFonts w:cs="Arial"/>
          <w:rtl/>
        </w:rPr>
        <w:footnoteReference w:id="1873"/>
      </w:r>
      <w:r w:rsidRPr="00D75497">
        <w:rPr>
          <w:rFonts w:cs="Arial"/>
          <w:rtl/>
        </w:rPr>
        <w:t>, מאי טעמא? אסמכתייהו עלייהו</w:t>
      </w:r>
      <w:r w:rsidR="00DD6900">
        <w:rPr>
          <w:rStyle w:val="a7"/>
          <w:rFonts w:cs="Arial"/>
          <w:rtl/>
        </w:rPr>
        <w:footnoteReference w:id="1874"/>
      </w:r>
      <w:r w:rsidRPr="00D75497">
        <w:rPr>
          <w:rFonts w:cs="Arial"/>
          <w:rtl/>
        </w:rPr>
        <w:t>, כיון דחזאי דשקלי</w:t>
      </w:r>
      <w:r w:rsidR="00DD6900">
        <w:rPr>
          <w:rStyle w:val="a7"/>
          <w:rFonts w:cs="Arial"/>
          <w:rtl/>
        </w:rPr>
        <w:footnoteReference w:id="1875"/>
      </w:r>
      <w:r w:rsidRPr="00D75497">
        <w:rPr>
          <w:rFonts w:cs="Arial"/>
          <w:rtl/>
        </w:rPr>
        <w:t xml:space="preserve"> להו ונפקי, וכי משכחי ארעא זבני בהו, אמינא: אסמכתייהו אארעא הוא</w:t>
      </w:r>
      <w:r w:rsidR="00DD6900">
        <w:rPr>
          <w:rStyle w:val="a7"/>
          <w:rFonts w:cs="Arial"/>
          <w:rtl/>
        </w:rPr>
        <w:footnoteReference w:id="1876"/>
      </w:r>
      <w:r w:rsidRPr="00D75497">
        <w:rPr>
          <w:rFonts w:cs="Arial"/>
          <w:rtl/>
        </w:rPr>
        <w:t>.</w:t>
      </w:r>
    </w:p>
    <w:p w14:paraId="6A91DDC3" w14:textId="5927EBB6" w:rsidR="00392DBB" w:rsidRPr="00D75497" w:rsidRDefault="00392DBB" w:rsidP="00392DBB">
      <w:pPr>
        <w:rPr>
          <w:u w:val="single"/>
        </w:rPr>
      </w:pPr>
      <w:r w:rsidRPr="00D75497">
        <w:rPr>
          <w:rFonts w:cs="Arial" w:hint="cs"/>
          <w:u w:val="single"/>
          <w:rtl/>
        </w:rPr>
        <w:t xml:space="preserve">מקום שרוב עסקיהם במטלטלין </w:t>
      </w:r>
      <w:r w:rsidR="00F97626">
        <w:rPr>
          <w:rFonts w:cs="Arial"/>
          <w:u w:val="single"/>
          <w:rtl/>
        </w:rPr>
        <w:t>-</w:t>
      </w:r>
      <w:r w:rsidRPr="00D75497">
        <w:rPr>
          <w:rFonts w:cs="Arial" w:hint="cs"/>
          <w:u w:val="single"/>
          <w:rtl/>
        </w:rPr>
        <w:t xml:space="preserve"> האם חזרו המטלטלין להיות כקרקע: </w:t>
      </w:r>
    </w:p>
    <w:p w14:paraId="78F5796C" w14:textId="6132BEE5" w:rsidR="00392DBB" w:rsidRDefault="00392DBB" w:rsidP="009000E3">
      <w:pPr>
        <w:pStyle w:val="ab"/>
        <w:numPr>
          <w:ilvl w:val="0"/>
          <w:numId w:val="61"/>
        </w:numPr>
        <w:rPr>
          <w:rFonts w:cs="Arial"/>
        </w:rPr>
      </w:pPr>
      <w:r w:rsidRPr="003D2914">
        <w:rPr>
          <w:rFonts w:cs="Arial"/>
          <w:rtl/>
        </w:rPr>
        <w:t xml:space="preserve">רשב"א </w:t>
      </w:r>
      <w:r w:rsidRPr="0026143F">
        <w:rPr>
          <w:rFonts w:cs="Arial"/>
          <w:sz w:val="16"/>
          <w:szCs w:val="16"/>
          <w:rtl/>
        </w:rPr>
        <w:t>(סז. ד"ה אמר)</w:t>
      </w:r>
      <w:r w:rsidRPr="00D75497">
        <w:rPr>
          <w:rFonts w:cs="Arial"/>
          <w:rtl/>
        </w:rPr>
        <w:t xml:space="preserve"> </w:t>
      </w:r>
      <w:r>
        <w:rPr>
          <w:rFonts w:cs="Arial" w:hint="cs"/>
          <w:rtl/>
        </w:rPr>
        <w:t>ו</w:t>
      </w:r>
      <w:r w:rsidRPr="003D2914">
        <w:rPr>
          <w:rFonts w:cs="Arial"/>
          <w:rtl/>
        </w:rPr>
        <w:t xml:space="preserve">ר"ן </w:t>
      </w:r>
      <w:r w:rsidRPr="0026143F">
        <w:rPr>
          <w:rFonts w:cs="Arial" w:hint="cs"/>
          <w:sz w:val="16"/>
          <w:szCs w:val="16"/>
          <w:rtl/>
        </w:rPr>
        <w:t>(</w:t>
      </w:r>
      <w:r w:rsidRPr="0026143F">
        <w:rPr>
          <w:rFonts w:cs="Arial"/>
          <w:sz w:val="16"/>
          <w:szCs w:val="16"/>
          <w:rtl/>
        </w:rPr>
        <w:t xml:space="preserve">כט. </w:t>
      </w:r>
      <w:r w:rsidR="00DD6900">
        <w:rPr>
          <w:rFonts w:cs="Arial" w:hint="cs"/>
          <w:sz w:val="16"/>
          <w:szCs w:val="16"/>
          <w:rtl/>
        </w:rPr>
        <w:t xml:space="preserve">מדפה"ר </w:t>
      </w:r>
      <w:r w:rsidRPr="0026143F">
        <w:rPr>
          <w:rFonts w:cs="Arial"/>
          <w:sz w:val="16"/>
          <w:szCs w:val="16"/>
          <w:rtl/>
        </w:rPr>
        <w:t>ד"ה לא נאמרו)</w:t>
      </w:r>
      <w:r>
        <w:rPr>
          <w:rFonts w:cs="Arial" w:hint="cs"/>
          <w:rtl/>
        </w:rPr>
        <w:t>-</w:t>
      </w:r>
      <w:r w:rsidRPr="003D2914">
        <w:rPr>
          <w:rFonts w:cs="Arial"/>
          <w:rtl/>
        </w:rPr>
        <w:t xml:space="preserve"> </w:t>
      </w:r>
      <w:r w:rsidRPr="00D75497">
        <w:rPr>
          <w:rFonts w:cs="Arial"/>
          <w:rtl/>
        </w:rPr>
        <w:t>גמלים של ערביא</w:t>
      </w:r>
      <w:r>
        <w:rPr>
          <w:rFonts w:cs="Arial" w:hint="cs"/>
          <w:rtl/>
        </w:rPr>
        <w:t>..</w:t>
      </w:r>
      <w:r w:rsidRPr="00D75497">
        <w:rPr>
          <w:rFonts w:cs="Arial"/>
          <w:rtl/>
        </w:rPr>
        <w:t xml:space="preserve">. וכן כלם </w:t>
      </w:r>
      <w:r>
        <w:rPr>
          <w:rFonts w:cs="Arial" w:hint="cs"/>
          <w:sz w:val="16"/>
          <w:szCs w:val="16"/>
          <w:rtl/>
        </w:rPr>
        <w:t>{כולל ארנקי דמחוזא}</w:t>
      </w:r>
      <w:r>
        <w:rPr>
          <w:rFonts w:cs="Arial" w:hint="cs"/>
          <w:rtl/>
        </w:rPr>
        <w:t>...</w:t>
      </w:r>
      <w:r w:rsidRPr="00D75497">
        <w:rPr>
          <w:rFonts w:cs="Arial"/>
          <w:rtl/>
        </w:rPr>
        <w:t xml:space="preserve"> </w:t>
      </w:r>
      <w:r>
        <w:rPr>
          <w:rFonts w:cs="Arial" w:hint="cs"/>
          <w:rtl/>
        </w:rPr>
        <w:t>- אשה</w:t>
      </w:r>
      <w:r w:rsidRPr="00D75497">
        <w:rPr>
          <w:rFonts w:cs="Arial"/>
          <w:rtl/>
        </w:rPr>
        <w:t xml:space="preserve"> גובה כתובתה מהן אע</w:t>
      </w:r>
      <w:r>
        <w:rPr>
          <w:rFonts w:cs="Arial" w:hint="cs"/>
          <w:rtl/>
        </w:rPr>
        <w:t>"</w:t>
      </w:r>
      <w:r w:rsidRPr="00D75497">
        <w:rPr>
          <w:rFonts w:cs="Arial"/>
          <w:rtl/>
        </w:rPr>
        <w:t>פ שאין כתובה נגבית מן המטלטלין הואיל ורוב עסקן בכך ואסמכתייהו עלייהו</w:t>
      </w:r>
      <w:r>
        <w:rPr>
          <w:rFonts w:cs="Arial" w:hint="cs"/>
          <w:rtl/>
        </w:rPr>
        <w:t>.</w:t>
      </w:r>
      <w:r w:rsidRPr="00D75497">
        <w:rPr>
          <w:rFonts w:cs="Arial"/>
          <w:rtl/>
        </w:rPr>
        <w:t xml:space="preserve"> ואפשר להוכיח מכאן דעכשיו שהרוב מתעסקין במטלטלין</w:t>
      </w:r>
      <w:r w:rsidR="000100D5">
        <w:rPr>
          <w:rFonts w:cs="Arial" w:hint="cs"/>
          <w:rtl/>
        </w:rPr>
        <w:t>,</w:t>
      </w:r>
      <w:r w:rsidRPr="00D75497">
        <w:rPr>
          <w:rFonts w:cs="Arial"/>
          <w:rtl/>
        </w:rPr>
        <w:t xml:space="preserve"> ומוכרין קרקע לישא וליתן בכספים</w:t>
      </w:r>
      <w:r w:rsidR="000100D5">
        <w:rPr>
          <w:rFonts w:cs="Arial" w:hint="cs"/>
          <w:rtl/>
        </w:rPr>
        <w:t>,</w:t>
      </w:r>
      <w:r w:rsidRPr="00D75497">
        <w:rPr>
          <w:rFonts w:cs="Arial"/>
          <w:rtl/>
        </w:rPr>
        <w:t xml:space="preserve"> אף אשה גובה כתובתה מהן מדינא דגמרא</w:t>
      </w:r>
      <w:r>
        <w:rPr>
          <w:rFonts w:cs="Arial" w:hint="cs"/>
          <w:rtl/>
        </w:rPr>
        <w:t>.</w:t>
      </w:r>
      <w:r w:rsidRPr="00D75497">
        <w:rPr>
          <w:rFonts w:cs="Arial"/>
          <w:rtl/>
        </w:rPr>
        <w:t xml:space="preserve"> אלא מיהו רבותינו הגאונים ז"ל כבר תקנו לגבות כתובה מן המטלטלין</w:t>
      </w:r>
      <w:r>
        <w:rPr>
          <w:rFonts w:hint="cs"/>
          <w:sz w:val="16"/>
          <w:szCs w:val="16"/>
          <w:rtl/>
        </w:rPr>
        <w:t xml:space="preserve"> (ל' הרשב"א)</w:t>
      </w:r>
      <w:r>
        <w:rPr>
          <w:rFonts w:hint="cs"/>
          <w:rtl/>
        </w:rPr>
        <w:t>.</w:t>
      </w:r>
      <w:r>
        <w:rPr>
          <w:rFonts w:cs="Arial" w:hint="cs"/>
          <w:rtl/>
        </w:rPr>
        <w:t xml:space="preserve"> </w:t>
      </w:r>
    </w:p>
    <w:p w14:paraId="7C402089" w14:textId="72D24D80" w:rsidR="00392DBB" w:rsidRDefault="00392DBB" w:rsidP="009000E3">
      <w:pPr>
        <w:pStyle w:val="ab"/>
        <w:numPr>
          <w:ilvl w:val="0"/>
          <w:numId w:val="61"/>
        </w:numPr>
        <w:rPr>
          <w:rFonts w:cs="Arial"/>
        </w:rPr>
      </w:pPr>
      <w:r w:rsidRPr="00A8631B">
        <w:rPr>
          <w:rFonts w:cs="Arial"/>
          <w:rtl/>
        </w:rPr>
        <w:t xml:space="preserve">רא"ש </w:t>
      </w:r>
      <w:r w:rsidRPr="0089377F">
        <w:rPr>
          <w:rFonts w:cs="Arial"/>
          <w:sz w:val="16"/>
          <w:szCs w:val="16"/>
          <w:rtl/>
        </w:rPr>
        <w:t>(כלל לו סי</w:t>
      </w:r>
      <w:r w:rsidRPr="0089377F">
        <w:rPr>
          <w:rFonts w:cs="Arial" w:hint="cs"/>
          <w:sz w:val="16"/>
          <w:szCs w:val="16"/>
          <w:rtl/>
        </w:rPr>
        <w:t>'</w:t>
      </w:r>
      <w:r w:rsidRPr="0089377F">
        <w:rPr>
          <w:rFonts w:cs="Arial"/>
          <w:sz w:val="16"/>
          <w:szCs w:val="16"/>
          <w:rtl/>
        </w:rPr>
        <w:t xml:space="preserve"> ג)</w:t>
      </w:r>
      <w:r>
        <w:rPr>
          <w:rFonts w:cs="Arial" w:hint="cs"/>
          <w:rtl/>
        </w:rPr>
        <w:t xml:space="preserve">- </w:t>
      </w:r>
      <w:r w:rsidRPr="00A8631B">
        <w:rPr>
          <w:rFonts w:cs="Arial"/>
          <w:rtl/>
        </w:rPr>
        <w:t>ששאלת אם כתובת אשה נגבית מן החובות</w:t>
      </w:r>
      <w:r w:rsidR="000100D5">
        <w:rPr>
          <w:rFonts w:cs="Arial" w:hint="cs"/>
          <w:rtl/>
        </w:rPr>
        <w:t>,</w:t>
      </w:r>
      <w:r w:rsidRPr="00A8631B">
        <w:rPr>
          <w:rFonts w:cs="Arial"/>
          <w:rtl/>
        </w:rPr>
        <w:t xml:space="preserve"> ראיתי את רבותי וכן נראה לי הדין שהאידנא שרוב עסקינו ופרנסתינו בחובות והלואות לגוים</w:t>
      </w:r>
      <w:r>
        <w:rPr>
          <w:rFonts w:cs="Arial" w:hint="cs"/>
          <w:rtl/>
        </w:rPr>
        <w:t xml:space="preserve"> -</w:t>
      </w:r>
      <w:r w:rsidRPr="00A8631B">
        <w:rPr>
          <w:rFonts w:cs="Arial"/>
          <w:rtl/>
        </w:rPr>
        <w:t xml:space="preserve"> הויין כאשלי דקמחוניא</w:t>
      </w:r>
      <w:r w:rsidR="000100D5">
        <w:rPr>
          <w:rStyle w:val="a7"/>
          <w:rFonts w:cs="Arial"/>
          <w:rtl/>
        </w:rPr>
        <w:footnoteReference w:id="1877"/>
      </w:r>
      <w:r>
        <w:rPr>
          <w:rFonts w:cs="Arial" w:hint="cs"/>
          <w:rtl/>
        </w:rPr>
        <w:t>,</w:t>
      </w:r>
      <w:r w:rsidRPr="00A8631B">
        <w:rPr>
          <w:rFonts w:cs="Arial"/>
          <w:rtl/>
        </w:rPr>
        <w:t xml:space="preserve"> ועיקר אסמכתייהו עליהם</w:t>
      </w:r>
      <w:r>
        <w:rPr>
          <w:rFonts w:cs="Arial" w:hint="cs"/>
          <w:rtl/>
        </w:rPr>
        <w:t>.</w:t>
      </w:r>
      <w:r w:rsidRPr="00A8631B">
        <w:rPr>
          <w:rFonts w:cs="Arial"/>
          <w:rtl/>
        </w:rPr>
        <w:t xml:space="preserve"> דאם לא כן הפקעת רוב כתובות בנות ישראל</w:t>
      </w:r>
      <w:r>
        <w:rPr>
          <w:rStyle w:val="a7"/>
          <w:rFonts w:cs="Arial"/>
          <w:rtl/>
        </w:rPr>
        <w:footnoteReference w:id="1878"/>
      </w:r>
      <w:r w:rsidRPr="00A8631B">
        <w:rPr>
          <w:rFonts w:cs="Arial"/>
          <w:rtl/>
        </w:rPr>
        <w:t>.</w:t>
      </w:r>
      <w:r>
        <w:rPr>
          <w:rFonts w:cs="Arial" w:hint="cs"/>
          <w:rtl/>
        </w:rPr>
        <w:t xml:space="preserve"> </w:t>
      </w:r>
    </w:p>
    <w:p w14:paraId="432D3529" w14:textId="79CBC728" w:rsidR="00392DBB" w:rsidRDefault="00392DBB" w:rsidP="009000E3">
      <w:pPr>
        <w:pStyle w:val="ab"/>
        <w:numPr>
          <w:ilvl w:val="0"/>
          <w:numId w:val="61"/>
        </w:numPr>
        <w:rPr>
          <w:rFonts w:cs="Arial"/>
        </w:rPr>
      </w:pPr>
      <w:r w:rsidRPr="00A8631B">
        <w:rPr>
          <w:rFonts w:cs="Arial"/>
          <w:rtl/>
        </w:rPr>
        <w:t>תוס</w:t>
      </w:r>
      <w:r>
        <w:rPr>
          <w:rFonts w:cs="Arial" w:hint="cs"/>
          <w:rtl/>
        </w:rPr>
        <w:t>'</w:t>
      </w:r>
      <w:r w:rsidRPr="00750F97">
        <w:rPr>
          <w:rFonts w:cs="Arial"/>
          <w:sz w:val="16"/>
          <w:szCs w:val="16"/>
          <w:rtl/>
        </w:rPr>
        <w:t xml:space="preserve"> </w:t>
      </w:r>
      <w:r w:rsidRPr="00750F97">
        <w:rPr>
          <w:rFonts w:cs="Arial" w:hint="cs"/>
          <w:sz w:val="16"/>
          <w:szCs w:val="16"/>
          <w:rtl/>
        </w:rPr>
        <w:t>(</w:t>
      </w:r>
      <w:r w:rsidRPr="00750F97">
        <w:rPr>
          <w:rFonts w:cs="Arial"/>
          <w:sz w:val="16"/>
          <w:szCs w:val="16"/>
          <w:rtl/>
        </w:rPr>
        <w:t>פ</w:t>
      </w:r>
      <w:r w:rsidRPr="00750F97">
        <w:rPr>
          <w:rFonts w:cs="Arial" w:hint="cs"/>
          <w:sz w:val="16"/>
          <w:szCs w:val="16"/>
          <w:rtl/>
        </w:rPr>
        <w:t>'</w:t>
      </w:r>
      <w:r w:rsidRPr="00750F97">
        <w:rPr>
          <w:rFonts w:cs="Arial"/>
          <w:sz w:val="16"/>
          <w:szCs w:val="16"/>
          <w:rtl/>
        </w:rPr>
        <w:t xml:space="preserve"> מציאת האשה סז. ד"ה גמלים)</w:t>
      </w:r>
      <w:r>
        <w:rPr>
          <w:rFonts w:cs="Arial" w:hint="cs"/>
          <w:rtl/>
        </w:rPr>
        <w:t xml:space="preserve">- </w:t>
      </w:r>
      <w:r w:rsidRPr="00A8631B">
        <w:rPr>
          <w:rFonts w:cs="Arial"/>
          <w:rtl/>
        </w:rPr>
        <w:t>יש פוסקים דמטלטלי דידן משתעבדי לכתובה דהוו כגמלי ערביא ואשלי קמחוניא</w:t>
      </w:r>
      <w:r>
        <w:rPr>
          <w:rFonts w:cs="Arial" w:hint="cs"/>
          <w:rtl/>
        </w:rPr>
        <w:t>,</w:t>
      </w:r>
      <w:r w:rsidRPr="00A8631B">
        <w:rPr>
          <w:rFonts w:cs="Arial"/>
          <w:rtl/>
        </w:rPr>
        <w:t xml:space="preserve"> ואין נראה לר"ת</w:t>
      </w:r>
      <w:r>
        <w:rPr>
          <w:rFonts w:cs="Arial" w:hint="cs"/>
          <w:rtl/>
        </w:rPr>
        <w:t>,</w:t>
      </w:r>
      <w:r w:rsidRPr="00A8631B">
        <w:rPr>
          <w:rFonts w:cs="Arial"/>
          <w:rtl/>
        </w:rPr>
        <w:t xml:space="preserve"> דהנהו כקרקע דמו ואם מכרן הבעל תוציא אשתו מיד הלקוחות לאחר מותו</w:t>
      </w:r>
      <w:r>
        <w:rPr>
          <w:rFonts w:cs="Arial" w:hint="cs"/>
          <w:rtl/>
        </w:rPr>
        <w:t>.</w:t>
      </w:r>
      <w:r w:rsidRPr="00A8631B">
        <w:rPr>
          <w:rFonts w:cs="Arial"/>
          <w:rtl/>
        </w:rPr>
        <w:t xml:space="preserve"> וא"כ לדבריהם בטלה תקנת השוק</w:t>
      </w:r>
      <w:r>
        <w:rPr>
          <w:rFonts w:cs="Arial" w:hint="cs"/>
          <w:rtl/>
        </w:rPr>
        <w:t>.</w:t>
      </w:r>
      <w:r w:rsidRPr="00A8631B">
        <w:rPr>
          <w:rFonts w:cs="Arial"/>
          <w:rtl/>
        </w:rPr>
        <w:t xml:space="preserve"> אלא מחמת תקנת הגאונים גביא ממטלטלי דיתמ</w:t>
      </w:r>
      <w:r>
        <w:rPr>
          <w:rFonts w:cs="Arial" w:hint="cs"/>
          <w:rtl/>
        </w:rPr>
        <w:t>י</w:t>
      </w:r>
      <w:r>
        <w:rPr>
          <w:rStyle w:val="a7"/>
          <w:rFonts w:cs="Arial"/>
          <w:rtl/>
        </w:rPr>
        <w:footnoteReference w:id="1879"/>
      </w:r>
      <w:r>
        <w:rPr>
          <w:rFonts w:cs="Arial" w:hint="cs"/>
          <w:rtl/>
        </w:rPr>
        <w:t>.</w:t>
      </w:r>
      <w:r w:rsidR="00CB706B">
        <w:rPr>
          <w:rFonts w:cs="Arial" w:hint="cs"/>
          <w:rtl/>
        </w:rPr>
        <w:t xml:space="preserve"> </w:t>
      </w:r>
      <w:r w:rsidR="00CB706B" w:rsidRPr="006A6FBD">
        <w:rPr>
          <w:rFonts w:hint="cs"/>
          <w:color w:val="E36C0A" w:themeColor="accent6" w:themeShade="BF"/>
          <w:rtl/>
        </w:rPr>
        <w:t>(וכ"פ בשו"ע)</w:t>
      </w:r>
    </w:p>
    <w:p w14:paraId="385D3671" w14:textId="60C596A1" w:rsidR="00392DBB" w:rsidRPr="00A678C2" w:rsidRDefault="00392DBB" w:rsidP="009000E3">
      <w:pPr>
        <w:pStyle w:val="ab"/>
        <w:numPr>
          <w:ilvl w:val="0"/>
          <w:numId w:val="61"/>
        </w:numPr>
        <w:rPr>
          <w:rFonts w:cs="Arial"/>
          <w:rtl/>
        </w:rPr>
      </w:pPr>
      <w:r>
        <w:rPr>
          <w:rFonts w:hint="cs"/>
          <w:rtl/>
        </w:rPr>
        <w:t>ראב"ן</w:t>
      </w:r>
      <w:r>
        <w:rPr>
          <w:rFonts w:hint="cs"/>
          <w:sz w:val="16"/>
          <w:szCs w:val="16"/>
          <w:rtl/>
        </w:rPr>
        <w:t xml:space="preserve"> (</w:t>
      </w:r>
      <w:r>
        <w:rPr>
          <w:rFonts w:cs="Arial" w:hint="cs"/>
          <w:sz w:val="16"/>
          <w:szCs w:val="16"/>
          <w:rtl/>
        </w:rPr>
        <w:t>בשו"ת ש</w:t>
      </w:r>
      <w:r w:rsidRPr="0089778D">
        <w:rPr>
          <w:rFonts w:cs="Arial"/>
          <w:sz w:val="16"/>
          <w:szCs w:val="16"/>
          <w:rtl/>
        </w:rPr>
        <w:t>בסוף ספר</w:t>
      </w:r>
      <w:r>
        <w:rPr>
          <w:rFonts w:cs="Arial" w:hint="cs"/>
          <w:sz w:val="16"/>
          <w:szCs w:val="16"/>
          <w:rtl/>
        </w:rPr>
        <w:t xml:space="preserve"> הראב"ן)</w:t>
      </w:r>
      <w:r w:rsidRPr="0085652D">
        <w:rPr>
          <w:rFonts w:cs="Arial" w:hint="cs"/>
          <w:rtl/>
        </w:rPr>
        <w:t>-</w:t>
      </w:r>
      <w:r>
        <w:rPr>
          <w:rFonts w:cs="Arial" w:hint="cs"/>
          <w:rtl/>
        </w:rPr>
        <w:t xml:space="preserve"> </w:t>
      </w:r>
      <w:r w:rsidRPr="009B35D3">
        <w:rPr>
          <w:rFonts w:cs="Arial"/>
          <w:rtl/>
        </w:rPr>
        <w:t>ודאי כי תקינו דורות האחרונים</w:t>
      </w:r>
      <w:r>
        <w:rPr>
          <w:rFonts w:cs="Arial" w:hint="cs"/>
          <w:sz w:val="16"/>
          <w:szCs w:val="16"/>
          <w:rtl/>
        </w:rPr>
        <w:t xml:space="preserve"> {היינו הגאונים}</w:t>
      </w:r>
      <w:r w:rsidRPr="009B35D3">
        <w:rPr>
          <w:rFonts w:cs="Arial"/>
          <w:rtl/>
        </w:rPr>
        <w:t xml:space="preserve"> </w:t>
      </w:r>
      <w:r>
        <w:rPr>
          <w:rFonts w:cs="Arial" w:hint="cs"/>
          <w:rtl/>
        </w:rPr>
        <w:t xml:space="preserve">לגבות </w:t>
      </w:r>
      <w:r w:rsidRPr="009B35D3">
        <w:rPr>
          <w:rFonts w:cs="Arial"/>
          <w:rtl/>
        </w:rPr>
        <w:t xml:space="preserve">כתובה </w:t>
      </w:r>
      <w:r>
        <w:rPr>
          <w:rFonts w:cs="Arial" w:hint="cs"/>
          <w:rtl/>
        </w:rPr>
        <w:t>מ</w:t>
      </w:r>
      <w:r w:rsidRPr="009B35D3">
        <w:rPr>
          <w:rFonts w:cs="Arial"/>
          <w:rtl/>
        </w:rPr>
        <w:t>מטלטלין מפני שאין להם שדות וכרמים בזמן הזה, דומיא דמקרקעי תיקנו</w:t>
      </w:r>
      <w:r w:rsidR="00CB706B">
        <w:rPr>
          <w:rFonts w:cs="Arial" w:hint="cs"/>
          <w:rtl/>
        </w:rPr>
        <w:t>,</w:t>
      </w:r>
      <w:r w:rsidR="00CB706B">
        <w:rPr>
          <w:rFonts w:cs="Arial" w:hint="cs"/>
          <w:sz w:val="16"/>
          <w:szCs w:val="16"/>
          <w:rtl/>
        </w:rPr>
        <w:t xml:space="preserve"> {והיינו}</w:t>
      </w:r>
      <w:r w:rsidRPr="009B35D3">
        <w:rPr>
          <w:rFonts w:cs="Arial"/>
          <w:rtl/>
        </w:rPr>
        <w:t xml:space="preserve"> מטלטלין שהן בעין לאחר מיתה</w:t>
      </w:r>
      <w:r w:rsidR="00CB706B">
        <w:rPr>
          <w:rFonts w:cs="Arial" w:hint="cs"/>
          <w:rtl/>
        </w:rPr>
        <w:t>,</w:t>
      </w:r>
      <w:r w:rsidRPr="009B35D3">
        <w:rPr>
          <w:rFonts w:cs="Arial"/>
          <w:rtl/>
        </w:rPr>
        <w:t xml:space="preserve"> וסמכו </w:t>
      </w:r>
      <w:r w:rsidRPr="00CB706B">
        <w:rPr>
          <w:rFonts w:cs="Arial"/>
          <w:b/>
          <w:bCs/>
          <w:rtl/>
        </w:rPr>
        <w:t>בשעת הדחק</w:t>
      </w:r>
      <w:r w:rsidRPr="009B35D3">
        <w:rPr>
          <w:rFonts w:cs="Arial"/>
          <w:rtl/>
        </w:rPr>
        <w:t xml:space="preserve"> על ר' מאיר שאמר </w:t>
      </w:r>
      <w:r w:rsidR="00CB706B">
        <w:rPr>
          <w:rFonts w:cs="Arial" w:hint="cs"/>
          <w:rtl/>
        </w:rPr>
        <w:t>(</w:t>
      </w:r>
      <w:r w:rsidRPr="009B35D3">
        <w:rPr>
          <w:rFonts w:cs="Arial"/>
          <w:rtl/>
        </w:rPr>
        <w:t>כתובות פא</w:t>
      </w:r>
      <w:r>
        <w:rPr>
          <w:rFonts w:cs="Arial" w:hint="cs"/>
          <w:rtl/>
        </w:rPr>
        <w:t>:</w:t>
      </w:r>
      <w:r w:rsidR="00CB706B">
        <w:rPr>
          <w:rFonts w:cs="Arial" w:hint="cs"/>
          <w:rtl/>
        </w:rPr>
        <w:t>)</w:t>
      </w:r>
      <w:r w:rsidRPr="009B35D3">
        <w:rPr>
          <w:rFonts w:cs="Arial"/>
          <w:rtl/>
        </w:rPr>
        <w:t xml:space="preserve"> מטלטלין משתעבדי לכתובה אפי' בזמן דאיכא מקרקעי, דתיקנו דומיא דגמלים של ערביא </w:t>
      </w:r>
      <w:r w:rsidR="00CB706B">
        <w:rPr>
          <w:rFonts w:cs="Arial" w:hint="cs"/>
          <w:rtl/>
        </w:rPr>
        <w:t>(</w:t>
      </w:r>
      <w:r w:rsidRPr="009B35D3">
        <w:rPr>
          <w:rFonts w:cs="Arial"/>
          <w:rtl/>
        </w:rPr>
        <w:t>שם סז</w:t>
      </w:r>
      <w:r>
        <w:rPr>
          <w:rFonts w:cs="Arial" w:hint="cs"/>
          <w:rtl/>
        </w:rPr>
        <w:t>.</w:t>
      </w:r>
      <w:r w:rsidR="00CB706B">
        <w:rPr>
          <w:rFonts w:cs="Arial" w:hint="cs"/>
          <w:rtl/>
        </w:rPr>
        <w:t>)</w:t>
      </w:r>
      <w:r>
        <w:rPr>
          <w:rFonts w:cs="Arial" w:hint="cs"/>
          <w:rtl/>
        </w:rPr>
        <w:t>...</w:t>
      </w:r>
    </w:p>
    <w:p w14:paraId="6AFE7101" w14:textId="77777777" w:rsidR="00392DBB" w:rsidRPr="003B35F9" w:rsidRDefault="00392DBB" w:rsidP="00392DBB">
      <w:pPr>
        <w:rPr>
          <w:u w:val="single"/>
        </w:rPr>
      </w:pPr>
      <w:r w:rsidRPr="003B35F9">
        <w:rPr>
          <w:rFonts w:hint="cs"/>
          <w:u w:val="single"/>
          <w:rtl/>
        </w:rPr>
        <w:t xml:space="preserve">ראובן חייב לחמיו ק' זהובים, ומת חמיו, ובא בע"ח של חמותו לגבות מראובן </w:t>
      </w:r>
      <w:r w:rsidRPr="003B35F9">
        <w:rPr>
          <w:rFonts w:hint="cs"/>
          <w:sz w:val="16"/>
          <w:szCs w:val="16"/>
          <w:u w:val="single"/>
          <w:rtl/>
        </w:rPr>
        <w:t>(מכח חמותו)</w:t>
      </w:r>
      <w:r w:rsidRPr="003B35F9">
        <w:rPr>
          <w:rFonts w:hint="cs"/>
          <w:u w:val="single"/>
          <w:rtl/>
        </w:rPr>
        <w:t xml:space="preserve"> מהחוב שחייב לחמיו:</w:t>
      </w:r>
    </w:p>
    <w:p w14:paraId="3E42190B" w14:textId="77777777" w:rsidR="00392DBB" w:rsidRPr="003B35F9" w:rsidRDefault="00392DBB" w:rsidP="009000E3">
      <w:pPr>
        <w:pStyle w:val="ab"/>
        <w:numPr>
          <w:ilvl w:val="0"/>
          <w:numId w:val="61"/>
        </w:numPr>
      </w:pPr>
      <w:r w:rsidRPr="008846B5">
        <w:rPr>
          <w:rFonts w:cs="Arial"/>
          <w:rtl/>
        </w:rPr>
        <w:t>רא"ש</w:t>
      </w:r>
      <w:r w:rsidRPr="008846B5">
        <w:rPr>
          <w:rFonts w:cs="Arial" w:hint="cs"/>
          <w:rtl/>
        </w:rPr>
        <w:t xml:space="preserve"> </w:t>
      </w:r>
      <w:r w:rsidRPr="008846B5">
        <w:rPr>
          <w:rFonts w:cs="Arial" w:hint="cs"/>
          <w:sz w:val="16"/>
          <w:szCs w:val="16"/>
          <w:rtl/>
        </w:rPr>
        <w:t>(</w:t>
      </w:r>
      <w:r w:rsidRPr="008846B5">
        <w:rPr>
          <w:rFonts w:cs="Arial"/>
          <w:sz w:val="16"/>
          <w:szCs w:val="16"/>
          <w:rtl/>
        </w:rPr>
        <w:t>כלל לו סי</w:t>
      </w:r>
      <w:r w:rsidRPr="008846B5">
        <w:rPr>
          <w:rFonts w:cs="Arial" w:hint="cs"/>
          <w:sz w:val="16"/>
          <w:szCs w:val="16"/>
          <w:rtl/>
        </w:rPr>
        <w:t>'</w:t>
      </w:r>
      <w:r w:rsidRPr="008846B5">
        <w:rPr>
          <w:rFonts w:cs="Arial"/>
          <w:sz w:val="16"/>
          <w:szCs w:val="16"/>
          <w:rtl/>
        </w:rPr>
        <w:t xml:space="preserve"> ד</w:t>
      </w:r>
      <w:r w:rsidRPr="008846B5">
        <w:rPr>
          <w:rFonts w:cs="Arial" w:hint="cs"/>
          <w:sz w:val="16"/>
          <w:szCs w:val="16"/>
          <w:rtl/>
        </w:rPr>
        <w:t>)</w:t>
      </w:r>
      <w:r w:rsidRPr="008846B5">
        <w:rPr>
          <w:rFonts w:cs="Arial" w:hint="cs"/>
          <w:rtl/>
        </w:rPr>
        <w:t>-</w:t>
      </w:r>
      <w:r w:rsidRPr="008846B5">
        <w:rPr>
          <w:rFonts w:cs="Arial"/>
          <w:rtl/>
        </w:rPr>
        <w:t xml:space="preserve"> וששאלת שמעון שתובע מראובן מאה זהובים מכח חמותו שהיה חייב לחמיו. נראה לי אם לא גבתה חמותו כתובה ובאה לגבות ממלות בעלה </w:t>
      </w:r>
      <w:r>
        <w:rPr>
          <w:rFonts w:cs="Arial" w:hint="cs"/>
          <w:rtl/>
        </w:rPr>
        <w:t xml:space="preserve">- </w:t>
      </w:r>
      <w:r w:rsidRPr="008846B5">
        <w:rPr>
          <w:rFonts w:cs="Arial"/>
          <w:rtl/>
        </w:rPr>
        <w:t>חייב ראובן לישבע שלא היה חייב לבעלה כלום. ומה שטוען שמחלה</w:t>
      </w:r>
      <w:r>
        <w:rPr>
          <w:rFonts w:cs="Arial" w:hint="cs"/>
          <w:rtl/>
        </w:rPr>
        <w:t>,</w:t>
      </w:r>
      <w:r w:rsidRPr="008846B5">
        <w:rPr>
          <w:rFonts w:cs="Arial"/>
          <w:rtl/>
        </w:rPr>
        <w:t xml:space="preserve"> לא שייך כאן מחילה</w:t>
      </w:r>
      <w:r>
        <w:rPr>
          <w:rFonts w:cs="Arial" w:hint="cs"/>
          <w:rtl/>
        </w:rPr>
        <w:t>,</w:t>
      </w:r>
      <w:r w:rsidRPr="008846B5">
        <w:rPr>
          <w:rFonts w:cs="Arial"/>
          <w:rtl/>
        </w:rPr>
        <w:t xml:space="preserve"> דאינה יורשת בעלה אלא גובה כתובתה מנכסי בעלה</w:t>
      </w:r>
      <w:r>
        <w:rPr>
          <w:rFonts w:cs="Arial" w:hint="cs"/>
          <w:rtl/>
        </w:rPr>
        <w:t>,</w:t>
      </w:r>
      <w:r w:rsidRPr="008846B5">
        <w:rPr>
          <w:rFonts w:cs="Arial"/>
          <w:rtl/>
        </w:rPr>
        <w:t xml:space="preserve"> ובעוד שלא גבתה חובות בעלה לא זכתה בהן ואין כח בידה לא ליתן ולא למחול.</w:t>
      </w:r>
      <w:r>
        <w:rPr>
          <w:rFonts w:cs="Arial" w:hint="cs"/>
          <w:rtl/>
        </w:rPr>
        <w:t>.</w:t>
      </w:r>
      <w:r w:rsidRPr="008846B5">
        <w:rPr>
          <w:rFonts w:cs="Arial" w:hint="cs"/>
          <w:rtl/>
        </w:rPr>
        <w:t>.</w:t>
      </w:r>
    </w:p>
    <w:p w14:paraId="763F2D5F" w14:textId="77777777" w:rsidR="00392DBB" w:rsidRPr="00E43BAA" w:rsidRDefault="00392DBB" w:rsidP="00392DBB">
      <w:pPr>
        <w:rPr>
          <w:u w:val="single"/>
        </w:rPr>
      </w:pPr>
      <w:r w:rsidRPr="00E43BAA">
        <w:rPr>
          <w:rFonts w:hint="cs"/>
          <w:u w:val="single"/>
          <w:rtl/>
        </w:rPr>
        <w:t>גביית כתובת אשה מפירות:</w:t>
      </w:r>
    </w:p>
    <w:p w14:paraId="70BC9C74" w14:textId="631D1E5C" w:rsidR="00392DBB" w:rsidRPr="00E43BAA" w:rsidRDefault="00392DBB" w:rsidP="009000E3">
      <w:pPr>
        <w:pStyle w:val="ab"/>
        <w:numPr>
          <w:ilvl w:val="0"/>
          <w:numId w:val="61"/>
        </w:numPr>
      </w:pPr>
      <w:r w:rsidRPr="00A42E68">
        <w:rPr>
          <w:rFonts w:cs="Arial"/>
          <w:rtl/>
        </w:rPr>
        <w:lastRenderedPageBreak/>
        <w:t xml:space="preserve">רשב"א </w:t>
      </w:r>
      <w:r w:rsidRPr="00E43BAA">
        <w:rPr>
          <w:rFonts w:cs="Arial"/>
          <w:sz w:val="16"/>
          <w:szCs w:val="16"/>
          <w:rtl/>
        </w:rPr>
        <w:t>(ח"ב סי' קסז)</w:t>
      </w:r>
      <w:r>
        <w:rPr>
          <w:rFonts w:cs="Arial" w:hint="cs"/>
          <w:rtl/>
        </w:rPr>
        <w:t>-</w:t>
      </w:r>
      <w:r w:rsidRPr="00A42E68">
        <w:rPr>
          <w:rFonts w:cs="Arial"/>
          <w:rtl/>
        </w:rPr>
        <w:t xml:space="preserve"> לענין הפירות אם קדם היורש ותלש ואכל </w:t>
      </w:r>
      <w:r w:rsidR="00BC3E68">
        <w:rPr>
          <w:rFonts w:cs="Arial" w:hint="cs"/>
          <w:rtl/>
        </w:rPr>
        <w:t xml:space="preserve">- </w:t>
      </w:r>
      <w:r w:rsidRPr="00A42E68">
        <w:rPr>
          <w:rFonts w:cs="Arial"/>
          <w:rtl/>
        </w:rPr>
        <w:t>אינו חייב מחמתן לאלמנה כלום</w:t>
      </w:r>
      <w:r>
        <w:rPr>
          <w:rFonts w:cs="Arial" w:hint="cs"/>
          <w:rtl/>
        </w:rPr>
        <w:t>.</w:t>
      </w:r>
      <w:r w:rsidRPr="00A42E68">
        <w:rPr>
          <w:rFonts w:cs="Arial"/>
          <w:rtl/>
        </w:rPr>
        <w:t xml:space="preserve"> ולא עוד אלא אפילו לא תלשם</w:t>
      </w:r>
      <w:r>
        <w:rPr>
          <w:rFonts w:cs="Arial" w:hint="cs"/>
          <w:rtl/>
        </w:rPr>
        <w:t>,</w:t>
      </w:r>
      <w:r w:rsidRPr="00A42E68">
        <w:rPr>
          <w:rFonts w:cs="Arial"/>
          <w:rtl/>
        </w:rPr>
        <w:t xml:space="preserve"> אם מכרם המוריש</w:t>
      </w:r>
      <w:r>
        <w:rPr>
          <w:rFonts w:cs="Arial" w:hint="cs"/>
          <w:rtl/>
        </w:rPr>
        <w:t>,</w:t>
      </w:r>
      <w:r w:rsidRPr="00A42E68">
        <w:rPr>
          <w:rFonts w:cs="Arial"/>
          <w:rtl/>
        </w:rPr>
        <w:t xml:space="preserve"> אם הם מבושלים כל כך שאינם צריכין לקרקע </w:t>
      </w:r>
      <w:r>
        <w:rPr>
          <w:rFonts w:cs="Arial" w:hint="cs"/>
          <w:rtl/>
        </w:rPr>
        <w:t xml:space="preserve">- </w:t>
      </w:r>
      <w:r w:rsidRPr="00A42E68">
        <w:rPr>
          <w:rFonts w:cs="Arial"/>
          <w:rtl/>
        </w:rPr>
        <w:t>אין בעל חוב גובה מהם</w:t>
      </w:r>
      <w:r>
        <w:rPr>
          <w:rFonts w:cs="Arial" w:hint="cs"/>
          <w:rtl/>
        </w:rPr>
        <w:t>,</w:t>
      </w:r>
      <w:r w:rsidRPr="00A42E68">
        <w:rPr>
          <w:rFonts w:cs="Arial"/>
          <w:rtl/>
        </w:rPr>
        <w:t xml:space="preserve"> משום דקיימא לן בפ</w:t>
      </w:r>
      <w:r w:rsidR="00BC3E68">
        <w:rPr>
          <w:rFonts w:cs="Arial" w:hint="cs"/>
          <w:rtl/>
        </w:rPr>
        <w:t>"</w:t>
      </w:r>
      <w:r w:rsidRPr="00A42E68">
        <w:rPr>
          <w:rFonts w:cs="Arial"/>
          <w:rtl/>
        </w:rPr>
        <w:t xml:space="preserve">ק דמציעא (יד:) דבעל חוב אינו גובה פירות. </w:t>
      </w:r>
    </w:p>
    <w:p w14:paraId="0ECB1397" w14:textId="77777777" w:rsidR="00392DBB" w:rsidRPr="00794654" w:rsidRDefault="00392DBB" w:rsidP="00392DBB">
      <w:pPr>
        <w:rPr>
          <w:u w:val="single"/>
        </w:rPr>
      </w:pPr>
      <w:r w:rsidRPr="00794654">
        <w:rPr>
          <w:rFonts w:hint="cs"/>
          <w:u w:val="single"/>
          <w:rtl/>
        </w:rPr>
        <w:t>רא</w:t>
      </w:r>
      <w:r>
        <w:rPr>
          <w:rFonts w:hint="cs"/>
          <w:u w:val="single"/>
          <w:rtl/>
        </w:rPr>
        <w:t>ו</w:t>
      </w:r>
      <w:r w:rsidRPr="00794654">
        <w:rPr>
          <w:rFonts w:hint="cs"/>
          <w:u w:val="single"/>
          <w:rtl/>
        </w:rPr>
        <w:t>בן כתב לשמעון שכל נכסיו משותפים בין שניהם, ואח"כ נשא ראובן אשה ושעבד לה כל נכסיו, ונפטר ראובן:</w:t>
      </w:r>
    </w:p>
    <w:p w14:paraId="1FBB4EAA" w14:textId="384FCE84" w:rsidR="00392DBB" w:rsidRDefault="00392DBB" w:rsidP="009000E3">
      <w:pPr>
        <w:pStyle w:val="ab"/>
        <w:numPr>
          <w:ilvl w:val="0"/>
          <w:numId w:val="61"/>
        </w:numPr>
      </w:pPr>
      <w:r>
        <w:rPr>
          <w:rFonts w:cs="Arial" w:hint="cs"/>
          <w:rtl/>
        </w:rPr>
        <w:t>ר</w:t>
      </w:r>
      <w:r w:rsidRPr="00794654">
        <w:rPr>
          <w:rFonts w:cs="Arial" w:hint="cs"/>
          <w:rtl/>
        </w:rPr>
        <w:t>שב"א</w:t>
      </w:r>
      <w:r w:rsidRPr="00794654">
        <w:rPr>
          <w:rFonts w:cs="Arial"/>
          <w:rtl/>
        </w:rPr>
        <w:t xml:space="preserve"> </w:t>
      </w:r>
      <w:r w:rsidRPr="00794654">
        <w:rPr>
          <w:rFonts w:cs="Arial"/>
          <w:sz w:val="16"/>
          <w:szCs w:val="16"/>
          <w:rtl/>
        </w:rPr>
        <w:t>(</w:t>
      </w:r>
      <w:r w:rsidRPr="00794654">
        <w:rPr>
          <w:rFonts w:cs="Arial" w:hint="cs"/>
          <w:sz w:val="16"/>
          <w:szCs w:val="16"/>
          <w:rtl/>
        </w:rPr>
        <w:t>ח"ב</w:t>
      </w:r>
      <w:r w:rsidRPr="00794654">
        <w:rPr>
          <w:rFonts w:cs="Arial"/>
          <w:sz w:val="16"/>
          <w:szCs w:val="16"/>
          <w:rtl/>
        </w:rPr>
        <w:t xml:space="preserve"> סי' קנא)</w:t>
      </w:r>
      <w:r w:rsidRPr="00794654">
        <w:rPr>
          <w:rFonts w:cs="Arial" w:hint="cs"/>
          <w:rtl/>
        </w:rPr>
        <w:t>-</w:t>
      </w:r>
      <w:r w:rsidRPr="00794654">
        <w:rPr>
          <w:rFonts w:cs="Arial"/>
          <w:rtl/>
        </w:rPr>
        <w:t xml:space="preserve"> שאלת</w:t>
      </w:r>
      <w:r w:rsidR="00BC3E68">
        <w:rPr>
          <w:rFonts w:cs="Arial" w:hint="cs"/>
          <w:rtl/>
        </w:rPr>
        <w:t>:</w:t>
      </w:r>
      <w:r w:rsidRPr="00794654">
        <w:rPr>
          <w:rFonts w:cs="Arial"/>
          <w:rtl/>
        </w:rPr>
        <w:t xml:space="preserve"> ראובן הודה בכתב ידו לשמעון שכל מה שיש לו בין קרקע בין טלטל הוא משותף בין שניהם</w:t>
      </w:r>
      <w:r w:rsidRPr="00794654">
        <w:rPr>
          <w:rFonts w:cs="Arial" w:hint="cs"/>
          <w:rtl/>
        </w:rPr>
        <w:t>.</w:t>
      </w:r>
      <w:r w:rsidRPr="00794654">
        <w:rPr>
          <w:rFonts w:cs="Arial"/>
          <w:rtl/>
        </w:rPr>
        <w:t xml:space="preserve"> ואחר ימים נשא ראובן אשה</w:t>
      </w:r>
      <w:r w:rsidRPr="00794654">
        <w:rPr>
          <w:rFonts w:cs="Arial" w:hint="cs"/>
          <w:rtl/>
        </w:rPr>
        <w:t>,</w:t>
      </w:r>
      <w:r w:rsidRPr="00794654">
        <w:rPr>
          <w:rFonts w:cs="Arial"/>
          <w:rtl/>
        </w:rPr>
        <w:t xml:space="preserve"> ושעבד לה כל נכסיו</w:t>
      </w:r>
      <w:r w:rsidRPr="00794654">
        <w:rPr>
          <w:rFonts w:cs="Arial" w:hint="cs"/>
          <w:rtl/>
        </w:rPr>
        <w:t>,</w:t>
      </w:r>
      <w:r w:rsidRPr="00794654">
        <w:rPr>
          <w:rFonts w:cs="Arial"/>
          <w:rtl/>
        </w:rPr>
        <w:t xml:space="preserve"> ואח"כ נפטר</w:t>
      </w:r>
      <w:r w:rsidRPr="00794654">
        <w:rPr>
          <w:rFonts w:cs="Arial" w:hint="cs"/>
          <w:rtl/>
        </w:rPr>
        <w:t>.</w:t>
      </w:r>
      <w:r w:rsidRPr="00794654">
        <w:rPr>
          <w:rFonts w:cs="Arial"/>
          <w:rtl/>
        </w:rPr>
        <w:t xml:space="preserve"> ושמעון בא בכתב ידו לחלוק בנכסים</w:t>
      </w:r>
      <w:r w:rsidRPr="00794654">
        <w:rPr>
          <w:rFonts w:cs="Arial" w:hint="cs"/>
          <w:rtl/>
        </w:rPr>
        <w:t>,</w:t>
      </w:r>
      <w:r w:rsidRPr="00794654">
        <w:rPr>
          <w:rFonts w:cs="Arial"/>
          <w:rtl/>
        </w:rPr>
        <w:t xml:space="preserve"> והאלמנה טוענת שאינה מאמינה שנכתב כתב הודאה זה קודם שנשאה</w:t>
      </w:r>
      <w:r w:rsidRPr="00794654">
        <w:rPr>
          <w:rFonts w:cs="Arial" w:hint="cs"/>
          <w:rtl/>
        </w:rPr>
        <w:t>.</w:t>
      </w:r>
      <w:r w:rsidRPr="00794654">
        <w:rPr>
          <w:rFonts w:cs="Arial"/>
          <w:rtl/>
        </w:rPr>
        <w:t xml:space="preserve"> ואע</w:t>
      </w:r>
      <w:r w:rsidR="00DB7E99">
        <w:rPr>
          <w:rFonts w:cs="Arial" w:hint="cs"/>
          <w:rtl/>
        </w:rPr>
        <w:t>"</w:t>
      </w:r>
      <w:r w:rsidRPr="00794654">
        <w:rPr>
          <w:rFonts w:cs="Arial"/>
          <w:rtl/>
        </w:rPr>
        <w:t>פ שכתוב בו זמן מוקדם לנישואיה</w:t>
      </w:r>
      <w:r w:rsidRPr="00794654">
        <w:rPr>
          <w:rFonts w:cs="Arial" w:hint="cs"/>
          <w:rtl/>
        </w:rPr>
        <w:t>,</w:t>
      </w:r>
      <w:r w:rsidRPr="00794654">
        <w:rPr>
          <w:rFonts w:cs="Arial"/>
          <w:rtl/>
        </w:rPr>
        <w:t xml:space="preserve"> שמא לגרע כח שעבודה נתכוון ולאו כל כמיניה.</w:t>
      </w:r>
      <w:r w:rsidRPr="00794654">
        <w:rPr>
          <w:rFonts w:cs="Arial" w:hint="cs"/>
          <w:rtl/>
        </w:rPr>
        <w:t xml:space="preserve">   </w:t>
      </w:r>
      <w:r w:rsidRPr="00794654">
        <w:rPr>
          <w:rFonts w:cs="Arial"/>
          <w:rtl/>
        </w:rPr>
        <w:t xml:space="preserve"> </w:t>
      </w:r>
      <w:r w:rsidR="00FE210D">
        <w:rPr>
          <w:rFonts w:cs="Arial"/>
          <w:rtl/>
        </w:rPr>
        <w:t xml:space="preserve">  תשובה:</w:t>
      </w:r>
      <w:r w:rsidRPr="00794654">
        <w:rPr>
          <w:rFonts w:cs="Arial"/>
          <w:rtl/>
        </w:rPr>
        <w:t xml:space="preserve"> לענין הקרקעות הדין עם האלמנה</w:t>
      </w:r>
      <w:r w:rsidR="00DB7E99">
        <w:rPr>
          <w:rFonts w:cs="Arial" w:hint="cs"/>
          <w:rtl/>
        </w:rPr>
        <w:t>,</w:t>
      </w:r>
      <w:r w:rsidRPr="00794654">
        <w:rPr>
          <w:rFonts w:cs="Arial"/>
          <w:rtl/>
        </w:rPr>
        <w:t xml:space="preserve"> לפי שלא היה יכול להוציאם משעבודה</w:t>
      </w:r>
      <w:r w:rsidR="00DB7E99">
        <w:rPr>
          <w:rFonts w:cs="Arial" w:hint="cs"/>
          <w:rtl/>
        </w:rPr>
        <w:t>.</w:t>
      </w:r>
      <w:r w:rsidRPr="00794654">
        <w:rPr>
          <w:rFonts w:cs="Arial"/>
          <w:rtl/>
        </w:rPr>
        <w:t xml:space="preserve"> והוא הדין למטלטלין אם כתב לה מטלטלי אגב מקרקעי</w:t>
      </w:r>
      <w:r w:rsidR="00DB7E99">
        <w:rPr>
          <w:rFonts w:cs="Arial" w:hint="cs"/>
          <w:rtl/>
        </w:rPr>
        <w:t>.</w:t>
      </w:r>
      <w:r w:rsidRPr="00794654">
        <w:rPr>
          <w:rFonts w:cs="Arial"/>
          <w:rtl/>
        </w:rPr>
        <w:t xml:space="preserve"> אבל אם לא כתב לה אגב</w:t>
      </w:r>
      <w:r w:rsidR="00DB7E99">
        <w:rPr>
          <w:rFonts w:cs="Arial" w:hint="cs"/>
          <w:rtl/>
        </w:rPr>
        <w:t>,</w:t>
      </w:r>
      <w:r w:rsidRPr="00794654">
        <w:rPr>
          <w:rFonts w:cs="Arial"/>
          <w:rtl/>
        </w:rPr>
        <w:t xml:space="preserve"> אע"פ שכתב לה מטלטלי ומקרקעי </w:t>
      </w:r>
      <w:r w:rsidR="00DB7E99">
        <w:rPr>
          <w:rFonts w:cs="Arial" w:hint="cs"/>
          <w:rtl/>
        </w:rPr>
        <w:t xml:space="preserve">- </w:t>
      </w:r>
      <w:r w:rsidRPr="00794654">
        <w:rPr>
          <w:rFonts w:cs="Arial"/>
          <w:rtl/>
        </w:rPr>
        <w:t xml:space="preserve">נאמן על המטלטלין. </w:t>
      </w:r>
    </w:p>
    <w:p w14:paraId="6FC59C2F" w14:textId="4826AB15" w:rsidR="00392DBB" w:rsidRPr="0020731C" w:rsidRDefault="00392DBB" w:rsidP="00392DBB">
      <w:pPr>
        <w:rPr>
          <w:u w:val="single"/>
        </w:rPr>
      </w:pPr>
      <w:r w:rsidRPr="0020731C">
        <w:rPr>
          <w:rFonts w:hint="cs"/>
          <w:u w:val="single"/>
          <w:rtl/>
        </w:rPr>
        <w:t xml:space="preserve">שמעון נפטר והוציא אחיו כתב הודאה משמעון שקבל ממנו מעות לפקדון </w:t>
      </w:r>
      <w:r w:rsidR="00F97626">
        <w:rPr>
          <w:u w:val="single"/>
          <w:rtl/>
        </w:rPr>
        <w:t>-</w:t>
      </w:r>
      <w:r w:rsidRPr="0020731C">
        <w:rPr>
          <w:rFonts w:hint="cs"/>
          <w:u w:val="single"/>
          <w:rtl/>
        </w:rPr>
        <w:t xml:space="preserve"> ואין סיפק בנכסיו לכתובה ולפקדון:</w:t>
      </w:r>
    </w:p>
    <w:p w14:paraId="0B059B68" w14:textId="68B26D26" w:rsidR="00392DBB" w:rsidRDefault="00392DBB" w:rsidP="009000E3">
      <w:pPr>
        <w:pStyle w:val="ab"/>
        <w:numPr>
          <w:ilvl w:val="0"/>
          <w:numId w:val="61"/>
        </w:numPr>
      </w:pPr>
      <w:r>
        <w:rPr>
          <w:rFonts w:cs="Arial" w:hint="cs"/>
          <w:rtl/>
        </w:rPr>
        <w:t>ר</w:t>
      </w:r>
      <w:r w:rsidRPr="00794654">
        <w:rPr>
          <w:rFonts w:cs="Arial" w:hint="cs"/>
          <w:rtl/>
        </w:rPr>
        <w:t>שב"א</w:t>
      </w:r>
      <w:r w:rsidRPr="00794654">
        <w:rPr>
          <w:rFonts w:cs="Arial"/>
          <w:rtl/>
        </w:rPr>
        <w:t xml:space="preserve"> </w:t>
      </w:r>
      <w:r w:rsidRPr="00794654">
        <w:rPr>
          <w:rFonts w:cs="Arial"/>
          <w:sz w:val="16"/>
          <w:szCs w:val="16"/>
          <w:rtl/>
        </w:rPr>
        <w:t>(</w:t>
      </w:r>
      <w:r w:rsidRPr="00794654">
        <w:rPr>
          <w:rFonts w:cs="Arial" w:hint="cs"/>
          <w:sz w:val="16"/>
          <w:szCs w:val="16"/>
          <w:rtl/>
        </w:rPr>
        <w:t>ח"ב</w:t>
      </w:r>
      <w:r w:rsidRPr="00794654">
        <w:rPr>
          <w:rFonts w:cs="Arial"/>
          <w:sz w:val="16"/>
          <w:szCs w:val="16"/>
          <w:rtl/>
        </w:rPr>
        <w:t xml:space="preserve"> סי' </w:t>
      </w:r>
      <w:r>
        <w:rPr>
          <w:rFonts w:cs="Arial" w:hint="cs"/>
          <w:sz w:val="16"/>
          <w:szCs w:val="16"/>
          <w:rtl/>
        </w:rPr>
        <w:t>שכט</w:t>
      </w:r>
      <w:r w:rsidRPr="00794654">
        <w:rPr>
          <w:rFonts w:cs="Arial"/>
          <w:sz w:val="16"/>
          <w:szCs w:val="16"/>
          <w:rtl/>
        </w:rPr>
        <w:t>)</w:t>
      </w:r>
      <w:r w:rsidRPr="00794654">
        <w:rPr>
          <w:rFonts w:cs="Arial" w:hint="cs"/>
          <w:rtl/>
        </w:rPr>
        <w:t>-</w:t>
      </w:r>
      <w:r w:rsidRPr="00794654">
        <w:rPr>
          <w:rFonts w:cs="Arial"/>
          <w:rtl/>
        </w:rPr>
        <w:t xml:space="preserve"> </w:t>
      </w:r>
      <w:r w:rsidRPr="00A42E68">
        <w:rPr>
          <w:rFonts w:cs="Arial"/>
          <w:rtl/>
        </w:rPr>
        <w:t>ראובן הוציא כתב ידו של שמעון אחיו שהודה שקיבל ממנו פקדון כך וכך מעות</w:t>
      </w:r>
      <w:r>
        <w:rPr>
          <w:rFonts w:cs="Arial" w:hint="cs"/>
          <w:rtl/>
        </w:rPr>
        <w:t>,</w:t>
      </w:r>
      <w:r w:rsidRPr="00A42E68">
        <w:rPr>
          <w:rFonts w:cs="Arial"/>
          <w:rtl/>
        </w:rPr>
        <w:t xml:space="preserve"> ונפטר שמעון ואין ס</w:t>
      </w:r>
      <w:r>
        <w:rPr>
          <w:rFonts w:cs="Arial" w:hint="cs"/>
          <w:rtl/>
        </w:rPr>
        <w:t>י</w:t>
      </w:r>
      <w:r w:rsidRPr="00A42E68">
        <w:rPr>
          <w:rFonts w:cs="Arial"/>
          <w:rtl/>
        </w:rPr>
        <w:t xml:space="preserve">פק בנכסים לכתובה ולפקדון </w:t>
      </w:r>
      <w:r>
        <w:rPr>
          <w:rFonts w:cs="Arial" w:hint="cs"/>
          <w:rtl/>
        </w:rPr>
        <w:t xml:space="preserve">- </w:t>
      </w:r>
      <w:r w:rsidRPr="00A42E68">
        <w:rPr>
          <w:rFonts w:cs="Arial"/>
          <w:rtl/>
        </w:rPr>
        <w:t>הדין עם האלמנה</w:t>
      </w:r>
      <w:r>
        <w:rPr>
          <w:rFonts w:cs="Arial" w:hint="cs"/>
          <w:rtl/>
        </w:rPr>
        <w:t>,</w:t>
      </w:r>
      <w:r w:rsidRPr="00A42E68">
        <w:rPr>
          <w:rFonts w:cs="Arial"/>
          <w:rtl/>
        </w:rPr>
        <w:t xml:space="preserve"> ואפילו הודה שמעון בפקדון בשעת פטירתו אינו מזיק לאשה</w:t>
      </w:r>
      <w:r>
        <w:rPr>
          <w:rFonts w:cs="Arial" w:hint="cs"/>
          <w:rtl/>
        </w:rPr>
        <w:t>,</w:t>
      </w:r>
      <w:r w:rsidRPr="00A42E68">
        <w:rPr>
          <w:rFonts w:cs="Arial"/>
          <w:rtl/>
        </w:rPr>
        <w:t xml:space="preserve"> דהודאת בעל דבר במקום שחב לאחרים אינו כלום</w:t>
      </w:r>
      <w:r>
        <w:rPr>
          <w:rStyle w:val="a7"/>
          <w:rFonts w:cs="Arial"/>
          <w:rtl/>
        </w:rPr>
        <w:footnoteReference w:id="1880"/>
      </w:r>
      <w:r>
        <w:rPr>
          <w:rFonts w:cs="Arial" w:hint="cs"/>
          <w:rtl/>
        </w:rPr>
        <w:t>.</w:t>
      </w:r>
    </w:p>
    <w:p w14:paraId="7127A0A5" w14:textId="20124AC9" w:rsidR="00392DBB" w:rsidRPr="00792285" w:rsidRDefault="00392DBB" w:rsidP="00392DBB">
      <w:pPr>
        <w:rPr>
          <w:u w:val="single"/>
        </w:rPr>
      </w:pPr>
      <w:r w:rsidRPr="00792285">
        <w:rPr>
          <w:rFonts w:hint="cs"/>
          <w:u w:val="single"/>
          <w:rtl/>
        </w:rPr>
        <w:t>ישנה קרקע בשווי הכתובה</w:t>
      </w:r>
      <w:r w:rsidR="00DB7E99">
        <w:rPr>
          <w:rFonts w:hint="cs"/>
          <w:u w:val="single"/>
          <w:rtl/>
        </w:rPr>
        <w:t>,</w:t>
      </w:r>
      <w:r w:rsidRPr="00792285">
        <w:rPr>
          <w:rFonts w:hint="cs"/>
          <w:u w:val="single"/>
          <w:rtl/>
        </w:rPr>
        <w:t xml:space="preserve"> והיתומים רוצים אעפ"כ לסלקה במעות:</w:t>
      </w:r>
      <w:r w:rsidRPr="00792285">
        <w:rPr>
          <w:rFonts w:cs="Arial"/>
          <w:rtl/>
        </w:rPr>
        <w:t xml:space="preserve"> </w:t>
      </w:r>
      <w:r w:rsidRPr="00792285">
        <w:rPr>
          <w:rFonts w:cs="Arial"/>
          <w:sz w:val="16"/>
          <w:szCs w:val="16"/>
          <w:rtl/>
        </w:rPr>
        <w:t>(</w:t>
      </w:r>
      <w:r w:rsidRPr="00792285">
        <w:rPr>
          <w:rFonts w:cs="Arial" w:hint="cs"/>
          <w:sz w:val="16"/>
          <w:szCs w:val="16"/>
          <w:rtl/>
        </w:rPr>
        <w:t xml:space="preserve">דרכ"מ </w:t>
      </w:r>
      <w:r>
        <w:rPr>
          <w:rFonts w:cs="Arial" w:hint="cs"/>
          <w:sz w:val="16"/>
          <w:szCs w:val="16"/>
          <w:rtl/>
        </w:rPr>
        <w:t xml:space="preserve">אות </w:t>
      </w:r>
      <w:r w:rsidRPr="00792285">
        <w:rPr>
          <w:rFonts w:cs="Arial"/>
          <w:sz w:val="16"/>
          <w:szCs w:val="16"/>
          <w:rtl/>
        </w:rPr>
        <w:t>א)</w:t>
      </w:r>
    </w:p>
    <w:p w14:paraId="184ADF2B" w14:textId="21E3522F" w:rsidR="00392DBB" w:rsidRDefault="00392DBB" w:rsidP="009000E3">
      <w:pPr>
        <w:pStyle w:val="ab"/>
        <w:numPr>
          <w:ilvl w:val="0"/>
          <w:numId w:val="61"/>
        </w:numPr>
      </w:pPr>
      <w:r w:rsidRPr="003D2914">
        <w:rPr>
          <w:rFonts w:cs="Arial"/>
          <w:rtl/>
        </w:rPr>
        <w:t xml:space="preserve">ר"ן </w:t>
      </w:r>
      <w:r w:rsidRPr="00792285">
        <w:rPr>
          <w:rFonts w:cs="Arial"/>
          <w:sz w:val="16"/>
          <w:szCs w:val="16"/>
          <w:rtl/>
        </w:rPr>
        <w:t>(</w:t>
      </w:r>
      <w:r>
        <w:rPr>
          <w:rFonts w:cs="Arial" w:hint="cs"/>
          <w:sz w:val="16"/>
          <w:szCs w:val="16"/>
          <w:rtl/>
        </w:rPr>
        <w:t xml:space="preserve">פ' נערה, </w:t>
      </w:r>
      <w:r w:rsidRPr="00792285">
        <w:rPr>
          <w:rFonts w:cs="Arial"/>
          <w:sz w:val="16"/>
          <w:szCs w:val="16"/>
          <w:rtl/>
        </w:rPr>
        <w:t>כ: ד"ה וגרסי' תו)</w:t>
      </w:r>
      <w:r>
        <w:rPr>
          <w:rFonts w:cs="Arial" w:hint="cs"/>
          <w:rtl/>
        </w:rPr>
        <w:t xml:space="preserve">- </w:t>
      </w:r>
      <w:r w:rsidRPr="003D2914">
        <w:rPr>
          <w:rFonts w:cs="Arial"/>
          <w:rtl/>
        </w:rPr>
        <w:t xml:space="preserve">אם היה כאן קרקע שוה ר' זהובים והיא חפצה בקרקע בכתובתה </w:t>
      </w:r>
      <w:r w:rsidR="00DB7E99">
        <w:rPr>
          <w:rFonts w:cs="Arial" w:hint="cs"/>
          <w:rtl/>
        </w:rPr>
        <w:t xml:space="preserve">- </w:t>
      </w:r>
      <w:r w:rsidRPr="003D2914">
        <w:rPr>
          <w:rFonts w:cs="Arial"/>
          <w:rtl/>
        </w:rPr>
        <w:t>הדין עמה</w:t>
      </w:r>
      <w:r w:rsidR="00DB7E99">
        <w:rPr>
          <w:rFonts w:cs="Arial" w:hint="cs"/>
          <w:rtl/>
        </w:rPr>
        <w:t>,</w:t>
      </w:r>
      <w:r w:rsidRPr="003D2914">
        <w:rPr>
          <w:rFonts w:cs="Arial"/>
          <w:rtl/>
        </w:rPr>
        <w:t xml:space="preserve"> ואין היתומים יכולין לסלקה בדמי הקרקע וכו'</w:t>
      </w:r>
      <w:r>
        <w:rPr>
          <w:rFonts w:cs="Arial" w:hint="cs"/>
          <w:rtl/>
        </w:rPr>
        <w:t>.</w:t>
      </w:r>
    </w:p>
    <w:p w14:paraId="7D065DB8" w14:textId="17B29F44" w:rsidR="00392DBB" w:rsidRPr="00141CDB" w:rsidRDefault="00392DBB" w:rsidP="00392DBB">
      <w:pPr>
        <w:rPr>
          <w:u w:val="single"/>
        </w:rPr>
      </w:pPr>
      <w:r w:rsidRPr="00141CDB">
        <w:rPr>
          <w:rFonts w:cs="Arial"/>
          <w:u w:val="single"/>
          <w:rtl/>
        </w:rPr>
        <w:t>מי שאמר נכסי לבני ראובן</w:t>
      </w:r>
      <w:r w:rsidRPr="00141CDB">
        <w:rPr>
          <w:rFonts w:cs="Arial" w:hint="cs"/>
          <w:u w:val="single"/>
          <w:rtl/>
        </w:rPr>
        <w:t>,</w:t>
      </w:r>
      <w:r w:rsidRPr="00141CDB">
        <w:rPr>
          <w:rFonts w:cs="Arial"/>
          <w:u w:val="single"/>
          <w:rtl/>
        </w:rPr>
        <w:t xml:space="preserve"> ואחריו לשמעון</w:t>
      </w:r>
      <w:r w:rsidRPr="00141CDB">
        <w:rPr>
          <w:rFonts w:cs="Arial" w:hint="cs"/>
          <w:u w:val="single"/>
          <w:rtl/>
        </w:rPr>
        <w:t>,</w:t>
      </w:r>
      <w:r w:rsidRPr="00141CDB">
        <w:rPr>
          <w:rFonts w:cs="Arial"/>
          <w:u w:val="single"/>
          <w:rtl/>
        </w:rPr>
        <w:t xml:space="preserve"> ומת ראובן </w:t>
      </w:r>
      <w:r w:rsidR="00F97626">
        <w:rPr>
          <w:rFonts w:cs="Arial"/>
          <w:u w:val="single"/>
          <w:rtl/>
        </w:rPr>
        <w:t>-</w:t>
      </w:r>
      <w:r w:rsidRPr="00141CDB">
        <w:rPr>
          <w:rFonts w:cs="Arial" w:hint="cs"/>
          <w:u w:val="single"/>
          <w:rtl/>
        </w:rPr>
        <w:t xml:space="preserve"> האם </w:t>
      </w:r>
      <w:r w:rsidRPr="00141CDB">
        <w:rPr>
          <w:rFonts w:cs="Arial"/>
          <w:u w:val="single"/>
          <w:rtl/>
        </w:rPr>
        <w:t>אשתו גובת כתובתה</w:t>
      </w:r>
      <w:r w:rsidRPr="00141CDB">
        <w:rPr>
          <w:rFonts w:cs="Arial" w:hint="cs"/>
          <w:u w:val="single"/>
          <w:rtl/>
        </w:rPr>
        <w:t xml:space="preserve"> מנכסים אלו:</w:t>
      </w:r>
      <w:r>
        <w:rPr>
          <w:rFonts w:cs="Arial" w:hint="cs"/>
          <w:sz w:val="16"/>
          <w:szCs w:val="16"/>
          <w:rtl/>
        </w:rPr>
        <w:t xml:space="preserve"> </w:t>
      </w:r>
      <w:r w:rsidRPr="006A6FF0">
        <w:rPr>
          <w:rFonts w:cs="Arial"/>
          <w:sz w:val="16"/>
          <w:szCs w:val="16"/>
          <w:rtl/>
        </w:rPr>
        <w:t>(</w:t>
      </w:r>
      <w:r w:rsidRPr="006A6FF0">
        <w:rPr>
          <w:rFonts w:cs="Arial" w:hint="cs"/>
          <w:sz w:val="16"/>
          <w:szCs w:val="16"/>
          <w:rtl/>
        </w:rPr>
        <w:t xml:space="preserve">דרכ"מ אות </w:t>
      </w:r>
      <w:r w:rsidRPr="006A6FF0">
        <w:rPr>
          <w:rFonts w:cs="Arial"/>
          <w:sz w:val="16"/>
          <w:szCs w:val="16"/>
          <w:rtl/>
        </w:rPr>
        <w:t>ב)</w:t>
      </w:r>
    </w:p>
    <w:p w14:paraId="78465257" w14:textId="77777777" w:rsidR="00392DBB" w:rsidRDefault="00392DBB" w:rsidP="009000E3">
      <w:pPr>
        <w:pStyle w:val="ab"/>
        <w:numPr>
          <w:ilvl w:val="0"/>
          <w:numId w:val="62"/>
        </w:numPr>
      </w:pPr>
      <w:r w:rsidRPr="006A6FF0">
        <w:rPr>
          <w:rFonts w:cs="Arial"/>
          <w:rtl/>
        </w:rPr>
        <w:t xml:space="preserve">מרדכי </w:t>
      </w:r>
      <w:r w:rsidRPr="00141CDB">
        <w:rPr>
          <w:rFonts w:cs="Arial" w:hint="cs"/>
          <w:sz w:val="16"/>
          <w:szCs w:val="16"/>
          <w:rtl/>
        </w:rPr>
        <w:t>(</w:t>
      </w:r>
      <w:r w:rsidRPr="00141CDB">
        <w:rPr>
          <w:rFonts w:cs="Arial"/>
          <w:sz w:val="16"/>
          <w:szCs w:val="16"/>
          <w:rtl/>
        </w:rPr>
        <w:t>פ</w:t>
      </w:r>
      <w:r w:rsidRPr="00141CDB">
        <w:rPr>
          <w:rFonts w:cs="Arial" w:hint="cs"/>
          <w:sz w:val="16"/>
          <w:szCs w:val="16"/>
          <w:rtl/>
        </w:rPr>
        <w:t>'</w:t>
      </w:r>
      <w:r w:rsidRPr="00141CDB">
        <w:rPr>
          <w:rFonts w:cs="Arial"/>
          <w:sz w:val="16"/>
          <w:szCs w:val="16"/>
          <w:rtl/>
        </w:rPr>
        <w:t xml:space="preserve"> יש נוחלין סי' תקצה)</w:t>
      </w:r>
      <w:r>
        <w:rPr>
          <w:rFonts w:cs="Arial" w:hint="cs"/>
          <w:rtl/>
        </w:rPr>
        <w:t>-</w:t>
      </w:r>
      <w:r w:rsidRPr="006A6FF0">
        <w:rPr>
          <w:rFonts w:cs="Arial"/>
          <w:rtl/>
        </w:rPr>
        <w:t xml:space="preserve"> מי שאמר נכסי לבני ראובן</w:t>
      </w:r>
      <w:r>
        <w:rPr>
          <w:rFonts w:cs="Arial" w:hint="cs"/>
          <w:rtl/>
        </w:rPr>
        <w:t>,</w:t>
      </w:r>
      <w:r w:rsidRPr="006A6FF0">
        <w:rPr>
          <w:rFonts w:cs="Arial"/>
          <w:rtl/>
        </w:rPr>
        <w:t xml:space="preserve"> ואחריו לשמעון</w:t>
      </w:r>
      <w:r>
        <w:rPr>
          <w:rFonts w:cs="Arial" w:hint="cs"/>
          <w:rtl/>
        </w:rPr>
        <w:t>,</w:t>
      </w:r>
      <w:r w:rsidRPr="006A6FF0">
        <w:rPr>
          <w:rFonts w:cs="Arial"/>
          <w:rtl/>
        </w:rPr>
        <w:t xml:space="preserve"> ומת ראובן </w:t>
      </w:r>
      <w:r>
        <w:rPr>
          <w:rFonts w:cs="Arial" w:hint="cs"/>
          <w:rtl/>
        </w:rPr>
        <w:t xml:space="preserve">- </w:t>
      </w:r>
      <w:r w:rsidRPr="006A6FF0">
        <w:rPr>
          <w:rFonts w:cs="Arial"/>
          <w:rtl/>
        </w:rPr>
        <w:t>אשתו גובאת כתובתה מהן</w:t>
      </w:r>
      <w:r>
        <w:rPr>
          <w:rStyle w:val="a7"/>
          <w:rFonts w:cs="Arial"/>
          <w:rtl/>
        </w:rPr>
        <w:footnoteReference w:id="1881"/>
      </w:r>
      <w:r w:rsidRPr="006A6FF0">
        <w:rPr>
          <w:rFonts w:cs="Arial"/>
          <w:rtl/>
        </w:rPr>
        <w:t xml:space="preserve">. </w:t>
      </w:r>
    </w:p>
    <w:p w14:paraId="3CD1CAD1" w14:textId="77777777" w:rsidR="00392DBB" w:rsidRPr="0085652D" w:rsidRDefault="00392DBB" w:rsidP="00392DBB">
      <w:pPr>
        <w:rPr>
          <w:u w:val="single"/>
        </w:rPr>
      </w:pPr>
      <w:r>
        <w:rPr>
          <w:rFonts w:hint="cs"/>
          <w:u w:val="single"/>
          <w:rtl/>
        </w:rPr>
        <w:t>יתומים שיש להם קרקע ומטלטלים, ורצים לסלק לאלמנה בקרקע:</w:t>
      </w:r>
      <w:r w:rsidRPr="0085652D">
        <w:rPr>
          <w:rFonts w:cs="Arial"/>
          <w:rtl/>
        </w:rPr>
        <w:t xml:space="preserve"> </w:t>
      </w:r>
      <w:r w:rsidRPr="0085652D">
        <w:rPr>
          <w:rFonts w:cs="Arial"/>
          <w:sz w:val="16"/>
          <w:szCs w:val="16"/>
          <w:rtl/>
        </w:rPr>
        <w:t>(</w:t>
      </w:r>
      <w:r w:rsidRPr="0085652D">
        <w:rPr>
          <w:rFonts w:cs="Arial" w:hint="cs"/>
          <w:sz w:val="16"/>
          <w:szCs w:val="16"/>
          <w:rtl/>
        </w:rPr>
        <w:t xml:space="preserve">דרכ"מ אות </w:t>
      </w:r>
      <w:r>
        <w:rPr>
          <w:rFonts w:cs="Arial" w:hint="cs"/>
          <w:sz w:val="16"/>
          <w:szCs w:val="16"/>
          <w:rtl/>
        </w:rPr>
        <w:t>י</w:t>
      </w:r>
      <w:r w:rsidRPr="0085652D">
        <w:rPr>
          <w:rFonts w:cs="Arial"/>
          <w:sz w:val="16"/>
          <w:szCs w:val="16"/>
          <w:rtl/>
        </w:rPr>
        <w:t>)</w:t>
      </w:r>
    </w:p>
    <w:p w14:paraId="575E8D77" w14:textId="616FC3AD" w:rsidR="00392DBB" w:rsidRPr="00AB0CBA" w:rsidRDefault="00392DBB" w:rsidP="009000E3">
      <w:pPr>
        <w:pStyle w:val="ab"/>
        <w:numPr>
          <w:ilvl w:val="0"/>
          <w:numId w:val="61"/>
        </w:numPr>
        <w:rPr>
          <w:rtl/>
        </w:rPr>
      </w:pPr>
      <w:r w:rsidRPr="0085652D">
        <w:rPr>
          <w:rFonts w:cs="Arial"/>
          <w:rtl/>
        </w:rPr>
        <w:t xml:space="preserve">הגהות אלפסי </w:t>
      </w:r>
      <w:r w:rsidRPr="0085652D">
        <w:rPr>
          <w:rFonts w:cs="Arial"/>
          <w:sz w:val="16"/>
          <w:szCs w:val="16"/>
          <w:rtl/>
        </w:rPr>
        <w:t>(לא.)</w:t>
      </w:r>
      <w:r w:rsidRPr="0085652D">
        <w:rPr>
          <w:rFonts w:cs="Arial" w:hint="cs"/>
          <w:rtl/>
        </w:rPr>
        <w:t>-</w:t>
      </w:r>
      <w:r w:rsidRPr="0085652D">
        <w:rPr>
          <w:rFonts w:cs="Arial"/>
          <w:rtl/>
        </w:rPr>
        <w:t xml:space="preserve"> אע"ג דכתובה נגבית ממטלטלין הרשות ביד יתומים ליתן לה קרקע</w:t>
      </w:r>
      <w:r>
        <w:rPr>
          <w:rFonts w:hint="cs"/>
          <w:rtl/>
        </w:rPr>
        <w:t xml:space="preserve">. </w:t>
      </w:r>
      <w:r w:rsidRPr="0020731C">
        <w:rPr>
          <w:rFonts w:hint="cs"/>
          <w:color w:val="00B0F0"/>
          <w:rtl/>
        </w:rPr>
        <w:t>(וכ"פ הרמ"א)</w:t>
      </w:r>
    </w:p>
    <w:p w14:paraId="7A72BB79" w14:textId="77777777" w:rsidR="00392DBB" w:rsidRPr="008775E3" w:rsidRDefault="00392DBB" w:rsidP="00392DBB">
      <w:pPr>
        <w:rPr>
          <w:rFonts w:cs="Arial"/>
          <w:u w:val="single"/>
        </w:rPr>
      </w:pPr>
      <w:r w:rsidRPr="008775E3">
        <w:rPr>
          <w:rFonts w:cs="Arial"/>
          <w:u w:val="single"/>
          <w:rtl/>
        </w:rPr>
        <w:t>אלמנה תובעת כתובתה</w:t>
      </w:r>
      <w:r w:rsidRPr="008775E3">
        <w:rPr>
          <w:rFonts w:cs="Arial" w:hint="cs"/>
          <w:u w:val="single"/>
          <w:rtl/>
        </w:rPr>
        <w:t>,</w:t>
      </w:r>
      <w:r w:rsidRPr="008775E3">
        <w:rPr>
          <w:rFonts w:cs="Arial"/>
          <w:u w:val="single"/>
          <w:rtl/>
        </w:rPr>
        <w:t xml:space="preserve"> והיתומים </w:t>
      </w:r>
      <w:r w:rsidRPr="008775E3">
        <w:rPr>
          <w:rFonts w:cs="Arial" w:hint="cs"/>
          <w:u w:val="single"/>
          <w:rtl/>
        </w:rPr>
        <w:t xml:space="preserve">מבקשים ממנה ערבות </w:t>
      </w:r>
      <w:r w:rsidRPr="008775E3">
        <w:rPr>
          <w:rFonts w:cs="Arial"/>
          <w:u w:val="single"/>
          <w:rtl/>
        </w:rPr>
        <w:t>ש</w:t>
      </w:r>
      <w:r>
        <w:rPr>
          <w:rFonts w:cs="Arial" w:hint="cs"/>
          <w:u w:val="single"/>
          <w:rtl/>
        </w:rPr>
        <w:t>מא</w:t>
      </w:r>
      <w:r w:rsidRPr="008775E3">
        <w:rPr>
          <w:rFonts w:cs="Arial"/>
          <w:u w:val="single"/>
          <w:rtl/>
        </w:rPr>
        <w:t xml:space="preserve"> ימצאו אח</w:t>
      </w:r>
      <w:r w:rsidRPr="008775E3">
        <w:rPr>
          <w:rFonts w:cs="Arial" w:hint="cs"/>
          <w:u w:val="single"/>
          <w:rtl/>
        </w:rPr>
        <w:t>"</w:t>
      </w:r>
      <w:r w:rsidRPr="008775E3">
        <w:rPr>
          <w:rFonts w:cs="Arial"/>
          <w:u w:val="single"/>
          <w:rtl/>
        </w:rPr>
        <w:t>כ בע</w:t>
      </w:r>
      <w:r w:rsidRPr="008775E3">
        <w:rPr>
          <w:rFonts w:cs="Arial" w:hint="cs"/>
          <w:u w:val="single"/>
          <w:rtl/>
        </w:rPr>
        <w:t>"ח</w:t>
      </w:r>
      <w:r w:rsidRPr="008775E3">
        <w:rPr>
          <w:rFonts w:cs="Arial"/>
          <w:u w:val="single"/>
          <w:rtl/>
        </w:rPr>
        <w:t xml:space="preserve"> מוקדמין</w:t>
      </w:r>
      <w:r>
        <w:rPr>
          <w:rFonts w:cs="Arial" w:hint="cs"/>
          <w:u w:val="single"/>
          <w:rtl/>
        </w:rPr>
        <w:t>:</w:t>
      </w:r>
      <w:r>
        <w:rPr>
          <w:rFonts w:cs="Arial" w:hint="cs"/>
          <w:sz w:val="16"/>
          <w:szCs w:val="16"/>
          <w:rtl/>
        </w:rPr>
        <w:t xml:space="preserve"> </w:t>
      </w:r>
      <w:r w:rsidRPr="00707E37">
        <w:rPr>
          <w:rFonts w:cs="Arial"/>
          <w:sz w:val="16"/>
          <w:szCs w:val="16"/>
          <w:rtl/>
        </w:rPr>
        <w:t>(</w:t>
      </w:r>
      <w:r w:rsidRPr="00707E37">
        <w:rPr>
          <w:rFonts w:cs="Arial" w:hint="cs"/>
          <w:sz w:val="16"/>
          <w:szCs w:val="16"/>
          <w:rtl/>
        </w:rPr>
        <w:t xml:space="preserve">דרכ"מ אות </w:t>
      </w:r>
      <w:r w:rsidRPr="00707E37">
        <w:rPr>
          <w:rFonts w:cs="Arial"/>
          <w:sz w:val="16"/>
          <w:szCs w:val="16"/>
          <w:rtl/>
        </w:rPr>
        <w:t>יא)</w:t>
      </w:r>
    </w:p>
    <w:p w14:paraId="1E8F1834" w14:textId="530C1F8E" w:rsidR="00392DBB" w:rsidRPr="00750F97" w:rsidRDefault="00392DBB" w:rsidP="009000E3">
      <w:pPr>
        <w:pStyle w:val="ab"/>
        <w:numPr>
          <w:ilvl w:val="0"/>
          <w:numId w:val="61"/>
        </w:numPr>
        <w:rPr>
          <w:rFonts w:cs="Arial"/>
        </w:rPr>
      </w:pPr>
      <w:r w:rsidRPr="00F02E86">
        <w:rPr>
          <w:rFonts w:cs="Arial"/>
          <w:rtl/>
        </w:rPr>
        <w:t xml:space="preserve">ריב"ש </w:t>
      </w:r>
      <w:r w:rsidRPr="008775E3">
        <w:rPr>
          <w:rFonts w:cs="Arial" w:hint="cs"/>
          <w:sz w:val="16"/>
          <w:szCs w:val="16"/>
          <w:rtl/>
        </w:rPr>
        <w:t>(</w:t>
      </w:r>
      <w:r w:rsidRPr="008775E3">
        <w:rPr>
          <w:rFonts w:cs="Arial"/>
          <w:sz w:val="16"/>
          <w:szCs w:val="16"/>
          <w:rtl/>
        </w:rPr>
        <w:t>סי</w:t>
      </w:r>
      <w:r w:rsidRPr="008775E3">
        <w:rPr>
          <w:rFonts w:cs="Arial" w:hint="cs"/>
          <w:sz w:val="16"/>
          <w:szCs w:val="16"/>
          <w:rtl/>
        </w:rPr>
        <w:t>'</w:t>
      </w:r>
      <w:r w:rsidRPr="008775E3">
        <w:rPr>
          <w:rFonts w:cs="Arial"/>
          <w:sz w:val="16"/>
          <w:szCs w:val="16"/>
          <w:rtl/>
        </w:rPr>
        <w:t xml:space="preserve"> רצט</w:t>
      </w:r>
      <w:r>
        <w:rPr>
          <w:rFonts w:cs="Arial" w:hint="cs"/>
          <w:sz w:val="16"/>
          <w:szCs w:val="16"/>
          <w:rtl/>
        </w:rPr>
        <w:t>, ועי' סי' רמד</w:t>
      </w:r>
      <w:r w:rsidRPr="008775E3">
        <w:rPr>
          <w:rFonts w:cs="Arial" w:hint="cs"/>
          <w:sz w:val="16"/>
          <w:szCs w:val="16"/>
          <w:rtl/>
        </w:rPr>
        <w:t>)</w:t>
      </w:r>
      <w:r>
        <w:rPr>
          <w:rFonts w:cs="Arial" w:hint="cs"/>
          <w:rtl/>
        </w:rPr>
        <w:t>-</w:t>
      </w:r>
      <w:r w:rsidRPr="00F02E86">
        <w:rPr>
          <w:rFonts w:cs="Arial"/>
          <w:rtl/>
        </w:rPr>
        <w:t xml:space="preserve"> אלמנה תובעת כתובתה</w:t>
      </w:r>
      <w:r>
        <w:rPr>
          <w:rFonts w:cs="Arial" w:hint="cs"/>
          <w:rtl/>
        </w:rPr>
        <w:t>,</w:t>
      </w:r>
      <w:r w:rsidRPr="00F02E86">
        <w:rPr>
          <w:rFonts w:cs="Arial"/>
          <w:rtl/>
        </w:rPr>
        <w:t xml:space="preserve"> והיתומים טוענים שתתן ערבות שאם ימצאו אח</w:t>
      </w:r>
      <w:r w:rsidR="002402E9">
        <w:rPr>
          <w:rFonts w:cs="Arial" w:hint="cs"/>
          <w:rtl/>
        </w:rPr>
        <w:t>"</w:t>
      </w:r>
      <w:r w:rsidRPr="00F02E86">
        <w:rPr>
          <w:rFonts w:cs="Arial"/>
          <w:rtl/>
        </w:rPr>
        <w:t xml:space="preserve">כ בעלי חובות מוקדמין שתחזיר מה שנתנו לה </w:t>
      </w:r>
      <w:r w:rsidR="00F97626">
        <w:rPr>
          <w:rFonts w:cs="Arial"/>
          <w:rtl/>
        </w:rPr>
        <w:t>-</w:t>
      </w:r>
      <w:r>
        <w:rPr>
          <w:rFonts w:cs="Arial" w:hint="cs"/>
          <w:rtl/>
        </w:rPr>
        <w:t xml:space="preserve"> </w:t>
      </w:r>
      <w:r w:rsidRPr="00F02E86">
        <w:rPr>
          <w:rFonts w:cs="Arial"/>
          <w:rtl/>
        </w:rPr>
        <w:t>א</w:t>
      </w:r>
      <w:r>
        <w:rPr>
          <w:rFonts w:cs="Arial" w:hint="cs"/>
          <w:rtl/>
        </w:rPr>
        <w:t xml:space="preserve">ינה </w:t>
      </w:r>
      <w:r w:rsidRPr="00F02E86">
        <w:rPr>
          <w:rFonts w:cs="Arial"/>
          <w:rtl/>
        </w:rPr>
        <w:t>צ</w:t>
      </w:r>
      <w:r>
        <w:rPr>
          <w:rFonts w:cs="Arial" w:hint="cs"/>
          <w:rtl/>
        </w:rPr>
        <w:t>ריכה ליתן להם ערבות.</w:t>
      </w:r>
      <w:r w:rsidRPr="00750F97">
        <w:rPr>
          <w:rFonts w:cs="Arial"/>
          <w:rtl/>
        </w:rPr>
        <w:t xml:space="preserve"> </w:t>
      </w:r>
    </w:p>
    <w:p w14:paraId="72A0577B"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C490CA9" w14:textId="6AC40A89" w:rsidR="00392DBB" w:rsidRDefault="00392DBB" w:rsidP="00392DBB">
      <w:pPr>
        <w:rPr>
          <w:rtl/>
        </w:rPr>
      </w:pPr>
      <w:r>
        <w:rPr>
          <w:rFonts w:cs="Arial"/>
          <w:rtl/>
        </w:rPr>
        <w:t>מדינא דגמרא הכתובה, דהיינו עיקר כתובה ותוספת, אינם נגבים אלא מן הקרקע</w:t>
      </w:r>
      <w:r>
        <w:rPr>
          <w:rStyle w:val="a7"/>
          <w:rFonts w:cs="Arial"/>
          <w:rtl/>
        </w:rPr>
        <w:footnoteReference w:id="1882"/>
      </w:r>
      <w:r>
        <w:rPr>
          <w:rFonts w:cs="Arial"/>
          <w:rtl/>
        </w:rPr>
        <w:t>. ומתקנת הגאונים נגבים אף מן המטלטלים. וה</w:t>
      </w:r>
      <w:r>
        <w:rPr>
          <w:rFonts w:cs="Arial" w:hint="cs"/>
          <w:rtl/>
        </w:rPr>
        <w:t xml:space="preserve">וא </w:t>
      </w:r>
      <w:r>
        <w:rPr>
          <w:rFonts w:cs="Arial"/>
          <w:rtl/>
        </w:rPr>
        <w:t>ה</w:t>
      </w:r>
      <w:r>
        <w:rPr>
          <w:rFonts w:cs="Arial" w:hint="cs"/>
          <w:rtl/>
        </w:rPr>
        <w:t>דין</w:t>
      </w:r>
      <w:r>
        <w:rPr>
          <w:rFonts w:cs="Arial"/>
          <w:rtl/>
        </w:rPr>
        <w:t xml:space="preserve"> לכל תנאיה, חוץ מכתובת בנין דכרין</w:t>
      </w:r>
      <w:r>
        <w:rPr>
          <w:rStyle w:val="a7"/>
          <w:rFonts w:cs="Arial"/>
          <w:rtl/>
        </w:rPr>
        <w:footnoteReference w:id="1883"/>
      </w:r>
      <w:r>
        <w:rPr>
          <w:rFonts w:cs="Arial"/>
          <w:rtl/>
        </w:rPr>
        <w:t>. לפיכך</w:t>
      </w:r>
      <w:r>
        <w:rPr>
          <w:rFonts w:cs="Arial" w:hint="cs"/>
          <w:rtl/>
        </w:rPr>
        <w:t>,</w:t>
      </w:r>
      <w:r>
        <w:rPr>
          <w:rFonts w:cs="Arial"/>
          <w:rtl/>
        </w:rPr>
        <w:t xml:space="preserve"> אם גבו היורשים מעות</w:t>
      </w:r>
      <w:r>
        <w:rPr>
          <w:rStyle w:val="a7"/>
          <w:rFonts w:cs="Arial"/>
          <w:rtl/>
        </w:rPr>
        <w:footnoteReference w:id="1884"/>
      </w:r>
      <w:r>
        <w:rPr>
          <w:rFonts w:cs="Arial"/>
          <w:rtl/>
        </w:rPr>
        <w:t xml:space="preserve"> בחובת אביהם, גובה מהם. </w:t>
      </w:r>
      <w:r>
        <w:rPr>
          <w:rFonts w:cs="Arial" w:hint="cs"/>
          <w:sz w:val="18"/>
          <w:szCs w:val="18"/>
          <w:rtl/>
        </w:rPr>
        <w:t xml:space="preserve">[הגה] </w:t>
      </w:r>
      <w:r w:rsidRPr="00AB0CBA">
        <w:rPr>
          <w:rFonts w:cs="Arial"/>
          <w:sz w:val="18"/>
          <w:szCs w:val="18"/>
          <w:rtl/>
        </w:rPr>
        <w:t>ומיהו רשות ביד היורשים</w:t>
      </w:r>
      <w:r>
        <w:rPr>
          <w:rStyle w:val="a7"/>
          <w:rFonts w:cs="Arial"/>
          <w:sz w:val="18"/>
          <w:szCs w:val="18"/>
          <w:rtl/>
        </w:rPr>
        <w:footnoteReference w:id="1885"/>
      </w:r>
      <w:r w:rsidRPr="00AB0CBA">
        <w:rPr>
          <w:rFonts w:cs="Arial"/>
          <w:sz w:val="18"/>
          <w:szCs w:val="18"/>
          <w:rtl/>
        </w:rPr>
        <w:t xml:space="preserve"> לסלקה בקרקע (הגהות אלפסי). </w:t>
      </w:r>
      <w:r>
        <w:rPr>
          <w:rFonts w:cs="Arial"/>
          <w:rtl/>
        </w:rPr>
        <w:t xml:space="preserve">ודוקא ממטלטלי בני חרי, אבל אם מכרם הבעל או נתנם במתנת בריא, אינה גובה מהם. </w:t>
      </w:r>
      <w:r w:rsidRPr="00AB0CBA">
        <w:rPr>
          <w:rFonts w:cs="Arial"/>
          <w:sz w:val="18"/>
          <w:szCs w:val="18"/>
          <w:rtl/>
        </w:rPr>
        <w:t>הגה: וי"א דוקא שנתן לאחרים, אבל אם נתן ליורשיו במתנת בריא, אשה גובאת כתובתה מהם</w:t>
      </w:r>
      <w:r>
        <w:rPr>
          <w:rStyle w:val="a7"/>
          <w:rFonts w:cs="Arial"/>
          <w:sz w:val="18"/>
          <w:szCs w:val="18"/>
          <w:rtl/>
        </w:rPr>
        <w:footnoteReference w:id="1886"/>
      </w:r>
      <w:r w:rsidRPr="00AB0CBA">
        <w:rPr>
          <w:rFonts w:cs="Arial"/>
          <w:sz w:val="18"/>
          <w:szCs w:val="18"/>
          <w:rtl/>
        </w:rPr>
        <w:t xml:space="preserve"> (הגה</w:t>
      </w:r>
      <w:r>
        <w:rPr>
          <w:rFonts w:cs="Arial" w:hint="cs"/>
          <w:sz w:val="18"/>
          <w:szCs w:val="18"/>
          <w:rtl/>
        </w:rPr>
        <w:t>"</w:t>
      </w:r>
      <w:r w:rsidRPr="00AB0CBA">
        <w:rPr>
          <w:rFonts w:cs="Arial"/>
          <w:sz w:val="18"/>
          <w:szCs w:val="18"/>
          <w:rtl/>
        </w:rPr>
        <w:t xml:space="preserve">מ </w:t>
      </w:r>
      <w:r w:rsidRPr="00AB0CBA">
        <w:rPr>
          <w:rFonts w:cs="Arial"/>
          <w:sz w:val="18"/>
          <w:szCs w:val="18"/>
          <w:rtl/>
        </w:rPr>
        <w:lastRenderedPageBreak/>
        <w:t>מהרא"י ומהרי"ו), דכל מה שנתן ליורשיו אינו אלא כירושה, והאשה גובאת כתובתה משם (מרדכי בשם מהר"ם). מי שצוה</w:t>
      </w:r>
      <w:r>
        <w:rPr>
          <w:rStyle w:val="a7"/>
          <w:rFonts w:cs="Arial"/>
          <w:sz w:val="18"/>
          <w:szCs w:val="18"/>
          <w:rtl/>
        </w:rPr>
        <w:footnoteReference w:id="1887"/>
      </w:r>
      <w:r w:rsidRPr="00AB0CBA">
        <w:rPr>
          <w:rFonts w:cs="Arial"/>
          <w:sz w:val="18"/>
          <w:szCs w:val="18"/>
          <w:rtl/>
        </w:rPr>
        <w:t xml:space="preserve"> לתת מנכסיו לאחר מותו כך וכך, אע</w:t>
      </w:r>
      <w:r w:rsidR="00674FAE">
        <w:rPr>
          <w:rFonts w:cs="Arial" w:hint="cs"/>
          <w:sz w:val="18"/>
          <w:szCs w:val="18"/>
          <w:rtl/>
        </w:rPr>
        <w:t>"</w:t>
      </w:r>
      <w:r w:rsidRPr="00AB0CBA">
        <w:rPr>
          <w:rFonts w:cs="Arial"/>
          <w:sz w:val="18"/>
          <w:szCs w:val="18"/>
          <w:rtl/>
        </w:rPr>
        <w:t>פ שצוה כך כשהיה בריא, אשה גובאת כתובתה משם</w:t>
      </w:r>
      <w:r>
        <w:rPr>
          <w:rStyle w:val="a7"/>
          <w:rFonts w:cs="Arial"/>
          <w:sz w:val="18"/>
          <w:szCs w:val="18"/>
          <w:rtl/>
        </w:rPr>
        <w:footnoteReference w:id="1888"/>
      </w:r>
      <w:r w:rsidRPr="00AB0CBA">
        <w:rPr>
          <w:rFonts w:cs="Arial"/>
          <w:sz w:val="18"/>
          <w:szCs w:val="18"/>
          <w:rtl/>
        </w:rPr>
        <w:t>, דאינה אלא כמתנת שכיב מרע דגובאת כתובתה משם</w:t>
      </w:r>
      <w:r>
        <w:rPr>
          <w:rFonts w:cs="Arial" w:hint="cs"/>
          <w:sz w:val="18"/>
          <w:szCs w:val="18"/>
          <w:rtl/>
        </w:rPr>
        <w:t xml:space="preserve"> (מרדכי בשם מהר"ם)</w:t>
      </w:r>
      <w:r w:rsidRPr="00AB0CBA">
        <w:rPr>
          <w:rFonts w:cs="Arial"/>
          <w:sz w:val="18"/>
          <w:szCs w:val="18"/>
          <w:rtl/>
        </w:rPr>
        <w:t>. ועיין בח"ה סימן רנ"א ורנ"ב ורנ"ז.</w:t>
      </w:r>
      <w:r>
        <w:rPr>
          <w:rFonts w:cs="Arial"/>
          <w:rtl/>
        </w:rPr>
        <w:t xml:space="preserve"> ואם מכרום יורשים</w:t>
      </w:r>
      <w:r>
        <w:rPr>
          <w:rStyle w:val="a7"/>
          <w:rFonts w:cs="Arial"/>
          <w:rtl/>
        </w:rPr>
        <w:footnoteReference w:id="1889"/>
      </w:r>
      <w:r>
        <w:rPr>
          <w:rFonts w:cs="Arial"/>
          <w:rtl/>
        </w:rPr>
        <w:t xml:space="preserve"> אחר מותו, גובה מהם. ועכשיו נוהגים לכתוב בכל הכתובות ששיעבד לה כל נכסיו מקרקעי ומטלטלי</w:t>
      </w:r>
      <w:r>
        <w:rPr>
          <w:rFonts w:cs="Arial" w:hint="cs"/>
          <w:rtl/>
        </w:rPr>
        <w:t>,</w:t>
      </w:r>
      <w:r>
        <w:rPr>
          <w:rFonts w:cs="Arial"/>
          <w:rtl/>
        </w:rPr>
        <w:t xml:space="preserve"> מטלטלי אגב מקרקעי</w:t>
      </w:r>
      <w:r>
        <w:rPr>
          <w:rFonts w:cs="Arial" w:hint="cs"/>
          <w:rtl/>
        </w:rPr>
        <w:t>,</w:t>
      </w:r>
      <w:r>
        <w:rPr>
          <w:rFonts w:cs="Arial"/>
          <w:rtl/>
        </w:rPr>
        <w:t xml:space="preserve"> דקנאי ודאקנה. ומכל מקום לא נהגו לגבות ממטלטלין שמכר או נתן במתנת בריא, ולא אפילו ממטלטלין שמכרו היורשים</w:t>
      </w:r>
      <w:r>
        <w:rPr>
          <w:rStyle w:val="a7"/>
          <w:rFonts w:cs="Arial"/>
          <w:rtl/>
        </w:rPr>
        <w:footnoteReference w:id="1890"/>
      </w:r>
      <w:r>
        <w:rPr>
          <w:rFonts w:cs="Arial"/>
          <w:rtl/>
        </w:rPr>
        <w:t>, מפני תקנת השוק</w:t>
      </w:r>
      <w:r>
        <w:rPr>
          <w:rStyle w:val="a7"/>
          <w:rFonts w:cs="Arial"/>
          <w:rtl/>
        </w:rPr>
        <w:footnoteReference w:id="1891"/>
      </w:r>
      <w:r>
        <w:rPr>
          <w:rFonts w:cs="Arial"/>
          <w:rtl/>
        </w:rPr>
        <w:t xml:space="preserve">. </w:t>
      </w:r>
      <w:r w:rsidRPr="00AB0CBA">
        <w:rPr>
          <w:rFonts w:cs="Arial"/>
          <w:sz w:val="18"/>
          <w:szCs w:val="18"/>
          <w:rtl/>
        </w:rPr>
        <w:t>וע' בח"ה סימן קי"ג. עיין לקמן סימן קי"ח אם אשה חייבת לקבור בעלה קודם שתגבה כתובתה.</w:t>
      </w:r>
    </w:p>
    <w:p w14:paraId="69777659" w14:textId="77777777" w:rsidR="00392DBB" w:rsidRPr="00481723" w:rsidRDefault="00392DBB" w:rsidP="00392DBB">
      <w:pPr>
        <w:rPr>
          <w:rtl/>
        </w:rPr>
      </w:pPr>
    </w:p>
    <w:p w14:paraId="27043510" w14:textId="77777777" w:rsidR="00392DBB" w:rsidRDefault="00392DBB" w:rsidP="000F64D0">
      <w:pPr>
        <w:pStyle w:val="2"/>
        <w:rPr>
          <w:rtl/>
        </w:rPr>
      </w:pPr>
      <w:r>
        <w:rPr>
          <w:rtl/>
        </w:rPr>
        <w:t>סעיף ב</w:t>
      </w:r>
      <w:r>
        <w:rPr>
          <w:rFonts w:hint="cs"/>
          <w:rtl/>
        </w:rPr>
        <w:t>: גביית כתובה משבח ומראוי.</w:t>
      </w:r>
    </w:p>
    <w:p w14:paraId="67745C89" w14:textId="77777777" w:rsidR="00392DBB" w:rsidRPr="00A33649" w:rsidRDefault="00392DBB" w:rsidP="00392DBB">
      <w:pPr>
        <w:rPr>
          <w:rtl/>
        </w:rPr>
      </w:pPr>
      <w:r>
        <w:rPr>
          <w:rFonts w:hint="cs"/>
          <w:rtl/>
        </w:rPr>
        <w:t>עיין במקורות בסעיף א.</w:t>
      </w:r>
    </w:p>
    <w:p w14:paraId="760ED6AC" w14:textId="4B6634D2" w:rsidR="00392DBB" w:rsidRPr="00A42E68" w:rsidRDefault="00E87FA1" w:rsidP="00392DBB">
      <w:pPr>
        <w:rPr>
          <w:u w:val="single"/>
        </w:rPr>
      </w:pPr>
      <w:r>
        <w:rPr>
          <w:rFonts w:cs="Arial" w:hint="cs"/>
          <w:u w:val="single"/>
          <w:rtl/>
        </w:rPr>
        <w:t>אב</w:t>
      </w:r>
      <w:r w:rsidR="00392DBB" w:rsidRPr="00A42E68">
        <w:rPr>
          <w:rFonts w:cs="Arial" w:hint="cs"/>
          <w:u w:val="single"/>
          <w:rtl/>
        </w:rPr>
        <w:t xml:space="preserve"> </w:t>
      </w:r>
      <w:r w:rsidR="00392DBB" w:rsidRPr="00A42E68">
        <w:rPr>
          <w:rFonts w:cs="Arial"/>
          <w:u w:val="single"/>
          <w:rtl/>
        </w:rPr>
        <w:t xml:space="preserve">פסק </w:t>
      </w:r>
      <w:r w:rsidR="00392DBB" w:rsidRPr="00A42E68">
        <w:rPr>
          <w:rFonts w:cs="Arial" w:hint="cs"/>
          <w:u w:val="single"/>
          <w:rtl/>
        </w:rPr>
        <w:t xml:space="preserve">לפני מותו </w:t>
      </w:r>
      <w:r w:rsidR="00392DBB" w:rsidRPr="00A42E68">
        <w:rPr>
          <w:rFonts w:cs="Arial"/>
          <w:u w:val="single"/>
          <w:rtl/>
        </w:rPr>
        <w:t xml:space="preserve">ליתן לבנו מתנה </w:t>
      </w:r>
      <w:r>
        <w:rPr>
          <w:rFonts w:cs="Arial" w:hint="cs"/>
          <w:u w:val="single"/>
          <w:rtl/>
        </w:rPr>
        <w:t>לזמן כך וכך</w:t>
      </w:r>
      <w:r w:rsidR="00392DBB" w:rsidRPr="00A42E68">
        <w:rPr>
          <w:rFonts w:cs="Arial" w:hint="cs"/>
          <w:u w:val="single"/>
          <w:rtl/>
        </w:rPr>
        <w:t>, ומת הבן קודם שעבר הזמן</w:t>
      </w:r>
      <w:r>
        <w:rPr>
          <w:rFonts w:cs="Arial" w:hint="cs"/>
          <w:u w:val="single"/>
          <w:rtl/>
        </w:rPr>
        <w:t xml:space="preserve"> - האם אשתו גובה מזה</w:t>
      </w:r>
      <w:r w:rsidR="00392DBB" w:rsidRPr="00A42E68">
        <w:rPr>
          <w:rFonts w:cs="Arial" w:hint="cs"/>
          <w:u w:val="single"/>
          <w:rtl/>
        </w:rPr>
        <w:t>:</w:t>
      </w:r>
      <w:r w:rsidR="00392DBB">
        <w:rPr>
          <w:rFonts w:hint="cs"/>
          <w:rtl/>
        </w:rPr>
        <w:t xml:space="preserve"> </w:t>
      </w:r>
      <w:r w:rsidR="00392DBB">
        <w:rPr>
          <w:rFonts w:cs="Arial" w:hint="cs"/>
          <w:sz w:val="16"/>
          <w:szCs w:val="16"/>
          <w:rtl/>
        </w:rPr>
        <w:t xml:space="preserve"> </w:t>
      </w:r>
      <w:r w:rsidR="00392DBB" w:rsidRPr="006A6FF0">
        <w:rPr>
          <w:rFonts w:cs="Arial"/>
          <w:sz w:val="16"/>
          <w:szCs w:val="16"/>
          <w:rtl/>
        </w:rPr>
        <w:t>(</w:t>
      </w:r>
      <w:r w:rsidR="00392DBB" w:rsidRPr="006A6FF0">
        <w:rPr>
          <w:rFonts w:cs="Arial" w:hint="cs"/>
          <w:sz w:val="16"/>
          <w:szCs w:val="16"/>
          <w:rtl/>
        </w:rPr>
        <w:t xml:space="preserve">דרכ"מ אות </w:t>
      </w:r>
      <w:r w:rsidR="00392DBB" w:rsidRPr="006A6FF0">
        <w:rPr>
          <w:rFonts w:cs="Arial"/>
          <w:sz w:val="16"/>
          <w:szCs w:val="16"/>
          <w:rtl/>
        </w:rPr>
        <w:t>ב)</w:t>
      </w:r>
    </w:p>
    <w:p w14:paraId="324E7BB2" w14:textId="77777777" w:rsidR="00392DBB" w:rsidRPr="00AB0CBA" w:rsidRDefault="00392DBB" w:rsidP="009000E3">
      <w:pPr>
        <w:pStyle w:val="ab"/>
        <w:numPr>
          <w:ilvl w:val="0"/>
          <w:numId w:val="62"/>
        </w:numPr>
        <w:rPr>
          <w:rtl/>
        </w:rPr>
      </w:pPr>
      <w:r w:rsidRPr="006A6FF0">
        <w:rPr>
          <w:rFonts w:cs="Arial"/>
          <w:rtl/>
        </w:rPr>
        <w:t xml:space="preserve">מהרי"ל </w:t>
      </w:r>
      <w:r w:rsidRPr="00141CDB">
        <w:rPr>
          <w:rFonts w:cs="Arial"/>
          <w:sz w:val="16"/>
          <w:szCs w:val="16"/>
          <w:rtl/>
        </w:rPr>
        <w:t>(שו"ת סי' עה)</w:t>
      </w:r>
      <w:r w:rsidRPr="006A6FF0">
        <w:rPr>
          <w:rFonts w:cs="Arial"/>
          <w:rtl/>
        </w:rPr>
        <w:t xml:space="preserve"> </w:t>
      </w:r>
      <w:r>
        <w:rPr>
          <w:rFonts w:cs="Arial" w:hint="cs"/>
          <w:rtl/>
        </w:rPr>
        <w:t>ו</w:t>
      </w:r>
      <w:r w:rsidRPr="006A6FF0">
        <w:rPr>
          <w:rFonts w:cs="Arial"/>
          <w:rtl/>
        </w:rPr>
        <w:t xml:space="preserve">מהרי"ו </w:t>
      </w:r>
      <w:r w:rsidRPr="00141CDB">
        <w:rPr>
          <w:rFonts w:cs="Arial" w:hint="cs"/>
          <w:sz w:val="16"/>
          <w:szCs w:val="16"/>
          <w:rtl/>
        </w:rPr>
        <w:t>(</w:t>
      </w:r>
      <w:r w:rsidRPr="00141CDB">
        <w:rPr>
          <w:rFonts w:cs="Arial"/>
          <w:sz w:val="16"/>
          <w:szCs w:val="16"/>
          <w:rtl/>
        </w:rPr>
        <w:t>בתשובה סי</w:t>
      </w:r>
      <w:r w:rsidRPr="00141CDB">
        <w:rPr>
          <w:rFonts w:cs="Arial" w:hint="cs"/>
          <w:sz w:val="16"/>
          <w:szCs w:val="16"/>
          <w:rtl/>
        </w:rPr>
        <w:t>'</w:t>
      </w:r>
      <w:r w:rsidRPr="00141CDB">
        <w:rPr>
          <w:rFonts w:cs="Arial"/>
          <w:sz w:val="16"/>
          <w:szCs w:val="16"/>
          <w:rtl/>
        </w:rPr>
        <w:t xml:space="preserve"> מ</w:t>
      </w:r>
      <w:r w:rsidRPr="00141CDB">
        <w:rPr>
          <w:rFonts w:cs="Arial" w:hint="cs"/>
          <w:sz w:val="16"/>
          <w:szCs w:val="16"/>
          <w:rtl/>
        </w:rPr>
        <w:t>)</w:t>
      </w:r>
      <w:r>
        <w:rPr>
          <w:rFonts w:cs="Arial" w:hint="cs"/>
          <w:rtl/>
        </w:rPr>
        <w:t xml:space="preserve">- </w:t>
      </w:r>
      <w:r w:rsidRPr="006A6FF0">
        <w:rPr>
          <w:rFonts w:cs="Arial"/>
          <w:rtl/>
        </w:rPr>
        <w:t>אם אחד פסק ליתן לבנו מתנה אחר ב' או ג' שנים</w:t>
      </w:r>
      <w:r>
        <w:rPr>
          <w:rFonts w:cs="Arial" w:hint="cs"/>
          <w:rtl/>
        </w:rPr>
        <w:t>,</w:t>
      </w:r>
      <w:r w:rsidRPr="006A6FF0">
        <w:rPr>
          <w:rFonts w:cs="Arial"/>
          <w:rtl/>
        </w:rPr>
        <w:t xml:space="preserve"> או שצוה בעת מותו שלא לתת לבנו הירושה עד אחר ג' שנים</w:t>
      </w:r>
      <w:r>
        <w:rPr>
          <w:rFonts w:cs="Arial" w:hint="cs"/>
          <w:rtl/>
        </w:rPr>
        <w:t>,</w:t>
      </w:r>
      <w:r w:rsidRPr="006A6FF0">
        <w:rPr>
          <w:rFonts w:cs="Arial"/>
          <w:rtl/>
        </w:rPr>
        <w:t xml:space="preserve"> ומת הבן </w:t>
      </w:r>
      <w:r>
        <w:rPr>
          <w:rFonts w:cs="Arial" w:hint="cs"/>
          <w:rtl/>
        </w:rPr>
        <w:t xml:space="preserve">- </w:t>
      </w:r>
      <w:r w:rsidRPr="006A6FF0">
        <w:rPr>
          <w:rFonts w:cs="Arial"/>
          <w:rtl/>
        </w:rPr>
        <w:t xml:space="preserve">אין אשתו </w:t>
      </w:r>
      <w:r>
        <w:rPr>
          <w:rFonts w:cs="Arial"/>
          <w:rtl/>
        </w:rPr>
        <w:t>גובת</w:t>
      </w:r>
      <w:r w:rsidRPr="006A6FF0">
        <w:rPr>
          <w:rFonts w:cs="Arial"/>
          <w:rtl/>
        </w:rPr>
        <w:t xml:space="preserve"> כתובתה ממנו דהוה ראוי</w:t>
      </w:r>
      <w:r>
        <w:rPr>
          <w:rFonts w:cs="Arial" w:hint="cs"/>
          <w:rtl/>
        </w:rPr>
        <w:t xml:space="preserve">. </w:t>
      </w:r>
      <w:r w:rsidRPr="0020731C">
        <w:rPr>
          <w:rFonts w:hint="cs"/>
          <w:color w:val="00B0F0"/>
          <w:rtl/>
        </w:rPr>
        <w:t>(וכ"פ הרמ"א)</w:t>
      </w:r>
    </w:p>
    <w:p w14:paraId="460B1F6C" w14:textId="77777777" w:rsidR="00E87FA1" w:rsidRPr="003B35F9" w:rsidRDefault="00E87FA1" w:rsidP="00E87FA1">
      <w:pPr>
        <w:rPr>
          <w:u w:val="single"/>
        </w:rPr>
      </w:pPr>
      <w:r w:rsidRPr="003B35F9">
        <w:rPr>
          <w:rFonts w:cs="Arial"/>
          <w:u w:val="single"/>
          <w:rtl/>
        </w:rPr>
        <w:t xml:space="preserve">אלמנה שמת חמיה קודם בעלה </w:t>
      </w:r>
      <w:r>
        <w:rPr>
          <w:rFonts w:cs="Arial"/>
          <w:u w:val="single"/>
          <w:rtl/>
        </w:rPr>
        <w:t>-</w:t>
      </w:r>
      <w:r w:rsidRPr="003B35F9">
        <w:rPr>
          <w:rFonts w:cs="Arial" w:hint="cs"/>
          <w:u w:val="single"/>
          <w:rtl/>
        </w:rPr>
        <w:t xml:space="preserve"> האם יכולה לגבות כתובותה </w:t>
      </w:r>
      <w:r w:rsidRPr="003B35F9">
        <w:rPr>
          <w:rFonts w:cs="Arial"/>
          <w:u w:val="single"/>
          <w:rtl/>
        </w:rPr>
        <w:t>מנכסי חמיה מחלק ירושת בעלה</w:t>
      </w:r>
      <w:r w:rsidRPr="003B35F9">
        <w:rPr>
          <w:rFonts w:cs="Arial" w:hint="cs"/>
          <w:u w:val="single"/>
          <w:rtl/>
        </w:rPr>
        <w:t>:</w:t>
      </w:r>
    </w:p>
    <w:p w14:paraId="33C14422" w14:textId="73B380C2" w:rsidR="00E87FA1" w:rsidRDefault="00E87FA1" w:rsidP="00E87FA1">
      <w:pPr>
        <w:pStyle w:val="ab"/>
        <w:numPr>
          <w:ilvl w:val="0"/>
          <w:numId w:val="61"/>
        </w:numPr>
        <w:rPr>
          <w:rtl/>
        </w:rPr>
      </w:pPr>
      <w:r w:rsidRPr="003B35F9">
        <w:rPr>
          <w:rFonts w:cs="Arial"/>
          <w:rtl/>
        </w:rPr>
        <w:t xml:space="preserve">מרדכי </w:t>
      </w:r>
      <w:r w:rsidRPr="003B35F9">
        <w:rPr>
          <w:rFonts w:cs="Arial" w:hint="cs"/>
          <w:sz w:val="16"/>
          <w:szCs w:val="16"/>
          <w:rtl/>
        </w:rPr>
        <w:t>(</w:t>
      </w:r>
      <w:r w:rsidRPr="003B35F9">
        <w:rPr>
          <w:rFonts w:cs="Arial"/>
          <w:sz w:val="16"/>
          <w:szCs w:val="16"/>
          <w:rtl/>
        </w:rPr>
        <w:t>פ"ד דכתובות סי' קע)</w:t>
      </w:r>
      <w:r>
        <w:rPr>
          <w:rFonts w:cs="Arial" w:hint="cs"/>
          <w:rtl/>
        </w:rPr>
        <w:t xml:space="preserve">- </w:t>
      </w:r>
      <w:r w:rsidRPr="003B35F9">
        <w:rPr>
          <w:rFonts w:cs="Arial"/>
          <w:rtl/>
        </w:rPr>
        <w:t xml:space="preserve">אלמנה שמת חמיה קודם בעלה </w:t>
      </w:r>
      <w:r>
        <w:rPr>
          <w:rFonts w:cs="Arial" w:hint="cs"/>
          <w:rtl/>
        </w:rPr>
        <w:t xml:space="preserve">- </w:t>
      </w:r>
      <w:r w:rsidRPr="003B35F9">
        <w:rPr>
          <w:rFonts w:cs="Arial"/>
          <w:rtl/>
        </w:rPr>
        <w:t>אין לה לגבות כתובתה מנכסי חמיה מחלק ירושת בעלה כיון שחמיה הניח אלמנה</w:t>
      </w:r>
      <w:r>
        <w:rPr>
          <w:rStyle w:val="a7"/>
          <w:rFonts w:cs="Arial"/>
          <w:rtl/>
        </w:rPr>
        <w:footnoteReference w:id="1892"/>
      </w:r>
      <w:r w:rsidRPr="00FE5CBA">
        <w:rPr>
          <w:rFonts w:cs="Arial" w:hint="cs"/>
          <w:rtl/>
        </w:rPr>
        <w:t>.</w:t>
      </w:r>
      <w:r>
        <w:rPr>
          <w:rFonts w:hint="cs"/>
          <w:color w:val="00B0F0"/>
          <w:rtl/>
        </w:rPr>
        <w:t xml:space="preserve"> </w:t>
      </w:r>
      <w:r w:rsidRPr="0020731C">
        <w:rPr>
          <w:rFonts w:hint="cs"/>
          <w:color w:val="00B0F0"/>
          <w:rtl/>
        </w:rPr>
        <w:t>(וכ"</w:t>
      </w:r>
      <w:r>
        <w:rPr>
          <w:rFonts w:hint="cs"/>
          <w:color w:val="00B0F0"/>
          <w:rtl/>
        </w:rPr>
        <w:t>כ</w:t>
      </w:r>
      <w:r w:rsidRPr="0020731C">
        <w:rPr>
          <w:rFonts w:hint="cs"/>
          <w:color w:val="00B0F0"/>
          <w:rtl/>
        </w:rPr>
        <w:t xml:space="preserve"> הרמ"א)</w:t>
      </w:r>
    </w:p>
    <w:p w14:paraId="185F9449" w14:textId="77777777" w:rsidR="00E87FA1" w:rsidRDefault="00E87FA1" w:rsidP="00E87FA1">
      <w:pPr>
        <w:rPr>
          <w:rFonts w:cs="Arial"/>
          <w:rtl/>
        </w:rPr>
      </w:pPr>
      <w:r w:rsidRPr="00792285">
        <w:rPr>
          <w:rFonts w:cs="Arial" w:hint="cs"/>
          <w:u w:val="single"/>
          <w:rtl/>
        </w:rPr>
        <w:t xml:space="preserve">נדוניא </w:t>
      </w:r>
      <w:r>
        <w:rPr>
          <w:rFonts w:cs="Arial"/>
          <w:u w:val="single"/>
          <w:rtl/>
        </w:rPr>
        <w:t>-</w:t>
      </w:r>
      <w:r w:rsidRPr="00792285">
        <w:rPr>
          <w:rFonts w:cs="Arial" w:hint="cs"/>
          <w:u w:val="single"/>
          <w:rtl/>
        </w:rPr>
        <w:t xml:space="preserve"> מאיז</w:t>
      </w:r>
      <w:r>
        <w:rPr>
          <w:rFonts w:cs="Arial" w:hint="cs"/>
          <w:u w:val="single"/>
          <w:rtl/>
        </w:rPr>
        <w:t>ו</w:t>
      </w:r>
      <w:r w:rsidRPr="00792285">
        <w:rPr>
          <w:rFonts w:cs="Arial" w:hint="cs"/>
          <w:u w:val="single"/>
          <w:rtl/>
        </w:rPr>
        <w:t xml:space="preserve"> קרקע היא נגבית:</w:t>
      </w:r>
    </w:p>
    <w:p w14:paraId="25C87662" w14:textId="26BE1752" w:rsidR="00E87FA1" w:rsidRPr="00792285" w:rsidRDefault="00E87FA1" w:rsidP="00E87FA1">
      <w:pPr>
        <w:pStyle w:val="ab"/>
        <w:numPr>
          <w:ilvl w:val="0"/>
          <w:numId w:val="61"/>
        </w:numPr>
      </w:pPr>
      <w:r w:rsidRPr="00792285">
        <w:rPr>
          <w:rFonts w:cs="Arial"/>
          <w:rtl/>
        </w:rPr>
        <w:lastRenderedPageBreak/>
        <w:t>רשב"א</w:t>
      </w:r>
      <w:r w:rsidRPr="00792285">
        <w:rPr>
          <w:rFonts w:cs="Arial" w:hint="cs"/>
          <w:sz w:val="16"/>
          <w:szCs w:val="16"/>
          <w:rtl/>
        </w:rPr>
        <w:t xml:space="preserve"> (חידו' גיטין מח:)</w:t>
      </w:r>
      <w:r w:rsidR="00584095">
        <w:rPr>
          <w:rFonts w:cs="Arial" w:hint="cs"/>
          <w:rtl/>
        </w:rPr>
        <w:t xml:space="preserve">- </w:t>
      </w:r>
      <w:r w:rsidRPr="00792285">
        <w:rPr>
          <w:rFonts w:cs="Arial"/>
          <w:rtl/>
        </w:rPr>
        <w:t xml:space="preserve">איפשר לומר מהאי טעמא </w:t>
      </w:r>
      <w:r w:rsidRPr="00792285">
        <w:rPr>
          <w:rFonts w:cs="Arial" w:hint="cs"/>
          <w:sz w:val="16"/>
          <w:szCs w:val="16"/>
          <w:rtl/>
        </w:rPr>
        <w:t xml:space="preserve">{שהביא הגמ' גיטין [מח:] יותר משהאיש רוצה לישא וכו'} </w:t>
      </w:r>
      <w:r w:rsidRPr="00792285">
        <w:rPr>
          <w:rFonts w:cs="Arial"/>
          <w:rtl/>
        </w:rPr>
        <w:t>דאפילו נדוניא אינה נגבית אלא מן הזיבורית</w:t>
      </w:r>
      <w:r>
        <w:rPr>
          <w:rFonts w:cs="Arial" w:hint="cs"/>
          <w:rtl/>
        </w:rPr>
        <w:t>,</w:t>
      </w:r>
      <w:r w:rsidRPr="00792285">
        <w:rPr>
          <w:rFonts w:cs="Arial"/>
          <w:rtl/>
        </w:rPr>
        <w:t xml:space="preserve"> דאין כאן נעילת דלת ואדינא מוקמינן לה כשאר ב"ח דמדינא לא גבו אלא מן הזיבורית</w:t>
      </w:r>
      <w:r w:rsidRPr="00792285">
        <w:rPr>
          <w:rFonts w:cs="Arial" w:hint="cs"/>
          <w:rtl/>
        </w:rPr>
        <w:t>.</w:t>
      </w:r>
    </w:p>
    <w:p w14:paraId="16725A7B" w14:textId="77777777" w:rsidR="00E87FA1" w:rsidRPr="00792285" w:rsidRDefault="00E87FA1" w:rsidP="00E87FA1">
      <w:pPr>
        <w:pStyle w:val="ab"/>
        <w:numPr>
          <w:ilvl w:val="0"/>
          <w:numId w:val="61"/>
        </w:numPr>
      </w:pPr>
      <w:r w:rsidRPr="003D2914">
        <w:rPr>
          <w:rFonts w:cs="Arial"/>
          <w:rtl/>
        </w:rPr>
        <w:t xml:space="preserve">ר"ן </w:t>
      </w:r>
      <w:r w:rsidRPr="00792285">
        <w:rPr>
          <w:rFonts w:cs="Arial" w:hint="cs"/>
          <w:sz w:val="16"/>
          <w:szCs w:val="16"/>
          <w:rtl/>
        </w:rPr>
        <w:t>(</w:t>
      </w:r>
      <w:r w:rsidRPr="00792285">
        <w:rPr>
          <w:rFonts w:cs="Arial"/>
          <w:sz w:val="16"/>
          <w:szCs w:val="16"/>
          <w:rtl/>
        </w:rPr>
        <w:t>ר</w:t>
      </w:r>
      <w:r w:rsidRPr="00792285">
        <w:rPr>
          <w:rFonts w:cs="Arial" w:hint="cs"/>
          <w:sz w:val="16"/>
          <w:szCs w:val="16"/>
          <w:rtl/>
        </w:rPr>
        <w:t xml:space="preserve">"פ </w:t>
      </w:r>
      <w:r w:rsidRPr="00792285">
        <w:rPr>
          <w:rFonts w:cs="Arial"/>
          <w:sz w:val="16"/>
          <w:szCs w:val="16"/>
          <w:rtl/>
        </w:rPr>
        <w:t>הניזקין כד: ד"ה גמ' אתה</w:t>
      </w:r>
      <w:r>
        <w:rPr>
          <w:rFonts w:cs="Arial" w:hint="cs"/>
          <w:sz w:val="16"/>
          <w:szCs w:val="16"/>
          <w:rtl/>
        </w:rPr>
        <w:t>, הביאו הדרכ"מ [אות א]</w:t>
      </w:r>
      <w:r w:rsidRPr="00792285">
        <w:rPr>
          <w:rFonts w:cs="Arial"/>
          <w:sz w:val="16"/>
          <w:szCs w:val="16"/>
          <w:rtl/>
        </w:rPr>
        <w:t>)</w:t>
      </w:r>
      <w:r>
        <w:rPr>
          <w:rFonts w:cs="Arial" w:hint="cs"/>
          <w:rtl/>
        </w:rPr>
        <w:t>-</w:t>
      </w:r>
      <w:r w:rsidRPr="003D2914">
        <w:rPr>
          <w:rFonts w:cs="Arial"/>
          <w:rtl/>
        </w:rPr>
        <w:t xml:space="preserve"> יש אומרים דאף הנדוניא אינה נגבית אלא מן הזיבורית</w:t>
      </w:r>
      <w:r>
        <w:rPr>
          <w:rFonts w:cs="Arial" w:hint="cs"/>
          <w:rtl/>
        </w:rPr>
        <w:t>ף</w:t>
      </w:r>
      <w:r w:rsidRPr="003D2914">
        <w:rPr>
          <w:rFonts w:cs="Arial"/>
          <w:rtl/>
        </w:rPr>
        <w:t xml:space="preserve"> ויש אומרים דנדוניא דינא כשאר בעל חוב ובבינונית</w:t>
      </w:r>
      <w:r>
        <w:rPr>
          <w:rFonts w:cs="Arial" w:hint="cs"/>
          <w:rtl/>
        </w:rPr>
        <w:t>,</w:t>
      </w:r>
      <w:r w:rsidRPr="003D2914">
        <w:rPr>
          <w:rFonts w:cs="Arial"/>
          <w:rtl/>
        </w:rPr>
        <w:t xml:space="preserve"> ולזה הדעת נוטה</w:t>
      </w:r>
      <w:r>
        <w:rPr>
          <w:rStyle w:val="a7"/>
          <w:rFonts w:cs="Arial"/>
          <w:rtl/>
        </w:rPr>
        <w:footnoteReference w:id="1893"/>
      </w:r>
      <w:r w:rsidRPr="003D2914">
        <w:rPr>
          <w:rFonts w:cs="Arial"/>
          <w:rtl/>
        </w:rPr>
        <w:t xml:space="preserve">. </w:t>
      </w:r>
    </w:p>
    <w:p w14:paraId="07EC3535"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BC1E80E" w14:textId="13D901C9" w:rsidR="00392DBB" w:rsidRDefault="00392DBB" w:rsidP="00392DBB">
      <w:pPr>
        <w:rPr>
          <w:rtl/>
        </w:rPr>
      </w:pPr>
      <w:r>
        <w:rPr>
          <w:rFonts w:cs="Arial"/>
          <w:rtl/>
        </w:rPr>
        <w:t>אין עיקר כתובה ותוספת נגבים אלא מהזיבורית. ואינם נגבים מהשבח שהשביחו הנכסים לאחר מותו</w:t>
      </w:r>
      <w:r>
        <w:rPr>
          <w:rStyle w:val="a7"/>
          <w:rFonts w:cs="Arial"/>
          <w:rtl/>
        </w:rPr>
        <w:footnoteReference w:id="1894"/>
      </w:r>
      <w:r>
        <w:rPr>
          <w:rFonts w:cs="Arial"/>
          <w:rtl/>
        </w:rPr>
        <w:t>, לא שנא השביחו יורשים לא שנא השביחו לקוחות ובאה לטרוף מהם. ואינם נגבים אלא מהמוחזק, אבל לא מהראוי</w:t>
      </w:r>
      <w:r>
        <w:rPr>
          <w:rStyle w:val="a7"/>
          <w:rFonts w:cs="Arial"/>
          <w:rtl/>
        </w:rPr>
        <w:footnoteReference w:id="1895"/>
      </w:r>
      <w:r>
        <w:rPr>
          <w:rFonts w:cs="Arial"/>
          <w:rtl/>
        </w:rPr>
        <w:t xml:space="preserve">. </w:t>
      </w:r>
      <w:r w:rsidRPr="00AB0CBA">
        <w:rPr>
          <w:rFonts w:cs="Arial"/>
          <w:sz w:val="18"/>
          <w:szCs w:val="18"/>
          <w:rtl/>
        </w:rPr>
        <w:t>הגה: האב שצוה לתת מתנה לבנו לאחר ב' או ג' שנים</w:t>
      </w:r>
      <w:r>
        <w:rPr>
          <w:rStyle w:val="a7"/>
          <w:rFonts w:cs="Arial"/>
          <w:sz w:val="18"/>
          <w:szCs w:val="18"/>
          <w:rtl/>
        </w:rPr>
        <w:footnoteReference w:id="1896"/>
      </w:r>
      <w:r w:rsidRPr="00AB0CBA">
        <w:rPr>
          <w:rFonts w:cs="Arial"/>
          <w:sz w:val="18"/>
          <w:szCs w:val="18"/>
          <w:rtl/>
        </w:rPr>
        <w:t>, או שצוה שלא לתת לו חלק ירושתו רק אחר ב' או ג' שנים, מקרי ראוי ואין אשת הבן גובאת כתובתה מזה (מהרי"ו). י"א דאם מת יעקב בחיי ראובן בנו</w:t>
      </w:r>
      <w:r>
        <w:rPr>
          <w:rStyle w:val="a7"/>
          <w:rFonts w:cs="Arial"/>
          <w:sz w:val="18"/>
          <w:szCs w:val="18"/>
          <w:rtl/>
        </w:rPr>
        <w:footnoteReference w:id="1897"/>
      </w:r>
      <w:r w:rsidRPr="00AB0CBA">
        <w:rPr>
          <w:rFonts w:cs="Arial"/>
          <w:sz w:val="18"/>
          <w:szCs w:val="18"/>
          <w:rtl/>
        </w:rPr>
        <w:t>, והניח אלמנה הניזונית מנכסיו, אין אלמנת ראובן גובאת כתובתה מאותן נכסים, הואיל והיו משועבדים לאלמנת אביו כשמת ראובן</w:t>
      </w:r>
      <w:r>
        <w:rPr>
          <w:rStyle w:val="a7"/>
          <w:rFonts w:cs="Arial"/>
          <w:sz w:val="18"/>
          <w:szCs w:val="18"/>
          <w:rtl/>
        </w:rPr>
        <w:footnoteReference w:id="1898"/>
      </w:r>
      <w:r w:rsidRPr="00AB0CBA">
        <w:rPr>
          <w:rFonts w:cs="Arial"/>
          <w:sz w:val="18"/>
          <w:szCs w:val="18"/>
          <w:rtl/>
        </w:rPr>
        <w:t xml:space="preserve"> (מרדכי). ודוקא במקום שאין רשות ליורשיו לסלק האלמנה ממזונותיה, אבל במקום שיכולין לסלק האלמנה, אלמנת ראובן גובאת משם</w:t>
      </w:r>
      <w:r>
        <w:rPr>
          <w:rStyle w:val="a7"/>
          <w:rFonts w:cs="Arial"/>
          <w:sz w:val="18"/>
          <w:szCs w:val="18"/>
          <w:rtl/>
        </w:rPr>
        <w:footnoteReference w:id="1899"/>
      </w:r>
      <w:r w:rsidRPr="00AB0CBA">
        <w:rPr>
          <w:rFonts w:cs="Arial"/>
          <w:sz w:val="18"/>
          <w:szCs w:val="18"/>
          <w:rtl/>
        </w:rPr>
        <w:t xml:space="preserve"> (ג"ז שם). שכר פעולה שלא היתה בידו מעולם, מקרי ראוי (מרדכי). היתה גניבה שלו ביד הגנב, כשמת, ואח</w:t>
      </w:r>
      <w:r w:rsidR="00E87FA1">
        <w:rPr>
          <w:rFonts w:cs="Arial" w:hint="cs"/>
          <w:sz w:val="18"/>
          <w:szCs w:val="18"/>
          <w:rtl/>
        </w:rPr>
        <w:t>"</w:t>
      </w:r>
      <w:r w:rsidRPr="00AB0CBA">
        <w:rPr>
          <w:rFonts w:cs="Arial"/>
          <w:sz w:val="18"/>
          <w:szCs w:val="18"/>
          <w:rtl/>
        </w:rPr>
        <w:t>כ הוחזר הגניבה, מקרי מוחזק</w:t>
      </w:r>
      <w:r>
        <w:rPr>
          <w:rStyle w:val="a7"/>
          <w:rFonts w:cs="Arial"/>
          <w:sz w:val="18"/>
          <w:szCs w:val="18"/>
          <w:rtl/>
        </w:rPr>
        <w:footnoteReference w:id="1900"/>
      </w:r>
      <w:r w:rsidRPr="00AB0CBA">
        <w:rPr>
          <w:rFonts w:cs="Arial"/>
          <w:sz w:val="18"/>
          <w:szCs w:val="18"/>
          <w:rtl/>
        </w:rPr>
        <w:t xml:space="preserve"> (כך השיב מוהר"ם).</w:t>
      </w:r>
      <w:r>
        <w:rPr>
          <w:rFonts w:cs="Arial"/>
          <w:rtl/>
        </w:rPr>
        <w:t xml:space="preserve"> ומלוה שחייבים לבעל, הוי מוחזק</w:t>
      </w:r>
      <w:r>
        <w:rPr>
          <w:rStyle w:val="a7"/>
          <w:rFonts w:cs="Arial"/>
          <w:rtl/>
        </w:rPr>
        <w:footnoteReference w:id="1901"/>
      </w:r>
      <w:r>
        <w:rPr>
          <w:rFonts w:cs="Arial"/>
          <w:rtl/>
        </w:rPr>
        <w:t xml:space="preserve"> וגובה ממנה, אפי</w:t>
      </w:r>
      <w:r>
        <w:rPr>
          <w:rFonts w:cs="Arial" w:hint="cs"/>
          <w:rtl/>
        </w:rPr>
        <w:t>לו</w:t>
      </w:r>
      <w:r>
        <w:rPr>
          <w:rFonts w:cs="Arial"/>
          <w:rtl/>
        </w:rPr>
        <w:t xml:space="preserve"> היא על </w:t>
      </w:r>
      <w:r>
        <w:rPr>
          <w:rFonts w:cs="Arial" w:hint="cs"/>
          <w:rtl/>
        </w:rPr>
        <w:t>הגוי</w:t>
      </w:r>
      <w:r w:rsidRPr="00AB0CBA">
        <w:rPr>
          <w:rFonts w:cs="Arial"/>
          <w:sz w:val="18"/>
          <w:szCs w:val="18"/>
          <w:rtl/>
        </w:rPr>
        <w:t xml:space="preserve">. </w:t>
      </w:r>
      <w:r>
        <w:rPr>
          <w:rFonts w:cs="Arial" w:hint="cs"/>
          <w:sz w:val="18"/>
          <w:szCs w:val="18"/>
          <w:rtl/>
        </w:rPr>
        <w:t xml:space="preserve">[הגה] </w:t>
      </w:r>
      <w:r w:rsidRPr="00AB0CBA">
        <w:rPr>
          <w:rFonts w:cs="Arial"/>
          <w:sz w:val="18"/>
          <w:szCs w:val="18"/>
          <w:rtl/>
        </w:rPr>
        <w:t>וכל זה לא מיירי אלא בעיקר כתובה ותוספת, אבל נדוניא ושאר צאן ברזל דינן כשאר חוב</w:t>
      </w:r>
      <w:r>
        <w:rPr>
          <w:rStyle w:val="a7"/>
          <w:rFonts w:cs="Arial"/>
          <w:sz w:val="18"/>
          <w:szCs w:val="18"/>
          <w:rtl/>
        </w:rPr>
        <w:footnoteReference w:id="1902"/>
      </w:r>
      <w:r w:rsidRPr="00AB0CBA">
        <w:rPr>
          <w:rFonts w:cs="Arial"/>
          <w:sz w:val="18"/>
          <w:szCs w:val="18"/>
          <w:rtl/>
        </w:rPr>
        <w:t xml:space="preserve"> (</w:t>
      </w:r>
      <w:r w:rsidR="00584095">
        <w:rPr>
          <w:rFonts w:cs="Arial" w:hint="cs"/>
          <w:sz w:val="18"/>
          <w:szCs w:val="18"/>
          <w:rtl/>
        </w:rPr>
        <w:t>ר"ן</w:t>
      </w:r>
      <w:r w:rsidRPr="00AB0CBA">
        <w:rPr>
          <w:rFonts w:cs="Arial"/>
          <w:sz w:val="18"/>
          <w:szCs w:val="18"/>
          <w:rtl/>
        </w:rPr>
        <w:t>). ויש אומרים דאפילו הכי אינם נגבים רק מן הזיבורית</w:t>
      </w:r>
      <w:r>
        <w:rPr>
          <w:rStyle w:val="a7"/>
          <w:rFonts w:cs="Arial"/>
          <w:sz w:val="18"/>
          <w:szCs w:val="18"/>
          <w:rtl/>
        </w:rPr>
        <w:footnoteReference w:id="1903"/>
      </w:r>
      <w:r w:rsidRPr="00AB0CBA">
        <w:rPr>
          <w:rFonts w:cs="Arial"/>
          <w:sz w:val="18"/>
          <w:szCs w:val="18"/>
          <w:rtl/>
        </w:rPr>
        <w:t xml:space="preserve"> (ר</w:t>
      </w:r>
      <w:r w:rsidR="00584095">
        <w:rPr>
          <w:rFonts w:cs="Arial" w:hint="cs"/>
          <w:sz w:val="18"/>
          <w:szCs w:val="18"/>
          <w:rtl/>
        </w:rPr>
        <w:t>שב"א</w:t>
      </w:r>
      <w:r w:rsidRPr="00AB0CBA">
        <w:rPr>
          <w:rFonts w:cs="Arial"/>
          <w:sz w:val="18"/>
          <w:szCs w:val="18"/>
          <w:rtl/>
        </w:rPr>
        <w:t>).</w:t>
      </w:r>
      <w:r>
        <w:rPr>
          <w:rFonts w:cs="Arial"/>
          <w:rtl/>
        </w:rPr>
        <w:t xml:space="preserve"> </w:t>
      </w:r>
    </w:p>
    <w:p w14:paraId="28F02499" w14:textId="19186FD3" w:rsidR="00392DBB" w:rsidRPr="00481723" w:rsidRDefault="00392DBB" w:rsidP="00392DBB">
      <w:pPr>
        <w:rPr>
          <w:sz w:val="16"/>
          <w:szCs w:val="16"/>
          <w:rtl/>
        </w:rPr>
      </w:pPr>
      <w:r w:rsidRPr="00481723">
        <w:rPr>
          <w:rFonts w:hint="cs"/>
          <w:u w:val="single"/>
          <w:rtl/>
        </w:rPr>
        <w:t>האם אשה גובה כתובתה מדאקנ</w:t>
      </w:r>
      <w:r w:rsidR="00374566">
        <w:rPr>
          <w:rFonts w:hint="cs"/>
          <w:u w:val="single"/>
          <w:rtl/>
        </w:rPr>
        <w:t>י</w:t>
      </w:r>
      <w:r>
        <w:rPr>
          <w:rFonts w:hint="cs"/>
          <w:sz w:val="16"/>
          <w:szCs w:val="16"/>
          <w:u w:val="single"/>
          <w:rtl/>
        </w:rPr>
        <w:t xml:space="preserve"> (כשלא כתב כן בפירוש בכתובה)</w:t>
      </w:r>
      <w:r>
        <w:rPr>
          <w:rFonts w:hint="cs"/>
          <w:u w:val="single"/>
          <w:rtl/>
        </w:rPr>
        <w:t>:</w:t>
      </w:r>
      <w:r>
        <w:rPr>
          <w:rFonts w:hint="cs"/>
          <w:rtl/>
        </w:rPr>
        <w:t xml:space="preserve">  </w:t>
      </w:r>
      <w:r>
        <w:rPr>
          <w:rFonts w:hint="cs"/>
          <w:sz w:val="16"/>
          <w:szCs w:val="16"/>
          <w:rtl/>
        </w:rPr>
        <w:t>(פת"ש סק"ד)</w:t>
      </w:r>
    </w:p>
    <w:p w14:paraId="1FB8CE50" w14:textId="2C324515" w:rsidR="00392DBB" w:rsidRDefault="00392DBB" w:rsidP="009000E3">
      <w:pPr>
        <w:pStyle w:val="ab"/>
        <w:numPr>
          <w:ilvl w:val="0"/>
          <w:numId w:val="62"/>
        </w:numPr>
      </w:pPr>
      <w:r w:rsidRPr="00481723">
        <w:rPr>
          <w:rFonts w:cs="Arial"/>
          <w:rtl/>
        </w:rPr>
        <w:t xml:space="preserve">ברית אברהם </w:t>
      </w:r>
      <w:r w:rsidRPr="00481723">
        <w:rPr>
          <w:rFonts w:cs="Arial" w:hint="cs"/>
          <w:sz w:val="16"/>
          <w:szCs w:val="16"/>
          <w:rtl/>
        </w:rPr>
        <w:t xml:space="preserve">(שו"ת חלק </w:t>
      </w:r>
      <w:r w:rsidRPr="00481723">
        <w:rPr>
          <w:rFonts w:cs="Arial"/>
          <w:sz w:val="16"/>
          <w:szCs w:val="16"/>
          <w:rtl/>
        </w:rPr>
        <w:t>ח</w:t>
      </w:r>
      <w:r w:rsidRPr="00481723">
        <w:rPr>
          <w:rFonts w:cs="Arial" w:hint="cs"/>
          <w:sz w:val="16"/>
          <w:szCs w:val="16"/>
          <w:rtl/>
        </w:rPr>
        <w:t>ו</w:t>
      </w:r>
      <w:r w:rsidRPr="00481723">
        <w:rPr>
          <w:rFonts w:cs="Arial"/>
          <w:sz w:val="16"/>
          <w:szCs w:val="16"/>
          <w:rtl/>
        </w:rPr>
        <w:t>"מ סי</w:t>
      </w:r>
      <w:r w:rsidRPr="00481723">
        <w:rPr>
          <w:rFonts w:cs="Arial" w:hint="cs"/>
          <w:sz w:val="16"/>
          <w:szCs w:val="16"/>
          <w:rtl/>
        </w:rPr>
        <w:t>'</w:t>
      </w:r>
      <w:r w:rsidRPr="00481723">
        <w:rPr>
          <w:rFonts w:cs="Arial"/>
          <w:sz w:val="16"/>
          <w:szCs w:val="16"/>
          <w:rtl/>
        </w:rPr>
        <w:t xml:space="preserve"> ל</w:t>
      </w:r>
      <w:r w:rsidRPr="00481723">
        <w:rPr>
          <w:rFonts w:cs="Arial" w:hint="cs"/>
          <w:sz w:val="16"/>
          <w:szCs w:val="16"/>
          <w:rtl/>
        </w:rPr>
        <w:t>)</w:t>
      </w:r>
      <w:r w:rsidRPr="00481723">
        <w:rPr>
          <w:rFonts w:cs="Arial" w:hint="cs"/>
          <w:rtl/>
        </w:rPr>
        <w:t>-</w:t>
      </w:r>
      <w:r w:rsidRPr="00481723">
        <w:rPr>
          <w:rFonts w:cs="Arial"/>
          <w:rtl/>
        </w:rPr>
        <w:t xml:space="preserve"> ש</w:t>
      </w:r>
      <w:r w:rsidRPr="00481723">
        <w:rPr>
          <w:rFonts w:cs="Arial" w:hint="cs"/>
          <w:rtl/>
        </w:rPr>
        <w:t>אלת</w:t>
      </w:r>
      <w:r w:rsidRPr="00481723">
        <w:rPr>
          <w:rFonts w:cs="Arial"/>
          <w:rtl/>
        </w:rPr>
        <w:t xml:space="preserve"> אם האשה גובה כתובתה מדאקני או כדעת הש"ך </w:t>
      </w:r>
      <w:r w:rsidRPr="00481723">
        <w:rPr>
          <w:rFonts w:cs="Arial" w:hint="cs"/>
          <w:rtl/>
        </w:rPr>
        <w:t>(</w:t>
      </w:r>
      <w:r w:rsidRPr="00481723">
        <w:rPr>
          <w:rFonts w:cs="Arial"/>
          <w:rtl/>
        </w:rPr>
        <w:t>סימן קטו סקל"ב</w:t>
      </w:r>
      <w:r w:rsidRPr="00481723">
        <w:rPr>
          <w:rFonts w:cs="Arial" w:hint="cs"/>
          <w:rtl/>
        </w:rPr>
        <w:t>)</w:t>
      </w:r>
      <w:r w:rsidRPr="00481723">
        <w:rPr>
          <w:rFonts w:cs="Arial"/>
          <w:rtl/>
        </w:rPr>
        <w:t xml:space="preserve"> דהוא ג"כ בכלל מקולי כתובה כמו דאינה גובה משבח כו'</w:t>
      </w:r>
      <w:r w:rsidRPr="00481723">
        <w:rPr>
          <w:rFonts w:cs="Arial" w:hint="cs"/>
          <w:rtl/>
        </w:rPr>
        <w:t>.</w:t>
      </w:r>
      <w:r w:rsidRPr="00481723">
        <w:rPr>
          <w:rFonts w:cs="Arial"/>
          <w:rtl/>
        </w:rPr>
        <w:t xml:space="preserve"> </w:t>
      </w:r>
      <w:r w:rsidRPr="00481723">
        <w:rPr>
          <w:rFonts w:cs="Arial" w:hint="cs"/>
          <w:rtl/>
        </w:rPr>
        <w:t xml:space="preserve">   </w:t>
      </w:r>
      <w:r w:rsidR="00B37B66">
        <w:rPr>
          <w:rFonts w:cs="Arial" w:hint="cs"/>
          <w:rtl/>
        </w:rPr>
        <w:t xml:space="preserve"> </w:t>
      </w:r>
      <w:r w:rsidR="00FE210D">
        <w:rPr>
          <w:rFonts w:cs="Arial" w:hint="cs"/>
          <w:rtl/>
        </w:rPr>
        <w:t>תשובה:</w:t>
      </w:r>
      <w:r w:rsidRPr="00481723">
        <w:rPr>
          <w:rFonts w:cs="Arial" w:hint="cs"/>
          <w:rtl/>
        </w:rPr>
        <w:t xml:space="preserve"> </w:t>
      </w:r>
      <w:r w:rsidRPr="00481723">
        <w:rPr>
          <w:rFonts w:cs="Arial"/>
          <w:rtl/>
        </w:rPr>
        <w:t>כבר בא לידינו כמה פעמים עובדא דא והעלינו כמה ראיות מספיקות דלא כהש"ך</w:t>
      </w:r>
      <w:r w:rsidRPr="00481723">
        <w:rPr>
          <w:rFonts w:cs="Arial" w:hint="cs"/>
          <w:rtl/>
        </w:rPr>
        <w:t>,</w:t>
      </w:r>
      <w:r w:rsidRPr="00481723">
        <w:rPr>
          <w:rFonts w:cs="Arial"/>
          <w:rtl/>
        </w:rPr>
        <w:t xml:space="preserve"> וראיתי שחלקו עליו הבאים אחריו (בתומים ובנה"מ שם ובס' ב"מ כאן ובס' ישועות יעקב בסי' זה סק"ג ע"ש)</w:t>
      </w:r>
      <w:r w:rsidRPr="00481723">
        <w:rPr>
          <w:rFonts w:cs="Arial" w:hint="cs"/>
          <w:rtl/>
        </w:rPr>
        <w:t xml:space="preserve">, </w:t>
      </w:r>
      <w:r w:rsidRPr="00481723">
        <w:rPr>
          <w:rFonts w:cs="Arial"/>
          <w:rtl/>
        </w:rPr>
        <w:t>וכן עיקר לדינא הלכה למעשה להגבות מדאקני</w:t>
      </w:r>
      <w:r w:rsidRPr="00481723">
        <w:rPr>
          <w:rFonts w:cs="Arial" w:hint="cs"/>
          <w:rtl/>
        </w:rPr>
        <w:t>.</w:t>
      </w:r>
    </w:p>
    <w:p w14:paraId="0FCF868B" w14:textId="77777777" w:rsidR="00392DBB" w:rsidRDefault="00392DBB" w:rsidP="00392DBB">
      <w:pPr>
        <w:rPr>
          <w:rtl/>
        </w:rPr>
      </w:pPr>
    </w:p>
    <w:p w14:paraId="27692DCE" w14:textId="77777777" w:rsidR="00392DBB" w:rsidRDefault="00392DBB" w:rsidP="000F64D0">
      <w:pPr>
        <w:pStyle w:val="2"/>
        <w:rPr>
          <w:rtl/>
        </w:rPr>
      </w:pPr>
      <w:r>
        <w:rPr>
          <w:rtl/>
        </w:rPr>
        <w:t>סעיף ג</w:t>
      </w:r>
      <w:r>
        <w:rPr>
          <w:rFonts w:hint="cs"/>
          <w:rtl/>
        </w:rPr>
        <w:t>: מאיזו קרקע נגבית הכתובה קודם.</w:t>
      </w:r>
    </w:p>
    <w:p w14:paraId="090F113B" w14:textId="77777777" w:rsidR="00392DBB" w:rsidRDefault="00392DBB" w:rsidP="00392DBB">
      <w:pPr>
        <w:rPr>
          <w:rtl/>
        </w:rPr>
      </w:pPr>
      <w:r w:rsidRPr="00734956">
        <w:rPr>
          <w:rFonts w:cs="Arial" w:hint="cs"/>
          <w:b/>
          <w:bCs/>
          <w:rtl/>
        </w:rPr>
        <w:t>גיטין</w:t>
      </w:r>
      <w:r>
        <w:rPr>
          <w:rFonts w:cs="Arial" w:hint="cs"/>
          <w:b/>
          <w:bCs/>
          <w:sz w:val="16"/>
          <w:szCs w:val="16"/>
          <w:rtl/>
        </w:rPr>
        <w:t xml:space="preserve"> (פ' הניזקין)</w:t>
      </w:r>
      <w:r w:rsidRPr="00734956">
        <w:rPr>
          <w:rFonts w:cs="Arial" w:hint="cs"/>
          <w:b/>
          <w:bCs/>
          <w:rtl/>
        </w:rPr>
        <w:t xml:space="preserve"> מח ע"ב: </w:t>
      </w:r>
      <w:r w:rsidRPr="00734956">
        <w:rPr>
          <w:rFonts w:cs="Arial"/>
          <w:u w:val="double"/>
          <w:rtl/>
        </w:rPr>
        <w:t>מתני'</w:t>
      </w:r>
      <w:r>
        <w:rPr>
          <w:rFonts w:cs="Arial" w:hint="cs"/>
          <w:rtl/>
        </w:rPr>
        <w:t>:</w:t>
      </w:r>
      <w:r w:rsidRPr="00734956">
        <w:rPr>
          <w:rFonts w:cs="Arial"/>
          <w:rtl/>
        </w:rPr>
        <w:t xml:space="preserve"> הניזקין שמין להן בעידית, ובעל חוב - בבינונית, וכתובת אשה </w:t>
      </w:r>
      <w:r>
        <w:rPr>
          <w:rFonts w:cs="Arial" w:hint="cs"/>
          <w:rtl/>
        </w:rPr>
        <w:t>-</w:t>
      </w:r>
      <w:r w:rsidRPr="00734956">
        <w:rPr>
          <w:rFonts w:cs="Arial"/>
          <w:rtl/>
        </w:rPr>
        <w:t xml:space="preserve"> בזיבורית</w:t>
      </w:r>
      <w:r>
        <w:rPr>
          <w:rFonts w:cs="Arial" w:hint="cs"/>
          <w:rtl/>
        </w:rPr>
        <w:t>..</w:t>
      </w:r>
      <w:r w:rsidRPr="00734956">
        <w:rPr>
          <w:rFonts w:cs="Arial"/>
          <w:rtl/>
        </w:rPr>
        <w:t>.</w:t>
      </w:r>
    </w:p>
    <w:p w14:paraId="2214AC4C" w14:textId="77777777" w:rsidR="00392DBB" w:rsidRDefault="00392DBB" w:rsidP="00392DBB">
      <w:pPr>
        <w:rPr>
          <w:rtl/>
        </w:rPr>
      </w:pPr>
      <w:r>
        <w:rPr>
          <w:rFonts w:cs="Arial" w:hint="cs"/>
          <w:b/>
          <w:bCs/>
          <w:rtl/>
        </w:rPr>
        <w:t>כתובות</w:t>
      </w:r>
      <w:r>
        <w:rPr>
          <w:rFonts w:cs="Arial" w:hint="cs"/>
          <w:b/>
          <w:bCs/>
          <w:sz w:val="16"/>
          <w:szCs w:val="16"/>
          <w:rtl/>
        </w:rPr>
        <w:t xml:space="preserve"> (ר"פ האשה שנפלו)</w:t>
      </w:r>
      <w:r w:rsidRPr="00734956">
        <w:rPr>
          <w:rFonts w:cs="Arial" w:hint="cs"/>
          <w:b/>
          <w:bCs/>
          <w:rtl/>
        </w:rPr>
        <w:t xml:space="preserve"> </w:t>
      </w:r>
      <w:r>
        <w:rPr>
          <w:rFonts w:cs="Arial" w:hint="cs"/>
          <w:b/>
          <w:bCs/>
          <w:rtl/>
        </w:rPr>
        <w:t>פ</w:t>
      </w:r>
      <w:r w:rsidRPr="00734956">
        <w:rPr>
          <w:rFonts w:cs="Arial" w:hint="cs"/>
          <w:b/>
          <w:bCs/>
          <w:rtl/>
        </w:rPr>
        <w:t xml:space="preserve"> ע"ב: </w:t>
      </w:r>
      <w:r w:rsidRPr="00734956">
        <w:rPr>
          <w:rFonts w:cs="Arial"/>
          <w:u w:val="double"/>
          <w:rtl/>
        </w:rPr>
        <w:t>מתני'</w:t>
      </w:r>
      <w:r>
        <w:rPr>
          <w:rFonts w:cs="Arial" w:hint="cs"/>
          <w:rtl/>
        </w:rPr>
        <w:t xml:space="preserve">:... </w:t>
      </w:r>
      <w:r w:rsidRPr="00CF639F">
        <w:rPr>
          <w:rFonts w:cs="Arial"/>
          <w:rtl/>
        </w:rPr>
        <w:t>וכן לא יאמר אדם לאשתו הרי כתובתיך מונחת על השלחן, אלא כל נכסיו אחראין לכתובתה.</w:t>
      </w:r>
      <w:r>
        <w:rPr>
          <w:rFonts w:cs="Arial" w:hint="cs"/>
          <w:rtl/>
        </w:rPr>
        <w:t>..</w:t>
      </w:r>
      <w:r w:rsidRPr="00F8036E">
        <w:rPr>
          <w:rFonts w:cs="Arial"/>
          <w:rtl/>
        </w:rPr>
        <w:t xml:space="preserve"> </w:t>
      </w:r>
      <w:r w:rsidRPr="00F8036E">
        <w:rPr>
          <w:rFonts w:cs="Arial" w:hint="cs"/>
          <w:sz w:val="16"/>
          <w:szCs w:val="16"/>
          <w:rtl/>
        </w:rPr>
        <w:t>(</w:t>
      </w:r>
      <w:r w:rsidRPr="00F8036E">
        <w:rPr>
          <w:rFonts w:cs="Arial"/>
          <w:sz w:val="16"/>
          <w:szCs w:val="16"/>
          <w:rtl/>
        </w:rPr>
        <w:t>זה פשוט בכמה דוכתי שהאשה טורפת לכתובתה ממקרקעי שמכר או נתן הבעל</w:t>
      </w:r>
      <w:r>
        <w:rPr>
          <w:rFonts w:cs="Arial" w:hint="cs"/>
          <w:sz w:val="16"/>
          <w:szCs w:val="16"/>
          <w:rtl/>
        </w:rPr>
        <w:t>, ב"י)</w:t>
      </w:r>
    </w:p>
    <w:p w14:paraId="0E22AB5E" w14:textId="6F32CEFB" w:rsidR="00392DBB" w:rsidRDefault="00392DBB" w:rsidP="00392DBB">
      <w:pPr>
        <w:rPr>
          <w:rFonts w:cs="Arial"/>
          <w:b/>
          <w:bCs/>
          <w:rtl/>
        </w:rPr>
      </w:pPr>
      <w:r w:rsidRPr="004E4DB8">
        <w:rPr>
          <w:rFonts w:cs="Arial" w:hint="cs"/>
          <w:b/>
          <w:bCs/>
          <w:rtl/>
        </w:rPr>
        <w:t xml:space="preserve">בבא בתרא </w:t>
      </w:r>
      <w:r>
        <w:rPr>
          <w:rFonts w:cs="Arial" w:hint="cs"/>
          <w:b/>
          <w:bCs/>
          <w:sz w:val="16"/>
          <w:szCs w:val="16"/>
          <w:rtl/>
        </w:rPr>
        <w:t>(פ' חזקת)</w:t>
      </w:r>
      <w:r>
        <w:rPr>
          <w:rFonts w:cs="Arial" w:hint="cs"/>
          <w:b/>
          <w:bCs/>
          <w:rtl/>
        </w:rPr>
        <w:t xml:space="preserve"> </w:t>
      </w:r>
      <w:r w:rsidRPr="004E4DB8">
        <w:rPr>
          <w:rFonts w:cs="Arial" w:hint="cs"/>
          <w:b/>
          <w:bCs/>
          <w:rtl/>
        </w:rPr>
        <w:t>מב</w:t>
      </w:r>
      <w:r w:rsidR="009F3B6E">
        <w:rPr>
          <w:rStyle w:val="a7"/>
          <w:rFonts w:cs="Arial"/>
          <w:b/>
          <w:bCs/>
          <w:rtl/>
        </w:rPr>
        <w:footnoteReference w:id="1904"/>
      </w:r>
      <w:r w:rsidRPr="004E4DB8">
        <w:rPr>
          <w:rFonts w:cs="Arial" w:hint="cs"/>
          <w:b/>
          <w:bCs/>
          <w:rtl/>
        </w:rPr>
        <w:t xml:space="preserve"> ע"</w:t>
      </w:r>
      <w:r>
        <w:rPr>
          <w:rFonts w:cs="Arial" w:hint="cs"/>
          <w:b/>
          <w:bCs/>
          <w:rtl/>
        </w:rPr>
        <w:t>א</w:t>
      </w:r>
      <w:r w:rsidRPr="004E4DB8">
        <w:rPr>
          <w:rFonts w:cs="Arial" w:hint="cs"/>
          <w:b/>
          <w:bCs/>
          <w:rtl/>
        </w:rPr>
        <w:t xml:space="preserve">: </w:t>
      </w:r>
      <w:r w:rsidRPr="004E4DB8">
        <w:rPr>
          <w:rFonts w:cs="Arial"/>
          <w:u w:val="double"/>
          <w:rtl/>
        </w:rPr>
        <w:t>מתני'</w:t>
      </w:r>
      <w:r>
        <w:rPr>
          <w:rFonts w:cs="Arial" w:hint="cs"/>
          <w:rtl/>
        </w:rPr>
        <w:t>:</w:t>
      </w:r>
      <w:r w:rsidRPr="004E4DB8">
        <w:rPr>
          <w:rFonts w:cs="Arial"/>
          <w:rtl/>
        </w:rPr>
        <w:t>.</w:t>
      </w:r>
      <w:r>
        <w:rPr>
          <w:rFonts w:cs="Arial" w:hint="cs"/>
          <w:rtl/>
        </w:rPr>
        <w:t>..</w:t>
      </w:r>
      <w:r w:rsidRPr="004E4DB8">
        <w:rPr>
          <w:rFonts w:cs="Arial"/>
          <w:rtl/>
        </w:rPr>
        <w:t xml:space="preserve"> לא לאיש חזקה בנכסי אשתו, ולא לאשה חזקה בנכסי בעלה</w:t>
      </w:r>
      <w:r>
        <w:rPr>
          <w:rFonts w:cs="Arial" w:hint="cs"/>
          <w:rtl/>
        </w:rPr>
        <w:t xml:space="preserve">... </w:t>
      </w:r>
      <w:r w:rsidRPr="004E4DB8">
        <w:rPr>
          <w:rFonts w:cs="Arial"/>
          <w:rtl/>
        </w:rPr>
        <w:t xml:space="preserve"> </w:t>
      </w:r>
      <w:r>
        <w:rPr>
          <w:rFonts w:cs="Arial" w:hint="cs"/>
          <w:rtl/>
        </w:rPr>
        <w:t xml:space="preserve">  </w:t>
      </w:r>
      <w:r w:rsidRPr="004E4DB8">
        <w:rPr>
          <w:rFonts w:cs="Arial" w:hint="cs"/>
          <w:u w:val="double"/>
          <w:rtl/>
        </w:rPr>
        <w:t>גמ'</w:t>
      </w:r>
      <w:r>
        <w:rPr>
          <w:rFonts w:cs="Arial" w:hint="cs"/>
          <w:sz w:val="14"/>
          <w:szCs w:val="14"/>
          <w:u w:val="double"/>
          <w:rtl/>
        </w:rPr>
        <w:t>(מט:)</w:t>
      </w:r>
      <w:r w:rsidRPr="004E4DB8">
        <w:rPr>
          <w:rFonts w:cs="Arial" w:hint="cs"/>
          <w:u w:val="double"/>
          <w:rtl/>
        </w:rPr>
        <w:t>:</w:t>
      </w:r>
      <w:r w:rsidRPr="004E4DB8">
        <w:rPr>
          <w:rtl/>
        </w:rPr>
        <w:t xml:space="preserve"> </w:t>
      </w:r>
      <w:r w:rsidRPr="004E4DB8">
        <w:rPr>
          <w:rFonts w:cs="Arial"/>
          <w:rtl/>
        </w:rPr>
        <w:t>הא ראיה יש</w:t>
      </w:r>
      <w:r>
        <w:rPr>
          <w:rStyle w:val="a7"/>
          <w:rFonts w:cs="Arial"/>
          <w:rtl/>
        </w:rPr>
        <w:footnoteReference w:id="1905"/>
      </w:r>
      <w:r>
        <w:rPr>
          <w:rFonts w:cs="Arial" w:hint="cs"/>
          <w:rtl/>
        </w:rPr>
        <w:t>!</w:t>
      </w:r>
      <w:r w:rsidRPr="004E4DB8">
        <w:rPr>
          <w:rFonts w:cs="Arial"/>
          <w:rtl/>
        </w:rPr>
        <w:t xml:space="preserve"> תימא: נחת רוח עשיתי לבעלי</w:t>
      </w:r>
      <w:r>
        <w:rPr>
          <w:rStyle w:val="a7"/>
          <w:rFonts w:cs="Arial"/>
          <w:rtl/>
        </w:rPr>
        <w:footnoteReference w:id="1906"/>
      </w:r>
      <w:r>
        <w:rPr>
          <w:rFonts w:cs="Arial" w:hint="cs"/>
          <w:rtl/>
        </w:rPr>
        <w:t>,</w:t>
      </w:r>
      <w:r w:rsidRPr="004E4DB8">
        <w:rPr>
          <w:rFonts w:cs="Arial"/>
          <w:rtl/>
        </w:rPr>
        <w:t xml:space="preserve"> מי לא תנן</w:t>
      </w:r>
      <w:r>
        <w:rPr>
          <w:rStyle w:val="a7"/>
          <w:rFonts w:cs="Arial"/>
          <w:rtl/>
        </w:rPr>
        <w:footnoteReference w:id="1907"/>
      </w:r>
      <w:r w:rsidRPr="004E4DB8">
        <w:rPr>
          <w:rFonts w:cs="Arial"/>
          <w:rtl/>
        </w:rPr>
        <w:t>: לקח מן האיש</w:t>
      </w:r>
      <w:r>
        <w:rPr>
          <w:rStyle w:val="a7"/>
          <w:rFonts w:cs="Arial"/>
          <w:rtl/>
        </w:rPr>
        <w:footnoteReference w:id="1908"/>
      </w:r>
      <w:r w:rsidRPr="004E4DB8">
        <w:rPr>
          <w:rFonts w:cs="Arial"/>
          <w:rtl/>
        </w:rPr>
        <w:t xml:space="preserve"> וחזר</w:t>
      </w:r>
      <w:r>
        <w:rPr>
          <w:rStyle w:val="a7"/>
          <w:rFonts w:cs="Arial"/>
          <w:rtl/>
        </w:rPr>
        <w:footnoteReference w:id="1909"/>
      </w:r>
      <w:r w:rsidRPr="004E4DB8">
        <w:rPr>
          <w:rFonts w:cs="Arial"/>
          <w:rtl/>
        </w:rPr>
        <w:t xml:space="preserve"> ולקח מן האשה</w:t>
      </w:r>
      <w:r>
        <w:rPr>
          <w:rStyle w:val="a7"/>
          <w:rFonts w:cs="Arial"/>
          <w:rtl/>
        </w:rPr>
        <w:footnoteReference w:id="1910"/>
      </w:r>
      <w:r w:rsidRPr="004E4DB8">
        <w:rPr>
          <w:rFonts w:cs="Arial"/>
          <w:rtl/>
        </w:rPr>
        <w:t xml:space="preserve"> - מקחו בטל</w:t>
      </w:r>
      <w:r>
        <w:rPr>
          <w:rStyle w:val="a7"/>
          <w:rFonts w:cs="Arial"/>
          <w:rtl/>
        </w:rPr>
        <w:footnoteReference w:id="1911"/>
      </w:r>
      <w:r w:rsidRPr="004E4DB8">
        <w:rPr>
          <w:rFonts w:cs="Arial"/>
          <w:rtl/>
        </w:rPr>
        <w:t>, אלמא אמרה: נחת רוח עשיתי לבעלי, הכא נמי תימא: נחת רוח עשיתי לבעלי! הא איתמר עלה, אמר רבה בר רב הונא: לא נצרכה</w:t>
      </w:r>
      <w:r>
        <w:rPr>
          <w:rStyle w:val="a7"/>
          <w:rFonts w:cs="Arial"/>
          <w:rtl/>
        </w:rPr>
        <w:footnoteReference w:id="1912"/>
      </w:r>
      <w:r w:rsidRPr="004E4DB8">
        <w:rPr>
          <w:rFonts w:cs="Arial"/>
          <w:rtl/>
        </w:rPr>
        <w:t xml:space="preserve"> אלא באותן ג' שדות, אחת שכתב לה בכתובתה</w:t>
      </w:r>
      <w:r>
        <w:rPr>
          <w:rStyle w:val="a7"/>
          <w:rFonts w:cs="Arial"/>
          <w:rtl/>
        </w:rPr>
        <w:footnoteReference w:id="1913"/>
      </w:r>
      <w:r w:rsidRPr="004E4DB8">
        <w:rPr>
          <w:rFonts w:cs="Arial"/>
          <w:rtl/>
        </w:rPr>
        <w:t>,</w:t>
      </w:r>
      <w:r>
        <w:rPr>
          <w:rFonts w:cs="Arial" w:hint="cs"/>
          <w:rtl/>
        </w:rPr>
        <w:t xml:space="preserve"> </w:t>
      </w:r>
      <w:r>
        <w:rPr>
          <w:rFonts w:cs="Arial" w:hint="cs"/>
          <w:sz w:val="14"/>
          <w:szCs w:val="14"/>
          <w:rtl/>
        </w:rPr>
        <w:t xml:space="preserve">(נ.) </w:t>
      </w:r>
      <w:r w:rsidRPr="004E4DB8">
        <w:rPr>
          <w:rFonts w:cs="Arial"/>
          <w:rtl/>
        </w:rPr>
        <w:t>ואחת שיחד לה בכתובתה</w:t>
      </w:r>
      <w:r>
        <w:rPr>
          <w:rStyle w:val="a7"/>
          <w:rFonts w:cs="Arial"/>
          <w:rtl/>
        </w:rPr>
        <w:footnoteReference w:id="1914"/>
      </w:r>
      <w:r w:rsidRPr="004E4DB8">
        <w:rPr>
          <w:rFonts w:cs="Arial"/>
          <w:rtl/>
        </w:rPr>
        <w:t>, ואחת שהכניסה לו שום משלה</w:t>
      </w:r>
      <w:r>
        <w:rPr>
          <w:rStyle w:val="a7"/>
          <w:rFonts w:cs="Arial"/>
          <w:rtl/>
        </w:rPr>
        <w:footnoteReference w:id="1915"/>
      </w:r>
      <w:r w:rsidRPr="004E4DB8">
        <w:rPr>
          <w:rFonts w:cs="Arial"/>
          <w:rtl/>
        </w:rPr>
        <w:t>. למעוטי מאי</w:t>
      </w:r>
      <w:r>
        <w:rPr>
          <w:rStyle w:val="a7"/>
          <w:rFonts w:cs="Arial"/>
          <w:rtl/>
        </w:rPr>
        <w:footnoteReference w:id="1916"/>
      </w:r>
      <w:r w:rsidRPr="004E4DB8">
        <w:rPr>
          <w:rFonts w:cs="Arial"/>
          <w:rtl/>
        </w:rPr>
        <w:t>? אילימא למעוטי שאר נכסים</w:t>
      </w:r>
      <w:r>
        <w:rPr>
          <w:rStyle w:val="a7"/>
          <w:rFonts w:cs="Arial"/>
          <w:rtl/>
        </w:rPr>
        <w:footnoteReference w:id="1917"/>
      </w:r>
      <w:r w:rsidRPr="004E4DB8">
        <w:rPr>
          <w:rFonts w:cs="Arial"/>
          <w:rtl/>
        </w:rPr>
        <w:t>, כל שכן</w:t>
      </w:r>
      <w:r>
        <w:rPr>
          <w:rStyle w:val="a7"/>
          <w:rFonts w:cs="Arial"/>
          <w:rtl/>
        </w:rPr>
        <w:footnoteReference w:id="1918"/>
      </w:r>
      <w:r w:rsidRPr="004E4DB8">
        <w:rPr>
          <w:rFonts w:cs="Arial"/>
          <w:rtl/>
        </w:rPr>
        <w:t xml:space="preserve"> דהויא ליה איבה, דאמר לה: עיניך נתת בגירושין ובמיתה! אלא למעוטי נכסי מלוג</w:t>
      </w:r>
      <w:r>
        <w:rPr>
          <w:rStyle w:val="a7"/>
          <w:rFonts w:cs="Arial"/>
          <w:rtl/>
        </w:rPr>
        <w:footnoteReference w:id="1919"/>
      </w:r>
      <w:r>
        <w:rPr>
          <w:rFonts w:cs="Arial" w:hint="cs"/>
          <w:rtl/>
        </w:rPr>
        <w:t>.</w:t>
      </w:r>
      <w:r w:rsidRPr="004E4DB8">
        <w:rPr>
          <w:rFonts w:cs="Arial"/>
          <w:rtl/>
        </w:rPr>
        <w:t xml:space="preserve"> </w:t>
      </w:r>
    </w:p>
    <w:p w14:paraId="6314DAC3" w14:textId="77777777" w:rsidR="00392DBB" w:rsidRDefault="00392DBB" w:rsidP="00392DBB">
      <w:pPr>
        <w:rPr>
          <w:rFonts w:cs="Arial"/>
          <w:rtl/>
        </w:rPr>
      </w:pPr>
      <w:r>
        <w:rPr>
          <w:rFonts w:cs="Arial" w:hint="cs"/>
          <w:b/>
          <w:bCs/>
          <w:rtl/>
        </w:rPr>
        <w:t>כתובות</w:t>
      </w:r>
      <w:r w:rsidRPr="004E4DB8">
        <w:rPr>
          <w:rFonts w:cs="Arial" w:hint="cs"/>
          <w:b/>
          <w:bCs/>
          <w:rtl/>
        </w:rPr>
        <w:t xml:space="preserve"> </w:t>
      </w:r>
      <w:r>
        <w:rPr>
          <w:rFonts w:cs="Arial" w:hint="cs"/>
          <w:b/>
          <w:bCs/>
          <w:sz w:val="16"/>
          <w:szCs w:val="16"/>
          <w:rtl/>
        </w:rPr>
        <w:t>(פ' מי שהיה נשוי)</w:t>
      </w:r>
      <w:r>
        <w:rPr>
          <w:rFonts w:cs="Arial" w:hint="cs"/>
          <w:b/>
          <w:bCs/>
          <w:rtl/>
        </w:rPr>
        <w:t xml:space="preserve"> צה</w:t>
      </w:r>
      <w:r w:rsidRPr="004E4DB8">
        <w:rPr>
          <w:rFonts w:cs="Arial" w:hint="cs"/>
          <w:b/>
          <w:bCs/>
          <w:rtl/>
        </w:rPr>
        <w:t xml:space="preserve"> ע"</w:t>
      </w:r>
      <w:r>
        <w:rPr>
          <w:rFonts w:cs="Arial" w:hint="cs"/>
          <w:b/>
          <w:bCs/>
          <w:rtl/>
        </w:rPr>
        <w:t>א</w:t>
      </w:r>
      <w:r w:rsidRPr="004E4DB8">
        <w:rPr>
          <w:rFonts w:cs="Arial" w:hint="cs"/>
          <w:b/>
          <w:bCs/>
          <w:rtl/>
        </w:rPr>
        <w:t xml:space="preserve">: </w:t>
      </w:r>
      <w:r w:rsidRPr="004E4DB8">
        <w:rPr>
          <w:rFonts w:cs="Arial"/>
          <w:u w:val="double"/>
          <w:rtl/>
        </w:rPr>
        <w:t>מתני'</w:t>
      </w:r>
      <w:r>
        <w:rPr>
          <w:rFonts w:cs="Arial" w:hint="cs"/>
          <w:rtl/>
        </w:rPr>
        <w:t>:</w:t>
      </w:r>
      <w:r w:rsidRPr="007A10AF">
        <w:rPr>
          <w:rtl/>
        </w:rPr>
        <w:t xml:space="preserve"> </w:t>
      </w:r>
      <w:r w:rsidRPr="007A10AF">
        <w:rPr>
          <w:rFonts w:cs="Arial"/>
          <w:rtl/>
        </w:rPr>
        <w:t>מי שהיה נשוי ב' נשים, ומכר את שדהו</w:t>
      </w:r>
      <w:r>
        <w:rPr>
          <w:rStyle w:val="a7"/>
          <w:rFonts w:cs="Arial"/>
          <w:rtl/>
        </w:rPr>
        <w:footnoteReference w:id="1920"/>
      </w:r>
      <w:r w:rsidRPr="007A10AF">
        <w:rPr>
          <w:rFonts w:cs="Arial"/>
          <w:rtl/>
        </w:rPr>
        <w:t>, וכתבה ראשונה</w:t>
      </w:r>
      <w:r>
        <w:rPr>
          <w:rStyle w:val="a7"/>
          <w:rFonts w:cs="Arial"/>
          <w:rtl/>
        </w:rPr>
        <w:footnoteReference w:id="1921"/>
      </w:r>
      <w:r w:rsidRPr="007A10AF">
        <w:rPr>
          <w:rFonts w:cs="Arial"/>
          <w:rtl/>
        </w:rPr>
        <w:t xml:space="preserve"> ללוקח דין ודברים אין לי עמך - השניה מוציאה</w:t>
      </w:r>
      <w:r>
        <w:rPr>
          <w:rStyle w:val="a7"/>
          <w:rFonts w:cs="Arial"/>
          <w:rtl/>
        </w:rPr>
        <w:footnoteReference w:id="1922"/>
      </w:r>
      <w:r w:rsidRPr="007A10AF">
        <w:rPr>
          <w:rFonts w:cs="Arial"/>
          <w:rtl/>
        </w:rPr>
        <w:t xml:space="preserve"> מהלוקח</w:t>
      </w:r>
      <w:r>
        <w:rPr>
          <w:rFonts w:cs="Arial" w:hint="cs"/>
          <w:rtl/>
        </w:rPr>
        <w:t>,</w:t>
      </w:r>
      <w:r w:rsidRPr="007A10AF">
        <w:rPr>
          <w:rFonts w:cs="Arial"/>
          <w:rtl/>
        </w:rPr>
        <w:t xml:space="preserve"> וראשונה מן השניה</w:t>
      </w:r>
      <w:r>
        <w:rPr>
          <w:rFonts w:cs="Arial" w:hint="cs"/>
          <w:rtl/>
        </w:rPr>
        <w:t>,</w:t>
      </w:r>
      <w:r w:rsidRPr="007A10AF">
        <w:rPr>
          <w:rFonts w:cs="Arial"/>
          <w:rtl/>
        </w:rPr>
        <w:t xml:space="preserve"> והלוקח מן הראשונה, וחוזרות חלילה, עד שיעשו פשרה ביניהם. וכן בעל חוב</w:t>
      </w:r>
      <w:r>
        <w:rPr>
          <w:rFonts w:cs="Arial" w:hint="cs"/>
          <w:rtl/>
        </w:rPr>
        <w:t>,</w:t>
      </w:r>
      <w:r w:rsidRPr="007A10AF">
        <w:rPr>
          <w:rFonts w:cs="Arial"/>
          <w:rtl/>
        </w:rPr>
        <w:t xml:space="preserve"> וכן אשה בעלת חוב.</w:t>
      </w:r>
      <w:r>
        <w:rPr>
          <w:rFonts w:cs="Arial" w:hint="cs"/>
          <w:rtl/>
        </w:rPr>
        <w:t xml:space="preserve">     </w:t>
      </w:r>
      <w:r w:rsidRPr="007A10AF">
        <w:rPr>
          <w:rFonts w:cs="Arial"/>
          <w:u w:val="double"/>
          <w:rtl/>
        </w:rPr>
        <w:t>גמ'</w:t>
      </w:r>
      <w:r>
        <w:rPr>
          <w:rFonts w:cs="Arial" w:hint="cs"/>
          <w:rtl/>
        </w:rPr>
        <w:t>:</w:t>
      </w:r>
      <w:r w:rsidRPr="007A10AF">
        <w:rPr>
          <w:rFonts w:cs="Arial"/>
          <w:rtl/>
        </w:rPr>
        <w:t xml:space="preserve"> וכי כתבה ליה מאי הוי? והתניא: האומר לחבירו דין ודברים אין לי על שדה זו, ואין לי עסק בה, וידי מסולקת הימנה - לא אמר כלום! הכא במאי עסקינן - בשקנו מידה</w:t>
      </w:r>
      <w:r>
        <w:rPr>
          <w:rStyle w:val="a7"/>
          <w:rFonts w:cs="Arial"/>
          <w:rtl/>
        </w:rPr>
        <w:footnoteReference w:id="1923"/>
      </w:r>
      <w:r w:rsidRPr="007A10AF">
        <w:rPr>
          <w:rFonts w:cs="Arial"/>
          <w:rtl/>
        </w:rPr>
        <w:t>. וכי קנו מידה מאי הוי? תימא: נחת רוח עשיתי לבעלי!</w:t>
      </w:r>
      <w:r w:rsidRPr="00082549">
        <w:rPr>
          <w:rtl/>
        </w:rPr>
        <w:t xml:space="preserve"> </w:t>
      </w:r>
      <w:r w:rsidRPr="00082549">
        <w:rPr>
          <w:rFonts w:cs="Arial"/>
          <w:rtl/>
        </w:rPr>
        <w:t>מי לא תנן: לקח מן האיש וחזר ולקח מן האשה - מקחו בטל</w:t>
      </w:r>
      <w:r>
        <w:rPr>
          <w:rFonts w:cs="Arial" w:hint="cs"/>
          <w:rtl/>
        </w:rPr>
        <w:t>.</w:t>
      </w:r>
      <w:r w:rsidRPr="00082549">
        <w:rPr>
          <w:rFonts w:cs="Arial"/>
          <w:rtl/>
        </w:rPr>
        <w:t xml:space="preserve"> אלמא יכולה היא שתאמר: נחת רוח עשיתי לבעלי!</w:t>
      </w:r>
      <w:r w:rsidRPr="007A10AF">
        <w:rPr>
          <w:rFonts w:cs="Arial"/>
          <w:rtl/>
        </w:rPr>
        <w:t xml:space="preserve"> </w:t>
      </w:r>
      <w:r w:rsidRPr="007F67A4">
        <w:rPr>
          <w:rFonts w:cs="Arial"/>
          <w:u w:val="single"/>
          <w:rtl/>
        </w:rPr>
        <w:t>א"ר זירא אמר רב חסדא</w:t>
      </w:r>
      <w:r>
        <w:rPr>
          <w:rFonts w:cs="Arial" w:hint="cs"/>
          <w:rtl/>
        </w:rPr>
        <w:t>:</w:t>
      </w:r>
      <w:r w:rsidRPr="00072F15">
        <w:rPr>
          <w:rFonts w:cs="Arial"/>
          <w:rtl/>
        </w:rPr>
        <w:t xml:space="preserve"> לא קשיא</w:t>
      </w:r>
      <w:r>
        <w:rPr>
          <w:rFonts w:cs="Arial" w:hint="cs"/>
          <w:rtl/>
        </w:rPr>
        <w:t>,</w:t>
      </w:r>
      <w:r w:rsidRPr="00072F15">
        <w:rPr>
          <w:rFonts w:cs="Arial"/>
          <w:rtl/>
        </w:rPr>
        <w:t xml:space="preserve"> הא ר"מ, הא ר' יהודה</w:t>
      </w:r>
      <w:r>
        <w:rPr>
          <w:rFonts w:cs="Arial" w:hint="cs"/>
          <w:rtl/>
        </w:rPr>
        <w:t>,</w:t>
      </w:r>
      <w:r w:rsidRPr="00072F15">
        <w:rPr>
          <w:rFonts w:cs="Arial"/>
          <w:rtl/>
        </w:rPr>
        <w:t xml:space="preserve"> דתניא: כתב לראשון</w:t>
      </w:r>
      <w:r>
        <w:rPr>
          <w:rStyle w:val="a7"/>
          <w:rFonts w:cs="Arial"/>
          <w:rtl/>
        </w:rPr>
        <w:footnoteReference w:id="1924"/>
      </w:r>
      <w:r w:rsidRPr="00072F15">
        <w:rPr>
          <w:rFonts w:cs="Arial"/>
          <w:rtl/>
        </w:rPr>
        <w:t xml:space="preserve"> ולא חתמה לו</w:t>
      </w:r>
      <w:r>
        <w:rPr>
          <w:rStyle w:val="a7"/>
          <w:rFonts w:cs="Arial"/>
          <w:rtl/>
        </w:rPr>
        <w:footnoteReference w:id="1925"/>
      </w:r>
      <w:r w:rsidRPr="00072F15">
        <w:rPr>
          <w:rFonts w:cs="Arial"/>
          <w:rtl/>
        </w:rPr>
        <w:t>, לשני וחתמה לו - איבדה כתובתה</w:t>
      </w:r>
      <w:r>
        <w:rPr>
          <w:rStyle w:val="a7"/>
          <w:rFonts w:cs="Arial"/>
          <w:rtl/>
        </w:rPr>
        <w:footnoteReference w:id="1926"/>
      </w:r>
      <w:r w:rsidRPr="00072F15">
        <w:rPr>
          <w:rFonts w:cs="Arial"/>
          <w:rtl/>
        </w:rPr>
        <w:t xml:space="preserve">, </w:t>
      </w:r>
      <w:r w:rsidRPr="007F67A4">
        <w:rPr>
          <w:rFonts w:cs="Arial"/>
          <w:u w:val="single"/>
          <w:rtl/>
        </w:rPr>
        <w:t>דברי ר"מ</w:t>
      </w:r>
      <w:r>
        <w:rPr>
          <w:rFonts w:cs="Arial" w:hint="cs"/>
          <w:rtl/>
        </w:rPr>
        <w:t>.</w:t>
      </w:r>
      <w:r w:rsidRPr="00072F15">
        <w:rPr>
          <w:rFonts w:cs="Arial"/>
          <w:rtl/>
        </w:rPr>
        <w:t xml:space="preserve"> </w:t>
      </w:r>
      <w:r w:rsidRPr="007F67A4">
        <w:rPr>
          <w:rFonts w:cs="Arial"/>
          <w:u w:val="single"/>
          <w:rtl/>
        </w:rPr>
        <w:t>ר' יהודה אומר</w:t>
      </w:r>
      <w:r w:rsidRPr="00072F15">
        <w:rPr>
          <w:rFonts w:cs="Arial"/>
          <w:rtl/>
        </w:rPr>
        <w:t>: יכולה היא שתאמר נחת רוח עשיתי לבעלי, אתם מה לכם עלי</w:t>
      </w:r>
      <w:r>
        <w:rPr>
          <w:rStyle w:val="a7"/>
          <w:rFonts w:cs="Arial"/>
          <w:rtl/>
        </w:rPr>
        <w:footnoteReference w:id="1927"/>
      </w:r>
      <w:r w:rsidRPr="00072F15">
        <w:rPr>
          <w:rFonts w:cs="Arial"/>
          <w:rtl/>
        </w:rPr>
        <w:t>. ורבי</w:t>
      </w:r>
      <w:r>
        <w:rPr>
          <w:rStyle w:val="a7"/>
          <w:rFonts w:cs="Arial"/>
          <w:rtl/>
        </w:rPr>
        <w:footnoteReference w:id="1928"/>
      </w:r>
      <w:r w:rsidRPr="00072F15">
        <w:rPr>
          <w:rFonts w:cs="Arial"/>
          <w:rtl/>
        </w:rPr>
        <w:t xml:space="preserve"> סתם לה הכא כר"מ, וסתם לה התם כר' יהודה? </w:t>
      </w:r>
      <w:r w:rsidRPr="007F67A4">
        <w:rPr>
          <w:rFonts w:cs="Arial"/>
          <w:u w:val="single"/>
          <w:rtl/>
        </w:rPr>
        <w:t>אמר רב פפא</w:t>
      </w:r>
      <w:r w:rsidRPr="006C343E">
        <w:rPr>
          <w:rStyle w:val="a7"/>
          <w:rFonts w:cs="Arial"/>
          <w:u w:val="single"/>
          <w:rtl/>
        </w:rPr>
        <w:footnoteReference w:id="1929"/>
      </w:r>
      <w:r w:rsidRPr="00072F15">
        <w:rPr>
          <w:rFonts w:cs="Arial"/>
          <w:rtl/>
        </w:rPr>
        <w:t xml:space="preserve">: בגרושה ודברי הכל. </w:t>
      </w:r>
      <w:r w:rsidRPr="007F67A4">
        <w:rPr>
          <w:rFonts w:cs="Arial"/>
          <w:u w:val="single"/>
          <w:rtl/>
        </w:rPr>
        <w:t>רב אשי אמר</w:t>
      </w:r>
      <w:r w:rsidRPr="006C343E">
        <w:rPr>
          <w:rStyle w:val="a7"/>
          <w:rFonts w:cs="Arial"/>
          <w:u w:val="single"/>
          <w:rtl/>
        </w:rPr>
        <w:footnoteReference w:id="1930"/>
      </w:r>
      <w:r w:rsidRPr="00072F15">
        <w:rPr>
          <w:rFonts w:cs="Arial"/>
          <w:rtl/>
        </w:rPr>
        <w:t xml:space="preserve">: כולה ר"מ היא, ועד כאן לא קאמר ר"מ התם - אלא בשני לקוחות, דאמרי לה: אי </w:t>
      </w:r>
      <w:r w:rsidRPr="00072F15">
        <w:rPr>
          <w:rFonts w:cs="Arial"/>
          <w:rtl/>
        </w:rPr>
        <w:lastRenderedPageBreak/>
        <w:t>איתא דנחת רוח עבדת - לקמא איבעי לך למיעבד, אבל בלוקח אחד אפילו רבי מאיר מודה, ומתני'</w:t>
      </w:r>
      <w:r>
        <w:rPr>
          <w:rStyle w:val="a7"/>
          <w:rFonts w:cs="Arial"/>
          <w:rtl/>
        </w:rPr>
        <w:footnoteReference w:id="1931"/>
      </w:r>
      <w:r w:rsidRPr="00072F15">
        <w:rPr>
          <w:rFonts w:cs="Arial"/>
          <w:rtl/>
        </w:rPr>
        <w:t xml:space="preserve"> - דכתב</w:t>
      </w:r>
      <w:r>
        <w:rPr>
          <w:rStyle w:val="a7"/>
          <w:rFonts w:cs="Arial"/>
          <w:rtl/>
        </w:rPr>
        <w:footnoteReference w:id="1932"/>
      </w:r>
      <w:r w:rsidRPr="00072F15">
        <w:rPr>
          <w:rFonts w:cs="Arial"/>
          <w:rtl/>
        </w:rPr>
        <w:t xml:space="preserve"> ליה לאחר.</w:t>
      </w:r>
    </w:p>
    <w:p w14:paraId="32194BB9" w14:textId="77777777" w:rsidR="00392DBB" w:rsidRPr="00044D29" w:rsidRDefault="00392DBB" w:rsidP="00392DBB">
      <w:pPr>
        <w:rPr>
          <w:u w:val="single"/>
          <w:rtl/>
        </w:rPr>
      </w:pPr>
      <w:r w:rsidRPr="00044D29">
        <w:rPr>
          <w:rFonts w:hint="cs"/>
          <w:u w:val="single"/>
          <w:rtl/>
        </w:rPr>
        <w:t>מאיזו קרקע נגבית הכתובה קודם:</w:t>
      </w:r>
    </w:p>
    <w:p w14:paraId="0F7ACCBB" w14:textId="77777777" w:rsidR="00392DBB" w:rsidRPr="00044D29" w:rsidRDefault="00392DBB" w:rsidP="009000E3">
      <w:pPr>
        <w:pStyle w:val="ab"/>
        <w:numPr>
          <w:ilvl w:val="0"/>
          <w:numId w:val="61"/>
        </w:numPr>
      </w:pPr>
      <w:r>
        <w:rPr>
          <w:rFonts w:cs="Arial" w:hint="cs"/>
          <w:rtl/>
        </w:rPr>
        <w:t xml:space="preserve">טור- </w:t>
      </w:r>
      <w:r w:rsidRPr="003D2914">
        <w:rPr>
          <w:rFonts w:cs="Arial"/>
          <w:rtl/>
        </w:rPr>
        <w:t>אם מוצאים קרקע בן חורין</w:t>
      </w:r>
      <w:r>
        <w:rPr>
          <w:rFonts w:cs="Arial" w:hint="cs"/>
          <w:rtl/>
        </w:rPr>
        <w:t xml:space="preserve"> -</w:t>
      </w:r>
      <w:r w:rsidRPr="003D2914">
        <w:rPr>
          <w:rFonts w:cs="Arial"/>
          <w:rtl/>
        </w:rPr>
        <w:t xml:space="preserve"> מוכרין ונותנין לה</w:t>
      </w:r>
      <w:r>
        <w:rPr>
          <w:rFonts w:cs="Arial" w:hint="cs"/>
          <w:rtl/>
        </w:rPr>
        <w:t>.</w:t>
      </w:r>
      <w:r w:rsidRPr="003D2914">
        <w:rPr>
          <w:rFonts w:cs="Arial"/>
          <w:rtl/>
        </w:rPr>
        <w:t xml:space="preserve"> ואם לאו טורפת ממשועבדים לו שמכר או שנתן</w:t>
      </w:r>
      <w:r>
        <w:rPr>
          <w:rFonts w:cs="Arial" w:hint="cs"/>
          <w:rtl/>
        </w:rPr>
        <w:t>,</w:t>
      </w:r>
      <w:r w:rsidRPr="003D2914">
        <w:rPr>
          <w:rFonts w:cs="Arial"/>
          <w:rtl/>
        </w:rPr>
        <w:t xml:space="preserve"> ל</w:t>
      </w:r>
      <w:r>
        <w:rPr>
          <w:rFonts w:cs="Arial" w:hint="cs"/>
          <w:rtl/>
        </w:rPr>
        <w:t xml:space="preserve">א </w:t>
      </w:r>
      <w:r w:rsidRPr="003D2914">
        <w:rPr>
          <w:rFonts w:cs="Arial"/>
          <w:rtl/>
        </w:rPr>
        <w:t>ש</w:t>
      </w:r>
      <w:r>
        <w:rPr>
          <w:rFonts w:cs="Arial" w:hint="cs"/>
          <w:rtl/>
        </w:rPr>
        <w:t>נא</w:t>
      </w:r>
      <w:r w:rsidRPr="003D2914">
        <w:rPr>
          <w:rFonts w:cs="Arial"/>
          <w:rtl/>
        </w:rPr>
        <w:t xml:space="preserve"> נתן במתנת בריא או שכיב מרע</w:t>
      </w:r>
      <w:r>
        <w:rPr>
          <w:rFonts w:cs="Arial" w:hint="cs"/>
          <w:rtl/>
        </w:rPr>
        <w:t>,</w:t>
      </w:r>
      <w:r w:rsidRPr="003D2914">
        <w:rPr>
          <w:rFonts w:cs="Arial"/>
          <w:rtl/>
        </w:rPr>
        <w:t xml:space="preserve"> שהרי כל נכסיו אחראין וערבאין לכתובתה</w:t>
      </w:r>
      <w:r>
        <w:rPr>
          <w:rFonts w:cs="Arial" w:hint="cs"/>
          <w:rtl/>
        </w:rPr>
        <w:t>.</w:t>
      </w:r>
      <w:r w:rsidRPr="003D2914">
        <w:rPr>
          <w:rFonts w:cs="Arial"/>
          <w:rtl/>
        </w:rPr>
        <w:t xml:space="preserve"> </w:t>
      </w:r>
      <w:r w:rsidRPr="00AF388C">
        <w:rPr>
          <w:rFonts w:hint="cs"/>
          <w:color w:val="E36C0A" w:themeColor="accent6" w:themeShade="BF"/>
          <w:rtl/>
        </w:rPr>
        <w:t>(וכ"פ בשו"ע)</w:t>
      </w:r>
    </w:p>
    <w:p w14:paraId="750CD136" w14:textId="77777777" w:rsidR="00392DBB" w:rsidRPr="00044D29" w:rsidRDefault="00392DBB" w:rsidP="00392DBB">
      <w:pPr>
        <w:ind w:left="360"/>
        <w:rPr>
          <w:u w:val="dotted"/>
        </w:rPr>
      </w:pPr>
      <w:r w:rsidRPr="00044D29">
        <w:rPr>
          <w:rFonts w:hint="cs"/>
          <w:u w:val="dotted"/>
          <w:rtl/>
        </w:rPr>
        <w:t>האם טורפת את הקרקע אע"ג שהסכימה לקנין:</w:t>
      </w:r>
    </w:p>
    <w:p w14:paraId="07C2F610" w14:textId="77777777" w:rsidR="00392DBB" w:rsidRPr="00D96B36" w:rsidRDefault="00392DBB" w:rsidP="009000E3">
      <w:pPr>
        <w:pStyle w:val="ab"/>
        <w:numPr>
          <w:ilvl w:val="0"/>
          <w:numId w:val="61"/>
        </w:numPr>
      </w:pPr>
      <w:r w:rsidRPr="00FC05BD">
        <w:rPr>
          <w:rFonts w:cs="Arial"/>
          <w:rtl/>
        </w:rPr>
        <w:t>רמב"ם</w:t>
      </w:r>
      <w:r w:rsidRPr="00FC05BD">
        <w:rPr>
          <w:rStyle w:val="a7"/>
          <w:rFonts w:cs="Arial"/>
          <w:rtl/>
        </w:rPr>
        <w:footnoteReference w:id="1933"/>
      </w:r>
      <w:r w:rsidRPr="00FC05BD">
        <w:rPr>
          <w:rFonts w:cs="Arial"/>
          <w:rtl/>
        </w:rPr>
        <w:t xml:space="preserve"> </w:t>
      </w:r>
      <w:r w:rsidRPr="00FC05BD">
        <w:rPr>
          <w:rFonts w:cs="Arial" w:hint="cs"/>
          <w:sz w:val="16"/>
          <w:szCs w:val="16"/>
          <w:rtl/>
        </w:rPr>
        <w:t>(</w:t>
      </w:r>
      <w:r w:rsidRPr="00FC05BD">
        <w:rPr>
          <w:rFonts w:cs="Arial"/>
          <w:sz w:val="16"/>
          <w:szCs w:val="16"/>
          <w:rtl/>
        </w:rPr>
        <w:t>פי"ז מאישות הי"א)</w:t>
      </w:r>
      <w:r w:rsidRPr="00FC05BD">
        <w:rPr>
          <w:rFonts w:cs="Arial" w:hint="cs"/>
          <w:rtl/>
        </w:rPr>
        <w:t xml:space="preserve"> ו</w:t>
      </w:r>
      <w:r>
        <w:rPr>
          <w:rFonts w:cs="Arial" w:hint="cs"/>
          <w:rtl/>
        </w:rPr>
        <w:t xml:space="preserve">טור- </w:t>
      </w:r>
      <w:r w:rsidRPr="003D2914">
        <w:rPr>
          <w:rFonts w:cs="Arial"/>
          <w:rtl/>
        </w:rPr>
        <w:t>אפי' אם נתרצית בקנינו שקנו מידה אינו מועיל</w:t>
      </w:r>
      <w:r>
        <w:rPr>
          <w:rFonts w:cs="Arial" w:hint="cs"/>
          <w:rtl/>
        </w:rPr>
        <w:t>,</w:t>
      </w:r>
      <w:r w:rsidRPr="003D2914">
        <w:rPr>
          <w:rFonts w:cs="Arial"/>
          <w:rtl/>
        </w:rPr>
        <w:t xml:space="preserve"> אא"כ קנו ממנ</w:t>
      </w:r>
      <w:r>
        <w:rPr>
          <w:rFonts w:cs="Arial" w:hint="cs"/>
          <w:rtl/>
        </w:rPr>
        <w:t>ה</w:t>
      </w:r>
      <w:r w:rsidRPr="003D2914">
        <w:rPr>
          <w:rFonts w:cs="Arial"/>
          <w:rtl/>
        </w:rPr>
        <w:t xml:space="preserve"> תחילה כדפי' לעיל</w:t>
      </w:r>
      <w:r>
        <w:rPr>
          <w:rFonts w:cs="Arial" w:hint="cs"/>
          <w:sz w:val="16"/>
          <w:szCs w:val="16"/>
          <w:rtl/>
        </w:rPr>
        <w:t xml:space="preserve"> (סי' צ סט"ז)</w:t>
      </w:r>
      <w:r>
        <w:rPr>
          <w:rFonts w:cs="Arial" w:hint="cs"/>
          <w:rtl/>
        </w:rPr>
        <w:t>.</w:t>
      </w:r>
      <w:r w:rsidRPr="003D2914">
        <w:rPr>
          <w:rFonts w:cs="Arial"/>
          <w:rtl/>
        </w:rPr>
        <w:t xml:space="preserve"> </w:t>
      </w:r>
      <w:r w:rsidRPr="00AF388C">
        <w:rPr>
          <w:rFonts w:hint="cs"/>
          <w:color w:val="E36C0A" w:themeColor="accent6" w:themeShade="BF"/>
          <w:rtl/>
        </w:rPr>
        <w:t>(וכ"פ בשו"ע</w:t>
      </w:r>
      <w:r>
        <w:rPr>
          <w:rFonts w:hint="cs"/>
          <w:sz w:val="16"/>
          <w:szCs w:val="16"/>
          <w:rtl/>
        </w:rPr>
        <w:t xml:space="preserve"> [כאן ובסי' צ סט"ז]</w:t>
      </w:r>
      <w:r w:rsidRPr="00AF388C">
        <w:rPr>
          <w:rFonts w:hint="cs"/>
          <w:color w:val="E36C0A" w:themeColor="accent6" w:themeShade="BF"/>
          <w:rtl/>
        </w:rPr>
        <w:t>)</w:t>
      </w:r>
    </w:p>
    <w:p w14:paraId="5D667796" w14:textId="77777777" w:rsidR="00392DBB" w:rsidRPr="00DF414E" w:rsidRDefault="00392DBB" w:rsidP="00392DBB">
      <w:pPr>
        <w:ind w:left="360"/>
        <w:rPr>
          <w:u w:val="dotted"/>
        </w:rPr>
      </w:pPr>
      <w:r w:rsidRPr="00D96B36">
        <w:rPr>
          <w:rFonts w:hint="cs"/>
          <w:u w:val="dotted"/>
          <w:rtl/>
        </w:rPr>
        <w:t xml:space="preserve">ומה הדין אם לא הסכימה לקנין </w:t>
      </w:r>
      <w:r>
        <w:rPr>
          <w:rFonts w:hint="cs"/>
          <w:u w:val="dotted"/>
          <w:rtl/>
        </w:rPr>
        <w:t>עם ה</w:t>
      </w:r>
      <w:r w:rsidRPr="00D96B36">
        <w:rPr>
          <w:rFonts w:hint="cs"/>
          <w:u w:val="dotted"/>
          <w:rtl/>
        </w:rPr>
        <w:t>לוקח הראשון</w:t>
      </w:r>
      <w:r>
        <w:rPr>
          <w:rFonts w:hint="cs"/>
          <w:u w:val="dotted"/>
          <w:rtl/>
        </w:rPr>
        <w:t>,</w:t>
      </w:r>
      <w:r w:rsidRPr="00D96B36">
        <w:rPr>
          <w:rFonts w:hint="cs"/>
          <w:u w:val="dotted"/>
          <w:rtl/>
        </w:rPr>
        <w:t xml:space="preserve"> אבל לקנין עם הלוקח השני כן הסכימה: </w:t>
      </w:r>
    </w:p>
    <w:p w14:paraId="3F06A30A" w14:textId="77777777" w:rsidR="00392DBB" w:rsidRPr="0054767C" w:rsidRDefault="00392DBB" w:rsidP="009000E3">
      <w:pPr>
        <w:pStyle w:val="ab"/>
        <w:numPr>
          <w:ilvl w:val="0"/>
          <w:numId w:val="61"/>
        </w:numPr>
        <w:rPr>
          <w:rFonts w:cs="Arial"/>
        </w:rPr>
      </w:pPr>
      <w:r>
        <w:rPr>
          <w:rFonts w:cs="Arial"/>
          <w:rtl/>
        </w:rPr>
        <w:t xml:space="preserve">רמב"ם </w:t>
      </w:r>
      <w:r w:rsidRPr="00A303DC">
        <w:rPr>
          <w:rFonts w:cs="Arial" w:hint="cs"/>
          <w:sz w:val="16"/>
          <w:szCs w:val="16"/>
          <w:rtl/>
        </w:rPr>
        <w:t>(</w:t>
      </w:r>
      <w:r w:rsidRPr="00A303DC">
        <w:rPr>
          <w:rFonts w:cs="Arial"/>
          <w:sz w:val="16"/>
          <w:szCs w:val="16"/>
          <w:rtl/>
        </w:rPr>
        <w:t xml:space="preserve">פי"ז מאישות הי"א) </w:t>
      </w:r>
      <w:r>
        <w:rPr>
          <w:rFonts w:cs="Arial" w:hint="cs"/>
          <w:rtl/>
        </w:rPr>
        <w:t>וטור</w:t>
      </w:r>
      <w:r>
        <w:rPr>
          <w:rStyle w:val="a7"/>
          <w:rFonts w:cs="Arial"/>
          <w:rtl/>
        </w:rPr>
        <w:footnoteReference w:id="1934"/>
      </w:r>
      <w:r>
        <w:rPr>
          <w:rFonts w:cs="Arial" w:hint="cs"/>
          <w:rtl/>
        </w:rPr>
        <w:t xml:space="preserve">- </w:t>
      </w:r>
      <w:r w:rsidRPr="007C1187">
        <w:rPr>
          <w:rFonts w:cs="Arial"/>
          <w:rtl/>
        </w:rPr>
        <w:t>וכן אם מכר הבעל ואמר לאשתו לכתוב ללוקח דין ודברים אין לי עמך ולא כתבה ללוקח ולא הסכימה למעשיו ונפסד</w:t>
      </w:r>
      <w:r>
        <w:rPr>
          <w:rStyle w:val="a7"/>
          <w:rFonts w:cs="Arial"/>
          <w:rtl/>
        </w:rPr>
        <w:footnoteReference w:id="1935"/>
      </w:r>
      <w:r w:rsidRPr="007C1187">
        <w:rPr>
          <w:rFonts w:cs="Arial"/>
          <w:rtl/>
        </w:rPr>
        <w:t xml:space="preserve"> המכר</w:t>
      </w:r>
      <w:r>
        <w:rPr>
          <w:rFonts w:cs="Arial" w:hint="cs"/>
          <w:rtl/>
        </w:rPr>
        <w:t>.</w:t>
      </w:r>
      <w:r w:rsidRPr="007C1187">
        <w:rPr>
          <w:rFonts w:cs="Arial"/>
          <w:rtl/>
        </w:rPr>
        <w:t xml:space="preserve"> וחזר הבעל ומכר לאיש אחר בין אותה שדה בין שדה אחרת ואחר שמכר הבעל הסכימה למעשיו וקנו מידה שאין לה שעבוד על שדה זו </w:t>
      </w:r>
      <w:r>
        <w:rPr>
          <w:rFonts w:cs="Arial" w:hint="cs"/>
          <w:rtl/>
        </w:rPr>
        <w:t xml:space="preserve">- </w:t>
      </w:r>
      <w:r w:rsidRPr="007C1187">
        <w:rPr>
          <w:rFonts w:cs="Arial"/>
          <w:rtl/>
        </w:rPr>
        <w:t>אינה יכולה לטרוף</w:t>
      </w:r>
      <w:r>
        <w:rPr>
          <w:rFonts w:cs="Arial" w:hint="cs"/>
          <w:rtl/>
        </w:rPr>
        <w:t>,</w:t>
      </w:r>
      <w:r w:rsidRPr="007C1187">
        <w:rPr>
          <w:rFonts w:cs="Arial"/>
          <w:rtl/>
        </w:rPr>
        <w:t xml:space="preserve"> שאינה יכולה לומר נחת רוח עשיתי לבעלי</w:t>
      </w:r>
      <w:r>
        <w:rPr>
          <w:rFonts w:cs="Arial" w:hint="cs"/>
          <w:rtl/>
        </w:rPr>
        <w:t>,</w:t>
      </w:r>
      <w:r w:rsidRPr="007C1187">
        <w:rPr>
          <w:rFonts w:cs="Arial"/>
          <w:rtl/>
        </w:rPr>
        <w:t xml:space="preserve"> שהרי בראשונה כשלא רצתה לא הלכה ברצון בעלה</w:t>
      </w:r>
      <w:r>
        <w:rPr>
          <w:rFonts w:cs="Arial" w:hint="cs"/>
          <w:sz w:val="16"/>
          <w:szCs w:val="16"/>
          <w:rtl/>
        </w:rPr>
        <w:t xml:space="preserve"> (ל' הרמב"ם)</w:t>
      </w:r>
      <w:r>
        <w:rPr>
          <w:rFonts w:cs="Arial" w:hint="cs"/>
          <w:rtl/>
        </w:rPr>
        <w:t>.</w:t>
      </w:r>
      <w:r w:rsidRPr="008C513A">
        <w:rPr>
          <w:rFonts w:cs="Arial"/>
          <w:rtl/>
        </w:rPr>
        <w:t xml:space="preserve"> </w:t>
      </w:r>
      <w:r w:rsidRPr="00AF388C">
        <w:rPr>
          <w:rFonts w:hint="cs"/>
          <w:color w:val="E36C0A" w:themeColor="accent6" w:themeShade="BF"/>
          <w:rtl/>
        </w:rPr>
        <w:t>(וכ"פ בשו"ע</w:t>
      </w:r>
      <w:r>
        <w:rPr>
          <w:rFonts w:hint="cs"/>
          <w:sz w:val="16"/>
          <w:szCs w:val="16"/>
          <w:rtl/>
        </w:rPr>
        <w:t xml:space="preserve"> [כאן ובסי' צ סי"ז]</w:t>
      </w:r>
      <w:r w:rsidRPr="00AF388C">
        <w:rPr>
          <w:rFonts w:hint="cs"/>
          <w:color w:val="E36C0A" w:themeColor="accent6" w:themeShade="BF"/>
          <w:rtl/>
        </w:rPr>
        <w:t>)</w:t>
      </w:r>
    </w:p>
    <w:p w14:paraId="7CA97F89" w14:textId="77777777" w:rsidR="00392DBB" w:rsidRPr="00D96B36" w:rsidRDefault="00392DBB" w:rsidP="00392DBB">
      <w:pPr>
        <w:ind w:left="720"/>
        <w:rPr>
          <w:u w:val="wave"/>
        </w:rPr>
      </w:pPr>
      <w:bookmarkStart w:id="22" w:name="_Hlk69730367"/>
      <w:r>
        <w:rPr>
          <w:rFonts w:hint="cs"/>
          <w:u w:val="wave"/>
          <w:rtl/>
        </w:rPr>
        <w:t xml:space="preserve">במדה והבעל מכר גם ללוקח הראשון </w:t>
      </w:r>
      <w:r>
        <w:rPr>
          <w:rFonts w:hint="cs"/>
          <w:sz w:val="16"/>
          <w:szCs w:val="16"/>
          <w:u w:val="wave"/>
          <w:rtl/>
        </w:rPr>
        <w:t>(ללא הסכמתה)</w:t>
      </w:r>
      <w:r>
        <w:rPr>
          <w:rFonts w:hint="cs"/>
          <w:u w:val="wave"/>
          <w:rtl/>
        </w:rPr>
        <w:t xml:space="preserve"> - </w:t>
      </w:r>
      <w:r w:rsidRPr="00D96B36">
        <w:rPr>
          <w:rFonts w:hint="cs"/>
          <w:u w:val="wave"/>
          <w:rtl/>
        </w:rPr>
        <w:t>האם יכולה לגבות מן הראשון:</w:t>
      </w:r>
    </w:p>
    <w:p w14:paraId="0D8EA0DC" w14:textId="77777777" w:rsidR="00392DBB" w:rsidRPr="00D96B36" w:rsidRDefault="00392DBB" w:rsidP="009000E3">
      <w:pPr>
        <w:pStyle w:val="ab"/>
        <w:numPr>
          <w:ilvl w:val="0"/>
          <w:numId w:val="61"/>
        </w:numPr>
      </w:pPr>
      <w:r w:rsidRPr="003D2914">
        <w:rPr>
          <w:rFonts w:cs="Arial"/>
          <w:rtl/>
        </w:rPr>
        <w:t>רש"י</w:t>
      </w:r>
      <w:r w:rsidRPr="00D96B36">
        <w:rPr>
          <w:rFonts w:cs="Arial"/>
          <w:rtl/>
        </w:rPr>
        <w:t xml:space="preserve"> </w:t>
      </w:r>
      <w:r w:rsidRPr="00D96B36">
        <w:rPr>
          <w:rFonts w:cs="Arial"/>
          <w:sz w:val="16"/>
          <w:szCs w:val="16"/>
          <w:rtl/>
        </w:rPr>
        <w:t xml:space="preserve">(ד"ה הכי גרסינן התם) </w:t>
      </w:r>
      <w:r w:rsidRPr="003D2914">
        <w:rPr>
          <w:rFonts w:cs="Arial"/>
          <w:rtl/>
        </w:rPr>
        <w:t xml:space="preserve">רמב"ם </w:t>
      </w:r>
      <w:r>
        <w:rPr>
          <w:rFonts w:cs="Arial" w:hint="cs"/>
          <w:sz w:val="16"/>
          <w:szCs w:val="16"/>
          <w:rtl/>
        </w:rPr>
        <w:t xml:space="preserve">(פי"ט ממלוה ה"ח) </w:t>
      </w:r>
      <w:r w:rsidRPr="003D2914">
        <w:rPr>
          <w:rFonts w:cs="Arial"/>
          <w:rtl/>
        </w:rPr>
        <w:t>העיטור</w:t>
      </w:r>
      <w:r>
        <w:rPr>
          <w:rFonts w:cs="Arial" w:hint="cs"/>
          <w:rtl/>
        </w:rPr>
        <w:t xml:space="preserve"> </w:t>
      </w:r>
      <w:r>
        <w:rPr>
          <w:rFonts w:cs="Arial" w:hint="cs"/>
          <w:sz w:val="16"/>
          <w:szCs w:val="16"/>
          <w:rtl/>
        </w:rPr>
        <w:t xml:space="preserve">(כ"כ הטור בשמו) </w:t>
      </w:r>
      <w:r>
        <w:rPr>
          <w:rFonts w:cs="Arial" w:hint="cs"/>
          <w:rtl/>
        </w:rPr>
        <w:t xml:space="preserve">ורשב"א </w:t>
      </w:r>
      <w:r>
        <w:rPr>
          <w:rFonts w:cs="Arial" w:hint="cs"/>
          <w:sz w:val="16"/>
          <w:szCs w:val="16"/>
          <w:rtl/>
        </w:rPr>
        <w:t>(במיוחסות סי' עט)</w:t>
      </w:r>
      <w:r>
        <w:rPr>
          <w:rFonts w:cs="Arial" w:hint="cs"/>
          <w:rtl/>
        </w:rPr>
        <w:t>-</w:t>
      </w:r>
      <w:r w:rsidRPr="003D2914">
        <w:rPr>
          <w:rFonts w:cs="Arial"/>
          <w:rtl/>
        </w:rPr>
        <w:t xml:space="preserve"> אינה גובה ממנו</w:t>
      </w:r>
      <w:r>
        <w:rPr>
          <w:rFonts w:cs="Arial" w:hint="cs"/>
          <w:rtl/>
        </w:rPr>
        <w:t>.</w:t>
      </w:r>
      <w:r w:rsidRPr="003D2914">
        <w:rPr>
          <w:rFonts w:cs="Arial"/>
          <w:rtl/>
        </w:rPr>
        <w:t xml:space="preserve"> </w:t>
      </w:r>
      <w:r w:rsidRPr="00AF388C">
        <w:rPr>
          <w:rFonts w:hint="cs"/>
          <w:color w:val="E36C0A" w:themeColor="accent6" w:themeShade="BF"/>
          <w:rtl/>
        </w:rPr>
        <w:t>(וכ"פ בשו"ע</w:t>
      </w:r>
      <w:r>
        <w:rPr>
          <w:rFonts w:hint="cs"/>
          <w:sz w:val="16"/>
          <w:szCs w:val="16"/>
          <w:rtl/>
        </w:rPr>
        <w:t xml:space="preserve"> [כאן, </w:t>
      </w:r>
      <w:bookmarkStart w:id="23" w:name="_Hlk69806229"/>
      <w:r>
        <w:rPr>
          <w:rFonts w:hint="cs"/>
          <w:sz w:val="16"/>
          <w:szCs w:val="16"/>
          <w:rtl/>
        </w:rPr>
        <w:t>ובחו"מ סי' קיח ס"א</w:t>
      </w:r>
      <w:bookmarkEnd w:id="23"/>
      <w:r>
        <w:rPr>
          <w:rFonts w:hint="cs"/>
          <w:sz w:val="16"/>
          <w:szCs w:val="16"/>
          <w:rtl/>
        </w:rPr>
        <w:t>]</w:t>
      </w:r>
      <w:r w:rsidRPr="00AF388C">
        <w:rPr>
          <w:rFonts w:hint="cs"/>
          <w:color w:val="E36C0A" w:themeColor="accent6" w:themeShade="BF"/>
          <w:rtl/>
        </w:rPr>
        <w:t>)</w:t>
      </w:r>
    </w:p>
    <w:p w14:paraId="33BDD597" w14:textId="77777777" w:rsidR="00392DBB" w:rsidRPr="007C04D9" w:rsidRDefault="00392DBB" w:rsidP="009000E3">
      <w:pPr>
        <w:pStyle w:val="ab"/>
        <w:numPr>
          <w:ilvl w:val="0"/>
          <w:numId w:val="61"/>
        </w:numPr>
      </w:pPr>
      <w:r w:rsidRPr="003D2914">
        <w:rPr>
          <w:rFonts w:cs="Arial"/>
          <w:rtl/>
        </w:rPr>
        <w:t xml:space="preserve">ר"ח </w:t>
      </w:r>
      <w:r>
        <w:rPr>
          <w:rFonts w:cs="Arial" w:hint="cs"/>
          <w:sz w:val="16"/>
          <w:szCs w:val="16"/>
          <w:rtl/>
        </w:rPr>
        <w:t xml:space="preserve">(כ"כ הטור בשמו) </w:t>
      </w:r>
      <w:r w:rsidRPr="003D2914">
        <w:rPr>
          <w:rFonts w:cs="Arial"/>
          <w:rtl/>
        </w:rPr>
        <w:t>ר"ת</w:t>
      </w:r>
      <w:r>
        <w:rPr>
          <w:rFonts w:cs="Arial" w:hint="cs"/>
          <w:rtl/>
        </w:rPr>
        <w:t xml:space="preserve"> </w:t>
      </w:r>
      <w:r w:rsidRPr="00D96B36">
        <w:rPr>
          <w:rFonts w:cs="Arial"/>
          <w:sz w:val="16"/>
          <w:szCs w:val="16"/>
          <w:rtl/>
        </w:rPr>
        <w:t>(תוס' ד"ה התם)</w:t>
      </w:r>
      <w:r>
        <w:rPr>
          <w:rFonts w:cs="Arial" w:hint="cs"/>
          <w:sz w:val="16"/>
          <w:szCs w:val="16"/>
          <w:rtl/>
        </w:rPr>
        <w:t xml:space="preserve"> </w:t>
      </w:r>
      <w:r>
        <w:rPr>
          <w:rFonts w:cs="Arial" w:hint="cs"/>
          <w:rtl/>
        </w:rPr>
        <w:t xml:space="preserve">ורא"ש </w:t>
      </w:r>
      <w:r w:rsidRPr="00D96B36">
        <w:rPr>
          <w:rFonts w:cs="Arial"/>
          <w:sz w:val="16"/>
          <w:szCs w:val="16"/>
          <w:rtl/>
        </w:rPr>
        <w:t>(סי' יז)</w:t>
      </w:r>
      <w:r>
        <w:rPr>
          <w:rFonts w:cs="Arial" w:hint="cs"/>
          <w:rtl/>
        </w:rPr>
        <w:t>-</w:t>
      </w:r>
      <w:r w:rsidRPr="003D2914">
        <w:rPr>
          <w:rFonts w:cs="Arial"/>
          <w:rtl/>
        </w:rPr>
        <w:t xml:space="preserve"> גובה ממנו</w:t>
      </w:r>
      <w:r>
        <w:rPr>
          <w:rFonts w:cs="Arial" w:hint="cs"/>
          <w:rtl/>
        </w:rPr>
        <w:t>.</w:t>
      </w:r>
    </w:p>
    <w:bookmarkEnd w:id="22"/>
    <w:p w14:paraId="14B7C824"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985CF16" w14:textId="45371551" w:rsidR="00392DBB" w:rsidRDefault="00392DBB" w:rsidP="00392DBB">
      <w:pPr>
        <w:rPr>
          <w:rFonts w:cs="Arial"/>
          <w:rtl/>
        </w:rPr>
      </w:pPr>
      <w:r>
        <w:rPr>
          <w:rFonts w:cs="Arial"/>
          <w:rtl/>
        </w:rPr>
        <w:t>אם נמצא קרקע בן חורין, גובה ממנה. ואם לאו, טורפת מקרקע שמכר או שנתן הבעל, בין במתנת בריא או במתנת שכיב מרע. ואפילו נתרצית למה שמכר או נתן, אינו מועיל א</w:t>
      </w:r>
      <w:r>
        <w:rPr>
          <w:rFonts w:cs="Arial" w:hint="cs"/>
          <w:rtl/>
        </w:rPr>
        <w:t>לא אם כן</w:t>
      </w:r>
      <w:r>
        <w:rPr>
          <w:rFonts w:cs="Arial"/>
          <w:rtl/>
        </w:rPr>
        <w:t xml:space="preserve"> קנו ממנה תחילה. ואם מכר קרקע לאחד ולא נתרצית לו, ואחר כך מכר לאחר</w:t>
      </w:r>
      <w:r>
        <w:rPr>
          <w:rStyle w:val="a7"/>
          <w:rFonts w:cs="Arial"/>
          <w:rtl/>
        </w:rPr>
        <w:footnoteReference w:id="1936"/>
      </w:r>
      <w:r>
        <w:rPr>
          <w:rFonts w:cs="Arial"/>
          <w:rtl/>
        </w:rPr>
        <w:t xml:space="preserve"> אותו קרקע או קרקע אחרת ונתרצית וחתמה לו, אינה גובה ממנה. ומן הראשון, י</w:t>
      </w:r>
      <w:r>
        <w:rPr>
          <w:rFonts w:cs="Arial" w:hint="cs"/>
          <w:rtl/>
        </w:rPr>
        <w:t xml:space="preserve">ש </w:t>
      </w:r>
      <w:r>
        <w:rPr>
          <w:rFonts w:cs="Arial"/>
          <w:rtl/>
        </w:rPr>
        <w:t>א</w:t>
      </w:r>
      <w:r>
        <w:rPr>
          <w:rFonts w:cs="Arial" w:hint="cs"/>
          <w:rtl/>
        </w:rPr>
        <w:t>ומרים</w:t>
      </w:r>
      <w:r>
        <w:rPr>
          <w:rFonts w:cs="Arial"/>
          <w:rtl/>
        </w:rPr>
        <w:t xml:space="preserve"> שגובה</w:t>
      </w:r>
      <w:r>
        <w:rPr>
          <w:rStyle w:val="a7"/>
          <w:rFonts w:cs="Arial"/>
          <w:rtl/>
        </w:rPr>
        <w:footnoteReference w:id="1937"/>
      </w:r>
      <w:r>
        <w:rPr>
          <w:rFonts w:cs="Arial" w:hint="cs"/>
          <w:rtl/>
        </w:rPr>
        <w:t>,</w:t>
      </w:r>
      <w:r>
        <w:rPr>
          <w:rFonts w:cs="Arial"/>
          <w:rtl/>
        </w:rPr>
        <w:t xml:space="preserve"> וי</w:t>
      </w:r>
      <w:r>
        <w:rPr>
          <w:rFonts w:cs="Arial" w:hint="cs"/>
          <w:rtl/>
        </w:rPr>
        <w:t xml:space="preserve">ש </w:t>
      </w:r>
      <w:r>
        <w:rPr>
          <w:rFonts w:cs="Arial"/>
          <w:rtl/>
        </w:rPr>
        <w:t>א</w:t>
      </w:r>
      <w:r>
        <w:rPr>
          <w:rFonts w:cs="Arial" w:hint="cs"/>
          <w:rtl/>
        </w:rPr>
        <w:t>ומרים</w:t>
      </w:r>
      <w:r>
        <w:rPr>
          <w:rFonts w:cs="Arial"/>
          <w:rtl/>
        </w:rPr>
        <w:t xml:space="preserve"> שאינה גובה. </w:t>
      </w:r>
      <w:r w:rsidR="006E4974">
        <w:rPr>
          <w:rFonts w:cs="Arial" w:hint="cs"/>
          <w:sz w:val="18"/>
          <w:szCs w:val="18"/>
          <w:rtl/>
        </w:rPr>
        <w:t xml:space="preserve">[הגה] </w:t>
      </w:r>
      <w:r w:rsidRPr="00AB0CBA">
        <w:rPr>
          <w:rFonts w:cs="Arial"/>
          <w:sz w:val="18"/>
          <w:szCs w:val="18"/>
          <w:rtl/>
        </w:rPr>
        <w:t>ועיין לעיל בסימן צ' סעיף י"ז.</w:t>
      </w:r>
      <w:r>
        <w:rPr>
          <w:rFonts w:cs="Arial"/>
          <w:rtl/>
        </w:rPr>
        <w:t xml:space="preserve"> </w:t>
      </w:r>
    </w:p>
    <w:p w14:paraId="4D66802B" w14:textId="77777777" w:rsidR="00392DBB" w:rsidRDefault="00392DBB" w:rsidP="00392DBB">
      <w:pPr>
        <w:rPr>
          <w:rtl/>
        </w:rPr>
      </w:pPr>
    </w:p>
    <w:p w14:paraId="704FD127" w14:textId="77777777" w:rsidR="00392DBB" w:rsidRDefault="00392DBB" w:rsidP="000F64D0">
      <w:pPr>
        <w:pStyle w:val="2"/>
        <w:rPr>
          <w:rtl/>
        </w:rPr>
      </w:pPr>
      <w:r>
        <w:rPr>
          <w:rtl/>
        </w:rPr>
        <w:lastRenderedPageBreak/>
        <w:t>סעיף ד</w:t>
      </w:r>
      <w:r>
        <w:rPr>
          <w:rFonts w:hint="cs"/>
          <w:rtl/>
        </w:rPr>
        <w:t>: היה נשוי ב' נשים וקנו שדה מהאשה הראשונה ואח"כ ממנו.</w:t>
      </w:r>
    </w:p>
    <w:p w14:paraId="4117B5B6" w14:textId="419460B0" w:rsidR="00392DBB" w:rsidRDefault="00392DBB" w:rsidP="00392DBB">
      <w:pPr>
        <w:rPr>
          <w:rFonts w:cs="Arial"/>
          <w:rtl/>
        </w:rPr>
      </w:pPr>
      <w:r>
        <w:rPr>
          <w:rFonts w:cs="Arial" w:hint="cs"/>
          <w:b/>
          <w:bCs/>
          <w:rtl/>
        </w:rPr>
        <w:t>כתובות</w:t>
      </w:r>
      <w:r w:rsidRPr="004E4DB8">
        <w:rPr>
          <w:rFonts w:cs="Arial" w:hint="cs"/>
          <w:b/>
          <w:bCs/>
          <w:rtl/>
        </w:rPr>
        <w:t xml:space="preserve"> </w:t>
      </w:r>
      <w:r>
        <w:rPr>
          <w:rFonts w:cs="Arial" w:hint="cs"/>
          <w:b/>
          <w:bCs/>
          <w:sz w:val="16"/>
          <w:szCs w:val="16"/>
          <w:rtl/>
        </w:rPr>
        <w:t>(פ' מי שהיה נשוי)</w:t>
      </w:r>
      <w:r>
        <w:rPr>
          <w:rFonts w:cs="Arial" w:hint="cs"/>
          <w:b/>
          <w:bCs/>
          <w:rtl/>
        </w:rPr>
        <w:t xml:space="preserve"> צה</w:t>
      </w:r>
      <w:r w:rsidR="00AD6C2D">
        <w:rPr>
          <w:rStyle w:val="a7"/>
          <w:rFonts w:cs="Arial"/>
          <w:b/>
          <w:bCs/>
          <w:rtl/>
        </w:rPr>
        <w:footnoteReference w:id="1938"/>
      </w:r>
      <w:r w:rsidRPr="004E4DB8">
        <w:rPr>
          <w:rFonts w:cs="Arial" w:hint="cs"/>
          <w:b/>
          <w:bCs/>
          <w:rtl/>
        </w:rPr>
        <w:t xml:space="preserve"> ע"</w:t>
      </w:r>
      <w:r>
        <w:rPr>
          <w:rFonts w:cs="Arial" w:hint="cs"/>
          <w:b/>
          <w:bCs/>
          <w:rtl/>
        </w:rPr>
        <w:t>א</w:t>
      </w:r>
      <w:r w:rsidRPr="004E4DB8">
        <w:rPr>
          <w:rFonts w:cs="Arial" w:hint="cs"/>
          <w:b/>
          <w:bCs/>
          <w:rtl/>
        </w:rPr>
        <w:t xml:space="preserve">: </w:t>
      </w:r>
      <w:r w:rsidRPr="004E4DB8">
        <w:rPr>
          <w:rFonts w:cs="Arial"/>
          <w:u w:val="double"/>
          <w:rtl/>
        </w:rPr>
        <w:t>מתני'</w:t>
      </w:r>
      <w:r>
        <w:rPr>
          <w:rFonts w:cs="Arial" w:hint="cs"/>
          <w:rtl/>
        </w:rPr>
        <w:t>:</w:t>
      </w:r>
      <w:r w:rsidRPr="007A10AF">
        <w:rPr>
          <w:rtl/>
        </w:rPr>
        <w:t xml:space="preserve"> </w:t>
      </w:r>
      <w:r w:rsidRPr="007A10AF">
        <w:rPr>
          <w:rFonts w:cs="Arial"/>
          <w:rtl/>
        </w:rPr>
        <w:t>מי שהיה נשוי ב' נשים, ומכר את שדהו</w:t>
      </w:r>
      <w:r>
        <w:rPr>
          <w:rStyle w:val="a7"/>
          <w:rFonts w:cs="Arial"/>
          <w:rtl/>
        </w:rPr>
        <w:footnoteReference w:id="1939"/>
      </w:r>
      <w:r w:rsidRPr="007A10AF">
        <w:rPr>
          <w:rFonts w:cs="Arial"/>
          <w:rtl/>
        </w:rPr>
        <w:t>, וכתבה ראשונה</w:t>
      </w:r>
      <w:r>
        <w:rPr>
          <w:rStyle w:val="a7"/>
          <w:rFonts w:cs="Arial"/>
          <w:rtl/>
        </w:rPr>
        <w:footnoteReference w:id="1940"/>
      </w:r>
      <w:r w:rsidRPr="007A10AF">
        <w:rPr>
          <w:rFonts w:cs="Arial"/>
          <w:rtl/>
        </w:rPr>
        <w:t xml:space="preserve"> ללוקח דין ודברים אין לי עמך - השניה מוציאה</w:t>
      </w:r>
      <w:r>
        <w:rPr>
          <w:rStyle w:val="a7"/>
          <w:rFonts w:cs="Arial"/>
          <w:rtl/>
        </w:rPr>
        <w:footnoteReference w:id="1941"/>
      </w:r>
      <w:r w:rsidRPr="007A10AF">
        <w:rPr>
          <w:rFonts w:cs="Arial"/>
          <w:rtl/>
        </w:rPr>
        <w:t xml:space="preserve"> מהלוקח</w:t>
      </w:r>
      <w:r>
        <w:rPr>
          <w:rFonts w:cs="Arial" w:hint="cs"/>
          <w:rtl/>
        </w:rPr>
        <w:t>,</w:t>
      </w:r>
      <w:r w:rsidRPr="007A10AF">
        <w:rPr>
          <w:rFonts w:cs="Arial"/>
          <w:rtl/>
        </w:rPr>
        <w:t xml:space="preserve"> וראשונה מן השניה</w:t>
      </w:r>
      <w:r>
        <w:rPr>
          <w:rFonts w:cs="Arial" w:hint="cs"/>
          <w:rtl/>
        </w:rPr>
        <w:t>,</w:t>
      </w:r>
      <w:r w:rsidRPr="007A10AF">
        <w:rPr>
          <w:rFonts w:cs="Arial"/>
          <w:rtl/>
        </w:rPr>
        <w:t xml:space="preserve"> והלוקח מן הראשונה, וחוזרות חלילה, עד שיעשו פשרה ביניהם. וכן בעל חוב</w:t>
      </w:r>
      <w:r>
        <w:rPr>
          <w:rFonts w:cs="Arial" w:hint="cs"/>
          <w:rtl/>
        </w:rPr>
        <w:t>,</w:t>
      </w:r>
      <w:r w:rsidRPr="007A10AF">
        <w:rPr>
          <w:rFonts w:cs="Arial"/>
          <w:rtl/>
        </w:rPr>
        <w:t xml:space="preserve"> וכן אשה בעלת חוב.</w:t>
      </w:r>
    </w:p>
    <w:p w14:paraId="45A2DA5D" w14:textId="15B868DA" w:rsidR="00392DBB" w:rsidRPr="007363DE" w:rsidRDefault="00392DBB" w:rsidP="00392DBB">
      <w:pPr>
        <w:rPr>
          <w:u w:val="single"/>
          <w:rtl/>
        </w:rPr>
      </w:pPr>
      <w:r w:rsidRPr="007363DE">
        <w:rPr>
          <w:rFonts w:hint="cs"/>
          <w:u w:val="single"/>
          <w:rtl/>
        </w:rPr>
        <w:t>היה נשוי ב' נשים</w:t>
      </w:r>
      <w:r w:rsidR="00AD6C2D">
        <w:rPr>
          <w:rFonts w:hint="cs"/>
          <w:u w:val="single"/>
          <w:rtl/>
        </w:rPr>
        <w:t>,</w:t>
      </w:r>
      <w:r w:rsidRPr="007363DE">
        <w:rPr>
          <w:rFonts w:hint="cs"/>
          <w:u w:val="single"/>
          <w:rtl/>
        </w:rPr>
        <w:t xml:space="preserve"> וקנו שדה מהאשה הראשונה</w:t>
      </w:r>
      <w:r w:rsidR="00AD6C2D">
        <w:rPr>
          <w:rFonts w:hint="cs"/>
          <w:u w:val="single"/>
          <w:rtl/>
        </w:rPr>
        <w:t>,</w:t>
      </w:r>
      <w:r w:rsidRPr="007363DE">
        <w:rPr>
          <w:rFonts w:hint="cs"/>
          <w:u w:val="single"/>
          <w:rtl/>
        </w:rPr>
        <w:t xml:space="preserve"> ואח"כ ממנו:</w:t>
      </w:r>
    </w:p>
    <w:p w14:paraId="139FF40F" w14:textId="036EEBE8" w:rsidR="00392DBB" w:rsidRDefault="00392DBB" w:rsidP="009000E3">
      <w:pPr>
        <w:pStyle w:val="ab"/>
        <w:numPr>
          <w:ilvl w:val="0"/>
          <w:numId w:val="61"/>
        </w:numPr>
      </w:pPr>
      <w:r>
        <w:rPr>
          <w:rFonts w:cs="Arial" w:hint="cs"/>
          <w:rtl/>
        </w:rPr>
        <w:t xml:space="preserve">טור- </w:t>
      </w:r>
      <w:r w:rsidRPr="003D2914">
        <w:rPr>
          <w:rFonts w:cs="Arial"/>
          <w:rtl/>
        </w:rPr>
        <w:t>מי שהיה נשוי ב' נשים</w:t>
      </w:r>
      <w:r>
        <w:rPr>
          <w:rFonts w:cs="Arial" w:hint="cs"/>
          <w:rtl/>
        </w:rPr>
        <w:t>,</w:t>
      </w:r>
      <w:r w:rsidRPr="003D2914">
        <w:rPr>
          <w:rFonts w:cs="Arial"/>
          <w:rtl/>
        </w:rPr>
        <w:t xml:space="preserve"> ומכר שדהו</w:t>
      </w:r>
      <w:r>
        <w:rPr>
          <w:rFonts w:cs="Arial" w:hint="cs"/>
          <w:rtl/>
        </w:rPr>
        <w:t>,</w:t>
      </w:r>
      <w:r w:rsidRPr="003D2914">
        <w:rPr>
          <w:rFonts w:cs="Arial"/>
          <w:rtl/>
        </w:rPr>
        <w:t xml:space="preserve"> וכתבה הראשונה ללוקח דין ודברים אין לי עמך בענין שמועיל</w:t>
      </w:r>
      <w:r>
        <w:rPr>
          <w:rFonts w:cs="Arial" w:hint="cs"/>
          <w:rtl/>
        </w:rPr>
        <w:t>,</w:t>
      </w:r>
      <w:r w:rsidRPr="003D2914">
        <w:rPr>
          <w:rFonts w:cs="Arial"/>
          <w:rtl/>
        </w:rPr>
        <w:t xml:space="preserve"> כגון שלקח מן האשה תחלה</w:t>
      </w:r>
      <w:r w:rsidR="00AD6C2D">
        <w:rPr>
          <w:rFonts w:cs="Arial" w:hint="cs"/>
          <w:rtl/>
        </w:rPr>
        <w:t>,</w:t>
      </w:r>
      <w:r w:rsidRPr="003D2914">
        <w:rPr>
          <w:rFonts w:cs="Arial"/>
          <w:rtl/>
        </w:rPr>
        <w:t xml:space="preserve"> ומת</w:t>
      </w:r>
      <w:r>
        <w:rPr>
          <w:rFonts w:cs="Arial" w:hint="cs"/>
          <w:rtl/>
        </w:rPr>
        <w:t xml:space="preserve"> -</w:t>
      </w:r>
      <w:r w:rsidRPr="003D2914">
        <w:rPr>
          <w:rFonts w:cs="Arial"/>
          <w:rtl/>
        </w:rPr>
        <w:t xml:space="preserve"> השנייה מוציאה מיד הלוקח</w:t>
      </w:r>
      <w:r>
        <w:rPr>
          <w:rFonts w:cs="Arial" w:hint="cs"/>
          <w:rtl/>
        </w:rPr>
        <w:t>,</w:t>
      </w:r>
      <w:r w:rsidRPr="003D2914">
        <w:rPr>
          <w:rFonts w:cs="Arial"/>
          <w:rtl/>
        </w:rPr>
        <w:t xml:space="preserve"> והראשונה מיד השנייה</w:t>
      </w:r>
      <w:r>
        <w:rPr>
          <w:rFonts w:cs="Arial" w:hint="cs"/>
          <w:rtl/>
        </w:rPr>
        <w:t>,</w:t>
      </w:r>
      <w:r w:rsidRPr="003D2914">
        <w:rPr>
          <w:rFonts w:cs="Arial"/>
          <w:rtl/>
        </w:rPr>
        <w:t xml:space="preserve"> שהיא קדמה ולא הוסר שיעבודה רק מלוקח</w:t>
      </w:r>
      <w:r>
        <w:rPr>
          <w:rFonts w:cs="Arial" w:hint="cs"/>
          <w:rtl/>
        </w:rPr>
        <w:t>,</w:t>
      </w:r>
      <w:r w:rsidRPr="003D2914">
        <w:rPr>
          <w:rFonts w:cs="Arial"/>
          <w:rtl/>
        </w:rPr>
        <w:t xml:space="preserve"> והלוקח מיד הראשונה</w:t>
      </w:r>
      <w:r>
        <w:rPr>
          <w:rFonts w:cs="Arial" w:hint="cs"/>
          <w:rtl/>
        </w:rPr>
        <w:t>,</w:t>
      </w:r>
      <w:r w:rsidRPr="003D2914">
        <w:rPr>
          <w:rFonts w:cs="Arial"/>
          <w:rtl/>
        </w:rPr>
        <w:t xml:space="preserve"> שהרי הסירה שיעבודה ממנה</w:t>
      </w:r>
      <w:r>
        <w:rPr>
          <w:rFonts w:cs="Arial" w:hint="cs"/>
          <w:rtl/>
        </w:rPr>
        <w:t>,</w:t>
      </w:r>
      <w:r w:rsidRPr="003D2914">
        <w:rPr>
          <w:rFonts w:cs="Arial"/>
          <w:rtl/>
        </w:rPr>
        <w:t xml:space="preserve"> וחוזרת חלילה עד שיעשו פשרה ביניהם</w:t>
      </w:r>
      <w:r>
        <w:rPr>
          <w:rFonts w:cs="Arial" w:hint="cs"/>
          <w:rtl/>
        </w:rPr>
        <w:t>.</w:t>
      </w:r>
      <w:r w:rsidRPr="003D2914">
        <w:rPr>
          <w:rFonts w:cs="Arial"/>
          <w:rtl/>
        </w:rPr>
        <w:t xml:space="preserve"> </w:t>
      </w:r>
      <w:r w:rsidRPr="00AF388C">
        <w:rPr>
          <w:rFonts w:hint="cs"/>
          <w:color w:val="E36C0A" w:themeColor="accent6" w:themeShade="BF"/>
          <w:rtl/>
        </w:rPr>
        <w:t>(וכ"פ בשו"ע)</w:t>
      </w:r>
    </w:p>
    <w:p w14:paraId="7A62A7DB" w14:textId="77777777" w:rsidR="00392DBB" w:rsidRPr="00002757" w:rsidRDefault="00392DBB" w:rsidP="00392DBB">
      <w:r w:rsidRPr="00BD57A9">
        <w:rPr>
          <w:rFonts w:cs="Arial"/>
          <w:u w:val="single"/>
          <w:rtl/>
        </w:rPr>
        <w:t xml:space="preserve">איש ואשה שמכרו בית לאחד </w:t>
      </w:r>
      <w:r w:rsidRPr="00BD57A9">
        <w:rPr>
          <w:rFonts w:cs="Arial" w:hint="cs"/>
          <w:u w:val="single"/>
          <w:rtl/>
        </w:rPr>
        <w:t>ו</w:t>
      </w:r>
      <w:r w:rsidRPr="00BD57A9">
        <w:rPr>
          <w:rFonts w:cs="Arial"/>
          <w:u w:val="single"/>
          <w:rtl/>
        </w:rPr>
        <w:t>לא שיירו לעצמם במכר זה שום זכות</w:t>
      </w:r>
      <w:r w:rsidRPr="00BD57A9">
        <w:rPr>
          <w:rFonts w:cs="Arial" w:hint="cs"/>
          <w:u w:val="single"/>
          <w:rtl/>
        </w:rPr>
        <w:t>,</w:t>
      </w:r>
      <w:r w:rsidRPr="00BD57A9">
        <w:rPr>
          <w:rFonts w:cs="Arial"/>
          <w:u w:val="single"/>
          <w:rtl/>
        </w:rPr>
        <w:t xml:space="preserve"> ואח"כ יצא על המוכר שטר חוב מוקדם למכר</w:t>
      </w:r>
      <w:r w:rsidRPr="00BD57A9">
        <w:rPr>
          <w:rFonts w:cs="Arial" w:hint="cs"/>
          <w:u w:val="single"/>
          <w:rtl/>
        </w:rPr>
        <w:t>:</w:t>
      </w:r>
      <w:r w:rsidRPr="003D2914">
        <w:rPr>
          <w:rFonts w:cs="Arial"/>
          <w:rtl/>
        </w:rPr>
        <w:t xml:space="preserve"> </w:t>
      </w:r>
    </w:p>
    <w:p w14:paraId="35CE768B" w14:textId="1C427ADB" w:rsidR="00392DBB" w:rsidRDefault="00392DBB" w:rsidP="009000E3">
      <w:pPr>
        <w:pStyle w:val="ab"/>
        <w:numPr>
          <w:ilvl w:val="0"/>
          <w:numId w:val="61"/>
        </w:numPr>
      </w:pPr>
      <w:r w:rsidRPr="003D2914">
        <w:rPr>
          <w:rFonts w:cs="Arial"/>
          <w:rtl/>
        </w:rPr>
        <w:t>רא"ש</w:t>
      </w:r>
      <w:r>
        <w:rPr>
          <w:rFonts w:cs="Arial" w:hint="cs"/>
          <w:rtl/>
        </w:rPr>
        <w:t xml:space="preserve"> </w:t>
      </w:r>
      <w:r w:rsidRPr="00002757">
        <w:rPr>
          <w:rFonts w:cs="Arial" w:hint="cs"/>
          <w:sz w:val="16"/>
          <w:szCs w:val="16"/>
          <w:rtl/>
        </w:rPr>
        <w:t>(</w:t>
      </w:r>
      <w:r w:rsidRPr="00002757">
        <w:rPr>
          <w:rFonts w:cs="Arial"/>
          <w:sz w:val="16"/>
          <w:szCs w:val="16"/>
          <w:rtl/>
        </w:rPr>
        <w:t>כלל סג סי</w:t>
      </w:r>
      <w:r>
        <w:rPr>
          <w:rFonts w:cs="Arial" w:hint="cs"/>
          <w:sz w:val="16"/>
          <w:szCs w:val="16"/>
          <w:rtl/>
        </w:rPr>
        <w:t>'</w:t>
      </w:r>
      <w:r w:rsidRPr="00002757">
        <w:rPr>
          <w:rFonts w:cs="Arial"/>
          <w:sz w:val="16"/>
          <w:szCs w:val="16"/>
          <w:rtl/>
        </w:rPr>
        <w:t xml:space="preserve"> ג</w:t>
      </w:r>
      <w:r>
        <w:rPr>
          <w:rFonts w:cs="Arial" w:hint="cs"/>
          <w:sz w:val="16"/>
          <w:szCs w:val="16"/>
          <w:rtl/>
        </w:rPr>
        <w:t>)</w:t>
      </w:r>
      <w:r>
        <w:rPr>
          <w:rFonts w:cs="Arial" w:hint="cs"/>
          <w:rtl/>
        </w:rPr>
        <w:t>-</w:t>
      </w:r>
      <w:r w:rsidRPr="003D2914">
        <w:rPr>
          <w:rFonts w:cs="Arial"/>
          <w:rtl/>
        </w:rPr>
        <w:t xml:space="preserve"> ששאלת</w:t>
      </w:r>
      <w:r>
        <w:rPr>
          <w:rFonts w:cs="Arial" w:hint="cs"/>
          <w:rtl/>
        </w:rPr>
        <w:t>,</w:t>
      </w:r>
      <w:r w:rsidRPr="003D2914">
        <w:rPr>
          <w:rFonts w:cs="Arial"/>
          <w:rtl/>
        </w:rPr>
        <w:t xml:space="preserve"> איש ואשה שמכרו בית לאחד</w:t>
      </w:r>
      <w:r>
        <w:rPr>
          <w:rFonts w:cs="Arial" w:hint="cs"/>
          <w:rtl/>
        </w:rPr>
        <w:t>,</w:t>
      </w:r>
      <w:r w:rsidRPr="003D2914">
        <w:rPr>
          <w:rFonts w:cs="Arial"/>
          <w:rtl/>
        </w:rPr>
        <w:t xml:space="preserve"> וכתבו לו בשטר שהודו המוכרים שלא שיירו לעצמם במכר זה שום זכות בעולם</w:t>
      </w:r>
      <w:r>
        <w:rPr>
          <w:rFonts w:cs="Arial" w:hint="cs"/>
          <w:rtl/>
        </w:rPr>
        <w:t>.</w:t>
      </w:r>
      <w:r w:rsidRPr="003D2914">
        <w:rPr>
          <w:rFonts w:cs="Arial"/>
          <w:rtl/>
        </w:rPr>
        <w:t xml:space="preserve"> ואח"כ יצא על המוכר שטר חוב מוקדם למכר</w:t>
      </w:r>
      <w:r>
        <w:rPr>
          <w:rFonts w:cs="Arial" w:hint="cs"/>
          <w:rtl/>
        </w:rPr>
        <w:t>,</w:t>
      </w:r>
      <w:r w:rsidRPr="003D2914">
        <w:rPr>
          <w:rFonts w:cs="Arial"/>
          <w:rtl/>
        </w:rPr>
        <w:t xml:space="preserve"> והבע"ח הוציא הקרקע מיד הלוקח בכח שטרו</w:t>
      </w:r>
      <w:r>
        <w:rPr>
          <w:rFonts w:cs="Arial" w:hint="cs"/>
          <w:rtl/>
        </w:rPr>
        <w:t>,</w:t>
      </w:r>
      <w:r w:rsidRPr="003D2914">
        <w:rPr>
          <w:rFonts w:cs="Arial"/>
          <w:rtl/>
        </w:rPr>
        <w:t xml:space="preserve"> והאשה מוציאה שטר נדוניתה שהיה מוקדמת לזה החוב כדי לקיים המקח ביד הלוקח</w:t>
      </w:r>
      <w:r>
        <w:rPr>
          <w:rFonts w:cs="Arial" w:hint="cs"/>
          <w:rtl/>
        </w:rPr>
        <w:t>.</w:t>
      </w:r>
      <w:r w:rsidRPr="003D2914">
        <w:rPr>
          <w:rFonts w:cs="Arial"/>
          <w:rtl/>
        </w:rPr>
        <w:t xml:space="preserve"> והבעל חוב טוען שכבר סלקה זכות נדוניתה מעל זה הקרקע</w:t>
      </w:r>
      <w:r>
        <w:rPr>
          <w:rFonts w:cs="Arial" w:hint="cs"/>
          <w:rtl/>
        </w:rPr>
        <w:t>.</w:t>
      </w:r>
      <w:r w:rsidRPr="003D2914">
        <w:rPr>
          <w:rFonts w:cs="Arial"/>
          <w:rtl/>
        </w:rPr>
        <w:t xml:space="preserve"> והיא טוענת אף על פי שסלקתי זכותי לענין שלא אתבענו</w:t>
      </w:r>
      <w:r>
        <w:rPr>
          <w:rFonts w:cs="Arial" w:hint="cs"/>
          <w:rtl/>
        </w:rPr>
        <w:t>,</w:t>
      </w:r>
      <w:r w:rsidRPr="003D2914">
        <w:rPr>
          <w:rFonts w:cs="Arial"/>
          <w:rtl/>
        </w:rPr>
        <w:t xml:space="preserve"> אבל כל זכות שהיה לי בקרקע מכרתי לו</w:t>
      </w:r>
      <w:r>
        <w:rPr>
          <w:rFonts w:cs="Arial" w:hint="cs"/>
          <w:rtl/>
        </w:rPr>
        <w:t>,</w:t>
      </w:r>
      <w:r w:rsidRPr="003D2914">
        <w:rPr>
          <w:rFonts w:cs="Arial"/>
          <w:rtl/>
        </w:rPr>
        <w:t xml:space="preserve"> וזה זכותי שהיה חובי מוקדם לשלך</w:t>
      </w:r>
      <w:r>
        <w:rPr>
          <w:rFonts w:cs="Arial" w:hint="cs"/>
          <w:rtl/>
        </w:rPr>
        <w:t xml:space="preserve">.   </w:t>
      </w:r>
      <w:r w:rsidRPr="003D2914">
        <w:rPr>
          <w:rFonts w:cs="Arial"/>
          <w:rtl/>
        </w:rPr>
        <w:t xml:space="preserve"> </w:t>
      </w:r>
      <w:r>
        <w:rPr>
          <w:rFonts w:cs="Arial" w:hint="cs"/>
          <w:rtl/>
        </w:rPr>
        <w:t xml:space="preserve"> </w:t>
      </w:r>
      <w:r w:rsidR="00FE210D">
        <w:rPr>
          <w:rFonts w:cs="Arial"/>
          <w:rtl/>
        </w:rPr>
        <w:t xml:space="preserve">  תשובה:</w:t>
      </w:r>
      <w:r w:rsidRPr="003D2914">
        <w:rPr>
          <w:rFonts w:cs="Arial"/>
          <w:rtl/>
        </w:rPr>
        <w:t xml:space="preserve"> הדין עמה</w:t>
      </w:r>
      <w:r>
        <w:rPr>
          <w:rFonts w:cs="Arial" w:hint="cs"/>
          <w:rtl/>
        </w:rPr>
        <w:t>,</w:t>
      </w:r>
      <w:r w:rsidRPr="003D2914">
        <w:rPr>
          <w:rFonts w:cs="Arial"/>
          <w:rtl/>
        </w:rPr>
        <w:t xml:space="preserve"> שלא סלקה מעל הקרקע אלא לגבי הקונה שלא תוכל להוציאו בשטר נדוניא</w:t>
      </w:r>
      <w:r>
        <w:rPr>
          <w:rFonts w:cs="Arial" w:hint="cs"/>
          <w:rtl/>
        </w:rPr>
        <w:t>,</w:t>
      </w:r>
      <w:r w:rsidRPr="003D2914">
        <w:rPr>
          <w:rFonts w:cs="Arial"/>
          <w:rtl/>
        </w:rPr>
        <w:t xml:space="preserve"> אבל לגבי אחר לא סלקה זכותה</w:t>
      </w:r>
      <w:r>
        <w:rPr>
          <w:rFonts w:cs="Arial" w:hint="cs"/>
          <w:rtl/>
        </w:rPr>
        <w:t>.</w:t>
      </w:r>
      <w:r w:rsidRPr="003D2914">
        <w:rPr>
          <w:rFonts w:cs="Arial"/>
          <w:rtl/>
        </w:rPr>
        <w:t xml:space="preserve"> והוי דינא הכי</w:t>
      </w:r>
      <w:r>
        <w:rPr>
          <w:rFonts w:cs="Arial" w:hint="cs"/>
          <w:rtl/>
        </w:rPr>
        <w:t>,</w:t>
      </w:r>
      <w:r w:rsidRPr="003D2914">
        <w:rPr>
          <w:rFonts w:cs="Arial"/>
          <w:rtl/>
        </w:rPr>
        <w:t xml:space="preserve"> בעל חוב המוקדם מוציא מיד הלוקח</w:t>
      </w:r>
      <w:r>
        <w:rPr>
          <w:rFonts w:cs="Arial" w:hint="cs"/>
          <w:rtl/>
        </w:rPr>
        <w:t>,</w:t>
      </w:r>
      <w:r w:rsidRPr="003D2914">
        <w:rPr>
          <w:rFonts w:cs="Arial"/>
          <w:rtl/>
        </w:rPr>
        <w:t xml:space="preserve"> והאשה מיד בעל חוב בנדוניתה</w:t>
      </w:r>
      <w:r>
        <w:rPr>
          <w:rFonts w:cs="Arial" w:hint="cs"/>
          <w:rtl/>
        </w:rPr>
        <w:t>,</w:t>
      </w:r>
      <w:r w:rsidRPr="003D2914">
        <w:rPr>
          <w:rFonts w:cs="Arial"/>
          <w:rtl/>
        </w:rPr>
        <w:t xml:space="preserve"> והלוקח מן האשה</w:t>
      </w:r>
      <w:r>
        <w:rPr>
          <w:rFonts w:cs="Arial" w:hint="cs"/>
          <w:rtl/>
        </w:rPr>
        <w:t>,</w:t>
      </w:r>
      <w:r w:rsidRPr="003D2914">
        <w:rPr>
          <w:rFonts w:cs="Arial"/>
          <w:rtl/>
        </w:rPr>
        <w:t xml:space="preserve"> וב"ח מיד הלוקח</w:t>
      </w:r>
      <w:r>
        <w:rPr>
          <w:rFonts w:cs="Arial" w:hint="cs"/>
          <w:rtl/>
        </w:rPr>
        <w:t>,</w:t>
      </w:r>
      <w:r w:rsidRPr="003D2914">
        <w:rPr>
          <w:rFonts w:cs="Arial"/>
          <w:rtl/>
        </w:rPr>
        <w:t xml:space="preserve"> וחוזרין חלילה עד שיעשו פשרה ביניהם</w:t>
      </w:r>
      <w:r>
        <w:rPr>
          <w:rFonts w:cs="Arial" w:hint="cs"/>
          <w:rtl/>
        </w:rPr>
        <w:t>.</w:t>
      </w:r>
      <w:r w:rsidRPr="003D2914">
        <w:rPr>
          <w:rFonts w:cs="Arial"/>
          <w:rtl/>
        </w:rPr>
        <w:t xml:space="preserve"> והלוקח עומד במקום האשה ובמקומו</w:t>
      </w:r>
      <w:r>
        <w:rPr>
          <w:rFonts w:cs="Arial" w:hint="cs"/>
          <w:rtl/>
        </w:rPr>
        <w:t>.</w:t>
      </w:r>
      <w:r w:rsidRPr="003D2914">
        <w:rPr>
          <w:rFonts w:cs="Arial"/>
          <w:rtl/>
        </w:rPr>
        <w:t xml:space="preserve"> נמצא הפשרה עשויה בנדון זה</w:t>
      </w:r>
      <w:r>
        <w:rPr>
          <w:rFonts w:cs="Arial" w:hint="cs"/>
          <w:rtl/>
        </w:rPr>
        <w:t>,</w:t>
      </w:r>
      <w:r w:rsidRPr="003D2914">
        <w:rPr>
          <w:rFonts w:cs="Arial"/>
          <w:rtl/>
        </w:rPr>
        <w:t xml:space="preserve"> כי הב"ח יוציאנו מיד הלוקח</w:t>
      </w:r>
      <w:r>
        <w:rPr>
          <w:rFonts w:cs="Arial" w:hint="cs"/>
          <w:rtl/>
        </w:rPr>
        <w:t>,</w:t>
      </w:r>
      <w:r w:rsidRPr="003D2914">
        <w:rPr>
          <w:rFonts w:cs="Arial"/>
          <w:rtl/>
        </w:rPr>
        <w:t xml:space="preserve"> והלוקח יוציאנו מיד ב"ח בשטר נדוניתה שמסרה לו האשה</w:t>
      </w:r>
      <w:r>
        <w:rPr>
          <w:rFonts w:cs="Arial" w:hint="cs"/>
          <w:rtl/>
        </w:rPr>
        <w:t>,</w:t>
      </w:r>
      <w:r w:rsidRPr="003D2914">
        <w:rPr>
          <w:rFonts w:cs="Arial"/>
          <w:rtl/>
        </w:rPr>
        <w:t xml:space="preserve"> וישאר כך הענין כי לא יוסיף אח"כ לזכות מכח הקנייה</w:t>
      </w:r>
      <w:r>
        <w:rPr>
          <w:rFonts w:cs="Arial" w:hint="cs"/>
          <w:rtl/>
        </w:rPr>
        <w:t>.</w:t>
      </w:r>
      <w:r w:rsidRPr="003D2914">
        <w:rPr>
          <w:rFonts w:cs="Arial"/>
          <w:rtl/>
        </w:rPr>
        <w:t xml:space="preserve"> </w:t>
      </w:r>
      <w:r>
        <w:rPr>
          <w:rFonts w:hint="cs"/>
          <w:rtl/>
        </w:rPr>
        <w:t xml:space="preserve"> </w:t>
      </w:r>
    </w:p>
    <w:p w14:paraId="4CA6813F" w14:textId="77777777" w:rsidR="00392DBB" w:rsidRPr="0072427B" w:rsidRDefault="00392DBB" w:rsidP="00392DBB">
      <w:pPr>
        <w:rPr>
          <w:u w:val="single"/>
        </w:rPr>
      </w:pPr>
      <w:r w:rsidRPr="0072427B">
        <w:rPr>
          <w:rFonts w:hint="cs"/>
          <w:u w:val="single"/>
          <w:rtl/>
        </w:rPr>
        <w:t>יורשי</w:t>
      </w:r>
      <w:r>
        <w:rPr>
          <w:rFonts w:hint="cs"/>
          <w:u w:val="single"/>
          <w:rtl/>
        </w:rPr>
        <w:t>ם</w:t>
      </w:r>
      <w:r w:rsidRPr="0072427B">
        <w:rPr>
          <w:rFonts w:hint="cs"/>
          <w:u w:val="single"/>
          <w:rtl/>
        </w:rPr>
        <w:t xml:space="preserve"> התחייבו ל</w:t>
      </w:r>
      <w:r>
        <w:rPr>
          <w:rFonts w:hint="cs"/>
          <w:u w:val="single"/>
          <w:rtl/>
        </w:rPr>
        <w:t>אלמנה</w:t>
      </w:r>
      <w:r w:rsidRPr="0072427B">
        <w:rPr>
          <w:rFonts w:hint="cs"/>
          <w:u w:val="single"/>
          <w:rtl/>
        </w:rPr>
        <w:t xml:space="preserve"> ס"כ כל שנה למזונות וסכום שישאר לערבון, ושילשה כתובתה, </w:t>
      </w:r>
      <w:r>
        <w:rPr>
          <w:rFonts w:hint="cs"/>
          <w:u w:val="single"/>
          <w:rtl/>
        </w:rPr>
        <w:t>ו</w:t>
      </w:r>
      <w:r w:rsidRPr="0072427B">
        <w:rPr>
          <w:rFonts w:hint="cs"/>
          <w:u w:val="single"/>
          <w:rtl/>
        </w:rPr>
        <w:t>בע"ח</w:t>
      </w:r>
      <w:r>
        <w:rPr>
          <w:rFonts w:hint="cs"/>
          <w:u w:val="single"/>
          <w:rtl/>
        </w:rPr>
        <w:t xml:space="preserve"> בא לגבות מהיורשים</w:t>
      </w:r>
      <w:r w:rsidRPr="0072427B">
        <w:rPr>
          <w:rFonts w:hint="cs"/>
          <w:u w:val="single"/>
          <w:rtl/>
        </w:rPr>
        <w:t>:</w:t>
      </w:r>
    </w:p>
    <w:p w14:paraId="2AB9240E" w14:textId="1E2C9664" w:rsidR="00392DBB" w:rsidRPr="00AC4AE8" w:rsidRDefault="00392DBB" w:rsidP="009000E3">
      <w:pPr>
        <w:pStyle w:val="ab"/>
        <w:numPr>
          <w:ilvl w:val="0"/>
          <w:numId w:val="61"/>
        </w:numPr>
      </w:pPr>
      <w:r w:rsidRPr="00002757">
        <w:rPr>
          <w:rFonts w:cs="Arial"/>
          <w:rtl/>
        </w:rPr>
        <w:t xml:space="preserve">רשב"א </w:t>
      </w:r>
      <w:r>
        <w:rPr>
          <w:rFonts w:cs="Arial" w:hint="cs"/>
          <w:sz w:val="16"/>
          <w:szCs w:val="16"/>
          <w:rtl/>
        </w:rPr>
        <w:t>(במיוחסות סי' נז)</w:t>
      </w:r>
      <w:r>
        <w:rPr>
          <w:rFonts w:cs="Arial" w:hint="cs"/>
          <w:rtl/>
        </w:rPr>
        <w:t>-</w:t>
      </w:r>
      <w:r w:rsidRPr="00002757">
        <w:rPr>
          <w:rFonts w:cs="Arial"/>
          <w:rtl/>
        </w:rPr>
        <w:t xml:space="preserve"> שאלת</w:t>
      </w:r>
      <w:r>
        <w:rPr>
          <w:rFonts w:cs="Arial" w:hint="cs"/>
          <w:rtl/>
        </w:rPr>
        <w:t>,</w:t>
      </w:r>
      <w:r w:rsidRPr="00002757">
        <w:rPr>
          <w:rFonts w:cs="Arial"/>
          <w:rtl/>
        </w:rPr>
        <w:t xml:space="preserve"> אלמנה שיש לה כתובה על נכסי בעלה</w:t>
      </w:r>
      <w:r>
        <w:rPr>
          <w:rFonts w:cs="Arial" w:hint="cs"/>
          <w:rtl/>
        </w:rPr>
        <w:t>,</w:t>
      </w:r>
      <w:r w:rsidRPr="00002757">
        <w:rPr>
          <w:rFonts w:cs="Arial"/>
          <w:rtl/>
        </w:rPr>
        <w:t xml:space="preserve"> ונתפשרה עם יורשיו שיתנו לה ש' דינרים בכל שנה למזונותיה ופרנסתה</w:t>
      </w:r>
      <w:r>
        <w:rPr>
          <w:rFonts w:cs="Arial" w:hint="cs"/>
          <w:rtl/>
        </w:rPr>
        <w:t>.</w:t>
      </w:r>
      <w:r w:rsidRPr="00002757">
        <w:rPr>
          <w:rFonts w:cs="Arial"/>
          <w:rtl/>
        </w:rPr>
        <w:t xml:space="preserve"> ושעבדו על זה עצמם</w:t>
      </w:r>
      <w:r>
        <w:rPr>
          <w:rFonts w:cs="Arial" w:hint="cs"/>
          <w:rtl/>
        </w:rPr>
        <w:t>,</w:t>
      </w:r>
      <w:r w:rsidRPr="00002757">
        <w:rPr>
          <w:rFonts w:cs="Arial"/>
          <w:rtl/>
        </w:rPr>
        <w:t xml:space="preserve"> ועוד ייחדו לה אלפים דינר בתיבה מיוחדת שאם שמא לא יתנו לה אותו סך בכל שנה שתוכל לקחת מאותה תיבה כל מה שיחסרו לה מאותו סך</w:t>
      </w:r>
      <w:r>
        <w:rPr>
          <w:rFonts w:cs="Arial" w:hint="cs"/>
          <w:rtl/>
        </w:rPr>
        <w:t>.</w:t>
      </w:r>
      <w:r w:rsidRPr="00002757">
        <w:rPr>
          <w:rFonts w:cs="Arial"/>
          <w:rtl/>
        </w:rPr>
        <w:t xml:space="preserve"> ונתנה כתובתה ביד שליש על תנאים אלו</w:t>
      </w:r>
      <w:r>
        <w:rPr>
          <w:rFonts w:cs="Arial" w:hint="cs"/>
          <w:rtl/>
        </w:rPr>
        <w:t>,</w:t>
      </w:r>
      <w:r w:rsidRPr="00002757">
        <w:rPr>
          <w:rFonts w:cs="Arial"/>
          <w:rtl/>
        </w:rPr>
        <w:t xml:space="preserve"> ושאין השליש רשאי ליתן לה שטר כתובתה אלא אם כן יכלו כל אותם אלפים דינרים</w:t>
      </w:r>
      <w:r>
        <w:rPr>
          <w:rFonts w:cs="Arial" w:hint="cs"/>
          <w:rtl/>
        </w:rPr>
        <w:t>,</w:t>
      </w:r>
      <w:r w:rsidRPr="00002757">
        <w:rPr>
          <w:rFonts w:cs="Arial"/>
          <w:rtl/>
        </w:rPr>
        <w:t xml:space="preserve"> וכשלא ישלימו לה אותו סך יוציא השליש שטר הכתובה לגבות מנכסי הבעל אותו סך הנזכר</w:t>
      </w:r>
      <w:r>
        <w:rPr>
          <w:rFonts w:cs="Arial" w:hint="cs"/>
          <w:rtl/>
        </w:rPr>
        <w:t>.</w:t>
      </w:r>
      <w:r w:rsidRPr="00002757">
        <w:rPr>
          <w:rFonts w:cs="Arial"/>
          <w:rtl/>
        </w:rPr>
        <w:t xml:space="preserve"> אבל אין בכתב השלישות שיוציאנה לה לגבות בה כלום לעולם</w:t>
      </w:r>
      <w:r>
        <w:rPr>
          <w:rFonts w:cs="Arial" w:hint="cs"/>
          <w:rtl/>
        </w:rPr>
        <w:t>.</w:t>
      </w:r>
      <w:r w:rsidRPr="00002757">
        <w:rPr>
          <w:rFonts w:cs="Arial"/>
          <w:rtl/>
        </w:rPr>
        <w:t xml:space="preserve"> ועכשיו יצאו בעלי חובות שעל הבעל והיא מעכבת על ידם מחמת הקדמת שטר כתובתה</w:t>
      </w:r>
      <w:r>
        <w:rPr>
          <w:rFonts w:cs="Arial" w:hint="cs"/>
          <w:rtl/>
        </w:rPr>
        <w:t>.</w:t>
      </w:r>
      <w:r w:rsidRPr="00002757">
        <w:rPr>
          <w:rFonts w:cs="Arial"/>
          <w:rtl/>
        </w:rPr>
        <w:t xml:space="preserve"> והם אומרים כבר ייחדנו לך ממון</w:t>
      </w:r>
      <w:r>
        <w:rPr>
          <w:rFonts w:cs="Arial" w:hint="cs"/>
          <w:rtl/>
        </w:rPr>
        <w:t>,</w:t>
      </w:r>
      <w:r w:rsidRPr="00002757">
        <w:rPr>
          <w:rFonts w:cs="Arial"/>
          <w:rtl/>
        </w:rPr>
        <w:t xml:space="preserve"> ועוד חייבו עצמם היורשים לך</w:t>
      </w:r>
      <w:r>
        <w:rPr>
          <w:rFonts w:cs="Arial" w:hint="cs"/>
          <w:rtl/>
        </w:rPr>
        <w:t>.</w:t>
      </w:r>
      <w:r w:rsidRPr="00002757">
        <w:rPr>
          <w:rFonts w:cs="Arial"/>
          <w:rtl/>
        </w:rPr>
        <w:t xml:space="preserve"> הדין עם מי.</w:t>
      </w:r>
      <w:r>
        <w:rPr>
          <w:rFonts w:cs="Arial" w:hint="cs"/>
          <w:rtl/>
        </w:rPr>
        <w:t xml:space="preserve">    </w:t>
      </w:r>
      <w:r w:rsidR="00FE210D">
        <w:rPr>
          <w:rFonts w:cs="Arial"/>
          <w:rtl/>
        </w:rPr>
        <w:t xml:space="preserve">  תשובה:</w:t>
      </w:r>
      <w:r w:rsidRPr="00002757">
        <w:rPr>
          <w:rFonts w:cs="Arial"/>
          <w:rtl/>
        </w:rPr>
        <w:t xml:space="preserve"> אם נכסי המת מרובים שיספיקו עכשיו לכתובת האלמנה ובעלי החוב</w:t>
      </w:r>
      <w:r>
        <w:rPr>
          <w:rFonts w:cs="Arial" w:hint="cs"/>
          <w:rtl/>
        </w:rPr>
        <w:t>,</w:t>
      </w:r>
      <w:r w:rsidRPr="00002757">
        <w:rPr>
          <w:rFonts w:cs="Arial"/>
          <w:rtl/>
        </w:rPr>
        <w:t xml:space="preserve"> אפילו לא נתפשרה עם היורשים </w:t>
      </w:r>
      <w:r>
        <w:rPr>
          <w:rFonts w:cs="Arial" w:hint="cs"/>
          <w:rtl/>
        </w:rPr>
        <w:t xml:space="preserve">- </w:t>
      </w:r>
      <w:r w:rsidRPr="00002757">
        <w:rPr>
          <w:rFonts w:cs="Arial"/>
          <w:rtl/>
        </w:rPr>
        <w:t>אין האלמנה יכולה לעכב ביד בעלי החוב מלגבות חובם</w:t>
      </w:r>
      <w:r>
        <w:rPr>
          <w:rFonts w:cs="Arial" w:hint="cs"/>
          <w:rtl/>
        </w:rPr>
        <w:t>.</w:t>
      </w:r>
      <w:r w:rsidRPr="00002757">
        <w:rPr>
          <w:rFonts w:cs="Arial"/>
          <w:rtl/>
        </w:rPr>
        <w:t xml:space="preserve"> אלא אומרים לה אם תרצי לגבות כתובתיך</w:t>
      </w:r>
      <w:r>
        <w:rPr>
          <w:rFonts w:cs="Arial" w:hint="cs"/>
          <w:rtl/>
        </w:rPr>
        <w:t>,</w:t>
      </w:r>
      <w:r w:rsidRPr="00002757">
        <w:rPr>
          <w:rFonts w:cs="Arial"/>
          <w:rtl/>
        </w:rPr>
        <w:t xml:space="preserve"> גבי</w:t>
      </w:r>
      <w:r>
        <w:rPr>
          <w:rFonts w:cs="Arial" w:hint="cs"/>
          <w:rtl/>
        </w:rPr>
        <w:t>,</w:t>
      </w:r>
      <w:r w:rsidRPr="00002757">
        <w:rPr>
          <w:rFonts w:cs="Arial"/>
          <w:rtl/>
        </w:rPr>
        <w:t xml:space="preserve"> ואף אנו נגביה מהמותר</w:t>
      </w:r>
      <w:r>
        <w:rPr>
          <w:rFonts w:cs="Arial" w:hint="cs"/>
          <w:rtl/>
        </w:rPr>
        <w:t>.</w:t>
      </w:r>
      <w:r w:rsidRPr="00002757">
        <w:rPr>
          <w:rFonts w:cs="Arial"/>
          <w:rtl/>
        </w:rPr>
        <w:t xml:space="preserve"> ואם אמרה איני רוצה לגבות כתובתי עכשיו אלא רוצה אני לזון</w:t>
      </w:r>
      <w:r>
        <w:rPr>
          <w:rFonts w:cs="Arial" w:hint="cs"/>
          <w:rtl/>
        </w:rPr>
        <w:t>,</w:t>
      </w:r>
      <w:r w:rsidRPr="00002757">
        <w:rPr>
          <w:rFonts w:cs="Arial"/>
          <w:rtl/>
        </w:rPr>
        <w:t xml:space="preserve"> ואין שיעור למזונו</w:t>
      </w:r>
      <w:r>
        <w:rPr>
          <w:rFonts w:cs="Arial" w:hint="cs"/>
          <w:rtl/>
        </w:rPr>
        <w:t>ת</w:t>
      </w:r>
      <w:r w:rsidRPr="00002757">
        <w:rPr>
          <w:rFonts w:cs="Arial"/>
          <w:rtl/>
        </w:rPr>
        <w:t xml:space="preserve"> דאין להם קצבה</w:t>
      </w:r>
      <w:r>
        <w:rPr>
          <w:rFonts w:cs="Arial" w:hint="cs"/>
          <w:rtl/>
        </w:rPr>
        <w:t xml:space="preserve"> -</w:t>
      </w:r>
      <w:r w:rsidRPr="00002757">
        <w:rPr>
          <w:rFonts w:cs="Arial"/>
          <w:rtl/>
        </w:rPr>
        <w:t xml:space="preserve"> אין בטענתה כלום</w:t>
      </w:r>
      <w:r>
        <w:rPr>
          <w:rFonts w:cs="Arial" w:hint="cs"/>
          <w:rtl/>
        </w:rPr>
        <w:t>,</w:t>
      </w:r>
      <w:r w:rsidRPr="00002757">
        <w:rPr>
          <w:rFonts w:cs="Arial"/>
          <w:rtl/>
        </w:rPr>
        <w:t xml:space="preserve"> שאם אתה אומר כן כל מי שיש לו אשה ואפילו אין כתובתה אלא מנה ויש לו מאה מנה ויש לו עליו מלוה לא יגבה ב"ח מנכסיו כלום שכבר הוא משועבד למזונות ופרנס</w:t>
      </w:r>
      <w:r>
        <w:rPr>
          <w:rFonts w:cs="Arial" w:hint="cs"/>
          <w:rtl/>
        </w:rPr>
        <w:t>תה</w:t>
      </w:r>
      <w:r w:rsidRPr="00002757">
        <w:rPr>
          <w:rFonts w:cs="Arial"/>
          <w:rtl/>
        </w:rPr>
        <w:t xml:space="preserve"> של אשתו</w:t>
      </w:r>
      <w:r>
        <w:rPr>
          <w:rFonts w:cs="Arial" w:hint="cs"/>
          <w:rtl/>
        </w:rPr>
        <w:t>,</w:t>
      </w:r>
      <w:r w:rsidRPr="00002757">
        <w:rPr>
          <w:rFonts w:cs="Arial"/>
          <w:rtl/>
        </w:rPr>
        <w:t xml:space="preserve"> ואינו</w:t>
      </w:r>
      <w:r>
        <w:rPr>
          <w:rFonts w:cs="Arial" w:hint="cs"/>
          <w:rtl/>
        </w:rPr>
        <w:t>.</w:t>
      </w:r>
      <w:r w:rsidRPr="00002757">
        <w:rPr>
          <w:rFonts w:cs="Arial"/>
          <w:rtl/>
        </w:rPr>
        <w:t xml:space="preserve"> ותדע לך דבעל יכול למכור נכסיו ואין האשה יכולה לעכב</w:t>
      </w:r>
      <w:r>
        <w:rPr>
          <w:rFonts w:cs="Arial" w:hint="cs"/>
          <w:rtl/>
        </w:rPr>
        <w:t>,</w:t>
      </w:r>
      <w:r w:rsidRPr="00002757">
        <w:rPr>
          <w:rFonts w:cs="Arial"/>
          <w:rtl/>
        </w:rPr>
        <w:t xml:space="preserve"> לא מחמת שעבוד מזונו</w:t>
      </w:r>
      <w:r>
        <w:rPr>
          <w:rFonts w:cs="Arial" w:hint="cs"/>
          <w:rtl/>
        </w:rPr>
        <w:t>ת</w:t>
      </w:r>
      <w:r w:rsidRPr="00002757">
        <w:rPr>
          <w:rFonts w:cs="Arial"/>
          <w:rtl/>
        </w:rPr>
        <w:t xml:space="preserve"> ופרנסה</w:t>
      </w:r>
      <w:r>
        <w:rPr>
          <w:rFonts w:cs="Arial" w:hint="cs"/>
          <w:rtl/>
        </w:rPr>
        <w:t>,</w:t>
      </w:r>
      <w:r w:rsidRPr="00002757">
        <w:rPr>
          <w:rFonts w:cs="Arial"/>
          <w:rtl/>
        </w:rPr>
        <w:t xml:space="preserve"> ולא מחמת שעבוד כתובה</w:t>
      </w:r>
      <w:r>
        <w:rPr>
          <w:rFonts w:cs="Arial" w:hint="cs"/>
          <w:rtl/>
        </w:rPr>
        <w:t>.</w:t>
      </w:r>
      <w:r w:rsidRPr="00002757">
        <w:rPr>
          <w:rFonts w:cs="Arial"/>
          <w:rtl/>
        </w:rPr>
        <w:t xml:space="preserve"> וכדאמרינן (כתובות פא:) בעל אי בעי לזבוני מי לא מצי מזבן</w:t>
      </w:r>
      <w:r>
        <w:rPr>
          <w:rFonts w:cs="Arial" w:hint="cs"/>
          <w:rtl/>
        </w:rPr>
        <w:t>.</w:t>
      </w:r>
      <w:r w:rsidRPr="00002757">
        <w:rPr>
          <w:rFonts w:cs="Arial"/>
          <w:rtl/>
        </w:rPr>
        <w:t xml:space="preserve"> וכן נמי בעל חוב מוקדם אינו יכול לעכב ביד בעל חוב מאוחר לגבות חובו עכשיו</w:t>
      </w:r>
      <w:r>
        <w:rPr>
          <w:rFonts w:cs="Arial" w:hint="cs"/>
          <w:rtl/>
        </w:rPr>
        <w:t>,</w:t>
      </w:r>
      <w:r w:rsidRPr="00002757">
        <w:rPr>
          <w:rFonts w:cs="Arial"/>
          <w:rtl/>
        </w:rPr>
        <w:t xml:space="preserve"> כל שזמן גבייתו קודם לזמן בעל חוב המוקדם</w:t>
      </w:r>
      <w:r>
        <w:rPr>
          <w:rFonts w:cs="Arial" w:hint="cs"/>
          <w:rtl/>
        </w:rPr>
        <w:t>,</w:t>
      </w:r>
      <w:r w:rsidRPr="00002757">
        <w:rPr>
          <w:rFonts w:cs="Arial"/>
          <w:rtl/>
        </w:rPr>
        <w:t xml:space="preserve"> ואפילו בשעשאו אפותיקי סתם</w:t>
      </w:r>
      <w:r>
        <w:rPr>
          <w:rFonts w:cs="Arial" w:hint="cs"/>
          <w:rtl/>
        </w:rPr>
        <w:t>.</w:t>
      </w:r>
      <w:r w:rsidRPr="00002757">
        <w:rPr>
          <w:rFonts w:cs="Arial"/>
          <w:rtl/>
        </w:rPr>
        <w:t xml:space="preserve"> וכל שכן זו שנראה שנתפשרה עם היורשים מכתובתה שלא לגבות בה עכשיו</w:t>
      </w:r>
      <w:r>
        <w:rPr>
          <w:rFonts w:cs="Arial" w:hint="cs"/>
          <w:rtl/>
        </w:rPr>
        <w:t>,</w:t>
      </w:r>
      <w:r w:rsidRPr="00002757">
        <w:rPr>
          <w:rFonts w:cs="Arial"/>
          <w:rtl/>
        </w:rPr>
        <w:t xml:space="preserve"> ולא לעולם כל שנותנין לה אותו סך</w:t>
      </w:r>
      <w:r>
        <w:rPr>
          <w:rFonts w:cs="Arial" w:hint="cs"/>
          <w:rtl/>
        </w:rPr>
        <w:t>,</w:t>
      </w:r>
      <w:r w:rsidRPr="00002757">
        <w:rPr>
          <w:rFonts w:cs="Arial"/>
          <w:rtl/>
        </w:rPr>
        <w:t xml:space="preserve"> או שיספיק לה אותו ממון שמיוחד תחת ידה</w:t>
      </w:r>
      <w:r>
        <w:rPr>
          <w:rFonts w:cs="Arial" w:hint="cs"/>
          <w:rtl/>
        </w:rPr>
        <w:t>.</w:t>
      </w:r>
      <w:r w:rsidRPr="00002757">
        <w:rPr>
          <w:rFonts w:cs="Arial"/>
          <w:rtl/>
        </w:rPr>
        <w:t xml:space="preserve"> ואפילו לא יספיק מכל מקום עדיין לא הגיע זמנה</w:t>
      </w:r>
      <w:r>
        <w:rPr>
          <w:rFonts w:cs="Arial" w:hint="cs"/>
          <w:rtl/>
        </w:rPr>
        <w:t>,</w:t>
      </w:r>
      <w:r w:rsidRPr="00002757">
        <w:rPr>
          <w:rFonts w:cs="Arial"/>
          <w:rtl/>
        </w:rPr>
        <w:t xml:space="preserve"> וכל שלא הגיע זמנה אינה יכולה לעכב וכמו שכתבתי</w:t>
      </w:r>
      <w:r>
        <w:rPr>
          <w:rFonts w:cs="Arial" w:hint="cs"/>
          <w:rtl/>
        </w:rPr>
        <w:t>.</w:t>
      </w:r>
      <w:r w:rsidRPr="00002757">
        <w:rPr>
          <w:rFonts w:cs="Arial"/>
          <w:rtl/>
        </w:rPr>
        <w:t xml:space="preserve"> ואפילו בזמן שיגיע זמנה</w:t>
      </w:r>
      <w:r>
        <w:rPr>
          <w:rFonts w:cs="Arial" w:hint="cs"/>
          <w:rtl/>
        </w:rPr>
        <w:t>,</w:t>
      </w:r>
      <w:r w:rsidRPr="00002757">
        <w:rPr>
          <w:rFonts w:cs="Arial"/>
          <w:rtl/>
        </w:rPr>
        <w:t xml:space="preserve"> ר"ל שיכלה כל אותו ממון המיוחד</w:t>
      </w:r>
      <w:r>
        <w:rPr>
          <w:rFonts w:cs="Arial" w:hint="cs"/>
          <w:rtl/>
        </w:rPr>
        <w:t>,</w:t>
      </w:r>
      <w:r w:rsidRPr="00002757">
        <w:rPr>
          <w:rFonts w:cs="Arial"/>
          <w:rtl/>
        </w:rPr>
        <w:t xml:space="preserve"> אינה גובה כתובתה אלא בית דין שמין לה כמה שוה כתובתה לפי מה שנתפשרה עם היורשין</w:t>
      </w:r>
      <w:r>
        <w:rPr>
          <w:rFonts w:cs="Arial" w:hint="cs"/>
          <w:rtl/>
        </w:rPr>
        <w:t>.</w:t>
      </w:r>
      <w:r w:rsidRPr="00002757">
        <w:rPr>
          <w:rFonts w:cs="Arial"/>
          <w:rtl/>
        </w:rPr>
        <w:t xml:space="preserve"> כן דעתי נוטה</w:t>
      </w:r>
      <w:r>
        <w:rPr>
          <w:rFonts w:cs="Arial" w:hint="cs"/>
          <w:rtl/>
        </w:rPr>
        <w:t>.</w:t>
      </w:r>
      <w:r w:rsidRPr="00002757">
        <w:rPr>
          <w:rFonts w:cs="Arial"/>
          <w:rtl/>
        </w:rPr>
        <w:t xml:space="preserve"> וכל שכן זו שלא כתב השליש שיוציא לה כתובתה לגבות בה לעולם</w:t>
      </w:r>
      <w:r>
        <w:rPr>
          <w:rFonts w:cs="Arial" w:hint="cs"/>
          <w:rtl/>
        </w:rPr>
        <w:t>.</w:t>
      </w:r>
      <w:r w:rsidRPr="00002757">
        <w:rPr>
          <w:rFonts w:cs="Arial"/>
          <w:rtl/>
        </w:rPr>
        <w:t xml:space="preserve"> ולא עוד אלא שעדיין צריך תלמוד אם יכולה לעכב</w:t>
      </w:r>
      <w:r>
        <w:rPr>
          <w:rFonts w:cs="Arial" w:hint="cs"/>
          <w:rtl/>
        </w:rPr>
        <w:t>,</w:t>
      </w:r>
      <w:r w:rsidRPr="00002757">
        <w:rPr>
          <w:rFonts w:cs="Arial"/>
          <w:rtl/>
        </w:rPr>
        <w:t xml:space="preserve"> כיון ששעבדו לה היורשים נכסיהם שהרי יש לה שעבוד ממקום אחר לגבות ממנו</w:t>
      </w:r>
      <w:r>
        <w:rPr>
          <w:rFonts w:cs="Arial" w:hint="cs"/>
          <w:rtl/>
        </w:rPr>
        <w:t>.</w:t>
      </w:r>
      <w:r w:rsidRPr="00002757">
        <w:rPr>
          <w:rFonts w:cs="Arial"/>
          <w:rtl/>
        </w:rPr>
        <w:t xml:space="preserve"> ובין זה וזה תגבה היא ובעלי החוב את חובם.</w:t>
      </w:r>
    </w:p>
    <w:p w14:paraId="1BA90295" w14:textId="77777777" w:rsidR="00392DBB" w:rsidRPr="00AC4AE8" w:rsidRDefault="00392DBB" w:rsidP="00392DBB">
      <w:pPr>
        <w:rPr>
          <w:u w:val="single"/>
        </w:rPr>
      </w:pPr>
      <w:r w:rsidRPr="00AC4AE8">
        <w:rPr>
          <w:rFonts w:cs="Arial"/>
          <w:u w:val="single"/>
          <w:rtl/>
        </w:rPr>
        <w:lastRenderedPageBreak/>
        <w:t xml:space="preserve"> </w:t>
      </w:r>
      <w:r w:rsidRPr="00AC4AE8">
        <w:rPr>
          <w:rFonts w:hint="cs"/>
          <w:u w:val="single"/>
          <w:rtl/>
        </w:rPr>
        <w:t>מורשה של האלמנה טוען שאין ליורשים לגבות מבע"ח של הנפטר כדי שישארו משועבדים לכתובת האלמנה:</w:t>
      </w:r>
    </w:p>
    <w:p w14:paraId="3DD4CB45" w14:textId="77777777" w:rsidR="00392DBB" w:rsidRPr="00AC4AE8" w:rsidRDefault="00392DBB" w:rsidP="009000E3">
      <w:pPr>
        <w:pStyle w:val="ab"/>
        <w:numPr>
          <w:ilvl w:val="0"/>
          <w:numId w:val="61"/>
        </w:numPr>
      </w:pPr>
      <w:r>
        <w:rPr>
          <w:rFonts w:cs="Arial" w:hint="cs"/>
          <w:rtl/>
        </w:rPr>
        <w:t xml:space="preserve">רשב"א </w:t>
      </w:r>
      <w:r w:rsidRPr="00AC4AE8">
        <w:rPr>
          <w:rFonts w:cs="Arial"/>
          <w:sz w:val="16"/>
          <w:szCs w:val="16"/>
          <w:rtl/>
        </w:rPr>
        <w:t>(ח"ב סי' קע)</w:t>
      </w:r>
      <w:r>
        <w:rPr>
          <w:rFonts w:cs="Arial" w:hint="cs"/>
          <w:rtl/>
        </w:rPr>
        <w:t>-</w:t>
      </w:r>
      <w:r w:rsidRPr="00002757">
        <w:rPr>
          <w:rFonts w:cs="Arial"/>
          <w:rtl/>
        </w:rPr>
        <w:t xml:space="preserve"> מה שטען המורשה שאין ליורש לגבות החובות אינו כלום ואם יריאה שלא יאבד מה שיגבה תבא ותגבה כתובתה ואז יוציאו בית דין מן הלווים ויתנו לה מדרבי נתן או אם קדם וגבה היורש מוציאין ממנו ונותנין לאלמנה מתקנת הגאונים שתקנו שיהו המטלטלין כקרקע וכדעת הרי"ף בפרק האשה שנפלו (מ.) גבי ברייתא דמי שהיה נושה באחיו מנה ומת וכו' (פא:)</w:t>
      </w:r>
      <w:r>
        <w:rPr>
          <w:rFonts w:cs="Arial" w:hint="cs"/>
          <w:rtl/>
        </w:rPr>
        <w:t>.</w:t>
      </w:r>
      <w:r w:rsidRPr="00002757">
        <w:rPr>
          <w:rFonts w:cs="Arial"/>
          <w:rtl/>
        </w:rPr>
        <w:t xml:space="preserve"> ואע</w:t>
      </w:r>
      <w:r>
        <w:rPr>
          <w:rFonts w:cs="Arial" w:hint="cs"/>
          <w:rtl/>
        </w:rPr>
        <w:t>"</w:t>
      </w:r>
      <w:r w:rsidRPr="00002757">
        <w:rPr>
          <w:rFonts w:cs="Arial"/>
          <w:rtl/>
        </w:rPr>
        <w:t>פ שיש מגדולי הפוסקים שחולקין עליו</w:t>
      </w:r>
      <w:r>
        <w:rPr>
          <w:rFonts w:cs="Arial" w:hint="cs"/>
          <w:rtl/>
        </w:rPr>
        <w:t>,</w:t>
      </w:r>
      <w:r w:rsidRPr="00002757">
        <w:rPr>
          <w:rFonts w:cs="Arial"/>
          <w:rtl/>
        </w:rPr>
        <w:t xml:space="preserve"> אנו כך קיבלנו מרבותינו שכדברי הרי"ף עיקר. </w:t>
      </w:r>
    </w:p>
    <w:p w14:paraId="2786F84D" w14:textId="77777777" w:rsidR="00392DBB" w:rsidRPr="00852DF3" w:rsidRDefault="00392DBB" w:rsidP="00392DBB">
      <w:pPr>
        <w:rPr>
          <w:u w:val="single"/>
        </w:rPr>
      </w:pPr>
      <w:r w:rsidRPr="00852DF3">
        <w:rPr>
          <w:rFonts w:cs="Arial"/>
          <w:u w:val="single"/>
          <w:rtl/>
        </w:rPr>
        <w:t>גר שמת בלא בנים והיתה לו אשה</w:t>
      </w:r>
      <w:r>
        <w:rPr>
          <w:rFonts w:cs="Arial" w:hint="cs"/>
          <w:u w:val="single"/>
          <w:rtl/>
        </w:rPr>
        <w:t>,</w:t>
      </w:r>
      <w:r w:rsidRPr="00852DF3">
        <w:rPr>
          <w:rFonts w:cs="Arial"/>
          <w:u w:val="single"/>
          <w:rtl/>
        </w:rPr>
        <w:t xml:space="preserve"> ובא אחר וקדם וזכה בנכסים</w:t>
      </w:r>
      <w:r>
        <w:rPr>
          <w:rFonts w:cs="Arial" w:hint="cs"/>
          <w:u w:val="single"/>
          <w:rtl/>
        </w:rPr>
        <w:t xml:space="preserve"> -</w:t>
      </w:r>
      <w:r w:rsidRPr="00852DF3">
        <w:rPr>
          <w:rFonts w:cs="Arial"/>
          <w:u w:val="single"/>
          <w:rtl/>
        </w:rPr>
        <w:t xml:space="preserve"> </w:t>
      </w:r>
      <w:r>
        <w:rPr>
          <w:rFonts w:cs="Arial" w:hint="cs"/>
          <w:u w:val="single"/>
          <w:rtl/>
        </w:rPr>
        <w:t>ה</w:t>
      </w:r>
      <w:r w:rsidRPr="00852DF3">
        <w:rPr>
          <w:rFonts w:cs="Arial"/>
          <w:u w:val="single"/>
          <w:rtl/>
        </w:rPr>
        <w:t>אם תטול כתובתה מאותם נכסים</w:t>
      </w:r>
      <w:r w:rsidRPr="00852DF3">
        <w:rPr>
          <w:rFonts w:hint="cs"/>
          <w:u w:val="single"/>
          <w:rtl/>
        </w:rPr>
        <w:t>:</w:t>
      </w:r>
    </w:p>
    <w:p w14:paraId="7FF05A77" w14:textId="3523A190" w:rsidR="00392DBB" w:rsidRDefault="00392DBB" w:rsidP="009000E3">
      <w:pPr>
        <w:pStyle w:val="ab"/>
        <w:numPr>
          <w:ilvl w:val="0"/>
          <w:numId w:val="61"/>
        </w:numPr>
      </w:pPr>
      <w:r>
        <w:rPr>
          <w:rFonts w:cs="Arial" w:hint="cs"/>
          <w:rtl/>
        </w:rPr>
        <w:t xml:space="preserve">רשב"א </w:t>
      </w:r>
      <w:r w:rsidRPr="00F773C7">
        <w:rPr>
          <w:rFonts w:cs="Arial"/>
          <w:sz w:val="16"/>
          <w:szCs w:val="16"/>
          <w:rtl/>
        </w:rPr>
        <w:t>(במיוחסות סי' סט)</w:t>
      </w:r>
      <w:r>
        <w:rPr>
          <w:rFonts w:cs="Arial" w:hint="cs"/>
          <w:rtl/>
        </w:rPr>
        <w:t>-</w:t>
      </w:r>
      <w:r w:rsidRPr="00002757">
        <w:rPr>
          <w:rFonts w:cs="Arial"/>
          <w:rtl/>
        </w:rPr>
        <w:t xml:space="preserve"> </w:t>
      </w:r>
      <w:r>
        <w:rPr>
          <w:rFonts w:cs="Arial" w:hint="cs"/>
          <w:rtl/>
        </w:rPr>
        <w:t xml:space="preserve">שאלה, </w:t>
      </w:r>
      <w:r w:rsidRPr="00852DF3">
        <w:rPr>
          <w:rFonts w:cs="Arial"/>
          <w:rtl/>
        </w:rPr>
        <w:t>גר שמת בלא בנים והיתה לו אשה. ובא אחר וקדם וזכה בנכסים. אם תטול כתובתה מאותם נכסים</w:t>
      </w:r>
      <w:r>
        <w:rPr>
          <w:rFonts w:cs="Arial" w:hint="cs"/>
          <w:rtl/>
        </w:rPr>
        <w:t xml:space="preserve">...    </w:t>
      </w:r>
      <w:r w:rsidR="00FE210D">
        <w:rPr>
          <w:rFonts w:cs="Arial" w:hint="cs"/>
          <w:rtl/>
        </w:rPr>
        <w:t xml:space="preserve"> תשובה:</w:t>
      </w:r>
      <w:r>
        <w:rPr>
          <w:rFonts w:cs="Arial" w:hint="cs"/>
          <w:rtl/>
        </w:rPr>
        <w:t>...</w:t>
      </w:r>
      <w:r w:rsidRPr="00852DF3">
        <w:rPr>
          <w:rFonts w:cs="Arial"/>
          <w:rtl/>
        </w:rPr>
        <w:t xml:space="preserve"> ולעיקר הדין אני דן לפניך שאם הניח קרקע ודאי האשה גובה כתובתה ממנו. ולפי שכבר חל שעבודה על הקרקע ונכסי בחזקת אלמנה קיימי. כדאסיקנא פרק אלמנה ניזונת (צח:). וה"ה בשכתב לה מטלטלים אגב מקרקעי.</w:t>
      </w:r>
      <w:r w:rsidRPr="00852DF3">
        <w:rPr>
          <w:rFonts w:cs="Arial" w:hint="cs"/>
          <w:rtl/>
        </w:rPr>
        <w:t xml:space="preserve">.. </w:t>
      </w:r>
      <w:r w:rsidRPr="00852DF3">
        <w:rPr>
          <w:rFonts w:cs="Arial"/>
          <w:rtl/>
        </w:rPr>
        <w:t>ואיברא במטלטלים דלא כתב לה מטלטלי אגב מקרקעי יש לנו לדון לחוב ולזכות.</w:t>
      </w:r>
      <w:r w:rsidRPr="00852DF3">
        <w:rPr>
          <w:rFonts w:cs="Arial" w:hint="cs"/>
          <w:rtl/>
        </w:rPr>
        <w:t>..</w:t>
      </w:r>
      <w:r w:rsidRPr="00852DF3">
        <w:rPr>
          <w:rtl/>
        </w:rPr>
        <w:t xml:space="preserve"> </w:t>
      </w:r>
      <w:r w:rsidRPr="00852DF3">
        <w:rPr>
          <w:rFonts w:cs="Arial"/>
          <w:rtl/>
        </w:rPr>
        <w:t>ועל כן אני אומר דמטלטלי דגר כל שהוא ביד אחרים עד גמר מיתתו היינו אותם המופקדים אצלם וזה פירש למיתה וזה זכה הוו להו כמטלטלי דיתמי ולא גבו ממנו כתובת אשה לרבנן וב"ח לכ"ע. והיינו דאיסור גיורא ורבא. אבל הכא דבזבזו אותם ישראל לאחר מיתה כבר חל עליהם שעבוד הכתובה וב"ח בגמר מיתה וקיימי ברשותייהו. דהא לא קאי באפייהו זכות אחרים. דבמטלטלי דיתמי גופייהו אי לאו דירושה ממילא קא הויא ועם גמר מיתה קמו להו נכסי בחזקת יתמי הוו כתובת אשה וב"ח גובין מהן.</w:t>
      </w:r>
      <w:r w:rsidRPr="00852DF3">
        <w:rPr>
          <w:rFonts w:cs="Arial" w:hint="cs"/>
          <w:rtl/>
        </w:rPr>
        <w:t>..</w:t>
      </w:r>
      <w:r w:rsidRPr="00852DF3">
        <w:rPr>
          <w:rFonts w:cs="Arial"/>
          <w:rtl/>
        </w:rPr>
        <w:t xml:space="preserve"> והלכך גבי גר דבשעת מיתה לא היתה זכות אחרים מעכבת ועומדת בפני שעבוד אשה וב"ח קדמו. והוו להו כיתמי דידיה. וקמו להו נכסי ברשותייהו מפני ששעבודם חל עליהם עם גמר מיתה. ואף על פי שקדמו אחרים ובזבזו מוציאין אותם מידן. ואף על פי שאין מוציאין מיד יורשין שקדמו וזכו אפילו לרבי טרפון כשקדמו אשה וב"ח ונטלו מרשות הרבים או מסימטא שאינו רשות יורשים גובין מהם. אבל גר אפילו קדמו אחרים ובזבזו מוציאין מידם כמו שכתבתי. וכל שכן אחר תקנת הגאון ז"ל שהמטלטלים כקרקע.</w:t>
      </w:r>
    </w:p>
    <w:p w14:paraId="42CB85C9"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4D841EB" w14:textId="09C410C0" w:rsidR="00392DBB" w:rsidRDefault="00392DBB" w:rsidP="00392DBB">
      <w:pPr>
        <w:rPr>
          <w:rtl/>
        </w:rPr>
      </w:pPr>
      <w:r>
        <w:rPr>
          <w:rFonts w:cs="Arial"/>
          <w:rtl/>
        </w:rPr>
        <w:t>מי שהיה נשוי שתי נשים, ומכר את שדהו וקנו מהאשה הראשונה תחלה, ואחר כך ממנו</w:t>
      </w:r>
      <w:r w:rsidR="00AD6C2D">
        <w:rPr>
          <w:rFonts w:cs="Arial" w:hint="cs"/>
          <w:rtl/>
        </w:rPr>
        <w:t>,</w:t>
      </w:r>
      <w:r>
        <w:rPr>
          <w:rFonts w:cs="Arial"/>
          <w:rtl/>
        </w:rPr>
        <w:t xml:space="preserve"> השניה מוציאה מיד הלוקח, והראשונה מיד השנייה, והלוקח מיד הראשונה וחוזרים חלילה עד שיעשו פשרה ביניהם</w:t>
      </w:r>
      <w:r>
        <w:rPr>
          <w:rStyle w:val="a7"/>
          <w:rFonts w:cs="Arial"/>
          <w:rtl/>
        </w:rPr>
        <w:footnoteReference w:id="1942"/>
      </w:r>
      <w:r>
        <w:rPr>
          <w:rFonts w:cs="Arial"/>
          <w:rtl/>
        </w:rPr>
        <w:t xml:space="preserve">. </w:t>
      </w:r>
    </w:p>
    <w:p w14:paraId="47659C4D" w14:textId="77777777" w:rsidR="00392DBB" w:rsidRDefault="00392DBB" w:rsidP="00392DBB">
      <w:pPr>
        <w:rPr>
          <w:rtl/>
        </w:rPr>
      </w:pPr>
    </w:p>
    <w:p w14:paraId="202A1E33" w14:textId="77777777" w:rsidR="00392DBB" w:rsidRDefault="00392DBB" w:rsidP="000F64D0">
      <w:pPr>
        <w:pStyle w:val="2"/>
        <w:rPr>
          <w:rtl/>
        </w:rPr>
      </w:pPr>
      <w:r>
        <w:rPr>
          <w:rtl/>
        </w:rPr>
        <w:t>סעיף ה</w:t>
      </w:r>
      <w:r>
        <w:rPr>
          <w:rFonts w:hint="cs"/>
          <w:rtl/>
        </w:rPr>
        <w:t>: לפי איזה מטבע גובה את כתובתה.</w:t>
      </w:r>
    </w:p>
    <w:p w14:paraId="0AD55768" w14:textId="64B6C5A4" w:rsidR="00392DBB" w:rsidRDefault="00392DBB" w:rsidP="00392DBB">
      <w:pPr>
        <w:rPr>
          <w:rtl/>
        </w:rPr>
      </w:pPr>
      <w:r w:rsidRPr="00D272FB">
        <w:rPr>
          <w:rFonts w:cs="Arial" w:hint="cs"/>
          <w:b/>
          <w:bCs/>
          <w:rtl/>
        </w:rPr>
        <w:t xml:space="preserve">כתובות </w:t>
      </w:r>
      <w:r>
        <w:rPr>
          <w:rFonts w:cs="Arial" w:hint="cs"/>
          <w:b/>
          <w:bCs/>
          <w:sz w:val="16"/>
          <w:szCs w:val="16"/>
          <w:rtl/>
        </w:rPr>
        <w:t xml:space="preserve">(פ' בתרא) </w:t>
      </w:r>
      <w:r w:rsidRPr="00D272FB">
        <w:rPr>
          <w:rFonts w:cs="Arial" w:hint="cs"/>
          <w:b/>
          <w:bCs/>
          <w:rtl/>
        </w:rPr>
        <w:t>קי</w:t>
      </w:r>
      <w:r w:rsidR="00C64643">
        <w:rPr>
          <w:rStyle w:val="a7"/>
          <w:rFonts w:cs="Arial"/>
          <w:b/>
          <w:bCs/>
          <w:rtl/>
        </w:rPr>
        <w:footnoteReference w:id="1943"/>
      </w:r>
      <w:r w:rsidRPr="00D272FB">
        <w:rPr>
          <w:rFonts w:cs="Arial" w:hint="cs"/>
          <w:b/>
          <w:bCs/>
          <w:rtl/>
        </w:rPr>
        <w:t xml:space="preserve"> ע"ב: </w:t>
      </w:r>
      <w:r w:rsidRPr="00D272FB">
        <w:rPr>
          <w:rFonts w:cs="Arial"/>
          <w:u w:val="double"/>
          <w:rtl/>
        </w:rPr>
        <w:t>מתני'</w:t>
      </w:r>
      <w:r>
        <w:rPr>
          <w:rFonts w:cs="Arial" w:hint="cs"/>
          <w:rtl/>
        </w:rPr>
        <w:t>:..</w:t>
      </w:r>
      <w:r w:rsidRPr="00D272FB">
        <w:rPr>
          <w:rFonts w:cs="Arial"/>
          <w:rtl/>
        </w:rPr>
        <w:t xml:space="preserve">. נשא אשה בא"י וגרשה בארץ ישראל - נותן לה ממעות ארץ ישראל. נשא אשה בא"י וגרשה בקפוטקיא - נותן לה ממעות ארץ ישראל. נשא אשה בקפוטקיא וגרשה בארץ ישראל - נותן לה ממעות ארץ ישראל, </w:t>
      </w:r>
      <w:r w:rsidRPr="00C64643">
        <w:rPr>
          <w:rFonts w:cs="Arial"/>
          <w:u w:val="single"/>
          <w:rtl/>
        </w:rPr>
        <w:t>רבן שמעון בן גמליאל אומר</w:t>
      </w:r>
      <w:r w:rsidRPr="00D272FB">
        <w:rPr>
          <w:rFonts w:cs="Arial"/>
          <w:rtl/>
        </w:rPr>
        <w:t>: נותן לה ממעות קפוטקיא</w:t>
      </w:r>
      <w:r>
        <w:rPr>
          <w:rStyle w:val="a7"/>
          <w:rFonts w:cs="Arial"/>
          <w:rtl/>
        </w:rPr>
        <w:footnoteReference w:id="1944"/>
      </w:r>
      <w:r w:rsidRPr="00D272FB">
        <w:rPr>
          <w:rFonts w:cs="Arial"/>
          <w:rtl/>
        </w:rPr>
        <w:t>. נשא אשה בקפוטקיא וגרשה בקפוטקיא - נותן לה ממעות קפוטקיא.</w:t>
      </w:r>
      <w:r w:rsidRPr="00D272FB">
        <w:rPr>
          <w:rtl/>
        </w:rPr>
        <w:t xml:space="preserve"> </w:t>
      </w:r>
      <w:r>
        <w:rPr>
          <w:rFonts w:cs="Arial" w:hint="cs"/>
          <w:rtl/>
        </w:rPr>
        <w:t xml:space="preserve">      </w:t>
      </w:r>
      <w:r>
        <w:rPr>
          <w:rFonts w:cs="Arial" w:hint="cs"/>
          <w:u w:val="double"/>
          <w:rtl/>
        </w:rPr>
        <w:t>גמ</w:t>
      </w:r>
      <w:r w:rsidRPr="00D272FB">
        <w:rPr>
          <w:rFonts w:cs="Arial"/>
          <w:u w:val="double"/>
          <w:rtl/>
        </w:rPr>
        <w:t>'</w:t>
      </w:r>
      <w:r>
        <w:rPr>
          <w:rFonts w:cs="Arial" w:hint="cs"/>
          <w:rtl/>
        </w:rPr>
        <w:t xml:space="preserve">: </w:t>
      </w:r>
      <w:r w:rsidRPr="00D272FB">
        <w:rPr>
          <w:rFonts w:cs="Arial"/>
          <w:rtl/>
        </w:rPr>
        <w:t>נשא אשה כו'. הא גופא קשיא, קתני: נשא אשה בארץ ישראל וגרשה בקפוטקיא - נותן לה ממעות ארץ ישראל, אלמא בתר שיעבודא אזלינן</w:t>
      </w:r>
      <w:r>
        <w:rPr>
          <w:rFonts w:cs="Arial" w:hint="cs"/>
          <w:rtl/>
        </w:rPr>
        <w:t>.</w:t>
      </w:r>
      <w:r w:rsidRPr="00D272FB">
        <w:rPr>
          <w:rFonts w:cs="Arial"/>
          <w:rtl/>
        </w:rPr>
        <w:t xml:space="preserve"> אימא סיפא: נשא אשה בקפוטקיא וגרשה בארץ ישראל - נותן לה ממעות ארץ ישראל, אלמא בתר גוביינא אזלינן! </w:t>
      </w:r>
      <w:r w:rsidRPr="00D272FB">
        <w:rPr>
          <w:rFonts w:cs="Arial"/>
          <w:u w:val="single"/>
          <w:rtl/>
        </w:rPr>
        <w:t>אמר רבה</w:t>
      </w:r>
      <w:r w:rsidRPr="00D272FB">
        <w:rPr>
          <w:rFonts w:cs="Arial"/>
          <w:rtl/>
        </w:rPr>
        <w:t>: מקולי כתובה שנו כאן</w:t>
      </w:r>
      <w:r>
        <w:rPr>
          <w:rStyle w:val="a7"/>
          <w:rFonts w:cs="Arial"/>
          <w:rtl/>
        </w:rPr>
        <w:footnoteReference w:id="1945"/>
      </w:r>
      <w:r w:rsidRPr="00D272FB">
        <w:rPr>
          <w:rFonts w:cs="Arial"/>
          <w:rtl/>
        </w:rPr>
        <w:t>, קסבר: כתובה דרבנן.</w:t>
      </w:r>
      <w:r w:rsidRPr="00667CE7">
        <w:rPr>
          <w:rtl/>
        </w:rPr>
        <w:t xml:space="preserve"> </w:t>
      </w:r>
      <w:r w:rsidRPr="00667CE7">
        <w:rPr>
          <w:rFonts w:cs="Arial"/>
          <w:rtl/>
        </w:rPr>
        <w:t>רבן שמעון בן גמליאל אומר: נותן לה ממעות קפוטקיא. קסבר: כתובה דאורייתא</w:t>
      </w:r>
      <w:r>
        <w:rPr>
          <w:rStyle w:val="a7"/>
          <w:rFonts w:cs="Arial"/>
          <w:rtl/>
        </w:rPr>
        <w:footnoteReference w:id="1946"/>
      </w:r>
      <w:r w:rsidRPr="00667CE7">
        <w:rPr>
          <w:rFonts w:cs="Arial"/>
          <w:rtl/>
        </w:rPr>
        <w:t>.</w:t>
      </w:r>
      <w:r w:rsidRPr="00D272FB">
        <w:rPr>
          <w:rFonts w:cs="Arial" w:hint="cs"/>
          <w:sz w:val="16"/>
          <w:szCs w:val="16"/>
          <w:rtl/>
        </w:rPr>
        <w:t xml:space="preserve"> (</w:t>
      </w:r>
      <w:r w:rsidRPr="00D272FB">
        <w:rPr>
          <w:rFonts w:cs="Arial"/>
          <w:sz w:val="16"/>
          <w:szCs w:val="16"/>
          <w:rtl/>
        </w:rPr>
        <w:t>וכבר נתבאר בסימן ס"ו (צט. ד"ה כתב ר"ת) שר"ת (תוס' י. ד"ה אמר) סובר דהלכה כרבן שמעון בן גמליאל</w:t>
      </w:r>
      <w:r w:rsidR="00C64643">
        <w:rPr>
          <w:rFonts w:cs="Arial" w:hint="cs"/>
          <w:sz w:val="16"/>
          <w:szCs w:val="16"/>
          <w:rtl/>
        </w:rPr>
        <w:t>,</w:t>
      </w:r>
      <w:r w:rsidRPr="00D272FB">
        <w:rPr>
          <w:rFonts w:cs="Arial"/>
          <w:sz w:val="16"/>
          <w:szCs w:val="16"/>
          <w:rtl/>
        </w:rPr>
        <w:t xml:space="preserve"> והרי"ף (סה:) והרמב"ם (פ"י מאישות ה"ז) וכל הגאונים סוברים דהלכה כת"ק</w:t>
      </w:r>
      <w:r>
        <w:rPr>
          <w:rFonts w:cs="Arial" w:hint="cs"/>
          <w:sz w:val="16"/>
          <w:szCs w:val="16"/>
          <w:rtl/>
        </w:rPr>
        <w:t>, ב"י)</w:t>
      </w:r>
    </w:p>
    <w:p w14:paraId="3586F232" w14:textId="77777777" w:rsidR="00392DBB" w:rsidRPr="00823CA2" w:rsidRDefault="00392DBB" w:rsidP="00392DBB">
      <w:pPr>
        <w:rPr>
          <w:u w:val="single"/>
          <w:rtl/>
        </w:rPr>
      </w:pPr>
      <w:r w:rsidRPr="00823CA2">
        <w:rPr>
          <w:rFonts w:hint="cs"/>
          <w:u w:val="single"/>
          <w:rtl/>
        </w:rPr>
        <w:t>לפי איזה מטבע גובה את כתובתה:</w:t>
      </w:r>
    </w:p>
    <w:p w14:paraId="15063199" w14:textId="463CAF81" w:rsidR="00392DBB" w:rsidRPr="006508B5" w:rsidRDefault="00392DBB" w:rsidP="009000E3">
      <w:pPr>
        <w:pStyle w:val="ab"/>
        <w:numPr>
          <w:ilvl w:val="0"/>
          <w:numId w:val="61"/>
        </w:numPr>
      </w:pPr>
      <w:r>
        <w:rPr>
          <w:rFonts w:cs="Arial" w:hint="cs"/>
          <w:rtl/>
        </w:rPr>
        <w:t xml:space="preserve">כל הגאונים </w:t>
      </w:r>
      <w:r>
        <w:rPr>
          <w:rFonts w:cs="Arial" w:hint="cs"/>
          <w:sz w:val="16"/>
          <w:szCs w:val="16"/>
          <w:rtl/>
        </w:rPr>
        <w:t>(כ"כ הטור והב"י בשמם)</w:t>
      </w:r>
      <w:r>
        <w:rPr>
          <w:rFonts w:cs="Arial" w:hint="cs"/>
          <w:rtl/>
        </w:rPr>
        <w:t xml:space="preserve"> רי"ף </w:t>
      </w:r>
      <w:r w:rsidRPr="00D272FB">
        <w:rPr>
          <w:rFonts w:cs="Arial"/>
          <w:sz w:val="16"/>
          <w:szCs w:val="16"/>
          <w:rtl/>
        </w:rPr>
        <w:t>(סה:)</w:t>
      </w:r>
      <w:r>
        <w:rPr>
          <w:rFonts w:cs="Arial" w:hint="cs"/>
          <w:sz w:val="16"/>
          <w:szCs w:val="16"/>
          <w:rtl/>
        </w:rPr>
        <w:t xml:space="preserve"> </w:t>
      </w:r>
      <w:r>
        <w:rPr>
          <w:rFonts w:cs="Arial" w:hint="cs"/>
          <w:rtl/>
        </w:rPr>
        <w:t xml:space="preserve">רמב"ם </w:t>
      </w:r>
      <w:r w:rsidRPr="00D272FB">
        <w:rPr>
          <w:rFonts w:cs="Arial"/>
          <w:sz w:val="16"/>
          <w:szCs w:val="16"/>
          <w:rtl/>
        </w:rPr>
        <w:t>(פ"י מאישות ה"ז</w:t>
      </w:r>
      <w:r>
        <w:rPr>
          <w:rFonts w:cs="Arial" w:hint="cs"/>
          <w:sz w:val="16"/>
          <w:szCs w:val="16"/>
          <w:rtl/>
        </w:rPr>
        <w:t>, וכן בפט"ז ה"ו</w:t>
      </w:r>
      <w:r w:rsidRPr="00D272FB">
        <w:rPr>
          <w:rFonts w:cs="Arial"/>
          <w:sz w:val="16"/>
          <w:szCs w:val="16"/>
          <w:rtl/>
        </w:rPr>
        <w:t xml:space="preserve">) </w:t>
      </w:r>
      <w:r>
        <w:rPr>
          <w:rFonts w:cs="Arial" w:hint="cs"/>
          <w:rtl/>
        </w:rPr>
        <w:t xml:space="preserve">וטור- </w:t>
      </w:r>
      <w:r w:rsidRPr="003D2914">
        <w:rPr>
          <w:rFonts w:cs="Arial"/>
          <w:rtl/>
        </w:rPr>
        <w:t>אין הכתובה נגבית אלא בפחות שבמטבעות</w:t>
      </w:r>
      <w:r>
        <w:rPr>
          <w:rFonts w:cs="Arial" w:hint="cs"/>
          <w:rtl/>
        </w:rPr>
        <w:t>.</w:t>
      </w:r>
      <w:r w:rsidRPr="003D2914">
        <w:rPr>
          <w:rFonts w:cs="Arial"/>
          <w:rtl/>
        </w:rPr>
        <w:t xml:space="preserve"> כגון</w:t>
      </w:r>
      <w:r>
        <w:rPr>
          <w:rFonts w:cs="Arial" w:hint="cs"/>
          <w:rtl/>
        </w:rPr>
        <w:t>,</w:t>
      </w:r>
      <w:r w:rsidRPr="003D2914">
        <w:rPr>
          <w:rFonts w:cs="Arial"/>
          <w:rtl/>
        </w:rPr>
        <w:t xml:space="preserve"> אם נשא במקום אחר</w:t>
      </w:r>
      <w:r>
        <w:rPr>
          <w:rFonts w:cs="Arial" w:hint="cs"/>
          <w:rtl/>
        </w:rPr>
        <w:t>,</w:t>
      </w:r>
      <w:r w:rsidRPr="003D2914">
        <w:rPr>
          <w:rFonts w:cs="Arial"/>
          <w:rtl/>
        </w:rPr>
        <w:t xml:space="preserve"> וגירשה במקום אחר</w:t>
      </w:r>
      <w:r>
        <w:rPr>
          <w:rFonts w:cs="Arial" w:hint="cs"/>
          <w:rtl/>
        </w:rPr>
        <w:t>,</w:t>
      </w:r>
      <w:r w:rsidRPr="003D2914">
        <w:rPr>
          <w:rFonts w:cs="Arial"/>
          <w:rtl/>
        </w:rPr>
        <w:t xml:space="preserve"> אם מעות של מקום הנישואין טובים מהמעות של מקום הגירושין </w:t>
      </w:r>
      <w:r>
        <w:rPr>
          <w:rFonts w:cs="Arial" w:hint="cs"/>
          <w:rtl/>
        </w:rPr>
        <w:t xml:space="preserve">- </w:t>
      </w:r>
      <w:r w:rsidRPr="003D2914">
        <w:rPr>
          <w:rFonts w:cs="Arial"/>
          <w:rtl/>
        </w:rPr>
        <w:t>נותן לה ממעות של מקום הגירושין</w:t>
      </w:r>
      <w:r>
        <w:rPr>
          <w:rFonts w:cs="Arial" w:hint="cs"/>
          <w:rtl/>
        </w:rPr>
        <w:t>.</w:t>
      </w:r>
      <w:r w:rsidRPr="003D2914">
        <w:rPr>
          <w:rFonts w:cs="Arial"/>
          <w:rtl/>
        </w:rPr>
        <w:t xml:space="preserve"> ואם מעות מקום הגירושין טובים משל </w:t>
      </w:r>
      <w:r w:rsidRPr="003D2914">
        <w:rPr>
          <w:rFonts w:cs="Arial"/>
          <w:rtl/>
        </w:rPr>
        <w:lastRenderedPageBreak/>
        <w:t xml:space="preserve">מקום הנישואין </w:t>
      </w:r>
      <w:r>
        <w:rPr>
          <w:rFonts w:cs="Arial" w:hint="cs"/>
          <w:rtl/>
        </w:rPr>
        <w:t xml:space="preserve">- </w:t>
      </w:r>
      <w:r w:rsidRPr="003D2914">
        <w:rPr>
          <w:rFonts w:cs="Arial"/>
          <w:rtl/>
        </w:rPr>
        <w:t>נותן לה ממעות מקום הנישואין</w:t>
      </w:r>
      <w:r>
        <w:rPr>
          <w:rFonts w:cs="Arial" w:hint="cs"/>
          <w:rtl/>
        </w:rPr>
        <w:t>.</w:t>
      </w:r>
      <w:r w:rsidRPr="003D2914">
        <w:rPr>
          <w:rFonts w:cs="Arial"/>
          <w:rtl/>
        </w:rPr>
        <w:t xml:space="preserve"> אע</w:t>
      </w:r>
      <w:r w:rsidR="00C64643">
        <w:rPr>
          <w:rFonts w:cs="Arial" w:hint="cs"/>
          <w:rtl/>
        </w:rPr>
        <w:t>"</w:t>
      </w:r>
      <w:r w:rsidRPr="003D2914">
        <w:rPr>
          <w:rFonts w:cs="Arial"/>
          <w:rtl/>
        </w:rPr>
        <w:t>פ שבשאר חוב נותן לעולם ממעות של המקום שנשתעבד בו</w:t>
      </w:r>
      <w:r>
        <w:rPr>
          <w:rFonts w:cs="Arial" w:hint="cs"/>
          <w:rtl/>
        </w:rPr>
        <w:t>,</w:t>
      </w:r>
      <w:r w:rsidRPr="003D2914">
        <w:rPr>
          <w:rFonts w:cs="Arial"/>
          <w:rtl/>
        </w:rPr>
        <w:t xml:space="preserve"> בכתובה הקילו</w:t>
      </w:r>
      <w:r>
        <w:rPr>
          <w:rStyle w:val="a7"/>
          <w:rFonts w:cs="Arial"/>
          <w:rtl/>
        </w:rPr>
        <w:footnoteReference w:id="1947"/>
      </w:r>
      <w:r>
        <w:rPr>
          <w:rFonts w:cs="Arial" w:hint="cs"/>
          <w:sz w:val="16"/>
          <w:szCs w:val="16"/>
          <w:rtl/>
        </w:rPr>
        <w:t xml:space="preserve"> (ל' הטור)</w:t>
      </w:r>
      <w:r>
        <w:rPr>
          <w:rFonts w:cs="Arial" w:hint="cs"/>
          <w:rtl/>
        </w:rPr>
        <w:t>.</w:t>
      </w:r>
      <w:r>
        <w:rPr>
          <w:rFonts w:hint="cs"/>
          <w:rtl/>
        </w:rPr>
        <w:t xml:space="preserve"> </w:t>
      </w:r>
      <w:r w:rsidRPr="00DC5F45">
        <w:rPr>
          <w:rFonts w:hint="cs"/>
          <w:color w:val="E36C0A" w:themeColor="accent6" w:themeShade="BF"/>
          <w:rtl/>
        </w:rPr>
        <w:t>(וכ"פ בשו"ע)</w:t>
      </w:r>
    </w:p>
    <w:p w14:paraId="29A96E5C" w14:textId="77777777" w:rsidR="00392DBB" w:rsidRDefault="00392DBB" w:rsidP="009000E3">
      <w:pPr>
        <w:pStyle w:val="ab"/>
        <w:numPr>
          <w:ilvl w:val="0"/>
          <w:numId w:val="61"/>
        </w:numPr>
      </w:pPr>
      <w:r w:rsidRPr="003D2914">
        <w:rPr>
          <w:rFonts w:cs="Arial"/>
          <w:rtl/>
        </w:rPr>
        <w:t>ר"ת</w:t>
      </w:r>
      <w:r>
        <w:rPr>
          <w:rFonts w:cs="Arial" w:hint="cs"/>
          <w:sz w:val="16"/>
          <w:szCs w:val="16"/>
          <w:rtl/>
        </w:rPr>
        <w:t xml:space="preserve"> </w:t>
      </w:r>
      <w:r w:rsidRPr="00D272FB">
        <w:rPr>
          <w:rFonts w:cs="Arial"/>
          <w:sz w:val="16"/>
          <w:szCs w:val="16"/>
          <w:rtl/>
        </w:rPr>
        <w:t>(</w:t>
      </w:r>
      <w:r>
        <w:rPr>
          <w:rFonts w:cs="Arial" w:hint="cs"/>
          <w:sz w:val="16"/>
          <w:szCs w:val="16"/>
          <w:rtl/>
        </w:rPr>
        <w:t>ב</w:t>
      </w:r>
      <w:r w:rsidRPr="00D272FB">
        <w:rPr>
          <w:rFonts w:cs="Arial"/>
          <w:sz w:val="16"/>
          <w:szCs w:val="16"/>
          <w:rtl/>
        </w:rPr>
        <w:t>תוס' י. ד"ה אמר)</w:t>
      </w:r>
      <w:r>
        <w:rPr>
          <w:rFonts w:cs="Arial" w:hint="cs"/>
          <w:rtl/>
        </w:rPr>
        <w:t xml:space="preserve">- </w:t>
      </w:r>
      <w:r w:rsidRPr="003D2914">
        <w:rPr>
          <w:rFonts w:cs="Arial"/>
          <w:rtl/>
        </w:rPr>
        <w:t>גם כתובה נגבית לעולם לפי המקום שנשתעבד בו</w:t>
      </w:r>
      <w:r>
        <w:rPr>
          <w:rFonts w:cs="Arial" w:hint="cs"/>
          <w:sz w:val="16"/>
          <w:szCs w:val="16"/>
          <w:rtl/>
        </w:rPr>
        <w:t xml:space="preserve"> (ל' הטור בשמו)</w:t>
      </w:r>
      <w:r>
        <w:rPr>
          <w:rFonts w:cs="Arial" w:hint="cs"/>
          <w:rtl/>
        </w:rPr>
        <w:t>.</w:t>
      </w:r>
    </w:p>
    <w:p w14:paraId="63FB869A" w14:textId="77777777" w:rsidR="00392DBB" w:rsidRDefault="00392DBB" w:rsidP="009000E3">
      <w:pPr>
        <w:pStyle w:val="ab"/>
        <w:numPr>
          <w:ilvl w:val="0"/>
          <w:numId w:val="61"/>
        </w:numPr>
      </w:pPr>
      <w:r>
        <w:rPr>
          <w:rFonts w:cs="Arial" w:hint="cs"/>
          <w:rtl/>
        </w:rPr>
        <w:t xml:space="preserve">ראב"ד </w:t>
      </w:r>
      <w:r>
        <w:rPr>
          <w:rFonts w:cs="Arial" w:hint="cs"/>
          <w:sz w:val="16"/>
          <w:szCs w:val="16"/>
          <w:rtl/>
        </w:rPr>
        <w:t>(בהשגות פט"ז ה"ו)</w:t>
      </w:r>
      <w:r>
        <w:rPr>
          <w:rFonts w:cs="Arial" w:hint="cs"/>
          <w:rtl/>
        </w:rPr>
        <w:t xml:space="preserve">- </w:t>
      </w:r>
      <w:r w:rsidRPr="00823CA2">
        <w:rPr>
          <w:rFonts w:cs="Arial"/>
          <w:rtl/>
        </w:rPr>
        <w:t>מקולי כתובה שתטול האשה מן הפחות שבמטבעות</w:t>
      </w:r>
      <w:r>
        <w:rPr>
          <w:rFonts w:cs="Arial" w:hint="cs"/>
          <w:rtl/>
        </w:rPr>
        <w:t>,</w:t>
      </w:r>
      <w:r w:rsidRPr="00823CA2">
        <w:rPr>
          <w:rFonts w:cs="Arial"/>
          <w:rtl/>
        </w:rPr>
        <w:t xml:space="preserve"> והוא שכתב לה ממטבע היוצא</w:t>
      </w:r>
      <w:r>
        <w:rPr>
          <w:rFonts w:cs="Arial" w:hint="cs"/>
          <w:rtl/>
        </w:rPr>
        <w:t>.</w:t>
      </w:r>
      <w:r w:rsidRPr="00823CA2">
        <w:rPr>
          <w:rFonts w:cs="Arial"/>
          <w:rtl/>
        </w:rPr>
        <w:t xml:space="preserve"> אבל אם כתב לה </w:t>
      </w:r>
      <w:r>
        <w:rPr>
          <w:rFonts w:cs="Arial" w:hint="cs"/>
          <w:rtl/>
        </w:rPr>
        <w:t>'</w:t>
      </w:r>
      <w:r w:rsidRPr="00823CA2">
        <w:rPr>
          <w:rFonts w:cs="Arial"/>
          <w:rtl/>
        </w:rPr>
        <w:t>מאתים דינרים</w:t>
      </w:r>
      <w:r>
        <w:rPr>
          <w:rFonts w:cs="Arial" w:hint="cs"/>
          <w:rtl/>
        </w:rPr>
        <w:t>'</w:t>
      </w:r>
      <w:r w:rsidRPr="00823CA2">
        <w:rPr>
          <w:rFonts w:cs="Arial"/>
          <w:rtl/>
        </w:rPr>
        <w:t xml:space="preserve"> סתם</w:t>
      </w:r>
      <w:r>
        <w:rPr>
          <w:rFonts w:cs="Arial" w:hint="cs"/>
          <w:rtl/>
        </w:rPr>
        <w:t>,</w:t>
      </w:r>
      <w:r w:rsidRPr="00823CA2">
        <w:rPr>
          <w:rFonts w:cs="Arial"/>
          <w:rtl/>
        </w:rPr>
        <w:t xml:space="preserve"> הדבר ידוע שהוא אחד משמנה בכסף צורי</w:t>
      </w:r>
      <w:r>
        <w:rPr>
          <w:rStyle w:val="a7"/>
          <w:rFonts w:cs="Arial"/>
          <w:rtl/>
        </w:rPr>
        <w:footnoteReference w:id="1948"/>
      </w:r>
      <w:r w:rsidRPr="00823CA2">
        <w:rPr>
          <w:rFonts w:cs="Arial"/>
          <w:rtl/>
        </w:rPr>
        <w:t>.</w:t>
      </w:r>
    </w:p>
    <w:p w14:paraId="4367B137" w14:textId="77777777" w:rsidR="00392DBB" w:rsidRPr="00D272FB" w:rsidRDefault="00392DBB" w:rsidP="00392DBB">
      <w:pPr>
        <w:ind w:left="360"/>
        <w:rPr>
          <w:u w:val="dotted"/>
        </w:rPr>
      </w:pPr>
      <w:r w:rsidRPr="00D272FB">
        <w:rPr>
          <w:rFonts w:hint="cs"/>
          <w:u w:val="dotted"/>
          <w:rtl/>
        </w:rPr>
        <w:t xml:space="preserve">ומה הדין </w:t>
      </w:r>
      <w:r>
        <w:rPr>
          <w:rFonts w:hint="cs"/>
          <w:u w:val="dotted"/>
          <w:rtl/>
        </w:rPr>
        <w:t xml:space="preserve">אם </w:t>
      </w:r>
      <w:r w:rsidRPr="00D272FB">
        <w:rPr>
          <w:rFonts w:hint="cs"/>
          <w:u w:val="dotted"/>
          <w:rtl/>
        </w:rPr>
        <w:t>פירש בכתובה מטבע מסויים:</w:t>
      </w:r>
    </w:p>
    <w:p w14:paraId="7C065AB3" w14:textId="77777777" w:rsidR="00392DBB" w:rsidRPr="00322A5C" w:rsidRDefault="00392DBB" w:rsidP="009000E3">
      <w:pPr>
        <w:pStyle w:val="ab"/>
        <w:numPr>
          <w:ilvl w:val="0"/>
          <w:numId w:val="61"/>
        </w:numPr>
      </w:pPr>
      <w:r>
        <w:rPr>
          <w:rFonts w:cs="Arial" w:hint="cs"/>
          <w:rtl/>
        </w:rPr>
        <w:t xml:space="preserve">גאונים </w:t>
      </w:r>
      <w:r>
        <w:rPr>
          <w:rFonts w:cs="Arial" w:hint="cs"/>
          <w:sz w:val="16"/>
          <w:szCs w:val="16"/>
          <w:rtl/>
        </w:rPr>
        <w:t>(בתשו', כ"כ הב"י בשמם)</w:t>
      </w:r>
      <w:r>
        <w:rPr>
          <w:rFonts w:cs="Arial" w:hint="cs"/>
          <w:rtl/>
        </w:rPr>
        <w:t xml:space="preserve"> </w:t>
      </w:r>
      <w:r w:rsidRPr="003D2914">
        <w:rPr>
          <w:rFonts w:cs="Arial"/>
          <w:rtl/>
        </w:rPr>
        <w:t>רמב"ם</w:t>
      </w:r>
      <w:r>
        <w:rPr>
          <w:rFonts w:cs="Arial" w:hint="cs"/>
          <w:rtl/>
        </w:rPr>
        <w:t xml:space="preserve"> </w:t>
      </w:r>
      <w:r>
        <w:rPr>
          <w:rFonts w:cs="Arial" w:hint="cs"/>
          <w:sz w:val="16"/>
          <w:szCs w:val="16"/>
          <w:rtl/>
        </w:rPr>
        <w:t>(פט"ז מאישות ה"ו)</w:t>
      </w:r>
      <w:r>
        <w:rPr>
          <w:rFonts w:cs="Arial" w:hint="cs"/>
          <w:rtl/>
        </w:rPr>
        <w:t xml:space="preserve"> וטור-</w:t>
      </w:r>
      <w:r w:rsidRPr="003D2914">
        <w:rPr>
          <w:rFonts w:cs="Arial"/>
          <w:rtl/>
        </w:rPr>
        <w:t xml:space="preserve"> ב</w:t>
      </w:r>
      <w:r>
        <w:rPr>
          <w:rFonts w:cs="Arial" w:hint="cs"/>
          <w:rtl/>
        </w:rPr>
        <w:t>מה דברים אמורים,</w:t>
      </w:r>
      <w:r w:rsidRPr="003D2914">
        <w:rPr>
          <w:rFonts w:cs="Arial"/>
          <w:rtl/>
        </w:rPr>
        <w:t xml:space="preserve"> כשהיה בכתובתה מעות סתם</w:t>
      </w:r>
      <w:r>
        <w:rPr>
          <w:rFonts w:cs="Arial" w:hint="cs"/>
          <w:rtl/>
        </w:rPr>
        <w:t>.</w:t>
      </w:r>
      <w:r w:rsidRPr="003D2914">
        <w:rPr>
          <w:rFonts w:cs="Arial"/>
          <w:rtl/>
        </w:rPr>
        <w:t xml:space="preserve"> אבל אם פי' בה מטבע ידוע</w:t>
      </w:r>
      <w:r>
        <w:rPr>
          <w:rFonts w:cs="Arial" w:hint="cs"/>
          <w:rtl/>
        </w:rPr>
        <w:t>,</w:t>
      </w:r>
      <w:r w:rsidRPr="003D2914">
        <w:rPr>
          <w:rFonts w:cs="Arial"/>
          <w:rtl/>
        </w:rPr>
        <w:t xml:space="preserve"> בין עיקר בין בתוספת </w:t>
      </w:r>
      <w:r>
        <w:rPr>
          <w:rFonts w:cs="Arial" w:hint="cs"/>
          <w:rtl/>
        </w:rPr>
        <w:t xml:space="preserve">- </w:t>
      </w:r>
      <w:r w:rsidRPr="003D2914">
        <w:rPr>
          <w:rFonts w:cs="Arial"/>
          <w:rtl/>
        </w:rPr>
        <w:t>הרי הוא כדין המלוה לחבירו מטבע ידוע שפירש לו מה שהלוה</w:t>
      </w:r>
      <w:r>
        <w:rPr>
          <w:rFonts w:cs="Arial" w:hint="cs"/>
          <w:rtl/>
        </w:rPr>
        <w:t>.</w:t>
      </w:r>
      <w:r w:rsidRPr="003D2914">
        <w:rPr>
          <w:rFonts w:cs="Arial"/>
          <w:rtl/>
        </w:rPr>
        <w:t xml:space="preserve"> </w:t>
      </w:r>
      <w:r w:rsidRPr="00DC5F45">
        <w:rPr>
          <w:rFonts w:hint="cs"/>
          <w:color w:val="E36C0A" w:themeColor="accent6" w:themeShade="BF"/>
          <w:rtl/>
        </w:rPr>
        <w:t>(וכ"פ בשו"ע)</w:t>
      </w:r>
    </w:p>
    <w:p w14:paraId="1AD28F6C" w14:textId="77777777" w:rsidR="00392DBB" w:rsidRPr="00322A5C" w:rsidRDefault="00392DBB" w:rsidP="00392DBB">
      <w:pPr>
        <w:rPr>
          <w:u w:val="single"/>
        </w:rPr>
      </w:pPr>
      <w:r w:rsidRPr="00322A5C">
        <w:rPr>
          <w:rFonts w:hint="cs"/>
          <w:u w:val="single"/>
          <w:rtl/>
        </w:rPr>
        <w:t>האם התוספת שליש שנהגו בחלק מהמקומות היא התוספת המוזכרת בגמרא:</w:t>
      </w:r>
    </w:p>
    <w:p w14:paraId="1AD4E898" w14:textId="77777777" w:rsidR="00392DBB" w:rsidRPr="00322A5C" w:rsidRDefault="00392DBB" w:rsidP="009000E3">
      <w:pPr>
        <w:pStyle w:val="ab"/>
        <w:numPr>
          <w:ilvl w:val="0"/>
          <w:numId w:val="61"/>
        </w:numPr>
      </w:pPr>
      <w:r w:rsidRPr="00322A5C">
        <w:rPr>
          <w:rFonts w:cs="Arial" w:hint="cs"/>
          <w:rtl/>
        </w:rPr>
        <w:t xml:space="preserve">מהרי"ק </w:t>
      </w:r>
      <w:r w:rsidRPr="00322A5C">
        <w:rPr>
          <w:rFonts w:cs="Arial" w:hint="cs"/>
          <w:sz w:val="16"/>
          <w:szCs w:val="16"/>
          <w:rtl/>
        </w:rPr>
        <w:t>(</w:t>
      </w:r>
      <w:r w:rsidRPr="00322A5C">
        <w:rPr>
          <w:rFonts w:cs="Arial"/>
          <w:sz w:val="16"/>
          <w:szCs w:val="16"/>
          <w:rtl/>
        </w:rPr>
        <w:t>שורש פא ענף א מד ע"ב)</w:t>
      </w:r>
      <w:r w:rsidRPr="00322A5C">
        <w:rPr>
          <w:rFonts w:cs="Arial" w:hint="cs"/>
          <w:rtl/>
        </w:rPr>
        <w:t>-</w:t>
      </w:r>
      <w:r w:rsidRPr="00322A5C">
        <w:rPr>
          <w:rFonts w:cs="Arial"/>
          <w:rtl/>
        </w:rPr>
        <w:t xml:space="preserve"> תוספת שליש הנהוג בינינו אינו התוספת הנזכר בכל מקום בתלמוד</w:t>
      </w:r>
      <w:r>
        <w:rPr>
          <w:rFonts w:cs="Arial" w:hint="cs"/>
          <w:rtl/>
        </w:rPr>
        <w:t>,</w:t>
      </w:r>
      <w:r w:rsidRPr="00322A5C">
        <w:rPr>
          <w:rFonts w:cs="Arial"/>
          <w:rtl/>
        </w:rPr>
        <w:t xml:space="preserve"> אלא היא מעיקר הדין</w:t>
      </w:r>
      <w:r w:rsidRPr="00322A5C">
        <w:rPr>
          <w:rFonts w:cs="Arial" w:hint="cs"/>
          <w:rtl/>
        </w:rPr>
        <w:t>.</w:t>
      </w:r>
      <w:r w:rsidRPr="00322A5C">
        <w:rPr>
          <w:rFonts w:cs="Arial"/>
          <w:rtl/>
        </w:rPr>
        <w:t xml:space="preserve"> ומנהג אבותינו שהנהיגו אותה בכל גלילותינו תורה היא</w:t>
      </w:r>
      <w:r w:rsidRPr="00322A5C">
        <w:rPr>
          <w:rFonts w:cs="Arial" w:hint="cs"/>
          <w:rtl/>
        </w:rPr>
        <w:t>,</w:t>
      </w:r>
      <w:r w:rsidRPr="00322A5C">
        <w:rPr>
          <w:rFonts w:cs="Arial"/>
          <w:rtl/>
        </w:rPr>
        <w:t xml:space="preserve"> ועל פי התלמוד</w:t>
      </w:r>
      <w:r w:rsidRPr="00322A5C">
        <w:rPr>
          <w:rFonts w:cs="Arial" w:hint="cs"/>
          <w:rtl/>
        </w:rPr>
        <w:t>,</w:t>
      </w:r>
      <w:r w:rsidRPr="00322A5C">
        <w:rPr>
          <w:rFonts w:cs="Arial"/>
          <w:rtl/>
        </w:rPr>
        <w:t xml:space="preserve"> ויש לה דין נכסי צאן ברזל שהיא הנדוניא</w:t>
      </w:r>
      <w:r>
        <w:rPr>
          <w:rStyle w:val="a7"/>
          <w:rFonts w:cs="Arial"/>
          <w:rtl/>
        </w:rPr>
        <w:footnoteReference w:id="1949"/>
      </w:r>
      <w:r w:rsidRPr="00322A5C">
        <w:rPr>
          <w:rFonts w:cs="Arial"/>
          <w:rtl/>
        </w:rPr>
        <w:t xml:space="preserve">. </w:t>
      </w:r>
      <w:r w:rsidRPr="00BB642E">
        <w:rPr>
          <w:rFonts w:hint="cs"/>
          <w:color w:val="00B0F0"/>
          <w:rtl/>
        </w:rPr>
        <w:t>(וכ"פ הרמ"א)</w:t>
      </w:r>
    </w:p>
    <w:p w14:paraId="74EBD832" w14:textId="77777777" w:rsidR="00392DBB" w:rsidRPr="00A36DB5" w:rsidRDefault="00392DBB" w:rsidP="00392DBB">
      <w:pPr>
        <w:rPr>
          <w:u w:val="single"/>
        </w:rPr>
      </w:pPr>
      <w:r w:rsidRPr="00A36DB5">
        <w:rPr>
          <w:rFonts w:cs="Arial"/>
          <w:u w:val="single"/>
          <w:rtl/>
        </w:rPr>
        <w:t>נשא אשה בקפוטקיא</w:t>
      </w:r>
      <w:r w:rsidRPr="00A36DB5">
        <w:rPr>
          <w:rFonts w:cs="Arial" w:hint="cs"/>
          <w:u w:val="single"/>
          <w:rtl/>
        </w:rPr>
        <w:t>,</w:t>
      </w:r>
      <w:r w:rsidRPr="00A36DB5">
        <w:rPr>
          <w:rFonts w:cs="Arial"/>
          <w:u w:val="single"/>
          <w:rtl/>
        </w:rPr>
        <w:t xml:space="preserve"> והלך לארץ ישראל</w:t>
      </w:r>
      <w:r w:rsidRPr="00A36DB5">
        <w:rPr>
          <w:rFonts w:cs="Arial" w:hint="cs"/>
          <w:u w:val="single"/>
          <w:rtl/>
        </w:rPr>
        <w:t>,</w:t>
      </w:r>
      <w:r w:rsidRPr="00A36DB5">
        <w:rPr>
          <w:rFonts w:cs="Arial"/>
          <w:u w:val="single"/>
          <w:rtl/>
        </w:rPr>
        <w:t xml:space="preserve"> ואח</w:t>
      </w:r>
      <w:r w:rsidRPr="00A36DB5">
        <w:rPr>
          <w:rFonts w:cs="Arial" w:hint="cs"/>
          <w:u w:val="single"/>
          <w:rtl/>
        </w:rPr>
        <w:t>"</w:t>
      </w:r>
      <w:r w:rsidRPr="00A36DB5">
        <w:rPr>
          <w:rFonts w:cs="Arial"/>
          <w:u w:val="single"/>
          <w:rtl/>
        </w:rPr>
        <w:t>כ מרדה בו ותובעת גט בקפוטקיא</w:t>
      </w:r>
      <w:r w:rsidRPr="00A36DB5">
        <w:rPr>
          <w:rFonts w:cs="Arial" w:hint="cs"/>
          <w:u w:val="single"/>
          <w:rtl/>
        </w:rPr>
        <w:t xml:space="preserve"> -</w:t>
      </w:r>
      <w:r>
        <w:rPr>
          <w:rFonts w:cs="Arial" w:hint="cs"/>
          <w:u w:val="single"/>
          <w:rtl/>
        </w:rPr>
        <w:t xml:space="preserve"> </w:t>
      </w:r>
      <w:r w:rsidRPr="00A36DB5">
        <w:rPr>
          <w:rFonts w:cs="Arial" w:hint="cs"/>
          <w:u w:val="single"/>
          <w:rtl/>
        </w:rPr>
        <w:t>מאלו מעות נותן לה כתובתה:</w:t>
      </w:r>
    </w:p>
    <w:p w14:paraId="16D1F339" w14:textId="13AA20E1" w:rsidR="00392DBB" w:rsidRPr="00F02E86" w:rsidRDefault="00392DBB" w:rsidP="009000E3">
      <w:pPr>
        <w:pStyle w:val="ab"/>
        <w:numPr>
          <w:ilvl w:val="0"/>
          <w:numId w:val="61"/>
        </w:numPr>
        <w:rPr>
          <w:rtl/>
        </w:rPr>
      </w:pPr>
      <w:r w:rsidRPr="00322A5C">
        <w:rPr>
          <w:rFonts w:cs="Arial"/>
          <w:rtl/>
        </w:rPr>
        <w:t>רשב"א</w:t>
      </w:r>
      <w:r>
        <w:rPr>
          <w:rFonts w:cs="Arial" w:hint="cs"/>
          <w:sz w:val="16"/>
          <w:szCs w:val="16"/>
          <w:rtl/>
        </w:rPr>
        <w:t xml:space="preserve"> (</w:t>
      </w:r>
      <w:r w:rsidRPr="00A94120">
        <w:rPr>
          <w:rFonts w:cs="Arial"/>
          <w:sz w:val="16"/>
          <w:szCs w:val="16"/>
          <w:rtl/>
        </w:rPr>
        <w:t>החדשות מכ</w:t>
      </w:r>
      <w:r>
        <w:rPr>
          <w:rFonts w:cs="Arial" w:hint="cs"/>
          <w:sz w:val="16"/>
          <w:szCs w:val="16"/>
          <w:rtl/>
        </w:rPr>
        <w:t>ת"</w:t>
      </w:r>
      <w:r w:rsidRPr="00A94120">
        <w:rPr>
          <w:rFonts w:cs="Arial"/>
          <w:sz w:val="16"/>
          <w:szCs w:val="16"/>
          <w:rtl/>
        </w:rPr>
        <w:t>י סי</w:t>
      </w:r>
      <w:r>
        <w:rPr>
          <w:rFonts w:cs="Arial" w:hint="cs"/>
          <w:sz w:val="16"/>
          <w:szCs w:val="16"/>
          <w:rtl/>
        </w:rPr>
        <w:t>'</w:t>
      </w:r>
      <w:r w:rsidRPr="00A94120">
        <w:rPr>
          <w:rFonts w:cs="Arial"/>
          <w:sz w:val="16"/>
          <w:szCs w:val="16"/>
          <w:rtl/>
        </w:rPr>
        <w:t xml:space="preserve"> קצו</w:t>
      </w:r>
      <w:r>
        <w:rPr>
          <w:rFonts w:cs="Arial" w:hint="cs"/>
          <w:sz w:val="16"/>
          <w:szCs w:val="16"/>
          <w:rtl/>
        </w:rPr>
        <w:t>,</w:t>
      </w:r>
      <w:r w:rsidRPr="00A94120">
        <w:rPr>
          <w:rFonts w:cs="Arial" w:hint="cs"/>
          <w:sz w:val="16"/>
          <w:szCs w:val="16"/>
          <w:rtl/>
        </w:rPr>
        <w:t xml:space="preserve"> </w:t>
      </w:r>
      <w:r>
        <w:rPr>
          <w:rFonts w:cs="Arial" w:hint="cs"/>
          <w:sz w:val="16"/>
          <w:szCs w:val="16"/>
          <w:rtl/>
        </w:rPr>
        <w:t>כ"כ הב"י בשמו)</w:t>
      </w:r>
      <w:r>
        <w:rPr>
          <w:rFonts w:cs="Arial" w:hint="cs"/>
          <w:rtl/>
        </w:rPr>
        <w:t>-</w:t>
      </w:r>
      <w:r w:rsidRPr="00322A5C">
        <w:rPr>
          <w:rFonts w:cs="Arial"/>
          <w:rtl/>
        </w:rPr>
        <w:t xml:space="preserve"> שאלת</w:t>
      </w:r>
      <w:r>
        <w:rPr>
          <w:rFonts w:cs="Arial" w:hint="cs"/>
          <w:rtl/>
        </w:rPr>
        <w:t>,</w:t>
      </w:r>
      <w:r w:rsidRPr="00322A5C">
        <w:rPr>
          <w:rFonts w:cs="Arial"/>
          <w:rtl/>
        </w:rPr>
        <w:t xml:space="preserve"> נשא אשה בקפוטקיא</w:t>
      </w:r>
      <w:r>
        <w:rPr>
          <w:rFonts w:cs="Arial" w:hint="cs"/>
          <w:rtl/>
        </w:rPr>
        <w:t>,</w:t>
      </w:r>
      <w:r w:rsidRPr="00322A5C">
        <w:rPr>
          <w:rFonts w:cs="Arial"/>
          <w:rtl/>
        </w:rPr>
        <w:t xml:space="preserve"> והלך לארץ ישראל</w:t>
      </w:r>
      <w:r>
        <w:rPr>
          <w:rFonts w:cs="Arial" w:hint="cs"/>
          <w:rtl/>
        </w:rPr>
        <w:t>.</w:t>
      </w:r>
      <w:r w:rsidRPr="00322A5C">
        <w:rPr>
          <w:rFonts w:cs="Arial"/>
          <w:rtl/>
        </w:rPr>
        <w:t xml:space="preserve"> ואחר כך מרדה בו ותובעת גט בקפוטקיא מהו.</w:t>
      </w:r>
      <w:r>
        <w:rPr>
          <w:rFonts w:cs="Arial" w:hint="cs"/>
          <w:rtl/>
        </w:rPr>
        <w:t xml:space="preserve">   </w:t>
      </w:r>
      <w:r w:rsidR="00FE210D">
        <w:rPr>
          <w:rFonts w:cs="Arial"/>
          <w:rtl/>
        </w:rPr>
        <w:t xml:space="preserve">  תשובה:</w:t>
      </w:r>
      <w:r w:rsidRPr="00322A5C">
        <w:rPr>
          <w:rFonts w:cs="Arial"/>
          <w:rtl/>
        </w:rPr>
        <w:t xml:space="preserve"> לא אמרו גירשה בארץ ישראל נותן לה ממעות ארץ ישראל אלא כשהיא שם עמו וגירשה שם</w:t>
      </w:r>
      <w:r>
        <w:rPr>
          <w:rFonts w:cs="Arial" w:hint="cs"/>
          <w:rtl/>
        </w:rPr>
        <w:t>,</w:t>
      </w:r>
      <w:r w:rsidRPr="00322A5C">
        <w:rPr>
          <w:rFonts w:cs="Arial"/>
          <w:rtl/>
        </w:rPr>
        <w:t xml:space="preserve"> אבל כאן שהיא עדיין בקפוטקיא וכאן היא גובה כתובתה נמצא מקום השעבוד ומקום הגוביינא אחד </w:t>
      </w:r>
      <w:r>
        <w:rPr>
          <w:rFonts w:cs="Arial" w:hint="cs"/>
          <w:rtl/>
        </w:rPr>
        <w:t xml:space="preserve">- </w:t>
      </w:r>
      <w:r w:rsidRPr="00322A5C">
        <w:rPr>
          <w:rFonts w:cs="Arial"/>
          <w:rtl/>
        </w:rPr>
        <w:t>והרי היא גובה ממעות קפוטקיא</w:t>
      </w:r>
      <w:r>
        <w:rPr>
          <w:rStyle w:val="a7"/>
          <w:rFonts w:cs="Arial"/>
          <w:rtl/>
        </w:rPr>
        <w:footnoteReference w:id="1950"/>
      </w:r>
      <w:r>
        <w:rPr>
          <w:rFonts w:cs="Arial" w:hint="cs"/>
          <w:rtl/>
        </w:rPr>
        <w:t>.</w:t>
      </w:r>
      <w:r>
        <w:rPr>
          <w:rFonts w:hint="cs"/>
          <w:rtl/>
        </w:rPr>
        <w:t xml:space="preserve"> </w:t>
      </w:r>
      <w:r w:rsidRPr="00BB642E">
        <w:rPr>
          <w:rFonts w:hint="cs"/>
          <w:color w:val="00B0F0"/>
          <w:rtl/>
        </w:rPr>
        <w:t>(וכ"פ הרמ"א)</w:t>
      </w:r>
    </w:p>
    <w:p w14:paraId="0F6C8B55"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229E324" w14:textId="0D00F150" w:rsidR="00392DBB" w:rsidRDefault="00392DBB" w:rsidP="00392DBB">
      <w:pPr>
        <w:rPr>
          <w:rtl/>
        </w:rPr>
      </w:pPr>
      <w:r>
        <w:rPr>
          <w:rFonts w:cs="Arial"/>
          <w:rtl/>
        </w:rPr>
        <w:t xml:space="preserve">אם כתב בכתובתה, בעיקר כתובה ותוספת, מעות סתם, אינה גובה אלא בפחות שבמטבעות. כיצד, נשא אשה במקום אחד וגירשה במקום אחר, </w:t>
      </w:r>
      <w:r>
        <w:rPr>
          <w:rFonts w:cs="Arial" w:hint="cs"/>
          <w:sz w:val="18"/>
          <w:szCs w:val="18"/>
          <w:rtl/>
        </w:rPr>
        <w:t xml:space="preserve">[הגה] </w:t>
      </w:r>
      <w:r w:rsidRPr="00AB0CBA">
        <w:rPr>
          <w:rFonts w:cs="Arial"/>
          <w:sz w:val="18"/>
          <w:szCs w:val="18"/>
          <w:rtl/>
        </w:rPr>
        <w:t>והאשה שם עמו, אבל שלח לה גט למקום הנשואין</w:t>
      </w:r>
      <w:r>
        <w:rPr>
          <w:rStyle w:val="a7"/>
          <w:rFonts w:cs="Arial"/>
          <w:sz w:val="18"/>
          <w:szCs w:val="18"/>
          <w:rtl/>
        </w:rPr>
        <w:footnoteReference w:id="1951"/>
      </w:r>
      <w:r w:rsidRPr="00AB0CBA">
        <w:rPr>
          <w:rFonts w:cs="Arial"/>
          <w:sz w:val="18"/>
          <w:szCs w:val="18"/>
          <w:rtl/>
        </w:rPr>
        <w:t>, הולכין אחר מקום הנשואין (רשב"א)</w:t>
      </w:r>
      <w:r>
        <w:rPr>
          <w:rFonts w:cs="Arial"/>
          <w:rtl/>
        </w:rPr>
        <w:t>, אם היה מעות מקום הנשואין טובים ממעות מקום הגירושין, נותן לה ממעות מקום הגירושין. ואם היו מעות מקום הגירושין טובים ממעות מקום הנשואין, נותן לה ממעות מקום הנשואין</w:t>
      </w:r>
      <w:r>
        <w:rPr>
          <w:rFonts w:cs="Arial" w:hint="cs"/>
          <w:rtl/>
        </w:rPr>
        <w:t>.</w:t>
      </w:r>
      <w:r>
        <w:rPr>
          <w:rFonts w:cs="Arial"/>
          <w:rtl/>
        </w:rPr>
        <w:t xml:space="preserve"> ודוקא </w:t>
      </w:r>
      <w:r>
        <w:rPr>
          <w:rFonts w:cs="Arial" w:hint="cs"/>
          <w:rtl/>
        </w:rPr>
        <w:t xml:space="preserve">[כשיש] </w:t>
      </w:r>
      <w:r>
        <w:rPr>
          <w:rFonts w:cs="Arial"/>
          <w:rtl/>
        </w:rPr>
        <w:t xml:space="preserve">בשווי המטבע שהוא מגבה לה מאתים ומנה, אבל לפחות מכאן אי אפשר. ואם פירש בכתובתה מטבע ידוע, בין בעיקר בין בתוספת, גובה ממנו כמו שכתוב בכתובה. </w:t>
      </w:r>
      <w:r w:rsidRPr="00AB0CBA">
        <w:rPr>
          <w:rFonts w:cs="Arial"/>
          <w:sz w:val="18"/>
          <w:szCs w:val="18"/>
          <w:rtl/>
        </w:rPr>
        <w:t>הגה: ונכסי צאן ברזל הולכין תמיד אחר מקום שנשתעבד שם, כמו בחוב דעלמא (רשב"א</w:t>
      </w:r>
      <w:r w:rsidR="0012006C">
        <w:rPr>
          <w:rFonts w:cs="Arial" w:hint="cs"/>
          <w:sz w:val="18"/>
          <w:szCs w:val="18"/>
          <w:rtl/>
        </w:rPr>
        <w:t xml:space="preserve"> והה"מ</w:t>
      </w:r>
      <w:r w:rsidRPr="00AB0CBA">
        <w:rPr>
          <w:rFonts w:cs="Arial"/>
          <w:sz w:val="18"/>
          <w:szCs w:val="18"/>
          <w:rtl/>
        </w:rPr>
        <w:t>). ובמקום שמוסיפים שליש על מה שנותנת לו, כמו שנתבאר לעיל סי' ס"ו, יש לו דין צאן ברזל ולא דין תוספת (מהרי"ק).</w:t>
      </w:r>
      <w:r>
        <w:rPr>
          <w:rFonts w:cs="Arial"/>
          <w:rtl/>
        </w:rPr>
        <w:t xml:space="preserve"> </w:t>
      </w:r>
    </w:p>
    <w:p w14:paraId="2BFBBCD0" w14:textId="77777777" w:rsidR="00392DBB" w:rsidRDefault="00392DBB" w:rsidP="00392DBB">
      <w:pPr>
        <w:rPr>
          <w:rtl/>
        </w:rPr>
      </w:pPr>
    </w:p>
    <w:p w14:paraId="73873E24" w14:textId="77777777" w:rsidR="00392DBB" w:rsidRDefault="00392DBB" w:rsidP="000F64D0">
      <w:pPr>
        <w:pStyle w:val="2"/>
        <w:rPr>
          <w:rtl/>
        </w:rPr>
      </w:pPr>
      <w:r>
        <w:rPr>
          <w:rtl/>
        </w:rPr>
        <w:lastRenderedPageBreak/>
        <w:t>סעיף ו</w:t>
      </w:r>
      <w:r>
        <w:rPr>
          <w:rFonts w:hint="cs"/>
          <w:rtl/>
        </w:rPr>
        <w:t>: אלמנה שאין לה שטר כתובה.</w:t>
      </w:r>
    </w:p>
    <w:p w14:paraId="2667EF54" w14:textId="67C10233" w:rsidR="00392DBB" w:rsidRPr="0022386C" w:rsidRDefault="00392DBB" w:rsidP="00392DBB">
      <w:pPr>
        <w:rPr>
          <w:rtl/>
        </w:rPr>
      </w:pPr>
      <w:r w:rsidRPr="0022386C">
        <w:rPr>
          <w:rFonts w:cs="Arial" w:hint="cs"/>
          <w:b/>
          <w:bCs/>
          <w:rtl/>
        </w:rPr>
        <w:t xml:space="preserve">כתובות </w:t>
      </w:r>
      <w:r w:rsidRPr="0022386C">
        <w:rPr>
          <w:rFonts w:cs="Arial" w:hint="cs"/>
          <w:b/>
          <w:bCs/>
          <w:sz w:val="16"/>
          <w:szCs w:val="16"/>
          <w:rtl/>
        </w:rPr>
        <w:t>(פ' הכותב</w:t>
      </w:r>
      <w:r>
        <w:rPr>
          <w:rFonts w:cs="Arial" w:hint="cs"/>
          <w:b/>
          <w:bCs/>
          <w:sz w:val="16"/>
          <w:szCs w:val="16"/>
          <w:rtl/>
        </w:rPr>
        <w:t>)</w:t>
      </w:r>
      <w:r w:rsidRPr="0022386C">
        <w:rPr>
          <w:rFonts w:cs="Arial" w:hint="cs"/>
          <w:b/>
          <w:bCs/>
          <w:rtl/>
        </w:rPr>
        <w:t xml:space="preserve"> פח</w:t>
      </w:r>
      <w:r w:rsidR="00D27616">
        <w:rPr>
          <w:rStyle w:val="a7"/>
          <w:rFonts w:cs="Arial"/>
          <w:b/>
          <w:bCs/>
          <w:rtl/>
        </w:rPr>
        <w:footnoteReference w:id="1952"/>
      </w:r>
      <w:r w:rsidRPr="0022386C">
        <w:rPr>
          <w:rFonts w:cs="Arial" w:hint="cs"/>
          <w:b/>
          <w:bCs/>
          <w:rtl/>
        </w:rPr>
        <w:t xml:space="preserve"> ע"ב: </w:t>
      </w:r>
      <w:r w:rsidRPr="0022386C">
        <w:rPr>
          <w:rFonts w:cs="Arial"/>
          <w:u w:val="double"/>
          <w:rtl/>
        </w:rPr>
        <w:t>מתני'</w:t>
      </w:r>
      <w:r>
        <w:rPr>
          <w:rFonts w:cs="Arial" w:hint="cs"/>
          <w:rtl/>
        </w:rPr>
        <w:t>:</w:t>
      </w:r>
      <w:r w:rsidRPr="0022386C">
        <w:rPr>
          <w:rFonts w:cs="Arial"/>
          <w:rtl/>
        </w:rPr>
        <w:t xml:space="preserve"> הוציאה גט ואין עמו כתובה</w:t>
      </w:r>
      <w:r>
        <w:rPr>
          <w:rFonts w:cs="Arial" w:hint="cs"/>
          <w:sz w:val="14"/>
          <w:szCs w:val="14"/>
          <w:rtl/>
        </w:rPr>
        <w:t xml:space="preserve"> (פט.) </w:t>
      </w:r>
      <w:r w:rsidRPr="0022386C">
        <w:rPr>
          <w:rFonts w:cs="Arial"/>
          <w:rtl/>
        </w:rPr>
        <w:t>-</w:t>
      </w:r>
      <w:r w:rsidRPr="0022386C">
        <w:rPr>
          <w:rtl/>
        </w:rPr>
        <w:t xml:space="preserve"> </w:t>
      </w:r>
      <w:r w:rsidRPr="0022386C">
        <w:rPr>
          <w:rFonts w:cs="Arial"/>
          <w:rtl/>
        </w:rPr>
        <w:t>גובה כתובתה</w:t>
      </w:r>
      <w:r>
        <w:rPr>
          <w:rFonts w:cs="Arial" w:hint="cs"/>
          <w:rtl/>
        </w:rPr>
        <w:t>..</w:t>
      </w:r>
      <w:r w:rsidRPr="0022386C">
        <w:rPr>
          <w:rFonts w:cs="Arial"/>
          <w:rtl/>
        </w:rPr>
        <w:t>.</w:t>
      </w:r>
      <w:r>
        <w:rPr>
          <w:rFonts w:hint="cs"/>
          <w:rtl/>
        </w:rPr>
        <w:t xml:space="preserve">     </w:t>
      </w:r>
      <w:r w:rsidRPr="0022386C">
        <w:rPr>
          <w:rFonts w:hint="cs"/>
          <w:u w:val="double"/>
          <w:rtl/>
        </w:rPr>
        <w:t>גמ'</w:t>
      </w:r>
      <w:r>
        <w:rPr>
          <w:rFonts w:hint="cs"/>
          <w:rtl/>
        </w:rPr>
        <w:t>:</w:t>
      </w:r>
      <w:r w:rsidRPr="0022386C">
        <w:rPr>
          <w:rFonts w:cs="Arial"/>
          <w:rtl/>
        </w:rPr>
        <w:t xml:space="preserve"> ש"מ: כותבין שובר, דאי אין כותבין שובר, ליחוש דלמא מפקא לה לכתובתה וגביא בה! </w:t>
      </w:r>
      <w:r w:rsidRPr="00A72F05">
        <w:rPr>
          <w:rFonts w:cs="Arial"/>
          <w:u w:val="single"/>
          <w:rtl/>
        </w:rPr>
        <w:t>אמר רב</w:t>
      </w:r>
      <w:r w:rsidRPr="0022386C">
        <w:rPr>
          <w:rFonts w:cs="Arial"/>
          <w:rtl/>
        </w:rPr>
        <w:t>: במקום שאין כותבין כתובה עסקי'</w:t>
      </w:r>
      <w:r>
        <w:rPr>
          <w:rFonts w:cs="Arial" w:hint="cs"/>
          <w:rtl/>
        </w:rPr>
        <w:t>.</w:t>
      </w:r>
      <w:r w:rsidRPr="0022386C">
        <w:rPr>
          <w:rFonts w:cs="Arial"/>
          <w:rtl/>
        </w:rPr>
        <w:t xml:space="preserve"> </w:t>
      </w:r>
      <w:r w:rsidRPr="00A72F05">
        <w:rPr>
          <w:rFonts w:cs="Arial"/>
          <w:u w:val="single"/>
          <w:rtl/>
        </w:rPr>
        <w:t>ושמואל אמר</w:t>
      </w:r>
      <w:r w:rsidRPr="0022386C">
        <w:rPr>
          <w:rFonts w:cs="Arial"/>
          <w:rtl/>
        </w:rPr>
        <w:t xml:space="preserve">: אף במקום שכותבין כתובה. ולשמואל כותבין שובר? </w:t>
      </w:r>
      <w:r w:rsidRPr="00A72F05">
        <w:rPr>
          <w:rFonts w:cs="Arial"/>
          <w:u w:val="single"/>
          <w:rtl/>
        </w:rPr>
        <w:t>אמר רב ענן</w:t>
      </w:r>
      <w:r>
        <w:rPr>
          <w:rFonts w:cs="Arial" w:hint="cs"/>
          <w:rtl/>
        </w:rPr>
        <w:t>:</w:t>
      </w:r>
      <w:r w:rsidRPr="0022386C">
        <w:rPr>
          <w:rFonts w:cs="Arial"/>
          <w:rtl/>
        </w:rPr>
        <w:t xml:space="preserve"> לדידי מיפרשא לי</w:t>
      </w:r>
      <w:r>
        <w:rPr>
          <w:rStyle w:val="a7"/>
          <w:rFonts w:cs="Arial"/>
          <w:rtl/>
        </w:rPr>
        <w:footnoteReference w:id="1953"/>
      </w:r>
      <w:r w:rsidRPr="0022386C">
        <w:rPr>
          <w:rFonts w:cs="Arial"/>
          <w:rtl/>
        </w:rPr>
        <w:t xml:space="preserve"> מיניה דמר שמואל</w:t>
      </w:r>
      <w:r>
        <w:rPr>
          <w:rFonts w:cs="Arial" w:hint="cs"/>
          <w:rtl/>
        </w:rPr>
        <w:t>,</w:t>
      </w:r>
      <w:r w:rsidRPr="0022386C">
        <w:rPr>
          <w:rFonts w:cs="Arial"/>
          <w:rtl/>
        </w:rPr>
        <w:t xml:space="preserve"> במקום שאין כותבין ואמר כתבתי - עליו להביא ראיה, במקום שכותבין ואמרה לא כתב לי - עליה להביא ראיה. ואף רב הדר ביה</w:t>
      </w:r>
      <w:r>
        <w:rPr>
          <w:rStyle w:val="a7"/>
          <w:rFonts w:cs="Arial"/>
          <w:rtl/>
        </w:rPr>
        <w:footnoteReference w:id="1954"/>
      </w:r>
      <w:r w:rsidRPr="0022386C">
        <w:rPr>
          <w:rFonts w:cs="Arial"/>
          <w:rtl/>
        </w:rPr>
        <w:t xml:space="preserve">, </w:t>
      </w:r>
      <w:r w:rsidRPr="00A72F05">
        <w:rPr>
          <w:rFonts w:cs="Arial"/>
          <w:u w:val="single"/>
          <w:rtl/>
        </w:rPr>
        <w:t>דאמר רב</w:t>
      </w:r>
      <w:r w:rsidRPr="0022386C">
        <w:rPr>
          <w:rFonts w:cs="Arial"/>
          <w:rtl/>
        </w:rPr>
        <w:t>: בין במקום שכותבין, בין במקום שאין כותבין, גט - גובה עיקר, כתובה - גובה תוספת, וכל הרוצה להשיב יבא וישיב.</w:t>
      </w:r>
      <w:r>
        <w:rPr>
          <w:rFonts w:hint="cs"/>
          <w:rtl/>
        </w:rPr>
        <w:t xml:space="preserve"> </w:t>
      </w:r>
      <w:r w:rsidRPr="00195841">
        <w:rPr>
          <w:rFonts w:hint="cs"/>
          <w:sz w:val="16"/>
          <w:szCs w:val="16"/>
          <w:rtl/>
        </w:rPr>
        <w:t>(</w:t>
      </w:r>
      <w:r w:rsidRPr="00195841">
        <w:rPr>
          <w:rFonts w:cs="Arial"/>
          <w:sz w:val="16"/>
          <w:szCs w:val="16"/>
          <w:rtl/>
        </w:rPr>
        <w:t>הוציאה גט אוקמה שמואל במקום שאין כותבין כתובה והלכתא כותיה</w:t>
      </w:r>
      <w:r w:rsidRPr="00195841">
        <w:rPr>
          <w:rFonts w:cs="Arial" w:hint="cs"/>
          <w:sz w:val="16"/>
          <w:szCs w:val="16"/>
          <w:rtl/>
        </w:rPr>
        <w:t>, רי"ף [מח: מדפה"ר])</w:t>
      </w:r>
    </w:p>
    <w:p w14:paraId="7C5533EB" w14:textId="08853219" w:rsidR="00392DBB" w:rsidRPr="00E60DDA" w:rsidRDefault="00392DBB" w:rsidP="00392DBB">
      <w:pPr>
        <w:rPr>
          <w:rtl/>
        </w:rPr>
      </w:pPr>
      <w:r>
        <w:rPr>
          <w:rFonts w:hint="cs"/>
          <w:b/>
          <w:bCs/>
          <w:rtl/>
        </w:rPr>
        <w:t xml:space="preserve">בבא מציעא </w:t>
      </w:r>
      <w:r w:rsidRPr="00E60DDA">
        <w:rPr>
          <w:rFonts w:hint="cs"/>
          <w:b/>
          <w:bCs/>
          <w:sz w:val="16"/>
          <w:szCs w:val="16"/>
          <w:rtl/>
        </w:rPr>
        <w:t xml:space="preserve">(פ"ק) </w:t>
      </w:r>
      <w:r>
        <w:rPr>
          <w:rFonts w:hint="cs"/>
          <w:b/>
          <w:bCs/>
          <w:rtl/>
        </w:rPr>
        <w:t>יז ע"א:</w:t>
      </w:r>
      <w:r>
        <w:rPr>
          <w:rFonts w:hint="cs"/>
          <w:rtl/>
        </w:rPr>
        <w:t xml:space="preserve"> </w:t>
      </w:r>
      <w:r w:rsidRPr="00E60DDA">
        <w:rPr>
          <w:rFonts w:cs="Arial"/>
          <w:u w:val="single"/>
          <w:rtl/>
        </w:rPr>
        <w:t>אמר רבי חייא בר אבא אמר רבי יוחנן</w:t>
      </w:r>
      <w:r w:rsidRPr="00E60DDA">
        <w:rPr>
          <w:rFonts w:cs="Arial"/>
          <w:rtl/>
        </w:rPr>
        <w:t>: הטוען אחר מעשה בית דין</w:t>
      </w:r>
      <w:r>
        <w:rPr>
          <w:rStyle w:val="a7"/>
          <w:rFonts w:cs="Arial"/>
          <w:rtl/>
        </w:rPr>
        <w:footnoteReference w:id="1955"/>
      </w:r>
      <w:r>
        <w:rPr>
          <w:rFonts w:cs="Arial" w:hint="cs"/>
          <w:sz w:val="14"/>
          <w:szCs w:val="14"/>
          <w:rtl/>
        </w:rPr>
        <w:t xml:space="preserve"> (יז:) </w:t>
      </w:r>
      <w:r w:rsidRPr="00E60DDA">
        <w:rPr>
          <w:rFonts w:cs="Arial"/>
          <w:rtl/>
        </w:rPr>
        <w:t xml:space="preserve">- לא אמר כלום. מאי טעמא - כל מעשה בית דין כמאן דנקיט שטרא בידיה דמי. </w:t>
      </w:r>
      <w:r w:rsidRPr="00E60DDA">
        <w:rPr>
          <w:rFonts w:cs="Arial"/>
          <w:u w:val="single"/>
          <w:rtl/>
        </w:rPr>
        <w:t>אמר ליה רבי חייא בר אבא לרבי יוחנן</w:t>
      </w:r>
      <w:r w:rsidRPr="00E60DDA">
        <w:rPr>
          <w:rFonts w:cs="Arial"/>
          <w:rtl/>
        </w:rPr>
        <w:t xml:space="preserve">: ולא משנתינו היא זו - הוציאה גט ואין עמו כתובה - גובה כתובתה! </w:t>
      </w:r>
      <w:r w:rsidRPr="00E60DDA">
        <w:rPr>
          <w:rFonts w:cs="Arial"/>
          <w:u w:val="single"/>
          <w:rtl/>
        </w:rPr>
        <w:t>אמר ליה</w:t>
      </w:r>
      <w:r w:rsidRPr="00E60DDA">
        <w:rPr>
          <w:rFonts w:cs="Arial"/>
          <w:rtl/>
        </w:rPr>
        <w:t>: אי לאו דדלאי לך חספא, לא משכחת מרגניתא תותה</w:t>
      </w:r>
      <w:r>
        <w:rPr>
          <w:rStyle w:val="a7"/>
          <w:rFonts w:cs="Arial"/>
          <w:rtl/>
        </w:rPr>
        <w:footnoteReference w:id="1956"/>
      </w:r>
      <w:r w:rsidRPr="00E60DDA">
        <w:rPr>
          <w:rFonts w:cs="Arial"/>
          <w:rtl/>
        </w:rPr>
        <w:t xml:space="preserve">. </w:t>
      </w:r>
      <w:r w:rsidRPr="00E60DDA">
        <w:rPr>
          <w:rFonts w:cs="Arial"/>
          <w:u w:val="single"/>
          <w:rtl/>
        </w:rPr>
        <w:t>אמר אביי</w:t>
      </w:r>
      <w:r w:rsidRPr="00E60DDA">
        <w:rPr>
          <w:rFonts w:cs="Arial"/>
          <w:rtl/>
        </w:rPr>
        <w:t>: מאי מרגניתא? דלמא במקום שאין כותבין כתובה</w:t>
      </w:r>
      <w:r>
        <w:rPr>
          <w:rStyle w:val="a7"/>
          <w:rFonts w:cs="Arial"/>
          <w:rtl/>
        </w:rPr>
        <w:footnoteReference w:id="1957"/>
      </w:r>
      <w:r w:rsidRPr="00E60DDA">
        <w:rPr>
          <w:rFonts w:cs="Arial"/>
          <w:rtl/>
        </w:rPr>
        <w:t xml:space="preserve"> עסקינן, דגט היינו כתובתה. אבל במקום שכותבין כתובה, אי נקיטא כתובה - גביא, אי לא - לא גביא. </w:t>
      </w:r>
      <w:r w:rsidRPr="00E60DDA">
        <w:rPr>
          <w:rFonts w:cs="Arial"/>
          <w:u w:val="single"/>
          <w:rtl/>
        </w:rPr>
        <w:t>הדר אמר אביי</w:t>
      </w:r>
      <w:r w:rsidRPr="00E60DDA">
        <w:rPr>
          <w:rFonts w:cs="Arial"/>
          <w:rtl/>
        </w:rPr>
        <w:t>: לאו מלתא היא דאמרי</w:t>
      </w:r>
      <w:r>
        <w:rPr>
          <w:rFonts w:cs="Arial" w:hint="cs"/>
          <w:rtl/>
        </w:rPr>
        <w:t>,</w:t>
      </w:r>
      <w:r w:rsidRPr="00E60DDA">
        <w:rPr>
          <w:rFonts w:cs="Arial"/>
          <w:rtl/>
        </w:rPr>
        <w:t xml:space="preserve"> דאי סלקא דעתך במקום שאין כותבין כתובה עסקינן, אבל במקום שכותבין כתובה, אי נקיטא כתובה - גביא, אי לא - לא גביא, אלמנה מן האירוסין במאי גביא? בעדי מיתת בעל - לטעון</w:t>
      </w:r>
      <w:r>
        <w:rPr>
          <w:rStyle w:val="a7"/>
          <w:rFonts w:cs="Arial"/>
          <w:rtl/>
        </w:rPr>
        <w:footnoteReference w:id="1958"/>
      </w:r>
      <w:r w:rsidRPr="00E60DDA">
        <w:rPr>
          <w:rFonts w:cs="Arial"/>
          <w:rtl/>
        </w:rPr>
        <w:t xml:space="preserve"> ולימא: פרעתיה. וכי תימא: הכי נמי, אם כן מה הועילו חכמים בתקנתן</w:t>
      </w:r>
      <w:r>
        <w:rPr>
          <w:rStyle w:val="a7"/>
          <w:rFonts w:cs="Arial"/>
          <w:rtl/>
        </w:rPr>
        <w:footnoteReference w:id="1959"/>
      </w:r>
      <w:r w:rsidRPr="00E60DDA">
        <w:rPr>
          <w:rFonts w:cs="Arial"/>
          <w:rtl/>
        </w:rPr>
        <w:t>?</w:t>
      </w:r>
      <w:r>
        <w:rPr>
          <w:rFonts w:hint="cs"/>
          <w:rtl/>
        </w:rPr>
        <w:t>...</w:t>
      </w:r>
      <w:r w:rsidRPr="00794906">
        <w:rPr>
          <w:rtl/>
        </w:rPr>
        <w:t xml:space="preserve"> </w:t>
      </w:r>
      <w:r>
        <w:rPr>
          <w:rFonts w:hint="cs"/>
          <w:sz w:val="14"/>
          <w:szCs w:val="14"/>
          <w:rtl/>
        </w:rPr>
        <w:t xml:space="preserve">(יח.) </w:t>
      </w:r>
      <w:r w:rsidRPr="00794906">
        <w:rPr>
          <w:rFonts w:cs="Arial"/>
          <w:rtl/>
        </w:rPr>
        <w:t>אלא, אביי מגופה דמתניתין קא הדר ביה. דאי סלקא דעתך במקום שאין כותבין כתובה עסקינן, דגט היינו כתובתה - אטו גט מנה מאתים כתיב ביה? וכי תימא: כיון דתקינו רבנן למגבא לה - כמאן דכתיב ביה דמי, לטעון ולימא: פרעתי. וכי תימא: דאמרינן ליה אי פרעתה - איבעי לך למיקרעיה, אמר לן: לא שבקתן, אמרה: בעינא לאנסובי ביה. וכי תימא: אמרינן ליה איבעי לך למיקרעיה ומכתב אגביה: גיטא דנן דקרענוהו, לא משום דגיטא פסולה הוא, אלא כי היכי דלא תגבי ביה זמנא אחריתי - אטו כל דמגבי בבי דינא מגבי?</w:t>
      </w:r>
      <w:r>
        <w:rPr>
          <w:rFonts w:cs="Arial" w:hint="cs"/>
          <w:rtl/>
        </w:rPr>
        <w:t>.</w:t>
      </w:r>
      <w:r w:rsidRPr="006F1DF9">
        <w:rPr>
          <w:rFonts w:cs="Arial"/>
          <w:rtl/>
        </w:rPr>
        <w:t xml:space="preserve"> </w:t>
      </w:r>
      <w:r w:rsidRPr="006F1DF9">
        <w:rPr>
          <w:rFonts w:cs="Arial" w:hint="cs"/>
          <w:sz w:val="16"/>
          <w:szCs w:val="16"/>
          <w:rtl/>
        </w:rPr>
        <w:t>(</w:t>
      </w:r>
      <w:r w:rsidRPr="00794906">
        <w:rPr>
          <w:rFonts w:cs="Arial"/>
          <w:sz w:val="16"/>
          <w:szCs w:val="16"/>
          <w:rtl/>
        </w:rPr>
        <w:t>וכתב הרא"ש (סי' מד</w:t>
      </w:r>
      <w:r w:rsidRPr="00794906">
        <w:rPr>
          <w:rFonts w:cs="Arial" w:hint="cs"/>
          <w:sz w:val="16"/>
          <w:szCs w:val="16"/>
          <w:rtl/>
        </w:rPr>
        <w:t>, וכ"כ בתשו' כלל לו סי' ז</w:t>
      </w:r>
      <w:r w:rsidRPr="00794906">
        <w:rPr>
          <w:rFonts w:cs="Arial"/>
          <w:sz w:val="16"/>
          <w:szCs w:val="16"/>
          <w:rtl/>
        </w:rPr>
        <w:t>) וקשה מכאן למה שפסק רב אלפס בסוף פרק הכותב (מח:) על מתניתין דהוציאה גט ואין עמה כתובה דהלכה כשמואל (פט.) דאוקי מתניתין דוקא במקום שאין כותבין אבל במקום שכותבין אינה גובה בלא כתובה</w:t>
      </w:r>
      <w:r w:rsidRPr="00794906">
        <w:rPr>
          <w:rFonts w:cs="Arial" w:hint="cs"/>
          <w:sz w:val="16"/>
          <w:szCs w:val="16"/>
          <w:rtl/>
        </w:rPr>
        <w:t>.</w:t>
      </w:r>
      <w:r w:rsidRPr="00794906">
        <w:rPr>
          <w:rFonts w:cs="Arial"/>
          <w:sz w:val="16"/>
          <w:szCs w:val="16"/>
          <w:rtl/>
        </w:rPr>
        <w:t xml:space="preserve"> וכ"כ הרמב"ם בפי"ו מהלכות אישות (הכ"ח) האשה שהוציאה גט ואין עמה כתובה אם דרך אותו מקום לכתוב כתובה הרי זה נשבע היסת שפרע ופטור</w:t>
      </w:r>
      <w:r w:rsidRPr="00794906">
        <w:rPr>
          <w:rFonts w:cs="Arial" w:hint="cs"/>
          <w:sz w:val="16"/>
          <w:szCs w:val="16"/>
          <w:rtl/>
        </w:rPr>
        <w:t>.</w:t>
      </w:r>
      <w:r w:rsidRPr="00794906">
        <w:rPr>
          <w:rFonts w:cs="Arial"/>
          <w:sz w:val="16"/>
          <w:szCs w:val="16"/>
          <w:rtl/>
        </w:rPr>
        <w:t xml:space="preserve"> וכיון דרבי יוחנן פליג אדשמואל</w:t>
      </w:r>
      <w:r w:rsidRPr="00794906">
        <w:rPr>
          <w:rFonts w:cs="Arial" w:hint="cs"/>
          <w:sz w:val="16"/>
          <w:szCs w:val="16"/>
          <w:rtl/>
        </w:rPr>
        <w:t>,</w:t>
      </w:r>
      <w:r w:rsidRPr="00794906">
        <w:rPr>
          <w:rFonts w:cs="Arial"/>
          <w:sz w:val="16"/>
          <w:szCs w:val="16"/>
          <w:rtl/>
        </w:rPr>
        <w:t xml:space="preserve"> הלכה כרבי יוחנן</w:t>
      </w:r>
      <w:r w:rsidRPr="00794906">
        <w:rPr>
          <w:rFonts w:cs="Arial" w:hint="cs"/>
          <w:sz w:val="16"/>
          <w:szCs w:val="16"/>
          <w:rtl/>
        </w:rPr>
        <w:t>.</w:t>
      </w:r>
      <w:r w:rsidRPr="00794906">
        <w:rPr>
          <w:rFonts w:cs="Arial"/>
          <w:sz w:val="16"/>
          <w:szCs w:val="16"/>
          <w:rtl/>
        </w:rPr>
        <w:t xml:space="preserve"> ועוד דאביי דהוא בתרא סבר כותיה</w:t>
      </w:r>
      <w:r w:rsidRPr="00794906">
        <w:rPr>
          <w:rFonts w:cs="Arial" w:hint="cs"/>
          <w:sz w:val="16"/>
          <w:szCs w:val="16"/>
          <w:rtl/>
        </w:rPr>
        <w:t>.</w:t>
      </w:r>
      <w:r w:rsidRPr="00794906">
        <w:rPr>
          <w:rFonts w:cs="Arial"/>
          <w:sz w:val="16"/>
          <w:szCs w:val="16"/>
          <w:rtl/>
        </w:rPr>
        <w:t xml:space="preserve"> ועוד דרב אלפס הביא כאן (י.) דברי רבי יוחנן לפסוק הלכה</w:t>
      </w:r>
      <w:r w:rsidRPr="00794906">
        <w:rPr>
          <w:rFonts w:cs="Arial" w:hint="cs"/>
          <w:sz w:val="16"/>
          <w:szCs w:val="16"/>
          <w:rtl/>
        </w:rPr>
        <w:t>,</w:t>
      </w:r>
      <w:r w:rsidRPr="00794906">
        <w:rPr>
          <w:rFonts w:cs="Arial"/>
          <w:sz w:val="16"/>
          <w:szCs w:val="16"/>
          <w:rtl/>
        </w:rPr>
        <w:t xml:space="preserve"> והתם פסק כשמואל</w:t>
      </w:r>
      <w:r w:rsidRPr="00794906">
        <w:rPr>
          <w:rFonts w:cs="Arial" w:hint="cs"/>
          <w:sz w:val="16"/>
          <w:szCs w:val="16"/>
          <w:rtl/>
        </w:rPr>
        <w:t>.</w:t>
      </w:r>
      <w:r w:rsidRPr="00794906">
        <w:rPr>
          <w:rFonts w:cs="Arial"/>
          <w:sz w:val="16"/>
          <w:szCs w:val="16"/>
          <w:rtl/>
        </w:rPr>
        <w:t xml:space="preserve"> ותירץ הרמב"ן דרבי יוחנן לא פליג עליה דשמואל</w:t>
      </w:r>
      <w:r w:rsidR="00C5145E">
        <w:rPr>
          <w:rFonts w:cs="Arial" w:hint="cs"/>
          <w:sz w:val="16"/>
          <w:szCs w:val="16"/>
          <w:rtl/>
        </w:rPr>
        <w:t>,</w:t>
      </w:r>
      <w:r w:rsidRPr="00794906">
        <w:rPr>
          <w:rFonts w:cs="Arial"/>
          <w:sz w:val="16"/>
          <w:szCs w:val="16"/>
          <w:rtl/>
        </w:rPr>
        <w:t xml:space="preserve"> דבמקום שכותבין ריעא טענתא דידה ורגלים לדבר שנקרעה כתובתה בפריעתה</w:t>
      </w:r>
      <w:r w:rsidRPr="00794906">
        <w:rPr>
          <w:rFonts w:cs="Arial" w:hint="cs"/>
          <w:sz w:val="16"/>
          <w:szCs w:val="16"/>
          <w:rtl/>
        </w:rPr>
        <w:t>.</w:t>
      </w:r>
      <w:r w:rsidRPr="00794906">
        <w:rPr>
          <w:rFonts w:cs="Arial"/>
          <w:sz w:val="16"/>
          <w:szCs w:val="16"/>
          <w:rtl/>
        </w:rPr>
        <w:t xml:space="preserve"> ואביי מעיקרא כד הוה ס"ד דמצינו למימר דגט היינו כתובה הוה סבירא ליה דרבי יוחנן איירי אף במקום שכותבין</w:t>
      </w:r>
      <w:r w:rsidR="00C5145E">
        <w:rPr>
          <w:rFonts w:cs="Arial" w:hint="cs"/>
          <w:sz w:val="16"/>
          <w:szCs w:val="16"/>
          <w:rtl/>
        </w:rPr>
        <w:t>,</w:t>
      </w:r>
      <w:r w:rsidRPr="00794906">
        <w:rPr>
          <w:rFonts w:cs="Arial"/>
          <w:sz w:val="16"/>
          <w:szCs w:val="16"/>
          <w:rtl/>
        </w:rPr>
        <w:t xml:space="preserve"> ומדמייתי רבי חייא בר אבא ראיה ממתניתין וקיבלה רבי יוחנן מיניה</w:t>
      </w:r>
      <w:r w:rsidRPr="00794906">
        <w:rPr>
          <w:rFonts w:cs="Arial" w:hint="cs"/>
          <w:sz w:val="16"/>
          <w:szCs w:val="16"/>
          <w:rtl/>
        </w:rPr>
        <w:t>,</w:t>
      </w:r>
      <w:r w:rsidRPr="00794906">
        <w:rPr>
          <w:rFonts w:cs="Arial"/>
          <w:sz w:val="16"/>
          <w:szCs w:val="16"/>
          <w:rtl/>
        </w:rPr>
        <w:t xml:space="preserve"> ובמקום שאין כותבין ליכא לאיתויי ראיה מיניה</w:t>
      </w:r>
      <w:r w:rsidRPr="00794906">
        <w:rPr>
          <w:rFonts w:cs="Arial" w:hint="cs"/>
          <w:sz w:val="16"/>
          <w:szCs w:val="16"/>
          <w:rtl/>
        </w:rPr>
        <w:t>,</w:t>
      </w:r>
      <w:r w:rsidRPr="00794906">
        <w:rPr>
          <w:rFonts w:cs="Arial"/>
          <w:sz w:val="16"/>
          <w:szCs w:val="16"/>
          <w:rtl/>
        </w:rPr>
        <w:t xml:space="preserve"> דאיכא למימר דלאו טעמא משום טוען אחר מעשה בית דין אלא משום דגט היינו כתובה</w:t>
      </w:r>
      <w:r w:rsidR="00C5145E">
        <w:rPr>
          <w:rFonts w:cs="Arial" w:hint="cs"/>
          <w:sz w:val="16"/>
          <w:szCs w:val="16"/>
          <w:rtl/>
        </w:rPr>
        <w:t>,</w:t>
      </w:r>
      <w:r w:rsidRPr="00794906">
        <w:rPr>
          <w:rFonts w:cs="Arial"/>
          <w:sz w:val="16"/>
          <w:szCs w:val="16"/>
          <w:rtl/>
        </w:rPr>
        <w:t xml:space="preserve"> ולהכי תמה היאך מייתי מינה ראיה למקום שכותבין דילמא אפילו במקום שאין כותבין</w:t>
      </w:r>
      <w:r w:rsidR="00C5145E">
        <w:rPr>
          <w:rFonts w:cs="Arial" w:hint="cs"/>
          <w:sz w:val="16"/>
          <w:szCs w:val="16"/>
          <w:rtl/>
        </w:rPr>
        <w:t>,</w:t>
      </w:r>
      <w:r w:rsidRPr="00794906">
        <w:rPr>
          <w:rFonts w:cs="Arial"/>
          <w:sz w:val="16"/>
          <w:szCs w:val="16"/>
          <w:rtl/>
        </w:rPr>
        <w:t xml:space="preserve"> וכד עיין בה ואשכח דליכא למימר דגט היינו כתובה</w:t>
      </w:r>
      <w:r w:rsidRPr="00794906">
        <w:rPr>
          <w:rFonts w:cs="Arial" w:hint="cs"/>
          <w:sz w:val="16"/>
          <w:szCs w:val="16"/>
          <w:rtl/>
        </w:rPr>
        <w:t>,</w:t>
      </w:r>
      <w:r w:rsidRPr="00794906">
        <w:rPr>
          <w:rFonts w:cs="Arial"/>
          <w:sz w:val="16"/>
          <w:szCs w:val="16"/>
          <w:rtl/>
        </w:rPr>
        <w:t xml:space="preserve"> הדר ביה והודה לרבי יוחנן דהטוען אחר מעשה בית דין לא אמר כלום ובמקום שאין כותבין דוקא</w:t>
      </w:r>
      <w:r w:rsidRPr="00794906">
        <w:rPr>
          <w:rFonts w:cs="Arial" w:hint="cs"/>
          <w:sz w:val="16"/>
          <w:szCs w:val="16"/>
          <w:rtl/>
        </w:rPr>
        <w:t>.</w:t>
      </w:r>
      <w:r w:rsidRPr="00794906">
        <w:rPr>
          <w:rFonts w:cs="Arial"/>
          <w:sz w:val="16"/>
          <w:szCs w:val="16"/>
          <w:rtl/>
        </w:rPr>
        <w:t xml:space="preserve"> דה"נ צריך טעמא דמעשה בית דין דלא ריעא טענתיה למימר דפרע מידי</w:t>
      </w:r>
      <w:r w:rsidRPr="00794906">
        <w:rPr>
          <w:rFonts w:cs="Arial" w:hint="cs"/>
          <w:sz w:val="16"/>
          <w:szCs w:val="16"/>
          <w:rtl/>
        </w:rPr>
        <w:t>,</w:t>
      </w:r>
      <w:r w:rsidRPr="00794906">
        <w:rPr>
          <w:rFonts w:cs="Arial"/>
          <w:sz w:val="16"/>
          <w:szCs w:val="16"/>
          <w:rtl/>
        </w:rPr>
        <w:t xml:space="preserve"> דהוה כשאר מלוה על פה</w:t>
      </w:r>
      <w:r w:rsidRPr="00794906">
        <w:rPr>
          <w:rFonts w:cs="Arial" w:hint="cs"/>
          <w:sz w:val="16"/>
          <w:szCs w:val="16"/>
          <w:rtl/>
        </w:rPr>
        <w:t>.</w:t>
      </w:r>
      <w:r w:rsidRPr="00794906">
        <w:rPr>
          <w:rFonts w:cs="Arial"/>
          <w:sz w:val="16"/>
          <w:szCs w:val="16"/>
          <w:rtl/>
        </w:rPr>
        <w:t xml:space="preserve"> ולא שייך למימר מה הועילו חכמים בתקנתם</w:t>
      </w:r>
      <w:r w:rsidRPr="00794906">
        <w:rPr>
          <w:rFonts w:cs="Arial" w:hint="cs"/>
          <w:sz w:val="16"/>
          <w:szCs w:val="16"/>
          <w:rtl/>
        </w:rPr>
        <w:t>,</w:t>
      </w:r>
      <w:r w:rsidRPr="00794906">
        <w:rPr>
          <w:rFonts w:cs="Arial"/>
          <w:sz w:val="16"/>
          <w:szCs w:val="16"/>
          <w:rtl/>
        </w:rPr>
        <w:t xml:space="preserve"> דמצי' לאתרויי ביה בשעת גירושין אל תפרעני אלא בפני פלוני ופלוני</w:t>
      </w:r>
      <w:r w:rsidRPr="00794906">
        <w:rPr>
          <w:rFonts w:cs="Arial" w:hint="cs"/>
          <w:sz w:val="16"/>
          <w:szCs w:val="16"/>
          <w:rtl/>
        </w:rPr>
        <w:t>.</w:t>
      </w:r>
      <w:r w:rsidRPr="00794906">
        <w:rPr>
          <w:rFonts w:cs="Arial"/>
          <w:sz w:val="16"/>
          <w:szCs w:val="16"/>
          <w:rtl/>
        </w:rPr>
        <w:t xml:space="preserve"> וגם צריך למעשה בית דין למקום שאין כותבין כתובה ויש עדים שכתב לה אפילו הכי לא מצי למימר פרעתי</w:t>
      </w:r>
      <w:r w:rsidRPr="00794906">
        <w:rPr>
          <w:rFonts w:cs="Arial" w:hint="cs"/>
          <w:sz w:val="16"/>
          <w:szCs w:val="16"/>
          <w:rtl/>
        </w:rPr>
        <w:t>,</w:t>
      </w:r>
      <w:r w:rsidRPr="00794906">
        <w:rPr>
          <w:rFonts w:cs="Arial"/>
          <w:sz w:val="16"/>
          <w:szCs w:val="16"/>
          <w:rtl/>
        </w:rPr>
        <w:t xml:space="preserve"> דבהכי איירי מתניתין אליבא דאביי כדפרישית לעיל</w:t>
      </w:r>
      <w:r w:rsidRPr="00794906">
        <w:rPr>
          <w:rFonts w:cs="Arial" w:hint="cs"/>
          <w:sz w:val="16"/>
          <w:szCs w:val="16"/>
          <w:rtl/>
        </w:rPr>
        <w:t>.</w:t>
      </w:r>
      <w:r w:rsidRPr="00794906">
        <w:rPr>
          <w:rFonts w:cs="Arial"/>
          <w:sz w:val="16"/>
          <w:szCs w:val="16"/>
          <w:rtl/>
        </w:rPr>
        <w:t xml:space="preserve"> ומסתבר הכי</w:t>
      </w:r>
      <w:r w:rsidRPr="00794906">
        <w:rPr>
          <w:rFonts w:cs="Arial" w:hint="cs"/>
          <w:sz w:val="16"/>
          <w:szCs w:val="16"/>
          <w:rtl/>
        </w:rPr>
        <w:t>,</w:t>
      </w:r>
      <w:r w:rsidRPr="00794906">
        <w:rPr>
          <w:rFonts w:cs="Arial"/>
          <w:sz w:val="16"/>
          <w:szCs w:val="16"/>
          <w:rtl/>
        </w:rPr>
        <w:t xml:space="preserve"> כיון דבאותו מקום נהגו שלא לכתוב ולא מהימן לומר פרעתיך</w:t>
      </w:r>
      <w:r w:rsidRPr="00794906">
        <w:rPr>
          <w:rFonts w:cs="Arial" w:hint="cs"/>
          <w:sz w:val="16"/>
          <w:szCs w:val="16"/>
          <w:rtl/>
        </w:rPr>
        <w:t>,</w:t>
      </w:r>
      <w:r w:rsidRPr="00794906">
        <w:rPr>
          <w:rFonts w:cs="Arial"/>
          <w:sz w:val="16"/>
          <w:szCs w:val="16"/>
          <w:rtl/>
        </w:rPr>
        <w:t xml:space="preserve"> איהו דאפסיד אנפשיה שכתב לה</w:t>
      </w:r>
      <w:r w:rsidRPr="00794906">
        <w:rPr>
          <w:rFonts w:cs="Arial" w:hint="cs"/>
          <w:sz w:val="16"/>
          <w:szCs w:val="16"/>
          <w:rtl/>
        </w:rPr>
        <w:t>,</w:t>
      </w:r>
      <w:r w:rsidRPr="00794906">
        <w:rPr>
          <w:rFonts w:cs="Arial"/>
          <w:sz w:val="16"/>
          <w:szCs w:val="16"/>
          <w:rtl/>
        </w:rPr>
        <w:t xml:space="preserve"> ולא ישתנה הדין בכך</w:t>
      </w:r>
      <w:r w:rsidRPr="00794906">
        <w:rPr>
          <w:rFonts w:cs="Arial" w:hint="cs"/>
          <w:sz w:val="16"/>
          <w:szCs w:val="16"/>
          <w:rtl/>
        </w:rPr>
        <w:t>.</w:t>
      </w:r>
      <w:r w:rsidRPr="00794906">
        <w:rPr>
          <w:rFonts w:cs="Arial"/>
          <w:sz w:val="16"/>
          <w:szCs w:val="16"/>
          <w:rtl/>
        </w:rPr>
        <w:t xml:space="preserve"> והכי מסתברא טפי</w:t>
      </w:r>
      <w:r w:rsidRPr="00794906">
        <w:rPr>
          <w:rFonts w:cs="Arial" w:hint="cs"/>
          <w:sz w:val="16"/>
          <w:szCs w:val="16"/>
          <w:rtl/>
        </w:rPr>
        <w:t>,</w:t>
      </w:r>
      <w:r w:rsidRPr="00794906">
        <w:rPr>
          <w:rFonts w:cs="Arial"/>
          <w:sz w:val="16"/>
          <w:szCs w:val="16"/>
          <w:rtl/>
        </w:rPr>
        <w:t xml:space="preserve"> כי למה נאמר דפליגי רבי יוחנן ושמואל כיון שנוכל לפרש וליישב דלא פליג</w:t>
      </w:r>
      <w:r w:rsidRPr="00794906">
        <w:rPr>
          <w:rFonts w:cs="Arial" w:hint="cs"/>
          <w:sz w:val="16"/>
          <w:szCs w:val="16"/>
          <w:rtl/>
        </w:rPr>
        <w:t>.</w:t>
      </w:r>
      <w:r w:rsidRPr="00794906">
        <w:rPr>
          <w:rFonts w:cs="Arial"/>
          <w:sz w:val="16"/>
          <w:szCs w:val="16"/>
          <w:rtl/>
        </w:rPr>
        <w:t xml:space="preserve"> וזו היתה סברת רב אלפס עכ"ל. ובסוף פרק הכותב כתב הר"ן (מט. דיבור ראשון) מה שהקשו על הרי"ף ושמפני כך כתבו התוספות (כתובות פח: ד"ה הוציאה, וב"מ יז: ד"ה הוציאה) דמתניתין דהוציאה גט ואין עמה כתובה גובה כתובה אפילו במקום שכותבין היא</w:t>
      </w:r>
      <w:r w:rsidRPr="00794906">
        <w:rPr>
          <w:rFonts w:cs="Arial" w:hint="cs"/>
          <w:sz w:val="16"/>
          <w:szCs w:val="16"/>
          <w:rtl/>
        </w:rPr>
        <w:t>.</w:t>
      </w:r>
      <w:r w:rsidRPr="00794906">
        <w:rPr>
          <w:rFonts w:cs="Arial"/>
          <w:sz w:val="16"/>
          <w:szCs w:val="16"/>
          <w:rtl/>
        </w:rPr>
        <w:t xml:space="preserve"> והוא ז"ל כת' ליישב דברי הרי"ף ז"ל</w:t>
      </w:r>
      <w:r w:rsidR="00B227FE">
        <w:rPr>
          <w:rFonts w:cs="Arial" w:hint="cs"/>
          <w:sz w:val="16"/>
          <w:szCs w:val="16"/>
          <w:rtl/>
        </w:rPr>
        <w:t>, ב"י</w:t>
      </w:r>
      <w:r>
        <w:rPr>
          <w:rFonts w:cs="Arial" w:hint="cs"/>
          <w:sz w:val="16"/>
          <w:szCs w:val="16"/>
          <w:rtl/>
        </w:rPr>
        <w:t>)</w:t>
      </w:r>
    </w:p>
    <w:p w14:paraId="6BB5A65F" w14:textId="663E96E7" w:rsidR="00392DBB" w:rsidRPr="00D664B6" w:rsidRDefault="00392DBB" w:rsidP="00392DBB">
      <w:pPr>
        <w:rPr>
          <w:u w:val="single"/>
          <w:rtl/>
        </w:rPr>
      </w:pPr>
      <w:r>
        <w:rPr>
          <w:rFonts w:hint="cs"/>
          <w:u w:val="single"/>
          <w:rtl/>
        </w:rPr>
        <w:t>אלמנה</w:t>
      </w:r>
      <w:r w:rsidRPr="00D664B6">
        <w:rPr>
          <w:rFonts w:hint="cs"/>
          <w:u w:val="single"/>
          <w:rtl/>
        </w:rPr>
        <w:t xml:space="preserve"> שאין לה שטר כתובה </w:t>
      </w:r>
      <w:r w:rsidR="00F97626">
        <w:rPr>
          <w:u w:val="single"/>
          <w:rtl/>
        </w:rPr>
        <w:t>-</w:t>
      </w:r>
      <w:r w:rsidRPr="00D664B6">
        <w:rPr>
          <w:rFonts w:hint="cs"/>
          <w:u w:val="single"/>
          <w:rtl/>
        </w:rPr>
        <w:t xml:space="preserve"> האם מגבין לה כתובה:</w:t>
      </w:r>
    </w:p>
    <w:p w14:paraId="32BC68D9" w14:textId="30EDCDB9" w:rsidR="00392DBB" w:rsidRDefault="00392DBB" w:rsidP="009000E3">
      <w:pPr>
        <w:pStyle w:val="ab"/>
        <w:numPr>
          <w:ilvl w:val="0"/>
          <w:numId w:val="61"/>
        </w:numPr>
        <w:rPr>
          <w:rFonts w:cs="Arial"/>
        </w:rPr>
      </w:pPr>
      <w:r>
        <w:rPr>
          <w:rFonts w:cs="Arial" w:hint="cs"/>
          <w:rtl/>
        </w:rPr>
        <w:t xml:space="preserve">רי"ף </w:t>
      </w:r>
      <w:r w:rsidRPr="00DF7DC4">
        <w:rPr>
          <w:rFonts w:cs="Arial" w:hint="cs"/>
          <w:sz w:val="16"/>
          <w:szCs w:val="16"/>
          <w:rtl/>
        </w:rPr>
        <w:t>(</w:t>
      </w:r>
      <w:r>
        <w:rPr>
          <w:rFonts w:cs="Arial" w:hint="cs"/>
          <w:sz w:val="16"/>
          <w:szCs w:val="16"/>
          <w:rtl/>
        </w:rPr>
        <w:t>כתובות</w:t>
      </w:r>
      <w:r w:rsidRPr="00DF7DC4">
        <w:rPr>
          <w:rFonts w:cs="Arial" w:hint="cs"/>
          <w:sz w:val="16"/>
          <w:szCs w:val="16"/>
          <w:rtl/>
        </w:rPr>
        <w:t xml:space="preserve"> מח:) </w:t>
      </w:r>
      <w:r>
        <w:rPr>
          <w:rFonts w:cs="Arial" w:hint="cs"/>
          <w:rtl/>
        </w:rPr>
        <w:t xml:space="preserve">רמב"ם </w:t>
      </w:r>
      <w:r>
        <w:rPr>
          <w:rFonts w:cs="Arial" w:hint="cs"/>
          <w:sz w:val="16"/>
          <w:szCs w:val="16"/>
          <w:rtl/>
        </w:rPr>
        <w:t>(פט"ז הכ"א-כב, והכ"ח</w:t>
      </w:r>
      <w:r>
        <w:rPr>
          <w:rStyle w:val="a7"/>
          <w:rFonts w:cs="Arial"/>
          <w:sz w:val="16"/>
          <w:szCs w:val="16"/>
          <w:rtl/>
        </w:rPr>
        <w:footnoteReference w:id="1960"/>
      </w:r>
      <w:r>
        <w:rPr>
          <w:rFonts w:cs="Arial" w:hint="cs"/>
          <w:sz w:val="16"/>
          <w:szCs w:val="16"/>
          <w:rtl/>
        </w:rPr>
        <w:t xml:space="preserve">) </w:t>
      </w:r>
      <w:r>
        <w:rPr>
          <w:rFonts w:cs="Arial" w:hint="cs"/>
          <w:rtl/>
        </w:rPr>
        <w:t>רמב"ן</w:t>
      </w:r>
      <w:r>
        <w:rPr>
          <w:rFonts w:cs="Arial" w:hint="cs"/>
          <w:sz w:val="16"/>
          <w:szCs w:val="16"/>
          <w:rtl/>
        </w:rPr>
        <w:t xml:space="preserve"> (מלחמות ב"מ סי' רעא)</w:t>
      </w:r>
      <w:r>
        <w:rPr>
          <w:rFonts w:cs="Arial" w:hint="cs"/>
          <w:rtl/>
        </w:rPr>
        <w:t xml:space="preserve"> ורא"ש </w:t>
      </w:r>
      <w:r>
        <w:rPr>
          <w:rFonts w:cs="Arial" w:hint="cs"/>
          <w:sz w:val="16"/>
          <w:szCs w:val="16"/>
          <w:rtl/>
        </w:rPr>
        <w:t xml:space="preserve">(ב"מ </w:t>
      </w:r>
      <w:r w:rsidR="008B25DF">
        <w:rPr>
          <w:rFonts w:cs="Arial" w:hint="cs"/>
          <w:sz w:val="16"/>
          <w:szCs w:val="16"/>
          <w:rtl/>
        </w:rPr>
        <w:t xml:space="preserve">פ"ק </w:t>
      </w:r>
      <w:r>
        <w:rPr>
          <w:rFonts w:cs="Arial" w:hint="cs"/>
          <w:sz w:val="16"/>
          <w:szCs w:val="16"/>
          <w:rtl/>
        </w:rPr>
        <w:t>סי' מד)</w:t>
      </w:r>
      <w:r>
        <w:rPr>
          <w:rFonts w:cs="Arial" w:hint="cs"/>
          <w:rtl/>
        </w:rPr>
        <w:t xml:space="preserve"> וטור</w:t>
      </w:r>
      <w:r>
        <w:rPr>
          <w:rStyle w:val="a7"/>
          <w:rFonts w:cs="Arial"/>
          <w:rtl/>
        </w:rPr>
        <w:footnoteReference w:id="1961"/>
      </w:r>
      <w:r>
        <w:rPr>
          <w:rFonts w:cs="Arial" w:hint="cs"/>
          <w:rtl/>
        </w:rPr>
        <w:t xml:space="preserve">- </w:t>
      </w:r>
      <w:r w:rsidRPr="006E1501">
        <w:rPr>
          <w:rFonts w:cs="Arial"/>
          <w:rtl/>
        </w:rPr>
        <w:t>אלמנה</w:t>
      </w:r>
      <w:r>
        <w:rPr>
          <w:rFonts w:cs="Arial" w:hint="cs"/>
          <w:rtl/>
        </w:rPr>
        <w:t>...</w:t>
      </w:r>
      <w:r w:rsidRPr="006E1501">
        <w:rPr>
          <w:rFonts w:cs="Arial"/>
          <w:rtl/>
        </w:rPr>
        <w:t xml:space="preserve"> אם אין שטר כתובה יוצא מתחת ידה </w:t>
      </w:r>
      <w:r>
        <w:rPr>
          <w:rFonts w:cs="Arial" w:hint="cs"/>
          <w:rtl/>
        </w:rPr>
        <w:t xml:space="preserve">- </w:t>
      </w:r>
      <w:r w:rsidRPr="006E1501">
        <w:rPr>
          <w:rFonts w:cs="Arial"/>
          <w:rtl/>
        </w:rPr>
        <w:t>אין לה כלום ואפילו עיקר כתובה</w:t>
      </w:r>
      <w:r>
        <w:rPr>
          <w:rFonts w:cs="Arial" w:hint="cs"/>
          <w:rtl/>
        </w:rPr>
        <w:t>,</w:t>
      </w:r>
      <w:r w:rsidRPr="006E1501">
        <w:rPr>
          <w:rFonts w:cs="Arial"/>
          <w:rtl/>
        </w:rPr>
        <w:t xml:space="preserve"> ואפילו תבעה ביום מיתת בעלה, וכן </w:t>
      </w:r>
      <w:r w:rsidRPr="006E1501">
        <w:rPr>
          <w:rFonts w:cs="Arial"/>
          <w:rtl/>
        </w:rPr>
        <w:lastRenderedPageBreak/>
        <w:t xml:space="preserve">הגרושה אפילו עיקר כתובה אין לה עד שתוציא שטר כתובה. במה דברים אמורים במקום שדרכן לכתוב כתובה, אבל במקום שאין דרכן לכתוב כתובה אלא סומכין על תנאי בית דין </w:t>
      </w:r>
      <w:r>
        <w:rPr>
          <w:rFonts w:cs="Arial" w:hint="cs"/>
          <w:rtl/>
        </w:rPr>
        <w:t xml:space="preserve">- </w:t>
      </w:r>
      <w:r w:rsidRPr="006E1501">
        <w:rPr>
          <w:rFonts w:cs="Arial"/>
          <w:rtl/>
        </w:rPr>
        <w:t>הרי זו גובה עיקר כתובה אע</w:t>
      </w:r>
      <w:r w:rsidR="008B25DF">
        <w:rPr>
          <w:rFonts w:cs="Arial" w:hint="cs"/>
          <w:rtl/>
        </w:rPr>
        <w:t>"</w:t>
      </w:r>
      <w:r w:rsidRPr="006E1501">
        <w:rPr>
          <w:rFonts w:cs="Arial"/>
          <w:rtl/>
        </w:rPr>
        <w:t>פ שאין בידה שטר כתובה</w:t>
      </w:r>
      <w:r>
        <w:rPr>
          <w:rStyle w:val="a7"/>
          <w:rFonts w:cs="Arial"/>
          <w:rtl/>
        </w:rPr>
        <w:footnoteReference w:id="1962"/>
      </w:r>
      <w:r>
        <w:rPr>
          <w:rFonts w:cs="Arial" w:hint="cs"/>
          <w:rtl/>
        </w:rPr>
        <w:t>,</w:t>
      </w:r>
      <w:r w:rsidRPr="006E1501">
        <w:rPr>
          <w:rFonts w:cs="Arial"/>
          <w:rtl/>
        </w:rPr>
        <w:t xml:space="preserve"> בין נתגרשה בין נתאלמנה בין שהיתה בבית בעלה בין שהיתה בבית אביה, אבל תוספת אין לה בכל מקום אלא בראיה ברורה</w:t>
      </w:r>
      <w:r>
        <w:rPr>
          <w:rStyle w:val="a7"/>
          <w:rFonts w:cs="Arial"/>
          <w:rtl/>
        </w:rPr>
        <w:footnoteReference w:id="1963"/>
      </w:r>
      <w:r>
        <w:rPr>
          <w:rFonts w:cs="Arial" w:hint="cs"/>
          <w:sz w:val="16"/>
          <w:szCs w:val="16"/>
          <w:rtl/>
        </w:rPr>
        <w:t xml:space="preserve"> (ל' הרמב"ם)</w:t>
      </w:r>
      <w:r>
        <w:rPr>
          <w:rStyle w:val="a7"/>
          <w:rFonts w:cs="Arial"/>
          <w:rtl/>
        </w:rPr>
        <w:footnoteReference w:id="1964"/>
      </w:r>
      <w:r w:rsidRPr="006E1501">
        <w:rPr>
          <w:rFonts w:cs="Arial"/>
          <w:rtl/>
        </w:rPr>
        <w:t>.</w:t>
      </w:r>
      <w:r>
        <w:rPr>
          <w:rFonts w:cs="Arial" w:hint="cs"/>
          <w:rtl/>
        </w:rPr>
        <w:t xml:space="preserve"> </w:t>
      </w:r>
      <w:r w:rsidRPr="008974DF">
        <w:rPr>
          <w:rFonts w:cs="Arial" w:hint="cs"/>
          <w:color w:val="E36C0A" w:themeColor="accent6" w:themeShade="BF"/>
          <w:rtl/>
        </w:rPr>
        <w:t>(וכ"פ בשו"ע)</w:t>
      </w:r>
    </w:p>
    <w:p w14:paraId="010F1AB0" w14:textId="35DA4F02" w:rsidR="00392DBB" w:rsidRPr="007A28AB" w:rsidRDefault="00392DBB" w:rsidP="009000E3">
      <w:pPr>
        <w:pStyle w:val="ab"/>
        <w:numPr>
          <w:ilvl w:val="0"/>
          <w:numId w:val="61"/>
        </w:numPr>
        <w:rPr>
          <w:rFonts w:cs="Arial"/>
          <w:rtl/>
        </w:rPr>
      </w:pPr>
      <w:r w:rsidRPr="002431BD">
        <w:rPr>
          <w:rFonts w:cs="Arial" w:hint="cs"/>
          <w:rtl/>
        </w:rPr>
        <w:t>תוס'</w:t>
      </w:r>
      <w:r>
        <w:rPr>
          <w:rStyle w:val="a7"/>
          <w:rFonts w:cs="Arial"/>
          <w:rtl/>
        </w:rPr>
        <w:footnoteReference w:id="1965"/>
      </w:r>
      <w:r w:rsidRPr="00794906">
        <w:rPr>
          <w:rFonts w:cs="Arial"/>
          <w:sz w:val="16"/>
          <w:szCs w:val="16"/>
          <w:rtl/>
        </w:rPr>
        <w:t xml:space="preserve"> (כתובות פח: ד"ה הוציאה, וב"מ יז: ד"ה הוציאה</w:t>
      </w:r>
      <w:r w:rsidRPr="002431BD">
        <w:rPr>
          <w:rFonts w:cs="Arial"/>
          <w:sz w:val="16"/>
          <w:szCs w:val="16"/>
          <w:rtl/>
        </w:rPr>
        <w:t>)</w:t>
      </w:r>
      <w:r>
        <w:rPr>
          <w:rFonts w:cs="Arial" w:hint="cs"/>
          <w:rtl/>
        </w:rPr>
        <w:t>-</w:t>
      </w:r>
      <w:r w:rsidRPr="008974DF">
        <w:rPr>
          <w:rFonts w:cs="Arial"/>
          <w:rtl/>
        </w:rPr>
        <w:t xml:space="preserve"> אפי</w:t>
      </w:r>
      <w:r>
        <w:rPr>
          <w:rFonts w:cs="Arial" w:hint="cs"/>
          <w:rtl/>
        </w:rPr>
        <w:t>לו</w:t>
      </w:r>
      <w:r w:rsidRPr="008974DF">
        <w:rPr>
          <w:rFonts w:cs="Arial"/>
          <w:rtl/>
        </w:rPr>
        <w:t xml:space="preserve"> במקום שכותבין</w:t>
      </w:r>
      <w:r>
        <w:rPr>
          <w:rFonts w:cs="Arial" w:hint="cs"/>
          <w:rtl/>
        </w:rPr>
        <w:t xml:space="preserve"> -</w:t>
      </w:r>
      <w:r w:rsidRPr="008974DF">
        <w:rPr>
          <w:rFonts w:cs="Arial"/>
          <w:rtl/>
        </w:rPr>
        <w:t xml:space="preserve"> גובה עיקר כתובה וכל תנאיה בתנאי ב"ד</w:t>
      </w:r>
      <w:r w:rsidR="008B25DF">
        <w:rPr>
          <w:rFonts w:cs="Arial" w:hint="cs"/>
          <w:sz w:val="16"/>
          <w:szCs w:val="16"/>
        </w:rPr>
        <w:t xml:space="preserve"> </w:t>
      </w:r>
      <w:r w:rsidR="008B25DF">
        <w:rPr>
          <w:rFonts w:cs="Arial" w:hint="cs"/>
          <w:sz w:val="16"/>
          <w:szCs w:val="16"/>
          <w:rtl/>
        </w:rPr>
        <w:t>(ל' הטור בשם ר"י)</w:t>
      </w:r>
      <w:r>
        <w:rPr>
          <w:rStyle w:val="a7"/>
          <w:rFonts w:cs="Arial"/>
          <w:rtl/>
        </w:rPr>
        <w:footnoteReference w:id="1966"/>
      </w:r>
      <w:r>
        <w:rPr>
          <w:rFonts w:cs="Arial" w:hint="cs"/>
          <w:rtl/>
        </w:rPr>
        <w:t>. (וכ"פ מהרש"ל דרישה ב"ח וב"ש</w:t>
      </w:r>
      <w:r>
        <w:rPr>
          <w:rFonts w:cs="Arial" w:hint="cs"/>
          <w:sz w:val="16"/>
          <w:szCs w:val="16"/>
          <w:rtl/>
        </w:rPr>
        <w:t xml:space="preserve"> [סקכ"ז]</w:t>
      </w:r>
      <w:r>
        <w:rPr>
          <w:rFonts w:cs="Arial" w:hint="cs"/>
          <w:rtl/>
        </w:rPr>
        <w:t>)</w:t>
      </w:r>
    </w:p>
    <w:p w14:paraId="3B7F7AD9" w14:textId="77777777" w:rsidR="00392DBB" w:rsidRPr="00E7468B" w:rsidRDefault="00392DBB" w:rsidP="00392DBB">
      <w:pPr>
        <w:ind w:left="360"/>
        <w:rPr>
          <w:rFonts w:cs="Arial"/>
          <w:u w:val="dotted"/>
          <w:rtl/>
        </w:rPr>
      </w:pPr>
      <w:r w:rsidRPr="00E7468B">
        <w:rPr>
          <w:rFonts w:cs="Arial" w:hint="cs"/>
          <w:u w:val="dotted"/>
          <w:rtl/>
        </w:rPr>
        <w:t>ומה הדין א</w:t>
      </w:r>
      <w:r w:rsidRPr="00E7468B">
        <w:rPr>
          <w:rFonts w:hint="cs"/>
          <w:u w:val="dotted"/>
          <w:rtl/>
        </w:rPr>
        <w:t>ם הם במקום שאין כותבים כתובה, והביא עדים שכתב לה</w:t>
      </w:r>
      <w:r>
        <w:rPr>
          <w:rFonts w:hint="cs"/>
          <w:u w:val="dotted"/>
          <w:rtl/>
        </w:rPr>
        <w:t xml:space="preserve"> כתובה</w:t>
      </w:r>
      <w:r w:rsidRPr="00E7468B">
        <w:rPr>
          <w:rFonts w:hint="cs"/>
          <w:u w:val="dotted"/>
          <w:rtl/>
        </w:rPr>
        <w:t>:</w:t>
      </w:r>
    </w:p>
    <w:p w14:paraId="2498B76B" w14:textId="77777777" w:rsidR="00392DBB" w:rsidRPr="00E7468B" w:rsidRDefault="00392DBB" w:rsidP="009000E3">
      <w:pPr>
        <w:pStyle w:val="ab"/>
        <w:numPr>
          <w:ilvl w:val="0"/>
          <w:numId w:val="61"/>
        </w:numPr>
      </w:pPr>
      <w:r w:rsidRPr="003D2914">
        <w:rPr>
          <w:rFonts w:cs="Arial"/>
          <w:rtl/>
        </w:rPr>
        <w:t>רמב"ם</w:t>
      </w:r>
      <w:r>
        <w:rPr>
          <w:rFonts w:cs="Arial" w:hint="cs"/>
          <w:sz w:val="16"/>
          <w:szCs w:val="16"/>
          <w:rtl/>
        </w:rPr>
        <w:t xml:space="preserve"> (כ"כ הטור בשמו)</w:t>
      </w:r>
      <w:r>
        <w:rPr>
          <w:rFonts w:cs="Arial" w:hint="cs"/>
          <w:rtl/>
        </w:rPr>
        <w:t xml:space="preserve"> ורש"י</w:t>
      </w:r>
      <w:r>
        <w:rPr>
          <w:rFonts w:cs="Arial" w:hint="cs"/>
          <w:sz w:val="16"/>
          <w:szCs w:val="16"/>
          <w:rtl/>
        </w:rPr>
        <w:t xml:space="preserve"> (כ"כ הב"ש [סקל"ו] בשמו)</w:t>
      </w:r>
      <w:r>
        <w:rPr>
          <w:rFonts w:cs="Arial" w:hint="cs"/>
          <w:rtl/>
        </w:rPr>
        <w:t xml:space="preserve">- </w:t>
      </w:r>
      <w:r w:rsidRPr="003D2914">
        <w:rPr>
          <w:rFonts w:cs="Arial"/>
          <w:rtl/>
        </w:rPr>
        <w:t>דינו כבמקום שכותבין ואינה גובה בלא כתובה</w:t>
      </w:r>
      <w:r>
        <w:rPr>
          <w:rFonts w:cs="Arial" w:hint="cs"/>
          <w:rtl/>
        </w:rPr>
        <w:t>.</w:t>
      </w:r>
      <w:r w:rsidRPr="003D2914">
        <w:rPr>
          <w:rFonts w:cs="Arial"/>
          <w:rtl/>
        </w:rPr>
        <w:t xml:space="preserve"> </w:t>
      </w:r>
    </w:p>
    <w:p w14:paraId="11C147FC" w14:textId="77777777" w:rsidR="00392DBB" w:rsidRDefault="00392DBB" w:rsidP="009000E3">
      <w:pPr>
        <w:pStyle w:val="ab"/>
        <w:numPr>
          <w:ilvl w:val="0"/>
          <w:numId w:val="61"/>
        </w:numPr>
      </w:pPr>
      <w:r w:rsidRPr="003D2914">
        <w:rPr>
          <w:rFonts w:cs="Arial"/>
          <w:rtl/>
        </w:rPr>
        <w:t>רא"ש</w:t>
      </w:r>
      <w:r>
        <w:rPr>
          <w:rFonts w:cs="Arial" w:hint="cs"/>
          <w:sz w:val="16"/>
          <w:szCs w:val="16"/>
          <w:rtl/>
        </w:rPr>
        <w:t xml:space="preserve"> (פ"ק דמציעא סי' מד, ובתשו' כלל לו סי' ז)</w:t>
      </w:r>
      <w:r>
        <w:rPr>
          <w:rFonts w:cs="Arial" w:hint="cs"/>
          <w:rtl/>
        </w:rPr>
        <w:t xml:space="preserve">- </w:t>
      </w:r>
      <w:r w:rsidRPr="003D2914">
        <w:rPr>
          <w:rFonts w:cs="Arial"/>
          <w:rtl/>
        </w:rPr>
        <w:t>גובה</w:t>
      </w:r>
      <w:r>
        <w:rPr>
          <w:rFonts w:cs="Arial" w:hint="cs"/>
          <w:rtl/>
        </w:rPr>
        <w:t>,</w:t>
      </w:r>
      <w:r w:rsidRPr="003D2914">
        <w:rPr>
          <w:rFonts w:cs="Arial"/>
          <w:rtl/>
        </w:rPr>
        <w:t xml:space="preserve"> כיון שבאותו מקום לא נהגו לכתוב</w:t>
      </w:r>
      <w:r>
        <w:rPr>
          <w:rFonts w:cs="Arial" w:hint="cs"/>
          <w:rtl/>
        </w:rPr>
        <w:t>.</w:t>
      </w:r>
      <w:r w:rsidRPr="003D2914">
        <w:rPr>
          <w:rFonts w:cs="Arial"/>
          <w:rtl/>
        </w:rPr>
        <w:t xml:space="preserve"> ולא מהימן לומר פרעתי</w:t>
      </w:r>
      <w:r>
        <w:rPr>
          <w:rFonts w:cs="Arial" w:hint="cs"/>
          <w:rtl/>
        </w:rPr>
        <w:t>,</w:t>
      </w:r>
      <w:r w:rsidRPr="003D2914">
        <w:rPr>
          <w:rFonts w:cs="Arial"/>
          <w:rtl/>
        </w:rPr>
        <w:t xml:space="preserve"> דאיהו דאפסיד אנפשיה שכתב לה</w:t>
      </w:r>
      <w:r>
        <w:rPr>
          <w:rFonts w:cs="Arial" w:hint="cs"/>
          <w:rtl/>
        </w:rPr>
        <w:t>,</w:t>
      </w:r>
      <w:r w:rsidRPr="003D2914">
        <w:rPr>
          <w:rFonts w:cs="Arial"/>
          <w:rtl/>
        </w:rPr>
        <w:t xml:space="preserve"> ולא ישתנה הדין בכך</w:t>
      </w:r>
      <w:r>
        <w:rPr>
          <w:rFonts w:cs="Arial" w:hint="cs"/>
          <w:sz w:val="16"/>
          <w:szCs w:val="16"/>
          <w:rtl/>
        </w:rPr>
        <w:t xml:space="preserve"> (ל' הטור בשמו)</w:t>
      </w:r>
      <w:r>
        <w:rPr>
          <w:rFonts w:cs="Arial" w:hint="cs"/>
          <w:rtl/>
        </w:rPr>
        <w:t>.</w:t>
      </w:r>
      <w:r w:rsidRPr="003D2914">
        <w:rPr>
          <w:rFonts w:cs="Arial"/>
          <w:rtl/>
        </w:rPr>
        <w:t xml:space="preserve"> </w:t>
      </w:r>
      <w:r w:rsidRPr="00814509">
        <w:rPr>
          <w:rFonts w:hint="cs"/>
          <w:color w:val="E36C0A" w:themeColor="accent6" w:themeShade="BF"/>
          <w:rtl/>
        </w:rPr>
        <w:t>(וכ"פ בשו"ע</w:t>
      </w:r>
      <w:r w:rsidRPr="00814509">
        <w:rPr>
          <w:rFonts w:hint="cs"/>
          <w:color w:val="E36C0A" w:themeColor="accent6" w:themeShade="BF"/>
          <w:sz w:val="16"/>
          <w:szCs w:val="16"/>
          <w:rtl/>
        </w:rPr>
        <w:t xml:space="preserve"> </w:t>
      </w:r>
      <w:r>
        <w:rPr>
          <w:rFonts w:hint="cs"/>
          <w:sz w:val="16"/>
          <w:szCs w:val="16"/>
          <w:rtl/>
        </w:rPr>
        <w:t>[סע' ט]</w:t>
      </w:r>
      <w:r w:rsidRPr="00814509">
        <w:rPr>
          <w:rFonts w:hint="cs"/>
          <w:color w:val="E36C0A" w:themeColor="accent6" w:themeShade="BF"/>
          <w:rtl/>
        </w:rPr>
        <w:t>)</w:t>
      </w:r>
    </w:p>
    <w:p w14:paraId="3EF3464B" w14:textId="6E135837" w:rsidR="00392DBB" w:rsidRPr="008E6249" w:rsidRDefault="00392DBB" w:rsidP="00392DBB">
      <w:pPr>
        <w:ind w:left="360"/>
        <w:rPr>
          <w:sz w:val="16"/>
          <w:szCs w:val="16"/>
          <w:u w:val="single"/>
        </w:rPr>
      </w:pPr>
      <w:r w:rsidRPr="007A28AB">
        <w:rPr>
          <w:rFonts w:hint="cs"/>
          <w:u w:val="dotted"/>
          <w:rtl/>
        </w:rPr>
        <w:t xml:space="preserve">לתוס' וסיעתו </w:t>
      </w:r>
      <w:r w:rsidR="00F97626">
        <w:rPr>
          <w:u w:val="dotted"/>
          <w:rtl/>
        </w:rPr>
        <w:t>-</w:t>
      </w:r>
      <w:r w:rsidRPr="007A28AB">
        <w:rPr>
          <w:rFonts w:hint="cs"/>
          <w:u w:val="dotted"/>
          <w:rtl/>
        </w:rPr>
        <w:t xml:space="preserve"> האם מגבין לה גם תוספת</w:t>
      </w:r>
      <w:r>
        <w:rPr>
          <w:rFonts w:hint="cs"/>
          <w:u w:val="dotted"/>
          <w:rtl/>
        </w:rPr>
        <w:t xml:space="preserve"> ונדוניא:</w:t>
      </w:r>
      <w:r w:rsidRPr="008E6249">
        <w:rPr>
          <w:rFonts w:hint="cs"/>
          <w:sz w:val="16"/>
          <w:szCs w:val="16"/>
          <w:rtl/>
        </w:rPr>
        <w:t xml:space="preserve">  (דרכ"מ אות טז)</w:t>
      </w:r>
    </w:p>
    <w:p w14:paraId="15DC8A7C" w14:textId="44FE44F8" w:rsidR="00392DBB" w:rsidRPr="00B55BF9" w:rsidRDefault="00392DBB" w:rsidP="009000E3">
      <w:pPr>
        <w:pStyle w:val="ab"/>
        <w:numPr>
          <w:ilvl w:val="0"/>
          <w:numId w:val="61"/>
        </w:numPr>
      </w:pPr>
      <w:r>
        <w:rPr>
          <w:rFonts w:cs="Arial" w:hint="cs"/>
          <w:rtl/>
        </w:rPr>
        <w:t xml:space="preserve">מרדכי </w:t>
      </w:r>
      <w:r w:rsidRPr="00814509">
        <w:rPr>
          <w:rFonts w:cs="Arial" w:hint="cs"/>
          <w:sz w:val="16"/>
          <w:szCs w:val="16"/>
          <w:rtl/>
        </w:rPr>
        <w:t>(סי' רסה, בשם ראבי"ה ר' יצחק ברבי מנוח ספר חפץ מהר"ם וכל גדולי אשכנז)</w:t>
      </w:r>
      <w:r>
        <w:rPr>
          <w:rFonts w:cs="Arial" w:hint="cs"/>
          <w:rtl/>
        </w:rPr>
        <w:t xml:space="preserve">- </w:t>
      </w:r>
      <w:r w:rsidRPr="007A28AB">
        <w:rPr>
          <w:rFonts w:cs="Arial"/>
          <w:rtl/>
        </w:rPr>
        <w:t>לאו דוקא מנה ומאתים אלא אפילו מאה דינרים דתוספת ונדוניא</w:t>
      </w:r>
      <w:r>
        <w:rPr>
          <w:rFonts w:cs="Arial" w:hint="cs"/>
          <w:rtl/>
        </w:rPr>
        <w:t>,</w:t>
      </w:r>
      <w:r w:rsidRPr="007A28AB">
        <w:rPr>
          <w:rFonts w:cs="Arial"/>
          <w:rtl/>
        </w:rPr>
        <w:t xml:space="preserve"> דהוו להו עתה כבית דין של כהנים שהיו כותבין ארבע מאות זוז</w:t>
      </w:r>
      <w:r>
        <w:rPr>
          <w:rStyle w:val="a7"/>
          <w:rFonts w:cs="Arial"/>
          <w:rtl/>
        </w:rPr>
        <w:footnoteReference w:id="1967"/>
      </w:r>
      <w:r>
        <w:rPr>
          <w:rFonts w:cs="Arial" w:hint="cs"/>
          <w:rtl/>
        </w:rPr>
        <w:t>.</w:t>
      </w:r>
      <w:r w:rsidRPr="007A28AB">
        <w:rPr>
          <w:rFonts w:cs="Arial"/>
          <w:rtl/>
        </w:rPr>
        <w:t xml:space="preserve"> </w:t>
      </w:r>
    </w:p>
    <w:p w14:paraId="48B9655A" w14:textId="71D1ECBD" w:rsidR="00392DBB" w:rsidRPr="00D602DC" w:rsidRDefault="00392DBB" w:rsidP="00392DBB">
      <w:pPr>
        <w:ind w:left="360"/>
      </w:pPr>
      <w:r w:rsidRPr="00EA2A20">
        <w:rPr>
          <w:rFonts w:cs="Arial" w:hint="cs"/>
          <w:u w:val="dotted"/>
          <w:rtl/>
        </w:rPr>
        <w:t xml:space="preserve">לרי"ף וסיעתו </w:t>
      </w:r>
      <w:r w:rsidR="00F97626">
        <w:rPr>
          <w:rFonts w:cs="Arial"/>
          <w:u w:val="dotted"/>
          <w:rtl/>
        </w:rPr>
        <w:t>-</w:t>
      </w:r>
      <w:r w:rsidRPr="00EA2A20">
        <w:rPr>
          <w:rFonts w:cs="Arial" w:hint="cs"/>
          <w:u w:val="dotted"/>
          <w:rtl/>
        </w:rPr>
        <w:t xml:space="preserve"> מה הדין אם נודע שנשרפה/נאבדה הכתובה:</w:t>
      </w:r>
      <w:r>
        <w:rPr>
          <w:rFonts w:cs="Arial" w:hint="cs"/>
          <w:rtl/>
        </w:rPr>
        <w:t xml:space="preserve"> </w:t>
      </w:r>
      <w:r>
        <w:rPr>
          <w:rFonts w:cs="Arial" w:hint="cs"/>
          <w:sz w:val="16"/>
          <w:szCs w:val="16"/>
          <w:rtl/>
        </w:rPr>
        <w:t xml:space="preserve"> </w:t>
      </w:r>
      <w:r w:rsidRPr="009D1A72">
        <w:rPr>
          <w:rFonts w:cs="Arial"/>
          <w:sz w:val="16"/>
          <w:szCs w:val="16"/>
          <w:rtl/>
        </w:rPr>
        <w:t>(</w:t>
      </w:r>
      <w:r w:rsidRPr="009D1A72">
        <w:rPr>
          <w:rFonts w:cs="Arial" w:hint="cs"/>
          <w:sz w:val="16"/>
          <w:szCs w:val="16"/>
          <w:rtl/>
        </w:rPr>
        <w:t xml:space="preserve">דרכ"מ אות </w:t>
      </w:r>
      <w:r w:rsidRPr="009D1A72">
        <w:rPr>
          <w:rFonts w:cs="Arial"/>
          <w:sz w:val="16"/>
          <w:szCs w:val="16"/>
          <w:rtl/>
        </w:rPr>
        <w:t xml:space="preserve">טז) </w:t>
      </w:r>
    </w:p>
    <w:p w14:paraId="0B721147" w14:textId="77777777" w:rsidR="00392DBB" w:rsidRDefault="00392DBB" w:rsidP="009000E3">
      <w:pPr>
        <w:pStyle w:val="ab"/>
        <w:numPr>
          <w:ilvl w:val="0"/>
          <w:numId w:val="61"/>
        </w:numPr>
      </w:pPr>
      <w:r w:rsidRPr="00D602DC">
        <w:rPr>
          <w:rFonts w:cs="Arial"/>
          <w:rtl/>
        </w:rPr>
        <w:t xml:space="preserve">הגהות אלפסי </w:t>
      </w:r>
      <w:r w:rsidRPr="009D1A72">
        <w:rPr>
          <w:rFonts w:cs="Arial" w:hint="cs"/>
          <w:sz w:val="16"/>
          <w:szCs w:val="16"/>
          <w:rtl/>
        </w:rPr>
        <w:t>(</w:t>
      </w:r>
      <w:r w:rsidRPr="009D1A72">
        <w:rPr>
          <w:rFonts w:cs="Arial"/>
          <w:sz w:val="16"/>
          <w:szCs w:val="16"/>
          <w:rtl/>
        </w:rPr>
        <w:t>פ</w:t>
      </w:r>
      <w:r w:rsidRPr="009D1A72">
        <w:rPr>
          <w:rFonts w:cs="Arial" w:hint="cs"/>
          <w:sz w:val="16"/>
          <w:szCs w:val="16"/>
          <w:rtl/>
        </w:rPr>
        <w:t>'</w:t>
      </w:r>
      <w:r w:rsidRPr="009D1A72">
        <w:rPr>
          <w:rFonts w:cs="Arial"/>
          <w:sz w:val="16"/>
          <w:szCs w:val="16"/>
          <w:rtl/>
        </w:rPr>
        <w:t xml:space="preserve"> הכותב מח: אות ד)</w:t>
      </w:r>
      <w:r>
        <w:rPr>
          <w:rFonts w:cs="Arial" w:hint="cs"/>
          <w:rtl/>
        </w:rPr>
        <w:t>-</w:t>
      </w:r>
      <w:r w:rsidRPr="00D602DC">
        <w:rPr>
          <w:rFonts w:cs="Arial"/>
          <w:rtl/>
        </w:rPr>
        <w:t xml:space="preserve"> אם נודע שנשרף הכתובה או נאבדה חזר להיות כמקום שאין כותבין כתובה ואינו נאמן לומר פרוע</w:t>
      </w:r>
      <w:r>
        <w:rPr>
          <w:rFonts w:cs="Arial" w:hint="cs"/>
          <w:rtl/>
        </w:rPr>
        <w:t>.</w:t>
      </w:r>
      <w:r w:rsidRPr="0070440F">
        <w:rPr>
          <w:rFonts w:hint="cs"/>
          <w:color w:val="00B0F0"/>
          <w:rtl/>
        </w:rPr>
        <w:t xml:space="preserve"> (וכ"פ הרמ"א)</w:t>
      </w:r>
    </w:p>
    <w:p w14:paraId="320D93A1" w14:textId="06545E17" w:rsidR="00392DBB" w:rsidRPr="00B55BF9" w:rsidRDefault="00392DBB" w:rsidP="00392DBB">
      <w:pPr>
        <w:rPr>
          <w:u w:val="single"/>
        </w:rPr>
      </w:pPr>
      <w:r w:rsidRPr="00B55BF9">
        <w:rPr>
          <w:rFonts w:cs="Arial"/>
          <w:u w:val="single"/>
          <w:rtl/>
        </w:rPr>
        <w:t>אשה שאבדה כתובתה</w:t>
      </w:r>
      <w:r w:rsidRPr="00B55BF9">
        <w:rPr>
          <w:rFonts w:hint="cs"/>
          <w:u w:val="single"/>
          <w:rtl/>
        </w:rPr>
        <w:t xml:space="preserve"> </w:t>
      </w:r>
      <w:r w:rsidR="00F97626">
        <w:rPr>
          <w:u w:val="single"/>
          <w:rtl/>
        </w:rPr>
        <w:t>-</w:t>
      </w:r>
      <w:r w:rsidRPr="00B55BF9">
        <w:rPr>
          <w:rFonts w:hint="cs"/>
          <w:u w:val="single"/>
          <w:rtl/>
        </w:rPr>
        <w:t xml:space="preserve"> איך שמין כמה היה בכתובתה:</w:t>
      </w:r>
    </w:p>
    <w:p w14:paraId="4DE5623A" w14:textId="77777777" w:rsidR="00392DBB" w:rsidRDefault="00392DBB" w:rsidP="009000E3">
      <w:pPr>
        <w:pStyle w:val="ab"/>
        <w:numPr>
          <w:ilvl w:val="0"/>
          <w:numId w:val="61"/>
        </w:numPr>
      </w:pPr>
      <w:r w:rsidRPr="00B55BF9">
        <w:rPr>
          <w:rFonts w:cs="Arial"/>
          <w:rtl/>
        </w:rPr>
        <w:t xml:space="preserve">רא"ש </w:t>
      </w:r>
      <w:r w:rsidRPr="00B55BF9">
        <w:rPr>
          <w:rFonts w:cs="Arial" w:hint="cs"/>
          <w:sz w:val="16"/>
          <w:szCs w:val="16"/>
          <w:rtl/>
        </w:rPr>
        <w:t>(</w:t>
      </w:r>
      <w:r w:rsidRPr="00B55BF9">
        <w:rPr>
          <w:rFonts w:cs="Arial"/>
          <w:sz w:val="16"/>
          <w:szCs w:val="16"/>
          <w:rtl/>
        </w:rPr>
        <w:t>סוף כלל צח סי' י</w:t>
      </w:r>
      <w:r>
        <w:rPr>
          <w:rFonts w:cs="Arial" w:hint="cs"/>
          <w:sz w:val="16"/>
          <w:szCs w:val="16"/>
          <w:rtl/>
        </w:rPr>
        <w:t>, הביאה הטור סי' סו</w:t>
      </w:r>
      <w:r w:rsidRPr="00B55BF9">
        <w:rPr>
          <w:rFonts w:cs="Arial"/>
          <w:sz w:val="16"/>
          <w:szCs w:val="16"/>
          <w:rtl/>
        </w:rPr>
        <w:t>)</w:t>
      </w:r>
      <w:r>
        <w:rPr>
          <w:rFonts w:cs="Arial" w:hint="cs"/>
          <w:rtl/>
        </w:rPr>
        <w:t>-</w:t>
      </w:r>
      <w:r w:rsidRPr="00B55BF9">
        <w:rPr>
          <w:rFonts w:cs="Arial"/>
          <w:rtl/>
        </w:rPr>
        <w:t xml:space="preserve"> אשה שאבדה כתובתה</w:t>
      </w:r>
      <w:r>
        <w:rPr>
          <w:rFonts w:cs="Arial" w:hint="cs"/>
          <w:rtl/>
        </w:rPr>
        <w:t>,</w:t>
      </w:r>
      <w:r w:rsidRPr="00B55BF9">
        <w:rPr>
          <w:rFonts w:cs="Arial"/>
          <w:rtl/>
        </w:rPr>
        <w:t xml:space="preserve"> רואים כתובת נשי משפחתה </w:t>
      </w:r>
      <w:r>
        <w:rPr>
          <w:rFonts w:cs="Arial" w:hint="cs"/>
          <w:rtl/>
        </w:rPr>
        <w:t xml:space="preserve">- </w:t>
      </w:r>
      <w:r w:rsidRPr="00B55BF9">
        <w:rPr>
          <w:rFonts w:cs="Arial"/>
          <w:rtl/>
        </w:rPr>
        <w:t>וכתובתה כמותם</w:t>
      </w:r>
      <w:r>
        <w:rPr>
          <w:rFonts w:cs="Arial" w:hint="cs"/>
          <w:rtl/>
        </w:rPr>
        <w:t>.</w:t>
      </w:r>
      <w:r w:rsidRPr="00B55BF9">
        <w:rPr>
          <w:rFonts w:cs="Arial"/>
          <w:rtl/>
        </w:rPr>
        <w:t xml:space="preserve"> ואם כתובות נשי משפחתו מרובות משל נשי משפחתה </w:t>
      </w:r>
      <w:r>
        <w:rPr>
          <w:rFonts w:cs="Arial" w:hint="cs"/>
          <w:rtl/>
        </w:rPr>
        <w:t xml:space="preserve">- </w:t>
      </w:r>
      <w:r w:rsidRPr="00B55BF9">
        <w:rPr>
          <w:rFonts w:cs="Arial"/>
          <w:rtl/>
        </w:rPr>
        <w:t>עולה עמו</w:t>
      </w:r>
      <w:r>
        <w:rPr>
          <w:rStyle w:val="a7"/>
          <w:rFonts w:cs="Arial"/>
          <w:rtl/>
        </w:rPr>
        <w:footnoteReference w:id="1968"/>
      </w:r>
      <w:r w:rsidRPr="00B55BF9">
        <w:rPr>
          <w:rFonts w:cs="Arial" w:hint="cs"/>
          <w:rtl/>
        </w:rPr>
        <w:t>.</w:t>
      </w:r>
      <w:r>
        <w:rPr>
          <w:rFonts w:hint="cs"/>
          <w:rtl/>
        </w:rPr>
        <w:t xml:space="preserve"> </w:t>
      </w:r>
    </w:p>
    <w:p w14:paraId="73F623A2" w14:textId="77777777" w:rsidR="00392DBB" w:rsidRPr="00FD573D" w:rsidRDefault="00392DBB" w:rsidP="009000E3">
      <w:pPr>
        <w:pStyle w:val="ab"/>
        <w:numPr>
          <w:ilvl w:val="0"/>
          <w:numId w:val="61"/>
        </w:numPr>
      </w:pPr>
      <w:r>
        <w:rPr>
          <w:rFonts w:hint="cs"/>
          <w:rtl/>
        </w:rPr>
        <w:lastRenderedPageBreak/>
        <w:t xml:space="preserve">ספר חפץ </w:t>
      </w:r>
      <w:r w:rsidRPr="00FD573D">
        <w:rPr>
          <w:rFonts w:hint="cs"/>
          <w:sz w:val="16"/>
          <w:szCs w:val="16"/>
          <w:rtl/>
        </w:rPr>
        <w:t>(כ"כ בשמו</w:t>
      </w:r>
      <w:r w:rsidRPr="00FD573D">
        <w:rPr>
          <w:rFonts w:cs="Arial" w:hint="cs"/>
          <w:sz w:val="16"/>
          <w:szCs w:val="16"/>
          <w:rtl/>
        </w:rPr>
        <w:t xml:space="preserve"> סמ"ג [עשין מח] ומרדכי [</w:t>
      </w:r>
      <w:r w:rsidRPr="00FD573D">
        <w:rPr>
          <w:rFonts w:cs="Arial"/>
          <w:sz w:val="16"/>
          <w:szCs w:val="16"/>
          <w:rtl/>
        </w:rPr>
        <w:t>סוף הכותב סי' רלד</w:t>
      </w:r>
      <w:r w:rsidRPr="00FD573D">
        <w:rPr>
          <w:rFonts w:cs="Arial" w:hint="cs"/>
          <w:sz w:val="16"/>
          <w:szCs w:val="16"/>
          <w:rtl/>
        </w:rPr>
        <w:t>])</w:t>
      </w:r>
      <w:r>
        <w:rPr>
          <w:rFonts w:cs="Arial" w:hint="cs"/>
          <w:rtl/>
        </w:rPr>
        <w:t>-</w:t>
      </w:r>
      <w:r w:rsidRPr="00FD573D">
        <w:rPr>
          <w:rFonts w:cs="Arial"/>
          <w:rtl/>
        </w:rPr>
        <w:t xml:space="preserve"> אשה שאבדה כתובתה ונתאלמנה או נתגרשה גובה אפילו תוספת ומביאין ב' או ג' כתובות ומגבינן לה כפחות שבהן ובשבועה</w:t>
      </w:r>
      <w:r>
        <w:rPr>
          <w:rFonts w:cs="Arial" w:hint="cs"/>
          <w:rtl/>
        </w:rPr>
        <w:t>.</w:t>
      </w:r>
    </w:p>
    <w:p w14:paraId="44C1F284" w14:textId="77777777" w:rsidR="00392DBB" w:rsidRPr="00FD573D" w:rsidRDefault="00392DBB" w:rsidP="00392DBB">
      <w:pPr>
        <w:rPr>
          <w:u w:val="single"/>
        </w:rPr>
      </w:pPr>
      <w:r w:rsidRPr="00FD573D">
        <w:rPr>
          <w:rFonts w:cs="Arial"/>
          <w:u w:val="single"/>
          <w:rtl/>
        </w:rPr>
        <w:t>אשה ש</w:t>
      </w:r>
      <w:r w:rsidRPr="00FD573D">
        <w:rPr>
          <w:rFonts w:cs="Arial" w:hint="cs"/>
          <w:u w:val="single"/>
          <w:rtl/>
        </w:rPr>
        <w:t>מחזיקה</w:t>
      </w:r>
      <w:r w:rsidRPr="00FD573D">
        <w:rPr>
          <w:rFonts w:cs="Arial"/>
          <w:u w:val="single"/>
          <w:rtl/>
        </w:rPr>
        <w:t xml:space="preserve"> חצי כתובתה </w:t>
      </w:r>
      <w:r w:rsidRPr="00FD573D">
        <w:rPr>
          <w:rFonts w:cs="Arial" w:hint="cs"/>
          <w:u w:val="single"/>
          <w:rtl/>
        </w:rPr>
        <w:t>שנחתכה בסכין:</w:t>
      </w:r>
      <w:r>
        <w:rPr>
          <w:rFonts w:cs="Arial" w:hint="cs"/>
          <w:rtl/>
        </w:rPr>
        <w:t xml:space="preserve"> </w:t>
      </w:r>
      <w:r>
        <w:rPr>
          <w:rFonts w:cs="Arial" w:hint="cs"/>
          <w:sz w:val="16"/>
          <w:szCs w:val="16"/>
          <w:rtl/>
        </w:rPr>
        <w:t xml:space="preserve"> </w:t>
      </w:r>
      <w:r w:rsidRPr="009D1A72">
        <w:rPr>
          <w:rFonts w:cs="Arial"/>
          <w:sz w:val="16"/>
          <w:szCs w:val="16"/>
          <w:rtl/>
        </w:rPr>
        <w:t>(</w:t>
      </w:r>
      <w:r w:rsidRPr="009D1A72">
        <w:rPr>
          <w:rFonts w:cs="Arial" w:hint="cs"/>
          <w:sz w:val="16"/>
          <w:szCs w:val="16"/>
          <w:rtl/>
        </w:rPr>
        <w:t xml:space="preserve">דרכ"מ אות </w:t>
      </w:r>
      <w:r w:rsidRPr="009D1A72">
        <w:rPr>
          <w:rFonts w:cs="Arial"/>
          <w:sz w:val="16"/>
          <w:szCs w:val="16"/>
          <w:rtl/>
        </w:rPr>
        <w:t>טז)</w:t>
      </w:r>
    </w:p>
    <w:p w14:paraId="5F8184BF" w14:textId="08F879C0" w:rsidR="00392DBB" w:rsidRDefault="00392DBB" w:rsidP="009000E3">
      <w:pPr>
        <w:pStyle w:val="ab"/>
        <w:numPr>
          <w:ilvl w:val="0"/>
          <w:numId w:val="61"/>
        </w:numPr>
      </w:pPr>
      <w:r w:rsidRPr="00D602DC">
        <w:rPr>
          <w:rFonts w:cs="Arial"/>
          <w:rtl/>
        </w:rPr>
        <w:t>ריב"ש</w:t>
      </w:r>
      <w:r w:rsidRPr="00FD573D">
        <w:rPr>
          <w:rFonts w:cs="Arial"/>
          <w:sz w:val="16"/>
          <w:szCs w:val="16"/>
          <w:rtl/>
        </w:rPr>
        <w:t xml:space="preserve"> </w:t>
      </w:r>
      <w:r w:rsidRPr="00FD573D">
        <w:rPr>
          <w:rFonts w:cs="Arial" w:hint="cs"/>
          <w:sz w:val="16"/>
          <w:szCs w:val="16"/>
          <w:rtl/>
        </w:rPr>
        <w:t>(</w:t>
      </w:r>
      <w:r w:rsidRPr="00FD573D">
        <w:rPr>
          <w:rFonts w:cs="Arial"/>
          <w:sz w:val="16"/>
          <w:szCs w:val="16"/>
          <w:rtl/>
        </w:rPr>
        <w:t>סי</w:t>
      </w:r>
      <w:r w:rsidRPr="00FD573D">
        <w:rPr>
          <w:rFonts w:cs="Arial" w:hint="cs"/>
          <w:sz w:val="16"/>
          <w:szCs w:val="16"/>
          <w:rtl/>
        </w:rPr>
        <w:t>'</w:t>
      </w:r>
      <w:r w:rsidRPr="00FD573D">
        <w:rPr>
          <w:rFonts w:cs="Arial"/>
          <w:sz w:val="16"/>
          <w:szCs w:val="16"/>
          <w:rtl/>
        </w:rPr>
        <w:t xml:space="preserve"> שפג</w:t>
      </w:r>
      <w:r w:rsidRPr="00FD573D">
        <w:rPr>
          <w:rFonts w:cs="Arial" w:hint="cs"/>
          <w:sz w:val="16"/>
          <w:szCs w:val="16"/>
          <w:rtl/>
        </w:rPr>
        <w:t>)</w:t>
      </w:r>
      <w:r>
        <w:rPr>
          <w:rFonts w:cs="Arial" w:hint="cs"/>
          <w:rtl/>
        </w:rPr>
        <w:t>-</w:t>
      </w:r>
      <w:r w:rsidRPr="00D602DC">
        <w:rPr>
          <w:rFonts w:cs="Arial"/>
          <w:rtl/>
        </w:rPr>
        <w:t xml:space="preserve"> אשה שהביאה חצי כתובתה בידה ונראה שהיתה נחתכת בסכין </w:t>
      </w:r>
      <w:r w:rsidR="00AF3047">
        <w:rPr>
          <w:rFonts w:cs="Arial" w:hint="cs"/>
          <w:rtl/>
        </w:rPr>
        <w:t xml:space="preserve">- </w:t>
      </w:r>
      <w:r w:rsidRPr="00D602DC">
        <w:rPr>
          <w:rFonts w:cs="Arial"/>
          <w:rtl/>
        </w:rPr>
        <w:t>אינה גובה כלום אע</w:t>
      </w:r>
      <w:r>
        <w:rPr>
          <w:rFonts w:cs="Arial" w:hint="cs"/>
          <w:rtl/>
        </w:rPr>
        <w:t>"</w:t>
      </w:r>
      <w:r w:rsidRPr="00D602DC">
        <w:rPr>
          <w:rFonts w:cs="Arial"/>
          <w:rtl/>
        </w:rPr>
        <w:t>ג</w:t>
      </w:r>
      <w:r>
        <w:rPr>
          <w:rFonts w:cs="Arial" w:hint="cs"/>
          <w:rtl/>
        </w:rPr>
        <w:t xml:space="preserve"> </w:t>
      </w:r>
      <w:r w:rsidRPr="00D602DC">
        <w:rPr>
          <w:rFonts w:cs="Arial"/>
          <w:rtl/>
        </w:rPr>
        <w:t>דלא הוי בה קרע שתי וערב</w:t>
      </w:r>
      <w:r>
        <w:rPr>
          <w:rStyle w:val="a7"/>
          <w:rFonts w:cs="Arial"/>
          <w:rtl/>
        </w:rPr>
        <w:footnoteReference w:id="1969"/>
      </w:r>
      <w:r>
        <w:rPr>
          <w:rFonts w:cs="Arial" w:hint="cs"/>
          <w:rtl/>
        </w:rPr>
        <w:t>.</w:t>
      </w:r>
      <w:r>
        <w:rPr>
          <w:rFonts w:hint="cs"/>
          <w:color w:val="00B0F0"/>
          <w:rtl/>
        </w:rPr>
        <w:t xml:space="preserve"> </w:t>
      </w:r>
      <w:r w:rsidRPr="0070440F">
        <w:rPr>
          <w:rFonts w:hint="cs"/>
          <w:color w:val="00B0F0"/>
          <w:rtl/>
        </w:rPr>
        <w:t>(וכ"פ הרמ"א)</w:t>
      </w:r>
    </w:p>
    <w:p w14:paraId="06CE8894" w14:textId="23771DF8" w:rsidR="00392DBB" w:rsidRDefault="00392DBB" w:rsidP="00392DBB">
      <w:pPr>
        <w:rPr>
          <w:rtl/>
        </w:rPr>
      </w:pPr>
      <w:r w:rsidRPr="00D24FB5">
        <w:rPr>
          <w:rFonts w:cs="Arial" w:hint="cs"/>
          <w:b/>
          <w:bCs/>
          <w:rtl/>
        </w:rPr>
        <w:t>תוספתא כתובות פי"א ה"א:</w:t>
      </w:r>
      <w:r>
        <w:rPr>
          <w:rFonts w:cs="Arial" w:hint="cs"/>
          <w:rtl/>
        </w:rPr>
        <w:t xml:space="preserve"> </w:t>
      </w:r>
      <w:r w:rsidRPr="00D24FB5">
        <w:rPr>
          <w:rFonts w:cs="Arial"/>
          <w:rtl/>
        </w:rPr>
        <w:t>אלמנה שתובעת כתובתה</w:t>
      </w:r>
      <w:r w:rsidR="00AF3047">
        <w:rPr>
          <w:rFonts w:cs="Arial" w:hint="cs"/>
          <w:rtl/>
        </w:rPr>
        <w:t>.</w:t>
      </w:r>
      <w:r w:rsidRPr="00D24FB5">
        <w:rPr>
          <w:rFonts w:cs="Arial"/>
          <w:rtl/>
        </w:rPr>
        <w:t xml:space="preserve"> והיורשים אומ</w:t>
      </w:r>
      <w:r>
        <w:rPr>
          <w:rFonts w:cs="Arial" w:hint="cs"/>
          <w:rtl/>
        </w:rPr>
        <w:t>רים</w:t>
      </w:r>
      <w:r w:rsidRPr="00D24FB5">
        <w:rPr>
          <w:rFonts w:cs="Arial"/>
          <w:rtl/>
        </w:rPr>
        <w:t xml:space="preserve"> לה</w:t>
      </w:r>
      <w:r w:rsidR="00AF3047">
        <w:rPr>
          <w:rFonts w:cs="Arial" w:hint="cs"/>
          <w:rtl/>
        </w:rPr>
        <w:t>:</w:t>
      </w:r>
      <w:r w:rsidRPr="00D24FB5">
        <w:rPr>
          <w:rFonts w:cs="Arial"/>
          <w:rtl/>
        </w:rPr>
        <w:t xml:space="preserve"> התקבלת כתובתיך</w:t>
      </w:r>
      <w:r w:rsidR="00AF3047">
        <w:rPr>
          <w:rFonts w:cs="Arial" w:hint="cs"/>
          <w:rtl/>
        </w:rPr>
        <w:t>.</w:t>
      </w:r>
      <w:r w:rsidRPr="00D24FB5">
        <w:rPr>
          <w:rFonts w:cs="Arial"/>
          <w:rtl/>
        </w:rPr>
        <w:t xml:space="preserve"> עד שלא נשאת </w:t>
      </w:r>
      <w:r w:rsidR="00AF3047">
        <w:rPr>
          <w:rFonts w:cs="Arial" w:hint="cs"/>
          <w:rtl/>
        </w:rPr>
        <w:t xml:space="preserve">- </w:t>
      </w:r>
      <w:r w:rsidRPr="00D24FB5">
        <w:rPr>
          <w:rFonts w:cs="Arial"/>
          <w:rtl/>
        </w:rPr>
        <w:t>הן צריכין להביא ראיה שנתקבלה כתובתה</w:t>
      </w:r>
      <w:r w:rsidR="00AF3047">
        <w:rPr>
          <w:rFonts w:cs="Arial" w:hint="cs"/>
          <w:rtl/>
        </w:rPr>
        <w:t>.</w:t>
      </w:r>
      <w:r w:rsidRPr="00D24FB5">
        <w:rPr>
          <w:rFonts w:cs="Arial"/>
          <w:rtl/>
        </w:rPr>
        <w:t xml:space="preserve"> משנשאת </w:t>
      </w:r>
      <w:r w:rsidR="00AF3047">
        <w:rPr>
          <w:rFonts w:cs="Arial" w:hint="cs"/>
          <w:rtl/>
        </w:rPr>
        <w:t xml:space="preserve">- </w:t>
      </w:r>
      <w:r w:rsidRPr="00D24FB5">
        <w:rPr>
          <w:rFonts w:cs="Arial"/>
          <w:rtl/>
        </w:rPr>
        <w:t>צריכה להביא ראיה שלא נתקבלה כתובתה</w:t>
      </w:r>
      <w:r>
        <w:rPr>
          <w:rFonts w:hint="cs"/>
          <w:rtl/>
        </w:rPr>
        <w:t>.</w:t>
      </w:r>
    </w:p>
    <w:p w14:paraId="3C5A4C8A" w14:textId="3A095218" w:rsidR="00392DBB" w:rsidRPr="00D512B4" w:rsidRDefault="00392DBB" w:rsidP="00392DBB">
      <w:pPr>
        <w:rPr>
          <w:u w:val="single"/>
        </w:rPr>
      </w:pPr>
      <w:r w:rsidRPr="00D512B4">
        <w:rPr>
          <w:rFonts w:hint="cs"/>
          <w:u w:val="single"/>
          <w:rtl/>
        </w:rPr>
        <w:t>אלמנה ש</w:t>
      </w:r>
      <w:r>
        <w:rPr>
          <w:rFonts w:hint="cs"/>
          <w:u w:val="single"/>
          <w:rtl/>
        </w:rPr>
        <w:t>אין לה כתובה ו</w:t>
      </w:r>
      <w:r w:rsidRPr="00D512B4">
        <w:rPr>
          <w:rFonts w:hint="cs"/>
          <w:u w:val="single"/>
          <w:rtl/>
        </w:rPr>
        <w:t xml:space="preserve">עדיין לא גבתה כתובתה, ונשאת </w:t>
      </w:r>
      <w:r w:rsidR="00F97626">
        <w:rPr>
          <w:u w:val="single"/>
          <w:rtl/>
        </w:rPr>
        <w:t>-</w:t>
      </w:r>
      <w:r w:rsidRPr="00D512B4">
        <w:rPr>
          <w:rFonts w:hint="cs"/>
          <w:u w:val="single"/>
          <w:rtl/>
        </w:rPr>
        <w:t xml:space="preserve"> האם יכולה עדיין לגבות כתובתה:</w:t>
      </w:r>
    </w:p>
    <w:p w14:paraId="6F371B81" w14:textId="77777777" w:rsidR="00392DBB" w:rsidRDefault="00392DBB" w:rsidP="009000E3">
      <w:pPr>
        <w:pStyle w:val="ab"/>
        <w:numPr>
          <w:ilvl w:val="0"/>
          <w:numId w:val="61"/>
        </w:numPr>
      </w:pPr>
      <w:r>
        <w:rPr>
          <w:rFonts w:cs="Arial" w:hint="cs"/>
          <w:rtl/>
        </w:rPr>
        <w:t xml:space="preserve">ראב"ן </w:t>
      </w:r>
      <w:r>
        <w:rPr>
          <w:rFonts w:cs="Arial" w:hint="cs"/>
          <w:sz w:val="16"/>
          <w:szCs w:val="16"/>
          <w:rtl/>
        </w:rPr>
        <w:t>(סי' קז)</w:t>
      </w:r>
      <w:r>
        <w:rPr>
          <w:rFonts w:cs="Arial" w:hint="cs"/>
          <w:rtl/>
        </w:rPr>
        <w:t xml:space="preserve">- </w:t>
      </w:r>
      <w:r w:rsidRPr="00D24FB5">
        <w:rPr>
          <w:rFonts w:cs="Arial"/>
          <w:rtl/>
        </w:rPr>
        <w:t>כתובה כשתיקנו רבנן לא תיקנו תחת מעשה ידיה ולא תלו גבייתה בנישואין. הילכך אומר אני שגובה בתקנת ב"ד עד כ"ה אפילו ניסת דאטו נישואין מי פקעי תקנת ב"ד, דהא דפקעי נישואין תנאין תנאי ב"ד דמזונות, לאו נישואין פקעינן אלא מעשה ידיה דלית להו פקעינן, אבל כתובה במאי פקע אפילו אין שטר כתובה בידה.</w:t>
      </w:r>
    </w:p>
    <w:p w14:paraId="302707BE" w14:textId="1EB25D4E" w:rsidR="00392DBB" w:rsidRPr="00AB0CBA" w:rsidRDefault="00392DBB" w:rsidP="009000E3">
      <w:pPr>
        <w:pStyle w:val="ab"/>
        <w:numPr>
          <w:ilvl w:val="0"/>
          <w:numId w:val="61"/>
        </w:numPr>
        <w:rPr>
          <w:rtl/>
        </w:rPr>
      </w:pPr>
      <w:r>
        <w:rPr>
          <w:rFonts w:cs="Arial" w:hint="cs"/>
          <w:rtl/>
        </w:rPr>
        <w:t xml:space="preserve">ר' יצחק הלוי </w:t>
      </w:r>
      <w:r w:rsidRPr="00D24FB5">
        <w:rPr>
          <w:rFonts w:cs="Arial"/>
          <w:rtl/>
        </w:rPr>
        <w:t>ריב"א</w:t>
      </w:r>
      <w:r>
        <w:rPr>
          <w:rFonts w:cs="Arial" w:hint="cs"/>
          <w:rtl/>
        </w:rPr>
        <w:t xml:space="preserve"> ומהר"ם</w:t>
      </w:r>
      <w:r>
        <w:rPr>
          <w:rStyle w:val="a7"/>
          <w:rFonts w:cs="Arial"/>
          <w:rtl/>
        </w:rPr>
        <w:footnoteReference w:id="1970"/>
      </w:r>
      <w:r>
        <w:rPr>
          <w:rFonts w:cs="Arial" w:hint="cs"/>
          <w:rtl/>
        </w:rPr>
        <w:t>-</w:t>
      </w:r>
      <w:r w:rsidRPr="00D24FB5">
        <w:rPr>
          <w:rFonts w:cs="Arial"/>
          <w:rtl/>
        </w:rPr>
        <w:t xml:space="preserve"> אלמנה כל זמן שלא נשאת נאמנת היא בין למזונות בין לכתובה</w:t>
      </w:r>
      <w:r w:rsidR="00AF3047">
        <w:rPr>
          <w:rFonts w:cs="Arial" w:hint="cs"/>
          <w:rtl/>
        </w:rPr>
        <w:t>,</w:t>
      </w:r>
      <w:r w:rsidRPr="00D24FB5">
        <w:rPr>
          <w:rFonts w:cs="Arial"/>
          <w:rtl/>
        </w:rPr>
        <w:t xml:space="preserve"> ואע</w:t>
      </w:r>
      <w:r>
        <w:rPr>
          <w:rFonts w:cs="Arial" w:hint="cs"/>
          <w:rtl/>
        </w:rPr>
        <w:t>"</w:t>
      </w:r>
      <w:r w:rsidRPr="00D24FB5">
        <w:rPr>
          <w:rFonts w:cs="Arial"/>
          <w:rtl/>
        </w:rPr>
        <w:t>פ שאין הכתובה בידה נאמנת לומר לא נפרעתי כלל או לא נפרעתי אלא כך וכך ונוטלת השאר בשבועה</w:t>
      </w:r>
      <w:r w:rsidR="00AF3047">
        <w:rPr>
          <w:rFonts w:cs="Arial" w:hint="cs"/>
          <w:rtl/>
        </w:rPr>
        <w:t>,</w:t>
      </w:r>
      <w:r w:rsidRPr="00D24FB5">
        <w:rPr>
          <w:rFonts w:cs="Arial"/>
          <w:rtl/>
        </w:rPr>
        <w:t xml:space="preserve"> ואפילו אמרו היורשין ודאי פרענו</w:t>
      </w:r>
      <w:r w:rsidR="00AF3047">
        <w:rPr>
          <w:rFonts w:cs="Arial" w:hint="cs"/>
          <w:rtl/>
        </w:rPr>
        <w:t>.</w:t>
      </w:r>
      <w:r w:rsidRPr="00D24FB5">
        <w:rPr>
          <w:rFonts w:cs="Arial"/>
          <w:rtl/>
        </w:rPr>
        <w:t xml:space="preserve"> אבל לאחר שנישאת אינה נאמנת על הכתובה אא"כ שטר כתובה יוצא מתחת ידה</w:t>
      </w:r>
      <w:r w:rsidR="00AF3047">
        <w:rPr>
          <w:rFonts w:cs="Arial" w:hint="cs"/>
          <w:rtl/>
        </w:rPr>
        <w:t>,</w:t>
      </w:r>
      <w:r w:rsidRPr="00D24FB5">
        <w:rPr>
          <w:rFonts w:cs="Arial"/>
          <w:rtl/>
        </w:rPr>
        <w:t xml:space="preserve"> ועל המזונות אינה נאמנת כלל לאחר שנשאת אע</w:t>
      </w:r>
      <w:r>
        <w:rPr>
          <w:rFonts w:cs="Arial" w:hint="cs"/>
          <w:rtl/>
        </w:rPr>
        <w:t>"</w:t>
      </w:r>
      <w:r w:rsidRPr="00D24FB5">
        <w:rPr>
          <w:rFonts w:cs="Arial"/>
          <w:rtl/>
        </w:rPr>
        <w:t>פ ששטר כתובה יוצא מתחת ידה</w:t>
      </w:r>
      <w:r>
        <w:rPr>
          <w:rFonts w:cs="Arial" w:hint="cs"/>
          <w:sz w:val="16"/>
          <w:szCs w:val="16"/>
          <w:rtl/>
        </w:rPr>
        <w:t xml:space="preserve"> (ל' המרדכי בשם ריב"א)</w:t>
      </w:r>
      <w:r>
        <w:rPr>
          <w:rFonts w:cs="Arial" w:hint="cs"/>
          <w:rtl/>
        </w:rPr>
        <w:t>.</w:t>
      </w:r>
      <w:r>
        <w:rPr>
          <w:rFonts w:hint="cs"/>
          <w:rtl/>
        </w:rPr>
        <w:t xml:space="preserve"> </w:t>
      </w:r>
      <w:r w:rsidRPr="006C210B">
        <w:rPr>
          <w:rFonts w:hint="cs"/>
          <w:color w:val="00B0F0"/>
          <w:rtl/>
        </w:rPr>
        <w:t>(וכ"כ הרמ"א)</w:t>
      </w:r>
    </w:p>
    <w:p w14:paraId="6460E2CE"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3E9F06B" w14:textId="473CFE48" w:rsidR="00392DBB" w:rsidRDefault="00392DBB" w:rsidP="00392DBB">
      <w:pPr>
        <w:rPr>
          <w:rtl/>
        </w:rPr>
      </w:pPr>
      <w:r>
        <w:rPr>
          <w:rFonts w:cs="Arial"/>
          <w:rtl/>
        </w:rPr>
        <w:t>אלמנה, אם אין שטר כתובה יוצא מתחת ידה, אינה גובה אפילו עיקר כתובה. וכן הגרושה, אם הבעל טוען: פרעתי או מחלה, אפילו עיקר כתובה אין לה עד שתוציא שטר כתובה. ב</w:t>
      </w:r>
      <w:r>
        <w:rPr>
          <w:rFonts w:cs="Arial" w:hint="cs"/>
          <w:rtl/>
        </w:rPr>
        <w:t xml:space="preserve">מה דברים </w:t>
      </w:r>
      <w:r>
        <w:rPr>
          <w:rFonts w:cs="Arial"/>
          <w:rtl/>
        </w:rPr>
        <w:t>א</w:t>
      </w:r>
      <w:r>
        <w:rPr>
          <w:rFonts w:cs="Arial" w:hint="cs"/>
          <w:rtl/>
        </w:rPr>
        <w:t>מורים</w:t>
      </w:r>
      <w:r>
        <w:rPr>
          <w:rFonts w:cs="Arial"/>
          <w:rtl/>
        </w:rPr>
        <w:t>, במקום שדרכם לכתוב כתובה. אבל במקום שאין דרכם לכתוב כתובה, אלא סומכים על תנאי ב</w:t>
      </w:r>
      <w:r>
        <w:rPr>
          <w:rFonts w:cs="Arial" w:hint="cs"/>
          <w:rtl/>
        </w:rPr>
        <w:t xml:space="preserve">ית </w:t>
      </w:r>
      <w:r>
        <w:rPr>
          <w:rFonts w:cs="Arial"/>
          <w:rtl/>
        </w:rPr>
        <w:t>ד</w:t>
      </w:r>
      <w:r>
        <w:rPr>
          <w:rFonts w:cs="Arial" w:hint="cs"/>
          <w:rtl/>
        </w:rPr>
        <w:t>ין</w:t>
      </w:r>
      <w:r>
        <w:rPr>
          <w:rFonts w:cs="Arial"/>
          <w:rtl/>
        </w:rPr>
        <w:t xml:space="preserve">, הרי זו גובה עיקר כתובה אף על פי שאין בידה שטר כתובה, בין נתגרשה בין נתאלמנה. </w:t>
      </w:r>
      <w:r w:rsidRPr="003D2914">
        <w:rPr>
          <w:rFonts w:cs="Arial"/>
          <w:sz w:val="18"/>
          <w:szCs w:val="18"/>
          <w:rtl/>
        </w:rPr>
        <w:t>הגה: ואם יש עדים שנאבדה</w:t>
      </w:r>
      <w:r>
        <w:rPr>
          <w:rStyle w:val="a7"/>
          <w:rFonts w:cs="Arial"/>
          <w:sz w:val="18"/>
          <w:szCs w:val="18"/>
          <w:rtl/>
        </w:rPr>
        <w:footnoteReference w:id="1971"/>
      </w:r>
      <w:r w:rsidRPr="003D2914">
        <w:rPr>
          <w:rFonts w:cs="Arial"/>
          <w:sz w:val="18"/>
          <w:szCs w:val="18"/>
          <w:rtl/>
        </w:rPr>
        <w:t xml:space="preserve"> הכתובה או נשרפה, אפילו במקום שכותבין הוי כמקום שאין כותבין (הגהות אלפסי). וי"א דאפי' במקום שכותבין</w:t>
      </w:r>
      <w:r>
        <w:rPr>
          <w:rFonts w:cs="Arial" w:hint="cs"/>
          <w:sz w:val="18"/>
          <w:szCs w:val="18"/>
          <w:rtl/>
        </w:rPr>
        <w:t>,</w:t>
      </w:r>
      <w:r w:rsidRPr="003D2914">
        <w:rPr>
          <w:rFonts w:cs="Arial"/>
          <w:sz w:val="18"/>
          <w:szCs w:val="18"/>
          <w:rtl/>
        </w:rPr>
        <w:t xml:space="preserve"> גובה את כתובתה בלא שטר כתובה, דאין נאמנין לומר פרועה היא (</w:t>
      </w:r>
      <w:r w:rsidR="003D6C28">
        <w:rPr>
          <w:rFonts w:cs="Arial" w:hint="cs"/>
          <w:sz w:val="18"/>
          <w:szCs w:val="18"/>
          <w:rtl/>
        </w:rPr>
        <w:t>תוס'</w:t>
      </w:r>
      <w:r w:rsidRPr="003D2914">
        <w:rPr>
          <w:rFonts w:cs="Arial"/>
          <w:sz w:val="18"/>
          <w:szCs w:val="18"/>
          <w:rtl/>
        </w:rPr>
        <w:t>). ולא מבעיא עיקר כתובתה, אלא אפילו התוספת</w:t>
      </w:r>
      <w:r>
        <w:rPr>
          <w:rStyle w:val="a7"/>
          <w:rFonts w:cs="Arial"/>
          <w:sz w:val="18"/>
          <w:szCs w:val="18"/>
          <w:rtl/>
        </w:rPr>
        <w:footnoteReference w:id="1972"/>
      </w:r>
      <w:r w:rsidRPr="003D2914">
        <w:rPr>
          <w:rFonts w:cs="Arial"/>
          <w:sz w:val="18"/>
          <w:szCs w:val="18"/>
          <w:rtl/>
        </w:rPr>
        <w:t xml:space="preserve"> שמנהג כל המדינות להוסיף (מרדכי ותשובת מיימוני). וכן נראה סברת האחרונים (מהרי"ק ומהרא"י). אבל לא נהגו במדינות אלו לגבות בלא כתובה</w:t>
      </w:r>
      <w:r>
        <w:rPr>
          <w:rStyle w:val="a7"/>
          <w:rFonts w:cs="Arial"/>
          <w:sz w:val="18"/>
          <w:szCs w:val="18"/>
          <w:rtl/>
        </w:rPr>
        <w:footnoteReference w:id="1973"/>
      </w:r>
      <w:r w:rsidRPr="003D2914">
        <w:rPr>
          <w:rFonts w:cs="Arial"/>
          <w:sz w:val="18"/>
          <w:szCs w:val="18"/>
          <w:rtl/>
        </w:rPr>
        <w:t>. ולכולי עלמא אם אין המנהג פשוט</w:t>
      </w:r>
      <w:r>
        <w:rPr>
          <w:rStyle w:val="a7"/>
          <w:rFonts w:cs="Arial"/>
          <w:sz w:val="18"/>
          <w:szCs w:val="18"/>
          <w:rtl/>
        </w:rPr>
        <w:footnoteReference w:id="1974"/>
      </w:r>
      <w:r w:rsidRPr="003D2914">
        <w:rPr>
          <w:rFonts w:cs="Arial"/>
          <w:sz w:val="18"/>
          <w:szCs w:val="18"/>
          <w:rtl/>
        </w:rPr>
        <w:t>, אע</w:t>
      </w:r>
      <w:r>
        <w:rPr>
          <w:rFonts w:cs="Arial" w:hint="cs"/>
          <w:sz w:val="18"/>
          <w:szCs w:val="18"/>
          <w:rtl/>
        </w:rPr>
        <w:t>"</w:t>
      </w:r>
      <w:r w:rsidRPr="003D2914">
        <w:rPr>
          <w:rFonts w:cs="Arial"/>
          <w:sz w:val="18"/>
          <w:szCs w:val="18"/>
          <w:rtl/>
        </w:rPr>
        <w:t>פ שכתובתה בידה ואינה מקויימת</w:t>
      </w:r>
      <w:r>
        <w:rPr>
          <w:rStyle w:val="a7"/>
          <w:rFonts w:cs="Arial"/>
          <w:sz w:val="18"/>
          <w:szCs w:val="18"/>
          <w:rtl/>
        </w:rPr>
        <w:footnoteReference w:id="1975"/>
      </w:r>
      <w:r w:rsidRPr="003D2914">
        <w:rPr>
          <w:rFonts w:cs="Arial"/>
          <w:sz w:val="18"/>
          <w:szCs w:val="18"/>
          <w:rtl/>
        </w:rPr>
        <w:t xml:space="preserve">, אינה גובאת בה </w:t>
      </w:r>
      <w:r w:rsidRPr="003D2914">
        <w:rPr>
          <w:rFonts w:cs="Arial"/>
          <w:sz w:val="18"/>
          <w:szCs w:val="18"/>
          <w:rtl/>
        </w:rPr>
        <w:lastRenderedPageBreak/>
        <w:t>(מהרא"י מהרי"ו</w:t>
      </w:r>
      <w:r>
        <w:rPr>
          <w:rFonts w:cs="Arial" w:hint="cs"/>
          <w:sz w:val="18"/>
          <w:szCs w:val="18"/>
          <w:rtl/>
        </w:rPr>
        <w:t xml:space="preserve"> </w:t>
      </w:r>
      <w:r w:rsidRPr="003D2914">
        <w:rPr>
          <w:rFonts w:cs="Arial"/>
          <w:sz w:val="18"/>
          <w:szCs w:val="18"/>
          <w:rtl/>
        </w:rPr>
        <w:t>ומהרי"ק). מיהו אם תפסה האלמנה ויש לה מיגו שתוכל לכפור בנכסים, נאמנת על מה שאמרה שהוסיף לה (מהרי"ו). ועיין לעיל סימן ס"ו</w:t>
      </w:r>
      <w:r>
        <w:rPr>
          <w:rStyle w:val="a7"/>
          <w:rFonts w:cs="Arial"/>
          <w:sz w:val="18"/>
          <w:szCs w:val="18"/>
          <w:rtl/>
        </w:rPr>
        <w:footnoteReference w:id="1976"/>
      </w:r>
      <w:r w:rsidRPr="003D2914">
        <w:rPr>
          <w:rFonts w:cs="Arial"/>
          <w:sz w:val="18"/>
          <w:szCs w:val="18"/>
          <w:rtl/>
        </w:rPr>
        <w:t>. וי"א דאם כבר נשאת לאחר, אינה נאמנת לגבות עוד בלא כתובה</w:t>
      </w:r>
      <w:r>
        <w:rPr>
          <w:rStyle w:val="a7"/>
          <w:rFonts w:cs="Arial"/>
          <w:sz w:val="18"/>
          <w:szCs w:val="18"/>
          <w:rtl/>
        </w:rPr>
        <w:footnoteReference w:id="1977"/>
      </w:r>
      <w:r w:rsidRPr="003D2914">
        <w:rPr>
          <w:rFonts w:cs="Arial"/>
          <w:sz w:val="18"/>
          <w:szCs w:val="18"/>
          <w:rtl/>
        </w:rPr>
        <w:t xml:space="preserve"> (מרדכי</w:t>
      </w:r>
      <w:r w:rsidR="003D6C28">
        <w:rPr>
          <w:rFonts w:cs="Arial" w:hint="cs"/>
          <w:sz w:val="18"/>
          <w:szCs w:val="18"/>
          <w:rtl/>
        </w:rPr>
        <w:t xml:space="preserve"> בשם ריב"א ומהר"ם</w:t>
      </w:r>
      <w:r w:rsidRPr="003D2914">
        <w:rPr>
          <w:rFonts w:cs="Arial"/>
          <w:sz w:val="18"/>
          <w:szCs w:val="18"/>
          <w:rtl/>
        </w:rPr>
        <w:t>). וכל מקום שנאמנת, צריכה לישבע שלא נפרעה. ובמקום שאינה נאמנת, אם הבעל חי צריך לישבע שפרעה. ואם אינו חי, היתומים פטורים בלא שבועה (ד</w:t>
      </w:r>
      <w:r w:rsidR="003D6C28">
        <w:rPr>
          <w:rFonts w:cs="Arial" w:hint="cs"/>
          <w:sz w:val="18"/>
          <w:szCs w:val="18"/>
          <w:rtl/>
        </w:rPr>
        <w:t>"ע וכ"מ מהטור</w:t>
      </w:r>
      <w:r w:rsidRPr="003D2914">
        <w:rPr>
          <w:rFonts w:cs="Arial"/>
          <w:sz w:val="18"/>
          <w:szCs w:val="18"/>
          <w:rtl/>
        </w:rPr>
        <w:t>). היתה כתובתה בידה ונחתכה בסכין</w:t>
      </w:r>
      <w:r>
        <w:rPr>
          <w:rStyle w:val="a7"/>
          <w:rFonts w:cs="Arial"/>
          <w:sz w:val="18"/>
          <w:szCs w:val="18"/>
          <w:rtl/>
        </w:rPr>
        <w:footnoteReference w:id="1978"/>
      </w:r>
      <w:r w:rsidRPr="003D2914">
        <w:rPr>
          <w:rFonts w:cs="Arial"/>
          <w:sz w:val="18"/>
          <w:szCs w:val="18"/>
          <w:rtl/>
        </w:rPr>
        <w:t>, אינה גובאת כלום, אע</w:t>
      </w:r>
      <w:r>
        <w:rPr>
          <w:rFonts w:cs="Arial" w:hint="cs"/>
          <w:sz w:val="18"/>
          <w:szCs w:val="18"/>
          <w:rtl/>
        </w:rPr>
        <w:t>"</w:t>
      </w:r>
      <w:r w:rsidRPr="003D2914">
        <w:rPr>
          <w:rFonts w:cs="Arial"/>
          <w:sz w:val="18"/>
          <w:szCs w:val="18"/>
          <w:rtl/>
        </w:rPr>
        <w:t>פ שאינו קרע שתי וערב (ריב"ש</w:t>
      </w:r>
      <w:r>
        <w:rPr>
          <w:rFonts w:cs="Arial" w:hint="cs"/>
          <w:sz w:val="18"/>
          <w:szCs w:val="18"/>
          <w:rtl/>
        </w:rPr>
        <w:t>)</w:t>
      </w:r>
      <w:r w:rsidRPr="003D2914">
        <w:rPr>
          <w:rFonts w:cs="Arial"/>
          <w:sz w:val="18"/>
          <w:szCs w:val="18"/>
          <w:rtl/>
        </w:rPr>
        <w:t>.</w:t>
      </w:r>
      <w:r>
        <w:rPr>
          <w:rFonts w:cs="Arial"/>
          <w:rtl/>
        </w:rPr>
        <w:t xml:space="preserve"> </w:t>
      </w:r>
    </w:p>
    <w:p w14:paraId="70B9352D" w14:textId="77777777" w:rsidR="00392DBB" w:rsidRDefault="00392DBB" w:rsidP="00392DBB">
      <w:pPr>
        <w:rPr>
          <w:rtl/>
        </w:rPr>
      </w:pPr>
    </w:p>
    <w:p w14:paraId="0C39E661" w14:textId="77777777" w:rsidR="00392DBB" w:rsidRPr="00531E96" w:rsidRDefault="00392DBB" w:rsidP="000F64D0">
      <w:pPr>
        <w:pStyle w:val="2"/>
        <w:rPr>
          <w:rtl/>
        </w:rPr>
      </w:pPr>
      <w:r>
        <w:rPr>
          <w:rtl/>
        </w:rPr>
        <w:t>סעיף ז</w:t>
      </w:r>
      <w:r>
        <w:rPr>
          <w:rFonts w:hint="cs"/>
          <w:rtl/>
        </w:rPr>
        <w:t>: אשה שאמרה 'מת בעלי התירוני להנשא', או 'מת בעלי תנו לי כתובתי'.</w:t>
      </w:r>
    </w:p>
    <w:p w14:paraId="2447C16D" w14:textId="1E5BA02C" w:rsidR="00392DBB" w:rsidRPr="00580535" w:rsidRDefault="00392DBB" w:rsidP="00392DBB">
      <w:pPr>
        <w:rPr>
          <w:rtl/>
        </w:rPr>
      </w:pPr>
      <w:r w:rsidRPr="00580535">
        <w:rPr>
          <w:rFonts w:hint="cs"/>
          <w:b/>
          <w:bCs/>
          <w:rtl/>
        </w:rPr>
        <w:t xml:space="preserve">יבמות </w:t>
      </w:r>
      <w:r w:rsidRPr="00580535">
        <w:rPr>
          <w:rFonts w:hint="cs"/>
          <w:b/>
          <w:bCs/>
          <w:sz w:val="16"/>
          <w:szCs w:val="16"/>
          <w:rtl/>
        </w:rPr>
        <w:t xml:space="preserve">(פ' האשה שלום) </w:t>
      </w:r>
      <w:r w:rsidRPr="00580535">
        <w:rPr>
          <w:rFonts w:hint="cs"/>
          <w:b/>
          <w:bCs/>
          <w:rtl/>
        </w:rPr>
        <w:t>קטז</w:t>
      </w:r>
      <w:r w:rsidR="003B6D5F">
        <w:rPr>
          <w:rStyle w:val="a7"/>
          <w:b/>
          <w:bCs/>
          <w:rtl/>
        </w:rPr>
        <w:footnoteReference w:id="1979"/>
      </w:r>
      <w:r w:rsidRPr="00580535">
        <w:rPr>
          <w:rFonts w:hint="cs"/>
          <w:b/>
          <w:bCs/>
          <w:rtl/>
        </w:rPr>
        <w:t xml:space="preserve"> ע"ב:</w:t>
      </w:r>
      <w:r>
        <w:rPr>
          <w:rFonts w:hint="cs"/>
          <w:rtl/>
        </w:rPr>
        <w:t xml:space="preserve"> </w:t>
      </w:r>
      <w:r w:rsidRPr="00580535">
        <w:rPr>
          <w:rFonts w:cs="Arial"/>
          <w:u w:val="double"/>
          <w:rtl/>
        </w:rPr>
        <w:t>מתני'</w:t>
      </w:r>
      <w:r>
        <w:rPr>
          <w:rFonts w:cs="Arial" w:hint="cs"/>
          <w:rtl/>
        </w:rPr>
        <w:t>:</w:t>
      </w:r>
      <w:r w:rsidRPr="00580535">
        <w:rPr>
          <w:rFonts w:cs="Arial"/>
          <w:rtl/>
        </w:rPr>
        <w:t xml:space="preserve"> </w:t>
      </w:r>
      <w:r w:rsidRPr="003D6C28">
        <w:rPr>
          <w:rStyle w:val="a7"/>
          <w:rFonts w:cs="Arial"/>
          <w:rtl/>
        </w:rPr>
        <w:footnoteReference w:id="1980"/>
      </w:r>
      <w:r w:rsidRPr="00580535">
        <w:rPr>
          <w:rFonts w:cs="Arial"/>
          <w:u w:val="single"/>
          <w:rtl/>
        </w:rPr>
        <w:t>בית שמאי אומרים</w:t>
      </w:r>
      <w:r w:rsidRPr="00580535">
        <w:rPr>
          <w:rFonts w:cs="Arial"/>
          <w:rtl/>
        </w:rPr>
        <w:t xml:space="preserve">: תנשא ותטול כתובתה, </w:t>
      </w:r>
      <w:r w:rsidRPr="00580535">
        <w:rPr>
          <w:rFonts w:cs="Arial"/>
          <w:u w:val="single"/>
          <w:rtl/>
        </w:rPr>
        <w:t>בית הלל אומרים</w:t>
      </w:r>
      <w:r w:rsidRPr="00580535">
        <w:rPr>
          <w:rFonts w:cs="Arial"/>
          <w:rtl/>
        </w:rPr>
        <w:t xml:space="preserve">: תנשא ולא תטול כתובתה. </w:t>
      </w:r>
      <w:r w:rsidRPr="00580535">
        <w:rPr>
          <w:rFonts w:cs="Arial"/>
          <w:u w:val="single"/>
          <w:rtl/>
        </w:rPr>
        <w:t>אמרו להם בית שמאי</w:t>
      </w:r>
      <w:r w:rsidRPr="00580535">
        <w:rPr>
          <w:rFonts w:cs="Arial"/>
          <w:rtl/>
        </w:rPr>
        <w:t xml:space="preserve">: התרתם ערוה חמורה, ולא נתיר ממון הקל? </w:t>
      </w:r>
      <w:r w:rsidRPr="00580535">
        <w:rPr>
          <w:rFonts w:cs="Arial"/>
          <w:u w:val="single"/>
          <w:rtl/>
        </w:rPr>
        <w:t>אמרו להם בית הלל</w:t>
      </w:r>
      <w:r w:rsidRPr="00580535">
        <w:rPr>
          <w:rFonts w:cs="Arial"/>
          <w:rtl/>
        </w:rPr>
        <w:t>: מצינו</w:t>
      </w:r>
      <w:r w:rsidRPr="00580535">
        <w:rPr>
          <w:rtl/>
        </w:rPr>
        <w:t xml:space="preserve"> </w:t>
      </w:r>
      <w:r>
        <w:rPr>
          <w:rFonts w:cs="Arial" w:hint="cs"/>
          <w:sz w:val="14"/>
          <w:szCs w:val="14"/>
          <w:rtl/>
        </w:rPr>
        <w:t xml:space="preserve">(קיז.) </w:t>
      </w:r>
      <w:r>
        <w:rPr>
          <w:rFonts w:cs="Arial"/>
          <w:rtl/>
        </w:rPr>
        <w:t>שאין האחין נכנסין לנחלה על פיה</w:t>
      </w:r>
      <w:r>
        <w:rPr>
          <w:rFonts w:cs="Arial" w:hint="cs"/>
          <w:rtl/>
        </w:rPr>
        <w:t>.</w:t>
      </w:r>
      <w:r>
        <w:rPr>
          <w:rFonts w:cs="Arial"/>
          <w:rtl/>
        </w:rPr>
        <w:t xml:space="preserve"> </w:t>
      </w:r>
      <w:r w:rsidRPr="00531E96">
        <w:rPr>
          <w:rFonts w:cs="Arial"/>
          <w:u w:val="single"/>
          <w:rtl/>
        </w:rPr>
        <w:t>אמרו להם בית שמאי</w:t>
      </w:r>
      <w:r>
        <w:rPr>
          <w:rFonts w:cs="Arial"/>
          <w:rtl/>
        </w:rPr>
        <w:t xml:space="preserve">: והלא מספר כתובה נלמוד, שהוא כותב לה שאם תנשאי לאחר תטלי מה שכתוב ליכי! וחזרו בית הלל להורות כדברי ב"ש. </w:t>
      </w:r>
      <w:r>
        <w:rPr>
          <w:rFonts w:hint="cs"/>
          <w:rtl/>
        </w:rPr>
        <w:t xml:space="preserve">       </w:t>
      </w:r>
      <w:r w:rsidRPr="00531E96">
        <w:rPr>
          <w:rFonts w:cs="Arial"/>
          <w:u w:val="double"/>
          <w:rtl/>
        </w:rPr>
        <w:t>גמ'</w:t>
      </w:r>
      <w:r>
        <w:rPr>
          <w:rFonts w:cs="Arial" w:hint="cs"/>
          <w:rtl/>
        </w:rPr>
        <w:t>:</w:t>
      </w:r>
      <w:r>
        <w:rPr>
          <w:rFonts w:cs="Arial"/>
          <w:rtl/>
        </w:rPr>
        <w:t xml:space="preserve"> </w:t>
      </w:r>
      <w:r w:rsidRPr="00531E96">
        <w:rPr>
          <w:rFonts w:cs="Arial"/>
          <w:u w:val="single"/>
          <w:rtl/>
        </w:rPr>
        <w:t>אמר רב נחמן</w:t>
      </w:r>
      <w:r>
        <w:rPr>
          <w:rFonts w:cs="Arial"/>
          <w:rtl/>
        </w:rPr>
        <w:t>: באת לבית דין ואמרה מת בעלי התירוני להנשא - מתירין אותה להנשא ונותנין לה כתובתה, תנו לי כתובתי - אף להנשא אין מתירין אותה</w:t>
      </w:r>
      <w:r>
        <w:rPr>
          <w:rFonts w:cs="Arial" w:hint="cs"/>
          <w:rtl/>
        </w:rPr>
        <w:t>.</w:t>
      </w:r>
      <w:r>
        <w:rPr>
          <w:rFonts w:cs="Arial"/>
          <w:rtl/>
        </w:rPr>
        <w:t xml:space="preserve"> מאי טעמא? אדעתא דכתובה אתאי. </w:t>
      </w:r>
    </w:p>
    <w:p w14:paraId="6FD43030" w14:textId="77777777" w:rsidR="00392DBB" w:rsidRPr="00D664B6" w:rsidRDefault="00392DBB" w:rsidP="00392DBB">
      <w:pPr>
        <w:rPr>
          <w:u w:val="single"/>
          <w:rtl/>
        </w:rPr>
      </w:pPr>
      <w:r w:rsidRPr="00D664B6">
        <w:rPr>
          <w:rFonts w:hint="cs"/>
          <w:u w:val="single"/>
          <w:rtl/>
        </w:rPr>
        <w:t xml:space="preserve">אשה שאמרה </w:t>
      </w:r>
      <w:r>
        <w:rPr>
          <w:rFonts w:hint="cs"/>
          <w:u w:val="single"/>
          <w:rtl/>
        </w:rPr>
        <w:t>'</w:t>
      </w:r>
      <w:r w:rsidRPr="001A2B82">
        <w:rPr>
          <w:u w:val="single"/>
          <w:rtl/>
        </w:rPr>
        <w:t>מת בעלי התירוני להנשא</w:t>
      </w:r>
      <w:r>
        <w:rPr>
          <w:rFonts w:hint="cs"/>
          <w:u w:val="single"/>
          <w:rtl/>
        </w:rPr>
        <w:t>'</w:t>
      </w:r>
      <w:r w:rsidRPr="00D664B6">
        <w:rPr>
          <w:rFonts w:hint="cs"/>
          <w:u w:val="single"/>
          <w:rtl/>
        </w:rPr>
        <w:t>:</w:t>
      </w:r>
    </w:p>
    <w:p w14:paraId="3A49871E" w14:textId="77777777" w:rsidR="00392DBB" w:rsidRPr="00580535" w:rsidRDefault="00392DBB" w:rsidP="009000E3">
      <w:pPr>
        <w:pStyle w:val="ab"/>
        <w:numPr>
          <w:ilvl w:val="0"/>
          <w:numId w:val="61"/>
        </w:numPr>
      </w:pPr>
      <w:r>
        <w:rPr>
          <w:rFonts w:cs="Arial" w:hint="cs"/>
          <w:rtl/>
        </w:rPr>
        <w:t xml:space="preserve">טור- אשה </w:t>
      </w:r>
      <w:r w:rsidRPr="003D2914">
        <w:rPr>
          <w:rFonts w:cs="Arial"/>
          <w:rtl/>
        </w:rPr>
        <w:t>שאומרת מת בעלי</w:t>
      </w:r>
      <w:r>
        <w:rPr>
          <w:rFonts w:cs="Arial" w:hint="cs"/>
          <w:rtl/>
        </w:rPr>
        <w:t xml:space="preserve"> -</w:t>
      </w:r>
      <w:r w:rsidRPr="003D2914">
        <w:rPr>
          <w:rFonts w:cs="Arial"/>
          <w:rtl/>
        </w:rPr>
        <w:t xml:space="preserve"> נאמנת כדפירש' לעיל </w:t>
      </w:r>
      <w:r>
        <w:rPr>
          <w:rFonts w:cs="Arial" w:hint="cs"/>
          <w:sz w:val="16"/>
          <w:szCs w:val="16"/>
          <w:rtl/>
        </w:rPr>
        <w:t>(סי' יז)</w:t>
      </w:r>
      <w:r>
        <w:rPr>
          <w:rFonts w:cs="Arial" w:hint="cs"/>
          <w:rtl/>
        </w:rPr>
        <w:t xml:space="preserve">, </w:t>
      </w:r>
      <w:r w:rsidRPr="003D2914">
        <w:rPr>
          <w:rFonts w:cs="Arial"/>
          <w:rtl/>
        </w:rPr>
        <w:t>גם נותנין לה כתובה על פיה</w:t>
      </w:r>
      <w:r>
        <w:rPr>
          <w:rFonts w:cs="Arial" w:hint="cs"/>
          <w:rtl/>
        </w:rPr>
        <w:t>.</w:t>
      </w:r>
      <w:r w:rsidRPr="003D2914">
        <w:rPr>
          <w:rFonts w:cs="Arial"/>
          <w:rtl/>
        </w:rPr>
        <w:t xml:space="preserve"> ונדוניא ותוספת</w:t>
      </w:r>
      <w:r>
        <w:rPr>
          <w:rStyle w:val="a7"/>
          <w:rFonts w:cs="Arial"/>
          <w:rtl/>
        </w:rPr>
        <w:footnoteReference w:id="1981"/>
      </w:r>
      <w:r w:rsidRPr="003D2914">
        <w:rPr>
          <w:rFonts w:cs="Arial"/>
          <w:rtl/>
        </w:rPr>
        <w:t xml:space="preserve"> אינה גובה אא"כ כתובתה בידה אפילו יש עדים כמה היה</w:t>
      </w:r>
      <w:r>
        <w:rPr>
          <w:rStyle w:val="a7"/>
          <w:rFonts w:cs="Arial"/>
          <w:rtl/>
        </w:rPr>
        <w:footnoteReference w:id="1982"/>
      </w:r>
      <w:r>
        <w:rPr>
          <w:rFonts w:cs="Arial" w:hint="cs"/>
          <w:rtl/>
        </w:rPr>
        <w:t>.</w:t>
      </w:r>
      <w:r w:rsidRPr="003D2914">
        <w:rPr>
          <w:rFonts w:cs="Arial"/>
          <w:rtl/>
        </w:rPr>
        <w:t xml:space="preserve"> </w:t>
      </w:r>
    </w:p>
    <w:p w14:paraId="31D1501C" w14:textId="77777777" w:rsidR="00392DBB" w:rsidRPr="001A2B82" w:rsidRDefault="00392DBB" w:rsidP="009000E3">
      <w:pPr>
        <w:pStyle w:val="ab"/>
        <w:numPr>
          <w:ilvl w:val="0"/>
          <w:numId w:val="61"/>
        </w:numPr>
      </w:pPr>
      <w:r w:rsidRPr="003D2914">
        <w:rPr>
          <w:rFonts w:cs="Arial"/>
          <w:rtl/>
        </w:rPr>
        <w:t>רמב"ם</w:t>
      </w:r>
      <w:r>
        <w:rPr>
          <w:rFonts w:cs="Arial" w:hint="cs"/>
          <w:sz w:val="16"/>
          <w:szCs w:val="16"/>
          <w:rtl/>
        </w:rPr>
        <w:t xml:space="preserve"> (פט"ז מאישות הל"א)</w:t>
      </w:r>
      <w:r>
        <w:rPr>
          <w:rFonts w:cs="Arial" w:hint="cs"/>
          <w:rtl/>
        </w:rPr>
        <w:t>-</w:t>
      </w:r>
      <w:r w:rsidRPr="003D2914">
        <w:rPr>
          <w:rFonts w:cs="Arial"/>
          <w:rtl/>
        </w:rPr>
        <w:t xml:space="preserve"> </w:t>
      </w:r>
      <w:r w:rsidRPr="00C93750">
        <w:rPr>
          <w:rFonts w:cs="Arial"/>
          <w:rtl/>
        </w:rPr>
        <w:t>האשה נאמנת לומר מת בעלי כדי שתנשא כמו שיתבאר בהלכות גירושין, ומתנאי הכתובה שאם תנשא לאחר אחר מותו תטול מה שכתב לה בכתובתה</w:t>
      </w:r>
      <w:r>
        <w:rPr>
          <w:rFonts w:cs="Arial" w:hint="cs"/>
          <w:rtl/>
        </w:rPr>
        <w:t>.</w:t>
      </w:r>
      <w:r w:rsidRPr="00C93750">
        <w:rPr>
          <w:rFonts w:cs="Arial"/>
          <w:rtl/>
        </w:rPr>
        <w:t xml:space="preserve"> לפיכך אם באה לבית דין ואמרה </w:t>
      </w:r>
      <w:r>
        <w:rPr>
          <w:rFonts w:cs="Arial" w:hint="cs"/>
          <w:rtl/>
        </w:rPr>
        <w:t>'</w:t>
      </w:r>
      <w:r w:rsidRPr="00C93750">
        <w:rPr>
          <w:rFonts w:cs="Arial"/>
          <w:rtl/>
        </w:rPr>
        <w:t>מת בעלי התירוני להנשא</w:t>
      </w:r>
      <w:r>
        <w:rPr>
          <w:rFonts w:cs="Arial" w:hint="cs"/>
          <w:rtl/>
        </w:rPr>
        <w:t>',</w:t>
      </w:r>
      <w:r w:rsidRPr="00C93750">
        <w:rPr>
          <w:rFonts w:cs="Arial"/>
          <w:rtl/>
        </w:rPr>
        <w:t xml:space="preserve"> ולא הזכירה שם כתובה בעולם</w:t>
      </w:r>
      <w:r>
        <w:rPr>
          <w:rFonts w:cs="Arial" w:hint="cs"/>
          <w:rtl/>
        </w:rPr>
        <w:t xml:space="preserve"> -</w:t>
      </w:r>
      <w:r w:rsidRPr="00C93750">
        <w:rPr>
          <w:rFonts w:cs="Arial"/>
          <w:rtl/>
        </w:rPr>
        <w:t xml:space="preserve"> מתירין אותה להנשא ומשביעין אותה</w:t>
      </w:r>
      <w:r>
        <w:rPr>
          <w:rStyle w:val="a7"/>
          <w:rFonts w:cs="Arial"/>
          <w:rtl/>
        </w:rPr>
        <w:footnoteReference w:id="1983"/>
      </w:r>
      <w:r w:rsidRPr="00C93750">
        <w:rPr>
          <w:rFonts w:cs="Arial"/>
          <w:rtl/>
        </w:rPr>
        <w:t xml:space="preserve"> ונותנין לה כתובתה. </w:t>
      </w:r>
      <w:r w:rsidRPr="001A2B82">
        <w:rPr>
          <w:rFonts w:hint="cs"/>
          <w:color w:val="E36C0A" w:themeColor="accent6" w:themeShade="BF"/>
          <w:rtl/>
        </w:rPr>
        <w:t>(וכ"פ בשו"ע</w:t>
      </w:r>
      <w:r>
        <w:rPr>
          <w:rFonts w:hint="cs"/>
          <w:sz w:val="16"/>
          <w:szCs w:val="16"/>
          <w:rtl/>
        </w:rPr>
        <w:t xml:space="preserve"> [כאן, ובסי' יז סמ"ג]</w:t>
      </w:r>
      <w:r w:rsidRPr="001A2B82">
        <w:rPr>
          <w:rFonts w:hint="cs"/>
          <w:color w:val="E36C0A" w:themeColor="accent6" w:themeShade="BF"/>
          <w:rtl/>
        </w:rPr>
        <w:t>)</w:t>
      </w:r>
    </w:p>
    <w:p w14:paraId="45FAFD37" w14:textId="77777777" w:rsidR="00392DBB" w:rsidRPr="00C93750" w:rsidRDefault="00392DBB" w:rsidP="00392DBB">
      <w:r w:rsidRPr="00D664B6">
        <w:rPr>
          <w:rFonts w:hint="cs"/>
          <w:u w:val="single"/>
          <w:rtl/>
        </w:rPr>
        <w:t xml:space="preserve">אשה שאמרה </w:t>
      </w:r>
      <w:r>
        <w:rPr>
          <w:rFonts w:hint="cs"/>
          <w:u w:val="single"/>
          <w:rtl/>
        </w:rPr>
        <w:t>'</w:t>
      </w:r>
      <w:r w:rsidRPr="001A2B82">
        <w:rPr>
          <w:u w:val="single"/>
          <w:rtl/>
        </w:rPr>
        <w:t xml:space="preserve">מת בעלי </w:t>
      </w:r>
      <w:r>
        <w:rPr>
          <w:rFonts w:hint="cs"/>
          <w:u w:val="single"/>
          <w:rtl/>
        </w:rPr>
        <w:t>תנו לי כתובתי'</w:t>
      </w:r>
      <w:r w:rsidRPr="00D664B6">
        <w:rPr>
          <w:rFonts w:hint="cs"/>
          <w:u w:val="single"/>
          <w:rtl/>
        </w:rPr>
        <w:t>:</w:t>
      </w:r>
    </w:p>
    <w:p w14:paraId="48D105EA" w14:textId="13F6D43A" w:rsidR="00392DBB" w:rsidRDefault="00392DBB" w:rsidP="009000E3">
      <w:pPr>
        <w:pStyle w:val="ab"/>
        <w:numPr>
          <w:ilvl w:val="0"/>
          <w:numId w:val="61"/>
        </w:numPr>
      </w:pPr>
      <w:r>
        <w:rPr>
          <w:rFonts w:cs="Arial" w:hint="cs"/>
          <w:rtl/>
        </w:rPr>
        <w:t xml:space="preserve">רמב"ם </w:t>
      </w:r>
      <w:r>
        <w:rPr>
          <w:rFonts w:cs="Arial" w:hint="cs"/>
          <w:sz w:val="16"/>
          <w:szCs w:val="16"/>
          <w:rtl/>
        </w:rPr>
        <w:t>(שם)</w:t>
      </w:r>
      <w:r>
        <w:rPr>
          <w:rFonts w:cs="Arial" w:hint="cs"/>
          <w:rtl/>
        </w:rPr>
        <w:t xml:space="preserve"> וטור- </w:t>
      </w:r>
      <w:r w:rsidRPr="00C93750">
        <w:rPr>
          <w:rFonts w:cs="Arial"/>
          <w:rtl/>
        </w:rPr>
        <w:t xml:space="preserve">באה ואמרה </w:t>
      </w:r>
      <w:r>
        <w:rPr>
          <w:rFonts w:cs="Arial" w:hint="cs"/>
          <w:rtl/>
        </w:rPr>
        <w:t>'</w:t>
      </w:r>
      <w:r w:rsidRPr="00C93750">
        <w:rPr>
          <w:rFonts w:cs="Arial"/>
          <w:rtl/>
        </w:rPr>
        <w:t>מת בעלי תנו לי כתובתי</w:t>
      </w:r>
      <w:r>
        <w:rPr>
          <w:rFonts w:cs="Arial" w:hint="cs"/>
          <w:rtl/>
        </w:rPr>
        <w:t>' -</w:t>
      </w:r>
      <w:r w:rsidRPr="00C93750">
        <w:rPr>
          <w:rFonts w:cs="Arial"/>
          <w:rtl/>
        </w:rPr>
        <w:t xml:space="preserve"> אף להנשא אין מתירין אותה</w:t>
      </w:r>
      <w:r>
        <w:rPr>
          <w:rFonts w:cs="Arial" w:hint="cs"/>
          <w:rtl/>
        </w:rPr>
        <w:t>,</w:t>
      </w:r>
      <w:r w:rsidRPr="00C93750">
        <w:rPr>
          <w:rFonts w:cs="Arial"/>
          <w:rtl/>
        </w:rPr>
        <w:t xml:space="preserve"> שעל עסקי הכתובה באה והרי זה בחזקת שלא מת</w:t>
      </w:r>
      <w:r>
        <w:rPr>
          <w:rFonts w:cs="Arial" w:hint="cs"/>
          <w:rtl/>
        </w:rPr>
        <w:t>,</w:t>
      </w:r>
      <w:r w:rsidRPr="00C93750">
        <w:rPr>
          <w:rFonts w:cs="Arial"/>
          <w:rtl/>
        </w:rPr>
        <w:t xml:space="preserve"> ואין דעתה להנשא אלא ליטול כתובה מחיים בלבד. </w:t>
      </w:r>
      <w:r w:rsidRPr="001A2B82">
        <w:rPr>
          <w:rFonts w:hint="cs"/>
          <w:color w:val="E36C0A" w:themeColor="accent6" w:themeShade="BF"/>
          <w:rtl/>
        </w:rPr>
        <w:t>(וכ"פ בשו"ע</w:t>
      </w:r>
      <w:r>
        <w:rPr>
          <w:rFonts w:hint="cs"/>
          <w:sz w:val="16"/>
          <w:szCs w:val="16"/>
          <w:rtl/>
        </w:rPr>
        <w:t xml:space="preserve"> [כאן, ובסי' יז סמ"ג]</w:t>
      </w:r>
      <w:r w:rsidRPr="001A2B82">
        <w:rPr>
          <w:rFonts w:hint="cs"/>
          <w:color w:val="E36C0A" w:themeColor="accent6" w:themeShade="BF"/>
          <w:rtl/>
        </w:rPr>
        <w:t>)</w:t>
      </w:r>
    </w:p>
    <w:p w14:paraId="15DCC12B" w14:textId="6CAC057E" w:rsidR="00392DBB" w:rsidRPr="00452BE0" w:rsidRDefault="00392DBB" w:rsidP="00392DBB">
      <w:pPr>
        <w:ind w:left="360"/>
        <w:rPr>
          <w:sz w:val="16"/>
          <w:szCs w:val="16"/>
        </w:rPr>
      </w:pPr>
      <w:r w:rsidRPr="00C120DC">
        <w:rPr>
          <w:rFonts w:hint="cs"/>
          <w:u w:val="dotted"/>
          <w:rtl/>
        </w:rPr>
        <w:t>ומה הדין אם עד אחד מעיד כדבריה:</w:t>
      </w:r>
      <w:r>
        <w:rPr>
          <w:rFonts w:hint="cs"/>
          <w:sz w:val="16"/>
          <w:szCs w:val="16"/>
          <w:rtl/>
        </w:rPr>
        <w:t xml:space="preserve">  (</w:t>
      </w:r>
      <w:r w:rsidR="003B6D5F">
        <w:rPr>
          <w:rFonts w:hint="cs"/>
          <w:sz w:val="16"/>
          <w:szCs w:val="16"/>
          <w:rtl/>
        </w:rPr>
        <w:t>דרכ"מ [אות טו] ו</w:t>
      </w:r>
      <w:r>
        <w:rPr>
          <w:rFonts w:hint="cs"/>
          <w:sz w:val="16"/>
          <w:szCs w:val="16"/>
          <w:rtl/>
        </w:rPr>
        <w:t xml:space="preserve">ב"י </w:t>
      </w:r>
      <w:r w:rsidR="003B6D5F">
        <w:rPr>
          <w:rFonts w:hint="cs"/>
          <w:sz w:val="16"/>
          <w:szCs w:val="16"/>
          <w:rtl/>
        </w:rPr>
        <w:t>[</w:t>
      </w:r>
      <w:r>
        <w:rPr>
          <w:rFonts w:hint="cs"/>
          <w:sz w:val="16"/>
          <w:szCs w:val="16"/>
          <w:rtl/>
        </w:rPr>
        <w:t>סי' יז סע' מג</w:t>
      </w:r>
      <w:r w:rsidR="003B6D5F">
        <w:rPr>
          <w:rFonts w:hint="cs"/>
          <w:sz w:val="16"/>
          <w:szCs w:val="16"/>
          <w:rtl/>
        </w:rPr>
        <w:t>]</w:t>
      </w:r>
      <w:r>
        <w:rPr>
          <w:rFonts w:hint="cs"/>
          <w:sz w:val="16"/>
          <w:szCs w:val="16"/>
          <w:rtl/>
        </w:rPr>
        <w:t>)</w:t>
      </w:r>
    </w:p>
    <w:p w14:paraId="50EB5C52" w14:textId="77777777" w:rsidR="00392DBB" w:rsidRDefault="00392DBB" w:rsidP="009000E3">
      <w:pPr>
        <w:pStyle w:val="ab"/>
        <w:numPr>
          <w:ilvl w:val="0"/>
          <w:numId w:val="61"/>
        </w:numPr>
      </w:pPr>
      <w:r w:rsidRPr="00C120DC">
        <w:rPr>
          <w:rFonts w:cs="Arial"/>
          <w:rtl/>
        </w:rPr>
        <w:lastRenderedPageBreak/>
        <w:t>נמוק</w:t>
      </w:r>
      <w:r>
        <w:rPr>
          <w:rFonts w:cs="Arial" w:hint="cs"/>
          <w:rtl/>
        </w:rPr>
        <w:t>"</w:t>
      </w:r>
      <w:r w:rsidRPr="00C120DC">
        <w:rPr>
          <w:rFonts w:cs="Arial"/>
          <w:rtl/>
        </w:rPr>
        <w:t xml:space="preserve">י </w:t>
      </w:r>
      <w:r w:rsidRPr="00C120DC">
        <w:rPr>
          <w:rFonts w:cs="Arial"/>
          <w:sz w:val="16"/>
          <w:szCs w:val="16"/>
          <w:rtl/>
        </w:rPr>
        <w:t xml:space="preserve">(מג: ד"ה גמ' לנחלה) </w:t>
      </w:r>
      <w:r w:rsidRPr="00C120DC">
        <w:rPr>
          <w:rFonts w:cs="Arial"/>
          <w:rtl/>
        </w:rPr>
        <w:t xml:space="preserve">בשם הריטב"א </w:t>
      </w:r>
      <w:r w:rsidRPr="00C120DC">
        <w:rPr>
          <w:rFonts w:cs="Arial"/>
          <w:sz w:val="16"/>
          <w:szCs w:val="16"/>
          <w:rtl/>
        </w:rPr>
        <w:t>(קיז. ד"ה אדעתא)</w:t>
      </w:r>
      <w:r>
        <w:rPr>
          <w:rFonts w:cs="Arial" w:hint="cs"/>
          <w:rtl/>
        </w:rPr>
        <w:t xml:space="preserve">- </w:t>
      </w:r>
      <w:r w:rsidRPr="00C120DC">
        <w:rPr>
          <w:rFonts w:cs="Arial"/>
          <w:rtl/>
        </w:rPr>
        <w:t>מסתברא דהוא הדין אם הביאה היא עד אחד לב"ד שמת בעלה והיא תובעת כתובתה דאמרינן אדעתא דכתובתה אתאי ולא שרינן לה</w:t>
      </w:r>
      <w:r>
        <w:rPr>
          <w:rStyle w:val="a7"/>
          <w:rFonts w:cs="Arial"/>
          <w:rtl/>
        </w:rPr>
        <w:footnoteReference w:id="1984"/>
      </w:r>
      <w:r>
        <w:rPr>
          <w:rFonts w:cs="Arial" w:hint="cs"/>
          <w:rtl/>
        </w:rPr>
        <w:t>.</w:t>
      </w:r>
      <w:r w:rsidRPr="00C120DC">
        <w:rPr>
          <w:rFonts w:cs="Arial"/>
          <w:rtl/>
        </w:rPr>
        <w:t xml:space="preserve"> </w:t>
      </w:r>
      <w:r w:rsidRPr="00452BE0">
        <w:rPr>
          <w:rFonts w:hint="cs"/>
          <w:color w:val="00B0F0"/>
          <w:rtl/>
        </w:rPr>
        <w:t>(וכ"כ הרמ"א</w:t>
      </w:r>
      <w:r w:rsidRPr="00452BE0">
        <w:rPr>
          <w:rFonts w:hint="cs"/>
          <w:color w:val="00B0F0"/>
          <w:sz w:val="16"/>
          <w:szCs w:val="16"/>
          <w:rtl/>
        </w:rPr>
        <w:t xml:space="preserve"> </w:t>
      </w:r>
      <w:r>
        <w:rPr>
          <w:rFonts w:hint="cs"/>
          <w:sz w:val="16"/>
          <w:szCs w:val="16"/>
          <w:rtl/>
        </w:rPr>
        <w:t>[סי' יז סמ"ג]</w:t>
      </w:r>
      <w:r w:rsidRPr="00452BE0">
        <w:rPr>
          <w:rFonts w:hint="cs"/>
          <w:color w:val="00B0F0"/>
          <w:rtl/>
        </w:rPr>
        <w:t>)</w:t>
      </w:r>
    </w:p>
    <w:p w14:paraId="70419D7D"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043AD3D" w14:textId="77777777" w:rsidR="00392DBB" w:rsidRDefault="00392DBB" w:rsidP="00392DBB">
      <w:pPr>
        <w:rPr>
          <w:rtl/>
        </w:rPr>
      </w:pPr>
      <w:r>
        <w:rPr>
          <w:rFonts w:cs="Arial"/>
          <w:rtl/>
        </w:rPr>
        <w:t>האשה שבאה לב</w:t>
      </w:r>
      <w:r>
        <w:rPr>
          <w:rFonts w:cs="Arial" w:hint="cs"/>
          <w:rtl/>
        </w:rPr>
        <w:t xml:space="preserve">ית </w:t>
      </w:r>
      <w:r>
        <w:rPr>
          <w:rFonts w:cs="Arial"/>
          <w:rtl/>
        </w:rPr>
        <w:t>ד</w:t>
      </w:r>
      <w:r>
        <w:rPr>
          <w:rFonts w:cs="Arial" w:hint="cs"/>
          <w:rtl/>
        </w:rPr>
        <w:t>ין</w:t>
      </w:r>
      <w:r>
        <w:rPr>
          <w:rFonts w:cs="Arial"/>
          <w:rtl/>
        </w:rPr>
        <w:t xml:space="preserve"> ואמרה: מת בעלי התירוני לינשא, ולא הזכירה שם כתובה בעולם, מתירין אותה לינשא, ומשביעין אותה ונותנים לה כתובתה. ואם באה ואמרה: מת בעלי תנו לי כתובתי, אף לינשא אין מתירין אותה. </w:t>
      </w:r>
    </w:p>
    <w:p w14:paraId="5F59B521" w14:textId="77777777" w:rsidR="00392DBB" w:rsidRDefault="00392DBB" w:rsidP="00392DBB">
      <w:pPr>
        <w:rPr>
          <w:rtl/>
        </w:rPr>
      </w:pPr>
    </w:p>
    <w:p w14:paraId="0F86A721" w14:textId="77777777" w:rsidR="00392DBB" w:rsidRDefault="00392DBB" w:rsidP="000F64D0">
      <w:pPr>
        <w:pStyle w:val="2"/>
        <w:rPr>
          <w:rtl/>
        </w:rPr>
      </w:pPr>
      <w:r>
        <w:rPr>
          <w:rtl/>
        </w:rPr>
        <w:t>סעיף ח</w:t>
      </w:r>
      <w:r>
        <w:rPr>
          <w:rFonts w:hint="cs"/>
          <w:rtl/>
        </w:rPr>
        <w:t>:</w:t>
      </w:r>
      <w:r w:rsidRPr="00C120DC">
        <w:rPr>
          <w:rFonts w:hint="cs"/>
          <w:rtl/>
        </w:rPr>
        <w:t xml:space="preserve"> אשה שאמרה '</w:t>
      </w:r>
      <w:r w:rsidRPr="00C120DC">
        <w:rPr>
          <w:rtl/>
        </w:rPr>
        <w:t>מת בעלי התירוני להנשא</w:t>
      </w:r>
      <w:r w:rsidRPr="00C120DC">
        <w:rPr>
          <w:rFonts w:hint="cs"/>
          <w:rtl/>
        </w:rPr>
        <w:t xml:space="preserve"> ותנו לי כתובתי' </w:t>
      </w:r>
      <w:r w:rsidRPr="00C120DC">
        <w:rPr>
          <w:rFonts w:hint="cs"/>
          <w:sz w:val="16"/>
          <w:szCs w:val="16"/>
          <w:rtl/>
        </w:rPr>
        <w:t>(או הפוך)</w:t>
      </w:r>
      <w:r>
        <w:rPr>
          <w:rFonts w:hint="cs"/>
          <w:rtl/>
        </w:rPr>
        <w:t>.</w:t>
      </w:r>
    </w:p>
    <w:p w14:paraId="3BC6654B" w14:textId="0B14D412" w:rsidR="00392DBB" w:rsidRPr="00452BE0" w:rsidRDefault="00392DBB" w:rsidP="00392DBB">
      <w:pPr>
        <w:rPr>
          <w:rtl/>
        </w:rPr>
      </w:pPr>
      <w:r w:rsidRPr="00580535">
        <w:rPr>
          <w:rFonts w:hint="cs"/>
          <w:b/>
          <w:bCs/>
          <w:rtl/>
        </w:rPr>
        <w:t xml:space="preserve">יבמות </w:t>
      </w:r>
      <w:r w:rsidRPr="00580535">
        <w:rPr>
          <w:rFonts w:hint="cs"/>
          <w:b/>
          <w:bCs/>
          <w:sz w:val="16"/>
          <w:szCs w:val="16"/>
          <w:rtl/>
        </w:rPr>
        <w:t xml:space="preserve">(פ' האשה שלום) </w:t>
      </w:r>
      <w:r w:rsidRPr="00580535">
        <w:rPr>
          <w:rFonts w:hint="cs"/>
          <w:b/>
          <w:bCs/>
          <w:rtl/>
        </w:rPr>
        <w:t>ק</w:t>
      </w:r>
      <w:r>
        <w:rPr>
          <w:rFonts w:hint="cs"/>
          <w:b/>
          <w:bCs/>
          <w:rtl/>
        </w:rPr>
        <w:t>י</w:t>
      </w:r>
      <w:r w:rsidRPr="00580535">
        <w:rPr>
          <w:rFonts w:hint="cs"/>
          <w:b/>
          <w:bCs/>
          <w:rtl/>
        </w:rPr>
        <w:t>ז</w:t>
      </w:r>
      <w:r w:rsidR="003B6D5F">
        <w:rPr>
          <w:rStyle w:val="a7"/>
          <w:b/>
          <w:bCs/>
          <w:rtl/>
        </w:rPr>
        <w:footnoteReference w:id="1985"/>
      </w:r>
      <w:r w:rsidRPr="00580535">
        <w:rPr>
          <w:rFonts w:hint="cs"/>
          <w:b/>
          <w:bCs/>
          <w:rtl/>
        </w:rPr>
        <w:t xml:space="preserve"> ע"</w:t>
      </w:r>
      <w:r>
        <w:rPr>
          <w:rFonts w:hint="cs"/>
          <w:b/>
          <w:bCs/>
          <w:rtl/>
        </w:rPr>
        <w:t>א</w:t>
      </w:r>
      <w:r w:rsidRPr="00580535">
        <w:rPr>
          <w:rFonts w:hint="cs"/>
          <w:b/>
          <w:bCs/>
          <w:rtl/>
        </w:rPr>
        <w:t>:</w:t>
      </w:r>
      <w:r>
        <w:rPr>
          <w:rFonts w:hint="cs"/>
          <w:rtl/>
        </w:rPr>
        <w:t xml:space="preserve"> </w:t>
      </w:r>
      <w:r>
        <w:rPr>
          <w:rFonts w:cs="Arial"/>
          <w:rtl/>
        </w:rPr>
        <w:t xml:space="preserve">איבעיא להו: התירוני להנשא ותנו לי כתובתי, מהו? כיון דאמרה כתובתה - אדעתא דכתובה אתאי, או דלמא כל מילי דאית ליה לאיניש אמר להו לבי דינא? </w:t>
      </w:r>
      <w:r>
        <w:rPr>
          <w:rStyle w:val="a7"/>
          <w:rFonts w:cs="Arial"/>
          <w:rtl/>
        </w:rPr>
        <w:footnoteReference w:id="1986"/>
      </w:r>
      <w:r>
        <w:rPr>
          <w:rFonts w:cs="Arial" w:hint="cs"/>
          <w:rtl/>
        </w:rPr>
        <w:t>[</w:t>
      </w:r>
      <w:r>
        <w:rPr>
          <w:rFonts w:cs="Arial"/>
          <w:rtl/>
        </w:rPr>
        <w:t>ואת"ל כל מילי דאית ליה לאיניש אמר להו לבי דינא,</w:t>
      </w:r>
      <w:r>
        <w:rPr>
          <w:rFonts w:cs="Arial" w:hint="cs"/>
          <w:rtl/>
        </w:rPr>
        <w:t>]</w:t>
      </w:r>
      <w:r>
        <w:rPr>
          <w:rFonts w:cs="Arial"/>
          <w:rtl/>
        </w:rPr>
        <w:t xml:space="preserve"> תנו לי כתובתי והתירוני להנשא, מהו? הכא ודאי אדעתא דכתובה אתאי, או דלמא הואיל דלא ידעה במאי משתריא? תיקו.</w:t>
      </w:r>
    </w:p>
    <w:p w14:paraId="4528D2F3" w14:textId="77777777" w:rsidR="00392DBB" w:rsidRPr="001A2B82" w:rsidRDefault="00392DBB" w:rsidP="00392DBB">
      <w:pPr>
        <w:rPr>
          <w:rtl/>
        </w:rPr>
      </w:pPr>
      <w:r w:rsidRPr="00C120DC">
        <w:rPr>
          <w:rFonts w:hint="cs"/>
          <w:u w:val="single"/>
          <w:rtl/>
        </w:rPr>
        <w:t>אשה שאמרה '</w:t>
      </w:r>
      <w:r w:rsidRPr="00C120DC">
        <w:rPr>
          <w:u w:val="single"/>
          <w:rtl/>
        </w:rPr>
        <w:t>מת בעלי התירוני להנשא</w:t>
      </w:r>
      <w:r w:rsidRPr="00C120DC">
        <w:rPr>
          <w:rFonts w:hint="cs"/>
          <w:u w:val="single"/>
          <w:rtl/>
        </w:rPr>
        <w:t xml:space="preserve"> ותנו לי כתובתי' </w:t>
      </w:r>
      <w:r w:rsidRPr="00C120DC">
        <w:rPr>
          <w:rFonts w:hint="cs"/>
          <w:sz w:val="16"/>
          <w:szCs w:val="16"/>
          <w:u w:val="single"/>
          <w:rtl/>
        </w:rPr>
        <w:t>(</w:t>
      </w:r>
      <w:r>
        <w:rPr>
          <w:rFonts w:hint="cs"/>
          <w:sz w:val="16"/>
          <w:szCs w:val="16"/>
          <w:u w:val="single"/>
          <w:rtl/>
        </w:rPr>
        <w:t>וכן</w:t>
      </w:r>
      <w:r w:rsidRPr="00C120DC">
        <w:rPr>
          <w:rFonts w:hint="cs"/>
          <w:sz w:val="16"/>
          <w:szCs w:val="16"/>
          <w:u w:val="single"/>
          <w:rtl/>
        </w:rPr>
        <w:t xml:space="preserve"> </w:t>
      </w:r>
      <w:r>
        <w:rPr>
          <w:rFonts w:hint="cs"/>
          <w:sz w:val="16"/>
          <w:szCs w:val="16"/>
          <w:u w:val="single"/>
          <w:rtl/>
        </w:rPr>
        <w:t>לה</w:t>
      </w:r>
      <w:r w:rsidRPr="00C120DC">
        <w:rPr>
          <w:rFonts w:hint="cs"/>
          <w:sz w:val="16"/>
          <w:szCs w:val="16"/>
          <w:u w:val="single"/>
          <w:rtl/>
        </w:rPr>
        <w:t>פך)</w:t>
      </w:r>
      <w:r w:rsidRPr="00D664B6">
        <w:rPr>
          <w:rFonts w:hint="cs"/>
          <w:u w:val="single"/>
          <w:rtl/>
        </w:rPr>
        <w:t>:</w:t>
      </w:r>
    </w:p>
    <w:p w14:paraId="4A3192E9" w14:textId="77777777" w:rsidR="00392DBB" w:rsidRPr="001A2B82" w:rsidRDefault="00392DBB" w:rsidP="009000E3">
      <w:pPr>
        <w:pStyle w:val="ab"/>
        <w:numPr>
          <w:ilvl w:val="0"/>
          <w:numId w:val="61"/>
        </w:numPr>
        <w:rPr>
          <w:rtl/>
        </w:rPr>
      </w:pPr>
      <w:r w:rsidRPr="003D2914">
        <w:rPr>
          <w:rFonts w:cs="Arial"/>
          <w:rtl/>
        </w:rPr>
        <w:t>רמב"ם</w:t>
      </w:r>
      <w:r>
        <w:rPr>
          <w:rFonts w:cs="Arial" w:hint="cs"/>
          <w:sz w:val="16"/>
          <w:szCs w:val="16"/>
          <w:rtl/>
        </w:rPr>
        <w:t xml:space="preserve"> (פט"ז מאישות הל"א)</w:t>
      </w:r>
      <w:r>
        <w:rPr>
          <w:rFonts w:cs="Arial" w:hint="cs"/>
          <w:rtl/>
        </w:rPr>
        <w:t>-</w:t>
      </w:r>
      <w:r w:rsidRPr="003D2914">
        <w:rPr>
          <w:rFonts w:cs="Arial"/>
          <w:rtl/>
        </w:rPr>
        <w:t xml:space="preserve"> </w:t>
      </w:r>
      <w:r w:rsidRPr="00C93750">
        <w:rPr>
          <w:rFonts w:cs="Arial"/>
          <w:rtl/>
        </w:rPr>
        <w:t xml:space="preserve">באה ואמרה מת בעלי התירוני להנשא ותנו לי כתובתי </w:t>
      </w:r>
      <w:r>
        <w:rPr>
          <w:rFonts w:cs="Arial" w:hint="cs"/>
          <w:rtl/>
        </w:rPr>
        <w:t xml:space="preserve">- </w:t>
      </w:r>
      <w:r w:rsidRPr="00C93750">
        <w:rPr>
          <w:rFonts w:cs="Arial"/>
          <w:rtl/>
        </w:rPr>
        <w:t>מתירין אותה להנשא ונותנין לה כתובתה</w:t>
      </w:r>
      <w:r>
        <w:rPr>
          <w:rFonts w:cs="Arial" w:hint="cs"/>
          <w:rtl/>
        </w:rPr>
        <w:t>,</w:t>
      </w:r>
      <w:r w:rsidRPr="00C93750">
        <w:rPr>
          <w:rFonts w:cs="Arial"/>
          <w:rtl/>
        </w:rPr>
        <w:t xml:space="preserve"> מפני שעיקר דבריה על עסקי נישואין באה</w:t>
      </w:r>
      <w:r>
        <w:rPr>
          <w:rFonts w:cs="Arial" w:hint="cs"/>
          <w:rtl/>
        </w:rPr>
        <w:t>.</w:t>
      </w:r>
      <w:r w:rsidRPr="00C93750">
        <w:rPr>
          <w:rFonts w:cs="Arial"/>
          <w:rtl/>
        </w:rPr>
        <w:t xml:space="preserve"> אבל אם אמרה תנו לי כתובתי והתירוני להנשא </w:t>
      </w:r>
      <w:r>
        <w:rPr>
          <w:rFonts w:cs="Arial" w:hint="cs"/>
          <w:rtl/>
        </w:rPr>
        <w:t xml:space="preserve">- </w:t>
      </w:r>
      <w:r w:rsidRPr="00C93750">
        <w:rPr>
          <w:rFonts w:cs="Arial"/>
          <w:rtl/>
        </w:rPr>
        <w:t>מתירין אותה ואין נותנין לה כתובה</w:t>
      </w:r>
      <w:r>
        <w:rPr>
          <w:rFonts w:cs="Arial" w:hint="cs"/>
          <w:rtl/>
        </w:rPr>
        <w:t>.</w:t>
      </w:r>
      <w:r w:rsidRPr="00C93750">
        <w:rPr>
          <w:rFonts w:cs="Arial"/>
          <w:rtl/>
        </w:rPr>
        <w:t xml:space="preserve"> ואם תפשה</w:t>
      </w:r>
      <w:r>
        <w:rPr>
          <w:rFonts w:cs="Arial" w:hint="cs"/>
          <w:rtl/>
        </w:rPr>
        <w:t xml:space="preserve"> -</w:t>
      </w:r>
      <w:r w:rsidRPr="00C93750">
        <w:rPr>
          <w:rFonts w:cs="Arial"/>
          <w:rtl/>
        </w:rPr>
        <w:t xml:space="preserve"> אין מוציאין מידה</w:t>
      </w:r>
      <w:r>
        <w:rPr>
          <w:rStyle w:val="a7"/>
          <w:rFonts w:cs="Arial"/>
          <w:rtl/>
        </w:rPr>
        <w:footnoteReference w:id="1987"/>
      </w:r>
      <w:r>
        <w:rPr>
          <w:rFonts w:cs="Arial" w:hint="cs"/>
          <w:rtl/>
        </w:rPr>
        <w:t>.</w:t>
      </w:r>
      <w:r>
        <w:rPr>
          <w:rFonts w:hint="cs"/>
          <w:rtl/>
        </w:rPr>
        <w:t xml:space="preserve"> </w:t>
      </w:r>
      <w:r w:rsidRPr="001A2B82">
        <w:rPr>
          <w:rFonts w:hint="cs"/>
          <w:color w:val="E36C0A" w:themeColor="accent6" w:themeShade="BF"/>
          <w:rtl/>
        </w:rPr>
        <w:t>(וכ"פ בשו"ע</w:t>
      </w:r>
      <w:r>
        <w:rPr>
          <w:rFonts w:hint="cs"/>
          <w:sz w:val="16"/>
          <w:szCs w:val="16"/>
          <w:rtl/>
        </w:rPr>
        <w:t xml:space="preserve"> [כאן, ובסי' יז סמ"ג]</w:t>
      </w:r>
      <w:r w:rsidRPr="001A2B82">
        <w:rPr>
          <w:rFonts w:hint="cs"/>
          <w:color w:val="E36C0A" w:themeColor="accent6" w:themeShade="BF"/>
          <w:rtl/>
        </w:rPr>
        <w:t>)</w:t>
      </w:r>
    </w:p>
    <w:p w14:paraId="6ADDDE4B" w14:textId="77777777" w:rsidR="00392DBB" w:rsidRPr="006823A6" w:rsidRDefault="00392DBB" w:rsidP="009000E3">
      <w:pPr>
        <w:pStyle w:val="ab"/>
        <w:numPr>
          <w:ilvl w:val="0"/>
          <w:numId w:val="61"/>
        </w:numPr>
      </w:pPr>
      <w:r>
        <w:rPr>
          <w:rFonts w:cs="Arial" w:hint="cs"/>
          <w:rtl/>
        </w:rPr>
        <w:t xml:space="preserve">רא"ש </w:t>
      </w:r>
      <w:r w:rsidRPr="00145006">
        <w:rPr>
          <w:rFonts w:cs="Arial" w:hint="cs"/>
          <w:sz w:val="16"/>
          <w:szCs w:val="16"/>
          <w:rtl/>
        </w:rPr>
        <w:t>(פט"ו סי' ז</w:t>
      </w:r>
      <w:r>
        <w:rPr>
          <w:rFonts w:cs="Arial" w:hint="cs"/>
          <w:sz w:val="16"/>
          <w:szCs w:val="16"/>
          <w:rtl/>
        </w:rPr>
        <w:t>, כ"כ הטור בשמו</w:t>
      </w:r>
      <w:r w:rsidRPr="00145006">
        <w:rPr>
          <w:rFonts w:cs="Arial" w:hint="cs"/>
          <w:sz w:val="16"/>
          <w:szCs w:val="16"/>
          <w:rtl/>
        </w:rPr>
        <w:t>)</w:t>
      </w:r>
      <w:r>
        <w:rPr>
          <w:rFonts w:cs="Arial" w:hint="cs"/>
          <w:rtl/>
        </w:rPr>
        <w:t xml:space="preserve"> וטור</w:t>
      </w:r>
      <w:r>
        <w:rPr>
          <w:rFonts w:cs="Arial" w:hint="cs"/>
          <w:sz w:val="16"/>
          <w:szCs w:val="16"/>
          <w:rtl/>
        </w:rPr>
        <w:t xml:space="preserve"> (כאן ובסי' יז)</w:t>
      </w:r>
      <w:r>
        <w:rPr>
          <w:rFonts w:cs="Arial" w:hint="cs"/>
          <w:rtl/>
        </w:rPr>
        <w:t xml:space="preserve">- </w:t>
      </w:r>
      <w:r w:rsidRPr="00145006">
        <w:rPr>
          <w:rFonts w:cs="Arial"/>
          <w:rtl/>
        </w:rPr>
        <w:t xml:space="preserve">אם אומרת תנו לי כתובתי והתירוני לינשא או אפילו התירוני לינשא ותנו כתובתי </w:t>
      </w:r>
      <w:r>
        <w:rPr>
          <w:rFonts w:cs="Arial" w:hint="cs"/>
          <w:rtl/>
        </w:rPr>
        <w:t xml:space="preserve">- </w:t>
      </w:r>
      <w:r w:rsidRPr="00145006">
        <w:rPr>
          <w:rFonts w:cs="Arial"/>
          <w:rtl/>
        </w:rPr>
        <w:t>אין מתירין אותה לינשא</w:t>
      </w:r>
      <w:r>
        <w:rPr>
          <w:rStyle w:val="a7"/>
          <w:rFonts w:cs="Arial"/>
          <w:rtl/>
        </w:rPr>
        <w:footnoteReference w:id="1988"/>
      </w:r>
      <w:r>
        <w:rPr>
          <w:rFonts w:cs="Arial" w:hint="cs"/>
          <w:sz w:val="16"/>
          <w:szCs w:val="16"/>
          <w:rtl/>
        </w:rPr>
        <w:t xml:space="preserve"> (ל' הטור בסי' יז)</w:t>
      </w:r>
      <w:r>
        <w:rPr>
          <w:rFonts w:cs="Arial" w:hint="cs"/>
          <w:rtl/>
        </w:rPr>
        <w:t>.</w:t>
      </w:r>
      <w:r w:rsidRPr="003D2914">
        <w:rPr>
          <w:rFonts w:cs="Arial"/>
          <w:rtl/>
        </w:rPr>
        <w:t xml:space="preserve"> </w:t>
      </w:r>
    </w:p>
    <w:p w14:paraId="5CA5C16E"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DFA7F3D" w14:textId="77777777" w:rsidR="00392DBB" w:rsidRDefault="00392DBB" w:rsidP="00392DBB">
      <w:pPr>
        <w:rPr>
          <w:rtl/>
        </w:rPr>
      </w:pPr>
      <w:r>
        <w:rPr>
          <w:rFonts w:cs="Arial"/>
          <w:rtl/>
        </w:rPr>
        <w:t xml:space="preserve">באה ואמרה: מת בעלי התירוני לינשא ותנו לי כתובתי, מתירין אותה לינשא ונותנין לה כתובה. אבל אם באה ואמרה: מת בעלי ותנו לי כתובתי והתירוני לינשא, מתירים אותה ואין נותנים לה כתובה. ואם תפסה, אין מוציאין אותה מידה. ויש מי שאומר דבין בזו ובין בזו אין מתירים אותה, כיון שהזכירה כתובה. </w:t>
      </w:r>
    </w:p>
    <w:p w14:paraId="6DF01EAD" w14:textId="77777777" w:rsidR="00392DBB" w:rsidRDefault="00392DBB" w:rsidP="00392DBB">
      <w:pPr>
        <w:rPr>
          <w:rtl/>
        </w:rPr>
      </w:pPr>
    </w:p>
    <w:p w14:paraId="2FD5B2AF" w14:textId="77777777" w:rsidR="00392DBB" w:rsidRDefault="00392DBB" w:rsidP="000F64D0">
      <w:pPr>
        <w:pStyle w:val="2"/>
        <w:rPr>
          <w:rtl/>
        </w:rPr>
      </w:pPr>
      <w:r>
        <w:rPr>
          <w:rtl/>
        </w:rPr>
        <w:t>סעיף ט</w:t>
      </w:r>
      <w:r>
        <w:rPr>
          <w:rFonts w:hint="cs"/>
          <w:rtl/>
        </w:rPr>
        <w:t>: אלמנה שאין לה שטר כתובה, והם במקום שאין כותבים כתובה, והביאה עדים שכתב.</w:t>
      </w:r>
    </w:p>
    <w:p w14:paraId="3434A357" w14:textId="77777777" w:rsidR="00392DBB" w:rsidRPr="00E7468B" w:rsidRDefault="00392DBB" w:rsidP="00392DBB">
      <w:pPr>
        <w:rPr>
          <w:rtl/>
        </w:rPr>
      </w:pPr>
      <w:r>
        <w:rPr>
          <w:rFonts w:hint="cs"/>
          <w:rtl/>
        </w:rPr>
        <w:t>עיין במקורות בסעיף ו.</w:t>
      </w:r>
    </w:p>
    <w:p w14:paraId="626B0A2F"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F729526" w14:textId="77777777" w:rsidR="00392DBB" w:rsidRDefault="00392DBB" w:rsidP="00392DBB">
      <w:pPr>
        <w:rPr>
          <w:rtl/>
        </w:rPr>
      </w:pPr>
      <w:r>
        <w:rPr>
          <w:rFonts w:cs="Arial"/>
          <w:rtl/>
        </w:rPr>
        <w:t>במקום שאין כותבים כתובה, והביא עדים שכתב לה כתובה, יש מי שאומר שדינו כבמקום שכותבים ואינה גובה בלא כתובה</w:t>
      </w:r>
      <w:r>
        <w:rPr>
          <w:rStyle w:val="a7"/>
          <w:rFonts w:cs="Arial"/>
          <w:rtl/>
        </w:rPr>
        <w:footnoteReference w:id="1989"/>
      </w:r>
      <w:r>
        <w:rPr>
          <w:rFonts w:cs="Arial" w:hint="cs"/>
          <w:rtl/>
        </w:rPr>
        <w:t>.</w:t>
      </w:r>
      <w:r>
        <w:rPr>
          <w:rFonts w:cs="Arial"/>
          <w:rtl/>
        </w:rPr>
        <w:t xml:space="preserve"> ויש מי שאומר שגובה בלא כתובה. </w:t>
      </w:r>
    </w:p>
    <w:p w14:paraId="29D0B81C" w14:textId="77777777" w:rsidR="00392DBB" w:rsidRDefault="00392DBB" w:rsidP="00392DBB">
      <w:pPr>
        <w:rPr>
          <w:rtl/>
        </w:rPr>
      </w:pPr>
    </w:p>
    <w:p w14:paraId="4733D3D4" w14:textId="77777777" w:rsidR="00392DBB" w:rsidRDefault="00392DBB" w:rsidP="000F64D0">
      <w:pPr>
        <w:pStyle w:val="2"/>
        <w:rPr>
          <w:rtl/>
        </w:rPr>
      </w:pPr>
      <w:r>
        <w:rPr>
          <w:rtl/>
        </w:rPr>
        <w:lastRenderedPageBreak/>
        <w:t>סעיף י</w:t>
      </w:r>
      <w:r>
        <w:rPr>
          <w:rFonts w:hint="cs"/>
          <w:rtl/>
        </w:rPr>
        <w:t>: הוציאה שטר כתובה ואין עמה גט.</w:t>
      </w:r>
    </w:p>
    <w:p w14:paraId="2A5234B3" w14:textId="3849E85E" w:rsidR="00392DBB" w:rsidRPr="004A4B8F" w:rsidRDefault="00392DBB" w:rsidP="00392DBB">
      <w:pPr>
        <w:rPr>
          <w:rFonts w:cs="Arial"/>
          <w:sz w:val="16"/>
          <w:szCs w:val="16"/>
          <w:rtl/>
        </w:rPr>
      </w:pPr>
      <w:r w:rsidRPr="00196901">
        <w:rPr>
          <w:rFonts w:hint="cs"/>
          <w:b/>
          <w:bCs/>
          <w:rtl/>
        </w:rPr>
        <w:t>כתובות</w:t>
      </w:r>
      <w:r w:rsidRPr="00196901">
        <w:rPr>
          <w:rFonts w:hint="cs"/>
          <w:b/>
          <w:bCs/>
          <w:sz w:val="16"/>
          <w:szCs w:val="16"/>
          <w:rtl/>
        </w:rPr>
        <w:t xml:space="preserve"> (ס"פ הכותב) </w:t>
      </w:r>
      <w:r w:rsidRPr="00196901">
        <w:rPr>
          <w:rFonts w:hint="cs"/>
          <w:b/>
          <w:bCs/>
          <w:rtl/>
        </w:rPr>
        <w:t>פח ע"ב:</w:t>
      </w:r>
      <w:r>
        <w:rPr>
          <w:rFonts w:hint="cs"/>
          <w:rtl/>
        </w:rPr>
        <w:t xml:space="preserve"> </w:t>
      </w:r>
      <w:r w:rsidRPr="00196901">
        <w:rPr>
          <w:rFonts w:cs="Arial"/>
          <w:u w:val="double"/>
          <w:rtl/>
        </w:rPr>
        <w:t>מתני'</w:t>
      </w:r>
      <w:r>
        <w:rPr>
          <w:rFonts w:cs="Arial" w:hint="cs"/>
          <w:rtl/>
        </w:rPr>
        <w:t>:</w:t>
      </w:r>
      <w:r w:rsidRPr="00196901">
        <w:rPr>
          <w:rFonts w:cs="Arial"/>
          <w:rtl/>
        </w:rPr>
        <w:t xml:space="preserve"> הוציאה גט ואין עמו כתובה </w:t>
      </w:r>
      <w:r>
        <w:rPr>
          <w:rFonts w:cs="Arial" w:hint="cs"/>
          <w:sz w:val="14"/>
          <w:szCs w:val="14"/>
          <w:rtl/>
        </w:rPr>
        <w:t xml:space="preserve">(פט.) </w:t>
      </w:r>
      <w:r w:rsidRPr="00196901">
        <w:rPr>
          <w:rFonts w:cs="Arial"/>
          <w:rtl/>
        </w:rPr>
        <w:t>-</w:t>
      </w:r>
      <w:r w:rsidRPr="00196901">
        <w:rPr>
          <w:rtl/>
        </w:rPr>
        <w:t xml:space="preserve"> </w:t>
      </w:r>
      <w:r w:rsidRPr="00196901">
        <w:rPr>
          <w:rFonts w:cs="Arial"/>
          <w:rtl/>
        </w:rPr>
        <w:t>גובה כתובתה. כתובה ואין עמה גט - היא אומרת אבד גיטי</w:t>
      </w:r>
      <w:r>
        <w:rPr>
          <w:rFonts w:cs="Arial" w:hint="cs"/>
          <w:rtl/>
        </w:rPr>
        <w:t>,</w:t>
      </w:r>
      <w:r w:rsidRPr="00196901">
        <w:rPr>
          <w:rFonts w:cs="Arial"/>
          <w:rtl/>
        </w:rPr>
        <w:t xml:space="preserve"> והוא אומר אבד שוברי, וכן בעל חוב שהוציא שטר</w:t>
      </w:r>
      <w:r>
        <w:rPr>
          <w:rFonts w:cs="Arial" w:hint="cs"/>
          <w:rtl/>
        </w:rPr>
        <w:t xml:space="preserve"> </w:t>
      </w:r>
      <w:r w:rsidRPr="00196901">
        <w:rPr>
          <w:rFonts w:cs="Arial"/>
          <w:rtl/>
        </w:rPr>
        <w:t>חוב ואין עמו פרוזבול - הרי אלו לא יפרעו</w:t>
      </w:r>
      <w:r>
        <w:rPr>
          <w:rFonts w:cs="Arial" w:hint="cs"/>
          <w:rtl/>
        </w:rPr>
        <w:t>.</w:t>
      </w:r>
      <w:r w:rsidRPr="00196901">
        <w:rPr>
          <w:rFonts w:cs="Arial"/>
          <w:rtl/>
        </w:rPr>
        <w:t xml:space="preserve"> </w:t>
      </w:r>
      <w:r w:rsidRPr="00196901">
        <w:rPr>
          <w:rFonts w:cs="Arial"/>
          <w:u w:val="single"/>
          <w:rtl/>
        </w:rPr>
        <w:t>רשב"ג אומר</w:t>
      </w:r>
      <w:r w:rsidRPr="00196901">
        <w:rPr>
          <w:rFonts w:cs="Arial"/>
          <w:rtl/>
        </w:rPr>
        <w:t>: מן הסכנה</w:t>
      </w:r>
      <w:r>
        <w:rPr>
          <w:rStyle w:val="a7"/>
          <w:rFonts w:cs="Arial"/>
          <w:rtl/>
        </w:rPr>
        <w:footnoteReference w:id="1990"/>
      </w:r>
      <w:r w:rsidRPr="00196901">
        <w:rPr>
          <w:rFonts w:cs="Arial"/>
          <w:rtl/>
        </w:rPr>
        <w:t xml:space="preserve"> ואילך, אשה גובה כתובתה שלא בגט, ובעל חוב גובה שלא בפרוזבול.</w:t>
      </w:r>
      <w:r>
        <w:rPr>
          <w:rFonts w:hint="cs"/>
          <w:rtl/>
        </w:rPr>
        <w:t xml:space="preserve">  </w:t>
      </w:r>
      <w:r w:rsidR="00087D26">
        <w:rPr>
          <w:rFonts w:hint="cs"/>
          <w:rtl/>
        </w:rPr>
        <w:t xml:space="preserve">   </w:t>
      </w:r>
      <w:r>
        <w:rPr>
          <w:rFonts w:hint="cs"/>
          <w:rtl/>
        </w:rPr>
        <w:t xml:space="preserve">  </w:t>
      </w:r>
      <w:r w:rsidRPr="00196901">
        <w:rPr>
          <w:rFonts w:hint="cs"/>
          <w:u w:val="double"/>
          <w:rtl/>
        </w:rPr>
        <w:t>גמ'</w:t>
      </w:r>
      <w:r>
        <w:rPr>
          <w:rFonts w:hint="cs"/>
          <w:rtl/>
        </w:rPr>
        <w:t>:</w:t>
      </w:r>
      <w:r w:rsidRPr="00196901">
        <w:rPr>
          <w:rFonts w:cs="Arial"/>
          <w:rtl/>
        </w:rPr>
        <w:t xml:space="preserve"> </w:t>
      </w:r>
      <w:r w:rsidRPr="0022386C">
        <w:rPr>
          <w:rFonts w:cs="Arial"/>
          <w:rtl/>
        </w:rPr>
        <w:t xml:space="preserve">ש"מ: כותבין שובר, דאי אין כותבין שובר, ליחוש דלמא מפקא לה לכתובתה וגביא בה! </w:t>
      </w:r>
      <w:r w:rsidRPr="00A72F05">
        <w:rPr>
          <w:rFonts w:cs="Arial"/>
          <w:u w:val="single"/>
          <w:rtl/>
        </w:rPr>
        <w:t>אמר רב</w:t>
      </w:r>
      <w:r w:rsidRPr="0022386C">
        <w:rPr>
          <w:rFonts w:cs="Arial"/>
          <w:rtl/>
        </w:rPr>
        <w:t>: במקום שאין כותבין כתובה עסקי'</w:t>
      </w:r>
      <w:r>
        <w:rPr>
          <w:rFonts w:cs="Arial" w:hint="cs"/>
          <w:rtl/>
        </w:rPr>
        <w:t>.</w:t>
      </w:r>
      <w:r w:rsidRPr="0022386C">
        <w:rPr>
          <w:rFonts w:cs="Arial"/>
          <w:rtl/>
        </w:rPr>
        <w:t xml:space="preserve"> </w:t>
      </w:r>
      <w:r w:rsidRPr="00A72F05">
        <w:rPr>
          <w:rFonts w:cs="Arial"/>
          <w:u w:val="single"/>
          <w:rtl/>
        </w:rPr>
        <w:t>ושמואל אמר</w:t>
      </w:r>
      <w:r w:rsidRPr="0022386C">
        <w:rPr>
          <w:rFonts w:cs="Arial"/>
          <w:rtl/>
        </w:rPr>
        <w:t xml:space="preserve">: אף במקום שכותבין כתובה. ולשמואל כותבין שובר? </w:t>
      </w:r>
      <w:r w:rsidRPr="00A72F05">
        <w:rPr>
          <w:rFonts w:cs="Arial"/>
          <w:u w:val="single"/>
          <w:rtl/>
        </w:rPr>
        <w:t>אמר רב ענן</w:t>
      </w:r>
      <w:r>
        <w:rPr>
          <w:rFonts w:cs="Arial" w:hint="cs"/>
          <w:rtl/>
        </w:rPr>
        <w:t>:</w:t>
      </w:r>
      <w:r w:rsidRPr="0022386C">
        <w:rPr>
          <w:rFonts w:cs="Arial"/>
          <w:rtl/>
        </w:rPr>
        <w:t xml:space="preserve"> לדידי מיפרשא לי</w:t>
      </w:r>
      <w:r>
        <w:rPr>
          <w:rStyle w:val="a7"/>
          <w:rFonts w:cs="Arial"/>
          <w:rtl/>
        </w:rPr>
        <w:footnoteReference w:id="1991"/>
      </w:r>
      <w:r w:rsidRPr="0022386C">
        <w:rPr>
          <w:rFonts w:cs="Arial"/>
          <w:rtl/>
        </w:rPr>
        <w:t xml:space="preserve"> מיניה דמר שמואל</w:t>
      </w:r>
      <w:r>
        <w:rPr>
          <w:rFonts w:cs="Arial" w:hint="cs"/>
          <w:rtl/>
        </w:rPr>
        <w:t>,</w:t>
      </w:r>
      <w:r w:rsidRPr="0022386C">
        <w:rPr>
          <w:rFonts w:cs="Arial"/>
          <w:rtl/>
        </w:rPr>
        <w:t xml:space="preserve"> במקום שאין כותבין ואמר כתבתי - עליו להביא ראיה, במקום שכותבין ואמרה לא כתב לי - עליה להביא ראיה.</w:t>
      </w:r>
      <w:r w:rsidRPr="00C16EED">
        <w:rPr>
          <w:rFonts w:cs="Arial"/>
          <w:rtl/>
        </w:rPr>
        <w:t xml:space="preserve"> </w:t>
      </w:r>
      <w:r w:rsidRPr="0022386C">
        <w:rPr>
          <w:rFonts w:cs="Arial"/>
          <w:rtl/>
        </w:rPr>
        <w:t>ואף רב הדר ביה</w:t>
      </w:r>
      <w:r>
        <w:rPr>
          <w:rStyle w:val="a7"/>
          <w:rFonts w:cs="Arial"/>
          <w:rtl/>
        </w:rPr>
        <w:footnoteReference w:id="1992"/>
      </w:r>
      <w:r w:rsidRPr="0022386C">
        <w:rPr>
          <w:rFonts w:cs="Arial"/>
          <w:rtl/>
        </w:rPr>
        <w:t xml:space="preserve">, </w:t>
      </w:r>
      <w:r w:rsidRPr="00A72F05">
        <w:rPr>
          <w:rFonts w:cs="Arial"/>
          <w:u w:val="single"/>
          <w:rtl/>
        </w:rPr>
        <w:t>דאמר רב</w:t>
      </w:r>
      <w:r w:rsidRPr="0022386C">
        <w:rPr>
          <w:rFonts w:cs="Arial"/>
          <w:rtl/>
        </w:rPr>
        <w:t>: בין במקום שכותבין, בין במקום שאין כותבין, גט - גובה עיקר, כתובה - גובה תוספת, וכל הרוצה להשיב יבא וישיב.</w:t>
      </w:r>
      <w:r w:rsidRPr="00196901">
        <w:rPr>
          <w:rFonts w:cs="Arial"/>
          <w:rtl/>
        </w:rPr>
        <w:t xml:space="preserve"> תנן: כתובה ואין עמה גט - היא אומרת אבד גיטי והוא אומר אבד שוברי, וכן בע"ח שהוציא שטר חוב ואין עמו פרוזבול - הרי אלו לא יפרעו</w:t>
      </w:r>
      <w:r>
        <w:rPr>
          <w:rFonts w:cs="Arial" w:hint="cs"/>
          <w:rtl/>
        </w:rPr>
        <w:t>.</w:t>
      </w:r>
      <w:r w:rsidRPr="00196901">
        <w:rPr>
          <w:rFonts w:cs="Arial"/>
          <w:rtl/>
        </w:rPr>
        <w:t xml:space="preserve"> בשלמא לשמואל</w:t>
      </w:r>
      <w:r>
        <w:rPr>
          <w:rStyle w:val="a7"/>
          <w:rFonts w:cs="Arial"/>
          <w:rtl/>
        </w:rPr>
        <w:footnoteReference w:id="1993"/>
      </w:r>
      <w:r w:rsidRPr="00196901">
        <w:rPr>
          <w:rFonts w:cs="Arial"/>
          <w:rtl/>
        </w:rPr>
        <w:t>, מוקי לה</w:t>
      </w:r>
      <w:r>
        <w:rPr>
          <w:rStyle w:val="a7"/>
          <w:rFonts w:cs="Arial"/>
          <w:rtl/>
        </w:rPr>
        <w:footnoteReference w:id="1994"/>
      </w:r>
      <w:r w:rsidRPr="00196901">
        <w:rPr>
          <w:rFonts w:cs="Arial"/>
          <w:rtl/>
        </w:rPr>
        <w:t xml:space="preserve"> במקום שאין כותבין</w:t>
      </w:r>
      <w:r>
        <w:rPr>
          <w:rStyle w:val="a7"/>
          <w:rFonts w:cs="Arial"/>
          <w:rtl/>
        </w:rPr>
        <w:footnoteReference w:id="1995"/>
      </w:r>
      <w:r w:rsidRPr="00196901">
        <w:rPr>
          <w:rFonts w:cs="Arial"/>
          <w:rtl/>
        </w:rPr>
        <w:t xml:space="preserve"> ואמר כתבתי, דאמרי' ליה: אייתי ראיה, ואי לא מייתי ראיה, אמרינן ליה: זיל פרעיה</w:t>
      </w:r>
      <w:r>
        <w:rPr>
          <w:rFonts w:cs="Arial" w:hint="cs"/>
          <w:rtl/>
        </w:rPr>
        <w:t>.</w:t>
      </w:r>
      <w:r w:rsidRPr="00196901">
        <w:rPr>
          <w:rFonts w:cs="Arial"/>
          <w:rtl/>
        </w:rPr>
        <w:t xml:space="preserve"> אלא לרב</w:t>
      </w:r>
      <w:r>
        <w:rPr>
          <w:rStyle w:val="a7"/>
          <w:rFonts w:cs="Arial"/>
          <w:rtl/>
        </w:rPr>
        <w:footnoteReference w:id="1996"/>
      </w:r>
      <w:r w:rsidRPr="00196901">
        <w:rPr>
          <w:rFonts w:cs="Arial"/>
          <w:rtl/>
        </w:rPr>
        <w:t xml:space="preserve">, נהי דעיקר לא גביא, תוספת מיהא תיגבי! </w:t>
      </w:r>
      <w:r w:rsidRPr="00B6252C">
        <w:rPr>
          <w:rFonts w:cs="Arial"/>
          <w:u w:val="single"/>
          <w:rtl/>
        </w:rPr>
        <w:t>אמר רב יוסף</w:t>
      </w:r>
      <w:r w:rsidRPr="00196901">
        <w:rPr>
          <w:rFonts w:cs="Arial"/>
          <w:rtl/>
        </w:rPr>
        <w:t>: הכא במאי עסקינן - כשאין שם עדי גירושין, מיגו דיכול למימר לא גירשתיה</w:t>
      </w:r>
      <w:r>
        <w:rPr>
          <w:rStyle w:val="a7"/>
          <w:rFonts w:cs="Arial"/>
          <w:rtl/>
        </w:rPr>
        <w:footnoteReference w:id="1997"/>
      </w:r>
      <w:r w:rsidRPr="00196901">
        <w:rPr>
          <w:rFonts w:cs="Arial"/>
          <w:rtl/>
        </w:rPr>
        <w:t>,</w:t>
      </w:r>
      <w:r w:rsidRPr="00B6252C">
        <w:rPr>
          <w:rtl/>
        </w:rPr>
        <w:t xml:space="preserve"> </w:t>
      </w:r>
      <w:r>
        <w:rPr>
          <w:rFonts w:hint="cs"/>
          <w:sz w:val="14"/>
          <w:szCs w:val="14"/>
          <w:rtl/>
        </w:rPr>
        <w:t xml:space="preserve">(פט:) </w:t>
      </w:r>
      <w:r w:rsidRPr="00B6252C">
        <w:rPr>
          <w:rFonts w:cs="Arial"/>
          <w:rtl/>
        </w:rPr>
        <w:t>יכול למימר גירשתיה ונתתי לה כתובתה. הא מדקתני סיפא, רשב"ג אומר: מן הסכנה ואילך, אשה גובה כתובתה שלא בגט, ובעל חוב שלא בפרוזבול - בדאיכא עדי גירושין עסקינן, דאי ליכא עדי גירושין, במאי גביא? אלא כולה רשב"ג היא, וחסורי מיחסרא והכי קתני: הרי אלו לא יפרעו, בד"א - כשאין שם עדי גירושין, אבל יש שם עדי גירושין גביא תוספת, ועיקר - אי מפקא גיטא גביא, ואי לא מפקא גיטא לא גביא</w:t>
      </w:r>
      <w:r>
        <w:rPr>
          <w:rFonts w:cs="Arial" w:hint="cs"/>
          <w:rtl/>
        </w:rPr>
        <w:t>.</w:t>
      </w:r>
      <w:r w:rsidRPr="00B6252C">
        <w:rPr>
          <w:rFonts w:cs="Arial"/>
          <w:rtl/>
        </w:rPr>
        <w:t xml:space="preserve"> ומן הסכנה ואילך, אף על גב דלא מפקא גיטא גביא, שרשב"ג אומר: מסכנה ואילך, אשה גובה כתובתה שלא בגט, ובעל חוב שלא בפרוזבול.</w:t>
      </w:r>
    </w:p>
    <w:p w14:paraId="2EBC71D9" w14:textId="77777777" w:rsidR="00392DBB" w:rsidRPr="00315B12" w:rsidRDefault="00392DBB" w:rsidP="00392DBB">
      <w:pPr>
        <w:rPr>
          <w:u w:val="single"/>
          <w:rtl/>
        </w:rPr>
      </w:pPr>
      <w:r>
        <w:rPr>
          <w:rFonts w:hint="cs"/>
          <w:u w:val="single"/>
          <w:rtl/>
        </w:rPr>
        <w:t>הוציאה כתובה ואין עמה</w:t>
      </w:r>
      <w:r w:rsidRPr="00315B12">
        <w:rPr>
          <w:rFonts w:hint="cs"/>
          <w:u w:val="single"/>
          <w:rtl/>
        </w:rPr>
        <w:t xml:space="preserve"> גט:</w:t>
      </w:r>
    </w:p>
    <w:p w14:paraId="0E685BDD" w14:textId="14290EEE" w:rsidR="00392DBB" w:rsidRPr="007B0B78" w:rsidRDefault="00392DBB" w:rsidP="009000E3">
      <w:pPr>
        <w:pStyle w:val="ab"/>
        <w:numPr>
          <w:ilvl w:val="0"/>
          <w:numId w:val="61"/>
        </w:numPr>
      </w:pPr>
      <w:r>
        <w:rPr>
          <w:rFonts w:cs="Arial" w:hint="cs"/>
          <w:rtl/>
        </w:rPr>
        <w:t xml:space="preserve">טור- </w:t>
      </w:r>
      <w:r w:rsidRPr="003D2914">
        <w:rPr>
          <w:rFonts w:cs="Arial"/>
          <w:rtl/>
        </w:rPr>
        <w:t>אם הוציאה כתובה בלא גט</w:t>
      </w:r>
      <w:r>
        <w:rPr>
          <w:rFonts w:cs="Arial" w:hint="cs"/>
          <w:rtl/>
        </w:rPr>
        <w:t>,</w:t>
      </w:r>
      <w:r w:rsidRPr="003D2914">
        <w:rPr>
          <w:rFonts w:cs="Arial"/>
          <w:rtl/>
        </w:rPr>
        <w:t xml:space="preserve"> שאומרת שאבד גיטה</w:t>
      </w:r>
      <w:r>
        <w:rPr>
          <w:rFonts w:cs="Arial" w:hint="cs"/>
          <w:rtl/>
        </w:rPr>
        <w:t>.</w:t>
      </w:r>
      <w:r w:rsidRPr="003D2914">
        <w:rPr>
          <w:rFonts w:cs="Arial"/>
          <w:rtl/>
        </w:rPr>
        <w:t xml:space="preserve"> והוא אומר שכבר הוציאה הגט וגבתה בו</w:t>
      </w:r>
      <w:r>
        <w:rPr>
          <w:rFonts w:cs="Arial" w:hint="cs"/>
          <w:rtl/>
        </w:rPr>
        <w:t>.</w:t>
      </w:r>
      <w:r w:rsidRPr="003D2914">
        <w:rPr>
          <w:rFonts w:cs="Arial"/>
          <w:rtl/>
        </w:rPr>
        <w:t xml:space="preserve"> והוא במקום שאין כותבין</w:t>
      </w:r>
      <w:r>
        <w:rPr>
          <w:rFonts w:cs="Arial" w:hint="cs"/>
          <w:rtl/>
        </w:rPr>
        <w:t>.</w:t>
      </w:r>
      <w:r w:rsidRPr="003D2914">
        <w:rPr>
          <w:rFonts w:cs="Arial"/>
          <w:rtl/>
        </w:rPr>
        <w:t xml:space="preserve"> ואומר</w:t>
      </w:r>
      <w:r w:rsidR="00087D26">
        <w:rPr>
          <w:rFonts w:cs="Arial" w:hint="cs"/>
          <w:rtl/>
        </w:rPr>
        <w:t>:</w:t>
      </w:r>
      <w:r w:rsidRPr="003D2914">
        <w:rPr>
          <w:rFonts w:cs="Arial"/>
          <w:rtl/>
        </w:rPr>
        <w:t xml:space="preserve"> מפני שאין רגילין לכתוב לא האמינו לי במה שכתבתי לה והוצרכתי לפרוע ע"פ הגט</w:t>
      </w:r>
      <w:r>
        <w:rPr>
          <w:rFonts w:cs="Arial" w:hint="cs"/>
          <w:rtl/>
        </w:rPr>
        <w:t>,</w:t>
      </w:r>
      <w:r w:rsidRPr="003D2914">
        <w:rPr>
          <w:rFonts w:cs="Arial"/>
          <w:rtl/>
        </w:rPr>
        <w:t xml:space="preserve"> וכתבו לי שובר</w:t>
      </w:r>
      <w:r>
        <w:rPr>
          <w:rFonts w:cs="Arial" w:hint="cs"/>
          <w:rtl/>
        </w:rPr>
        <w:t>,</w:t>
      </w:r>
      <w:r w:rsidRPr="003D2914">
        <w:rPr>
          <w:rFonts w:cs="Arial"/>
          <w:rtl/>
        </w:rPr>
        <w:t xml:space="preserve"> ואבד</w:t>
      </w:r>
      <w:r>
        <w:rPr>
          <w:rFonts w:cs="Arial" w:hint="cs"/>
          <w:rtl/>
        </w:rPr>
        <w:t>.</w:t>
      </w:r>
      <w:r w:rsidRPr="003D2914">
        <w:rPr>
          <w:rFonts w:cs="Arial"/>
          <w:rtl/>
        </w:rPr>
        <w:t xml:space="preserve"> אם יש לה עדי גירושין </w:t>
      </w:r>
      <w:r>
        <w:rPr>
          <w:rFonts w:cs="Arial" w:hint="cs"/>
          <w:rtl/>
        </w:rPr>
        <w:t xml:space="preserve">- </w:t>
      </w:r>
      <w:r w:rsidRPr="003D2914">
        <w:rPr>
          <w:rFonts w:cs="Arial"/>
          <w:rtl/>
        </w:rPr>
        <w:t>אינו נאמן</w:t>
      </w:r>
      <w:r>
        <w:rPr>
          <w:rFonts w:cs="Arial" w:hint="cs"/>
          <w:rtl/>
        </w:rPr>
        <w:t>.</w:t>
      </w:r>
      <w:r w:rsidRPr="003D2914">
        <w:rPr>
          <w:rFonts w:cs="Arial"/>
          <w:rtl/>
        </w:rPr>
        <w:t xml:space="preserve"> ואם אין לה עדי גירושין </w:t>
      </w:r>
      <w:r>
        <w:rPr>
          <w:rFonts w:cs="Arial" w:hint="cs"/>
          <w:rtl/>
        </w:rPr>
        <w:t xml:space="preserve">- </w:t>
      </w:r>
      <w:r w:rsidRPr="003D2914">
        <w:rPr>
          <w:rFonts w:cs="Arial"/>
          <w:rtl/>
        </w:rPr>
        <w:t>נאמן במגו שיכול לומר לא גירשתיך</w:t>
      </w:r>
      <w:r>
        <w:rPr>
          <w:rStyle w:val="a7"/>
          <w:rFonts w:cs="Arial"/>
          <w:rtl/>
        </w:rPr>
        <w:footnoteReference w:id="1998"/>
      </w:r>
      <w:r>
        <w:rPr>
          <w:rFonts w:cs="Arial" w:hint="cs"/>
          <w:rtl/>
        </w:rPr>
        <w:t>.</w:t>
      </w:r>
      <w:r w:rsidRPr="003D2914">
        <w:rPr>
          <w:rFonts w:cs="Arial"/>
          <w:rtl/>
        </w:rPr>
        <w:t xml:space="preserve"> ואע</w:t>
      </w:r>
      <w:r w:rsidR="00087D26">
        <w:rPr>
          <w:rFonts w:cs="Arial" w:hint="cs"/>
          <w:rtl/>
        </w:rPr>
        <w:t>"</w:t>
      </w:r>
      <w:r w:rsidRPr="003D2914">
        <w:rPr>
          <w:rFonts w:cs="Arial"/>
          <w:rtl/>
        </w:rPr>
        <w:t>פ שהיא אומרת גירשתני</w:t>
      </w:r>
      <w:r>
        <w:rPr>
          <w:rFonts w:cs="Arial" w:hint="cs"/>
          <w:rtl/>
        </w:rPr>
        <w:t>,</w:t>
      </w:r>
      <w:r w:rsidRPr="003D2914">
        <w:rPr>
          <w:rFonts w:cs="Arial"/>
          <w:rtl/>
        </w:rPr>
        <w:t xml:space="preserve"> אינה נאמנת</w:t>
      </w:r>
      <w:r>
        <w:rPr>
          <w:rFonts w:cs="Arial" w:hint="cs"/>
          <w:rtl/>
        </w:rPr>
        <w:t>,</w:t>
      </w:r>
      <w:r w:rsidRPr="003D2914">
        <w:rPr>
          <w:rFonts w:cs="Arial"/>
          <w:rtl/>
        </w:rPr>
        <w:t xml:space="preserve"> כיון שתובעת כתובתה</w:t>
      </w:r>
      <w:r>
        <w:rPr>
          <w:rStyle w:val="a7"/>
          <w:rFonts w:cs="Arial"/>
          <w:rtl/>
        </w:rPr>
        <w:footnoteReference w:id="1999"/>
      </w:r>
      <w:r>
        <w:rPr>
          <w:rFonts w:cs="Arial" w:hint="cs"/>
          <w:rtl/>
        </w:rPr>
        <w:t>.</w:t>
      </w:r>
      <w:r w:rsidRPr="003D2914">
        <w:rPr>
          <w:rFonts w:cs="Arial"/>
          <w:rtl/>
        </w:rPr>
        <w:t xml:space="preserve"> ואם הוא במקום שאין רשאין לכתוב גט מפני הסכנה</w:t>
      </w:r>
      <w:r>
        <w:rPr>
          <w:rFonts w:cs="Arial" w:hint="cs"/>
          <w:rtl/>
        </w:rPr>
        <w:t xml:space="preserve"> -</w:t>
      </w:r>
      <w:r w:rsidRPr="003D2914">
        <w:rPr>
          <w:rFonts w:cs="Arial"/>
          <w:rtl/>
        </w:rPr>
        <w:t xml:space="preserve"> היא נאמנת וגובה הכל</w:t>
      </w:r>
      <w:r>
        <w:rPr>
          <w:rFonts w:cs="Arial" w:hint="cs"/>
          <w:rtl/>
        </w:rPr>
        <w:t>,</w:t>
      </w:r>
      <w:r w:rsidRPr="003D2914">
        <w:rPr>
          <w:rFonts w:cs="Arial"/>
          <w:rtl/>
        </w:rPr>
        <w:t xml:space="preserve"> אפי' אין לה עדי גירושין</w:t>
      </w:r>
      <w:r>
        <w:rPr>
          <w:rStyle w:val="a7"/>
          <w:rFonts w:cs="Arial"/>
          <w:rtl/>
        </w:rPr>
        <w:footnoteReference w:id="2000"/>
      </w:r>
      <w:r>
        <w:rPr>
          <w:rFonts w:cs="Arial" w:hint="cs"/>
          <w:rtl/>
        </w:rPr>
        <w:t>.</w:t>
      </w:r>
      <w:r w:rsidRPr="003D2914">
        <w:rPr>
          <w:rFonts w:cs="Arial"/>
          <w:rtl/>
        </w:rPr>
        <w:t xml:space="preserve"> </w:t>
      </w:r>
    </w:p>
    <w:p w14:paraId="5498F271" w14:textId="4FB37057" w:rsidR="00392DBB" w:rsidRPr="00196901" w:rsidRDefault="00392DBB" w:rsidP="009000E3">
      <w:pPr>
        <w:pStyle w:val="ab"/>
        <w:numPr>
          <w:ilvl w:val="0"/>
          <w:numId w:val="61"/>
        </w:numPr>
      </w:pPr>
      <w:r w:rsidRPr="003D2914">
        <w:rPr>
          <w:rFonts w:cs="Arial"/>
          <w:rtl/>
        </w:rPr>
        <w:t>רמב"ם</w:t>
      </w:r>
      <w:r>
        <w:rPr>
          <w:rFonts w:cs="Arial" w:hint="cs"/>
          <w:rtl/>
        </w:rPr>
        <w:t xml:space="preserve"> </w:t>
      </w:r>
      <w:r w:rsidRPr="00AF0123">
        <w:rPr>
          <w:rFonts w:cs="Arial" w:hint="cs"/>
          <w:sz w:val="16"/>
          <w:szCs w:val="16"/>
          <w:rtl/>
        </w:rPr>
        <w:t>(</w:t>
      </w:r>
      <w:r w:rsidRPr="00AF0123">
        <w:rPr>
          <w:rFonts w:cs="Arial"/>
          <w:sz w:val="16"/>
          <w:szCs w:val="16"/>
          <w:rtl/>
        </w:rPr>
        <w:t>פ</w:t>
      </w:r>
      <w:r w:rsidRPr="00AF0123">
        <w:rPr>
          <w:rFonts w:cs="Arial" w:hint="cs"/>
          <w:sz w:val="16"/>
          <w:szCs w:val="16"/>
          <w:rtl/>
        </w:rPr>
        <w:t>ט</w:t>
      </w:r>
      <w:r w:rsidRPr="00AF0123">
        <w:rPr>
          <w:rFonts w:cs="Arial"/>
          <w:sz w:val="16"/>
          <w:szCs w:val="16"/>
          <w:rtl/>
        </w:rPr>
        <w:t>"</w:t>
      </w:r>
      <w:r w:rsidRPr="00AF0123">
        <w:rPr>
          <w:rFonts w:cs="Arial" w:hint="cs"/>
          <w:sz w:val="16"/>
          <w:szCs w:val="16"/>
          <w:rtl/>
        </w:rPr>
        <w:t>ז</w:t>
      </w:r>
      <w:r w:rsidRPr="00AF0123">
        <w:rPr>
          <w:rFonts w:cs="Arial"/>
          <w:sz w:val="16"/>
          <w:szCs w:val="16"/>
          <w:rtl/>
        </w:rPr>
        <w:t xml:space="preserve"> הכ</w:t>
      </w:r>
      <w:r w:rsidRPr="00AF0123">
        <w:rPr>
          <w:rFonts w:cs="Arial" w:hint="cs"/>
          <w:sz w:val="16"/>
          <w:szCs w:val="16"/>
          <w:rtl/>
        </w:rPr>
        <w:t>"</w:t>
      </w:r>
      <w:r w:rsidRPr="00AF0123">
        <w:rPr>
          <w:rFonts w:cs="Arial"/>
          <w:sz w:val="16"/>
          <w:szCs w:val="16"/>
          <w:rtl/>
        </w:rPr>
        <w:t>ו-כז)</w:t>
      </w:r>
      <w:r>
        <w:rPr>
          <w:rFonts w:cs="Arial" w:hint="cs"/>
          <w:rtl/>
        </w:rPr>
        <w:t>-</w:t>
      </w:r>
      <w:r>
        <w:rPr>
          <w:rFonts w:cs="Arial"/>
          <w:rtl/>
        </w:rPr>
        <w:t xml:space="preserve"> האשה שאמרה לבעלה גירשתני </w:t>
      </w:r>
      <w:r>
        <w:rPr>
          <w:rFonts w:cs="Arial" w:hint="cs"/>
          <w:rtl/>
        </w:rPr>
        <w:t xml:space="preserve">- </w:t>
      </w:r>
      <w:r>
        <w:rPr>
          <w:rFonts w:cs="Arial"/>
          <w:rtl/>
        </w:rPr>
        <w:t>נאמנת</w:t>
      </w:r>
      <w:r>
        <w:rPr>
          <w:rFonts w:cs="Arial" w:hint="cs"/>
          <w:rtl/>
        </w:rPr>
        <w:t>,</w:t>
      </w:r>
      <w:r>
        <w:rPr>
          <w:rFonts w:cs="Arial"/>
          <w:rtl/>
        </w:rPr>
        <w:t xml:space="preserve"> שאינה מעיזה פניה בפני בעלה</w:t>
      </w:r>
      <w:r>
        <w:rPr>
          <w:rFonts w:cs="Arial" w:hint="cs"/>
          <w:rtl/>
        </w:rPr>
        <w:t>.</w:t>
      </w:r>
      <w:r>
        <w:rPr>
          <w:rFonts w:cs="Arial"/>
          <w:rtl/>
        </w:rPr>
        <w:t xml:space="preserve"> לפיכך האשה שהוציאה שטר כתובה ואין עמה גט</w:t>
      </w:r>
      <w:r>
        <w:rPr>
          <w:rFonts w:cs="Arial" w:hint="cs"/>
          <w:rtl/>
        </w:rPr>
        <w:t>,</w:t>
      </w:r>
      <w:r>
        <w:rPr>
          <w:rFonts w:cs="Arial"/>
          <w:rtl/>
        </w:rPr>
        <w:t xml:space="preserve"> ואמרה לבעלה גירשתני ואבד גיטי תן לי כתובתי</w:t>
      </w:r>
      <w:r>
        <w:rPr>
          <w:rFonts w:cs="Arial" w:hint="cs"/>
          <w:rtl/>
        </w:rPr>
        <w:t>.</w:t>
      </w:r>
      <w:r>
        <w:rPr>
          <w:rFonts w:cs="Arial"/>
          <w:rtl/>
        </w:rPr>
        <w:t xml:space="preserve"> והוא אומר לא גירשתיך </w:t>
      </w:r>
      <w:r>
        <w:rPr>
          <w:rFonts w:cs="Arial" w:hint="cs"/>
          <w:rtl/>
        </w:rPr>
        <w:t xml:space="preserve">- </w:t>
      </w:r>
      <w:r>
        <w:rPr>
          <w:rFonts w:cs="Arial"/>
          <w:rtl/>
        </w:rPr>
        <w:t>חייב ליתן לה עיקר כתובה</w:t>
      </w:r>
      <w:r>
        <w:rPr>
          <w:rFonts w:cs="Arial" w:hint="cs"/>
          <w:rtl/>
        </w:rPr>
        <w:t>,</w:t>
      </w:r>
      <w:r>
        <w:rPr>
          <w:rFonts w:cs="Arial"/>
          <w:rtl/>
        </w:rPr>
        <w:t xml:space="preserve"> אבל אינו נותן לה תוספת עד שתביא ראיה שגירש</w:t>
      </w:r>
      <w:r>
        <w:rPr>
          <w:rFonts w:cs="Arial" w:hint="cs"/>
          <w:rtl/>
        </w:rPr>
        <w:t>,</w:t>
      </w:r>
      <w:r>
        <w:rPr>
          <w:rFonts w:cs="Arial"/>
          <w:rtl/>
        </w:rPr>
        <w:t xml:space="preserve"> או שיצא גט עם הכתובה מתחת ידיה</w:t>
      </w:r>
      <w:r>
        <w:rPr>
          <w:rFonts w:cs="Arial" w:hint="cs"/>
          <w:rtl/>
        </w:rPr>
        <w:t>.</w:t>
      </w:r>
      <w:r>
        <w:rPr>
          <w:rFonts w:cs="Arial"/>
          <w:rtl/>
        </w:rPr>
        <w:t xml:space="preserve"> אמר הבעל</w:t>
      </w:r>
      <w:r w:rsidR="00304AC3">
        <w:rPr>
          <w:rFonts w:cs="Arial" w:hint="cs"/>
          <w:rtl/>
        </w:rPr>
        <w:t>:</w:t>
      </w:r>
      <w:r>
        <w:rPr>
          <w:rFonts w:cs="Arial"/>
          <w:rtl/>
        </w:rPr>
        <w:t xml:space="preserve"> כך היה</w:t>
      </w:r>
      <w:r w:rsidR="00304AC3">
        <w:rPr>
          <w:rFonts w:cs="Arial" w:hint="cs"/>
          <w:rtl/>
        </w:rPr>
        <w:t>,</w:t>
      </w:r>
      <w:r>
        <w:rPr>
          <w:rFonts w:cs="Arial"/>
          <w:rtl/>
        </w:rPr>
        <w:t xml:space="preserve"> גירשתי ונתתי לה כל הכתובה עיקר ותוספת</w:t>
      </w:r>
      <w:r>
        <w:rPr>
          <w:rFonts w:cs="Arial" w:hint="cs"/>
          <w:rtl/>
        </w:rPr>
        <w:t>,</w:t>
      </w:r>
      <w:r>
        <w:rPr>
          <w:rFonts w:cs="Arial"/>
          <w:rtl/>
        </w:rPr>
        <w:t xml:space="preserve"> וכתבה לי שובר</w:t>
      </w:r>
      <w:r>
        <w:rPr>
          <w:rFonts w:cs="Arial" w:hint="cs"/>
          <w:rtl/>
        </w:rPr>
        <w:t>,</w:t>
      </w:r>
      <w:r>
        <w:rPr>
          <w:rFonts w:cs="Arial"/>
          <w:rtl/>
        </w:rPr>
        <w:t xml:space="preserve"> </w:t>
      </w:r>
      <w:r>
        <w:rPr>
          <w:rFonts w:cs="Arial"/>
          <w:rtl/>
        </w:rPr>
        <w:lastRenderedPageBreak/>
        <w:t>ואבד שוברי</w:t>
      </w:r>
      <w:r>
        <w:rPr>
          <w:rFonts w:cs="Arial" w:hint="cs"/>
          <w:rtl/>
        </w:rPr>
        <w:t>.</w:t>
      </w:r>
      <w:r>
        <w:rPr>
          <w:rFonts w:cs="Arial"/>
          <w:rtl/>
        </w:rPr>
        <w:t xml:space="preserve"> מתוך שיכול לומר לא גירשתי ולא יתחייב בתוספת </w:t>
      </w:r>
      <w:r w:rsidR="00F97626">
        <w:rPr>
          <w:rFonts w:cs="Arial"/>
          <w:rtl/>
        </w:rPr>
        <w:t>-</w:t>
      </w:r>
      <w:r>
        <w:rPr>
          <w:rFonts w:cs="Arial" w:hint="cs"/>
          <w:rtl/>
        </w:rPr>
        <w:t xml:space="preserve"> </w:t>
      </w:r>
      <w:r>
        <w:rPr>
          <w:rFonts w:cs="Arial"/>
          <w:rtl/>
        </w:rPr>
        <w:t>נאמן</w:t>
      </w:r>
      <w:r>
        <w:rPr>
          <w:rFonts w:cs="Arial" w:hint="cs"/>
          <w:rtl/>
        </w:rPr>
        <w:t>,</w:t>
      </w:r>
      <w:r>
        <w:rPr>
          <w:rFonts w:cs="Arial"/>
          <w:rtl/>
        </w:rPr>
        <w:t xml:space="preserve"> ומשביעה בנקיטת חפץ ונותן לה את העיקר</w:t>
      </w:r>
      <w:r>
        <w:rPr>
          <w:rFonts w:cs="Arial" w:hint="cs"/>
          <w:rtl/>
        </w:rPr>
        <w:t>,</w:t>
      </w:r>
      <w:r>
        <w:rPr>
          <w:rFonts w:cs="Arial"/>
          <w:rtl/>
        </w:rPr>
        <w:t xml:space="preserve"> ונשבע הוא שבועת היסת על התוספת</w:t>
      </w:r>
      <w:r>
        <w:rPr>
          <w:rStyle w:val="a7"/>
          <w:rFonts w:cs="Arial"/>
          <w:rtl/>
        </w:rPr>
        <w:footnoteReference w:id="2001"/>
      </w:r>
      <w:r>
        <w:rPr>
          <w:rFonts w:cs="Arial" w:hint="cs"/>
          <w:rtl/>
        </w:rPr>
        <w:t xml:space="preserve">. </w:t>
      </w:r>
      <w:r w:rsidRPr="001A2B82">
        <w:rPr>
          <w:rFonts w:hint="cs"/>
          <w:color w:val="E36C0A" w:themeColor="accent6" w:themeShade="BF"/>
          <w:rtl/>
        </w:rPr>
        <w:t>(וכ"פ בשו"ע</w:t>
      </w:r>
      <w:r>
        <w:rPr>
          <w:rFonts w:hint="cs"/>
          <w:sz w:val="16"/>
          <w:szCs w:val="16"/>
          <w:rtl/>
        </w:rPr>
        <w:t xml:space="preserve"> [כאן, ובסע' הבא]</w:t>
      </w:r>
      <w:r w:rsidRPr="001A2B82">
        <w:rPr>
          <w:rFonts w:hint="cs"/>
          <w:color w:val="E36C0A" w:themeColor="accent6" w:themeShade="BF"/>
          <w:rtl/>
        </w:rPr>
        <w:t>)</w:t>
      </w:r>
    </w:p>
    <w:p w14:paraId="0A99CBFF"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9339B2D" w14:textId="6A63A605" w:rsidR="00392DBB" w:rsidRDefault="00392DBB" w:rsidP="00392DBB">
      <w:pPr>
        <w:rPr>
          <w:rtl/>
        </w:rPr>
      </w:pPr>
      <w:r>
        <w:rPr>
          <w:rFonts w:cs="Arial"/>
          <w:rtl/>
        </w:rPr>
        <w:t>האשה שהוציאה שטר כתובה ואין עמה גט, ואמרה לבעלה: גרשתני ואבד גיטי תן לי כתובתי</w:t>
      </w:r>
      <w:r>
        <w:rPr>
          <w:rFonts w:cs="Arial" w:hint="cs"/>
          <w:rtl/>
        </w:rPr>
        <w:t>.</w:t>
      </w:r>
      <w:r>
        <w:rPr>
          <w:rFonts w:cs="Arial"/>
          <w:rtl/>
        </w:rPr>
        <w:t xml:space="preserve"> והוא אומר: לא גרשתיך, חייב ליתן לה עיקר כתובתה</w:t>
      </w:r>
      <w:r w:rsidR="00D76983">
        <w:rPr>
          <w:rFonts w:cs="Arial" w:hint="cs"/>
          <w:rtl/>
        </w:rPr>
        <w:t>,</w:t>
      </w:r>
      <w:r>
        <w:rPr>
          <w:rFonts w:cs="Arial"/>
          <w:rtl/>
        </w:rPr>
        <w:t xml:space="preserve"> אבל אינו נותן לה התוספת עד שתביא ראיה שגירשה או שיצא גט עם הכתובה מתחת ידיה. </w:t>
      </w:r>
      <w:r w:rsidRPr="003D2914">
        <w:rPr>
          <w:rFonts w:cs="Arial" w:hint="cs"/>
          <w:sz w:val="18"/>
          <w:szCs w:val="18"/>
          <w:rtl/>
        </w:rPr>
        <w:t xml:space="preserve">[הגה] </w:t>
      </w:r>
      <w:r w:rsidRPr="003D2914">
        <w:rPr>
          <w:rFonts w:cs="Arial"/>
          <w:sz w:val="18"/>
          <w:szCs w:val="18"/>
          <w:rtl/>
        </w:rPr>
        <w:t>וי"א דאם אינה מביאה ראיה על הגירושין, אפילו עיקר כתובה אינו נותן לה</w:t>
      </w:r>
      <w:r w:rsidR="00D76983">
        <w:rPr>
          <w:rFonts w:cs="Arial" w:hint="cs"/>
          <w:sz w:val="18"/>
          <w:szCs w:val="18"/>
          <w:rtl/>
        </w:rPr>
        <w:t>,</w:t>
      </w:r>
      <w:r w:rsidRPr="003D2914">
        <w:rPr>
          <w:rFonts w:cs="Arial"/>
          <w:sz w:val="18"/>
          <w:szCs w:val="18"/>
          <w:rtl/>
        </w:rPr>
        <w:t xml:space="preserve"> דמאחר שתובעת כתובתה אינה נאמנת על הגירושין, כמו שנתבאר לעיל סימן י"ז סעיף ב'</w:t>
      </w:r>
      <w:r>
        <w:rPr>
          <w:rStyle w:val="a7"/>
          <w:rFonts w:cs="Arial"/>
          <w:sz w:val="18"/>
          <w:szCs w:val="18"/>
          <w:rtl/>
        </w:rPr>
        <w:footnoteReference w:id="2002"/>
      </w:r>
      <w:r w:rsidRPr="003D2914">
        <w:rPr>
          <w:rFonts w:cs="Arial"/>
          <w:sz w:val="18"/>
          <w:szCs w:val="18"/>
          <w:rtl/>
        </w:rPr>
        <w:t>, ולכן אינה נוטלת כתובתה (טור)</w:t>
      </w:r>
      <w:r>
        <w:rPr>
          <w:rFonts w:cs="Arial" w:hint="cs"/>
          <w:sz w:val="18"/>
          <w:szCs w:val="18"/>
          <w:rtl/>
        </w:rPr>
        <w:t>.</w:t>
      </w:r>
      <w:r w:rsidRPr="003D2914">
        <w:rPr>
          <w:rFonts w:cs="Arial"/>
          <w:sz w:val="18"/>
          <w:szCs w:val="18"/>
          <w:rtl/>
        </w:rPr>
        <w:t xml:space="preserve"> וכן עיקר.</w:t>
      </w:r>
      <w:r>
        <w:rPr>
          <w:rFonts w:cs="Arial"/>
          <w:rtl/>
        </w:rPr>
        <w:t xml:space="preserve"> </w:t>
      </w:r>
    </w:p>
    <w:p w14:paraId="5BD4E743" w14:textId="77777777" w:rsidR="00392DBB" w:rsidRDefault="00392DBB" w:rsidP="00392DBB">
      <w:pPr>
        <w:rPr>
          <w:rtl/>
        </w:rPr>
      </w:pPr>
    </w:p>
    <w:p w14:paraId="11B8CDFC" w14:textId="77777777" w:rsidR="00392DBB" w:rsidRDefault="00392DBB" w:rsidP="000F64D0">
      <w:pPr>
        <w:pStyle w:val="2"/>
        <w:rPr>
          <w:rtl/>
        </w:rPr>
      </w:pPr>
      <w:r>
        <w:rPr>
          <w:rtl/>
        </w:rPr>
        <w:t>סעיף יא</w:t>
      </w:r>
      <w:r>
        <w:rPr>
          <w:rFonts w:hint="cs"/>
          <w:rtl/>
        </w:rPr>
        <w:t>: המשך הנ"ל.</w:t>
      </w:r>
    </w:p>
    <w:p w14:paraId="79C2EB73" w14:textId="77777777" w:rsidR="00392DBB" w:rsidRPr="003D2914" w:rsidRDefault="00392DBB" w:rsidP="00392DBB">
      <w:pPr>
        <w:rPr>
          <w:rtl/>
        </w:rPr>
      </w:pPr>
      <w:r>
        <w:rPr>
          <w:rFonts w:hint="cs"/>
          <w:rtl/>
        </w:rPr>
        <w:t>עיין במקורות בסעיף י'.</w:t>
      </w:r>
    </w:p>
    <w:p w14:paraId="45CF8FBE"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6CA3454" w14:textId="77777777" w:rsidR="00392DBB" w:rsidRDefault="00392DBB" w:rsidP="00392DBB">
      <w:pPr>
        <w:rPr>
          <w:rtl/>
        </w:rPr>
      </w:pPr>
      <w:r>
        <w:rPr>
          <w:rFonts w:cs="Arial"/>
          <w:rtl/>
        </w:rPr>
        <w:t>אמר לה הבעל: כך היה גירשתי ונתתי לה כל הכתובה עיקר ותוספת וכתבה לי שובר ואבד שוברי, מתוך שיכול לומר: לא גרשתי, ולא יתחייב בתוספת, נאמן ומשביעה בנקיטת חפץ</w:t>
      </w:r>
      <w:r>
        <w:rPr>
          <w:rStyle w:val="a7"/>
          <w:rFonts w:cs="Arial"/>
          <w:rtl/>
        </w:rPr>
        <w:footnoteReference w:id="2003"/>
      </w:r>
      <w:r>
        <w:rPr>
          <w:rFonts w:cs="Arial"/>
          <w:rtl/>
        </w:rPr>
        <w:t xml:space="preserve"> ונותן לה את העיקר, ונשבע הוא שבועת היסת על התוספת. </w:t>
      </w:r>
    </w:p>
    <w:p w14:paraId="56465F38" w14:textId="77777777" w:rsidR="00392DBB" w:rsidRDefault="00392DBB" w:rsidP="00392DBB">
      <w:pPr>
        <w:rPr>
          <w:rtl/>
        </w:rPr>
      </w:pPr>
    </w:p>
    <w:p w14:paraId="64BFC5FA" w14:textId="77777777" w:rsidR="00392DBB" w:rsidRDefault="00392DBB" w:rsidP="000F64D0">
      <w:pPr>
        <w:pStyle w:val="2"/>
        <w:rPr>
          <w:rtl/>
        </w:rPr>
      </w:pPr>
      <w:r>
        <w:rPr>
          <w:rtl/>
        </w:rPr>
        <w:t>סעיף יב</w:t>
      </w:r>
      <w:r>
        <w:rPr>
          <w:rFonts w:hint="cs"/>
          <w:rtl/>
        </w:rPr>
        <w:t>: הוציאה גט ואין עמו כתובה.</w:t>
      </w:r>
    </w:p>
    <w:p w14:paraId="2C1AF179" w14:textId="77777777" w:rsidR="00392DBB" w:rsidRPr="004A4B8F" w:rsidRDefault="00392DBB" w:rsidP="00392DBB">
      <w:pPr>
        <w:rPr>
          <w:rFonts w:cs="Arial"/>
          <w:sz w:val="16"/>
          <w:szCs w:val="16"/>
          <w:rtl/>
        </w:rPr>
      </w:pPr>
      <w:r w:rsidRPr="00196901">
        <w:rPr>
          <w:rFonts w:hint="cs"/>
          <w:b/>
          <w:bCs/>
          <w:rtl/>
        </w:rPr>
        <w:t>כתובות</w:t>
      </w:r>
      <w:r w:rsidRPr="00196901">
        <w:rPr>
          <w:rFonts w:hint="cs"/>
          <w:b/>
          <w:bCs/>
          <w:sz w:val="16"/>
          <w:szCs w:val="16"/>
          <w:rtl/>
        </w:rPr>
        <w:t xml:space="preserve"> (ס"פ הכותב) </w:t>
      </w:r>
      <w:r w:rsidRPr="00196901">
        <w:rPr>
          <w:rFonts w:hint="cs"/>
          <w:b/>
          <w:bCs/>
          <w:rtl/>
        </w:rPr>
        <w:t>פח ע"ב:</w:t>
      </w:r>
      <w:r>
        <w:rPr>
          <w:rFonts w:hint="cs"/>
          <w:rtl/>
        </w:rPr>
        <w:t xml:space="preserve"> </w:t>
      </w:r>
      <w:r w:rsidRPr="00196901">
        <w:rPr>
          <w:rFonts w:cs="Arial"/>
          <w:u w:val="double"/>
          <w:rtl/>
        </w:rPr>
        <w:t>מתני'</w:t>
      </w:r>
      <w:r>
        <w:rPr>
          <w:rFonts w:cs="Arial" w:hint="cs"/>
          <w:rtl/>
        </w:rPr>
        <w:t>:</w:t>
      </w:r>
      <w:r w:rsidRPr="00196901">
        <w:rPr>
          <w:rFonts w:cs="Arial"/>
          <w:rtl/>
        </w:rPr>
        <w:t xml:space="preserve"> הוציאה גט ואין עמו כתובה</w:t>
      </w:r>
      <w:r>
        <w:rPr>
          <w:rFonts w:cs="Arial" w:hint="cs"/>
          <w:rtl/>
        </w:rPr>
        <w:t xml:space="preserve"> </w:t>
      </w:r>
      <w:r>
        <w:rPr>
          <w:rFonts w:cs="Arial" w:hint="cs"/>
          <w:sz w:val="14"/>
          <w:szCs w:val="14"/>
          <w:rtl/>
        </w:rPr>
        <w:t>(פט.)</w:t>
      </w:r>
      <w:r w:rsidRPr="00196901">
        <w:rPr>
          <w:rFonts w:cs="Arial"/>
          <w:rtl/>
        </w:rPr>
        <w:t xml:space="preserve"> -</w:t>
      </w:r>
      <w:r w:rsidRPr="00196901">
        <w:rPr>
          <w:rtl/>
        </w:rPr>
        <w:t xml:space="preserve"> </w:t>
      </w:r>
      <w:r w:rsidRPr="00196901">
        <w:rPr>
          <w:rFonts w:cs="Arial"/>
          <w:rtl/>
        </w:rPr>
        <w:t>גובה כתובתה.</w:t>
      </w:r>
      <w:r>
        <w:rPr>
          <w:rFonts w:cs="Arial" w:hint="cs"/>
          <w:rtl/>
        </w:rPr>
        <w:t>.</w:t>
      </w:r>
      <w:r w:rsidRPr="00196901">
        <w:rPr>
          <w:rFonts w:cs="Arial"/>
          <w:rtl/>
        </w:rPr>
        <w:t>.</w:t>
      </w:r>
      <w:r>
        <w:rPr>
          <w:rFonts w:hint="cs"/>
          <w:rtl/>
        </w:rPr>
        <w:t xml:space="preserve">    </w:t>
      </w:r>
      <w:r w:rsidRPr="00196901">
        <w:rPr>
          <w:rFonts w:hint="cs"/>
          <w:u w:val="double"/>
          <w:rtl/>
        </w:rPr>
        <w:t>גמ'</w:t>
      </w:r>
      <w:r>
        <w:rPr>
          <w:rFonts w:hint="cs"/>
          <w:rtl/>
        </w:rPr>
        <w:t>:</w:t>
      </w:r>
      <w:r w:rsidRPr="00196901">
        <w:rPr>
          <w:rFonts w:cs="Arial"/>
          <w:rtl/>
        </w:rPr>
        <w:t xml:space="preserve"> </w:t>
      </w:r>
      <w:r w:rsidRPr="0022386C">
        <w:rPr>
          <w:rFonts w:cs="Arial"/>
          <w:rtl/>
        </w:rPr>
        <w:t xml:space="preserve">ש"מ: כותבין שובר, דאי אין כותבין שובר, ליחוש דלמא מפקא לה לכתובתה וגביא בה! </w:t>
      </w:r>
      <w:r w:rsidRPr="00A72F05">
        <w:rPr>
          <w:rFonts w:cs="Arial"/>
          <w:u w:val="single"/>
          <w:rtl/>
        </w:rPr>
        <w:t>אמר רב</w:t>
      </w:r>
      <w:r w:rsidRPr="0022386C">
        <w:rPr>
          <w:rFonts w:cs="Arial"/>
          <w:rtl/>
        </w:rPr>
        <w:t>: במקום שאין כותבין כתובה עסקי'</w:t>
      </w:r>
      <w:r>
        <w:rPr>
          <w:rFonts w:cs="Arial" w:hint="cs"/>
          <w:rtl/>
        </w:rPr>
        <w:t>.</w:t>
      </w:r>
      <w:r w:rsidRPr="0022386C">
        <w:rPr>
          <w:rFonts w:cs="Arial"/>
          <w:rtl/>
        </w:rPr>
        <w:t xml:space="preserve"> </w:t>
      </w:r>
      <w:r w:rsidRPr="00A72F05">
        <w:rPr>
          <w:rFonts w:cs="Arial"/>
          <w:u w:val="single"/>
          <w:rtl/>
        </w:rPr>
        <w:t>ושמואל אמר</w:t>
      </w:r>
      <w:r w:rsidRPr="0022386C">
        <w:rPr>
          <w:rFonts w:cs="Arial"/>
          <w:rtl/>
        </w:rPr>
        <w:t xml:space="preserve">: אף במקום שכותבין כתובה. ולשמואל כותבין שובר? </w:t>
      </w:r>
      <w:r w:rsidRPr="00A72F05">
        <w:rPr>
          <w:rFonts w:cs="Arial"/>
          <w:u w:val="single"/>
          <w:rtl/>
        </w:rPr>
        <w:t>אמר רב ענן</w:t>
      </w:r>
      <w:r>
        <w:rPr>
          <w:rFonts w:cs="Arial" w:hint="cs"/>
          <w:rtl/>
        </w:rPr>
        <w:t>:</w:t>
      </w:r>
      <w:r w:rsidRPr="0022386C">
        <w:rPr>
          <w:rFonts w:cs="Arial"/>
          <w:rtl/>
        </w:rPr>
        <w:t xml:space="preserve"> לדידי מיפרשא לי</w:t>
      </w:r>
      <w:r>
        <w:rPr>
          <w:rStyle w:val="a7"/>
          <w:rFonts w:cs="Arial"/>
          <w:rtl/>
        </w:rPr>
        <w:footnoteReference w:id="2004"/>
      </w:r>
      <w:r w:rsidRPr="0022386C">
        <w:rPr>
          <w:rFonts w:cs="Arial"/>
          <w:rtl/>
        </w:rPr>
        <w:t xml:space="preserve"> מיניה דמר שמואל</w:t>
      </w:r>
      <w:r>
        <w:rPr>
          <w:rFonts w:cs="Arial" w:hint="cs"/>
          <w:rtl/>
        </w:rPr>
        <w:t>,</w:t>
      </w:r>
      <w:r w:rsidRPr="0022386C">
        <w:rPr>
          <w:rFonts w:cs="Arial"/>
          <w:rtl/>
        </w:rPr>
        <w:t xml:space="preserve"> במקום שאין כותבין ואמר כתבתי - עליו להביא ראיה, במקום שכותבין ואמרה לא כתב לי - עליה להביא ראיה.</w:t>
      </w:r>
      <w:r w:rsidRPr="00C16EED">
        <w:rPr>
          <w:rFonts w:cs="Arial"/>
          <w:rtl/>
        </w:rPr>
        <w:t xml:space="preserve"> </w:t>
      </w:r>
      <w:r w:rsidRPr="0022386C">
        <w:rPr>
          <w:rFonts w:cs="Arial"/>
          <w:rtl/>
        </w:rPr>
        <w:t>ואף רב הדר ביה</w:t>
      </w:r>
      <w:r>
        <w:rPr>
          <w:rStyle w:val="a7"/>
          <w:rFonts w:cs="Arial"/>
          <w:rtl/>
        </w:rPr>
        <w:footnoteReference w:id="2005"/>
      </w:r>
      <w:r w:rsidRPr="0022386C">
        <w:rPr>
          <w:rFonts w:cs="Arial"/>
          <w:rtl/>
        </w:rPr>
        <w:t xml:space="preserve">, </w:t>
      </w:r>
      <w:r w:rsidRPr="00A72F05">
        <w:rPr>
          <w:rFonts w:cs="Arial"/>
          <w:u w:val="single"/>
          <w:rtl/>
        </w:rPr>
        <w:t>דאמר רב</w:t>
      </w:r>
      <w:r w:rsidRPr="0022386C">
        <w:rPr>
          <w:rFonts w:cs="Arial"/>
          <w:rtl/>
        </w:rPr>
        <w:t>: בין במקום שכותבין, בין במקום שאין כותבין, גט - גובה עיקר, כתובה - גובה תוספת, וכל הרוצה להשיב יבא וישיב.</w:t>
      </w:r>
      <w:r>
        <w:rPr>
          <w:rFonts w:cs="Arial" w:hint="cs"/>
          <w:sz w:val="16"/>
          <w:szCs w:val="16"/>
          <w:rtl/>
        </w:rPr>
        <w:t xml:space="preserve"> (ופסק הרי"ף (מח:) כשמואל, ב"י)</w:t>
      </w:r>
    </w:p>
    <w:p w14:paraId="20AE66C8" w14:textId="77777777" w:rsidR="00392DBB" w:rsidRPr="005D3ADA" w:rsidRDefault="00392DBB" w:rsidP="00392DBB">
      <w:pPr>
        <w:rPr>
          <w:u w:val="single"/>
        </w:rPr>
      </w:pPr>
      <w:r w:rsidRPr="005157A5">
        <w:rPr>
          <w:rFonts w:hint="cs"/>
          <w:u w:val="single"/>
          <w:rtl/>
        </w:rPr>
        <w:t>הוציאה גט ואין עמו כתובה:</w:t>
      </w:r>
    </w:p>
    <w:p w14:paraId="5DA9C67E" w14:textId="276933BC" w:rsidR="00392DBB" w:rsidRPr="00572BB6" w:rsidRDefault="00392DBB" w:rsidP="009000E3">
      <w:pPr>
        <w:pStyle w:val="ab"/>
        <w:numPr>
          <w:ilvl w:val="0"/>
          <w:numId w:val="61"/>
        </w:numPr>
      </w:pPr>
      <w:r>
        <w:rPr>
          <w:rFonts w:hint="cs"/>
          <w:rtl/>
        </w:rPr>
        <w:lastRenderedPageBreak/>
        <w:t xml:space="preserve">רי"ף </w:t>
      </w:r>
      <w:r>
        <w:rPr>
          <w:rFonts w:cs="Arial" w:hint="cs"/>
          <w:sz w:val="16"/>
          <w:szCs w:val="16"/>
          <w:rtl/>
        </w:rPr>
        <w:t xml:space="preserve">(מח:) </w:t>
      </w:r>
      <w:r>
        <w:rPr>
          <w:rFonts w:hint="cs"/>
          <w:rtl/>
        </w:rPr>
        <w:t>רמב"ם</w:t>
      </w:r>
      <w:r>
        <w:rPr>
          <w:rFonts w:hint="cs"/>
          <w:sz w:val="16"/>
          <w:szCs w:val="16"/>
          <w:rtl/>
        </w:rPr>
        <w:t xml:space="preserve"> (פט"ז הכ"א-כב)</w:t>
      </w:r>
      <w:r>
        <w:rPr>
          <w:rFonts w:hint="cs"/>
          <w:rtl/>
        </w:rPr>
        <w:t xml:space="preserve"> וטור</w:t>
      </w:r>
      <w:r>
        <w:rPr>
          <w:rStyle w:val="a7"/>
          <w:rtl/>
        </w:rPr>
        <w:footnoteReference w:id="2006"/>
      </w:r>
      <w:r>
        <w:rPr>
          <w:rFonts w:hint="cs"/>
          <w:rtl/>
        </w:rPr>
        <w:t xml:space="preserve">- </w:t>
      </w:r>
      <w:r>
        <w:rPr>
          <w:rFonts w:cs="Arial"/>
          <w:rtl/>
        </w:rPr>
        <w:t>אלמנה</w:t>
      </w:r>
      <w:r>
        <w:rPr>
          <w:rFonts w:cs="Arial" w:hint="cs"/>
          <w:rtl/>
        </w:rPr>
        <w:t xml:space="preserve">... </w:t>
      </w:r>
      <w:r>
        <w:rPr>
          <w:rFonts w:cs="Arial"/>
          <w:rtl/>
        </w:rPr>
        <w:t xml:space="preserve">אם אין שטר כתובה יוצא מתחת ידה </w:t>
      </w:r>
      <w:r>
        <w:rPr>
          <w:rFonts w:cs="Arial" w:hint="cs"/>
          <w:rtl/>
        </w:rPr>
        <w:t xml:space="preserve">- </w:t>
      </w:r>
      <w:r>
        <w:rPr>
          <w:rFonts w:cs="Arial"/>
          <w:rtl/>
        </w:rPr>
        <w:t xml:space="preserve">אין לה כלום ואפילו עיקר כתובה ואפילו תבעה ביום מיתת בעלה, וכן הגרושה אפילו עיקר כתובה אין לה עד שתוציא שטר כתובה. </w:t>
      </w:r>
      <w:r w:rsidRPr="005157A5">
        <w:rPr>
          <w:rFonts w:cs="Arial"/>
          <w:rtl/>
        </w:rPr>
        <w:t xml:space="preserve">במה דברים אמורים במקום שדרכן לכתוב כתובה, אבל במקום שאין דרכן לכתוב כתובה אלא סומכין על תנאי בית דין </w:t>
      </w:r>
      <w:r>
        <w:rPr>
          <w:rFonts w:cs="Arial" w:hint="cs"/>
          <w:rtl/>
        </w:rPr>
        <w:t xml:space="preserve">- </w:t>
      </w:r>
      <w:r w:rsidRPr="005157A5">
        <w:rPr>
          <w:rFonts w:cs="Arial"/>
          <w:rtl/>
        </w:rPr>
        <w:t>הרי זו גובה עיקר כתובה אע</w:t>
      </w:r>
      <w:r w:rsidR="00A37B48">
        <w:rPr>
          <w:rFonts w:cs="Arial" w:hint="cs"/>
          <w:rtl/>
        </w:rPr>
        <w:t>"</w:t>
      </w:r>
      <w:r w:rsidRPr="005157A5">
        <w:rPr>
          <w:rFonts w:cs="Arial"/>
          <w:rtl/>
        </w:rPr>
        <w:t>פ שאין בידה שטר כתובה בין נתגרשה בין נתאלמנה בין שהיתה בבית בעלה בין שהיתה בבית אביה, אבל תוספת אין לה בכל מקום אלא בראיה ברורה</w:t>
      </w:r>
      <w:r>
        <w:rPr>
          <w:rStyle w:val="a7"/>
          <w:rFonts w:cs="Arial"/>
          <w:rtl/>
        </w:rPr>
        <w:footnoteReference w:id="2007"/>
      </w:r>
      <w:r w:rsidRPr="005157A5">
        <w:rPr>
          <w:rFonts w:cs="Arial"/>
          <w:rtl/>
        </w:rPr>
        <w:t>.</w:t>
      </w:r>
      <w:r>
        <w:rPr>
          <w:rFonts w:hint="cs"/>
          <w:rtl/>
        </w:rPr>
        <w:t xml:space="preserve"> </w:t>
      </w:r>
      <w:r w:rsidRPr="0086008F">
        <w:rPr>
          <w:rFonts w:hint="cs"/>
          <w:color w:val="E36C0A" w:themeColor="accent6" w:themeShade="BF"/>
          <w:rtl/>
        </w:rPr>
        <w:t>(וכ"פ בשו"ע</w:t>
      </w:r>
      <w:r w:rsidRPr="0086008F">
        <w:rPr>
          <w:rFonts w:hint="cs"/>
          <w:color w:val="E36C0A" w:themeColor="accent6" w:themeShade="BF"/>
          <w:sz w:val="16"/>
          <w:szCs w:val="16"/>
          <w:rtl/>
        </w:rPr>
        <w:t xml:space="preserve"> </w:t>
      </w:r>
      <w:r>
        <w:rPr>
          <w:rFonts w:hint="cs"/>
          <w:sz w:val="16"/>
          <w:szCs w:val="16"/>
          <w:rtl/>
        </w:rPr>
        <w:t>[כאן ובסע' ו]</w:t>
      </w:r>
      <w:r w:rsidRPr="0086008F">
        <w:rPr>
          <w:rFonts w:hint="cs"/>
          <w:color w:val="E36C0A" w:themeColor="accent6" w:themeShade="BF"/>
          <w:rtl/>
        </w:rPr>
        <w:t>)</w:t>
      </w:r>
    </w:p>
    <w:p w14:paraId="1C8D6B47" w14:textId="77777777" w:rsidR="00A37B48" w:rsidRPr="007A28AB" w:rsidRDefault="00A37B48" w:rsidP="00A37B48">
      <w:pPr>
        <w:pStyle w:val="ab"/>
        <w:numPr>
          <w:ilvl w:val="0"/>
          <w:numId w:val="61"/>
        </w:numPr>
        <w:rPr>
          <w:rFonts w:cs="Arial"/>
          <w:rtl/>
        </w:rPr>
      </w:pPr>
      <w:r w:rsidRPr="002431BD">
        <w:rPr>
          <w:rFonts w:cs="Arial" w:hint="cs"/>
          <w:rtl/>
        </w:rPr>
        <w:t>תוס'</w:t>
      </w:r>
      <w:r>
        <w:rPr>
          <w:rStyle w:val="a7"/>
          <w:rFonts w:cs="Arial"/>
          <w:rtl/>
        </w:rPr>
        <w:footnoteReference w:id="2008"/>
      </w:r>
      <w:r w:rsidRPr="00794906">
        <w:rPr>
          <w:rFonts w:cs="Arial"/>
          <w:sz w:val="16"/>
          <w:szCs w:val="16"/>
          <w:rtl/>
        </w:rPr>
        <w:t xml:space="preserve"> (כתובות פח: ד"ה הוציאה, וב"מ יז: ד"ה הוציאה</w:t>
      </w:r>
      <w:r w:rsidRPr="002431BD">
        <w:rPr>
          <w:rFonts w:cs="Arial"/>
          <w:sz w:val="16"/>
          <w:szCs w:val="16"/>
          <w:rtl/>
        </w:rPr>
        <w:t>)</w:t>
      </w:r>
      <w:r>
        <w:rPr>
          <w:rFonts w:cs="Arial" w:hint="cs"/>
          <w:rtl/>
        </w:rPr>
        <w:t>-</w:t>
      </w:r>
      <w:r w:rsidRPr="008974DF">
        <w:rPr>
          <w:rFonts w:cs="Arial"/>
          <w:rtl/>
        </w:rPr>
        <w:t xml:space="preserve"> אפי</w:t>
      </w:r>
      <w:r>
        <w:rPr>
          <w:rFonts w:cs="Arial" w:hint="cs"/>
          <w:rtl/>
        </w:rPr>
        <w:t>לו</w:t>
      </w:r>
      <w:r w:rsidRPr="008974DF">
        <w:rPr>
          <w:rFonts w:cs="Arial"/>
          <w:rtl/>
        </w:rPr>
        <w:t xml:space="preserve"> במקום שכותבין</w:t>
      </w:r>
      <w:r>
        <w:rPr>
          <w:rFonts w:cs="Arial" w:hint="cs"/>
          <w:rtl/>
        </w:rPr>
        <w:t xml:space="preserve"> -</w:t>
      </w:r>
      <w:r w:rsidRPr="008974DF">
        <w:rPr>
          <w:rFonts w:cs="Arial"/>
          <w:rtl/>
        </w:rPr>
        <w:t xml:space="preserve"> גובה עיקר כתובה וכל תנאיה בתנאי ב"ד</w:t>
      </w:r>
      <w:r>
        <w:rPr>
          <w:rFonts w:cs="Arial" w:hint="cs"/>
          <w:sz w:val="16"/>
          <w:szCs w:val="16"/>
        </w:rPr>
        <w:t xml:space="preserve"> </w:t>
      </w:r>
      <w:r>
        <w:rPr>
          <w:rFonts w:cs="Arial" w:hint="cs"/>
          <w:sz w:val="16"/>
          <w:szCs w:val="16"/>
          <w:rtl/>
        </w:rPr>
        <w:t>(ל' הטור בשם ר"י)</w:t>
      </w:r>
      <w:r>
        <w:rPr>
          <w:rStyle w:val="a7"/>
          <w:rFonts w:cs="Arial"/>
          <w:rtl/>
        </w:rPr>
        <w:footnoteReference w:id="2009"/>
      </w:r>
      <w:r>
        <w:rPr>
          <w:rFonts w:cs="Arial" w:hint="cs"/>
          <w:rtl/>
        </w:rPr>
        <w:t>. (וכ"פ מהרש"ל דרישה ב"ח וב"ש</w:t>
      </w:r>
      <w:r>
        <w:rPr>
          <w:rFonts w:cs="Arial" w:hint="cs"/>
          <w:sz w:val="16"/>
          <w:szCs w:val="16"/>
          <w:rtl/>
        </w:rPr>
        <w:t xml:space="preserve"> [סקכ"ז]</w:t>
      </w:r>
      <w:r>
        <w:rPr>
          <w:rFonts w:cs="Arial" w:hint="cs"/>
          <w:rtl/>
        </w:rPr>
        <w:t>)</w:t>
      </w:r>
    </w:p>
    <w:p w14:paraId="5530C6AF" w14:textId="2D275285" w:rsidR="00392DBB" w:rsidRPr="00572BB6" w:rsidRDefault="00A37B48" w:rsidP="00392DBB">
      <w:pPr>
        <w:ind w:left="360"/>
        <w:rPr>
          <w:u w:val="dotted"/>
        </w:rPr>
      </w:pPr>
      <w:r>
        <w:rPr>
          <w:rFonts w:hint="cs"/>
          <w:u w:val="dotted"/>
          <w:rtl/>
        </w:rPr>
        <w:t xml:space="preserve">לרי"ף וסיעתו </w:t>
      </w:r>
      <w:r w:rsidR="00EC5D85" w:rsidRPr="00EC5D85">
        <w:rPr>
          <w:rFonts w:hint="cs"/>
          <w:sz w:val="16"/>
          <w:szCs w:val="16"/>
          <w:u w:val="dotted"/>
          <w:rtl/>
        </w:rPr>
        <w:t>(</w:t>
      </w:r>
      <w:r w:rsidRPr="00EC5D85">
        <w:rPr>
          <w:rFonts w:hint="cs"/>
          <w:sz w:val="16"/>
          <w:szCs w:val="16"/>
          <w:u w:val="dotted"/>
          <w:rtl/>
        </w:rPr>
        <w:t>במקום שאין כותבים</w:t>
      </w:r>
      <w:r w:rsidR="00EC5D85">
        <w:rPr>
          <w:rFonts w:hint="cs"/>
          <w:sz w:val="16"/>
          <w:szCs w:val="16"/>
          <w:u w:val="dotted"/>
          <w:rtl/>
        </w:rPr>
        <w:t>)</w:t>
      </w:r>
      <w:r>
        <w:rPr>
          <w:rFonts w:hint="cs"/>
          <w:u w:val="dotted"/>
          <w:rtl/>
        </w:rPr>
        <w:t xml:space="preserve"> - </w:t>
      </w:r>
      <w:r w:rsidR="00392DBB" w:rsidRPr="00572BB6">
        <w:rPr>
          <w:rFonts w:hint="cs"/>
          <w:u w:val="dotted"/>
          <w:rtl/>
        </w:rPr>
        <w:t>מה הדין אם גם גט אין לה, אלא רק עידי גירושין:</w:t>
      </w:r>
    </w:p>
    <w:p w14:paraId="4B430B87" w14:textId="77777777" w:rsidR="00392DBB" w:rsidRDefault="00392DBB" w:rsidP="009000E3">
      <w:pPr>
        <w:pStyle w:val="ab"/>
        <w:numPr>
          <w:ilvl w:val="0"/>
          <w:numId w:val="61"/>
        </w:numPr>
      </w:pPr>
      <w:r w:rsidRPr="00572BB6">
        <w:rPr>
          <w:rFonts w:cs="Arial"/>
          <w:rtl/>
        </w:rPr>
        <w:t xml:space="preserve">ר"ן </w:t>
      </w:r>
      <w:r w:rsidRPr="00572BB6">
        <w:rPr>
          <w:rFonts w:cs="Arial"/>
          <w:sz w:val="16"/>
          <w:szCs w:val="16"/>
          <w:rtl/>
        </w:rPr>
        <w:t>(מט. דיבור ראשון</w:t>
      </w:r>
      <w:r w:rsidRPr="00572BB6">
        <w:rPr>
          <w:rFonts w:cs="Arial" w:hint="cs"/>
          <w:sz w:val="16"/>
          <w:szCs w:val="16"/>
          <w:rtl/>
        </w:rPr>
        <w:t>)</w:t>
      </w:r>
      <w:r w:rsidRPr="00572BB6">
        <w:rPr>
          <w:rFonts w:cs="Arial" w:hint="cs"/>
          <w:rtl/>
        </w:rPr>
        <w:t xml:space="preserve">- </w:t>
      </w:r>
      <w:r w:rsidRPr="00572BB6">
        <w:rPr>
          <w:rFonts w:cs="Arial"/>
          <w:rtl/>
        </w:rPr>
        <w:t>אפילו עיקר כתובה לא גביא אלא בהוציאה גט ממש</w:t>
      </w:r>
      <w:r>
        <w:rPr>
          <w:rFonts w:cs="Arial" w:hint="cs"/>
          <w:rtl/>
        </w:rPr>
        <w:t>,</w:t>
      </w:r>
      <w:r w:rsidRPr="00572BB6">
        <w:rPr>
          <w:rFonts w:cs="Arial"/>
          <w:rtl/>
        </w:rPr>
        <w:t xml:space="preserve"> אבל בעידי הגט </w:t>
      </w:r>
      <w:r>
        <w:rPr>
          <w:rFonts w:cs="Arial" w:hint="cs"/>
          <w:rtl/>
        </w:rPr>
        <w:t xml:space="preserve">- </w:t>
      </w:r>
      <w:r w:rsidRPr="00572BB6">
        <w:rPr>
          <w:rFonts w:cs="Arial"/>
          <w:rtl/>
        </w:rPr>
        <w:t>לא גביא</w:t>
      </w:r>
      <w:r>
        <w:rPr>
          <w:rFonts w:cs="Arial" w:hint="cs"/>
          <w:rtl/>
        </w:rPr>
        <w:t>,</w:t>
      </w:r>
      <w:r w:rsidRPr="00572BB6">
        <w:rPr>
          <w:rFonts w:cs="Arial"/>
          <w:rtl/>
        </w:rPr>
        <w:t xml:space="preserve"> דאיתרע ליה מעשה בית דין</w:t>
      </w:r>
      <w:r>
        <w:rPr>
          <w:rFonts w:cs="Arial" w:hint="cs"/>
          <w:rtl/>
        </w:rPr>
        <w:t>.</w:t>
      </w:r>
      <w:r w:rsidRPr="00572BB6">
        <w:rPr>
          <w:rFonts w:cs="Arial"/>
          <w:rtl/>
        </w:rPr>
        <w:t xml:space="preserve"> דחיישינן דילמא בית דין הגבוה ע"פ הגט וקרעוה לגיטא</w:t>
      </w:r>
      <w:r>
        <w:rPr>
          <w:rStyle w:val="a7"/>
          <w:rFonts w:cs="Arial"/>
          <w:rtl/>
        </w:rPr>
        <w:footnoteReference w:id="2010"/>
      </w:r>
      <w:r>
        <w:rPr>
          <w:rFonts w:cs="Arial" w:hint="cs"/>
          <w:rtl/>
        </w:rPr>
        <w:t>.</w:t>
      </w:r>
      <w:r>
        <w:rPr>
          <w:rFonts w:hint="cs"/>
          <w:rtl/>
        </w:rPr>
        <w:t xml:space="preserve"> (וכ"פ הח"מ</w:t>
      </w:r>
      <w:r>
        <w:rPr>
          <w:rFonts w:hint="cs"/>
          <w:sz w:val="16"/>
          <w:szCs w:val="16"/>
          <w:rtl/>
        </w:rPr>
        <w:t xml:space="preserve"> [סקמ"ב]</w:t>
      </w:r>
      <w:r>
        <w:rPr>
          <w:rFonts w:hint="cs"/>
          <w:rtl/>
        </w:rPr>
        <w:t>)</w:t>
      </w:r>
    </w:p>
    <w:p w14:paraId="661E1FB8" w14:textId="77777777" w:rsidR="00392DBB" w:rsidRPr="002A0D3C" w:rsidRDefault="00392DBB" w:rsidP="00392DBB">
      <w:r w:rsidRPr="00516D26">
        <w:rPr>
          <w:rFonts w:cs="Arial"/>
          <w:u w:val="single"/>
          <w:rtl/>
        </w:rPr>
        <w:t>מי שגרש את אשתו</w:t>
      </w:r>
      <w:r w:rsidRPr="00516D26">
        <w:rPr>
          <w:rFonts w:cs="Arial" w:hint="cs"/>
          <w:u w:val="single"/>
          <w:rtl/>
        </w:rPr>
        <w:t>,</w:t>
      </w:r>
      <w:r w:rsidRPr="00516D26">
        <w:rPr>
          <w:rFonts w:cs="Arial"/>
          <w:u w:val="single"/>
          <w:rtl/>
        </w:rPr>
        <w:t xml:space="preserve"> ו</w:t>
      </w:r>
      <w:r>
        <w:rPr>
          <w:rFonts w:cs="Arial" w:hint="cs"/>
          <w:u w:val="single"/>
          <w:rtl/>
        </w:rPr>
        <w:t>הוציאה</w:t>
      </w:r>
      <w:r w:rsidRPr="00516D26">
        <w:rPr>
          <w:rFonts w:cs="Arial"/>
          <w:u w:val="single"/>
          <w:rtl/>
        </w:rPr>
        <w:t xml:space="preserve"> כתובתה</w:t>
      </w:r>
      <w:r w:rsidRPr="00516D26">
        <w:rPr>
          <w:rFonts w:cs="Arial" w:hint="cs"/>
          <w:u w:val="single"/>
          <w:rtl/>
        </w:rPr>
        <w:t>,</w:t>
      </w:r>
      <w:r w:rsidRPr="00516D26">
        <w:rPr>
          <w:rFonts w:cs="Arial"/>
          <w:u w:val="single"/>
          <w:rtl/>
        </w:rPr>
        <w:t xml:space="preserve"> ואמר לה פרעתיך </w:t>
      </w:r>
      <w:r w:rsidRPr="00516D26">
        <w:rPr>
          <w:rFonts w:cs="Arial" w:hint="cs"/>
          <w:u w:val="single"/>
          <w:rtl/>
        </w:rPr>
        <w:t>או</w:t>
      </w:r>
      <w:r w:rsidRPr="00516D26">
        <w:rPr>
          <w:rFonts w:cs="Arial"/>
          <w:u w:val="single"/>
          <w:rtl/>
        </w:rPr>
        <w:t xml:space="preserve"> </w:t>
      </w:r>
      <w:r w:rsidRPr="00516D26">
        <w:rPr>
          <w:rFonts w:cs="Arial" w:hint="cs"/>
          <w:u w:val="single"/>
          <w:rtl/>
        </w:rPr>
        <w:t>ה</w:t>
      </w:r>
      <w:r w:rsidRPr="00516D26">
        <w:rPr>
          <w:rFonts w:cs="Arial"/>
          <w:u w:val="single"/>
          <w:rtl/>
        </w:rPr>
        <w:t>תפש</w:t>
      </w:r>
      <w:r w:rsidRPr="00516D26">
        <w:rPr>
          <w:rFonts w:cs="Arial" w:hint="cs"/>
          <w:u w:val="single"/>
          <w:rtl/>
        </w:rPr>
        <w:t>תי</w:t>
      </w:r>
      <w:r w:rsidRPr="00516D26">
        <w:rPr>
          <w:rFonts w:cs="Arial"/>
          <w:u w:val="single"/>
          <w:rtl/>
        </w:rPr>
        <w:t xml:space="preserve"> </w:t>
      </w:r>
      <w:r w:rsidRPr="00516D26">
        <w:rPr>
          <w:rFonts w:cs="Arial" w:hint="cs"/>
          <w:u w:val="single"/>
          <w:rtl/>
        </w:rPr>
        <w:t xml:space="preserve">אותך </w:t>
      </w:r>
      <w:r w:rsidRPr="00516D26">
        <w:rPr>
          <w:rFonts w:cs="Arial"/>
          <w:u w:val="single"/>
          <w:rtl/>
        </w:rPr>
        <w:t>צר</w:t>
      </w:r>
      <w:r w:rsidRPr="00516D26">
        <w:rPr>
          <w:rFonts w:cs="Arial" w:hint="cs"/>
          <w:u w:val="single"/>
          <w:rtl/>
        </w:rPr>
        <w:t>רי</w:t>
      </w:r>
      <w:r w:rsidRPr="00516D26">
        <w:rPr>
          <w:rFonts w:cs="Arial"/>
          <w:u w:val="single"/>
          <w:rtl/>
        </w:rPr>
        <w:t xml:space="preserve"> קודם גירושין</w:t>
      </w:r>
      <w:r w:rsidRPr="00516D26">
        <w:rPr>
          <w:rFonts w:cs="Arial" w:hint="cs"/>
          <w:u w:val="single"/>
          <w:rtl/>
        </w:rPr>
        <w:t>:</w:t>
      </w:r>
      <w:r w:rsidRPr="008244B3">
        <w:rPr>
          <w:rFonts w:cs="Arial"/>
          <w:rtl/>
        </w:rPr>
        <w:t xml:space="preserve"> </w:t>
      </w:r>
      <w:r>
        <w:rPr>
          <w:rFonts w:hint="cs"/>
          <w:rtl/>
        </w:rPr>
        <w:t xml:space="preserve"> </w:t>
      </w:r>
      <w:r w:rsidRPr="00516D26">
        <w:rPr>
          <w:rFonts w:hint="cs"/>
          <w:sz w:val="16"/>
          <w:szCs w:val="16"/>
          <w:rtl/>
        </w:rPr>
        <w:t>(דרכ"מ אות יח)</w:t>
      </w:r>
    </w:p>
    <w:p w14:paraId="2CB3C257" w14:textId="69D1EEBD" w:rsidR="00392DBB" w:rsidRDefault="00392DBB" w:rsidP="009000E3">
      <w:pPr>
        <w:pStyle w:val="ab"/>
        <w:numPr>
          <w:ilvl w:val="0"/>
          <w:numId w:val="61"/>
        </w:numPr>
        <w:rPr>
          <w:rFonts w:cs="Arial"/>
        </w:rPr>
      </w:pPr>
      <w:r w:rsidRPr="00F02E86">
        <w:rPr>
          <w:rFonts w:cs="Arial"/>
          <w:rtl/>
        </w:rPr>
        <w:t xml:space="preserve">רי"ף </w:t>
      </w:r>
      <w:r w:rsidRPr="008244B3">
        <w:rPr>
          <w:rFonts w:cs="Arial"/>
          <w:sz w:val="16"/>
          <w:szCs w:val="16"/>
          <w:rtl/>
        </w:rPr>
        <w:t>(</w:t>
      </w:r>
      <w:r w:rsidRPr="008244B3">
        <w:rPr>
          <w:rFonts w:cs="Arial" w:hint="cs"/>
          <w:sz w:val="16"/>
          <w:szCs w:val="16"/>
          <w:rtl/>
        </w:rPr>
        <w:t xml:space="preserve">בשו"ת </w:t>
      </w:r>
      <w:r w:rsidRPr="008244B3">
        <w:rPr>
          <w:rFonts w:cs="Arial"/>
          <w:sz w:val="16"/>
          <w:szCs w:val="16"/>
          <w:rtl/>
        </w:rPr>
        <w:t>סי' מח</w:t>
      </w:r>
      <w:r>
        <w:rPr>
          <w:rFonts w:cs="Arial" w:hint="cs"/>
          <w:sz w:val="16"/>
          <w:szCs w:val="16"/>
          <w:rtl/>
        </w:rPr>
        <w:t>, הביאו הנמוק"י [</w:t>
      </w:r>
      <w:r w:rsidRPr="008244B3">
        <w:rPr>
          <w:rFonts w:cs="Arial"/>
          <w:sz w:val="16"/>
          <w:szCs w:val="16"/>
          <w:rtl/>
        </w:rPr>
        <w:t>פ</w:t>
      </w:r>
      <w:r w:rsidRPr="008244B3">
        <w:rPr>
          <w:rFonts w:cs="Arial" w:hint="cs"/>
          <w:sz w:val="16"/>
          <w:szCs w:val="16"/>
          <w:rtl/>
        </w:rPr>
        <w:t>"</w:t>
      </w:r>
      <w:r w:rsidRPr="008244B3">
        <w:rPr>
          <w:rFonts w:cs="Arial"/>
          <w:sz w:val="16"/>
          <w:szCs w:val="16"/>
          <w:rtl/>
        </w:rPr>
        <w:t>ק דב</w:t>
      </w:r>
      <w:r w:rsidRPr="008244B3">
        <w:rPr>
          <w:rFonts w:cs="Arial" w:hint="cs"/>
          <w:sz w:val="16"/>
          <w:szCs w:val="16"/>
          <w:rtl/>
        </w:rPr>
        <w:t>"</w:t>
      </w:r>
      <w:r w:rsidRPr="008244B3">
        <w:rPr>
          <w:rFonts w:cs="Arial"/>
          <w:sz w:val="16"/>
          <w:szCs w:val="16"/>
          <w:rtl/>
        </w:rPr>
        <w:t>מ ד: דיבור ראשון</w:t>
      </w:r>
      <w:r>
        <w:rPr>
          <w:rFonts w:cs="Arial" w:hint="cs"/>
          <w:sz w:val="16"/>
          <w:szCs w:val="16"/>
          <w:rtl/>
        </w:rPr>
        <w:t>]</w:t>
      </w:r>
      <w:r w:rsidRPr="008244B3">
        <w:rPr>
          <w:rFonts w:cs="Arial"/>
          <w:sz w:val="16"/>
          <w:szCs w:val="16"/>
          <w:rtl/>
        </w:rPr>
        <w:t>)</w:t>
      </w:r>
      <w:r>
        <w:rPr>
          <w:rFonts w:cs="Arial" w:hint="cs"/>
          <w:rtl/>
        </w:rPr>
        <w:t xml:space="preserve">- </w:t>
      </w:r>
      <w:r w:rsidRPr="008244B3">
        <w:rPr>
          <w:rFonts w:cs="Arial"/>
          <w:rtl/>
        </w:rPr>
        <w:t>שאלה. מי שגרש את אשתו ותבעתו בכתובתה ואמר לה פרעתיך אי נמי אמר לה אתפשוך צר</w:t>
      </w:r>
      <w:r>
        <w:rPr>
          <w:rFonts w:cs="Arial" w:hint="cs"/>
          <w:rtl/>
        </w:rPr>
        <w:t>רי</w:t>
      </w:r>
      <w:r w:rsidRPr="008244B3">
        <w:rPr>
          <w:rFonts w:cs="Arial"/>
          <w:rtl/>
        </w:rPr>
        <w:t xml:space="preserve"> קודם גירושין</w:t>
      </w:r>
      <w:r>
        <w:rPr>
          <w:rFonts w:cs="Arial" w:hint="cs"/>
          <w:rtl/>
        </w:rPr>
        <w:t>.</w:t>
      </w:r>
      <w:r w:rsidRPr="008244B3">
        <w:rPr>
          <w:rFonts w:cs="Arial"/>
          <w:rtl/>
        </w:rPr>
        <w:t xml:space="preserve"> יש לו להשביעה על כך</w:t>
      </w:r>
      <w:r>
        <w:rPr>
          <w:rFonts w:cs="Arial" w:hint="cs"/>
          <w:rtl/>
        </w:rPr>
        <w:t>?</w:t>
      </w:r>
      <w:r w:rsidRPr="008244B3">
        <w:rPr>
          <w:rFonts w:cs="Arial"/>
          <w:rtl/>
        </w:rPr>
        <w:t xml:space="preserve">. </w:t>
      </w:r>
      <w:r>
        <w:rPr>
          <w:rFonts w:cs="Arial" w:hint="cs"/>
          <w:rtl/>
        </w:rPr>
        <w:t xml:space="preserve"> </w:t>
      </w:r>
      <w:r w:rsidR="00EC5D85">
        <w:rPr>
          <w:rFonts w:cs="Arial" w:hint="cs"/>
          <w:rtl/>
        </w:rPr>
        <w:t xml:space="preserve"> </w:t>
      </w:r>
      <w:r w:rsidR="00FE210D">
        <w:rPr>
          <w:rFonts w:cs="Arial"/>
          <w:rtl/>
        </w:rPr>
        <w:t xml:space="preserve">  תשובה:</w:t>
      </w:r>
      <w:r w:rsidRPr="008244B3">
        <w:rPr>
          <w:rFonts w:cs="Arial"/>
          <w:rtl/>
        </w:rPr>
        <w:t xml:space="preserve"> טענה זו שטוען דאתפשה צררי לכתובתה קודם גירושין אינה טענה</w:t>
      </w:r>
      <w:r>
        <w:rPr>
          <w:rFonts w:cs="Arial" w:hint="cs"/>
          <w:rtl/>
        </w:rPr>
        <w:t>,</w:t>
      </w:r>
      <w:r w:rsidRPr="008244B3">
        <w:rPr>
          <w:rFonts w:cs="Arial"/>
          <w:rtl/>
        </w:rPr>
        <w:t xml:space="preserve"> לפי שלא ניתנה כתובה לגבות מחיים</w:t>
      </w:r>
      <w:r>
        <w:rPr>
          <w:rFonts w:cs="Arial" w:hint="cs"/>
          <w:rtl/>
        </w:rPr>
        <w:t>.</w:t>
      </w:r>
      <w:r w:rsidRPr="008244B3">
        <w:rPr>
          <w:rFonts w:cs="Arial"/>
          <w:rtl/>
        </w:rPr>
        <w:t xml:space="preserve"> וכן אמר</w:t>
      </w:r>
      <w:r w:rsidR="00B94223">
        <w:rPr>
          <w:rFonts w:cs="Arial" w:hint="cs"/>
          <w:rtl/>
        </w:rPr>
        <w:t>י</w:t>
      </w:r>
      <w:r w:rsidRPr="008244B3">
        <w:rPr>
          <w:rFonts w:cs="Arial"/>
          <w:rtl/>
        </w:rPr>
        <w:t>' הקובע זמן לחבירו וכו' ולואי שיפרע בזמנה</w:t>
      </w:r>
      <w:r>
        <w:rPr>
          <w:rFonts w:cs="Arial" w:hint="cs"/>
          <w:rtl/>
        </w:rPr>
        <w:t>.</w:t>
      </w:r>
      <w:r w:rsidRPr="008244B3">
        <w:rPr>
          <w:rFonts w:cs="Arial"/>
          <w:rtl/>
        </w:rPr>
        <w:t xml:space="preserve"> אלא נותן לה כתובתה ויחרים סתם מי שגבה ממנו בכתובה זו כלום שלא כדין שיודה</w:t>
      </w:r>
      <w:r>
        <w:rPr>
          <w:rFonts w:cs="Arial" w:hint="cs"/>
          <w:rtl/>
        </w:rPr>
        <w:t>.</w:t>
      </w:r>
      <w:r w:rsidRPr="008244B3">
        <w:rPr>
          <w:rFonts w:cs="Arial"/>
          <w:rtl/>
        </w:rPr>
        <w:t xml:space="preserve"> אבל אם טען עליה פרעתיך לאחר גירושין </w:t>
      </w:r>
      <w:r>
        <w:rPr>
          <w:rFonts w:cs="Arial" w:hint="cs"/>
          <w:rtl/>
        </w:rPr>
        <w:t xml:space="preserve">- </w:t>
      </w:r>
      <w:r w:rsidRPr="008244B3">
        <w:rPr>
          <w:rFonts w:cs="Arial"/>
          <w:rtl/>
        </w:rPr>
        <w:t>טענה יפה</w:t>
      </w:r>
      <w:r>
        <w:rPr>
          <w:rFonts w:cs="Arial" w:hint="cs"/>
          <w:rtl/>
        </w:rPr>
        <w:t>,</w:t>
      </w:r>
      <w:r w:rsidRPr="008244B3">
        <w:rPr>
          <w:rFonts w:cs="Arial"/>
          <w:rtl/>
        </w:rPr>
        <w:t xml:space="preserve"> שאפשר שפרעה</w:t>
      </w:r>
      <w:r>
        <w:rPr>
          <w:rFonts w:cs="Arial" w:hint="cs"/>
          <w:rtl/>
        </w:rPr>
        <w:t>,</w:t>
      </w:r>
      <w:r w:rsidRPr="008244B3">
        <w:rPr>
          <w:rFonts w:cs="Arial"/>
          <w:rtl/>
        </w:rPr>
        <w:t xml:space="preserve"> הילכך תשבע ותטול כדין מי שיש בידו שטר וטען חבירו שפרעו.</w:t>
      </w:r>
    </w:p>
    <w:p w14:paraId="07335E0C" w14:textId="3C8B1EA0" w:rsidR="00392DBB" w:rsidRPr="00472FBB" w:rsidRDefault="00392DBB" w:rsidP="00392DBB">
      <w:pPr>
        <w:rPr>
          <w:rFonts w:cs="Arial"/>
          <w:u w:val="single"/>
        </w:rPr>
      </w:pPr>
      <w:r w:rsidRPr="00472FBB">
        <w:rPr>
          <w:rFonts w:cs="Arial" w:hint="cs"/>
          <w:u w:val="single"/>
          <w:rtl/>
        </w:rPr>
        <w:t xml:space="preserve">שליח המביא גט לאשה </w:t>
      </w:r>
      <w:r w:rsidR="00F97626">
        <w:rPr>
          <w:rFonts w:cs="Arial"/>
          <w:u w:val="single"/>
          <w:rtl/>
        </w:rPr>
        <w:t>-</w:t>
      </w:r>
      <w:r w:rsidRPr="00472FBB">
        <w:rPr>
          <w:rFonts w:cs="Arial" w:hint="cs"/>
          <w:u w:val="single"/>
          <w:rtl/>
        </w:rPr>
        <w:t xml:space="preserve"> מתי גובה על פיו כתובה:</w:t>
      </w:r>
      <w:r>
        <w:rPr>
          <w:rFonts w:hint="cs"/>
          <w:rtl/>
        </w:rPr>
        <w:t xml:space="preserve"> </w:t>
      </w:r>
      <w:r w:rsidRPr="00516D26">
        <w:rPr>
          <w:rFonts w:hint="cs"/>
          <w:sz w:val="16"/>
          <w:szCs w:val="16"/>
          <w:rtl/>
        </w:rPr>
        <w:t>(דרכ"מ אות יח)</w:t>
      </w:r>
    </w:p>
    <w:p w14:paraId="58ABAF0D" w14:textId="77777777" w:rsidR="00392DBB" w:rsidRPr="003D2914" w:rsidRDefault="00392DBB" w:rsidP="009000E3">
      <w:pPr>
        <w:pStyle w:val="ab"/>
        <w:numPr>
          <w:ilvl w:val="0"/>
          <w:numId w:val="61"/>
        </w:numPr>
        <w:rPr>
          <w:rtl/>
        </w:rPr>
      </w:pPr>
      <w:r w:rsidRPr="00F02E86">
        <w:rPr>
          <w:rFonts w:cs="Arial"/>
          <w:rtl/>
        </w:rPr>
        <w:t xml:space="preserve">ר"ן </w:t>
      </w:r>
      <w:r w:rsidRPr="00516D26">
        <w:rPr>
          <w:rFonts w:cs="Arial" w:hint="cs"/>
          <w:sz w:val="16"/>
          <w:szCs w:val="16"/>
          <w:rtl/>
        </w:rPr>
        <w:t>(</w:t>
      </w:r>
      <w:r w:rsidRPr="00516D26">
        <w:rPr>
          <w:rFonts w:cs="Arial"/>
          <w:sz w:val="16"/>
          <w:szCs w:val="16"/>
          <w:rtl/>
        </w:rPr>
        <w:t>פ"ק דגיטין ג. ד"ה אלא)</w:t>
      </w:r>
      <w:r>
        <w:rPr>
          <w:rFonts w:cs="Arial" w:hint="cs"/>
          <w:rtl/>
        </w:rPr>
        <w:t>-</w:t>
      </w:r>
      <w:r w:rsidRPr="00F02E86">
        <w:rPr>
          <w:rFonts w:cs="Arial"/>
          <w:rtl/>
        </w:rPr>
        <w:t xml:space="preserve"> </w:t>
      </w:r>
      <w:r w:rsidRPr="00472FBB">
        <w:rPr>
          <w:rFonts w:cs="Arial"/>
          <w:rtl/>
        </w:rPr>
        <w:t xml:space="preserve">אם נשאת בגט כשר שהעיד שליח שבפניו נכתב ובפניו נחתם </w:t>
      </w:r>
      <w:r>
        <w:rPr>
          <w:rFonts w:cs="Arial" w:hint="cs"/>
          <w:rtl/>
        </w:rPr>
        <w:t xml:space="preserve">- </w:t>
      </w:r>
      <w:r w:rsidRPr="00472FBB">
        <w:rPr>
          <w:rFonts w:cs="Arial"/>
          <w:rtl/>
        </w:rPr>
        <w:t>נפרעת כתובתה מן הלקוחות</w:t>
      </w:r>
      <w:r>
        <w:rPr>
          <w:rFonts w:cs="Arial" w:hint="cs"/>
          <w:rtl/>
        </w:rPr>
        <w:t>,</w:t>
      </w:r>
      <w:r w:rsidRPr="00472FBB">
        <w:rPr>
          <w:rFonts w:cs="Arial"/>
          <w:rtl/>
        </w:rPr>
        <w:t xml:space="preserve"> דכיון דהימנו כבי תרי להתירה לינשא אף היא נפרעת מכתובה</w:t>
      </w:r>
      <w:r>
        <w:rPr>
          <w:rFonts w:cs="Arial" w:hint="cs"/>
          <w:rtl/>
        </w:rPr>
        <w:t>.</w:t>
      </w:r>
      <w:r w:rsidRPr="00472FBB">
        <w:rPr>
          <w:rFonts w:cs="Arial"/>
          <w:rtl/>
        </w:rPr>
        <w:t xml:space="preserve"> דמספר כתובתה נלמוד [כמו ביבמות קיז</w:t>
      </w:r>
      <w:r>
        <w:rPr>
          <w:rFonts w:cs="Arial" w:hint="cs"/>
          <w:rtl/>
        </w:rPr>
        <w:t>.</w:t>
      </w:r>
      <w:r w:rsidRPr="00472FBB">
        <w:rPr>
          <w:rFonts w:cs="Arial"/>
          <w:rtl/>
        </w:rPr>
        <w:t>] שכך כתב לה לכשתנשאי לאחר תטלי מה שכתוב ליכי</w:t>
      </w:r>
      <w:r>
        <w:rPr>
          <w:rFonts w:cs="Arial" w:hint="cs"/>
          <w:rtl/>
        </w:rPr>
        <w:t>.</w:t>
      </w:r>
      <w:r w:rsidRPr="00472FBB">
        <w:rPr>
          <w:rFonts w:cs="Arial"/>
          <w:rtl/>
        </w:rPr>
        <w:t xml:space="preserve"> אבל כל שלא אמר בפני נכתב ובפני נחתם </w:t>
      </w:r>
      <w:r>
        <w:rPr>
          <w:rFonts w:cs="Arial" w:hint="cs"/>
          <w:rtl/>
        </w:rPr>
        <w:t xml:space="preserve">- </w:t>
      </w:r>
      <w:r w:rsidRPr="00472FBB">
        <w:rPr>
          <w:rFonts w:cs="Arial"/>
          <w:rtl/>
        </w:rPr>
        <w:t>אינה גובה מן הלקוחות</w:t>
      </w:r>
      <w:r>
        <w:rPr>
          <w:rFonts w:cs="Arial" w:hint="cs"/>
          <w:rtl/>
        </w:rPr>
        <w:t>,</w:t>
      </w:r>
      <w:r w:rsidRPr="00472FBB">
        <w:rPr>
          <w:rFonts w:cs="Arial"/>
          <w:rtl/>
        </w:rPr>
        <w:t xml:space="preserve"> שהרי לא התירוה ב"ד לינשא אלא שאם נשאת אין מוציאין אותה אלא אם כן בא הבעל וערער</w:t>
      </w:r>
      <w:r>
        <w:rPr>
          <w:rFonts w:cs="Arial" w:hint="cs"/>
          <w:rtl/>
        </w:rPr>
        <w:t>.</w:t>
      </w:r>
      <w:r w:rsidRPr="00472FBB">
        <w:rPr>
          <w:rFonts w:cs="Arial"/>
          <w:rtl/>
        </w:rPr>
        <w:t xml:space="preserve"> ועל כה"ג לא קרינן בה לכשתנשאי לאחר תטלי מה שכתב ליכי</w:t>
      </w:r>
      <w:r>
        <w:rPr>
          <w:rFonts w:cs="Arial" w:hint="cs"/>
          <w:rtl/>
        </w:rPr>
        <w:t>,</w:t>
      </w:r>
      <w:r w:rsidRPr="00472FBB">
        <w:rPr>
          <w:rFonts w:cs="Arial"/>
          <w:rtl/>
        </w:rPr>
        <w:t xml:space="preserve"> כיון שבעלה הראשון יכול עדיין לערער עליה</w:t>
      </w:r>
      <w:r>
        <w:rPr>
          <w:rFonts w:cs="Arial" w:hint="cs"/>
          <w:rtl/>
        </w:rPr>
        <w:t>.</w:t>
      </w:r>
      <w:r w:rsidRPr="00472FBB">
        <w:rPr>
          <w:rFonts w:cs="Arial"/>
          <w:rtl/>
        </w:rPr>
        <w:t xml:space="preserve"> אבל בחוצה לארץ אי נמי בא"י אי אמר בפני נכתב ובפני נחתם שאין לחוש אח"כ לערעורו של בעל</w:t>
      </w:r>
      <w:r>
        <w:rPr>
          <w:rFonts w:cs="Arial" w:hint="cs"/>
          <w:rtl/>
        </w:rPr>
        <w:t xml:space="preserve"> -</w:t>
      </w:r>
      <w:r w:rsidRPr="00472FBB">
        <w:rPr>
          <w:rFonts w:cs="Arial"/>
          <w:rtl/>
        </w:rPr>
        <w:t xml:space="preserve"> קרינא בה לכשתנשאי לאחר</w:t>
      </w:r>
      <w:r>
        <w:rPr>
          <w:rFonts w:cs="Arial" w:hint="cs"/>
          <w:rtl/>
        </w:rPr>
        <w:t>.</w:t>
      </w:r>
      <w:r w:rsidRPr="00472FBB">
        <w:rPr>
          <w:rFonts w:cs="Arial"/>
          <w:rtl/>
        </w:rPr>
        <w:t xml:space="preserve"> והיינו דלא קתני גבי מביא גט בחו"ל אם יש עליו עוררים יתקיים בחותמיו משום ערעור דלקוחות</w:t>
      </w:r>
      <w:r>
        <w:rPr>
          <w:rFonts w:cs="Arial" w:hint="cs"/>
          <w:rtl/>
        </w:rPr>
        <w:t>.</w:t>
      </w:r>
      <w:r w:rsidRPr="00472FBB">
        <w:rPr>
          <w:rFonts w:cs="Arial"/>
          <w:rtl/>
        </w:rPr>
        <w:t xml:space="preserve"> ומיהו אפשר דה"מ לענין מנה ומאתים אבל לענין תוספת לא שאין מדרש כתובתה אלא לעיקר אבל לא לתוספת</w:t>
      </w:r>
      <w:r>
        <w:rPr>
          <w:rStyle w:val="a7"/>
          <w:rFonts w:cs="Arial"/>
          <w:rtl/>
        </w:rPr>
        <w:footnoteReference w:id="2011"/>
      </w:r>
      <w:r>
        <w:rPr>
          <w:rFonts w:cs="Arial" w:hint="cs"/>
          <w:rtl/>
        </w:rPr>
        <w:t>.</w:t>
      </w:r>
      <w:r w:rsidRPr="00F02E86">
        <w:rPr>
          <w:rFonts w:cs="Arial"/>
          <w:rtl/>
        </w:rPr>
        <w:t xml:space="preserve"> </w:t>
      </w:r>
    </w:p>
    <w:p w14:paraId="4D676482"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287A074" w14:textId="77777777" w:rsidR="00392DBB" w:rsidRDefault="00392DBB" w:rsidP="00392DBB">
      <w:pPr>
        <w:rPr>
          <w:rtl/>
        </w:rPr>
      </w:pPr>
      <w:r>
        <w:rPr>
          <w:rFonts w:cs="Arial"/>
          <w:rtl/>
        </w:rPr>
        <w:t>הוציאה גט ואין עמה שטר כתובה, אם דרך אותו המקום שלא יכתבו כתובה, גובה עיקר כתובה בגט שבידה</w:t>
      </w:r>
      <w:r>
        <w:rPr>
          <w:rStyle w:val="a7"/>
          <w:rFonts w:cs="Arial"/>
          <w:rtl/>
        </w:rPr>
        <w:footnoteReference w:id="2012"/>
      </w:r>
      <w:r>
        <w:rPr>
          <w:rFonts w:cs="Arial"/>
          <w:rtl/>
        </w:rPr>
        <w:t xml:space="preserve">. ואם דרכן לכתוב כתובה, אפילו עיקר אין לה עד שתוציא שטר כתובה, ונשבע הבעל שבועת היסת על טענתה, ונפטר. </w:t>
      </w:r>
    </w:p>
    <w:p w14:paraId="782331B8" w14:textId="77777777" w:rsidR="00392DBB" w:rsidRDefault="00392DBB" w:rsidP="00392DBB">
      <w:pPr>
        <w:rPr>
          <w:rtl/>
        </w:rPr>
      </w:pPr>
    </w:p>
    <w:p w14:paraId="793746CB" w14:textId="77777777" w:rsidR="00392DBB" w:rsidRDefault="00392DBB" w:rsidP="000F64D0">
      <w:pPr>
        <w:pStyle w:val="2"/>
        <w:rPr>
          <w:rtl/>
        </w:rPr>
      </w:pPr>
      <w:r>
        <w:rPr>
          <w:rtl/>
        </w:rPr>
        <w:lastRenderedPageBreak/>
        <w:t>סעיף יג</w:t>
      </w:r>
      <w:r>
        <w:rPr>
          <w:rFonts w:hint="cs"/>
          <w:rtl/>
        </w:rPr>
        <w:t>: הוציאה שני גיטין ושתי כתובות.</w:t>
      </w:r>
    </w:p>
    <w:p w14:paraId="58A3C9C3" w14:textId="4022BE16" w:rsidR="00392DBB" w:rsidRPr="000631CD" w:rsidRDefault="00392DBB" w:rsidP="00392DBB">
      <w:pPr>
        <w:rPr>
          <w:rtl/>
        </w:rPr>
      </w:pPr>
      <w:r w:rsidRPr="00196901">
        <w:rPr>
          <w:rFonts w:hint="cs"/>
          <w:b/>
          <w:bCs/>
          <w:rtl/>
        </w:rPr>
        <w:t>כתובות</w:t>
      </w:r>
      <w:r w:rsidRPr="00196901">
        <w:rPr>
          <w:rFonts w:hint="cs"/>
          <w:b/>
          <w:bCs/>
          <w:sz w:val="16"/>
          <w:szCs w:val="16"/>
          <w:rtl/>
        </w:rPr>
        <w:t xml:space="preserve"> (ס"פ הכותב) </w:t>
      </w:r>
      <w:r w:rsidRPr="00196901">
        <w:rPr>
          <w:rFonts w:hint="cs"/>
          <w:b/>
          <w:bCs/>
          <w:rtl/>
        </w:rPr>
        <w:t>פ</w:t>
      </w:r>
      <w:r>
        <w:rPr>
          <w:rFonts w:hint="cs"/>
          <w:b/>
          <w:bCs/>
          <w:rtl/>
        </w:rPr>
        <w:t>ט</w:t>
      </w:r>
      <w:r w:rsidR="00B94223">
        <w:rPr>
          <w:rStyle w:val="a7"/>
          <w:b/>
          <w:bCs/>
          <w:rtl/>
        </w:rPr>
        <w:footnoteReference w:id="2013"/>
      </w:r>
      <w:r w:rsidRPr="00196901">
        <w:rPr>
          <w:rFonts w:hint="cs"/>
          <w:b/>
          <w:bCs/>
          <w:rtl/>
        </w:rPr>
        <w:t xml:space="preserve"> ע"ב:</w:t>
      </w:r>
      <w:r>
        <w:rPr>
          <w:rFonts w:hint="cs"/>
          <w:rtl/>
        </w:rPr>
        <w:t xml:space="preserve"> </w:t>
      </w:r>
      <w:r w:rsidRPr="00196901">
        <w:rPr>
          <w:rFonts w:cs="Arial"/>
          <w:u w:val="double"/>
          <w:rtl/>
        </w:rPr>
        <w:t>מתני'</w:t>
      </w:r>
      <w:r>
        <w:rPr>
          <w:rFonts w:cs="Arial" w:hint="cs"/>
          <w:rtl/>
        </w:rPr>
        <w:t>:</w:t>
      </w:r>
      <w:r w:rsidRPr="00196901">
        <w:rPr>
          <w:rFonts w:cs="Arial"/>
          <w:rtl/>
        </w:rPr>
        <w:t xml:space="preserve"> </w:t>
      </w:r>
      <w:r w:rsidRPr="000631CD">
        <w:rPr>
          <w:rFonts w:cs="Arial"/>
          <w:rtl/>
        </w:rPr>
        <w:t>שני גיטין ושתי כתובות</w:t>
      </w:r>
      <w:r>
        <w:rPr>
          <w:rStyle w:val="a7"/>
          <w:rFonts w:cs="Arial"/>
          <w:rtl/>
        </w:rPr>
        <w:footnoteReference w:id="2014"/>
      </w:r>
      <w:r w:rsidRPr="000631CD">
        <w:rPr>
          <w:rFonts w:cs="Arial"/>
          <w:rtl/>
        </w:rPr>
        <w:t xml:space="preserve"> - גובה שתי כתובות</w:t>
      </w:r>
      <w:r>
        <w:rPr>
          <w:rStyle w:val="a7"/>
          <w:rFonts w:cs="Arial"/>
          <w:rtl/>
        </w:rPr>
        <w:footnoteReference w:id="2015"/>
      </w:r>
      <w:r>
        <w:rPr>
          <w:rFonts w:cs="Arial" w:hint="cs"/>
          <w:rtl/>
        </w:rPr>
        <w:t>.</w:t>
      </w:r>
    </w:p>
    <w:p w14:paraId="1E802CF6" w14:textId="77777777" w:rsidR="00392DBB" w:rsidRPr="002D0AA5" w:rsidRDefault="00392DBB" w:rsidP="00392DBB">
      <w:pPr>
        <w:rPr>
          <w:u w:val="single"/>
          <w:rtl/>
        </w:rPr>
      </w:pPr>
      <w:r w:rsidRPr="002D0AA5">
        <w:rPr>
          <w:rFonts w:hint="cs"/>
          <w:u w:val="single"/>
          <w:rtl/>
        </w:rPr>
        <w:t>הוציאה שני גיטין ושתי כתובות:</w:t>
      </w:r>
    </w:p>
    <w:p w14:paraId="36499B28" w14:textId="77777777" w:rsidR="00392DBB" w:rsidRPr="000631CD" w:rsidRDefault="00392DBB" w:rsidP="009000E3">
      <w:pPr>
        <w:pStyle w:val="ab"/>
        <w:numPr>
          <w:ilvl w:val="0"/>
          <w:numId w:val="61"/>
        </w:numPr>
      </w:pPr>
      <w:r>
        <w:rPr>
          <w:rFonts w:cs="Arial" w:hint="cs"/>
          <w:rtl/>
        </w:rPr>
        <w:t xml:space="preserve">טור- </w:t>
      </w:r>
      <w:r w:rsidRPr="003D2914">
        <w:rPr>
          <w:rFonts w:cs="Arial"/>
          <w:rtl/>
        </w:rPr>
        <w:t>הוציאה ב' גיטין וב' כתובות</w:t>
      </w:r>
      <w:r>
        <w:rPr>
          <w:rFonts w:cs="Arial" w:hint="cs"/>
          <w:rtl/>
        </w:rPr>
        <w:t>,</w:t>
      </w:r>
      <w:r w:rsidRPr="003D2914">
        <w:rPr>
          <w:rFonts w:cs="Arial"/>
          <w:rtl/>
        </w:rPr>
        <w:t xml:space="preserve"> וזמן כתובה ראשונה קודם לגט הראשון</w:t>
      </w:r>
      <w:r>
        <w:rPr>
          <w:rFonts w:cs="Arial" w:hint="cs"/>
          <w:rtl/>
        </w:rPr>
        <w:t>,</w:t>
      </w:r>
      <w:r w:rsidRPr="003D2914">
        <w:rPr>
          <w:rFonts w:cs="Arial"/>
          <w:rtl/>
        </w:rPr>
        <w:t xml:space="preserve"> וזמן הב' קודם לגט הב' </w:t>
      </w:r>
      <w:r>
        <w:rPr>
          <w:rFonts w:cs="Arial" w:hint="cs"/>
          <w:rtl/>
        </w:rPr>
        <w:t xml:space="preserve">- </w:t>
      </w:r>
      <w:r w:rsidRPr="003D2914">
        <w:rPr>
          <w:rFonts w:cs="Arial"/>
          <w:rtl/>
        </w:rPr>
        <w:t>גובה שתיהן</w:t>
      </w:r>
      <w:r>
        <w:rPr>
          <w:rFonts w:cs="Arial" w:hint="cs"/>
          <w:rtl/>
        </w:rPr>
        <w:t>.</w:t>
      </w:r>
      <w:r w:rsidRPr="003D2914">
        <w:rPr>
          <w:rFonts w:cs="Arial"/>
          <w:rtl/>
        </w:rPr>
        <w:t xml:space="preserve"> </w:t>
      </w:r>
      <w:r w:rsidRPr="000631CD">
        <w:rPr>
          <w:rFonts w:hint="cs"/>
          <w:color w:val="E36C0A" w:themeColor="accent6" w:themeShade="BF"/>
          <w:rtl/>
        </w:rPr>
        <w:t>(וכ"פ בשו"ע)</w:t>
      </w:r>
    </w:p>
    <w:p w14:paraId="40D21371" w14:textId="77777777" w:rsidR="00392DBB" w:rsidRPr="0017375D" w:rsidRDefault="00392DBB" w:rsidP="00392DBB">
      <w:pPr>
        <w:rPr>
          <w:u w:val="single"/>
        </w:rPr>
      </w:pPr>
      <w:r w:rsidRPr="0017375D">
        <w:rPr>
          <w:rFonts w:hint="cs"/>
          <w:u w:val="single"/>
          <w:rtl/>
        </w:rPr>
        <w:t>שותפים בחצר, ואחד מהם גירש את אשתו והחזירה בלא כתובה חדשה, ואח"כ מת אותו אחד, ו</w:t>
      </w:r>
      <w:r>
        <w:rPr>
          <w:rFonts w:hint="cs"/>
          <w:u w:val="single"/>
          <w:rtl/>
        </w:rPr>
        <w:t>בא</w:t>
      </w:r>
      <w:r w:rsidRPr="0017375D">
        <w:rPr>
          <w:rFonts w:hint="cs"/>
          <w:u w:val="single"/>
          <w:rtl/>
        </w:rPr>
        <w:t>ה האשה לגבות:</w:t>
      </w:r>
    </w:p>
    <w:p w14:paraId="56409B95" w14:textId="58A76C89" w:rsidR="00392DBB" w:rsidRPr="003D2914" w:rsidRDefault="00392DBB" w:rsidP="009000E3">
      <w:pPr>
        <w:pStyle w:val="ab"/>
        <w:numPr>
          <w:ilvl w:val="0"/>
          <w:numId w:val="61"/>
        </w:numPr>
        <w:rPr>
          <w:rtl/>
        </w:rPr>
      </w:pPr>
      <w:r w:rsidRPr="000631CD">
        <w:rPr>
          <w:rFonts w:cs="Arial"/>
          <w:rtl/>
        </w:rPr>
        <w:t>רשב"א</w:t>
      </w:r>
      <w:r w:rsidR="00B94223">
        <w:rPr>
          <w:rFonts w:cs="Arial" w:hint="cs"/>
          <w:sz w:val="16"/>
          <w:szCs w:val="16"/>
          <w:rtl/>
        </w:rPr>
        <w:t xml:space="preserve"> (החדשות סי' רנו)</w:t>
      </w:r>
      <w:r>
        <w:rPr>
          <w:rFonts w:cs="Arial" w:hint="cs"/>
          <w:rtl/>
        </w:rPr>
        <w:t xml:space="preserve">- </w:t>
      </w:r>
      <w:r w:rsidRPr="000631CD">
        <w:rPr>
          <w:rFonts w:cs="Arial"/>
          <w:rtl/>
        </w:rPr>
        <w:t>שאלת</w:t>
      </w:r>
      <w:r>
        <w:rPr>
          <w:rFonts w:cs="Arial" w:hint="cs"/>
          <w:rtl/>
        </w:rPr>
        <w:t>,</w:t>
      </w:r>
      <w:r w:rsidRPr="000631CD">
        <w:rPr>
          <w:rFonts w:cs="Arial"/>
          <w:rtl/>
        </w:rPr>
        <w:t xml:space="preserve"> ראובן ושמעון קנו חצר</w:t>
      </w:r>
      <w:r>
        <w:rPr>
          <w:rFonts w:cs="Arial" w:hint="cs"/>
          <w:rtl/>
        </w:rPr>
        <w:t>.</w:t>
      </w:r>
      <w:r w:rsidRPr="000631CD">
        <w:rPr>
          <w:rFonts w:cs="Arial"/>
          <w:rtl/>
        </w:rPr>
        <w:t xml:space="preserve"> וראובן האמין את שמעון אחיו ומסר בידו שטר המכר</w:t>
      </w:r>
      <w:r>
        <w:rPr>
          <w:rFonts w:cs="Arial" w:hint="cs"/>
          <w:rtl/>
        </w:rPr>
        <w:t>.</w:t>
      </w:r>
      <w:r w:rsidRPr="000631CD">
        <w:rPr>
          <w:rFonts w:cs="Arial"/>
          <w:rtl/>
        </w:rPr>
        <w:t xml:space="preserve"> ואחר זמן גירש ראובן את אשתו</w:t>
      </w:r>
      <w:r>
        <w:rPr>
          <w:rFonts w:cs="Arial" w:hint="cs"/>
          <w:rtl/>
        </w:rPr>
        <w:t>,</w:t>
      </w:r>
      <w:r w:rsidRPr="000631CD">
        <w:rPr>
          <w:rFonts w:cs="Arial"/>
          <w:rtl/>
        </w:rPr>
        <w:t xml:space="preserve"> ואח"כ החזירה בלא קידושין ובלא כתובה חדשה</w:t>
      </w:r>
      <w:r>
        <w:rPr>
          <w:rFonts w:cs="Arial" w:hint="cs"/>
          <w:rtl/>
        </w:rPr>
        <w:t>,</w:t>
      </w:r>
      <w:r w:rsidRPr="000631CD">
        <w:rPr>
          <w:rFonts w:cs="Arial"/>
          <w:rtl/>
        </w:rPr>
        <w:t xml:space="preserve"> ואח"כ מת ראובן</w:t>
      </w:r>
      <w:r>
        <w:rPr>
          <w:rFonts w:cs="Arial" w:hint="cs"/>
          <w:rtl/>
        </w:rPr>
        <w:t>.</w:t>
      </w:r>
      <w:r w:rsidRPr="000631CD">
        <w:rPr>
          <w:rFonts w:cs="Arial"/>
          <w:rtl/>
        </w:rPr>
        <w:t xml:space="preserve"> ועמדה אשתו זאת ובאה ליפרע כתובתה מחצי החצר שהיה לבעלה</w:t>
      </w:r>
      <w:r>
        <w:rPr>
          <w:rFonts w:cs="Arial" w:hint="cs"/>
          <w:rtl/>
        </w:rPr>
        <w:t>.</w:t>
      </w:r>
      <w:r w:rsidRPr="000631CD">
        <w:rPr>
          <w:rFonts w:cs="Arial"/>
          <w:rtl/>
        </w:rPr>
        <w:t xml:space="preserve"> והשיב שמעון שכבר גירשה בעלה</w:t>
      </w:r>
      <w:r>
        <w:rPr>
          <w:rFonts w:cs="Arial" w:hint="cs"/>
          <w:rtl/>
        </w:rPr>
        <w:t>,</w:t>
      </w:r>
      <w:r w:rsidRPr="000631CD">
        <w:rPr>
          <w:rFonts w:cs="Arial"/>
          <w:rtl/>
        </w:rPr>
        <w:t xml:space="preserve"> ומעת שגירשה נסתלק שעבודה מחצר זו</w:t>
      </w:r>
      <w:r>
        <w:rPr>
          <w:rFonts w:cs="Arial" w:hint="cs"/>
          <w:rtl/>
        </w:rPr>
        <w:t>.</w:t>
      </w:r>
      <w:r w:rsidRPr="000631CD">
        <w:rPr>
          <w:rFonts w:cs="Arial"/>
          <w:rtl/>
        </w:rPr>
        <w:t xml:space="preserve"> וכיחשה האשה שלא גירשה בעלה</w:t>
      </w:r>
      <w:r>
        <w:rPr>
          <w:rFonts w:cs="Arial" w:hint="cs"/>
          <w:rtl/>
        </w:rPr>
        <w:t>,</w:t>
      </w:r>
      <w:r w:rsidRPr="000631CD">
        <w:rPr>
          <w:rFonts w:cs="Arial"/>
          <w:rtl/>
        </w:rPr>
        <w:t xml:space="preserve"> וכתובתה קיימת</w:t>
      </w:r>
      <w:r>
        <w:rPr>
          <w:rFonts w:cs="Arial" w:hint="cs"/>
          <w:rtl/>
        </w:rPr>
        <w:t>.</w:t>
      </w:r>
      <w:r w:rsidRPr="000631CD">
        <w:rPr>
          <w:rFonts w:cs="Arial"/>
          <w:rtl/>
        </w:rPr>
        <w:t xml:space="preserve"> ועוד טען שמעון שלא נשתתף עם אחיו באותו חצר</w:t>
      </w:r>
      <w:r>
        <w:rPr>
          <w:rFonts w:cs="Arial" w:hint="cs"/>
          <w:rtl/>
        </w:rPr>
        <w:t>,</w:t>
      </w:r>
      <w:r w:rsidRPr="000631CD">
        <w:rPr>
          <w:rFonts w:cs="Arial"/>
          <w:rtl/>
        </w:rPr>
        <w:t xml:space="preserve"> ושהוא מוחזק בה זה ט"ו שנה</w:t>
      </w:r>
      <w:r>
        <w:rPr>
          <w:rFonts w:cs="Arial" w:hint="cs"/>
          <w:rtl/>
        </w:rPr>
        <w:t xml:space="preserve">.     </w:t>
      </w:r>
      <w:r w:rsidR="00FE210D">
        <w:rPr>
          <w:rFonts w:cs="Arial" w:hint="cs"/>
          <w:rtl/>
        </w:rPr>
        <w:t xml:space="preserve"> תשובה:</w:t>
      </w:r>
      <w:r>
        <w:rPr>
          <w:rFonts w:cs="Arial" w:hint="cs"/>
          <w:rtl/>
        </w:rPr>
        <w:t xml:space="preserve"> </w:t>
      </w:r>
      <w:r w:rsidRPr="000631CD">
        <w:rPr>
          <w:rFonts w:cs="Arial"/>
          <w:rtl/>
        </w:rPr>
        <w:t>אע</w:t>
      </w:r>
      <w:r>
        <w:rPr>
          <w:rFonts w:cs="Arial" w:hint="cs"/>
          <w:rtl/>
        </w:rPr>
        <w:t>"</w:t>
      </w:r>
      <w:r w:rsidRPr="000631CD">
        <w:rPr>
          <w:rFonts w:cs="Arial"/>
          <w:rtl/>
        </w:rPr>
        <w:t xml:space="preserve">פ שנתגרשה האשה וחזרה אצלו בין בקידושין וכתובה שנייה בין שחזרה אצלו בין בנישואין בין בזנות </w:t>
      </w:r>
      <w:r>
        <w:rPr>
          <w:rFonts w:cs="Arial" w:hint="cs"/>
          <w:rtl/>
        </w:rPr>
        <w:t xml:space="preserve">- </w:t>
      </w:r>
      <w:r w:rsidRPr="000631CD">
        <w:rPr>
          <w:rFonts w:cs="Arial"/>
          <w:rtl/>
        </w:rPr>
        <w:t>לא אבדה כתובתה הראשונה</w:t>
      </w:r>
      <w:r>
        <w:rPr>
          <w:rFonts w:cs="Arial" w:hint="cs"/>
          <w:rtl/>
        </w:rPr>
        <w:t>,</w:t>
      </w:r>
      <w:r w:rsidRPr="000631CD">
        <w:rPr>
          <w:rFonts w:cs="Arial"/>
          <w:rtl/>
        </w:rPr>
        <w:t xml:space="preserve"> ועדיין שעבוד כתובתה הראשונה קיים כל זמן ששטר כתובתה יוצא מתחת ידה</w:t>
      </w:r>
      <w:r>
        <w:rPr>
          <w:rFonts w:cs="Arial" w:hint="cs"/>
          <w:rtl/>
        </w:rPr>
        <w:t>.</w:t>
      </w:r>
      <w:r w:rsidRPr="000631CD">
        <w:rPr>
          <w:rFonts w:cs="Arial"/>
          <w:rtl/>
        </w:rPr>
        <w:t xml:space="preserve"> ואע</w:t>
      </w:r>
      <w:r>
        <w:rPr>
          <w:rFonts w:cs="Arial" w:hint="cs"/>
          <w:rtl/>
        </w:rPr>
        <w:t>"</w:t>
      </w:r>
      <w:r w:rsidRPr="000631CD">
        <w:rPr>
          <w:rFonts w:cs="Arial"/>
          <w:rtl/>
        </w:rPr>
        <w:t>פ שהחזירה בין שחידש לה כתובה אחרת בין שלא חידש לה</w:t>
      </w:r>
      <w:r>
        <w:rPr>
          <w:rFonts w:cs="Arial" w:hint="cs"/>
          <w:rtl/>
        </w:rPr>
        <w:t>.</w:t>
      </w:r>
      <w:r w:rsidRPr="000631CD">
        <w:rPr>
          <w:rFonts w:cs="Arial"/>
          <w:rtl/>
        </w:rPr>
        <w:t xml:space="preserve"> ואם חידש לה כתובה אחרת </w:t>
      </w:r>
      <w:r>
        <w:rPr>
          <w:rFonts w:cs="Arial" w:hint="cs"/>
          <w:rtl/>
        </w:rPr>
        <w:t xml:space="preserve">- </w:t>
      </w:r>
      <w:r w:rsidRPr="000631CD">
        <w:rPr>
          <w:rFonts w:cs="Arial"/>
          <w:rtl/>
        </w:rPr>
        <w:t>היתה גובה ב' הכתובות וכמו ששנינו בסוף פרק הכותב (פט:) ת"ר גט וכתובה ומיתה וכו' שהמגרש את אשתו והחזירה</w:t>
      </w:r>
      <w:r>
        <w:rPr>
          <w:rFonts w:cs="Arial" w:hint="cs"/>
          <w:rtl/>
        </w:rPr>
        <w:t>,</w:t>
      </w:r>
      <w:r w:rsidRPr="000631CD">
        <w:rPr>
          <w:rFonts w:cs="Arial"/>
          <w:rtl/>
        </w:rPr>
        <w:t xml:space="preserve"> על מנת כתובתה הראשונה החזירה</w:t>
      </w:r>
      <w:r>
        <w:rPr>
          <w:rFonts w:cs="Arial" w:hint="cs"/>
          <w:rtl/>
        </w:rPr>
        <w:t>.</w:t>
      </w:r>
      <w:r w:rsidRPr="000631CD">
        <w:rPr>
          <w:rFonts w:cs="Arial"/>
          <w:rtl/>
        </w:rPr>
        <w:t xml:space="preserve"> והני מילי כשהחזירה סתם ולא חידש לה כתובתה</w:t>
      </w:r>
      <w:r>
        <w:rPr>
          <w:rFonts w:cs="Arial" w:hint="cs"/>
          <w:rtl/>
        </w:rPr>
        <w:t>,</w:t>
      </w:r>
      <w:r w:rsidRPr="000631CD">
        <w:rPr>
          <w:rFonts w:cs="Arial"/>
          <w:rtl/>
        </w:rPr>
        <w:t xml:space="preserve"> אבל אם כתב לה כתובה אחרת גובה שתיהן וכדקתני התם במתניתין ב' גיטין וב' כתובות</w:t>
      </w:r>
      <w:r>
        <w:rPr>
          <w:rFonts w:cs="Arial" w:hint="cs"/>
          <w:rtl/>
        </w:rPr>
        <w:t>.</w:t>
      </w:r>
      <w:r w:rsidRPr="000631CD">
        <w:rPr>
          <w:rFonts w:cs="Arial"/>
          <w:rtl/>
        </w:rPr>
        <w:t xml:space="preserve"> ולפיכך אם החצר משותפת בין ב' האחין</w:t>
      </w:r>
      <w:r>
        <w:rPr>
          <w:rFonts w:cs="Arial" w:hint="cs"/>
          <w:rtl/>
        </w:rPr>
        <w:t>,</w:t>
      </w:r>
      <w:r w:rsidRPr="000631CD">
        <w:rPr>
          <w:rFonts w:cs="Arial"/>
          <w:rtl/>
        </w:rPr>
        <w:t xml:space="preserve"> והיתה כתובתה של זו קודמת </w:t>
      </w:r>
      <w:r>
        <w:rPr>
          <w:rFonts w:cs="Arial" w:hint="cs"/>
          <w:rtl/>
        </w:rPr>
        <w:t xml:space="preserve">- </w:t>
      </w:r>
      <w:r w:rsidRPr="000631CD">
        <w:rPr>
          <w:rFonts w:cs="Arial"/>
          <w:rtl/>
        </w:rPr>
        <w:t>גובה היא כתובתה מהחצר</w:t>
      </w:r>
      <w:r>
        <w:rPr>
          <w:rFonts w:cs="Arial" w:hint="cs"/>
          <w:rtl/>
        </w:rPr>
        <w:t>.</w:t>
      </w:r>
      <w:r w:rsidRPr="000631CD">
        <w:rPr>
          <w:rFonts w:cs="Arial"/>
          <w:rtl/>
        </w:rPr>
        <w:t xml:space="preserve"> ואפילו היתה כתובה מאוחרת נמי גובה ממנה</w:t>
      </w:r>
      <w:r>
        <w:rPr>
          <w:rFonts w:cs="Arial" w:hint="cs"/>
          <w:rtl/>
        </w:rPr>
        <w:t>,</w:t>
      </w:r>
      <w:r w:rsidRPr="000631CD">
        <w:rPr>
          <w:rFonts w:cs="Arial"/>
          <w:rtl/>
        </w:rPr>
        <w:t xml:space="preserve"> ואע</w:t>
      </w:r>
      <w:r>
        <w:rPr>
          <w:rFonts w:cs="Arial" w:hint="cs"/>
          <w:rtl/>
        </w:rPr>
        <w:t>"</w:t>
      </w:r>
      <w:r w:rsidRPr="000631CD">
        <w:rPr>
          <w:rFonts w:cs="Arial"/>
          <w:rtl/>
        </w:rPr>
        <w:t>פ שחזר וטען שהוא חזר ולקחה מאחיו עד שלא כתב לה כתובה זו והחזיק בה ט"ו שנה</w:t>
      </w:r>
      <w:r>
        <w:rPr>
          <w:rFonts w:cs="Arial" w:hint="cs"/>
          <w:rtl/>
        </w:rPr>
        <w:t>.</w:t>
      </w:r>
      <w:r w:rsidRPr="000631CD">
        <w:rPr>
          <w:rFonts w:cs="Arial"/>
          <w:rtl/>
        </w:rPr>
        <w:t xml:space="preserve"> לפי שמכיון שטען בבית דין שלא היה לאחיו בה שותפות</w:t>
      </w:r>
      <w:r>
        <w:rPr>
          <w:rFonts w:cs="Arial" w:hint="cs"/>
          <w:rtl/>
        </w:rPr>
        <w:t>,</w:t>
      </w:r>
      <w:r w:rsidRPr="000631CD">
        <w:rPr>
          <w:rFonts w:cs="Arial"/>
          <w:rtl/>
        </w:rPr>
        <w:t xml:space="preserve"> כבר הודה שלא מכר לו אחיו חלקו</w:t>
      </w:r>
      <w:r>
        <w:rPr>
          <w:rFonts w:cs="Arial" w:hint="cs"/>
          <w:rtl/>
        </w:rPr>
        <w:t>,</w:t>
      </w:r>
      <w:r w:rsidRPr="000631CD">
        <w:rPr>
          <w:rFonts w:cs="Arial"/>
          <w:rtl/>
        </w:rPr>
        <w:t xml:space="preserve"> שכל שלא היה לאחיו חלק בו לא קנה ממנו</w:t>
      </w:r>
      <w:r>
        <w:rPr>
          <w:rFonts w:cs="Arial" w:hint="cs"/>
          <w:rtl/>
        </w:rPr>
        <w:t>.</w:t>
      </w:r>
      <w:r w:rsidRPr="000631CD">
        <w:rPr>
          <w:rFonts w:cs="Arial"/>
          <w:rtl/>
        </w:rPr>
        <w:t xml:space="preserve"> דומה למה שאמרו (כתובות פח.) כל האומר לא לויתי כאומר לא פרעתי דמי</w:t>
      </w:r>
      <w:r>
        <w:rPr>
          <w:rFonts w:cs="Arial" w:hint="cs"/>
          <w:rtl/>
        </w:rPr>
        <w:t>.</w:t>
      </w:r>
      <w:r w:rsidRPr="000631CD">
        <w:rPr>
          <w:rFonts w:cs="Arial"/>
          <w:rtl/>
        </w:rPr>
        <w:t xml:space="preserve"> ולפיכך כל שנודע שהיה לאחיו חלק בחצר אשה זו גובה ממנה</w:t>
      </w:r>
      <w:r>
        <w:rPr>
          <w:rFonts w:cs="Arial" w:hint="cs"/>
          <w:rtl/>
        </w:rPr>
        <w:t>.</w:t>
      </w:r>
    </w:p>
    <w:p w14:paraId="079D928D"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30BE285" w14:textId="77777777" w:rsidR="00392DBB" w:rsidRDefault="00392DBB" w:rsidP="00392DBB">
      <w:pPr>
        <w:rPr>
          <w:rFonts w:cs="Arial"/>
          <w:rtl/>
        </w:rPr>
      </w:pPr>
      <w:r>
        <w:rPr>
          <w:rFonts w:cs="Arial"/>
          <w:rtl/>
        </w:rPr>
        <w:t xml:space="preserve">הוציאה ב' גיטין וב' כתובות, וזמן כתובה ראשונה קודם לגט הראשון, וזמן השניה קודם לגט השני, גובה ב' כתובות. </w:t>
      </w:r>
    </w:p>
    <w:p w14:paraId="39FDE41B" w14:textId="77777777" w:rsidR="00392DBB" w:rsidRDefault="00392DBB" w:rsidP="00392DBB">
      <w:pPr>
        <w:rPr>
          <w:rtl/>
        </w:rPr>
      </w:pPr>
    </w:p>
    <w:p w14:paraId="5C24A6D7" w14:textId="77777777" w:rsidR="00392DBB" w:rsidRDefault="00392DBB" w:rsidP="000F64D0">
      <w:pPr>
        <w:pStyle w:val="2"/>
        <w:rPr>
          <w:rtl/>
        </w:rPr>
      </w:pPr>
      <w:r>
        <w:rPr>
          <w:rtl/>
        </w:rPr>
        <w:t>סעיף יד</w:t>
      </w:r>
      <w:r>
        <w:rPr>
          <w:rFonts w:hint="cs"/>
          <w:rtl/>
        </w:rPr>
        <w:t>: הוציאה שתי כתובות וגט אחד.</w:t>
      </w:r>
    </w:p>
    <w:p w14:paraId="05216771" w14:textId="77777777" w:rsidR="00392DBB" w:rsidRDefault="00392DBB" w:rsidP="00392DBB">
      <w:pPr>
        <w:rPr>
          <w:rtl/>
        </w:rPr>
      </w:pPr>
      <w:r w:rsidRPr="00196901">
        <w:rPr>
          <w:rFonts w:hint="cs"/>
          <w:b/>
          <w:bCs/>
          <w:rtl/>
        </w:rPr>
        <w:t>כתובות</w:t>
      </w:r>
      <w:r w:rsidRPr="00196901">
        <w:rPr>
          <w:rFonts w:hint="cs"/>
          <w:b/>
          <w:bCs/>
          <w:sz w:val="16"/>
          <w:szCs w:val="16"/>
          <w:rtl/>
        </w:rPr>
        <w:t xml:space="preserve"> (ס"פ הכותב) </w:t>
      </w:r>
      <w:r w:rsidRPr="00196901">
        <w:rPr>
          <w:rFonts w:hint="cs"/>
          <w:b/>
          <w:bCs/>
          <w:rtl/>
        </w:rPr>
        <w:t>פ</w:t>
      </w:r>
      <w:r>
        <w:rPr>
          <w:rFonts w:hint="cs"/>
          <w:b/>
          <w:bCs/>
          <w:rtl/>
        </w:rPr>
        <w:t>ט</w:t>
      </w:r>
      <w:r w:rsidRPr="00196901">
        <w:rPr>
          <w:rFonts w:hint="cs"/>
          <w:b/>
          <w:bCs/>
          <w:rtl/>
        </w:rPr>
        <w:t xml:space="preserve"> ע"ב:</w:t>
      </w:r>
      <w:r>
        <w:rPr>
          <w:rFonts w:hint="cs"/>
          <w:rtl/>
        </w:rPr>
        <w:t xml:space="preserve"> </w:t>
      </w:r>
      <w:r w:rsidRPr="00196901">
        <w:rPr>
          <w:rFonts w:cs="Arial"/>
          <w:u w:val="double"/>
          <w:rtl/>
        </w:rPr>
        <w:t>מתני'</w:t>
      </w:r>
      <w:r>
        <w:rPr>
          <w:rFonts w:cs="Arial" w:hint="cs"/>
          <w:rtl/>
        </w:rPr>
        <w:t>:</w:t>
      </w:r>
      <w:r w:rsidRPr="00196901">
        <w:rPr>
          <w:rFonts w:cs="Arial"/>
          <w:rtl/>
        </w:rPr>
        <w:t xml:space="preserve"> </w:t>
      </w:r>
      <w:r w:rsidRPr="000631CD">
        <w:rPr>
          <w:rFonts w:cs="Arial"/>
          <w:rtl/>
        </w:rPr>
        <w:t>שתי כתובות וגט אחד</w:t>
      </w:r>
      <w:r>
        <w:rPr>
          <w:rFonts w:cs="Arial" w:hint="cs"/>
          <w:rtl/>
        </w:rPr>
        <w:t>...</w:t>
      </w:r>
      <w:r w:rsidRPr="000631CD">
        <w:rPr>
          <w:rFonts w:cs="Arial"/>
          <w:rtl/>
        </w:rPr>
        <w:t xml:space="preserve"> - אינה גובה אלא כתובה אחת</w:t>
      </w:r>
      <w:r>
        <w:rPr>
          <w:rFonts w:cs="Arial" w:hint="cs"/>
          <w:rtl/>
        </w:rPr>
        <w:t>...</w:t>
      </w:r>
      <w:r>
        <w:rPr>
          <w:rFonts w:hint="cs"/>
          <w:rtl/>
        </w:rPr>
        <w:t xml:space="preserve">     </w:t>
      </w:r>
      <w:r w:rsidRPr="005854AF">
        <w:rPr>
          <w:rtl/>
        </w:rPr>
        <w:t xml:space="preserve"> </w:t>
      </w:r>
      <w:r w:rsidRPr="005854AF">
        <w:rPr>
          <w:rFonts w:cs="Arial"/>
          <w:u w:val="double"/>
          <w:rtl/>
        </w:rPr>
        <w:t>גמ'</w:t>
      </w:r>
      <w:r>
        <w:rPr>
          <w:rFonts w:cs="Arial" w:hint="cs"/>
          <w:rtl/>
        </w:rPr>
        <w:t>:</w:t>
      </w:r>
      <w:r w:rsidRPr="005854AF">
        <w:rPr>
          <w:rFonts w:cs="Arial"/>
          <w:rtl/>
        </w:rPr>
        <w:t xml:space="preserve"> אי בעיא בהאי גביא, אי בעיא בהאי גביא</w:t>
      </w:r>
      <w:r>
        <w:rPr>
          <w:rStyle w:val="a7"/>
          <w:rFonts w:cs="Arial"/>
          <w:rtl/>
        </w:rPr>
        <w:footnoteReference w:id="2016"/>
      </w:r>
      <w:r>
        <w:rPr>
          <w:rFonts w:cs="Arial" w:hint="cs"/>
          <w:rtl/>
        </w:rPr>
        <w:t>?</w:t>
      </w:r>
      <w:r w:rsidRPr="005854AF">
        <w:rPr>
          <w:rFonts w:cs="Arial"/>
          <w:rtl/>
        </w:rPr>
        <w:t xml:space="preserve"> לימא, תיהוי תיובתא דרב נחמן אמר שמואל, </w:t>
      </w:r>
      <w:r w:rsidRPr="005854AF">
        <w:rPr>
          <w:rFonts w:cs="Arial"/>
          <w:u w:val="single"/>
          <w:rtl/>
        </w:rPr>
        <w:t>דאמר ר"נ אמר שמואל</w:t>
      </w:r>
      <w:r w:rsidRPr="005854AF">
        <w:rPr>
          <w:rFonts w:cs="Arial"/>
          <w:rtl/>
        </w:rPr>
        <w:t>: שני שטרות היוצאין בזה אחר זה</w:t>
      </w:r>
      <w:r>
        <w:rPr>
          <w:rStyle w:val="a7"/>
          <w:rFonts w:cs="Arial"/>
          <w:rtl/>
        </w:rPr>
        <w:footnoteReference w:id="2017"/>
      </w:r>
      <w:r w:rsidRPr="005854AF">
        <w:rPr>
          <w:rFonts w:cs="Arial"/>
          <w:rtl/>
        </w:rPr>
        <w:t xml:space="preserve"> - ביטל שני את הראשון</w:t>
      </w:r>
      <w:r>
        <w:rPr>
          <w:rStyle w:val="a7"/>
          <w:rFonts w:cs="Arial"/>
          <w:rtl/>
        </w:rPr>
        <w:footnoteReference w:id="2018"/>
      </w:r>
      <w:r w:rsidRPr="005854AF">
        <w:rPr>
          <w:rFonts w:cs="Arial"/>
          <w:rtl/>
        </w:rPr>
        <w:t xml:space="preserve">! לאו אתמר עלה, </w:t>
      </w:r>
      <w:r w:rsidRPr="005854AF">
        <w:rPr>
          <w:rFonts w:cs="Arial"/>
          <w:u w:val="single"/>
          <w:rtl/>
        </w:rPr>
        <w:t>אמר רב פפא</w:t>
      </w:r>
      <w:r w:rsidRPr="005854AF">
        <w:rPr>
          <w:rFonts w:cs="Arial"/>
          <w:rtl/>
        </w:rPr>
        <w:t>: ומודה רב נחמן, דאי אוסיף ביה דיקלא - לתוספת כתביה</w:t>
      </w:r>
      <w:r>
        <w:rPr>
          <w:rStyle w:val="a7"/>
          <w:rFonts w:cs="Arial"/>
          <w:rtl/>
        </w:rPr>
        <w:footnoteReference w:id="2019"/>
      </w:r>
      <w:r w:rsidRPr="005854AF">
        <w:rPr>
          <w:rFonts w:cs="Arial"/>
          <w:rtl/>
        </w:rPr>
        <w:t>? הכא נמי בדאוסיף לה.</w:t>
      </w:r>
    </w:p>
    <w:p w14:paraId="6D8A0BA7" w14:textId="277CC370" w:rsidR="00392DBB" w:rsidRPr="00E07240" w:rsidRDefault="00392DBB" w:rsidP="00392DBB">
      <w:pPr>
        <w:rPr>
          <w:rFonts w:cs="Arial"/>
          <w:rtl/>
        </w:rPr>
      </w:pPr>
      <w:r w:rsidRPr="008074C4">
        <w:rPr>
          <w:rFonts w:cs="Arial" w:hint="cs"/>
          <w:b/>
          <w:bCs/>
          <w:rtl/>
        </w:rPr>
        <w:t xml:space="preserve">כתובות </w:t>
      </w:r>
      <w:r w:rsidRPr="008074C4">
        <w:rPr>
          <w:rFonts w:cs="Arial" w:hint="cs"/>
          <w:b/>
          <w:bCs/>
          <w:sz w:val="16"/>
          <w:szCs w:val="16"/>
          <w:rtl/>
        </w:rPr>
        <w:t>(</w:t>
      </w:r>
      <w:r w:rsidRPr="008074C4">
        <w:rPr>
          <w:rFonts w:cs="Arial"/>
          <w:b/>
          <w:bCs/>
          <w:sz w:val="16"/>
          <w:szCs w:val="16"/>
          <w:rtl/>
        </w:rPr>
        <w:t>פ</w:t>
      </w:r>
      <w:r w:rsidRPr="008074C4">
        <w:rPr>
          <w:rFonts w:cs="Arial" w:hint="cs"/>
          <w:b/>
          <w:bCs/>
          <w:sz w:val="16"/>
          <w:szCs w:val="16"/>
          <w:rtl/>
        </w:rPr>
        <w:t>'</w:t>
      </w:r>
      <w:r w:rsidRPr="008074C4">
        <w:rPr>
          <w:rFonts w:cs="Arial"/>
          <w:b/>
          <w:bCs/>
          <w:sz w:val="16"/>
          <w:szCs w:val="16"/>
          <w:rtl/>
        </w:rPr>
        <w:t xml:space="preserve"> נערה שנתפתתה</w:t>
      </w:r>
      <w:r w:rsidRPr="008074C4">
        <w:rPr>
          <w:rFonts w:cs="Arial" w:hint="cs"/>
          <w:b/>
          <w:bCs/>
          <w:sz w:val="16"/>
          <w:szCs w:val="16"/>
          <w:rtl/>
        </w:rPr>
        <w:t>)</w:t>
      </w:r>
      <w:r w:rsidRPr="008074C4">
        <w:rPr>
          <w:rFonts w:cs="Arial"/>
          <w:b/>
          <w:bCs/>
          <w:rtl/>
        </w:rPr>
        <w:t xml:space="preserve"> </w:t>
      </w:r>
      <w:r>
        <w:rPr>
          <w:rFonts w:cs="Arial" w:hint="cs"/>
          <w:b/>
          <w:bCs/>
          <w:rtl/>
        </w:rPr>
        <w:t>מג</w:t>
      </w:r>
      <w:r w:rsidRPr="008074C4">
        <w:rPr>
          <w:rFonts w:cs="Arial" w:hint="cs"/>
          <w:b/>
          <w:bCs/>
          <w:rtl/>
        </w:rPr>
        <w:t xml:space="preserve"> ע"</w:t>
      </w:r>
      <w:r>
        <w:rPr>
          <w:rFonts w:cs="Arial" w:hint="cs"/>
          <w:b/>
          <w:bCs/>
          <w:rtl/>
        </w:rPr>
        <w:t>ב</w:t>
      </w:r>
      <w:r w:rsidRPr="008074C4">
        <w:rPr>
          <w:rFonts w:cs="Arial"/>
          <w:b/>
          <w:bCs/>
          <w:rtl/>
        </w:rPr>
        <w:t>:</w:t>
      </w:r>
      <w:r w:rsidRPr="008074C4">
        <w:rPr>
          <w:rFonts w:cs="Arial"/>
          <w:rtl/>
        </w:rPr>
        <w:t xml:space="preserve"> </w:t>
      </w:r>
      <w:r w:rsidRPr="00E07240">
        <w:rPr>
          <w:rFonts w:cs="Arial"/>
          <w:u w:val="double"/>
          <w:rtl/>
        </w:rPr>
        <w:t>מתני'</w:t>
      </w:r>
      <w:r>
        <w:rPr>
          <w:rFonts w:cs="Arial" w:hint="cs"/>
          <w:rtl/>
        </w:rPr>
        <w:t>:</w:t>
      </w:r>
      <w:r w:rsidRPr="00E07240">
        <w:rPr>
          <w:rFonts w:cs="Arial"/>
          <w:rtl/>
        </w:rPr>
        <w:t xml:space="preserve"> המארס את בתו וגרשה, אירסה ונתארמלה - כתובתה שלו</w:t>
      </w:r>
      <w:r>
        <w:rPr>
          <w:rStyle w:val="a7"/>
          <w:rFonts w:cs="Arial"/>
          <w:rtl/>
        </w:rPr>
        <w:footnoteReference w:id="2020"/>
      </w:r>
      <w:r>
        <w:rPr>
          <w:rFonts w:cs="Arial" w:hint="cs"/>
          <w:rtl/>
        </w:rPr>
        <w:t>.</w:t>
      </w:r>
      <w:r w:rsidRPr="00E07240">
        <w:rPr>
          <w:rFonts w:cs="Arial"/>
          <w:rtl/>
        </w:rPr>
        <w:t xml:space="preserve"> השיאה וגרשה, השיאה ונתארמלה - כתובתה שלה</w:t>
      </w:r>
      <w:r>
        <w:rPr>
          <w:rStyle w:val="a7"/>
          <w:rFonts w:cs="Arial"/>
          <w:rtl/>
        </w:rPr>
        <w:footnoteReference w:id="2021"/>
      </w:r>
      <w:r>
        <w:rPr>
          <w:rFonts w:cs="Arial" w:hint="cs"/>
          <w:rtl/>
        </w:rPr>
        <w:t>.</w:t>
      </w:r>
      <w:r w:rsidRPr="00E07240">
        <w:rPr>
          <w:rFonts w:cs="Arial"/>
          <w:rtl/>
        </w:rPr>
        <w:t xml:space="preserve"> </w:t>
      </w:r>
      <w:r w:rsidRPr="00E07240">
        <w:rPr>
          <w:rFonts w:cs="Arial"/>
          <w:u w:val="single"/>
          <w:rtl/>
        </w:rPr>
        <w:t>ר' יהודה אומר</w:t>
      </w:r>
      <w:r w:rsidRPr="00E07240">
        <w:rPr>
          <w:rFonts w:cs="Arial"/>
          <w:rtl/>
        </w:rPr>
        <w:t>: הראשונה של אב</w:t>
      </w:r>
      <w:r>
        <w:rPr>
          <w:rFonts w:cs="Arial" w:hint="cs"/>
          <w:rtl/>
        </w:rPr>
        <w:t>.</w:t>
      </w:r>
      <w:r w:rsidRPr="00E07240">
        <w:rPr>
          <w:rFonts w:cs="Arial"/>
          <w:rtl/>
        </w:rPr>
        <w:t xml:space="preserve"> אמרו לו: משהשיאה אין לאביה </w:t>
      </w:r>
      <w:r w:rsidRPr="00E07240">
        <w:rPr>
          <w:rFonts w:cs="Arial"/>
          <w:rtl/>
        </w:rPr>
        <w:lastRenderedPageBreak/>
        <w:t xml:space="preserve">רשות בה. </w:t>
      </w:r>
      <w:r>
        <w:rPr>
          <w:rFonts w:cs="Arial" w:hint="cs"/>
          <w:rtl/>
        </w:rPr>
        <w:t xml:space="preserve">       </w:t>
      </w:r>
      <w:r w:rsidRPr="00E07240">
        <w:rPr>
          <w:rFonts w:cs="Arial"/>
          <w:u w:val="double"/>
          <w:rtl/>
        </w:rPr>
        <w:t>גמ'</w:t>
      </w:r>
      <w:r>
        <w:rPr>
          <w:rFonts w:cs="Arial" w:hint="cs"/>
          <w:rtl/>
        </w:rPr>
        <w:t>:</w:t>
      </w:r>
      <w:r w:rsidRPr="00E07240">
        <w:rPr>
          <w:rFonts w:cs="Arial"/>
          <w:rtl/>
        </w:rPr>
        <w:t xml:space="preserve"> רבי יהודה אומר: הראשונה של אב. מ"ט דרבי יהודה?</w:t>
      </w:r>
      <w:r>
        <w:rPr>
          <w:rFonts w:cs="Arial" w:hint="cs"/>
          <w:rtl/>
        </w:rPr>
        <w:t>...</w:t>
      </w:r>
      <w:r w:rsidRPr="00E07240">
        <w:rPr>
          <w:rFonts w:cs="Arial"/>
          <w:rtl/>
        </w:rPr>
        <w:t xml:space="preserve"> </w:t>
      </w:r>
      <w:r w:rsidRPr="00E07240">
        <w:rPr>
          <w:rFonts w:cs="Arial"/>
          <w:u w:val="single"/>
          <w:rtl/>
        </w:rPr>
        <w:t>רבה ורב יוסף דאמרי תרוייהו</w:t>
      </w:r>
      <w:r w:rsidRPr="00E07240">
        <w:rPr>
          <w:rFonts w:cs="Arial"/>
          <w:rtl/>
        </w:rPr>
        <w:t>: הואיל וברשותו נכתבין</w:t>
      </w:r>
      <w:r>
        <w:rPr>
          <w:rStyle w:val="a7"/>
          <w:rFonts w:cs="Arial"/>
          <w:rtl/>
        </w:rPr>
        <w:footnoteReference w:id="2022"/>
      </w:r>
      <w:r w:rsidRPr="00E07240">
        <w:rPr>
          <w:rFonts w:cs="Arial"/>
          <w:rtl/>
        </w:rPr>
        <w:t>. ומיגבא מאימת גביא</w:t>
      </w:r>
      <w:r>
        <w:rPr>
          <w:rStyle w:val="a7"/>
          <w:rFonts w:cs="Arial"/>
          <w:rtl/>
        </w:rPr>
        <w:footnoteReference w:id="2023"/>
      </w:r>
      <w:r w:rsidRPr="00E07240">
        <w:rPr>
          <w:rFonts w:cs="Arial"/>
          <w:rtl/>
        </w:rPr>
        <w:t xml:space="preserve">? </w:t>
      </w:r>
      <w:r w:rsidRPr="00E07240">
        <w:rPr>
          <w:rFonts w:cs="Arial"/>
          <w:u w:val="single"/>
          <w:rtl/>
        </w:rPr>
        <w:t>אמר רב הונא</w:t>
      </w:r>
      <w:r w:rsidRPr="00E07240">
        <w:rPr>
          <w:rFonts w:cs="Arial"/>
          <w:rtl/>
        </w:rPr>
        <w:t>: מנה מאתים</w:t>
      </w:r>
      <w:r>
        <w:rPr>
          <w:rStyle w:val="a7"/>
          <w:rFonts w:cs="Arial"/>
          <w:rtl/>
        </w:rPr>
        <w:footnoteReference w:id="2024"/>
      </w:r>
      <w:r w:rsidRPr="00E07240">
        <w:rPr>
          <w:rFonts w:cs="Arial"/>
          <w:rtl/>
        </w:rPr>
        <w:t xml:space="preserve"> מן האירוסין, ותוספת</w:t>
      </w:r>
      <w:r>
        <w:rPr>
          <w:rStyle w:val="a7"/>
          <w:rFonts w:cs="Arial"/>
          <w:rtl/>
        </w:rPr>
        <w:footnoteReference w:id="2025"/>
      </w:r>
      <w:r w:rsidRPr="00E07240">
        <w:rPr>
          <w:rFonts w:cs="Arial"/>
          <w:rtl/>
        </w:rPr>
        <w:t xml:space="preserve"> מן הנשואין</w:t>
      </w:r>
      <w:r>
        <w:rPr>
          <w:rFonts w:cs="Arial" w:hint="cs"/>
          <w:rtl/>
        </w:rPr>
        <w:t>.</w:t>
      </w:r>
      <w:r w:rsidRPr="00E07240">
        <w:rPr>
          <w:rFonts w:cs="Arial"/>
          <w:rtl/>
        </w:rPr>
        <w:t xml:space="preserve"> </w:t>
      </w:r>
      <w:r w:rsidRPr="00E07240">
        <w:rPr>
          <w:rFonts w:cs="Arial"/>
          <w:u w:val="single"/>
          <w:rtl/>
        </w:rPr>
        <w:t>ורב אסי אמר</w:t>
      </w:r>
      <w:r w:rsidRPr="00E07240">
        <w:rPr>
          <w:rFonts w:cs="Arial"/>
          <w:rtl/>
        </w:rPr>
        <w:t>: אחד זה ואחד זה מן הנשואין</w:t>
      </w:r>
      <w:r>
        <w:rPr>
          <w:rStyle w:val="a7"/>
          <w:rFonts w:cs="Arial"/>
          <w:rtl/>
        </w:rPr>
        <w:footnoteReference w:id="2026"/>
      </w:r>
      <w:r w:rsidRPr="00E07240">
        <w:rPr>
          <w:rFonts w:cs="Arial"/>
          <w:rtl/>
        </w:rPr>
        <w:t>. ומי אמר רב הונא הכי? והאתמר: הוציאה עליו שתי כתובות, אחת של מאתים</w:t>
      </w:r>
      <w:r>
        <w:rPr>
          <w:rStyle w:val="a7"/>
          <w:rFonts w:cs="Arial"/>
          <w:rtl/>
        </w:rPr>
        <w:footnoteReference w:id="2027"/>
      </w:r>
      <w:r w:rsidRPr="00E07240">
        <w:rPr>
          <w:rFonts w:cs="Arial"/>
          <w:rtl/>
        </w:rPr>
        <w:t xml:space="preserve"> ואחת של שלש מאות, ואמר רב הונא: באתה לגבות מאתים</w:t>
      </w:r>
      <w:r>
        <w:rPr>
          <w:rStyle w:val="a7"/>
          <w:rFonts w:cs="Arial"/>
          <w:rtl/>
        </w:rPr>
        <w:footnoteReference w:id="2028"/>
      </w:r>
      <w:r w:rsidRPr="00E07240">
        <w:rPr>
          <w:rFonts w:cs="Arial"/>
          <w:rtl/>
        </w:rPr>
        <w:t xml:space="preserve"> - גובה</w:t>
      </w:r>
      <w:r>
        <w:rPr>
          <w:rStyle w:val="a7"/>
          <w:rFonts w:cs="Arial"/>
          <w:rtl/>
        </w:rPr>
        <w:footnoteReference w:id="2029"/>
      </w:r>
      <w:r w:rsidRPr="00E07240">
        <w:rPr>
          <w:rFonts w:cs="Arial"/>
          <w:rtl/>
        </w:rPr>
        <w:t xml:space="preserve"> מזמן ראשון, שלש מאות - גובה מזמן שני</w:t>
      </w:r>
      <w:r>
        <w:rPr>
          <w:rFonts w:cs="Arial" w:hint="cs"/>
          <w:rtl/>
        </w:rPr>
        <w:t>.</w:t>
      </w:r>
      <w:r w:rsidRPr="00E07240">
        <w:rPr>
          <w:rFonts w:cs="Arial"/>
          <w:rtl/>
        </w:rPr>
        <w:t xml:space="preserve"> ואם איתא</w:t>
      </w:r>
      <w:r>
        <w:rPr>
          <w:rStyle w:val="a7"/>
          <w:rFonts w:cs="Arial"/>
          <w:rtl/>
        </w:rPr>
        <w:footnoteReference w:id="2030"/>
      </w:r>
      <w:r w:rsidRPr="00E07240">
        <w:rPr>
          <w:rFonts w:cs="Arial"/>
          <w:rtl/>
        </w:rPr>
        <w:t>, תיגבי מאתים מזמן ראשון ומאה מזמן שני! ולטעמיך</w:t>
      </w:r>
      <w:r>
        <w:rPr>
          <w:rStyle w:val="a7"/>
          <w:rFonts w:cs="Arial"/>
          <w:rtl/>
        </w:rPr>
        <w:footnoteReference w:id="2031"/>
      </w:r>
      <w:r w:rsidRPr="00E07240">
        <w:rPr>
          <w:rFonts w:cs="Arial"/>
          <w:rtl/>
        </w:rPr>
        <w:t>, תיגבי חמש מאות כולם, מאתים מזמן ראשון, תלת מאה מזמן שני! אלא חמש מאות מ"ט לא גביא</w:t>
      </w:r>
      <w:r>
        <w:rPr>
          <w:rFonts w:cs="Arial" w:hint="cs"/>
          <w:rtl/>
        </w:rPr>
        <w:t xml:space="preserve"> -</w:t>
      </w:r>
      <w:r w:rsidRPr="00E07240">
        <w:rPr>
          <w:rFonts w:cs="Arial"/>
          <w:rtl/>
        </w:rPr>
        <w:t xml:space="preserve"> כיון דלא כתב לה</w:t>
      </w:r>
      <w:r>
        <w:rPr>
          <w:rStyle w:val="a7"/>
          <w:rFonts w:cs="Arial"/>
          <w:rtl/>
        </w:rPr>
        <w:footnoteReference w:id="2032"/>
      </w:r>
      <w:r w:rsidRPr="00E07240">
        <w:rPr>
          <w:rFonts w:cs="Arial"/>
          <w:rtl/>
        </w:rPr>
        <w:t xml:space="preserve"> צביתי ואוסיפית לך תלת מאה אמאתים</w:t>
      </w:r>
      <w:r>
        <w:rPr>
          <w:rStyle w:val="a7"/>
          <w:rFonts w:cs="Arial"/>
          <w:rtl/>
        </w:rPr>
        <w:footnoteReference w:id="2033"/>
      </w:r>
      <w:r w:rsidRPr="00E07240">
        <w:rPr>
          <w:rFonts w:cs="Arial"/>
          <w:rtl/>
        </w:rPr>
        <w:t>, הכי קאמר לה: אי מזמן ראשון גביאת - גביא מאתים, אי מזמן שני גביאת - גביא תלת מאה</w:t>
      </w:r>
      <w:r>
        <w:rPr>
          <w:rFonts w:cs="Arial" w:hint="cs"/>
          <w:rtl/>
        </w:rPr>
        <w:t>.</w:t>
      </w:r>
      <w:r>
        <w:rPr>
          <w:rFonts w:hint="cs"/>
          <w:sz w:val="14"/>
          <w:szCs w:val="14"/>
          <w:rtl/>
        </w:rPr>
        <w:t xml:space="preserve"> (מד.)</w:t>
      </w:r>
      <w:r w:rsidRPr="00E07240">
        <w:rPr>
          <w:rtl/>
        </w:rPr>
        <w:t xml:space="preserve"> </w:t>
      </w:r>
      <w:r w:rsidRPr="00E07240">
        <w:rPr>
          <w:rFonts w:cs="Arial"/>
          <w:rtl/>
        </w:rPr>
        <w:t>הכא נמי</w:t>
      </w:r>
      <w:r>
        <w:rPr>
          <w:rStyle w:val="a7"/>
          <w:rFonts w:cs="Arial"/>
          <w:rtl/>
        </w:rPr>
        <w:footnoteReference w:id="2034"/>
      </w:r>
      <w:r w:rsidRPr="00E07240">
        <w:rPr>
          <w:rFonts w:cs="Arial"/>
          <w:rtl/>
        </w:rPr>
        <w:t xml:space="preserve"> היינו טעמא דלא גביא, מדלא כתב לה אוסיפית לך מאה אמאתים, אחולי אחילתיה לשעבודא קמא. </w:t>
      </w:r>
      <w:r w:rsidRPr="00E07240">
        <w:rPr>
          <w:rFonts w:cs="Arial"/>
          <w:u w:val="single"/>
          <w:rtl/>
        </w:rPr>
        <w:t>אמר מר</w:t>
      </w:r>
      <w:r>
        <w:rPr>
          <w:rStyle w:val="a7"/>
          <w:rFonts w:cs="Arial"/>
          <w:u w:val="single"/>
          <w:rtl/>
        </w:rPr>
        <w:footnoteReference w:id="2035"/>
      </w:r>
      <w:r w:rsidRPr="00E07240">
        <w:rPr>
          <w:rFonts w:cs="Arial"/>
          <w:rtl/>
        </w:rPr>
        <w:t xml:space="preserve">: אי בעיא בהאי גביא, אי בעיא בהאי גביא. לימא, פליגא דרב נחמן, דאמר רב נחמן: שני שטרות היוצאין בזה אחר זה - ביטל שני את הראשון! לאו מי איתמר עלה, </w:t>
      </w:r>
      <w:r w:rsidRPr="00E07240">
        <w:rPr>
          <w:rFonts w:cs="Arial"/>
          <w:u w:val="single"/>
          <w:rtl/>
        </w:rPr>
        <w:t>אמר רב פפא</w:t>
      </w:r>
      <w:r w:rsidRPr="00E07240">
        <w:rPr>
          <w:rFonts w:cs="Arial"/>
          <w:rtl/>
        </w:rPr>
        <w:t>: ומודה ר"נ, דאי אוסיף ביה דיקלא - לתוספת כתביה</w:t>
      </w:r>
      <w:r w:rsidR="00D25D1B">
        <w:rPr>
          <w:rFonts w:cs="Arial" w:hint="cs"/>
          <w:rtl/>
        </w:rPr>
        <w:t>.</w:t>
      </w:r>
      <w:r w:rsidRPr="00E07240">
        <w:rPr>
          <w:rFonts w:cs="Arial"/>
          <w:rtl/>
        </w:rPr>
        <w:t xml:space="preserve"> הכא נמי הא אוסיף לה מידי.</w:t>
      </w:r>
      <w:r>
        <w:rPr>
          <w:rFonts w:cs="Arial" w:hint="cs"/>
          <w:rtl/>
        </w:rPr>
        <w:t>.</w:t>
      </w:r>
      <w:r w:rsidRPr="00E07240">
        <w:rPr>
          <w:rFonts w:cs="Arial"/>
          <w:rtl/>
        </w:rPr>
        <w:t xml:space="preserve">. מאי הוי עלה דכתובה? ת"ש, </w:t>
      </w:r>
      <w:r w:rsidRPr="00223801">
        <w:rPr>
          <w:rFonts w:cs="Arial"/>
          <w:u w:val="single"/>
          <w:rtl/>
        </w:rPr>
        <w:t>דאמר רב יהודה אמר שמואל משום ר"א בר"ש</w:t>
      </w:r>
      <w:r w:rsidRPr="00E07240">
        <w:rPr>
          <w:rFonts w:cs="Arial"/>
          <w:rtl/>
        </w:rPr>
        <w:t>: מנה מאתים מן האירוסין, ותוספת מן הנישואין</w:t>
      </w:r>
      <w:r>
        <w:rPr>
          <w:rFonts w:cs="Arial" w:hint="cs"/>
          <w:rtl/>
        </w:rPr>
        <w:t>.</w:t>
      </w:r>
      <w:r w:rsidRPr="00E07240">
        <w:rPr>
          <w:rFonts w:cs="Arial"/>
          <w:rtl/>
        </w:rPr>
        <w:t xml:space="preserve"> </w:t>
      </w:r>
      <w:r w:rsidRPr="00223801">
        <w:rPr>
          <w:rFonts w:cs="Arial"/>
          <w:u w:val="single"/>
          <w:rtl/>
        </w:rPr>
        <w:t>וחכ"א</w:t>
      </w:r>
      <w:r w:rsidRPr="00E07240">
        <w:rPr>
          <w:rFonts w:cs="Arial"/>
          <w:rtl/>
        </w:rPr>
        <w:t>: אחד זה ואחד זה מן הנישואין. והלכתא: אחד זה ואחד זה מן הנישואין.</w:t>
      </w:r>
      <w:r w:rsidRPr="0058418E">
        <w:rPr>
          <w:rFonts w:cs="Arial"/>
          <w:sz w:val="16"/>
          <w:szCs w:val="16"/>
          <w:rtl/>
        </w:rPr>
        <w:t xml:space="preserve"> </w:t>
      </w:r>
      <w:r>
        <w:rPr>
          <w:rFonts w:cs="Arial" w:hint="cs"/>
          <w:sz w:val="16"/>
          <w:szCs w:val="16"/>
          <w:rtl/>
        </w:rPr>
        <w:t>(</w:t>
      </w:r>
      <w:r w:rsidRPr="0058418E">
        <w:rPr>
          <w:rFonts w:cs="Arial"/>
          <w:sz w:val="16"/>
          <w:szCs w:val="16"/>
          <w:rtl/>
        </w:rPr>
        <w:t>והקשו התוספות (ד"ה והלכתא) דהשתא מסקינן דאחד זה ואחד זה מן הנישואין אע</w:t>
      </w:r>
      <w:r>
        <w:rPr>
          <w:rFonts w:cs="Arial" w:hint="cs"/>
          <w:sz w:val="16"/>
          <w:szCs w:val="16"/>
          <w:rtl/>
        </w:rPr>
        <w:t>"</w:t>
      </w:r>
      <w:r w:rsidRPr="0058418E">
        <w:rPr>
          <w:rFonts w:cs="Arial"/>
          <w:sz w:val="16"/>
          <w:szCs w:val="16"/>
          <w:rtl/>
        </w:rPr>
        <w:t>ג דאוסיף לה</w:t>
      </w:r>
      <w:r w:rsidR="00D25D1B">
        <w:rPr>
          <w:rFonts w:cs="Arial" w:hint="cs"/>
          <w:sz w:val="16"/>
          <w:szCs w:val="16"/>
          <w:rtl/>
        </w:rPr>
        <w:t>,</w:t>
      </w:r>
      <w:r w:rsidRPr="0058418E">
        <w:rPr>
          <w:rFonts w:cs="Arial"/>
          <w:sz w:val="16"/>
          <w:szCs w:val="16"/>
          <w:rtl/>
        </w:rPr>
        <w:t xml:space="preserve"> ופליג ארב נחמן דאמר לעיל (מד.) דאי אוסיף בה דיקלא אדעתא דתוספת כתביה ולא ביטל שני את הראשון</w:t>
      </w:r>
      <w:r w:rsidRPr="0058418E">
        <w:rPr>
          <w:rFonts w:cs="Arial" w:hint="cs"/>
          <w:sz w:val="16"/>
          <w:szCs w:val="16"/>
          <w:rtl/>
        </w:rPr>
        <w:t>.</w:t>
      </w:r>
      <w:r w:rsidRPr="0058418E">
        <w:rPr>
          <w:rFonts w:cs="Arial"/>
          <w:sz w:val="16"/>
          <w:szCs w:val="16"/>
          <w:rtl/>
        </w:rPr>
        <w:t xml:space="preserve"> וזהו תימא דהלכתא כרב נחמן בדיני</w:t>
      </w:r>
      <w:r w:rsidRPr="0058418E">
        <w:rPr>
          <w:rFonts w:cs="Arial" w:hint="cs"/>
          <w:sz w:val="16"/>
          <w:szCs w:val="16"/>
          <w:rtl/>
        </w:rPr>
        <w:t>.</w:t>
      </w:r>
      <w:r w:rsidRPr="0058418E">
        <w:rPr>
          <w:rFonts w:cs="Arial"/>
          <w:sz w:val="16"/>
          <w:szCs w:val="16"/>
          <w:rtl/>
        </w:rPr>
        <w:t xml:space="preserve"> ואור"י דהכא אע</w:t>
      </w:r>
      <w:r>
        <w:rPr>
          <w:rFonts w:cs="Arial" w:hint="cs"/>
          <w:sz w:val="16"/>
          <w:szCs w:val="16"/>
          <w:rtl/>
        </w:rPr>
        <w:t>"</w:t>
      </w:r>
      <w:r w:rsidRPr="0058418E">
        <w:rPr>
          <w:rFonts w:cs="Arial"/>
          <w:sz w:val="16"/>
          <w:szCs w:val="16"/>
          <w:rtl/>
        </w:rPr>
        <w:t>ג דאיכא תוספת ביטל שני את הראשון וטעמא משום דליכא שטר כתובה באירוסין אלא מתנאי בית דין הילכך נתבטל תנאי ראשון ע"י שטר</w:t>
      </w:r>
      <w:r w:rsidRPr="0058418E">
        <w:rPr>
          <w:rFonts w:cs="Arial" w:hint="cs"/>
          <w:sz w:val="16"/>
          <w:szCs w:val="16"/>
          <w:rtl/>
        </w:rPr>
        <w:t>.</w:t>
      </w:r>
      <w:r w:rsidRPr="0058418E">
        <w:rPr>
          <w:rFonts w:cs="Arial"/>
          <w:sz w:val="16"/>
          <w:szCs w:val="16"/>
          <w:rtl/>
        </w:rPr>
        <w:t xml:space="preserve"> וכ</w:t>
      </w:r>
      <w:r>
        <w:rPr>
          <w:rFonts w:cs="Arial" w:hint="cs"/>
          <w:sz w:val="16"/>
          <w:szCs w:val="16"/>
          <w:rtl/>
        </w:rPr>
        <w:t>"</w:t>
      </w:r>
      <w:r w:rsidRPr="0058418E">
        <w:rPr>
          <w:rFonts w:cs="Arial"/>
          <w:sz w:val="16"/>
          <w:szCs w:val="16"/>
          <w:rtl/>
        </w:rPr>
        <w:t>כ הרא"ש (פ"ד סי' ה)</w:t>
      </w:r>
      <w:r w:rsidRPr="0058418E">
        <w:rPr>
          <w:rFonts w:cs="Arial" w:hint="cs"/>
          <w:sz w:val="16"/>
          <w:szCs w:val="16"/>
          <w:rtl/>
        </w:rPr>
        <w:t>,</w:t>
      </w:r>
      <w:r w:rsidRPr="0058418E">
        <w:rPr>
          <w:rFonts w:cs="Arial"/>
          <w:sz w:val="16"/>
          <w:szCs w:val="16"/>
          <w:rtl/>
        </w:rPr>
        <w:t xml:space="preserve"> וכתב עוד</w:t>
      </w:r>
      <w:r w:rsidR="00D25D1B">
        <w:rPr>
          <w:rFonts w:cs="Arial" w:hint="cs"/>
          <w:sz w:val="16"/>
          <w:szCs w:val="16"/>
          <w:rtl/>
        </w:rPr>
        <w:t>:</w:t>
      </w:r>
      <w:r w:rsidRPr="0058418E">
        <w:rPr>
          <w:rFonts w:cs="Arial"/>
          <w:sz w:val="16"/>
          <w:szCs w:val="16"/>
          <w:rtl/>
        </w:rPr>
        <w:t xml:space="preserve"> ואף לדברי המפרשים דאיירי בשמעתין בדכתב לה</w:t>
      </w:r>
      <w:r w:rsidR="00D25D1B">
        <w:rPr>
          <w:rFonts w:cs="Arial" w:hint="cs"/>
          <w:sz w:val="16"/>
          <w:szCs w:val="16"/>
          <w:rtl/>
        </w:rPr>
        <w:t>,</w:t>
      </w:r>
      <w:r w:rsidRPr="0058418E">
        <w:rPr>
          <w:rFonts w:cs="Arial"/>
          <w:sz w:val="16"/>
          <w:szCs w:val="16"/>
          <w:rtl/>
        </w:rPr>
        <w:t xml:space="preserve"> יש לחלק כיון שמנהג לכלול יחד מנה ומאתים ותוספת אומדנא דדעתא הוא שזהו עיקר תחלת השעבוד</w:t>
      </w:r>
      <w:r w:rsidR="00D25D1B">
        <w:rPr>
          <w:rFonts w:cs="Arial" w:hint="cs"/>
          <w:sz w:val="16"/>
          <w:szCs w:val="16"/>
          <w:rtl/>
        </w:rPr>
        <w:t>,</w:t>
      </w:r>
      <w:r w:rsidRPr="0058418E">
        <w:rPr>
          <w:rFonts w:cs="Arial"/>
          <w:sz w:val="16"/>
          <w:szCs w:val="16"/>
          <w:rtl/>
        </w:rPr>
        <w:t xml:space="preserve"> וכתב האירוסין לא נכתב אלא שאם תתאלמן או תתגרש מן האירוסין</w:t>
      </w:r>
      <w:r w:rsidR="00D25D1B">
        <w:rPr>
          <w:rFonts w:cs="Arial" w:hint="cs"/>
          <w:sz w:val="16"/>
          <w:szCs w:val="16"/>
          <w:rtl/>
        </w:rPr>
        <w:t>,</w:t>
      </w:r>
      <w:r w:rsidRPr="0058418E">
        <w:rPr>
          <w:rFonts w:cs="Arial"/>
          <w:sz w:val="16"/>
          <w:szCs w:val="16"/>
          <w:rtl/>
        </w:rPr>
        <w:t xml:space="preserve"> וכשבאו לכלל נישואין ונכתב הכל בשטר אחד נתבטל הראשון לגמרי</w:t>
      </w:r>
      <w:r w:rsidRPr="0058418E">
        <w:rPr>
          <w:rFonts w:cs="Arial" w:hint="cs"/>
          <w:sz w:val="16"/>
          <w:szCs w:val="16"/>
          <w:rtl/>
        </w:rPr>
        <w:t>.</w:t>
      </w:r>
      <w:r w:rsidRPr="0058418E">
        <w:rPr>
          <w:rFonts w:cs="Arial"/>
          <w:sz w:val="16"/>
          <w:szCs w:val="16"/>
          <w:rtl/>
        </w:rPr>
        <w:t xml:space="preserve"> וכן כתב הר"ן (טו: ד"ה ומגבא)</w:t>
      </w:r>
      <w:r w:rsidRPr="0058418E">
        <w:rPr>
          <w:rFonts w:cs="Arial" w:hint="cs"/>
          <w:sz w:val="16"/>
          <w:szCs w:val="16"/>
          <w:rtl/>
        </w:rPr>
        <w:t>.</w:t>
      </w:r>
      <w:r w:rsidRPr="0058418E">
        <w:rPr>
          <w:rFonts w:cs="Arial"/>
          <w:sz w:val="16"/>
          <w:szCs w:val="16"/>
          <w:rtl/>
        </w:rPr>
        <w:t xml:space="preserve"> וכך הם דברי רבינו</w:t>
      </w:r>
      <w:r>
        <w:rPr>
          <w:rFonts w:cs="Arial" w:hint="cs"/>
          <w:sz w:val="16"/>
          <w:szCs w:val="16"/>
          <w:rtl/>
        </w:rPr>
        <w:t>, ב"י)</w:t>
      </w:r>
    </w:p>
    <w:p w14:paraId="63EDE8F2" w14:textId="77777777" w:rsidR="00392DBB" w:rsidRPr="002D0AA5" w:rsidRDefault="00392DBB" w:rsidP="00392DBB">
      <w:pPr>
        <w:rPr>
          <w:u w:val="single"/>
          <w:rtl/>
        </w:rPr>
      </w:pPr>
      <w:r w:rsidRPr="002D0AA5">
        <w:rPr>
          <w:rFonts w:hint="cs"/>
          <w:u w:val="single"/>
          <w:rtl/>
        </w:rPr>
        <w:t>הוציאה שתי כתובות וגט אחד:</w:t>
      </w:r>
    </w:p>
    <w:p w14:paraId="390E7FAE" w14:textId="77777777" w:rsidR="00392DBB" w:rsidRPr="0058418E" w:rsidRDefault="00392DBB" w:rsidP="009000E3">
      <w:pPr>
        <w:pStyle w:val="ab"/>
        <w:numPr>
          <w:ilvl w:val="0"/>
          <w:numId w:val="61"/>
        </w:numPr>
      </w:pPr>
      <w:r>
        <w:rPr>
          <w:rFonts w:cs="Arial" w:hint="cs"/>
          <w:rtl/>
        </w:rPr>
        <w:t xml:space="preserve">טור- </w:t>
      </w:r>
      <w:r w:rsidRPr="003D2914">
        <w:rPr>
          <w:rFonts w:cs="Arial"/>
          <w:rtl/>
        </w:rPr>
        <w:t>הוציאה ב' כתובות וגט אחד</w:t>
      </w:r>
      <w:r>
        <w:rPr>
          <w:rFonts w:cs="Arial" w:hint="cs"/>
          <w:rtl/>
        </w:rPr>
        <w:t>,</w:t>
      </w:r>
      <w:r w:rsidRPr="003D2914">
        <w:rPr>
          <w:rFonts w:cs="Arial"/>
          <w:rtl/>
        </w:rPr>
        <w:t xml:space="preserve"> שכתב לה ב' כתובות זו אח</w:t>
      </w:r>
      <w:r>
        <w:rPr>
          <w:rFonts w:cs="Arial" w:hint="cs"/>
          <w:rtl/>
        </w:rPr>
        <w:t>ר</w:t>
      </w:r>
      <w:r w:rsidRPr="003D2914">
        <w:rPr>
          <w:rFonts w:cs="Arial"/>
          <w:rtl/>
        </w:rPr>
        <w:t xml:space="preserve"> זו </w:t>
      </w:r>
      <w:r>
        <w:rPr>
          <w:rFonts w:cs="Arial" w:hint="cs"/>
          <w:rtl/>
        </w:rPr>
        <w:t xml:space="preserve">- </w:t>
      </w:r>
      <w:r w:rsidRPr="003D2914">
        <w:rPr>
          <w:rFonts w:cs="Arial"/>
          <w:rtl/>
        </w:rPr>
        <w:t>אינה גובה אלא אחרונה</w:t>
      </w:r>
      <w:r>
        <w:rPr>
          <w:rFonts w:cs="Arial" w:hint="cs"/>
          <w:rtl/>
        </w:rPr>
        <w:t>,</w:t>
      </w:r>
      <w:r w:rsidRPr="003D2914">
        <w:rPr>
          <w:rFonts w:cs="Arial"/>
          <w:rtl/>
        </w:rPr>
        <w:t xml:space="preserve"> שבטל הראשונה כשכתב לה האחרונה</w:t>
      </w:r>
      <w:r>
        <w:rPr>
          <w:rFonts w:cs="Arial" w:hint="cs"/>
          <w:rtl/>
        </w:rPr>
        <w:t>.</w:t>
      </w:r>
      <w:r w:rsidRPr="003D2914">
        <w:rPr>
          <w:rFonts w:cs="Arial"/>
          <w:rtl/>
        </w:rPr>
        <w:t xml:space="preserve"> ואם האחרונה יתירה על הראשונה</w:t>
      </w:r>
      <w:r>
        <w:rPr>
          <w:rFonts w:cs="Arial" w:hint="cs"/>
          <w:rtl/>
        </w:rPr>
        <w:t>,</w:t>
      </w:r>
      <w:r w:rsidRPr="003D2914">
        <w:rPr>
          <w:rFonts w:cs="Arial"/>
          <w:rtl/>
        </w:rPr>
        <w:t xml:space="preserve"> ולא כתב לה </w:t>
      </w:r>
      <w:r>
        <w:rPr>
          <w:rFonts w:cs="Arial" w:hint="cs"/>
          <w:rtl/>
        </w:rPr>
        <w:t>'</w:t>
      </w:r>
      <w:r w:rsidRPr="003D2914">
        <w:rPr>
          <w:rFonts w:cs="Arial"/>
          <w:rtl/>
        </w:rPr>
        <w:t>ואוסיפית ליך כך וכך על הראשונה</w:t>
      </w:r>
      <w:r>
        <w:rPr>
          <w:rFonts w:cs="Arial" w:hint="cs"/>
          <w:rtl/>
        </w:rPr>
        <w:t>',</w:t>
      </w:r>
      <w:r w:rsidRPr="003D2914">
        <w:rPr>
          <w:rFonts w:cs="Arial"/>
          <w:rtl/>
        </w:rPr>
        <w:t xml:space="preserve"> אם רוצה לגבות הראשונה </w:t>
      </w:r>
      <w:r>
        <w:rPr>
          <w:rFonts w:cs="Arial" w:hint="cs"/>
          <w:rtl/>
        </w:rPr>
        <w:t xml:space="preserve">- </w:t>
      </w:r>
      <w:r w:rsidRPr="003D2914">
        <w:rPr>
          <w:rFonts w:cs="Arial"/>
          <w:rtl/>
        </w:rPr>
        <w:t>גובה מזמן א'</w:t>
      </w:r>
      <w:r>
        <w:rPr>
          <w:rFonts w:cs="Arial" w:hint="cs"/>
          <w:rtl/>
        </w:rPr>
        <w:t>,</w:t>
      </w:r>
      <w:r w:rsidRPr="003D2914">
        <w:rPr>
          <w:rFonts w:cs="Arial"/>
          <w:rtl/>
        </w:rPr>
        <w:t xml:space="preserve"> או ב' </w:t>
      </w:r>
      <w:r>
        <w:rPr>
          <w:rFonts w:cs="Arial" w:hint="cs"/>
          <w:rtl/>
        </w:rPr>
        <w:t xml:space="preserve">- </w:t>
      </w:r>
      <w:r w:rsidRPr="003D2914">
        <w:rPr>
          <w:rFonts w:cs="Arial"/>
          <w:rtl/>
        </w:rPr>
        <w:t>מזמן ב'</w:t>
      </w:r>
      <w:r>
        <w:rPr>
          <w:rFonts w:cs="Arial" w:hint="cs"/>
          <w:rtl/>
        </w:rPr>
        <w:t>.</w:t>
      </w:r>
      <w:r w:rsidRPr="003D2914">
        <w:rPr>
          <w:rFonts w:cs="Arial"/>
          <w:rtl/>
        </w:rPr>
        <w:t xml:space="preserve"> ואם כתב לה </w:t>
      </w:r>
      <w:r>
        <w:rPr>
          <w:rFonts w:cs="Arial" w:hint="cs"/>
          <w:rtl/>
        </w:rPr>
        <w:t>'</w:t>
      </w:r>
      <w:r w:rsidRPr="003D2914">
        <w:rPr>
          <w:rFonts w:cs="Arial"/>
          <w:rtl/>
        </w:rPr>
        <w:t>ואוסיפית ליך כך וכך על הראשונה</w:t>
      </w:r>
      <w:r>
        <w:rPr>
          <w:rFonts w:cs="Arial" w:hint="cs"/>
          <w:rtl/>
        </w:rPr>
        <w:t>' -</w:t>
      </w:r>
      <w:r w:rsidRPr="003D2914">
        <w:rPr>
          <w:rFonts w:cs="Arial"/>
          <w:rtl/>
        </w:rPr>
        <w:t xml:space="preserve"> גובה ראשונה מזמן ראשונה ותוספת מזמן ב'</w:t>
      </w:r>
      <w:r>
        <w:rPr>
          <w:rFonts w:cs="Arial" w:hint="cs"/>
          <w:rtl/>
        </w:rPr>
        <w:t>.</w:t>
      </w:r>
      <w:r w:rsidRPr="003D2914">
        <w:rPr>
          <w:rFonts w:cs="Arial"/>
          <w:rtl/>
        </w:rPr>
        <w:t xml:space="preserve"> בד"א ששתיהן מן האירוסין או מן הנישואין</w:t>
      </w:r>
      <w:r>
        <w:rPr>
          <w:rFonts w:cs="Arial" w:hint="cs"/>
          <w:rtl/>
        </w:rPr>
        <w:t>,</w:t>
      </w:r>
      <w:r w:rsidRPr="003D2914">
        <w:rPr>
          <w:rFonts w:cs="Arial"/>
          <w:rtl/>
        </w:rPr>
        <w:t xml:space="preserve"> אבל אם אחת מן האירוסין והב' מן הנישואין </w:t>
      </w:r>
      <w:r>
        <w:rPr>
          <w:rFonts w:cs="Arial" w:hint="cs"/>
          <w:rtl/>
        </w:rPr>
        <w:t xml:space="preserve">- </w:t>
      </w:r>
      <w:r w:rsidRPr="003D2914">
        <w:rPr>
          <w:rFonts w:cs="Arial"/>
          <w:rtl/>
        </w:rPr>
        <w:t>בכל ענין אינה גובה אלא אות</w:t>
      </w:r>
      <w:r>
        <w:rPr>
          <w:rFonts w:cs="Arial" w:hint="cs"/>
          <w:rtl/>
        </w:rPr>
        <w:t>ה</w:t>
      </w:r>
      <w:r w:rsidRPr="003D2914">
        <w:rPr>
          <w:rFonts w:cs="Arial"/>
          <w:rtl/>
        </w:rPr>
        <w:t xml:space="preserve"> שמן הנישואין</w:t>
      </w:r>
      <w:r>
        <w:rPr>
          <w:rFonts w:cs="Arial" w:hint="cs"/>
          <w:rtl/>
        </w:rPr>
        <w:t xml:space="preserve">. </w:t>
      </w:r>
      <w:r w:rsidRPr="0058418E">
        <w:rPr>
          <w:rFonts w:cs="Arial" w:hint="cs"/>
          <w:color w:val="E36C0A" w:themeColor="accent6" w:themeShade="BF"/>
          <w:rtl/>
        </w:rPr>
        <w:t>(וכ"פ בשו"ע)</w:t>
      </w:r>
    </w:p>
    <w:p w14:paraId="7C450209" w14:textId="4C144E08" w:rsidR="00392DBB" w:rsidRPr="0058418E" w:rsidRDefault="00392DBB" w:rsidP="00392DBB">
      <w:pPr>
        <w:rPr>
          <w:u w:val="single"/>
        </w:rPr>
      </w:pPr>
      <w:r w:rsidRPr="0058418E">
        <w:rPr>
          <w:rFonts w:hint="cs"/>
          <w:u w:val="single"/>
          <w:rtl/>
        </w:rPr>
        <w:t xml:space="preserve">כתב לה כתובה מן האירוסין, ומת קודם שנשאה </w:t>
      </w:r>
      <w:r w:rsidR="00F97626">
        <w:rPr>
          <w:u w:val="single"/>
          <w:rtl/>
        </w:rPr>
        <w:t>-</w:t>
      </w:r>
      <w:r w:rsidRPr="0058418E">
        <w:rPr>
          <w:rFonts w:hint="cs"/>
          <w:u w:val="single"/>
          <w:rtl/>
        </w:rPr>
        <w:t xml:space="preserve"> מהיכן גובה עיקר כתובתה:</w:t>
      </w:r>
    </w:p>
    <w:p w14:paraId="7E6C0C93" w14:textId="77777777" w:rsidR="00392DBB" w:rsidRPr="003D2914" w:rsidRDefault="00392DBB" w:rsidP="009000E3">
      <w:pPr>
        <w:pStyle w:val="ab"/>
        <w:numPr>
          <w:ilvl w:val="0"/>
          <w:numId w:val="61"/>
        </w:numPr>
        <w:rPr>
          <w:rtl/>
        </w:rPr>
      </w:pPr>
      <w:r w:rsidRPr="0058418E">
        <w:rPr>
          <w:rFonts w:cs="Arial"/>
          <w:rtl/>
        </w:rPr>
        <w:t xml:space="preserve">ר"ן </w:t>
      </w:r>
      <w:r w:rsidRPr="0058418E">
        <w:rPr>
          <w:rFonts w:cs="Arial"/>
          <w:sz w:val="16"/>
          <w:szCs w:val="16"/>
          <w:rtl/>
        </w:rPr>
        <w:t>ן (טו: ד"ה ומגבא)</w:t>
      </w:r>
      <w:r w:rsidRPr="0058418E">
        <w:rPr>
          <w:rFonts w:cs="Arial" w:hint="cs"/>
          <w:rtl/>
        </w:rPr>
        <w:t>-</w:t>
      </w:r>
      <w:r w:rsidRPr="0058418E">
        <w:rPr>
          <w:rFonts w:cs="Arial"/>
          <w:rtl/>
        </w:rPr>
        <w:t xml:space="preserve"> ומכל מקום נראה שכל שלא נשאת וחזר וכתב לה </w:t>
      </w:r>
      <w:r w:rsidRPr="0058418E">
        <w:rPr>
          <w:rFonts w:cs="Arial" w:hint="cs"/>
          <w:rtl/>
        </w:rPr>
        <w:t xml:space="preserve">- </w:t>
      </w:r>
      <w:r w:rsidRPr="0058418E">
        <w:rPr>
          <w:rFonts w:cs="Arial"/>
          <w:rtl/>
        </w:rPr>
        <w:t>שגובה עיקר כתובה מן המשועבדין</w:t>
      </w:r>
      <w:r w:rsidRPr="0058418E">
        <w:rPr>
          <w:rFonts w:cs="Arial" w:hint="cs"/>
          <w:rtl/>
        </w:rPr>
        <w:t>.</w:t>
      </w:r>
      <w:r w:rsidRPr="0058418E">
        <w:rPr>
          <w:rFonts w:cs="Arial"/>
          <w:rtl/>
        </w:rPr>
        <w:t xml:space="preserve"> אלא שהרמב"ם כתב בפ"י מהלכות אישות (הי"א) המארס את האשה וכתב לה כתובה ולא נכנסה לחופה אם מת או גירשה גובה עיקר כתובתה מבני חורין ואינה גובה תוספת כלל הואיל ולא כנסה</w:t>
      </w:r>
      <w:r w:rsidRPr="0058418E">
        <w:rPr>
          <w:rFonts w:cs="Arial" w:hint="cs"/>
          <w:rtl/>
        </w:rPr>
        <w:t>.</w:t>
      </w:r>
      <w:r w:rsidRPr="0058418E">
        <w:rPr>
          <w:rFonts w:cs="Arial"/>
          <w:rtl/>
        </w:rPr>
        <w:t xml:space="preserve"> נראה שהוא סובר דכי מסקינן אחד זה ואחד זה מן הנישואין היינו לומר שאינה טורפת ממשועבדין כל שלא כנסה</w:t>
      </w:r>
      <w:r w:rsidRPr="0058418E">
        <w:rPr>
          <w:rFonts w:cs="Arial" w:hint="cs"/>
          <w:rtl/>
        </w:rPr>
        <w:t>.</w:t>
      </w:r>
    </w:p>
    <w:p w14:paraId="122B669B"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60BFDE2" w14:textId="77777777" w:rsidR="00392DBB" w:rsidRDefault="00392DBB" w:rsidP="00392DBB">
      <w:pPr>
        <w:rPr>
          <w:rtl/>
        </w:rPr>
      </w:pPr>
      <w:r>
        <w:rPr>
          <w:rFonts w:cs="Arial"/>
          <w:rtl/>
        </w:rPr>
        <w:lastRenderedPageBreak/>
        <w:t>הוציאה ב' כתובות וגט אחד, אינה גובה אלא כתובה אחת. ואיזו מהם גובה, אם שתיהן שוות</w:t>
      </w:r>
      <w:r>
        <w:rPr>
          <w:rFonts w:cs="Arial" w:hint="cs"/>
          <w:rtl/>
        </w:rPr>
        <w:t>,</w:t>
      </w:r>
      <w:r>
        <w:rPr>
          <w:rFonts w:cs="Arial"/>
          <w:rtl/>
        </w:rPr>
        <w:t xml:space="preserve"> ביטלה האחרונה את הראשונה ואינה טורפת אלא מזמן האחרונה. ואם היתה באחת משתיהן תוספת על חבירתה ולא כתב לה: ואוסיפית לך כך וכך על הראשונה, אם רוצה לגבות הראשונה גובה מזמן ראשון, או שניה מזמן שני. ואם כתב לה: ואוסיפית לה כך וכך על הראשונה, גובה ראשונה מזמן ראשון והתוספת מזמן שני. ב</w:t>
      </w:r>
      <w:r>
        <w:rPr>
          <w:rFonts w:cs="Arial" w:hint="cs"/>
          <w:rtl/>
        </w:rPr>
        <w:t xml:space="preserve">מה </w:t>
      </w:r>
      <w:r>
        <w:rPr>
          <w:rFonts w:cs="Arial"/>
          <w:rtl/>
        </w:rPr>
        <w:t>ד</w:t>
      </w:r>
      <w:r>
        <w:rPr>
          <w:rFonts w:cs="Arial" w:hint="cs"/>
          <w:rtl/>
        </w:rPr>
        <w:t xml:space="preserve">ברים </w:t>
      </w:r>
      <w:r>
        <w:rPr>
          <w:rFonts w:cs="Arial"/>
          <w:rtl/>
        </w:rPr>
        <w:t>א</w:t>
      </w:r>
      <w:r>
        <w:rPr>
          <w:rFonts w:cs="Arial" w:hint="cs"/>
          <w:rtl/>
        </w:rPr>
        <w:t>מורים</w:t>
      </w:r>
      <w:r>
        <w:rPr>
          <w:rFonts w:cs="Arial"/>
          <w:rtl/>
        </w:rPr>
        <w:t xml:space="preserve">, ששתיהן מן האירוסין או מן הנשואין, אבל אם אחת מן האירוסין והשנייה מן הנשואין, בכל ענין אינה גובה אלא אותה שמן הנשואין. </w:t>
      </w:r>
    </w:p>
    <w:p w14:paraId="35179C12" w14:textId="77777777" w:rsidR="00392DBB" w:rsidRDefault="00392DBB" w:rsidP="00392DBB">
      <w:pPr>
        <w:rPr>
          <w:rtl/>
        </w:rPr>
      </w:pPr>
    </w:p>
    <w:p w14:paraId="65CB37A0" w14:textId="77777777" w:rsidR="00392DBB" w:rsidRDefault="00392DBB" w:rsidP="000F64D0">
      <w:pPr>
        <w:pStyle w:val="2"/>
        <w:rPr>
          <w:rtl/>
        </w:rPr>
      </w:pPr>
      <w:r>
        <w:rPr>
          <w:rtl/>
        </w:rPr>
        <w:t>סעיף טו</w:t>
      </w:r>
      <w:r>
        <w:rPr>
          <w:rFonts w:hint="cs"/>
          <w:rtl/>
        </w:rPr>
        <w:t>:</w:t>
      </w:r>
      <w:r w:rsidRPr="002D0AA5">
        <w:rPr>
          <w:rFonts w:hint="cs"/>
          <w:rtl/>
        </w:rPr>
        <w:t xml:space="preserve"> </w:t>
      </w:r>
      <w:r>
        <w:rPr>
          <w:rFonts w:hint="cs"/>
          <w:rtl/>
        </w:rPr>
        <w:t>הוציאה כתובה אחת ושני גיטין.</w:t>
      </w:r>
    </w:p>
    <w:p w14:paraId="4021F434" w14:textId="77777777" w:rsidR="00392DBB" w:rsidRPr="000631CD" w:rsidRDefault="00392DBB" w:rsidP="00392DBB">
      <w:pPr>
        <w:rPr>
          <w:rtl/>
        </w:rPr>
      </w:pPr>
      <w:r w:rsidRPr="00196901">
        <w:rPr>
          <w:rFonts w:hint="cs"/>
          <w:b/>
          <w:bCs/>
          <w:rtl/>
        </w:rPr>
        <w:t>כתובות</w:t>
      </w:r>
      <w:r w:rsidRPr="00196901">
        <w:rPr>
          <w:rFonts w:hint="cs"/>
          <w:b/>
          <w:bCs/>
          <w:sz w:val="16"/>
          <w:szCs w:val="16"/>
          <w:rtl/>
        </w:rPr>
        <w:t xml:space="preserve"> (ס"פ הכותב) </w:t>
      </w:r>
      <w:r w:rsidRPr="00196901">
        <w:rPr>
          <w:rFonts w:hint="cs"/>
          <w:b/>
          <w:bCs/>
          <w:rtl/>
        </w:rPr>
        <w:t>פ</w:t>
      </w:r>
      <w:r>
        <w:rPr>
          <w:rFonts w:hint="cs"/>
          <w:b/>
          <w:bCs/>
          <w:rtl/>
        </w:rPr>
        <w:t>ט</w:t>
      </w:r>
      <w:r w:rsidRPr="00196901">
        <w:rPr>
          <w:rFonts w:hint="cs"/>
          <w:b/>
          <w:bCs/>
          <w:rtl/>
        </w:rPr>
        <w:t xml:space="preserve"> ע"ב:</w:t>
      </w:r>
      <w:r>
        <w:rPr>
          <w:rFonts w:hint="cs"/>
          <w:rtl/>
        </w:rPr>
        <w:t xml:space="preserve"> </w:t>
      </w:r>
      <w:r w:rsidRPr="00196901">
        <w:rPr>
          <w:rFonts w:cs="Arial"/>
          <w:u w:val="double"/>
          <w:rtl/>
        </w:rPr>
        <w:t>מתני'</w:t>
      </w:r>
      <w:r>
        <w:rPr>
          <w:rFonts w:cs="Arial" w:hint="cs"/>
          <w:rtl/>
        </w:rPr>
        <w:t>:...</w:t>
      </w:r>
      <w:r w:rsidRPr="00196901">
        <w:rPr>
          <w:rFonts w:cs="Arial"/>
          <w:rtl/>
        </w:rPr>
        <w:t xml:space="preserve"> </w:t>
      </w:r>
      <w:r w:rsidRPr="000631CD">
        <w:rPr>
          <w:rFonts w:cs="Arial"/>
          <w:rtl/>
        </w:rPr>
        <w:t>כתובה ושני גטין</w:t>
      </w:r>
      <w:r>
        <w:rPr>
          <w:rStyle w:val="a7"/>
          <w:rFonts w:cs="Arial"/>
          <w:rtl/>
        </w:rPr>
        <w:footnoteReference w:id="2036"/>
      </w:r>
      <w:r>
        <w:rPr>
          <w:rFonts w:cs="Arial" w:hint="cs"/>
          <w:rtl/>
        </w:rPr>
        <w:t xml:space="preserve">... </w:t>
      </w:r>
      <w:r w:rsidRPr="000631CD">
        <w:rPr>
          <w:rFonts w:cs="Arial"/>
          <w:rtl/>
        </w:rPr>
        <w:t>- אינה גובה אלא כתובה אחת, שהמגרש את אשתו והחזירה, ע"מ כתובה הראשונה מחזירה.</w:t>
      </w:r>
    </w:p>
    <w:p w14:paraId="71A24B20" w14:textId="77777777" w:rsidR="00392DBB" w:rsidRPr="002D0AA5" w:rsidRDefault="00392DBB" w:rsidP="00392DBB">
      <w:pPr>
        <w:rPr>
          <w:u w:val="single"/>
          <w:rtl/>
        </w:rPr>
      </w:pPr>
      <w:r w:rsidRPr="002D0AA5">
        <w:rPr>
          <w:rFonts w:hint="cs"/>
          <w:u w:val="single"/>
          <w:rtl/>
        </w:rPr>
        <w:t>הוציאה כתובה אחת ושני גיטין:</w:t>
      </w:r>
    </w:p>
    <w:p w14:paraId="7A28FB77" w14:textId="29BEC989" w:rsidR="00392DBB" w:rsidRDefault="00392DBB" w:rsidP="009000E3">
      <w:pPr>
        <w:pStyle w:val="ab"/>
        <w:numPr>
          <w:ilvl w:val="0"/>
          <w:numId w:val="61"/>
        </w:numPr>
      </w:pPr>
      <w:r>
        <w:rPr>
          <w:rFonts w:cs="Arial" w:hint="cs"/>
          <w:rtl/>
        </w:rPr>
        <w:t xml:space="preserve">טור- </w:t>
      </w:r>
      <w:r w:rsidRPr="003D2914">
        <w:rPr>
          <w:rFonts w:cs="Arial"/>
          <w:rtl/>
        </w:rPr>
        <w:t>הוציאה כתובה וב' גיטין</w:t>
      </w:r>
      <w:r>
        <w:rPr>
          <w:rFonts w:cs="Arial" w:hint="cs"/>
          <w:rtl/>
        </w:rPr>
        <w:t>,</w:t>
      </w:r>
      <w:r w:rsidRPr="003D2914">
        <w:rPr>
          <w:rFonts w:cs="Arial"/>
          <w:rtl/>
        </w:rPr>
        <w:t xml:space="preserve"> שהחזירה ולא כתב לה כתובה </w:t>
      </w:r>
      <w:r>
        <w:rPr>
          <w:rFonts w:cs="Arial" w:hint="cs"/>
          <w:rtl/>
        </w:rPr>
        <w:t xml:space="preserve">- </w:t>
      </w:r>
      <w:r w:rsidRPr="003D2914">
        <w:rPr>
          <w:rFonts w:cs="Arial"/>
          <w:rtl/>
        </w:rPr>
        <w:t>אין לה אלא כתובה אחת</w:t>
      </w:r>
      <w:r>
        <w:rPr>
          <w:rFonts w:cs="Arial" w:hint="cs"/>
          <w:rtl/>
        </w:rPr>
        <w:t xml:space="preserve">, </w:t>
      </w:r>
      <w:r w:rsidRPr="003D2914">
        <w:rPr>
          <w:rFonts w:cs="Arial"/>
          <w:rtl/>
        </w:rPr>
        <w:t>שהמגרש אשתו והחזירה על דעת כתובה הראשונה החזירה</w:t>
      </w:r>
      <w:r>
        <w:rPr>
          <w:rFonts w:cs="Arial" w:hint="cs"/>
          <w:rtl/>
        </w:rPr>
        <w:t xml:space="preserve">. </w:t>
      </w:r>
      <w:r w:rsidRPr="0058418E">
        <w:rPr>
          <w:rFonts w:cs="Arial" w:hint="cs"/>
          <w:color w:val="E36C0A" w:themeColor="accent6" w:themeShade="BF"/>
          <w:rtl/>
        </w:rPr>
        <w:t>(וכ"פ בשו"ע)</w:t>
      </w:r>
    </w:p>
    <w:p w14:paraId="08C761AD" w14:textId="641E12B3" w:rsidR="00207259" w:rsidRPr="00207259" w:rsidRDefault="00F11FDC" w:rsidP="00F11FDC">
      <w:r w:rsidRPr="00F11FDC">
        <w:rPr>
          <w:rFonts w:cs="Arial"/>
          <w:u w:val="single"/>
          <w:rtl/>
        </w:rPr>
        <w:t>גר שנתגייר</w:t>
      </w:r>
      <w:r w:rsidRPr="00F11FDC">
        <w:rPr>
          <w:rFonts w:cs="Arial" w:hint="cs"/>
          <w:u w:val="single"/>
          <w:rtl/>
        </w:rPr>
        <w:t>, וכתב כתובת בתולה לאשתו בגיותו, ואח"כ קיימה כשנתגייר:</w:t>
      </w:r>
      <w:r>
        <w:rPr>
          <w:rFonts w:cs="Arial" w:hint="cs"/>
          <w:rtl/>
        </w:rPr>
        <w:t xml:space="preserve"> </w:t>
      </w:r>
      <w:r w:rsidR="00207259" w:rsidRPr="00F11FDC">
        <w:rPr>
          <w:rFonts w:cs="Arial"/>
          <w:sz w:val="16"/>
          <w:szCs w:val="16"/>
          <w:rtl/>
        </w:rPr>
        <w:t>(</w:t>
      </w:r>
      <w:r w:rsidRPr="00F11FDC">
        <w:rPr>
          <w:rFonts w:cs="Arial" w:hint="cs"/>
          <w:sz w:val="16"/>
          <w:szCs w:val="16"/>
          <w:rtl/>
        </w:rPr>
        <w:t xml:space="preserve">דרכ"מ אות </w:t>
      </w:r>
      <w:r w:rsidR="00207259" w:rsidRPr="00F11FDC">
        <w:rPr>
          <w:rFonts w:cs="Arial"/>
          <w:sz w:val="16"/>
          <w:szCs w:val="16"/>
          <w:rtl/>
        </w:rPr>
        <w:t>כא)</w:t>
      </w:r>
    </w:p>
    <w:p w14:paraId="30E20FBC" w14:textId="53F8994B" w:rsidR="00207259" w:rsidRDefault="00207259" w:rsidP="009000E3">
      <w:pPr>
        <w:pStyle w:val="ab"/>
        <w:numPr>
          <w:ilvl w:val="0"/>
          <w:numId w:val="61"/>
        </w:numPr>
      </w:pPr>
      <w:r>
        <w:rPr>
          <w:rFonts w:cs="Arial" w:hint="cs"/>
          <w:rtl/>
        </w:rPr>
        <w:t xml:space="preserve">שלט"ג </w:t>
      </w:r>
      <w:r w:rsidRPr="00207259">
        <w:rPr>
          <w:rFonts w:cs="Arial" w:hint="cs"/>
          <w:sz w:val="16"/>
          <w:szCs w:val="16"/>
          <w:rtl/>
        </w:rPr>
        <w:t>(</w:t>
      </w:r>
      <w:r w:rsidRPr="00207259">
        <w:rPr>
          <w:rFonts w:cs="Arial"/>
          <w:sz w:val="16"/>
          <w:szCs w:val="16"/>
          <w:rtl/>
        </w:rPr>
        <w:t>כתובות מט. אות א)</w:t>
      </w:r>
      <w:r>
        <w:rPr>
          <w:rFonts w:cs="Arial" w:hint="cs"/>
          <w:rtl/>
        </w:rPr>
        <w:t>-</w:t>
      </w:r>
      <w:r w:rsidRPr="003D2914">
        <w:rPr>
          <w:rFonts w:cs="Arial"/>
          <w:rtl/>
        </w:rPr>
        <w:t xml:space="preserve"> גר שנתגייר</w:t>
      </w:r>
      <w:r>
        <w:rPr>
          <w:rFonts w:cs="Arial" w:hint="cs"/>
          <w:rtl/>
        </w:rPr>
        <w:t>, וכתב</w:t>
      </w:r>
      <w:r w:rsidR="00F11FDC">
        <w:rPr>
          <w:rFonts w:cs="Arial" w:hint="cs"/>
          <w:rtl/>
        </w:rPr>
        <w:t xml:space="preserve"> כתובת בתולה לאשתו בגיותו, ואח"כ קיימה כשנתגייר</w:t>
      </w:r>
      <w:r w:rsidRPr="003D2914">
        <w:rPr>
          <w:rFonts w:cs="Arial"/>
          <w:rtl/>
        </w:rPr>
        <w:t xml:space="preserve"> </w:t>
      </w:r>
      <w:r w:rsidR="00F11FDC">
        <w:rPr>
          <w:rFonts w:cs="Arial" w:hint="cs"/>
          <w:rtl/>
        </w:rPr>
        <w:t>-</w:t>
      </w:r>
      <w:r w:rsidRPr="003D2914">
        <w:rPr>
          <w:rFonts w:cs="Arial"/>
          <w:rtl/>
        </w:rPr>
        <w:t xml:space="preserve"> על דעת כתובה הראשונה קיימה</w:t>
      </w:r>
      <w:r w:rsidR="00F11FDC">
        <w:rPr>
          <w:rFonts w:cs="Arial" w:hint="cs"/>
          <w:rtl/>
        </w:rPr>
        <w:t>. ומז"ה אומרשלא אמרו אלא</w:t>
      </w:r>
      <w:r w:rsidRPr="003D2914">
        <w:rPr>
          <w:rFonts w:cs="Arial"/>
          <w:rtl/>
        </w:rPr>
        <w:t xml:space="preserve"> כשהיתה </w:t>
      </w:r>
      <w:r w:rsidR="00F11FDC">
        <w:rPr>
          <w:rFonts w:cs="Arial" w:hint="cs"/>
          <w:rtl/>
        </w:rPr>
        <w:t xml:space="preserve">אשתו בת ישראל שכתב לה כתובה בגיותו, אבל אם </w:t>
      </w:r>
      <w:r w:rsidRPr="003D2914">
        <w:rPr>
          <w:rFonts w:cs="Arial"/>
          <w:rtl/>
        </w:rPr>
        <w:t xml:space="preserve">כתב כתובה לגויה ונתגיירה </w:t>
      </w:r>
      <w:r w:rsidR="00F11FDC">
        <w:rPr>
          <w:rFonts w:cs="Arial" w:hint="cs"/>
          <w:rtl/>
        </w:rPr>
        <w:t xml:space="preserve">- </w:t>
      </w:r>
      <w:r w:rsidRPr="003D2914">
        <w:rPr>
          <w:rFonts w:cs="Arial"/>
          <w:rtl/>
        </w:rPr>
        <w:t>אי</w:t>
      </w:r>
      <w:r w:rsidR="00F11FDC">
        <w:rPr>
          <w:rFonts w:cs="Arial" w:hint="cs"/>
          <w:rtl/>
        </w:rPr>
        <w:t>ן כתובת הגיות</w:t>
      </w:r>
      <w:r w:rsidRPr="003D2914">
        <w:rPr>
          <w:rFonts w:cs="Arial"/>
          <w:rtl/>
        </w:rPr>
        <w:t xml:space="preserve"> כלום</w:t>
      </w:r>
      <w:r>
        <w:rPr>
          <w:rFonts w:cs="Arial" w:hint="cs"/>
          <w:rtl/>
        </w:rPr>
        <w:t>.</w:t>
      </w:r>
      <w:r w:rsidRPr="003D2914">
        <w:rPr>
          <w:rFonts w:cs="Arial"/>
          <w:rtl/>
        </w:rPr>
        <w:t xml:space="preserve"> </w:t>
      </w:r>
      <w:r w:rsidR="00F11FDC">
        <w:rPr>
          <w:rFonts w:cs="Arial" w:hint="cs"/>
          <w:rtl/>
        </w:rPr>
        <w:t>ולי נראה שאילו כתב כתובה לבת ישראל, הרי בעבירה נשאת לו, ואין ראוי לקיים כתובתה הואיל ונישואי עברה הם. ולא אמרו כתבתה קיימת אלא בגוי שכתב כתובה לגויה ונתגיירה אשתו עמו כמבואר בקונ' הראיות (ראיה כד).</w:t>
      </w:r>
      <w:r w:rsidRPr="003D2914">
        <w:rPr>
          <w:rFonts w:cs="Arial"/>
          <w:rtl/>
        </w:rPr>
        <w:t xml:space="preserve"> </w:t>
      </w:r>
    </w:p>
    <w:p w14:paraId="1143F35A"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6DB858E" w14:textId="77777777" w:rsidR="00392DBB" w:rsidRDefault="00392DBB" w:rsidP="00392DBB">
      <w:pPr>
        <w:rPr>
          <w:rtl/>
        </w:rPr>
      </w:pPr>
      <w:r>
        <w:rPr>
          <w:rFonts w:cs="Arial"/>
          <w:rtl/>
        </w:rPr>
        <w:t>הוציאה שני גיטין וכתובה אחת</w:t>
      </w:r>
      <w:r>
        <w:rPr>
          <w:rStyle w:val="a7"/>
          <w:rFonts w:cs="Arial"/>
          <w:rtl/>
        </w:rPr>
        <w:footnoteReference w:id="2037"/>
      </w:r>
      <w:r>
        <w:rPr>
          <w:rFonts w:cs="Arial"/>
          <w:rtl/>
        </w:rPr>
        <w:t>, אין לה אלא כתובה אחת</w:t>
      </w:r>
      <w:r>
        <w:rPr>
          <w:rFonts w:cs="Arial" w:hint="cs"/>
          <w:rtl/>
        </w:rPr>
        <w:t>.</w:t>
      </w:r>
      <w:r>
        <w:rPr>
          <w:rFonts w:cs="Arial"/>
          <w:rtl/>
        </w:rPr>
        <w:t xml:space="preserve"> שהמגרש את אשתו והחזירה סתם, על כתובתה הראשונה החזירה. </w:t>
      </w:r>
    </w:p>
    <w:p w14:paraId="5E9F8BD3" w14:textId="77777777" w:rsidR="00392DBB" w:rsidRDefault="00392DBB" w:rsidP="00392DBB">
      <w:pPr>
        <w:rPr>
          <w:rtl/>
        </w:rPr>
      </w:pPr>
    </w:p>
    <w:p w14:paraId="29C40594" w14:textId="77777777" w:rsidR="00392DBB" w:rsidRDefault="00392DBB" w:rsidP="000F64D0">
      <w:pPr>
        <w:pStyle w:val="2"/>
        <w:rPr>
          <w:rtl/>
        </w:rPr>
      </w:pPr>
      <w:r>
        <w:rPr>
          <w:rtl/>
        </w:rPr>
        <w:t>סעיף טז</w:t>
      </w:r>
      <w:r>
        <w:rPr>
          <w:rFonts w:hint="cs"/>
          <w:rtl/>
        </w:rPr>
        <w:t>:</w:t>
      </w:r>
      <w:r w:rsidRPr="002D0AA5">
        <w:rPr>
          <w:rtl/>
        </w:rPr>
        <w:t xml:space="preserve"> </w:t>
      </w:r>
      <w:r w:rsidRPr="003D2914">
        <w:rPr>
          <w:rtl/>
        </w:rPr>
        <w:t>הוציאה גט וכתובה ו</w:t>
      </w:r>
      <w:r>
        <w:rPr>
          <w:rFonts w:hint="cs"/>
          <w:rtl/>
        </w:rPr>
        <w:t xml:space="preserve">הביאה </w:t>
      </w:r>
      <w:r w:rsidRPr="003D2914">
        <w:rPr>
          <w:rtl/>
        </w:rPr>
        <w:t>עידי מיתה</w:t>
      </w:r>
      <w:r>
        <w:rPr>
          <w:rFonts w:hint="cs"/>
          <w:rtl/>
        </w:rPr>
        <w:t>.</w:t>
      </w:r>
    </w:p>
    <w:p w14:paraId="6016D621" w14:textId="77777777" w:rsidR="00392DBB" w:rsidRPr="000631CD" w:rsidRDefault="00392DBB" w:rsidP="00392DBB">
      <w:pPr>
        <w:rPr>
          <w:rtl/>
        </w:rPr>
      </w:pPr>
      <w:r w:rsidRPr="00196901">
        <w:rPr>
          <w:rFonts w:hint="cs"/>
          <w:b/>
          <w:bCs/>
          <w:rtl/>
        </w:rPr>
        <w:t>כתובות</w:t>
      </w:r>
      <w:r w:rsidRPr="00196901">
        <w:rPr>
          <w:rFonts w:hint="cs"/>
          <w:b/>
          <w:bCs/>
          <w:sz w:val="16"/>
          <w:szCs w:val="16"/>
          <w:rtl/>
        </w:rPr>
        <w:t xml:space="preserve"> (ס"פ הכותב) </w:t>
      </w:r>
      <w:r w:rsidRPr="00196901">
        <w:rPr>
          <w:rFonts w:hint="cs"/>
          <w:b/>
          <w:bCs/>
          <w:rtl/>
        </w:rPr>
        <w:t>פ</w:t>
      </w:r>
      <w:r>
        <w:rPr>
          <w:rFonts w:hint="cs"/>
          <w:b/>
          <w:bCs/>
          <w:rtl/>
        </w:rPr>
        <w:t>ט</w:t>
      </w:r>
      <w:r w:rsidRPr="00196901">
        <w:rPr>
          <w:rFonts w:hint="cs"/>
          <w:b/>
          <w:bCs/>
          <w:rtl/>
        </w:rPr>
        <w:t xml:space="preserve"> ע"ב:</w:t>
      </w:r>
      <w:r>
        <w:rPr>
          <w:rFonts w:hint="cs"/>
          <w:rtl/>
        </w:rPr>
        <w:t xml:space="preserve"> </w:t>
      </w:r>
      <w:r w:rsidRPr="00196901">
        <w:rPr>
          <w:rFonts w:cs="Arial"/>
          <w:u w:val="double"/>
          <w:rtl/>
        </w:rPr>
        <w:t>מתני'</w:t>
      </w:r>
      <w:r>
        <w:rPr>
          <w:rFonts w:cs="Arial" w:hint="cs"/>
          <w:rtl/>
        </w:rPr>
        <w:t>:</w:t>
      </w:r>
      <w:r w:rsidRPr="00196901">
        <w:rPr>
          <w:rFonts w:cs="Arial"/>
          <w:rtl/>
        </w:rPr>
        <w:t xml:space="preserve"> </w:t>
      </w:r>
      <w:r w:rsidRPr="000631CD">
        <w:rPr>
          <w:rFonts w:cs="Arial"/>
          <w:rtl/>
        </w:rPr>
        <w:t>שתי כתובות וגט אחד, או כתובה ושני גטין, או כתובה וגט ומיתה - אינה גובה אלא כתובה אחת, שהמגרש את אשתו והחזירה, ע"מ כתובה הראשונה מחזירה.</w:t>
      </w:r>
      <w:r>
        <w:rPr>
          <w:rFonts w:hint="cs"/>
          <w:rtl/>
        </w:rPr>
        <w:t xml:space="preserve">       </w:t>
      </w:r>
      <w:r w:rsidRPr="00076C39">
        <w:rPr>
          <w:rFonts w:hint="cs"/>
          <w:u w:val="double"/>
          <w:rtl/>
        </w:rPr>
        <w:t>גמ'</w:t>
      </w:r>
      <w:r>
        <w:rPr>
          <w:rFonts w:hint="cs"/>
          <w:rtl/>
        </w:rPr>
        <w:t xml:space="preserve">: </w:t>
      </w:r>
      <w:r w:rsidRPr="00076C39">
        <w:rPr>
          <w:rFonts w:cs="Arial"/>
          <w:rtl/>
        </w:rPr>
        <w:t>ת"ר</w:t>
      </w:r>
      <w:r>
        <w:rPr>
          <w:rFonts w:cs="Arial" w:hint="cs"/>
          <w:rtl/>
        </w:rPr>
        <w:t>:</w:t>
      </w:r>
      <w:r w:rsidRPr="00076C39">
        <w:rPr>
          <w:rFonts w:cs="Arial"/>
          <w:rtl/>
        </w:rPr>
        <w:t xml:space="preserve"> הוציאה גט וכתובה ומיתה</w:t>
      </w:r>
      <w:r>
        <w:rPr>
          <w:rStyle w:val="a7"/>
          <w:rFonts w:cs="Arial"/>
          <w:rtl/>
        </w:rPr>
        <w:footnoteReference w:id="2038"/>
      </w:r>
      <w:r w:rsidRPr="00076C39">
        <w:rPr>
          <w:rFonts w:cs="Arial"/>
          <w:rtl/>
        </w:rPr>
        <w:t>,</w:t>
      </w:r>
      <w:r>
        <w:rPr>
          <w:rFonts w:hint="cs"/>
          <w:sz w:val="14"/>
          <w:szCs w:val="14"/>
          <w:rtl/>
        </w:rPr>
        <w:t xml:space="preserve"> (צ.)</w:t>
      </w:r>
      <w:r w:rsidRPr="00076C39">
        <w:rPr>
          <w:rtl/>
        </w:rPr>
        <w:t xml:space="preserve"> </w:t>
      </w:r>
      <w:r w:rsidRPr="00076C39">
        <w:rPr>
          <w:rFonts w:cs="Arial"/>
          <w:rtl/>
        </w:rPr>
        <w:t>אם גט קודם לכתובה</w:t>
      </w:r>
      <w:r>
        <w:rPr>
          <w:rStyle w:val="a7"/>
          <w:rFonts w:cs="Arial"/>
          <w:rtl/>
        </w:rPr>
        <w:footnoteReference w:id="2039"/>
      </w:r>
      <w:r w:rsidRPr="00076C39">
        <w:rPr>
          <w:rFonts w:cs="Arial"/>
          <w:rtl/>
        </w:rPr>
        <w:t xml:space="preserve"> - גובה שתי כתובות, כתובה קודמת לגט - אינה גובה אלא כתובה אחת, שהמגרש את אשתו והחזירה, על מנת כתובה הראשונה החזירה.</w:t>
      </w:r>
    </w:p>
    <w:p w14:paraId="6721A83F" w14:textId="77777777" w:rsidR="00392DBB" w:rsidRPr="002D0AA5" w:rsidRDefault="00392DBB" w:rsidP="00392DBB">
      <w:pPr>
        <w:rPr>
          <w:u w:val="single"/>
          <w:rtl/>
        </w:rPr>
      </w:pPr>
      <w:r w:rsidRPr="002D0AA5">
        <w:rPr>
          <w:rFonts w:cs="Arial"/>
          <w:u w:val="single"/>
          <w:rtl/>
        </w:rPr>
        <w:t>הוציאה גט וכתובה ו</w:t>
      </w:r>
      <w:r w:rsidRPr="002D0AA5">
        <w:rPr>
          <w:rFonts w:cs="Arial" w:hint="cs"/>
          <w:u w:val="single"/>
          <w:rtl/>
        </w:rPr>
        <w:t xml:space="preserve">הביאה </w:t>
      </w:r>
      <w:r w:rsidRPr="002D0AA5">
        <w:rPr>
          <w:rFonts w:cs="Arial"/>
          <w:u w:val="single"/>
          <w:rtl/>
        </w:rPr>
        <w:t>עידי מיתה</w:t>
      </w:r>
      <w:r w:rsidRPr="002D0AA5">
        <w:rPr>
          <w:rFonts w:hint="cs"/>
          <w:u w:val="single"/>
          <w:rtl/>
        </w:rPr>
        <w:t>:</w:t>
      </w:r>
    </w:p>
    <w:p w14:paraId="1140672F" w14:textId="0F263C4B" w:rsidR="00392DBB" w:rsidRDefault="00392DBB" w:rsidP="009000E3">
      <w:pPr>
        <w:pStyle w:val="ab"/>
        <w:numPr>
          <w:ilvl w:val="0"/>
          <w:numId w:val="61"/>
        </w:numPr>
      </w:pPr>
      <w:r>
        <w:rPr>
          <w:rFonts w:cs="Arial" w:hint="cs"/>
          <w:rtl/>
        </w:rPr>
        <w:t xml:space="preserve">טור- </w:t>
      </w:r>
      <w:r w:rsidRPr="003D2914">
        <w:rPr>
          <w:rFonts w:cs="Arial"/>
          <w:rtl/>
        </w:rPr>
        <w:t>הוציאה גט וכתובה ועידי מיתה</w:t>
      </w:r>
      <w:r>
        <w:rPr>
          <w:rFonts w:cs="Arial" w:hint="cs"/>
          <w:rtl/>
        </w:rPr>
        <w:t>,</w:t>
      </w:r>
      <w:r w:rsidRPr="003D2914">
        <w:rPr>
          <w:rFonts w:cs="Arial"/>
          <w:rtl/>
        </w:rPr>
        <w:t xml:space="preserve"> אם הגט קודם לכתובה רואין</w:t>
      </w:r>
      <w:r w:rsidR="005B01A7">
        <w:rPr>
          <w:rFonts w:cs="Arial" w:hint="cs"/>
          <w:rtl/>
        </w:rPr>
        <w:t>,</w:t>
      </w:r>
      <w:r w:rsidRPr="003D2914">
        <w:rPr>
          <w:rFonts w:cs="Arial"/>
          <w:rtl/>
        </w:rPr>
        <w:t xml:space="preserve"> אם אין דרך לכתוב כתובה </w:t>
      </w:r>
      <w:r>
        <w:rPr>
          <w:rFonts w:cs="Arial" w:hint="cs"/>
          <w:rtl/>
        </w:rPr>
        <w:t xml:space="preserve">- </w:t>
      </w:r>
      <w:r w:rsidRPr="003D2914">
        <w:rPr>
          <w:rFonts w:cs="Arial"/>
          <w:rtl/>
        </w:rPr>
        <w:t>גובה בגט עיקר הכתובה</w:t>
      </w:r>
      <w:r>
        <w:rPr>
          <w:rFonts w:cs="Arial" w:hint="cs"/>
          <w:rtl/>
        </w:rPr>
        <w:t>,</w:t>
      </w:r>
      <w:r w:rsidRPr="003D2914">
        <w:rPr>
          <w:rFonts w:cs="Arial"/>
          <w:rtl/>
        </w:rPr>
        <w:t xml:space="preserve"> ובכתובה גובה כל מה שכתוב בה</w:t>
      </w:r>
      <w:r>
        <w:rPr>
          <w:rFonts w:cs="Arial" w:hint="cs"/>
          <w:rtl/>
        </w:rPr>
        <w:t>,</w:t>
      </w:r>
      <w:r w:rsidRPr="003D2914">
        <w:rPr>
          <w:rFonts w:cs="Arial"/>
          <w:rtl/>
        </w:rPr>
        <w:t xml:space="preserve"> שהרי זכתה בה במיתת הבעל</w:t>
      </w:r>
      <w:r>
        <w:rPr>
          <w:rFonts w:cs="Arial" w:hint="cs"/>
          <w:rtl/>
        </w:rPr>
        <w:t>.</w:t>
      </w:r>
      <w:r w:rsidRPr="003D2914">
        <w:rPr>
          <w:rFonts w:cs="Arial"/>
          <w:rtl/>
        </w:rPr>
        <w:t xml:space="preserve"> ואם כתובה קודמת לגט </w:t>
      </w:r>
      <w:r>
        <w:rPr>
          <w:rFonts w:cs="Arial" w:hint="cs"/>
          <w:rtl/>
        </w:rPr>
        <w:t xml:space="preserve">- </w:t>
      </w:r>
      <w:r w:rsidRPr="003D2914">
        <w:rPr>
          <w:rFonts w:cs="Arial"/>
          <w:rtl/>
        </w:rPr>
        <w:t>אין לה אלא כתובה אחת שעל דעת כתובה הראשונה החזירה</w:t>
      </w:r>
      <w:r>
        <w:rPr>
          <w:rFonts w:cs="Arial" w:hint="cs"/>
          <w:rtl/>
        </w:rPr>
        <w:t>.</w:t>
      </w:r>
      <w:r>
        <w:rPr>
          <w:rFonts w:hint="cs"/>
          <w:rtl/>
        </w:rPr>
        <w:t xml:space="preserve"> </w:t>
      </w:r>
      <w:r w:rsidRPr="007775A3">
        <w:rPr>
          <w:rFonts w:hint="cs"/>
          <w:color w:val="E36C0A" w:themeColor="accent6" w:themeShade="BF"/>
          <w:rtl/>
        </w:rPr>
        <w:t>(וכ"פ בשו"ע)</w:t>
      </w:r>
    </w:p>
    <w:p w14:paraId="6EC337EF"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245BF10" w14:textId="77777777" w:rsidR="00392DBB" w:rsidRPr="007A3469" w:rsidRDefault="00392DBB" w:rsidP="00392DBB">
      <w:pPr>
        <w:rPr>
          <w:rtl/>
        </w:rPr>
        <w:sectPr w:rsidR="00392DBB" w:rsidRPr="007A3469" w:rsidSect="00A347B3">
          <w:headerReference w:type="default" r:id="rId44"/>
          <w:footnotePr>
            <w:numRestart w:val="eachSect"/>
          </w:footnotePr>
          <w:pgSz w:w="11906" w:h="16838"/>
          <w:pgMar w:top="720" w:right="1134" w:bottom="720" w:left="1134" w:header="0" w:footer="0" w:gutter="0"/>
          <w:cols w:space="720"/>
          <w:bidi/>
          <w:rtlGutter/>
          <w:docGrid w:linePitch="360"/>
        </w:sectPr>
      </w:pPr>
      <w:r>
        <w:rPr>
          <w:rFonts w:cs="Arial"/>
          <w:rtl/>
        </w:rPr>
        <w:t>הוציאה גט וכתובה אחר מיתת הבעל, אם גט קודם לכתובה, גובה בגט זה עיקר כתובה, אם אין דרכם לכתוב כתובה, וגובה כל מה שיש בכתובתה זו, שהרי זכתה בה במיתתו. ואם כתובה קדמה את הגט, אין לה אלא כתובה אחת, שעל דעת כתובתה הראשונה החזירה.</w:t>
      </w:r>
    </w:p>
    <w:p w14:paraId="58BFB0BD" w14:textId="77777777" w:rsidR="00392DBB" w:rsidRDefault="00392DBB" w:rsidP="00392DBB">
      <w:pPr>
        <w:pStyle w:val="1"/>
        <w:rPr>
          <w:rtl/>
        </w:rPr>
      </w:pPr>
      <w:r>
        <w:rPr>
          <w:rFonts w:hint="cs"/>
          <w:rtl/>
        </w:rPr>
        <w:lastRenderedPageBreak/>
        <w:t>סימן קא:</w:t>
      </w:r>
      <w:r w:rsidRPr="00C12B74">
        <w:rPr>
          <w:rtl/>
        </w:rPr>
        <w:t xml:space="preserve"> </w:t>
      </w:r>
      <w:r>
        <w:rPr>
          <w:rFonts w:cs="Arial"/>
          <w:rtl/>
        </w:rPr>
        <w:t xml:space="preserve">עד כמה גובה כתובתה, ובו ד' סעיפים. </w:t>
      </w:r>
    </w:p>
    <w:p w14:paraId="4CEC1A07" w14:textId="77777777" w:rsidR="00392DBB" w:rsidRDefault="00392DBB" w:rsidP="000F64D0">
      <w:pPr>
        <w:pStyle w:val="2"/>
        <w:rPr>
          <w:rtl/>
        </w:rPr>
      </w:pPr>
      <w:r>
        <w:rPr>
          <w:rtl/>
        </w:rPr>
        <w:t>סעיף א</w:t>
      </w:r>
      <w:r>
        <w:rPr>
          <w:rFonts w:hint="cs"/>
          <w:rtl/>
        </w:rPr>
        <w:t>:</w:t>
      </w:r>
      <w:r w:rsidRPr="00BA48F0">
        <w:rPr>
          <w:rFonts w:hint="cs"/>
          <w:rtl/>
        </w:rPr>
        <w:t xml:space="preserve"> </w:t>
      </w:r>
      <w:r>
        <w:rPr>
          <w:rFonts w:hint="cs"/>
          <w:rtl/>
        </w:rPr>
        <w:t>עד מתי יכולה האלמנה לגבות כתובתה.</w:t>
      </w:r>
    </w:p>
    <w:p w14:paraId="18AF5071" w14:textId="7E9ED458" w:rsidR="00392DBB" w:rsidRDefault="00392DBB" w:rsidP="00392DBB">
      <w:pPr>
        <w:rPr>
          <w:rtl/>
        </w:rPr>
      </w:pPr>
      <w:r w:rsidRPr="00E14BD0">
        <w:rPr>
          <w:rFonts w:cs="Arial"/>
          <w:b/>
          <w:bCs/>
          <w:rtl/>
        </w:rPr>
        <w:t xml:space="preserve">כתובות </w:t>
      </w:r>
      <w:r w:rsidRPr="00E14BD0">
        <w:rPr>
          <w:rFonts w:cs="Arial" w:hint="cs"/>
          <w:b/>
          <w:bCs/>
          <w:sz w:val="16"/>
          <w:szCs w:val="16"/>
          <w:rtl/>
        </w:rPr>
        <w:t>(ס"</w:t>
      </w:r>
      <w:r w:rsidRPr="00E14BD0">
        <w:rPr>
          <w:rFonts w:cs="Arial"/>
          <w:b/>
          <w:bCs/>
          <w:sz w:val="16"/>
          <w:szCs w:val="16"/>
          <w:rtl/>
        </w:rPr>
        <w:t>פ הנושא</w:t>
      </w:r>
      <w:r w:rsidRPr="00E14BD0">
        <w:rPr>
          <w:rFonts w:cs="Arial" w:hint="cs"/>
          <w:b/>
          <w:bCs/>
          <w:sz w:val="16"/>
          <w:szCs w:val="16"/>
          <w:rtl/>
        </w:rPr>
        <w:t>)</w:t>
      </w:r>
      <w:r w:rsidRPr="00E14BD0">
        <w:rPr>
          <w:rFonts w:cs="Arial" w:hint="cs"/>
          <w:b/>
          <w:bCs/>
          <w:rtl/>
        </w:rPr>
        <w:t xml:space="preserve"> </w:t>
      </w:r>
      <w:r w:rsidRPr="00E14BD0">
        <w:rPr>
          <w:rFonts w:cs="Arial"/>
          <w:b/>
          <w:bCs/>
          <w:rtl/>
        </w:rPr>
        <w:t>קד</w:t>
      </w:r>
      <w:r w:rsidR="00D96B47">
        <w:rPr>
          <w:rStyle w:val="a7"/>
          <w:rFonts w:cs="Arial"/>
          <w:b/>
          <w:bCs/>
          <w:rtl/>
        </w:rPr>
        <w:footnoteReference w:id="2040"/>
      </w:r>
      <w:r w:rsidRPr="00E14BD0">
        <w:rPr>
          <w:rFonts w:cs="Arial" w:hint="cs"/>
          <w:b/>
          <w:bCs/>
          <w:rtl/>
        </w:rPr>
        <w:t xml:space="preserve"> ע"</w:t>
      </w:r>
      <w:r>
        <w:rPr>
          <w:rFonts w:cs="Arial" w:hint="cs"/>
          <w:b/>
          <w:bCs/>
          <w:rtl/>
        </w:rPr>
        <w:t>א</w:t>
      </w:r>
      <w:r w:rsidRPr="00E14BD0">
        <w:rPr>
          <w:rFonts w:cs="Arial"/>
          <w:b/>
          <w:bCs/>
          <w:rtl/>
        </w:rPr>
        <w:t>:</w:t>
      </w:r>
      <w:r w:rsidRPr="00BA48F0">
        <w:rPr>
          <w:rtl/>
        </w:rPr>
        <w:t xml:space="preserve"> </w:t>
      </w:r>
      <w:r w:rsidRPr="00E14BD0">
        <w:rPr>
          <w:rFonts w:cs="Arial"/>
          <w:u w:val="single"/>
          <w:rtl/>
        </w:rPr>
        <w:t>אמר רב נחמן בר יצחק</w:t>
      </w:r>
      <w:r>
        <w:rPr>
          <w:rFonts w:cs="Arial" w:hint="cs"/>
          <w:rtl/>
        </w:rPr>
        <w:t>:</w:t>
      </w:r>
      <w:r w:rsidRPr="00BA48F0">
        <w:rPr>
          <w:rFonts w:cs="Arial"/>
          <w:rtl/>
        </w:rPr>
        <w:t xml:space="preserve"> תני רב יהודה בר קזא במתניתא דבי בר קזא:</w:t>
      </w:r>
      <w:r w:rsidR="00CD55CA">
        <w:rPr>
          <w:rFonts w:cs="Arial" w:hint="cs"/>
          <w:rtl/>
        </w:rPr>
        <w:t xml:space="preserve"> תבעה כתובתה</w:t>
      </w:r>
      <w:r>
        <w:rPr>
          <w:rFonts w:cs="Arial" w:hint="cs"/>
          <w:rtl/>
        </w:rPr>
        <w:t xml:space="preserve"> </w:t>
      </w:r>
      <w:r>
        <w:rPr>
          <w:rFonts w:cs="Arial" w:hint="cs"/>
          <w:sz w:val="14"/>
          <w:szCs w:val="14"/>
          <w:rtl/>
        </w:rPr>
        <w:t xml:space="preserve">(קד:) </w:t>
      </w:r>
      <w:r w:rsidR="00CD55CA">
        <w:rPr>
          <w:rFonts w:cs="Arial" w:hint="cs"/>
          <w:rtl/>
        </w:rPr>
        <w:t>- הרי היא כבתחילה</w:t>
      </w:r>
      <w:r w:rsidR="00CD55CA">
        <w:rPr>
          <w:rStyle w:val="a7"/>
          <w:rFonts w:cs="Arial"/>
          <w:rtl/>
        </w:rPr>
        <w:footnoteReference w:id="2041"/>
      </w:r>
      <w:r w:rsidR="00CD55CA">
        <w:rPr>
          <w:rFonts w:cs="Arial" w:hint="cs"/>
          <w:rtl/>
        </w:rPr>
        <w:t xml:space="preserve">. </w:t>
      </w:r>
      <w:r w:rsidRPr="00E14BD0">
        <w:rPr>
          <w:rFonts w:cs="Arial"/>
          <w:rtl/>
        </w:rPr>
        <w:t xml:space="preserve">ואם היה שטר כתובה יוצא מתחת ידיה - גובה כתובתה לעולם. </w:t>
      </w:r>
    </w:p>
    <w:p w14:paraId="18ADC6FC" w14:textId="77777777" w:rsidR="00392DBB" w:rsidRPr="00BA48F0" w:rsidRDefault="00392DBB" w:rsidP="00392DBB">
      <w:pPr>
        <w:rPr>
          <w:u w:val="single"/>
          <w:rtl/>
        </w:rPr>
      </w:pPr>
      <w:r w:rsidRPr="00BA48F0">
        <w:rPr>
          <w:rFonts w:hint="cs"/>
          <w:u w:val="single"/>
          <w:rtl/>
        </w:rPr>
        <w:t>עד מתי יכולה האשה לגבות כתובתה:</w:t>
      </w:r>
    </w:p>
    <w:p w14:paraId="5DB77368" w14:textId="1A11A8E6" w:rsidR="00392DBB" w:rsidRDefault="00392DBB" w:rsidP="009000E3">
      <w:pPr>
        <w:pStyle w:val="ab"/>
        <w:numPr>
          <w:ilvl w:val="0"/>
          <w:numId w:val="61"/>
        </w:numPr>
      </w:pPr>
      <w:r>
        <w:rPr>
          <w:rFonts w:cs="Arial" w:hint="cs"/>
          <w:rtl/>
        </w:rPr>
        <w:t>רמב"ם</w:t>
      </w:r>
      <w:r>
        <w:rPr>
          <w:rStyle w:val="a7"/>
          <w:rFonts w:cs="Arial"/>
          <w:rtl/>
        </w:rPr>
        <w:footnoteReference w:id="2042"/>
      </w:r>
      <w:r>
        <w:rPr>
          <w:rFonts w:cs="Arial" w:hint="cs"/>
          <w:sz w:val="16"/>
          <w:szCs w:val="16"/>
          <w:rtl/>
        </w:rPr>
        <w:t xml:space="preserve"> (פט"ז מאישות הכ"א)</w:t>
      </w:r>
      <w:r>
        <w:rPr>
          <w:rFonts w:cs="Arial" w:hint="cs"/>
          <w:rtl/>
        </w:rPr>
        <w:t xml:space="preserve"> ו</w:t>
      </w:r>
      <w:r w:rsidRPr="00B97831">
        <w:rPr>
          <w:rFonts w:cs="Arial" w:hint="cs"/>
          <w:rtl/>
        </w:rPr>
        <w:t xml:space="preserve">טור- </w:t>
      </w:r>
      <w:r w:rsidRPr="00B97831">
        <w:rPr>
          <w:rFonts w:cs="Arial"/>
          <w:rtl/>
        </w:rPr>
        <w:t>אלמנה</w:t>
      </w:r>
      <w:r w:rsidR="00CD55CA">
        <w:rPr>
          <w:rFonts w:cs="Arial" w:hint="cs"/>
          <w:rtl/>
        </w:rPr>
        <w:t>,</w:t>
      </w:r>
      <w:r w:rsidRPr="00B97831">
        <w:rPr>
          <w:rFonts w:cs="Arial"/>
          <w:rtl/>
        </w:rPr>
        <w:t xml:space="preserve"> כל זמן ששטר כתובתה בידה </w:t>
      </w:r>
      <w:r w:rsidR="00CD55CA">
        <w:rPr>
          <w:rFonts w:cs="Arial" w:hint="cs"/>
          <w:rtl/>
        </w:rPr>
        <w:t xml:space="preserve">- </w:t>
      </w:r>
      <w:r w:rsidRPr="00B97831">
        <w:rPr>
          <w:rFonts w:cs="Arial"/>
          <w:rtl/>
        </w:rPr>
        <w:t>גובה כתובתה לעולם</w:t>
      </w:r>
      <w:r w:rsidR="00CD55CA">
        <w:rPr>
          <w:rFonts w:cs="Arial" w:hint="cs"/>
          <w:rtl/>
        </w:rPr>
        <w:t>,</w:t>
      </w:r>
      <w:r w:rsidRPr="00B97831">
        <w:rPr>
          <w:rFonts w:cs="Arial"/>
          <w:rtl/>
        </w:rPr>
        <w:t xml:space="preserve"> בין אם נותנין לה מזונות בבית אביה או בבית בעלה</w:t>
      </w:r>
      <w:r w:rsidR="00CD55CA">
        <w:rPr>
          <w:rFonts w:cs="Arial" w:hint="cs"/>
          <w:sz w:val="16"/>
          <w:szCs w:val="16"/>
          <w:rtl/>
        </w:rPr>
        <w:t xml:space="preserve"> (ל' הטור)</w:t>
      </w:r>
      <w:r>
        <w:rPr>
          <w:rStyle w:val="a7"/>
          <w:rFonts w:cs="Arial"/>
          <w:rtl/>
        </w:rPr>
        <w:footnoteReference w:id="2043"/>
      </w:r>
      <w:r>
        <w:rPr>
          <w:rFonts w:cs="Arial" w:hint="cs"/>
          <w:rtl/>
        </w:rPr>
        <w:t>.</w:t>
      </w:r>
      <w:r>
        <w:rPr>
          <w:rFonts w:hint="cs"/>
          <w:rtl/>
        </w:rPr>
        <w:t xml:space="preserve"> </w:t>
      </w:r>
      <w:r w:rsidRPr="007775A3">
        <w:rPr>
          <w:rFonts w:hint="cs"/>
          <w:color w:val="E36C0A" w:themeColor="accent6" w:themeShade="BF"/>
          <w:rtl/>
        </w:rPr>
        <w:t>(וכ"פ בשו"ע)</w:t>
      </w:r>
    </w:p>
    <w:p w14:paraId="61D35005" w14:textId="77777777" w:rsidR="00392DBB" w:rsidRDefault="00392DBB" w:rsidP="00392DBB">
      <w:pPr>
        <w:rPr>
          <w:rtl/>
        </w:rPr>
      </w:pPr>
      <w:r w:rsidRPr="00797A58">
        <w:rPr>
          <w:rFonts w:cs="Arial" w:hint="cs"/>
          <w:b/>
          <w:bCs/>
          <w:rtl/>
        </w:rPr>
        <w:t xml:space="preserve">גיטין </w:t>
      </w:r>
      <w:r w:rsidRPr="00797A58">
        <w:rPr>
          <w:rFonts w:cs="Arial" w:hint="cs"/>
          <w:b/>
          <w:bCs/>
          <w:sz w:val="16"/>
          <w:szCs w:val="16"/>
          <w:rtl/>
        </w:rPr>
        <w:t>(פ' השולח)</w:t>
      </w:r>
      <w:r w:rsidRPr="00797A58">
        <w:rPr>
          <w:rFonts w:cs="Arial" w:hint="cs"/>
          <w:b/>
          <w:bCs/>
          <w:rtl/>
        </w:rPr>
        <w:t xml:space="preserve"> לד ע"ב:</w:t>
      </w:r>
      <w:r>
        <w:rPr>
          <w:rFonts w:cs="Arial" w:hint="cs"/>
          <w:rtl/>
        </w:rPr>
        <w:t xml:space="preserve"> </w:t>
      </w:r>
      <w:r w:rsidRPr="00797A58">
        <w:rPr>
          <w:rFonts w:cs="Arial"/>
          <w:u w:val="double"/>
          <w:rtl/>
        </w:rPr>
        <w:t>מתני'</w:t>
      </w:r>
      <w:r>
        <w:rPr>
          <w:rFonts w:cs="Arial" w:hint="cs"/>
          <w:rtl/>
        </w:rPr>
        <w:t>:</w:t>
      </w:r>
      <w:r w:rsidRPr="00797A58">
        <w:rPr>
          <w:rFonts w:cs="Arial"/>
          <w:rtl/>
        </w:rPr>
        <w:t xml:space="preserve"> אין אלמנה נפרעת מנכסי יתומים אלא בשבועה</w:t>
      </w:r>
      <w:r>
        <w:rPr>
          <w:rStyle w:val="a7"/>
          <w:rFonts w:cs="Arial"/>
          <w:rtl/>
        </w:rPr>
        <w:footnoteReference w:id="2044"/>
      </w:r>
      <w:r w:rsidRPr="00797A58">
        <w:rPr>
          <w:rFonts w:cs="Arial"/>
          <w:rtl/>
        </w:rPr>
        <w:t>. נמנעו מלהשביעה</w:t>
      </w:r>
      <w:r>
        <w:rPr>
          <w:rStyle w:val="a7"/>
          <w:rFonts w:cs="Arial"/>
          <w:rtl/>
        </w:rPr>
        <w:footnoteReference w:id="2045"/>
      </w:r>
      <w:r w:rsidRPr="00797A58">
        <w:rPr>
          <w:rFonts w:cs="Arial"/>
          <w:rtl/>
        </w:rPr>
        <w:t>, התקין ר"ג הזקן, שתהא נודרת ליתומים כל מה שירצו</w:t>
      </w:r>
      <w:r>
        <w:rPr>
          <w:rStyle w:val="a7"/>
          <w:rFonts w:cs="Arial"/>
          <w:rtl/>
        </w:rPr>
        <w:footnoteReference w:id="2046"/>
      </w:r>
      <w:r w:rsidRPr="00797A58">
        <w:rPr>
          <w:rFonts w:cs="Arial"/>
          <w:rtl/>
        </w:rPr>
        <w:t xml:space="preserve"> וגובה כתובתה.</w:t>
      </w:r>
      <w:r w:rsidRPr="00797A58">
        <w:rPr>
          <w:rtl/>
        </w:rPr>
        <w:t xml:space="preserve"> </w:t>
      </w:r>
      <w:r>
        <w:rPr>
          <w:rFonts w:hint="cs"/>
          <w:rtl/>
        </w:rPr>
        <w:t xml:space="preserve">       </w:t>
      </w:r>
      <w:r w:rsidRPr="00797A58">
        <w:rPr>
          <w:rFonts w:hint="cs"/>
          <w:u w:val="double"/>
          <w:rtl/>
        </w:rPr>
        <w:t>גמ'</w:t>
      </w:r>
      <w:r>
        <w:rPr>
          <w:rFonts w:hint="cs"/>
          <w:sz w:val="14"/>
          <w:szCs w:val="14"/>
          <w:u w:val="double"/>
          <w:rtl/>
        </w:rPr>
        <w:t>(לה:)</w:t>
      </w:r>
      <w:r w:rsidRPr="00797A58">
        <w:rPr>
          <w:rFonts w:hint="cs"/>
          <w:u w:val="double"/>
          <w:rtl/>
        </w:rPr>
        <w:t>:</w:t>
      </w:r>
      <w:r>
        <w:rPr>
          <w:rFonts w:hint="cs"/>
          <w:rtl/>
        </w:rPr>
        <w:t xml:space="preserve"> </w:t>
      </w:r>
      <w:r w:rsidRPr="00797A58">
        <w:rPr>
          <w:rFonts w:cs="Arial"/>
          <w:rtl/>
        </w:rPr>
        <w:t xml:space="preserve">התקין רבן גמליאל הזקן שתהא נודרת כו'. </w:t>
      </w:r>
      <w:r w:rsidRPr="00797A58">
        <w:rPr>
          <w:rFonts w:cs="Arial"/>
          <w:u w:val="single"/>
          <w:rtl/>
        </w:rPr>
        <w:t>אמר רב הונא</w:t>
      </w:r>
      <w:r w:rsidRPr="00797A58">
        <w:rPr>
          <w:rFonts w:cs="Arial"/>
          <w:rtl/>
        </w:rPr>
        <w:t>: לא שנו אלא בשלא ניסת, אבל ניסת - אין מדירין אותה. ניסת מאי טעמא? דמיפר לה בעל, כי לא ניסת נמי, לכי מנסבא מיפר לה בעל! אין הבעל מיפר בקודמין.</w:t>
      </w:r>
      <w:r w:rsidRPr="009B79F0">
        <w:rPr>
          <w:rFonts w:cs="Arial"/>
          <w:rtl/>
        </w:rPr>
        <w:t xml:space="preserve"> </w:t>
      </w:r>
      <w:r w:rsidRPr="009B79F0">
        <w:rPr>
          <w:rFonts w:cs="Arial" w:hint="cs"/>
          <w:sz w:val="16"/>
          <w:szCs w:val="16"/>
          <w:rtl/>
        </w:rPr>
        <w:t>(</w:t>
      </w:r>
      <w:r w:rsidRPr="009B79F0">
        <w:rPr>
          <w:rFonts w:cs="Arial"/>
          <w:sz w:val="16"/>
          <w:szCs w:val="16"/>
          <w:rtl/>
        </w:rPr>
        <w:t>ומשמע הא שבועה דאין הבעל יכול להפר שפיר דמי</w:t>
      </w:r>
      <w:r>
        <w:rPr>
          <w:rFonts w:cs="Arial" w:hint="cs"/>
          <w:sz w:val="16"/>
          <w:szCs w:val="16"/>
          <w:rtl/>
        </w:rPr>
        <w:t>, ב"י)</w:t>
      </w:r>
      <w:r>
        <w:rPr>
          <w:rFonts w:hint="cs"/>
          <w:rtl/>
        </w:rPr>
        <w:t xml:space="preserve"> </w:t>
      </w:r>
    </w:p>
    <w:p w14:paraId="02B1B799" w14:textId="77777777" w:rsidR="00392DBB" w:rsidRPr="003D4955" w:rsidRDefault="00392DBB" w:rsidP="00392DBB">
      <w:pPr>
        <w:rPr>
          <w:u w:val="single"/>
        </w:rPr>
      </w:pPr>
      <w:r w:rsidRPr="003D4955">
        <w:rPr>
          <w:rFonts w:hint="cs"/>
          <w:u w:val="single"/>
          <w:rtl/>
        </w:rPr>
        <w:t xml:space="preserve">אשה </w:t>
      </w:r>
      <w:r>
        <w:rPr>
          <w:rFonts w:hint="cs"/>
          <w:u w:val="single"/>
          <w:rtl/>
        </w:rPr>
        <w:t>ש</w:t>
      </w:r>
      <w:r w:rsidRPr="003D4955">
        <w:rPr>
          <w:rFonts w:hint="cs"/>
          <w:u w:val="single"/>
          <w:rtl/>
        </w:rPr>
        <w:t>נשאת</w:t>
      </w:r>
      <w:r>
        <w:rPr>
          <w:rFonts w:hint="cs"/>
          <w:u w:val="single"/>
          <w:rtl/>
        </w:rPr>
        <w:t xml:space="preserve"> לפני שגבתה כתובתה</w:t>
      </w:r>
      <w:r w:rsidRPr="003D4955">
        <w:rPr>
          <w:rFonts w:hint="cs"/>
          <w:u w:val="single"/>
          <w:rtl/>
        </w:rPr>
        <w:t>:</w:t>
      </w:r>
    </w:p>
    <w:p w14:paraId="76DD0BA5" w14:textId="7F8625F7" w:rsidR="00392DBB" w:rsidRPr="000729CE" w:rsidRDefault="00392DBB" w:rsidP="009000E3">
      <w:pPr>
        <w:pStyle w:val="ab"/>
        <w:numPr>
          <w:ilvl w:val="0"/>
          <w:numId w:val="61"/>
        </w:numPr>
      </w:pPr>
      <w:r>
        <w:rPr>
          <w:rFonts w:cs="Arial" w:hint="cs"/>
          <w:rtl/>
        </w:rPr>
        <w:t>רא"ש</w:t>
      </w:r>
      <w:r>
        <w:rPr>
          <w:rFonts w:cs="Arial" w:hint="cs"/>
          <w:sz w:val="16"/>
          <w:szCs w:val="16"/>
          <w:rtl/>
        </w:rPr>
        <w:t xml:space="preserve"> (כלל לו סי' ב)</w:t>
      </w:r>
      <w:r>
        <w:rPr>
          <w:rFonts w:cs="Arial" w:hint="cs"/>
          <w:rtl/>
        </w:rPr>
        <w:t xml:space="preserve">- גובה </w:t>
      </w:r>
      <w:r w:rsidRPr="00B97831">
        <w:rPr>
          <w:rFonts w:cs="Arial"/>
          <w:rtl/>
        </w:rPr>
        <w:t>אפי' אחר שתינשא</w:t>
      </w:r>
      <w:r>
        <w:rPr>
          <w:rFonts w:cs="Arial" w:hint="cs"/>
          <w:rtl/>
        </w:rPr>
        <w:t>,</w:t>
      </w:r>
      <w:r w:rsidRPr="00B97831">
        <w:rPr>
          <w:rFonts w:cs="Arial"/>
          <w:rtl/>
        </w:rPr>
        <w:t xml:space="preserve"> ונשבעת אע</w:t>
      </w:r>
      <w:r w:rsidR="00CD1329">
        <w:rPr>
          <w:rFonts w:cs="Arial" w:hint="cs"/>
          <w:rtl/>
        </w:rPr>
        <w:t>"</w:t>
      </w:r>
      <w:r w:rsidRPr="00B97831">
        <w:rPr>
          <w:rFonts w:cs="Arial"/>
          <w:rtl/>
        </w:rPr>
        <w:t>פ שהיא נשואה</w:t>
      </w:r>
      <w:r>
        <w:rPr>
          <w:rFonts w:cs="Arial" w:hint="cs"/>
          <w:sz w:val="16"/>
          <w:szCs w:val="16"/>
          <w:rtl/>
        </w:rPr>
        <w:t xml:space="preserve"> (ל' הטור בשמו)</w:t>
      </w:r>
      <w:r>
        <w:rPr>
          <w:rFonts w:cs="Arial" w:hint="cs"/>
          <w:rtl/>
        </w:rPr>
        <w:t>.</w:t>
      </w:r>
      <w:r w:rsidRPr="00B97831">
        <w:rPr>
          <w:rFonts w:cs="Arial"/>
          <w:rtl/>
        </w:rPr>
        <w:t xml:space="preserve"> </w:t>
      </w:r>
      <w:r w:rsidRPr="007775A3">
        <w:rPr>
          <w:rFonts w:hint="cs"/>
          <w:color w:val="E36C0A" w:themeColor="accent6" w:themeShade="BF"/>
          <w:rtl/>
        </w:rPr>
        <w:t>(וכ"פ בשו"ע)</w:t>
      </w:r>
    </w:p>
    <w:p w14:paraId="1914B973" w14:textId="77777777" w:rsidR="00392DBB" w:rsidRDefault="00392DBB" w:rsidP="009000E3">
      <w:pPr>
        <w:pStyle w:val="ab"/>
        <w:numPr>
          <w:ilvl w:val="0"/>
          <w:numId w:val="61"/>
        </w:numPr>
      </w:pPr>
      <w:r>
        <w:rPr>
          <w:rFonts w:cs="Arial"/>
          <w:rtl/>
        </w:rPr>
        <w:t xml:space="preserve">בעל התרומות </w:t>
      </w:r>
      <w:r w:rsidRPr="00E14BD0">
        <w:rPr>
          <w:rFonts w:cs="Arial"/>
          <w:sz w:val="16"/>
          <w:szCs w:val="16"/>
          <w:rtl/>
        </w:rPr>
        <w:t>(שער יד חלק א דין א)</w:t>
      </w:r>
      <w:r>
        <w:rPr>
          <w:rFonts w:cs="Arial"/>
          <w:rtl/>
        </w:rPr>
        <w:t xml:space="preserve"> ובהעי</w:t>
      </w:r>
      <w:r>
        <w:rPr>
          <w:rFonts w:cs="Arial" w:hint="cs"/>
          <w:rtl/>
        </w:rPr>
        <w:t>"</w:t>
      </w:r>
      <w:r>
        <w:rPr>
          <w:rFonts w:cs="Arial"/>
          <w:rtl/>
        </w:rPr>
        <w:t xml:space="preserve">ט </w:t>
      </w:r>
      <w:r w:rsidRPr="00E14BD0">
        <w:rPr>
          <w:rFonts w:cs="Arial"/>
          <w:sz w:val="16"/>
          <w:szCs w:val="16"/>
          <w:rtl/>
        </w:rPr>
        <w:t>(חלק א אות כ כתובות לה ע"ב)</w:t>
      </w:r>
      <w:r>
        <w:rPr>
          <w:rFonts w:cs="Arial" w:hint="cs"/>
          <w:rtl/>
        </w:rPr>
        <w:t xml:space="preserve">- </w:t>
      </w:r>
      <w:r w:rsidRPr="00B97831">
        <w:rPr>
          <w:rFonts w:cs="Arial"/>
          <w:rtl/>
        </w:rPr>
        <w:t>אם נשאת שוב אינה נאמנת ואין נותנין לה אא"כ תביא עדים שלא קבלתה</w:t>
      </w:r>
      <w:r>
        <w:rPr>
          <w:rFonts w:cs="Arial" w:hint="cs"/>
          <w:sz w:val="16"/>
          <w:szCs w:val="16"/>
          <w:rtl/>
        </w:rPr>
        <w:t xml:space="preserve"> (ל' הטור בשם בעל התרומות)</w:t>
      </w:r>
      <w:r>
        <w:rPr>
          <w:rFonts w:cs="Arial" w:hint="cs"/>
          <w:rtl/>
        </w:rPr>
        <w:t>.</w:t>
      </w:r>
    </w:p>
    <w:p w14:paraId="4B1B2899" w14:textId="73A0E7E1" w:rsidR="00392DBB" w:rsidRPr="00371719" w:rsidRDefault="00392DBB" w:rsidP="00392DBB">
      <w:pPr>
        <w:ind w:left="360"/>
        <w:rPr>
          <w:sz w:val="16"/>
          <w:szCs w:val="16"/>
        </w:rPr>
      </w:pPr>
      <w:r w:rsidRPr="00371719">
        <w:rPr>
          <w:rFonts w:hint="cs"/>
          <w:u w:val="dotted"/>
          <w:rtl/>
        </w:rPr>
        <w:t xml:space="preserve">לרא"ש וסיעתו </w:t>
      </w:r>
      <w:r w:rsidR="00F97626">
        <w:rPr>
          <w:u w:val="dotted"/>
          <w:rtl/>
        </w:rPr>
        <w:t>-</w:t>
      </w:r>
      <w:r w:rsidRPr="00371719">
        <w:rPr>
          <w:rFonts w:hint="cs"/>
          <w:u w:val="dotted"/>
          <w:rtl/>
        </w:rPr>
        <w:t xml:space="preserve"> האם האשה גובה גם מנכסי יתומים קטנים:</w:t>
      </w:r>
      <w:r>
        <w:rPr>
          <w:rFonts w:hint="cs"/>
          <w:sz w:val="16"/>
          <w:szCs w:val="16"/>
          <w:rtl/>
        </w:rPr>
        <w:t xml:space="preserve">  (דרכ"מ אות א)</w:t>
      </w:r>
    </w:p>
    <w:p w14:paraId="6BF15BC8" w14:textId="77777777" w:rsidR="00392DBB" w:rsidRPr="00371719" w:rsidRDefault="00392DBB" w:rsidP="009000E3">
      <w:pPr>
        <w:pStyle w:val="ab"/>
        <w:numPr>
          <w:ilvl w:val="0"/>
          <w:numId w:val="61"/>
        </w:numPr>
      </w:pPr>
      <w:r w:rsidRPr="00B97831">
        <w:rPr>
          <w:rFonts w:cs="Arial"/>
          <w:rtl/>
        </w:rPr>
        <w:t xml:space="preserve">רא"ש </w:t>
      </w:r>
      <w:r w:rsidRPr="00371719">
        <w:rPr>
          <w:rFonts w:cs="Arial" w:hint="cs"/>
          <w:sz w:val="16"/>
          <w:szCs w:val="16"/>
          <w:rtl/>
        </w:rPr>
        <w:t>(</w:t>
      </w:r>
      <w:r w:rsidRPr="00371719">
        <w:rPr>
          <w:rFonts w:cs="Arial"/>
          <w:sz w:val="16"/>
          <w:szCs w:val="16"/>
          <w:rtl/>
        </w:rPr>
        <w:t>סי</w:t>
      </w:r>
      <w:r w:rsidRPr="00371719">
        <w:rPr>
          <w:rFonts w:cs="Arial" w:hint="cs"/>
          <w:sz w:val="16"/>
          <w:szCs w:val="16"/>
          <w:rtl/>
        </w:rPr>
        <w:t>'</w:t>
      </w:r>
      <w:r w:rsidRPr="00371719">
        <w:rPr>
          <w:rFonts w:cs="Arial"/>
          <w:sz w:val="16"/>
          <w:szCs w:val="16"/>
          <w:rtl/>
        </w:rPr>
        <w:t xml:space="preserve"> א כלל פה</w:t>
      </w:r>
      <w:r w:rsidRPr="00371719">
        <w:rPr>
          <w:rFonts w:cs="Arial" w:hint="cs"/>
          <w:sz w:val="16"/>
          <w:szCs w:val="16"/>
          <w:rtl/>
        </w:rPr>
        <w:t>)</w:t>
      </w:r>
      <w:r>
        <w:rPr>
          <w:rFonts w:cs="Arial" w:hint="cs"/>
          <w:rtl/>
        </w:rPr>
        <w:t>-</w:t>
      </w:r>
      <w:r w:rsidRPr="00B97831">
        <w:rPr>
          <w:rFonts w:cs="Arial"/>
          <w:rtl/>
        </w:rPr>
        <w:t xml:space="preserve"> אפילו לאחר שנשאה גובאת כתובתה אפילו מיתומים קטנים</w:t>
      </w:r>
      <w:r>
        <w:rPr>
          <w:rFonts w:cs="Arial" w:hint="cs"/>
          <w:sz w:val="16"/>
          <w:szCs w:val="16"/>
          <w:rtl/>
        </w:rPr>
        <w:t xml:space="preserve"> (ל' הדרכ"מ בשמו)</w:t>
      </w:r>
      <w:r>
        <w:rPr>
          <w:rFonts w:cs="Arial" w:hint="cs"/>
          <w:rtl/>
        </w:rPr>
        <w:t>.</w:t>
      </w:r>
      <w:r w:rsidRPr="00B97831">
        <w:rPr>
          <w:rFonts w:cs="Arial"/>
          <w:rtl/>
        </w:rPr>
        <w:t xml:space="preserve"> </w:t>
      </w:r>
    </w:p>
    <w:p w14:paraId="255AFE92" w14:textId="5A2DA0C9" w:rsidR="00392DBB" w:rsidRDefault="00392DBB" w:rsidP="009000E3">
      <w:pPr>
        <w:pStyle w:val="ab"/>
        <w:numPr>
          <w:ilvl w:val="0"/>
          <w:numId w:val="61"/>
        </w:numPr>
      </w:pPr>
      <w:r w:rsidRPr="00B97831">
        <w:rPr>
          <w:rFonts w:cs="Arial"/>
          <w:rtl/>
        </w:rPr>
        <w:t xml:space="preserve">רמב"ם </w:t>
      </w:r>
      <w:r w:rsidRPr="00371719">
        <w:rPr>
          <w:rFonts w:cs="Arial" w:hint="cs"/>
          <w:sz w:val="16"/>
          <w:szCs w:val="16"/>
          <w:rtl/>
        </w:rPr>
        <w:t>(</w:t>
      </w:r>
      <w:r w:rsidRPr="00371719">
        <w:rPr>
          <w:rFonts w:cs="Arial"/>
          <w:sz w:val="16"/>
          <w:szCs w:val="16"/>
          <w:rtl/>
        </w:rPr>
        <w:t>פי"ב מהל</w:t>
      </w:r>
      <w:r w:rsidRPr="00371719">
        <w:rPr>
          <w:rFonts w:cs="Arial" w:hint="cs"/>
          <w:sz w:val="16"/>
          <w:szCs w:val="16"/>
          <w:rtl/>
        </w:rPr>
        <w:t>'</w:t>
      </w:r>
      <w:r w:rsidRPr="00371719">
        <w:rPr>
          <w:rFonts w:cs="Arial"/>
          <w:sz w:val="16"/>
          <w:szCs w:val="16"/>
          <w:rtl/>
        </w:rPr>
        <w:t xml:space="preserve"> מלוה ולוה ה"ג)</w:t>
      </w:r>
      <w:r>
        <w:rPr>
          <w:rFonts w:cs="Arial" w:hint="cs"/>
          <w:rtl/>
        </w:rPr>
        <w:t>-</w:t>
      </w:r>
      <w:r w:rsidRPr="00B97831">
        <w:rPr>
          <w:rFonts w:cs="Arial"/>
          <w:rtl/>
        </w:rPr>
        <w:t xml:space="preserve"> </w:t>
      </w:r>
      <w:r w:rsidRPr="0040053F">
        <w:rPr>
          <w:rFonts w:cs="Arial"/>
          <w:rtl/>
        </w:rPr>
        <w:t xml:space="preserve">וכן אשה שתבעה כתובתה בין אלמנה בין גרושה מעמידים להם אפוטרופוס ונזקקין משום חן האשה כדי שיהיה לה כלום שתנשא בו האשה לאחר, לפיכך אם קפצה האשה ונשאת ואחר כך באת לתבוע כתובתה מנכסי יתומים </w:t>
      </w:r>
      <w:r w:rsidR="00EF1D77">
        <w:rPr>
          <w:rFonts w:cs="Arial" w:hint="cs"/>
          <w:rtl/>
        </w:rPr>
        <w:t xml:space="preserve">- </w:t>
      </w:r>
      <w:r w:rsidRPr="0040053F">
        <w:rPr>
          <w:rFonts w:cs="Arial"/>
          <w:rtl/>
        </w:rPr>
        <w:t>אין נזקקין לה עד שיגדלו היתומים שהרי אין לה מזונות והרי נשאת</w:t>
      </w:r>
      <w:r>
        <w:rPr>
          <w:rStyle w:val="a7"/>
          <w:rFonts w:cs="Arial"/>
          <w:rtl/>
        </w:rPr>
        <w:footnoteReference w:id="2047"/>
      </w:r>
      <w:r>
        <w:rPr>
          <w:rFonts w:cs="Arial" w:hint="cs"/>
          <w:rtl/>
        </w:rPr>
        <w:t>.</w:t>
      </w:r>
      <w:r w:rsidRPr="00B97831">
        <w:rPr>
          <w:rFonts w:cs="Arial"/>
          <w:rtl/>
        </w:rPr>
        <w:t xml:space="preserve"> </w:t>
      </w:r>
    </w:p>
    <w:p w14:paraId="2EE4E4B5" w14:textId="4D328B3F" w:rsidR="00392DBB" w:rsidRPr="003D4955" w:rsidRDefault="00392DBB" w:rsidP="00392DBB">
      <w:pPr>
        <w:rPr>
          <w:rFonts w:cs="Arial"/>
          <w:rtl/>
        </w:rPr>
      </w:pPr>
      <w:r w:rsidRPr="003D4955">
        <w:rPr>
          <w:rFonts w:cs="Arial" w:hint="cs"/>
          <w:b/>
          <w:bCs/>
          <w:rtl/>
        </w:rPr>
        <w:t xml:space="preserve">כתובות </w:t>
      </w:r>
      <w:r w:rsidRPr="003D4955">
        <w:rPr>
          <w:rFonts w:cs="Arial" w:hint="cs"/>
          <w:b/>
          <w:bCs/>
          <w:sz w:val="16"/>
          <w:szCs w:val="16"/>
          <w:rtl/>
        </w:rPr>
        <w:t>(ר"פ אע"פ)</w:t>
      </w:r>
      <w:r w:rsidRPr="003D4955">
        <w:rPr>
          <w:rFonts w:cs="Arial" w:hint="cs"/>
          <w:b/>
          <w:bCs/>
          <w:rtl/>
        </w:rPr>
        <w:t xml:space="preserve"> נד</w:t>
      </w:r>
      <w:r w:rsidR="00F7421F">
        <w:rPr>
          <w:rStyle w:val="a7"/>
          <w:rFonts w:cs="Arial"/>
          <w:b/>
          <w:bCs/>
          <w:rtl/>
        </w:rPr>
        <w:footnoteReference w:id="2048"/>
      </w:r>
      <w:r w:rsidRPr="003D4955">
        <w:rPr>
          <w:rFonts w:cs="Arial" w:hint="cs"/>
          <w:b/>
          <w:bCs/>
          <w:rtl/>
        </w:rPr>
        <w:t xml:space="preserve"> ע"ב: </w:t>
      </w:r>
      <w:r w:rsidRPr="003D4955">
        <w:rPr>
          <w:rFonts w:cs="Arial"/>
          <w:u w:val="single"/>
          <w:rtl/>
        </w:rPr>
        <w:t>דאמר ר' איבו אמר רבי ינאי</w:t>
      </w:r>
      <w:r w:rsidRPr="003D4955">
        <w:rPr>
          <w:rFonts w:cs="Arial"/>
          <w:rtl/>
        </w:rPr>
        <w:t xml:space="preserve">: תנאי כתובה ככתובה דמי. נפקא מינה למוכרת, ולמוחלת, למורדת, ולפוגמת, לתובעת, ולעוברת על דת, </w:t>
      </w:r>
      <w:r w:rsidRPr="003D4955">
        <w:rPr>
          <w:rFonts w:cs="Arial" w:hint="cs"/>
          <w:sz w:val="14"/>
          <w:szCs w:val="14"/>
          <w:rtl/>
        </w:rPr>
        <w:t xml:space="preserve">(נה.) </w:t>
      </w:r>
      <w:r w:rsidRPr="003D4955">
        <w:rPr>
          <w:rFonts w:cs="Arial"/>
          <w:rtl/>
        </w:rPr>
        <w:t>לשבח, לשבועה, ולשביעית</w:t>
      </w:r>
      <w:r>
        <w:rPr>
          <w:rStyle w:val="a7"/>
          <w:rFonts w:cs="Arial"/>
          <w:rtl/>
        </w:rPr>
        <w:footnoteReference w:id="2049"/>
      </w:r>
      <w:r w:rsidRPr="003D4955">
        <w:rPr>
          <w:rFonts w:cs="Arial" w:hint="cs"/>
          <w:rtl/>
        </w:rPr>
        <w:t>...</w:t>
      </w:r>
    </w:p>
    <w:p w14:paraId="1E26BA0A" w14:textId="446F6F56" w:rsidR="00392DBB" w:rsidRPr="003D4955" w:rsidRDefault="00392DBB" w:rsidP="00392DBB">
      <w:pPr>
        <w:rPr>
          <w:rFonts w:cs="Arial"/>
        </w:rPr>
      </w:pPr>
      <w:r w:rsidRPr="003D4955">
        <w:rPr>
          <w:rFonts w:cs="Arial"/>
          <w:b/>
          <w:bCs/>
          <w:rtl/>
        </w:rPr>
        <w:lastRenderedPageBreak/>
        <w:t xml:space="preserve">גיטין </w:t>
      </w:r>
      <w:r w:rsidRPr="003D4955">
        <w:rPr>
          <w:rFonts w:cs="Arial"/>
          <w:b/>
          <w:bCs/>
          <w:sz w:val="16"/>
          <w:szCs w:val="16"/>
          <w:rtl/>
        </w:rPr>
        <w:t>(</w:t>
      </w:r>
      <w:r w:rsidRPr="003D4955">
        <w:rPr>
          <w:rFonts w:cs="Arial" w:hint="cs"/>
          <w:b/>
          <w:bCs/>
          <w:sz w:val="16"/>
          <w:szCs w:val="16"/>
          <w:rtl/>
        </w:rPr>
        <w:t xml:space="preserve">פ"ב) </w:t>
      </w:r>
      <w:r w:rsidRPr="003D4955">
        <w:rPr>
          <w:rFonts w:cs="Arial"/>
          <w:b/>
          <w:bCs/>
          <w:rtl/>
        </w:rPr>
        <w:t>יח</w:t>
      </w:r>
      <w:r w:rsidR="00D96B47">
        <w:rPr>
          <w:rStyle w:val="a7"/>
          <w:rFonts w:cs="Arial"/>
          <w:b/>
          <w:bCs/>
          <w:rtl/>
        </w:rPr>
        <w:footnoteReference w:id="2050"/>
      </w:r>
      <w:r w:rsidRPr="003D4955">
        <w:rPr>
          <w:rFonts w:cs="Arial" w:hint="cs"/>
          <w:b/>
          <w:bCs/>
          <w:rtl/>
        </w:rPr>
        <w:t xml:space="preserve"> ע"א:</w:t>
      </w:r>
      <w:r w:rsidRPr="003D4955">
        <w:rPr>
          <w:rFonts w:cs="Arial"/>
          <w:rtl/>
        </w:rPr>
        <w:t xml:space="preserve"> איתמר: מאימתי כתובה משמטת? </w:t>
      </w:r>
      <w:r w:rsidRPr="003D4955">
        <w:rPr>
          <w:rFonts w:cs="Arial"/>
          <w:u w:val="single"/>
          <w:rtl/>
        </w:rPr>
        <w:t>רב אמר</w:t>
      </w:r>
      <w:r w:rsidRPr="003D4955">
        <w:rPr>
          <w:rFonts w:cs="Arial"/>
          <w:rtl/>
        </w:rPr>
        <w:t>: משתפגום</w:t>
      </w:r>
      <w:r>
        <w:rPr>
          <w:rStyle w:val="a7"/>
          <w:rFonts w:cs="Arial"/>
          <w:rtl/>
        </w:rPr>
        <w:footnoteReference w:id="2051"/>
      </w:r>
      <w:r w:rsidRPr="003D4955">
        <w:rPr>
          <w:rFonts w:cs="Arial"/>
          <w:rtl/>
        </w:rPr>
        <w:t xml:space="preserve"> ותזקוף</w:t>
      </w:r>
      <w:r>
        <w:rPr>
          <w:rStyle w:val="a7"/>
          <w:rFonts w:cs="Arial"/>
          <w:rtl/>
        </w:rPr>
        <w:footnoteReference w:id="2052"/>
      </w:r>
      <w:r w:rsidRPr="003D4955">
        <w:rPr>
          <w:rFonts w:cs="Arial" w:hint="cs"/>
          <w:rtl/>
        </w:rPr>
        <w:t>.</w:t>
      </w:r>
      <w:r w:rsidRPr="003D4955">
        <w:rPr>
          <w:rFonts w:cs="Arial"/>
          <w:rtl/>
        </w:rPr>
        <w:t xml:space="preserve"> </w:t>
      </w:r>
      <w:r w:rsidRPr="003D4955">
        <w:rPr>
          <w:rFonts w:cs="Arial"/>
          <w:u w:val="single"/>
          <w:rtl/>
        </w:rPr>
        <w:t>ושמואל אמר</w:t>
      </w:r>
      <w:r w:rsidRPr="003D4955">
        <w:rPr>
          <w:rFonts w:cs="Arial"/>
          <w:rtl/>
        </w:rPr>
        <w:t>: פגמה</w:t>
      </w:r>
      <w:r>
        <w:rPr>
          <w:rStyle w:val="a7"/>
          <w:rFonts w:cs="Arial"/>
          <w:rtl/>
        </w:rPr>
        <w:footnoteReference w:id="2053"/>
      </w:r>
      <w:r w:rsidRPr="003D4955">
        <w:rPr>
          <w:rFonts w:cs="Arial"/>
          <w:rtl/>
        </w:rPr>
        <w:t xml:space="preserve"> אף על פי שלא זקפה, זקפה</w:t>
      </w:r>
      <w:r>
        <w:rPr>
          <w:rStyle w:val="a7"/>
          <w:rFonts w:cs="Arial"/>
          <w:rtl/>
        </w:rPr>
        <w:footnoteReference w:id="2054"/>
      </w:r>
      <w:r w:rsidRPr="003D4955">
        <w:rPr>
          <w:rFonts w:cs="Arial"/>
          <w:rtl/>
        </w:rPr>
        <w:t xml:space="preserve"> אף על פי שלא פגמה</w:t>
      </w:r>
      <w:r w:rsidRPr="003D4955">
        <w:rPr>
          <w:rFonts w:cs="Arial" w:hint="cs"/>
          <w:rtl/>
        </w:rPr>
        <w:t>.</w:t>
      </w:r>
      <w:r w:rsidRPr="003D4955">
        <w:rPr>
          <w:rFonts w:cs="Arial"/>
          <w:rtl/>
        </w:rPr>
        <w:t xml:space="preserve"> </w:t>
      </w:r>
      <w:r w:rsidRPr="003D4955">
        <w:rPr>
          <w:rFonts w:cs="Arial" w:hint="cs"/>
          <w:sz w:val="16"/>
          <w:szCs w:val="16"/>
          <w:rtl/>
        </w:rPr>
        <w:t>(</w:t>
      </w:r>
      <w:r w:rsidRPr="003D4955">
        <w:rPr>
          <w:rFonts w:cs="Arial"/>
          <w:sz w:val="16"/>
          <w:szCs w:val="16"/>
          <w:rtl/>
        </w:rPr>
        <w:t>ופסק הרא"ש (שם סי' ו) הלכה כשמואל</w:t>
      </w:r>
      <w:r w:rsidR="00337CA2">
        <w:rPr>
          <w:rFonts w:cs="Arial" w:hint="cs"/>
          <w:sz w:val="16"/>
          <w:szCs w:val="16"/>
          <w:rtl/>
        </w:rPr>
        <w:t>,</w:t>
      </w:r>
      <w:r w:rsidRPr="003D4955">
        <w:rPr>
          <w:rFonts w:cs="Arial"/>
          <w:sz w:val="16"/>
          <w:szCs w:val="16"/>
          <w:rtl/>
        </w:rPr>
        <w:t xml:space="preserve"> וכן פסק הרמב"ם בפ"ט מהלכות שמטה (הי"ג)</w:t>
      </w:r>
      <w:r w:rsidRPr="003D4955">
        <w:rPr>
          <w:rFonts w:cs="Arial" w:hint="cs"/>
          <w:sz w:val="16"/>
          <w:szCs w:val="16"/>
          <w:rtl/>
        </w:rPr>
        <w:t>, ב"י. ועוד כתב הב"י שכן דעת הרי"ף</w:t>
      </w:r>
      <w:r>
        <w:rPr>
          <w:rStyle w:val="a7"/>
          <w:rFonts w:cs="Arial"/>
          <w:sz w:val="16"/>
          <w:szCs w:val="16"/>
          <w:rtl/>
        </w:rPr>
        <w:footnoteReference w:id="2055"/>
      </w:r>
      <w:r w:rsidRPr="003D4955">
        <w:rPr>
          <w:rFonts w:cs="Arial" w:hint="cs"/>
          <w:sz w:val="16"/>
          <w:szCs w:val="16"/>
          <w:rtl/>
        </w:rPr>
        <w:t>)</w:t>
      </w:r>
      <w:r w:rsidRPr="003D4955">
        <w:rPr>
          <w:rFonts w:cs="Arial"/>
          <w:sz w:val="16"/>
          <w:szCs w:val="16"/>
          <w:rtl/>
        </w:rPr>
        <w:t xml:space="preserve"> </w:t>
      </w:r>
    </w:p>
    <w:p w14:paraId="4EBBD3A5" w14:textId="77777777" w:rsidR="00392DBB" w:rsidRPr="003D4955" w:rsidRDefault="00392DBB" w:rsidP="00392DBB">
      <w:pPr>
        <w:rPr>
          <w:u w:val="single"/>
        </w:rPr>
      </w:pPr>
      <w:r w:rsidRPr="003D4955">
        <w:rPr>
          <w:rFonts w:hint="cs"/>
          <w:u w:val="single"/>
          <w:rtl/>
        </w:rPr>
        <w:t>עברה עליה שנת שמיטה</w:t>
      </w:r>
      <w:r>
        <w:rPr>
          <w:rFonts w:hint="cs"/>
          <w:u w:val="single"/>
          <w:rtl/>
        </w:rPr>
        <w:t xml:space="preserve"> ועדיין לא גבתה את כתובתה</w:t>
      </w:r>
      <w:r w:rsidRPr="003D4955">
        <w:rPr>
          <w:rFonts w:hint="cs"/>
          <w:u w:val="single"/>
          <w:rtl/>
        </w:rPr>
        <w:t>:</w:t>
      </w:r>
    </w:p>
    <w:p w14:paraId="16B33BC2" w14:textId="36FCBD3F" w:rsidR="00392DBB" w:rsidRDefault="00392DBB" w:rsidP="009000E3">
      <w:pPr>
        <w:pStyle w:val="ab"/>
        <w:numPr>
          <w:ilvl w:val="0"/>
          <w:numId w:val="61"/>
        </w:numPr>
      </w:pPr>
      <w:r>
        <w:rPr>
          <w:rFonts w:cs="Arial" w:hint="cs"/>
          <w:rtl/>
        </w:rPr>
        <w:t xml:space="preserve">טור- </w:t>
      </w:r>
      <w:r w:rsidRPr="00B97831">
        <w:rPr>
          <w:rFonts w:cs="Arial"/>
          <w:rtl/>
        </w:rPr>
        <w:t>אפילו עברה עליה שמיטה אינה נשמטת מפני שהוא מעשה ב"ד</w:t>
      </w:r>
      <w:r>
        <w:rPr>
          <w:rStyle w:val="a7"/>
          <w:rFonts w:cs="Arial"/>
          <w:rtl/>
        </w:rPr>
        <w:footnoteReference w:id="2056"/>
      </w:r>
      <w:r>
        <w:rPr>
          <w:rFonts w:cs="Arial" w:hint="cs"/>
          <w:rtl/>
        </w:rPr>
        <w:t>.</w:t>
      </w:r>
      <w:r w:rsidRPr="00B97831">
        <w:rPr>
          <w:rFonts w:cs="Arial"/>
          <w:rtl/>
        </w:rPr>
        <w:t xml:space="preserve"> פגמה אותה</w:t>
      </w:r>
      <w:r>
        <w:rPr>
          <w:rFonts w:cs="Arial" w:hint="cs"/>
          <w:rtl/>
        </w:rPr>
        <w:t>,</w:t>
      </w:r>
      <w:r w:rsidRPr="00B97831">
        <w:rPr>
          <w:rFonts w:cs="Arial"/>
          <w:rtl/>
        </w:rPr>
        <w:t xml:space="preserve"> שגבתה מקצת</w:t>
      </w:r>
      <w:r>
        <w:rPr>
          <w:rFonts w:cs="Arial" w:hint="cs"/>
          <w:rtl/>
        </w:rPr>
        <w:t>,</w:t>
      </w:r>
      <w:r w:rsidRPr="00B97831">
        <w:rPr>
          <w:rFonts w:cs="Arial"/>
          <w:rtl/>
        </w:rPr>
        <w:t xml:space="preserve"> או אפילו שלא פגמה אלא שזקפה במלוה</w:t>
      </w:r>
      <w:r>
        <w:rPr>
          <w:rFonts w:cs="Arial" w:hint="cs"/>
          <w:rtl/>
        </w:rPr>
        <w:t xml:space="preserve"> -</w:t>
      </w:r>
      <w:r w:rsidRPr="00B97831">
        <w:rPr>
          <w:rFonts w:cs="Arial"/>
          <w:rtl/>
        </w:rPr>
        <w:t xml:space="preserve"> יצאה מכלל מעשה ב"ד ושביעי</w:t>
      </w:r>
      <w:r w:rsidR="00337CA2">
        <w:rPr>
          <w:rFonts w:cs="Arial" w:hint="cs"/>
          <w:rtl/>
        </w:rPr>
        <w:t>ת</w:t>
      </w:r>
      <w:r w:rsidRPr="00B97831">
        <w:rPr>
          <w:rFonts w:cs="Arial"/>
          <w:rtl/>
        </w:rPr>
        <w:t xml:space="preserve"> משמטתה</w:t>
      </w:r>
      <w:r>
        <w:rPr>
          <w:rFonts w:cs="Arial" w:hint="cs"/>
          <w:rtl/>
        </w:rPr>
        <w:t>.</w:t>
      </w:r>
      <w:r w:rsidRPr="00B97831">
        <w:rPr>
          <w:rFonts w:cs="Arial"/>
          <w:rtl/>
        </w:rPr>
        <w:t xml:space="preserve"> </w:t>
      </w:r>
      <w:r w:rsidRPr="007775A3">
        <w:rPr>
          <w:rFonts w:hint="cs"/>
          <w:color w:val="E36C0A" w:themeColor="accent6" w:themeShade="BF"/>
          <w:rtl/>
        </w:rPr>
        <w:t>(וכ"פ בשו"ע)</w:t>
      </w:r>
    </w:p>
    <w:p w14:paraId="75083AA5" w14:textId="0202C7C9" w:rsidR="00392DBB" w:rsidRDefault="00392DBB" w:rsidP="00392DBB">
      <w:pPr>
        <w:rPr>
          <w:rtl/>
        </w:rPr>
      </w:pPr>
      <w:r w:rsidRPr="00E14BD0">
        <w:rPr>
          <w:rFonts w:cs="Arial"/>
          <w:b/>
          <w:bCs/>
          <w:rtl/>
        </w:rPr>
        <w:t xml:space="preserve">כתובות </w:t>
      </w:r>
      <w:r w:rsidRPr="00E14BD0">
        <w:rPr>
          <w:rFonts w:cs="Arial" w:hint="cs"/>
          <w:b/>
          <w:bCs/>
          <w:sz w:val="16"/>
          <w:szCs w:val="16"/>
          <w:rtl/>
        </w:rPr>
        <w:t>(ס"</w:t>
      </w:r>
      <w:r w:rsidRPr="00E14BD0">
        <w:rPr>
          <w:rFonts w:cs="Arial"/>
          <w:b/>
          <w:bCs/>
          <w:sz w:val="16"/>
          <w:szCs w:val="16"/>
          <w:rtl/>
        </w:rPr>
        <w:t>פ הנושא</w:t>
      </w:r>
      <w:r w:rsidRPr="00E14BD0">
        <w:rPr>
          <w:rFonts w:cs="Arial" w:hint="cs"/>
          <w:b/>
          <w:bCs/>
          <w:sz w:val="16"/>
          <w:szCs w:val="16"/>
          <w:rtl/>
        </w:rPr>
        <w:t>)</w:t>
      </w:r>
      <w:r w:rsidRPr="00E14BD0">
        <w:rPr>
          <w:rFonts w:cs="Arial" w:hint="cs"/>
          <w:b/>
          <w:bCs/>
          <w:rtl/>
        </w:rPr>
        <w:t xml:space="preserve"> </w:t>
      </w:r>
      <w:r w:rsidRPr="00E14BD0">
        <w:rPr>
          <w:rFonts w:cs="Arial"/>
          <w:b/>
          <w:bCs/>
          <w:rtl/>
        </w:rPr>
        <w:t>קד</w:t>
      </w:r>
      <w:r w:rsidR="00D96B47">
        <w:rPr>
          <w:rStyle w:val="a7"/>
          <w:rFonts w:cs="Arial"/>
          <w:b/>
          <w:bCs/>
          <w:rtl/>
        </w:rPr>
        <w:footnoteReference w:id="2057"/>
      </w:r>
      <w:r w:rsidRPr="00E14BD0">
        <w:rPr>
          <w:rFonts w:cs="Arial" w:hint="cs"/>
          <w:b/>
          <w:bCs/>
          <w:rtl/>
        </w:rPr>
        <w:t xml:space="preserve"> ע"</w:t>
      </w:r>
      <w:r>
        <w:rPr>
          <w:rFonts w:cs="Arial" w:hint="cs"/>
          <w:b/>
          <w:bCs/>
          <w:rtl/>
        </w:rPr>
        <w:t>א</w:t>
      </w:r>
      <w:r w:rsidRPr="00E14BD0">
        <w:rPr>
          <w:rFonts w:cs="Arial"/>
          <w:b/>
          <w:bCs/>
          <w:rtl/>
        </w:rPr>
        <w:t>:</w:t>
      </w:r>
      <w:r w:rsidRPr="00BA48F0">
        <w:rPr>
          <w:rtl/>
        </w:rPr>
        <w:t xml:space="preserve"> </w:t>
      </w:r>
      <w:r w:rsidRPr="00567E28">
        <w:rPr>
          <w:rFonts w:cs="Arial"/>
          <w:u w:val="double"/>
          <w:rtl/>
        </w:rPr>
        <w:t>מתני'</w:t>
      </w:r>
      <w:r>
        <w:rPr>
          <w:rFonts w:cs="Arial" w:hint="cs"/>
          <w:rtl/>
        </w:rPr>
        <w:t>:</w:t>
      </w:r>
      <w:r w:rsidRPr="00567E28">
        <w:rPr>
          <w:rFonts w:cs="Arial"/>
          <w:rtl/>
        </w:rPr>
        <w:t xml:space="preserve"> כל זמן שהיא בבית אביה</w:t>
      </w:r>
      <w:r>
        <w:rPr>
          <w:rStyle w:val="a7"/>
          <w:rFonts w:cs="Arial"/>
          <w:rtl/>
        </w:rPr>
        <w:footnoteReference w:id="2058"/>
      </w:r>
      <w:r w:rsidRPr="00567E28">
        <w:rPr>
          <w:rFonts w:cs="Arial"/>
          <w:rtl/>
        </w:rPr>
        <w:t xml:space="preserve"> - גובה</w:t>
      </w:r>
      <w:r>
        <w:rPr>
          <w:rStyle w:val="a7"/>
          <w:rFonts w:cs="Arial"/>
          <w:rtl/>
        </w:rPr>
        <w:footnoteReference w:id="2059"/>
      </w:r>
      <w:r w:rsidRPr="00567E28">
        <w:rPr>
          <w:rFonts w:cs="Arial"/>
          <w:rtl/>
        </w:rPr>
        <w:t xml:space="preserve"> כתובתה לעולם, כל זמן שהיא בבית בעלה - גובה כתובתה עד עשרים וחמש שנים, שיש בכ"ה שנים שתעשה טובה</w:t>
      </w:r>
      <w:r>
        <w:rPr>
          <w:rStyle w:val="a7"/>
          <w:rFonts w:cs="Arial"/>
          <w:rtl/>
        </w:rPr>
        <w:footnoteReference w:id="2060"/>
      </w:r>
      <w:r w:rsidRPr="00567E28">
        <w:rPr>
          <w:rFonts w:cs="Arial"/>
          <w:rtl/>
        </w:rPr>
        <w:t xml:space="preserve"> כנגד כתובתה, </w:t>
      </w:r>
      <w:r w:rsidRPr="00567E28">
        <w:rPr>
          <w:rFonts w:cs="Arial"/>
          <w:u w:val="single"/>
          <w:rtl/>
        </w:rPr>
        <w:t>דברי ר' מאיר שאמר משום רשב"ג</w:t>
      </w:r>
      <w:r>
        <w:rPr>
          <w:rFonts w:cs="Arial" w:hint="cs"/>
          <w:rtl/>
        </w:rPr>
        <w:t>.</w:t>
      </w:r>
      <w:r w:rsidRPr="00567E28">
        <w:rPr>
          <w:rFonts w:cs="Arial"/>
          <w:rtl/>
        </w:rPr>
        <w:t xml:space="preserve"> </w:t>
      </w:r>
      <w:r w:rsidRPr="00567E28">
        <w:rPr>
          <w:rFonts w:cs="Arial"/>
          <w:u w:val="single"/>
          <w:rtl/>
        </w:rPr>
        <w:t>וחכ"א</w:t>
      </w:r>
      <w:r>
        <w:rPr>
          <w:rStyle w:val="a7"/>
          <w:rFonts w:cs="Arial"/>
          <w:rtl/>
        </w:rPr>
        <w:footnoteReference w:id="2061"/>
      </w:r>
      <w:r w:rsidRPr="00567E28">
        <w:rPr>
          <w:rFonts w:cs="Arial"/>
          <w:rtl/>
        </w:rPr>
        <w:t>: כל זמן שהיא בבית בעלה - גובה כתובתה לעולם, כל זמן שהיא בבית אביה - גובה כתובתה עד עשרים וחמש שנים. מתה, יורשיה מזכירין כתובתה עד עשרים וחמש שנים</w:t>
      </w:r>
      <w:r>
        <w:rPr>
          <w:rStyle w:val="a7"/>
          <w:rFonts w:cs="Arial"/>
          <w:rtl/>
        </w:rPr>
        <w:footnoteReference w:id="2062"/>
      </w:r>
      <w:r w:rsidRPr="00567E28">
        <w:rPr>
          <w:rFonts w:cs="Arial"/>
          <w:rtl/>
        </w:rPr>
        <w:t>.</w:t>
      </w:r>
      <w:r>
        <w:rPr>
          <w:rFonts w:cs="Arial" w:hint="cs"/>
          <w:rtl/>
        </w:rPr>
        <w:t xml:space="preserve">        </w:t>
      </w:r>
      <w:r w:rsidRPr="00797A58">
        <w:rPr>
          <w:rFonts w:hint="cs"/>
          <w:u w:val="double"/>
          <w:rtl/>
        </w:rPr>
        <w:t>גמ':</w:t>
      </w:r>
      <w:r>
        <w:rPr>
          <w:rFonts w:cs="Arial" w:hint="cs"/>
          <w:rtl/>
        </w:rPr>
        <w:t xml:space="preserve"> </w:t>
      </w:r>
      <w:r w:rsidRPr="00E14BD0">
        <w:rPr>
          <w:rFonts w:cs="Arial"/>
          <w:u w:val="single"/>
          <w:rtl/>
        </w:rPr>
        <w:t>אמר רב נחמן בר יצחק</w:t>
      </w:r>
      <w:r>
        <w:rPr>
          <w:rFonts w:cs="Arial" w:hint="cs"/>
          <w:rtl/>
        </w:rPr>
        <w:t>:</w:t>
      </w:r>
      <w:r w:rsidRPr="00BA48F0">
        <w:rPr>
          <w:rFonts w:cs="Arial"/>
          <w:rtl/>
        </w:rPr>
        <w:t xml:space="preserve"> תני רב יהודה בר קזא במתניתא דבי בר קזא: תבעה כתובתה </w:t>
      </w:r>
      <w:r w:rsidR="00F97626">
        <w:rPr>
          <w:rFonts w:cs="Arial"/>
          <w:rtl/>
        </w:rPr>
        <w:t>-</w:t>
      </w:r>
      <w:r>
        <w:rPr>
          <w:rFonts w:cs="Arial" w:hint="cs"/>
          <w:rtl/>
        </w:rPr>
        <w:t xml:space="preserve"> </w:t>
      </w:r>
      <w:r>
        <w:rPr>
          <w:rFonts w:cs="Arial" w:hint="cs"/>
          <w:sz w:val="14"/>
          <w:szCs w:val="14"/>
          <w:rtl/>
        </w:rPr>
        <w:t xml:space="preserve">(קד:) </w:t>
      </w:r>
      <w:r w:rsidRPr="00E14BD0">
        <w:rPr>
          <w:rFonts w:cs="Arial"/>
          <w:rtl/>
        </w:rPr>
        <w:t>הרי היא כבתחלה</w:t>
      </w:r>
      <w:r>
        <w:rPr>
          <w:rStyle w:val="a7"/>
          <w:rFonts w:cs="Arial"/>
          <w:rtl/>
        </w:rPr>
        <w:footnoteReference w:id="2063"/>
      </w:r>
      <w:r>
        <w:rPr>
          <w:rFonts w:cs="Arial" w:hint="cs"/>
          <w:rtl/>
        </w:rPr>
        <w:t>,</w:t>
      </w:r>
      <w:r w:rsidRPr="0048018E">
        <w:rPr>
          <w:rtl/>
        </w:rPr>
        <w:t xml:space="preserve"> </w:t>
      </w:r>
      <w:r w:rsidRPr="0048018E">
        <w:rPr>
          <w:rFonts w:cs="Arial"/>
          <w:rtl/>
        </w:rPr>
        <w:t>ואם היה שטר כתובה יוצא מתחת ידיה - גובה כתובתה לעולם.</w:t>
      </w:r>
      <w:r w:rsidRPr="00E14BD0">
        <w:rPr>
          <w:rFonts w:cs="Arial"/>
          <w:rtl/>
        </w:rPr>
        <w:t xml:space="preserve"> </w:t>
      </w:r>
      <w:r w:rsidRPr="00E14BD0">
        <w:rPr>
          <w:rFonts w:cs="Arial"/>
          <w:u w:val="single"/>
          <w:rtl/>
        </w:rPr>
        <w:t>שלח ליה רב נחמן בר רב חסדא לרב נחמן בר יעקב</w:t>
      </w:r>
      <w:r w:rsidRPr="00E14BD0">
        <w:rPr>
          <w:rFonts w:cs="Arial"/>
          <w:rtl/>
        </w:rPr>
        <w:t>: ילמדנו רבינו, כששטר כתובה יוצא מתחת ידה מחלוקת, או כשאין שטר כתובה יוצא מתחת ידה? והלכה כדברי מי</w:t>
      </w:r>
      <w:r>
        <w:rPr>
          <w:rStyle w:val="a7"/>
          <w:rFonts w:cs="Arial"/>
          <w:rtl/>
        </w:rPr>
        <w:footnoteReference w:id="2064"/>
      </w:r>
      <w:r w:rsidRPr="00E14BD0">
        <w:rPr>
          <w:rFonts w:cs="Arial"/>
          <w:rtl/>
        </w:rPr>
        <w:t xml:space="preserve">? </w:t>
      </w:r>
      <w:r w:rsidRPr="00E14BD0">
        <w:rPr>
          <w:rFonts w:cs="Arial"/>
          <w:u w:val="single"/>
          <w:rtl/>
        </w:rPr>
        <w:t>שלח ליה</w:t>
      </w:r>
      <w:r w:rsidRPr="00E14BD0">
        <w:rPr>
          <w:rFonts w:cs="Arial"/>
          <w:rtl/>
        </w:rPr>
        <w:t>: בשאין שטר כתובה יוצא מתחת ידה מחלוקת, אבל שטר כתובה יוצא מתחת ידה - גובה כתובתה לעולם, והלכה כדברי חכמים.</w:t>
      </w:r>
    </w:p>
    <w:p w14:paraId="57BEBC7C" w14:textId="77777777" w:rsidR="00392DBB" w:rsidRDefault="00392DBB" w:rsidP="00392DBB">
      <w:r w:rsidRPr="00401992">
        <w:rPr>
          <w:rFonts w:cs="Arial" w:hint="cs"/>
          <w:b/>
          <w:bCs/>
          <w:rtl/>
        </w:rPr>
        <w:t>שבועות</w:t>
      </w:r>
      <w:r>
        <w:rPr>
          <w:rFonts w:cs="Arial" w:hint="cs"/>
          <w:b/>
          <w:bCs/>
          <w:sz w:val="16"/>
          <w:szCs w:val="16"/>
          <w:rtl/>
        </w:rPr>
        <w:t xml:space="preserve"> (פ' כל הנשבעין)</w:t>
      </w:r>
      <w:r w:rsidRPr="00401992">
        <w:rPr>
          <w:rFonts w:cs="Arial" w:hint="cs"/>
          <w:b/>
          <w:bCs/>
          <w:rtl/>
        </w:rPr>
        <w:t xml:space="preserve"> מח ע"א: </w:t>
      </w:r>
      <w:r w:rsidRPr="00401992">
        <w:rPr>
          <w:rFonts w:cs="Arial"/>
          <w:u w:val="single"/>
          <w:rtl/>
        </w:rPr>
        <w:t>רב ושמואל דאמרי תרוייהו</w:t>
      </w:r>
      <w:r w:rsidRPr="00401992">
        <w:rPr>
          <w:rFonts w:cs="Arial"/>
          <w:rtl/>
        </w:rPr>
        <w:t>:</w:t>
      </w:r>
      <w:r>
        <w:rPr>
          <w:rFonts w:cs="Arial" w:hint="cs"/>
          <w:rtl/>
        </w:rPr>
        <w:t xml:space="preserve">... </w:t>
      </w:r>
      <w:r w:rsidRPr="00401992">
        <w:rPr>
          <w:rFonts w:cs="Arial"/>
          <w:rtl/>
        </w:rPr>
        <w:t>ואין אדם מוריש שבועה לבניו.</w:t>
      </w:r>
      <w:r>
        <w:rPr>
          <w:rFonts w:cs="Arial" w:hint="cs"/>
          <w:rtl/>
        </w:rPr>
        <w:t xml:space="preserve">.. </w:t>
      </w:r>
      <w:r w:rsidRPr="00401992">
        <w:rPr>
          <w:rFonts w:cs="Arial"/>
          <w:u w:val="single"/>
          <w:rtl/>
        </w:rPr>
        <w:t>מתיב רב אושעיא</w:t>
      </w:r>
      <w:r w:rsidRPr="00401992">
        <w:rPr>
          <w:rFonts w:cs="Arial"/>
          <w:rtl/>
        </w:rPr>
        <w:t>: מתה</w:t>
      </w:r>
      <w:r>
        <w:rPr>
          <w:rStyle w:val="a7"/>
          <w:rFonts w:cs="Arial"/>
          <w:rtl/>
        </w:rPr>
        <w:footnoteReference w:id="2065"/>
      </w:r>
      <w:r w:rsidRPr="00401992">
        <w:rPr>
          <w:rFonts w:cs="Arial"/>
          <w:rtl/>
        </w:rPr>
        <w:t xml:space="preserve"> - יורשיה מזכירין</w:t>
      </w:r>
      <w:r>
        <w:rPr>
          <w:rStyle w:val="a7"/>
          <w:rFonts w:cs="Arial"/>
          <w:rtl/>
        </w:rPr>
        <w:footnoteReference w:id="2066"/>
      </w:r>
      <w:r w:rsidRPr="00401992">
        <w:rPr>
          <w:rFonts w:cs="Arial"/>
          <w:rtl/>
        </w:rPr>
        <w:t xml:space="preserve"> את כתובתה עד עשרים וחמש שנים</w:t>
      </w:r>
      <w:r>
        <w:rPr>
          <w:rStyle w:val="a7"/>
          <w:rFonts w:cs="Arial"/>
          <w:rtl/>
        </w:rPr>
        <w:footnoteReference w:id="2067"/>
      </w:r>
      <w:r w:rsidRPr="00401992">
        <w:rPr>
          <w:rFonts w:cs="Arial"/>
          <w:rtl/>
        </w:rPr>
        <w:t>! הכא במאי עסקינן - שנשבעה ומתה.</w:t>
      </w:r>
    </w:p>
    <w:p w14:paraId="4B51B44B" w14:textId="2680B7BC" w:rsidR="00392DBB" w:rsidRPr="00567E28" w:rsidRDefault="00392DBB" w:rsidP="00392DBB">
      <w:pPr>
        <w:rPr>
          <w:u w:val="single"/>
        </w:rPr>
      </w:pPr>
      <w:r w:rsidRPr="00567E28">
        <w:rPr>
          <w:rFonts w:cs="Arial" w:hint="cs"/>
          <w:u w:val="single"/>
          <w:rtl/>
        </w:rPr>
        <w:t xml:space="preserve">אשה </w:t>
      </w:r>
      <w:r>
        <w:rPr>
          <w:rFonts w:cs="Arial" w:hint="cs"/>
          <w:u w:val="single"/>
          <w:rtl/>
        </w:rPr>
        <w:t xml:space="preserve">שהייתה </w:t>
      </w:r>
      <w:r w:rsidRPr="00567E28">
        <w:rPr>
          <w:rFonts w:cs="Arial" w:hint="cs"/>
          <w:u w:val="single"/>
          <w:rtl/>
        </w:rPr>
        <w:t>ניזונת בבית בעלה/אביה ו</w:t>
      </w:r>
      <w:r w:rsidRPr="00567E28">
        <w:rPr>
          <w:rFonts w:cs="Arial"/>
          <w:u w:val="single"/>
          <w:rtl/>
        </w:rPr>
        <w:t>אין כתובתה בידה</w:t>
      </w:r>
      <w:r w:rsidR="00D96B47">
        <w:rPr>
          <w:rFonts w:cs="Arial" w:hint="cs"/>
          <w:u w:val="single"/>
          <w:rtl/>
        </w:rPr>
        <w:t>,</w:t>
      </w:r>
      <w:r w:rsidRPr="00567E28">
        <w:rPr>
          <w:rFonts w:cs="Arial"/>
          <w:u w:val="single"/>
          <w:rtl/>
        </w:rPr>
        <w:t xml:space="preserve"> ובאה לגבות בתנאי ב"ד</w:t>
      </w:r>
      <w:r w:rsidRPr="00567E28">
        <w:rPr>
          <w:rFonts w:hint="cs"/>
          <w:u w:val="single"/>
          <w:rtl/>
        </w:rPr>
        <w:t xml:space="preserve"> </w:t>
      </w:r>
      <w:r w:rsidR="00F97626">
        <w:rPr>
          <w:u w:val="single"/>
          <w:rtl/>
        </w:rPr>
        <w:t>-</w:t>
      </w:r>
      <w:r w:rsidRPr="00567E28">
        <w:rPr>
          <w:rFonts w:hint="cs"/>
          <w:u w:val="single"/>
          <w:rtl/>
        </w:rPr>
        <w:t xml:space="preserve"> עד מתי תוכל לגבות </w:t>
      </w:r>
      <w:r>
        <w:rPr>
          <w:rFonts w:hint="cs"/>
          <w:sz w:val="16"/>
          <w:szCs w:val="16"/>
          <w:u w:val="single"/>
          <w:rtl/>
        </w:rPr>
        <w:t>(התיישנות)</w:t>
      </w:r>
      <w:r w:rsidRPr="00567E28">
        <w:rPr>
          <w:rFonts w:hint="cs"/>
          <w:u w:val="single"/>
          <w:rtl/>
        </w:rPr>
        <w:t>:</w:t>
      </w:r>
    </w:p>
    <w:p w14:paraId="187E7385" w14:textId="77777777" w:rsidR="00392DBB" w:rsidRDefault="00392DBB" w:rsidP="009000E3">
      <w:pPr>
        <w:pStyle w:val="ab"/>
        <w:numPr>
          <w:ilvl w:val="0"/>
          <w:numId w:val="61"/>
        </w:numPr>
        <w:rPr>
          <w:rtl/>
        </w:rPr>
      </w:pPr>
      <w:r>
        <w:rPr>
          <w:rFonts w:cs="Arial" w:hint="cs"/>
          <w:rtl/>
        </w:rPr>
        <w:t xml:space="preserve">טור- </w:t>
      </w:r>
      <w:r w:rsidRPr="00B97831">
        <w:rPr>
          <w:rFonts w:cs="Arial"/>
          <w:rtl/>
        </w:rPr>
        <w:t>אם אין כתובתה בידה ובאה לגבות בתנאי ב"ד</w:t>
      </w:r>
      <w:r>
        <w:rPr>
          <w:rFonts w:cs="Arial" w:hint="cs"/>
          <w:rtl/>
        </w:rPr>
        <w:t>,</w:t>
      </w:r>
      <w:r w:rsidRPr="00B97831">
        <w:rPr>
          <w:rFonts w:cs="Arial"/>
          <w:rtl/>
        </w:rPr>
        <w:t xml:space="preserve"> כגון במקום שאין כותבין</w:t>
      </w:r>
      <w:r>
        <w:rPr>
          <w:rFonts w:cs="Arial" w:hint="cs"/>
          <w:rtl/>
        </w:rPr>
        <w:t>,</w:t>
      </w:r>
      <w:r w:rsidRPr="00B97831">
        <w:rPr>
          <w:rFonts w:cs="Arial"/>
          <w:rtl/>
        </w:rPr>
        <w:t xml:space="preserve"> אם נותנין לה מזונות בבית בעלה </w:t>
      </w:r>
      <w:r>
        <w:rPr>
          <w:rFonts w:cs="Arial" w:hint="cs"/>
          <w:rtl/>
        </w:rPr>
        <w:t xml:space="preserve">- </w:t>
      </w:r>
      <w:r w:rsidRPr="00B97831">
        <w:rPr>
          <w:rFonts w:cs="Arial"/>
          <w:rtl/>
        </w:rPr>
        <w:t>גובה לעולם</w:t>
      </w:r>
      <w:r>
        <w:rPr>
          <w:rFonts w:cs="Arial" w:hint="cs"/>
          <w:rtl/>
        </w:rPr>
        <w:t>.</w:t>
      </w:r>
      <w:r w:rsidRPr="00B97831">
        <w:rPr>
          <w:rFonts w:cs="Arial"/>
          <w:rtl/>
        </w:rPr>
        <w:t xml:space="preserve"> ואם נותנין לה מזונות בבית אביה</w:t>
      </w:r>
      <w:r>
        <w:rPr>
          <w:rStyle w:val="a7"/>
          <w:rFonts w:cs="Arial"/>
          <w:rtl/>
        </w:rPr>
        <w:footnoteReference w:id="2068"/>
      </w:r>
      <w:r w:rsidRPr="00B97831">
        <w:rPr>
          <w:rFonts w:cs="Arial"/>
          <w:rtl/>
        </w:rPr>
        <w:t xml:space="preserve"> </w:t>
      </w:r>
      <w:r>
        <w:rPr>
          <w:rFonts w:cs="Arial" w:hint="cs"/>
          <w:rtl/>
        </w:rPr>
        <w:t xml:space="preserve">- </w:t>
      </w:r>
      <w:r w:rsidRPr="00B97831">
        <w:rPr>
          <w:rFonts w:cs="Arial"/>
          <w:rtl/>
        </w:rPr>
        <w:t>אינה גובה אלא עד סוף כ"ה שנים</w:t>
      </w:r>
      <w:r>
        <w:rPr>
          <w:rFonts w:cs="Arial" w:hint="cs"/>
          <w:rtl/>
        </w:rPr>
        <w:t>.</w:t>
      </w:r>
      <w:r w:rsidRPr="00B97831">
        <w:rPr>
          <w:rFonts w:cs="Arial"/>
          <w:rtl/>
        </w:rPr>
        <w:t xml:space="preserve"> אבל שתקה </w:t>
      </w:r>
      <w:r w:rsidRPr="00B97831">
        <w:rPr>
          <w:rFonts w:cs="Arial"/>
          <w:rtl/>
        </w:rPr>
        <w:lastRenderedPageBreak/>
        <w:t xml:space="preserve">כ"ה שנים ולא תבעה </w:t>
      </w:r>
      <w:r>
        <w:rPr>
          <w:rFonts w:cs="Arial" w:hint="cs"/>
          <w:rtl/>
        </w:rPr>
        <w:t xml:space="preserve">- </w:t>
      </w:r>
      <w:r w:rsidRPr="00B97831">
        <w:rPr>
          <w:rFonts w:cs="Arial"/>
          <w:rtl/>
        </w:rPr>
        <w:t>מחלה</w:t>
      </w:r>
      <w:r>
        <w:rPr>
          <w:rStyle w:val="a7"/>
          <w:rFonts w:cs="Arial"/>
          <w:rtl/>
        </w:rPr>
        <w:footnoteReference w:id="2069"/>
      </w:r>
      <w:r>
        <w:rPr>
          <w:rFonts w:cs="Arial" w:hint="cs"/>
          <w:rtl/>
        </w:rPr>
        <w:t>.</w:t>
      </w:r>
      <w:r w:rsidRPr="00B97831">
        <w:rPr>
          <w:rFonts w:cs="Arial"/>
          <w:rtl/>
        </w:rPr>
        <w:t xml:space="preserve"> ואם תבעה תוך כ"ה שנים </w:t>
      </w:r>
      <w:r>
        <w:rPr>
          <w:rFonts w:cs="Arial" w:hint="cs"/>
          <w:rtl/>
        </w:rPr>
        <w:t xml:space="preserve">- </w:t>
      </w:r>
      <w:r w:rsidRPr="00B97831">
        <w:rPr>
          <w:rFonts w:cs="Arial"/>
          <w:rtl/>
        </w:rPr>
        <w:t>מונין לה כ"ה שנים מיום שתבעה</w:t>
      </w:r>
      <w:r>
        <w:rPr>
          <w:rFonts w:cs="Arial" w:hint="cs"/>
          <w:rtl/>
        </w:rPr>
        <w:t>.</w:t>
      </w:r>
      <w:r w:rsidRPr="00B97831">
        <w:rPr>
          <w:rFonts w:cs="Arial"/>
          <w:rtl/>
        </w:rPr>
        <w:t xml:space="preserve"> וכן יורשיה צריכין לתובעה תוך כ"ה שנים למיתתה</w:t>
      </w:r>
      <w:r>
        <w:rPr>
          <w:rFonts w:cs="Arial" w:hint="cs"/>
          <w:rtl/>
        </w:rPr>
        <w:t>,</w:t>
      </w:r>
      <w:r w:rsidRPr="00B97831">
        <w:rPr>
          <w:rFonts w:cs="Arial"/>
          <w:rtl/>
        </w:rPr>
        <w:t xml:space="preserve"> ואם שתקו יותר מכ"ה שנים </w:t>
      </w:r>
      <w:r>
        <w:rPr>
          <w:rFonts w:cs="Arial" w:hint="cs"/>
          <w:rtl/>
        </w:rPr>
        <w:t xml:space="preserve">- </w:t>
      </w:r>
      <w:r w:rsidRPr="00B97831">
        <w:rPr>
          <w:rFonts w:cs="Arial"/>
          <w:rtl/>
        </w:rPr>
        <w:t>מחלו</w:t>
      </w:r>
      <w:r>
        <w:rPr>
          <w:rFonts w:cs="Arial" w:hint="cs"/>
          <w:rtl/>
        </w:rPr>
        <w:t>.</w:t>
      </w:r>
      <w:r w:rsidRPr="00B97831">
        <w:rPr>
          <w:rFonts w:cs="Arial"/>
          <w:rtl/>
        </w:rPr>
        <w:t xml:space="preserve"> </w:t>
      </w:r>
      <w:r w:rsidRPr="007775A3">
        <w:rPr>
          <w:rFonts w:hint="cs"/>
          <w:color w:val="E36C0A" w:themeColor="accent6" w:themeShade="BF"/>
          <w:rtl/>
        </w:rPr>
        <w:t>(וכ"פ בשו"ע)</w:t>
      </w:r>
    </w:p>
    <w:p w14:paraId="462279BA"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3A4A831" w14:textId="5DDA1127" w:rsidR="00392DBB" w:rsidRDefault="00392DBB" w:rsidP="00392DBB">
      <w:pPr>
        <w:rPr>
          <w:rtl/>
        </w:rPr>
      </w:pPr>
      <w:r>
        <w:rPr>
          <w:rFonts w:cs="Arial"/>
          <w:rtl/>
        </w:rPr>
        <w:t>אלמנה, כל זמן ששטר כתובה בידה, גובה לעולם</w:t>
      </w:r>
      <w:r>
        <w:rPr>
          <w:rFonts w:cs="Arial" w:hint="cs"/>
          <w:rtl/>
        </w:rPr>
        <w:t>.</w:t>
      </w:r>
      <w:r>
        <w:rPr>
          <w:rFonts w:cs="Arial"/>
          <w:rtl/>
        </w:rPr>
        <w:t xml:space="preserve"> בין אם נותנים לה מזונות</w:t>
      </w:r>
      <w:r>
        <w:rPr>
          <w:rStyle w:val="a7"/>
          <w:rFonts w:cs="Arial"/>
          <w:rtl/>
        </w:rPr>
        <w:footnoteReference w:id="2070"/>
      </w:r>
      <w:r>
        <w:rPr>
          <w:rFonts w:cs="Arial"/>
          <w:rtl/>
        </w:rPr>
        <w:t xml:space="preserve"> בבית אביה</w:t>
      </w:r>
      <w:r>
        <w:rPr>
          <w:rFonts w:cs="Arial" w:hint="cs"/>
          <w:rtl/>
        </w:rPr>
        <w:t>,</w:t>
      </w:r>
      <w:r>
        <w:rPr>
          <w:rFonts w:cs="Arial"/>
          <w:rtl/>
        </w:rPr>
        <w:t xml:space="preserve"> או בבית בעלה</w:t>
      </w:r>
      <w:r>
        <w:rPr>
          <w:rFonts w:cs="Arial" w:hint="cs"/>
          <w:rtl/>
        </w:rPr>
        <w:t>.</w:t>
      </w:r>
      <w:r>
        <w:rPr>
          <w:rFonts w:cs="Arial"/>
          <w:rtl/>
        </w:rPr>
        <w:t xml:space="preserve"> ונשבעת אפילו לאחר שנשאת. אפילו עברה עליה שמיטה, אינה נשמטת א</w:t>
      </w:r>
      <w:r>
        <w:rPr>
          <w:rFonts w:cs="Arial" w:hint="cs"/>
          <w:rtl/>
        </w:rPr>
        <w:t xml:space="preserve">לא אם </w:t>
      </w:r>
      <w:r>
        <w:rPr>
          <w:rFonts w:cs="Arial"/>
          <w:rtl/>
        </w:rPr>
        <w:t>כ</w:t>
      </w:r>
      <w:r>
        <w:rPr>
          <w:rFonts w:cs="Arial" w:hint="cs"/>
          <w:rtl/>
        </w:rPr>
        <w:t>ן</w:t>
      </w:r>
      <w:r>
        <w:rPr>
          <w:rFonts w:cs="Arial"/>
          <w:rtl/>
        </w:rPr>
        <w:t xml:space="preserve"> פגמה אותה, שגבתה מקצת</w:t>
      </w:r>
      <w:r>
        <w:rPr>
          <w:rFonts w:cs="Arial" w:hint="cs"/>
          <w:rtl/>
        </w:rPr>
        <w:t>,</w:t>
      </w:r>
      <w:r>
        <w:rPr>
          <w:rFonts w:cs="Arial"/>
          <w:rtl/>
        </w:rPr>
        <w:t xml:space="preserve"> או שזקפה במלוה. ואם אין כתובתה בידה ובאה לגבות בתנאי ב</w:t>
      </w:r>
      <w:r>
        <w:rPr>
          <w:rFonts w:cs="Arial" w:hint="cs"/>
          <w:rtl/>
        </w:rPr>
        <w:t xml:space="preserve">ית </w:t>
      </w:r>
      <w:r>
        <w:rPr>
          <w:rFonts w:cs="Arial"/>
          <w:rtl/>
        </w:rPr>
        <w:t>ד</w:t>
      </w:r>
      <w:r>
        <w:rPr>
          <w:rFonts w:cs="Arial" w:hint="cs"/>
          <w:rtl/>
        </w:rPr>
        <w:t>ין</w:t>
      </w:r>
      <w:r>
        <w:rPr>
          <w:rFonts w:cs="Arial"/>
          <w:rtl/>
        </w:rPr>
        <w:t xml:space="preserve"> במקום שאין כותבים, אם נותנים לה מזונות בבית אביה</w:t>
      </w:r>
      <w:r>
        <w:rPr>
          <w:rStyle w:val="a7"/>
          <w:rFonts w:cs="Arial"/>
          <w:rtl/>
        </w:rPr>
        <w:footnoteReference w:id="2071"/>
      </w:r>
      <w:r>
        <w:rPr>
          <w:rFonts w:cs="Arial"/>
          <w:rtl/>
        </w:rPr>
        <w:t xml:space="preserve"> </w:t>
      </w:r>
      <w:r>
        <w:rPr>
          <w:rFonts w:cs="Arial" w:hint="cs"/>
          <w:sz w:val="18"/>
          <w:szCs w:val="18"/>
          <w:rtl/>
        </w:rPr>
        <w:t xml:space="preserve">[הגה] </w:t>
      </w:r>
      <w:r w:rsidRPr="00B97831">
        <w:rPr>
          <w:rFonts w:cs="Arial"/>
          <w:sz w:val="18"/>
          <w:szCs w:val="18"/>
          <w:rtl/>
        </w:rPr>
        <w:t>או שנשאת לאחר</w:t>
      </w:r>
      <w:r>
        <w:rPr>
          <w:rStyle w:val="a7"/>
          <w:rFonts w:cs="Arial"/>
          <w:sz w:val="18"/>
          <w:szCs w:val="18"/>
          <w:rtl/>
        </w:rPr>
        <w:footnoteReference w:id="2072"/>
      </w:r>
      <w:r w:rsidRPr="00B97831">
        <w:rPr>
          <w:rFonts w:cs="Arial"/>
          <w:sz w:val="18"/>
          <w:szCs w:val="18"/>
          <w:rtl/>
        </w:rPr>
        <w:t xml:space="preserve"> (מרדכי)</w:t>
      </w:r>
      <w:r>
        <w:rPr>
          <w:rFonts w:cs="Arial"/>
          <w:rtl/>
        </w:rPr>
        <w:t>, אינה גוב</w:t>
      </w:r>
      <w:r>
        <w:rPr>
          <w:rFonts w:cs="Arial" w:hint="cs"/>
          <w:rtl/>
        </w:rPr>
        <w:t>ה</w:t>
      </w:r>
      <w:r>
        <w:rPr>
          <w:rFonts w:cs="Arial"/>
          <w:rtl/>
        </w:rPr>
        <w:t xml:space="preserve"> אלא עד סוף כ"ה שנים</w:t>
      </w:r>
      <w:r>
        <w:rPr>
          <w:rStyle w:val="a7"/>
          <w:rFonts w:cs="Arial"/>
          <w:rtl/>
        </w:rPr>
        <w:footnoteReference w:id="2073"/>
      </w:r>
      <w:r>
        <w:rPr>
          <w:rFonts w:cs="Arial"/>
          <w:rtl/>
        </w:rPr>
        <w:t>. אבל שתקה כ"ה שנה ולא תבעה, מחלה. ואם תבעה תוך כ"ה שנים, מונים לה כ"ה שנים מיום שתבעה</w:t>
      </w:r>
      <w:r>
        <w:rPr>
          <w:rFonts w:cs="Arial" w:hint="cs"/>
          <w:rtl/>
        </w:rPr>
        <w:t>.</w:t>
      </w:r>
      <w:r>
        <w:rPr>
          <w:rFonts w:cs="Arial"/>
          <w:rtl/>
        </w:rPr>
        <w:t xml:space="preserve"> וכן יורשיה צריכים לתבוע תוך כ"ה שנים למיתתה</w:t>
      </w:r>
      <w:r>
        <w:rPr>
          <w:rFonts w:cs="Arial" w:hint="cs"/>
          <w:rtl/>
        </w:rPr>
        <w:t>,</w:t>
      </w:r>
      <w:r>
        <w:rPr>
          <w:rFonts w:cs="Arial"/>
          <w:rtl/>
        </w:rPr>
        <w:t xml:space="preserve"> ואם שתקו יותר מכ"ה שנים, מחלו. </w:t>
      </w:r>
      <w:r>
        <w:rPr>
          <w:rFonts w:cs="Arial" w:hint="cs"/>
          <w:sz w:val="18"/>
          <w:szCs w:val="18"/>
          <w:rtl/>
        </w:rPr>
        <w:t xml:space="preserve">[הגה] </w:t>
      </w:r>
      <w:r w:rsidRPr="00B97831">
        <w:rPr>
          <w:rFonts w:cs="Arial"/>
          <w:sz w:val="18"/>
          <w:szCs w:val="18"/>
          <w:rtl/>
        </w:rPr>
        <w:t>וכל שזכרה</w:t>
      </w:r>
      <w:r>
        <w:rPr>
          <w:rStyle w:val="a7"/>
          <w:rFonts w:cs="Arial"/>
          <w:sz w:val="18"/>
          <w:szCs w:val="18"/>
          <w:rtl/>
        </w:rPr>
        <w:footnoteReference w:id="2074"/>
      </w:r>
      <w:r w:rsidRPr="00B97831">
        <w:rPr>
          <w:rFonts w:cs="Arial"/>
          <w:sz w:val="18"/>
          <w:szCs w:val="18"/>
          <w:rtl/>
        </w:rPr>
        <w:t xml:space="preserve"> ואמרה שמה ששותקת לאו משום מחילה, הוי כתבעה (ר"</w:t>
      </w:r>
      <w:r w:rsidR="00842734">
        <w:rPr>
          <w:rFonts w:cs="Arial" w:hint="cs"/>
          <w:sz w:val="18"/>
          <w:szCs w:val="18"/>
          <w:rtl/>
        </w:rPr>
        <w:t>ן</w:t>
      </w:r>
      <w:r w:rsidRPr="00B97831">
        <w:rPr>
          <w:rFonts w:cs="Arial"/>
          <w:sz w:val="18"/>
          <w:szCs w:val="18"/>
          <w:rtl/>
        </w:rPr>
        <w:t>).</w:t>
      </w:r>
      <w:r>
        <w:rPr>
          <w:rFonts w:cs="Arial"/>
          <w:rtl/>
        </w:rPr>
        <w:t xml:space="preserve"> </w:t>
      </w:r>
    </w:p>
    <w:p w14:paraId="4ED52E8D" w14:textId="77777777" w:rsidR="00392DBB" w:rsidRDefault="00392DBB" w:rsidP="00392DBB">
      <w:pPr>
        <w:rPr>
          <w:rtl/>
        </w:rPr>
      </w:pPr>
    </w:p>
    <w:p w14:paraId="6367AD63" w14:textId="77777777" w:rsidR="00392DBB" w:rsidRDefault="00392DBB" w:rsidP="000F64D0">
      <w:pPr>
        <w:pStyle w:val="2"/>
        <w:rPr>
          <w:rtl/>
        </w:rPr>
      </w:pPr>
      <w:r>
        <w:rPr>
          <w:rtl/>
        </w:rPr>
        <w:t>סעיף ב</w:t>
      </w:r>
      <w:r>
        <w:rPr>
          <w:rFonts w:hint="cs"/>
          <w:rtl/>
        </w:rPr>
        <w:t>: אלמנה שניזונת ע"י היתומים בעצמם בבית אביה.</w:t>
      </w:r>
    </w:p>
    <w:p w14:paraId="1B73AAD3" w14:textId="77777777" w:rsidR="00392DBB" w:rsidRPr="00F81FD2" w:rsidRDefault="00392DBB" w:rsidP="00392DBB">
      <w:pPr>
        <w:rPr>
          <w:rtl/>
        </w:rPr>
      </w:pPr>
      <w:r w:rsidRPr="00E14BD0">
        <w:rPr>
          <w:rFonts w:cs="Arial"/>
          <w:b/>
          <w:bCs/>
          <w:rtl/>
        </w:rPr>
        <w:t xml:space="preserve">כתובות </w:t>
      </w:r>
      <w:r w:rsidRPr="00E14BD0">
        <w:rPr>
          <w:rFonts w:cs="Arial" w:hint="cs"/>
          <w:b/>
          <w:bCs/>
          <w:sz w:val="16"/>
          <w:szCs w:val="16"/>
          <w:rtl/>
        </w:rPr>
        <w:t>(ס"</w:t>
      </w:r>
      <w:r w:rsidRPr="00E14BD0">
        <w:rPr>
          <w:rFonts w:cs="Arial"/>
          <w:b/>
          <w:bCs/>
          <w:sz w:val="16"/>
          <w:szCs w:val="16"/>
          <w:rtl/>
        </w:rPr>
        <w:t>פ הנושא</w:t>
      </w:r>
      <w:r w:rsidRPr="00E14BD0">
        <w:rPr>
          <w:rFonts w:cs="Arial" w:hint="cs"/>
          <w:b/>
          <w:bCs/>
          <w:sz w:val="16"/>
          <w:szCs w:val="16"/>
          <w:rtl/>
        </w:rPr>
        <w:t>)</w:t>
      </w:r>
      <w:r w:rsidRPr="00E14BD0">
        <w:rPr>
          <w:rFonts w:cs="Arial" w:hint="cs"/>
          <w:b/>
          <w:bCs/>
          <w:rtl/>
        </w:rPr>
        <w:t xml:space="preserve"> </w:t>
      </w:r>
      <w:r w:rsidRPr="00E14BD0">
        <w:rPr>
          <w:rFonts w:cs="Arial"/>
          <w:b/>
          <w:bCs/>
          <w:rtl/>
        </w:rPr>
        <w:t>קד</w:t>
      </w:r>
      <w:r w:rsidRPr="00E14BD0">
        <w:rPr>
          <w:rFonts w:cs="Arial" w:hint="cs"/>
          <w:b/>
          <w:bCs/>
          <w:rtl/>
        </w:rPr>
        <w:t xml:space="preserve"> ע"</w:t>
      </w:r>
      <w:r>
        <w:rPr>
          <w:rFonts w:cs="Arial" w:hint="cs"/>
          <w:b/>
          <w:bCs/>
          <w:rtl/>
        </w:rPr>
        <w:t>ב</w:t>
      </w:r>
      <w:r w:rsidRPr="00E14BD0">
        <w:rPr>
          <w:rFonts w:cs="Arial"/>
          <w:b/>
          <w:bCs/>
          <w:rtl/>
        </w:rPr>
        <w:t>:</w:t>
      </w:r>
      <w:r w:rsidRPr="00BA48F0">
        <w:rPr>
          <w:rtl/>
        </w:rPr>
        <w:t xml:space="preserve"> </w:t>
      </w:r>
      <w:r w:rsidRPr="006D2E5B">
        <w:rPr>
          <w:rFonts w:cs="Arial"/>
          <w:rtl/>
        </w:rPr>
        <w:t>חמתיה דרב חייא אריכא אינתת אחוה הואי</w:t>
      </w:r>
      <w:r>
        <w:rPr>
          <w:rStyle w:val="a7"/>
          <w:rFonts w:cs="Arial"/>
          <w:rtl/>
        </w:rPr>
        <w:footnoteReference w:id="2075"/>
      </w:r>
      <w:r w:rsidRPr="006D2E5B">
        <w:rPr>
          <w:rFonts w:cs="Arial"/>
          <w:rtl/>
        </w:rPr>
        <w:t>, ואלמנה בבית אביה הואי, וזנה עשרים וחמש שנין בבי נשא. לסוף אמרה ליה: הב לי מזוני, אמר לה: לית לך מזוני. הב לי כתובה, אמר לה: לא מזוני אית לך ולא כתובה אית לך</w:t>
      </w:r>
      <w:r>
        <w:rPr>
          <w:rStyle w:val="a7"/>
          <w:rFonts w:cs="Arial"/>
          <w:rtl/>
        </w:rPr>
        <w:footnoteReference w:id="2076"/>
      </w:r>
      <w:r>
        <w:rPr>
          <w:rFonts w:cs="Arial" w:hint="cs"/>
          <w:rtl/>
        </w:rPr>
        <w:t>.</w:t>
      </w:r>
      <w:r w:rsidRPr="006D2E5B">
        <w:rPr>
          <w:rFonts w:cs="Arial"/>
          <w:rtl/>
        </w:rPr>
        <w:t xml:space="preserve"> תבעתיה לדינא קמיה דרבה בר שילא. אמר ליה: אימא לי איזי גופא דעובדא היכי הוה, אמר ליה: זניתה עשרים וחמש שנים בבי נשא, בחיי דמר, דבכתפאי אמטאי לה</w:t>
      </w:r>
      <w:r>
        <w:rPr>
          <w:rStyle w:val="a7"/>
          <w:rFonts w:cs="Arial"/>
          <w:rtl/>
        </w:rPr>
        <w:footnoteReference w:id="2077"/>
      </w:r>
      <w:r w:rsidRPr="006D2E5B">
        <w:rPr>
          <w:rFonts w:cs="Arial"/>
          <w:rtl/>
        </w:rPr>
        <w:t>. אמר ליה: טעמא מאי אמור רבנן כל זמן שהיא בבית בעלה גובה כתובתה לעולם, דאמרינן משום כיסופא הוא דלא תבעה, הכא נמי משום כיסופא</w:t>
      </w:r>
      <w:r>
        <w:rPr>
          <w:rStyle w:val="a7"/>
          <w:rFonts w:cs="Arial"/>
          <w:rtl/>
        </w:rPr>
        <w:footnoteReference w:id="2078"/>
      </w:r>
      <w:r w:rsidRPr="006D2E5B">
        <w:rPr>
          <w:rFonts w:cs="Arial"/>
          <w:rtl/>
        </w:rPr>
        <w:t xml:space="preserve"> הוא דלא תבעה, זיל הב לה. לא אשגח</w:t>
      </w:r>
      <w:r>
        <w:rPr>
          <w:rFonts w:cs="Arial" w:hint="cs"/>
          <w:rtl/>
        </w:rPr>
        <w:t>.</w:t>
      </w:r>
      <w:r w:rsidRPr="006D2E5B">
        <w:rPr>
          <w:rFonts w:cs="Arial"/>
          <w:rtl/>
        </w:rPr>
        <w:t xml:space="preserve"> כתב לה אדרכתא אניכסיה. אתא לקמיה דרבא, א"ל: חזי מר היכי דנן! א"ל: שפיר דנך. </w:t>
      </w:r>
    </w:p>
    <w:p w14:paraId="3F6D1DCB" w14:textId="77777777" w:rsidR="00392DBB" w:rsidRPr="00F81FD2" w:rsidRDefault="00392DBB" w:rsidP="00392DBB">
      <w:pPr>
        <w:rPr>
          <w:u w:val="single"/>
          <w:rtl/>
        </w:rPr>
      </w:pPr>
      <w:r w:rsidRPr="00F81FD2">
        <w:rPr>
          <w:rFonts w:hint="cs"/>
          <w:u w:val="single"/>
          <w:rtl/>
        </w:rPr>
        <w:t>אלמנה שניזונת ע"י היתומים בעצמם בבית אביה:</w:t>
      </w:r>
    </w:p>
    <w:p w14:paraId="581CD6FA" w14:textId="77777777" w:rsidR="00392DBB" w:rsidRPr="005104B9" w:rsidRDefault="00392DBB" w:rsidP="009000E3">
      <w:pPr>
        <w:pStyle w:val="ab"/>
        <w:numPr>
          <w:ilvl w:val="0"/>
          <w:numId w:val="61"/>
        </w:numPr>
      </w:pPr>
      <w:r>
        <w:rPr>
          <w:rFonts w:cs="Arial" w:hint="cs"/>
          <w:rtl/>
        </w:rPr>
        <w:t>רמב"ם</w:t>
      </w:r>
      <w:r>
        <w:rPr>
          <w:rStyle w:val="a7"/>
          <w:rFonts w:cs="Arial"/>
          <w:rtl/>
        </w:rPr>
        <w:footnoteReference w:id="2079"/>
      </w:r>
      <w:r>
        <w:rPr>
          <w:rFonts w:cs="Arial" w:hint="cs"/>
          <w:rtl/>
        </w:rPr>
        <w:t xml:space="preserve"> </w:t>
      </w:r>
      <w:r>
        <w:rPr>
          <w:rFonts w:cs="Arial" w:hint="cs"/>
          <w:sz w:val="16"/>
          <w:szCs w:val="16"/>
          <w:rtl/>
        </w:rPr>
        <w:t>(פט"ז מאישות הכ"ד)</w:t>
      </w:r>
      <w:r>
        <w:rPr>
          <w:rFonts w:cs="Arial" w:hint="cs"/>
          <w:rtl/>
        </w:rPr>
        <w:t xml:space="preserve"> רא"ש </w:t>
      </w:r>
      <w:r w:rsidRPr="005104B9">
        <w:rPr>
          <w:rFonts w:cs="Arial"/>
          <w:sz w:val="16"/>
          <w:szCs w:val="16"/>
          <w:rtl/>
        </w:rPr>
        <w:t xml:space="preserve">(סי' ז) </w:t>
      </w:r>
      <w:r>
        <w:rPr>
          <w:rFonts w:cs="Arial" w:hint="cs"/>
          <w:rtl/>
        </w:rPr>
        <w:t xml:space="preserve">וטור- </w:t>
      </w:r>
      <w:r w:rsidRPr="00B97831">
        <w:rPr>
          <w:rFonts w:cs="Arial"/>
          <w:rtl/>
        </w:rPr>
        <w:t>ואפילו אם ניזונת בבית אביה</w:t>
      </w:r>
      <w:r>
        <w:rPr>
          <w:rFonts w:cs="Arial" w:hint="cs"/>
          <w:rtl/>
        </w:rPr>
        <w:t>,</w:t>
      </w:r>
      <w:r w:rsidRPr="00B97831">
        <w:rPr>
          <w:rFonts w:cs="Arial"/>
          <w:rtl/>
        </w:rPr>
        <w:t xml:space="preserve"> אם היורשים מכבדין אותה שמוליכין לה מזונותיה בעצמם</w:t>
      </w:r>
      <w:r>
        <w:rPr>
          <w:rFonts w:cs="Arial" w:hint="cs"/>
          <w:rtl/>
        </w:rPr>
        <w:t xml:space="preserve"> -</w:t>
      </w:r>
      <w:r w:rsidRPr="00B97831">
        <w:rPr>
          <w:rFonts w:cs="Arial"/>
          <w:rtl/>
        </w:rPr>
        <w:t xml:space="preserve"> אין שתיקתה מחילה שמפני הבושה היא שותקת ולא מפני שמחלה להם</w:t>
      </w:r>
      <w:r>
        <w:rPr>
          <w:rFonts w:cs="Arial" w:hint="cs"/>
          <w:sz w:val="16"/>
          <w:szCs w:val="16"/>
          <w:rtl/>
        </w:rPr>
        <w:t xml:space="preserve"> (ל' הטור)</w:t>
      </w:r>
      <w:r>
        <w:rPr>
          <w:rFonts w:cs="Arial" w:hint="cs"/>
          <w:rtl/>
        </w:rPr>
        <w:t>.</w:t>
      </w:r>
      <w:r w:rsidRPr="005104B9">
        <w:rPr>
          <w:rFonts w:cs="Arial" w:hint="cs"/>
          <w:color w:val="E36C0A" w:themeColor="accent6" w:themeShade="BF"/>
          <w:rtl/>
        </w:rPr>
        <w:t xml:space="preserve"> (וכ"פ בשו"ע)</w:t>
      </w:r>
      <w:r w:rsidRPr="00B97831">
        <w:rPr>
          <w:rFonts w:cs="Arial"/>
          <w:rtl/>
        </w:rPr>
        <w:t xml:space="preserve"> </w:t>
      </w:r>
    </w:p>
    <w:p w14:paraId="657013AD" w14:textId="77777777" w:rsidR="00392DBB" w:rsidRPr="00C0191E" w:rsidRDefault="00392DBB" w:rsidP="009000E3">
      <w:pPr>
        <w:pStyle w:val="ab"/>
        <w:numPr>
          <w:ilvl w:val="0"/>
          <w:numId w:val="61"/>
        </w:numPr>
        <w:rPr>
          <w:rtl/>
        </w:rPr>
      </w:pPr>
      <w:r w:rsidRPr="005104B9">
        <w:rPr>
          <w:rFonts w:cs="Arial"/>
          <w:rtl/>
        </w:rPr>
        <w:t>ר"ח</w:t>
      </w:r>
      <w:r>
        <w:rPr>
          <w:rFonts w:cs="Arial" w:hint="cs"/>
          <w:sz w:val="16"/>
          <w:szCs w:val="16"/>
          <w:rtl/>
        </w:rPr>
        <w:t xml:space="preserve"> (כ"כ הרא"ש [שם] בשמו)</w:t>
      </w:r>
      <w:r>
        <w:rPr>
          <w:rFonts w:cs="Arial" w:hint="cs"/>
          <w:rtl/>
        </w:rPr>
        <w:t>-</w:t>
      </w:r>
      <w:r w:rsidRPr="005104B9">
        <w:rPr>
          <w:rFonts w:cs="Arial"/>
          <w:rtl/>
        </w:rPr>
        <w:t xml:space="preserve"> הא דבבית אביה אינה גובה כתובתה לאחר כ"ה שנה </w:t>
      </w:r>
      <w:r>
        <w:rPr>
          <w:rFonts w:cs="Arial" w:hint="cs"/>
          <w:rtl/>
        </w:rPr>
        <w:t xml:space="preserve">- </w:t>
      </w:r>
      <w:r w:rsidRPr="005104B9">
        <w:rPr>
          <w:rFonts w:cs="Arial"/>
          <w:rtl/>
        </w:rPr>
        <w:t>בשאינה נזונת</w:t>
      </w:r>
      <w:r w:rsidRPr="005104B9">
        <w:rPr>
          <w:rFonts w:cs="Arial" w:hint="cs"/>
          <w:rtl/>
        </w:rPr>
        <w:t>,</w:t>
      </w:r>
      <w:r w:rsidRPr="005104B9">
        <w:rPr>
          <w:rFonts w:cs="Arial"/>
          <w:rtl/>
        </w:rPr>
        <w:t xml:space="preserve"> אבל בנזונת </w:t>
      </w:r>
      <w:r>
        <w:rPr>
          <w:rFonts w:cs="Arial" w:hint="cs"/>
          <w:rtl/>
        </w:rPr>
        <w:t xml:space="preserve">- </w:t>
      </w:r>
      <w:r w:rsidRPr="005104B9">
        <w:rPr>
          <w:rFonts w:cs="Arial"/>
          <w:rtl/>
        </w:rPr>
        <w:t>גובה כתובתה לעולם</w:t>
      </w:r>
      <w:r>
        <w:rPr>
          <w:rFonts w:cs="Arial" w:hint="cs"/>
          <w:rtl/>
        </w:rPr>
        <w:t>,</w:t>
      </w:r>
      <w:r w:rsidRPr="005104B9">
        <w:rPr>
          <w:rFonts w:cs="Arial"/>
          <w:rtl/>
        </w:rPr>
        <w:t xml:space="preserve"> משום עובדא דחמתיה דרב חייא אריכא</w:t>
      </w:r>
      <w:r>
        <w:rPr>
          <w:rFonts w:cs="Arial" w:hint="cs"/>
          <w:sz w:val="16"/>
          <w:szCs w:val="16"/>
          <w:rtl/>
        </w:rPr>
        <w:t xml:space="preserve"> (ל' הרא"ש בשמו)</w:t>
      </w:r>
      <w:r>
        <w:rPr>
          <w:rStyle w:val="a7"/>
          <w:rFonts w:cs="Arial"/>
          <w:rtl/>
        </w:rPr>
        <w:footnoteReference w:id="2080"/>
      </w:r>
      <w:r w:rsidRPr="005104B9">
        <w:rPr>
          <w:rFonts w:cs="Arial" w:hint="cs"/>
          <w:rtl/>
        </w:rPr>
        <w:t>.</w:t>
      </w:r>
      <w:r w:rsidRPr="005104B9">
        <w:rPr>
          <w:rFonts w:cs="Arial"/>
          <w:rtl/>
        </w:rPr>
        <w:t xml:space="preserve"> </w:t>
      </w:r>
    </w:p>
    <w:p w14:paraId="17AFD268"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F278B3D" w14:textId="77777777" w:rsidR="00392DBB" w:rsidRDefault="00392DBB" w:rsidP="00392DBB">
      <w:pPr>
        <w:rPr>
          <w:rtl/>
        </w:rPr>
      </w:pPr>
      <w:r>
        <w:rPr>
          <w:rFonts w:cs="Arial"/>
          <w:rtl/>
        </w:rPr>
        <w:lastRenderedPageBreak/>
        <w:t>אפילו אם ניזונית בבית אביה, אם היורשים מכבדים אותה שמוליכים לה מזונותיה בעצמם</w:t>
      </w:r>
      <w:r>
        <w:rPr>
          <w:rStyle w:val="a7"/>
          <w:rFonts w:cs="Arial"/>
          <w:rtl/>
        </w:rPr>
        <w:footnoteReference w:id="2081"/>
      </w:r>
      <w:r>
        <w:rPr>
          <w:rFonts w:cs="Arial"/>
          <w:rtl/>
        </w:rPr>
        <w:t xml:space="preserve">, אין שתיקתה מחילה, שמפני הבושה שתקה ולא מפני שמחלה. </w:t>
      </w:r>
    </w:p>
    <w:p w14:paraId="3B158A7D" w14:textId="77777777" w:rsidR="00392DBB" w:rsidRDefault="00392DBB" w:rsidP="00392DBB">
      <w:pPr>
        <w:rPr>
          <w:rtl/>
        </w:rPr>
      </w:pPr>
    </w:p>
    <w:p w14:paraId="446EA365" w14:textId="77777777" w:rsidR="00392DBB" w:rsidRDefault="00392DBB" w:rsidP="000F64D0">
      <w:pPr>
        <w:pStyle w:val="2"/>
        <w:rPr>
          <w:rtl/>
        </w:rPr>
      </w:pPr>
      <w:r>
        <w:rPr>
          <w:rtl/>
        </w:rPr>
        <w:t>סעיף ג</w:t>
      </w:r>
      <w:r>
        <w:rPr>
          <w:rFonts w:hint="cs"/>
          <w:rtl/>
        </w:rPr>
        <w:t>: דין תוספת כתובה ונדוניא באלמנה ששתקה כ"ה שנים.</w:t>
      </w:r>
    </w:p>
    <w:p w14:paraId="637F2631" w14:textId="35BE7C3B" w:rsidR="00392DBB" w:rsidRPr="00E31458" w:rsidRDefault="00392DBB" w:rsidP="00392DBB">
      <w:pPr>
        <w:rPr>
          <w:rFonts w:cs="Arial"/>
          <w:rtl/>
        </w:rPr>
      </w:pPr>
      <w:r w:rsidRPr="00E14BD0">
        <w:rPr>
          <w:rFonts w:cs="Arial"/>
          <w:b/>
          <w:bCs/>
          <w:rtl/>
        </w:rPr>
        <w:t xml:space="preserve">כתובות </w:t>
      </w:r>
      <w:r w:rsidRPr="00E14BD0">
        <w:rPr>
          <w:rFonts w:cs="Arial" w:hint="cs"/>
          <w:b/>
          <w:bCs/>
          <w:sz w:val="16"/>
          <w:szCs w:val="16"/>
          <w:rtl/>
        </w:rPr>
        <w:t>(ס"</w:t>
      </w:r>
      <w:r w:rsidRPr="00E14BD0">
        <w:rPr>
          <w:rFonts w:cs="Arial"/>
          <w:b/>
          <w:bCs/>
          <w:sz w:val="16"/>
          <w:szCs w:val="16"/>
          <w:rtl/>
        </w:rPr>
        <w:t>פ הנושא</w:t>
      </w:r>
      <w:r w:rsidRPr="00E14BD0">
        <w:rPr>
          <w:rFonts w:cs="Arial" w:hint="cs"/>
          <w:b/>
          <w:bCs/>
          <w:sz w:val="16"/>
          <w:szCs w:val="16"/>
          <w:rtl/>
        </w:rPr>
        <w:t>)</w:t>
      </w:r>
      <w:r w:rsidRPr="00E14BD0">
        <w:rPr>
          <w:rFonts w:cs="Arial" w:hint="cs"/>
          <w:b/>
          <w:bCs/>
          <w:rtl/>
        </w:rPr>
        <w:t xml:space="preserve"> </w:t>
      </w:r>
      <w:r w:rsidRPr="00E14BD0">
        <w:rPr>
          <w:rFonts w:cs="Arial"/>
          <w:b/>
          <w:bCs/>
          <w:rtl/>
        </w:rPr>
        <w:t>קד</w:t>
      </w:r>
      <w:r w:rsidRPr="00E14BD0">
        <w:rPr>
          <w:rFonts w:cs="Arial" w:hint="cs"/>
          <w:b/>
          <w:bCs/>
          <w:rtl/>
        </w:rPr>
        <w:t xml:space="preserve"> ע"</w:t>
      </w:r>
      <w:r>
        <w:rPr>
          <w:rFonts w:cs="Arial" w:hint="cs"/>
          <w:b/>
          <w:bCs/>
          <w:rtl/>
        </w:rPr>
        <w:t>ב</w:t>
      </w:r>
      <w:r w:rsidRPr="00E14BD0">
        <w:rPr>
          <w:rFonts w:cs="Arial"/>
          <w:b/>
          <w:bCs/>
          <w:rtl/>
        </w:rPr>
        <w:t>:</w:t>
      </w:r>
      <w:r w:rsidRPr="00E31458">
        <w:rPr>
          <w:rFonts w:cs="Arial"/>
          <w:rtl/>
        </w:rPr>
        <w:t xml:space="preserve"> </w:t>
      </w:r>
      <w:r w:rsidRPr="001D576F">
        <w:rPr>
          <w:rFonts w:cs="Arial"/>
          <w:u w:val="single"/>
          <w:rtl/>
        </w:rPr>
        <w:t xml:space="preserve">כי אתא רב דימי, </w:t>
      </w:r>
      <w:r w:rsidRPr="00D53987">
        <w:rPr>
          <w:rFonts w:cs="Arial"/>
          <w:u w:val="single"/>
          <w:rtl/>
        </w:rPr>
        <w:t>א"ר שמעון בן פזי א"ר יהושע בן לוי משום בר קפרא</w:t>
      </w:r>
      <w:r w:rsidRPr="00FF2570">
        <w:rPr>
          <w:rFonts w:cs="Arial"/>
          <w:rtl/>
        </w:rPr>
        <w:t>: לא שנו</w:t>
      </w:r>
      <w:r>
        <w:rPr>
          <w:rStyle w:val="a7"/>
          <w:rFonts w:cs="Arial"/>
          <w:rtl/>
        </w:rPr>
        <w:footnoteReference w:id="2082"/>
      </w:r>
      <w:r w:rsidRPr="00FF2570">
        <w:rPr>
          <w:rFonts w:cs="Arial"/>
          <w:rtl/>
        </w:rPr>
        <w:t xml:space="preserve"> אלא מנה מאתים</w:t>
      </w:r>
      <w:r>
        <w:rPr>
          <w:rStyle w:val="a7"/>
          <w:rFonts w:cs="Arial"/>
          <w:rtl/>
        </w:rPr>
        <w:footnoteReference w:id="2083"/>
      </w:r>
      <w:r w:rsidRPr="00FF2570">
        <w:rPr>
          <w:rFonts w:cs="Arial"/>
          <w:rtl/>
        </w:rPr>
        <w:t>, אבל תוספת יש לה</w:t>
      </w:r>
      <w:r>
        <w:rPr>
          <w:rStyle w:val="a7"/>
          <w:rFonts w:cs="Arial"/>
          <w:rtl/>
        </w:rPr>
        <w:footnoteReference w:id="2084"/>
      </w:r>
      <w:r>
        <w:rPr>
          <w:rFonts w:cs="Arial" w:hint="cs"/>
          <w:rtl/>
        </w:rPr>
        <w:t>.</w:t>
      </w:r>
      <w:r w:rsidRPr="00FF2570">
        <w:rPr>
          <w:rFonts w:cs="Arial"/>
          <w:rtl/>
        </w:rPr>
        <w:t xml:space="preserve"> </w:t>
      </w:r>
      <w:r w:rsidRPr="00D53987">
        <w:rPr>
          <w:rFonts w:cs="Arial"/>
          <w:u w:val="single"/>
          <w:rtl/>
        </w:rPr>
        <w:t>ורבי אבהו א"ר יוחנן</w:t>
      </w:r>
      <w:r w:rsidRPr="00FF2570">
        <w:rPr>
          <w:rFonts w:cs="Arial"/>
          <w:rtl/>
        </w:rPr>
        <w:t>: אפילו תוספת אין לה</w:t>
      </w:r>
      <w:r>
        <w:rPr>
          <w:rFonts w:cs="Arial" w:hint="cs"/>
          <w:rtl/>
        </w:rPr>
        <w:t>.</w:t>
      </w:r>
      <w:r w:rsidRPr="00FF2570">
        <w:rPr>
          <w:rFonts w:cs="Arial"/>
          <w:rtl/>
        </w:rPr>
        <w:t xml:space="preserve"> דאמר רבי אייבו אמר רבי ינאי: תנאי כתובה</w:t>
      </w:r>
      <w:r>
        <w:rPr>
          <w:rStyle w:val="a7"/>
          <w:rFonts w:cs="Arial"/>
          <w:rtl/>
        </w:rPr>
        <w:footnoteReference w:id="2085"/>
      </w:r>
      <w:r w:rsidRPr="00FF2570">
        <w:rPr>
          <w:rFonts w:cs="Arial"/>
          <w:rtl/>
        </w:rPr>
        <w:t xml:space="preserve"> ככתובה דמי. אתמר נמי, </w:t>
      </w:r>
      <w:r w:rsidRPr="00D53987">
        <w:rPr>
          <w:rFonts w:cs="Arial"/>
          <w:u w:val="single"/>
          <w:rtl/>
        </w:rPr>
        <w:t>א"ר אבא אמר רב הונא אמר רב</w:t>
      </w:r>
      <w:r w:rsidRPr="00FF2570">
        <w:rPr>
          <w:rFonts w:cs="Arial"/>
          <w:rtl/>
        </w:rPr>
        <w:t xml:space="preserve">: לא שנו אלא מנה מאתים, אבל תוספת יש לה. </w:t>
      </w:r>
      <w:r w:rsidRPr="00D53987">
        <w:rPr>
          <w:rFonts w:cs="Arial"/>
          <w:u w:val="single"/>
          <w:rtl/>
        </w:rPr>
        <w:t>אמר ליה רבי אבא לרב הונא</w:t>
      </w:r>
      <w:r w:rsidRPr="00FF2570">
        <w:rPr>
          <w:rFonts w:cs="Arial"/>
          <w:rtl/>
        </w:rPr>
        <w:t xml:space="preserve">: אמר רב הכי? </w:t>
      </w:r>
      <w:r w:rsidRPr="001D576F">
        <w:rPr>
          <w:rFonts w:cs="Arial"/>
          <w:u w:val="single"/>
          <w:rtl/>
        </w:rPr>
        <w:t>אמר ליה</w:t>
      </w:r>
      <w:r w:rsidRPr="00FF2570">
        <w:rPr>
          <w:rFonts w:cs="Arial"/>
          <w:rtl/>
        </w:rPr>
        <w:t>: אישתיקן קאמרת, או אשקיין קאמרת</w:t>
      </w:r>
      <w:r>
        <w:rPr>
          <w:rStyle w:val="a7"/>
          <w:rFonts w:cs="Arial"/>
          <w:rtl/>
        </w:rPr>
        <w:footnoteReference w:id="2086"/>
      </w:r>
      <w:r w:rsidRPr="00FF2570">
        <w:rPr>
          <w:rFonts w:cs="Arial"/>
          <w:rtl/>
        </w:rPr>
        <w:t xml:space="preserve">? </w:t>
      </w:r>
      <w:r w:rsidRPr="00D53987">
        <w:rPr>
          <w:rFonts w:cs="Arial"/>
          <w:u w:val="single"/>
          <w:rtl/>
        </w:rPr>
        <w:t>אמר ליה</w:t>
      </w:r>
      <w:r w:rsidRPr="00FF2570">
        <w:rPr>
          <w:rFonts w:cs="Arial"/>
          <w:rtl/>
        </w:rPr>
        <w:t>: אישתיקן קאמינא.</w:t>
      </w:r>
      <w:r w:rsidRPr="00291CF5">
        <w:rPr>
          <w:rFonts w:cs="Arial"/>
          <w:sz w:val="16"/>
          <w:szCs w:val="16"/>
          <w:rtl/>
        </w:rPr>
        <w:t xml:space="preserve"> </w:t>
      </w:r>
      <w:r w:rsidR="001D576F">
        <w:rPr>
          <w:rFonts w:cs="Arial" w:hint="cs"/>
          <w:sz w:val="16"/>
          <w:szCs w:val="16"/>
          <w:rtl/>
        </w:rPr>
        <w:t>(</w:t>
      </w:r>
      <w:r w:rsidRPr="00291CF5">
        <w:rPr>
          <w:rFonts w:cs="Arial"/>
          <w:sz w:val="16"/>
          <w:szCs w:val="16"/>
          <w:rtl/>
        </w:rPr>
        <w:t>וכתב הר"ן (</w:t>
      </w:r>
      <w:r w:rsidRPr="00291CF5">
        <w:rPr>
          <w:rFonts w:cs="Arial" w:hint="cs"/>
          <w:sz w:val="16"/>
          <w:szCs w:val="16"/>
          <w:rtl/>
        </w:rPr>
        <w:t xml:space="preserve">כתובות </w:t>
      </w:r>
      <w:r w:rsidRPr="00291CF5">
        <w:rPr>
          <w:rFonts w:cs="Arial"/>
          <w:sz w:val="16"/>
          <w:szCs w:val="16"/>
          <w:rtl/>
        </w:rPr>
        <w:t>סב. ד"ה לא</w:t>
      </w:r>
      <w:r w:rsidRPr="00291CF5">
        <w:rPr>
          <w:rFonts w:cs="Arial" w:hint="cs"/>
          <w:sz w:val="16"/>
          <w:szCs w:val="16"/>
          <w:rtl/>
        </w:rPr>
        <w:t>, כא: ד"ה תובעת</w:t>
      </w:r>
      <w:r w:rsidRPr="00291CF5">
        <w:rPr>
          <w:rFonts w:cs="Arial"/>
          <w:sz w:val="16"/>
          <w:szCs w:val="16"/>
          <w:rtl/>
        </w:rPr>
        <w:t>)</w:t>
      </w:r>
      <w:r w:rsidR="001D576F">
        <w:rPr>
          <w:rFonts w:cs="Arial" w:hint="cs"/>
          <w:sz w:val="16"/>
          <w:szCs w:val="16"/>
          <w:rtl/>
        </w:rPr>
        <w:t>:</w:t>
      </w:r>
      <w:r w:rsidRPr="00291CF5">
        <w:rPr>
          <w:rFonts w:cs="Arial"/>
          <w:sz w:val="16"/>
          <w:szCs w:val="16"/>
          <w:rtl/>
        </w:rPr>
        <w:t xml:space="preserve"> וקיי"ל כרבי יוחנן</w:t>
      </w:r>
      <w:r w:rsidRPr="00291CF5">
        <w:rPr>
          <w:rFonts w:cs="Arial" w:hint="cs"/>
          <w:sz w:val="16"/>
          <w:szCs w:val="16"/>
          <w:rtl/>
        </w:rPr>
        <w:t>,</w:t>
      </w:r>
      <w:r w:rsidRPr="00291CF5">
        <w:rPr>
          <w:rFonts w:cs="Arial"/>
          <w:sz w:val="16"/>
          <w:szCs w:val="16"/>
          <w:rtl/>
        </w:rPr>
        <w:t xml:space="preserve"> דהא בר</w:t>
      </w:r>
      <w:r>
        <w:rPr>
          <w:rFonts w:cs="Arial" w:hint="cs"/>
          <w:sz w:val="16"/>
          <w:szCs w:val="16"/>
          <w:rtl/>
        </w:rPr>
        <w:t>"</w:t>
      </w:r>
      <w:r w:rsidRPr="00291CF5">
        <w:rPr>
          <w:rFonts w:cs="Arial"/>
          <w:sz w:val="16"/>
          <w:szCs w:val="16"/>
          <w:rtl/>
        </w:rPr>
        <w:t>פ אף על פי (נד:) מנינן הך בהדי הנך אחריני דאמרינן בהו דתנאי כתובה ככתובה דמי. ומיהו איפשר דדוקא תוספת</w:t>
      </w:r>
      <w:r w:rsidRPr="00291CF5">
        <w:rPr>
          <w:rFonts w:cs="Arial" w:hint="cs"/>
          <w:sz w:val="16"/>
          <w:szCs w:val="16"/>
          <w:rtl/>
        </w:rPr>
        <w:t>,</w:t>
      </w:r>
      <w:r w:rsidRPr="00291CF5">
        <w:rPr>
          <w:rFonts w:cs="Arial"/>
          <w:sz w:val="16"/>
          <w:szCs w:val="16"/>
          <w:rtl/>
        </w:rPr>
        <w:t xml:space="preserve"> אבל נדוניא דינה כחוב. וכ</w:t>
      </w:r>
      <w:r>
        <w:rPr>
          <w:rFonts w:cs="Arial" w:hint="cs"/>
          <w:sz w:val="16"/>
          <w:szCs w:val="16"/>
          <w:rtl/>
        </w:rPr>
        <w:t>"</w:t>
      </w:r>
      <w:r w:rsidRPr="00291CF5">
        <w:rPr>
          <w:rFonts w:cs="Arial"/>
          <w:sz w:val="16"/>
          <w:szCs w:val="16"/>
          <w:rtl/>
        </w:rPr>
        <w:t>כ הרא"ש (סי' ז) וקיי"ל כרבי יוחנן דתנאי כתובה ככתובה דמי</w:t>
      </w:r>
      <w:r w:rsidRPr="00291CF5">
        <w:rPr>
          <w:rFonts w:cs="Arial" w:hint="cs"/>
          <w:sz w:val="16"/>
          <w:szCs w:val="16"/>
          <w:rtl/>
        </w:rPr>
        <w:t>.</w:t>
      </w:r>
      <w:r w:rsidRPr="00291CF5">
        <w:rPr>
          <w:rFonts w:cs="Arial"/>
          <w:sz w:val="16"/>
          <w:szCs w:val="16"/>
          <w:rtl/>
        </w:rPr>
        <w:t xml:space="preserve"> ודוקא תוספת</w:t>
      </w:r>
      <w:r w:rsidRPr="00291CF5">
        <w:rPr>
          <w:rFonts w:cs="Arial" w:hint="cs"/>
          <w:sz w:val="16"/>
          <w:szCs w:val="16"/>
          <w:rtl/>
        </w:rPr>
        <w:t>,</w:t>
      </w:r>
      <w:r w:rsidRPr="00291CF5">
        <w:rPr>
          <w:rFonts w:cs="Arial"/>
          <w:sz w:val="16"/>
          <w:szCs w:val="16"/>
          <w:rtl/>
        </w:rPr>
        <w:t xml:space="preserve"> אבל נדוניא מסתבר שהוא כחוב. וגם ה</w:t>
      </w:r>
      <w:r>
        <w:rPr>
          <w:rFonts w:cs="Arial" w:hint="cs"/>
          <w:sz w:val="16"/>
          <w:szCs w:val="16"/>
          <w:rtl/>
        </w:rPr>
        <w:t>ה"</w:t>
      </w:r>
      <w:r w:rsidRPr="00291CF5">
        <w:rPr>
          <w:rFonts w:cs="Arial"/>
          <w:sz w:val="16"/>
          <w:szCs w:val="16"/>
          <w:rtl/>
        </w:rPr>
        <w:t>מ כתב בפרק י"ו (הכ"ג) דין הנדוניא כדין החוב לדעת רבינו</w:t>
      </w:r>
      <w:r w:rsidRPr="00291CF5">
        <w:rPr>
          <w:rFonts w:cs="Arial" w:hint="cs"/>
          <w:sz w:val="16"/>
          <w:szCs w:val="16"/>
          <w:rtl/>
        </w:rPr>
        <w:t>,</w:t>
      </w:r>
      <w:r w:rsidRPr="00291CF5">
        <w:rPr>
          <w:rFonts w:cs="Arial"/>
          <w:sz w:val="16"/>
          <w:szCs w:val="16"/>
          <w:rtl/>
        </w:rPr>
        <w:t xml:space="preserve"> וכ</w:t>
      </w:r>
      <w:r>
        <w:rPr>
          <w:rFonts w:cs="Arial" w:hint="cs"/>
          <w:sz w:val="16"/>
          <w:szCs w:val="16"/>
          <w:rtl/>
        </w:rPr>
        <w:t>"</w:t>
      </w:r>
      <w:r w:rsidRPr="00291CF5">
        <w:rPr>
          <w:rFonts w:cs="Arial"/>
          <w:sz w:val="16"/>
          <w:szCs w:val="16"/>
          <w:rtl/>
        </w:rPr>
        <w:t>כ הרשב"א ז"ל</w:t>
      </w:r>
      <w:r w:rsidRPr="00291CF5">
        <w:rPr>
          <w:rFonts w:cs="Arial" w:hint="cs"/>
          <w:sz w:val="16"/>
          <w:szCs w:val="16"/>
          <w:rtl/>
        </w:rPr>
        <w:t>,</w:t>
      </w:r>
      <w:r w:rsidRPr="00291CF5">
        <w:rPr>
          <w:rFonts w:cs="Arial"/>
          <w:sz w:val="16"/>
          <w:szCs w:val="16"/>
          <w:rtl/>
        </w:rPr>
        <w:t xml:space="preserve"> ומכל מקום אין צורך לזה שהרי פשוט הוא שאינה נגבית הנדוניא בשום מקום אלא כשמראה כתובתה</w:t>
      </w:r>
      <w:r w:rsidRPr="00291CF5">
        <w:rPr>
          <w:rFonts w:cs="Arial" w:hint="cs"/>
          <w:sz w:val="16"/>
          <w:szCs w:val="16"/>
          <w:rtl/>
        </w:rPr>
        <w:t>.</w:t>
      </w:r>
      <w:r w:rsidRPr="00291CF5">
        <w:rPr>
          <w:rFonts w:cs="Arial"/>
          <w:sz w:val="16"/>
          <w:szCs w:val="16"/>
          <w:rtl/>
        </w:rPr>
        <w:t xml:space="preserve"> ומכל מקום נפקא מינה שהיכא שהיורשים מודים שלא פרעוה</w:t>
      </w:r>
      <w:r w:rsidRPr="00291CF5">
        <w:rPr>
          <w:rFonts w:cs="Arial" w:hint="cs"/>
          <w:sz w:val="16"/>
          <w:szCs w:val="16"/>
          <w:rtl/>
        </w:rPr>
        <w:t>,</w:t>
      </w:r>
      <w:r w:rsidRPr="00291CF5">
        <w:rPr>
          <w:rFonts w:cs="Arial"/>
          <w:sz w:val="16"/>
          <w:szCs w:val="16"/>
          <w:rtl/>
        </w:rPr>
        <w:t xml:space="preserve"> שאע"פ שאבדה כתובתה גובה נדוניא ואינה גובה לא עיקר ולא תוספת כיון ששתקה כ"ה שנים והיא בבית אביה ודאי מחלתן עכ"ל. ודע שיש להרי"ף (סב.) גירסא אחרת בזה</w:t>
      </w:r>
      <w:r w:rsidRPr="00291CF5">
        <w:rPr>
          <w:rStyle w:val="a7"/>
          <w:rFonts w:cs="Arial"/>
          <w:sz w:val="16"/>
          <w:szCs w:val="16"/>
          <w:rtl/>
        </w:rPr>
        <w:footnoteReference w:id="2087"/>
      </w:r>
      <w:r w:rsidRPr="00291CF5">
        <w:rPr>
          <w:rFonts w:cs="Arial" w:hint="cs"/>
          <w:sz w:val="16"/>
          <w:szCs w:val="16"/>
          <w:rtl/>
        </w:rPr>
        <w:t>, ב"י</w:t>
      </w:r>
      <w:r>
        <w:rPr>
          <w:rFonts w:cs="Arial" w:hint="cs"/>
          <w:sz w:val="16"/>
          <w:szCs w:val="16"/>
          <w:rtl/>
        </w:rPr>
        <w:t>)</w:t>
      </w:r>
    </w:p>
    <w:p w14:paraId="1FE9111A" w14:textId="77777777" w:rsidR="00392DBB" w:rsidRPr="00B5497E" w:rsidRDefault="00392DBB" w:rsidP="00392DBB">
      <w:pPr>
        <w:rPr>
          <w:u w:val="single"/>
          <w:rtl/>
        </w:rPr>
      </w:pPr>
      <w:r w:rsidRPr="001D1650">
        <w:rPr>
          <w:rFonts w:hint="cs"/>
          <w:u w:val="single"/>
          <w:rtl/>
        </w:rPr>
        <w:t>דין תוספת כתובה באלמנה ששתקה כ"ה שנים</w:t>
      </w:r>
      <w:r w:rsidRPr="00B5497E">
        <w:rPr>
          <w:rFonts w:hint="cs"/>
          <w:u w:val="single"/>
          <w:rtl/>
        </w:rPr>
        <w:t>:</w:t>
      </w:r>
    </w:p>
    <w:p w14:paraId="4B41CA1E" w14:textId="77777777" w:rsidR="00392DBB" w:rsidRPr="00FF2570" w:rsidRDefault="00392DBB" w:rsidP="009000E3">
      <w:pPr>
        <w:pStyle w:val="ab"/>
        <w:numPr>
          <w:ilvl w:val="0"/>
          <w:numId w:val="61"/>
        </w:numPr>
      </w:pPr>
      <w:r>
        <w:rPr>
          <w:rFonts w:cs="Arial" w:hint="cs"/>
          <w:rtl/>
        </w:rPr>
        <w:t>(</w:t>
      </w:r>
      <w:r w:rsidRPr="00B97831">
        <w:rPr>
          <w:rFonts w:cs="Arial"/>
          <w:rtl/>
        </w:rPr>
        <w:t xml:space="preserve">רמב"ם </w:t>
      </w:r>
      <w:r>
        <w:rPr>
          <w:rFonts w:cs="Arial" w:hint="cs"/>
          <w:sz w:val="16"/>
          <w:szCs w:val="16"/>
          <w:rtl/>
        </w:rPr>
        <w:t>להב' הטור</w:t>
      </w:r>
      <w:r>
        <w:rPr>
          <w:rFonts w:cs="Arial" w:hint="cs"/>
          <w:rtl/>
        </w:rPr>
        <w:t xml:space="preserve">)- </w:t>
      </w:r>
      <w:r w:rsidRPr="00B97831">
        <w:rPr>
          <w:rFonts w:cs="Arial"/>
          <w:rtl/>
        </w:rPr>
        <w:t>אין הוכחת השתיקה מחילה אלא לעיקר</w:t>
      </w:r>
      <w:r>
        <w:rPr>
          <w:rFonts w:cs="Arial" w:hint="cs"/>
          <w:rtl/>
        </w:rPr>
        <w:t>,</w:t>
      </w:r>
      <w:r w:rsidRPr="00B97831">
        <w:rPr>
          <w:rFonts w:cs="Arial"/>
          <w:rtl/>
        </w:rPr>
        <w:t xml:space="preserve"> אבל התוספת לא</w:t>
      </w:r>
      <w:r>
        <w:rPr>
          <w:rStyle w:val="a7"/>
          <w:rFonts w:cs="Arial"/>
          <w:rtl/>
        </w:rPr>
        <w:footnoteReference w:id="2088"/>
      </w:r>
      <w:r>
        <w:rPr>
          <w:rFonts w:cs="Arial" w:hint="cs"/>
          <w:sz w:val="16"/>
          <w:szCs w:val="16"/>
          <w:rtl/>
        </w:rPr>
        <w:t xml:space="preserve"> (ל' הטור בשמו)</w:t>
      </w:r>
      <w:r>
        <w:rPr>
          <w:rFonts w:cs="Arial" w:hint="cs"/>
          <w:rtl/>
        </w:rPr>
        <w:t>.</w:t>
      </w:r>
      <w:r w:rsidRPr="00B97831">
        <w:rPr>
          <w:rFonts w:cs="Arial"/>
          <w:rtl/>
        </w:rPr>
        <w:t xml:space="preserve"> </w:t>
      </w:r>
    </w:p>
    <w:p w14:paraId="35F3B92A" w14:textId="77777777" w:rsidR="00392DBB" w:rsidRDefault="00392DBB" w:rsidP="009000E3">
      <w:pPr>
        <w:pStyle w:val="ab"/>
        <w:numPr>
          <w:ilvl w:val="0"/>
          <w:numId w:val="61"/>
        </w:numPr>
      </w:pPr>
      <w:r>
        <w:rPr>
          <w:rFonts w:cs="Arial" w:hint="cs"/>
          <w:rtl/>
        </w:rPr>
        <w:t>(</w:t>
      </w:r>
      <w:r w:rsidRPr="00B97831">
        <w:rPr>
          <w:rFonts w:cs="Arial"/>
          <w:rtl/>
        </w:rPr>
        <w:t xml:space="preserve">רמב"ם </w:t>
      </w:r>
      <w:r>
        <w:rPr>
          <w:rFonts w:cs="Arial" w:hint="cs"/>
          <w:sz w:val="16"/>
          <w:szCs w:val="16"/>
          <w:rtl/>
        </w:rPr>
        <w:t>להב' הב"י</w:t>
      </w:r>
      <w:r>
        <w:rPr>
          <w:rFonts w:cs="Arial" w:hint="cs"/>
          <w:rtl/>
        </w:rPr>
        <w:t xml:space="preserve">) </w:t>
      </w:r>
      <w:r w:rsidRPr="00B97831">
        <w:rPr>
          <w:rFonts w:cs="Arial"/>
          <w:rtl/>
        </w:rPr>
        <w:t>רא"ש</w:t>
      </w:r>
      <w:r>
        <w:rPr>
          <w:rFonts w:cs="Arial" w:hint="cs"/>
          <w:rtl/>
        </w:rPr>
        <w:t xml:space="preserve"> </w:t>
      </w:r>
      <w:r w:rsidRPr="00291CF5">
        <w:rPr>
          <w:rFonts w:cs="Arial"/>
          <w:sz w:val="16"/>
          <w:szCs w:val="16"/>
          <w:rtl/>
        </w:rPr>
        <w:t xml:space="preserve">(סי' ז) </w:t>
      </w:r>
      <w:r w:rsidRPr="00291CF5">
        <w:rPr>
          <w:rFonts w:cs="Arial"/>
          <w:rtl/>
        </w:rPr>
        <w:t xml:space="preserve">ר"ן </w:t>
      </w:r>
      <w:r w:rsidRPr="00291CF5">
        <w:rPr>
          <w:rFonts w:cs="Arial"/>
          <w:sz w:val="16"/>
          <w:szCs w:val="16"/>
          <w:rtl/>
        </w:rPr>
        <w:t>(</w:t>
      </w:r>
      <w:r w:rsidRPr="00291CF5">
        <w:rPr>
          <w:rFonts w:cs="Arial" w:hint="cs"/>
          <w:sz w:val="16"/>
          <w:szCs w:val="16"/>
          <w:rtl/>
        </w:rPr>
        <w:t xml:space="preserve">כתובות </w:t>
      </w:r>
      <w:r w:rsidRPr="00291CF5">
        <w:rPr>
          <w:rFonts w:cs="Arial"/>
          <w:sz w:val="16"/>
          <w:szCs w:val="16"/>
          <w:rtl/>
        </w:rPr>
        <w:t>סב. ד"ה לא</w:t>
      </w:r>
      <w:r w:rsidRPr="00291CF5">
        <w:rPr>
          <w:rFonts w:cs="Arial" w:hint="cs"/>
          <w:sz w:val="16"/>
          <w:szCs w:val="16"/>
          <w:rtl/>
        </w:rPr>
        <w:t>, כא: ד"ה תובעת</w:t>
      </w:r>
      <w:r w:rsidRPr="00291CF5">
        <w:rPr>
          <w:rFonts w:cs="Arial"/>
          <w:sz w:val="16"/>
          <w:szCs w:val="16"/>
          <w:rtl/>
        </w:rPr>
        <w:t>)</w:t>
      </w:r>
      <w:r w:rsidRPr="00560569">
        <w:rPr>
          <w:rFonts w:cs="Arial" w:hint="cs"/>
          <w:rtl/>
        </w:rPr>
        <w:t xml:space="preserve"> </w:t>
      </w:r>
      <w:r>
        <w:rPr>
          <w:rFonts w:cs="Arial" w:hint="cs"/>
          <w:rtl/>
        </w:rPr>
        <w:t xml:space="preserve">והה"מ </w:t>
      </w:r>
      <w:r>
        <w:rPr>
          <w:rFonts w:cs="Arial" w:hint="cs"/>
          <w:sz w:val="16"/>
          <w:szCs w:val="16"/>
          <w:rtl/>
        </w:rPr>
        <w:t>(פט"ז הכ"ג)</w:t>
      </w:r>
      <w:r>
        <w:rPr>
          <w:rFonts w:cs="Arial" w:hint="cs"/>
          <w:rtl/>
        </w:rPr>
        <w:t xml:space="preserve">- </w:t>
      </w:r>
      <w:r w:rsidRPr="00B97831">
        <w:rPr>
          <w:rFonts w:cs="Arial"/>
          <w:rtl/>
        </w:rPr>
        <w:t>גם התוס</w:t>
      </w:r>
      <w:r>
        <w:rPr>
          <w:rFonts w:cs="Arial" w:hint="cs"/>
          <w:rtl/>
        </w:rPr>
        <w:t>פת</w:t>
      </w:r>
      <w:r w:rsidRPr="00B97831">
        <w:rPr>
          <w:rFonts w:cs="Arial"/>
          <w:rtl/>
        </w:rPr>
        <w:t xml:space="preserve"> מוחלת</w:t>
      </w:r>
      <w:r>
        <w:rPr>
          <w:rFonts w:cs="Arial" w:hint="cs"/>
          <w:rtl/>
        </w:rPr>
        <w:t>.</w:t>
      </w:r>
      <w:r w:rsidRPr="00B97831">
        <w:rPr>
          <w:rFonts w:cs="Arial"/>
          <w:rtl/>
        </w:rPr>
        <w:t xml:space="preserve"> </w:t>
      </w:r>
    </w:p>
    <w:p w14:paraId="6213590C" w14:textId="77777777" w:rsidR="00392DBB" w:rsidRPr="000029A3" w:rsidRDefault="00392DBB" w:rsidP="00392DBB">
      <w:pPr>
        <w:ind w:left="360"/>
        <w:rPr>
          <w:u w:val="dotted"/>
        </w:rPr>
      </w:pPr>
      <w:r w:rsidRPr="000029A3">
        <w:rPr>
          <w:rFonts w:hint="cs"/>
          <w:u w:val="dotted"/>
          <w:rtl/>
        </w:rPr>
        <w:t>ומה הדין הנדוניא:</w:t>
      </w:r>
    </w:p>
    <w:p w14:paraId="1B4C0491" w14:textId="1BA14EB9" w:rsidR="00392DBB" w:rsidRPr="00291CF5" w:rsidRDefault="00392DBB" w:rsidP="009000E3">
      <w:pPr>
        <w:pStyle w:val="ab"/>
        <w:numPr>
          <w:ilvl w:val="0"/>
          <w:numId w:val="61"/>
        </w:numPr>
        <w:rPr>
          <w:rtl/>
        </w:rPr>
      </w:pPr>
      <w:r>
        <w:rPr>
          <w:rFonts w:cs="Arial" w:hint="cs"/>
          <w:rtl/>
        </w:rPr>
        <w:t xml:space="preserve">רשב"א </w:t>
      </w:r>
      <w:r>
        <w:rPr>
          <w:rFonts w:cs="Arial" w:hint="cs"/>
          <w:sz w:val="16"/>
          <w:szCs w:val="16"/>
          <w:rtl/>
        </w:rPr>
        <w:t xml:space="preserve">(כ"כ הה"מ [שם] בשמו) </w:t>
      </w:r>
      <w:r>
        <w:rPr>
          <w:rFonts w:cs="Arial" w:hint="cs"/>
          <w:rtl/>
        </w:rPr>
        <w:t>רא"ש</w:t>
      </w:r>
      <w:r>
        <w:rPr>
          <w:rFonts w:cs="Arial" w:hint="cs"/>
          <w:sz w:val="16"/>
          <w:szCs w:val="16"/>
          <w:rtl/>
        </w:rPr>
        <w:t xml:space="preserve"> (שם)</w:t>
      </w:r>
      <w:r>
        <w:rPr>
          <w:rFonts w:cs="Arial" w:hint="cs"/>
          <w:rtl/>
        </w:rPr>
        <w:t xml:space="preserve"> טור ר"ן</w:t>
      </w:r>
      <w:r>
        <w:rPr>
          <w:rFonts w:cs="Arial" w:hint="cs"/>
          <w:sz w:val="16"/>
          <w:szCs w:val="16"/>
          <w:rtl/>
        </w:rPr>
        <w:t xml:space="preserve"> (שם)</w:t>
      </w:r>
      <w:r w:rsidRPr="00291CF5">
        <w:rPr>
          <w:rFonts w:cs="Arial" w:hint="cs"/>
          <w:rtl/>
        </w:rPr>
        <w:t xml:space="preserve"> </w:t>
      </w:r>
      <w:r>
        <w:rPr>
          <w:rFonts w:cs="Arial" w:hint="cs"/>
          <w:rtl/>
        </w:rPr>
        <w:t xml:space="preserve">והה"מ </w:t>
      </w:r>
      <w:r>
        <w:rPr>
          <w:rFonts w:cs="Arial" w:hint="cs"/>
          <w:sz w:val="16"/>
          <w:szCs w:val="16"/>
          <w:rtl/>
        </w:rPr>
        <w:t>(שם)</w:t>
      </w:r>
      <w:r>
        <w:rPr>
          <w:rFonts w:cs="Arial" w:hint="cs"/>
          <w:rtl/>
        </w:rPr>
        <w:t xml:space="preserve">- </w:t>
      </w:r>
      <w:r w:rsidRPr="00B97831">
        <w:rPr>
          <w:rFonts w:cs="Arial"/>
          <w:rtl/>
        </w:rPr>
        <w:t>אבל הנדוניא אינה מוחלת</w:t>
      </w:r>
      <w:r w:rsidR="001D576F">
        <w:rPr>
          <w:rFonts w:cs="Arial" w:hint="cs"/>
          <w:rtl/>
        </w:rPr>
        <w:t>,</w:t>
      </w:r>
      <w:r w:rsidRPr="00B97831">
        <w:rPr>
          <w:rFonts w:cs="Arial"/>
          <w:rtl/>
        </w:rPr>
        <w:t xml:space="preserve"> ואם יש לה עדים ממנה גובה אותה לעולם</w:t>
      </w:r>
      <w:r>
        <w:rPr>
          <w:rFonts w:cs="Arial" w:hint="cs"/>
          <w:sz w:val="16"/>
          <w:szCs w:val="16"/>
          <w:rtl/>
        </w:rPr>
        <w:t xml:space="preserve"> (ל' הטור)</w:t>
      </w:r>
      <w:r>
        <w:rPr>
          <w:rFonts w:cs="Arial" w:hint="cs"/>
          <w:rtl/>
        </w:rPr>
        <w:t>.</w:t>
      </w:r>
      <w:r w:rsidRPr="00B97831">
        <w:rPr>
          <w:rFonts w:cs="Arial"/>
          <w:rtl/>
        </w:rPr>
        <w:t xml:space="preserve"> </w:t>
      </w:r>
      <w:r w:rsidRPr="00291CF5">
        <w:rPr>
          <w:rFonts w:cs="Arial" w:hint="cs"/>
          <w:color w:val="E36C0A" w:themeColor="accent6" w:themeShade="BF"/>
          <w:rtl/>
        </w:rPr>
        <w:t>(וכ"פ בשו"ע)</w:t>
      </w:r>
    </w:p>
    <w:p w14:paraId="4E57F508"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F602341" w14:textId="77777777" w:rsidR="00392DBB" w:rsidRDefault="00392DBB" w:rsidP="00392DBB">
      <w:pPr>
        <w:rPr>
          <w:rFonts w:cs="Arial"/>
          <w:rtl/>
        </w:rPr>
      </w:pPr>
      <w:r>
        <w:rPr>
          <w:rFonts w:cs="Arial"/>
          <w:rtl/>
        </w:rPr>
        <w:t>נדוניא לעולם אינה מוחלת</w:t>
      </w:r>
      <w:r>
        <w:rPr>
          <w:rStyle w:val="a7"/>
          <w:rFonts w:cs="Arial"/>
          <w:rtl/>
        </w:rPr>
        <w:footnoteReference w:id="2089"/>
      </w:r>
      <w:r>
        <w:rPr>
          <w:rFonts w:cs="Arial"/>
          <w:rtl/>
        </w:rPr>
        <w:t xml:space="preserve">, אפילו שהתה כמה שנים. </w:t>
      </w:r>
    </w:p>
    <w:p w14:paraId="463524F1" w14:textId="77777777" w:rsidR="00392DBB" w:rsidRDefault="00392DBB" w:rsidP="00392DBB">
      <w:pPr>
        <w:rPr>
          <w:rtl/>
        </w:rPr>
      </w:pPr>
    </w:p>
    <w:p w14:paraId="7FD71175" w14:textId="77777777" w:rsidR="00392DBB" w:rsidRDefault="00392DBB" w:rsidP="000F64D0">
      <w:pPr>
        <w:pStyle w:val="2"/>
        <w:rPr>
          <w:rtl/>
        </w:rPr>
      </w:pPr>
      <w:r>
        <w:rPr>
          <w:rtl/>
        </w:rPr>
        <w:lastRenderedPageBreak/>
        <w:t>סעיף ד</w:t>
      </w:r>
      <w:r>
        <w:rPr>
          <w:rFonts w:hint="cs"/>
          <w:rtl/>
        </w:rPr>
        <w:t>: עד מתי יכולה הגרושה לגבות כתובתה.</w:t>
      </w:r>
    </w:p>
    <w:p w14:paraId="78C5A285" w14:textId="77777777" w:rsidR="00392DBB" w:rsidRPr="005D6764" w:rsidRDefault="00392DBB" w:rsidP="00392DBB">
      <w:pPr>
        <w:rPr>
          <w:rtl/>
        </w:rPr>
      </w:pPr>
      <w:r w:rsidRPr="00E14BD0">
        <w:rPr>
          <w:rFonts w:cs="Arial"/>
          <w:b/>
          <w:bCs/>
          <w:rtl/>
        </w:rPr>
        <w:t xml:space="preserve">כתובות </w:t>
      </w:r>
      <w:r w:rsidRPr="00E14BD0">
        <w:rPr>
          <w:rFonts w:cs="Arial" w:hint="cs"/>
          <w:b/>
          <w:bCs/>
          <w:sz w:val="16"/>
          <w:szCs w:val="16"/>
          <w:rtl/>
        </w:rPr>
        <w:t>(ס"</w:t>
      </w:r>
      <w:r w:rsidRPr="00E14BD0">
        <w:rPr>
          <w:rFonts w:cs="Arial"/>
          <w:b/>
          <w:bCs/>
          <w:sz w:val="16"/>
          <w:szCs w:val="16"/>
          <w:rtl/>
        </w:rPr>
        <w:t>פ הנושא</w:t>
      </w:r>
      <w:r w:rsidRPr="00E14BD0">
        <w:rPr>
          <w:rFonts w:cs="Arial" w:hint="cs"/>
          <w:b/>
          <w:bCs/>
          <w:sz w:val="16"/>
          <w:szCs w:val="16"/>
          <w:rtl/>
        </w:rPr>
        <w:t>)</w:t>
      </w:r>
      <w:r w:rsidRPr="00E14BD0">
        <w:rPr>
          <w:rFonts w:cs="Arial" w:hint="cs"/>
          <w:b/>
          <w:bCs/>
          <w:rtl/>
        </w:rPr>
        <w:t xml:space="preserve"> </w:t>
      </w:r>
      <w:r w:rsidRPr="00E14BD0">
        <w:rPr>
          <w:rFonts w:cs="Arial"/>
          <w:b/>
          <w:bCs/>
          <w:rtl/>
        </w:rPr>
        <w:t>קד</w:t>
      </w:r>
      <w:r w:rsidRPr="00E14BD0">
        <w:rPr>
          <w:rFonts w:cs="Arial" w:hint="cs"/>
          <w:b/>
          <w:bCs/>
          <w:rtl/>
        </w:rPr>
        <w:t xml:space="preserve"> ע"</w:t>
      </w:r>
      <w:r>
        <w:rPr>
          <w:rFonts w:cs="Arial" w:hint="cs"/>
          <w:b/>
          <w:bCs/>
          <w:rtl/>
        </w:rPr>
        <w:t>א</w:t>
      </w:r>
      <w:r w:rsidRPr="00E14BD0">
        <w:rPr>
          <w:rFonts w:cs="Arial"/>
          <w:b/>
          <w:bCs/>
          <w:rtl/>
        </w:rPr>
        <w:t>:</w:t>
      </w:r>
      <w:r w:rsidRPr="00567E28">
        <w:rPr>
          <w:rFonts w:cs="Arial"/>
          <w:rtl/>
        </w:rPr>
        <w:t xml:space="preserve"> </w:t>
      </w:r>
      <w:r w:rsidRPr="005D6764">
        <w:rPr>
          <w:rFonts w:cs="Arial"/>
          <w:rtl/>
        </w:rPr>
        <w:t>והאמר ר' אלעא</w:t>
      </w:r>
      <w:r>
        <w:rPr>
          <w:rFonts w:cs="Arial" w:hint="cs"/>
          <w:rtl/>
        </w:rPr>
        <w:t>:</w:t>
      </w:r>
      <w:r w:rsidRPr="005D6764">
        <w:rPr>
          <w:rFonts w:cs="Arial"/>
          <w:rtl/>
        </w:rPr>
        <w:t xml:space="preserve"> שונין</w:t>
      </w:r>
      <w:r>
        <w:rPr>
          <w:rFonts w:cs="Arial" w:hint="cs"/>
          <w:rtl/>
        </w:rPr>
        <w:t>,</w:t>
      </w:r>
      <w:r w:rsidRPr="005D6764">
        <w:rPr>
          <w:rFonts w:cs="Arial"/>
          <w:rtl/>
        </w:rPr>
        <w:t xml:space="preserve"> גרושה - הרי היא כבעל חוב</w:t>
      </w:r>
      <w:r>
        <w:rPr>
          <w:rStyle w:val="a7"/>
          <w:rFonts w:cs="Arial"/>
          <w:rtl/>
        </w:rPr>
        <w:footnoteReference w:id="2090"/>
      </w:r>
      <w:r>
        <w:rPr>
          <w:rFonts w:hint="cs"/>
          <w:rtl/>
        </w:rPr>
        <w:t>.</w:t>
      </w:r>
    </w:p>
    <w:p w14:paraId="50F8D39B" w14:textId="77777777" w:rsidR="00392DBB" w:rsidRPr="005D6764" w:rsidRDefault="00392DBB" w:rsidP="00392DBB">
      <w:pPr>
        <w:rPr>
          <w:u w:val="single"/>
          <w:rtl/>
        </w:rPr>
      </w:pPr>
      <w:r w:rsidRPr="005D6764">
        <w:rPr>
          <w:rFonts w:hint="cs"/>
          <w:u w:val="single"/>
          <w:rtl/>
        </w:rPr>
        <w:t>עד מתי יכולה הגרושה לגבות כתובתה:</w:t>
      </w:r>
    </w:p>
    <w:p w14:paraId="74DAD4EC" w14:textId="77777777" w:rsidR="00392DBB" w:rsidRPr="00B97831" w:rsidRDefault="00392DBB" w:rsidP="009000E3">
      <w:pPr>
        <w:pStyle w:val="ab"/>
        <w:numPr>
          <w:ilvl w:val="0"/>
          <w:numId w:val="61"/>
        </w:numPr>
        <w:rPr>
          <w:rtl/>
        </w:rPr>
      </w:pPr>
      <w:r>
        <w:rPr>
          <w:rFonts w:cs="Arial" w:hint="cs"/>
          <w:rtl/>
        </w:rPr>
        <w:t xml:space="preserve">טור- </w:t>
      </w:r>
      <w:r w:rsidRPr="00B97831">
        <w:rPr>
          <w:rFonts w:cs="Arial"/>
          <w:rtl/>
        </w:rPr>
        <w:t>ודוקא באלמנה הויא שתיקתה מחילה בשאין כתובה בידה</w:t>
      </w:r>
      <w:r>
        <w:rPr>
          <w:rFonts w:cs="Arial" w:hint="cs"/>
          <w:rtl/>
        </w:rPr>
        <w:t>,</w:t>
      </w:r>
      <w:r w:rsidRPr="00B97831">
        <w:rPr>
          <w:rFonts w:cs="Arial"/>
          <w:rtl/>
        </w:rPr>
        <w:t xml:space="preserve"> אבל גרושה </w:t>
      </w:r>
      <w:r>
        <w:rPr>
          <w:rFonts w:cs="Arial" w:hint="cs"/>
          <w:rtl/>
        </w:rPr>
        <w:t xml:space="preserve">- </w:t>
      </w:r>
      <w:r w:rsidRPr="00B97831">
        <w:rPr>
          <w:rFonts w:cs="Arial"/>
          <w:rtl/>
        </w:rPr>
        <w:t>גובה לעולם כשאר בעלי חובות</w:t>
      </w:r>
      <w:r>
        <w:rPr>
          <w:rFonts w:cs="Arial" w:hint="cs"/>
          <w:rtl/>
        </w:rPr>
        <w:t>.</w:t>
      </w:r>
      <w:r>
        <w:rPr>
          <w:rFonts w:hint="cs"/>
          <w:rtl/>
        </w:rPr>
        <w:t xml:space="preserve"> </w:t>
      </w:r>
      <w:r w:rsidRPr="005D6764">
        <w:rPr>
          <w:rFonts w:hint="cs"/>
          <w:color w:val="E36C0A" w:themeColor="accent6" w:themeShade="BF"/>
          <w:rtl/>
        </w:rPr>
        <w:t>(וכ"פ בשו"ע)</w:t>
      </w:r>
    </w:p>
    <w:p w14:paraId="0A2745FE"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FB4D640" w14:textId="77777777" w:rsidR="00392DBB" w:rsidRPr="007A3469" w:rsidRDefault="00392DBB" w:rsidP="00392DBB">
      <w:pPr>
        <w:rPr>
          <w:rtl/>
        </w:rPr>
        <w:sectPr w:rsidR="00392DBB" w:rsidRPr="007A3469" w:rsidSect="00A347B3">
          <w:headerReference w:type="default" r:id="rId45"/>
          <w:footnotePr>
            <w:numRestart w:val="eachSect"/>
          </w:footnotePr>
          <w:pgSz w:w="11906" w:h="16838"/>
          <w:pgMar w:top="720" w:right="1134" w:bottom="720" w:left="1134" w:header="0" w:footer="0" w:gutter="0"/>
          <w:cols w:space="720"/>
          <w:bidi/>
          <w:rtlGutter/>
          <w:docGrid w:linePitch="360"/>
        </w:sectPr>
      </w:pPr>
      <w:r>
        <w:rPr>
          <w:rFonts w:cs="Arial"/>
          <w:rtl/>
        </w:rPr>
        <w:t>גרושה, לעולם אינה מוחלת, אפילו שהתה כמה שנים.</w:t>
      </w:r>
    </w:p>
    <w:p w14:paraId="778C18D5" w14:textId="77777777" w:rsidR="00392DBB" w:rsidRPr="000904BE" w:rsidRDefault="00392DBB" w:rsidP="00392DBB">
      <w:pPr>
        <w:pStyle w:val="1"/>
        <w:rPr>
          <w:rtl/>
        </w:rPr>
      </w:pPr>
      <w:r>
        <w:rPr>
          <w:rFonts w:hint="cs"/>
          <w:rtl/>
        </w:rPr>
        <w:lastRenderedPageBreak/>
        <w:t>סימן קב:</w:t>
      </w:r>
      <w:r w:rsidRPr="00C12B74">
        <w:rPr>
          <w:rtl/>
        </w:rPr>
        <w:t xml:space="preserve"> </w:t>
      </w:r>
      <w:r w:rsidRPr="000904BE">
        <w:rPr>
          <w:rFonts w:cs="Arial"/>
          <w:rtl/>
        </w:rPr>
        <w:t xml:space="preserve">דין גביית חוב וכתובת אלמנה, ובו ט' סעיפים. </w:t>
      </w:r>
    </w:p>
    <w:p w14:paraId="54A19D70" w14:textId="41B01ABB" w:rsidR="00392DBB" w:rsidRDefault="00392DBB" w:rsidP="000F64D0">
      <w:pPr>
        <w:pStyle w:val="2"/>
        <w:rPr>
          <w:rtl/>
        </w:rPr>
      </w:pPr>
      <w:r w:rsidRPr="000904BE">
        <w:rPr>
          <w:rtl/>
        </w:rPr>
        <w:t>סעיף א</w:t>
      </w:r>
      <w:r>
        <w:rPr>
          <w:rFonts w:hint="cs"/>
          <w:rtl/>
        </w:rPr>
        <w:t>:</w:t>
      </w:r>
      <w:r w:rsidRPr="003A4B45">
        <w:rPr>
          <w:rFonts w:hint="cs"/>
          <w:rtl/>
        </w:rPr>
        <w:t xml:space="preserve"> אלמנ</w:t>
      </w:r>
      <w:r>
        <w:rPr>
          <w:rFonts w:hint="cs"/>
          <w:rtl/>
        </w:rPr>
        <w:t>ה ו</w:t>
      </w:r>
      <w:r w:rsidRPr="003A4B45">
        <w:rPr>
          <w:rFonts w:hint="cs"/>
          <w:rtl/>
        </w:rPr>
        <w:t>בעל חוב</w:t>
      </w:r>
      <w:r>
        <w:rPr>
          <w:rFonts w:hint="cs"/>
          <w:rtl/>
        </w:rPr>
        <w:t xml:space="preserve"> </w:t>
      </w:r>
      <w:r w:rsidR="00F97626">
        <w:rPr>
          <w:rtl/>
        </w:rPr>
        <w:t>-</w:t>
      </w:r>
      <w:r>
        <w:rPr>
          <w:rFonts w:hint="cs"/>
          <w:rtl/>
        </w:rPr>
        <w:t xml:space="preserve"> ויש נכסים שיש להם דין קדימה.</w:t>
      </w:r>
    </w:p>
    <w:p w14:paraId="5721A77B" w14:textId="33C07737" w:rsidR="00392DBB" w:rsidRDefault="00392DBB" w:rsidP="00392DBB">
      <w:pPr>
        <w:rPr>
          <w:rtl/>
        </w:rPr>
      </w:pPr>
      <w:r w:rsidRPr="00E14BD0">
        <w:rPr>
          <w:rFonts w:cs="Arial"/>
          <w:b/>
          <w:bCs/>
          <w:rtl/>
        </w:rPr>
        <w:t xml:space="preserve">כתובות </w:t>
      </w:r>
      <w:r w:rsidRPr="00E14BD0">
        <w:rPr>
          <w:rFonts w:cs="Arial" w:hint="cs"/>
          <w:b/>
          <w:bCs/>
          <w:sz w:val="16"/>
          <w:szCs w:val="16"/>
          <w:rtl/>
        </w:rPr>
        <w:t>(ס"</w:t>
      </w:r>
      <w:r w:rsidRPr="00E14BD0">
        <w:rPr>
          <w:rFonts w:cs="Arial"/>
          <w:b/>
          <w:bCs/>
          <w:sz w:val="16"/>
          <w:szCs w:val="16"/>
          <w:rtl/>
        </w:rPr>
        <w:t xml:space="preserve">פ </w:t>
      </w:r>
      <w:r>
        <w:rPr>
          <w:rFonts w:cs="Arial" w:hint="cs"/>
          <w:b/>
          <w:bCs/>
          <w:sz w:val="16"/>
          <w:szCs w:val="16"/>
          <w:rtl/>
        </w:rPr>
        <w:t>הכותב</w:t>
      </w:r>
      <w:r w:rsidRPr="00E14BD0">
        <w:rPr>
          <w:rFonts w:cs="Arial" w:hint="cs"/>
          <w:b/>
          <w:bCs/>
          <w:sz w:val="16"/>
          <w:szCs w:val="16"/>
          <w:rtl/>
        </w:rPr>
        <w:t>)</w:t>
      </w:r>
      <w:r w:rsidRPr="00E14BD0">
        <w:rPr>
          <w:rFonts w:cs="Arial" w:hint="cs"/>
          <w:b/>
          <w:bCs/>
          <w:rtl/>
        </w:rPr>
        <w:t xml:space="preserve"> </w:t>
      </w:r>
      <w:r>
        <w:rPr>
          <w:rFonts w:cs="Arial" w:hint="cs"/>
          <w:b/>
          <w:bCs/>
          <w:rtl/>
        </w:rPr>
        <w:t>פו</w:t>
      </w:r>
      <w:r w:rsidR="007C7A00">
        <w:rPr>
          <w:rStyle w:val="a7"/>
          <w:rFonts w:cs="Arial"/>
          <w:b/>
          <w:bCs/>
          <w:rtl/>
        </w:rPr>
        <w:footnoteReference w:id="2091"/>
      </w:r>
      <w:r w:rsidRPr="00E14BD0">
        <w:rPr>
          <w:rFonts w:cs="Arial" w:hint="cs"/>
          <w:b/>
          <w:bCs/>
          <w:rtl/>
        </w:rPr>
        <w:t xml:space="preserve"> ע"</w:t>
      </w:r>
      <w:r>
        <w:rPr>
          <w:rFonts w:cs="Arial" w:hint="cs"/>
          <w:b/>
          <w:bCs/>
          <w:rtl/>
        </w:rPr>
        <w:t>א</w:t>
      </w:r>
      <w:r w:rsidRPr="00E14BD0">
        <w:rPr>
          <w:rFonts w:cs="Arial"/>
          <w:b/>
          <w:bCs/>
          <w:rtl/>
        </w:rPr>
        <w:t>:</w:t>
      </w:r>
      <w:r w:rsidRPr="00567E28">
        <w:rPr>
          <w:rFonts w:cs="Arial"/>
          <w:rtl/>
        </w:rPr>
        <w:t xml:space="preserve"> </w:t>
      </w:r>
      <w:r w:rsidRPr="00DC4A1A">
        <w:rPr>
          <w:rFonts w:cs="Arial"/>
          <w:u w:val="single"/>
          <w:rtl/>
        </w:rPr>
        <w:t>אמר אמימר משמיה דרב חמא</w:t>
      </w:r>
      <w:r w:rsidRPr="00DC4A1A">
        <w:rPr>
          <w:rFonts w:cs="Arial"/>
          <w:rtl/>
        </w:rPr>
        <w:t>: האי מאן דאיכא עליה כתובת אשה ובע"ח, ואית ליה ארעא ואית ליה זוזי, לבעל חוב מסלקינן ליה בזוזי, לאשה מסלקינן לה בארעא. האי כי דיניה והאי כי דיניה</w:t>
      </w:r>
      <w:r>
        <w:rPr>
          <w:rFonts w:cs="Arial" w:hint="cs"/>
          <w:rtl/>
        </w:rPr>
        <w:t>.</w:t>
      </w:r>
      <w:r w:rsidRPr="00DC4A1A">
        <w:rPr>
          <w:rFonts w:cs="Arial"/>
          <w:rtl/>
        </w:rPr>
        <w:t xml:space="preserve"> ואי לא איכא אלא חד ארעא ולא חזיא אלא לחד, לבעל חוב יהבינן ליה</w:t>
      </w:r>
      <w:r>
        <w:rPr>
          <w:rStyle w:val="a7"/>
          <w:rFonts w:cs="Arial"/>
          <w:rtl/>
        </w:rPr>
        <w:footnoteReference w:id="2092"/>
      </w:r>
      <w:r w:rsidRPr="00DC4A1A">
        <w:rPr>
          <w:rFonts w:cs="Arial"/>
          <w:rtl/>
        </w:rPr>
        <w:t>, לאשה לא יהבינן לה, מאי טעמא? יותר ממה שהאיש רוצה לישא - אשה רוצה להנשא</w:t>
      </w:r>
      <w:r>
        <w:rPr>
          <w:rStyle w:val="a7"/>
          <w:rFonts w:cs="Arial"/>
          <w:rtl/>
        </w:rPr>
        <w:footnoteReference w:id="2093"/>
      </w:r>
      <w:r w:rsidRPr="00DC4A1A">
        <w:rPr>
          <w:rFonts w:cs="Arial"/>
          <w:rtl/>
        </w:rPr>
        <w:t>.</w:t>
      </w:r>
    </w:p>
    <w:p w14:paraId="4122F2B3" w14:textId="58A584DC" w:rsidR="00392DBB" w:rsidRDefault="00392DBB" w:rsidP="00392DBB">
      <w:pPr>
        <w:rPr>
          <w:rtl/>
        </w:rPr>
      </w:pPr>
      <w:r w:rsidRPr="00E14BD0">
        <w:rPr>
          <w:rFonts w:cs="Arial"/>
          <w:b/>
          <w:bCs/>
          <w:rtl/>
        </w:rPr>
        <w:t xml:space="preserve">כתובות </w:t>
      </w:r>
      <w:r w:rsidRPr="00E14BD0">
        <w:rPr>
          <w:rFonts w:cs="Arial" w:hint="cs"/>
          <w:b/>
          <w:bCs/>
          <w:sz w:val="16"/>
          <w:szCs w:val="16"/>
          <w:rtl/>
        </w:rPr>
        <w:t>(ס"</w:t>
      </w:r>
      <w:r w:rsidRPr="00E14BD0">
        <w:rPr>
          <w:rFonts w:cs="Arial"/>
          <w:b/>
          <w:bCs/>
          <w:sz w:val="16"/>
          <w:szCs w:val="16"/>
          <w:rtl/>
        </w:rPr>
        <w:t xml:space="preserve">פ </w:t>
      </w:r>
      <w:r>
        <w:rPr>
          <w:rFonts w:cs="Arial" w:hint="cs"/>
          <w:b/>
          <w:bCs/>
          <w:sz w:val="16"/>
          <w:szCs w:val="16"/>
          <w:rtl/>
        </w:rPr>
        <w:t>הכותב</w:t>
      </w:r>
      <w:r w:rsidRPr="00E14BD0">
        <w:rPr>
          <w:rFonts w:cs="Arial" w:hint="cs"/>
          <w:b/>
          <w:bCs/>
          <w:sz w:val="16"/>
          <w:szCs w:val="16"/>
          <w:rtl/>
        </w:rPr>
        <w:t>)</w:t>
      </w:r>
      <w:r w:rsidRPr="00E14BD0">
        <w:rPr>
          <w:rFonts w:cs="Arial" w:hint="cs"/>
          <w:b/>
          <w:bCs/>
          <w:rtl/>
        </w:rPr>
        <w:t xml:space="preserve"> </w:t>
      </w:r>
      <w:r>
        <w:rPr>
          <w:rFonts w:cs="Arial" w:hint="cs"/>
          <w:b/>
          <w:bCs/>
          <w:rtl/>
        </w:rPr>
        <w:t>צג</w:t>
      </w:r>
      <w:r w:rsidRPr="00E14BD0">
        <w:rPr>
          <w:rFonts w:cs="Arial" w:hint="cs"/>
          <w:b/>
          <w:bCs/>
          <w:rtl/>
        </w:rPr>
        <w:t xml:space="preserve"> ע"</w:t>
      </w:r>
      <w:r>
        <w:rPr>
          <w:rFonts w:cs="Arial" w:hint="cs"/>
          <w:b/>
          <w:bCs/>
          <w:rtl/>
        </w:rPr>
        <w:t>ב</w:t>
      </w:r>
      <w:r w:rsidRPr="00E14BD0">
        <w:rPr>
          <w:rFonts w:cs="Arial"/>
          <w:b/>
          <w:bCs/>
          <w:rtl/>
        </w:rPr>
        <w:t>:</w:t>
      </w:r>
      <w:r w:rsidRPr="00567E28">
        <w:rPr>
          <w:rFonts w:cs="Arial"/>
          <w:rtl/>
        </w:rPr>
        <w:t xml:space="preserve"> </w:t>
      </w:r>
      <w:r w:rsidRPr="00AE5EBF">
        <w:rPr>
          <w:rFonts w:cs="Arial"/>
          <w:u w:val="double"/>
          <w:rtl/>
        </w:rPr>
        <w:t>מתני'</w:t>
      </w:r>
      <w:r>
        <w:rPr>
          <w:rFonts w:cs="Arial" w:hint="cs"/>
          <w:rtl/>
        </w:rPr>
        <w:t>:</w:t>
      </w:r>
      <w:r>
        <w:rPr>
          <w:rFonts w:cs="Arial"/>
          <w:rtl/>
        </w:rPr>
        <w:t xml:space="preserve"> מי שהיה נשוי ד' נשים ומת - הראשונה קודמת לשניה</w:t>
      </w:r>
      <w:r w:rsidR="00FF595A">
        <w:rPr>
          <w:rStyle w:val="a7"/>
          <w:rFonts w:cs="Arial"/>
          <w:rtl/>
        </w:rPr>
        <w:footnoteReference w:id="2094"/>
      </w:r>
      <w:r>
        <w:rPr>
          <w:rFonts w:cs="Arial"/>
          <w:rtl/>
        </w:rPr>
        <w:t>, ושניה לשלישית, ושלישית לרביעית</w:t>
      </w:r>
      <w:r>
        <w:rPr>
          <w:rFonts w:cs="Arial" w:hint="cs"/>
          <w:rtl/>
        </w:rPr>
        <w:t>.</w:t>
      </w:r>
      <w:r>
        <w:rPr>
          <w:rFonts w:cs="Arial"/>
          <w:rtl/>
        </w:rPr>
        <w:t xml:space="preserve"> וראשונה נשבעת לשניה, ושניה לשלישית, ושלישית לרביעית, והרביעית נפרעת שלא בשבועה</w:t>
      </w:r>
      <w:r>
        <w:rPr>
          <w:rFonts w:cs="Arial" w:hint="cs"/>
          <w:rtl/>
        </w:rPr>
        <w:t>.</w:t>
      </w:r>
      <w:r>
        <w:rPr>
          <w:rFonts w:cs="Arial"/>
          <w:rtl/>
        </w:rPr>
        <w:t xml:space="preserve"> </w:t>
      </w:r>
      <w:r w:rsidRPr="00AE5EBF">
        <w:rPr>
          <w:rFonts w:cs="Arial"/>
          <w:u w:val="single"/>
          <w:rtl/>
        </w:rPr>
        <w:t>בן ננס אומר</w:t>
      </w:r>
      <w:r>
        <w:rPr>
          <w:rFonts w:cs="Arial"/>
          <w:rtl/>
        </w:rPr>
        <w:t>: וכי מפני שהיא אחרונה נשכרת? אף היא לא תפרע אלא בשבועה.</w:t>
      </w:r>
      <w:r>
        <w:rPr>
          <w:rFonts w:cs="Arial" w:hint="cs"/>
          <w:rtl/>
        </w:rPr>
        <w:t>.</w:t>
      </w:r>
      <w:r>
        <w:rPr>
          <w:rFonts w:cs="Arial"/>
          <w:rtl/>
        </w:rPr>
        <w:t xml:space="preserve">. </w:t>
      </w:r>
      <w:r>
        <w:rPr>
          <w:rFonts w:hint="cs"/>
          <w:rtl/>
        </w:rPr>
        <w:t xml:space="preserve">       </w:t>
      </w:r>
      <w:r w:rsidRPr="00AE5EBF">
        <w:rPr>
          <w:rFonts w:cs="Arial"/>
          <w:u w:val="double"/>
          <w:rtl/>
        </w:rPr>
        <w:t>גמ'</w:t>
      </w:r>
      <w:r>
        <w:rPr>
          <w:rFonts w:cs="Arial" w:hint="cs"/>
          <w:rtl/>
        </w:rPr>
        <w:t>:</w:t>
      </w:r>
      <w:r>
        <w:rPr>
          <w:rFonts w:cs="Arial"/>
          <w:rtl/>
        </w:rPr>
        <w:t xml:space="preserve"> במאי קמיפלגי? </w:t>
      </w:r>
      <w:r w:rsidRPr="00AE5EBF">
        <w:rPr>
          <w:rFonts w:cs="Arial"/>
          <w:u w:val="single"/>
          <w:rtl/>
        </w:rPr>
        <w:t>אמר שמואל</w:t>
      </w:r>
      <w:r>
        <w:rPr>
          <w:rFonts w:cs="Arial"/>
          <w:rtl/>
        </w:rPr>
        <w:t>:</w:t>
      </w:r>
      <w:r>
        <w:rPr>
          <w:rFonts w:hint="cs"/>
          <w:sz w:val="14"/>
          <w:szCs w:val="14"/>
          <w:rtl/>
        </w:rPr>
        <w:t xml:space="preserve"> (צד.)</w:t>
      </w:r>
      <w:r>
        <w:rPr>
          <w:rFonts w:hint="cs"/>
          <w:rtl/>
        </w:rPr>
        <w:t xml:space="preserve"> </w:t>
      </w:r>
      <w:r w:rsidRPr="00AE5EBF">
        <w:rPr>
          <w:rFonts w:cs="Arial"/>
          <w:rtl/>
        </w:rPr>
        <w:t>כגון שנמצאת אחת</w:t>
      </w:r>
      <w:r>
        <w:rPr>
          <w:rStyle w:val="a7"/>
          <w:rFonts w:cs="Arial"/>
          <w:rtl/>
        </w:rPr>
        <w:footnoteReference w:id="2095"/>
      </w:r>
      <w:r w:rsidRPr="00AE5EBF">
        <w:rPr>
          <w:rFonts w:cs="Arial"/>
          <w:rtl/>
        </w:rPr>
        <w:t xml:space="preserve"> מהן שדה שאינה שלו</w:t>
      </w:r>
      <w:r>
        <w:rPr>
          <w:rStyle w:val="a7"/>
          <w:rFonts w:cs="Arial"/>
          <w:rtl/>
        </w:rPr>
        <w:footnoteReference w:id="2096"/>
      </w:r>
      <w:r w:rsidRPr="00AE5EBF">
        <w:rPr>
          <w:rFonts w:cs="Arial"/>
          <w:rtl/>
        </w:rPr>
        <w:t>, ובבעל חוב מאוחר שקדם וגבה קמיפלגי, ת"ק סבר: מה שגבה לא גבה</w:t>
      </w:r>
      <w:r>
        <w:rPr>
          <w:rStyle w:val="a7"/>
          <w:rFonts w:cs="Arial"/>
          <w:rtl/>
        </w:rPr>
        <w:footnoteReference w:id="2097"/>
      </w:r>
      <w:r w:rsidRPr="00AE5EBF">
        <w:rPr>
          <w:rFonts w:cs="Arial"/>
          <w:rtl/>
        </w:rPr>
        <w:t>, ובן ננס סבר: מה שגבה גבה</w:t>
      </w:r>
      <w:r>
        <w:rPr>
          <w:rStyle w:val="a7"/>
          <w:rFonts w:cs="Arial"/>
          <w:rtl/>
        </w:rPr>
        <w:footnoteReference w:id="2098"/>
      </w:r>
      <w:r w:rsidRPr="00AE5EBF">
        <w:rPr>
          <w:rFonts w:cs="Arial"/>
          <w:rtl/>
        </w:rPr>
        <w:t>.</w:t>
      </w:r>
      <w:r>
        <w:rPr>
          <w:rFonts w:cs="Arial" w:hint="cs"/>
          <w:sz w:val="16"/>
          <w:szCs w:val="16"/>
          <w:rtl/>
        </w:rPr>
        <w:t xml:space="preserve"> (</w:t>
      </w:r>
      <w:r w:rsidRPr="00AE5EBF">
        <w:rPr>
          <w:rFonts w:cs="Arial"/>
          <w:sz w:val="16"/>
          <w:szCs w:val="16"/>
          <w:rtl/>
        </w:rPr>
        <w:t>ופסקו הפוסקים הלכה כת"ק דמה שגבה לא גבה</w:t>
      </w:r>
      <w:r>
        <w:rPr>
          <w:rFonts w:cs="Arial" w:hint="cs"/>
          <w:sz w:val="16"/>
          <w:szCs w:val="16"/>
          <w:rtl/>
        </w:rPr>
        <w:t>, ב"י)</w:t>
      </w:r>
    </w:p>
    <w:p w14:paraId="74C58EC5" w14:textId="05633850" w:rsidR="00392DBB" w:rsidRPr="00DB6E63" w:rsidRDefault="00392DBB" w:rsidP="00392DBB">
      <w:pPr>
        <w:rPr>
          <w:u w:val="single"/>
          <w:rtl/>
        </w:rPr>
      </w:pPr>
      <w:r w:rsidRPr="00DB6E63">
        <w:rPr>
          <w:rFonts w:hint="cs"/>
          <w:u w:val="single"/>
          <w:rtl/>
        </w:rPr>
        <w:t xml:space="preserve">מי שמת </w:t>
      </w:r>
      <w:r w:rsidRPr="003A4B45">
        <w:rPr>
          <w:rFonts w:hint="cs"/>
          <w:u w:val="single"/>
          <w:rtl/>
        </w:rPr>
        <w:t>ואלמנתו באה לגבות כתובתה ויש למת בעל חוב</w:t>
      </w:r>
      <w:r w:rsidRPr="00DB6E63">
        <w:rPr>
          <w:rFonts w:hint="cs"/>
          <w:u w:val="single"/>
          <w:rtl/>
        </w:rPr>
        <w:t xml:space="preserve"> </w:t>
      </w:r>
      <w:r w:rsidR="00F97626">
        <w:rPr>
          <w:u w:val="single"/>
          <w:rtl/>
        </w:rPr>
        <w:t>-</w:t>
      </w:r>
      <w:r w:rsidRPr="00DB6E63">
        <w:rPr>
          <w:rFonts w:hint="cs"/>
          <w:u w:val="single"/>
          <w:rtl/>
        </w:rPr>
        <w:t xml:space="preserve"> מי קודם:</w:t>
      </w:r>
    </w:p>
    <w:p w14:paraId="5A032249" w14:textId="7B364D4C" w:rsidR="00392DBB" w:rsidRPr="00DB6E63" w:rsidRDefault="00392DBB" w:rsidP="009000E3">
      <w:pPr>
        <w:pStyle w:val="ab"/>
        <w:numPr>
          <w:ilvl w:val="0"/>
          <w:numId w:val="61"/>
        </w:numPr>
      </w:pPr>
      <w:r>
        <w:rPr>
          <w:rFonts w:hint="cs"/>
          <w:rtl/>
        </w:rPr>
        <w:t xml:space="preserve">רמב"ם </w:t>
      </w:r>
      <w:r>
        <w:rPr>
          <w:rFonts w:hint="cs"/>
          <w:sz w:val="16"/>
          <w:szCs w:val="16"/>
          <w:rtl/>
        </w:rPr>
        <w:t xml:space="preserve">(פי"ז ה"ד-ה) </w:t>
      </w:r>
      <w:r>
        <w:rPr>
          <w:rFonts w:hint="cs"/>
          <w:rtl/>
        </w:rPr>
        <w:t xml:space="preserve">וטור- </w:t>
      </w:r>
      <w:r w:rsidRPr="00A167C1">
        <w:rPr>
          <w:rFonts w:cs="Arial"/>
          <w:rtl/>
        </w:rPr>
        <w:t>מי שמת</w:t>
      </w:r>
      <w:r>
        <w:rPr>
          <w:rStyle w:val="a7"/>
          <w:rFonts w:cs="Arial"/>
          <w:rtl/>
        </w:rPr>
        <w:footnoteReference w:id="2099"/>
      </w:r>
      <w:r w:rsidRPr="00A167C1">
        <w:rPr>
          <w:rFonts w:cs="Arial"/>
          <w:rtl/>
        </w:rPr>
        <w:t xml:space="preserve"> ואלמנתו</w:t>
      </w:r>
      <w:r>
        <w:rPr>
          <w:rStyle w:val="a7"/>
          <w:rFonts w:cs="Arial"/>
          <w:rtl/>
        </w:rPr>
        <w:footnoteReference w:id="2100"/>
      </w:r>
      <w:r w:rsidRPr="00A167C1">
        <w:rPr>
          <w:rFonts w:cs="Arial"/>
          <w:rtl/>
        </w:rPr>
        <w:t xml:space="preserve"> באה לגבות כתובתה</w:t>
      </w:r>
      <w:r>
        <w:rPr>
          <w:rFonts w:cs="Arial" w:hint="cs"/>
          <w:rtl/>
        </w:rPr>
        <w:t>,</w:t>
      </w:r>
      <w:r w:rsidRPr="00A167C1">
        <w:rPr>
          <w:rFonts w:cs="Arial"/>
          <w:rtl/>
        </w:rPr>
        <w:t xml:space="preserve"> ועליו ב</w:t>
      </w:r>
      <w:r w:rsidR="007A3C55">
        <w:rPr>
          <w:rFonts w:cs="Arial" w:hint="cs"/>
          <w:rtl/>
        </w:rPr>
        <w:t>על חוב</w:t>
      </w:r>
      <w:r>
        <w:rPr>
          <w:rFonts w:cs="Arial" w:hint="cs"/>
          <w:rtl/>
        </w:rPr>
        <w:t>,</w:t>
      </w:r>
      <w:r w:rsidRPr="00A167C1">
        <w:rPr>
          <w:rFonts w:cs="Arial"/>
          <w:rtl/>
        </w:rPr>
        <w:t xml:space="preserve"> אם זמנו של אחד מהם קודם ולא הניח אלא קרקע כדי לפרוע לאחד מהם </w:t>
      </w:r>
      <w:r>
        <w:rPr>
          <w:rFonts w:cs="Arial" w:hint="cs"/>
          <w:rtl/>
        </w:rPr>
        <w:t xml:space="preserve">- </w:t>
      </w:r>
      <w:r w:rsidRPr="00A167C1">
        <w:rPr>
          <w:rFonts w:cs="Arial"/>
          <w:rtl/>
        </w:rPr>
        <w:t>מי שזמנו קודם יגבה</w:t>
      </w:r>
      <w:r>
        <w:rPr>
          <w:rFonts w:cs="Arial" w:hint="cs"/>
          <w:rtl/>
        </w:rPr>
        <w:t>,</w:t>
      </w:r>
      <w:r w:rsidRPr="00A167C1">
        <w:rPr>
          <w:rFonts w:cs="Arial"/>
          <w:rtl/>
        </w:rPr>
        <w:t xml:space="preserve"> והאחר ידחה</w:t>
      </w:r>
      <w:r>
        <w:rPr>
          <w:rFonts w:cs="Arial" w:hint="cs"/>
          <w:rtl/>
        </w:rPr>
        <w:t>,</w:t>
      </w:r>
      <w:r w:rsidRPr="00A167C1">
        <w:rPr>
          <w:rFonts w:cs="Arial"/>
          <w:rtl/>
        </w:rPr>
        <w:t xml:space="preserve"> בין אלמנה בין ב"ח</w:t>
      </w:r>
      <w:r>
        <w:rPr>
          <w:rFonts w:cs="Arial" w:hint="cs"/>
          <w:rtl/>
        </w:rPr>
        <w:t>.</w:t>
      </w:r>
      <w:r w:rsidRPr="00A167C1">
        <w:rPr>
          <w:rFonts w:cs="Arial"/>
          <w:rtl/>
        </w:rPr>
        <w:t xml:space="preserve"> </w:t>
      </w:r>
      <w:r w:rsidRPr="003A4B45">
        <w:rPr>
          <w:rFonts w:hint="cs"/>
          <w:color w:val="E36C0A" w:themeColor="accent6" w:themeShade="BF"/>
          <w:rtl/>
        </w:rPr>
        <w:t>(וכ"פ בשו"ע)</w:t>
      </w:r>
    </w:p>
    <w:p w14:paraId="45473B23" w14:textId="77777777" w:rsidR="00392DBB" w:rsidRPr="00DB6E63" w:rsidRDefault="00392DBB" w:rsidP="00392DBB">
      <w:pPr>
        <w:ind w:left="360"/>
        <w:rPr>
          <w:u w:val="dotted"/>
        </w:rPr>
      </w:pPr>
      <w:r w:rsidRPr="00DB6E63">
        <w:rPr>
          <w:rFonts w:hint="cs"/>
          <w:u w:val="dotted"/>
          <w:rtl/>
        </w:rPr>
        <w:t>ומה הדין אם תפש אחד מהם:</w:t>
      </w:r>
    </w:p>
    <w:p w14:paraId="58B487C7" w14:textId="77777777" w:rsidR="00392DBB" w:rsidRPr="00C0191E" w:rsidRDefault="00392DBB" w:rsidP="009000E3">
      <w:pPr>
        <w:pStyle w:val="ab"/>
        <w:numPr>
          <w:ilvl w:val="0"/>
          <w:numId w:val="61"/>
        </w:numPr>
        <w:rPr>
          <w:rtl/>
        </w:rPr>
      </w:pPr>
      <w:r>
        <w:rPr>
          <w:rFonts w:cs="Arial" w:hint="cs"/>
          <w:rtl/>
        </w:rPr>
        <w:t xml:space="preserve">טור- </w:t>
      </w:r>
      <w:r w:rsidRPr="00A167C1">
        <w:rPr>
          <w:rFonts w:cs="Arial"/>
          <w:rtl/>
        </w:rPr>
        <w:t xml:space="preserve">ואפי' תפש המאוחר </w:t>
      </w:r>
      <w:r>
        <w:rPr>
          <w:rFonts w:cs="Arial" w:hint="cs"/>
          <w:rtl/>
        </w:rPr>
        <w:t xml:space="preserve">- </w:t>
      </w:r>
      <w:r w:rsidRPr="00A167C1">
        <w:rPr>
          <w:rFonts w:cs="Arial"/>
          <w:rtl/>
        </w:rPr>
        <w:t>מוציאין מידו</w:t>
      </w:r>
      <w:r>
        <w:rPr>
          <w:rFonts w:cs="Arial" w:hint="cs"/>
          <w:rtl/>
        </w:rPr>
        <w:t>.</w:t>
      </w:r>
      <w:r w:rsidRPr="003A4B45">
        <w:rPr>
          <w:rFonts w:hint="cs"/>
          <w:color w:val="E36C0A" w:themeColor="accent6" w:themeShade="BF"/>
          <w:rtl/>
        </w:rPr>
        <w:t xml:space="preserve"> (וכ"פ בשו"ע)</w:t>
      </w:r>
    </w:p>
    <w:p w14:paraId="20C9C3DF"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76C0F09" w14:textId="21C99C50" w:rsidR="00392DBB" w:rsidRDefault="00392DBB" w:rsidP="00392DBB">
      <w:pPr>
        <w:rPr>
          <w:rFonts w:cs="Arial"/>
          <w:rtl/>
        </w:rPr>
      </w:pPr>
      <w:r w:rsidRPr="000904BE">
        <w:rPr>
          <w:rFonts w:cs="Arial"/>
          <w:rtl/>
        </w:rPr>
        <w:t xml:space="preserve">מי שמת, ואלמנתו </w:t>
      </w:r>
      <w:r>
        <w:rPr>
          <w:rFonts w:cs="Arial" w:hint="cs"/>
          <w:sz w:val="18"/>
          <w:szCs w:val="18"/>
          <w:rtl/>
        </w:rPr>
        <w:t xml:space="preserve">[הגה] </w:t>
      </w:r>
      <w:r w:rsidRPr="007A47A7">
        <w:rPr>
          <w:rFonts w:cs="Arial"/>
          <w:sz w:val="18"/>
          <w:szCs w:val="18"/>
          <w:rtl/>
        </w:rPr>
        <w:t xml:space="preserve">או גרושתו (מרדכי) </w:t>
      </w:r>
      <w:r w:rsidRPr="000904BE">
        <w:rPr>
          <w:rFonts w:cs="Arial"/>
          <w:rtl/>
        </w:rPr>
        <w:t xml:space="preserve">באה לגבות כתובתה, ועליו בעל חוב, אם זמן של אחד מהם מוקדם, ולא הניח אלא קרקע כדי לפרוע לאחד מהם, מי שזמנו קודם יגבה, והאחר ידחה, בין אלמנה בין בעל חוב. ואפילו תפס המאוחר, מוציאין מידו. </w:t>
      </w:r>
      <w:r w:rsidRPr="007A47A7">
        <w:rPr>
          <w:rFonts w:cs="Arial"/>
          <w:sz w:val="18"/>
          <w:szCs w:val="18"/>
          <w:rtl/>
        </w:rPr>
        <w:t>הגה: היתה הכתובה מוקדמת, אינה יכולה לומר: לא אגבה כתובתי עכשיו רק אהיה ניזונית בבית בעלי ואח"כ אגבה כתובתי</w:t>
      </w:r>
      <w:r>
        <w:rPr>
          <w:rStyle w:val="a7"/>
          <w:rFonts w:cs="Arial"/>
          <w:sz w:val="18"/>
          <w:szCs w:val="18"/>
          <w:rtl/>
        </w:rPr>
        <w:footnoteReference w:id="2101"/>
      </w:r>
      <w:r w:rsidRPr="007A47A7">
        <w:rPr>
          <w:rFonts w:cs="Arial"/>
          <w:sz w:val="18"/>
          <w:szCs w:val="18"/>
          <w:rtl/>
        </w:rPr>
        <w:t>, אלא נותנים לה כתובתה, והמותר לבעל חוב (ועיין בחו</w:t>
      </w:r>
      <w:r>
        <w:rPr>
          <w:rFonts w:cs="Arial" w:hint="cs"/>
          <w:sz w:val="18"/>
          <w:szCs w:val="18"/>
          <w:rtl/>
        </w:rPr>
        <w:t>"</w:t>
      </w:r>
      <w:r w:rsidRPr="007A47A7">
        <w:rPr>
          <w:rFonts w:cs="Arial"/>
          <w:sz w:val="18"/>
          <w:szCs w:val="18"/>
          <w:rtl/>
        </w:rPr>
        <w:t>מ סי</w:t>
      </w:r>
      <w:r>
        <w:rPr>
          <w:rFonts w:cs="Arial" w:hint="cs"/>
          <w:sz w:val="18"/>
          <w:szCs w:val="18"/>
          <w:rtl/>
        </w:rPr>
        <w:t>'</w:t>
      </w:r>
      <w:r w:rsidRPr="007A47A7">
        <w:rPr>
          <w:rFonts w:cs="Arial"/>
          <w:sz w:val="18"/>
          <w:szCs w:val="18"/>
          <w:rtl/>
        </w:rPr>
        <w:t xml:space="preserve"> צז).</w:t>
      </w:r>
      <w:r w:rsidRPr="000904BE">
        <w:rPr>
          <w:rFonts w:cs="Arial"/>
          <w:rtl/>
        </w:rPr>
        <w:t xml:space="preserve"> </w:t>
      </w:r>
    </w:p>
    <w:p w14:paraId="0789C1FC" w14:textId="77777777" w:rsidR="00392DBB" w:rsidRPr="005A6AB3" w:rsidRDefault="00392DBB" w:rsidP="00392DBB">
      <w:pPr>
        <w:rPr>
          <w:rFonts w:cs="Arial"/>
          <w:u w:val="single"/>
          <w:rtl/>
        </w:rPr>
      </w:pPr>
      <w:r w:rsidRPr="005A6AB3">
        <w:rPr>
          <w:rFonts w:cs="Arial" w:hint="cs"/>
          <w:u w:val="single"/>
          <w:rtl/>
        </w:rPr>
        <w:t>מי שהיה חייב לאנשים ע"י ממרמו"ת, ומת, והם רוצים לגבות קודם אשתו</w:t>
      </w:r>
      <w:r>
        <w:rPr>
          <w:rFonts w:cs="Arial" w:hint="cs"/>
          <w:u w:val="single"/>
          <w:rtl/>
        </w:rPr>
        <w:t xml:space="preserve"> בטענה שהם קודמים</w:t>
      </w:r>
      <w:r w:rsidRPr="005A6AB3">
        <w:rPr>
          <w:rFonts w:cs="Arial" w:hint="cs"/>
          <w:u w:val="single"/>
          <w:rtl/>
        </w:rPr>
        <w:t>:</w:t>
      </w:r>
    </w:p>
    <w:p w14:paraId="4AE3A1CF" w14:textId="4E7E62FC" w:rsidR="00392DBB" w:rsidRDefault="00392DBB" w:rsidP="009000E3">
      <w:pPr>
        <w:pStyle w:val="ab"/>
        <w:numPr>
          <w:ilvl w:val="0"/>
          <w:numId w:val="61"/>
        </w:numPr>
        <w:rPr>
          <w:rFonts w:cs="Arial"/>
        </w:rPr>
      </w:pPr>
      <w:r w:rsidRPr="005A6AB3">
        <w:rPr>
          <w:rFonts w:cs="Arial"/>
          <w:rtl/>
        </w:rPr>
        <w:t xml:space="preserve">פנים מאירות </w:t>
      </w:r>
      <w:r w:rsidRPr="005A6AB3">
        <w:rPr>
          <w:rFonts w:cs="Arial" w:hint="cs"/>
          <w:sz w:val="16"/>
          <w:szCs w:val="16"/>
          <w:rtl/>
        </w:rPr>
        <w:t>(</w:t>
      </w:r>
      <w:r w:rsidRPr="005A6AB3">
        <w:rPr>
          <w:rFonts w:cs="Arial"/>
          <w:sz w:val="16"/>
          <w:szCs w:val="16"/>
          <w:rtl/>
        </w:rPr>
        <w:t>ח"ב סי</w:t>
      </w:r>
      <w:r w:rsidRPr="005A6AB3">
        <w:rPr>
          <w:rFonts w:cs="Arial" w:hint="cs"/>
          <w:sz w:val="16"/>
          <w:szCs w:val="16"/>
          <w:rtl/>
        </w:rPr>
        <w:t>'</w:t>
      </w:r>
      <w:r w:rsidRPr="005A6AB3">
        <w:rPr>
          <w:rFonts w:cs="Arial"/>
          <w:sz w:val="16"/>
          <w:szCs w:val="16"/>
          <w:rtl/>
        </w:rPr>
        <w:t xml:space="preserve"> קב</w:t>
      </w:r>
      <w:r w:rsidRPr="005A6AB3">
        <w:rPr>
          <w:rFonts w:cs="Arial" w:hint="cs"/>
          <w:sz w:val="16"/>
          <w:szCs w:val="16"/>
          <w:rtl/>
        </w:rPr>
        <w:t>)</w:t>
      </w:r>
      <w:r w:rsidRPr="005A6AB3">
        <w:rPr>
          <w:rFonts w:cs="Arial" w:hint="cs"/>
          <w:rtl/>
        </w:rPr>
        <w:t xml:space="preserve">- </w:t>
      </w:r>
      <w:r w:rsidRPr="005A6AB3">
        <w:rPr>
          <w:rFonts w:cs="Arial"/>
          <w:rtl/>
        </w:rPr>
        <w:t>אלמן אחד נשא אשה והיה חייב לכמה אנשים על ממרמו"ת</w:t>
      </w:r>
      <w:r w:rsidRPr="005A6AB3">
        <w:rPr>
          <w:rFonts w:cs="Arial" w:hint="cs"/>
          <w:rtl/>
        </w:rPr>
        <w:t>,</w:t>
      </w:r>
      <w:r w:rsidRPr="005A6AB3">
        <w:rPr>
          <w:rFonts w:cs="Arial"/>
          <w:rtl/>
        </w:rPr>
        <w:t xml:space="preserve"> ושבק חיים</w:t>
      </w:r>
      <w:r w:rsidRPr="005A6AB3">
        <w:rPr>
          <w:rFonts w:cs="Arial" w:hint="cs"/>
          <w:rtl/>
        </w:rPr>
        <w:t>.</w:t>
      </w:r>
      <w:r w:rsidRPr="005A6AB3">
        <w:rPr>
          <w:rFonts w:cs="Arial"/>
          <w:rtl/>
        </w:rPr>
        <w:t xml:space="preserve"> ורצו בעלי ש</w:t>
      </w:r>
      <w:r w:rsidR="000C02F2">
        <w:rPr>
          <w:rFonts w:cs="Arial" w:hint="cs"/>
          <w:rtl/>
        </w:rPr>
        <w:t>ט</w:t>
      </w:r>
      <w:r w:rsidRPr="005A6AB3">
        <w:rPr>
          <w:rFonts w:cs="Arial"/>
          <w:rtl/>
        </w:rPr>
        <w:t>"ח לגבות קודם כתוב</w:t>
      </w:r>
      <w:r w:rsidRPr="005A6AB3">
        <w:rPr>
          <w:rFonts w:cs="Arial" w:hint="cs"/>
          <w:rtl/>
        </w:rPr>
        <w:t>ת</w:t>
      </w:r>
      <w:r w:rsidRPr="005A6AB3">
        <w:rPr>
          <w:rFonts w:cs="Arial"/>
          <w:rtl/>
        </w:rPr>
        <w:t xml:space="preserve"> אשתו באמרם שהם מוקדמים</w:t>
      </w:r>
      <w:r w:rsidRPr="005A6AB3">
        <w:rPr>
          <w:rFonts w:cs="Arial" w:hint="cs"/>
          <w:rtl/>
        </w:rPr>
        <w:t xml:space="preserve"> - </w:t>
      </w:r>
      <w:r w:rsidRPr="005A6AB3">
        <w:rPr>
          <w:rFonts w:cs="Arial"/>
          <w:rtl/>
        </w:rPr>
        <w:t>אין להם קדימה אלא היא קודמת</w:t>
      </w:r>
      <w:r w:rsidRPr="005A6AB3">
        <w:rPr>
          <w:rFonts w:cs="Arial" w:hint="cs"/>
          <w:rtl/>
        </w:rPr>
        <w:t>,</w:t>
      </w:r>
      <w:r w:rsidRPr="005A6AB3">
        <w:rPr>
          <w:rFonts w:cs="Arial"/>
          <w:rtl/>
        </w:rPr>
        <w:t xml:space="preserve"> כיון דממרמו"ת שלנו אינם אלא כמלוה ע"פ </w:t>
      </w:r>
      <w:r w:rsidRPr="005A6AB3">
        <w:rPr>
          <w:rFonts w:cs="Arial" w:hint="cs"/>
          <w:sz w:val="16"/>
          <w:szCs w:val="16"/>
          <w:rtl/>
        </w:rPr>
        <w:t>(</w:t>
      </w:r>
      <w:r w:rsidRPr="005A6AB3">
        <w:rPr>
          <w:rFonts w:cs="Arial"/>
          <w:sz w:val="16"/>
          <w:szCs w:val="16"/>
          <w:rtl/>
        </w:rPr>
        <w:t>ועיין בח"מ סי' קד סי"ג</w:t>
      </w:r>
      <w:r w:rsidRPr="005A6AB3">
        <w:rPr>
          <w:rFonts w:cs="Arial" w:hint="cs"/>
          <w:sz w:val="16"/>
          <w:szCs w:val="16"/>
          <w:rtl/>
        </w:rPr>
        <w:t>)</w:t>
      </w:r>
      <w:r w:rsidRPr="005A6AB3">
        <w:rPr>
          <w:rFonts w:cs="Arial" w:hint="cs"/>
          <w:rtl/>
        </w:rPr>
        <w:t>.</w:t>
      </w:r>
      <w:r w:rsidRPr="005A6AB3">
        <w:rPr>
          <w:rFonts w:cs="Arial"/>
          <w:rtl/>
        </w:rPr>
        <w:t xml:space="preserve"> </w:t>
      </w:r>
    </w:p>
    <w:p w14:paraId="19C3640F" w14:textId="62A04EF9" w:rsidR="00392DBB" w:rsidRPr="00CC6791" w:rsidRDefault="00392DBB" w:rsidP="00392DBB">
      <w:pPr>
        <w:rPr>
          <w:rFonts w:cs="Arial"/>
          <w:u w:val="single"/>
        </w:rPr>
      </w:pPr>
      <w:r w:rsidRPr="00CC6791">
        <w:rPr>
          <w:rFonts w:cs="Arial" w:hint="cs"/>
          <w:u w:val="single"/>
          <w:rtl/>
        </w:rPr>
        <w:lastRenderedPageBreak/>
        <w:t>מי ש</w:t>
      </w:r>
      <w:r w:rsidRPr="00CC6791">
        <w:rPr>
          <w:rFonts w:cs="Arial"/>
          <w:u w:val="single"/>
          <w:rtl/>
        </w:rPr>
        <w:t xml:space="preserve">היה חייב </w:t>
      </w:r>
      <w:r w:rsidRPr="00CC6791">
        <w:rPr>
          <w:rFonts w:cs="Arial" w:hint="cs"/>
          <w:u w:val="single"/>
          <w:rtl/>
        </w:rPr>
        <w:t>ל</w:t>
      </w:r>
      <w:r w:rsidRPr="00CC6791">
        <w:rPr>
          <w:rFonts w:cs="Arial"/>
          <w:u w:val="single"/>
          <w:rtl/>
        </w:rPr>
        <w:t>מס</w:t>
      </w:r>
      <w:r w:rsidRPr="00CC6791">
        <w:rPr>
          <w:rFonts w:cs="Arial" w:hint="cs"/>
          <w:u w:val="single"/>
          <w:rtl/>
        </w:rPr>
        <w:t xml:space="preserve"> הקהילה ונפטר </w:t>
      </w:r>
      <w:r w:rsidR="00F97626">
        <w:rPr>
          <w:rFonts w:cs="Arial"/>
          <w:u w:val="single"/>
          <w:rtl/>
        </w:rPr>
        <w:t>-</w:t>
      </w:r>
      <w:r w:rsidRPr="00CC6791">
        <w:rPr>
          <w:rFonts w:cs="Arial" w:hint="cs"/>
          <w:u w:val="single"/>
          <w:rtl/>
        </w:rPr>
        <w:t xml:space="preserve"> האם אשתו גובה לפני הפריעה למס:</w:t>
      </w:r>
    </w:p>
    <w:p w14:paraId="77E24F77" w14:textId="0D6D221F" w:rsidR="00392DBB" w:rsidRDefault="00392DBB" w:rsidP="009000E3">
      <w:pPr>
        <w:pStyle w:val="ab"/>
        <w:numPr>
          <w:ilvl w:val="0"/>
          <w:numId w:val="61"/>
        </w:numPr>
        <w:rPr>
          <w:rFonts w:cs="Arial"/>
        </w:rPr>
      </w:pPr>
      <w:r w:rsidRPr="005A6AB3">
        <w:rPr>
          <w:rFonts w:cs="Arial"/>
          <w:rtl/>
        </w:rPr>
        <w:t>כנה"ג בשם משא מלך</w:t>
      </w:r>
      <w:r w:rsidRPr="00CC6791">
        <w:rPr>
          <w:rFonts w:cs="Arial"/>
          <w:sz w:val="16"/>
          <w:szCs w:val="16"/>
          <w:rtl/>
        </w:rPr>
        <w:t xml:space="preserve"> </w:t>
      </w:r>
      <w:r w:rsidRPr="00CC6791">
        <w:rPr>
          <w:rFonts w:cs="Arial" w:hint="cs"/>
          <w:sz w:val="16"/>
          <w:szCs w:val="16"/>
          <w:rtl/>
        </w:rPr>
        <w:t>(</w:t>
      </w:r>
      <w:r w:rsidRPr="00CC6791">
        <w:rPr>
          <w:rFonts w:cs="Arial"/>
          <w:sz w:val="16"/>
          <w:szCs w:val="16"/>
          <w:rtl/>
        </w:rPr>
        <w:t>ח"ד משפט ז'</w:t>
      </w:r>
      <w:r w:rsidRPr="00CC6791">
        <w:rPr>
          <w:rFonts w:cs="Arial" w:hint="cs"/>
          <w:sz w:val="16"/>
          <w:szCs w:val="16"/>
          <w:rtl/>
        </w:rPr>
        <w:t xml:space="preserve">) </w:t>
      </w:r>
      <w:r>
        <w:rPr>
          <w:rFonts w:cs="Arial" w:hint="cs"/>
          <w:rtl/>
        </w:rPr>
        <w:t xml:space="preserve">ובאה"ט </w:t>
      </w:r>
      <w:r>
        <w:rPr>
          <w:rFonts w:cs="Arial" w:hint="cs"/>
          <w:sz w:val="16"/>
          <w:szCs w:val="16"/>
          <w:rtl/>
        </w:rPr>
        <w:t>(סק"א)</w:t>
      </w:r>
      <w:r>
        <w:rPr>
          <w:rFonts w:cs="Arial" w:hint="cs"/>
          <w:rtl/>
        </w:rPr>
        <w:t xml:space="preserve">- </w:t>
      </w:r>
      <w:r w:rsidRPr="005A6AB3">
        <w:rPr>
          <w:rFonts w:cs="Arial"/>
          <w:rtl/>
        </w:rPr>
        <w:t>היה חייב המס</w:t>
      </w:r>
      <w:r w:rsidR="000C02F2">
        <w:rPr>
          <w:rFonts w:cs="Arial" w:hint="cs"/>
          <w:rtl/>
        </w:rPr>
        <w:t>,</w:t>
      </w:r>
      <w:r w:rsidRPr="005A6AB3">
        <w:rPr>
          <w:rFonts w:cs="Arial"/>
          <w:rtl/>
        </w:rPr>
        <w:t xml:space="preserve"> נפרעין מנכסיו המס תחלה</w:t>
      </w:r>
      <w:r w:rsidR="000C02F2">
        <w:rPr>
          <w:rFonts w:cs="Arial" w:hint="cs"/>
          <w:rtl/>
        </w:rPr>
        <w:t>,</w:t>
      </w:r>
      <w:r w:rsidRPr="005A6AB3">
        <w:rPr>
          <w:rFonts w:cs="Arial"/>
          <w:rtl/>
        </w:rPr>
        <w:t xml:space="preserve"> ואח"כ תגבה היא כתובתה</w:t>
      </w:r>
      <w:r>
        <w:rPr>
          <w:rFonts w:cs="Arial" w:hint="cs"/>
          <w:sz w:val="16"/>
          <w:szCs w:val="16"/>
          <w:rtl/>
        </w:rPr>
        <w:t xml:space="preserve"> (ל' הבאה"ט)</w:t>
      </w:r>
      <w:r w:rsidRPr="005A6AB3">
        <w:rPr>
          <w:rFonts w:cs="Arial"/>
          <w:rtl/>
        </w:rPr>
        <w:t xml:space="preserve">. </w:t>
      </w:r>
    </w:p>
    <w:p w14:paraId="400F7507" w14:textId="3579A5FD" w:rsidR="00392DBB" w:rsidRPr="00E50C59" w:rsidRDefault="00392DBB" w:rsidP="009000E3">
      <w:pPr>
        <w:pStyle w:val="ab"/>
        <w:numPr>
          <w:ilvl w:val="0"/>
          <w:numId w:val="61"/>
        </w:numPr>
        <w:rPr>
          <w:rFonts w:cs="Arial"/>
        </w:rPr>
      </w:pPr>
      <w:r w:rsidRPr="005A6AB3">
        <w:rPr>
          <w:rFonts w:cs="Arial"/>
          <w:rtl/>
        </w:rPr>
        <w:t xml:space="preserve">חתם סופר </w:t>
      </w:r>
      <w:r w:rsidRPr="009F7BA7">
        <w:rPr>
          <w:rFonts w:cs="Arial" w:hint="cs"/>
          <w:sz w:val="16"/>
          <w:szCs w:val="16"/>
          <w:rtl/>
        </w:rPr>
        <w:t>(</w:t>
      </w:r>
      <w:r>
        <w:rPr>
          <w:rFonts w:cs="Arial" w:hint="cs"/>
          <w:sz w:val="16"/>
          <w:szCs w:val="16"/>
          <w:rtl/>
        </w:rPr>
        <w:t xml:space="preserve">שו"ת ח"ג אהע"ז </w:t>
      </w:r>
      <w:r w:rsidRPr="009F7BA7">
        <w:rPr>
          <w:rFonts w:cs="Arial"/>
          <w:sz w:val="16"/>
          <w:szCs w:val="16"/>
          <w:rtl/>
        </w:rPr>
        <w:t>סי' קמב</w:t>
      </w:r>
      <w:r>
        <w:rPr>
          <w:rFonts w:cs="Arial" w:hint="cs"/>
          <w:sz w:val="16"/>
          <w:szCs w:val="16"/>
          <w:rtl/>
        </w:rPr>
        <w:t>, הביא הפת"ש [סק"א] חלק מדבריו</w:t>
      </w:r>
      <w:r w:rsidRPr="009F7BA7">
        <w:rPr>
          <w:rFonts w:cs="Arial" w:hint="cs"/>
          <w:sz w:val="16"/>
          <w:szCs w:val="16"/>
          <w:rtl/>
        </w:rPr>
        <w:t>)</w:t>
      </w:r>
      <w:r>
        <w:rPr>
          <w:rFonts w:cs="Arial" w:hint="cs"/>
          <w:rtl/>
        </w:rPr>
        <w:t>-</w:t>
      </w:r>
      <w:r w:rsidRPr="005A6AB3">
        <w:rPr>
          <w:rFonts w:cs="Arial"/>
          <w:rtl/>
        </w:rPr>
        <w:t xml:space="preserve"> </w:t>
      </w:r>
      <w:r w:rsidRPr="0035456C">
        <w:rPr>
          <w:rFonts w:cs="Arial"/>
          <w:rtl/>
        </w:rPr>
        <w:t>גברא אלמא שכיב</w:t>
      </w:r>
      <w:r>
        <w:rPr>
          <w:rFonts w:cs="Arial" w:hint="cs"/>
          <w:rtl/>
        </w:rPr>
        <w:t>,</w:t>
      </w:r>
      <w:r w:rsidRPr="0035456C">
        <w:rPr>
          <w:rFonts w:cs="Arial"/>
          <w:rtl/>
        </w:rPr>
        <w:t xml:space="preserve"> וחיים לרבנן ולכל ישראל שביק</w:t>
      </w:r>
      <w:r>
        <w:rPr>
          <w:rFonts w:cs="Arial" w:hint="cs"/>
          <w:rtl/>
        </w:rPr>
        <w:t>,</w:t>
      </w:r>
      <w:r w:rsidRPr="0035456C">
        <w:rPr>
          <w:rFonts w:cs="Arial"/>
          <w:rtl/>
        </w:rPr>
        <w:t xml:space="preserve"> ומרוב אלמותו לא נשא בעול עם הציבור ולא שילם לחברת קבורת מתים החוק החיוב כל ימיו ועתה נשברה זרוע רמה</w:t>
      </w:r>
      <w:r>
        <w:rPr>
          <w:rFonts w:cs="Arial" w:hint="cs"/>
          <w:rtl/>
        </w:rPr>
        <w:t xml:space="preserve">, </w:t>
      </w:r>
      <w:r w:rsidRPr="0035456C">
        <w:rPr>
          <w:rFonts w:cs="Arial"/>
          <w:rtl/>
        </w:rPr>
        <w:t>אלופי קהל ראשים וטובים</w:t>
      </w:r>
      <w:r>
        <w:rPr>
          <w:rFonts w:cs="Arial" w:hint="cs"/>
          <w:rtl/>
        </w:rPr>
        <w:t xml:space="preserve"> </w:t>
      </w:r>
      <w:r w:rsidRPr="0035456C">
        <w:rPr>
          <w:rFonts w:cs="Arial"/>
          <w:rtl/>
        </w:rPr>
        <w:t>יורדין לנכסיו ומשלמים מהם ואם יטלו המגיע להם משלם יפחות לאשה מכדי מסת כתובתה והם אומרים תקנה קבועה היא שחוב הקהל קודם לכתובה ופר"מ כתב שלא נודע מאין יצא להם זה שהרי אפי' קבורת הבעל אינו מוטל על האשה מכ"ש חובת הקהל אלו דברי פאר רום מעלתו. האמת שהגאון בתשוב' משאת בנימין סימן ק"ב השיב וקרא תגר על גבאי צדקה שרצו לעכב מקומות בבהכ"נ עבור מעות צדקה שהי' חייב וטוענים שהם קודמים לכתובה וכ' שקדושת הגוף הוא דמפקיע מדי שיעבוד ולא קדושת דמים וההי' אפי' קדושת דמים ליכא ולא הוי אלא מלווה על פה בעלמא ע"ש ועי' בנחלת שבעה סוף סי' י"ז ועיין ב"ש סי' ק' ס</w:t>
      </w:r>
      <w:r>
        <w:rPr>
          <w:rFonts w:cs="Arial" w:hint="cs"/>
          <w:rtl/>
        </w:rPr>
        <w:t>ק"</w:t>
      </w:r>
      <w:r w:rsidRPr="0035456C">
        <w:rPr>
          <w:rFonts w:cs="Arial"/>
          <w:rtl/>
        </w:rPr>
        <w:t>ג. ומ"מ נ"ל דלא אמרו אלא בכהנ"ל דהי' חייב בקניית מצוות בבהכ"נ וכדומה דלית בי' משום תיקון העולם אבל חיוב מסים וצרכי ציבור בכל מקום שעברתי ראיתי נוהגים שאקרו"ט קודמי</w:t>
      </w:r>
      <w:r>
        <w:rPr>
          <w:rFonts w:cs="Arial" w:hint="cs"/>
          <w:rtl/>
        </w:rPr>
        <w:t>ם</w:t>
      </w:r>
      <w:r w:rsidRPr="0035456C">
        <w:rPr>
          <w:rFonts w:cs="Arial"/>
          <w:rtl/>
        </w:rPr>
        <w:t xml:space="preserve"> לכתובת אשה</w:t>
      </w:r>
      <w:r>
        <w:rPr>
          <w:rFonts w:cs="Arial" w:hint="cs"/>
          <w:rtl/>
        </w:rPr>
        <w:t>..</w:t>
      </w:r>
      <w:r w:rsidRPr="0035456C">
        <w:rPr>
          <w:rFonts w:cs="Arial"/>
          <w:rtl/>
        </w:rPr>
        <w:t xml:space="preserve">. ונהי דאם הי' הבעל משלם שנה בשנה מסים וארנונים כראוי לא יכול לנכות לאשה מכתובתה מה ששילם מממון שלה כמו שאינו מנכה לשארי בע"ח מה ששילם מסים מהמעות הלואה כשהיו בידו כיון שנשא ונתן והרויח בהם מ"מ אם לא ימצאו הקהל לשלם הם יגבו מדמי כתובת' וזה פשוט לפע"ד בלי שום פקפוק. </w:t>
      </w:r>
      <w:r w:rsidRPr="00E50C59">
        <w:rPr>
          <w:rFonts w:cs="Arial"/>
          <w:rtl/>
        </w:rPr>
        <w:t>אלא אפי' כל מה שהוא חייב לצרכי רבים י"ל דמנהג ותיקין הוא ותיקון העולם והרי גם היא נהנית מחזקת היישוב וצריכה לו וע"ד המנהג נישאת להבעל ושניהם אחראים וערבאי' והדעת נותן שאין הקהל נותנים חזקת היישוב לשום אחד אם לא יכנסו הוא וביתו בערבו' תשלומי הצרכים וכאלו חתמו אשה והדר בעלה וכל דברי הקהל אינם צריכי' כתיבה וקנין. וזה לשון תקנת ק"ק מ"ד בסי' ז' והוא מכתיבת ידי שנת תקס"ג לפ"ק</w:t>
      </w:r>
      <w:r w:rsidRPr="00E50C59">
        <w:rPr>
          <w:rFonts w:cs="Arial" w:hint="cs"/>
          <w:rtl/>
        </w:rPr>
        <w:t xml:space="preserve">: </w:t>
      </w:r>
      <w:r w:rsidRPr="00E50C59">
        <w:rPr>
          <w:rFonts w:cs="Arial"/>
          <w:rtl/>
        </w:rPr>
        <w:t>מנהג בכל תפוצות שתשלומי חובות הקהל וכל צרכי הרבים קודמים לכתובת אלמנה ומנהג וותיקים הוא ומ"מ מסתמא שבח בית אביה הקיימי' לא תפסיד בשום אופן גם נהגו ששכר הרופאי' ואפיטעקן ואצ"ל תכריכיו וגם צרכי נשמתו כמו שנוהגים להדליק נר שמן ז' ימי אבלו הכל קודם לכתובה הנה תשלומי רפואות הוא נכון מפני תיקון העולם וכן ראוי ועח"מ סי' ק"ח סוף סעי' א' ואמנם בשארי דברים אם תערער האשה הדין עמה עש"ך סי' ק"ז ס"ק ו' עכ"ל שם. ומ"מ חוב הח"ק אם הוא חוב המוטל על כל בני הקהלה אפילו מי שאינו מהחברא א"כ הרי הוא ככל צרכי הרבים אבל מה שחייב מפני שהיה הוא נמנה מבני הח"ק פשיטא שאין האשה צריכה לשלם כלום וק"ו מעובדא דמשאת בנימין הנ"ל</w:t>
      </w:r>
      <w:r w:rsidR="000C02F2">
        <w:rPr>
          <w:rFonts w:cs="Arial" w:hint="cs"/>
          <w:rtl/>
        </w:rPr>
        <w:t>.</w:t>
      </w:r>
      <w:r w:rsidRPr="00E50C59">
        <w:rPr>
          <w:rFonts w:cs="Arial"/>
          <w:rtl/>
        </w:rPr>
        <w:t xml:space="preserve"> הנלע"ד כתבתי בקיצור ודעת לנבון נקל שא"א להעמיד דברים כאלו על מיצוי דין תורה ממש</w:t>
      </w:r>
      <w:r w:rsidR="000C02F2">
        <w:rPr>
          <w:rFonts w:cs="Arial" w:hint="cs"/>
          <w:rtl/>
        </w:rPr>
        <w:t>.</w:t>
      </w:r>
    </w:p>
    <w:p w14:paraId="2C095D7E" w14:textId="6C175D39" w:rsidR="00392DBB" w:rsidRPr="009F7BA7" w:rsidRDefault="00392DBB" w:rsidP="00392DBB">
      <w:pPr>
        <w:rPr>
          <w:rFonts w:cs="Arial"/>
          <w:u w:val="single"/>
        </w:rPr>
      </w:pPr>
      <w:r w:rsidRPr="009F7BA7">
        <w:rPr>
          <w:rFonts w:cs="Arial" w:hint="cs"/>
          <w:u w:val="single"/>
          <w:rtl/>
        </w:rPr>
        <w:t xml:space="preserve">אשה שרוצה לגבות כתובתה מהמקומות של בעלה בבית הכנסת </w:t>
      </w:r>
      <w:r w:rsidR="00F97626">
        <w:rPr>
          <w:rFonts w:cs="Arial"/>
          <w:u w:val="single"/>
          <w:rtl/>
        </w:rPr>
        <w:t>-</w:t>
      </w:r>
      <w:r w:rsidRPr="009F7BA7">
        <w:rPr>
          <w:rFonts w:cs="Arial" w:hint="cs"/>
          <w:u w:val="single"/>
          <w:rtl/>
        </w:rPr>
        <w:t xml:space="preserve"> והגבאי מעכב משום שבעלה היה חייב לצדקה:</w:t>
      </w:r>
    </w:p>
    <w:p w14:paraId="7E547D57" w14:textId="77777777" w:rsidR="00392DBB" w:rsidRPr="009F7BA7" w:rsidRDefault="00392DBB" w:rsidP="009000E3">
      <w:pPr>
        <w:pStyle w:val="ab"/>
        <w:numPr>
          <w:ilvl w:val="0"/>
          <w:numId w:val="61"/>
        </w:numPr>
        <w:rPr>
          <w:rFonts w:cs="Arial"/>
        </w:rPr>
      </w:pPr>
      <w:r w:rsidRPr="005A6AB3">
        <w:rPr>
          <w:rFonts w:cs="Arial"/>
          <w:rtl/>
        </w:rPr>
        <w:t xml:space="preserve">משאת בנימין </w:t>
      </w:r>
      <w:r w:rsidRPr="00CC6791">
        <w:rPr>
          <w:rFonts w:cs="Arial" w:hint="cs"/>
          <w:sz w:val="16"/>
          <w:szCs w:val="16"/>
          <w:rtl/>
        </w:rPr>
        <w:t>(</w:t>
      </w:r>
      <w:r w:rsidRPr="00CC6791">
        <w:rPr>
          <w:rFonts w:cs="Arial"/>
          <w:sz w:val="16"/>
          <w:szCs w:val="16"/>
          <w:rtl/>
        </w:rPr>
        <w:t>סי' קב</w:t>
      </w:r>
      <w:r w:rsidRPr="00CC6791">
        <w:rPr>
          <w:rFonts w:cs="Arial" w:hint="cs"/>
          <w:sz w:val="16"/>
          <w:szCs w:val="16"/>
          <w:rtl/>
        </w:rPr>
        <w:t>)</w:t>
      </w:r>
      <w:r w:rsidRPr="00CC6791">
        <w:rPr>
          <w:rFonts w:cs="Arial"/>
          <w:sz w:val="16"/>
          <w:szCs w:val="16"/>
          <w:rtl/>
        </w:rPr>
        <w:t xml:space="preserve"> </w:t>
      </w:r>
      <w:r w:rsidRPr="005A6AB3">
        <w:rPr>
          <w:rFonts w:cs="Arial"/>
          <w:rtl/>
        </w:rPr>
        <w:t xml:space="preserve">ב"ש </w:t>
      </w:r>
      <w:r w:rsidRPr="00CC6791">
        <w:rPr>
          <w:rFonts w:cs="Arial" w:hint="cs"/>
          <w:sz w:val="16"/>
          <w:szCs w:val="16"/>
          <w:rtl/>
        </w:rPr>
        <w:t>(</w:t>
      </w:r>
      <w:r w:rsidRPr="00CC6791">
        <w:rPr>
          <w:rFonts w:cs="Arial"/>
          <w:sz w:val="16"/>
          <w:szCs w:val="16"/>
          <w:rtl/>
        </w:rPr>
        <w:t>סי</w:t>
      </w:r>
      <w:r w:rsidRPr="00CC6791">
        <w:rPr>
          <w:rFonts w:cs="Arial" w:hint="cs"/>
          <w:sz w:val="16"/>
          <w:szCs w:val="16"/>
          <w:rtl/>
        </w:rPr>
        <w:t>'</w:t>
      </w:r>
      <w:r w:rsidRPr="00CC6791">
        <w:rPr>
          <w:rFonts w:cs="Arial"/>
          <w:sz w:val="16"/>
          <w:szCs w:val="16"/>
          <w:rtl/>
        </w:rPr>
        <w:t xml:space="preserve"> ק סק</w:t>
      </w:r>
      <w:r w:rsidRPr="00CC6791">
        <w:rPr>
          <w:rFonts w:cs="Arial" w:hint="cs"/>
          <w:sz w:val="16"/>
          <w:szCs w:val="16"/>
          <w:rtl/>
        </w:rPr>
        <w:t>"</w:t>
      </w:r>
      <w:r w:rsidRPr="00CC6791">
        <w:rPr>
          <w:rFonts w:cs="Arial"/>
          <w:sz w:val="16"/>
          <w:szCs w:val="16"/>
          <w:rtl/>
        </w:rPr>
        <w:t>ג</w:t>
      </w:r>
      <w:r w:rsidRPr="00CC6791">
        <w:rPr>
          <w:rFonts w:cs="Arial" w:hint="cs"/>
          <w:sz w:val="16"/>
          <w:szCs w:val="16"/>
          <w:rtl/>
        </w:rPr>
        <w:t xml:space="preserve">) </w:t>
      </w:r>
      <w:r>
        <w:rPr>
          <w:rFonts w:cs="Arial" w:hint="cs"/>
          <w:rtl/>
        </w:rPr>
        <w:t xml:space="preserve">ובאה"ט </w:t>
      </w:r>
      <w:r>
        <w:rPr>
          <w:rFonts w:cs="Arial" w:hint="cs"/>
          <w:sz w:val="16"/>
          <w:szCs w:val="16"/>
          <w:rtl/>
        </w:rPr>
        <w:t>(סק"א)</w:t>
      </w:r>
      <w:r>
        <w:rPr>
          <w:rFonts w:cs="Arial" w:hint="cs"/>
          <w:rtl/>
        </w:rPr>
        <w:t xml:space="preserve">- </w:t>
      </w:r>
      <w:r w:rsidRPr="005A6AB3">
        <w:rPr>
          <w:rFonts w:cs="Arial"/>
          <w:rtl/>
        </w:rPr>
        <w:t>באה לגבות ממקומות בה"כ</w:t>
      </w:r>
      <w:r>
        <w:rPr>
          <w:rFonts w:cs="Arial" w:hint="cs"/>
          <w:rtl/>
        </w:rPr>
        <w:t>,</w:t>
      </w:r>
      <w:r w:rsidRPr="005A6AB3">
        <w:rPr>
          <w:rFonts w:cs="Arial"/>
          <w:rtl/>
        </w:rPr>
        <w:t xml:space="preserve"> וגבאי צדקה מעכב בעבור שבעלה חייב לצדקה</w:t>
      </w:r>
      <w:r>
        <w:rPr>
          <w:rFonts w:cs="Arial" w:hint="cs"/>
          <w:rtl/>
        </w:rPr>
        <w:t>,</w:t>
      </w:r>
      <w:r w:rsidRPr="005A6AB3">
        <w:rPr>
          <w:rFonts w:cs="Arial"/>
          <w:rtl/>
        </w:rPr>
        <w:t xml:space="preserve"> הדין עמה</w:t>
      </w:r>
      <w:r>
        <w:rPr>
          <w:rFonts w:cs="Arial" w:hint="cs"/>
          <w:sz w:val="16"/>
          <w:szCs w:val="16"/>
          <w:rtl/>
        </w:rPr>
        <w:t xml:space="preserve"> (ל' הבאה"ט)</w:t>
      </w:r>
      <w:r>
        <w:rPr>
          <w:rFonts w:cs="Arial" w:hint="cs"/>
          <w:rtl/>
        </w:rPr>
        <w:t>.</w:t>
      </w:r>
      <w:r w:rsidRPr="005A6AB3">
        <w:rPr>
          <w:rFonts w:cs="Arial"/>
          <w:rtl/>
        </w:rPr>
        <w:t xml:space="preserve"> </w:t>
      </w:r>
    </w:p>
    <w:p w14:paraId="0A597941" w14:textId="77777777" w:rsidR="00392DBB" w:rsidRPr="000904BE" w:rsidRDefault="00392DBB" w:rsidP="00392DBB">
      <w:pPr>
        <w:rPr>
          <w:rFonts w:cs="Arial"/>
          <w:rtl/>
        </w:rPr>
      </w:pPr>
    </w:p>
    <w:p w14:paraId="258D75D3" w14:textId="258B62E0" w:rsidR="00392DBB" w:rsidRDefault="00392DBB" w:rsidP="000F64D0">
      <w:pPr>
        <w:pStyle w:val="2"/>
        <w:rPr>
          <w:rtl/>
        </w:rPr>
      </w:pPr>
      <w:r w:rsidRPr="000904BE">
        <w:rPr>
          <w:rtl/>
        </w:rPr>
        <w:t>סעיף ב</w:t>
      </w:r>
      <w:r>
        <w:rPr>
          <w:rFonts w:hint="cs"/>
          <w:rtl/>
        </w:rPr>
        <w:t xml:space="preserve">: </w:t>
      </w:r>
      <w:r w:rsidRPr="003A4B45">
        <w:rPr>
          <w:rFonts w:hint="cs"/>
          <w:rtl/>
        </w:rPr>
        <w:t>אלמנ</w:t>
      </w:r>
      <w:r>
        <w:rPr>
          <w:rFonts w:hint="cs"/>
          <w:rtl/>
        </w:rPr>
        <w:t>ה ו</w:t>
      </w:r>
      <w:r w:rsidRPr="003A4B45">
        <w:rPr>
          <w:rFonts w:hint="cs"/>
          <w:rtl/>
        </w:rPr>
        <w:t>בעל חוב</w:t>
      </w:r>
      <w:r>
        <w:rPr>
          <w:rFonts w:hint="cs"/>
          <w:rtl/>
        </w:rPr>
        <w:t xml:space="preserve"> </w:t>
      </w:r>
      <w:r w:rsidR="00F97626">
        <w:rPr>
          <w:rtl/>
        </w:rPr>
        <w:t>-</w:t>
      </w:r>
      <w:r>
        <w:rPr>
          <w:rFonts w:hint="cs"/>
          <w:rtl/>
        </w:rPr>
        <w:t xml:space="preserve"> ויש רק נכסים שאין להם דין קדימה.</w:t>
      </w:r>
    </w:p>
    <w:p w14:paraId="3EEDF6DF" w14:textId="544C6BF9" w:rsidR="00392DBB" w:rsidRDefault="00392DBB" w:rsidP="00392DBB">
      <w:pPr>
        <w:rPr>
          <w:rtl/>
        </w:rPr>
      </w:pPr>
      <w:r w:rsidRPr="00E14BD0">
        <w:rPr>
          <w:rFonts w:cs="Arial"/>
          <w:b/>
          <w:bCs/>
          <w:rtl/>
        </w:rPr>
        <w:t xml:space="preserve">כתובות </w:t>
      </w:r>
      <w:r w:rsidRPr="00E14BD0">
        <w:rPr>
          <w:rFonts w:cs="Arial" w:hint="cs"/>
          <w:b/>
          <w:bCs/>
          <w:sz w:val="16"/>
          <w:szCs w:val="16"/>
          <w:rtl/>
        </w:rPr>
        <w:t>(ס"</w:t>
      </w:r>
      <w:r w:rsidRPr="00E14BD0">
        <w:rPr>
          <w:rFonts w:cs="Arial"/>
          <w:b/>
          <w:bCs/>
          <w:sz w:val="16"/>
          <w:szCs w:val="16"/>
          <w:rtl/>
        </w:rPr>
        <w:t xml:space="preserve">פ </w:t>
      </w:r>
      <w:r>
        <w:rPr>
          <w:rFonts w:cs="Arial" w:hint="cs"/>
          <w:b/>
          <w:bCs/>
          <w:sz w:val="16"/>
          <w:szCs w:val="16"/>
          <w:rtl/>
        </w:rPr>
        <w:t>הכותב</w:t>
      </w:r>
      <w:r w:rsidRPr="00E14BD0">
        <w:rPr>
          <w:rFonts w:cs="Arial" w:hint="cs"/>
          <w:b/>
          <w:bCs/>
          <w:sz w:val="16"/>
          <w:szCs w:val="16"/>
          <w:rtl/>
        </w:rPr>
        <w:t>)</w:t>
      </w:r>
      <w:r w:rsidRPr="00E14BD0">
        <w:rPr>
          <w:rFonts w:cs="Arial" w:hint="cs"/>
          <w:b/>
          <w:bCs/>
          <w:rtl/>
        </w:rPr>
        <w:t xml:space="preserve"> </w:t>
      </w:r>
      <w:r>
        <w:rPr>
          <w:rFonts w:cs="Arial" w:hint="cs"/>
          <w:b/>
          <w:bCs/>
          <w:rtl/>
        </w:rPr>
        <w:t>פו</w:t>
      </w:r>
      <w:r w:rsidR="00FB009B">
        <w:rPr>
          <w:rStyle w:val="a7"/>
          <w:rFonts w:cs="Arial"/>
          <w:b/>
          <w:bCs/>
          <w:rtl/>
        </w:rPr>
        <w:footnoteReference w:id="2102"/>
      </w:r>
      <w:r w:rsidRPr="00E14BD0">
        <w:rPr>
          <w:rFonts w:cs="Arial" w:hint="cs"/>
          <w:b/>
          <w:bCs/>
          <w:rtl/>
        </w:rPr>
        <w:t xml:space="preserve"> ע"</w:t>
      </w:r>
      <w:r>
        <w:rPr>
          <w:rFonts w:cs="Arial" w:hint="cs"/>
          <w:b/>
          <w:bCs/>
          <w:rtl/>
        </w:rPr>
        <w:t>א</w:t>
      </w:r>
      <w:r w:rsidRPr="00E14BD0">
        <w:rPr>
          <w:rFonts w:cs="Arial"/>
          <w:b/>
          <w:bCs/>
          <w:rtl/>
        </w:rPr>
        <w:t>:</w:t>
      </w:r>
      <w:r w:rsidRPr="00567E28">
        <w:rPr>
          <w:rFonts w:cs="Arial"/>
          <w:rtl/>
        </w:rPr>
        <w:t xml:space="preserve"> </w:t>
      </w:r>
      <w:r w:rsidRPr="00DC4A1A">
        <w:rPr>
          <w:rFonts w:cs="Arial"/>
          <w:u w:val="single"/>
          <w:rtl/>
        </w:rPr>
        <w:t>אמר אמימר משמיה דרב חמא</w:t>
      </w:r>
      <w:r w:rsidRPr="00DC4A1A">
        <w:rPr>
          <w:rFonts w:cs="Arial"/>
          <w:rtl/>
        </w:rPr>
        <w:t>: האי מאן דאיכא עליה כתובת אשה ובע"ח, ואית ליה ארעא ואית ליה זוזי, לבעל חוב מסלקינן ליה בזוזי, לאשה מסלקינן לה בארעא. האי כי דיניה והאי כי דיניה</w:t>
      </w:r>
      <w:r>
        <w:rPr>
          <w:rFonts w:cs="Arial" w:hint="cs"/>
          <w:rtl/>
        </w:rPr>
        <w:t>.</w:t>
      </w:r>
      <w:r w:rsidRPr="00DC4A1A">
        <w:rPr>
          <w:rFonts w:cs="Arial"/>
          <w:rtl/>
        </w:rPr>
        <w:t xml:space="preserve"> ואי לא איכא אלא חד ארעא ולא חזיא אלא לחד, לבעל חוב יהבינן ליה</w:t>
      </w:r>
      <w:r>
        <w:rPr>
          <w:rStyle w:val="a7"/>
          <w:rFonts w:cs="Arial"/>
          <w:rtl/>
        </w:rPr>
        <w:footnoteReference w:id="2103"/>
      </w:r>
      <w:r w:rsidRPr="00DC4A1A">
        <w:rPr>
          <w:rFonts w:cs="Arial"/>
          <w:rtl/>
        </w:rPr>
        <w:t>, לאשה לא יהבינן לה, מאי טעמא? יותר ממה שהאיש רוצה לישא - אשה רוצה להנשא</w:t>
      </w:r>
      <w:r>
        <w:rPr>
          <w:rStyle w:val="a7"/>
          <w:rFonts w:cs="Arial"/>
          <w:rtl/>
        </w:rPr>
        <w:footnoteReference w:id="2104"/>
      </w:r>
      <w:r w:rsidRPr="00DC4A1A">
        <w:rPr>
          <w:rFonts w:cs="Arial"/>
          <w:rtl/>
        </w:rPr>
        <w:t>.</w:t>
      </w:r>
      <w:r>
        <w:rPr>
          <w:rFonts w:cs="Arial" w:hint="cs"/>
          <w:rtl/>
        </w:rPr>
        <w:t xml:space="preserve"> </w:t>
      </w:r>
      <w:r w:rsidRPr="00AD322E">
        <w:rPr>
          <w:rFonts w:cs="Arial" w:hint="cs"/>
          <w:sz w:val="16"/>
          <w:szCs w:val="16"/>
          <w:rtl/>
        </w:rPr>
        <w:t>(</w:t>
      </w:r>
      <w:r w:rsidRPr="00AD322E">
        <w:rPr>
          <w:rFonts w:cs="Arial"/>
          <w:sz w:val="16"/>
          <w:szCs w:val="16"/>
          <w:rtl/>
        </w:rPr>
        <w:t>כתבו הרי"ף (מה.) והרא"ש (סי' יא) שמעינן מהא דאמימר דכל היכא דכי הדדי נינהו וליכא דינא דקדימה לחד מינייהו</w:t>
      </w:r>
      <w:r w:rsidRPr="00AD322E">
        <w:rPr>
          <w:rFonts w:cs="Arial" w:hint="cs"/>
          <w:sz w:val="16"/>
          <w:szCs w:val="16"/>
          <w:rtl/>
        </w:rPr>
        <w:t>,</w:t>
      </w:r>
      <w:r w:rsidRPr="00AD322E">
        <w:rPr>
          <w:rFonts w:cs="Arial"/>
          <w:sz w:val="16"/>
          <w:szCs w:val="16"/>
          <w:rtl/>
        </w:rPr>
        <w:t xml:space="preserve"> כגון מטלטלין בזמן הזה</w:t>
      </w:r>
      <w:r w:rsidRPr="00AD322E">
        <w:rPr>
          <w:rFonts w:cs="Arial" w:hint="cs"/>
          <w:sz w:val="16"/>
          <w:szCs w:val="16"/>
          <w:rtl/>
        </w:rPr>
        <w:t>,</w:t>
      </w:r>
      <w:r w:rsidRPr="00AD322E">
        <w:rPr>
          <w:rFonts w:cs="Arial"/>
          <w:sz w:val="16"/>
          <w:szCs w:val="16"/>
          <w:rtl/>
        </w:rPr>
        <w:t xml:space="preserve"> וליכא אלא שיעורא דחד מינייהו </w:t>
      </w:r>
      <w:r w:rsidRPr="00AD322E">
        <w:rPr>
          <w:rFonts w:cs="Arial" w:hint="cs"/>
          <w:sz w:val="16"/>
          <w:szCs w:val="16"/>
          <w:rtl/>
        </w:rPr>
        <w:t xml:space="preserve">- </w:t>
      </w:r>
      <w:r w:rsidRPr="00AD322E">
        <w:rPr>
          <w:rFonts w:cs="Arial"/>
          <w:sz w:val="16"/>
          <w:szCs w:val="16"/>
          <w:rtl/>
        </w:rPr>
        <w:t>לבעל חוב יהבינן</w:t>
      </w:r>
      <w:r w:rsidRPr="00AD322E">
        <w:rPr>
          <w:rFonts w:cs="Arial" w:hint="cs"/>
          <w:sz w:val="16"/>
          <w:szCs w:val="16"/>
          <w:rtl/>
        </w:rPr>
        <w:t>,</w:t>
      </w:r>
      <w:r w:rsidRPr="00AD322E">
        <w:rPr>
          <w:rFonts w:cs="Arial"/>
          <w:sz w:val="16"/>
          <w:szCs w:val="16"/>
          <w:rtl/>
        </w:rPr>
        <w:t xml:space="preserve"> לאשה לא יהבינן</w:t>
      </w:r>
      <w:r w:rsidRPr="00AD322E">
        <w:rPr>
          <w:rFonts w:cs="Arial" w:hint="cs"/>
          <w:sz w:val="16"/>
          <w:szCs w:val="16"/>
          <w:rtl/>
        </w:rPr>
        <w:t>,</w:t>
      </w:r>
      <w:r w:rsidRPr="00AD322E">
        <w:rPr>
          <w:rFonts w:cs="Arial"/>
          <w:sz w:val="16"/>
          <w:szCs w:val="16"/>
          <w:rtl/>
        </w:rPr>
        <w:t xml:space="preserve"> דיותר משהאיש רוצה לישא אשה רוצה לינשא</w:t>
      </w:r>
      <w:r w:rsidRPr="00AD322E">
        <w:rPr>
          <w:rFonts w:cs="Arial" w:hint="cs"/>
          <w:sz w:val="16"/>
          <w:szCs w:val="16"/>
          <w:rtl/>
        </w:rPr>
        <w:t>.</w:t>
      </w:r>
      <w:r w:rsidRPr="00AD322E">
        <w:rPr>
          <w:rFonts w:cs="Arial"/>
          <w:sz w:val="16"/>
          <w:szCs w:val="16"/>
          <w:rtl/>
        </w:rPr>
        <w:t xml:space="preserve"> וכ</w:t>
      </w:r>
      <w:r w:rsidRPr="00AD322E">
        <w:rPr>
          <w:rFonts w:cs="Arial" w:hint="cs"/>
          <w:sz w:val="16"/>
          <w:szCs w:val="16"/>
          <w:rtl/>
        </w:rPr>
        <w:t>"</w:t>
      </w:r>
      <w:r w:rsidRPr="00AD322E">
        <w:rPr>
          <w:rFonts w:cs="Arial"/>
          <w:sz w:val="16"/>
          <w:szCs w:val="16"/>
          <w:rtl/>
        </w:rPr>
        <w:t xml:space="preserve">כ הרמב"ם </w:t>
      </w:r>
      <w:r w:rsidRPr="00AD322E">
        <w:rPr>
          <w:rFonts w:cs="Arial" w:hint="cs"/>
          <w:sz w:val="16"/>
          <w:szCs w:val="16"/>
          <w:rtl/>
        </w:rPr>
        <w:t>(</w:t>
      </w:r>
      <w:r w:rsidRPr="00AD322E">
        <w:rPr>
          <w:rFonts w:cs="Arial"/>
          <w:sz w:val="16"/>
          <w:szCs w:val="16"/>
          <w:rtl/>
        </w:rPr>
        <w:t>פי"ז מאישות ה</w:t>
      </w:r>
      <w:r w:rsidRPr="00AD322E">
        <w:rPr>
          <w:rFonts w:cs="Arial" w:hint="cs"/>
          <w:sz w:val="16"/>
          <w:szCs w:val="16"/>
          <w:rtl/>
        </w:rPr>
        <w:t>"ה-ו)</w:t>
      </w:r>
      <w:r w:rsidRPr="00AD322E">
        <w:rPr>
          <w:rFonts w:cs="Arial"/>
          <w:sz w:val="16"/>
          <w:szCs w:val="16"/>
          <w:rtl/>
        </w:rPr>
        <w:t xml:space="preserve"> מי שמת והניח אשה ובעל חוב וקרקע שאין בה קדימה האשה נדחית מפני בעל חוב והוא גובה חובו תחלה וכיון שתקנו הגאונים שתגבה האשה ובעל חוב מן המטלטלין והדבר ידוע שאין דין קדימה במטלטלין אם לא הניח מטלטלין כדי ליתן לשניהם נותנין לבעל חוב כל חובו תחלה ואם נשאר לאשה מה שתטול בכתובתה תטול ואם לאו תדחה עכ"ל</w:t>
      </w:r>
      <w:r>
        <w:rPr>
          <w:rFonts w:cs="Arial" w:hint="cs"/>
          <w:sz w:val="16"/>
          <w:szCs w:val="16"/>
          <w:rtl/>
        </w:rPr>
        <w:t>, ב"י)</w:t>
      </w:r>
    </w:p>
    <w:p w14:paraId="4A248CF9" w14:textId="5D1F91DA" w:rsidR="00392DBB" w:rsidRPr="00A75BF4" w:rsidRDefault="00392DBB" w:rsidP="00392DBB">
      <w:pPr>
        <w:rPr>
          <w:u w:val="single"/>
          <w:rtl/>
        </w:rPr>
      </w:pPr>
      <w:r w:rsidRPr="00A75BF4">
        <w:rPr>
          <w:rFonts w:hint="cs"/>
          <w:u w:val="single"/>
          <w:rtl/>
        </w:rPr>
        <w:t>אלמנה ובעל חוב</w:t>
      </w:r>
      <w:r>
        <w:rPr>
          <w:rFonts w:hint="cs"/>
          <w:u w:val="single"/>
          <w:rtl/>
        </w:rPr>
        <w:t>,</w:t>
      </w:r>
      <w:r w:rsidRPr="00A75BF4">
        <w:rPr>
          <w:rFonts w:hint="cs"/>
          <w:u w:val="single"/>
          <w:rtl/>
        </w:rPr>
        <w:t xml:space="preserve"> ויש רק נכסים שאין להם דין קדימה</w:t>
      </w:r>
      <w:r>
        <w:rPr>
          <w:rFonts w:hint="cs"/>
          <w:u w:val="single"/>
          <w:rtl/>
        </w:rPr>
        <w:t xml:space="preserve"> </w:t>
      </w:r>
      <w:r w:rsidR="00F97626">
        <w:rPr>
          <w:u w:val="single"/>
          <w:rtl/>
        </w:rPr>
        <w:t>-</w:t>
      </w:r>
      <w:r>
        <w:rPr>
          <w:rFonts w:hint="cs"/>
          <w:u w:val="single"/>
          <w:rtl/>
        </w:rPr>
        <w:t xml:space="preserve"> מי קודם לגבות</w:t>
      </w:r>
      <w:r w:rsidRPr="00A75BF4">
        <w:rPr>
          <w:rFonts w:hint="cs"/>
          <w:u w:val="single"/>
          <w:rtl/>
        </w:rPr>
        <w:t>:</w:t>
      </w:r>
    </w:p>
    <w:p w14:paraId="7740FCA1" w14:textId="77777777" w:rsidR="00392DBB" w:rsidRDefault="00392DBB" w:rsidP="009000E3">
      <w:pPr>
        <w:pStyle w:val="ab"/>
        <w:numPr>
          <w:ilvl w:val="0"/>
          <w:numId w:val="61"/>
        </w:numPr>
      </w:pPr>
      <w:r>
        <w:rPr>
          <w:rFonts w:hint="cs"/>
          <w:rtl/>
        </w:rPr>
        <w:lastRenderedPageBreak/>
        <w:t xml:space="preserve">רי"ף </w:t>
      </w:r>
      <w:r>
        <w:rPr>
          <w:rFonts w:hint="cs"/>
          <w:sz w:val="16"/>
          <w:szCs w:val="16"/>
          <w:rtl/>
        </w:rPr>
        <w:t xml:space="preserve">(מה.) </w:t>
      </w:r>
      <w:r>
        <w:rPr>
          <w:rFonts w:hint="cs"/>
          <w:rtl/>
        </w:rPr>
        <w:t xml:space="preserve">רמב"ם </w:t>
      </w:r>
      <w:r w:rsidRPr="00AD322E">
        <w:rPr>
          <w:rFonts w:cs="Arial" w:hint="cs"/>
          <w:sz w:val="16"/>
          <w:szCs w:val="16"/>
          <w:rtl/>
        </w:rPr>
        <w:t>(</w:t>
      </w:r>
      <w:r w:rsidRPr="00AD322E">
        <w:rPr>
          <w:rFonts w:cs="Arial"/>
          <w:sz w:val="16"/>
          <w:szCs w:val="16"/>
          <w:rtl/>
        </w:rPr>
        <w:t>פי"ז מאישות ה</w:t>
      </w:r>
      <w:r w:rsidRPr="00AD322E">
        <w:rPr>
          <w:rFonts w:cs="Arial" w:hint="cs"/>
          <w:sz w:val="16"/>
          <w:szCs w:val="16"/>
          <w:rtl/>
        </w:rPr>
        <w:t>"ה-ו)</w:t>
      </w:r>
      <w:r w:rsidRPr="00AD322E">
        <w:rPr>
          <w:rFonts w:cs="Arial"/>
          <w:sz w:val="16"/>
          <w:szCs w:val="16"/>
          <w:rtl/>
        </w:rPr>
        <w:t xml:space="preserve"> </w:t>
      </w:r>
      <w:r>
        <w:rPr>
          <w:rFonts w:hint="cs"/>
          <w:rtl/>
        </w:rPr>
        <w:t xml:space="preserve">רא"ש </w:t>
      </w:r>
      <w:r>
        <w:rPr>
          <w:rFonts w:hint="cs"/>
          <w:sz w:val="16"/>
          <w:szCs w:val="16"/>
          <w:rtl/>
        </w:rPr>
        <w:t xml:space="preserve">(סי' יא) </w:t>
      </w:r>
      <w:r>
        <w:rPr>
          <w:rFonts w:hint="cs"/>
          <w:rtl/>
        </w:rPr>
        <w:t>וטור-</w:t>
      </w:r>
      <w:r>
        <w:rPr>
          <w:rFonts w:cs="Arial" w:hint="cs"/>
          <w:rtl/>
        </w:rPr>
        <w:t xml:space="preserve"> </w:t>
      </w:r>
      <w:r w:rsidRPr="00A167C1">
        <w:rPr>
          <w:rFonts w:cs="Arial"/>
          <w:rtl/>
        </w:rPr>
        <w:t>לא הניח אלא מטלטלים שאין בהם דין קדימה</w:t>
      </w:r>
      <w:r>
        <w:rPr>
          <w:rFonts w:cs="Arial" w:hint="cs"/>
          <w:rtl/>
        </w:rPr>
        <w:t>,</w:t>
      </w:r>
      <w:r w:rsidRPr="00A167C1">
        <w:rPr>
          <w:rFonts w:cs="Arial"/>
          <w:rtl/>
        </w:rPr>
        <w:t xml:space="preserve"> וכגון דלא אקנו ליה מטלטלי אגב מקרקעי </w:t>
      </w:r>
      <w:r>
        <w:rPr>
          <w:rFonts w:cs="Arial" w:hint="cs"/>
          <w:rtl/>
        </w:rPr>
        <w:t xml:space="preserve">- </w:t>
      </w:r>
      <w:r w:rsidRPr="00A167C1">
        <w:rPr>
          <w:rFonts w:cs="Arial"/>
          <w:rtl/>
        </w:rPr>
        <w:t>ינתנו לב"ח אפי' הוא מאוחר</w:t>
      </w:r>
      <w:r>
        <w:rPr>
          <w:rFonts w:cs="Arial" w:hint="cs"/>
          <w:rtl/>
        </w:rPr>
        <w:t>,</w:t>
      </w:r>
      <w:r w:rsidRPr="00A167C1">
        <w:rPr>
          <w:rFonts w:cs="Arial"/>
          <w:rtl/>
        </w:rPr>
        <w:t xml:space="preserve"> ותדחה האשה</w:t>
      </w:r>
      <w:r w:rsidRPr="00AD322E">
        <w:rPr>
          <w:rStyle w:val="a7"/>
          <w:rFonts w:cs="Arial"/>
          <w:rtl/>
        </w:rPr>
        <w:footnoteReference w:id="2105"/>
      </w:r>
      <w:r>
        <w:rPr>
          <w:rFonts w:cs="Arial" w:hint="cs"/>
          <w:sz w:val="16"/>
          <w:szCs w:val="16"/>
          <w:rtl/>
        </w:rPr>
        <w:t xml:space="preserve"> (ל' הטור)</w:t>
      </w:r>
      <w:r>
        <w:rPr>
          <w:rFonts w:cs="Arial" w:hint="cs"/>
          <w:rtl/>
        </w:rPr>
        <w:t>.</w:t>
      </w:r>
      <w:r w:rsidRPr="00A167C1">
        <w:rPr>
          <w:rFonts w:cs="Arial"/>
          <w:rtl/>
        </w:rPr>
        <w:t xml:space="preserve"> </w:t>
      </w:r>
      <w:r w:rsidRPr="003A4B45">
        <w:rPr>
          <w:rFonts w:hint="cs"/>
          <w:color w:val="E36C0A" w:themeColor="accent6" w:themeShade="BF"/>
          <w:rtl/>
        </w:rPr>
        <w:t>(וכ"פ בשו"ע)</w:t>
      </w:r>
    </w:p>
    <w:p w14:paraId="132893F8" w14:textId="77777777" w:rsidR="00392DBB" w:rsidRPr="00A14D69" w:rsidRDefault="00392DBB" w:rsidP="00392DBB">
      <w:pPr>
        <w:ind w:left="360"/>
        <w:rPr>
          <w:u w:val="dotted"/>
        </w:rPr>
      </w:pPr>
      <w:r w:rsidRPr="00A14D69">
        <w:rPr>
          <w:rFonts w:hint="cs"/>
          <w:u w:val="dotted"/>
          <w:rtl/>
        </w:rPr>
        <w:t>ומה הדין</w:t>
      </w:r>
      <w:r>
        <w:rPr>
          <w:rFonts w:hint="cs"/>
          <w:u w:val="dotted"/>
          <w:rtl/>
        </w:rPr>
        <w:t xml:space="preserve"> אם </w:t>
      </w:r>
      <w:r w:rsidRPr="00A14D69">
        <w:rPr>
          <w:rFonts w:hint="cs"/>
          <w:u w:val="dotted"/>
          <w:rtl/>
        </w:rPr>
        <w:t>תפשה האשה:</w:t>
      </w:r>
    </w:p>
    <w:p w14:paraId="16C13EBA" w14:textId="77777777" w:rsidR="00392DBB" w:rsidRPr="00A9426B" w:rsidRDefault="00392DBB" w:rsidP="009000E3">
      <w:pPr>
        <w:pStyle w:val="ab"/>
        <w:numPr>
          <w:ilvl w:val="0"/>
          <w:numId w:val="61"/>
        </w:numPr>
      </w:pPr>
      <w:r>
        <w:rPr>
          <w:rFonts w:cs="Arial" w:hint="cs"/>
          <w:rtl/>
        </w:rPr>
        <w:t xml:space="preserve">רא"ש </w:t>
      </w:r>
      <w:r w:rsidRPr="007D5594">
        <w:rPr>
          <w:rFonts w:cs="Arial" w:hint="cs"/>
          <w:sz w:val="16"/>
          <w:szCs w:val="16"/>
          <w:rtl/>
        </w:rPr>
        <w:t>(</w:t>
      </w:r>
      <w:r w:rsidRPr="007D5594">
        <w:rPr>
          <w:rFonts w:cs="Arial"/>
          <w:sz w:val="16"/>
          <w:szCs w:val="16"/>
          <w:rtl/>
        </w:rPr>
        <w:t>פ</w:t>
      </w:r>
      <w:r w:rsidRPr="007D5594">
        <w:rPr>
          <w:rFonts w:cs="Arial" w:hint="cs"/>
          <w:sz w:val="16"/>
          <w:szCs w:val="16"/>
          <w:rtl/>
        </w:rPr>
        <w:t>'</w:t>
      </w:r>
      <w:r w:rsidRPr="007D5594">
        <w:rPr>
          <w:rFonts w:cs="Arial"/>
          <w:sz w:val="16"/>
          <w:szCs w:val="16"/>
          <w:rtl/>
        </w:rPr>
        <w:t xml:space="preserve"> הכותב </w:t>
      </w:r>
      <w:r w:rsidRPr="007D5594">
        <w:rPr>
          <w:rFonts w:cs="Arial" w:hint="cs"/>
          <w:sz w:val="16"/>
          <w:szCs w:val="16"/>
          <w:rtl/>
        </w:rPr>
        <w:t>סי' יא</w:t>
      </w:r>
      <w:r w:rsidRPr="007D5594">
        <w:rPr>
          <w:rFonts w:cs="Arial"/>
          <w:sz w:val="16"/>
          <w:szCs w:val="16"/>
          <w:rtl/>
        </w:rPr>
        <w:t>)</w:t>
      </w:r>
      <w:r>
        <w:rPr>
          <w:rFonts w:cs="Arial" w:hint="cs"/>
          <w:rtl/>
        </w:rPr>
        <w:t xml:space="preserve"> וטור- </w:t>
      </w:r>
      <w:r w:rsidRPr="00A167C1">
        <w:rPr>
          <w:rFonts w:cs="Arial"/>
          <w:rtl/>
        </w:rPr>
        <w:t xml:space="preserve">ומיהו אם תפשה אפילו שלא בב"ד </w:t>
      </w:r>
      <w:r>
        <w:rPr>
          <w:rFonts w:cs="Arial" w:hint="cs"/>
          <w:rtl/>
        </w:rPr>
        <w:t xml:space="preserve">- </w:t>
      </w:r>
      <w:r w:rsidRPr="00A167C1">
        <w:rPr>
          <w:rFonts w:cs="Arial"/>
          <w:rtl/>
        </w:rPr>
        <w:t>אין מוציאין מידה</w:t>
      </w:r>
      <w:r>
        <w:rPr>
          <w:rStyle w:val="a7"/>
          <w:rFonts w:cs="Arial"/>
          <w:rtl/>
        </w:rPr>
        <w:footnoteReference w:id="2106"/>
      </w:r>
      <w:r>
        <w:rPr>
          <w:rFonts w:cs="Arial" w:hint="cs"/>
          <w:rtl/>
        </w:rPr>
        <w:t>.</w:t>
      </w:r>
      <w:r w:rsidRPr="00A167C1">
        <w:rPr>
          <w:rFonts w:cs="Arial"/>
          <w:rtl/>
        </w:rPr>
        <w:t xml:space="preserve"> </w:t>
      </w:r>
      <w:r w:rsidRPr="003A4B45">
        <w:rPr>
          <w:rFonts w:hint="cs"/>
          <w:color w:val="E36C0A" w:themeColor="accent6" w:themeShade="BF"/>
          <w:rtl/>
        </w:rPr>
        <w:t>(וכ"פ בשו"ע)</w:t>
      </w:r>
    </w:p>
    <w:p w14:paraId="0E9030CD" w14:textId="77777777" w:rsidR="00392DBB" w:rsidRDefault="00392DBB" w:rsidP="009000E3">
      <w:pPr>
        <w:pStyle w:val="ab"/>
        <w:numPr>
          <w:ilvl w:val="0"/>
          <w:numId w:val="61"/>
        </w:numPr>
      </w:pPr>
      <w:r w:rsidRPr="00A167C1">
        <w:rPr>
          <w:rFonts w:cs="Arial"/>
          <w:rtl/>
        </w:rPr>
        <w:t xml:space="preserve">מהר"ם </w:t>
      </w:r>
      <w:r w:rsidRPr="00A9426B">
        <w:rPr>
          <w:rFonts w:cs="Arial"/>
          <w:sz w:val="16"/>
          <w:szCs w:val="16"/>
          <w:rtl/>
        </w:rPr>
        <w:t xml:space="preserve">(ד"ב סי' </w:t>
      </w:r>
      <w:r>
        <w:rPr>
          <w:rFonts w:cs="Arial" w:hint="cs"/>
          <w:sz w:val="16"/>
          <w:szCs w:val="16"/>
          <w:rtl/>
        </w:rPr>
        <w:t>פה/</w:t>
      </w:r>
      <w:r w:rsidRPr="00A9426B">
        <w:rPr>
          <w:rFonts w:cs="Arial"/>
          <w:sz w:val="16"/>
          <w:szCs w:val="16"/>
          <w:rtl/>
        </w:rPr>
        <w:t>סז</w:t>
      </w:r>
      <w:r w:rsidRPr="00A9426B">
        <w:rPr>
          <w:rFonts w:cs="Arial" w:hint="cs"/>
          <w:sz w:val="16"/>
          <w:szCs w:val="16"/>
          <w:rtl/>
        </w:rPr>
        <w:t xml:space="preserve">, כ"כ בשמו </w:t>
      </w:r>
      <w:r w:rsidRPr="00A9426B">
        <w:rPr>
          <w:rFonts w:cs="Arial"/>
          <w:sz w:val="16"/>
          <w:szCs w:val="16"/>
          <w:rtl/>
        </w:rPr>
        <w:t>המרדכי</w:t>
      </w:r>
      <w:r w:rsidRPr="00A9426B">
        <w:rPr>
          <w:rFonts w:cs="Arial" w:hint="cs"/>
          <w:sz w:val="16"/>
          <w:szCs w:val="16"/>
          <w:rtl/>
        </w:rPr>
        <w:t xml:space="preserve"> [פ' הכותב סי' רכ]</w:t>
      </w:r>
      <w:r>
        <w:rPr>
          <w:rFonts w:cs="Arial" w:hint="cs"/>
          <w:sz w:val="16"/>
          <w:szCs w:val="16"/>
          <w:rtl/>
        </w:rPr>
        <w:t>, הביאו הדרכ"מ [אות ג]</w:t>
      </w:r>
      <w:r w:rsidRPr="00A9426B">
        <w:rPr>
          <w:rFonts w:cs="Arial"/>
          <w:sz w:val="16"/>
          <w:szCs w:val="16"/>
          <w:rtl/>
        </w:rPr>
        <w:t>)</w:t>
      </w:r>
      <w:r>
        <w:rPr>
          <w:rFonts w:cs="Arial" w:hint="cs"/>
          <w:rtl/>
        </w:rPr>
        <w:t xml:space="preserve">- </w:t>
      </w:r>
      <w:r w:rsidRPr="00A9426B">
        <w:rPr>
          <w:rFonts w:cs="Arial"/>
          <w:rtl/>
        </w:rPr>
        <w:t xml:space="preserve">אפילו תפסה האשה לאחר מיתת בעלה המטלטלין </w:t>
      </w:r>
      <w:r>
        <w:rPr>
          <w:rFonts w:cs="Arial" w:hint="cs"/>
          <w:rtl/>
        </w:rPr>
        <w:t xml:space="preserve">- </w:t>
      </w:r>
      <w:r w:rsidRPr="00A9426B">
        <w:rPr>
          <w:rFonts w:cs="Arial"/>
          <w:rtl/>
        </w:rPr>
        <w:t>מוציאים מידה ונותנים לבעל חוב בחובו</w:t>
      </w:r>
      <w:r>
        <w:rPr>
          <w:rFonts w:cs="Arial" w:hint="cs"/>
          <w:rtl/>
        </w:rPr>
        <w:t>...</w:t>
      </w:r>
      <w:r w:rsidRPr="00A9426B">
        <w:rPr>
          <w:rFonts w:cs="Arial"/>
          <w:rtl/>
        </w:rPr>
        <w:t xml:space="preserve"> ואפילו נזמים וקטלאות ודכוותייהו אע</w:t>
      </w:r>
      <w:r>
        <w:rPr>
          <w:rFonts w:cs="Arial" w:hint="cs"/>
          <w:rtl/>
        </w:rPr>
        <w:t>"</w:t>
      </w:r>
      <w:r w:rsidRPr="00A9426B">
        <w:rPr>
          <w:rFonts w:cs="Arial"/>
          <w:rtl/>
        </w:rPr>
        <w:t>ג דרגילה בהם להשתמש בחייו מפקינן מינה ויהבינן לבעל חוב, אא"כ יחדם לה בכתובתה דכל כמה דלא יחדם לה בכתובתה דינם כשאר מטלטלי. וכן משמע בשערי האלפסי בשער י"ט</w:t>
      </w:r>
      <w:r>
        <w:rPr>
          <w:rFonts w:cs="Arial" w:hint="cs"/>
          <w:sz w:val="16"/>
          <w:szCs w:val="16"/>
          <w:rtl/>
        </w:rPr>
        <w:t xml:space="preserve"> (ל' מהר"ם)</w:t>
      </w:r>
      <w:r>
        <w:rPr>
          <w:rStyle w:val="a7"/>
          <w:rFonts w:cs="Arial"/>
          <w:rtl/>
        </w:rPr>
        <w:footnoteReference w:id="2107"/>
      </w:r>
      <w:r w:rsidRPr="00A9426B">
        <w:rPr>
          <w:rFonts w:cs="Arial"/>
          <w:rtl/>
        </w:rPr>
        <w:t>.</w:t>
      </w:r>
      <w:r w:rsidRPr="008911E0">
        <w:rPr>
          <w:rFonts w:cs="Arial"/>
          <w:color w:val="00B0F0"/>
          <w:rtl/>
        </w:rPr>
        <w:t xml:space="preserve"> </w:t>
      </w:r>
      <w:r w:rsidRPr="008911E0">
        <w:rPr>
          <w:rFonts w:hint="cs"/>
          <w:color w:val="00B0F0"/>
          <w:rtl/>
        </w:rPr>
        <w:t>(וכ"כ הרמ"א)</w:t>
      </w:r>
    </w:p>
    <w:p w14:paraId="4CACEA09" w14:textId="62946BDA" w:rsidR="00392DBB" w:rsidRPr="00553E22" w:rsidRDefault="00392DBB" w:rsidP="00392DBB">
      <w:pPr>
        <w:ind w:left="720"/>
        <w:rPr>
          <w:sz w:val="16"/>
          <w:szCs w:val="16"/>
        </w:rPr>
      </w:pPr>
      <w:r>
        <w:rPr>
          <w:rFonts w:hint="cs"/>
          <w:u w:val="wave"/>
          <w:rtl/>
        </w:rPr>
        <w:t>לרא</w:t>
      </w:r>
      <w:r w:rsidR="00FB009B">
        <w:rPr>
          <w:rFonts w:hint="cs"/>
          <w:u w:val="wave"/>
          <w:rtl/>
        </w:rPr>
        <w:t>"</w:t>
      </w:r>
      <w:r>
        <w:rPr>
          <w:rFonts w:hint="cs"/>
          <w:u w:val="wave"/>
          <w:rtl/>
        </w:rPr>
        <w:t xml:space="preserve">ש וסיעתו </w:t>
      </w:r>
      <w:r w:rsidR="00F97626">
        <w:rPr>
          <w:u w:val="wave"/>
          <w:rtl/>
        </w:rPr>
        <w:t>-</w:t>
      </w:r>
      <w:r>
        <w:rPr>
          <w:rFonts w:hint="cs"/>
          <w:u w:val="wave"/>
          <w:rtl/>
        </w:rPr>
        <w:t xml:space="preserve"> מה הדין אם האשה שתפשה הייתה נושאת ונותנת בבית:</w:t>
      </w:r>
      <w:r>
        <w:rPr>
          <w:rFonts w:hint="cs"/>
          <w:sz w:val="16"/>
          <w:szCs w:val="16"/>
          <w:rtl/>
        </w:rPr>
        <w:t xml:space="preserve">  (דרכ"מ אות ג)</w:t>
      </w:r>
    </w:p>
    <w:p w14:paraId="209B32A3" w14:textId="77777777" w:rsidR="00392DBB" w:rsidRPr="00055468" w:rsidRDefault="00392DBB" w:rsidP="009000E3">
      <w:pPr>
        <w:pStyle w:val="ab"/>
        <w:numPr>
          <w:ilvl w:val="0"/>
          <w:numId w:val="61"/>
        </w:numPr>
      </w:pPr>
      <w:r w:rsidRPr="00A167C1">
        <w:rPr>
          <w:rFonts w:cs="Arial"/>
          <w:rtl/>
        </w:rPr>
        <w:t>מהרי"ו</w:t>
      </w:r>
      <w:r>
        <w:rPr>
          <w:rFonts w:cs="Arial" w:hint="cs"/>
          <w:rtl/>
        </w:rPr>
        <w:t xml:space="preserve"> </w:t>
      </w:r>
      <w:r w:rsidRPr="004A11E7">
        <w:rPr>
          <w:rFonts w:cs="Arial" w:hint="cs"/>
          <w:sz w:val="16"/>
          <w:szCs w:val="16"/>
          <w:rtl/>
        </w:rPr>
        <w:t>(</w:t>
      </w:r>
      <w:r w:rsidRPr="004A11E7">
        <w:rPr>
          <w:rFonts w:cs="Arial"/>
          <w:sz w:val="16"/>
          <w:szCs w:val="16"/>
          <w:rtl/>
        </w:rPr>
        <w:t>סי</w:t>
      </w:r>
      <w:r w:rsidRPr="004A11E7">
        <w:rPr>
          <w:rFonts w:cs="Arial" w:hint="cs"/>
          <w:sz w:val="16"/>
          <w:szCs w:val="16"/>
          <w:rtl/>
        </w:rPr>
        <w:t>'</w:t>
      </w:r>
      <w:r w:rsidRPr="004A11E7">
        <w:rPr>
          <w:rFonts w:cs="Arial"/>
          <w:sz w:val="16"/>
          <w:szCs w:val="16"/>
          <w:rtl/>
        </w:rPr>
        <w:t xml:space="preserve"> ל</w:t>
      </w:r>
      <w:r w:rsidRPr="004A11E7">
        <w:rPr>
          <w:rFonts w:cs="Arial" w:hint="cs"/>
          <w:sz w:val="16"/>
          <w:szCs w:val="16"/>
          <w:rtl/>
        </w:rPr>
        <w:t>)</w:t>
      </w:r>
      <w:r>
        <w:rPr>
          <w:rFonts w:cs="Arial" w:hint="cs"/>
          <w:rtl/>
        </w:rPr>
        <w:t xml:space="preserve">- </w:t>
      </w:r>
      <w:r w:rsidRPr="00553E22">
        <w:rPr>
          <w:rFonts w:cs="Arial"/>
          <w:rtl/>
        </w:rPr>
        <w:t>אפילו למ"ד דאם תפסה לא מפקינן מינה</w:t>
      </w:r>
      <w:r w:rsidRPr="00553E22">
        <w:rPr>
          <w:rFonts w:cs="Arial" w:hint="cs"/>
          <w:rtl/>
        </w:rPr>
        <w:t>,</w:t>
      </w:r>
      <w:r w:rsidRPr="00553E22">
        <w:rPr>
          <w:rFonts w:cs="Arial"/>
          <w:rtl/>
        </w:rPr>
        <w:t xml:space="preserve"> הני מילי שלוה בעלה ולא בא הממון לידה</w:t>
      </w:r>
      <w:r w:rsidRPr="00553E22">
        <w:rPr>
          <w:rFonts w:cs="Arial" w:hint="cs"/>
          <w:rtl/>
        </w:rPr>
        <w:t>.</w:t>
      </w:r>
      <w:r w:rsidRPr="00553E22">
        <w:rPr>
          <w:rFonts w:cs="Arial"/>
          <w:rtl/>
        </w:rPr>
        <w:t xml:space="preserve"> אבל אם היתה נושאת ונותנת בתוך הבית ובא הממון של הלואה לידה לכולי עלמא צריכה לשלם דלא גרע מערב</w:t>
      </w:r>
      <w:r>
        <w:rPr>
          <w:rStyle w:val="a7"/>
          <w:rFonts w:cs="Arial"/>
          <w:rtl/>
        </w:rPr>
        <w:footnoteReference w:id="2108"/>
      </w:r>
      <w:r>
        <w:rPr>
          <w:rFonts w:cs="Arial" w:hint="cs"/>
          <w:rtl/>
        </w:rPr>
        <w:t>.</w:t>
      </w:r>
      <w:r>
        <w:rPr>
          <w:rFonts w:hint="cs"/>
          <w:rtl/>
        </w:rPr>
        <w:t xml:space="preserve"> (וכ"כ ח"מ</w:t>
      </w:r>
      <w:r>
        <w:rPr>
          <w:rFonts w:hint="cs"/>
          <w:sz w:val="16"/>
          <w:szCs w:val="16"/>
          <w:rtl/>
        </w:rPr>
        <w:t xml:space="preserve"> [סק"ד]</w:t>
      </w:r>
      <w:r>
        <w:rPr>
          <w:rFonts w:hint="cs"/>
          <w:rtl/>
        </w:rPr>
        <w:t xml:space="preserve"> וב"ש </w:t>
      </w:r>
      <w:r>
        <w:rPr>
          <w:rFonts w:hint="cs"/>
          <w:sz w:val="16"/>
          <w:szCs w:val="16"/>
          <w:rtl/>
        </w:rPr>
        <w:t>[סק"ח]</w:t>
      </w:r>
      <w:r>
        <w:rPr>
          <w:rFonts w:hint="cs"/>
          <w:rtl/>
        </w:rPr>
        <w:t>)</w:t>
      </w:r>
    </w:p>
    <w:p w14:paraId="7CF2691C" w14:textId="2EDBBA92" w:rsidR="00392DBB" w:rsidRPr="00055468" w:rsidRDefault="00392DBB" w:rsidP="00392DBB">
      <w:pPr>
        <w:ind w:left="360"/>
        <w:rPr>
          <w:u w:val="dotted"/>
        </w:rPr>
      </w:pPr>
      <w:r w:rsidRPr="00055468">
        <w:rPr>
          <w:rFonts w:hint="cs"/>
          <w:u w:val="dotted"/>
          <w:rtl/>
        </w:rPr>
        <w:t xml:space="preserve">הא דבע"ח גובה לפני האשה </w:t>
      </w:r>
      <w:r w:rsidR="00F97626">
        <w:rPr>
          <w:u w:val="dotted"/>
          <w:rtl/>
        </w:rPr>
        <w:t>-</w:t>
      </w:r>
      <w:r w:rsidRPr="00055468">
        <w:rPr>
          <w:rFonts w:hint="cs"/>
          <w:u w:val="dotted"/>
          <w:rtl/>
        </w:rPr>
        <w:t xml:space="preserve"> האם הדין כן אפילו אין לו שטר:</w:t>
      </w:r>
      <w:r>
        <w:rPr>
          <w:rFonts w:hint="cs"/>
          <w:sz w:val="16"/>
          <w:szCs w:val="16"/>
          <w:rtl/>
        </w:rPr>
        <w:t xml:space="preserve">  (דרכ"מ אות ג)</w:t>
      </w:r>
    </w:p>
    <w:p w14:paraId="7AB74577" w14:textId="35696EA6" w:rsidR="00392DBB" w:rsidRPr="00055468" w:rsidRDefault="00392DBB" w:rsidP="009000E3">
      <w:pPr>
        <w:pStyle w:val="ab"/>
        <w:numPr>
          <w:ilvl w:val="0"/>
          <w:numId w:val="61"/>
        </w:numPr>
      </w:pPr>
      <w:r>
        <w:rPr>
          <w:rFonts w:cs="Arial" w:hint="cs"/>
          <w:rtl/>
        </w:rPr>
        <w:t xml:space="preserve">הגה"מ </w:t>
      </w:r>
      <w:r w:rsidRPr="008911E0">
        <w:rPr>
          <w:rFonts w:cs="Arial" w:hint="cs"/>
          <w:sz w:val="16"/>
          <w:szCs w:val="16"/>
          <w:rtl/>
        </w:rPr>
        <w:t>(</w:t>
      </w:r>
      <w:r w:rsidRPr="008911E0">
        <w:rPr>
          <w:rFonts w:cs="Arial"/>
          <w:sz w:val="16"/>
          <w:szCs w:val="16"/>
          <w:rtl/>
        </w:rPr>
        <w:t>פי"ז אות ב)</w:t>
      </w:r>
      <w:r>
        <w:rPr>
          <w:rFonts w:cs="Arial" w:hint="cs"/>
          <w:rtl/>
        </w:rPr>
        <w:t>-</w:t>
      </w:r>
      <w:r w:rsidRPr="00A167C1">
        <w:rPr>
          <w:rFonts w:cs="Arial"/>
          <w:rtl/>
        </w:rPr>
        <w:t xml:space="preserve"> הא דבעל חוב קודם לאשה היינו כשיש בידו שטר חוב</w:t>
      </w:r>
      <w:r>
        <w:rPr>
          <w:rFonts w:cs="Arial" w:hint="cs"/>
          <w:rtl/>
        </w:rPr>
        <w:t>,</w:t>
      </w:r>
      <w:r w:rsidRPr="00A167C1">
        <w:rPr>
          <w:rFonts w:cs="Arial"/>
          <w:rtl/>
        </w:rPr>
        <w:t xml:space="preserve"> אבל אם אין בידו שטר </w:t>
      </w:r>
      <w:r>
        <w:rPr>
          <w:rFonts w:cs="Arial" w:hint="cs"/>
          <w:rtl/>
        </w:rPr>
        <w:t xml:space="preserve">- </w:t>
      </w:r>
      <w:r w:rsidRPr="00A167C1">
        <w:rPr>
          <w:rFonts w:cs="Arial"/>
          <w:rtl/>
        </w:rPr>
        <w:t>יכולה היא לומר דילמא אינו חייב לך</w:t>
      </w:r>
      <w:r>
        <w:rPr>
          <w:rStyle w:val="a7"/>
          <w:rFonts w:cs="Arial"/>
          <w:rtl/>
        </w:rPr>
        <w:footnoteReference w:id="2109"/>
      </w:r>
      <w:r>
        <w:rPr>
          <w:rFonts w:cs="Arial" w:hint="cs"/>
          <w:rtl/>
        </w:rPr>
        <w:t>.</w:t>
      </w:r>
      <w:r w:rsidRPr="008911E0">
        <w:rPr>
          <w:rFonts w:cs="Arial"/>
          <w:rtl/>
        </w:rPr>
        <w:t xml:space="preserve"> </w:t>
      </w:r>
      <w:r w:rsidRPr="008911E0">
        <w:rPr>
          <w:rFonts w:hint="cs"/>
          <w:color w:val="00B0F0"/>
          <w:rtl/>
        </w:rPr>
        <w:t>(וכ"</w:t>
      </w:r>
      <w:r w:rsidR="003C59B9">
        <w:rPr>
          <w:rFonts w:hint="cs"/>
          <w:color w:val="00B0F0"/>
          <w:rtl/>
        </w:rPr>
        <w:t>פ</w:t>
      </w:r>
      <w:r w:rsidRPr="008911E0">
        <w:rPr>
          <w:rFonts w:hint="cs"/>
          <w:color w:val="00B0F0"/>
          <w:rtl/>
        </w:rPr>
        <w:t xml:space="preserve"> הרמ"א)</w:t>
      </w:r>
    </w:p>
    <w:p w14:paraId="63F0CE74" w14:textId="64EF000D" w:rsidR="00392DBB" w:rsidRPr="00055468" w:rsidRDefault="00392DBB" w:rsidP="00392DBB">
      <w:pPr>
        <w:rPr>
          <w:u w:val="single"/>
        </w:rPr>
      </w:pPr>
      <w:r w:rsidRPr="00055468">
        <w:rPr>
          <w:rFonts w:hint="cs"/>
          <w:u w:val="single"/>
          <w:rtl/>
        </w:rPr>
        <w:t xml:space="preserve">מי שמת ויש לו פקדון שהניחו אצלו </w:t>
      </w:r>
      <w:r w:rsidR="00F97626">
        <w:rPr>
          <w:u w:val="single"/>
          <w:rtl/>
        </w:rPr>
        <w:t>-</w:t>
      </w:r>
      <w:r w:rsidRPr="00055468">
        <w:rPr>
          <w:rFonts w:hint="cs"/>
          <w:u w:val="single"/>
          <w:rtl/>
        </w:rPr>
        <w:t xml:space="preserve"> האם האשה יכולה לגבות ממנו:</w:t>
      </w:r>
      <w:r>
        <w:rPr>
          <w:rFonts w:hint="cs"/>
          <w:sz w:val="16"/>
          <w:szCs w:val="16"/>
          <w:rtl/>
        </w:rPr>
        <w:t xml:space="preserve">  (דרכ"מ אות ג)</w:t>
      </w:r>
    </w:p>
    <w:p w14:paraId="282D2B75" w14:textId="2780A9D5" w:rsidR="00392DBB" w:rsidRPr="00553E22" w:rsidRDefault="00392DBB" w:rsidP="009000E3">
      <w:pPr>
        <w:pStyle w:val="ab"/>
        <w:numPr>
          <w:ilvl w:val="0"/>
          <w:numId w:val="61"/>
        </w:numPr>
      </w:pPr>
      <w:r w:rsidRPr="00A167C1">
        <w:rPr>
          <w:rFonts w:cs="Arial"/>
          <w:rtl/>
        </w:rPr>
        <w:t>מהרי"ו</w:t>
      </w:r>
      <w:r>
        <w:rPr>
          <w:rFonts w:cs="Arial" w:hint="cs"/>
          <w:rtl/>
        </w:rPr>
        <w:t xml:space="preserve"> </w:t>
      </w:r>
      <w:r w:rsidRPr="004A11E7">
        <w:rPr>
          <w:rFonts w:cs="Arial" w:hint="cs"/>
          <w:sz w:val="16"/>
          <w:szCs w:val="16"/>
          <w:rtl/>
        </w:rPr>
        <w:t>(</w:t>
      </w:r>
      <w:r w:rsidRPr="004A11E7">
        <w:rPr>
          <w:rFonts w:cs="Arial"/>
          <w:sz w:val="16"/>
          <w:szCs w:val="16"/>
          <w:rtl/>
        </w:rPr>
        <w:t>סי</w:t>
      </w:r>
      <w:r w:rsidRPr="004A11E7">
        <w:rPr>
          <w:rFonts w:cs="Arial" w:hint="cs"/>
          <w:sz w:val="16"/>
          <w:szCs w:val="16"/>
          <w:rtl/>
        </w:rPr>
        <w:t>'</w:t>
      </w:r>
      <w:r w:rsidRPr="004A11E7">
        <w:rPr>
          <w:rFonts w:cs="Arial"/>
          <w:sz w:val="16"/>
          <w:szCs w:val="16"/>
          <w:rtl/>
        </w:rPr>
        <w:t xml:space="preserve"> ל</w:t>
      </w:r>
      <w:r w:rsidRPr="004A11E7">
        <w:rPr>
          <w:rFonts w:cs="Arial" w:hint="cs"/>
          <w:sz w:val="16"/>
          <w:szCs w:val="16"/>
          <w:rtl/>
        </w:rPr>
        <w:t>)</w:t>
      </w:r>
      <w:r>
        <w:rPr>
          <w:rFonts w:cs="Arial" w:hint="cs"/>
          <w:rtl/>
        </w:rPr>
        <w:t xml:space="preserve">- </w:t>
      </w:r>
      <w:r w:rsidRPr="00A167C1">
        <w:rPr>
          <w:rFonts w:cs="Arial"/>
          <w:rtl/>
        </w:rPr>
        <w:t>לכולי עלמא</w:t>
      </w:r>
      <w:r w:rsidR="003C59B9">
        <w:rPr>
          <w:rFonts w:cs="Arial" w:hint="cs"/>
          <w:rtl/>
        </w:rPr>
        <w:t>,</w:t>
      </w:r>
      <w:r w:rsidRPr="00A167C1">
        <w:rPr>
          <w:rFonts w:cs="Arial"/>
          <w:rtl/>
        </w:rPr>
        <w:t xml:space="preserve"> אם נתנו פקדון לידו ומת</w:t>
      </w:r>
      <w:r w:rsidR="003C59B9">
        <w:rPr>
          <w:rFonts w:cs="Arial" w:hint="cs"/>
          <w:rtl/>
        </w:rPr>
        <w:t xml:space="preserve"> -</w:t>
      </w:r>
      <w:r w:rsidRPr="00A167C1">
        <w:rPr>
          <w:rFonts w:cs="Arial"/>
          <w:rtl/>
        </w:rPr>
        <w:t xml:space="preserve"> אין אשתו גובאת כתובתה ממנו</w:t>
      </w:r>
      <w:r>
        <w:rPr>
          <w:rStyle w:val="a7"/>
          <w:rFonts w:cs="Arial"/>
          <w:rtl/>
        </w:rPr>
        <w:footnoteReference w:id="2110"/>
      </w:r>
      <w:r>
        <w:rPr>
          <w:rFonts w:cs="Arial" w:hint="cs"/>
          <w:rtl/>
        </w:rPr>
        <w:t xml:space="preserve">. </w:t>
      </w:r>
      <w:r w:rsidRPr="008911E0">
        <w:rPr>
          <w:rFonts w:hint="cs"/>
          <w:color w:val="00B0F0"/>
          <w:rtl/>
        </w:rPr>
        <w:t>(וכ"</w:t>
      </w:r>
      <w:r w:rsidR="003C59B9">
        <w:rPr>
          <w:rFonts w:hint="cs"/>
          <w:color w:val="00B0F0"/>
          <w:rtl/>
        </w:rPr>
        <w:t>פ</w:t>
      </w:r>
      <w:r w:rsidRPr="008911E0">
        <w:rPr>
          <w:rFonts w:hint="cs"/>
          <w:color w:val="00B0F0"/>
          <w:rtl/>
        </w:rPr>
        <w:t xml:space="preserve"> הרמ"א)</w:t>
      </w:r>
    </w:p>
    <w:p w14:paraId="67E8EFE2"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E479CC5" w14:textId="01C3D9C7" w:rsidR="00392DBB" w:rsidRPr="008911E0" w:rsidRDefault="00392DBB" w:rsidP="00392DBB">
      <w:pPr>
        <w:rPr>
          <w:rFonts w:cs="Arial"/>
          <w:sz w:val="18"/>
          <w:szCs w:val="18"/>
          <w:rtl/>
        </w:rPr>
      </w:pPr>
      <w:r w:rsidRPr="000904BE">
        <w:rPr>
          <w:rFonts w:cs="Arial"/>
          <w:rtl/>
        </w:rPr>
        <w:t>לא הניח אלא מטלטלים שאין בהם קדימה</w:t>
      </w:r>
      <w:r>
        <w:rPr>
          <w:rStyle w:val="a7"/>
          <w:rFonts w:cs="Arial"/>
          <w:rtl/>
        </w:rPr>
        <w:footnoteReference w:id="2111"/>
      </w:r>
      <w:r w:rsidRPr="000904BE">
        <w:rPr>
          <w:rFonts w:cs="Arial"/>
          <w:rtl/>
        </w:rPr>
        <w:t>, כגון דלא אקני לה מטלטלי אגב</w:t>
      </w:r>
      <w:r>
        <w:rPr>
          <w:rStyle w:val="a7"/>
          <w:rFonts w:cs="Arial"/>
          <w:rtl/>
        </w:rPr>
        <w:footnoteReference w:id="2112"/>
      </w:r>
      <w:r w:rsidRPr="000904BE">
        <w:rPr>
          <w:rFonts w:cs="Arial"/>
          <w:rtl/>
        </w:rPr>
        <w:t xml:space="preserve"> מקרקעי</w:t>
      </w:r>
      <w:r>
        <w:rPr>
          <w:rStyle w:val="a7"/>
          <w:rFonts w:cs="Arial"/>
          <w:rtl/>
        </w:rPr>
        <w:footnoteReference w:id="2113"/>
      </w:r>
      <w:r w:rsidRPr="000904BE">
        <w:rPr>
          <w:rFonts w:cs="Arial"/>
          <w:rtl/>
        </w:rPr>
        <w:t>, יתנו לבעל חוב, אפילו הוא מאוחר, ותדחה האשה מלגבות עיקר ותוספת</w:t>
      </w:r>
      <w:r>
        <w:rPr>
          <w:rStyle w:val="a7"/>
          <w:rFonts w:cs="Arial"/>
          <w:rtl/>
        </w:rPr>
        <w:footnoteReference w:id="2114"/>
      </w:r>
      <w:r w:rsidRPr="000904BE">
        <w:rPr>
          <w:rFonts w:cs="Arial"/>
          <w:rtl/>
        </w:rPr>
        <w:t>. ומיהו אם תפסה, אפילו שלא בב</w:t>
      </w:r>
      <w:r>
        <w:rPr>
          <w:rFonts w:cs="Arial" w:hint="cs"/>
          <w:rtl/>
        </w:rPr>
        <w:t xml:space="preserve">ית </w:t>
      </w:r>
      <w:r w:rsidRPr="000904BE">
        <w:rPr>
          <w:rFonts w:cs="Arial"/>
          <w:rtl/>
        </w:rPr>
        <w:t>ד</w:t>
      </w:r>
      <w:r>
        <w:rPr>
          <w:rFonts w:cs="Arial" w:hint="cs"/>
          <w:rtl/>
        </w:rPr>
        <w:t>ין</w:t>
      </w:r>
      <w:r w:rsidRPr="000904BE">
        <w:rPr>
          <w:rFonts w:cs="Arial"/>
          <w:rtl/>
        </w:rPr>
        <w:t xml:space="preserve">, אין מוציאין מידה. </w:t>
      </w:r>
      <w:r w:rsidRPr="007A47A7">
        <w:rPr>
          <w:rFonts w:cs="Arial"/>
          <w:sz w:val="18"/>
          <w:szCs w:val="18"/>
          <w:rtl/>
        </w:rPr>
        <w:t xml:space="preserve">הגה: וי"א </w:t>
      </w:r>
      <w:r w:rsidRPr="007A47A7">
        <w:rPr>
          <w:rFonts w:cs="Arial"/>
          <w:sz w:val="18"/>
          <w:szCs w:val="18"/>
          <w:rtl/>
        </w:rPr>
        <w:lastRenderedPageBreak/>
        <w:t>דאפילו תפסה, מוציאין מידה (מרדכי בשם מהר"ם)</w:t>
      </w:r>
      <w:r>
        <w:rPr>
          <w:rFonts w:cs="Arial" w:hint="cs"/>
          <w:sz w:val="18"/>
          <w:szCs w:val="18"/>
          <w:rtl/>
        </w:rPr>
        <w:t>.</w:t>
      </w:r>
      <w:r w:rsidRPr="007A47A7">
        <w:rPr>
          <w:rFonts w:cs="Arial"/>
          <w:sz w:val="18"/>
          <w:szCs w:val="18"/>
          <w:rtl/>
        </w:rPr>
        <w:t xml:space="preserve"> וכן הורו האחרונים (מהרי"ל ומהרי"ו). ואין חלוק בזה בין מלוה בשטר או מלוה על פה הידועה (מהרי"ו). אבל אם אינה ידועה, יכולה לומר: דילמא אינו חייב לך</w:t>
      </w:r>
      <w:r>
        <w:rPr>
          <w:rStyle w:val="a7"/>
          <w:rFonts w:cs="Arial"/>
          <w:sz w:val="18"/>
          <w:szCs w:val="18"/>
          <w:rtl/>
        </w:rPr>
        <w:footnoteReference w:id="2115"/>
      </w:r>
      <w:r>
        <w:rPr>
          <w:rFonts w:cs="Arial" w:hint="cs"/>
          <w:sz w:val="18"/>
          <w:szCs w:val="18"/>
          <w:rtl/>
        </w:rPr>
        <w:t xml:space="preserve"> (הגה"מ)</w:t>
      </w:r>
      <w:r w:rsidRPr="007A47A7">
        <w:rPr>
          <w:rFonts w:cs="Arial"/>
          <w:sz w:val="18"/>
          <w:szCs w:val="18"/>
          <w:rtl/>
        </w:rPr>
        <w:t>. ולכו</w:t>
      </w:r>
      <w:r w:rsidR="003C59B9">
        <w:rPr>
          <w:rFonts w:cs="Arial" w:hint="cs"/>
          <w:sz w:val="18"/>
          <w:szCs w:val="18"/>
          <w:rtl/>
        </w:rPr>
        <w:t>"</w:t>
      </w:r>
      <w:r w:rsidRPr="007A47A7">
        <w:rPr>
          <w:rFonts w:cs="Arial"/>
          <w:sz w:val="18"/>
          <w:szCs w:val="18"/>
          <w:rtl/>
        </w:rPr>
        <w:t>ע אם תפסה פקדון של אחרים שהיה ביד בעלה, צריכה להחזיר</w:t>
      </w:r>
      <w:r>
        <w:rPr>
          <w:rStyle w:val="a7"/>
          <w:rFonts w:cs="Arial"/>
          <w:sz w:val="18"/>
          <w:szCs w:val="18"/>
          <w:rtl/>
        </w:rPr>
        <w:footnoteReference w:id="2116"/>
      </w:r>
      <w:r w:rsidRPr="007A47A7">
        <w:rPr>
          <w:rFonts w:cs="Arial"/>
          <w:sz w:val="18"/>
          <w:szCs w:val="18"/>
          <w:rtl/>
        </w:rPr>
        <w:t xml:space="preserve"> (מהרא"י</w:t>
      </w:r>
      <w:r>
        <w:rPr>
          <w:rFonts w:cs="Arial" w:hint="cs"/>
          <w:sz w:val="18"/>
          <w:szCs w:val="18"/>
          <w:rtl/>
        </w:rPr>
        <w:t xml:space="preserve"> ומהרי"ו</w:t>
      </w:r>
      <w:r w:rsidRPr="007A47A7">
        <w:rPr>
          <w:rFonts w:cs="Arial"/>
          <w:sz w:val="18"/>
          <w:szCs w:val="18"/>
          <w:rtl/>
        </w:rPr>
        <w:t>). י"א דאין כותבין אגב בכתובה</w:t>
      </w:r>
      <w:r>
        <w:rPr>
          <w:rStyle w:val="a7"/>
          <w:rFonts w:cs="Arial"/>
          <w:sz w:val="18"/>
          <w:szCs w:val="18"/>
          <w:rtl/>
        </w:rPr>
        <w:footnoteReference w:id="2117"/>
      </w:r>
      <w:r w:rsidRPr="007A47A7">
        <w:rPr>
          <w:rFonts w:cs="Arial"/>
          <w:sz w:val="18"/>
          <w:szCs w:val="18"/>
          <w:rtl/>
        </w:rPr>
        <w:t>, וכן נוהגין. מיהו אפילו כתב בזמן הזה, אין לחוש</w:t>
      </w:r>
      <w:r>
        <w:rPr>
          <w:rStyle w:val="a7"/>
          <w:rFonts w:cs="Arial"/>
          <w:sz w:val="18"/>
          <w:szCs w:val="18"/>
          <w:rtl/>
        </w:rPr>
        <w:footnoteReference w:id="2118"/>
      </w:r>
      <w:r w:rsidRPr="007A47A7">
        <w:rPr>
          <w:rFonts w:cs="Arial"/>
          <w:sz w:val="18"/>
          <w:szCs w:val="18"/>
          <w:rtl/>
        </w:rPr>
        <w:t>, וכמו שנתבאר לעיל סי</w:t>
      </w:r>
      <w:r>
        <w:rPr>
          <w:rFonts w:cs="Arial" w:hint="cs"/>
          <w:sz w:val="18"/>
          <w:szCs w:val="18"/>
          <w:rtl/>
        </w:rPr>
        <w:t>'</w:t>
      </w:r>
      <w:r w:rsidRPr="007A47A7">
        <w:rPr>
          <w:rFonts w:cs="Arial"/>
          <w:sz w:val="18"/>
          <w:szCs w:val="18"/>
          <w:rtl/>
        </w:rPr>
        <w:t xml:space="preserve"> ק'.</w:t>
      </w:r>
      <w:r w:rsidRPr="000904BE">
        <w:rPr>
          <w:rFonts w:cs="Arial"/>
          <w:rtl/>
        </w:rPr>
        <w:t xml:space="preserve"> </w:t>
      </w:r>
    </w:p>
    <w:p w14:paraId="4C563271" w14:textId="77777777" w:rsidR="00392DBB" w:rsidRDefault="00392DBB" w:rsidP="00392DBB">
      <w:pPr>
        <w:rPr>
          <w:rFonts w:cs="Arial"/>
          <w:rtl/>
        </w:rPr>
      </w:pPr>
      <w:r w:rsidRPr="00103C93">
        <w:rPr>
          <w:rFonts w:cs="Arial"/>
          <w:u w:val="single"/>
          <w:rtl/>
        </w:rPr>
        <w:t>מלוה ע"פ מוקדמת וכתובה מאוחרת שכתב בה מטלטלי אג</w:t>
      </w:r>
      <w:r w:rsidRPr="00103C93">
        <w:rPr>
          <w:rFonts w:cs="Arial" w:hint="cs"/>
          <w:u w:val="single"/>
          <w:rtl/>
        </w:rPr>
        <w:t>ב קרקע</w:t>
      </w:r>
      <w:r>
        <w:rPr>
          <w:rFonts w:cs="Arial" w:hint="cs"/>
          <w:u w:val="single"/>
          <w:rtl/>
        </w:rPr>
        <w:t>:</w:t>
      </w:r>
      <w:r w:rsidRPr="00103C93">
        <w:rPr>
          <w:rFonts w:cs="Arial"/>
          <w:rtl/>
        </w:rPr>
        <w:t xml:space="preserve"> </w:t>
      </w:r>
      <w:r>
        <w:rPr>
          <w:rFonts w:cs="Arial" w:hint="cs"/>
          <w:sz w:val="16"/>
          <w:szCs w:val="16"/>
          <w:rtl/>
        </w:rPr>
        <w:t>(באה"ט סק"ג)</w:t>
      </w:r>
    </w:p>
    <w:p w14:paraId="21DA0314" w14:textId="77777777" w:rsidR="00392DBB" w:rsidRDefault="00392DBB" w:rsidP="009000E3">
      <w:pPr>
        <w:pStyle w:val="ab"/>
        <w:numPr>
          <w:ilvl w:val="0"/>
          <w:numId w:val="61"/>
        </w:numPr>
        <w:rPr>
          <w:rFonts w:cs="Arial"/>
        </w:rPr>
      </w:pPr>
      <w:r w:rsidRPr="00103C93">
        <w:rPr>
          <w:rFonts w:cs="Arial"/>
          <w:rtl/>
        </w:rPr>
        <w:t xml:space="preserve">רשד"ם </w:t>
      </w:r>
      <w:r w:rsidRPr="00103C93">
        <w:rPr>
          <w:rFonts w:cs="Arial" w:hint="cs"/>
          <w:sz w:val="16"/>
          <w:szCs w:val="16"/>
          <w:rtl/>
        </w:rPr>
        <w:t>(</w:t>
      </w:r>
      <w:r>
        <w:rPr>
          <w:rFonts w:cs="Arial" w:hint="cs"/>
          <w:sz w:val="16"/>
          <w:szCs w:val="16"/>
          <w:rtl/>
        </w:rPr>
        <w:t xml:space="preserve">שו"ת </w:t>
      </w:r>
      <w:r w:rsidRPr="00103C93">
        <w:rPr>
          <w:rFonts w:cs="Arial"/>
          <w:sz w:val="16"/>
          <w:szCs w:val="16"/>
          <w:rtl/>
        </w:rPr>
        <w:t>ח</w:t>
      </w:r>
      <w:r w:rsidRPr="00103C93">
        <w:rPr>
          <w:rFonts w:cs="Arial" w:hint="cs"/>
          <w:sz w:val="16"/>
          <w:szCs w:val="16"/>
          <w:rtl/>
        </w:rPr>
        <w:t>ו</w:t>
      </w:r>
      <w:r w:rsidRPr="00103C93">
        <w:rPr>
          <w:rFonts w:cs="Arial"/>
          <w:sz w:val="16"/>
          <w:szCs w:val="16"/>
          <w:rtl/>
        </w:rPr>
        <w:t>"מ סי</w:t>
      </w:r>
      <w:r w:rsidRPr="00103C93">
        <w:rPr>
          <w:rFonts w:cs="Arial" w:hint="cs"/>
          <w:sz w:val="16"/>
          <w:szCs w:val="16"/>
          <w:rtl/>
        </w:rPr>
        <w:t>'</w:t>
      </w:r>
      <w:r w:rsidRPr="00103C93">
        <w:rPr>
          <w:rFonts w:cs="Arial"/>
          <w:sz w:val="16"/>
          <w:szCs w:val="16"/>
          <w:rtl/>
        </w:rPr>
        <w:t xml:space="preserve"> רי</w:t>
      </w:r>
      <w:r w:rsidRPr="00103C93">
        <w:rPr>
          <w:rFonts w:cs="Arial" w:hint="cs"/>
          <w:sz w:val="16"/>
          <w:szCs w:val="16"/>
          <w:rtl/>
        </w:rPr>
        <w:t>)</w:t>
      </w:r>
      <w:r>
        <w:rPr>
          <w:rFonts w:cs="Arial" w:hint="cs"/>
          <w:rtl/>
        </w:rPr>
        <w:t>-</w:t>
      </w:r>
      <w:r w:rsidRPr="00103C93">
        <w:rPr>
          <w:rFonts w:cs="Arial"/>
          <w:rtl/>
        </w:rPr>
        <w:t xml:space="preserve"> אם תפס הבע"ח שבע"פ מעצמו זכה. </w:t>
      </w:r>
    </w:p>
    <w:p w14:paraId="43B4CA91" w14:textId="77777777" w:rsidR="00392DBB" w:rsidRDefault="00392DBB" w:rsidP="009000E3">
      <w:pPr>
        <w:pStyle w:val="ab"/>
        <w:numPr>
          <w:ilvl w:val="0"/>
          <w:numId w:val="61"/>
        </w:numPr>
        <w:rPr>
          <w:rFonts w:cs="Arial"/>
        </w:rPr>
      </w:pPr>
      <w:r w:rsidRPr="00103C93">
        <w:rPr>
          <w:rFonts w:cs="Arial"/>
          <w:rtl/>
        </w:rPr>
        <w:t xml:space="preserve">רש"ך </w:t>
      </w:r>
      <w:r w:rsidRPr="00103C93">
        <w:rPr>
          <w:rFonts w:cs="Arial" w:hint="cs"/>
          <w:sz w:val="16"/>
          <w:szCs w:val="16"/>
          <w:rtl/>
        </w:rPr>
        <w:t>(</w:t>
      </w:r>
      <w:r w:rsidRPr="00103C93">
        <w:rPr>
          <w:rFonts w:cs="Arial"/>
          <w:sz w:val="16"/>
          <w:szCs w:val="16"/>
          <w:rtl/>
        </w:rPr>
        <w:t>ח"א סי' לה</w:t>
      </w:r>
      <w:r w:rsidRPr="00103C93">
        <w:rPr>
          <w:rFonts w:cs="Arial" w:hint="cs"/>
          <w:sz w:val="16"/>
          <w:szCs w:val="16"/>
          <w:rtl/>
        </w:rPr>
        <w:t>)</w:t>
      </w:r>
      <w:r>
        <w:rPr>
          <w:rFonts w:cs="Arial" w:hint="cs"/>
          <w:rtl/>
        </w:rPr>
        <w:t>-</w:t>
      </w:r>
      <w:r w:rsidRPr="00103C93">
        <w:rPr>
          <w:rFonts w:cs="Arial"/>
          <w:rtl/>
        </w:rPr>
        <w:t xml:space="preserve"> מוצי</w:t>
      </w:r>
      <w:r>
        <w:rPr>
          <w:rFonts w:cs="Arial" w:hint="cs"/>
          <w:rtl/>
        </w:rPr>
        <w:t>אים</w:t>
      </w:r>
      <w:r w:rsidRPr="00103C93">
        <w:rPr>
          <w:rFonts w:cs="Arial"/>
          <w:rtl/>
        </w:rPr>
        <w:t xml:space="preserve"> מידו ונותנין לאלמנה</w:t>
      </w:r>
      <w:r>
        <w:rPr>
          <w:rStyle w:val="a7"/>
          <w:rFonts w:cs="Arial"/>
          <w:rtl/>
        </w:rPr>
        <w:footnoteReference w:id="2119"/>
      </w:r>
      <w:r>
        <w:rPr>
          <w:rFonts w:cs="Arial" w:hint="cs"/>
          <w:rtl/>
        </w:rPr>
        <w:t>.</w:t>
      </w:r>
      <w:r w:rsidRPr="00103C93">
        <w:rPr>
          <w:rFonts w:cs="Arial"/>
          <w:rtl/>
        </w:rPr>
        <w:t xml:space="preserve"> </w:t>
      </w:r>
    </w:p>
    <w:p w14:paraId="09CBEE47" w14:textId="551DFA39" w:rsidR="00392DBB" w:rsidRPr="0098458B" w:rsidRDefault="00392DBB" w:rsidP="00392DBB">
      <w:pPr>
        <w:rPr>
          <w:rFonts w:cs="Arial"/>
          <w:u w:val="single"/>
        </w:rPr>
      </w:pPr>
      <w:r w:rsidRPr="0098458B">
        <w:rPr>
          <w:rFonts w:cs="Arial"/>
          <w:u w:val="single"/>
          <w:rtl/>
        </w:rPr>
        <w:t>מי שמת והיה חייב שכירות למשכיר ונמצאו מטלטלין בתוך הבית</w:t>
      </w:r>
      <w:r w:rsidRPr="0098458B">
        <w:rPr>
          <w:rFonts w:cs="Arial" w:hint="cs"/>
          <w:u w:val="single"/>
          <w:rtl/>
        </w:rPr>
        <w:t xml:space="preserve"> </w:t>
      </w:r>
      <w:r w:rsidR="00F97626">
        <w:rPr>
          <w:rFonts w:cs="Arial"/>
          <w:u w:val="single"/>
          <w:rtl/>
        </w:rPr>
        <w:t>-</w:t>
      </w:r>
      <w:r w:rsidRPr="0098458B">
        <w:rPr>
          <w:rFonts w:cs="Arial" w:hint="cs"/>
          <w:u w:val="single"/>
          <w:rtl/>
        </w:rPr>
        <w:t xml:space="preserve"> מי קודם לגבות מה</w:t>
      </w:r>
      <w:r>
        <w:rPr>
          <w:rFonts w:cs="Arial" w:hint="cs"/>
          <w:u w:val="single"/>
          <w:rtl/>
        </w:rPr>
        <w:t>ם</w:t>
      </w:r>
      <w:r w:rsidRPr="0098458B">
        <w:rPr>
          <w:rFonts w:cs="Arial" w:hint="cs"/>
          <w:u w:val="single"/>
          <w:rtl/>
        </w:rPr>
        <w:t>:</w:t>
      </w:r>
      <w:r w:rsidRPr="00103C93">
        <w:rPr>
          <w:rFonts w:cs="Arial"/>
          <w:rtl/>
        </w:rPr>
        <w:t xml:space="preserve"> </w:t>
      </w:r>
      <w:r>
        <w:rPr>
          <w:rFonts w:cs="Arial" w:hint="cs"/>
          <w:sz w:val="16"/>
          <w:szCs w:val="16"/>
          <w:rtl/>
        </w:rPr>
        <w:t>(באה"ט סק"ד)</w:t>
      </w:r>
    </w:p>
    <w:p w14:paraId="6F80C5D9" w14:textId="77777777" w:rsidR="00392DBB" w:rsidRPr="00103C93" w:rsidRDefault="00392DBB" w:rsidP="009000E3">
      <w:pPr>
        <w:pStyle w:val="ab"/>
        <w:numPr>
          <w:ilvl w:val="0"/>
          <w:numId w:val="61"/>
        </w:numPr>
        <w:rPr>
          <w:rFonts w:cs="Arial"/>
          <w:rtl/>
        </w:rPr>
      </w:pPr>
      <w:r w:rsidRPr="0098458B">
        <w:rPr>
          <w:rFonts w:cs="Arial"/>
          <w:rtl/>
        </w:rPr>
        <w:t xml:space="preserve">רשד"ם </w:t>
      </w:r>
      <w:r w:rsidRPr="0098458B">
        <w:rPr>
          <w:rFonts w:cs="Arial" w:hint="cs"/>
          <w:sz w:val="16"/>
          <w:szCs w:val="16"/>
          <w:rtl/>
        </w:rPr>
        <w:t>(</w:t>
      </w:r>
      <w:r w:rsidRPr="0098458B">
        <w:rPr>
          <w:rFonts w:cs="Arial"/>
          <w:sz w:val="16"/>
          <w:szCs w:val="16"/>
          <w:rtl/>
        </w:rPr>
        <w:t>חא"ה סי</w:t>
      </w:r>
      <w:r w:rsidRPr="0098458B">
        <w:rPr>
          <w:rFonts w:cs="Arial" w:hint="cs"/>
          <w:sz w:val="16"/>
          <w:szCs w:val="16"/>
          <w:rtl/>
        </w:rPr>
        <w:t>'</w:t>
      </w:r>
      <w:r w:rsidRPr="0098458B">
        <w:rPr>
          <w:rFonts w:cs="Arial"/>
          <w:sz w:val="16"/>
          <w:szCs w:val="16"/>
          <w:rtl/>
        </w:rPr>
        <w:t xml:space="preserve"> קפג</w:t>
      </w:r>
      <w:r w:rsidRPr="0098458B">
        <w:rPr>
          <w:rFonts w:cs="Arial" w:hint="cs"/>
          <w:sz w:val="16"/>
          <w:szCs w:val="16"/>
          <w:rtl/>
        </w:rPr>
        <w:t>)</w:t>
      </w:r>
      <w:r>
        <w:rPr>
          <w:rFonts w:cs="Arial" w:hint="cs"/>
          <w:rtl/>
        </w:rPr>
        <w:t xml:space="preserve">- </w:t>
      </w:r>
      <w:r w:rsidRPr="0098458B">
        <w:rPr>
          <w:rFonts w:cs="Arial"/>
          <w:rtl/>
        </w:rPr>
        <w:t>מי שמת והיה חייב שכירות למשכיר ונמצאו מטלטלין בתוך הבית</w:t>
      </w:r>
      <w:r>
        <w:rPr>
          <w:rFonts w:cs="Arial" w:hint="cs"/>
          <w:rtl/>
        </w:rPr>
        <w:t xml:space="preserve"> -</w:t>
      </w:r>
      <w:r w:rsidRPr="0098458B">
        <w:rPr>
          <w:rFonts w:cs="Arial"/>
          <w:rtl/>
        </w:rPr>
        <w:t xml:space="preserve"> המשכיר קודם לאלמנה אף אם כתב בכתובה מטלטלי אג"ק וזמן הכתובה קודם לשכירות המשכיר</w:t>
      </w:r>
      <w:r>
        <w:rPr>
          <w:rStyle w:val="a7"/>
          <w:rFonts w:cs="Arial"/>
          <w:rtl/>
        </w:rPr>
        <w:footnoteReference w:id="2120"/>
      </w:r>
      <w:r>
        <w:rPr>
          <w:rFonts w:cs="Arial" w:hint="cs"/>
          <w:rtl/>
        </w:rPr>
        <w:t>.</w:t>
      </w:r>
      <w:r w:rsidRPr="0098458B">
        <w:rPr>
          <w:rFonts w:cs="Arial"/>
          <w:rtl/>
        </w:rPr>
        <w:t xml:space="preserve"> </w:t>
      </w:r>
    </w:p>
    <w:p w14:paraId="3A330E8B" w14:textId="77777777" w:rsidR="00392DBB" w:rsidRPr="000904BE" w:rsidRDefault="00392DBB" w:rsidP="00392DBB">
      <w:pPr>
        <w:rPr>
          <w:rFonts w:cs="Arial"/>
          <w:rtl/>
        </w:rPr>
      </w:pPr>
    </w:p>
    <w:p w14:paraId="53C1B5F3" w14:textId="1DF98695" w:rsidR="00392DBB" w:rsidRDefault="00392DBB" w:rsidP="000F64D0">
      <w:pPr>
        <w:pStyle w:val="2"/>
        <w:rPr>
          <w:rtl/>
        </w:rPr>
      </w:pPr>
      <w:r w:rsidRPr="000904BE">
        <w:rPr>
          <w:rtl/>
        </w:rPr>
        <w:t>סעיף ג</w:t>
      </w:r>
      <w:r>
        <w:rPr>
          <w:rFonts w:hint="cs"/>
          <w:rtl/>
        </w:rPr>
        <w:t xml:space="preserve">: </w:t>
      </w:r>
      <w:r w:rsidRPr="003A4B45">
        <w:rPr>
          <w:rFonts w:hint="cs"/>
          <w:rtl/>
        </w:rPr>
        <w:t>אלמנ</w:t>
      </w:r>
      <w:r>
        <w:rPr>
          <w:rFonts w:hint="cs"/>
          <w:rtl/>
        </w:rPr>
        <w:t>ה ו</w:t>
      </w:r>
      <w:r w:rsidRPr="003A4B45">
        <w:rPr>
          <w:rFonts w:hint="cs"/>
          <w:rtl/>
        </w:rPr>
        <w:t>בעל חוב</w:t>
      </w:r>
      <w:r>
        <w:rPr>
          <w:rFonts w:hint="cs"/>
          <w:rtl/>
        </w:rPr>
        <w:t xml:space="preserve"> </w:t>
      </w:r>
      <w:r w:rsidR="00F97626">
        <w:rPr>
          <w:rtl/>
        </w:rPr>
        <w:t>-</w:t>
      </w:r>
      <w:r>
        <w:rPr>
          <w:rFonts w:hint="cs"/>
          <w:rtl/>
        </w:rPr>
        <w:t xml:space="preserve"> ואין בנכסים כדי פריעת שניהם.</w:t>
      </w:r>
    </w:p>
    <w:p w14:paraId="496E01BF" w14:textId="0FEDEBBC" w:rsidR="00392DBB" w:rsidRPr="00407C0D" w:rsidRDefault="00392DBB" w:rsidP="00392DBB">
      <w:pPr>
        <w:rPr>
          <w:rFonts w:cs="Arial"/>
          <w:rtl/>
        </w:rPr>
      </w:pPr>
      <w:r w:rsidRPr="00E14BD0">
        <w:rPr>
          <w:rFonts w:cs="Arial"/>
          <w:b/>
          <w:bCs/>
          <w:rtl/>
        </w:rPr>
        <w:t xml:space="preserve">כתובות </w:t>
      </w:r>
      <w:r w:rsidRPr="00E14BD0">
        <w:rPr>
          <w:rFonts w:cs="Arial" w:hint="cs"/>
          <w:b/>
          <w:bCs/>
          <w:sz w:val="16"/>
          <w:szCs w:val="16"/>
          <w:rtl/>
        </w:rPr>
        <w:t>(ס"</w:t>
      </w:r>
      <w:r w:rsidRPr="00E14BD0">
        <w:rPr>
          <w:rFonts w:cs="Arial"/>
          <w:b/>
          <w:bCs/>
          <w:sz w:val="16"/>
          <w:szCs w:val="16"/>
          <w:rtl/>
        </w:rPr>
        <w:t xml:space="preserve">פ </w:t>
      </w:r>
      <w:r>
        <w:rPr>
          <w:rFonts w:cs="Arial" w:hint="cs"/>
          <w:b/>
          <w:bCs/>
          <w:sz w:val="16"/>
          <w:szCs w:val="16"/>
          <w:rtl/>
        </w:rPr>
        <w:t>הכותב</w:t>
      </w:r>
      <w:r w:rsidRPr="00E14BD0">
        <w:rPr>
          <w:rFonts w:cs="Arial" w:hint="cs"/>
          <w:b/>
          <w:bCs/>
          <w:sz w:val="16"/>
          <w:szCs w:val="16"/>
          <w:rtl/>
        </w:rPr>
        <w:t>)</w:t>
      </w:r>
      <w:r w:rsidRPr="00E14BD0">
        <w:rPr>
          <w:rFonts w:cs="Arial" w:hint="cs"/>
          <w:b/>
          <w:bCs/>
          <w:rtl/>
        </w:rPr>
        <w:t xml:space="preserve"> </w:t>
      </w:r>
      <w:r>
        <w:rPr>
          <w:rFonts w:cs="Arial" w:hint="cs"/>
          <w:b/>
          <w:bCs/>
          <w:rtl/>
        </w:rPr>
        <w:t>פו</w:t>
      </w:r>
      <w:r w:rsidR="00BB0C6B">
        <w:rPr>
          <w:rStyle w:val="a7"/>
          <w:rFonts w:cs="Arial"/>
          <w:b/>
          <w:bCs/>
          <w:rtl/>
        </w:rPr>
        <w:footnoteReference w:id="2121"/>
      </w:r>
      <w:r w:rsidRPr="00E14BD0">
        <w:rPr>
          <w:rFonts w:cs="Arial" w:hint="cs"/>
          <w:b/>
          <w:bCs/>
          <w:rtl/>
        </w:rPr>
        <w:t xml:space="preserve"> ע"</w:t>
      </w:r>
      <w:r>
        <w:rPr>
          <w:rFonts w:cs="Arial" w:hint="cs"/>
          <w:b/>
          <w:bCs/>
          <w:rtl/>
        </w:rPr>
        <w:t>א</w:t>
      </w:r>
      <w:r w:rsidRPr="00E14BD0">
        <w:rPr>
          <w:rFonts w:cs="Arial"/>
          <w:b/>
          <w:bCs/>
          <w:rtl/>
        </w:rPr>
        <w:t>:</w:t>
      </w:r>
      <w:r w:rsidRPr="00567E28">
        <w:rPr>
          <w:rFonts w:cs="Arial"/>
          <w:rtl/>
        </w:rPr>
        <w:t xml:space="preserve"> </w:t>
      </w:r>
      <w:r w:rsidRPr="00DC4A1A">
        <w:rPr>
          <w:rFonts w:cs="Arial"/>
          <w:u w:val="single"/>
          <w:rtl/>
        </w:rPr>
        <w:t>אמר אמימר משמיה דרב חמא</w:t>
      </w:r>
      <w:r w:rsidRPr="00DC4A1A">
        <w:rPr>
          <w:rFonts w:cs="Arial"/>
          <w:rtl/>
        </w:rPr>
        <w:t>: האי מאן דאיכא עליה כתובת אשה ובע"ח, ואית ליה ארעא ואית ליה זוזי, לבעל חוב מסלקינן ליה בזוזי, לאשה מסלקינן לה בארעא. האי כי דיניה</w:t>
      </w:r>
      <w:r>
        <w:rPr>
          <w:rStyle w:val="a7"/>
          <w:rFonts w:cs="Arial"/>
          <w:rtl/>
        </w:rPr>
        <w:footnoteReference w:id="2122"/>
      </w:r>
      <w:r w:rsidRPr="00DC4A1A">
        <w:rPr>
          <w:rFonts w:cs="Arial"/>
          <w:rtl/>
        </w:rPr>
        <w:t xml:space="preserve"> והאי כי דיניה</w:t>
      </w:r>
      <w:r>
        <w:rPr>
          <w:rFonts w:cs="Arial" w:hint="cs"/>
          <w:rtl/>
        </w:rPr>
        <w:t>.</w:t>
      </w:r>
      <w:r w:rsidRPr="00DC4A1A">
        <w:rPr>
          <w:rFonts w:cs="Arial"/>
          <w:rtl/>
        </w:rPr>
        <w:t xml:space="preserve"> ואי לא איכא אלא חד ארעא ולא חזיא אלא לחד, לבעל חוב יהבינן ליה</w:t>
      </w:r>
      <w:r>
        <w:rPr>
          <w:rStyle w:val="a7"/>
          <w:rFonts w:cs="Arial"/>
          <w:rtl/>
        </w:rPr>
        <w:footnoteReference w:id="2123"/>
      </w:r>
      <w:r w:rsidRPr="00DC4A1A">
        <w:rPr>
          <w:rFonts w:cs="Arial"/>
          <w:rtl/>
        </w:rPr>
        <w:t>, לאשה לא יהבינן לה, מאי טעמא? יותר ממה שהאיש רוצה לישא - אשה רוצה להנשא</w:t>
      </w:r>
      <w:r>
        <w:rPr>
          <w:rStyle w:val="a7"/>
          <w:rFonts w:cs="Arial"/>
          <w:rtl/>
        </w:rPr>
        <w:footnoteReference w:id="2124"/>
      </w:r>
      <w:r w:rsidRPr="00DC4A1A">
        <w:rPr>
          <w:rFonts w:cs="Arial"/>
          <w:rtl/>
        </w:rPr>
        <w:t>.</w:t>
      </w:r>
    </w:p>
    <w:p w14:paraId="1C45C764" w14:textId="6577C4B4" w:rsidR="00392DBB" w:rsidRPr="00AE2D77" w:rsidRDefault="00392DBB" w:rsidP="00392DBB">
      <w:pPr>
        <w:rPr>
          <w:u w:val="single"/>
          <w:rtl/>
        </w:rPr>
      </w:pPr>
      <w:r w:rsidRPr="00AE2D77">
        <w:rPr>
          <w:rFonts w:hint="cs"/>
          <w:u w:val="single"/>
          <w:rtl/>
        </w:rPr>
        <w:t>אלמנה ובעל חוב ש</w:t>
      </w:r>
      <w:r>
        <w:rPr>
          <w:rFonts w:hint="cs"/>
          <w:u w:val="single"/>
          <w:rtl/>
        </w:rPr>
        <w:t xml:space="preserve">זמן </w:t>
      </w:r>
      <w:r w:rsidRPr="00AE2D77">
        <w:rPr>
          <w:rFonts w:hint="cs"/>
          <w:u w:val="single"/>
          <w:rtl/>
        </w:rPr>
        <w:t xml:space="preserve">שיעבודם </w:t>
      </w:r>
      <w:r>
        <w:rPr>
          <w:rFonts w:hint="cs"/>
          <w:u w:val="single"/>
          <w:rtl/>
        </w:rPr>
        <w:t>שוה</w:t>
      </w:r>
      <w:r w:rsidRPr="00AE2D77">
        <w:rPr>
          <w:rFonts w:hint="cs"/>
          <w:u w:val="single"/>
          <w:rtl/>
        </w:rPr>
        <w:t xml:space="preserve"> </w:t>
      </w:r>
      <w:r w:rsidR="00F97626">
        <w:rPr>
          <w:u w:val="single"/>
          <w:rtl/>
        </w:rPr>
        <w:t>-</w:t>
      </w:r>
      <w:r w:rsidRPr="00AE2D77">
        <w:rPr>
          <w:rFonts w:hint="cs"/>
          <w:u w:val="single"/>
          <w:rtl/>
        </w:rPr>
        <w:t xml:space="preserve"> </w:t>
      </w:r>
      <w:r w:rsidRPr="00033E31">
        <w:rPr>
          <w:rFonts w:hint="cs"/>
          <w:u w:val="single"/>
          <w:rtl/>
        </w:rPr>
        <w:t>ואין בנכסים כדי פריעת שניהם</w:t>
      </w:r>
      <w:r w:rsidRPr="00AE2D77">
        <w:rPr>
          <w:rFonts w:hint="cs"/>
          <w:u w:val="single"/>
          <w:rtl/>
        </w:rPr>
        <w:t>:</w:t>
      </w:r>
    </w:p>
    <w:p w14:paraId="3BFF1A59" w14:textId="77777777" w:rsidR="00392DBB" w:rsidRDefault="00392DBB" w:rsidP="009000E3">
      <w:pPr>
        <w:pStyle w:val="ab"/>
        <w:numPr>
          <w:ilvl w:val="0"/>
          <w:numId w:val="61"/>
        </w:numPr>
        <w:rPr>
          <w:rFonts w:cs="Arial"/>
        </w:rPr>
      </w:pPr>
      <w:r w:rsidRPr="000E19D1">
        <w:rPr>
          <w:rFonts w:cs="Arial"/>
          <w:rtl/>
        </w:rPr>
        <w:lastRenderedPageBreak/>
        <w:t>איכא</w:t>
      </w:r>
      <w:r w:rsidRPr="000E19D1">
        <w:rPr>
          <w:rFonts w:cs="Arial" w:hint="cs"/>
          <w:rtl/>
        </w:rPr>
        <w:t xml:space="preserve"> </w:t>
      </w:r>
      <w:r w:rsidRPr="000E19D1">
        <w:rPr>
          <w:rFonts w:cs="Arial"/>
          <w:rtl/>
        </w:rPr>
        <w:t>מ</w:t>
      </w:r>
      <w:r w:rsidRPr="000E19D1">
        <w:rPr>
          <w:rFonts w:cs="Arial" w:hint="cs"/>
          <w:rtl/>
        </w:rPr>
        <w:t>אן דאמר</w:t>
      </w:r>
      <w:r w:rsidRPr="000E19D1">
        <w:rPr>
          <w:rFonts w:cs="Arial" w:hint="cs"/>
          <w:sz w:val="16"/>
          <w:szCs w:val="16"/>
          <w:rtl/>
        </w:rPr>
        <w:t xml:space="preserve"> (הביאו הרי"ף מה:)</w:t>
      </w:r>
      <w:r w:rsidRPr="000E19D1">
        <w:rPr>
          <w:rFonts w:cs="Arial" w:hint="cs"/>
          <w:rtl/>
        </w:rPr>
        <w:t>-</w:t>
      </w:r>
      <w:r w:rsidRPr="000E19D1">
        <w:rPr>
          <w:rFonts w:cs="Arial"/>
          <w:rtl/>
        </w:rPr>
        <w:t xml:space="preserve"> הא דאמימר ליתא אלא בשטר כתובה ושטר חוב יוצאין ביום אחד</w:t>
      </w:r>
      <w:r w:rsidRPr="000E19D1">
        <w:rPr>
          <w:rFonts w:cs="Arial" w:hint="cs"/>
          <w:rtl/>
        </w:rPr>
        <w:t>,</w:t>
      </w:r>
      <w:r w:rsidRPr="000E19D1">
        <w:rPr>
          <w:rFonts w:cs="Arial"/>
          <w:rtl/>
        </w:rPr>
        <w:t xml:space="preserve"> דדיינינן בהו שודא דדייני</w:t>
      </w:r>
      <w:r w:rsidRPr="000E19D1">
        <w:rPr>
          <w:rFonts w:cs="Arial" w:hint="cs"/>
          <w:rtl/>
        </w:rPr>
        <w:t>,</w:t>
      </w:r>
      <w:r w:rsidRPr="000E19D1">
        <w:rPr>
          <w:rFonts w:cs="Arial"/>
          <w:rtl/>
        </w:rPr>
        <w:t xml:space="preserve"> ואשמועינן אמימר דהיכא דחד מינייהו בעל חוב וחד כתובת אשה לא אמרינן שודא דדייני בהא מילתא</w:t>
      </w:r>
      <w:r w:rsidRPr="000E19D1">
        <w:rPr>
          <w:rFonts w:cs="Arial" w:hint="cs"/>
          <w:rtl/>
        </w:rPr>
        <w:t>,</w:t>
      </w:r>
      <w:r w:rsidRPr="000E19D1">
        <w:rPr>
          <w:rFonts w:cs="Arial"/>
          <w:rtl/>
        </w:rPr>
        <w:t xml:space="preserve"> דלבעל חוב יהבינן לאשה לא יהבינן</w:t>
      </w:r>
      <w:r w:rsidRPr="000E19D1">
        <w:rPr>
          <w:rFonts w:cs="Arial" w:hint="cs"/>
          <w:rtl/>
        </w:rPr>
        <w:t>,</w:t>
      </w:r>
      <w:r w:rsidRPr="000E19D1">
        <w:rPr>
          <w:rFonts w:cs="Arial"/>
          <w:rtl/>
        </w:rPr>
        <w:t xml:space="preserve"> דיותר משהאיש רוצה לישא וכו'</w:t>
      </w:r>
      <w:r w:rsidRPr="000E19D1">
        <w:rPr>
          <w:rFonts w:cs="Arial" w:hint="cs"/>
          <w:rtl/>
        </w:rPr>
        <w:t>.</w:t>
      </w:r>
      <w:r w:rsidRPr="000E19D1">
        <w:rPr>
          <w:rFonts w:cs="Arial"/>
          <w:rtl/>
        </w:rPr>
        <w:t xml:space="preserve"> אבל היכא דשטר חוב וכתובה כגון לוה ולוה ואח"כ קנה</w:t>
      </w:r>
      <w:r w:rsidRPr="000E19D1">
        <w:rPr>
          <w:rFonts w:cs="Arial" w:hint="cs"/>
          <w:rtl/>
        </w:rPr>
        <w:t>,</w:t>
      </w:r>
      <w:r w:rsidRPr="000E19D1">
        <w:rPr>
          <w:rFonts w:cs="Arial"/>
          <w:rtl/>
        </w:rPr>
        <w:t xml:space="preserve"> אי נמי מטלטלין בזמן הזה דקיימא לן חולקין </w:t>
      </w:r>
      <w:r w:rsidRPr="000E19D1">
        <w:rPr>
          <w:rFonts w:cs="Arial" w:hint="cs"/>
          <w:rtl/>
        </w:rPr>
        <w:t xml:space="preserve">- </w:t>
      </w:r>
      <w:r w:rsidRPr="000E19D1">
        <w:rPr>
          <w:rFonts w:cs="Arial"/>
          <w:rtl/>
        </w:rPr>
        <w:t>לא אמרינן בכי הא מילתא לבעל חוב יהבינן לאשה לא יהבינן</w:t>
      </w:r>
      <w:r w:rsidRPr="000E19D1">
        <w:rPr>
          <w:rFonts w:cs="Arial" w:hint="cs"/>
          <w:rtl/>
        </w:rPr>
        <w:t>,</w:t>
      </w:r>
      <w:r w:rsidRPr="000E19D1">
        <w:rPr>
          <w:rFonts w:cs="Arial"/>
          <w:rtl/>
        </w:rPr>
        <w:t xml:space="preserve"> דהא לאו שודא דדייני הוא</w:t>
      </w:r>
      <w:r w:rsidRPr="000E19D1">
        <w:rPr>
          <w:rFonts w:cs="Arial" w:hint="cs"/>
          <w:rtl/>
        </w:rPr>
        <w:t>,</w:t>
      </w:r>
      <w:r w:rsidRPr="000E19D1">
        <w:rPr>
          <w:rFonts w:cs="Arial"/>
          <w:rtl/>
        </w:rPr>
        <w:t xml:space="preserve"> הילכך כתובה ושטר חוב חולקים כבעלי חובות</w:t>
      </w:r>
      <w:r>
        <w:rPr>
          <w:rStyle w:val="a7"/>
          <w:rFonts w:cs="Arial"/>
          <w:rtl/>
        </w:rPr>
        <w:footnoteReference w:id="2125"/>
      </w:r>
      <w:r w:rsidRPr="000E19D1">
        <w:rPr>
          <w:rFonts w:cs="Arial" w:hint="cs"/>
          <w:sz w:val="16"/>
          <w:szCs w:val="16"/>
          <w:rtl/>
        </w:rPr>
        <w:t xml:space="preserve"> (ל' הרי"ף בשמו)</w:t>
      </w:r>
      <w:r w:rsidRPr="000E19D1">
        <w:rPr>
          <w:rFonts w:cs="Arial" w:hint="cs"/>
          <w:rtl/>
        </w:rPr>
        <w:t>.</w:t>
      </w:r>
      <w:r w:rsidRPr="000E19D1">
        <w:rPr>
          <w:rFonts w:cs="Arial"/>
          <w:rtl/>
        </w:rPr>
        <w:t xml:space="preserve"> </w:t>
      </w:r>
    </w:p>
    <w:p w14:paraId="44A2AC10" w14:textId="3E93ECE7" w:rsidR="00392DBB" w:rsidRPr="00E83275" w:rsidRDefault="00392DBB" w:rsidP="009000E3">
      <w:pPr>
        <w:pStyle w:val="ab"/>
        <w:numPr>
          <w:ilvl w:val="0"/>
          <w:numId w:val="61"/>
        </w:numPr>
      </w:pPr>
      <w:r w:rsidRPr="000E19D1">
        <w:rPr>
          <w:rFonts w:cs="Arial"/>
          <w:rtl/>
        </w:rPr>
        <w:t>רי"ף</w:t>
      </w:r>
      <w:r w:rsidRPr="000E19D1">
        <w:rPr>
          <w:rFonts w:cs="Arial"/>
          <w:sz w:val="16"/>
          <w:szCs w:val="16"/>
          <w:rtl/>
        </w:rPr>
        <w:t xml:space="preserve"> (מה:)</w:t>
      </w:r>
      <w:r>
        <w:rPr>
          <w:rFonts w:hint="cs"/>
          <w:rtl/>
        </w:rPr>
        <w:t xml:space="preserve"> רמב"ם </w:t>
      </w:r>
      <w:r>
        <w:rPr>
          <w:rFonts w:hint="cs"/>
          <w:sz w:val="16"/>
          <w:szCs w:val="16"/>
          <w:rtl/>
        </w:rPr>
        <w:t>(פי"ז ה"ה-ו)</w:t>
      </w:r>
      <w:r>
        <w:rPr>
          <w:rFonts w:hint="cs"/>
          <w:rtl/>
        </w:rPr>
        <w:t xml:space="preserve"> רא"ש </w:t>
      </w:r>
      <w:r>
        <w:rPr>
          <w:rFonts w:hint="cs"/>
          <w:sz w:val="16"/>
          <w:szCs w:val="16"/>
          <w:rtl/>
        </w:rPr>
        <w:t xml:space="preserve">(כתובות פ"ט סי' יא) </w:t>
      </w:r>
      <w:r>
        <w:rPr>
          <w:rFonts w:hint="cs"/>
          <w:rtl/>
        </w:rPr>
        <w:t>וטור-</w:t>
      </w:r>
      <w:r>
        <w:rPr>
          <w:rFonts w:cs="Arial" w:hint="cs"/>
          <w:rtl/>
        </w:rPr>
        <w:t xml:space="preserve"> </w:t>
      </w:r>
      <w:r w:rsidRPr="00A167C1">
        <w:rPr>
          <w:rFonts w:cs="Arial"/>
          <w:rtl/>
        </w:rPr>
        <w:t>ואם זמן שניהם שוין</w:t>
      </w:r>
      <w:r>
        <w:rPr>
          <w:rFonts w:cs="Arial" w:hint="cs"/>
          <w:rtl/>
        </w:rPr>
        <w:t>,</w:t>
      </w:r>
      <w:r w:rsidRPr="00A167C1">
        <w:rPr>
          <w:rFonts w:cs="Arial"/>
          <w:rtl/>
        </w:rPr>
        <w:t xml:space="preserve"> או שנשא ולוה ואח"כ קנה</w:t>
      </w:r>
      <w:r>
        <w:rPr>
          <w:rFonts w:cs="Arial" w:hint="cs"/>
          <w:rtl/>
        </w:rPr>
        <w:t>,</w:t>
      </w:r>
      <w:r w:rsidRPr="00A167C1">
        <w:rPr>
          <w:rFonts w:cs="Arial"/>
          <w:rtl/>
        </w:rPr>
        <w:t xml:space="preserve"> או שלוה ונשא ואח"כ קנה</w:t>
      </w:r>
      <w:r>
        <w:rPr>
          <w:rFonts w:cs="Arial" w:hint="cs"/>
          <w:rtl/>
        </w:rPr>
        <w:t>,</w:t>
      </w:r>
      <w:r w:rsidRPr="00A167C1">
        <w:rPr>
          <w:rFonts w:cs="Arial"/>
          <w:rtl/>
        </w:rPr>
        <w:t xml:space="preserve"> שחל שיעבודם כאחד משעה שקנה</w:t>
      </w:r>
      <w:r>
        <w:rPr>
          <w:rFonts w:cs="Arial" w:hint="cs"/>
          <w:rtl/>
        </w:rPr>
        <w:t>,</w:t>
      </w:r>
      <w:r w:rsidRPr="00A167C1">
        <w:rPr>
          <w:rFonts w:cs="Arial"/>
          <w:rtl/>
        </w:rPr>
        <w:t xml:space="preserve"> בין אם הניח מקרקעי או מטלטלי </w:t>
      </w:r>
      <w:r>
        <w:rPr>
          <w:rFonts w:cs="Arial" w:hint="cs"/>
          <w:rtl/>
        </w:rPr>
        <w:t xml:space="preserve">- </w:t>
      </w:r>
      <w:r w:rsidRPr="00A167C1">
        <w:rPr>
          <w:rFonts w:cs="Arial"/>
          <w:rtl/>
        </w:rPr>
        <w:t>ינתנו לב"ח ותדחה האשה</w:t>
      </w:r>
      <w:r>
        <w:rPr>
          <w:rStyle w:val="a7"/>
          <w:rFonts w:cs="Arial"/>
          <w:rtl/>
        </w:rPr>
        <w:footnoteReference w:id="2126"/>
      </w:r>
      <w:r w:rsidR="005350BC">
        <w:rPr>
          <w:rFonts w:cs="Arial" w:hint="cs"/>
          <w:sz w:val="16"/>
          <w:szCs w:val="16"/>
          <w:rtl/>
        </w:rPr>
        <w:t xml:space="preserve"> (ל' הטור)</w:t>
      </w:r>
      <w:r>
        <w:rPr>
          <w:rFonts w:cs="Arial" w:hint="cs"/>
          <w:rtl/>
        </w:rPr>
        <w:t>.</w:t>
      </w:r>
      <w:r w:rsidRPr="00E83275">
        <w:rPr>
          <w:rFonts w:cs="Arial"/>
          <w:color w:val="E36C0A" w:themeColor="accent6" w:themeShade="BF"/>
          <w:rtl/>
        </w:rPr>
        <w:t xml:space="preserve"> </w:t>
      </w:r>
      <w:r w:rsidRPr="00E83275">
        <w:rPr>
          <w:rFonts w:hint="cs"/>
          <w:color w:val="E36C0A" w:themeColor="accent6" w:themeShade="BF"/>
          <w:rtl/>
        </w:rPr>
        <w:t>(וכ"פ בשו"ע)</w:t>
      </w:r>
    </w:p>
    <w:p w14:paraId="2FAFB296" w14:textId="77777777" w:rsidR="00392DBB" w:rsidRPr="00DD6409" w:rsidRDefault="00392DBB" w:rsidP="00392DBB">
      <w:pPr>
        <w:ind w:left="360"/>
        <w:rPr>
          <w:u w:val="dotted"/>
        </w:rPr>
      </w:pPr>
      <w:r w:rsidRPr="00DD6409">
        <w:rPr>
          <w:rFonts w:hint="cs"/>
          <w:u w:val="dotted"/>
          <w:rtl/>
        </w:rPr>
        <w:t>ומה הדין אם קדמה האשה ותפשה:</w:t>
      </w:r>
    </w:p>
    <w:p w14:paraId="0262F6FE" w14:textId="77777777" w:rsidR="00392DBB" w:rsidRDefault="00392DBB" w:rsidP="009000E3">
      <w:pPr>
        <w:pStyle w:val="ab"/>
        <w:numPr>
          <w:ilvl w:val="0"/>
          <w:numId w:val="61"/>
        </w:numPr>
      </w:pPr>
      <w:r>
        <w:rPr>
          <w:rFonts w:hint="cs"/>
          <w:rtl/>
        </w:rPr>
        <w:t xml:space="preserve">רא"ש </w:t>
      </w:r>
      <w:r>
        <w:rPr>
          <w:rFonts w:hint="cs"/>
          <w:sz w:val="16"/>
          <w:szCs w:val="16"/>
          <w:rtl/>
        </w:rPr>
        <w:t xml:space="preserve">(כתובות פ"ט סי' יא) </w:t>
      </w:r>
      <w:r>
        <w:rPr>
          <w:rFonts w:hint="cs"/>
          <w:rtl/>
        </w:rPr>
        <w:t>וטור-</w:t>
      </w:r>
      <w:r>
        <w:rPr>
          <w:rFonts w:cs="Arial" w:hint="cs"/>
          <w:rtl/>
        </w:rPr>
        <w:t xml:space="preserve"> </w:t>
      </w:r>
      <w:r w:rsidRPr="00A167C1">
        <w:rPr>
          <w:rFonts w:cs="Arial"/>
          <w:rtl/>
        </w:rPr>
        <w:t>ואם קדמה האשה ותפשה קרקע</w:t>
      </w:r>
      <w:r>
        <w:rPr>
          <w:rFonts w:cs="Arial" w:hint="cs"/>
          <w:rtl/>
        </w:rPr>
        <w:t>,</w:t>
      </w:r>
      <w:r w:rsidRPr="00A167C1">
        <w:rPr>
          <w:rFonts w:cs="Arial"/>
          <w:rtl/>
        </w:rPr>
        <w:t xml:space="preserve"> אם קדמה וגבתה בב"ד</w:t>
      </w:r>
      <w:r>
        <w:rPr>
          <w:rFonts w:cs="Arial" w:hint="cs"/>
          <w:rtl/>
        </w:rPr>
        <w:t>,</w:t>
      </w:r>
      <w:r w:rsidRPr="00A167C1">
        <w:rPr>
          <w:rFonts w:cs="Arial"/>
          <w:rtl/>
        </w:rPr>
        <w:t xml:space="preserve"> כגון שהגבוה בית דין קודם שידעו שהיה שם ב"ח </w:t>
      </w:r>
      <w:r>
        <w:rPr>
          <w:rFonts w:cs="Arial" w:hint="cs"/>
          <w:rtl/>
        </w:rPr>
        <w:t xml:space="preserve">- </w:t>
      </w:r>
      <w:r w:rsidRPr="00A167C1">
        <w:rPr>
          <w:rFonts w:cs="Arial"/>
          <w:rtl/>
        </w:rPr>
        <w:t>אין מוציאין מידה</w:t>
      </w:r>
      <w:r>
        <w:rPr>
          <w:rFonts w:cs="Arial" w:hint="cs"/>
          <w:rtl/>
        </w:rPr>
        <w:t>.</w:t>
      </w:r>
      <w:r w:rsidRPr="00A167C1">
        <w:rPr>
          <w:rFonts w:cs="Arial"/>
          <w:rtl/>
        </w:rPr>
        <w:t xml:space="preserve"> אבל אם גבתה מעצמה</w:t>
      </w:r>
      <w:r>
        <w:rPr>
          <w:rFonts w:cs="Arial" w:hint="cs"/>
          <w:rtl/>
        </w:rPr>
        <w:t>,</w:t>
      </w:r>
      <w:r w:rsidRPr="00A167C1">
        <w:rPr>
          <w:rFonts w:cs="Arial"/>
          <w:rtl/>
        </w:rPr>
        <w:t xml:space="preserve"> אפי' ע"י שומא דליכא למימר מאן שם לך </w:t>
      </w:r>
      <w:r>
        <w:rPr>
          <w:rFonts w:cs="Arial" w:hint="cs"/>
          <w:rtl/>
        </w:rPr>
        <w:t xml:space="preserve">- </w:t>
      </w:r>
      <w:r w:rsidRPr="00A167C1">
        <w:rPr>
          <w:rFonts w:cs="Arial"/>
          <w:rtl/>
        </w:rPr>
        <w:t>מפקינן מינה</w:t>
      </w:r>
      <w:r>
        <w:rPr>
          <w:rFonts w:cs="Arial" w:hint="cs"/>
          <w:rtl/>
        </w:rPr>
        <w:t>.</w:t>
      </w:r>
      <w:r w:rsidRPr="00A167C1">
        <w:rPr>
          <w:rFonts w:cs="Arial"/>
          <w:rtl/>
        </w:rPr>
        <w:t xml:space="preserve"> ואם קדמה ותפשה מטלטלין</w:t>
      </w:r>
      <w:r>
        <w:rPr>
          <w:rFonts w:cs="Arial" w:hint="cs"/>
          <w:rtl/>
        </w:rPr>
        <w:t>,</w:t>
      </w:r>
      <w:r w:rsidRPr="00A167C1">
        <w:rPr>
          <w:rFonts w:cs="Arial"/>
          <w:rtl/>
        </w:rPr>
        <w:t xml:space="preserve"> אפילו שלא בב"ד </w:t>
      </w:r>
      <w:r>
        <w:rPr>
          <w:rFonts w:cs="Arial" w:hint="cs"/>
          <w:rtl/>
        </w:rPr>
        <w:t xml:space="preserve">- </w:t>
      </w:r>
      <w:r w:rsidRPr="00A167C1">
        <w:rPr>
          <w:rFonts w:cs="Arial"/>
          <w:rtl/>
        </w:rPr>
        <w:t>לא מפקינן מינה</w:t>
      </w:r>
      <w:r>
        <w:rPr>
          <w:rFonts w:cs="Arial" w:hint="cs"/>
          <w:sz w:val="16"/>
          <w:szCs w:val="16"/>
          <w:rtl/>
        </w:rPr>
        <w:t xml:space="preserve"> (ל' הטור)</w:t>
      </w:r>
      <w:r>
        <w:rPr>
          <w:rFonts w:cs="Arial" w:hint="cs"/>
          <w:rtl/>
        </w:rPr>
        <w:t>.</w:t>
      </w:r>
      <w:r w:rsidRPr="00A167C1">
        <w:rPr>
          <w:rFonts w:cs="Arial"/>
          <w:rtl/>
        </w:rPr>
        <w:t xml:space="preserve"> </w:t>
      </w:r>
      <w:r w:rsidRPr="00E83275">
        <w:rPr>
          <w:rFonts w:hint="cs"/>
          <w:color w:val="E36C0A" w:themeColor="accent6" w:themeShade="BF"/>
          <w:rtl/>
        </w:rPr>
        <w:t>(וכ"פ בשו"ע)</w:t>
      </w:r>
    </w:p>
    <w:p w14:paraId="29AA213A" w14:textId="77777777" w:rsidR="00392DBB" w:rsidRPr="001C1C7A" w:rsidRDefault="00392DBB" w:rsidP="009000E3">
      <w:pPr>
        <w:pStyle w:val="ab"/>
        <w:numPr>
          <w:ilvl w:val="0"/>
          <w:numId w:val="61"/>
        </w:numPr>
        <w:rPr>
          <w:rFonts w:cs="Arial"/>
          <w:rtl/>
        </w:rPr>
      </w:pPr>
      <w:r w:rsidRPr="001C1C7A">
        <w:rPr>
          <w:rFonts w:cs="Arial"/>
          <w:rtl/>
        </w:rPr>
        <w:t>רמב"ן</w:t>
      </w:r>
      <w:r>
        <w:rPr>
          <w:rFonts w:cs="Arial" w:hint="cs"/>
          <w:sz w:val="16"/>
          <w:szCs w:val="16"/>
          <w:rtl/>
        </w:rPr>
        <w:t xml:space="preserve"> (כ"כ הרא"ש [שם] בשמו)</w:t>
      </w:r>
      <w:r>
        <w:rPr>
          <w:rFonts w:cs="Arial" w:hint="cs"/>
          <w:rtl/>
        </w:rPr>
        <w:t>-</w:t>
      </w:r>
      <w:r w:rsidRPr="001C1C7A">
        <w:rPr>
          <w:rFonts w:cs="Arial"/>
          <w:rtl/>
        </w:rPr>
        <w:t xml:space="preserve"> לוה ולוה ואחר כך קנה דאמרינן חולקין</w:t>
      </w:r>
      <w:r>
        <w:rPr>
          <w:rFonts w:cs="Arial" w:hint="cs"/>
          <w:rtl/>
        </w:rPr>
        <w:t>,</w:t>
      </w:r>
      <w:r w:rsidRPr="001C1C7A">
        <w:rPr>
          <w:rFonts w:cs="Arial"/>
          <w:rtl/>
        </w:rPr>
        <w:t xml:space="preserve"> אם קדם אחד מהם ותפס הכל </w:t>
      </w:r>
      <w:r>
        <w:rPr>
          <w:rFonts w:cs="Arial" w:hint="cs"/>
          <w:rtl/>
        </w:rPr>
        <w:t xml:space="preserve">- </w:t>
      </w:r>
      <w:r w:rsidRPr="001C1C7A">
        <w:rPr>
          <w:rFonts w:cs="Arial"/>
          <w:rtl/>
        </w:rPr>
        <w:t>אין מוציאין מידו</w:t>
      </w:r>
      <w:r>
        <w:rPr>
          <w:rFonts w:cs="Arial" w:hint="cs"/>
          <w:rtl/>
        </w:rPr>
        <w:t>.</w:t>
      </w:r>
      <w:r w:rsidRPr="001C1C7A">
        <w:rPr>
          <w:rFonts w:cs="Arial"/>
          <w:rtl/>
        </w:rPr>
        <w:t xml:space="preserve"> לפי שלא אמרו חכמים אלא בעל חוב מאוחר שקדם וגבה מה שגבה לא גבה</w:t>
      </w:r>
      <w:r>
        <w:rPr>
          <w:rFonts w:cs="Arial" w:hint="cs"/>
          <w:rtl/>
        </w:rPr>
        <w:t>,</w:t>
      </w:r>
      <w:r w:rsidRPr="001C1C7A">
        <w:rPr>
          <w:rFonts w:cs="Arial"/>
          <w:rtl/>
        </w:rPr>
        <w:t xml:space="preserve"> ואף בזו נחלקו</w:t>
      </w:r>
      <w:r>
        <w:rPr>
          <w:rFonts w:cs="Arial" w:hint="cs"/>
          <w:rtl/>
        </w:rPr>
        <w:t>.</w:t>
      </w:r>
      <w:r w:rsidRPr="001C1C7A">
        <w:rPr>
          <w:rFonts w:cs="Arial"/>
          <w:rtl/>
        </w:rPr>
        <w:t xml:space="preserve"> אבל בששניהן שוים לכולי עלמא אין מוציאין מידו</w:t>
      </w:r>
      <w:r>
        <w:rPr>
          <w:rStyle w:val="a7"/>
          <w:rFonts w:cs="Arial"/>
          <w:rtl/>
        </w:rPr>
        <w:footnoteReference w:id="2127"/>
      </w:r>
      <w:r>
        <w:rPr>
          <w:rFonts w:cs="Arial" w:hint="cs"/>
          <w:rtl/>
        </w:rPr>
        <w:t>.</w:t>
      </w:r>
    </w:p>
    <w:p w14:paraId="7EC97553" w14:textId="77777777" w:rsidR="00392DBB" w:rsidRDefault="00392DBB" w:rsidP="009000E3">
      <w:pPr>
        <w:pStyle w:val="ab"/>
        <w:numPr>
          <w:ilvl w:val="0"/>
          <w:numId w:val="61"/>
        </w:numPr>
        <w:rPr>
          <w:rFonts w:cs="Arial"/>
        </w:rPr>
      </w:pPr>
      <w:r w:rsidRPr="001C1C7A">
        <w:rPr>
          <w:rFonts w:cs="Arial"/>
          <w:rtl/>
        </w:rPr>
        <w:t>ה"ר יונה</w:t>
      </w:r>
      <w:r>
        <w:rPr>
          <w:rFonts w:cs="Arial" w:hint="cs"/>
          <w:rtl/>
        </w:rPr>
        <w:t xml:space="preserve"> </w:t>
      </w:r>
      <w:r>
        <w:rPr>
          <w:rFonts w:cs="Arial" w:hint="cs"/>
          <w:sz w:val="16"/>
          <w:szCs w:val="16"/>
          <w:rtl/>
        </w:rPr>
        <w:t>(כ"כ הרא"ש [שם] בשמו)</w:t>
      </w:r>
      <w:r>
        <w:rPr>
          <w:rFonts w:cs="Arial" w:hint="cs"/>
          <w:rtl/>
        </w:rPr>
        <w:t>-</w:t>
      </w:r>
      <w:r w:rsidRPr="001C1C7A">
        <w:rPr>
          <w:rFonts w:cs="Arial"/>
          <w:rtl/>
        </w:rPr>
        <w:t xml:space="preserve"> הא דאמרינן אם לוה ולוה ואח"כ קנה חולקין</w:t>
      </w:r>
      <w:r>
        <w:rPr>
          <w:rFonts w:cs="Arial" w:hint="cs"/>
          <w:rtl/>
        </w:rPr>
        <w:t>,</w:t>
      </w:r>
      <w:r w:rsidRPr="001C1C7A">
        <w:rPr>
          <w:rFonts w:cs="Arial"/>
          <w:rtl/>
        </w:rPr>
        <w:t xml:space="preserve"> וכן בכל המקומות שאמרו בתלמוד חולקין</w:t>
      </w:r>
      <w:r>
        <w:rPr>
          <w:rFonts w:cs="Arial" w:hint="cs"/>
          <w:rtl/>
        </w:rPr>
        <w:t>,</w:t>
      </w:r>
      <w:r w:rsidRPr="001C1C7A">
        <w:rPr>
          <w:rFonts w:cs="Arial"/>
          <w:rtl/>
        </w:rPr>
        <w:t xml:space="preserve"> אם קדם האחד וגבה </w:t>
      </w:r>
      <w:r>
        <w:rPr>
          <w:rFonts w:cs="Arial" w:hint="cs"/>
          <w:rtl/>
        </w:rPr>
        <w:t xml:space="preserve">- </w:t>
      </w:r>
      <w:r w:rsidRPr="001C1C7A">
        <w:rPr>
          <w:rFonts w:cs="Arial"/>
          <w:rtl/>
        </w:rPr>
        <w:t>מה שגבה גבה</w:t>
      </w:r>
      <w:r>
        <w:rPr>
          <w:rFonts w:cs="Arial" w:hint="cs"/>
          <w:rtl/>
        </w:rPr>
        <w:t>.</w:t>
      </w:r>
      <w:r w:rsidRPr="001C1C7A">
        <w:rPr>
          <w:rFonts w:cs="Arial"/>
          <w:rtl/>
        </w:rPr>
        <w:t xml:space="preserve"> ואע</w:t>
      </w:r>
      <w:r>
        <w:rPr>
          <w:rFonts w:cs="Arial" w:hint="cs"/>
          <w:rtl/>
        </w:rPr>
        <w:t>"</w:t>
      </w:r>
      <w:r w:rsidRPr="001C1C7A">
        <w:rPr>
          <w:rFonts w:cs="Arial"/>
          <w:rtl/>
        </w:rPr>
        <w:t>ג דאמרינן בעל חוב מאוחר שקדם וגבה מה שגבה לא גבה הני מילי מאוחר</w:t>
      </w:r>
      <w:r>
        <w:rPr>
          <w:rFonts w:cs="Arial" w:hint="cs"/>
          <w:rtl/>
        </w:rPr>
        <w:t>,</w:t>
      </w:r>
      <w:r w:rsidRPr="001C1C7A">
        <w:rPr>
          <w:rFonts w:cs="Arial"/>
          <w:rtl/>
        </w:rPr>
        <w:t xml:space="preserve"> אבל זה שיש בו זכות קצת מה שגבה גבה</w:t>
      </w:r>
      <w:r>
        <w:rPr>
          <w:rFonts w:cs="Arial" w:hint="cs"/>
          <w:rtl/>
        </w:rPr>
        <w:t>.</w:t>
      </w:r>
      <w:r w:rsidRPr="001C1C7A">
        <w:rPr>
          <w:rFonts w:cs="Arial"/>
          <w:rtl/>
        </w:rPr>
        <w:t xml:space="preserve"> ודוקא בשגבה בבית דין</w:t>
      </w:r>
      <w:r>
        <w:rPr>
          <w:rFonts w:cs="Arial" w:hint="cs"/>
          <w:rtl/>
        </w:rPr>
        <w:t>,</w:t>
      </w:r>
      <w:r w:rsidRPr="001C1C7A">
        <w:rPr>
          <w:rFonts w:cs="Arial"/>
          <w:rtl/>
        </w:rPr>
        <w:t xml:space="preserve"> שהגבוהו בית דין קודם שידעו שהיה שם בעל חוב אחר</w:t>
      </w:r>
      <w:r>
        <w:rPr>
          <w:rFonts w:cs="Arial" w:hint="cs"/>
          <w:rtl/>
        </w:rPr>
        <w:t>.</w:t>
      </w:r>
      <w:r w:rsidRPr="001C1C7A">
        <w:rPr>
          <w:rFonts w:cs="Arial"/>
          <w:rtl/>
        </w:rPr>
        <w:t xml:space="preserve"> אבל אם גבה מעצמו</w:t>
      </w:r>
      <w:r>
        <w:rPr>
          <w:rFonts w:cs="Arial" w:hint="cs"/>
          <w:rtl/>
        </w:rPr>
        <w:t>,</w:t>
      </w:r>
      <w:r w:rsidRPr="001C1C7A">
        <w:rPr>
          <w:rFonts w:cs="Arial"/>
          <w:rtl/>
        </w:rPr>
        <w:t xml:space="preserve"> אפילו ע"י שומא דליכא למימר מאן שם לך </w:t>
      </w:r>
      <w:r>
        <w:rPr>
          <w:rFonts w:cs="Arial" w:hint="cs"/>
          <w:rtl/>
        </w:rPr>
        <w:t xml:space="preserve">- </w:t>
      </w:r>
      <w:r w:rsidRPr="001C1C7A">
        <w:rPr>
          <w:rFonts w:cs="Arial"/>
          <w:rtl/>
        </w:rPr>
        <w:t>מה שגבה לא גבה</w:t>
      </w:r>
      <w:r>
        <w:rPr>
          <w:rStyle w:val="a7"/>
          <w:rFonts w:cs="Arial"/>
          <w:rtl/>
        </w:rPr>
        <w:footnoteReference w:id="2128"/>
      </w:r>
      <w:r w:rsidRPr="009E1DFC">
        <w:rPr>
          <w:rFonts w:cs="Arial" w:hint="cs"/>
          <w:rtl/>
        </w:rPr>
        <w:t>.</w:t>
      </w:r>
    </w:p>
    <w:p w14:paraId="11A6FE65" w14:textId="77777777" w:rsidR="00392DBB" w:rsidRDefault="00392DBB" w:rsidP="009000E3">
      <w:pPr>
        <w:pStyle w:val="ab"/>
        <w:numPr>
          <w:ilvl w:val="0"/>
          <w:numId w:val="61"/>
        </w:numPr>
      </w:pPr>
      <w:r w:rsidRPr="00A167C1">
        <w:rPr>
          <w:rFonts w:cs="Arial"/>
          <w:rtl/>
        </w:rPr>
        <w:t xml:space="preserve">מהר"ם </w:t>
      </w:r>
      <w:r w:rsidRPr="00A9426B">
        <w:rPr>
          <w:rFonts w:cs="Arial"/>
          <w:sz w:val="16"/>
          <w:szCs w:val="16"/>
          <w:rtl/>
        </w:rPr>
        <w:t xml:space="preserve">(ד"ב סי' </w:t>
      </w:r>
      <w:r>
        <w:rPr>
          <w:rFonts w:cs="Arial" w:hint="cs"/>
          <w:sz w:val="16"/>
          <w:szCs w:val="16"/>
          <w:rtl/>
        </w:rPr>
        <w:t>פה/</w:t>
      </w:r>
      <w:r w:rsidRPr="00A9426B">
        <w:rPr>
          <w:rFonts w:cs="Arial"/>
          <w:sz w:val="16"/>
          <w:szCs w:val="16"/>
          <w:rtl/>
        </w:rPr>
        <w:t>סז</w:t>
      </w:r>
      <w:r w:rsidRPr="00A9426B">
        <w:rPr>
          <w:rFonts w:cs="Arial" w:hint="cs"/>
          <w:sz w:val="16"/>
          <w:szCs w:val="16"/>
          <w:rtl/>
        </w:rPr>
        <w:t xml:space="preserve">, כ"כ בשמו </w:t>
      </w:r>
      <w:r w:rsidRPr="00A9426B">
        <w:rPr>
          <w:rFonts w:cs="Arial"/>
          <w:sz w:val="16"/>
          <w:szCs w:val="16"/>
          <w:rtl/>
        </w:rPr>
        <w:t>המרדכי</w:t>
      </w:r>
      <w:r w:rsidRPr="00A9426B">
        <w:rPr>
          <w:rFonts w:cs="Arial" w:hint="cs"/>
          <w:sz w:val="16"/>
          <w:szCs w:val="16"/>
          <w:rtl/>
        </w:rPr>
        <w:t xml:space="preserve"> [פ' הכותב סי' רכ]</w:t>
      </w:r>
      <w:r>
        <w:rPr>
          <w:rFonts w:cs="Arial" w:hint="cs"/>
          <w:sz w:val="16"/>
          <w:szCs w:val="16"/>
          <w:rtl/>
        </w:rPr>
        <w:t>, הביאו הדרכ"מ [אות ג]</w:t>
      </w:r>
      <w:r w:rsidRPr="00A9426B">
        <w:rPr>
          <w:rFonts w:cs="Arial"/>
          <w:sz w:val="16"/>
          <w:szCs w:val="16"/>
          <w:rtl/>
        </w:rPr>
        <w:t>)</w:t>
      </w:r>
      <w:r>
        <w:rPr>
          <w:rFonts w:cs="Arial" w:hint="cs"/>
          <w:rtl/>
        </w:rPr>
        <w:t xml:space="preserve">- </w:t>
      </w:r>
      <w:r w:rsidRPr="00A9426B">
        <w:rPr>
          <w:rFonts w:cs="Arial"/>
          <w:rtl/>
        </w:rPr>
        <w:t xml:space="preserve">אפילו תפסה האשה לאחר מיתת בעלה המטלטלין </w:t>
      </w:r>
      <w:r>
        <w:rPr>
          <w:rFonts w:cs="Arial" w:hint="cs"/>
          <w:rtl/>
        </w:rPr>
        <w:t xml:space="preserve">- </w:t>
      </w:r>
      <w:r w:rsidRPr="00A9426B">
        <w:rPr>
          <w:rFonts w:cs="Arial"/>
          <w:rtl/>
        </w:rPr>
        <w:t>מוציאים מידה ונותנים לבעל חוב בחובו</w:t>
      </w:r>
      <w:r>
        <w:rPr>
          <w:rFonts w:cs="Arial" w:hint="cs"/>
          <w:rtl/>
        </w:rPr>
        <w:t>...</w:t>
      </w:r>
      <w:r w:rsidRPr="00A9426B">
        <w:rPr>
          <w:rFonts w:cs="Arial"/>
          <w:rtl/>
        </w:rPr>
        <w:t xml:space="preserve"> ואפילו נזמים וקטלאות ודכוותייהו אע</w:t>
      </w:r>
      <w:r>
        <w:rPr>
          <w:rFonts w:cs="Arial" w:hint="cs"/>
          <w:rtl/>
        </w:rPr>
        <w:t>"</w:t>
      </w:r>
      <w:r w:rsidRPr="00A9426B">
        <w:rPr>
          <w:rFonts w:cs="Arial"/>
          <w:rtl/>
        </w:rPr>
        <w:t>ג דרגילה בהם להשתמש בחייו מפקינן מינה ויהבינן לבעל חוב, אא"כ יחדם לה בכתובתה דכל כמה דלא יחדם לה בכתובתה דינם כשאר מטלטלי. וכן משמע בשערי האלפסי בשער י"ט</w:t>
      </w:r>
      <w:r>
        <w:rPr>
          <w:rFonts w:cs="Arial" w:hint="cs"/>
          <w:sz w:val="16"/>
          <w:szCs w:val="16"/>
          <w:rtl/>
        </w:rPr>
        <w:t xml:space="preserve"> (ל' מהר"ם)</w:t>
      </w:r>
      <w:r>
        <w:rPr>
          <w:rStyle w:val="a7"/>
          <w:rFonts w:cs="Arial"/>
          <w:rtl/>
        </w:rPr>
        <w:footnoteReference w:id="2129"/>
      </w:r>
      <w:r w:rsidRPr="00A9426B">
        <w:rPr>
          <w:rFonts w:cs="Arial"/>
          <w:rtl/>
        </w:rPr>
        <w:t>.</w:t>
      </w:r>
      <w:r w:rsidRPr="008911E0">
        <w:rPr>
          <w:rFonts w:cs="Arial"/>
          <w:color w:val="00B0F0"/>
          <w:rtl/>
        </w:rPr>
        <w:t xml:space="preserve"> </w:t>
      </w:r>
      <w:r w:rsidRPr="008911E0">
        <w:rPr>
          <w:rFonts w:hint="cs"/>
          <w:color w:val="00B0F0"/>
          <w:rtl/>
        </w:rPr>
        <w:t>(וכ"כ הרמ"א</w:t>
      </w:r>
      <w:r>
        <w:rPr>
          <w:rFonts w:hint="cs"/>
          <w:color w:val="000000" w:themeColor="text1"/>
          <w:sz w:val="16"/>
          <w:szCs w:val="16"/>
          <w:rtl/>
        </w:rPr>
        <w:t xml:space="preserve"> </w:t>
      </w:r>
      <w:r w:rsidRPr="00C95218">
        <w:rPr>
          <w:rFonts w:hint="cs"/>
          <w:color w:val="000000" w:themeColor="text1"/>
          <w:sz w:val="16"/>
          <w:szCs w:val="16"/>
          <w:rtl/>
        </w:rPr>
        <w:t xml:space="preserve">[בסע' </w:t>
      </w:r>
      <w:r>
        <w:rPr>
          <w:rFonts w:hint="cs"/>
          <w:color w:val="000000" w:themeColor="text1"/>
          <w:sz w:val="16"/>
          <w:szCs w:val="16"/>
          <w:rtl/>
        </w:rPr>
        <w:t>ב</w:t>
      </w:r>
      <w:r w:rsidRPr="00C95218">
        <w:rPr>
          <w:rFonts w:hint="cs"/>
          <w:color w:val="000000" w:themeColor="text1"/>
          <w:sz w:val="16"/>
          <w:szCs w:val="16"/>
          <w:rtl/>
        </w:rPr>
        <w:t>]</w:t>
      </w:r>
      <w:r>
        <w:rPr>
          <w:rFonts w:hint="cs"/>
          <w:color w:val="00B0F0"/>
          <w:rtl/>
        </w:rPr>
        <w:t>)</w:t>
      </w:r>
    </w:p>
    <w:p w14:paraId="4E7A2B4D" w14:textId="77777777" w:rsidR="00392DBB" w:rsidRPr="00C45896" w:rsidRDefault="00392DBB" w:rsidP="009000E3">
      <w:pPr>
        <w:pStyle w:val="ab"/>
        <w:numPr>
          <w:ilvl w:val="0"/>
          <w:numId w:val="61"/>
        </w:numPr>
        <w:rPr>
          <w:rtl/>
        </w:rPr>
      </w:pPr>
      <w:r>
        <w:rPr>
          <w:rFonts w:hint="cs"/>
          <w:rtl/>
        </w:rPr>
        <w:t xml:space="preserve">בעל התרומות </w:t>
      </w:r>
      <w:r w:rsidRPr="00707FC7">
        <w:rPr>
          <w:rFonts w:hint="cs"/>
          <w:sz w:val="16"/>
          <w:szCs w:val="16"/>
          <w:rtl/>
        </w:rPr>
        <w:t>(שער מג ח"ד אות יג)</w:t>
      </w:r>
      <w:r>
        <w:rPr>
          <w:rFonts w:hint="cs"/>
          <w:rtl/>
        </w:rPr>
        <w:t xml:space="preserve">- </w:t>
      </w:r>
      <w:r w:rsidRPr="00707FC7">
        <w:rPr>
          <w:rFonts w:cs="Arial"/>
          <w:rtl/>
        </w:rPr>
        <w:t>אי תפסה קרקעות או מטלטלין או מעות שקנה אחר שלוה ונשא או נשא ולוה</w:t>
      </w:r>
      <w:r>
        <w:rPr>
          <w:rFonts w:cs="Arial" w:hint="cs"/>
          <w:rtl/>
        </w:rPr>
        <w:t>...</w:t>
      </w:r>
      <w:r w:rsidRPr="00707FC7">
        <w:rPr>
          <w:rFonts w:cs="Arial"/>
          <w:rtl/>
        </w:rPr>
        <w:t xml:space="preserve"> </w:t>
      </w:r>
      <w:r>
        <w:rPr>
          <w:rFonts w:cs="Arial" w:hint="cs"/>
          <w:rtl/>
        </w:rPr>
        <w:t xml:space="preserve">- </w:t>
      </w:r>
      <w:r w:rsidRPr="00707FC7">
        <w:rPr>
          <w:rFonts w:cs="Arial"/>
          <w:rtl/>
        </w:rPr>
        <w:t>לא מהניא לה תפיסתה ומפקינן מינה, דמקולי כתובה שאנו כאן, דיותר משהאיש רוצה לישא אשה רוצה לינשא.</w:t>
      </w:r>
    </w:p>
    <w:p w14:paraId="3FDC152B" w14:textId="3542EC9B" w:rsidR="00392DBB" w:rsidRPr="009C5453" w:rsidRDefault="00392DBB" w:rsidP="00392DBB">
      <w:pPr>
        <w:rPr>
          <w:u w:val="single"/>
          <w:rtl/>
        </w:rPr>
      </w:pPr>
      <w:r w:rsidRPr="009C5453">
        <w:rPr>
          <w:rFonts w:hint="cs"/>
          <w:u w:val="single"/>
          <w:rtl/>
        </w:rPr>
        <w:t>אלמנה ובעל חוב ש</w:t>
      </w:r>
      <w:r>
        <w:rPr>
          <w:rFonts w:hint="cs"/>
          <w:u w:val="single"/>
          <w:rtl/>
        </w:rPr>
        <w:t>זמן שיעבודם שוה</w:t>
      </w:r>
      <w:r w:rsidRPr="009C5453">
        <w:rPr>
          <w:rFonts w:hint="cs"/>
          <w:u w:val="single"/>
          <w:rtl/>
        </w:rPr>
        <w:t xml:space="preserve"> </w:t>
      </w:r>
      <w:r w:rsidR="00F97626">
        <w:rPr>
          <w:u w:val="single"/>
          <w:rtl/>
        </w:rPr>
        <w:t>-</w:t>
      </w:r>
      <w:r w:rsidRPr="009C5453">
        <w:rPr>
          <w:rFonts w:hint="cs"/>
          <w:u w:val="single"/>
          <w:rtl/>
        </w:rPr>
        <w:t xml:space="preserve"> ויש </w:t>
      </w:r>
      <w:r>
        <w:rPr>
          <w:rFonts w:hint="cs"/>
          <w:u w:val="single"/>
          <w:rtl/>
        </w:rPr>
        <w:t>בנכסים</w:t>
      </w:r>
      <w:r w:rsidRPr="009C5453">
        <w:rPr>
          <w:rFonts w:hint="cs"/>
          <w:u w:val="single"/>
          <w:rtl/>
        </w:rPr>
        <w:t xml:space="preserve"> כדי פריעת </w:t>
      </w:r>
      <w:r w:rsidRPr="001A29C4">
        <w:rPr>
          <w:rFonts w:hint="cs"/>
          <w:b/>
          <w:bCs/>
          <w:u w:val="single"/>
          <w:rtl/>
        </w:rPr>
        <w:t>שניהם</w:t>
      </w:r>
      <w:r>
        <w:rPr>
          <w:rFonts w:hint="cs"/>
          <w:u w:val="single"/>
          <w:rtl/>
        </w:rPr>
        <w:t>, אבל לאחד קרקע ולאחד מעות</w:t>
      </w:r>
      <w:r w:rsidRPr="009C5453">
        <w:rPr>
          <w:rFonts w:hint="cs"/>
          <w:u w:val="single"/>
          <w:rtl/>
        </w:rPr>
        <w:t>:</w:t>
      </w:r>
    </w:p>
    <w:p w14:paraId="7924F78C" w14:textId="79AE2686" w:rsidR="00392DBB" w:rsidRDefault="00392DBB" w:rsidP="009000E3">
      <w:pPr>
        <w:pStyle w:val="ab"/>
        <w:numPr>
          <w:ilvl w:val="0"/>
          <w:numId w:val="61"/>
        </w:numPr>
      </w:pPr>
      <w:r>
        <w:rPr>
          <w:rFonts w:hint="cs"/>
          <w:rtl/>
        </w:rPr>
        <w:t xml:space="preserve">רא"ש </w:t>
      </w:r>
      <w:r>
        <w:rPr>
          <w:rFonts w:hint="cs"/>
          <w:sz w:val="16"/>
          <w:szCs w:val="16"/>
          <w:rtl/>
        </w:rPr>
        <w:t xml:space="preserve">(כתובות פ"ט סי' יא) </w:t>
      </w:r>
      <w:r>
        <w:rPr>
          <w:rFonts w:hint="cs"/>
          <w:rtl/>
        </w:rPr>
        <w:t>וטור-</w:t>
      </w:r>
      <w:r>
        <w:rPr>
          <w:rFonts w:cs="Arial" w:hint="cs"/>
          <w:rtl/>
        </w:rPr>
        <w:t xml:space="preserve"> </w:t>
      </w:r>
      <w:r w:rsidRPr="00A167C1">
        <w:rPr>
          <w:rFonts w:cs="Arial"/>
          <w:rtl/>
        </w:rPr>
        <w:t>אם יש שם כדי לפרוע לשניהם</w:t>
      </w:r>
      <w:r>
        <w:rPr>
          <w:rStyle w:val="a7"/>
          <w:rFonts w:cs="Arial"/>
          <w:rtl/>
        </w:rPr>
        <w:footnoteReference w:id="2130"/>
      </w:r>
      <w:r w:rsidRPr="00A167C1">
        <w:rPr>
          <w:rFonts w:cs="Arial"/>
          <w:rtl/>
        </w:rPr>
        <w:t xml:space="preserve"> בקרקע ובמעות</w:t>
      </w:r>
      <w:r>
        <w:rPr>
          <w:rFonts w:cs="Arial" w:hint="cs"/>
          <w:rtl/>
        </w:rPr>
        <w:t>,</w:t>
      </w:r>
      <w:r w:rsidRPr="00A167C1">
        <w:rPr>
          <w:rFonts w:cs="Arial"/>
          <w:rtl/>
        </w:rPr>
        <w:t xml:space="preserve"> אם זמנן שוין </w:t>
      </w:r>
      <w:r>
        <w:rPr>
          <w:rFonts w:cs="Arial" w:hint="cs"/>
          <w:rtl/>
        </w:rPr>
        <w:t xml:space="preserve">- </w:t>
      </w:r>
      <w:r w:rsidRPr="00A167C1">
        <w:rPr>
          <w:rFonts w:cs="Arial"/>
          <w:rtl/>
        </w:rPr>
        <w:t>נותנין לב"ח מעות ולאשה קרקע</w:t>
      </w:r>
      <w:r>
        <w:rPr>
          <w:rFonts w:cs="Arial" w:hint="cs"/>
          <w:rtl/>
        </w:rPr>
        <w:t>.</w:t>
      </w:r>
      <w:r w:rsidRPr="00A167C1">
        <w:rPr>
          <w:rFonts w:cs="Arial"/>
          <w:rtl/>
        </w:rPr>
        <w:t xml:space="preserve"> ואם קדמה לגבות מעות </w:t>
      </w:r>
      <w:r>
        <w:rPr>
          <w:rFonts w:cs="Arial" w:hint="cs"/>
          <w:rtl/>
        </w:rPr>
        <w:t xml:space="preserve">-... </w:t>
      </w:r>
      <w:r w:rsidRPr="00A167C1">
        <w:rPr>
          <w:rFonts w:cs="Arial"/>
          <w:rtl/>
        </w:rPr>
        <w:t>מוציאין מידה ונותנין לבעל חוב</w:t>
      </w:r>
      <w:r w:rsidR="00822CE6">
        <w:rPr>
          <w:rFonts w:cs="Arial" w:hint="cs"/>
          <w:sz w:val="16"/>
          <w:szCs w:val="16"/>
          <w:rtl/>
        </w:rPr>
        <w:t xml:space="preserve"> (ל' הטור)</w:t>
      </w:r>
      <w:r>
        <w:rPr>
          <w:rFonts w:cs="Arial" w:hint="cs"/>
          <w:rtl/>
        </w:rPr>
        <w:t>.</w:t>
      </w:r>
      <w:r w:rsidRPr="00A167C1">
        <w:rPr>
          <w:rFonts w:cs="Arial"/>
          <w:rtl/>
        </w:rPr>
        <w:t xml:space="preserve"> </w:t>
      </w:r>
      <w:r w:rsidRPr="00E83275">
        <w:rPr>
          <w:rFonts w:hint="cs"/>
          <w:color w:val="E36C0A" w:themeColor="accent6" w:themeShade="BF"/>
          <w:rtl/>
        </w:rPr>
        <w:t>(וכ"פ בשו"ע</w:t>
      </w:r>
      <w:r>
        <w:rPr>
          <w:rFonts w:hint="cs"/>
          <w:color w:val="E36C0A" w:themeColor="accent6" w:themeShade="BF"/>
          <w:sz w:val="16"/>
          <w:szCs w:val="16"/>
          <w:rtl/>
        </w:rPr>
        <w:t xml:space="preserve"> </w:t>
      </w:r>
      <w:r w:rsidRPr="00C95218">
        <w:rPr>
          <w:rFonts w:hint="cs"/>
          <w:color w:val="000000" w:themeColor="text1"/>
          <w:sz w:val="16"/>
          <w:szCs w:val="16"/>
          <w:rtl/>
        </w:rPr>
        <w:t>[בסע' ד]</w:t>
      </w:r>
      <w:r w:rsidRPr="00E83275">
        <w:rPr>
          <w:rFonts w:hint="cs"/>
          <w:color w:val="E36C0A" w:themeColor="accent6" w:themeShade="BF"/>
          <w:rtl/>
        </w:rPr>
        <w:t>)</w:t>
      </w:r>
    </w:p>
    <w:p w14:paraId="1A39A967" w14:textId="77777777" w:rsidR="00392DBB" w:rsidRPr="001A29C4" w:rsidRDefault="00392DBB" w:rsidP="00392DBB">
      <w:pPr>
        <w:ind w:left="360"/>
        <w:rPr>
          <w:u w:val="dotted"/>
        </w:rPr>
      </w:pPr>
      <w:r w:rsidRPr="001A29C4">
        <w:rPr>
          <w:rFonts w:hint="cs"/>
          <w:u w:val="dotted"/>
          <w:rtl/>
        </w:rPr>
        <w:t>ומה הדין אם רוצה הבע"ח את הקרקע והאשה גם רוצה את הקרקע</w:t>
      </w:r>
      <w:r w:rsidRPr="001A29C4">
        <w:rPr>
          <w:rFonts w:hint="cs"/>
          <w:sz w:val="16"/>
          <w:szCs w:val="16"/>
          <w:u w:val="dotted"/>
          <w:rtl/>
        </w:rPr>
        <w:t xml:space="preserve"> (ואין קרקע כדי פריעת שניהם)</w:t>
      </w:r>
      <w:r w:rsidRPr="001A29C4">
        <w:rPr>
          <w:rFonts w:hint="cs"/>
          <w:u w:val="dotted"/>
          <w:rtl/>
        </w:rPr>
        <w:t>:</w:t>
      </w:r>
    </w:p>
    <w:p w14:paraId="31248B7E" w14:textId="3A322BA2" w:rsidR="00392DBB" w:rsidRPr="00DD6409" w:rsidRDefault="00392DBB" w:rsidP="009000E3">
      <w:pPr>
        <w:pStyle w:val="ab"/>
        <w:numPr>
          <w:ilvl w:val="0"/>
          <w:numId w:val="61"/>
        </w:numPr>
      </w:pPr>
      <w:r>
        <w:rPr>
          <w:rFonts w:cs="Arial" w:hint="cs"/>
          <w:rtl/>
        </w:rPr>
        <w:lastRenderedPageBreak/>
        <w:t xml:space="preserve">טור- </w:t>
      </w:r>
      <w:r w:rsidRPr="00A167C1">
        <w:rPr>
          <w:rFonts w:cs="Arial"/>
          <w:rtl/>
        </w:rPr>
        <w:t>לכאורה יראה שלא אמרו כן אלא מפני תקנת ב"ח</w:t>
      </w:r>
      <w:r w:rsidR="005C7F9F">
        <w:rPr>
          <w:rFonts w:cs="Arial" w:hint="cs"/>
          <w:rtl/>
        </w:rPr>
        <w:t>,</w:t>
      </w:r>
      <w:r w:rsidRPr="00A167C1">
        <w:rPr>
          <w:rFonts w:cs="Arial"/>
          <w:rtl/>
        </w:rPr>
        <w:t xml:space="preserve"> אבל אם חפץ יותר בקרקע וליתן לאשה מעות </w:t>
      </w:r>
      <w:r>
        <w:rPr>
          <w:rFonts w:cs="Arial" w:hint="cs"/>
          <w:rtl/>
        </w:rPr>
        <w:t xml:space="preserve">- </w:t>
      </w:r>
      <w:r w:rsidRPr="00A167C1">
        <w:rPr>
          <w:rFonts w:cs="Arial"/>
          <w:rtl/>
        </w:rPr>
        <w:t>שומעין לו</w:t>
      </w:r>
      <w:r>
        <w:rPr>
          <w:rStyle w:val="a7"/>
          <w:rFonts w:cs="Arial"/>
          <w:rtl/>
        </w:rPr>
        <w:footnoteReference w:id="2131"/>
      </w:r>
      <w:r>
        <w:rPr>
          <w:rFonts w:cs="Arial" w:hint="cs"/>
          <w:rtl/>
        </w:rPr>
        <w:t>.</w:t>
      </w:r>
      <w:r w:rsidRPr="00A167C1">
        <w:rPr>
          <w:rFonts w:cs="Arial"/>
          <w:rtl/>
        </w:rPr>
        <w:t xml:space="preserve"> </w:t>
      </w:r>
    </w:p>
    <w:p w14:paraId="620827A7" w14:textId="77777777" w:rsidR="00392DBB" w:rsidRDefault="00392DBB" w:rsidP="009000E3">
      <w:pPr>
        <w:pStyle w:val="ab"/>
        <w:numPr>
          <w:ilvl w:val="0"/>
          <w:numId w:val="61"/>
        </w:numPr>
      </w:pPr>
      <w:r w:rsidRPr="00A167C1">
        <w:rPr>
          <w:rFonts w:cs="Arial"/>
          <w:rtl/>
        </w:rPr>
        <w:t>רמ"ה</w:t>
      </w:r>
      <w:r>
        <w:rPr>
          <w:rFonts w:cs="Arial" w:hint="cs"/>
          <w:sz w:val="16"/>
          <w:szCs w:val="16"/>
          <w:rtl/>
        </w:rPr>
        <w:t xml:space="preserve"> (כ"כ הטור בשמו)</w:t>
      </w:r>
      <w:r>
        <w:rPr>
          <w:rFonts w:cs="Arial" w:hint="cs"/>
          <w:rtl/>
        </w:rPr>
        <w:t xml:space="preserve">- </w:t>
      </w:r>
      <w:r w:rsidRPr="00A167C1">
        <w:rPr>
          <w:rFonts w:cs="Arial"/>
          <w:rtl/>
        </w:rPr>
        <w:t>אין שומעין לו</w:t>
      </w:r>
      <w:r>
        <w:rPr>
          <w:rStyle w:val="a7"/>
          <w:rFonts w:cs="Arial"/>
          <w:rtl/>
        </w:rPr>
        <w:footnoteReference w:id="2132"/>
      </w:r>
      <w:r>
        <w:rPr>
          <w:rFonts w:cs="Arial" w:hint="cs"/>
          <w:rtl/>
        </w:rPr>
        <w:t>.</w:t>
      </w:r>
      <w:r w:rsidRPr="00A167C1">
        <w:rPr>
          <w:rFonts w:cs="Arial"/>
          <w:rtl/>
        </w:rPr>
        <w:t xml:space="preserve"> </w:t>
      </w:r>
      <w:r w:rsidRPr="00C95218">
        <w:rPr>
          <w:rFonts w:hint="cs"/>
          <w:color w:val="00B0F0"/>
          <w:rtl/>
        </w:rPr>
        <w:t>(וכ"פ הרמ"א</w:t>
      </w:r>
      <w:r w:rsidRPr="00C95218">
        <w:rPr>
          <w:rFonts w:hint="cs"/>
          <w:color w:val="00B0F0"/>
          <w:sz w:val="16"/>
          <w:szCs w:val="16"/>
          <w:rtl/>
        </w:rPr>
        <w:t xml:space="preserve"> </w:t>
      </w:r>
      <w:r>
        <w:rPr>
          <w:rFonts w:hint="cs"/>
          <w:sz w:val="16"/>
          <w:szCs w:val="16"/>
          <w:rtl/>
        </w:rPr>
        <w:t>[בסע' ד]</w:t>
      </w:r>
      <w:r w:rsidRPr="00C95218">
        <w:rPr>
          <w:rFonts w:hint="cs"/>
          <w:color w:val="00B0F0"/>
          <w:rtl/>
        </w:rPr>
        <w:t>)</w:t>
      </w:r>
    </w:p>
    <w:p w14:paraId="6DE62B6D" w14:textId="1E88A384" w:rsidR="00392DBB" w:rsidRPr="001A29C4" w:rsidRDefault="00392DBB" w:rsidP="00392DBB">
      <w:pPr>
        <w:rPr>
          <w:u w:val="single"/>
          <w:rtl/>
        </w:rPr>
      </w:pPr>
      <w:r w:rsidRPr="001A29C4">
        <w:rPr>
          <w:rFonts w:hint="cs"/>
          <w:u w:val="single"/>
          <w:rtl/>
        </w:rPr>
        <w:t>אלמנה ובעל חוב ש</w:t>
      </w:r>
      <w:r>
        <w:rPr>
          <w:rFonts w:hint="cs"/>
          <w:u w:val="single"/>
          <w:rtl/>
        </w:rPr>
        <w:t xml:space="preserve">זמן </w:t>
      </w:r>
      <w:r w:rsidRPr="001A29C4">
        <w:rPr>
          <w:rFonts w:hint="cs"/>
          <w:u w:val="single"/>
          <w:rtl/>
        </w:rPr>
        <w:t xml:space="preserve">שיעבודם </w:t>
      </w:r>
      <w:r w:rsidRPr="001A29C4">
        <w:rPr>
          <w:rFonts w:hint="cs"/>
          <w:b/>
          <w:bCs/>
          <w:u w:val="single"/>
          <w:rtl/>
        </w:rPr>
        <w:t>לא שוה</w:t>
      </w:r>
      <w:r w:rsidRPr="001A29C4">
        <w:rPr>
          <w:rFonts w:hint="cs"/>
          <w:u w:val="single"/>
          <w:rtl/>
        </w:rPr>
        <w:t xml:space="preserve"> </w:t>
      </w:r>
      <w:r w:rsidR="00F97626">
        <w:rPr>
          <w:u w:val="single"/>
          <w:rtl/>
        </w:rPr>
        <w:t>-</w:t>
      </w:r>
      <w:r w:rsidRPr="001A29C4">
        <w:rPr>
          <w:rFonts w:hint="cs"/>
          <w:u w:val="single"/>
          <w:rtl/>
        </w:rPr>
        <w:t xml:space="preserve"> </w:t>
      </w:r>
      <w:r w:rsidRPr="009C5453">
        <w:rPr>
          <w:rFonts w:hint="cs"/>
          <w:u w:val="single"/>
          <w:rtl/>
        </w:rPr>
        <w:t xml:space="preserve">ויש </w:t>
      </w:r>
      <w:r>
        <w:rPr>
          <w:rFonts w:hint="cs"/>
          <w:u w:val="single"/>
          <w:rtl/>
        </w:rPr>
        <w:t>בנכסים</w:t>
      </w:r>
      <w:r w:rsidRPr="009C5453">
        <w:rPr>
          <w:rFonts w:hint="cs"/>
          <w:u w:val="single"/>
          <w:rtl/>
        </w:rPr>
        <w:t xml:space="preserve"> כדי פריעת </w:t>
      </w:r>
      <w:r w:rsidRPr="001A29C4">
        <w:rPr>
          <w:rFonts w:hint="cs"/>
          <w:b/>
          <w:bCs/>
          <w:u w:val="single"/>
          <w:rtl/>
        </w:rPr>
        <w:t>שניהם</w:t>
      </w:r>
      <w:r>
        <w:rPr>
          <w:rFonts w:hint="cs"/>
          <w:u w:val="single"/>
          <w:rtl/>
        </w:rPr>
        <w:t>, אבל לאחד קרקע ולאחד מעות</w:t>
      </w:r>
      <w:r w:rsidRPr="001A29C4">
        <w:rPr>
          <w:rFonts w:hint="cs"/>
          <w:u w:val="single"/>
          <w:rtl/>
        </w:rPr>
        <w:t>:</w:t>
      </w:r>
    </w:p>
    <w:p w14:paraId="321CD4CF" w14:textId="77777777" w:rsidR="00392DBB" w:rsidRDefault="00392DBB" w:rsidP="009000E3">
      <w:pPr>
        <w:pStyle w:val="ab"/>
        <w:numPr>
          <w:ilvl w:val="0"/>
          <w:numId w:val="61"/>
        </w:numPr>
      </w:pPr>
      <w:r>
        <w:rPr>
          <w:rFonts w:cs="Arial" w:hint="cs"/>
          <w:rtl/>
        </w:rPr>
        <w:t xml:space="preserve">טור- </w:t>
      </w:r>
      <w:r w:rsidRPr="00A167C1">
        <w:rPr>
          <w:rFonts w:cs="Arial"/>
          <w:rtl/>
        </w:rPr>
        <w:t xml:space="preserve">ואם אין זמנן שוה </w:t>
      </w:r>
      <w:r>
        <w:rPr>
          <w:rFonts w:cs="Arial" w:hint="cs"/>
          <w:rtl/>
        </w:rPr>
        <w:t xml:space="preserve">- </w:t>
      </w:r>
      <w:r w:rsidRPr="00A167C1">
        <w:rPr>
          <w:rFonts w:cs="Arial"/>
          <w:rtl/>
        </w:rPr>
        <w:t>המוקדם נותנין לו מעות</w:t>
      </w:r>
      <w:r>
        <w:rPr>
          <w:rStyle w:val="a7"/>
          <w:rFonts w:cs="Arial"/>
          <w:rtl/>
        </w:rPr>
        <w:footnoteReference w:id="2133"/>
      </w:r>
      <w:r>
        <w:rPr>
          <w:rFonts w:hint="cs"/>
          <w:rtl/>
        </w:rPr>
        <w:t xml:space="preserve">. </w:t>
      </w:r>
      <w:r w:rsidRPr="00E83275">
        <w:rPr>
          <w:rFonts w:hint="cs"/>
          <w:color w:val="E36C0A" w:themeColor="accent6" w:themeShade="BF"/>
          <w:rtl/>
        </w:rPr>
        <w:t>(וכ"פ בשו"ע</w:t>
      </w:r>
      <w:r>
        <w:rPr>
          <w:rFonts w:hint="cs"/>
          <w:color w:val="E36C0A" w:themeColor="accent6" w:themeShade="BF"/>
          <w:sz w:val="16"/>
          <w:szCs w:val="16"/>
          <w:rtl/>
        </w:rPr>
        <w:t xml:space="preserve"> </w:t>
      </w:r>
      <w:r w:rsidRPr="00C95218">
        <w:rPr>
          <w:rFonts w:hint="cs"/>
          <w:color w:val="000000" w:themeColor="text1"/>
          <w:sz w:val="16"/>
          <w:szCs w:val="16"/>
          <w:rtl/>
        </w:rPr>
        <w:t>[בסע' ד]</w:t>
      </w:r>
      <w:r w:rsidRPr="00E83275">
        <w:rPr>
          <w:rFonts w:hint="cs"/>
          <w:color w:val="E36C0A" w:themeColor="accent6" w:themeShade="BF"/>
          <w:rtl/>
        </w:rPr>
        <w:t>)</w:t>
      </w:r>
    </w:p>
    <w:p w14:paraId="171CC55F" w14:textId="77777777" w:rsidR="00392DBB" w:rsidRDefault="00392DBB" w:rsidP="009000E3">
      <w:pPr>
        <w:pStyle w:val="ab"/>
        <w:numPr>
          <w:ilvl w:val="0"/>
          <w:numId w:val="61"/>
        </w:numPr>
      </w:pPr>
      <w:r>
        <w:rPr>
          <w:rFonts w:hint="cs"/>
          <w:rtl/>
        </w:rPr>
        <w:t xml:space="preserve">(רש"י </w:t>
      </w:r>
      <w:r w:rsidRPr="00D7404B">
        <w:rPr>
          <w:rFonts w:hint="cs"/>
          <w:sz w:val="16"/>
          <w:szCs w:val="16"/>
          <w:rtl/>
        </w:rPr>
        <w:t>[</w:t>
      </w:r>
      <w:r>
        <w:rPr>
          <w:rFonts w:hint="cs"/>
          <w:sz w:val="16"/>
          <w:szCs w:val="16"/>
          <w:rtl/>
        </w:rPr>
        <w:t>פו. ד"ה והאי</w:t>
      </w:r>
      <w:r w:rsidRPr="00D7404B">
        <w:rPr>
          <w:rFonts w:hint="cs"/>
          <w:sz w:val="16"/>
          <w:szCs w:val="16"/>
          <w:rtl/>
        </w:rPr>
        <w:t>]</w:t>
      </w:r>
      <w:r>
        <w:rPr>
          <w:rFonts w:hint="cs"/>
          <w:rtl/>
        </w:rPr>
        <w:t xml:space="preserve"> רמב"ם </w:t>
      </w:r>
      <w:r w:rsidRPr="00D7404B">
        <w:rPr>
          <w:rFonts w:hint="cs"/>
          <w:sz w:val="16"/>
          <w:szCs w:val="16"/>
          <w:rtl/>
        </w:rPr>
        <w:t>[</w:t>
      </w:r>
      <w:r>
        <w:rPr>
          <w:rFonts w:hint="cs"/>
          <w:sz w:val="16"/>
          <w:szCs w:val="16"/>
          <w:rtl/>
        </w:rPr>
        <w:t>פי"ז ה"ד</w:t>
      </w:r>
      <w:r w:rsidRPr="00D7404B">
        <w:rPr>
          <w:rFonts w:hint="cs"/>
          <w:sz w:val="16"/>
          <w:szCs w:val="16"/>
          <w:rtl/>
        </w:rPr>
        <w:t>]</w:t>
      </w:r>
      <w:r>
        <w:rPr>
          <w:rFonts w:hint="cs"/>
          <w:sz w:val="16"/>
          <w:szCs w:val="16"/>
          <w:rtl/>
        </w:rPr>
        <w:t xml:space="preserve"> </w:t>
      </w:r>
      <w:r>
        <w:rPr>
          <w:rFonts w:hint="cs"/>
          <w:rtl/>
        </w:rPr>
        <w:t>ור"ן</w:t>
      </w:r>
      <w:r>
        <w:rPr>
          <w:rFonts w:hint="cs"/>
          <w:sz w:val="16"/>
          <w:szCs w:val="16"/>
          <w:rtl/>
        </w:rPr>
        <w:t xml:space="preserve"> </w:t>
      </w:r>
      <w:r w:rsidRPr="00D7404B">
        <w:rPr>
          <w:rFonts w:hint="cs"/>
          <w:sz w:val="16"/>
          <w:szCs w:val="16"/>
          <w:rtl/>
        </w:rPr>
        <w:t>[</w:t>
      </w:r>
      <w:r>
        <w:rPr>
          <w:rFonts w:hint="cs"/>
          <w:sz w:val="16"/>
          <w:szCs w:val="16"/>
          <w:rtl/>
        </w:rPr>
        <w:t>מה.</w:t>
      </w:r>
      <w:r w:rsidRPr="00D7404B">
        <w:rPr>
          <w:rFonts w:hint="cs"/>
          <w:sz w:val="16"/>
          <w:szCs w:val="16"/>
          <w:rtl/>
        </w:rPr>
        <w:t>]</w:t>
      </w:r>
      <w:r>
        <w:rPr>
          <w:rFonts w:hint="cs"/>
          <w:sz w:val="16"/>
          <w:szCs w:val="16"/>
          <w:rtl/>
        </w:rPr>
        <w:t xml:space="preserve"> להב' הב"ש</w:t>
      </w:r>
      <w:r>
        <w:rPr>
          <w:rFonts w:hint="cs"/>
          <w:sz w:val="14"/>
          <w:szCs w:val="14"/>
          <w:rtl/>
        </w:rPr>
        <w:t xml:space="preserve"> [סקי"ז]</w:t>
      </w:r>
      <w:r>
        <w:rPr>
          <w:rFonts w:hint="cs"/>
          <w:rtl/>
        </w:rPr>
        <w:t xml:space="preserve">)- </w:t>
      </w:r>
      <w:r w:rsidRPr="00D7404B">
        <w:rPr>
          <w:rFonts w:cs="Arial"/>
          <w:rtl/>
        </w:rPr>
        <w:t>במטלטלים ומעות לא שייך מוקדם ומאוחר</w:t>
      </w:r>
      <w:r>
        <w:rPr>
          <w:rStyle w:val="a7"/>
          <w:rFonts w:cs="Arial"/>
          <w:rtl/>
        </w:rPr>
        <w:footnoteReference w:id="2134"/>
      </w:r>
      <w:r>
        <w:rPr>
          <w:rFonts w:hint="cs"/>
          <w:sz w:val="16"/>
          <w:szCs w:val="16"/>
          <w:rtl/>
        </w:rPr>
        <w:t xml:space="preserve"> (ל' הב"ש)</w:t>
      </w:r>
      <w:r>
        <w:rPr>
          <w:rFonts w:hint="cs"/>
          <w:rtl/>
        </w:rPr>
        <w:t>.</w:t>
      </w:r>
    </w:p>
    <w:p w14:paraId="45CC7B85" w14:textId="77777777" w:rsidR="00392DBB" w:rsidRPr="001A29C4" w:rsidRDefault="00392DBB" w:rsidP="00392DBB">
      <w:pPr>
        <w:ind w:left="360"/>
        <w:rPr>
          <w:u w:val="dotted"/>
        </w:rPr>
      </w:pPr>
      <w:r w:rsidRPr="001A29C4">
        <w:rPr>
          <w:rFonts w:hint="cs"/>
          <w:u w:val="dotted"/>
          <w:rtl/>
        </w:rPr>
        <w:t>ומה הדין קדם אחד מהם ותפש:</w:t>
      </w:r>
    </w:p>
    <w:p w14:paraId="50AB6506" w14:textId="508823FE" w:rsidR="00392DBB" w:rsidRDefault="00392DBB" w:rsidP="009000E3">
      <w:pPr>
        <w:pStyle w:val="ab"/>
        <w:numPr>
          <w:ilvl w:val="0"/>
          <w:numId w:val="61"/>
        </w:numPr>
      </w:pPr>
      <w:r>
        <w:rPr>
          <w:rFonts w:cs="Arial" w:hint="cs"/>
          <w:rtl/>
        </w:rPr>
        <w:t xml:space="preserve">טור- </w:t>
      </w:r>
      <w:r w:rsidRPr="00A167C1">
        <w:rPr>
          <w:rFonts w:cs="Arial"/>
          <w:rtl/>
        </w:rPr>
        <w:t>אם קדם המאוחר ותפש המעות</w:t>
      </w:r>
      <w:r>
        <w:rPr>
          <w:rFonts w:cs="Arial" w:hint="cs"/>
          <w:rtl/>
        </w:rPr>
        <w:t>,</w:t>
      </w:r>
      <w:r w:rsidRPr="00A167C1">
        <w:rPr>
          <w:rFonts w:cs="Arial"/>
          <w:rtl/>
        </w:rPr>
        <w:t xml:space="preserve"> לפי דברי א"א הרא"ש ז"ל שכתב שמוציאין מידה</w:t>
      </w:r>
      <w:r w:rsidR="005C7F9F">
        <w:rPr>
          <w:rFonts w:cs="Arial" w:hint="cs"/>
          <w:rtl/>
        </w:rPr>
        <w:t>,</w:t>
      </w:r>
      <w:r w:rsidRPr="00A167C1">
        <w:rPr>
          <w:rFonts w:cs="Arial"/>
          <w:rtl/>
        </w:rPr>
        <w:t xml:space="preserve"> אם קדמה ותפשה מעות כשזמנן שוה </w:t>
      </w:r>
      <w:r>
        <w:rPr>
          <w:rFonts w:cs="Arial" w:hint="cs"/>
          <w:rtl/>
        </w:rPr>
        <w:t xml:space="preserve">- </w:t>
      </w:r>
      <w:r w:rsidRPr="00A167C1">
        <w:rPr>
          <w:rFonts w:cs="Arial"/>
          <w:rtl/>
        </w:rPr>
        <w:t>יראה דה"ה נמי שמוציאין המעות מיד המאוחר אם קדם ותפשם</w:t>
      </w:r>
      <w:r>
        <w:rPr>
          <w:rStyle w:val="a7"/>
          <w:rFonts w:cs="Arial"/>
          <w:rtl/>
        </w:rPr>
        <w:footnoteReference w:id="2135"/>
      </w:r>
      <w:r>
        <w:rPr>
          <w:rFonts w:cs="Arial" w:hint="cs"/>
          <w:rtl/>
        </w:rPr>
        <w:t>.</w:t>
      </w:r>
      <w:r w:rsidRPr="00A167C1">
        <w:rPr>
          <w:rFonts w:cs="Arial"/>
          <w:rtl/>
        </w:rPr>
        <w:t xml:space="preserve"> </w:t>
      </w:r>
      <w:r w:rsidRPr="00E83275">
        <w:rPr>
          <w:rFonts w:hint="cs"/>
          <w:color w:val="E36C0A" w:themeColor="accent6" w:themeShade="BF"/>
          <w:rtl/>
        </w:rPr>
        <w:t>(וכ"</w:t>
      </w:r>
      <w:r w:rsidR="00840B00">
        <w:rPr>
          <w:rFonts w:hint="cs"/>
          <w:color w:val="E36C0A" w:themeColor="accent6" w:themeShade="BF"/>
          <w:rtl/>
        </w:rPr>
        <w:t>ס</w:t>
      </w:r>
      <w:r w:rsidRPr="00E83275">
        <w:rPr>
          <w:rFonts w:hint="cs"/>
          <w:color w:val="E36C0A" w:themeColor="accent6" w:themeShade="BF"/>
          <w:rtl/>
        </w:rPr>
        <w:t xml:space="preserve"> בשו"ע</w:t>
      </w:r>
      <w:r>
        <w:rPr>
          <w:rFonts w:hint="cs"/>
          <w:color w:val="E36C0A" w:themeColor="accent6" w:themeShade="BF"/>
          <w:sz w:val="16"/>
          <w:szCs w:val="16"/>
          <w:rtl/>
        </w:rPr>
        <w:t xml:space="preserve"> </w:t>
      </w:r>
      <w:r w:rsidRPr="00C95218">
        <w:rPr>
          <w:rFonts w:hint="cs"/>
          <w:color w:val="000000" w:themeColor="text1"/>
          <w:sz w:val="16"/>
          <w:szCs w:val="16"/>
          <w:rtl/>
        </w:rPr>
        <w:t>[בסע' ד]</w:t>
      </w:r>
      <w:r w:rsidRPr="00E83275">
        <w:rPr>
          <w:rFonts w:hint="cs"/>
          <w:color w:val="E36C0A" w:themeColor="accent6" w:themeShade="BF"/>
          <w:rtl/>
        </w:rPr>
        <w:t>)</w:t>
      </w:r>
    </w:p>
    <w:p w14:paraId="5A4F6A80" w14:textId="77777777" w:rsidR="00392DBB" w:rsidRPr="00A830CC" w:rsidRDefault="00392DBB" w:rsidP="00392DBB">
      <w:pPr>
        <w:rPr>
          <w:u w:val="single"/>
        </w:rPr>
      </w:pPr>
      <w:r w:rsidRPr="00A830CC">
        <w:rPr>
          <w:rFonts w:hint="cs"/>
          <w:u w:val="single"/>
          <w:rtl/>
        </w:rPr>
        <w:t>אלמנה או יורשיה שבאו לגבות כתובתה - האם הם צריכים לתת ערבים, שמא יש שטר</w:t>
      </w:r>
      <w:r>
        <w:rPr>
          <w:rFonts w:hint="cs"/>
          <w:u w:val="single"/>
          <w:rtl/>
        </w:rPr>
        <w:t>י חוב</w:t>
      </w:r>
      <w:r w:rsidRPr="00A830CC">
        <w:rPr>
          <w:rFonts w:hint="cs"/>
          <w:u w:val="single"/>
          <w:rtl/>
        </w:rPr>
        <w:t xml:space="preserve"> ק</w:t>
      </w:r>
      <w:r>
        <w:rPr>
          <w:rFonts w:hint="cs"/>
          <w:u w:val="single"/>
          <w:rtl/>
        </w:rPr>
        <w:t>ו</w:t>
      </w:r>
      <w:r w:rsidRPr="00A830CC">
        <w:rPr>
          <w:rFonts w:hint="cs"/>
          <w:u w:val="single"/>
          <w:rtl/>
        </w:rPr>
        <w:t>ד</w:t>
      </w:r>
      <w:r>
        <w:rPr>
          <w:rFonts w:hint="cs"/>
          <w:u w:val="single"/>
          <w:rtl/>
        </w:rPr>
        <w:t>מי</w:t>
      </w:r>
      <w:r w:rsidRPr="00A830CC">
        <w:rPr>
          <w:rFonts w:hint="cs"/>
          <w:u w:val="single"/>
          <w:rtl/>
        </w:rPr>
        <w:t xml:space="preserve">ם </w:t>
      </w:r>
      <w:r>
        <w:rPr>
          <w:rFonts w:hint="cs"/>
          <w:u w:val="single"/>
          <w:rtl/>
        </w:rPr>
        <w:t>לזמן הכתובה</w:t>
      </w:r>
      <w:r w:rsidRPr="00A830CC">
        <w:rPr>
          <w:rFonts w:hint="cs"/>
          <w:u w:val="single"/>
          <w:rtl/>
        </w:rPr>
        <w:t>:</w:t>
      </w:r>
    </w:p>
    <w:p w14:paraId="33B589BE" w14:textId="732FA498" w:rsidR="00392DBB" w:rsidRPr="009C12D8" w:rsidRDefault="00392DBB" w:rsidP="009000E3">
      <w:pPr>
        <w:pStyle w:val="ab"/>
        <w:numPr>
          <w:ilvl w:val="0"/>
          <w:numId w:val="61"/>
        </w:numPr>
      </w:pPr>
      <w:r>
        <w:rPr>
          <w:rFonts w:cs="Arial" w:hint="cs"/>
          <w:rtl/>
        </w:rPr>
        <w:t xml:space="preserve">ריב"ש </w:t>
      </w:r>
      <w:r>
        <w:rPr>
          <w:rFonts w:cs="Arial" w:hint="cs"/>
          <w:sz w:val="16"/>
          <w:szCs w:val="16"/>
          <w:rtl/>
        </w:rPr>
        <w:t>(סי' רצט)</w:t>
      </w:r>
      <w:r>
        <w:rPr>
          <w:rFonts w:cs="Arial" w:hint="cs"/>
          <w:rtl/>
        </w:rPr>
        <w:t xml:space="preserve">- </w:t>
      </w:r>
      <w:r>
        <w:rPr>
          <w:rFonts w:cs="Arial"/>
          <w:rtl/>
        </w:rPr>
        <w:t>עוד שאלתם יורשי אלמנה באו לתבוע כתובת אמם לפניכם</w:t>
      </w:r>
      <w:r>
        <w:rPr>
          <w:rFonts w:cs="Arial" w:hint="cs"/>
          <w:rtl/>
        </w:rPr>
        <w:t>.</w:t>
      </w:r>
      <w:r>
        <w:rPr>
          <w:rFonts w:cs="Arial"/>
          <w:rtl/>
        </w:rPr>
        <w:t xml:space="preserve"> ואתם רוצים להגבות להם הכתובה מנכסי בעלה</w:t>
      </w:r>
      <w:r>
        <w:rPr>
          <w:rFonts w:cs="Arial" w:hint="cs"/>
          <w:rtl/>
        </w:rPr>
        <w:t>,</w:t>
      </w:r>
      <w:r>
        <w:rPr>
          <w:rFonts w:cs="Arial"/>
          <w:rtl/>
        </w:rPr>
        <w:t xml:space="preserve"> אבל אתם יראים שמא יצאו שטרי חובות קודמין לזמן הכתובה</w:t>
      </w:r>
      <w:r>
        <w:rPr>
          <w:rFonts w:cs="Arial" w:hint="cs"/>
          <w:rtl/>
        </w:rPr>
        <w:t>,</w:t>
      </w:r>
      <w:r>
        <w:rPr>
          <w:rFonts w:cs="Arial"/>
          <w:rtl/>
        </w:rPr>
        <w:t xml:space="preserve"> ויבואו לתבוע חובותיהם היום ומחר. אם צריכין היורשים לתת לכם ערבים מהסך שתפרעו להם שמא יבזבזו היורשים הנכסי</w:t>
      </w:r>
      <w:r>
        <w:rPr>
          <w:rFonts w:cs="Arial" w:hint="cs"/>
          <w:rtl/>
        </w:rPr>
        <w:t>ם</w:t>
      </w:r>
      <w:r>
        <w:rPr>
          <w:rFonts w:cs="Arial"/>
          <w:rtl/>
        </w:rPr>
        <w:t xml:space="preserve"> או המעות</w:t>
      </w:r>
      <w:r>
        <w:rPr>
          <w:rFonts w:cs="Arial" w:hint="cs"/>
          <w:rtl/>
        </w:rPr>
        <w:t>,</w:t>
      </w:r>
      <w:r>
        <w:rPr>
          <w:rFonts w:cs="Arial"/>
          <w:rtl/>
        </w:rPr>
        <w:t xml:space="preserve"> וכשיבואו הבעלי חובות המוקדמין בזמן לכתובה לא ימצאו נכסים לגבות מהם</w:t>
      </w:r>
      <w:r>
        <w:rPr>
          <w:rFonts w:cs="Arial" w:hint="cs"/>
          <w:rtl/>
        </w:rPr>
        <w:t>.</w:t>
      </w:r>
      <w:r>
        <w:rPr>
          <w:rFonts w:cs="Arial"/>
          <w:rtl/>
        </w:rPr>
        <w:t xml:space="preserve"> </w:t>
      </w:r>
      <w:r>
        <w:rPr>
          <w:rFonts w:cs="Arial"/>
        </w:rPr>
        <w:t xml:space="preserve">   </w:t>
      </w:r>
      <w:r w:rsidR="00FE210D">
        <w:rPr>
          <w:rFonts w:cs="Arial"/>
          <w:rtl/>
        </w:rPr>
        <w:t xml:space="preserve">      תשובה:</w:t>
      </w:r>
      <w:r w:rsidRPr="00A830CC">
        <w:rPr>
          <w:rFonts w:cs="Arial"/>
          <w:rtl/>
        </w:rPr>
        <w:t xml:space="preserve"> בדין תורתינו אין בעל חוב בחובו ולא אשה בכתובתה צריכה לתת ערבים ממה שמגבין להם ב"ד</w:t>
      </w:r>
      <w:r>
        <w:rPr>
          <w:rFonts w:cs="Arial" w:hint="cs"/>
          <w:rtl/>
        </w:rPr>
        <w:t>,</w:t>
      </w:r>
      <w:r w:rsidRPr="00A830CC">
        <w:rPr>
          <w:rFonts w:cs="Arial"/>
          <w:rtl/>
        </w:rPr>
        <w:t xml:space="preserve"> אלא ב"ד יורדין לנכסי הלוה או הבעל ופורעין אותן מנכסיהם. ואם יבואו בעלי חובות קודמין הרי אם פרעו לראשונים ממטלטלים מה שגבו גבו</w:t>
      </w:r>
      <w:r>
        <w:rPr>
          <w:rFonts w:cs="Arial" w:hint="cs"/>
          <w:rtl/>
        </w:rPr>
        <w:t>,</w:t>
      </w:r>
      <w:r w:rsidRPr="00A830CC">
        <w:rPr>
          <w:rFonts w:cs="Arial"/>
          <w:rtl/>
        </w:rPr>
        <w:t xml:space="preserve"> ואפילו הם מאוחרין בזמן</w:t>
      </w:r>
      <w:r>
        <w:rPr>
          <w:rFonts w:cs="Arial" w:hint="cs"/>
          <w:rtl/>
        </w:rPr>
        <w:t>,</w:t>
      </w:r>
      <w:r w:rsidRPr="00A830CC">
        <w:rPr>
          <w:rFonts w:cs="Arial"/>
          <w:rtl/>
        </w:rPr>
        <w:t xml:space="preserve"> שהרי אין קדימה במטלטלין. ואם הגבו להם קרקעות בשומא עדיין א"צ לתת ערבים, שהרי אם יצאו בעלי חובות קדומים הרי ימצאו קרקעות ביד אלו ויוכלו לטרוף מהם. ואם מכרו הבית דין הקרקעות לאחרים ופרעו לאשה בכתובתה במעות מסך המכירה</w:t>
      </w:r>
      <w:r>
        <w:rPr>
          <w:rFonts w:cs="Arial" w:hint="cs"/>
          <w:rtl/>
        </w:rPr>
        <w:t>,</w:t>
      </w:r>
      <w:r w:rsidRPr="00A830CC">
        <w:rPr>
          <w:rFonts w:cs="Arial"/>
          <w:rtl/>
        </w:rPr>
        <w:t xml:space="preserve"> כשיבואו הקודמים הרי ימצאו גם כן קרקעות ביד הלוקחים ויטרפו אותם מהם</w:t>
      </w:r>
      <w:r>
        <w:rPr>
          <w:rFonts w:cs="Arial" w:hint="cs"/>
          <w:rtl/>
        </w:rPr>
        <w:t>.</w:t>
      </w:r>
      <w:r w:rsidRPr="00A830CC">
        <w:rPr>
          <w:rFonts w:cs="Arial"/>
          <w:rtl/>
        </w:rPr>
        <w:t xml:space="preserve"> ואם יפסידו הלוקחים</w:t>
      </w:r>
      <w:r>
        <w:rPr>
          <w:rFonts w:cs="Arial" w:hint="cs"/>
          <w:rtl/>
        </w:rPr>
        <w:t>,</w:t>
      </w:r>
      <w:r w:rsidRPr="00A830CC">
        <w:rPr>
          <w:rFonts w:cs="Arial"/>
          <w:rtl/>
        </w:rPr>
        <w:t xml:space="preserve"> הם יחושו לעצמם שלא ליקח קרקע המשועבד לב"ח. ואין האלמנה חייבת באחריות הקרקעו</w:t>
      </w:r>
      <w:r>
        <w:rPr>
          <w:rFonts w:cs="Arial" w:hint="cs"/>
          <w:rtl/>
        </w:rPr>
        <w:t>ת</w:t>
      </w:r>
      <w:r w:rsidRPr="00A830CC">
        <w:rPr>
          <w:rFonts w:cs="Arial"/>
          <w:rtl/>
        </w:rPr>
        <w:t xml:space="preserve"> ללקוחות</w:t>
      </w:r>
      <w:r>
        <w:rPr>
          <w:rFonts w:cs="Arial" w:hint="cs"/>
          <w:rtl/>
        </w:rPr>
        <w:t>,</w:t>
      </w:r>
      <w:r w:rsidRPr="00A830CC">
        <w:rPr>
          <w:rFonts w:cs="Arial"/>
          <w:rtl/>
        </w:rPr>
        <w:t xml:space="preserve"> אלא אחריותן על נכסי יורשי הבעל, כדאמרי</w:t>
      </w:r>
      <w:r>
        <w:rPr>
          <w:rFonts w:cs="Arial" w:hint="cs"/>
          <w:rtl/>
        </w:rPr>
        <w:t>נן</w:t>
      </w:r>
      <w:r w:rsidRPr="00A830CC">
        <w:rPr>
          <w:rFonts w:cs="Arial"/>
          <w:rtl/>
        </w:rPr>
        <w:t xml:space="preserve"> בכתובות (צז</w:t>
      </w:r>
      <w:r>
        <w:rPr>
          <w:rFonts w:cs="Arial" w:hint="cs"/>
          <w:rtl/>
        </w:rPr>
        <w:t>.</w:t>
      </w:r>
      <w:r w:rsidRPr="00A830CC">
        <w:rPr>
          <w:rFonts w:cs="Arial"/>
          <w:rtl/>
        </w:rPr>
        <w:t>) ארמלתא דזבינא אחריותא איתמי, בי דינא דזבין אחריותא איתמי. שאם אי אתה אומר כן מי שאין לו ערבים לא יגבו לו חובו לעולם, אלא אין צריך לתת ערבים בדין תורתינו, ובחקי העובדי כוכבים הוא שנהגו כן ולא כצורנו צורם</w:t>
      </w:r>
      <w:r>
        <w:rPr>
          <w:rStyle w:val="a7"/>
          <w:rFonts w:cs="Arial"/>
          <w:rtl/>
        </w:rPr>
        <w:footnoteReference w:id="2136"/>
      </w:r>
      <w:r w:rsidRPr="00A830CC">
        <w:rPr>
          <w:rFonts w:cs="Arial"/>
          <w:rtl/>
        </w:rPr>
        <w:t>.</w:t>
      </w:r>
      <w:r>
        <w:rPr>
          <w:rFonts w:hint="cs"/>
          <w:rtl/>
        </w:rPr>
        <w:t xml:space="preserve"> </w:t>
      </w:r>
      <w:r w:rsidRPr="00A830CC">
        <w:rPr>
          <w:rFonts w:hint="cs"/>
          <w:color w:val="00B0F0"/>
          <w:rtl/>
        </w:rPr>
        <w:t>(וכ"פ הרמ"א)</w:t>
      </w:r>
    </w:p>
    <w:p w14:paraId="5671FE50"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E36170E" w14:textId="16BD4EBA" w:rsidR="00392DBB" w:rsidRDefault="00392DBB" w:rsidP="00392DBB">
      <w:pPr>
        <w:rPr>
          <w:rFonts w:cs="Arial"/>
          <w:rtl/>
        </w:rPr>
      </w:pPr>
      <w:r w:rsidRPr="000904BE">
        <w:rPr>
          <w:rFonts w:cs="Arial"/>
          <w:rtl/>
        </w:rPr>
        <w:t>אם זמן שניהם שוין, או שנשא ולוה ואח</w:t>
      </w:r>
      <w:r>
        <w:rPr>
          <w:rFonts w:cs="Arial" w:hint="cs"/>
          <w:rtl/>
        </w:rPr>
        <w:t>ר כך</w:t>
      </w:r>
      <w:r w:rsidRPr="000904BE">
        <w:rPr>
          <w:rFonts w:cs="Arial"/>
          <w:rtl/>
        </w:rPr>
        <w:t xml:space="preserve"> קנה, או שלוה ונשא ואח</w:t>
      </w:r>
      <w:r>
        <w:rPr>
          <w:rFonts w:cs="Arial" w:hint="cs"/>
          <w:rtl/>
        </w:rPr>
        <w:t>ר כך</w:t>
      </w:r>
      <w:r w:rsidRPr="000904BE">
        <w:rPr>
          <w:rFonts w:cs="Arial"/>
          <w:rtl/>
        </w:rPr>
        <w:t xml:space="preserve"> קנה, שחל שעבודה כאחד בשעה שקנה, בין שהניח מקרקעי או מטלטלי, ינתנו לבעל חוב ותדחה האשה מגביית עיקר ותוספת. ואם קדמה האשה ותפסה קרקע, אם קדמה וגבתה בב</w:t>
      </w:r>
      <w:r>
        <w:rPr>
          <w:rFonts w:cs="Arial" w:hint="cs"/>
          <w:rtl/>
        </w:rPr>
        <w:t>ית דין</w:t>
      </w:r>
      <w:r>
        <w:rPr>
          <w:rStyle w:val="a7"/>
          <w:rFonts w:cs="Arial"/>
          <w:rtl/>
        </w:rPr>
        <w:footnoteReference w:id="2137"/>
      </w:r>
      <w:r w:rsidRPr="000904BE">
        <w:rPr>
          <w:rFonts w:cs="Arial"/>
          <w:rtl/>
        </w:rPr>
        <w:t>, כגון שהגבוה ב</w:t>
      </w:r>
      <w:r>
        <w:rPr>
          <w:rFonts w:cs="Arial" w:hint="cs"/>
          <w:rtl/>
        </w:rPr>
        <w:t xml:space="preserve">ית </w:t>
      </w:r>
      <w:r w:rsidRPr="000904BE">
        <w:rPr>
          <w:rFonts w:cs="Arial"/>
          <w:rtl/>
        </w:rPr>
        <w:t>ד</w:t>
      </w:r>
      <w:r>
        <w:rPr>
          <w:rFonts w:cs="Arial" w:hint="cs"/>
          <w:rtl/>
        </w:rPr>
        <w:t>ין</w:t>
      </w:r>
      <w:r w:rsidRPr="000904BE">
        <w:rPr>
          <w:rFonts w:cs="Arial"/>
          <w:rtl/>
        </w:rPr>
        <w:t xml:space="preserve"> קודם שידעו שהיה שם בעל חוב, אין מוציאין מידה. אבל אם גבתה מעצמה, אפילו ע</w:t>
      </w:r>
      <w:r>
        <w:rPr>
          <w:rFonts w:cs="Arial" w:hint="cs"/>
          <w:rtl/>
        </w:rPr>
        <w:t>ל יד</w:t>
      </w:r>
      <w:r w:rsidRPr="000904BE">
        <w:rPr>
          <w:rFonts w:cs="Arial"/>
          <w:rtl/>
        </w:rPr>
        <w:t>י שומא, מפקינן מינה. ואם קדמה ותפסה מטלטלין, אפילו שלא בב</w:t>
      </w:r>
      <w:r>
        <w:rPr>
          <w:rFonts w:cs="Arial" w:hint="cs"/>
          <w:rtl/>
        </w:rPr>
        <w:t>ית דין</w:t>
      </w:r>
      <w:r w:rsidRPr="000904BE">
        <w:rPr>
          <w:rFonts w:cs="Arial"/>
          <w:rtl/>
        </w:rPr>
        <w:t xml:space="preserve">, לא מפקינן </w:t>
      </w:r>
      <w:r w:rsidRPr="000904BE">
        <w:rPr>
          <w:rFonts w:cs="Arial"/>
          <w:rtl/>
        </w:rPr>
        <w:lastRenderedPageBreak/>
        <w:t>מינה</w:t>
      </w:r>
      <w:r>
        <w:rPr>
          <w:rStyle w:val="a7"/>
          <w:rFonts w:cs="Arial"/>
          <w:rtl/>
        </w:rPr>
        <w:footnoteReference w:id="2138"/>
      </w:r>
      <w:r w:rsidRPr="000904BE">
        <w:rPr>
          <w:rFonts w:cs="Arial"/>
          <w:rtl/>
        </w:rPr>
        <w:t xml:space="preserve">. </w:t>
      </w:r>
      <w:r w:rsidRPr="007A47A7">
        <w:rPr>
          <w:rFonts w:cs="Arial"/>
          <w:sz w:val="18"/>
          <w:szCs w:val="18"/>
          <w:rtl/>
        </w:rPr>
        <w:t>הגה: אלמנה שבאת לגבות כתובתה, והיתומים טוענין שתתן ערבות שאם ימצאו אח</w:t>
      </w:r>
      <w:r>
        <w:rPr>
          <w:rFonts w:cs="Arial" w:hint="cs"/>
          <w:sz w:val="18"/>
          <w:szCs w:val="18"/>
          <w:rtl/>
        </w:rPr>
        <w:t>"</w:t>
      </w:r>
      <w:r w:rsidRPr="007A47A7">
        <w:rPr>
          <w:rFonts w:cs="Arial"/>
          <w:sz w:val="18"/>
          <w:szCs w:val="18"/>
          <w:rtl/>
        </w:rPr>
        <w:t>כ בעלי חוב המוקדמים שתחזיר מה שגבתה, אין שומעין להם</w:t>
      </w:r>
      <w:r>
        <w:rPr>
          <w:rStyle w:val="a7"/>
          <w:rFonts w:cs="Arial"/>
          <w:sz w:val="18"/>
          <w:szCs w:val="18"/>
          <w:rtl/>
        </w:rPr>
        <w:footnoteReference w:id="2139"/>
      </w:r>
      <w:r>
        <w:rPr>
          <w:rFonts w:cs="Arial" w:hint="cs"/>
          <w:sz w:val="18"/>
          <w:szCs w:val="18"/>
          <w:rtl/>
        </w:rPr>
        <w:t>,</w:t>
      </w:r>
      <w:r w:rsidRPr="007A47A7">
        <w:rPr>
          <w:rFonts w:cs="Arial"/>
          <w:sz w:val="18"/>
          <w:szCs w:val="18"/>
          <w:rtl/>
        </w:rPr>
        <w:t xml:space="preserve"> וגובאת כך בלא ערבות (ריב"ש). </w:t>
      </w:r>
    </w:p>
    <w:p w14:paraId="2C1F65AE" w14:textId="77777777" w:rsidR="00392DBB" w:rsidRPr="000904BE" w:rsidRDefault="00392DBB" w:rsidP="00392DBB">
      <w:pPr>
        <w:rPr>
          <w:rFonts w:cs="Arial"/>
          <w:rtl/>
        </w:rPr>
      </w:pPr>
    </w:p>
    <w:p w14:paraId="4B8C85C6" w14:textId="40912333" w:rsidR="00392DBB" w:rsidRDefault="00392DBB" w:rsidP="000F64D0">
      <w:pPr>
        <w:pStyle w:val="2"/>
        <w:rPr>
          <w:rtl/>
        </w:rPr>
      </w:pPr>
      <w:r w:rsidRPr="000904BE">
        <w:rPr>
          <w:rtl/>
        </w:rPr>
        <w:t>סעיף ד</w:t>
      </w:r>
      <w:r>
        <w:rPr>
          <w:rFonts w:hint="cs"/>
          <w:rtl/>
        </w:rPr>
        <w:t xml:space="preserve">: </w:t>
      </w:r>
      <w:r w:rsidRPr="003A4B45">
        <w:rPr>
          <w:rFonts w:hint="cs"/>
          <w:rtl/>
        </w:rPr>
        <w:t>אלמנ</w:t>
      </w:r>
      <w:r>
        <w:rPr>
          <w:rFonts w:hint="cs"/>
          <w:rtl/>
        </w:rPr>
        <w:t>ה ו</w:t>
      </w:r>
      <w:r w:rsidRPr="003A4B45">
        <w:rPr>
          <w:rFonts w:hint="cs"/>
          <w:rtl/>
        </w:rPr>
        <w:t>בעל חוב</w:t>
      </w:r>
      <w:r>
        <w:rPr>
          <w:rFonts w:hint="cs"/>
          <w:rtl/>
        </w:rPr>
        <w:t xml:space="preserve"> </w:t>
      </w:r>
      <w:r w:rsidR="00F97626">
        <w:rPr>
          <w:rtl/>
        </w:rPr>
        <w:t>-</w:t>
      </w:r>
      <w:r>
        <w:rPr>
          <w:rFonts w:hint="cs"/>
          <w:rtl/>
        </w:rPr>
        <w:t xml:space="preserve"> ויש בנכסים כדי פריעת שניהם, אבל לאחד קרקע ולאחד ומעות.</w:t>
      </w:r>
    </w:p>
    <w:p w14:paraId="68F4D44B" w14:textId="77777777" w:rsidR="00392DBB" w:rsidRPr="00C0191E" w:rsidRDefault="00392DBB" w:rsidP="00392DBB">
      <w:pPr>
        <w:rPr>
          <w:rtl/>
        </w:rPr>
      </w:pPr>
      <w:r>
        <w:rPr>
          <w:rFonts w:hint="cs"/>
          <w:rtl/>
        </w:rPr>
        <w:t>עיין במקורות בסעיף הקודם.</w:t>
      </w:r>
    </w:p>
    <w:p w14:paraId="6F3278F6" w14:textId="77777777" w:rsidR="006A4B54" w:rsidRPr="00EA7B48" w:rsidRDefault="006A4B54" w:rsidP="006A4B54">
      <w:pPr>
        <w:rPr>
          <w:u w:val="single"/>
          <w:rtl/>
        </w:rPr>
      </w:pPr>
      <w:r w:rsidRPr="00EA7B48">
        <w:rPr>
          <w:rFonts w:hint="cs"/>
          <w:u w:val="single"/>
          <w:rtl/>
        </w:rPr>
        <w:t>אלמנה שבאה לגבות נכסים כנגד הנכסי צאן ברזל שלה:</w:t>
      </w:r>
    </w:p>
    <w:p w14:paraId="7E5761B6" w14:textId="0D2AB5D3" w:rsidR="006A4B54" w:rsidRPr="00320E25" w:rsidRDefault="006A4B54" w:rsidP="006A4B54">
      <w:pPr>
        <w:pStyle w:val="ab"/>
        <w:numPr>
          <w:ilvl w:val="0"/>
          <w:numId w:val="61"/>
        </w:numPr>
      </w:pPr>
      <w:r w:rsidRPr="00A167C1">
        <w:rPr>
          <w:rFonts w:cs="Arial"/>
          <w:rtl/>
        </w:rPr>
        <w:t xml:space="preserve">רמב"ם </w:t>
      </w:r>
      <w:r>
        <w:rPr>
          <w:rFonts w:cs="Arial" w:hint="cs"/>
          <w:sz w:val="16"/>
          <w:szCs w:val="16"/>
          <w:rtl/>
        </w:rPr>
        <w:t>(פי"ז מאישות ה"ז, והעתיק הטור את לשונו)</w:t>
      </w:r>
      <w:r>
        <w:rPr>
          <w:rFonts w:cs="Arial" w:hint="cs"/>
          <w:rtl/>
        </w:rPr>
        <w:t xml:space="preserve">- </w:t>
      </w:r>
      <w:r w:rsidRPr="00CC57A4">
        <w:rPr>
          <w:rFonts w:cs="Arial"/>
          <w:rtl/>
        </w:rPr>
        <w:t>היו כתובין בכתובתה נכסי צאן ברזל</w:t>
      </w:r>
      <w:r>
        <w:rPr>
          <w:rFonts w:cs="Arial" w:hint="cs"/>
          <w:rtl/>
        </w:rPr>
        <w:t>,</w:t>
      </w:r>
      <w:r w:rsidRPr="00CC57A4">
        <w:rPr>
          <w:rFonts w:cs="Arial"/>
          <w:rtl/>
        </w:rPr>
        <w:t xml:space="preserve"> וטענה שאבדו או שלקחם הבעל </w:t>
      </w:r>
      <w:r>
        <w:rPr>
          <w:rFonts w:cs="Arial" w:hint="cs"/>
          <w:rtl/>
        </w:rPr>
        <w:t xml:space="preserve">- </w:t>
      </w:r>
      <w:r w:rsidRPr="00CC57A4">
        <w:rPr>
          <w:rFonts w:cs="Arial"/>
          <w:rtl/>
        </w:rPr>
        <w:t>הרי היא בנכסי צאן ברזל שלה כשאר בעלי חובות ונשבעת שלא לקחה אותן ולא נתנה ולא מחלה וחולקת עם בעלי חובות</w:t>
      </w:r>
      <w:r>
        <w:rPr>
          <w:rStyle w:val="a7"/>
          <w:rFonts w:cs="Arial"/>
          <w:rtl/>
        </w:rPr>
        <w:footnoteReference w:id="2140"/>
      </w:r>
      <w:r>
        <w:rPr>
          <w:rFonts w:cs="Arial" w:hint="cs"/>
          <w:rtl/>
        </w:rPr>
        <w:t xml:space="preserve">. </w:t>
      </w:r>
      <w:r w:rsidRPr="00E83275">
        <w:rPr>
          <w:rFonts w:hint="cs"/>
          <w:color w:val="E36C0A" w:themeColor="accent6" w:themeShade="BF"/>
          <w:rtl/>
        </w:rPr>
        <w:t>(וכ"פ בשו"ע</w:t>
      </w:r>
      <w:r>
        <w:rPr>
          <w:rFonts w:hint="cs"/>
          <w:color w:val="E36C0A" w:themeColor="accent6" w:themeShade="BF"/>
          <w:sz w:val="16"/>
          <w:szCs w:val="16"/>
          <w:rtl/>
        </w:rPr>
        <w:t xml:space="preserve"> </w:t>
      </w:r>
      <w:r w:rsidRPr="006A4B54">
        <w:rPr>
          <w:rFonts w:hint="cs"/>
          <w:color w:val="000000" w:themeColor="text1"/>
          <w:sz w:val="16"/>
          <w:szCs w:val="16"/>
          <w:rtl/>
        </w:rPr>
        <w:t>[</w:t>
      </w:r>
      <w:r>
        <w:rPr>
          <w:rFonts w:hint="cs"/>
          <w:color w:val="000000" w:themeColor="text1"/>
          <w:sz w:val="16"/>
          <w:szCs w:val="16"/>
          <w:rtl/>
        </w:rPr>
        <w:t>בסע' ה</w:t>
      </w:r>
      <w:r w:rsidRPr="006A4B54">
        <w:rPr>
          <w:rFonts w:hint="cs"/>
          <w:color w:val="000000" w:themeColor="text1"/>
          <w:sz w:val="16"/>
          <w:szCs w:val="16"/>
          <w:rtl/>
        </w:rPr>
        <w:t>]</w:t>
      </w:r>
      <w:r w:rsidRPr="00E83275">
        <w:rPr>
          <w:rFonts w:hint="cs"/>
          <w:color w:val="E36C0A" w:themeColor="accent6" w:themeShade="BF"/>
          <w:rtl/>
        </w:rPr>
        <w:t>)</w:t>
      </w:r>
    </w:p>
    <w:p w14:paraId="794C7621" w14:textId="77777777" w:rsidR="006A4B54" w:rsidRPr="00C0191E" w:rsidRDefault="006A4B54" w:rsidP="006A4B54">
      <w:pPr>
        <w:pStyle w:val="ab"/>
        <w:numPr>
          <w:ilvl w:val="0"/>
          <w:numId w:val="61"/>
        </w:numPr>
        <w:rPr>
          <w:rtl/>
        </w:rPr>
      </w:pPr>
      <w:r w:rsidRPr="00A167C1">
        <w:rPr>
          <w:rFonts w:cs="Arial"/>
          <w:rtl/>
        </w:rPr>
        <w:t>רש"י</w:t>
      </w:r>
      <w:r>
        <w:rPr>
          <w:rFonts w:cs="Arial" w:hint="cs"/>
          <w:sz w:val="16"/>
          <w:szCs w:val="16"/>
          <w:rtl/>
        </w:rPr>
        <w:t xml:space="preserve"> ([פו. ד"ה האי], להב' הטור)</w:t>
      </w:r>
      <w:r>
        <w:rPr>
          <w:rFonts w:cs="Arial" w:hint="cs"/>
          <w:rtl/>
        </w:rPr>
        <w:t>-</w:t>
      </w:r>
      <w:r w:rsidRPr="00A167C1">
        <w:rPr>
          <w:rFonts w:cs="Arial"/>
          <w:rtl/>
        </w:rPr>
        <w:t xml:space="preserve"> דין נכסי צאן ברזל כדין שאר הכתובה</w:t>
      </w:r>
      <w:r>
        <w:rPr>
          <w:rStyle w:val="a7"/>
          <w:rFonts w:cs="Arial"/>
          <w:rtl/>
        </w:rPr>
        <w:footnoteReference w:id="2141"/>
      </w:r>
      <w:r>
        <w:rPr>
          <w:rFonts w:cs="Arial" w:hint="cs"/>
          <w:sz w:val="16"/>
          <w:szCs w:val="16"/>
          <w:rtl/>
        </w:rPr>
        <w:t xml:space="preserve"> (ל' הטור בשם רש"י)</w:t>
      </w:r>
      <w:r>
        <w:rPr>
          <w:rFonts w:cs="Arial" w:hint="cs"/>
          <w:rtl/>
        </w:rPr>
        <w:t>.</w:t>
      </w:r>
      <w:r w:rsidRPr="00A167C1">
        <w:rPr>
          <w:rFonts w:cs="Arial"/>
          <w:rtl/>
        </w:rPr>
        <w:t xml:space="preserve"> </w:t>
      </w:r>
    </w:p>
    <w:p w14:paraId="13813982"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F87F828" w14:textId="663D193D" w:rsidR="00392DBB" w:rsidRDefault="00392DBB" w:rsidP="00392DBB">
      <w:pPr>
        <w:rPr>
          <w:rFonts w:cs="Arial"/>
          <w:rtl/>
        </w:rPr>
      </w:pPr>
      <w:r w:rsidRPr="000904BE">
        <w:rPr>
          <w:rFonts w:cs="Arial"/>
          <w:rtl/>
        </w:rPr>
        <w:t>אם יש כדי לפרוע לשניהם בקרקע ומעות, אם זמנם שוה נותנים לבעל חוב מעות ולאשה קרקע</w:t>
      </w:r>
      <w:r w:rsidR="00840B00">
        <w:rPr>
          <w:rFonts w:cs="Arial" w:hint="cs"/>
          <w:rtl/>
        </w:rPr>
        <w:t>.</w:t>
      </w:r>
      <w:r w:rsidRPr="000904BE">
        <w:rPr>
          <w:rFonts w:cs="Arial"/>
          <w:rtl/>
        </w:rPr>
        <w:t xml:space="preserve"> </w:t>
      </w:r>
      <w:r>
        <w:rPr>
          <w:rFonts w:cs="Arial" w:hint="cs"/>
          <w:sz w:val="18"/>
          <w:szCs w:val="18"/>
          <w:rtl/>
        </w:rPr>
        <w:t xml:space="preserve">[הגה] </w:t>
      </w:r>
      <w:r w:rsidRPr="007A47A7">
        <w:rPr>
          <w:rFonts w:cs="Arial"/>
          <w:sz w:val="18"/>
          <w:szCs w:val="18"/>
          <w:rtl/>
        </w:rPr>
        <w:t>אפילו יש לה נדוניא עם הכתובה</w:t>
      </w:r>
      <w:r>
        <w:rPr>
          <w:rStyle w:val="a7"/>
          <w:rFonts w:cs="Arial"/>
          <w:sz w:val="18"/>
          <w:szCs w:val="18"/>
          <w:rtl/>
        </w:rPr>
        <w:footnoteReference w:id="2142"/>
      </w:r>
      <w:r w:rsidRPr="007A47A7">
        <w:rPr>
          <w:rFonts w:cs="Arial"/>
          <w:sz w:val="18"/>
          <w:szCs w:val="18"/>
          <w:rtl/>
        </w:rPr>
        <w:t xml:space="preserve"> (כן משמע מפירש"י).</w:t>
      </w:r>
      <w:r w:rsidRPr="000904BE">
        <w:rPr>
          <w:rFonts w:cs="Arial"/>
          <w:rtl/>
        </w:rPr>
        <w:t xml:space="preserve"> ואם קדמה לגבות מעות, יש מי שאומר</w:t>
      </w:r>
      <w:r>
        <w:rPr>
          <w:rStyle w:val="a7"/>
          <w:rFonts w:cs="Arial"/>
          <w:rtl/>
        </w:rPr>
        <w:footnoteReference w:id="2143"/>
      </w:r>
      <w:r w:rsidRPr="000904BE">
        <w:rPr>
          <w:rFonts w:cs="Arial"/>
          <w:rtl/>
        </w:rPr>
        <w:t xml:space="preserve"> שמוציאין מידה ונותנים לבעל חוב. </w:t>
      </w:r>
      <w:r>
        <w:rPr>
          <w:rFonts w:cs="Arial" w:hint="cs"/>
          <w:sz w:val="18"/>
          <w:szCs w:val="18"/>
          <w:rtl/>
        </w:rPr>
        <w:t xml:space="preserve">[הגה] </w:t>
      </w:r>
      <w:r w:rsidRPr="007A47A7">
        <w:rPr>
          <w:rFonts w:cs="Arial"/>
          <w:sz w:val="18"/>
          <w:szCs w:val="18"/>
          <w:rtl/>
        </w:rPr>
        <w:t>מיהו אם הבעל חוב חפץ בקרקע, נותנים לו הקרקע</w:t>
      </w:r>
      <w:r>
        <w:rPr>
          <w:rStyle w:val="a7"/>
          <w:rFonts w:cs="Arial"/>
          <w:sz w:val="18"/>
          <w:szCs w:val="18"/>
          <w:rtl/>
        </w:rPr>
        <w:footnoteReference w:id="2144"/>
      </w:r>
      <w:r w:rsidRPr="007A47A7">
        <w:rPr>
          <w:rFonts w:cs="Arial"/>
          <w:sz w:val="18"/>
          <w:szCs w:val="18"/>
          <w:rtl/>
        </w:rPr>
        <w:t xml:space="preserve"> (טור). </w:t>
      </w:r>
      <w:r w:rsidRPr="000904BE">
        <w:rPr>
          <w:rFonts w:cs="Arial"/>
          <w:rtl/>
        </w:rPr>
        <w:t>ואם אין זמנם שוה, המוקדם נותנים לו המעות</w:t>
      </w:r>
      <w:r>
        <w:rPr>
          <w:rStyle w:val="a7"/>
          <w:rFonts w:cs="Arial"/>
          <w:rtl/>
        </w:rPr>
        <w:footnoteReference w:id="2145"/>
      </w:r>
      <w:r w:rsidRPr="000904BE">
        <w:rPr>
          <w:rFonts w:cs="Arial"/>
          <w:rtl/>
        </w:rPr>
        <w:t>. ואם קדם המאוחר ותפס המעות, יש מי שאומר שמוציאים מידו</w:t>
      </w:r>
      <w:r>
        <w:rPr>
          <w:rStyle w:val="a7"/>
          <w:rFonts w:cs="Arial"/>
          <w:rtl/>
        </w:rPr>
        <w:footnoteReference w:id="2146"/>
      </w:r>
      <w:r w:rsidRPr="000904BE">
        <w:rPr>
          <w:rFonts w:cs="Arial"/>
          <w:rtl/>
        </w:rPr>
        <w:t>.</w:t>
      </w:r>
    </w:p>
    <w:p w14:paraId="7E47FEC1" w14:textId="77777777" w:rsidR="00392DBB" w:rsidRPr="000904BE" w:rsidRDefault="00392DBB" w:rsidP="00392DBB">
      <w:pPr>
        <w:rPr>
          <w:rFonts w:cs="Arial"/>
          <w:rtl/>
        </w:rPr>
      </w:pPr>
    </w:p>
    <w:p w14:paraId="2B05255B" w14:textId="77777777" w:rsidR="00392DBB" w:rsidRDefault="00392DBB" w:rsidP="000F64D0">
      <w:pPr>
        <w:pStyle w:val="2"/>
        <w:rPr>
          <w:rtl/>
        </w:rPr>
      </w:pPr>
      <w:r w:rsidRPr="000904BE">
        <w:rPr>
          <w:rtl/>
        </w:rPr>
        <w:t>סעיף ה</w:t>
      </w:r>
      <w:r>
        <w:rPr>
          <w:rFonts w:hint="cs"/>
          <w:rtl/>
        </w:rPr>
        <w:t>: אלמנה שבאה לגבות נכסים כנגד הנכסי צאן ברזל שלה.</w:t>
      </w:r>
    </w:p>
    <w:p w14:paraId="7AFEA270" w14:textId="4A67B583" w:rsidR="006A4B54" w:rsidRPr="006A4B54" w:rsidRDefault="006A4B54" w:rsidP="006A4B54">
      <w:pPr>
        <w:rPr>
          <w:rtl/>
        </w:rPr>
      </w:pPr>
      <w:r>
        <w:rPr>
          <w:rFonts w:hint="cs"/>
          <w:rtl/>
        </w:rPr>
        <w:t>עיין במקורות בסעיף ד.</w:t>
      </w:r>
    </w:p>
    <w:p w14:paraId="6D5DCF23"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2E051B3" w14:textId="77777777" w:rsidR="00392DBB" w:rsidRDefault="00392DBB" w:rsidP="00392DBB">
      <w:pPr>
        <w:rPr>
          <w:rFonts w:cs="Arial"/>
          <w:rtl/>
        </w:rPr>
      </w:pPr>
      <w:r w:rsidRPr="000904BE">
        <w:rPr>
          <w:rFonts w:cs="Arial"/>
          <w:rtl/>
        </w:rPr>
        <w:lastRenderedPageBreak/>
        <w:t>היו כתובים בכתובה נכסי צ</w:t>
      </w:r>
      <w:r>
        <w:rPr>
          <w:rFonts w:cs="Arial" w:hint="cs"/>
          <w:rtl/>
        </w:rPr>
        <w:t>אן ברזל</w:t>
      </w:r>
      <w:r w:rsidRPr="000904BE">
        <w:rPr>
          <w:rFonts w:cs="Arial"/>
          <w:rtl/>
        </w:rPr>
        <w:t>, וטענה שאבדו או שלקחם הבעל, הרי היא בנכסי צאן ברזל כשאר בעלי חובות ונשבעת שלא לקחה אותם ולא נתנה ולא מחלה, וחולקת עם בעלי חובות</w:t>
      </w:r>
      <w:r>
        <w:rPr>
          <w:rStyle w:val="a7"/>
          <w:rFonts w:cs="Arial"/>
          <w:rtl/>
        </w:rPr>
        <w:footnoteReference w:id="2147"/>
      </w:r>
      <w:r w:rsidRPr="000904BE">
        <w:rPr>
          <w:rFonts w:cs="Arial"/>
          <w:rtl/>
        </w:rPr>
        <w:t xml:space="preserve">. </w:t>
      </w:r>
      <w:r w:rsidRPr="007A47A7">
        <w:rPr>
          <w:rFonts w:cs="Arial"/>
          <w:sz w:val="18"/>
          <w:szCs w:val="18"/>
          <w:rtl/>
        </w:rPr>
        <w:t xml:space="preserve">הגה: אם בעל חוב גובה מנדוניית האשה שהיא בעין עיין בח"ה סי' צ"ז סעיף כ"ו. </w:t>
      </w:r>
    </w:p>
    <w:p w14:paraId="32AB0DBB" w14:textId="77777777" w:rsidR="00392DBB" w:rsidRPr="000904BE" w:rsidRDefault="00392DBB" w:rsidP="00392DBB">
      <w:pPr>
        <w:rPr>
          <w:rFonts w:cs="Arial"/>
          <w:rtl/>
        </w:rPr>
      </w:pPr>
    </w:p>
    <w:p w14:paraId="673A8045" w14:textId="77777777" w:rsidR="00392DBB" w:rsidRDefault="00392DBB" w:rsidP="000F64D0">
      <w:pPr>
        <w:pStyle w:val="2"/>
        <w:rPr>
          <w:rtl/>
        </w:rPr>
      </w:pPr>
      <w:r w:rsidRPr="000904BE">
        <w:rPr>
          <w:rtl/>
        </w:rPr>
        <w:t>סעיף ו</w:t>
      </w:r>
      <w:r>
        <w:rPr>
          <w:rFonts w:hint="cs"/>
          <w:rtl/>
        </w:rPr>
        <w:t>: ערב לאשה בכתובתה.</w:t>
      </w:r>
    </w:p>
    <w:p w14:paraId="4A57BFE4" w14:textId="12EA9EBF" w:rsidR="00392DBB" w:rsidRPr="00693F20" w:rsidRDefault="00392DBB" w:rsidP="00392DBB">
      <w:pPr>
        <w:rPr>
          <w:rtl/>
        </w:rPr>
      </w:pPr>
      <w:r w:rsidRPr="003B0B1D">
        <w:rPr>
          <w:rFonts w:hint="cs"/>
          <w:b/>
          <w:bCs/>
          <w:rtl/>
        </w:rPr>
        <w:t xml:space="preserve">בבא בתרא </w:t>
      </w:r>
      <w:r w:rsidRPr="003B0B1D">
        <w:rPr>
          <w:rFonts w:hint="cs"/>
          <w:b/>
          <w:bCs/>
          <w:sz w:val="16"/>
          <w:szCs w:val="16"/>
          <w:rtl/>
        </w:rPr>
        <w:t>(פ' בתרא)</w:t>
      </w:r>
      <w:r w:rsidRPr="003B0B1D">
        <w:rPr>
          <w:rFonts w:hint="cs"/>
          <w:b/>
          <w:bCs/>
          <w:rtl/>
        </w:rPr>
        <w:t xml:space="preserve"> קע</w:t>
      </w:r>
      <w:r>
        <w:rPr>
          <w:rFonts w:hint="cs"/>
          <w:b/>
          <w:bCs/>
          <w:rtl/>
        </w:rPr>
        <w:t>ג</w:t>
      </w:r>
      <w:r w:rsidR="00927771">
        <w:rPr>
          <w:rStyle w:val="a7"/>
          <w:b/>
          <w:bCs/>
          <w:rtl/>
        </w:rPr>
        <w:footnoteReference w:id="2148"/>
      </w:r>
      <w:r w:rsidRPr="003B0B1D">
        <w:rPr>
          <w:rFonts w:hint="cs"/>
          <w:b/>
          <w:bCs/>
          <w:rtl/>
        </w:rPr>
        <w:t xml:space="preserve"> ע"ב:</w:t>
      </w:r>
      <w:r>
        <w:rPr>
          <w:rFonts w:hint="cs"/>
          <w:rtl/>
        </w:rPr>
        <w:t xml:space="preserve"> </w:t>
      </w:r>
      <w:r w:rsidRPr="003B0B1D">
        <w:rPr>
          <w:rFonts w:cs="Arial" w:hint="cs"/>
          <w:u w:val="double"/>
          <w:rtl/>
        </w:rPr>
        <w:t>מתני'</w:t>
      </w:r>
      <w:r>
        <w:rPr>
          <w:rFonts w:cs="Arial" w:hint="cs"/>
          <w:rtl/>
        </w:rPr>
        <w:t xml:space="preserve">:... </w:t>
      </w:r>
      <w:r w:rsidRPr="003B0B1D">
        <w:rPr>
          <w:rFonts w:cs="Arial"/>
          <w:u w:val="single"/>
          <w:rtl/>
        </w:rPr>
        <w:t>וכן היה רבן שמעון בן גמליאל אומר</w:t>
      </w:r>
      <w:r w:rsidRPr="003B0B1D">
        <w:rPr>
          <w:rFonts w:cs="Arial"/>
          <w:rtl/>
        </w:rPr>
        <w:t xml:space="preserve">: הערב לאשה בכתובתה, והיה בעלה מגרשה - ידירנה הנאה, שמא יעשו קנוניא על נכסים של זה ויחזיר את אשתו. </w:t>
      </w:r>
      <w:r>
        <w:rPr>
          <w:rFonts w:cs="Arial" w:hint="cs"/>
          <w:rtl/>
        </w:rPr>
        <w:t xml:space="preserve">        </w:t>
      </w:r>
      <w:r w:rsidRPr="003B0B1D">
        <w:rPr>
          <w:rFonts w:cs="Arial" w:hint="cs"/>
          <w:u w:val="double"/>
          <w:rtl/>
        </w:rPr>
        <w:t>גמ'</w:t>
      </w:r>
      <w:r>
        <w:rPr>
          <w:rFonts w:cs="Arial" w:hint="cs"/>
          <w:u w:val="double"/>
          <w:rtl/>
        </w:rPr>
        <w:t xml:space="preserve"> </w:t>
      </w:r>
      <w:r w:rsidRPr="003B0B1D">
        <w:rPr>
          <w:rFonts w:cs="Arial" w:hint="cs"/>
          <w:sz w:val="14"/>
          <w:szCs w:val="14"/>
          <w:u w:val="double"/>
          <w:rtl/>
        </w:rPr>
        <w:t>(קעד:)</w:t>
      </w:r>
      <w:r w:rsidRPr="003B0B1D">
        <w:rPr>
          <w:rFonts w:cs="Arial" w:hint="cs"/>
          <w:u w:val="double"/>
          <w:rtl/>
        </w:rPr>
        <w:t>:</w:t>
      </w:r>
      <w:r>
        <w:rPr>
          <w:rFonts w:cs="Arial" w:hint="cs"/>
          <w:rtl/>
        </w:rPr>
        <w:t xml:space="preserve"> </w:t>
      </w:r>
      <w:r>
        <w:rPr>
          <w:rFonts w:cs="Arial"/>
          <w:rtl/>
        </w:rPr>
        <w:t>וכן היה רשב"ג אומר: הערב לאשה בכתובתה וכו'. משה בר עצרי ערבא דכתובתה דכלתיה הוה, רב הונא בריה צורבא מדרבנן הוה ודחיקא ליה מילתא</w:t>
      </w:r>
      <w:r>
        <w:rPr>
          <w:rFonts w:cs="Arial" w:hint="cs"/>
          <w:rtl/>
        </w:rPr>
        <w:t>.</w:t>
      </w:r>
      <w:r>
        <w:rPr>
          <w:rFonts w:cs="Arial"/>
          <w:rtl/>
        </w:rPr>
        <w:t xml:space="preserve"> </w:t>
      </w:r>
      <w:r w:rsidRPr="003B0B1D">
        <w:rPr>
          <w:rFonts w:cs="Arial"/>
          <w:u w:val="single"/>
          <w:rtl/>
        </w:rPr>
        <w:t>אמר אביי</w:t>
      </w:r>
      <w:r>
        <w:rPr>
          <w:rFonts w:cs="Arial"/>
          <w:rtl/>
        </w:rPr>
        <w:t>: ליכא דניזיל דנסביה עצה לרב הונא, דנגרשה לדביתהו ותיזיל ותגבי כתובה מאבוה, והדר נהדרה</w:t>
      </w:r>
      <w:r w:rsidR="006A4B54">
        <w:rPr>
          <w:rFonts w:cs="Arial" w:hint="cs"/>
          <w:rtl/>
        </w:rPr>
        <w:t>.</w:t>
      </w:r>
      <w:r>
        <w:rPr>
          <w:rFonts w:cs="Arial"/>
          <w:rtl/>
        </w:rPr>
        <w:t xml:space="preserve"> </w:t>
      </w:r>
      <w:r w:rsidRPr="003B0B1D">
        <w:rPr>
          <w:rFonts w:cs="Arial"/>
          <w:u w:val="single"/>
          <w:rtl/>
        </w:rPr>
        <w:t>א"ל רבא</w:t>
      </w:r>
      <w:r>
        <w:rPr>
          <w:rFonts w:cs="Arial"/>
          <w:rtl/>
        </w:rPr>
        <w:t xml:space="preserve">: והא ידירנה הנאה תנן! </w:t>
      </w:r>
      <w:r w:rsidRPr="003B0B1D">
        <w:rPr>
          <w:rFonts w:cs="Arial"/>
          <w:u w:val="single"/>
          <w:rtl/>
        </w:rPr>
        <w:t>א"ל אביי</w:t>
      </w:r>
      <w:r>
        <w:rPr>
          <w:rFonts w:cs="Arial"/>
          <w:rtl/>
        </w:rPr>
        <w:t xml:space="preserve">: אטו כל דמגרש - בבי דינא מגרש? לסוף איגלאי מילתא דכהן הוא. </w:t>
      </w:r>
      <w:r w:rsidRPr="003B0B1D">
        <w:rPr>
          <w:rFonts w:cs="Arial"/>
          <w:u w:val="single"/>
          <w:rtl/>
        </w:rPr>
        <w:t>אמר אביי</w:t>
      </w:r>
      <w:r>
        <w:rPr>
          <w:rFonts w:cs="Arial" w:hint="cs"/>
          <w:rtl/>
        </w:rPr>
        <w:t>:</w:t>
      </w:r>
      <w:r>
        <w:rPr>
          <w:rFonts w:cs="Arial"/>
          <w:rtl/>
        </w:rPr>
        <w:t xml:space="preserve"> היינו דאמרי אינשי</w:t>
      </w:r>
      <w:r>
        <w:rPr>
          <w:rFonts w:cs="Arial" w:hint="cs"/>
          <w:rtl/>
        </w:rPr>
        <w:t>,</w:t>
      </w:r>
      <w:r>
        <w:rPr>
          <w:rFonts w:cs="Arial"/>
          <w:rtl/>
        </w:rPr>
        <w:t xml:space="preserve"> בתר עניא אזלא עניותא. ומי אמר אביי הכי? והא אמר אביי: איזהו רשע ערום? זה המשיא עצה למכור בנכסי' כרשב"ג! בנו שאני, וצורבא מרבנן שאני. והא ערב הוא, וקיימא לן: ערב דכתובה לא משתעבד! קבלן הוה. הניחא למ"ד: קבלן דכתובה אף על גב דלית ליה נכסי לבעל משתעבד - שפיר, אלא למאן דאמר: אי אית ליה משתעבד, אי לית ליה לא משתעבד - מאי איכא למימר? איבעית אימא: מיהוי הוה ליה ואישתדוף. ואיבעית אימא: אבא לגבי בריה שעבודי משעבד נפשיה</w:t>
      </w:r>
      <w:r>
        <w:rPr>
          <w:rStyle w:val="a7"/>
          <w:rFonts w:cs="Arial"/>
          <w:rtl/>
        </w:rPr>
        <w:footnoteReference w:id="2149"/>
      </w:r>
      <w:r>
        <w:rPr>
          <w:rFonts w:cs="Arial"/>
          <w:rtl/>
        </w:rPr>
        <w:t>, דאיתמר: ערב דכתובה - דברי הכל לא משתעבד, קבלן דבעל חוב - דברי הכל משתעבד, קבלן דכתובה וערב דבעל חוב - פליגי, מר סבר: אי אית ליה נכסי ללוה - משתעבד, אי לית ליה - לא משתעבד</w:t>
      </w:r>
      <w:r>
        <w:rPr>
          <w:rStyle w:val="a7"/>
          <w:rFonts w:cs="Arial"/>
          <w:rtl/>
        </w:rPr>
        <w:footnoteReference w:id="2150"/>
      </w:r>
      <w:r>
        <w:rPr>
          <w:rFonts w:cs="Arial" w:hint="cs"/>
          <w:rtl/>
        </w:rPr>
        <w:t>,</w:t>
      </w:r>
      <w:r>
        <w:rPr>
          <w:rFonts w:cs="Arial"/>
          <w:rtl/>
        </w:rPr>
        <w:t xml:space="preserve"> ומר סבר: בין אית ליה ובין לית ליה - משתעבד. והלכתא: ערב, בין אית ליה ובין לית ליה - משתעבד</w:t>
      </w:r>
      <w:r>
        <w:rPr>
          <w:rStyle w:val="a7"/>
          <w:rFonts w:cs="Arial"/>
          <w:rtl/>
        </w:rPr>
        <w:footnoteReference w:id="2151"/>
      </w:r>
      <w:r>
        <w:rPr>
          <w:rFonts w:cs="Arial"/>
          <w:rtl/>
        </w:rPr>
        <w:t>, בר מערב דכתובה, דאע"ג דאית ליה לבעל - לא משתעבד, מאי טעמא? מצוה הוא דעבד</w:t>
      </w:r>
      <w:r>
        <w:rPr>
          <w:rStyle w:val="a7"/>
          <w:rFonts w:cs="Arial"/>
          <w:rtl/>
        </w:rPr>
        <w:footnoteReference w:id="2152"/>
      </w:r>
      <w:r>
        <w:rPr>
          <w:rFonts w:cs="Arial"/>
          <w:rtl/>
        </w:rPr>
        <w:t xml:space="preserve"> ולאו מידי חסרה. </w:t>
      </w:r>
    </w:p>
    <w:p w14:paraId="23696C17" w14:textId="77777777" w:rsidR="00392DBB" w:rsidRPr="00693F20" w:rsidRDefault="00392DBB" w:rsidP="00392DBB">
      <w:pPr>
        <w:rPr>
          <w:u w:val="single"/>
          <w:rtl/>
        </w:rPr>
      </w:pPr>
      <w:r w:rsidRPr="00693F20">
        <w:rPr>
          <w:rFonts w:hint="cs"/>
          <w:u w:val="single"/>
          <w:rtl/>
        </w:rPr>
        <w:t>הערב לאשה בכתובתה:</w:t>
      </w:r>
    </w:p>
    <w:p w14:paraId="1E64752A" w14:textId="03B9C7D5" w:rsidR="00392DBB" w:rsidRDefault="00392DBB" w:rsidP="009000E3">
      <w:pPr>
        <w:pStyle w:val="ab"/>
        <w:numPr>
          <w:ilvl w:val="0"/>
          <w:numId w:val="61"/>
        </w:numPr>
      </w:pPr>
      <w:r>
        <w:rPr>
          <w:rFonts w:cs="Arial" w:hint="cs"/>
          <w:rtl/>
        </w:rPr>
        <w:t xml:space="preserve">רמב"ם </w:t>
      </w:r>
      <w:r>
        <w:rPr>
          <w:rFonts w:cs="Arial" w:hint="cs"/>
          <w:sz w:val="16"/>
          <w:szCs w:val="16"/>
          <w:rtl/>
        </w:rPr>
        <w:t>(פי"ז מאישות ה"ט, ו</w:t>
      </w:r>
      <w:r w:rsidR="006A4B54">
        <w:rPr>
          <w:rFonts w:cs="Arial" w:hint="cs"/>
          <w:sz w:val="16"/>
          <w:szCs w:val="16"/>
          <w:rtl/>
        </w:rPr>
        <w:t xml:space="preserve">כן </w:t>
      </w:r>
      <w:r>
        <w:rPr>
          <w:rFonts w:cs="Arial" w:hint="cs"/>
          <w:sz w:val="16"/>
          <w:szCs w:val="16"/>
          <w:rtl/>
        </w:rPr>
        <w:t>בפכ"ה ממלוה ולוה ה"ו)</w:t>
      </w:r>
      <w:r>
        <w:rPr>
          <w:rFonts w:cs="Arial" w:hint="cs"/>
          <w:rtl/>
        </w:rPr>
        <w:t xml:space="preserve">- </w:t>
      </w:r>
      <w:r w:rsidRPr="000756C6">
        <w:rPr>
          <w:rFonts w:cs="Arial"/>
          <w:rtl/>
        </w:rPr>
        <w:t>הערב לאשה בכתובתה אע</w:t>
      </w:r>
      <w:r w:rsidR="006A4B54">
        <w:rPr>
          <w:rFonts w:cs="Arial" w:hint="cs"/>
          <w:rtl/>
        </w:rPr>
        <w:t>"</w:t>
      </w:r>
      <w:r w:rsidRPr="000756C6">
        <w:rPr>
          <w:rFonts w:cs="Arial"/>
          <w:rtl/>
        </w:rPr>
        <w:t>פ שקנו מידו</w:t>
      </w:r>
      <w:r>
        <w:rPr>
          <w:rStyle w:val="a7"/>
          <w:rFonts w:cs="Arial"/>
          <w:rtl/>
        </w:rPr>
        <w:footnoteReference w:id="2153"/>
      </w:r>
      <w:r w:rsidRPr="000756C6">
        <w:rPr>
          <w:rFonts w:cs="Arial"/>
          <w:rtl/>
        </w:rPr>
        <w:t xml:space="preserve"> </w:t>
      </w:r>
      <w:r>
        <w:rPr>
          <w:rFonts w:cs="Arial" w:hint="cs"/>
          <w:rtl/>
        </w:rPr>
        <w:t xml:space="preserve">- </w:t>
      </w:r>
      <w:r w:rsidRPr="000756C6">
        <w:rPr>
          <w:rFonts w:cs="Arial"/>
          <w:rtl/>
        </w:rPr>
        <w:t>אינו חייב לשלם, שמצוה עשה והרי לא חסרה כלום</w:t>
      </w:r>
      <w:r>
        <w:rPr>
          <w:rFonts w:cs="Arial" w:hint="cs"/>
          <w:rtl/>
        </w:rPr>
        <w:t>.</w:t>
      </w:r>
      <w:r w:rsidRPr="000756C6">
        <w:rPr>
          <w:rFonts w:cs="Arial"/>
          <w:rtl/>
        </w:rPr>
        <w:t xml:space="preserve"> ואם ערב של כתובת בנו הוא וקנו מידו</w:t>
      </w:r>
      <w:r>
        <w:rPr>
          <w:rFonts w:cs="Arial" w:hint="cs"/>
          <w:rtl/>
        </w:rPr>
        <w:t xml:space="preserve"> -</w:t>
      </w:r>
      <w:r w:rsidRPr="000756C6">
        <w:rPr>
          <w:rFonts w:cs="Arial"/>
          <w:rtl/>
        </w:rPr>
        <w:t xml:space="preserve"> חייב לשלם, שהאב בגלל בנו משעבד עצמו וגומר ומקנה</w:t>
      </w:r>
      <w:r>
        <w:rPr>
          <w:rFonts w:cs="Arial" w:hint="cs"/>
          <w:rtl/>
        </w:rPr>
        <w:t>.</w:t>
      </w:r>
      <w:r w:rsidRPr="000756C6">
        <w:rPr>
          <w:rFonts w:cs="Arial"/>
          <w:rtl/>
        </w:rPr>
        <w:t xml:space="preserve"> </w:t>
      </w:r>
      <w:r w:rsidRPr="001E5A53">
        <w:rPr>
          <w:rFonts w:hint="cs"/>
          <w:color w:val="E36C0A" w:themeColor="accent6" w:themeShade="BF"/>
          <w:rtl/>
        </w:rPr>
        <w:t>(וכ"פ בשו"ע)</w:t>
      </w:r>
    </w:p>
    <w:p w14:paraId="0EEF98B0" w14:textId="16F55F39" w:rsidR="00392DBB" w:rsidRPr="00E12599" w:rsidRDefault="00392DBB" w:rsidP="009000E3">
      <w:pPr>
        <w:pStyle w:val="ab"/>
        <w:numPr>
          <w:ilvl w:val="0"/>
          <w:numId w:val="61"/>
        </w:numPr>
      </w:pPr>
      <w:r w:rsidRPr="000756C6">
        <w:rPr>
          <w:rFonts w:cs="Arial"/>
          <w:rtl/>
        </w:rPr>
        <w:t xml:space="preserve">ראב"ד </w:t>
      </w:r>
      <w:r>
        <w:rPr>
          <w:rFonts w:cs="Arial" w:hint="cs"/>
          <w:sz w:val="16"/>
          <w:szCs w:val="16"/>
          <w:rtl/>
        </w:rPr>
        <w:t>(בהשגות שם, ושם)</w:t>
      </w:r>
      <w:r>
        <w:rPr>
          <w:rFonts w:cs="Arial" w:hint="cs"/>
          <w:rtl/>
        </w:rPr>
        <w:t xml:space="preserve"> וטור- </w:t>
      </w:r>
      <w:r w:rsidRPr="000756C6">
        <w:rPr>
          <w:rFonts w:cs="Arial"/>
          <w:rtl/>
        </w:rPr>
        <w:t>הערב לאשה בכתובתה</w:t>
      </w:r>
      <w:r>
        <w:rPr>
          <w:rFonts w:cs="Arial" w:hint="cs"/>
          <w:rtl/>
        </w:rPr>
        <w:t xml:space="preserve"> - </w:t>
      </w:r>
      <w:r w:rsidRPr="000756C6">
        <w:rPr>
          <w:rFonts w:cs="Arial"/>
          <w:rtl/>
        </w:rPr>
        <w:t>אינו חייב לשלם</w:t>
      </w:r>
      <w:r w:rsidR="006F2C99">
        <w:rPr>
          <w:rFonts w:cs="Arial" w:hint="cs"/>
          <w:rtl/>
        </w:rPr>
        <w:t>.</w:t>
      </w:r>
      <w:r>
        <w:rPr>
          <w:rFonts w:cs="Arial" w:hint="cs"/>
          <w:rtl/>
        </w:rPr>
        <w:t xml:space="preserve"> בד"א</w:t>
      </w:r>
      <w:r w:rsidR="006F2C99">
        <w:rPr>
          <w:rFonts w:cs="Arial" w:hint="cs"/>
          <w:rtl/>
        </w:rPr>
        <w:t>,</w:t>
      </w:r>
      <w:r>
        <w:rPr>
          <w:rFonts w:cs="Arial" w:hint="cs"/>
          <w:rtl/>
        </w:rPr>
        <w:t xml:space="preserve"> בשלא קנו מידו. הא קנו מידו - חייב</w:t>
      </w:r>
      <w:r>
        <w:rPr>
          <w:rStyle w:val="a7"/>
          <w:rFonts w:cs="Arial"/>
          <w:rtl/>
        </w:rPr>
        <w:footnoteReference w:id="2154"/>
      </w:r>
      <w:r w:rsidRPr="000756C6">
        <w:rPr>
          <w:rFonts w:cs="Arial"/>
          <w:rtl/>
        </w:rPr>
        <w:t xml:space="preserve">. ואם </w:t>
      </w:r>
      <w:r>
        <w:rPr>
          <w:rFonts w:cs="Arial" w:hint="cs"/>
          <w:rtl/>
        </w:rPr>
        <w:t xml:space="preserve">הוא </w:t>
      </w:r>
      <w:r w:rsidRPr="000756C6">
        <w:rPr>
          <w:rFonts w:cs="Arial"/>
          <w:rtl/>
        </w:rPr>
        <w:t xml:space="preserve">ערב של כתובת בנו </w:t>
      </w:r>
      <w:r>
        <w:rPr>
          <w:rFonts w:cs="Arial" w:hint="cs"/>
          <w:rtl/>
        </w:rPr>
        <w:t xml:space="preserve">אע"פ שלא </w:t>
      </w:r>
      <w:r w:rsidRPr="000756C6">
        <w:rPr>
          <w:rFonts w:cs="Arial"/>
          <w:rtl/>
        </w:rPr>
        <w:t>קנו מידו</w:t>
      </w:r>
      <w:r>
        <w:rPr>
          <w:rFonts w:cs="Arial" w:hint="cs"/>
          <w:rtl/>
        </w:rPr>
        <w:t xml:space="preserve"> -</w:t>
      </w:r>
      <w:r w:rsidRPr="000756C6">
        <w:rPr>
          <w:rFonts w:cs="Arial"/>
          <w:rtl/>
        </w:rPr>
        <w:t xml:space="preserve"> חייב לשלם</w:t>
      </w:r>
      <w:r>
        <w:rPr>
          <w:rFonts w:hint="cs"/>
          <w:sz w:val="16"/>
          <w:szCs w:val="16"/>
          <w:rtl/>
        </w:rPr>
        <w:t xml:space="preserve"> (ע"פ דברי הראב"ד)</w:t>
      </w:r>
      <w:r>
        <w:rPr>
          <w:rFonts w:hint="cs"/>
          <w:rtl/>
        </w:rPr>
        <w:t xml:space="preserve">. </w:t>
      </w:r>
      <w:r w:rsidRPr="001E5A53">
        <w:rPr>
          <w:rFonts w:hint="cs"/>
          <w:color w:val="00B0F0"/>
          <w:rtl/>
        </w:rPr>
        <w:t>(וכ"כ הרמ"א)</w:t>
      </w:r>
    </w:p>
    <w:p w14:paraId="18C155E8" w14:textId="77777777" w:rsidR="00392DBB" w:rsidRPr="00E12599" w:rsidRDefault="00392DBB" w:rsidP="00392DBB">
      <w:pPr>
        <w:ind w:left="360"/>
        <w:rPr>
          <w:u w:val="dotted"/>
        </w:rPr>
      </w:pPr>
      <w:r w:rsidRPr="00E12599">
        <w:rPr>
          <w:rFonts w:hint="cs"/>
          <w:u w:val="dotted"/>
          <w:rtl/>
        </w:rPr>
        <w:t>ומה הדין אם הוא ערב קבלן:</w:t>
      </w:r>
    </w:p>
    <w:p w14:paraId="4C096113" w14:textId="46410DEB" w:rsidR="00392DBB" w:rsidRPr="001F3F89" w:rsidRDefault="00392DBB" w:rsidP="009000E3">
      <w:pPr>
        <w:pStyle w:val="ab"/>
        <w:numPr>
          <w:ilvl w:val="0"/>
          <w:numId w:val="61"/>
        </w:numPr>
      </w:pPr>
      <w:r>
        <w:rPr>
          <w:rFonts w:cs="Arial" w:hint="cs"/>
          <w:rtl/>
        </w:rPr>
        <w:t xml:space="preserve">רמב"ם </w:t>
      </w:r>
      <w:r>
        <w:rPr>
          <w:rFonts w:cs="Arial" w:hint="cs"/>
          <w:sz w:val="16"/>
          <w:szCs w:val="16"/>
          <w:rtl/>
        </w:rPr>
        <w:t>(שם, ושם)</w:t>
      </w:r>
      <w:r>
        <w:rPr>
          <w:rFonts w:cs="Arial" w:hint="cs"/>
          <w:rtl/>
        </w:rPr>
        <w:t xml:space="preserve"> וטור</w:t>
      </w:r>
      <w:r>
        <w:rPr>
          <w:rStyle w:val="a7"/>
          <w:rFonts w:cs="Arial"/>
          <w:rtl/>
        </w:rPr>
        <w:footnoteReference w:id="2155"/>
      </w:r>
      <w:r>
        <w:rPr>
          <w:rFonts w:cs="Arial" w:hint="cs"/>
          <w:rtl/>
        </w:rPr>
        <w:t xml:space="preserve">- </w:t>
      </w:r>
      <w:r w:rsidRPr="000756C6">
        <w:rPr>
          <w:rFonts w:cs="Arial"/>
          <w:rtl/>
        </w:rPr>
        <w:t>קבלן של כתובה חייב לשלם אע</w:t>
      </w:r>
      <w:r>
        <w:rPr>
          <w:rFonts w:cs="Arial" w:hint="cs"/>
          <w:rtl/>
        </w:rPr>
        <w:t>"</w:t>
      </w:r>
      <w:r w:rsidRPr="000756C6">
        <w:rPr>
          <w:rFonts w:cs="Arial"/>
          <w:rtl/>
        </w:rPr>
        <w:t>פ שלא קנו מידו</w:t>
      </w:r>
      <w:r>
        <w:rPr>
          <w:rStyle w:val="a7"/>
          <w:rFonts w:cs="Arial"/>
          <w:rtl/>
        </w:rPr>
        <w:footnoteReference w:id="2156"/>
      </w:r>
      <w:r>
        <w:rPr>
          <w:rFonts w:cs="Arial" w:hint="cs"/>
          <w:rtl/>
        </w:rPr>
        <w:t>.</w:t>
      </w:r>
      <w:r w:rsidRPr="000756C6">
        <w:rPr>
          <w:rFonts w:cs="Arial"/>
          <w:rtl/>
        </w:rPr>
        <w:t xml:space="preserve"> ואיזה הוא קבלן, זה שאמר לאשה </w:t>
      </w:r>
      <w:r>
        <w:rPr>
          <w:rFonts w:cs="Arial" w:hint="cs"/>
          <w:rtl/>
        </w:rPr>
        <w:t>'</w:t>
      </w:r>
      <w:r w:rsidRPr="000756C6">
        <w:rPr>
          <w:rFonts w:cs="Arial"/>
          <w:rtl/>
        </w:rPr>
        <w:t>הנשאי לזה ואני נותן כתובה זו</w:t>
      </w:r>
      <w:r>
        <w:rPr>
          <w:rFonts w:cs="Arial" w:hint="cs"/>
          <w:rtl/>
        </w:rPr>
        <w:t>'</w:t>
      </w:r>
      <w:r>
        <w:rPr>
          <w:rStyle w:val="a7"/>
          <w:rFonts w:cs="Arial"/>
          <w:rtl/>
        </w:rPr>
        <w:footnoteReference w:id="2157"/>
      </w:r>
      <w:r>
        <w:rPr>
          <w:rFonts w:cs="Arial" w:hint="cs"/>
          <w:rtl/>
        </w:rPr>
        <w:t>.</w:t>
      </w:r>
      <w:r w:rsidRPr="000756C6">
        <w:rPr>
          <w:rFonts w:cs="Arial"/>
          <w:rtl/>
        </w:rPr>
        <w:t xml:space="preserve"> אבל אם אמר לה </w:t>
      </w:r>
      <w:r>
        <w:rPr>
          <w:rFonts w:cs="Arial" w:hint="cs"/>
          <w:rtl/>
        </w:rPr>
        <w:t>'</w:t>
      </w:r>
      <w:r w:rsidRPr="000756C6">
        <w:rPr>
          <w:rFonts w:cs="Arial"/>
          <w:rtl/>
        </w:rPr>
        <w:t>אני ערב כתובה זו</w:t>
      </w:r>
      <w:r>
        <w:rPr>
          <w:rFonts w:cs="Arial" w:hint="cs"/>
          <w:rtl/>
        </w:rPr>
        <w:t>',</w:t>
      </w:r>
      <w:r w:rsidRPr="000756C6">
        <w:rPr>
          <w:rFonts w:cs="Arial"/>
          <w:rtl/>
        </w:rPr>
        <w:t xml:space="preserve"> </w:t>
      </w:r>
      <w:r>
        <w:rPr>
          <w:rFonts w:cs="Arial" w:hint="cs"/>
          <w:rtl/>
        </w:rPr>
        <w:t>'</w:t>
      </w:r>
      <w:r w:rsidRPr="000756C6">
        <w:rPr>
          <w:rFonts w:cs="Arial"/>
          <w:rtl/>
        </w:rPr>
        <w:t>אני פורע כתובה זו</w:t>
      </w:r>
      <w:r>
        <w:rPr>
          <w:rFonts w:cs="Arial" w:hint="cs"/>
          <w:rtl/>
        </w:rPr>
        <w:t>',</w:t>
      </w:r>
      <w:r w:rsidRPr="000756C6">
        <w:rPr>
          <w:rFonts w:cs="Arial"/>
          <w:rtl/>
        </w:rPr>
        <w:t xml:space="preserve"> </w:t>
      </w:r>
      <w:r>
        <w:rPr>
          <w:rFonts w:cs="Arial" w:hint="cs"/>
          <w:rtl/>
        </w:rPr>
        <w:t>'</w:t>
      </w:r>
      <w:r w:rsidRPr="000756C6">
        <w:rPr>
          <w:rFonts w:cs="Arial"/>
          <w:rtl/>
        </w:rPr>
        <w:t>אני חייב בה</w:t>
      </w:r>
      <w:r>
        <w:rPr>
          <w:rFonts w:cs="Arial" w:hint="cs"/>
          <w:rtl/>
        </w:rPr>
        <w:t>'</w:t>
      </w:r>
      <w:r w:rsidRPr="000756C6">
        <w:rPr>
          <w:rFonts w:cs="Arial"/>
          <w:rtl/>
        </w:rPr>
        <w:t xml:space="preserve"> וכיוצא בזה </w:t>
      </w:r>
      <w:r>
        <w:rPr>
          <w:rFonts w:cs="Arial" w:hint="cs"/>
          <w:rtl/>
        </w:rPr>
        <w:t xml:space="preserve">- </w:t>
      </w:r>
      <w:r w:rsidRPr="000756C6">
        <w:rPr>
          <w:rFonts w:cs="Arial"/>
          <w:rtl/>
        </w:rPr>
        <w:t>פטור אא</w:t>
      </w:r>
      <w:r w:rsidR="006F2C99">
        <w:rPr>
          <w:rFonts w:cs="Arial" w:hint="cs"/>
          <w:rtl/>
        </w:rPr>
        <w:t>"</w:t>
      </w:r>
      <w:r w:rsidRPr="000756C6">
        <w:rPr>
          <w:rFonts w:cs="Arial"/>
          <w:rtl/>
        </w:rPr>
        <w:t>כ היה אביו</w:t>
      </w:r>
      <w:r>
        <w:rPr>
          <w:rFonts w:cs="Arial" w:hint="cs"/>
          <w:sz w:val="16"/>
          <w:szCs w:val="16"/>
          <w:rtl/>
        </w:rPr>
        <w:t xml:space="preserve"> (ל' הרמב"ם בהל' אישות)</w:t>
      </w:r>
      <w:r w:rsidRPr="000756C6">
        <w:rPr>
          <w:rFonts w:cs="Arial"/>
          <w:rtl/>
        </w:rPr>
        <w:t>.</w:t>
      </w:r>
      <w:r w:rsidRPr="001E5A53">
        <w:rPr>
          <w:rFonts w:hint="cs"/>
          <w:color w:val="E36C0A" w:themeColor="accent6" w:themeShade="BF"/>
          <w:rtl/>
        </w:rPr>
        <w:t xml:space="preserve"> (וכ"פ בשו"ע)</w:t>
      </w:r>
    </w:p>
    <w:p w14:paraId="1EDDEDCC" w14:textId="77777777" w:rsidR="00392DBB" w:rsidRPr="001F3F89" w:rsidRDefault="00392DBB" w:rsidP="00392DBB">
      <w:pPr>
        <w:ind w:left="360"/>
        <w:rPr>
          <w:u w:val="dotted"/>
        </w:rPr>
      </w:pPr>
      <w:r>
        <w:rPr>
          <w:rFonts w:hint="cs"/>
          <w:u w:val="dotted"/>
          <w:rtl/>
        </w:rPr>
        <w:lastRenderedPageBreak/>
        <w:t>ומה הדין אם נעשה ערב ל</w:t>
      </w:r>
      <w:r w:rsidRPr="001F3F89">
        <w:rPr>
          <w:rFonts w:hint="cs"/>
          <w:u w:val="dotted"/>
          <w:rtl/>
        </w:rPr>
        <w:t>נדוניא</w:t>
      </w:r>
      <w:r>
        <w:rPr>
          <w:rFonts w:hint="cs"/>
          <w:u w:val="dotted"/>
          <w:rtl/>
        </w:rPr>
        <w:t xml:space="preserve"> שהכניסה היא לבעלה</w:t>
      </w:r>
      <w:r w:rsidRPr="001F3F89">
        <w:rPr>
          <w:rFonts w:hint="cs"/>
          <w:u w:val="dotted"/>
          <w:rtl/>
        </w:rPr>
        <w:t>:</w:t>
      </w:r>
      <w:r w:rsidRPr="00ED06B8">
        <w:rPr>
          <w:rFonts w:cs="Arial" w:hint="cs"/>
          <w:sz w:val="16"/>
          <w:szCs w:val="16"/>
          <w:rtl/>
        </w:rPr>
        <w:t xml:space="preserve"> </w:t>
      </w:r>
      <w:r w:rsidRPr="009203A2">
        <w:rPr>
          <w:rFonts w:cs="Arial" w:hint="cs"/>
          <w:sz w:val="16"/>
          <w:szCs w:val="16"/>
          <w:rtl/>
        </w:rPr>
        <w:t>(</w:t>
      </w:r>
      <w:r>
        <w:rPr>
          <w:rFonts w:cs="Arial" w:hint="cs"/>
          <w:sz w:val="16"/>
          <w:szCs w:val="16"/>
          <w:rtl/>
        </w:rPr>
        <w:t>ב"י [כאן ובחו"מ סי' קכט] ו</w:t>
      </w:r>
      <w:r w:rsidRPr="009203A2">
        <w:rPr>
          <w:rFonts w:cs="Arial" w:hint="cs"/>
          <w:sz w:val="16"/>
          <w:szCs w:val="16"/>
          <w:rtl/>
        </w:rPr>
        <w:t xml:space="preserve">דרכ"מ </w:t>
      </w:r>
      <w:r>
        <w:rPr>
          <w:rFonts w:cs="Arial" w:hint="cs"/>
          <w:sz w:val="16"/>
          <w:szCs w:val="16"/>
          <w:rtl/>
        </w:rPr>
        <w:t>[</w:t>
      </w:r>
      <w:r w:rsidRPr="009203A2">
        <w:rPr>
          <w:rFonts w:cs="Arial" w:hint="cs"/>
          <w:sz w:val="16"/>
          <w:szCs w:val="16"/>
          <w:rtl/>
        </w:rPr>
        <w:t>אות ח</w:t>
      </w:r>
      <w:r>
        <w:rPr>
          <w:rFonts w:cs="Arial" w:hint="cs"/>
          <w:sz w:val="16"/>
          <w:szCs w:val="16"/>
          <w:rtl/>
        </w:rPr>
        <w:t>]</w:t>
      </w:r>
      <w:r w:rsidRPr="009203A2">
        <w:rPr>
          <w:rFonts w:cs="Arial" w:hint="cs"/>
          <w:sz w:val="16"/>
          <w:szCs w:val="16"/>
          <w:rtl/>
        </w:rPr>
        <w:t>)</w:t>
      </w:r>
    </w:p>
    <w:p w14:paraId="42F8610F" w14:textId="7F26E9F7" w:rsidR="00392DBB" w:rsidRDefault="00392DBB" w:rsidP="009000E3">
      <w:pPr>
        <w:pStyle w:val="ab"/>
        <w:numPr>
          <w:ilvl w:val="0"/>
          <w:numId w:val="61"/>
        </w:numPr>
      </w:pPr>
      <w:r>
        <w:rPr>
          <w:rFonts w:hint="cs"/>
          <w:rtl/>
        </w:rPr>
        <w:t>בעל התרומות</w:t>
      </w:r>
      <w:r>
        <w:rPr>
          <w:rStyle w:val="a7"/>
          <w:rFonts w:cs="Arial"/>
          <w:rtl/>
        </w:rPr>
        <w:footnoteReference w:id="2158"/>
      </w:r>
      <w:r>
        <w:rPr>
          <w:rFonts w:cs="Arial" w:hint="cs"/>
          <w:rtl/>
        </w:rPr>
        <w:t xml:space="preserve"> רא"ם ורבותיו</w:t>
      </w:r>
      <w:r>
        <w:rPr>
          <w:rFonts w:cs="Arial" w:hint="cs"/>
          <w:sz w:val="16"/>
          <w:szCs w:val="16"/>
          <w:rtl/>
        </w:rPr>
        <w:t xml:space="preserve"> </w:t>
      </w:r>
      <w:r>
        <w:rPr>
          <w:rFonts w:cs="Arial" w:hint="cs"/>
          <w:rtl/>
        </w:rPr>
        <w:t>ריטב"א</w:t>
      </w:r>
      <w:r w:rsidR="006F2C99">
        <w:rPr>
          <w:rStyle w:val="a7"/>
          <w:rFonts w:cs="Arial"/>
          <w:rtl/>
        </w:rPr>
        <w:footnoteReference w:id="2159"/>
      </w:r>
      <w:r>
        <w:rPr>
          <w:rFonts w:cs="Arial" w:hint="cs"/>
          <w:rtl/>
        </w:rPr>
        <w:t xml:space="preserve"> הה"מ רי"ו ונמוק"י</w:t>
      </w:r>
      <w:r w:rsidR="006F2C99">
        <w:rPr>
          <w:rStyle w:val="a7"/>
          <w:rFonts w:cs="Arial"/>
          <w:rtl/>
        </w:rPr>
        <w:footnoteReference w:id="2160"/>
      </w:r>
      <w:r>
        <w:rPr>
          <w:rFonts w:cs="Arial" w:hint="cs"/>
          <w:rtl/>
        </w:rPr>
        <w:t xml:space="preserve">- </w:t>
      </w:r>
      <w:r w:rsidRPr="001F3F89">
        <w:rPr>
          <w:rFonts w:cs="Arial"/>
          <w:rtl/>
        </w:rPr>
        <w:t>דינים הללו אינם אלא דוקא במנה מאתים שאין בהם חסרון כיס</w:t>
      </w:r>
      <w:r>
        <w:rPr>
          <w:rFonts w:cs="Arial" w:hint="cs"/>
          <w:rtl/>
        </w:rPr>
        <w:t>,</w:t>
      </w:r>
      <w:r w:rsidRPr="001F3F89">
        <w:rPr>
          <w:rFonts w:cs="Arial"/>
          <w:rtl/>
        </w:rPr>
        <w:t xml:space="preserve"> אבל נדוניא הרי היא כחוב דעלמא</w:t>
      </w:r>
      <w:r>
        <w:rPr>
          <w:rFonts w:cs="Arial" w:hint="cs"/>
          <w:rtl/>
        </w:rPr>
        <w:t>.</w:t>
      </w:r>
      <w:r w:rsidRPr="001F3F89">
        <w:rPr>
          <w:rFonts w:cs="Arial"/>
          <w:rtl/>
        </w:rPr>
        <w:t xml:space="preserve"> וכן כתב</w:t>
      </w:r>
      <w:r>
        <w:rPr>
          <w:rFonts w:cs="Arial" w:hint="cs"/>
          <w:rtl/>
        </w:rPr>
        <w:t>ו</w:t>
      </w:r>
      <w:r w:rsidRPr="001F3F89">
        <w:rPr>
          <w:rFonts w:cs="Arial"/>
          <w:rtl/>
        </w:rPr>
        <w:t xml:space="preserve"> ז"ל וכן מורה לשון רבינו ז"ל</w:t>
      </w:r>
      <w:r>
        <w:rPr>
          <w:rFonts w:cs="Arial" w:hint="cs"/>
          <w:sz w:val="16"/>
          <w:szCs w:val="16"/>
          <w:rtl/>
        </w:rPr>
        <w:t xml:space="preserve"> (ל' הה"מ)</w:t>
      </w:r>
      <w:r>
        <w:rPr>
          <w:rFonts w:cs="Arial" w:hint="cs"/>
          <w:rtl/>
        </w:rPr>
        <w:t>.</w:t>
      </w:r>
      <w:r>
        <w:rPr>
          <w:rFonts w:hint="cs"/>
          <w:rtl/>
        </w:rPr>
        <w:t xml:space="preserve">  (וכ"פ ח"מ</w:t>
      </w:r>
      <w:r>
        <w:rPr>
          <w:rFonts w:hint="cs"/>
          <w:sz w:val="16"/>
          <w:szCs w:val="16"/>
          <w:rtl/>
        </w:rPr>
        <w:t xml:space="preserve"> [סקי"ז]</w:t>
      </w:r>
      <w:r w:rsidRPr="00374379">
        <w:rPr>
          <w:rFonts w:hint="cs"/>
          <w:rtl/>
        </w:rPr>
        <w:t xml:space="preserve"> </w:t>
      </w:r>
      <w:r>
        <w:rPr>
          <w:rFonts w:hint="cs"/>
          <w:rtl/>
        </w:rPr>
        <w:t>ב"ש</w:t>
      </w:r>
      <w:r>
        <w:rPr>
          <w:rFonts w:hint="cs"/>
          <w:sz w:val="16"/>
          <w:szCs w:val="16"/>
          <w:rtl/>
        </w:rPr>
        <w:t xml:space="preserve"> [סקי"ט]</w:t>
      </w:r>
      <w:r>
        <w:rPr>
          <w:rFonts w:hint="cs"/>
          <w:rtl/>
        </w:rPr>
        <w:t>)</w:t>
      </w:r>
    </w:p>
    <w:p w14:paraId="4DB04DE5" w14:textId="77777777" w:rsidR="00392DBB" w:rsidRPr="00ED06B8" w:rsidRDefault="00392DBB" w:rsidP="009000E3">
      <w:pPr>
        <w:pStyle w:val="ab"/>
        <w:numPr>
          <w:ilvl w:val="0"/>
          <w:numId w:val="61"/>
        </w:numPr>
        <w:rPr>
          <w:rFonts w:cs="Arial"/>
          <w:rtl/>
        </w:rPr>
      </w:pPr>
      <w:r w:rsidRPr="00C86DD5">
        <w:rPr>
          <w:rFonts w:cs="Arial" w:hint="cs"/>
          <w:rtl/>
        </w:rPr>
        <w:t xml:space="preserve">הגמ"ר </w:t>
      </w:r>
      <w:r w:rsidRPr="00C86DD5">
        <w:rPr>
          <w:rFonts w:cs="Arial" w:hint="cs"/>
          <w:sz w:val="16"/>
          <w:szCs w:val="16"/>
          <w:rtl/>
        </w:rPr>
        <w:t>(</w:t>
      </w:r>
      <w:r w:rsidRPr="00C86DD5">
        <w:rPr>
          <w:rFonts w:cs="Arial"/>
          <w:sz w:val="16"/>
          <w:szCs w:val="16"/>
          <w:rtl/>
        </w:rPr>
        <w:t>גיטין</w:t>
      </w:r>
      <w:r w:rsidRPr="00C86DD5">
        <w:rPr>
          <w:rFonts w:cs="Arial" w:hint="cs"/>
          <w:sz w:val="16"/>
          <w:szCs w:val="16"/>
          <w:rtl/>
        </w:rPr>
        <w:t xml:space="preserve"> </w:t>
      </w:r>
      <w:r w:rsidRPr="00C86DD5">
        <w:rPr>
          <w:rFonts w:cs="Arial"/>
          <w:sz w:val="16"/>
          <w:szCs w:val="16"/>
          <w:rtl/>
        </w:rPr>
        <w:t>סי' תנז)</w:t>
      </w:r>
      <w:r w:rsidRPr="00C86DD5">
        <w:rPr>
          <w:rFonts w:cs="Arial" w:hint="cs"/>
          <w:rtl/>
        </w:rPr>
        <w:t>-</w:t>
      </w:r>
      <w:r w:rsidRPr="00C86DD5">
        <w:rPr>
          <w:rFonts w:cs="Arial"/>
          <w:rtl/>
        </w:rPr>
        <w:t xml:space="preserve"> </w:t>
      </w:r>
      <w:r w:rsidRPr="00723A7B">
        <w:rPr>
          <w:rFonts w:cs="Arial"/>
          <w:rtl/>
        </w:rPr>
        <w:t xml:space="preserve">אותם הנעשים ערבים לנדונית חתנים בשעת הנשואין </w:t>
      </w:r>
      <w:r>
        <w:rPr>
          <w:rFonts w:cs="Arial" w:hint="cs"/>
          <w:rtl/>
        </w:rPr>
        <w:t xml:space="preserve">- </w:t>
      </w:r>
      <w:r w:rsidRPr="00723A7B">
        <w:rPr>
          <w:rFonts w:cs="Arial"/>
          <w:rtl/>
        </w:rPr>
        <w:t>ודאי לא משתעבדי</w:t>
      </w:r>
      <w:r>
        <w:rPr>
          <w:rFonts w:cs="Arial" w:hint="cs"/>
          <w:rtl/>
        </w:rPr>
        <w:t>,</w:t>
      </w:r>
      <w:r w:rsidRPr="00723A7B">
        <w:rPr>
          <w:rFonts w:cs="Arial"/>
          <w:rtl/>
        </w:rPr>
        <w:t xml:space="preserve"> אפילו בקנין</w:t>
      </w:r>
      <w:r>
        <w:rPr>
          <w:rFonts w:cs="Arial" w:hint="cs"/>
          <w:rtl/>
        </w:rPr>
        <w:t>,</w:t>
      </w:r>
      <w:r w:rsidRPr="00723A7B">
        <w:rPr>
          <w:rFonts w:cs="Arial"/>
          <w:rtl/>
        </w:rPr>
        <w:t xml:space="preserve"> ובלבד שלא יהא קבלן</w:t>
      </w:r>
      <w:r>
        <w:rPr>
          <w:rFonts w:cs="Arial" w:hint="cs"/>
          <w:rtl/>
        </w:rPr>
        <w:t>,</w:t>
      </w:r>
      <w:r w:rsidRPr="00723A7B">
        <w:rPr>
          <w:rFonts w:cs="Arial"/>
          <w:rtl/>
        </w:rPr>
        <w:t xml:space="preserve"> דהא איכא הני תרי טעמי</w:t>
      </w:r>
      <w:r>
        <w:rPr>
          <w:rFonts w:cs="Arial" w:hint="cs"/>
          <w:rtl/>
        </w:rPr>
        <w:t>.</w:t>
      </w:r>
      <w:r w:rsidRPr="00723A7B">
        <w:rPr>
          <w:rFonts w:cs="Arial"/>
          <w:rtl/>
        </w:rPr>
        <w:t xml:space="preserve"> משיטת ר"י מפרי"ש ועיין שילהי גט פשוט</w:t>
      </w:r>
      <w:r>
        <w:rPr>
          <w:rStyle w:val="a7"/>
          <w:rFonts w:cs="Arial"/>
          <w:rtl/>
        </w:rPr>
        <w:footnoteReference w:id="2161"/>
      </w:r>
      <w:r w:rsidRPr="00723A7B">
        <w:rPr>
          <w:rFonts w:cs="Arial"/>
          <w:rtl/>
        </w:rPr>
        <w:t xml:space="preserve"> </w:t>
      </w:r>
      <w:r>
        <w:rPr>
          <w:rFonts w:cs="Arial" w:hint="cs"/>
          <w:rtl/>
        </w:rPr>
        <w:t>(</w:t>
      </w:r>
      <w:r w:rsidRPr="00C86DD5">
        <w:rPr>
          <w:rFonts w:cs="Arial"/>
          <w:rtl/>
        </w:rPr>
        <w:t>סי' תרנא)</w:t>
      </w:r>
      <w:r>
        <w:rPr>
          <w:rStyle w:val="a7"/>
          <w:rFonts w:cs="Arial"/>
          <w:rtl/>
        </w:rPr>
        <w:footnoteReference w:id="2162"/>
      </w:r>
      <w:r w:rsidRPr="00ED06B8">
        <w:rPr>
          <w:rFonts w:cs="Arial" w:hint="cs"/>
          <w:rtl/>
        </w:rPr>
        <w:t>.</w:t>
      </w:r>
      <w:r w:rsidRPr="00ED06B8">
        <w:rPr>
          <w:rFonts w:cs="Arial"/>
          <w:rtl/>
        </w:rPr>
        <w:t xml:space="preserve"> </w:t>
      </w:r>
    </w:p>
    <w:p w14:paraId="7FA93509" w14:textId="77777777" w:rsidR="00392DBB" w:rsidRDefault="00392DBB" w:rsidP="00392DBB">
      <w:pPr>
        <w:rPr>
          <w:rFonts w:cs="Arial"/>
          <w:rtl/>
        </w:rPr>
      </w:pPr>
      <w:r w:rsidRPr="009203A2">
        <w:rPr>
          <w:rFonts w:cs="Arial" w:hint="cs"/>
          <w:u w:val="single"/>
          <w:rtl/>
        </w:rPr>
        <w:t>היה ח</w:t>
      </w:r>
      <w:r>
        <w:rPr>
          <w:rFonts w:cs="Arial" w:hint="cs"/>
          <w:u w:val="single"/>
          <w:rtl/>
        </w:rPr>
        <w:t>יי</w:t>
      </w:r>
      <w:r w:rsidRPr="009203A2">
        <w:rPr>
          <w:rFonts w:cs="Arial" w:hint="cs"/>
          <w:u w:val="single"/>
          <w:rtl/>
        </w:rPr>
        <w:t xml:space="preserve">ב </w:t>
      </w:r>
      <w:r>
        <w:rPr>
          <w:rFonts w:cs="Arial" w:hint="cs"/>
          <w:u w:val="single"/>
          <w:rtl/>
        </w:rPr>
        <w:t xml:space="preserve">לחברו </w:t>
      </w:r>
      <w:r w:rsidRPr="009203A2">
        <w:rPr>
          <w:rFonts w:cs="Arial" w:hint="cs"/>
          <w:u w:val="single"/>
          <w:rtl/>
        </w:rPr>
        <w:t>ונשא אשה, ועשה לו אח האשה שטר משכון על ביתו בדמי הנדוניא, ונפטר</w:t>
      </w:r>
      <w:r>
        <w:rPr>
          <w:rFonts w:cs="Arial" w:hint="cs"/>
          <w:u w:val="single"/>
          <w:rtl/>
        </w:rPr>
        <w:t xml:space="preserve"> החייב</w:t>
      </w:r>
      <w:r w:rsidRPr="009203A2">
        <w:rPr>
          <w:rFonts w:cs="Arial" w:hint="cs"/>
          <w:u w:val="single"/>
          <w:rtl/>
        </w:rPr>
        <w:t>:</w:t>
      </w:r>
      <w:r>
        <w:rPr>
          <w:rFonts w:cs="Arial" w:hint="cs"/>
          <w:rtl/>
        </w:rPr>
        <w:t xml:space="preserve"> </w:t>
      </w:r>
      <w:r w:rsidRPr="009203A2">
        <w:rPr>
          <w:rFonts w:cs="Arial" w:hint="cs"/>
          <w:sz w:val="16"/>
          <w:szCs w:val="16"/>
          <w:rtl/>
        </w:rPr>
        <w:t xml:space="preserve">(דרכ"מ אות ז) </w:t>
      </w:r>
    </w:p>
    <w:p w14:paraId="19649B39" w14:textId="76285B68" w:rsidR="00392DBB" w:rsidRPr="00DD456A" w:rsidRDefault="00392DBB" w:rsidP="009000E3">
      <w:pPr>
        <w:pStyle w:val="ab"/>
        <w:numPr>
          <w:ilvl w:val="0"/>
          <w:numId w:val="61"/>
        </w:numPr>
        <w:rPr>
          <w:rFonts w:cs="Arial"/>
          <w:rtl/>
        </w:rPr>
      </w:pPr>
      <w:r w:rsidRPr="00136DD7">
        <w:rPr>
          <w:rFonts w:cs="Arial"/>
          <w:rtl/>
        </w:rPr>
        <w:t xml:space="preserve">רא"ש </w:t>
      </w:r>
      <w:r w:rsidRPr="00136DD7">
        <w:rPr>
          <w:rFonts w:cs="Arial" w:hint="cs"/>
          <w:sz w:val="16"/>
          <w:szCs w:val="16"/>
          <w:rtl/>
        </w:rPr>
        <w:t>(</w:t>
      </w:r>
      <w:r w:rsidRPr="00136DD7">
        <w:rPr>
          <w:rFonts w:cs="Arial"/>
          <w:sz w:val="16"/>
          <w:szCs w:val="16"/>
          <w:rtl/>
        </w:rPr>
        <w:t>כלל לח סי</w:t>
      </w:r>
      <w:r w:rsidRPr="00136DD7">
        <w:rPr>
          <w:rFonts w:cs="Arial" w:hint="cs"/>
          <w:sz w:val="16"/>
          <w:szCs w:val="16"/>
          <w:rtl/>
        </w:rPr>
        <w:t>'</w:t>
      </w:r>
      <w:r w:rsidRPr="00136DD7">
        <w:rPr>
          <w:rFonts w:cs="Arial"/>
          <w:sz w:val="16"/>
          <w:szCs w:val="16"/>
          <w:rtl/>
        </w:rPr>
        <w:t xml:space="preserve"> ב</w:t>
      </w:r>
      <w:r w:rsidRPr="00136DD7">
        <w:rPr>
          <w:rFonts w:cs="Arial" w:hint="cs"/>
          <w:sz w:val="16"/>
          <w:szCs w:val="16"/>
          <w:rtl/>
        </w:rPr>
        <w:t>)</w:t>
      </w:r>
      <w:r w:rsidRPr="00136DD7">
        <w:rPr>
          <w:rFonts w:cs="Arial" w:hint="cs"/>
          <w:rtl/>
        </w:rPr>
        <w:t>-</w:t>
      </w:r>
      <w:r w:rsidRPr="00136DD7">
        <w:rPr>
          <w:rFonts w:cs="Arial"/>
          <w:rtl/>
        </w:rPr>
        <w:t xml:space="preserve"> </w:t>
      </w:r>
      <w:r w:rsidRPr="00DD456A">
        <w:rPr>
          <w:rFonts w:cs="Arial"/>
          <w:rtl/>
        </w:rPr>
        <w:t>שאלה ראובן שנתחזקו לו שטרי חובות על שמעון ואחר כך נשא שמעון אשה ונתחזקה עליו שטר נדוניא ובעת שנשא אשתו זאת עשה לו אחד מגיסיו שטר משכונה על ביתו בדמי הנדוניא שהיה לו לקבל ונשאר שטר המשכון ביד הסופר. לאחר ימים חלה שמעון ובעת חליו צוה לסופר שיתן השטר לאשתו לאחר פטירתו והוא נפטר מתוך חליו ולא נתרפא ממנו ואחר פטירתו נתן הסופר השטר לאלמנה כאשר צוהו. ועתה בא ראובן לתבוע לב"ד שיגבו לו ממשכונה זאת קצת החובות שיש לו על שמעון, והאלמנה טוענת כיון שהשטר</w:t>
      </w:r>
      <w:r>
        <w:rPr>
          <w:rFonts w:cs="Arial" w:hint="cs"/>
          <w:rtl/>
        </w:rPr>
        <w:t xml:space="preserve"> </w:t>
      </w:r>
      <w:r w:rsidRPr="00DD456A">
        <w:rPr>
          <w:rFonts w:cs="Arial"/>
          <w:rtl/>
        </w:rPr>
        <w:t>בא לידי בצואתו קניתי המשכונה אעפ"י שקדמו חובותיך.</w:t>
      </w:r>
      <w:r>
        <w:rPr>
          <w:rFonts w:cs="Arial" w:hint="cs"/>
          <w:rtl/>
        </w:rPr>
        <w:t xml:space="preserve">    </w:t>
      </w:r>
      <w:r w:rsidR="00FE210D">
        <w:rPr>
          <w:rFonts w:cs="Arial"/>
          <w:rtl/>
        </w:rPr>
        <w:t xml:space="preserve">   תשובה:</w:t>
      </w:r>
      <w:r w:rsidRPr="00DD456A">
        <w:rPr>
          <w:rFonts w:cs="Arial"/>
          <w:rtl/>
        </w:rPr>
        <w:t xml:space="preserve"> יראה לי לפסוק דין זה מהא דתניא ביבמות פ' אלמנה לכהן גדול (סו:) המכנסת שום לבעלה אם רצה הבעל למכור לא ימכור משום דקיימא לן כרב יהודה דאמר המכנסת שום לבעלה היא אומרת כלי אני נוטלת והוא אומר דמים אני נותן הדין עמה משום שבח בית אביה. הילכך בנדון זה שפסקה לו נדוניא ולא נתנה לו המעות אלא אחד מגיסיו משכן לו ביתו בדמי הנדוניא והבעל צוה להחזיר שטר המשכונה לאשתו, יראה שראובן שהיה חובו מוקדם לנדונית האשה אינו יכול לגבות חובו מאותה משכנתא.</w:t>
      </w:r>
      <w:r>
        <w:rPr>
          <w:rFonts w:cs="Arial" w:hint="cs"/>
          <w:rtl/>
        </w:rPr>
        <w:t>.</w:t>
      </w:r>
      <w:r w:rsidRPr="00DD456A">
        <w:rPr>
          <w:rFonts w:cs="Arial"/>
          <w:rtl/>
        </w:rPr>
        <w:t>. כללא דמילתא אי חשבת להך קרקע כאלו הכניסתו לבעל בנדוניתה לא חל עליו שעבוד ואי לא חשבת ליה אלא משכון בעלמא כבר נפטר המשכון ופקע השעבוד</w:t>
      </w:r>
      <w:r w:rsidRPr="00DD456A">
        <w:rPr>
          <w:rFonts w:cs="Arial" w:hint="cs"/>
          <w:rtl/>
        </w:rPr>
        <w:t>.</w:t>
      </w:r>
    </w:p>
    <w:p w14:paraId="43A3A469"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7E72DA7" w14:textId="587C1952" w:rsidR="00392DBB" w:rsidRDefault="00392DBB" w:rsidP="00392DBB">
      <w:pPr>
        <w:rPr>
          <w:rFonts w:cs="Arial"/>
          <w:rtl/>
        </w:rPr>
      </w:pPr>
      <w:r w:rsidRPr="000904BE">
        <w:rPr>
          <w:rFonts w:cs="Arial"/>
          <w:rtl/>
        </w:rPr>
        <w:t xml:space="preserve">הערב לאשה בעיקר כתובה או בתוספת, אינו מתחייב אפילו בקנין. והני מילי באשה דעלמא, אבל לכלתו מתחייב בקנין. ואם היה קבלן שאמר לה: הנשאי לזה ואני נותן לך, משתעבד אפילו בלא קנין, אפילו לאשה דעלמא. </w:t>
      </w:r>
      <w:r w:rsidRPr="007A47A7">
        <w:rPr>
          <w:rFonts w:cs="Arial"/>
          <w:sz w:val="18"/>
          <w:szCs w:val="18"/>
          <w:rtl/>
        </w:rPr>
        <w:t>הגה: וי"א דכל ערב משתעבד בקנין, ולכלתו אפי' בלא קנין (ראב"ד</w:t>
      </w:r>
      <w:r>
        <w:rPr>
          <w:rFonts w:cs="Arial" w:hint="cs"/>
          <w:sz w:val="18"/>
          <w:szCs w:val="18"/>
          <w:rtl/>
        </w:rPr>
        <w:t xml:space="preserve"> וטור</w:t>
      </w:r>
      <w:r w:rsidRPr="007A47A7">
        <w:rPr>
          <w:rFonts w:cs="Arial"/>
          <w:sz w:val="18"/>
          <w:szCs w:val="18"/>
          <w:rtl/>
        </w:rPr>
        <w:t>). י"א דערב לחתן בעד הנדוניא הוי כערב לאשה בעד הכתובה (</w:t>
      </w:r>
      <w:r w:rsidR="00927771">
        <w:rPr>
          <w:rFonts w:cs="Arial" w:hint="cs"/>
          <w:sz w:val="18"/>
          <w:szCs w:val="18"/>
          <w:rtl/>
        </w:rPr>
        <w:t>הגמ"ר</w:t>
      </w:r>
      <w:r w:rsidRPr="007A47A7">
        <w:rPr>
          <w:rFonts w:cs="Arial"/>
          <w:sz w:val="18"/>
          <w:szCs w:val="18"/>
          <w:rtl/>
        </w:rPr>
        <w:t>). ויש חולקין ואומרים דערב דנדוניא חייב כשאר ערב (</w:t>
      </w:r>
      <w:r>
        <w:rPr>
          <w:rFonts w:cs="Arial" w:hint="cs"/>
          <w:sz w:val="18"/>
          <w:szCs w:val="18"/>
          <w:rtl/>
        </w:rPr>
        <w:t>רא"ם ובעל התרומות</w:t>
      </w:r>
      <w:r w:rsidRPr="007A47A7">
        <w:rPr>
          <w:rFonts w:cs="Arial"/>
          <w:sz w:val="18"/>
          <w:szCs w:val="18"/>
          <w:rtl/>
        </w:rPr>
        <w:t>). מיהו כל זמן שלא נשאה יכול לחזור בו (</w:t>
      </w:r>
      <w:r>
        <w:rPr>
          <w:rFonts w:cs="Arial" w:hint="cs"/>
          <w:sz w:val="18"/>
          <w:szCs w:val="18"/>
          <w:rtl/>
        </w:rPr>
        <w:t xml:space="preserve">בעל התרומות, </w:t>
      </w:r>
      <w:r w:rsidRPr="007A47A7">
        <w:rPr>
          <w:rFonts w:cs="Arial"/>
          <w:sz w:val="18"/>
          <w:szCs w:val="18"/>
          <w:rtl/>
        </w:rPr>
        <w:t>וכ</w:t>
      </w:r>
      <w:r>
        <w:rPr>
          <w:rFonts w:cs="Arial" w:hint="cs"/>
          <w:sz w:val="18"/>
          <w:szCs w:val="18"/>
          <w:rtl/>
        </w:rPr>
        <w:t xml:space="preserve">"כ </w:t>
      </w:r>
      <w:r w:rsidRPr="007A47A7">
        <w:rPr>
          <w:rFonts w:cs="Arial"/>
          <w:sz w:val="18"/>
          <w:szCs w:val="18"/>
          <w:rtl/>
        </w:rPr>
        <w:t>ב"י בחו</w:t>
      </w:r>
      <w:r>
        <w:rPr>
          <w:rFonts w:cs="Arial" w:hint="cs"/>
          <w:sz w:val="18"/>
          <w:szCs w:val="18"/>
          <w:rtl/>
        </w:rPr>
        <w:t>"מ</w:t>
      </w:r>
      <w:r w:rsidRPr="007A47A7">
        <w:rPr>
          <w:rFonts w:cs="Arial"/>
          <w:sz w:val="18"/>
          <w:szCs w:val="18"/>
          <w:rtl/>
        </w:rPr>
        <w:t xml:space="preserve"> בסי</w:t>
      </w:r>
      <w:r>
        <w:rPr>
          <w:rFonts w:cs="Arial" w:hint="cs"/>
          <w:sz w:val="18"/>
          <w:szCs w:val="18"/>
          <w:rtl/>
        </w:rPr>
        <w:t>'</w:t>
      </w:r>
      <w:r w:rsidRPr="007A47A7">
        <w:rPr>
          <w:rFonts w:cs="Arial"/>
          <w:sz w:val="18"/>
          <w:szCs w:val="18"/>
          <w:rtl/>
        </w:rPr>
        <w:t xml:space="preserve"> קכט).</w:t>
      </w:r>
      <w:r w:rsidRPr="000904BE">
        <w:rPr>
          <w:rFonts w:cs="Arial"/>
          <w:rtl/>
        </w:rPr>
        <w:t xml:space="preserve"> </w:t>
      </w:r>
    </w:p>
    <w:p w14:paraId="7ACF53E1" w14:textId="77777777" w:rsidR="00392DBB" w:rsidRPr="000904BE" w:rsidRDefault="00392DBB" w:rsidP="00392DBB">
      <w:pPr>
        <w:rPr>
          <w:rFonts w:cs="Arial"/>
          <w:rtl/>
        </w:rPr>
      </w:pPr>
    </w:p>
    <w:p w14:paraId="7ED1D472" w14:textId="77777777" w:rsidR="00392DBB" w:rsidRPr="00EF3BAC" w:rsidRDefault="00392DBB" w:rsidP="000F64D0">
      <w:pPr>
        <w:pStyle w:val="2"/>
        <w:rPr>
          <w:rtl/>
        </w:rPr>
      </w:pPr>
      <w:r w:rsidRPr="000904BE">
        <w:rPr>
          <w:rtl/>
        </w:rPr>
        <w:t>סעיף ז</w:t>
      </w:r>
      <w:r>
        <w:rPr>
          <w:rFonts w:hint="cs"/>
          <w:rtl/>
        </w:rPr>
        <w:t>: בעל מדיר את אשתו הנאה לפני שגובה כתובתה מהערב.</w:t>
      </w:r>
    </w:p>
    <w:p w14:paraId="52D02767" w14:textId="0B941C69" w:rsidR="00392DBB" w:rsidRDefault="00392DBB" w:rsidP="00392DBB">
      <w:pPr>
        <w:rPr>
          <w:rtl/>
        </w:rPr>
      </w:pPr>
      <w:r w:rsidRPr="003B0B1D">
        <w:rPr>
          <w:rFonts w:hint="cs"/>
          <w:b/>
          <w:bCs/>
          <w:rtl/>
        </w:rPr>
        <w:t xml:space="preserve">בבא בתרא </w:t>
      </w:r>
      <w:r w:rsidRPr="003B0B1D">
        <w:rPr>
          <w:rFonts w:hint="cs"/>
          <w:b/>
          <w:bCs/>
          <w:sz w:val="16"/>
          <w:szCs w:val="16"/>
          <w:rtl/>
        </w:rPr>
        <w:t>(פ' בתרא)</w:t>
      </w:r>
      <w:r w:rsidRPr="003B0B1D">
        <w:rPr>
          <w:rFonts w:hint="cs"/>
          <w:b/>
          <w:bCs/>
          <w:rtl/>
        </w:rPr>
        <w:t xml:space="preserve"> קע</w:t>
      </w:r>
      <w:r>
        <w:rPr>
          <w:rFonts w:hint="cs"/>
          <w:b/>
          <w:bCs/>
          <w:rtl/>
        </w:rPr>
        <w:t>ג</w:t>
      </w:r>
      <w:r w:rsidR="00927771">
        <w:rPr>
          <w:rStyle w:val="a7"/>
          <w:b/>
          <w:bCs/>
          <w:rtl/>
        </w:rPr>
        <w:footnoteReference w:id="2163"/>
      </w:r>
      <w:r w:rsidRPr="003B0B1D">
        <w:rPr>
          <w:rFonts w:hint="cs"/>
          <w:b/>
          <w:bCs/>
          <w:rtl/>
        </w:rPr>
        <w:t xml:space="preserve"> ע"ב:</w:t>
      </w:r>
      <w:r>
        <w:rPr>
          <w:rFonts w:hint="cs"/>
          <w:rtl/>
        </w:rPr>
        <w:t xml:space="preserve"> </w:t>
      </w:r>
      <w:r w:rsidRPr="003B0B1D">
        <w:rPr>
          <w:rFonts w:cs="Arial" w:hint="cs"/>
          <w:u w:val="double"/>
          <w:rtl/>
        </w:rPr>
        <w:t>מתני'</w:t>
      </w:r>
      <w:r>
        <w:rPr>
          <w:rFonts w:cs="Arial" w:hint="cs"/>
          <w:rtl/>
        </w:rPr>
        <w:t xml:space="preserve">:... </w:t>
      </w:r>
      <w:r w:rsidRPr="003B0B1D">
        <w:rPr>
          <w:rFonts w:cs="Arial"/>
          <w:u w:val="single"/>
          <w:rtl/>
        </w:rPr>
        <w:t>וכן היה רבן שמעון בן גמליאל אומר</w:t>
      </w:r>
      <w:r w:rsidRPr="003B0B1D">
        <w:rPr>
          <w:rFonts w:cs="Arial"/>
          <w:rtl/>
        </w:rPr>
        <w:t>: הערב לאשה בכתובתה, והיה בעלה מגרשה - ידירנה</w:t>
      </w:r>
      <w:r>
        <w:rPr>
          <w:rStyle w:val="a7"/>
          <w:rFonts w:cs="Arial"/>
          <w:rtl/>
        </w:rPr>
        <w:footnoteReference w:id="2164"/>
      </w:r>
      <w:r w:rsidRPr="003B0B1D">
        <w:rPr>
          <w:rFonts w:cs="Arial"/>
          <w:rtl/>
        </w:rPr>
        <w:t xml:space="preserve"> הנאה, שמא יעשו קנוניא על נכסים של זה ויחזיר את אשתו. </w:t>
      </w:r>
      <w:r>
        <w:rPr>
          <w:rFonts w:cs="Arial" w:hint="cs"/>
          <w:rtl/>
        </w:rPr>
        <w:t xml:space="preserve">        </w:t>
      </w:r>
      <w:r w:rsidRPr="003B0B1D">
        <w:rPr>
          <w:rFonts w:cs="Arial" w:hint="cs"/>
          <w:u w:val="double"/>
          <w:rtl/>
        </w:rPr>
        <w:t>גמ'</w:t>
      </w:r>
      <w:r>
        <w:rPr>
          <w:rFonts w:cs="Arial" w:hint="cs"/>
          <w:u w:val="double"/>
          <w:rtl/>
        </w:rPr>
        <w:t xml:space="preserve"> </w:t>
      </w:r>
      <w:r w:rsidRPr="003B0B1D">
        <w:rPr>
          <w:rFonts w:cs="Arial" w:hint="cs"/>
          <w:sz w:val="14"/>
          <w:szCs w:val="14"/>
          <w:u w:val="double"/>
          <w:rtl/>
        </w:rPr>
        <w:t>(קעד:)</w:t>
      </w:r>
      <w:r w:rsidRPr="003B0B1D">
        <w:rPr>
          <w:rFonts w:cs="Arial" w:hint="cs"/>
          <w:u w:val="double"/>
          <w:rtl/>
        </w:rPr>
        <w:t>:</w:t>
      </w:r>
      <w:r>
        <w:rPr>
          <w:rFonts w:cs="Arial" w:hint="cs"/>
          <w:rtl/>
        </w:rPr>
        <w:t xml:space="preserve"> </w:t>
      </w:r>
      <w:r>
        <w:rPr>
          <w:rFonts w:cs="Arial"/>
          <w:rtl/>
        </w:rPr>
        <w:t xml:space="preserve">וכן היה רשב"ג אומר: </w:t>
      </w:r>
      <w:r>
        <w:rPr>
          <w:rFonts w:cs="Arial"/>
          <w:rtl/>
        </w:rPr>
        <w:lastRenderedPageBreak/>
        <w:t>הערב לאשה בכתובתה וכו'. משה בר עצרי ערבא דכתובתה דכלתיה הוה, רב הונא בריה צורבא מדרבנן הוה ודחיקא ליה מילתא</w:t>
      </w:r>
      <w:r>
        <w:rPr>
          <w:rFonts w:cs="Arial" w:hint="cs"/>
          <w:rtl/>
        </w:rPr>
        <w:t>.</w:t>
      </w:r>
      <w:r>
        <w:rPr>
          <w:rFonts w:cs="Arial"/>
          <w:rtl/>
        </w:rPr>
        <w:t xml:space="preserve"> </w:t>
      </w:r>
      <w:r w:rsidRPr="003B0B1D">
        <w:rPr>
          <w:rFonts w:cs="Arial"/>
          <w:u w:val="single"/>
          <w:rtl/>
        </w:rPr>
        <w:t>אמר אביי</w:t>
      </w:r>
      <w:r>
        <w:rPr>
          <w:rFonts w:cs="Arial"/>
          <w:rtl/>
        </w:rPr>
        <w:t xml:space="preserve">: ליכא דניזיל דנסביה עצה לרב הונא, דנגרשה לדביתהו ותיזיל ותגבי כתובה מאבוה, והדר נהדרה? </w:t>
      </w:r>
      <w:r w:rsidRPr="003B0B1D">
        <w:rPr>
          <w:rFonts w:cs="Arial"/>
          <w:u w:val="single"/>
          <w:rtl/>
        </w:rPr>
        <w:t>א"ל רבא</w:t>
      </w:r>
      <w:r>
        <w:rPr>
          <w:rFonts w:cs="Arial"/>
          <w:rtl/>
        </w:rPr>
        <w:t xml:space="preserve">: והא ידירנה הנאה תנן! </w:t>
      </w:r>
      <w:r w:rsidRPr="003B0B1D">
        <w:rPr>
          <w:rFonts w:cs="Arial"/>
          <w:u w:val="single"/>
          <w:rtl/>
        </w:rPr>
        <w:t>א"ל אביי</w:t>
      </w:r>
      <w:r>
        <w:rPr>
          <w:rFonts w:cs="Arial"/>
          <w:rtl/>
        </w:rPr>
        <w:t xml:space="preserve">: אטו כל דמגרש - בבי דינא מגרש? לסוף איגלאי מילתא דכהן הוא. </w:t>
      </w:r>
      <w:r w:rsidRPr="003B0B1D">
        <w:rPr>
          <w:rFonts w:cs="Arial"/>
          <w:u w:val="single"/>
          <w:rtl/>
        </w:rPr>
        <w:t>אמר אביי</w:t>
      </w:r>
      <w:r>
        <w:rPr>
          <w:rFonts w:cs="Arial" w:hint="cs"/>
          <w:rtl/>
        </w:rPr>
        <w:t>:</w:t>
      </w:r>
      <w:r>
        <w:rPr>
          <w:rFonts w:cs="Arial"/>
          <w:rtl/>
        </w:rPr>
        <w:t xml:space="preserve"> היינו דאמרי אינשי</w:t>
      </w:r>
      <w:r>
        <w:rPr>
          <w:rFonts w:cs="Arial" w:hint="cs"/>
          <w:rtl/>
        </w:rPr>
        <w:t>,</w:t>
      </w:r>
      <w:r>
        <w:rPr>
          <w:rFonts w:cs="Arial"/>
          <w:rtl/>
        </w:rPr>
        <w:t xml:space="preserve"> בתר עניא אזלא עניותא. ומי אמר אביי הכי? והא אמר אביי: איזהו רשע ערום? זה המשיא עצה למכור בנכסי' כרשב"ג! בנו שאני, וצורבא מרבנן שאני. והא ערב הוא, וקיימא לן: ערב דכתובה לא משתעבד! קבלן הוה. הניחא למ"ד: קבלן דכתובה אף על גב דלית ליה נכסי לבעל משתעבד - שפיר, אלא למאן דאמר: אי אית ליה משתעבד, אי לית ליה לא משתעבד - מאי איכא למימר? איבעית אימא: מיהוי הוה ליה ואישתדוף. ואיבעית אימא: אבא לגבי בריה שעבודי משעבד נפשיה</w:t>
      </w:r>
      <w:r>
        <w:rPr>
          <w:rStyle w:val="a7"/>
          <w:rFonts w:cs="Arial"/>
          <w:rtl/>
        </w:rPr>
        <w:footnoteReference w:id="2165"/>
      </w:r>
      <w:r>
        <w:rPr>
          <w:rFonts w:cs="Arial"/>
          <w:rtl/>
        </w:rPr>
        <w:t>, דאיתמר: ערב דכתובה - דברי הכל לא משתעבד, קבלן דבעל חוב - דברי הכל משתעבד, קבלן דכתובה וערב דבעל חוב - פליגי, מר סבר: אי אית ליה נכסי ללוה - משתעבד, אי לית ליה - לא משתעבד</w:t>
      </w:r>
      <w:r>
        <w:rPr>
          <w:rStyle w:val="a7"/>
          <w:rFonts w:cs="Arial"/>
          <w:rtl/>
        </w:rPr>
        <w:footnoteReference w:id="2166"/>
      </w:r>
      <w:r>
        <w:rPr>
          <w:rFonts w:cs="Arial" w:hint="cs"/>
          <w:rtl/>
        </w:rPr>
        <w:t>,</w:t>
      </w:r>
      <w:r>
        <w:rPr>
          <w:rFonts w:cs="Arial"/>
          <w:rtl/>
        </w:rPr>
        <w:t xml:space="preserve"> ומר סבר: בין אית ליה ובין לית ליה - משתעבד. והלכתא: ערב, בין אית ליה ובין לית ליה - משתעבד</w:t>
      </w:r>
      <w:r>
        <w:rPr>
          <w:rStyle w:val="a7"/>
          <w:rFonts w:cs="Arial"/>
          <w:rtl/>
        </w:rPr>
        <w:footnoteReference w:id="2167"/>
      </w:r>
      <w:r>
        <w:rPr>
          <w:rFonts w:cs="Arial"/>
          <w:rtl/>
        </w:rPr>
        <w:t>, בר מערב דכתובה, דאע"ג דאית ליה לבעל - לא משתעבד, מאי טעמא? מצוה הוא דעבד</w:t>
      </w:r>
      <w:r>
        <w:rPr>
          <w:rStyle w:val="a7"/>
          <w:rFonts w:cs="Arial"/>
          <w:rtl/>
        </w:rPr>
        <w:footnoteReference w:id="2168"/>
      </w:r>
      <w:r>
        <w:rPr>
          <w:rFonts w:cs="Arial"/>
          <w:rtl/>
        </w:rPr>
        <w:t xml:space="preserve"> ולאו מידי חסרה</w:t>
      </w:r>
      <w:r>
        <w:rPr>
          <w:rFonts w:hint="cs"/>
          <w:rtl/>
        </w:rPr>
        <w:t>.</w:t>
      </w:r>
    </w:p>
    <w:p w14:paraId="16847C5A" w14:textId="77777777" w:rsidR="00392DBB" w:rsidRPr="00B90205" w:rsidRDefault="00392DBB" w:rsidP="00392DBB">
      <w:pPr>
        <w:rPr>
          <w:u w:val="single"/>
          <w:rtl/>
        </w:rPr>
      </w:pPr>
      <w:r w:rsidRPr="00E92556">
        <w:rPr>
          <w:rFonts w:hint="cs"/>
          <w:u w:val="single"/>
          <w:rtl/>
        </w:rPr>
        <w:t>ערב לכתובת אשה יכול לחייב את הבעל להדיר את אשתו הנאה לפני שגובה כתובתה</w:t>
      </w:r>
      <w:r w:rsidRPr="00B90205">
        <w:rPr>
          <w:rFonts w:hint="cs"/>
          <w:u w:val="single"/>
          <w:rtl/>
        </w:rPr>
        <w:t>:</w:t>
      </w:r>
    </w:p>
    <w:p w14:paraId="73A34BAE" w14:textId="764A7A4F" w:rsidR="00392DBB" w:rsidRPr="00B90205" w:rsidRDefault="00392DBB" w:rsidP="009000E3">
      <w:pPr>
        <w:pStyle w:val="ab"/>
        <w:numPr>
          <w:ilvl w:val="0"/>
          <w:numId w:val="61"/>
        </w:numPr>
      </w:pPr>
      <w:r>
        <w:rPr>
          <w:rFonts w:cs="Arial" w:hint="cs"/>
          <w:rtl/>
        </w:rPr>
        <w:t xml:space="preserve">רמב"ם </w:t>
      </w:r>
      <w:r>
        <w:rPr>
          <w:rFonts w:cs="Arial" w:hint="cs"/>
          <w:sz w:val="16"/>
          <w:szCs w:val="16"/>
          <w:rtl/>
        </w:rPr>
        <w:t>(פי"ז מאישות ה"ט)</w:t>
      </w:r>
      <w:r>
        <w:rPr>
          <w:rFonts w:cs="Arial" w:hint="cs"/>
          <w:rtl/>
        </w:rPr>
        <w:t xml:space="preserve"> וטור- </w:t>
      </w:r>
      <w:r w:rsidRPr="00A167C1">
        <w:rPr>
          <w:rFonts w:cs="Arial"/>
          <w:rtl/>
        </w:rPr>
        <w:t>הערב לאשה בכתובתה</w:t>
      </w:r>
      <w:r>
        <w:rPr>
          <w:rFonts w:cs="Arial" w:hint="cs"/>
          <w:rtl/>
        </w:rPr>
        <w:t>,</w:t>
      </w:r>
      <w:r w:rsidRPr="00A167C1">
        <w:rPr>
          <w:rFonts w:cs="Arial"/>
          <w:rtl/>
        </w:rPr>
        <w:t xml:space="preserve"> וגירשה בעלה</w:t>
      </w:r>
      <w:r>
        <w:rPr>
          <w:rFonts w:cs="Arial" w:hint="cs"/>
          <w:rtl/>
        </w:rPr>
        <w:t>,</w:t>
      </w:r>
      <w:r w:rsidRPr="00A167C1">
        <w:rPr>
          <w:rFonts w:cs="Arial"/>
          <w:rtl/>
        </w:rPr>
        <w:t xml:space="preserve"> ואין לו נכסים לבעלה לפורעה</w:t>
      </w:r>
      <w:r>
        <w:rPr>
          <w:rFonts w:cs="Arial" w:hint="cs"/>
          <w:rtl/>
        </w:rPr>
        <w:t>,</w:t>
      </w:r>
      <w:r w:rsidRPr="00A167C1">
        <w:rPr>
          <w:rFonts w:cs="Arial"/>
          <w:rtl/>
        </w:rPr>
        <w:t xml:space="preserve"> ותובעת כתובתה מן הערב </w:t>
      </w:r>
      <w:r>
        <w:rPr>
          <w:rFonts w:cs="Arial" w:hint="cs"/>
          <w:rtl/>
        </w:rPr>
        <w:t xml:space="preserve">- </w:t>
      </w:r>
      <w:r w:rsidRPr="00A167C1">
        <w:rPr>
          <w:rFonts w:cs="Arial"/>
          <w:rtl/>
        </w:rPr>
        <w:t>לא יתן לה אא"כ ידירנה בעלה הנאה על דעת רבים</w:t>
      </w:r>
      <w:r>
        <w:rPr>
          <w:rFonts w:cs="Arial" w:hint="cs"/>
          <w:rtl/>
        </w:rPr>
        <w:t>,</w:t>
      </w:r>
      <w:r w:rsidRPr="00A167C1">
        <w:rPr>
          <w:rFonts w:cs="Arial"/>
          <w:rtl/>
        </w:rPr>
        <w:t xml:space="preserve"> שאין לה התרה</w:t>
      </w:r>
      <w:r>
        <w:rPr>
          <w:rFonts w:cs="Arial" w:hint="cs"/>
          <w:rtl/>
        </w:rPr>
        <w:t>,</w:t>
      </w:r>
      <w:r w:rsidRPr="00A167C1">
        <w:rPr>
          <w:rFonts w:cs="Arial"/>
          <w:rtl/>
        </w:rPr>
        <w:t xml:space="preserve"> שלא יחזירנה</w:t>
      </w:r>
      <w:r>
        <w:rPr>
          <w:rFonts w:cs="Arial" w:hint="cs"/>
          <w:rtl/>
        </w:rPr>
        <w:t>,</w:t>
      </w:r>
      <w:r w:rsidRPr="00A167C1">
        <w:rPr>
          <w:rFonts w:cs="Arial"/>
          <w:rtl/>
        </w:rPr>
        <w:t xml:space="preserve"> שלא יעשו קנוניא עליו שיגרשנה כדי שתגבה כתובתה מהערב ויחזירנה אח"כ</w:t>
      </w:r>
      <w:r>
        <w:rPr>
          <w:rFonts w:cs="Arial" w:hint="cs"/>
          <w:rtl/>
        </w:rPr>
        <w:t>.</w:t>
      </w:r>
      <w:r w:rsidRPr="00A167C1">
        <w:rPr>
          <w:rFonts w:cs="Arial"/>
          <w:rtl/>
        </w:rPr>
        <w:t xml:space="preserve"> ואפי' לא הדירה בשעת הגירושין</w:t>
      </w:r>
      <w:r>
        <w:rPr>
          <w:rFonts w:cs="Arial" w:hint="cs"/>
          <w:rtl/>
        </w:rPr>
        <w:t>,</w:t>
      </w:r>
      <w:r w:rsidRPr="00A167C1">
        <w:rPr>
          <w:rFonts w:cs="Arial"/>
          <w:rtl/>
        </w:rPr>
        <w:t xml:space="preserve"> ידירנה אח"כ כשתתבענו הכתובה</w:t>
      </w:r>
      <w:r>
        <w:rPr>
          <w:rFonts w:cs="Arial" w:hint="cs"/>
          <w:sz w:val="16"/>
          <w:szCs w:val="16"/>
          <w:rtl/>
        </w:rPr>
        <w:t xml:space="preserve"> (ל' הטור)</w:t>
      </w:r>
      <w:r>
        <w:rPr>
          <w:rFonts w:cs="Arial" w:hint="cs"/>
          <w:rtl/>
        </w:rPr>
        <w:t>.</w:t>
      </w:r>
      <w:r w:rsidR="00B471A0" w:rsidRPr="001E5A53">
        <w:rPr>
          <w:rFonts w:hint="cs"/>
          <w:color w:val="E36C0A" w:themeColor="accent6" w:themeShade="BF"/>
          <w:rtl/>
        </w:rPr>
        <w:t xml:space="preserve"> (וכ"פ בשו"ע)</w:t>
      </w:r>
    </w:p>
    <w:p w14:paraId="5A9B3AE2" w14:textId="77777777" w:rsidR="00392DBB" w:rsidRPr="00B90205" w:rsidRDefault="00392DBB" w:rsidP="00392DBB">
      <w:pPr>
        <w:ind w:left="360"/>
        <w:rPr>
          <w:u w:val="dotted"/>
        </w:rPr>
      </w:pPr>
      <w:r w:rsidRPr="00B90205">
        <w:rPr>
          <w:rFonts w:hint="cs"/>
          <w:u w:val="dotted"/>
          <w:rtl/>
        </w:rPr>
        <w:t xml:space="preserve">האם </w:t>
      </w:r>
      <w:r>
        <w:rPr>
          <w:rFonts w:hint="cs"/>
          <w:u w:val="dotted"/>
          <w:rtl/>
        </w:rPr>
        <w:t xml:space="preserve">צריך להדירה הנראה גם כשבאה לגבות את </w:t>
      </w:r>
      <w:r w:rsidRPr="00B90205">
        <w:rPr>
          <w:rFonts w:hint="cs"/>
          <w:u w:val="dotted"/>
          <w:rtl/>
        </w:rPr>
        <w:t>הנדוניא:</w:t>
      </w:r>
    </w:p>
    <w:p w14:paraId="102EE6DE" w14:textId="6694F848" w:rsidR="00392DBB" w:rsidRPr="00EF3BAC" w:rsidRDefault="00392DBB" w:rsidP="009000E3">
      <w:pPr>
        <w:pStyle w:val="ab"/>
        <w:numPr>
          <w:ilvl w:val="0"/>
          <w:numId w:val="61"/>
        </w:numPr>
      </w:pPr>
      <w:r>
        <w:rPr>
          <w:rFonts w:cs="Arial" w:hint="cs"/>
          <w:rtl/>
        </w:rPr>
        <w:t xml:space="preserve">הה"מ </w:t>
      </w:r>
      <w:r w:rsidRPr="00B90205">
        <w:rPr>
          <w:rFonts w:cs="Arial" w:hint="cs"/>
          <w:sz w:val="16"/>
          <w:szCs w:val="16"/>
          <w:rtl/>
        </w:rPr>
        <w:t>(פ</w:t>
      </w:r>
      <w:r w:rsidRPr="00B90205">
        <w:rPr>
          <w:rFonts w:cs="Arial"/>
          <w:sz w:val="16"/>
          <w:szCs w:val="16"/>
          <w:rtl/>
        </w:rPr>
        <w:t>י"ז מאישות ה"י)</w:t>
      </w:r>
      <w:r>
        <w:rPr>
          <w:rFonts w:cs="Arial" w:hint="cs"/>
          <w:rtl/>
        </w:rPr>
        <w:t>-</w:t>
      </w:r>
      <w:r>
        <w:rPr>
          <w:rFonts w:cs="Arial"/>
          <w:rtl/>
        </w:rPr>
        <w:t xml:space="preserve"> נ"ל שדין זה אפילו בנדוניא</w:t>
      </w:r>
      <w:r w:rsidR="00B471A0">
        <w:rPr>
          <w:rFonts w:cs="Arial" w:hint="cs"/>
          <w:rtl/>
        </w:rPr>
        <w:t>,</w:t>
      </w:r>
      <w:r>
        <w:rPr>
          <w:rFonts w:cs="Arial"/>
          <w:rtl/>
        </w:rPr>
        <w:t xml:space="preserve"> שהרי מפני חשש קנוניא הוא</w:t>
      </w:r>
      <w:r w:rsidR="00B471A0">
        <w:rPr>
          <w:rFonts w:cs="Arial" w:hint="cs"/>
          <w:rtl/>
        </w:rPr>
        <w:t>.</w:t>
      </w:r>
      <w:r>
        <w:rPr>
          <w:rFonts w:cs="Arial"/>
          <w:rtl/>
        </w:rPr>
        <w:t xml:space="preserve"> אבל מלשון הגמרא שאמרו בפרק שום היתומים (שם:</w:t>
      </w:r>
      <w:r w:rsidR="00B471A0">
        <w:rPr>
          <w:rFonts w:cs="Arial" w:hint="cs"/>
          <w:rtl/>
        </w:rPr>
        <w:t>, וכן בב"ב שם</w:t>
      </w:r>
      <w:r>
        <w:rPr>
          <w:rFonts w:cs="Arial"/>
          <w:rtl/>
        </w:rPr>
        <w:t>) ערב נמי מצוה עביד ולא מידי חסרה משמע דדוקא בעיקר הכתובה ותוספת שהוא כעיקר אבל בנכסי צאן ברזל לא</w:t>
      </w:r>
      <w:r>
        <w:rPr>
          <w:rFonts w:cs="Arial" w:hint="cs"/>
          <w:rtl/>
        </w:rPr>
        <w:t>,</w:t>
      </w:r>
      <w:r>
        <w:rPr>
          <w:rFonts w:cs="Arial"/>
          <w:rtl/>
        </w:rPr>
        <w:t xml:space="preserve"> וצ"ע</w:t>
      </w:r>
      <w:r>
        <w:rPr>
          <w:rFonts w:cs="Arial" w:hint="cs"/>
          <w:rtl/>
        </w:rPr>
        <w:t>.</w:t>
      </w:r>
    </w:p>
    <w:p w14:paraId="725B824D" w14:textId="77777777" w:rsidR="00392DBB" w:rsidRPr="00EF3BAC" w:rsidRDefault="00392DBB" w:rsidP="00392DBB">
      <w:pPr>
        <w:rPr>
          <w:u w:val="single"/>
        </w:rPr>
      </w:pPr>
      <w:r w:rsidRPr="00EF3BAC">
        <w:rPr>
          <w:rFonts w:hint="cs"/>
          <w:u w:val="single"/>
          <w:rtl/>
        </w:rPr>
        <w:t>האם מותר להשיא אדם עצה לגרש את אשתו ולהחזירה, כדי שהערב ישלם לה כתובתה:</w:t>
      </w:r>
    </w:p>
    <w:p w14:paraId="3BA2B1E5" w14:textId="22430EAE" w:rsidR="00392DBB" w:rsidRDefault="00392DBB" w:rsidP="009000E3">
      <w:pPr>
        <w:pStyle w:val="ab"/>
        <w:numPr>
          <w:ilvl w:val="0"/>
          <w:numId w:val="61"/>
        </w:numPr>
      </w:pPr>
      <w:r>
        <w:rPr>
          <w:rFonts w:cs="Arial" w:hint="cs"/>
          <w:rtl/>
        </w:rPr>
        <w:t xml:space="preserve">טור- </w:t>
      </w:r>
      <w:r w:rsidRPr="00A167C1">
        <w:rPr>
          <w:rFonts w:cs="Arial"/>
          <w:rtl/>
        </w:rPr>
        <w:t>ואסור לאדם שישיאנה עצה שיגרשנה כדי שתגבה הכתובה מהערב</w:t>
      </w:r>
      <w:r>
        <w:rPr>
          <w:rFonts w:cs="Arial" w:hint="cs"/>
          <w:rtl/>
        </w:rPr>
        <w:t>,</w:t>
      </w:r>
      <w:r w:rsidRPr="00A167C1">
        <w:rPr>
          <w:rFonts w:cs="Arial"/>
          <w:rtl/>
        </w:rPr>
        <w:t xml:space="preserve"> דשמא לא ידירנה הנאה</w:t>
      </w:r>
      <w:r>
        <w:rPr>
          <w:rFonts w:cs="Arial" w:hint="cs"/>
          <w:rtl/>
        </w:rPr>
        <w:t>.</w:t>
      </w:r>
      <w:r w:rsidRPr="00A167C1">
        <w:rPr>
          <w:rFonts w:cs="Arial"/>
          <w:rtl/>
        </w:rPr>
        <w:t xml:space="preserve"> מיהו אם האב ערב לכלתו כנגד בנו</w:t>
      </w:r>
      <w:r>
        <w:rPr>
          <w:rFonts w:cs="Arial" w:hint="cs"/>
          <w:rtl/>
        </w:rPr>
        <w:t>,</w:t>
      </w:r>
      <w:r w:rsidRPr="00A167C1">
        <w:rPr>
          <w:rFonts w:cs="Arial"/>
          <w:rtl/>
        </w:rPr>
        <w:t xml:space="preserve"> והבן ת"ח והשעה דחוקה לו ואין האב מהנהו מנכסיו </w:t>
      </w:r>
      <w:r>
        <w:rPr>
          <w:rFonts w:cs="Arial" w:hint="cs"/>
          <w:rtl/>
        </w:rPr>
        <w:t xml:space="preserve">- </w:t>
      </w:r>
      <w:r w:rsidRPr="00A167C1">
        <w:rPr>
          <w:rFonts w:cs="Arial"/>
          <w:rtl/>
        </w:rPr>
        <w:t>מותר להשיאו עצה לגרש כדי לגבות הכתובה מהאב</w:t>
      </w:r>
      <w:r>
        <w:rPr>
          <w:rFonts w:cs="Arial" w:hint="cs"/>
          <w:rtl/>
        </w:rPr>
        <w:t>.</w:t>
      </w:r>
      <w:r w:rsidR="00B471A0" w:rsidRPr="001E5A53">
        <w:rPr>
          <w:rFonts w:hint="cs"/>
          <w:color w:val="E36C0A" w:themeColor="accent6" w:themeShade="BF"/>
          <w:rtl/>
        </w:rPr>
        <w:t xml:space="preserve"> (וכ"פ בשו"ע)</w:t>
      </w:r>
    </w:p>
    <w:p w14:paraId="6B8F63A6" w14:textId="722327C8" w:rsidR="00392DBB" w:rsidRDefault="00392DBB" w:rsidP="00392DBB">
      <w:pPr>
        <w:rPr>
          <w:rFonts w:cs="Arial"/>
          <w:rtl/>
        </w:rPr>
      </w:pPr>
      <w:r w:rsidRPr="009203A2">
        <w:rPr>
          <w:rFonts w:cs="Arial" w:hint="cs"/>
          <w:u w:val="single"/>
          <w:rtl/>
        </w:rPr>
        <w:t>אחד שנ</w:t>
      </w:r>
      <w:r>
        <w:rPr>
          <w:rFonts w:cs="Arial" w:hint="cs"/>
          <w:u w:val="single"/>
          <w:rtl/>
        </w:rPr>
        <w:t xml:space="preserve">עשה </w:t>
      </w:r>
      <w:r w:rsidRPr="009203A2">
        <w:rPr>
          <w:rFonts w:cs="Arial" w:hint="cs"/>
          <w:u w:val="single"/>
          <w:rtl/>
        </w:rPr>
        <w:t xml:space="preserve">ערב לכלתו, וכתב שכל זמן שיתבעוהו שניהם חייב לשלם, ומת בנו </w:t>
      </w:r>
      <w:r w:rsidR="00F97626">
        <w:rPr>
          <w:rFonts w:cs="Arial"/>
          <w:u w:val="single"/>
          <w:rtl/>
        </w:rPr>
        <w:t>-</w:t>
      </w:r>
      <w:r w:rsidRPr="009203A2">
        <w:rPr>
          <w:rFonts w:cs="Arial" w:hint="cs"/>
          <w:u w:val="single"/>
          <w:rtl/>
        </w:rPr>
        <w:t xml:space="preserve"> האם אשתו גובה:</w:t>
      </w:r>
      <w:r>
        <w:rPr>
          <w:rFonts w:cs="Arial" w:hint="cs"/>
          <w:rtl/>
        </w:rPr>
        <w:t xml:space="preserve"> </w:t>
      </w:r>
      <w:r w:rsidRPr="009203A2">
        <w:rPr>
          <w:rFonts w:cs="Arial" w:hint="cs"/>
          <w:sz w:val="16"/>
          <w:szCs w:val="16"/>
          <w:rtl/>
        </w:rPr>
        <w:t>(דרכ"מ אות ח)</w:t>
      </w:r>
    </w:p>
    <w:p w14:paraId="76EEBFC0" w14:textId="789FDE9A" w:rsidR="00392DBB" w:rsidRPr="001E2D2F" w:rsidRDefault="00392DBB" w:rsidP="009000E3">
      <w:pPr>
        <w:pStyle w:val="ab"/>
        <w:numPr>
          <w:ilvl w:val="0"/>
          <w:numId w:val="61"/>
        </w:numPr>
        <w:rPr>
          <w:rFonts w:cs="Arial"/>
          <w:rtl/>
        </w:rPr>
      </w:pPr>
      <w:r w:rsidRPr="009203A2">
        <w:rPr>
          <w:rFonts w:cs="Arial"/>
          <w:rtl/>
        </w:rPr>
        <w:t xml:space="preserve">ריב"ש </w:t>
      </w:r>
      <w:r w:rsidRPr="009203A2">
        <w:rPr>
          <w:rFonts w:cs="Arial" w:hint="cs"/>
          <w:sz w:val="16"/>
          <w:szCs w:val="16"/>
          <w:rtl/>
        </w:rPr>
        <w:t>(סי' תפא)</w:t>
      </w:r>
      <w:r w:rsidRPr="009203A2">
        <w:rPr>
          <w:rFonts w:cs="Arial" w:hint="cs"/>
          <w:rtl/>
        </w:rPr>
        <w:t>-</w:t>
      </w:r>
      <w:r w:rsidRPr="009203A2">
        <w:rPr>
          <w:rFonts w:cs="Arial"/>
          <w:rtl/>
        </w:rPr>
        <w:t xml:space="preserve"> אחד שנעשה ערב ל</w:t>
      </w:r>
      <w:r w:rsidRPr="009203A2">
        <w:rPr>
          <w:rFonts w:cs="Arial" w:hint="cs"/>
          <w:rtl/>
        </w:rPr>
        <w:t>כלתו</w:t>
      </w:r>
      <w:r w:rsidRPr="009203A2">
        <w:rPr>
          <w:rFonts w:cs="Arial"/>
          <w:rtl/>
        </w:rPr>
        <w:t xml:space="preserve"> בכתובה</w:t>
      </w:r>
      <w:r w:rsidRPr="009203A2">
        <w:rPr>
          <w:rFonts w:cs="Arial" w:hint="cs"/>
          <w:rtl/>
        </w:rPr>
        <w:t>,</w:t>
      </w:r>
      <w:r w:rsidRPr="009203A2">
        <w:rPr>
          <w:rFonts w:cs="Arial"/>
          <w:rtl/>
        </w:rPr>
        <w:t xml:space="preserve"> וכתב כל זמן שיתבעוהו שניהם שחייב לשלם להם</w:t>
      </w:r>
      <w:r w:rsidR="00B471A0">
        <w:rPr>
          <w:rFonts w:cs="Arial" w:hint="cs"/>
          <w:rtl/>
        </w:rPr>
        <w:t>,</w:t>
      </w:r>
      <w:r w:rsidRPr="009203A2">
        <w:rPr>
          <w:rFonts w:cs="Arial"/>
          <w:rtl/>
        </w:rPr>
        <w:t xml:space="preserve"> ומת בנו</w:t>
      </w:r>
      <w:r w:rsidR="00B471A0">
        <w:rPr>
          <w:rFonts w:cs="Arial" w:hint="cs"/>
          <w:rtl/>
        </w:rPr>
        <w:t xml:space="preserve"> -</w:t>
      </w:r>
      <w:r w:rsidRPr="009203A2">
        <w:rPr>
          <w:rFonts w:cs="Arial"/>
          <w:rtl/>
        </w:rPr>
        <w:t xml:space="preserve"> אפילו הכי אשתו גובאת כתובתה</w:t>
      </w:r>
      <w:r w:rsidRPr="009203A2">
        <w:rPr>
          <w:rFonts w:cs="Arial" w:hint="cs"/>
          <w:rtl/>
        </w:rPr>
        <w:t>,</w:t>
      </w:r>
      <w:r w:rsidRPr="009203A2">
        <w:rPr>
          <w:rFonts w:cs="Arial"/>
          <w:rtl/>
        </w:rPr>
        <w:t xml:space="preserve"> ולא אמרינן הואיל וכתב לה כל זמן שיתבעו ואין כאן אלא היא לחוד לא תגבה</w:t>
      </w:r>
      <w:r w:rsidRPr="009203A2">
        <w:rPr>
          <w:rFonts w:cs="Arial" w:hint="cs"/>
          <w:rtl/>
        </w:rPr>
        <w:t>.</w:t>
      </w:r>
      <w:r w:rsidRPr="009203A2">
        <w:rPr>
          <w:rFonts w:cs="Arial"/>
          <w:rtl/>
        </w:rPr>
        <w:t xml:space="preserve"> </w:t>
      </w:r>
      <w:r w:rsidRPr="001E2D2F">
        <w:rPr>
          <w:rFonts w:cs="Arial" w:hint="cs"/>
          <w:color w:val="00B0F0"/>
          <w:rtl/>
        </w:rPr>
        <w:t>(וכ"פ הרמ"א)</w:t>
      </w:r>
    </w:p>
    <w:p w14:paraId="403F310B"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3495C6B" w14:textId="77777777" w:rsidR="00392DBB" w:rsidRDefault="00392DBB" w:rsidP="00392DBB">
      <w:pPr>
        <w:rPr>
          <w:rFonts w:cs="Arial"/>
          <w:rtl/>
        </w:rPr>
      </w:pPr>
      <w:r w:rsidRPr="000904BE">
        <w:rPr>
          <w:rFonts w:cs="Arial"/>
          <w:rtl/>
        </w:rPr>
        <w:t>הערב לאשה בכתובתה, בענין שהוא חייב, וגירשה בעלה ואין לבעל נכסים לפרעה, לא תפרע</w:t>
      </w:r>
      <w:r>
        <w:rPr>
          <w:rStyle w:val="a7"/>
          <w:rFonts w:cs="Arial"/>
          <w:rtl/>
        </w:rPr>
        <w:footnoteReference w:id="2169"/>
      </w:r>
      <w:r w:rsidRPr="000904BE">
        <w:rPr>
          <w:rFonts w:cs="Arial"/>
          <w:rtl/>
        </w:rPr>
        <w:t xml:space="preserve"> מן הערב עד שידירנה בעלה הנאה על דעת רבים, כדי שלא יעשו קנוניא עליו. ואסור לאדם להשיאו עצה שיגרשנה כדי שתגבה הכתובתה מהערב ואחר כך יחזירנה, דשמא לא ידירנה הנאה. מיהו אם האב ערב לכלתו בעד בנו, והבן תלמיד חכם והשעה </w:t>
      </w:r>
      <w:r w:rsidRPr="000904BE">
        <w:rPr>
          <w:rFonts w:cs="Arial"/>
          <w:rtl/>
        </w:rPr>
        <w:lastRenderedPageBreak/>
        <w:t>דחוקה לו ואין האב מהנהו מנכסיו, מותר להשיאו עצה זו</w:t>
      </w:r>
      <w:r>
        <w:rPr>
          <w:rStyle w:val="a7"/>
          <w:rFonts w:cs="Arial"/>
          <w:rtl/>
        </w:rPr>
        <w:footnoteReference w:id="2170"/>
      </w:r>
      <w:r w:rsidRPr="000904BE">
        <w:rPr>
          <w:rFonts w:cs="Arial"/>
          <w:rtl/>
        </w:rPr>
        <w:t xml:space="preserve">. </w:t>
      </w:r>
      <w:r w:rsidRPr="007A47A7">
        <w:rPr>
          <w:rFonts w:cs="Arial"/>
          <w:sz w:val="18"/>
          <w:szCs w:val="18"/>
          <w:rtl/>
        </w:rPr>
        <w:t>הגה: הערב לאשה בנדונייתא, וכתב בשטר כל זמן שיתבע</w:t>
      </w:r>
      <w:r>
        <w:rPr>
          <w:rFonts w:cs="Arial" w:hint="cs"/>
          <w:sz w:val="18"/>
          <w:szCs w:val="18"/>
          <w:rtl/>
        </w:rPr>
        <w:t>ו</w:t>
      </w:r>
      <w:r w:rsidRPr="007A47A7">
        <w:rPr>
          <w:rFonts w:cs="Arial"/>
          <w:sz w:val="18"/>
          <w:szCs w:val="18"/>
          <w:rtl/>
        </w:rPr>
        <w:t>הו שניהם</w:t>
      </w:r>
      <w:r>
        <w:rPr>
          <w:rStyle w:val="a7"/>
          <w:rFonts w:cs="Arial"/>
          <w:sz w:val="18"/>
          <w:szCs w:val="18"/>
          <w:rtl/>
        </w:rPr>
        <w:footnoteReference w:id="2171"/>
      </w:r>
      <w:r w:rsidRPr="007A47A7">
        <w:rPr>
          <w:rFonts w:cs="Arial"/>
          <w:sz w:val="18"/>
          <w:szCs w:val="18"/>
          <w:rtl/>
        </w:rPr>
        <w:t xml:space="preserve"> שחייב לשלם להם, ומת הבעל, אפ"ה אשתו גובאת מה שכתב לה (ריב"ש).</w:t>
      </w:r>
      <w:r w:rsidRPr="000904BE">
        <w:rPr>
          <w:rFonts w:cs="Arial"/>
          <w:rtl/>
        </w:rPr>
        <w:t xml:space="preserve"> </w:t>
      </w:r>
    </w:p>
    <w:p w14:paraId="406B6484" w14:textId="77777777" w:rsidR="00392DBB" w:rsidRPr="000904BE" w:rsidRDefault="00392DBB" w:rsidP="00392DBB">
      <w:pPr>
        <w:rPr>
          <w:rFonts w:cs="Arial"/>
          <w:rtl/>
        </w:rPr>
      </w:pPr>
    </w:p>
    <w:p w14:paraId="72FBE827" w14:textId="77777777" w:rsidR="00392DBB" w:rsidRDefault="00392DBB" w:rsidP="000F64D0">
      <w:pPr>
        <w:pStyle w:val="2"/>
        <w:rPr>
          <w:rtl/>
        </w:rPr>
      </w:pPr>
      <w:r w:rsidRPr="000904BE">
        <w:rPr>
          <w:rtl/>
        </w:rPr>
        <w:t>סעיף ח</w:t>
      </w:r>
      <w:r>
        <w:rPr>
          <w:rFonts w:hint="cs"/>
          <w:rtl/>
        </w:rPr>
        <w:t>: בעל מדיר את אשתו הנאה לפני שגובה כתובתה מההקדש.</w:t>
      </w:r>
    </w:p>
    <w:p w14:paraId="450615F5" w14:textId="6ECDA46C" w:rsidR="00392DBB" w:rsidRDefault="00392DBB" w:rsidP="00392DBB">
      <w:pPr>
        <w:rPr>
          <w:rtl/>
        </w:rPr>
      </w:pPr>
      <w:r w:rsidRPr="001E2D2F">
        <w:rPr>
          <w:rFonts w:hint="cs"/>
          <w:b/>
          <w:bCs/>
          <w:rtl/>
        </w:rPr>
        <w:t xml:space="preserve">ערכין </w:t>
      </w:r>
      <w:r w:rsidRPr="001E2D2F">
        <w:rPr>
          <w:rFonts w:hint="cs"/>
          <w:b/>
          <w:bCs/>
          <w:sz w:val="16"/>
          <w:szCs w:val="16"/>
          <w:rtl/>
        </w:rPr>
        <w:t>(</w:t>
      </w:r>
      <w:r>
        <w:rPr>
          <w:rFonts w:hint="cs"/>
          <w:b/>
          <w:bCs/>
          <w:sz w:val="16"/>
          <w:szCs w:val="16"/>
          <w:rtl/>
        </w:rPr>
        <w:t>פ'</w:t>
      </w:r>
      <w:r w:rsidRPr="001E2D2F">
        <w:rPr>
          <w:rFonts w:hint="cs"/>
          <w:b/>
          <w:bCs/>
          <w:sz w:val="16"/>
          <w:szCs w:val="16"/>
          <w:rtl/>
        </w:rPr>
        <w:t xml:space="preserve"> שום היתומים) </w:t>
      </w:r>
      <w:r w:rsidRPr="001E2D2F">
        <w:rPr>
          <w:rFonts w:hint="cs"/>
          <w:b/>
          <w:bCs/>
          <w:rtl/>
        </w:rPr>
        <w:t>כג ע"א:</w:t>
      </w:r>
      <w:r>
        <w:rPr>
          <w:rFonts w:hint="cs"/>
          <w:rtl/>
        </w:rPr>
        <w:t xml:space="preserve"> </w:t>
      </w:r>
      <w:r w:rsidRPr="00E05F1F">
        <w:rPr>
          <w:rFonts w:cs="Arial"/>
          <w:u w:val="double"/>
          <w:rtl/>
        </w:rPr>
        <w:t>מתני'</w:t>
      </w:r>
      <w:r>
        <w:rPr>
          <w:rFonts w:cs="Arial" w:hint="cs"/>
          <w:rtl/>
        </w:rPr>
        <w:t>:</w:t>
      </w:r>
      <w:r w:rsidRPr="00E05F1F">
        <w:rPr>
          <w:rFonts w:cs="Arial"/>
          <w:rtl/>
        </w:rPr>
        <w:t xml:space="preserve"> המקדיש נכסיו והיתה עליו כתובת אשה</w:t>
      </w:r>
      <w:r>
        <w:rPr>
          <w:rFonts w:cs="Arial" w:hint="cs"/>
          <w:rtl/>
        </w:rPr>
        <w:t>,</w:t>
      </w:r>
      <w:r w:rsidRPr="00E05F1F">
        <w:rPr>
          <w:rFonts w:cs="Arial"/>
          <w:rtl/>
        </w:rPr>
        <w:t xml:space="preserve"> </w:t>
      </w:r>
      <w:r w:rsidRPr="00E05F1F">
        <w:rPr>
          <w:rFonts w:cs="Arial"/>
          <w:u w:val="single"/>
          <w:rtl/>
        </w:rPr>
        <w:t>ר"א אומר</w:t>
      </w:r>
      <w:r w:rsidRPr="00E05F1F">
        <w:rPr>
          <w:rFonts w:cs="Arial"/>
          <w:rtl/>
        </w:rPr>
        <w:t>: כשיגרשנה ידור הנאה</w:t>
      </w:r>
      <w:r>
        <w:rPr>
          <w:rStyle w:val="a7"/>
          <w:rFonts w:cs="Arial"/>
          <w:rtl/>
        </w:rPr>
        <w:footnoteReference w:id="2172"/>
      </w:r>
      <w:r>
        <w:rPr>
          <w:rFonts w:cs="Arial" w:hint="cs"/>
          <w:rtl/>
        </w:rPr>
        <w:t>.</w:t>
      </w:r>
      <w:r w:rsidRPr="00E05F1F">
        <w:rPr>
          <w:rFonts w:cs="Arial"/>
          <w:rtl/>
        </w:rPr>
        <w:t xml:space="preserve"> </w:t>
      </w:r>
      <w:r w:rsidRPr="00E05F1F">
        <w:rPr>
          <w:rFonts w:cs="Arial"/>
          <w:u w:val="single"/>
          <w:rtl/>
        </w:rPr>
        <w:t>רבי יהושע אומר</w:t>
      </w:r>
      <w:r w:rsidRPr="00E05F1F">
        <w:rPr>
          <w:rFonts w:cs="Arial"/>
          <w:rtl/>
        </w:rPr>
        <w:t xml:space="preserve">: אינו צריך. </w:t>
      </w:r>
      <w:r w:rsidRPr="00823A2D">
        <w:rPr>
          <w:rFonts w:cs="Arial"/>
          <w:rtl/>
        </w:rPr>
        <w:t>כיוצא בדבר</w:t>
      </w:r>
      <w:r>
        <w:rPr>
          <w:rFonts w:cs="Arial" w:hint="cs"/>
          <w:rtl/>
        </w:rPr>
        <w:t xml:space="preserve">, </w:t>
      </w:r>
      <w:r w:rsidRPr="00E05F1F">
        <w:rPr>
          <w:rFonts w:cs="Arial"/>
          <w:u w:val="single"/>
          <w:rtl/>
        </w:rPr>
        <w:t>ארשב"ג</w:t>
      </w:r>
      <w:r w:rsidRPr="00E05F1F">
        <w:rPr>
          <w:rFonts w:cs="Arial"/>
          <w:rtl/>
        </w:rPr>
        <w:t>: אף הערב לאשה בכתובתה והיה בעלה מגרשה - ידירנה הנאה, שמא יעשה קינוניא על נכסים של זה ויחזיר את אשתו.</w:t>
      </w:r>
      <w:r>
        <w:rPr>
          <w:rFonts w:cs="Arial" w:hint="cs"/>
          <w:rtl/>
        </w:rPr>
        <w:t xml:space="preserve">          </w:t>
      </w:r>
      <w:r w:rsidRPr="00F12D69">
        <w:rPr>
          <w:rtl/>
        </w:rPr>
        <w:t xml:space="preserve"> </w:t>
      </w:r>
      <w:r w:rsidRPr="00F12D69">
        <w:rPr>
          <w:rFonts w:cs="Arial"/>
          <w:u w:val="double"/>
          <w:rtl/>
        </w:rPr>
        <w:t>גמ'</w:t>
      </w:r>
      <w:r>
        <w:rPr>
          <w:rFonts w:cs="Arial" w:hint="cs"/>
          <w:rtl/>
        </w:rPr>
        <w:t>:</w:t>
      </w:r>
      <w:r w:rsidRPr="00F12D69">
        <w:rPr>
          <w:rFonts w:cs="Arial"/>
          <w:rtl/>
        </w:rPr>
        <w:t xml:space="preserve"> במאי קמיפלגי?</w:t>
      </w:r>
      <w:r>
        <w:rPr>
          <w:rFonts w:cs="Arial" w:hint="cs"/>
          <w:rtl/>
        </w:rPr>
        <w:t>...</w:t>
      </w:r>
      <w:r w:rsidRPr="00F12D69">
        <w:rPr>
          <w:rFonts w:cs="Arial"/>
          <w:rtl/>
        </w:rPr>
        <w:t xml:space="preserve"> אלא הכא בשאלה דהקדש קמיפלגי</w:t>
      </w:r>
      <w:r>
        <w:rPr>
          <w:rFonts w:cs="Arial" w:hint="cs"/>
          <w:rtl/>
        </w:rPr>
        <w:t>.</w:t>
      </w:r>
      <w:r w:rsidRPr="00F12D69">
        <w:rPr>
          <w:rFonts w:cs="Arial"/>
          <w:rtl/>
        </w:rPr>
        <w:t xml:space="preserve"> והתניא</w:t>
      </w:r>
      <w:r>
        <w:rPr>
          <w:rStyle w:val="a7"/>
          <w:rFonts w:cs="Arial"/>
          <w:rtl/>
        </w:rPr>
        <w:footnoteReference w:id="2173"/>
      </w:r>
      <w:r w:rsidRPr="00F12D69">
        <w:rPr>
          <w:rFonts w:cs="Arial"/>
          <w:rtl/>
        </w:rPr>
        <w:t>: המקדיש נכסיו והיתה עליו כתובת אשה - ר"א אומר: כשהוא מגרשה ידור הנאה, רבי יהושע אומר: אינו צריך, וא"ר אלעזר ברבי שמעון: הן הן דברי בית שמאי הן הן דברי ב"ה</w:t>
      </w:r>
      <w:r>
        <w:rPr>
          <w:rStyle w:val="a7"/>
          <w:rFonts w:cs="Arial"/>
          <w:rtl/>
        </w:rPr>
        <w:footnoteReference w:id="2174"/>
      </w:r>
      <w:r w:rsidRPr="00F12D69">
        <w:rPr>
          <w:rFonts w:cs="Arial"/>
          <w:rtl/>
        </w:rPr>
        <w:t>, שב"ש אומרים: הקדש טעות הקדש</w:t>
      </w:r>
      <w:r>
        <w:rPr>
          <w:rStyle w:val="a7"/>
          <w:rFonts w:cs="Arial"/>
          <w:rtl/>
        </w:rPr>
        <w:footnoteReference w:id="2175"/>
      </w:r>
      <w:r w:rsidRPr="00F12D69">
        <w:rPr>
          <w:rFonts w:cs="Arial"/>
          <w:rtl/>
        </w:rPr>
        <w:t>, וב"ה אומרים: הקדש טעות אינו הקדש.</w:t>
      </w:r>
      <w:r w:rsidRPr="00823A2D">
        <w:rPr>
          <w:rFonts w:cs="Arial"/>
          <w:sz w:val="16"/>
          <w:szCs w:val="16"/>
          <w:rtl/>
        </w:rPr>
        <w:t xml:space="preserve"> </w:t>
      </w:r>
      <w:r>
        <w:rPr>
          <w:rFonts w:cs="Arial" w:hint="cs"/>
          <w:sz w:val="16"/>
          <w:szCs w:val="16"/>
          <w:rtl/>
        </w:rPr>
        <w:t>(</w:t>
      </w:r>
      <w:r w:rsidRPr="00823A2D">
        <w:rPr>
          <w:rFonts w:cs="Arial"/>
          <w:sz w:val="16"/>
          <w:szCs w:val="16"/>
          <w:rtl/>
        </w:rPr>
        <w:t>ומשמע דהלכה כמ"ד ידירנה</w:t>
      </w:r>
      <w:r w:rsidR="00B471A0">
        <w:rPr>
          <w:rFonts w:cs="Arial" w:hint="cs"/>
          <w:sz w:val="16"/>
          <w:szCs w:val="16"/>
          <w:rtl/>
        </w:rPr>
        <w:t>,</w:t>
      </w:r>
      <w:r w:rsidRPr="00823A2D">
        <w:rPr>
          <w:rFonts w:cs="Arial"/>
          <w:sz w:val="16"/>
          <w:szCs w:val="16"/>
          <w:rtl/>
        </w:rPr>
        <w:t xml:space="preserve"> וכן פסק הרמב"ם בפי"ז מהלכות אישות (ה"י)</w:t>
      </w:r>
      <w:r>
        <w:rPr>
          <w:rFonts w:cs="Arial" w:hint="cs"/>
          <w:sz w:val="16"/>
          <w:szCs w:val="16"/>
          <w:rtl/>
        </w:rPr>
        <w:t xml:space="preserve">, </w:t>
      </w:r>
      <w:r w:rsidRPr="00B471A0">
        <w:rPr>
          <w:rFonts w:cs="Arial" w:hint="cs"/>
          <w:b/>
          <w:bCs/>
          <w:sz w:val="16"/>
          <w:szCs w:val="16"/>
          <w:rtl/>
        </w:rPr>
        <w:t>ב"י</w:t>
      </w:r>
      <w:r>
        <w:rPr>
          <w:rFonts w:cs="Arial" w:hint="cs"/>
          <w:sz w:val="16"/>
          <w:szCs w:val="16"/>
          <w:rtl/>
        </w:rPr>
        <w:t>. ותמהו האחרונים (ב"ש</w:t>
      </w:r>
      <w:r>
        <w:rPr>
          <w:rStyle w:val="a7"/>
          <w:rFonts w:cs="Arial"/>
          <w:sz w:val="16"/>
          <w:szCs w:val="16"/>
          <w:rtl/>
        </w:rPr>
        <w:footnoteReference w:id="2176"/>
      </w:r>
      <w:r>
        <w:rPr>
          <w:rFonts w:cs="Arial" w:hint="cs"/>
          <w:sz w:val="16"/>
          <w:szCs w:val="16"/>
          <w:rtl/>
        </w:rPr>
        <w:t xml:space="preserve"> [סקכ"ה] גר"א [סקכ"ט] ועוד) מדוע פסקו כן, שהיה להם לפסוק כרבי יהושע שפסק כבית הלל. אך הלח"מ (פי"ז מאישות אות י) כתב שיש להוכיח מהגמ' שם [כג:] דהלכה כר"א</w:t>
      </w:r>
      <w:r>
        <w:rPr>
          <w:rStyle w:val="a7"/>
          <w:rFonts w:cs="Arial"/>
          <w:sz w:val="16"/>
          <w:szCs w:val="16"/>
          <w:rtl/>
        </w:rPr>
        <w:footnoteReference w:id="2177"/>
      </w:r>
      <w:r>
        <w:rPr>
          <w:rFonts w:cs="Arial" w:hint="cs"/>
          <w:sz w:val="16"/>
          <w:szCs w:val="16"/>
          <w:rtl/>
        </w:rPr>
        <w:t>)</w:t>
      </w:r>
    </w:p>
    <w:p w14:paraId="2F2F9BAA" w14:textId="6D7F24A4" w:rsidR="00392DBB" w:rsidRPr="003142AF" w:rsidRDefault="00392DBB" w:rsidP="003142AF">
      <w:pPr>
        <w:rPr>
          <w:u w:val="single"/>
        </w:rPr>
      </w:pPr>
      <w:r w:rsidRPr="00823A2D">
        <w:rPr>
          <w:rFonts w:hint="cs"/>
          <w:u w:val="single"/>
          <w:rtl/>
        </w:rPr>
        <w:t xml:space="preserve">בעל שהקדיש כל נכסיו </w:t>
      </w:r>
      <w:r w:rsidR="00F97626">
        <w:rPr>
          <w:u w:val="single"/>
          <w:rtl/>
        </w:rPr>
        <w:t>-</w:t>
      </w:r>
      <w:r>
        <w:rPr>
          <w:rFonts w:hint="cs"/>
          <w:u w:val="single"/>
          <w:rtl/>
        </w:rPr>
        <w:t xml:space="preserve"> האם צריך לה</w:t>
      </w:r>
      <w:r w:rsidRPr="00823A2D">
        <w:rPr>
          <w:rFonts w:hint="cs"/>
          <w:u w:val="single"/>
          <w:rtl/>
        </w:rPr>
        <w:t>דיר את אשתו הנאה לפני שגובה כתובתה מההקדש:</w:t>
      </w:r>
    </w:p>
    <w:p w14:paraId="50738945" w14:textId="41ADAA1A" w:rsidR="00392DBB" w:rsidRPr="00C0191E" w:rsidRDefault="00392DBB" w:rsidP="009000E3">
      <w:pPr>
        <w:pStyle w:val="ab"/>
        <w:numPr>
          <w:ilvl w:val="0"/>
          <w:numId w:val="61"/>
        </w:numPr>
        <w:rPr>
          <w:rtl/>
        </w:rPr>
      </w:pPr>
      <w:r>
        <w:rPr>
          <w:rFonts w:cs="Arial" w:hint="cs"/>
          <w:rtl/>
        </w:rPr>
        <w:t xml:space="preserve">רמב"ם </w:t>
      </w:r>
      <w:r>
        <w:rPr>
          <w:rFonts w:cs="Arial" w:hint="cs"/>
          <w:sz w:val="16"/>
          <w:szCs w:val="16"/>
          <w:rtl/>
        </w:rPr>
        <w:t>(פי"ז מאישות ה"י)</w:t>
      </w:r>
      <w:r w:rsidR="003142AF">
        <w:rPr>
          <w:rFonts w:cs="Arial" w:hint="cs"/>
          <w:rtl/>
        </w:rPr>
        <w:t xml:space="preserve"> וטור</w:t>
      </w:r>
      <w:r w:rsidR="003142AF">
        <w:rPr>
          <w:rStyle w:val="a7"/>
          <w:rFonts w:cs="Arial"/>
          <w:rtl/>
        </w:rPr>
        <w:footnoteReference w:id="2178"/>
      </w:r>
      <w:r>
        <w:rPr>
          <w:rFonts w:cs="Arial" w:hint="cs"/>
          <w:rtl/>
        </w:rPr>
        <w:t xml:space="preserve">- </w:t>
      </w:r>
      <w:r w:rsidRPr="00823A2D">
        <w:rPr>
          <w:rFonts w:cs="Arial"/>
          <w:rtl/>
        </w:rPr>
        <w:t xml:space="preserve">וכן המקדיש נכסיו וגירש את אשתו </w:t>
      </w:r>
      <w:r>
        <w:rPr>
          <w:rFonts w:cs="Arial" w:hint="cs"/>
          <w:rtl/>
        </w:rPr>
        <w:t xml:space="preserve">- </w:t>
      </w:r>
      <w:r w:rsidRPr="00823A2D">
        <w:rPr>
          <w:rFonts w:cs="Arial"/>
          <w:rtl/>
        </w:rPr>
        <w:t>ידירנה הנאה ואח</w:t>
      </w:r>
      <w:r w:rsidR="00B471A0">
        <w:rPr>
          <w:rFonts w:cs="Arial" w:hint="cs"/>
          <w:rtl/>
        </w:rPr>
        <w:t>"</w:t>
      </w:r>
      <w:r w:rsidRPr="00823A2D">
        <w:rPr>
          <w:rFonts w:cs="Arial"/>
          <w:rtl/>
        </w:rPr>
        <w:t>כ תפרע מן הפודה מיד ההקדש</w:t>
      </w:r>
      <w:r>
        <w:rPr>
          <w:rStyle w:val="a7"/>
          <w:rFonts w:cs="Arial"/>
          <w:rtl/>
        </w:rPr>
        <w:footnoteReference w:id="2179"/>
      </w:r>
      <w:r>
        <w:rPr>
          <w:rFonts w:cs="Arial" w:hint="cs"/>
          <w:rtl/>
        </w:rPr>
        <w:t>,</w:t>
      </w:r>
      <w:r w:rsidRPr="00823A2D">
        <w:rPr>
          <w:rFonts w:cs="Arial"/>
          <w:rtl/>
        </w:rPr>
        <w:t xml:space="preserve"> שמא יעשו קנוניא על ההקדש</w:t>
      </w:r>
      <w:r w:rsidR="003142AF">
        <w:rPr>
          <w:rFonts w:cs="Arial" w:hint="cs"/>
          <w:sz w:val="16"/>
          <w:szCs w:val="16"/>
          <w:rtl/>
        </w:rPr>
        <w:t xml:space="preserve"> (ל' הטור)</w:t>
      </w:r>
      <w:r>
        <w:rPr>
          <w:rFonts w:hint="cs"/>
          <w:rtl/>
        </w:rPr>
        <w:t>.</w:t>
      </w:r>
      <w:r w:rsidR="003142AF" w:rsidRPr="003142AF">
        <w:rPr>
          <w:rFonts w:hint="cs"/>
          <w:color w:val="E36C0A" w:themeColor="accent6" w:themeShade="BF"/>
          <w:rtl/>
        </w:rPr>
        <w:t xml:space="preserve"> </w:t>
      </w:r>
      <w:r w:rsidR="003142AF" w:rsidRPr="00D85951">
        <w:rPr>
          <w:rFonts w:hint="cs"/>
          <w:color w:val="E36C0A" w:themeColor="accent6" w:themeShade="BF"/>
          <w:rtl/>
        </w:rPr>
        <w:t>(וכ"</w:t>
      </w:r>
      <w:r w:rsidR="003142AF">
        <w:rPr>
          <w:rFonts w:hint="cs"/>
          <w:color w:val="E36C0A" w:themeColor="accent6" w:themeShade="BF"/>
          <w:rtl/>
        </w:rPr>
        <w:t>כ</w:t>
      </w:r>
      <w:r w:rsidR="003142AF" w:rsidRPr="00D85951">
        <w:rPr>
          <w:rFonts w:hint="cs"/>
          <w:color w:val="E36C0A" w:themeColor="accent6" w:themeShade="BF"/>
          <w:rtl/>
        </w:rPr>
        <w:t xml:space="preserve"> בשו"ע)</w:t>
      </w:r>
    </w:p>
    <w:p w14:paraId="7B6604F6"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3D95CF6" w14:textId="77777777" w:rsidR="00392DBB" w:rsidRDefault="00392DBB" w:rsidP="00392DBB">
      <w:pPr>
        <w:rPr>
          <w:rFonts w:cs="Arial"/>
          <w:rtl/>
        </w:rPr>
      </w:pPr>
      <w:r w:rsidRPr="000904BE">
        <w:rPr>
          <w:rFonts w:cs="Arial"/>
          <w:rtl/>
        </w:rPr>
        <w:t>וכן אם הקדיש כל נכסיו ומגרשה, לא תגבה כתובתה עד שידירנה הנאה</w:t>
      </w:r>
      <w:r>
        <w:rPr>
          <w:rStyle w:val="a7"/>
          <w:rFonts w:cs="Arial"/>
          <w:rtl/>
        </w:rPr>
        <w:footnoteReference w:id="2180"/>
      </w:r>
      <w:r w:rsidRPr="000904BE">
        <w:rPr>
          <w:rFonts w:cs="Arial"/>
          <w:rtl/>
        </w:rPr>
        <w:t xml:space="preserve">. </w:t>
      </w:r>
    </w:p>
    <w:p w14:paraId="14D00C22" w14:textId="77777777" w:rsidR="00392DBB" w:rsidRPr="000904BE" w:rsidRDefault="00392DBB" w:rsidP="00392DBB">
      <w:pPr>
        <w:rPr>
          <w:rFonts w:cs="Arial"/>
          <w:rtl/>
        </w:rPr>
      </w:pPr>
    </w:p>
    <w:p w14:paraId="0C6E21C3" w14:textId="77777777" w:rsidR="00392DBB" w:rsidRDefault="00392DBB" w:rsidP="000F64D0">
      <w:pPr>
        <w:pStyle w:val="2"/>
        <w:rPr>
          <w:rtl/>
        </w:rPr>
      </w:pPr>
      <w:r w:rsidRPr="000904BE">
        <w:rPr>
          <w:rtl/>
        </w:rPr>
        <w:t>סעיף ט</w:t>
      </w:r>
      <w:r>
        <w:rPr>
          <w:rFonts w:hint="cs"/>
          <w:rtl/>
        </w:rPr>
        <w:t>: בעל אינו מדיר את אשתו הנאה לפני שגובה כתובתה מהלקוחות.</w:t>
      </w:r>
    </w:p>
    <w:p w14:paraId="7811EC29" w14:textId="77777777" w:rsidR="00392DBB" w:rsidRPr="00CD7E2D" w:rsidRDefault="00392DBB" w:rsidP="00392DBB">
      <w:pPr>
        <w:rPr>
          <w:rtl/>
        </w:rPr>
      </w:pPr>
      <w:r w:rsidRPr="001E2D2F">
        <w:rPr>
          <w:rFonts w:hint="cs"/>
          <w:b/>
          <w:bCs/>
          <w:rtl/>
        </w:rPr>
        <w:t xml:space="preserve">ערכין </w:t>
      </w:r>
      <w:r w:rsidRPr="001E2D2F">
        <w:rPr>
          <w:rFonts w:hint="cs"/>
          <w:b/>
          <w:bCs/>
          <w:sz w:val="16"/>
          <w:szCs w:val="16"/>
          <w:rtl/>
        </w:rPr>
        <w:t>(</w:t>
      </w:r>
      <w:r>
        <w:rPr>
          <w:rFonts w:hint="cs"/>
          <w:b/>
          <w:bCs/>
          <w:sz w:val="16"/>
          <w:szCs w:val="16"/>
          <w:rtl/>
        </w:rPr>
        <w:t>פ'</w:t>
      </w:r>
      <w:r w:rsidRPr="001E2D2F">
        <w:rPr>
          <w:rFonts w:hint="cs"/>
          <w:b/>
          <w:bCs/>
          <w:sz w:val="16"/>
          <w:szCs w:val="16"/>
          <w:rtl/>
        </w:rPr>
        <w:t xml:space="preserve"> שום היתומים) </w:t>
      </w:r>
      <w:r w:rsidRPr="001E2D2F">
        <w:rPr>
          <w:rFonts w:hint="cs"/>
          <w:b/>
          <w:bCs/>
          <w:rtl/>
        </w:rPr>
        <w:t>כג ע"</w:t>
      </w:r>
      <w:r>
        <w:rPr>
          <w:rFonts w:hint="cs"/>
          <w:b/>
          <w:bCs/>
          <w:rtl/>
        </w:rPr>
        <w:t>ב</w:t>
      </w:r>
      <w:r w:rsidRPr="001E2D2F">
        <w:rPr>
          <w:rFonts w:hint="cs"/>
          <w:b/>
          <w:bCs/>
          <w:rtl/>
        </w:rPr>
        <w:t>:</w:t>
      </w:r>
      <w:r>
        <w:rPr>
          <w:rFonts w:cs="Arial" w:hint="cs"/>
          <w:rtl/>
        </w:rPr>
        <w:t xml:space="preserve"> </w:t>
      </w:r>
      <w:r w:rsidRPr="00CD7E2D">
        <w:rPr>
          <w:rFonts w:cs="Arial"/>
          <w:rtl/>
        </w:rPr>
        <w:t xml:space="preserve">ההוא גברא דזבנינהו לנכסיה וקא גרשה לדביתהו, שלחה רב יוסף בריה דרבא לקמיה דרב פפא: ערב תנן, הקדש תנן, לוקח מהו? </w:t>
      </w:r>
      <w:r w:rsidRPr="00361894">
        <w:rPr>
          <w:rFonts w:cs="Arial"/>
          <w:u w:val="single"/>
          <w:rtl/>
        </w:rPr>
        <w:t>אמר ליה</w:t>
      </w:r>
      <w:r w:rsidRPr="00CD7E2D">
        <w:rPr>
          <w:rFonts w:cs="Arial"/>
          <w:rtl/>
        </w:rPr>
        <w:t xml:space="preserve">: תנא כי רוכלא ניחשיב וניזיל? </w:t>
      </w:r>
      <w:r w:rsidRPr="00361894">
        <w:rPr>
          <w:rFonts w:cs="Arial"/>
          <w:u w:val="single"/>
          <w:rtl/>
        </w:rPr>
        <w:t>נהרדעי אמרי</w:t>
      </w:r>
      <w:r w:rsidRPr="00CD7E2D">
        <w:rPr>
          <w:rFonts w:cs="Arial"/>
          <w:rtl/>
        </w:rPr>
        <w:t xml:space="preserve">: דתנן תנן, דלא תנן לא תנן. </w:t>
      </w:r>
      <w:r w:rsidRPr="00361894">
        <w:rPr>
          <w:rFonts w:cs="Arial"/>
          <w:u w:val="single"/>
          <w:rtl/>
        </w:rPr>
        <w:t>אמר רב משרשיא</w:t>
      </w:r>
      <w:r w:rsidRPr="00CD7E2D">
        <w:rPr>
          <w:rFonts w:cs="Arial"/>
          <w:rtl/>
        </w:rPr>
        <w:t xml:space="preserve">: מאי טעמא דנהרדעי? בשלמא הקדש משום ריוח דהקדש, ערב נמי מצוה הוא דעבד </w:t>
      </w:r>
      <w:r w:rsidRPr="00CD7E2D">
        <w:rPr>
          <w:rFonts w:cs="Arial"/>
          <w:rtl/>
        </w:rPr>
        <w:lastRenderedPageBreak/>
        <w:t>ולאו מידי חסריה, אלא לוקח מכדי מידע ידע דכל חד וחד איכא עליה כתובה, אמאי ניזיל וניזבון? איהו הוא דאפסיד אנפשיה.</w:t>
      </w:r>
    </w:p>
    <w:p w14:paraId="629DD52E" w14:textId="77777777" w:rsidR="00392DBB" w:rsidRPr="00CD7E2D" w:rsidRDefault="00392DBB" w:rsidP="00392DBB">
      <w:pPr>
        <w:rPr>
          <w:u w:val="single"/>
          <w:rtl/>
        </w:rPr>
      </w:pPr>
      <w:r w:rsidRPr="00CD7E2D">
        <w:rPr>
          <w:rFonts w:hint="cs"/>
          <w:u w:val="single"/>
          <w:rtl/>
        </w:rPr>
        <w:t>האם בעל צריך להדיר את אשתו הנאה לפני שגובה כתובתה מהלקוחות:</w:t>
      </w:r>
    </w:p>
    <w:p w14:paraId="5C084251" w14:textId="041ABA2D" w:rsidR="00392DBB" w:rsidRPr="00361894" w:rsidRDefault="00392DBB" w:rsidP="009000E3">
      <w:pPr>
        <w:pStyle w:val="ab"/>
        <w:numPr>
          <w:ilvl w:val="0"/>
          <w:numId w:val="61"/>
        </w:numPr>
        <w:rPr>
          <w:rtl/>
        </w:rPr>
      </w:pPr>
      <w:r w:rsidRPr="009C12D8">
        <w:rPr>
          <w:rFonts w:cs="Arial"/>
          <w:rtl/>
        </w:rPr>
        <w:t>רי"ף</w:t>
      </w:r>
      <w:r>
        <w:rPr>
          <w:rFonts w:cs="Arial" w:hint="cs"/>
          <w:sz w:val="16"/>
          <w:szCs w:val="16"/>
          <w:rtl/>
        </w:rPr>
        <w:t xml:space="preserve"> (ב"ב פב.)</w:t>
      </w:r>
      <w:r w:rsidRPr="009C12D8">
        <w:rPr>
          <w:rFonts w:cs="Arial"/>
          <w:rtl/>
        </w:rPr>
        <w:t xml:space="preserve"> רמב"ם </w:t>
      </w:r>
      <w:r w:rsidRPr="00361894">
        <w:rPr>
          <w:rFonts w:cs="Arial" w:hint="cs"/>
          <w:sz w:val="16"/>
          <w:szCs w:val="16"/>
          <w:rtl/>
        </w:rPr>
        <w:t>(</w:t>
      </w:r>
      <w:r w:rsidRPr="00361894">
        <w:rPr>
          <w:rFonts w:cs="Arial"/>
          <w:sz w:val="16"/>
          <w:szCs w:val="16"/>
          <w:rtl/>
        </w:rPr>
        <w:t xml:space="preserve">פי"ז מאישות </w:t>
      </w:r>
      <w:r w:rsidRPr="00361894">
        <w:rPr>
          <w:rFonts w:cs="Arial" w:hint="cs"/>
          <w:sz w:val="16"/>
          <w:szCs w:val="16"/>
          <w:rtl/>
        </w:rPr>
        <w:t>ה"י</w:t>
      </w:r>
      <w:r w:rsidRPr="00361894">
        <w:rPr>
          <w:rFonts w:cs="Arial"/>
          <w:sz w:val="16"/>
          <w:szCs w:val="16"/>
          <w:rtl/>
        </w:rPr>
        <w:t>)</w:t>
      </w:r>
      <w:r>
        <w:rPr>
          <w:rFonts w:cs="Arial" w:hint="cs"/>
          <w:sz w:val="16"/>
          <w:szCs w:val="16"/>
          <w:rtl/>
        </w:rPr>
        <w:t xml:space="preserve"> </w:t>
      </w:r>
      <w:r w:rsidRPr="009C12D8">
        <w:rPr>
          <w:rFonts w:cs="Arial"/>
          <w:rtl/>
        </w:rPr>
        <w:t xml:space="preserve">רא"ש </w:t>
      </w:r>
      <w:r w:rsidRPr="00361894">
        <w:rPr>
          <w:rFonts w:cs="Arial" w:hint="cs"/>
          <w:sz w:val="16"/>
          <w:szCs w:val="16"/>
          <w:rtl/>
        </w:rPr>
        <w:t>(פ' בתרא דב"ב</w:t>
      </w:r>
      <w:r w:rsidRPr="00361894">
        <w:rPr>
          <w:rFonts w:cs="Arial"/>
          <w:sz w:val="16"/>
          <w:szCs w:val="16"/>
          <w:rtl/>
        </w:rPr>
        <w:t xml:space="preserve"> סי' מה)</w:t>
      </w:r>
      <w:r w:rsidRPr="009C12D8">
        <w:rPr>
          <w:rFonts w:cs="Arial"/>
          <w:rtl/>
        </w:rPr>
        <w:t xml:space="preserve"> </w:t>
      </w:r>
      <w:r>
        <w:rPr>
          <w:rFonts w:cs="Arial" w:hint="cs"/>
          <w:rtl/>
        </w:rPr>
        <w:t xml:space="preserve">וטור- </w:t>
      </w:r>
      <w:r w:rsidRPr="00A167C1">
        <w:rPr>
          <w:rFonts w:cs="Arial"/>
          <w:rtl/>
        </w:rPr>
        <w:t>אבל מן הלקוחות גובה אפילו בלא הדירה</w:t>
      </w:r>
      <w:r w:rsidR="003142AF">
        <w:rPr>
          <w:rFonts w:cs="Arial" w:hint="cs"/>
          <w:rtl/>
        </w:rPr>
        <w:t>.</w:t>
      </w:r>
      <w:r w:rsidRPr="00A167C1">
        <w:rPr>
          <w:rFonts w:cs="Arial"/>
          <w:rtl/>
        </w:rPr>
        <w:t xml:space="preserve"> ואם ירצה להחזירה אח"כ יחזירנה</w:t>
      </w:r>
      <w:r w:rsidR="003142AF">
        <w:rPr>
          <w:rFonts w:cs="Arial" w:hint="cs"/>
          <w:rtl/>
        </w:rPr>
        <w:t>,</w:t>
      </w:r>
      <w:r w:rsidRPr="00A167C1">
        <w:rPr>
          <w:rFonts w:cs="Arial"/>
          <w:rtl/>
        </w:rPr>
        <w:t xml:space="preserve"> שכיון שידעו הלקוחות שיש עליו כתובת אשה אינהו דאפסידו אנפשייהו שקנו ממנו</w:t>
      </w:r>
      <w:r>
        <w:rPr>
          <w:rFonts w:cs="Arial" w:hint="cs"/>
          <w:sz w:val="16"/>
          <w:szCs w:val="16"/>
          <w:rtl/>
        </w:rPr>
        <w:t xml:space="preserve"> (ל' הטור)</w:t>
      </w:r>
      <w:r>
        <w:rPr>
          <w:rFonts w:cs="Arial" w:hint="cs"/>
          <w:rtl/>
        </w:rPr>
        <w:t>.</w:t>
      </w:r>
      <w:r w:rsidRPr="00D85951">
        <w:rPr>
          <w:rFonts w:cs="Arial"/>
          <w:color w:val="E36C0A" w:themeColor="accent6" w:themeShade="BF"/>
          <w:rtl/>
        </w:rPr>
        <w:t xml:space="preserve"> </w:t>
      </w:r>
      <w:r w:rsidRPr="00D85951">
        <w:rPr>
          <w:rFonts w:hint="cs"/>
          <w:color w:val="E36C0A" w:themeColor="accent6" w:themeShade="BF"/>
          <w:rtl/>
        </w:rPr>
        <w:t>(וכ"</w:t>
      </w:r>
      <w:r>
        <w:rPr>
          <w:rFonts w:hint="cs"/>
          <w:color w:val="E36C0A" w:themeColor="accent6" w:themeShade="BF"/>
          <w:rtl/>
        </w:rPr>
        <w:t>פ</w:t>
      </w:r>
      <w:r w:rsidRPr="00D85951">
        <w:rPr>
          <w:rFonts w:hint="cs"/>
          <w:color w:val="E36C0A" w:themeColor="accent6" w:themeShade="BF"/>
          <w:rtl/>
        </w:rPr>
        <w:t xml:space="preserve"> בשו"ע)</w:t>
      </w:r>
    </w:p>
    <w:p w14:paraId="43E4F9E3"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25358D9" w14:textId="77777777" w:rsidR="00392DBB" w:rsidRPr="007A3469" w:rsidRDefault="00392DBB" w:rsidP="00392DBB">
      <w:pPr>
        <w:rPr>
          <w:rtl/>
        </w:rPr>
        <w:sectPr w:rsidR="00392DBB" w:rsidRPr="007A3469" w:rsidSect="00A347B3">
          <w:headerReference w:type="default" r:id="rId46"/>
          <w:footnotePr>
            <w:numRestart w:val="eachSect"/>
          </w:footnotePr>
          <w:pgSz w:w="11906" w:h="16838"/>
          <w:pgMar w:top="720" w:right="1134" w:bottom="720" w:left="1134" w:header="0" w:footer="0" w:gutter="0"/>
          <w:cols w:space="720"/>
          <w:bidi/>
          <w:rtlGutter/>
          <w:docGrid w:linePitch="360"/>
        </w:sectPr>
      </w:pPr>
      <w:r w:rsidRPr="000904BE">
        <w:rPr>
          <w:rFonts w:cs="Arial"/>
          <w:rtl/>
        </w:rPr>
        <w:t>אבל מן הלקוחות גובה אפי</w:t>
      </w:r>
      <w:r>
        <w:rPr>
          <w:rFonts w:cs="Arial" w:hint="cs"/>
          <w:rtl/>
        </w:rPr>
        <w:t>לו</w:t>
      </w:r>
      <w:r w:rsidRPr="000904BE">
        <w:rPr>
          <w:rFonts w:cs="Arial"/>
          <w:rtl/>
        </w:rPr>
        <w:t xml:space="preserve"> בלא הדירה, ואם ירצה להחזירה אח</w:t>
      </w:r>
      <w:r>
        <w:rPr>
          <w:rFonts w:cs="Arial" w:hint="cs"/>
          <w:rtl/>
        </w:rPr>
        <w:t xml:space="preserve">ר </w:t>
      </w:r>
      <w:r w:rsidRPr="000904BE">
        <w:rPr>
          <w:rFonts w:cs="Arial"/>
          <w:rtl/>
        </w:rPr>
        <w:t>כ</w:t>
      </w:r>
      <w:r>
        <w:rPr>
          <w:rFonts w:cs="Arial" w:hint="cs"/>
          <w:rtl/>
        </w:rPr>
        <w:t>ך</w:t>
      </w:r>
      <w:r w:rsidRPr="000904BE">
        <w:rPr>
          <w:rFonts w:cs="Arial"/>
          <w:rtl/>
        </w:rPr>
        <w:t>, יחזירנה</w:t>
      </w:r>
      <w:r>
        <w:rPr>
          <w:rFonts w:cs="Arial"/>
          <w:rtl/>
        </w:rPr>
        <w:t>.</w:t>
      </w:r>
    </w:p>
    <w:p w14:paraId="12845F71" w14:textId="77777777" w:rsidR="00392DBB" w:rsidRDefault="00392DBB" w:rsidP="00392DBB">
      <w:pPr>
        <w:pStyle w:val="1"/>
        <w:rPr>
          <w:rtl/>
        </w:rPr>
      </w:pPr>
      <w:r>
        <w:rPr>
          <w:rFonts w:hint="cs"/>
          <w:rtl/>
        </w:rPr>
        <w:lastRenderedPageBreak/>
        <w:t>סימן קג:</w:t>
      </w:r>
      <w:r w:rsidRPr="00C12B74">
        <w:rPr>
          <w:rtl/>
        </w:rPr>
        <w:t xml:space="preserve"> </w:t>
      </w:r>
      <w:r>
        <w:rPr>
          <w:rFonts w:cs="Arial"/>
          <w:rtl/>
        </w:rPr>
        <w:t xml:space="preserve">אלמנה שמכרה נכסיה לכתובתה אם צריכה למכור על פי בית דין, ובו ח' סעיפים. </w:t>
      </w:r>
    </w:p>
    <w:p w14:paraId="7B4E2706" w14:textId="77777777" w:rsidR="00392DBB" w:rsidRDefault="00392DBB" w:rsidP="000F64D0">
      <w:pPr>
        <w:pStyle w:val="2"/>
        <w:rPr>
          <w:rtl/>
        </w:rPr>
      </w:pPr>
      <w:r>
        <w:rPr>
          <w:rtl/>
        </w:rPr>
        <w:t>סעיף א</w:t>
      </w:r>
      <w:r>
        <w:rPr>
          <w:rFonts w:hint="cs"/>
          <w:rtl/>
        </w:rPr>
        <w:t>: אלמנה מוכרת מנכסי בעלה כדי לגבות כתובתה.</w:t>
      </w:r>
    </w:p>
    <w:p w14:paraId="003BFB22" w14:textId="77777777" w:rsidR="00392DBB" w:rsidRDefault="00392DBB" w:rsidP="00392DBB">
      <w:pPr>
        <w:rPr>
          <w:rFonts w:cs="Arial"/>
          <w:rtl/>
        </w:rPr>
      </w:pPr>
      <w:r w:rsidRPr="009E1CA8">
        <w:rPr>
          <w:rFonts w:hint="cs"/>
          <w:b/>
          <w:bCs/>
          <w:rtl/>
        </w:rPr>
        <w:t xml:space="preserve">כתובות </w:t>
      </w:r>
      <w:r w:rsidRPr="009E1CA8">
        <w:rPr>
          <w:rFonts w:hint="cs"/>
          <w:b/>
          <w:bCs/>
          <w:sz w:val="16"/>
          <w:szCs w:val="16"/>
          <w:rtl/>
        </w:rPr>
        <w:t xml:space="preserve">(פ' אלמנה נזונת) </w:t>
      </w:r>
      <w:r w:rsidRPr="009E1CA8">
        <w:rPr>
          <w:rFonts w:hint="cs"/>
          <w:b/>
          <w:bCs/>
          <w:rtl/>
        </w:rPr>
        <w:t>צז ע"א:</w:t>
      </w:r>
      <w:r>
        <w:rPr>
          <w:rFonts w:hint="cs"/>
          <w:rtl/>
        </w:rPr>
        <w:t xml:space="preserve"> </w:t>
      </w:r>
      <w:r w:rsidRPr="009E1CA8">
        <w:rPr>
          <w:rFonts w:cs="Arial"/>
          <w:u w:val="double"/>
          <w:rtl/>
        </w:rPr>
        <w:t>מתני'</w:t>
      </w:r>
      <w:r>
        <w:rPr>
          <w:rFonts w:cs="Arial" w:hint="cs"/>
          <w:rtl/>
        </w:rPr>
        <w:t>:</w:t>
      </w:r>
      <w:r>
        <w:rPr>
          <w:rFonts w:cs="Arial"/>
          <w:rtl/>
        </w:rPr>
        <w:t xml:space="preserve"> אלמנה בין מן האירוסין</w:t>
      </w:r>
      <w:r>
        <w:rPr>
          <w:rStyle w:val="a7"/>
          <w:rFonts w:cs="Arial"/>
          <w:rtl/>
        </w:rPr>
        <w:footnoteReference w:id="2181"/>
      </w:r>
      <w:r>
        <w:rPr>
          <w:rFonts w:cs="Arial"/>
          <w:rtl/>
        </w:rPr>
        <w:t xml:space="preserve"> בין מן הנשואין</w:t>
      </w:r>
      <w:r>
        <w:rPr>
          <w:rStyle w:val="a7"/>
          <w:rFonts w:cs="Arial"/>
          <w:rtl/>
        </w:rPr>
        <w:footnoteReference w:id="2182"/>
      </w:r>
      <w:r>
        <w:rPr>
          <w:rFonts w:cs="Arial"/>
          <w:rtl/>
        </w:rPr>
        <w:t xml:space="preserve"> - מוכרת שלא בבית דין</w:t>
      </w:r>
      <w:r>
        <w:rPr>
          <w:rFonts w:cs="Arial" w:hint="cs"/>
          <w:rtl/>
        </w:rPr>
        <w:t>.</w:t>
      </w:r>
      <w:r>
        <w:rPr>
          <w:rFonts w:cs="Arial"/>
          <w:rtl/>
        </w:rPr>
        <w:t xml:space="preserve"> </w:t>
      </w:r>
      <w:r w:rsidRPr="009E1CA8">
        <w:rPr>
          <w:rFonts w:cs="Arial"/>
          <w:u w:val="single"/>
          <w:rtl/>
        </w:rPr>
        <w:t>ר' שמעון אומר</w:t>
      </w:r>
      <w:r>
        <w:rPr>
          <w:rFonts w:cs="Arial"/>
          <w:rtl/>
        </w:rPr>
        <w:t>: מן הנשואין</w:t>
      </w:r>
      <w:r>
        <w:rPr>
          <w:rStyle w:val="a7"/>
          <w:rFonts w:cs="Arial"/>
          <w:rtl/>
        </w:rPr>
        <w:footnoteReference w:id="2183"/>
      </w:r>
      <w:r>
        <w:rPr>
          <w:rFonts w:cs="Arial"/>
          <w:rtl/>
        </w:rPr>
        <w:t xml:space="preserve"> - מוכרת שלא בבית דין</w:t>
      </w:r>
      <w:r>
        <w:rPr>
          <w:rStyle w:val="a7"/>
          <w:rFonts w:cs="Arial"/>
          <w:rtl/>
        </w:rPr>
        <w:footnoteReference w:id="2184"/>
      </w:r>
      <w:r>
        <w:rPr>
          <w:rFonts w:cs="Arial"/>
          <w:rtl/>
        </w:rPr>
        <w:t>, מן האירוסין - לא תמכור אלא בבית דין, מפני שאין לה מזונות, וכל שאין לה מזונות - לא תמכור אלא בבית דין.</w:t>
      </w:r>
      <w:r>
        <w:rPr>
          <w:rFonts w:cs="Arial" w:hint="cs"/>
          <w:rtl/>
        </w:rPr>
        <w:t xml:space="preserve">       </w:t>
      </w:r>
      <w:r w:rsidRPr="009D3864">
        <w:rPr>
          <w:rFonts w:cs="Arial"/>
          <w:u w:val="double"/>
          <w:rtl/>
        </w:rPr>
        <w:t>גמ'</w:t>
      </w:r>
      <w:r>
        <w:rPr>
          <w:rFonts w:cs="Arial" w:hint="cs"/>
          <w:rtl/>
        </w:rPr>
        <w:t>:</w:t>
      </w:r>
      <w:r w:rsidRPr="009D3864">
        <w:rPr>
          <w:rFonts w:cs="Arial"/>
          <w:rtl/>
        </w:rPr>
        <w:t xml:space="preserve"> בשלמא מן הנשואין - משום מזוני,</w:t>
      </w:r>
      <w:r>
        <w:rPr>
          <w:rFonts w:cs="Arial" w:hint="cs"/>
          <w:sz w:val="14"/>
          <w:szCs w:val="14"/>
          <w:rtl/>
        </w:rPr>
        <w:t xml:space="preserve"> (צז:)</w:t>
      </w:r>
      <w:r w:rsidRPr="009D3864">
        <w:rPr>
          <w:rtl/>
        </w:rPr>
        <w:t xml:space="preserve"> </w:t>
      </w:r>
      <w:r w:rsidRPr="009D3864">
        <w:rPr>
          <w:rFonts w:cs="Arial"/>
          <w:rtl/>
        </w:rPr>
        <w:t xml:space="preserve">אלא מן האירוסין מאי טעמא? </w:t>
      </w:r>
      <w:r w:rsidRPr="009D3864">
        <w:rPr>
          <w:rFonts w:cs="Arial"/>
          <w:u w:val="single"/>
          <w:rtl/>
        </w:rPr>
        <w:t>אמר עולא</w:t>
      </w:r>
      <w:r w:rsidRPr="009D3864">
        <w:rPr>
          <w:rFonts w:cs="Arial"/>
          <w:rtl/>
        </w:rPr>
        <w:t>: משום חינא</w:t>
      </w:r>
      <w:r>
        <w:rPr>
          <w:rFonts w:cs="Arial" w:hint="cs"/>
          <w:rtl/>
        </w:rPr>
        <w:t>.</w:t>
      </w:r>
      <w:r w:rsidRPr="009D3864">
        <w:rPr>
          <w:rFonts w:cs="Arial"/>
          <w:rtl/>
        </w:rPr>
        <w:t xml:space="preserve"> </w:t>
      </w:r>
      <w:r w:rsidRPr="00936F3C">
        <w:rPr>
          <w:rFonts w:cs="Arial"/>
          <w:u w:val="single"/>
          <w:rtl/>
        </w:rPr>
        <w:t>ר</w:t>
      </w:r>
      <w:r>
        <w:rPr>
          <w:rFonts w:cs="Arial" w:hint="cs"/>
          <w:u w:val="single"/>
          <w:rtl/>
        </w:rPr>
        <w:t>ב יהודה</w:t>
      </w:r>
      <w:r>
        <w:rPr>
          <w:rStyle w:val="a7"/>
          <w:rFonts w:cs="Arial"/>
          <w:u w:val="single"/>
          <w:rtl/>
        </w:rPr>
        <w:footnoteReference w:id="2185"/>
      </w:r>
      <w:r w:rsidRPr="00936F3C">
        <w:rPr>
          <w:rFonts w:cs="Arial"/>
          <w:u w:val="single"/>
          <w:rtl/>
        </w:rPr>
        <w:t xml:space="preserve"> אמר</w:t>
      </w:r>
      <w:r w:rsidRPr="009D3864">
        <w:rPr>
          <w:rFonts w:cs="Arial"/>
          <w:rtl/>
        </w:rPr>
        <w:t>: לפי שאין אדם רוצה שתתבזה אשתו בבית דין.</w:t>
      </w:r>
    </w:p>
    <w:p w14:paraId="181DF4D6" w14:textId="77777777" w:rsidR="00392DBB" w:rsidRDefault="00392DBB" w:rsidP="00392DBB">
      <w:pPr>
        <w:rPr>
          <w:rFonts w:cs="Arial"/>
          <w:rtl/>
        </w:rPr>
      </w:pPr>
      <w:r w:rsidRPr="009E1CA8">
        <w:rPr>
          <w:rFonts w:hint="cs"/>
          <w:b/>
          <w:bCs/>
          <w:rtl/>
        </w:rPr>
        <w:t xml:space="preserve">כתובות </w:t>
      </w:r>
      <w:r w:rsidRPr="009E1CA8">
        <w:rPr>
          <w:rFonts w:hint="cs"/>
          <w:b/>
          <w:bCs/>
          <w:sz w:val="16"/>
          <w:szCs w:val="16"/>
          <w:rtl/>
        </w:rPr>
        <w:t xml:space="preserve">(פ' אלמנה נזונת) </w:t>
      </w:r>
      <w:r w:rsidRPr="009E1CA8">
        <w:rPr>
          <w:rFonts w:hint="cs"/>
          <w:b/>
          <w:bCs/>
          <w:rtl/>
        </w:rPr>
        <w:t>צז ע"</w:t>
      </w:r>
      <w:r>
        <w:rPr>
          <w:rFonts w:hint="cs"/>
          <w:b/>
          <w:bCs/>
          <w:rtl/>
        </w:rPr>
        <w:t>ב</w:t>
      </w:r>
      <w:r w:rsidRPr="009E1CA8">
        <w:rPr>
          <w:rFonts w:hint="cs"/>
          <w:b/>
          <w:bCs/>
          <w:rtl/>
        </w:rPr>
        <w:t>:</w:t>
      </w:r>
      <w:r>
        <w:rPr>
          <w:rFonts w:hint="cs"/>
          <w:b/>
          <w:bCs/>
          <w:rtl/>
        </w:rPr>
        <w:t xml:space="preserve"> </w:t>
      </w:r>
      <w:r w:rsidRPr="00DD0DAE">
        <w:rPr>
          <w:rFonts w:cs="Arial"/>
          <w:u w:val="double"/>
          <w:rtl/>
        </w:rPr>
        <w:t>מתני'</w:t>
      </w:r>
      <w:r>
        <w:rPr>
          <w:rFonts w:cs="Arial" w:hint="cs"/>
          <w:rtl/>
        </w:rPr>
        <w:t>:</w:t>
      </w:r>
      <w:r w:rsidRPr="00DD0DAE">
        <w:rPr>
          <w:rFonts w:cs="Arial"/>
          <w:rtl/>
        </w:rPr>
        <w:t xml:space="preserve"> מכרה כתובתה או מקצתה, משכנה כתובתה או מקצתה, נתנה כתובתה לאחר או מקצתה - לא תמכור את השאר אלא בבית דין</w:t>
      </w:r>
      <w:r>
        <w:rPr>
          <w:rFonts w:cs="Arial" w:hint="cs"/>
          <w:rtl/>
        </w:rPr>
        <w:t>.</w:t>
      </w:r>
      <w:r w:rsidRPr="00DD0DAE">
        <w:rPr>
          <w:rFonts w:cs="Arial"/>
          <w:rtl/>
        </w:rPr>
        <w:t xml:space="preserve"> וחכ"א: מוכרת היא אפי' ארבעה וחמשה פעמים, ומוכרת למזונות שלא בבית דין וכותבת למזונות מכרתי</w:t>
      </w:r>
      <w:r>
        <w:rPr>
          <w:rFonts w:cs="Arial" w:hint="cs"/>
          <w:rtl/>
        </w:rPr>
        <w:t>.</w:t>
      </w:r>
      <w:r w:rsidRPr="00DD0DAE">
        <w:rPr>
          <w:rFonts w:cs="Arial"/>
          <w:rtl/>
        </w:rPr>
        <w:t xml:space="preserve"> וגרושה לא תמכור אלא בבית דין. </w:t>
      </w:r>
      <w:r>
        <w:rPr>
          <w:rFonts w:cs="Arial"/>
          <w:rtl/>
        </w:rPr>
        <w:t xml:space="preserve"> </w:t>
      </w:r>
      <w:r>
        <w:rPr>
          <w:rFonts w:cs="Arial" w:hint="cs"/>
          <w:rtl/>
        </w:rPr>
        <w:t xml:space="preserve">      </w:t>
      </w:r>
      <w:r w:rsidRPr="001D66A0">
        <w:rPr>
          <w:rFonts w:cs="Arial" w:hint="cs"/>
          <w:u w:val="double"/>
          <w:rtl/>
        </w:rPr>
        <w:t>גמ'</w:t>
      </w:r>
      <w:r w:rsidRPr="001D66A0">
        <w:rPr>
          <w:rFonts w:cs="Arial" w:hint="cs"/>
          <w:sz w:val="14"/>
          <w:szCs w:val="14"/>
          <w:u w:val="double"/>
          <w:rtl/>
        </w:rPr>
        <w:t>(צח.)</w:t>
      </w:r>
      <w:r w:rsidRPr="001D66A0">
        <w:rPr>
          <w:rFonts w:cs="Arial" w:hint="cs"/>
          <w:u w:val="double"/>
          <w:rtl/>
        </w:rPr>
        <w:t>:</w:t>
      </w:r>
      <w:r>
        <w:rPr>
          <w:rFonts w:cs="Arial" w:hint="cs"/>
          <w:rtl/>
        </w:rPr>
        <w:t xml:space="preserve"> </w:t>
      </w:r>
      <w:r w:rsidRPr="001D66A0">
        <w:rPr>
          <w:rFonts w:cs="Arial"/>
          <w:u w:val="single"/>
          <w:rtl/>
        </w:rPr>
        <w:t>שלח ליה רבה בריה דרבא לרב יוסף</w:t>
      </w:r>
      <w:r w:rsidRPr="00E3423A">
        <w:rPr>
          <w:rFonts w:cs="Arial"/>
          <w:rtl/>
        </w:rPr>
        <w:t>: מוכרת שלא בב"ד, צריכה שבועה</w:t>
      </w:r>
      <w:r>
        <w:rPr>
          <w:rStyle w:val="a7"/>
          <w:rFonts w:cs="Arial"/>
          <w:rtl/>
        </w:rPr>
        <w:footnoteReference w:id="2186"/>
      </w:r>
      <w:r w:rsidRPr="00E3423A">
        <w:rPr>
          <w:rFonts w:cs="Arial"/>
          <w:rtl/>
        </w:rPr>
        <w:t xml:space="preserve"> או אין צריכה שבועה? ותבעי לך הכרזה! </w:t>
      </w:r>
      <w:r w:rsidRPr="001D66A0">
        <w:rPr>
          <w:rFonts w:cs="Arial"/>
          <w:u w:val="single"/>
          <w:rtl/>
        </w:rPr>
        <w:t>אמר ליה</w:t>
      </w:r>
      <w:r w:rsidRPr="00E3423A">
        <w:rPr>
          <w:rFonts w:cs="Arial"/>
          <w:rtl/>
        </w:rPr>
        <w:t>: הכרזה לא קמיבעיא לי, דא"ר זירא אמר רב נחמן: אלמנה ששמה לעצמה</w:t>
      </w:r>
      <w:r>
        <w:rPr>
          <w:rStyle w:val="a7"/>
          <w:rFonts w:cs="Arial"/>
          <w:rtl/>
        </w:rPr>
        <w:footnoteReference w:id="2187"/>
      </w:r>
      <w:r w:rsidRPr="00E3423A">
        <w:rPr>
          <w:rFonts w:cs="Arial"/>
          <w:rtl/>
        </w:rPr>
        <w:t xml:space="preserve"> - לא עשתה ולא כלום</w:t>
      </w:r>
      <w:r>
        <w:rPr>
          <w:rStyle w:val="a7"/>
          <w:rFonts w:cs="Arial"/>
          <w:rtl/>
        </w:rPr>
        <w:footnoteReference w:id="2188"/>
      </w:r>
      <w:r w:rsidRPr="00E3423A">
        <w:rPr>
          <w:rFonts w:cs="Arial"/>
          <w:rtl/>
        </w:rPr>
        <w:t>, ה"ד?</w:t>
      </w:r>
      <w:r w:rsidRPr="001D66A0">
        <w:rPr>
          <w:rtl/>
        </w:rPr>
        <w:t xml:space="preserve"> </w:t>
      </w:r>
      <w:r w:rsidRPr="001D66A0">
        <w:rPr>
          <w:rFonts w:cs="Arial"/>
          <w:rtl/>
        </w:rPr>
        <w:t>אי דאכרוז, אמאי לא עשתה ולא כלום? אלא לאו דלא אכרוז, ולעצמה הוא דלא עשתה ולא כלום, הא לאחר</w:t>
      </w:r>
      <w:r>
        <w:rPr>
          <w:rFonts w:cs="Arial" w:hint="cs"/>
          <w:rtl/>
        </w:rPr>
        <w:t xml:space="preserve"> -</w:t>
      </w:r>
      <w:r w:rsidRPr="001D66A0">
        <w:rPr>
          <w:rFonts w:cs="Arial"/>
          <w:rtl/>
        </w:rPr>
        <w:t xml:space="preserve"> מה שעשתה עשתה.</w:t>
      </w:r>
      <w:r w:rsidRPr="00E3423A">
        <w:rPr>
          <w:rFonts w:cs="Arial"/>
          <w:rtl/>
        </w:rPr>
        <w:t xml:space="preserve"> לעולם דאכרוז, ודאמרי לה: מאן שם ליך</w:t>
      </w:r>
      <w:r>
        <w:rPr>
          <w:rStyle w:val="a7"/>
          <w:rFonts w:cs="Arial"/>
          <w:rtl/>
        </w:rPr>
        <w:footnoteReference w:id="2189"/>
      </w:r>
      <w:r w:rsidRPr="00E3423A">
        <w:rPr>
          <w:rFonts w:cs="Arial"/>
          <w:rtl/>
        </w:rPr>
        <w:t>? כי האי דההוא גברא דאפקידו גביה כיסתא</w:t>
      </w:r>
      <w:r>
        <w:rPr>
          <w:rStyle w:val="a7"/>
          <w:rFonts w:cs="Arial"/>
          <w:rtl/>
        </w:rPr>
        <w:footnoteReference w:id="2190"/>
      </w:r>
      <w:r w:rsidRPr="00E3423A">
        <w:rPr>
          <w:rFonts w:cs="Arial"/>
          <w:rtl/>
        </w:rPr>
        <w:t xml:space="preserve"> דיתמי, אזל שמה לנפשיה בארבע מאה זוזי, אייקר קם בשית מאה, אתא לקמיה דרבי אמי, אמר ליה: מאן שם לך? והלכתא: צריכה שבועה ואינה צריכה הכרזה.</w:t>
      </w:r>
    </w:p>
    <w:p w14:paraId="50467309" w14:textId="77777777" w:rsidR="00392DBB" w:rsidRDefault="00392DBB" w:rsidP="00392DBB">
      <w:pPr>
        <w:rPr>
          <w:rFonts w:cs="Arial"/>
          <w:rtl/>
        </w:rPr>
      </w:pPr>
      <w:r w:rsidRPr="008B5011">
        <w:rPr>
          <w:rFonts w:cs="Arial" w:hint="cs"/>
          <w:b/>
          <w:bCs/>
          <w:rtl/>
        </w:rPr>
        <w:t xml:space="preserve">בבא מציעא </w:t>
      </w:r>
      <w:r w:rsidRPr="008B5011">
        <w:rPr>
          <w:rFonts w:cs="Arial" w:hint="cs"/>
          <w:b/>
          <w:bCs/>
          <w:sz w:val="16"/>
          <w:szCs w:val="16"/>
          <w:rtl/>
        </w:rPr>
        <w:t xml:space="preserve">(פ"ב) </w:t>
      </w:r>
      <w:r w:rsidRPr="008B5011">
        <w:rPr>
          <w:rFonts w:cs="Arial" w:hint="cs"/>
          <w:b/>
          <w:bCs/>
          <w:rtl/>
        </w:rPr>
        <w:t>לא ע"ב:</w:t>
      </w:r>
      <w:r>
        <w:rPr>
          <w:rFonts w:cs="Arial" w:hint="cs"/>
          <w:rtl/>
        </w:rPr>
        <w:t xml:space="preserve"> </w:t>
      </w:r>
      <w:r w:rsidRPr="008B5011">
        <w:rPr>
          <w:rFonts w:cs="Arial"/>
          <w:rtl/>
        </w:rPr>
        <w:t>איסור ורב ספרא עביד עיסקא בהדי הדדי, אזל רב ספרא פלג</w:t>
      </w:r>
      <w:r>
        <w:rPr>
          <w:rStyle w:val="a7"/>
          <w:rFonts w:cs="Arial"/>
          <w:rtl/>
        </w:rPr>
        <w:footnoteReference w:id="2191"/>
      </w:r>
      <w:r w:rsidRPr="008B5011">
        <w:rPr>
          <w:rFonts w:cs="Arial"/>
          <w:rtl/>
        </w:rPr>
        <w:t xml:space="preserve"> ליה בלא דעתיה דאיסור באפי בי תרי. אתא לקמיה דרבה בר רב הונא. </w:t>
      </w:r>
      <w:r w:rsidRPr="00B95108">
        <w:rPr>
          <w:rFonts w:cs="Arial"/>
          <w:u w:val="single"/>
          <w:rtl/>
        </w:rPr>
        <w:t>אמר ליה</w:t>
      </w:r>
      <w:r w:rsidRPr="008B5011">
        <w:rPr>
          <w:rFonts w:cs="Arial"/>
          <w:rtl/>
        </w:rPr>
        <w:t>: זיל אייתי תלתא דפלגת קמייהו, אי נמי</w:t>
      </w:r>
      <w:r>
        <w:rPr>
          <w:rFonts w:cs="Arial" w:hint="cs"/>
          <w:rtl/>
        </w:rPr>
        <w:t xml:space="preserve"> </w:t>
      </w:r>
      <w:r>
        <w:rPr>
          <w:rFonts w:cs="Arial" w:hint="cs"/>
          <w:sz w:val="14"/>
          <w:szCs w:val="14"/>
          <w:rtl/>
        </w:rPr>
        <w:t xml:space="preserve">(לב.) </w:t>
      </w:r>
      <w:r w:rsidRPr="00B95108">
        <w:rPr>
          <w:rFonts w:cs="Arial"/>
          <w:rtl/>
        </w:rPr>
        <w:t xml:space="preserve">תרי מגו תלתא, ואי נמי - תרי סהדי דפלגת באפי בי תלתא. </w:t>
      </w:r>
      <w:r w:rsidRPr="00B95108">
        <w:rPr>
          <w:rFonts w:cs="Arial"/>
          <w:u w:val="single"/>
          <w:rtl/>
        </w:rPr>
        <w:t>אמר ליה</w:t>
      </w:r>
      <w:r w:rsidRPr="00B95108">
        <w:rPr>
          <w:rFonts w:cs="Arial"/>
          <w:rtl/>
        </w:rPr>
        <w:t>: מנא לך הא? אמר ליה: דתנן</w:t>
      </w:r>
      <w:r>
        <w:rPr>
          <w:rStyle w:val="a7"/>
          <w:rFonts w:cs="Arial"/>
          <w:rtl/>
        </w:rPr>
        <w:footnoteReference w:id="2192"/>
      </w:r>
      <w:r w:rsidRPr="00B95108">
        <w:rPr>
          <w:rFonts w:cs="Arial"/>
          <w:rtl/>
        </w:rPr>
        <w:t xml:space="preserve"> אם יש שם בית דין - מתנה בפניהם, אין שם בית דין - בפני מי יתנה? שלו קודם. </w:t>
      </w:r>
      <w:r w:rsidRPr="00B95108">
        <w:rPr>
          <w:rFonts w:cs="Arial"/>
          <w:u w:val="single"/>
          <w:rtl/>
        </w:rPr>
        <w:t>אמר ליה</w:t>
      </w:r>
      <w:r w:rsidRPr="00B95108">
        <w:rPr>
          <w:rFonts w:cs="Arial"/>
          <w:rtl/>
        </w:rPr>
        <w:t>: מי דמי? התם דמפיק ממונא מהאי ומותיב להאי - בעינן בית דין, אבל הכא דידיה שקלי, גילוי מילתא</w:t>
      </w:r>
      <w:r>
        <w:rPr>
          <w:rStyle w:val="a7"/>
          <w:rFonts w:cs="Arial"/>
          <w:rtl/>
        </w:rPr>
        <w:footnoteReference w:id="2193"/>
      </w:r>
      <w:r w:rsidRPr="00B95108">
        <w:rPr>
          <w:rFonts w:cs="Arial"/>
          <w:rtl/>
        </w:rPr>
        <w:t xml:space="preserve"> בעלמא הוא, בתרי סגי ליה. תדע, דתנן: אלמנה</w:t>
      </w:r>
      <w:r>
        <w:rPr>
          <w:rStyle w:val="a7"/>
          <w:rFonts w:cs="Arial"/>
          <w:rtl/>
        </w:rPr>
        <w:footnoteReference w:id="2194"/>
      </w:r>
      <w:r w:rsidRPr="00B95108">
        <w:rPr>
          <w:rFonts w:cs="Arial"/>
          <w:rtl/>
        </w:rPr>
        <w:t xml:space="preserve"> מוכרת שלא בפני בית דין</w:t>
      </w:r>
      <w:r>
        <w:rPr>
          <w:rStyle w:val="a7"/>
          <w:rFonts w:cs="Arial"/>
          <w:rtl/>
        </w:rPr>
        <w:footnoteReference w:id="2195"/>
      </w:r>
      <w:r w:rsidRPr="00B95108">
        <w:rPr>
          <w:rFonts w:cs="Arial"/>
          <w:rtl/>
        </w:rPr>
        <w:t xml:space="preserve">. </w:t>
      </w:r>
      <w:r w:rsidRPr="00B95108">
        <w:rPr>
          <w:rFonts w:cs="Arial"/>
          <w:u w:val="single"/>
          <w:rtl/>
        </w:rPr>
        <w:t>אמר ליה אביי</w:t>
      </w:r>
      <w:r w:rsidRPr="00B95108">
        <w:rPr>
          <w:rFonts w:cs="Arial"/>
          <w:rtl/>
        </w:rPr>
        <w:t>: ולאו מי אתמר עלה, אמר רב יוסף בר מניומי אמר רב נחמן: אלמנה אינה צריכה בית דין של מומחין, אבל צריכה בית דין של הדיוטות.</w:t>
      </w:r>
      <w:r w:rsidRPr="009D3864">
        <w:rPr>
          <w:rFonts w:cs="Arial"/>
          <w:sz w:val="18"/>
          <w:szCs w:val="18"/>
          <w:rtl/>
        </w:rPr>
        <w:t xml:space="preserve"> </w:t>
      </w:r>
      <w:r>
        <w:rPr>
          <w:rFonts w:cs="Arial" w:hint="cs"/>
          <w:sz w:val="18"/>
          <w:szCs w:val="18"/>
          <w:rtl/>
        </w:rPr>
        <w:t>(</w:t>
      </w:r>
      <w:r w:rsidRPr="009D3864">
        <w:rPr>
          <w:rFonts w:cs="Arial"/>
          <w:sz w:val="18"/>
          <w:szCs w:val="18"/>
          <w:rtl/>
        </w:rPr>
        <w:t>וכתב הרמב"ם בפי"ז מהלכות אישות (הי"ג) דהיינו ג' אנשים נאמנים</w:t>
      </w:r>
      <w:r>
        <w:rPr>
          <w:rFonts w:cs="Arial" w:hint="cs"/>
          <w:sz w:val="18"/>
          <w:szCs w:val="18"/>
          <w:rtl/>
        </w:rPr>
        <w:t>.</w:t>
      </w:r>
      <w:r w:rsidRPr="009D3864">
        <w:rPr>
          <w:rFonts w:cs="Arial"/>
          <w:sz w:val="18"/>
          <w:szCs w:val="18"/>
          <w:rtl/>
        </w:rPr>
        <w:t xml:space="preserve"> וכבר כתבתי בסימן צ"ג (קמ: ד"ה ומ"ש ולא) שכן דעת הרי"ף (כתובות נו:) והרא"ש (פי"א סי' י) והר"ן (נו: ד"ה גמ') ז"ל</w:t>
      </w:r>
      <w:r>
        <w:rPr>
          <w:rFonts w:cs="Arial" w:hint="cs"/>
          <w:sz w:val="18"/>
          <w:szCs w:val="18"/>
          <w:rtl/>
        </w:rPr>
        <w:t>.</w:t>
      </w:r>
      <w:r w:rsidRPr="009D3864">
        <w:rPr>
          <w:rFonts w:cs="Arial"/>
          <w:sz w:val="18"/>
          <w:szCs w:val="18"/>
          <w:rtl/>
        </w:rPr>
        <w:t xml:space="preserve"> ודלא כרש"י (ב"מ שם ד"ה שלא) שפירש דהיינו לומר שיראו שנים שלא תמכור בזול</w:t>
      </w:r>
      <w:r>
        <w:rPr>
          <w:rStyle w:val="a7"/>
          <w:rFonts w:cs="Arial"/>
          <w:sz w:val="18"/>
          <w:szCs w:val="18"/>
          <w:rtl/>
        </w:rPr>
        <w:footnoteReference w:id="2196"/>
      </w:r>
      <w:r>
        <w:rPr>
          <w:rFonts w:cs="Arial" w:hint="cs"/>
          <w:sz w:val="18"/>
          <w:szCs w:val="18"/>
          <w:rtl/>
        </w:rPr>
        <w:t>, ב"י)</w:t>
      </w:r>
    </w:p>
    <w:p w14:paraId="39B7F871" w14:textId="77777777" w:rsidR="00392DBB" w:rsidRPr="00FE2714" w:rsidRDefault="00392DBB" w:rsidP="00392DBB">
      <w:pPr>
        <w:rPr>
          <w:u w:val="single"/>
          <w:rtl/>
        </w:rPr>
      </w:pPr>
      <w:r w:rsidRPr="00FE2714">
        <w:rPr>
          <w:rFonts w:hint="cs"/>
          <w:u w:val="single"/>
          <w:rtl/>
        </w:rPr>
        <w:t>אלמנה מוכרת מנכסי בעלה כדי לגבות כתובתה:</w:t>
      </w:r>
    </w:p>
    <w:p w14:paraId="61C2E0BD" w14:textId="77777777" w:rsidR="00392DBB" w:rsidRPr="008E1CC1" w:rsidRDefault="00392DBB" w:rsidP="009000E3">
      <w:pPr>
        <w:pStyle w:val="ab"/>
        <w:numPr>
          <w:ilvl w:val="0"/>
          <w:numId w:val="61"/>
        </w:numPr>
      </w:pPr>
      <w:r w:rsidRPr="00031435">
        <w:rPr>
          <w:rFonts w:cs="Arial" w:hint="cs"/>
          <w:rtl/>
        </w:rPr>
        <w:lastRenderedPageBreak/>
        <w:t xml:space="preserve">טור- </w:t>
      </w:r>
      <w:r w:rsidRPr="00031435">
        <w:rPr>
          <w:rFonts w:cs="Arial"/>
          <w:rtl/>
        </w:rPr>
        <w:t>אלמנה בין מן הנישואין בין מן האירוסין</w:t>
      </w:r>
      <w:r>
        <w:rPr>
          <w:rFonts w:cs="Arial" w:hint="cs"/>
          <w:rtl/>
        </w:rPr>
        <w:t xml:space="preserve">, </w:t>
      </w:r>
      <w:r w:rsidRPr="00031435">
        <w:rPr>
          <w:rFonts w:cs="Arial"/>
          <w:rtl/>
        </w:rPr>
        <w:t>מוכרת מנכסי בעלה לגבות כתובתה</w:t>
      </w:r>
      <w:r>
        <w:rPr>
          <w:rFonts w:cs="Arial" w:hint="cs"/>
          <w:rtl/>
        </w:rPr>
        <w:t>,</w:t>
      </w:r>
      <w:r w:rsidRPr="00031435">
        <w:rPr>
          <w:rFonts w:cs="Arial"/>
          <w:rtl/>
        </w:rPr>
        <w:t xml:space="preserve"> וכן שלא בבית דין ושלא בהכרזה</w:t>
      </w:r>
      <w:r>
        <w:rPr>
          <w:rStyle w:val="a7"/>
          <w:rFonts w:cs="Arial"/>
          <w:rtl/>
        </w:rPr>
        <w:footnoteReference w:id="2197"/>
      </w:r>
      <w:r>
        <w:rPr>
          <w:rFonts w:cs="Arial" w:hint="cs"/>
          <w:rtl/>
        </w:rPr>
        <w:t>.</w:t>
      </w:r>
      <w:r w:rsidRPr="00031435">
        <w:rPr>
          <w:rFonts w:cs="Arial"/>
          <w:rtl/>
        </w:rPr>
        <w:t xml:space="preserve"> לא שנא אם מוכרת לגבות כל כתובתה ביחד</w:t>
      </w:r>
      <w:r>
        <w:rPr>
          <w:rFonts w:cs="Arial" w:hint="cs"/>
          <w:rtl/>
        </w:rPr>
        <w:t>,</w:t>
      </w:r>
      <w:r w:rsidRPr="00031435">
        <w:rPr>
          <w:rFonts w:cs="Arial"/>
          <w:rtl/>
        </w:rPr>
        <w:t xml:space="preserve"> ל"ש אם מוכרת ג' או ד' פעמים לגבות מעט מעט</w:t>
      </w:r>
      <w:r>
        <w:rPr>
          <w:rFonts w:cs="Arial" w:hint="cs"/>
          <w:rtl/>
        </w:rPr>
        <w:t xml:space="preserve"> -</w:t>
      </w:r>
      <w:r w:rsidRPr="00031435">
        <w:rPr>
          <w:rFonts w:cs="Arial"/>
          <w:rtl/>
        </w:rPr>
        <w:t xml:space="preserve"> בכל פעם מוכרת שלא בב"ד מומחין</w:t>
      </w:r>
      <w:r>
        <w:rPr>
          <w:rFonts w:cs="Arial" w:hint="cs"/>
          <w:rtl/>
        </w:rPr>
        <w:t>.</w:t>
      </w:r>
      <w:r w:rsidRPr="00031435">
        <w:rPr>
          <w:rFonts w:cs="Arial"/>
          <w:rtl/>
        </w:rPr>
        <w:t xml:space="preserve"> אבל צריכה ב"ד הדיוטות</w:t>
      </w:r>
      <w:r>
        <w:rPr>
          <w:rFonts w:cs="Arial" w:hint="cs"/>
          <w:rtl/>
        </w:rPr>
        <w:t>,</w:t>
      </w:r>
      <w:r w:rsidRPr="00031435">
        <w:rPr>
          <w:rFonts w:cs="Arial"/>
          <w:rtl/>
        </w:rPr>
        <w:t xml:space="preserve"> ג' אנשים בקיאים בשומת קרקע</w:t>
      </w:r>
      <w:r>
        <w:rPr>
          <w:rFonts w:cs="Arial" w:hint="cs"/>
          <w:rtl/>
        </w:rPr>
        <w:t>.</w:t>
      </w:r>
      <w:r w:rsidRPr="00031435">
        <w:rPr>
          <w:rFonts w:cs="Arial"/>
          <w:rtl/>
        </w:rPr>
        <w:t xml:space="preserve"> </w:t>
      </w:r>
    </w:p>
    <w:p w14:paraId="0C349CC3" w14:textId="77777777" w:rsidR="00392DBB" w:rsidRPr="008E1CC1" w:rsidRDefault="00392DBB" w:rsidP="00392DBB">
      <w:pPr>
        <w:ind w:left="360"/>
        <w:rPr>
          <w:u w:val="dotted"/>
        </w:rPr>
      </w:pPr>
      <w:r w:rsidRPr="008E1CC1">
        <w:rPr>
          <w:rFonts w:hint="cs"/>
          <w:u w:val="dotted"/>
          <w:rtl/>
        </w:rPr>
        <w:t>ומה הדין אם מכרה אף בלא בית דין הדיוטות:</w:t>
      </w:r>
    </w:p>
    <w:p w14:paraId="596EA01B" w14:textId="77777777" w:rsidR="00392DBB" w:rsidRDefault="00392DBB" w:rsidP="009000E3">
      <w:pPr>
        <w:pStyle w:val="ab"/>
        <w:numPr>
          <w:ilvl w:val="0"/>
          <w:numId w:val="61"/>
        </w:numPr>
      </w:pPr>
      <w:r>
        <w:rPr>
          <w:rFonts w:cs="Arial" w:hint="cs"/>
          <w:rtl/>
        </w:rPr>
        <w:t xml:space="preserve">ר"ח </w:t>
      </w:r>
      <w:r>
        <w:rPr>
          <w:rFonts w:cs="Arial" w:hint="cs"/>
          <w:sz w:val="16"/>
          <w:szCs w:val="16"/>
          <w:rtl/>
        </w:rPr>
        <w:t>(כ"כ בשמו בהעי"ט [</w:t>
      </w:r>
      <w:r w:rsidRPr="00616AD7">
        <w:rPr>
          <w:rFonts w:cs="Arial"/>
          <w:sz w:val="16"/>
          <w:szCs w:val="16"/>
          <w:rtl/>
        </w:rPr>
        <w:t>אות כ כתובות לה ע"ג</w:t>
      </w:r>
      <w:r>
        <w:rPr>
          <w:rFonts w:cs="Arial" w:hint="cs"/>
          <w:sz w:val="16"/>
          <w:szCs w:val="16"/>
          <w:rtl/>
        </w:rPr>
        <w:t xml:space="preserve">] והטור) </w:t>
      </w:r>
      <w:r>
        <w:rPr>
          <w:rFonts w:cs="Arial"/>
          <w:rtl/>
        </w:rPr>
        <w:t xml:space="preserve">רמב"ן </w:t>
      </w:r>
      <w:r w:rsidRPr="00616AD7">
        <w:rPr>
          <w:rFonts w:cs="Arial"/>
          <w:sz w:val="16"/>
          <w:szCs w:val="16"/>
          <w:rtl/>
        </w:rPr>
        <w:t>(ב"מ לב: ד"ה ואי)</w:t>
      </w:r>
      <w:r>
        <w:rPr>
          <w:rFonts w:cs="Arial" w:hint="cs"/>
          <w:rtl/>
        </w:rPr>
        <w:t xml:space="preserve"> ורא"ש </w:t>
      </w:r>
      <w:r w:rsidRPr="00616AD7">
        <w:rPr>
          <w:rFonts w:cs="Arial"/>
          <w:sz w:val="16"/>
          <w:szCs w:val="16"/>
          <w:rtl/>
        </w:rPr>
        <w:t>(</w:t>
      </w:r>
      <w:r>
        <w:rPr>
          <w:rFonts w:cs="Arial" w:hint="cs"/>
          <w:sz w:val="16"/>
          <w:szCs w:val="16"/>
          <w:rtl/>
        </w:rPr>
        <w:t>כלל צא סי' ט, ו</w:t>
      </w:r>
      <w:r w:rsidRPr="00616AD7">
        <w:rPr>
          <w:rFonts w:cs="Arial"/>
          <w:sz w:val="16"/>
          <w:szCs w:val="16"/>
          <w:rtl/>
        </w:rPr>
        <w:t>כלל נ סי' ח)</w:t>
      </w:r>
      <w:r>
        <w:rPr>
          <w:rFonts w:cs="Arial" w:hint="cs"/>
          <w:rtl/>
        </w:rPr>
        <w:t xml:space="preserve">- </w:t>
      </w:r>
      <w:r w:rsidRPr="00031435">
        <w:rPr>
          <w:rFonts w:cs="Arial"/>
          <w:rtl/>
        </w:rPr>
        <w:t xml:space="preserve">אם מכרה בלא ב"ד הדיוטות </w:t>
      </w:r>
      <w:r>
        <w:rPr>
          <w:rFonts w:cs="Arial" w:hint="cs"/>
          <w:rtl/>
        </w:rPr>
        <w:t xml:space="preserve">- </w:t>
      </w:r>
      <w:r w:rsidRPr="00031435">
        <w:rPr>
          <w:rFonts w:cs="Arial"/>
          <w:rtl/>
        </w:rPr>
        <w:t>מכרה בטל</w:t>
      </w:r>
      <w:r>
        <w:rPr>
          <w:rFonts w:cs="Arial" w:hint="cs"/>
          <w:rtl/>
        </w:rPr>
        <w:t>.</w:t>
      </w:r>
      <w:r w:rsidRPr="00031435">
        <w:rPr>
          <w:rFonts w:cs="Arial"/>
          <w:rtl/>
        </w:rPr>
        <w:t xml:space="preserve"> </w:t>
      </w:r>
    </w:p>
    <w:p w14:paraId="04011FA7" w14:textId="77777777" w:rsidR="00392DBB" w:rsidRPr="00790BDF" w:rsidRDefault="00392DBB" w:rsidP="009000E3">
      <w:pPr>
        <w:pStyle w:val="ab"/>
        <w:numPr>
          <w:ilvl w:val="0"/>
          <w:numId w:val="61"/>
        </w:numPr>
      </w:pPr>
      <w:r w:rsidRPr="00616AD7">
        <w:rPr>
          <w:rFonts w:cs="Arial"/>
          <w:rtl/>
        </w:rPr>
        <w:t xml:space="preserve">רמב"ם </w:t>
      </w:r>
      <w:r w:rsidRPr="00616AD7">
        <w:rPr>
          <w:rFonts w:cs="Arial" w:hint="cs"/>
          <w:sz w:val="16"/>
          <w:szCs w:val="16"/>
          <w:rtl/>
        </w:rPr>
        <w:t>(</w:t>
      </w:r>
      <w:r w:rsidRPr="00616AD7">
        <w:rPr>
          <w:rFonts w:cs="Arial"/>
          <w:sz w:val="16"/>
          <w:szCs w:val="16"/>
          <w:rtl/>
        </w:rPr>
        <w:t>פי"ז הי"ד</w:t>
      </w:r>
      <w:r>
        <w:rPr>
          <w:rFonts w:cs="Arial" w:hint="cs"/>
          <w:sz w:val="16"/>
          <w:szCs w:val="16"/>
          <w:rtl/>
        </w:rPr>
        <w:t xml:space="preserve">, וכ"כ </w:t>
      </w:r>
      <w:r w:rsidRPr="00616AD7">
        <w:rPr>
          <w:rFonts w:cs="Arial" w:hint="cs"/>
          <w:sz w:val="16"/>
          <w:szCs w:val="16"/>
          <w:rtl/>
        </w:rPr>
        <w:t>ב</w:t>
      </w:r>
      <w:r w:rsidRPr="00616AD7">
        <w:rPr>
          <w:rFonts w:cs="Arial"/>
          <w:sz w:val="16"/>
          <w:szCs w:val="16"/>
          <w:rtl/>
        </w:rPr>
        <w:t>פי"ח ה"כ</w:t>
      </w:r>
      <w:r>
        <w:rPr>
          <w:rStyle w:val="a7"/>
          <w:rFonts w:cs="Arial"/>
          <w:sz w:val="16"/>
          <w:szCs w:val="16"/>
          <w:rtl/>
        </w:rPr>
        <w:footnoteReference w:id="2198"/>
      </w:r>
      <w:r w:rsidRPr="00616AD7">
        <w:rPr>
          <w:rFonts w:cs="Arial"/>
          <w:sz w:val="16"/>
          <w:szCs w:val="16"/>
          <w:rtl/>
        </w:rPr>
        <w:t xml:space="preserve"> לענין מזונות</w:t>
      </w:r>
      <w:r w:rsidRPr="00616AD7">
        <w:rPr>
          <w:rFonts w:cs="Arial" w:hint="cs"/>
          <w:sz w:val="16"/>
          <w:szCs w:val="16"/>
          <w:rtl/>
        </w:rPr>
        <w:t>)</w:t>
      </w:r>
      <w:r>
        <w:rPr>
          <w:rFonts w:cs="Arial" w:hint="cs"/>
          <w:rtl/>
        </w:rPr>
        <w:t xml:space="preserve">- </w:t>
      </w:r>
      <w:r w:rsidRPr="009819B5">
        <w:rPr>
          <w:rFonts w:cs="Arial"/>
          <w:rtl/>
        </w:rPr>
        <w:t xml:space="preserve">אלמנה שמכרה קרקע בכתובתה בינה לבין עצמה, אם מכרה שוה בשוה </w:t>
      </w:r>
      <w:r>
        <w:rPr>
          <w:rFonts w:cs="Arial" w:hint="cs"/>
          <w:rtl/>
        </w:rPr>
        <w:t xml:space="preserve">- </w:t>
      </w:r>
      <w:r w:rsidRPr="009819B5">
        <w:rPr>
          <w:rFonts w:cs="Arial"/>
          <w:rtl/>
        </w:rPr>
        <w:t>מכרה קיים</w:t>
      </w:r>
      <w:r>
        <w:rPr>
          <w:rFonts w:cs="Arial" w:hint="cs"/>
          <w:rtl/>
        </w:rPr>
        <w:t>.</w:t>
      </w:r>
      <w:r w:rsidRPr="009819B5">
        <w:rPr>
          <w:rFonts w:cs="Arial"/>
          <w:rtl/>
        </w:rPr>
        <w:t xml:space="preserve"> ונשבעת שבועת אלמנה אחר שמכרה</w:t>
      </w:r>
      <w:r>
        <w:rPr>
          <w:rStyle w:val="a7"/>
          <w:rFonts w:cs="Arial"/>
          <w:rtl/>
        </w:rPr>
        <w:footnoteReference w:id="2199"/>
      </w:r>
      <w:r>
        <w:rPr>
          <w:rFonts w:cs="Arial" w:hint="cs"/>
          <w:rtl/>
        </w:rPr>
        <w:t>.</w:t>
      </w:r>
      <w:r w:rsidRPr="009819B5">
        <w:rPr>
          <w:rFonts w:cs="Arial"/>
          <w:rtl/>
        </w:rPr>
        <w:t xml:space="preserve"> והוא שמכרה לאחר אבל אם שמה לעצמה לא עשת כלום ואפילו הכריזה</w:t>
      </w:r>
      <w:r>
        <w:rPr>
          <w:rStyle w:val="a7"/>
          <w:rFonts w:cs="Arial"/>
          <w:rtl/>
        </w:rPr>
        <w:footnoteReference w:id="2200"/>
      </w:r>
      <w:r w:rsidRPr="009819B5">
        <w:rPr>
          <w:rFonts w:cs="Arial" w:hint="cs"/>
          <w:rtl/>
        </w:rPr>
        <w:t>.</w:t>
      </w:r>
      <w:r w:rsidRPr="009C33F7">
        <w:rPr>
          <w:rFonts w:cs="Arial"/>
          <w:rtl/>
        </w:rPr>
        <w:t xml:space="preserve"> </w:t>
      </w:r>
      <w:r w:rsidRPr="009C33F7">
        <w:rPr>
          <w:rFonts w:cs="Arial" w:hint="cs"/>
          <w:color w:val="E36C0A" w:themeColor="accent6" w:themeShade="BF"/>
          <w:rtl/>
        </w:rPr>
        <w:t>(וכ"פ בשו"ע</w:t>
      </w:r>
      <w:r w:rsidRPr="009C33F7">
        <w:rPr>
          <w:rFonts w:cs="Arial" w:hint="cs"/>
          <w:color w:val="E36C0A" w:themeColor="accent6" w:themeShade="BF"/>
          <w:sz w:val="16"/>
          <w:szCs w:val="16"/>
          <w:rtl/>
        </w:rPr>
        <w:t xml:space="preserve"> </w:t>
      </w:r>
      <w:r w:rsidRPr="009C33F7">
        <w:rPr>
          <w:rFonts w:cs="Arial" w:hint="cs"/>
          <w:sz w:val="16"/>
          <w:szCs w:val="16"/>
          <w:rtl/>
        </w:rPr>
        <w:t>[כאן, ובסי' צג סכ"ה]</w:t>
      </w:r>
      <w:r w:rsidRPr="009C33F7">
        <w:rPr>
          <w:rFonts w:cs="Arial" w:hint="cs"/>
          <w:color w:val="E36C0A" w:themeColor="accent6" w:themeShade="BF"/>
          <w:rtl/>
        </w:rPr>
        <w:t>)</w:t>
      </w:r>
      <w:r>
        <w:rPr>
          <w:rFonts w:hint="cs"/>
          <w:rtl/>
        </w:rPr>
        <w:t xml:space="preserve"> </w:t>
      </w:r>
    </w:p>
    <w:p w14:paraId="3A27F61A" w14:textId="77777777" w:rsidR="00392DBB" w:rsidRPr="00790BDF" w:rsidRDefault="00392DBB" w:rsidP="00392DBB">
      <w:pPr>
        <w:rPr>
          <w:u w:val="single"/>
        </w:rPr>
      </w:pPr>
      <w:r w:rsidRPr="00790BDF">
        <w:rPr>
          <w:rFonts w:hint="cs"/>
          <w:u w:val="single"/>
          <w:rtl/>
        </w:rPr>
        <w:t xml:space="preserve">אלמנה מוכרת מנכסי בעלה כדי לגבות </w:t>
      </w:r>
      <w:r w:rsidRPr="00790BDF">
        <w:rPr>
          <w:rFonts w:hint="cs"/>
          <w:b/>
          <w:bCs/>
          <w:u w:val="single"/>
          <w:rtl/>
        </w:rPr>
        <w:t xml:space="preserve">תוספת כתובה </w:t>
      </w:r>
      <w:r w:rsidRPr="00790BDF">
        <w:rPr>
          <w:rFonts w:hint="cs"/>
          <w:u w:val="single"/>
          <w:rtl/>
        </w:rPr>
        <w:t>או</w:t>
      </w:r>
      <w:r w:rsidRPr="00790BDF">
        <w:rPr>
          <w:rFonts w:hint="cs"/>
          <w:b/>
          <w:bCs/>
          <w:u w:val="single"/>
          <w:rtl/>
        </w:rPr>
        <w:t xml:space="preserve"> נדוניא</w:t>
      </w:r>
      <w:r w:rsidRPr="00790BDF">
        <w:rPr>
          <w:rFonts w:hint="cs"/>
          <w:u w:val="single"/>
          <w:rtl/>
        </w:rPr>
        <w:t>:</w:t>
      </w:r>
    </w:p>
    <w:p w14:paraId="2A191246" w14:textId="77777777" w:rsidR="00392DBB" w:rsidRDefault="00392DBB" w:rsidP="009000E3">
      <w:pPr>
        <w:pStyle w:val="ab"/>
        <w:numPr>
          <w:ilvl w:val="0"/>
          <w:numId w:val="61"/>
        </w:numPr>
      </w:pPr>
      <w:r w:rsidRPr="00790BDF">
        <w:rPr>
          <w:rFonts w:cs="Arial"/>
          <w:rtl/>
        </w:rPr>
        <w:t xml:space="preserve">ריטב"א </w:t>
      </w:r>
      <w:r w:rsidRPr="00790BDF">
        <w:rPr>
          <w:rFonts w:cs="Arial" w:hint="cs"/>
          <w:sz w:val="16"/>
          <w:szCs w:val="16"/>
          <w:rtl/>
        </w:rPr>
        <w:t>(</w:t>
      </w:r>
      <w:r w:rsidRPr="00790BDF">
        <w:rPr>
          <w:rFonts w:cs="Arial"/>
          <w:sz w:val="16"/>
          <w:szCs w:val="16"/>
          <w:rtl/>
        </w:rPr>
        <w:t>פ</w:t>
      </w:r>
      <w:r w:rsidRPr="00790BDF">
        <w:rPr>
          <w:rFonts w:cs="Arial" w:hint="cs"/>
          <w:sz w:val="16"/>
          <w:szCs w:val="16"/>
          <w:rtl/>
        </w:rPr>
        <w:t>'</w:t>
      </w:r>
      <w:r w:rsidRPr="00790BDF">
        <w:rPr>
          <w:rFonts w:cs="Arial"/>
          <w:sz w:val="16"/>
          <w:szCs w:val="16"/>
          <w:rtl/>
        </w:rPr>
        <w:t xml:space="preserve"> אלמנה נזונת צז: ד"ה גרסת)</w:t>
      </w:r>
      <w:r w:rsidRPr="00790BDF">
        <w:rPr>
          <w:rFonts w:cs="Arial" w:hint="cs"/>
          <w:rtl/>
        </w:rPr>
        <w:t>-</w:t>
      </w:r>
      <w:r w:rsidRPr="00790BDF">
        <w:rPr>
          <w:rFonts w:cs="Arial"/>
          <w:rtl/>
        </w:rPr>
        <w:t xml:space="preserve"> והשתא דפרישנא טעמא דאלמנה מן האירוסין משום חינא או משום שלא תתבזה בבית דין</w:t>
      </w:r>
      <w:r w:rsidRPr="00790BDF">
        <w:rPr>
          <w:rFonts w:cs="Arial" w:hint="cs"/>
          <w:rtl/>
        </w:rPr>
        <w:t xml:space="preserve"> -</w:t>
      </w:r>
      <w:r w:rsidRPr="00790BDF">
        <w:rPr>
          <w:rFonts w:cs="Arial"/>
          <w:rtl/>
        </w:rPr>
        <w:t xml:space="preserve"> כל שכן דאיתנהו להני טעמי באלמנה מן הנשואין</w:t>
      </w:r>
      <w:r w:rsidRPr="00790BDF">
        <w:rPr>
          <w:rFonts w:cs="Arial" w:hint="cs"/>
          <w:rtl/>
        </w:rPr>
        <w:t>.</w:t>
      </w:r>
      <w:r w:rsidRPr="00790BDF">
        <w:rPr>
          <w:rFonts w:cs="Arial"/>
          <w:rtl/>
        </w:rPr>
        <w:t xml:space="preserve"> וכיון שכן אפילו היכא דליכא משום הפסד מזונות</w:t>
      </w:r>
      <w:r w:rsidRPr="00790BDF">
        <w:rPr>
          <w:rFonts w:cs="Arial" w:hint="cs"/>
          <w:rtl/>
        </w:rPr>
        <w:t>,</w:t>
      </w:r>
      <w:r w:rsidRPr="00790BDF">
        <w:rPr>
          <w:rFonts w:cs="Arial"/>
          <w:rtl/>
        </w:rPr>
        <w:t xml:space="preserve"> כגון שאינה מוכרת אלא מקצת כתובתה שעדיין יש לה מזונות</w:t>
      </w:r>
      <w:r w:rsidRPr="00790BDF">
        <w:rPr>
          <w:rFonts w:cs="Arial" w:hint="cs"/>
          <w:rtl/>
        </w:rPr>
        <w:t xml:space="preserve"> -</w:t>
      </w:r>
      <w:r w:rsidRPr="00790BDF">
        <w:rPr>
          <w:rFonts w:cs="Arial"/>
          <w:rtl/>
        </w:rPr>
        <w:t xml:space="preserve"> מוכרת היא שלא בבית דין</w:t>
      </w:r>
      <w:r w:rsidRPr="00790BDF">
        <w:rPr>
          <w:rFonts w:cs="Arial" w:hint="cs"/>
          <w:rtl/>
        </w:rPr>
        <w:t>.</w:t>
      </w:r>
      <w:r w:rsidRPr="00790BDF">
        <w:rPr>
          <w:rFonts w:cs="Arial"/>
          <w:rtl/>
        </w:rPr>
        <w:t xml:space="preserve"> ומיהו טעמא דמזוני</w:t>
      </w:r>
      <w:r w:rsidRPr="00790BDF">
        <w:rPr>
          <w:rFonts w:cs="Arial" w:hint="cs"/>
          <w:rtl/>
        </w:rPr>
        <w:t>,</w:t>
      </w:r>
      <w:r w:rsidRPr="00790BDF">
        <w:rPr>
          <w:rFonts w:cs="Arial"/>
          <w:rtl/>
        </w:rPr>
        <w:t xml:space="preserve"> טעם כעיקר הוא</w:t>
      </w:r>
      <w:r w:rsidRPr="00790BDF">
        <w:rPr>
          <w:rFonts w:cs="Arial" w:hint="cs"/>
          <w:rtl/>
        </w:rPr>
        <w:t>.</w:t>
      </w:r>
      <w:r w:rsidRPr="00790BDF">
        <w:rPr>
          <w:rFonts w:cs="Arial"/>
          <w:rtl/>
        </w:rPr>
        <w:t xml:space="preserve"> ונפקא מינה כי אע</w:t>
      </w:r>
      <w:r w:rsidRPr="00790BDF">
        <w:rPr>
          <w:rFonts w:cs="Arial" w:hint="cs"/>
          <w:rtl/>
        </w:rPr>
        <w:t>"</w:t>
      </w:r>
      <w:r w:rsidRPr="00790BDF">
        <w:rPr>
          <w:rFonts w:cs="Arial"/>
          <w:rtl/>
        </w:rPr>
        <w:t>פ שמכרה בב"ד לעיקר כתובתה</w:t>
      </w:r>
      <w:r w:rsidRPr="00790BDF">
        <w:rPr>
          <w:rFonts w:cs="Arial" w:hint="cs"/>
          <w:rtl/>
        </w:rPr>
        <w:t>,</w:t>
      </w:r>
      <w:r w:rsidRPr="00790BDF">
        <w:rPr>
          <w:rFonts w:cs="Arial"/>
          <w:rtl/>
        </w:rPr>
        <w:t xml:space="preserve"> כיון שעדיין יש לה מזונות לרבנן משום תוספת</w:t>
      </w:r>
      <w:r w:rsidRPr="00790BDF">
        <w:rPr>
          <w:rFonts w:cs="Arial" w:hint="cs"/>
          <w:rtl/>
        </w:rPr>
        <w:t>,</w:t>
      </w:r>
      <w:r w:rsidRPr="00790BDF">
        <w:rPr>
          <w:rFonts w:cs="Arial"/>
          <w:rtl/>
        </w:rPr>
        <w:t xml:space="preserve"> כדמפרש בר"פ אף על פי (כתובות נד:)</w:t>
      </w:r>
      <w:r w:rsidRPr="00790BDF">
        <w:rPr>
          <w:rFonts w:cs="Arial" w:hint="cs"/>
          <w:rtl/>
        </w:rPr>
        <w:t>,</w:t>
      </w:r>
      <w:r w:rsidRPr="00790BDF">
        <w:rPr>
          <w:rFonts w:cs="Arial"/>
          <w:rtl/>
        </w:rPr>
        <w:t xml:space="preserve"> אף היא מוכרת משום תוספת שלא בבית דין</w:t>
      </w:r>
      <w:r w:rsidRPr="00790BDF">
        <w:rPr>
          <w:rFonts w:cs="Arial" w:hint="cs"/>
          <w:rtl/>
        </w:rPr>
        <w:t>.</w:t>
      </w:r>
      <w:r w:rsidRPr="00790BDF">
        <w:rPr>
          <w:rFonts w:cs="Arial"/>
          <w:rtl/>
        </w:rPr>
        <w:t xml:space="preserve"> ואפילו תימא תוספת ליכא לאחמורי על היתומים משום חינא או משום שלא תתבזה בבית דין</w:t>
      </w:r>
      <w:r w:rsidRPr="00790BDF">
        <w:rPr>
          <w:rFonts w:cs="Arial" w:hint="cs"/>
          <w:rtl/>
        </w:rPr>
        <w:t>,</w:t>
      </w:r>
      <w:r w:rsidRPr="00790BDF">
        <w:rPr>
          <w:rFonts w:cs="Arial"/>
          <w:rtl/>
        </w:rPr>
        <w:t xml:space="preserve"> הא איכא משום מזוני</w:t>
      </w:r>
      <w:r w:rsidRPr="00790BDF">
        <w:rPr>
          <w:rFonts w:cs="Arial" w:hint="cs"/>
          <w:rtl/>
        </w:rPr>
        <w:t>.</w:t>
      </w:r>
      <w:r w:rsidRPr="00790BDF">
        <w:rPr>
          <w:rFonts w:cs="Arial"/>
          <w:rtl/>
        </w:rPr>
        <w:t xml:space="preserve"> אבל לנדוניא דלא מעכב</w:t>
      </w:r>
      <w:r w:rsidRPr="00790BDF">
        <w:rPr>
          <w:rFonts w:cs="Arial" w:hint="cs"/>
          <w:rtl/>
        </w:rPr>
        <w:t>א</w:t>
      </w:r>
      <w:r w:rsidRPr="00790BDF">
        <w:rPr>
          <w:rFonts w:cs="Arial"/>
          <w:rtl/>
        </w:rPr>
        <w:t xml:space="preserve"> במזוני דינה כחוב דעלמא ואינה מוכרת אלא בבית דין</w:t>
      </w:r>
      <w:r w:rsidRPr="00790BDF">
        <w:rPr>
          <w:rFonts w:cs="Arial" w:hint="cs"/>
          <w:rtl/>
        </w:rPr>
        <w:t>,</w:t>
      </w:r>
      <w:r w:rsidRPr="00790BDF">
        <w:rPr>
          <w:rFonts w:cs="Arial"/>
          <w:rtl/>
        </w:rPr>
        <w:t xml:space="preserve"> ולא חיישינן לחינא ולא לביזוי בית דין</w:t>
      </w:r>
      <w:r w:rsidRPr="00790BDF">
        <w:rPr>
          <w:rFonts w:cs="Arial" w:hint="cs"/>
          <w:rtl/>
        </w:rPr>
        <w:t>.</w:t>
      </w:r>
      <w:r>
        <w:rPr>
          <w:rFonts w:hint="cs"/>
          <w:rtl/>
        </w:rPr>
        <w:t xml:space="preserve"> </w:t>
      </w:r>
      <w:r w:rsidRPr="009C33F7">
        <w:rPr>
          <w:rFonts w:hint="cs"/>
          <w:color w:val="00B0F0"/>
          <w:rtl/>
        </w:rPr>
        <w:t>(</w:t>
      </w:r>
      <w:r>
        <w:rPr>
          <w:rFonts w:hint="cs"/>
          <w:color w:val="00B0F0"/>
          <w:rtl/>
        </w:rPr>
        <w:t>ו</w:t>
      </w:r>
      <w:r w:rsidRPr="009C33F7">
        <w:rPr>
          <w:rFonts w:hint="cs"/>
          <w:color w:val="00B0F0"/>
          <w:rtl/>
        </w:rPr>
        <w:t>כ"פ הרמ"א)</w:t>
      </w:r>
    </w:p>
    <w:p w14:paraId="1EDEBE34" w14:textId="77777777" w:rsidR="00392DBB" w:rsidRDefault="00392DBB" w:rsidP="009000E3">
      <w:pPr>
        <w:pStyle w:val="ab"/>
        <w:numPr>
          <w:ilvl w:val="0"/>
          <w:numId w:val="61"/>
        </w:numPr>
        <w:rPr>
          <w:rtl/>
        </w:rPr>
      </w:pPr>
      <w:r>
        <w:rPr>
          <w:rFonts w:hint="cs"/>
          <w:rtl/>
        </w:rPr>
        <w:t>(הה"מ</w:t>
      </w:r>
      <w:r>
        <w:rPr>
          <w:rStyle w:val="a7"/>
          <w:rtl/>
        </w:rPr>
        <w:footnoteReference w:id="2201"/>
      </w:r>
      <w:r>
        <w:rPr>
          <w:rFonts w:hint="cs"/>
          <w:rtl/>
        </w:rPr>
        <w:t xml:space="preserve"> </w:t>
      </w:r>
      <w:r>
        <w:rPr>
          <w:rFonts w:hint="cs"/>
          <w:sz w:val="16"/>
          <w:szCs w:val="16"/>
          <w:rtl/>
        </w:rPr>
        <w:t>[פי"ז מאישות הט"ז] להב' ח"מ [סק"ג]</w:t>
      </w:r>
      <w:r w:rsidRPr="004B5030">
        <w:rPr>
          <w:rFonts w:hint="cs"/>
          <w:sz w:val="16"/>
          <w:szCs w:val="16"/>
          <w:rtl/>
        </w:rPr>
        <w:t xml:space="preserve"> </w:t>
      </w:r>
      <w:r>
        <w:rPr>
          <w:rFonts w:hint="cs"/>
          <w:sz w:val="16"/>
          <w:szCs w:val="16"/>
          <w:rtl/>
        </w:rPr>
        <w:t>וב"ש [סק"ג]</w:t>
      </w:r>
      <w:r>
        <w:rPr>
          <w:rFonts w:hint="cs"/>
          <w:rtl/>
        </w:rPr>
        <w:t xml:space="preserve">)- </w:t>
      </w:r>
      <w:r w:rsidRPr="00F71E3F">
        <w:rPr>
          <w:rFonts w:cs="Arial"/>
          <w:rtl/>
        </w:rPr>
        <w:t>דין צאן ברזל בדברים אלו נראה שהוא כדין העיקר והתוספת לפי שיפוי כח הוא לאשה מפני שאדם רוצה שלא תתבזה אשתו בב"ד</w:t>
      </w:r>
      <w:r>
        <w:rPr>
          <w:rFonts w:hint="cs"/>
          <w:sz w:val="16"/>
          <w:szCs w:val="16"/>
          <w:rtl/>
        </w:rPr>
        <w:t xml:space="preserve"> (ל' הה"מ לגבי עניין אחר שם)</w:t>
      </w:r>
      <w:r>
        <w:rPr>
          <w:rFonts w:hint="cs"/>
          <w:rtl/>
        </w:rPr>
        <w:t>.</w:t>
      </w:r>
    </w:p>
    <w:p w14:paraId="6233A243"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1E4C837" w14:textId="77777777" w:rsidR="00392DBB" w:rsidRDefault="00392DBB" w:rsidP="00392DBB">
      <w:pPr>
        <w:rPr>
          <w:rtl/>
        </w:rPr>
      </w:pPr>
      <w:r>
        <w:rPr>
          <w:rFonts w:cs="Arial"/>
          <w:rtl/>
        </w:rPr>
        <w:t>אלמנה, בין מן האירוסין אם כתב לה כתובה</w:t>
      </w:r>
      <w:r>
        <w:rPr>
          <w:rStyle w:val="a7"/>
          <w:rFonts w:cs="Arial"/>
          <w:rtl/>
        </w:rPr>
        <w:footnoteReference w:id="2202"/>
      </w:r>
      <w:r>
        <w:rPr>
          <w:rFonts w:cs="Arial"/>
          <w:rtl/>
        </w:rPr>
        <w:t>, בין מן הנשואין, מוכרת מנכסי בעלה</w:t>
      </w:r>
      <w:r>
        <w:rPr>
          <w:rStyle w:val="a7"/>
          <w:rFonts w:cs="Arial"/>
          <w:rtl/>
        </w:rPr>
        <w:footnoteReference w:id="2203"/>
      </w:r>
      <w:r>
        <w:rPr>
          <w:rFonts w:cs="Arial"/>
          <w:rtl/>
        </w:rPr>
        <w:t xml:space="preserve"> לגבות כתובתה שלא בב</w:t>
      </w:r>
      <w:r>
        <w:rPr>
          <w:rFonts w:cs="Arial" w:hint="cs"/>
          <w:rtl/>
        </w:rPr>
        <w:t xml:space="preserve">ית </w:t>
      </w:r>
      <w:r>
        <w:rPr>
          <w:rFonts w:cs="Arial"/>
          <w:rtl/>
        </w:rPr>
        <w:t>ד</w:t>
      </w:r>
      <w:r>
        <w:rPr>
          <w:rFonts w:cs="Arial" w:hint="cs"/>
          <w:rtl/>
        </w:rPr>
        <w:t>ין</w:t>
      </w:r>
      <w:r>
        <w:rPr>
          <w:rFonts w:cs="Arial"/>
          <w:rtl/>
        </w:rPr>
        <w:t xml:space="preserve"> ושלא בהכרזה</w:t>
      </w:r>
      <w:r>
        <w:rPr>
          <w:rStyle w:val="a7"/>
          <w:rFonts w:cs="Arial"/>
          <w:rtl/>
        </w:rPr>
        <w:footnoteReference w:id="2204"/>
      </w:r>
      <w:r>
        <w:rPr>
          <w:rFonts w:cs="Arial" w:hint="cs"/>
          <w:rtl/>
        </w:rPr>
        <w:t>.</w:t>
      </w:r>
      <w:r>
        <w:rPr>
          <w:rFonts w:cs="Arial"/>
          <w:rtl/>
        </w:rPr>
        <w:t xml:space="preserve"> לא שנא אם מוכרת לגבות כל כתובתה ביחד, לא שנא אם מוכרת שלשה או ארבעה פעמים לגבות מעט מעט בכל פעם, מוכרת שלא בב</w:t>
      </w:r>
      <w:r>
        <w:rPr>
          <w:rFonts w:cs="Arial" w:hint="cs"/>
          <w:rtl/>
        </w:rPr>
        <w:t xml:space="preserve">ית </w:t>
      </w:r>
      <w:r>
        <w:rPr>
          <w:rFonts w:cs="Arial"/>
          <w:rtl/>
        </w:rPr>
        <w:t>ד</w:t>
      </w:r>
      <w:r>
        <w:rPr>
          <w:rFonts w:cs="Arial" w:hint="cs"/>
          <w:rtl/>
        </w:rPr>
        <w:t>ין</w:t>
      </w:r>
      <w:r>
        <w:rPr>
          <w:rFonts w:cs="Arial"/>
          <w:rtl/>
        </w:rPr>
        <w:t xml:space="preserve"> מומחים, אבל צריכה ב</w:t>
      </w:r>
      <w:r>
        <w:rPr>
          <w:rFonts w:cs="Arial" w:hint="cs"/>
          <w:rtl/>
        </w:rPr>
        <w:t xml:space="preserve">ית </w:t>
      </w:r>
      <w:r>
        <w:rPr>
          <w:rFonts w:cs="Arial"/>
          <w:rtl/>
        </w:rPr>
        <w:t>ד</w:t>
      </w:r>
      <w:r>
        <w:rPr>
          <w:rFonts w:cs="Arial" w:hint="cs"/>
          <w:rtl/>
        </w:rPr>
        <w:t>ין</w:t>
      </w:r>
      <w:r>
        <w:rPr>
          <w:rFonts w:cs="Arial"/>
          <w:rtl/>
        </w:rPr>
        <w:t xml:space="preserve"> הדיוטות</w:t>
      </w:r>
      <w:r>
        <w:rPr>
          <w:rStyle w:val="a7"/>
          <w:rFonts w:cs="Arial"/>
          <w:rtl/>
        </w:rPr>
        <w:footnoteReference w:id="2205"/>
      </w:r>
      <w:r>
        <w:rPr>
          <w:rFonts w:cs="Arial" w:hint="cs"/>
          <w:rtl/>
        </w:rPr>
        <w:t>,</w:t>
      </w:r>
      <w:r>
        <w:rPr>
          <w:rFonts w:cs="Arial"/>
          <w:rtl/>
        </w:rPr>
        <w:t xml:space="preserve"> שלשה אנשים נאמנים בקיאים </w:t>
      </w:r>
      <w:r>
        <w:rPr>
          <w:rFonts w:cs="Arial"/>
          <w:rtl/>
        </w:rPr>
        <w:lastRenderedPageBreak/>
        <w:t>בשומת קרקע</w:t>
      </w:r>
      <w:r>
        <w:rPr>
          <w:rStyle w:val="a7"/>
          <w:rFonts w:cs="Arial"/>
          <w:rtl/>
        </w:rPr>
        <w:footnoteReference w:id="2206"/>
      </w:r>
      <w:r>
        <w:rPr>
          <w:rFonts w:cs="Arial"/>
          <w:rtl/>
        </w:rPr>
        <w:t xml:space="preserve">. </w:t>
      </w:r>
      <w:r w:rsidRPr="00DD0DAE">
        <w:rPr>
          <w:rFonts w:cs="Arial"/>
          <w:sz w:val="18"/>
          <w:szCs w:val="18"/>
          <w:rtl/>
        </w:rPr>
        <w:t>הגה: ודוקא עיקר הכתובה והתוספת</w:t>
      </w:r>
      <w:r>
        <w:rPr>
          <w:rStyle w:val="a7"/>
          <w:rFonts w:cs="Arial"/>
          <w:sz w:val="18"/>
          <w:szCs w:val="18"/>
          <w:rtl/>
        </w:rPr>
        <w:footnoteReference w:id="2207"/>
      </w:r>
      <w:r w:rsidRPr="00DD0DAE">
        <w:rPr>
          <w:rFonts w:cs="Arial"/>
          <w:sz w:val="18"/>
          <w:szCs w:val="18"/>
          <w:rtl/>
        </w:rPr>
        <w:t>, אבל אינה מוכרת שלא בבית דין לגבות נדונייתא, דאינו רק כחוב בעלמא (ב"י בשם הריטב"א).</w:t>
      </w:r>
      <w:r>
        <w:rPr>
          <w:rFonts w:cs="Arial"/>
          <w:rtl/>
        </w:rPr>
        <w:t xml:space="preserve"> </w:t>
      </w:r>
      <w:r>
        <w:rPr>
          <w:rFonts w:cs="Arial" w:hint="cs"/>
          <w:rtl/>
        </w:rPr>
        <w:t>ו</w:t>
      </w:r>
      <w:r>
        <w:rPr>
          <w:rFonts w:cs="Arial"/>
          <w:rtl/>
        </w:rPr>
        <w:t xml:space="preserve">אם מכרה בינה לבין עצמה שוה בשוה, מכרה קיים. ויש חולקים בזו. </w:t>
      </w:r>
    </w:p>
    <w:p w14:paraId="70E1EB0D" w14:textId="77777777" w:rsidR="00392DBB" w:rsidRDefault="00392DBB" w:rsidP="00392DBB">
      <w:pPr>
        <w:rPr>
          <w:rtl/>
        </w:rPr>
      </w:pPr>
    </w:p>
    <w:p w14:paraId="26034257" w14:textId="77777777" w:rsidR="00392DBB" w:rsidRDefault="00392DBB" w:rsidP="000F64D0">
      <w:pPr>
        <w:pStyle w:val="2"/>
        <w:rPr>
          <w:rtl/>
        </w:rPr>
      </w:pPr>
      <w:r>
        <w:rPr>
          <w:rtl/>
        </w:rPr>
        <w:t>סעיף ב</w:t>
      </w:r>
      <w:r>
        <w:rPr>
          <w:rFonts w:hint="cs"/>
          <w:rtl/>
        </w:rPr>
        <w:t>: אחריות המכר.</w:t>
      </w:r>
    </w:p>
    <w:p w14:paraId="6614DDBE" w14:textId="5859D4D5" w:rsidR="00392DBB" w:rsidRDefault="00392DBB" w:rsidP="00392DBB">
      <w:pPr>
        <w:rPr>
          <w:rtl/>
        </w:rPr>
      </w:pPr>
      <w:r w:rsidRPr="009E1CA8">
        <w:rPr>
          <w:rFonts w:hint="cs"/>
          <w:b/>
          <w:bCs/>
          <w:rtl/>
        </w:rPr>
        <w:t xml:space="preserve">כתובות </w:t>
      </w:r>
      <w:r w:rsidRPr="009E1CA8">
        <w:rPr>
          <w:rFonts w:hint="cs"/>
          <w:b/>
          <w:bCs/>
          <w:sz w:val="16"/>
          <w:szCs w:val="16"/>
          <w:rtl/>
        </w:rPr>
        <w:t xml:space="preserve">(פ' אלמנה נזונת) </w:t>
      </w:r>
      <w:r w:rsidRPr="009E1CA8">
        <w:rPr>
          <w:rFonts w:hint="cs"/>
          <w:b/>
          <w:bCs/>
          <w:rtl/>
        </w:rPr>
        <w:t>צז ע"</w:t>
      </w:r>
      <w:r w:rsidR="003C5FB2">
        <w:rPr>
          <w:rFonts w:hint="cs"/>
          <w:b/>
          <w:bCs/>
          <w:rtl/>
        </w:rPr>
        <w:t>א</w:t>
      </w:r>
      <w:r w:rsidRPr="009E1CA8">
        <w:rPr>
          <w:rFonts w:hint="cs"/>
          <w:b/>
          <w:bCs/>
          <w:rtl/>
        </w:rPr>
        <w:t>:</w:t>
      </w:r>
      <w:r w:rsidRPr="00E3423A">
        <w:rPr>
          <w:rFonts w:cs="Arial"/>
          <w:rtl/>
        </w:rPr>
        <w:t xml:space="preserve"> </w:t>
      </w:r>
      <w:r w:rsidRPr="000935A8">
        <w:rPr>
          <w:rFonts w:cs="Arial"/>
          <w:u w:val="single"/>
          <w:rtl/>
        </w:rPr>
        <w:t>בעו מיניה מרב ששת</w:t>
      </w:r>
      <w:r w:rsidRPr="000935A8">
        <w:rPr>
          <w:rFonts w:cs="Arial"/>
          <w:rtl/>
        </w:rPr>
        <w:t>: מוכרת למזונות, מהו שתחזור ותטרוף</w:t>
      </w:r>
      <w:r>
        <w:rPr>
          <w:rStyle w:val="a7"/>
          <w:rFonts w:cs="Arial"/>
          <w:rtl/>
        </w:rPr>
        <w:footnoteReference w:id="2208"/>
      </w:r>
      <w:r w:rsidRPr="000935A8">
        <w:rPr>
          <w:rFonts w:cs="Arial"/>
          <w:rtl/>
        </w:rPr>
        <w:t xml:space="preserve"> לכתובה? קמיבעיא להו בדרב יוסף, </w:t>
      </w:r>
      <w:r w:rsidRPr="00DF144D">
        <w:rPr>
          <w:rFonts w:cs="Arial"/>
          <w:rtl/>
        </w:rPr>
        <w:t>דאמר רב יוסף</w:t>
      </w:r>
      <w:r w:rsidRPr="000935A8">
        <w:rPr>
          <w:rFonts w:cs="Arial"/>
          <w:rtl/>
        </w:rPr>
        <w:t>: ארמלתא דזבין</w:t>
      </w:r>
      <w:r>
        <w:rPr>
          <w:rStyle w:val="a7"/>
          <w:rFonts w:cs="Arial"/>
          <w:rtl/>
        </w:rPr>
        <w:footnoteReference w:id="2209"/>
      </w:r>
      <w:r w:rsidRPr="000935A8">
        <w:rPr>
          <w:rFonts w:cs="Arial"/>
          <w:rtl/>
        </w:rPr>
        <w:t xml:space="preserve"> אחריות איתמי</w:t>
      </w:r>
      <w:r>
        <w:rPr>
          <w:rStyle w:val="a7"/>
          <w:rFonts w:cs="Arial"/>
          <w:rtl/>
        </w:rPr>
        <w:footnoteReference w:id="2210"/>
      </w:r>
      <w:r w:rsidRPr="000935A8">
        <w:rPr>
          <w:rFonts w:cs="Arial"/>
          <w:rtl/>
        </w:rPr>
        <w:t>, ובי דינא דזבין אחריות איתמי</w:t>
      </w:r>
      <w:r>
        <w:rPr>
          <w:rFonts w:cs="Arial" w:hint="cs"/>
          <w:rtl/>
        </w:rPr>
        <w:t>.</w:t>
      </w:r>
      <w:r w:rsidRPr="000935A8">
        <w:rPr>
          <w:rFonts w:cs="Arial"/>
          <w:rtl/>
        </w:rPr>
        <w:t xml:space="preserve"> מאי? כיון דאחריות איתמי - טרפא</w:t>
      </w:r>
      <w:r>
        <w:rPr>
          <w:rStyle w:val="a7"/>
          <w:rFonts w:cs="Arial"/>
          <w:rtl/>
        </w:rPr>
        <w:footnoteReference w:id="2211"/>
      </w:r>
      <w:r w:rsidRPr="000935A8">
        <w:rPr>
          <w:rFonts w:cs="Arial"/>
          <w:rtl/>
        </w:rPr>
        <w:t xml:space="preserve">, או דלמא מצי אמרי לה: נהי דאחריות דעלמא לא קבילת עילוך, אחריות דנפשך מי לא קבולי קבילת? </w:t>
      </w:r>
      <w:r w:rsidRPr="00DF144D">
        <w:rPr>
          <w:rFonts w:cs="Arial"/>
          <w:u w:val="single"/>
          <w:rtl/>
        </w:rPr>
        <w:t>אמר ליה</w:t>
      </w:r>
      <w:r>
        <w:rPr>
          <w:rFonts w:cs="Arial" w:hint="cs"/>
          <w:rtl/>
        </w:rPr>
        <w:t>:</w:t>
      </w:r>
      <w:r w:rsidRPr="000935A8">
        <w:rPr>
          <w:rFonts w:cs="Arial"/>
          <w:rtl/>
        </w:rPr>
        <w:t xml:space="preserve"> תניתוה</w:t>
      </w:r>
      <w:r>
        <w:rPr>
          <w:rFonts w:cs="Arial" w:hint="cs"/>
          <w:rtl/>
        </w:rPr>
        <w:t xml:space="preserve"> -</w:t>
      </w:r>
      <w:r w:rsidRPr="000935A8">
        <w:rPr>
          <w:rFonts w:cs="Arial"/>
          <w:rtl/>
        </w:rPr>
        <w:t xml:space="preserve"> מוכרת והולכת</w:t>
      </w:r>
      <w:r>
        <w:rPr>
          <w:rStyle w:val="a7"/>
          <w:rFonts w:cs="Arial"/>
          <w:rtl/>
        </w:rPr>
        <w:footnoteReference w:id="2212"/>
      </w:r>
      <w:r w:rsidRPr="000935A8">
        <w:rPr>
          <w:rFonts w:cs="Arial"/>
          <w:rtl/>
        </w:rPr>
        <w:t xml:space="preserve"> עד</w:t>
      </w:r>
      <w:r>
        <w:rPr>
          <w:rStyle w:val="a7"/>
          <w:rFonts w:cs="Arial"/>
          <w:rtl/>
        </w:rPr>
        <w:footnoteReference w:id="2213"/>
      </w:r>
      <w:r w:rsidRPr="000935A8">
        <w:rPr>
          <w:rFonts w:cs="Arial"/>
          <w:rtl/>
        </w:rPr>
        <w:t xml:space="preserve"> כדי כתובתה, וסמך לה</w:t>
      </w:r>
      <w:r>
        <w:rPr>
          <w:rStyle w:val="a7"/>
          <w:rFonts w:cs="Arial"/>
          <w:rtl/>
        </w:rPr>
        <w:footnoteReference w:id="2214"/>
      </w:r>
      <w:r w:rsidRPr="000935A8">
        <w:rPr>
          <w:rFonts w:cs="Arial"/>
          <w:rtl/>
        </w:rPr>
        <w:t xml:space="preserve"> שתגבה כתובתה מן השאר</w:t>
      </w:r>
      <w:r>
        <w:rPr>
          <w:rFonts w:cs="Arial" w:hint="cs"/>
          <w:rtl/>
        </w:rPr>
        <w:t>.</w:t>
      </w:r>
      <w:r w:rsidRPr="000935A8">
        <w:rPr>
          <w:rFonts w:cs="Arial"/>
          <w:rtl/>
        </w:rPr>
        <w:t xml:space="preserve"> שמע מינה, שיירא אין, לא שיירא לא. ודלמא עצה טובה קא משמע לן, דלא ליקרו לה הדרינתא! א"כ, ליתני גובה כתובתה מן השאר, מאי סמך לה? שמע מינה, שיירא אין, לא שיירא לא.</w:t>
      </w:r>
    </w:p>
    <w:p w14:paraId="498BAF91" w14:textId="77777777" w:rsidR="00392DBB" w:rsidRPr="0056662B" w:rsidRDefault="00392DBB" w:rsidP="00392DBB">
      <w:pPr>
        <w:rPr>
          <w:u w:val="single"/>
        </w:rPr>
      </w:pPr>
      <w:r w:rsidRPr="0056662B">
        <w:rPr>
          <w:rFonts w:hint="cs"/>
          <w:u w:val="single"/>
          <w:rtl/>
        </w:rPr>
        <w:t>על מי אחריות המכר:</w:t>
      </w:r>
    </w:p>
    <w:p w14:paraId="0EDB3CF3" w14:textId="2F2722F9" w:rsidR="00392DBB" w:rsidRPr="003711AB" w:rsidRDefault="00392DBB" w:rsidP="009000E3">
      <w:pPr>
        <w:pStyle w:val="ab"/>
        <w:numPr>
          <w:ilvl w:val="0"/>
          <w:numId w:val="61"/>
        </w:numPr>
      </w:pPr>
      <w:r>
        <w:rPr>
          <w:rFonts w:cs="Arial" w:hint="cs"/>
          <w:rtl/>
        </w:rPr>
        <w:t xml:space="preserve">טור- </w:t>
      </w:r>
      <w:r w:rsidRPr="00031435">
        <w:rPr>
          <w:rFonts w:cs="Arial"/>
          <w:rtl/>
        </w:rPr>
        <w:t>אחריות המכר על היתומים בין אם תמכור היא או ב"ד</w:t>
      </w:r>
      <w:r>
        <w:rPr>
          <w:rFonts w:cs="Arial" w:hint="cs"/>
          <w:rtl/>
        </w:rPr>
        <w:t>.</w:t>
      </w:r>
      <w:r w:rsidRPr="00031435">
        <w:rPr>
          <w:rFonts w:cs="Arial"/>
          <w:rtl/>
        </w:rPr>
        <w:t xml:space="preserve"> </w:t>
      </w:r>
      <w:r w:rsidR="003C5FB2" w:rsidRPr="00D85951">
        <w:rPr>
          <w:rFonts w:hint="cs"/>
          <w:color w:val="E36C0A" w:themeColor="accent6" w:themeShade="BF"/>
          <w:rtl/>
        </w:rPr>
        <w:t>(וכ"</w:t>
      </w:r>
      <w:r w:rsidR="003C5FB2">
        <w:rPr>
          <w:rFonts w:hint="cs"/>
          <w:color w:val="E36C0A" w:themeColor="accent6" w:themeShade="BF"/>
          <w:rtl/>
        </w:rPr>
        <w:t>פ</w:t>
      </w:r>
      <w:r w:rsidR="003C5FB2" w:rsidRPr="00D85951">
        <w:rPr>
          <w:rFonts w:hint="cs"/>
          <w:color w:val="E36C0A" w:themeColor="accent6" w:themeShade="BF"/>
          <w:rtl/>
        </w:rPr>
        <w:t xml:space="preserve"> בשו"ע)</w:t>
      </w:r>
    </w:p>
    <w:p w14:paraId="0BBDDFA4" w14:textId="591AE62B" w:rsidR="00392DBB" w:rsidRDefault="00392DBB" w:rsidP="00392DBB">
      <w:pPr>
        <w:rPr>
          <w:rFonts w:cs="Arial"/>
          <w:rtl/>
        </w:rPr>
      </w:pPr>
      <w:r w:rsidRPr="007E2854">
        <w:rPr>
          <w:rFonts w:cs="Arial" w:hint="cs"/>
          <w:u w:val="single"/>
          <w:rtl/>
        </w:rPr>
        <w:t>אלמנה ש</w:t>
      </w:r>
      <w:r w:rsidRPr="007E2854">
        <w:rPr>
          <w:rFonts w:cs="Arial"/>
          <w:u w:val="single"/>
          <w:rtl/>
        </w:rPr>
        <w:t xml:space="preserve">מוכרת </w:t>
      </w:r>
      <w:r w:rsidRPr="007E2854">
        <w:rPr>
          <w:rFonts w:cs="Arial" w:hint="cs"/>
          <w:u w:val="single"/>
          <w:rtl/>
        </w:rPr>
        <w:t xml:space="preserve">נכסי היתומים </w:t>
      </w:r>
      <w:r w:rsidRPr="007E2854">
        <w:rPr>
          <w:rFonts w:cs="Arial"/>
          <w:u w:val="single"/>
          <w:rtl/>
        </w:rPr>
        <w:t>למזונות</w:t>
      </w:r>
      <w:r w:rsidRPr="007E2854">
        <w:rPr>
          <w:rFonts w:cs="Arial" w:hint="cs"/>
          <w:u w:val="single"/>
          <w:rtl/>
        </w:rPr>
        <w:t xml:space="preserve"> </w:t>
      </w:r>
      <w:r w:rsidR="00F97626">
        <w:rPr>
          <w:rFonts w:cs="Arial"/>
          <w:u w:val="single"/>
          <w:rtl/>
        </w:rPr>
        <w:t>-</w:t>
      </w:r>
      <w:r w:rsidRPr="007E2854">
        <w:rPr>
          <w:rFonts w:cs="Arial"/>
          <w:u w:val="single"/>
          <w:rtl/>
        </w:rPr>
        <w:t xml:space="preserve"> </w:t>
      </w:r>
      <w:r w:rsidRPr="007E2854">
        <w:rPr>
          <w:rFonts w:cs="Arial" w:hint="cs"/>
          <w:u w:val="single"/>
          <w:rtl/>
        </w:rPr>
        <w:t>האם יכולה לחזור ולטרוף מאותם לקוחות לכת</w:t>
      </w:r>
      <w:r>
        <w:rPr>
          <w:rFonts w:cs="Arial" w:hint="cs"/>
          <w:u w:val="single"/>
          <w:rtl/>
        </w:rPr>
        <w:t>ו</w:t>
      </w:r>
      <w:r w:rsidRPr="007E2854">
        <w:rPr>
          <w:rFonts w:cs="Arial" w:hint="cs"/>
          <w:u w:val="single"/>
          <w:rtl/>
        </w:rPr>
        <w:t>בתה:</w:t>
      </w:r>
      <w:r w:rsidRPr="00031435">
        <w:rPr>
          <w:rFonts w:cs="Arial"/>
          <w:rtl/>
        </w:rPr>
        <w:t xml:space="preserve"> </w:t>
      </w:r>
    </w:p>
    <w:p w14:paraId="0E39543F" w14:textId="77777777" w:rsidR="00392DBB" w:rsidRDefault="00392DBB" w:rsidP="009000E3">
      <w:pPr>
        <w:pStyle w:val="ab"/>
        <w:numPr>
          <w:ilvl w:val="0"/>
          <w:numId w:val="61"/>
        </w:numPr>
      </w:pPr>
      <w:r w:rsidRPr="007E2854">
        <w:rPr>
          <w:rFonts w:cs="Arial" w:hint="cs"/>
          <w:rtl/>
        </w:rPr>
        <w:t xml:space="preserve">ב"י- </w:t>
      </w:r>
      <w:r w:rsidRPr="007E2854">
        <w:rPr>
          <w:rFonts w:cs="Arial"/>
          <w:rtl/>
        </w:rPr>
        <w:t>אף על גב דאלמנה דזבינא אחריותא איתמי</w:t>
      </w:r>
      <w:r>
        <w:rPr>
          <w:rFonts w:cs="Arial" w:hint="cs"/>
          <w:rtl/>
        </w:rPr>
        <w:t>,</w:t>
      </w:r>
      <w:r w:rsidRPr="007E2854">
        <w:rPr>
          <w:rFonts w:cs="Arial"/>
          <w:rtl/>
        </w:rPr>
        <w:t xml:space="preserve"> כשמוכרת למזונות </w:t>
      </w:r>
      <w:r>
        <w:rPr>
          <w:rFonts w:cs="Arial" w:hint="cs"/>
          <w:rtl/>
        </w:rPr>
        <w:t xml:space="preserve">- </w:t>
      </w:r>
      <w:r w:rsidRPr="007E2854">
        <w:rPr>
          <w:rFonts w:cs="Arial"/>
          <w:rtl/>
        </w:rPr>
        <w:t>אינה יכולה לחזור ולטרוף מהלקוחות ההם בעד כתובתה</w:t>
      </w:r>
      <w:r>
        <w:rPr>
          <w:rFonts w:cs="Arial" w:hint="cs"/>
          <w:rtl/>
        </w:rPr>
        <w:t>,</w:t>
      </w:r>
      <w:r w:rsidRPr="007E2854">
        <w:rPr>
          <w:rFonts w:cs="Arial"/>
          <w:rtl/>
        </w:rPr>
        <w:t xml:space="preserve"> דאמרי לה נהי דאחריות דעלמא לא קבילתא אחריות דנפשך קבולי קבילתא</w:t>
      </w:r>
      <w:r w:rsidRPr="007E2854">
        <w:rPr>
          <w:rFonts w:cs="Arial" w:hint="cs"/>
          <w:rtl/>
        </w:rPr>
        <w:t>.</w:t>
      </w:r>
      <w:r w:rsidRPr="007E2854">
        <w:rPr>
          <w:rFonts w:cs="Arial"/>
          <w:rtl/>
        </w:rPr>
        <w:t xml:space="preserve"> וכתב הריב"ש</w:t>
      </w:r>
      <w:r w:rsidRPr="007E2854">
        <w:rPr>
          <w:rFonts w:cs="Arial"/>
          <w:sz w:val="16"/>
          <w:szCs w:val="16"/>
          <w:rtl/>
        </w:rPr>
        <w:t xml:space="preserve"> </w:t>
      </w:r>
      <w:r w:rsidRPr="007E2854">
        <w:rPr>
          <w:rFonts w:cs="Arial" w:hint="cs"/>
          <w:sz w:val="16"/>
          <w:szCs w:val="16"/>
          <w:rtl/>
        </w:rPr>
        <w:t>(</w:t>
      </w:r>
      <w:r w:rsidRPr="007E2854">
        <w:rPr>
          <w:rFonts w:cs="Arial"/>
          <w:sz w:val="16"/>
          <w:szCs w:val="16"/>
          <w:rtl/>
        </w:rPr>
        <w:t>סי</w:t>
      </w:r>
      <w:r w:rsidRPr="007E2854">
        <w:rPr>
          <w:rFonts w:cs="Arial" w:hint="cs"/>
          <w:sz w:val="16"/>
          <w:szCs w:val="16"/>
          <w:rtl/>
        </w:rPr>
        <w:t>'</w:t>
      </w:r>
      <w:r w:rsidRPr="007E2854">
        <w:rPr>
          <w:rFonts w:cs="Arial"/>
          <w:sz w:val="16"/>
          <w:szCs w:val="16"/>
          <w:rtl/>
        </w:rPr>
        <w:t xml:space="preserve"> רמד</w:t>
      </w:r>
      <w:r w:rsidRPr="007E2854">
        <w:rPr>
          <w:rFonts w:cs="Arial" w:hint="cs"/>
          <w:sz w:val="16"/>
          <w:szCs w:val="16"/>
          <w:rtl/>
        </w:rPr>
        <w:t>)</w:t>
      </w:r>
      <w:r w:rsidRPr="007E2854">
        <w:rPr>
          <w:rFonts w:cs="Arial"/>
          <w:rtl/>
        </w:rPr>
        <w:t xml:space="preserve"> כבר תרגמוה האחרונים דדוקא באלמנה שמכרה לצורך עצמה שהיא קיבלה המעות לצורך מזונותיה</w:t>
      </w:r>
      <w:r>
        <w:rPr>
          <w:rFonts w:cs="Arial" w:hint="cs"/>
          <w:rtl/>
        </w:rPr>
        <w:t>,</w:t>
      </w:r>
      <w:r w:rsidRPr="007E2854">
        <w:rPr>
          <w:rFonts w:cs="Arial"/>
          <w:rtl/>
        </w:rPr>
        <w:t xml:space="preserve"> אבל אפטרופ' או ב"ד דזבינו</w:t>
      </w:r>
      <w:r>
        <w:rPr>
          <w:rFonts w:cs="Arial" w:hint="cs"/>
          <w:rtl/>
        </w:rPr>
        <w:t xml:space="preserve"> -</w:t>
      </w:r>
      <w:r w:rsidRPr="007E2854">
        <w:rPr>
          <w:rFonts w:cs="Arial"/>
          <w:rtl/>
        </w:rPr>
        <w:t xml:space="preserve"> לא איבדו זכותן שיש להן על הקרקע ההוא מחמת חוב ושעבוד עכ"ל</w:t>
      </w:r>
      <w:r w:rsidRPr="007E2854">
        <w:rPr>
          <w:rFonts w:cs="Arial" w:hint="cs"/>
          <w:rtl/>
        </w:rPr>
        <w:t>.</w:t>
      </w:r>
    </w:p>
    <w:p w14:paraId="4861BB2B" w14:textId="3D8ACEDF" w:rsidR="00392DBB" w:rsidRPr="00967698" w:rsidRDefault="00392DBB" w:rsidP="00392DBB">
      <w:pPr>
        <w:rPr>
          <w:rFonts w:cs="Arial"/>
          <w:u w:val="single"/>
          <w:rtl/>
        </w:rPr>
      </w:pPr>
      <w:r w:rsidRPr="00967698">
        <w:rPr>
          <w:rFonts w:cs="Arial" w:hint="cs"/>
          <w:u w:val="single"/>
          <w:rtl/>
        </w:rPr>
        <w:t xml:space="preserve">ב"ד הכריזו למכור קרקע, ואח"כ מחלה האלמנה ליתומים בסתר על כתובתה </w:t>
      </w:r>
      <w:r w:rsidR="00F97626">
        <w:rPr>
          <w:rFonts w:cs="Arial"/>
          <w:u w:val="single"/>
          <w:rtl/>
        </w:rPr>
        <w:t>-</w:t>
      </w:r>
      <w:r w:rsidRPr="00967698">
        <w:rPr>
          <w:rFonts w:cs="Arial" w:hint="cs"/>
          <w:u w:val="single"/>
          <w:rtl/>
        </w:rPr>
        <w:t xml:space="preserve"> האם </w:t>
      </w:r>
      <w:r w:rsidRPr="00967698">
        <w:rPr>
          <w:rFonts w:cs="Arial"/>
          <w:u w:val="single"/>
          <w:rtl/>
        </w:rPr>
        <w:t>היתומים יכולין לטרוף מהלוקח</w:t>
      </w:r>
      <w:r w:rsidRPr="00967698">
        <w:rPr>
          <w:rFonts w:cs="Arial" w:hint="cs"/>
          <w:u w:val="single"/>
          <w:rtl/>
        </w:rPr>
        <w:t>:</w:t>
      </w:r>
      <w:r w:rsidRPr="00967698">
        <w:rPr>
          <w:rFonts w:cs="Arial"/>
          <w:u w:val="single"/>
          <w:rtl/>
        </w:rPr>
        <w:t xml:space="preserve"> </w:t>
      </w:r>
    </w:p>
    <w:p w14:paraId="685648FE" w14:textId="49B5BCCB" w:rsidR="00392DBB" w:rsidRPr="00967698" w:rsidRDefault="00392DBB" w:rsidP="009000E3">
      <w:pPr>
        <w:pStyle w:val="ab"/>
        <w:numPr>
          <w:ilvl w:val="0"/>
          <w:numId w:val="61"/>
        </w:numPr>
        <w:rPr>
          <w:rFonts w:cs="Arial"/>
          <w:rtl/>
        </w:rPr>
      </w:pPr>
      <w:r w:rsidRPr="00967698">
        <w:rPr>
          <w:rFonts w:cs="Arial"/>
          <w:rtl/>
        </w:rPr>
        <w:t xml:space="preserve">רא"ש </w:t>
      </w:r>
      <w:r w:rsidRPr="00967698">
        <w:rPr>
          <w:rFonts w:cs="Arial" w:hint="cs"/>
          <w:sz w:val="16"/>
          <w:szCs w:val="16"/>
          <w:rtl/>
        </w:rPr>
        <w:t>(</w:t>
      </w:r>
      <w:r w:rsidRPr="00967698">
        <w:rPr>
          <w:rFonts w:cs="Arial"/>
          <w:sz w:val="16"/>
          <w:szCs w:val="16"/>
          <w:rtl/>
        </w:rPr>
        <w:t>כלל סג סי' ג</w:t>
      </w:r>
      <w:r w:rsidRPr="00967698">
        <w:rPr>
          <w:rFonts w:cs="Arial" w:hint="cs"/>
          <w:sz w:val="16"/>
          <w:szCs w:val="16"/>
          <w:rtl/>
        </w:rPr>
        <w:t>, הביאוהו הדרכ"מ [כאן אות ב] והטור [בסי' קד])</w:t>
      </w:r>
      <w:r w:rsidRPr="00967698">
        <w:rPr>
          <w:rFonts w:cs="Arial" w:hint="cs"/>
          <w:rtl/>
        </w:rPr>
        <w:t>-</w:t>
      </w:r>
      <w:r w:rsidRPr="00967698">
        <w:rPr>
          <w:rFonts w:cs="Arial"/>
          <w:rtl/>
        </w:rPr>
        <w:t xml:space="preserve"> וששאלת על קרקע של יתומים שהכריזו בית דין למכרו ולהגבות לאלמנה כתובתה</w:t>
      </w:r>
      <w:r>
        <w:rPr>
          <w:rFonts w:cs="Arial" w:hint="cs"/>
          <w:rtl/>
        </w:rPr>
        <w:t>.</w:t>
      </w:r>
      <w:r w:rsidRPr="00967698">
        <w:rPr>
          <w:rFonts w:cs="Arial"/>
          <w:rtl/>
        </w:rPr>
        <w:t xml:space="preserve"> ואחר ההכרזה מחלה ליתומים כתובתה</w:t>
      </w:r>
      <w:r>
        <w:rPr>
          <w:rFonts w:cs="Arial" w:hint="cs"/>
          <w:rtl/>
        </w:rPr>
        <w:t>.</w:t>
      </w:r>
      <w:r w:rsidRPr="00967698">
        <w:rPr>
          <w:rFonts w:cs="Arial"/>
          <w:rtl/>
        </w:rPr>
        <w:t xml:space="preserve"> ושלחה מצד אחר מורשה שלה לבית דין להגבות כתובתה. ומכרו בית דין הקרקע וכתבו אחריות המכר על היתומים</w:t>
      </w:r>
      <w:r>
        <w:rPr>
          <w:rFonts w:cs="Arial" w:hint="cs"/>
          <w:rtl/>
        </w:rPr>
        <w:t>.</w:t>
      </w:r>
      <w:r w:rsidRPr="00967698">
        <w:rPr>
          <w:rFonts w:cs="Arial"/>
          <w:rtl/>
        </w:rPr>
        <w:t xml:space="preserve"> ועתה רוצים היתומים להוציא הקרקע מיד הלוקח כי אומרי' דשלא כדין מכרוהו כי כבר מחלה להם אמו כתובתה. </w:t>
      </w:r>
      <w:r>
        <w:rPr>
          <w:rFonts w:cs="Arial" w:hint="cs"/>
          <w:rtl/>
        </w:rPr>
        <w:t xml:space="preserve">     </w:t>
      </w:r>
      <w:r w:rsidR="00FE210D">
        <w:rPr>
          <w:rFonts w:cs="Arial"/>
          <w:rtl/>
        </w:rPr>
        <w:t xml:space="preserve">      תשובה:</w:t>
      </w:r>
      <w:r w:rsidRPr="00967698">
        <w:rPr>
          <w:rFonts w:cs="Arial"/>
          <w:rtl/>
        </w:rPr>
        <w:t xml:space="preserve"> מזמה עשו ולא תעשינה ידיהם תושיה</w:t>
      </w:r>
      <w:r>
        <w:rPr>
          <w:rStyle w:val="a7"/>
          <w:rFonts w:cs="Arial"/>
          <w:rtl/>
        </w:rPr>
        <w:footnoteReference w:id="2215"/>
      </w:r>
      <w:r w:rsidRPr="00967698">
        <w:rPr>
          <w:rFonts w:cs="Arial"/>
          <w:rtl/>
        </w:rPr>
        <w:t>, כי בית דין כדין מכרוהו כי לא ידעו באותה מחילה טמירתא</w:t>
      </w:r>
      <w:r>
        <w:rPr>
          <w:rFonts w:cs="Arial" w:hint="cs"/>
          <w:rtl/>
        </w:rPr>
        <w:t>.</w:t>
      </w:r>
      <w:r w:rsidRPr="00967698">
        <w:rPr>
          <w:rFonts w:cs="Arial"/>
          <w:rtl/>
        </w:rPr>
        <w:t xml:space="preserve"> ואחריות המכירה על היתומים. ואי איניש דעלמא היה מוציא הקרקע מיד הלוקח היתומים חייבים לפרוע כי אחריותו עליהם להעמיד הקרקע ביד הלוקח או לפרוע לו דמי הקרקע. ועתה נמי שהן עצמם באים להוציא הקרקע מיד הלוקח האחריות עליהם</w:t>
      </w:r>
      <w:r>
        <w:rPr>
          <w:rFonts w:cs="Arial" w:hint="cs"/>
          <w:rtl/>
        </w:rPr>
        <w:t>,</w:t>
      </w:r>
      <w:r w:rsidRPr="00967698">
        <w:rPr>
          <w:rFonts w:cs="Arial"/>
          <w:rtl/>
        </w:rPr>
        <w:t xml:space="preserve"> וממילא ישאר הקרקע ביד הלוקח</w:t>
      </w:r>
      <w:r w:rsidRPr="00967698">
        <w:rPr>
          <w:rFonts w:cs="Arial" w:hint="cs"/>
          <w:rtl/>
        </w:rPr>
        <w:t xml:space="preserve">. </w:t>
      </w:r>
      <w:r w:rsidRPr="00967698">
        <w:rPr>
          <w:rFonts w:cs="Arial" w:hint="cs"/>
          <w:color w:val="00B0F0"/>
          <w:rtl/>
        </w:rPr>
        <w:t>(וכ"פ הרמ"א)</w:t>
      </w:r>
    </w:p>
    <w:p w14:paraId="513B3973"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6817D04F" w14:textId="77777777" w:rsidR="00392DBB" w:rsidRDefault="00392DBB" w:rsidP="00392DBB">
      <w:pPr>
        <w:rPr>
          <w:rtl/>
        </w:rPr>
      </w:pPr>
      <w:r>
        <w:rPr>
          <w:rFonts w:cs="Arial"/>
          <w:rtl/>
        </w:rPr>
        <w:t>אחריות המכר על היתומים</w:t>
      </w:r>
      <w:r>
        <w:rPr>
          <w:rStyle w:val="a7"/>
          <w:rFonts w:cs="Arial"/>
          <w:rtl/>
        </w:rPr>
        <w:footnoteReference w:id="2216"/>
      </w:r>
      <w:r>
        <w:rPr>
          <w:rFonts w:cs="Arial"/>
          <w:rtl/>
        </w:rPr>
        <w:t>, בין אם תמכור היא או ב</w:t>
      </w:r>
      <w:r>
        <w:rPr>
          <w:rFonts w:cs="Arial" w:hint="cs"/>
          <w:rtl/>
        </w:rPr>
        <w:t xml:space="preserve">ית </w:t>
      </w:r>
      <w:r>
        <w:rPr>
          <w:rFonts w:cs="Arial"/>
          <w:rtl/>
        </w:rPr>
        <w:t>ד</w:t>
      </w:r>
      <w:r>
        <w:rPr>
          <w:rFonts w:cs="Arial" w:hint="cs"/>
          <w:rtl/>
        </w:rPr>
        <w:t>ין</w:t>
      </w:r>
      <w:r>
        <w:rPr>
          <w:rFonts w:cs="Arial"/>
          <w:rtl/>
        </w:rPr>
        <w:t xml:space="preserve">. </w:t>
      </w:r>
      <w:r w:rsidRPr="00EA4360">
        <w:rPr>
          <w:rFonts w:cs="Arial" w:hint="cs"/>
          <w:sz w:val="18"/>
          <w:szCs w:val="18"/>
          <w:rtl/>
        </w:rPr>
        <w:t xml:space="preserve">[הגה] </w:t>
      </w:r>
      <w:r w:rsidRPr="00EA4360">
        <w:rPr>
          <w:rFonts w:cs="Arial"/>
          <w:sz w:val="18"/>
          <w:szCs w:val="18"/>
          <w:rtl/>
        </w:rPr>
        <w:t>ולכן אף אם מכרו ב"ד בטעות, כגון שהאשה מחלה הכתובה ליתומים בסתר, אין היתומים יכולין לטרוף מן הלוקח (רא"ש</w:t>
      </w:r>
      <w:r>
        <w:rPr>
          <w:rFonts w:cs="Arial" w:hint="cs"/>
          <w:sz w:val="18"/>
          <w:szCs w:val="18"/>
          <w:rtl/>
        </w:rPr>
        <w:t xml:space="preserve"> בתשו'</w:t>
      </w:r>
      <w:r w:rsidRPr="00EA4360">
        <w:rPr>
          <w:rFonts w:cs="Arial"/>
          <w:sz w:val="18"/>
          <w:szCs w:val="18"/>
          <w:rtl/>
        </w:rPr>
        <w:t xml:space="preserve">). </w:t>
      </w:r>
    </w:p>
    <w:p w14:paraId="749F573D" w14:textId="77777777" w:rsidR="00392DBB" w:rsidRDefault="00392DBB" w:rsidP="00392DBB">
      <w:pPr>
        <w:rPr>
          <w:rtl/>
        </w:rPr>
      </w:pPr>
    </w:p>
    <w:p w14:paraId="1FE2B89F" w14:textId="77777777" w:rsidR="00392DBB" w:rsidRDefault="00392DBB" w:rsidP="000F64D0">
      <w:pPr>
        <w:pStyle w:val="2"/>
        <w:rPr>
          <w:rtl/>
        </w:rPr>
      </w:pPr>
      <w:r>
        <w:rPr>
          <w:rtl/>
        </w:rPr>
        <w:t>סעיף ג</w:t>
      </w:r>
      <w:r>
        <w:rPr>
          <w:rFonts w:hint="cs"/>
          <w:rtl/>
        </w:rPr>
        <w:t>:</w:t>
      </w:r>
      <w:r w:rsidRPr="00D376E3">
        <w:rPr>
          <w:rFonts w:hint="cs"/>
          <w:rtl/>
        </w:rPr>
        <w:t xml:space="preserve"> </w:t>
      </w:r>
      <w:r>
        <w:rPr>
          <w:rFonts w:hint="cs"/>
          <w:rtl/>
        </w:rPr>
        <w:t>גרושה</w:t>
      </w:r>
      <w:r>
        <w:rPr>
          <w:rFonts w:hint="cs"/>
          <w:sz w:val="20"/>
          <w:szCs w:val="20"/>
          <w:rtl/>
        </w:rPr>
        <w:t xml:space="preserve"> (או אלמנה שנשאת)</w:t>
      </w:r>
      <w:r>
        <w:rPr>
          <w:rFonts w:hint="cs"/>
          <w:rtl/>
        </w:rPr>
        <w:t xml:space="preserve"> מוכרת מנכסי בעלה כדי לגבות כתובתה.</w:t>
      </w:r>
    </w:p>
    <w:p w14:paraId="57D1702C" w14:textId="77777777" w:rsidR="00392DBB" w:rsidRDefault="00392DBB" w:rsidP="00392DBB">
      <w:pPr>
        <w:rPr>
          <w:rFonts w:cs="Arial"/>
          <w:rtl/>
        </w:rPr>
      </w:pPr>
      <w:r w:rsidRPr="009E1CA8">
        <w:rPr>
          <w:rFonts w:hint="cs"/>
          <w:b/>
          <w:bCs/>
          <w:rtl/>
        </w:rPr>
        <w:t xml:space="preserve">כתובות </w:t>
      </w:r>
      <w:r w:rsidRPr="009E1CA8">
        <w:rPr>
          <w:rFonts w:hint="cs"/>
          <w:b/>
          <w:bCs/>
          <w:sz w:val="16"/>
          <w:szCs w:val="16"/>
          <w:rtl/>
        </w:rPr>
        <w:t xml:space="preserve">(פ' אלמנה נזונת) </w:t>
      </w:r>
      <w:r w:rsidRPr="009E1CA8">
        <w:rPr>
          <w:rFonts w:hint="cs"/>
          <w:b/>
          <w:bCs/>
          <w:rtl/>
        </w:rPr>
        <w:t>צז ע"</w:t>
      </w:r>
      <w:r>
        <w:rPr>
          <w:rFonts w:hint="cs"/>
          <w:b/>
          <w:bCs/>
          <w:rtl/>
        </w:rPr>
        <w:t>ב</w:t>
      </w:r>
      <w:r w:rsidRPr="009E1CA8">
        <w:rPr>
          <w:rFonts w:hint="cs"/>
          <w:b/>
          <w:bCs/>
          <w:rtl/>
        </w:rPr>
        <w:t>:</w:t>
      </w:r>
      <w:r>
        <w:rPr>
          <w:rFonts w:hint="cs"/>
          <w:b/>
          <w:bCs/>
          <w:rtl/>
        </w:rPr>
        <w:t xml:space="preserve"> </w:t>
      </w:r>
      <w:r w:rsidRPr="00DD0DAE">
        <w:rPr>
          <w:rFonts w:cs="Arial"/>
          <w:u w:val="double"/>
          <w:rtl/>
        </w:rPr>
        <w:t>מתני'</w:t>
      </w:r>
      <w:r>
        <w:rPr>
          <w:rFonts w:cs="Arial" w:hint="cs"/>
          <w:rtl/>
        </w:rPr>
        <w:t>:</w:t>
      </w:r>
      <w:r w:rsidRPr="00DD0DAE">
        <w:rPr>
          <w:rFonts w:cs="Arial"/>
          <w:rtl/>
        </w:rPr>
        <w:t xml:space="preserve"> מכרה כתובתה או מקצתה, משכנה כתובתה או מקצתה, נתנה כתובתה לאחר או מקצתה - לא תמכור את השאר אלא בבית דין</w:t>
      </w:r>
      <w:r>
        <w:rPr>
          <w:rFonts w:cs="Arial" w:hint="cs"/>
          <w:rtl/>
        </w:rPr>
        <w:t>.</w:t>
      </w:r>
      <w:r w:rsidRPr="00DD0DAE">
        <w:rPr>
          <w:rFonts w:cs="Arial"/>
          <w:rtl/>
        </w:rPr>
        <w:t xml:space="preserve"> וחכ"א: מוכרת היא אפי' ארבעה וחמשה פעמים, ומוכרת למזונות שלא בבית דין וכותבת למזונות מכרתי</w:t>
      </w:r>
      <w:r>
        <w:rPr>
          <w:rFonts w:cs="Arial" w:hint="cs"/>
          <w:rtl/>
        </w:rPr>
        <w:t>.</w:t>
      </w:r>
      <w:r w:rsidRPr="00DD0DAE">
        <w:rPr>
          <w:rFonts w:cs="Arial"/>
          <w:rtl/>
        </w:rPr>
        <w:t xml:space="preserve"> וגרושה לא תמכור אלא בבית דין</w:t>
      </w:r>
      <w:r w:rsidRPr="00E3423A">
        <w:rPr>
          <w:rFonts w:cs="Arial"/>
          <w:rtl/>
        </w:rPr>
        <w:t>.</w:t>
      </w:r>
    </w:p>
    <w:p w14:paraId="18C91B9B" w14:textId="77777777" w:rsidR="00392DBB" w:rsidRDefault="00392DBB" w:rsidP="00392DBB">
      <w:pPr>
        <w:rPr>
          <w:rFonts w:cs="Arial"/>
          <w:rtl/>
        </w:rPr>
      </w:pPr>
      <w:r w:rsidRPr="009E1CA8">
        <w:rPr>
          <w:rFonts w:hint="cs"/>
          <w:b/>
          <w:bCs/>
          <w:rtl/>
        </w:rPr>
        <w:t xml:space="preserve">כתובות </w:t>
      </w:r>
      <w:r w:rsidRPr="009E1CA8">
        <w:rPr>
          <w:rFonts w:hint="cs"/>
          <w:b/>
          <w:bCs/>
          <w:sz w:val="16"/>
          <w:szCs w:val="16"/>
          <w:rtl/>
        </w:rPr>
        <w:t xml:space="preserve">(פ' אלמנה נזונת) </w:t>
      </w:r>
      <w:r w:rsidRPr="009E1CA8">
        <w:rPr>
          <w:rFonts w:hint="cs"/>
          <w:b/>
          <w:bCs/>
          <w:rtl/>
        </w:rPr>
        <w:t>צז ע"א:</w:t>
      </w:r>
      <w:r>
        <w:rPr>
          <w:rFonts w:hint="cs"/>
          <w:rtl/>
        </w:rPr>
        <w:t xml:space="preserve"> </w:t>
      </w:r>
      <w:r w:rsidRPr="009E1CA8">
        <w:rPr>
          <w:rFonts w:cs="Arial"/>
          <w:u w:val="double"/>
          <w:rtl/>
        </w:rPr>
        <w:t>מתני'</w:t>
      </w:r>
      <w:r>
        <w:rPr>
          <w:rFonts w:cs="Arial" w:hint="cs"/>
          <w:rtl/>
        </w:rPr>
        <w:t>:</w:t>
      </w:r>
      <w:r>
        <w:rPr>
          <w:rFonts w:cs="Arial"/>
          <w:rtl/>
        </w:rPr>
        <w:t xml:space="preserve"> אלמנה בין מן האירוסין</w:t>
      </w:r>
      <w:r>
        <w:rPr>
          <w:rStyle w:val="a7"/>
          <w:rFonts w:cs="Arial"/>
          <w:rtl/>
        </w:rPr>
        <w:footnoteReference w:id="2217"/>
      </w:r>
      <w:r>
        <w:rPr>
          <w:rFonts w:cs="Arial"/>
          <w:rtl/>
        </w:rPr>
        <w:t xml:space="preserve"> בין מן הנשואין</w:t>
      </w:r>
      <w:r>
        <w:rPr>
          <w:rStyle w:val="a7"/>
          <w:rFonts w:cs="Arial"/>
          <w:rtl/>
        </w:rPr>
        <w:footnoteReference w:id="2218"/>
      </w:r>
      <w:r>
        <w:rPr>
          <w:rFonts w:cs="Arial"/>
          <w:rtl/>
        </w:rPr>
        <w:t xml:space="preserve"> - מוכרת שלא בבית דין</w:t>
      </w:r>
      <w:r>
        <w:rPr>
          <w:rFonts w:cs="Arial" w:hint="cs"/>
          <w:rtl/>
        </w:rPr>
        <w:t>.</w:t>
      </w:r>
      <w:r w:rsidRPr="000D1E8A">
        <w:rPr>
          <w:rtl/>
        </w:rPr>
        <w:t xml:space="preserve"> </w:t>
      </w:r>
      <w:r w:rsidRPr="000D1E8A">
        <w:rPr>
          <w:rFonts w:cs="Arial"/>
          <w:u w:val="single"/>
          <w:rtl/>
        </w:rPr>
        <w:t>ר' שמעון אומר</w:t>
      </w:r>
      <w:r w:rsidRPr="000D1E8A">
        <w:rPr>
          <w:rFonts w:cs="Arial"/>
          <w:rtl/>
        </w:rPr>
        <w:t xml:space="preserve">: </w:t>
      </w:r>
      <w:r>
        <w:rPr>
          <w:rFonts w:cs="Arial"/>
          <w:rtl/>
        </w:rPr>
        <w:t>מן הנשואין</w:t>
      </w:r>
      <w:r>
        <w:rPr>
          <w:rStyle w:val="a7"/>
          <w:rFonts w:cs="Arial"/>
          <w:rtl/>
        </w:rPr>
        <w:footnoteReference w:id="2219"/>
      </w:r>
      <w:r>
        <w:rPr>
          <w:rFonts w:cs="Arial"/>
          <w:rtl/>
        </w:rPr>
        <w:t xml:space="preserve"> - מוכרת שלא בבית דין</w:t>
      </w:r>
      <w:r>
        <w:rPr>
          <w:rStyle w:val="a7"/>
          <w:rFonts w:cs="Arial"/>
          <w:rtl/>
        </w:rPr>
        <w:footnoteReference w:id="2220"/>
      </w:r>
      <w:r>
        <w:rPr>
          <w:rFonts w:cs="Arial"/>
          <w:rtl/>
        </w:rPr>
        <w:t>, מן האירוסין - לא תמכור אלא בבית דין, מפני שאין לה מזונות, וכל שאין לה מזונות - לא תמכור אלא בבית דין</w:t>
      </w:r>
      <w:r w:rsidRPr="000D1E8A">
        <w:rPr>
          <w:rFonts w:cs="Arial"/>
          <w:rtl/>
        </w:rPr>
        <w:t>.</w:t>
      </w:r>
      <w:r>
        <w:rPr>
          <w:rFonts w:cs="Arial" w:hint="cs"/>
          <w:rtl/>
        </w:rPr>
        <w:t xml:space="preserve">       </w:t>
      </w:r>
      <w:r w:rsidRPr="009D3864">
        <w:rPr>
          <w:rFonts w:cs="Arial"/>
          <w:u w:val="double"/>
          <w:rtl/>
        </w:rPr>
        <w:t>גמ'</w:t>
      </w:r>
      <w:r>
        <w:rPr>
          <w:rFonts w:cs="Arial" w:hint="cs"/>
          <w:rtl/>
        </w:rPr>
        <w:t>:</w:t>
      </w:r>
      <w:r w:rsidRPr="009D3864">
        <w:rPr>
          <w:rFonts w:cs="Arial"/>
          <w:rtl/>
        </w:rPr>
        <w:t xml:space="preserve"> בשלמא מן הנשואין - משום מזוני,</w:t>
      </w:r>
      <w:r>
        <w:rPr>
          <w:rFonts w:cs="Arial" w:hint="cs"/>
          <w:sz w:val="14"/>
          <w:szCs w:val="14"/>
          <w:rtl/>
        </w:rPr>
        <w:t xml:space="preserve"> (צז:)</w:t>
      </w:r>
      <w:r w:rsidRPr="009D3864">
        <w:rPr>
          <w:rtl/>
        </w:rPr>
        <w:t xml:space="preserve"> </w:t>
      </w:r>
      <w:r w:rsidRPr="009D3864">
        <w:rPr>
          <w:rFonts w:cs="Arial"/>
          <w:rtl/>
        </w:rPr>
        <w:t xml:space="preserve">אלא מן האירוסין מאי טעמא? </w:t>
      </w:r>
      <w:r w:rsidRPr="009D3864">
        <w:rPr>
          <w:rFonts w:cs="Arial"/>
          <w:u w:val="single"/>
          <w:rtl/>
        </w:rPr>
        <w:t>אמר עולא</w:t>
      </w:r>
      <w:r w:rsidRPr="009D3864">
        <w:rPr>
          <w:rFonts w:cs="Arial"/>
          <w:rtl/>
        </w:rPr>
        <w:t>: משום חינא</w:t>
      </w:r>
      <w:r>
        <w:rPr>
          <w:rStyle w:val="a7"/>
          <w:rFonts w:cs="Arial"/>
          <w:rtl/>
        </w:rPr>
        <w:footnoteReference w:id="2221"/>
      </w:r>
      <w:r>
        <w:rPr>
          <w:rFonts w:cs="Arial" w:hint="cs"/>
          <w:rtl/>
        </w:rPr>
        <w:t>.</w:t>
      </w:r>
      <w:r w:rsidRPr="009D3864">
        <w:rPr>
          <w:rFonts w:cs="Arial"/>
          <w:rtl/>
        </w:rPr>
        <w:t xml:space="preserve"> </w:t>
      </w:r>
      <w:r w:rsidRPr="00936F3C">
        <w:rPr>
          <w:rFonts w:cs="Arial"/>
          <w:u w:val="single"/>
          <w:rtl/>
        </w:rPr>
        <w:t>ר</w:t>
      </w:r>
      <w:r>
        <w:rPr>
          <w:rFonts w:cs="Arial" w:hint="cs"/>
          <w:u w:val="single"/>
          <w:rtl/>
        </w:rPr>
        <w:t>ב יהודה</w:t>
      </w:r>
      <w:r>
        <w:rPr>
          <w:rStyle w:val="a7"/>
          <w:rFonts w:cs="Arial"/>
          <w:u w:val="single"/>
          <w:rtl/>
        </w:rPr>
        <w:footnoteReference w:id="2222"/>
      </w:r>
      <w:r w:rsidRPr="00936F3C">
        <w:rPr>
          <w:rFonts w:cs="Arial"/>
          <w:u w:val="single"/>
          <w:rtl/>
        </w:rPr>
        <w:t xml:space="preserve"> אמר</w:t>
      </w:r>
      <w:r w:rsidRPr="009D3864">
        <w:rPr>
          <w:rFonts w:cs="Arial"/>
          <w:rtl/>
        </w:rPr>
        <w:t>: לפי שאין אדם רוצה שתתבזה אשתו בבית דין.</w:t>
      </w:r>
      <w:r w:rsidRPr="000D1E8A">
        <w:rPr>
          <w:rtl/>
        </w:rPr>
        <w:t xml:space="preserve"> </w:t>
      </w:r>
      <w:r w:rsidRPr="000D1E8A">
        <w:rPr>
          <w:rFonts w:cs="Arial"/>
          <w:rtl/>
        </w:rPr>
        <w:t>מאי בינייהו? איכא בינייהו גרושה, למאן דאמר משום חינא, גרושה נמי בעיא חן</w:t>
      </w:r>
      <w:r>
        <w:rPr>
          <w:rFonts w:cs="Arial" w:hint="cs"/>
          <w:rtl/>
        </w:rPr>
        <w:t>.</w:t>
      </w:r>
      <w:r w:rsidRPr="000D1E8A">
        <w:rPr>
          <w:rFonts w:cs="Arial"/>
          <w:rtl/>
        </w:rPr>
        <w:t xml:space="preserve"> למאן דאמר לפי שאין אדם רוצה שתתבזה אשתו בבית דין, גרושה לא איכפת ליה. תנן: וגרושה לא תמכור אלא בבית דין</w:t>
      </w:r>
      <w:r>
        <w:rPr>
          <w:rFonts w:cs="Arial" w:hint="cs"/>
          <w:rtl/>
        </w:rPr>
        <w:t>.</w:t>
      </w:r>
      <w:r w:rsidRPr="000D1E8A">
        <w:rPr>
          <w:rFonts w:cs="Arial"/>
          <w:rtl/>
        </w:rPr>
        <w:t xml:space="preserve"> בשלמא למאן דאמר לפי שאין אדם רוצה שתתבזה אשתו בבית דין, גרושה לא איכפת ליה</w:t>
      </w:r>
      <w:r>
        <w:rPr>
          <w:rFonts w:cs="Arial" w:hint="cs"/>
          <w:rtl/>
        </w:rPr>
        <w:t>.</w:t>
      </w:r>
      <w:r w:rsidRPr="000D1E8A">
        <w:rPr>
          <w:rFonts w:cs="Arial"/>
          <w:rtl/>
        </w:rPr>
        <w:t xml:space="preserve"> אלא למאן דאמר משום חינא, גרושה נמי בעיא חן! הא מני? ר' שמעון היא</w:t>
      </w:r>
      <w:r>
        <w:rPr>
          <w:rStyle w:val="a7"/>
          <w:rFonts w:cs="Arial"/>
          <w:rtl/>
        </w:rPr>
        <w:footnoteReference w:id="2223"/>
      </w:r>
      <w:r w:rsidRPr="000D1E8A">
        <w:rPr>
          <w:rFonts w:cs="Arial"/>
          <w:rtl/>
        </w:rPr>
        <w:t>.</w:t>
      </w:r>
    </w:p>
    <w:p w14:paraId="7634D80E" w14:textId="77777777" w:rsidR="00392DBB" w:rsidRDefault="00392DBB" w:rsidP="00392DBB">
      <w:pPr>
        <w:rPr>
          <w:rFonts w:cs="Arial"/>
          <w:rtl/>
        </w:rPr>
      </w:pPr>
      <w:r w:rsidRPr="004303EE">
        <w:rPr>
          <w:rFonts w:cs="Arial"/>
          <w:b/>
          <w:bCs/>
          <w:rtl/>
        </w:rPr>
        <w:t>ירושלמי כתובות פ</w:t>
      </w:r>
      <w:r>
        <w:rPr>
          <w:rFonts w:cs="Arial" w:hint="cs"/>
          <w:b/>
          <w:bCs/>
          <w:rtl/>
        </w:rPr>
        <w:t>"</w:t>
      </w:r>
      <w:r w:rsidRPr="004303EE">
        <w:rPr>
          <w:rFonts w:cs="Arial"/>
          <w:b/>
          <w:bCs/>
          <w:rtl/>
        </w:rPr>
        <w:t>ט</w:t>
      </w:r>
      <w:r w:rsidRPr="004303EE">
        <w:rPr>
          <w:rFonts w:cs="Arial" w:hint="cs"/>
          <w:b/>
          <w:bCs/>
          <w:rtl/>
        </w:rPr>
        <w:t xml:space="preserve"> ה"ז: </w:t>
      </w:r>
      <w:r w:rsidRPr="004303EE">
        <w:rPr>
          <w:rFonts w:cs="Arial"/>
          <w:u w:val="single"/>
          <w:rtl/>
        </w:rPr>
        <w:t>אמר ר' יוחנן בשם רבי ינאי</w:t>
      </w:r>
      <w:r>
        <w:rPr>
          <w:rFonts w:cs="Arial" w:hint="cs"/>
          <w:rtl/>
        </w:rPr>
        <w:t>:</w:t>
      </w:r>
      <w:r w:rsidRPr="004303EE">
        <w:rPr>
          <w:rFonts w:cs="Arial"/>
          <w:rtl/>
        </w:rPr>
        <w:t xml:space="preserve"> אין פורעין מניכסי יתומים אלא בשטר שהריבית אוכלת בו</w:t>
      </w:r>
      <w:r>
        <w:rPr>
          <w:rFonts w:cs="Arial" w:hint="cs"/>
          <w:rtl/>
        </w:rPr>
        <w:t>.</w:t>
      </w:r>
      <w:r w:rsidRPr="004303EE">
        <w:rPr>
          <w:rFonts w:cs="Arial"/>
          <w:rtl/>
        </w:rPr>
        <w:t xml:space="preserve"> </w:t>
      </w:r>
      <w:r>
        <w:rPr>
          <w:rFonts w:cs="Arial" w:hint="cs"/>
          <w:u w:val="single"/>
          <w:rtl/>
        </w:rPr>
        <w:t>ו</w:t>
      </w:r>
      <w:r w:rsidRPr="00C423C3">
        <w:rPr>
          <w:rFonts w:cs="Arial"/>
          <w:u w:val="single"/>
          <w:rtl/>
        </w:rPr>
        <w:t>יש אומרים</w:t>
      </w:r>
      <w:r>
        <w:rPr>
          <w:rFonts w:cs="Arial" w:hint="cs"/>
          <w:rtl/>
        </w:rPr>
        <w:t>:</w:t>
      </w:r>
      <w:r w:rsidRPr="004303EE">
        <w:rPr>
          <w:rFonts w:cs="Arial"/>
          <w:rtl/>
        </w:rPr>
        <w:t xml:space="preserve"> אף לכתובת אשה</w:t>
      </w:r>
      <w:r>
        <w:rPr>
          <w:rFonts w:cs="Arial" w:hint="cs"/>
          <w:rtl/>
        </w:rPr>
        <w:t>.</w:t>
      </w:r>
      <w:r w:rsidRPr="004303EE">
        <w:rPr>
          <w:rFonts w:cs="Arial"/>
          <w:rtl/>
        </w:rPr>
        <w:t xml:space="preserve"> </w:t>
      </w:r>
      <w:r w:rsidRPr="00C423C3">
        <w:rPr>
          <w:rFonts w:cs="Arial"/>
          <w:u w:val="single"/>
          <w:rtl/>
        </w:rPr>
        <w:t>א"ר ינאי</w:t>
      </w:r>
      <w:r>
        <w:rPr>
          <w:rFonts w:cs="Arial" w:hint="cs"/>
          <w:rtl/>
        </w:rPr>
        <w:t>:</w:t>
      </w:r>
      <w:r w:rsidRPr="004303EE">
        <w:rPr>
          <w:rFonts w:cs="Arial"/>
          <w:rtl/>
        </w:rPr>
        <w:t xml:space="preserve"> מפני מזונות</w:t>
      </w:r>
      <w:r>
        <w:rPr>
          <w:rFonts w:cs="Arial" w:hint="cs"/>
          <w:rtl/>
        </w:rPr>
        <w:t>.</w:t>
      </w:r>
      <w:r w:rsidRPr="004303EE">
        <w:rPr>
          <w:rFonts w:cs="Arial"/>
          <w:rtl/>
        </w:rPr>
        <w:t xml:space="preserve"> </w:t>
      </w:r>
      <w:r w:rsidRPr="00C423C3">
        <w:rPr>
          <w:rFonts w:cs="Arial"/>
          <w:u w:val="single"/>
          <w:rtl/>
        </w:rPr>
        <w:t>א"ר מתניה</w:t>
      </w:r>
      <w:r>
        <w:rPr>
          <w:rFonts w:cs="Arial" w:hint="cs"/>
          <w:rtl/>
        </w:rPr>
        <w:t>:</w:t>
      </w:r>
      <w:r w:rsidRPr="004303EE">
        <w:rPr>
          <w:rFonts w:cs="Arial"/>
          <w:rtl/>
        </w:rPr>
        <w:t xml:space="preserve"> מאן חש למזונות</w:t>
      </w:r>
      <w:r>
        <w:rPr>
          <w:rFonts w:cs="Arial" w:hint="cs"/>
          <w:rtl/>
        </w:rPr>
        <w:t>?</w:t>
      </w:r>
      <w:r w:rsidRPr="004303EE">
        <w:rPr>
          <w:rFonts w:cs="Arial"/>
          <w:rtl/>
        </w:rPr>
        <w:t xml:space="preserve"> ר' שמעון</w:t>
      </w:r>
      <w:r>
        <w:rPr>
          <w:rFonts w:cs="Arial" w:hint="cs"/>
          <w:rtl/>
        </w:rPr>
        <w:t>.</w:t>
      </w:r>
      <w:r w:rsidRPr="004303EE">
        <w:rPr>
          <w:rFonts w:cs="Arial"/>
          <w:rtl/>
        </w:rPr>
        <w:t xml:space="preserve"> דר"ש אומר במגבה הדבר תלוי</w:t>
      </w:r>
      <w:r>
        <w:rPr>
          <w:rFonts w:cs="Arial" w:hint="cs"/>
          <w:rtl/>
        </w:rPr>
        <w:t>.</w:t>
      </w:r>
      <w:r w:rsidRPr="004303EE">
        <w:rPr>
          <w:rFonts w:cs="Arial"/>
          <w:rtl/>
        </w:rPr>
        <w:t xml:space="preserve"> מאי כדון</w:t>
      </w:r>
      <w:r>
        <w:rPr>
          <w:rFonts w:cs="Arial" w:hint="cs"/>
          <w:rtl/>
        </w:rPr>
        <w:t>?</w:t>
      </w:r>
      <w:r w:rsidRPr="004303EE">
        <w:rPr>
          <w:rFonts w:cs="Arial"/>
          <w:rtl/>
        </w:rPr>
        <w:t xml:space="preserve"> מפני חינה</w:t>
      </w:r>
      <w:r>
        <w:rPr>
          <w:rFonts w:cs="Arial" w:hint="cs"/>
          <w:rtl/>
        </w:rPr>
        <w:t>,</w:t>
      </w:r>
      <w:r w:rsidRPr="004303EE">
        <w:rPr>
          <w:rFonts w:cs="Arial"/>
          <w:rtl/>
        </w:rPr>
        <w:t xml:space="preserve"> מפני שיהיו הכל קופצין עליה לישאנה</w:t>
      </w:r>
      <w:r>
        <w:rPr>
          <w:rFonts w:cs="Arial" w:hint="cs"/>
          <w:rtl/>
        </w:rPr>
        <w:t>.</w:t>
      </w:r>
    </w:p>
    <w:p w14:paraId="64518D9D" w14:textId="77777777" w:rsidR="00392DBB" w:rsidRDefault="00392DBB" w:rsidP="00392DBB">
      <w:pPr>
        <w:rPr>
          <w:rFonts w:cs="Arial"/>
          <w:rtl/>
        </w:rPr>
      </w:pPr>
      <w:r w:rsidRPr="00D50507">
        <w:rPr>
          <w:rFonts w:cs="Arial" w:hint="cs"/>
          <w:u w:val="single"/>
          <w:rtl/>
        </w:rPr>
        <w:t>מה הטעם שאלמנה מן האירוסין מוכרת מנכסי בעלה שלא בבית דין:</w:t>
      </w:r>
      <w:r>
        <w:rPr>
          <w:rFonts w:cs="Arial" w:hint="cs"/>
          <w:rtl/>
        </w:rPr>
        <w:t xml:space="preserve"> </w:t>
      </w:r>
    </w:p>
    <w:p w14:paraId="27B2BC0B" w14:textId="77777777" w:rsidR="00392DBB" w:rsidRPr="00D50507" w:rsidRDefault="00392DBB" w:rsidP="009000E3">
      <w:pPr>
        <w:pStyle w:val="ab"/>
        <w:numPr>
          <w:ilvl w:val="0"/>
          <w:numId w:val="61"/>
        </w:numPr>
        <w:rPr>
          <w:rFonts w:cs="Arial"/>
          <w:rtl/>
        </w:rPr>
      </w:pPr>
      <w:r w:rsidRPr="00D50507">
        <w:rPr>
          <w:rFonts w:cs="Arial"/>
          <w:rtl/>
        </w:rPr>
        <w:t>רשב"א</w:t>
      </w:r>
      <w:r w:rsidRPr="00D50507">
        <w:rPr>
          <w:rFonts w:cs="Arial" w:hint="cs"/>
          <w:rtl/>
        </w:rPr>
        <w:t xml:space="preserve"> </w:t>
      </w:r>
      <w:r w:rsidRPr="00D50507">
        <w:rPr>
          <w:rFonts w:cs="Arial" w:hint="cs"/>
          <w:sz w:val="16"/>
          <w:szCs w:val="16"/>
          <w:rtl/>
        </w:rPr>
        <w:t>(כ"כ הר"ן [נו: ד"ה איכא] בשמו, ועי' בתשו' ח"ד סי' מא, ובכס"מ הל' מלוה פי"ב ה"ג שהביאו)</w:t>
      </w:r>
      <w:r w:rsidRPr="00D50507">
        <w:rPr>
          <w:rFonts w:cs="Arial" w:hint="cs"/>
          <w:rtl/>
        </w:rPr>
        <w:t>- משום חינא,</w:t>
      </w:r>
      <w:r w:rsidRPr="00D50507">
        <w:rPr>
          <w:rFonts w:cs="Arial"/>
          <w:rtl/>
        </w:rPr>
        <w:t xml:space="preserve"> כעולא</w:t>
      </w:r>
      <w:r w:rsidRPr="00D50507">
        <w:rPr>
          <w:rFonts w:cs="Arial" w:hint="cs"/>
          <w:rtl/>
        </w:rPr>
        <w:t>.</w:t>
      </w:r>
      <w:r w:rsidRPr="00D50507">
        <w:rPr>
          <w:rFonts w:cs="Arial"/>
          <w:rtl/>
        </w:rPr>
        <w:t xml:space="preserve"> </w:t>
      </w:r>
    </w:p>
    <w:p w14:paraId="0EE4BD14" w14:textId="77777777" w:rsidR="00392DBB" w:rsidRPr="006904C8" w:rsidRDefault="00392DBB" w:rsidP="009000E3">
      <w:pPr>
        <w:pStyle w:val="ab"/>
        <w:numPr>
          <w:ilvl w:val="0"/>
          <w:numId w:val="61"/>
        </w:numPr>
        <w:rPr>
          <w:rFonts w:cs="Arial"/>
          <w:rtl/>
        </w:rPr>
      </w:pPr>
      <w:r w:rsidRPr="00D50507">
        <w:rPr>
          <w:rFonts w:cs="Arial" w:hint="cs"/>
          <w:rtl/>
        </w:rPr>
        <w:t xml:space="preserve">רי"ף </w:t>
      </w:r>
      <w:r w:rsidRPr="00D50507">
        <w:rPr>
          <w:rFonts w:cs="Arial" w:hint="cs"/>
          <w:sz w:val="16"/>
          <w:szCs w:val="16"/>
          <w:rtl/>
        </w:rPr>
        <w:t xml:space="preserve">(כ"כ </w:t>
      </w:r>
      <w:r>
        <w:rPr>
          <w:rFonts w:cs="Arial" w:hint="cs"/>
          <w:sz w:val="16"/>
          <w:szCs w:val="16"/>
          <w:rtl/>
        </w:rPr>
        <w:t xml:space="preserve">בשמו </w:t>
      </w:r>
      <w:r w:rsidRPr="00D50507">
        <w:rPr>
          <w:rFonts w:cs="Arial" w:hint="cs"/>
          <w:sz w:val="16"/>
          <w:szCs w:val="16"/>
          <w:rtl/>
        </w:rPr>
        <w:t xml:space="preserve">הר"ן [נו: ד"ה איכא] </w:t>
      </w:r>
      <w:r>
        <w:rPr>
          <w:rFonts w:cs="Arial" w:hint="cs"/>
          <w:sz w:val="16"/>
          <w:szCs w:val="16"/>
          <w:rtl/>
        </w:rPr>
        <w:t>והה"מ [שם]</w:t>
      </w:r>
      <w:r w:rsidRPr="00D50507">
        <w:rPr>
          <w:rFonts w:cs="Arial" w:hint="cs"/>
          <w:sz w:val="16"/>
          <w:szCs w:val="16"/>
          <w:rtl/>
        </w:rPr>
        <w:t>)</w:t>
      </w:r>
      <w:r w:rsidRPr="00D50507">
        <w:rPr>
          <w:rFonts w:cs="Arial"/>
          <w:rtl/>
        </w:rPr>
        <w:t xml:space="preserve"> רמב"ם</w:t>
      </w:r>
      <w:r>
        <w:rPr>
          <w:rStyle w:val="a7"/>
          <w:rFonts w:cs="Arial"/>
          <w:rtl/>
        </w:rPr>
        <w:footnoteReference w:id="2224"/>
      </w:r>
      <w:r w:rsidRPr="00D50507">
        <w:rPr>
          <w:rFonts w:cs="Arial"/>
          <w:rtl/>
        </w:rPr>
        <w:t xml:space="preserve"> </w:t>
      </w:r>
      <w:r w:rsidRPr="00AC5956">
        <w:rPr>
          <w:rFonts w:cs="Arial" w:hint="cs"/>
          <w:sz w:val="16"/>
          <w:szCs w:val="16"/>
          <w:rtl/>
        </w:rPr>
        <w:t>(פי"ז מאישות הי"ג)</w:t>
      </w:r>
      <w:r>
        <w:rPr>
          <w:rFonts w:cs="Arial" w:hint="cs"/>
          <w:rtl/>
        </w:rPr>
        <w:t xml:space="preserve"> ו</w:t>
      </w:r>
      <w:r w:rsidRPr="00D50507">
        <w:rPr>
          <w:rFonts w:cs="Arial"/>
          <w:rtl/>
        </w:rPr>
        <w:t>רא"ש</w:t>
      </w:r>
      <w:r w:rsidRPr="00D50507">
        <w:rPr>
          <w:rFonts w:cs="Arial"/>
          <w:sz w:val="16"/>
          <w:szCs w:val="16"/>
          <w:rtl/>
        </w:rPr>
        <w:t xml:space="preserve"> (</w:t>
      </w:r>
      <w:r w:rsidRPr="00D50507">
        <w:rPr>
          <w:rFonts w:cs="Arial" w:hint="cs"/>
          <w:sz w:val="16"/>
          <w:szCs w:val="16"/>
          <w:rtl/>
        </w:rPr>
        <w:t xml:space="preserve">כתובות פי"א </w:t>
      </w:r>
      <w:r w:rsidRPr="00D50507">
        <w:rPr>
          <w:rFonts w:cs="Arial"/>
          <w:sz w:val="16"/>
          <w:szCs w:val="16"/>
          <w:rtl/>
        </w:rPr>
        <w:t>סי' י)</w:t>
      </w:r>
      <w:r w:rsidRPr="00D50507">
        <w:rPr>
          <w:rFonts w:cs="Arial" w:hint="cs"/>
          <w:rtl/>
        </w:rPr>
        <w:t>-</w:t>
      </w:r>
      <w:r w:rsidRPr="00D50507">
        <w:rPr>
          <w:rFonts w:cs="Arial"/>
          <w:rtl/>
        </w:rPr>
        <w:t xml:space="preserve"> </w:t>
      </w:r>
      <w:r w:rsidRPr="009D3864">
        <w:rPr>
          <w:rFonts w:cs="Arial"/>
          <w:rtl/>
        </w:rPr>
        <w:t>לפי שאין אדם רוצה שתתבזה אשתו בבית דין</w:t>
      </w:r>
      <w:r>
        <w:rPr>
          <w:rFonts w:cs="Arial" w:hint="cs"/>
          <w:rtl/>
        </w:rPr>
        <w:t>,</w:t>
      </w:r>
      <w:r w:rsidRPr="00D50507">
        <w:rPr>
          <w:rFonts w:cs="Arial" w:hint="cs"/>
          <w:rtl/>
        </w:rPr>
        <w:t xml:space="preserve"> </w:t>
      </w:r>
      <w:r w:rsidRPr="00D50507">
        <w:rPr>
          <w:rFonts w:cs="Arial"/>
          <w:rtl/>
        </w:rPr>
        <w:t>כרב יהודה</w:t>
      </w:r>
      <w:r>
        <w:rPr>
          <w:rFonts w:cs="Arial" w:hint="cs"/>
          <w:rtl/>
        </w:rPr>
        <w:t>,</w:t>
      </w:r>
      <w:r w:rsidRPr="00D50507">
        <w:rPr>
          <w:rFonts w:cs="Arial"/>
          <w:rtl/>
        </w:rPr>
        <w:t xml:space="preserve"> דמתניתין אתיא אליביה אפילו לרבנן. </w:t>
      </w:r>
    </w:p>
    <w:p w14:paraId="78365BE3" w14:textId="56683767" w:rsidR="00392DBB" w:rsidRPr="000D7D4D" w:rsidRDefault="00392DBB" w:rsidP="00392DBB">
      <w:pPr>
        <w:ind w:left="360"/>
        <w:rPr>
          <w:u w:val="dotted"/>
          <w:rtl/>
        </w:rPr>
      </w:pPr>
      <w:r w:rsidRPr="000D7D4D">
        <w:rPr>
          <w:rFonts w:hint="cs"/>
          <w:u w:val="dotted"/>
          <w:rtl/>
        </w:rPr>
        <w:t xml:space="preserve">לפיכך, גרושה שמוכרת מנכסי בעלה כדי לגבות כתובתה </w:t>
      </w:r>
      <w:r w:rsidR="00F97626">
        <w:rPr>
          <w:u w:val="dotted"/>
          <w:rtl/>
        </w:rPr>
        <w:t>-</w:t>
      </w:r>
      <w:r w:rsidRPr="000D7D4D">
        <w:rPr>
          <w:rFonts w:hint="cs"/>
          <w:u w:val="dotted"/>
          <w:rtl/>
        </w:rPr>
        <w:t xml:space="preserve"> האם מוכרת בבית דין או לא:</w:t>
      </w:r>
    </w:p>
    <w:p w14:paraId="5870196F" w14:textId="77777777" w:rsidR="00392DBB" w:rsidRDefault="00392DBB" w:rsidP="009000E3">
      <w:pPr>
        <w:pStyle w:val="ab"/>
        <w:numPr>
          <w:ilvl w:val="0"/>
          <w:numId w:val="61"/>
        </w:numPr>
      </w:pPr>
      <w:r w:rsidRPr="00D50507">
        <w:rPr>
          <w:rFonts w:cs="Arial" w:hint="cs"/>
          <w:rtl/>
        </w:rPr>
        <w:lastRenderedPageBreak/>
        <w:t xml:space="preserve">רי"ף </w:t>
      </w:r>
      <w:r>
        <w:rPr>
          <w:rFonts w:cs="Arial" w:hint="cs"/>
          <w:sz w:val="16"/>
          <w:szCs w:val="16"/>
          <w:rtl/>
        </w:rPr>
        <w:t xml:space="preserve">(שם) </w:t>
      </w:r>
      <w:r>
        <w:rPr>
          <w:rFonts w:cs="Arial" w:hint="cs"/>
          <w:rtl/>
        </w:rPr>
        <w:t xml:space="preserve">רמב"ם </w:t>
      </w:r>
      <w:r>
        <w:rPr>
          <w:rFonts w:cs="Arial" w:hint="cs"/>
          <w:sz w:val="16"/>
          <w:szCs w:val="16"/>
          <w:rtl/>
        </w:rPr>
        <w:t xml:space="preserve">(שם) </w:t>
      </w:r>
      <w:r w:rsidRPr="00D50507">
        <w:rPr>
          <w:rFonts w:cs="Arial"/>
          <w:rtl/>
        </w:rPr>
        <w:t>רא"ש</w:t>
      </w:r>
      <w:r w:rsidRPr="00D50507">
        <w:rPr>
          <w:rFonts w:cs="Arial"/>
          <w:sz w:val="16"/>
          <w:szCs w:val="16"/>
          <w:rtl/>
        </w:rPr>
        <w:t xml:space="preserve"> </w:t>
      </w:r>
      <w:r>
        <w:rPr>
          <w:rFonts w:cs="Arial" w:hint="cs"/>
          <w:sz w:val="16"/>
          <w:szCs w:val="16"/>
          <w:rtl/>
        </w:rPr>
        <w:t>(שם)</w:t>
      </w:r>
      <w:r>
        <w:rPr>
          <w:rFonts w:cs="Arial" w:hint="cs"/>
          <w:rtl/>
        </w:rPr>
        <w:t xml:space="preserve"> וטור- </w:t>
      </w:r>
      <w:r w:rsidRPr="00031435">
        <w:rPr>
          <w:rFonts w:cs="Arial"/>
          <w:rtl/>
        </w:rPr>
        <w:t>גרושה לא תמכור אלא בב"ד</w:t>
      </w:r>
      <w:r>
        <w:rPr>
          <w:rFonts w:cs="Arial" w:hint="cs"/>
          <w:sz w:val="16"/>
          <w:szCs w:val="16"/>
          <w:rtl/>
        </w:rPr>
        <w:t xml:space="preserve"> (ל' הטור)</w:t>
      </w:r>
      <w:r>
        <w:rPr>
          <w:rFonts w:cs="Arial" w:hint="cs"/>
          <w:rtl/>
        </w:rPr>
        <w:t>.</w:t>
      </w:r>
      <w:r w:rsidRPr="00031435">
        <w:rPr>
          <w:rFonts w:cs="Arial"/>
          <w:rtl/>
        </w:rPr>
        <w:t xml:space="preserve"> </w:t>
      </w:r>
      <w:r w:rsidRPr="009A1165">
        <w:rPr>
          <w:rFonts w:hint="cs"/>
          <w:color w:val="E36C0A" w:themeColor="accent6" w:themeShade="BF"/>
          <w:rtl/>
        </w:rPr>
        <w:t>(וכ"פ בשו"ע)</w:t>
      </w:r>
    </w:p>
    <w:p w14:paraId="5F8CAED5" w14:textId="77777777" w:rsidR="00392DBB" w:rsidRPr="00D376E3" w:rsidRDefault="00392DBB" w:rsidP="009000E3">
      <w:pPr>
        <w:pStyle w:val="ab"/>
        <w:numPr>
          <w:ilvl w:val="0"/>
          <w:numId w:val="61"/>
        </w:numPr>
      </w:pPr>
      <w:r>
        <w:rPr>
          <w:rFonts w:cs="Arial" w:hint="cs"/>
          <w:rtl/>
        </w:rPr>
        <w:t>רשב"א</w:t>
      </w:r>
      <w:r>
        <w:rPr>
          <w:rFonts w:cs="Arial" w:hint="cs"/>
          <w:sz w:val="16"/>
          <w:szCs w:val="16"/>
          <w:rtl/>
        </w:rPr>
        <w:t xml:space="preserve"> (כ"כ בשמו הר"ן [שם])</w:t>
      </w:r>
      <w:r>
        <w:rPr>
          <w:rFonts w:cs="Arial" w:hint="cs"/>
          <w:rtl/>
        </w:rPr>
        <w:t xml:space="preserve">- </w:t>
      </w:r>
      <w:r w:rsidRPr="00151D35">
        <w:rPr>
          <w:rFonts w:cs="Arial"/>
          <w:rtl/>
        </w:rPr>
        <w:t>אפי' גרושה מוכרת שלא בב"ד מומחין</w:t>
      </w:r>
      <w:r>
        <w:rPr>
          <w:rFonts w:hint="cs"/>
          <w:sz w:val="16"/>
          <w:szCs w:val="16"/>
          <w:rtl/>
        </w:rPr>
        <w:t xml:space="preserve"> (ל' הר"ן)</w:t>
      </w:r>
      <w:r>
        <w:rPr>
          <w:rFonts w:hint="cs"/>
          <w:rtl/>
        </w:rPr>
        <w:t>.</w:t>
      </w:r>
    </w:p>
    <w:p w14:paraId="331C16B8" w14:textId="79146479" w:rsidR="00392DBB" w:rsidRPr="00D376E3" w:rsidRDefault="00392DBB" w:rsidP="00392DBB">
      <w:r>
        <w:rPr>
          <w:rFonts w:hint="cs"/>
          <w:u w:val="single"/>
          <w:rtl/>
        </w:rPr>
        <w:t>אלמנה שנשאת</w:t>
      </w:r>
      <w:r w:rsidRPr="00D376E3">
        <w:rPr>
          <w:rFonts w:hint="cs"/>
          <w:u w:val="single"/>
          <w:rtl/>
        </w:rPr>
        <w:t xml:space="preserve"> </w:t>
      </w:r>
      <w:r>
        <w:rPr>
          <w:rFonts w:hint="cs"/>
          <w:u w:val="single"/>
          <w:rtl/>
        </w:rPr>
        <w:t>ש</w:t>
      </w:r>
      <w:r w:rsidRPr="00D376E3">
        <w:rPr>
          <w:rFonts w:hint="cs"/>
          <w:u w:val="single"/>
          <w:rtl/>
        </w:rPr>
        <w:t>מוכרת מנכסי בעלה כדי לגבות כתובתה</w:t>
      </w:r>
      <w:r>
        <w:rPr>
          <w:rFonts w:hint="cs"/>
          <w:u w:val="single"/>
          <w:rtl/>
        </w:rPr>
        <w:t xml:space="preserve"> </w:t>
      </w:r>
      <w:r w:rsidR="00F97626">
        <w:rPr>
          <w:u w:val="single"/>
          <w:rtl/>
        </w:rPr>
        <w:t>-</w:t>
      </w:r>
      <w:r>
        <w:rPr>
          <w:rFonts w:hint="cs"/>
          <w:u w:val="single"/>
          <w:rtl/>
        </w:rPr>
        <w:t xml:space="preserve"> האם מוכרת בב"ד או לא</w:t>
      </w:r>
      <w:r w:rsidRPr="00D376E3">
        <w:rPr>
          <w:rFonts w:hint="cs"/>
          <w:u w:val="single"/>
          <w:rtl/>
        </w:rPr>
        <w:t>:</w:t>
      </w:r>
    </w:p>
    <w:p w14:paraId="57A0558D" w14:textId="77777777" w:rsidR="00392DBB" w:rsidRPr="00E26319" w:rsidRDefault="00392DBB" w:rsidP="009000E3">
      <w:pPr>
        <w:pStyle w:val="ab"/>
        <w:numPr>
          <w:ilvl w:val="0"/>
          <w:numId w:val="61"/>
        </w:numPr>
        <w:rPr>
          <w:rtl/>
        </w:rPr>
      </w:pPr>
      <w:r>
        <w:rPr>
          <w:rFonts w:cs="Arial" w:hint="cs"/>
          <w:rtl/>
        </w:rPr>
        <w:t xml:space="preserve">טור- </w:t>
      </w:r>
      <w:r w:rsidRPr="00031435">
        <w:rPr>
          <w:rFonts w:cs="Arial"/>
          <w:rtl/>
        </w:rPr>
        <w:t>אלמנה נמי</w:t>
      </w:r>
      <w:r>
        <w:rPr>
          <w:rFonts w:cs="Arial" w:hint="cs"/>
          <w:rtl/>
        </w:rPr>
        <w:t>,</w:t>
      </w:r>
      <w:r w:rsidRPr="00031435">
        <w:rPr>
          <w:rFonts w:cs="Arial"/>
          <w:rtl/>
        </w:rPr>
        <w:t xml:space="preserve"> אם נשאת </w:t>
      </w:r>
      <w:r>
        <w:rPr>
          <w:rFonts w:cs="Arial" w:hint="cs"/>
          <w:rtl/>
        </w:rPr>
        <w:t xml:space="preserve">- </w:t>
      </w:r>
      <w:r w:rsidRPr="00031435">
        <w:rPr>
          <w:rFonts w:cs="Arial"/>
          <w:rtl/>
        </w:rPr>
        <w:t>לא תמכור אלא בב"ד</w:t>
      </w:r>
      <w:r>
        <w:rPr>
          <w:rStyle w:val="a7"/>
          <w:rFonts w:cs="Arial"/>
          <w:rtl/>
        </w:rPr>
        <w:footnoteReference w:id="2225"/>
      </w:r>
      <w:r>
        <w:rPr>
          <w:rFonts w:cs="Arial" w:hint="cs"/>
          <w:rtl/>
        </w:rPr>
        <w:t>.</w:t>
      </w:r>
      <w:r>
        <w:rPr>
          <w:rFonts w:hint="cs"/>
          <w:rtl/>
        </w:rPr>
        <w:t xml:space="preserve"> </w:t>
      </w:r>
      <w:r w:rsidRPr="009A1165">
        <w:rPr>
          <w:rFonts w:hint="cs"/>
          <w:color w:val="E36C0A" w:themeColor="accent6" w:themeShade="BF"/>
          <w:rtl/>
        </w:rPr>
        <w:t>(וכ"פ בשו"ע)</w:t>
      </w:r>
    </w:p>
    <w:p w14:paraId="3CFEF1B7"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B8BDE1D" w14:textId="77777777" w:rsidR="00392DBB" w:rsidRDefault="00392DBB" w:rsidP="00392DBB">
      <w:pPr>
        <w:rPr>
          <w:rtl/>
        </w:rPr>
      </w:pPr>
      <w:r>
        <w:rPr>
          <w:rFonts w:cs="Arial"/>
          <w:rtl/>
        </w:rPr>
        <w:t>גרושה, לא תמכור</w:t>
      </w:r>
      <w:r>
        <w:rPr>
          <w:rStyle w:val="a7"/>
          <w:rFonts w:cs="Arial"/>
          <w:rtl/>
        </w:rPr>
        <w:footnoteReference w:id="2226"/>
      </w:r>
      <w:r>
        <w:rPr>
          <w:rFonts w:cs="Arial"/>
          <w:rtl/>
        </w:rPr>
        <w:t xml:space="preserve"> אלא בב</w:t>
      </w:r>
      <w:r>
        <w:rPr>
          <w:rFonts w:cs="Arial" w:hint="cs"/>
          <w:rtl/>
        </w:rPr>
        <w:t xml:space="preserve">ית </w:t>
      </w:r>
      <w:r>
        <w:rPr>
          <w:rFonts w:cs="Arial"/>
          <w:rtl/>
        </w:rPr>
        <w:t>ד</w:t>
      </w:r>
      <w:r>
        <w:rPr>
          <w:rFonts w:cs="Arial" w:hint="cs"/>
          <w:rtl/>
        </w:rPr>
        <w:t>ין</w:t>
      </w:r>
      <w:r>
        <w:rPr>
          <w:rFonts w:cs="Arial"/>
          <w:rtl/>
        </w:rPr>
        <w:t xml:space="preserve"> מומחים</w:t>
      </w:r>
      <w:r>
        <w:rPr>
          <w:rStyle w:val="a7"/>
          <w:rFonts w:cs="Arial"/>
          <w:rtl/>
        </w:rPr>
        <w:footnoteReference w:id="2227"/>
      </w:r>
      <w:r>
        <w:rPr>
          <w:rFonts w:cs="Arial"/>
          <w:rtl/>
        </w:rPr>
        <w:t xml:space="preserve">. ואלמנה נמי, אם נשאת, לא תמכור אלא בבית דין מומחים. </w:t>
      </w:r>
    </w:p>
    <w:p w14:paraId="5FD4AFD6" w14:textId="77777777" w:rsidR="00392DBB" w:rsidRDefault="00392DBB" w:rsidP="00392DBB">
      <w:pPr>
        <w:rPr>
          <w:rtl/>
        </w:rPr>
      </w:pPr>
    </w:p>
    <w:p w14:paraId="7D6A9282" w14:textId="7092D47B" w:rsidR="00392DBB" w:rsidRDefault="00392DBB" w:rsidP="000F64D0">
      <w:pPr>
        <w:pStyle w:val="2"/>
        <w:rPr>
          <w:rtl/>
        </w:rPr>
      </w:pPr>
      <w:r>
        <w:rPr>
          <w:rtl/>
        </w:rPr>
        <w:t>סעיף ד</w:t>
      </w:r>
      <w:r>
        <w:rPr>
          <w:rFonts w:hint="cs"/>
          <w:rtl/>
        </w:rPr>
        <w:t xml:space="preserve">: שבועת אלמנה שמוכרת מנכסי בעלה </w:t>
      </w:r>
      <w:r w:rsidR="00CA738E">
        <w:rPr>
          <w:rFonts w:hint="cs"/>
          <w:rtl/>
        </w:rPr>
        <w:t>בעצמה</w:t>
      </w:r>
      <w:r>
        <w:rPr>
          <w:rFonts w:hint="cs"/>
          <w:rtl/>
        </w:rPr>
        <w:t>.</w:t>
      </w:r>
    </w:p>
    <w:p w14:paraId="7C838966" w14:textId="77777777" w:rsidR="00392DBB" w:rsidRDefault="00392DBB" w:rsidP="00392DBB">
      <w:pPr>
        <w:rPr>
          <w:rFonts w:cs="Arial"/>
          <w:rtl/>
        </w:rPr>
      </w:pPr>
      <w:r w:rsidRPr="009E1CA8">
        <w:rPr>
          <w:rFonts w:hint="cs"/>
          <w:b/>
          <w:bCs/>
          <w:rtl/>
        </w:rPr>
        <w:t xml:space="preserve">כתובות </w:t>
      </w:r>
      <w:r w:rsidRPr="009E1CA8">
        <w:rPr>
          <w:rFonts w:hint="cs"/>
          <w:b/>
          <w:bCs/>
          <w:sz w:val="16"/>
          <w:szCs w:val="16"/>
          <w:rtl/>
        </w:rPr>
        <w:t xml:space="preserve">(פ' אלמנה נזונת) </w:t>
      </w:r>
      <w:r w:rsidRPr="009E1CA8">
        <w:rPr>
          <w:rFonts w:hint="cs"/>
          <w:b/>
          <w:bCs/>
          <w:rtl/>
        </w:rPr>
        <w:t>צ</w:t>
      </w:r>
      <w:r>
        <w:rPr>
          <w:rFonts w:hint="cs"/>
          <w:b/>
          <w:bCs/>
          <w:rtl/>
        </w:rPr>
        <w:t>ח</w:t>
      </w:r>
      <w:r w:rsidRPr="009E1CA8">
        <w:rPr>
          <w:rFonts w:hint="cs"/>
          <w:b/>
          <w:bCs/>
          <w:rtl/>
        </w:rPr>
        <w:t xml:space="preserve"> ע"</w:t>
      </w:r>
      <w:r>
        <w:rPr>
          <w:rFonts w:hint="cs"/>
          <w:b/>
          <w:bCs/>
          <w:rtl/>
        </w:rPr>
        <w:t>א</w:t>
      </w:r>
      <w:r w:rsidRPr="009E1CA8">
        <w:rPr>
          <w:rFonts w:hint="cs"/>
          <w:b/>
          <w:bCs/>
          <w:rtl/>
        </w:rPr>
        <w:t>:</w:t>
      </w:r>
      <w:r>
        <w:rPr>
          <w:rFonts w:hint="cs"/>
          <w:b/>
          <w:bCs/>
          <w:rtl/>
        </w:rPr>
        <w:t xml:space="preserve"> </w:t>
      </w:r>
      <w:r w:rsidRPr="001D66A0">
        <w:rPr>
          <w:rFonts w:cs="Arial"/>
          <w:u w:val="single"/>
          <w:rtl/>
        </w:rPr>
        <w:t>שלח ליה רבה בריה דרבא לרב יוסף</w:t>
      </w:r>
      <w:r w:rsidRPr="00E3423A">
        <w:rPr>
          <w:rFonts w:cs="Arial"/>
          <w:rtl/>
        </w:rPr>
        <w:t>: מוכרת שלא בב"ד, צריכה שבועה</w:t>
      </w:r>
      <w:r>
        <w:rPr>
          <w:rStyle w:val="a7"/>
          <w:rFonts w:cs="Arial"/>
          <w:rtl/>
        </w:rPr>
        <w:footnoteReference w:id="2228"/>
      </w:r>
      <w:r w:rsidRPr="00E3423A">
        <w:rPr>
          <w:rFonts w:cs="Arial"/>
          <w:rtl/>
        </w:rPr>
        <w:t xml:space="preserve"> או אין צריכה שבועה? ותבעי לך הכרזה! </w:t>
      </w:r>
      <w:r w:rsidRPr="001D66A0">
        <w:rPr>
          <w:rFonts w:cs="Arial"/>
          <w:u w:val="single"/>
          <w:rtl/>
        </w:rPr>
        <w:t>אמר ליה</w:t>
      </w:r>
      <w:r w:rsidRPr="00E3423A">
        <w:rPr>
          <w:rFonts w:cs="Arial"/>
          <w:rtl/>
        </w:rPr>
        <w:t>: הכרזה לא קמיבעיא לי, דא"ר זירא אמר רב נחמן: אלמנה ששמה לעצמה</w:t>
      </w:r>
      <w:r>
        <w:rPr>
          <w:rStyle w:val="a7"/>
          <w:rFonts w:cs="Arial"/>
          <w:rtl/>
        </w:rPr>
        <w:footnoteReference w:id="2229"/>
      </w:r>
      <w:r w:rsidRPr="00E3423A">
        <w:rPr>
          <w:rFonts w:cs="Arial"/>
          <w:rtl/>
        </w:rPr>
        <w:t xml:space="preserve"> - לא עשתה ולא כלום</w:t>
      </w:r>
      <w:r>
        <w:rPr>
          <w:rStyle w:val="a7"/>
          <w:rFonts w:cs="Arial"/>
          <w:rtl/>
        </w:rPr>
        <w:footnoteReference w:id="2230"/>
      </w:r>
      <w:r w:rsidRPr="00E3423A">
        <w:rPr>
          <w:rFonts w:cs="Arial"/>
          <w:rtl/>
        </w:rPr>
        <w:t>, ה"ד?</w:t>
      </w:r>
      <w:r w:rsidRPr="001D66A0">
        <w:rPr>
          <w:rtl/>
        </w:rPr>
        <w:t xml:space="preserve"> </w:t>
      </w:r>
      <w:r w:rsidRPr="001D66A0">
        <w:rPr>
          <w:rFonts w:cs="Arial"/>
          <w:rtl/>
        </w:rPr>
        <w:t>אי דאכרוז, אמאי לא עשתה ולא כלום? אלא לאו דלא אכרוז, ולעצמה הוא דלא עשתה ולא כלום, הא לאחר</w:t>
      </w:r>
      <w:r>
        <w:rPr>
          <w:rFonts w:cs="Arial" w:hint="cs"/>
          <w:rtl/>
        </w:rPr>
        <w:t xml:space="preserve"> -</w:t>
      </w:r>
      <w:r w:rsidRPr="001D66A0">
        <w:rPr>
          <w:rFonts w:cs="Arial"/>
          <w:rtl/>
        </w:rPr>
        <w:t xml:space="preserve"> מה שעשתה עשתה.</w:t>
      </w:r>
      <w:r w:rsidRPr="00E3423A">
        <w:rPr>
          <w:rFonts w:cs="Arial"/>
          <w:rtl/>
        </w:rPr>
        <w:t xml:space="preserve"> לעולם דאכרוז, ודאמרי לה: מאן שם ליך</w:t>
      </w:r>
      <w:r>
        <w:rPr>
          <w:rStyle w:val="a7"/>
          <w:rFonts w:cs="Arial"/>
          <w:rtl/>
        </w:rPr>
        <w:footnoteReference w:id="2231"/>
      </w:r>
      <w:r w:rsidRPr="00E3423A">
        <w:rPr>
          <w:rFonts w:cs="Arial"/>
          <w:rtl/>
        </w:rPr>
        <w:t>? כי האי דההוא גברא דאפקידו גביה כיסתא</w:t>
      </w:r>
      <w:r>
        <w:rPr>
          <w:rStyle w:val="a7"/>
          <w:rFonts w:cs="Arial"/>
          <w:rtl/>
        </w:rPr>
        <w:footnoteReference w:id="2232"/>
      </w:r>
      <w:r w:rsidRPr="00E3423A">
        <w:rPr>
          <w:rFonts w:cs="Arial"/>
          <w:rtl/>
        </w:rPr>
        <w:t xml:space="preserve"> דיתמי, אזל שמה לנפשיה בארבע מאה זוזי, אייקר קם בשית מאה, אתא לקמיה דרבי אמי, אמר ליה: מאן שם לך? והלכתא: צריכה שבועה ואינה צריכה הכרזה.</w:t>
      </w:r>
    </w:p>
    <w:p w14:paraId="5D3AF7C7" w14:textId="77777777" w:rsidR="00392DBB" w:rsidRPr="00E822E0" w:rsidRDefault="00392DBB" w:rsidP="00392DBB">
      <w:pPr>
        <w:rPr>
          <w:rFonts w:cs="Arial"/>
          <w:u w:val="single"/>
          <w:rtl/>
        </w:rPr>
      </w:pPr>
      <w:r w:rsidRPr="00E822E0">
        <w:rPr>
          <w:rFonts w:cs="Arial" w:hint="cs"/>
          <w:u w:val="single"/>
          <w:rtl/>
        </w:rPr>
        <w:t>על איזו שבועה שאל רבה את רב יוסף:</w:t>
      </w:r>
    </w:p>
    <w:p w14:paraId="3A407286" w14:textId="28F718C9" w:rsidR="00392DBB" w:rsidRDefault="00392DBB" w:rsidP="009000E3">
      <w:pPr>
        <w:pStyle w:val="ab"/>
        <w:numPr>
          <w:ilvl w:val="0"/>
          <w:numId w:val="61"/>
        </w:numPr>
        <w:rPr>
          <w:rFonts w:cs="Arial"/>
        </w:rPr>
      </w:pPr>
      <w:r w:rsidRPr="00E822E0">
        <w:rPr>
          <w:rFonts w:cs="Arial" w:hint="cs"/>
          <w:rtl/>
        </w:rPr>
        <w:t xml:space="preserve">רמב"ם </w:t>
      </w:r>
      <w:r w:rsidRPr="00E822E0">
        <w:rPr>
          <w:rFonts w:cs="Arial" w:hint="cs"/>
          <w:sz w:val="16"/>
          <w:szCs w:val="16"/>
          <w:rtl/>
        </w:rPr>
        <w:t xml:space="preserve">(פי"ז מאישות, כ"כ הר"ן [נז.] בשמו) </w:t>
      </w:r>
      <w:r w:rsidRPr="00E822E0">
        <w:rPr>
          <w:rFonts w:cs="Arial" w:hint="cs"/>
          <w:rtl/>
        </w:rPr>
        <w:t>ו</w:t>
      </w:r>
      <w:r w:rsidRPr="00E822E0">
        <w:rPr>
          <w:rFonts w:cs="Arial"/>
          <w:rtl/>
        </w:rPr>
        <w:t>רמב"ן</w:t>
      </w:r>
      <w:r w:rsidRPr="00E822E0">
        <w:rPr>
          <w:rFonts w:cs="Arial" w:hint="cs"/>
          <w:rtl/>
        </w:rPr>
        <w:t xml:space="preserve"> </w:t>
      </w:r>
      <w:r w:rsidRPr="00E822E0">
        <w:rPr>
          <w:rFonts w:cs="Arial" w:hint="cs"/>
          <w:sz w:val="16"/>
          <w:szCs w:val="16"/>
          <w:rtl/>
        </w:rPr>
        <w:t>(</w:t>
      </w:r>
      <w:bookmarkStart w:id="24" w:name="_Hlk71036489"/>
      <w:r w:rsidRPr="00E822E0">
        <w:rPr>
          <w:rFonts w:cs="Arial" w:hint="cs"/>
          <w:sz w:val="16"/>
          <w:szCs w:val="16"/>
          <w:rtl/>
        </w:rPr>
        <w:t>כ"כ הר"ן [נז.] בשמו</w:t>
      </w:r>
      <w:bookmarkEnd w:id="24"/>
      <w:r w:rsidRPr="00E822E0">
        <w:rPr>
          <w:rFonts w:cs="Arial" w:hint="cs"/>
          <w:sz w:val="16"/>
          <w:szCs w:val="16"/>
          <w:rtl/>
        </w:rPr>
        <w:t>)</w:t>
      </w:r>
      <w:r w:rsidRPr="00E822E0">
        <w:rPr>
          <w:rFonts w:cs="Arial" w:hint="cs"/>
          <w:rtl/>
        </w:rPr>
        <w:t xml:space="preserve">- </w:t>
      </w:r>
      <w:r w:rsidRPr="00E822E0">
        <w:rPr>
          <w:rFonts w:cs="Arial"/>
          <w:rtl/>
        </w:rPr>
        <w:t>בעיין דצריכה שבועה היינו שבועת אלמנה הבאה ליפרע מנכסי יתומים</w:t>
      </w:r>
      <w:r w:rsidR="00CA738E">
        <w:rPr>
          <w:rStyle w:val="a7"/>
          <w:rFonts w:cs="Arial"/>
          <w:rtl/>
        </w:rPr>
        <w:footnoteReference w:id="2233"/>
      </w:r>
      <w:r w:rsidRPr="00E822E0">
        <w:rPr>
          <w:rFonts w:cs="Arial"/>
          <w:rtl/>
        </w:rPr>
        <w:t xml:space="preserve"> </w:t>
      </w:r>
      <w:r w:rsidRPr="00E822E0">
        <w:rPr>
          <w:rFonts w:cs="Arial" w:hint="cs"/>
          <w:sz w:val="16"/>
          <w:szCs w:val="16"/>
          <w:rtl/>
        </w:rPr>
        <w:t>(ל' הר"ן)</w:t>
      </w:r>
      <w:r w:rsidRPr="00E822E0">
        <w:rPr>
          <w:rFonts w:cs="Arial" w:hint="cs"/>
          <w:rtl/>
        </w:rPr>
        <w:t>.</w:t>
      </w:r>
    </w:p>
    <w:p w14:paraId="5576415D" w14:textId="079166FD" w:rsidR="00392DBB" w:rsidRDefault="00392DBB" w:rsidP="009000E3">
      <w:pPr>
        <w:pStyle w:val="ab"/>
        <w:numPr>
          <w:ilvl w:val="0"/>
          <w:numId w:val="61"/>
        </w:numPr>
        <w:rPr>
          <w:rFonts w:cs="Arial"/>
        </w:rPr>
      </w:pPr>
      <w:r>
        <w:rPr>
          <w:rFonts w:cs="Arial" w:hint="cs"/>
          <w:rtl/>
        </w:rPr>
        <w:t xml:space="preserve">רש"י </w:t>
      </w:r>
      <w:r>
        <w:rPr>
          <w:rFonts w:cs="Arial" w:hint="cs"/>
          <w:sz w:val="16"/>
          <w:szCs w:val="16"/>
          <w:rtl/>
        </w:rPr>
        <w:t>(צח. ד"ה צריכה שבועה)</w:t>
      </w:r>
      <w:r w:rsidR="008B53D3">
        <w:rPr>
          <w:rFonts w:cs="Arial" w:hint="cs"/>
          <w:rtl/>
        </w:rPr>
        <w:t xml:space="preserve"> ורשב"א </w:t>
      </w:r>
      <w:r w:rsidR="008B53D3">
        <w:rPr>
          <w:rFonts w:cs="Arial" w:hint="cs"/>
          <w:sz w:val="16"/>
          <w:szCs w:val="16"/>
          <w:rtl/>
        </w:rPr>
        <w:t>(במיוחסות סי' לג)</w:t>
      </w:r>
      <w:r>
        <w:rPr>
          <w:rFonts w:cs="Arial" w:hint="cs"/>
          <w:rtl/>
        </w:rPr>
        <w:t>-</w:t>
      </w:r>
      <w:r w:rsidRPr="00E822E0">
        <w:rPr>
          <w:rtl/>
        </w:rPr>
        <w:t xml:space="preserve"> </w:t>
      </w:r>
      <w:r w:rsidRPr="00E822E0">
        <w:rPr>
          <w:rFonts w:cs="Arial"/>
          <w:rtl/>
        </w:rPr>
        <w:t>שלא גבתה יותר</w:t>
      </w:r>
      <w:r w:rsidR="008B53D3">
        <w:rPr>
          <w:rFonts w:cs="Arial" w:hint="cs"/>
          <w:sz w:val="16"/>
          <w:szCs w:val="16"/>
          <w:rtl/>
        </w:rPr>
        <w:t xml:space="preserve"> (ל' רש"י)</w:t>
      </w:r>
      <w:r>
        <w:rPr>
          <w:rFonts w:cs="Arial" w:hint="cs"/>
          <w:rtl/>
        </w:rPr>
        <w:t>.</w:t>
      </w:r>
    </w:p>
    <w:p w14:paraId="34B67FF3" w14:textId="121C87DC" w:rsidR="00392DBB" w:rsidRPr="00E822E0" w:rsidRDefault="00392DBB" w:rsidP="009000E3">
      <w:pPr>
        <w:pStyle w:val="ab"/>
        <w:numPr>
          <w:ilvl w:val="0"/>
          <w:numId w:val="61"/>
        </w:numPr>
        <w:rPr>
          <w:rFonts w:cs="Arial"/>
          <w:rtl/>
        </w:rPr>
      </w:pPr>
      <w:r>
        <w:rPr>
          <w:rFonts w:cs="Arial" w:hint="cs"/>
          <w:rtl/>
        </w:rPr>
        <w:t>תוס'</w:t>
      </w:r>
      <w:r>
        <w:rPr>
          <w:rStyle w:val="a7"/>
          <w:rFonts w:cs="Arial"/>
          <w:rtl/>
        </w:rPr>
        <w:footnoteReference w:id="2234"/>
      </w:r>
      <w:r>
        <w:rPr>
          <w:rFonts w:cs="Arial" w:hint="cs"/>
          <w:rtl/>
        </w:rPr>
        <w:t xml:space="preserve"> </w:t>
      </w:r>
      <w:r>
        <w:rPr>
          <w:rFonts w:cs="Arial" w:hint="cs"/>
          <w:sz w:val="16"/>
          <w:szCs w:val="16"/>
          <w:rtl/>
        </w:rPr>
        <w:t xml:space="preserve">(צח. ד"ה מוכרת) </w:t>
      </w:r>
      <w:r>
        <w:rPr>
          <w:rFonts w:hint="cs"/>
          <w:rtl/>
        </w:rPr>
        <w:t xml:space="preserve">ורא"ש </w:t>
      </w:r>
      <w:r w:rsidRPr="00E822E0">
        <w:rPr>
          <w:rFonts w:hint="cs"/>
          <w:sz w:val="16"/>
          <w:szCs w:val="16"/>
          <w:rtl/>
        </w:rPr>
        <w:t>(פי"א סי' יג)</w:t>
      </w:r>
      <w:r>
        <w:rPr>
          <w:rFonts w:cs="Arial" w:hint="cs"/>
          <w:rtl/>
        </w:rPr>
        <w:t xml:space="preserve">- </w:t>
      </w:r>
      <w:r w:rsidR="00CA738E">
        <w:rPr>
          <w:rStyle w:val="a7"/>
          <w:rFonts w:cs="Arial"/>
          <w:rtl/>
        </w:rPr>
        <w:footnoteReference w:id="2235"/>
      </w:r>
      <w:r w:rsidRPr="005542BB">
        <w:rPr>
          <w:rFonts w:cs="Arial"/>
          <w:rtl/>
        </w:rPr>
        <w:t>משביעין אחר המכירה שבועת צררי וגם שלא זלזלה במכירה ולא מכרה יותר מן הצורך</w:t>
      </w:r>
      <w:r>
        <w:rPr>
          <w:rFonts w:cs="Arial" w:hint="cs"/>
          <w:rtl/>
        </w:rPr>
        <w:t>.</w:t>
      </w:r>
      <w:r w:rsidRPr="005542BB">
        <w:rPr>
          <w:rFonts w:cs="Arial"/>
          <w:rtl/>
        </w:rPr>
        <w:t xml:space="preserve"> ואע</w:t>
      </w:r>
      <w:r>
        <w:rPr>
          <w:rFonts w:cs="Arial" w:hint="cs"/>
          <w:rtl/>
        </w:rPr>
        <w:t>"</w:t>
      </w:r>
      <w:r w:rsidRPr="005542BB">
        <w:rPr>
          <w:rFonts w:cs="Arial"/>
          <w:rtl/>
        </w:rPr>
        <w:t>פ שהיו שם ב"ד הדיוטות בקיאין בשומא</w:t>
      </w:r>
      <w:r>
        <w:rPr>
          <w:rFonts w:cs="Arial" w:hint="cs"/>
          <w:rtl/>
        </w:rPr>
        <w:t>,</w:t>
      </w:r>
      <w:r w:rsidRPr="005542BB">
        <w:rPr>
          <w:rFonts w:cs="Arial"/>
          <w:rtl/>
        </w:rPr>
        <w:t xml:space="preserve"> שמא לא דקדקו כולי האי</w:t>
      </w:r>
      <w:r>
        <w:rPr>
          <w:rFonts w:cs="Arial" w:hint="cs"/>
          <w:rtl/>
        </w:rPr>
        <w:t>,</w:t>
      </w:r>
      <w:r w:rsidRPr="005542BB">
        <w:rPr>
          <w:rFonts w:cs="Arial"/>
          <w:rtl/>
        </w:rPr>
        <w:t xml:space="preserve"> דיושבי קרנות הן</w:t>
      </w:r>
      <w:r>
        <w:rPr>
          <w:rFonts w:cs="Arial" w:hint="cs"/>
          <w:rtl/>
        </w:rPr>
        <w:t>.</w:t>
      </w:r>
    </w:p>
    <w:p w14:paraId="58576E15" w14:textId="4EEB9D9A" w:rsidR="00392DBB" w:rsidRPr="00885449" w:rsidRDefault="008B53D3" w:rsidP="00392DBB">
      <w:pPr>
        <w:rPr>
          <w:u w:val="single"/>
          <w:rtl/>
        </w:rPr>
      </w:pPr>
      <w:r>
        <w:rPr>
          <w:rFonts w:hint="cs"/>
          <w:u w:val="single"/>
          <w:rtl/>
        </w:rPr>
        <w:lastRenderedPageBreak/>
        <w:t xml:space="preserve">למעשה - </w:t>
      </w:r>
      <w:r w:rsidR="00392DBB">
        <w:rPr>
          <w:rFonts w:hint="cs"/>
          <w:u w:val="single"/>
          <w:rtl/>
        </w:rPr>
        <w:t xml:space="preserve">מה נשבעת </w:t>
      </w:r>
      <w:r w:rsidR="00392DBB" w:rsidRPr="00885449">
        <w:rPr>
          <w:rFonts w:hint="cs"/>
          <w:u w:val="single"/>
          <w:rtl/>
        </w:rPr>
        <w:t>אלמנה ש</w:t>
      </w:r>
      <w:r w:rsidR="00392DBB">
        <w:rPr>
          <w:rFonts w:hint="cs"/>
          <w:u w:val="single"/>
          <w:rtl/>
        </w:rPr>
        <w:t xml:space="preserve">רוצה למכור </w:t>
      </w:r>
      <w:r w:rsidR="00392DBB" w:rsidRPr="00885449">
        <w:rPr>
          <w:rFonts w:hint="cs"/>
          <w:u w:val="single"/>
          <w:rtl/>
        </w:rPr>
        <w:t xml:space="preserve">מנכסי בעלה </w:t>
      </w:r>
      <w:r>
        <w:rPr>
          <w:rFonts w:hint="cs"/>
          <w:u w:val="single"/>
          <w:rtl/>
        </w:rPr>
        <w:t xml:space="preserve">שלא בבית דין </w:t>
      </w:r>
      <w:r w:rsidR="00392DBB" w:rsidRPr="00885449">
        <w:rPr>
          <w:rFonts w:hint="cs"/>
          <w:u w:val="single"/>
          <w:rtl/>
        </w:rPr>
        <w:t>כדי לגבות כתובתה:</w:t>
      </w:r>
    </w:p>
    <w:p w14:paraId="7D3D7C10" w14:textId="7D25B488" w:rsidR="005B2519" w:rsidRDefault="005B2519" w:rsidP="005B2519">
      <w:pPr>
        <w:pStyle w:val="ab"/>
        <w:numPr>
          <w:ilvl w:val="0"/>
          <w:numId w:val="61"/>
        </w:numPr>
        <w:rPr>
          <w:rFonts w:cs="Arial"/>
        </w:rPr>
      </w:pPr>
      <w:r w:rsidRPr="00E822E0">
        <w:rPr>
          <w:rFonts w:cs="Arial" w:hint="cs"/>
          <w:rtl/>
        </w:rPr>
        <w:t xml:space="preserve">רמב"ם </w:t>
      </w:r>
      <w:r w:rsidRPr="00E822E0">
        <w:rPr>
          <w:rFonts w:cs="Arial" w:hint="cs"/>
          <w:sz w:val="16"/>
          <w:szCs w:val="16"/>
          <w:rtl/>
        </w:rPr>
        <w:t xml:space="preserve">(פי"ז מאישות, כ"כ הר"ן [נז.] בשמו) </w:t>
      </w:r>
      <w:r w:rsidRPr="00E822E0">
        <w:rPr>
          <w:rFonts w:cs="Arial" w:hint="cs"/>
          <w:rtl/>
        </w:rPr>
        <w:t>ו</w:t>
      </w:r>
      <w:r w:rsidRPr="00E822E0">
        <w:rPr>
          <w:rFonts w:cs="Arial"/>
          <w:rtl/>
        </w:rPr>
        <w:t>רמב"ן</w:t>
      </w:r>
      <w:r w:rsidRPr="00E822E0">
        <w:rPr>
          <w:rFonts w:cs="Arial" w:hint="cs"/>
          <w:rtl/>
        </w:rPr>
        <w:t xml:space="preserve"> </w:t>
      </w:r>
      <w:r w:rsidRPr="00E822E0">
        <w:rPr>
          <w:rFonts w:cs="Arial" w:hint="cs"/>
          <w:sz w:val="16"/>
          <w:szCs w:val="16"/>
          <w:rtl/>
        </w:rPr>
        <w:t>(כ"כ הר"ן [נז.] בשמו)</w:t>
      </w:r>
      <w:r w:rsidRPr="00E822E0">
        <w:rPr>
          <w:rFonts w:cs="Arial" w:hint="cs"/>
          <w:rtl/>
        </w:rPr>
        <w:t xml:space="preserve">- </w:t>
      </w:r>
      <w:r w:rsidRPr="00E822E0">
        <w:rPr>
          <w:rFonts w:cs="Arial"/>
          <w:rtl/>
        </w:rPr>
        <w:t>שבועת אלמנה</w:t>
      </w:r>
      <w:r w:rsidRPr="00E822E0">
        <w:rPr>
          <w:rFonts w:cs="Arial" w:hint="cs"/>
          <w:rtl/>
        </w:rPr>
        <w:t>.</w:t>
      </w:r>
    </w:p>
    <w:p w14:paraId="52168943" w14:textId="6CFDA81C" w:rsidR="00CA738E" w:rsidRPr="005E210D" w:rsidRDefault="00392DBB" w:rsidP="008B53D3">
      <w:pPr>
        <w:pStyle w:val="ab"/>
        <w:numPr>
          <w:ilvl w:val="0"/>
          <w:numId w:val="61"/>
        </w:numPr>
      </w:pPr>
      <w:r>
        <w:rPr>
          <w:rFonts w:cs="Arial" w:hint="cs"/>
          <w:rtl/>
        </w:rPr>
        <w:t xml:space="preserve">תוס' </w:t>
      </w:r>
      <w:r>
        <w:rPr>
          <w:rFonts w:cs="Arial" w:hint="cs"/>
          <w:sz w:val="16"/>
          <w:szCs w:val="16"/>
          <w:rtl/>
        </w:rPr>
        <w:t xml:space="preserve">(צח. ד"ה מוכרת) </w:t>
      </w:r>
      <w:r>
        <w:rPr>
          <w:rFonts w:cs="Arial" w:hint="cs"/>
          <w:rtl/>
        </w:rPr>
        <w:t xml:space="preserve">רא"ש </w:t>
      </w:r>
      <w:r>
        <w:rPr>
          <w:rFonts w:cs="Arial" w:hint="cs"/>
          <w:sz w:val="16"/>
          <w:szCs w:val="16"/>
          <w:rtl/>
        </w:rPr>
        <w:t xml:space="preserve">(פי"א סי' יג) </w:t>
      </w:r>
      <w:r>
        <w:rPr>
          <w:rFonts w:cs="Arial" w:hint="cs"/>
          <w:rtl/>
        </w:rPr>
        <w:t xml:space="preserve">וטור- </w:t>
      </w:r>
      <w:r w:rsidRPr="00031435">
        <w:rPr>
          <w:rFonts w:cs="Arial"/>
          <w:rtl/>
        </w:rPr>
        <w:t>אם ב"ד מוכרין ונותנים לה</w:t>
      </w:r>
      <w:r>
        <w:rPr>
          <w:rFonts w:cs="Arial" w:hint="cs"/>
          <w:rtl/>
        </w:rPr>
        <w:t xml:space="preserve"> -</w:t>
      </w:r>
      <w:r w:rsidRPr="00031435">
        <w:rPr>
          <w:rFonts w:cs="Arial"/>
          <w:rtl/>
        </w:rPr>
        <w:t xml:space="preserve"> אז אינה נשבעת אלא שלא התפיסה צררי ושלא תפשה היא משלו</w:t>
      </w:r>
      <w:r>
        <w:rPr>
          <w:rFonts w:cs="Arial" w:hint="cs"/>
          <w:rtl/>
        </w:rPr>
        <w:t>.</w:t>
      </w:r>
      <w:r w:rsidRPr="00031435">
        <w:rPr>
          <w:rFonts w:cs="Arial"/>
          <w:rtl/>
        </w:rPr>
        <w:t xml:space="preserve"> ואם היא בעצמה מוכרת </w:t>
      </w:r>
      <w:r>
        <w:rPr>
          <w:rFonts w:cs="Arial" w:hint="cs"/>
          <w:rtl/>
        </w:rPr>
        <w:t xml:space="preserve">- </w:t>
      </w:r>
      <w:r w:rsidRPr="00031435">
        <w:rPr>
          <w:rFonts w:cs="Arial"/>
          <w:rtl/>
        </w:rPr>
        <w:t>צריכה לישבע שבועת צררי ושלא גבתה יותר ושלא זלזלה בנכסים</w:t>
      </w:r>
      <w:r>
        <w:rPr>
          <w:rFonts w:cs="Arial" w:hint="cs"/>
          <w:sz w:val="16"/>
          <w:szCs w:val="16"/>
          <w:rtl/>
        </w:rPr>
        <w:t xml:space="preserve"> (ל' הטור)</w:t>
      </w:r>
      <w:r>
        <w:rPr>
          <w:rFonts w:cs="Arial" w:hint="cs"/>
          <w:rtl/>
        </w:rPr>
        <w:t>.</w:t>
      </w:r>
      <w:r w:rsidRPr="00031435">
        <w:rPr>
          <w:rFonts w:cs="Arial"/>
          <w:rtl/>
        </w:rPr>
        <w:t xml:space="preserve"> </w:t>
      </w:r>
    </w:p>
    <w:p w14:paraId="4E8C2142" w14:textId="474658EC" w:rsidR="00392DBB" w:rsidRPr="00E26319" w:rsidRDefault="00392DBB" w:rsidP="009000E3">
      <w:pPr>
        <w:pStyle w:val="ab"/>
        <w:numPr>
          <w:ilvl w:val="0"/>
          <w:numId w:val="61"/>
        </w:numPr>
        <w:rPr>
          <w:rtl/>
        </w:rPr>
      </w:pPr>
      <w:r w:rsidRPr="005E210D">
        <w:rPr>
          <w:rFonts w:cs="Arial" w:hint="cs"/>
          <w:rtl/>
        </w:rPr>
        <w:t xml:space="preserve">רשב"א </w:t>
      </w:r>
      <w:r w:rsidRPr="005E210D">
        <w:rPr>
          <w:rFonts w:cs="Arial"/>
          <w:sz w:val="16"/>
          <w:szCs w:val="16"/>
          <w:rtl/>
        </w:rPr>
        <w:t>(במיוחסות סי</w:t>
      </w:r>
      <w:r w:rsidRPr="005E210D">
        <w:rPr>
          <w:rFonts w:cs="Arial" w:hint="cs"/>
          <w:sz w:val="16"/>
          <w:szCs w:val="16"/>
          <w:rtl/>
        </w:rPr>
        <w:t>'</w:t>
      </w:r>
      <w:r w:rsidRPr="005E210D">
        <w:rPr>
          <w:rFonts w:cs="Arial"/>
          <w:sz w:val="16"/>
          <w:szCs w:val="16"/>
          <w:rtl/>
        </w:rPr>
        <w:t xml:space="preserve"> לג</w:t>
      </w:r>
      <w:r w:rsidRPr="005E210D">
        <w:rPr>
          <w:rFonts w:cs="Arial" w:hint="cs"/>
          <w:sz w:val="16"/>
          <w:szCs w:val="16"/>
          <w:rtl/>
        </w:rPr>
        <w:t>)</w:t>
      </w:r>
      <w:r w:rsidRPr="005E210D">
        <w:rPr>
          <w:rFonts w:cs="Arial" w:hint="cs"/>
          <w:rtl/>
        </w:rPr>
        <w:t>-</w:t>
      </w:r>
      <w:r w:rsidRPr="005E210D">
        <w:rPr>
          <w:rFonts w:cs="Arial"/>
          <w:rtl/>
        </w:rPr>
        <w:t xml:space="preserve"> אחר שתמכור</w:t>
      </w:r>
      <w:r w:rsidRPr="005E210D">
        <w:rPr>
          <w:rFonts w:cs="Arial" w:hint="cs"/>
          <w:rtl/>
        </w:rPr>
        <w:t>,</w:t>
      </w:r>
      <w:r w:rsidRPr="005E210D">
        <w:rPr>
          <w:rFonts w:cs="Arial"/>
          <w:rtl/>
        </w:rPr>
        <w:t xml:space="preserve"> אם רצו היתומים להשביעה אם מכרו ביותר ממה ששמו לה הבית דין </w:t>
      </w:r>
      <w:r w:rsidRPr="005E210D">
        <w:rPr>
          <w:rFonts w:cs="Arial" w:hint="cs"/>
          <w:rtl/>
        </w:rPr>
        <w:t xml:space="preserve">- </w:t>
      </w:r>
      <w:r w:rsidRPr="005E210D">
        <w:rPr>
          <w:rFonts w:cs="Arial"/>
          <w:rtl/>
        </w:rPr>
        <w:t>משביעין אותה</w:t>
      </w:r>
      <w:r w:rsidRPr="005E210D">
        <w:rPr>
          <w:rFonts w:cs="Arial" w:hint="cs"/>
          <w:rtl/>
        </w:rPr>
        <w:t>,</w:t>
      </w:r>
      <w:r w:rsidRPr="005E210D">
        <w:rPr>
          <w:rFonts w:cs="Arial"/>
          <w:rtl/>
        </w:rPr>
        <w:t xml:space="preserve"> לפי שאפילו מכרה שוה מנה במאתים הריוח ליתומים כמו ששנינו</w:t>
      </w:r>
      <w:r w:rsidRPr="005E210D">
        <w:rPr>
          <w:rFonts w:cs="Arial" w:hint="cs"/>
          <w:sz w:val="16"/>
          <w:szCs w:val="16"/>
          <w:rtl/>
        </w:rPr>
        <w:t xml:space="preserve"> (עיין בכתובות נד. פורנא ליתמי</w:t>
      </w:r>
      <w:r>
        <w:rPr>
          <w:rFonts w:cs="Arial" w:hint="cs"/>
          <w:sz w:val="16"/>
          <w:szCs w:val="16"/>
          <w:rtl/>
        </w:rPr>
        <w:t>, והיא המשנה שם צח. מכרה שוה מנה וכו'</w:t>
      </w:r>
      <w:r w:rsidRPr="005E210D">
        <w:rPr>
          <w:rFonts w:cs="Arial" w:hint="cs"/>
          <w:sz w:val="16"/>
          <w:szCs w:val="16"/>
          <w:rtl/>
        </w:rPr>
        <w:t>)</w:t>
      </w:r>
      <w:r w:rsidRPr="005E210D">
        <w:rPr>
          <w:rFonts w:cs="Arial" w:hint="cs"/>
          <w:rtl/>
        </w:rPr>
        <w:t>.</w:t>
      </w:r>
      <w:r w:rsidRPr="005E210D">
        <w:rPr>
          <w:rFonts w:cs="Arial"/>
          <w:rtl/>
        </w:rPr>
        <w:t xml:space="preserve"> ואם היא פקחת ותרצה לפטור עצמה מידי שבועה לא תמכור אלא בעדים</w:t>
      </w:r>
      <w:r>
        <w:rPr>
          <w:rFonts w:cs="Arial" w:hint="cs"/>
          <w:sz w:val="16"/>
          <w:szCs w:val="16"/>
          <w:rtl/>
        </w:rPr>
        <w:t xml:space="preserve"> (ל' הרשב"א)</w:t>
      </w:r>
      <w:r w:rsidRPr="005E210D">
        <w:rPr>
          <w:rFonts w:cs="Arial" w:hint="cs"/>
          <w:rtl/>
        </w:rPr>
        <w:t>.</w:t>
      </w:r>
    </w:p>
    <w:p w14:paraId="70E4D20A"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55ACD82" w14:textId="77777777" w:rsidR="00392DBB" w:rsidRDefault="00392DBB" w:rsidP="00392DBB">
      <w:pPr>
        <w:rPr>
          <w:rtl/>
        </w:rPr>
      </w:pPr>
      <w:r>
        <w:rPr>
          <w:rFonts w:cs="Arial"/>
          <w:rtl/>
        </w:rPr>
        <w:t>אם ב</w:t>
      </w:r>
      <w:r>
        <w:rPr>
          <w:rFonts w:cs="Arial" w:hint="cs"/>
          <w:rtl/>
        </w:rPr>
        <w:t xml:space="preserve">ית </w:t>
      </w:r>
      <w:r>
        <w:rPr>
          <w:rFonts w:cs="Arial"/>
          <w:rtl/>
        </w:rPr>
        <w:t>ד</w:t>
      </w:r>
      <w:r>
        <w:rPr>
          <w:rFonts w:cs="Arial" w:hint="cs"/>
          <w:rtl/>
        </w:rPr>
        <w:t>ין</w:t>
      </w:r>
      <w:r>
        <w:rPr>
          <w:rFonts w:cs="Arial"/>
          <w:rtl/>
        </w:rPr>
        <w:t xml:space="preserve"> מוכרים ונותנים לה, אינה נשבעת שלא זלזלה </w:t>
      </w:r>
      <w:r w:rsidRPr="00EA4360">
        <w:rPr>
          <w:rFonts w:cs="Arial"/>
          <w:rtl/>
        </w:rPr>
        <w:t xml:space="preserve">בנכסים </w:t>
      </w:r>
      <w:r>
        <w:rPr>
          <w:rFonts w:cs="Arial" w:hint="cs"/>
          <w:sz w:val="18"/>
          <w:szCs w:val="18"/>
          <w:rtl/>
        </w:rPr>
        <w:t xml:space="preserve">[הגה] </w:t>
      </w:r>
      <w:r w:rsidRPr="00EA4360">
        <w:rPr>
          <w:rFonts w:cs="Arial"/>
          <w:sz w:val="18"/>
          <w:szCs w:val="18"/>
          <w:rtl/>
        </w:rPr>
        <w:t>אלא נשבעת שלא אתפסה צררי ושלא תפסה היא</w:t>
      </w:r>
      <w:r>
        <w:rPr>
          <w:rStyle w:val="a7"/>
          <w:rFonts w:cs="Arial"/>
          <w:sz w:val="18"/>
          <w:szCs w:val="18"/>
          <w:rtl/>
        </w:rPr>
        <w:footnoteReference w:id="2236"/>
      </w:r>
      <w:r w:rsidRPr="00EA4360">
        <w:rPr>
          <w:rFonts w:cs="Arial"/>
          <w:sz w:val="18"/>
          <w:szCs w:val="18"/>
          <w:rtl/>
        </w:rPr>
        <w:t xml:space="preserve"> משלו (טור).</w:t>
      </w:r>
      <w:r>
        <w:rPr>
          <w:rFonts w:cs="Arial"/>
          <w:rtl/>
        </w:rPr>
        <w:t xml:space="preserve"> אבל אם היא בעצמה מוכרת, צריכה לכלול בשבועתה שלא זלזלה</w:t>
      </w:r>
      <w:r>
        <w:rPr>
          <w:rStyle w:val="a7"/>
          <w:rFonts w:cs="Arial"/>
          <w:rtl/>
        </w:rPr>
        <w:footnoteReference w:id="2237"/>
      </w:r>
      <w:r>
        <w:rPr>
          <w:rFonts w:cs="Arial"/>
          <w:rtl/>
        </w:rPr>
        <w:t xml:space="preserve"> בנכסים</w:t>
      </w:r>
      <w:r>
        <w:rPr>
          <w:rStyle w:val="a7"/>
          <w:rFonts w:cs="Arial"/>
          <w:rtl/>
        </w:rPr>
        <w:footnoteReference w:id="2238"/>
      </w:r>
      <w:r>
        <w:rPr>
          <w:rFonts w:cs="Arial"/>
          <w:rtl/>
        </w:rPr>
        <w:t xml:space="preserve">. </w:t>
      </w:r>
    </w:p>
    <w:p w14:paraId="578AC213" w14:textId="77777777" w:rsidR="00392DBB" w:rsidRDefault="00392DBB" w:rsidP="00392DBB">
      <w:pPr>
        <w:rPr>
          <w:rtl/>
        </w:rPr>
      </w:pPr>
    </w:p>
    <w:p w14:paraId="0144488B" w14:textId="77777777" w:rsidR="00392DBB" w:rsidRDefault="00392DBB" w:rsidP="000F64D0">
      <w:pPr>
        <w:pStyle w:val="2"/>
        <w:rPr>
          <w:rtl/>
        </w:rPr>
      </w:pPr>
      <w:r>
        <w:rPr>
          <w:rtl/>
        </w:rPr>
        <w:t>סעיף ה</w:t>
      </w:r>
      <w:r>
        <w:rPr>
          <w:rFonts w:hint="cs"/>
          <w:rtl/>
        </w:rPr>
        <w:t>:</w:t>
      </w:r>
      <w:r w:rsidRPr="00100346">
        <w:rPr>
          <w:rFonts w:hint="cs"/>
          <w:rtl/>
        </w:rPr>
        <w:t xml:space="preserve"> </w:t>
      </w:r>
      <w:r>
        <w:rPr>
          <w:rFonts w:hint="cs"/>
          <w:rtl/>
        </w:rPr>
        <w:t>אלמנה שמכרה לעצמה מנכסי בעלה - ושמה בעצמה או ע"י ג' הדיוטות.</w:t>
      </w:r>
    </w:p>
    <w:p w14:paraId="339FB6B7" w14:textId="77777777" w:rsidR="00392DBB" w:rsidRDefault="00392DBB" w:rsidP="00392DBB">
      <w:r w:rsidRPr="009E1CA8">
        <w:rPr>
          <w:rFonts w:hint="cs"/>
          <w:b/>
          <w:bCs/>
          <w:rtl/>
        </w:rPr>
        <w:t xml:space="preserve">כתובות </w:t>
      </w:r>
      <w:r w:rsidRPr="009E1CA8">
        <w:rPr>
          <w:rFonts w:hint="cs"/>
          <w:b/>
          <w:bCs/>
          <w:sz w:val="16"/>
          <w:szCs w:val="16"/>
          <w:rtl/>
        </w:rPr>
        <w:t xml:space="preserve">(פ' אלמנה נזונת) </w:t>
      </w:r>
      <w:r w:rsidRPr="009E1CA8">
        <w:rPr>
          <w:rFonts w:hint="cs"/>
          <w:b/>
          <w:bCs/>
          <w:rtl/>
        </w:rPr>
        <w:t>צ</w:t>
      </w:r>
      <w:r>
        <w:rPr>
          <w:rFonts w:hint="cs"/>
          <w:b/>
          <w:bCs/>
          <w:rtl/>
        </w:rPr>
        <w:t>ח</w:t>
      </w:r>
      <w:r w:rsidRPr="009E1CA8">
        <w:rPr>
          <w:rFonts w:hint="cs"/>
          <w:b/>
          <w:bCs/>
          <w:rtl/>
        </w:rPr>
        <w:t xml:space="preserve"> ע"</w:t>
      </w:r>
      <w:r>
        <w:rPr>
          <w:rFonts w:hint="cs"/>
          <w:b/>
          <w:bCs/>
          <w:rtl/>
        </w:rPr>
        <w:t>א</w:t>
      </w:r>
      <w:r w:rsidRPr="009E1CA8">
        <w:rPr>
          <w:rFonts w:hint="cs"/>
          <w:b/>
          <w:bCs/>
          <w:rtl/>
        </w:rPr>
        <w:t>:</w:t>
      </w:r>
      <w:r>
        <w:rPr>
          <w:rFonts w:hint="cs"/>
          <w:b/>
          <w:bCs/>
          <w:rtl/>
        </w:rPr>
        <w:t xml:space="preserve"> </w:t>
      </w:r>
      <w:r w:rsidRPr="00CA236B">
        <w:rPr>
          <w:rFonts w:cs="Arial"/>
          <w:u w:val="single"/>
          <w:rtl/>
        </w:rPr>
        <w:t>דא"ר זירא אמר רב נחמן</w:t>
      </w:r>
      <w:r w:rsidRPr="00E3423A">
        <w:rPr>
          <w:rFonts w:cs="Arial"/>
          <w:rtl/>
        </w:rPr>
        <w:t>: אלמנה ששמה לעצמה</w:t>
      </w:r>
      <w:r>
        <w:rPr>
          <w:rStyle w:val="a7"/>
          <w:rFonts w:cs="Arial"/>
          <w:rtl/>
        </w:rPr>
        <w:footnoteReference w:id="2239"/>
      </w:r>
      <w:r w:rsidRPr="00E3423A">
        <w:rPr>
          <w:rFonts w:cs="Arial"/>
          <w:rtl/>
        </w:rPr>
        <w:t xml:space="preserve"> - לא עשתה ולא כלום</w:t>
      </w:r>
      <w:r>
        <w:rPr>
          <w:rStyle w:val="a7"/>
          <w:rFonts w:cs="Arial"/>
          <w:rtl/>
        </w:rPr>
        <w:footnoteReference w:id="2240"/>
      </w:r>
      <w:r w:rsidRPr="00E3423A">
        <w:rPr>
          <w:rFonts w:cs="Arial"/>
          <w:rtl/>
        </w:rPr>
        <w:t>, ה"ד?</w:t>
      </w:r>
      <w:r w:rsidRPr="001D66A0">
        <w:rPr>
          <w:rtl/>
        </w:rPr>
        <w:t xml:space="preserve"> </w:t>
      </w:r>
      <w:r w:rsidRPr="001D66A0">
        <w:rPr>
          <w:rFonts w:cs="Arial"/>
          <w:rtl/>
        </w:rPr>
        <w:t>אי דאכרוז, אמאי לא עשתה ולא כלום? אלא לאו דלא אכרוז, ולעצמה הוא דלא עשתה ולא כלום, הא לאחר</w:t>
      </w:r>
      <w:r>
        <w:rPr>
          <w:rFonts w:cs="Arial" w:hint="cs"/>
          <w:rtl/>
        </w:rPr>
        <w:t xml:space="preserve"> -</w:t>
      </w:r>
      <w:r w:rsidRPr="001D66A0">
        <w:rPr>
          <w:rFonts w:cs="Arial"/>
          <w:rtl/>
        </w:rPr>
        <w:t xml:space="preserve"> מה שעשתה עשתה.</w:t>
      </w:r>
      <w:r w:rsidRPr="00E3423A">
        <w:rPr>
          <w:rFonts w:cs="Arial"/>
          <w:rtl/>
        </w:rPr>
        <w:t xml:space="preserve"> לעולם דאכרוז, ודאמרי לה: מאן שם ליך</w:t>
      </w:r>
      <w:r>
        <w:rPr>
          <w:rStyle w:val="a7"/>
          <w:rFonts w:cs="Arial"/>
          <w:rtl/>
        </w:rPr>
        <w:footnoteReference w:id="2241"/>
      </w:r>
      <w:r w:rsidRPr="00E3423A">
        <w:rPr>
          <w:rFonts w:cs="Arial"/>
          <w:rtl/>
        </w:rPr>
        <w:t>? כי האי דההוא גברא דאפקידו גביה כיסתא</w:t>
      </w:r>
      <w:r>
        <w:rPr>
          <w:rStyle w:val="a7"/>
          <w:rFonts w:cs="Arial"/>
          <w:rtl/>
        </w:rPr>
        <w:footnoteReference w:id="2242"/>
      </w:r>
      <w:r w:rsidRPr="00E3423A">
        <w:rPr>
          <w:rFonts w:cs="Arial"/>
          <w:rtl/>
        </w:rPr>
        <w:t xml:space="preserve"> דיתמי, אזל שמה לנפשיה בארבע מאה זוזי, אייקר קם בשית מאה, אתא לקמיה דרבי אמי, אמר ליה: מאן שם לך?</w:t>
      </w:r>
      <w:r>
        <w:rPr>
          <w:rFonts w:hint="cs"/>
          <w:rtl/>
        </w:rPr>
        <w:t xml:space="preserve"> </w:t>
      </w:r>
      <w:r w:rsidRPr="00653EE7">
        <w:rPr>
          <w:rFonts w:hint="cs"/>
          <w:sz w:val="16"/>
          <w:szCs w:val="16"/>
          <w:rtl/>
        </w:rPr>
        <w:t>(וכתב ה</w:t>
      </w:r>
      <w:r w:rsidRPr="00653EE7">
        <w:rPr>
          <w:rFonts w:cs="Arial"/>
          <w:sz w:val="16"/>
          <w:szCs w:val="16"/>
          <w:rtl/>
        </w:rPr>
        <w:t xml:space="preserve">ר"ן (נז. ד"ה גמ') יש מי שאומר דכי אמרינן אלמנה ששמה לעצמה לא עשתה כלום </w:t>
      </w:r>
      <w:r>
        <w:rPr>
          <w:rFonts w:cs="Arial" w:hint="cs"/>
          <w:sz w:val="16"/>
          <w:szCs w:val="16"/>
          <w:rtl/>
        </w:rPr>
        <w:t xml:space="preserve">- </w:t>
      </w:r>
      <w:r w:rsidRPr="00653EE7">
        <w:rPr>
          <w:rFonts w:cs="Arial"/>
          <w:sz w:val="16"/>
          <w:szCs w:val="16"/>
          <w:rtl/>
        </w:rPr>
        <w:t>דוקא בינה לבין עצמה</w:t>
      </w:r>
      <w:r w:rsidRPr="00653EE7">
        <w:rPr>
          <w:rFonts w:cs="Arial" w:hint="cs"/>
          <w:sz w:val="16"/>
          <w:szCs w:val="16"/>
          <w:rtl/>
        </w:rPr>
        <w:t>,</w:t>
      </w:r>
      <w:r w:rsidRPr="00653EE7">
        <w:rPr>
          <w:rFonts w:cs="Arial"/>
          <w:sz w:val="16"/>
          <w:szCs w:val="16"/>
          <w:rtl/>
        </w:rPr>
        <w:t xml:space="preserve"> אבל בבית דין הדיוטות </w:t>
      </w:r>
      <w:r>
        <w:rPr>
          <w:rFonts w:cs="Arial" w:hint="cs"/>
          <w:sz w:val="16"/>
          <w:szCs w:val="16"/>
          <w:rtl/>
        </w:rPr>
        <w:t xml:space="preserve">- </w:t>
      </w:r>
      <w:r w:rsidRPr="00653EE7">
        <w:rPr>
          <w:rFonts w:cs="Arial"/>
          <w:sz w:val="16"/>
          <w:szCs w:val="16"/>
          <w:rtl/>
        </w:rPr>
        <w:t>יכולה לשום לעצמה</w:t>
      </w:r>
      <w:r w:rsidRPr="00653EE7">
        <w:rPr>
          <w:rFonts w:cs="Arial" w:hint="cs"/>
          <w:sz w:val="16"/>
          <w:szCs w:val="16"/>
          <w:rtl/>
        </w:rPr>
        <w:t>.</w:t>
      </w:r>
      <w:r w:rsidRPr="00653EE7">
        <w:rPr>
          <w:rFonts w:cs="Arial"/>
          <w:sz w:val="16"/>
          <w:szCs w:val="16"/>
          <w:rtl/>
        </w:rPr>
        <w:t xml:space="preserve"> וכן נראה דעת הרמב"ם בפי"ז מהלכות אישות (הי"ד)</w:t>
      </w:r>
      <w:r w:rsidRPr="00653EE7">
        <w:rPr>
          <w:rFonts w:cs="Arial" w:hint="cs"/>
          <w:sz w:val="16"/>
          <w:szCs w:val="16"/>
          <w:rtl/>
        </w:rPr>
        <w:t>.</w:t>
      </w:r>
      <w:r w:rsidRPr="00653EE7">
        <w:rPr>
          <w:rFonts w:cs="Arial"/>
          <w:sz w:val="16"/>
          <w:szCs w:val="16"/>
          <w:rtl/>
        </w:rPr>
        <w:t xml:space="preserve"> ולפי זה אפילו בלא ב"ד הדיוטות אם שמה לאחרים</w:t>
      </w:r>
      <w:r w:rsidRPr="00653EE7">
        <w:rPr>
          <w:rFonts w:cs="Arial" w:hint="cs"/>
          <w:sz w:val="16"/>
          <w:szCs w:val="16"/>
          <w:rtl/>
        </w:rPr>
        <w:t>,</w:t>
      </w:r>
      <w:r w:rsidRPr="00653EE7">
        <w:rPr>
          <w:rFonts w:cs="Arial"/>
          <w:sz w:val="16"/>
          <w:szCs w:val="16"/>
          <w:rtl/>
        </w:rPr>
        <w:t xml:space="preserve"> בדיעבד מכרה קיים</w:t>
      </w:r>
      <w:r w:rsidRPr="00653EE7">
        <w:rPr>
          <w:rFonts w:cs="Arial" w:hint="cs"/>
          <w:sz w:val="16"/>
          <w:szCs w:val="16"/>
          <w:rtl/>
        </w:rPr>
        <w:t>.</w:t>
      </w:r>
      <w:r w:rsidRPr="00653EE7">
        <w:rPr>
          <w:rFonts w:cs="Arial"/>
          <w:sz w:val="16"/>
          <w:szCs w:val="16"/>
          <w:rtl/>
        </w:rPr>
        <w:t xml:space="preserve"> אבל אחרים אומרים דשמה לעצמה </w:t>
      </w:r>
      <w:r>
        <w:rPr>
          <w:rFonts w:cs="Arial" w:hint="cs"/>
          <w:sz w:val="16"/>
          <w:szCs w:val="16"/>
          <w:rtl/>
        </w:rPr>
        <w:t xml:space="preserve">- </w:t>
      </w:r>
      <w:r w:rsidRPr="00653EE7">
        <w:rPr>
          <w:rFonts w:cs="Arial"/>
          <w:sz w:val="16"/>
          <w:szCs w:val="16"/>
          <w:rtl/>
        </w:rPr>
        <w:t>היינו בבית דין הדיוטות</w:t>
      </w:r>
      <w:r w:rsidRPr="00653EE7">
        <w:rPr>
          <w:rFonts w:cs="Arial" w:hint="cs"/>
          <w:sz w:val="16"/>
          <w:szCs w:val="16"/>
          <w:rtl/>
        </w:rPr>
        <w:t>,</w:t>
      </w:r>
      <w:r w:rsidRPr="00653EE7">
        <w:rPr>
          <w:rFonts w:cs="Arial"/>
          <w:sz w:val="16"/>
          <w:szCs w:val="16"/>
          <w:rtl/>
        </w:rPr>
        <w:t xml:space="preserve"> שכל שאין שם בית דין מומחין שמה לעצמה איקרי</w:t>
      </w:r>
      <w:r w:rsidRPr="00653EE7">
        <w:rPr>
          <w:rFonts w:cs="Arial" w:hint="cs"/>
          <w:sz w:val="16"/>
          <w:szCs w:val="16"/>
          <w:rtl/>
        </w:rPr>
        <w:t>.</w:t>
      </w:r>
      <w:r w:rsidRPr="00653EE7">
        <w:rPr>
          <w:rFonts w:cs="Arial"/>
          <w:sz w:val="16"/>
          <w:szCs w:val="16"/>
          <w:rtl/>
        </w:rPr>
        <w:t xml:space="preserve"> וכ"ת כיון שיש שם בית דין אמאי לא עשתה כלום</w:t>
      </w:r>
      <w:r w:rsidRPr="00653EE7">
        <w:rPr>
          <w:rFonts w:cs="Arial" w:hint="cs"/>
          <w:sz w:val="16"/>
          <w:szCs w:val="16"/>
          <w:rtl/>
        </w:rPr>
        <w:t>,</w:t>
      </w:r>
      <w:r w:rsidRPr="00653EE7">
        <w:rPr>
          <w:rFonts w:cs="Arial"/>
          <w:sz w:val="16"/>
          <w:szCs w:val="16"/>
          <w:rtl/>
        </w:rPr>
        <w:t xml:space="preserve"> י"ל לפי שאלו אינם אלא שמאים בעלמא</w:t>
      </w:r>
      <w:r w:rsidRPr="00653EE7">
        <w:rPr>
          <w:rFonts w:cs="Arial" w:hint="cs"/>
          <w:sz w:val="16"/>
          <w:szCs w:val="16"/>
          <w:rtl/>
        </w:rPr>
        <w:t>.</w:t>
      </w:r>
      <w:r w:rsidRPr="00653EE7">
        <w:rPr>
          <w:rFonts w:cs="Arial"/>
          <w:sz w:val="16"/>
          <w:szCs w:val="16"/>
          <w:rtl/>
        </w:rPr>
        <w:t xml:space="preserve"> שאילו היה שם בית דין חשוב היתה יכולה לשום לעצמה</w:t>
      </w:r>
      <w:r w:rsidRPr="00653EE7">
        <w:rPr>
          <w:rFonts w:cs="Arial" w:hint="cs"/>
          <w:sz w:val="16"/>
          <w:szCs w:val="16"/>
          <w:rtl/>
        </w:rPr>
        <w:t>,</w:t>
      </w:r>
      <w:r w:rsidRPr="00653EE7">
        <w:rPr>
          <w:rFonts w:cs="Arial"/>
          <w:sz w:val="16"/>
          <w:szCs w:val="16"/>
          <w:rtl/>
        </w:rPr>
        <w:t xml:space="preserve"> לפי שהבית דין אביהם של יתומים והם עומדים במקומם</w:t>
      </w:r>
      <w:r w:rsidRPr="00653EE7">
        <w:rPr>
          <w:rFonts w:cs="Arial" w:hint="cs"/>
          <w:sz w:val="16"/>
          <w:szCs w:val="16"/>
          <w:rtl/>
        </w:rPr>
        <w:t>,</w:t>
      </w:r>
      <w:r w:rsidRPr="00653EE7">
        <w:rPr>
          <w:rFonts w:cs="Arial"/>
          <w:sz w:val="16"/>
          <w:szCs w:val="16"/>
          <w:rtl/>
        </w:rPr>
        <w:t xml:space="preserve"> והאלמנה כאחר בעלמא ויכולה לקנות מיד בית דין</w:t>
      </w:r>
      <w:r w:rsidRPr="00653EE7">
        <w:rPr>
          <w:rFonts w:cs="Arial" w:hint="cs"/>
          <w:sz w:val="16"/>
          <w:szCs w:val="16"/>
          <w:rtl/>
        </w:rPr>
        <w:t>.</w:t>
      </w:r>
      <w:r w:rsidRPr="00653EE7">
        <w:rPr>
          <w:rFonts w:cs="Arial"/>
          <w:sz w:val="16"/>
          <w:szCs w:val="16"/>
          <w:rtl/>
        </w:rPr>
        <w:t xml:space="preserve"> אבל כיון שאלו אינם אלא שמאים בעלמא ה"ל אלמנה זו כשליח היתומים</w:t>
      </w:r>
      <w:r w:rsidRPr="00653EE7">
        <w:rPr>
          <w:rFonts w:cs="Arial" w:hint="cs"/>
          <w:sz w:val="16"/>
          <w:szCs w:val="16"/>
          <w:rtl/>
        </w:rPr>
        <w:t>,</w:t>
      </w:r>
      <w:r w:rsidRPr="00653EE7">
        <w:rPr>
          <w:rFonts w:cs="Arial"/>
          <w:sz w:val="16"/>
          <w:szCs w:val="16"/>
          <w:rtl/>
        </w:rPr>
        <w:t xml:space="preserve"> ואינה יכולה לשום לעצמה</w:t>
      </w:r>
      <w:r w:rsidRPr="00653EE7">
        <w:rPr>
          <w:rFonts w:cs="Arial" w:hint="cs"/>
          <w:sz w:val="16"/>
          <w:szCs w:val="16"/>
          <w:rtl/>
        </w:rPr>
        <w:t>,</w:t>
      </w:r>
      <w:r w:rsidRPr="00653EE7">
        <w:rPr>
          <w:rFonts w:cs="Arial"/>
          <w:sz w:val="16"/>
          <w:szCs w:val="16"/>
          <w:rtl/>
        </w:rPr>
        <w:t xml:space="preserve"> שכך הדין בשליח אחר כדמוכח בעובדא דכסיתא דיתמי דאיתא בגמרא </w:t>
      </w:r>
      <w:r w:rsidRPr="00653EE7">
        <w:rPr>
          <w:rFonts w:cs="Arial" w:hint="cs"/>
          <w:sz w:val="14"/>
          <w:szCs w:val="14"/>
          <w:rtl/>
        </w:rPr>
        <w:t>[</w:t>
      </w:r>
      <w:r w:rsidRPr="00653EE7">
        <w:rPr>
          <w:rFonts w:cs="Arial"/>
          <w:sz w:val="14"/>
          <w:szCs w:val="14"/>
          <w:rtl/>
        </w:rPr>
        <w:t>עכ</w:t>
      </w:r>
      <w:r w:rsidRPr="00653EE7">
        <w:rPr>
          <w:rFonts w:cs="Arial" w:hint="cs"/>
          <w:sz w:val="14"/>
          <w:szCs w:val="14"/>
          <w:rtl/>
        </w:rPr>
        <w:t>"ל הר"ן]</w:t>
      </w:r>
      <w:r>
        <w:rPr>
          <w:rFonts w:cs="Arial" w:hint="cs"/>
          <w:sz w:val="16"/>
          <w:szCs w:val="16"/>
          <w:rtl/>
        </w:rPr>
        <w:t>.</w:t>
      </w:r>
      <w:r>
        <w:rPr>
          <w:rFonts w:cs="Arial"/>
          <w:sz w:val="16"/>
          <w:szCs w:val="16"/>
        </w:rPr>
        <w:t xml:space="preserve"> </w:t>
      </w:r>
      <w:r w:rsidRPr="00653EE7">
        <w:rPr>
          <w:rFonts w:cs="Arial"/>
          <w:sz w:val="16"/>
          <w:szCs w:val="16"/>
          <w:rtl/>
        </w:rPr>
        <w:t>וה</w:t>
      </w:r>
      <w:r>
        <w:rPr>
          <w:rFonts w:cs="Arial" w:hint="cs"/>
          <w:sz w:val="16"/>
          <w:szCs w:val="16"/>
          <w:rtl/>
        </w:rPr>
        <w:t>ה"מ</w:t>
      </w:r>
      <w:r w:rsidRPr="00653EE7">
        <w:rPr>
          <w:rFonts w:cs="Arial"/>
          <w:sz w:val="16"/>
          <w:szCs w:val="16"/>
          <w:rtl/>
        </w:rPr>
        <w:t xml:space="preserve"> בפי"ז מהל</w:t>
      </w:r>
      <w:r>
        <w:rPr>
          <w:rFonts w:cs="Arial" w:hint="cs"/>
          <w:sz w:val="16"/>
          <w:szCs w:val="16"/>
          <w:rtl/>
        </w:rPr>
        <w:t>'</w:t>
      </w:r>
      <w:r w:rsidRPr="00653EE7">
        <w:rPr>
          <w:rFonts w:cs="Arial"/>
          <w:sz w:val="16"/>
          <w:szCs w:val="16"/>
          <w:rtl/>
        </w:rPr>
        <w:t xml:space="preserve"> אישות (שם) כתב שתי סברות אלו וכתב שדעת קצת מפרשים כדעת הרמב"ם</w:t>
      </w:r>
      <w:r>
        <w:rPr>
          <w:rFonts w:cs="Arial" w:hint="cs"/>
          <w:sz w:val="16"/>
          <w:szCs w:val="16"/>
          <w:rtl/>
        </w:rPr>
        <w:t>, ב"י)</w:t>
      </w:r>
    </w:p>
    <w:p w14:paraId="1131697E" w14:textId="77777777" w:rsidR="00392DBB" w:rsidRPr="00100346" w:rsidRDefault="00392DBB" w:rsidP="00392DBB">
      <w:pPr>
        <w:rPr>
          <w:u w:val="single"/>
          <w:rtl/>
        </w:rPr>
      </w:pPr>
      <w:r w:rsidRPr="00100346">
        <w:rPr>
          <w:rFonts w:hint="cs"/>
          <w:u w:val="single"/>
          <w:rtl/>
        </w:rPr>
        <w:t>אלמנה שמכרה לעצמה מנכסי בעלה - ושמה בעצמה או ע"י ג' הדיוטות:</w:t>
      </w:r>
    </w:p>
    <w:p w14:paraId="2FA8D20A" w14:textId="77777777" w:rsidR="00392DBB" w:rsidRDefault="00392DBB" w:rsidP="009000E3">
      <w:pPr>
        <w:pStyle w:val="ab"/>
        <w:numPr>
          <w:ilvl w:val="0"/>
          <w:numId w:val="61"/>
        </w:numPr>
      </w:pPr>
      <w:r>
        <w:rPr>
          <w:rFonts w:cs="Arial" w:hint="cs"/>
          <w:rtl/>
        </w:rPr>
        <w:t xml:space="preserve">רא"ש </w:t>
      </w:r>
      <w:r w:rsidRPr="00653EE7">
        <w:rPr>
          <w:rFonts w:cs="Arial"/>
          <w:sz w:val="16"/>
          <w:szCs w:val="16"/>
          <w:rtl/>
        </w:rPr>
        <w:t>(פי"א סי' יג)</w:t>
      </w:r>
      <w:r>
        <w:rPr>
          <w:rFonts w:cs="Arial" w:hint="cs"/>
          <w:sz w:val="16"/>
          <w:szCs w:val="16"/>
          <w:rtl/>
        </w:rPr>
        <w:t xml:space="preserve"> </w:t>
      </w:r>
      <w:r>
        <w:rPr>
          <w:rFonts w:cs="Arial" w:hint="cs"/>
          <w:rtl/>
        </w:rPr>
        <w:t xml:space="preserve">וטור- </w:t>
      </w:r>
      <w:r w:rsidRPr="00031435">
        <w:rPr>
          <w:rFonts w:cs="Arial"/>
          <w:rtl/>
        </w:rPr>
        <w:t>ואם לקחה לעצמה אינו כלום</w:t>
      </w:r>
      <w:r>
        <w:rPr>
          <w:rFonts w:cs="Arial" w:hint="cs"/>
          <w:rtl/>
        </w:rPr>
        <w:t>,</w:t>
      </w:r>
      <w:r w:rsidRPr="00031435">
        <w:rPr>
          <w:rFonts w:cs="Arial"/>
          <w:rtl/>
        </w:rPr>
        <w:t xml:space="preserve"> אע</w:t>
      </w:r>
      <w:r>
        <w:rPr>
          <w:rFonts w:cs="Arial" w:hint="cs"/>
          <w:rtl/>
        </w:rPr>
        <w:t>"</w:t>
      </w:r>
      <w:r w:rsidRPr="00031435">
        <w:rPr>
          <w:rFonts w:cs="Arial"/>
          <w:rtl/>
        </w:rPr>
        <w:t>פ ששמוה שלשה הדיוטות</w:t>
      </w:r>
      <w:r>
        <w:rPr>
          <w:rFonts w:cs="Arial" w:hint="cs"/>
          <w:rtl/>
        </w:rPr>
        <w:t>,</w:t>
      </w:r>
      <w:r w:rsidRPr="00031435">
        <w:rPr>
          <w:rFonts w:cs="Arial"/>
          <w:rtl/>
        </w:rPr>
        <w:t xml:space="preserve"> אלא צריכה להחזיר ליתומים אפילו אם הכריזה</w:t>
      </w:r>
      <w:r>
        <w:rPr>
          <w:rFonts w:cs="Arial" w:hint="cs"/>
          <w:sz w:val="16"/>
          <w:szCs w:val="16"/>
          <w:rtl/>
        </w:rPr>
        <w:t xml:space="preserve"> (ל' הטור)</w:t>
      </w:r>
      <w:r>
        <w:rPr>
          <w:rFonts w:cs="Arial" w:hint="cs"/>
          <w:rtl/>
        </w:rPr>
        <w:t>.</w:t>
      </w:r>
      <w:r w:rsidRPr="00031435">
        <w:rPr>
          <w:rFonts w:cs="Arial"/>
          <w:rtl/>
        </w:rPr>
        <w:t xml:space="preserve"> </w:t>
      </w:r>
    </w:p>
    <w:p w14:paraId="7A8EA1DC" w14:textId="628EF2E9" w:rsidR="00392DBB" w:rsidRDefault="00392DBB" w:rsidP="009000E3">
      <w:pPr>
        <w:pStyle w:val="ab"/>
        <w:numPr>
          <w:ilvl w:val="0"/>
          <w:numId w:val="61"/>
        </w:numPr>
      </w:pPr>
      <w:r>
        <w:rPr>
          <w:rFonts w:cs="Arial" w:hint="cs"/>
          <w:rtl/>
        </w:rPr>
        <w:t xml:space="preserve">רמב"ם </w:t>
      </w:r>
      <w:r>
        <w:rPr>
          <w:rFonts w:cs="Arial" w:hint="cs"/>
          <w:sz w:val="16"/>
          <w:szCs w:val="16"/>
          <w:rtl/>
        </w:rPr>
        <w:t>(פי"ז הי"ד)</w:t>
      </w:r>
      <w:r>
        <w:rPr>
          <w:rFonts w:cs="Arial" w:hint="cs"/>
          <w:rtl/>
        </w:rPr>
        <w:t xml:space="preserve">- </w:t>
      </w:r>
      <w:r w:rsidRPr="00653EE7">
        <w:rPr>
          <w:rFonts w:cs="Arial"/>
          <w:rtl/>
        </w:rPr>
        <w:t>אלמנה שמכרה קרקע בכתובתה בינה לבין עצמה</w:t>
      </w:r>
      <w:r>
        <w:rPr>
          <w:rFonts w:cs="Arial" w:hint="cs"/>
          <w:rtl/>
        </w:rPr>
        <w:t>...</w:t>
      </w:r>
      <w:r w:rsidRPr="00653EE7">
        <w:rPr>
          <w:rFonts w:cs="Arial"/>
          <w:rtl/>
        </w:rPr>
        <w:t xml:space="preserve"> אם שמה לעצמה </w:t>
      </w:r>
      <w:r>
        <w:rPr>
          <w:rFonts w:cs="Arial" w:hint="cs"/>
          <w:rtl/>
        </w:rPr>
        <w:t xml:space="preserve">- </w:t>
      </w:r>
      <w:r w:rsidRPr="00653EE7">
        <w:rPr>
          <w:rFonts w:cs="Arial"/>
          <w:rtl/>
        </w:rPr>
        <w:t>לא עשת כלום ואפילו הכריזה</w:t>
      </w:r>
      <w:r>
        <w:rPr>
          <w:rFonts w:hint="cs"/>
          <w:sz w:val="16"/>
          <w:szCs w:val="16"/>
          <w:rtl/>
        </w:rPr>
        <w:t xml:space="preserve"> (ל' הרמב"ם)</w:t>
      </w:r>
      <w:r>
        <w:rPr>
          <w:rFonts w:hint="cs"/>
          <w:rtl/>
        </w:rPr>
        <w:t>.</w:t>
      </w:r>
      <w:r w:rsidRPr="00653EE7">
        <w:rPr>
          <w:rFonts w:cs="Arial"/>
          <w:sz w:val="16"/>
          <w:szCs w:val="16"/>
          <w:rtl/>
        </w:rPr>
        <w:t xml:space="preserve"> </w:t>
      </w:r>
      <w:r w:rsidRPr="00653EE7">
        <w:rPr>
          <w:rtl/>
        </w:rPr>
        <w:t xml:space="preserve">אבל בבית דין הדיוטות </w:t>
      </w:r>
      <w:r w:rsidRPr="00653EE7">
        <w:rPr>
          <w:rFonts w:hint="cs"/>
          <w:rtl/>
        </w:rPr>
        <w:t xml:space="preserve">- </w:t>
      </w:r>
      <w:r w:rsidRPr="00653EE7">
        <w:rPr>
          <w:rtl/>
        </w:rPr>
        <w:t>יכולה לשום לעצמה</w:t>
      </w:r>
      <w:r>
        <w:rPr>
          <w:rFonts w:hint="cs"/>
          <w:sz w:val="16"/>
          <w:szCs w:val="16"/>
          <w:rtl/>
        </w:rPr>
        <w:t xml:space="preserve"> (ל' הר"ן בשמו)</w:t>
      </w:r>
      <w:r>
        <w:rPr>
          <w:rFonts w:hint="cs"/>
          <w:rtl/>
        </w:rPr>
        <w:t xml:space="preserve">. </w:t>
      </w:r>
      <w:r w:rsidRPr="00BF2D6B">
        <w:rPr>
          <w:rFonts w:hint="cs"/>
          <w:color w:val="E36C0A" w:themeColor="accent6" w:themeShade="BF"/>
          <w:rtl/>
        </w:rPr>
        <w:t>(וכ"</w:t>
      </w:r>
      <w:r w:rsidR="008B53D3">
        <w:rPr>
          <w:rFonts w:hint="cs"/>
          <w:color w:val="E36C0A" w:themeColor="accent6" w:themeShade="BF"/>
          <w:rtl/>
        </w:rPr>
        <w:t>ס</w:t>
      </w:r>
      <w:r w:rsidRPr="00BF2D6B">
        <w:rPr>
          <w:rFonts w:hint="cs"/>
          <w:color w:val="E36C0A" w:themeColor="accent6" w:themeShade="BF"/>
          <w:rtl/>
        </w:rPr>
        <w:t xml:space="preserve"> בשו"ע)</w:t>
      </w:r>
    </w:p>
    <w:p w14:paraId="4CE45D69" w14:textId="77777777" w:rsidR="00392DBB" w:rsidRPr="00EC2DBD" w:rsidRDefault="00392DBB" w:rsidP="00392DBB">
      <w:pPr>
        <w:rPr>
          <w:rFonts w:cs="Arial"/>
          <w:rtl/>
        </w:rPr>
      </w:pPr>
      <w:r w:rsidRPr="00EC2DBD">
        <w:rPr>
          <w:rFonts w:hint="cs"/>
          <w:b/>
          <w:bCs/>
          <w:rtl/>
        </w:rPr>
        <w:lastRenderedPageBreak/>
        <w:t xml:space="preserve">כתובות </w:t>
      </w:r>
      <w:r w:rsidRPr="00EC2DBD">
        <w:rPr>
          <w:rFonts w:hint="cs"/>
          <w:b/>
          <w:bCs/>
          <w:sz w:val="16"/>
          <w:szCs w:val="16"/>
          <w:rtl/>
        </w:rPr>
        <w:t xml:space="preserve">(פ' אלמנה נזונת) </w:t>
      </w:r>
      <w:r w:rsidRPr="00EC2DBD">
        <w:rPr>
          <w:rFonts w:hint="cs"/>
          <w:b/>
          <w:bCs/>
          <w:rtl/>
        </w:rPr>
        <w:t xml:space="preserve">צז ע"ב: </w:t>
      </w:r>
      <w:r w:rsidRPr="00EC2DBD">
        <w:rPr>
          <w:rFonts w:cs="Arial"/>
          <w:u w:val="double"/>
          <w:rtl/>
        </w:rPr>
        <w:t>מתני'</w:t>
      </w:r>
      <w:r w:rsidRPr="00EC2DBD">
        <w:rPr>
          <w:rFonts w:cs="Arial" w:hint="cs"/>
          <w:rtl/>
        </w:rPr>
        <w:t>:...</w:t>
      </w:r>
      <w:r w:rsidRPr="00EC2DBD">
        <w:rPr>
          <w:rFonts w:cs="Arial"/>
          <w:rtl/>
        </w:rPr>
        <w:t xml:space="preserve"> ומוכרת למזונות שלא בבית דין וכותבת למזונות מכרתי</w:t>
      </w:r>
      <w:r w:rsidRPr="00EC2DBD">
        <w:rPr>
          <w:rFonts w:cs="Arial" w:hint="cs"/>
          <w:rtl/>
        </w:rPr>
        <w:t>...</w:t>
      </w:r>
    </w:p>
    <w:p w14:paraId="6FE05757" w14:textId="77777777" w:rsidR="00392DBB" w:rsidRDefault="00392DBB" w:rsidP="00392DBB">
      <w:pPr>
        <w:rPr>
          <w:rtl/>
        </w:rPr>
      </w:pPr>
      <w:r w:rsidRPr="009E1CA8">
        <w:rPr>
          <w:rFonts w:hint="cs"/>
          <w:b/>
          <w:bCs/>
          <w:rtl/>
        </w:rPr>
        <w:t xml:space="preserve">כתובות </w:t>
      </w:r>
      <w:r w:rsidRPr="009E1CA8">
        <w:rPr>
          <w:rFonts w:hint="cs"/>
          <w:b/>
          <w:bCs/>
          <w:sz w:val="16"/>
          <w:szCs w:val="16"/>
          <w:rtl/>
        </w:rPr>
        <w:t xml:space="preserve">(פ' אלמנה נזונת) </w:t>
      </w:r>
      <w:r w:rsidRPr="009E1CA8">
        <w:rPr>
          <w:rFonts w:hint="cs"/>
          <w:b/>
          <w:bCs/>
          <w:rtl/>
        </w:rPr>
        <w:t>צ</w:t>
      </w:r>
      <w:r>
        <w:rPr>
          <w:rFonts w:hint="cs"/>
          <w:b/>
          <w:bCs/>
          <w:rtl/>
        </w:rPr>
        <w:t>ו</w:t>
      </w:r>
      <w:r w:rsidRPr="009E1CA8">
        <w:rPr>
          <w:rFonts w:hint="cs"/>
          <w:b/>
          <w:bCs/>
          <w:rtl/>
        </w:rPr>
        <w:t xml:space="preserve"> ע"</w:t>
      </w:r>
      <w:r>
        <w:rPr>
          <w:rFonts w:hint="cs"/>
          <w:b/>
          <w:bCs/>
          <w:rtl/>
        </w:rPr>
        <w:t>ב</w:t>
      </w:r>
      <w:r w:rsidRPr="009E1CA8">
        <w:rPr>
          <w:rFonts w:hint="cs"/>
          <w:b/>
          <w:bCs/>
          <w:rtl/>
        </w:rPr>
        <w:t>:</w:t>
      </w:r>
      <w:r>
        <w:rPr>
          <w:rFonts w:cs="Arial" w:hint="cs"/>
          <w:rtl/>
        </w:rPr>
        <w:t xml:space="preserve"> </w:t>
      </w:r>
      <w:r>
        <w:rPr>
          <w:rFonts w:cs="Arial" w:hint="cs"/>
          <w:u w:val="single"/>
          <w:rtl/>
        </w:rPr>
        <w:t>א</w:t>
      </w:r>
      <w:r w:rsidRPr="00E563D2">
        <w:rPr>
          <w:rFonts w:cs="Arial"/>
          <w:u w:val="single"/>
          <w:rtl/>
        </w:rPr>
        <w:t>"ר שימי בר אשי</w:t>
      </w:r>
      <w:r>
        <w:rPr>
          <w:rFonts w:cs="Arial" w:hint="cs"/>
          <w:rtl/>
        </w:rPr>
        <w:t>:</w:t>
      </w:r>
      <w:r w:rsidRPr="00E563D2">
        <w:rPr>
          <w:rFonts w:cs="Arial"/>
          <w:rtl/>
        </w:rPr>
        <w:t xml:space="preserve"> כתנאי</w:t>
      </w:r>
      <w:r>
        <w:rPr>
          <w:rFonts w:cs="Arial" w:hint="cs"/>
          <w:rtl/>
        </w:rPr>
        <w:t>,</w:t>
      </w:r>
      <w:r w:rsidRPr="00E563D2">
        <w:rPr>
          <w:rFonts w:cs="Arial"/>
          <w:rtl/>
        </w:rPr>
        <w:t xml:space="preserve"> מוכרת וכותבת אלו למזונות מכרתי ואלו לכתובה מכרתי, </w:t>
      </w:r>
      <w:r w:rsidRPr="00E563D2">
        <w:rPr>
          <w:rFonts w:cs="Arial"/>
          <w:u w:val="single"/>
          <w:rtl/>
        </w:rPr>
        <w:t>דברי רבי יהודה</w:t>
      </w:r>
      <w:r>
        <w:rPr>
          <w:rFonts w:cs="Arial" w:hint="cs"/>
          <w:rtl/>
        </w:rPr>
        <w:t>.</w:t>
      </w:r>
      <w:r w:rsidRPr="00E563D2">
        <w:rPr>
          <w:rFonts w:cs="Arial"/>
          <w:rtl/>
        </w:rPr>
        <w:t xml:space="preserve"> </w:t>
      </w:r>
      <w:r w:rsidRPr="00E563D2">
        <w:rPr>
          <w:rFonts w:cs="Arial"/>
          <w:u w:val="single"/>
          <w:rtl/>
        </w:rPr>
        <w:t>ר' יוסי אומר</w:t>
      </w:r>
      <w:r w:rsidRPr="00E563D2">
        <w:rPr>
          <w:rFonts w:cs="Arial"/>
          <w:rtl/>
        </w:rPr>
        <w:t>: מוכרת וכותבת סתם, וכן כחה יפה</w:t>
      </w:r>
      <w:r>
        <w:rPr>
          <w:rStyle w:val="a7"/>
          <w:rFonts w:cs="Arial"/>
          <w:rtl/>
        </w:rPr>
        <w:footnoteReference w:id="2243"/>
      </w:r>
      <w:r>
        <w:rPr>
          <w:rFonts w:cs="Arial" w:hint="cs"/>
          <w:rtl/>
        </w:rPr>
        <w:t>...</w:t>
      </w:r>
      <w:r w:rsidRPr="00E563D2">
        <w:rPr>
          <w:rFonts w:cs="Arial"/>
          <w:rtl/>
        </w:rPr>
        <w:t xml:space="preserve"> ורבי יהודה עצה טובה קמ"ל, דלא ליקרו לה רעבתנותא</w:t>
      </w:r>
      <w:r>
        <w:rPr>
          <w:rFonts w:cs="Arial" w:hint="cs"/>
          <w:rtl/>
        </w:rPr>
        <w:t>.</w:t>
      </w:r>
      <w:r>
        <w:rPr>
          <w:rFonts w:hint="cs"/>
          <w:rtl/>
        </w:rPr>
        <w:t>..</w:t>
      </w:r>
      <w:r w:rsidRPr="00F431A6">
        <w:rPr>
          <w:rtl/>
        </w:rPr>
        <w:t xml:space="preserve"> </w:t>
      </w:r>
      <w:r>
        <w:rPr>
          <w:rFonts w:cs="Arial" w:hint="cs"/>
          <w:sz w:val="16"/>
          <w:szCs w:val="16"/>
          <w:rtl/>
        </w:rPr>
        <w:t xml:space="preserve">{והכי פירוש דברי ה-} </w:t>
      </w:r>
      <w:r w:rsidRPr="00F431A6">
        <w:rPr>
          <w:rFonts w:cs="Arial"/>
          <w:rtl/>
        </w:rPr>
        <w:t>מתני': מוכרת למזונות שלא בבית דין, וכותבת אלו למזונות מכרתי</w:t>
      </w:r>
      <w:r>
        <w:rPr>
          <w:rFonts w:cs="Arial" w:hint="cs"/>
          <w:rtl/>
        </w:rPr>
        <w:t>...</w:t>
      </w:r>
      <w:r w:rsidRPr="00F431A6">
        <w:rPr>
          <w:rFonts w:cs="Arial"/>
          <w:rtl/>
        </w:rPr>
        <w:t xml:space="preserve"> דעצה טובה קמ"ל</w:t>
      </w:r>
      <w:r>
        <w:rPr>
          <w:rFonts w:cs="Arial" w:hint="cs"/>
          <w:rtl/>
        </w:rPr>
        <w:t>.</w:t>
      </w:r>
    </w:p>
    <w:p w14:paraId="0C83886A" w14:textId="77777777" w:rsidR="00392DBB" w:rsidRDefault="00392DBB" w:rsidP="00392DBB">
      <w:pPr>
        <w:rPr>
          <w:rtl/>
        </w:rPr>
      </w:pPr>
      <w:r>
        <w:rPr>
          <w:rFonts w:cs="Arial" w:hint="cs"/>
          <w:b/>
          <w:bCs/>
          <w:rtl/>
        </w:rPr>
        <w:t>ירושלמי כתובות פי"א ה"ג:</w:t>
      </w:r>
      <w:r>
        <w:rPr>
          <w:rFonts w:cs="Arial" w:hint="cs"/>
          <w:rtl/>
        </w:rPr>
        <w:t xml:space="preserve"> </w:t>
      </w:r>
      <w:r w:rsidRPr="00E4440F">
        <w:rPr>
          <w:rFonts w:cs="Arial"/>
          <w:rtl/>
        </w:rPr>
        <w:t>תני</w:t>
      </w:r>
      <w:r>
        <w:rPr>
          <w:rFonts w:cs="Arial" w:hint="cs"/>
          <w:rtl/>
        </w:rPr>
        <w:t>:</w:t>
      </w:r>
      <w:r w:rsidRPr="00E4440F">
        <w:rPr>
          <w:rFonts w:cs="Arial"/>
          <w:rtl/>
        </w:rPr>
        <w:t xml:space="preserve"> מוכרת וכותבת אילו לכתובתה ואילו למזונות</w:t>
      </w:r>
      <w:r>
        <w:rPr>
          <w:rFonts w:cs="Arial" w:hint="cs"/>
          <w:rtl/>
        </w:rPr>
        <w:t>,</w:t>
      </w:r>
      <w:r w:rsidRPr="00E4440F">
        <w:rPr>
          <w:rFonts w:cs="Arial"/>
          <w:rtl/>
        </w:rPr>
        <w:t xml:space="preserve"> </w:t>
      </w:r>
      <w:r w:rsidRPr="002D6F19">
        <w:rPr>
          <w:rFonts w:cs="Arial"/>
          <w:u w:val="single"/>
          <w:rtl/>
        </w:rPr>
        <w:t>ד"ר יהודה</w:t>
      </w:r>
      <w:r>
        <w:rPr>
          <w:rFonts w:cs="Arial" w:hint="cs"/>
          <w:rtl/>
        </w:rPr>
        <w:t>.</w:t>
      </w:r>
      <w:r w:rsidRPr="00E4440F">
        <w:rPr>
          <w:rFonts w:cs="Arial"/>
          <w:rtl/>
        </w:rPr>
        <w:t xml:space="preserve"> </w:t>
      </w:r>
      <w:r w:rsidRPr="002D6F19">
        <w:rPr>
          <w:rFonts w:cs="Arial"/>
          <w:u w:val="single"/>
          <w:rtl/>
        </w:rPr>
        <w:t>ר' יוסי אומר</w:t>
      </w:r>
      <w:r>
        <w:rPr>
          <w:rFonts w:cs="Arial" w:hint="cs"/>
          <w:rtl/>
        </w:rPr>
        <w:t>:</w:t>
      </w:r>
      <w:r w:rsidRPr="00E4440F">
        <w:rPr>
          <w:rFonts w:cs="Arial"/>
          <w:rtl/>
        </w:rPr>
        <w:t xml:space="preserve"> מוכרת וכותבת סתם</w:t>
      </w:r>
      <w:r>
        <w:rPr>
          <w:rFonts w:cs="Arial" w:hint="cs"/>
          <w:rtl/>
        </w:rPr>
        <w:t>,</w:t>
      </w:r>
      <w:r w:rsidRPr="00E4440F">
        <w:rPr>
          <w:rFonts w:cs="Arial"/>
          <w:rtl/>
        </w:rPr>
        <w:t xml:space="preserve"> ובזו כחה מיופה</w:t>
      </w:r>
      <w:r>
        <w:rPr>
          <w:rFonts w:cs="Arial" w:hint="cs"/>
          <w:rtl/>
        </w:rPr>
        <w:t>,</w:t>
      </w:r>
      <w:r w:rsidRPr="00E4440F">
        <w:rPr>
          <w:rFonts w:cs="Arial"/>
          <w:rtl/>
        </w:rPr>
        <w:t xml:space="preserve"> באת מלוה בעדים </w:t>
      </w:r>
      <w:r>
        <w:rPr>
          <w:rFonts w:cs="Arial" w:hint="cs"/>
          <w:rtl/>
        </w:rPr>
        <w:t xml:space="preserve">- </w:t>
      </w:r>
      <w:r w:rsidRPr="00E4440F">
        <w:rPr>
          <w:rFonts w:cs="Arial"/>
          <w:rtl/>
        </w:rPr>
        <w:t>אומרת למזונות מכרתי</w:t>
      </w:r>
      <w:r>
        <w:rPr>
          <w:rFonts w:cs="Arial" w:hint="cs"/>
          <w:rtl/>
        </w:rPr>
        <w:t>.</w:t>
      </w:r>
      <w:r w:rsidRPr="00E4440F">
        <w:rPr>
          <w:rFonts w:cs="Arial"/>
          <w:rtl/>
        </w:rPr>
        <w:t xml:space="preserve"> באת מלוה בשטר </w:t>
      </w:r>
      <w:r>
        <w:rPr>
          <w:rFonts w:cs="Arial" w:hint="cs"/>
          <w:rtl/>
        </w:rPr>
        <w:t xml:space="preserve">- </w:t>
      </w:r>
      <w:r w:rsidRPr="00E4440F">
        <w:rPr>
          <w:rFonts w:cs="Arial"/>
          <w:rtl/>
        </w:rPr>
        <w:t>אומרת לכתובה מכרתי</w:t>
      </w:r>
      <w:r>
        <w:rPr>
          <w:rFonts w:hint="cs"/>
          <w:rtl/>
        </w:rPr>
        <w:t>.</w:t>
      </w:r>
    </w:p>
    <w:p w14:paraId="2D14FBE3" w14:textId="77777777" w:rsidR="00392DBB" w:rsidRPr="00100346" w:rsidRDefault="00392DBB" w:rsidP="00392DBB">
      <w:pPr>
        <w:rPr>
          <w:sz w:val="16"/>
          <w:szCs w:val="16"/>
          <w:u w:val="single"/>
        </w:rPr>
      </w:pPr>
      <w:r w:rsidRPr="00100346">
        <w:rPr>
          <w:rFonts w:hint="cs"/>
          <w:u w:val="single"/>
          <w:rtl/>
        </w:rPr>
        <w:t xml:space="preserve">עצה טובה לאלמנה לכתוב או </w:t>
      </w:r>
      <w:r>
        <w:rPr>
          <w:rFonts w:hint="cs"/>
          <w:u w:val="single"/>
          <w:rtl/>
        </w:rPr>
        <w:t xml:space="preserve">לא </w:t>
      </w:r>
      <w:r w:rsidRPr="00100346">
        <w:rPr>
          <w:rFonts w:hint="cs"/>
          <w:u w:val="single"/>
          <w:rtl/>
        </w:rPr>
        <w:t xml:space="preserve">לכתוב </w:t>
      </w:r>
      <w:r>
        <w:rPr>
          <w:rFonts w:hint="cs"/>
          <w:u w:val="single"/>
          <w:rtl/>
        </w:rPr>
        <w:t xml:space="preserve">על שטר המכירה </w:t>
      </w:r>
      <w:r w:rsidRPr="00100346">
        <w:rPr>
          <w:rFonts w:hint="cs"/>
          <w:u w:val="single"/>
          <w:rtl/>
        </w:rPr>
        <w:t>למה גבתה את הנכסים:</w:t>
      </w:r>
    </w:p>
    <w:p w14:paraId="191001D8" w14:textId="263E45F8" w:rsidR="00392DBB" w:rsidRPr="00EC2DBD" w:rsidRDefault="00392DBB" w:rsidP="009000E3">
      <w:pPr>
        <w:pStyle w:val="ab"/>
        <w:numPr>
          <w:ilvl w:val="0"/>
          <w:numId w:val="61"/>
        </w:numPr>
        <w:rPr>
          <w:rtl/>
        </w:rPr>
      </w:pPr>
      <w:r>
        <w:rPr>
          <w:rFonts w:cs="Arial" w:hint="cs"/>
          <w:rtl/>
        </w:rPr>
        <w:t xml:space="preserve">רא"ש </w:t>
      </w:r>
      <w:r w:rsidRPr="00653EE7">
        <w:rPr>
          <w:rFonts w:cs="Arial"/>
          <w:sz w:val="16"/>
          <w:szCs w:val="16"/>
          <w:rtl/>
        </w:rPr>
        <w:t>(פי"א סי' י</w:t>
      </w:r>
      <w:r>
        <w:rPr>
          <w:rFonts w:cs="Arial" w:hint="cs"/>
          <w:sz w:val="16"/>
          <w:szCs w:val="16"/>
          <w:rtl/>
        </w:rPr>
        <w:t>ב</w:t>
      </w:r>
      <w:r w:rsidRPr="00653EE7">
        <w:rPr>
          <w:rFonts w:cs="Arial"/>
          <w:sz w:val="16"/>
          <w:szCs w:val="16"/>
          <w:rtl/>
        </w:rPr>
        <w:t>)</w:t>
      </w:r>
      <w:r>
        <w:rPr>
          <w:rFonts w:cs="Arial" w:hint="cs"/>
          <w:sz w:val="16"/>
          <w:szCs w:val="16"/>
          <w:rtl/>
        </w:rPr>
        <w:t xml:space="preserve"> </w:t>
      </w:r>
      <w:r>
        <w:rPr>
          <w:rFonts w:cs="Arial" w:hint="cs"/>
          <w:rtl/>
        </w:rPr>
        <w:t xml:space="preserve">וטור- </w:t>
      </w:r>
      <w:r w:rsidRPr="00031435">
        <w:rPr>
          <w:rFonts w:cs="Arial"/>
          <w:rtl/>
        </w:rPr>
        <w:t>ועצה טובה היא לה שתפרש מה שמוכרת לצורך כתובתה</w:t>
      </w:r>
      <w:r>
        <w:rPr>
          <w:rFonts w:cs="Arial" w:hint="cs"/>
          <w:rtl/>
        </w:rPr>
        <w:t>,</w:t>
      </w:r>
      <w:r w:rsidRPr="00031435">
        <w:rPr>
          <w:rFonts w:cs="Arial"/>
          <w:rtl/>
        </w:rPr>
        <w:t xml:space="preserve"> שלא יאמרו שמוכרת הכל לצורך מזונותיה ויקראוה רעבתנית</w:t>
      </w:r>
      <w:r>
        <w:rPr>
          <w:rFonts w:cs="Arial" w:hint="cs"/>
          <w:rtl/>
        </w:rPr>
        <w:t>.</w:t>
      </w:r>
      <w:r w:rsidRPr="00031435">
        <w:rPr>
          <w:rFonts w:cs="Arial"/>
          <w:rtl/>
        </w:rPr>
        <w:t xml:space="preserve"> ואם אינה חוששת שיקראוה רעבתנית טוב לה שלא תפרש</w:t>
      </w:r>
      <w:r>
        <w:rPr>
          <w:rFonts w:cs="Arial" w:hint="cs"/>
          <w:rtl/>
        </w:rPr>
        <w:t>,</w:t>
      </w:r>
      <w:r w:rsidRPr="00031435">
        <w:rPr>
          <w:rFonts w:cs="Arial"/>
          <w:rtl/>
        </w:rPr>
        <w:t xml:space="preserve"> שאם יכלו הנכסים תאמר כל מה שמכרה הוא לצורך מזונות</w:t>
      </w:r>
      <w:r>
        <w:rPr>
          <w:rStyle w:val="a7"/>
          <w:rFonts w:cs="Arial"/>
          <w:rtl/>
        </w:rPr>
        <w:footnoteReference w:id="2244"/>
      </w:r>
      <w:r>
        <w:rPr>
          <w:rFonts w:cs="Arial" w:hint="cs"/>
          <w:rtl/>
        </w:rPr>
        <w:t>,</w:t>
      </w:r>
      <w:r w:rsidRPr="00031435">
        <w:rPr>
          <w:rFonts w:cs="Arial"/>
          <w:rtl/>
        </w:rPr>
        <w:t xml:space="preserve"> ותטרוף מהלקוחות שקנו מבעלה לצורך כתובתה</w:t>
      </w:r>
      <w:r>
        <w:rPr>
          <w:rFonts w:cs="Arial" w:hint="cs"/>
          <w:rtl/>
        </w:rPr>
        <w:t>.</w:t>
      </w:r>
      <w:r w:rsidRPr="00031435">
        <w:rPr>
          <w:rFonts w:cs="Arial"/>
          <w:rtl/>
        </w:rPr>
        <w:t xml:space="preserve"> אבל אם תפרש שמוכרת לצורך כתובתה</w:t>
      </w:r>
      <w:r>
        <w:rPr>
          <w:rFonts w:cs="Arial" w:hint="cs"/>
          <w:rtl/>
        </w:rPr>
        <w:t>,</w:t>
      </w:r>
      <w:r w:rsidRPr="00031435">
        <w:rPr>
          <w:rFonts w:cs="Arial"/>
          <w:rtl/>
        </w:rPr>
        <w:t xml:space="preserve"> לא תוכל לטרוף מהלקוחות מזונות</w:t>
      </w:r>
      <w:r>
        <w:rPr>
          <w:rFonts w:cs="Arial" w:hint="cs"/>
          <w:rtl/>
        </w:rPr>
        <w:t>.</w:t>
      </w:r>
      <w:r w:rsidRPr="00031435">
        <w:rPr>
          <w:rFonts w:cs="Arial"/>
          <w:rtl/>
        </w:rPr>
        <w:t xml:space="preserve"> ויש צד אחר שטוב לה יותר שלא תפרש</w:t>
      </w:r>
      <w:r>
        <w:rPr>
          <w:rFonts w:cs="Arial" w:hint="cs"/>
          <w:rtl/>
        </w:rPr>
        <w:t>,</w:t>
      </w:r>
      <w:r w:rsidRPr="00031435">
        <w:rPr>
          <w:rFonts w:cs="Arial"/>
          <w:rtl/>
        </w:rPr>
        <w:t xml:space="preserve"> שאם לא תפרש ויצא עליו שטר חוב</w:t>
      </w:r>
      <w:r>
        <w:rPr>
          <w:rFonts w:cs="Arial" w:hint="cs"/>
          <w:rtl/>
        </w:rPr>
        <w:t>,</w:t>
      </w:r>
      <w:r w:rsidRPr="00031435">
        <w:rPr>
          <w:rFonts w:cs="Arial"/>
          <w:rtl/>
        </w:rPr>
        <w:t xml:space="preserve"> תאמר שלכתובה מכרה</w:t>
      </w:r>
      <w:r>
        <w:rPr>
          <w:rFonts w:cs="Arial" w:hint="cs"/>
          <w:rtl/>
        </w:rPr>
        <w:t>,</w:t>
      </w:r>
      <w:r w:rsidRPr="00031435">
        <w:rPr>
          <w:rFonts w:cs="Arial"/>
          <w:rtl/>
        </w:rPr>
        <w:t xml:space="preserve"> ואם כתובתה קדמה לא יוכל בעל השטר לטרוף ממה שמכרה</w:t>
      </w:r>
      <w:r>
        <w:rPr>
          <w:rFonts w:cs="Arial" w:hint="cs"/>
          <w:rtl/>
        </w:rPr>
        <w:t>.</w:t>
      </w:r>
      <w:r w:rsidRPr="00031435">
        <w:rPr>
          <w:rFonts w:cs="Arial"/>
          <w:rtl/>
        </w:rPr>
        <w:t xml:space="preserve"> ואם תפרש למזונות</w:t>
      </w:r>
      <w:r>
        <w:rPr>
          <w:rFonts w:cs="Arial" w:hint="cs"/>
          <w:rtl/>
        </w:rPr>
        <w:t>,</w:t>
      </w:r>
      <w:r w:rsidRPr="00031435">
        <w:rPr>
          <w:rFonts w:cs="Arial"/>
          <w:rtl/>
        </w:rPr>
        <w:t xml:space="preserve"> יטרפנו ב"ח מפני שזמנו קודם</w:t>
      </w:r>
      <w:r>
        <w:rPr>
          <w:rFonts w:cs="Arial" w:hint="cs"/>
          <w:rtl/>
        </w:rPr>
        <w:t>,</w:t>
      </w:r>
      <w:r w:rsidRPr="00031435">
        <w:rPr>
          <w:rFonts w:cs="Arial"/>
          <w:rtl/>
        </w:rPr>
        <w:t xml:space="preserve"> שאין חיוב המזונות אלא עד אחר מיתה</w:t>
      </w:r>
      <w:r w:rsidR="008B53D3">
        <w:rPr>
          <w:rFonts w:cs="Arial" w:hint="cs"/>
          <w:sz w:val="16"/>
          <w:szCs w:val="16"/>
          <w:rtl/>
        </w:rPr>
        <w:t xml:space="preserve"> (ל' הטור)</w:t>
      </w:r>
      <w:r>
        <w:rPr>
          <w:rFonts w:cs="Arial" w:hint="cs"/>
          <w:rtl/>
        </w:rPr>
        <w:t>.</w:t>
      </w:r>
      <w:r w:rsidRPr="00031435">
        <w:rPr>
          <w:rFonts w:cs="Arial"/>
          <w:rtl/>
        </w:rPr>
        <w:t xml:space="preserve"> </w:t>
      </w:r>
    </w:p>
    <w:p w14:paraId="16236ECC"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85E4BD8" w14:textId="77777777" w:rsidR="00392DBB" w:rsidRDefault="00392DBB" w:rsidP="00392DBB">
      <w:pPr>
        <w:rPr>
          <w:rtl/>
        </w:rPr>
      </w:pPr>
      <w:r>
        <w:rPr>
          <w:rFonts w:cs="Arial"/>
          <w:rtl/>
        </w:rPr>
        <w:t>אלמנה ששמה ולקחתו לעצמה, אינו כלום, אפילו הכריזו עליו, א</w:t>
      </w:r>
      <w:r>
        <w:rPr>
          <w:rFonts w:cs="Arial" w:hint="cs"/>
          <w:rtl/>
        </w:rPr>
        <w:t>לא אם כן</w:t>
      </w:r>
      <w:r>
        <w:rPr>
          <w:rFonts w:cs="Arial"/>
          <w:rtl/>
        </w:rPr>
        <w:t xml:space="preserve"> היו בשומא ב</w:t>
      </w:r>
      <w:r>
        <w:rPr>
          <w:rFonts w:cs="Arial" w:hint="cs"/>
          <w:rtl/>
        </w:rPr>
        <w:t xml:space="preserve">ית </w:t>
      </w:r>
      <w:r>
        <w:rPr>
          <w:rFonts w:cs="Arial"/>
          <w:rtl/>
        </w:rPr>
        <w:t>ד</w:t>
      </w:r>
      <w:r>
        <w:rPr>
          <w:rFonts w:cs="Arial" w:hint="cs"/>
          <w:rtl/>
        </w:rPr>
        <w:t>ין</w:t>
      </w:r>
      <w:r>
        <w:rPr>
          <w:rFonts w:cs="Arial"/>
          <w:rtl/>
        </w:rPr>
        <w:t xml:space="preserve"> הדיוטות. וי</w:t>
      </w:r>
      <w:r>
        <w:rPr>
          <w:rFonts w:cs="Arial" w:hint="cs"/>
          <w:rtl/>
        </w:rPr>
        <w:t xml:space="preserve">ש </w:t>
      </w:r>
      <w:r>
        <w:rPr>
          <w:rFonts w:cs="Arial"/>
          <w:rtl/>
        </w:rPr>
        <w:t>א</w:t>
      </w:r>
      <w:r>
        <w:rPr>
          <w:rFonts w:cs="Arial" w:hint="cs"/>
          <w:rtl/>
        </w:rPr>
        <w:t>ומרים</w:t>
      </w:r>
      <w:r>
        <w:rPr>
          <w:rFonts w:cs="Arial"/>
          <w:rtl/>
        </w:rPr>
        <w:t xml:space="preserve"> שאינו כלום עד שיהיו שם בית דין מומחים. </w:t>
      </w:r>
    </w:p>
    <w:p w14:paraId="04907F1B" w14:textId="77777777" w:rsidR="00392DBB" w:rsidRDefault="00392DBB" w:rsidP="00392DBB">
      <w:pPr>
        <w:rPr>
          <w:rtl/>
        </w:rPr>
      </w:pPr>
    </w:p>
    <w:p w14:paraId="3668D5EC" w14:textId="77777777" w:rsidR="00392DBB" w:rsidRDefault="00392DBB" w:rsidP="000F64D0">
      <w:pPr>
        <w:pStyle w:val="2"/>
        <w:rPr>
          <w:rtl/>
        </w:rPr>
      </w:pPr>
      <w:r>
        <w:rPr>
          <w:rtl/>
        </w:rPr>
        <w:t>סעיף ו</w:t>
      </w:r>
      <w:r>
        <w:rPr>
          <w:rFonts w:hint="cs"/>
          <w:rtl/>
        </w:rPr>
        <w:t>:</w:t>
      </w:r>
      <w:r w:rsidRPr="00A23EB8">
        <w:rPr>
          <w:rtl/>
        </w:rPr>
        <w:t xml:space="preserve"> </w:t>
      </w:r>
      <w:r>
        <w:rPr>
          <w:rtl/>
        </w:rPr>
        <w:t>אלמנה שהיתה כתובתה מאתים, ומכרה שוה מאה במאתים</w:t>
      </w:r>
      <w:r w:rsidRPr="00A23EB8">
        <w:rPr>
          <w:sz w:val="20"/>
          <w:szCs w:val="20"/>
          <w:rtl/>
        </w:rPr>
        <w:t xml:space="preserve"> </w:t>
      </w:r>
      <w:r w:rsidRPr="00A23EB8">
        <w:rPr>
          <w:rFonts w:hint="cs"/>
          <w:sz w:val="20"/>
          <w:szCs w:val="20"/>
          <w:rtl/>
        </w:rPr>
        <w:t>(</w:t>
      </w:r>
      <w:r w:rsidRPr="00A23EB8">
        <w:rPr>
          <w:sz w:val="20"/>
          <w:szCs w:val="20"/>
          <w:rtl/>
        </w:rPr>
        <w:t xml:space="preserve">או </w:t>
      </w:r>
      <w:r w:rsidRPr="00A23EB8">
        <w:rPr>
          <w:rFonts w:hint="cs"/>
          <w:sz w:val="20"/>
          <w:szCs w:val="20"/>
          <w:rtl/>
        </w:rPr>
        <w:t>הפוך)</w:t>
      </w:r>
      <w:r>
        <w:rPr>
          <w:rFonts w:hint="cs"/>
          <w:rtl/>
        </w:rPr>
        <w:t>.</w:t>
      </w:r>
    </w:p>
    <w:p w14:paraId="6EE39187" w14:textId="77777777" w:rsidR="00392DBB" w:rsidRDefault="00392DBB" w:rsidP="00392DBB">
      <w:pPr>
        <w:rPr>
          <w:rFonts w:cs="Arial"/>
          <w:rtl/>
        </w:rPr>
      </w:pPr>
      <w:r w:rsidRPr="00EC2DBD">
        <w:rPr>
          <w:rFonts w:hint="cs"/>
          <w:b/>
          <w:bCs/>
          <w:rtl/>
        </w:rPr>
        <w:t xml:space="preserve">כתובות </w:t>
      </w:r>
      <w:r w:rsidRPr="00EC2DBD">
        <w:rPr>
          <w:rFonts w:hint="cs"/>
          <w:b/>
          <w:bCs/>
          <w:sz w:val="16"/>
          <w:szCs w:val="16"/>
          <w:rtl/>
        </w:rPr>
        <w:t xml:space="preserve">(פ' אלמנה נזונת) </w:t>
      </w:r>
      <w:r w:rsidRPr="00EC2DBD">
        <w:rPr>
          <w:rFonts w:hint="cs"/>
          <w:b/>
          <w:bCs/>
          <w:rtl/>
        </w:rPr>
        <w:t>צ</w:t>
      </w:r>
      <w:r>
        <w:rPr>
          <w:rFonts w:hint="cs"/>
          <w:b/>
          <w:bCs/>
          <w:rtl/>
        </w:rPr>
        <w:t>ח</w:t>
      </w:r>
      <w:r w:rsidRPr="00EC2DBD">
        <w:rPr>
          <w:rFonts w:hint="cs"/>
          <w:b/>
          <w:bCs/>
          <w:rtl/>
        </w:rPr>
        <w:t xml:space="preserve"> ע"</w:t>
      </w:r>
      <w:r>
        <w:rPr>
          <w:rFonts w:hint="cs"/>
          <w:b/>
          <w:bCs/>
          <w:rtl/>
        </w:rPr>
        <w:t>א</w:t>
      </w:r>
      <w:r w:rsidRPr="00EC2DBD">
        <w:rPr>
          <w:rFonts w:hint="cs"/>
          <w:b/>
          <w:bCs/>
          <w:rtl/>
        </w:rPr>
        <w:t xml:space="preserve">: </w:t>
      </w:r>
      <w:r w:rsidRPr="00EC2DBD">
        <w:rPr>
          <w:rFonts w:cs="Arial"/>
          <w:u w:val="double"/>
          <w:rtl/>
        </w:rPr>
        <w:t>מתני'</w:t>
      </w:r>
      <w:r w:rsidRPr="00EC2DBD">
        <w:rPr>
          <w:rFonts w:cs="Arial" w:hint="cs"/>
          <w:rtl/>
        </w:rPr>
        <w:t>:</w:t>
      </w:r>
      <w:r w:rsidRPr="00AF6258">
        <w:rPr>
          <w:rFonts w:cs="Arial"/>
          <w:rtl/>
        </w:rPr>
        <w:t xml:space="preserve"> אלמנה שהיתה כתובתה מאתים, ומכרה שוה מנה במאתים או שוה מאתים במנה - נתקבלה כתובתה.</w:t>
      </w:r>
      <w:r>
        <w:rPr>
          <w:rFonts w:cs="Arial" w:hint="cs"/>
          <w:rtl/>
        </w:rPr>
        <w:t>..</w:t>
      </w:r>
    </w:p>
    <w:p w14:paraId="2B52DD3B" w14:textId="77777777" w:rsidR="00392DBB" w:rsidRDefault="00392DBB" w:rsidP="00392DBB">
      <w:pPr>
        <w:rPr>
          <w:rFonts w:cs="Arial"/>
          <w:rtl/>
        </w:rPr>
      </w:pPr>
      <w:r>
        <w:rPr>
          <w:rFonts w:cs="Arial" w:hint="cs"/>
          <w:b/>
          <w:bCs/>
          <w:rtl/>
        </w:rPr>
        <w:t>ירושלמי כתובות פי"א ה"ד:</w:t>
      </w:r>
      <w:r>
        <w:rPr>
          <w:rFonts w:cs="Arial" w:hint="cs"/>
          <w:rtl/>
        </w:rPr>
        <w:t xml:space="preserve"> </w:t>
      </w:r>
      <w:r w:rsidRPr="00EB0B48">
        <w:rPr>
          <w:rFonts w:cs="Arial"/>
          <w:rtl/>
        </w:rPr>
        <w:t>בשוה מנה במאתים אין סופו לחזור משם מקח טעות</w:t>
      </w:r>
      <w:r>
        <w:rPr>
          <w:rFonts w:cs="Arial" w:hint="cs"/>
          <w:rtl/>
        </w:rPr>
        <w:t>?</w:t>
      </w:r>
      <w:r w:rsidRPr="00EB0B48">
        <w:rPr>
          <w:rFonts w:cs="Arial"/>
          <w:rtl/>
        </w:rPr>
        <w:t xml:space="preserve"> תיפתר שהוקיר המקח</w:t>
      </w:r>
      <w:r>
        <w:rPr>
          <w:rFonts w:cs="Arial" w:hint="cs"/>
          <w:rtl/>
        </w:rPr>
        <w:t>.</w:t>
      </w:r>
      <w:r w:rsidRPr="00EB0B48">
        <w:rPr>
          <w:rFonts w:cs="Arial"/>
          <w:rtl/>
        </w:rPr>
        <w:t xml:space="preserve"> </w:t>
      </w:r>
      <w:r w:rsidRPr="00EB0B48">
        <w:rPr>
          <w:rFonts w:cs="Arial"/>
          <w:u w:val="single"/>
          <w:rtl/>
        </w:rPr>
        <w:t>א"ר אבין</w:t>
      </w:r>
      <w:r>
        <w:rPr>
          <w:rFonts w:cs="Arial" w:hint="cs"/>
          <w:rtl/>
        </w:rPr>
        <w:t>:</w:t>
      </w:r>
      <w:r w:rsidRPr="00EB0B48">
        <w:rPr>
          <w:rFonts w:cs="Arial"/>
          <w:rtl/>
        </w:rPr>
        <w:t xml:space="preserve"> הדא מסייעא לר' שמעון בן לקיש</w:t>
      </w:r>
      <w:r>
        <w:rPr>
          <w:rFonts w:cs="Arial" w:hint="cs"/>
          <w:rtl/>
        </w:rPr>
        <w:t>.</w:t>
      </w:r>
      <w:r w:rsidRPr="00EB0B48">
        <w:rPr>
          <w:rFonts w:cs="Arial"/>
          <w:rtl/>
        </w:rPr>
        <w:t xml:space="preserve"> </w:t>
      </w:r>
      <w:r w:rsidRPr="00EB0B48">
        <w:rPr>
          <w:rFonts w:cs="Arial"/>
          <w:u w:val="single"/>
          <w:rtl/>
        </w:rPr>
        <w:t>דר"ש בן לקיש אמר</w:t>
      </w:r>
      <w:r>
        <w:rPr>
          <w:rFonts w:cs="Arial" w:hint="cs"/>
          <w:rtl/>
        </w:rPr>
        <w:t>:</w:t>
      </w:r>
      <w:r w:rsidRPr="00EB0B48">
        <w:rPr>
          <w:rFonts w:cs="Arial"/>
          <w:rtl/>
        </w:rPr>
        <w:t xml:space="preserve"> אין למקח הונייה לעולם</w:t>
      </w:r>
      <w:r>
        <w:rPr>
          <w:rFonts w:cs="Arial" w:hint="cs"/>
          <w:rtl/>
        </w:rPr>
        <w:t>.</w:t>
      </w:r>
      <w:r w:rsidRPr="00EB0B48">
        <w:rPr>
          <w:rFonts w:cs="Arial"/>
          <w:rtl/>
        </w:rPr>
        <w:t xml:space="preserve"> </w:t>
      </w:r>
      <w:r w:rsidRPr="00EB0B48">
        <w:rPr>
          <w:rFonts w:cs="Arial"/>
          <w:u w:val="single"/>
          <w:rtl/>
        </w:rPr>
        <w:t>אמר ר' יוחנן</w:t>
      </w:r>
      <w:r>
        <w:rPr>
          <w:rFonts w:cs="Arial" w:hint="cs"/>
          <w:rtl/>
        </w:rPr>
        <w:t>:</w:t>
      </w:r>
      <w:r w:rsidRPr="00EB0B48">
        <w:rPr>
          <w:rFonts w:cs="Arial"/>
          <w:rtl/>
        </w:rPr>
        <w:t xml:space="preserve"> אם היה המקח מופלג יש לו הונייה</w:t>
      </w:r>
      <w:r>
        <w:rPr>
          <w:rFonts w:cs="Arial" w:hint="cs"/>
          <w:rtl/>
        </w:rPr>
        <w:t>.</w:t>
      </w:r>
      <w:r w:rsidRPr="004F3AFC">
        <w:rPr>
          <w:rtl/>
        </w:rPr>
        <w:t xml:space="preserve"> </w:t>
      </w:r>
      <w:r w:rsidRPr="004F3AFC">
        <w:rPr>
          <w:rFonts w:cs="Arial"/>
          <w:rtl/>
        </w:rPr>
        <w:t>מתניתא פליגא על רבי יוחנן</w:t>
      </w:r>
      <w:r>
        <w:rPr>
          <w:rFonts w:cs="Arial" w:hint="cs"/>
          <w:rtl/>
        </w:rPr>
        <w:t>!</w:t>
      </w:r>
      <w:r w:rsidRPr="004F3AFC">
        <w:rPr>
          <w:rFonts w:cs="Arial"/>
          <w:rtl/>
        </w:rPr>
        <w:t xml:space="preserve"> אילו דברים שאין להן הונייה העבדים והשטרות והקרקעות וההקדישות</w:t>
      </w:r>
      <w:r>
        <w:rPr>
          <w:rFonts w:cs="Arial" w:hint="cs"/>
          <w:rtl/>
        </w:rPr>
        <w:t>.</w:t>
      </w:r>
      <w:r w:rsidRPr="004F3AFC">
        <w:rPr>
          <w:rFonts w:cs="Arial"/>
          <w:rtl/>
        </w:rPr>
        <w:t xml:space="preserve"> פתר לה ובלבד דבר שאינו מופלג</w:t>
      </w:r>
      <w:r>
        <w:rPr>
          <w:rFonts w:cs="Arial" w:hint="cs"/>
          <w:rtl/>
        </w:rPr>
        <w:t>.</w:t>
      </w:r>
      <w:r w:rsidRPr="004F3AFC">
        <w:rPr>
          <w:rFonts w:cs="Arial"/>
          <w:rtl/>
        </w:rPr>
        <w:t xml:space="preserve"> </w:t>
      </w:r>
      <w:r w:rsidRPr="00792B79">
        <w:rPr>
          <w:rFonts w:cs="Arial" w:hint="cs"/>
          <w:sz w:val="16"/>
          <w:szCs w:val="16"/>
          <w:rtl/>
        </w:rPr>
        <w:t>(ה</w:t>
      </w:r>
      <w:r w:rsidRPr="00792B79">
        <w:rPr>
          <w:rFonts w:cs="Arial"/>
          <w:sz w:val="16"/>
          <w:szCs w:val="16"/>
          <w:rtl/>
        </w:rPr>
        <w:t>תוס</w:t>
      </w:r>
      <w:r w:rsidRPr="00792B79">
        <w:rPr>
          <w:rFonts w:cs="Arial" w:hint="cs"/>
          <w:sz w:val="16"/>
          <w:szCs w:val="16"/>
          <w:rtl/>
        </w:rPr>
        <w:t>'</w:t>
      </w:r>
      <w:r w:rsidRPr="00792B79">
        <w:rPr>
          <w:rFonts w:cs="Arial"/>
          <w:sz w:val="16"/>
          <w:szCs w:val="16"/>
          <w:rtl/>
        </w:rPr>
        <w:t xml:space="preserve"> (</w:t>
      </w:r>
      <w:r w:rsidRPr="00792B79">
        <w:rPr>
          <w:rFonts w:cs="Arial" w:hint="cs"/>
          <w:sz w:val="16"/>
          <w:szCs w:val="16"/>
          <w:rtl/>
        </w:rPr>
        <w:t xml:space="preserve">צח. </w:t>
      </w:r>
      <w:r w:rsidRPr="00792B79">
        <w:rPr>
          <w:rFonts w:cs="Arial"/>
          <w:sz w:val="16"/>
          <w:szCs w:val="16"/>
          <w:rtl/>
        </w:rPr>
        <w:t>ד"ה אלמנה)</w:t>
      </w:r>
      <w:r w:rsidRPr="00792B79">
        <w:rPr>
          <w:rFonts w:cs="Arial" w:hint="cs"/>
          <w:sz w:val="16"/>
          <w:szCs w:val="16"/>
          <w:rtl/>
        </w:rPr>
        <w:t xml:space="preserve"> הביאו את דברי הירושלמי הנ"ל, וכתבו ד</w:t>
      </w:r>
      <w:r w:rsidRPr="00792B79">
        <w:rPr>
          <w:rFonts w:cs="Arial"/>
          <w:sz w:val="16"/>
          <w:szCs w:val="16"/>
          <w:rtl/>
        </w:rPr>
        <w:t>פי' ר"ח שלא הגיע אונאה עד</w:t>
      </w:r>
      <w:r w:rsidRPr="00792B79">
        <w:rPr>
          <w:sz w:val="16"/>
          <w:szCs w:val="16"/>
          <w:rtl/>
        </w:rPr>
        <w:t xml:space="preserve"> </w:t>
      </w:r>
      <w:r w:rsidRPr="00792B79">
        <w:rPr>
          <w:rFonts w:cs="Arial"/>
          <w:sz w:val="16"/>
          <w:szCs w:val="16"/>
          <w:rtl/>
        </w:rPr>
        <w:t>כדי דמי החפץ</w:t>
      </w:r>
      <w:r w:rsidRPr="00792B79">
        <w:rPr>
          <w:rFonts w:cs="Arial" w:hint="cs"/>
          <w:sz w:val="16"/>
          <w:szCs w:val="16"/>
          <w:rtl/>
        </w:rPr>
        <w:t>,</w:t>
      </w:r>
      <w:r w:rsidRPr="00792B79">
        <w:rPr>
          <w:rFonts w:cs="Arial"/>
          <w:sz w:val="16"/>
          <w:szCs w:val="16"/>
          <w:rtl/>
        </w:rPr>
        <w:t xml:space="preserve"> מכלל דבטול מקח לרבי יוחנן הוי בכדי דמיהן</w:t>
      </w:r>
      <w:r w:rsidRPr="00792B79">
        <w:rPr>
          <w:rFonts w:cs="Arial" w:hint="cs"/>
          <w:sz w:val="16"/>
          <w:szCs w:val="16"/>
          <w:rtl/>
        </w:rPr>
        <w:t>.</w:t>
      </w:r>
      <w:r w:rsidRPr="00792B79">
        <w:rPr>
          <w:rFonts w:cs="Arial"/>
          <w:sz w:val="16"/>
          <w:szCs w:val="16"/>
          <w:rtl/>
        </w:rPr>
        <w:t xml:space="preserve"> וכי האי גוונא מפרש ר"ת הא דאמר רב נחמן בהזהב (ב"מ נז. ושם) הדא אמרה אונאה אין להן ביטול</w:t>
      </w:r>
      <w:r w:rsidRPr="00792B79">
        <w:rPr>
          <w:rFonts w:cs="Arial" w:hint="cs"/>
          <w:sz w:val="16"/>
          <w:szCs w:val="16"/>
          <w:rtl/>
        </w:rPr>
        <w:t>,</w:t>
      </w:r>
      <w:r w:rsidRPr="00792B79">
        <w:rPr>
          <w:rFonts w:cs="Arial"/>
          <w:sz w:val="16"/>
          <w:szCs w:val="16"/>
          <w:rtl/>
        </w:rPr>
        <w:t xml:space="preserve"> מקח יש להן</w:t>
      </w:r>
      <w:r w:rsidRPr="00792B79">
        <w:rPr>
          <w:rFonts w:cs="Arial" w:hint="cs"/>
          <w:sz w:val="16"/>
          <w:szCs w:val="16"/>
          <w:rtl/>
        </w:rPr>
        <w:t>,</w:t>
      </w:r>
      <w:r w:rsidRPr="00792B79">
        <w:rPr>
          <w:rFonts w:cs="Arial"/>
          <w:sz w:val="16"/>
          <w:szCs w:val="16"/>
          <w:rtl/>
        </w:rPr>
        <w:t xml:space="preserve"> לאו דומיא דמטלטלין ביתר משתות</w:t>
      </w:r>
      <w:r w:rsidRPr="00792B79">
        <w:rPr>
          <w:rFonts w:cs="Arial" w:hint="cs"/>
          <w:sz w:val="16"/>
          <w:szCs w:val="16"/>
          <w:rtl/>
        </w:rPr>
        <w:t>,</w:t>
      </w:r>
      <w:r w:rsidRPr="00792B79">
        <w:rPr>
          <w:rFonts w:cs="Arial"/>
          <w:sz w:val="16"/>
          <w:szCs w:val="16"/>
          <w:rtl/>
        </w:rPr>
        <w:t xml:space="preserve"> אלא בחצי</w:t>
      </w:r>
      <w:r w:rsidRPr="00792B79">
        <w:rPr>
          <w:rFonts w:cs="Arial" w:hint="cs"/>
          <w:sz w:val="16"/>
          <w:szCs w:val="16"/>
          <w:rtl/>
        </w:rPr>
        <w:t>,</w:t>
      </w:r>
      <w:r w:rsidRPr="00792B79">
        <w:rPr>
          <w:rFonts w:cs="Arial"/>
          <w:sz w:val="16"/>
          <w:szCs w:val="16"/>
          <w:rtl/>
        </w:rPr>
        <w:t xml:space="preserve"> כגון שוה מאתים במנה</w:t>
      </w:r>
      <w:r w:rsidRPr="00792B79">
        <w:rPr>
          <w:rFonts w:cs="Arial" w:hint="cs"/>
          <w:sz w:val="16"/>
          <w:szCs w:val="16"/>
          <w:rtl/>
        </w:rPr>
        <w:t>,</w:t>
      </w:r>
      <w:r w:rsidRPr="00792B79">
        <w:rPr>
          <w:rFonts w:cs="Arial"/>
          <w:sz w:val="16"/>
          <w:szCs w:val="16"/>
          <w:rtl/>
        </w:rPr>
        <w:t xml:space="preserve"> אבל פחות אפילו שוה פרוטה המקח קיים</w:t>
      </w:r>
      <w:r w:rsidRPr="00792B79">
        <w:rPr>
          <w:rFonts w:cs="Arial" w:hint="cs"/>
          <w:sz w:val="16"/>
          <w:szCs w:val="16"/>
          <w:rtl/>
        </w:rPr>
        <w:t>.</w:t>
      </w:r>
      <w:r w:rsidRPr="00792B79">
        <w:rPr>
          <w:rFonts w:cs="Arial"/>
          <w:sz w:val="16"/>
          <w:szCs w:val="16"/>
          <w:rtl/>
        </w:rPr>
        <w:t xml:space="preserve"> והא דפסקינן בהמקבל (שם קח.) זבן במאתים ושוה מנה אמרי נהרדעי משמיה דרב נחמן אין אונאה לקרקעות</w:t>
      </w:r>
      <w:r w:rsidRPr="00792B79">
        <w:rPr>
          <w:rFonts w:cs="Arial" w:hint="cs"/>
          <w:sz w:val="16"/>
          <w:szCs w:val="16"/>
          <w:rtl/>
        </w:rPr>
        <w:t>,</w:t>
      </w:r>
      <w:r w:rsidRPr="00792B79">
        <w:rPr>
          <w:rFonts w:cs="Arial"/>
          <w:sz w:val="16"/>
          <w:szCs w:val="16"/>
          <w:rtl/>
        </w:rPr>
        <w:t xml:space="preserve"> לאו דוקא מאתים אלא מעט פחות דבמאתים הוי ביטול מקח לרב נחמן כדפרישית</w:t>
      </w:r>
      <w:r w:rsidRPr="00792B79">
        <w:rPr>
          <w:rFonts w:cs="Arial" w:hint="cs"/>
          <w:sz w:val="16"/>
          <w:szCs w:val="16"/>
          <w:rtl/>
        </w:rPr>
        <w:t>.</w:t>
      </w:r>
      <w:r w:rsidRPr="00792B79">
        <w:rPr>
          <w:rFonts w:cs="Arial"/>
          <w:sz w:val="16"/>
          <w:szCs w:val="16"/>
          <w:rtl/>
        </w:rPr>
        <w:t xml:space="preserve"> ומאי דגריס ר"ת בריש האיש מקדש (קדושין מב: ושם) כמו שאפרש לקמן והא דקאמרת יתר משתות בטל מקח</w:t>
      </w:r>
      <w:r w:rsidRPr="00792B79">
        <w:rPr>
          <w:rFonts w:cs="Arial" w:hint="cs"/>
          <w:sz w:val="16"/>
          <w:szCs w:val="16"/>
          <w:rtl/>
        </w:rPr>
        <w:t xml:space="preserve"> -</w:t>
      </w:r>
      <w:r w:rsidRPr="00792B79">
        <w:rPr>
          <w:rFonts w:cs="Arial"/>
          <w:sz w:val="16"/>
          <w:szCs w:val="16"/>
          <w:rtl/>
        </w:rPr>
        <w:t xml:space="preserve"> לא אמרן אלא במטלטלי אבל במקרקעי אין אונאה לקרקעות אפילו ביתר משתות עד החצי כדפרישית</w:t>
      </w:r>
      <w:r w:rsidRPr="00792B79">
        <w:rPr>
          <w:rFonts w:cs="Arial" w:hint="cs"/>
          <w:sz w:val="16"/>
          <w:szCs w:val="16"/>
          <w:rtl/>
        </w:rPr>
        <w:t>.</w:t>
      </w:r>
      <w:r w:rsidRPr="00792B79">
        <w:rPr>
          <w:rFonts w:cs="Arial"/>
          <w:sz w:val="16"/>
          <w:szCs w:val="16"/>
          <w:rtl/>
        </w:rPr>
        <w:t xml:space="preserve"> והא דקא"ר יוחנן בירושלמי אם היה דבר מופלג יש לו אונאה</w:t>
      </w:r>
      <w:r w:rsidRPr="00792B79">
        <w:rPr>
          <w:rFonts w:cs="Arial" w:hint="cs"/>
          <w:sz w:val="16"/>
          <w:szCs w:val="16"/>
          <w:rtl/>
        </w:rPr>
        <w:t>,</w:t>
      </w:r>
      <w:r w:rsidRPr="00792B79">
        <w:rPr>
          <w:rFonts w:cs="Arial"/>
          <w:sz w:val="16"/>
          <w:szCs w:val="16"/>
          <w:rtl/>
        </w:rPr>
        <w:t xml:space="preserve"> לאו דוקא דהוא הדין ביטול מקח כדפרישית</w:t>
      </w:r>
      <w:r>
        <w:rPr>
          <w:rFonts w:cs="Arial" w:hint="cs"/>
          <w:sz w:val="16"/>
          <w:szCs w:val="16"/>
          <w:rtl/>
        </w:rPr>
        <w:t>)</w:t>
      </w:r>
    </w:p>
    <w:p w14:paraId="24FDFD92" w14:textId="77777777" w:rsidR="00392DBB" w:rsidRPr="0052271D" w:rsidRDefault="00392DBB" w:rsidP="00392DBB">
      <w:pPr>
        <w:rPr>
          <w:rFonts w:cs="Arial"/>
          <w:u w:val="single"/>
          <w:rtl/>
        </w:rPr>
      </w:pPr>
      <w:r w:rsidRPr="0052271D">
        <w:rPr>
          <w:rFonts w:cs="Arial" w:hint="cs"/>
          <w:u w:val="single"/>
          <w:rtl/>
        </w:rPr>
        <w:t>קשה מדוע</w:t>
      </w:r>
      <w:r>
        <w:rPr>
          <w:rFonts w:cs="Arial" w:hint="cs"/>
          <w:u w:val="single"/>
          <w:rtl/>
        </w:rPr>
        <w:t xml:space="preserve"> המשנה כתבה</w:t>
      </w:r>
      <w:r w:rsidRPr="0052271D">
        <w:rPr>
          <w:rFonts w:cs="Arial" w:hint="cs"/>
          <w:u w:val="single"/>
          <w:rtl/>
        </w:rPr>
        <w:t xml:space="preserve"> </w:t>
      </w:r>
      <w:r>
        <w:rPr>
          <w:rFonts w:cs="Arial" w:hint="cs"/>
          <w:u w:val="single"/>
          <w:rtl/>
        </w:rPr>
        <w:t>ש</w:t>
      </w:r>
      <w:r w:rsidRPr="0052271D">
        <w:rPr>
          <w:rFonts w:cs="Arial" w:hint="cs"/>
          <w:u w:val="single"/>
          <w:rtl/>
        </w:rPr>
        <w:t>נתקבלה כתובתה</w:t>
      </w:r>
      <w:r>
        <w:rPr>
          <w:rFonts w:cs="Arial" w:hint="cs"/>
          <w:u w:val="single"/>
          <w:rtl/>
        </w:rPr>
        <w:t>,</w:t>
      </w:r>
      <w:r w:rsidRPr="0052271D">
        <w:rPr>
          <w:rFonts w:cs="Arial" w:hint="cs"/>
          <w:u w:val="single"/>
          <w:rtl/>
        </w:rPr>
        <w:t xml:space="preserve"> והרי יש כאן אונאה ובטל המקח</w:t>
      </w:r>
      <w:r>
        <w:rPr>
          <w:rFonts w:cs="Arial" w:hint="cs"/>
          <w:sz w:val="16"/>
          <w:szCs w:val="16"/>
          <w:u w:val="single"/>
          <w:rtl/>
        </w:rPr>
        <w:t xml:space="preserve"> (ויכולה האלמנה להחזיר הקרקע ליורשים)</w:t>
      </w:r>
      <w:r w:rsidRPr="0052271D">
        <w:rPr>
          <w:rFonts w:cs="Arial" w:hint="cs"/>
          <w:u w:val="single"/>
          <w:rtl/>
        </w:rPr>
        <w:t>:</w:t>
      </w:r>
    </w:p>
    <w:p w14:paraId="3EF59B69" w14:textId="77777777" w:rsidR="00392DBB" w:rsidRDefault="00392DBB" w:rsidP="009000E3">
      <w:pPr>
        <w:pStyle w:val="ab"/>
        <w:numPr>
          <w:ilvl w:val="0"/>
          <w:numId w:val="61"/>
        </w:numPr>
        <w:rPr>
          <w:rFonts w:cs="Arial"/>
        </w:rPr>
      </w:pPr>
      <w:r w:rsidRPr="0052271D">
        <w:rPr>
          <w:rFonts w:cs="Arial"/>
          <w:rtl/>
        </w:rPr>
        <w:t>תוס</w:t>
      </w:r>
      <w:r w:rsidRPr="0052271D">
        <w:rPr>
          <w:rFonts w:cs="Arial" w:hint="cs"/>
          <w:rtl/>
        </w:rPr>
        <w:t>'</w:t>
      </w:r>
      <w:r w:rsidRPr="0052271D">
        <w:rPr>
          <w:rFonts w:cs="Arial"/>
          <w:rtl/>
        </w:rPr>
        <w:t xml:space="preserve"> </w:t>
      </w:r>
      <w:r w:rsidRPr="0052271D">
        <w:rPr>
          <w:rFonts w:cs="Arial"/>
          <w:sz w:val="16"/>
          <w:szCs w:val="16"/>
          <w:rtl/>
        </w:rPr>
        <w:t>(</w:t>
      </w:r>
      <w:r w:rsidRPr="0052271D">
        <w:rPr>
          <w:rFonts w:cs="Arial" w:hint="cs"/>
          <w:sz w:val="16"/>
          <w:szCs w:val="16"/>
          <w:rtl/>
        </w:rPr>
        <w:t>צ</w:t>
      </w:r>
      <w:r>
        <w:rPr>
          <w:rFonts w:cs="Arial" w:hint="cs"/>
          <w:sz w:val="16"/>
          <w:szCs w:val="16"/>
          <w:rtl/>
        </w:rPr>
        <w:t>ח</w:t>
      </w:r>
      <w:r w:rsidRPr="0052271D">
        <w:rPr>
          <w:rFonts w:cs="Arial" w:hint="cs"/>
          <w:sz w:val="16"/>
          <w:szCs w:val="16"/>
          <w:rtl/>
        </w:rPr>
        <w:t xml:space="preserve">. </w:t>
      </w:r>
      <w:r w:rsidRPr="0052271D">
        <w:rPr>
          <w:rFonts w:cs="Arial"/>
          <w:sz w:val="16"/>
          <w:szCs w:val="16"/>
          <w:rtl/>
        </w:rPr>
        <w:t>ד"ה אלמנה)</w:t>
      </w:r>
      <w:r w:rsidRPr="0052271D">
        <w:rPr>
          <w:rFonts w:cs="Arial" w:hint="cs"/>
          <w:rtl/>
        </w:rPr>
        <w:t xml:space="preserve">- </w:t>
      </w:r>
      <w:r w:rsidRPr="004F3AFC">
        <w:rPr>
          <w:rFonts w:cs="Arial"/>
          <w:rtl/>
        </w:rPr>
        <w:t>טעמא דנתקבלה כתובתה גבי מכרה שוה מאתים במנה תימה קצת</w:t>
      </w:r>
      <w:r>
        <w:rPr>
          <w:rFonts w:cs="Arial" w:hint="cs"/>
          <w:rtl/>
        </w:rPr>
        <w:t>,</w:t>
      </w:r>
      <w:r w:rsidRPr="004F3AFC">
        <w:rPr>
          <w:rFonts w:cs="Arial"/>
          <w:rtl/>
        </w:rPr>
        <w:t xml:space="preserve"> אע</w:t>
      </w:r>
      <w:r>
        <w:rPr>
          <w:rFonts w:cs="Arial" w:hint="cs"/>
          <w:rtl/>
        </w:rPr>
        <w:t>"</w:t>
      </w:r>
      <w:r w:rsidRPr="004F3AFC">
        <w:rPr>
          <w:rFonts w:cs="Arial"/>
          <w:rtl/>
        </w:rPr>
        <w:t>ג דהוזיל המקח מ"מ תחזור בה לגבי הלקוחות שהרי המכר לא היה כלום ותחזיר הקרקע ליתומים</w:t>
      </w:r>
      <w:r>
        <w:rPr>
          <w:rFonts w:cs="Arial" w:hint="cs"/>
          <w:rtl/>
        </w:rPr>
        <w:t>.</w:t>
      </w:r>
      <w:r w:rsidRPr="004F3AFC">
        <w:rPr>
          <w:rFonts w:cs="Arial"/>
          <w:rtl/>
        </w:rPr>
        <w:t xml:space="preserve"> ויש לומר דהואיל ובשעה שקבלה הקרקע היה שוה מאתים</w:t>
      </w:r>
      <w:r>
        <w:rPr>
          <w:rFonts w:cs="Arial" w:hint="cs"/>
          <w:rtl/>
        </w:rPr>
        <w:t>,</w:t>
      </w:r>
      <w:r w:rsidRPr="004F3AFC">
        <w:rPr>
          <w:rFonts w:cs="Arial"/>
          <w:rtl/>
        </w:rPr>
        <w:t xml:space="preserve"> מיד רצתה להוציא הקרקע מרשות היתומים ולהכניסה לרשות הלוקח</w:t>
      </w:r>
      <w:r>
        <w:rPr>
          <w:rFonts w:cs="Arial" w:hint="cs"/>
          <w:rtl/>
        </w:rPr>
        <w:t>,</w:t>
      </w:r>
      <w:r w:rsidRPr="004F3AFC">
        <w:rPr>
          <w:rFonts w:cs="Arial"/>
          <w:rtl/>
        </w:rPr>
        <w:t xml:space="preserve"> והרי היא כמו שנתכוונה לקנות הקרקע בכתובה באותה שעה</w:t>
      </w:r>
      <w:r>
        <w:rPr>
          <w:rStyle w:val="a7"/>
          <w:rFonts w:cs="Arial"/>
          <w:rtl/>
        </w:rPr>
        <w:footnoteReference w:id="2245"/>
      </w:r>
      <w:r w:rsidRPr="004F3AFC">
        <w:rPr>
          <w:rFonts w:cs="Arial"/>
          <w:rtl/>
        </w:rPr>
        <w:t>.</w:t>
      </w:r>
    </w:p>
    <w:p w14:paraId="6F57EF05" w14:textId="77777777" w:rsidR="00392DBB" w:rsidRPr="00792B79" w:rsidRDefault="00392DBB" w:rsidP="00392DBB">
      <w:pPr>
        <w:rPr>
          <w:rFonts w:cs="Arial"/>
          <w:u w:val="single"/>
          <w:rtl/>
        </w:rPr>
      </w:pPr>
      <w:r w:rsidRPr="00792B79">
        <w:rPr>
          <w:rFonts w:cs="Arial"/>
          <w:u w:val="single"/>
          <w:rtl/>
        </w:rPr>
        <w:lastRenderedPageBreak/>
        <w:t>אלמנה שהיתה כתובתה מאתים, ומכרה שוה מאה במאתים</w:t>
      </w:r>
      <w:r w:rsidRPr="00792B79">
        <w:rPr>
          <w:rFonts w:cs="Arial"/>
          <w:sz w:val="20"/>
          <w:szCs w:val="20"/>
          <w:u w:val="single"/>
          <w:rtl/>
        </w:rPr>
        <w:t xml:space="preserve"> </w:t>
      </w:r>
      <w:r w:rsidRPr="00792B79">
        <w:rPr>
          <w:rFonts w:cs="Arial" w:hint="cs"/>
          <w:sz w:val="16"/>
          <w:szCs w:val="16"/>
          <w:u w:val="single"/>
          <w:rtl/>
        </w:rPr>
        <w:t>(</w:t>
      </w:r>
      <w:r w:rsidRPr="00792B79">
        <w:rPr>
          <w:rFonts w:cs="Arial"/>
          <w:sz w:val="16"/>
          <w:szCs w:val="16"/>
          <w:u w:val="single"/>
          <w:rtl/>
        </w:rPr>
        <w:t xml:space="preserve">או </w:t>
      </w:r>
      <w:r w:rsidRPr="00792B79">
        <w:rPr>
          <w:rFonts w:cs="Arial" w:hint="cs"/>
          <w:sz w:val="16"/>
          <w:szCs w:val="16"/>
          <w:u w:val="single"/>
          <w:rtl/>
        </w:rPr>
        <w:t>הפוך)</w:t>
      </w:r>
      <w:r w:rsidRPr="00792B79">
        <w:rPr>
          <w:rFonts w:cs="Arial" w:hint="cs"/>
          <w:u w:val="single"/>
          <w:rtl/>
        </w:rPr>
        <w:t>:</w:t>
      </w:r>
    </w:p>
    <w:p w14:paraId="1B7997E4" w14:textId="19FF2870" w:rsidR="00392DBB" w:rsidRDefault="00392DBB" w:rsidP="009000E3">
      <w:pPr>
        <w:pStyle w:val="ab"/>
        <w:numPr>
          <w:ilvl w:val="0"/>
          <w:numId w:val="61"/>
        </w:numPr>
      </w:pPr>
      <w:r>
        <w:rPr>
          <w:rFonts w:cs="Arial" w:hint="cs"/>
          <w:rtl/>
        </w:rPr>
        <w:t xml:space="preserve">תוס' </w:t>
      </w:r>
      <w:r>
        <w:rPr>
          <w:rFonts w:cs="Arial" w:hint="cs"/>
          <w:sz w:val="16"/>
          <w:szCs w:val="16"/>
          <w:rtl/>
        </w:rPr>
        <w:t xml:space="preserve">(שם) </w:t>
      </w:r>
      <w:r>
        <w:rPr>
          <w:rFonts w:cs="Arial" w:hint="cs"/>
          <w:rtl/>
        </w:rPr>
        <w:t xml:space="preserve">וטור- </w:t>
      </w:r>
      <w:r w:rsidRPr="00031435">
        <w:rPr>
          <w:rFonts w:cs="Arial"/>
          <w:rtl/>
        </w:rPr>
        <w:t>היתה כתובתה מאתים</w:t>
      </w:r>
      <w:r>
        <w:rPr>
          <w:rFonts w:cs="Arial" w:hint="cs"/>
          <w:rtl/>
        </w:rPr>
        <w:t>,</w:t>
      </w:r>
      <w:r w:rsidRPr="00031435">
        <w:rPr>
          <w:rFonts w:cs="Arial"/>
          <w:rtl/>
        </w:rPr>
        <w:t xml:space="preserve"> ומכרה שוה מאתים במנה</w:t>
      </w:r>
      <w:r>
        <w:rPr>
          <w:rFonts w:cs="Arial" w:hint="cs"/>
          <w:rtl/>
        </w:rPr>
        <w:t>,</w:t>
      </w:r>
      <w:r w:rsidRPr="00031435">
        <w:rPr>
          <w:rFonts w:cs="Arial"/>
          <w:rtl/>
        </w:rPr>
        <w:t xml:space="preserve"> והוזל שאינו שוה אלא מנה</w:t>
      </w:r>
      <w:r>
        <w:rPr>
          <w:rFonts w:cs="Arial" w:hint="cs"/>
          <w:rtl/>
        </w:rPr>
        <w:t>,</w:t>
      </w:r>
      <w:r w:rsidRPr="00031435">
        <w:rPr>
          <w:rFonts w:cs="Arial"/>
          <w:rtl/>
        </w:rPr>
        <w:t xml:space="preserve"> והיא רוצה</w:t>
      </w:r>
      <w:r>
        <w:rPr>
          <w:rStyle w:val="a7"/>
          <w:rFonts w:cs="Arial"/>
          <w:rtl/>
        </w:rPr>
        <w:footnoteReference w:id="2246"/>
      </w:r>
      <w:r w:rsidRPr="00031435">
        <w:rPr>
          <w:rFonts w:cs="Arial"/>
          <w:rtl/>
        </w:rPr>
        <w:t xml:space="preserve"> לקיים המקח </w:t>
      </w:r>
      <w:r>
        <w:rPr>
          <w:rFonts w:cs="Arial" w:hint="cs"/>
          <w:rtl/>
        </w:rPr>
        <w:t xml:space="preserve">- </w:t>
      </w:r>
      <w:r w:rsidRPr="00031435">
        <w:rPr>
          <w:rFonts w:cs="Arial"/>
          <w:rtl/>
        </w:rPr>
        <w:t>נתקבלה כתובתה</w:t>
      </w:r>
      <w:r>
        <w:rPr>
          <w:rFonts w:cs="Arial" w:hint="cs"/>
          <w:rtl/>
        </w:rPr>
        <w:t>,</w:t>
      </w:r>
      <w:r w:rsidRPr="00031435">
        <w:rPr>
          <w:rFonts w:cs="Arial"/>
          <w:rtl/>
        </w:rPr>
        <w:t xml:space="preserve"> ולא אמרינן כיון שהיה המקח בטעות לא יצא הקרקע מחזקת היתומים וברשותם הוזל</w:t>
      </w:r>
      <w:r>
        <w:rPr>
          <w:rFonts w:cs="Arial" w:hint="cs"/>
          <w:rtl/>
        </w:rPr>
        <w:t>,</w:t>
      </w:r>
      <w:r w:rsidRPr="00031435">
        <w:rPr>
          <w:rFonts w:cs="Arial"/>
          <w:rtl/>
        </w:rPr>
        <w:t xml:space="preserve"> אלא כיון שבשעה שקבלה הקרקע להכניסו לרשות הלוקח היה שוה מאתים</w:t>
      </w:r>
      <w:r>
        <w:rPr>
          <w:rFonts w:cs="Arial" w:hint="cs"/>
          <w:rtl/>
        </w:rPr>
        <w:t>,</w:t>
      </w:r>
      <w:r w:rsidRPr="00031435">
        <w:rPr>
          <w:rFonts w:cs="Arial"/>
          <w:rtl/>
        </w:rPr>
        <w:t xml:space="preserve"> כאילו כוונה לקנות הקרקע ונתקבלה כתובתה ואינה חוזרת ליתומים</w:t>
      </w:r>
      <w:r>
        <w:rPr>
          <w:rStyle w:val="a7"/>
          <w:rFonts w:cs="Arial"/>
          <w:rtl/>
        </w:rPr>
        <w:footnoteReference w:id="2247"/>
      </w:r>
      <w:r>
        <w:rPr>
          <w:rFonts w:cs="Arial" w:hint="cs"/>
          <w:rtl/>
        </w:rPr>
        <w:t>.</w:t>
      </w:r>
      <w:r w:rsidRPr="00031435">
        <w:rPr>
          <w:rFonts w:cs="Arial"/>
          <w:rtl/>
        </w:rPr>
        <w:t xml:space="preserve"> וכן אם מכרה שוה מנה במאתים והוקר</w:t>
      </w:r>
      <w:r>
        <w:rPr>
          <w:rFonts w:cs="Arial" w:hint="cs"/>
          <w:rtl/>
        </w:rPr>
        <w:t>,</w:t>
      </w:r>
      <w:r w:rsidRPr="00031435">
        <w:rPr>
          <w:rFonts w:cs="Arial"/>
          <w:rtl/>
        </w:rPr>
        <w:t xml:space="preserve"> והלוקח רוצה לקיים המקח</w:t>
      </w:r>
      <w:r>
        <w:rPr>
          <w:rFonts w:cs="Arial" w:hint="cs"/>
          <w:rtl/>
        </w:rPr>
        <w:t xml:space="preserve"> </w:t>
      </w:r>
      <w:r w:rsidRPr="00031435">
        <w:rPr>
          <w:rFonts w:cs="Arial"/>
          <w:rtl/>
        </w:rPr>
        <w:t>ונתקבלה כתובתה והריוח ליתומים</w:t>
      </w:r>
      <w:r w:rsidR="008B53D3">
        <w:rPr>
          <w:rFonts w:cs="Arial" w:hint="cs"/>
          <w:sz w:val="16"/>
          <w:szCs w:val="16"/>
          <w:rtl/>
        </w:rPr>
        <w:t xml:space="preserve"> (ל' הטור)</w:t>
      </w:r>
      <w:r>
        <w:rPr>
          <w:rFonts w:cs="Arial" w:hint="cs"/>
          <w:rtl/>
        </w:rPr>
        <w:t>.</w:t>
      </w:r>
      <w:r w:rsidRPr="00031435">
        <w:rPr>
          <w:rFonts w:cs="Arial"/>
          <w:rtl/>
        </w:rPr>
        <w:t xml:space="preserve"> </w:t>
      </w:r>
    </w:p>
    <w:p w14:paraId="22C4D016" w14:textId="77777777" w:rsidR="00392DBB" w:rsidRPr="00E26319" w:rsidRDefault="00392DBB" w:rsidP="009000E3">
      <w:pPr>
        <w:pStyle w:val="ab"/>
        <w:numPr>
          <w:ilvl w:val="0"/>
          <w:numId w:val="61"/>
        </w:numPr>
        <w:rPr>
          <w:rtl/>
        </w:rPr>
      </w:pPr>
      <w:r>
        <w:rPr>
          <w:rFonts w:cs="Arial" w:hint="cs"/>
          <w:rtl/>
        </w:rPr>
        <w:t xml:space="preserve">רי"ף </w:t>
      </w:r>
      <w:r w:rsidRPr="00A23EB8">
        <w:rPr>
          <w:rFonts w:cs="Arial"/>
          <w:sz w:val="16"/>
          <w:szCs w:val="16"/>
          <w:rtl/>
        </w:rPr>
        <w:t xml:space="preserve">(כתובות נז.) </w:t>
      </w:r>
      <w:r>
        <w:rPr>
          <w:rFonts w:cs="Arial" w:hint="cs"/>
          <w:rtl/>
        </w:rPr>
        <w:t>ורמב"ם</w:t>
      </w:r>
      <w:r>
        <w:rPr>
          <w:rFonts w:cs="Arial" w:hint="cs"/>
          <w:sz w:val="16"/>
          <w:szCs w:val="16"/>
          <w:rtl/>
        </w:rPr>
        <w:t xml:space="preserve"> (פי"ז הט"ו)</w:t>
      </w:r>
      <w:r>
        <w:rPr>
          <w:rFonts w:cs="Arial" w:hint="cs"/>
          <w:rtl/>
        </w:rPr>
        <w:t xml:space="preserve">- </w:t>
      </w:r>
      <w:r w:rsidRPr="00A23EB8">
        <w:rPr>
          <w:rFonts w:cs="Arial"/>
          <w:rtl/>
        </w:rPr>
        <w:t>היתה כתובתה מאתים ומכרה שוה מאה במאתים או שוה מאתים במאה נתקבלה כתובתה ואין לה כלום ובלבד שתשבע שבועת אלמנה</w:t>
      </w:r>
      <w:r>
        <w:rPr>
          <w:rFonts w:cs="Arial" w:hint="cs"/>
          <w:sz w:val="16"/>
          <w:szCs w:val="16"/>
          <w:rtl/>
        </w:rPr>
        <w:t xml:space="preserve"> (ל' הרמב"ם)</w:t>
      </w:r>
      <w:r>
        <w:rPr>
          <w:rFonts w:hint="cs"/>
          <w:rtl/>
        </w:rPr>
        <w:t xml:space="preserve">. </w:t>
      </w:r>
      <w:r w:rsidRPr="007B16F4">
        <w:rPr>
          <w:rFonts w:hint="cs"/>
          <w:color w:val="E36C0A" w:themeColor="accent6" w:themeShade="BF"/>
          <w:rtl/>
        </w:rPr>
        <w:t>(וכ"פ בשו"ע)</w:t>
      </w:r>
    </w:p>
    <w:p w14:paraId="736F8FB1"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9E85FE1" w14:textId="77777777" w:rsidR="00392DBB" w:rsidRDefault="00392DBB" w:rsidP="00392DBB">
      <w:pPr>
        <w:rPr>
          <w:rtl/>
        </w:rPr>
      </w:pPr>
      <w:r>
        <w:rPr>
          <w:rFonts w:cs="Arial"/>
          <w:rtl/>
        </w:rPr>
        <w:t xml:space="preserve">אלמנה שהיתה כתובתה מאתים, ומכרה שוה מאה במאתים או שוה מאתים במאה, נתקבלה כתובתה. </w:t>
      </w:r>
    </w:p>
    <w:p w14:paraId="02B307D8" w14:textId="77777777" w:rsidR="00392DBB" w:rsidRDefault="00392DBB" w:rsidP="00392DBB">
      <w:pPr>
        <w:rPr>
          <w:rtl/>
        </w:rPr>
      </w:pPr>
    </w:p>
    <w:p w14:paraId="2940996D" w14:textId="77777777" w:rsidR="00392DBB" w:rsidRDefault="00392DBB" w:rsidP="000F64D0">
      <w:pPr>
        <w:pStyle w:val="2"/>
        <w:rPr>
          <w:rtl/>
        </w:rPr>
      </w:pPr>
      <w:r>
        <w:rPr>
          <w:rtl/>
        </w:rPr>
        <w:t>סעיף ז</w:t>
      </w:r>
      <w:r>
        <w:rPr>
          <w:rFonts w:hint="cs"/>
          <w:rtl/>
        </w:rPr>
        <w:t>:</w:t>
      </w:r>
      <w:r w:rsidRPr="00437109">
        <w:rPr>
          <w:rtl/>
        </w:rPr>
        <w:t xml:space="preserve"> </w:t>
      </w:r>
      <w:r w:rsidRPr="00031435">
        <w:rPr>
          <w:rtl/>
        </w:rPr>
        <w:t>טעתה ומכרה שוה מנה ודינר במנה</w:t>
      </w:r>
      <w:r>
        <w:rPr>
          <w:rFonts w:hint="cs"/>
          <w:rtl/>
        </w:rPr>
        <w:t>.</w:t>
      </w:r>
    </w:p>
    <w:p w14:paraId="2E4AA7AB" w14:textId="77777777" w:rsidR="00392DBB" w:rsidRDefault="00392DBB" w:rsidP="00392DBB">
      <w:pPr>
        <w:rPr>
          <w:rFonts w:cs="Arial"/>
          <w:rtl/>
        </w:rPr>
      </w:pPr>
      <w:r w:rsidRPr="00EC2DBD">
        <w:rPr>
          <w:rFonts w:hint="cs"/>
          <w:b/>
          <w:bCs/>
          <w:rtl/>
        </w:rPr>
        <w:t xml:space="preserve">כתובות </w:t>
      </w:r>
      <w:r w:rsidRPr="00EC2DBD">
        <w:rPr>
          <w:rFonts w:hint="cs"/>
          <w:b/>
          <w:bCs/>
          <w:sz w:val="16"/>
          <w:szCs w:val="16"/>
          <w:rtl/>
        </w:rPr>
        <w:t xml:space="preserve">(פ' אלמנה נזונת) </w:t>
      </w:r>
      <w:r w:rsidRPr="00EC2DBD">
        <w:rPr>
          <w:rFonts w:hint="cs"/>
          <w:b/>
          <w:bCs/>
          <w:rtl/>
        </w:rPr>
        <w:t>צ</w:t>
      </w:r>
      <w:r>
        <w:rPr>
          <w:rFonts w:hint="cs"/>
          <w:b/>
          <w:bCs/>
          <w:rtl/>
        </w:rPr>
        <w:t>ח</w:t>
      </w:r>
      <w:r w:rsidRPr="00EC2DBD">
        <w:rPr>
          <w:rFonts w:hint="cs"/>
          <w:b/>
          <w:bCs/>
          <w:rtl/>
        </w:rPr>
        <w:t xml:space="preserve"> ע"</w:t>
      </w:r>
      <w:r>
        <w:rPr>
          <w:rFonts w:hint="cs"/>
          <w:b/>
          <w:bCs/>
          <w:rtl/>
        </w:rPr>
        <w:t>א</w:t>
      </w:r>
      <w:r w:rsidRPr="00EC2DBD">
        <w:rPr>
          <w:rFonts w:hint="cs"/>
          <w:b/>
          <w:bCs/>
          <w:rtl/>
        </w:rPr>
        <w:t xml:space="preserve">: </w:t>
      </w:r>
      <w:r w:rsidRPr="00EC2DBD">
        <w:rPr>
          <w:rFonts w:cs="Arial"/>
          <w:u w:val="double"/>
          <w:rtl/>
        </w:rPr>
        <w:t>מתני'</w:t>
      </w:r>
      <w:r w:rsidRPr="00EC2DBD">
        <w:rPr>
          <w:rFonts w:cs="Arial" w:hint="cs"/>
          <w:rtl/>
        </w:rPr>
        <w:t>:</w:t>
      </w:r>
      <w:r>
        <w:rPr>
          <w:rFonts w:cs="Arial" w:hint="cs"/>
          <w:rtl/>
        </w:rPr>
        <w:t>...</w:t>
      </w:r>
      <w:r w:rsidRPr="00437109">
        <w:rPr>
          <w:rtl/>
        </w:rPr>
        <w:t xml:space="preserve"> </w:t>
      </w:r>
      <w:r w:rsidRPr="00437109">
        <w:rPr>
          <w:rFonts w:cs="Arial"/>
          <w:rtl/>
        </w:rPr>
        <w:t>היתה כתובתה מנה, ומכרה שוה מנה ודינר</w:t>
      </w:r>
      <w:r>
        <w:rPr>
          <w:rStyle w:val="a7"/>
          <w:rFonts w:cs="Arial"/>
          <w:rtl/>
        </w:rPr>
        <w:footnoteReference w:id="2248"/>
      </w:r>
      <w:r w:rsidRPr="00437109">
        <w:rPr>
          <w:rFonts w:cs="Arial"/>
          <w:rtl/>
        </w:rPr>
        <w:t xml:space="preserve"> במנה - מכרה בטל</w:t>
      </w:r>
      <w:r>
        <w:rPr>
          <w:rStyle w:val="a7"/>
          <w:rFonts w:cs="Arial"/>
          <w:rtl/>
        </w:rPr>
        <w:footnoteReference w:id="2249"/>
      </w:r>
      <w:r w:rsidRPr="00437109">
        <w:rPr>
          <w:rFonts w:cs="Arial"/>
          <w:rtl/>
        </w:rPr>
        <w:t>, אפילו היא אומרת אחזיר דינר ליורשין - מכרה בטל</w:t>
      </w:r>
      <w:r>
        <w:rPr>
          <w:rFonts w:cs="Arial" w:hint="cs"/>
          <w:rtl/>
        </w:rPr>
        <w:t>.</w:t>
      </w:r>
      <w:r w:rsidRPr="00437109">
        <w:rPr>
          <w:rFonts w:cs="Arial"/>
          <w:rtl/>
        </w:rPr>
        <w:t xml:space="preserve"> </w:t>
      </w:r>
      <w:r w:rsidRPr="00437109">
        <w:rPr>
          <w:rFonts w:cs="Arial"/>
          <w:u w:val="single"/>
          <w:rtl/>
        </w:rPr>
        <w:t>רשב"ג אומר</w:t>
      </w:r>
      <w:r w:rsidRPr="00437109">
        <w:rPr>
          <w:rFonts w:cs="Arial"/>
          <w:rtl/>
        </w:rPr>
        <w:t>: לעולם מכרה קיים, עד שתהא שם כדי שתשייר בשדה בת תשעה קבין, ובגנה בת חצי קב, וכדברי רבי עקיבא בית רובע.</w:t>
      </w:r>
      <w:r>
        <w:rPr>
          <w:rFonts w:cs="Arial" w:hint="cs"/>
          <w:rtl/>
        </w:rPr>
        <w:t>..</w:t>
      </w:r>
      <w:r w:rsidRPr="00437109">
        <w:rPr>
          <w:rFonts w:cs="Arial"/>
          <w:rtl/>
        </w:rPr>
        <w:t xml:space="preserve"> </w:t>
      </w:r>
      <w:r w:rsidRPr="0082504A">
        <w:rPr>
          <w:rFonts w:cs="Arial" w:hint="cs"/>
          <w:sz w:val="16"/>
          <w:szCs w:val="16"/>
          <w:rtl/>
        </w:rPr>
        <w:t>(</w:t>
      </w:r>
      <w:r w:rsidRPr="0082504A">
        <w:rPr>
          <w:rFonts w:cs="Arial"/>
          <w:sz w:val="16"/>
          <w:szCs w:val="16"/>
          <w:rtl/>
        </w:rPr>
        <w:t>הרמב"ם בפי"ז מהלכות אישות (שם) פסק כת"ק</w:t>
      </w:r>
      <w:r>
        <w:rPr>
          <w:rFonts w:cs="Arial" w:hint="cs"/>
          <w:sz w:val="16"/>
          <w:szCs w:val="16"/>
          <w:rtl/>
        </w:rPr>
        <w:t>, ב"י)</w:t>
      </w:r>
    </w:p>
    <w:p w14:paraId="010F1707" w14:textId="77777777" w:rsidR="00392DBB" w:rsidRPr="00437109" w:rsidRDefault="00392DBB" w:rsidP="00392DBB">
      <w:pPr>
        <w:rPr>
          <w:u w:val="single"/>
          <w:rtl/>
        </w:rPr>
      </w:pPr>
      <w:r w:rsidRPr="00437109">
        <w:rPr>
          <w:rFonts w:cs="Arial"/>
          <w:u w:val="single"/>
          <w:rtl/>
        </w:rPr>
        <w:t>טעתה ומכרה שוה מנה ודינר במנה</w:t>
      </w:r>
      <w:r w:rsidRPr="00437109">
        <w:rPr>
          <w:rFonts w:hint="cs"/>
          <w:u w:val="single"/>
          <w:rtl/>
        </w:rPr>
        <w:t>:</w:t>
      </w:r>
    </w:p>
    <w:p w14:paraId="3AF31B18" w14:textId="77777777" w:rsidR="00392DBB" w:rsidRPr="0082504A" w:rsidRDefault="00392DBB" w:rsidP="009000E3">
      <w:pPr>
        <w:pStyle w:val="ab"/>
        <w:numPr>
          <w:ilvl w:val="0"/>
          <w:numId w:val="61"/>
        </w:numPr>
      </w:pPr>
      <w:r>
        <w:rPr>
          <w:rFonts w:cs="Arial"/>
          <w:rtl/>
        </w:rPr>
        <w:t>רא"ש</w:t>
      </w:r>
      <w:r w:rsidRPr="0082504A">
        <w:rPr>
          <w:rFonts w:cs="Arial"/>
          <w:sz w:val="16"/>
          <w:szCs w:val="16"/>
          <w:rtl/>
        </w:rPr>
        <w:t xml:space="preserve"> (</w:t>
      </w:r>
      <w:r w:rsidRPr="0082504A">
        <w:rPr>
          <w:rFonts w:cs="Arial" w:hint="cs"/>
          <w:sz w:val="16"/>
          <w:szCs w:val="16"/>
          <w:rtl/>
        </w:rPr>
        <w:t xml:space="preserve">פי"א </w:t>
      </w:r>
      <w:r w:rsidRPr="0082504A">
        <w:rPr>
          <w:rFonts w:cs="Arial"/>
          <w:sz w:val="16"/>
          <w:szCs w:val="16"/>
          <w:rtl/>
        </w:rPr>
        <w:t>סי' יז)</w:t>
      </w:r>
      <w:r w:rsidRPr="0082504A">
        <w:rPr>
          <w:rFonts w:cs="Arial" w:hint="cs"/>
          <w:sz w:val="16"/>
          <w:szCs w:val="16"/>
          <w:rtl/>
        </w:rPr>
        <w:t xml:space="preserve"> </w:t>
      </w:r>
      <w:r>
        <w:rPr>
          <w:rFonts w:cs="Arial" w:hint="cs"/>
          <w:rtl/>
        </w:rPr>
        <w:t xml:space="preserve">וטור- </w:t>
      </w:r>
      <w:r w:rsidRPr="00031435">
        <w:rPr>
          <w:rFonts w:cs="Arial"/>
          <w:rtl/>
        </w:rPr>
        <w:t>טעתה ומכרה שוה מנה ודינר במנה או שטעתה אפילו כל שהו</w:t>
      </w:r>
      <w:r>
        <w:rPr>
          <w:rFonts w:cs="Arial" w:hint="cs"/>
          <w:rtl/>
        </w:rPr>
        <w:t>,</w:t>
      </w:r>
      <w:r w:rsidRPr="00031435">
        <w:rPr>
          <w:rFonts w:cs="Arial"/>
          <w:rtl/>
        </w:rPr>
        <w:t xml:space="preserve"> אפילו אם רוצה ליתן ליתומים מה שטעתה </w:t>
      </w:r>
      <w:r>
        <w:rPr>
          <w:rFonts w:cs="Arial" w:hint="cs"/>
          <w:rtl/>
        </w:rPr>
        <w:t xml:space="preserve">- </w:t>
      </w:r>
      <w:r w:rsidRPr="00031435">
        <w:rPr>
          <w:rFonts w:cs="Arial"/>
          <w:rtl/>
        </w:rPr>
        <w:t>מכרה בטל</w:t>
      </w:r>
      <w:r>
        <w:rPr>
          <w:rStyle w:val="a7"/>
          <w:rFonts w:cs="Arial"/>
          <w:rtl/>
        </w:rPr>
        <w:footnoteReference w:id="2250"/>
      </w:r>
      <w:r>
        <w:rPr>
          <w:rFonts w:cs="Arial" w:hint="cs"/>
          <w:rtl/>
        </w:rPr>
        <w:t>.</w:t>
      </w:r>
      <w:r w:rsidRPr="00031435">
        <w:rPr>
          <w:rFonts w:cs="Arial"/>
          <w:rtl/>
        </w:rPr>
        <w:t xml:space="preserve"> </w:t>
      </w:r>
    </w:p>
    <w:p w14:paraId="1B63405D" w14:textId="77777777" w:rsidR="00392DBB" w:rsidRPr="00E26319" w:rsidRDefault="00392DBB" w:rsidP="009000E3">
      <w:pPr>
        <w:pStyle w:val="ab"/>
        <w:numPr>
          <w:ilvl w:val="0"/>
          <w:numId w:val="61"/>
        </w:numPr>
        <w:rPr>
          <w:rtl/>
        </w:rPr>
      </w:pPr>
      <w:r>
        <w:rPr>
          <w:rFonts w:cs="Arial" w:hint="cs"/>
          <w:rtl/>
        </w:rPr>
        <w:t>רמב"ם</w:t>
      </w:r>
      <w:r>
        <w:rPr>
          <w:rFonts w:cs="Arial" w:hint="cs"/>
          <w:sz w:val="16"/>
          <w:szCs w:val="16"/>
          <w:rtl/>
        </w:rPr>
        <w:t xml:space="preserve"> (פי"ז הט"ו)</w:t>
      </w:r>
      <w:r>
        <w:rPr>
          <w:rFonts w:cs="Arial" w:hint="cs"/>
          <w:rtl/>
        </w:rPr>
        <w:t xml:space="preserve">- </w:t>
      </w:r>
      <w:r w:rsidRPr="0082504A">
        <w:rPr>
          <w:rFonts w:cs="Arial"/>
          <w:rtl/>
        </w:rPr>
        <w:t>היתה כתובתה מאה ומכרה שוה מאה ודינר במאה מכרה בטל, ואפילו אמרה אני אחזיר את הדינר ליורשים מכרה בטל</w:t>
      </w:r>
      <w:r>
        <w:rPr>
          <w:rFonts w:hint="cs"/>
          <w:rtl/>
        </w:rPr>
        <w:t xml:space="preserve">. </w:t>
      </w:r>
      <w:r w:rsidRPr="007B16F4">
        <w:rPr>
          <w:rFonts w:hint="cs"/>
          <w:color w:val="E36C0A" w:themeColor="accent6" w:themeShade="BF"/>
          <w:rtl/>
        </w:rPr>
        <w:t>(וכ"פ בשו"ע)</w:t>
      </w:r>
    </w:p>
    <w:p w14:paraId="49A8EA27"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02BC71C" w14:textId="77777777" w:rsidR="00392DBB" w:rsidRDefault="00392DBB" w:rsidP="00392DBB">
      <w:pPr>
        <w:rPr>
          <w:rFonts w:cs="Arial"/>
          <w:rtl/>
        </w:rPr>
      </w:pPr>
      <w:r>
        <w:rPr>
          <w:rFonts w:cs="Arial"/>
          <w:rtl/>
        </w:rPr>
        <w:t>היתה כתובתה מאה ומכרה שוה מאה ודינר במאה, מכרה בטל</w:t>
      </w:r>
      <w:r>
        <w:rPr>
          <w:rStyle w:val="a7"/>
          <w:rFonts w:cs="Arial"/>
          <w:rtl/>
        </w:rPr>
        <w:footnoteReference w:id="2251"/>
      </w:r>
      <w:r>
        <w:rPr>
          <w:rFonts w:cs="Arial"/>
          <w:rtl/>
        </w:rPr>
        <w:t>. ואפי</w:t>
      </w:r>
      <w:r>
        <w:rPr>
          <w:rFonts w:cs="Arial" w:hint="cs"/>
          <w:rtl/>
        </w:rPr>
        <w:t>לו</w:t>
      </w:r>
      <w:r>
        <w:rPr>
          <w:rFonts w:cs="Arial"/>
          <w:rtl/>
        </w:rPr>
        <w:t xml:space="preserve"> היא אומרת: אני אחזיר את הדינר ליורשים. </w:t>
      </w:r>
    </w:p>
    <w:p w14:paraId="5A82816B" w14:textId="77777777" w:rsidR="00392DBB" w:rsidRDefault="00392DBB" w:rsidP="00392DBB">
      <w:pPr>
        <w:rPr>
          <w:rtl/>
        </w:rPr>
      </w:pPr>
    </w:p>
    <w:p w14:paraId="5BABD6A3" w14:textId="77777777" w:rsidR="00392DBB" w:rsidRDefault="00392DBB" w:rsidP="000F64D0">
      <w:pPr>
        <w:pStyle w:val="2"/>
        <w:rPr>
          <w:rtl/>
        </w:rPr>
      </w:pPr>
      <w:r>
        <w:rPr>
          <w:rtl/>
        </w:rPr>
        <w:t>סעיף ח</w:t>
      </w:r>
      <w:r>
        <w:rPr>
          <w:rFonts w:hint="cs"/>
          <w:rtl/>
        </w:rPr>
        <w:t>: מכרה למספר אנשים שוה בשוה ובאחד מהם טעתה.</w:t>
      </w:r>
    </w:p>
    <w:p w14:paraId="6A561337" w14:textId="77777777" w:rsidR="00392DBB" w:rsidRDefault="00392DBB" w:rsidP="00392DBB">
      <w:pPr>
        <w:rPr>
          <w:rFonts w:cs="Arial"/>
          <w:rtl/>
        </w:rPr>
      </w:pPr>
      <w:r w:rsidRPr="00EC2DBD">
        <w:rPr>
          <w:rFonts w:hint="cs"/>
          <w:b/>
          <w:bCs/>
          <w:rtl/>
        </w:rPr>
        <w:t xml:space="preserve">כתובות </w:t>
      </w:r>
      <w:r w:rsidRPr="00EC2DBD">
        <w:rPr>
          <w:rFonts w:hint="cs"/>
          <w:b/>
          <w:bCs/>
          <w:sz w:val="16"/>
          <w:szCs w:val="16"/>
          <w:rtl/>
        </w:rPr>
        <w:t xml:space="preserve">(פ' אלמנה נזונת) </w:t>
      </w:r>
      <w:r w:rsidRPr="00EC2DBD">
        <w:rPr>
          <w:rFonts w:hint="cs"/>
          <w:b/>
          <w:bCs/>
          <w:rtl/>
        </w:rPr>
        <w:t>צ</w:t>
      </w:r>
      <w:r>
        <w:rPr>
          <w:rFonts w:hint="cs"/>
          <w:b/>
          <w:bCs/>
          <w:rtl/>
        </w:rPr>
        <w:t>ט</w:t>
      </w:r>
      <w:r w:rsidRPr="00EC2DBD">
        <w:rPr>
          <w:rFonts w:hint="cs"/>
          <w:b/>
          <w:bCs/>
          <w:rtl/>
        </w:rPr>
        <w:t xml:space="preserve"> ע"</w:t>
      </w:r>
      <w:r>
        <w:rPr>
          <w:rFonts w:hint="cs"/>
          <w:b/>
          <w:bCs/>
          <w:rtl/>
        </w:rPr>
        <w:t>א</w:t>
      </w:r>
      <w:r w:rsidRPr="00EC2DBD">
        <w:rPr>
          <w:rFonts w:hint="cs"/>
          <w:b/>
          <w:bCs/>
          <w:rtl/>
        </w:rPr>
        <w:t>:</w:t>
      </w:r>
      <w:r>
        <w:rPr>
          <w:rFonts w:cs="Arial" w:hint="cs"/>
          <w:rtl/>
        </w:rPr>
        <w:t xml:space="preserve"> </w:t>
      </w:r>
      <w:r w:rsidRPr="00B35C87">
        <w:rPr>
          <w:rFonts w:cs="Arial"/>
          <w:rtl/>
        </w:rPr>
        <w:t>כי תיבעי לך - דאמר ליה זיל זבין לי כורא, ואזיל וזבין ליה ליתכא</w:t>
      </w:r>
      <w:r>
        <w:rPr>
          <w:rStyle w:val="a7"/>
          <w:rFonts w:cs="Arial"/>
          <w:rtl/>
        </w:rPr>
        <w:footnoteReference w:id="2252"/>
      </w:r>
      <w:r w:rsidRPr="00B35C87">
        <w:rPr>
          <w:rFonts w:cs="Arial"/>
          <w:rtl/>
        </w:rPr>
        <w:t>, מאי? מי אמרינן, א"ל: דטבא לך עבדי לך, דאי לא מצטרכי לך זוזי</w:t>
      </w:r>
      <w:r>
        <w:rPr>
          <w:rStyle w:val="a7"/>
          <w:rFonts w:cs="Arial"/>
          <w:rtl/>
        </w:rPr>
        <w:footnoteReference w:id="2253"/>
      </w:r>
      <w:r w:rsidRPr="00B35C87">
        <w:rPr>
          <w:rFonts w:cs="Arial"/>
          <w:rtl/>
        </w:rPr>
        <w:t xml:space="preserve"> לא מצית הדרת ביה, או דלמא אמר ליה: לא ניחא לי דליפשו שטרי </w:t>
      </w:r>
      <w:r w:rsidRPr="00B35C87">
        <w:rPr>
          <w:rFonts w:cs="Arial"/>
          <w:rtl/>
        </w:rPr>
        <w:lastRenderedPageBreak/>
        <w:t>עילואי?</w:t>
      </w:r>
      <w:r>
        <w:rPr>
          <w:rFonts w:cs="Arial" w:hint="cs"/>
          <w:rtl/>
        </w:rPr>
        <w:t>...</w:t>
      </w:r>
      <w:r>
        <w:rPr>
          <w:rFonts w:hint="cs"/>
          <w:sz w:val="14"/>
          <w:szCs w:val="14"/>
          <w:rtl/>
        </w:rPr>
        <w:t xml:space="preserve"> (צט:)</w:t>
      </w:r>
      <w:r w:rsidRPr="00044BB5">
        <w:rPr>
          <w:rtl/>
        </w:rPr>
        <w:t xml:space="preserve"> </w:t>
      </w:r>
      <w:r w:rsidRPr="00044BB5">
        <w:rPr>
          <w:rFonts w:cs="Arial"/>
          <w:rtl/>
        </w:rPr>
        <w:t>ת"ש: היתה כתובתה ארבע מאות זוז, מכרה לזה במנה ולזה במנה, ולאחרון יפה מנה ודינר במנה, של אחרון - בטל, ושל כולן - מכרן קיים</w:t>
      </w:r>
      <w:r>
        <w:rPr>
          <w:rStyle w:val="a7"/>
          <w:rFonts w:cs="Arial"/>
          <w:rtl/>
        </w:rPr>
        <w:footnoteReference w:id="2254"/>
      </w:r>
      <w:r w:rsidRPr="00044BB5">
        <w:rPr>
          <w:rFonts w:cs="Arial"/>
          <w:rtl/>
        </w:rPr>
        <w:t>! כדאמר רב שישא בריה דרב אידי: בקטיני</w:t>
      </w:r>
      <w:r>
        <w:rPr>
          <w:rStyle w:val="a7"/>
          <w:rFonts w:cs="Arial"/>
          <w:rtl/>
        </w:rPr>
        <w:footnoteReference w:id="2255"/>
      </w:r>
      <w:r w:rsidRPr="00044BB5">
        <w:rPr>
          <w:rFonts w:cs="Arial"/>
          <w:rtl/>
        </w:rPr>
        <w:t>, הכא נמי בקטיני.</w:t>
      </w:r>
    </w:p>
    <w:p w14:paraId="032C0352" w14:textId="4D8468D1" w:rsidR="00392DBB" w:rsidRPr="00403403" w:rsidRDefault="00392DBB" w:rsidP="00392DBB">
      <w:pPr>
        <w:rPr>
          <w:rFonts w:cs="Arial"/>
          <w:u w:val="single"/>
          <w:rtl/>
        </w:rPr>
      </w:pPr>
      <w:r>
        <w:rPr>
          <w:rFonts w:cs="Arial" w:hint="cs"/>
          <w:u w:val="single"/>
          <w:rtl/>
        </w:rPr>
        <w:t>מיש אמר לשלוחו</w:t>
      </w:r>
      <w:r w:rsidRPr="00403403">
        <w:rPr>
          <w:rFonts w:cs="Arial"/>
          <w:u w:val="single"/>
          <w:rtl/>
        </w:rPr>
        <w:t xml:space="preserve"> </w:t>
      </w:r>
      <w:r>
        <w:rPr>
          <w:rFonts w:cs="Arial" w:hint="cs"/>
          <w:u w:val="single"/>
          <w:rtl/>
        </w:rPr>
        <w:t>'</w:t>
      </w:r>
      <w:r w:rsidRPr="00403403">
        <w:rPr>
          <w:rFonts w:cs="Arial"/>
          <w:u w:val="single"/>
          <w:rtl/>
        </w:rPr>
        <w:t>זיל זבין לי כורא</w:t>
      </w:r>
      <w:r>
        <w:rPr>
          <w:rFonts w:cs="Arial" w:hint="cs"/>
          <w:u w:val="single"/>
          <w:rtl/>
        </w:rPr>
        <w:t>'</w:t>
      </w:r>
      <w:r w:rsidRPr="00403403">
        <w:rPr>
          <w:rFonts w:cs="Arial"/>
          <w:u w:val="single"/>
          <w:rtl/>
        </w:rPr>
        <w:t>, ואזיל וזבין ליה ליתכא</w:t>
      </w:r>
      <w:r w:rsidRPr="00403403">
        <w:rPr>
          <w:rFonts w:cs="Arial" w:hint="cs"/>
          <w:u w:val="single"/>
          <w:rtl/>
        </w:rPr>
        <w:t xml:space="preserve"> </w:t>
      </w:r>
      <w:r w:rsidR="00F97626">
        <w:rPr>
          <w:rFonts w:cs="Arial"/>
          <w:u w:val="single"/>
          <w:rtl/>
        </w:rPr>
        <w:t>-</w:t>
      </w:r>
      <w:r w:rsidRPr="00403403">
        <w:rPr>
          <w:rFonts w:cs="Arial" w:hint="cs"/>
          <w:u w:val="single"/>
          <w:rtl/>
        </w:rPr>
        <w:t xml:space="preserve"> האם המכר קיים:</w:t>
      </w:r>
      <w:r w:rsidRPr="00403403">
        <w:rPr>
          <w:rFonts w:cs="Arial"/>
          <w:u w:val="single"/>
          <w:rtl/>
        </w:rPr>
        <w:t xml:space="preserve">  </w:t>
      </w:r>
    </w:p>
    <w:p w14:paraId="4A880833" w14:textId="77777777" w:rsidR="00392DBB" w:rsidRPr="00152DF5" w:rsidRDefault="00392DBB" w:rsidP="009000E3">
      <w:pPr>
        <w:pStyle w:val="ab"/>
        <w:numPr>
          <w:ilvl w:val="0"/>
          <w:numId w:val="61"/>
        </w:numPr>
      </w:pPr>
      <w:r>
        <w:rPr>
          <w:rFonts w:cs="Arial" w:hint="cs"/>
          <w:rtl/>
        </w:rPr>
        <w:t xml:space="preserve">רי"ף </w:t>
      </w:r>
      <w:r w:rsidRPr="00403403">
        <w:rPr>
          <w:rFonts w:cs="Arial"/>
          <w:sz w:val="16"/>
          <w:szCs w:val="16"/>
          <w:rtl/>
        </w:rPr>
        <w:t>(נז:)</w:t>
      </w:r>
      <w:r>
        <w:rPr>
          <w:rFonts w:cs="Arial" w:hint="cs"/>
          <w:rtl/>
        </w:rPr>
        <w:t xml:space="preserve"> ורמב"ם</w:t>
      </w:r>
      <w:r>
        <w:rPr>
          <w:rFonts w:cs="Arial" w:hint="cs"/>
          <w:sz w:val="16"/>
          <w:szCs w:val="16"/>
          <w:rtl/>
        </w:rPr>
        <w:t xml:space="preserve"> (פ"א משלוחין ה"ד)</w:t>
      </w:r>
      <w:r>
        <w:rPr>
          <w:rFonts w:cs="Arial" w:hint="cs"/>
          <w:rtl/>
        </w:rPr>
        <w:t>-</w:t>
      </w:r>
      <w:r>
        <w:rPr>
          <w:rFonts w:cs="Arial"/>
          <w:rtl/>
        </w:rPr>
        <w:t xml:space="preserve"> </w:t>
      </w:r>
      <w:r w:rsidRPr="00031435">
        <w:rPr>
          <w:rFonts w:cs="Arial"/>
          <w:rtl/>
        </w:rPr>
        <w:t>מכור לי כורא וזבין לי</w:t>
      </w:r>
      <w:r>
        <w:rPr>
          <w:rFonts w:cs="Arial" w:hint="cs"/>
          <w:rtl/>
        </w:rPr>
        <w:t>ה</w:t>
      </w:r>
      <w:r w:rsidRPr="00031435">
        <w:rPr>
          <w:rFonts w:cs="Arial"/>
          <w:rtl/>
        </w:rPr>
        <w:t xml:space="preserve"> ליתכא </w:t>
      </w:r>
      <w:r>
        <w:rPr>
          <w:rFonts w:cs="Arial" w:hint="cs"/>
          <w:rtl/>
        </w:rPr>
        <w:t xml:space="preserve">- </w:t>
      </w:r>
      <w:r w:rsidRPr="00031435">
        <w:rPr>
          <w:rFonts w:cs="Arial"/>
          <w:rtl/>
        </w:rPr>
        <w:t>המכר בטל</w:t>
      </w:r>
      <w:r>
        <w:rPr>
          <w:rFonts w:cs="Arial" w:hint="cs"/>
          <w:rtl/>
        </w:rPr>
        <w:t>,</w:t>
      </w:r>
      <w:r w:rsidRPr="00031435">
        <w:rPr>
          <w:rFonts w:cs="Arial"/>
          <w:rtl/>
        </w:rPr>
        <w:t xml:space="preserve"> שחשוב כמעביר על דבריו</w:t>
      </w:r>
      <w:r>
        <w:rPr>
          <w:rFonts w:cs="Arial" w:hint="cs"/>
          <w:rtl/>
        </w:rPr>
        <w:t>.</w:t>
      </w:r>
      <w:r w:rsidRPr="00031435">
        <w:rPr>
          <w:rFonts w:cs="Arial"/>
          <w:rtl/>
        </w:rPr>
        <w:t xml:space="preserve"> </w:t>
      </w:r>
      <w:r w:rsidRPr="00DB7F47">
        <w:rPr>
          <w:rFonts w:hint="cs"/>
          <w:color w:val="E36C0A" w:themeColor="accent6" w:themeShade="BF"/>
          <w:rtl/>
        </w:rPr>
        <w:t>(וכ"פ בשו"ע</w:t>
      </w:r>
      <w:r w:rsidRPr="00DB7F47">
        <w:rPr>
          <w:rFonts w:hint="cs"/>
          <w:color w:val="E36C0A" w:themeColor="accent6" w:themeShade="BF"/>
          <w:sz w:val="16"/>
          <w:szCs w:val="16"/>
          <w:rtl/>
        </w:rPr>
        <w:t xml:space="preserve"> </w:t>
      </w:r>
      <w:r>
        <w:rPr>
          <w:rFonts w:hint="cs"/>
          <w:sz w:val="16"/>
          <w:szCs w:val="16"/>
          <w:rtl/>
        </w:rPr>
        <w:t>[בחו"מ סי' קפב ס"ט]</w:t>
      </w:r>
      <w:r w:rsidRPr="00DB7F47">
        <w:rPr>
          <w:rFonts w:hint="cs"/>
          <w:color w:val="E36C0A" w:themeColor="accent6" w:themeShade="BF"/>
          <w:rtl/>
        </w:rPr>
        <w:t>)</w:t>
      </w:r>
    </w:p>
    <w:p w14:paraId="5FAF7B32" w14:textId="77777777" w:rsidR="00392DBB" w:rsidRPr="00403403" w:rsidRDefault="00392DBB" w:rsidP="009000E3">
      <w:pPr>
        <w:pStyle w:val="ab"/>
        <w:numPr>
          <w:ilvl w:val="0"/>
          <w:numId w:val="61"/>
        </w:numPr>
        <w:rPr>
          <w:rtl/>
        </w:rPr>
      </w:pPr>
      <w:r w:rsidRPr="00031435">
        <w:rPr>
          <w:rFonts w:cs="Arial"/>
          <w:rtl/>
        </w:rPr>
        <w:t xml:space="preserve">רב האי </w:t>
      </w:r>
      <w:r w:rsidRPr="009139F8">
        <w:rPr>
          <w:rFonts w:cs="Arial"/>
          <w:sz w:val="16"/>
          <w:szCs w:val="16"/>
          <w:rtl/>
        </w:rPr>
        <w:t>(ס' המקח והממכר שער ו</w:t>
      </w:r>
      <w:r>
        <w:rPr>
          <w:rFonts w:cs="Arial" w:hint="cs"/>
          <w:sz w:val="16"/>
          <w:szCs w:val="16"/>
          <w:rtl/>
        </w:rPr>
        <w:t>, הביאוהו הרא"ש [פי"א סי' טו] והטור</w:t>
      </w:r>
      <w:r w:rsidRPr="009139F8">
        <w:rPr>
          <w:rFonts w:cs="Arial"/>
          <w:sz w:val="16"/>
          <w:szCs w:val="16"/>
          <w:rtl/>
        </w:rPr>
        <w:t>)</w:t>
      </w:r>
      <w:r>
        <w:rPr>
          <w:rFonts w:cs="Arial" w:hint="cs"/>
          <w:rtl/>
        </w:rPr>
        <w:t xml:space="preserve">- </w:t>
      </w:r>
      <w:r w:rsidRPr="00031435">
        <w:rPr>
          <w:rFonts w:cs="Arial"/>
          <w:rtl/>
        </w:rPr>
        <w:t xml:space="preserve">מכור לי כורא וזבין ליה לתכא </w:t>
      </w:r>
      <w:r>
        <w:rPr>
          <w:rFonts w:cs="Arial" w:hint="cs"/>
          <w:rtl/>
        </w:rPr>
        <w:t xml:space="preserve">- </w:t>
      </w:r>
      <w:r w:rsidRPr="00031435">
        <w:rPr>
          <w:rFonts w:cs="Arial"/>
          <w:rtl/>
        </w:rPr>
        <w:t>המכר קיים</w:t>
      </w:r>
      <w:r>
        <w:rPr>
          <w:rFonts w:cs="Arial" w:hint="cs"/>
          <w:rtl/>
        </w:rPr>
        <w:t>.</w:t>
      </w:r>
      <w:r w:rsidRPr="00031435">
        <w:rPr>
          <w:rFonts w:cs="Arial"/>
          <w:rtl/>
        </w:rPr>
        <w:t xml:space="preserve"> </w:t>
      </w:r>
    </w:p>
    <w:p w14:paraId="6A1628DE" w14:textId="77777777" w:rsidR="00392DBB" w:rsidRPr="00152DF5" w:rsidRDefault="00392DBB" w:rsidP="00392DBB">
      <w:pPr>
        <w:rPr>
          <w:rtl/>
        </w:rPr>
      </w:pPr>
      <w:r w:rsidRPr="009E3B5F">
        <w:rPr>
          <w:rFonts w:hint="cs"/>
          <w:b/>
          <w:bCs/>
          <w:rtl/>
        </w:rPr>
        <w:t xml:space="preserve">כתובות </w:t>
      </w:r>
      <w:r w:rsidRPr="009E3B5F">
        <w:rPr>
          <w:rFonts w:hint="cs"/>
          <w:b/>
          <w:bCs/>
          <w:sz w:val="16"/>
          <w:szCs w:val="16"/>
          <w:rtl/>
        </w:rPr>
        <w:t xml:space="preserve">(פ' אלמנה נזונת) </w:t>
      </w:r>
      <w:r w:rsidRPr="009E3B5F">
        <w:rPr>
          <w:rFonts w:hint="cs"/>
          <w:b/>
          <w:bCs/>
          <w:rtl/>
        </w:rPr>
        <w:t xml:space="preserve">צח ע"א: </w:t>
      </w:r>
      <w:r w:rsidRPr="009E3B5F">
        <w:rPr>
          <w:rFonts w:cs="Arial"/>
          <w:u w:val="double"/>
          <w:rtl/>
        </w:rPr>
        <w:t>מתני'</w:t>
      </w:r>
      <w:r w:rsidRPr="009E3B5F">
        <w:rPr>
          <w:rFonts w:cs="Arial" w:hint="cs"/>
          <w:rtl/>
        </w:rPr>
        <w:t xml:space="preserve">:... </w:t>
      </w:r>
      <w:r w:rsidRPr="009E3B5F">
        <w:rPr>
          <w:rFonts w:cs="Arial"/>
          <w:rtl/>
        </w:rPr>
        <w:t>היתה כתובתה ארבע מאות זוז, ומכרה לזה במנה ולזה במנה, ולאחרון יפה מנה ודינר במנה, של אחרון - בטל, ושל כולן - מכרן קיים.</w:t>
      </w:r>
    </w:p>
    <w:p w14:paraId="6F2AC894" w14:textId="77777777" w:rsidR="00392DBB" w:rsidRPr="00152DF5" w:rsidRDefault="00392DBB" w:rsidP="00392DBB">
      <w:pPr>
        <w:rPr>
          <w:u w:val="single"/>
          <w:rtl/>
        </w:rPr>
      </w:pPr>
      <w:r w:rsidRPr="00152DF5">
        <w:rPr>
          <w:rFonts w:hint="cs"/>
          <w:u w:val="single"/>
          <w:rtl/>
        </w:rPr>
        <w:t xml:space="preserve">מכרה </w:t>
      </w:r>
      <w:r w:rsidRPr="00403403">
        <w:rPr>
          <w:rFonts w:hint="cs"/>
          <w:b/>
          <w:bCs/>
          <w:u w:val="single"/>
          <w:rtl/>
        </w:rPr>
        <w:t>נכסים נפרדים</w:t>
      </w:r>
      <w:r>
        <w:rPr>
          <w:rFonts w:hint="cs"/>
          <w:u w:val="single"/>
          <w:rtl/>
        </w:rPr>
        <w:t xml:space="preserve"> </w:t>
      </w:r>
      <w:r w:rsidRPr="00152DF5">
        <w:rPr>
          <w:rFonts w:hint="cs"/>
          <w:u w:val="single"/>
          <w:rtl/>
        </w:rPr>
        <w:t>למספר אנשים שוה בשוה</w:t>
      </w:r>
      <w:r>
        <w:rPr>
          <w:rFonts w:hint="cs"/>
          <w:u w:val="single"/>
          <w:rtl/>
        </w:rPr>
        <w:t>,</w:t>
      </w:r>
      <w:r w:rsidRPr="00152DF5">
        <w:rPr>
          <w:rFonts w:hint="cs"/>
          <w:u w:val="single"/>
          <w:rtl/>
        </w:rPr>
        <w:t xml:space="preserve"> ובאחד מהם טעתה</w:t>
      </w:r>
      <w:r w:rsidRPr="00152DF5">
        <w:rPr>
          <w:rFonts w:cs="Arial"/>
          <w:u w:val="single"/>
          <w:rtl/>
        </w:rPr>
        <w:t xml:space="preserve"> ומכרה שוה מנה ודינר במנה</w:t>
      </w:r>
      <w:r w:rsidRPr="00152DF5">
        <w:rPr>
          <w:rFonts w:hint="cs"/>
          <w:u w:val="single"/>
          <w:rtl/>
        </w:rPr>
        <w:t>:</w:t>
      </w:r>
    </w:p>
    <w:p w14:paraId="575DC03D" w14:textId="77777777" w:rsidR="00392DBB" w:rsidRDefault="00392DBB" w:rsidP="009000E3">
      <w:pPr>
        <w:pStyle w:val="ab"/>
        <w:numPr>
          <w:ilvl w:val="0"/>
          <w:numId w:val="61"/>
        </w:numPr>
      </w:pPr>
      <w:r>
        <w:rPr>
          <w:rFonts w:cs="Arial" w:hint="cs"/>
          <w:rtl/>
        </w:rPr>
        <w:t xml:space="preserve">טור- </w:t>
      </w:r>
      <w:r w:rsidRPr="00031435">
        <w:rPr>
          <w:rFonts w:cs="Arial"/>
          <w:rtl/>
        </w:rPr>
        <w:t>היתה כתובתה ד' מאות</w:t>
      </w:r>
      <w:r>
        <w:rPr>
          <w:rFonts w:cs="Arial" w:hint="cs"/>
          <w:rtl/>
        </w:rPr>
        <w:t>,</w:t>
      </w:r>
      <w:r w:rsidRPr="00031435">
        <w:rPr>
          <w:rFonts w:cs="Arial"/>
          <w:rtl/>
        </w:rPr>
        <w:t xml:space="preserve"> ומכרה לזה במנה ולזה במנה</w:t>
      </w:r>
      <w:r>
        <w:rPr>
          <w:rFonts w:cs="Arial" w:hint="cs"/>
          <w:rtl/>
        </w:rPr>
        <w:t>,</w:t>
      </w:r>
      <w:r w:rsidRPr="00031435">
        <w:rPr>
          <w:rFonts w:cs="Arial"/>
          <w:rtl/>
        </w:rPr>
        <w:t xml:space="preserve"> ולאחרון שוה מנה ודינר במנה</w:t>
      </w:r>
      <w:r>
        <w:rPr>
          <w:rFonts w:cs="Arial" w:hint="cs"/>
          <w:rtl/>
        </w:rPr>
        <w:t xml:space="preserve">, </w:t>
      </w:r>
      <w:r w:rsidRPr="00031435">
        <w:rPr>
          <w:rFonts w:cs="Arial"/>
          <w:rtl/>
        </w:rPr>
        <w:t xml:space="preserve">הראשונים </w:t>
      </w:r>
      <w:r>
        <w:rPr>
          <w:rFonts w:cs="Arial" w:hint="cs"/>
          <w:rtl/>
        </w:rPr>
        <w:t>- מ</w:t>
      </w:r>
      <w:r w:rsidRPr="00031435">
        <w:rPr>
          <w:rFonts w:cs="Arial"/>
          <w:rtl/>
        </w:rPr>
        <w:t>כרן קיים</w:t>
      </w:r>
      <w:r>
        <w:rPr>
          <w:rFonts w:cs="Arial" w:hint="cs"/>
          <w:rtl/>
        </w:rPr>
        <w:t>,</w:t>
      </w:r>
      <w:r w:rsidRPr="00031435">
        <w:rPr>
          <w:rFonts w:cs="Arial"/>
          <w:rtl/>
        </w:rPr>
        <w:t xml:space="preserve"> והאחרון</w:t>
      </w:r>
      <w:r>
        <w:rPr>
          <w:rFonts w:cs="Arial" w:hint="cs"/>
          <w:rtl/>
        </w:rPr>
        <w:t xml:space="preserve"> - </w:t>
      </w:r>
      <w:r w:rsidRPr="00031435">
        <w:rPr>
          <w:rFonts w:cs="Arial"/>
          <w:rtl/>
        </w:rPr>
        <w:t>מכרו בטל</w:t>
      </w:r>
      <w:r>
        <w:rPr>
          <w:rFonts w:cs="Arial" w:hint="cs"/>
          <w:rtl/>
        </w:rPr>
        <w:t>.</w:t>
      </w:r>
      <w:r w:rsidRPr="00031435">
        <w:rPr>
          <w:rFonts w:cs="Arial"/>
          <w:rtl/>
        </w:rPr>
        <w:t xml:space="preserve"> </w:t>
      </w:r>
      <w:r w:rsidRPr="00BB2C57">
        <w:rPr>
          <w:rFonts w:hint="cs"/>
          <w:color w:val="E36C0A" w:themeColor="accent6" w:themeShade="BF"/>
          <w:rtl/>
        </w:rPr>
        <w:t>(וכ"פ בשו"ע)</w:t>
      </w:r>
    </w:p>
    <w:p w14:paraId="42A4C258" w14:textId="77777777" w:rsidR="00392DBB" w:rsidRPr="00152DF5" w:rsidRDefault="00392DBB" w:rsidP="00392DBB">
      <w:pPr>
        <w:ind w:left="360"/>
        <w:rPr>
          <w:u w:val="dotted"/>
        </w:rPr>
      </w:pPr>
      <w:r w:rsidRPr="00152DF5">
        <w:rPr>
          <w:rFonts w:hint="cs"/>
          <w:u w:val="dotted"/>
          <w:rtl/>
        </w:rPr>
        <w:t>ומה הדין אם מכרה חלקים של שדה אחת:</w:t>
      </w:r>
    </w:p>
    <w:p w14:paraId="45C0902C" w14:textId="11423CBC" w:rsidR="00392DBB" w:rsidRPr="00152DF5" w:rsidRDefault="00392DBB" w:rsidP="009000E3">
      <w:pPr>
        <w:pStyle w:val="ab"/>
        <w:numPr>
          <w:ilvl w:val="0"/>
          <w:numId w:val="61"/>
        </w:numPr>
      </w:pPr>
      <w:r>
        <w:rPr>
          <w:rFonts w:cs="Arial" w:hint="cs"/>
          <w:rtl/>
        </w:rPr>
        <w:t xml:space="preserve">רי"ף </w:t>
      </w:r>
      <w:r w:rsidRPr="00403403">
        <w:rPr>
          <w:rFonts w:cs="Arial"/>
          <w:sz w:val="16"/>
          <w:szCs w:val="16"/>
          <w:rtl/>
        </w:rPr>
        <w:t>(</w:t>
      </w:r>
      <w:r>
        <w:rPr>
          <w:rFonts w:cs="Arial" w:hint="cs"/>
          <w:sz w:val="16"/>
          <w:szCs w:val="16"/>
          <w:rtl/>
        </w:rPr>
        <w:t xml:space="preserve">[נז:] </w:t>
      </w:r>
      <w:r w:rsidRPr="00403403">
        <w:rPr>
          <w:rFonts w:cs="Arial" w:hint="cs"/>
          <w:sz w:val="16"/>
          <w:szCs w:val="16"/>
          <w:rtl/>
        </w:rPr>
        <w:t>להב' הטור</w:t>
      </w:r>
      <w:r w:rsidRPr="00403403">
        <w:rPr>
          <w:rFonts w:cs="Arial"/>
          <w:sz w:val="16"/>
          <w:szCs w:val="16"/>
          <w:rtl/>
        </w:rPr>
        <w:t>)</w:t>
      </w:r>
      <w:r>
        <w:rPr>
          <w:rFonts w:cs="Arial" w:hint="cs"/>
          <w:rtl/>
        </w:rPr>
        <w:t>-</w:t>
      </w:r>
      <w:r>
        <w:rPr>
          <w:rFonts w:cs="Arial"/>
          <w:rtl/>
        </w:rPr>
        <w:t xml:space="preserve"> </w:t>
      </w:r>
      <w:r>
        <w:rPr>
          <w:rFonts w:cs="Arial" w:hint="cs"/>
          <w:rtl/>
        </w:rPr>
        <w:t>כיון שב</w:t>
      </w:r>
      <w:r w:rsidRPr="00031435">
        <w:rPr>
          <w:rFonts w:cs="Arial"/>
          <w:rtl/>
        </w:rPr>
        <w:t xml:space="preserve">מכור לי כורא וזבין לי' ליתכא המכר בטל שחשוב כמעביר על דבריו </w:t>
      </w:r>
      <w:r>
        <w:rPr>
          <w:rFonts w:cs="Arial" w:hint="cs"/>
          <w:rtl/>
        </w:rPr>
        <w:t xml:space="preserve">- </w:t>
      </w:r>
      <w:r w:rsidRPr="00031435">
        <w:rPr>
          <w:rFonts w:cs="Arial"/>
          <w:rtl/>
        </w:rPr>
        <w:t>אפי' הראשונים מכרן בטל אם עשה לכל אחד ואחד שטר בפני עצמו</w:t>
      </w:r>
      <w:r>
        <w:rPr>
          <w:rFonts w:cs="Arial" w:hint="cs"/>
          <w:rtl/>
        </w:rPr>
        <w:t>.</w:t>
      </w:r>
      <w:r w:rsidRPr="00031435">
        <w:rPr>
          <w:rFonts w:cs="Arial"/>
          <w:rtl/>
        </w:rPr>
        <w:t xml:space="preserve"> אא</w:t>
      </w:r>
      <w:r>
        <w:rPr>
          <w:rFonts w:cs="Arial" w:hint="cs"/>
          <w:rtl/>
        </w:rPr>
        <w:t>"</w:t>
      </w:r>
      <w:r w:rsidRPr="00031435">
        <w:rPr>
          <w:rFonts w:cs="Arial"/>
          <w:rtl/>
        </w:rPr>
        <w:t>כ מכרה לכולם בשטר אחד</w:t>
      </w:r>
      <w:r>
        <w:rPr>
          <w:rFonts w:cs="Arial" w:hint="cs"/>
          <w:rtl/>
        </w:rPr>
        <w:t xml:space="preserve">, </w:t>
      </w:r>
      <w:r w:rsidRPr="00031435">
        <w:rPr>
          <w:rFonts w:cs="Arial"/>
          <w:rtl/>
        </w:rPr>
        <w:t>אז מכר הראשונים קיים</w:t>
      </w:r>
      <w:r w:rsidR="002F698C">
        <w:rPr>
          <w:rFonts w:cs="Arial" w:hint="cs"/>
          <w:sz w:val="16"/>
          <w:szCs w:val="16"/>
          <w:rtl/>
        </w:rPr>
        <w:t xml:space="preserve"> (ל' הטור בשמו)</w:t>
      </w:r>
      <w:r>
        <w:rPr>
          <w:rStyle w:val="a7"/>
          <w:rFonts w:cs="Arial"/>
          <w:rtl/>
        </w:rPr>
        <w:footnoteReference w:id="2256"/>
      </w:r>
      <w:r>
        <w:rPr>
          <w:rFonts w:cs="Arial" w:hint="cs"/>
          <w:rtl/>
        </w:rPr>
        <w:t>.</w:t>
      </w:r>
      <w:r w:rsidRPr="00031435">
        <w:rPr>
          <w:rFonts w:cs="Arial"/>
          <w:rtl/>
        </w:rPr>
        <w:t xml:space="preserve"> </w:t>
      </w:r>
    </w:p>
    <w:p w14:paraId="0767B889" w14:textId="7C8082DC" w:rsidR="00392DBB" w:rsidRDefault="00392DBB" w:rsidP="009000E3">
      <w:pPr>
        <w:pStyle w:val="ab"/>
        <w:numPr>
          <w:ilvl w:val="0"/>
          <w:numId w:val="61"/>
        </w:numPr>
      </w:pPr>
      <w:r w:rsidRPr="00031435">
        <w:rPr>
          <w:rFonts w:cs="Arial"/>
          <w:rtl/>
        </w:rPr>
        <w:t xml:space="preserve">רב האי </w:t>
      </w:r>
      <w:r w:rsidRPr="009139F8">
        <w:rPr>
          <w:rFonts w:cs="Arial"/>
          <w:sz w:val="16"/>
          <w:szCs w:val="16"/>
          <w:rtl/>
        </w:rPr>
        <w:t>(ס' המקח והממכר שער ו)</w:t>
      </w:r>
      <w:r>
        <w:rPr>
          <w:rFonts w:cs="Arial" w:hint="cs"/>
          <w:rtl/>
        </w:rPr>
        <w:t xml:space="preserve"> ורא"ש </w:t>
      </w:r>
      <w:r>
        <w:rPr>
          <w:rFonts w:cs="Arial" w:hint="cs"/>
          <w:sz w:val="16"/>
          <w:szCs w:val="16"/>
          <w:rtl/>
        </w:rPr>
        <w:t>(פי"א סי' טו, כ"כ הטור בשמו</w:t>
      </w:r>
      <w:r w:rsidRPr="009139F8">
        <w:rPr>
          <w:rStyle w:val="a7"/>
          <w:rFonts w:cs="Arial"/>
          <w:rtl/>
        </w:rPr>
        <w:footnoteReference w:id="2257"/>
      </w:r>
      <w:r>
        <w:rPr>
          <w:rFonts w:cs="Arial" w:hint="cs"/>
          <w:sz w:val="16"/>
          <w:szCs w:val="16"/>
          <w:rtl/>
        </w:rPr>
        <w:t>)</w:t>
      </w:r>
      <w:r>
        <w:rPr>
          <w:rFonts w:cs="Arial" w:hint="cs"/>
          <w:rtl/>
        </w:rPr>
        <w:t>-</w:t>
      </w:r>
      <w:r w:rsidRPr="00031435">
        <w:rPr>
          <w:rFonts w:cs="Arial"/>
          <w:rtl/>
        </w:rPr>
        <w:t xml:space="preserve"> </w:t>
      </w:r>
      <w:r>
        <w:rPr>
          <w:rFonts w:cs="Arial" w:hint="cs"/>
          <w:rtl/>
        </w:rPr>
        <w:t>כיון ש</w:t>
      </w:r>
      <w:r w:rsidRPr="00031435">
        <w:rPr>
          <w:rFonts w:cs="Arial"/>
          <w:rtl/>
        </w:rPr>
        <w:t xml:space="preserve">במכור לי כורא וזבין ליה לתכא המכר קיים </w:t>
      </w:r>
      <w:r>
        <w:rPr>
          <w:rFonts w:cs="Arial" w:hint="cs"/>
          <w:rtl/>
        </w:rPr>
        <w:t>-</w:t>
      </w:r>
      <w:r w:rsidRPr="00031435">
        <w:rPr>
          <w:rFonts w:cs="Arial"/>
          <w:rtl/>
        </w:rPr>
        <w:t xml:space="preserve"> אפילו מכרה לד' בד' שטרות הראשונים מכרן קיים לבד מהאחרון</w:t>
      </w:r>
      <w:r w:rsidR="008B53D3">
        <w:rPr>
          <w:rFonts w:cs="Arial" w:hint="cs"/>
          <w:sz w:val="16"/>
          <w:szCs w:val="16"/>
          <w:rtl/>
        </w:rPr>
        <w:t xml:space="preserve"> (ל' הטור)</w:t>
      </w:r>
      <w:r>
        <w:rPr>
          <w:rStyle w:val="a7"/>
          <w:rFonts w:cs="Arial"/>
          <w:rtl/>
        </w:rPr>
        <w:footnoteReference w:id="2258"/>
      </w:r>
      <w:r>
        <w:rPr>
          <w:rFonts w:hint="cs"/>
          <w:rtl/>
        </w:rPr>
        <w:t>.</w:t>
      </w:r>
    </w:p>
    <w:p w14:paraId="311F1D5D" w14:textId="77777777" w:rsidR="00392DBB" w:rsidRPr="00E26319" w:rsidRDefault="00392DBB" w:rsidP="009000E3">
      <w:pPr>
        <w:pStyle w:val="ab"/>
        <w:numPr>
          <w:ilvl w:val="0"/>
          <w:numId w:val="61"/>
        </w:numPr>
        <w:rPr>
          <w:rtl/>
        </w:rPr>
      </w:pPr>
      <w:r>
        <w:rPr>
          <w:rFonts w:hint="cs"/>
          <w:rtl/>
        </w:rPr>
        <w:t xml:space="preserve">רמב"ם </w:t>
      </w:r>
      <w:r>
        <w:rPr>
          <w:rFonts w:hint="cs"/>
          <w:sz w:val="16"/>
          <w:szCs w:val="16"/>
          <w:rtl/>
        </w:rPr>
        <w:t>([פי"ז מאישות הט"ז] להב' הב"י</w:t>
      </w:r>
      <w:r>
        <w:rPr>
          <w:rStyle w:val="a7"/>
          <w:rtl/>
        </w:rPr>
        <w:footnoteReference w:id="2259"/>
      </w:r>
      <w:r>
        <w:rPr>
          <w:rFonts w:hint="cs"/>
          <w:sz w:val="16"/>
          <w:szCs w:val="16"/>
          <w:rtl/>
        </w:rPr>
        <w:t>)</w:t>
      </w:r>
      <w:r>
        <w:rPr>
          <w:rFonts w:hint="cs"/>
          <w:rtl/>
        </w:rPr>
        <w:t xml:space="preserve">- אע"ג </w:t>
      </w:r>
      <w:r>
        <w:rPr>
          <w:rFonts w:cs="Arial" w:hint="cs"/>
          <w:rtl/>
        </w:rPr>
        <w:t>שב</w:t>
      </w:r>
      <w:r w:rsidRPr="00031435">
        <w:rPr>
          <w:rFonts w:cs="Arial"/>
          <w:rtl/>
        </w:rPr>
        <w:t>מכור לי כורא וזבין לי' ליתכא המכר בטל שחשוב כמעביר על דבריו</w:t>
      </w:r>
      <w:r>
        <w:rPr>
          <w:rFonts w:hint="cs"/>
          <w:rtl/>
        </w:rPr>
        <w:t xml:space="preserve">, </w:t>
      </w:r>
      <w:r>
        <w:rPr>
          <w:rFonts w:cs="Arial" w:hint="cs"/>
          <w:rtl/>
        </w:rPr>
        <w:t xml:space="preserve">מכל מקום </w:t>
      </w:r>
      <w:r w:rsidRPr="000E61EB">
        <w:rPr>
          <w:rFonts w:cs="Arial"/>
          <w:rtl/>
        </w:rPr>
        <w:t xml:space="preserve">אלמנה שמכרה אפילו שדה אחת לד' בני אדם בד' שטרות </w:t>
      </w:r>
      <w:r>
        <w:rPr>
          <w:rFonts w:cs="Arial" w:hint="cs"/>
          <w:rtl/>
        </w:rPr>
        <w:t xml:space="preserve">- </w:t>
      </w:r>
      <w:r w:rsidRPr="000E61EB">
        <w:rPr>
          <w:rFonts w:cs="Arial"/>
          <w:rtl/>
        </w:rPr>
        <w:t>מכרה קיים</w:t>
      </w:r>
      <w:r>
        <w:rPr>
          <w:rFonts w:cs="Arial" w:hint="cs"/>
          <w:rtl/>
        </w:rPr>
        <w:t>, ד</w:t>
      </w:r>
      <w:r w:rsidRPr="000E61EB">
        <w:rPr>
          <w:rFonts w:cs="Arial"/>
          <w:rtl/>
        </w:rPr>
        <w:t>ליכא למיחש</w:t>
      </w:r>
      <w:r>
        <w:rPr>
          <w:rFonts w:cs="Arial" w:hint="cs"/>
          <w:rtl/>
        </w:rPr>
        <w:t xml:space="preserve"> אצלה</w:t>
      </w:r>
      <w:r w:rsidRPr="000E61EB">
        <w:rPr>
          <w:rFonts w:cs="Arial"/>
          <w:rtl/>
        </w:rPr>
        <w:t xml:space="preserve"> לאפושי שטרי</w:t>
      </w:r>
      <w:r>
        <w:rPr>
          <w:rFonts w:cs="Arial" w:hint="cs"/>
          <w:rtl/>
        </w:rPr>
        <w:t>,</w:t>
      </w:r>
      <w:r w:rsidRPr="00642E2F">
        <w:rPr>
          <w:rFonts w:cs="Arial" w:hint="cs"/>
          <w:rtl/>
        </w:rPr>
        <w:t xml:space="preserve"> </w:t>
      </w:r>
      <w:r w:rsidRPr="000E61EB">
        <w:rPr>
          <w:rFonts w:cs="Arial"/>
          <w:rtl/>
        </w:rPr>
        <w:t>דאלמנה לאו שליחותא דיתמי קא עבדה דהא נכסי בחזקת אלמנה קיימי</w:t>
      </w:r>
      <w:r>
        <w:rPr>
          <w:rFonts w:cs="Arial" w:hint="cs"/>
          <w:sz w:val="16"/>
          <w:szCs w:val="16"/>
          <w:rtl/>
        </w:rPr>
        <w:t xml:space="preserve"> (ע"פ ל' הב"י בשם הרמב"ם)</w:t>
      </w:r>
      <w:r>
        <w:rPr>
          <w:rFonts w:cs="Arial" w:hint="cs"/>
          <w:rtl/>
        </w:rPr>
        <w:t>.</w:t>
      </w:r>
      <w:r>
        <w:rPr>
          <w:rFonts w:hint="cs"/>
          <w:rtl/>
        </w:rPr>
        <w:t xml:space="preserve"> </w:t>
      </w:r>
      <w:r w:rsidRPr="00BB2C57">
        <w:rPr>
          <w:rFonts w:hint="cs"/>
          <w:color w:val="E36C0A" w:themeColor="accent6" w:themeShade="BF"/>
          <w:rtl/>
        </w:rPr>
        <w:t>(וכ"פ בשו"ע)</w:t>
      </w:r>
    </w:p>
    <w:p w14:paraId="11B6381A"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6930395" w14:textId="77777777" w:rsidR="00392DBB" w:rsidRPr="007A3469" w:rsidRDefault="00392DBB" w:rsidP="00392DBB">
      <w:pPr>
        <w:rPr>
          <w:rtl/>
        </w:rPr>
        <w:sectPr w:rsidR="00392DBB" w:rsidRPr="007A3469" w:rsidSect="00A347B3">
          <w:headerReference w:type="default" r:id="rId47"/>
          <w:footnotePr>
            <w:numRestart w:val="eachSect"/>
          </w:footnotePr>
          <w:pgSz w:w="11906" w:h="16838"/>
          <w:pgMar w:top="720" w:right="1134" w:bottom="720" w:left="1134" w:header="0" w:footer="0" w:gutter="0"/>
          <w:cols w:space="720"/>
          <w:bidi/>
          <w:rtlGutter/>
          <w:docGrid w:linePitch="360"/>
        </w:sectPr>
      </w:pPr>
      <w:r>
        <w:rPr>
          <w:rFonts w:cs="Arial"/>
          <w:rtl/>
        </w:rPr>
        <w:t>היתה כתובתה ארבע מאות זוז, ומכרה לזה מנה שוה בשוה, וכן לשני, וכן לשלישי, ומכרה לרביעי שוה מנה ודינר, במנה של רביעי בלבד מכרה בטל.</w:t>
      </w:r>
    </w:p>
    <w:p w14:paraId="20FD1F35" w14:textId="77777777" w:rsidR="00392DBB" w:rsidRDefault="00392DBB" w:rsidP="00392DBB">
      <w:pPr>
        <w:pStyle w:val="1"/>
        <w:rPr>
          <w:rtl/>
        </w:rPr>
      </w:pPr>
      <w:r>
        <w:rPr>
          <w:rFonts w:hint="cs"/>
          <w:rtl/>
        </w:rPr>
        <w:lastRenderedPageBreak/>
        <w:t>סימן קד:</w:t>
      </w:r>
      <w:r w:rsidRPr="00C12B74">
        <w:rPr>
          <w:rtl/>
        </w:rPr>
        <w:t xml:space="preserve"> </w:t>
      </w:r>
      <w:r>
        <w:rPr>
          <w:rFonts w:cs="Arial"/>
          <w:rtl/>
        </w:rPr>
        <w:t xml:space="preserve">בית דין שמכרו וטעו, וכן שאר שלוחין, ובו ו' סעיפים. </w:t>
      </w:r>
    </w:p>
    <w:p w14:paraId="29A2F0F3" w14:textId="77777777" w:rsidR="00392DBB" w:rsidRDefault="00392DBB" w:rsidP="000F64D0">
      <w:pPr>
        <w:pStyle w:val="2"/>
        <w:rPr>
          <w:rtl/>
        </w:rPr>
      </w:pPr>
      <w:r>
        <w:rPr>
          <w:rtl/>
        </w:rPr>
        <w:t>סעיף א</w:t>
      </w:r>
      <w:r>
        <w:rPr>
          <w:rFonts w:hint="cs"/>
          <w:rtl/>
        </w:rPr>
        <w:t>: הכרזה על מכירת הנכסים.</w:t>
      </w:r>
    </w:p>
    <w:p w14:paraId="6B0252B2" w14:textId="6D8C0E9B" w:rsidR="00392DBB" w:rsidRPr="002C711E" w:rsidRDefault="00392DBB" w:rsidP="00392DBB">
      <w:pPr>
        <w:rPr>
          <w:rtl/>
        </w:rPr>
      </w:pPr>
      <w:r w:rsidRPr="002C711E">
        <w:rPr>
          <w:rFonts w:cs="Arial" w:hint="cs"/>
          <w:b/>
          <w:bCs/>
          <w:rtl/>
        </w:rPr>
        <w:t xml:space="preserve">ערכין </w:t>
      </w:r>
      <w:r>
        <w:rPr>
          <w:rFonts w:cs="Arial" w:hint="cs"/>
          <w:b/>
          <w:bCs/>
          <w:sz w:val="16"/>
          <w:szCs w:val="16"/>
          <w:rtl/>
        </w:rPr>
        <w:t>(ר"פ שום היתומים)</w:t>
      </w:r>
      <w:r>
        <w:rPr>
          <w:rFonts w:cs="Arial" w:hint="cs"/>
          <w:b/>
          <w:bCs/>
          <w:rtl/>
        </w:rPr>
        <w:t xml:space="preserve"> </w:t>
      </w:r>
      <w:r w:rsidRPr="002C711E">
        <w:rPr>
          <w:rFonts w:cs="Arial" w:hint="cs"/>
          <w:b/>
          <w:bCs/>
          <w:rtl/>
        </w:rPr>
        <w:t>כא</w:t>
      </w:r>
      <w:r w:rsidR="00B47529">
        <w:rPr>
          <w:rStyle w:val="a7"/>
          <w:rFonts w:cs="Arial"/>
          <w:b/>
          <w:bCs/>
          <w:rtl/>
        </w:rPr>
        <w:footnoteReference w:id="2260"/>
      </w:r>
      <w:r w:rsidRPr="002C711E">
        <w:rPr>
          <w:rFonts w:cs="Arial" w:hint="cs"/>
          <w:b/>
          <w:bCs/>
          <w:rtl/>
        </w:rPr>
        <w:t xml:space="preserve"> ע"ב: </w:t>
      </w:r>
      <w:r w:rsidRPr="002C711E">
        <w:rPr>
          <w:rFonts w:cs="Arial"/>
          <w:u w:val="double"/>
          <w:rtl/>
        </w:rPr>
        <w:t>מתני'</w:t>
      </w:r>
      <w:r>
        <w:rPr>
          <w:rFonts w:cs="Arial" w:hint="cs"/>
          <w:rtl/>
        </w:rPr>
        <w:t>:</w:t>
      </w:r>
      <w:r>
        <w:rPr>
          <w:rFonts w:cs="Arial"/>
          <w:rtl/>
        </w:rPr>
        <w:t xml:space="preserve"> שום היתומים שלשים יום, ושום ההקדש ששים יום, ומכריזין בבקר ובערב. </w:t>
      </w:r>
      <w:r>
        <w:rPr>
          <w:rFonts w:hint="cs"/>
          <w:rtl/>
        </w:rPr>
        <w:t xml:space="preserve">       </w:t>
      </w:r>
      <w:r w:rsidRPr="002C711E">
        <w:rPr>
          <w:rFonts w:cs="Arial"/>
          <w:u w:val="double"/>
          <w:rtl/>
        </w:rPr>
        <w:t>גמ'</w:t>
      </w:r>
      <w:r>
        <w:rPr>
          <w:rFonts w:cs="Arial" w:hint="cs"/>
          <w:rtl/>
        </w:rPr>
        <w:t>:</w:t>
      </w:r>
      <w:r>
        <w:rPr>
          <w:rFonts w:cs="Arial"/>
          <w:rtl/>
        </w:rPr>
        <w:t xml:space="preserve"> מאי שנא בבקר ובערב? </w:t>
      </w:r>
      <w:r w:rsidRPr="003E4D8D">
        <w:rPr>
          <w:rFonts w:cs="Arial"/>
          <w:u w:val="single"/>
          <w:rtl/>
        </w:rPr>
        <w:t>אמר רב יהודה אמר רב</w:t>
      </w:r>
      <w:r>
        <w:rPr>
          <w:rFonts w:cs="Arial"/>
          <w:rtl/>
        </w:rPr>
        <w:t>: בשעת הוצאת פועלים ובשעת הכנסת פועלים</w:t>
      </w:r>
      <w:r>
        <w:rPr>
          <w:rStyle w:val="a7"/>
          <w:rFonts w:cs="Arial"/>
          <w:rtl/>
        </w:rPr>
        <w:footnoteReference w:id="2261"/>
      </w:r>
      <w:r>
        <w:rPr>
          <w:rFonts w:cs="Arial" w:hint="cs"/>
          <w:rtl/>
        </w:rPr>
        <w:t>.</w:t>
      </w:r>
      <w:r>
        <w:rPr>
          <w:rFonts w:cs="Arial"/>
          <w:rtl/>
        </w:rPr>
        <w:t xml:space="preserve"> בשעת הוצאת פועלים, דאיכא דניחא למיזבן, אמר להו לפועלים: איזילו סיירו לה ניהלי</w:t>
      </w:r>
      <w:r>
        <w:rPr>
          <w:rFonts w:cs="Arial" w:hint="cs"/>
          <w:rtl/>
        </w:rPr>
        <w:t>.</w:t>
      </w:r>
      <w:r>
        <w:rPr>
          <w:rFonts w:cs="Arial"/>
          <w:rtl/>
        </w:rPr>
        <w:t xml:space="preserve"> בשעת הכנסת פועלים, דנידכר דאמר להו: ניזיל נישיילינהו. תניא נמי הכי: שום היתומים שלשים יום, ושום ההקדש ששים יום, ומכריזין בבקר ובערב, בשעת הוצאת פועלים ובשעת הכנסת פועלים, אומר: שדה פלוני בסימניה ובמצריה כך היא יפה</w:t>
      </w:r>
      <w:r>
        <w:rPr>
          <w:rStyle w:val="a7"/>
          <w:rFonts w:cs="Arial"/>
          <w:rtl/>
        </w:rPr>
        <w:footnoteReference w:id="2262"/>
      </w:r>
      <w:r>
        <w:rPr>
          <w:rFonts w:cs="Arial"/>
          <w:rtl/>
        </w:rPr>
        <w:t xml:space="preserve"> וכך היא שומא</w:t>
      </w:r>
      <w:r>
        <w:rPr>
          <w:rStyle w:val="a7"/>
          <w:rFonts w:cs="Arial"/>
          <w:rtl/>
        </w:rPr>
        <w:footnoteReference w:id="2263"/>
      </w:r>
      <w:r>
        <w:rPr>
          <w:rFonts w:cs="Arial"/>
          <w:rtl/>
        </w:rPr>
        <w:t>, כל הרוצה ליקח יבא ויקח על מנת ליתן לאשה בכתובתה ולבעל חוב בחובו. למה לי למימר על מנת ליתן לאשה כתובתה ולבעל חוב חובו? דאיכא דניחא ליה בבעל חוב דמיקל בזוזי, ואיכא דניחא ליה באשה דשקלה על יד על יד</w:t>
      </w:r>
      <w:r>
        <w:rPr>
          <w:rStyle w:val="a7"/>
          <w:rFonts w:cs="Arial"/>
          <w:rtl/>
        </w:rPr>
        <w:footnoteReference w:id="2264"/>
      </w:r>
      <w:r>
        <w:rPr>
          <w:rFonts w:cs="Arial"/>
          <w:rtl/>
        </w:rPr>
        <w:t>.</w:t>
      </w:r>
      <w:r>
        <w:rPr>
          <w:rFonts w:hint="cs"/>
          <w:sz w:val="14"/>
          <w:szCs w:val="14"/>
          <w:rtl/>
        </w:rPr>
        <w:t xml:space="preserve"> (כב.)</w:t>
      </w:r>
      <w:r w:rsidRPr="003E4D8D">
        <w:rPr>
          <w:rtl/>
        </w:rPr>
        <w:t xml:space="preserve"> </w:t>
      </w:r>
      <w:r w:rsidRPr="003E4D8D">
        <w:rPr>
          <w:rFonts w:cs="Arial"/>
          <w:rtl/>
        </w:rPr>
        <w:t xml:space="preserve">תנו רבנן: שום היתומים שלשים יום, ושום ההקדש ששים יום, </w:t>
      </w:r>
      <w:r w:rsidRPr="00FD1B46">
        <w:rPr>
          <w:rFonts w:cs="Arial"/>
          <w:u w:val="single"/>
          <w:rtl/>
        </w:rPr>
        <w:t>דברי רבי מאיר</w:t>
      </w:r>
      <w:r>
        <w:rPr>
          <w:rFonts w:cs="Arial" w:hint="cs"/>
          <w:rtl/>
        </w:rPr>
        <w:t>.</w:t>
      </w:r>
      <w:r w:rsidRPr="003E4D8D">
        <w:rPr>
          <w:rFonts w:cs="Arial"/>
          <w:rtl/>
        </w:rPr>
        <w:t xml:space="preserve"> </w:t>
      </w:r>
      <w:r w:rsidRPr="00FD1B46">
        <w:rPr>
          <w:rFonts w:cs="Arial"/>
          <w:u w:val="single"/>
          <w:rtl/>
        </w:rPr>
        <w:t>רבי יהודה אומר</w:t>
      </w:r>
      <w:r w:rsidRPr="003E4D8D">
        <w:rPr>
          <w:rFonts w:cs="Arial"/>
          <w:rtl/>
        </w:rPr>
        <w:t>: שום היתומים ששים יום, ושום ההקדש תשעים יום</w:t>
      </w:r>
      <w:r>
        <w:rPr>
          <w:rFonts w:cs="Arial" w:hint="cs"/>
          <w:rtl/>
        </w:rPr>
        <w:t>.</w:t>
      </w:r>
      <w:r w:rsidRPr="003E4D8D">
        <w:rPr>
          <w:rFonts w:cs="Arial"/>
          <w:rtl/>
        </w:rPr>
        <w:t xml:space="preserve"> </w:t>
      </w:r>
      <w:r w:rsidRPr="00FD1B46">
        <w:rPr>
          <w:rFonts w:cs="Arial"/>
          <w:u w:val="single"/>
          <w:rtl/>
        </w:rPr>
        <w:t>וחכמים אומרים</w:t>
      </w:r>
      <w:r w:rsidRPr="003E4D8D">
        <w:rPr>
          <w:rFonts w:cs="Arial"/>
          <w:rtl/>
        </w:rPr>
        <w:t xml:space="preserve">: אחד זה ואחד זה ששים יום. </w:t>
      </w:r>
      <w:r w:rsidRPr="00FD1B46">
        <w:rPr>
          <w:rFonts w:cs="Arial"/>
          <w:u w:val="single"/>
          <w:rtl/>
        </w:rPr>
        <w:t>אמר רב חסדא אמר אבימי</w:t>
      </w:r>
      <w:r>
        <w:rPr>
          <w:rFonts w:cs="Arial" w:hint="cs"/>
          <w:rtl/>
        </w:rPr>
        <w:t>:</w:t>
      </w:r>
      <w:r w:rsidRPr="003E4D8D">
        <w:rPr>
          <w:rFonts w:cs="Arial"/>
          <w:rtl/>
        </w:rPr>
        <w:t xml:space="preserve"> הלכה</w:t>
      </w:r>
      <w:r>
        <w:rPr>
          <w:rFonts w:cs="Arial" w:hint="cs"/>
          <w:rtl/>
        </w:rPr>
        <w:t>,</w:t>
      </w:r>
      <w:r w:rsidRPr="003E4D8D">
        <w:rPr>
          <w:rFonts w:cs="Arial"/>
          <w:rtl/>
        </w:rPr>
        <w:t xml:space="preserve"> שום היתומים ששים יום. </w:t>
      </w:r>
      <w:r w:rsidRPr="00FD1B46">
        <w:rPr>
          <w:rFonts w:cs="Arial"/>
          <w:u w:val="single"/>
          <w:rtl/>
        </w:rPr>
        <w:t>יתיב רבי חייא בר אבין וקאמר</w:t>
      </w:r>
      <w:r w:rsidRPr="003E4D8D">
        <w:rPr>
          <w:rFonts w:cs="Arial"/>
          <w:rtl/>
        </w:rPr>
        <w:t xml:space="preserve"> להא שמעתא. </w:t>
      </w:r>
      <w:r w:rsidRPr="00FD1B46">
        <w:rPr>
          <w:rFonts w:cs="Arial"/>
          <w:u w:val="single"/>
          <w:rtl/>
        </w:rPr>
        <w:t>אמר ליה רב נחמן בר יצחק לרבי חייא בר אבין</w:t>
      </w:r>
      <w:r w:rsidRPr="003E4D8D">
        <w:rPr>
          <w:rFonts w:cs="Arial"/>
          <w:rtl/>
        </w:rPr>
        <w:t xml:space="preserve">: ששים קאמרת או שלשים קאמרת? </w:t>
      </w:r>
      <w:r w:rsidRPr="00FD1B46">
        <w:rPr>
          <w:rFonts w:cs="Arial"/>
          <w:u w:val="single"/>
          <w:rtl/>
        </w:rPr>
        <w:t>אמר ליה</w:t>
      </w:r>
      <w:r w:rsidRPr="003E4D8D">
        <w:rPr>
          <w:rFonts w:cs="Arial"/>
          <w:rtl/>
        </w:rPr>
        <w:t xml:space="preserve">: ששים. דיתומים או דהקדש? </w:t>
      </w:r>
      <w:r w:rsidRPr="00FD1B46">
        <w:rPr>
          <w:rFonts w:cs="Arial"/>
          <w:u w:val="single"/>
          <w:rtl/>
        </w:rPr>
        <w:t>אמר ליה</w:t>
      </w:r>
      <w:r w:rsidRPr="003E4D8D">
        <w:rPr>
          <w:rFonts w:cs="Arial"/>
          <w:rtl/>
        </w:rPr>
        <w:t xml:space="preserve">: דיתומים. כרבי מאיר או כרבי יהודה? </w:t>
      </w:r>
      <w:r w:rsidRPr="00FD1B46">
        <w:rPr>
          <w:rFonts w:cs="Arial"/>
          <w:u w:val="single"/>
          <w:rtl/>
        </w:rPr>
        <w:t>אמר ליה</w:t>
      </w:r>
      <w:r w:rsidRPr="003E4D8D">
        <w:rPr>
          <w:rFonts w:cs="Arial"/>
          <w:rtl/>
        </w:rPr>
        <w:t xml:space="preserve">: כרבי מאיר. והא רבי מאיר שלשים קאמר! </w:t>
      </w:r>
      <w:r w:rsidRPr="00FD1B46">
        <w:rPr>
          <w:rFonts w:cs="Arial"/>
          <w:u w:val="single"/>
          <w:rtl/>
        </w:rPr>
        <w:t>אמר ליה</w:t>
      </w:r>
      <w:r w:rsidRPr="003E4D8D">
        <w:rPr>
          <w:rFonts w:cs="Arial"/>
          <w:rtl/>
        </w:rPr>
        <w:t>: הכי אמר רב חסדא, מאבימי קולפי טאבי בלעי עלה דהא שמעתא: בא להכריז רצופים - שלשים, בשני ובחמישי - ששים, ואף על גב דכי חשיב להו מר ליומי הכרזה לא הוו אלא תמניסר יומי, כיון דמשכא מילתא שמעי אינשי.</w:t>
      </w:r>
      <w:r w:rsidRPr="00FD1B46">
        <w:rPr>
          <w:rFonts w:cs="Arial"/>
          <w:sz w:val="16"/>
          <w:szCs w:val="16"/>
          <w:rtl/>
        </w:rPr>
        <w:t xml:space="preserve"> </w:t>
      </w:r>
      <w:r>
        <w:rPr>
          <w:rFonts w:cs="Arial" w:hint="cs"/>
          <w:sz w:val="16"/>
          <w:szCs w:val="16"/>
          <w:rtl/>
        </w:rPr>
        <w:t>(</w:t>
      </w:r>
      <w:r w:rsidRPr="00FD1B46">
        <w:rPr>
          <w:rFonts w:cs="Arial"/>
          <w:sz w:val="16"/>
          <w:szCs w:val="16"/>
          <w:rtl/>
        </w:rPr>
        <w:t>וכתבו הרי"ף בפרק אלמנה נזונת (נח:)</w:t>
      </w:r>
      <w:r>
        <w:rPr>
          <w:rFonts w:cs="Arial" w:hint="cs"/>
          <w:sz w:val="16"/>
          <w:szCs w:val="16"/>
          <w:rtl/>
        </w:rPr>
        <w:t>, ב"י)</w:t>
      </w:r>
    </w:p>
    <w:p w14:paraId="532B6E40" w14:textId="1CCBBC19" w:rsidR="00392DBB" w:rsidRDefault="00392DBB" w:rsidP="00392DBB">
      <w:pPr>
        <w:rPr>
          <w:rtl/>
        </w:rPr>
      </w:pPr>
      <w:r w:rsidRPr="002C711E">
        <w:rPr>
          <w:rFonts w:cs="Arial" w:hint="cs"/>
          <w:b/>
          <w:bCs/>
          <w:rtl/>
        </w:rPr>
        <w:t>כת</w:t>
      </w:r>
      <w:r>
        <w:rPr>
          <w:rFonts w:cs="Arial" w:hint="cs"/>
          <w:b/>
          <w:bCs/>
          <w:rtl/>
        </w:rPr>
        <w:t>ו</w:t>
      </w:r>
      <w:r w:rsidRPr="002C711E">
        <w:rPr>
          <w:rFonts w:cs="Arial" w:hint="cs"/>
          <w:b/>
          <w:bCs/>
          <w:rtl/>
        </w:rPr>
        <w:t xml:space="preserve">בות </w:t>
      </w:r>
      <w:r>
        <w:rPr>
          <w:rFonts w:cs="Arial" w:hint="cs"/>
          <w:b/>
          <w:bCs/>
          <w:sz w:val="16"/>
          <w:szCs w:val="16"/>
          <w:rtl/>
        </w:rPr>
        <w:t>(פ' אלמנה ניזונת)</w:t>
      </w:r>
      <w:r>
        <w:rPr>
          <w:rFonts w:cs="Arial" w:hint="cs"/>
          <w:b/>
          <w:bCs/>
          <w:rtl/>
        </w:rPr>
        <w:t xml:space="preserve"> </w:t>
      </w:r>
      <w:r w:rsidRPr="002C711E">
        <w:rPr>
          <w:rFonts w:cs="Arial" w:hint="cs"/>
          <w:b/>
          <w:bCs/>
          <w:rtl/>
        </w:rPr>
        <w:t>ק</w:t>
      </w:r>
      <w:r w:rsidR="00B47529">
        <w:rPr>
          <w:rStyle w:val="a7"/>
          <w:rFonts w:cs="Arial"/>
          <w:b/>
          <w:bCs/>
          <w:rtl/>
        </w:rPr>
        <w:footnoteReference w:id="2265"/>
      </w:r>
      <w:r w:rsidRPr="002C711E">
        <w:rPr>
          <w:rFonts w:cs="Arial" w:hint="cs"/>
          <w:b/>
          <w:bCs/>
          <w:rtl/>
        </w:rPr>
        <w:t xml:space="preserve"> ע"ב: </w:t>
      </w:r>
      <w:r w:rsidRPr="002C711E">
        <w:rPr>
          <w:rFonts w:cs="Arial"/>
          <w:u w:val="single"/>
          <w:rtl/>
        </w:rPr>
        <w:t>אמר אמימר משמיה דרב יוסף</w:t>
      </w:r>
      <w:r w:rsidRPr="002C711E">
        <w:rPr>
          <w:rFonts w:cs="Arial"/>
          <w:rtl/>
        </w:rPr>
        <w:t>: ב"ד שמכרו בלא הכרזה, נעשו כמי שטעו בדבר משנה וחוזרין</w:t>
      </w:r>
      <w:r>
        <w:rPr>
          <w:rFonts w:cs="Arial" w:hint="cs"/>
          <w:rtl/>
        </w:rPr>
        <w:t>.</w:t>
      </w:r>
      <w:r w:rsidRPr="002C711E">
        <w:rPr>
          <w:rFonts w:cs="Arial"/>
          <w:rtl/>
        </w:rPr>
        <w:t xml:space="preserve"> נעשו? ודאי טעו! דתנן. שום היתומין - שלשים יום, ושום ההקדש - ששים יום, ומכריזין בבקר ובערב! אי מההיא הוה אמינא ה"מ שליח, אבל ב"ד לא, קמ"ל.</w:t>
      </w:r>
    </w:p>
    <w:p w14:paraId="44316331" w14:textId="77777777" w:rsidR="00392DBB" w:rsidRPr="003E4D8D" w:rsidRDefault="00392DBB" w:rsidP="00392DBB">
      <w:pPr>
        <w:rPr>
          <w:u w:val="single"/>
          <w:rtl/>
        </w:rPr>
      </w:pPr>
      <w:r w:rsidRPr="003E4D8D">
        <w:rPr>
          <w:rFonts w:hint="cs"/>
          <w:u w:val="single"/>
          <w:rtl/>
        </w:rPr>
        <w:t>הכרזה על מכירת הנכסים כדי להגבות לאלמנה כתובתה:</w:t>
      </w:r>
    </w:p>
    <w:p w14:paraId="35B735C1" w14:textId="77777777" w:rsidR="00392DBB" w:rsidRPr="000F0969" w:rsidRDefault="00392DBB" w:rsidP="009000E3">
      <w:pPr>
        <w:pStyle w:val="ab"/>
        <w:numPr>
          <w:ilvl w:val="0"/>
          <w:numId w:val="63"/>
        </w:numPr>
        <w:rPr>
          <w:rtl/>
        </w:rPr>
      </w:pPr>
      <w:r>
        <w:rPr>
          <w:rFonts w:cs="Arial" w:hint="cs"/>
          <w:rtl/>
        </w:rPr>
        <w:t xml:space="preserve">טור- </w:t>
      </w:r>
      <w:r w:rsidRPr="002C73A2">
        <w:rPr>
          <w:rFonts w:cs="Arial"/>
          <w:rtl/>
        </w:rPr>
        <w:t xml:space="preserve">בית דין שמוכרין להגבות לאלמנה כתובתה </w:t>
      </w:r>
      <w:r>
        <w:rPr>
          <w:rFonts w:cs="Arial" w:hint="cs"/>
          <w:rtl/>
        </w:rPr>
        <w:t xml:space="preserve">- </w:t>
      </w:r>
      <w:r w:rsidRPr="002C73A2">
        <w:rPr>
          <w:rFonts w:cs="Arial"/>
          <w:rtl/>
        </w:rPr>
        <w:t>אין מוכרין אלא בהכרזה</w:t>
      </w:r>
      <w:r>
        <w:rPr>
          <w:rFonts w:cs="Arial" w:hint="cs"/>
          <w:rtl/>
        </w:rPr>
        <w:t>,</w:t>
      </w:r>
      <w:r w:rsidRPr="002C73A2">
        <w:rPr>
          <w:rFonts w:cs="Arial"/>
          <w:rtl/>
        </w:rPr>
        <w:t xml:space="preserve"> ומכריזין ל' יום רצופין זה אחר זה</w:t>
      </w:r>
      <w:r>
        <w:rPr>
          <w:rFonts w:cs="Arial" w:hint="cs"/>
          <w:rtl/>
        </w:rPr>
        <w:t>.</w:t>
      </w:r>
      <w:r w:rsidRPr="002C73A2">
        <w:rPr>
          <w:rFonts w:cs="Arial"/>
          <w:rtl/>
        </w:rPr>
        <w:t xml:space="preserve"> ואם אינם רוצים להכריז רצופים אלא בכל יום שני וחמישי</w:t>
      </w:r>
      <w:r>
        <w:rPr>
          <w:rFonts w:cs="Arial" w:hint="cs"/>
          <w:rtl/>
        </w:rPr>
        <w:t xml:space="preserve"> -</w:t>
      </w:r>
      <w:r w:rsidRPr="002C73A2">
        <w:rPr>
          <w:rFonts w:cs="Arial"/>
          <w:rtl/>
        </w:rPr>
        <w:t xml:space="preserve"> יכריזו ס' יום</w:t>
      </w:r>
      <w:r>
        <w:rPr>
          <w:rFonts w:cs="Arial" w:hint="cs"/>
          <w:rtl/>
        </w:rPr>
        <w:t>,</w:t>
      </w:r>
      <w:r w:rsidRPr="002C73A2">
        <w:rPr>
          <w:rFonts w:cs="Arial"/>
          <w:rtl/>
        </w:rPr>
        <w:t xml:space="preserve"> בכל ב' וה'</w:t>
      </w:r>
      <w:r>
        <w:rPr>
          <w:rFonts w:cs="Arial" w:hint="cs"/>
          <w:rtl/>
        </w:rPr>
        <w:t>.</w:t>
      </w:r>
      <w:r w:rsidRPr="002C73A2">
        <w:rPr>
          <w:rFonts w:cs="Arial"/>
          <w:rtl/>
        </w:rPr>
        <w:t xml:space="preserve"> כיצד מכריזין</w:t>
      </w:r>
      <w:r>
        <w:rPr>
          <w:rFonts w:cs="Arial" w:hint="cs"/>
          <w:rtl/>
        </w:rPr>
        <w:t>,</w:t>
      </w:r>
      <w:r w:rsidRPr="002C73A2">
        <w:rPr>
          <w:rFonts w:cs="Arial"/>
          <w:rtl/>
        </w:rPr>
        <w:t xml:space="preserve"> הכרוז יוצא פעם אחת בבקר בשעת הכנסת פועלים</w:t>
      </w:r>
      <w:r>
        <w:rPr>
          <w:rFonts w:cs="Arial" w:hint="cs"/>
          <w:rtl/>
        </w:rPr>
        <w:t>,</w:t>
      </w:r>
      <w:r w:rsidRPr="002C73A2">
        <w:rPr>
          <w:rFonts w:cs="Arial"/>
          <w:rtl/>
        </w:rPr>
        <w:t xml:space="preserve"> ופעם אחת בערב בשעת הוצאת פועלים</w:t>
      </w:r>
      <w:r>
        <w:rPr>
          <w:rFonts w:cs="Arial" w:hint="cs"/>
          <w:rtl/>
        </w:rPr>
        <w:t>,</w:t>
      </w:r>
      <w:r w:rsidRPr="002C73A2">
        <w:rPr>
          <w:rFonts w:cs="Arial"/>
          <w:rtl/>
        </w:rPr>
        <w:t xml:space="preserve"> שדה פלוני שסימניה כך וכך ומצריה כך וכך עומדת לימכר כל הרוצה ליקח יבא ויקח</w:t>
      </w:r>
      <w:r>
        <w:rPr>
          <w:rFonts w:cs="Arial" w:hint="cs"/>
          <w:rtl/>
        </w:rPr>
        <w:t>.</w:t>
      </w:r>
      <w:r w:rsidRPr="002C73A2">
        <w:rPr>
          <w:rFonts w:cs="Arial"/>
          <w:rtl/>
        </w:rPr>
        <w:t xml:space="preserve"> ויפרש הכרוז שמוכרין אותה כדי לפרוע לאשה כתובתה</w:t>
      </w:r>
      <w:r>
        <w:rPr>
          <w:rFonts w:cs="Arial" w:hint="cs"/>
          <w:rtl/>
        </w:rPr>
        <w:t>,</w:t>
      </w:r>
      <w:r w:rsidRPr="002C73A2">
        <w:rPr>
          <w:rFonts w:cs="Arial"/>
          <w:rtl/>
        </w:rPr>
        <w:t xml:space="preserve"> שלא יסבור הלוקח שנמכרה כדי לפרוע לב"ח</w:t>
      </w:r>
      <w:r>
        <w:rPr>
          <w:rFonts w:cs="Arial" w:hint="cs"/>
          <w:rtl/>
        </w:rPr>
        <w:t>,</w:t>
      </w:r>
      <w:r w:rsidRPr="002C73A2">
        <w:rPr>
          <w:rFonts w:cs="Arial"/>
          <w:rtl/>
        </w:rPr>
        <w:t xml:space="preserve"> שיש מי שרוצה יותר ליתן לאשה מפני שלוקחת המעות מעט מעט</w:t>
      </w:r>
      <w:r>
        <w:rPr>
          <w:rFonts w:cs="Arial" w:hint="cs"/>
          <w:rtl/>
        </w:rPr>
        <w:t>.</w:t>
      </w:r>
      <w:r w:rsidRPr="005B7292">
        <w:rPr>
          <w:rFonts w:cs="Arial"/>
          <w:color w:val="E36C0A" w:themeColor="accent6" w:themeShade="BF"/>
          <w:rtl/>
        </w:rPr>
        <w:t xml:space="preserve"> </w:t>
      </w:r>
      <w:r w:rsidRPr="005B7292">
        <w:rPr>
          <w:rFonts w:hint="cs"/>
          <w:color w:val="E36C0A" w:themeColor="accent6" w:themeShade="BF"/>
          <w:rtl/>
        </w:rPr>
        <w:t>(וכ"פ בשו"ע)</w:t>
      </w:r>
    </w:p>
    <w:p w14:paraId="5095F69E"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422EC82" w14:textId="77777777" w:rsidR="00392DBB" w:rsidRDefault="00392DBB" w:rsidP="00392DBB">
      <w:pPr>
        <w:rPr>
          <w:rtl/>
        </w:rPr>
      </w:pPr>
      <w:r>
        <w:rPr>
          <w:rFonts w:cs="Arial"/>
          <w:rtl/>
        </w:rPr>
        <w:t>ב</w:t>
      </w:r>
      <w:r>
        <w:rPr>
          <w:rFonts w:cs="Arial" w:hint="cs"/>
          <w:rtl/>
        </w:rPr>
        <w:t xml:space="preserve">ית </w:t>
      </w:r>
      <w:r>
        <w:rPr>
          <w:rFonts w:cs="Arial"/>
          <w:rtl/>
        </w:rPr>
        <w:t>ד</w:t>
      </w:r>
      <w:r>
        <w:rPr>
          <w:rFonts w:cs="Arial" w:hint="cs"/>
          <w:rtl/>
        </w:rPr>
        <w:t>ין</w:t>
      </w:r>
      <w:r>
        <w:rPr>
          <w:rFonts w:cs="Arial"/>
          <w:rtl/>
        </w:rPr>
        <w:t xml:space="preserve"> שמוכרים להגבות לאלמנה</w:t>
      </w:r>
      <w:r>
        <w:rPr>
          <w:rStyle w:val="a7"/>
          <w:rFonts w:cs="Arial"/>
          <w:rtl/>
        </w:rPr>
        <w:footnoteReference w:id="2266"/>
      </w:r>
      <w:r>
        <w:rPr>
          <w:rFonts w:cs="Arial"/>
          <w:rtl/>
        </w:rPr>
        <w:t xml:space="preserve"> כתובתה, אין מוכרים אלא בהכרזה. ומכריזים שלשים יום רצופים, או ששים יום שני וחמישי. ומכריזין בבקר ובערב. ובשעה שמכריזין מסיימין השדה במצריה ומודיעים כמה היא יפה ובכמה היא שומא, ושרוצים למכרה כדי להגבות לאשה כתובתה. </w:t>
      </w:r>
    </w:p>
    <w:p w14:paraId="6AD7FA49" w14:textId="77777777" w:rsidR="00392DBB" w:rsidRDefault="00392DBB" w:rsidP="00392DBB">
      <w:pPr>
        <w:rPr>
          <w:rtl/>
        </w:rPr>
      </w:pPr>
    </w:p>
    <w:p w14:paraId="7AA9B229" w14:textId="77777777" w:rsidR="00392DBB" w:rsidRDefault="00392DBB" w:rsidP="000F64D0">
      <w:pPr>
        <w:pStyle w:val="2"/>
        <w:rPr>
          <w:rtl/>
        </w:rPr>
      </w:pPr>
      <w:r>
        <w:rPr>
          <w:rtl/>
        </w:rPr>
        <w:lastRenderedPageBreak/>
        <w:t>סעיף ב</w:t>
      </w:r>
      <w:r>
        <w:rPr>
          <w:rFonts w:hint="cs"/>
          <w:rtl/>
        </w:rPr>
        <w:t>: בית דין שלא הכריזו, וטעו.</w:t>
      </w:r>
    </w:p>
    <w:p w14:paraId="5B24C19C" w14:textId="77777777" w:rsidR="00392DBB" w:rsidRPr="00FF1A47" w:rsidRDefault="00392DBB" w:rsidP="00392DBB">
      <w:pPr>
        <w:rPr>
          <w:rtl/>
        </w:rPr>
      </w:pPr>
      <w:r w:rsidRPr="009E3B5F">
        <w:rPr>
          <w:rFonts w:hint="cs"/>
          <w:b/>
          <w:bCs/>
          <w:rtl/>
        </w:rPr>
        <w:t xml:space="preserve">כתובות </w:t>
      </w:r>
      <w:r w:rsidRPr="009E3B5F">
        <w:rPr>
          <w:rFonts w:hint="cs"/>
          <w:b/>
          <w:bCs/>
          <w:sz w:val="16"/>
          <w:szCs w:val="16"/>
          <w:rtl/>
        </w:rPr>
        <w:t xml:space="preserve">(פ' אלמנה נזונת) </w:t>
      </w:r>
      <w:r w:rsidRPr="009E3B5F">
        <w:rPr>
          <w:rFonts w:hint="cs"/>
          <w:b/>
          <w:bCs/>
          <w:rtl/>
        </w:rPr>
        <w:t>צ</w:t>
      </w:r>
      <w:r>
        <w:rPr>
          <w:rFonts w:hint="cs"/>
          <w:b/>
          <w:bCs/>
          <w:rtl/>
        </w:rPr>
        <w:t>ט</w:t>
      </w:r>
      <w:r w:rsidRPr="009E3B5F">
        <w:rPr>
          <w:rFonts w:hint="cs"/>
          <w:b/>
          <w:bCs/>
          <w:rtl/>
        </w:rPr>
        <w:t xml:space="preserve"> ע"</w:t>
      </w:r>
      <w:r>
        <w:rPr>
          <w:rFonts w:hint="cs"/>
          <w:b/>
          <w:bCs/>
          <w:rtl/>
        </w:rPr>
        <w:t>ב</w:t>
      </w:r>
      <w:r w:rsidRPr="009E3B5F">
        <w:rPr>
          <w:rFonts w:hint="cs"/>
          <w:b/>
          <w:bCs/>
          <w:rtl/>
        </w:rPr>
        <w:t xml:space="preserve">: </w:t>
      </w:r>
      <w:r w:rsidRPr="009E3B5F">
        <w:rPr>
          <w:rFonts w:cs="Arial"/>
          <w:u w:val="double"/>
          <w:rtl/>
        </w:rPr>
        <w:t>מתני'</w:t>
      </w:r>
      <w:r w:rsidRPr="009E3B5F">
        <w:rPr>
          <w:rFonts w:cs="Arial" w:hint="cs"/>
          <w:rtl/>
        </w:rPr>
        <w:t>:</w:t>
      </w:r>
      <w:r w:rsidRPr="007A6D4A">
        <w:rPr>
          <w:rFonts w:cs="Arial"/>
          <w:rtl/>
        </w:rPr>
        <w:t xml:space="preserve"> שום הדיינין שפיחתו שתות או הוסיפו שתות - מכרן בטל</w:t>
      </w:r>
      <w:r>
        <w:rPr>
          <w:rFonts w:cs="Arial" w:hint="cs"/>
          <w:rtl/>
        </w:rPr>
        <w:t>.</w:t>
      </w:r>
      <w:r w:rsidRPr="007A6D4A">
        <w:rPr>
          <w:rFonts w:cs="Arial"/>
          <w:rtl/>
        </w:rPr>
        <w:t xml:space="preserve"> </w:t>
      </w:r>
      <w:r w:rsidRPr="007A6D4A">
        <w:rPr>
          <w:rFonts w:cs="Arial"/>
          <w:u w:val="single"/>
          <w:rtl/>
        </w:rPr>
        <w:t>רשב"ג אומר</w:t>
      </w:r>
      <w:r w:rsidRPr="007A6D4A">
        <w:rPr>
          <w:rFonts w:cs="Arial"/>
          <w:rtl/>
        </w:rPr>
        <w:t>: מכרן קיים, אם כן, מה כח בית דין יפה. אבל אם עשו אגרת בקורת</w:t>
      </w:r>
      <w:r>
        <w:rPr>
          <w:rStyle w:val="a7"/>
          <w:rFonts w:cs="Arial"/>
          <w:rtl/>
        </w:rPr>
        <w:footnoteReference w:id="2267"/>
      </w:r>
      <w:r w:rsidRPr="007A6D4A">
        <w:rPr>
          <w:rFonts w:cs="Arial"/>
          <w:rtl/>
        </w:rPr>
        <w:t xml:space="preserve"> ביניהן, אפילו מכרו שוה מנה במאתים או שוה מאתים במנה - מכרן קיים.</w:t>
      </w:r>
      <w:r>
        <w:rPr>
          <w:rFonts w:cs="Arial" w:hint="cs"/>
          <w:rtl/>
        </w:rPr>
        <w:t xml:space="preserve">        </w:t>
      </w:r>
      <w:r w:rsidRPr="000C4C4A">
        <w:rPr>
          <w:rFonts w:cs="Arial"/>
          <w:u w:val="double"/>
          <w:rtl/>
        </w:rPr>
        <w:t>גמ'</w:t>
      </w:r>
      <w:r w:rsidRPr="000C4C4A">
        <w:rPr>
          <w:rFonts w:cs="Arial" w:hint="cs"/>
          <w:sz w:val="14"/>
          <w:szCs w:val="14"/>
          <w:u w:val="double"/>
          <w:rtl/>
        </w:rPr>
        <w:t>(ק.)</w:t>
      </w:r>
      <w:r w:rsidRPr="000C4C4A">
        <w:rPr>
          <w:rFonts w:cs="Arial" w:hint="cs"/>
          <w:u w:val="double"/>
          <w:rtl/>
        </w:rPr>
        <w:t>:</w:t>
      </w:r>
      <w:r w:rsidRPr="000C4C4A">
        <w:rPr>
          <w:rtl/>
        </w:rPr>
        <w:t xml:space="preserve"> </w:t>
      </w:r>
      <w:r w:rsidRPr="000C4C4A">
        <w:rPr>
          <w:rFonts w:cs="Arial"/>
          <w:u w:val="single"/>
          <w:rtl/>
        </w:rPr>
        <w:t>אמר רב הונא בר חנינא אמר ר"נ</w:t>
      </w:r>
      <w:r w:rsidRPr="000C4C4A">
        <w:rPr>
          <w:rFonts w:cs="Arial"/>
          <w:rtl/>
        </w:rPr>
        <w:t>: הלכה כדברי חכמים. ולית ליה לר"נ מה כח ב"ד יפה? והאמר ר"נ אמר שמואל: יתומים שבאו לחלוק בנכסי אביהן, ב"ד מעמידין להן אפוטרופוס ובוררין להם חלק יפה, הגדילו - יכולין למחות</w:t>
      </w:r>
      <w:r>
        <w:rPr>
          <w:rFonts w:cs="Arial" w:hint="cs"/>
          <w:rtl/>
        </w:rPr>
        <w:t>.</w:t>
      </w:r>
      <w:r w:rsidRPr="000C4C4A">
        <w:rPr>
          <w:rFonts w:cs="Arial"/>
          <w:rtl/>
        </w:rPr>
        <w:t xml:space="preserve"> ור"נ דידיה אמר: הגדילו - אין יכולין למחות, א"כ, מה כח ב"ד יפה! לא קשיא: הא דטעו, הא דלא טעו. אי דלא טעו, במאי יכולין למחות? ברוחות</w:t>
      </w:r>
      <w:r>
        <w:rPr>
          <w:rStyle w:val="a7"/>
          <w:rFonts w:cs="Arial"/>
          <w:rtl/>
        </w:rPr>
        <w:footnoteReference w:id="2268"/>
      </w:r>
      <w:r w:rsidRPr="000C4C4A">
        <w:rPr>
          <w:rFonts w:cs="Arial"/>
          <w:rtl/>
        </w:rPr>
        <w:t xml:space="preserve">. </w:t>
      </w:r>
      <w:r w:rsidRPr="000C4C4A">
        <w:rPr>
          <w:rFonts w:cs="Arial"/>
          <w:u w:val="single"/>
          <w:rtl/>
        </w:rPr>
        <w:t>כי אתא רב דימי אמר</w:t>
      </w:r>
      <w:r w:rsidRPr="000C4C4A">
        <w:rPr>
          <w:rFonts w:cs="Arial"/>
          <w:rtl/>
        </w:rPr>
        <w:t>: מעשה ועשה רבי כדברי חכמים, אמר לפניו פרטא בנו של רבי אלעזר בן פרטא בן בנו של ר' פרטא הגדול: א"כ: מה כח ב"ד יפה? והחזיר רבי את המעשה</w:t>
      </w:r>
      <w:r>
        <w:rPr>
          <w:rStyle w:val="a7"/>
          <w:rFonts w:cs="Arial"/>
          <w:rtl/>
        </w:rPr>
        <w:footnoteReference w:id="2269"/>
      </w:r>
      <w:r w:rsidRPr="000C4C4A">
        <w:rPr>
          <w:rFonts w:cs="Arial"/>
          <w:rtl/>
        </w:rPr>
        <w:t>.</w:t>
      </w:r>
      <w:r>
        <w:rPr>
          <w:rFonts w:cs="Arial" w:hint="cs"/>
          <w:rtl/>
        </w:rPr>
        <w:t>..</w:t>
      </w:r>
      <w:r>
        <w:rPr>
          <w:rFonts w:cs="Arial" w:hint="cs"/>
          <w:sz w:val="14"/>
          <w:szCs w:val="14"/>
          <w:rtl/>
        </w:rPr>
        <w:t xml:space="preserve"> (ק:)</w:t>
      </w:r>
      <w:r w:rsidRPr="007A6D4A">
        <w:rPr>
          <w:rFonts w:cs="Arial"/>
          <w:rtl/>
        </w:rPr>
        <w:t xml:space="preserve"> </w:t>
      </w:r>
      <w:r w:rsidRPr="001D0BF2">
        <w:rPr>
          <w:rFonts w:cs="Arial"/>
          <w:u w:val="single"/>
          <w:rtl/>
        </w:rPr>
        <w:t>אמר אמימר משמיה דרב יוסף</w:t>
      </w:r>
      <w:r w:rsidRPr="00744AD3">
        <w:rPr>
          <w:rFonts w:cs="Arial"/>
          <w:rtl/>
        </w:rPr>
        <w:t>: ב"ד שמכרו בלא הכרזה, נעשו כמי שטעו בדבר משנה וחוזרין</w:t>
      </w:r>
      <w:r>
        <w:rPr>
          <w:rFonts w:cs="Arial" w:hint="cs"/>
          <w:rtl/>
        </w:rPr>
        <w:t>..</w:t>
      </w:r>
      <w:r w:rsidRPr="00744AD3">
        <w:rPr>
          <w:rFonts w:cs="Arial"/>
          <w:rtl/>
        </w:rPr>
        <w:t xml:space="preserve">. </w:t>
      </w:r>
      <w:r w:rsidRPr="001D0BF2">
        <w:rPr>
          <w:rFonts w:cs="Arial"/>
          <w:u w:val="single"/>
          <w:rtl/>
        </w:rPr>
        <w:t>איתיביה רב אשי לאמימר</w:t>
      </w:r>
      <w:r w:rsidRPr="00744AD3">
        <w:rPr>
          <w:rFonts w:cs="Arial"/>
          <w:rtl/>
        </w:rPr>
        <w:t>: שום הדיינין שפחתו שתות או הותירו שתות - מכרן בטל, הא שוה בשוה - מכרן קיים, מאי לאו דלא אכרוז! לא, בדאכרוז. הא מדסיפא בדאכרוז, הוי רישא בדלא אכרוז! דקתני סיפא: אם עשו אגרת בקורת, אפי' מכרו שוה מנה במאתים או שוה מאתים במנה - מכרן קיים! אלא לעולם בדלא אכרוז, ולא קשיא: כאן בדברים שמכריזין עליהן, כאן בדברים שאין מכריזין עליהן</w:t>
      </w:r>
      <w:r>
        <w:rPr>
          <w:rStyle w:val="a7"/>
          <w:rFonts w:cs="Arial"/>
          <w:rtl/>
        </w:rPr>
        <w:footnoteReference w:id="2270"/>
      </w:r>
      <w:r>
        <w:rPr>
          <w:rFonts w:cs="Arial" w:hint="cs"/>
          <w:rtl/>
        </w:rPr>
        <w:t>.</w:t>
      </w:r>
      <w:r w:rsidRPr="00744AD3">
        <w:rPr>
          <w:rFonts w:cs="Arial"/>
          <w:rtl/>
        </w:rPr>
        <w:t xml:space="preserve"> ואלו הן דברים שאין מכריזין עליהן: העבדים, והמטלטלין, והשטרות</w:t>
      </w:r>
      <w:r>
        <w:rPr>
          <w:rFonts w:cs="Arial" w:hint="cs"/>
          <w:rtl/>
        </w:rPr>
        <w:t>.</w:t>
      </w:r>
      <w:r w:rsidRPr="00744AD3">
        <w:rPr>
          <w:rFonts w:cs="Arial"/>
          <w:rtl/>
        </w:rPr>
        <w:t xml:space="preserve"> עבדים טעמא מאי? שמא ישמעו ויברחו</w:t>
      </w:r>
      <w:r>
        <w:rPr>
          <w:rFonts w:cs="Arial" w:hint="cs"/>
          <w:rtl/>
        </w:rPr>
        <w:t>.</w:t>
      </w:r>
      <w:r w:rsidRPr="00744AD3">
        <w:rPr>
          <w:rFonts w:cs="Arial"/>
          <w:rtl/>
        </w:rPr>
        <w:t xml:space="preserve"> מטלטלין ושטרות? שמא יגנבו. ואיבעית אימא: כאן בשעה שמכריזין, כאן בשעה שאין מכריזין, דאמרי נהרדעי: לכרגא, למזוני, ולקבורה</w:t>
      </w:r>
      <w:r>
        <w:rPr>
          <w:rStyle w:val="a7"/>
          <w:rFonts w:cs="Arial"/>
          <w:rtl/>
        </w:rPr>
        <w:footnoteReference w:id="2271"/>
      </w:r>
      <w:r w:rsidRPr="00744AD3">
        <w:rPr>
          <w:rFonts w:cs="Arial"/>
          <w:rtl/>
        </w:rPr>
        <w:t xml:space="preserve"> - מזבנינן בלא אכרזתא. ואב"א: כאן במקום שמכריזין, כאן במקום שאין מכריזין, </w:t>
      </w:r>
      <w:r w:rsidRPr="0069760E">
        <w:rPr>
          <w:rFonts w:cs="Arial"/>
          <w:u w:val="single"/>
          <w:rtl/>
        </w:rPr>
        <w:t>דאמר רב נחמן</w:t>
      </w:r>
      <w:r w:rsidRPr="00744AD3">
        <w:rPr>
          <w:rFonts w:cs="Arial"/>
          <w:rtl/>
        </w:rPr>
        <w:t xml:space="preserve">: מעולם לא עשו אגרת בקורת בנהרדעא. סבור מינה, משום דבקיאי בשומא, </w:t>
      </w:r>
      <w:r w:rsidRPr="0069760E">
        <w:rPr>
          <w:rFonts w:cs="Arial"/>
          <w:u w:val="single"/>
          <w:rtl/>
        </w:rPr>
        <w:t>א"ל רב יוסף בר מניומי</w:t>
      </w:r>
      <w:r w:rsidRPr="00744AD3">
        <w:rPr>
          <w:rFonts w:cs="Arial"/>
          <w:rtl/>
        </w:rPr>
        <w:t>: לדידי מיפרשא לי מיניה דרב נחמן, משום דקרו להו בני אכלי נכסי דאכרזתא</w:t>
      </w:r>
      <w:r>
        <w:rPr>
          <w:rStyle w:val="a7"/>
          <w:rFonts w:cs="Arial"/>
          <w:rtl/>
        </w:rPr>
        <w:footnoteReference w:id="2272"/>
      </w:r>
      <w:r w:rsidRPr="00744AD3">
        <w:rPr>
          <w:rFonts w:cs="Arial"/>
          <w:rtl/>
        </w:rPr>
        <w:t>.</w:t>
      </w:r>
      <w:r>
        <w:rPr>
          <w:rFonts w:cs="Arial" w:hint="cs"/>
          <w:rtl/>
        </w:rPr>
        <w:t xml:space="preserve"> </w:t>
      </w:r>
      <w:r w:rsidRPr="006A1671">
        <w:rPr>
          <w:rFonts w:cs="Arial"/>
          <w:u w:val="single"/>
          <w:rtl/>
        </w:rPr>
        <w:t>אמר רב יהודה אמר שמואל</w:t>
      </w:r>
      <w:r w:rsidRPr="006A1671">
        <w:rPr>
          <w:rFonts w:cs="Arial"/>
          <w:rtl/>
        </w:rPr>
        <w:t>: מטלטלין של יתומים - שמין אותן ומוכרין אותן לאלתר</w:t>
      </w:r>
      <w:r>
        <w:rPr>
          <w:rStyle w:val="a7"/>
          <w:rFonts w:cs="Arial"/>
          <w:rtl/>
        </w:rPr>
        <w:footnoteReference w:id="2273"/>
      </w:r>
      <w:r>
        <w:rPr>
          <w:rFonts w:cs="Arial" w:hint="cs"/>
          <w:rtl/>
        </w:rPr>
        <w:t>.</w:t>
      </w:r>
      <w:r w:rsidRPr="006A1671">
        <w:rPr>
          <w:rFonts w:cs="Arial"/>
          <w:rtl/>
        </w:rPr>
        <w:t xml:space="preserve"> </w:t>
      </w:r>
      <w:r w:rsidRPr="006A1671">
        <w:rPr>
          <w:rFonts w:cs="Arial"/>
          <w:u w:val="single"/>
          <w:rtl/>
        </w:rPr>
        <w:t>רב חסדא אמר אבימי</w:t>
      </w:r>
      <w:r w:rsidRPr="006A1671">
        <w:rPr>
          <w:rFonts w:cs="Arial"/>
          <w:rtl/>
        </w:rPr>
        <w:t>: מוכרין אותן לשווקים. ולא פליגי, הא דמיקרב שוקא, הא דמרחק שוקא.</w:t>
      </w:r>
    </w:p>
    <w:p w14:paraId="2C245B1C" w14:textId="3DEB1CA9" w:rsidR="00392DBB" w:rsidRPr="004F6F87" w:rsidRDefault="00392DBB" w:rsidP="00392DBB">
      <w:pPr>
        <w:rPr>
          <w:u w:val="single"/>
          <w:rtl/>
        </w:rPr>
      </w:pPr>
      <w:r w:rsidRPr="004F6F87">
        <w:rPr>
          <w:rFonts w:hint="cs"/>
          <w:u w:val="single"/>
          <w:rtl/>
        </w:rPr>
        <w:t>בית דין שהכריזו</w:t>
      </w:r>
      <w:r>
        <w:rPr>
          <w:rFonts w:hint="cs"/>
          <w:u w:val="single"/>
          <w:rtl/>
        </w:rPr>
        <w:t xml:space="preserve"> או לא הכריזו </w:t>
      </w:r>
      <w:r w:rsidR="00F97626">
        <w:rPr>
          <w:u w:val="single"/>
          <w:rtl/>
        </w:rPr>
        <w:t>-</w:t>
      </w:r>
      <w:r w:rsidRPr="004F6F87">
        <w:rPr>
          <w:rFonts w:hint="cs"/>
          <w:u w:val="single"/>
          <w:rtl/>
        </w:rPr>
        <w:t xml:space="preserve"> וטעו ומכרו שלא כשווי המכר:</w:t>
      </w:r>
    </w:p>
    <w:p w14:paraId="09C8080F" w14:textId="77777777" w:rsidR="00392DBB" w:rsidRDefault="00392DBB" w:rsidP="009000E3">
      <w:pPr>
        <w:pStyle w:val="ab"/>
        <w:numPr>
          <w:ilvl w:val="0"/>
          <w:numId w:val="63"/>
        </w:numPr>
      </w:pPr>
      <w:r>
        <w:rPr>
          <w:rFonts w:cs="Arial" w:hint="cs"/>
          <w:rtl/>
        </w:rPr>
        <w:t xml:space="preserve">טור- </w:t>
      </w:r>
      <w:r w:rsidRPr="002C73A2">
        <w:rPr>
          <w:rFonts w:cs="Arial"/>
          <w:rtl/>
        </w:rPr>
        <w:t>אם הכריזו וטעו</w:t>
      </w:r>
      <w:r>
        <w:rPr>
          <w:rFonts w:cs="Arial" w:hint="cs"/>
          <w:rtl/>
        </w:rPr>
        <w:t>,</w:t>
      </w:r>
      <w:r w:rsidRPr="002C73A2">
        <w:rPr>
          <w:rFonts w:cs="Arial"/>
          <w:rtl/>
        </w:rPr>
        <w:t xml:space="preserve"> ומכרו אפי</w:t>
      </w:r>
      <w:r>
        <w:rPr>
          <w:rFonts w:cs="Arial" w:hint="cs"/>
          <w:rtl/>
        </w:rPr>
        <w:t>לו</w:t>
      </w:r>
      <w:r w:rsidRPr="002C73A2">
        <w:rPr>
          <w:rFonts w:cs="Arial"/>
          <w:rtl/>
        </w:rPr>
        <w:t xml:space="preserve"> שוה מאתים במנה </w:t>
      </w:r>
      <w:r>
        <w:rPr>
          <w:rFonts w:cs="Arial" w:hint="cs"/>
          <w:rtl/>
        </w:rPr>
        <w:t xml:space="preserve">- </w:t>
      </w:r>
      <w:r w:rsidRPr="002C73A2">
        <w:rPr>
          <w:rFonts w:cs="Arial"/>
          <w:rtl/>
        </w:rPr>
        <w:t>מכרן קיים</w:t>
      </w:r>
      <w:r>
        <w:rPr>
          <w:rFonts w:cs="Arial" w:hint="cs"/>
          <w:rtl/>
        </w:rPr>
        <w:t>.</w:t>
      </w:r>
      <w:r w:rsidRPr="002C73A2">
        <w:rPr>
          <w:rFonts w:cs="Arial"/>
          <w:rtl/>
        </w:rPr>
        <w:t xml:space="preserve"> אבל אם לא הכריזו</w:t>
      </w:r>
      <w:r>
        <w:rPr>
          <w:rFonts w:cs="Arial" w:hint="cs"/>
          <w:rtl/>
        </w:rPr>
        <w:t>,</w:t>
      </w:r>
      <w:r w:rsidRPr="002C73A2">
        <w:rPr>
          <w:rFonts w:cs="Arial"/>
          <w:rtl/>
        </w:rPr>
        <w:t xml:space="preserve"> אפילו מכרו שוה בשוה </w:t>
      </w:r>
      <w:r>
        <w:rPr>
          <w:rFonts w:cs="Arial" w:hint="cs"/>
          <w:rtl/>
        </w:rPr>
        <w:t xml:space="preserve">- </w:t>
      </w:r>
      <w:r w:rsidRPr="002C73A2">
        <w:rPr>
          <w:rFonts w:cs="Arial"/>
          <w:rtl/>
        </w:rPr>
        <w:t>מכרן בטל</w:t>
      </w:r>
      <w:r>
        <w:rPr>
          <w:rFonts w:cs="Arial" w:hint="cs"/>
          <w:rtl/>
        </w:rPr>
        <w:t>.</w:t>
      </w:r>
      <w:r w:rsidRPr="002C73A2">
        <w:rPr>
          <w:rFonts w:cs="Arial"/>
          <w:rtl/>
        </w:rPr>
        <w:t xml:space="preserve"> בד"א</w:t>
      </w:r>
      <w:r>
        <w:rPr>
          <w:rFonts w:cs="Arial" w:hint="cs"/>
          <w:rtl/>
        </w:rPr>
        <w:t>,</w:t>
      </w:r>
      <w:r w:rsidRPr="002C73A2">
        <w:rPr>
          <w:rFonts w:cs="Arial"/>
          <w:rtl/>
        </w:rPr>
        <w:t xml:space="preserve"> בדברים שצריכין הכרזה</w:t>
      </w:r>
      <w:r>
        <w:rPr>
          <w:rFonts w:cs="Arial" w:hint="cs"/>
          <w:rtl/>
        </w:rPr>
        <w:t>,</w:t>
      </w:r>
      <w:r w:rsidRPr="002C73A2">
        <w:rPr>
          <w:rFonts w:cs="Arial"/>
          <w:rtl/>
        </w:rPr>
        <w:t xml:space="preserve"> ובשעה שמכריזין</w:t>
      </w:r>
      <w:r>
        <w:rPr>
          <w:rFonts w:cs="Arial" w:hint="cs"/>
          <w:rtl/>
        </w:rPr>
        <w:t>,</w:t>
      </w:r>
      <w:r w:rsidRPr="002C73A2">
        <w:rPr>
          <w:rFonts w:cs="Arial"/>
          <w:rtl/>
        </w:rPr>
        <w:t xml:space="preserve"> ובמקום שמכריזין</w:t>
      </w:r>
      <w:r>
        <w:rPr>
          <w:rFonts w:cs="Arial" w:hint="cs"/>
          <w:rtl/>
        </w:rPr>
        <w:t>.</w:t>
      </w:r>
      <w:r w:rsidRPr="002C73A2">
        <w:rPr>
          <w:rFonts w:cs="Arial"/>
          <w:rtl/>
        </w:rPr>
        <w:t xml:space="preserve"> אבל דברים שאין מכריזין עליהן</w:t>
      </w:r>
      <w:r>
        <w:rPr>
          <w:rFonts w:cs="Arial" w:hint="cs"/>
          <w:rtl/>
        </w:rPr>
        <w:t>,</w:t>
      </w:r>
      <w:r w:rsidRPr="002C73A2">
        <w:rPr>
          <w:rFonts w:cs="Arial"/>
          <w:rtl/>
        </w:rPr>
        <w:t xml:space="preserve"> כמו עבדים ושטרות ומטלטלין</w:t>
      </w:r>
      <w:r>
        <w:rPr>
          <w:rFonts w:cs="Arial" w:hint="cs"/>
          <w:rtl/>
        </w:rPr>
        <w:t>,</w:t>
      </w:r>
      <w:r w:rsidRPr="002C73A2">
        <w:rPr>
          <w:rFonts w:cs="Arial"/>
          <w:rtl/>
        </w:rPr>
        <w:t xml:space="preserve"> שנמכרין לעולם בלא הכרזה</w:t>
      </w:r>
      <w:r>
        <w:rPr>
          <w:rFonts w:cs="Arial" w:hint="cs"/>
          <w:rtl/>
        </w:rPr>
        <w:t>.</w:t>
      </w:r>
      <w:r w:rsidRPr="002C73A2">
        <w:rPr>
          <w:rFonts w:cs="Arial"/>
          <w:rtl/>
        </w:rPr>
        <w:t xml:space="preserve"> ושעה שאין מכריזין</w:t>
      </w:r>
      <w:r>
        <w:rPr>
          <w:rFonts w:cs="Arial" w:hint="cs"/>
          <w:rtl/>
        </w:rPr>
        <w:t>,</w:t>
      </w:r>
      <w:r w:rsidRPr="002C73A2">
        <w:rPr>
          <w:rFonts w:cs="Arial"/>
          <w:rtl/>
        </w:rPr>
        <w:t xml:space="preserve"> היינו לכרגא ולמזוני ולקבורה</w:t>
      </w:r>
      <w:r>
        <w:rPr>
          <w:rFonts w:cs="Arial" w:hint="cs"/>
          <w:rtl/>
        </w:rPr>
        <w:t>,</w:t>
      </w:r>
      <w:r w:rsidRPr="002C73A2">
        <w:rPr>
          <w:rFonts w:cs="Arial"/>
          <w:rtl/>
        </w:rPr>
        <w:t xml:space="preserve"> שלצורך אלו מוכרין בלא הכרזה</w:t>
      </w:r>
      <w:r>
        <w:rPr>
          <w:rFonts w:cs="Arial" w:hint="cs"/>
          <w:rtl/>
        </w:rPr>
        <w:t>.</w:t>
      </w:r>
      <w:r w:rsidRPr="002C73A2">
        <w:rPr>
          <w:rFonts w:cs="Arial"/>
          <w:rtl/>
        </w:rPr>
        <w:t xml:space="preserve"> ואפי' מי שמלוה לצורך אחד מאלו כשפורעין לו מוכרין בלא הכרזה</w:t>
      </w:r>
      <w:r>
        <w:rPr>
          <w:rFonts w:cs="Arial" w:hint="cs"/>
          <w:rtl/>
        </w:rPr>
        <w:t>.</w:t>
      </w:r>
      <w:r w:rsidRPr="002C73A2">
        <w:rPr>
          <w:rFonts w:cs="Arial"/>
          <w:rtl/>
        </w:rPr>
        <w:t xml:space="preserve"> ובמקום שאין מכריזין</w:t>
      </w:r>
      <w:r>
        <w:rPr>
          <w:rStyle w:val="a7"/>
          <w:rFonts w:cs="Arial"/>
          <w:rtl/>
        </w:rPr>
        <w:footnoteReference w:id="2274"/>
      </w:r>
      <w:r>
        <w:rPr>
          <w:rFonts w:cs="Arial" w:hint="cs"/>
          <w:rtl/>
        </w:rPr>
        <w:t>,</w:t>
      </w:r>
      <w:r w:rsidRPr="002C73A2">
        <w:rPr>
          <w:rFonts w:cs="Arial"/>
          <w:rtl/>
        </w:rPr>
        <w:t xml:space="preserve"> שיש מקומות שנוהגים שלא להכריז</w:t>
      </w:r>
      <w:r>
        <w:rPr>
          <w:rFonts w:cs="Arial" w:hint="cs"/>
          <w:rtl/>
        </w:rPr>
        <w:t>,</w:t>
      </w:r>
      <w:r w:rsidRPr="002C73A2">
        <w:rPr>
          <w:rFonts w:cs="Arial"/>
          <w:rtl/>
        </w:rPr>
        <w:t xml:space="preserve"> מפני שיש שלא ירצו לקנות אם יכריזו שלא יקראו אותם אוכלי נכסי דאכרזתא</w:t>
      </w:r>
      <w:r>
        <w:rPr>
          <w:rFonts w:cs="Arial" w:hint="cs"/>
          <w:rtl/>
        </w:rPr>
        <w:t>,</w:t>
      </w:r>
      <w:r w:rsidRPr="002C73A2">
        <w:rPr>
          <w:rFonts w:cs="Arial"/>
          <w:rtl/>
        </w:rPr>
        <w:t xml:space="preserve"> פירוש שצריכין למכור מפני הדחק</w:t>
      </w:r>
      <w:r>
        <w:rPr>
          <w:rFonts w:cs="Arial" w:hint="cs"/>
          <w:rtl/>
        </w:rPr>
        <w:t>.</w:t>
      </w:r>
      <w:r>
        <w:rPr>
          <w:rFonts w:cs="Arial" w:hint="cs"/>
          <w:sz w:val="16"/>
          <w:szCs w:val="16"/>
          <w:rtl/>
        </w:rPr>
        <w:t xml:space="preserve"> {בכל אלו}</w:t>
      </w:r>
      <w:r w:rsidRPr="002C73A2">
        <w:rPr>
          <w:rFonts w:cs="Arial"/>
          <w:rtl/>
        </w:rPr>
        <w:t xml:space="preserve"> כיון שאין צריכין הכרזה</w:t>
      </w:r>
      <w:r>
        <w:rPr>
          <w:rFonts w:cs="Arial" w:hint="cs"/>
          <w:rtl/>
        </w:rPr>
        <w:t>,</w:t>
      </w:r>
      <w:r w:rsidRPr="002C73A2">
        <w:rPr>
          <w:rFonts w:cs="Arial"/>
          <w:rtl/>
        </w:rPr>
        <w:t xml:space="preserve"> אם מכרו וטעו פחות משתות </w:t>
      </w:r>
      <w:r>
        <w:rPr>
          <w:rFonts w:cs="Arial" w:hint="cs"/>
          <w:rtl/>
        </w:rPr>
        <w:t xml:space="preserve">- </w:t>
      </w:r>
      <w:r w:rsidRPr="002C73A2">
        <w:rPr>
          <w:rFonts w:cs="Arial"/>
          <w:rtl/>
        </w:rPr>
        <w:t>מכרן קיים</w:t>
      </w:r>
      <w:r>
        <w:rPr>
          <w:rFonts w:cs="Arial" w:hint="cs"/>
          <w:rtl/>
        </w:rPr>
        <w:t>.</w:t>
      </w:r>
      <w:r w:rsidRPr="002C73A2">
        <w:rPr>
          <w:rFonts w:cs="Arial"/>
          <w:rtl/>
        </w:rPr>
        <w:t xml:space="preserve"> טעו בשתות </w:t>
      </w:r>
      <w:r>
        <w:rPr>
          <w:rFonts w:cs="Arial" w:hint="cs"/>
          <w:rtl/>
        </w:rPr>
        <w:t xml:space="preserve">- </w:t>
      </w:r>
      <w:r w:rsidRPr="002C73A2">
        <w:rPr>
          <w:rFonts w:cs="Arial"/>
          <w:rtl/>
        </w:rPr>
        <w:t>מכרן בטל</w:t>
      </w:r>
      <w:r>
        <w:rPr>
          <w:rFonts w:cs="Arial" w:hint="cs"/>
          <w:rtl/>
        </w:rPr>
        <w:t>.</w:t>
      </w:r>
      <w:r>
        <w:rPr>
          <w:rFonts w:hint="cs"/>
          <w:rtl/>
        </w:rPr>
        <w:t xml:space="preserve"> </w:t>
      </w:r>
    </w:p>
    <w:p w14:paraId="59E9D47B" w14:textId="77777777" w:rsidR="00392DBB" w:rsidRDefault="00392DBB" w:rsidP="009000E3">
      <w:pPr>
        <w:pStyle w:val="ab"/>
        <w:numPr>
          <w:ilvl w:val="0"/>
          <w:numId w:val="63"/>
        </w:numPr>
        <w:rPr>
          <w:rtl/>
        </w:rPr>
      </w:pPr>
      <w:r>
        <w:rPr>
          <w:rFonts w:cs="Arial" w:hint="cs"/>
          <w:rtl/>
        </w:rPr>
        <w:lastRenderedPageBreak/>
        <w:t>רמב"ם</w:t>
      </w:r>
      <w:r>
        <w:rPr>
          <w:rFonts w:cs="Arial" w:hint="cs"/>
          <w:sz w:val="16"/>
          <w:szCs w:val="16"/>
          <w:rtl/>
        </w:rPr>
        <w:t xml:space="preserve"> (פי"ב ממלוה ה"י-יא)</w:t>
      </w:r>
      <w:r>
        <w:rPr>
          <w:rFonts w:cs="Arial" w:hint="cs"/>
          <w:rtl/>
        </w:rPr>
        <w:t>-</w:t>
      </w:r>
      <w:r w:rsidRPr="009E5E83">
        <w:rPr>
          <w:rtl/>
        </w:rPr>
        <w:t xml:space="preserve"> </w:t>
      </w:r>
      <w:r w:rsidRPr="009E5E83">
        <w:rPr>
          <w:rFonts w:cs="Arial"/>
          <w:rtl/>
        </w:rPr>
        <w:t>בית דין שמכרו שלא בהכרזה נעשו כמי שטעו בדבר משנה וחוזרים ומוכרין בהכרזה</w:t>
      </w:r>
      <w:r>
        <w:rPr>
          <w:rFonts w:cs="Arial" w:hint="cs"/>
          <w:rtl/>
        </w:rPr>
        <w:t>...</w:t>
      </w:r>
      <w:r w:rsidRPr="00065DD2">
        <w:rPr>
          <w:rFonts w:cs="Arial"/>
          <w:rtl/>
        </w:rPr>
        <w:t xml:space="preserve"> ובית דין שהכריזו כראוי ובדקו יפה יפה ודקדקו בשומא אע</w:t>
      </w:r>
      <w:r>
        <w:rPr>
          <w:rFonts w:cs="Arial" w:hint="cs"/>
          <w:rtl/>
        </w:rPr>
        <w:t>"</w:t>
      </w:r>
      <w:r w:rsidRPr="00065DD2">
        <w:rPr>
          <w:rFonts w:cs="Arial"/>
          <w:rtl/>
        </w:rPr>
        <w:t>פ שטעו ומכרו שוה מנה במאתים או מאתים במנה הרי מכרן קיים</w:t>
      </w:r>
      <w:r>
        <w:rPr>
          <w:rFonts w:cs="Arial" w:hint="cs"/>
          <w:rtl/>
        </w:rPr>
        <w:t>.</w:t>
      </w:r>
      <w:r w:rsidRPr="00065DD2">
        <w:rPr>
          <w:rFonts w:cs="Arial"/>
          <w:rtl/>
        </w:rPr>
        <w:t xml:space="preserve"> אבל אם לא בדקו בשומא ולא כתבו אגרת בקורת שהיא דקדוק השומא וההכרזה וטעו והותירו שתות או פחתו שתות מכרן בטל פחות משתות מכרן קיים, וכן אם מכרו קרקע בעת שאינן צריכין להכריז עליה וטעו שתות או הותירו שתות מכרן בטל אע</w:t>
      </w:r>
      <w:r>
        <w:rPr>
          <w:rFonts w:cs="Arial" w:hint="cs"/>
          <w:rtl/>
        </w:rPr>
        <w:t>"</w:t>
      </w:r>
      <w:r w:rsidRPr="00065DD2">
        <w:rPr>
          <w:rFonts w:cs="Arial"/>
          <w:rtl/>
        </w:rPr>
        <w:t>פ שהכריזו, פחות משתות מכרן קיים אע</w:t>
      </w:r>
      <w:r>
        <w:rPr>
          <w:rFonts w:cs="Arial" w:hint="cs"/>
          <w:rtl/>
        </w:rPr>
        <w:t>"</w:t>
      </w:r>
      <w:r w:rsidRPr="00065DD2">
        <w:rPr>
          <w:rFonts w:cs="Arial"/>
          <w:rtl/>
        </w:rPr>
        <w:t>פ שלא הכריזו שאינן צריכין הכרזה באותו העת</w:t>
      </w:r>
      <w:r>
        <w:rPr>
          <w:rFonts w:cs="Arial" w:hint="cs"/>
          <w:rtl/>
        </w:rPr>
        <w:t>.</w:t>
      </w:r>
      <w:r w:rsidRPr="00065DD2">
        <w:rPr>
          <w:rFonts w:cs="Arial"/>
          <w:rtl/>
        </w:rPr>
        <w:t xml:space="preserve"> איזהו העת שאינן צריכין הכרזה בעת שימכרו קרקע לקבורה או למזון האשה והבנות או ליתן מנת המלך אין צריכין הכרזה לפי שהדבר נחוץ</w:t>
      </w:r>
      <w:r>
        <w:rPr>
          <w:rFonts w:cs="Arial" w:hint="cs"/>
          <w:rtl/>
        </w:rPr>
        <w:t>.</w:t>
      </w:r>
      <w:r w:rsidRPr="00065DD2">
        <w:rPr>
          <w:rFonts w:cs="Arial"/>
          <w:rtl/>
        </w:rPr>
        <w:t xml:space="preserve"> וכן ב"ד שמכרו דברים שאינן טעונין הכרזה וטעו בשתות מכרן בטל</w:t>
      </w:r>
      <w:r>
        <w:rPr>
          <w:rFonts w:cs="Arial" w:hint="cs"/>
          <w:rtl/>
        </w:rPr>
        <w:t>.</w:t>
      </w:r>
      <w:r w:rsidRPr="00065DD2">
        <w:rPr>
          <w:rFonts w:cs="Arial"/>
          <w:rtl/>
        </w:rPr>
        <w:t xml:space="preserve"> פחות משתות מכרן קיים</w:t>
      </w:r>
      <w:r>
        <w:rPr>
          <w:rFonts w:cs="Arial" w:hint="cs"/>
          <w:rtl/>
        </w:rPr>
        <w:t>.</w:t>
      </w:r>
      <w:r w:rsidRPr="00065DD2">
        <w:rPr>
          <w:rFonts w:cs="Arial"/>
          <w:rtl/>
        </w:rPr>
        <w:t xml:space="preserve"> ואלו הן הדברים שאין מכריזין עליהם העבדים והשטרות והמטלטלין, העבדים שמא ישמעו ויברחו, והשטרות והמטלטלין שמא יגנבו</w:t>
      </w:r>
      <w:r>
        <w:rPr>
          <w:rFonts w:cs="Arial" w:hint="cs"/>
          <w:rtl/>
        </w:rPr>
        <w:t>.</w:t>
      </w:r>
      <w:r w:rsidRPr="00065DD2">
        <w:rPr>
          <w:rFonts w:cs="Arial"/>
          <w:rtl/>
        </w:rPr>
        <w:t xml:space="preserve"> לפיכך שמין אותן בבית דין ומוכרין אותן מיד, ואם השוק קרוב למדינה מוליכין אותן לשוק.</w:t>
      </w:r>
      <w:r>
        <w:rPr>
          <w:rFonts w:hint="cs"/>
          <w:rtl/>
        </w:rPr>
        <w:t xml:space="preserve"> </w:t>
      </w:r>
      <w:r w:rsidRPr="00CE0309">
        <w:rPr>
          <w:rFonts w:hint="cs"/>
          <w:color w:val="E36C0A" w:themeColor="accent6" w:themeShade="BF"/>
          <w:rtl/>
        </w:rPr>
        <w:t>(וכ"פ בשו"ע</w:t>
      </w:r>
      <w:r w:rsidRPr="00CE0309">
        <w:rPr>
          <w:rFonts w:hint="cs"/>
          <w:color w:val="E36C0A" w:themeColor="accent6" w:themeShade="BF"/>
          <w:sz w:val="16"/>
          <w:szCs w:val="16"/>
          <w:rtl/>
        </w:rPr>
        <w:t xml:space="preserve"> </w:t>
      </w:r>
      <w:r>
        <w:rPr>
          <w:rFonts w:hint="cs"/>
          <w:sz w:val="16"/>
          <w:szCs w:val="16"/>
          <w:rtl/>
        </w:rPr>
        <w:t>[כאן ובסע' ג-ד]</w:t>
      </w:r>
      <w:r w:rsidRPr="00CE0309">
        <w:rPr>
          <w:rFonts w:hint="cs"/>
          <w:color w:val="E36C0A" w:themeColor="accent6" w:themeShade="BF"/>
          <w:rtl/>
        </w:rPr>
        <w:t>)</w:t>
      </w:r>
    </w:p>
    <w:p w14:paraId="7A8952E3" w14:textId="37B366CC" w:rsidR="00392DBB" w:rsidRPr="004F6F87" w:rsidRDefault="00392DBB" w:rsidP="00392DBB">
      <w:pPr>
        <w:ind w:left="360"/>
        <w:rPr>
          <w:u w:val="dotted"/>
        </w:rPr>
      </w:pPr>
      <w:r w:rsidRPr="004F6F87">
        <w:rPr>
          <w:rFonts w:cs="Arial" w:hint="cs"/>
          <w:u w:val="dotted"/>
          <w:rtl/>
        </w:rPr>
        <w:t xml:space="preserve">ומה הדין </w:t>
      </w:r>
      <w:r w:rsidRPr="004F6F87">
        <w:rPr>
          <w:rFonts w:cs="Arial"/>
          <w:u w:val="dotted"/>
          <w:rtl/>
        </w:rPr>
        <w:t>אם הכריזו בדבר</w:t>
      </w:r>
      <w:r>
        <w:rPr>
          <w:rFonts w:cs="Arial" w:hint="cs"/>
          <w:u w:val="dotted"/>
          <w:rtl/>
        </w:rPr>
        <w:t>/במקום/בשעה</w:t>
      </w:r>
      <w:r w:rsidRPr="004F6F87">
        <w:rPr>
          <w:rFonts w:cs="Arial"/>
          <w:u w:val="dotted"/>
          <w:rtl/>
        </w:rPr>
        <w:t xml:space="preserve"> שאין </w:t>
      </w:r>
      <w:r>
        <w:rPr>
          <w:rFonts w:cs="Arial" w:hint="cs"/>
          <w:u w:val="dotted"/>
          <w:rtl/>
        </w:rPr>
        <w:t>מ</w:t>
      </w:r>
      <w:r w:rsidRPr="004F6F87">
        <w:rPr>
          <w:rFonts w:cs="Arial"/>
          <w:u w:val="dotted"/>
          <w:rtl/>
        </w:rPr>
        <w:t>כר</w:t>
      </w:r>
      <w:r>
        <w:rPr>
          <w:rFonts w:cs="Arial" w:hint="cs"/>
          <w:u w:val="dotted"/>
          <w:rtl/>
        </w:rPr>
        <w:t>י</w:t>
      </w:r>
      <w:r w:rsidRPr="004F6F87">
        <w:rPr>
          <w:rFonts w:cs="Arial"/>
          <w:u w:val="dotted"/>
          <w:rtl/>
        </w:rPr>
        <w:t>ז</w:t>
      </w:r>
      <w:r>
        <w:rPr>
          <w:rFonts w:cs="Arial" w:hint="cs"/>
          <w:u w:val="dotted"/>
          <w:rtl/>
        </w:rPr>
        <w:t>ים</w:t>
      </w:r>
      <w:r w:rsidRPr="004F6F87">
        <w:rPr>
          <w:rFonts w:cs="Arial" w:hint="cs"/>
          <w:u w:val="dotted"/>
          <w:rtl/>
        </w:rPr>
        <w:t xml:space="preserve"> </w:t>
      </w:r>
      <w:r w:rsidR="00F97626">
        <w:rPr>
          <w:rFonts w:cs="Arial"/>
          <w:u w:val="dotted"/>
          <w:rtl/>
        </w:rPr>
        <w:t>-</w:t>
      </w:r>
      <w:r w:rsidRPr="004F6F87">
        <w:rPr>
          <w:rFonts w:cs="Arial" w:hint="cs"/>
          <w:u w:val="dotted"/>
          <w:rtl/>
        </w:rPr>
        <w:t xml:space="preserve"> וטעו</w:t>
      </w:r>
      <w:r>
        <w:rPr>
          <w:rFonts w:cs="Arial" w:hint="cs"/>
          <w:u w:val="dotted"/>
          <w:rtl/>
        </w:rPr>
        <w:t xml:space="preserve"> בשתות</w:t>
      </w:r>
      <w:r w:rsidRPr="004F6F87">
        <w:rPr>
          <w:rFonts w:cs="Arial" w:hint="cs"/>
          <w:u w:val="dotted"/>
          <w:rtl/>
        </w:rPr>
        <w:t>:</w:t>
      </w:r>
    </w:p>
    <w:p w14:paraId="013DD75D" w14:textId="77777777" w:rsidR="00392DBB" w:rsidRPr="004F6F87" w:rsidRDefault="00392DBB" w:rsidP="009000E3">
      <w:pPr>
        <w:pStyle w:val="ab"/>
        <w:numPr>
          <w:ilvl w:val="0"/>
          <w:numId w:val="63"/>
        </w:numPr>
      </w:pPr>
      <w:r>
        <w:rPr>
          <w:rFonts w:cs="Arial" w:hint="cs"/>
          <w:rtl/>
        </w:rPr>
        <w:t xml:space="preserve">רי"ף </w:t>
      </w:r>
      <w:r w:rsidRPr="00FD09D2">
        <w:rPr>
          <w:rFonts w:cs="Arial" w:hint="cs"/>
          <w:sz w:val="16"/>
          <w:szCs w:val="16"/>
          <w:rtl/>
        </w:rPr>
        <w:t>(נח.)</w:t>
      </w:r>
      <w:r>
        <w:rPr>
          <w:rFonts w:cs="Arial" w:hint="cs"/>
          <w:rtl/>
        </w:rPr>
        <w:t xml:space="preserve"> ורמב"ם </w:t>
      </w:r>
      <w:r w:rsidRPr="00FD09D2">
        <w:rPr>
          <w:rFonts w:cs="Arial" w:hint="cs"/>
          <w:sz w:val="16"/>
          <w:szCs w:val="16"/>
          <w:rtl/>
        </w:rPr>
        <w:t>(פי"ב ממלוה הי"א)</w:t>
      </w:r>
      <w:r>
        <w:rPr>
          <w:rFonts w:cs="Arial" w:hint="cs"/>
          <w:rtl/>
        </w:rPr>
        <w:t xml:space="preserve">- </w:t>
      </w:r>
      <w:r w:rsidRPr="002C73A2">
        <w:rPr>
          <w:rFonts w:cs="Arial"/>
          <w:rtl/>
        </w:rPr>
        <w:t xml:space="preserve">אם הכריזו בדבר שאין צריך הכרזה או בשעה או במקום שאין מכריזין </w:t>
      </w:r>
      <w:r>
        <w:rPr>
          <w:rFonts w:cs="Arial" w:hint="cs"/>
          <w:rtl/>
        </w:rPr>
        <w:t xml:space="preserve">- </w:t>
      </w:r>
      <w:r w:rsidRPr="002C73A2">
        <w:rPr>
          <w:rFonts w:cs="Arial"/>
          <w:rtl/>
        </w:rPr>
        <w:t>כמאן דליתיה דמי ואם טעו בשתות מכרן בטל</w:t>
      </w:r>
      <w:r>
        <w:rPr>
          <w:rFonts w:cs="Arial" w:hint="cs"/>
          <w:sz w:val="16"/>
          <w:szCs w:val="16"/>
          <w:rtl/>
        </w:rPr>
        <w:t xml:space="preserve"> (ל' הטור בשם הרי"ף)</w:t>
      </w:r>
      <w:r>
        <w:rPr>
          <w:rFonts w:cs="Arial" w:hint="cs"/>
          <w:rtl/>
        </w:rPr>
        <w:t>.</w:t>
      </w:r>
      <w:r w:rsidRPr="002C73A2">
        <w:rPr>
          <w:rFonts w:cs="Arial"/>
          <w:rtl/>
        </w:rPr>
        <w:t xml:space="preserve"> </w:t>
      </w:r>
      <w:r w:rsidRPr="00CE0309">
        <w:rPr>
          <w:rFonts w:hint="cs"/>
          <w:color w:val="E36C0A" w:themeColor="accent6" w:themeShade="BF"/>
          <w:rtl/>
        </w:rPr>
        <w:t>(וכ"פ בשו"ע</w:t>
      </w:r>
      <w:r w:rsidRPr="00CE0309">
        <w:rPr>
          <w:rFonts w:hint="cs"/>
          <w:color w:val="E36C0A" w:themeColor="accent6" w:themeShade="BF"/>
          <w:sz w:val="16"/>
          <w:szCs w:val="16"/>
          <w:rtl/>
        </w:rPr>
        <w:t xml:space="preserve"> </w:t>
      </w:r>
      <w:r>
        <w:rPr>
          <w:rFonts w:hint="cs"/>
          <w:sz w:val="16"/>
          <w:szCs w:val="16"/>
          <w:rtl/>
        </w:rPr>
        <w:t>[בסע' ג]</w:t>
      </w:r>
      <w:r w:rsidRPr="00CE0309">
        <w:rPr>
          <w:rFonts w:hint="cs"/>
          <w:color w:val="E36C0A" w:themeColor="accent6" w:themeShade="BF"/>
          <w:rtl/>
        </w:rPr>
        <w:t>)</w:t>
      </w:r>
    </w:p>
    <w:p w14:paraId="3C7BB8DE" w14:textId="77777777" w:rsidR="00392DBB" w:rsidRPr="00FF1A47" w:rsidRDefault="00392DBB" w:rsidP="009000E3">
      <w:pPr>
        <w:pStyle w:val="ab"/>
        <w:numPr>
          <w:ilvl w:val="0"/>
          <w:numId w:val="63"/>
        </w:numPr>
      </w:pPr>
      <w:r>
        <w:rPr>
          <w:rFonts w:cs="Arial"/>
          <w:rtl/>
        </w:rPr>
        <w:t>רבינו האיי</w:t>
      </w:r>
      <w:r w:rsidRPr="00FD09D2">
        <w:rPr>
          <w:rFonts w:cs="Arial"/>
          <w:sz w:val="16"/>
          <w:szCs w:val="16"/>
          <w:rtl/>
        </w:rPr>
        <w:t xml:space="preserve"> (ס' המקח והממכר שער ו</w:t>
      </w:r>
      <w:r w:rsidRPr="00FD09D2">
        <w:rPr>
          <w:rFonts w:cs="Arial" w:hint="cs"/>
          <w:sz w:val="16"/>
          <w:szCs w:val="16"/>
          <w:rtl/>
        </w:rPr>
        <w:t xml:space="preserve">, הביאן הר"ן [נח.] </w:t>
      </w:r>
      <w:r>
        <w:rPr>
          <w:rFonts w:cs="Arial" w:hint="cs"/>
          <w:rtl/>
        </w:rPr>
        <w:t>ו</w:t>
      </w:r>
      <w:r w:rsidRPr="002C73A2">
        <w:rPr>
          <w:rFonts w:cs="Arial"/>
          <w:rtl/>
        </w:rPr>
        <w:t>רא"ש</w:t>
      </w:r>
      <w:r>
        <w:rPr>
          <w:rFonts w:cs="Arial" w:hint="cs"/>
          <w:sz w:val="16"/>
          <w:szCs w:val="16"/>
          <w:rtl/>
        </w:rPr>
        <w:t xml:space="preserve"> (פי"א ס"כ)</w:t>
      </w:r>
      <w:r>
        <w:rPr>
          <w:rFonts w:cs="Arial" w:hint="cs"/>
          <w:rtl/>
        </w:rPr>
        <w:t>-</w:t>
      </w:r>
      <w:r w:rsidRPr="002C73A2">
        <w:rPr>
          <w:rFonts w:cs="Arial"/>
          <w:rtl/>
        </w:rPr>
        <w:t xml:space="preserve"> כיון שהכריזו אף על פי שלא היו צריכין אם טעו אפילו בכפל</w:t>
      </w:r>
      <w:r>
        <w:rPr>
          <w:rStyle w:val="a7"/>
          <w:rFonts w:cs="Arial"/>
          <w:rtl/>
        </w:rPr>
        <w:footnoteReference w:id="2275"/>
      </w:r>
      <w:r w:rsidRPr="002C73A2">
        <w:rPr>
          <w:rFonts w:cs="Arial"/>
          <w:rtl/>
        </w:rPr>
        <w:t xml:space="preserve"> המקח קיים</w:t>
      </w:r>
      <w:r>
        <w:rPr>
          <w:rFonts w:cs="Arial" w:hint="cs"/>
          <w:sz w:val="16"/>
          <w:szCs w:val="16"/>
          <w:rtl/>
        </w:rPr>
        <w:t xml:space="preserve"> (ל' הטור בשם הרא"ש)</w:t>
      </w:r>
      <w:r>
        <w:rPr>
          <w:rFonts w:cs="Arial" w:hint="cs"/>
          <w:rtl/>
        </w:rPr>
        <w:t>.</w:t>
      </w:r>
      <w:r w:rsidRPr="00CE0309">
        <w:rPr>
          <w:rFonts w:hint="cs"/>
          <w:color w:val="E36C0A" w:themeColor="accent6" w:themeShade="BF"/>
          <w:rtl/>
        </w:rPr>
        <w:t xml:space="preserve"> </w:t>
      </w:r>
      <w:r w:rsidRPr="00CE0309">
        <w:rPr>
          <w:rFonts w:hint="cs"/>
          <w:color w:val="00B0F0"/>
          <w:rtl/>
        </w:rPr>
        <w:t xml:space="preserve">(וכ"כ הרמ"א </w:t>
      </w:r>
      <w:r>
        <w:rPr>
          <w:rFonts w:hint="cs"/>
          <w:sz w:val="16"/>
          <w:szCs w:val="16"/>
          <w:rtl/>
        </w:rPr>
        <w:t>[בסע' ג]</w:t>
      </w:r>
      <w:r w:rsidRPr="00CE0309">
        <w:rPr>
          <w:rFonts w:hint="cs"/>
          <w:color w:val="00B0F0"/>
          <w:rtl/>
        </w:rPr>
        <w:t>)</w:t>
      </w:r>
    </w:p>
    <w:p w14:paraId="716FEB52" w14:textId="338F3620" w:rsidR="00392DBB" w:rsidRPr="00FF1A47" w:rsidRDefault="00392DBB" w:rsidP="00392DBB">
      <w:pPr>
        <w:ind w:left="360"/>
        <w:rPr>
          <w:u w:val="dotted"/>
        </w:rPr>
      </w:pPr>
      <w:r w:rsidRPr="00FF1A47">
        <w:rPr>
          <w:rFonts w:hint="cs"/>
          <w:u w:val="dotted"/>
          <w:rtl/>
        </w:rPr>
        <w:t xml:space="preserve">במקרה שטעו בכפל ומכרן קיים </w:t>
      </w:r>
      <w:r w:rsidRPr="00FF1A47">
        <w:rPr>
          <w:rFonts w:hint="cs"/>
          <w:sz w:val="16"/>
          <w:szCs w:val="16"/>
          <w:u w:val="dotted"/>
          <w:rtl/>
        </w:rPr>
        <w:t>(מר כדאית ליה ומר כדאית ליה)</w:t>
      </w:r>
      <w:r w:rsidRPr="00FF1A47">
        <w:rPr>
          <w:rFonts w:hint="cs"/>
          <w:u w:val="dotted"/>
          <w:rtl/>
        </w:rPr>
        <w:t xml:space="preserve"> </w:t>
      </w:r>
      <w:r w:rsidR="00F97626">
        <w:rPr>
          <w:u w:val="dotted"/>
          <w:rtl/>
        </w:rPr>
        <w:t>-</w:t>
      </w:r>
      <w:r w:rsidRPr="00FF1A47">
        <w:rPr>
          <w:rFonts w:hint="cs"/>
          <w:u w:val="dotted"/>
          <w:rtl/>
        </w:rPr>
        <w:t xml:space="preserve"> האם הוא הדין אפילו אם טעו ביותר מכך:</w:t>
      </w:r>
    </w:p>
    <w:p w14:paraId="6DA3A9D0" w14:textId="77777777" w:rsidR="00392DBB" w:rsidRPr="004F6F87" w:rsidRDefault="00392DBB" w:rsidP="009000E3">
      <w:pPr>
        <w:pStyle w:val="ab"/>
        <w:numPr>
          <w:ilvl w:val="0"/>
          <w:numId w:val="63"/>
        </w:numPr>
      </w:pPr>
      <w:r>
        <w:rPr>
          <w:rFonts w:cs="Arial"/>
          <w:rtl/>
        </w:rPr>
        <w:t xml:space="preserve">רמב"ן </w:t>
      </w:r>
      <w:r w:rsidRPr="00FF1A47">
        <w:rPr>
          <w:rFonts w:cs="Arial"/>
          <w:sz w:val="16"/>
          <w:szCs w:val="16"/>
          <w:rtl/>
        </w:rPr>
        <w:t>(צט: ד"ה ומסתברא</w:t>
      </w:r>
      <w:r>
        <w:rPr>
          <w:rFonts w:cs="Arial" w:hint="cs"/>
          <w:sz w:val="16"/>
          <w:szCs w:val="16"/>
          <w:rtl/>
        </w:rPr>
        <w:t>, הביאו הר"ן [נח.]</w:t>
      </w:r>
      <w:r w:rsidRPr="00FF1A47">
        <w:rPr>
          <w:rFonts w:cs="Arial"/>
          <w:sz w:val="16"/>
          <w:szCs w:val="16"/>
          <w:rtl/>
        </w:rPr>
        <w:t>)</w:t>
      </w:r>
      <w:r>
        <w:rPr>
          <w:rFonts w:cs="Arial" w:hint="cs"/>
          <w:rtl/>
        </w:rPr>
        <w:t>-</w:t>
      </w:r>
      <w:r>
        <w:rPr>
          <w:rFonts w:cs="Arial"/>
          <w:rtl/>
        </w:rPr>
        <w:t xml:space="preserve"> דוקא שוה ק' בק"ק</w:t>
      </w:r>
      <w:r>
        <w:rPr>
          <w:rFonts w:cs="Arial" w:hint="cs"/>
          <w:rtl/>
        </w:rPr>
        <w:t>,</w:t>
      </w:r>
      <w:r>
        <w:rPr>
          <w:rFonts w:cs="Arial"/>
          <w:rtl/>
        </w:rPr>
        <w:t xml:space="preserve"> או ק"ק במנה</w:t>
      </w:r>
      <w:r>
        <w:rPr>
          <w:rFonts w:cs="Arial" w:hint="cs"/>
          <w:rtl/>
        </w:rPr>
        <w:t>,</w:t>
      </w:r>
      <w:r>
        <w:rPr>
          <w:rFonts w:cs="Arial"/>
          <w:rtl/>
        </w:rPr>
        <w:t xml:space="preserve"> אבל יותר על כן או פחות מכן </w:t>
      </w:r>
      <w:r>
        <w:rPr>
          <w:rFonts w:cs="Arial" w:hint="cs"/>
          <w:rtl/>
        </w:rPr>
        <w:t xml:space="preserve">- </w:t>
      </w:r>
      <w:r>
        <w:rPr>
          <w:rFonts w:cs="Arial"/>
          <w:rtl/>
        </w:rPr>
        <w:t>מכרן בטל</w:t>
      </w:r>
      <w:r>
        <w:rPr>
          <w:rFonts w:cs="Arial" w:hint="cs"/>
          <w:rtl/>
        </w:rPr>
        <w:t>,</w:t>
      </w:r>
      <w:r>
        <w:rPr>
          <w:rFonts w:cs="Arial"/>
          <w:rtl/>
        </w:rPr>
        <w:t xml:space="preserve"> כדאמרינן בפרק מי שמת (ב"ב קמו.) גבי אכל שם סעודת חתן אפילו בדינר</w:t>
      </w:r>
      <w:r>
        <w:rPr>
          <w:rFonts w:cs="Arial" w:hint="cs"/>
          <w:rtl/>
        </w:rPr>
        <w:t>.</w:t>
      </w:r>
      <w:r w:rsidRPr="002C73A2">
        <w:rPr>
          <w:rFonts w:cs="Arial"/>
          <w:rtl/>
        </w:rPr>
        <w:t xml:space="preserve"> </w:t>
      </w:r>
    </w:p>
    <w:p w14:paraId="3AB688AC" w14:textId="0B3EACFB" w:rsidR="00392DBB" w:rsidRPr="00C532DC" w:rsidRDefault="00392DBB" w:rsidP="00392DBB">
      <w:pPr>
        <w:ind w:left="360"/>
        <w:rPr>
          <w:u w:val="dotted"/>
        </w:rPr>
      </w:pPr>
      <w:r w:rsidRPr="00C532DC">
        <w:rPr>
          <w:rFonts w:cs="Arial"/>
          <w:u w:val="dotted"/>
          <w:rtl/>
        </w:rPr>
        <w:t xml:space="preserve">היכא שטעו בפחות משתות בדבר שאין מכריזין </w:t>
      </w:r>
      <w:r w:rsidRPr="00C532DC">
        <w:rPr>
          <w:rFonts w:cs="Arial" w:hint="cs"/>
          <w:sz w:val="16"/>
          <w:szCs w:val="16"/>
          <w:u w:val="dotted"/>
          <w:rtl/>
        </w:rPr>
        <w:t>(</w:t>
      </w:r>
      <w:r w:rsidRPr="00C532DC">
        <w:rPr>
          <w:rFonts w:cs="Arial"/>
          <w:sz w:val="16"/>
          <w:szCs w:val="16"/>
          <w:u w:val="dotted"/>
          <w:rtl/>
        </w:rPr>
        <w:t>שמכרן קיים</w:t>
      </w:r>
      <w:r>
        <w:rPr>
          <w:rFonts w:cs="Arial" w:hint="cs"/>
          <w:sz w:val="16"/>
          <w:szCs w:val="16"/>
          <w:u w:val="dotted"/>
          <w:rtl/>
        </w:rPr>
        <w:t>)</w:t>
      </w:r>
      <w:r w:rsidRPr="00C532DC">
        <w:rPr>
          <w:rFonts w:cs="Arial" w:hint="cs"/>
          <w:u w:val="dotted"/>
          <w:rtl/>
        </w:rPr>
        <w:t xml:space="preserve"> </w:t>
      </w:r>
      <w:r w:rsidR="00F97626">
        <w:rPr>
          <w:rFonts w:cs="Arial"/>
          <w:u w:val="dotted"/>
          <w:rtl/>
        </w:rPr>
        <w:t>-</w:t>
      </w:r>
      <w:r w:rsidRPr="00C532DC">
        <w:rPr>
          <w:rFonts w:cs="Arial" w:hint="cs"/>
          <w:u w:val="dotted"/>
          <w:rtl/>
        </w:rPr>
        <w:t xml:space="preserve"> האם צריכים להחזיר את ההונאה:</w:t>
      </w:r>
    </w:p>
    <w:p w14:paraId="07A60EEC" w14:textId="77777777" w:rsidR="00392DBB" w:rsidRPr="00C532DC" w:rsidRDefault="00392DBB" w:rsidP="009000E3">
      <w:pPr>
        <w:pStyle w:val="ab"/>
        <w:numPr>
          <w:ilvl w:val="0"/>
          <w:numId w:val="63"/>
        </w:numPr>
      </w:pPr>
      <w:r>
        <w:rPr>
          <w:rFonts w:cs="Arial" w:hint="cs"/>
          <w:rtl/>
        </w:rPr>
        <w:t>ר"י</w:t>
      </w:r>
      <w:r>
        <w:rPr>
          <w:rFonts w:cs="Arial" w:hint="cs"/>
          <w:sz w:val="16"/>
          <w:szCs w:val="16"/>
          <w:rtl/>
        </w:rPr>
        <w:t xml:space="preserve"> (כ"כ בשמו הרא"ש</w:t>
      </w:r>
      <w:r>
        <w:rPr>
          <w:rStyle w:val="a7"/>
          <w:rFonts w:cs="Arial"/>
          <w:sz w:val="16"/>
          <w:szCs w:val="16"/>
          <w:rtl/>
        </w:rPr>
        <w:footnoteReference w:id="2276"/>
      </w:r>
      <w:r>
        <w:rPr>
          <w:rFonts w:cs="Arial" w:hint="cs"/>
          <w:sz w:val="16"/>
          <w:szCs w:val="16"/>
          <w:rtl/>
        </w:rPr>
        <w:t xml:space="preserve"> והטור)</w:t>
      </w:r>
      <w:r>
        <w:rPr>
          <w:rFonts w:cs="Arial" w:hint="cs"/>
          <w:rtl/>
        </w:rPr>
        <w:t xml:space="preserve">- </w:t>
      </w:r>
      <w:r w:rsidRPr="002C73A2">
        <w:rPr>
          <w:rFonts w:cs="Arial"/>
          <w:rtl/>
        </w:rPr>
        <w:t xml:space="preserve">היכא שטעו בפחות משתות בדבר שאין מכריזין שמכרן קיים </w:t>
      </w:r>
      <w:r>
        <w:rPr>
          <w:rFonts w:cs="Arial" w:hint="cs"/>
          <w:rtl/>
        </w:rPr>
        <w:t xml:space="preserve">- </w:t>
      </w:r>
      <w:r w:rsidRPr="002C73A2">
        <w:rPr>
          <w:rFonts w:cs="Arial"/>
          <w:rtl/>
        </w:rPr>
        <w:t>צריכין להחזיר האונאה</w:t>
      </w:r>
      <w:r>
        <w:rPr>
          <w:rFonts w:cs="Arial" w:hint="cs"/>
          <w:sz w:val="16"/>
          <w:szCs w:val="16"/>
          <w:rtl/>
        </w:rPr>
        <w:t xml:space="preserve"> (ל' הטור בשם ר"י)</w:t>
      </w:r>
      <w:r>
        <w:rPr>
          <w:rFonts w:cs="Arial" w:hint="cs"/>
          <w:rtl/>
        </w:rPr>
        <w:t>.</w:t>
      </w:r>
    </w:p>
    <w:p w14:paraId="08971E72" w14:textId="77777777" w:rsidR="00392DBB" w:rsidRDefault="00392DBB" w:rsidP="009000E3">
      <w:pPr>
        <w:pStyle w:val="ab"/>
        <w:numPr>
          <w:ilvl w:val="0"/>
          <w:numId w:val="63"/>
        </w:numPr>
      </w:pPr>
      <w:r w:rsidRPr="002C73A2">
        <w:rPr>
          <w:rFonts w:cs="Arial"/>
          <w:rtl/>
        </w:rPr>
        <w:t>רמב"ם</w:t>
      </w:r>
      <w:r>
        <w:rPr>
          <w:rFonts w:cs="Arial" w:hint="cs"/>
          <w:sz w:val="16"/>
          <w:szCs w:val="16"/>
          <w:rtl/>
        </w:rPr>
        <w:t xml:space="preserve"> (פי"ג ממכירה ה"י)</w:t>
      </w:r>
      <w:r w:rsidRPr="002C73A2">
        <w:rPr>
          <w:rFonts w:cs="Arial"/>
          <w:rtl/>
        </w:rPr>
        <w:t xml:space="preserve"> </w:t>
      </w:r>
      <w:r>
        <w:rPr>
          <w:rFonts w:cs="Arial" w:hint="cs"/>
          <w:rtl/>
        </w:rPr>
        <w:t xml:space="preserve">ורא"ש </w:t>
      </w:r>
      <w:r w:rsidRPr="00D65942">
        <w:rPr>
          <w:rFonts w:cs="Arial"/>
          <w:sz w:val="16"/>
          <w:szCs w:val="16"/>
          <w:rtl/>
        </w:rPr>
        <w:t>(</w:t>
      </w:r>
      <w:r w:rsidRPr="00D65942">
        <w:rPr>
          <w:rFonts w:cs="Arial" w:hint="cs"/>
          <w:sz w:val="16"/>
          <w:szCs w:val="16"/>
          <w:rtl/>
        </w:rPr>
        <w:t xml:space="preserve">פי"א </w:t>
      </w:r>
      <w:r w:rsidRPr="00D65942">
        <w:rPr>
          <w:rFonts w:cs="Arial"/>
          <w:sz w:val="16"/>
          <w:szCs w:val="16"/>
          <w:rtl/>
        </w:rPr>
        <w:t>סי' יז)</w:t>
      </w:r>
      <w:r>
        <w:rPr>
          <w:rFonts w:cs="Arial" w:hint="cs"/>
          <w:rtl/>
        </w:rPr>
        <w:t xml:space="preserve">- </w:t>
      </w:r>
      <w:r w:rsidRPr="00D65942">
        <w:rPr>
          <w:rFonts w:cs="Arial"/>
          <w:rtl/>
        </w:rPr>
        <w:t>בית דין שמכרו נכסי יתומים וטעו בין בקרקעות בין במטלטלין, אם טעו בפחות משתות הרי זו מחילה כהדיוט</w:t>
      </w:r>
      <w:r>
        <w:rPr>
          <w:rFonts w:cs="Arial" w:hint="cs"/>
          <w:sz w:val="16"/>
          <w:szCs w:val="16"/>
          <w:rtl/>
        </w:rPr>
        <w:t xml:space="preserve"> (ל' הרמב"ם)</w:t>
      </w:r>
      <w:r>
        <w:rPr>
          <w:rFonts w:cs="Arial" w:hint="cs"/>
          <w:rtl/>
        </w:rPr>
        <w:t>.</w:t>
      </w:r>
      <w:r w:rsidRPr="002C73A2">
        <w:rPr>
          <w:rFonts w:cs="Arial"/>
          <w:rtl/>
        </w:rPr>
        <w:t xml:space="preserve"> </w:t>
      </w:r>
      <w:r w:rsidRPr="00CE0309">
        <w:rPr>
          <w:rFonts w:hint="cs"/>
          <w:color w:val="E36C0A" w:themeColor="accent6" w:themeShade="BF"/>
          <w:rtl/>
        </w:rPr>
        <w:t>(וכ"פ בשו"ע</w:t>
      </w:r>
      <w:r w:rsidRPr="00CE0309">
        <w:rPr>
          <w:rFonts w:hint="cs"/>
          <w:color w:val="E36C0A" w:themeColor="accent6" w:themeShade="BF"/>
          <w:sz w:val="16"/>
          <w:szCs w:val="16"/>
          <w:rtl/>
        </w:rPr>
        <w:t xml:space="preserve"> </w:t>
      </w:r>
      <w:r>
        <w:rPr>
          <w:rFonts w:hint="cs"/>
          <w:sz w:val="16"/>
          <w:szCs w:val="16"/>
          <w:rtl/>
        </w:rPr>
        <w:t>[בסע' ג]</w:t>
      </w:r>
      <w:r w:rsidRPr="00CE0309">
        <w:rPr>
          <w:rFonts w:hint="cs"/>
          <w:color w:val="E36C0A" w:themeColor="accent6" w:themeShade="BF"/>
          <w:rtl/>
        </w:rPr>
        <w:t>)</w:t>
      </w:r>
    </w:p>
    <w:p w14:paraId="2877C36C"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590CF11" w14:textId="77777777" w:rsidR="00392DBB" w:rsidRDefault="00392DBB" w:rsidP="00392DBB">
      <w:pPr>
        <w:rPr>
          <w:rtl/>
        </w:rPr>
      </w:pPr>
      <w:r>
        <w:rPr>
          <w:rFonts w:cs="Arial"/>
          <w:rtl/>
        </w:rPr>
        <w:t>ב</w:t>
      </w:r>
      <w:r>
        <w:rPr>
          <w:rFonts w:cs="Arial" w:hint="cs"/>
          <w:rtl/>
        </w:rPr>
        <w:t xml:space="preserve">ית </w:t>
      </w:r>
      <w:r>
        <w:rPr>
          <w:rFonts w:cs="Arial"/>
          <w:rtl/>
        </w:rPr>
        <w:t>ד</w:t>
      </w:r>
      <w:r>
        <w:rPr>
          <w:rFonts w:cs="Arial" w:hint="cs"/>
          <w:rtl/>
        </w:rPr>
        <w:t>ין</w:t>
      </w:r>
      <w:r>
        <w:rPr>
          <w:rFonts w:cs="Arial"/>
          <w:rtl/>
        </w:rPr>
        <w:t xml:space="preserve"> שמכרו שלא בהכרזה, אפילו מכרו שוה בשוה, נעשו כמי שטעה בדבר משנה וחוזרים ומוכרים בהכרזה. </w:t>
      </w:r>
    </w:p>
    <w:p w14:paraId="6F6487EE" w14:textId="77777777" w:rsidR="00392DBB" w:rsidRDefault="00392DBB" w:rsidP="00392DBB">
      <w:pPr>
        <w:rPr>
          <w:rtl/>
        </w:rPr>
      </w:pPr>
    </w:p>
    <w:p w14:paraId="7EBF9D9C" w14:textId="77777777" w:rsidR="00392DBB" w:rsidRDefault="00392DBB" w:rsidP="000F64D0">
      <w:pPr>
        <w:pStyle w:val="2"/>
        <w:rPr>
          <w:rtl/>
        </w:rPr>
      </w:pPr>
      <w:r>
        <w:rPr>
          <w:rtl/>
        </w:rPr>
        <w:t>סעיף ג</w:t>
      </w:r>
      <w:r>
        <w:rPr>
          <w:rFonts w:hint="cs"/>
          <w:rtl/>
        </w:rPr>
        <w:t>:</w:t>
      </w:r>
      <w:r w:rsidRPr="007E3F62">
        <w:rPr>
          <w:rFonts w:hint="cs"/>
          <w:rtl/>
        </w:rPr>
        <w:t xml:space="preserve"> </w:t>
      </w:r>
      <w:r>
        <w:rPr>
          <w:rFonts w:hint="cs"/>
          <w:rtl/>
        </w:rPr>
        <w:t>בית דין שהכריזו, וטעו</w:t>
      </w:r>
    </w:p>
    <w:p w14:paraId="180E5619" w14:textId="77777777" w:rsidR="00392DBB" w:rsidRPr="009777C0" w:rsidRDefault="00392DBB" w:rsidP="00392DBB">
      <w:pPr>
        <w:rPr>
          <w:rtl/>
        </w:rPr>
      </w:pPr>
      <w:r>
        <w:rPr>
          <w:rFonts w:hint="cs"/>
          <w:rtl/>
        </w:rPr>
        <w:t>עיין במקורות בסעיף ב.</w:t>
      </w:r>
    </w:p>
    <w:p w14:paraId="7909AA43" w14:textId="77777777" w:rsidR="00392DBB" w:rsidRPr="00E23D01" w:rsidRDefault="00392DBB" w:rsidP="00392DBB">
      <w:pPr>
        <w:rPr>
          <w:rFonts w:cs="Arial"/>
          <w:u w:val="single"/>
        </w:rPr>
      </w:pPr>
      <w:r w:rsidRPr="00CD733A">
        <w:rPr>
          <w:rFonts w:cs="Arial"/>
          <w:u w:val="single"/>
          <w:rtl/>
        </w:rPr>
        <w:t xml:space="preserve">מקום שנהגו בו שלא להכריז </w:t>
      </w:r>
      <w:r>
        <w:rPr>
          <w:rFonts w:cs="Arial" w:hint="cs"/>
          <w:u w:val="single"/>
          <w:rtl/>
        </w:rPr>
        <w:t xml:space="preserve">- </w:t>
      </w:r>
      <w:r w:rsidRPr="00CD733A">
        <w:rPr>
          <w:rFonts w:cs="Arial"/>
          <w:u w:val="single"/>
          <w:rtl/>
        </w:rPr>
        <w:t>ולא נודע עיקרו של דבר למה נמנעו מלהכריז</w:t>
      </w:r>
      <w:r w:rsidRPr="00CD733A">
        <w:rPr>
          <w:rFonts w:cs="Arial" w:hint="cs"/>
          <w:u w:val="single"/>
          <w:rtl/>
        </w:rPr>
        <w:t>:</w:t>
      </w:r>
      <w:r w:rsidRPr="00CD733A">
        <w:rPr>
          <w:rFonts w:cs="Arial"/>
          <w:u w:val="single"/>
          <w:rtl/>
        </w:rPr>
        <w:t xml:space="preserve"> </w:t>
      </w:r>
    </w:p>
    <w:p w14:paraId="02D5BA7D" w14:textId="36D50ACF" w:rsidR="00392DBB" w:rsidRDefault="00392DBB" w:rsidP="009000E3">
      <w:pPr>
        <w:pStyle w:val="ab"/>
        <w:numPr>
          <w:ilvl w:val="0"/>
          <w:numId w:val="64"/>
        </w:numPr>
      </w:pPr>
      <w:r>
        <w:rPr>
          <w:rFonts w:cs="Arial" w:hint="cs"/>
          <w:rtl/>
        </w:rPr>
        <w:t xml:space="preserve">רשב"א </w:t>
      </w:r>
      <w:r w:rsidRPr="004862B7">
        <w:rPr>
          <w:rFonts w:cs="Arial" w:hint="cs"/>
          <w:sz w:val="16"/>
          <w:szCs w:val="16"/>
          <w:rtl/>
        </w:rPr>
        <w:t>(במיוחסות סי' נד)</w:t>
      </w:r>
      <w:r>
        <w:rPr>
          <w:rFonts w:cs="Arial" w:hint="cs"/>
          <w:rtl/>
        </w:rPr>
        <w:t xml:space="preserve">- </w:t>
      </w:r>
      <w:r>
        <w:rPr>
          <w:rFonts w:cs="Arial"/>
          <w:rtl/>
        </w:rPr>
        <w:t>שאלה באלמנה שהגבו לה בית דין קרקע בשומא על פי בקיאין</w:t>
      </w:r>
      <w:r>
        <w:rPr>
          <w:rFonts w:cs="Arial" w:hint="cs"/>
          <w:rtl/>
        </w:rPr>
        <w:t>,</w:t>
      </w:r>
      <w:r>
        <w:rPr>
          <w:rFonts w:cs="Arial"/>
          <w:rtl/>
        </w:rPr>
        <w:t xml:space="preserve"> אבל לא עשו הכרזה</w:t>
      </w:r>
      <w:r>
        <w:rPr>
          <w:rFonts w:cs="Arial" w:hint="cs"/>
          <w:rtl/>
        </w:rPr>
        <w:t>..</w:t>
      </w:r>
      <w:r>
        <w:rPr>
          <w:rFonts w:cs="Arial"/>
          <w:rtl/>
        </w:rPr>
        <w:t>. ובכל הארץ הזאת כשבית דין מגבין קרקע לאלמנה בכתובתה שמין לה ואין מכריזין כלל</w:t>
      </w:r>
      <w:r>
        <w:rPr>
          <w:rFonts w:cs="Arial" w:hint="cs"/>
          <w:rtl/>
        </w:rPr>
        <w:t>.</w:t>
      </w:r>
      <w:r>
        <w:rPr>
          <w:rFonts w:cs="Arial"/>
          <w:rtl/>
        </w:rPr>
        <w:t xml:space="preserve"> </w:t>
      </w:r>
      <w:r>
        <w:rPr>
          <w:rFonts w:cs="Arial" w:hint="cs"/>
          <w:rtl/>
        </w:rPr>
        <w:t xml:space="preserve">    </w:t>
      </w:r>
      <w:r w:rsidR="00FE210D">
        <w:rPr>
          <w:rFonts w:cs="Arial"/>
          <w:rtl/>
        </w:rPr>
        <w:t xml:space="preserve">      תשובה:</w:t>
      </w:r>
      <w:r>
        <w:rPr>
          <w:rFonts w:cs="Arial" w:hint="cs"/>
          <w:rtl/>
        </w:rPr>
        <w:t>...</w:t>
      </w:r>
      <w:r w:rsidRPr="00C038A9">
        <w:rPr>
          <w:rFonts w:cs="Arial"/>
          <w:rtl/>
        </w:rPr>
        <w:t xml:space="preserve"> גרסינן התם </w:t>
      </w:r>
      <w:r>
        <w:rPr>
          <w:rFonts w:cs="Arial" w:hint="cs"/>
          <w:rtl/>
        </w:rPr>
        <w:t>(כתובות ק.)</w:t>
      </w:r>
      <w:r w:rsidRPr="00C038A9">
        <w:rPr>
          <w:rFonts w:cs="Arial"/>
          <w:rtl/>
        </w:rPr>
        <w:t xml:space="preserve"> דלא שנא שליח ולא שנא בית דין שמכרו שלא בהכרזה נעשו כמי שטעו בדבר משנה וחוזרין. ולעולם מכריזין חוץ מתלת.</w:t>
      </w:r>
      <w:r>
        <w:rPr>
          <w:rFonts w:cs="Arial" w:hint="cs"/>
          <w:rtl/>
        </w:rPr>
        <w:t>.</w:t>
      </w:r>
      <w:r w:rsidRPr="00C038A9">
        <w:rPr>
          <w:rFonts w:cs="Arial"/>
          <w:rtl/>
        </w:rPr>
        <w:t>. ואע</w:t>
      </w:r>
      <w:r>
        <w:rPr>
          <w:rFonts w:cs="Arial" w:hint="cs"/>
          <w:rtl/>
        </w:rPr>
        <w:t>"</w:t>
      </w:r>
      <w:r w:rsidRPr="00C038A9">
        <w:rPr>
          <w:rFonts w:cs="Arial"/>
          <w:rtl/>
        </w:rPr>
        <w:t>פ שאמרו דבמקום שאין מכריזין מוכרין שלא בהכרזה</w:t>
      </w:r>
      <w:r>
        <w:rPr>
          <w:rFonts w:cs="Arial" w:hint="cs"/>
          <w:rtl/>
        </w:rPr>
        <w:t>,</w:t>
      </w:r>
      <w:r w:rsidRPr="00C038A9">
        <w:rPr>
          <w:rtl/>
        </w:rPr>
        <w:t xml:space="preserve"> </w:t>
      </w:r>
      <w:r w:rsidRPr="00C038A9">
        <w:rPr>
          <w:rFonts w:cs="Arial"/>
          <w:rtl/>
        </w:rPr>
        <w:t>וכדאמר רב נחמן</w:t>
      </w:r>
      <w:r>
        <w:rPr>
          <w:rFonts w:cs="Arial" w:hint="cs"/>
          <w:rtl/>
        </w:rPr>
        <w:t xml:space="preserve"> (ק:)...</w:t>
      </w:r>
      <w:r w:rsidRPr="00C038A9">
        <w:rPr>
          <w:rFonts w:cs="Arial"/>
          <w:rtl/>
        </w:rPr>
        <w:t xml:space="preserve"> ואמרת שלא נהגו בכל אותה הארץ להכריז כשמגבין כתובת אלמנה</w:t>
      </w:r>
      <w:r>
        <w:rPr>
          <w:rFonts w:cs="Arial" w:hint="cs"/>
          <w:rtl/>
        </w:rPr>
        <w:t xml:space="preserve"> -</w:t>
      </w:r>
      <w:r w:rsidRPr="00C038A9">
        <w:rPr>
          <w:rFonts w:cs="Arial"/>
          <w:rtl/>
        </w:rPr>
        <w:t xml:space="preserve"> מסתברא שאין קרוי מקום שאין מכריזין. דלא אמרו אלא כשנמנעין מלהכריז מחמת שלא ימנעו מלקנות. ובלא הכרזה טב להו ליתמי</w:t>
      </w:r>
      <w:r>
        <w:rPr>
          <w:rFonts w:cs="Arial" w:hint="cs"/>
          <w:rtl/>
        </w:rPr>
        <w:t xml:space="preserve"> </w:t>
      </w:r>
      <w:r w:rsidRPr="00C038A9">
        <w:rPr>
          <w:rFonts w:cs="Arial"/>
          <w:rtl/>
        </w:rPr>
        <w:t xml:space="preserve">כדאמר התם </w:t>
      </w:r>
      <w:r>
        <w:rPr>
          <w:rFonts w:cs="Arial" w:hint="cs"/>
          <w:rtl/>
        </w:rPr>
        <w:t>(ק.)...</w:t>
      </w:r>
      <w:r w:rsidRPr="00C038A9">
        <w:rPr>
          <w:rFonts w:cs="Arial"/>
          <w:rtl/>
        </w:rPr>
        <w:t xml:space="preserve"> אבל בארץ ההיא שנמנעין מלהכריז כשמגבין לאלמנה </w:t>
      </w:r>
      <w:r w:rsidRPr="00E23D01">
        <w:rPr>
          <w:rFonts w:cs="Arial"/>
          <w:b/>
          <w:bCs/>
          <w:rtl/>
        </w:rPr>
        <w:t>בלא טעם</w:t>
      </w:r>
      <w:r w:rsidRPr="00C038A9">
        <w:rPr>
          <w:rFonts w:cs="Arial"/>
          <w:rtl/>
        </w:rPr>
        <w:t xml:space="preserve"> טועין בדבר משנה הם וחוזרים.</w:t>
      </w:r>
    </w:p>
    <w:p w14:paraId="5C60017C" w14:textId="491E0A09" w:rsidR="00392DBB" w:rsidRPr="003D1481" w:rsidRDefault="00392DBB" w:rsidP="009000E3">
      <w:pPr>
        <w:pStyle w:val="ab"/>
        <w:numPr>
          <w:ilvl w:val="0"/>
          <w:numId w:val="64"/>
        </w:numPr>
        <w:rPr>
          <w:rtl/>
        </w:rPr>
      </w:pPr>
      <w:r>
        <w:rPr>
          <w:rFonts w:cs="Arial" w:hint="cs"/>
          <w:rtl/>
        </w:rPr>
        <w:t xml:space="preserve">רשב"א </w:t>
      </w:r>
      <w:r w:rsidRPr="004862B7">
        <w:rPr>
          <w:rFonts w:cs="Arial" w:hint="cs"/>
          <w:sz w:val="16"/>
          <w:szCs w:val="16"/>
          <w:rtl/>
        </w:rPr>
        <w:t>(במיוחסות סי' נ</w:t>
      </w:r>
      <w:r>
        <w:rPr>
          <w:rFonts w:cs="Arial" w:hint="cs"/>
          <w:sz w:val="16"/>
          <w:szCs w:val="16"/>
          <w:rtl/>
        </w:rPr>
        <w:t>א</w:t>
      </w:r>
      <w:r w:rsidRPr="004862B7">
        <w:rPr>
          <w:rFonts w:cs="Arial" w:hint="cs"/>
          <w:sz w:val="16"/>
          <w:szCs w:val="16"/>
          <w:rtl/>
        </w:rPr>
        <w:t>)</w:t>
      </w:r>
      <w:r>
        <w:rPr>
          <w:rFonts w:cs="Arial" w:hint="cs"/>
          <w:rtl/>
        </w:rPr>
        <w:t>-</w:t>
      </w:r>
      <w:r w:rsidRPr="00E23D01">
        <w:rPr>
          <w:rtl/>
        </w:rPr>
        <w:t xml:space="preserve"> </w:t>
      </w:r>
      <w:r>
        <w:rPr>
          <w:rFonts w:cs="Arial"/>
          <w:rtl/>
        </w:rPr>
        <w:t>שאלה מקום שנהגו להגבות קרקע לאלמנה שלא בהכרזת ב"ד הגבו לאלמנה אחת שלא בהכרזה.</w:t>
      </w:r>
      <w:r>
        <w:rPr>
          <w:rFonts w:cs="Arial" w:hint="cs"/>
          <w:rtl/>
        </w:rPr>
        <w:t>.</w:t>
      </w:r>
      <w:r>
        <w:rPr>
          <w:rFonts w:cs="Arial"/>
          <w:rtl/>
        </w:rPr>
        <w:t xml:space="preserve">. </w:t>
      </w:r>
      <w:r w:rsidRPr="00E23D01">
        <w:rPr>
          <w:rFonts w:cs="Arial"/>
          <w:b/>
          <w:bCs/>
          <w:rtl/>
        </w:rPr>
        <w:t>והב"ד טוענין</w:t>
      </w:r>
      <w:r>
        <w:rPr>
          <w:rFonts w:cs="Arial"/>
          <w:rtl/>
        </w:rPr>
        <w:t xml:space="preserve"> שכיון שהוא מנהג למכור שלא בהכרזה לא חשו להכריז.</w:t>
      </w:r>
      <w:r>
        <w:rPr>
          <w:rFonts w:cs="Arial" w:hint="cs"/>
          <w:rtl/>
        </w:rPr>
        <w:t>..</w:t>
      </w:r>
      <w:r>
        <w:rPr>
          <w:rFonts w:cs="Arial"/>
          <w:rtl/>
        </w:rPr>
        <w:t xml:space="preserve"> </w:t>
      </w:r>
      <w:r>
        <w:rPr>
          <w:rFonts w:cs="Arial" w:hint="cs"/>
          <w:rtl/>
        </w:rPr>
        <w:t xml:space="preserve">    </w:t>
      </w:r>
      <w:r w:rsidR="00FE210D">
        <w:rPr>
          <w:rFonts w:cs="Arial"/>
          <w:rtl/>
        </w:rPr>
        <w:t xml:space="preserve">      תשובה:</w:t>
      </w:r>
      <w:r w:rsidRPr="00E23D01">
        <w:rPr>
          <w:rFonts w:cs="Arial"/>
          <w:rtl/>
        </w:rPr>
        <w:t xml:space="preserve"> </w:t>
      </w:r>
      <w:r w:rsidRPr="00E23D01">
        <w:rPr>
          <w:rFonts w:cs="Arial"/>
          <w:rtl/>
        </w:rPr>
        <w:lastRenderedPageBreak/>
        <w:t>מסתברא כל מקום שנהגו שלא להכריז ולא נודע עיקרו של דבר למה נמנעו מלהכריז סתמא דמילתא לאו בטעות נהגו. אלא אני אומר עיקר המנהג בדין היה ובדין נמנעו. שאף במקום שאין מכריזין שם ראו שהיה בזה קלקול ליתומים או שנמנעים מליקח מפני שהיו מתבזים בכך כההוא דנהרדעא. א"נ שכל אחד נמנע מליקח יאמר שמא יעלה אחד על מה שאומר ואחזיק עצמי כאמיד שלא במקום תועלת. וזה דעת רוב העולם עכשיו. עוד יש צדדין אחרים שיגיע בהכרזה נזק ליתומים שאין אותה טענה של נהרדעא דוקא</w:t>
      </w:r>
      <w:r>
        <w:rPr>
          <w:rStyle w:val="a7"/>
          <w:rFonts w:cs="Arial"/>
          <w:rtl/>
        </w:rPr>
        <w:footnoteReference w:id="2277"/>
      </w:r>
      <w:r w:rsidRPr="00E23D01">
        <w:rPr>
          <w:rFonts w:cs="Arial"/>
          <w:rtl/>
        </w:rPr>
        <w:t xml:space="preserve">. </w:t>
      </w:r>
    </w:p>
    <w:p w14:paraId="6A25D51A"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86D3C3B" w14:textId="77777777" w:rsidR="00392DBB" w:rsidRDefault="00392DBB" w:rsidP="00392DBB">
      <w:pPr>
        <w:rPr>
          <w:rtl/>
        </w:rPr>
      </w:pPr>
      <w:r>
        <w:rPr>
          <w:rFonts w:cs="Arial"/>
          <w:rtl/>
        </w:rPr>
        <w:t>ב</w:t>
      </w:r>
      <w:r>
        <w:rPr>
          <w:rFonts w:cs="Arial" w:hint="cs"/>
          <w:rtl/>
        </w:rPr>
        <w:t xml:space="preserve">ית </w:t>
      </w:r>
      <w:r>
        <w:rPr>
          <w:rFonts w:cs="Arial"/>
          <w:rtl/>
        </w:rPr>
        <w:t>ד</w:t>
      </w:r>
      <w:r>
        <w:rPr>
          <w:rFonts w:cs="Arial" w:hint="cs"/>
          <w:rtl/>
        </w:rPr>
        <w:t>ין</w:t>
      </w:r>
      <w:r>
        <w:rPr>
          <w:rFonts w:cs="Arial"/>
          <w:rtl/>
        </w:rPr>
        <w:t xml:space="preserve"> שהכריזו כראוי ובדקו יפה ודקדקו בשומא, אף על פי שטעו ומכרו שוה מנה במאתים או מאתים במנה, הרי מכרם קיים. אבל אם לא בדקו בשומא, ולא כתבו אגרת בקורת שהיא דקדוק השומא והכרזה</w:t>
      </w:r>
      <w:r>
        <w:rPr>
          <w:rStyle w:val="a7"/>
          <w:rFonts w:cs="Arial"/>
          <w:rtl/>
        </w:rPr>
        <w:footnoteReference w:id="2278"/>
      </w:r>
      <w:r>
        <w:rPr>
          <w:rFonts w:cs="Arial"/>
          <w:rtl/>
        </w:rPr>
        <w:t>, וטעו והותירו שתות או פחתו שתות מכרם בטל. פחות משתות מכרם קיים. וכן אם מכרו קרקע</w:t>
      </w:r>
      <w:r>
        <w:rPr>
          <w:rStyle w:val="a7"/>
          <w:rFonts w:cs="Arial"/>
          <w:rtl/>
        </w:rPr>
        <w:footnoteReference w:id="2279"/>
      </w:r>
      <w:r>
        <w:rPr>
          <w:rFonts w:cs="Arial"/>
          <w:rtl/>
        </w:rPr>
        <w:t xml:space="preserve"> בעת שאינם צריכים להכריז עליה, וטעו, ופחתו שתות או הותירו שתות, מכרן בטל אף על פי שהכריזו</w:t>
      </w:r>
      <w:r>
        <w:rPr>
          <w:rStyle w:val="a7"/>
          <w:rFonts w:cs="Arial"/>
          <w:rtl/>
        </w:rPr>
        <w:footnoteReference w:id="2280"/>
      </w:r>
      <w:r>
        <w:rPr>
          <w:rFonts w:cs="Arial"/>
          <w:rtl/>
        </w:rPr>
        <w:t xml:space="preserve">. </w:t>
      </w:r>
      <w:r>
        <w:rPr>
          <w:rFonts w:cs="Arial" w:hint="cs"/>
          <w:sz w:val="18"/>
          <w:szCs w:val="18"/>
          <w:rtl/>
        </w:rPr>
        <w:t xml:space="preserve">[הגה] </w:t>
      </w:r>
      <w:r w:rsidRPr="003D1481">
        <w:rPr>
          <w:rFonts w:cs="Arial"/>
          <w:sz w:val="18"/>
          <w:szCs w:val="18"/>
          <w:rtl/>
        </w:rPr>
        <w:t xml:space="preserve">וי"א כיון שהכריזו, אפילו טעו בכפל, המקח קיים (טור בשם הרא"ש). </w:t>
      </w:r>
      <w:r>
        <w:rPr>
          <w:rFonts w:cs="Arial"/>
          <w:rtl/>
        </w:rPr>
        <w:t xml:space="preserve">פחות משתות, מכרן קיים ואינו צריך להחזיר אונאה אף על פי שלא הכריזו. איזהו העת שאינם צריכים הכרזה, בעת שימכרו קרקע לקבורה או למזון האשה והבנות או ליתן מנת המלך, אינם צריכים הכרזה, לפי שהדבר נחוץ. וכן אם לוו לצורך דברים אלו, כשמוכרים לפורעם אינם צריכים הכרזה. </w:t>
      </w:r>
    </w:p>
    <w:p w14:paraId="21AC91F4" w14:textId="77777777" w:rsidR="00392DBB" w:rsidRDefault="00392DBB" w:rsidP="00392DBB">
      <w:pPr>
        <w:rPr>
          <w:rtl/>
        </w:rPr>
      </w:pPr>
    </w:p>
    <w:p w14:paraId="74681468" w14:textId="77777777" w:rsidR="00392DBB" w:rsidRDefault="00392DBB" w:rsidP="000F64D0">
      <w:pPr>
        <w:pStyle w:val="2"/>
        <w:rPr>
          <w:rtl/>
        </w:rPr>
      </w:pPr>
      <w:r>
        <w:rPr>
          <w:rtl/>
        </w:rPr>
        <w:t>סעיף ד</w:t>
      </w:r>
      <w:r>
        <w:rPr>
          <w:rFonts w:hint="cs"/>
          <w:rtl/>
        </w:rPr>
        <w:t>:</w:t>
      </w:r>
      <w:r w:rsidRPr="007E3F62">
        <w:rPr>
          <w:rFonts w:hint="cs"/>
          <w:rtl/>
        </w:rPr>
        <w:t xml:space="preserve"> </w:t>
      </w:r>
      <w:r>
        <w:rPr>
          <w:rFonts w:hint="cs"/>
          <w:rtl/>
        </w:rPr>
        <w:t>בית דין שמכרו דברים שאינם טעונים הכרזה, וטעו.</w:t>
      </w:r>
    </w:p>
    <w:p w14:paraId="57E3C0A8" w14:textId="77777777" w:rsidR="00392DBB" w:rsidRPr="003D1481" w:rsidRDefault="00392DBB" w:rsidP="00392DBB">
      <w:pPr>
        <w:rPr>
          <w:rtl/>
        </w:rPr>
      </w:pPr>
      <w:r>
        <w:rPr>
          <w:rFonts w:hint="cs"/>
          <w:rtl/>
        </w:rPr>
        <w:t>עיין במקורות בסעיף ב.</w:t>
      </w:r>
    </w:p>
    <w:p w14:paraId="5762D601"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5B8D090" w14:textId="77777777" w:rsidR="00392DBB" w:rsidRDefault="00392DBB" w:rsidP="00392DBB">
      <w:pPr>
        <w:rPr>
          <w:rtl/>
        </w:rPr>
      </w:pPr>
      <w:r>
        <w:rPr>
          <w:rFonts w:cs="Arial"/>
          <w:rtl/>
        </w:rPr>
        <w:t>וכן בית דין שמכרו דברים שאינם טעונים הכרזה וטעו בשתות, מכרם בטל. פחות משתות, מכרם קיים. ואלו הם הדברים שאין מכריזין עליהם: העבדים והשטרות והמטלטלים. העבדים, שמא ישמעו ויברחו. והשטרות והמטלטלים, שמא יגנבו</w:t>
      </w:r>
      <w:r>
        <w:rPr>
          <w:rFonts w:cs="Arial" w:hint="cs"/>
          <w:rtl/>
        </w:rPr>
        <w:t>.</w:t>
      </w:r>
      <w:r>
        <w:rPr>
          <w:rFonts w:cs="Arial"/>
          <w:rtl/>
        </w:rPr>
        <w:t xml:space="preserve"> לפיכך שמין אותם בבית דין ומוכרים אותם מיד. ואם השוק קרוב למדינה, מוליכין אותם לשוק.</w:t>
      </w:r>
      <w:r w:rsidRPr="003D1481">
        <w:rPr>
          <w:rFonts w:cs="Arial"/>
          <w:sz w:val="18"/>
          <w:szCs w:val="18"/>
          <w:rtl/>
        </w:rPr>
        <w:t xml:space="preserve"> </w:t>
      </w:r>
      <w:r w:rsidRPr="003D1481">
        <w:rPr>
          <w:rFonts w:cs="Arial" w:hint="cs"/>
          <w:sz w:val="18"/>
          <w:szCs w:val="18"/>
          <w:rtl/>
        </w:rPr>
        <w:t xml:space="preserve">[הגה] </w:t>
      </w:r>
      <w:r w:rsidRPr="003D1481">
        <w:rPr>
          <w:rFonts w:cs="Arial"/>
          <w:sz w:val="18"/>
          <w:szCs w:val="18"/>
          <w:rtl/>
        </w:rPr>
        <w:t xml:space="preserve">ובמקום שאין נוהגין להכריז שום דבר, דינו כדברים שאינן מכריזין (טור). </w:t>
      </w:r>
    </w:p>
    <w:p w14:paraId="1E25E2E1" w14:textId="77777777" w:rsidR="00392DBB" w:rsidRDefault="00392DBB" w:rsidP="00392DBB">
      <w:pPr>
        <w:rPr>
          <w:rtl/>
        </w:rPr>
      </w:pPr>
    </w:p>
    <w:p w14:paraId="2E7D9EEA" w14:textId="77777777" w:rsidR="00392DBB" w:rsidRDefault="00392DBB" w:rsidP="000F64D0">
      <w:pPr>
        <w:pStyle w:val="2"/>
        <w:rPr>
          <w:rtl/>
        </w:rPr>
      </w:pPr>
      <w:r>
        <w:rPr>
          <w:rtl/>
        </w:rPr>
        <w:t>סעיף ה</w:t>
      </w:r>
      <w:r>
        <w:rPr>
          <w:rFonts w:hint="cs"/>
          <w:rtl/>
        </w:rPr>
        <w:t xml:space="preserve">: ביד ימי לבטל המקח כשהבית דין טעו בשתות </w:t>
      </w:r>
      <w:r w:rsidRPr="000B19A4">
        <w:rPr>
          <w:rFonts w:hint="cs"/>
          <w:sz w:val="20"/>
          <w:szCs w:val="20"/>
          <w:rtl/>
        </w:rPr>
        <w:t>(שמכר</w:t>
      </w:r>
      <w:r>
        <w:rPr>
          <w:rFonts w:hint="cs"/>
          <w:sz w:val="20"/>
          <w:szCs w:val="20"/>
          <w:rtl/>
        </w:rPr>
        <w:t>ן</w:t>
      </w:r>
      <w:r w:rsidRPr="000B19A4">
        <w:rPr>
          <w:rFonts w:hint="cs"/>
          <w:sz w:val="20"/>
          <w:szCs w:val="20"/>
          <w:rtl/>
        </w:rPr>
        <w:t xml:space="preserve"> בטל</w:t>
      </w:r>
      <w:r>
        <w:rPr>
          <w:rFonts w:hint="cs"/>
          <w:sz w:val="20"/>
          <w:szCs w:val="20"/>
          <w:rtl/>
        </w:rPr>
        <w:t>)</w:t>
      </w:r>
      <w:r>
        <w:rPr>
          <w:rFonts w:hint="cs"/>
          <w:rtl/>
        </w:rPr>
        <w:t>.</w:t>
      </w:r>
    </w:p>
    <w:p w14:paraId="2446544C" w14:textId="62027B1E" w:rsidR="00392DBB" w:rsidRPr="000B19A4" w:rsidRDefault="00392DBB" w:rsidP="00392DBB">
      <w:pPr>
        <w:rPr>
          <w:u w:val="single"/>
        </w:rPr>
      </w:pPr>
      <w:r>
        <w:rPr>
          <w:rFonts w:cs="Arial" w:hint="cs"/>
          <w:u w:val="single"/>
          <w:rtl/>
        </w:rPr>
        <w:t>בית דין</w:t>
      </w:r>
      <w:r w:rsidRPr="000B19A4">
        <w:rPr>
          <w:rFonts w:cs="Arial"/>
          <w:u w:val="single"/>
          <w:rtl/>
        </w:rPr>
        <w:t xml:space="preserve"> שטעו </w:t>
      </w:r>
      <w:r w:rsidRPr="000B19A4">
        <w:rPr>
          <w:rFonts w:cs="Arial" w:hint="cs"/>
          <w:u w:val="single"/>
          <w:rtl/>
        </w:rPr>
        <w:t>ב</w:t>
      </w:r>
      <w:r w:rsidRPr="000B19A4">
        <w:rPr>
          <w:rFonts w:cs="Arial"/>
          <w:u w:val="single"/>
          <w:rtl/>
        </w:rPr>
        <w:t xml:space="preserve">שתות </w:t>
      </w:r>
      <w:r w:rsidRPr="000B19A4">
        <w:rPr>
          <w:rFonts w:cs="Arial" w:hint="cs"/>
          <w:sz w:val="16"/>
          <w:szCs w:val="16"/>
          <w:u w:val="single"/>
          <w:rtl/>
        </w:rPr>
        <w:t>(</w:t>
      </w:r>
      <w:r w:rsidRPr="000B19A4">
        <w:rPr>
          <w:rFonts w:cs="Arial"/>
          <w:sz w:val="16"/>
          <w:szCs w:val="16"/>
          <w:u w:val="single"/>
          <w:rtl/>
        </w:rPr>
        <w:t xml:space="preserve">שמכרן </w:t>
      </w:r>
      <w:r w:rsidRPr="000B19A4">
        <w:rPr>
          <w:rFonts w:cs="Arial" w:hint="cs"/>
          <w:sz w:val="16"/>
          <w:szCs w:val="16"/>
          <w:u w:val="single"/>
          <w:rtl/>
        </w:rPr>
        <w:t>בטל)</w:t>
      </w:r>
      <w:r w:rsidRPr="000B19A4">
        <w:rPr>
          <w:rFonts w:cs="Arial" w:hint="cs"/>
          <w:u w:val="single"/>
          <w:rtl/>
        </w:rPr>
        <w:t xml:space="preserve"> </w:t>
      </w:r>
      <w:r w:rsidR="00F97626">
        <w:rPr>
          <w:rFonts w:cs="Arial"/>
          <w:u w:val="single"/>
          <w:rtl/>
        </w:rPr>
        <w:t>-</w:t>
      </w:r>
      <w:r w:rsidRPr="000B19A4">
        <w:rPr>
          <w:rFonts w:cs="Arial" w:hint="cs"/>
          <w:u w:val="single"/>
          <w:rtl/>
        </w:rPr>
        <w:t xml:space="preserve"> ביד מי לבטל את המקח:</w:t>
      </w:r>
    </w:p>
    <w:p w14:paraId="391CA08E" w14:textId="77777777" w:rsidR="00392DBB" w:rsidRDefault="00392DBB" w:rsidP="009000E3">
      <w:pPr>
        <w:pStyle w:val="ab"/>
        <w:numPr>
          <w:ilvl w:val="0"/>
          <w:numId w:val="63"/>
        </w:numPr>
      </w:pPr>
      <w:r w:rsidRPr="002C73A2">
        <w:rPr>
          <w:rFonts w:cs="Arial"/>
          <w:rtl/>
        </w:rPr>
        <w:t>רמב"ם</w:t>
      </w:r>
      <w:r>
        <w:rPr>
          <w:rFonts w:cs="Arial" w:hint="cs"/>
          <w:sz w:val="16"/>
          <w:szCs w:val="16"/>
          <w:rtl/>
        </w:rPr>
        <w:t xml:space="preserve"> (פי"ג ממכירה ה"י)</w:t>
      </w:r>
      <w:r>
        <w:rPr>
          <w:rFonts w:cs="Arial" w:hint="cs"/>
          <w:rtl/>
        </w:rPr>
        <w:t xml:space="preserve">- </w:t>
      </w:r>
      <w:r w:rsidRPr="00980853">
        <w:rPr>
          <w:rFonts w:cs="Arial"/>
          <w:rtl/>
        </w:rPr>
        <w:t>בית דין שמכרו נכסי יתומים וטעו בין בקרקעות בין במטלטלין</w:t>
      </w:r>
      <w:r>
        <w:rPr>
          <w:rFonts w:cs="Arial" w:hint="cs"/>
          <w:rtl/>
        </w:rPr>
        <w:t>...</w:t>
      </w:r>
      <w:r w:rsidRPr="00980853">
        <w:rPr>
          <w:rFonts w:cs="Arial"/>
          <w:rtl/>
        </w:rPr>
        <w:t xml:space="preserve"> טעו בשתות</w:t>
      </w:r>
      <w:r>
        <w:rPr>
          <w:rFonts w:cs="Arial" w:hint="cs"/>
          <w:rtl/>
        </w:rPr>
        <w:t xml:space="preserve"> -</w:t>
      </w:r>
      <w:r w:rsidRPr="00980853">
        <w:rPr>
          <w:rFonts w:cs="Arial"/>
          <w:rtl/>
        </w:rPr>
        <w:t xml:space="preserve"> בטל המקח</w:t>
      </w:r>
      <w:r>
        <w:rPr>
          <w:rFonts w:cs="Arial" w:hint="cs"/>
          <w:rtl/>
        </w:rPr>
        <w:t>.</w:t>
      </w:r>
      <w:r w:rsidRPr="00980853">
        <w:rPr>
          <w:rFonts w:cs="Arial"/>
          <w:rtl/>
        </w:rPr>
        <w:t xml:space="preserve"> ואם רצו שלא לבטל הממכר ויחזירו ההונייה </w:t>
      </w:r>
      <w:r>
        <w:rPr>
          <w:rFonts w:cs="Arial" w:hint="cs"/>
          <w:rtl/>
        </w:rPr>
        <w:t xml:space="preserve">- </w:t>
      </w:r>
      <w:r w:rsidRPr="00980853">
        <w:rPr>
          <w:rFonts w:cs="Arial"/>
          <w:rtl/>
        </w:rPr>
        <w:t>מחזירין, לא יהיה כח הדיוט חמור מהן.</w:t>
      </w:r>
      <w:r w:rsidRPr="00980853">
        <w:rPr>
          <w:rFonts w:hint="cs"/>
          <w:color w:val="E36C0A" w:themeColor="accent6" w:themeShade="BF"/>
          <w:rtl/>
        </w:rPr>
        <w:t xml:space="preserve"> (וכ"פ בשו"ע)</w:t>
      </w:r>
    </w:p>
    <w:p w14:paraId="1A48433A" w14:textId="77777777" w:rsidR="00392DBB" w:rsidRPr="00980853" w:rsidRDefault="00392DBB" w:rsidP="009000E3">
      <w:pPr>
        <w:pStyle w:val="ab"/>
        <w:numPr>
          <w:ilvl w:val="0"/>
          <w:numId w:val="63"/>
        </w:numPr>
      </w:pPr>
      <w:r>
        <w:rPr>
          <w:rFonts w:cs="Arial" w:hint="cs"/>
          <w:rtl/>
        </w:rPr>
        <w:lastRenderedPageBreak/>
        <w:t xml:space="preserve">ה"ר יונה </w:t>
      </w:r>
      <w:r>
        <w:rPr>
          <w:rFonts w:cs="Arial" w:hint="cs"/>
          <w:sz w:val="16"/>
          <w:szCs w:val="16"/>
          <w:rtl/>
        </w:rPr>
        <w:t xml:space="preserve">(כ"כ הרא"ש בשמו) </w:t>
      </w:r>
      <w:r>
        <w:rPr>
          <w:rFonts w:cs="Arial" w:hint="cs"/>
          <w:rtl/>
        </w:rPr>
        <w:t xml:space="preserve"> ורא"ש</w:t>
      </w:r>
      <w:r>
        <w:rPr>
          <w:rStyle w:val="a7"/>
          <w:rFonts w:cs="Arial"/>
          <w:rtl/>
        </w:rPr>
        <w:footnoteReference w:id="2281"/>
      </w:r>
      <w:r>
        <w:rPr>
          <w:rFonts w:cs="Arial" w:hint="cs"/>
          <w:rtl/>
        </w:rPr>
        <w:t xml:space="preserve"> </w:t>
      </w:r>
      <w:r w:rsidRPr="00D65942">
        <w:rPr>
          <w:rFonts w:cs="Arial"/>
          <w:sz w:val="16"/>
          <w:szCs w:val="16"/>
          <w:rtl/>
        </w:rPr>
        <w:t>(</w:t>
      </w:r>
      <w:r w:rsidRPr="00D65942">
        <w:rPr>
          <w:rFonts w:cs="Arial" w:hint="cs"/>
          <w:sz w:val="16"/>
          <w:szCs w:val="16"/>
          <w:rtl/>
        </w:rPr>
        <w:t xml:space="preserve">פי"א </w:t>
      </w:r>
      <w:r w:rsidRPr="00D65942">
        <w:rPr>
          <w:rFonts w:cs="Arial"/>
          <w:sz w:val="16"/>
          <w:szCs w:val="16"/>
          <w:rtl/>
        </w:rPr>
        <w:t xml:space="preserve">סי' </w:t>
      </w:r>
      <w:r>
        <w:rPr>
          <w:rFonts w:cs="Arial" w:hint="cs"/>
          <w:sz w:val="16"/>
          <w:szCs w:val="16"/>
          <w:rtl/>
        </w:rPr>
        <w:t>ט</w:t>
      </w:r>
      <w:r w:rsidRPr="00D65942">
        <w:rPr>
          <w:rFonts w:cs="Arial"/>
          <w:sz w:val="16"/>
          <w:szCs w:val="16"/>
          <w:rtl/>
        </w:rPr>
        <w:t>ז)</w:t>
      </w:r>
      <w:r>
        <w:rPr>
          <w:rFonts w:cs="Arial" w:hint="cs"/>
          <w:rtl/>
        </w:rPr>
        <w:t xml:space="preserve">- </w:t>
      </w:r>
      <w:r w:rsidRPr="00980853">
        <w:rPr>
          <w:rFonts w:cs="Arial"/>
          <w:rtl/>
        </w:rPr>
        <w:t>אין שומעין להם</w:t>
      </w:r>
      <w:r w:rsidRPr="00980853">
        <w:rPr>
          <w:rFonts w:cs="Arial" w:hint="cs"/>
          <w:rtl/>
        </w:rPr>
        <w:t>,</w:t>
      </w:r>
      <w:r w:rsidRPr="00980853">
        <w:rPr>
          <w:rFonts w:cs="Arial"/>
          <w:rtl/>
        </w:rPr>
        <w:t xml:space="preserve"> דכיון שהרשות ביד ב"ד לבטל המקח גם כן הרשות ביד הלוקח לבטלו ואם ירצו להכריח הלוקח שיתקיים המקח ויחזיר האונאה אין שומעין להם</w:t>
      </w:r>
      <w:r>
        <w:rPr>
          <w:rFonts w:cs="Arial" w:hint="cs"/>
          <w:sz w:val="16"/>
          <w:szCs w:val="16"/>
          <w:rtl/>
        </w:rPr>
        <w:t xml:space="preserve"> (ל' הטור בשם הרא"ש)</w:t>
      </w:r>
      <w:r w:rsidRPr="00980853">
        <w:rPr>
          <w:rFonts w:cs="Arial" w:hint="cs"/>
          <w:rtl/>
        </w:rPr>
        <w:t>.</w:t>
      </w:r>
      <w:r w:rsidRPr="00980853">
        <w:rPr>
          <w:rFonts w:cs="Arial"/>
          <w:rtl/>
        </w:rPr>
        <w:t xml:space="preserve">  </w:t>
      </w:r>
    </w:p>
    <w:p w14:paraId="6147C12A"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8CA51D6" w14:textId="77777777" w:rsidR="00392DBB" w:rsidRDefault="00392DBB" w:rsidP="00392DBB">
      <w:pPr>
        <w:rPr>
          <w:rtl/>
        </w:rPr>
      </w:pPr>
      <w:r>
        <w:rPr>
          <w:rFonts w:cs="Arial"/>
          <w:rtl/>
        </w:rPr>
        <w:t xml:space="preserve">היכא דטעו ונתאנו בשתות, שהמכר בטל, אם ירצו בית דין לקיים המקח ולהחזיר האונאה, הרשות בידם. ויש חולקים בזה. </w:t>
      </w:r>
    </w:p>
    <w:p w14:paraId="24B22F99" w14:textId="77777777" w:rsidR="00392DBB" w:rsidRDefault="00392DBB" w:rsidP="00392DBB">
      <w:pPr>
        <w:rPr>
          <w:rtl/>
        </w:rPr>
      </w:pPr>
    </w:p>
    <w:p w14:paraId="62D8C48A" w14:textId="77777777" w:rsidR="00392DBB" w:rsidRDefault="00392DBB" w:rsidP="000F64D0">
      <w:pPr>
        <w:pStyle w:val="2"/>
        <w:rPr>
          <w:rtl/>
        </w:rPr>
      </w:pPr>
      <w:r>
        <w:rPr>
          <w:rtl/>
        </w:rPr>
        <w:t>סעיף ו</w:t>
      </w:r>
      <w:r>
        <w:rPr>
          <w:rFonts w:hint="cs"/>
          <w:rtl/>
        </w:rPr>
        <w:t>:</w:t>
      </w:r>
      <w:r w:rsidRPr="00546514">
        <w:rPr>
          <w:rtl/>
        </w:rPr>
        <w:t xml:space="preserve"> </w:t>
      </w:r>
      <w:r w:rsidRPr="002C73A2">
        <w:rPr>
          <w:rtl/>
        </w:rPr>
        <w:t>שליח שמכר וטעה</w:t>
      </w:r>
      <w:r>
        <w:rPr>
          <w:rFonts w:hint="cs"/>
          <w:rtl/>
        </w:rPr>
        <w:t>.</w:t>
      </w:r>
    </w:p>
    <w:p w14:paraId="30F8D8AC" w14:textId="77777777" w:rsidR="00392DBB" w:rsidRDefault="00392DBB" w:rsidP="00392DBB">
      <w:pPr>
        <w:rPr>
          <w:rtl/>
        </w:rPr>
      </w:pPr>
      <w:r w:rsidRPr="009E3B5F">
        <w:rPr>
          <w:rFonts w:hint="cs"/>
          <w:b/>
          <w:bCs/>
          <w:rtl/>
        </w:rPr>
        <w:t xml:space="preserve">כתובות </w:t>
      </w:r>
      <w:r w:rsidRPr="009E3B5F">
        <w:rPr>
          <w:rFonts w:hint="cs"/>
          <w:b/>
          <w:bCs/>
          <w:sz w:val="16"/>
          <w:szCs w:val="16"/>
          <w:rtl/>
        </w:rPr>
        <w:t xml:space="preserve">(פ' אלמנה נזונת) </w:t>
      </w:r>
      <w:r w:rsidRPr="009E3B5F">
        <w:rPr>
          <w:rFonts w:hint="cs"/>
          <w:b/>
          <w:bCs/>
          <w:rtl/>
        </w:rPr>
        <w:t>צ</w:t>
      </w:r>
      <w:r>
        <w:rPr>
          <w:rFonts w:hint="cs"/>
          <w:b/>
          <w:bCs/>
          <w:rtl/>
        </w:rPr>
        <w:t>ט</w:t>
      </w:r>
      <w:r w:rsidRPr="009E3B5F">
        <w:rPr>
          <w:rFonts w:hint="cs"/>
          <w:b/>
          <w:bCs/>
          <w:rtl/>
        </w:rPr>
        <w:t xml:space="preserve"> ע"</w:t>
      </w:r>
      <w:r>
        <w:rPr>
          <w:rFonts w:hint="cs"/>
          <w:b/>
          <w:bCs/>
          <w:rtl/>
        </w:rPr>
        <w:t>ב</w:t>
      </w:r>
      <w:r w:rsidRPr="009E3B5F">
        <w:rPr>
          <w:rFonts w:hint="cs"/>
          <w:b/>
          <w:bCs/>
          <w:rtl/>
        </w:rPr>
        <w:t xml:space="preserve">: </w:t>
      </w:r>
      <w:r w:rsidRPr="00363EFC">
        <w:rPr>
          <w:rFonts w:cs="Arial"/>
          <w:rtl/>
        </w:rPr>
        <w:t>איבעיא להו: שליח כמאן</w:t>
      </w:r>
      <w:r>
        <w:rPr>
          <w:rStyle w:val="a7"/>
          <w:rFonts w:cs="Arial"/>
          <w:rtl/>
        </w:rPr>
        <w:footnoteReference w:id="2282"/>
      </w:r>
      <w:r w:rsidRPr="00363EFC">
        <w:rPr>
          <w:rFonts w:cs="Arial"/>
          <w:rtl/>
        </w:rPr>
        <w:t>?</w:t>
      </w:r>
      <w:r w:rsidRPr="00363EFC">
        <w:rPr>
          <w:rtl/>
        </w:rPr>
        <w:t xml:space="preserve"> </w:t>
      </w:r>
      <w:r>
        <w:rPr>
          <w:rFonts w:hint="cs"/>
          <w:sz w:val="14"/>
          <w:szCs w:val="14"/>
          <w:rtl/>
        </w:rPr>
        <w:t xml:space="preserve">(ק.) </w:t>
      </w:r>
      <w:r w:rsidRPr="00363EFC">
        <w:rPr>
          <w:rFonts w:cs="Arial"/>
          <w:u w:val="single"/>
          <w:rtl/>
        </w:rPr>
        <w:t>רבא אמר ר"נ</w:t>
      </w:r>
      <w:r w:rsidRPr="00363EFC">
        <w:rPr>
          <w:rFonts w:cs="Arial"/>
          <w:rtl/>
        </w:rPr>
        <w:t>: שליח כדיינין</w:t>
      </w:r>
      <w:r>
        <w:rPr>
          <w:rFonts w:cs="Arial" w:hint="cs"/>
          <w:rtl/>
        </w:rPr>
        <w:t>.</w:t>
      </w:r>
      <w:r w:rsidRPr="00363EFC">
        <w:rPr>
          <w:rFonts w:cs="Arial"/>
          <w:rtl/>
        </w:rPr>
        <w:t xml:space="preserve"> </w:t>
      </w:r>
      <w:r w:rsidRPr="00363EFC">
        <w:rPr>
          <w:rFonts w:cs="Arial"/>
          <w:u w:val="single"/>
          <w:rtl/>
        </w:rPr>
        <w:t>רב שמואל בר ביסנא אמר ר"נ</w:t>
      </w:r>
      <w:r w:rsidRPr="00363EFC">
        <w:rPr>
          <w:rFonts w:cs="Arial"/>
          <w:rtl/>
        </w:rPr>
        <w:t>: כאלמנה. רבא אמר ר"נ שליח כדיינין, מה דיינין לאו לדידהו, אף שליח נמי לאו לדידיה, לאפוקי אלמנה דלדידה</w:t>
      </w:r>
      <w:r>
        <w:rPr>
          <w:rFonts w:cs="Arial" w:hint="cs"/>
          <w:rtl/>
        </w:rPr>
        <w:t>.</w:t>
      </w:r>
      <w:r w:rsidRPr="00363EFC">
        <w:rPr>
          <w:rFonts w:cs="Arial"/>
          <w:rtl/>
        </w:rPr>
        <w:t xml:space="preserve"> רב שמואל בר ביסנא אמר ר"נ כאלמנה, מה אלמנה יחידה, אף שליח יחיד, לאפוקי ב"ד דרבים נינהו. והלכתא: שליח כאלמנה.</w:t>
      </w:r>
      <w:r w:rsidRPr="00F364BD">
        <w:rPr>
          <w:rFonts w:cs="Arial"/>
          <w:sz w:val="16"/>
          <w:szCs w:val="16"/>
          <w:rtl/>
        </w:rPr>
        <w:t xml:space="preserve"> </w:t>
      </w:r>
      <w:r>
        <w:rPr>
          <w:rFonts w:cs="Arial" w:hint="cs"/>
          <w:sz w:val="16"/>
          <w:szCs w:val="16"/>
          <w:rtl/>
        </w:rPr>
        <w:t>(</w:t>
      </w:r>
      <w:r w:rsidRPr="00F364BD">
        <w:rPr>
          <w:rFonts w:cs="Arial"/>
          <w:sz w:val="16"/>
          <w:szCs w:val="16"/>
          <w:rtl/>
        </w:rPr>
        <w:t>וכתב הרא"ש (סי' יז) פירש ר"ת דהאי שליח מיירי בשעשאוהו בית דין שליח למכור</w:t>
      </w:r>
      <w:r>
        <w:rPr>
          <w:rFonts w:cs="Arial" w:hint="cs"/>
          <w:sz w:val="16"/>
          <w:szCs w:val="16"/>
          <w:rtl/>
        </w:rPr>
        <w:t>.</w:t>
      </w:r>
      <w:r w:rsidRPr="00F364BD">
        <w:rPr>
          <w:rFonts w:cs="Arial"/>
          <w:sz w:val="16"/>
          <w:szCs w:val="16"/>
          <w:rtl/>
        </w:rPr>
        <w:t xml:space="preserve"> דאי בשליח שעשוהו בעלים היכי קאמר רבא משמיה דרב נחמן שליח כדיינים</w:t>
      </w:r>
      <w:r>
        <w:rPr>
          <w:rFonts w:cs="Arial" w:hint="cs"/>
          <w:sz w:val="16"/>
          <w:szCs w:val="16"/>
          <w:rtl/>
        </w:rPr>
        <w:t>,</w:t>
      </w:r>
      <w:r w:rsidRPr="00F364BD">
        <w:rPr>
          <w:rFonts w:cs="Arial"/>
          <w:sz w:val="16"/>
          <w:szCs w:val="16"/>
          <w:rtl/>
        </w:rPr>
        <w:t xml:space="preserve"> הא אמר רב נחמן לעיל אבל טעה שליח אמר ליה לתקוני שדרתיך</w:t>
      </w:r>
      <w:r>
        <w:rPr>
          <w:rFonts w:cs="Arial" w:hint="cs"/>
          <w:sz w:val="16"/>
          <w:szCs w:val="16"/>
          <w:rtl/>
        </w:rPr>
        <w:t>.</w:t>
      </w:r>
      <w:r w:rsidRPr="00F364BD">
        <w:rPr>
          <w:rFonts w:cs="Arial"/>
          <w:sz w:val="16"/>
          <w:szCs w:val="16"/>
          <w:rtl/>
        </w:rPr>
        <w:t xml:space="preserve"> ועוד דבר"פ האיש מקדש (קידושין מב:) אמר רב נחמן האחין שחלקו וכו' אבל שוייה שליח אמר ליה לתקוני שדרתיך ולא לעוותי</w:t>
      </w:r>
      <w:r>
        <w:rPr>
          <w:rFonts w:cs="Arial" w:hint="cs"/>
          <w:sz w:val="16"/>
          <w:szCs w:val="16"/>
          <w:rtl/>
        </w:rPr>
        <w:t>.</w:t>
      </w:r>
      <w:r w:rsidRPr="00F364BD">
        <w:rPr>
          <w:rFonts w:cs="Arial"/>
          <w:sz w:val="16"/>
          <w:szCs w:val="16"/>
          <w:rtl/>
        </w:rPr>
        <w:t xml:space="preserve"> אלמא בשליח אפילו בפחות משתות בטל מקח</w:t>
      </w:r>
      <w:r>
        <w:rPr>
          <w:rFonts w:cs="Arial" w:hint="cs"/>
          <w:sz w:val="16"/>
          <w:szCs w:val="16"/>
          <w:rtl/>
        </w:rPr>
        <w:t>.</w:t>
      </w:r>
      <w:r w:rsidRPr="00F364BD">
        <w:rPr>
          <w:rFonts w:cs="Arial"/>
          <w:sz w:val="16"/>
          <w:szCs w:val="16"/>
          <w:rtl/>
        </w:rPr>
        <w:t xml:space="preserve"> הילכך בשליח דיינים איירי הכא דאלים כחו</w:t>
      </w:r>
      <w:r>
        <w:rPr>
          <w:rFonts w:cs="Arial" w:hint="cs"/>
          <w:sz w:val="16"/>
          <w:szCs w:val="16"/>
          <w:rtl/>
        </w:rPr>
        <w:t>.</w:t>
      </w:r>
      <w:r w:rsidRPr="00F364BD">
        <w:rPr>
          <w:rFonts w:cs="Arial"/>
          <w:sz w:val="16"/>
          <w:szCs w:val="16"/>
          <w:rtl/>
        </w:rPr>
        <w:t xml:space="preserve"> ור"י פירש כיון דקאמר תלמודא שליח סתם</w:t>
      </w:r>
      <w:r>
        <w:rPr>
          <w:rFonts w:cs="Arial" w:hint="cs"/>
          <w:sz w:val="16"/>
          <w:szCs w:val="16"/>
          <w:rtl/>
        </w:rPr>
        <w:t>,</w:t>
      </w:r>
      <w:r w:rsidRPr="00F364BD">
        <w:rPr>
          <w:rFonts w:cs="Arial"/>
          <w:sz w:val="16"/>
          <w:szCs w:val="16"/>
          <w:rtl/>
        </w:rPr>
        <w:t xml:space="preserve"> משמע בסתם שליחות שעשאוהו בעלים</w:t>
      </w:r>
      <w:r>
        <w:rPr>
          <w:rFonts w:cs="Arial" w:hint="cs"/>
          <w:sz w:val="16"/>
          <w:szCs w:val="16"/>
          <w:rtl/>
        </w:rPr>
        <w:t>.</w:t>
      </w:r>
      <w:r w:rsidRPr="00F364BD">
        <w:rPr>
          <w:rFonts w:cs="Arial"/>
          <w:sz w:val="16"/>
          <w:szCs w:val="16"/>
          <w:rtl/>
        </w:rPr>
        <w:t xml:space="preserve"> ופר"ת עיקר</w:t>
      </w:r>
      <w:r>
        <w:rPr>
          <w:rFonts w:cs="Arial" w:hint="cs"/>
          <w:sz w:val="16"/>
          <w:szCs w:val="16"/>
          <w:rtl/>
        </w:rPr>
        <w:t>,</w:t>
      </w:r>
      <w:r w:rsidRPr="00F364BD">
        <w:rPr>
          <w:rFonts w:cs="Arial"/>
          <w:sz w:val="16"/>
          <w:szCs w:val="16"/>
          <w:rtl/>
        </w:rPr>
        <w:t xml:space="preserve"> דנקבעה בעיא זו אמתניתין דשום הדיינים שפיחת שתות</w:t>
      </w:r>
      <w:r>
        <w:rPr>
          <w:rFonts w:cs="Arial" w:hint="cs"/>
          <w:sz w:val="16"/>
          <w:szCs w:val="16"/>
          <w:rtl/>
        </w:rPr>
        <w:t>,</w:t>
      </w:r>
      <w:r w:rsidRPr="00F364BD">
        <w:rPr>
          <w:rFonts w:cs="Arial"/>
          <w:sz w:val="16"/>
          <w:szCs w:val="16"/>
          <w:rtl/>
        </w:rPr>
        <w:t xml:space="preserve"> משמע דבשליח דיינים איירי עכ"ל</w:t>
      </w:r>
      <w:r>
        <w:rPr>
          <w:rFonts w:cs="Arial" w:hint="cs"/>
          <w:sz w:val="16"/>
          <w:szCs w:val="16"/>
          <w:rtl/>
        </w:rPr>
        <w:t>, ב"י)</w:t>
      </w:r>
    </w:p>
    <w:p w14:paraId="559CFF99" w14:textId="77777777" w:rsidR="00392DBB" w:rsidRPr="00546514" w:rsidRDefault="00392DBB" w:rsidP="00392DBB">
      <w:pPr>
        <w:rPr>
          <w:u w:val="single"/>
          <w:rtl/>
        </w:rPr>
      </w:pPr>
      <w:r w:rsidRPr="00546514">
        <w:rPr>
          <w:rFonts w:cs="Arial"/>
          <w:u w:val="single"/>
          <w:rtl/>
        </w:rPr>
        <w:t>שליח שמכר וטעה ונתאנה</w:t>
      </w:r>
      <w:r w:rsidRPr="00546514">
        <w:rPr>
          <w:rFonts w:hint="cs"/>
          <w:u w:val="single"/>
          <w:rtl/>
        </w:rPr>
        <w:t>:</w:t>
      </w:r>
    </w:p>
    <w:p w14:paraId="03066481" w14:textId="77777777" w:rsidR="00392DBB" w:rsidRDefault="00392DBB" w:rsidP="009000E3">
      <w:pPr>
        <w:pStyle w:val="ab"/>
        <w:numPr>
          <w:ilvl w:val="0"/>
          <w:numId w:val="63"/>
        </w:numPr>
      </w:pPr>
      <w:r>
        <w:rPr>
          <w:rFonts w:cs="Arial" w:hint="cs"/>
          <w:rtl/>
        </w:rPr>
        <w:t xml:space="preserve">ר"ת </w:t>
      </w:r>
      <w:r>
        <w:rPr>
          <w:rFonts w:cs="Arial" w:hint="cs"/>
          <w:sz w:val="16"/>
          <w:szCs w:val="16"/>
          <w:rtl/>
        </w:rPr>
        <w:t>(כ"כ הרא"ש בשמו)</w:t>
      </w:r>
      <w:r>
        <w:rPr>
          <w:rFonts w:cs="Arial" w:hint="cs"/>
          <w:rtl/>
        </w:rPr>
        <w:t xml:space="preserve"> רא"ש</w:t>
      </w:r>
      <w:r>
        <w:rPr>
          <w:rFonts w:cs="Arial" w:hint="cs"/>
          <w:sz w:val="16"/>
          <w:szCs w:val="16"/>
          <w:rtl/>
        </w:rPr>
        <w:t xml:space="preserve"> (פי"א סי' יז)</w:t>
      </w:r>
      <w:r>
        <w:rPr>
          <w:rFonts w:cs="Arial" w:hint="cs"/>
          <w:rtl/>
        </w:rPr>
        <w:t xml:space="preserve"> וטור- </w:t>
      </w:r>
      <w:r w:rsidRPr="002C73A2">
        <w:rPr>
          <w:rFonts w:cs="Arial"/>
          <w:rtl/>
        </w:rPr>
        <w:t xml:space="preserve">שליח שמכר וטעה ונתאנה </w:t>
      </w:r>
      <w:r>
        <w:rPr>
          <w:rFonts w:cs="Arial" w:hint="cs"/>
          <w:rtl/>
        </w:rPr>
        <w:t xml:space="preserve">- </w:t>
      </w:r>
      <w:r w:rsidRPr="002C73A2">
        <w:rPr>
          <w:rFonts w:cs="Arial"/>
          <w:rtl/>
        </w:rPr>
        <w:t>המכר בטל</w:t>
      </w:r>
      <w:r>
        <w:rPr>
          <w:rFonts w:cs="Arial" w:hint="cs"/>
          <w:rtl/>
        </w:rPr>
        <w:t>,</w:t>
      </w:r>
      <w:r w:rsidRPr="002C73A2">
        <w:rPr>
          <w:rFonts w:cs="Arial"/>
          <w:rtl/>
        </w:rPr>
        <w:t xml:space="preserve"> ואפילו בכל שהו שנתאנה</w:t>
      </w:r>
      <w:r>
        <w:rPr>
          <w:rFonts w:cs="Arial" w:hint="cs"/>
          <w:rtl/>
        </w:rPr>
        <w:t>,</w:t>
      </w:r>
      <w:r w:rsidRPr="002C73A2">
        <w:rPr>
          <w:rFonts w:cs="Arial"/>
          <w:rtl/>
        </w:rPr>
        <w:t xml:space="preserve"> בין אם הוא שליח ב"ד או שליח כל אדם</w:t>
      </w:r>
      <w:r>
        <w:rPr>
          <w:rFonts w:cs="Arial" w:hint="cs"/>
          <w:sz w:val="16"/>
          <w:szCs w:val="16"/>
          <w:rtl/>
        </w:rPr>
        <w:t xml:space="preserve"> (ל' הטור)</w:t>
      </w:r>
      <w:r>
        <w:rPr>
          <w:rFonts w:cs="Arial" w:hint="cs"/>
          <w:rtl/>
        </w:rPr>
        <w:t>.</w:t>
      </w:r>
      <w:r w:rsidRPr="002C73A2">
        <w:rPr>
          <w:rFonts w:cs="Arial"/>
          <w:rtl/>
        </w:rPr>
        <w:t xml:space="preserve"> </w:t>
      </w:r>
      <w:r w:rsidRPr="002B5FCF">
        <w:rPr>
          <w:rFonts w:hint="cs"/>
          <w:color w:val="E36C0A" w:themeColor="accent6" w:themeShade="BF"/>
          <w:rtl/>
        </w:rPr>
        <w:t>(וכ"פ בשו"ע)</w:t>
      </w:r>
    </w:p>
    <w:p w14:paraId="274A6D20" w14:textId="77777777" w:rsidR="00392DBB" w:rsidRDefault="00392DBB" w:rsidP="00392DBB">
      <w:pPr>
        <w:rPr>
          <w:rtl/>
        </w:rPr>
      </w:pPr>
      <w:r w:rsidRPr="006C7DCB">
        <w:rPr>
          <w:rFonts w:hint="cs"/>
          <w:b/>
          <w:bCs/>
          <w:rtl/>
        </w:rPr>
        <w:t xml:space="preserve">כתובות </w:t>
      </w:r>
      <w:r w:rsidRPr="006C7DCB">
        <w:rPr>
          <w:rFonts w:hint="cs"/>
          <w:b/>
          <w:bCs/>
          <w:sz w:val="16"/>
          <w:szCs w:val="16"/>
          <w:rtl/>
        </w:rPr>
        <w:t xml:space="preserve">(פ' אלמנה נזונת) </w:t>
      </w:r>
      <w:r w:rsidRPr="006C7DCB">
        <w:rPr>
          <w:rFonts w:hint="cs"/>
          <w:b/>
          <w:bCs/>
          <w:rtl/>
        </w:rPr>
        <w:t xml:space="preserve">צט ע"ב: </w:t>
      </w:r>
      <w:r w:rsidRPr="006C7DCB">
        <w:rPr>
          <w:rFonts w:cs="Arial"/>
          <w:u w:val="double"/>
          <w:rtl/>
        </w:rPr>
        <w:t>מתני'</w:t>
      </w:r>
      <w:r w:rsidRPr="006C7DCB">
        <w:rPr>
          <w:rFonts w:cs="Arial" w:hint="cs"/>
          <w:rtl/>
        </w:rPr>
        <w:t>:</w:t>
      </w:r>
      <w:r w:rsidRPr="006C7DCB">
        <w:rPr>
          <w:rFonts w:cs="Arial"/>
          <w:rtl/>
        </w:rPr>
        <w:t xml:space="preserve"> שום הדיינין שפיחתו שתות או הוסיפו שתות - מכרן בטל</w:t>
      </w:r>
      <w:r w:rsidRPr="006C7DCB">
        <w:rPr>
          <w:rFonts w:cs="Arial" w:hint="cs"/>
          <w:rtl/>
        </w:rPr>
        <w:t>.</w:t>
      </w:r>
      <w:r w:rsidRPr="006C7DCB">
        <w:rPr>
          <w:rFonts w:cs="Arial" w:hint="cs"/>
          <w:sz w:val="16"/>
          <w:szCs w:val="16"/>
          <w:rtl/>
        </w:rPr>
        <w:t xml:space="preserve"> (ו</w:t>
      </w:r>
      <w:r w:rsidRPr="006C7DCB">
        <w:rPr>
          <w:rFonts w:cs="Arial"/>
          <w:sz w:val="16"/>
          <w:szCs w:val="16"/>
          <w:rtl/>
        </w:rPr>
        <w:t xml:space="preserve">כתב הרא"ש (סי' טז) הא דקתני פחתו מכרן בטל </w:t>
      </w:r>
      <w:r w:rsidRPr="006C7DCB">
        <w:rPr>
          <w:rFonts w:cs="Arial" w:hint="cs"/>
          <w:sz w:val="16"/>
          <w:szCs w:val="16"/>
          <w:rtl/>
        </w:rPr>
        <w:t xml:space="preserve">- </w:t>
      </w:r>
      <w:r w:rsidRPr="006C7DCB">
        <w:rPr>
          <w:rFonts w:cs="Arial"/>
          <w:sz w:val="16"/>
          <w:szCs w:val="16"/>
          <w:rtl/>
        </w:rPr>
        <w:t>ניחא דנתאנו היתומים</w:t>
      </w:r>
      <w:r w:rsidRPr="006C7DCB">
        <w:rPr>
          <w:rFonts w:cs="Arial" w:hint="cs"/>
          <w:sz w:val="16"/>
          <w:szCs w:val="16"/>
          <w:rtl/>
        </w:rPr>
        <w:t>,</w:t>
      </w:r>
      <w:r w:rsidRPr="006C7DCB">
        <w:rPr>
          <w:rFonts w:cs="Arial"/>
          <w:sz w:val="16"/>
          <w:szCs w:val="16"/>
          <w:rtl/>
        </w:rPr>
        <w:t xml:space="preserve"> אבל אם הותירו שתות שנתאנה לוקח אמאי בטל</w:t>
      </w:r>
      <w:r w:rsidRPr="006C7DCB">
        <w:rPr>
          <w:rFonts w:cs="Arial" w:hint="cs"/>
          <w:sz w:val="16"/>
          <w:szCs w:val="16"/>
          <w:rtl/>
        </w:rPr>
        <w:t>,</w:t>
      </w:r>
      <w:r w:rsidRPr="006C7DCB">
        <w:rPr>
          <w:rFonts w:cs="Arial"/>
          <w:sz w:val="16"/>
          <w:szCs w:val="16"/>
          <w:rtl/>
        </w:rPr>
        <w:t xml:space="preserve"> לא יהא כח היתומים גרוע מכח אחר דאין אונאה לקרקעות</w:t>
      </w:r>
      <w:r w:rsidRPr="006C7DCB">
        <w:rPr>
          <w:rFonts w:cs="Arial" w:hint="cs"/>
          <w:sz w:val="16"/>
          <w:szCs w:val="16"/>
          <w:rtl/>
        </w:rPr>
        <w:t>.</w:t>
      </w:r>
      <w:r w:rsidRPr="006C7DCB">
        <w:rPr>
          <w:rFonts w:cs="Arial"/>
          <w:sz w:val="16"/>
          <w:szCs w:val="16"/>
          <w:rtl/>
        </w:rPr>
        <w:t xml:space="preserve"> ומתוך פירוש רש"י משמע דכיון דלגבי אונאת יתומים אמרינן מכרו בטל</w:t>
      </w:r>
      <w:r w:rsidRPr="006C7DCB">
        <w:rPr>
          <w:rFonts w:cs="Arial" w:hint="cs"/>
          <w:sz w:val="16"/>
          <w:szCs w:val="16"/>
          <w:rtl/>
        </w:rPr>
        <w:t>,</w:t>
      </w:r>
      <w:r w:rsidRPr="006C7DCB">
        <w:rPr>
          <w:rFonts w:cs="Arial"/>
          <w:sz w:val="16"/>
          <w:szCs w:val="16"/>
          <w:rtl/>
        </w:rPr>
        <w:t xml:space="preserve"> הוא הדין נמי לגבי אונאת לוקח</w:t>
      </w:r>
      <w:r w:rsidRPr="006C7DCB">
        <w:rPr>
          <w:rFonts w:cs="Arial" w:hint="cs"/>
          <w:sz w:val="16"/>
          <w:szCs w:val="16"/>
          <w:rtl/>
        </w:rPr>
        <w:t>.</w:t>
      </w:r>
      <w:r w:rsidRPr="006C7DCB">
        <w:rPr>
          <w:rFonts w:cs="Arial"/>
          <w:sz w:val="16"/>
          <w:szCs w:val="16"/>
          <w:rtl/>
        </w:rPr>
        <w:t xml:space="preserve"> ולסברא זו גם בשליח הדין כן</w:t>
      </w:r>
      <w:r w:rsidRPr="006C7DCB">
        <w:rPr>
          <w:rFonts w:cs="Arial" w:hint="cs"/>
          <w:sz w:val="16"/>
          <w:szCs w:val="16"/>
          <w:rtl/>
        </w:rPr>
        <w:t>,</w:t>
      </w:r>
      <w:r w:rsidRPr="006C7DCB">
        <w:rPr>
          <w:rFonts w:cs="Arial"/>
          <w:sz w:val="16"/>
          <w:szCs w:val="16"/>
          <w:rtl/>
        </w:rPr>
        <w:t xml:space="preserve"> כי היכי דאי טעה שליח ונתאנה</w:t>
      </w:r>
      <w:r w:rsidRPr="006C7DCB">
        <w:rPr>
          <w:rFonts w:cs="Arial" w:hint="cs"/>
          <w:sz w:val="16"/>
          <w:szCs w:val="16"/>
          <w:rtl/>
        </w:rPr>
        <w:t>,</w:t>
      </w:r>
      <w:r w:rsidRPr="006C7DCB">
        <w:rPr>
          <w:rFonts w:cs="Arial"/>
          <w:sz w:val="16"/>
          <w:szCs w:val="16"/>
          <w:rtl/>
        </w:rPr>
        <w:t xml:space="preserve"> המקח בטל</w:t>
      </w:r>
      <w:r w:rsidRPr="006C7DCB">
        <w:rPr>
          <w:rFonts w:cs="Arial" w:hint="cs"/>
          <w:sz w:val="16"/>
          <w:szCs w:val="16"/>
          <w:rtl/>
        </w:rPr>
        <w:t>,</w:t>
      </w:r>
      <w:r w:rsidRPr="006C7DCB">
        <w:rPr>
          <w:rFonts w:cs="Arial"/>
          <w:sz w:val="16"/>
          <w:szCs w:val="16"/>
          <w:rtl/>
        </w:rPr>
        <w:t xml:space="preserve"> דאמר ליה לתקוני שדרתיך ולא לעוותי</w:t>
      </w:r>
      <w:r w:rsidRPr="006C7DCB">
        <w:rPr>
          <w:rFonts w:cs="Arial" w:hint="cs"/>
          <w:sz w:val="16"/>
          <w:szCs w:val="16"/>
          <w:rtl/>
        </w:rPr>
        <w:t>,</w:t>
      </w:r>
      <w:r w:rsidRPr="006C7DCB">
        <w:rPr>
          <w:rFonts w:cs="Arial"/>
          <w:sz w:val="16"/>
          <w:szCs w:val="16"/>
          <w:rtl/>
        </w:rPr>
        <w:t xml:space="preserve"> הכי נמי אם נתאנה לוקח</w:t>
      </w:r>
      <w:r w:rsidRPr="006C7DCB">
        <w:rPr>
          <w:rFonts w:cs="Arial" w:hint="cs"/>
          <w:sz w:val="16"/>
          <w:szCs w:val="16"/>
          <w:rtl/>
        </w:rPr>
        <w:t>.</w:t>
      </w:r>
      <w:r w:rsidRPr="006C7DCB">
        <w:rPr>
          <w:rFonts w:cs="Arial"/>
          <w:sz w:val="16"/>
          <w:szCs w:val="16"/>
          <w:rtl/>
        </w:rPr>
        <w:t xml:space="preserve"> וכן כתב רבינו האיי ז"ל דבשליח אם הותירו שתות מכרן בטל</w:t>
      </w:r>
      <w:r w:rsidRPr="006C7DCB">
        <w:rPr>
          <w:rFonts w:cs="Arial" w:hint="cs"/>
          <w:sz w:val="16"/>
          <w:szCs w:val="16"/>
          <w:rtl/>
        </w:rPr>
        <w:t>.</w:t>
      </w:r>
      <w:r w:rsidRPr="006C7DCB">
        <w:rPr>
          <w:rFonts w:cs="Arial"/>
          <w:sz w:val="16"/>
          <w:szCs w:val="16"/>
          <w:rtl/>
        </w:rPr>
        <w:t xml:space="preserve"> ותמהני למה הזכיר שתות</w:t>
      </w:r>
      <w:r w:rsidRPr="006C7DCB">
        <w:rPr>
          <w:rFonts w:cs="Arial" w:hint="cs"/>
          <w:sz w:val="16"/>
          <w:szCs w:val="16"/>
          <w:rtl/>
        </w:rPr>
        <w:t>,</w:t>
      </w:r>
      <w:r w:rsidRPr="006C7DCB">
        <w:rPr>
          <w:rFonts w:cs="Arial"/>
          <w:sz w:val="16"/>
          <w:szCs w:val="16"/>
          <w:rtl/>
        </w:rPr>
        <w:t xml:space="preserve"> אם רוצה לדמות הותיר לפיחת</w:t>
      </w:r>
      <w:r w:rsidRPr="006C7DCB">
        <w:rPr>
          <w:rFonts w:cs="Arial" w:hint="cs"/>
          <w:sz w:val="16"/>
          <w:szCs w:val="16"/>
          <w:rtl/>
        </w:rPr>
        <w:t xml:space="preserve"> -</w:t>
      </w:r>
      <w:r w:rsidRPr="006C7DCB">
        <w:rPr>
          <w:rFonts w:cs="Arial"/>
          <w:sz w:val="16"/>
          <w:szCs w:val="16"/>
          <w:rtl/>
        </w:rPr>
        <w:t xml:space="preserve"> אפילו בדינר נמי דהא קיי"ל שליח כאלמנה</w:t>
      </w:r>
      <w:r w:rsidRPr="006C7DCB">
        <w:rPr>
          <w:rFonts w:cs="Arial" w:hint="cs"/>
          <w:sz w:val="16"/>
          <w:szCs w:val="16"/>
          <w:rtl/>
        </w:rPr>
        <w:t>.</w:t>
      </w:r>
      <w:r w:rsidRPr="006C7DCB">
        <w:rPr>
          <w:rFonts w:cs="Arial"/>
          <w:sz w:val="16"/>
          <w:szCs w:val="16"/>
          <w:rtl/>
        </w:rPr>
        <w:t xml:space="preserve"> וה"ר יונה ז"ל כתב דאם הותיר השליח דינו כאיניש דעלמא שמוכר את שלו וזוכה המשלח ביתרון ואם פיחת אמר ליה לתקוני שדרתיך ולא לעוותי עכ"ל</w:t>
      </w:r>
      <w:r>
        <w:rPr>
          <w:rFonts w:cs="Arial" w:hint="cs"/>
          <w:sz w:val="16"/>
          <w:szCs w:val="16"/>
          <w:rtl/>
        </w:rPr>
        <w:t>, ב"י</w:t>
      </w:r>
      <w:r w:rsidRPr="006C7DCB">
        <w:rPr>
          <w:rFonts w:cs="Arial" w:hint="cs"/>
          <w:sz w:val="16"/>
          <w:szCs w:val="16"/>
          <w:rtl/>
        </w:rPr>
        <w:t>)</w:t>
      </w:r>
    </w:p>
    <w:p w14:paraId="6D492A4F" w14:textId="118CAC3B" w:rsidR="00392DBB" w:rsidRPr="006C7DCB" w:rsidRDefault="00392DBB" w:rsidP="00392DBB">
      <w:pPr>
        <w:rPr>
          <w:u w:val="single"/>
        </w:rPr>
      </w:pPr>
      <w:r w:rsidRPr="006C7DCB">
        <w:rPr>
          <w:rFonts w:hint="cs"/>
          <w:u w:val="single"/>
          <w:rtl/>
        </w:rPr>
        <w:t xml:space="preserve">שליח שהטעה את הלוקח </w:t>
      </w:r>
      <w:r w:rsidR="00F97626">
        <w:rPr>
          <w:u w:val="single"/>
          <w:rtl/>
        </w:rPr>
        <w:t>-</w:t>
      </w:r>
      <w:r w:rsidRPr="006C7DCB">
        <w:rPr>
          <w:rFonts w:hint="cs"/>
          <w:u w:val="single"/>
          <w:rtl/>
        </w:rPr>
        <w:t xml:space="preserve"> האם היתרון ליתומים:</w:t>
      </w:r>
    </w:p>
    <w:p w14:paraId="2AE906B2" w14:textId="77777777" w:rsidR="00392DBB" w:rsidRPr="00F364BD" w:rsidRDefault="00392DBB" w:rsidP="009000E3">
      <w:pPr>
        <w:pStyle w:val="ab"/>
        <w:numPr>
          <w:ilvl w:val="0"/>
          <w:numId w:val="63"/>
        </w:numPr>
      </w:pPr>
      <w:r>
        <w:rPr>
          <w:rFonts w:cs="Arial" w:hint="cs"/>
          <w:rtl/>
        </w:rPr>
        <w:t xml:space="preserve">רב האי </w:t>
      </w:r>
      <w:r w:rsidRPr="00F364BD">
        <w:rPr>
          <w:rFonts w:cs="Arial"/>
          <w:sz w:val="16"/>
          <w:szCs w:val="16"/>
          <w:rtl/>
        </w:rPr>
        <w:t>(ס' המקח והממכר שער ו)</w:t>
      </w:r>
      <w:r>
        <w:rPr>
          <w:rFonts w:cs="Arial" w:hint="cs"/>
          <w:rtl/>
        </w:rPr>
        <w:t xml:space="preserve">- </w:t>
      </w:r>
      <w:r w:rsidRPr="002C73A2">
        <w:rPr>
          <w:rFonts w:cs="Arial"/>
          <w:rtl/>
        </w:rPr>
        <w:t>אם הטעה הלוקח</w:t>
      </w:r>
      <w:r>
        <w:rPr>
          <w:rFonts w:cs="Arial" w:hint="cs"/>
          <w:rtl/>
        </w:rPr>
        <w:t>...</w:t>
      </w:r>
      <w:r w:rsidRPr="002C73A2">
        <w:rPr>
          <w:rFonts w:cs="Arial"/>
          <w:rtl/>
        </w:rPr>
        <w:t xml:space="preserve"> </w:t>
      </w:r>
      <w:r>
        <w:rPr>
          <w:rFonts w:cs="Arial" w:hint="cs"/>
          <w:rtl/>
        </w:rPr>
        <w:t xml:space="preserve">- </w:t>
      </w:r>
      <w:r w:rsidRPr="002C73A2">
        <w:rPr>
          <w:rFonts w:cs="Arial"/>
          <w:rtl/>
        </w:rPr>
        <w:t>המקח בטל בכל שהו</w:t>
      </w:r>
      <w:r>
        <w:rPr>
          <w:rFonts w:cs="Arial" w:hint="cs"/>
          <w:rtl/>
        </w:rPr>
        <w:t xml:space="preserve"> </w:t>
      </w:r>
      <w:r>
        <w:rPr>
          <w:rFonts w:cs="Arial" w:hint="cs"/>
          <w:sz w:val="16"/>
          <w:szCs w:val="16"/>
          <w:rtl/>
        </w:rPr>
        <w:t>(ל' הטור בשמו)</w:t>
      </w:r>
      <w:r>
        <w:rPr>
          <w:rFonts w:cs="Arial" w:hint="cs"/>
          <w:rtl/>
        </w:rPr>
        <w:t>.</w:t>
      </w:r>
      <w:r w:rsidRPr="002B5FCF">
        <w:rPr>
          <w:rFonts w:hint="cs"/>
          <w:color w:val="E36C0A" w:themeColor="accent6" w:themeShade="BF"/>
          <w:rtl/>
        </w:rPr>
        <w:t xml:space="preserve"> </w:t>
      </w:r>
    </w:p>
    <w:p w14:paraId="48B2A704" w14:textId="77777777" w:rsidR="00392DBB" w:rsidRDefault="00392DBB" w:rsidP="009000E3">
      <w:pPr>
        <w:pStyle w:val="ab"/>
        <w:numPr>
          <w:ilvl w:val="0"/>
          <w:numId w:val="63"/>
        </w:numPr>
        <w:rPr>
          <w:rtl/>
        </w:rPr>
      </w:pPr>
      <w:r w:rsidRPr="002C73A2">
        <w:rPr>
          <w:rFonts w:cs="Arial"/>
          <w:rtl/>
        </w:rPr>
        <w:t>ה"ר יונה</w:t>
      </w:r>
      <w:r>
        <w:rPr>
          <w:rFonts w:cs="Arial" w:hint="cs"/>
          <w:sz w:val="16"/>
          <w:szCs w:val="16"/>
          <w:rtl/>
        </w:rPr>
        <w:t xml:space="preserve"> (כ"כ בשמו הרא"ש והטור)</w:t>
      </w:r>
      <w:r>
        <w:rPr>
          <w:rFonts w:cs="Arial" w:hint="cs"/>
          <w:rtl/>
        </w:rPr>
        <w:t xml:space="preserve">- </w:t>
      </w:r>
      <w:r w:rsidRPr="002C73A2">
        <w:rPr>
          <w:rFonts w:cs="Arial"/>
          <w:rtl/>
        </w:rPr>
        <w:t xml:space="preserve">אם טעה הוא ונתאנה </w:t>
      </w:r>
      <w:r>
        <w:rPr>
          <w:rFonts w:cs="Arial" w:hint="cs"/>
          <w:rtl/>
        </w:rPr>
        <w:t xml:space="preserve">- </w:t>
      </w:r>
      <w:r w:rsidRPr="002C73A2">
        <w:rPr>
          <w:rFonts w:cs="Arial"/>
          <w:rtl/>
        </w:rPr>
        <w:t>המקח בטל בכל שהו שיאמר לו המשלח לתקוני שדרתיך ולא לעוותי</w:t>
      </w:r>
      <w:r>
        <w:rPr>
          <w:rFonts w:cs="Arial" w:hint="cs"/>
          <w:rtl/>
        </w:rPr>
        <w:t>.</w:t>
      </w:r>
      <w:r w:rsidRPr="002C73A2">
        <w:rPr>
          <w:rFonts w:cs="Arial"/>
          <w:rtl/>
        </w:rPr>
        <w:t xml:space="preserve"> אבל אם הטעה את הלוקח </w:t>
      </w:r>
      <w:r>
        <w:rPr>
          <w:rFonts w:cs="Arial" w:hint="cs"/>
          <w:rtl/>
        </w:rPr>
        <w:t xml:space="preserve">- </w:t>
      </w:r>
      <w:r w:rsidRPr="002C73A2">
        <w:rPr>
          <w:rFonts w:cs="Arial"/>
          <w:rtl/>
        </w:rPr>
        <w:t>זכה המשלח ביתרון</w:t>
      </w:r>
      <w:r>
        <w:rPr>
          <w:rStyle w:val="a7"/>
          <w:rFonts w:cs="Arial"/>
          <w:rtl/>
        </w:rPr>
        <w:footnoteReference w:id="2283"/>
      </w:r>
      <w:r>
        <w:rPr>
          <w:rFonts w:cs="Arial" w:hint="cs"/>
          <w:sz w:val="16"/>
          <w:szCs w:val="16"/>
          <w:rtl/>
        </w:rPr>
        <w:t xml:space="preserve"> (ל' הטור בשמו)</w:t>
      </w:r>
      <w:r>
        <w:rPr>
          <w:rFonts w:cs="Arial" w:hint="cs"/>
          <w:rtl/>
        </w:rPr>
        <w:t xml:space="preserve">. </w:t>
      </w:r>
      <w:r w:rsidRPr="002B5FCF">
        <w:rPr>
          <w:rFonts w:hint="cs"/>
          <w:color w:val="E36C0A" w:themeColor="accent6" w:themeShade="BF"/>
          <w:rtl/>
        </w:rPr>
        <w:t>(וכ"פ בשו"ע)</w:t>
      </w:r>
    </w:p>
    <w:p w14:paraId="08BE21D1" w14:textId="77777777" w:rsidR="00392DBB" w:rsidRPr="00546514" w:rsidRDefault="00392DBB" w:rsidP="00392DBB">
      <w:pPr>
        <w:rPr>
          <w:u w:val="single"/>
        </w:rPr>
      </w:pPr>
      <w:r w:rsidRPr="00546514">
        <w:rPr>
          <w:rFonts w:cs="Arial"/>
          <w:u w:val="single"/>
          <w:rtl/>
        </w:rPr>
        <w:t>קרקע של יתומים שהכריזו ב"ד עליו למוכרו להגבות אשה כתובתה ואחר ההכרזה מחלה ליתומים כתובתה</w:t>
      </w:r>
    </w:p>
    <w:p w14:paraId="01240ED8" w14:textId="194FE77D" w:rsidR="00392DBB" w:rsidRDefault="00392DBB" w:rsidP="009000E3">
      <w:pPr>
        <w:pStyle w:val="ab"/>
        <w:numPr>
          <w:ilvl w:val="0"/>
          <w:numId w:val="63"/>
        </w:numPr>
      </w:pPr>
      <w:r>
        <w:rPr>
          <w:rFonts w:cs="Arial" w:hint="cs"/>
          <w:rtl/>
        </w:rPr>
        <w:t xml:space="preserve">רא"ש </w:t>
      </w:r>
      <w:r>
        <w:rPr>
          <w:rFonts w:cs="Arial" w:hint="cs"/>
          <w:sz w:val="16"/>
          <w:szCs w:val="16"/>
          <w:rtl/>
        </w:rPr>
        <w:t>(כלל סג סי' ב)</w:t>
      </w:r>
      <w:r>
        <w:rPr>
          <w:rFonts w:cs="Arial" w:hint="cs"/>
          <w:rtl/>
        </w:rPr>
        <w:t xml:space="preserve"> וטור- </w:t>
      </w:r>
      <w:r w:rsidRPr="002C73A2">
        <w:rPr>
          <w:rFonts w:cs="Arial"/>
          <w:rtl/>
        </w:rPr>
        <w:t>ששאלת על קרקע של יתומים שהכריזו ב"ד עליו למוכרו להגבות אשה כתובתה</w:t>
      </w:r>
      <w:r>
        <w:rPr>
          <w:rFonts w:cs="Arial" w:hint="cs"/>
          <w:rtl/>
        </w:rPr>
        <w:t>.</w:t>
      </w:r>
      <w:r w:rsidRPr="002C73A2">
        <w:rPr>
          <w:rFonts w:cs="Arial"/>
          <w:rtl/>
        </w:rPr>
        <w:t xml:space="preserve"> ואחר ההכרזה מחלה ליתומים כתובתה ושלחה מצד אחר מורשה שלה לב"ד להגבות כתובתה</w:t>
      </w:r>
      <w:r>
        <w:rPr>
          <w:rFonts w:cs="Arial" w:hint="cs"/>
          <w:rtl/>
        </w:rPr>
        <w:t>.</w:t>
      </w:r>
      <w:r w:rsidRPr="002C73A2">
        <w:rPr>
          <w:rFonts w:cs="Arial"/>
          <w:rtl/>
        </w:rPr>
        <w:t xml:space="preserve"> ומכרו ב"ד הקרקע וכתבו אחריות המכר על היתומים</w:t>
      </w:r>
      <w:r>
        <w:rPr>
          <w:rFonts w:cs="Arial" w:hint="cs"/>
          <w:rtl/>
        </w:rPr>
        <w:t>.</w:t>
      </w:r>
      <w:r w:rsidRPr="002C73A2">
        <w:rPr>
          <w:rFonts w:cs="Arial"/>
          <w:rtl/>
        </w:rPr>
        <w:t xml:space="preserve"> ועתה רוצים היתומים להוציא הקרקע מיד הלוקח כי אמרו שלא כדין מכרוהו שכבר מחלה להם כתובתה</w:t>
      </w:r>
      <w:r>
        <w:rPr>
          <w:rFonts w:cs="Arial" w:hint="cs"/>
          <w:rtl/>
        </w:rPr>
        <w:t>.</w:t>
      </w:r>
      <w:r w:rsidRPr="002C73A2">
        <w:rPr>
          <w:rFonts w:cs="Arial"/>
          <w:rtl/>
        </w:rPr>
        <w:t xml:space="preserve"> </w:t>
      </w:r>
      <w:r>
        <w:rPr>
          <w:rFonts w:cs="Arial" w:hint="cs"/>
          <w:rtl/>
        </w:rPr>
        <w:t xml:space="preserve">    </w:t>
      </w:r>
      <w:r w:rsidR="00FE210D">
        <w:rPr>
          <w:rFonts w:cs="Arial"/>
          <w:rtl/>
        </w:rPr>
        <w:t xml:space="preserve">      תשובה:</w:t>
      </w:r>
      <w:r w:rsidRPr="002C73A2">
        <w:rPr>
          <w:rFonts w:cs="Arial"/>
          <w:rtl/>
        </w:rPr>
        <w:t xml:space="preserve"> מרמה עשו ולא תעשנה ידיהם תושיה כי ב"ד מכרוהו כי לא ידעו באותה מחילה טמירתא ואחריות המכר על היתומים</w:t>
      </w:r>
      <w:r>
        <w:rPr>
          <w:rFonts w:cs="Arial" w:hint="cs"/>
          <w:rtl/>
        </w:rPr>
        <w:t>.</w:t>
      </w:r>
      <w:r w:rsidRPr="002C73A2">
        <w:rPr>
          <w:rFonts w:cs="Arial"/>
          <w:rtl/>
        </w:rPr>
        <w:t xml:space="preserve"> ואי איניש דעלמא היה הבא להוציא הקרקע היו היתומים חייבים לפרוע</w:t>
      </w:r>
      <w:r>
        <w:rPr>
          <w:rFonts w:cs="Arial" w:hint="cs"/>
          <w:rtl/>
        </w:rPr>
        <w:t>,</w:t>
      </w:r>
      <w:r w:rsidRPr="002C73A2">
        <w:rPr>
          <w:rFonts w:cs="Arial"/>
          <w:rtl/>
        </w:rPr>
        <w:t xml:space="preserve"> ועתה נמי שהם באים להוציא מיד הלוקח האחריות עליהם</w:t>
      </w:r>
      <w:r>
        <w:rPr>
          <w:rFonts w:cs="Arial" w:hint="cs"/>
          <w:rtl/>
        </w:rPr>
        <w:t>.</w:t>
      </w:r>
      <w:r w:rsidRPr="002C73A2">
        <w:rPr>
          <w:rFonts w:cs="Arial"/>
          <w:rtl/>
        </w:rPr>
        <w:t xml:space="preserve"> הילכך אינה מחילה וישאר הקרקע ביד הלוקח</w:t>
      </w:r>
      <w:r>
        <w:rPr>
          <w:rFonts w:cs="Arial" w:hint="cs"/>
          <w:rtl/>
        </w:rPr>
        <w:t>.</w:t>
      </w:r>
    </w:p>
    <w:p w14:paraId="5F5A259F" w14:textId="537759A2" w:rsidR="00392DBB" w:rsidRPr="002B5FCF" w:rsidRDefault="00392DBB" w:rsidP="00392DBB">
      <w:r w:rsidRPr="002B5FCF">
        <w:rPr>
          <w:rFonts w:cs="Arial" w:hint="cs"/>
          <w:u w:val="single"/>
          <w:rtl/>
        </w:rPr>
        <w:lastRenderedPageBreak/>
        <w:t>דיין שנתמנה ע"פ הורמנא דמלכא</w:t>
      </w:r>
      <w:r w:rsidR="00B47529">
        <w:rPr>
          <w:rFonts w:cs="Arial" w:hint="cs"/>
          <w:u w:val="single"/>
          <w:rtl/>
        </w:rPr>
        <w:t xml:space="preserve">, </w:t>
      </w:r>
      <w:r w:rsidRPr="002B5FCF">
        <w:rPr>
          <w:rFonts w:cs="Arial" w:hint="cs"/>
          <w:u w:val="single"/>
          <w:rtl/>
        </w:rPr>
        <w:t>וטעה</w:t>
      </w:r>
      <w:r w:rsidR="00B47529">
        <w:rPr>
          <w:rFonts w:cs="Arial" w:hint="cs"/>
          <w:u w:val="single"/>
          <w:rtl/>
        </w:rPr>
        <w:t xml:space="preserve"> הוא או שלוחו</w:t>
      </w:r>
      <w:r w:rsidRPr="002B5FCF">
        <w:rPr>
          <w:rFonts w:cs="Arial" w:hint="cs"/>
          <w:u w:val="single"/>
          <w:rtl/>
        </w:rPr>
        <w:t>:</w:t>
      </w:r>
      <w:r>
        <w:rPr>
          <w:rFonts w:cs="Arial" w:hint="cs"/>
          <w:rtl/>
        </w:rPr>
        <w:t xml:space="preserve"> </w:t>
      </w:r>
      <w:r w:rsidRPr="002B5FCF">
        <w:rPr>
          <w:rFonts w:cs="Arial"/>
          <w:sz w:val="16"/>
          <w:szCs w:val="16"/>
          <w:rtl/>
        </w:rPr>
        <w:t>(</w:t>
      </w:r>
      <w:r w:rsidRPr="002B5FCF">
        <w:rPr>
          <w:rFonts w:cs="Arial" w:hint="cs"/>
          <w:sz w:val="16"/>
          <w:szCs w:val="16"/>
          <w:rtl/>
        </w:rPr>
        <w:t xml:space="preserve">דרכ"מ אות </w:t>
      </w:r>
      <w:r w:rsidRPr="002B5FCF">
        <w:rPr>
          <w:rFonts w:cs="Arial"/>
          <w:sz w:val="16"/>
          <w:szCs w:val="16"/>
          <w:rtl/>
        </w:rPr>
        <w:t>א)</w:t>
      </w:r>
    </w:p>
    <w:p w14:paraId="20622499" w14:textId="643C4A32" w:rsidR="00392DBB" w:rsidRDefault="00392DBB" w:rsidP="009000E3">
      <w:pPr>
        <w:pStyle w:val="ab"/>
        <w:numPr>
          <w:ilvl w:val="0"/>
          <w:numId w:val="63"/>
        </w:numPr>
      </w:pPr>
      <w:r w:rsidRPr="002C73A2">
        <w:rPr>
          <w:rFonts w:cs="Arial"/>
          <w:rtl/>
        </w:rPr>
        <w:t xml:space="preserve">ריב"ש </w:t>
      </w:r>
      <w:r w:rsidRPr="002B5FCF">
        <w:rPr>
          <w:rFonts w:cs="Arial" w:hint="cs"/>
          <w:sz w:val="16"/>
          <w:szCs w:val="16"/>
          <w:rtl/>
        </w:rPr>
        <w:t>(</w:t>
      </w:r>
      <w:r w:rsidRPr="002B5FCF">
        <w:rPr>
          <w:rFonts w:cs="Arial"/>
          <w:sz w:val="16"/>
          <w:szCs w:val="16"/>
          <w:rtl/>
        </w:rPr>
        <w:t>סי</w:t>
      </w:r>
      <w:r w:rsidRPr="002B5FCF">
        <w:rPr>
          <w:rFonts w:cs="Arial" w:hint="cs"/>
          <w:sz w:val="16"/>
          <w:szCs w:val="16"/>
          <w:rtl/>
        </w:rPr>
        <w:t>'</w:t>
      </w:r>
      <w:r w:rsidRPr="002B5FCF">
        <w:rPr>
          <w:rFonts w:cs="Arial"/>
          <w:sz w:val="16"/>
          <w:szCs w:val="16"/>
          <w:rtl/>
        </w:rPr>
        <w:t xml:space="preserve"> קעט</w:t>
      </w:r>
      <w:r w:rsidRPr="002B5FCF">
        <w:rPr>
          <w:rFonts w:cs="Arial" w:hint="cs"/>
          <w:sz w:val="16"/>
          <w:szCs w:val="16"/>
          <w:rtl/>
        </w:rPr>
        <w:t>)</w:t>
      </w:r>
      <w:r>
        <w:rPr>
          <w:rFonts w:cs="Arial" w:hint="cs"/>
          <w:rtl/>
        </w:rPr>
        <w:t>-</w:t>
      </w:r>
      <w:r w:rsidRPr="002C73A2">
        <w:rPr>
          <w:rFonts w:cs="Arial"/>
          <w:rtl/>
        </w:rPr>
        <w:t xml:space="preserve"> אם אחד נתמנה דיין ע"פ הורמנא דמלכא ומכר וטעה</w:t>
      </w:r>
      <w:r w:rsidR="00B47529">
        <w:rPr>
          <w:rFonts w:cs="Arial" w:hint="cs"/>
          <w:rtl/>
        </w:rPr>
        <w:t>,</w:t>
      </w:r>
      <w:r w:rsidRPr="002C73A2">
        <w:rPr>
          <w:rFonts w:cs="Arial"/>
          <w:rtl/>
        </w:rPr>
        <w:t xml:space="preserve"> בין הוא בין שלוחו </w:t>
      </w:r>
      <w:r>
        <w:rPr>
          <w:rFonts w:cs="Arial" w:hint="cs"/>
          <w:rtl/>
        </w:rPr>
        <w:t xml:space="preserve">- </w:t>
      </w:r>
      <w:r w:rsidRPr="002C73A2">
        <w:rPr>
          <w:rFonts w:cs="Arial"/>
          <w:rtl/>
        </w:rPr>
        <w:t>הוי כבית דין שטעה ועדיף טפי משאר שליח בית דין</w:t>
      </w:r>
      <w:r>
        <w:rPr>
          <w:rFonts w:cs="Arial" w:hint="cs"/>
          <w:rtl/>
        </w:rPr>
        <w:t>.</w:t>
      </w:r>
      <w:r w:rsidRPr="00ED54A6">
        <w:rPr>
          <w:rFonts w:hint="cs"/>
          <w:color w:val="00B0F0"/>
          <w:rtl/>
        </w:rPr>
        <w:t xml:space="preserve"> (וכ"כ הרמ"א)</w:t>
      </w:r>
    </w:p>
    <w:p w14:paraId="7022CCBC"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2152942" w14:textId="0891EE55" w:rsidR="00392DBB" w:rsidRPr="007A3469" w:rsidRDefault="00392DBB" w:rsidP="00392DBB">
      <w:pPr>
        <w:rPr>
          <w:rtl/>
        </w:rPr>
        <w:sectPr w:rsidR="00392DBB" w:rsidRPr="007A3469" w:rsidSect="00A347B3">
          <w:headerReference w:type="default" r:id="rId48"/>
          <w:footnotePr>
            <w:numRestart w:val="eachSect"/>
          </w:footnotePr>
          <w:pgSz w:w="11906" w:h="16838"/>
          <w:pgMar w:top="720" w:right="1134" w:bottom="720" w:left="1134" w:header="0" w:footer="0" w:gutter="0"/>
          <w:cols w:space="720"/>
          <w:bidi/>
          <w:rtlGutter/>
          <w:docGrid w:linePitch="360"/>
        </w:sectPr>
      </w:pPr>
      <w:r>
        <w:rPr>
          <w:rFonts w:cs="Arial"/>
          <w:rtl/>
        </w:rPr>
        <w:t>שליח שמכר וטעה ונתאנה אפילו בכל שהוא, המכר בטל אפילו אם הוא שליח ב</w:t>
      </w:r>
      <w:r>
        <w:rPr>
          <w:rFonts w:cs="Arial" w:hint="cs"/>
          <w:rtl/>
        </w:rPr>
        <w:t xml:space="preserve">ית </w:t>
      </w:r>
      <w:r>
        <w:rPr>
          <w:rFonts w:cs="Arial"/>
          <w:rtl/>
        </w:rPr>
        <w:t>ד</w:t>
      </w:r>
      <w:r>
        <w:rPr>
          <w:rFonts w:cs="Arial" w:hint="cs"/>
          <w:rtl/>
        </w:rPr>
        <w:t>ין</w:t>
      </w:r>
      <w:r>
        <w:rPr>
          <w:rFonts w:cs="Arial"/>
          <w:rtl/>
        </w:rPr>
        <w:t>. ואם הטעה את הלוקח עד שתות</w:t>
      </w:r>
      <w:r>
        <w:rPr>
          <w:rStyle w:val="a7"/>
          <w:rFonts w:cs="Arial"/>
          <w:rtl/>
        </w:rPr>
        <w:footnoteReference w:id="2284"/>
      </w:r>
      <w:r>
        <w:rPr>
          <w:rFonts w:cs="Arial"/>
          <w:rtl/>
        </w:rPr>
        <w:t xml:space="preserve">, המקח קיים וזכה המשלח ביתרון. </w:t>
      </w:r>
      <w:r w:rsidRPr="003D1481">
        <w:rPr>
          <w:rFonts w:cs="Arial"/>
          <w:sz w:val="18"/>
          <w:szCs w:val="18"/>
          <w:rtl/>
        </w:rPr>
        <w:t>הגה: י"א דדיין שנתמנה על פי הורמנא דמלכא ומכר ע"י שלוחו, עדיף משאר שליח בית דין, והוי כב"ד שטעו ומכרן קיים</w:t>
      </w:r>
      <w:r>
        <w:rPr>
          <w:rStyle w:val="a7"/>
          <w:rFonts w:cs="Arial"/>
          <w:sz w:val="18"/>
          <w:szCs w:val="18"/>
          <w:rtl/>
        </w:rPr>
        <w:footnoteReference w:id="2285"/>
      </w:r>
      <w:r>
        <w:rPr>
          <w:rFonts w:cs="Arial" w:hint="cs"/>
          <w:sz w:val="18"/>
          <w:szCs w:val="18"/>
          <w:rtl/>
        </w:rPr>
        <w:t>,</w:t>
      </w:r>
      <w:r w:rsidRPr="003D1481">
        <w:rPr>
          <w:rFonts w:cs="Arial"/>
          <w:sz w:val="18"/>
          <w:szCs w:val="18"/>
          <w:rtl/>
        </w:rPr>
        <w:t xml:space="preserve"> וכ"ש אם מכרו בעצמו (ריב"ש).</w:t>
      </w:r>
    </w:p>
    <w:p w14:paraId="00DC7E41" w14:textId="77777777" w:rsidR="00392DBB" w:rsidRDefault="00392DBB" w:rsidP="00392DBB">
      <w:pPr>
        <w:pStyle w:val="1"/>
        <w:rPr>
          <w:rtl/>
        </w:rPr>
      </w:pPr>
      <w:r>
        <w:rPr>
          <w:rFonts w:hint="cs"/>
          <w:rtl/>
        </w:rPr>
        <w:lastRenderedPageBreak/>
        <w:t>סימן קה:</w:t>
      </w:r>
      <w:r w:rsidRPr="00C12B74">
        <w:rPr>
          <w:rtl/>
        </w:rPr>
        <w:t xml:space="preserve"> </w:t>
      </w:r>
      <w:r>
        <w:rPr>
          <w:rFonts w:cs="Arial"/>
          <w:rtl/>
        </w:rPr>
        <w:t xml:space="preserve">דין המוכרת ומוחלת כתובתה, ובו ז' סעיפים. </w:t>
      </w:r>
    </w:p>
    <w:p w14:paraId="25E43CB7" w14:textId="1466CCF7" w:rsidR="00392DBB" w:rsidRDefault="00392DBB" w:rsidP="000F64D0">
      <w:pPr>
        <w:pStyle w:val="2"/>
        <w:rPr>
          <w:rtl/>
        </w:rPr>
      </w:pPr>
      <w:r>
        <w:rPr>
          <w:rtl/>
        </w:rPr>
        <w:t>סעיף א</w:t>
      </w:r>
      <w:r>
        <w:rPr>
          <w:rFonts w:hint="cs"/>
          <w:rtl/>
        </w:rPr>
        <w:t xml:space="preserve">: </w:t>
      </w:r>
      <w:r w:rsidR="005D12EF">
        <w:rPr>
          <w:rFonts w:hint="cs"/>
          <w:rtl/>
        </w:rPr>
        <w:t>אשה יכולה למכור כתובתה.</w:t>
      </w:r>
    </w:p>
    <w:p w14:paraId="46D1ECC2" w14:textId="24B66C7A" w:rsidR="005254EF" w:rsidRPr="005254EF" w:rsidRDefault="00DB2B0A" w:rsidP="005254EF">
      <w:pPr>
        <w:rPr>
          <w:rtl/>
        </w:rPr>
      </w:pPr>
      <w:r w:rsidRPr="00DB2B0A">
        <w:rPr>
          <w:rFonts w:cs="Arial" w:hint="cs"/>
          <w:b/>
          <w:bCs/>
          <w:rtl/>
        </w:rPr>
        <w:t xml:space="preserve">בבא קמא </w:t>
      </w:r>
      <w:r w:rsidRPr="00DB2B0A">
        <w:rPr>
          <w:rFonts w:cs="Arial" w:hint="cs"/>
          <w:b/>
          <w:bCs/>
          <w:sz w:val="16"/>
          <w:szCs w:val="16"/>
          <w:rtl/>
        </w:rPr>
        <w:t>(פ' החובל)</w:t>
      </w:r>
      <w:r w:rsidRPr="00DB2B0A">
        <w:rPr>
          <w:rFonts w:cs="Arial" w:hint="cs"/>
          <w:b/>
          <w:bCs/>
          <w:rtl/>
        </w:rPr>
        <w:t xml:space="preserve"> פ</w:t>
      </w:r>
      <w:r w:rsidR="000F5945">
        <w:rPr>
          <w:rFonts w:cs="Arial" w:hint="cs"/>
          <w:b/>
          <w:bCs/>
          <w:rtl/>
        </w:rPr>
        <w:t>ט</w:t>
      </w:r>
      <w:r w:rsidR="00B47529">
        <w:rPr>
          <w:rStyle w:val="a7"/>
          <w:rFonts w:cs="Arial"/>
          <w:b/>
          <w:bCs/>
          <w:rtl/>
        </w:rPr>
        <w:footnoteReference w:id="2286"/>
      </w:r>
      <w:r w:rsidRPr="00DB2B0A">
        <w:rPr>
          <w:rFonts w:cs="Arial" w:hint="cs"/>
          <w:b/>
          <w:bCs/>
          <w:rtl/>
        </w:rPr>
        <w:t xml:space="preserve"> ע"</w:t>
      </w:r>
      <w:r w:rsidR="000F5945">
        <w:rPr>
          <w:rFonts w:cs="Arial" w:hint="cs"/>
          <w:b/>
          <w:bCs/>
          <w:rtl/>
        </w:rPr>
        <w:t>א</w:t>
      </w:r>
      <w:r w:rsidRPr="00DB2B0A">
        <w:rPr>
          <w:rFonts w:cs="Arial" w:hint="cs"/>
          <w:b/>
          <w:bCs/>
          <w:rtl/>
        </w:rPr>
        <w:t>:</w:t>
      </w:r>
      <w:r w:rsidR="007D4A23">
        <w:rPr>
          <w:rFonts w:cs="Arial" w:hint="cs"/>
          <w:rtl/>
        </w:rPr>
        <w:t xml:space="preserve"> </w:t>
      </w:r>
      <w:r w:rsidR="005D1C7D" w:rsidRPr="007D4A23">
        <w:rPr>
          <w:rFonts w:cs="Arial"/>
          <w:u w:val="single"/>
          <w:rtl/>
        </w:rPr>
        <w:t>אמר אביי</w:t>
      </w:r>
      <w:r w:rsidR="005D1C7D" w:rsidRPr="005D1C7D">
        <w:rPr>
          <w:rFonts w:cs="Arial"/>
          <w:rtl/>
        </w:rPr>
        <w:t>: טובת הנאה</w:t>
      </w:r>
      <w:r w:rsidR="007D4A23">
        <w:rPr>
          <w:rStyle w:val="a7"/>
          <w:rFonts w:cs="Arial"/>
          <w:rtl/>
        </w:rPr>
        <w:footnoteReference w:id="2287"/>
      </w:r>
      <w:r w:rsidR="005D1C7D" w:rsidRPr="005D1C7D">
        <w:rPr>
          <w:rFonts w:cs="Arial"/>
          <w:rtl/>
        </w:rPr>
        <w:t xml:space="preserve"> הואיל ואתא לידן, נימא בה מילתא: טובת הנאה לאשה הויא</w:t>
      </w:r>
      <w:r w:rsidR="007D4A23">
        <w:rPr>
          <w:rFonts w:cs="Arial" w:hint="cs"/>
          <w:rtl/>
        </w:rPr>
        <w:t xml:space="preserve">... </w:t>
      </w:r>
      <w:r w:rsidR="005D1C7D" w:rsidRPr="007D4A23">
        <w:rPr>
          <w:rFonts w:cs="Arial"/>
          <w:u w:val="single"/>
          <w:rtl/>
        </w:rPr>
        <w:t>אמר רבא</w:t>
      </w:r>
      <w:r w:rsidR="007D4A23">
        <w:rPr>
          <w:rFonts w:cs="Arial" w:hint="cs"/>
          <w:rtl/>
        </w:rPr>
        <w:t>:</w:t>
      </w:r>
      <w:r w:rsidR="005D1C7D" w:rsidRPr="005D1C7D">
        <w:rPr>
          <w:rFonts w:cs="Arial"/>
          <w:rtl/>
        </w:rPr>
        <w:t xml:space="preserve"> הלכתא: טובת הנאה לאשה, ואין הבעל אוכל פירות; מאי טעמא? פירא תקינו ליה רבנן, פירא דפירא לא תקינו ליה רבנן.</w:t>
      </w:r>
      <w:r w:rsidR="005D1C7D">
        <w:rPr>
          <w:rFonts w:cs="Arial" w:hint="cs"/>
          <w:rtl/>
        </w:rPr>
        <w:t>..</w:t>
      </w:r>
      <w:r w:rsidR="005D1C7D" w:rsidRPr="005D1C7D">
        <w:rPr>
          <w:rFonts w:cs="Arial"/>
          <w:rtl/>
        </w:rPr>
        <w:t xml:space="preserve"> </w:t>
      </w:r>
      <w:r w:rsidRPr="00DB2B0A">
        <w:rPr>
          <w:rFonts w:cs="Arial"/>
          <w:rtl/>
        </w:rPr>
        <w:t>תנינא לתקנת אושא: העבד והאשה פגיעתן רעה, החובל בהן - חייב, והם שחבלו באחרים - פטורין</w:t>
      </w:r>
      <w:r>
        <w:rPr>
          <w:rFonts w:cs="Arial" w:hint="cs"/>
          <w:rtl/>
        </w:rPr>
        <w:t>...</w:t>
      </w:r>
      <w:r w:rsidRPr="00DB2B0A">
        <w:rPr>
          <w:rFonts w:cs="Arial"/>
          <w:rtl/>
        </w:rPr>
        <w:t xml:space="preserve"> </w:t>
      </w:r>
      <w:r w:rsidR="005254EF" w:rsidRPr="005254EF">
        <w:rPr>
          <w:rFonts w:cs="Arial"/>
          <w:rtl/>
        </w:rPr>
        <w:t>ותזבין כתובתה בטובת הנאה ותתן ליה! הא מני? רבי מאיר היא, דאמר: אסור לו לאדם שישהא את אשתו אפילו שעה אחת בלא כתובה. וטעמא מאי? כדי שלא תהא קלה בעיניו להוציאה</w:t>
      </w:r>
      <w:r>
        <w:rPr>
          <w:rFonts w:hint="cs"/>
          <w:rtl/>
        </w:rPr>
        <w:t>.</w:t>
      </w:r>
    </w:p>
    <w:p w14:paraId="19E1B0A6" w14:textId="0405DB15" w:rsidR="00D57C5B" w:rsidRPr="005D12EF" w:rsidRDefault="005D12EF" w:rsidP="00D57C5B">
      <w:pPr>
        <w:rPr>
          <w:u w:val="single"/>
          <w:rtl/>
        </w:rPr>
      </w:pPr>
      <w:r w:rsidRPr="005D12EF">
        <w:rPr>
          <w:rFonts w:hint="cs"/>
          <w:u w:val="single"/>
          <w:rtl/>
        </w:rPr>
        <w:t>אשה יכולה למכור כתובתה:</w:t>
      </w:r>
    </w:p>
    <w:p w14:paraId="3FF9EC53" w14:textId="20AC7D01" w:rsidR="00392DBB" w:rsidRPr="00AB6908" w:rsidRDefault="00392DBB" w:rsidP="009000E3">
      <w:pPr>
        <w:pStyle w:val="ab"/>
        <w:numPr>
          <w:ilvl w:val="0"/>
          <w:numId w:val="63"/>
        </w:numPr>
      </w:pPr>
      <w:r>
        <w:rPr>
          <w:rFonts w:cs="Arial" w:hint="cs"/>
          <w:rtl/>
        </w:rPr>
        <w:t xml:space="preserve">טור- </w:t>
      </w:r>
      <w:r w:rsidRPr="00AB6908">
        <w:rPr>
          <w:rFonts w:cs="Arial"/>
          <w:rtl/>
        </w:rPr>
        <w:t>יכולה אשה שתמכור כתובתה או ליתנה לאחרים בין כולה בין מקצתה</w:t>
      </w:r>
      <w:r w:rsidR="00D57C5B">
        <w:rPr>
          <w:rFonts w:cs="Arial" w:hint="cs"/>
          <w:rtl/>
        </w:rPr>
        <w:t>,</w:t>
      </w:r>
      <w:r w:rsidRPr="00AB6908">
        <w:rPr>
          <w:rFonts w:cs="Arial"/>
          <w:rtl/>
        </w:rPr>
        <w:t xml:space="preserve"> והלוקח והמקבל עומדים במקומה</w:t>
      </w:r>
      <w:r w:rsidR="000F5945">
        <w:rPr>
          <w:rFonts w:cs="Arial" w:hint="cs"/>
          <w:rtl/>
        </w:rPr>
        <w:t>,</w:t>
      </w:r>
      <w:r w:rsidRPr="00AB6908">
        <w:rPr>
          <w:rFonts w:cs="Arial"/>
          <w:rtl/>
        </w:rPr>
        <w:t xml:space="preserve"> שאם תתאלמן או תתגרש </w:t>
      </w:r>
      <w:r w:rsidR="00D57C5B">
        <w:rPr>
          <w:rFonts w:cs="Arial" w:hint="cs"/>
          <w:rtl/>
        </w:rPr>
        <w:t xml:space="preserve">- </w:t>
      </w:r>
      <w:r w:rsidRPr="00AB6908">
        <w:rPr>
          <w:rFonts w:cs="Arial"/>
          <w:rtl/>
        </w:rPr>
        <w:t>יקחו הם כתובתה</w:t>
      </w:r>
      <w:r w:rsidR="00D57C5B">
        <w:rPr>
          <w:rFonts w:cs="Arial" w:hint="cs"/>
          <w:rtl/>
        </w:rPr>
        <w:t>.</w:t>
      </w:r>
      <w:r w:rsidRPr="00AB6908">
        <w:rPr>
          <w:rFonts w:cs="Arial"/>
          <w:rtl/>
        </w:rPr>
        <w:t xml:space="preserve"> ואם תמות בחיי הבעל </w:t>
      </w:r>
      <w:r w:rsidR="00D57C5B">
        <w:rPr>
          <w:rFonts w:cs="Arial" w:hint="cs"/>
          <w:rtl/>
        </w:rPr>
        <w:t xml:space="preserve">- </w:t>
      </w:r>
      <w:r w:rsidRPr="00AB6908">
        <w:rPr>
          <w:rFonts w:cs="Arial"/>
          <w:rtl/>
        </w:rPr>
        <w:t>אין להם כלום</w:t>
      </w:r>
      <w:r w:rsidR="00D57C5B">
        <w:rPr>
          <w:rFonts w:cs="Arial" w:hint="cs"/>
          <w:rtl/>
        </w:rPr>
        <w:t>.</w:t>
      </w:r>
      <w:r w:rsidRPr="00AB6908">
        <w:rPr>
          <w:rFonts w:cs="Arial"/>
          <w:rtl/>
        </w:rPr>
        <w:t xml:space="preserve"> לפיכך אין הלוקח קונה אותה אלא בדבר מועט</w:t>
      </w:r>
      <w:r w:rsidR="005D12EF">
        <w:rPr>
          <w:rFonts w:cs="Arial" w:hint="cs"/>
          <w:rtl/>
        </w:rPr>
        <w:t>.</w:t>
      </w:r>
      <w:r w:rsidRPr="00AB6908">
        <w:rPr>
          <w:rFonts w:cs="Arial"/>
          <w:rtl/>
        </w:rPr>
        <w:t xml:space="preserve"> ואם מכרה לבעלה</w:t>
      </w:r>
      <w:r w:rsidR="005D12EF">
        <w:rPr>
          <w:rFonts w:cs="Arial" w:hint="cs"/>
          <w:rtl/>
        </w:rPr>
        <w:t>,</w:t>
      </w:r>
      <w:r w:rsidRPr="00AB6908">
        <w:rPr>
          <w:rFonts w:cs="Arial"/>
          <w:rtl/>
        </w:rPr>
        <w:t xml:space="preserve"> המכר מכר ואסור להשהותה כדפירש' לעיל</w:t>
      </w:r>
      <w:r w:rsidR="0077121C">
        <w:rPr>
          <w:rFonts w:cs="Arial" w:hint="cs"/>
          <w:rtl/>
        </w:rPr>
        <w:t xml:space="preserve"> (סי' סו)</w:t>
      </w:r>
      <w:r w:rsidR="005D12EF">
        <w:rPr>
          <w:rFonts w:cs="Arial" w:hint="cs"/>
          <w:rtl/>
        </w:rPr>
        <w:t>,</w:t>
      </w:r>
      <w:r w:rsidRPr="00AB6908">
        <w:rPr>
          <w:rFonts w:cs="Arial"/>
          <w:rtl/>
        </w:rPr>
        <w:t xml:space="preserve"> אא"כ יעשו לה אחרת בעיקר הכתובה</w:t>
      </w:r>
      <w:r>
        <w:rPr>
          <w:rFonts w:cs="Arial" w:hint="cs"/>
          <w:rtl/>
        </w:rPr>
        <w:t>.</w:t>
      </w:r>
      <w:r w:rsidRPr="00AB6908">
        <w:rPr>
          <w:rFonts w:cs="Arial"/>
          <w:rtl/>
        </w:rPr>
        <w:t xml:space="preserve"> </w:t>
      </w:r>
      <w:r w:rsidR="007D4A23" w:rsidRPr="002B5FCF">
        <w:rPr>
          <w:rFonts w:hint="cs"/>
          <w:color w:val="E36C0A" w:themeColor="accent6" w:themeShade="BF"/>
          <w:rtl/>
        </w:rPr>
        <w:t>(וכ"פ בשו"ע)</w:t>
      </w:r>
    </w:p>
    <w:p w14:paraId="41B6E961"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12410FF" w14:textId="77777777" w:rsidR="00392DBB" w:rsidRDefault="00392DBB" w:rsidP="00392DBB">
      <w:pPr>
        <w:rPr>
          <w:rtl/>
        </w:rPr>
      </w:pPr>
      <w:r>
        <w:rPr>
          <w:rFonts w:cs="Arial"/>
          <w:rtl/>
        </w:rPr>
        <w:t xml:space="preserve">יכולה אשה למכור כתובתה או ליתנה לאחרים, בין כולה בין מקצתה, והלוקח והמקבל עומדים במקומה, שאם תתאלמן או תתגרש יקחו הם כתובתה, ואם תמות בחיי הבעל אין להם כלום. ואם מכרה לבעלה המכר מכר ואסור להשהותה אלא אם כן יכתוב לה אחרת בעיקר הכתובה. </w:t>
      </w:r>
    </w:p>
    <w:p w14:paraId="7FACC98B" w14:textId="77777777" w:rsidR="00392DBB" w:rsidRDefault="00392DBB" w:rsidP="00392DBB">
      <w:pPr>
        <w:rPr>
          <w:rtl/>
        </w:rPr>
      </w:pPr>
    </w:p>
    <w:p w14:paraId="22BCE191" w14:textId="6634814C" w:rsidR="00392DBB" w:rsidRDefault="00392DBB" w:rsidP="000F64D0">
      <w:pPr>
        <w:pStyle w:val="2"/>
        <w:rPr>
          <w:rtl/>
        </w:rPr>
      </w:pPr>
      <w:r>
        <w:rPr>
          <w:rtl/>
        </w:rPr>
        <w:t>סעיף ב</w:t>
      </w:r>
      <w:r>
        <w:rPr>
          <w:rFonts w:hint="cs"/>
          <w:rtl/>
        </w:rPr>
        <w:t>:</w:t>
      </w:r>
      <w:r w:rsidR="00F62A30">
        <w:rPr>
          <w:rFonts w:hint="cs"/>
          <w:rtl/>
        </w:rPr>
        <w:t xml:space="preserve"> מתה האשה קודם שנשבעה על כתובתה.</w:t>
      </w:r>
    </w:p>
    <w:p w14:paraId="31FAF0FA" w14:textId="2AD232EC" w:rsidR="007D4A23" w:rsidRPr="0025007A" w:rsidRDefault="0025007A" w:rsidP="007D4A23">
      <w:pPr>
        <w:rPr>
          <w:u w:val="single"/>
          <w:rtl/>
        </w:rPr>
      </w:pPr>
      <w:r w:rsidRPr="0025007A">
        <w:rPr>
          <w:rFonts w:hint="cs"/>
          <w:u w:val="single"/>
          <w:rtl/>
        </w:rPr>
        <w:t>מתה האשה קודם שנשבעה על כתובתה:</w:t>
      </w:r>
    </w:p>
    <w:p w14:paraId="43264C1F" w14:textId="4078E874" w:rsidR="00392DBB" w:rsidRPr="00AB6908" w:rsidRDefault="00392DBB" w:rsidP="009000E3">
      <w:pPr>
        <w:pStyle w:val="ab"/>
        <w:numPr>
          <w:ilvl w:val="0"/>
          <w:numId w:val="63"/>
        </w:numPr>
      </w:pPr>
      <w:r>
        <w:rPr>
          <w:rFonts w:cs="Arial" w:hint="cs"/>
          <w:rtl/>
        </w:rPr>
        <w:t xml:space="preserve">טור- </w:t>
      </w:r>
      <w:r w:rsidRPr="00AB6908">
        <w:rPr>
          <w:rFonts w:cs="Arial"/>
          <w:rtl/>
        </w:rPr>
        <w:t xml:space="preserve">ואפילו אם מת הבעל בחייה אם מתה קודם שנשבעה על כתובתה </w:t>
      </w:r>
      <w:r w:rsidR="00F62A30">
        <w:rPr>
          <w:rFonts w:cs="Arial" w:hint="cs"/>
          <w:rtl/>
        </w:rPr>
        <w:t xml:space="preserve">- </w:t>
      </w:r>
      <w:r w:rsidRPr="00AB6908">
        <w:rPr>
          <w:rFonts w:cs="Arial"/>
          <w:rtl/>
        </w:rPr>
        <w:t>אין ללוקח ולמקבל כלום</w:t>
      </w:r>
      <w:r w:rsidR="00F62A30">
        <w:rPr>
          <w:rFonts w:cs="Arial" w:hint="cs"/>
          <w:rtl/>
        </w:rPr>
        <w:t>.</w:t>
      </w:r>
      <w:r w:rsidRPr="00AB6908">
        <w:rPr>
          <w:rFonts w:cs="Arial"/>
          <w:rtl/>
        </w:rPr>
        <w:t xml:space="preserve"> במה דברים אמורים כשנתאלמנה ומתה שהיא לא היתה יכולה ליפרע מהיתומים אלא בשבועה</w:t>
      </w:r>
      <w:r w:rsidR="00F62A30">
        <w:rPr>
          <w:rFonts w:cs="Arial" w:hint="cs"/>
          <w:rtl/>
        </w:rPr>
        <w:t>,</w:t>
      </w:r>
      <w:r w:rsidRPr="00AB6908">
        <w:rPr>
          <w:rFonts w:cs="Arial"/>
          <w:rtl/>
        </w:rPr>
        <w:t xml:space="preserve"> אבל נתגרשה ומתה לקוחות נשבעים שבועה שלא פקדתנו ונוטלים</w:t>
      </w:r>
      <w:r w:rsidR="0025007A">
        <w:rPr>
          <w:rStyle w:val="a7"/>
          <w:rFonts w:cs="Arial"/>
          <w:rtl/>
        </w:rPr>
        <w:footnoteReference w:id="2288"/>
      </w:r>
      <w:r w:rsidR="00F62A30">
        <w:rPr>
          <w:rFonts w:cs="Arial" w:hint="cs"/>
          <w:rtl/>
        </w:rPr>
        <w:t>.</w:t>
      </w:r>
      <w:r w:rsidRPr="00AB6908">
        <w:rPr>
          <w:rFonts w:cs="Arial"/>
          <w:rtl/>
        </w:rPr>
        <w:t xml:space="preserve"> ודוקא שמתה אבל אם היא חיה צריכה לישבע שלא נפרע</w:t>
      </w:r>
      <w:r w:rsidR="00A03898">
        <w:rPr>
          <w:rFonts w:cs="Arial" w:hint="cs"/>
          <w:rtl/>
        </w:rPr>
        <w:t>ה,</w:t>
      </w:r>
      <w:r w:rsidRPr="00AB6908">
        <w:rPr>
          <w:rFonts w:cs="Arial"/>
          <w:rtl/>
        </w:rPr>
        <w:t xml:space="preserve"> ואם אינה רוצה לישבע יפסידו הלקוחות</w:t>
      </w:r>
      <w:r w:rsidR="00A03898">
        <w:rPr>
          <w:rFonts w:cs="Arial" w:hint="cs"/>
          <w:rtl/>
        </w:rPr>
        <w:t>.</w:t>
      </w:r>
      <w:r w:rsidRPr="00AB6908">
        <w:rPr>
          <w:rFonts w:cs="Arial"/>
          <w:rtl/>
        </w:rPr>
        <w:t xml:space="preserve"> ואם אמרה שנפרעה אחר שמכרה </w:t>
      </w:r>
      <w:r w:rsidR="00A03898">
        <w:rPr>
          <w:rFonts w:cs="Arial" w:hint="cs"/>
          <w:rtl/>
        </w:rPr>
        <w:t xml:space="preserve">- </w:t>
      </w:r>
      <w:r w:rsidRPr="00AB6908">
        <w:rPr>
          <w:rFonts w:cs="Arial"/>
          <w:rtl/>
        </w:rPr>
        <w:t>נאמנת במגו שאם היתה רוצה למחול</w:t>
      </w:r>
      <w:r w:rsidR="00A03898">
        <w:rPr>
          <w:rFonts w:cs="Arial" w:hint="cs"/>
          <w:rtl/>
        </w:rPr>
        <w:t>.</w:t>
      </w:r>
      <w:r w:rsidRPr="00AB6908">
        <w:rPr>
          <w:rFonts w:cs="Arial"/>
          <w:rtl/>
        </w:rPr>
        <w:t xml:space="preserve"> אבל אם אמרה שנפרעה קודם המכר </w:t>
      </w:r>
      <w:r w:rsidR="00A03898">
        <w:rPr>
          <w:rFonts w:cs="Arial" w:hint="cs"/>
          <w:rtl/>
        </w:rPr>
        <w:t xml:space="preserve">- </w:t>
      </w:r>
      <w:r w:rsidRPr="00AB6908">
        <w:rPr>
          <w:rFonts w:cs="Arial"/>
          <w:rtl/>
        </w:rPr>
        <w:t>אינה נאמנת</w:t>
      </w:r>
      <w:r w:rsidR="0025007A">
        <w:rPr>
          <w:rStyle w:val="a7"/>
          <w:rFonts w:cs="Arial"/>
          <w:rtl/>
        </w:rPr>
        <w:footnoteReference w:id="2289"/>
      </w:r>
      <w:r>
        <w:rPr>
          <w:rFonts w:cs="Arial" w:hint="cs"/>
          <w:rtl/>
        </w:rPr>
        <w:t>.</w:t>
      </w:r>
      <w:r w:rsidR="00DE7B65">
        <w:rPr>
          <w:rFonts w:hint="cs"/>
          <w:color w:val="E36C0A" w:themeColor="accent6" w:themeShade="BF"/>
          <w:rtl/>
        </w:rPr>
        <w:t xml:space="preserve"> </w:t>
      </w:r>
      <w:r w:rsidR="00DE7B65" w:rsidRPr="002B5FCF">
        <w:rPr>
          <w:rFonts w:hint="cs"/>
          <w:color w:val="E36C0A" w:themeColor="accent6" w:themeShade="BF"/>
          <w:rtl/>
        </w:rPr>
        <w:t>(וכ"פ בשו"ע)</w:t>
      </w:r>
      <w:r w:rsidRPr="00AB6908">
        <w:rPr>
          <w:rFonts w:cs="Arial"/>
          <w:rtl/>
        </w:rPr>
        <w:t xml:space="preserve"> </w:t>
      </w:r>
    </w:p>
    <w:p w14:paraId="52AC64E5"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AA78AF2" w14:textId="05C7DF8C" w:rsidR="00392DBB" w:rsidRDefault="00392DBB" w:rsidP="00392DBB">
      <w:pPr>
        <w:rPr>
          <w:rtl/>
        </w:rPr>
      </w:pPr>
      <w:r>
        <w:rPr>
          <w:rFonts w:cs="Arial"/>
          <w:rtl/>
        </w:rPr>
        <w:t>המוכרת כתובתה לאחרים ומת הבעל בחייה, אם מתה קודם שנשבעה על כתובתה</w:t>
      </w:r>
      <w:r w:rsidR="005C65D9">
        <w:rPr>
          <w:rFonts w:cs="Arial" w:hint="cs"/>
          <w:rtl/>
        </w:rPr>
        <w:t>,</w:t>
      </w:r>
      <w:r>
        <w:rPr>
          <w:rFonts w:cs="Arial"/>
          <w:rtl/>
        </w:rPr>
        <w:t xml:space="preserve"> אין ללוקח ולמקבל כלום. ב</w:t>
      </w:r>
      <w:r w:rsidR="0025007A">
        <w:rPr>
          <w:rFonts w:cs="Arial" w:hint="cs"/>
          <w:rtl/>
        </w:rPr>
        <w:t>מה דברים אמורים</w:t>
      </w:r>
      <w:r>
        <w:rPr>
          <w:rFonts w:cs="Arial"/>
          <w:rtl/>
        </w:rPr>
        <w:t>, כשנתאלמנה ומתה, שהיא לא היתה יכולה ליפרע מן היתומים אלא בשבועה. אבל אם נתגרשה ומתה, לקוחות נשבעים שבועה שלא פקדתנו, ונוטלים. ודוקא שמתה, אבל אם היא בחייה צריכה לישבע שלא נפרעה, ואם אינה רוצה לישבע יפסידו הלקוחות. ואם אמרה שנפרעה אחר שמכרה, נאמנת, במגו שאם היתה רוצה למחול. אבל אם אמרה שנפרעה קודם המכר, אינה נאמנת</w:t>
      </w:r>
      <w:r w:rsidR="0025007A">
        <w:rPr>
          <w:rStyle w:val="a7"/>
          <w:rFonts w:cs="Arial"/>
          <w:rtl/>
        </w:rPr>
        <w:footnoteReference w:id="2290"/>
      </w:r>
      <w:r>
        <w:rPr>
          <w:rFonts w:cs="Arial"/>
          <w:rtl/>
        </w:rPr>
        <w:t xml:space="preserve">. </w:t>
      </w:r>
    </w:p>
    <w:p w14:paraId="488A3304" w14:textId="30146238" w:rsidR="00392DBB" w:rsidRDefault="00392DBB" w:rsidP="00392DBB">
      <w:pPr>
        <w:rPr>
          <w:rtl/>
        </w:rPr>
      </w:pPr>
    </w:p>
    <w:p w14:paraId="78D3F6C4" w14:textId="0A1C9914" w:rsidR="00392DBB" w:rsidRDefault="00392DBB" w:rsidP="000F64D0">
      <w:pPr>
        <w:pStyle w:val="2"/>
        <w:rPr>
          <w:rtl/>
        </w:rPr>
      </w:pPr>
      <w:r>
        <w:rPr>
          <w:rtl/>
        </w:rPr>
        <w:t>סעיף ג</w:t>
      </w:r>
      <w:r>
        <w:rPr>
          <w:rFonts w:hint="cs"/>
          <w:rtl/>
        </w:rPr>
        <w:t>:</w:t>
      </w:r>
      <w:r w:rsidR="00CD3EEB">
        <w:rPr>
          <w:rFonts w:hint="cs"/>
          <w:rtl/>
        </w:rPr>
        <w:t xml:space="preserve"> בכור נוטל פי שנים בכתובת אמו כשלא נשבעה ומתה</w:t>
      </w:r>
      <w:r w:rsidR="002855CF">
        <w:rPr>
          <w:rFonts w:hint="cs"/>
          <w:rtl/>
        </w:rPr>
        <w:t>.</w:t>
      </w:r>
    </w:p>
    <w:p w14:paraId="062958E7" w14:textId="588BBA0E" w:rsidR="002855CF" w:rsidRPr="002855CF" w:rsidRDefault="002855CF" w:rsidP="002855CF">
      <w:pPr>
        <w:rPr>
          <w:u w:val="single"/>
          <w:rtl/>
        </w:rPr>
      </w:pPr>
      <w:r w:rsidRPr="002855CF">
        <w:rPr>
          <w:rFonts w:hint="cs"/>
          <w:u w:val="single"/>
          <w:rtl/>
        </w:rPr>
        <w:t>בכור נוטל פי שנים בכתובת אמו כשלא נשבעה ומתה:</w:t>
      </w:r>
    </w:p>
    <w:p w14:paraId="76AEC6FE" w14:textId="69A502B1" w:rsidR="00392DBB" w:rsidRPr="00AB6908" w:rsidRDefault="00392DBB" w:rsidP="009000E3">
      <w:pPr>
        <w:pStyle w:val="ab"/>
        <w:numPr>
          <w:ilvl w:val="0"/>
          <w:numId w:val="63"/>
        </w:numPr>
      </w:pPr>
      <w:r w:rsidRPr="00AB6908">
        <w:rPr>
          <w:rFonts w:cs="Arial"/>
          <w:rtl/>
        </w:rPr>
        <w:lastRenderedPageBreak/>
        <w:t xml:space="preserve">רא"ש </w:t>
      </w:r>
      <w:r w:rsidR="001E64C4">
        <w:rPr>
          <w:rFonts w:cs="Arial" w:hint="cs"/>
          <w:sz w:val="16"/>
          <w:szCs w:val="16"/>
          <w:rtl/>
        </w:rPr>
        <w:t>(כלל נ סי' יא)</w:t>
      </w:r>
      <w:r w:rsidR="001E64C4">
        <w:rPr>
          <w:rFonts w:cs="Arial" w:hint="cs"/>
          <w:rtl/>
        </w:rPr>
        <w:t>-</w:t>
      </w:r>
      <w:r w:rsidRPr="00AB6908">
        <w:rPr>
          <w:rFonts w:cs="Arial"/>
          <w:rtl/>
        </w:rPr>
        <w:t xml:space="preserve"> שאלת</w:t>
      </w:r>
      <w:r w:rsidR="001E64C4">
        <w:rPr>
          <w:rFonts w:cs="Arial" w:hint="cs"/>
          <w:rtl/>
        </w:rPr>
        <w:t>:</w:t>
      </w:r>
      <w:r w:rsidRPr="00AB6908">
        <w:rPr>
          <w:rFonts w:cs="Arial"/>
          <w:rtl/>
        </w:rPr>
        <w:t xml:space="preserve"> ראובן שמת והניח בנים ואלמנה</w:t>
      </w:r>
      <w:r w:rsidR="002855CF">
        <w:rPr>
          <w:rFonts w:cs="Arial" w:hint="cs"/>
          <w:rtl/>
        </w:rPr>
        <w:t>,</w:t>
      </w:r>
      <w:r w:rsidRPr="00AB6908">
        <w:rPr>
          <w:rFonts w:cs="Arial"/>
          <w:rtl/>
        </w:rPr>
        <w:t xml:space="preserve"> ומתה האלמנה קודם שנשבעה על כתובתה</w:t>
      </w:r>
      <w:r w:rsidR="002855CF">
        <w:rPr>
          <w:rFonts w:cs="Arial" w:hint="cs"/>
          <w:rtl/>
        </w:rPr>
        <w:t>,</w:t>
      </w:r>
      <w:r w:rsidRPr="00AB6908">
        <w:rPr>
          <w:rFonts w:cs="Arial"/>
          <w:rtl/>
        </w:rPr>
        <w:t xml:space="preserve"> אם יש לבכור פי שנים</w:t>
      </w:r>
      <w:r w:rsidR="002855CF">
        <w:rPr>
          <w:rFonts w:cs="Arial" w:hint="cs"/>
          <w:rtl/>
        </w:rPr>
        <w:t>,</w:t>
      </w:r>
      <w:r w:rsidRPr="00AB6908">
        <w:rPr>
          <w:rFonts w:cs="Arial"/>
          <w:rtl/>
        </w:rPr>
        <w:t xml:space="preserve"> דמספקא לן אם קרויין נכסי האם כל זמן שלא נשבעה על כתובתה</w:t>
      </w:r>
      <w:r w:rsidR="001E64C4">
        <w:rPr>
          <w:rFonts w:cs="Arial" w:hint="cs"/>
          <w:rtl/>
        </w:rPr>
        <w:t xml:space="preserve">.   </w:t>
      </w:r>
      <w:r w:rsidRPr="00AB6908">
        <w:rPr>
          <w:rFonts w:cs="Arial"/>
          <w:rtl/>
        </w:rPr>
        <w:t xml:space="preserve"> תשובה</w:t>
      </w:r>
      <w:r w:rsidR="001E64C4">
        <w:rPr>
          <w:rFonts w:cs="Arial" w:hint="cs"/>
          <w:rtl/>
        </w:rPr>
        <w:t>:</w:t>
      </w:r>
      <w:r w:rsidRPr="00AB6908">
        <w:rPr>
          <w:rFonts w:cs="Arial"/>
          <w:rtl/>
        </w:rPr>
        <w:t xml:space="preserve"> כל זמן שלא נשבעה האלמנה על כתובתה ולא הגבוה בית דין הכתובה</w:t>
      </w:r>
      <w:r w:rsidR="00DE7B65">
        <w:rPr>
          <w:rFonts w:cs="Arial" w:hint="cs"/>
          <w:rtl/>
        </w:rPr>
        <w:t>,</w:t>
      </w:r>
      <w:r w:rsidRPr="00AB6908">
        <w:rPr>
          <w:rFonts w:cs="Arial"/>
          <w:rtl/>
        </w:rPr>
        <w:t xml:space="preserve"> כל הנכסים בחזקת בעלה ולא זכתה בהם כלום</w:t>
      </w:r>
      <w:r w:rsidR="00DE7B65">
        <w:rPr>
          <w:rFonts w:cs="Arial" w:hint="cs"/>
          <w:rtl/>
        </w:rPr>
        <w:t>,</w:t>
      </w:r>
      <w:r w:rsidRPr="00AB6908">
        <w:rPr>
          <w:rFonts w:cs="Arial"/>
          <w:rtl/>
        </w:rPr>
        <w:t xml:space="preserve"> והבנים את אביהם הם יורשים ויש להן דין בכורה</w:t>
      </w:r>
      <w:r w:rsidR="001E64C4">
        <w:rPr>
          <w:rFonts w:cs="Arial" w:hint="cs"/>
          <w:sz w:val="16"/>
          <w:szCs w:val="16"/>
          <w:rtl/>
        </w:rPr>
        <w:t xml:space="preserve"> (ל' הטור בשמו)</w:t>
      </w:r>
      <w:r>
        <w:rPr>
          <w:rFonts w:cs="Arial" w:hint="cs"/>
          <w:rtl/>
        </w:rPr>
        <w:t>.</w:t>
      </w:r>
      <w:r w:rsidR="00DE7B65">
        <w:rPr>
          <w:rFonts w:cs="Arial" w:hint="cs"/>
          <w:rtl/>
        </w:rPr>
        <w:t xml:space="preserve"> </w:t>
      </w:r>
      <w:r w:rsidR="00DE7B65" w:rsidRPr="002B5FCF">
        <w:rPr>
          <w:rFonts w:hint="cs"/>
          <w:color w:val="E36C0A" w:themeColor="accent6" w:themeShade="BF"/>
          <w:rtl/>
        </w:rPr>
        <w:t>(וכ"פ בשו"ע)</w:t>
      </w:r>
      <w:r w:rsidRPr="00AB6908">
        <w:rPr>
          <w:rFonts w:cs="Arial"/>
          <w:rtl/>
        </w:rPr>
        <w:t xml:space="preserve"> </w:t>
      </w:r>
    </w:p>
    <w:p w14:paraId="02ACDD7C"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CB99259" w14:textId="77777777" w:rsidR="00392DBB" w:rsidRDefault="00392DBB" w:rsidP="00392DBB">
      <w:pPr>
        <w:rPr>
          <w:rFonts w:cs="Arial"/>
          <w:rtl/>
        </w:rPr>
      </w:pPr>
      <w:r>
        <w:rPr>
          <w:rFonts w:cs="Arial"/>
          <w:rtl/>
        </w:rPr>
        <w:t xml:space="preserve">מי שמת והניח בנים ואלמנה, ומתה האלמנה קודם שנשבעה על הכתובה, הבכור נוטל פי שנים. </w:t>
      </w:r>
    </w:p>
    <w:p w14:paraId="363031EF" w14:textId="77777777" w:rsidR="00392DBB" w:rsidRDefault="00392DBB" w:rsidP="00392DBB">
      <w:pPr>
        <w:rPr>
          <w:rtl/>
        </w:rPr>
      </w:pPr>
    </w:p>
    <w:p w14:paraId="71F860E2" w14:textId="4E75C65A" w:rsidR="00392DBB" w:rsidRDefault="00392DBB" w:rsidP="000F64D0">
      <w:pPr>
        <w:pStyle w:val="2"/>
        <w:rPr>
          <w:rtl/>
        </w:rPr>
      </w:pPr>
      <w:r>
        <w:rPr>
          <w:rtl/>
        </w:rPr>
        <w:t>סעיף ד</w:t>
      </w:r>
      <w:r>
        <w:rPr>
          <w:rFonts w:hint="cs"/>
          <w:rtl/>
        </w:rPr>
        <w:t>:</w:t>
      </w:r>
      <w:r w:rsidR="00DE7B65">
        <w:rPr>
          <w:rFonts w:hint="cs"/>
          <w:rtl/>
        </w:rPr>
        <w:t xml:space="preserve"> תנאי כתובה למי שמכרה/מחלה כתובתה.</w:t>
      </w:r>
    </w:p>
    <w:p w14:paraId="66231C9D" w14:textId="77777777" w:rsidR="00DF7694" w:rsidRDefault="00DF7694" w:rsidP="00DF7694">
      <w:pPr>
        <w:rPr>
          <w:rFonts w:cs="Arial"/>
          <w:rtl/>
        </w:rPr>
      </w:pPr>
      <w:r w:rsidRPr="00974066">
        <w:rPr>
          <w:rFonts w:cs="Arial" w:hint="cs"/>
          <w:b/>
          <w:bCs/>
          <w:rtl/>
        </w:rPr>
        <w:t xml:space="preserve">כתובות </w:t>
      </w:r>
      <w:r w:rsidRPr="00974066">
        <w:rPr>
          <w:rFonts w:cs="Arial" w:hint="cs"/>
          <w:b/>
          <w:bCs/>
          <w:sz w:val="16"/>
          <w:szCs w:val="16"/>
          <w:rtl/>
        </w:rPr>
        <w:t>(</w:t>
      </w:r>
      <w:r w:rsidRPr="00974066">
        <w:rPr>
          <w:rFonts w:cs="Arial"/>
          <w:b/>
          <w:bCs/>
          <w:sz w:val="16"/>
          <w:szCs w:val="16"/>
          <w:rtl/>
        </w:rPr>
        <w:t>ס</w:t>
      </w:r>
      <w:r w:rsidRPr="00974066">
        <w:rPr>
          <w:rFonts w:cs="Arial" w:hint="cs"/>
          <w:b/>
          <w:bCs/>
          <w:sz w:val="16"/>
          <w:szCs w:val="16"/>
          <w:rtl/>
        </w:rPr>
        <w:t>"פ</w:t>
      </w:r>
      <w:r w:rsidRPr="00974066">
        <w:rPr>
          <w:rFonts w:cs="Arial"/>
          <w:b/>
          <w:bCs/>
          <w:sz w:val="16"/>
          <w:szCs w:val="16"/>
          <w:rtl/>
        </w:rPr>
        <w:t xml:space="preserve"> נערה שנתפתתה</w:t>
      </w:r>
      <w:r w:rsidRPr="00974066">
        <w:rPr>
          <w:rFonts w:cs="Arial" w:hint="cs"/>
          <w:b/>
          <w:bCs/>
          <w:sz w:val="16"/>
          <w:szCs w:val="16"/>
          <w:rtl/>
        </w:rPr>
        <w:t>)</w:t>
      </w:r>
      <w:r w:rsidRPr="00974066">
        <w:rPr>
          <w:rFonts w:cs="Arial"/>
          <w:b/>
          <w:bCs/>
          <w:rtl/>
        </w:rPr>
        <w:t xml:space="preserve"> נג</w:t>
      </w:r>
      <w:r w:rsidRPr="00974066">
        <w:rPr>
          <w:rFonts w:cs="Arial" w:hint="cs"/>
          <w:b/>
          <w:bCs/>
          <w:rtl/>
        </w:rPr>
        <w:t xml:space="preserve"> ע"א</w:t>
      </w:r>
      <w:r w:rsidRPr="00974066">
        <w:rPr>
          <w:rFonts w:cs="Arial"/>
          <w:b/>
          <w:bCs/>
          <w:rtl/>
        </w:rPr>
        <w:t>:</w:t>
      </w:r>
      <w:r>
        <w:rPr>
          <w:rFonts w:cs="Arial" w:hint="cs"/>
          <w:rtl/>
        </w:rPr>
        <w:t xml:space="preserve"> </w:t>
      </w:r>
      <w:r w:rsidRPr="00974066">
        <w:rPr>
          <w:rFonts w:cs="Arial"/>
          <w:u w:val="single"/>
          <w:rtl/>
        </w:rPr>
        <w:t>אמר רבא</w:t>
      </w:r>
      <w:r w:rsidRPr="00974066">
        <w:rPr>
          <w:rFonts w:cs="Arial"/>
          <w:rtl/>
        </w:rPr>
        <w:t>: פשיטא לי, מוכרת כתובתה לאחרים</w:t>
      </w:r>
      <w:r>
        <w:rPr>
          <w:rStyle w:val="a7"/>
          <w:rFonts w:cs="Arial"/>
          <w:rtl/>
        </w:rPr>
        <w:footnoteReference w:id="2291"/>
      </w:r>
      <w:r w:rsidRPr="00974066">
        <w:rPr>
          <w:rFonts w:cs="Arial"/>
          <w:rtl/>
        </w:rPr>
        <w:t xml:space="preserve"> - יש לה כתובת בנין דכרין</w:t>
      </w:r>
      <w:r>
        <w:rPr>
          <w:rStyle w:val="a7"/>
          <w:rFonts w:cs="Arial"/>
          <w:rtl/>
        </w:rPr>
        <w:footnoteReference w:id="2292"/>
      </w:r>
      <w:r w:rsidRPr="00974066">
        <w:rPr>
          <w:rFonts w:cs="Arial"/>
          <w:rtl/>
        </w:rPr>
        <w:t>, מאי טעמא? זוזי אנסוה</w:t>
      </w:r>
      <w:r>
        <w:rPr>
          <w:rFonts w:cs="Arial" w:hint="cs"/>
          <w:rtl/>
        </w:rPr>
        <w:t>.</w:t>
      </w:r>
      <w:r w:rsidRPr="00974066">
        <w:rPr>
          <w:rFonts w:cs="Arial"/>
          <w:rtl/>
        </w:rPr>
        <w:t xml:space="preserve"> מוחלת כתובתה לבעלה - אין לה כתובת בנין דכרין, מאי טעמא? אחולי אחילתא</w:t>
      </w:r>
      <w:r>
        <w:rPr>
          <w:rStyle w:val="a7"/>
          <w:rFonts w:cs="Arial"/>
          <w:rtl/>
        </w:rPr>
        <w:footnoteReference w:id="2293"/>
      </w:r>
      <w:r w:rsidRPr="00974066">
        <w:rPr>
          <w:rFonts w:cs="Arial"/>
          <w:rtl/>
        </w:rPr>
        <w:t xml:space="preserve">. </w:t>
      </w:r>
      <w:r w:rsidRPr="00974066">
        <w:rPr>
          <w:rFonts w:cs="Arial"/>
          <w:u w:val="single"/>
          <w:rtl/>
        </w:rPr>
        <w:t>בעי רבא</w:t>
      </w:r>
      <w:r w:rsidRPr="00974066">
        <w:rPr>
          <w:rFonts w:cs="Arial"/>
          <w:rtl/>
        </w:rPr>
        <w:t>: מוכרת כתובתה לבעלה</w:t>
      </w:r>
      <w:r>
        <w:rPr>
          <w:rStyle w:val="a7"/>
          <w:rFonts w:cs="Arial"/>
          <w:rtl/>
        </w:rPr>
        <w:footnoteReference w:id="2294"/>
      </w:r>
      <w:r w:rsidRPr="00974066">
        <w:rPr>
          <w:rFonts w:cs="Arial"/>
          <w:rtl/>
        </w:rPr>
        <w:t>, כמוכרת לאחרים דמי או כמוחלת לבעלה דמי</w:t>
      </w:r>
      <w:r>
        <w:rPr>
          <w:rStyle w:val="a7"/>
          <w:rFonts w:cs="Arial"/>
          <w:rtl/>
        </w:rPr>
        <w:footnoteReference w:id="2295"/>
      </w:r>
      <w:r w:rsidRPr="00974066">
        <w:rPr>
          <w:rFonts w:cs="Arial"/>
          <w:rtl/>
        </w:rPr>
        <w:t>? בתר דבעיא הדר פשטא: מוכרת כתובה לבעלה - כמוכרת לאחרים דמי.</w:t>
      </w:r>
      <w:r>
        <w:rPr>
          <w:rFonts w:cs="Arial" w:hint="cs"/>
          <w:rtl/>
        </w:rPr>
        <w:t xml:space="preserve">  </w:t>
      </w:r>
    </w:p>
    <w:p w14:paraId="20F30DC2" w14:textId="0BABE95F" w:rsidR="008C36F9" w:rsidRPr="00BB6C50" w:rsidRDefault="00DE7B65" w:rsidP="00BB6C50">
      <w:pPr>
        <w:rPr>
          <w:u w:val="single"/>
        </w:rPr>
      </w:pPr>
      <w:r w:rsidRPr="00DE7B65">
        <w:rPr>
          <w:rFonts w:hint="cs"/>
          <w:u w:val="single"/>
          <w:rtl/>
        </w:rPr>
        <w:t>תנאי כתובה למי שמכרה/מחלה כתובתה:</w:t>
      </w:r>
    </w:p>
    <w:p w14:paraId="6604260A" w14:textId="75585EC5" w:rsidR="00CA531E" w:rsidRDefault="00CA531E" w:rsidP="009000E3">
      <w:pPr>
        <w:pStyle w:val="ab"/>
        <w:numPr>
          <w:ilvl w:val="0"/>
          <w:numId w:val="63"/>
        </w:numPr>
      </w:pPr>
      <w:r>
        <w:rPr>
          <w:rFonts w:cs="Arial" w:hint="cs"/>
          <w:rtl/>
        </w:rPr>
        <w:t xml:space="preserve">רמב"ם </w:t>
      </w:r>
      <w:r w:rsidRPr="00CA531E">
        <w:rPr>
          <w:rFonts w:cs="Arial" w:hint="cs"/>
          <w:sz w:val="16"/>
          <w:szCs w:val="16"/>
          <w:rtl/>
        </w:rPr>
        <w:t>(פי"ז מהל' אישות הי"ט)</w:t>
      </w:r>
      <w:r w:rsidR="00F57C9F">
        <w:rPr>
          <w:rFonts w:cs="Arial" w:hint="cs"/>
          <w:rtl/>
        </w:rPr>
        <w:t xml:space="preserve"> וטור</w:t>
      </w:r>
      <w:r>
        <w:rPr>
          <w:rFonts w:cs="Arial" w:hint="cs"/>
          <w:rtl/>
        </w:rPr>
        <w:t xml:space="preserve">- </w:t>
      </w:r>
      <w:r w:rsidRPr="00CA531E">
        <w:rPr>
          <w:rFonts w:cs="Arial"/>
          <w:rtl/>
        </w:rPr>
        <w:t xml:space="preserve">המוכרת כתובתה בין לאחרים בין לבעלה </w:t>
      </w:r>
      <w:r w:rsidR="00C03137">
        <w:rPr>
          <w:rFonts w:cs="Arial" w:hint="cs"/>
          <w:rtl/>
        </w:rPr>
        <w:t xml:space="preserve">- </w:t>
      </w:r>
      <w:r w:rsidRPr="00CA531E">
        <w:rPr>
          <w:rFonts w:cs="Arial"/>
          <w:rtl/>
        </w:rPr>
        <w:t>לא אבדה שאר תנאי כתובה, ואם היה לה בן זכר יורש כנגד הכתובה הזאת שנמכרה מנכסי אביו יתר על חלקו כדין תנאי זה</w:t>
      </w:r>
      <w:r>
        <w:rPr>
          <w:rFonts w:cs="Arial" w:hint="cs"/>
          <w:rtl/>
        </w:rPr>
        <w:t>.</w:t>
      </w:r>
      <w:r w:rsidRPr="00CA531E">
        <w:rPr>
          <w:rFonts w:cs="Arial"/>
          <w:rtl/>
        </w:rPr>
        <w:t xml:space="preserve"> אבל המוחלת כתובתה לבעלה איבדה כל תנאי כתובתה</w:t>
      </w:r>
      <w:r>
        <w:rPr>
          <w:rFonts w:cs="Arial" w:hint="cs"/>
          <w:rtl/>
        </w:rPr>
        <w:t>,</w:t>
      </w:r>
      <w:r w:rsidRPr="00CA531E">
        <w:rPr>
          <w:rFonts w:cs="Arial"/>
          <w:rtl/>
        </w:rPr>
        <w:t xml:space="preserve"> ואפילו מזונות אין לה עליו</w:t>
      </w:r>
      <w:r w:rsidR="00F57C9F">
        <w:rPr>
          <w:rFonts w:hint="cs"/>
          <w:sz w:val="16"/>
          <w:szCs w:val="16"/>
          <w:rtl/>
        </w:rPr>
        <w:t xml:space="preserve"> (ל' הרמב"ם)</w:t>
      </w:r>
      <w:r>
        <w:rPr>
          <w:rFonts w:hint="cs"/>
          <w:rtl/>
        </w:rPr>
        <w:t>.</w:t>
      </w:r>
      <w:r w:rsidR="00BB6C50" w:rsidRPr="00BB6C50">
        <w:rPr>
          <w:rFonts w:hint="cs"/>
          <w:color w:val="E36C0A" w:themeColor="accent6" w:themeShade="BF"/>
          <w:rtl/>
        </w:rPr>
        <w:t xml:space="preserve"> </w:t>
      </w:r>
      <w:r w:rsidR="00BB6C50" w:rsidRPr="002B5FCF">
        <w:rPr>
          <w:rFonts w:hint="cs"/>
          <w:color w:val="E36C0A" w:themeColor="accent6" w:themeShade="BF"/>
          <w:rtl/>
        </w:rPr>
        <w:t>(וכ"פ בשו"ע</w:t>
      </w:r>
      <w:r w:rsidR="00BB6C50">
        <w:rPr>
          <w:rFonts w:hint="cs"/>
          <w:color w:val="000000" w:themeColor="text1"/>
          <w:sz w:val="16"/>
          <w:szCs w:val="16"/>
          <w:rtl/>
        </w:rPr>
        <w:t xml:space="preserve"> </w:t>
      </w:r>
      <w:r w:rsidR="00BB6C50" w:rsidRPr="00DF7694">
        <w:rPr>
          <w:rFonts w:hint="cs"/>
          <w:color w:val="000000" w:themeColor="text1"/>
          <w:sz w:val="16"/>
          <w:szCs w:val="16"/>
          <w:rtl/>
        </w:rPr>
        <w:t>[</w:t>
      </w:r>
      <w:r w:rsidR="00BB6C50">
        <w:rPr>
          <w:rFonts w:hint="cs"/>
          <w:color w:val="000000" w:themeColor="text1"/>
          <w:sz w:val="16"/>
          <w:szCs w:val="16"/>
          <w:rtl/>
        </w:rPr>
        <w:t>כאן ו</w:t>
      </w:r>
      <w:r w:rsidR="00067B0B">
        <w:rPr>
          <w:rFonts w:hint="cs"/>
          <w:color w:val="000000" w:themeColor="text1"/>
          <w:sz w:val="16"/>
          <w:szCs w:val="16"/>
          <w:rtl/>
        </w:rPr>
        <w:t xml:space="preserve">בסי' </w:t>
      </w:r>
      <w:r w:rsidR="00BB6C50">
        <w:rPr>
          <w:rFonts w:hint="cs"/>
          <w:color w:val="000000" w:themeColor="text1"/>
          <w:sz w:val="16"/>
          <w:szCs w:val="16"/>
          <w:rtl/>
        </w:rPr>
        <w:t>קיא סט"ו</w:t>
      </w:r>
      <w:r w:rsidR="00BB6C50" w:rsidRPr="00DF7694">
        <w:rPr>
          <w:rFonts w:hint="cs"/>
          <w:color w:val="000000" w:themeColor="text1"/>
          <w:sz w:val="16"/>
          <w:szCs w:val="16"/>
          <w:rtl/>
        </w:rPr>
        <w:t>]</w:t>
      </w:r>
      <w:r w:rsidR="00BB6C50" w:rsidRPr="002B5FCF">
        <w:rPr>
          <w:rFonts w:hint="cs"/>
          <w:color w:val="E36C0A" w:themeColor="accent6" w:themeShade="BF"/>
          <w:rtl/>
        </w:rPr>
        <w:t>)</w:t>
      </w:r>
    </w:p>
    <w:p w14:paraId="4FDA261A" w14:textId="596C6324" w:rsidR="00F57C9F" w:rsidRPr="00F57C9F" w:rsidRDefault="00F57C9F" w:rsidP="00F57C9F">
      <w:pPr>
        <w:ind w:left="360"/>
        <w:rPr>
          <w:u w:val="dotted"/>
        </w:rPr>
      </w:pPr>
      <w:r w:rsidRPr="00F57C9F">
        <w:rPr>
          <w:rFonts w:hint="cs"/>
          <w:u w:val="dotted"/>
          <w:rtl/>
        </w:rPr>
        <w:t xml:space="preserve">האם </w:t>
      </w:r>
      <w:r w:rsidR="00BB6C50">
        <w:rPr>
          <w:rFonts w:hint="cs"/>
          <w:u w:val="dotted"/>
          <w:rtl/>
        </w:rPr>
        <w:t xml:space="preserve">המוחלת </w:t>
      </w:r>
      <w:r w:rsidRPr="00F57C9F">
        <w:rPr>
          <w:rFonts w:hint="cs"/>
          <w:u w:val="dotted"/>
          <w:rtl/>
        </w:rPr>
        <w:t>איבדה גם מזונות בחייו:</w:t>
      </w:r>
    </w:p>
    <w:p w14:paraId="47327C40" w14:textId="346ACDBC" w:rsidR="00F57C9F" w:rsidRPr="00F57C9F" w:rsidRDefault="00F57C9F" w:rsidP="009000E3">
      <w:pPr>
        <w:pStyle w:val="ab"/>
        <w:numPr>
          <w:ilvl w:val="0"/>
          <w:numId w:val="63"/>
        </w:numPr>
      </w:pPr>
      <w:r>
        <w:rPr>
          <w:rFonts w:cs="Arial" w:hint="cs"/>
          <w:rtl/>
        </w:rPr>
        <w:t xml:space="preserve">רמב"ם </w:t>
      </w:r>
      <w:r>
        <w:rPr>
          <w:rFonts w:cs="Arial" w:hint="cs"/>
          <w:sz w:val="16"/>
          <w:szCs w:val="16"/>
          <w:rtl/>
        </w:rPr>
        <w:t xml:space="preserve">(כ"כ בשמו הה"מ </w:t>
      </w:r>
      <w:r w:rsidR="00BB6C50">
        <w:rPr>
          <w:rFonts w:cs="Arial" w:hint="cs"/>
          <w:sz w:val="16"/>
          <w:szCs w:val="16"/>
          <w:rtl/>
        </w:rPr>
        <w:t>[שם] ו</w:t>
      </w:r>
      <w:r>
        <w:rPr>
          <w:rFonts w:cs="Arial" w:hint="cs"/>
          <w:sz w:val="16"/>
          <w:szCs w:val="16"/>
          <w:rtl/>
        </w:rPr>
        <w:t>הטור)</w:t>
      </w:r>
      <w:r>
        <w:rPr>
          <w:rFonts w:cs="Arial" w:hint="cs"/>
          <w:rtl/>
        </w:rPr>
        <w:t xml:space="preserve">- </w:t>
      </w:r>
      <w:r w:rsidR="00392DBB" w:rsidRPr="00AB6908">
        <w:rPr>
          <w:rFonts w:cs="Arial"/>
          <w:rtl/>
        </w:rPr>
        <w:t>אפילו בחייו אין לה מזונות</w:t>
      </w:r>
      <w:r w:rsidR="00BC2A0A">
        <w:rPr>
          <w:rFonts w:cs="Arial" w:hint="cs"/>
          <w:rtl/>
        </w:rPr>
        <w:t>.</w:t>
      </w:r>
      <w:r w:rsidR="00392DBB" w:rsidRPr="00AB6908">
        <w:rPr>
          <w:rFonts w:cs="Arial"/>
          <w:rtl/>
        </w:rPr>
        <w:t xml:space="preserve"> </w:t>
      </w:r>
    </w:p>
    <w:p w14:paraId="5C207A18" w14:textId="2D7F0B29" w:rsidR="00392DBB" w:rsidRPr="00BB6C50" w:rsidRDefault="00F57C9F" w:rsidP="00392DBB">
      <w:pPr>
        <w:pStyle w:val="ab"/>
        <w:numPr>
          <w:ilvl w:val="0"/>
          <w:numId w:val="63"/>
        </w:numPr>
      </w:pPr>
      <w:r w:rsidRPr="00BB6C50">
        <w:rPr>
          <w:rFonts w:cs="Arial" w:hint="cs"/>
          <w:rtl/>
        </w:rPr>
        <w:t>טור-</w:t>
      </w:r>
      <w:r w:rsidR="00392DBB" w:rsidRPr="00BB6C50">
        <w:rPr>
          <w:rFonts w:cs="Arial"/>
          <w:rtl/>
        </w:rPr>
        <w:t xml:space="preserve"> כתבתי למעלה</w:t>
      </w:r>
      <w:r w:rsidR="00DF7694" w:rsidRPr="00BB6C50">
        <w:rPr>
          <w:rFonts w:cs="Arial" w:hint="cs"/>
          <w:rtl/>
        </w:rPr>
        <w:t xml:space="preserve"> (סי' צג</w:t>
      </w:r>
      <w:r w:rsidR="008C36F9" w:rsidRPr="00BB6C50">
        <w:rPr>
          <w:rFonts w:cs="Arial" w:hint="cs"/>
          <w:rtl/>
        </w:rPr>
        <w:t xml:space="preserve"> סע' יח</w:t>
      </w:r>
      <w:r w:rsidR="00DF7694" w:rsidRPr="00BB6C50">
        <w:rPr>
          <w:rFonts w:cs="Arial" w:hint="cs"/>
          <w:rtl/>
        </w:rPr>
        <w:t>)</w:t>
      </w:r>
      <w:r w:rsidR="00392DBB" w:rsidRPr="00BB6C50">
        <w:rPr>
          <w:rFonts w:cs="Arial"/>
          <w:rtl/>
        </w:rPr>
        <w:t xml:space="preserve"> שיש לה מזונות בחייו ולא אבדה אלא מזונות שלאחר מיתה</w:t>
      </w:r>
      <w:r w:rsidR="00BB6C50">
        <w:rPr>
          <w:rStyle w:val="a7"/>
          <w:rFonts w:cs="Arial"/>
          <w:rtl/>
        </w:rPr>
        <w:footnoteReference w:id="2296"/>
      </w:r>
      <w:r w:rsidR="00392DBB" w:rsidRPr="00BB6C50">
        <w:rPr>
          <w:rFonts w:cs="Arial" w:hint="cs"/>
          <w:rtl/>
        </w:rPr>
        <w:t>.</w:t>
      </w:r>
      <w:r w:rsidR="00067B0B">
        <w:rPr>
          <w:rFonts w:hint="cs"/>
          <w:color w:val="E36C0A" w:themeColor="accent6" w:themeShade="BF"/>
          <w:rtl/>
        </w:rPr>
        <w:t xml:space="preserve"> </w:t>
      </w:r>
      <w:r w:rsidR="00067B0B" w:rsidRPr="002B5FCF">
        <w:rPr>
          <w:rFonts w:hint="cs"/>
          <w:color w:val="E36C0A" w:themeColor="accent6" w:themeShade="BF"/>
          <w:rtl/>
        </w:rPr>
        <w:t>(וכ"</w:t>
      </w:r>
      <w:r w:rsidR="00067B0B">
        <w:rPr>
          <w:rFonts w:hint="cs"/>
          <w:color w:val="E36C0A" w:themeColor="accent6" w:themeShade="BF"/>
          <w:rtl/>
        </w:rPr>
        <w:t>ס</w:t>
      </w:r>
      <w:r w:rsidR="00067B0B" w:rsidRPr="002B5FCF">
        <w:rPr>
          <w:rFonts w:hint="cs"/>
          <w:color w:val="E36C0A" w:themeColor="accent6" w:themeShade="BF"/>
          <w:rtl/>
        </w:rPr>
        <w:t xml:space="preserve"> בשו"ע</w:t>
      </w:r>
      <w:r w:rsidR="00067B0B">
        <w:rPr>
          <w:rFonts w:hint="cs"/>
          <w:color w:val="000000" w:themeColor="text1"/>
          <w:sz w:val="16"/>
          <w:szCs w:val="16"/>
          <w:rtl/>
        </w:rPr>
        <w:t xml:space="preserve"> </w:t>
      </w:r>
      <w:r w:rsidR="00067B0B" w:rsidRPr="00DF7694">
        <w:rPr>
          <w:rFonts w:hint="cs"/>
          <w:color w:val="000000" w:themeColor="text1"/>
          <w:sz w:val="16"/>
          <w:szCs w:val="16"/>
          <w:rtl/>
        </w:rPr>
        <w:t>[</w:t>
      </w:r>
      <w:r w:rsidR="00067B0B">
        <w:rPr>
          <w:rFonts w:hint="cs"/>
          <w:color w:val="000000" w:themeColor="text1"/>
          <w:sz w:val="16"/>
          <w:szCs w:val="16"/>
          <w:rtl/>
        </w:rPr>
        <w:t>בסי' צג ס"ט</w:t>
      </w:r>
      <w:r w:rsidR="00067B0B" w:rsidRPr="00DF7694">
        <w:rPr>
          <w:rFonts w:hint="cs"/>
          <w:color w:val="000000" w:themeColor="text1"/>
          <w:sz w:val="16"/>
          <w:szCs w:val="16"/>
          <w:rtl/>
        </w:rPr>
        <w:t>]</w:t>
      </w:r>
      <w:r w:rsidR="00067B0B" w:rsidRPr="002B5FCF">
        <w:rPr>
          <w:rFonts w:hint="cs"/>
          <w:color w:val="E36C0A" w:themeColor="accent6" w:themeShade="BF"/>
          <w:rtl/>
        </w:rPr>
        <w:t>)</w:t>
      </w:r>
    </w:p>
    <w:p w14:paraId="3286B9F5" w14:textId="53AACB46" w:rsidR="00C03137" w:rsidRPr="00353CA3" w:rsidRDefault="00BB6C50" w:rsidP="00353CA3">
      <w:pPr>
        <w:ind w:left="360"/>
        <w:rPr>
          <w:sz w:val="16"/>
          <w:szCs w:val="16"/>
          <w:u w:val="dotted"/>
        </w:rPr>
      </w:pPr>
      <w:r w:rsidRPr="00BB6C50">
        <w:rPr>
          <w:rFonts w:hint="cs"/>
          <w:u w:val="dotted"/>
          <w:rtl/>
        </w:rPr>
        <w:t>האם המוחלת איבדה גם את נדוניית</w:t>
      </w:r>
      <w:r>
        <w:rPr>
          <w:rFonts w:hint="cs"/>
          <w:u w:val="dotted"/>
          <w:rtl/>
        </w:rPr>
        <w:t>ה</w:t>
      </w:r>
      <w:r w:rsidRPr="00BB6C50">
        <w:rPr>
          <w:rFonts w:hint="cs"/>
          <w:u w:val="dotted"/>
          <w:rtl/>
        </w:rPr>
        <w:t>:</w:t>
      </w:r>
      <w:r w:rsidR="007E244E" w:rsidRPr="007E244E">
        <w:rPr>
          <w:rFonts w:hint="cs"/>
          <w:sz w:val="16"/>
          <w:szCs w:val="16"/>
          <w:rtl/>
        </w:rPr>
        <w:t xml:space="preserve"> (</w:t>
      </w:r>
      <w:r w:rsidR="007E244E">
        <w:rPr>
          <w:rFonts w:hint="cs"/>
          <w:sz w:val="16"/>
          <w:szCs w:val="16"/>
          <w:rtl/>
        </w:rPr>
        <w:t>דרכ"מ אות א</w:t>
      </w:r>
      <w:r w:rsidR="007E244E" w:rsidRPr="007E244E">
        <w:rPr>
          <w:rFonts w:hint="cs"/>
          <w:sz w:val="16"/>
          <w:szCs w:val="16"/>
          <w:rtl/>
        </w:rPr>
        <w:t>)</w:t>
      </w:r>
      <w:r w:rsidR="00C03137" w:rsidRPr="00353CA3">
        <w:rPr>
          <w:rFonts w:cs="Arial"/>
          <w:rtl/>
        </w:rPr>
        <w:t xml:space="preserve"> </w:t>
      </w:r>
    </w:p>
    <w:p w14:paraId="7F37A4DB" w14:textId="29B4E435" w:rsidR="00C03137" w:rsidRDefault="00C03137" w:rsidP="00C03137">
      <w:pPr>
        <w:pStyle w:val="ab"/>
        <w:numPr>
          <w:ilvl w:val="0"/>
          <w:numId w:val="63"/>
        </w:numPr>
        <w:rPr>
          <w:rtl/>
        </w:rPr>
      </w:pPr>
      <w:r w:rsidRPr="00AB6908">
        <w:rPr>
          <w:rFonts w:cs="Arial"/>
          <w:rtl/>
        </w:rPr>
        <w:t xml:space="preserve">רמב"ן </w:t>
      </w:r>
      <w:r w:rsidRPr="00353CA3">
        <w:rPr>
          <w:rFonts w:cs="Arial"/>
          <w:sz w:val="16"/>
          <w:szCs w:val="16"/>
          <w:rtl/>
        </w:rPr>
        <w:t xml:space="preserve">(נד: ד"ה והא) </w:t>
      </w:r>
      <w:r w:rsidRPr="00AB6908">
        <w:rPr>
          <w:rFonts w:cs="Arial"/>
          <w:rtl/>
        </w:rPr>
        <w:t xml:space="preserve">רשב"א </w:t>
      </w:r>
      <w:r w:rsidRPr="00353CA3">
        <w:rPr>
          <w:rFonts w:cs="Arial"/>
          <w:sz w:val="16"/>
          <w:szCs w:val="16"/>
          <w:rtl/>
        </w:rPr>
        <w:t>(נד</w:t>
      </w:r>
      <w:r w:rsidRPr="00353CA3">
        <w:rPr>
          <w:rFonts w:cs="Arial" w:hint="cs"/>
          <w:sz w:val="16"/>
          <w:szCs w:val="16"/>
          <w:rtl/>
        </w:rPr>
        <w:t>.</w:t>
      </w:r>
      <w:r w:rsidRPr="00353CA3">
        <w:rPr>
          <w:rFonts w:cs="Arial"/>
          <w:sz w:val="16"/>
          <w:szCs w:val="16"/>
          <w:rtl/>
        </w:rPr>
        <w:t xml:space="preserve"> ד"ה א"ר)</w:t>
      </w:r>
      <w:r w:rsidR="00DC7AB1">
        <w:rPr>
          <w:rStyle w:val="a7"/>
          <w:rFonts w:cs="Arial"/>
          <w:rtl/>
        </w:rPr>
        <w:footnoteReference w:id="2297"/>
      </w:r>
      <w:r>
        <w:rPr>
          <w:rFonts w:cs="Arial" w:hint="cs"/>
          <w:rtl/>
        </w:rPr>
        <w:t>-</w:t>
      </w:r>
      <w:r w:rsidRPr="00C03137">
        <w:rPr>
          <w:rtl/>
        </w:rPr>
        <w:t xml:space="preserve"> </w:t>
      </w:r>
      <w:r w:rsidRPr="00C03137">
        <w:rPr>
          <w:rFonts w:cs="Arial"/>
          <w:rtl/>
        </w:rPr>
        <w:t xml:space="preserve">והא דאמרי' תנאי כתובה ככתובה דמי י"א דדוקא תוספת ותנאין דכתובה אבל נדוניא אינה בכלל, ולא מסתבר לי שהרי נדוניא כתובה שמה בכל </w:t>
      </w:r>
      <w:r>
        <w:rPr>
          <w:rFonts w:cs="Arial" w:hint="cs"/>
          <w:rtl/>
        </w:rPr>
        <w:t xml:space="preserve">מקום... </w:t>
      </w:r>
      <w:r w:rsidRPr="00C03137">
        <w:rPr>
          <w:rFonts w:cs="Arial"/>
          <w:rtl/>
        </w:rPr>
        <w:t>הלכך למוכרת ולמוחלת נדוניא ודאי בכלל היא, ולכתובת בנין דכרין נמי כל עיקרא משום נדוניא תקנו כדי שיקפוץ אדם ויתן לבתו כבנו</w:t>
      </w:r>
      <w:r w:rsidR="00353CA3">
        <w:rPr>
          <w:rFonts w:cs="Arial" w:hint="cs"/>
          <w:rtl/>
        </w:rPr>
        <w:t>...</w:t>
      </w:r>
      <w:r w:rsidRPr="00C03137">
        <w:rPr>
          <w:rFonts w:cs="Arial"/>
          <w:rtl/>
        </w:rPr>
        <w:t xml:space="preserve"> הלכך כל דיני כתובה דמנה מאתים על נכסי צאן ברזל, ומיהו דוקא בדליתנהו ובאה לגבות מנכסיו בשעבוד דכתובה אבל היכי דאיתנהו לא שאפילו זנתה לא הפסידה בלאותי' הקיימין דנכסי צאן ברזל.</w:t>
      </w:r>
      <w:r>
        <w:rPr>
          <w:rFonts w:cs="Arial" w:hint="cs"/>
          <w:rtl/>
        </w:rPr>
        <w:t xml:space="preserve"> ד</w:t>
      </w:r>
      <w:r w:rsidRPr="00AB6908">
        <w:rPr>
          <w:rFonts w:cs="Arial"/>
          <w:rtl/>
        </w:rPr>
        <w:t>אף נדונייתה בכלל</w:t>
      </w:r>
      <w:r>
        <w:rPr>
          <w:rFonts w:cs="Arial" w:hint="cs"/>
          <w:rtl/>
        </w:rPr>
        <w:t>,</w:t>
      </w:r>
      <w:r w:rsidRPr="00AB6908">
        <w:rPr>
          <w:rFonts w:cs="Arial"/>
          <w:rtl/>
        </w:rPr>
        <w:t xml:space="preserve"> אא</w:t>
      </w:r>
      <w:r>
        <w:rPr>
          <w:rFonts w:cs="Arial" w:hint="cs"/>
          <w:rtl/>
        </w:rPr>
        <w:t>"</w:t>
      </w:r>
      <w:r w:rsidRPr="00AB6908">
        <w:rPr>
          <w:rFonts w:cs="Arial"/>
          <w:rtl/>
        </w:rPr>
        <w:t>כ היתה נדונייתה בעין דאז לא הפסידה אותה</w:t>
      </w:r>
      <w:r w:rsidR="00353CA3">
        <w:rPr>
          <w:rFonts w:cs="Arial" w:hint="cs"/>
          <w:sz w:val="16"/>
          <w:szCs w:val="16"/>
          <w:rtl/>
        </w:rPr>
        <w:t xml:space="preserve"> (ל' הרמב"ן)</w:t>
      </w:r>
      <w:r>
        <w:rPr>
          <w:rFonts w:cs="Arial" w:hint="cs"/>
          <w:rtl/>
        </w:rPr>
        <w:t>.</w:t>
      </w:r>
      <w:r>
        <w:rPr>
          <w:rFonts w:hint="cs"/>
          <w:rtl/>
        </w:rPr>
        <w:t xml:space="preserve"> </w:t>
      </w:r>
    </w:p>
    <w:p w14:paraId="3A37B54F" w14:textId="5394817A" w:rsidR="007E244E" w:rsidRPr="007E244E" w:rsidRDefault="00BB6C50" w:rsidP="00392DBB">
      <w:pPr>
        <w:pStyle w:val="ab"/>
        <w:numPr>
          <w:ilvl w:val="0"/>
          <w:numId w:val="63"/>
        </w:numPr>
      </w:pPr>
      <w:r w:rsidRPr="00AB6908">
        <w:rPr>
          <w:rFonts w:cs="Arial"/>
          <w:rtl/>
        </w:rPr>
        <w:t>מהרי"ו</w:t>
      </w:r>
      <w:r w:rsidR="007E244E">
        <w:rPr>
          <w:rFonts w:cs="Arial" w:hint="cs"/>
          <w:rtl/>
        </w:rPr>
        <w:t xml:space="preserve"> </w:t>
      </w:r>
      <w:r w:rsidR="007E244E" w:rsidRPr="0060467A">
        <w:rPr>
          <w:rFonts w:cs="Arial" w:hint="cs"/>
          <w:sz w:val="16"/>
          <w:szCs w:val="16"/>
          <w:rtl/>
        </w:rPr>
        <w:t>(</w:t>
      </w:r>
      <w:r w:rsidRPr="0060467A">
        <w:rPr>
          <w:rFonts w:cs="Arial"/>
          <w:sz w:val="16"/>
          <w:szCs w:val="16"/>
          <w:rtl/>
        </w:rPr>
        <w:t>בתש</w:t>
      </w:r>
      <w:r w:rsidR="007E244E" w:rsidRPr="0060467A">
        <w:rPr>
          <w:rFonts w:cs="Arial" w:hint="cs"/>
          <w:sz w:val="16"/>
          <w:szCs w:val="16"/>
          <w:rtl/>
        </w:rPr>
        <w:t>ו'</w:t>
      </w:r>
      <w:r w:rsidRPr="0060467A">
        <w:rPr>
          <w:rFonts w:cs="Arial"/>
          <w:sz w:val="16"/>
          <w:szCs w:val="16"/>
          <w:rtl/>
        </w:rPr>
        <w:t xml:space="preserve"> סי</w:t>
      </w:r>
      <w:r w:rsidR="007E244E" w:rsidRPr="0060467A">
        <w:rPr>
          <w:rFonts w:cs="Arial" w:hint="cs"/>
          <w:sz w:val="16"/>
          <w:szCs w:val="16"/>
          <w:rtl/>
        </w:rPr>
        <w:t>'</w:t>
      </w:r>
      <w:r w:rsidRPr="0060467A">
        <w:rPr>
          <w:rFonts w:cs="Arial"/>
          <w:sz w:val="16"/>
          <w:szCs w:val="16"/>
          <w:rtl/>
        </w:rPr>
        <w:t xml:space="preserve"> יט</w:t>
      </w:r>
      <w:r w:rsidR="007E244E" w:rsidRPr="0060467A">
        <w:rPr>
          <w:rFonts w:cs="Arial" w:hint="cs"/>
          <w:sz w:val="16"/>
          <w:szCs w:val="16"/>
          <w:rtl/>
        </w:rPr>
        <w:t>)</w:t>
      </w:r>
      <w:r w:rsidR="0060467A">
        <w:rPr>
          <w:rFonts w:cs="Arial" w:hint="cs"/>
          <w:rtl/>
        </w:rPr>
        <w:t>-</w:t>
      </w:r>
      <w:r w:rsidRPr="00AB6908">
        <w:rPr>
          <w:rFonts w:cs="Arial"/>
          <w:rtl/>
        </w:rPr>
        <w:t xml:space="preserve"> נדונייתה לא הפסידה אא</w:t>
      </w:r>
      <w:r w:rsidR="007E244E">
        <w:rPr>
          <w:rFonts w:cs="Arial" w:hint="cs"/>
          <w:rtl/>
        </w:rPr>
        <w:t>"</w:t>
      </w:r>
      <w:r w:rsidRPr="00AB6908">
        <w:rPr>
          <w:rFonts w:cs="Arial"/>
          <w:rtl/>
        </w:rPr>
        <w:t>כ אמרה כל מה שכתוב בשטר אני מוחל לך</w:t>
      </w:r>
      <w:r w:rsidR="007E244E">
        <w:rPr>
          <w:rFonts w:cs="Arial" w:hint="cs"/>
          <w:rtl/>
        </w:rPr>
        <w:t>.</w:t>
      </w:r>
      <w:r w:rsidRPr="00AB6908">
        <w:rPr>
          <w:rFonts w:cs="Arial"/>
          <w:rtl/>
        </w:rPr>
        <w:t xml:space="preserve"> </w:t>
      </w:r>
    </w:p>
    <w:p w14:paraId="364057A2"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D6EA18A" w14:textId="0EB419CF" w:rsidR="00392DBB" w:rsidRDefault="00392DBB" w:rsidP="00392DBB">
      <w:pPr>
        <w:rPr>
          <w:rFonts w:cs="Arial"/>
          <w:rtl/>
        </w:rPr>
      </w:pPr>
      <w:r>
        <w:rPr>
          <w:rFonts w:cs="Arial"/>
          <w:rtl/>
        </w:rPr>
        <w:t xml:space="preserve">המוכרת כתובתה, בין לבעלה בין לאחרים, לא הפסידה שום דבר מתנאי כתובה. אבל המוחלת כתובתה לבעלה, איבדה כל תנאי כתובה. </w:t>
      </w:r>
      <w:r w:rsidRPr="003D1481">
        <w:rPr>
          <w:rFonts w:cs="Arial"/>
          <w:sz w:val="18"/>
          <w:szCs w:val="18"/>
          <w:rtl/>
        </w:rPr>
        <w:t xml:space="preserve">הגה: ואפילו נדוניתא הפסידה אם אינה בעין (רמב"ן </w:t>
      </w:r>
      <w:r w:rsidR="00DC7AB1">
        <w:rPr>
          <w:rFonts w:cs="Arial" w:hint="cs"/>
          <w:sz w:val="18"/>
          <w:szCs w:val="18"/>
          <w:rtl/>
        </w:rPr>
        <w:t>ו</w:t>
      </w:r>
      <w:r w:rsidRPr="003D1481">
        <w:rPr>
          <w:rFonts w:cs="Arial"/>
          <w:sz w:val="18"/>
          <w:szCs w:val="18"/>
          <w:rtl/>
        </w:rPr>
        <w:t>רשב"א). וי"א דלא הפסידה נדונייתה אא"כ אמרה: כל מה שבשטר מחול לך (מהרי"ו).</w:t>
      </w:r>
    </w:p>
    <w:p w14:paraId="72B46EE8" w14:textId="77777777" w:rsidR="003E3B01" w:rsidRDefault="003E3B01" w:rsidP="00392DBB">
      <w:pPr>
        <w:rPr>
          <w:rFonts w:cs="Arial"/>
          <w:rtl/>
        </w:rPr>
      </w:pPr>
      <w:r w:rsidRPr="003E3B01">
        <w:rPr>
          <w:rFonts w:cs="Arial" w:hint="cs"/>
          <w:u w:val="single"/>
          <w:rtl/>
        </w:rPr>
        <w:t>אשה ש</w:t>
      </w:r>
      <w:r w:rsidRPr="003E3B01">
        <w:rPr>
          <w:rFonts w:cs="Arial"/>
          <w:u w:val="single"/>
          <w:rtl/>
        </w:rPr>
        <w:t>התנ</w:t>
      </w:r>
      <w:r w:rsidRPr="003E3B01">
        <w:rPr>
          <w:rFonts w:cs="Arial" w:hint="cs"/>
          <w:u w:val="single"/>
          <w:rtl/>
        </w:rPr>
        <w:t>ת</w:t>
      </w:r>
      <w:r w:rsidRPr="003E3B01">
        <w:rPr>
          <w:rFonts w:cs="Arial"/>
          <w:u w:val="single"/>
          <w:rtl/>
        </w:rPr>
        <w:t>ה ע</w:t>
      </w:r>
      <w:r w:rsidRPr="003E3B01">
        <w:rPr>
          <w:rFonts w:cs="Arial" w:hint="cs"/>
          <w:u w:val="single"/>
          <w:rtl/>
        </w:rPr>
        <w:t>ם</w:t>
      </w:r>
      <w:r w:rsidRPr="003E3B01">
        <w:rPr>
          <w:rFonts w:cs="Arial"/>
          <w:u w:val="single"/>
          <w:rtl/>
        </w:rPr>
        <w:t xml:space="preserve"> </w:t>
      </w:r>
      <w:r w:rsidRPr="003E3B01">
        <w:rPr>
          <w:rFonts w:cs="Arial" w:hint="cs"/>
          <w:u w:val="single"/>
          <w:rtl/>
        </w:rPr>
        <w:t xml:space="preserve">בעלה בזמן כתיבת הכתובה </w:t>
      </w:r>
      <w:r w:rsidRPr="003E3B01">
        <w:rPr>
          <w:rFonts w:cs="Arial"/>
          <w:u w:val="single"/>
          <w:rtl/>
        </w:rPr>
        <w:t>שאחר מות</w:t>
      </w:r>
      <w:r w:rsidRPr="003E3B01">
        <w:rPr>
          <w:rFonts w:cs="Arial" w:hint="cs"/>
          <w:u w:val="single"/>
          <w:rtl/>
        </w:rPr>
        <w:t>ה</w:t>
      </w:r>
      <w:r w:rsidRPr="003E3B01">
        <w:rPr>
          <w:rFonts w:cs="Arial"/>
          <w:u w:val="single"/>
          <w:rtl/>
        </w:rPr>
        <w:t xml:space="preserve"> יירש איש אחר</w:t>
      </w:r>
      <w:r w:rsidRPr="003E3B01">
        <w:rPr>
          <w:rFonts w:cs="Arial" w:hint="cs"/>
          <w:u w:val="single"/>
          <w:rtl/>
        </w:rPr>
        <w:t xml:space="preserve"> את כתובתה:</w:t>
      </w:r>
      <w:r w:rsidRPr="006348E4">
        <w:rPr>
          <w:rFonts w:cs="Arial"/>
          <w:rtl/>
        </w:rPr>
        <w:t xml:space="preserve"> </w:t>
      </w:r>
      <w:r w:rsidR="006348E4" w:rsidRPr="003E3B01">
        <w:rPr>
          <w:rFonts w:cs="Arial"/>
          <w:sz w:val="16"/>
          <w:szCs w:val="16"/>
          <w:rtl/>
        </w:rPr>
        <w:t>(</w:t>
      </w:r>
      <w:r w:rsidRPr="003E3B01">
        <w:rPr>
          <w:rFonts w:cs="Arial" w:hint="cs"/>
          <w:sz w:val="16"/>
          <w:szCs w:val="16"/>
          <w:rtl/>
        </w:rPr>
        <w:t>פת"ש סק"</w:t>
      </w:r>
      <w:r w:rsidR="006348E4" w:rsidRPr="003E3B01">
        <w:rPr>
          <w:rFonts w:cs="Arial"/>
          <w:sz w:val="16"/>
          <w:szCs w:val="16"/>
          <w:rtl/>
        </w:rPr>
        <w:t>ג)</w:t>
      </w:r>
    </w:p>
    <w:p w14:paraId="7838141B" w14:textId="3BD87553" w:rsidR="00392DBB" w:rsidRDefault="006348E4" w:rsidP="003E3B01">
      <w:pPr>
        <w:pStyle w:val="ab"/>
        <w:numPr>
          <w:ilvl w:val="0"/>
          <w:numId w:val="92"/>
        </w:numPr>
        <w:rPr>
          <w:rtl/>
        </w:rPr>
      </w:pPr>
      <w:r w:rsidRPr="003E3B01">
        <w:rPr>
          <w:rFonts w:cs="Arial"/>
          <w:rtl/>
        </w:rPr>
        <w:lastRenderedPageBreak/>
        <w:t xml:space="preserve">יד המלך </w:t>
      </w:r>
      <w:r w:rsidR="003E3B01" w:rsidRPr="003E3B01">
        <w:rPr>
          <w:rFonts w:cs="Arial" w:hint="cs"/>
          <w:sz w:val="16"/>
          <w:szCs w:val="16"/>
          <w:rtl/>
        </w:rPr>
        <w:t>(</w:t>
      </w:r>
      <w:r w:rsidRPr="003E3B01">
        <w:rPr>
          <w:rFonts w:cs="Arial"/>
          <w:sz w:val="16"/>
          <w:szCs w:val="16"/>
          <w:rtl/>
        </w:rPr>
        <w:t>פי"ז מה"א הי"ט</w:t>
      </w:r>
      <w:r w:rsidR="003E3B01" w:rsidRPr="003E3B01">
        <w:rPr>
          <w:rFonts w:cs="Arial" w:hint="cs"/>
          <w:sz w:val="16"/>
          <w:szCs w:val="16"/>
          <w:rtl/>
        </w:rPr>
        <w:t>)</w:t>
      </w:r>
      <w:r w:rsidR="003E3B01">
        <w:rPr>
          <w:rFonts w:cs="Arial" w:hint="cs"/>
          <w:rtl/>
        </w:rPr>
        <w:t>-</w:t>
      </w:r>
      <w:r w:rsidRPr="003E3B01">
        <w:rPr>
          <w:rFonts w:cs="Arial"/>
          <w:rtl/>
        </w:rPr>
        <w:t xml:space="preserve"> הנה במוחלת כתובת' לבעלה דאיבדה כל תנאי כתובה וממילא דבטל גם התנאי של ירושת כתובת בנין דכרין ואף דהזכות של תנאי הלז לא שייך לה רק לבניה הזכרים שילדה לו ואיך יש בידה למחול צ"ל כיון דמדינא אין שום חלות כלל על גוף המתנה שנתן לבניה אחריה כיון דבשעת המתנה בניה עדיין אינם בעולם ועיקר כתובת בנין דכרין הוא רק מכח תנאי ב"ד הם אמרו והם התקינו שאם מחלה גוף כתובתה בטלה ג"כ תנאי כתוב' זו. ולפ"ז בהתנ</w:t>
      </w:r>
      <w:r w:rsidR="003E3B01" w:rsidRPr="003E3B01">
        <w:rPr>
          <w:rFonts w:cs="Arial" w:hint="cs"/>
          <w:rtl/>
        </w:rPr>
        <w:t>ת</w:t>
      </w:r>
      <w:r w:rsidRPr="003E3B01">
        <w:rPr>
          <w:rFonts w:cs="Arial"/>
          <w:rtl/>
        </w:rPr>
        <w:t>ה עמו בפירוש שאחר מות</w:t>
      </w:r>
      <w:r w:rsidR="00DC7AB1">
        <w:rPr>
          <w:rFonts w:cs="Arial" w:hint="cs"/>
          <w:rtl/>
        </w:rPr>
        <w:t>ה</w:t>
      </w:r>
      <w:r w:rsidRPr="003E3B01">
        <w:rPr>
          <w:rFonts w:cs="Arial"/>
          <w:rtl/>
        </w:rPr>
        <w:t xml:space="preserve"> יירש איש אחר אשר בעת התנאי כבר הי</w:t>
      </w:r>
      <w:r w:rsidR="00DC7AB1">
        <w:rPr>
          <w:rFonts w:cs="Arial" w:hint="cs"/>
          <w:rtl/>
        </w:rPr>
        <w:t>ה</w:t>
      </w:r>
      <w:r w:rsidRPr="003E3B01">
        <w:rPr>
          <w:rFonts w:cs="Arial"/>
          <w:rtl/>
        </w:rPr>
        <w:t xml:space="preserve"> בעולם דאז זכה בו מטעם מתנה גמורה אפשר דאף אי מחלה הכתוב</w:t>
      </w:r>
      <w:r w:rsidR="00DC7AB1">
        <w:rPr>
          <w:rFonts w:cs="Arial" w:hint="cs"/>
          <w:rtl/>
        </w:rPr>
        <w:t>ה</w:t>
      </w:r>
      <w:r w:rsidRPr="003E3B01">
        <w:rPr>
          <w:rFonts w:cs="Arial"/>
          <w:rtl/>
        </w:rPr>
        <w:t xml:space="preserve"> לבעלה אין בידה להפסיד אותו האיש הזכות שלו</w:t>
      </w:r>
      <w:r w:rsidR="0009636D">
        <w:rPr>
          <w:rFonts w:cs="Arial" w:hint="cs"/>
          <w:rtl/>
        </w:rPr>
        <w:t>.</w:t>
      </w:r>
      <w:r w:rsidRPr="003E3B01">
        <w:rPr>
          <w:rFonts w:cs="Arial"/>
          <w:rtl/>
        </w:rPr>
        <w:t xml:space="preserve"> וע' במהרי"ט </w:t>
      </w:r>
      <w:r w:rsidR="0009636D">
        <w:rPr>
          <w:rFonts w:cs="Arial" w:hint="cs"/>
          <w:rtl/>
        </w:rPr>
        <w:t>(</w:t>
      </w:r>
      <w:r w:rsidRPr="003E3B01">
        <w:rPr>
          <w:rFonts w:cs="Arial"/>
          <w:rtl/>
        </w:rPr>
        <w:t>ח"א סי' לח</w:t>
      </w:r>
      <w:r w:rsidR="0009636D">
        <w:rPr>
          <w:rFonts w:cs="Arial" w:hint="cs"/>
          <w:rtl/>
        </w:rPr>
        <w:t>),</w:t>
      </w:r>
      <w:r w:rsidRPr="003E3B01">
        <w:rPr>
          <w:rFonts w:cs="Arial"/>
          <w:rtl/>
        </w:rPr>
        <w:t xml:space="preserve"> וצ"ע לדינא</w:t>
      </w:r>
      <w:r w:rsidR="0009636D">
        <w:rPr>
          <w:rFonts w:cs="Arial" w:hint="cs"/>
          <w:rtl/>
        </w:rPr>
        <w:t>.</w:t>
      </w:r>
    </w:p>
    <w:p w14:paraId="5035F80D" w14:textId="77777777" w:rsidR="00136014" w:rsidRDefault="00136014" w:rsidP="00392DBB">
      <w:pPr>
        <w:rPr>
          <w:rtl/>
        </w:rPr>
      </w:pPr>
    </w:p>
    <w:p w14:paraId="1A683C02" w14:textId="66388C94" w:rsidR="00392DBB" w:rsidRDefault="00392DBB" w:rsidP="000F64D0">
      <w:pPr>
        <w:pStyle w:val="2"/>
        <w:rPr>
          <w:rtl/>
        </w:rPr>
      </w:pPr>
      <w:r>
        <w:rPr>
          <w:rtl/>
        </w:rPr>
        <w:t>סעיף ה</w:t>
      </w:r>
      <w:r>
        <w:rPr>
          <w:rFonts w:hint="cs"/>
          <w:rtl/>
        </w:rPr>
        <w:t>:</w:t>
      </w:r>
      <w:r w:rsidR="0009636D" w:rsidRPr="0009636D">
        <w:rPr>
          <w:rFonts w:hint="cs"/>
          <w:rtl/>
        </w:rPr>
        <w:t xml:space="preserve"> כיצד אשה מוחלת כתובתה</w:t>
      </w:r>
      <w:r w:rsidR="0009636D">
        <w:rPr>
          <w:rFonts w:hint="cs"/>
          <w:rtl/>
        </w:rPr>
        <w:t>.</w:t>
      </w:r>
    </w:p>
    <w:p w14:paraId="7D1B25EA" w14:textId="77777777" w:rsidR="0009636D" w:rsidRPr="00351B7D" w:rsidRDefault="0009636D" w:rsidP="0009636D">
      <w:pPr>
        <w:rPr>
          <w:rFonts w:asciiTheme="minorBidi" w:hAnsiTheme="minorBidi"/>
          <w:u w:val="single"/>
          <w:rtl/>
        </w:rPr>
      </w:pPr>
      <w:r w:rsidRPr="0009636D">
        <w:rPr>
          <w:rFonts w:asciiTheme="minorBidi" w:hAnsiTheme="minorBidi" w:hint="cs"/>
          <w:u w:val="single"/>
          <w:rtl/>
        </w:rPr>
        <w:t>כיצד אשה מוחלת כתובתה</w:t>
      </w:r>
      <w:r w:rsidRPr="00351B7D">
        <w:rPr>
          <w:rFonts w:asciiTheme="minorBidi" w:hAnsiTheme="minorBidi"/>
          <w:u w:val="single"/>
          <w:rtl/>
        </w:rPr>
        <w:t>:</w:t>
      </w:r>
    </w:p>
    <w:p w14:paraId="158A757A" w14:textId="4A6505C1" w:rsidR="0009636D" w:rsidRPr="00351B7D" w:rsidRDefault="0009636D" w:rsidP="0009636D">
      <w:pPr>
        <w:pStyle w:val="ab"/>
        <w:numPr>
          <w:ilvl w:val="0"/>
          <w:numId w:val="63"/>
        </w:numPr>
        <w:rPr>
          <w:rFonts w:asciiTheme="minorBidi" w:hAnsiTheme="minorBidi"/>
        </w:rPr>
      </w:pPr>
      <w:r w:rsidRPr="00351B7D">
        <w:rPr>
          <w:rFonts w:asciiTheme="minorBidi" w:hAnsiTheme="minorBidi"/>
          <w:rtl/>
        </w:rPr>
        <w:t xml:space="preserve">רמב"ם </w:t>
      </w:r>
      <w:r w:rsidRPr="00351B7D">
        <w:rPr>
          <w:rFonts w:asciiTheme="minorBidi" w:hAnsiTheme="minorBidi"/>
          <w:sz w:val="16"/>
          <w:szCs w:val="16"/>
          <w:rtl/>
        </w:rPr>
        <w:t>(פי"ז מה"א הי"ט)</w:t>
      </w:r>
      <w:r w:rsidR="00B8382C">
        <w:rPr>
          <w:rFonts w:asciiTheme="minorBidi" w:hAnsiTheme="minorBidi" w:hint="cs"/>
          <w:rtl/>
        </w:rPr>
        <w:t xml:space="preserve"> וטור</w:t>
      </w:r>
      <w:r w:rsidR="00B8382C">
        <w:rPr>
          <w:rFonts w:asciiTheme="minorBidi" w:hAnsiTheme="minorBidi" w:hint="cs"/>
          <w:sz w:val="16"/>
          <w:szCs w:val="16"/>
          <w:rtl/>
        </w:rPr>
        <w:t xml:space="preserve"> (כאן)</w:t>
      </w:r>
      <w:r w:rsidRPr="00351B7D">
        <w:rPr>
          <w:rFonts w:asciiTheme="minorBidi" w:hAnsiTheme="minorBidi"/>
          <w:rtl/>
        </w:rPr>
        <w:t xml:space="preserve">- </w:t>
      </w:r>
      <w:r w:rsidRPr="00F12FCB">
        <w:rPr>
          <w:rFonts w:asciiTheme="minorBidi" w:hAnsiTheme="minorBidi" w:cs="Arial"/>
          <w:rtl/>
        </w:rPr>
        <w:t>המוחלת כתובתה לבעלה איבדה כל תנאי כתובתה ואפילו מזונות אין לה עליו</w:t>
      </w:r>
      <w:r w:rsidR="00DC7AB1">
        <w:rPr>
          <w:rFonts w:asciiTheme="minorBidi" w:hAnsiTheme="minorBidi" w:cs="Arial" w:hint="cs"/>
          <w:rtl/>
        </w:rPr>
        <w:t>.</w:t>
      </w:r>
      <w:r w:rsidRPr="00F12FCB">
        <w:rPr>
          <w:rFonts w:asciiTheme="minorBidi" w:hAnsiTheme="minorBidi" w:cs="Arial"/>
          <w:rtl/>
        </w:rPr>
        <w:t xml:space="preserve"> ומוחלת כתובתה אינה צריכה קנין ולא עדים</w:t>
      </w:r>
      <w:r>
        <w:rPr>
          <w:rFonts w:asciiTheme="minorBidi" w:hAnsiTheme="minorBidi" w:cs="Arial" w:hint="cs"/>
          <w:rtl/>
        </w:rPr>
        <w:t>,</w:t>
      </w:r>
      <w:r w:rsidRPr="00F12FCB">
        <w:rPr>
          <w:rFonts w:asciiTheme="minorBidi" w:hAnsiTheme="minorBidi" w:cs="Arial"/>
          <w:rtl/>
        </w:rPr>
        <w:t xml:space="preserve"> כשאר המוחלים שאינן צריכין לא עדים ולא קנין אלא בדברים בלבד, והוא שיהיו דברים שהדעת סומכת עליהן ולא יהיו דברי שחוק והתול או דברי תימה אלא בדעת נכונה</w:t>
      </w:r>
      <w:r>
        <w:rPr>
          <w:rStyle w:val="a7"/>
          <w:rFonts w:asciiTheme="minorBidi" w:hAnsiTheme="minorBidi" w:cs="Arial"/>
          <w:rtl/>
        </w:rPr>
        <w:footnoteReference w:id="2298"/>
      </w:r>
      <w:r w:rsidR="00B8382C">
        <w:rPr>
          <w:rFonts w:asciiTheme="minorBidi" w:hAnsiTheme="minorBidi" w:cs="Arial" w:hint="cs"/>
          <w:sz w:val="16"/>
          <w:szCs w:val="16"/>
          <w:rtl/>
        </w:rPr>
        <w:t xml:space="preserve"> (ל' הרמב"ם)</w:t>
      </w:r>
      <w:r w:rsidRPr="00F12FCB">
        <w:rPr>
          <w:rFonts w:asciiTheme="minorBidi" w:hAnsiTheme="minorBidi" w:cs="Arial"/>
          <w:rtl/>
        </w:rPr>
        <w:t xml:space="preserve">. </w:t>
      </w:r>
      <w:r w:rsidR="00AC652E" w:rsidRPr="00351B7D">
        <w:rPr>
          <w:rFonts w:asciiTheme="minorBidi" w:hAnsiTheme="minorBidi"/>
          <w:color w:val="E36C0A" w:themeColor="accent6" w:themeShade="BF"/>
          <w:rtl/>
        </w:rPr>
        <w:t>(וכ"</w:t>
      </w:r>
      <w:r w:rsidR="00AC652E">
        <w:rPr>
          <w:rFonts w:asciiTheme="minorBidi" w:hAnsiTheme="minorBidi" w:hint="cs"/>
          <w:color w:val="E36C0A" w:themeColor="accent6" w:themeShade="BF"/>
          <w:rtl/>
        </w:rPr>
        <w:t>פ</w:t>
      </w:r>
      <w:r w:rsidR="00AC652E" w:rsidRPr="00351B7D">
        <w:rPr>
          <w:rFonts w:asciiTheme="minorBidi" w:hAnsiTheme="minorBidi"/>
          <w:color w:val="E36C0A" w:themeColor="accent6" w:themeShade="BF"/>
          <w:rtl/>
        </w:rPr>
        <w:t xml:space="preserve"> בשו"ע</w:t>
      </w:r>
      <w:r w:rsidR="005D5266" w:rsidRPr="005D5266">
        <w:rPr>
          <w:rFonts w:asciiTheme="minorBidi" w:hAnsiTheme="minorBidi" w:hint="cs"/>
          <w:sz w:val="16"/>
          <w:szCs w:val="16"/>
          <w:rtl/>
        </w:rPr>
        <w:t xml:space="preserve"> </w:t>
      </w:r>
      <w:r w:rsidR="005D5266">
        <w:rPr>
          <w:rFonts w:asciiTheme="minorBidi" w:hAnsiTheme="minorBidi" w:hint="cs"/>
          <w:sz w:val="16"/>
          <w:szCs w:val="16"/>
          <w:rtl/>
        </w:rPr>
        <w:t>[כאן]</w:t>
      </w:r>
      <w:r w:rsidR="00AC652E" w:rsidRPr="00351B7D">
        <w:rPr>
          <w:rFonts w:asciiTheme="minorBidi" w:hAnsiTheme="minorBidi"/>
          <w:color w:val="E36C0A" w:themeColor="accent6" w:themeShade="BF"/>
          <w:rtl/>
        </w:rPr>
        <w:t>)</w:t>
      </w:r>
    </w:p>
    <w:p w14:paraId="4CE82047" w14:textId="3019B8E4" w:rsidR="00B37293" w:rsidRDefault="0009636D" w:rsidP="00B37293">
      <w:pPr>
        <w:pStyle w:val="ab"/>
        <w:numPr>
          <w:ilvl w:val="0"/>
          <w:numId w:val="63"/>
        </w:numPr>
        <w:rPr>
          <w:rFonts w:asciiTheme="minorBidi" w:hAnsiTheme="minorBidi"/>
        </w:rPr>
      </w:pPr>
      <w:r w:rsidRPr="00351B7D">
        <w:rPr>
          <w:rFonts w:asciiTheme="minorBidi" w:hAnsiTheme="minorBidi"/>
          <w:rtl/>
        </w:rPr>
        <w:t>מרדכי</w:t>
      </w:r>
      <w:r w:rsidRPr="00351B7D">
        <w:rPr>
          <w:rStyle w:val="a7"/>
          <w:rFonts w:asciiTheme="minorBidi" w:hAnsiTheme="minorBidi"/>
          <w:rtl/>
        </w:rPr>
        <w:footnoteReference w:id="2299"/>
      </w:r>
      <w:r w:rsidRPr="00351B7D">
        <w:rPr>
          <w:rFonts w:asciiTheme="minorBidi" w:hAnsiTheme="minorBidi"/>
          <w:rtl/>
        </w:rPr>
        <w:t xml:space="preserve"> </w:t>
      </w:r>
      <w:r w:rsidRPr="00351B7D">
        <w:rPr>
          <w:rFonts w:asciiTheme="minorBidi" w:hAnsiTheme="minorBidi"/>
          <w:sz w:val="16"/>
          <w:szCs w:val="16"/>
          <w:rtl/>
        </w:rPr>
        <w:t>(ב"ק סי' צג)</w:t>
      </w:r>
      <w:r w:rsidRPr="00351B7D">
        <w:rPr>
          <w:rFonts w:asciiTheme="minorBidi" w:hAnsiTheme="minorBidi"/>
          <w:rtl/>
        </w:rPr>
        <w:t xml:space="preserve"> וטור</w:t>
      </w:r>
      <w:r w:rsidR="00B8382C">
        <w:rPr>
          <w:rFonts w:asciiTheme="minorBidi" w:hAnsiTheme="minorBidi" w:hint="cs"/>
          <w:sz w:val="16"/>
          <w:szCs w:val="16"/>
          <w:rtl/>
        </w:rPr>
        <w:t xml:space="preserve"> (סי' סו ס"ג)</w:t>
      </w:r>
      <w:r w:rsidRPr="00351B7D">
        <w:rPr>
          <w:rFonts w:asciiTheme="minorBidi" w:hAnsiTheme="minorBidi"/>
          <w:rtl/>
        </w:rPr>
        <w:t xml:space="preserve">- </w:t>
      </w:r>
      <w:r w:rsidRPr="00351B7D">
        <w:rPr>
          <w:rFonts w:asciiTheme="minorBidi" w:hAnsiTheme="minorBidi"/>
          <w:color w:val="000000"/>
          <w:rtl/>
        </w:rPr>
        <w:t xml:space="preserve">מחלה </w:t>
      </w:r>
      <w:r w:rsidRPr="00F12FCB">
        <w:rPr>
          <w:rFonts w:asciiTheme="minorBidi" w:hAnsiTheme="minorBidi"/>
          <w:color w:val="000000"/>
          <w:rtl/>
        </w:rPr>
        <w:t>לו עליה שכתבה לו התקבלתי</w:t>
      </w:r>
      <w:r w:rsidRPr="00351B7D">
        <w:rPr>
          <w:rFonts w:asciiTheme="minorBidi" w:hAnsiTheme="minorBidi"/>
          <w:color w:val="000000"/>
          <w:rtl/>
        </w:rPr>
        <w:t xml:space="preserve"> כתובתי </w:t>
      </w:r>
      <w:r w:rsidRPr="00351B7D">
        <w:rPr>
          <w:rFonts w:asciiTheme="minorBidi" w:hAnsiTheme="minorBidi"/>
          <w:sz w:val="16"/>
          <w:szCs w:val="16"/>
          <w:rtl/>
        </w:rPr>
        <w:t>(ל' הטו</w:t>
      </w:r>
      <w:r w:rsidR="00DC7AB1">
        <w:rPr>
          <w:rFonts w:asciiTheme="minorBidi" w:hAnsiTheme="minorBidi" w:hint="cs"/>
          <w:sz w:val="16"/>
          <w:szCs w:val="16"/>
          <w:rtl/>
        </w:rPr>
        <w:t>ר</w:t>
      </w:r>
      <w:r w:rsidRPr="00351B7D">
        <w:rPr>
          <w:rFonts w:asciiTheme="minorBidi" w:hAnsiTheme="minorBidi"/>
          <w:sz w:val="16"/>
          <w:szCs w:val="16"/>
          <w:rtl/>
        </w:rPr>
        <w:t>)</w:t>
      </w:r>
      <w:r w:rsidRPr="00351B7D">
        <w:rPr>
          <w:rStyle w:val="a7"/>
          <w:rFonts w:asciiTheme="minorBidi" w:hAnsiTheme="minorBidi"/>
          <w:rtl/>
        </w:rPr>
        <w:footnoteReference w:id="2300"/>
      </w:r>
      <w:r w:rsidRPr="00351B7D">
        <w:rPr>
          <w:rFonts w:asciiTheme="minorBidi" w:hAnsiTheme="minorBidi"/>
          <w:rtl/>
        </w:rPr>
        <w:t>.</w:t>
      </w:r>
      <w:r w:rsidRPr="00351B7D">
        <w:rPr>
          <w:rFonts w:asciiTheme="minorBidi" w:hAnsiTheme="minorBidi"/>
          <w:color w:val="E36C0A" w:themeColor="accent6" w:themeShade="BF"/>
          <w:rtl/>
        </w:rPr>
        <w:t xml:space="preserve"> (וכ"</w:t>
      </w:r>
      <w:r w:rsidR="005D5266">
        <w:rPr>
          <w:rFonts w:asciiTheme="minorBidi" w:hAnsiTheme="minorBidi" w:hint="cs"/>
          <w:color w:val="E36C0A" w:themeColor="accent6" w:themeShade="BF"/>
          <w:rtl/>
        </w:rPr>
        <w:t>כ</w:t>
      </w:r>
      <w:r w:rsidRPr="00351B7D">
        <w:rPr>
          <w:rFonts w:asciiTheme="minorBidi" w:hAnsiTheme="minorBidi"/>
          <w:color w:val="E36C0A" w:themeColor="accent6" w:themeShade="BF"/>
          <w:rtl/>
        </w:rPr>
        <w:t xml:space="preserve"> בשו"ע</w:t>
      </w:r>
      <w:r w:rsidR="005D5266" w:rsidRPr="00021BB4">
        <w:rPr>
          <w:rStyle w:val="a7"/>
          <w:rFonts w:asciiTheme="minorBidi" w:hAnsiTheme="minorBidi"/>
          <w:color w:val="000000" w:themeColor="text1"/>
          <w:rtl/>
        </w:rPr>
        <w:footnoteReference w:id="2301"/>
      </w:r>
      <w:r w:rsidR="00AC652E">
        <w:rPr>
          <w:rFonts w:asciiTheme="minorBidi" w:hAnsiTheme="minorBidi" w:hint="cs"/>
          <w:color w:val="E36C0A" w:themeColor="accent6" w:themeShade="BF"/>
          <w:sz w:val="16"/>
          <w:szCs w:val="16"/>
          <w:rtl/>
        </w:rPr>
        <w:t xml:space="preserve"> </w:t>
      </w:r>
      <w:r w:rsidR="00AC652E" w:rsidRPr="00AC652E">
        <w:rPr>
          <w:rFonts w:asciiTheme="minorBidi" w:hAnsiTheme="minorBidi" w:hint="cs"/>
          <w:color w:val="000000" w:themeColor="text1"/>
          <w:sz w:val="16"/>
          <w:szCs w:val="16"/>
          <w:rtl/>
        </w:rPr>
        <w:t>[</w:t>
      </w:r>
      <w:r w:rsidR="00AC652E">
        <w:rPr>
          <w:rFonts w:asciiTheme="minorBidi" w:hAnsiTheme="minorBidi" w:hint="cs"/>
          <w:color w:val="000000" w:themeColor="text1"/>
          <w:sz w:val="16"/>
          <w:szCs w:val="16"/>
          <w:rtl/>
        </w:rPr>
        <w:t>סי' סו ס"ג</w:t>
      </w:r>
      <w:r w:rsidR="00AC652E" w:rsidRPr="00AC652E">
        <w:rPr>
          <w:rFonts w:asciiTheme="minorBidi" w:hAnsiTheme="minorBidi" w:hint="cs"/>
          <w:color w:val="000000" w:themeColor="text1"/>
          <w:sz w:val="16"/>
          <w:szCs w:val="16"/>
          <w:rtl/>
        </w:rPr>
        <w:t>]</w:t>
      </w:r>
      <w:r w:rsidRPr="00351B7D">
        <w:rPr>
          <w:rFonts w:asciiTheme="minorBidi" w:hAnsiTheme="minorBidi"/>
          <w:color w:val="E36C0A" w:themeColor="accent6" w:themeShade="BF"/>
          <w:rtl/>
        </w:rPr>
        <w:t>)</w:t>
      </w:r>
      <w:r>
        <w:rPr>
          <w:rFonts w:asciiTheme="minorBidi" w:hAnsiTheme="minorBidi" w:hint="cs"/>
          <w:color w:val="00B0F0"/>
          <w:rtl/>
        </w:rPr>
        <w:t xml:space="preserve"> </w:t>
      </w:r>
      <w:r w:rsidRPr="00FE07DB">
        <w:rPr>
          <w:rFonts w:asciiTheme="minorBidi" w:hAnsiTheme="minorBidi" w:hint="cs"/>
          <w:color w:val="00B0F0"/>
          <w:rtl/>
        </w:rPr>
        <w:t>(וכ"פ הרמ"א</w:t>
      </w:r>
      <w:r w:rsidR="00AC652E">
        <w:rPr>
          <w:rFonts w:asciiTheme="minorBidi" w:hAnsiTheme="minorBidi" w:hint="cs"/>
          <w:color w:val="000000" w:themeColor="text1"/>
          <w:sz w:val="16"/>
          <w:szCs w:val="16"/>
          <w:rtl/>
        </w:rPr>
        <w:t xml:space="preserve"> </w:t>
      </w:r>
      <w:r w:rsidR="00AC652E" w:rsidRPr="00AC652E">
        <w:rPr>
          <w:rFonts w:asciiTheme="minorBidi" w:hAnsiTheme="minorBidi" w:hint="cs"/>
          <w:color w:val="000000" w:themeColor="text1"/>
          <w:sz w:val="16"/>
          <w:szCs w:val="16"/>
          <w:rtl/>
        </w:rPr>
        <w:t>[</w:t>
      </w:r>
      <w:r w:rsidR="00AC652E">
        <w:rPr>
          <w:rFonts w:asciiTheme="minorBidi" w:hAnsiTheme="minorBidi" w:hint="cs"/>
          <w:color w:val="000000" w:themeColor="text1"/>
          <w:sz w:val="16"/>
          <w:szCs w:val="16"/>
          <w:rtl/>
        </w:rPr>
        <w:t>סי' סו ס"ג</w:t>
      </w:r>
      <w:r w:rsidR="00AC652E" w:rsidRPr="00AC652E">
        <w:rPr>
          <w:rFonts w:asciiTheme="minorBidi" w:hAnsiTheme="minorBidi" w:hint="cs"/>
          <w:color w:val="000000" w:themeColor="text1"/>
          <w:sz w:val="16"/>
          <w:szCs w:val="16"/>
          <w:rtl/>
        </w:rPr>
        <w:t>]</w:t>
      </w:r>
      <w:r w:rsidRPr="00FE07DB">
        <w:rPr>
          <w:rFonts w:asciiTheme="minorBidi" w:hAnsiTheme="minorBidi" w:hint="cs"/>
          <w:color w:val="00B0F0"/>
          <w:rtl/>
        </w:rPr>
        <w:t>)</w:t>
      </w:r>
    </w:p>
    <w:p w14:paraId="553F6EAB" w14:textId="31E9873B" w:rsidR="00CF79A0" w:rsidRPr="00423E24" w:rsidRDefault="00CF79A0" w:rsidP="00423E24">
      <w:pPr>
        <w:rPr>
          <w:rFonts w:asciiTheme="minorBidi" w:hAnsiTheme="minorBidi"/>
          <w:u w:val="single"/>
        </w:rPr>
      </w:pPr>
      <w:r w:rsidRPr="00423E24">
        <w:rPr>
          <w:rFonts w:asciiTheme="minorBidi" w:hAnsiTheme="minorBidi" w:hint="cs"/>
          <w:u w:val="single"/>
          <w:rtl/>
        </w:rPr>
        <w:t xml:space="preserve">אשה </w:t>
      </w:r>
      <w:r w:rsidR="00423E24" w:rsidRPr="00423E24">
        <w:rPr>
          <w:rFonts w:asciiTheme="minorBidi" w:hAnsiTheme="minorBidi" w:hint="cs"/>
          <w:u w:val="single"/>
          <w:rtl/>
        </w:rPr>
        <w:t>שמחלה כתובתה וטוענת</w:t>
      </w:r>
      <w:r w:rsidR="003120FE" w:rsidRPr="00423E24">
        <w:rPr>
          <w:rFonts w:asciiTheme="minorBidi" w:hAnsiTheme="minorBidi" w:hint="cs"/>
          <w:u w:val="single"/>
          <w:rtl/>
        </w:rPr>
        <w:t xml:space="preserve"> אח"כ שמחלה כדי לעשות נחת רוח לבעלה:</w:t>
      </w:r>
    </w:p>
    <w:p w14:paraId="61C4D7D7" w14:textId="77777777" w:rsidR="003120FE" w:rsidRDefault="00CF79A0" w:rsidP="003120FE">
      <w:pPr>
        <w:pStyle w:val="ab"/>
        <w:numPr>
          <w:ilvl w:val="0"/>
          <w:numId w:val="63"/>
        </w:numPr>
        <w:rPr>
          <w:rFonts w:asciiTheme="minorBidi" w:hAnsiTheme="minorBidi"/>
        </w:rPr>
      </w:pPr>
      <w:r>
        <w:rPr>
          <w:rFonts w:cs="Arial" w:hint="cs"/>
          <w:rtl/>
        </w:rPr>
        <w:t xml:space="preserve">הה"מ </w:t>
      </w:r>
      <w:r>
        <w:rPr>
          <w:rFonts w:cs="Arial" w:hint="cs"/>
          <w:sz w:val="16"/>
          <w:szCs w:val="16"/>
          <w:rtl/>
        </w:rPr>
        <w:t>(שם)</w:t>
      </w:r>
      <w:r>
        <w:rPr>
          <w:rFonts w:cs="Arial" w:hint="cs"/>
          <w:rtl/>
        </w:rPr>
        <w:t xml:space="preserve">- </w:t>
      </w:r>
      <w:r w:rsidRPr="00CB14E9">
        <w:rPr>
          <w:rFonts w:cs="Arial"/>
          <w:rtl/>
        </w:rPr>
        <w:t>כבר העלו הרמב"ן והרשב"א ז"ל דמוחלת עיקר כתובה אינה יכולה לטעון נחת רוח עשיתי לבעלי</w:t>
      </w:r>
      <w:r>
        <w:rPr>
          <w:rFonts w:cs="Arial" w:hint="cs"/>
          <w:rtl/>
        </w:rPr>
        <w:t>,</w:t>
      </w:r>
      <w:r w:rsidRPr="00CB14E9">
        <w:rPr>
          <w:rFonts w:cs="Arial"/>
          <w:rtl/>
        </w:rPr>
        <w:t xml:space="preserve"> שהרי כל הנשים יש להן כתובה ולא תהיה לה איבה אם לא תמחול</w:t>
      </w:r>
      <w:r>
        <w:rPr>
          <w:rFonts w:cs="Arial" w:hint="cs"/>
          <w:rtl/>
        </w:rPr>
        <w:t>,</w:t>
      </w:r>
      <w:r w:rsidRPr="00CB14E9">
        <w:rPr>
          <w:rFonts w:cs="Arial"/>
          <w:rtl/>
        </w:rPr>
        <w:t xml:space="preserve"> ואדרבה היא יכולה לומר לו שהוא נותן עיניו לגרשה כשמבקש שתמחול כתובתה מ</w:t>
      </w:r>
      <w:r>
        <w:rPr>
          <w:rFonts w:cs="Arial" w:hint="cs"/>
          <w:rtl/>
        </w:rPr>
        <w:t>ש</w:t>
      </w:r>
      <w:r w:rsidRPr="00CB14E9">
        <w:rPr>
          <w:rFonts w:cs="Arial"/>
          <w:rtl/>
        </w:rPr>
        <w:t>א</w:t>
      </w:r>
      <w:r>
        <w:rPr>
          <w:rFonts w:cs="Arial" w:hint="cs"/>
          <w:rtl/>
        </w:rPr>
        <w:t>"</w:t>
      </w:r>
      <w:r w:rsidRPr="00CB14E9">
        <w:rPr>
          <w:rFonts w:cs="Arial"/>
          <w:rtl/>
        </w:rPr>
        <w:t>כ בנכסי צאן ברזל כמו שיתבאר בפכ"ב וזה דעת רבינו</w:t>
      </w:r>
      <w:r>
        <w:rPr>
          <w:rFonts w:asciiTheme="minorBidi" w:hAnsiTheme="minorBidi" w:hint="cs"/>
          <w:rtl/>
        </w:rPr>
        <w:t>.</w:t>
      </w:r>
    </w:p>
    <w:p w14:paraId="138F4555" w14:textId="6B7C6778" w:rsidR="00B37293" w:rsidRPr="003120FE" w:rsidRDefault="003120FE" w:rsidP="003120FE">
      <w:pPr>
        <w:ind w:left="360"/>
        <w:rPr>
          <w:rFonts w:asciiTheme="minorBidi" w:hAnsiTheme="minorBidi"/>
          <w:u w:val="dotted"/>
        </w:rPr>
      </w:pPr>
      <w:r w:rsidRPr="003120FE">
        <w:rPr>
          <w:rFonts w:asciiTheme="minorBidi" w:hAnsiTheme="minorBidi" w:hint="cs"/>
          <w:u w:val="dotted"/>
          <w:rtl/>
        </w:rPr>
        <w:t xml:space="preserve">ומה הדין אם יש עדים </w:t>
      </w:r>
      <w:r w:rsidR="00B37293" w:rsidRPr="003120FE">
        <w:rPr>
          <w:rFonts w:asciiTheme="minorBidi" w:hAnsiTheme="minorBidi" w:hint="cs"/>
          <w:u w:val="dotted"/>
          <w:rtl/>
        </w:rPr>
        <w:t xml:space="preserve">שמחלה לבעלה </w:t>
      </w:r>
      <w:r w:rsidR="00CF79A0" w:rsidRPr="003120FE">
        <w:rPr>
          <w:rFonts w:asciiTheme="minorBidi" w:hAnsiTheme="minorBidi" w:hint="cs"/>
          <w:u w:val="dotted"/>
          <w:rtl/>
        </w:rPr>
        <w:t>כתובתה כיון שהכריח אותה למחול:</w:t>
      </w:r>
    </w:p>
    <w:p w14:paraId="679E2155" w14:textId="5E6DCEB8" w:rsidR="00B37293" w:rsidRPr="00B37293" w:rsidRDefault="00392DBB" w:rsidP="00B37293">
      <w:pPr>
        <w:pStyle w:val="ab"/>
        <w:numPr>
          <w:ilvl w:val="0"/>
          <w:numId w:val="63"/>
        </w:numPr>
        <w:rPr>
          <w:rFonts w:asciiTheme="minorBidi" w:hAnsiTheme="minorBidi"/>
        </w:rPr>
      </w:pPr>
      <w:r w:rsidRPr="00B37293">
        <w:rPr>
          <w:rFonts w:cs="Arial"/>
          <w:rtl/>
        </w:rPr>
        <w:t xml:space="preserve">רשב"א </w:t>
      </w:r>
      <w:r w:rsidRPr="00B37293">
        <w:rPr>
          <w:rFonts w:cs="Arial"/>
          <w:sz w:val="16"/>
          <w:szCs w:val="16"/>
          <w:rtl/>
        </w:rPr>
        <w:t>(ח"א סי</w:t>
      </w:r>
      <w:r w:rsidR="00B37293" w:rsidRPr="00B37293">
        <w:rPr>
          <w:rFonts w:cs="Arial" w:hint="cs"/>
          <w:sz w:val="16"/>
          <w:szCs w:val="16"/>
          <w:rtl/>
        </w:rPr>
        <w:t>'</w:t>
      </w:r>
      <w:r w:rsidRPr="00B37293">
        <w:rPr>
          <w:rFonts w:cs="Arial"/>
          <w:sz w:val="16"/>
          <w:szCs w:val="16"/>
          <w:rtl/>
        </w:rPr>
        <w:t xml:space="preserve"> תתפג</w:t>
      </w:r>
      <w:r w:rsidR="00B37293" w:rsidRPr="00B37293">
        <w:rPr>
          <w:rFonts w:cs="Arial" w:hint="cs"/>
          <w:sz w:val="16"/>
          <w:szCs w:val="16"/>
          <w:rtl/>
        </w:rPr>
        <w:t>)</w:t>
      </w:r>
      <w:r w:rsidR="00B37293">
        <w:rPr>
          <w:rFonts w:cs="Arial" w:hint="cs"/>
          <w:rtl/>
        </w:rPr>
        <w:t>-</w:t>
      </w:r>
      <w:r w:rsidR="00B37293" w:rsidRPr="00B37293">
        <w:rPr>
          <w:rtl/>
        </w:rPr>
        <w:t xml:space="preserve"> </w:t>
      </w:r>
      <w:r w:rsidR="00B37293" w:rsidRPr="00B37293">
        <w:rPr>
          <w:rFonts w:cs="Arial"/>
          <w:rtl/>
        </w:rPr>
        <w:t>שאלת</w:t>
      </w:r>
      <w:r w:rsidR="00543C43">
        <w:rPr>
          <w:rFonts w:cs="Arial" w:hint="cs"/>
          <w:rtl/>
        </w:rPr>
        <w:t>:</w:t>
      </w:r>
      <w:r w:rsidR="00B37293" w:rsidRPr="00B37293">
        <w:rPr>
          <w:rFonts w:cs="Arial"/>
          <w:rtl/>
        </w:rPr>
        <w:t xml:space="preserve"> אשת איש שהיה בעלה מתקוטט עמה כדי שתמחול לו מקצת כתובתה. והוציאה מביתו ונתפייסה ומחלה כתובתה כדי שתשב עמו בשלום. ולא מסרה מודעא על המחילה. ולזמן באתה לגבות כתובתה ותבעה כולה ואמרה נחת רוח עשיתי לבעלי. </w:t>
      </w:r>
      <w:r w:rsidR="00543C43">
        <w:rPr>
          <w:rFonts w:cs="Arial" w:hint="cs"/>
          <w:rtl/>
        </w:rPr>
        <w:t xml:space="preserve">     תשובה: </w:t>
      </w:r>
      <w:r w:rsidR="00B37293" w:rsidRPr="00B37293">
        <w:rPr>
          <w:rFonts w:cs="Arial"/>
          <w:rtl/>
        </w:rPr>
        <w:t>אינה צריכה למסור מודעא לפי שהדבר מראה בעצמו שאנוסה היתה. והא דאמר בכתובות פרק נערה שנפתתה (ע</w:t>
      </w:r>
      <w:r w:rsidR="00B37293">
        <w:rPr>
          <w:rFonts w:cs="Arial" w:hint="cs"/>
          <w:rtl/>
        </w:rPr>
        <w:t>.</w:t>
      </w:r>
      <w:r w:rsidR="00B37293" w:rsidRPr="00B37293">
        <w:rPr>
          <w:rFonts w:cs="Arial"/>
          <w:rtl/>
        </w:rPr>
        <w:t>) בעי רבא מוכרת כתובתה לבעלה כמוכרת לאחרים דמי או כמוחלת לבעלה דמי? אלמא מוחלת כתובתה לבעלה מעשיה קיימין. לא היא. דהתם בשיש עדים שידעו שמחלה מרצונה בלא שום אונס</w:t>
      </w:r>
      <w:r w:rsidR="00543C43">
        <w:rPr>
          <w:rFonts w:cs="Arial" w:hint="cs"/>
          <w:rtl/>
        </w:rPr>
        <w:t>,</w:t>
      </w:r>
      <w:r w:rsidR="00B37293" w:rsidRPr="00B37293">
        <w:rPr>
          <w:rFonts w:cs="Arial"/>
          <w:rtl/>
        </w:rPr>
        <w:t xml:space="preserve"> או שמודה. דכיון שמוחלת כתובתה לבעלה אינה אלא כמסלקת שעבודה מעליו ומוחלת לו אחריותה מה שעשתה עשוי. ולא שייך בכי הא טענת נחת רוח. וכן כתב הר"מ במז"ל פי"ז מהלכות אישות. ומיהו דוקא במוחלת שלא מחמת אונס ידוע. אבל אם נאנסה ומחלה ויש לה עדים על האונס כגון זה האונס המחילה בטלה. וכל שיש ספק בידו לעשות אותו אונס ומפחידה הרי זה אונס. ולא אמרינן בכי הא עביד איניש דגזים ולא עביד. וזה פשוט.</w:t>
      </w:r>
      <w:r w:rsidR="00B37293" w:rsidRPr="005D5266">
        <w:rPr>
          <w:rFonts w:cs="Arial"/>
          <w:color w:val="00B0F0"/>
          <w:rtl/>
        </w:rPr>
        <w:t xml:space="preserve"> </w:t>
      </w:r>
      <w:r w:rsidR="005D5266" w:rsidRPr="005D5266">
        <w:rPr>
          <w:rFonts w:asciiTheme="minorBidi" w:hAnsiTheme="minorBidi" w:hint="cs"/>
          <w:color w:val="00B0F0"/>
          <w:rtl/>
        </w:rPr>
        <w:t>(וכ"פ הרמ"א)</w:t>
      </w:r>
    </w:p>
    <w:p w14:paraId="7E9A7D84"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7CE36A1" w14:textId="1F998AF5" w:rsidR="00392DBB" w:rsidRDefault="00392DBB" w:rsidP="00392DBB">
      <w:pPr>
        <w:rPr>
          <w:rFonts w:cs="Arial"/>
          <w:sz w:val="18"/>
          <w:szCs w:val="18"/>
          <w:rtl/>
        </w:rPr>
      </w:pPr>
      <w:r>
        <w:rPr>
          <w:rFonts w:cs="Arial"/>
          <w:rtl/>
        </w:rPr>
        <w:t>המוחלת כתובתה</w:t>
      </w:r>
      <w:r w:rsidR="005C6D52">
        <w:rPr>
          <w:rStyle w:val="a7"/>
          <w:rFonts w:cs="Arial"/>
          <w:rtl/>
        </w:rPr>
        <w:footnoteReference w:id="2302"/>
      </w:r>
      <w:r>
        <w:rPr>
          <w:rFonts w:cs="Arial"/>
          <w:rtl/>
        </w:rPr>
        <w:t xml:space="preserve"> אינה צריכה לא קנין ולא עדים, והוא שיהיו דברים שהדעת סומכת עליהם ולא יהיו דברי שחוק והיתול או דברי תימה, אלא בדעת נכונה. </w:t>
      </w:r>
      <w:r w:rsidRPr="003D1481">
        <w:rPr>
          <w:rFonts w:cs="Arial"/>
          <w:sz w:val="18"/>
          <w:szCs w:val="18"/>
          <w:rtl/>
        </w:rPr>
        <w:t>הגה: אנסה למחול, כגון שהיה מתקוטט עמה תמיד ומחלה לו כדי שתשב עמו בשלוה, מחילתה בטילה אע</w:t>
      </w:r>
      <w:r w:rsidR="005D5266">
        <w:rPr>
          <w:rFonts w:cs="Arial" w:hint="cs"/>
          <w:sz w:val="18"/>
          <w:szCs w:val="18"/>
          <w:rtl/>
        </w:rPr>
        <w:t>"</w:t>
      </w:r>
      <w:r w:rsidRPr="003D1481">
        <w:rPr>
          <w:rFonts w:cs="Arial"/>
          <w:sz w:val="18"/>
          <w:szCs w:val="18"/>
          <w:rtl/>
        </w:rPr>
        <w:t xml:space="preserve">פ שלא מסרה מודעא (רשב"א). </w:t>
      </w:r>
    </w:p>
    <w:p w14:paraId="341DCE0D" w14:textId="77777777" w:rsidR="00CA3072" w:rsidRDefault="00CA3072" w:rsidP="00392DBB">
      <w:pPr>
        <w:rPr>
          <w:rtl/>
        </w:rPr>
      </w:pPr>
    </w:p>
    <w:p w14:paraId="17EFDF4D" w14:textId="36DF1282" w:rsidR="00392DBB" w:rsidRDefault="00392DBB" w:rsidP="000F64D0">
      <w:pPr>
        <w:pStyle w:val="2"/>
        <w:rPr>
          <w:rtl/>
        </w:rPr>
      </w:pPr>
      <w:r>
        <w:rPr>
          <w:rtl/>
        </w:rPr>
        <w:t>סעיף ו</w:t>
      </w:r>
      <w:r>
        <w:rPr>
          <w:rFonts w:hint="cs"/>
          <w:rtl/>
        </w:rPr>
        <w:t>:</w:t>
      </w:r>
      <w:r w:rsidR="00D06F80">
        <w:rPr>
          <w:rFonts w:hint="cs"/>
          <w:rtl/>
        </w:rPr>
        <w:t xml:space="preserve"> יורש מוחל כתובת אמו.</w:t>
      </w:r>
    </w:p>
    <w:p w14:paraId="191DFA26" w14:textId="043DDC74" w:rsidR="00CA3072" w:rsidRDefault="00AB1A39" w:rsidP="00CA3072">
      <w:pPr>
        <w:rPr>
          <w:rtl/>
        </w:rPr>
      </w:pPr>
      <w:r w:rsidRPr="00EE6B5B">
        <w:rPr>
          <w:rFonts w:cs="Arial" w:hint="cs"/>
          <w:b/>
          <w:bCs/>
          <w:rtl/>
        </w:rPr>
        <w:t xml:space="preserve">כתובות </w:t>
      </w:r>
      <w:r w:rsidR="00EE6B5B">
        <w:rPr>
          <w:rFonts w:cs="Arial" w:hint="cs"/>
          <w:b/>
          <w:bCs/>
          <w:sz w:val="16"/>
          <w:szCs w:val="16"/>
          <w:rtl/>
        </w:rPr>
        <w:t>(פ' הכותב)</w:t>
      </w:r>
      <w:r w:rsidR="00EE6B5B">
        <w:rPr>
          <w:rFonts w:cs="Arial" w:hint="cs"/>
          <w:b/>
          <w:bCs/>
          <w:rtl/>
        </w:rPr>
        <w:t xml:space="preserve"> </w:t>
      </w:r>
      <w:r w:rsidR="00EE6B5B" w:rsidRPr="00EE6B5B">
        <w:rPr>
          <w:rFonts w:cs="Arial" w:hint="cs"/>
          <w:b/>
          <w:bCs/>
          <w:rtl/>
        </w:rPr>
        <w:t>פה</w:t>
      </w:r>
      <w:r w:rsidR="00543C43">
        <w:rPr>
          <w:rStyle w:val="a7"/>
          <w:rFonts w:cs="Arial"/>
          <w:b/>
          <w:bCs/>
          <w:rtl/>
        </w:rPr>
        <w:footnoteReference w:id="2303"/>
      </w:r>
      <w:r w:rsidR="00EE6B5B" w:rsidRPr="00EE6B5B">
        <w:rPr>
          <w:rFonts w:cs="Arial" w:hint="cs"/>
          <w:b/>
          <w:bCs/>
          <w:rtl/>
        </w:rPr>
        <w:t xml:space="preserve"> ע"ב: </w:t>
      </w:r>
      <w:r w:rsidRPr="00EE6B5B">
        <w:rPr>
          <w:rFonts w:cs="Arial"/>
          <w:u w:val="single"/>
          <w:rtl/>
        </w:rPr>
        <w:t>דאמר שמואל</w:t>
      </w:r>
      <w:r w:rsidRPr="00AB1A39">
        <w:rPr>
          <w:rFonts w:cs="Arial"/>
          <w:rtl/>
        </w:rPr>
        <w:t>: המוכר שטר חוב לחבירו וחזר ומחלו - מחול, ואפילו יורש מוחל</w:t>
      </w:r>
      <w:r>
        <w:rPr>
          <w:rFonts w:cs="Arial" w:hint="cs"/>
          <w:rtl/>
        </w:rPr>
        <w:t>..</w:t>
      </w:r>
      <w:r w:rsidRPr="00AB1A39">
        <w:rPr>
          <w:rFonts w:cs="Arial"/>
          <w:rtl/>
        </w:rPr>
        <w:t xml:space="preserve">. קריבתיה דרב נחמן זבינתה לכתובתה בטובת הנאה, איגרשה ושכיבה, אתו קא תבעי לה לברתה, </w:t>
      </w:r>
      <w:r w:rsidRPr="00F851B0">
        <w:rPr>
          <w:rFonts w:cs="Arial"/>
          <w:u w:val="single"/>
          <w:rtl/>
        </w:rPr>
        <w:t>אמר להו רב נחמן</w:t>
      </w:r>
      <w:r w:rsidRPr="00AB1A39">
        <w:rPr>
          <w:rFonts w:cs="Arial"/>
          <w:rtl/>
        </w:rPr>
        <w:t>: ליכא דליסבא לה עצה,</w:t>
      </w:r>
      <w:r w:rsidR="00EE6B5B" w:rsidRPr="00EE6B5B">
        <w:rPr>
          <w:rtl/>
        </w:rPr>
        <w:t xml:space="preserve"> </w:t>
      </w:r>
      <w:r w:rsidR="00EE6B5B">
        <w:rPr>
          <w:rFonts w:hint="cs"/>
          <w:sz w:val="14"/>
          <w:szCs w:val="14"/>
          <w:rtl/>
        </w:rPr>
        <w:t xml:space="preserve">(פו.) </w:t>
      </w:r>
      <w:r w:rsidR="00EE6B5B" w:rsidRPr="00EE6B5B">
        <w:rPr>
          <w:rFonts w:cs="Arial"/>
          <w:rtl/>
        </w:rPr>
        <w:t>תיזיל ותיחלה לכתובתה דאמה לגבי אבוה, ותירתה מיניה. שמעה, אזלה אחילתה. אמר רב נחמן: עשינו עצמינו כעורכי הדיינין.</w:t>
      </w:r>
      <w:r w:rsidR="00EA3D54" w:rsidRPr="00EA3D54">
        <w:rPr>
          <w:rFonts w:cs="Arial" w:hint="cs"/>
          <w:sz w:val="16"/>
          <w:szCs w:val="16"/>
          <w:rtl/>
        </w:rPr>
        <w:t xml:space="preserve"> (</w:t>
      </w:r>
      <w:r w:rsidR="00EA3D54" w:rsidRPr="00EA3D54">
        <w:rPr>
          <w:rFonts w:cs="Arial"/>
          <w:sz w:val="16"/>
          <w:szCs w:val="16"/>
          <w:rtl/>
        </w:rPr>
        <w:t>ופירש רש"י אתו לקוחות וקא תבעי לברתה</w:t>
      </w:r>
      <w:r w:rsidR="00EA3D54" w:rsidRPr="00EA3D54">
        <w:rPr>
          <w:rFonts w:cs="Arial" w:hint="cs"/>
          <w:sz w:val="16"/>
          <w:szCs w:val="16"/>
          <w:rtl/>
        </w:rPr>
        <w:t xml:space="preserve"> -</w:t>
      </w:r>
      <w:r w:rsidR="00EA3D54" w:rsidRPr="00EA3D54">
        <w:rPr>
          <w:rFonts w:cs="Arial"/>
          <w:sz w:val="16"/>
          <w:szCs w:val="16"/>
          <w:rtl/>
        </w:rPr>
        <w:t xml:space="preserve"> הלוקח תבעה הבת לדין לגבות כתובת אמה מאביה</w:t>
      </w:r>
      <w:r w:rsidR="00EA3D54" w:rsidRPr="00EA3D54">
        <w:rPr>
          <w:rFonts w:cs="Arial" w:hint="cs"/>
          <w:sz w:val="16"/>
          <w:szCs w:val="16"/>
          <w:rtl/>
        </w:rPr>
        <w:t>.</w:t>
      </w:r>
      <w:r w:rsidR="00EA3D54" w:rsidRPr="00EA3D54">
        <w:rPr>
          <w:rFonts w:cs="Arial"/>
          <w:sz w:val="16"/>
          <w:szCs w:val="16"/>
          <w:rtl/>
        </w:rPr>
        <w:t xml:space="preserve"> וכתב הרא"ש (סי' י) ואין הלשון משמע כן</w:t>
      </w:r>
      <w:r w:rsidR="00EA3D54" w:rsidRPr="00EA3D54">
        <w:rPr>
          <w:rFonts w:cs="Arial" w:hint="cs"/>
          <w:sz w:val="16"/>
          <w:szCs w:val="16"/>
          <w:rtl/>
        </w:rPr>
        <w:t>,</w:t>
      </w:r>
      <w:r w:rsidR="00EA3D54" w:rsidRPr="00EA3D54">
        <w:rPr>
          <w:rFonts w:cs="Arial"/>
          <w:sz w:val="16"/>
          <w:szCs w:val="16"/>
          <w:rtl/>
        </w:rPr>
        <w:t xml:space="preserve"> דמה לו ללוקח אצל הבת</w:t>
      </w:r>
      <w:r w:rsidR="00EA3D54" w:rsidRPr="00EA3D54">
        <w:rPr>
          <w:rFonts w:cs="Arial" w:hint="cs"/>
          <w:sz w:val="16"/>
          <w:szCs w:val="16"/>
          <w:rtl/>
        </w:rPr>
        <w:t>.</w:t>
      </w:r>
      <w:r w:rsidR="00EA3D54" w:rsidRPr="00EA3D54">
        <w:rPr>
          <w:rFonts w:cs="Arial"/>
          <w:sz w:val="16"/>
          <w:szCs w:val="16"/>
          <w:rtl/>
        </w:rPr>
        <w:t xml:space="preserve"> הילכך הפירוש הנכון הוא שמת גם האב ואין להם יורש אלא זו הבת</w:t>
      </w:r>
      <w:r w:rsidR="00EA3D54" w:rsidRPr="00EA3D54">
        <w:rPr>
          <w:rFonts w:cs="Arial" w:hint="cs"/>
          <w:sz w:val="16"/>
          <w:szCs w:val="16"/>
          <w:rtl/>
        </w:rPr>
        <w:t>,</w:t>
      </w:r>
      <w:r w:rsidR="00EA3D54" w:rsidRPr="00EA3D54">
        <w:rPr>
          <w:rFonts w:cs="Arial"/>
          <w:sz w:val="16"/>
          <w:szCs w:val="16"/>
          <w:rtl/>
        </w:rPr>
        <w:t xml:space="preserve"> ואשמועינן תלמודא דאף בכה"ג שהמחילה היה לעצמה יכולה למחול לאביה והיא זוכה במקום אביה עכ"ל. וסתם רבינו דבריו כדעת הרא"ש</w:t>
      </w:r>
      <w:r w:rsidR="00EA3D54" w:rsidRPr="00EA3D54">
        <w:rPr>
          <w:rFonts w:cs="Arial" w:hint="cs"/>
          <w:sz w:val="16"/>
          <w:szCs w:val="16"/>
          <w:rtl/>
        </w:rPr>
        <w:t>, ב"י)</w:t>
      </w:r>
    </w:p>
    <w:p w14:paraId="7660731A" w14:textId="573BF582" w:rsidR="00F851B0" w:rsidRPr="00D06F80" w:rsidRDefault="00D06F80" w:rsidP="00CA3072">
      <w:pPr>
        <w:rPr>
          <w:u w:val="single"/>
          <w:rtl/>
        </w:rPr>
      </w:pPr>
      <w:r w:rsidRPr="00D06F80">
        <w:rPr>
          <w:rFonts w:hint="cs"/>
          <w:u w:val="single"/>
          <w:rtl/>
        </w:rPr>
        <w:t>יורש מוחל כתובת אמו:</w:t>
      </w:r>
    </w:p>
    <w:p w14:paraId="39B1EB35" w14:textId="1E88C6CD" w:rsidR="00392DBB" w:rsidRPr="003D1481" w:rsidRDefault="00392DBB" w:rsidP="00EA3D54">
      <w:pPr>
        <w:pStyle w:val="ab"/>
        <w:numPr>
          <w:ilvl w:val="0"/>
          <w:numId w:val="63"/>
        </w:numPr>
        <w:rPr>
          <w:rtl/>
        </w:rPr>
      </w:pPr>
      <w:r>
        <w:rPr>
          <w:rFonts w:cs="Arial" w:hint="cs"/>
          <w:rtl/>
        </w:rPr>
        <w:t xml:space="preserve">טור- </w:t>
      </w:r>
      <w:r w:rsidRPr="00AB6908">
        <w:rPr>
          <w:rFonts w:cs="Arial"/>
          <w:rtl/>
        </w:rPr>
        <w:t xml:space="preserve">המוכר שטר חוב לחבירו וחזר ומחלו </w:t>
      </w:r>
      <w:r w:rsidR="00143DD8">
        <w:rPr>
          <w:rFonts w:cs="Arial" w:hint="cs"/>
          <w:rtl/>
        </w:rPr>
        <w:t xml:space="preserve">- </w:t>
      </w:r>
      <w:r w:rsidRPr="00AB6908">
        <w:rPr>
          <w:rFonts w:cs="Arial"/>
          <w:rtl/>
        </w:rPr>
        <w:t>מחול</w:t>
      </w:r>
      <w:r w:rsidR="00143DD8">
        <w:rPr>
          <w:rFonts w:cs="Arial" w:hint="cs"/>
          <w:rtl/>
        </w:rPr>
        <w:t>,</w:t>
      </w:r>
      <w:r w:rsidRPr="00AB6908">
        <w:rPr>
          <w:rFonts w:cs="Arial"/>
          <w:rtl/>
        </w:rPr>
        <w:t xml:space="preserve"> ואפי</w:t>
      </w:r>
      <w:r w:rsidR="00143DD8">
        <w:rPr>
          <w:rFonts w:cs="Arial" w:hint="cs"/>
          <w:rtl/>
        </w:rPr>
        <w:t>לו</w:t>
      </w:r>
      <w:r w:rsidRPr="00AB6908">
        <w:rPr>
          <w:rFonts w:cs="Arial"/>
          <w:rtl/>
        </w:rPr>
        <w:t xml:space="preserve"> יורש מוחל</w:t>
      </w:r>
      <w:r w:rsidR="00143DD8">
        <w:rPr>
          <w:rFonts w:cs="Arial" w:hint="cs"/>
          <w:rtl/>
        </w:rPr>
        <w:t>.</w:t>
      </w:r>
      <w:r w:rsidRPr="00AB6908">
        <w:rPr>
          <w:rFonts w:cs="Arial"/>
          <w:rtl/>
        </w:rPr>
        <w:t xml:space="preserve"> לפיכך מכרה כתובתה ומת הבעל</w:t>
      </w:r>
      <w:r w:rsidR="00143DD8">
        <w:rPr>
          <w:rFonts w:cs="Arial" w:hint="cs"/>
          <w:rtl/>
        </w:rPr>
        <w:t>,</w:t>
      </w:r>
      <w:r w:rsidRPr="00AB6908">
        <w:rPr>
          <w:rFonts w:cs="Arial"/>
          <w:rtl/>
        </w:rPr>
        <w:t xml:space="preserve"> ואח"כ מתה </w:t>
      </w:r>
      <w:r w:rsidR="00F5071B">
        <w:rPr>
          <w:rFonts w:cs="Arial" w:hint="cs"/>
          <w:rtl/>
        </w:rPr>
        <w:t xml:space="preserve">- </w:t>
      </w:r>
      <w:r w:rsidRPr="00AB6908">
        <w:rPr>
          <w:rFonts w:cs="Arial"/>
          <w:rtl/>
        </w:rPr>
        <w:t>בנה</w:t>
      </w:r>
      <w:r w:rsidR="00143DD8">
        <w:rPr>
          <w:rFonts w:cs="Arial" w:hint="cs"/>
          <w:rtl/>
        </w:rPr>
        <w:t xml:space="preserve"> </w:t>
      </w:r>
      <w:r w:rsidRPr="00AB6908">
        <w:rPr>
          <w:rFonts w:cs="Arial"/>
          <w:rtl/>
        </w:rPr>
        <w:t>יכול למחול והמכר בטל</w:t>
      </w:r>
      <w:r w:rsidR="00F5071B">
        <w:rPr>
          <w:rFonts w:cs="Arial" w:hint="cs"/>
          <w:rtl/>
        </w:rPr>
        <w:t>.</w:t>
      </w:r>
      <w:r w:rsidRPr="00AB6908">
        <w:rPr>
          <w:rFonts w:cs="Arial"/>
          <w:rtl/>
        </w:rPr>
        <w:t xml:space="preserve"> ואפילו אין לה יורש אחר אלא זה הבן ונמצא פרעון הכתובה עליו </w:t>
      </w:r>
      <w:r w:rsidR="00F5071B">
        <w:rPr>
          <w:rFonts w:cs="Arial" w:hint="cs"/>
          <w:rtl/>
        </w:rPr>
        <w:t xml:space="preserve">- </w:t>
      </w:r>
      <w:r w:rsidRPr="00AB6908">
        <w:rPr>
          <w:rFonts w:cs="Arial"/>
          <w:rtl/>
        </w:rPr>
        <w:t>יכול למחול לעצמו כדי לבטל המקח</w:t>
      </w:r>
      <w:r w:rsidR="00F5071B">
        <w:rPr>
          <w:rFonts w:cs="Arial" w:hint="cs"/>
          <w:rtl/>
        </w:rPr>
        <w:t>,</w:t>
      </w:r>
      <w:r w:rsidRPr="00AB6908">
        <w:rPr>
          <w:rFonts w:cs="Arial"/>
          <w:rtl/>
        </w:rPr>
        <w:t xml:space="preserve"> ויורש הכתוב</w:t>
      </w:r>
      <w:r w:rsidR="00F5071B">
        <w:rPr>
          <w:rFonts w:cs="Arial" w:hint="cs"/>
          <w:rtl/>
        </w:rPr>
        <w:t>ה</w:t>
      </w:r>
      <w:r w:rsidRPr="00AB6908">
        <w:rPr>
          <w:rFonts w:cs="Arial"/>
          <w:rtl/>
        </w:rPr>
        <w:t xml:space="preserve"> מכח אביו</w:t>
      </w:r>
      <w:r>
        <w:rPr>
          <w:rFonts w:cs="Arial" w:hint="cs"/>
          <w:rtl/>
        </w:rPr>
        <w:t>.</w:t>
      </w:r>
      <w:r w:rsidRPr="00AB6908">
        <w:rPr>
          <w:rFonts w:cs="Arial"/>
          <w:rtl/>
        </w:rPr>
        <w:t xml:space="preserve"> </w:t>
      </w:r>
      <w:r w:rsidR="00D06F80" w:rsidRPr="00351B7D">
        <w:rPr>
          <w:rFonts w:asciiTheme="minorBidi" w:hAnsiTheme="minorBidi"/>
          <w:color w:val="E36C0A" w:themeColor="accent6" w:themeShade="BF"/>
          <w:rtl/>
        </w:rPr>
        <w:t>(וכ"</w:t>
      </w:r>
      <w:r w:rsidR="00D06F80">
        <w:rPr>
          <w:rFonts w:asciiTheme="minorBidi" w:hAnsiTheme="minorBidi" w:hint="cs"/>
          <w:color w:val="E36C0A" w:themeColor="accent6" w:themeShade="BF"/>
          <w:rtl/>
        </w:rPr>
        <w:t>פ</w:t>
      </w:r>
      <w:r w:rsidR="00D06F80" w:rsidRPr="00351B7D">
        <w:rPr>
          <w:rFonts w:asciiTheme="minorBidi" w:hAnsiTheme="minorBidi"/>
          <w:color w:val="E36C0A" w:themeColor="accent6" w:themeShade="BF"/>
          <w:rtl/>
        </w:rPr>
        <w:t xml:space="preserve"> בשו"ע)</w:t>
      </w:r>
    </w:p>
    <w:p w14:paraId="7999206D"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27DDD14" w14:textId="77777777" w:rsidR="00392DBB" w:rsidRDefault="00392DBB" w:rsidP="00392DBB">
      <w:pPr>
        <w:rPr>
          <w:rtl/>
        </w:rPr>
      </w:pPr>
      <w:r>
        <w:rPr>
          <w:rFonts w:cs="Arial"/>
          <w:rtl/>
        </w:rPr>
        <w:t xml:space="preserve">המוכר שטר חוב לחבירו, וחזר ומחלו, מחול. ואפילו יורש מוחל. לפיכך מכרה כתובתה ומת הבעל ואחר כך מתה, בנה יכול למחול והמכר בטל. ואפילו אין לה יורש אחר אלא זה הבן ונמצא פרעון הכתובה עליו, יכול למחול לעצמו כדי לבטל המקח, ויורש הכתובה. </w:t>
      </w:r>
    </w:p>
    <w:p w14:paraId="3196F5E6" w14:textId="77777777" w:rsidR="00392DBB" w:rsidRDefault="00392DBB" w:rsidP="00392DBB">
      <w:pPr>
        <w:rPr>
          <w:rtl/>
        </w:rPr>
      </w:pPr>
    </w:p>
    <w:p w14:paraId="076443CA" w14:textId="56ACCFE8" w:rsidR="00392DBB" w:rsidRDefault="00392DBB" w:rsidP="000F64D0">
      <w:pPr>
        <w:pStyle w:val="2"/>
        <w:rPr>
          <w:rtl/>
        </w:rPr>
      </w:pPr>
      <w:r>
        <w:rPr>
          <w:rtl/>
        </w:rPr>
        <w:t>סעיף ז</w:t>
      </w:r>
      <w:r>
        <w:rPr>
          <w:rFonts w:hint="cs"/>
          <w:rtl/>
        </w:rPr>
        <w:t>:</w:t>
      </w:r>
      <w:r w:rsidR="00FE3060">
        <w:rPr>
          <w:rFonts w:hint="cs"/>
          <w:rtl/>
        </w:rPr>
        <w:t xml:space="preserve"> יורש מוכר כתובתה אמו.</w:t>
      </w:r>
    </w:p>
    <w:p w14:paraId="55CA2063" w14:textId="77777777" w:rsidR="00056BE1" w:rsidRDefault="00056BE1" w:rsidP="00056BE1">
      <w:pPr>
        <w:rPr>
          <w:rFonts w:cs="Arial"/>
          <w:rtl/>
        </w:rPr>
      </w:pPr>
      <w:r w:rsidRPr="00244C29">
        <w:rPr>
          <w:rFonts w:cs="Arial"/>
          <w:b/>
          <w:bCs/>
          <w:rtl/>
        </w:rPr>
        <w:t xml:space="preserve">כתובות </w:t>
      </w:r>
      <w:r w:rsidRPr="00244C29">
        <w:rPr>
          <w:rFonts w:cs="Arial" w:hint="cs"/>
          <w:b/>
          <w:bCs/>
          <w:sz w:val="16"/>
          <w:szCs w:val="16"/>
          <w:rtl/>
        </w:rPr>
        <w:t>(</w:t>
      </w:r>
      <w:r w:rsidRPr="00244C29">
        <w:rPr>
          <w:rFonts w:cs="Arial"/>
          <w:b/>
          <w:bCs/>
          <w:sz w:val="16"/>
          <w:szCs w:val="16"/>
          <w:rtl/>
        </w:rPr>
        <w:t>פ</w:t>
      </w:r>
      <w:r w:rsidRPr="00244C29">
        <w:rPr>
          <w:rFonts w:cs="Arial" w:hint="cs"/>
          <w:b/>
          <w:bCs/>
          <w:sz w:val="16"/>
          <w:szCs w:val="16"/>
          <w:rtl/>
        </w:rPr>
        <w:t>'</w:t>
      </w:r>
      <w:r w:rsidRPr="00244C29">
        <w:rPr>
          <w:rFonts w:cs="Arial"/>
          <w:b/>
          <w:bCs/>
          <w:sz w:val="16"/>
          <w:szCs w:val="16"/>
          <w:rtl/>
        </w:rPr>
        <w:t xml:space="preserve"> מי שהיה נשוי</w:t>
      </w:r>
      <w:r w:rsidRPr="00244C29">
        <w:rPr>
          <w:rFonts w:cs="Arial" w:hint="cs"/>
          <w:b/>
          <w:bCs/>
          <w:sz w:val="16"/>
          <w:szCs w:val="16"/>
          <w:rtl/>
        </w:rPr>
        <w:t>)</w:t>
      </w:r>
      <w:r w:rsidRPr="00244C29">
        <w:rPr>
          <w:rFonts w:cs="Arial" w:hint="cs"/>
          <w:b/>
          <w:bCs/>
        </w:rPr>
        <w:t xml:space="preserve"> </w:t>
      </w:r>
      <w:r w:rsidRPr="00244C29">
        <w:rPr>
          <w:rFonts w:cs="Arial"/>
          <w:b/>
          <w:bCs/>
          <w:rtl/>
        </w:rPr>
        <w:t>צא</w:t>
      </w:r>
      <w:r w:rsidRPr="00244C29">
        <w:rPr>
          <w:rFonts w:cs="Arial" w:hint="cs"/>
          <w:b/>
          <w:bCs/>
          <w:rtl/>
        </w:rPr>
        <w:t xml:space="preserve"> ע"ב</w:t>
      </w:r>
      <w:r w:rsidRPr="00244C29">
        <w:rPr>
          <w:rFonts w:cs="Arial"/>
          <w:b/>
          <w:bCs/>
          <w:rtl/>
        </w:rPr>
        <w:t>:</w:t>
      </w:r>
      <w:r w:rsidRPr="00AB6908">
        <w:rPr>
          <w:rFonts w:cs="Arial"/>
          <w:rtl/>
        </w:rPr>
        <w:t xml:space="preserve"> </w:t>
      </w:r>
      <w:r w:rsidRPr="00056BE1">
        <w:rPr>
          <w:rFonts w:cs="Arial"/>
          <w:rtl/>
        </w:rPr>
        <w:t xml:space="preserve">ההוא גברא דזבנה לכתובתה דאימיה בטובת הנאה, וא"ל: אי אתיא אם ומערערא לא מפצינא לך; שכיבא אימיה ולא איערערא, ואתא איהו וקא מערער; </w:t>
      </w:r>
      <w:r w:rsidRPr="00056BE1">
        <w:rPr>
          <w:rFonts w:cs="Arial"/>
          <w:u w:val="single"/>
          <w:rtl/>
        </w:rPr>
        <w:t>סבר רמי בר חמא למימר</w:t>
      </w:r>
      <w:r>
        <w:rPr>
          <w:rFonts w:cs="Arial" w:hint="cs"/>
          <w:rtl/>
        </w:rPr>
        <w:t>:</w:t>
      </w:r>
      <w:r w:rsidRPr="00056BE1">
        <w:rPr>
          <w:rFonts w:cs="Arial"/>
          <w:rtl/>
        </w:rPr>
        <w:t xml:space="preserve"> איהו במקום אימיה קאי</w:t>
      </w:r>
      <w:r>
        <w:rPr>
          <w:rFonts w:cs="Arial" w:hint="cs"/>
          <w:rtl/>
        </w:rPr>
        <w:t>.</w:t>
      </w:r>
      <w:r w:rsidRPr="00056BE1">
        <w:rPr>
          <w:rFonts w:cs="Arial"/>
          <w:rtl/>
        </w:rPr>
        <w:t xml:space="preserve"> </w:t>
      </w:r>
      <w:r w:rsidRPr="00056BE1">
        <w:rPr>
          <w:rFonts w:cs="Arial"/>
          <w:u w:val="single"/>
          <w:rtl/>
        </w:rPr>
        <w:t>א"ל רבא</w:t>
      </w:r>
      <w:r w:rsidRPr="00056BE1">
        <w:rPr>
          <w:rFonts w:cs="Arial"/>
          <w:rtl/>
        </w:rPr>
        <w:t>: נהי דאחריות דידה לא קביל עליה, אחריות דידיה מי לא קביל?</w:t>
      </w:r>
    </w:p>
    <w:p w14:paraId="1936D348" w14:textId="67C05F1A" w:rsidR="00D06F80" w:rsidRPr="00FE3060" w:rsidRDefault="00FE3060" w:rsidP="00D06F80">
      <w:pPr>
        <w:rPr>
          <w:u w:val="single"/>
          <w:rtl/>
        </w:rPr>
      </w:pPr>
      <w:r w:rsidRPr="00FE3060">
        <w:rPr>
          <w:rFonts w:hint="cs"/>
          <w:u w:val="single"/>
          <w:rtl/>
        </w:rPr>
        <w:t>יורש מוכר כתובתה אמו:</w:t>
      </w:r>
    </w:p>
    <w:p w14:paraId="2A989ECB" w14:textId="5579452B" w:rsidR="00392DBB" w:rsidRPr="003D1481" w:rsidRDefault="00392DBB" w:rsidP="001F1076">
      <w:pPr>
        <w:pStyle w:val="ab"/>
        <w:numPr>
          <w:ilvl w:val="0"/>
          <w:numId w:val="63"/>
        </w:numPr>
        <w:rPr>
          <w:rtl/>
        </w:rPr>
      </w:pPr>
      <w:r>
        <w:rPr>
          <w:rFonts w:cs="Arial" w:hint="cs"/>
          <w:rtl/>
        </w:rPr>
        <w:t xml:space="preserve">טור- </w:t>
      </w:r>
      <w:r w:rsidRPr="00AB6908">
        <w:rPr>
          <w:rFonts w:cs="Arial"/>
          <w:rtl/>
        </w:rPr>
        <w:t>בן שמכר כתובת אמו</w:t>
      </w:r>
      <w:r w:rsidR="00D06F80">
        <w:rPr>
          <w:rFonts w:cs="Arial" w:hint="cs"/>
          <w:rtl/>
        </w:rPr>
        <w:t>,</w:t>
      </w:r>
      <w:r w:rsidRPr="00AB6908">
        <w:rPr>
          <w:rFonts w:cs="Arial"/>
          <w:rtl/>
        </w:rPr>
        <w:t xml:space="preserve"> פי</w:t>
      </w:r>
      <w:r w:rsidR="00D06F80">
        <w:rPr>
          <w:rFonts w:cs="Arial" w:hint="cs"/>
          <w:rtl/>
        </w:rPr>
        <w:t>רוש</w:t>
      </w:r>
      <w:r w:rsidRPr="00AB6908">
        <w:rPr>
          <w:rFonts w:cs="Arial"/>
          <w:rtl/>
        </w:rPr>
        <w:t xml:space="preserve"> שמכרה בחיי אביו שאם ימות אביו ואח"כ תמות אמו ויורש הוא את כתובתה שיהיה הלוקח עומד במקומו ליקח אותה</w:t>
      </w:r>
      <w:r w:rsidR="00004953">
        <w:rPr>
          <w:rFonts w:cs="Arial" w:hint="cs"/>
          <w:rtl/>
        </w:rPr>
        <w:t>.</w:t>
      </w:r>
      <w:r w:rsidRPr="00AB6908">
        <w:rPr>
          <w:rFonts w:cs="Arial"/>
          <w:rtl/>
        </w:rPr>
        <w:t xml:space="preserve"> והתנה שאם תערער אמו על המקח שלא יסלקו מערעור</w:t>
      </w:r>
      <w:r w:rsidR="00FE3060">
        <w:rPr>
          <w:rFonts w:cs="Arial" w:hint="cs"/>
          <w:rtl/>
        </w:rPr>
        <w:t>.</w:t>
      </w:r>
      <w:r w:rsidRPr="00AB6908">
        <w:rPr>
          <w:rFonts w:cs="Arial"/>
          <w:rtl/>
        </w:rPr>
        <w:t xml:space="preserve"> ומתה ולא ערערה</w:t>
      </w:r>
      <w:r w:rsidR="00FE3060">
        <w:rPr>
          <w:rFonts w:cs="Arial" w:hint="cs"/>
          <w:rtl/>
        </w:rPr>
        <w:t>,</w:t>
      </w:r>
      <w:r w:rsidRPr="00AB6908">
        <w:rPr>
          <w:rFonts w:cs="Arial"/>
          <w:rtl/>
        </w:rPr>
        <w:t xml:space="preserve"> אינו יכול לומר אני במקום אמי וכמו שהיא היתה יכולה לערער על המקח גם אני מערער ואבטלנו</w:t>
      </w:r>
      <w:r w:rsidR="00FE3060">
        <w:rPr>
          <w:rFonts w:cs="Arial" w:hint="cs"/>
          <w:rtl/>
        </w:rPr>
        <w:t>,</w:t>
      </w:r>
      <w:r w:rsidRPr="00AB6908">
        <w:rPr>
          <w:rFonts w:cs="Arial"/>
          <w:rtl/>
        </w:rPr>
        <w:t xml:space="preserve"> שערעור של עצמו ודאי קבל על עצמו</w:t>
      </w:r>
      <w:r w:rsidR="00056BE1">
        <w:rPr>
          <w:rStyle w:val="a7"/>
          <w:rFonts w:cs="Arial"/>
          <w:rtl/>
        </w:rPr>
        <w:footnoteReference w:id="2304"/>
      </w:r>
      <w:r w:rsidR="00FE3060">
        <w:rPr>
          <w:rFonts w:cs="Arial" w:hint="cs"/>
          <w:rtl/>
        </w:rPr>
        <w:t>.</w:t>
      </w:r>
      <w:r w:rsidR="00024F2D" w:rsidRPr="00AB6908">
        <w:rPr>
          <w:rFonts w:cs="Arial"/>
          <w:rtl/>
        </w:rPr>
        <w:t xml:space="preserve"> </w:t>
      </w:r>
      <w:r w:rsidR="00024F2D" w:rsidRPr="00351B7D">
        <w:rPr>
          <w:rFonts w:asciiTheme="minorBidi" w:hAnsiTheme="minorBidi"/>
          <w:color w:val="E36C0A" w:themeColor="accent6" w:themeShade="BF"/>
          <w:rtl/>
        </w:rPr>
        <w:t>(וכ"</w:t>
      </w:r>
      <w:r w:rsidR="00024F2D">
        <w:rPr>
          <w:rFonts w:asciiTheme="minorBidi" w:hAnsiTheme="minorBidi" w:hint="cs"/>
          <w:color w:val="E36C0A" w:themeColor="accent6" w:themeShade="BF"/>
          <w:rtl/>
        </w:rPr>
        <w:t>פ</w:t>
      </w:r>
      <w:r w:rsidR="00024F2D" w:rsidRPr="00351B7D">
        <w:rPr>
          <w:rFonts w:asciiTheme="minorBidi" w:hAnsiTheme="minorBidi"/>
          <w:color w:val="E36C0A" w:themeColor="accent6" w:themeShade="BF"/>
          <w:rtl/>
        </w:rPr>
        <w:t xml:space="preserve"> בשו"ע)</w:t>
      </w:r>
    </w:p>
    <w:p w14:paraId="3C10A478"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ACA3B4D" w14:textId="285F73C4" w:rsidR="00392DBB" w:rsidRDefault="00392DBB" w:rsidP="00392DBB">
      <w:pPr>
        <w:rPr>
          <w:rFonts w:cs="Arial"/>
          <w:rtl/>
        </w:rPr>
      </w:pPr>
      <w:r>
        <w:rPr>
          <w:rFonts w:cs="Arial"/>
          <w:rtl/>
        </w:rPr>
        <w:t>מי שמכר בחיי אביו כתובת אמו שאם ימות אביו ואח</w:t>
      </w:r>
      <w:r w:rsidR="001F1076">
        <w:rPr>
          <w:rFonts w:cs="Arial" w:hint="cs"/>
          <w:rtl/>
        </w:rPr>
        <w:t>ר כך</w:t>
      </w:r>
      <w:r>
        <w:rPr>
          <w:rFonts w:cs="Arial"/>
          <w:rtl/>
        </w:rPr>
        <w:t xml:space="preserve"> תמות אמו ויירש הוא את כתובתה שיהיה הלוקח עומד במקומ</w:t>
      </w:r>
      <w:r w:rsidR="001F1076">
        <w:rPr>
          <w:rFonts w:cs="Arial" w:hint="cs"/>
          <w:rtl/>
        </w:rPr>
        <w:t>ו</w:t>
      </w:r>
      <w:r>
        <w:rPr>
          <w:rFonts w:cs="Arial"/>
          <w:rtl/>
        </w:rPr>
        <w:t xml:space="preserve"> לגבותה, והתנה שאם תערער אמו על המכר שלא יסלקנו מערער, ומתה ולא ערערה, אינו יכול לומר: אני במקום אמי וכמו שהיא יכולה לערער על המקח גם אני מערער ואבטלנו, שערעור של עצמו קיבל עליו ודאי.</w:t>
      </w:r>
    </w:p>
    <w:p w14:paraId="70E8E451" w14:textId="77777777" w:rsidR="00024F2D" w:rsidRDefault="00024F2D" w:rsidP="00392DBB">
      <w:pPr>
        <w:rPr>
          <w:rFonts w:cs="Arial"/>
          <w:rtl/>
        </w:rPr>
      </w:pPr>
    </w:p>
    <w:p w14:paraId="65825773" w14:textId="0DC85DFC" w:rsidR="001F1076" w:rsidRPr="007A3469" w:rsidRDefault="001F1076" w:rsidP="00392DBB">
      <w:pPr>
        <w:rPr>
          <w:rtl/>
        </w:rPr>
        <w:sectPr w:rsidR="001F1076" w:rsidRPr="007A3469" w:rsidSect="00A347B3">
          <w:headerReference w:type="default" r:id="rId49"/>
          <w:footnotePr>
            <w:numRestart w:val="eachSect"/>
          </w:footnotePr>
          <w:pgSz w:w="11906" w:h="16838"/>
          <w:pgMar w:top="720" w:right="1134" w:bottom="720" w:left="1134" w:header="0" w:footer="0" w:gutter="0"/>
          <w:cols w:space="720"/>
          <w:bidi/>
          <w:rtlGutter/>
          <w:docGrid w:linePitch="360"/>
        </w:sectPr>
      </w:pPr>
    </w:p>
    <w:p w14:paraId="5461B809" w14:textId="77777777" w:rsidR="00392DBB" w:rsidRDefault="00392DBB" w:rsidP="00392DBB">
      <w:pPr>
        <w:pStyle w:val="1"/>
        <w:rPr>
          <w:rtl/>
        </w:rPr>
      </w:pPr>
      <w:r>
        <w:rPr>
          <w:rFonts w:hint="cs"/>
          <w:rtl/>
        </w:rPr>
        <w:lastRenderedPageBreak/>
        <w:t>סימן קו:</w:t>
      </w:r>
      <w:r w:rsidRPr="00C12B74">
        <w:rPr>
          <w:rtl/>
        </w:rPr>
        <w:t xml:space="preserve"> </w:t>
      </w:r>
      <w:r>
        <w:rPr>
          <w:rFonts w:cs="Arial"/>
          <w:rtl/>
        </w:rPr>
        <w:t xml:space="preserve">הכותב כל נכסיו לבניו וכתב לאשתו קרקע כל שהוא, ובו ב' סעיפים. </w:t>
      </w:r>
    </w:p>
    <w:p w14:paraId="43DE0244" w14:textId="412C9580" w:rsidR="00392DBB" w:rsidRDefault="00392DBB" w:rsidP="000F64D0">
      <w:pPr>
        <w:pStyle w:val="2"/>
        <w:rPr>
          <w:rtl/>
        </w:rPr>
      </w:pPr>
      <w:r>
        <w:rPr>
          <w:rtl/>
        </w:rPr>
        <w:t>סעיף א</w:t>
      </w:r>
      <w:r>
        <w:rPr>
          <w:rFonts w:hint="cs"/>
          <w:rtl/>
        </w:rPr>
        <w:t>:</w:t>
      </w:r>
      <w:r w:rsidR="00776AF6" w:rsidRPr="00776AF6">
        <w:rPr>
          <w:rtl/>
        </w:rPr>
        <w:t xml:space="preserve"> </w:t>
      </w:r>
      <w:r w:rsidR="00776AF6">
        <w:rPr>
          <w:rtl/>
        </w:rPr>
        <w:t xml:space="preserve">כתב נכסיו לבניו </w:t>
      </w:r>
      <w:r w:rsidR="005B3842">
        <w:rPr>
          <w:rFonts w:hint="cs"/>
          <w:rtl/>
        </w:rPr>
        <w:t>ו</w:t>
      </w:r>
      <w:r w:rsidR="00776AF6">
        <w:rPr>
          <w:rtl/>
        </w:rPr>
        <w:t>לאשתו</w:t>
      </w:r>
      <w:r w:rsidR="00776AF6">
        <w:rPr>
          <w:rFonts w:hint="cs"/>
          <w:rtl/>
        </w:rPr>
        <w:t>.</w:t>
      </w:r>
    </w:p>
    <w:p w14:paraId="29BEFE47" w14:textId="1B94798F" w:rsidR="0055616C" w:rsidRDefault="0055616C" w:rsidP="0055616C">
      <w:pPr>
        <w:rPr>
          <w:rFonts w:cs="Arial"/>
          <w:rtl/>
        </w:rPr>
      </w:pPr>
      <w:r w:rsidRPr="00DE22C5">
        <w:rPr>
          <w:rFonts w:cs="Arial" w:hint="cs"/>
          <w:b/>
          <w:bCs/>
          <w:rtl/>
        </w:rPr>
        <w:t xml:space="preserve">בבא בתרא </w:t>
      </w:r>
      <w:r w:rsidRPr="00DE22C5">
        <w:rPr>
          <w:rFonts w:cs="Arial" w:hint="cs"/>
          <w:b/>
          <w:bCs/>
          <w:sz w:val="16"/>
          <w:szCs w:val="16"/>
          <w:rtl/>
        </w:rPr>
        <w:t>(פ' יש נוחלין)</w:t>
      </w:r>
      <w:r w:rsidRPr="00DE22C5">
        <w:rPr>
          <w:rFonts w:cs="Arial" w:hint="cs"/>
          <w:b/>
          <w:bCs/>
          <w:rtl/>
        </w:rPr>
        <w:t xml:space="preserve"> קלב</w:t>
      </w:r>
      <w:r w:rsidR="00E65D20">
        <w:rPr>
          <w:rStyle w:val="a7"/>
          <w:rFonts w:cs="Arial"/>
          <w:b/>
          <w:bCs/>
          <w:rtl/>
        </w:rPr>
        <w:footnoteReference w:id="2305"/>
      </w:r>
      <w:r w:rsidRPr="00DE22C5">
        <w:rPr>
          <w:rFonts w:cs="Arial" w:hint="cs"/>
          <w:b/>
          <w:bCs/>
          <w:rtl/>
        </w:rPr>
        <w:t xml:space="preserve"> ע"א: </w:t>
      </w:r>
      <w:r w:rsidRPr="00DE22C5">
        <w:rPr>
          <w:rFonts w:cs="Arial"/>
          <w:rtl/>
        </w:rPr>
        <w:t>תנן התם</w:t>
      </w:r>
      <w:r>
        <w:rPr>
          <w:rFonts w:cs="Arial" w:hint="cs"/>
          <w:sz w:val="16"/>
          <w:szCs w:val="16"/>
          <w:rtl/>
        </w:rPr>
        <w:t xml:space="preserve"> (פאה פ"ג מ"ז)</w:t>
      </w:r>
      <w:r w:rsidRPr="00DE22C5">
        <w:rPr>
          <w:rFonts w:cs="Arial"/>
          <w:rtl/>
        </w:rPr>
        <w:t xml:space="preserve">: הכותב נכסיו לבניו, וכתב לאשתו קרקע כל שהוא - אבדה כתובתה. משום דכתב לה קרקע כל שהוא אבדה כתובתה? </w:t>
      </w:r>
      <w:r w:rsidRPr="00966CA7">
        <w:rPr>
          <w:rFonts w:cs="Arial"/>
          <w:u w:val="single"/>
          <w:rtl/>
        </w:rPr>
        <w:t>אמר רב</w:t>
      </w:r>
      <w:r w:rsidRPr="00DE22C5">
        <w:rPr>
          <w:rFonts w:cs="Arial"/>
          <w:rtl/>
        </w:rPr>
        <w:t xml:space="preserve">: במזכה להן על ידה, </w:t>
      </w:r>
      <w:r w:rsidRPr="00966CA7">
        <w:rPr>
          <w:rFonts w:cs="Arial"/>
          <w:u w:val="single"/>
          <w:rtl/>
        </w:rPr>
        <w:t>ושמואל אמר</w:t>
      </w:r>
      <w:r w:rsidRPr="00DE22C5">
        <w:rPr>
          <w:rFonts w:cs="Arial"/>
          <w:rtl/>
        </w:rPr>
        <w:t xml:space="preserve">: במחלק לפניה והיא שותקת, </w:t>
      </w:r>
      <w:r w:rsidRPr="00966CA7">
        <w:rPr>
          <w:rFonts w:cs="Arial"/>
          <w:u w:val="single"/>
          <w:rtl/>
        </w:rPr>
        <w:t>רבי יוסי בר' חנינא אמר</w:t>
      </w:r>
      <w:r w:rsidRPr="00DE22C5">
        <w:rPr>
          <w:rFonts w:cs="Arial"/>
          <w:rtl/>
        </w:rPr>
        <w:t>: באומר לה טלי קרקע זו בכתובתיך,</w:t>
      </w:r>
      <w:r w:rsidRPr="00C33948">
        <w:rPr>
          <w:rtl/>
        </w:rPr>
        <w:t xml:space="preserve"> </w:t>
      </w:r>
      <w:r>
        <w:rPr>
          <w:rFonts w:hint="cs"/>
          <w:sz w:val="14"/>
          <w:szCs w:val="14"/>
          <w:rtl/>
        </w:rPr>
        <w:t xml:space="preserve">(קלב:) </w:t>
      </w:r>
      <w:r w:rsidRPr="00C33948">
        <w:rPr>
          <w:rFonts w:cs="Arial"/>
          <w:rtl/>
        </w:rPr>
        <w:t>ומקולי כתובה שנו כאן. תנן</w:t>
      </w:r>
      <w:r>
        <w:rPr>
          <w:rFonts w:cs="Arial" w:hint="cs"/>
          <w:sz w:val="16"/>
          <w:szCs w:val="16"/>
          <w:rtl/>
        </w:rPr>
        <w:t xml:space="preserve"> (פאה שם</w:t>
      </w:r>
      <w:r w:rsidRPr="0083760C">
        <w:rPr>
          <w:rFonts w:cs="Arial" w:hint="cs"/>
          <w:sz w:val="16"/>
          <w:szCs w:val="16"/>
          <w:rtl/>
        </w:rPr>
        <w:t>)</w:t>
      </w:r>
      <w:r w:rsidRPr="0083760C">
        <w:rPr>
          <w:rFonts w:cs="Arial" w:hint="cs"/>
          <w:rtl/>
        </w:rPr>
        <w:t>:</w:t>
      </w:r>
      <w:r w:rsidRPr="0083760C">
        <w:rPr>
          <w:rFonts w:cs="Arial"/>
          <w:rtl/>
        </w:rPr>
        <w:t xml:space="preserve"> </w:t>
      </w:r>
      <w:r w:rsidRPr="00E65D20">
        <w:rPr>
          <w:rFonts w:cs="Arial"/>
          <w:u w:val="single"/>
          <w:rtl/>
        </w:rPr>
        <w:t>ר' יוסי אומר</w:t>
      </w:r>
      <w:r w:rsidRPr="0083760C">
        <w:rPr>
          <w:rFonts w:cs="Arial"/>
          <w:rtl/>
        </w:rPr>
        <w:t>:</w:t>
      </w:r>
      <w:r w:rsidRPr="00C33948">
        <w:rPr>
          <w:rFonts w:cs="Arial"/>
          <w:rtl/>
        </w:rPr>
        <w:t xml:space="preserve"> אם קבלה עליה, אף על פי שלא כתב לה - אבדה כתובתה</w:t>
      </w:r>
      <w:r>
        <w:rPr>
          <w:rFonts w:cs="Arial" w:hint="cs"/>
          <w:rtl/>
        </w:rPr>
        <w:t>.</w:t>
      </w:r>
      <w:r w:rsidRPr="00C33948">
        <w:rPr>
          <w:rFonts w:cs="Arial"/>
          <w:rtl/>
        </w:rPr>
        <w:t xml:space="preserve"> מכלל דת"ק סבר: כתיבה וקבלה בעי! וכי תימא: כולה ר' יוסי היא, והא תניא, </w:t>
      </w:r>
      <w:r w:rsidRPr="00E65D20">
        <w:rPr>
          <w:rFonts w:cs="Arial"/>
          <w:u w:val="single"/>
          <w:rtl/>
        </w:rPr>
        <w:t>אמר רבי יהודה</w:t>
      </w:r>
      <w:r w:rsidRPr="00C33948">
        <w:rPr>
          <w:rFonts w:cs="Arial"/>
          <w:rtl/>
        </w:rPr>
        <w:t xml:space="preserve">: אימתי? שהיתה שם וקבלה עליה, אבל היתה שם ולא קבלה עליה, קבלה עליה ולא היתה שם - לא אבדה כתובתה; תיובתא דכולהו! תיובתא. </w:t>
      </w:r>
      <w:r w:rsidRPr="00966CA7">
        <w:rPr>
          <w:rFonts w:cs="Arial"/>
          <w:u w:val="single"/>
          <w:rtl/>
        </w:rPr>
        <w:t>אמר ליה רבא לרב נחמן</w:t>
      </w:r>
      <w:r w:rsidRPr="00C33948">
        <w:rPr>
          <w:rFonts w:cs="Arial"/>
          <w:rtl/>
        </w:rPr>
        <w:t xml:space="preserve">: הא רב, הא שמואל, הא ר' יוסי בר' חנינא, מר מאי סבירא ליה? </w:t>
      </w:r>
      <w:r w:rsidRPr="00966CA7">
        <w:rPr>
          <w:rFonts w:cs="Arial"/>
          <w:u w:val="single"/>
          <w:rtl/>
        </w:rPr>
        <w:t>א"ל</w:t>
      </w:r>
      <w:r>
        <w:rPr>
          <w:rFonts w:cs="Arial" w:hint="cs"/>
          <w:rtl/>
        </w:rPr>
        <w:t>:</w:t>
      </w:r>
      <w:r w:rsidRPr="00C33948">
        <w:rPr>
          <w:rFonts w:cs="Arial"/>
          <w:rtl/>
        </w:rPr>
        <w:t xml:space="preserve"> שאני אומר: כיון שעשאה שותף בין הבנים - אבדה כתובתה. </w:t>
      </w:r>
      <w:r w:rsidRPr="0055616C">
        <w:rPr>
          <w:rFonts w:cs="Arial" w:hint="cs"/>
          <w:sz w:val="16"/>
          <w:szCs w:val="16"/>
          <w:rtl/>
        </w:rPr>
        <w:t>(</w:t>
      </w:r>
      <w:r w:rsidRPr="0055616C">
        <w:rPr>
          <w:rFonts w:cs="Arial"/>
          <w:sz w:val="16"/>
          <w:szCs w:val="16"/>
          <w:rtl/>
        </w:rPr>
        <w:t xml:space="preserve">ופרשב"ם (קלב: ד"ה שותף בין הבנים) </w:t>
      </w:r>
      <w:r w:rsidR="00B66F9C">
        <w:rPr>
          <w:rFonts w:cs="Arial" w:hint="cs"/>
          <w:sz w:val="16"/>
          <w:szCs w:val="16"/>
          <w:rtl/>
        </w:rPr>
        <w:t>ד</w:t>
      </w:r>
      <w:r w:rsidRPr="0055616C">
        <w:rPr>
          <w:rFonts w:cs="Arial"/>
          <w:sz w:val="16"/>
          <w:szCs w:val="16"/>
          <w:rtl/>
        </w:rPr>
        <w:t>ס"ל כשמואל רביה דאמר במחלק לפניה והיא שותקת</w:t>
      </w:r>
      <w:r w:rsidRPr="0055616C">
        <w:rPr>
          <w:rFonts w:cs="Arial" w:hint="cs"/>
          <w:sz w:val="16"/>
          <w:szCs w:val="16"/>
          <w:rtl/>
        </w:rPr>
        <w:t>,</w:t>
      </w:r>
      <w:r w:rsidRPr="0055616C">
        <w:rPr>
          <w:rFonts w:cs="Arial"/>
          <w:sz w:val="16"/>
          <w:szCs w:val="16"/>
          <w:rtl/>
        </w:rPr>
        <w:t xml:space="preserve"> ואע</w:t>
      </w:r>
      <w:r w:rsidRPr="0055616C">
        <w:rPr>
          <w:rFonts w:cs="Arial" w:hint="cs"/>
          <w:sz w:val="16"/>
          <w:szCs w:val="16"/>
          <w:rtl/>
        </w:rPr>
        <w:t>"</w:t>
      </w:r>
      <w:r w:rsidRPr="0055616C">
        <w:rPr>
          <w:rFonts w:cs="Arial"/>
          <w:sz w:val="16"/>
          <w:szCs w:val="16"/>
          <w:rtl/>
        </w:rPr>
        <w:t>ג דאיתותב היינו אליבא דרבנן</w:t>
      </w:r>
      <w:r w:rsidRPr="0055616C">
        <w:rPr>
          <w:rFonts w:cs="Arial" w:hint="cs"/>
          <w:sz w:val="16"/>
          <w:szCs w:val="16"/>
          <w:rtl/>
        </w:rPr>
        <w:t>,</w:t>
      </w:r>
      <w:r w:rsidRPr="0055616C">
        <w:rPr>
          <w:rFonts w:cs="Arial"/>
          <w:sz w:val="16"/>
          <w:szCs w:val="16"/>
          <w:rtl/>
        </w:rPr>
        <w:t xml:space="preserve"> ורב נחמן אליבא דרבי יוסי דאית ליה דקבלה מהניא והוא הדין כתיבה. וכן דעת רב אלפס (ס.) שכתב שעשאה שותף בין הבנים איבדה כתובתה ודוקא בשותקת וכל שכן הנך עכ"ל</w:t>
      </w:r>
      <w:r w:rsidR="00B66F9C">
        <w:rPr>
          <w:rFonts w:cs="Arial" w:hint="cs"/>
          <w:sz w:val="14"/>
          <w:szCs w:val="14"/>
          <w:rtl/>
        </w:rPr>
        <w:t xml:space="preserve"> [הרי"ף]</w:t>
      </w:r>
      <w:r w:rsidRPr="0055616C">
        <w:rPr>
          <w:rFonts w:cs="Arial"/>
          <w:sz w:val="16"/>
          <w:szCs w:val="16"/>
          <w:rtl/>
        </w:rPr>
        <w:t>. וכתב הרא"ש</w:t>
      </w:r>
      <w:r w:rsidR="00385B81">
        <w:rPr>
          <w:rFonts w:cs="Arial" w:hint="cs"/>
          <w:sz w:val="16"/>
          <w:szCs w:val="16"/>
          <w:rtl/>
        </w:rPr>
        <w:t xml:space="preserve"> (פ"ח סי' לד)</w:t>
      </w:r>
      <w:r w:rsidRPr="0055616C">
        <w:rPr>
          <w:rFonts w:cs="Arial"/>
          <w:sz w:val="16"/>
          <w:szCs w:val="16"/>
          <w:rtl/>
        </w:rPr>
        <w:t xml:space="preserve"> משמע דהא דרב נחמן קילא טפי מדכולהו ואע</w:t>
      </w:r>
      <w:r w:rsidRPr="0055616C">
        <w:rPr>
          <w:rFonts w:cs="Arial" w:hint="cs"/>
          <w:sz w:val="16"/>
          <w:szCs w:val="16"/>
          <w:rtl/>
        </w:rPr>
        <w:t>"</w:t>
      </w:r>
      <w:r w:rsidRPr="0055616C">
        <w:rPr>
          <w:rFonts w:cs="Arial"/>
          <w:sz w:val="16"/>
          <w:szCs w:val="16"/>
          <w:rtl/>
        </w:rPr>
        <w:t xml:space="preserve">פ שלא חילק בפניה ולא אמר לה טלי קרקע זו בכתובתיך אלא ידעה שכתב נכסיו לבניו וכתב לה קרקע זו וכשנודע לה שתקה </w:t>
      </w:r>
      <w:r w:rsidRPr="0055616C">
        <w:rPr>
          <w:rFonts w:cs="Arial" w:hint="cs"/>
          <w:sz w:val="16"/>
          <w:szCs w:val="16"/>
          <w:rtl/>
        </w:rPr>
        <w:t xml:space="preserve">- </w:t>
      </w:r>
      <w:r w:rsidRPr="0055616C">
        <w:rPr>
          <w:rFonts w:cs="Arial"/>
          <w:sz w:val="16"/>
          <w:szCs w:val="16"/>
          <w:rtl/>
        </w:rPr>
        <w:t>אנו אומדים דעתה דכיון שחלק לה כבוד ועשאה שותף בין הבנים מחלה שעבוד כתובתה מאלו הנכסים</w:t>
      </w:r>
      <w:r w:rsidRPr="0055616C">
        <w:rPr>
          <w:rFonts w:cs="Arial" w:hint="cs"/>
          <w:sz w:val="16"/>
          <w:szCs w:val="16"/>
          <w:rtl/>
        </w:rPr>
        <w:t>.</w:t>
      </w:r>
      <w:r w:rsidRPr="0055616C">
        <w:rPr>
          <w:rFonts w:cs="Arial"/>
          <w:sz w:val="16"/>
          <w:szCs w:val="16"/>
          <w:rtl/>
        </w:rPr>
        <w:t xml:space="preserve"> ור"ח פי' דוקא כשעשאה שותף בין הבנים שנתן לה חלק כאחד מן הבנים אז ודאי מחלה כתובתה בקבלה לחודה</w:t>
      </w:r>
      <w:r w:rsidRPr="0055616C">
        <w:rPr>
          <w:rFonts w:cs="Arial" w:hint="cs"/>
          <w:sz w:val="16"/>
          <w:szCs w:val="16"/>
          <w:rtl/>
        </w:rPr>
        <w:t>,</w:t>
      </w:r>
      <w:r w:rsidRPr="0055616C">
        <w:rPr>
          <w:rFonts w:cs="Arial"/>
          <w:sz w:val="16"/>
          <w:szCs w:val="16"/>
          <w:rtl/>
        </w:rPr>
        <w:t xml:space="preserve"> דחשיבא לה מילתא שהשוה אותה לאחד מבניו</w:t>
      </w:r>
      <w:r w:rsidRPr="0055616C">
        <w:rPr>
          <w:rFonts w:cs="Arial" w:hint="cs"/>
          <w:sz w:val="16"/>
          <w:szCs w:val="16"/>
          <w:rtl/>
        </w:rPr>
        <w:t>,</w:t>
      </w:r>
      <w:r w:rsidRPr="0055616C">
        <w:rPr>
          <w:rFonts w:cs="Arial"/>
          <w:sz w:val="16"/>
          <w:szCs w:val="16"/>
          <w:rtl/>
        </w:rPr>
        <w:t xml:space="preserve"> אבל כתב לה קרקע כל שהו כתיבה וקבלה בעינן כת"ק דר' יוסי</w:t>
      </w:r>
      <w:r w:rsidRPr="0055616C">
        <w:rPr>
          <w:rFonts w:cs="Arial" w:hint="cs"/>
          <w:sz w:val="16"/>
          <w:szCs w:val="16"/>
          <w:rtl/>
        </w:rPr>
        <w:t>.</w:t>
      </w:r>
      <w:r w:rsidRPr="0055616C">
        <w:rPr>
          <w:rFonts w:cs="Arial"/>
          <w:sz w:val="16"/>
          <w:szCs w:val="16"/>
          <w:rtl/>
        </w:rPr>
        <w:t xml:space="preserve"> ואין לשון כיון מורה על פי</w:t>
      </w:r>
      <w:r w:rsidRPr="0055616C">
        <w:rPr>
          <w:rFonts w:cs="Arial" w:hint="cs"/>
          <w:sz w:val="16"/>
          <w:szCs w:val="16"/>
          <w:rtl/>
        </w:rPr>
        <w:t>רוש</w:t>
      </w:r>
      <w:r w:rsidRPr="0055616C">
        <w:rPr>
          <w:rFonts w:cs="Arial"/>
          <w:sz w:val="16"/>
          <w:szCs w:val="16"/>
          <w:rtl/>
        </w:rPr>
        <w:t xml:space="preserve"> זה</w:t>
      </w:r>
      <w:r w:rsidRPr="0055616C">
        <w:rPr>
          <w:rFonts w:cs="Arial" w:hint="cs"/>
          <w:sz w:val="16"/>
          <w:szCs w:val="16"/>
          <w:rtl/>
        </w:rPr>
        <w:t>,</w:t>
      </w:r>
      <w:r w:rsidRPr="0055616C">
        <w:rPr>
          <w:rFonts w:cs="Arial"/>
          <w:sz w:val="16"/>
          <w:szCs w:val="16"/>
          <w:rtl/>
        </w:rPr>
        <w:t xml:space="preserve"> אלא משמע שבא להקל הילכך נראין דברי רב אלפס עכ"ל. וכך הם דברי הרמב"ם בפ</w:t>
      </w:r>
      <w:r w:rsidR="00E65D20">
        <w:rPr>
          <w:rFonts w:cs="Arial" w:hint="cs"/>
          <w:sz w:val="16"/>
          <w:szCs w:val="16"/>
          <w:rtl/>
        </w:rPr>
        <w:t>"</w:t>
      </w:r>
      <w:r w:rsidRPr="0055616C">
        <w:rPr>
          <w:rFonts w:cs="Arial"/>
          <w:sz w:val="16"/>
          <w:szCs w:val="16"/>
          <w:rtl/>
        </w:rPr>
        <w:t>ו מהל</w:t>
      </w:r>
      <w:r w:rsidR="00E65D20">
        <w:rPr>
          <w:rFonts w:cs="Arial" w:hint="cs"/>
          <w:sz w:val="16"/>
          <w:szCs w:val="16"/>
          <w:rtl/>
        </w:rPr>
        <w:t>'</w:t>
      </w:r>
      <w:r w:rsidRPr="0055616C">
        <w:rPr>
          <w:rFonts w:cs="Arial"/>
          <w:sz w:val="16"/>
          <w:szCs w:val="16"/>
          <w:rtl/>
        </w:rPr>
        <w:t xml:space="preserve"> זכיה ומתנה (ה"ט). וגם הר"ן (קלב: ד"ה אמר ליה) כתב על דברי ר"ח אין דרך זה מחוור מדקאמר כיון שעשאה שותף בין הבנים משמע דלאקולי אתא למימר דכל דהו סגי</w:t>
      </w:r>
      <w:r w:rsidRPr="0055616C">
        <w:rPr>
          <w:rFonts w:cs="Arial" w:hint="cs"/>
          <w:sz w:val="16"/>
          <w:szCs w:val="16"/>
          <w:rtl/>
        </w:rPr>
        <w:t>,</w:t>
      </w:r>
      <w:r w:rsidRPr="0055616C">
        <w:rPr>
          <w:rFonts w:cs="Arial"/>
          <w:sz w:val="16"/>
          <w:szCs w:val="16"/>
          <w:rtl/>
        </w:rPr>
        <w:t xml:space="preserve"> ואם כפי שיטה זו אדרבה לאחמורי אתא אכולהו דכתיבה וקבלה בעינן</w:t>
      </w:r>
      <w:r w:rsidRPr="0055616C">
        <w:rPr>
          <w:rFonts w:cs="Arial" w:hint="cs"/>
          <w:sz w:val="16"/>
          <w:szCs w:val="16"/>
          <w:rtl/>
        </w:rPr>
        <w:t>.</w:t>
      </w:r>
      <w:r w:rsidRPr="0055616C">
        <w:rPr>
          <w:rFonts w:cs="Arial"/>
          <w:sz w:val="16"/>
          <w:szCs w:val="16"/>
          <w:rtl/>
        </w:rPr>
        <w:t xml:space="preserve"> לפיכך נראה עיקרן של דברים כדברי ר"ש ז"ל דהכי קאמר שאני אומר וכו' כלומר אנא כרבי יוסי ס"ל</w:t>
      </w:r>
      <w:r w:rsidRPr="0055616C">
        <w:rPr>
          <w:rFonts w:cs="Arial" w:hint="cs"/>
          <w:sz w:val="16"/>
          <w:szCs w:val="16"/>
          <w:rtl/>
        </w:rPr>
        <w:t>.</w:t>
      </w:r>
      <w:r w:rsidRPr="0055616C">
        <w:rPr>
          <w:rFonts w:cs="Arial"/>
          <w:sz w:val="16"/>
          <w:szCs w:val="16"/>
          <w:rtl/>
        </w:rPr>
        <w:t xml:space="preserve"> ופירש הרב ז"ל דרב נחמן כשמואל רביה פשוט ליה</w:t>
      </w:r>
      <w:r w:rsidRPr="0055616C">
        <w:rPr>
          <w:rFonts w:cs="Arial" w:hint="cs"/>
          <w:sz w:val="16"/>
          <w:szCs w:val="16"/>
          <w:rtl/>
        </w:rPr>
        <w:t>.</w:t>
      </w:r>
      <w:r w:rsidRPr="0055616C">
        <w:rPr>
          <w:rFonts w:cs="Arial"/>
          <w:sz w:val="16"/>
          <w:szCs w:val="16"/>
          <w:rtl/>
        </w:rPr>
        <w:t xml:space="preserve"> ואיכא מאן דאמר דכרבי חנינא דמיקל מכולהו פשט ליה</w:t>
      </w:r>
      <w:r w:rsidRPr="0055616C">
        <w:rPr>
          <w:rFonts w:cs="Arial" w:hint="cs"/>
          <w:sz w:val="16"/>
          <w:szCs w:val="16"/>
          <w:rtl/>
        </w:rPr>
        <w:t>,</w:t>
      </w:r>
      <w:r w:rsidRPr="0055616C">
        <w:rPr>
          <w:rFonts w:cs="Arial"/>
          <w:sz w:val="16"/>
          <w:szCs w:val="16"/>
          <w:rtl/>
        </w:rPr>
        <w:t xml:space="preserve"> והאי לישנא דכיון שעשאה כלומר כמאן דמיקל מכולהו</w:t>
      </w:r>
      <w:r w:rsidRPr="0055616C">
        <w:rPr>
          <w:rFonts w:cs="Arial" w:hint="cs"/>
          <w:sz w:val="16"/>
          <w:szCs w:val="16"/>
          <w:rtl/>
        </w:rPr>
        <w:t>.</w:t>
      </w:r>
      <w:r w:rsidRPr="0055616C">
        <w:rPr>
          <w:rFonts w:cs="Arial"/>
          <w:sz w:val="16"/>
          <w:szCs w:val="16"/>
          <w:rtl/>
        </w:rPr>
        <w:t xml:space="preserve"> ומדברי הרמב"ם נ"ל שהוא מפרש לומר דלא בעי' לא מילתא דרב ולא מילתא דשמואל ולא דרבי יוסי בר חנינא אלא כיון שעשאה שותף בין הבנים ולא מיחתה איבדה כתובתה</w:t>
      </w:r>
      <w:r w:rsidRPr="0055616C">
        <w:rPr>
          <w:rFonts w:cs="Arial" w:hint="cs"/>
          <w:sz w:val="16"/>
          <w:szCs w:val="16"/>
          <w:rtl/>
        </w:rPr>
        <w:t>.</w:t>
      </w:r>
      <w:r w:rsidRPr="0055616C">
        <w:rPr>
          <w:rFonts w:cs="Arial"/>
          <w:sz w:val="16"/>
          <w:szCs w:val="16"/>
          <w:rtl/>
        </w:rPr>
        <w:t xml:space="preserve"> והלשון הזה נוח לי יותר</w:t>
      </w:r>
      <w:r w:rsidRPr="0055616C">
        <w:rPr>
          <w:rFonts w:cs="Arial" w:hint="cs"/>
          <w:sz w:val="16"/>
          <w:szCs w:val="16"/>
          <w:rtl/>
        </w:rPr>
        <w:t>,</w:t>
      </w:r>
      <w:r w:rsidRPr="0055616C">
        <w:rPr>
          <w:rFonts w:cs="Arial"/>
          <w:sz w:val="16"/>
          <w:szCs w:val="16"/>
          <w:rtl/>
        </w:rPr>
        <w:t xml:space="preserve"> דכיון דא"ל רבא לרב נחמן הא רב הא שמואל והא רבי יוסי בר חנינא מר כמאן ס"ל אם איתא דס"ל כחד מינייהו הל"ל אנא כפלוני ס"ל</w:t>
      </w:r>
      <w:r w:rsidRPr="0055616C">
        <w:rPr>
          <w:rFonts w:cs="Arial" w:hint="cs"/>
          <w:sz w:val="16"/>
          <w:szCs w:val="16"/>
          <w:rtl/>
        </w:rPr>
        <w:t>,</w:t>
      </w:r>
      <w:r w:rsidRPr="0055616C">
        <w:rPr>
          <w:rFonts w:cs="Arial"/>
          <w:sz w:val="16"/>
          <w:szCs w:val="16"/>
          <w:rtl/>
        </w:rPr>
        <w:t xml:space="preserve"> מדקאמר שאני אומר כיון שעשאה שותף בין הבנים וכו' ש"מ דלאקולי טפי מכולהו אתא עכ"ל</w:t>
      </w:r>
      <w:r>
        <w:rPr>
          <w:rFonts w:cs="Arial" w:hint="cs"/>
          <w:sz w:val="16"/>
          <w:szCs w:val="16"/>
          <w:rtl/>
        </w:rPr>
        <w:t>, ב"י)</w:t>
      </w:r>
      <w:r>
        <w:rPr>
          <w:rFonts w:cs="Arial" w:hint="cs"/>
          <w:rtl/>
        </w:rPr>
        <w:t xml:space="preserve"> </w:t>
      </w:r>
    </w:p>
    <w:p w14:paraId="4321B451" w14:textId="54D53BD5" w:rsidR="00841586" w:rsidRDefault="000D2839" w:rsidP="00841586">
      <w:pPr>
        <w:rPr>
          <w:sz w:val="16"/>
          <w:szCs w:val="16"/>
          <w:rtl/>
        </w:rPr>
      </w:pPr>
      <w:r w:rsidRPr="00DE22C5">
        <w:rPr>
          <w:rFonts w:cs="Arial" w:hint="cs"/>
          <w:b/>
          <w:bCs/>
          <w:rtl/>
        </w:rPr>
        <w:t xml:space="preserve">בבא בתרא </w:t>
      </w:r>
      <w:r w:rsidRPr="00DE22C5">
        <w:rPr>
          <w:rFonts w:cs="Arial" w:hint="cs"/>
          <w:b/>
          <w:bCs/>
          <w:sz w:val="16"/>
          <w:szCs w:val="16"/>
          <w:rtl/>
        </w:rPr>
        <w:t>(פ' יש נוחלין)</w:t>
      </w:r>
      <w:r w:rsidRPr="00DE22C5">
        <w:rPr>
          <w:rFonts w:cs="Arial" w:hint="cs"/>
          <w:b/>
          <w:bCs/>
          <w:rtl/>
        </w:rPr>
        <w:t xml:space="preserve"> קלב ע"</w:t>
      </w:r>
      <w:r w:rsidR="000C435A">
        <w:rPr>
          <w:rFonts w:cs="Arial" w:hint="cs"/>
          <w:b/>
          <w:bCs/>
          <w:rtl/>
        </w:rPr>
        <w:t>ב</w:t>
      </w:r>
      <w:r w:rsidRPr="00DE22C5">
        <w:rPr>
          <w:rFonts w:cs="Arial" w:hint="cs"/>
          <w:b/>
          <w:bCs/>
          <w:rtl/>
        </w:rPr>
        <w:t>:</w:t>
      </w:r>
      <w:r>
        <w:rPr>
          <w:rFonts w:cs="Arial" w:hint="cs"/>
          <w:rtl/>
        </w:rPr>
        <w:t xml:space="preserve"> </w:t>
      </w:r>
      <w:r w:rsidRPr="000D2839">
        <w:rPr>
          <w:rFonts w:cs="Arial"/>
          <w:u w:val="single"/>
          <w:rtl/>
        </w:rPr>
        <w:t>בעי רבא</w:t>
      </w:r>
      <w:r w:rsidRPr="000D2839">
        <w:rPr>
          <w:rFonts w:cs="Arial"/>
          <w:rtl/>
        </w:rPr>
        <w:t>: בבריא היאך? מי אמרינן: בשכיב מרע הוא דידעה דלית ליה וקמחלה, אבל בבריא סברה הדר קני, או דלמא השתא מיהת לית ליה? תיקו.</w:t>
      </w:r>
      <w:r w:rsidRPr="000D2839">
        <w:rPr>
          <w:rFonts w:cs="Arial" w:hint="cs"/>
          <w:sz w:val="16"/>
          <w:szCs w:val="16"/>
          <w:rtl/>
        </w:rPr>
        <w:t xml:space="preserve"> (</w:t>
      </w:r>
      <w:r w:rsidRPr="000D2839">
        <w:rPr>
          <w:rFonts w:cs="Arial"/>
          <w:sz w:val="16"/>
          <w:szCs w:val="16"/>
          <w:rtl/>
        </w:rPr>
        <w:t>וכתב הרא"ש (שם) ולא מפקינן מיתמי</w:t>
      </w:r>
      <w:r w:rsidRPr="000D2839">
        <w:rPr>
          <w:rFonts w:cs="Arial" w:hint="cs"/>
          <w:sz w:val="16"/>
          <w:szCs w:val="16"/>
          <w:rtl/>
        </w:rPr>
        <w:t>,</w:t>
      </w:r>
      <w:r w:rsidRPr="000D2839">
        <w:rPr>
          <w:rFonts w:cs="Arial"/>
          <w:sz w:val="16"/>
          <w:szCs w:val="16"/>
          <w:rtl/>
        </w:rPr>
        <w:t xml:space="preserve"> וכן פסק רשב"ם (קלג. ד"ה והשתא)</w:t>
      </w:r>
      <w:r w:rsidRPr="000D2839">
        <w:rPr>
          <w:rFonts w:cs="Arial" w:hint="cs"/>
          <w:sz w:val="16"/>
          <w:szCs w:val="16"/>
          <w:rtl/>
        </w:rPr>
        <w:t>,</w:t>
      </w:r>
      <w:r w:rsidRPr="000D2839">
        <w:rPr>
          <w:rFonts w:cs="Arial"/>
          <w:sz w:val="16"/>
          <w:szCs w:val="16"/>
          <w:rtl/>
        </w:rPr>
        <w:t xml:space="preserve"> וכן פסק הרמב"ם ז"ל בפ</w:t>
      </w:r>
      <w:r w:rsidRPr="000D2839">
        <w:rPr>
          <w:rFonts w:cs="Arial" w:hint="cs"/>
          <w:sz w:val="16"/>
          <w:szCs w:val="16"/>
          <w:rtl/>
        </w:rPr>
        <w:t>"</w:t>
      </w:r>
      <w:r w:rsidRPr="000D2839">
        <w:rPr>
          <w:rFonts w:cs="Arial"/>
          <w:sz w:val="16"/>
          <w:szCs w:val="16"/>
          <w:rtl/>
        </w:rPr>
        <w:t>ו מהל</w:t>
      </w:r>
      <w:r w:rsidRPr="000D2839">
        <w:rPr>
          <w:rFonts w:cs="Arial" w:hint="cs"/>
          <w:sz w:val="16"/>
          <w:szCs w:val="16"/>
          <w:rtl/>
        </w:rPr>
        <w:t>'</w:t>
      </w:r>
      <w:r w:rsidRPr="000D2839">
        <w:rPr>
          <w:rFonts w:cs="Arial"/>
          <w:sz w:val="16"/>
          <w:szCs w:val="16"/>
          <w:rtl/>
        </w:rPr>
        <w:t xml:space="preserve"> זכייה ומתנה (שם)</w:t>
      </w:r>
      <w:r w:rsidRPr="000D2839">
        <w:rPr>
          <w:rFonts w:cs="Arial" w:hint="cs"/>
          <w:sz w:val="16"/>
          <w:szCs w:val="16"/>
          <w:rtl/>
        </w:rPr>
        <w:t>,</w:t>
      </w:r>
      <w:r w:rsidRPr="000D2839">
        <w:rPr>
          <w:rFonts w:cs="Arial"/>
          <w:sz w:val="16"/>
          <w:szCs w:val="16"/>
          <w:rtl/>
        </w:rPr>
        <w:t xml:space="preserve"> וכן הסכים ה</w:t>
      </w:r>
      <w:r w:rsidRPr="000D2839">
        <w:rPr>
          <w:rFonts w:cs="Arial" w:hint="cs"/>
          <w:sz w:val="16"/>
          <w:szCs w:val="16"/>
          <w:rtl/>
        </w:rPr>
        <w:t>ה"</w:t>
      </w:r>
      <w:r w:rsidRPr="000D2839">
        <w:rPr>
          <w:rFonts w:cs="Arial"/>
          <w:sz w:val="16"/>
          <w:szCs w:val="16"/>
          <w:rtl/>
        </w:rPr>
        <w:t>מ ז"ל</w:t>
      </w:r>
      <w:r w:rsidRPr="000D2839">
        <w:rPr>
          <w:rFonts w:cs="Arial" w:hint="cs"/>
          <w:sz w:val="16"/>
          <w:szCs w:val="16"/>
          <w:rtl/>
        </w:rPr>
        <w:t>,</w:t>
      </w:r>
      <w:r w:rsidRPr="000D2839">
        <w:rPr>
          <w:rFonts w:cs="Arial"/>
          <w:sz w:val="16"/>
          <w:szCs w:val="16"/>
          <w:rtl/>
        </w:rPr>
        <w:t xml:space="preserve"> וכן דעת הר"ן ז"ל (קלב: ד"ה ומסקנא). ובספרי הרי"ף שבידי</w:t>
      </w:r>
      <w:r w:rsidR="007A6FF2">
        <w:rPr>
          <w:rStyle w:val="a7"/>
          <w:rFonts w:cs="Arial"/>
          <w:sz w:val="16"/>
          <w:szCs w:val="16"/>
          <w:rtl/>
        </w:rPr>
        <w:footnoteReference w:id="2306"/>
      </w:r>
      <w:r w:rsidRPr="000D2839">
        <w:rPr>
          <w:rFonts w:cs="Arial"/>
          <w:sz w:val="16"/>
          <w:szCs w:val="16"/>
          <w:rtl/>
        </w:rPr>
        <w:t xml:space="preserve"> כתוב (ס.) אחר התיקו הילכך מוקמי' כתובה אחזקתה ועל הבעל להביא ראיה שמחלה</w:t>
      </w:r>
      <w:r w:rsidRPr="000D2839">
        <w:rPr>
          <w:rFonts w:cs="Arial" w:hint="cs"/>
          <w:sz w:val="16"/>
          <w:szCs w:val="16"/>
          <w:rtl/>
        </w:rPr>
        <w:t>,</w:t>
      </w:r>
      <w:r w:rsidRPr="000D2839">
        <w:rPr>
          <w:rFonts w:cs="Arial"/>
          <w:sz w:val="16"/>
          <w:szCs w:val="16"/>
          <w:rtl/>
        </w:rPr>
        <w:t xml:space="preserve"> ויש לתמוה היאך לא הביא הרא"ש דבריו</w:t>
      </w:r>
      <w:r w:rsidRPr="000D2839">
        <w:rPr>
          <w:rFonts w:cs="Arial" w:hint="cs"/>
          <w:sz w:val="16"/>
          <w:szCs w:val="16"/>
          <w:rtl/>
        </w:rPr>
        <w:t>, ב"י</w:t>
      </w:r>
      <w:r>
        <w:rPr>
          <w:rFonts w:cs="Arial" w:hint="cs"/>
          <w:sz w:val="16"/>
          <w:szCs w:val="16"/>
          <w:rtl/>
        </w:rPr>
        <w:t>)</w:t>
      </w:r>
      <w:r w:rsidR="00090FDC">
        <w:rPr>
          <w:rFonts w:hint="cs"/>
          <w:sz w:val="16"/>
          <w:szCs w:val="16"/>
          <w:rtl/>
        </w:rPr>
        <w:t xml:space="preserve"> </w:t>
      </w:r>
    </w:p>
    <w:p w14:paraId="5F3DA8F7" w14:textId="64016A14" w:rsidR="00024F2D" w:rsidRPr="00776AF6" w:rsidRDefault="00776AF6" w:rsidP="00024F2D">
      <w:pPr>
        <w:rPr>
          <w:u w:val="single"/>
          <w:rtl/>
        </w:rPr>
      </w:pPr>
      <w:r w:rsidRPr="00776AF6">
        <w:rPr>
          <w:rFonts w:cs="Arial"/>
          <w:u w:val="single"/>
          <w:rtl/>
        </w:rPr>
        <w:t xml:space="preserve">כתב נכסיו לבניו ולאשתו </w:t>
      </w:r>
      <w:r w:rsidRPr="00776AF6">
        <w:rPr>
          <w:rFonts w:hint="cs"/>
          <w:u w:val="single"/>
          <w:rtl/>
        </w:rPr>
        <w:t>- האם מאבדת בזה את כתובתה:</w:t>
      </w:r>
    </w:p>
    <w:p w14:paraId="5AD921A2" w14:textId="512D9FC9" w:rsidR="00AF300D" w:rsidRPr="00AF300D" w:rsidRDefault="00D544C0" w:rsidP="009000E3">
      <w:pPr>
        <w:pStyle w:val="ab"/>
        <w:numPr>
          <w:ilvl w:val="0"/>
          <w:numId w:val="63"/>
        </w:numPr>
      </w:pPr>
      <w:r>
        <w:rPr>
          <w:rFonts w:hint="cs"/>
          <w:rtl/>
        </w:rPr>
        <w:t>רמב"ם</w:t>
      </w:r>
      <w:r w:rsidR="00966A05">
        <w:rPr>
          <w:rStyle w:val="a7"/>
          <w:rtl/>
        </w:rPr>
        <w:footnoteReference w:id="2307"/>
      </w:r>
      <w:r>
        <w:rPr>
          <w:rFonts w:hint="cs"/>
          <w:rtl/>
        </w:rPr>
        <w:t xml:space="preserve"> </w:t>
      </w:r>
      <w:r>
        <w:rPr>
          <w:rFonts w:hint="cs"/>
          <w:sz w:val="16"/>
          <w:szCs w:val="16"/>
          <w:rtl/>
        </w:rPr>
        <w:t>(</w:t>
      </w:r>
      <w:r w:rsidR="00966A05">
        <w:rPr>
          <w:rFonts w:hint="cs"/>
          <w:sz w:val="16"/>
          <w:szCs w:val="16"/>
          <w:rtl/>
        </w:rPr>
        <w:t>פ"ו מהל' זכיה ה"ט-י)</w:t>
      </w:r>
      <w:r w:rsidR="00966A05">
        <w:rPr>
          <w:rFonts w:hint="cs"/>
          <w:rtl/>
        </w:rPr>
        <w:t xml:space="preserve"> </w:t>
      </w:r>
      <w:r w:rsidR="00385B81">
        <w:rPr>
          <w:rFonts w:hint="cs"/>
          <w:rtl/>
        </w:rPr>
        <w:t xml:space="preserve">רא"ש </w:t>
      </w:r>
      <w:r w:rsidR="00385B81">
        <w:rPr>
          <w:rFonts w:cs="Arial" w:hint="cs"/>
          <w:sz w:val="16"/>
          <w:szCs w:val="16"/>
          <w:rtl/>
        </w:rPr>
        <w:t xml:space="preserve">(פ"ח סי' לד) </w:t>
      </w:r>
      <w:r w:rsidR="00966A05">
        <w:rPr>
          <w:rFonts w:hint="cs"/>
          <w:rtl/>
        </w:rPr>
        <w:t>ו</w:t>
      </w:r>
      <w:r w:rsidR="00392DBB">
        <w:rPr>
          <w:rFonts w:hint="cs"/>
          <w:rtl/>
        </w:rPr>
        <w:t xml:space="preserve">טור- </w:t>
      </w:r>
      <w:r w:rsidR="00392DBB" w:rsidRPr="0076432A">
        <w:rPr>
          <w:rFonts w:cs="Arial"/>
          <w:rtl/>
        </w:rPr>
        <w:t>המחלק נכסיו לבניו</w:t>
      </w:r>
      <w:r w:rsidR="00024F2D">
        <w:rPr>
          <w:rFonts w:cs="Arial" w:hint="cs"/>
          <w:rtl/>
        </w:rPr>
        <w:t>,</w:t>
      </w:r>
      <w:r w:rsidR="00392DBB" w:rsidRPr="0076432A">
        <w:rPr>
          <w:rFonts w:cs="Arial"/>
          <w:rtl/>
        </w:rPr>
        <w:t xml:space="preserve"> וחלק לאשתו קרקע כל שהוא </w:t>
      </w:r>
      <w:r w:rsidR="00F762B6">
        <w:rPr>
          <w:rFonts w:cs="Arial" w:hint="cs"/>
          <w:rtl/>
        </w:rPr>
        <w:t xml:space="preserve">- </w:t>
      </w:r>
      <w:r w:rsidR="00392DBB" w:rsidRPr="0076432A">
        <w:rPr>
          <w:rFonts w:cs="Arial"/>
          <w:rtl/>
        </w:rPr>
        <w:t>אבדה כתובתה</w:t>
      </w:r>
      <w:r w:rsidR="00F762B6">
        <w:rPr>
          <w:rFonts w:cs="Arial" w:hint="cs"/>
          <w:rtl/>
        </w:rPr>
        <w:t>,</w:t>
      </w:r>
      <w:r w:rsidR="00392DBB" w:rsidRPr="0076432A">
        <w:rPr>
          <w:rFonts w:cs="Arial"/>
          <w:rtl/>
        </w:rPr>
        <w:t xml:space="preserve"> בין אם הוא בריא או ש</w:t>
      </w:r>
      <w:r w:rsidR="00F762B6">
        <w:rPr>
          <w:rFonts w:cs="Arial" w:hint="cs"/>
          <w:rtl/>
        </w:rPr>
        <w:t>כ</w:t>
      </w:r>
      <w:r w:rsidR="00392DBB" w:rsidRPr="0076432A">
        <w:rPr>
          <w:rFonts w:cs="Arial"/>
          <w:rtl/>
        </w:rPr>
        <w:t>"מ</w:t>
      </w:r>
      <w:r w:rsidR="00F762B6">
        <w:rPr>
          <w:rFonts w:cs="Arial" w:hint="cs"/>
          <w:rtl/>
        </w:rPr>
        <w:t>,</w:t>
      </w:r>
      <w:r w:rsidR="00392DBB" w:rsidRPr="0076432A">
        <w:rPr>
          <w:rFonts w:cs="Arial"/>
          <w:rtl/>
        </w:rPr>
        <w:t xml:space="preserve"> ואפילו אם לא חילק בפניה רק ששתקה כשנודע לה</w:t>
      </w:r>
      <w:r w:rsidR="00F762B6">
        <w:rPr>
          <w:rFonts w:cs="Arial" w:hint="cs"/>
          <w:rtl/>
        </w:rPr>
        <w:t>,</w:t>
      </w:r>
      <w:r w:rsidR="00392DBB" w:rsidRPr="0076432A">
        <w:rPr>
          <w:rFonts w:cs="Arial"/>
          <w:rtl/>
        </w:rPr>
        <w:t xml:space="preserve"> דאמרינן כיון </w:t>
      </w:r>
      <w:r w:rsidR="00392DBB" w:rsidRPr="0076432A">
        <w:rPr>
          <w:rFonts w:cs="Arial"/>
          <w:rtl/>
        </w:rPr>
        <w:lastRenderedPageBreak/>
        <w:t>שחלק לה כבוד לחלוק עם הבנים ודאי מחלה</w:t>
      </w:r>
      <w:r w:rsidR="00ED3978">
        <w:rPr>
          <w:rFonts w:cs="Arial" w:hint="cs"/>
          <w:rtl/>
        </w:rPr>
        <w:t>..</w:t>
      </w:r>
      <w:r w:rsidR="00F762B6">
        <w:rPr>
          <w:rFonts w:cs="Arial" w:hint="cs"/>
          <w:rtl/>
        </w:rPr>
        <w:t>.</w:t>
      </w:r>
      <w:r w:rsidR="00ED3978" w:rsidRPr="00ED3978">
        <w:rPr>
          <w:rFonts w:cs="Arial"/>
          <w:rtl/>
        </w:rPr>
        <w:t xml:space="preserve"> ודוקא שחלק לה קרקע וחלק כל נכסיו</w:t>
      </w:r>
      <w:r w:rsidR="00430364">
        <w:rPr>
          <w:rStyle w:val="a7"/>
          <w:rFonts w:cs="Arial"/>
          <w:rtl/>
        </w:rPr>
        <w:footnoteReference w:id="2308"/>
      </w:r>
      <w:r w:rsidR="00ED3978" w:rsidRPr="00ED3978">
        <w:rPr>
          <w:rFonts w:cs="Arial" w:hint="cs"/>
          <w:rtl/>
        </w:rPr>
        <w:t>,</w:t>
      </w:r>
      <w:r w:rsidR="00ED3978" w:rsidRPr="00ED3978">
        <w:rPr>
          <w:rFonts w:cs="Arial"/>
          <w:rtl/>
        </w:rPr>
        <w:t xml:space="preserve"> אבל אם כתב מטלטלי</w:t>
      </w:r>
      <w:r w:rsidR="00D50155">
        <w:rPr>
          <w:rStyle w:val="a7"/>
          <w:rFonts w:cs="Arial"/>
          <w:rtl/>
        </w:rPr>
        <w:footnoteReference w:id="2309"/>
      </w:r>
      <w:r w:rsidR="00ED3978" w:rsidRPr="00ED3978">
        <w:rPr>
          <w:rFonts w:cs="Arial"/>
          <w:rtl/>
        </w:rPr>
        <w:t xml:space="preserve"> או שלא חלק כל נכסיו</w:t>
      </w:r>
      <w:r w:rsidR="00ED3978" w:rsidRPr="00ED3978">
        <w:rPr>
          <w:rFonts w:cs="Arial" w:hint="cs"/>
          <w:rtl/>
        </w:rPr>
        <w:t xml:space="preserve"> -</w:t>
      </w:r>
      <w:r w:rsidR="00ED3978" w:rsidRPr="00ED3978">
        <w:rPr>
          <w:rFonts w:cs="Arial"/>
          <w:rtl/>
        </w:rPr>
        <w:t xml:space="preserve"> לא אבדה כתובתה</w:t>
      </w:r>
      <w:r w:rsidR="00AF300D">
        <w:rPr>
          <w:rFonts w:cs="Arial" w:hint="cs"/>
          <w:rtl/>
        </w:rPr>
        <w:t xml:space="preserve"> </w:t>
      </w:r>
      <w:r w:rsidR="00AF300D">
        <w:rPr>
          <w:rFonts w:cs="Arial" w:hint="cs"/>
          <w:sz w:val="16"/>
          <w:szCs w:val="16"/>
          <w:rtl/>
        </w:rPr>
        <w:t>(ל' הטור)</w:t>
      </w:r>
      <w:r w:rsidR="00ED3978" w:rsidRPr="00ED3978">
        <w:rPr>
          <w:rFonts w:cs="Arial" w:hint="cs"/>
          <w:rtl/>
        </w:rPr>
        <w:t>.</w:t>
      </w:r>
      <w:r w:rsidR="00ED3978" w:rsidRPr="00ED3978">
        <w:rPr>
          <w:rFonts w:cs="Arial"/>
          <w:rtl/>
        </w:rPr>
        <w:t xml:space="preserve"> </w:t>
      </w:r>
      <w:r w:rsidR="00CC40E8" w:rsidRPr="00351B7D">
        <w:rPr>
          <w:rFonts w:asciiTheme="minorBidi" w:hAnsiTheme="minorBidi"/>
          <w:color w:val="E36C0A" w:themeColor="accent6" w:themeShade="BF"/>
          <w:rtl/>
        </w:rPr>
        <w:t>(וכ"</w:t>
      </w:r>
      <w:r w:rsidR="00CC40E8">
        <w:rPr>
          <w:rFonts w:asciiTheme="minorBidi" w:hAnsiTheme="minorBidi" w:hint="cs"/>
          <w:color w:val="E36C0A" w:themeColor="accent6" w:themeShade="BF"/>
          <w:rtl/>
        </w:rPr>
        <w:t>פ</w:t>
      </w:r>
      <w:r w:rsidR="00CC40E8" w:rsidRPr="00351B7D">
        <w:rPr>
          <w:rFonts w:asciiTheme="minorBidi" w:hAnsiTheme="minorBidi"/>
          <w:color w:val="E36C0A" w:themeColor="accent6" w:themeShade="BF"/>
          <w:rtl/>
        </w:rPr>
        <w:t xml:space="preserve"> בשו"ע)</w:t>
      </w:r>
    </w:p>
    <w:p w14:paraId="52B6E449" w14:textId="561BC535" w:rsidR="00F762B6" w:rsidRPr="00F762B6" w:rsidRDefault="00392DBB" w:rsidP="009000E3">
      <w:pPr>
        <w:pStyle w:val="ab"/>
        <w:numPr>
          <w:ilvl w:val="0"/>
          <w:numId w:val="63"/>
        </w:numPr>
      </w:pPr>
      <w:r w:rsidRPr="0076432A">
        <w:rPr>
          <w:rFonts w:cs="Arial"/>
          <w:rtl/>
        </w:rPr>
        <w:t>ר"ח</w:t>
      </w:r>
      <w:r w:rsidR="00776AF6">
        <w:rPr>
          <w:rFonts w:cs="Arial" w:hint="cs"/>
          <w:sz w:val="16"/>
          <w:szCs w:val="16"/>
          <w:rtl/>
        </w:rPr>
        <w:t xml:space="preserve"> (כ"כ הטור בשמו)</w:t>
      </w:r>
      <w:r w:rsidR="00776AF6">
        <w:rPr>
          <w:rFonts w:cs="Arial" w:hint="cs"/>
          <w:rtl/>
        </w:rPr>
        <w:t>-</w:t>
      </w:r>
      <w:r w:rsidRPr="0076432A">
        <w:rPr>
          <w:rFonts w:cs="Arial"/>
          <w:rtl/>
        </w:rPr>
        <w:t xml:space="preserve"> דוקא כשחלק לה חלק אחד כאחד מן הבנים אז מחלה בשתיקה לחוד</w:t>
      </w:r>
      <w:r w:rsidR="00F762B6">
        <w:rPr>
          <w:rFonts w:cs="Arial" w:hint="cs"/>
          <w:rtl/>
        </w:rPr>
        <w:t>,</w:t>
      </w:r>
      <w:r w:rsidRPr="0076432A">
        <w:rPr>
          <w:rFonts w:cs="Arial"/>
          <w:rtl/>
        </w:rPr>
        <w:t xml:space="preserve"> אבל אם לא נתן לה כאחד מן הבנים אז לא מחלה בשתיקה אא"כ כתב לה וקבלה עליה</w:t>
      </w:r>
      <w:r w:rsidR="000E4AA5">
        <w:rPr>
          <w:rStyle w:val="a7"/>
          <w:rFonts w:cs="Arial"/>
          <w:rtl/>
        </w:rPr>
        <w:footnoteReference w:id="2310"/>
      </w:r>
      <w:r w:rsidR="00F762B6">
        <w:rPr>
          <w:rFonts w:cs="Arial" w:hint="cs"/>
          <w:rtl/>
        </w:rPr>
        <w:t>.</w:t>
      </w:r>
      <w:r w:rsidRPr="0076432A">
        <w:rPr>
          <w:rFonts w:cs="Arial"/>
          <w:rtl/>
        </w:rPr>
        <w:t xml:space="preserve"> </w:t>
      </w:r>
    </w:p>
    <w:p w14:paraId="3B0CED23" w14:textId="3D6F6469" w:rsidR="008A73F8" w:rsidRPr="00D379AC" w:rsidRDefault="00D379AC" w:rsidP="00D379AC">
      <w:pPr>
        <w:ind w:left="360"/>
        <w:rPr>
          <w:u w:val="dotted"/>
        </w:rPr>
      </w:pPr>
      <w:r w:rsidRPr="00D379AC">
        <w:rPr>
          <w:rFonts w:cs="Arial" w:hint="cs"/>
          <w:u w:val="dotted"/>
          <w:rtl/>
        </w:rPr>
        <w:t xml:space="preserve">ומה הדין </w:t>
      </w:r>
      <w:r w:rsidRPr="00D379AC">
        <w:rPr>
          <w:rFonts w:cs="Arial"/>
          <w:u w:val="dotted"/>
          <w:rtl/>
        </w:rPr>
        <w:t>אם חלק נכסיו בינה ובין אחרים</w:t>
      </w:r>
      <w:r w:rsidRPr="00D379AC">
        <w:rPr>
          <w:rFonts w:cs="Arial" w:hint="cs"/>
          <w:u w:val="dotted"/>
          <w:rtl/>
        </w:rPr>
        <w:t>:</w:t>
      </w:r>
      <w:r w:rsidR="00392DBB" w:rsidRPr="00D379AC">
        <w:rPr>
          <w:rFonts w:cs="Arial"/>
          <w:u w:val="dotted"/>
          <w:rtl/>
        </w:rPr>
        <w:t xml:space="preserve"> </w:t>
      </w:r>
    </w:p>
    <w:p w14:paraId="0D1192E5" w14:textId="12992D8D" w:rsidR="00ED3978" w:rsidRPr="00ED3978" w:rsidRDefault="00ED3978" w:rsidP="009000E3">
      <w:pPr>
        <w:pStyle w:val="ab"/>
        <w:numPr>
          <w:ilvl w:val="0"/>
          <w:numId w:val="63"/>
        </w:numPr>
      </w:pPr>
      <w:r>
        <w:rPr>
          <w:rFonts w:cs="Arial" w:hint="cs"/>
          <w:rtl/>
        </w:rPr>
        <w:t xml:space="preserve">רא"ש </w:t>
      </w:r>
      <w:r>
        <w:rPr>
          <w:rFonts w:cs="Arial" w:hint="cs"/>
          <w:sz w:val="16"/>
          <w:szCs w:val="16"/>
          <w:rtl/>
        </w:rPr>
        <w:t>(</w:t>
      </w:r>
      <w:r w:rsidR="00900EEB">
        <w:rPr>
          <w:rFonts w:cs="Arial" w:hint="cs"/>
          <w:sz w:val="16"/>
          <w:szCs w:val="16"/>
          <w:rtl/>
        </w:rPr>
        <w:t>שם, ו</w:t>
      </w:r>
      <w:r>
        <w:rPr>
          <w:rFonts w:cs="Arial" w:hint="cs"/>
          <w:sz w:val="16"/>
          <w:szCs w:val="16"/>
          <w:rtl/>
        </w:rPr>
        <w:t>כ"כ הטור בשמו)</w:t>
      </w:r>
      <w:r>
        <w:rPr>
          <w:rFonts w:cs="Arial" w:hint="cs"/>
          <w:rtl/>
        </w:rPr>
        <w:t xml:space="preserve">- </w:t>
      </w:r>
      <w:r w:rsidR="00392DBB" w:rsidRPr="0076432A">
        <w:rPr>
          <w:rFonts w:cs="Arial"/>
          <w:rtl/>
        </w:rPr>
        <w:t>דוקא שחלק נכסיו בינה ובין בניו</w:t>
      </w:r>
      <w:r w:rsidR="00E65D20">
        <w:rPr>
          <w:rFonts w:cs="Arial" w:hint="cs"/>
          <w:rtl/>
        </w:rPr>
        <w:t>,</w:t>
      </w:r>
      <w:r w:rsidR="00392DBB" w:rsidRPr="0076432A">
        <w:rPr>
          <w:rFonts w:cs="Arial"/>
          <w:rtl/>
        </w:rPr>
        <w:t xml:space="preserve"> אבל אם חלק נכסיו בינה ובין אחרים</w:t>
      </w:r>
      <w:r w:rsidR="008A73F8">
        <w:rPr>
          <w:rFonts w:cs="Arial" w:hint="cs"/>
          <w:rtl/>
        </w:rPr>
        <w:t xml:space="preserve"> -</w:t>
      </w:r>
      <w:r w:rsidR="00392DBB" w:rsidRPr="0076432A">
        <w:rPr>
          <w:rFonts w:cs="Arial"/>
          <w:rtl/>
        </w:rPr>
        <w:t xml:space="preserve"> לא אבדה</w:t>
      </w:r>
      <w:r w:rsidR="008A73F8">
        <w:rPr>
          <w:rFonts w:cs="Arial" w:hint="cs"/>
          <w:rtl/>
        </w:rPr>
        <w:t>.</w:t>
      </w:r>
      <w:r w:rsidR="00392DBB" w:rsidRPr="0076432A">
        <w:rPr>
          <w:rFonts w:cs="Arial"/>
          <w:rtl/>
        </w:rPr>
        <w:t xml:space="preserve"> </w:t>
      </w:r>
      <w:r w:rsidR="00CC40E8" w:rsidRPr="00351B7D">
        <w:rPr>
          <w:rFonts w:asciiTheme="minorBidi" w:hAnsiTheme="minorBidi"/>
          <w:color w:val="E36C0A" w:themeColor="accent6" w:themeShade="BF"/>
          <w:rtl/>
        </w:rPr>
        <w:t>(וכ"</w:t>
      </w:r>
      <w:r w:rsidR="00CC40E8">
        <w:rPr>
          <w:rFonts w:asciiTheme="minorBidi" w:hAnsiTheme="minorBidi" w:hint="cs"/>
          <w:color w:val="E36C0A" w:themeColor="accent6" w:themeShade="BF"/>
          <w:rtl/>
        </w:rPr>
        <w:t>פ</w:t>
      </w:r>
      <w:r w:rsidR="00CC40E8" w:rsidRPr="00351B7D">
        <w:rPr>
          <w:rFonts w:asciiTheme="minorBidi" w:hAnsiTheme="minorBidi"/>
          <w:color w:val="E36C0A" w:themeColor="accent6" w:themeShade="BF"/>
          <w:rtl/>
        </w:rPr>
        <w:t xml:space="preserve"> בשו"ע)</w:t>
      </w:r>
    </w:p>
    <w:p w14:paraId="62705F04" w14:textId="19752875" w:rsidR="00392DBB" w:rsidRDefault="00392DBB" w:rsidP="00430364">
      <w:pPr>
        <w:pStyle w:val="ab"/>
        <w:numPr>
          <w:ilvl w:val="0"/>
          <w:numId w:val="63"/>
        </w:numPr>
      </w:pPr>
      <w:r w:rsidRPr="0076432A">
        <w:rPr>
          <w:rFonts w:cs="Arial"/>
          <w:rtl/>
        </w:rPr>
        <w:t xml:space="preserve">רשב"ם </w:t>
      </w:r>
      <w:r w:rsidR="00ED3978">
        <w:rPr>
          <w:rFonts w:cs="Arial" w:hint="cs"/>
          <w:sz w:val="16"/>
          <w:szCs w:val="16"/>
          <w:rtl/>
        </w:rPr>
        <w:t>(</w:t>
      </w:r>
      <w:r w:rsidR="00452657">
        <w:rPr>
          <w:rFonts w:cs="Arial" w:hint="cs"/>
          <w:sz w:val="16"/>
          <w:szCs w:val="16"/>
          <w:rtl/>
        </w:rPr>
        <w:t>קלג. ד"ה א"ל רב יימר, ו</w:t>
      </w:r>
      <w:r w:rsidR="00ED3978">
        <w:rPr>
          <w:rFonts w:cs="Arial" w:hint="cs"/>
          <w:sz w:val="16"/>
          <w:szCs w:val="16"/>
          <w:rtl/>
        </w:rPr>
        <w:t xml:space="preserve">כ"כ </w:t>
      </w:r>
      <w:r w:rsidR="00452657">
        <w:rPr>
          <w:rFonts w:cs="Arial" w:hint="cs"/>
          <w:sz w:val="16"/>
          <w:szCs w:val="16"/>
          <w:rtl/>
        </w:rPr>
        <w:t>בשמו הרא"ש ו</w:t>
      </w:r>
      <w:r w:rsidR="00ED3978">
        <w:rPr>
          <w:rFonts w:cs="Arial" w:hint="cs"/>
          <w:sz w:val="16"/>
          <w:szCs w:val="16"/>
          <w:rtl/>
        </w:rPr>
        <w:t>הטו</w:t>
      </w:r>
      <w:r w:rsidR="00452657">
        <w:rPr>
          <w:rFonts w:cs="Arial" w:hint="cs"/>
          <w:sz w:val="16"/>
          <w:szCs w:val="16"/>
          <w:rtl/>
        </w:rPr>
        <w:t>ר</w:t>
      </w:r>
      <w:r w:rsidR="00ED3978">
        <w:rPr>
          <w:rFonts w:cs="Arial" w:hint="cs"/>
          <w:sz w:val="16"/>
          <w:szCs w:val="16"/>
          <w:rtl/>
        </w:rPr>
        <w:t>)</w:t>
      </w:r>
      <w:r w:rsidR="00ED3978">
        <w:rPr>
          <w:rFonts w:cs="Arial" w:hint="cs"/>
          <w:rtl/>
        </w:rPr>
        <w:t xml:space="preserve">- </w:t>
      </w:r>
      <w:r w:rsidR="00452657" w:rsidRPr="00452657">
        <w:rPr>
          <w:rFonts w:cs="Arial"/>
          <w:rtl/>
        </w:rPr>
        <w:t>הוא הדין אם כתב כל נכסיו לאחרים בפניה ולה כתב קרקע כל שהוא קנו שהרי מחלה להן שעבודה ולא תטרוף מהן כרב נחמן דאמר הואיל ועשאה שותף בין הבנים אבדה כתובתה</w:t>
      </w:r>
      <w:r w:rsidR="00E65D20">
        <w:rPr>
          <w:rFonts w:cs="Arial" w:hint="cs"/>
          <w:rtl/>
        </w:rPr>
        <w:t>,</w:t>
      </w:r>
      <w:r w:rsidR="00452657" w:rsidRPr="00452657">
        <w:rPr>
          <w:rFonts w:cs="Arial"/>
          <w:rtl/>
        </w:rPr>
        <w:t xml:space="preserve"> דבעשאה שותף תליא מילתא ל"ש עם בניו ול"ש עם אחרים</w:t>
      </w:r>
      <w:r w:rsidR="00900EEB">
        <w:rPr>
          <w:rStyle w:val="a7"/>
          <w:rFonts w:cs="Arial"/>
          <w:rtl/>
        </w:rPr>
        <w:footnoteReference w:id="2311"/>
      </w:r>
      <w:r w:rsidR="00ED3978">
        <w:rPr>
          <w:rFonts w:cs="Arial" w:hint="cs"/>
          <w:rtl/>
        </w:rPr>
        <w:t>.</w:t>
      </w:r>
    </w:p>
    <w:p w14:paraId="298A2297" w14:textId="19FB13EC" w:rsidR="007D38CA" w:rsidRPr="007D38CA" w:rsidRDefault="007D38CA" w:rsidP="007D38CA">
      <w:pPr>
        <w:ind w:left="360"/>
        <w:rPr>
          <w:u w:val="dotted"/>
        </w:rPr>
      </w:pPr>
      <w:r w:rsidRPr="007D38CA">
        <w:rPr>
          <w:rFonts w:hint="cs"/>
          <w:u w:val="dotted"/>
          <w:rtl/>
        </w:rPr>
        <w:t>כשמאבדת כתובתה - האם מאבדת גם נדונייתה:</w:t>
      </w:r>
    </w:p>
    <w:p w14:paraId="09C9271E" w14:textId="550EF6A3" w:rsidR="007D38CA" w:rsidRPr="00125CEF" w:rsidRDefault="007D38CA" w:rsidP="00430364">
      <w:pPr>
        <w:pStyle w:val="ab"/>
        <w:numPr>
          <w:ilvl w:val="0"/>
          <w:numId w:val="63"/>
        </w:numPr>
      </w:pPr>
      <w:r w:rsidRPr="00900EEB">
        <w:rPr>
          <w:rFonts w:cs="Arial"/>
          <w:rtl/>
        </w:rPr>
        <w:t>רא"ש</w:t>
      </w:r>
      <w:r>
        <w:rPr>
          <w:rStyle w:val="a7"/>
          <w:rFonts w:cs="Arial"/>
          <w:rtl/>
        </w:rPr>
        <w:footnoteReference w:id="2312"/>
      </w:r>
      <w:r w:rsidRPr="00900EEB">
        <w:rPr>
          <w:rFonts w:cs="Arial"/>
          <w:rtl/>
        </w:rPr>
        <w:t xml:space="preserve"> </w:t>
      </w:r>
      <w:r>
        <w:rPr>
          <w:rFonts w:cs="Arial" w:hint="cs"/>
          <w:sz w:val="16"/>
          <w:szCs w:val="16"/>
          <w:rtl/>
        </w:rPr>
        <w:t>(</w:t>
      </w:r>
      <w:r w:rsidRPr="00D57693">
        <w:rPr>
          <w:rFonts w:cs="Arial"/>
          <w:sz w:val="16"/>
          <w:szCs w:val="16"/>
          <w:rtl/>
        </w:rPr>
        <w:t>כלל מא סי</w:t>
      </w:r>
      <w:r w:rsidRPr="00D57693">
        <w:rPr>
          <w:rFonts w:cs="Arial" w:hint="cs"/>
          <w:sz w:val="16"/>
          <w:szCs w:val="16"/>
          <w:rtl/>
        </w:rPr>
        <w:t>'</w:t>
      </w:r>
      <w:r w:rsidRPr="00D57693">
        <w:rPr>
          <w:rFonts w:cs="Arial"/>
          <w:sz w:val="16"/>
          <w:szCs w:val="16"/>
          <w:rtl/>
        </w:rPr>
        <w:t xml:space="preserve"> ב</w:t>
      </w:r>
      <w:r w:rsidRPr="00D57693">
        <w:rPr>
          <w:rFonts w:cs="Arial" w:hint="cs"/>
          <w:sz w:val="16"/>
          <w:szCs w:val="16"/>
          <w:rtl/>
        </w:rPr>
        <w:t>)</w:t>
      </w:r>
      <w:r>
        <w:rPr>
          <w:rFonts w:cs="Arial" w:hint="cs"/>
          <w:rtl/>
        </w:rPr>
        <w:t xml:space="preserve"> הה"מ </w:t>
      </w:r>
      <w:r>
        <w:rPr>
          <w:rFonts w:cs="Arial" w:hint="cs"/>
          <w:sz w:val="16"/>
          <w:szCs w:val="16"/>
          <w:rtl/>
        </w:rPr>
        <w:t>(פ"ו מהל' זכיה הי"א)</w:t>
      </w:r>
      <w:r w:rsidRPr="007D38CA">
        <w:rPr>
          <w:rFonts w:cs="Arial" w:hint="cs"/>
          <w:rtl/>
        </w:rPr>
        <w:t xml:space="preserve"> </w:t>
      </w:r>
      <w:r>
        <w:rPr>
          <w:rFonts w:cs="Arial" w:hint="cs"/>
          <w:rtl/>
        </w:rPr>
        <w:t>ור"ן</w:t>
      </w:r>
      <w:r>
        <w:rPr>
          <w:rStyle w:val="a7"/>
          <w:rFonts w:cs="Arial"/>
          <w:rtl/>
        </w:rPr>
        <w:footnoteReference w:id="2313"/>
      </w:r>
      <w:r>
        <w:rPr>
          <w:rFonts w:cs="Arial" w:hint="cs"/>
          <w:rtl/>
        </w:rPr>
        <w:t xml:space="preserve"> </w:t>
      </w:r>
      <w:r w:rsidRPr="00D57693">
        <w:rPr>
          <w:rFonts w:cs="Arial"/>
          <w:sz w:val="16"/>
          <w:szCs w:val="16"/>
          <w:rtl/>
        </w:rPr>
        <w:t>(קלב: ד"ה אמר ליה)</w:t>
      </w:r>
      <w:r>
        <w:rPr>
          <w:rFonts w:cs="Arial" w:hint="cs"/>
          <w:rtl/>
        </w:rPr>
        <w:t>-</w:t>
      </w:r>
      <w:r w:rsidRPr="007D38CA">
        <w:rPr>
          <w:rFonts w:cs="Arial"/>
          <w:rtl/>
        </w:rPr>
        <w:t xml:space="preserve"> אין דברים הללו אמורים אלא בעיקר כתובה דהיינו ק' וק"ק</w:t>
      </w:r>
      <w:r w:rsidR="00B817DD">
        <w:rPr>
          <w:rFonts w:cs="Arial" w:hint="cs"/>
          <w:rtl/>
        </w:rPr>
        <w:t>,</w:t>
      </w:r>
      <w:r w:rsidRPr="007D38CA">
        <w:rPr>
          <w:rFonts w:cs="Arial"/>
          <w:rtl/>
        </w:rPr>
        <w:t xml:space="preserve"> ואיפשר דאף תוספת דינו כן</w:t>
      </w:r>
      <w:r>
        <w:rPr>
          <w:rFonts w:cs="Arial" w:hint="cs"/>
          <w:rtl/>
        </w:rPr>
        <w:t>,</w:t>
      </w:r>
      <w:r w:rsidRPr="007D38CA">
        <w:rPr>
          <w:rFonts w:cs="Arial"/>
          <w:rtl/>
        </w:rPr>
        <w:t xml:space="preserve"> אבל נדוניא ודאי לא</w:t>
      </w:r>
      <w:r w:rsidR="00B817DD">
        <w:rPr>
          <w:rFonts w:cs="Arial" w:hint="cs"/>
          <w:rtl/>
        </w:rPr>
        <w:t xml:space="preserve"> </w:t>
      </w:r>
      <w:r w:rsidR="00B817DD">
        <w:rPr>
          <w:rFonts w:cs="Arial" w:hint="cs"/>
          <w:sz w:val="16"/>
          <w:szCs w:val="16"/>
          <w:rtl/>
        </w:rPr>
        <w:t>(ל' הב"י)</w:t>
      </w:r>
      <w:r w:rsidRPr="007D38CA">
        <w:rPr>
          <w:rFonts w:cs="Arial"/>
          <w:rtl/>
        </w:rPr>
        <w:t>.</w:t>
      </w:r>
      <w:r w:rsidR="00CC40E8" w:rsidRPr="00CC40E8">
        <w:rPr>
          <w:rFonts w:asciiTheme="minorBidi" w:hAnsiTheme="minorBidi"/>
          <w:color w:val="E36C0A" w:themeColor="accent6" w:themeShade="BF"/>
          <w:rtl/>
        </w:rPr>
        <w:t xml:space="preserve"> </w:t>
      </w:r>
      <w:r w:rsidR="00CC40E8" w:rsidRPr="00351B7D">
        <w:rPr>
          <w:rFonts w:asciiTheme="minorBidi" w:hAnsiTheme="minorBidi"/>
          <w:color w:val="E36C0A" w:themeColor="accent6" w:themeShade="BF"/>
          <w:rtl/>
        </w:rPr>
        <w:t>(וכ"</w:t>
      </w:r>
      <w:r w:rsidR="00CC40E8">
        <w:rPr>
          <w:rFonts w:asciiTheme="minorBidi" w:hAnsiTheme="minorBidi" w:hint="cs"/>
          <w:color w:val="E36C0A" w:themeColor="accent6" w:themeShade="BF"/>
          <w:rtl/>
        </w:rPr>
        <w:t>פ</w:t>
      </w:r>
      <w:r w:rsidR="00CC40E8" w:rsidRPr="00351B7D">
        <w:rPr>
          <w:rFonts w:asciiTheme="minorBidi" w:hAnsiTheme="minorBidi"/>
          <w:color w:val="E36C0A" w:themeColor="accent6" w:themeShade="BF"/>
          <w:rtl/>
        </w:rPr>
        <w:t xml:space="preserve"> בשו"ע)</w:t>
      </w:r>
      <w:r w:rsidR="00E65D20">
        <w:rPr>
          <w:rFonts w:hint="cs"/>
          <w:color w:val="00B0F0"/>
          <w:rtl/>
        </w:rPr>
        <w:t xml:space="preserve"> </w:t>
      </w:r>
      <w:r w:rsidR="00CC40E8" w:rsidRPr="00CC40E8">
        <w:rPr>
          <w:rFonts w:hint="cs"/>
          <w:color w:val="00B0F0"/>
          <w:rtl/>
        </w:rPr>
        <w:t>(וכ"פ הרמ"א)</w:t>
      </w:r>
    </w:p>
    <w:p w14:paraId="57677CCF" w14:textId="7E242CE1" w:rsidR="00125CEF" w:rsidRDefault="00125CEF" w:rsidP="00125CEF">
      <w:pPr>
        <w:rPr>
          <w:rtl/>
        </w:rPr>
      </w:pPr>
      <w:r w:rsidRPr="00DE22C5">
        <w:rPr>
          <w:rFonts w:cs="Arial" w:hint="cs"/>
          <w:b/>
          <w:bCs/>
          <w:rtl/>
        </w:rPr>
        <w:t xml:space="preserve">בבא בתרא </w:t>
      </w:r>
      <w:r w:rsidRPr="00DE22C5">
        <w:rPr>
          <w:rFonts w:cs="Arial" w:hint="cs"/>
          <w:b/>
          <w:bCs/>
          <w:sz w:val="16"/>
          <w:szCs w:val="16"/>
          <w:rtl/>
        </w:rPr>
        <w:t>(פ' יש נוחלין)</w:t>
      </w:r>
      <w:r w:rsidRPr="00DE22C5">
        <w:rPr>
          <w:rFonts w:cs="Arial" w:hint="cs"/>
          <w:b/>
          <w:bCs/>
          <w:rtl/>
        </w:rPr>
        <w:t xml:space="preserve"> קלב ע"</w:t>
      </w:r>
      <w:r>
        <w:rPr>
          <w:rFonts w:cs="Arial" w:hint="cs"/>
          <w:b/>
          <w:bCs/>
          <w:rtl/>
        </w:rPr>
        <w:t>ב</w:t>
      </w:r>
      <w:r w:rsidRPr="00DE22C5">
        <w:rPr>
          <w:rFonts w:cs="Arial" w:hint="cs"/>
          <w:b/>
          <w:bCs/>
          <w:rtl/>
        </w:rPr>
        <w:t>:</w:t>
      </w:r>
      <w:r>
        <w:rPr>
          <w:rFonts w:cs="Arial" w:hint="cs"/>
          <w:rtl/>
        </w:rPr>
        <w:t xml:space="preserve"> </w:t>
      </w:r>
      <w:r w:rsidRPr="00841586">
        <w:rPr>
          <w:rFonts w:cs="Arial"/>
          <w:rtl/>
        </w:rPr>
        <w:t xml:space="preserve">ההוא דאמר להו: פלגא לברת ופלגא לברת ותילתא לאיתת בפירי; איקלע רב נחמן לסורא, עול לגבי רב חסדא, </w:t>
      </w:r>
      <w:r w:rsidRPr="00B61DD1">
        <w:rPr>
          <w:rFonts w:cs="Arial"/>
          <w:u w:val="single"/>
          <w:rtl/>
        </w:rPr>
        <w:t>אמר ליה</w:t>
      </w:r>
      <w:r w:rsidRPr="00841586">
        <w:rPr>
          <w:rFonts w:cs="Arial"/>
          <w:rtl/>
        </w:rPr>
        <w:t>: כי האי גוונא מאי? אמר ליה</w:t>
      </w:r>
      <w:r>
        <w:rPr>
          <w:rFonts w:cs="Arial" w:hint="cs"/>
          <w:rtl/>
        </w:rPr>
        <w:t>:</w:t>
      </w:r>
      <w:r w:rsidRPr="00841586">
        <w:rPr>
          <w:rFonts w:cs="Arial"/>
          <w:rtl/>
        </w:rPr>
        <w:t xml:space="preserve"> הכי אמר שמואל: אפילו לא הקנה לה אלא דקל אחד לפירותיו - אבדה כתובתה</w:t>
      </w:r>
      <w:r>
        <w:rPr>
          <w:rStyle w:val="a7"/>
          <w:rFonts w:cs="Arial"/>
          <w:rtl/>
        </w:rPr>
        <w:footnoteReference w:id="2314"/>
      </w:r>
      <w:r w:rsidRPr="00841586">
        <w:rPr>
          <w:rFonts w:cs="Arial"/>
          <w:rtl/>
        </w:rPr>
        <w:t xml:space="preserve">. </w:t>
      </w:r>
      <w:r w:rsidRPr="00B61DD1">
        <w:rPr>
          <w:rFonts w:cs="Arial"/>
          <w:u w:val="single"/>
          <w:rtl/>
        </w:rPr>
        <w:t>אמר ליה</w:t>
      </w:r>
      <w:r w:rsidRPr="00841586">
        <w:rPr>
          <w:rFonts w:cs="Arial"/>
          <w:rtl/>
        </w:rPr>
        <w:t xml:space="preserve">: אימור דאמר שמואל התם - דאקני לה בגופה דארעא, הכא פירא הוא! </w:t>
      </w:r>
      <w:r w:rsidRPr="00B61DD1">
        <w:rPr>
          <w:rFonts w:cs="Arial"/>
          <w:u w:val="single"/>
          <w:rtl/>
        </w:rPr>
        <w:t>אמר ליה</w:t>
      </w:r>
      <w:r w:rsidRPr="00841586">
        <w:rPr>
          <w:rFonts w:cs="Arial"/>
          <w:rtl/>
        </w:rPr>
        <w:t>: מטלטלי קא אמרת? מטלטלי ודאי לא קא אמינא.</w:t>
      </w:r>
      <w:r>
        <w:rPr>
          <w:rFonts w:hint="cs"/>
          <w:rtl/>
        </w:rPr>
        <w:t>..</w:t>
      </w:r>
      <w:r w:rsidRPr="00955E4A">
        <w:rPr>
          <w:rtl/>
        </w:rPr>
        <w:t xml:space="preserve"> </w:t>
      </w:r>
      <w:r>
        <w:rPr>
          <w:rFonts w:cs="Arial" w:hint="cs"/>
          <w:sz w:val="14"/>
          <w:szCs w:val="14"/>
          <w:rtl/>
        </w:rPr>
        <w:t xml:space="preserve">(קלג.) </w:t>
      </w:r>
      <w:r w:rsidRPr="00955E4A">
        <w:rPr>
          <w:rFonts w:cs="Arial"/>
          <w:rtl/>
        </w:rPr>
        <w:t xml:space="preserve">ההוא דפלגינהו לנכסיה לאתתיה ולבניה, שייר חד דיקלא; </w:t>
      </w:r>
      <w:r w:rsidRPr="00955E4A">
        <w:rPr>
          <w:rFonts w:cs="Arial"/>
          <w:u w:val="single"/>
          <w:rtl/>
        </w:rPr>
        <w:t>סבר רבינא למימר</w:t>
      </w:r>
      <w:r w:rsidRPr="00955E4A">
        <w:rPr>
          <w:rFonts w:cs="Arial"/>
          <w:rtl/>
        </w:rPr>
        <w:t xml:space="preserve">: לית לה אלא חד דיקלא, </w:t>
      </w:r>
      <w:r w:rsidRPr="00955E4A">
        <w:rPr>
          <w:rFonts w:cs="Arial"/>
          <w:u w:val="single"/>
          <w:rtl/>
        </w:rPr>
        <w:t>אמר ליה רב יימר לרבינא</w:t>
      </w:r>
      <w:r w:rsidRPr="00955E4A">
        <w:rPr>
          <w:rFonts w:cs="Arial"/>
          <w:rtl/>
        </w:rPr>
        <w:t>: אי לית לה, חד דיקלא נמי לית לה! אלא, מיגו דנחתא לדיקלא, נחתא נמי לכולהו נכסי.</w:t>
      </w:r>
    </w:p>
    <w:p w14:paraId="02B3DCB7" w14:textId="33551E79" w:rsidR="00AF300D" w:rsidRPr="00125CEF" w:rsidRDefault="00AF300D" w:rsidP="00125CEF">
      <w:pPr>
        <w:rPr>
          <w:u w:val="single"/>
        </w:rPr>
      </w:pPr>
      <w:r w:rsidRPr="00125CEF">
        <w:rPr>
          <w:rFonts w:hint="cs"/>
          <w:u w:val="single"/>
          <w:rtl/>
        </w:rPr>
        <w:t>כתב לה דקל לפירותיו או פירות מחוברין:</w:t>
      </w:r>
    </w:p>
    <w:p w14:paraId="65B1BF5A" w14:textId="0FC9C3AA" w:rsidR="00056885" w:rsidRPr="00056885" w:rsidRDefault="00AF300D" w:rsidP="00AF300D">
      <w:pPr>
        <w:pStyle w:val="ab"/>
        <w:numPr>
          <w:ilvl w:val="0"/>
          <w:numId w:val="63"/>
        </w:numPr>
      </w:pPr>
      <w:r>
        <w:rPr>
          <w:rFonts w:cs="Arial" w:hint="cs"/>
          <w:rtl/>
        </w:rPr>
        <w:t xml:space="preserve">טור- </w:t>
      </w:r>
      <w:r w:rsidRPr="00ED3978">
        <w:rPr>
          <w:rFonts w:cs="Arial"/>
          <w:rtl/>
        </w:rPr>
        <w:t>מיהו אפי' לא כתב לה אלא דקל לפירותיו או פירות מחוברין והן צריכין עדיין לקרקע חשיב שפיר קרקע</w:t>
      </w:r>
      <w:r w:rsidRPr="00ED3978">
        <w:rPr>
          <w:rFonts w:cs="Arial" w:hint="cs"/>
          <w:rtl/>
        </w:rPr>
        <w:t>.</w:t>
      </w:r>
      <w:r w:rsidR="00CC40E8" w:rsidRPr="00CC40E8">
        <w:rPr>
          <w:rFonts w:asciiTheme="minorBidi" w:hAnsiTheme="minorBidi"/>
          <w:color w:val="E36C0A" w:themeColor="accent6" w:themeShade="BF"/>
          <w:rtl/>
        </w:rPr>
        <w:t xml:space="preserve"> </w:t>
      </w:r>
      <w:r w:rsidR="00CC40E8" w:rsidRPr="00351B7D">
        <w:rPr>
          <w:rFonts w:asciiTheme="minorBidi" w:hAnsiTheme="minorBidi"/>
          <w:color w:val="E36C0A" w:themeColor="accent6" w:themeShade="BF"/>
          <w:rtl/>
        </w:rPr>
        <w:t>(וכ"</w:t>
      </w:r>
      <w:r w:rsidR="00CC40E8">
        <w:rPr>
          <w:rFonts w:asciiTheme="minorBidi" w:hAnsiTheme="minorBidi" w:hint="cs"/>
          <w:color w:val="E36C0A" w:themeColor="accent6" w:themeShade="BF"/>
          <w:rtl/>
        </w:rPr>
        <w:t>פ</w:t>
      </w:r>
      <w:r w:rsidR="00CC40E8" w:rsidRPr="00351B7D">
        <w:rPr>
          <w:rFonts w:asciiTheme="minorBidi" w:hAnsiTheme="minorBidi"/>
          <w:color w:val="E36C0A" w:themeColor="accent6" w:themeShade="BF"/>
          <w:rtl/>
        </w:rPr>
        <w:t xml:space="preserve"> בשו"ע)</w:t>
      </w:r>
      <w:r w:rsidRPr="00ED3978">
        <w:rPr>
          <w:rFonts w:cs="Arial"/>
          <w:rtl/>
        </w:rPr>
        <w:t xml:space="preserve"> </w:t>
      </w:r>
    </w:p>
    <w:p w14:paraId="70F83424" w14:textId="4881FC05" w:rsidR="00125CEF" w:rsidRPr="00841586" w:rsidRDefault="00125CEF" w:rsidP="00125CEF">
      <w:pPr>
        <w:rPr>
          <w:rtl/>
        </w:rPr>
      </w:pPr>
      <w:r w:rsidRPr="00125CEF">
        <w:rPr>
          <w:rFonts w:cs="Arial" w:hint="cs"/>
          <w:b/>
          <w:bCs/>
          <w:rtl/>
        </w:rPr>
        <w:lastRenderedPageBreak/>
        <w:t xml:space="preserve">בבא בתרא </w:t>
      </w:r>
      <w:r w:rsidRPr="00125CEF">
        <w:rPr>
          <w:rFonts w:cs="Arial" w:hint="cs"/>
          <w:b/>
          <w:bCs/>
          <w:sz w:val="16"/>
          <w:szCs w:val="16"/>
          <w:rtl/>
        </w:rPr>
        <w:t>(פ' יש נוחלין)</w:t>
      </w:r>
      <w:r w:rsidRPr="00125CEF">
        <w:rPr>
          <w:rFonts w:cs="Arial" w:hint="cs"/>
          <w:b/>
          <w:bCs/>
          <w:rtl/>
        </w:rPr>
        <w:t xml:space="preserve"> קלב ע"ב:</w:t>
      </w:r>
      <w:r w:rsidRPr="00125CEF">
        <w:rPr>
          <w:rFonts w:cs="Arial" w:hint="cs"/>
          <w:rtl/>
        </w:rPr>
        <w:t xml:space="preserve"> </w:t>
      </w:r>
      <w:r w:rsidRPr="00125CEF">
        <w:rPr>
          <w:rFonts w:cs="Arial"/>
          <w:rtl/>
        </w:rPr>
        <w:t xml:space="preserve">ההוא דאמר להו: תלתא לברת ותלתא לברת ותלתא לאיתת, שכיבא חדא מבנתיה; </w:t>
      </w:r>
      <w:r w:rsidRPr="00125CEF">
        <w:rPr>
          <w:rFonts w:cs="Arial"/>
          <w:u w:val="single"/>
          <w:rtl/>
        </w:rPr>
        <w:t>סבר רב פפי למימר</w:t>
      </w:r>
      <w:r w:rsidR="005B2BDE">
        <w:rPr>
          <w:rStyle w:val="a7"/>
          <w:rFonts w:cs="Arial"/>
          <w:u w:val="single"/>
          <w:rtl/>
        </w:rPr>
        <w:footnoteReference w:id="2315"/>
      </w:r>
      <w:r w:rsidRPr="00125CEF">
        <w:rPr>
          <w:rFonts w:cs="Arial"/>
          <w:rtl/>
        </w:rPr>
        <w:t>: לא שקלא אלא תלתא</w:t>
      </w:r>
      <w:r w:rsidRPr="00125CEF">
        <w:rPr>
          <w:rFonts w:cs="Arial" w:hint="cs"/>
          <w:rtl/>
        </w:rPr>
        <w:t>.</w:t>
      </w:r>
      <w:r w:rsidRPr="000C435A">
        <w:rPr>
          <w:rtl/>
        </w:rPr>
        <w:t xml:space="preserve"> </w:t>
      </w:r>
      <w:r w:rsidRPr="00125CEF">
        <w:rPr>
          <w:rFonts w:cs="Arial"/>
          <w:u w:val="single"/>
          <w:rtl/>
        </w:rPr>
        <w:t>אמר ליה רב כהנא</w:t>
      </w:r>
      <w:r w:rsidR="00AF270F">
        <w:rPr>
          <w:rStyle w:val="a7"/>
          <w:rFonts w:cs="Arial"/>
          <w:rtl/>
        </w:rPr>
        <w:footnoteReference w:id="2316"/>
      </w:r>
      <w:r w:rsidRPr="00125CEF">
        <w:rPr>
          <w:rFonts w:cs="Arial"/>
          <w:rtl/>
        </w:rPr>
        <w:t>: אילו הדר קני, מי לא שקלא? וכיון דאילו הדר קני שקלא, השתא נמי שקלא.</w:t>
      </w:r>
    </w:p>
    <w:p w14:paraId="566A83C6" w14:textId="024758D8" w:rsidR="00056885" w:rsidRPr="00125CEF" w:rsidRDefault="00125CEF" w:rsidP="00125CEF">
      <w:pPr>
        <w:rPr>
          <w:u w:val="single"/>
        </w:rPr>
      </w:pPr>
      <w:r w:rsidRPr="00776AF6">
        <w:rPr>
          <w:rFonts w:cs="Arial"/>
          <w:u w:val="single"/>
          <w:rtl/>
        </w:rPr>
        <w:t xml:space="preserve">כתב נכסיו לבניו ולאשתו </w:t>
      </w:r>
      <w:r w:rsidRPr="00776AF6">
        <w:rPr>
          <w:rFonts w:hint="cs"/>
          <w:u w:val="single"/>
          <w:rtl/>
        </w:rPr>
        <w:t>-</w:t>
      </w:r>
      <w:r>
        <w:rPr>
          <w:rFonts w:hint="cs"/>
          <w:u w:val="single"/>
          <w:rtl/>
        </w:rPr>
        <w:t xml:space="preserve"> מה </w:t>
      </w:r>
      <w:r w:rsidR="00056885" w:rsidRPr="00125CEF">
        <w:rPr>
          <w:rFonts w:hint="cs"/>
          <w:u w:val="single"/>
          <w:rtl/>
        </w:rPr>
        <w:t>דין הנכסים שיקנה מכאן ולהבא:</w:t>
      </w:r>
    </w:p>
    <w:p w14:paraId="40D1BDAF" w14:textId="65F4D80C" w:rsidR="00900EEB" w:rsidRPr="00900EEB" w:rsidRDefault="009E192F" w:rsidP="00900EEB">
      <w:pPr>
        <w:pStyle w:val="ab"/>
        <w:numPr>
          <w:ilvl w:val="0"/>
          <w:numId w:val="63"/>
        </w:numPr>
      </w:pPr>
      <w:r>
        <w:rPr>
          <w:rFonts w:hint="cs"/>
          <w:rtl/>
        </w:rPr>
        <w:t>רמב"ם</w:t>
      </w:r>
      <w:r>
        <w:rPr>
          <w:rStyle w:val="a7"/>
          <w:rtl/>
        </w:rPr>
        <w:footnoteReference w:id="2317"/>
      </w:r>
      <w:r>
        <w:rPr>
          <w:rFonts w:hint="cs"/>
          <w:rtl/>
        </w:rPr>
        <w:t xml:space="preserve"> </w:t>
      </w:r>
      <w:r>
        <w:rPr>
          <w:rFonts w:hint="cs"/>
          <w:sz w:val="16"/>
          <w:szCs w:val="16"/>
          <w:rtl/>
        </w:rPr>
        <w:t>(פ"ו מהל' זכיה ה"ט)</w:t>
      </w:r>
      <w:r>
        <w:rPr>
          <w:rFonts w:hint="cs"/>
          <w:rtl/>
        </w:rPr>
        <w:t xml:space="preserve"> </w:t>
      </w:r>
      <w:r>
        <w:rPr>
          <w:rFonts w:cs="Arial" w:hint="cs"/>
          <w:rtl/>
        </w:rPr>
        <w:t>ו</w:t>
      </w:r>
      <w:r w:rsidR="00056885">
        <w:rPr>
          <w:rFonts w:cs="Arial" w:hint="cs"/>
          <w:rtl/>
        </w:rPr>
        <w:t xml:space="preserve">טור- </w:t>
      </w:r>
      <w:r w:rsidR="00AF300D" w:rsidRPr="00ED3978">
        <w:rPr>
          <w:rFonts w:cs="Arial"/>
          <w:rtl/>
        </w:rPr>
        <w:t>אפילו כתב לה קרקע וחלק כל נכסיו לא אבדה אלא מאותן נכסים</w:t>
      </w:r>
      <w:r w:rsidR="00CB446D">
        <w:rPr>
          <w:rFonts w:cs="Arial" w:hint="cs"/>
          <w:rtl/>
        </w:rPr>
        <w:t>,</w:t>
      </w:r>
      <w:r w:rsidR="00AF300D" w:rsidRPr="00ED3978">
        <w:rPr>
          <w:rFonts w:cs="Arial"/>
          <w:rtl/>
        </w:rPr>
        <w:t xml:space="preserve"> אבל אם קנה נכסים אחרים</w:t>
      </w:r>
      <w:r w:rsidR="00AF300D" w:rsidRPr="00ED3978">
        <w:rPr>
          <w:rFonts w:cs="Arial" w:hint="cs"/>
          <w:rtl/>
        </w:rPr>
        <w:t>,</w:t>
      </w:r>
      <w:r w:rsidR="00AF300D" w:rsidRPr="00ED3978">
        <w:rPr>
          <w:rFonts w:cs="Arial"/>
          <w:rtl/>
        </w:rPr>
        <w:t xml:space="preserve"> או אפילו באו לידה מאותן הנכסים כגון שמת אחד מהבנים וירשו</w:t>
      </w:r>
      <w:r w:rsidR="00AF300D" w:rsidRPr="00ED3978">
        <w:rPr>
          <w:rFonts w:cs="Arial" w:hint="cs"/>
          <w:rtl/>
        </w:rPr>
        <w:t xml:space="preserve"> -</w:t>
      </w:r>
      <w:r w:rsidR="00AF300D" w:rsidRPr="00ED3978">
        <w:rPr>
          <w:rFonts w:cs="Arial"/>
          <w:rtl/>
        </w:rPr>
        <w:t xml:space="preserve"> גובה מהם</w:t>
      </w:r>
      <w:r w:rsidR="00AF300D">
        <w:rPr>
          <w:rFonts w:cs="Arial" w:hint="cs"/>
          <w:sz w:val="16"/>
          <w:szCs w:val="16"/>
          <w:rtl/>
        </w:rPr>
        <w:t xml:space="preserve"> (ל' הטור)</w:t>
      </w:r>
      <w:r w:rsidR="00AF300D" w:rsidRPr="00ED3978">
        <w:rPr>
          <w:rFonts w:cs="Arial" w:hint="cs"/>
          <w:rtl/>
        </w:rPr>
        <w:t>.</w:t>
      </w:r>
      <w:r w:rsidR="00AF300D" w:rsidRPr="0076432A">
        <w:rPr>
          <w:rFonts w:cs="Arial"/>
          <w:rtl/>
        </w:rPr>
        <w:t xml:space="preserve"> </w:t>
      </w:r>
      <w:r w:rsidR="00CC40E8" w:rsidRPr="00351B7D">
        <w:rPr>
          <w:rFonts w:asciiTheme="minorBidi" w:hAnsiTheme="minorBidi"/>
          <w:color w:val="E36C0A" w:themeColor="accent6" w:themeShade="BF"/>
          <w:rtl/>
        </w:rPr>
        <w:t>(וכ"</w:t>
      </w:r>
      <w:r w:rsidR="00CC40E8">
        <w:rPr>
          <w:rFonts w:asciiTheme="minorBidi" w:hAnsiTheme="minorBidi" w:hint="cs"/>
          <w:color w:val="E36C0A" w:themeColor="accent6" w:themeShade="BF"/>
          <w:rtl/>
        </w:rPr>
        <w:t>פ</w:t>
      </w:r>
      <w:r w:rsidR="00CC40E8" w:rsidRPr="00351B7D">
        <w:rPr>
          <w:rFonts w:asciiTheme="minorBidi" w:hAnsiTheme="minorBidi"/>
          <w:color w:val="E36C0A" w:themeColor="accent6" w:themeShade="BF"/>
          <w:rtl/>
        </w:rPr>
        <w:t xml:space="preserve"> בשו"ע)</w:t>
      </w:r>
    </w:p>
    <w:p w14:paraId="0365B68F" w14:textId="42DE50EB" w:rsidR="00900EEB" w:rsidRPr="00CD007C" w:rsidRDefault="00900EEB" w:rsidP="00900EEB">
      <w:pPr>
        <w:rPr>
          <w:u w:val="single"/>
        </w:rPr>
      </w:pPr>
      <w:r w:rsidRPr="00CD007C">
        <w:rPr>
          <w:rFonts w:cs="Arial"/>
          <w:u w:val="single"/>
          <w:rtl/>
        </w:rPr>
        <w:t xml:space="preserve">לוה </w:t>
      </w:r>
      <w:r w:rsidR="00CD007C" w:rsidRPr="00CD007C">
        <w:rPr>
          <w:rFonts w:cs="Arial" w:hint="cs"/>
          <w:u w:val="single"/>
          <w:rtl/>
        </w:rPr>
        <w:t>ש</w:t>
      </w:r>
      <w:r w:rsidRPr="00CD007C">
        <w:rPr>
          <w:rFonts w:cs="Arial"/>
          <w:u w:val="single"/>
          <w:rtl/>
        </w:rPr>
        <w:t>חילק כל נכסיו לבניו בפני</w:t>
      </w:r>
      <w:r w:rsidR="00CD007C" w:rsidRPr="00CD007C">
        <w:rPr>
          <w:rFonts w:cs="Arial" w:hint="cs"/>
          <w:u w:val="single"/>
          <w:rtl/>
        </w:rPr>
        <w:t xml:space="preserve"> המלוה,</w:t>
      </w:r>
      <w:r w:rsidRPr="00CD007C">
        <w:rPr>
          <w:rFonts w:cs="Arial"/>
          <w:u w:val="single"/>
          <w:rtl/>
        </w:rPr>
        <w:t xml:space="preserve"> וה</w:t>
      </w:r>
      <w:r w:rsidR="00CD007C" w:rsidRPr="00CD007C">
        <w:rPr>
          <w:rFonts w:cs="Arial" w:hint="cs"/>
          <w:u w:val="single"/>
          <w:rtl/>
        </w:rPr>
        <w:t>מלוה</w:t>
      </w:r>
      <w:r w:rsidRPr="00CD007C">
        <w:rPr>
          <w:rFonts w:cs="Arial"/>
          <w:u w:val="single"/>
          <w:rtl/>
        </w:rPr>
        <w:t xml:space="preserve"> שותק</w:t>
      </w:r>
      <w:r w:rsidR="00CD007C" w:rsidRPr="00CD007C">
        <w:rPr>
          <w:rFonts w:cs="Arial" w:hint="cs"/>
          <w:u w:val="single"/>
          <w:rtl/>
        </w:rPr>
        <w:t>:</w:t>
      </w:r>
    </w:p>
    <w:p w14:paraId="57CD8BBA" w14:textId="7D112563" w:rsidR="00CD007C" w:rsidRPr="00CD007C" w:rsidRDefault="00392DBB" w:rsidP="00900EEB">
      <w:pPr>
        <w:pStyle w:val="ab"/>
        <w:numPr>
          <w:ilvl w:val="0"/>
          <w:numId w:val="63"/>
        </w:numPr>
      </w:pPr>
      <w:r w:rsidRPr="00900EEB">
        <w:rPr>
          <w:rFonts w:cs="Arial"/>
          <w:rtl/>
        </w:rPr>
        <w:t xml:space="preserve">בעל התרומות </w:t>
      </w:r>
      <w:r w:rsidR="00900EEB" w:rsidRPr="00900EEB">
        <w:rPr>
          <w:rFonts w:cs="Arial" w:hint="cs"/>
          <w:sz w:val="16"/>
          <w:szCs w:val="16"/>
          <w:rtl/>
        </w:rPr>
        <w:t>(</w:t>
      </w:r>
      <w:r w:rsidRPr="00900EEB">
        <w:rPr>
          <w:rFonts w:cs="Arial"/>
          <w:sz w:val="16"/>
          <w:szCs w:val="16"/>
          <w:rtl/>
        </w:rPr>
        <w:t>שער נט ח"א אות ב)</w:t>
      </w:r>
      <w:r w:rsidR="00D57693">
        <w:rPr>
          <w:rFonts w:cs="Arial" w:hint="cs"/>
          <w:rtl/>
        </w:rPr>
        <w:t xml:space="preserve"> </w:t>
      </w:r>
      <w:r w:rsidR="007D38CA" w:rsidRPr="00900EEB">
        <w:rPr>
          <w:rFonts w:cs="Arial"/>
          <w:rtl/>
        </w:rPr>
        <w:t>רא"ש</w:t>
      </w:r>
      <w:r w:rsidR="007D38CA">
        <w:rPr>
          <w:rStyle w:val="a7"/>
          <w:rFonts w:cs="Arial"/>
          <w:rtl/>
        </w:rPr>
        <w:footnoteReference w:id="2318"/>
      </w:r>
      <w:r w:rsidR="007D38CA" w:rsidRPr="00900EEB">
        <w:rPr>
          <w:rFonts w:cs="Arial"/>
          <w:rtl/>
        </w:rPr>
        <w:t xml:space="preserve"> </w:t>
      </w:r>
      <w:r w:rsidR="007D38CA">
        <w:rPr>
          <w:rFonts w:cs="Arial" w:hint="cs"/>
          <w:sz w:val="16"/>
          <w:szCs w:val="16"/>
          <w:rtl/>
        </w:rPr>
        <w:t>(</w:t>
      </w:r>
      <w:r w:rsidR="007D38CA" w:rsidRPr="00D57693">
        <w:rPr>
          <w:rFonts w:cs="Arial"/>
          <w:sz w:val="16"/>
          <w:szCs w:val="16"/>
          <w:rtl/>
        </w:rPr>
        <w:t>כלל מא סי</w:t>
      </w:r>
      <w:r w:rsidR="007D38CA" w:rsidRPr="00D57693">
        <w:rPr>
          <w:rFonts w:cs="Arial" w:hint="cs"/>
          <w:sz w:val="16"/>
          <w:szCs w:val="16"/>
          <w:rtl/>
        </w:rPr>
        <w:t>'</w:t>
      </w:r>
      <w:r w:rsidR="007D38CA" w:rsidRPr="00D57693">
        <w:rPr>
          <w:rFonts w:cs="Arial"/>
          <w:sz w:val="16"/>
          <w:szCs w:val="16"/>
          <w:rtl/>
        </w:rPr>
        <w:t xml:space="preserve"> ב</w:t>
      </w:r>
      <w:r w:rsidR="007D38CA" w:rsidRPr="00D57693">
        <w:rPr>
          <w:rFonts w:cs="Arial" w:hint="cs"/>
          <w:sz w:val="16"/>
          <w:szCs w:val="16"/>
          <w:rtl/>
        </w:rPr>
        <w:t>)</w:t>
      </w:r>
      <w:r w:rsidR="007D38CA">
        <w:rPr>
          <w:rFonts w:cs="Arial" w:hint="cs"/>
          <w:sz w:val="16"/>
          <w:szCs w:val="16"/>
          <w:rtl/>
        </w:rPr>
        <w:t xml:space="preserve"> </w:t>
      </w:r>
      <w:r w:rsidR="00D57693">
        <w:rPr>
          <w:rFonts w:cs="Arial" w:hint="cs"/>
          <w:rtl/>
        </w:rPr>
        <w:t xml:space="preserve">ור"ן </w:t>
      </w:r>
      <w:r w:rsidR="00D57693" w:rsidRPr="00D57693">
        <w:rPr>
          <w:rFonts w:cs="Arial"/>
          <w:sz w:val="16"/>
          <w:szCs w:val="16"/>
          <w:rtl/>
        </w:rPr>
        <w:t>(קלב: ד"ה אמר ליה)</w:t>
      </w:r>
      <w:r w:rsidR="00900EEB" w:rsidRPr="00900EEB">
        <w:rPr>
          <w:rFonts w:cs="Arial" w:hint="cs"/>
          <w:rtl/>
        </w:rPr>
        <w:t xml:space="preserve">- </w:t>
      </w:r>
      <w:r w:rsidRPr="00900EEB">
        <w:rPr>
          <w:rFonts w:cs="Arial"/>
          <w:rtl/>
        </w:rPr>
        <w:t>אין דברים הללו אמורים אלא לענין כתובה ומקולי כתובה שנו כאן</w:t>
      </w:r>
      <w:r w:rsidR="00900EEB">
        <w:rPr>
          <w:rFonts w:cs="Arial" w:hint="cs"/>
          <w:rtl/>
        </w:rPr>
        <w:t>,</w:t>
      </w:r>
      <w:r w:rsidRPr="00900EEB">
        <w:rPr>
          <w:rFonts w:cs="Arial"/>
          <w:rtl/>
        </w:rPr>
        <w:t xml:space="preserve"> אבל בעל חוב לא</w:t>
      </w:r>
      <w:r w:rsidR="00CB446D">
        <w:rPr>
          <w:rFonts w:cs="Arial" w:hint="cs"/>
          <w:rtl/>
        </w:rPr>
        <w:t>.</w:t>
      </w:r>
      <w:r w:rsidRPr="00900EEB">
        <w:rPr>
          <w:rFonts w:cs="Arial"/>
          <w:rtl/>
        </w:rPr>
        <w:t xml:space="preserve"> לא שנא אם הלוה חילק כל נכסיו לבניו בפניו והוא שותק</w:t>
      </w:r>
      <w:r w:rsidR="00CD007C">
        <w:rPr>
          <w:rFonts w:cs="Arial" w:hint="cs"/>
          <w:rtl/>
        </w:rPr>
        <w:t>,</w:t>
      </w:r>
      <w:r w:rsidRPr="00900EEB">
        <w:rPr>
          <w:rFonts w:cs="Arial"/>
          <w:rtl/>
        </w:rPr>
        <w:t xml:space="preserve"> לא שנא אם חילק כל נכסיו לבניו בפניו וכתב למלוה קרקע כל שהו ביניהם </w:t>
      </w:r>
      <w:r w:rsidR="00CD007C">
        <w:rPr>
          <w:rFonts w:cs="Arial" w:hint="cs"/>
          <w:rtl/>
        </w:rPr>
        <w:t xml:space="preserve">- </w:t>
      </w:r>
      <w:r w:rsidRPr="00900EEB">
        <w:rPr>
          <w:rFonts w:cs="Arial"/>
          <w:rtl/>
        </w:rPr>
        <w:t>לא איבד זכות חובו כלל</w:t>
      </w:r>
      <w:r w:rsidR="00D57693">
        <w:rPr>
          <w:rFonts w:cs="Arial" w:hint="cs"/>
          <w:sz w:val="16"/>
          <w:szCs w:val="16"/>
          <w:rtl/>
        </w:rPr>
        <w:t xml:space="preserve"> (ל' בעל התרומות)</w:t>
      </w:r>
      <w:r w:rsidR="00CD007C">
        <w:rPr>
          <w:rFonts w:cs="Arial" w:hint="cs"/>
          <w:rtl/>
        </w:rPr>
        <w:t>.</w:t>
      </w:r>
    </w:p>
    <w:p w14:paraId="2C062140"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236669A" w14:textId="15D44FC9" w:rsidR="00392DBB" w:rsidRDefault="00392DBB" w:rsidP="00392DBB">
      <w:pPr>
        <w:rPr>
          <w:rFonts w:cs="Arial"/>
          <w:rtl/>
        </w:rPr>
      </w:pPr>
      <w:r>
        <w:rPr>
          <w:rFonts w:cs="Arial"/>
          <w:rtl/>
        </w:rPr>
        <w:t>הכותב כל נכסיו לבניו, בין זכרים בין נקבות, בין בריא בין שכיב מרע, וכתב לאשתו עמהם קרקע כל שהוא או דקל לפירותיו או פירות מחוברים והם צריכים עדיין לקרקע, הואיל ועשה אותה שותף בין הבנים ושתקה כשנודע לה ולא מיחתה, איבדה עיקר כתובתה ותוספת</w:t>
      </w:r>
      <w:r w:rsidR="00CB446D">
        <w:rPr>
          <w:rFonts w:cs="Arial" w:hint="cs"/>
          <w:rtl/>
        </w:rPr>
        <w:t>.</w:t>
      </w:r>
      <w:r>
        <w:rPr>
          <w:rFonts w:cs="Arial"/>
          <w:rtl/>
        </w:rPr>
        <w:t xml:space="preserve"> </w:t>
      </w:r>
      <w:r>
        <w:rPr>
          <w:rFonts w:cs="Arial" w:hint="cs"/>
          <w:sz w:val="18"/>
          <w:szCs w:val="18"/>
          <w:rtl/>
        </w:rPr>
        <w:t xml:space="preserve">[הגה] </w:t>
      </w:r>
      <w:r w:rsidRPr="003D1481">
        <w:rPr>
          <w:rFonts w:cs="Arial"/>
          <w:sz w:val="18"/>
          <w:szCs w:val="18"/>
          <w:rtl/>
        </w:rPr>
        <w:t>אבל לא נדונייתא (</w:t>
      </w:r>
      <w:r w:rsidR="00CC40E8">
        <w:rPr>
          <w:rFonts w:cs="Arial" w:hint="cs"/>
          <w:sz w:val="18"/>
          <w:szCs w:val="18"/>
          <w:rtl/>
        </w:rPr>
        <w:t xml:space="preserve">רא"ש </w:t>
      </w:r>
      <w:r w:rsidRPr="003D1481">
        <w:rPr>
          <w:rFonts w:cs="Arial"/>
          <w:sz w:val="18"/>
          <w:szCs w:val="18"/>
          <w:rtl/>
        </w:rPr>
        <w:t>ה</w:t>
      </w:r>
      <w:r w:rsidR="00CC40E8">
        <w:rPr>
          <w:rFonts w:cs="Arial" w:hint="cs"/>
          <w:sz w:val="18"/>
          <w:szCs w:val="18"/>
          <w:rtl/>
        </w:rPr>
        <w:t>ה"</w:t>
      </w:r>
      <w:r w:rsidRPr="003D1481">
        <w:rPr>
          <w:rFonts w:cs="Arial"/>
          <w:sz w:val="18"/>
          <w:szCs w:val="18"/>
          <w:rtl/>
        </w:rPr>
        <w:t>מ</w:t>
      </w:r>
      <w:r w:rsidR="00CC40E8">
        <w:rPr>
          <w:rFonts w:cs="Arial" w:hint="cs"/>
          <w:sz w:val="18"/>
          <w:szCs w:val="18"/>
          <w:rtl/>
        </w:rPr>
        <w:t xml:space="preserve"> ור"ן</w:t>
      </w:r>
      <w:r w:rsidRPr="003D1481">
        <w:rPr>
          <w:rFonts w:cs="Arial"/>
          <w:sz w:val="18"/>
          <w:szCs w:val="18"/>
          <w:rtl/>
        </w:rPr>
        <w:t>).</w:t>
      </w:r>
      <w:r>
        <w:rPr>
          <w:rFonts w:cs="Arial"/>
          <w:rtl/>
        </w:rPr>
        <w:t xml:space="preserve"> ואינה טורפת מנכסים אלו כלום</w:t>
      </w:r>
      <w:r w:rsidR="00EF4FCE">
        <w:rPr>
          <w:rStyle w:val="a7"/>
          <w:rFonts w:cs="Arial"/>
          <w:rtl/>
        </w:rPr>
        <w:footnoteReference w:id="2319"/>
      </w:r>
      <w:r>
        <w:rPr>
          <w:rFonts w:cs="Arial"/>
          <w:rtl/>
        </w:rPr>
        <w:t xml:space="preserve">. אבל מנכסים שיבואו לו אחר כך גובה מהם, אפילו באו לידו מאותם הנכסים עצמם, כגון שמת אחד מהבנים וירשו. </w:t>
      </w:r>
    </w:p>
    <w:p w14:paraId="158D22AD" w14:textId="77777777" w:rsidR="00CC40E8" w:rsidRDefault="00CC40E8" w:rsidP="00392DBB">
      <w:pPr>
        <w:rPr>
          <w:rtl/>
        </w:rPr>
      </w:pPr>
    </w:p>
    <w:p w14:paraId="447F9ADE" w14:textId="3144268B" w:rsidR="00392DBB" w:rsidRDefault="00392DBB" w:rsidP="000F64D0">
      <w:pPr>
        <w:pStyle w:val="2"/>
        <w:rPr>
          <w:rtl/>
        </w:rPr>
      </w:pPr>
      <w:r>
        <w:rPr>
          <w:rtl/>
        </w:rPr>
        <w:t>סעיף ב</w:t>
      </w:r>
      <w:r>
        <w:rPr>
          <w:rFonts w:hint="cs"/>
          <w:rtl/>
        </w:rPr>
        <w:t>:</w:t>
      </w:r>
      <w:r w:rsidR="00C33769">
        <w:rPr>
          <w:rFonts w:hint="cs"/>
          <w:rtl/>
        </w:rPr>
        <w:t xml:space="preserve"> כתב לה מטלטלין או ששייר לעצמו נכסים.</w:t>
      </w:r>
    </w:p>
    <w:p w14:paraId="6E651CC6" w14:textId="1235FF4C" w:rsidR="00392DBB" w:rsidRPr="003D1481" w:rsidRDefault="00CC40E8" w:rsidP="00392DBB">
      <w:pPr>
        <w:rPr>
          <w:rtl/>
        </w:rPr>
      </w:pPr>
      <w:r>
        <w:rPr>
          <w:rFonts w:hint="cs"/>
          <w:rtl/>
        </w:rPr>
        <w:t>עיין במקורות בסעיף א.</w:t>
      </w:r>
    </w:p>
    <w:p w14:paraId="380DC7E0"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3B99E3E" w14:textId="4D047766" w:rsidR="00392DBB" w:rsidRDefault="00392DBB" w:rsidP="00392DBB">
      <w:pPr>
        <w:rPr>
          <w:rFonts w:cs="Arial"/>
          <w:sz w:val="18"/>
          <w:szCs w:val="18"/>
          <w:rtl/>
        </w:rPr>
      </w:pPr>
      <w:r>
        <w:rPr>
          <w:rFonts w:cs="Arial"/>
          <w:rtl/>
        </w:rPr>
        <w:t xml:space="preserve">כתב לה עמהם מטלטלין בלבד, או ששייר לעצמו קרקע כל שהוא, כתובתה קיימת. ולפי מה שתקנו הגאונים שכתובה נגבית מהמטלטלין, אפילו שייר מטלטלין כל שהוא, כתובתה קיימת, שהרי היא אומרת: ממה ששייר אני גובה, ומתוך שתרד למה ששייר תרד לשאר נכסים ותטרוף. </w:t>
      </w:r>
      <w:r w:rsidRPr="003D1481">
        <w:rPr>
          <w:rFonts w:cs="Arial"/>
          <w:sz w:val="18"/>
          <w:szCs w:val="18"/>
          <w:rtl/>
        </w:rPr>
        <w:t>הגה: מי שצוה לתת לבניו כך וכך, או לאחרים, וצוה כך לפני אשתו, ושתקה, י"א שצריכה לקיים (</w:t>
      </w:r>
      <w:r w:rsidR="00A5679C">
        <w:rPr>
          <w:rFonts w:cs="Arial" w:hint="cs"/>
          <w:sz w:val="18"/>
          <w:szCs w:val="18"/>
          <w:rtl/>
        </w:rPr>
        <w:t>ראב"ן</w:t>
      </w:r>
      <w:r w:rsidRPr="003D1481">
        <w:rPr>
          <w:rFonts w:cs="Arial"/>
          <w:sz w:val="18"/>
          <w:szCs w:val="18"/>
          <w:rtl/>
        </w:rPr>
        <w:t xml:space="preserve"> </w:t>
      </w:r>
      <w:r w:rsidR="004665FC">
        <w:rPr>
          <w:rFonts w:cs="Arial" w:hint="cs"/>
          <w:sz w:val="18"/>
          <w:szCs w:val="18"/>
          <w:rtl/>
        </w:rPr>
        <w:t>[</w:t>
      </w:r>
      <w:r w:rsidR="00A5679C">
        <w:rPr>
          <w:rFonts w:cs="Arial" w:hint="cs"/>
          <w:sz w:val="18"/>
          <w:szCs w:val="18"/>
          <w:rtl/>
        </w:rPr>
        <w:t xml:space="preserve">הביאו המרדכי </w:t>
      </w:r>
      <w:r w:rsidR="004665FC">
        <w:rPr>
          <w:rFonts w:cs="Arial" w:hint="cs"/>
          <w:sz w:val="18"/>
          <w:szCs w:val="18"/>
          <w:rtl/>
        </w:rPr>
        <w:t>כתובות</w:t>
      </w:r>
      <w:r w:rsidR="007F27A1">
        <w:rPr>
          <w:rFonts w:cs="Arial" w:hint="cs"/>
          <w:sz w:val="18"/>
          <w:szCs w:val="18"/>
          <w:rtl/>
        </w:rPr>
        <w:t xml:space="preserve"> סי' רמח, וב"ב סי' תרלא]</w:t>
      </w:r>
      <w:r w:rsidRPr="003D1481">
        <w:rPr>
          <w:rFonts w:cs="Arial"/>
          <w:sz w:val="18"/>
          <w:szCs w:val="18"/>
          <w:rtl/>
        </w:rPr>
        <w:t>)</w:t>
      </w:r>
      <w:r w:rsidR="00A5679C">
        <w:rPr>
          <w:rFonts w:cs="Arial" w:hint="cs"/>
          <w:sz w:val="18"/>
          <w:szCs w:val="18"/>
          <w:rtl/>
        </w:rPr>
        <w:t>,</w:t>
      </w:r>
      <w:r w:rsidRPr="003D1481">
        <w:rPr>
          <w:rFonts w:cs="Arial"/>
          <w:sz w:val="18"/>
          <w:szCs w:val="18"/>
          <w:rtl/>
        </w:rPr>
        <w:t xml:space="preserve"> ויש חולקים (</w:t>
      </w:r>
      <w:r w:rsidR="007F27A1">
        <w:rPr>
          <w:rFonts w:cs="Arial" w:hint="cs"/>
          <w:sz w:val="18"/>
          <w:szCs w:val="18"/>
          <w:rtl/>
        </w:rPr>
        <w:t>מהר"ם [ד"פ סי' רמו, הביאו ה</w:t>
      </w:r>
      <w:r w:rsidRPr="003D1481">
        <w:rPr>
          <w:rFonts w:cs="Arial"/>
          <w:sz w:val="18"/>
          <w:szCs w:val="18"/>
          <w:rtl/>
        </w:rPr>
        <w:t xml:space="preserve">מרדכי </w:t>
      </w:r>
      <w:r w:rsidR="00A5679C">
        <w:rPr>
          <w:rFonts w:cs="Arial" w:hint="cs"/>
          <w:sz w:val="18"/>
          <w:szCs w:val="18"/>
          <w:rtl/>
        </w:rPr>
        <w:t>ב"ב סי' תקפז]</w:t>
      </w:r>
      <w:r w:rsidRPr="003D1481">
        <w:rPr>
          <w:rFonts w:cs="Arial"/>
          <w:sz w:val="18"/>
          <w:szCs w:val="18"/>
          <w:rtl/>
        </w:rPr>
        <w:t>). ולכו</w:t>
      </w:r>
      <w:r w:rsidR="00CB446D">
        <w:rPr>
          <w:rFonts w:cs="Arial" w:hint="cs"/>
          <w:sz w:val="18"/>
          <w:szCs w:val="18"/>
          <w:rtl/>
        </w:rPr>
        <w:t>"</w:t>
      </w:r>
      <w:r w:rsidRPr="003D1481">
        <w:rPr>
          <w:rFonts w:cs="Arial"/>
          <w:sz w:val="18"/>
          <w:szCs w:val="18"/>
          <w:rtl/>
        </w:rPr>
        <w:t>ע אם אמרה למקצת דבריו אין, ומקצת דבריו שתקה, דלא הוי מחילה במה ששתקה, אבל במה שאמרה אין, צריכה לקיים (</w:t>
      </w:r>
      <w:r w:rsidR="00A5679C">
        <w:rPr>
          <w:rFonts w:cs="Arial" w:hint="cs"/>
          <w:sz w:val="18"/>
          <w:szCs w:val="18"/>
          <w:rtl/>
        </w:rPr>
        <w:t>תרוה"ד</w:t>
      </w:r>
      <w:r w:rsidRPr="003D1481">
        <w:rPr>
          <w:rFonts w:cs="Arial"/>
          <w:sz w:val="18"/>
          <w:szCs w:val="18"/>
          <w:rtl/>
        </w:rPr>
        <w:t xml:space="preserve"> סי</w:t>
      </w:r>
      <w:r w:rsidR="00A5679C">
        <w:rPr>
          <w:rFonts w:cs="Arial" w:hint="cs"/>
          <w:sz w:val="18"/>
          <w:szCs w:val="18"/>
          <w:rtl/>
        </w:rPr>
        <w:t>'</w:t>
      </w:r>
      <w:r w:rsidRPr="003D1481">
        <w:rPr>
          <w:rFonts w:cs="Arial"/>
          <w:sz w:val="18"/>
          <w:szCs w:val="18"/>
          <w:rtl/>
        </w:rPr>
        <w:t xml:space="preserve"> פו). ואינה יכולה לומר שעשתה שלא לטרוף דעתו (מהרי"ו סי</w:t>
      </w:r>
      <w:r w:rsidR="00A5679C">
        <w:rPr>
          <w:rFonts w:cs="Arial" w:hint="cs"/>
          <w:sz w:val="18"/>
          <w:szCs w:val="18"/>
          <w:rtl/>
        </w:rPr>
        <w:t>'</w:t>
      </w:r>
      <w:r w:rsidRPr="003D1481">
        <w:rPr>
          <w:rFonts w:cs="Arial"/>
          <w:sz w:val="18"/>
          <w:szCs w:val="18"/>
          <w:rtl/>
        </w:rPr>
        <w:t xml:space="preserve"> יט). ואם קבלה קנין לקיים מתנותיו, ואח</w:t>
      </w:r>
      <w:r w:rsidR="00C33769">
        <w:rPr>
          <w:rFonts w:cs="Arial" w:hint="cs"/>
          <w:sz w:val="18"/>
          <w:szCs w:val="18"/>
          <w:rtl/>
        </w:rPr>
        <w:t>"</w:t>
      </w:r>
      <w:r w:rsidRPr="003D1481">
        <w:rPr>
          <w:rFonts w:cs="Arial"/>
          <w:sz w:val="18"/>
          <w:szCs w:val="18"/>
          <w:rtl/>
        </w:rPr>
        <w:t>כ אומרת שלא מחלה כתובתה ומה שקבלה קנין משום שהנכסים היו בידה וברשותה, הדין עמה וגובאת כתובתה (ריב"ש סי</w:t>
      </w:r>
      <w:r w:rsidR="00720A83">
        <w:rPr>
          <w:rFonts w:cs="Arial" w:hint="cs"/>
          <w:sz w:val="18"/>
          <w:szCs w:val="18"/>
          <w:rtl/>
        </w:rPr>
        <w:t xml:space="preserve">' </w:t>
      </w:r>
      <w:r w:rsidRPr="003D1481">
        <w:rPr>
          <w:rFonts w:cs="Arial"/>
          <w:sz w:val="18"/>
          <w:szCs w:val="18"/>
          <w:rtl/>
        </w:rPr>
        <w:t>רמד).</w:t>
      </w:r>
      <w:r w:rsidR="00CC2C89">
        <w:rPr>
          <w:rFonts w:cs="Arial" w:hint="cs"/>
          <w:sz w:val="18"/>
          <w:szCs w:val="18"/>
          <w:rtl/>
        </w:rPr>
        <w:t xml:space="preserve"> </w:t>
      </w:r>
    </w:p>
    <w:p w14:paraId="02F8570A" w14:textId="77777777" w:rsidR="00392DBB" w:rsidRPr="007A3469" w:rsidRDefault="00392DBB" w:rsidP="00392DBB">
      <w:pPr>
        <w:rPr>
          <w:rtl/>
        </w:rPr>
      </w:pPr>
    </w:p>
    <w:p w14:paraId="0C2FDC0C" w14:textId="77777777" w:rsidR="00392DBB" w:rsidRDefault="00392DBB" w:rsidP="00392DBB">
      <w:pPr>
        <w:pStyle w:val="1"/>
        <w:rPr>
          <w:rtl/>
        </w:rPr>
        <w:sectPr w:rsidR="00392DBB" w:rsidSect="00A347B3">
          <w:headerReference w:type="default" r:id="rId50"/>
          <w:footnotePr>
            <w:numRestart w:val="eachSect"/>
          </w:footnotePr>
          <w:pgSz w:w="11906" w:h="16838"/>
          <w:pgMar w:top="720" w:right="1134" w:bottom="720" w:left="1134" w:header="0" w:footer="0" w:gutter="0"/>
          <w:cols w:space="720"/>
          <w:bidi/>
          <w:rtlGutter/>
          <w:docGrid w:linePitch="360"/>
        </w:sectPr>
      </w:pPr>
    </w:p>
    <w:p w14:paraId="231981CB" w14:textId="77777777" w:rsidR="00392DBB" w:rsidRDefault="00392DBB" w:rsidP="00392DBB">
      <w:pPr>
        <w:pStyle w:val="1"/>
        <w:rPr>
          <w:rtl/>
        </w:rPr>
      </w:pPr>
      <w:r>
        <w:rPr>
          <w:rFonts w:hint="cs"/>
          <w:rtl/>
        </w:rPr>
        <w:lastRenderedPageBreak/>
        <w:t>סימן קז:</w:t>
      </w:r>
      <w:r w:rsidRPr="00C12B74">
        <w:rPr>
          <w:rtl/>
        </w:rPr>
        <w:t xml:space="preserve"> </w:t>
      </w:r>
      <w:r>
        <w:rPr>
          <w:rFonts w:cs="Arial"/>
          <w:rtl/>
        </w:rPr>
        <w:t xml:space="preserve">הכותב כל נכסיו לאשתו אם קנתה, ויצא עליו שטר חוב, ובו י' סעיפים. </w:t>
      </w:r>
    </w:p>
    <w:p w14:paraId="24951384" w14:textId="05C733BD" w:rsidR="00392DBB" w:rsidRDefault="00392DBB" w:rsidP="000F64D0">
      <w:pPr>
        <w:pStyle w:val="2"/>
        <w:rPr>
          <w:rtl/>
        </w:rPr>
      </w:pPr>
      <w:r>
        <w:rPr>
          <w:rtl/>
        </w:rPr>
        <w:t>סעיף א</w:t>
      </w:r>
      <w:r w:rsidR="001F4092">
        <w:rPr>
          <w:rFonts w:hint="cs"/>
          <w:rtl/>
        </w:rPr>
        <w:t xml:space="preserve">: </w:t>
      </w:r>
      <w:r w:rsidR="006C4840">
        <w:rPr>
          <w:rFonts w:hint="cs"/>
          <w:rtl/>
        </w:rPr>
        <w:t>הכותב כל נכסיו לאשתו.</w:t>
      </w:r>
    </w:p>
    <w:p w14:paraId="27C02163" w14:textId="62E0536E" w:rsidR="004105AA" w:rsidRPr="007343A7" w:rsidRDefault="00E8501D" w:rsidP="007343A7">
      <w:pPr>
        <w:rPr>
          <w:rFonts w:cs="Arial"/>
        </w:rPr>
      </w:pPr>
      <w:r w:rsidRPr="00125CEF">
        <w:rPr>
          <w:rFonts w:cs="Arial" w:hint="cs"/>
          <w:b/>
          <w:bCs/>
          <w:rtl/>
        </w:rPr>
        <w:t xml:space="preserve">בבא בתרא </w:t>
      </w:r>
      <w:r w:rsidRPr="00125CEF">
        <w:rPr>
          <w:rFonts w:cs="Arial" w:hint="cs"/>
          <w:b/>
          <w:bCs/>
          <w:sz w:val="16"/>
          <w:szCs w:val="16"/>
          <w:rtl/>
        </w:rPr>
        <w:t>(פ' יש נוחלין)</w:t>
      </w:r>
      <w:r w:rsidRPr="00125CEF">
        <w:rPr>
          <w:rFonts w:cs="Arial" w:hint="cs"/>
          <w:b/>
          <w:bCs/>
          <w:rtl/>
        </w:rPr>
        <w:t xml:space="preserve"> קל</w:t>
      </w:r>
      <w:r>
        <w:rPr>
          <w:rFonts w:cs="Arial" w:hint="cs"/>
          <w:b/>
          <w:bCs/>
          <w:rtl/>
        </w:rPr>
        <w:t>א</w:t>
      </w:r>
      <w:r w:rsidRPr="00125CEF">
        <w:rPr>
          <w:rFonts w:cs="Arial" w:hint="cs"/>
          <w:b/>
          <w:bCs/>
          <w:rtl/>
        </w:rPr>
        <w:t xml:space="preserve"> ע"</w:t>
      </w:r>
      <w:r>
        <w:rPr>
          <w:rFonts w:cs="Arial" w:hint="cs"/>
          <w:b/>
          <w:bCs/>
          <w:rtl/>
        </w:rPr>
        <w:t>ב</w:t>
      </w:r>
      <w:r w:rsidRPr="00125CEF">
        <w:rPr>
          <w:rFonts w:cs="Arial" w:hint="cs"/>
          <w:b/>
          <w:bCs/>
          <w:rtl/>
        </w:rPr>
        <w:t>:</w:t>
      </w:r>
      <w:r w:rsidRPr="00125CEF">
        <w:rPr>
          <w:rFonts w:cs="Arial" w:hint="cs"/>
          <w:rtl/>
        </w:rPr>
        <w:t xml:space="preserve"> </w:t>
      </w:r>
      <w:r w:rsidRPr="000E55D0">
        <w:rPr>
          <w:rFonts w:cs="Arial"/>
          <w:u w:val="single"/>
          <w:rtl/>
        </w:rPr>
        <w:t>אמר רב יהודה אמר שמואל</w:t>
      </w:r>
      <w:r w:rsidRPr="000E55D0">
        <w:rPr>
          <w:rFonts w:cs="Arial"/>
          <w:rtl/>
        </w:rPr>
        <w:t>: הכותב כל נכסיו לאשתו - לא עשאה אלא אפוטרופא</w:t>
      </w:r>
      <w:r w:rsidR="004E49F3">
        <w:rPr>
          <w:rStyle w:val="a7"/>
          <w:rFonts w:cs="Arial"/>
          <w:rtl/>
        </w:rPr>
        <w:footnoteReference w:id="2320"/>
      </w:r>
      <w:r w:rsidRPr="000E55D0">
        <w:rPr>
          <w:rFonts w:cs="Arial"/>
          <w:rtl/>
        </w:rPr>
        <w:t>.</w:t>
      </w:r>
      <w:r>
        <w:rPr>
          <w:rFonts w:cs="Arial" w:hint="cs"/>
          <w:rtl/>
        </w:rPr>
        <w:t>..</w:t>
      </w:r>
      <w:r w:rsidR="00836B59" w:rsidRPr="00836B59">
        <w:rPr>
          <w:rtl/>
        </w:rPr>
        <w:t xml:space="preserve"> </w:t>
      </w:r>
      <w:r w:rsidR="00836B59" w:rsidRPr="00836B59">
        <w:rPr>
          <w:rFonts w:cs="Arial"/>
          <w:rtl/>
        </w:rPr>
        <w:t>אשתו ארוסה ואשתו גרושה - במתנה</w:t>
      </w:r>
      <w:r w:rsidR="00D777DC">
        <w:rPr>
          <w:rStyle w:val="a7"/>
          <w:rFonts w:cs="Arial"/>
          <w:rtl/>
        </w:rPr>
        <w:footnoteReference w:id="2321"/>
      </w:r>
      <w:r w:rsidR="00836B59" w:rsidRPr="00836B59">
        <w:rPr>
          <w:rFonts w:cs="Arial"/>
          <w:rtl/>
        </w:rPr>
        <w:t>. איבעיא להו: בת אצל הבנים, ואשה אצל האחים</w:t>
      </w:r>
      <w:r w:rsidR="003B1934">
        <w:rPr>
          <w:rStyle w:val="a7"/>
          <w:rFonts w:cs="Arial"/>
          <w:rtl/>
        </w:rPr>
        <w:footnoteReference w:id="2322"/>
      </w:r>
      <w:r w:rsidR="00836B59" w:rsidRPr="00836B59">
        <w:rPr>
          <w:rFonts w:cs="Arial"/>
          <w:rtl/>
        </w:rPr>
        <w:t xml:space="preserve">, ואשה אצל בני הבעל, מהו? </w:t>
      </w:r>
      <w:r w:rsidR="00836B59" w:rsidRPr="000E6CCF">
        <w:rPr>
          <w:rFonts w:cs="Arial"/>
          <w:u w:val="single"/>
          <w:rtl/>
        </w:rPr>
        <w:t>אמר רבינא משמיה דרבא</w:t>
      </w:r>
      <w:r w:rsidR="00836B59" w:rsidRPr="00836B59">
        <w:rPr>
          <w:rFonts w:cs="Arial"/>
          <w:rtl/>
        </w:rPr>
        <w:t>: בכולהו</w:t>
      </w:r>
      <w:r w:rsidR="004E49F3">
        <w:rPr>
          <w:rStyle w:val="a7"/>
          <w:rFonts w:cs="Arial"/>
          <w:rtl/>
        </w:rPr>
        <w:footnoteReference w:id="2323"/>
      </w:r>
      <w:r w:rsidR="00836B59" w:rsidRPr="00836B59">
        <w:rPr>
          <w:rFonts w:cs="Arial"/>
          <w:rtl/>
        </w:rPr>
        <w:t xml:space="preserve"> לא קנה, לבר מאשתו ארוסה ואשתו גרושה; </w:t>
      </w:r>
      <w:r w:rsidR="00836B59" w:rsidRPr="00AE241B">
        <w:rPr>
          <w:rFonts w:cs="Arial"/>
          <w:u w:val="single"/>
          <w:rtl/>
        </w:rPr>
        <w:t>רב עוירא משמיה דרבא אמר</w:t>
      </w:r>
      <w:r w:rsidR="00836B59" w:rsidRPr="00836B59">
        <w:rPr>
          <w:rFonts w:cs="Arial"/>
          <w:rtl/>
        </w:rPr>
        <w:t>: בכולהו</w:t>
      </w:r>
      <w:r w:rsidR="0021681D">
        <w:rPr>
          <w:rStyle w:val="a7"/>
          <w:rFonts w:cs="Arial"/>
          <w:rtl/>
        </w:rPr>
        <w:footnoteReference w:id="2324"/>
      </w:r>
      <w:r w:rsidR="00836B59" w:rsidRPr="00836B59">
        <w:rPr>
          <w:rFonts w:cs="Arial"/>
          <w:rtl/>
        </w:rPr>
        <w:t xml:space="preserve"> קני, לבר מהאשה אצל האחין ואשה אצל בני הבעל.</w:t>
      </w:r>
      <w:r w:rsidRPr="000E55D0">
        <w:rPr>
          <w:rFonts w:cs="Arial"/>
          <w:rtl/>
        </w:rPr>
        <w:t xml:space="preserve"> </w:t>
      </w:r>
      <w:r>
        <w:rPr>
          <w:rFonts w:cs="Arial" w:hint="cs"/>
          <w:sz w:val="14"/>
          <w:szCs w:val="14"/>
          <w:rtl/>
        </w:rPr>
        <w:t xml:space="preserve">(קלב.) </w:t>
      </w:r>
      <w:r w:rsidRPr="000E55D0">
        <w:rPr>
          <w:rFonts w:cs="Arial"/>
          <w:u w:val="single"/>
          <w:rtl/>
        </w:rPr>
        <w:t>בעי רבא</w:t>
      </w:r>
      <w:r w:rsidRPr="00D20A5D">
        <w:rPr>
          <w:rFonts w:cs="Arial"/>
          <w:rtl/>
        </w:rPr>
        <w:t>: בבריא</w:t>
      </w:r>
      <w:r>
        <w:rPr>
          <w:rStyle w:val="a7"/>
          <w:rFonts w:cs="Arial"/>
          <w:rtl/>
        </w:rPr>
        <w:footnoteReference w:id="2325"/>
      </w:r>
      <w:r w:rsidRPr="00D20A5D">
        <w:rPr>
          <w:rFonts w:cs="Arial"/>
          <w:rtl/>
        </w:rPr>
        <w:t xml:space="preserve"> היאך? בשכ"מ הוא דניחא ליה דלישתמעון מלה, אבל בבריא הא קאי איהו, או דלמא בריא נמי ניחא ליה דלישתמעון מלה מהשתא? </w:t>
      </w:r>
      <w:r w:rsidRPr="00BE72AA">
        <w:rPr>
          <w:rFonts w:cs="Arial"/>
          <w:rtl/>
        </w:rPr>
        <w:t>תא שמע: הכותב פירות נכסיו לאשתו - גובה כתובתה מן הקרקע, למחצה לשליש ולרביע - גובה כתובתה מן השאר; כתב כל נכסיו לאשתו, ויצא עליו שטר חוב</w:t>
      </w:r>
      <w:r>
        <w:rPr>
          <w:rStyle w:val="a7"/>
          <w:rFonts w:cs="Arial"/>
          <w:rtl/>
        </w:rPr>
        <w:footnoteReference w:id="2326"/>
      </w:r>
      <w:r w:rsidRPr="00BE72AA">
        <w:rPr>
          <w:rFonts w:cs="Arial"/>
          <w:rtl/>
        </w:rPr>
        <w:t xml:space="preserve"> - </w:t>
      </w:r>
      <w:r w:rsidRPr="00DD0BBB">
        <w:rPr>
          <w:rFonts w:cs="Arial"/>
          <w:u w:val="single"/>
          <w:rtl/>
        </w:rPr>
        <w:t>רבי אליעזר אומר</w:t>
      </w:r>
      <w:r w:rsidRPr="00BE72AA">
        <w:rPr>
          <w:rFonts w:cs="Arial"/>
          <w:rtl/>
        </w:rPr>
        <w:t>: תקרע מתנתה ותעמוד על כתובתה</w:t>
      </w:r>
      <w:r>
        <w:rPr>
          <w:rStyle w:val="a7"/>
          <w:rFonts w:cs="Arial"/>
          <w:rtl/>
        </w:rPr>
        <w:footnoteReference w:id="2327"/>
      </w:r>
      <w:r>
        <w:rPr>
          <w:rFonts w:cs="Arial" w:hint="cs"/>
          <w:rtl/>
        </w:rPr>
        <w:t>.</w:t>
      </w:r>
      <w:r w:rsidRPr="00BE72AA">
        <w:rPr>
          <w:rFonts w:cs="Arial"/>
          <w:rtl/>
        </w:rPr>
        <w:t xml:space="preserve"> </w:t>
      </w:r>
      <w:r w:rsidRPr="00DD0BBB">
        <w:rPr>
          <w:rFonts w:cs="Arial"/>
          <w:u w:val="single"/>
          <w:rtl/>
        </w:rPr>
        <w:t>וחכ"א</w:t>
      </w:r>
      <w:r w:rsidRPr="00BE72AA">
        <w:rPr>
          <w:rFonts w:cs="Arial"/>
          <w:rtl/>
        </w:rPr>
        <w:t>: תקרע כתובתה</w:t>
      </w:r>
      <w:r>
        <w:rPr>
          <w:rStyle w:val="a7"/>
          <w:rFonts w:cs="Arial"/>
          <w:rtl/>
        </w:rPr>
        <w:footnoteReference w:id="2328"/>
      </w:r>
      <w:r w:rsidRPr="00BE72AA">
        <w:rPr>
          <w:rFonts w:cs="Arial"/>
          <w:rtl/>
        </w:rPr>
        <w:t xml:space="preserve"> ותעמוד על מתנתה</w:t>
      </w:r>
      <w:r>
        <w:rPr>
          <w:rStyle w:val="a7"/>
          <w:rFonts w:cs="Arial"/>
          <w:rtl/>
        </w:rPr>
        <w:footnoteReference w:id="2329"/>
      </w:r>
      <w:r w:rsidRPr="00BE72AA">
        <w:rPr>
          <w:rFonts w:cs="Arial"/>
          <w:rtl/>
        </w:rPr>
        <w:t xml:space="preserve">, ונמצאת קרחת מכאן ומכאן; </w:t>
      </w:r>
      <w:r w:rsidRPr="002769A1">
        <w:rPr>
          <w:rFonts w:cs="Arial"/>
          <w:u w:val="single"/>
          <w:rtl/>
        </w:rPr>
        <w:t>ואמר רבי יהודה הנחתום</w:t>
      </w:r>
      <w:r w:rsidRPr="00BE72AA">
        <w:rPr>
          <w:rFonts w:cs="Arial"/>
          <w:rtl/>
        </w:rPr>
        <w:t xml:space="preserve">: מעשה ואירע הדבר בבת אחותי כלה, ובא מעשה לפני חכמים ואמרו: תקרע כתובתה ותעמוד על מתנתה, ונמצאת קרחת מכאן ומכאן; טעמא דיצא עליו שטר חוב, הא לא יצא עליו שטר חוב - קניא, ובמאי? אילימא בשכ"מ, והא אמרת: לא עשאה אלא אפוטרופוס! אלא לאו בבריא. לעולם בשכיב מרע, ורב עוירא מוקי לה בכולהו, רבינא מוקי לה באשתו ארוסה ואשתו גרושה. </w:t>
      </w:r>
      <w:r w:rsidRPr="005714BA">
        <w:rPr>
          <w:rFonts w:cs="Arial"/>
          <w:u w:val="single"/>
          <w:rtl/>
        </w:rPr>
        <w:t>אמר רב יוסף בר מניומי אמר רב נחמן</w:t>
      </w:r>
      <w:r>
        <w:rPr>
          <w:rFonts w:cs="Arial" w:hint="cs"/>
          <w:rtl/>
        </w:rPr>
        <w:t>:</w:t>
      </w:r>
      <w:r w:rsidRPr="00BE72AA">
        <w:rPr>
          <w:rFonts w:cs="Arial"/>
          <w:rtl/>
        </w:rPr>
        <w:t xml:space="preserve"> הלכה</w:t>
      </w:r>
      <w:r>
        <w:rPr>
          <w:rFonts w:cs="Arial" w:hint="cs"/>
          <w:rtl/>
        </w:rPr>
        <w:t>,</w:t>
      </w:r>
      <w:r w:rsidRPr="00BE72AA">
        <w:rPr>
          <w:rFonts w:cs="Arial"/>
          <w:rtl/>
        </w:rPr>
        <w:t xml:space="preserve"> תקרע כתובתה ותעמוד על מתנתה, ונמצאת קרחת מכאן ומכאן</w:t>
      </w:r>
      <w:r>
        <w:rPr>
          <w:rStyle w:val="a7"/>
          <w:rFonts w:cs="Arial"/>
          <w:rtl/>
        </w:rPr>
        <w:footnoteReference w:id="2330"/>
      </w:r>
      <w:r w:rsidRPr="00BE72AA">
        <w:rPr>
          <w:rFonts w:cs="Arial"/>
          <w:rtl/>
        </w:rPr>
        <w:t>.</w:t>
      </w:r>
    </w:p>
    <w:p w14:paraId="0345C6B5" w14:textId="1E3C015F" w:rsidR="003F152A" w:rsidRPr="003F152A" w:rsidRDefault="003F152A" w:rsidP="003F152A">
      <w:pPr>
        <w:rPr>
          <w:u w:val="single"/>
          <w:rtl/>
        </w:rPr>
      </w:pPr>
      <w:r w:rsidRPr="003F152A">
        <w:rPr>
          <w:rFonts w:cs="Arial"/>
          <w:u w:val="single"/>
          <w:rtl/>
        </w:rPr>
        <w:t>הכותב כל נכסיו לאשתו</w:t>
      </w:r>
      <w:r w:rsidRPr="003F152A">
        <w:rPr>
          <w:rFonts w:cs="Arial" w:hint="cs"/>
          <w:u w:val="single"/>
          <w:rtl/>
        </w:rPr>
        <w:t xml:space="preserve"> - מתי מאבדת כתובתה:</w:t>
      </w:r>
    </w:p>
    <w:p w14:paraId="28C4379F" w14:textId="32B82B9D" w:rsidR="004105AA" w:rsidRPr="004105AA" w:rsidRDefault="00DD6298" w:rsidP="0031429E">
      <w:pPr>
        <w:pStyle w:val="ab"/>
        <w:numPr>
          <w:ilvl w:val="0"/>
          <w:numId w:val="91"/>
        </w:numPr>
      </w:pPr>
      <w:r w:rsidRPr="004E478D">
        <w:rPr>
          <w:rFonts w:cs="Arial"/>
          <w:rtl/>
        </w:rPr>
        <w:t xml:space="preserve">רמב"ם </w:t>
      </w:r>
      <w:r w:rsidRPr="004E478D">
        <w:rPr>
          <w:rFonts w:cs="Arial" w:hint="cs"/>
          <w:sz w:val="16"/>
          <w:szCs w:val="16"/>
          <w:rtl/>
        </w:rPr>
        <w:t xml:space="preserve">(פ"ו מהל' זכיה </w:t>
      </w:r>
      <w:r w:rsidRPr="004E478D">
        <w:rPr>
          <w:rFonts w:cs="Arial"/>
          <w:sz w:val="16"/>
          <w:szCs w:val="16"/>
          <w:rtl/>
        </w:rPr>
        <w:t>ה</w:t>
      </w:r>
      <w:r w:rsidRPr="004E478D">
        <w:rPr>
          <w:rFonts w:cs="Arial" w:hint="cs"/>
          <w:sz w:val="16"/>
          <w:szCs w:val="16"/>
          <w:rtl/>
        </w:rPr>
        <w:t>"</w:t>
      </w:r>
      <w:r w:rsidRPr="004E478D">
        <w:rPr>
          <w:rFonts w:cs="Arial"/>
          <w:sz w:val="16"/>
          <w:szCs w:val="16"/>
          <w:rtl/>
        </w:rPr>
        <w:t>ד</w:t>
      </w:r>
      <w:r w:rsidR="0031429E">
        <w:rPr>
          <w:rFonts w:cs="Arial" w:hint="cs"/>
          <w:sz w:val="16"/>
          <w:szCs w:val="16"/>
          <w:rtl/>
        </w:rPr>
        <w:t>-ה</w:t>
      </w:r>
      <w:r w:rsidR="0031429E">
        <w:rPr>
          <w:rStyle w:val="a7"/>
          <w:rFonts w:cs="Arial"/>
          <w:sz w:val="16"/>
          <w:szCs w:val="16"/>
          <w:rtl/>
        </w:rPr>
        <w:footnoteReference w:id="2331"/>
      </w:r>
      <w:r>
        <w:rPr>
          <w:rFonts w:cs="Arial" w:hint="cs"/>
          <w:sz w:val="16"/>
          <w:szCs w:val="16"/>
          <w:rtl/>
        </w:rPr>
        <w:t xml:space="preserve"> וה"ח</w:t>
      </w:r>
      <w:r w:rsidR="007343A7">
        <w:rPr>
          <w:rStyle w:val="a7"/>
          <w:rFonts w:cs="Arial"/>
          <w:sz w:val="16"/>
          <w:szCs w:val="16"/>
          <w:rtl/>
        </w:rPr>
        <w:footnoteReference w:id="2332"/>
      </w:r>
      <w:r w:rsidRPr="004E478D">
        <w:rPr>
          <w:rFonts w:cs="Arial"/>
          <w:sz w:val="16"/>
          <w:szCs w:val="16"/>
          <w:rtl/>
        </w:rPr>
        <w:t>)</w:t>
      </w:r>
      <w:r>
        <w:rPr>
          <w:rFonts w:hint="cs"/>
          <w:rtl/>
        </w:rPr>
        <w:t xml:space="preserve"> ו</w:t>
      </w:r>
      <w:r w:rsidR="00B80891">
        <w:rPr>
          <w:rFonts w:hint="cs"/>
          <w:rtl/>
        </w:rPr>
        <w:t xml:space="preserve">טור- </w:t>
      </w:r>
      <w:r w:rsidR="00B80891" w:rsidRPr="00B80891">
        <w:rPr>
          <w:rFonts w:cs="Arial"/>
          <w:rtl/>
        </w:rPr>
        <w:t>הכותב כל נכסיו לאשתו</w:t>
      </w:r>
      <w:r w:rsidR="002727D4">
        <w:rPr>
          <w:rFonts w:cs="Arial" w:hint="cs"/>
          <w:rtl/>
        </w:rPr>
        <w:t>,</w:t>
      </w:r>
      <w:r w:rsidR="00B80891" w:rsidRPr="00B80891">
        <w:rPr>
          <w:rFonts w:cs="Arial"/>
          <w:rtl/>
        </w:rPr>
        <w:t xml:space="preserve"> ל</w:t>
      </w:r>
      <w:r w:rsidR="00E8501D">
        <w:rPr>
          <w:rFonts w:cs="Arial" w:hint="cs"/>
          <w:rtl/>
        </w:rPr>
        <w:t xml:space="preserve">א </w:t>
      </w:r>
      <w:r w:rsidR="00B80891" w:rsidRPr="00B80891">
        <w:rPr>
          <w:rFonts w:cs="Arial"/>
          <w:rtl/>
        </w:rPr>
        <w:t>ש</w:t>
      </w:r>
      <w:r w:rsidR="00E8501D">
        <w:rPr>
          <w:rFonts w:cs="Arial" w:hint="cs"/>
          <w:rtl/>
        </w:rPr>
        <w:t>נא</w:t>
      </w:r>
      <w:r w:rsidR="00B80891" w:rsidRPr="00B80891">
        <w:rPr>
          <w:rFonts w:cs="Arial"/>
          <w:rtl/>
        </w:rPr>
        <w:t xml:space="preserve"> בריא</w:t>
      </w:r>
      <w:r w:rsidR="00C734DC">
        <w:rPr>
          <w:rStyle w:val="a7"/>
          <w:rFonts w:cs="Arial"/>
          <w:rtl/>
        </w:rPr>
        <w:footnoteReference w:id="2333"/>
      </w:r>
      <w:r w:rsidR="00B80891" w:rsidRPr="00B80891">
        <w:rPr>
          <w:rFonts w:cs="Arial"/>
          <w:rtl/>
        </w:rPr>
        <w:t xml:space="preserve"> ל</w:t>
      </w:r>
      <w:r w:rsidR="00E8501D">
        <w:rPr>
          <w:rFonts w:cs="Arial" w:hint="cs"/>
          <w:rtl/>
        </w:rPr>
        <w:t>א שנא</w:t>
      </w:r>
      <w:r w:rsidR="00B80891" w:rsidRPr="00B80891">
        <w:rPr>
          <w:rFonts w:cs="Arial"/>
          <w:rtl/>
        </w:rPr>
        <w:t xml:space="preserve"> שכיב מרע</w:t>
      </w:r>
      <w:r w:rsidR="002727D4">
        <w:rPr>
          <w:rFonts w:cs="Arial" w:hint="cs"/>
          <w:rtl/>
        </w:rPr>
        <w:t>,</w:t>
      </w:r>
      <w:r w:rsidR="00B80891" w:rsidRPr="00B80891">
        <w:rPr>
          <w:rFonts w:cs="Arial"/>
          <w:rtl/>
        </w:rPr>
        <w:t xml:space="preserve"> ויצא עליו ש"ח מוקדם למתנתה </w:t>
      </w:r>
      <w:r w:rsidR="002727D4">
        <w:rPr>
          <w:rFonts w:cs="Arial" w:hint="cs"/>
          <w:rtl/>
        </w:rPr>
        <w:t xml:space="preserve">- </w:t>
      </w:r>
      <w:r w:rsidR="00B80891" w:rsidRPr="00B80891">
        <w:rPr>
          <w:rFonts w:cs="Arial"/>
          <w:rtl/>
        </w:rPr>
        <w:t>הפסידה כתובתה מכל הנכסים שהיו לו אז בין מאותם שהיו בידו בין מאותם שמכר קודם לכן</w:t>
      </w:r>
      <w:r w:rsidR="002727D4">
        <w:rPr>
          <w:rFonts w:cs="Arial" w:hint="cs"/>
          <w:rtl/>
        </w:rPr>
        <w:t>,</w:t>
      </w:r>
      <w:r w:rsidR="00B80891" w:rsidRPr="00B80891">
        <w:rPr>
          <w:rFonts w:cs="Arial"/>
          <w:rtl/>
        </w:rPr>
        <w:t xml:space="preserve"> מפני שמחלה שיעבוד כתובתה כשכתב לה המתנה</w:t>
      </w:r>
      <w:r w:rsidR="002727D4">
        <w:rPr>
          <w:rFonts w:cs="Arial" w:hint="cs"/>
          <w:rtl/>
        </w:rPr>
        <w:t>.</w:t>
      </w:r>
      <w:r w:rsidR="00B80891" w:rsidRPr="00B80891">
        <w:rPr>
          <w:rFonts w:cs="Arial"/>
          <w:rtl/>
        </w:rPr>
        <w:t xml:space="preserve"> אבל אם קנה נכסים אח"כ </w:t>
      </w:r>
      <w:r w:rsidR="00AE3979">
        <w:rPr>
          <w:rFonts w:cs="Arial" w:hint="cs"/>
          <w:rtl/>
        </w:rPr>
        <w:t xml:space="preserve">- </w:t>
      </w:r>
      <w:r w:rsidR="00B80891" w:rsidRPr="00B80891">
        <w:rPr>
          <w:rFonts w:cs="Arial"/>
          <w:rtl/>
        </w:rPr>
        <w:t xml:space="preserve">לא מחלה וגובה </w:t>
      </w:r>
      <w:r w:rsidR="00B80891" w:rsidRPr="00B80891">
        <w:rPr>
          <w:rFonts w:cs="Arial"/>
          <w:rtl/>
        </w:rPr>
        <w:lastRenderedPageBreak/>
        <w:t>מהם</w:t>
      </w:r>
      <w:r w:rsidR="00AE3979">
        <w:rPr>
          <w:rFonts w:cs="Arial" w:hint="cs"/>
          <w:rtl/>
        </w:rPr>
        <w:t>.</w:t>
      </w:r>
      <w:r w:rsidR="00B80891" w:rsidRPr="00B80891">
        <w:rPr>
          <w:rFonts w:cs="Arial"/>
          <w:rtl/>
        </w:rPr>
        <w:t xml:space="preserve"> ודוקא שכתב לה נכסיו</w:t>
      </w:r>
      <w:r w:rsidR="00AE3979">
        <w:rPr>
          <w:rFonts w:cs="Arial" w:hint="cs"/>
          <w:rtl/>
        </w:rPr>
        <w:t>,</w:t>
      </w:r>
      <w:r w:rsidR="00B80891" w:rsidRPr="00B80891">
        <w:rPr>
          <w:rFonts w:cs="Arial"/>
          <w:rtl/>
        </w:rPr>
        <w:t xml:space="preserve"> אבל אם לא כתב לה אלא פירות נכסיו</w:t>
      </w:r>
      <w:r w:rsidR="00AE3979">
        <w:rPr>
          <w:rFonts w:cs="Arial" w:hint="cs"/>
          <w:rtl/>
        </w:rPr>
        <w:t>,</w:t>
      </w:r>
      <w:r w:rsidR="00B80891" w:rsidRPr="00B80891">
        <w:rPr>
          <w:rFonts w:cs="Arial"/>
          <w:rtl/>
        </w:rPr>
        <w:t xml:space="preserve"> או אפי</w:t>
      </w:r>
      <w:r w:rsidR="00AE3979">
        <w:rPr>
          <w:rFonts w:cs="Arial" w:hint="cs"/>
          <w:rtl/>
        </w:rPr>
        <w:t>לו</w:t>
      </w:r>
      <w:r w:rsidR="00B80891" w:rsidRPr="00B80891">
        <w:rPr>
          <w:rFonts w:cs="Arial"/>
          <w:rtl/>
        </w:rPr>
        <w:t xml:space="preserve"> כתב לה גוף הקרקע אלא ששייר קצת </w:t>
      </w:r>
      <w:r w:rsidR="00AE3979">
        <w:rPr>
          <w:rFonts w:cs="Arial" w:hint="cs"/>
          <w:rtl/>
        </w:rPr>
        <w:t xml:space="preserve">- </w:t>
      </w:r>
      <w:r w:rsidR="00B80891" w:rsidRPr="00B80891">
        <w:rPr>
          <w:rFonts w:cs="Arial"/>
          <w:rtl/>
        </w:rPr>
        <w:t>לא הפסידה כתובתה</w:t>
      </w:r>
      <w:r w:rsidR="00AE3979">
        <w:rPr>
          <w:rFonts w:cs="Arial" w:hint="cs"/>
          <w:rtl/>
        </w:rPr>
        <w:t>.</w:t>
      </w:r>
      <w:r w:rsidR="006C4840">
        <w:rPr>
          <w:rFonts w:cs="Arial" w:hint="cs"/>
          <w:rtl/>
        </w:rPr>
        <w:t>..</w:t>
      </w:r>
      <w:r w:rsidR="00B80891" w:rsidRPr="00B80891">
        <w:rPr>
          <w:rFonts w:cs="Arial"/>
          <w:rtl/>
        </w:rPr>
        <w:t xml:space="preserve"> </w:t>
      </w:r>
      <w:r w:rsidR="00B80891" w:rsidRPr="0031429E">
        <w:rPr>
          <w:rFonts w:cs="Arial"/>
          <w:rtl/>
        </w:rPr>
        <w:t>בד"א שאבדה כתובתה כשכתב לה כל נכסיו</w:t>
      </w:r>
      <w:r w:rsidR="00303C67" w:rsidRPr="0031429E">
        <w:rPr>
          <w:rFonts w:cs="Arial" w:hint="cs"/>
          <w:rtl/>
        </w:rPr>
        <w:t xml:space="preserve"> -</w:t>
      </w:r>
      <w:r w:rsidR="00B80891" w:rsidRPr="0031429E">
        <w:rPr>
          <w:rFonts w:cs="Arial"/>
          <w:rtl/>
        </w:rPr>
        <w:t xml:space="preserve"> באשתו ארוסה או גרושה</w:t>
      </w:r>
      <w:r w:rsidR="003563AF" w:rsidRPr="0031429E">
        <w:rPr>
          <w:rFonts w:cs="Arial" w:hint="cs"/>
          <w:rtl/>
        </w:rPr>
        <w:t>,</w:t>
      </w:r>
      <w:r w:rsidR="00B80891" w:rsidRPr="0031429E">
        <w:rPr>
          <w:rFonts w:cs="Arial"/>
          <w:rtl/>
        </w:rPr>
        <w:t xml:space="preserve"> דבהנך הויא מתנה ולכך אבדה כתובתה</w:t>
      </w:r>
      <w:r w:rsidR="00EB410F">
        <w:rPr>
          <w:rFonts w:cs="Arial" w:hint="cs"/>
          <w:rtl/>
        </w:rPr>
        <w:t>.</w:t>
      </w:r>
      <w:r w:rsidR="00B80891" w:rsidRPr="0031429E">
        <w:rPr>
          <w:rFonts w:cs="Arial"/>
          <w:rtl/>
        </w:rPr>
        <w:t xml:space="preserve"> אבל אם כתב כל נכסיו לאשתו נשואה</w:t>
      </w:r>
      <w:r w:rsidR="005305AD" w:rsidRPr="0031429E">
        <w:rPr>
          <w:rFonts w:cs="Arial" w:hint="cs"/>
          <w:rtl/>
        </w:rPr>
        <w:t xml:space="preserve"> -</w:t>
      </w:r>
      <w:r w:rsidR="00B80891" w:rsidRPr="0031429E">
        <w:rPr>
          <w:rFonts w:cs="Arial"/>
          <w:rtl/>
        </w:rPr>
        <w:t xml:space="preserve"> לא אבדה כתובתה משום דלא קנתה</w:t>
      </w:r>
      <w:r w:rsidR="0064421F" w:rsidRPr="0031429E">
        <w:rPr>
          <w:rFonts w:cs="Arial" w:hint="cs"/>
          <w:rtl/>
        </w:rPr>
        <w:t>,</w:t>
      </w:r>
      <w:r w:rsidR="00B80891" w:rsidRPr="0031429E">
        <w:rPr>
          <w:rFonts w:cs="Arial"/>
          <w:rtl/>
        </w:rPr>
        <w:t xml:space="preserve"> דלא הויא מתנה שלא כיון אלא לעשותה אפוטרופא על נכסיו כדי שיכבדוה</w:t>
      </w:r>
      <w:r w:rsidR="007D1E88" w:rsidRPr="0031429E">
        <w:rPr>
          <w:rFonts w:cs="Arial" w:hint="cs"/>
          <w:rtl/>
        </w:rPr>
        <w:t>,</w:t>
      </w:r>
      <w:r w:rsidR="00B80891" w:rsidRPr="0031429E">
        <w:rPr>
          <w:rFonts w:cs="Arial"/>
          <w:rtl/>
        </w:rPr>
        <w:t xml:space="preserve"> לא שנא יש לו בנים ממנה</w:t>
      </w:r>
      <w:r w:rsidR="0064421F" w:rsidRPr="0031429E">
        <w:rPr>
          <w:rFonts w:cs="Arial" w:hint="cs"/>
          <w:rtl/>
        </w:rPr>
        <w:t>,</w:t>
      </w:r>
      <w:r w:rsidR="00B80891" w:rsidRPr="0031429E">
        <w:rPr>
          <w:rFonts w:cs="Arial"/>
          <w:rtl/>
        </w:rPr>
        <w:t xml:space="preserve"> או אין לו בנים ממנה אלא מאחרת</w:t>
      </w:r>
      <w:r w:rsidR="0064421F" w:rsidRPr="0031429E">
        <w:rPr>
          <w:rFonts w:cs="Arial" w:hint="cs"/>
          <w:rtl/>
        </w:rPr>
        <w:t>,</w:t>
      </w:r>
      <w:r w:rsidR="00B80891" w:rsidRPr="0031429E">
        <w:rPr>
          <w:rFonts w:cs="Arial"/>
          <w:rtl/>
        </w:rPr>
        <w:t xml:space="preserve"> או אין לו בנים כלל ואחיו יורשין אותו</w:t>
      </w:r>
      <w:r w:rsidR="006C4840">
        <w:rPr>
          <w:rFonts w:cs="Arial" w:hint="cs"/>
          <w:sz w:val="16"/>
          <w:szCs w:val="16"/>
          <w:rtl/>
        </w:rPr>
        <w:t xml:space="preserve"> (ל' הטור)</w:t>
      </w:r>
      <w:r w:rsidR="00534B17" w:rsidRPr="0031429E">
        <w:rPr>
          <w:rFonts w:cs="Arial" w:hint="cs"/>
          <w:rtl/>
        </w:rPr>
        <w:t>.</w:t>
      </w:r>
      <w:r w:rsidR="00B80891" w:rsidRPr="0031429E">
        <w:rPr>
          <w:rFonts w:cs="Arial"/>
          <w:rtl/>
        </w:rPr>
        <w:t xml:space="preserve"> </w:t>
      </w:r>
      <w:r w:rsidR="006C4840" w:rsidRPr="00351B7D">
        <w:rPr>
          <w:rFonts w:asciiTheme="minorBidi" w:hAnsiTheme="minorBidi"/>
          <w:color w:val="E36C0A" w:themeColor="accent6" w:themeShade="BF"/>
          <w:rtl/>
        </w:rPr>
        <w:t>(וכ"</w:t>
      </w:r>
      <w:r w:rsidR="006C4840">
        <w:rPr>
          <w:rFonts w:asciiTheme="minorBidi" w:hAnsiTheme="minorBidi" w:hint="cs"/>
          <w:color w:val="E36C0A" w:themeColor="accent6" w:themeShade="BF"/>
          <w:rtl/>
        </w:rPr>
        <w:t>פ</w:t>
      </w:r>
      <w:r w:rsidR="006C4840" w:rsidRPr="00351B7D">
        <w:rPr>
          <w:rFonts w:asciiTheme="minorBidi" w:hAnsiTheme="minorBidi"/>
          <w:color w:val="E36C0A" w:themeColor="accent6" w:themeShade="BF"/>
          <w:rtl/>
        </w:rPr>
        <w:t xml:space="preserve"> בשו"ע</w:t>
      </w:r>
      <w:r w:rsidR="006C4840">
        <w:rPr>
          <w:rFonts w:asciiTheme="minorBidi" w:hAnsiTheme="minorBidi" w:hint="cs"/>
          <w:color w:val="E36C0A" w:themeColor="accent6" w:themeShade="BF"/>
          <w:sz w:val="16"/>
          <w:szCs w:val="16"/>
          <w:rtl/>
        </w:rPr>
        <w:t xml:space="preserve"> </w:t>
      </w:r>
      <w:r w:rsidR="006C4840" w:rsidRPr="006C4840">
        <w:rPr>
          <w:rFonts w:asciiTheme="minorBidi" w:hAnsiTheme="minorBidi" w:hint="cs"/>
          <w:color w:val="000000" w:themeColor="text1"/>
          <w:sz w:val="16"/>
          <w:szCs w:val="16"/>
          <w:rtl/>
        </w:rPr>
        <w:t>[</w:t>
      </w:r>
      <w:r w:rsidR="006C4840">
        <w:rPr>
          <w:rFonts w:asciiTheme="minorBidi" w:hAnsiTheme="minorBidi" w:hint="cs"/>
          <w:color w:val="000000" w:themeColor="text1"/>
          <w:sz w:val="16"/>
          <w:szCs w:val="16"/>
          <w:rtl/>
        </w:rPr>
        <w:t>כאן ובסע' ב-ג</w:t>
      </w:r>
      <w:r w:rsidR="006C4840" w:rsidRPr="006C4840">
        <w:rPr>
          <w:rFonts w:asciiTheme="minorBidi" w:hAnsiTheme="minorBidi" w:hint="cs"/>
          <w:color w:val="000000" w:themeColor="text1"/>
          <w:sz w:val="16"/>
          <w:szCs w:val="16"/>
          <w:rtl/>
        </w:rPr>
        <w:t>]</w:t>
      </w:r>
      <w:r w:rsidR="006C4840" w:rsidRPr="00351B7D">
        <w:rPr>
          <w:rFonts w:asciiTheme="minorBidi" w:hAnsiTheme="minorBidi"/>
          <w:color w:val="E36C0A" w:themeColor="accent6" w:themeShade="BF"/>
          <w:rtl/>
        </w:rPr>
        <w:t>)</w:t>
      </w:r>
    </w:p>
    <w:p w14:paraId="63C36742" w14:textId="24BA2F86" w:rsidR="0031429E" w:rsidRPr="007D1E88" w:rsidRDefault="0031429E" w:rsidP="0031429E">
      <w:pPr>
        <w:ind w:left="360"/>
        <w:rPr>
          <w:u w:val="dotted"/>
        </w:rPr>
      </w:pPr>
      <w:r w:rsidRPr="007D1E88">
        <w:rPr>
          <w:rFonts w:hint="cs"/>
          <w:u w:val="dotted"/>
          <w:rtl/>
        </w:rPr>
        <w:t xml:space="preserve">ומה הדין אם כתב לה כל נכסיו </w:t>
      </w:r>
      <w:r w:rsidR="00EB410F">
        <w:rPr>
          <w:rFonts w:hint="cs"/>
          <w:u w:val="dotted"/>
          <w:rtl/>
        </w:rPr>
        <w:t>ופירש בכתב שיור שמשייר לעצמו</w:t>
      </w:r>
      <w:r w:rsidRPr="007D1E88">
        <w:rPr>
          <w:rFonts w:hint="cs"/>
          <w:u w:val="dotted"/>
          <w:rtl/>
        </w:rPr>
        <w:t>:</w:t>
      </w:r>
    </w:p>
    <w:p w14:paraId="5A5D4955" w14:textId="5E3EEEEF" w:rsidR="0031429E" w:rsidRPr="00E8501D" w:rsidRDefault="0031429E" w:rsidP="0031429E">
      <w:pPr>
        <w:pStyle w:val="ab"/>
        <w:numPr>
          <w:ilvl w:val="0"/>
          <w:numId w:val="91"/>
        </w:numPr>
      </w:pPr>
      <w:r w:rsidRPr="00B80891">
        <w:rPr>
          <w:rFonts w:cs="Arial"/>
          <w:rtl/>
        </w:rPr>
        <w:t>רא"ש</w:t>
      </w:r>
      <w:r>
        <w:rPr>
          <w:rStyle w:val="a7"/>
          <w:rFonts w:cs="Arial"/>
          <w:rtl/>
        </w:rPr>
        <w:footnoteReference w:id="2334"/>
      </w:r>
      <w:r w:rsidRPr="00B80891">
        <w:rPr>
          <w:rFonts w:cs="Arial"/>
          <w:rtl/>
        </w:rPr>
        <w:t xml:space="preserve"> </w:t>
      </w:r>
      <w:r w:rsidRPr="00E8501D">
        <w:rPr>
          <w:rFonts w:cs="Arial" w:hint="cs"/>
          <w:sz w:val="16"/>
          <w:szCs w:val="16"/>
          <w:rtl/>
        </w:rPr>
        <w:t>(</w:t>
      </w:r>
      <w:r w:rsidRPr="00E8501D">
        <w:rPr>
          <w:rFonts w:cs="Arial"/>
          <w:sz w:val="16"/>
          <w:szCs w:val="16"/>
          <w:rtl/>
        </w:rPr>
        <w:t>כלל מא סי' א)</w:t>
      </w:r>
      <w:r>
        <w:rPr>
          <w:rFonts w:cs="Arial" w:hint="cs"/>
          <w:rtl/>
        </w:rPr>
        <w:t xml:space="preserve"> וטור-</w:t>
      </w:r>
      <w:r w:rsidRPr="00B80891">
        <w:rPr>
          <w:rFonts w:cs="Arial"/>
          <w:rtl/>
        </w:rPr>
        <w:t xml:space="preserve"> הא דלא הפסידה כששייר</w:t>
      </w:r>
      <w:r w:rsidR="00EB410F">
        <w:rPr>
          <w:rFonts w:cs="Arial" w:hint="cs"/>
          <w:rtl/>
        </w:rPr>
        <w:t>,</w:t>
      </w:r>
      <w:r w:rsidRPr="00B80891">
        <w:rPr>
          <w:rFonts w:cs="Arial"/>
          <w:rtl/>
        </w:rPr>
        <w:t xml:space="preserve"> היינו כשכותב לה סכום מנכסיו ואפי' הסכום הוא גדול שכתב לה מחציתם או שני חלקים מהם</w:t>
      </w:r>
      <w:r w:rsidR="00EB410F">
        <w:rPr>
          <w:rFonts w:cs="Arial" w:hint="cs"/>
          <w:rtl/>
        </w:rPr>
        <w:t>.</w:t>
      </w:r>
      <w:r w:rsidRPr="00B80891">
        <w:rPr>
          <w:rFonts w:cs="Arial"/>
          <w:rtl/>
        </w:rPr>
        <w:t xml:space="preserve"> אבל אם כתב לה כל נכסיו ופירש השיור</w:t>
      </w:r>
      <w:r>
        <w:rPr>
          <w:rFonts w:cs="Arial" w:hint="cs"/>
          <w:rtl/>
        </w:rPr>
        <w:t>,</w:t>
      </w:r>
      <w:r w:rsidRPr="00B80891">
        <w:rPr>
          <w:rFonts w:cs="Arial"/>
          <w:rtl/>
        </w:rPr>
        <w:t xml:space="preserve"> אפי' אם שייר הרבה </w:t>
      </w:r>
      <w:r>
        <w:rPr>
          <w:rFonts w:cs="Arial" w:hint="cs"/>
          <w:rtl/>
        </w:rPr>
        <w:t xml:space="preserve">- </w:t>
      </w:r>
      <w:r w:rsidRPr="00B80891">
        <w:rPr>
          <w:rFonts w:cs="Arial"/>
          <w:rtl/>
        </w:rPr>
        <w:t>אבדה כתובתה מנכסים שיש לה</w:t>
      </w:r>
      <w:r>
        <w:rPr>
          <w:rFonts w:cs="Arial" w:hint="cs"/>
          <w:rtl/>
        </w:rPr>
        <w:t>,</w:t>
      </w:r>
      <w:r w:rsidRPr="00B80891">
        <w:rPr>
          <w:rFonts w:cs="Arial"/>
          <w:rtl/>
        </w:rPr>
        <w:t xml:space="preserve"> שכבוד שעושה לה שכותב לה כל נכסיו גורם המחילה</w:t>
      </w:r>
      <w:r>
        <w:rPr>
          <w:rFonts w:cs="Arial" w:hint="cs"/>
          <w:sz w:val="16"/>
          <w:szCs w:val="16"/>
          <w:rtl/>
        </w:rPr>
        <w:t xml:space="preserve"> (ל' הטור בשם הרא"ש)</w:t>
      </w:r>
      <w:r>
        <w:rPr>
          <w:rFonts w:cs="Arial" w:hint="cs"/>
          <w:rtl/>
        </w:rPr>
        <w:t>.</w:t>
      </w:r>
      <w:r w:rsidRPr="00B80891">
        <w:rPr>
          <w:rFonts w:cs="Arial"/>
          <w:rtl/>
        </w:rPr>
        <w:t xml:space="preserve"> </w:t>
      </w:r>
      <w:r w:rsidR="00427144" w:rsidRPr="00351B7D">
        <w:rPr>
          <w:rFonts w:asciiTheme="minorBidi" w:hAnsiTheme="minorBidi"/>
          <w:color w:val="E36C0A" w:themeColor="accent6" w:themeShade="BF"/>
          <w:rtl/>
        </w:rPr>
        <w:t>(וכ"</w:t>
      </w:r>
      <w:r w:rsidR="00F84D02">
        <w:rPr>
          <w:rFonts w:asciiTheme="minorBidi" w:hAnsiTheme="minorBidi" w:hint="cs"/>
          <w:color w:val="E36C0A" w:themeColor="accent6" w:themeShade="BF"/>
          <w:rtl/>
        </w:rPr>
        <w:t>כ</w:t>
      </w:r>
      <w:r w:rsidR="00427144" w:rsidRPr="00351B7D">
        <w:rPr>
          <w:rFonts w:asciiTheme="minorBidi" w:hAnsiTheme="minorBidi"/>
          <w:color w:val="E36C0A" w:themeColor="accent6" w:themeShade="BF"/>
          <w:rtl/>
        </w:rPr>
        <w:t xml:space="preserve"> בשו"ע</w:t>
      </w:r>
      <w:r w:rsidR="00427144">
        <w:rPr>
          <w:rFonts w:asciiTheme="minorBidi" w:hAnsiTheme="minorBidi" w:hint="cs"/>
          <w:color w:val="E36C0A" w:themeColor="accent6" w:themeShade="BF"/>
          <w:sz w:val="16"/>
          <w:szCs w:val="16"/>
          <w:rtl/>
        </w:rPr>
        <w:t xml:space="preserve"> </w:t>
      </w:r>
      <w:r w:rsidR="00427144" w:rsidRPr="006C4840">
        <w:rPr>
          <w:rFonts w:asciiTheme="minorBidi" w:hAnsiTheme="minorBidi" w:hint="cs"/>
          <w:color w:val="000000" w:themeColor="text1"/>
          <w:sz w:val="16"/>
          <w:szCs w:val="16"/>
          <w:rtl/>
        </w:rPr>
        <w:t>[</w:t>
      </w:r>
      <w:r w:rsidR="00427144">
        <w:rPr>
          <w:rFonts w:asciiTheme="minorBidi" w:hAnsiTheme="minorBidi" w:hint="cs"/>
          <w:color w:val="000000" w:themeColor="text1"/>
          <w:sz w:val="16"/>
          <w:szCs w:val="16"/>
          <w:rtl/>
        </w:rPr>
        <w:t>בסע' ד</w:t>
      </w:r>
      <w:r w:rsidR="00427144" w:rsidRPr="006C4840">
        <w:rPr>
          <w:rFonts w:asciiTheme="minorBidi" w:hAnsiTheme="minorBidi" w:hint="cs"/>
          <w:color w:val="000000" w:themeColor="text1"/>
          <w:sz w:val="16"/>
          <w:szCs w:val="16"/>
          <w:rtl/>
        </w:rPr>
        <w:t>]</w:t>
      </w:r>
      <w:r w:rsidR="00427144" w:rsidRPr="00351B7D">
        <w:rPr>
          <w:rFonts w:asciiTheme="minorBidi" w:hAnsiTheme="minorBidi"/>
          <w:color w:val="E36C0A" w:themeColor="accent6" w:themeShade="BF"/>
          <w:rtl/>
        </w:rPr>
        <w:t>)</w:t>
      </w:r>
    </w:p>
    <w:p w14:paraId="061A8430"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24DDD5F" w14:textId="6DEC282D" w:rsidR="00392DBB" w:rsidRDefault="00392DBB" w:rsidP="00392DBB">
      <w:pPr>
        <w:rPr>
          <w:rtl/>
        </w:rPr>
      </w:pPr>
      <w:r>
        <w:rPr>
          <w:rFonts w:cs="Arial"/>
          <w:rtl/>
        </w:rPr>
        <w:t>הכותב כל נכסיו לאשתו, בין בריא בין שכיב מרע, אף על פי שקנו מידו, לא עשאה אלא אפוטרופא על יורשיו, בין שהיו יורשיו בניו ממנה או מאשה אחרת</w:t>
      </w:r>
      <w:r w:rsidR="00F84D02">
        <w:rPr>
          <w:rFonts w:cs="Arial" w:hint="cs"/>
          <w:rtl/>
        </w:rPr>
        <w:t>,</w:t>
      </w:r>
      <w:r>
        <w:rPr>
          <w:rFonts w:cs="Arial"/>
          <w:rtl/>
        </w:rPr>
        <w:t xml:space="preserve"> או אחיו</w:t>
      </w:r>
      <w:r w:rsidR="00F84D02">
        <w:rPr>
          <w:rFonts w:cs="Arial" w:hint="cs"/>
          <w:rtl/>
        </w:rPr>
        <w:t>,</w:t>
      </w:r>
      <w:r>
        <w:rPr>
          <w:rFonts w:cs="Arial"/>
          <w:rtl/>
        </w:rPr>
        <w:t xml:space="preserve"> או שאר יורשין. ואם שייר כל שהוא, בין קרקע בין מטלטלין, קנתה כל מה שכתב לה. </w:t>
      </w:r>
      <w:r w:rsidR="002C368A" w:rsidRPr="002C368A">
        <w:rPr>
          <w:rFonts w:cs="Arial" w:hint="cs"/>
          <w:sz w:val="18"/>
          <w:szCs w:val="18"/>
          <w:rtl/>
        </w:rPr>
        <w:t xml:space="preserve">[הגה] </w:t>
      </w:r>
      <w:r w:rsidR="006C4840">
        <w:rPr>
          <w:rFonts w:cs="Arial" w:hint="cs"/>
          <w:sz w:val="18"/>
          <w:szCs w:val="18"/>
          <w:rtl/>
        </w:rPr>
        <w:t>ו</w:t>
      </w:r>
      <w:r w:rsidRPr="002C368A">
        <w:rPr>
          <w:rFonts w:cs="Arial"/>
          <w:sz w:val="18"/>
          <w:szCs w:val="18"/>
          <w:rtl/>
        </w:rPr>
        <w:t xml:space="preserve">בין כך ובין כך לא אבדה כתובתה (טור). </w:t>
      </w:r>
    </w:p>
    <w:p w14:paraId="4127DA4D" w14:textId="77777777" w:rsidR="002C368A" w:rsidRDefault="002C368A" w:rsidP="00392DBB">
      <w:pPr>
        <w:rPr>
          <w:rtl/>
        </w:rPr>
      </w:pPr>
    </w:p>
    <w:p w14:paraId="403262FC" w14:textId="4510EEB8" w:rsidR="00392DBB" w:rsidRDefault="00392DBB" w:rsidP="000F64D0">
      <w:pPr>
        <w:pStyle w:val="2"/>
        <w:rPr>
          <w:rtl/>
        </w:rPr>
      </w:pPr>
      <w:r>
        <w:rPr>
          <w:rtl/>
        </w:rPr>
        <w:t>סעיף ב</w:t>
      </w:r>
      <w:r w:rsidR="002C368A">
        <w:rPr>
          <w:rFonts w:hint="cs"/>
          <w:rtl/>
        </w:rPr>
        <w:t xml:space="preserve">: </w:t>
      </w:r>
      <w:r w:rsidR="006C4840">
        <w:rPr>
          <w:rFonts w:hint="cs"/>
          <w:rtl/>
        </w:rPr>
        <w:t>הכותב כל נכסיו לגרושתו/ארוסתו.</w:t>
      </w:r>
    </w:p>
    <w:p w14:paraId="427D1709" w14:textId="3153895E" w:rsidR="002C368A" w:rsidRPr="002C368A" w:rsidRDefault="006C4840" w:rsidP="002C368A">
      <w:pPr>
        <w:rPr>
          <w:rtl/>
        </w:rPr>
      </w:pPr>
      <w:r>
        <w:rPr>
          <w:rFonts w:hint="cs"/>
          <w:rtl/>
        </w:rPr>
        <w:t>עיין במקורות בסעיף א.</w:t>
      </w:r>
    </w:p>
    <w:p w14:paraId="680C3B0E"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8427C4D" w14:textId="4979DA72" w:rsidR="00392DBB" w:rsidRDefault="00392DBB" w:rsidP="00392DBB">
      <w:pPr>
        <w:rPr>
          <w:rFonts w:cs="Arial"/>
          <w:rtl/>
        </w:rPr>
      </w:pPr>
      <w:r>
        <w:rPr>
          <w:rFonts w:cs="Arial"/>
          <w:rtl/>
        </w:rPr>
        <w:t>ב</w:t>
      </w:r>
      <w:r w:rsidR="00E63AE8">
        <w:rPr>
          <w:rFonts w:cs="Arial" w:hint="cs"/>
          <w:rtl/>
        </w:rPr>
        <w:t>מה דברים אמורים</w:t>
      </w:r>
      <w:r>
        <w:rPr>
          <w:rFonts w:cs="Arial"/>
          <w:rtl/>
        </w:rPr>
        <w:t xml:space="preserve">, בנשואה. אבל אם כתב כל נכסיו לאשתו ארוסה, או לגרושה, אף על פי שלא שייר כלום, מתנתו קיימת. </w:t>
      </w:r>
      <w:r w:rsidR="00E63AE8" w:rsidRPr="00E63AE8">
        <w:rPr>
          <w:rFonts w:cs="Arial" w:hint="cs"/>
          <w:sz w:val="18"/>
          <w:szCs w:val="18"/>
          <w:rtl/>
        </w:rPr>
        <w:t xml:space="preserve">[הגה] </w:t>
      </w:r>
      <w:r w:rsidRPr="00E63AE8">
        <w:rPr>
          <w:rFonts w:cs="Arial"/>
          <w:sz w:val="18"/>
          <w:szCs w:val="18"/>
          <w:rtl/>
        </w:rPr>
        <w:t>ואבדה כתובתה, אא"כ ששייר מקצת נכסים (טור).</w:t>
      </w:r>
      <w:r>
        <w:rPr>
          <w:rFonts w:cs="Arial"/>
          <w:rtl/>
        </w:rPr>
        <w:t xml:space="preserve"> </w:t>
      </w:r>
    </w:p>
    <w:p w14:paraId="62BE21ED" w14:textId="77777777" w:rsidR="00E63AE8" w:rsidRDefault="00E63AE8" w:rsidP="00392DBB">
      <w:pPr>
        <w:rPr>
          <w:rtl/>
        </w:rPr>
      </w:pPr>
    </w:p>
    <w:p w14:paraId="69A7653F" w14:textId="4339CD46" w:rsidR="00392DBB" w:rsidRDefault="00392DBB" w:rsidP="000F64D0">
      <w:pPr>
        <w:pStyle w:val="2"/>
        <w:rPr>
          <w:rtl/>
        </w:rPr>
      </w:pPr>
      <w:r>
        <w:rPr>
          <w:rtl/>
        </w:rPr>
        <w:t>סעיף ג</w:t>
      </w:r>
      <w:r w:rsidR="006C4840">
        <w:rPr>
          <w:rFonts w:hint="cs"/>
          <w:rtl/>
        </w:rPr>
        <w:t xml:space="preserve">: </w:t>
      </w:r>
      <w:r w:rsidR="00092422">
        <w:rPr>
          <w:rFonts w:hint="cs"/>
          <w:rtl/>
        </w:rPr>
        <w:t>אשה שקיבלה כל נכסי בעלה במתנה</w:t>
      </w:r>
      <w:r w:rsidR="00CA49CF">
        <w:rPr>
          <w:rFonts w:hint="cs"/>
          <w:rtl/>
        </w:rPr>
        <w:t xml:space="preserve"> אבדה כתובתה.</w:t>
      </w:r>
    </w:p>
    <w:p w14:paraId="31A10855" w14:textId="09C962EC" w:rsidR="006C4840" w:rsidRPr="006C4840" w:rsidRDefault="006C4840" w:rsidP="006C4840">
      <w:pPr>
        <w:rPr>
          <w:rtl/>
        </w:rPr>
      </w:pPr>
      <w:r>
        <w:rPr>
          <w:rFonts w:hint="cs"/>
          <w:rtl/>
        </w:rPr>
        <w:t>עיין במקורות בסעיף א.</w:t>
      </w:r>
    </w:p>
    <w:p w14:paraId="55E40278"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73F949B" w14:textId="4AA11CBF" w:rsidR="00392DBB" w:rsidRDefault="00392DBB" w:rsidP="00392DBB">
      <w:pPr>
        <w:rPr>
          <w:rFonts w:cs="Arial"/>
          <w:rtl/>
        </w:rPr>
      </w:pPr>
      <w:r>
        <w:rPr>
          <w:rFonts w:cs="Arial"/>
          <w:rtl/>
        </w:rPr>
        <w:t>כל אשה שקנתה כל נכסי בעלה במתנה גמורה</w:t>
      </w:r>
      <w:r w:rsidR="00CA49CF">
        <w:rPr>
          <w:rStyle w:val="a7"/>
          <w:rFonts w:cs="Arial"/>
          <w:rtl/>
        </w:rPr>
        <w:footnoteReference w:id="2335"/>
      </w:r>
      <w:r>
        <w:rPr>
          <w:rFonts w:cs="Arial"/>
          <w:rtl/>
        </w:rPr>
        <w:t xml:space="preserve">, איבדה כתובתה ותקרע. לפיכך אם יצא שטר חוב עליו מוקדם למתנה זו, והלכו כל הנכסים בפריעת החוב, תשאר היא בלא כלום ולא תקח בכתובתה שקדמה לחוב, שאומדן דעת </w:t>
      </w:r>
      <w:r>
        <w:rPr>
          <w:rFonts w:cs="Arial"/>
          <w:rtl/>
        </w:rPr>
        <w:lastRenderedPageBreak/>
        <w:t xml:space="preserve">הוא שבהנאה שבאה לה בשמועה זו שכתב לה כל נכסיו איבדה כל זכות שיש לה בנכסיו מצד כתובתה בין מאותם שהיו לו בין מאותם שמכר או נתן קודם לכן. אבל אם אחר כך זכה בנכסים, גובה כתובתה מהם. </w:t>
      </w:r>
    </w:p>
    <w:p w14:paraId="23FC27B9" w14:textId="77777777" w:rsidR="005D7137" w:rsidRDefault="005D7137" w:rsidP="00392DBB">
      <w:pPr>
        <w:rPr>
          <w:rtl/>
        </w:rPr>
      </w:pPr>
    </w:p>
    <w:p w14:paraId="4D34BE12" w14:textId="4B369724" w:rsidR="00392DBB" w:rsidRDefault="00392DBB" w:rsidP="000F64D0">
      <w:pPr>
        <w:pStyle w:val="2"/>
        <w:rPr>
          <w:rtl/>
        </w:rPr>
      </w:pPr>
      <w:r>
        <w:rPr>
          <w:rtl/>
        </w:rPr>
        <w:t>סעיף ד</w:t>
      </w:r>
      <w:r w:rsidR="00E63AE8">
        <w:rPr>
          <w:rFonts w:hint="cs"/>
          <w:rtl/>
        </w:rPr>
        <w:t xml:space="preserve">: </w:t>
      </w:r>
      <w:r w:rsidR="005D7137">
        <w:rPr>
          <w:rFonts w:hint="cs"/>
          <w:rtl/>
        </w:rPr>
        <w:t>כתב לה כל נכסיו אבל פירש שיור שמשאיר לעצמו.</w:t>
      </w:r>
    </w:p>
    <w:p w14:paraId="31FFE0EF" w14:textId="0DE4BA80" w:rsidR="005D7137" w:rsidRPr="005D7137" w:rsidRDefault="006C4840" w:rsidP="005D7137">
      <w:pPr>
        <w:rPr>
          <w:rtl/>
        </w:rPr>
      </w:pPr>
      <w:r>
        <w:rPr>
          <w:rFonts w:hint="cs"/>
          <w:rtl/>
        </w:rPr>
        <w:t>עיין במקורות בסעיף א.</w:t>
      </w:r>
    </w:p>
    <w:p w14:paraId="7B6CA87B"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2885EC3" w14:textId="4064EF9D" w:rsidR="00392DBB" w:rsidRDefault="00392DBB" w:rsidP="00392DBB">
      <w:pPr>
        <w:rPr>
          <w:rtl/>
        </w:rPr>
      </w:pPr>
      <w:r>
        <w:rPr>
          <w:rFonts w:cs="Arial"/>
          <w:rtl/>
        </w:rPr>
        <w:t xml:space="preserve">יש מי שאומר דהא דלא הפסידה כתובתה בששייר, היינו כשכותב לה סכום מנכסיו, ואפילו אם הסכום הוא גדול כגון שכתב לה מחציתם או שני שלישים. אבל אם כתב לה כל נכסיו ופירש השיור, אפילו אם שייר הרבה, איבדה כתובתה מנכסים שיש לו, שכבוד שעושה לה שכתב לה כל נכסיו גורם המחילה. </w:t>
      </w:r>
    </w:p>
    <w:p w14:paraId="7B493C1D" w14:textId="77777777" w:rsidR="005D7137" w:rsidRDefault="005D7137" w:rsidP="00392DBB">
      <w:pPr>
        <w:rPr>
          <w:rtl/>
        </w:rPr>
      </w:pPr>
    </w:p>
    <w:p w14:paraId="14A81DDC" w14:textId="297A092B" w:rsidR="00392DBB" w:rsidRDefault="00392DBB" w:rsidP="000F64D0">
      <w:pPr>
        <w:pStyle w:val="2"/>
        <w:rPr>
          <w:rtl/>
        </w:rPr>
      </w:pPr>
      <w:r>
        <w:rPr>
          <w:rtl/>
        </w:rPr>
        <w:t>סעיף ה</w:t>
      </w:r>
      <w:r w:rsidR="005D7137">
        <w:rPr>
          <w:rFonts w:hint="cs"/>
          <w:rtl/>
        </w:rPr>
        <w:t xml:space="preserve">: כתב לה כדי להפסידה. </w:t>
      </w:r>
    </w:p>
    <w:p w14:paraId="7AA099E1" w14:textId="77777777" w:rsidR="005D7137" w:rsidRDefault="005D7137" w:rsidP="004F07AB">
      <w:pPr>
        <w:rPr>
          <w:rFonts w:cs="Arial"/>
          <w:rtl/>
        </w:rPr>
      </w:pPr>
      <w:r w:rsidRPr="005D7137">
        <w:rPr>
          <w:rFonts w:hint="cs"/>
          <w:u w:val="single"/>
          <w:rtl/>
        </w:rPr>
        <w:t>כתב לה כדי להפסידה</w:t>
      </w:r>
      <w:r w:rsidRPr="005D7137">
        <w:rPr>
          <w:rFonts w:cs="Arial" w:hint="cs"/>
          <w:u w:val="single"/>
          <w:rtl/>
        </w:rPr>
        <w:t>:</w:t>
      </w:r>
      <w:r w:rsidRPr="004F07AB">
        <w:rPr>
          <w:rFonts w:cs="Arial"/>
          <w:rtl/>
        </w:rPr>
        <w:t xml:space="preserve"> </w:t>
      </w:r>
    </w:p>
    <w:p w14:paraId="2AE67B0D" w14:textId="3C7534AC" w:rsidR="004F07AB" w:rsidRPr="004F07AB" w:rsidRDefault="004F07AB" w:rsidP="005D7137">
      <w:pPr>
        <w:pStyle w:val="ab"/>
        <w:numPr>
          <w:ilvl w:val="0"/>
          <w:numId w:val="91"/>
        </w:numPr>
        <w:rPr>
          <w:rtl/>
        </w:rPr>
      </w:pPr>
      <w:r w:rsidRPr="005D7137">
        <w:rPr>
          <w:rFonts w:cs="Arial"/>
          <w:rtl/>
        </w:rPr>
        <w:t>נמוק</w:t>
      </w:r>
      <w:r w:rsidR="005D7137" w:rsidRPr="005D7137">
        <w:rPr>
          <w:rFonts w:cs="Arial" w:hint="cs"/>
          <w:rtl/>
        </w:rPr>
        <w:t>"</w:t>
      </w:r>
      <w:r w:rsidRPr="005D7137">
        <w:rPr>
          <w:rFonts w:cs="Arial"/>
          <w:rtl/>
        </w:rPr>
        <w:t xml:space="preserve">י </w:t>
      </w:r>
      <w:r w:rsidRPr="005D7137">
        <w:rPr>
          <w:rFonts w:cs="Arial"/>
          <w:sz w:val="16"/>
          <w:szCs w:val="16"/>
          <w:rtl/>
        </w:rPr>
        <w:t>(ס. דיבור ראשון)</w:t>
      </w:r>
      <w:r w:rsidR="005D7137">
        <w:rPr>
          <w:rFonts w:cs="Arial" w:hint="cs"/>
          <w:rtl/>
        </w:rPr>
        <w:t>-</w:t>
      </w:r>
      <w:r w:rsidRPr="005D7137">
        <w:rPr>
          <w:rFonts w:cs="Arial"/>
          <w:rtl/>
        </w:rPr>
        <w:t xml:space="preserve"> היה אומר הרא"ה בשם רבינו הגדול רבו ז"ל דאם הוכר הדבר שהערים במתכוין כדי להפסידה </w:t>
      </w:r>
      <w:r w:rsidR="00CA49CF">
        <w:rPr>
          <w:rFonts w:cs="Arial" w:hint="cs"/>
          <w:rtl/>
        </w:rPr>
        <w:t xml:space="preserve">- </w:t>
      </w:r>
      <w:r w:rsidRPr="005D7137">
        <w:rPr>
          <w:rFonts w:cs="Arial"/>
          <w:rtl/>
        </w:rPr>
        <w:t>לא איבדה כתובתה</w:t>
      </w:r>
      <w:r w:rsidR="00CA49CF">
        <w:rPr>
          <w:rFonts w:cs="Arial" w:hint="cs"/>
          <w:rtl/>
        </w:rPr>
        <w:t>,</w:t>
      </w:r>
      <w:r w:rsidRPr="005D7137">
        <w:rPr>
          <w:rFonts w:cs="Arial"/>
          <w:rtl/>
        </w:rPr>
        <w:t xml:space="preserve"> דאנן סהדי דאילו ידעה כי דרך שנאה הוא עושה להפסידה שלא מחלה שאין זה מאן דיקר אלא גרף של רעי</w:t>
      </w:r>
      <w:r w:rsidR="00427144">
        <w:rPr>
          <w:rFonts w:cs="Arial" w:hint="cs"/>
          <w:rtl/>
        </w:rPr>
        <w:t>,</w:t>
      </w:r>
      <w:r w:rsidRPr="005D7137">
        <w:rPr>
          <w:rFonts w:cs="Arial"/>
          <w:rtl/>
        </w:rPr>
        <w:t xml:space="preserve"> והיינו דקתני יצא עליה שטר חוב</w:t>
      </w:r>
      <w:r w:rsidR="00427144">
        <w:rPr>
          <w:rFonts w:cs="Arial" w:hint="cs"/>
          <w:rtl/>
        </w:rPr>
        <w:t>.</w:t>
      </w:r>
      <w:r w:rsidRPr="005D7137">
        <w:rPr>
          <w:rFonts w:cs="Arial"/>
          <w:rtl/>
        </w:rPr>
        <w:t xml:space="preserve"> וכן נראין הדברים באמת</w:t>
      </w:r>
      <w:r w:rsidR="00427144">
        <w:rPr>
          <w:rFonts w:cs="Arial" w:hint="cs"/>
          <w:rtl/>
        </w:rPr>
        <w:t>,</w:t>
      </w:r>
      <w:r w:rsidRPr="005D7137">
        <w:rPr>
          <w:rFonts w:cs="Arial"/>
          <w:rtl/>
        </w:rPr>
        <w:t xml:space="preserve"> והכל כפי מה שעיני הדיינים רואות הריטב"א ז"ל (קלב. ד"ה למימרא)</w:t>
      </w:r>
      <w:r w:rsidR="005D7137">
        <w:rPr>
          <w:rFonts w:cs="Arial" w:hint="cs"/>
          <w:rtl/>
        </w:rPr>
        <w:t>.</w:t>
      </w:r>
      <w:r w:rsidR="00427144" w:rsidRPr="00427144">
        <w:rPr>
          <w:rFonts w:asciiTheme="minorBidi" w:hAnsiTheme="minorBidi"/>
          <w:color w:val="E36C0A" w:themeColor="accent6" w:themeShade="BF"/>
          <w:rtl/>
        </w:rPr>
        <w:t xml:space="preserve"> </w:t>
      </w:r>
      <w:r w:rsidR="00427144" w:rsidRPr="00351B7D">
        <w:rPr>
          <w:rFonts w:asciiTheme="minorBidi" w:hAnsiTheme="minorBidi"/>
          <w:color w:val="E36C0A" w:themeColor="accent6" w:themeShade="BF"/>
          <w:rtl/>
        </w:rPr>
        <w:t>(וכ"</w:t>
      </w:r>
      <w:r w:rsidR="00427144">
        <w:rPr>
          <w:rFonts w:asciiTheme="minorBidi" w:hAnsiTheme="minorBidi" w:hint="cs"/>
          <w:color w:val="E36C0A" w:themeColor="accent6" w:themeShade="BF"/>
          <w:rtl/>
        </w:rPr>
        <w:t>פ</w:t>
      </w:r>
      <w:r w:rsidR="00427144" w:rsidRPr="00351B7D">
        <w:rPr>
          <w:rFonts w:asciiTheme="minorBidi" w:hAnsiTheme="minorBidi"/>
          <w:color w:val="E36C0A" w:themeColor="accent6" w:themeShade="BF"/>
          <w:rtl/>
        </w:rPr>
        <w:t xml:space="preserve"> בשו"ע)</w:t>
      </w:r>
    </w:p>
    <w:p w14:paraId="3C6D7B58" w14:textId="77777777" w:rsidR="004F07AB" w:rsidRPr="00351B7D" w:rsidRDefault="004F07AB" w:rsidP="004F07A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7BEAA28" w14:textId="77777777" w:rsidR="005D7137" w:rsidRDefault="00392DBB" w:rsidP="00392DBB">
      <w:pPr>
        <w:rPr>
          <w:rFonts w:cs="Arial"/>
          <w:rtl/>
        </w:rPr>
      </w:pPr>
      <w:r>
        <w:rPr>
          <w:rFonts w:cs="Arial"/>
          <w:rtl/>
        </w:rPr>
        <w:t>יש מי שאומר שאם הוברר הדבר שהערים במתכוין כדי להפסידה, לא איבדה כתובתה.</w:t>
      </w:r>
    </w:p>
    <w:p w14:paraId="108E2B2F" w14:textId="7F90F973" w:rsidR="00392DBB" w:rsidRDefault="00392DBB" w:rsidP="00392DBB">
      <w:pPr>
        <w:rPr>
          <w:rtl/>
        </w:rPr>
      </w:pPr>
      <w:r>
        <w:rPr>
          <w:rFonts w:cs="Arial"/>
          <w:rtl/>
        </w:rPr>
        <w:t xml:space="preserve"> </w:t>
      </w:r>
    </w:p>
    <w:p w14:paraId="391B6EA2" w14:textId="76DAA2DC" w:rsidR="00392DBB" w:rsidRDefault="00392DBB" w:rsidP="000F64D0">
      <w:pPr>
        <w:pStyle w:val="2"/>
        <w:rPr>
          <w:rtl/>
        </w:rPr>
      </w:pPr>
      <w:r>
        <w:rPr>
          <w:rtl/>
        </w:rPr>
        <w:t>סעיף ו</w:t>
      </w:r>
      <w:r w:rsidR="005D7137">
        <w:rPr>
          <w:rFonts w:hint="cs"/>
          <w:rtl/>
        </w:rPr>
        <w:t xml:space="preserve">: </w:t>
      </w:r>
      <w:r w:rsidR="00427144">
        <w:rPr>
          <w:rFonts w:hint="cs"/>
          <w:rtl/>
        </w:rPr>
        <w:t>כתב כל נכסיו לשתי נשיו.</w:t>
      </w:r>
    </w:p>
    <w:p w14:paraId="3CA6CE14" w14:textId="44F2816A" w:rsidR="00972492" w:rsidRPr="00651D3B" w:rsidRDefault="00972492" w:rsidP="00972492">
      <w:pPr>
        <w:rPr>
          <w:sz w:val="16"/>
          <w:szCs w:val="16"/>
          <w:rtl/>
        </w:rPr>
      </w:pPr>
      <w:r w:rsidRPr="00125CEF">
        <w:rPr>
          <w:rFonts w:cs="Arial" w:hint="cs"/>
          <w:b/>
          <w:bCs/>
          <w:rtl/>
        </w:rPr>
        <w:t xml:space="preserve">בבא בתרא </w:t>
      </w:r>
      <w:r w:rsidRPr="00125CEF">
        <w:rPr>
          <w:rFonts w:cs="Arial" w:hint="cs"/>
          <w:b/>
          <w:bCs/>
          <w:sz w:val="16"/>
          <w:szCs w:val="16"/>
          <w:rtl/>
        </w:rPr>
        <w:t>(פ' יש נוחלין)</w:t>
      </w:r>
      <w:r w:rsidRPr="00125CEF">
        <w:rPr>
          <w:rFonts w:cs="Arial" w:hint="cs"/>
          <w:b/>
          <w:bCs/>
          <w:rtl/>
        </w:rPr>
        <w:t xml:space="preserve"> קל</w:t>
      </w:r>
      <w:r>
        <w:rPr>
          <w:rFonts w:cs="Arial" w:hint="cs"/>
          <w:b/>
          <w:bCs/>
          <w:rtl/>
        </w:rPr>
        <w:t>א</w:t>
      </w:r>
      <w:r w:rsidRPr="00125CEF">
        <w:rPr>
          <w:rFonts w:cs="Arial" w:hint="cs"/>
          <w:b/>
          <w:bCs/>
          <w:rtl/>
        </w:rPr>
        <w:t xml:space="preserve"> ע"</w:t>
      </w:r>
      <w:r>
        <w:rPr>
          <w:rFonts w:cs="Arial" w:hint="cs"/>
          <w:b/>
          <w:bCs/>
          <w:rtl/>
        </w:rPr>
        <w:t>ב</w:t>
      </w:r>
      <w:r w:rsidRPr="00125CEF">
        <w:rPr>
          <w:rFonts w:cs="Arial" w:hint="cs"/>
          <w:b/>
          <w:bCs/>
          <w:rtl/>
        </w:rPr>
        <w:t>:</w:t>
      </w:r>
      <w:r w:rsidRPr="00125CEF">
        <w:rPr>
          <w:rFonts w:cs="Arial" w:hint="cs"/>
          <w:rtl/>
        </w:rPr>
        <w:t xml:space="preserve"> </w:t>
      </w:r>
      <w:r w:rsidRPr="000E55D0">
        <w:rPr>
          <w:rFonts w:cs="Arial"/>
          <w:u w:val="single"/>
          <w:rtl/>
        </w:rPr>
        <w:t>אמר רב יהודה אמר שמואל</w:t>
      </w:r>
      <w:r w:rsidRPr="000E55D0">
        <w:rPr>
          <w:rFonts w:cs="Arial"/>
          <w:rtl/>
        </w:rPr>
        <w:t>: הכותב כל נכסיו לאשתו - לא עשאה אלא אפוטרופא</w:t>
      </w:r>
      <w:r w:rsidR="00833E6A">
        <w:rPr>
          <w:rFonts w:hint="cs"/>
          <w:rtl/>
        </w:rPr>
        <w:t>...</w:t>
      </w:r>
      <w:r w:rsidR="00833E6A" w:rsidRPr="00833E6A">
        <w:rPr>
          <w:rtl/>
        </w:rPr>
        <w:t xml:space="preserve"> </w:t>
      </w:r>
      <w:r w:rsidR="00833E6A" w:rsidRPr="00833E6A">
        <w:rPr>
          <w:rFonts w:cs="Arial"/>
          <w:rtl/>
        </w:rPr>
        <w:t>פשיטא, בנו ואחר - אחר במתנה ובנו אפוטרופוס</w:t>
      </w:r>
      <w:r w:rsidR="00833E6A">
        <w:rPr>
          <w:rFonts w:cs="Arial" w:hint="cs"/>
          <w:rtl/>
        </w:rPr>
        <w:t>.</w:t>
      </w:r>
      <w:r w:rsidR="00651D3B">
        <w:rPr>
          <w:rFonts w:cs="Arial" w:hint="cs"/>
          <w:sz w:val="16"/>
          <w:szCs w:val="16"/>
          <w:rtl/>
        </w:rPr>
        <w:t xml:space="preserve"> (</w:t>
      </w:r>
      <w:r w:rsidR="00651D3B" w:rsidRPr="00651D3B">
        <w:rPr>
          <w:rFonts w:cs="Arial"/>
          <w:sz w:val="16"/>
          <w:szCs w:val="16"/>
          <w:rtl/>
        </w:rPr>
        <w:t>ולא מיבעיא אם כתב מקצת נכסיו לאחר תחלה והשאר לבנו דהוי אפוטרופא</w:t>
      </w:r>
      <w:r w:rsidR="000A05B4">
        <w:rPr>
          <w:rFonts w:cs="Arial" w:hint="cs"/>
          <w:sz w:val="16"/>
          <w:szCs w:val="16"/>
          <w:rtl/>
        </w:rPr>
        <w:t>,</w:t>
      </w:r>
      <w:r w:rsidR="00651D3B" w:rsidRPr="00651D3B">
        <w:rPr>
          <w:rFonts w:cs="Arial"/>
          <w:sz w:val="16"/>
          <w:szCs w:val="16"/>
          <w:rtl/>
        </w:rPr>
        <w:t xml:space="preserve"> דבשעה שכתב לבנו הוי כל נכסיו</w:t>
      </w:r>
      <w:r w:rsidR="000A05B4">
        <w:rPr>
          <w:rFonts w:cs="Arial" w:hint="cs"/>
          <w:sz w:val="16"/>
          <w:szCs w:val="16"/>
          <w:rtl/>
        </w:rPr>
        <w:t>,</w:t>
      </w:r>
      <w:r w:rsidR="00651D3B" w:rsidRPr="00651D3B">
        <w:rPr>
          <w:rFonts w:cs="Arial"/>
          <w:sz w:val="16"/>
          <w:szCs w:val="16"/>
          <w:rtl/>
        </w:rPr>
        <w:t xml:space="preserve"> אלא אפי' כתב כל נכסיו לבנו ואחר בבת אחת </w:t>
      </w:r>
      <w:r w:rsidR="000A05B4">
        <w:rPr>
          <w:rFonts w:cs="Arial" w:hint="cs"/>
          <w:sz w:val="16"/>
          <w:szCs w:val="16"/>
          <w:rtl/>
        </w:rPr>
        <w:t xml:space="preserve">- </w:t>
      </w:r>
      <w:r w:rsidR="00651D3B" w:rsidRPr="00651D3B">
        <w:rPr>
          <w:rFonts w:cs="Arial"/>
          <w:sz w:val="16"/>
          <w:szCs w:val="16"/>
          <w:rtl/>
        </w:rPr>
        <w:t>חשבינן ליה כותב כל נכסיו לבנו כיון דלא שייר בנכסים כלום אחר מתנת בנו</w:t>
      </w:r>
      <w:r w:rsidR="00AD2E18">
        <w:rPr>
          <w:rFonts w:cs="Arial" w:hint="cs"/>
          <w:sz w:val="16"/>
          <w:szCs w:val="16"/>
          <w:rtl/>
        </w:rPr>
        <w:t>.</w:t>
      </w:r>
      <w:r w:rsidR="00651D3B" w:rsidRPr="00651D3B">
        <w:rPr>
          <w:rFonts w:cs="Arial"/>
          <w:sz w:val="16"/>
          <w:szCs w:val="16"/>
          <w:rtl/>
        </w:rPr>
        <w:t xml:space="preserve"> ודוקא שכתב כל נכסיו לבנו ולפלוני</w:t>
      </w:r>
      <w:r w:rsidR="00AD2E18">
        <w:rPr>
          <w:rFonts w:cs="Arial" w:hint="cs"/>
          <w:sz w:val="16"/>
          <w:szCs w:val="16"/>
          <w:rtl/>
        </w:rPr>
        <w:t>,</w:t>
      </w:r>
      <w:r w:rsidR="00651D3B" w:rsidRPr="00651D3B">
        <w:rPr>
          <w:rFonts w:cs="Arial"/>
          <w:sz w:val="16"/>
          <w:szCs w:val="16"/>
          <w:rtl/>
        </w:rPr>
        <w:t xml:space="preserve"> אבל אם כתב חצי נכסיו לבנו וחצי נכסיו לפלוני</w:t>
      </w:r>
      <w:r w:rsidR="00AD2E18">
        <w:rPr>
          <w:rFonts w:cs="Arial" w:hint="cs"/>
          <w:sz w:val="16"/>
          <w:szCs w:val="16"/>
          <w:rtl/>
        </w:rPr>
        <w:t>,</w:t>
      </w:r>
      <w:r w:rsidR="00651D3B" w:rsidRPr="00651D3B">
        <w:rPr>
          <w:rFonts w:cs="Arial"/>
          <w:sz w:val="16"/>
          <w:szCs w:val="16"/>
          <w:rtl/>
        </w:rPr>
        <w:t xml:space="preserve"> מדהו"ל למכתב כל נכסיו לבנו ולפלוני ולא עשה כן אלא הקדים בנו במתנתו</w:t>
      </w:r>
      <w:r w:rsidR="00317606">
        <w:rPr>
          <w:rFonts w:cs="Arial" w:hint="cs"/>
          <w:sz w:val="16"/>
          <w:szCs w:val="16"/>
          <w:rtl/>
        </w:rPr>
        <w:t>,</w:t>
      </w:r>
      <w:r w:rsidR="00651D3B" w:rsidRPr="00651D3B">
        <w:rPr>
          <w:rFonts w:cs="Arial"/>
          <w:sz w:val="16"/>
          <w:szCs w:val="16"/>
          <w:rtl/>
        </w:rPr>
        <w:t xml:space="preserve"> לבנו נמי מתנה הוי</w:t>
      </w:r>
      <w:r w:rsidR="00317606">
        <w:rPr>
          <w:rFonts w:cs="Arial" w:hint="cs"/>
          <w:sz w:val="16"/>
          <w:szCs w:val="16"/>
          <w:rtl/>
        </w:rPr>
        <w:t>,</w:t>
      </w:r>
      <w:r w:rsidR="00651D3B" w:rsidRPr="00651D3B">
        <w:rPr>
          <w:rFonts w:cs="Arial"/>
          <w:sz w:val="16"/>
          <w:szCs w:val="16"/>
          <w:rtl/>
        </w:rPr>
        <w:t xml:space="preserve"> דהו"ל כנותן לבנו מקצת תחלה ואח"כ השאר לאחר</w:t>
      </w:r>
      <w:r w:rsidR="00317606">
        <w:rPr>
          <w:rFonts w:cs="Arial" w:hint="cs"/>
          <w:sz w:val="16"/>
          <w:szCs w:val="16"/>
          <w:rtl/>
        </w:rPr>
        <w:t>.</w:t>
      </w:r>
      <w:r w:rsidR="00982575">
        <w:rPr>
          <w:rFonts w:cs="Arial" w:hint="cs"/>
          <w:sz w:val="16"/>
          <w:szCs w:val="16"/>
          <w:rtl/>
        </w:rPr>
        <w:t>.</w:t>
      </w:r>
      <w:r w:rsidR="00317606">
        <w:rPr>
          <w:rFonts w:cs="Arial" w:hint="cs"/>
          <w:sz w:val="16"/>
          <w:szCs w:val="16"/>
          <w:rtl/>
        </w:rPr>
        <w:t>.</w:t>
      </w:r>
      <w:r w:rsidR="00651D3B" w:rsidRPr="00651D3B">
        <w:rPr>
          <w:rFonts w:cs="Arial"/>
          <w:sz w:val="16"/>
          <w:szCs w:val="16"/>
          <w:rtl/>
        </w:rPr>
        <w:t xml:space="preserve"> ואם כתב כל נכסיו לשני בניו </w:t>
      </w:r>
      <w:r w:rsidR="00317606">
        <w:rPr>
          <w:rFonts w:cs="Arial" w:hint="cs"/>
          <w:sz w:val="16"/>
          <w:szCs w:val="16"/>
          <w:rtl/>
        </w:rPr>
        <w:t xml:space="preserve">- </w:t>
      </w:r>
      <w:r w:rsidR="00651D3B" w:rsidRPr="00651D3B">
        <w:rPr>
          <w:rFonts w:cs="Arial"/>
          <w:sz w:val="16"/>
          <w:szCs w:val="16"/>
          <w:rtl/>
        </w:rPr>
        <w:t>הוו שניהם אפוטרופוסים</w:t>
      </w:r>
      <w:r w:rsidR="00317606">
        <w:rPr>
          <w:rFonts w:cs="Arial" w:hint="cs"/>
          <w:sz w:val="16"/>
          <w:szCs w:val="16"/>
          <w:rtl/>
        </w:rPr>
        <w:t>.</w:t>
      </w:r>
      <w:r w:rsidR="00651D3B" w:rsidRPr="00651D3B">
        <w:rPr>
          <w:rFonts w:cs="Arial"/>
          <w:sz w:val="16"/>
          <w:szCs w:val="16"/>
          <w:rtl/>
        </w:rPr>
        <w:t xml:space="preserve"> ואם כתב חצי נכסי לבני פלוני וחצי נכסי לבני פלוני </w:t>
      </w:r>
      <w:r w:rsidR="00317606">
        <w:rPr>
          <w:rFonts w:cs="Arial" w:hint="cs"/>
          <w:sz w:val="16"/>
          <w:szCs w:val="16"/>
          <w:rtl/>
        </w:rPr>
        <w:t xml:space="preserve">- </w:t>
      </w:r>
      <w:r w:rsidR="00651D3B" w:rsidRPr="00651D3B">
        <w:rPr>
          <w:rFonts w:cs="Arial"/>
          <w:sz w:val="16"/>
          <w:szCs w:val="16"/>
          <w:rtl/>
        </w:rPr>
        <w:t>הראשון מתנה והשני אפוטרופוס</w:t>
      </w:r>
      <w:r w:rsidR="001C0503">
        <w:rPr>
          <w:rFonts w:cs="Arial" w:hint="cs"/>
          <w:sz w:val="16"/>
          <w:szCs w:val="16"/>
          <w:rtl/>
        </w:rPr>
        <w:t>,</w:t>
      </w:r>
      <w:r w:rsidR="00651D3B" w:rsidRPr="00651D3B">
        <w:rPr>
          <w:rFonts w:cs="Arial"/>
          <w:sz w:val="16"/>
          <w:szCs w:val="16"/>
          <w:rtl/>
        </w:rPr>
        <w:t xml:space="preserve"> מדלא כתב כל נכסי לפלוני ופלוני בניי</w:t>
      </w:r>
      <w:r w:rsidR="00317606">
        <w:rPr>
          <w:rFonts w:cs="Arial" w:hint="cs"/>
          <w:sz w:val="16"/>
          <w:szCs w:val="16"/>
          <w:rtl/>
        </w:rPr>
        <w:t>.</w:t>
      </w:r>
      <w:r w:rsidR="00651D3B" w:rsidRPr="00651D3B">
        <w:rPr>
          <w:rFonts w:cs="Arial"/>
          <w:sz w:val="16"/>
          <w:szCs w:val="16"/>
          <w:rtl/>
        </w:rPr>
        <w:t xml:space="preserve"> וכן הדין בכותב לשתי נשיו</w:t>
      </w:r>
      <w:r w:rsidR="00317606">
        <w:rPr>
          <w:rFonts w:cs="Arial" w:hint="cs"/>
          <w:sz w:val="16"/>
          <w:szCs w:val="16"/>
          <w:rtl/>
        </w:rPr>
        <w:t>.</w:t>
      </w:r>
      <w:r w:rsidR="00651D3B" w:rsidRPr="00651D3B">
        <w:rPr>
          <w:rFonts w:cs="Arial"/>
          <w:sz w:val="16"/>
          <w:szCs w:val="16"/>
          <w:rtl/>
        </w:rPr>
        <w:t xml:space="preserve"> ואם כתב כל נכסיו לאשתו ולבנו</w:t>
      </w:r>
      <w:r w:rsidR="0049059E">
        <w:rPr>
          <w:rFonts w:cs="Arial" w:hint="cs"/>
          <w:sz w:val="16"/>
          <w:szCs w:val="16"/>
          <w:rtl/>
        </w:rPr>
        <w:t xml:space="preserve"> -</w:t>
      </w:r>
      <w:r w:rsidR="00651D3B" w:rsidRPr="00651D3B">
        <w:rPr>
          <w:rFonts w:cs="Arial"/>
          <w:sz w:val="16"/>
          <w:szCs w:val="16"/>
          <w:rtl/>
        </w:rPr>
        <w:t xml:space="preserve"> יראה דלאשתו הוי במתנה ולבנו אפוטרופא</w:t>
      </w:r>
      <w:r w:rsidR="0049059E">
        <w:rPr>
          <w:rFonts w:cs="Arial" w:hint="cs"/>
          <w:sz w:val="16"/>
          <w:szCs w:val="16"/>
          <w:rtl/>
        </w:rPr>
        <w:t>,</w:t>
      </w:r>
      <w:r w:rsidR="00651D3B" w:rsidRPr="00651D3B">
        <w:rPr>
          <w:rFonts w:cs="Arial"/>
          <w:sz w:val="16"/>
          <w:szCs w:val="16"/>
          <w:rtl/>
        </w:rPr>
        <w:t xml:space="preserve"> דאשתו לגבי בנו כאחר דמיא</w:t>
      </w:r>
      <w:r w:rsidR="0049059E">
        <w:rPr>
          <w:rFonts w:cs="Arial" w:hint="cs"/>
          <w:sz w:val="16"/>
          <w:szCs w:val="16"/>
          <w:rtl/>
        </w:rPr>
        <w:t>.</w:t>
      </w:r>
      <w:r w:rsidR="00380E76">
        <w:rPr>
          <w:rFonts w:cs="Arial" w:hint="cs"/>
          <w:sz w:val="16"/>
          <w:szCs w:val="16"/>
          <w:rtl/>
        </w:rPr>
        <w:t>.</w:t>
      </w:r>
      <w:r w:rsidR="004F652C">
        <w:rPr>
          <w:rFonts w:cs="Arial" w:hint="cs"/>
          <w:sz w:val="16"/>
          <w:szCs w:val="16"/>
          <w:rtl/>
        </w:rPr>
        <w:t>.</w:t>
      </w:r>
      <w:r w:rsidR="00380E76">
        <w:rPr>
          <w:rFonts w:cs="Arial" w:hint="cs"/>
          <w:sz w:val="16"/>
          <w:szCs w:val="16"/>
          <w:rtl/>
        </w:rPr>
        <w:t xml:space="preserve">, </w:t>
      </w:r>
      <w:r w:rsidR="00380E76" w:rsidRPr="00380E76">
        <w:rPr>
          <w:rFonts w:cs="Arial"/>
          <w:sz w:val="16"/>
          <w:szCs w:val="16"/>
          <w:rtl/>
        </w:rPr>
        <w:t>רא"ש (סי' לא)</w:t>
      </w:r>
      <w:r w:rsidR="00651D3B">
        <w:rPr>
          <w:rFonts w:cs="Arial" w:hint="cs"/>
          <w:sz w:val="16"/>
          <w:szCs w:val="16"/>
          <w:rtl/>
        </w:rPr>
        <w:t>)</w:t>
      </w:r>
    </w:p>
    <w:p w14:paraId="5431A3ED" w14:textId="1C92CC3F" w:rsidR="005D7137" w:rsidRPr="00427144" w:rsidRDefault="00427144" w:rsidP="005D7137">
      <w:pPr>
        <w:rPr>
          <w:u w:val="single"/>
          <w:rtl/>
        </w:rPr>
      </w:pPr>
      <w:r w:rsidRPr="00427144">
        <w:rPr>
          <w:rFonts w:hint="cs"/>
          <w:u w:val="single"/>
          <w:rtl/>
        </w:rPr>
        <w:t>כתב כל נכסיו לשתי נשיו:</w:t>
      </w:r>
    </w:p>
    <w:p w14:paraId="7C9A8294" w14:textId="04D3F977" w:rsidR="001E1973" w:rsidRPr="001E1973" w:rsidRDefault="00380E76" w:rsidP="00534B17">
      <w:pPr>
        <w:pStyle w:val="ab"/>
        <w:numPr>
          <w:ilvl w:val="0"/>
          <w:numId w:val="91"/>
        </w:numPr>
      </w:pPr>
      <w:r>
        <w:rPr>
          <w:rFonts w:hint="cs"/>
          <w:rtl/>
        </w:rPr>
        <w:t xml:space="preserve">רא"ש </w:t>
      </w:r>
      <w:r>
        <w:rPr>
          <w:rFonts w:hint="cs"/>
          <w:sz w:val="16"/>
          <w:szCs w:val="16"/>
          <w:rtl/>
        </w:rPr>
        <w:t>(סי' לא)</w:t>
      </w:r>
      <w:r>
        <w:rPr>
          <w:rFonts w:hint="cs"/>
          <w:rtl/>
        </w:rPr>
        <w:t xml:space="preserve"> ו</w:t>
      </w:r>
      <w:r w:rsidR="00534B17">
        <w:rPr>
          <w:rFonts w:hint="cs"/>
          <w:rtl/>
        </w:rPr>
        <w:t>טור-</w:t>
      </w:r>
      <w:r w:rsidR="00534B17">
        <w:rPr>
          <w:rFonts w:cs="Arial" w:hint="cs"/>
          <w:rtl/>
        </w:rPr>
        <w:t xml:space="preserve"> </w:t>
      </w:r>
      <w:r w:rsidR="00534B17" w:rsidRPr="00B80891">
        <w:rPr>
          <w:rFonts w:cs="Arial"/>
          <w:rtl/>
        </w:rPr>
        <w:t xml:space="preserve">היו לו שתי נשים וכתב כל נכסיו לשתיהן </w:t>
      </w:r>
      <w:r w:rsidR="00356B9A">
        <w:rPr>
          <w:rFonts w:cs="Arial" w:hint="cs"/>
          <w:rtl/>
        </w:rPr>
        <w:t xml:space="preserve">- </w:t>
      </w:r>
      <w:r w:rsidR="00534B17" w:rsidRPr="00B80891">
        <w:rPr>
          <w:rFonts w:cs="Arial"/>
          <w:rtl/>
        </w:rPr>
        <w:t>לא קנתה שום אחת מהן ושתיה</w:t>
      </w:r>
      <w:r w:rsidR="00356B9A">
        <w:rPr>
          <w:rFonts w:cs="Arial" w:hint="cs"/>
          <w:rtl/>
        </w:rPr>
        <w:t>ן</w:t>
      </w:r>
      <w:r w:rsidR="00534B17" w:rsidRPr="00B80891">
        <w:rPr>
          <w:rFonts w:cs="Arial"/>
          <w:rtl/>
        </w:rPr>
        <w:t xml:space="preserve"> אפוטרופסים</w:t>
      </w:r>
      <w:r w:rsidR="00356B9A">
        <w:rPr>
          <w:rFonts w:cs="Arial" w:hint="cs"/>
          <w:rtl/>
        </w:rPr>
        <w:t>.</w:t>
      </w:r>
      <w:r w:rsidR="00534B17" w:rsidRPr="00B80891">
        <w:rPr>
          <w:rFonts w:cs="Arial"/>
          <w:rtl/>
        </w:rPr>
        <w:t xml:space="preserve"> כתב חצי נכסי לאשתי פלוני</w:t>
      </w:r>
      <w:r w:rsidR="00356B9A">
        <w:rPr>
          <w:rFonts w:cs="Arial" w:hint="cs"/>
          <w:rtl/>
        </w:rPr>
        <w:t>ת,</w:t>
      </w:r>
      <w:r w:rsidR="00534B17" w:rsidRPr="00B80891">
        <w:rPr>
          <w:rFonts w:cs="Arial"/>
          <w:rtl/>
        </w:rPr>
        <w:t xml:space="preserve"> וחצי נכסי לאשתי פלוני</w:t>
      </w:r>
      <w:r w:rsidR="00356B9A">
        <w:rPr>
          <w:rFonts w:cs="Arial" w:hint="cs"/>
          <w:rtl/>
        </w:rPr>
        <w:t>ת -</w:t>
      </w:r>
      <w:r w:rsidR="00534B17" w:rsidRPr="00B80891">
        <w:rPr>
          <w:rFonts w:cs="Arial"/>
          <w:rtl/>
        </w:rPr>
        <w:t xml:space="preserve"> הראשונה קנתה שהרי שייר</w:t>
      </w:r>
      <w:r w:rsidR="00356B9A">
        <w:rPr>
          <w:rFonts w:cs="Arial" w:hint="cs"/>
          <w:rtl/>
        </w:rPr>
        <w:t>,</w:t>
      </w:r>
      <w:r w:rsidR="00534B17" w:rsidRPr="00B80891">
        <w:rPr>
          <w:rFonts w:cs="Arial"/>
          <w:rtl/>
        </w:rPr>
        <w:t xml:space="preserve"> והשנייה לא קנתה</w:t>
      </w:r>
      <w:r w:rsidR="007D3F76">
        <w:rPr>
          <w:rFonts w:cs="Arial" w:hint="cs"/>
          <w:sz w:val="16"/>
          <w:szCs w:val="16"/>
          <w:rtl/>
        </w:rPr>
        <w:t xml:space="preserve"> (ל' הטור)</w:t>
      </w:r>
      <w:r w:rsidR="00356B9A">
        <w:rPr>
          <w:rFonts w:cs="Arial" w:hint="cs"/>
          <w:rtl/>
        </w:rPr>
        <w:t>.</w:t>
      </w:r>
      <w:r w:rsidR="00534B17" w:rsidRPr="00B80891">
        <w:rPr>
          <w:rFonts w:cs="Arial"/>
          <w:rtl/>
        </w:rPr>
        <w:t xml:space="preserve"> </w:t>
      </w:r>
      <w:r w:rsidR="004F652C" w:rsidRPr="00351B7D">
        <w:rPr>
          <w:rFonts w:asciiTheme="minorBidi" w:hAnsiTheme="minorBidi"/>
          <w:color w:val="E36C0A" w:themeColor="accent6" w:themeShade="BF"/>
          <w:rtl/>
        </w:rPr>
        <w:t>(וכ"</w:t>
      </w:r>
      <w:r w:rsidR="004F652C">
        <w:rPr>
          <w:rFonts w:asciiTheme="minorBidi" w:hAnsiTheme="minorBidi" w:hint="cs"/>
          <w:color w:val="E36C0A" w:themeColor="accent6" w:themeShade="BF"/>
          <w:rtl/>
        </w:rPr>
        <w:t>פ</w:t>
      </w:r>
      <w:r w:rsidR="004F652C" w:rsidRPr="00351B7D">
        <w:rPr>
          <w:rFonts w:asciiTheme="minorBidi" w:hAnsiTheme="minorBidi"/>
          <w:color w:val="E36C0A" w:themeColor="accent6" w:themeShade="BF"/>
          <w:rtl/>
        </w:rPr>
        <w:t xml:space="preserve"> בשו"ע)</w:t>
      </w:r>
    </w:p>
    <w:p w14:paraId="0BB8CCEA" w14:textId="03A7D5F8" w:rsidR="00D92416" w:rsidRPr="00D92416" w:rsidRDefault="00D92416" w:rsidP="00D92416">
      <w:pPr>
        <w:ind w:left="360"/>
        <w:rPr>
          <w:u w:val="dotted"/>
        </w:rPr>
      </w:pPr>
      <w:r>
        <w:rPr>
          <w:rFonts w:cs="Arial" w:hint="cs"/>
          <w:u w:val="dotted"/>
          <w:rtl/>
        </w:rPr>
        <w:t>ומה הדין אם יש לו עוד נשים אבל כתב רק לשתים מהן</w:t>
      </w:r>
      <w:r w:rsidRPr="00D92416">
        <w:rPr>
          <w:rFonts w:hint="cs"/>
          <w:u w:val="dotted"/>
          <w:rtl/>
        </w:rPr>
        <w:t>:</w:t>
      </w:r>
    </w:p>
    <w:p w14:paraId="4B99E85A" w14:textId="0642848F" w:rsidR="00D92416" w:rsidRPr="008E7374" w:rsidRDefault="00D92416" w:rsidP="00D92416">
      <w:pPr>
        <w:pStyle w:val="ab"/>
        <w:numPr>
          <w:ilvl w:val="0"/>
          <w:numId w:val="91"/>
        </w:numPr>
        <w:rPr>
          <w:rtl/>
        </w:rPr>
      </w:pPr>
      <w:r>
        <w:rPr>
          <w:rFonts w:cs="Arial" w:hint="cs"/>
          <w:rtl/>
        </w:rPr>
        <w:t xml:space="preserve">ב"י- </w:t>
      </w:r>
      <w:r w:rsidRPr="001E1973">
        <w:rPr>
          <w:rFonts w:cs="Arial"/>
          <w:rtl/>
        </w:rPr>
        <w:t xml:space="preserve">הרמב"ן (קלא: ד"ה בנו) והר"ן (שם ד"ה ולענין) ז"ל כתבו בשם בה"ג (הלכות נחלות קו ע"ג) שאם כתב כל נכסיו לשני בניו במקום שיש בנים אחרים </w:t>
      </w:r>
      <w:r>
        <w:rPr>
          <w:rFonts w:cs="Arial" w:hint="cs"/>
          <w:rtl/>
        </w:rPr>
        <w:t xml:space="preserve">- </w:t>
      </w:r>
      <w:r w:rsidRPr="001E1973">
        <w:rPr>
          <w:rFonts w:cs="Arial"/>
          <w:rtl/>
        </w:rPr>
        <w:t>לא אמרינן דאפטרופין שוינהו אלא קנו קנין גמור</w:t>
      </w:r>
      <w:r>
        <w:rPr>
          <w:rFonts w:cs="Arial" w:hint="cs"/>
          <w:rtl/>
        </w:rPr>
        <w:t>,</w:t>
      </w:r>
      <w:r w:rsidRPr="001E1973">
        <w:rPr>
          <w:rFonts w:cs="Arial"/>
          <w:rtl/>
        </w:rPr>
        <w:t xml:space="preserve"> ומסתברא דכיון דטעמא כדאמרינן בפרק מי שמת (קמד.) ופ"ק דגיטין (יד.) דהך הלכתא בלא טעמא אין לנו בו אלא מה שמנו חכמים</w:t>
      </w:r>
      <w:r>
        <w:rPr>
          <w:rFonts w:cs="Arial" w:hint="cs"/>
          <w:rtl/>
        </w:rPr>
        <w:t>.</w:t>
      </w:r>
      <w:r w:rsidRPr="001E1973">
        <w:rPr>
          <w:rFonts w:cs="Arial"/>
          <w:rtl/>
        </w:rPr>
        <w:t xml:space="preserve"> ע"כ</w:t>
      </w:r>
      <w:r w:rsidR="004F652C">
        <w:rPr>
          <w:rFonts w:cs="Arial" w:hint="cs"/>
          <w:rtl/>
        </w:rPr>
        <w:t>.</w:t>
      </w:r>
      <w:r w:rsidRPr="001E1973">
        <w:rPr>
          <w:rFonts w:cs="Arial"/>
          <w:rtl/>
        </w:rPr>
        <w:t xml:space="preserve"> ולפי זה הוא הדין כותב כל נכסיו לשתי נשיו דקנו</w:t>
      </w:r>
      <w:r>
        <w:rPr>
          <w:rFonts w:cs="Arial" w:hint="cs"/>
          <w:rtl/>
        </w:rPr>
        <w:t>.</w:t>
      </w:r>
    </w:p>
    <w:p w14:paraId="55B38377" w14:textId="1BB3729E" w:rsidR="001E1973" w:rsidRPr="001E1973" w:rsidRDefault="001E1973" w:rsidP="001E1973">
      <w:pPr>
        <w:rPr>
          <w:u w:val="single"/>
        </w:rPr>
      </w:pPr>
      <w:r w:rsidRPr="001E1973">
        <w:rPr>
          <w:rFonts w:cs="Arial"/>
          <w:u w:val="single"/>
          <w:rtl/>
        </w:rPr>
        <w:t>כתב כל נכסיו לאשתו ולבנו</w:t>
      </w:r>
      <w:r w:rsidRPr="001E1973">
        <w:rPr>
          <w:rFonts w:cs="Arial" w:hint="cs"/>
          <w:u w:val="single"/>
          <w:rtl/>
        </w:rPr>
        <w:t>:</w:t>
      </w:r>
    </w:p>
    <w:p w14:paraId="04D6E28E" w14:textId="007ADF45" w:rsidR="001E1973" w:rsidRPr="001E1973" w:rsidRDefault="001E1973" w:rsidP="001E1973">
      <w:pPr>
        <w:pStyle w:val="ab"/>
        <w:numPr>
          <w:ilvl w:val="0"/>
          <w:numId w:val="91"/>
        </w:numPr>
      </w:pPr>
      <w:r>
        <w:rPr>
          <w:rFonts w:hint="cs"/>
          <w:rtl/>
        </w:rPr>
        <w:lastRenderedPageBreak/>
        <w:t xml:space="preserve">רא"ש </w:t>
      </w:r>
      <w:r>
        <w:rPr>
          <w:rFonts w:hint="cs"/>
          <w:sz w:val="16"/>
          <w:szCs w:val="16"/>
          <w:rtl/>
        </w:rPr>
        <w:t>(סי' לא)</w:t>
      </w:r>
      <w:r>
        <w:rPr>
          <w:rFonts w:hint="cs"/>
          <w:rtl/>
        </w:rPr>
        <w:t xml:space="preserve"> וטור-</w:t>
      </w:r>
      <w:r>
        <w:rPr>
          <w:rFonts w:cs="Arial" w:hint="cs"/>
          <w:rtl/>
        </w:rPr>
        <w:t xml:space="preserve"> </w:t>
      </w:r>
      <w:r w:rsidR="00534B17" w:rsidRPr="00B80891">
        <w:rPr>
          <w:rFonts w:cs="Arial"/>
          <w:rtl/>
        </w:rPr>
        <w:t xml:space="preserve">כתב כל נכסיו לאשתו ולבנו </w:t>
      </w:r>
      <w:r w:rsidR="002F3773">
        <w:rPr>
          <w:rFonts w:cs="Arial" w:hint="cs"/>
          <w:rtl/>
        </w:rPr>
        <w:t xml:space="preserve">- </w:t>
      </w:r>
      <w:r w:rsidR="00534B17" w:rsidRPr="00B80891">
        <w:rPr>
          <w:rFonts w:cs="Arial"/>
          <w:rtl/>
        </w:rPr>
        <w:t>אשתו קנתה החצי</w:t>
      </w:r>
      <w:r w:rsidR="002F3773">
        <w:rPr>
          <w:rFonts w:cs="Arial" w:hint="cs"/>
          <w:rtl/>
        </w:rPr>
        <w:t>,</w:t>
      </w:r>
      <w:r w:rsidR="00534B17" w:rsidRPr="00B80891">
        <w:rPr>
          <w:rFonts w:cs="Arial"/>
          <w:rtl/>
        </w:rPr>
        <w:t xml:space="preserve"> ובנו לא קנה אלא הוא אפוטרופא</w:t>
      </w:r>
      <w:r w:rsidR="007D3F76">
        <w:rPr>
          <w:rFonts w:cs="Arial" w:hint="cs"/>
          <w:rtl/>
        </w:rPr>
        <w:t xml:space="preserve"> </w:t>
      </w:r>
      <w:r w:rsidR="007D3F76">
        <w:rPr>
          <w:rFonts w:cs="Arial" w:hint="cs"/>
          <w:sz w:val="16"/>
          <w:szCs w:val="16"/>
          <w:rtl/>
        </w:rPr>
        <w:t>(ל' הטור)</w:t>
      </w:r>
      <w:r w:rsidR="00534B17">
        <w:rPr>
          <w:rFonts w:cs="Arial" w:hint="cs"/>
          <w:rtl/>
        </w:rPr>
        <w:t>.</w:t>
      </w:r>
      <w:r w:rsidR="00534B17" w:rsidRPr="00B80891">
        <w:rPr>
          <w:rFonts w:cs="Arial"/>
          <w:rtl/>
        </w:rPr>
        <w:t xml:space="preserve"> </w:t>
      </w:r>
      <w:r w:rsidR="004F652C" w:rsidRPr="00351B7D">
        <w:rPr>
          <w:rFonts w:asciiTheme="minorBidi" w:hAnsiTheme="minorBidi"/>
          <w:color w:val="E36C0A" w:themeColor="accent6" w:themeShade="BF"/>
          <w:rtl/>
        </w:rPr>
        <w:t>(וכ"</w:t>
      </w:r>
      <w:r w:rsidR="004F652C">
        <w:rPr>
          <w:rFonts w:asciiTheme="minorBidi" w:hAnsiTheme="minorBidi" w:hint="cs"/>
          <w:color w:val="E36C0A" w:themeColor="accent6" w:themeShade="BF"/>
          <w:rtl/>
        </w:rPr>
        <w:t>ס</w:t>
      </w:r>
      <w:r w:rsidR="004F652C" w:rsidRPr="00351B7D">
        <w:rPr>
          <w:rFonts w:asciiTheme="minorBidi" w:hAnsiTheme="minorBidi"/>
          <w:color w:val="E36C0A" w:themeColor="accent6" w:themeShade="BF"/>
          <w:rtl/>
        </w:rPr>
        <w:t xml:space="preserve"> בשו"ע</w:t>
      </w:r>
      <w:r w:rsidR="004F652C">
        <w:rPr>
          <w:rFonts w:asciiTheme="minorBidi" w:hAnsiTheme="minorBidi" w:hint="cs"/>
          <w:color w:val="E36C0A" w:themeColor="accent6" w:themeShade="BF"/>
          <w:sz w:val="16"/>
          <w:szCs w:val="16"/>
          <w:rtl/>
        </w:rPr>
        <w:t xml:space="preserve"> </w:t>
      </w:r>
      <w:r w:rsidR="004F652C" w:rsidRPr="004F652C">
        <w:rPr>
          <w:rFonts w:asciiTheme="minorBidi" w:hAnsiTheme="minorBidi" w:hint="cs"/>
          <w:color w:val="000000" w:themeColor="text1"/>
          <w:sz w:val="16"/>
          <w:szCs w:val="16"/>
          <w:rtl/>
        </w:rPr>
        <w:t>[</w:t>
      </w:r>
      <w:r w:rsidR="004F652C">
        <w:rPr>
          <w:rFonts w:asciiTheme="minorBidi" w:hAnsiTheme="minorBidi" w:hint="cs"/>
          <w:color w:val="000000" w:themeColor="text1"/>
          <w:sz w:val="16"/>
          <w:szCs w:val="16"/>
          <w:rtl/>
        </w:rPr>
        <w:t>בסע' הבא</w:t>
      </w:r>
      <w:r w:rsidR="004F652C" w:rsidRPr="004F652C">
        <w:rPr>
          <w:rFonts w:asciiTheme="minorBidi" w:hAnsiTheme="minorBidi" w:hint="cs"/>
          <w:color w:val="000000" w:themeColor="text1"/>
          <w:sz w:val="16"/>
          <w:szCs w:val="16"/>
          <w:rtl/>
        </w:rPr>
        <w:t>]</w:t>
      </w:r>
      <w:r w:rsidR="004F652C" w:rsidRPr="00351B7D">
        <w:rPr>
          <w:rFonts w:asciiTheme="minorBidi" w:hAnsiTheme="minorBidi"/>
          <w:color w:val="E36C0A" w:themeColor="accent6" w:themeShade="BF"/>
          <w:rtl/>
        </w:rPr>
        <w:t>)</w:t>
      </w:r>
    </w:p>
    <w:p w14:paraId="5694DD8F" w14:textId="2046B026" w:rsidR="001E1973" w:rsidRPr="001E1973" w:rsidRDefault="008E7374" w:rsidP="001E1973">
      <w:pPr>
        <w:pStyle w:val="ab"/>
        <w:numPr>
          <w:ilvl w:val="0"/>
          <w:numId w:val="91"/>
        </w:numPr>
      </w:pPr>
      <w:r w:rsidRPr="001E1973">
        <w:rPr>
          <w:rFonts w:cs="Arial"/>
          <w:rtl/>
        </w:rPr>
        <w:t xml:space="preserve">ה"ר ישעיה </w:t>
      </w:r>
      <w:r w:rsidRPr="001E1973">
        <w:rPr>
          <w:rFonts w:cs="Arial"/>
          <w:sz w:val="16"/>
          <w:szCs w:val="16"/>
          <w:rtl/>
        </w:rPr>
        <w:t>(פסקי הרי"ד ב"ב קלא: ד"ה פשיטא</w:t>
      </w:r>
      <w:r w:rsidR="001E1973">
        <w:rPr>
          <w:rFonts w:cs="Arial" w:hint="cs"/>
          <w:sz w:val="16"/>
          <w:szCs w:val="16"/>
          <w:rtl/>
        </w:rPr>
        <w:t xml:space="preserve">, הביאו הטור </w:t>
      </w:r>
      <w:r w:rsidR="003F75AE">
        <w:rPr>
          <w:rFonts w:cs="Arial" w:hint="cs"/>
          <w:sz w:val="16"/>
          <w:szCs w:val="16"/>
          <w:rtl/>
        </w:rPr>
        <w:t>[חו"מ סי' רמו סי"א]</w:t>
      </w:r>
      <w:r w:rsidRPr="001E1973">
        <w:rPr>
          <w:rFonts w:cs="Arial"/>
          <w:sz w:val="16"/>
          <w:szCs w:val="16"/>
          <w:rtl/>
        </w:rPr>
        <w:t>)</w:t>
      </w:r>
      <w:r w:rsidR="001E1973">
        <w:rPr>
          <w:rFonts w:cs="Arial" w:hint="cs"/>
          <w:rtl/>
        </w:rPr>
        <w:t>-</w:t>
      </w:r>
      <w:r w:rsidRPr="001E1973">
        <w:rPr>
          <w:rFonts w:cs="Arial"/>
          <w:rtl/>
        </w:rPr>
        <w:t xml:space="preserve"> </w:t>
      </w:r>
      <w:r w:rsidR="001E1973">
        <w:rPr>
          <w:rFonts w:cs="Arial" w:hint="cs"/>
          <w:rtl/>
        </w:rPr>
        <w:t>ה</w:t>
      </w:r>
      <w:r w:rsidRPr="001E1973">
        <w:rPr>
          <w:rFonts w:cs="Arial"/>
          <w:rtl/>
        </w:rPr>
        <w:t xml:space="preserve">כותב לאשתו ובנו תרוייהו אפטרופוסין. </w:t>
      </w:r>
    </w:p>
    <w:p w14:paraId="6C701E68"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9E5CA13" w14:textId="77777777" w:rsidR="005D7137" w:rsidRDefault="00392DBB" w:rsidP="00392DBB">
      <w:pPr>
        <w:rPr>
          <w:rFonts w:cs="Arial"/>
          <w:rtl/>
        </w:rPr>
      </w:pPr>
      <w:r>
        <w:rPr>
          <w:rFonts w:cs="Arial"/>
          <w:rtl/>
        </w:rPr>
        <w:t>היו לו שתי נשים וכתב כל נכסיו לשתיהן, לא קנתה שום אחת מהן, ושתיהן אפוטרופסות. אבל אם כתב חצי נכסי לאשתי פלונית וחצי נכסי לאשתי פלונית, הראשונה קנתה שהרי שייר, והשנייה לא קנתה.</w:t>
      </w:r>
    </w:p>
    <w:p w14:paraId="244B68A7" w14:textId="0F6AA918" w:rsidR="00392DBB" w:rsidRDefault="00392DBB" w:rsidP="00392DBB">
      <w:pPr>
        <w:rPr>
          <w:rtl/>
        </w:rPr>
      </w:pPr>
      <w:r>
        <w:rPr>
          <w:rFonts w:cs="Arial"/>
          <w:rtl/>
        </w:rPr>
        <w:t xml:space="preserve"> </w:t>
      </w:r>
    </w:p>
    <w:p w14:paraId="7BFAA5A8" w14:textId="5EF101A9" w:rsidR="00392DBB" w:rsidRDefault="00392DBB" w:rsidP="000F64D0">
      <w:pPr>
        <w:pStyle w:val="2"/>
        <w:rPr>
          <w:rtl/>
        </w:rPr>
      </w:pPr>
      <w:r>
        <w:rPr>
          <w:rtl/>
        </w:rPr>
        <w:t>סעיף ז</w:t>
      </w:r>
      <w:r w:rsidR="005D7137">
        <w:rPr>
          <w:rFonts w:hint="cs"/>
          <w:rtl/>
        </w:rPr>
        <w:t>:</w:t>
      </w:r>
      <w:r w:rsidR="004F652C" w:rsidRPr="004F652C">
        <w:rPr>
          <w:rtl/>
        </w:rPr>
        <w:t xml:space="preserve"> </w:t>
      </w:r>
      <w:r w:rsidR="004F652C">
        <w:rPr>
          <w:rtl/>
        </w:rPr>
        <w:t>כתב כל נכסיו לאשתו ולבנו</w:t>
      </w:r>
      <w:r w:rsidR="004F652C">
        <w:rPr>
          <w:rFonts w:hint="cs"/>
          <w:rtl/>
        </w:rPr>
        <w:t>.</w:t>
      </w:r>
    </w:p>
    <w:p w14:paraId="2546C4E6" w14:textId="265613FD" w:rsidR="005D7137" w:rsidRPr="005D7137" w:rsidRDefault="004F652C" w:rsidP="005D7137">
      <w:pPr>
        <w:rPr>
          <w:rtl/>
        </w:rPr>
      </w:pPr>
      <w:r>
        <w:rPr>
          <w:rFonts w:hint="cs"/>
          <w:rtl/>
        </w:rPr>
        <w:t>עיין במקורות בסעיף ו.</w:t>
      </w:r>
    </w:p>
    <w:p w14:paraId="59B219D0"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0951D1A" w14:textId="228476D5" w:rsidR="00392DBB" w:rsidRDefault="00392DBB" w:rsidP="00392DBB">
      <w:pPr>
        <w:rPr>
          <w:rFonts w:cs="Arial"/>
          <w:rtl/>
        </w:rPr>
      </w:pPr>
      <w:r>
        <w:rPr>
          <w:rFonts w:cs="Arial"/>
          <w:rtl/>
        </w:rPr>
        <w:t xml:space="preserve">כתב כל נכסיו לאשתו ולבנו, אשתו קנתה החצי, ובנו לא קנה אלא הוא אפוטרופוס. ויש מי שאומר ששניהם אפוטרופסים. </w:t>
      </w:r>
      <w:r w:rsidRPr="005D7137">
        <w:rPr>
          <w:rFonts w:cs="Arial"/>
          <w:sz w:val="18"/>
          <w:szCs w:val="18"/>
          <w:rtl/>
        </w:rPr>
        <w:t>הגה: היה לו בן ואשה, ואמר: כך וכך נכסים לבני והשאר לאשתי, ודאי נתכוין למתנה גמורה. דאם היה רוצה לעשות אפוטרופוס לא היה נותן המקצת לבן, שהרי הכל שלו (ב"י בשם תשובת רב האי).</w:t>
      </w:r>
      <w:r>
        <w:rPr>
          <w:rFonts w:cs="Arial"/>
          <w:rtl/>
        </w:rPr>
        <w:t xml:space="preserve"> </w:t>
      </w:r>
    </w:p>
    <w:p w14:paraId="3BBC7D3C" w14:textId="77777777" w:rsidR="005D7137" w:rsidRDefault="005D7137" w:rsidP="00392DBB">
      <w:pPr>
        <w:rPr>
          <w:rtl/>
        </w:rPr>
      </w:pPr>
    </w:p>
    <w:p w14:paraId="138A2E70" w14:textId="5D534C5D" w:rsidR="00392DBB" w:rsidRDefault="00392DBB" w:rsidP="000F64D0">
      <w:pPr>
        <w:pStyle w:val="2"/>
        <w:rPr>
          <w:rtl/>
        </w:rPr>
      </w:pPr>
      <w:r>
        <w:rPr>
          <w:rtl/>
        </w:rPr>
        <w:t>סעיף ח</w:t>
      </w:r>
      <w:r w:rsidR="005D7137">
        <w:rPr>
          <w:rFonts w:hint="cs"/>
          <w:rtl/>
        </w:rPr>
        <w:t xml:space="preserve">: </w:t>
      </w:r>
      <w:r w:rsidR="007D3F76">
        <w:rPr>
          <w:rFonts w:hint="cs"/>
          <w:rtl/>
        </w:rPr>
        <w:t>כתב כל נכסיו לאשתו ואחר.</w:t>
      </w:r>
    </w:p>
    <w:p w14:paraId="790A7CB1" w14:textId="1D91B4F4" w:rsidR="004F652C" w:rsidRPr="00651D3B" w:rsidRDefault="004F652C" w:rsidP="007D3F76">
      <w:pPr>
        <w:rPr>
          <w:sz w:val="16"/>
          <w:szCs w:val="16"/>
          <w:rtl/>
        </w:rPr>
      </w:pPr>
      <w:r w:rsidRPr="00125CEF">
        <w:rPr>
          <w:rFonts w:cs="Arial" w:hint="cs"/>
          <w:b/>
          <w:bCs/>
          <w:rtl/>
        </w:rPr>
        <w:t xml:space="preserve">בבא בתרא </w:t>
      </w:r>
      <w:r w:rsidRPr="00125CEF">
        <w:rPr>
          <w:rFonts w:cs="Arial" w:hint="cs"/>
          <w:b/>
          <w:bCs/>
          <w:sz w:val="16"/>
          <w:szCs w:val="16"/>
          <w:rtl/>
        </w:rPr>
        <w:t>(פ' יש נוחלין)</w:t>
      </w:r>
      <w:r w:rsidRPr="00125CEF">
        <w:rPr>
          <w:rFonts w:cs="Arial" w:hint="cs"/>
          <w:b/>
          <w:bCs/>
          <w:rtl/>
        </w:rPr>
        <w:t xml:space="preserve"> קל</w:t>
      </w:r>
      <w:r>
        <w:rPr>
          <w:rFonts w:cs="Arial" w:hint="cs"/>
          <w:b/>
          <w:bCs/>
          <w:rtl/>
        </w:rPr>
        <w:t>א</w:t>
      </w:r>
      <w:r w:rsidRPr="00125CEF">
        <w:rPr>
          <w:rFonts w:cs="Arial" w:hint="cs"/>
          <w:b/>
          <w:bCs/>
          <w:rtl/>
        </w:rPr>
        <w:t xml:space="preserve"> ע"</w:t>
      </w:r>
      <w:r>
        <w:rPr>
          <w:rFonts w:cs="Arial" w:hint="cs"/>
          <w:b/>
          <w:bCs/>
          <w:rtl/>
        </w:rPr>
        <w:t>ב</w:t>
      </w:r>
      <w:r w:rsidRPr="00125CEF">
        <w:rPr>
          <w:rFonts w:cs="Arial" w:hint="cs"/>
          <w:b/>
          <w:bCs/>
          <w:rtl/>
        </w:rPr>
        <w:t>:</w:t>
      </w:r>
      <w:r w:rsidRPr="00125CEF">
        <w:rPr>
          <w:rFonts w:cs="Arial" w:hint="cs"/>
          <w:rtl/>
        </w:rPr>
        <w:t xml:space="preserve"> </w:t>
      </w:r>
      <w:r w:rsidRPr="000E55D0">
        <w:rPr>
          <w:rFonts w:cs="Arial"/>
          <w:u w:val="single"/>
          <w:rtl/>
        </w:rPr>
        <w:t>אמר רב יהודה אמר שמואל</w:t>
      </w:r>
      <w:r w:rsidRPr="000E55D0">
        <w:rPr>
          <w:rFonts w:cs="Arial"/>
          <w:rtl/>
        </w:rPr>
        <w:t>: הכותב כל נכסיו לאשתו - לא עשאה אלא אפוטרופא</w:t>
      </w:r>
      <w:r>
        <w:rPr>
          <w:rFonts w:hint="cs"/>
          <w:rtl/>
        </w:rPr>
        <w:t>...</w:t>
      </w:r>
      <w:r w:rsidRPr="00833E6A">
        <w:rPr>
          <w:rtl/>
        </w:rPr>
        <w:t xml:space="preserve"> </w:t>
      </w:r>
      <w:r w:rsidR="007D3F76" w:rsidRPr="007D3F76">
        <w:rPr>
          <w:rFonts w:cs="Arial"/>
          <w:rtl/>
        </w:rPr>
        <w:t>אשתו ואחר - לאחר במתנה ואשתו אפוטרופוס</w:t>
      </w:r>
      <w:r>
        <w:rPr>
          <w:rFonts w:cs="Arial" w:hint="cs"/>
          <w:rtl/>
        </w:rPr>
        <w:t>.</w:t>
      </w:r>
      <w:r>
        <w:rPr>
          <w:rFonts w:cs="Arial" w:hint="cs"/>
          <w:sz w:val="16"/>
          <w:szCs w:val="16"/>
          <w:rtl/>
        </w:rPr>
        <w:t xml:space="preserve"> </w:t>
      </w:r>
    </w:p>
    <w:p w14:paraId="0A2EB801" w14:textId="27E95EA8" w:rsidR="005D7137" w:rsidRPr="007D3F76" w:rsidRDefault="007D3F76" w:rsidP="005D7137">
      <w:pPr>
        <w:rPr>
          <w:u w:val="single"/>
          <w:rtl/>
        </w:rPr>
      </w:pPr>
      <w:r w:rsidRPr="007D3F76">
        <w:rPr>
          <w:rFonts w:hint="cs"/>
          <w:u w:val="single"/>
          <w:rtl/>
        </w:rPr>
        <w:t>כתב כל נכסיו לאשתו ואחר:</w:t>
      </w:r>
    </w:p>
    <w:p w14:paraId="0C0C8F94" w14:textId="09B9D0D9" w:rsidR="00427144" w:rsidRPr="00427144" w:rsidRDefault="004F652C" w:rsidP="00534B17">
      <w:pPr>
        <w:pStyle w:val="ab"/>
        <w:numPr>
          <w:ilvl w:val="0"/>
          <w:numId w:val="91"/>
        </w:numPr>
      </w:pPr>
      <w:r>
        <w:rPr>
          <w:rFonts w:hint="cs"/>
          <w:rtl/>
        </w:rPr>
        <w:t xml:space="preserve">רא"ש </w:t>
      </w:r>
      <w:r>
        <w:rPr>
          <w:rFonts w:hint="cs"/>
          <w:sz w:val="16"/>
          <w:szCs w:val="16"/>
          <w:rtl/>
        </w:rPr>
        <w:t>(סי' לא)</w:t>
      </w:r>
      <w:r>
        <w:rPr>
          <w:rFonts w:hint="cs"/>
          <w:rtl/>
        </w:rPr>
        <w:t xml:space="preserve"> וטור-</w:t>
      </w:r>
      <w:r>
        <w:rPr>
          <w:rFonts w:cs="Arial" w:hint="cs"/>
          <w:rtl/>
        </w:rPr>
        <w:t xml:space="preserve"> </w:t>
      </w:r>
      <w:r w:rsidR="00534B17" w:rsidRPr="00B80891">
        <w:rPr>
          <w:rFonts w:cs="Arial"/>
          <w:rtl/>
        </w:rPr>
        <w:t xml:space="preserve">כתב לאשתו ולאחר </w:t>
      </w:r>
      <w:r>
        <w:rPr>
          <w:rFonts w:cs="Arial" w:hint="cs"/>
          <w:rtl/>
        </w:rPr>
        <w:t xml:space="preserve">- </w:t>
      </w:r>
      <w:r w:rsidR="00534B17" w:rsidRPr="00B80891">
        <w:rPr>
          <w:rFonts w:cs="Arial"/>
          <w:rtl/>
        </w:rPr>
        <w:t>האחר קנה החציה</w:t>
      </w:r>
      <w:r>
        <w:rPr>
          <w:rFonts w:cs="Arial" w:hint="cs"/>
          <w:rtl/>
        </w:rPr>
        <w:t>,</w:t>
      </w:r>
      <w:r w:rsidR="00534B17" w:rsidRPr="00B80891">
        <w:rPr>
          <w:rFonts w:cs="Arial"/>
          <w:rtl/>
        </w:rPr>
        <w:t xml:space="preserve"> ואשתו הויא אפוטרופא בשאר החצי</w:t>
      </w:r>
      <w:r w:rsidR="007D3F76">
        <w:rPr>
          <w:rFonts w:cs="Arial" w:hint="cs"/>
          <w:sz w:val="16"/>
          <w:szCs w:val="16"/>
          <w:rtl/>
        </w:rPr>
        <w:t xml:space="preserve"> (ל' הטור)</w:t>
      </w:r>
      <w:r w:rsidR="00427144">
        <w:rPr>
          <w:rFonts w:cs="Arial" w:hint="cs"/>
          <w:rtl/>
        </w:rPr>
        <w:t>.</w:t>
      </w:r>
      <w:r w:rsidR="007D3F76">
        <w:rPr>
          <w:rFonts w:cs="Arial" w:hint="cs"/>
          <w:rtl/>
        </w:rPr>
        <w:t xml:space="preserve"> </w:t>
      </w:r>
      <w:r w:rsidR="007D3F76" w:rsidRPr="00351B7D">
        <w:rPr>
          <w:rFonts w:asciiTheme="minorBidi" w:hAnsiTheme="minorBidi"/>
          <w:color w:val="E36C0A" w:themeColor="accent6" w:themeShade="BF"/>
          <w:rtl/>
        </w:rPr>
        <w:t>(וכ"</w:t>
      </w:r>
      <w:r w:rsidR="007D3F76">
        <w:rPr>
          <w:rFonts w:asciiTheme="minorBidi" w:hAnsiTheme="minorBidi" w:hint="cs"/>
          <w:color w:val="E36C0A" w:themeColor="accent6" w:themeShade="BF"/>
          <w:rtl/>
        </w:rPr>
        <w:t>פ</w:t>
      </w:r>
      <w:r w:rsidR="007D3F76" w:rsidRPr="00351B7D">
        <w:rPr>
          <w:rFonts w:asciiTheme="minorBidi" w:hAnsiTheme="minorBidi"/>
          <w:color w:val="E36C0A" w:themeColor="accent6" w:themeShade="BF"/>
          <w:rtl/>
        </w:rPr>
        <w:t xml:space="preserve"> בשו"ע)</w:t>
      </w:r>
      <w:r w:rsidR="00534B17" w:rsidRPr="00B80891">
        <w:rPr>
          <w:rFonts w:cs="Arial"/>
          <w:rtl/>
        </w:rPr>
        <w:t xml:space="preserve"> </w:t>
      </w:r>
    </w:p>
    <w:p w14:paraId="5F8EB82A" w14:textId="1F642BDC" w:rsidR="007D3F76" w:rsidRPr="00AA5212" w:rsidRDefault="00B0443A" w:rsidP="007D3F76">
      <w:pPr>
        <w:rPr>
          <w:u w:val="single"/>
        </w:rPr>
      </w:pPr>
      <w:r>
        <w:rPr>
          <w:rFonts w:cs="Arial" w:hint="cs"/>
          <w:u w:val="single"/>
          <w:rtl/>
        </w:rPr>
        <w:t>כתב כל נכסיו לאשתו ו</w:t>
      </w:r>
      <w:r w:rsidR="007D3F76" w:rsidRPr="00AA5212">
        <w:rPr>
          <w:rFonts w:cs="Arial"/>
          <w:u w:val="single"/>
          <w:rtl/>
        </w:rPr>
        <w:t>יש להוכיח מתוך השטר דלא נתכוין לאפוטרופא אלא למתנה גמורה</w:t>
      </w:r>
      <w:r w:rsidR="00AA5212" w:rsidRPr="00AA5212">
        <w:rPr>
          <w:rFonts w:cs="Arial" w:hint="cs"/>
          <w:u w:val="single"/>
          <w:rtl/>
        </w:rPr>
        <w:t>:</w:t>
      </w:r>
    </w:p>
    <w:p w14:paraId="44E5677D" w14:textId="102FD5F0" w:rsidR="008E7374" w:rsidRDefault="00534B17" w:rsidP="003B4C7A">
      <w:pPr>
        <w:pStyle w:val="ab"/>
        <w:numPr>
          <w:ilvl w:val="0"/>
          <w:numId w:val="91"/>
        </w:numPr>
        <w:rPr>
          <w:rtl/>
        </w:rPr>
      </w:pPr>
      <w:r w:rsidRPr="00B80891">
        <w:rPr>
          <w:rFonts w:cs="Arial"/>
          <w:rtl/>
        </w:rPr>
        <w:t>רא"ש</w:t>
      </w:r>
      <w:r w:rsidR="007D3F76">
        <w:rPr>
          <w:rFonts w:cs="Arial" w:hint="cs"/>
          <w:sz w:val="16"/>
          <w:szCs w:val="16"/>
          <w:rtl/>
        </w:rPr>
        <w:t xml:space="preserve"> (</w:t>
      </w:r>
      <w:r w:rsidR="00C25085">
        <w:rPr>
          <w:rFonts w:cs="Arial" w:hint="cs"/>
          <w:sz w:val="16"/>
          <w:szCs w:val="16"/>
          <w:rtl/>
        </w:rPr>
        <w:t>בתשו', כ"כ הטור בשמו</w:t>
      </w:r>
      <w:r w:rsidR="007D3F76">
        <w:rPr>
          <w:rFonts w:cs="Arial" w:hint="cs"/>
          <w:sz w:val="16"/>
          <w:szCs w:val="16"/>
          <w:rtl/>
        </w:rPr>
        <w:t>)</w:t>
      </w:r>
      <w:r w:rsidR="007D3F76">
        <w:rPr>
          <w:rFonts w:cs="Arial" w:hint="cs"/>
          <w:rtl/>
        </w:rPr>
        <w:t xml:space="preserve">- </w:t>
      </w:r>
      <w:r w:rsidRPr="00B80891">
        <w:rPr>
          <w:rFonts w:cs="Arial"/>
          <w:rtl/>
        </w:rPr>
        <w:t>ראובן חלה וצוה מחמת מיתה ואמר הוו עלי עדים שאני מצווה מחמת מיתה ואני נותן כל נכסי לאשתי</w:t>
      </w:r>
      <w:r w:rsidR="00815BDE">
        <w:rPr>
          <w:rFonts w:cs="Arial" w:hint="cs"/>
          <w:rtl/>
        </w:rPr>
        <w:t>,</w:t>
      </w:r>
      <w:r w:rsidRPr="00B80891">
        <w:rPr>
          <w:rFonts w:cs="Arial"/>
          <w:rtl/>
        </w:rPr>
        <w:t xml:space="preserve"> אמנם שיהיו כולם משועבדים לתת ולפרוע מהם בכל שנה עד עולם כל החלק משלם שיש עלי לתת לצורך בית המדרש הידוע לנו</w:t>
      </w:r>
      <w:r w:rsidR="00E97062">
        <w:rPr>
          <w:rFonts w:cs="Arial" w:hint="cs"/>
          <w:rtl/>
        </w:rPr>
        <w:t>,</w:t>
      </w:r>
      <w:r w:rsidRPr="00B80891">
        <w:rPr>
          <w:rFonts w:cs="Arial"/>
          <w:rtl/>
        </w:rPr>
        <w:t xml:space="preserve"> ואני משייר בה לעצמי שאוכל לתת מה שארצה בעבור נפשי</w:t>
      </w:r>
      <w:r w:rsidR="00E97062">
        <w:rPr>
          <w:rFonts w:cs="Arial" w:hint="cs"/>
          <w:rtl/>
        </w:rPr>
        <w:t>.</w:t>
      </w:r>
      <w:r w:rsidRPr="00B80891">
        <w:rPr>
          <w:rFonts w:cs="Arial"/>
          <w:rtl/>
        </w:rPr>
        <w:t xml:space="preserve"> ובכלל דבריו אמר אל תחשבו לי לשטות שנתתי כל נכסי לאשתי</w:t>
      </w:r>
      <w:r w:rsidR="00E97062">
        <w:rPr>
          <w:rFonts w:cs="Arial" w:hint="cs"/>
          <w:rtl/>
        </w:rPr>
        <w:t>,</w:t>
      </w:r>
      <w:r w:rsidRPr="00B80891">
        <w:rPr>
          <w:rFonts w:cs="Arial"/>
          <w:rtl/>
        </w:rPr>
        <w:t xml:space="preserve"> שאני יודע בה שלא יהיה לה בעל לעולם</w:t>
      </w:r>
      <w:r w:rsidR="00E97062">
        <w:rPr>
          <w:rFonts w:cs="Arial" w:hint="cs"/>
          <w:rtl/>
        </w:rPr>
        <w:t>.</w:t>
      </w:r>
      <w:r w:rsidRPr="00B80891">
        <w:rPr>
          <w:rFonts w:cs="Arial"/>
          <w:rtl/>
        </w:rPr>
        <w:t xml:space="preserve"> והיורשים אומרים שלא עשאה אלא אפוטרופא שהרי נתן לה כל נכסיו</w:t>
      </w:r>
      <w:r w:rsidR="00E97062">
        <w:rPr>
          <w:rFonts w:cs="Arial" w:hint="cs"/>
          <w:rtl/>
        </w:rPr>
        <w:t>,</w:t>
      </w:r>
      <w:r w:rsidRPr="00B80891">
        <w:rPr>
          <w:rFonts w:cs="Arial"/>
          <w:rtl/>
        </w:rPr>
        <w:t xml:space="preserve"> ומה ששייר לצורך בית המדרש וגם להניח בעד נפשו אינו שיור כי כבר היה חייב בראשונה לבית המדרש והיו הנכסים משועבדים לדבר ואינו משייר כלום מחדש</w:t>
      </w:r>
      <w:r w:rsidR="00E97062">
        <w:rPr>
          <w:rFonts w:cs="Arial" w:hint="cs"/>
          <w:rtl/>
        </w:rPr>
        <w:t>.</w:t>
      </w:r>
      <w:r w:rsidRPr="00B80891">
        <w:rPr>
          <w:rFonts w:cs="Arial"/>
          <w:rtl/>
        </w:rPr>
        <w:t xml:space="preserve"> ועוד שהרי לא צוה לתת כלום בעד נפשו</w:t>
      </w:r>
      <w:r w:rsidR="00E97062">
        <w:rPr>
          <w:rFonts w:cs="Arial" w:hint="cs"/>
          <w:rtl/>
        </w:rPr>
        <w:t>,</w:t>
      </w:r>
      <w:r w:rsidRPr="00B80891">
        <w:rPr>
          <w:rFonts w:cs="Arial"/>
          <w:rtl/>
        </w:rPr>
        <w:t xml:space="preserve"> ואפי' ששייר</w:t>
      </w:r>
      <w:r w:rsidR="00B7001F">
        <w:rPr>
          <w:rFonts w:cs="Arial" w:hint="cs"/>
          <w:rtl/>
        </w:rPr>
        <w:t>,</w:t>
      </w:r>
      <w:r w:rsidRPr="00B80891">
        <w:rPr>
          <w:rFonts w:cs="Arial"/>
          <w:rtl/>
        </w:rPr>
        <w:t xml:space="preserve"> הואיל ולא אמר כלום כמי שלא שייר דמי</w:t>
      </w:r>
      <w:r w:rsidR="00B7001F">
        <w:rPr>
          <w:rFonts w:cs="Arial" w:hint="cs"/>
          <w:rtl/>
        </w:rPr>
        <w:t>.</w:t>
      </w:r>
      <w:r w:rsidRPr="00B80891">
        <w:rPr>
          <w:rFonts w:cs="Arial"/>
          <w:rtl/>
        </w:rPr>
        <w:t xml:space="preserve"> ועוד כי אביו של פלוני הנפטר כשנפטר צוה לתת מנכסיו למדרש ההוא</w:t>
      </w:r>
      <w:r w:rsidR="00B7001F">
        <w:rPr>
          <w:rFonts w:cs="Arial" w:hint="cs"/>
          <w:rtl/>
        </w:rPr>
        <w:t>,</w:t>
      </w:r>
      <w:r w:rsidRPr="00B80891">
        <w:rPr>
          <w:rFonts w:cs="Arial"/>
          <w:rtl/>
        </w:rPr>
        <w:t xml:space="preserve"> והרי הם הנכסים משועבדין ועומדין</w:t>
      </w:r>
      <w:r w:rsidR="00B7001F">
        <w:rPr>
          <w:rFonts w:cs="Arial" w:hint="cs"/>
          <w:rtl/>
        </w:rPr>
        <w:t>.</w:t>
      </w:r>
      <w:r w:rsidRPr="00B80891">
        <w:rPr>
          <w:rFonts w:cs="Arial"/>
          <w:rtl/>
        </w:rPr>
        <w:t xml:space="preserve"> והאשה אומרת סוף סוף הרי שייר מנכסיו אע</w:t>
      </w:r>
      <w:r w:rsidR="00B7001F">
        <w:rPr>
          <w:rFonts w:cs="Arial" w:hint="cs"/>
          <w:rtl/>
        </w:rPr>
        <w:t>"</w:t>
      </w:r>
      <w:r w:rsidRPr="00B80891">
        <w:rPr>
          <w:rFonts w:cs="Arial"/>
          <w:rtl/>
        </w:rPr>
        <w:t>פ שנתחייב בראשונה לבית המדרש לדבריהם הרי הוא מתחייב עכשיו בכל הדורות</w:t>
      </w:r>
      <w:r w:rsidR="008902A0">
        <w:rPr>
          <w:rFonts w:cs="Arial" w:hint="cs"/>
          <w:rtl/>
        </w:rPr>
        <w:t>.</w:t>
      </w:r>
      <w:r w:rsidRPr="00B80891">
        <w:rPr>
          <w:rFonts w:cs="Arial"/>
          <w:rtl/>
        </w:rPr>
        <w:t xml:space="preserve"> ועוד כי על יורשי הנפטר להביא ראיה שנתחייב מקודם או שחייבו אותו מורישיו</w:t>
      </w:r>
      <w:r w:rsidR="008902A0">
        <w:rPr>
          <w:rFonts w:cs="Arial" w:hint="cs"/>
          <w:rtl/>
        </w:rPr>
        <w:t>.</w:t>
      </w:r>
      <w:r w:rsidRPr="00B80891">
        <w:rPr>
          <w:rFonts w:cs="Arial"/>
          <w:rtl/>
        </w:rPr>
        <w:t xml:space="preserve"> ועוד ששייר לתת בעד נפשו בשעה שנתן לה מתנה אע</w:t>
      </w:r>
      <w:r w:rsidR="008902A0">
        <w:rPr>
          <w:rFonts w:cs="Arial" w:hint="cs"/>
          <w:rtl/>
        </w:rPr>
        <w:t>"</w:t>
      </w:r>
      <w:r w:rsidRPr="00B80891">
        <w:rPr>
          <w:rFonts w:cs="Arial"/>
          <w:rtl/>
        </w:rPr>
        <w:t>פ שלא נתן כלום</w:t>
      </w:r>
      <w:r w:rsidR="008902A0">
        <w:rPr>
          <w:rFonts w:cs="Arial" w:hint="cs"/>
          <w:rtl/>
        </w:rPr>
        <w:t>,</w:t>
      </w:r>
      <w:r w:rsidRPr="00B80891">
        <w:rPr>
          <w:rFonts w:cs="Arial"/>
          <w:rtl/>
        </w:rPr>
        <w:t xml:space="preserve"> סוף סוף בשעה שהקנה לה שייר</w:t>
      </w:r>
      <w:r w:rsidR="008902A0">
        <w:rPr>
          <w:rFonts w:cs="Arial" w:hint="cs"/>
          <w:rtl/>
        </w:rPr>
        <w:t>.</w:t>
      </w:r>
      <w:r w:rsidR="002F2199">
        <w:rPr>
          <w:rFonts w:cs="Arial" w:hint="cs"/>
          <w:rtl/>
        </w:rPr>
        <w:t xml:space="preserve"> </w:t>
      </w:r>
      <w:r w:rsidRPr="00B80891">
        <w:rPr>
          <w:rFonts w:cs="Arial"/>
          <w:rtl/>
        </w:rPr>
        <w:t xml:space="preserve"> </w:t>
      </w:r>
      <w:r w:rsidR="008902A0">
        <w:rPr>
          <w:rFonts w:cs="Arial" w:hint="cs"/>
          <w:rtl/>
        </w:rPr>
        <w:t xml:space="preserve">    </w:t>
      </w:r>
      <w:r w:rsidRPr="00B80891">
        <w:rPr>
          <w:rFonts w:cs="Arial"/>
          <w:rtl/>
        </w:rPr>
        <w:t>תשובה</w:t>
      </w:r>
      <w:r w:rsidR="008902A0">
        <w:rPr>
          <w:rFonts w:cs="Arial" w:hint="cs"/>
          <w:rtl/>
        </w:rPr>
        <w:t>:</w:t>
      </w:r>
      <w:r w:rsidRPr="00B80891">
        <w:rPr>
          <w:rFonts w:cs="Arial"/>
          <w:rtl/>
        </w:rPr>
        <w:t xml:space="preserve"> המתנה שנתן לאשתו היתה בלא שיור</w:t>
      </w:r>
      <w:r w:rsidR="008902A0">
        <w:rPr>
          <w:rFonts w:cs="Arial" w:hint="cs"/>
          <w:rtl/>
        </w:rPr>
        <w:t>,</w:t>
      </w:r>
      <w:r w:rsidRPr="00B80891">
        <w:rPr>
          <w:rFonts w:cs="Arial"/>
          <w:rtl/>
        </w:rPr>
        <w:t xml:space="preserve"> כי לא הניח ליורשיו כלום</w:t>
      </w:r>
      <w:r w:rsidR="008902A0">
        <w:rPr>
          <w:rFonts w:cs="Arial" w:hint="cs"/>
          <w:rtl/>
        </w:rPr>
        <w:t>.</w:t>
      </w:r>
      <w:r w:rsidRPr="00B80891">
        <w:rPr>
          <w:rFonts w:cs="Arial"/>
          <w:rtl/>
        </w:rPr>
        <w:t xml:space="preserve"> ומה שצווה לתת למדרש מוכיח מתוך לשון הצוואה שהיה חייב כבר מדקאמר כל החלק משלם שיש לי לתת ולפרוע</w:t>
      </w:r>
      <w:r w:rsidR="008902A0">
        <w:rPr>
          <w:rFonts w:cs="Arial" w:hint="cs"/>
          <w:rtl/>
        </w:rPr>
        <w:t>,</w:t>
      </w:r>
      <w:r w:rsidRPr="00B80891">
        <w:rPr>
          <w:rFonts w:cs="Arial"/>
          <w:rtl/>
        </w:rPr>
        <w:t xml:space="preserve"> אלמא פרעון חוב היה</w:t>
      </w:r>
      <w:r w:rsidR="008902A0">
        <w:rPr>
          <w:rFonts w:cs="Arial" w:hint="cs"/>
          <w:rtl/>
        </w:rPr>
        <w:t>,</w:t>
      </w:r>
      <w:r w:rsidRPr="00B80891">
        <w:rPr>
          <w:rFonts w:cs="Arial"/>
          <w:rtl/>
        </w:rPr>
        <w:t xml:space="preserve"> ואף אם היה מתנה אין כאן שיור</w:t>
      </w:r>
      <w:r>
        <w:rPr>
          <w:rStyle w:val="a7"/>
          <w:rFonts w:cs="Arial"/>
          <w:rtl/>
        </w:rPr>
        <w:footnoteReference w:id="2336"/>
      </w:r>
      <w:r w:rsidRPr="00B80891">
        <w:rPr>
          <w:rFonts w:cs="Arial"/>
          <w:rtl/>
        </w:rPr>
        <w:t xml:space="preserve"> כיון דבפעם אחד חלק כל נכסיו</w:t>
      </w:r>
      <w:r w:rsidR="008902A0">
        <w:rPr>
          <w:rFonts w:cs="Arial" w:hint="cs"/>
          <w:rtl/>
        </w:rPr>
        <w:t>,</w:t>
      </w:r>
      <w:r w:rsidRPr="00B80891">
        <w:rPr>
          <w:rFonts w:cs="Arial"/>
          <w:rtl/>
        </w:rPr>
        <w:t xml:space="preserve"> כדאמר בפרק מי שמת שכיב מרע שכתב כל נכסיו לאחרים אם כמחלק מת קנו כולם</w:t>
      </w:r>
      <w:r w:rsidR="008902A0">
        <w:rPr>
          <w:rFonts w:cs="Arial" w:hint="cs"/>
          <w:rtl/>
        </w:rPr>
        <w:t>,</w:t>
      </w:r>
      <w:r w:rsidRPr="00B80891">
        <w:rPr>
          <w:rFonts w:cs="Arial"/>
          <w:rtl/>
        </w:rPr>
        <w:t xml:space="preserve"> עמד חוזר בכולם אם נמלך</w:t>
      </w:r>
      <w:r w:rsidR="008902A0">
        <w:rPr>
          <w:rFonts w:cs="Arial" w:hint="cs"/>
          <w:rtl/>
        </w:rPr>
        <w:t>,</w:t>
      </w:r>
      <w:r w:rsidRPr="00B80891">
        <w:rPr>
          <w:rFonts w:cs="Arial"/>
          <w:rtl/>
        </w:rPr>
        <w:t xml:space="preserve"> מת קנו כולם</w:t>
      </w:r>
      <w:r w:rsidR="008902A0">
        <w:rPr>
          <w:rFonts w:cs="Arial" w:hint="cs"/>
          <w:rtl/>
        </w:rPr>
        <w:t>,</w:t>
      </w:r>
      <w:r w:rsidRPr="00B80891">
        <w:rPr>
          <w:rFonts w:cs="Arial"/>
          <w:rtl/>
        </w:rPr>
        <w:t xml:space="preserve"> עמד אינו חוזר אלא באחרון</w:t>
      </w:r>
      <w:r w:rsidR="0013028C">
        <w:rPr>
          <w:rFonts w:cs="Arial" w:hint="cs"/>
          <w:rtl/>
        </w:rPr>
        <w:t>.</w:t>
      </w:r>
      <w:r w:rsidRPr="00B80891">
        <w:rPr>
          <w:rFonts w:cs="Arial"/>
          <w:rtl/>
        </w:rPr>
        <w:t xml:space="preserve"> ואמרינן נמי התם אשתו ואחר</w:t>
      </w:r>
      <w:r w:rsidR="0013028C">
        <w:rPr>
          <w:rFonts w:cs="Arial" w:hint="cs"/>
          <w:rtl/>
        </w:rPr>
        <w:t>,</w:t>
      </w:r>
      <w:r w:rsidRPr="00B80891">
        <w:rPr>
          <w:rFonts w:cs="Arial"/>
          <w:rtl/>
        </w:rPr>
        <w:t xml:space="preserve"> לאחר במתנה ואשתו אפוטרופ'</w:t>
      </w:r>
      <w:r w:rsidR="0013028C">
        <w:rPr>
          <w:rFonts w:cs="Arial" w:hint="cs"/>
          <w:rtl/>
        </w:rPr>
        <w:t>.</w:t>
      </w:r>
      <w:r w:rsidRPr="00B80891">
        <w:rPr>
          <w:rFonts w:cs="Arial"/>
          <w:rtl/>
        </w:rPr>
        <w:t xml:space="preserve"> ומה ששייר לתת בעד נפשו לא הוי שיור אף אם נתן הרבה</w:t>
      </w:r>
      <w:r w:rsidR="0013028C">
        <w:rPr>
          <w:rFonts w:cs="Arial" w:hint="cs"/>
          <w:rtl/>
        </w:rPr>
        <w:t>,</w:t>
      </w:r>
      <w:r w:rsidRPr="00B80891">
        <w:rPr>
          <w:rFonts w:cs="Arial"/>
          <w:rtl/>
        </w:rPr>
        <w:t xml:space="preserve"> דמתנה של האשה לא חיילה אלא לאחר מיתה ובאותו שעה לא שייר</w:t>
      </w:r>
      <w:r w:rsidR="0013028C">
        <w:rPr>
          <w:rFonts w:cs="Arial" w:hint="cs"/>
          <w:rtl/>
        </w:rPr>
        <w:t>,</w:t>
      </w:r>
      <w:r w:rsidRPr="00B80891">
        <w:rPr>
          <w:rFonts w:cs="Arial"/>
          <w:rtl/>
        </w:rPr>
        <w:t xml:space="preserve"> הילכך לא עשאה אלא אפוטרופוס</w:t>
      </w:r>
      <w:r w:rsidR="0013028C">
        <w:rPr>
          <w:rFonts w:cs="Arial" w:hint="cs"/>
          <w:rtl/>
        </w:rPr>
        <w:t>.</w:t>
      </w:r>
      <w:r w:rsidRPr="00B80891">
        <w:rPr>
          <w:rFonts w:cs="Arial"/>
          <w:rtl/>
        </w:rPr>
        <w:t xml:space="preserve"> והפוסק דין זה צריך שידע מי הם היורשים</w:t>
      </w:r>
      <w:r w:rsidR="0013028C">
        <w:rPr>
          <w:rFonts w:cs="Arial" w:hint="cs"/>
          <w:rtl/>
        </w:rPr>
        <w:t>,</w:t>
      </w:r>
      <w:r w:rsidRPr="00B80891">
        <w:rPr>
          <w:rFonts w:cs="Arial"/>
          <w:rtl/>
        </w:rPr>
        <w:t xml:space="preserve"> אם הם בניה או בני הבעל או אחי הבעל </w:t>
      </w:r>
      <w:r w:rsidR="005F63D8">
        <w:rPr>
          <w:rFonts w:cs="Arial" w:hint="cs"/>
          <w:rtl/>
        </w:rPr>
        <w:lastRenderedPageBreak/>
        <w:t xml:space="preserve">- </w:t>
      </w:r>
      <w:r w:rsidRPr="00B80891">
        <w:rPr>
          <w:rFonts w:cs="Arial"/>
          <w:rtl/>
        </w:rPr>
        <w:t>אז הוי אפוטרופא</w:t>
      </w:r>
      <w:r w:rsidR="0013028C">
        <w:rPr>
          <w:rFonts w:cs="Arial" w:hint="cs"/>
          <w:rtl/>
        </w:rPr>
        <w:t>.</w:t>
      </w:r>
      <w:r w:rsidRPr="00B80891">
        <w:rPr>
          <w:rFonts w:cs="Arial"/>
          <w:rtl/>
        </w:rPr>
        <w:t xml:space="preserve"> אבל אם הם בני אחי הבעל או רחוקים יותר</w:t>
      </w:r>
      <w:r w:rsidR="005F63D8">
        <w:rPr>
          <w:rFonts w:cs="Arial" w:hint="cs"/>
          <w:rtl/>
        </w:rPr>
        <w:t xml:space="preserve"> - </w:t>
      </w:r>
      <w:r w:rsidRPr="00B80891">
        <w:rPr>
          <w:rFonts w:cs="Arial"/>
          <w:rtl/>
        </w:rPr>
        <w:t>אז הויא מתנה</w:t>
      </w:r>
      <w:r w:rsidR="00BF0CD6">
        <w:rPr>
          <w:rStyle w:val="a7"/>
          <w:rFonts w:cs="Arial"/>
          <w:rtl/>
        </w:rPr>
        <w:footnoteReference w:id="2337"/>
      </w:r>
      <w:r w:rsidR="0013028C">
        <w:rPr>
          <w:rFonts w:cs="Arial" w:hint="cs"/>
          <w:rtl/>
        </w:rPr>
        <w:t>,</w:t>
      </w:r>
      <w:r w:rsidRPr="00B80891">
        <w:rPr>
          <w:rFonts w:cs="Arial"/>
          <w:rtl/>
        </w:rPr>
        <w:t xml:space="preserve"> דטעמא דכותב כל נכסיו לאשתו לא הויא מתנה משום שאנו אומדים דעתו של אדם שאין אדם מניח בניו וכותב כל נכסיו לאשתו אלא שמינה אפוטרופא על נכסיו לפרנס בניו כדי שיכבדוה</w:t>
      </w:r>
      <w:r w:rsidR="005F63D8">
        <w:rPr>
          <w:rFonts w:cs="Arial" w:hint="cs"/>
          <w:rtl/>
        </w:rPr>
        <w:t>,</w:t>
      </w:r>
      <w:r w:rsidRPr="00B80891">
        <w:rPr>
          <w:rFonts w:cs="Arial"/>
          <w:rtl/>
        </w:rPr>
        <w:t xml:space="preserve"> ומיבעיא לתלמודא אשה אצל האחין ואצל בני הבעל מהו</w:t>
      </w:r>
      <w:r w:rsidR="005F63D8">
        <w:rPr>
          <w:rFonts w:cs="Arial" w:hint="cs"/>
          <w:rtl/>
        </w:rPr>
        <w:t>,</w:t>
      </w:r>
      <w:r w:rsidRPr="00B80891">
        <w:rPr>
          <w:rFonts w:cs="Arial"/>
          <w:rtl/>
        </w:rPr>
        <w:t xml:space="preserve"> מי אמרינן אף באלו רוצה שיכבדוה</w:t>
      </w:r>
      <w:r w:rsidR="005F63D8">
        <w:rPr>
          <w:rFonts w:cs="Arial" w:hint="cs"/>
          <w:rtl/>
        </w:rPr>
        <w:t>,</w:t>
      </w:r>
      <w:r w:rsidRPr="00B80891">
        <w:rPr>
          <w:rFonts w:cs="Arial"/>
          <w:rtl/>
        </w:rPr>
        <w:t xml:space="preserve"> או אינו חושש אם יכבדוה והוי מתנה</w:t>
      </w:r>
      <w:r w:rsidR="005F63D8">
        <w:rPr>
          <w:rFonts w:cs="Arial" w:hint="cs"/>
          <w:rtl/>
        </w:rPr>
        <w:t>,</w:t>
      </w:r>
      <w:r w:rsidRPr="00B80891">
        <w:rPr>
          <w:rFonts w:cs="Arial"/>
          <w:rtl/>
        </w:rPr>
        <w:t xml:space="preserve"> ומסיק דאף באלו הויא אפוטרופא</w:t>
      </w:r>
      <w:r w:rsidR="005F63D8">
        <w:rPr>
          <w:rFonts w:cs="Arial" w:hint="cs"/>
          <w:rtl/>
        </w:rPr>
        <w:t>,</w:t>
      </w:r>
      <w:r w:rsidRPr="00B80891">
        <w:rPr>
          <w:rFonts w:cs="Arial"/>
          <w:rtl/>
        </w:rPr>
        <w:t xml:space="preserve"> אבל ביורשין רחוקים מאלו פשיטא דהויא מתנה</w:t>
      </w:r>
      <w:r w:rsidR="005F63D8">
        <w:rPr>
          <w:rFonts w:cs="Arial" w:hint="cs"/>
          <w:rtl/>
        </w:rPr>
        <w:t>.</w:t>
      </w:r>
      <w:r w:rsidRPr="00B80891">
        <w:rPr>
          <w:rFonts w:cs="Arial"/>
          <w:rtl/>
        </w:rPr>
        <w:t xml:space="preserve"> כל זה כתבתי בשביל שכתבת לי להודיעך כל הפרטים</w:t>
      </w:r>
      <w:r w:rsidR="00004585">
        <w:rPr>
          <w:rFonts w:cs="Arial" w:hint="cs"/>
          <w:rtl/>
        </w:rPr>
        <w:t>,</w:t>
      </w:r>
      <w:r w:rsidRPr="00B80891">
        <w:rPr>
          <w:rFonts w:cs="Arial"/>
          <w:rtl/>
        </w:rPr>
        <w:t xml:space="preserve"> לפיכך כתבתי לך דין כותב כל נכסיו בסתם ואין בשטר מוכיח על הענין דהויא מתנה גמורה אז אנו אומדין דעתו שבדעתו היה שתהיה אפוטרופא על נכסיו כדי שיכבדוה יורשיו</w:t>
      </w:r>
      <w:r w:rsidR="00004585">
        <w:rPr>
          <w:rFonts w:cs="Arial" w:hint="cs"/>
          <w:rtl/>
        </w:rPr>
        <w:t>.</w:t>
      </w:r>
      <w:r w:rsidRPr="00B80891">
        <w:rPr>
          <w:rFonts w:cs="Arial"/>
          <w:rtl/>
        </w:rPr>
        <w:t xml:space="preserve"> אבל שטר צוואה זו אני רואה לשון המורה על הענין דהוי מתנה גמורה</w:t>
      </w:r>
      <w:r w:rsidR="00004585">
        <w:rPr>
          <w:rFonts w:cs="Arial" w:hint="cs"/>
          <w:rtl/>
        </w:rPr>
        <w:t>,</w:t>
      </w:r>
      <w:r w:rsidRPr="00B80891">
        <w:rPr>
          <w:rFonts w:cs="Arial"/>
          <w:rtl/>
        </w:rPr>
        <w:t xml:space="preserve"> שהרי אמר בו אל תחשבו לי לשטות שאני נותן כל נכסי לאשתי שהרי אני יודע בה שלא יהיה לה בעל לעולם</w:t>
      </w:r>
      <w:r w:rsidR="00004585">
        <w:rPr>
          <w:rFonts w:cs="Arial" w:hint="cs"/>
          <w:rtl/>
        </w:rPr>
        <w:t>,</w:t>
      </w:r>
      <w:r w:rsidRPr="00B80891">
        <w:rPr>
          <w:rFonts w:cs="Arial"/>
          <w:rtl/>
        </w:rPr>
        <w:t xml:space="preserve"> והשטות שחושבים לו לאדם שמניח יורשיו ונותן כל נכסיו לאשתו זה בשביל שהיום או מחר תינשא לבעל תכניס לו נכסיו</w:t>
      </w:r>
      <w:r w:rsidR="00004585">
        <w:rPr>
          <w:rFonts w:cs="Arial" w:hint="cs"/>
          <w:rtl/>
        </w:rPr>
        <w:t>,</w:t>
      </w:r>
      <w:r w:rsidRPr="00B80891">
        <w:rPr>
          <w:rFonts w:cs="Arial"/>
          <w:rtl/>
        </w:rPr>
        <w:t xml:space="preserve"> וזהו עגמת נפש שתאכל עמלו עם איש אחר</w:t>
      </w:r>
      <w:r w:rsidR="00004585">
        <w:rPr>
          <w:rFonts w:cs="Arial" w:hint="cs"/>
          <w:rtl/>
        </w:rPr>
        <w:t xml:space="preserve">. </w:t>
      </w:r>
      <w:r w:rsidRPr="00B80891">
        <w:rPr>
          <w:rFonts w:cs="Arial"/>
          <w:rtl/>
        </w:rPr>
        <w:t>אבל המכיר את אשתו שלא תינשא לאיש אחר באהבתו אותה נותן לה כל נכסיו</w:t>
      </w:r>
      <w:r w:rsidR="00004585">
        <w:rPr>
          <w:rFonts w:cs="Arial" w:hint="cs"/>
          <w:rtl/>
        </w:rPr>
        <w:t>.</w:t>
      </w:r>
      <w:r w:rsidRPr="00B80891">
        <w:rPr>
          <w:rFonts w:cs="Arial"/>
          <w:rtl/>
        </w:rPr>
        <w:t xml:space="preserve"> הילכך לשון זה מוכיח דהוי מתנה גמורה</w:t>
      </w:r>
      <w:r w:rsidR="00004585">
        <w:rPr>
          <w:rFonts w:cs="Arial" w:hint="cs"/>
          <w:rtl/>
        </w:rPr>
        <w:t>,</w:t>
      </w:r>
      <w:r w:rsidRPr="00B80891">
        <w:rPr>
          <w:rFonts w:cs="Arial"/>
          <w:rtl/>
        </w:rPr>
        <w:t xml:space="preserve"> שאם לא היתה כי אם אפוטרופא מה שטות יחשבו לו אם מינה אפוטרופא אף אם תינשא לבעל כי הדבר ידוע אם תינשא לבעל שיסלקוה ב"ד מן האפוטרופסת שלא יאכלם הבעל</w:t>
      </w:r>
      <w:r w:rsidR="00004585">
        <w:rPr>
          <w:rFonts w:cs="Arial" w:hint="cs"/>
          <w:rtl/>
        </w:rPr>
        <w:t>.</w:t>
      </w:r>
      <w:r w:rsidRPr="00B80891">
        <w:rPr>
          <w:rFonts w:cs="Arial"/>
          <w:rtl/>
        </w:rPr>
        <w:t xml:space="preserve"> הלכך מוכיח לשון זה דהוי מתנה גמורה</w:t>
      </w:r>
      <w:r w:rsidR="001E766E">
        <w:rPr>
          <w:rFonts w:cs="Arial" w:hint="cs"/>
          <w:rtl/>
        </w:rPr>
        <w:t>.</w:t>
      </w:r>
      <w:r w:rsidRPr="00B80891">
        <w:rPr>
          <w:rFonts w:cs="Arial"/>
          <w:rtl/>
        </w:rPr>
        <w:t xml:space="preserve"> דכיון דטעמא שאנו מבטלין המתנה הוא משום אומדנא כדפרישית לעיל</w:t>
      </w:r>
      <w:r w:rsidR="001E766E">
        <w:rPr>
          <w:rFonts w:cs="Arial" w:hint="cs"/>
          <w:rtl/>
        </w:rPr>
        <w:t>,</w:t>
      </w:r>
      <w:r w:rsidRPr="00B80891">
        <w:rPr>
          <w:rFonts w:cs="Arial"/>
          <w:rtl/>
        </w:rPr>
        <w:t xml:space="preserve"> כל היכא שיש להוכיח מתוך השטר דהוי מתנה גמורה </w:t>
      </w:r>
      <w:r w:rsidR="001E766E">
        <w:rPr>
          <w:rFonts w:cs="Arial" w:hint="cs"/>
          <w:rtl/>
        </w:rPr>
        <w:t xml:space="preserve">- </w:t>
      </w:r>
      <w:r w:rsidRPr="00B80891">
        <w:rPr>
          <w:rFonts w:cs="Arial"/>
          <w:rtl/>
        </w:rPr>
        <w:t>הרי בטלה האומדנא</w:t>
      </w:r>
      <w:r w:rsidR="005B2059">
        <w:rPr>
          <w:rStyle w:val="a7"/>
          <w:rFonts w:cs="Arial"/>
          <w:rtl/>
        </w:rPr>
        <w:footnoteReference w:id="2338"/>
      </w:r>
      <w:r w:rsidR="00C25085">
        <w:rPr>
          <w:rFonts w:cs="Arial" w:hint="cs"/>
          <w:rtl/>
        </w:rPr>
        <w:t>.</w:t>
      </w:r>
      <w:r w:rsidR="00182741">
        <w:rPr>
          <w:rFonts w:cs="Arial" w:hint="cs"/>
          <w:rtl/>
        </w:rPr>
        <w:t xml:space="preserve"> </w:t>
      </w:r>
      <w:r w:rsidR="00182741" w:rsidRPr="00351B7D">
        <w:rPr>
          <w:rFonts w:asciiTheme="minorBidi" w:hAnsiTheme="minorBidi"/>
          <w:color w:val="E36C0A" w:themeColor="accent6" w:themeShade="BF"/>
          <w:rtl/>
        </w:rPr>
        <w:t>(וכ"</w:t>
      </w:r>
      <w:r w:rsidR="00182741">
        <w:rPr>
          <w:rFonts w:asciiTheme="minorBidi" w:hAnsiTheme="minorBidi" w:hint="cs"/>
          <w:color w:val="E36C0A" w:themeColor="accent6" w:themeShade="BF"/>
          <w:rtl/>
        </w:rPr>
        <w:t>פ</w:t>
      </w:r>
      <w:r w:rsidR="00182741" w:rsidRPr="00351B7D">
        <w:rPr>
          <w:rFonts w:asciiTheme="minorBidi" w:hAnsiTheme="minorBidi"/>
          <w:color w:val="E36C0A" w:themeColor="accent6" w:themeShade="BF"/>
          <w:rtl/>
        </w:rPr>
        <w:t xml:space="preserve"> בשו"ע)</w:t>
      </w:r>
    </w:p>
    <w:p w14:paraId="07FCE096" w14:textId="618429E1" w:rsidR="00787A74" w:rsidRDefault="003B4C7A" w:rsidP="008E7374">
      <w:pPr>
        <w:rPr>
          <w:rFonts w:cs="Arial"/>
          <w:rtl/>
        </w:rPr>
      </w:pPr>
      <w:r w:rsidRPr="00787A74">
        <w:rPr>
          <w:rFonts w:cs="Arial" w:hint="cs"/>
          <w:u w:val="single"/>
          <w:rtl/>
        </w:rPr>
        <w:t>אשה שנתמנתה לאפוטרופוס</w:t>
      </w:r>
      <w:r w:rsidR="00787A74" w:rsidRPr="00787A74">
        <w:rPr>
          <w:rFonts w:cs="Arial" w:hint="cs"/>
          <w:sz w:val="16"/>
          <w:szCs w:val="16"/>
          <w:u w:val="single"/>
          <w:rtl/>
        </w:rPr>
        <w:t xml:space="preserve"> (כיון שכתב לה את כל נכסיו כנ"ל)</w:t>
      </w:r>
      <w:r w:rsidRPr="00787A74">
        <w:rPr>
          <w:rFonts w:cs="Arial" w:hint="cs"/>
          <w:u w:val="single"/>
          <w:rtl/>
        </w:rPr>
        <w:t xml:space="preserve"> ומפסידה את הנכסים:</w:t>
      </w:r>
      <w:r w:rsidRPr="00182741">
        <w:rPr>
          <w:rFonts w:cs="Arial" w:hint="cs"/>
          <w:sz w:val="16"/>
          <w:szCs w:val="16"/>
          <w:rtl/>
        </w:rPr>
        <w:t xml:space="preserve"> </w:t>
      </w:r>
      <w:r w:rsidR="005B2059" w:rsidRPr="00182741">
        <w:rPr>
          <w:rFonts w:cs="Arial"/>
          <w:sz w:val="16"/>
          <w:szCs w:val="16"/>
          <w:rtl/>
        </w:rPr>
        <w:t>(</w:t>
      </w:r>
      <w:r w:rsidR="00182741" w:rsidRPr="00182741">
        <w:rPr>
          <w:rFonts w:cs="Arial" w:hint="cs"/>
          <w:sz w:val="16"/>
          <w:szCs w:val="16"/>
          <w:rtl/>
        </w:rPr>
        <w:t xml:space="preserve">דרכ"מ אות </w:t>
      </w:r>
      <w:r w:rsidR="005B2059" w:rsidRPr="00182741">
        <w:rPr>
          <w:rFonts w:cs="Arial"/>
          <w:sz w:val="16"/>
          <w:szCs w:val="16"/>
          <w:rtl/>
        </w:rPr>
        <w:t>א</w:t>
      </w:r>
      <w:r w:rsidR="005B2059" w:rsidRPr="00182741">
        <w:rPr>
          <w:rFonts w:cs="Arial" w:hint="cs"/>
          <w:sz w:val="16"/>
          <w:szCs w:val="16"/>
          <w:rtl/>
        </w:rPr>
        <w:t>)</w:t>
      </w:r>
      <w:r w:rsidR="005B2059">
        <w:rPr>
          <w:rFonts w:cs="Arial" w:hint="cs"/>
          <w:rtl/>
        </w:rPr>
        <w:t xml:space="preserve"> </w:t>
      </w:r>
    </w:p>
    <w:p w14:paraId="1B238811" w14:textId="013795FC" w:rsidR="00182741" w:rsidRDefault="005B2059" w:rsidP="00787A74">
      <w:pPr>
        <w:pStyle w:val="ab"/>
        <w:numPr>
          <w:ilvl w:val="0"/>
          <w:numId w:val="91"/>
        </w:numPr>
      </w:pPr>
      <w:r w:rsidRPr="00787A74">
        <w:rPr>
          <w:rFonts w:cs="Arial"/>
          <w:rtl/>
        </w:rPr>
        <w:t>מהר"ם</w:t>
      </w:r>
      <w:r w:rsidRPr="00182741">
        <w:rPr>
          <w:rFonts w:cs="Arial"/>
          <w:sz w:val="16"/>
          <w:szCs w:val="16"/>
          <w:rtl/>
        </w:rPr>
        <w:t xml:space="preserve"> (ד"פ סי' רמג וסי' תתקנח</w:t>
      </w:r>
      <w:r w:rsidR="00787A74" w:rsidRPr="00182741">
        <w:rPr>
          <w:rFonts w:cs="Arial" w:hint="cs"/>
          <w:sz w:val="16"/>
          <w:szCs w:val="16"/>
          <w:rtl/>
        </w:rPr>
        <w:t>,</w:t>
      </w:r>
      <w:r w:rsidR="00787A74" w:rsidRPr="00182741">
        <w:rPr>
          <w:rFonts w:cs="Arial"/>
          <w:sz w:val="16"/>
          <w:szCs w:val="16"/>
          <w:rtl/>
        </w:rPr>
        <w:t xml:space="preserve"> </w:t>
      </w:r>
      <w:r w:rsidR="00787A74" w:rsidRPr="00182741">
        <w:rPr>
          <w:rFonts w:cs="Arial" w:hint="cs"/>
          <w:sz w:val="16"/>
          <w:szCs w:val="16"/>
          <w:rtl/>
        </w:rPr>
        <w:t>כ"כ ה</w:t>
      </w:r>
      <w:r w:rsidR="00787A74" w:rsidRPr="00182741">
        <w:rPr>
          <w:rFonts w:cs="Arial"/>
          <w:sz w:val="16"/>
          <w:szCs w:val="16"/>
          <w:rtl/>
        </w:rPr>
        <w:t xml:space="preserve">מרדכי </w:t>
      </w:r>
      <w:r w:rsidR="00787A74" w:rsidRPr="00182741">
        <w:rPr>
          <w:rFonts w:cs="Arial" w:hint="cs"/>
          <w:sz w:val="16"/>
          <w:szCs w:val="16"/>
          <w:rtl/>
        </w:rPr>
        <w:t>[</w:t>
      </w:r>
      <w:r w:rsidR="00787A74" w:rsidRPr="00182741">
        <w:rPr>
          <w:rFonts w:cs="Arial"/>
          <w:sz w:val="16"/>
          <w:szCs w:val="16"/>
          <w:rtl/>
        </w:rPr>
        <w:t>ב"ב סי' תקפח</w:t>
      </w:r>
      <w:r w:rsidR="00787A74" w:rsidRPr="00182741">
        <w:rPr>
          <w:rFonts w:cs="Arial" w:hint="cs"/>
          <w:sz w:val="16"/>
          <w:szCs w:val="16"/>
          <w:rtl/>
        </w:rPr>
        <w:t>]</w:t>
      </w:r>
      <w:r w:rsidR="00182741" w:rsidRPr="00182741">
        <w:rPr>
          <w:rFonts w:cs="Arial" w:hint="cs"/>
          <w:sz w:val="16"/>
          <w:szCs w:val="16"/>
          <w:rtl/>
        </w:rPr>
        <w:t xml:space="preserve"> בשמו</w:t>
      </w:r>
      <w:r w:rsidRPr="00182741">
        <w:rPr>
          <w:rFonts w:cs="Arial"/>
          <w:sz w:val="16"/>
          <w:szCs w:val="16"/>
          <w:rtl/>
        </w:rPr>
        <w:t>)</w:t>
      </w:r>
      <w:r w:rsidR="00182741">
        <w:rPr>
          <w:rFonts w:cs="Arial" w:hint="cs"/>
          <w:rtl/>
        </w:rPr>
        <w:t>-</w:t>
      </w:r>
      <w:r w:rsidRPr="00787A74">
        <w:rPr>
          <w:rFonts w:cs="Arial"/>
          <w:rtl/>
        </w:rPr>
        <w:t xml:space="preserve"> אי מפסידה הנכסים מסלקינן אותה כשאר אפוטרופוס דמפסיד נכסים (גיטין נב</w:t>
      </w:r>
      <w:r w:rsidR="00182741">
        <w:rPr>
          <w:rFonts w:cs="Arial" w:hint="cs"/>
          <w:rtl/>
        </w:rPr>
        <w:t>:</w:t>
      </w:r>
      <w:r w:rsidRPr="00787A74">
        <w:rPr>
          <w:rFonts w:cs="Arial"/>
          <w:rtl/>
        </w:rPr>
        <w:t>)</w:t>
      </w:r>
      <w:r w:rsidR="00182741">
        <w:rPr>
          <w:rFonts w:cs="Arial" w:hint="cs"/>
          <w:rtl/>
        </w:rPr>
        <w:t>.</w:t>
      </w:r>
      <w:r w:rsidRPr="00787A74">
        <w:rPr>
          <w:rFonts w:cs="Arial"/>
          <w:rtl/>
        </w:rPr>
        <w:t xml:space="preserve"> </w:t>
      </w:r>
    </w:p>
    <w:p w14:paraId="4C818F55" w14:textId="2647772E" w:rsidR="00182741" w:rsidRPr="00182741" w:rsidRDefault="00182741" w:rsidP="00182741">
      <w:pPr>
        <w:rPr>
          <w:u w:val="single"/>
        </w:rPr>
      </w:pPr>
      <w:r>
        <w:rPr>
          <w:rFonts w:cs="Arial" w:hint="cs"/>
          <w:u w:val="single"/>
          <w:rtl/>
        </w:rPr>
        <w:t>ה</w:t>
      </w:r>
      <w:r w:rsidRPr="00182741">
        <w:rPr>
          <w:rFonts w:cs="Arial"/>
          <w:u w:val="single"/>
          <w:rtl/>
        </w:rPr>
        <w:t>כ</w:t>
      </w:r>
      <w:r>
        <w:rPr>
          <w:rFonts w:cs="Arial" w:hint="cs"/>
          <w:u w:val="single"/>
          <w:rtl/>
        </w:rPr>
        <w:t>ו</w:t>
      </w:r>
      <w:r w:rsidRPr="00182741">
        <w:rPr>
          <w:rFonts w:cs="Arial"/>
          <w:u w:val="single"/>
          <w:rtl/>
        </w:rPr>
        <w:t>תב שטר חוב לאשתו על כל נכסיו</w:t>
      </w:r>
      <w:r>
        <w:rPr>
          <w:rFonts w:cs="Arial" w:hint="cs"/>
          <w:u w:val="single"/>
          <w:rtl/>
        </w:rPr>
        <w:t xml:space="preserve"> - האם היורשים צריכים לשלם לה</w:t>
      </w:r>
      <w:r w:rsidRPr="00182741">
        <w:rPr>
          <w:rFonts w:cs="Arial" w:hint="cs"/>
          <w:u w:val="single"/>
          <w:rtl/>
        </w:rPr>
        <w:t>:</w:t>
      </w:r>
      <w:r w:rsidRPr="00182741">
        <w:rPr>
          <w:rFonts w:cs="Arial" w:hint="cs"/>
          <w:sz w:val="16"/>
          <w:szCs w:val="16"/>
          <w:rtl/>
        </w:rPr>
        <w:t xml:space="preserve"> </w:t>
      </w:r>
      <w:r w:rsidRPr="00182741">
        <w:rPr>
          <w:rFonts w:cs="Arial"/>
          <w:sz w:val="16"/>
          <w:szCs w:val="16"/>
          <w:rtl/>
        </w:rPr>
        <w:t>(</w:t>
      </w:r>
      <w:r w:rsidRPr="00182741">
        <w:rPr>
          <w:rFonts w:cs="Arial" w:hint="cs"/>
          <w:sz w:val="16"/>
          <w:szCs w:val="16"/>
          <w:rtl/>
        </w:rPr>
        <w:t xml:space="preserve">דרכ"מ אות </w:t>
      </w:r>
      <w:r w:rsidRPr="00182741">
        <w:rPr>
          <w:rFonts w:cs="Arial"/>
          <w:sz w:val="16"/>
          <w:szCs w:val="16"/>
          <w:rtl/>
        </w:rPr>
        <w:t>א</w:t>
      </w:r>
      <w:r w:rsidRPr="00182741">
        <w:rPr>
          <w:rFonts w:cs="Arial" w:hint="cs"/>
          <w:sz w:val="16"/>
          <w:szCs w:val="16"/>
          <w:rtl/>
        </w:rPr>
        <w:t>)</w:t>
      </w:r>
    </w:p>
    <w:p w14:paraId="029B8713" w14:textId="767BAA0C" w:rsidR="005B2059" w:rsidRDefault="005B2059" w:rsidP="00787A74">
      <w:pPr>
        <w:pStyle w:val="ab"/>
        <w:numPr>
          <w:ilvl w:val="0"/>
          <w:numId w:val="91"/>
        </w:numPr>
        <w:rPr>
          <w:rtl/>
        </w:rPr>
      </w:pPr>
      <w:r w:rsidRPr="00787A74">
        <w:rPr>
          <w:rFonts w:cs="Arial"/>
          <w:rtl/>
        </w:rPr>
        <w:t xml:space="preserve">מהרי"ל </w:t>
      </w:r>
      <w:r w:rsidR="00182741" w:rsidRPr="00182741">
        <w:rPr>
          <w:rFonts w:cs="Arial" w:hint="cs"/>
          <w:sz w:val="16"/>
          <w:szCs w:val="16"/>
          <w:rtl/>
        </w:rPr>
        <w:t>(</w:t>
      </w:r>
      <w:r w:rsidRPr="00182741">
        <w:rPr>
          <w:rFonts w:cs="Arial"/>
          <w:sz w:val="16"/>
          <w:szCs w:val="16"/>
          <w:rtl/>
        </w:rPr>
        <w:t>סי' פח</w:t>
      </w:r>
      <w:r w:rsidR="00182741" w:rsidRPr="00182741">
        <w:rPr>
          <w:rFonts w:cs="Arial" w:hint="cs"/>
          <w:sz w:val="16"/>
          <w:szCs w:val="16"/>
          <w:rtl/>
        </w:rPr>
        <w:t>)</w:t>
      </w:r>
      <w:r w:rsidR="00182741">
        <w:rPr>
          <w:rFonts w:cs="Arial" w:hint="cs"/>
          <w:rtl/>
        </w:rPr>
        <w:t>-</w:t>
      </w:r>
      <w:r w:rsidRPr="00787A74">
        <w:rPr>
          <w:rFonts w:cs="Arial"/>
          <w:rtl/>
        </w:rPr>
        <w:t xml:space="preserve"> אם כתב שטר חוב לאשתו על כל נכסיו</w:t>
      </w:r>
      <w:r w:rsidR="00182741">
        <w:rPr>
          <w:rFonts w:cs="Arial" w:hint="cs"/>
          <w:rtl/>
        </w:rPr>
        <w:t xml:space="preserve"> -</w:t>
      </w:r>
      <w:r w:rsidRPr="00787A74">
        <w:rPr>
          <w:rFonts w:cs="Arial"/>
          <w:rtl/>
        </w:rPr>
        <w:t xml:space="preserve"> אין היורשין צריכין לשלם לה</w:t>
      </w:r>
      <w:r w:rsidR="00182741">
        <w:rPr>
          <w:rFonts w:cs="Arial" w:hint="cs"/>
          <w:rtl/>
        </w:rPr>
        <w:t>.</w:t>
      </w:r>
    </w:p>
    <w:p w14:paraId="372436CF"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3577EEA" w14:textId="38AE7FE4" w:rsidR="00392DBB" w:rsidRDefault="00392DBB" w:rsidP="00392DBB">
      <w:pPr>
        <w:rPr>
          <w:rtl/>
        </w:rPr>
      </w:pPr>
      <w:r>
        <w:rPr>
          <w:rFonts w:cs="Arial"/>
          <w:rtl/>
        </w:rPr>
        <w:t>כתבם לאשתו ולאחר, האחר קנה החצי, ואשתו הוי אפוטרופוס בשאר</w:t>
      </w:r>
      <w:r w:rsidR="007D3F76">
        <w:rPr>
          <w:rFonts w:cs="Arial" w:hint="cs"/>
          <w:rtl/>
        </w:rPr>
        <w:t>.</w:t>
      </w:r>
      <w:r>
        <w:rPr>
          <w:rFonts w:cs="Arial"/>
          <w:rtl/>
        </w:rPr>
        <w:t xml:space="preserve"> וכל היכא שיש להוכיח מתוך השטר דלא נתכוין לאפוטרופא אלא למתנה גמורה, הויא מתנה. </w:t>
      </w:r>
    </w:p>
    <w:p w14:paraId="1D23E4CE" w14:textId="77777777" w:rsidR="005D7137" w:rsidRDefault="005D7137" w:rsidP="00392DBB">
      <w:pPr>
        <w:rPr>
          <w:rtl/>
        </w:rPr>
      </w:pPr>
    </w:p>
    <w:p w14:paraId="4EAC9712" w14:textId="5082C4A5" w:rsidR="00392DBB" w:rsidRDefault="00392DBB" w:rsidP="000F64D0">
      <w:pPr>
        <w:pStyle w:val="2"/>
        <w:rPr>
          <w:rtl/>
        </w:rPr>
      </w:pPr>
      <w:r>
        <w:rPr>
          <w:rtl/>
        </w:rPr>
        <w:t>סעיף ט</w:t>
      </w:r>
      <w:r w:rsidR="005D7137">
        <w:rPr>
          <w:rFonts w:hint="cs"/>
          <w:rtl/>
        </w:rPr>
        <w:t>:</w:t>
      </w:r>
      <w:r w:rsidR="001E766E">
        <w:rPr>
          <w:rFonts w:hint="cs"/>
          <w:rtl/>
        </w:rPr>
        <w:t xml:space="preserve"> הכותב</w:t>
      </w:r>
      <w:r w:rsidR="001E766E" w:rsidRPr="001E766E">
        <w:rPr>
          <w:rtl/>
        </w:rPr>
        <w:t xml:space="preserve"> </w:t>
      </w:r>
      <w:r w:rsidR="001E766E">
        <w:rPr>
          <w:rFonts w:hint="cs"/>
          <w:rtl/>
        </w:rPr>
        <w:t>"</w:t>
      </w:r>
      <w:r w:rsidR="001E766E">
        <w:rPr>
          <w:rtl/>
        </w:rPr>
        <w:t>אשתי תמשול בכל הנכסים</w:t>
      </w:r>
      <w:r w:rsidR="001E766E">
        <w:rPr>
          <w:rFonts w:hint="cs"/>
          <w:rtl/>
        </w:rPr>
        <w:t>".</w:t>
      </w:r>
    </w:p>
    <w:p w14:paraId="158CF085" w14:textId="666724F0" w:rsidR="005D7137" w:rsidRPr="001E766E" w:rsidRDefault="001E766E" w:rsidP="005D7137">
      <w:pPr>
        <w:rPr>
          <w:u w:val="single"/>
          <w:rtl/>
        </w:rPr>
      </w:pPr>
      <w:r w:rsidRPr="001E766E">
        <w:rPr>
          <w:rFonts w:cs="Arial" w:hint="cs"/>
          <w:u w:val="single"/>
          <w:rtl/>
        </w:rPr>
        <w:t>הכותב</w:t>
      </w:r>
      <w:r w:rsidRPr="001E766E">
        <w:rPr>
          <w:rFonts w:cs="Arial"/>
          <w:u w:val="single"/>
          <w:rtl/>
        </w:rPr>
        <w:t xml:space="preserve"> </w:t>
      </w:r>
      <w:r w:rsidRPr="001E766E">
        <w:rPr>
          <w:rFonts w:cs="Arial" w:hint="cs"/>
          <w:u w:val="single"/>
          <w:rtl/>
        </w:rPr>
        <w:t>"</w:t>
      </w:r>
      <w:r w:rsidRPr="001E766E">
        <w:rPr>
          <w:rFonts w:cs="Arial"/>
          <w:u w:val="single"/>
          <w:rtl/>
        </w:rPr>
        <w:t>אשתי תמשול בכל הנכסים</w:t>
      </w:r>
      <w:r w:rsidRPr="001E766E">
        <w:rPr>
          <w:rFonts w:cs="Arial" w:hint="cs"/>
          <w:u w:val="single"/>
          <w:rtl/>
        </w:rPr>
        <w:t>"</w:t>
      </w:r>
      <w:r w:rsidRPr="001E766E">
        <w:rPr>
          <w:rFonts w:hint="cs"/>
          <w:u w:val="single"/>
          <w:rtl/>
        </w:rPr>
        <w:t>:</w:t>
      </w:r>
    </w:p>
    <w:p w14:paraId="07F2C74A" w14:textId="5CAFDDEF" w:rsidR="00BD2A12" w:rsidRPr="00BD2A12" w:rsidRDefault="00BD2A12" w:rsidP="002A558E">
      <w:pPr>
        <w:pStyle w:val="ab"/>
        <w:numPr>
          <w:ilvl w:val="0"/>
          <w:numId w:val="91"/>
        </w:numPr>
        <w:rPr>
          <w:rtl/>
        </w:rPr>
      </w:pPr>
      <w:r w:rsidRPr="002A558E">
        <w:rPr>
          <w:rFonts w:cs="Arial"/>
          <w:rtl/>
        </w:rPr>
        <w:t xml:space="preserve">רא"ש </w:t>
      </w:r>
      <w:r w:rsidR="005D7137" w:rsidRPr="00B0443A">
        <w:rPr>
          <w:rFonts w:cs="Arial" w:hint="cs"/>
          <w:sz w:val="16"/>
          <w:szCs w:val="16"/>
          <w:rtl/>
        </w:rPr>
        <w:t>(</w:t>
      </w:r>
      <w:r w:rsidRPr="00B0443A">
        <w:rPr>
          <w:rFonts w:cs="Arial"/>
          <w:sz w:val="16"/>
          <w:szCs w:val="16"/>
          <w:rtl/>
        </w:rPr>
        <w:t>כלל פד סי' ב ד"ה ומצאתי)</w:t>
      </w:r>
      <w:r w:rsidR="00C037AD" w:rsidRPr="002A558E">
        <w:rPr>
          <w:rFonts w:cs="Arial" w:hint="cs"/>
          <w:rtl/>
        </w:rPr>
        <w:t>-</w:t>
      </w:r>
      <w:r w:rsidRPr="002A558E">
        <w:rPr>
          <w:rFonts w:cs="Arial"/>
          <w:rtl/>
        </w:rPr>
        <w:t xml:space="preserve"> מה שכתוב בשטר </w:t>
      </w:r>
      <w:r w:rsidR="00B0443A">
        <w:rPr>
          <w:rFonts w:cs="Arial" w:hint="cs"/>
          <w:rtl/>
        </w:rPr>
        <w:t>"</w:t>
      </w:r>
      <w:r w:rsidRPr="002A558E">
        <w:rPr>
          <w:rFonts w:cs="Arial"/>
          <w:rtl/>
        </w:rPr>
        <w:t>כל יומי מיגד אלמנות זוגתי היא תמשול בכל הנכסים</w:t>
      </w:r>
      <w:r w:rsidR="00B0443A">
        <w:rPr>
          <w:rFonts w:cs="Arial" w:hint="cs"/>
          <w:rtl/>
        </w:rPr>
        <w:t>"</w:t>
      </w:r>
      <w:r w:rsidRPr="002A558E">
        <w:rPr>
          <w:rFonts w:cs="Arial"/>
          <w:rtl/>
        </w:rPr>
        <w:t xml:space="preserve"> אינה לשון מתנה אלא לשון אפטרופוסות אע</w:t>
      </w:r>
      <w:r w:rsidR="00B0443A">
        <w:rPr>
          <w:rFonts w:cs="Arial" w:hint="cs"/>
          <w:rtl/>
        </w:rPr>
        <w:t>"</w:t>
      </w:r>
      <w:r w:rsidRPr="002A558E">
        <w:rPr>
          <w:rFonts w:cs="Arial"/>
          <w:rtl/>
        </w:rPr>
        <w:t>פ שכתוב בו שיור</w:t>
      </w:r>
      <w:r w:rsidR="00B0443A">
        <w:rPr>
          <w:rFonts w:cs="Arial" w:hint="cs"/>
          <w:rtl/>
        </w:rPr>
        <w:t>,</w:t>
      </w:r>
      <w:r w:rsidRPr="002A558E">
        <w:rPr>
          <w:rFonts w:cs="Arial"/>
          <w:rtl/>
        </w:rPr>
        <w:t xml:space="preserve"> מכמה טעמים</w:t>
      </w:r>
      <w:r w:rsidR="00B0443A">
        <w:rPr>
          <w:rFonts w:cs="Arial" w:hint="cs"/>
          <w:rtl/>
        </w:rPr>
        <w:t>.</w:t>
      </w:r>
      <w:r w:rsidRPr="002A558E">
        <w:rPr>
          <w:rFonts w:cs="Arial"/>
          <w:rtl/>
        </w:rPr>
        <w:t xml:space="preserve"> חדא</w:t>
      </w:r>
      <w:r w:rsidR="00B0443A">
        <w:rPr>
          <w:rFonts w:cs="Arial" w:hint="cs"/>
          <w:rtl/>
        </w:rPr>
        <w:t>,</w:t>
      </w:r>
      <w:r w:rsidRPr="002A558E">
        <w:rPr>
          <w:rFonts w:cs="Arial"/>
          <w:rtl/>
        </w:rPr>
        <w:t xml:space="preserve"> שאין כתוב בשטר שכתב לה כל נכסיו אלא לשון ממשלה</w:t>
      </w:r>
      <w:r w:rsidR="00B0443A">
        <w:rPr>
          <w:rFonts w:cs="Arial" w:hint="cs"/>
          <w:rtl/>
        </w:rPr>
        <w:t>,</w:t>
      </w:r>
      <w:r w:rsidRPr="002A558E">
        <w:rPr>
          <w:rFonts w:cs="Arial"/>
          <w:rtl/>
        </w:rPr>
        <w:t xml:space="preserve"> וזה אינו לשון מתנה אלא לשון אפטרופוסות</w:t>
      </w:r>
      <w:r w:rsidR="00B0443A">
        <w:rPr>
          <w:rFonts w:cs="Arial" w:hint="cs"/>
          <w:rtl/>
        </w:rPr>
        <w:t>...</w:t>
      </w:r>
      <w:r w:rsidR="00182741" w:rsidRPr="00182741">
        <w:rPr>
          <w:rFonts w:asciiTheme="minorBidi" w:hAnsiTheme="minorBidi"/>
          <w:color w:val="E36C0A" w:themeColor="accent6" w:themeShade="BF"/>
          <w:rtl/>
        </w:rPr>
        <w:t xml:space="preserve"> </w:t>
      </w:r>
      <w:r w:rsidR="00182741" w:rsidRPr="00351B7D">
        <w:rPr>
          <w:rFonts w:asciiTheme="minorBidi" w:hAnsiTheme="minorBidi"/>
          <w:color w:val="E36C0A" w:themeColor="accent6" w:themeShade="BF"/>
          <w:rtl/>
        </w:rPr>
        <w:t>(וכ"</w:t>
      </w:r>
      <w:r w:rsidR="00182741">
        <w:rPr>
          <w:rFonts w:asciiTheme="minorBidi" w:hAnsiTheme="minorBidi" w:hint="cs"/>
          <w:color w:val="E36C0A" w:themeColor="accent6" w:themeShade="BF"/>
          <w:rtl/>
        </w:rPr>
        <w:t>פ</w:t>
      </w:r>
      <w:r w:rsidR="00182741" w:rsidRPr="00351B7D">
        <w:rPr>
          <w:rFonts w:asciiTheme="minorBidi" w:hAnsiTheme="minorBidi"/>
          <w:color w:val="E36C0A" w:themeColor="accent6" w:themeShade="BF"/>
          <w:rtl/>
        </w:rPr>
        <w:t xml:space="preserve"> בשו"ע)</w:t>
      </w:r>
    </w:p>
    <w:p w14:paraId="4E2C72FE"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A4451DE" w14:textId="1165C446" w:rsidR="00392DBB" w:rsidRDefault="00392DBB" w:rsidP="00392DBB">
      <w:pPr>
        <w:rPr>
          <w:rFonts w:cs="Arial"/>
          <w:rtl/>
        </w:rPr>
      </w:pPr>
      <w:r>
        <w:rPr>
          <w:rFonts w:cs="Arial"/>
          <w:rtl/>
        </w:rPr>
        <w:t xml:space="preserve">אם אמר: אשתי תמשול בכל הנכסים, אינו לשון מתנה אלא לשון אפוטרופוס. </w:t>
      </w:r>
      <w:r w:rsidR="00C037AD" w:rsidRPr="00C037AD">
        <w:rPr>
          <w:rFonts w:cs="Arial" w:hint="cs"/>
          <w:sz w:val="18"/>
          <w:szCs w:val="18"/>
          <w:rtl/>
        </w:rPr>
        <w:t xml:space="preserve">[הגה] </w:t>
      </w:r>
      <w:r w:rsidRPr="00C037AD">
        <w:rPr>
          <w:rFonts w:cs="Arial"/>
          <w:sz w:val="18"/>
          <w:szCs w:val="18"/>
          <w:rtl/>
        </w:rPr>
        <w:t>מי שכתב נכסיו לאשתו ואחריה ליורשיו, הוי מתנה ולא אפוטרופסות (הג</w:t>
      </w:r>
      <w:r w:rsidR="00C037AD">
        <w:rPr>
          <w:rFonts w:cs="Arial" w:hint="cs"/>
          <w:sz w:val="18"/>
          <w:szCs w:val="18"/>
          <w:rtl/>
        </w:rPr>
        <w:t>מ"ר</w:t>
      </w:r>
      <w:r w:rsidR="00BB44DE">
        <w:rPr>
          <w:rFonts w:cs="Arial" w:hint="cs"/>
          <w:sz w:val="18"/>
          <w:szCs w:val="18"/>
          <w:rtl/>
        </w:rPr>
        <w:t xml:space="preserve"> [ב"ב סי' תרסו]</w:t>
      </w:r>
      <w:r w:rsidRPr="00C037AD">
        <w:rPr>
          <w:rFonts w:cs="Arial"/>
          <w:sz w:val="18"/>
          <w:szCs w:val="18"/>
          <w:rtl/>
        </w:rPr>
        <w:t>).</w:t>
      </w:r>
      <w:r>
        <w:rPr>
          <w:rFonts w:cs="Arial"/>
          <w:rtl/>
        </w:rPr>
        <w:t xml:space="preserve"> </w:t>
      </w:r>
    </w:p>
    <w:p w14:paraId="1A3B27B8" w14:textId="77777777" w:rsidR="00C037AD" w:rsidRDefault="00C037AD" w:rsidP="00392DBB">
      <w:pPr>
        <w:rPr>
          <w:rtl/>
        </w:rPr>
      </w:pPr>
    </w:p>
    <w:p w14:paraId="4A057216" w14:textId="3EE38FE2" w:rsidR="00392DBB" w:rsidRDefault="00392DBB" w:rsidP="000F64D0">
      <w:pPr>
        <w:pStyle w:val="2"/>
        <w:rPr>
          <w:rtl/>
        </w:rPr>
      </w:pPr>
      <w:r>
        <w:rPr>
          <w:rtl/>
        </w:rPr>
        <w:lastRenderedPageBreak/>
        <w:t>סעיף י</w:t>
      </w:r>
      <w:r w:rsidR="00C037AD">
        <w:rPr>
          <w:rFonts w:hint="cs"/>
          <w:rtl/>
        </w:rPr>
        <w:t>:</w:t>
      </w:r>
      <w:r w:rsidR="00656670">
        <w:rPr>
          <w:rFonts w:hint="cs"/>
          <w:rtl/>
        </w:rPr>
        <w:t xml:space="preserve"> </w:t>
      </w:r>
      <w:r w:rsidR="00775539">
        <w:rPr>
          <w:rFonts w:hint="cs"/>
          <w:rtl/>
        </w:rPr>
        <w:t xml:space="preserve">יש לו שלש בנות ואשה אחת, ונתן </w:t>
      </w:r>
      <w:r w:rsidR="00656670">
        <w:rPr>
          <w:rFonts w:hint="cs"/>
          <w:rtl/>
        </w:rPr>
        <w:t>חמשים זהובים לשתי בנות ואמר שהשאר לאשתו.</w:t>
      </w:r>
      <w:r w:rsidR="00C037AD">
        <w:rPr>
          <w:rFonts w:hint="cs"/>
          <w:rtl/>
        </w:rPr>
        <w:t xml:space="preserve"> </w:t>
      </w:r>
    </w:p>
    <w:p w14:paraId="3B13A0D3" w14:textId="34FE0161" w:rsidR="00656670" w:rsidRPr="00656670" w:rsidRDefault="00656670" w:rsidP="00656670">
      <w:pPr>
        <w:rPr>
          <w:u w:val="single"/>
          <w:rtl/>
        </w:rPr>
      </w:pPr>
      <w:r w:rsidRPr="00656670">
        <w:rPr>
          <w:rFonts w:hint="cs"/>
          <w:u w:val="single"/>
          <w:rtl/>
        </w:rPr>
        <w:t>יש לו שלש בנות ואשה אחת, ונתן חמשים זהובים לשתי בנות ואמר שהשאר לאשתו:</w:t>
      </w:r>
    </w:p>
    <w:p w14:paraId="1E6F7E88" w14:textId="34EDD155" w:rsidR="00BD2A12" w:rsidRPr="00BD2A12" w:rsidRDefault="002A558E" w:rsidP="002A558E">
      <w:pPr>
        <w:pStyle w:val="ab"/>
        <w:numPr>
          <w:ilvl w:val="0"/>
          <w:numId w:val="91"/>
        </w:numPr>
        <w:rPr>
          <w:rtl/>
        </w:rPr>
      </w:pPr>
      <w:r w:rsidRPr="002A558E">
        <w:rPr>
          <w:rFonts w:cs="Arial" w:hint="cs"/>
          <w:rtl/>
        </w:rPr>
        <w:t>רב</w:t>
      </w:r>
      <w:r w:rsidR="00BD2A12" w:rsidRPr="002A558E">
        <w:rPr>
          <w:rFonts w:cs="Arial"/>
          <w:rtl/>
        </w:rPr>
        <w:t xml:space="preserve"> האי</w:t>
      </w:r>
      <w:r w:rsidRPr="002A558E">
        <w:rPr>
          <w:rFonts w:cs="Arial" w:hint="cs"/>
          <w:sz w:val="16"/>
          <w:szCs w:val="16"/>
          <w:rtl/>
        </w:rPr>
        <w:t xml:space="preserve"> (בתשובות הגאונים, כ"כ הב"י בשמו)</w:t>
      </w:r>
      <w:r w:rsidRPr="002A558E">
        <w:rPr>
          <w:rFonts w:cs="Arial" w:hint="cs"/>
          <w:rtl/>
        </w:rPr>
        <w:t>-</w:t>
      </w:r>
      <w:r w:rsidR="00BD2A12" w:rsidRPr="002A558E">
        <w:rPr>
          <w:rFonts w:cs="Arial"/>
          <w:rtl/>
        </w:rPr>
        <w:t xml:space="preserve"> שכיב מרע שאמר תטול פלונית בתי חמשים זהובים</w:t>
      </w:r>
      <w:r w:rsidR="00EC0B28">
        <w:rPr>
          <w:rFonts w:cs="Arial" w:hint="cs"/>
          <w:rtl/>
        </w:rPr>
        <w:t>,</w:t>
      </w:r>
      <w:r w:rsidR="00BD2A12" w:rsidRPr="002A558E">
        <w:rPr>
          <w:rFonts w:cs="Arial"/>
          <w:rtl/>
        </w:rPr>
        <w:t xml:space="preserve"> ופלונית בתי חמשים זהובים</w:t>
      </w:r>
      <w:r w:rsidR="00EC0B28">
        <w:rPr>
          <w:rFonts w:cs="Arial" w:hint="cs"/>
          <w:rtl/>
        </w:rPr>
        <w:t>,</w:t>
      </w:r>
      <w:r w:rsidR="00BD2A12" w:rsidRPr="002A558E">
        <w:rPr>
          <w:rFonts w:cs="Arial"/>
          <w:rtl/>
        </w:rPr>
        <w:t xml:space="preserve"> והיו לו ג' בנות ואשה אחת</w:t>
      </w:r>
      <w:r w:rsidR="00EC0B28">
        <w:rPr>
          <w:rFonts w:cs="Arial" w:hint="cs"/>
          <w:rtl/>
        </w:rPr>
        <w:t>,</w:t>
      </w:r>
      <w:r w:rsidR="00BD2A12" w:rsidRPr="002A558E">
        <w:rPr>
          <w:rFonts w:cs="Arial"/>
          <w:rtl/>
        </w:rPr>
        <w:t xml:space="preserve"> והבת הגדולה נשואה</w:t>
      </w:r>
      <w:r w:rsidR="000035F3">
        <w:rPr>
          <w:rFonts w:cs="Arial" w:hint="cs"/>
          <w:rtl/>
        </w:rPr>
        <w:t>.</w:t>
      </w:r>
      <w:r w:rsidR="00BD2A12" w:rsidRPr="002A558E">
        <w:rPr>
          <w:rFonts w:cs="Arial"/>
          <w:rtl/>
        </w:rPr>
        <w:t xml:space="preserve"> א"ל אחיו</w:t>
      </w:r>
      <w:r w:rsidR="000035F3">
        <w:rPr>
          <w:rFonts w:cs="Arial" w:hint="cs"/>
          <w:rtl/>
        </w:rPr>
        <w:t>:</w:t>
      </w:r>
      <w:r w:rsidR="00BD2A12" w:rsidRPr="002A558E">
        <w:rPr>
          <w:rFonts w:cs="Arial"/>
          <w:rtl/>
        </w:rPr>
        <w:t xml:space="preserve"> אשתך מה תתן לה</w:t>
      </w:r>
      <w:r w:rsidR="000035F3">
        <w:rPr>
          <w:rFonts w:cs="Arial" w:hint="cs"/>
          <w:rtl/>
        </w:rPr>
        <w:t>.</w:t>
      </w:r>
      <w:r w:rsidR="00BD2A12" w:rsidRPr="002A558E">
        <w:rPr>
          <w:rFonts w:cs="Arial"/>
          <w:rtl/>
        </w:rPr>
        <w:t xml:space="preserve"> א"ל</w:t>
      </w:r>
      <w:r w:rsidR="000035F3">
        <w:rPr>
          <w:rFonts w:cs="Arial" w:hint="cs"/>
          <w:rtl/>
        </w:rPr>
        <w:t>:</w:t>
      </w:r>
      <w:r w:rsidR="00BD2A12" w:rsidRPr="002A558E">
        <w:rPr>
          <w:rFonts w:cs="Arial"/>
          <w:rtl/>
        </w:rPr>
        <w:t xml:space="preserve"> השאר שלה. </w:t>
      </w:r>
      <w:r w:rsidR="002F2199">
        <w:rPr>
          <w:rFonts w:cs="Arial" w:hint="cs"/>
          <w:rtl/>
        </w:rPr>
        <w:t xml:space="preserve">       </w:t>
      </w:r>
      <w:r w:rsidR="00BD2A12" w:rsidRPr="002A558E">
        <w:rPr>
          <w:rFonts w:cs="Arial"/>
          <w:rtl/>
        </w:rPr>
        <w:t>תשובה</w:t>
      </w:r>
      <w:r w:rsidR="000035F3">
        <w:rPr>
          <w:rFonts w:cs="Arial" w:hint="cs"/>
          <w:rtl/>
        </w:rPr>
        <w:t>:</w:t>
      </w:r>
      <w:r w:rsidR="00BD2A12" w:rsidRPr="002A558E">
        <w:rPr>
          <w:rFonts w:cs="Arial"/>
          <w:rtl/>
        </w:rPr>
        <w:t xml:space="preserve"> דבריו קיימים וכל שאר נכסיו לאשתו</w:t>
      </w:r>
      <w:r w:rsidR="00CF5ECA">
        <w:rPr>
          <w:rFonts w:cs="Arial" w:hint="cs"/>
          <w:rtl/>
        </w:rPr>
        <w:t>,</w:t>
      </w:r>
      <w:r w:rsidR="00BD2A12" w:rsidRPr="002A558E">
        <w:rPr>
          <w:rFonts w:cs="Arial"/>
          <w:rtl/>
        </w:rPr>
        <w:t xml:space="preserve"> ולא אמרינן דלא עשאה אלא אפטרופא כיון שחילק לשתי בנותיו שהן יורשות חמשים חמשים ולא כתב לאשתו כל נכסיו</w:t>
      </w:r>
      <w:r w:rsidR="000035F3">
        <w:rPr>
          <w:rFonts w:cs="Arial" w:hint="cs"/>
          <w:rtl/>
        </w:rPr>
        <w:t>.</w:t>
      </w:r>
      <w:r w:rsidR="00BD2A12" w:rsidRPr="002A558E">
        <w:rPr>
          <w:rFonts w:cs="Arial"/>
          <w:rtl/>
        </w:rPr>
        <w:t xml:space="preserve"> בודאי אילו לאדם נכרי נתן עם אשתו מקצת נכסיו לא היתה אשתו אלא אפטרופא</w:t>
      </w:r>
      <w:r w:rsidR="00EA2656">
        <w:rPr>
          <w:rFonts w:cs="Arial" w:hint="cs"/>
          <w:rtl/>
        </w:rPr>
        <w:t>,</w:t>
      </w:r>
      <w:r w:rsidR="00BD2A12" w:rsidRPr="002A558E">
        <w:rPr>
          <w:rFonts w:cs="Arial"/>
          <w:rtl/>
        </w:rPr>
        <w:t xml:space="preserve"> ועכשיו שלבנותיו כתב ולא לאחרים איך נאמר כי אפטרופא עשאה על נכסיו והרי נתן לשתים מהן מה שחפץ</w:t>
      </w:r>
      <w:r w:rsidR="00BD2A12">
        <w:rPr>
          <w:rStyle w:val="a7"/>
          <w:rFonts w:cs="Arial"/>
          <w:rtl/>
        </w:rPr>
        <w:footnoteReference w:id="2339"/>
      </w:r>
      <w:r w:rsidR="00EA2656">
        <w:rPr>
          <w:rFonts w:cs="Arial" w:hint="cs"/>
          <w:rtl/>
        </w:rPr>
        <w:t>.</w:t>
      </w:r>
      <w:r w:rsidR="00BD2A12" w:rsidRPr="002A558E">
        <w:rPr>
          <w:rFonts w:cs="Arial"/>
          <w:rtl/>
        </w:rPr>
        <w:t xml:space="preserve"> וא"ת שהרי יש גדולה שלא נתן לה כלום</w:t>
      </w:r>
      <w:r w:rsidR="00775539">
        <w:rPr>
          <w:rFonts w:cs="Arial" w:hint="cs"/>
          <w:rtl/>
        </w:rPr>
        <w:t>,</w:t>
      </w:r>
      <w:r w:rsidR="00BD2A12" w:rsidRPr="002A558E">
        <w:rPr>
          <w:rFonts w:cs="Arial"/>
          <w:rtl/>
        </w:rPr>
        <w:t xml:space="preserve"> כיון שהעמיד ירושת התורה אפילו באחד מבניו </w:t>
      </w:r>
      <w:r w:rsidR="00775539">
        <w:rPr>
          <w:rFonts w:cs="Arial" w:hint="cs"/>
          <w:rtl/>
        </w:rPr>
        <w:t xml:space="preserve">- </w:t>
      </w:r>
      <w:r w:rsidR="00BD2A12" w:rsidRPr="002A558E">
        <w:rPr>
          <w:rFonts w:cs="Arial"/>
          <w:rtl/>
        </w:rPr>
        <w:t>הרי קמה</w:t>
      </w:r>
      <w:r w:rsidR="00775539">
        <w:rPr>
          <w:rFonts w:cs="Arial" w:hint="cs"/>
          <w:rtl/>
        </w:rPr>
        <w:t>,</w:t>
      </w:r>
      <w:r w:rsidR="00BD2A12" w:rsidRPr="002A558E">
        <w:rPr>
          <w:rFonts w:cs="Arial"/>
          <w:rtl/>
        </w:rPr>
        <w:t xml:space="preserve"> ואין צריך לפטור את שאר יורשיו</w:t>
      </w:r>
      <w:r w:rsidR="00775539">
        <w:rPr>
          <w:rFonts w:cs="Arial" w:hint="cs"/>
          <w:rtl/>
        </w:rPr>
        <w:t>,</w:t>
      </w:r>
      <w:r w:rsidR="00BD2A12" w:rsidRPr="002A558E">
        <w:rPr>
          <w:rFonts w:cs="Arial"/>
          <w:rtl/>
        </w:rPr>
        <w:t xml:space="preserve"> שהתורה נתנה רשות לאב להנחיל נכסיו לכל מי שירצה</w:t>
      </w:r>
      <w:r w:rsidRPr="002A558E">
        <w:rPr>
          <w:rFonts w:cs="Arial" w:hint="cs"/>
          <w:rtl/>
        </w:rPr>
        <w:t>.</w:t>
      </w:r>
      <w:r w:rsidR="00182741" w:rsidRPr="00182741">
        <w:rPr>
          <w:rFonts w:asciiTheme="minorBidi" w:hAnsiTheme="minorBidi"/>
          <w:color w:val="E36C0A" w:themeColor="accent6" w:themeShade="BF"/>
          <w:rtl/>
        </w:rPr>
        <w:t xml:space="preserve"> </w:t>
      </w:r>
      <w:r w:rsidR="00182741" w:rsidRPr="00351B7D">
        <w:rPr>
          <w:rFonts w:asciiTheme="minorBidi" w:hAnsiTheme="minorBidi"/>
          <w:color w:val="E36C0A" w:themeColor="accent6" w:themeShade="BF"/>
          <w:rtl/>
        </w:rPr>
        <w:t>(וכ"</w:t>
      </w:r>
      <w:r w:rsidR="00182741">
        <w:rPr>
          <w:rFonts w:asciiTheme="minorBidi" w:hAnsiTheme="minorBidi" w:hint="cs"/>
          <w:color w:val="E36C0A" w:themeColor="accent6" w:themeShade="BF"/>
          <w:rtl/>
        </w:rPr>
        <w:t>פ</w:t>
      </w:r>
      <w:r w:rsidR="00182741" w:rsidRPr="00351B7D">
        <w:rPr>
          <w:rFonts w:asciiTheme="minorBidi" w:hAnsiTheme="minorBidi"/>
          <w:color w:val="E36C0A" w:themeColor="accent6" w:themeShade="BF"/>
          <w:rtl/>
        </w:rPr>
        <w:t xml:space="preserve"> בשו"ע)</w:t>
      </w:r>
    </w:p>
    <w:p w14:paraId="4DF697EC"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F638E09" w14:textId="0C8C3990" w:rsidR="00392DBB" w:rsidRDefault="00392DBB" w:rsidP="00182741">
      <w:pPr>
        <w:rPr>
          <w:rFonts w:cs="Arial"/>
          <w:sz w:val="18"/>
          <w:szCs w:val="18"/>
          <w:rtl/>
        </w:rPr>
      </w:pPr>
      <w:r>
        <w:rPr>
          <w:rFonts w:cs="Arial"/>
          <w:rtl/>
        </w:rPr>
        <w:t>אם אמר: תטול בתי פלונית חמשים זהובים</w:t>
      </w:r>
      <w:r w:rsidR="00775539">
        <w:rPr>
          <w:rFonts w:cs="Arial" w:hint="cs"/>
          <w:rtl/>
        </w:rPr>
        <w:t>,</w:t>
      </w:r>
      <w:r>
        <w:rPr>
          <w:rFonts w:cs="Arial"/>
          <w:rtl/>
        </w:rPr>
        <w:t xml:space="preserve"> ופלונית בתי חמשים זהובים, והיו לו שלש בנות ואשה אחת, אמרו לו: ואשתך מה תהא עליה, אמר: השאר שלה, של אשתו הוי מתנה גמורה כיון שהעמיד ירושת התורה אפילו באחד מיורשיו. </w:t>
      </w:r>
      <w:r w:rsidR="00C037AD" w:rsidRPr="00C037AD">
        <w:rPr>
          <w:rFonts w:cs="Arial" w:hint="cs"/>
          <w:sz w:val="18"/>
          <w:szCs w:val="18"/>
          <w:rtl/>
        </w:rPr>
        <w:t xml:space="preserve">[הגה] </w:t>
      </w:r>
      <w:r w:rsidRPr="00C037AD">
        <w:rPr>
          <w:rFonts w:cs="Arial"/>
          <w:sz w:val="18"/>
          <w:szCs w:val="18"/>
          <w:rtl/>
        </w:rPr>
        <w:t>צוה לתת מנכסיו לצדקה הוי שיור</w:t>
      </w:r>
      <w:r w:rsidR="00182741">
        <w:rPr>
          <w:rFonts w:cs="Arial" w:hint="cs"/>
          <w:sz w:val="18"/>
          <w:szCs w:val="18"/>
          <w:rtl/>
        </w:rPr>
        <w:t xml:space="preserve"> (הגמ"ר [ב"ב סי' תרסו] בשם ריב"א),</w:t>
      </w:r>
      <w:r w:rsidRPr="00C037AD">
        <w:rPr>
          <w:rFonts w:cs="Arial"/>
          <w:sz w:val="18"/>
          <w:szCs w:val="18"/>
          <w:rtl/>
        </w:rPr>
        <w:t xml:space="preserve"> ויש חולקים (הג</w:t>
      </w:r>
      <w:r w:rsidR="002A558E">
        <w:rPr>
          <w:rFonts w:cs="Arial" w:hint="cs"/>
          <w:sz w:val="18"/>
          <w:szCs w:val="18"/>
          <w:rtl/>
        </w:rPr>
        <w:t>מ"ר</w:t>
      </w:r>
      <w:r w:rsidR="00182741">
        <w:rPr>
          <w:rFonts w:cs="Arial" w:hint="cs"/>
          <w:sz w:val="18"/>
          <w:szCs w:val="18"/>
          <w:rtl/>
        </w:rPr>
        <w:t xml:space="preserve"> בשם אחד הגדולים</w:t>
      </w:r>
      <w:r w:rsidRPr="00C037AD">
        <w:rPr>
          <w:rFonts w:cs="Arial"/>
          <w:sz w:val="18"/>
          <w:szCs w:val="18"/>
          <w:rtl/>
        </w:rPr>
        <w:t>).</w:t>
      </w:r>
    </w:p>
    <w:p w14:paraId="082F2216" w14:textId="0ED24B1E" w:rsidR="00427144" w:rsidRPr="00427144" w:rsidRDefault="00427144" w:rsidP="00392DBB">
      <w:pPr>
        <w:rPr>
          <w:rtl/>
        </w:rPr>
        <w:sectPr w:rsidR="00427144" w:rsidRPr="00427144" w:rsidSect="00A347B3">
          <w:headerReference w:type="default" r:id="rId51"/>
          <w:footnotePr>
            <w:numRestart w:val="eachSect"/>
          </w:footnotePr>
          <w:pgSz w:w="11906" w:h="16838"/>
          <w:pgMar w:top="720" w:right="1134" w:bottom="720" w:left="1134" w:header="0" w:footer="0" w:gutter="0"/>
          <w:cols w:space="720"/>
          <w:bidi/>
          <w:rtlGutter/>
          <w:docGrid w:linePitch="360"/>
        </w:sectPr>
      </w:pPr>
    </w:p>
    <w:p w14:paraId="133B684F" w14:textId="77777777" w:rsidR="00392DBB" w:rsidRDefault="00392DBB" w:rsidP="00392DBB">
      <w:pPr>
        <w:pStyle w:val="1"/>
        <w:rPr>
          <w:rtl/>
        </w:rPr>
      </w:pPr>
      <w:r>
        <w:rPr>
          <w:rFonts w:hint="cs"/>
          <w:rtl/>
        </w:rPr>
        <w:lastRenderedPageBreak/>
        <w:t>סימן קח:</w:t>
      </w:r>
      <w:r w:rsidRPr="00C12B74">
        <w:rPr>
          <w:rtl/>
        </w:rPr>
        <w:t xml:space="preserve"> </w:t>
      </w:r>
      <w:r>
        <w:rPr>
          <w:rFonts w:cs="Arial"/>
          <w:rtl/>
        </w:rPr>
        <w:t xml:space="preserve">דין שכיב מרע שאמר: תטול אשתי כאחד מן הבנים, ובו ג' סעיפים. </w:t>
      </w:r>
    </w:p>
    <w:p w14:paraId="691D48A8" w14:textId="503AB999" w:rsidR="00392DBB" w:rsidRDefault="00392DBB" w:rsidP="000F64D0">
      <w:pPr>
        <w:pStyle w:val="2"/>
        <w:rPr>
          <w:rtl/>
        </w:rPr>
      </w:pPr>
      <w:r>
        <w:rPr>
          <w:rtl/>
        </w:rPr>
        <w:t>סעיף א</w:t>
      </w:r>
      <w:r w:rsidR="008037DD">
        <w:rPr>
          <w:rFonts w:hint="cs"/>
          <w:rtl/>
        </w:rPr>
        <w:t xml:space="preserve">: האומר תיטול אשתי </w:t>
      </w:r>
      <w:r w:rsidR="00FF280B">
        <w:rPr>
          <w:rFonts w:hint="cs"/>
          <w:rtl/>
        </w:rPr>
        <w:t>כאחד מן הבנים.</w:t>
      </w:r>
    </w:p>
    <w:p w14:paraId="3EA982D3" w14:textId="652354E2" w:rsidR="00463B02" w:rsidRDefault="00463B02" w:rsidP="00463B02">
      <w:pPr>
        <w:rPr>
          <w:rtl/>
        </w:rPr>
      </w:pPr>
      <w:r w:rsidRPr="00125CEF">
        <w:rPr>
          <w:rFonts w:cs="Arial" w:hint="cs"/>
          <w:b/>
          <w:bCs/>
          <w:rtl/>
        </w:rPr>
        <w:t xml:space="preserve">בבא בתרא </w:t>
      </w:r>
      <w:r w:rsidRPr="00125CEF">
        <w:rPr>
          <w:rFonts w:cs="Arial" w:hint="cs"/>
          <w:b/>
          <w:bCs/>
          <w:sz w:val="16"/>
          <w:szCs w:val="16"/>
          <w:rtl/>
        </w:rPr>
        <w:t>(פ' יש נוחלין)</w:t>
      </w:r>
      <w:r w:rsidRPr="00125CEF">
        <w:rPr>
          <w:rFonts w:cs="Arial" w:hint="cs"/>
          <w:b/>
          <w:bCs/>
          <w:rtl/>
        </w:rPr>
        <w:t xml:space="preserve"> ק</w:t>
      </w:r>
      <w:r>
        <w:rPr>
          <w:rFonts w:cs="Arial" w:hint="cs"/>
          <w:b/>
          <w:bCs/>
          <w:rtl/>
        </w:rPr>
        <w:t>כח</w:t>
      </w:r>
      <w:r w:rsidR="00970960">
        <w:rPr>
          <w:rStyle w:val="a7"/>
          <w:rFonts w:cs="Arial"/>
          <w:b/>
          <w:bCs/>
          <w:rtl/>
        </w:rPr>
        <w:footnoteReference w:id="2340"/>
      </w:r>
      <w:r w:rsidRPr="00125CEF">
        <w:rPr>
          <w:rFonts w:cs="Arial" w:hint="cs"/>
          <w:b/>
          <w:bCs/>
          <w:rtl/>
        </w:rPr>
        <w:t xml:space="preserve"> ע"</w:t>
      </w:r>
      <w:r>
        <w:rPr>
          <w:rFonts w:cs="Arial" w:hint="cs"/>
          <w:b/>
          <w:bCs/>
          <w:rtl/>
        </w:rPr>
        <w:t>ב</w:t>
      </w:r>
      <w:r w:rsidRPr="00125CEF">
        <w:rPr>
          <w:rFonts w:cs="Arial" w:hint="cs"/>
          <w:b/>
          <w:bCs/>
          <w:rtl/>
        </w:rPr>
        <w:t>:</w:t>
      </w:r>
      <w:r w:rsidRPr="00125CEF">
        <w:rPr>
          <w:rFonts w:cs="Arial" w:hint="cs"/>
          <w:rtl/>
        </w:rPr>
        <w:t xml:space="preserve"> </w:t>
      </w:r>
      <w:r w:rsidRPr="00463B02">
        <w:rPr>
          <w:rFonts w:cs="Arial"/>
          <w:u w:val="single"/>
          <w:rtl/>
        </w:rPr>
        <w:t>שלח ליה ר' אבא לרב יוסף בר חמא</w:t>
      </w:r>
      <w:r w:rsidRPr="00463B02">
        <w:rPr>
          <w:rFonts w:cs="Arial"/>
          <w:rtl/>
        </w:rPr>
        <w:t>: האומר תטול אשתי כאחד מן הבנים - נוטלת כאחד מן הבנים</w:t>
      </w:r>
      <w:r w:rsidR="00734D5F">
        <w:rPr>
          <w:rStyle w:val="a7"/>
          <w:rFonts w:cs="Arial"/>
          <w:rtl/>
        </w:rPr>
        <w:footnoteReference w:id="2341"/>
      </w:r>
      <w:r w:rsidRPr="00463B02">
        <w:rPr>
          <w:rFonts w:cs="Arial"/>
          <w:rtl/>
        </w:rPr>
        <w:t xml:space="preserve">. </w:t>
      </w:r>
      <w:r w:rsidRPr="00463B02">
        <w:rPr>
          <w:rFonts w:cs="Arial"/>
          <w:u w:val="single"/>
          <w:rtl/>
        </w:rPr>
        <w:t>אמר רבא</w:t>
      </w:r>
      <w:r w:rsidRPr="00463B02">
        <w:rPr>
          <w:rFonts w:cs="Arial"/>
          <w:rtl/>
        </w:rPr>
        <w:t>: ובנכסים של עכשיו</w:t>
      </w:r>
      <w:r w:rsidR="00BD74F1">
        <w:rPr>
          <w:rStyle w:val="a7"/>
          <w:rFonts w:cs="Arial"/>
          <w:rtl/>
        </w:rPr>
        <w:footnoteReference w:id="2342"/>
      </w:r>
      <w:r w:rsidRPr="00463B02">
        <w:rPr>
          <w:rFonts w:cs="Arial"/>
          <w:rtl/>
        </w:rPr>
        <w:t>, ובבנים הבאין לאחר מכא</w:t>
      </w:r>
      <w:r w:rsidR="009B4272">
        <w:rPr>
          <w:rFonts w:cs="Arial" w:hint="cs"/>
          <w:rtl/>
        </w:rPr>
        <w:t>ן</w:t>
      </w:r>
      <w:r w:rsidR="009B2514">
        <w:rPr>
          <w:rStyle w:val="a7"/>
          <w:rFonts w:cs="Arial"/>
          <w:rtl/>
        </w:rPr>
        <w:footnoteReference w:id="2343"/>
      </w:r>
      <w:r w:rsidRPr="00463B02">
        <w:rPr>
          <w:rFonts w:cs="Arial"/>
          <w:rtl/>
        </w:rPr>
        <w:t>.</w:t>
      </w:r>
    </w:p>
    <w:p w14:paraId="1BE1A7F6" w14:textId="30BC1DC9" w:rsidR="00463B02" w:rsidRPr="00463B02" w:rsidRDefault="00463B02" w:rsidP="00463B02">
      <w:pPr>
        <w:rPr>
          <w:u w:val="single"/>
          <w:rtl/>
        </w:rPr>
      </w:pPr>
      <w:r w:rsidRPr="00463B02">
        <w:rPr>
          <w:rFonts w:hint="cs"/>
          <w:u w:val="single"/>
          <w:rtl/>
        </w:rPr>
        <w:t>שכיב מרע שאמר "תיטול אשתי כאחד מן הבנים":</w:t>
      </w:r>
    </w:p>
    <w:p w14:paraId="66879995" w14:textId="7594ADC4" w:rsidR="001B3E25" w:rsidRPr="00550905" w:rsidRDefault="00077BAD" w:rsidP="00241944">
      <w:pPr>
        <w:pStyle w:val="ab"/>
        <w:numPr>
          <w:ilvl w:val="0"/>
          <w:numId w:val="91"/>
        </w:numPr>
      </w:pPr>
      <w:r>
        <w:rPr>
          <w:rFonts w:hint="cs"/>
          <w:rtl/>
        </w:rPr>
        <w:t xml:space="preserve">רמב"ם </w:t>
      </w:r>
      <w:r>
        <w:rPr>
          <w:rFonts w:hint="cs"/>
          <w:sz w:val="16"/>
          <w:szCs w:val="16"/>
          <w:rtl/>
        </w:rPr>
        <w:t>(פי"א מהל' זכיה ה"י-יא)</w:t>
      </w:r>
      <w:r>
        <w:rPr>
          <w:rFonts w:hint="cs"/>
          <w:rtl/>
        </w:rPr>
        <w:t xml:space="preserve"> ו</w:t>
      </w:r>
      <w:r w:rsidR="00241944">
        <w:rPr>
          <w:rFonts w:hint="cs"/>
          <w:rtl/>
        </w:rPr>
        <w:t xml:space="preserve">טור- </w:t>
      </w:r>
      <w:r w:rsidR="00241944" w:rsidRPr="00241944">
        <w:rPr>
          <w:rFonts w:cs="Arial"/>
          <w:rtl/>
        </w:rPr>
        <w:t>שכיב מרע שאמר תיטול אשתי כאחד מן הבנים</w:t>
      </w:r>
      <w:r w:rsidR="00927319">
        <w:rPr>
          <w:rFonts w:cs="Arial" w:hint="cs"/>
          <w:rtl/>
        </w:rPr>
        <w:t>,</w:t>
      </w:r>
      <w:r w:rsidR="00241944" w:rsidRPr="00241944">
        <w:rPr>
          <w:rFonts w:cs="Arial"/>
          <w:rtl/>
        </w:rPr>
        <w:t xml:space="preserve"> אינה חולקת אלא בנכסים שיש לו עתה</w:t>
      </w:r>
      <w:r w:rsidR="00927319">
        <w:rPr>
          <w:rFonts w:cs="Arial" w:hint="cs"/>
          <w:rtl/>
        </w:rPr>
        <w:t>,</w:t>
      </w:r>
      <w:r w:rsidR="00241944" w:rsidRPr="00241944">
        <w:rPr>
          <w:rFonts w:cs="Arial"/>
          <w:rtl/>
        </w:rPr>
        <w:t xml:space="preserve"> אבל אם קנה אח"כ נכסים אינה חולקת בהן</w:t>
      </w:r>
      <w:r w:rsidR="00927319">
        <w:rPr>
          <w:rFonts w:cs="Arial" w:hint="cs"/>
          <w:rtl/>
        </w:rPr>
        <w:t>.</w:t>
      </w:r>
      <w:r w:rsidR="00241944" w:rsidRPr="00241944">
        <w:rPr>
          <w:rFonts w:cs="Arial"/>
          <w:rtl/>
        </w:rPr>
        <w:t xml:space="preserve"> ורואין כמה בנים היו לו בשעת המיתה</w:t>
      </w:r>
      <w:r w:rsidR="00927319">
        <w:rPr>
          <w:rFonts w:cs="Arial" w:hint="cs"/>
          <w:rtl/>
        </w:rPr>
        <w:t>,</w:t>
      </w:r>
      <w:r w:rsidR="00241944" w:rsidRPr="00241944">
        <w:rPr>
          <w:rFonts w:cs="Arial"/>
          <w:rtl/>
        </w:rPr>
        <w:t xml:space="preserve"> נוטלת חלק כאחד מהן</w:t>
      </w:r>
      <w:r>
        <w:rPr>
          <w:rFonts w:cs="Arial" w:hint="cs"/>
          <w:sz w:val="16"/>
          <w:szCs w:val="16"/>
          <w:rtl/>
        </w:rPr>
        <w:t xml:space="preserve"> (ל' הטור)</w:t>
      </w:r>
      <w:r w:rsidR="00550905">
        <w:rPr>
          <w:rFonts w:cs="Arial" w:hint="cs"/>
          <w:rtl/>
        </w:rPr>
        <w:t>.</w:t>
      </w:r>
      <w:r w:rsidR="00241944" w:rsidRPr="00241944">
        <w:rPr>
          <w:rFonts w:cs="Arial"/>
          <w:rtl/>
        </w:rPr>
        <w:t xml:space="preserve"> </w:t>
      </w:r>
      <w:r w:rsidR="008037DD" w:rsidRPr="00351B7D">
        <w:rPr>
          <w:rFonts w:asciiTheme="minorBidi" w:hAnsiTheme="minorBidi"/>
          <w:color w:val="E36C0A" w:themeColor="accent6" w:themeShade="BF"/>
          <w:rtl/>
        </w:rPr>
        <w:t>(וכ"</w:t>
      </w:r>
      <w:r w:rsidR="008037DD">
        <w:rPr>
          <w:rFonts w:asciiTheme="minorBidi" w:hAnsiTheme="minorBidi" w:hint="cs"/>
          <w:color w:val="E36C0A" w:themeColor="accent6" w:themeShade="BF"/>
          <w:rtl/>
        </w:rPr>
        <w:t>פ</w:t>
      </w:r>
      <w:r w:rsidR="008037DD" w:rsidRPr="00351B7D">
        <w:rPr>
          <w:rFonts w:asciiTheme="minorBidi" w:hAnsiTheme="minorBidi"/>
          <w:color w:val="E36C0A" w:themeColor="accent6" w:themeShade="BF"/>
          <w:rtl/>
        </w:rPr>
        <w:t xml:space="preserve"> בשו"ע)</w:t>
      </w:r>
    </w:p>
    <w:p w14:paraId="64DCDA14" w14:textId="23DB20CD" w:rsidR="0026173A" w:rsidRPr="00DD5210" w:rsidRDefault="0026173A" w:rsidP="0026173A">
      <w:pPr>
        <w:ind w:left="360"/>
        <w:rPr>
          <w:u w:val="dotted"/>
        </w:rPr>
      </w:pPr>
      <w:r w:rsidRPr="00DD5210">
        <w:rPr>
          <w:rFonts w:hint="cs"/>
          <w:u w:val="dotted"/>
          <w:rtl/>
        </w:rPr>
        <w:t>ומה הדין אם</w:t>
      </w:r>
      <w:r w:rsidR="00DD5210" w:rsidRPr="00DD5210">
        <w:rPr>
          <w:rFonts w:hint="cs"/>
          <w:u w:val="dotted"/>
          <w:rtl/>
        </w:rPr>
        <w:t xml:space="preserve"> היו הבנים מרובין בשעת צוואה ונתמעטו בשעת מיתה:</w:t>
      </w:r>
    </w:p>
    <w:p w14:paraId="3E358CAC" w14:textId="6BC48A37" w:rsidR="00DD5210" w:rsidRPr="00DD5210" w:rsidRDefault="00DD5210" w:rsidP="00DD5210">
      <w:pPr>
        <w:pStyle w:val="ab"/>
        <w:numPr>
          <w:ilvl w:val="0"/>
          <w:numId w:val="91"/>
        </w:numPr>
      </w:pPr>
      <w:r>
        <w:rPr>
          <w:rFonts w:cs="Arial" w:hint="cs"/>
          <w:rtl/>
        </w:rPr>
        <w:t>רשב"ם</w:t>
      </w:r>
      <w:r>
        <w:rPr>
          <w:rStyle w:val="a7"/>
          <w:rFonts w:cs="Arial"/>
          <w:rtl/>
        </w:rPr>
        <w:footnoteReference w:id="2344"/>
      </w:r>
      <w:r>
        <w:rPr>
          <w:rFonts w:cs="Arial" w:hint="cs"/>
          <w:rtl/>
        </w:rPr>
        <w:t xml:space="preserve"> </w:t>
      </w:r>
      <w:r>
        <w:rPr>
          <w:rFonts w:cs="Arial" w:hint="cs"/>
          <w:sz w:val="16"/>
          <w:szCs w:val="16"/>
          <w:rtl/>
        </w:rPr>
        <w:t>(קכח: ובבנים הבאים)</w:t>
      </w:r>
      <w:r>
        <w:rPr>
          <w:rFonts w:cs="Arial" w:hint="cs"/>
          <w:rtl/>
        </w:rPr>
        <w:t xml:space="preserve"> רא"ש </w:t>
      </w:r>
      <w:r>
        <w:rPr>
          <w:rFonts w:cs="Arial" w:hint="cs"/>
          <w:sz w:val="16"/>
          <w:szCs w:val="16"/>
          <w:rtl/>
        </w:rPr>
        <w:t>(</w:t>
      </w:r>
      <w:r w:rsidR="00682BC7">
        <w:rPr>
          <w:rFonts w:cs="Arial" w:hint="cs"/>
          <w:sz w:val="16"/>
          <w:szCs w:val="16"/>
          <w:rtl/>
        </w:rPr>
        <w:t xml:space="preserve">פ"ח </w:t>
      </w:r>
      <w:r>
        <w:rPr>
          <w:rFonts w:cs="Arial" w:hint="cs"/>
          <w:sz w:val="16"/>
          <w:szCs w:val="16"/>
          <w:rtl/>
        </w:rPr>
        <w:t>סי' כה</w:t>
      </w:r>
      <w:r w:rsidR="00952C6A">
        <w:rPr>
          <w:rFonts w:cs="Arial" w:hint="cs"/>
          <w:sz w:val="16"/>
          <w:szCs w:val="16"/>
          <w:rtl/>
        </w:rPr>
        <w:t>, ובתשו' כלל מא סי' ג</w:t>
      </w:r>
      <w:r w:rsidR="00952C6A">
        <w:rPr>
          <w:rStyle w:val="a7"/>
          <w:rFonts w:cs="Arial"/>
          <w:sz w:val="16"/>
          <w:szCs w:val="16"/>
          <w:rtl/>
        </w:rPr>
        <w:footnoteReference w:id="2345"/>
      </w:r>
      <w:r>
        <w:rPr>
          <w:rFonts w:cs="Arial" w:hint="cs"/>
          <w:sz w:val="16"/>
          <w:szCs w:val="16"/>
          <w:rtl/>
        </w:rPr>
        <w:t>)</w:t>
      </w:r>
      <w:r>
        <w:rPr>
          <w:rFonts w:cs="Arial" w:hint="cs"/>
          <w:rtl/>
        </w:rPr>
        <w:t xml:space="preserve"> וטור- </w:t>
      </w:r>
      <w:r w:rsidRPr="00241944">
        <w:rPr>
          <w:rFonts w:cs="Arial"/>
          <w:rtl/>
        </w:rPr>
        <w:t>נוטלת חלק כאחד מהן</w:t>
      </w:r>
      <w:r>
        <w:rPr>
          <w:rFonts w:cs="Arial" w:hint="cs"/>
          <w:rtl/>
        </w:rPr>
        <w:t>,</w:t>
      </w:r>
      <w:r w:rsidRPr="00241944">
        <w:rPr>
          <w:rFonts w:cs="Arial"/>
          <w:rtl/>
        </w:rPr>
        <w:t xml:space="preserve"> בין אם היו מרובין ונתמעטו או מועטין ונתרבו</w:t>
      </w:r>
      <w:r>
        <w:rPr>
          <w:rFonts w:cs="Arial" w:hint="cs"/>
          <w:sz w:val="16"/>
          <w:szCs w:val="16"/>
          <w:rtl/>
        </w:rPr>
        <w:t xml:space="preserve"> (ל' הטור)</w:t>
      </w:r>
      <w:r>
        <w:rPr>
          <w:rFonts w:cs="Arial" w:hint="cs"/>
          <w:rtl/>
        </w:rPr>
        <w:t>.</w:t>
      </w:r>
      <w:r w:rsidR="008037DD" w:rsidRPr="00182741">
        <w:rPr>
          <w:rFonts w:asciiTheme="minorBidi" w:hAnsiTheme="minorBidi"/>
          <w:color w:val="E36C0A" w:themeColor="accent6" w:themeShade="BF"/>
          <w:rtl/>
        </w:rPr>
        <w:t xml:space="preserve"> </w:t>
      </w:r>
      <w:r w:rsidR="008037DD" w:rsidRPr="00351B7D">
        <w:rPr>
          <w:rFonts w:asciiTheme="minorBidi" w:hAnsiTheme="minorBidi"/>
          <w:color w:val="E36C0A" w:themeColor="accent6" w:themeShade="BF"/>
          <w:rtl/>
        </w:rPr>
        <w:t>(וכ"</w:t>
      </w:r>
      <w:r w:rsidR="008037DD">
        <w:rPr>
          <w:rFonts w:asciiTheme="minorBidi" w:hAnsiTheme="minorBidi" w:hint="cs"/>
          <w:color w:val="E36C0A" w:themeColor="accent6" w:themeShade="BF"/>
          <w:rtl/>
        </w:rPr>
        <w:t>ס</w:t>
      </w:r>
      <w:r w:rsidR="008037DD" w:rsidRPr="00351B7D">
        <w:rPr>
          <w:rFonts w:asciiTheme="minorBidi" w:hAnsiTheme="minorBidi"/>
          <w:color w:val="E36C0A" w:themeColor="accent6" w:themeShade="BF"/>
          <w:rtl/>
        </w:rPr>
        <w:t xml:space="preserve"> בשו"ע</w:t>
      </w:r>
      <w:r w:rsidR="008037DD">
        <w:rPr>
          <w:rFonts w:asciiTheme="minorBidi" w:hAnsiTheme="minorBidi" w:hint="cs"/>
          <w:color w:val="E36C0A" w:themeColor="accent6" w:themeShade="BF"/>
          <w:sz w:val="16"/>
          <w:szCs w:val="16"/>
          <w:rtl/>
        </w:rPr>
        <w:t xml:space="preserve"> </w:t>
      </w:r>
      <w:r w:rsidR="008037DD" w:rsidRPr="008037DD">
        <w:rPr>
          <w:rFonts w:asciiTheme="minorBidi" w:hAnsiTheme="minorBidi" w:hint="cs"/>
          <w:color w:val="000000" w:themeColor="text1"/>
          <w:sz w:val="16"/>
          <w:szCs w:val="16"/>
          <w:rtl/>
        </w:rPr>
        <w:t>[</w:t>
      </w:r>
      <w:r w:rsidR="008037DD">
        <w:rPr>
          <w:rFonts w:asciiTheme="minorBidi" w:hAnsiTheme="minorBidi" w:hint="cs"/>
          <w:color w:val="000000" w:themeColor="text1"/>
          <w:sz w:val="16"/>
          <w:szCs w:val="16"/>
          <w:rtl/>
        </w:rPr>
        <w:t>בסע' הבא</w:t>
      </w:r>
      <w:r w:rsidR="008037DD" w:rsidRPr="008037DD">
        <w:rPr>
          <w:rFonts w:asciiTheme="minorBidi" w:hAnsiTheme="minorBidi" w:hint="cs"/>
          <w:color w:val="000000" w:themeColor="text1"/>
          <w:sz w:val="16"/>
          <w:szCs w:val="16"/>
          <w:rtl/>
        </w:rPr>
        <w:t>]</w:t>
      </w:r>
      <w:r w:rsidR="008037DD" w:rsidRPr="00351B7D">
        <w:rPr>
          <w:rFonts w:asciiTheme="minorBidi" w:hAnsiTheme="minorBidi"/>
          <w:color w:val="E36C0A" w:themeColor="accent6" w:themeShade="BF"/>
          <w:rtl/>
        </w:rPr>
        <w:t>)</w:t>
      </w:r>
    </w:p>
    <w:p w14:paraId="71C9B487" w14:textId="57A5CB6F" w:rsidR="00534B17" w:rsidRDefault="00124663" w:rsidP="00952C6A">
      <w:pPr>
        <w:pStyle w:val="ab"/>
        <w:numPr>
          <w:ilvl w:val="0"/>
          <w:numId w:val="91"/>
        </w:numPr>
        <w:rPr>
          <w:rtl/>
        </w:rPr>
      </w:pPr>
      <w:r w:rsidRPr="00DD5210">
        <w:rPr>
          <w:rFonts w:cs="Arial"/>
          <w:rtl/>
        </w:rPr>
        <w:t xml:space="preserve">ראב"ד </w:t>
      </w:r>
      <w:r w:rsidR="002E657F" w:rsidRPr="002E657F">
        <w:rPr>
          <w:rFonts w:cs="Arial"/>
          <w:sz w:val="16"/>
          <w:szCs w:val="16"/>
          <w:rtl/>
        </w:rPr>
        <w:t>(</w:t>
      </w:r>
      <w:r w:rsidR="002E657F">
        <w:rPr>
          <w:rFonts w:cs="Arial" w:hint="cs"/>
          <w:sz w:val="16"/>
          <w:szCs w:val="16"/>
          <w:rtl/>
        </w:rPr>
        <w:t>כ"כ בשמו הר"ן [</w:t>
      </w:r>
      <w:r w:rsidR="002E657F" w:rsidRPr="002E657F">
        <w:rPr>
          <w:rFonts w:cs="Arial"/>
          <w:sz w:val="16"/>
          <w:szCs w:val="16"/>
          <w:rtl/>
        </w:rPr>
        <w:t>קכח: ד"ה ובבנים</w:t>
      </w:r>
      <w:r w:rsidR="002E657F">
        <w:rPr>
          <w:rFonts w:cs="Arial" w:hint="cs"/>
          <w:sz w:val="16"/>
          <w:szCs w:val="16"/>
          <w:rtl/>
        </w:rPr>
        <w:t>]</w:t>
      </w:r>
      <w:r w:rsidR="002E657F" w:rsidRPr="002E657F">
        <w:rPr>
          <w:rFonts w:cs="Arial"/>
          <w:sz w:val="16"/>
          <w:szCs w:val="16"/>
          <w:rtl/>
        </w:rPr>
        <w:t xml:space="preserve">) </w:t>
      </w:r>
      <w:r w:rsidRPr="00DD5210">
        <w:rPr>
          <w:rFonts w:cs="Arial"/>
          <w:rtl/>
        </w:rPr>
        <w:t>ורמב"ן</w:t>
      </w:r>
      <w:r w:rsidRPr="002E657F">
        <w:rPr>
          <w:rFonts w:cs="Arial"/>
          <w:sz w:val="16"/>
          <w:szCs w:val="16"/>
          <w:rtl/>
        </w:rPr>
        <w:t xml:space="preserve"> (קכח: ד"ה ובנכסים)</w:t>
      </w:r>
      <w:r w:rsidR="002E657F">
        <w:rPr>
          <w:rFonts w:cs="Arial" w:hint="cs"/>
          <w:rtl/>
        </w:rPr>
        <w:t xml:space="preserve">- </w:t>
      </w:r>
      <w:r w:rsidRPr="00DD5210">
        <w:rPr>
          <w:rFonts w:cs="Arial"/>
          <w:rtl/>
        </w:rPr>
        <w:t>איפשר שהדבר ספק אם על שעת מתנה כיון או על שעת חלוקה</w:t>
      </w:r>
      <w:r w:rsidR="007967E3">
        <w:rPr>
          <w:rFonts w:cs="Arial" w:hint="cs"/>
          <w:rtl/>
        </w:rPr>
        <w:t>,</w:t>
      </w:r>
      <w:r w:rsidRPr="00DD5210">
        <w:rPr>
          <w:rFonts w:cs="Arial"/>
          <w:rtl/>
        </w:rPr>
        <w:t xml:space="preserve"> ולפיכך בין במרובים ונתמעטו בין במועטין ונתרבו</w:t>
      </w:r>
      <w:r w:rsidR="00351C15">
        <w:rPr>
          <w:rFonts w:cs="Arial" w:hint="cs"/>
          <w:rtl/>
        </w:rPr>
        <w:t xml:space="preserve"> -</w:t>
      </w:r>
      <w:r w:rsidRPr="00DD5210">
        <w:rPr>
          <w:rFonts w:cs="Arial"/>
          <w:rtl/>
        </w:rPr>
        <w:t xml:space="preserve"> ידה על התחתונה</w:t>
      </w:r>
      <w:r w:rsidR="002E657F">
        <w:rPr>
          <w:rFonts w:cs="Arial" w:hint="cs"/>
          <w:sz w:val="16"/>
          <w:szCs w:val="16"/>
          <w:rtl/>
        </w:rPr>
        <w:t xml:space="preserve"> (ל' הר"ן בשמם)</w:t>
      </w:r>
      <w:r w:rsidRPr="00DD5210">
        <w:rPr>
          <w:rFonts w:cs="Arial"/>
          <w:rtl/>
        </w:rPr>
        <w:t xml:space="preserve">. </w:t>
      </w:r>
    </w:p>
    <w:p w14:paraId="2F3CD992" w14:textId="597C80BF" w:rsidR="000B24E8" w:rsidRDefault="000B24E8" w:rsidP="00534B17">
      <w:pPr>
        <w:rPr>
          <w:rFonts w:cs="Arial"/>
          <w:rtl/>
        </w:rPr>
      </w:pPr>
      <w:r w:rsidRPr="000B24E8">
        <w:rPr>
          <w:rFonts w:cs="Arial" w:hint="cs"/>
          <w:u w:val="single"/>
          <w:rtl/>
        </w:rPr>
        <w:t>כשיש מחלוקת בין היורשים לאשה אם היו נכסים אלו בשעת צוואה - על מי להביא ראיה:</w:t>
      </w:r>
      <w:r>
        <w:rPr>
          <w:rFonts w:cs="Arial" w:hint="cs"/>
          <w:rtl/>
        </w:rPr>
        <w:t xml:space="preserve"> </w:t>
      </w:r>
      <w:r w:rsidR="00124663" w:rsidRPr="000B24E8">
        <w:rPr>
          <w:rFonts w:cs="Arial"/>
          <w:sz w:val="16"/>
          <w:szCs w:val="16"/>
          <w:rtl/>
        </w:rPr>
        <w:t>(</w:t>
      </w:r>
      <w:r w:rsidR="00124663" w:rsidRPr="000B24E8">
        <w:rPr>
          <w:rFonts w:cs="Arial" w:hint="cs"/>
          <w:sz w:val="16"/>
          <w:szCs w:val="16"/>
          <w:rtl/>
        </w:rPr>
        <w:t xml:space="preserve">דרכ"מ אות </w:t>
      </w:r>
      <w:r w:rsidR="00124663" w:rsidRPr="000B24E8">
        <w:rPr>
          <w:rFonts w:cs="Arial"/>
          <w:sz w:val="16"/>
          <w:szCs w:val="16"/>
          <w:rtl/>
        </w:rPr>
        <w:t>ב)</w:t>
      </w:r>
    </w:p>
    <w:p w14:paraId="23F327FC" w14:textId="677231B9" w:rsidR="000B24E8" w:rsidRDefault="00D20FE9" w:rsidP="000B24E8">
      <w:pPr>
        <w:pStyle w:val="ab"/>
        <w:numPr>
          <w:ilvl w:val="0"/>
          <w:numId w:val="93"/>
        </w:numPr>
        <w:rPr>
          <w:rFonts w:cs="Arial"/>
        </w:rPr>
      </w:pPr>
      <w:r w:rsidRPr="000B24E8">
        <w:rPr>
          <w:rFonts w:cs="Arial"/>
          <w:rtl/>
        </w:rPr>
        <w:t xml:space="preserve">ריטב"א </w:t>
      </w:r>
      <w:r w:rsidRPr="00D20FE9">
        <w:rPr>
          <w:rFonts w:cs="Arial"/>
          <w:sz w:val="16"/>
          <w:szCs w:val="16"/>
          <w:rtl/>
        </w:rPr>
        <w:t>(ב"ב קכח: ד"ה אמר</w:t>
      </w:r>
      <w:r>
        <w:rPr>
          <w:rFonts w:cs="Arial" w:hint="cs"/>
          <w:sz w:val="16"/>
          <w:szCs w:val="16"/>
          <w:rtl/>
        </w:rPr>
        <w:t>, כ"כ בשמו הנמוק"י [</w:t>
      </w:r>
      <w:r w:rsidR="00A25BFB" w:rsidRPr="000B24E8">
        <w:rPr>
          <w:rFonts w:cs="Arial" w:hint="cs"/>
          <w:sz w:val="16"/>
          <w:szCs w:val="16"/>
          <w:rtl/>
        </w:rPr>
        <w:t>נז.</w:t>
      </w:r>
      <w:r>
        <w:rPr>
          <w:rFonts w:cs="Arial" w:hint="cs"/>
          <w:sz w:val="16"/>
          <w:szCs w:val="16"/>
          <w:rtl/>
        </w:rPr>
        <w:t>]</w:t>
      </w:r>
      <w:r w:rsidR="00124663" w:rsidRPr="000B24E8">
        <w:rPr>
          <w:rFonts w:cs="Arial"/>
          <w:sz w:val="16"/>
          <w:szCs w:val="16"/>
          <w:rtl/>
        </w:rPr>
        <w:t>)</w:t>
      </w:r>
      <w:r w:rsidR="000B24E8">
        <w:rPr>
          <w:rFonts w:cs="Arial" w:hint="cs"/>
          <w:rtl/>
        </w:rPr>
        <w:t>-</w:t>
      </w:r>
      <w:r w:rsidR="00124663" w:rsidRPr="000B24E8">
        <w:rPr>
          <w:rFonts w:cs="Arial"/>
          <w:rtl/>
        </w:rPr>
        <w:t xml:space="preserve"> אם יש מחלוקת בשעת מותו אם היו לו נכסים אלו בשעת הצוואה או לא </w:t>
      </w:r>
      <w:r>
        <w:rPr>
          <w:rFonts w:cs="Arial" w:hint="cs"/>
          <w:rtl/>
        </w:rPr>
        <w:t xml:space="preserve">- </w:t>
      </w:r>
      <w:r w:rsidR="00124663" w:rsidRPr="000B24E8">
        <w:rPr>
          <w:rFonts w:cs="Arial"/>
          <w:rtl/>
        </w:rPr>
        <w:t>על האשה להביא ראיה</w:t>
      </w:r>
      <w:r>
        <w:rPr>
          <w:rFonts w:cs="Arial" w:hint="cs"/>
          <w:rtl/>
        </w:rPr>
        <w:t>,</w:t>
      </w:r>
      <w:r w:rsidR="00124663" w:rsidRPr="000B24E8">
        <w:rPr>
          <w:rFonts w:cs="Arial"/>
          <w:rtl/>
        </w:rPr>
        <w:t xml:space="preserve"> כי הנכסים בחזקת יורשים הם</w:t>
      </w:r>
      <w:r>
        <w:rPr>
          <w:rFonts w:cs="Arial" w:hint="cs"/>
          <w:rtl/>
        </w:rPr>
        <w:t>,</w:t>
      </w:r>
      <w:r w:rsidR="00124663" w:rsidRPr="000B24E8">
        <w:rPr>
          <w:rFonts w:cs="Arial"/>
          <w:rtl/>
        </w:rPr>
        <w:t xml:space="preserve"> וכן כל כיוצא בזה</w:t>
      </w:r>
      <w:r w:rsidR="00A25BFB" w:rsidRPr="000B24E8">
        <w:rPr>
          <w:rFonts w:cs="Arial" w:hint="cs"/>
          <w:rtl/>
        </w:rPr>
        <w:t>.</w:t>
      </w:r>
      <w:r w:rsidR="00124663" w:rsidRPr="000B24E8">
        <w:rPr>
          <w:rFonts w:cs="Arial"/>
          <w:rtl/>
        </w:rPr>
        <w:t xml:space="preserve"> </w:t>
      </w:r>
      <w:r w:rsidR="00D0029A" w:rsidRPr="00D0029A">
        <w:rPr>
          <w:rFonts w:cs="Arial" w:hint="cs"/>
          <w:color w:val="00B0F0"/>
          <w:rtl/>
        </w:rPr>
        <w:t xml:space="preserve">(וכ"פ </w:t>
      </w:r>
      <w:r w:rsidR="00D0029A">
        <w:rPr>
          <w:rFonts w:cs="Arial" w:hint="cs"/>
          <w:color w:val="00B0F0"/>
          <w:rtl/>
        </w:rPr>
        <w:t>ה</w:t>
      </w:r>
      <w:r w:rsidR="00D0029A" w:rsidRPr="00D0029A">
        <w:rPr>
          <w:rFonts w:cs="Arial" w:hint="cs"/>
          <w:color w:val="00B0F0"/>
          <w:rtl/>
        </w:rPr>
        <w:t>רמ"א)</w:t>
      </w:r>
    </w:p>
    <w:p w14:paraId="23794A72"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DA4A78D" w14:textId="5F473259" w:rsidR="007F2FB4" w:rsidRDefault="00392DBB" w:rsidP="00392DBB">
      <w:pPr>
        <w:rPr>
          <w:rFonts w:cs="Arial"/>
          <w:rtl/>
        </w:rPr>
      </w:pPr>
      <w:r>
        <w:rPr>
          <w:rFonts w:cs="Arial"/>
          <w:rtl/>
        </w:rPr>
        <w:t xml:space="preserve">שכיב מרע שאמר </w:t>
      </w:r>
      <w:r w:rsidR="009B4272" w:rsidRPr="009B4272">
        <w:rPr>
          <w:rFonts w:cs="Arial" w:hint="cs"/>
          <w:sz w:val="18"/>
          <w:szCs w:val="18"/>
          <w:rtl/>
        </w:rPr>
        <w:t xml:space="preserve">[הגה] </w:t>
      </w:r>
      <w:r w:rsidRPr="009B4272">
        <w:rPr>
          <w:rFonts w:cs="Arial"/>
          <w:sz w:val="18"/>
          <w:szCs w:val="18"/>
          <w:rtl/>
        </w:rPr>
        <w:t>או בריא שקנו ממנו (רשב"ם)</w:t>
      </w:r>
      <w:r>
        <w:rPr>
          <w:rFonts w:cs="Arial"/>
          <w:rtl/>
        </w:rPr>
        <w:t xml:space="preserve"> תטול אשתי כאחד מן הבנים</w:t>
      </w:r>
      <w:r w:rsidR="00727F9F">
        <w:rPr>
          <w:rStyle w:val="a7"/>
          <w:rFonts w:cs="Arial"/>
          <w:rtl/>
        </w:rPr>
        <w:footnoteReference w:id="2346"/>
      </w:r>
      <w:r>
        <w:rPr>
          <w:rFonts w:cs="Arial"/>
          <w:rtl/>
        </w:rPr>
        <w:t>, נוטלת כאחד מבניו יתר על כתובתה. ואם נולדו לו בנים אחר הצואה, מצטרפים עם אלו שהיו בשעת הצואה ונוטלת חלק עם כלם. כיצד, היו לו שלשה בנים בשעת הצואה, ולאחר זמן נולדו לו שנים, נוטלת כאחד מחמשה שהוא שתות כל הממון</w:t>
      </w:r>
      <w:r w:rsidR="00D0029A">
        <w:rPr>
          <w:rFonts w:cs="Arial" w:hint="cs"/>
          <w:rtl/>
        </w:rPr>
        <w:t>.</w:t>
      </w:r>
      <w:r>
        <w:rPr>
          <w:rFonts w:cs="Arial"/>
          <w:rtl/>
        </w:rPr>
        <w:t xml:space="preserve"> ואינה נוחלת עמהן אלא בנכסים שהיו לו בשעת צוואה, אבל נכסים שבאו לו אחר זמן הצוואה, אין לה בהם חלק, שאין אדם מקנה דבר שלא בא לרשותו. </w:t>
      </w:r>
      <w:r w:rsidRPr="009B4272">
        <w:rPr>
          <w:rFonts w:cs="Arial"/>
          <w:sz w:val="18"/>
          <w:szCs w:val="18"/>
          <w:rtl/>
        </w:rPr>
        <w:t>הגה: היה ספק בנכסים אם היו בשעת הצואה או לא, על האשה להביא ראיה או לא תטול חלק בהם (ריטב"א).</w:t>
      </w:r>
    </w:p>
    <w:p w14:paraId="7F29C317" w14:textId="1AF60929" w:rsidR="00392DBB" w:rsidRDefault="00392DBB" w:rsidP="00392DBB">
      <w:pPr>
        <w:rPr>
          <w:rtl/>
        </w:rPr>
      </w:pPr>
    </w:p>
    <w:p w14:paraId="002E34BB" w14:textId="08B742CA" w:rsidR="00392DBB" w:rsidRDefault="00392DBB" w:rsidP="000F64D0">
      <w:pPr>
        <w:pStyle w:val="2"/>
        <w:rPr>
          <w:rtl/>
        </w:rPr>
      </w:pPr>
      <w:r>
        <w:rPr>
          <w:rtl/>
        </w:rPr>
        <w:lastRenderedPageBreak/>
        <w:t>סעיף ב</w:t>
      </w:r>
      <w:r w:rsidR="009B4272">
        <w:rPr>
          <w:rFonts w:hint="cs"/>
          <w:rtl/>
        </w:rPr>
        <w:t>:</w:t>
      </w:r>
      <w:r w:rsidR="008037DD">
        <w:rPr>
          <w:rFonts w:hint="cs"/>
          <w:rtl/>
        </w:rPr>
        <w:t xml:space="preserve"> היו הבנים מרובים ונתמעטו.</w:t>
      </w:r>
    </w:p>
    <w:p w14:paraId="7E08E0C7" w14:textId="046E010F" w:rsidR="009B4272" w:rsidRPr="009B4272" w:rsidRDefault="008037DD" w:rsidP="009B4272">
      <w:pPr>
        <w:rPr>
          <w:rtl/>
        </w:rPr>
      </w:pPr>
      <w:r>
        <w:rPr>
          <w:rFonts w:hint="cs"/>
          <w:rtl/>
        </w:rPr>
        <w:t>עיין במקורות בסעיף א.</w:t>
      </w:r>
    </w:p>
    <w:p w14:paraId="07A9A8A7"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2B7C36C" w14:textId="785B3EE9" w:rsidR="00392DBB" w:rsidRDefault="00392DBB" w:rsidP="00392DBB">
      <w:pPr>
        <w:rPr>
          <w:rtl/>
        </w:rPr>
      </w:pPr>
      <w:r>
        <w:rPr>
          <w:rFonts w:cs="Arial"/>
          <w:rtl/>
        </w:rPr>
        <w:t xml:space="preserve">אם היו הבנים מרובים, ונתמעטו, נוטלת חלק כאחד מהבנים שבשעת מיתה. ויש מי שנסתפק בזה. </w:t>
      </w:r>
    </w:p>
    <w:p w14:paraId="5F8972A5" w14:textId="77777777" w:rsidR="009B4272" w:rsidRDefault="009B4272" w:rsidP="00392DBB">
      <w:pPr>
        <w:rPr>
          <w:rtl/>
        </w:rPr>
      </w:pPr>
    </w:p>
    <w:p w14:paraId="2ED0C34B" w14:textId="489E1747" w:rsidR="00392DBB" w:rsidRDefault="00392DBB" w:rsidP="000F64D0">
      <w:pPr>
        <w:pStyle w:val="2"/>
        <w:rPr>
          <w:rtl/>
        </w:rPr>
      </w:pPr>
      <w:r>
        <w:rPr>
          <w:rtl/>
        </w:rPr>
        <w:t>סעיף ג</w:t>
      </w:r>
      <w:r w:rsidR="009B4272">
        <w:rPr>
          <w:rFonts w:hint="cs"/>
          <w:rtl/>
        </w:rPr>
        <w:t xml:space="preserve">: </w:t>
      </w:r>
      <w:r w:rsidR="009B4272" w:rsidRPr="00241944">
        <w:rPr>
          <w:rtl/>
        </w:rPr>
        <w:t>מתו כל הבנים</w:t>
      </w:r>
      <w:r w:rsidR="009B4272">
        <w:rPr>
          <w:rFonts w:hint="cs"/>
          <w:rtl/>
        </w:rPr>
        <w:t>.</w:t>
      </w:r>
    </w:p>
    <w:p w14:paraId="73EFDB54" w14:textId="3CDA2249" w:rsidR="009B4272" w:rsidRPr="00793DB8" w:rsidRDefault="009B4272" w:rsidP="009B4272">
      <w:pPr>
        <w:rPr>
          <w:u w:val="single"/>
          <w:rtl/>
        </w:rPr>
      </w:pPr>
      <w:r w:rsidRPr="00793DB8">
        <w:rPr>
          <w:rFonts w:cs="Arial"/>
          <w:u w:val="single"/>
          <w:rtl/>
        </w:rPr>
        <w:t>מתו כל הבנים</w:t>
      </w:r>
      <w:r w:rsidRPr="00793DB8">
        <w:rPr>
          <w:rFonts w:hint="cs"/>
          <w:u w:val="single"/>
          <w:rtl/>
        </w:rPr>
        <w:t>:</w:t>
      </w:r>
    </w:p>
    <w:p w14:paraId="54EC89A1" w14:textId="49793352" w:rsidR="001B3E25" w:rsidRPr="00241944" w:rsidRDefault="00682BC7" w:rsidP="001B3E25">
      <w:pPr>
        <w:pStyle w:val="ab"/>
        <w:numPr>
          <w:ilvl w:val="0"/>
          <w:numId w:val="91"/>
        </w:numPr>
        <w:rPr>
          <w:rtl/>
        </w:rPr>
      </w:pPr>
      <w:r>
        <w:rPr>
          <w:rFonts w:cs="Arial" w:hint="cs"/>
          <w:rtl/>
        </w:rPr>
        <w:t>רא"ש</w:t>
      </w:r>
      <w:r w:rsidR="00E90B83">
        <w:rPr>
          <w:rStyle w:val="a7"/>
          <w:rFonts w:cs="Arial"/>
          <w:rtl/>
        </w:rPr>
        <w:footnoteReference w:id="2347"/>
      </w:r>
      <w:r>
        <w:rPr>
          <w:rFonts w:cs="Arial" w:hint="cs"/>
          <w:rtl/>
        </w:rPr>
        <w:t xml:space="preserve"> </w:t>
      </w:r>
      <w:r>
        <w:rPr>
          <w:rFonts w:cs="Arial" w:hint="cs"/>
          <w:sz w:val="16"/>
          <w:szCs w:val="16"/>
          <w:rtl/>
        </w:rPr>
        <w:t>(פ"ח סי' כה)</w:t>
      </w:r>
      <w:r>
        <w:rPr>
          <w:rFonts w:cs="Arial" w:hint="cs"/>
          <w:rtl/>
        </w:rPr>
        <w:t xml:space="preserve"> וטור- </w:t>
      </w:r>
      <w:r w:rsidR="001B3E25" w:rsidRPr="00241944">
        <w:rPr>
          <w:rFonts w:cs="Arial"/>
          <w:rtl/>
        </w:rPr>
        <w:t>מתו כל הבנים</w:t>
      </w:r>
      <w:r w:rsidR="009B4272">
        <w:rPr>
          <w:rFonts w:cs="Arial" w:hint="cs"/>
          <w:rtl/>
        </w:rPr>
        <w:t>,</w:t>
      </w:r>
      <w:r w:rsidR="001B3E25" w:rsidRPr="00241944">
        <w:rPr>
          <w:rFonts w:cs="Arial"/>
          <w:rtl/>
        </w:rPr>
        <w:t xml:space="preserve"> רואין כמה היו בשעת הצוואה ונוטלת חלק הראוי לאחד מהן</w:t>
      </w:r>
      <w:r w:rsidR="009B4272">
        <w:rPr>
          <w:rFonts w:cs="Arial" w:hint="cs"/>
          <w:rtl/>
        </w:rPr>
        <w:t>,</w:t>
      </w:r>
      <w:r w:rsidR="001B3E25" w:rsidRPr="00241944">
        <w:rPr>
          <w:rFonts w:cs="Arial"/>
          <w:rtl/>
        </w:rPr>
        <w:t xml:space="preserve"> והשאר ליורשיו</w:t>
      </w:r>
      <w:r w:rsidR="00E90B83">
        <w:rPr>
          <w:rStyle w:val="a7"/>
          <w:rFonts w:cs="Arial"/>
          <w:rtl/>
        </w:rPr>
        <w:footnoteReference w:id="2348"/>
      </w:r>
      <w:r w:rsidR="00E90B83">
        <w:rPr>
          <w:rFonts w:cs="Arial" w:hint="cs"/>
          <w:sz w:val="16"/>
          <w:szCs w:val="16"/>
          <w:rtl/>
        </w:rPr>
        <w:t xml:space="preserve"> (ל' הטור)</w:t>
      </w:r>
      <w:r w:rsidR="009B4272">
        <w:rPr>
          <w:rFonts w:cs="Arial" w:hint="cs"/>
          <w:rtl/>
        </w:rPr>
        <w:t>.</w:t>
      </w:r>
      <w:r w:rsidR="00674D37" w:rsidRPr="00674D37">
        <w:rPr>
          <w:rFonts w:asciiTheme="minorBidi" w:hAnsiTheme="minorBidi"/>
          <w:color w:val="E36C0A" w:themeColor="accent6" w:themeShade="BF"/>
          <w:rtl/>
        </w:rPr>
        <w:t xml:space="preserve"> </w:t>
      </w:r>
      <w:r w:rsidR="00674D37" w:rsidRPr="00351B7D">
        <w:rPr>
          <w:rFonts w:asciiTheme="minorBidi" w:hAnsiTheme="minorBidi"/>
          <w:color w:val="E36C0A" w:themeColor="accent6" w:themeShade="BF"/>
          <w:rtl/>
        </w:rPr>
        <w:t>(וכ"</w:t>
      </w:r>
      <w:r w:rsidR="00674D37">
        <w:rPr>
          <w:rFonts w:asciiTheme="minorBidi" w:hAnsiTheme="minorBidi" w:hint="cs"/>
          <w:color w:val="E36C0A" w:themeColor="accent6" w:themeShade="BF"/>
          <w:rtl/>
        </w:rPr>
        <w:t>פ</w:t>
      </w:r>
      <w:r w:rsidR="00674D37" w:rsidRPr="00351B7D">
        <w:rPr>
          <w:rFonts w:asciiTheme="minorBidi" w:hAnsiTheme="minorBidi"/>
          <w:color w:val="E36C0A" w:themeColor="accent6" w:themeShade="BF"/>
          <w:rtl/>
        </w:rPr>
        <w:t xml:space="preserve"> בשו"ע)</w:t>
      </w:r>
    </w:p>
    <w:p w14:paraId="0A3DA34F" w14:textId="77777777" w:rsidR="0075311D" w:rsidRPr="00461439" w:rsidRDefault="0075311D" w:rsidP="0075311D">
      <w:pPr>
        <w:rPr>
          <w:rFonts w:cs="Arial"/>
        </w:rPr>
      </w:pPr>
      <w:r w:rsidRPr="00461439">
        <w:rPr>
          <w:rFonts w:cs="Arial" w:hint="cs"/>
          <w:u w:val="single"/>
          <w:rtl/>
        </w:rPr>
        <w:t>ה</w:t>
      </w:r>
      <w:r w:rsidRPr="00461439">
        <w:rPr>
          <w:rFonts w:cs="Arial"/>
          <w:u w:val="single"/>
          <w:rtl/>
        </w:rPr>
        <w:t>כ</w:t>
      </w:r>
      <w:r w:rsidRPr="00461439">
        <w:rPr>
          <w:rFonts w:cs="Arial" w:hint="cs"/>
          <w:u w:val="single"/>
          <w:rtl/>
        </w:rPr>
        <w:t>ו</w:t>
      </w:r>
      <w:r w:rsidRPr="00461439">
        <w:rPr>
          <w:rFonts w:cs="Arial"/>
          <w:u w:val="single"/>
          <w:rtl/>
        </w:rPr>
        <w:t>תב לבתו וחתנו ליטול כאחד מן הבנים</w:t>
      </w:r>
      <w:r w:rsidRPr="00461439">
        <w:rPr>
          <w:rFonts w:cs="Arial" w:hint="cs"/>
          <w:u w:val="single"/>
          <w:rtl/>
        </w:rPr>
        <w:t>, ושטר חצי זכר:</w:t>
      </w:r>
      <w:r>
        <w:rPr>
          <w:rFonts w:cs="Arial" w:hint="cs"/>
          <w:rtl/>
        </w:rPr>
        <w:t xml:space="preserve"> </w:t>
      </w:r>
      <w:r w:rsidRPr="000B24E8">
        <w:rPr>
          <w:rFonts w:cs="Arial"/>
          <w:sz w:val="16"/>
          <w:szCs w:val="16"/>
          <w:rtl/>
        </w:rPr>
        <w:t>(</w:t>
      </w:r>
      <w:r w:rsidRPr="000B24E8">
        <w:rPr>
          <w:rFonts w:cs="Arial" w:hint="cs"/>
          <w:sz w:val="16"/>
          <w:szCs w:val="16"/>
          <w:rtl/>
        </w:rPr>
        <w:t xml:space="preserve">דרכ"מ אות </w:t>
      </w:r>
      <w:r w:rsidRPr="000B24E8">
        <w:rPr>
          <w:rFonts w:cs="Arial"/>
          <w:sz w:val="16"/>
          <w:szCs w:val="16"/>
          <w:rtl/>
        </w:rPr>
        <w:t>ב)</w:t>
      </w:r>
    </w:p>
    <w:p w14:paraId="74876BC0" w14:textId="2D5E41BB" w:rsidR="0075311D" w:rsidRPr="0075311D" w:rsidRDefault="0075311D" w:rsidP="0075311D">
      <w:pPr>
        <w:pStyle w:val="ab"/>
        <w:numPr>
          <w:ilvl w:val="0"/>
          <w:numId w:val="93"/>
        </w:numPr>
        <w:rPr>
          <w:rFonts w:cs="Arial"/>
          <w:rtl/>
        </w:rPr>
      </w:pPr>
      <w:r>
        <w:rPr>
          <w:rFonts w:cs="Arial" w:hint="cs"/>
          <w:rtl/>
        </w:rPr>
        <w:t>דרכ"מ</w:t>
      </w:r>
      <w:r w:rsidRPr="00461439">
        <w:rPr>
          <w:rFonts w:cs="Arial" w:hint="cs"/>
          <w:sz w:val="16"/>
          <w:szCs w:val="16"/>
          <w:rtl/>
        </w:rPr>
        <w:t xml:space="preserve"> </w:t>
      </w:r>
      <w:r>
        <w:rPr>
          <w:rFonts w:cs="Arial" w:hint="cs"/>
          <w:sz w:val="16"/>
          <w:szCs w:val="16"/>
          <w:rtl/>
        </w:rPr>
        <w:t>(</w:t>
      </w:r>
      <w:r w:rsidRPr="00461439">
        <w:rPr>
          <w:rFonts w:cs="Arial" w:hint="cs"/>
          <w:sz w:val="16"/>
          <w:szCs w:val="16"/>
          <w:rtl/>
        </w:rPr>
        <w:t>אות ב)</w:t>
      </w:r>
      <w:r>
        <w:rPr>
          <w:rFonts w:cs="Arial" w:hint="cs"/>
          <w:rtl/>
        </w:rPr>
        <w:t xml:space="preserve">- </w:t>
      </w:r>
      <w:r w:rsidRPr="000B24E8">
        <w:rPr>
          <w:rFonts w:cs="Arial"/>
          <w:rtl/>
        </w:rPr>
        <w:t>כתב המרדכי פרק יש נוחלין ריש הפרק (סי' תקפד) דהוא הדין אם כתב לבתו וחתנו ליטול כאחד מן הבנים מהיום ולאחר מיתה</w:t>
      </w:r>
      <w:r>
        <w:rPr>
          <w:rFonts w:cs="Arial" w:hint="cs"/>
          <w:rtl/>
        </w:rPr>
        <w:t>,</w:t>
      </w:r>
      <w:r w:rsidRPr="000B24E8">
        <w:rPr>
          <w:rFonts w:cs="Arial"/>
          <w:rtl/>
        </w:rPr>
        <w:t xml:space="preserve"> פסק מוהר"ם (בשו"ת ד"פ סי' רמד וסי' תתרד וד"ק סי' ל) דאם נתרבו הנכסים לאחר המתנה דאין לחתן חלק בהן אלא במה שהיה לו בשעת המתנה</w:t>
      </w:r>
      <w:r>
        <w:rPr>
          <w:rFonts w:cs="Arial" w:hint="cs"/>
          <w:rtl/>
        </w:rPr>
        <w:t>,</w:t>
      </w:r>
      <w:r w:rsidRPr="000B24E8">
        <w:rPr>
          <w:rFonts w:cs="Arial"/>
          <w:rtl/>
        </w:rPr>
        <w:t xml:space="preserve"> דאין אדם מקנה דבר שלא בא לעולם</w:t>
      </w:r>
      <w:r>
        <w:rPr>
          <w:rFonts w:cs="Arial" w:hint="cs"/>
          <w:rtl/>
        </w:rPr>
        <w:t>,</w:t>
      </w:r>
      <w:r w:rsidRPr="000B24E8">
        <w:rPr>
          <w:rFonts w:cs="Arial"/>
          <w:rtl/>
        </w:rPr>
        <w:t xml:space="preserve"> וכן הוא שם (ע"ב) סוף הפרק (סי' תקצט)</w:t>
      </w:r>
      <w:r w:rsidR="00014165">
        <w:rPr>
          <w:rFonts w:cs="Arial" w:hint="cs"/>
          <w:rtl/>
        </w:rPr>
        <w:t>.</w:t>
      </w:r>
      <w:r w:rsidRPr="000B24E8">
        <w:rPr>
          <w:rFonts w:cs="Arial"/>
          <w:rtl/>
        </w:rPr>
        <w:t xml:space="preserve"> ואם נסתפק הדבר אם היו לו נכסים אלו בשעת המתנה </w:t>
      </w:r>
      <w:r>
        <w:rPr>
          <w:rFonts w:cs="Arial" w:hint="cs"/>
          <w:rtl/>
        </w:rPr>
        <w:t xml:space="preserve">- </w:t>
      </w:r>
      <w:r w:rsidRPr="000B24E8">
        <w:rPr>
          <w:rFonts w:cs="Arial"/>
          <w:rtl/>
        </w:rPr>
        <w:t>על המקבל להביא ראיה</w:t>
      </w:r>
      <w:r>
        <w:rPr>
          <w:rFonts w:cs="Arial" w:hint="cs"/>
          <w:rtl/>
        </w:rPr>
        <w:t>.</w:t>
      </w:r>
      <w:r w:rsidRPr="000B24E8">
        <w:rPr>
          <w:rFonts w:cs="Arial"/>
          <w:rtl/>
        </w:rPr>
        <w:t xml:space="preserve"> וכתב עוד דכל ימי חייו יש לנותן למכור הנכסים</w:t>
      </w:r>
      <w:r>
        <w:rPr>
          <w:rFonts w:cs="Arial" w:hint="cs"/>
          <w:rtl/>
        </w:rPr>
        <w:t>,</w:t>
      </w:r>
      <w:r w:rsidRPr="000B24E8">
        <w:rPr>
          <w:rFonts w:cs="Arial"/>
          <w:rtl/>
        </w:rPr>
        <w:t xml:space="preserve"> דאין המתנה מתחלת אלא לאחר מיתה</w:t>
      </w:r>
      <w:r w:rsidR="00E37ACF">
        <w:rPr>
          <w:rFonts w:cs="Arial" w:hint="cs"/>
          <w:rtl/>
        </w:rPr>
        <w:t>.</w:t>
      </w:r>
      <w:r w:rsidRPr="000B24E8">
        <w:rPr>
          <w:rFonts w:cs="Arial"/>
          <w:rtl/>
        </w:rPr>
        <w:t xml:space="preserve"> דהרי אמר שיטול כאחד מן הבנים</w:t>
      </w:r>
      <w:r w:rsidR="00E37ACF">
        <w:rPr>
          <w:rFonts w:cs="Arial" w:hint="cs"/>
          <w:rtl/>
        </w:rPr>
        <w:t>,</w:t>
      </w:r>
      <w:r w:rsidRPr="000B24E8">
        <w:rPr>
          <w:rFonts w:cs="Arial"/>
          <w:rtl/>
        </w:rPr>
        <w:t xml:space="preserve"> ואין הבנים נוטלין מחיים וע"ש. והאידנא נוהגין ליתן לחתנים שטר חצי זכר</w:t>
      </w:r>
      <w:r>
        <w:rPr>
          <w:rFonts w:cs="Arial" w:hint="cs"/>
          <w:rtl/>
        </w:rPr>
        <w:t>,</w:t>
      </w:r>
      <w:r w:rsidRPr="000B24E8">
        <w:rPr>
          <w:rFonts w:cs="Arial"/>
          <w:rtl/>
        </w:rPr>
        <w:t xml:space="preserve"> ומודה שחייב לחתנו סך כך וכך ולא יצטרכו היורשים לפרוע עד לאחר מיתה</w:t>
      </w:r>
      <w:r>
        <w:rPr>
          <w:rFonts w:cs="Arial" w:hint="cs"/>
          <w:rtl/>
        </w:rPr>
        <w:t>,</w:t>
      </w:r>
      <w:r w:rsidRPr="000B24E8">
        <w:rPr>
          <w:rFonts w:cs="Arial"/>
          <w:rtl/>
        </w:rPr>
        <w:t xml:space="preserve"> ואז לא יפטרו מן החוב אלא אם יתנו לו חלק ירושה כחצי חלק זכר</w:t>
      </w:r>
      <w:r>
        <w:rPr>
          <w:rFonts w:cs="Arial" w:hint="cs"/>
          <w:rtl/>
        </w:rPr>
        <w:t>,</w:t>
      </w:r>
      <w:r w:rsidRPr="000B24E8">
        <w:rPr>
          <w:rFonts w:cs="Arial"/>
          <w:rtl/>
        </w:rPr>
        <w:t xml:space="preserve"> ובשטר כזה נוהגין שנוטלין חצי חלק זכר בכל מה שימצאו לו בעת מותו אפילו שלא היו לו בשעת נתינה</w:t>
      </w:r>
      <w:r>
        <w:rPr>
          <w:rFonts w:cs="Arial" w:hint="cs"/>
          <w:rtl/>
        </w:rPr>
        <w:t>,</w:t>
      </w:r>
      <w:r w:rsidRPr="000B24E8">
        <w:rPr>
          <w:rFonts w:cs="Arial"/>
          <w:rtl/>
        </w:rPr>
        <w:t xml:space="preserve"> דהרי העיקר הוא שהודה עליו החוב</w:t>
      </w:r>
      <w:r w:rsidR="00E37ACF">
        <w:rPr>
          <w:rFonts w:cs="Arial" w:hint="cs"/>
          <w:rtl/>
        </w:rPr>
        <w:t>,</w:t>
      </w:r>
      <w:r w:rsidRPr="000B24E8">
        <w:rPr>
          <w:rFonts w:cs="Arial"/>
          <w:rtl/>
        </w:rPr>
        <w:t xml:space="preserve"> ואע</w:t>
      </w:r>
      <w:r>
        <w:rPr>
          <w:rFonts w:cs="Arial" w:hint="cs"/>
          <w:rtl/>
        </w:rPr>
        <w:t>"</w:t>
      </w:r>
      <w:r w:rsidRPr="000B24E8">
        <w:rPr>
          <w:rFonts w:cs="Arial"/>
          <w:rtl/>
        </w:rPr>
        <w:t>ג דאין אדם מקנה דבר שלא בא לעולם מכל מקום אם לא יתנו היורשין החצי חלק זכר יצטרכו לשלם לו החוב שהודה שחייב לו</w:t>
      </w:r>
      <w:r>
        <w:rPr>
          <w:rFonts w:cs="Arial" w:hint="cs"/>
          <w:rtl/>
        </w:rPr>
        <w:t>,</w:t>
      </w:r>
      <w:r w:rsidRPr="000B24E8">
        <w:rPr>
          <w:rFonts w:cs="Arial"/>
          <w:rtl/>
        </w:rPr>
        <w:t xml:space="preserve"> ולכן יצטרכו לקיים התנאים</w:t>
      </w:r>
      <w:r>
        <w:rPr>
          <w:rFonts w:cs="Arial" w:hint="cs"/>
          <w:rtl/>
        </w:rPr>
        <w:t>.</w:t>
      </w:r>
      <w:r w:rsidRPr="000B24E8">
        <w:rPr>
          <w:rFonts w:cs="Arial"/>
          <w:rtl/>
        </w:rPr>
        <w:t xml:space="preserve"> ועוד למדים מזה דהוא הדין אם התנה עליו שיתנו לו היורשין בראוי כבמוחזק או בשאר דברים שאין כח באב להתנות על בניו</w:t>
      </w:r>
      <w:r w:rsidR="00E37ACF">
        <w:rPr>
          <w:rFonts w:cs="Arial" w:hint="cs"/>
          <w:rtl/>
        </w:rPr>
        <w:t>,</w:t>
      </w:r>
      <w:r w:rsidRPr="000B24E8">
        <w:rPr>
          <w:rFonts w:cs="Arial"/>
          <w:rtl/>
        </w:rPr>
        <w:t xml:space="preserve"> מכל מקום צריכין בניו לקיים או לשלם לו חובו מידי דהוה אעיקר המתנה</w:t>
      </w:r>
      <w:r w:rsidR="00E37ACF">
        <w:rPr>
          <w:rFonts w:cs="Arial" w:hint="cs"/>
          <w:rtl/>
        </w:rPr>
        <w:t>.</w:t>
      </w:r>
      <w:r w:rsidRPr="000B24E8">
        <w:rPr>
          <w:rFonts w:cs="Arial"/>
          <w:rtl/>
        </w:rPr>
        <w:t xml:space="preserve"> דאע"ג דאין בכחו להקנות דבר שלא בא לעולם מכל מקום יכול להתנות עליהן</w:t>
      </w:r>
      <w:r>
        <w:rPr>
          <w:rFonts w:cs="Arial" w:hint="cs"/>
          <w:rtl/>
        </w:rPr>
        <w:t>,</w:t>
      </w:r>
      <w:r w:rsidRPr="000B24E8">
        <w:rPr>
          <w:rFonts w:cs="Arial"/>
          <w:rtl/>
        </w:rPr>
        <w:t xml:space="preserve"> והוא הדין בשאר דברים שאין בכחו להקנותן יכול להתנות עליהן, וכבר נפסק מעשה כזה על ידי והסכימו ע"י גדולי הדור</w:t>
      </w:r>
      <w:r>
        <w:rPr>
          <w:rStyle w:val="a7"/>
          <w:rFonts w:cs="Arial"/>
          <w:rtl/>
        </w:rPr>
        <w:footnoteReference w:id="2349"/>
      </w:r>
      <w:r w:rsidRPr="00461439">
        <w:rPr>
          <w:rFonts w:cs="Arial" w:hint="cs"/>
          <w:rtl/>
        </w:rPr>
        <w:t>.</w:t>
      </w:r>
      <w:r>
        <w:rPr>
          <w:rFonts w:cs="Arial" w:hint="cs"/>
          <w:color w:val="00B0F0"/>
          <w:rtl/>
        </w:rPr>
        <w:t xml:space="preserve"> </w:t>
      </w:r>
      <w:r w:rsidRPr="00D0029A">
        <w:rPr>
          <w:rFonts w:cs="Arial" w:hint="cs"/>
          <w:color w:val="00B0F0"/>
          <w:rtl/>
        </w:rPr>
        <w:t xml:space="preserve">(וכ"פ </w:t>
      </w:r>
      <w:r>
        <w:rPr>
          <w:rFonts w:cs="Arial" w:hint="cs"/>
          <w:color w:val="00B0F0"/>
          <w:rtl/>
        </w:rPr>
        <w:t>בהג"ה</w:t>
      </w:r>
      <w:r w:rsidRPr="00D0029A">
        <w:rPr>
          <w:rFonts w:cs="Arial" w:hint="cs"/>
          <w:color w:val="00B0F0"/>
          <w:rtl/>
        </w:rPr>
        <w:t>)</w:t>
      </w:r>
    </w:p>
    <w:p w14:paraId="19E0E043"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974FFD3" w14:textId="15B15E81" w:rsidR="00392DBB" w:rsidRDefault="00392DBB" w:rsidP="00392DBB">
      <w:pPr>
        <w:rPr>
          <w:rFonts w:cs="Arial"/>
          <w:rtl/>
        </w:rPr>
      </w:pPr>
      <w:r>
        <w:rPr>
          <w:rFonts w:cs="Arial"/>
          <w:rtl/>
        </w:rPr>
        <w:t xml:space="preserve">אם מתו כל הבנים, רואים כמה היו בשעת הצואה, ונוטלת חלק הראוי לאחד מהם, והשאר ליורשיו. </w:t>
      </w:r>
      <w:r w:rsidRPr="00793DB8">
        <w:rPr>
          <w:rFonts w:cs="Arial"/>
          <w:sz w:val="18"/>
          <w:szCs w:val="18"/>
          <w:rtl/>
        </w:rPr>
        <w:t>הגה: הכותב לבתו ולחתנו שיטלו חלק כאחד מבניו, הוי כאלו כתב כך לאשתו ואינו נוטל אלא בנכסים שהיו לו בשעת הכתיבה (מרדכי</w:t>
      </w:r>
      <w:r w:rsidR="0075311D">
        <w:rPr>
          <w:rFonts w:cs="Arial" w:hint="cs"/>
          <w:sz w:val="18"/>
          <w:szCs w:val="18"/>
          <w:rtl/>
        </w:rPr>
        <w:t>)</w:t>
      </w:r>
      <w:r w:rsidRPr="00793DB8">
        <w:rPr>
          <w:rFonts w:cs="Arial"/>
          <w:sz w:val="18"/>
          <w:szCs w:val="18"/>
          <w:rtl/>
        </w:rPr>
        <w:t>. ומה שנוהגין בשטר חצי זכר שכותבים עכשיו לבנות שנוטלין בכל אשר ימצא לו כמו הזכרים, משום דכותב להם דרך הודאה</w:t>
      </w:r>
      <w:r w:rsidR="00893925">
        <w:rPr>
          <w:rStyle w:val="a7"/>
          <w:rFonts w:cs="Arial"/>
          <w:sz w:val="18"/>
          <w:szCs w:val="18"/>
          <w:rtl/>
        </w:rPr>
        <w:footnoteReference w:id="2350"/>
      </w:r>
      <w:r w:rsidRPr="00793DB8">
        <w:rPr>
          <w:rFonts w:cs="Arial"/>
          <w:sz w:val="18"/>
          <w:szCs w:val="18"/>
          <w:rtl/>
        </w:rPr>
        <w:t xml:space="preserve"> שחייב סך מה, ולא יפטר אלא כשנותן להם </w:t>
      </w:r>
      <w:r w:rsidRPr="00793DB8">
        <w:rPr>
          <w:rFonts w:cs="Arial"/>
          <w:sz w:val="18"/>
          <w:szCs w:val="18"/>
          <w:rtl/>
        </w:rPr>
        <w:lastRenderedPageBreak/>
        <w:t>כמו הזכרים, ובדרך זה יכול להקנות אף מה שלא ברשותו, הן ראוי הן מוחזק (ד"ע). הנותן מתנה לאשתו או לבנותיו, אסור להערים אחר כך וליתן מנכסיו לבניו או לאשתו כדי להפקיע ממקבל מתנה מה שראוי לו (מהרי"ל).</w:t>
      </w:r>
    </w:p>
    <w:p w14:paraId="63083B86" w14:textId="478DE2BC" w:rsidR="007F2FB4" w:rsidRPr="007A3469" w:rsidRDefault="007F2FB4" w:rsidP="007F2FB4">
      <w:pPr>
        <w:rPr>
          <w:rtl/>
        </w:rPr>
        <w:sectPr w:rsidR="007F2FB4" w:rsidRPr="007A3469" w:rsidSect="00A347B3">
          <w:headerReference w:type="default" r:id="rId52"/>
          <w:footnotePr>
            <w:numRestart w:val="eachSect"/>
          </w:footnotePr>
          <w:pgSz w:w="11906" w:h="16838"/>
          <w:pgMar w:top="720" w:right="1134" w:bottom="720" w:left="1134" w:header="0" w:footer="0" w:gutter="0"/>
          <w:cols w:space="720"/>
          <w:bidi/>
          <w:rtlGutter/>
          <w:docGrid w:linePitch="360"/>
        </w:sectPr>
      </w:pPr>
    </w:p>
    <w:p w14:paraId="4DE06952" w14:textId="77777777" w:rsidR="00392DBB" w:rsidRDefault="00392DBB" w:rsidP="00392DBB">
      <w:pPr>
        <w:pStyle w:val="1"/>
        <w:rPr>
          <w:rtl/>
        </w:rPr>
      </w:pPr>
      <w:r>
        <w:rPr>
          <w:rFonts w:hint="cs"/>
          <w:rtl/>
        </w:rPr>
        <w:lastRenderedPageBreak/>
        <w:t>סימן קט:</w:t>
      </w:r>
      <w:r w:rsidRPr="00C12B74">
        <w:rPr>
          <w:rtl/>
        </w:rPr>
        <w:t xml:space="preserve"> </w:t>
      </w:r>
      <w:r>
        <w:rPr>
          <w:rFonts w:cs="Arial"/>
          <w:rtl/>
        </w:rPr>
        <w:t xml:space="preserve">שכיב מרע שאמר: תנו מאתים זהובים לאשתי בכתובתה, ובו ד' סעיפים. </w:t>
      </w:r>
    </w:p>
    <w:p w14:paraId="353544A8" w14:textId="70CB16B5" w:rsidR="00392DBB" w:rsidRDefault="00392DBB" w:rsidP="000F64D0">
      <w:pPr>
        <w:pStyle w:val="2"/>
        <w:rPr>
          <w:rtl/>
        </w:rPr>
      </w:pPr>
      <w:r>
        <w:rPr>
          <w:rtl/>
        </w:rPr>
        <w:t>סעיף א</w:t>
      </w:r>
      <w:r w:rsidR="004C07D1">
        <w:rPr>
          <w:rFonts w:hint="cs"/>
          <w:rtl/>
        </w:rPr>
        <w:t>:</w:t>
      </w:r>
      <w:r w:rsidR="004C07D1" w:rsidRPr="004C07D1">
        <w:rPr>
          <w:rtl/>
        </w:rPr>
        <w:t xml:space="preserve"> </w:t>
      </w:r>
      <w:r w:rsidR="004C07D1">
        <w:rPr>
          <w:rtl/>
        </w:rPr>
        <w:t xml:space="preserve">שכיב מרע שאמר </w:t>
      </w:r>
      <w:r w:rsidR="004C07D1">
        <w:rPr>
          <w:rFonts w:hint="cs"/>
          <w:rtl/>
        </w:rPr>
        <w:t>"</w:t>
      </w:r>
      <w:r w:rsidR="004C07D1">
        <w:rPr>
          <w:rtl/>
        </w:rPr>
        <w:t xml:space="preserve">תנו מאתים זהובים לאשתי </w:t>
      </w:r>
      <w:r w:rsidR="002924AA">
        <w:rPr>
          <w:rFonts w:hint="cs"/>
          <w:rtl/>
        </w:rPr>
        <w:t>בראוי לה/</w:t>
      </w:r>
      <w:r w:rsidR="004C07D1">
        <w:rPr>
          <w:rtl/>
        </w:rPr>
        <w:t>בכתובתה</w:t>
      </w:r>
      <w:r w:rsidR="004C07D1">
        <w:rPr>
          <w:rFonts w:hint="cs"/>
          <w:rtl/>
        </w:rPr>
        <w:t>".</w:t>
      </w:r>
    </w:p>
    <w:p w14:paraId="6C531724" w14:textId="1C3E13F0" w:rsidR="00674D37" w:rsidRDefault="00674D37" w:rsidP="00674D37">
      <w:pPr>
        <w:rPr>
          <w:rFonts w:cs="Arial"/>
          <w:rtl/>
        </w:rPr>
      </w:pPr>
      <w:r w:rsidRPr="00125CEF">
        <w:rPr>
          <w:rFonts w:cs="Arial" w:hint="cs"/>
          <w:b/>
          <w:bCs/>
          <w:rtl/>
        </w:rPr>
        <w:t xml:space="preserve">בבא בתרא </w:t>
      </w:r>
      <w:r w:rsidRPr="00125CEF">
        <w:rPr>
          <w:rFonts w:cs="Arial" w:hint="cs"/>
          <w:b/>
          <w:bCs/>
          <w:sz w:val="16"/>
          <w:szCs w:val="16"/>
          <w:rtl/>
        </w:rPr>
        <w:t>(פ' יש נוחלין)</w:t>
      </w:r>
      <w:r w:rsidRPr="00125CEF">
        <w:rPr>
          <w:rFonts w:cs="Arial" w:hint="cs"/>
          <w:b/>
          <w:bCs/>
          <w:rtl/>
        </w:rPr>
        <w:t xml:space="preserve"> ק</w:t>
      </w:r>
      <w:r>
        <w:rPr>
          <w:rFonts w:cs="Arial" w:hint="cs"/>
          <w:b/>
          <w:bCs/>
          <w:rtl/>
        </w:rPr>
        <w:t>לח</w:t>
      </w:r>
      <w:r w:rsidRPr="00125CEF">
        <w:rPr>
          <w:rFonts w:cs="Arial" w:hint="cs"/>
          <w:b/>
          <w:bCs/>
          <w:rtl/>
        </w:rPr>
        <w:t xml:space="preserve"> ע"</w:t>
      </w:r>
      <w:r>
        <w:rPr>
          <w:rFonts w:cs="Arial" w:hint="cs"/>
          <w:b/>
          <w:bCs/>
          <w:rtl/>
        </w:rPr>
        <w:t>א</w:t>
      </w:r>
      <w:r w:rsidRPr="00125CEF">
        <w:rPr>
          <w:rFonts w:cs="Arial" w:hint="cs"/>
          <w:b/>
          <w:bCs/>
          <w:rtl/>
        </w:rPr>
        <w:t>:</w:t>
      </w:r>
      <w:r w:rsidRPr="00674D37">
        <w:rPr>
          <w:rtl/>
        </w:rPr>
        <w:t xml:space="preserve"> </w:t>
      </w:r>
      <w:r w:rsidRPr="00674D37">
        <w:rPr>
          <w:rFonts w:cs="Arial"/>
          <w:rtl/>
        </w:rPr>
        <w:t>תנו רבנן:</w:t>
      </w:r>
      <w:r>
        <w:rPr>
          <w:rFonts w:cs="Arial" w:hint="cs"/>
          <w:rtl/>
        </w:rPr>
        <w:t>...</w:t>
      </w:r>
      <w:r w:rsidRPr="00674D37">
        <w:rPr>
          <w:rFonts w:cs="Arial"/>
          <w:rtl/>
        </w:rPr>
        <w:t xml:space="preserve"> ושכיב מרע שאמר תנו מאתים זוז לפלונית אשתי כראוי לה - נוטלתן ונוטלת את כתובתה</w:t>
      </w:r>
      <w:r w:rsidR="005A1A88">
        <w:rPr>
          <w:rStyle w:val="a7"/>
          <w:rFonts w:cs="Arial"/>
          <w:rtl/>
        </w:rPr>
        <w:footnoteReference w:id="2351"/>
      </w:r>
      <w:r w:rsidRPr="00674D37">
        <w:rPr>
          <w:rFonts w:cs="Arial"/>
          <w:rtl/>
        </w:rPr>
        <w:t xml:space="preserve">, אם אמר בכתובתה - </w:t>
      </w:r>
      <w:r>
        <w:rPr>
          <w:rFonts w:cs="Arial" w:hint="cs"/>
          <w:sz w:val="14"/>
          <w:szCs w:val="14"/>
          <w:rtl/>
        </w:rPr>
        <w:t xml:space="preserve">(קלח:) </w:t>
      </w:r>
      <w:r w:rsidRPr="00674D37">
        <w:rPr>
          <w:rFonts w:cs="Arial"/>
          <w:rtl/>
        </w:rPr>
        <w:t>ידה על העליונה, רצה נוטלתן, רצה נוטלת כתובתה</w:t>
      </w:r>
      <w:r>
        <w:rPr>
          <w:rFonts w:cs="Arial" w:hint="cs"/>
          <w:rtl/>
        </w:rPr>
        <w:t>.</w:t>
      </w:r>
    </w:p>
    <w:p w14:paraId="41A0726B" w14:textId="770763A9" w:rsidR="004C07D1" w:rsidRPr="004C07D1" w:rsidRDefault="004C07D1" w:rsidP="004C07D1">
      <w:pPr>
        <w:rPr>
          <w:u w:val="single"/>
          <w:rtl/>
        </w:rPr>
      </w:pPr>
      <w:r w:rsidRPr="004C07D1">
        <w:rPr>
          <w:rFonts w:cs="Arial"/>
          <w:u w:val="single"/>
          <w:rtl/>
        </w:rPr>
        <w:t xml:space="preserve">שכיב מרע שאמר </w:t>
      </w:r>
      <w:r>
        <w:rPr>
          <w:rFonts w:cs="Arial" w:hint="cs"/>
          <w:u w:val="single"/>
          <w:rtl/>
        </w:rPr>
        <w:t>"</w:t>
      </w:r>
      <w:r w:rsidRPr="004C07D1">
        <w:rPr>
          <w:rFonts w:cs="Arial"/>
          <w:u w:val="single"/>
          <w:rtl/>
        </w:rPr>
        <w:t xml:space="preserve">תנו מאתים זהובים לאשתי </w:t>
      </w:r>
      <w:r w:rsidR="002924AA">
        <w:rPr>
          <w:rFonts w:cs="Arial" w:hint="cs"/>
          <w:u w:val="single"/>
          <w:rtl/>
        </w:rPr>
        <w:t>בראוי לה</w:t>
      </w:r>
      <w:r>
        <w:rPr>
          <w:rFonts w:cs="Arial" w:hint="cs"/>
          <w:u w:val="single"/>
          <w:rtl/>
        </w:rPr>
        <w:t>"</w:t>
      </w:r>
      <w:r w:rsidRPr="004C07D1">
        <w:rPr>
          <w:rFonts w:hint="cs"/>
          <w:u w:val="single"/>
          <w:rtl/>
        </w:rPr>
        <w:t>:</w:t>
      </w:r>
    </w:p>
    <w:p w14:paraId="787DC5A0" w14:textId="6FAFD108" w:rsidR="00C4645B" w:rsidRDefault="001B3E25" w:rsidP="00C4645B">
      <w:pPr>
        <w:pStyle w:val="ab"/>
        <w:numPr>
          <w:ilvl w:val="0"/>
          <w:numId w:val="91"/>
        </w:numPr>
        <w:rPr>
          <w:rtl/>
        </w:rPr>
      </w:pPr>
      <w:r w:rsidRPr="001B3E25">
        <w:rPr>
          <w:rFonts w:cs="Arial" w:hint="cs"/>
          <w:rtl/>
        </w:rPr>
        <w:t xml:space="preserve">טור- </w:t>
      </w:r>
      <w:r w:rsidRPr="001B3E25">
        <w:rPr>
          <w:rFonts w:cs="Arial"/>
          <w:rtl/>
        </w:rPr>
        <w:t>שכיב מרע שאמר</w:t>
      </w:r>
      <w:r w:rsidR="00C4645B">
        <w:rPr>
          <w:rFonts w:cs="Arial" w:hint="cs"/>
          <w:rtl/>
        </w:rPr>
        <w:t>:</w:t>
      </w:r>
      <w:r w:rsidRPr="001B3E25">
        <w:rPr>
          <w:rFonts w:cs="Arial"/>
          <w:rtl/>
        </w:rPr>
        <w:t xml:space="preserve"> תנו ק"ק זוז לאשתי בראוי לה </w:t>
      </w:r>
      <w:r w:rsidR="004C07D1">
        <w:rPr>
          <w:rFonts w:cs="Arial" w:hint="cs"/>
          <w:rtl/>
        </w:rPr>
        <w:t xml:space="preserve">- </w:t>
      </w:r>
      <w:r w:rsidRPr="001B3E25">
        <w:rPr>
          <w:rFonts w:cs="Arial"/>
          <w:rtl/>
        </w:rPr>
        <w:t>נוטלתן לבד מכתובתה</w:t>
      </w:r>
      <w:r w:rsidR="004C07D1">
        <w:rPr>
          <w:rFonts w:cs="Arial" w:hint="cs"/>
          <w:rtl/>
        </w:rPr>
        <w:t>.</w:t>
      </w:r>
      <w:r w:rsidRPr="001B3E25">
        <w:rPr>
          <w:rFonts w:cs="Arial"/>
          <w:rtl/>
        </w:rPr>
        <w:t xml:space="preserve"> </w:t>
      </w:r>
      <w:r w:rsidR="00C4645B" w:rsidRPr="00351B7D">
        <w:rPr>
          <w:rFonts w:asciiTheme="minorBidi" w:hAnsiTheme="minorBidi"/>
          <w:color w:val="E36C0A" w:themeColor="accent6" w:themeShade="BF"/>
          <w:rtl/>
        </w:rPr>
        <w:t>(וכ"</w:t>
      </w:r>
      <w:r w:rsidR="00C4645B">
        <w:rPr>
          <w:rFonts w:asciiTheme="minorBidi" w:hAnsiTheme="minorBidi" w:hint="cs"/>
          <w:color w:val="E36C0A" w:themeColor="accent6" w:themeShade="BF"/>
          <w:rtl/>
        </w:rPr>
        <w:t>פ</w:t>
      </w:r>
      <w:r w:rsidR="00C4645B" w:rsidRPr="00351B7D">
        <w:rPr>
          <w:rFonts w:asciiTheme="minorBidi" w:hAnsiTheme="minorBidi"/>
          <w:color w:val="E36C0A" w:themeColor="accent6" w:themeShade="BF"/>
          <w:rtl/>
        </w:rPr>
        <w:t xml:space="preserve"> בשו"ע)</w:t>
      </w:r>
    </w:p>
    <w:p w14:paraId="78C72F78" w14:textId="712EC8A3" w:rsidR="00C4645B" w:rsidRPr="00C4645B" w:rsidRDefault="00C4645B" w:rsidP="00C4645B">
      <w:pPr>
        <w:rPr>
          <w:u w:val="single"/>
        </w:rPr>
      </w:pPr>
      <w:r w:rsidRPr="004C07D1">
        <w:rPr>
          <w:rFonts w:cs="Arial"/>
          <w:u w:val="single"/>
          <w:rtl/>
        </w:rPr>
        <w:t xml:space="preserve">שכיב מרע שאמר </w:t>
      </w:r>
      <w:r>
        <w:rPr>
          <w:rFonts w:cs="Arial" w:hint="cs"/>
          <w:u w:val="single"/>
          <w:rtl/>
        </w:rPr>
        <w:t>"</w:t>
      </w:r>
      <w:r w:rsidRPr="004C07D1">
        <w:rPr>
          <w:rFonts w:cs="Arial"/>
          <w:u w:val="single"/>
          <w:rtl/>
        </w:rPr>
        <w:t>תנו מאתים זהובים לאשתי בכתובתה</w:t>
      </w:r>
      <w:r>
        <w:rPr>
          <w:rFonts w:cs="Arial" w:hint="cs"/>
          <w:u w:val="single"/>
          <w:rtl/>
        </w:rPr>
        <w:t>"</w:t>
      </w:r>
      <w:r w:rsidRPr="004C07D1">
        <w:rPr>
          <w:rFonts w:hint="cs"/>
          <w:u w:val="single"/>
          <w:rtl/>
        </w:rPr>
        <w:t>:</w:t>
      </w:r>
    </w:p>
    <w:p w14:paraId="4112A002" w14:textId="71875409" w:rsidR="00A91D0A" w:rsidRPr="00A91D0A" w:rsidRDefault="00C4645B" w:rsidP="001B3E25">
      <w:pPr>
        <w:pStyle w:val="ab"/>
        <w:numPr>
          <w:ilvl w:val="0"/>
          <w:numId w:val="91"/>
        </w:numPr>
      </w:pPr>
      <w:r>
        <w:rPr>
          <w:rFonts w:cs="Arial" w:hint="cs"/>
          <w:rtl/>
        </w:rPr>
        <w:t xml:space="preserve">טור- </w:t>
      </w:r>
      <w:r w:rsidRPr="001B3E25">
        <w:rPr>
          <w:rFonts w:cs="Arial"/>
          <w:rtl/>
        </w:rPr>
        <w:t>שכיב מרע שאמר</w:t>
      </w:r>
      <w:r>
        <w:rPr>
          <w:rFonts w:cs="Arial" w:hint="cs"/>
          <w:rtl/>
        </w:rPr>
        <w:t>:...</w:t>
      </w:r>
      <w:r w:rsidRPr="001B3E25">
        <w:rPr>
          <w:rFonts w:cs="Arial"/>
          <w:rtl/>
        </w:rPr>
        <w:t xml:space="preserve"> </w:t>
      </w:r>
      <w:r w:rsidR="001B3E25" w:rsidRPr="001B3E25">
        <w:rPr>
          <w:rFonts w:cs="Arial"/>
          <w:rtl/>
        </w:rPr>
        <w:t>תטול ק"ק זוז בכתו</w:t>
      </w:r>
      <w:r w:rsidR="004C07D1">
        <w:rPr>
          <w:rFonts w:cs="Arial" w:hint="cs"/>
          <w:rtl/>
        </w:rPr>
        <w:t>ב</w:t>
      </w:r>
      <w:r w:rsidR="001B3E25" w:rsidRPr="001B3E25">
        <w:rPr>
          <w:rFonts w:cs="Arial"/>
          <w:rtl/>
        </w:rPr>
        <w:t xml:space="preserve">תה </w:t>
      </w:r>
      <w:r w:rsidR="004C07D1">
        <w:rPr>
          <w:rFonts w:cs="Arial" w:hint="cs"/>
          <w:rtl/>
        </w:rPr>
        <w:t xml:space="preserve">- </w:t>
      </w:r>
      <w:r w:rsidR="001B3E25" w:rsidRPr="001B3E25">
        <w:rPr>
          <w:rFonts w:cs="Arial"/>
          <w:rtl/>
        </w:rPr>
        <w:t>לא תטול שתיהן אלא ידה על העליונה</w:t>
      </w:r>
      <w:r w:rsidR="004C07D1">
        <w:rPr>
          <w:rFonts w:cs="Arial" w:hint="cs"/>
          <w:rtl/>
        </w:rPr>
        <w:t>,</w:t>
      </w:r>
      <w:r w:rsidR="001B3E25" w:rsidRPr="001B3E25">
        <w:rPr>
          <w:rFonts w:cs="Arial"/>
          <w:rtl/>
        </w:rPr>
        <w:t xml:space="preserve"> אם ק"ק זוז יותר </w:t>
      </w:r>
      <w:r w:rsidR="004C07D1">
        <w:rPr>
          <w:rFonts w:cs="Arial" w:hint="cs"/>
          <w:rtl/>
        </w:rPr>
        <w:t xml:space="preserve">- </w:t>
      </w:r>
      <w:r w:rsidR="001B3E25" w:rsidRPr="001B3E25">
        <w:rPr>
          <w:rFonts w:cs="Arial"/>
          <w:rtl/>
        </w:rPr>
        <w:t>נוטלתן</w:t>
      </w:r>
      <w:r w:rsidR="004C07D1">
        <w:rPr>
          <w:rFonts w:cs="Arial" w:hint="cs"/>
          <w:rtl/>
        </w:rPr>
        <w:t>,</w:t>
      </w:r>
      <w:r w:rsidR="001B3E25" w:rsidRPr="001B3E25">
        <w:rPr>
          <w:rFonts w:cs="Arial"/>
          <w:rtl/>
        </w:rPr>
        <w:t xml:space="preserve"> ואם כתובתה יותר </w:t>
      </w:r>
      <w:r w:rsidR="004C07D1">
        <w:rPr>
          <w:rFonts w:cs="Arial" w:hint="cs"/>
          <w:rtl/>
        </w:rPr>
        <w:t xml:space="preserve">- </w:t>
      </w:r>
      <w:r w:rsidR="001B3E25" w:rsidRPr="001B3E25">
        <w:rPr>
          <w:rFonts w:cs="Arial"/>
          <w:rtl/>
        </w:rPr>
        <w:t>נוטלתן</w:t>
      </w:r>
      <w:r w:rsidR="00A91D0A">
        <w:rPr>
          <w:rFonts w:cs="Arial" w:hint="cs"/>
          <w:rtl/>
        </w:rPr>
        <w:t>.</w:t>
      </w:r>
      <w:r w:rsidR="001B3E25" w:rsidRPr="001B3E25">
        <w:rPr>
          <w:rFonts w:cs="Arial"/>
          <w:rtl/>
        </w:rPr>
        <w:t xml:space="preserve"> </w:t>
      </w:r>
      <w:r w:rsidR="00674D37" w:rsidRPr="00351B7D">
        <w:rPr>
          <w:rFonts w:asciiTheme="minorBidi" w:hAnsiTheme="minorBidi"/>
          <w:color w:val="E36C0A" w:themeColor="accent6" w:themeShade="BF"/>
          <w:rtl/>
        </w:rPr>
        <w:t>(וכ"</w:t>
      </w:r>
      <w:r w:rsidR="00674D37">
        <w:rPr>
          <w:rFonts w:asciiTheme="minorBidi" w:hAnsiTheme="minorBidi" w:hint="cs"/>
          <w:color w:val="E36C0A" w:themeColor="accent6" w:themeShade="BF"/>
          <w:rtl/>
        </w:rPr>
        <w:t>פ</w:t>
      </w:r>
      <w:r w:rsidR="00674D37" w:rsidRPr="00351B7D">
        <w:rPr>
          <w:rFonts w:asciiTheme="minorBidi" w:hAnsiTheme="minorBidi"/>
          <w:color w:val="E36C0A" w:themeColor="accent6" w:themeShade="BF"/>
          <w:rtl/>
        </w:rPr>
        <w:t xml:space="preserve"> בשו"ע)</w:t>
      </w:r>
    </w:p>
    <w:p w14:paraId="1D6244E7" w14:textId="026B6AE7" w:rsidR="00C4645B" w:rsidRPr="00C4645B" w:rsidRDefault="00C4645B" w:rsidP="00C4645B">
      <w:pPr>
        <w:ind w:left="360"/>
        <w:rPr>
          <w:u w:val="dotted"/>
          <w:rtl/>
        </w:rPr>
      </w:pPr>
      <w:r w:rsidRPr="00C4645B">
        <w:rPr>
          <w:rFonts w:cs="Arial" w:hint="cs"/>
          <w:u w:val="dotted"/>
          <w:rtl/>
        </w:rPr>
        <w:t xml:space="preserve">ומה הדין אם אמר כן </w:t>
      </w:r>
      <w:r w:rsidRPr="00C4645B">
        <w:rPr>
          <w:rFonts w:hint="cs"/>
          <w:u w:val="dotted"/>
          <w:rtl/>
        </w:rPr>
        <w:t>בשעה שחילק נכסיו:</w:t>
      </w:r>
    </w:p>
    <w:p w14:paraId="5DFA10EE" w14:textId="7D78E0E7" w:rsidR="00C4645B" w:rsidRPr="00BA107F" w:rsidRDefault="005A1A88" w:rsidP="00C4645B">
      <w:pPr>
        <w:pStyle w:val="ab"/>
        <w:numPr>
          <w:ilvl w:val="0"/>
          <w:numId w:val="91"/>
        </w:numPr>
      </w:pPr>
      <w:r>
        <w:rPr>
          <w:rFonts w:cs="Arial" w:hint="cs"/>
          <w:rtl/>
        </w:rPr>
        <w:t xml:space="preserve">רשב"ם </w:t>
      </w:r>
      <w:r>
        <w:rPr>
          <w:rFonts w:cs="Arial" w:hint="cs"/>
          <w:sz w:val="16"/>
          <w:szCs w:val="16"/>
          <w:rtl/>
        </w:rPr>
        <w:t xml:space="preserve">(קלח: ד"ה ידה, ע"פ הגה' הב"ח אות א) </w:t>
      </w:r>
      <w:r>
        <w:rPr>
          <w:rFonts w:cs="Arial" w:hint="cs"/>
          <w:rtl/>
        </w:rPr>
        <w:t>ו</w:t>
      </w:r>
      <w:r w:rsidR="00C4645B" w:rsidRPr="00674D37">
        <w:rPr>
          <w:rFonts w:cs="Arial"/>
          <w:rtl/>
        </w:rPr>
        <w:t xml:space="preserve">רמב"ן </w:t>
      </w:r>
      <w:r w:rsidR="00C4645B" w:rsidRPr="00E20F64">
        <w:rPr>
          <w:rFonts w:cs="Arial"/>
          <w:sz w:val="16"/>
          <w:szCs w:val="16"/>
          <w:rtl/>
        </w:rPr>
        <w:t>(קלח</w:t>
      </w:r>
      <w:r w:rsidR="00C4645B">
        <w:rPr>
          <w:rFonts w:cs="Arial" w:hint="cs"/>
          <w:sz w:val="16"/>
          <w:szCs w:val="16"/>
          <w:rtl/>
        </w:rPr>
        <w:t>.</w:t>
      </w:r>
      <w:r w:rsidR="00C4645B" w:rsidRPr="00E20F64">
        <w:rPr>
          <w:rFonts w:cs="Arial"/>
          <w:sz w:val="16"/>
          <w:szCs w:val="16"/>
          <w:rtl/>
        </w:rPr>
        <w:t xml:space="preserve"> ד"ה ה"ג)</w:t>
      </w:r>
      <w:r w:rsidR="00C4645B">
        <w:rPr>
          <w:rFonts w:cs="Arial" w:hint="cs"/>
          <w:rtl/>
        </w:rPr>
        <w:t>-</w:t>
      </w:r>
      <w:r w:rsidR="00C4645B" w:rsidRPr="00674D37">
        <w:rPr>
          <w:rFonts w:cs="Arial"/>
          <w:rtl/>
        </w:rPr>
        <w:t xml:space="preserve"> משמע דכי אמרינן </w:t>
      </w:r>
      <w:r w:rsidR="00C4645B">
        <w:rPr>
          <w:rFonts w:cs="Arial" w:hint="cs"/>
          <w:rtl/>
        </w:rPr>
        <w:t>"</w:t>
      </w:r>
      <w:r w:rsidR="00C4645B" w:rsidRPr="00674D37">
        <w:rPr>
          <w:rFonts w:cs="Arial"/>
          <w:rtl/>
        </w:rPr>
        <w:t>בכתובתה</w:t>
      </w:r>
      <w:r w:rsidR="00C4645B">
        <w:rPr>
          <w:rFonts w:cs="Arial" w:hint="cs"/>
          <w:rtl/>
        </w:rPr>
        <w:t>"</w:t>
      </w:r>
      <w:r w:rsidR="00C4645B" w:rsidRPr="00674D37">
        <w:rPr>
          <w:rFonts w:cs="Arial"/>
          <w:rtl/>
        </w:rPr>
        <w:t xml:space="preserve"> ידה על העליונה </w:t>
      </w:r>
      <w:r w:rsidR="00C4645B">
        <w:rPr>
          <w:rFonts w:cs="Arial" w:hint="cs"/>
          <w:rtl/>
        </w:rPr>
        <w:t xml:space="preserve">- </w:t>
      </w:r>
      <w:r w:rsidR="00C4645B" w:rsidRPr="00674D37">
        <w:rPr>
          <w:rFonts w:cs="Arial"/>
          <w:rtl/>
        </w:rPr>
        <w:t>כשאמר כן שלא בפניה או שלא חלק נכסיו</w:t>
      </w:r>
      <w:r w:rsidR="00C4645B">
        <w:rPr>
          <w:rFonts w:cs="Arial" w:hint="cs"/>
          <w:rtl/>
        </w:rPr>
        <w:t>,</w:t>
      </w:r>
      <w:r w:rsidR="00C4645B" w:rsidRPr="00674D37">
        <w:rPr>
          <w:rFonts w:cs="Arial"/>
          <w:rtl/>
        </w:rPr>
        <w:t xml:space="preserve"> אבל חלק נכסיו אפילו שלא בפניה ואמר לה </w:t>
      </w:r>
      <w:r w:rsidR="00C4645B">
        <w:rPr>
          <w:rFonts w:cs="Arial" w:hint="cs"/>
          <w:rtl/>
        </w:rPr>
        <w:t>"</w:t>
      </w:r>
      <w:r w:rsidR="00C4645B" w:rsidRPr="00674D37">
        <w:rPr>
          <w:rFonts w:cs="Arial"/>
          <w:rtl/>
        </w:rPr>
        <w:t>טלי זה בכתובתיך</w:t>
      </w:r>
      <w:r w:rsidR="00C4645B">
        <w:rPr>
          <w:rFonts w:cs="Arial" w:hint="cs"/>
          <w:rtl/>
        </w:rPr>
        <w:t>"</w:t>
      </w:r>
      <w:r w:rsidR="00C4645B" w:rsidRPr="00674D37">
        <w:rPr>
          <w:rFonts w:cs="Arial"/>
          <w:rtl/>
        </w:rPr>
        <w:t xml:space="preserve"> </w:t>
      </w:r>
      <w:r w:rsidR="00C4645B">
        <w:rPr>
          <w:rFonts w:cs="Arial" w:hint="cs"/>
          <w:rtl/>
        </w:rPr>
        <w:t xml:space="preserve">- </w:t>
      </w:r>
      <w:r w:rsidR="00C4645B" w:rsidRPr="00674D37">
        <w:rPr>
          <w:rFonts w:cs="Arial"/>
          <w:rtl/>
        </w:rPr>
        <w:t>הפסידה כתובתה</w:t>
      </w:r>
      <w:r w:rsidR="00C4645B">
        <w:rPr>
          <w:rFonts w:cs="Arial" w:hint="cs"/>
          <w:rtl/>
        </w:rPr>
        <w:t>,</w:t>
      </w:r>
      <w:r w:rsidR="00C4645B" w:rsidRPr="00674D37">
        <w:rPr>
          <w:rFonts w:cs="Arial"/>
          <w:rtl/>
        </w:rPr>
        <w:t xml:space="preserve"> כשם שהפסידה בקרקע לרבי יוסי בר חנינא (ב"ב קלב.)</w:t>
      </w:r>
      <w:r w:rsidR="00C4645B">
        <w:rPr>
          <w:rFonts w:cs="Arial" w:hint="cs"/>
          <w:rtl/>
        </w:rPr>
        <w:t>,</w:t>
      </w:r>
      <w:r w:rsidR="00C4645B" w:rsidRPr="00674D37">
        <w:rPr>
          <w:rFonts w:cs="Arial"/>
          <w:rtl/>
        </w:rPr>
        <w:t xml:space="preserve"> דלדידיה לא שייך לחלק בין מטלטלין לקרקע</w:t>
      </w:r>
      <w:r>
        <w:rPr>
          <w:rFonts w:cs="Arial" w:hint="cs"/>
          <w:sz w:val="16"/>
          <w:szCs w:val="16"/>
          <w:rtl/>
        </w:rPr>
        <w:t xml:space="preserve"> (ל' הרמב"ן)</w:t>
      </w:r>
      <w:r w:rsidR="00C4645B" w:rsidRPr="00674D37">
        <w:rPr>
          <w:rFonts w:cs="Arial"/>
          <w:rtl/>
        </w:rPr>
        <w:t xml:space="preserve">. </w:t>
      </w:r>
    </w:p>
    <w:p w14:paraId="5D687172" w14:textId="2158FA9A" w:rsidR="00C4645B" w:rsidRPr="002F575C" w:rsidRDefault="00C4645B" w:rsidP="00C4645B">
      <w:pPr>
        <w:pStyle w:val="ab"/>
        <w:numPr>
          <w:ilvl w:val="0"/>
          <w:numId w:val="91"/>
        </w:numPr>
      </w:pPr>
      <w:r w:rsidRPr="00674D37">
        <w:rPr>
          <w:rFonts w:cs="Arial"/>
          <w:rtl/>
        </w:rPr>
        <w:t>ראב"ד</w:t>
      </w:r>
      <w:r>
        <w:rPr>
          <w:rFonts w:cs="Arial" w:hint="cs"/>
          <w:rtl/>
        </w:rPr>
        <w:t xml:space="preserve"> </w:t>
      </w:r>
      <w:r w:rsidRPr="00E20F64">
        <w:rPr>
          <w:rFonts w:cs="Arial" w:hint="cs"/>
          <w:sz w:val="16"/>
          <w:szCs w:val="16"/>
          <w:rtl/>
        </w:rPr>
        <w:t>(</w:t>
      </w:r>
      <w:r>
        <w:rPr>
          <w:rFonts w:cs="Arial" w:hint="cs"/>
          <w:sz w:val="16"/>
          <w:szCs w:val="16"/>
          <w:rtl/>
        </w:rPr>
        <w:t>כ"כ בשמו בעל התרומות [</w:t>
      </w:r>
      <w:r w:rsidRPr="00E20F64">
        <w:rPr>
          <w:rFonts w:cs="Arial"/>
          <w:sz w:val="16"/>
          <w:szCs w:val="16"/>
          <w:rtl/>
        </w:rPr>
        <w:t>שער נט ח"ב אות ב</w:t>
      </w:r>
      <w:r>
        <w:rPr>
          <w:rFonts w:cs="Arial" w:hint="cs"/>
          <w:sz w:val="16"/>
          <w:szCs w:val="16"/>
          <w:rtl/>
        </w:rPr>
        <w:t>]</w:t>
      </w:r>
      <w:r w:rsidRPr="00E20F64">
        <w:rPr>
          <w:rFonts w:cs="Arial"/>
          <w:sz w:val="16"/>
          <w:szCs w:val="16"/>
          <w:rtl/>
        </w:rPr>
        <w:t>)</w:t>
      </w:r>
      <w:r>
        <w:rPr>
          <w:rFonts w:cs="Arial" w:hint="cs"/>
          <w:rtl/>
        </w:rPr>
        <w:t>-</w:t>
      </w:r>
      <w:r w:rsidRPr="00674D37">
        <w:rPr>
          <w:rFonts w:cs="Arial"/>
          <w:rtl/>
        </w:rPr>
        <w:t xml:space="preserve"> המחלק נכסיו לפני אשתו</w:t>
      </w:r>
      <w:r>
        <w:rPr>
          <w:rFonts w:cs="Arial" w:hint="cs"/>
          <w:rtl/>
        </w:rPr>
        <w:t>,</w:t>
      </w:r>
      <w:r w:rsidRPr="00674D37">
        <w:rPr>
          <w:rFonts w:cs="Arial"/>
          <w:rtl/>
        </w:rPr>
        <w:t xml:space="preserve"> ואמרה לו </w:t>
      </w:r>
      <w:r>
        <w:rPr>
          <w:rFonts w:cs="Arial" w:hint="cs"/>
          <w:rtl/>
        </w:rPr>
        <w:t>"</w:t>
      </w:r>
      <w:r w:rsidRPr="00674D37">
        <w:rPr>
          <w:rFonts w:cs="Arial"/>
          <w:rtl/>
        </w:rPr>
        <w:t>האי איתתא מה תהא עליה</w:t>
      </w:r>
      <w:r>
        <w:rPr>
          <w:rFonts w:cs="Arial" w:hint="cs"/>
          <w:rtl/>
        </w:rPr>
        <w:t>",</w:t>
      </w:r>
      <w:r w:rsidRPr="00674D37">
        <w:rPr>
          <w:rFonts w:cs="Arial"/>
          <w:rtl/>
        </w:rPr>
        <w:t xml:space="preserve"> ואמר לה </w:t>
      </w:r>
      <w:r>
        <w:rPr>
          <w:rFonts w:cs="Arial" w:hint="cs"/>
          <w:rtl/>
        </w:rPr>
        <w:t>"</w:t>
      </w:r>
      <w:r w:rsidRPr="00674D37">
        <w:rPr>
          <w:rFonts w:cs="Arial"/>
          <w:rtl/>
        </w:rPr>
        <w:t>ינתנו ליך אלף זוזי</w:t>
      </w:r>
      <w:r>
        <w:rPr>
          <w:rFonts w:cs="Arial" w:hint="cs"/>
          <w:rtl/>
        </w:rPr>
        <w:t>",</w:t>
      </w:r>
      <w:r w:rsidRPr="00674D37">
        <w:rPr>
          <w:rFonts w:cs="Arial"/>
          <w:rtl/>
        </w:rPr>
        <w:t xml:space="preserve"> ולא אמר שום לישנא יתירה</w:t>
      </w:r>
      <w:r>
        <w:rPr>
          <w:rFonts w:cs="Arial" w:hint="cs"/>
          <w:rtl/>
        </w:rPr>
        <w:t>,</w:t>
      </w:r>
      <w:r w:rsidRPr="00674D37">
        <w:rPr>
          <w:rFonts w:cs="Arial"/>
          <w:rtl/>
        </w:rPr>
        <w:t xml:space="preserve"> אם לא אמר </w:t>
      </w:r>
      <w:r>
        <w:rPr>
          <w:rFonts w:cs="Arial" w:hint="cs"/>
          <w:rtl/>
        </w:rPr>
        <w:t>"</w:t>
      </w:r>
      <w:r w:rsidRPr="00674D37">
        <w:rPr>
          <w:rFonts w:cs="Arial"/>
          <w:rtl/>
        </w:rPr>
        <w:t>בכתובתה</w:t>
      </w:r>
      <w:r>
        <w:rPr>
          <w:rFonts w:cs="Arial" w:hint="cs"/>
          <w:rtl/>
        </w:rPr>
        <w:t>"</w:t>
      </w:r>
      <w:r w:rsidRPr="00674D37">
        <w:rPr>
          <w:rFonts w:cs="Arial"/>
          <w:rtl/>
        </w:rPr>
        <w:t xml:space="preserve"> </w:t>
      </w:r>
      <w:r>
        <w:rPr>
          <w:rFonts w:cs="Arial" w:hint="cs"/>
          <w:rtl/>
        </w:rPr>
        <w:t xml:space="preserve">- </w:t>
      </w:r>
      <w:r w:rsidRPr="00674D37">
        <w:rPr>
          <w:rFonts w:cs="Arial"/>
          <w:rtl/>
        </w:rPr>
        <w:t>אינה נוטלת אלא מה שצוה לה.</w:t>
      </w:r>
    </w:p>
    <w:p w14:paraId="0AD50D57" w14:textId="77777777" w:rsidR="00C4645B" w:rsidRDefault="00C4645B" w:rsidP="00C4645B">
      <w:pPr>
        <w:pStyle w:val="ab"/>
        <w:numPr>
          <w:ilvl w:val="0"/>
          <w:numId w:val="91"/>
        </w:numPr>
      </w:pPr>
      <w:r w:rsidRPr="00674D37">
        <w:rPr>
          <w:rFonts w:cs="Arial"/>
          <w:rtl/>
        </w:rPr>
        <w:t>בהעי</w:t>
      </w:r>
      <w:r>
        <w:rPr>
          <w:rFonts w:cs="Arial" w:hint="cs"/>
          <w:rtl/>
        </w:rPr>
        <w:t>"</w:t>
      </w:r>
      <w:r w:rsidRPr="00674D37">
        <w:rPr>
          <w:rFonts w:cs="Arial"/>
          <w:rtl/>
        </w:rPr>
        <w:t>ט</w:t>
      </w:r>
      <w:r>
        <w:rPr>
          <w:rFonts w:cs="Arial" w:hint="cs"/>
          <w:sz w:val="16"/>
          <w:szCs w:val="16"/>
          <w:rtl/>
        </w:rPr>
        <w:t xml:space="preserve"> (להב' הב"י)</w:t>
      </w:r>
      <w:r>
        <w:rPr>
          <w:rFonts w:cs="Arial" w:hint="cs"/>
          <w:rtl/>
        </w:rPr>
        <w:t>-</w:t>
      </w:r>
      <w:r w:rsidRPr="00674D37">
        <w:rPr>
          <w:rFonts w:cs="Arial"/>
          <w:rtl/>
        </w:rPr>
        <w:t xml:space="preserve"> אם רצת נוטלת אלף זוז בתורת מתנה וחוזרת וגובה כתובתה</w:t>
      </w:r>
      <w:r>
        <w:rPr>
          <w:rStyle w:val="a7"/>
          <w:rFonts w:cs="Arial"/>
          <w:rtl/>
        </w:rPr>
        <w:footnoteReference w:id="2352"/>
      </w:r>
      <w:r>
        <w:rPr>
          <w:rFonts w:cs="Arial" w:hint="cs"/>
          <w:rtl/>
        </w:rPr>
        <w:t>.</w:t>
      </w:r>
      <w:r w:rsidRPr="00674D37">
        <w:rPr>
          <w:rFonts w:cs="Arial"/>
          <w:rtl/>
        </w:rPr>
        <w:t xml:space="preserve"> </w:t>
      </w:r>
    </w:p>
    <w:p w14:paraId="2A6D7DCD" w14:textId="77777777" w:rsidR="00C4645B" w:rsidRPr="00E20F64" w:rsidRDefault="00C4645B" w:rsidP="00C4645B">
      <w:pPr>
        <w:rPr>
          <w:u w:val="single"/>
        </w:rPr>
      </w:pPr>
      <w:r w:rsidRPr="00E20F64">
        <w:rPr>
          <w:rFonts w:hint="cs"/>
          <w:u w:val="single"/>
          <w:rtl/>
        </w:rPr>
        <w:t xml:space="preserve">שכ"מ שזיכה לאשתו </w:t>
      </w:r>
      <w:r>
        <w:rPr>
          <w:rFonts w:hint="cs"/>
          <w:u w:val="single"/>
          <w:rtl/>
        </w:rPr>
        <w:t xml:space="preserve">בצוואה </w:t>
      </w:r>
      <w:r w:rsidRPr="00E20F64">
        <w:rPr>
          <w:rFonts w:hint="cs"/>
          <w:u w:val="single"/>
          <w:rtl/>
        </w:rPr>
        <w:t>אלפיים זוז מנכסיו:</w:t>
      </w:r>
    </w:p>
    <w:p w14:paraId="457FE7FB" w14:textId="77777777" w:rsidR="00C4645B" w:rsidRPr="00970BE4" w:rsidRDefault="00C4645B" w:rsidP="00C4645B">
      <w:pPr>
        <w:pStyle w:val="ab"/>
        <w:numPr>
          <w:ilvl w:val="0"/>
          <w:numId w:val="91"/>
        </w:numPr>
        <w:rPr>
          <w:rFonts w:cs="Arial"/>
        </w:rPr>
      </w:pPr>
      <w:r w:rsidRPr="00674D37">
        <w:rPr>
          <w:rFonts w:cs="Arial"/>
          <w:rtl/>
        </w:rPr>
        <w:t xml:space="preserve">רא"ש </w:t>
      </w:r>
      <w:r w:rsidRPr="00462A7E">
        <w:rPr>
          <w:rFonts w:cs="Arial" w:hint="cs"/>
          <w:sz w:val="16"/>
          <w:szCs w:val="16"/>
          <w:rtl/>
        </w:rPr>
        <w:t>(כ</w:t>
      </w:r>
      <w:r w:rsidRPr="00462A7E">
        <w:rPr>
          <w:rFonts w:cs="Arial"/>
          <w:sz w:val="16"/>
          <w:szCs w:val="16"/>
          <w:rtl/>
        </w:rPr>
        <w:t>לל פג סי' א)</w:t>
      </w:r>
      <w:r>
        <w:rPr>
          <w:rFonts w:cs="Arial" w:hint="cs"/>
          <w:rtl/>
        </w:rPr>
        <w:t xml:space="preserve">- </w:t>
      </w:r>
      <w:r w:rsidRPr="00970BE4">
        <w:rPr>
          <w:rFonts w:cs="Arial"/>
          <w:rtl/>
        </w:rPr>
        <w:t>שאלה</w:t>
      </w:r>
      <w:r>
        <w:rPr>
          <w:rFonts w:cs="Arial" w:hint="cs"/>
          <w:rtl/>
        </w:rPr>
        <w:t>:</w:t>
      </w:r>
      <w:r w:rsidRPr="00970BE4">
        <w:rPr>
          <w:rFonts w:cs="Arial"/>
          <w:rtl/>
        </w:rPr>
        <w:t xml:space="preserve"> נוסח עניני הצואה אנו חתומי מטה נכנסנו אצל רבי משה בן זמרי ומצאנוהו גופו חולה ודעתו בריאה וזיכה באותה שעה בתורת צואה מחמת מיתה למרת גמילה אשתו שתדור בבית דירתו כל ימי חייה. וכמו כן זיכה לה אלפים זהובים מנכסיו</w:t>
      </w:r>
      <w:r>
        <w:rPr>
          <w:rFonts w:cs="Arial" w:hint="cs"/>
          <w:rtl/>
        </w:rPr>
        <w:t>...</w:t>
      </w:r>
      <w:r w:rsidRPr="00970BE4">
        <w:rPr>
          <w:rFonts w:cs="Arial"/>
          <w:rtl/>
        </w:rPr>
        <w:t xml:space="preserve"> ועתה יורנו רבינו אם יש לה לתבוע כתובתה אם לאו. </w:t>
      </w:r>
      <w:r>
        <w:rPr>
          <w:rFonts w:cs="Arial" w:hint="cs"/>
          <w:rtl/>
        </w:rPr>
        <w:t xml:space="preserve">    </w:t>
      </w:r>
      <w:r w:rsidRPr="00970BE4">
        <w:rPr>
          <w:rFonts w:cs="Arial"/>
          <w:rtl/>
        </w:rPr>
        <w:t>תשובה</w:t>
      </w:r>
      <w:r>
        <w:rPr>
          <w:rFonts w:cs="Arial" w:hint="cs"/>
          <w:rtl/>
        </w:rPr>
        <w:t>:...</w:t>
      </w:r>
      <w:r w:rsidRPr="00970BE4">
        <w:rPr>
          <w:rFonts w:cs="Arial"/>
          <w:rtl/>
        </w:rPr>
        <w:t xml:space="preserve"> בנדון זה משמע מתוך לשון הצוואה שזיכה אלפים זהובים לגמילה אשתו</w:t>
      </w:r>
      <w:r>
        <w:rPr>
          <w:rFonts w:cs="Arial" w:hint="cs"/>
          <w:rtl/>
        </w:rPr>
        <w:t>,</w:t>
      </w:r>
      <w:r w:rsidRPr="00970BE4">
        <w:rPr>
          <w:rFonts w:cs="Arial"/>
          <w:rtl/>
        </w:rPr>
        <w:t xml:space="preserve"> הילכך ידה על העליונה</w:t>
      </w:r>
      <w:r>
        <w:rPr>
          <w:rFonts w:cs="Arial" w:hint="cs"/>
          <w:rtl/>
        </w:rPr>
        <w:t>,</w:t>
      </w:r>
      <w:r w:rsidRPr="00970BE4">
        <w:rPr>
          <w:rFonts w:cs="Arial"/>
          <w:rtl/>
        </w:rPr>
        <w:t xml:space="preserve"> רצתה נוטלן בכתובתה ולא האלפים אם כתב הצואה אני מניח לפלוני כך וכך זוז</w:t>
      </w:r>
      <w:r>
        <w:rPr>
          <w:rFonts w:cs="Arial" w:hint="cs"/>
          <w:rtl/>
        </w:rPr>
        <w:t>,</w:t>
      </w:r>
      <w:r w:rsidRPr="00970BE4">
        <w:rPr>
          <w:rFonts w:cs="Arial"/>
          <w:rtl/>
        </w:rPr>
        <w:t xml:space="preserve"> אבל לא תטול שתיהן.</w:t>
      </w:r>
    </w:p>
    <w:p w14:paraId="5797C103"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3D48413" w14:textId="687AAC3D" w:rsidR="00392DBB" w:rsidRDefault="00392DBB" w:rsidP="00392DBB">
      <w:pPr>
        <w:rPr>
          <w:rtl/>
        </w:rPr>
      </w:pPr>
      <w:r>
        <w:rPr>
          <w:rFonts w:cs="Arial"/>
          <w:rtl/>
        </w:rPr>
        <w:t xml:space="preserve">שכיב מרע שאמר: תנו מאתים זוז לאשתי כראוי לה, נוטלתן לבד מכתובתה. ואם אמר: תטול מאתים זוז בכתובתה, לא תטול שתיהן, אלא ידה על העליונה, אם </w:t>
      </w:r>
      <w:r w:rsidR="00C225A9">
        <w:rPr>
          <w:rFonts w:cs="Arial" w:hint="cs"/>
          <w:rtl/>
        </w:rPr>
        <w:t>מאתים</w:t>
      </w:r>
      <w:r>
        <w:rPr>
          <w:rFonts w:cs="Arial"/>
          <w:rtl/>
        </w:rPr>
        <w:t xml:space="preserve"> זוז יותר, נוטלתן. ואם כתובתה יותר, נוטלתן. </w:t>
      </w:r>
    </w:p>
    <w:p w14:paraId="1E071455" w14:textId="77777777" w:rsidR="00674D37" w:rsidRDefault="00674D37" w:rsidP="00392DBB">
      <w:pPr>
        <w:rPr>
          <w:rtl/>
        </w:rPr>
      </w:pPr>
    </w:p>
    <w:p w14:paraId="3ADBD400" w14:textId="37AF233D" w:rsidR="00392DBB" w:rsidRDefault="00392DBB" w:rsidP="000F64D0">
      <w:pPr>
        <w:pStyle w:val="2"/>
        <w:rPr>
          <w:rtl/>
        </w:rPr>
      </w:pPr>
      <w:r>
        <w:rPr>
          <w:rtl/>
        </w:rPr>
        <w:t>סעיף ב</w:t>
      </w:r>
      <w:r w:rsidR="00674D37">
        <w:rPr>
          <w:rFonts w:hint="cs"/>
          <w:rtl/>
        </w:rPr>
        <w:t xml:space="preserve">: אמר לה כנ"ל </w:t>
      </w:r>
      <w:r w:rsidR="00527F05">
        <w:rPr>
          <w:rFonts w:hint="cs"/>
          <w:rtl/>
        </w:rPr>
        <w:t xml:space="preserve">בשעה </w:t>
      </w:r>
      <w:r w:rsidR="00674D37">
        <w:rPr>
          <w:rFonts w:hint="cs"/>
          <w:rtl/>
        </w:rPr>
        <w:t>שחילק נכסיו.</w:t>
      </w:r>
    </w:p>
    <w:p w14:paraId="14BFB523" w14:textId="3C8CAAD3" w:rsidR="00E20F64" w:rsidRDefault="00C4645B" w:rsidP="00E20F64">
      <w:pPr>
        <w:rPr>
          <w:rFonts w:cs="Arial"/>
          <w:rtl/>
        </w:rPr>
      </w:pPr>
      <w:r>
        <w:rPr>
          <w:rFonts w:cs="Arial" w:hint="cs"/>
          <w:rtl/>
        </w:rPr>
        <w:t>עיין במקורות בסעיף א</w:t>
      </w:r>
      <w:r w:rsidR="00E20F64">
        <w:rPr>
          <w:rFonts w:cs="Arial" w:hint="cs"/>
          <w:rtl/>
        </w:rPr>
        <w:t>.</w:t>
      </w:r>
    </w:p>
    <w:p w14:paraId="1E60CAA9"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5F9DA26" w14:textId="77777777" w:rsidR="002F575C" w:rsidRDefault="00392DBB" w:rsidP="00392DBB">
      <w:pPr>
        <w:rPr>
          <w:rFonts w:cs="Arial"/>
          <w:rtl/>
        </w:rPr>
      </w:pPr>
      <w:r>
        <w:rPr>
          <w:rFonts w:cs="Arial"/>
          <w:rtl/>
        </w:rPr>
        <w:t>הא דאמרינן דכי אמר בכתובתה ידה על העליונה, בשלא חלק נכסיו. אבל אם חלק נכסיו, נתבאר משפטו בסימן ק"ו.</w:t>
      </w:r>
    </w:p>
    <w:p w14:paraId="024B73E4" w14:textId="0253052A" w:rsidR="00392DBB" w:rsidRDefault="00392DBB" w:rsidP="00392DBB">
      <w:pPr>
        <w:rPr>
          <w:rtl/>
        </w:rPr>
      </w:pPr>
      <w:r>
        <w:rPr>
          <w:rFonts w:cs="Arial"/>
          <w:rtl/>
        </w:rPr>
        <w:t xml:space="preserve"> </w:t>
      </w:r>
    </w:p>
    <w:p w14:paraId="23A991AD" w14:textId="564263E8" w:rsidR="00392DBB" w:rsidRDefault="00392DBB" w:rsidP="000F64D0">
      <w:pPr>
        <w:pStyle w:val="2"/>
        <w:rPr>
          <w:rtl/>
        </w:rPr>
      </w:pPr>
      <w:r>
        <w:rPr>
          <w:rtl/>
        </w:rPr>
        <w:lastRenderedPageBreak/>
        <w:t>סעיף ג</w:t>
      </w:r>
      <w:r w:rsidR="002A43D2">
        <w:rPr>
          <w:rFonts w:hint="cs"/>
          <w:rtl/>
        </w:rPr>
        <w:t xml:space="preserve">: </w:t>
      </w:r>
      <w:r w:rsidR="00074486">
        <w:rPr>
          <w:rtl/>
        </w:rPr>
        <w:t xml:space="preserve">שכיב מרע שאמר </w:t>
      </w:r>
      <w:r w:rsidR="00074486">
        <w:rPr>
          <w:rFonts w:hint="cs"/>
          <w:rtl/>
        </w:rPr>
        <w:t>"</w:t>
      </w:r>
      <w:r w:rsidR="00074486">
        <w:rPr>
          <w:rtl/>
        </w:rPr>
        <w:t>תנו מאתים זהובים לאשתי</w:t>
      </w:r>
      <w:r w:rsidR="00074486">
        <w:rPr>
          <w:rFonts w:hint="cs"/>
          <w:rtl/>
        </w:rPr>
        <w:t>", בסתם.</w:t>
      </w:r>
    </w:p>
    <w:p w14:paraId="486B4DAE" w14:textId="77F085CB" w:rsidR="002A43D2" w:rsidRPr="00074486" w:rsidRDefault="00074486" w:rsidP="002A43D2">
      <w:pPr>
        <w:rPr>
          <w:u w:val="single"/>
          <w:rtl/>
        </w:rPr>
      </w:pPr>
      <w:r w:rsidRPr="00074486">
        <w:rPr>
          <w:rFonts w:cs="Arial"/>
          <w:u w:val="single"/>
          <w:rtl/>
        </w:rPr>
        <w:t xml:space="preserve">שכיב מרע שאמר </w:t>
      </w:r>
      <w:r w:rsidRPr="00074486">
        <w:rPr>
          <w:rFonts w:cs="Arial" w:hint="cs"/>
          <w:u w:val="single"/>
          <w:rtl/>
        </w:rPr>
        <w:t>"</w:t>
      </w:r>
      <w:r w:rsidRPr="00074486">
        <w:rPr>
          <w:rFonts w:cs="Arial"/>
          <w:u w:val="single"/>
          <w:rtl/>
        </w:rPr>
        <w:t>תנו מאתים זהובים לאשתי</w:t>
      </w:r>
      <w:r w:rsidRPr="00074486">
        <w:rPr>
          <w:rFonts w:hint="cs"/>
          <w:u w:val="single"/>
          <w:rtl/>
        </w:rPr>
        <w:t>", בסתם:</w:t>
      </w:r>
    </w:p>
    <w:p w14:paraId="25123604" w14:textId="0BEC0885" w:rsidR="00DF729E" w:rsidRPr="00DF729E" w:rsidRDefault="00A91D0A" w:rsidP="00DF729E">
      <w:pPr>
        <w:pStyle w:val="ab"/>
        <w:numPr>
          <w:ilvl w:val="0"/>
          <w:numId w:val="91"/>
        </w:numPr>
      </w:pPr>
      <w:r w:rsidRPr="00DF729E">
        <w:rPr>
          <w:rFonts w:cs="Arial"/>
          <w:rtl/>
        </w:rPr>
        <w:t xml:space="preserve">רשב"ם </w:t>
      </w:r>
      <w:r w:rsidRPr="00DF729E">
        <w:rPr>
          <w:rFonts w:cs="Arial"/>
          <w:sz w:val="16"/>
          <w:szCs w:val="16"/>
          <w:rtl/>
        </w:rPr>
        <w:t>(</w:t>
      </w:r>
      <w:r w:rsidR="003663E0">
        <w:rPr>
          <w:rFonts w:cs="Arial" w:hint="cs"/>
          <w:sz w:val="16"/>
          <w:szCs w:val="16"/>
          <w:rtl/>
        </w:rPr>
        <w:t xml:space="preserve">קלח. </w:t>
      </w:r>
      <w:r w:rsidRPr="00DF729E">
        <w:rPr>
          <w:rFonts w:cs="Arial"/>
          <w:sz w:val="16"/>
          <w:szCs w:val="16"/>
          <w:rtl/>
        </w:rPr>
        <w:t>ד"ה רצה מאתים)</w:t>
      </w:r>
      <w:r w:rsidR="00DF729E">
        <w:rPr>
          <w:rFonts w:cs="Arial" w:hint="cs"/>
          <w:rtl/>
        </w:rPr>
        <w:t xml:space="preserve">- </w:t>
      </w:r>
      <w:r w:rsidRPr="00DF729E">
        <w:rPr>
          <w:rFonts w:cs="Arial"/>
          <w:rtl/>
        </w:rPr>
        <w:t>הוא הדין נמי אם אמר תנו ק"ק זוז לאשתי סתם דהויא דינא הכי דידה על העליונה</w:t>
      </w:r>
      <w:r w:rsidR="00DF729E">
        <w:rPr>
          <w:rFonts w:cs="Arial" w:hint="cs"/>
          <w:rtl/>
        </w:rPr>
        <w:t>.</w:t>
      </w:r>
      <w:r w:rsidRPr="00DF729E">
        <w:rPr>
          <w:rFonts w:cs="Arial"/>
          <w:rtl/>
        </w:rPr>
        <w:t xml:space="preserve"> </w:t>
      </w:r>
    </w:p>
    <w:p w14:paraId="71DB020E" w14:textId="6BE3F00B" w:rsidR="00A91D0A" w:rsidRPr="00A91D0A" w:rsidRDefault="00A91D0A" w:rsidP="00DF729E">
      <w:pPr>
        <w:pStyle w:val="ab"/>
        <w:numPr>
          <w:ilvl w:val="0"/>
          <w:numId w:val="91"/>
        </w:numPr>
        <w:rPr>
          <w:rtl/>
        </w:rPr>
      </w:pPr>
      <w:r w:rsidRPr="00DF729E">
        <w:rPr>
          <w:rFonts w:cs="Arial"/>
          <w:rtl/>
        </w:rPr>
        <w:t xml:space="preserve">רא"ש </w:t>
      </w:r>
      <w:r w:rsidRPr="00DF729E">
        <w:rPr>
          <w:rFonts w:cs="Arial"/>
          <w:sz w:val="16"/>
          <w:szCs w:val="16"/>
          <w:rtl/>
        </w:rPr>
        <w:t>(סי' נג</w:t>
      </w:r>
      <w:r w:rsidR="00074486">
        <w:rPr>
          <w:rFonts w:cs="Arial" w:hint="cs"/>
          <w:sz w:val="16"/>
          <w:szCs w:val="16"/>
          <w:rtl/>
        </w:rPr>
        <w:t>, וכ"כ הטור בשמו</w:t>
      </w:r>
      <w:r w:rsidRPr="00DF729E">
        <w:rPr>
          <w:rFonts w:cs="Arial"/>
          <w:sz w:val="16"/>
          <w:szCs w:val="16"/>
          <w:rtl/>
        </w:rPr>
        <w:t>)</w:t>
      </w:r>
      <w:r w:rsidR="00DF729E">
        <w:rPr>
          <w:rFonts w:cs="Arial" w:hint="cs"/>
          <w:rtl/>
        </w:rPr>
        <w:t>-</w:t>
      </w:r>
      <w:r w:rsidRPr="00DF729E">
        <w:rPr>
          <w:rFonts w:cs="Arial"/>
          <w:rtl/>
        </w:rPr>
        <w:t xml:space="preserve"> אם אמר תנו ק"ק זוז לאשתי סתם </w:t>
      </w:r>
      <w:r w:rsidR="003D5C4F">
        <w:rPr>
          <w:rFonts w:cs="Arial" w:hint="cs"/>
          <w:rtl/>
        </w:rPr>
        <w:t xml:space="preserve">- </w:t>
      </w:r>
      <w:r w:rsidRPr="00DF729E">
        <w:rPr>
          <w:rFonts w:cs="Arial"/>
          <w:rtl/>
        </w:rPr>
        <w:t>הויא מתנה לבד מכתובתה</w:t>
      </w:r>
      <w:r w:rsidR="00074486">
        <w:rPr>
          <w:rStyle w:val="a7"/>
          <w:rFonts w:cs="Arial"/>
          <w:rtl/>
        </w:rPr>
        <w:footnoteReference w:id="2353"/>
      </w:r>
      <w:r w:rsidR="00DF729E">
        <w:rPr>
          <w:rFonts w:cs="Arial" w:hint="cs"/>
          <w:rtl/>
        </w:rPr>
        <w:t>.</w:t>
      </w:r>
      <w:r w:rsidR="003D5C4F">
        <w:rPr>
          <w:rFonts w:cs="Arial" w:hint="cs"/>
          <w:rtl/>
        </w:rPr>
        <w:t xml:space="preserve"> </w:t>
      </w:r>
      <w:r w:rsidR="003D5C4F" w:rsidRPr="00351B7D">
        <w:rPr>
          <w:rFonts w:asciiTheme="minorBidi" w:hAnsiTheme="minorBidi"/>
          <w:color w:val="E36C0A" w:themeColor="accent6" w:themeShade="BF"/>
          <w:rtl/>
        </w:rPr>
        <w:t>(וכ"</w:t>
      </w:r>
      <w:r w:rsidR="003D5C4F">
        <w:rPr>
          <w:rFonts w:asciiTheme="minorBidi" w:hAnsiTheme="minorBidi" w:hint="cs"/>
          <w:color w:val="E36C0A" w:themeColor="accent6" w:themeShade="BF"/>
          <w:rtl/>
        </w:rPr>
        <w:t>פ</w:t>
      </w:r>
      <w:r w:rsidR="003D5C4F" w:rsidRPr="00351B7D">
        <w:rPr>
          <w:rFonts w:asciiTheme="minorBidi" w:hAnsiTheme="minorBidi"/>
          <w:color w:val="E36C0A" w:themeColor="accent6" w:themeShade="BF"/>
          <w:rtl/>
        </w:rPr>
        <w:t xml:space="preserve"> בשו"ע)</w:t>
      </w:r>
    </w:p>
    <w:p w14:paraId="3B4654E5"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433A4C5" w14:textId="17751BFD" w:rsidR="00392DBB" w:rsidRDefault="00392DBB" w:rsidP="00392DBB">
      <w:pPr>
        <w:rPr>
          <w:rFonts w:cs="Arial"/>
          <w:rtl/>
        </w:rPr>
      </w:pPr>
      <w:r>
        <w:rPr>
          <w:rFonts w:cs="Arial"/>
          <w:rtl/>
        </w:rPr>
        <w:t xml:space="preserve">אם אמר: תנו מנה לאשתי, סתם, יש מי שאומר דידה על העליונה. ויש מי שאומר דהוי מתנה לבד מכתובתה. </w:t>
      </w:r>
      <w:r w:rsidR="008C46E3">
        <w:rPr>
          <w:rFonts w:cs="Arial" w:hint="cs"/>
          <w:sz w:val="18"/>
          <w:szCs w:val="18"/>
          <w:rtl/>
        </w:rPr>
        <w:t xml:space="preserve">[הגה] </w:t>
      </w:r>
      <w:r w:rsidRPr="008C46E3">
        <w:rPr>
          <w:rFonts w:cs="Arial"/>
          <w:sz w:val="18"/>
          <w:szCs w:val="18"/>
          <w:rtl/>
        </w:rPr>
        <w:t>ואם אמר בפירוש: תנו לה במתנה, נוטלתן לכולי עלמא לבד מכתובתה (ריב"ש).</w:t>
      </w:r>
      <w:r>
        <w:rPr>
          <w:rFonts w:cs="Arial"/>
          <w:rtl/>
        </w:rPr>
        <w:t xml:space="preserve"> </w:t>
      </w:r>
    </w:p>
    <w:p w14:paraId="37931E09" w14:textId="77777777" w:rsidR="008C46E3" w:rsidRDefault="008C46E3" w:rsidP="00392DBB">
      <w:pPr>
        <w:rPr>
          <w:rtl/>
        </w:rPr>
      </w:pPr>
    </w:p>
    <w:p w14:paraId="1C44C94C" w14:textId="0F5C7C43" w:rsidR="00392DBB" w:rsidRDefault="00392DBB" w:rsidP="000F64D0">
      <w:pPr>
        <w:pStyle w:val="2"/>
        <w:rPr>
          <w:rtl/>
        </w:rPr>
      </w:pPr>
      <w:r>
        <w:rPr>
          <w:rtl/>
        </w:rPr>
        <w:t>סעיף ד</w:t>
      </w:r>
      <w:r w:rsidR="00AB5DB4">
        <w:rPr>
          <w:rFonts w:hint="cs"/>
          <w:rtl/>
        </w:rPr>
        <w:t xml:space="preserve">: </w:t>
      </w:r>
      <w:r w:rsidR="00AB5DB4" w:rsidRPr="001B3E25">
        <w:rPr>
          <w:rtl/>
        </w:rPr>
        <w:t>ש</w:t>
      </w:r>
      <w:r w:rsidR="00AB5DB4">
        <w:rPr>
          <w:rFonts w:hint="cs"/>
          <w:rtl/>
        </w:rPr>
        <w:t>כ</w:t>
      </w:r>
      <w:r w:rsidR="00AB5DB4" w:rsidRPr="001B3E25">
        <w:rPr>
          <w:rtl/>
        </w:rPr>
        <w:t xml:space="preserve">"מ שצוה שיתנו לאשתו </w:t>
      </w:r>
      <w:r w:rsidR="00AB5DB4">
        <w:rPr>
          <w:rFonts w:hint="cs"/>
          <w:rtl/>
        </w:rPr>
        <w:t xml:space="preserve">את </w:t>
      </w:r>
      <w:r w:rsidR="00AB5DB4" w:rsidRPr="001B3E25">
        <w:rPr>
          <w:rtl/>
        </w:rPr>
        <w:t>בגדיה</w:t>
      </w:r>
      <w:r w:rsidR="00AB5DB4">
        <w:rPr>
          <w:rFonts w:hint="cs"/>
          <w:rtl/>
        </w:rPr>
        <w:t>.</w:t>
      </w:r>
    </w:p>
    <w:p w14:paraId="6A17E157" w14:textId="1813581E" w:rsidR="00AB5DB4" w:rsidRPr="00AB5DB4" w:rsidRDefault="00AB5DB4" w:rsidP="00AB5DB4">
      <w:pPr>
        <w:rPr>
          <w:u w:val="single"/>
          <w:rtl/>
        </w:rPr>
      </w:pPr>
      <w:r w:rsidRPr="00AB5DB4">
        <w:rPr>
          <w:rFonts w:cs="Arial"/>
          <w:u w:val="single"/>
          <w:rtl/>
        </w:rPr>
        <w:t>ש</w:t>
      </w:r>
      <w:r w:rsidRPr="00AB5DB4">
        <w:rPr>
          <w:rFonts w:cs="Arial" w:hint="cs"/>
          <w:u w:val="single"/>
          <w:rtl/>
        </w:rPr>
        <w:t>כ</w:t>
      </w:r>
      <w:r w:rsidRPr="00AB5DB4">
        <w:rPr>
          <w:rFonts w:cs="Arial"/>
          <w:u w:val="single"/>
          <w:rtl/>
        </w:rPr>
        <w:t xml:space="preserve">"מ שצוה שיתנו לאשתו </w:t>
      </w:r>
      <w:r>
        <w:rPr>
          <w:rFonts w:cs="Arial" w:hint="cs"/>
          <w:u w:val="single"/>
          <w:rtl/>
        </w:rPr>
        <w:t xml:space="preserve">את </w:t>
      </w:r>
      <w:r w:rsidRPr="00AB5DB4">
        <w:rPr>
          <w:rFonts w:cs="Arial"/>
          <w:u w:val="single"/>
          <w:rtl/>
        </w:rPr>
        <w:t>בגדיה</w:t>
      </w:r>
      <w:r w:rsidRPr="00AB5DB4">
        <w:rPr>
          <w:rFonts w:hint="cs"/>
          <w:u w:val="single"/>
          <w:rtl/>
        </w:rPr>
        <w:t>:</w:t>
      </w:r>
    </w:p>
    <w:p w14:paraId="75BBFC94" w14:textId="7AFF7EDD" w:rsidR="00A91D0A" w:rsidRDefault="00AB5DB4" w:rsidP="00A91D0A">
      <w:pPr>
        <w:pStyle w:val="ab"/>
        <w:numPr>
          <w:ilvl w:val="0"/>
          <w:numId w:val="91"/>
        </w:numPr>
      </w:pPr>
      <w:r>
        <w:rPr>
          <w:rFonts w:cs="Arial" w:hint="cs"/>
          <w:rtl/>
        </w:rPr>
        <w:t xml:space="preserve">רא"ש </w:t>
      </w:r>
      <w:r w:rsidRPr="00AB5DB4">
        <w:rPr>
          <w:rFonts w:cs="Arial" w:hint="cs"/>
          <w:sz w:val="16"/>
          <w:szCs w:val="16"/>
          <w:rtl/>
        </w:rPr>
        <w:t>(</w:t>
      </w:r>
      <w:r w:rsidRPr="00AB5DB4">
        <w:rPr>
          <w:rFonts w:cs="Arial"/>
          <w:sz w:val="16"/>
          <w:szCs w:val="16"/>
          <w:rtl/>
        </w:rPr>
        <w:t>כלל עה סי' ד)</w:t>
      </w:r>
      <w:r>
        <w:rPr>
          <w:rFonts w:cs="Arial" w:hint="cs"/>
          <w:sz w:val="16"/>
          <w:szCs w:val="16"/>
          <w:rtl/>
        </w:rPr>
        <w:t xml:space="preserve"> </w:t>
      </w:r>
      <w:r>
        <w:rPr>
          <w:rFonts w:cs="Arial" w:hint="cs"/>
          <w:rtl/>
        </w:rPr>
        <w:t>ו</w:t>
      </w:r>
      <w:r w:rsidR="00A91D0A">
        <w:rPr>
          <w:rFonts w:cs="Arial" w:hint="cs"/>
          <w:rtl/>
        </w:rPr>
        <w:t xml:space="preserve">טור- </w:t>
      </w:r>
      <w:r w:rsidR="00A91D0A" w:rsidRPr="001B3E25">
        <w:rPr>
          <w:rFonts w:cs="Arial"/>
          <w:rtl/>
        </w:rPr>
        <w:t>ש</w:t>
      </w:r>
      <w:r>
        <w:rPr>
          <w:rFonts w:cs="Arial" w:hint="cs"/>
          <w:rtl/>
        </w:rPr>
        <w:t>כ</w:t>
      </w:r>
      <w:r w:rsidR="00A91D0A" w:rsidRPr="001B3E25">
        <w:rPr>
          <w:rFonts w:cs="Arial"/>
          <w:rtl/>
        </w:rPr>
        <w:t xml:space="preserve">"מ שצוה שיתנו לאשתו בגדיה </w:t>
      </w:r>
      <w:r>
        <w:rPr>
          <w:rFonts w:cs="Arial" w:hint="cs"/>
          <w:rtl/>
        </w:rPr>
        <w:t xml:space="preserve">- </w:t>
      </w:r>
      <w:r w:rsidR="00A91D0A" w:rsidRPr="001B3E25">
        <w:rPr>
          <w:rFonts w:cs="Arial"/>
          <w:rtl/>
        </w:rPr>
        <w:t>נוטל</w:t>
      </w:r>
      <w:r>
        <w:rPr>
          <w:rFonts w:cs="Arial" w:hint="cs"/>
          <w:rtl/>
        </w:rPr>
        <w:t>ת</w:t>
      </w:r>
      <w:r w:rsidR="00A91D0A" w:rsidRPr="001B3E25">
        <w:rPr>
          <w:rFonts w:cs="Arial"/>
          <w:rtl/>
        </w:rPr>
        <w:t xml:space="preserve"> כל בגדיה</w:t>
      </w:r>
      <w:r w:rsidR="00A91D0A">
        <w:rPr>
          <w:rStyle w:val="a7"/>
          <w:rFonts w:cs="Arial"/>
          <w:rtl/>
        </w:rPr>
        <w:footnoteReference w:id="2354"/>
      </w:r>
      <w:r w:rsidR="00A91D0A" w:rsidRPr="001B3E25">
        <w:rPr>
          <w:rFonts w:cs="Arial"/>
          <w:rtl/>
        </w:rPr>
        <w:t xml:space="preserve"> בין של חול בין של שבת</w:t>
      </w:r>
      <w:r w:rsidR="001120D6">
        <w:rPr>
          <w:rStyle w:val="a7"/>
          <w:rFonts w:cs="Arial"/>
          <w:rtl/>
        </w:rPr>
        <w:footnoteReference w:id="2355"/>
      </w:r>
      <w:r>
        <w:rPr>
          <w:rFonts w:cs="Arial" w:hint="cs"/>
          <w:sz w:val="16"/>
          <w:szCs w:val="16"/>
          <w:rtl/>
        </w:rPr>
        <w:t xml:space="preserve"> (ל' הטור)</w:t>
      </w:r>
      <w:r>
        <w:rPr>
          <w:rFonts w:cs="Arial" w:hint="cs"/>
          <w:rtl/>
        </w:rPr>
        <w:t>.</w:t>
      </w:r>
      <w:r w:rsidR="001120D6" w:rsidRPr="001120D6">
        <w:rPr>
          <w:rFonts w:asciiTheme="minorBidi" w:hAnsiTheme="minorBidi"/>
          <w:color w:val="E36C0A" w:themeColor="accent6" w:themeShade="BF"/>
          <w:rtl/>
        </w:rPr>
        <w:t xml:space="preserve"> </w:t>
      </w:r>
      <w:r w:rsidR="001120D6" w:rsidRPr="00351B7D">
        <w:rPr>
          <w:rFonts w:asciiTheme="minorBidi" w:hAnsiTheme="minorBidi"/>
          <w:color w:val="E36C0A" w:themeColor="accent6" w:themeShade="BF"/>
          <w:rtl/>
        </w:rPr>
        <w:t>(וכ"</w:t>
      </w:r>
      <w:r w:rsidR="001120D6">
        <w:rPr>
          <w:rFonts w:asciiTheme="minorBidi" w:hAnsiTheme="minorBidi" w:hint="cs"/>
          <w:color w:val="E36C0A" w:themeColor="accent6" w:themeShade="BF"/>
          <w:rtl/>
        </w:rPr>
        <w:t>פ</w:t>
      </w:r>
      <w:r w:rsidR="001120D6" w:rsidRPr="00351B7D">
        <w:rPr>
          <w:rFonts w:asciiTheme="minorBidi" w:hAnsiTheme="minorBidi"/>
          <w:color w:val="E36C0A" w:themeColor="accent6" w:themeShade="BF"/>
          <w:rtl/>
        </w:rPr>
        <w:t xml:space="preserve"> בשו"ע)</w:t>
      </w:r>
    </w:p>
    <w:p w14:paraId="15EB3723"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BAEFAF9" w14:textId="079AF036" w:rsidR="00392DBB" w:rsidRDefault="00392DBB" w:rsidP="00392DBB">
      <w:pPr>
        <w:rPr>
          <w:rtl/>
        </w:rPr>
      </w:pPr>
      <w:r>
        <w:rPr>
          <w:rFonts w:cs="Arial"/>
          <w:rtl/>
        </w:rPr>
        <w:t xml:space="preserve">שכיב מרע שצוה שיתנו לאשתו בגדיה, נוטלת כל בגדיה בין של חול בין של שבת. </w:t>
      </w:r>
      <w:r w:rsidRPr="001120D6">
        <w:rPr>
          <w:rFonts w:cs="Arial"/>
          <w:sz w:val="18"/>
          <w:szCs w:val="18"/>
          <w:rtl/>
        </w:rPr>
        <w:t>הגה: ויש אומרים דאם נתן לה במתנה בשעת מותו, אף צמידים שבבגדיה בכלל. אבל אם כתב לה כך בשעה שנשאת, אין צמידים בכלל</w:t>
      </w:r>
      <w:r w:rsidR="00D77D7C">
        <w:rPr>
          <w:rStyle w:val="a7"/>
          <w:rFonts w:cs="Arial"/>
          <w:sz w:val="18"/>
          <w:szCs w:val="18"/>
          <w:rtl/>
        </w:rPr>
        <w:footnoteReference w:id="2356"/>
      </w:r>
      <w:r w:rsidRPr="001120D6">
        <w:rPr>
          <w:rFonts w:cs="Arial"/>
          <w:sz w:val="18"/>
          <w:szCs w:val="18"/>
          <w:rtl/>
        </w:rPr>
        <w:t xml:space="preserve"> (מהרי"ו).</w:t>
      </w:r>
      <w:r>
        <w:rPr>
          <w:rFonts w:cs="Arial"/>
          <w:rtl/>
        </w:rPr>
        <w:t xml:space="preserve"> ואם אמר: מלבושיה, גם הסרבל ואונקלי ומטפחות וס</w:t>
      </w:r>
      <w:r w:rsidR="00D77D7C">
        <w:rPr>
          <w:rFonts w:cs="Arial" w:hint="cs"/>
          <w:rtl/>
        </w:rPr>
        <w:t>ו</w:t>
      </w:r>
      <w:r>
        <w:rPr>
          <w:rFonts w:cs="Arial"/>
          <w:rtl/>
        </w:rPr>
        <w:t>דר בכלל, דבכל דבר שאדם לובש</w:t>
      </w:r>
      <w:r w:rsidR="00D77D7C">
        <w:rPr>
          <w:rStyle w:val="a7"/>
          <w:rFonts w:cs="Arial"/>
          <w:rtl/>
        </w:rPr>
        <w:footnoteReference w:id="2357"/>
      </w:r>
      <w:r>
        <w:rPr>
          <w:rFonts w:cs="Arial"/>
          <w:rtl/>
        </w:rPr>
        <w:t xml:space="preserve"> ומתעטף, נקרא מלבוש.</w:t>
      </w:r>
    </w:p>
    <w:p w14:paraId="02DF2AAE" w14:textId="77777777" w:rsidR="00392DBB" w:rsidRDefault="00392DBB" w:rsidP="00392DBB">
      <w:pPr>
        <w:pStyle w:val="1"/>
        <w:rPr>
          <w:rtl/>
        </w:rPr>
        <w:sectPr w:rsidR="00392DBB" w:rsidSect="00A347B3">
          <w:headerReference w:type="default" r:id="rId53"/>
          <w:footnotePr>
            <w:numRestart w:val="eachSect"/>
          </w:footnotePr>
          <w:pgSz w:w="11906" w:h="16838"/>
          <w:pgMar w:top="720" w:right="1134" w:bottom="720" w:left="1134" w:header="0" w:footer="0" w:gutter="0"/>
          <w:cols w:space="720"/>
          <w:bidi/>
          <w:rtlGutter/>
          <w:docGrid w:linePitch="360"/>
        </w:sectPr>
      </w:pPr>
    </w:p>
    <w:p w14:paraId="46751161" w14:textId="77777777" w:rsidR="00392DBB" w:rsidRDefault="00392DBB" w:rsidP="00392DBB">
      <w:pPr>
        <w:pStyle w:val="1"/>
        <w:rPr>
          <w:rtl/>
        </w:rPr>
      </w:pPr>
      <w:r>
        <w:rPr>
          <w:rFonts w:hint="cs"/>
          <w:rtl/>
        </w:rPr>
        <w:lastRenderedPageBreak/>
        <w:t>סימן קי:</w:t>
      </w:r>
      <w:r w:rsidRPr="00C12B74">
        <w:rPr>
          <w:rtl/>
        </w:rPr>
        <w:t xml:space="preserve"> </w:t>
      </w:r>
      <w:r>
        <w:rPr>
          <w:rFonts w:cs="Arial"/>
          <w:rtl/>
        </w:rPr>
        <w:t xml:space="preserve">שכותבין שובר לאשה אף על פי שאין בעלה עמה, ובו ב' סעיפים. </w:t>
      </w:r>
    </w:p>
    <w:p w14:paraId="14288A9D" w14:textId="4C3BF63C" w:rsidR="00392DBB" w:rsidRDefault="00392DBB" w:rsidP="000F64D0">
      <w:pPr>
        <w:pStyle w:val="2"/>
        <w:rPr>
          <w:rtl/>
        </w:rPr>
      </w:pPr>
      <w:r>
        <w:rPr>
          <w:rtl/>
        </w:rPr>
        <w:t>סעיף א</w:t>
      </w:r>
      <w:r w:rsidR="00A91D0A">
        <w:rPr>
          <w:rFonts w:hint="cs"/>
          <w:rtl/>
        </w:rPr>
        <w:t>:</w:t>
      </w:r>
      <w:r w:rsidR="005D0289">
        <w:rPr>
          <w:rFonts w:hint="cs"/>
          <w:rtl/>
        </w:rPr>
        <w:t xml:space="preserve"> כתיבת שובר לבעל על פרעון הכתובה.</w:t>
      </w:r>
    </w:p>
    <w:p w14:paraId="33623F74" w14:textId="118BD1B1" w:rsidR="009168AF" w:rsidRPr="009168AF" w:rsidRDefault="009168AF" w:rsidP="009168AF">
      <w:pPr>
        <w:rPr>
          <w:rtl/>
        </w:rPr>
      </w:pPr>
      <w:r w:rsidRPr="009168AF">
        <w:rPr>
          <w:rFonts w:cs="Arial" w:hint="cs"/>
          <w:b/>
          <w:bCs/>
          <w:rtl/>
        </w:rPr>
        <w:t xml:space="preserve">בבא בתרא </w:t>
      </w:r>
      <w:r w:rsidRPr="009168AF">
        <w:rPr>
          <w:rFonts w:cs="Arial" w:hint="cs"/>
          <w:b/>
          <w:bCs/>
          <w:sz w:val="16"/>
          <w:szCs w:val="16"/>
          <w:rtl/>
        </w:rPr>
        <w:t>(פ' גט פשוט)</w:t>
      </w:r>
      <w:r w:rsidRPr="009168AF">
        <w:rPr>
          <w:rFonts w:cs="Arial" w:hint="cs"/>
          <w:b/>
          <w:bCs/>
          <w:rtl/>
        </w:rPr>
        <w:t xml:space="preserve"> קסז</w:t>
      </w:r>
      <w:r w:rsidR="00830C6B">
        <w:rPr>
          <w:rStyle w:val="a7"/>
          <w:rFonts w:cs="Arial"/>
          <w:b/>
          <w:bCs/>
          <w:rtl/>
        </w:rPr>
        <w:footnoteReference w:id="2358"/>
      </w:r>
      <w:r w:rsidRPr="009168AF">
        <w:rPr>
          <w:rFonts w:cs="Arial" w:hint="cs"/>
          <w:b/>
          <w:bCs/>
          <w:rtl/>
        </w:rPr>
        <w:t xml:space="preserve"> ע"א:</w:t>
      </w:r>
      <w:r>
        <w:rPr>
          <w:rFonts w:cs="Arial" w:hint="cs"/>
          <w:rtl/>
        </w:rPr>
        <w:t xml:space="preserve"> </w:t>
      </w:r>
      <w:r w:rsidRPr="009168AF">
        <w:rPr>
          <w:rFonts w:cs="Arial"/>
          <w:u w:val="double"/>
          <w:rtl/>
        </w:rPr>
        <w:t>מתני'</w:t>
      </w:r>
      <w:r>
        <w:rPr>
          <w:rFonts w:cs="Arial" w:hint="cs"/>
          <w:rtl/>
        </w:rPr>
        <w:t>:</w:t>
      </w:r>
      <w:r w:rsidRPr="009168AF">
        <w:rPr>
          <w:rFonts w:cs="Arial"/>
          <w:rtl/>
        </w:rPr>
        <w:t xml:space="preserve"> כותבין גט לאיש אף על פי שאין אשתו עמו, והשובר לאשה - אף על פי שאין בעלה עמה, ובלבד שיהא מכירן; והבעל נותן שכר.</w:t>
      </w:r>
      <w:r w:rsidR="002F3538">
        <w:rPr>
          <w:rFonts w:hint="cs"/>
          <w:rtl/>
        </w:rPr>
        <w:t xml:space="preserve">..       </w:t>
      </w:r>
      <w:r w:rsidR="002F3538" w:rsidRPr="002F3538">
        <w:rPr>
          <w:rFonts w:cs="Arial"/>
          <w:u w:val="double"/>
          <w:rtl/>
        </w:rPr>
        <w:t>גמ'</w:t>
      </w:r>
      <w:r w:rsidR="002F3538">
        <w:rPr>
          <w:rFonts w:cs="Arial" w:hint="cs"/>
          <w:sz w:val="14"/>
          <w:szCs w:val="14"/>
          <w:u w:val="double"/>
          <w:rtl/>
        </w:rPr>
        <w:t>(קסז:)</w:t>
      </w:r>
      <w:r w:rsidR="002F3538" w:rsidRPr="002F3538">
        <w:rPr>
          <w:rFonts w:cs="Arial" w:hint="cs"/>
          <w:u w:val="double"/>
          <w:rtl/>
        </w:rPr>
        <w:t>:</w:t>
      </w:r>
      <w:r w:rsidR="002F3538" w:rsidRPr="002F3538">
        <w:rPr>
          <w:rFonts w:cs="Arial"/>
          <w:rtl/>
        </w:rPr>
        <w:t xml:space="preserve"> מאי ובלבד שיהא מכירן?</w:t>
      </w:r>
      <w:r w:rsidR="00A53584">
        <w:rPr>
          <w:rFonts w:cs="Arial" w:hint="cs"/>
          <w:rtl/>
        </w:rPr>
        <w:t>...</w:t>
      </w:r>
      <w:r w:rsidR="00A53584" w:rsidRPr="00A53584">
        <w:rPr>
          <w:rtl/>
        </w:rPr>
        <w:t xml:space="preserve"> </w:t>
      </w:r>
      <w:r w:rsidR="00A53584" w:rsidRPr="00A53584">
        <w:rPr>
          <w:rFonts w:cs="Arial"/>
          <w:u w:val="single"/>
          <w:rtl/>
        </w:rPr>
        <w:t>אמר להו אביי</w:t>
      </w:r>
      <w:r w:rsidR="00A53584">
        <w:rPr>
          <w:rFonts w:cs="Arial" w:hint="cs"/>
          <w:rtl/>
        </w:rPr>
        <w:t>:</w:t>
      </w:r>
      <w:r w:rsidR="00A53584" w:rsidRPr="00A53584">
        <w:rPr>
          <w:rFonts w:cs="Arial"/>
          <w:rtl/>
        </w:rPr>
        <w:t xml:space="preserve"> הכי אמר רב: שם האיש בגט, והוא הדין לשם האשה; שם האשה בשובר, והוא הדין לשם האיש.</w:t>
      </w:r>
    </w:p>
    <w:p w14:paraId="14AB1283" w14:textId="6801BD8B" w:rsidR="005D0289" w:rsidRPr="00FB3F97" w:rsidRDefault="005D0289" w:rsidP="005D0289">
      <w:pPr>
        <w:rPr>
          <w:u w:val="single"/>
          <w:rtl/>
        </w:rPr>
      </w:pPr>
      <w:r w:rsidRPr="00FB3F97">
        <w:rPr>
          <w:rFonts w:hint="cs"/>
          <w:u w:val="single"/>
          <w:rtl/>
        </w:rPr>
        <w:t xml:space="preserve">כתיבת שובר לבעל על פרעון הכתובה - </w:t>
      </w:r>
      <w:r w:rsidR="00FB3F97" w:rsidRPr="00FB3F97">
        <w:rPr>
          <w:rFonts w:hint="cs"/>
          <w:u w:val="single"/>
          <w:rtl/>
        </w:rPr>
        <w:t>אע"פ שאין הבעל שם:</w:t>
      </w:r>
    </w:p>
    <w:p w14:paraId="2D1C89C0" w14:textId="7F4E8E79" w:rsidR="0085189D" w:rsidRDefault="006A66DE" w:rsidP="006A66DE">
      <w:pPr>
        <w:pStyle w:val="ab"/>
        <w:numPr>
          <w:ilvl w:val="0"/>
          <w:numId w:val="91"/>
        </w:numPr>
        <w:rPr>
          <w:rFonts w:cs="Arial"/>
        </w:rPr>
      </w:pPr>
      <w:r w:rsidRPr="006A66DE">
        <w:rPr>
          <w:rFonts w:cs="Arial" w:hint="cs"/>
          <w:rtl/>
        </w:rPr>
        <w:t xml:space="preserve">טור- </w:t>
      </w:r>
      <w:r w:rsidRPr="006A66DE">
        <w:rPr>
          <w:rFonts w:cs="Arial"/>
          <w:rtl/>
        </w:rPr>
        <w:t>האשה שבאה ליפרע מכתובתה והוא במקום שאין כותבין</w:t>
      </w:r>
      <w:r w:rsidR="00486B32">
        <w:rPr>
          <w:rFonts w:cs="Arial" w:hint="cs"/>
          <w:rtl/>
        </w:rPr>
        <w:t>,</w:t>
      </w:r>
      <w:r w:rsidRPr="006A66DE">
        <w:rPr>
          <w:rFonts w:cs="Arial"/>
          <w:rtl/>
        </w:rPr>
        <w:t xml:space="preserve"> או במקום שכותבים והביאה עדים שאבדה כתובתה</w:t>
      </w:r>
      <w:r w:rsidR="00486B32">
        <w:rPr>
          <w:rFonts w:cs="Arial" w:hint="cs"/>
          <w:rtl/>
        </w:rPr>
        <w:t>,</w:t>
      </w:r>
      <w:r w:rsidRPr="006A66DE">
        <w:rPr>
          <w:rFonts w:cs="Arial"/>
          <w:rtl/>
        </w:rPr>
        <w:t xml:space="preserve"> וצריכין לכתוב שובר לבעלה שנפרעה מכתובתה</w:t>
      </w:r>
      <w:r w:rsidR="00486B32">
        <w:rPr>
          <w:rFonts w:cs="Arial" w:hint="cs"/>
          <w:rtl/>
        </w:rPr>
        <w:t>,</w:t>
      </w:r>
      <w:r w:rsidRPr="006A66DE">
        <w:rPr>
          <w:rFonts w:cs="Arial"/>
          <w:rtl/>
        </w:rPr>
        <w:t xml:space="preserve"> ובאה לסופר שיכתוב לה שובר </w:t>
      </w:r>
      <w:r w:rsidR="00486B32">
        <w:rPr>
          <w:rFonts w:cs="Arial" w:hint="cs"/>
          <w:rtl/>
        </w:rPr>
        <w:t xml:space="preserve">- </w:t>
      </w:r>
      <w:r w:rsidRPr="006A66DE">
        <w:rPr>
          <w:rFonts w:cs="Arial"/>
          <w:rtl/>
        </w:rPr>
        <w:t>כותב לה אע</w:t>
      </w:r>
      <w:r w:rsidR="00486B32">
        <w:rPr>
          <w:rFonts w:cs="Arial" w:hint="cs"/>
          <w:rtl/>
        </w:rPr>
        <w:t>"</w:t>
      </w:r>
      <w:r w:rsidRPr="006A66DE">
        <w:rPr>
          <w:rFonts w:cs="Arial"/>
          <w:rtl/>
        </w:rPr>
        <w:t>פ שאין בעלה עמה</w:t>
      </w:r>
      <w:r w:rsidR="00486B32">
        <w:rPr>
          <w:rFonts w:cs="Arial" w:hint="cs"/>
          <w:rtl/>
        </w:rPr>
        <w:t>,</w:t>
      </w:r>
      <w:r w:rsidRPr="006A66DE">
        <w:rPr>
          <w:rFonts w:cs="Arial"/>
          <w:rtl/>
        </w:rPr>
        <w:t xml:space="preserve"> והוא שיכיר שם האשה ושם בעלה</w:t>
      </w:r>
      <w:r w:rsidR="005D0289">
        <w:rPr>
          <w:rFonts w:cs="Arial" w:hint="cs"/>
          <w:rtl/>
        </w:rPr>
        <w:t>,</w:t>
      </w:r>
      <w:r w:rsidRPr="006A66DE">
        <w:rPr>
          <w:rFonts w:cs="Arial"/>
          <w:rtl/>
        </w:rPr>
        <w:t xml:space="preserve"> והבעל נותן שכר הסופר</w:t>
      </w:r>
      <w:r w:rsidR="005D0289">
        <w:rPr>
          <w:rFonts w:cs="Arial" w:hint="cs"/>
          <w:rtl/>
        </w:rPr>
        <w:t>.</w:t>
      </w:r>
      <w:r w:rsidR="003C2F9D" w:rsidRPr="003C2F9D">
        <w:rPr>
          <w:rFonts w:asciiTheme="minorBidi" w:hAnsiTheme="minorBidi"/>
          <w:color w:val="E36C0A" w:themeColor="accent6" w:themeShade="BF"/>
          <w:rtl/>
        </w:rPr>
        <w:t xml:space="preserve"> </w:t>
      </w:r>
      <w:r w:rsidR="003C2F9D" w:rsidRPr="00351B7D">
        <w:rPr>
          <w:rFonts w:asciiTheme="minorBidi" w:hAnsiTheme="minorBidi"/>
          <w:color w:val="E36C0A" w:themeColor="accent6" w:themeShade="BF"/>
          <w:rtl/>
        </w:rPr>
        <w:t>(וכ"</w:t>
      </w:r>
      <w:r w:rsidR="003C2F9D">
        <w:rPr>
          <w:rFonts w:asciiTheme="minorBidi" w:hAnsiTheme="minorBidi" w:hint="cs"/>
          <w:color w:val="E36C0A" w:themeColor="accent6" w:themeShade="BF"/>
          <w:rtl/>
        </w:rPr>
        <w:t>פ</w:t>
      </w:r>
      <w:r w:rsidR="003C2F9D" w:rsidRPr="00351B7D">
        <w:rPr>
          <w:rFonts w:asciiTheme="minorBidi" w:hAnsiTheme="minorBidi"/>
          <w:color w:val="E36C0A" w:themeColor="accent6" w:themeShade="BF"/>
          <w:rtl/>
        </w:rPr>
        <w:t xml:space="preserve"> בשו"ע)</w:t>
      </w:r>
    </w:p>
    <w:p w14:paraId="5BA70AFC" w14:textId="77777777" w:rsidR="00906E18" w:rsidRDefault="0085189D" w:rsidP="0085189D">
      <w:pPr>
        <w:rPr>
          <w:rFonts w:cs="Arial"/>
          <w:rtl/>
        </w:rPr>
      </w:pPr>
      <w:r w:rsidRPr="009168AF">
        <w:rPr>
          <w:rFonts w:cs="Arial" w:hint="cs"/>
          <w:b/>
          <w:bCs/>
          <w:rtl/>
        </w:rPr>
        <w:t xml:space="preserve">בבא בתרא </w:t>
      </w:r>
      <w:r w:rsidRPr="009168AF">
        <w:rPr>
          <w:rFonts w:cs="Arial" w:hint="cs"/>
          <w:b/>
          <w:bCs/>
          <w:sz w:val="16"/>
          <w:szCs w:val="16"/>
          <w:rtl/>
        </w:rPr>
        <w:t>(פ' גט פשוט)</w:t>
      </w:r>
      <w:r w:rsidRPr="009168AF">
        <w:rPr>
          <w:rFonts w:cs="Arial" w:hint="cs"/>
          <w:b/>
          <w:bCs/>
          <w:rtl/>
        </w:rPr>
        <w:t xml:space="preserve"> קסז</w:t>
      </w:r>
      <w:r w:rsidR="00FA795F">
        <w:rPr>
          <w:rStyle w:val="a7"/>
          <w:rFonts w:cs="Arial"/>
          <w:b/>
          <w:bCs/>
          <w:rtl/>
        </w:rPr>
        <w:footnoteReference w:id="2359"/>
      </w:r>
      <w:r w:rsidRPr="009168AF">
        <w:rPr>
          <w:rFonts w:cs="Arial" w:hint="cs"/>
          <w:b/>
          <w:bCs/>
          <w:rtl/>
        </w:rPr>
        <w:t xml:space="preserve"> ע"</w:t>
      </w:r>
      <w:r>
        <w:rPr>
          <w:rFonts w:cs="Arial" w:hint="cs"/>
          <w:b/>
          <w:bCs/>
          <w:rtl/>
        </w:rPr>
        <w:t>ב</w:t>
      </w:r>
      <w:r w:rsidRPr="009168AF">
        <w:rPr>
          <w:rFonts w:cs="Arial" w:hint="cs"/>
          <w:b/>
          <w:bCs/>
          <w:rtl/>
        </w:rPr>
        <w:t>:</w:t>
      </w:r>
      <w:r>
        <w:rPr>
          <w:rFonts w:cs="Arial" w:hint="cs"/>
          <w:rtl/>
        </w:rPr>
        <w:t xml:space="preserve"> </w:t>
      </w:r>
      <w:r w:rsidRPr="0085189D">
        <w:rPr>
          <w:rFonts w:cs="Arial"/>
          <w:rtl/>
        </w:rPr>
        <w:t xml:space="preserve">ההוא תברא דהוה חתים עלה רב ירמיה בר אבא, אתיא לקמיה ההיא איתתא, אמרה ליה: לאו אנא הואי, אמר: אנא נמי אמרי להו לאו איהי היא, ואמרו לי: מיקש הוא דקשא לה ובגר לה קלא; </w:t>
      </w:r>
      <w:r w:rsidRPr="0085189D">
        <w:rPr>
          <w:rFonts w:cs="Arial"/>
          <w:u w:val="single"/>
          <w:rtl/>
        </w:rPr>
        <w:t>אמר אביי</w:t>
      </w:r>
      <w:r>
        <w:rPr>
          <w:rFonts w:cs="Arial" w:hint="cs"/>
          <w:rtl/>
        </w:rPr>
        <w:t>:</w:t>
      </w:r>
      <w:r w:rsidRPr="0085189D">
        <w:rPr>
          <w:rFonts w:cs="Arial"/>
          <w:rtl/>
        </w:rPr>
        <w:t xml:space="preserve"> אף על גב דאמור רבנן:</w:t>
      </w:r>
      <w:r w:rsidR="006A66DE" w:rsidRPr="0085189D">
        <w:rPr>
          <w:rFonts w:cs="Arial"/>
          <w:rtl/>
        </w:rPr>
        <w:t xml:space="preserve"> </w:t>
      </w:r>
      <w:r>
        <w:rPr>
          <w:rFonts w:cs="Arial" w:hint="cs"/>
          <w:sz w:val="14"/>
          <w:szCs w:val="14"/>
          <w:rtl/>
        </w:rPr>
        <w:t xml:space="preserve">(קסח.) </w:t>
      </w:r>
      <w:r w:rsidRPr="0085189D">
        <w:rPr>
          <w:rFonts w:cs="Arial"/>
          <w:rtl/>
        </w:rPr>
        <w:t>כיון שהגיד שוב אינו חוזר ומגיד, צורבא מרבנן לאו אורחיה למידק.</w:t>
      </w:r>
      <w:r w:rsidR="005F5329" w:rsidRPr="005F5329">
        <w:rPr>
          <w:rtl/>
        </w:rPr>
        <w:t xml:space="preserve"> </w:t>
      </w:r>
      <w:r w:rsidR="005F5329" w:rsidRPr="005F5329">
        <w:rPr>
          <w:rFonts w:cs="Arial"/>
          <w:rtl/>
        </w:rPr>
        <w:t>ההוא תברא דהוה חתים עליה רב ירמיה בר אבא, אמרה ליה: לאו אנא הואי, אמר לה: איברא אנת הות; אמר אביי: אף על גב דצורבא מרבנן לאו אורחיה למידק, כיון דדק - דק.</w:t>
      </w:r>
    </w:p>
    <w:p w14:paraId="36D9A94A" w14:textId="2AC03F3E" w:rsidR="005D0289" w:rsidRPr="003C2F9D" w:rsidRDefault="00906E18" w:rsidP="0085189D">
      <w:pPr>
        <w:rPr>
          <w:rFonts w:cs="Arial"/>
          <w:u w:val="single"/>
        </w:rPr>
      </w:pPr>
      <w:r w:rsidRPr="003C2F9D">
        <w:rPr>
          <w:rFonts w:cs="Arial" w:hint="cs"/>
          <w:u w:val="single"/>
          <w:rtl/>
        </w:rPr>
        <w:t xml:space="preserve">תלמיד חכם שחתם על </w:t>
      </w:r>
      <w:r w:rsidR="003C2F9D" w:rsidRPr="003C2F9D">
        <w:rPr>
          <w:rFonts w:cs="Arial" w:hint="cs"/>
          <w:u w:val="single"/>
          <w:rtl/>
        </w:rPr>
        <w:t>כתובת אשה שנפרעה - וחזר בו בזיהוי האשה:</w:t>
      </w:r>
      <w:r w:rsidR="005F5329" w:rsidRPr="003C2F9D">
        <w:rPr>
          <w:rFonts w:cs="Arial"/>
          <w:u w:val="single"/>
          <w:rtl/>
        </w:rPr>
        <w:t xml:space="preserve"> </w:t>
      </w:r>
    </w:p>
    <w:p w14:paraId="2F25FCA7" w14:textId="7AE9824C" w:rsidR="006A66DE" w:rsidRDefault="005D0289" w:rsidP="006A66DE">
      <w:pPr>
        <w:pStyle w:val="ab"/>
        <w:numPr>
          <w:ilvl w:val="0"/>
          <w:numId w:val="91"/>
        </w:numPr>
        <w:rPr>
          <w:rFonts w:cs="Arial"/>
        </w:rPr>
      </w:pPr>
      <w:r>
        <w:rPr>
          <w:rFonts w:cs="Arial" w:hint="cs"/>
          <w:rtl/>
        </w:rPr>
        <w:t xml:space="preserve">טור- </w:t>
      </w:r>
      <w:r w:rsidR="006A66DE" w:rsidRPr="006A66DE">
        <w:rPr>
          <w:rFonts w:cs="Arial"/>
          <w:rtl/>
        </w:rPr>
        <w:t>ת"ח שחתם על שובר של כתובת אשה שנפרעה</w:t>
      </w:r>
      <w:r w:rsidR="005F5329">
        <w:rPr>
          <w:rFonts w:cs="Arial" w:hint="cs"/>
          <w:rtl/>
        </w:rPr>
        <w:t>,</w:t>
      </w:r>
      <w:r w:rsidR="006A66DE" w:rsidRPr="006A66DE">
        <w:rPr>
          <w:rFonts w:cs="Arial"/>
          <w:rtl/>
        </w:rPr>
        <w:t xml:space="preserve"> ובאה האשה שכתובה בו ואומרת לא צויתי לכותבו אלא אחרת ששמי כשמה צותה לכותבו</w:t>
      </w:r>
      <w:r w:rsidR="005F5329">
        <w:rPr>
          <w:rFonts w:cs="Arial" w:hint="cs"/>
          <w:rtl/>
        </w:rPr>
        <w:t>,</w:t>
      </w:r>
      <w:r w:rsidR="006A66DE" w:rsidRPr="006A66DE">
        <w:rPr>
          <w:rFonts w:cs="Arial"/>
          <w:rtl/>
        </w:rPr>
        <w:t xml:space="preserve"> והודה לדבריה ואמר לא זו היא שצותה לכותבו </w:t>
      </w:r>
      <w:r w:rsidR="005F5329">
        <w:rPr>
          <w:rFonts w:cs="Arial" w:hint="cs"/>
          <w:rtl/>
        </w:rPr>
        <w:t xml:space="preserve">- </w:t>
      </w:r>
      <w:r w:rsidR="006A66DE" w:rsidRPr="006A66DE">
        <w:rPr>
          <w:rFonts w:cs="Arial"/>
          <w:rtl/>
        </w:rPr>
        <w:t>יכול לחזור בו מדבריו הראשונים</w:t>
      </w:r>
      <w:r w:rsidR="005F5329">
        <w:rPr>
          <w:rFonts w:cs="Arial" w:hint="cs"/>
          <w:rtl/>
        </w:rPr>
        <w:t>,</w:t>
      </w:r>
      <w:r w:rsidR="006A66DE" w:rsidRPr="006A66DE">
        <w:rPr>
          <w:rFonts w:cs="Arial"/>
          <w:rtl/>
        </w:rPr>
        <w:t xml:space="preserve"> ואין כאן משום חוזר ומגיד</w:t>
      </w:r>
      <w:r w:rsidR="005F5329">
        <w:rPr>
          <w:rFonts w:cs="Arial" w:hint="cs"/>
          <w:rtl/>
        </w:rPr>
        <w:t>.</w:t>
      </w:r>
      <w:r w:rsidR="006A66DE" w:rsidRPr="006A66DE">
        <w:rPr>
          <w:rFonts w:cs="Arial"/>
          <w:rtl/>
        </w:rPr>
        <w:t xml:space="preserve"> אבל אם אמר תחלה ברי לי שאינה זאת </w:t>
      </w:r>
      <w:r w:rsidR="005F5329">
        <w:rPr>
          <w:rFonts w:cs="Arial" w:hint="cs"/>
          <w:rtl/>
        </w:rPr>
        <w:t xml:space="preserve">- </w:t>
      </w:r>
      <w:r w:rsidR="006A66DE" w:rsidRPr="006A66DE">
        <w:rPr>
          <w:rFonts w:cs="Arial"/>
          <w:rtl/>
        </w:rPr>
        <w:t>אינו יכול לחזור בו</w:t>
      </w:r>
      <w:r w:rsidR="006A66DE">
        <w:rPr>
          <w:rFonts w:cs="Arial" w:hint="cs"/>
          <w:rtl/>
        </w:rPr>
        <w:t>.</w:t>
      </w:r>
      <w:r w:rsidR="003C2F9D" w:rsidRPr="003C2F9D">
        <w:rPr>
          <w:rFonts w:cs="Arial" w:hint="cs"/>
          <w:color w:val="00B0F0"/>
          <w:rtl/>
        </w:rPr>
        <w:t xml:space="preserve"> </w:t>
      </w:r>
      <w:r w:rsidR="003C2F9D" w:rsidRPr="00D0029A">
        <w:rPr>
          <w:rFonts w:cs="Arial" w:hint="cs"/>
          <w:color w:val="00B0F0"/>
          <w:rtl/>
        </w:rPr>
        <w:t xml:space="preserve">(וכ"פ </w:t>
      </w:r>
      <w:r w:rsidR="003C2F9D">
        <w:rPr>
          <w:rFonts w:cs="Arial" w:hint="cs"/>
          <w:color w:val="00B0F0"/>
          <w:rtl/>
        </w:rPr>
        <w:t>הרמ"א</w:t>
      </w:r>
      <w:r w:rsidR="003C2F9D" w:rsidRPr="00D0029A">
        <w:rPr>
          <w:rFonts w:cs="Arial" w:hint="cs"/>
          <w:color w:val="00B0F0"/>
          <w:rtl/>
        </w:rPr>
        <w:t>)</w:t>
      </w:r>
      <w:r w:rsidR="006A66DE" w:rsidRPr="006A66DE">
        <w:rPr>
          <w:rFonts w:cs="Arial"/>
          <w:rtl/>
        </w:rPr>
        <w:t xml:space="preserve"> </w:t>
      </w:r>
    </w:p>
    <w:p w14:paraId="725A6161"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B8ECA39" w14:textId="68F106BA" w:rsidR="00FB3F97" w:rsidRDefault="00392DBB" w:rsidP="00392DBB">
      <w:pPr>
        <w:rPr>
          <w:rFonts w:cs="Arial"/>
          <w:rtl/>
        </w:rPr>
      </w:pPr>
      <w:r>
        <w:rPr>
          <w:rFonts w:cs="Arial"/>
          <w:rtl/>
        </w:rPr>
        <w:t xml:space="preserve">כותבין שובר לאשה אף על פי שאין בעלה עמה, ובלבד שיהא מכירה. והבעל נותן את שכר הסופר. </w:t>
      </w:r>
      <w:r w:rsidRPr="00FB3F97">
        <w:rPr>
          <w:rFonts w:cs="Arial"/>
          <w:sz w:val="18"/>
          <w:szCs w:val="18"/>
          <w:rtl/>
        </w:rPr>
        <w:t>הגה: ותלמיד חכם שאין דרכו לדקדק בנשים, נאמן אח"כ לומר שטעה וכתב שובר לאשה אחרת על שם זו כי טעה בה</w:t>
      </w:r>
      <w:r w:rsidR="003C2F9D">
        <w:rPr>
          <w:rFonts w:cs="Arial" w:hint="cs"/>
          <w:sz w:val="18"/>
          <w:szCs w:val="18"/>
          <w:rtl/>
        </w:rPr>
        <w:t xml:space="preserve"> (גמרא)</w:t>
      </w:r>
      <w:r w:rsidRPr="00FB3F97">
        <w:rPr>
          <w:rFonts w:cs="Arial"/>
          <w:sz w:val="18"/>
          <w:szCs w:val="18"/>
          <w:rtl/>
        </w:rPr>
        <w:t>.</w:t>
      </w:r>
    </w:p>
    <w:p w14:paraId="1056B6DC" w14:textId="25D15AA2" w:rsidR="00392DBB" w:rsidRDefault="00392DBB" w:rsidP="00392DBB">
      <w:pPr>
        <w:rPr>
          <w:rtl/>
        </w:rPr>
      </w:pPr>
      <w:r>
        <w:rPr>
          <w:rFonts w:cs="Arial"/>
          <w:rtl/>
        </w:rPr>
        <w:t xml:space="preserve"> </w:t>
      </w:r>
    </w:p>
    <w:p w14:paraId="69B1C9B2" w14:textId="673588CE" w:rsidR="00392DBB" w:rsidRDefault="00392DBB" w:rsidP="000F64D0">
      <w:pPr>
        <w:pStyle w:val="2"/>
        <w:rPr>
          <w:rtl/>
        </w:rPr>
      </w:pPr>
      <w:r>
        <w:rPr>
          <w:rtl/>
        </w:rPr>
        <w:t>סעיף ב</w:t>
      </w:r>
      <w:r w:rsidR="006A66DE">
        <w:rPr>
          <w:rFonts w:hint="cs"/>
          <w:rtl/>
        </w:rPr>
        <w:t>:</w:t>
      </w:r>
      <w:r w:rsidR="003C2F9D" w:rsidRPr="003C2F9D">
        <w:rPr>
          <w:rtl/>
        </w:rPr>
        <w:t xml:space="preserve"> </w:t>
      </w:r>
      <w:r w:rsidR="003C2F9D" w:rsidRPr="006A66DE">
        <w:rPr>
          <w:rtl/>
        </w:rPr>
        <w:t>המוצא שובר כתוב על שם האשה שנפרעה כתובתה</w:t>
      </w:r>
      <w:r w:rsidR="003C2F9D">
        <w:rPr>
          <w:rFonts w:hint="cs"/>
          <w:rtl/>
        </w:rPr>
        <w:t>.</w:t>
      </w:r>
    </w:p>
    <w:p w14:paraId="0BCE2DF1" w14:textId="36F64A88" w:rsidR="003C2F9D" w:rsidRPr="003C2F9D" w:rsidRDefault="003C2F9D" w:rsidP="003C2F9D">
      <w:pPr>
        <w:rPr>
          <w:rtl/>
        </w:rPr>
      </w:pPr>
      <w:r w:rsidRPr="00FE0D23">
        <w:rPr>
          <w:rFonts w:hint="cs"/>
          <w:b/>
          <w:bCs/>
          <w:rtl/>
        </w:rPr>
        <w:t xml:space="preserve">בבא מציעא </w:t>
      </w:r>
      <w:r w:rsidRPr="00FE0D23">
        <w:rPr>
          <w:rFonts w:hint="cs"/>
          <w:b/>
          <w:bCs/>
          <w:sz w:val="16"/>
          <w:szCs w:val="16"/>
          <w:rtl/>
        </w:rPr>
        <w:t xml:space="preserve">(ספ"ק) </w:t>
      </w:r>
      <w:r w:rsidRPr="00FE0D23">
        <w:rPr>
          <w:rFonts w:hint="cs"/>
          <w:b/>
          <w:bCs/>
          <w:rtl/>
        </w:rPr>
        <w:t>יט</w:t>
      </w:r>
      <w:r w:rsidR="00B13D23">
        <w:rPr>
          <w:rStyle w:val="a7"/>
          <w:rFonts w:cs="Arial"/>
          <w:b/>
          <w:bCs/>
          <w:rtl/>
        </w:rPr>
        <w:footnoteReference w:id="2360"/>
      </w:r>
      <w:r w:rsidRPr="00FE0D23">
        <w:rPr>
          <w:rFonts w:hint="cs"/>
          <w:b/>
          <w:bCs/>
          <w:rtl/>
        </w:rPr>
        <w:t xml:space="preserve"> ע"</w:t>
      </w:r>
      <w:r w:rsidR="00FE0D23">
        <w:rPr>
          <w:rFonts w:hint="cs"/>
          <w:b/>
          <w:bCs/>
          <w:rtl/>
        </w:rPr>
        <w:t>ב</w:t>
      </w:r>
      <w:r w:rsidRPr="00FE0D23">
        <w:rPr>
          <w:rFonts w:hint="cs"/>
          <w:b/>
          <w:bCs/>
          <w:rtl/>
        </w:rPr>
        <w:t>:</w:t>
      </w:r>
      <w:r>
        <w:rPr>
          <w:rFonts w:hint="cs"/>
          <w:rtl/>
        </w:rPr>
        <w:t xml:space="preserve"> </w:t>
      </w:r>
      <w:r w:rsidR="00FE0D23" w:rsidRPr="00FE0D23">
        <w:rPr>
          <w:rFonts w:cs="Arial"/>
          <w:rtl/>
        </w:rPr>
        <w:t>תנו רבנן: מצא שובר, בזמן שהאשה מודה - יחזיר לבעל, אין האשה מודה - לא יחזיר לא לזה ולא לזה.</w:t>
      </w:r>
    </w:p>
    <w:p w14:paraId="0A257ECC" w14:textId="0B870293" w:rsidR="003C2F9D" w:rsidRPr="003C2F9D" w:rsidRDefault="003C2F9D" w:rsidP="003C2F9D">
      <w:pPr>
        <w:rPr>
          <w:u w:val="single"/>
          <w:rtl/>
        </w:rPr>
      </w:pPr>
      <w:r w:rsidRPr="003C2F9D">
        <w:rPr>
          <w:rFonts w:cs="Arial"/>
          <w:u w:val="single"/>
          <w:rtl/>
        </w:rPr>
        <w:t>המוצא שובר כתוב על שם האשה שנפרעה כתובתה</w:t>
      </w:r>
      <w:r w:rsidRPr="003C2F9D">
        <w:rPr>
          <w:rFonts w:hint="cs"/>
          <w:u w:val="single"/>
          <w:rtl/>
        </w:rPr>
        <w:t>:</w:t>
      </w:r>
    </w:p>
    <w:p w14:paraId="1BA1690A" w14:textId="53240CB1" w:rsidR="006A66DE" w:rsidRPr="006A66DE" w:rsidRDefault="006A66DE" w:rsidP="006A66DE">
      <w:pPr>
        <w:pStyle w:val="ab"/>
        <w:numPr>
          <w:ilvl w:val="0"/>
          <w:numId w:val="91"/>
        </w:numPr>
        <w:rPr>
          <w:rFonts w:cs="Arial"/>
          <w:rtl/>
        </w:rPr>
      </w:pPr>
      <w:r>
        <w:rPr>
          <w:rFonts w:cs="Arial" w:hint="cs"/>
          <w:rtl/>
        </w:rPr>
        <w:t xml:space="preserve">טור- </w:t>
      </w:r>
      <w:r w:rsidRPr="006A66DE">
        <w:rPr>
          <w:rFonts w:cs="Arial"/>
          <w:rtl/>
        </w:rPr>
        <w:t>המוצא שובר כתוב על שם האשה שנפרעה כתובתה</w:t>
      </w:r>
      <w:r w:rsidR="003C2F9D">
        <w:rPr>
          <w:rFonts w:cs="Arial" w:hint="cs"/>
          <w:rtl/>
        </w:rPr>
        <w:t>,</w:t>
      </w:r>
      <w:r w:rsidRPr="006A66DE">
        <w:rPr>
          <w:rFonts w:cs="Arial"/>
          <w:rtl/>
        </w:rPr>
        <w:t xml:space="preserve"> בזמן שהאשה מודה שנתנה לבעל </w:t>
      </w:r>
      <w:r w:rsidR="003C2F9D">
        <w:rPr>
          <w:rFonts w:cs="Arial" w:hint="cs"/>
          <w:rtl/>
        </w:rPr>
        <w:t xml:space="preserve">- </w:t>
      </w:r>
      <w:r w:rsidRPr="006A66DE">
        <w:rPr>
          <w:rFonts w:cs="Arial"/>
          <w:rtl/>
        </w:rPr>
        <w:t>יחזירנו לו</w:t>
      </w:r>
      <w:r w:rsidR="003C2F9D">
        <w:rPr>
          <w:rFonts w:cs="Arial" w:hint="cs"/>
          <w:rtl/>
        </w:rPr>
        <w:t>.</w:t>
      </w:r>
      <w:r w:rsidRPr="006A66DE">
        <w:rPr>
          <w:rFonts w:cs="Arial"/>
          <w:rtl/>
        </w:rPr>
        <w:t xml:space="preserve"> אינה מודה אלא אומרת ממני נפל </w:t>
      </w:r>
      <w:r w:rsidR="003C2F9D">
        <w:rPr>
          <w:rFonts w:cs="Arial" w:hint="cs"/>
          <w:rtl/>
        </w:rPr>
        <w:t xml:space="preserve">- </w:t>
      </w:r>
      <w:r w:rsidRPr="006A66DE">
        <w:rPr>
          <w:rFonts w:cs="Arial"/>
          <w:rtl/>
        </w:rPr>
        <w:t>לא יתנו לא לאיש ולא לאשה</w:t>
      </w:r>
      <w:r w:rsidR="003C2F9D">
        <w:rPr>
          <w:rFonts w:cs="Arial" w:hint="cs"/>
          <w:rtl/>
        </w:rPr>
        <w:t>.</w:t>
      </w:r>
      <w:r w:rsidR="00FE0D23" w:rsidRPr="00FE0D23">
        <w:rPr>
          <w:rFonts w:asciiTheme="minorBidi" w:hAnsiTheme="minorBidi"/>
          <w:color w:val="E36C0A" w:themeColor="accent6" w:themeShade="BF"/>
          <w:rtl/>
        </w:rPr>
        <w:t xml:space="preserve"> </w:t>
      </w:r>
      <w:r w:rsidR="00FE0D23" w:rsidRPr="00351B7D">
        <w:rPr>
          <w:rFonts w:asciiTheme="minorBidi" w:hAnsiTheme="minorBidi"/>
          <w:color w:val="E36C0A" w:themeColor="accent6" w:themeShade="BF"/>
          <w:rtl/>
        </w:rPr>
        <w:t>(וכ"</w:t>
      </w:r>
      <w:r w:rsidR="00FE0D23">
        <w:rPr>
          <w:rFonts w:asciiTheme="minorBidi" w:hAnsiTheme="minorBidi" w:hint="cs"/>
          <w:color w:val="E36C0A" w:themeColor="accent6" w:themeShade="BF"/>
          <w:rtl/>
        </w:rPr>
        <w:t>פ</w:t>
      </w:r>
      <w:r w:rsidR="00FE0D23" w:rsidRPr="00351B7D">
        <w:rPr>
          <w:rFonts w:asciiTheme="minorBidi" w:hAnsiTheme="minorBidi"/>
          <w:color w:val="E36C0A" w:themeColor="accent6" w:themeShade="BF"/>
          <w:rtl/>
        </w:rPr>
        <w:t xml:space="preserve"> בשו"ע)</w:t>
      </w:r>
    </w:p>
    <w:p w14:paraId="64939F35"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E4FA387" w14:textId="77777777" w:rsidR="00392DBB" w:rsidRPr="007A3469" w:rsidRDefault="00392DBB" w:rsidP="00392DBB">
      <w:pPr>
        <w:rPr>
          <w:rtl/>
        </w:rPr>
        <w:sectPr w:rsidR="00392DBB" w:rsidRPr="007A3469" w:rsidSect="00A347B3">
          <w:headerReference w:type="default" r:id="rId54"/>
          <w:footnotePr>
            <w:numRestart w:val="eachSect"/>
          </w:footnotePr>
          <w:pgSz w:w="11906" w:h="16838"/>
          <w:pgMar w:top="720" w:right="1134" w:bottom="720" w:left="1134" w:header="0" w:footer="0" w:gutter="0"/>
          <w:cols w:space="720"/>
          <w:bidi/>
          <w:rtlGutter/>
          <w:docGrid w:linePitch="360"/>
        </w:sectPr>
      </w:pPr>
      <w:r>
        <w:rPr>
          <w:rFonts w:cs="Arial"/>
          <w:rtl/>
        </w:rPr>
        <w:t>המוצא שובר על שם האשה שנפרעה מכתובתה, בזמן שהאשה מודה שנתנתו לבעל, יחזירנו לו. ואם אינה מודה, אלא אומרת: ממנו נפל, לא יתננו לא לאיש ולא לאשה.</w:t>
      </w:r>
    </w:p>
    <w:p w14:paraId="20411B68" w14:textId="77777777" w:rsidR="00392DBB" w:rsidRDefault="00392DBB" w:rsidP="00392DBB">
      <w:pPr>
        <w:pStyle w:val="1"/>
        <w:rPr>
          <w:rtl/>
        </w:rPr>
      </w:pPr>
      <w:r>
        <w:rPr>
          <w:rFonts w:hint="cs"/>
          <w:rtl/>
        </w:rPr>
        <w:lastRenderedPageBreak/>
        <w:t>סימן קיא:</w:t>
      </w:r>
      <w:r w:rsidRPr="00C12B74">
        <w:rPr>
          <w:rtl/>
        </w:rPr>
        <w:t xml:space="preserve"> </w:t>
      </w:r>
      <w:r>
        <w:rPr>
          <w:rFonts w:cs="Arial"/>
          <w:rtl/>
        </w:rPr>
        <w:t xml:space="preserve">דין כתובת בנין דכרין, ובו י"ז סעיפים. </w:t>
      </w:r>
    </w:p>
    <w:p w14:paraId="7CC52272" w14:textId="77777777" w:rsidR="00392DBB" w:rsidRDefault="00392DBB" w:rsidP="000F64D0">
      <w:pPr>
        <w:pStyle w:val="2"/>
        <w:rPr>
          <w:rtl/>
        </w:rPr>
      </w:pPr>
      <w:r>
        <w:rPr>
          <w:rtl/>
        </w:rPr>
        <w:t>סעיף א</w:t>
      </w:r>
      <w:r>
        <w:rPr>
          <w:rFonts w:hint="cs"/>
          <w:rtl/>
        </w:rPr>
        <w:t>: כתובת בנין דכרין.</w:t>
      </w:r>
    </w:p>
    <w:p w14:paraId="31C75C10" w14:textId="1B156E34" w:rsidR="00392DBB" w:rsidRPr="003E4BB7" w:rsidRDefault="00392DBB" w:rsidP="00392DBB">
      <w:pPr>
        <w:rPr>
          <w:rtl/>
        </w:rPr>
      </w:pPr>
      <w:r w:rsidRPr="003E4BB7">
        <w:rPr>
          <w:rFonts w:cs="Arial" w:hint="cs"/>
          <w:b/>
          <w:bCs/>
          <w:rtl/>
        </w:rPr>
        <w:t xml:space="preserve">כתובות </w:t>
      </w:r>
      <w:r>
        <w:rPr>
          <w:rFonts w:cs="Arial" w:hint="cs"/>
          <w:b/>
          <w:bCs/>
          <w:sz w:val="16"/>
          <w:szCs w:val="16"/>
          <w:rtl/>
        </w:rPr>
        <w:t xml:space="preserve">(פ' נערה שנתפתתה) </w:t>
      </w:r>
      <w:r w:rsidR="00C43520">
        <w:rPr>
          <w:rFonts w:cs="Arial" w:hint="cs"/>
          <w:b/>
          <w:bCs/>
          <w:rtl/>
        </w:rPr>
        <w:t>נב</w:t>
      </w:r>
      <w:r w:rsidR="00C43520">
        <w:rPr>
          <w:rStyle w:val="a7"/>
          <w:rFonts w:cs="Arial"/>
          <w:b/>
          <w:bCs/>
          <w:rtl/>
        </w:rPr>
        <w:footnoteReference w:id="2361"/>
      </w:r>
      <w:r w:rsidR="00C43520" w:rsidRPr="003E4BB7">
        <w:rPr>
          <w:rFonts w:cs="Arial" w:hint="cs"/>
          <w:b/>
          <w:bCs/>
          <w:rtl/>
        </w:rPr>
        <w:t xml:space="preserve"> </w:t>
      </w:r>
      <w:r w:rsidRPr="003E4BB7">
        <w:rPr>
          <w:rFonts w:cs="Arial" w:hint="cs"/>
          <w:b/>
          <w:bCs/>
          <w:rtl/>
        </w:rPr>
        <w:t>ע"</w:t>
      </w:r>
      <w:r>
        <w:rPr>
          <w:rFonts w:cs="Arial" w:hint="cs"/>
          <w:b/>
          <w:bCs/>
          <w:rtl/>
        </w:rPr>
        <w:t>ב</w:t>
      </w:r>
      <w:r w:rsidRPr="003E4BB7">
        <w:rPr>
          <w:rFonts w:cs="Arial" w:hint="cs"/>
          <w:b/>
          <w:bCs/>
          <w:rtl/>
        </w:rPr>
        <w:t>:</w:t>
      </w:r>
      <w:r>
        <w:rPr>
          <w:rFonts w:cs="Arial" w:hint="cs"/>
          <w:rtl/>
        </w:rPr>
        <w:t xml:space="preserve"> </w:t>
      </w:r>
      <w:r w:rsidRPr="003E4BB7">
        <w:rPr>
          <w:rFonts w:cs="Arial"/>
          <w:u w:val="double"/>
          <w:rtl/>
        </w:rPr>
        <w:t>מתני'</w:t>
      </w:r>
      <w:r>
        <w:rPr>
          <w:rFonts w:cs="Arial" w:hint="cs"/>
          <w:rtl/>
        </w:rPr>
        <w:t>:</w:t>
      </w:r>
      <w:r w:rsidRPr="007D127A">
        <w:rPr>
          <w:rFonts w:cs="Arial"/>
          <w:rtl/>
        </w:rPr>
        <w:t xml:space="preserve"> לא כתב לה בנין דכרין דיהוו ליכי מינאי, אינון ירתון כסף כתובתיך יתר על חולקהון דעם אחוהון</w:t>
      </w:r>
      <w:r>
        <w:rPr>
          <w:rStyle w:val="a7"/>
          <w:rFonts w:cs="Arial"/>
          <w:rtl/>
        </w:rPr>
        <w:footnoteReference w:id="2362"/>
      </w:r>
      <w:r w:rsidRPr="007D127A">
        <w:rPr>
          <w:rFonts w:cs="Arial"/>
          <w:rtl/>
        </w:rPr>
        <w:t xml:space="preserve"> - חייב, שהוא תנאי ב"ד.</w:t>
      </w:r>
      <w:r>
        <w:rPr>
          <w:rFonts w:cs="Arial" w:hint="cs"/>
          <w:rtl/>
        </w:rPr>
        <w:t>.</w:t>
      </w:r>
      <w:r w:rsidRPr="007D127A">
        <w:rPr>
          <w:rFonts w:cs="Arial"/>
          <w:rtl/>
        </w:rPr>
        <w:t>.</w:t>
      </w:r>
      <w:r w:rsidRPr="005C2F9B">
        <w:rPr>
          <w:rtl/>
        </w:rPr>
        <w:t xml:space="preserve"> </w:t>
      </w:r>
      <w:r>
        <w:rPr>
          <w:rFonts w:cs="Arial" w:hint="cs"/>
          <w:rtl/>
        </w:rPr>
        <w:t xml:space="preserve">      </w:t>
      </w:r>
      <w:r w:rsidRPr="005C2F9B">
        <w:rPr>
          <w:rFonts w:cs="Arial"/>
          <w:u w:val="double"/>
          <w:rtl/>
        </w:rPr>
        <w:t>גמ'</w:t>
      </w:r>
      <w:r>
        <w:rPr>
          <w:rFonts w:cs="Arial" w:hint="cs"/>
          <w:rtl/>
        </w:rPr>
        <w:t>:</w:t>
      </w:r>
      <w:r w:rsidRPr="005C2F9B">
        <w:rPr>
          <w:rFonts w:cs="Arial"/>
          <w:rtl/>
        </w:rPr>
        <w:t xml:space="preserve"> </w:t>
      </w:r>
      <w:r w:rsidRPr="005C2F9B">
        <w:rPr>
          <w:rFonts w:cs="Arial"/>
          <w:u w:val="single"/>
          <w:rtl/>
        </w:rPr>
        <w:t>אמר רבי יוחנן משום רבי שמעון בן יוחאי</w:t>
      </w:r>
      <w:r w:rsidRPr="005C2F9B">
        <w:rPr>
          <w:rFonts w:cs="Arial"/>
          <w:rtl/>
        </w:rPr>
        <w:t>: מפני מה התקינו כתובת בנין דכרין</w:t>
      </w:r>
      <w:r>
        <w:rPr>
          <w:rStyle w:val="a7"/>
          <w:rFonts w:cs="Arial"/>
          <w:rtl/>
        </w:rPr>
        <w:footnoteReference w:id="2363"/>
      </w:r>
      <w:r w:rsidRPr="005C2F9B">
        <w:rPr>
          <w:rFonts w:cs="Arial"/>
          <w:rtl/>
        </w:rPr>
        <w:t>? כדי שיקפוץ אדם ויכתוב לבתו</w:t>
      </w:r>
      <w:r>
        <w:rPr>
          <w:rStyle w:val="a7"/>
          <w:rFonts w:cs="Arial"/>
          <w:rtl/>
        </w:rPr>
        <w:footnoteReference w:id="2364"/>
      </w:r>
      <w:r w:rsidRPr="005C2F9B">
        <w:rPr>
          <w:rFonts w:cs="Arial"/>
          <w:rtl/>
        </w:rPr>
        <w:t xml:space="preserve"> כבנו. ומי איכא מידי, דרחמנא אמר ברא לירות</w:t>
      </w:r>
      <w:r>
        <w:rPr>
          <w:rStyle w:val="a7"/>
          <w:rFonts w:cs="Arial"/>
          <w:rtl/>
        </w:rPr>
        <w:footnoteReference w:id="2365"/>
      </w:r>
      <w:r w:rsidRPr="005C2F9B">
        <w:rPr>
          <w:rFonts w:cs="Arial"/>
          <w:rtl/>
        </w:rPr>
        <w:t xml:space="preserve"> ברתא לא תירות, ואתו רבנן ומתקני דתירות ברתא</w:t>
      </w:r>
      <w:r>
        <w:rPr>
          <w:rStyle w:val="a7"/>
          <w:rFonts w:cs="Arial"/>
          <w:rtl/>
        </w:rPr>
        <w:footnoteReference w:id="2366"/>
      </w:r>
      <w:r w:rsidRPr="005C2F9B">
        <w:rPr>
          <w:rFonts w:cs="Arial"/>
          <w:rtl/>
        </w:rPr>
        <w:t>? הא נמי דאורייתא הוא, דכתיב: קחו נשים והולידו בנים ובנות וקחו לבניכם נשים ואת בנותיכם תנו לאנשים, בשלמא בנים בידיה קיימי</w:t>
      </w:r>
      <w:r>
        <w:rPr>
          <w:rStyle w:val="a7"/>
          <w:rFonts w:cs="Arial"/>
          <w:rtl/>
        </w:rPr>
        <w:footnoteReference w:id="2367"/>
      </w:r>
      <w:r w:rsidRPr="005C2F9B">
        <w:rPr>
          <w:rFonts w:cs="Arial"/>
          <w:rtl/>
        </w:rPr>
        <w:t>, אלא בנתיה מי קיימן בידיה</w:t>
      </w:r>
      <w:r>
        <w:rPr>
          <w:rStyle w:val="a7"/>
          <w:rFonts w:cs="Arial"/>
          <w:rtl/>
        </w:rPr>
        <w:footnoteReference w:id="2368"/>
      </w:r>
      <w:r w:rsidRPr="005C2F9B">
        <w:rPr>
          <w:rFonts w:cs="Arial"/>
          <w:rtl/>
        </w:rPr>
        <w:t xml:space="preserve">? הא קא משמע לן, דנלבשה וניכסה וניתיב לה מידי, כי היכי דקפצי עלה ואתו נסבי לה. ועד כמה? </w:t>
      </w:r>
      <w:r w:rsidRPr="00A811EA">
        <w:rPr>
          <w:rFonts w:cs="Arial"/>
          <w:u w:val="single"/>
          <w:rtl/>
        </w:rPr>
        <w:t>אביי ורבא דאמרי תרוייהו</w:t>
      </w:r>
      <w:r w:rsidRPr="005C2F9B">
        <w:rPr>
          <w:rFonts w:cs="Arial"/>
          <w:rtl/>
        </w:rPr>
        <w:t>: עד לעישור נכסי. ואימא: דאב לירות, דבעל לא לירות</w:t>
      </w:r>
      <w:r>
        <w:rPr>
          <w:rStyle w:val="a7"/>
          <w:rFonts w:cs="Arial"/>
          <w:rtl/>
        </w:rPr>
        <w:footnoteReference w:id="2369"/>
      </w:r>
      <w:r w:rsidRPr="005C2F9B">
        <w:rPr>
          <w:rFonts w:cs="Arial"/>
          <w:rtl/>
        </w:rPr>
        <w:t>! אם כן</w:t>
      </w:r>
      <w:r>
        <w:rPr>
          <w:rStyle w:val="a7"/>
          <w:rFonts w:cs="Arial"/>
          <w:rtl/>
        </w:rPr>
        <w:footnoteReference w:id="2370"/>
      </w:r>
      <w:r w:rsidRPr="005C2F9B">
        <w:rPr>
          <w:rFonts w:cs="Arial"/>
          <w:rtl/>
        </w:rPr>
        <w:t>, אב נמי מימנע ולא כתב</w:t>
      </w:r>
      <w:r>
        <w:rPr>
          <w:rStyle w:val="a7"/>
          <w:rFonts w:cs="Arial"/>
          <w:rtl/>
        </w:rPr>
        <w:footnoteReference w:id="2371"/>
      </w:r>
      <w:r w:rsidRPr="005C2F9B">
        <w:rPr>
          <w:rFonts w:cs="Arial"/>
          <w:rtl/>
        </w:rPr>
        <w:t>. ואימא: היכא דכתב אב לכתוב בעל, היכא דלא כתב אב לא לכתוב בעל</w:t>
      </w:r>
      <w:r>
        <w:rPr>
          <w:rStyle w:val="a7"/>
          <w:rFonts w:cs="Arial"/>
          <w:rtl/>
        </w:rPr>
        <w:footnoteReference w:id="2372"/>
      </w:r>
      <w:r w:rsidRPr="005C2F9B">
        <w:rPr>
          <w:rFonts w:cs="Arial"/>
          <w:rtl/>
        </w:rPr>
        <w:t>! לא פלוג רבנן</w:t>
      </w:r>
      <w:r>
        <w:rPr>
          <w:rStyle w:val="a7"/>
          <w:rFonts w:cs="Arial"/>
          <w:rtl/>
        </w:rPr>
        <w:footnoteReference w:id="2373"/>
      </w:r>
      <w:r w:rsidRPr="005C2F9B">
        <w:rPr>
          <w:rFonts w:cs="Arial"/>
          <w:rtl/>
        </w:rPr>
        <w:t>. בת בין הבנים נמי תירות</w:t>
      </w:r>
      <w:r>
        <w:rPr>
          <w:rStyle w:val="a7"/>
          <w:rFonts w:cs="Arial"/>
          <w:rtl/>
        </w:rPr>
        <w:footnoteReference w:id="2374"/>
      </w:r>
      <w:r w:rsidRPr="005C2F9B">
        <w:rPr>
          <w:rFonts w:cs="Arial"/>
          <w:rtl/>
        </w:rPr>
        <w:t>! כנחלה שויוה רבנן</w:t>
      </w:r>
      <w:r>
        <w:rPr>
          <w:rStyle w:val="a7"/>
          <w:rFonts w:cs="Arial"/>
          <w:rtl/>
        </w:rPr>
        <w:footnoteReference w:id="2375"/>
      </w:r>
      <w:r w:rsidRPr="005C2F9B">
        <w:rPr>
          <w:rFonts w:cs="Arial"/>
          <w:rtl/>
        </w:rPr>
        <w:t>. בת בין הבנות תירות</w:t>
      </w:r>
      <w:r>
        <w:rPr>
          <w:rStyle w:val="a7"/>
          <w:rFonts w:cs="Arial"/>
          <w:rtl/>
        </w:rPr>
        <w:footnoteReference w:id="2376"/>
      </w:r>
      <w:r w:rsidRPr="005C2F9B">
        <w:rPr>
          <w:rFonts w:cs="Arial"/>
          <w:rtl/>
        </w:rPr>
        <w:t>! לא פלוג רבנן</w:t>
      </w:r>
      <w:r>
        <w:rPr>
          <w:rStyle w:val="a7"/>
          <w:rFonts w:cs="Arial"/>
          <w:rtl/>
        </w:rPr>
        <w:footnoteReference w:id="2377"/>
      </w:r>
      <w:r w:rsidRPr="005C2F9B">
        <w:rPr>
          <w:rFonts w:cs="Arial"/>
          <w:rtl/>
        </w:rPr>
        <w:t>. ותיגבי ממטלטלי</w:t>
      </w:r>
      <w:r>
        <w:rPr>
          <w:rStyle w:val="a7"/>
          <w:rFonts w:cs="Arial"/>
          <w:rtl/>
        </w:rPr>
        <w:footnoteReference w:id="2378"/>
      </w:r>
      <w:r w:rsidRPr="005C2F9B">
        <w:rPr>
          <w:rFonts w:cs="Arial"/>
          <w:rtl/>
        </w:rPr>
        <w:t>! ככתובה שויוה רבנן</w:t>
      </w:r>
      <w:r>
        <w:rPr>
          <w:rStyle w:val="a7"/>
          <w:rFonts w:cs="Arial"/>
          <w:rtl/>
        </w:rPr>
        <w:footnoteReference w:id="2379"/>
      </w:r>
      <w:r w:rsidRPr="005C2F9B">
        <w:rPr>
          <w:rFonts w:cs="Arial"/>
          <w:rtl/>
        </w:rPr>
        <w:t>. תטרוף ממשעבדי</w:t>
      </w:r>
      <w:r>
        <w:rPr>
          <w:rStyle w:val="a7"/>
          <w:rFonts w:cs="Arial"/>
          <w:rtl/>
        </w:rPr>
        <w:footnoteReference w:id="2380"/>
      </w:r>
      <w:r w:rsidRPr="005C2F9B">
        <w:rPr>
          <w:rFonts w:cs="Arial"/>
          <w:rtl/>
        </w:rPr>
        <w:t>! ירתון תנן</w:t>
      </w:r>
      <w:r>
        <w:rPr>
          <w:rStyle w:val="a7"/>
          <w:rFonts w:cs="Arial"/>
          <w:rtl/>
        </w:rPr>
        <w:footnoteReference w:id="2381"/>
      </w:r>
      <w:r w:rsidRPr="005C2F9B">
        <w:rPr>
          <w:rFonts w:cs="Arial"/>
          <w:rtl/>
        </w:rPr>
        <w:t>. ואימא: אף על גב דליכא מותר דינר</w:t>
      </w:r>
      <w:r>
        <w:rPr>
          <w:rStyle w:val="a7"/>
          <w:rFonts w:cs="Arial"/>
          <w:rtl/>
        </w:rPr>
        <w:footnoteReference w:id="2382"/>
      </w:r>
      <w:r w:rsidRPr="005C2F9B">
        <w:rPr>
          <w:rFonts w:cs="Arial"/>
          <w:rtl/>
        </w:rPr>
        <w:t>! במקום דקא מיעקרא נחלה דאורייתא</w:t>
      </w:r>
      <w:r>
        <w:rPr>
          <w:rStyle w:val="a7"/>
          <w:rFonts w:cs="Arial"/>
          <w:rtl/>
        </w:rPr>
        <w:footnoteReference w:id="2383"/>
      </w:r>
      <w:r w:rsidRPr="005C2F9B">
        <w:rPr>
          <w:rFonts w:cs="Arial"/>
          <w:rtl/>
        </w:rPr>
        <w:t xml:space="preserve"> - לא תקינו רבנן</w:t>
      </w:r>
      <w:r>
        <w:rPr>
          <w:rStyle w:val="a7"/>
          <w:rFonts w:cs="Arial"/>
          <w:rtl/>
        </w:rPr>
        <w:footnoteReference w:id="2384"/>
      </w:r>
      <w:r w:rsidRPr="005C2F9B">
        <w:rPr>
          <w:rFonts w:cs="Arial"/>
          <w:rtl/>
        </w:rPr>
        <w:t>.</w:t>
      </w:r>
    </w:p>
    <w:p w14:paraId="482393F9" w14:textId="77777777" w:rsidR="00392DBB" w:rsidRDefault="00392DBB" w:rsidP="00392DBB">
      <w:pPr>
        <w:rPr>
          <w:rFonts w:cs="Arial"/>
          <w:rtl/>
        </w:rPr>
      </w:pPr>
      <w:r w:rsidRPr="003E4BB7">
        <w:rPr>
          <w:rFonts w:cs="Arial" w:hint="cs"/>
          <w:b/>
          <w:bCs/>
          <w:rtl/>
        </w:rPr>
        <w:t>כתובות צא</w:t>
      </w:r>
      <w:r>
        <w:rPr>
          <w:rStyle w:val="a7"/>
          <w:rFonts w:cs="Arial"/>
          <w:b/>
          <w:bCs/>
          <w:rtl/>
        </w:rPr>
        <w:footnoteReference w:id="2385"/>
      </w:r>
      <w:r w:rsidRPr="003E4BB7">
        <w:rPr>
          <w:rFonts w:cs="Arial" w:hint="cs"/>
          <w:b/>
          <w:bCs/>
          <w:rtl/>
        </w:rPr>
        <w:t xml:space="preserve"> </w:t>
      </w:r>
      <w:r>
        <w:rPr>
          <w:rFonts w:cs="Arial" w:hint="cs"/>
          <w:b/>
          <w:bCs/>
          <w:sz w:val="16"/>
          <w:szCs w:val="16"/>
          <w:rtl/>
        </w:rPr>
        <w:t xml:space="preserve">(פ' מי שהיה נשוי) </w:t>
      </w:r>
      <w:r w:rsidRPr="003E4BB7">
        <w:rPr>
          <w:rFonts w:cs="Arial" w:hint="cs"/>
          <w:b/>
          <w:bCs/>
          <w:rtl/>
        </w:rPr>
        <w:t>ע"א:</w:t>
      </w:r>
      <w:r>
        <w:rPr>
          <w:rFonts w:cs="Arial" w:hint="cs"/>
          <w:rtl/>
        </w:rPr>
        <w:t xml:space="preserve"> </w:t>
      </w:r>
      <w:r w:rsidRPr="003E4BB7">
        <w:rPr>
          <w:rFonts w:cs="Arial"/>
          <w:u w:val="double"/>
          <w:rtl/>
        </w:rPr>
        <w:t>מתני'</w:t>
      </w:r>
      <w:r>
        <w:rPr>
          <w:rFonts w:cs="Arial" w:hint="cs"/>
          <w:rtl/>
        </w:rPr>
        <w:t>:</w:t>
      </w:r>
      <w:r w:rsidRPr="003E4BB7">
        <w:rPr>
          <w:rFonts w:cs="Arial"/>
          <w:rtl/>
        </w:rPr>
        <w:t xml:space="preserve"> מי שהיה נשוי שתי נשים ומתו, ואחר כך מת הוא, ויתומים מבקשין כתובת אמן</w:t>
      </w:r>
      <w:r>
        <w:rPr>
          <w:rStyle w:val="a7"/>
          <w:rFonts w:cs="Arial"/>
          <w:rtl/>
        </w:rPr>
        <w:footnoteReference w:id="2386"/>
      </w:r>
      <w:r w:rsidRPr="003E4BB7">
        <w:rPr>
          <w:rFonts w:cs="Arial"/>
          <w:rtl/>
        </w:rPr>
        <w:t xml:space="preserve"> ואין שם אלא שתי כתובות - חולקין בשוה</w:t>
      </w:r>
      <w:r>
        <w:rPr>
          <w:rStyle w:val="a7"/>
          <w:rFonts w:cs="Arial"/>
          <w:rtl/>
        </w:rPr>
        <w:footnoteReference w:id="2387"/>
      </w:r>
      <w:r>
        <w:rPr>
          <w:rFonts w:cs="Arial" w:hint="cs"/>
          <w:rtl/>
        </w:rPr>
        <w:t>.</w:t>
      </w:r>
      <w:r w:rsidRPr="003E4BB7">
        <w:rPr>
          <w:rFonts w:cs="Arial"/>
          <w:rtl/>
        </w:rPr>
        <w:t xml:space="preserve"> היה שם מותר דינר - אלו נוטלים כתובת אמן, ואלו נוטלים כתובת</w:t>
      </w:r>
      <w:r>
        <w:rPr>
          <w:rFonts w:cs="Arial" w:hint="cs"/>
          <w:rtl/>
        </w:rPr>
        <w:t xml:space="preserve"> אמן...</w:t>
      </w:r>
    </w:p>
    <w:p w14:paraId="17F0A036" w14:textId="77777777" w:rsidR="00392DBB" w:rsidRPr="0039780B" w:rsidRDefault="00392DBB" w:rsidP="00392DBB">
      <w:pPr>
        <w:rPr>
          <w:rFonts w:cs="Arial"/>
          <w:u w:val="single"/>
          <w:rtl/>
        </w:rPr>
      </w:pPr>
      <w:r>
        <w:rPr>
          <w:rFonts w:cs="Arial" w:hint="cs"/>
          <w:u w:val="single"/>
          <w:rtl/>
        </w:rPr>
        <w:t>כתובת</w:t>
      </w:r>
      <w:r w:rsidRPr="0039780B">
        <w:rPr>
          <w:rFonts w:cs="Arial" w:hint="cs"/>
          <w:u w:val="single"/>
          <w:rtl/>
        </w:rPr>
        <w:t xml:space="preserve"> בנים זכרים מתנאי בית דין:</w:t>
      </w:r>
    </w:p>
    <w:p w14:paraId="053EE88D" w14:textId="77777777" w:rsidR="00392DBB" w:rsidRDefault="00392DBB" w:rsidP="009000E3">
      <w:pPr>
        <w:pStyle w:val="ab"/>
        <w:numPr>
          <w:ilvl w:val="0"/>
          <w:numId w:val="63"/>
        </w:numPr>
        <w:rPr>
          <w:rtl/>
        </w:rPr>
      </w:pPr>
      <w:r w:rsidRPr="008A1F1E">
        <w:rPr>
          <w:rFonts w:cs="Arial" w:hint="cs"/>
          <w:rtl/>
        </w:rPr>
        <w:t xml:space="preserve">טור- </w:t>
      </w:r>
      <w:r w:rsidRPr="008A1F1E">
        <w:rPr>
          <w:rFonts w:cs="Arial"/>
          <w:rtl/>
        </w:rPr>
        <w:t>תנאי כתובה שיהיו בניה זכרים יורשים כתובת אמן ונדונייתה שהכניסה בתורת נצ"ב ותוספת שהוסיף לה בעלה אפילו אם מתה בחיי הבעל ואח"כ חולקים המותר עם אחיהם</w:t>
      </w:r>
      <w:r>
        <w:rPr>
          <w:rFonts w:cs="Arial" w:hint="cs"/>
          <w:rtl/>
        </w:rPr>
        <w:t>,</w:t>
      </w:r>
      <w:r w:rsidRPr="008A1F1E">
        <w:rPr>
          <w:rFonts w:cs="Arial"/>
          <w:rtl/>
        </w:rPr>
        <w:t xml:space="preserve"> אפי' לא נכתב בכתובה</w:t>
      </w:r>
      <w:r>
        <w:rPr>
          <w:rFonts w:cs="Arial" w:hint="cs"/>
          <w:rtl/>
        </w:rPr>
        <w:t>,</w:t>
      </w:r>
      <w:r w:rsidRPr="008A1F1E">
        <w:rPr>
          <w:rFonts w:cs="Arial"/>
          <w:rtl/>
        </w:rPr>
        <w:t xml:space="preserve"> או אין לה </w:t>
      </w:r>
      <w:r w:rsidRPr="008A1F1E">
        <w:rPr>
          <w:rFonts w:cs="Arial"/>
          <w:rtl/>
        </w:rPr>
        <w:lastRenderedPageBreak/>
        <w:t>כתובה ובמקום שאין כותבין כתובה</w:t>
      </w:r>
      <w:r>
        <w:rPr>
          <w:rFonts w:cs="Arial" w:hint="cs"/>
          <w:rtl/>
        </w:rPr>
        <w:t>.</w:t>
      </w:r>
      <w:r w:rsidRPr="008A1F1E">
        <w:rPr>
          <w:rFonts w:cs="Arial"/>
          <w:rtl/>
        </w:rPr>
        <w:t xml:space="preserve"> ודוקא זכרים אבל אם אין לה אלא נקבות </w:t>
      </w:r>
      <w:r>
        <w:rPr>
          <w:rFonts w:cs="Arial" w:hint="cs"/>
          <w:rtl/>
        </w:rPr>
        <w:t xml:space="preserve">- </w:t>
      </w:r>
      <w:r w:rsidRPr="008A1F1E">
        <w:rPr>
          <w:rFonts w:cs="Arial"/>
          <w:rtl/>
        </w:rPr>
        <w:t>לא</w:t>
      </w:r>
      <w:r>
        <w:rPr>
          <w:rFonts w:cs="Arial" w:hint="cs"/>
          <w:rtl/>
        </w:rPr>
        <w:t>,</w:t>
      </w:r>
      <w:r w:rsidRPr="008A1F1E">
        <w:rPr>
          <w:rFonts w:cs="Arial"/>
          <w:rtl/>
        </w:rPr>
        <w:t xml:space="preserve"> אפילו אם אין שם יורשים אלא בנות</w:t>
      </w:r>
      <w:r>
        <w:rPr>
          <w:rFonts w:cs="Arial" w:hint="cs"/>
          <w:rtl/>
        </w:rPr>
        <w:t>,</w:t>
      </w:r>
      <w:r w:rsidRPr="008A1F1E">
        <w:rPr>
          <w:rFonts w:cs="Arial"/>
          <w:rtl/>
        </w:rPr>
        <w:t xml:space="preserve"> וזהו שנקרא כתובת בנין דכרין</w:t>
      </w:r>
      <w:r>
        <w:rPr>
          <w:rFonts w:cs="Arial" w:hint="cs"/>
          <w:rtl/>
        </w:rPr>
        <w:t>.</w:t>
      </w:r>
      <w:r w:rsidRPr="008A1F1E">
        <w:rPr>
          <w:rFonts w:cs="Arial"/>
          <w:rtl/>
        </w:rPr>
        <w:t xml:space="preserve"> כיצד</w:t>
      </w:r>
      <w:r>
        <w:rPr>
          <w:rFonts w:cs="Arial" w:hint="cs"/>
          <w:rtl/>
        </w:rPr>
        <w:t>,</w:t>
      </w:r>
      <w:r w:rsidRPr="008A1F1E">
        <w:rPr>
          <w:rFonts w:cs="Arial"/>
          <w:rtl/>
        </w:rPr>
        <w:t xml:space="preserve"> היו לו שתי נשים</w:t>
      </w:r>
      <w:r>
        <w:rPr>
          <w:rFonts w:cs="Arial" w:hint="cs"/>
          <w:rtl/>
        </w:rPr>
        <w:t>,</w:t>
      </w:r>
      <w:r w:rsidRPr="008A1F1E">
        <w:rPr>
          <w:rFonts w:cs="Arial"/>
          <w:rtl/>
        </w:rPr>
        <w:t xml:space="preserve"> לזו בן וכתובתה אלף זוז</w:t>
      </w:r>
      <w:r>
        <w:rPr>
          <w:rFonts w:cs="Arial" w:hint="cs"/>
          <w:rtl/>
        </w:rPr>
        <w:t>,</w:t>
      </w:r>
      <w:r w:rsidRPr="008A1F1E">
        <w:rPr>
          <w:rFonts w:cs="Arial"/>
          <w:rtl/>
        </w:rPr>
        <w:t xml:space="preserve"> ולזו בן וכתובה ה' מאות זוז</w:t>
      </w:r>
      <w:r>
        <w:rPr>
          <w:rFonts w:cs="Arial" w:hint="cs"/>
          <w:rtl/>
        </w:rPr>
        <w:t>,</w:t>
      </w:r>
      <w:r w:rsidRPr="008A1F1E">
        <w:rPr>
          <w:rFonts w:cs="Arial"/>
          <w:rtl/>
        </w:rPr>
        <w:t xml:space="preserve"> ומתו בחייו</w:t>
      </w:r>
      <w:r>
        <w:rPr>
          <w:rFonts w:cs="Arial" w:hint="cs"/>
          <w:rtl/>
        </w:rPr>
        <w:t>,</w:t>
      </w:r>
      <w:r w:rsidRPr="008A1F1E">
        <w:rPr>
          <w:rFonts w:cs="Arial"/>
          <w:rtl/>
        </w:rPr>
        <w:t xml:space="preserve"> ואח"כ מת הוא </w:t>
      </w:r>
      <w:r>
        <w:rPr>
          <w:rFonts w:cs="Arial" w:hint="cs"/>
          <w:rtl/>
        </w:rPr>
        <w:t xml:space="preserve">- </w:t>
      </w:r>
      <w:r w:rsidRPr="008A1F1E">
        <w:rPr>
          <w:rFonts w:cs="Arial"/>
          <w:rtl/>
        </w:rPr>
        <w:t>כל אחד נוטל כתובת אמו ואח"כ חולקים המותר</w:t>
      </w:r>
      <w:r>
        <w:rPr>
          <w:rFonts w:cs="Arial" w:hint="cs"/>
          <w:rtl/>
        </w:rPr>
        <w:t>.</w:t>
      </w:r>
      <w:r w:rsidRPr="008A1F1E">
        <w:rPr>
          <w:rFonts w:cs="Arial"/>
          <w:rtl/>
        </w:rPr>
        <w:t xml:space="preserve"> </w:t>
      </w:r>
    </w:p>
    <w:p w14:paraId="596C0DC9"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159CA70" w14:textId="77777777" w:rsidR="00392DBB" w:rsidRDefault="00392DBB" w:rsidP="00392DBB">
      <w:pPr>
        <w:rPr>
          <w:rtl/>
        </w:rPr>
      </w:pPr>
      <w:r>
        <w:rPr>
          <w:rFonts w:cs="Arial"/>
          <w:rtl/>
        </w:rPr>
        <w:t>מתנאי הכתובה שיהיו בניו הזכרים יורשים כתובת אמן ונדוניתא שהכניסה בתורת נכסי צאן ברזל, וי</w:t>
      </w:r>
      <w:r>
        <w:rPr>
          <w:rFonts w:cs="Arial" w:hint="cs"/>
          <w:rtl/>
        </w:rPr>
        <w:t xml:space="preserve">ש </w:t>
      </w:r>
      <w:r>
        <w:rPr>
          <w:rFonts w:cs="Arial"/>
          <w:rtl/>
        </w:rPr>
        <w:t>א</w:t>
      </w:r>
      <w:r>
        <w:rPr>
          <w:rFonts w:cs="Arial" w:hint="cs"/>
          <w:rtl/>
        </w:rPr>
        <w:t>ומרים</w:t>
      </w:r>
      <w:r>
        <w:rPr>
          <w:rStyle w:val="a7"/>
          <w:rFonts w:cs="Arial"/>
          <w:rtl/>
        </w:rPr>
        <w:footnoteReference w:id="2388"/>
      </w:r>
      <w:r>
        <w:rPr>
          <w:rFonts w:cs="Arial"/>
          <w:rtl/>
        </w:rPr>
        <w:t xml:space="preserve"> שאף התוספת בכלל, ואח</w:t>
      </w:r>
      <w:r>
        <w:rPr>
          <w:rFonts w:cs="Arial" w:hint="cs"/>
          <w:rtl/>
        </w:rPr>
        <w:t xml:space="preserve">ר </w:t>
      </w:r>
      <w:r>
        <w:rPr>
          <w:rFonts w:cs="Arial"/>
          <w:rtl/>
        </w:rPr>
        <w:t>כ</w:t>
      </w:r>
      <w:r>
        <w:rPr>
          <w:rFonts w:cs="Arial" w:hint="cs"/>
          <w:rtl/>
        </w:rPr>
        <w:t>ך</w:t>
      </w:r>
      <w:r>
        <w:rPr>
          <w:rFonts w:cs="Arial"/>
          <w:rtl/>
        </w:rPr>
        <w:t xml:space="preserve"> חולקים השאר עם אחיהם בשוה. כיצד, נשא אשה, כתובתה ונדוניתה אלף, וילדה בן ומתה בחייו</w:t>
      </w:r>
      <w:r>
        <w:rPr>
          <w:rFonts w:cs="Arial" w:hint="cs"/>
          <w:rtl/>
        </w:rPr>
        <w:t>.</w:t>
      </w:r>
      <w:r>
        <w:rPr>
          <w:rFonts w:cs="Arial"/>
          <w:rtl/>
        </w:rPr>
        <w:t xml:space="preserve"> ואח</w:t>
      </w:r>
      <w:r>
        <w:rPr>
          <w:rFonts w:cs="Arial" w:hint="cs"/>
          <w:rtl/>
        </w:rPr>
        <w:t xml:space="preserve">ר </w:t>
      </w:r>
      <w:r>
        <w:rPr>
          <w:rFonts w:cs="Arial"/>
          <w:rtl/>
        </w:rPr>
        <w:t>כ</w:t>
      </w:r>
      <w:r>
        <w:rPr>
          <w:rFonts w:cs="Arial" w:hint="cs"/>
          <w:rtl/>
        </w:rPr>
        <w:t>ך</w:t>
      </w:r>
      <w:r>
        <w:rPr>
          <w:rStyle w:val="a7"/>
          <w:rFonts w:cs="Arial"/>
          <w:rtl/>
        </w:rPr>
        <w:footnoteReference w:id="2389"/>
      </w:r>
      <w:r>
        <w:rPr>
          <w:rFonts w:cs="Arial"/>
          <w:rtl/>
        </w:rPr>
        <w:t xml:space="preserve"> נשא אשה אחרת, כתובתה ונדוניתה ק"ק</w:t>
      </w:r>
      <w:r>
        <w:rPr>
          <w:rStyle w:val="a7"/>
          <w:rFonts w:cs="Arial"/>
          <w:rtl/>
        </w:rPr>
        <w:footnoteReference w:id="2390"/>
      </w:r>
      <w:r>
        <w:rPr>
          <w:rFonts w:cs="Arial"/>
          <w:rtl/>
        </w:rPr>
        <w:t xml:space="preserve"> וילדה בן ומתה בחייו</w:t>
      </w:r>
      <w:r>
        <w:rPr>
          <w:rFonts w:cs="Arial" w:hint="cs"/>
          <w:rtl/>
        </w:rPr>
        <w:t>.</w:t>
      </w:r>
      <w:r>
        <w:rPr>
          <w:rFonts w:cs="Arial"/>
          <w:rtl/>
        </w:rPr>
        <w:t xml:space="preserve"> ואח"כ מת הוא והניח אלפים</w:t>
      </w:r>
      <w:r>
        <w:rPr>
          <w:rFonts w:cs="Arial" w:hint="cs"/>
          <w:rtl/>
        </w:rPr>
        <w:t>.</w:t>
      </w:r>
      <w:r>
        <w:rPr>
          <w:rFonts w:cs="Arial"/>
          <w:rtl/>
        </w:rPr>
        <w:t xml:space="preserve"> בנו מן הראשונה יורש אלף שבכתובת אמו, ובנו מן השנייה יורש ק"ק שבכתובת אמו, והשאר יורשים אותו בשוה</w:t>
      </w:r>
      <w:r>
        <w:rPr>
          <w:rFonts w:cs="Arial" w:hint="cs"/>
          <w:rtl/>
        </w:rPr>
        <w:t>.</w:t>
      </w:r>
      <w:r>
        <w:rPr>
          <w:rFonts w:cs="Arial"/>
          <w:rtl/>
        </w:rPr>
        <w:t xml:space="preserve"> נמצא ביד בן הראשונה אלף ות', וביד בן השניה ת"ר. </w:t>
      </w:r>
    </w:p>
    <w:p w14:paraId="0CB7EC2E" w14:textId="77777777" w:rsidR="00392DBB" w:rsidRDefault="00392DBB" w:rsidP="00392DBB">
      <w:pPr>
        <w:rPr>
          <w:rtl/>
        </w:rPr>
      </w:pPr>
    </w:p>
    <w:p w14:paraId="06EC4AC0" w14:textId="77777777" w:rsidR="00392DBB" w:rsidRDefault="00392DBB" w:rsidP="000F64D0">
      <w:pPr>
        <w:pStyle w:val="2"/>
        <w:rPr>
          <w:rtl/>
        </w:rPr>
      </w:pPr>
      <w:r>
        <w:rPr>
          <w:rtl/>
        </w:rPr>
        <w:t>סעיף ב</w:t>
      </w:r>
      <w:r>
        <w:rPr>
          <w:rFonts w:hint="cs"/>
          <w:rtl/>
        </w:rPr>
        <w:t>: יש בנכסים כדי שתי כתובות.</w:t>
      </w:r>
    </w:p>
    <w:p w14:paraId="31FC5768" w14:textId="3C6EF41D" w:rsidR="00392DBB" w:rsidRDefault="00392DBB" w:rsidP="00392DBB">
      <w:pPr>
        <w:rPr>
          <w:rFonts w:cs="Arial"/>
          <w:rtl/>
        </w:rPr>
      </w:pPr>
      <w:r w:rsidRPr="003E4BB7">
        <w:rPr>
          <w:rFonts w:cs="Arial" w:hint="cs"/>
          <w:b/>
          <w:bCs/>
          <w:rtl/>
        </w:rPr>
        <w:t>כתובות צא</w:t>
      </w:r>
      <w:r>
        <w:rPr>
          <w:rStyle w:val="a7"/>
          <w:rFonts w:cs="Arial"/>
          <w:b/>
          <w:bCs/>
          <w:rtl/>
        </w:rPr>
        <w:footnoteReference w:id="2391"/>
      </w:r>
      <w:r w:rsidRPr="003E4BB7">
        <w:rPr>
          <w:rFonts w:cs="Arial" w:hint="cs"/>
          <w:b/>
          <w:bCs/>
          <w:rtl/>
        </w:rPr>
        <w:t xml:space="preserve"> </w:t>
      </w:r>
      <w:r>
        <w:rPr>
          <w:rFonts w:cs="Arial" w:hint="cs"/>
          <w:b/>
          <w:bCs/>
          <w:sz w:val="16"/>
          <w:szCs w:val="16"/>
          <w:rtl/>
        </w:rPr>
        <w:t xml:space="preserve">(פ' מי שהיה נשוי) </w:t>
      </w:r>
      <w:r w:rsidRPr="003E4BB7">
        <w:rPr>
          <w:rFonts w:cs="Arial" w:hint="cs"/>
          <w:b/>
          <w:bCs/>
          <w:rtl/>
        </w:rPr>
        <w:t>ע"א:</w:t>
      </w:r>
      <w:r>
        <w:rPr>
          <w:rFonts w:cs="Arial" w:hint="cs"/>
          <w:rtl/>
        </w:rPr>
        <w:t xml:space="preserve"> </w:t>
      </w:r>
      <w:r w:rsidRPr="003E4BB7">
        <w:rPr>
          <w:rFonts w:cs="Arial"/>
          <w:u w:val="double"/>
          <w:rtl/>
        </w:rPr>
        <w:t>מתני'</w:t>
      </w:r>
      <w:r>
        <w:rPr>
          <w:rFonts w:cs="Arial" w:hint="cs"/>
          <w:rtl/>
        </w:rPr>
        <w:t>:</w:t>
      </w:r>
      <w:r w:rsidRPr="003E4BB7">
        <w:rPr>
          <w:rFonts w:cs="Arial"/>
          <w:rtl/>
        </w:rPr>
        <w:t xml:space="preserve"> מי שהיה נשוי שתי נשים ומתו, ואחר כך מת הוא, ויתומים מבקשין כתובת אמן</w:t>
      </w:r>
      <w:r>
        <w:rPr>
          <w:rStyle w:val="a7"/>
          <w:rFonts w:cs="Arial"/>
          <w:rtl/>
        </w:rPr>
        <w:footnoteReference w:id="2392"/>
      </w:r>
      <w:r w:rsidRPr="003E4BB7">
        <w:rPr>
          <w:rFonts w:cs="Arial"/>
          <w:rtl/>
        </w:rPr>
        <w:t xml:space="preserve"> ואין שם אלא שתי כתובות - חולקין בשוה</w:t>
      </w:r>
      <w:r>
        <w:rPr>
          <w:rStyle w:val="a7"/>
          <w:rFonts w:cs="Arial"/>
          <w:rtl/>
        </w:rPr>
        <w:footnoteReference w:id="2393"/>
      </w:r>
      <w:r>
        <w:rPr>
          <w:rFonts w:cs="Arial" w:hint="cs"/>
          <w:rtl/>
        </w:rPr>
        <w:t>.</w:t>
      </w:r>
      <w:r w:rsidRPr="003E4BB7">
        <w:rPr>
          <w:rFonts w:cs="Arial"/>
          <w:rtl/>
        </w:rPr>
        <w:t xml:space="preserve"> היה שם מותר דינר</w:t>
      </w:r>
      <w:r>
        <w:rPr>
          <w:rStyle w:val="a7"/>
          <w:rFonts w:cs="Arial"/>
          <w:rtl/>
        </w:rPr>
        <w:footnoteReference w:id="2394"/>
      </w:r>
      <w:r w:rsidRPr="003E4BB7">
        <w:rPr>
          <w:rFonts w:cs="Arial"/>
          <w:rtl/>
        </w:rPr>
        <w:t xml:space="preserve"> - אלו נוטלים כתובת אמן, ואלו נוטלים כתובת אמן</w:t>
      </w:r>
      <w:r>
        <w:rPr>
          <w:rFonts w:cs="Arial" w:hint="cs"/>
          <w:rtl/>
        </w:rPr>
        <w:t>...</w:t>
      </w:r>
      <w:r w:rsidR="00246365" w:rsidRPr="00246365">
        <w:rPr>
          <w:rFonts w:cs="Arial"/>
          <w:rtl/>
        </w:rPr>
        <w:t xml:space="preserve"> </w:t>
      </w:r>
      <w:r w:rsidR="00246365">
        <w:rPr>
          <w:rFonts w:cs="Arial" w:hint="cs"/>
          <w:rtl/>
        </w:rPr>
        <w:t xml:space="preserve">     </w:t>
      </w:r>
      <w:r w:rsidR="00246365" w:rsidRPr="00246365">
        <w:rPr>
          <w:rFonts w:cs="Arial" w:hint="cs"/>
          <w:u w:val="double"/>
          <w:rtl/>
        </w:rPr>
        <w:t>גמ'</w:t>
      </w:r>
      <w:r w:rsidR="00246365">
        <w:rPr>
          <w:rFonts w:cs="Arial" w:hint="cs"/>
          <w:rtl/>
        </w:rPr>
        <w:t xml:space="preserve">: </w:t>
      </w:r>
      <w:r w:rsidR="00246365" w:rsidRPr="000611C9">
        <w:rPr>
          <w:rFonts w:cs="Arial"/>
          <w:rtl/>
        </w:rPr>
        <w:t>ת"ר: לזו אלף ולזו חמש מאות, אם יש שם מותר דינר - אלו נוטלין כתובת אמן ואלו נוטלין כתובת אמן, ואם לאו - יחלקו בשוה.</w:t>
      </w:r>
    </w:p>
    <w:p w14:paraId="38B1F857" w14:textId="77777777" w:rsidR="00392DBB" w:rsidRPr="008E7F76" w:rsidRDefault="00392DBB" w:rsidP="00392DBB">
      <w:pPr>
        <w:rPr>
          <w:rFonts w:cs="Arial"/>
          <w:u w:val="single"/>
          <w:rtl/>
        </w:rPr>
      </w:pPr>
      <w:r>
        <w:rPr>
          <w:rFonts w:hint="cs"/>
          <w:u w:val="single"/>
          <w:rtl/>
        </w:rPr>
        <w:t xml:space="preserve">האם יש </w:t>
      </w:r>
      <w:r w:rsidRPr="008E7F76">
        <w:rPr>
          <w:rFonts w:hint="cs"/>
          <w:u w:val="single"/>
          <w:rtl/>
        </w:rPr>
        <w:t xml:space="preserve">כתובת בנינן דכרין </w:t>
      </w:r>
      <w:r>
        <w:rPr>
          <w:rFonts w:hint="cs"/>
          <w:u w:val="single"/>
          <w:rtl/>
        </w:rPr>
        <w:t>כש</w:t>
      </w:r>
      <w:r w:rsidRPr="008D400E">
        <w:rPr>
          <w:rFonts w:hint="cs"/>
          <w:u w:val="single"/>
          <w:rtl/>
        </w:rPr>
        <w:t xml:space="preserve">יש בנכסים </w:t>
      </w:r>
      <w:r>
        <w:rPr>
          <w:rFonts w:hint="cs"/>
          <w:u w:val="single"/>
          <w:rtl/>
        </w:rPr>
        <w:t xml:space="preserve">רק </w:t>
      </w:r>
      <w:r w:rsidRPr="008D400E">
        <w:rPr>
          <w:rFonts w:hint="cs"/>
          <w:u w:val="single"/>
          <w:rtl/>
        </w:rPr>
        <w:t xml:space="preserve">כדי שתי </w:t>
      </w:r>
      <w:r>
        <w:rPr>
          <w:rFonts w:hint="cs"/>
          <w:u w:val="single"/>
          <w:rtl/>
        </w:rPr>
        <w:t>ה</w:t>
      </w:r>
      <w:r w:rsidRPr="008D400E">
        <w:rPr>
          <w:rFonts w:hint="cs"/>
          <w:u w:val="single"/>
          <w:rtl/>
        </w:rPr>
        <w:t>כתובות</w:t>
      </w:r>
      <w:r w:rsidRPr="008E7F76">
        <w:rPr>
          <w:rFonts w:cs="Arial" w:hint="cs"/>
          <w:u w:val="single"/>
          <w:rtl/>
        </w:rPr>
        <w:t>:</w:t>
      </w:r>
    </w:p>
    <w:p w14:paraId="1E90E6FE" w14:textId="05E31096" w:rsidR="00392DBB" w:rsidRDefault="00392DBB" w:rsidP="009000E3">
      <w:pPr>
        <w:pStyle w:val="ab"/>
        <w:numPr>
          <w:ilvl w:val="0"/>
          <w:numId w:val="63"/>
        </w:numPr>
      </w:pPr>
      <w:r w:rsidRPr="008E67BE">
        <w:rPr>
          <w:rFonts w:cs="Arial" w:hint="cs"/>
          <w:rtl/>
        </w:rPr>
        <w:t xml:space="preserve">רמב"ם </w:t>
      </w:r>
      <w:r w:rsidRPr="008E67BE">
        <w:rPr>
          <w:rFonts w:cs="Arial" w:hint="cs"/>
          <w:sz w:val="16"/>
          <w:szCs w:val="16"/>
          <w:rtl/>
        </w:rPr>
        <w:t>(פי"ט מאישות ה"ג)</w:t>
      </w:r>
      <w:r w:rsidRPr="008E7F76">
        <w:rPr>
          <w:rFonts w:cs="Arial"/>
          <w:rtl/>
        </w:rPr>
        <w:t xml:space="preserve"> </w:t>
      </w:r>
      <w:r>
        <w:rPr>
          <w:rFonts w:cs="Arial"/>
          <w:rtl/>
        </w:rPr>
        <w:t xml:space="preserve">רא"ש </w:t>
      </w:r>
      <w:r w:rsidRPr="000804DB">
        <w:rPr>
          <w:rFonts w:cs="Arial"/>
          <w:sz w:val="16"/>
          <w:szCs w:val="16"/>
          <w:rtl/>
        </w:rPr>
        <w:t xml:space="preserve">(סי' ב) </w:t>
      </w:r>
      <w:r>
        <w:rPr>
          <w:rFonts w:cs="Arial" w:hint="cs"/>
          <w:rtl/>
        </w:rPr>
        <w:t>וטור</w:t>
      </w:r>
      <w:r w:rsidRPr="008E67BE">
        <w:rPr>
          <w:rFonts w:cs="Arial" w:hint="cs"/>
          <w:rtl/>
        </w:rPr>
        <w:t xml:space="preserve">- </w:t>
      </w:r>
      <w:r w:rsidRPr="008E67BE">
        <w:rPr>
          <w:rFonts w:cs="Arial"/>
          <w:rtl/>
        </w:rPr>
        <w:t>במה דברים אמורים</w:t>
      </w:r>
      <w:r w:rsidR="00FF7137">
        <w:rPr>
          <w:rFonts w:cs="Arial" w:hint="cs"/>
          <w:rtl/>
        </w:rPr>
        <w:t>,</w:t>
      </w:r>
      <w:r w:rsidRPr="008E67BE">
        <w:rPr>
          <w:rFonts w:cs="Arial"/>
          <w:rtl/>
        </w:rPr>
        <w:t xml:space="preserve"> בשהניח יתר על כדי שתי הכתובות דינר אחד או יתר</w:t>
      </w:r>
      <w:r>
        <w:rPr>
          <w:rFonts w:cs="Arial" w:hint="cs"/>
          <w:rtl/>
        </w:rPr>
        <w:t>,</w:t>
      </w:r>
      <w:r w:rsidRPr="008E67BE">
        <w:rPr>
          <w:rFonts w:cs="Arial"/>
          <w:rtl/>
        </w:rPr>
        <w:t xml:space="preserve"> כדי שיחלקו השאר בשוה</w:t>
      </w:r>
      <w:r>
        <w:rPr>
          <w:rFonts w:cs="Arial" w:hint="cs"/>
          <w:rtl/>
        </w:rPr>
        <w:t>.</w:t>
      </w:r>
      <w:r w:rsidRPr="008E67BE">
        <w:rPr>
          <w:rFonts w:cs="Arial"/>
          <w:rtl/>
        </w:rPr>
        <w:t xml:space="preserve"> אבל אם לא הניח יתר דינר </w:t>
      </w:r>
      <w:r>
        <w:rPr>
          <w:rFonts w:cs="Arial" w:hint="cs"/>
          <w:rtl/>
        </w:rPr>
        <w:t xml:space="preserve">- </w:t>
      </w:r>
      <w:r w:rsidRPr="008E67BE">
        <w:rPr>
          <w:rFonts w:cs="Arial"/>
          <w:rtl/>
        </w:rPr>
        <w:t>חולקים הכל בשוה, שאם יירשו אלו כתובת אמן ואלו כתובת אמן ולא ישאר דינר אחד לחלוק אותו בין היורשים</w:t>
      </w:r>
      <w:r w:rsidR="00FF7137">
        <w:rPr>
          <w:rFonts w:cs="Arial" w:hint="cs"/>
          <w:rtl/>
        </w:rPr>
        <w:t>,</w:t>
      </w:r>
      <w:r w:rsidRPr="008E67BE">
        <w:rPr>
          <w:rFonts w:cs="Arial"/>
          <w:rtl/>
        </w:rPr>
        <w:t xml:space="preserve"> נמצא תנאי זה מבטל חלוק ירושה בין הבנים בשוה שהוא מן התורה</w:t>
      </w:r>
      <w:r>
        <w:rPr>
          <w:rFonts w:cs="Arial" w:hint="cs"/>
          <w:sz w:val="16"/>
          <w:szCs w:val="16"/>
          <w:rtl/>
        </w:rPr>
        <w:t xml:space="preserve"> (ל' הרמב"ם)</w:t>
      </w:r>
      <w:r w:rsidRPr="008E67BE">
        <w:rPr>
          <w:rFonts w:cs="Arial"/>
          <w:rtl/>
        </w:rPr>
        <w:t>.</w:t>
      </w:r>
      <w:r w:rsidRPr="008E7F76">
        <w:rPr>
          <w:rFonts w:hint="cs"/>
          <w:color w:val="E36C0A" w:themeColor="accent6" w:themeShade="BF"/>
          <w:rtl/>
        </w:rPr>
        <w:t xml:space="preserve"> (וכ"פ בשו"ע)</w:t>
      </w:r>
    </w:p>
    <w:p w14:paraId="37FA5965"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A44373C" w14:textId="77777777" w:rsidR="00392DBB" w:rsidRDefault="00392DBB" w:rsidP="00392DBB">
      <w:pPr>
        <w:rPr>
          <w:rtl/>
        </w:rPr>
      </w:pPr>
      <w:r>
        <w:rPr>
          <w:rFonts w:cs="Arial"/>
          <w:rtl/>
        </w:rPr>
        <w:t>ב</w:t>
      </w:r>
      <w:r>
        <w:rPr>
          <w:rFonts w:cs="Arial" w:hint="cs"/>
          <w:rtl/>
        </w:rPr>
        <w:t xml:space="preserve">מה דברים </w:t>
      </w:r>
      <w:r>
        <w:rPr>
          <w:rFonts w:cs="Arial"/>
          <w:rtl/>
        </w:rPr>
        <w:t>א</w:t>
      </w:r>
      <w:r>
        <w:rPr>
          <w:rFonts w:cs="Arial" w:hint="cs"/>
          <w:rtl/>
        </w:rPr>
        <w:t>מורים</w:t>
      </w:r>
      <w:r>
        <w:rPr>
          <w:rFonts w:cs="Arial"/>
          <w:rtl/>
        </w:rPr>
        <w:t>, שהניח יותר על שתי הכתובות דינר אחד או יותר כדי שיחלקו השאר בשוה. אבל אם לא הניח יותר דינר, חולקים הכל בשוה</w:t>
      </w:r>
      <w:r>
        <w:rPr>
          <w:rFonts w:cs="Arial" w:hint="cs"/>
          <w:rtl/>
        </w:rPr>
        <w:t>,</w:t>
      </w:r>
      <w:r>
        <w:rPr>
          <w:rFonts w:cs="Arial"/>
          <w:rtl/>
        </w:rPr>
        <w:t xml:space="preserve"> שאם ירשו אלו כתובת אמן ולא ישאר דינר א</w:t>
      </w:r>
      <w:r>
        <w:rPr>
          <w:rFonts w:cs="Arial" w:hint="cs"/>
          <w:rtl/>
        </w:rPr>
        <w:t>חד</w:t>
      </w:r>
      <w:r>
        <w:rPr>
          <w:rFonts w:cs="Arial"/>
          <w:rtl/>
        </w:rPr>
        <w:t xml:space="preserve"> לחלוק אותו בין היורשים, נמצאת תנאי זה מבטל חלק ירושה בין הבנים בשוה שהוא מן התורה. </w:t>
      </w:r>
    </w:p>
    <w:p w14:paraId="4607AD79" w14:textId="77777777" w:rsidR="00392DBB" w:rsidRDefault="00392DBB" w:rsidP="00392DBB">
      <w:pPr>
        <w:rPr>
          <w:rtl/>
        </w:rPr>
      </w:pPr>
    </w:p>
    <w:p w14:paraId="2F96C909" w14:textId="77777777" w:rsidR="00392DBB" w:rsidRDefault="00392DBB" w:rsidP="000F64D0">
      <w:pPr>
        <w:pStyle w:val="2"/>
        <w:rPr>
          <w:rtl/>
        </w:rPr>
      </w:pPr>
      <w:r>
        <w:rPr>
          <w:rtl/>
        </w:rPr>
        <w:t>סעיף ג</w:t>
      </w:r>
      <w:r>
        <w:rPr>
          <w:rFonts w:hint="cs"/>
          <w:rtl/>
        </w:rPr>
        <w:t>: ראוי כבמוחזק.</w:t>
      </w:r>
    </w:p>
    <w:p w14:paraId="46AB1C16" w14:textId="3565D65A" w:rsidR="00392DBB" w:rsidRDefault="00392DBB" w:rsidP="00392DBB">
      <w:pPr>
        <w:rPr>
          <w:rFonts w:cs="Arial"/>
          <w:rtl/>
        </w:rPr>
      </w:pPr>
      <w:r w:rsidRPr="003E4BB7">
        <w:rPr>
          <w:rFonts w:cs="Arial" w:hint="cs"/>
          <w:b/>
          <w:bCs/>
          <w:rtl/>
        </w:rPr>
        <w:t xml:space="preserve">כתובות </w:t>
      </w:r>
      <w:r>
        <w:rPr>
          <w:rFonts w:cs="Arial" w:hint="cs"/>
          <w:b/>
          <w:bCs/>
          <w:sz w:val="16"/>
          <w:szCs w:val="16"/>
          <w:rtl/>
        </w:rPr>
        <w:t xml:space="preserve">(פ' מי שהיה נשוי) </w:t>
      </w:r>
      <w:r w:rsidR="00FF7137" w:rsidRPr="003E4BB7">
        <w:rPr>
          <w:rFonts w:cs="Arial" w:hint="cs"/>
          <w:b/>
          <w:bCs/>
          <w:rtl/>
        </w:rPr>
        <w:t>צא</w:t>
      </w:r>
      <w:r w:rsidR="00FF7137">
        <w:rPr>
          <w:rStyle w:val="a7"/>
          <w:rFonts w:cs="Arial"/>
          <w:b/>
          <w:bCs/>
          <w:rtl/>
        </w:rPr>
        <w:footnoteReference w:id="2395"/>
      </w:r>
      <w:r w:rsidR="00FF7137">
        <w:rPr>
          <w:rFonts w:cs="Arial" w:hint="cs"/>
          <w:b/>
          <w:bCs/>
          <w:rtl/>
        </w:rPr>
        <w:t xml:space="preserve"> </w:t>
      </w:r>
      <w:r w:rsidRPr="003E4BB7">
        <w:rPr>
          <w:rFonts w:cs="Arial" w:hint="cs"/>
          <w:b/>
          <w:bCs/>
          <w:rtl/>
        </w:rPr>
        <w:t>ע"א:</w:t>
      </w:r>
      <w:r>
        <w:rPr>
          <w:rFonts w:cs="Arial" w:hint="cs"/>
          <w:rtl/>
        </w:rPr>
        <w:t xml:space="preserve"> </w:t>
      </w:r>
      <w:r w:rsidRPr="003E4BB7">
        <w:rPr>
          <w:rFonts w:cs="Arial"/>
          <w:u w:val="double"/>
          <w:rtl/>
        </w:rPr>
        <w:t>מתני'</w:t>
      </w:r>
      <w:r>
        <w:rPr>
          <w:rFonts w:cs="Arial" w:hint="cs"/>
          <w:rtl/>
        </w:rPr>
        <w:t>:</w:t>
      </w:r>
      <w:r w:rsidRPr="003E4BB7">
        <w:rPr>
          <w:rFonts w:cs="Arial"/>
          <w:rtl/>
        </w:rPr>
        <w:t xml:space="preserve"> מי שהיה נשוי שתי נשים ומתו, ואחר כך מת הוא, ויתומים מבקשין כתובת אמן</w:t>
      </w:r>
      <w:r>
        <w:rPr>
          <w:rStyle w:val="a7"/>
          <w:rFonts w:cs="Arial"/>
          <w:rtl/>
        </w:rPr>
        <w:footnoteReference w:id="2396"/>
      </w:r>
      <w:r w:rsidRPr="003E4BB7">
        <w:rPr>
          <w:rFonts w:cs="Arial"/>
          <w:rtl/>
        </w:rPr>
        <w:t xml:space="preserve"> ואין שם אלא שתי כתובות - חולקין בשוה</w:t>
      </w:r>
      <w:r>
        <w:rPr>
          <w:rStyle w:val="a7"/>
          <w:rFonts w:cs="Arial"/>
          <w:rtl/>
        </w:rPr>
        <w:footnoteReference w:id="2397"/>
      </w:r>
      <w:r>
        <w:rPr>
          <w:rFonts w:cs="Arial" w:hint="cs"/>
          <w:rtl/>
        </w:rPr>
        <w:t>.</w:t>
      </w:r>
      <w:r w:rsidRPr="003E4BB7">
        <w:rPr>
          <w:rFonts w:cs="Arial"/>
          <w:rtl/>
        </w:rPr>
        <w:t xml:space="preserve"> היה שם מותר דינר</w:t>
      </w:r>
      <w:r>
        <w:rPr>
          <w:rStyle w:val="a7"/>
          <w:rFonts w:cs="Arial"/>
          <w:rtl/>
        </w:rPr>
        <w:footnoteReference w:id="2398"/>
      </w:r>
      <w:r w:rsidRPr="003E4BB7">
        <w:rPr>
          <w:rFonts w:cs="Arial"/>
          <w:rtl/>
        </w:rPr>
        <w:t xml:space="preserve"> - אלו נוטלים כתובת אמן, ואלו נוטלים כתובת אמן.</w:t>
      </w:r>
      <w:r>
        <w:rPr>
          <w:rFonts w:hint="cs"/>
          <w:rtl/>
        </w:rPr>
        <w:t>.</w:t>
      </w:r>
      <w:r w:rsidRPr="00DC2E30">
        <w:rPr>
          <w:rFonts w:cs="Arial"/>
          <w:rtl/>
        </w:rPr>
        <w:t>. היו שם נכסים בראוי</w:t>
      </w:r>
      <w:r>
        <w:rPr>
          <w:rStyle w:val="a7"/>
          <w:rFonts w:cs="Arial"/>
          <w:rtl/>
        </w:rPr>
        <w:footnoteReference w:id="2399"/>
      </w:r>
      <w:r w:rsidRPr="00DC2E30">
        <w:rPr>
          <w:rFonts w:cs="Arial"/>
          <w:rtl/>
        </w:rPr>
        <w:t xml:space="preserve"> - אינן כבמוחזק</w:t>
      </w:r>
      <w:r>
        <w:rPr>
          <w:rStyle w:val="a7"/>
          <w:rFonts w:cs="Arial"/>
          <w:rtl/>
        </w:rPr>
        <w:footnoteReference w:id="2400"/>
      </w:r>
      <w:r w:rsidRPr="00DC2E30">
        <w:rPr>
          <w:rFonts w:cs="Arial"/>
          <w:rtl/>
        </w:rPr>
        <w:t>.</w:t>
      </w:r>
      <w:r>
        <w:rPr>
          <w:rFonts w:cs="Arial" w:hint="cs"/>
          <w:rtl/>
        </w:rPr>
        <w:t>.</w:t>
      </w:r>
      <w:r w:rsidRPr="00DC2E30">
        <w:rPr>
          <w:rFonts w:cs="Arial"/>
          <w:rtl/>
        </w:rPr>
        <w:t>.</w:t>
      </w:r>
    </w:p>
    <w:p w14:paraId="2D614C37" w14:textId="77777777" w:rsidR="00392DBB" w:rsidRPr="0081621B" w:rsidRDefault="00392DBB" w:rsidP="00392DBB">
      <w:pPr>
        <w:rPr>
          <w:u w:val="single"/>
          <w:rtl/>
        </w:rPr>
      </w:pPr>
      <w:r w:rsidRPr="0081621B">
        <w:rPr>
          <w:rFonts w:hint="cs"/>
          <w:u w:val="single"/>
          <w:rtl/>
        </w:rPr>
        <w:lastRenderedPageBreak/>
        <w:t>האם אמרינן ראוי כבמוחזק לגבי כתובת בנין דכרין:</w:t>
      </w:r>
    </w:p>
    <w:p w14:paraId="08B593C1" w14:textId="77777777" w:rsidR="00392DBB" w:rsidRPr="00D96223" w:rsidRDefault="00392DBB" w:rsidP="009000E3">
      <w:pPr>
        <w:pStyle w:val="ab"/>
        <w:numPr>
          <w:ilvl w:val="0"/>
          <w:numId w:val="63"/>
        </w:numPr>
      </w:pPr>
      <w:r>
        <w:rPr>
          <w:rFonts w:cs="Arial" w:hint="cs"/>
          <w:rtl/>
        </w:rPr>
        <w:t xml:space="preserve">טור- </w:t>
      </w:r>
      <w:r w:rsidRPr="008A1F1E">
        <w:rPr>
          <w:rFonts w:cs="Arial"/>
          <w:rtl/>
        </w:rPr>
        <w:t>לא היה שם קרקע</w:t>
      </w:r>
      <w:r>
        <w:rPr>
          <w:rStyle w:val="a7"/>
          <w:rFonts w:cs="Arial"/>
          <w:rtl/>
        </w:rPr>
        <w:footnoteReference w:id="2401"/>
      </w:r>
      <w:r w:rsidRPr="008A1F1E">
        <w:rPr>
          <w:rFonts w:cs="Arial"/>
          <w:rtl/>
        </w:rPr>
        <w:t xml:space="preserve"> כדי שתי כתובות או שיש שם קרקע ואין שם מותר דינר </w:t>
      </w:r>
      <w:r>
        <w:rPr>
          <w:rFonts w:cs="Arial" w:hint="cs"/>
          <w:rtl/>
        </w:rPr>
        <w:t xml:space="preserve">- </w:t>
      </w:r>
      <w:r w:rsidRPr="008A1F1E">
        <w:rPr>
          <w:rFonts w:cs="Arial"/>
          <w:rtl/>
        </w:rPr>
        <w:t>אין כאן כתובת בנין דכרין אפילו יש עליהם חוב</w:t>
      </w:r>
      <w:r>
        <w:rPr>
          <w:rFonts w:cs="Arial" w:hint="cs"/>
          <w:rtl/>
        </w:rPr>
        <w:t>,</w:t>
      </w:r>
      <w:r w:rsidRPr="008A1F1E">
        <w:rPr>
          <w:rFonts w:cs="Arial"/>
          <w:rtl/>
        </w:rPr>
        <w:t xml:space="preserve"> ולא אמרינן בפרעון חוב יתקיים נחלה דאורייתא והמותר על הפרעון יחלוקו כפי ב' הכתובות</w:t>
      </w:r>
      <w:r>
        <w:rPr>
          <w:rFonts w:cs="Arial" w:hint="cs"/>
          <w:rtl/>
        </w:rPr>
        <w:t>,</w:t>
      </w:r>
      <w:r w:rsidRPr="008A1F1E">
        <w:rPr>
          <w:rFonts w:cs="Arial"/>
          <w:rtl/>
        </w:rPr>
        <w:t xml:space="preserve"> אלא כיון שאין שם מותר </w:t>
      </w:r>
      <w:r>
        <w:rPr>
          <w:rFonts w:cs="Arial" w:hint="cs"/>
          <w:rtl/>
        </w:rPr>
        <w:t xml:space="preserve">- </w:t>
      </w:r>
      <w:r w:rsidRPr="008A1F1E">
        <w:rPr>
          <w:rFonts w:cs="Arial"/>
          <w:rtl/>
        </w:rPr>
        <w:t>אין כאן כתובת בנין דכרין</w:t>
      </w:r>
      <w:r>
        <w:rPr>
          <w:rStyle w:val="a7"/>
          <w:rFonts w:cs="Arial"/>
          <w:rtl/>
        </w:rPr>
        <w:footnoteReference w:id="2402"/>
      </w:r>
      <w:r>
        <w:rPr>
          <w:rFonts w:cs="Arial" w:hint="cs"/>
          <w:rtl/>
        </w:rPr>
        <w:t>.</w:t>
      </w:r>
      <w:r w:rsidRPr="008A1F1E">
        <w:rPr>
          <w:rFonts w:cs="Arial"/>
          <w:rtl/>
        </w:rPr>
        <w:t xml:space="preserve"> אפילו היה ראוי ליפול להם ירושה מאבי אביהן בענין שיהיה שם מותר </w:t>
      </w:r>
      <w:r>
        <w:rPr>
          <w:rFonts w:cs="Arial" w:hint="cs"/>
          <w:rtl/>
        </w:rPr>
        <w:t xml:space="preserve">- </w:t>
      </w:r>
      <w:r w:rsidRPr="008A1F1E">
        <w:rPr>
          <w:rFonts w:cs="Arial"/>
          <w:rtl/>
        </w:rPr>
        <w:t>לא חשיב מותר</w:t>
      </w:r>
      <w:r>
        <w:rPr>
          <w:rFonts w:cs="Arial" w:hint="cs"/>
          <w:rtl/>
        </w:rPr>
        <w:t>.</w:t>
      </w:r>
      <w:r w:rsidRPr="008A1F1E">
        <w:rPr>
          <w:rFonts w:cs="Arial"/>
          <w:rtl/>
        </w:rPr>
        <w:t xml:space="preserve"> אפילו מת אבי אביהן קודם שיחלקו</w:t>
      </w:r>
      <w:r>
        <w:rPr>
          <w:rFonts w:cs="Arial" w:hint="cs"/>
          <w:rtl/>
        </w:rPr>
        <w:t>,</w:t>
      </w:r>
      <w:r w:rsidRPr="008A1F1E">
        <w:rPr>
          <w:rFonts w:cs="Arial"/>
          <w:rtl/>
        </w:rPr>
        <w:t xml:space="preserve"> כיון שלא היה שם מותר דינר בשעת מיתה </w:t>
      </w:r>
      <w:r>
        <w:rPr>
          <w:rFonts w:cs="Arial" w:hint="cs"/>
          <w:rtl/>
        </w:rPr>
        <w:t xml:space="preserve">- </w:t>
      </w:r>
      <w:r w:rsidRPr="008A1F1E">
        <w:rPr>
          <w:rFonts w:cs="Arial"/>
          <w:rtl/>
        </w:rPr>
        <w:t>לא חשיב מותר</w:t>
      </w:r>
      <w:r>
        <w:rPr>
          <w:rFonts w:cs="Arial" w:hint="cs"/>
          <w:rtl/>
        </w:rPr>
        <w:t>.</w:t>
      </w:r>
      <w:r w:rsidRPr="008A1F1E">
        <w:rPr>
          <w:rFonts w:cs="Arial"/>
          <w:rtl/>
        </w:rPr>
        <w:t xml:space="preserve"> </w:t>
      </w:r>
    </w:p>
    <w:p w14:paraId="38F20850"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835BD8E" w14:textId="77777777" w:rsidR="00392DBB" w:rsidRDefault="00392DBB" w:rsidP="00392DBB">
      <w:pPr>
        <w:rPr>
          <w:rtl/>
        </w:rPr>
      </w:pPr>
      <w:r>
        <w:rPr>
          <w:rFonts w:cs="Arial"/>
          <w:rtl/>
        </w:rPr>
        <w:t xml:space="preserve">אם אין שם יותר על שתי הכתובות דינר, אפילו היה ראוי ליפול ירושה מאבי אביהם בענין שהיה שם מותר, לא חשיב מותר, אפילו מת אבי אביהם קודם שיחלקו, כיון שלא היה שם מותר דינר בשעת מיתה. </w:t>
      </w:r>
    </w:p>
    <w:p w14:paraId="00B5B7EC" w14:textId="77777777" w:rsidR="00392DBB" w:rsidRDefault="00392DBB" w:rsidP="00392DBB">
      <w:pPr>
        <w:rPr>
          <w:rtl/>
        </w:rPr>
      </w:pPr>
    </w:p>
    <w:p w14:paraId="565D8936" w14:textId="77777777" w:rsidR="00392DBB" w:rsidRDefault="00392DBB" w:rsidP="000F64D0">
      <w:pPr>
        <w:pStyle w:val="2"/>
        <w:rPr>
          <w:rtl/>
        </w:rPr>
      </w:pPr>
      <w:r>
        <w:rPr>
          <w:rtl/>
        </w:rPr>
        <w:t>סעיף ד</w:t>
      </w:r>
      <w:r>
        <w:rPr>
          <w:rFonts w:hint="cs"/>
          <w:rtl/>
        </w:rPr>
        <w:t>: נשא נשים רבות ומתו כולן בחייו.</w:t>
      </w:r>
    </w:p>
    <w:p w14:paraId="5D65CA76" w14:textId="77777777" w:rsidR="00392DBB" w:rsidRPr="0081621B" w:rsidRDefault="00392DBB" w:rsidP="00392DBB">
      <w:pPr>
        <w:rPr>
          <w:u w:val="single"/>
          <w:rtl/>
        </w:rPr>
      </w:pPr>
      <w:r w:rsidRPr="0081621B">
        <w:rPr>
          <w:rFonts w:hint="cs"/>
          <w:u w:val="single"/>
          <w:rtl/>
        </w:rPr>
        <w:t>נשא נשים רבות ומתו כולן בחייו:</w:t>
      </w:r>
    </w:p>
    <w:p w14:paraId="2515011D" w14:textId="3ADE5C41" w:rsidR="00392DBB" w:rsidRPr="00CA185A" w:rsidRDefault="00392DBB" w:rsidP="009000E3">
      <w:pPr>
        <w:pStyle w:val="ab"/>
        <w:numPr>
          <w:ilvl w:val="0"/>
          <w:numId w:val="63"/>
        </w:numPr>
        <w:rPr>
          <w:rtl/>
        </w:rPr>
      </w:pPr>
      <w:r w:rsidRPr="0081621B">
        <w:rPr>
          <w:rFonts w:cs="Arial" w:hint="cs"/>
          <w:rtl/>
        </w:rPr>
        <w:t xml:space="preserve">רמב"ם </w:t>
      </w:r>
      <w:r w:rsidRPr="0081621B">
        <w:rPr>
          <w:rFonts w:cs="Arial" w:hint="cs"/>
          <w:sz w:val="16"/>
          <w:szCs w:val="16"/>
          <w:rtl/>
        </w:rPr>
        <w:t>(פי"ט מאישות ה"ד)</w:t>
      </w:r>
      <w:r w:rsidRPr="0081621B">
        <w:rPr>
          <w:rFonts w:cs="Arial" w:hint="cs"/>
          <w:rtl/>
        </w:rPr>
        <w:t xml:space="preserve">- </w:t>
      </w:r>
      <w:r w:rsidRPr="0081621B">
        <w:rPr>
          <w:rFonts w:cs="Arial"/>
          <w:rtl/>
        </w:rPr>
        <w:t>והוא הדין למי שנשא נשים רבות</w:t>
      </w:r>
      <w:r w:rsidR="00FF7137">
        <w:rPr>
          <w:rFonts w:cs="Arial" w:hint="cs"/>
          <w:rtl/>
        </w:rPr>
        <w:t>,</w:t>
      </w:r>
      <w:r w:rsidRPr="0081621B">
        <w:rPr>
          <w:rFonts w:cs="Arial"/>
          <w:rtl/>
        </w:rPr>
        <w:t xml:space="preserve"> בין בזו אחר זו</w:t>
      </w:r>
      <w:r w:rsidR="00FF7137">
        <w:rPr>
          <w:rFonts w:cs="Arial" w:hint="cs"/>
          <w:rtl/>
        </w:rPr>
        <w:t>,</w:t>
      </w:r>
      <w:r w:rsidRPr="0081621B">
        <w:rPr>
          <w:rFonts w:cs="Arial"/>
          <w:rtl/>
        </w:rPr>
        <w:t xml:space="preserve"> בין בבת אחת</w:t>
      </w:r>
      <w:r w:rsidR="00FF7137">
        <w:rPr>
          <w:rFonts w:cs="Arial" w:hint="cs"/>
          <w:rtl/>
        </w:rPr>
        <w:t>,</w:t>
      </w:r>
      <w:r w:rsidRPr="0081621B">
        <w:rPr>
          <w:rFonts w:cs="Arial"/>
          <w:rtl/>
        </w:rPr>
        <w:t xml:space="preserve"> ומתו כולן בחייו</w:t>
      </w:r>
      <w:r w:rsidR="00FF7137">
        <w:rPr>
          <w:rFonts w:cs="Arial" w:hint="cs"/>
          <w:rtl/>
        </w:rPr>
        <w:t>,</w:t>
      </w:r>
      <w:r w:rsidRPr="0081621B">
        <w:rPr>
          <w:rFonts w:cs="Arial"/>
          <w:rtl/>
        </w:rPr>
        <w:t xml:space="preserve"> ולו מהן בנים זכרים</w:t>
      </w:r>
      <w:r w:rsidR="00FF7137">
        <w:rPr>
          <w:rFonts w:cs="Arial" w:hint="cs"/>
          <w:rtl/>
        </w:rPr>
        <w:t>,</w:t>
      </w:r>
      <w:r w:rsidRPr="0081621B">
        <w:rPr>
          <w:rFonts w:cs="Arial"/>
          <w:rtl/>
        </w:rPr>
        <w:t xml:space="preserve"> אם היה שם יתר על כדי כל הכתובות דינר </w:t>
      </w:r>
      <w:r w:rsidR="00FF7137">
        <w:rPr>
          <w:rFonts w:cs="Arial" w:hint="cs"/>
          <w:rtl/>
        </w:rPr>
        <w:t xml:space="preserve">- </w:t>
      </w:r>
      <w:r w:rsidRPr="0081621B">
        <w:rPr>
          <w:rFonts w:cs="Arial"/>
          <w:rtl/>
        </w:rPr>
        <w:t>כל אחד ואחד יורש כתובת אמו</w:t>
      </w:r>
      <w:r w:rsidR="00FF7137">
        <w:rPr>
          <w:rFonts w:cs="Arial" w:hint="cs"/>
          <w:rtl/>
        </w:rPr>
        <w:t>,</w:t>
      </w:r>
      <w:r w:rsidRPr="0081621B">
        <w:rPr>
          <w:rFonts w:cs="Arial"/>
          <w:rtl/>
        </w:rPr>
        <w:t xml:space="preserve"> והשאר חולקין בשוה.</w:t>
      </w:r>
      <w:r w:rsidRPr="0081621B">
        <w:rPr>
          <w:rFonts w:hint="cs"/>
          <w:color w:val="E36C0A" w:themeColor="accent6" w:themeShade="BF"/>
          <w:rtl/>
        </w:rPr>
        <w:t xml:space="preserve"> (וכ"פ בשו"ע)</w:t>
      </w:r>
    </w:p>
    <w:p w14:paraId="31D86CC2"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6D1234B" w14:textId="77777777" w:rsidR="00392DBB" w:rsidRDefault="00392DBB" w:rsidP="00392DBB">
      <w:pPr>
        <w:rPr>
          <w:rtl/>
        </w:rPr>
      </w:pPr>
      <w:r>
        <w:rPr>
          <w:rFonts w:cs="Arial"/>
          <w:rtl/>
        </w:rPr>
        <w:t>וה</w:t>
      </w:r>
      <w:r>
        <w:rPr>
          <w:rFonts w:cs="Arial" w:hint="cs"/>
          <w:rtl/>
        </w:rPr>
        <w:t xml:space="preserve">וא </w:t>
      </w:r>
      <w:r>
        <w:rPr>
          <w:rFonts w:cs="Arial"/>
          <w:rtl/>
        </w:rPr>
        <w:t>ה</w:t>
      </w:r>
      <w:r>
        <w:rPr>
          <w:rFonts w:cs="Arial" w:hint="cs"/>
          <w:rtl/>
        </w:rPr>
        <w:t>דין</w:t>
      </w:r>
      <w:r>
        <w:rPr>
          <w:rFonts w:cs="Arial"/>
          <w:rtl/>
        </w:rPr>
        <w:t xml:space="preserve"> למי שנשא נשים רבות, בין בזו אחר זו בין בבת אחת, ומתו כולן בחייו, ולו מהם בנים זכרים, אם היה שם יותר על כדי כל הכתובות דינר, כל אחד ואחד יורש כתובת אמו, והשאר חולקים בשוה. </w:t>
      </w:r>
    </w:p>
    <w:p w14:paraId="3043E5C4" w14:textId="77777777" w:rsidR="00392DBB" w:rsidRDefault="00392DBB" w:rsidP="00392DBB">
      <w:pPr>
        <w:rPr>
          <w:rtl/>
        </w:rPr>
      </w:pPr>
    </w:p>
    <w:p w14:paraId="37D24ACC" w14:textId="77777777" w:rsidR="00392DBB" w:rsidRDefault="00392DBB" w:rsidP="000F64D0">
      <w:pPr>
        <w:pStyle w:val="2"/>
        <w:rPr>
          <w:rtl/>
        </w:rPr>
      </w:pPr>
      <w:r>
        <w:rPr>
          <w:rtl/>
        </w:rPr>
        <w:t>סעיף ה</w:t>
      </w:r>
      <w:r>
        <w:rPr>
          <w:rFonts w:hint="cs"/>
          <w:rtl/>
        </w:rPr>
        <w:t>: הערכת הנכסים בדינר יותר משווים. נכסים שנתרבו או נתמעטו לאחר מיתה.</w:t>
      </w:r>
    </w:p>
    <w:p w14:paraId="198C4F99" w14:textId="32BC0FC3" w:rsidR="00392DBB" w:rsidRDefault="00392DBB" w:rsidP="00392DBB">
      <w:pPr>
        <w:rPr>
          <w:rFonts w:cs="Arial"/>
          <w:rtl/>
        </w:rPr>
      </w:pPr>
      <w:r w:rsidRPr="003E4BB7">
        <w:rPr>
          <w:rFonts w:cs="Arial" w:hint="cs"/>
          <w:b/>
          <w:bCs/>
          <w:rtl/>
        </w:rPr>
        <w:t>כתובות צא</w:t>
      </w:r>
      <w:r>
        <w:rPr>
          <w:rStyle w:val="a7"/>
          <w:rFonts w:cs="Arial"/>
          <w:b/>
          <w:bCs/>
          <w:rtl/>
        </w:rPr>
        <w:footnoteReference w:id="2403"/>
      </w:r>
      <w:r w:rsidRPr="003E4BB7">
        <w:rPr>
          <w:rFonts w:cs="Arial" w:hint="cs"/>
          <w:b/>
          <w:bCs/>
          <w:rtl/>
        </w:rPr>
        <w:t xml:space="preserve"> </w:t>
      </w:r>
      <w:r>
        <w:rPr>
          <w:rFonts w:cs="Arial" w:hint="cs"/>
          <w:b/>
          <w:bCs/>
          <w:sz w:val="16"/>
          <w:szCs w:val="16"/>
          <w:rtl/>
        </w:rPr>
        <w:t xml:space="preserve">(פ' מי שהיה נשוי) </w:t>
      </w:r>
      <w:r w:rsidRPr="003E4BB7">
        <w:rPr>
          <w:rFonts w:cs="Arial" w:hint="cs"/>
          <w:b/>
          <w:bCs/>
          <w:rtl/>
        </w:rPr>
        <w:t>ע"א:</w:t>
      </w:r>
      <w:r>
        <w:rPr>
          <w:rFonts w:cs="Arial" w:hint="cs"/>
          <w:rtl/>
        </w:rPr>
        <w:t xml:space="preserve"> </w:t>
      </w:r>
      <w:r w:rsidRPr="003E4BB7">
        <w:rPr>
          <w:rFonts w:cs="Arial"/>
          <w:u w:val="double"/>
          <w:rtl/>
        </w:rPr>
        <w:t>מתני'</w:t>
      </w:r>
      <w:r>
        <w:rPr>
          <w:rFonts w:cs="Arial" w:hint="cs"/>
          <w:rtl/>
        </w:rPr>
        <w:t>:</w:t>
      </w:r>
      <w:r w:rsidRPr="003E4BB7">
        <w:rPr>
          <w:rFonts w:cs="Arial"/>
          <w:rtl/>
        </w:rPr>
        <w:t xml:space="preserve"> מי שהיה נשוי שתי נשים ומתו, ואחר כך מת הוא, ויתומים מבקשין כתובת אמן</w:t>
      </w:r>
      <w:r>
        <w:rPr>
          <w:rStyle w:val="a7"/>
          <w:rFonts w:cs="Arial"/>
          <w:rtl/>
        </w:rPr>
        <w:footnoteReference w:id="2404"/>
      </w:r>
      <w:r w:rsidRPr="003E4BB7">
        <w:rPr>
          <w:rFonts w:cs="Arial"/>
          <w:rtl/>
        </w:rPr>
        <w:t xml:space="preserve"> ואין שם אלא שתי כתובות - חולקין בשוה</w:t>
      </w:r>
      <w:r>
        <w:rPr>
          <w:rStyle w:val="a7"/>
          <w:rFonts w:cs="Arial"/>
          <w:rtl/>
        </w:rPr>
        <w:footnoteReference w:id="2405"/>
      </w:r>
      <w:r>
        <w:rPr>
          <w:rFonts w:cs="Arial" w:hint="cs"/>
          <w:rtl/>
        </w:rPr>
        <w:t>.</w:t>
      </w:r>
      <w:r w:rsidRPr="003E4BB7">
        <w:rPr>
          <w:rFonts w:cs="Arial"/>
          <w:rtl/>
        </w:rPr>
        <w:t xml:space="preserve"> היה שם מותר דינר</w:t>
      </w:r>
      <w:r>
        <w:rPr>
          <w:rStyle w:val="a7"/>
          <w:rFonts w:cs="Arial"/>
          <w:rtl/>
        </w:rPr>
        <w:footnoteReference w:id="2406"/>
      </w:r>
      <w:r w:rsidRPr="003E4BB7">
        <w:rPr>
          <w:rFonts w:cs="Arial"/>
          <w:rtl/>
        </w:rPr>
        <w:t xml:space="preserve"> - אלו נוטלים כתובת אמן, ואלו נוטלים כתובת אמן.</w:t>
      </w:r>
      <w:r w:rsidRPr="00DC2E30">
        <w:rPr>
          <w:rtl/>
        </w:rPr>
        <w:t xml:space="preserve"> </w:t>
      </w:r>
      <w:r w:rsidRPr="00DC2E30">
        <w:rPr>
          <w:rFonts w:cs="Arial"/>
          <w:rtl/>
        </w:rPr>
        <w:t>אם אמרו יתומים</w:t>
      </w:r>
      <w:r>
        <w:rPr>
          <w:rStyle w:val="a7"/>
          <w:rFonts w:cs="Arial"/>
          <w:rtl/>
        </w:rPr>
        <w:footnoteReference w:id="2407"/>
      </w:r>
      <w:r w:rsidRPr="00DC2E30">
        <w:rPr>
          <w:rFonts w:cs="Arial"/>
          <w:rtl/>
        </w:rPr>
        <w:t xml:space="preserve"> אנחנו מעלים על נכסי אבינו</w:t>
      </w:r>
      <w:r>
        <w:rPr>
          <w:rStyle w:val="a7"/>
          <w:rFonts w:cs="Arial"/>
          <w:rtl/>
        </w:rPr>
        <w:footnoteReference w:id="2408"/>
      </w:r>
      <w:r w:rsidRPr="00DC2E30">
        <w:rPr>
          <w:rFonts w:cs="Arial"/>
          <w:rtl/>
        </w:rPr>
        <w:t xml:space="preserve"> יפה דינר, כדי שיטלו כתובת אמן - אין שומעין להן, אלא שמין את הנכסים בבית דין</w:t>
      </w:r>
      <w:r w:rsidR="00370BE9">
        <w:rPr>
          <w:rFonts w:cs="Arial" w:hint="cs"/>
          <w:rtl/>
        </w:rPr>
        <w:t>...</w:t>
      </w:r>
    </w:p>
    <w:p w14:paraId="36D6721B" w14:textId="77777777" w:rsidR="00392DBB" w:rsidRPr="003F358F" w:rsidRDefault="00392DBB" w:rsidP="00392DBB">
      <w:pPr>
        <w:rPr>
          <w:u w:val="single"/>
          <w:rtl/>
        </w:rPr>
      </w:pPr>
      <w:r>
        <w:rPr>
          <w:rFonts w:hint="cs"/>
          <w:u w:val="single"/>
          <w:rtl/>
        </w:rPr>
        <w:t>יש בנכסים כדי שתי ה</w:t>
      </w:r>
      <w:r w:rsidRPr="003F358F">
        <w:rPr>
          <w:rFonts w:hint="cs"/>
          <w:u w:val="single"/>
          <w:rtl/>
        </w:rPr>
        <w:t xml:space="preserve">כתובות </w:t>
      </w:r>
      <w:r>
        <w:rPr>
          <w:rFonts w:hint="cs"/>
          <w:u w:val="single"/>
          <w:rtl/>
        </w:rPr>
        <w:t>בדיוק,</w:t>
      </w:r>
      <w:r w:rsidRPr="003F358F">
        <w:rPr>
          <w:rFonts w:hint="cs"/>
          <w:u w:val="single"/>
          <w:rtl/>
        </w:rPr>
        <w:t xml:space="preserve"> ובן </w:t>
      </w:r>
      <w:r>
        <w:rPr>
          <w:rFonts w:hint="cs"/>
          <w:u w:val="single"/>
          <w:rtl/>
        </w:rPr>
        <w:t xml:space="preserve">האשה שכתובתה גדולה </w:t>
      </w:r>
      <w:r w:rsidRPr="003F358F">
        <w:rPr>
          <w:rFonts w:hint="cs"/>
          <w:u w:val="single"/>
          <w:rtl/>
        </w:rPr>
        <w:t xml:space="preserve">רוצה להעריך את </w:t>
      </w:r>
      <w:r>
        <w:rPr>
          <w:rFonts w:hint="cs"/>
          <w:u w:val="single"/>
          <w:rtl/>
        </w:rPr>
        <w:t xml:space="preserve">הנכסים </w:t>
      </w:r>
      <w:r w:rsidRPr="003F358F">
        <w:rPr>
          <w:rFonts w:hint="cs"/>
          <w:u w:val="single"/>
          <w:rtl/>
        </w:rPr>
        <w:t>בדינר יתר על שווי</w:t>
      </w:r>
      <w:r>
        <w:rPr>
          <w:rFonts w:hint="cs"/>
          <w:u w:val="single"/>
          <w:rtl/>
        </w:rPr>
        <w:t>ם:</w:t>
      </w:r>
    </w:p>
    <w:p w14:paraId="1418C0EF" w14:textId="394AED71" w:rsidR="00370BE9" w:rsidRDefault="00392DBB" w:rsidP="00370BE9">
      <w:pPr>
        <w:pStyle w:val="ab"/>
        <w:numPr>
          <w:ilvl w:val="0"/>
          <w:numId w:val="63"/>
        </w:numPr>
        <w:rPr>
          <w:rtl/>
        </w:rPr>
      </w:pPr>
      <w:r>
        <w:rPr>
          <w:rFonts w:cs="Arial" w:hint="cs"/>
          <w:rtl/>
        </w:rPr>
        <w:t xml:space="preserve">רמב"ם </w:t>
      </w:r>
      <w:r w:rsidRPr="0081621B">
        <w:rPr>
          <w:rFonts w:cs="Arial" w:hint="cs"/>
          <w:sz w:val="16"/>
          <w:szCs w:val="16"/>
          <w:rtl/>
        </w:rPr>
        <w:t>(פי"ט מאישות ה"</w:t>
      </w:r>
      <w:r>
        <w:rPr>
          <w:rFonts w:cs="Arial" w:hint="cs"/>
          <w:sz w:val="16"/>
          <w:szCs w:val="16"/>
          <w:rtl/>
        </w:rPr>
        <w:t>ה</w:t>
      </w:r>
      <w:r w:rsidRPr="0081621B">
        <w:rPr>
          <w:rFonts w:cs="Arial" w:hint="cs"/>
          <w:sz w:val="16"/>
          <w:szCs w:val="16"/>
          <w:rtl/>
        </w:rPr>
        <w:t>)</w:t>
      </w:r>
      <w:r>
        <w:rPr>
          <w:rFonts w:cs="Arial" w:hint="cs"/>
          <w:sz w:val="16"/>
          <w:szCs w:val="16"/>
          <w:rtl/>
        </w:rPr>
        <w:t xml:space="preserve"> </w:t>
      </w:r>
      <w:r>
        <w:rPr>
          <w:rFonts w:cs="Arial" w:hint="cs"/>
          <w:rtl/>
        </w:rPr>
        <w:t xml:space="preserve">וטור- </w:t>
      </w:r>
      <w:r w:rsidRPr="008A1F1E">
        <w:rPr>
          <w:rFonts w:cs="Arial"/>
          <w:rtl/>
        </w:rPr>
        <w:t xml:space="preserve">אמר בן הכתובה הגדולה </w:t>
      </w:r>
      <w:r>
        <w:rPr>
          <w:rFonts w:cs="Arial" w:hint="cs"/>
          <w:rtl/>
        </w:rPr>
        <w:t>'</w:t>
      </w:r>
      <w:r w:rsidRPr="008A1F1E">
        <w:rPr>
          <w:rFonts w:cs="Arial"/>
          <w:rtl/>
        </w:rPr>
        <w:t>הריני מעלה על הנכסים דינר כדי שיהא שם מותר ואטול כתובת אמי</w:t>
      </w:r>
      <w:r>
        <w:rPr>
          <w:rFonts w:cs="Arial" w:hint="cs"/>
          <w:rtl/>
        </w:rPr>
        <w:t>' -</w:t>
      </w:r>
      <w:r w:rsidRPr="008A1F1E">
        <w:rPr>
          <w:rFonts w:cs="Arial"/>
          <w:rtl/>
        </w:rPr>
        <w:t xml:space="preserve"> אין שומעין לו</w:t>
      </w:r>
      <w:r>
        <w:rPr>
          <w:rFonts w:cs="Arial" w:hint="cs"/>
          <w:rtl/>
        </w:rPr>
        <w:t>,</w:t>
      </w:r>
      <w:r w:rsidRPr="008A1F1E">
        <w:rPr>
          <w:rFonts w:cs="Arial"/>
          <w:rtl/>
        </w:rPr>
        <w:t xml:space="preserve"> אלא שמין את הנכסים בב"ד כפי מה שהיו שוין בשעת מיתת אביהן</w:t>
      </w:r>
      <w:r>
        <w:rPr>
          <w:rFonts w:cs="Arial" w:hint="cs"/>
          <w:sz w:val="16"/>
          <w:szCs w:val="16"/>
          <w:rtl/>
        </w:rPr>
        <w:t xml:space="preserve"> (ל' הטור)</w:t>
      </w:r>
      <w:r>
        <w:rPr>
          <w:rFonts w:cs="Arial" w:hint="cs"/>
          <w:rtl/>
        </w:rPr>
        <w:t>.</w:t>
      </w:r>
      <w:r w:rsidRPr="008A1F1E">
        <w:rPr>
          <w:rFonts w:cs="Arial"/>
          <w:rtl/>
        </w:rPr>
        <w:t xml:space="preserve"> </w:t>
      </w:r>
      <w:r w:rsidRPr="0081621B">
        <w:rPr>
          <w:rFonts w:hint="cs"/>
          <w:color w:val="E36C0A" w:themeColor="accent6" w:themeShade="BF"/>
          <w:rtl/>
        </w:rPr>
        <w:t>(וכ"פ בשו"ע)</w:t>
      </w:r>
    </w:p>
    <w:p w14:paraId="247FB42C" w14:textId="44E72540" w:rsidR="00370BE9" w:rsidRPr="00370BE9" w:rsidRDefault="00370BE9" w:rsidP="00370BE9">
      <w:pPr>
        <w:rPr>
          <w:rFonts w:cs="Arial"/>
        </w:rPr>
      </w:pPr>
      <w:bookmarkStart w:id="25" w:name="_Hlk136255365"/>
      <w:r w:rsidRPr="003E4BB7">
        <w:rPr>
          <w:rFonts w:cs="Arial" w:hint="cs"/>
          <w:b/>
          <w:bCs/>
          <w:rtl/>
        </w:rPr>
        <w:t xml:space="preserve">כתובות צא </w:t>
      </w:r>
      <w:r>
        <w:rPr>
          <w:rFonts w:cs="Arial" w:hint="cs"/>
          <w:b/>
          <w:bCs/>
          <w:sz w:val="16"/>
          <w:szCs w:val="16"/>
          <w:rtl/>
        </w:rPr>
        <w:t xml:space="preserve">(פ' מי שהיה נשוי) </w:t>
      </w:r>
      <w:r w:rsidRPr="003E4BB7">
        <w:rPr>
          <w:rFonts w:cs="Arial" w:hint="cs"/>
          <w:b/>
          <w:bCs/>
          <w:rtl/>
        </w:rPr>
        <w:t>ע"א:</w:t>
      </w:r>
      <w:r w:rsidRPr="000611C9">
        <w:rPr>
          <w:rFonts w:cs="Arial"/>
          <w:rtl/>
        </w:rPr>
        <w:t xml:space="preserve"> פשיטא, מרובין</w:t>
      </w:r>
      <w:r w:rsidR="00246365">
        <w:rPr>
          <w:rStyle w:val="a7"/>
          <w:rFonts w:cs="Arial"/>
          <w:rtl/>
        </w:rPr>
        <w:footnoteReference w:id="2409"/>
      </w:r>
      <w:r w:rsidRPr="000611C9">
        <w:rPr>
          <w:rFonts w:cs="Arial"/>
          <w:rtl/>
        </w:rPr>
        <w:t xml:space="preserve"> ונתמעטו</w:t>
      </w:r>
      <w:r w:rsidR="00246365">
        <w:rPr>
          <w:rStyle w:val="a7"/>
          <w:rFonts w:cs="Arial"/>
          <w:rtl/>
        </w:rPr>
        <w:footnoteReference w:id="2410"/>
      </w:r>
      <w:r w:rsidRPr="000611C9">
        <w:rPr>
          <w:rFonts w:cs="Arial"/>
          <w:rtl/>
        </w:rPr>
        <w:t xml:space="preserve"> - כבר זכו בהן</w:t>
      </w:r>
      <w:r w:rsidR="00246365">
        <w:rPr>
          <w:rStyle w:val="a7"/>
          <w:rFonts w:cs="Arial"/>
          <w:rtl/>
        </w:rPr>
        <w:footnoteReference w:id="2411"/>
      </w:r>
      <w:r w:rsidRPr="000611C9">
        <w:rPr>
          <w:rFonts w:cs="Arial"/>
          <w:rtl/>
        </w:rPr>
        <w:t xml:space="preserve"> יורשין, מועטין ונתרבו, מאי? ת"ש: דניכסי דבי בר צרצור מועטין ונתרבו הוו, ואתו לקמיה דרב עמרם, </w:t>
      </w:r>
      <w:r w:rsidRPr="000611C9">
        <w:rPr>
          <w:rFonts w:cs="Arial"/>
          <w:u w:val="single"/>
          <w:rtl/>
        </w:rPr>
        <w:t>אמר להו</w:t>
      </w:r>
      <w:r w:rsidRPr="000611C9">
        <w:rPr>
          <w:rFonts w:cs="Arial"/>
          <w:rtl/>
        </w:rPr>
        <w:t>: זילו פייסינהו</w:t>
      </w:r>
      <w:r w:rsidR="008D531A">
        <w:rPr>
          <w:rStyle w:val="a7"/>
          <w:rFonts w:cs="Arial"/>
          <w:rtl/>
        </w:rPr>
        <w:footnoteReference w:id="2412"/>
      </w:r>
      <w:r w:rsidRPr="000611C9">
        <w:rPr>
          <w:rFonts w:cs="Arial"/>
          <w:rtl/>
        </w:rPr>
        <w:t xml:space="preserve">, לא אשגחו. </w:t>
      </w:r>
      <w:r w:rsidRPr="000611C9">
        <w:rPr>
          <w:rFonts w:cs="Arial"/>
          <w:u w:val="single"/>
          <w:rtl/>
        </w:rPr>
        <w:t>אמר להו</w:t>
      </w:r>
      <w:r w:rsidRPr="000611C9">
        <w:rPr>
          <w:rFonts w:cs="Arial"/>
          <w:rtl/>
        </w:rPr>
        <w:t xml:space="preserve">: אי </w:t>
      </w:r>
      <w:r w:rsidRPr="000611C9">
        <w:rPr>
          <w:rFonts w:cs="Arial"/>
          <w:rtl/>
        </w:rPr>
        <w:lastRenderedPageBreak/>
        <w:t>לא מפייסיתו להו, מחינא לכו בסילוא דלא מבע דמא</w:t>
      </w:r>
      <w:r w:rsidR="008D531A">
        <w:rPr>
          <w:rStyle w:val="a7"/>
          <w:rFonts w:cs="Arial"/>
          <w:rtl/>
        </w:rPr>
        <w:footnoteReference w:id="2413"/>
      </w:r>
      <w:r w:rsidRPr="000611C9">
        <w:rPr>
          <w:rFonts w:cs="Arial"/>
          <w:rtl/>
        </w:rPr>
        <w:t xml:space="preserve">. שדרינהו לקמיה דרב נחמן, </w:t>
      </w:r>
      <w:r w:rsidRPr="000611C9">
        <w:rPr>
          <w:rFonts w:cs="Arial"/>
          <w:u w:val="single"/>
          <w:rtl/>
        </w:rPr>
        <w:t>אמר להן</w:t>
      </w:r>
      <w:r w:rsidRPr="000611C9">
        <w:rPr>
          <w:rFonts w:cs="Arial"/>
          <w:rtl/>
        </w:rPr>
        <w:t>: כשם שמרובין ונתמעטו</w:t>
      </w:r>
      <w:r w:rsidRPr="000611C9">
        <w:rPr>
          <w:rtl/>
        </w:rPr>
        <w:t xml:space="preserve"> </w:t>
      </w:r>
      <w:r>
        <w:rPr>
          <w:rFonts w:hint="cs"/>
          <w:sz w:val="14"/>
          <w:szCs w:val="14"/>
          <w:rtl/>
        </w:rPr>
        <w:t xml:space="preserve">(צא:) </w:t>
      </w:r>
      <w:r w:rsidRPr="000611C9">
        <w:rPr>
          <w:rFonts w:cs="Arial"/>
          <w:rtl/>
        </w:rPr>
        <w:t>זכו בהן יורשין, כך מועטין ונתרבו זכו בהן</w:t>
      </w:r>
      <w:r w:rsidR="008D531A">
        <w:rPr>
          <w:rStyle w:val="a7"/>
          <w:rFonts w:cs="Arial"/>
          <w:rtl/>
        </w:rPr>
        <w:footnoteReference w:id="2414"/>
      </w:r>
      <w:r w:rsidRPr="000611C9">
        <w:rPr>
          <w:rFonts w:cs="Arial"/>
          <w:rtl/>
        </w:rPr>
        <w:t xml:space="preserve"> יורשין.</w:t>
      </w:r>
    </w:p>
    <w:bookmarkEnd w:id="25"/>
    <w:p w14:paraId="5EA87DCE" w14:textId="6AEC6BCE" w:rsidR="00392DBB" w:rsidRPr="003F358F" w:rsidRDefault="00392DBB" w:rsidP="00392DBB">
      <w:pPr>
        <w:rPr>
          <w:u w:val="single"/>
        </w:rPr>
      </w:pPr>
      <w:r>
        <w:rPr>
          <w:rFonts w:hint="cs"/>
          <w:u w:val="single"/>
          <w:rtl/>
        </w:rPr>
        <w:t xml:space="preserve">נכסים </w:t>
      </w:r>
      <w:r w:rsidRPr="003F358F">
        <w:rPr>
          <w:rFonts w:hint="cs"/>
          <w:u w:val="single"/>
          <w:rtl/>
        </w:rPr>
        <w:t>שהיה בה</w:t>
      </w:r>
      <w:r>
        <w:rPr>
          <w:rFonts w:hint="cs"/>
          <w:u w:val="single"/>
          <w:rtl/>
        </w:rPr>
        <w:t>ם</w:t>
      </w:r>
      <w:r w:rsidRPr="003F358F">
        <w:rPr>
          <w:rFonts w:hint="cs"/>
          <w:u w:val="single"/>
          <w:rtl/>
        </w:rPr>
        <w:t xml:space="preserve"> מותר </w:t>
      </w:r>
      <w:r w:rsidR="00246365">
        <w:rPr>
          <w:rFonts w:hint="cs"/>
          <w:u w:val="single"/>
          <w:rtl/>
        </w:rPr>
        <w:t xml:space="preserve">דינר </w:t>
      </w:r>
      <w:r w:rsidRPr="003F358F">
        <w:rPr>
          <w:rFonts w:hint="cs"/>
          <w:u w:val="single"/>
          <w:rtl/>
        </w:rPr>
        <w:t>בשעת מיתה</w:t>
      </w:r>
      <w:r>
        <w:rPr>
          <w:rFonts w:hint="cs"/>
          <w:u w:val="single"/>
          <w:rtl/>
        </w:rPr>
        <w:t>,</w:t>
      </w:r>
      <w:r w:rsidRPr="003F358F">
        <w:rPr>
          <w:rFonts w:hint="cs"/>
          <w:u w:val="single"/>
          <w:rtl/>
        </w:rPr>
        <w:t xml:space="preserve"> ואח"כ בשעת חלוקה נתמע</w:t>
      </w:r>
      <w:r>
        <w:rPr>
          <w:rFonts w:hint="cs"/>
          <w:u w:val="single"/>
          <w:rtl/>
        </w:rPr>
        <w:t>ט</w:t>
      </w:r>
      <w:r w:rsidRPr="003F358F">
        <w:rPr>
          <w:rFonts w:hint="cs"/>
          <w:u w:val="single"/>
          <w:rtl/>
        </w:rPr>
        <w:t>ו</w:t>
      </w:r>
      <w:r w:rsidR="00246365">
        <w:rPr>
          <w:rFonts w:hint="cs"/>
          <w:u w:val="single"/>
          <w:rtl/>
        </w:rPr>
        <w:t xml:space="preserve"> וכבר אין בהם מותר דינר</w:t>
      </w:r>
      <w:r w:rsidRPr="003F358F">
        <w:rPr>
          <w:rFonts w:hint="cs"/>
          <w:u w:val="single"/>
          <w:rtl/>
        </w:rPr>
        <w:t>:</w:t>
      </w:r>
    </w:p>
    <w:p w14:paraId="00EF3935" w14:textId="3F426989" w:rsidR="00392DBB" w:rsidRDefault="00392DBB" w:rsidP="009000E3">
      <w:pPr>
        <w:pStyle w:val="ab"/>
        <w:numPr>
          <w:ilvl w:val="0"/>
          <w:numId w:val="63"/>
        </w:numPr>
      </w:pPr>
      <w:r>
        <w:rPr>
          <w:rFonts w:cs="Arial" w:hint="cs"/>
          <w:rtl/>
        </w:rPr>
        <w:t xml:space="preserve">רמב"ם </w:t>
      </w:r>
      <w:r w:rsidRPr="0081621B">
        <w:rPr>
          <w:rFonts w:cs="Arial" w:hint="cs"/>
          <w:sz w:val="16"/>
          <w:szCs w:val="16"/>
          <w:rtl/>
        </w:rPr>
        <w:t>(פי"ט מאישות ה"</w:t>
      </w:r>
      <w:r>
        <w:rPr>
          <w:rFonts w:cs="Arial" w:hint="cs"/>
          <w:sz w:val="16"/>
          <w:szCs w:val="16"/>
          <w:rtl/>
        </w:rPr>
        <w:t>ה</w:t>
      </w:r>
      <w:r w:rsidRPr="0081621B">
        <w:rPr>
          <w:rFonts w:cs="Arial" w:hint="cs"/>
          <w:sz w:val="16"/>
          <w:szCs w:val="16"/>
          <w:rtl/>
        </w:rPr>
        <w:t>)</w:t>
      </w:r>
      <w:r>
        <w:rPr>
          <w:rFonts w:cs="Arial" w:hint="cs"/>
          <w:sz w:val="16"/>
          <w:szCs w:val="16"/>
          <w:rtl/>
        </w:rPr>
        <w:t xml:space="preserve"> </w:t>
      </w:r>
      <w:r>
        <w:rPr>
          <w:rFonts w:cs="Arial" w:hint="cs"/>
          <w:rtl/>
        </w:rPr>
        <w:t xml:space="preserve">וטור- </w:t>
      </w:r>
      <w:r w:rsidRPr="008A1F1E">
        <w:rPr>
          <w:rFonts w:cs="Arial"/>
          <w:rtl/>
        </w:rPr>
        <w:t>היו מרובים בשעת מיתה</w:t>
      </w:r>
      <w:r w:rsidR="00370BE9">
        <w:rPr>
          <w:rFonts w:cs="Arial" w:hint="cs"/>
          <w:rtl/>
        </w:rPr>
        <w:t>,</w:t>
      </w:r>
      <w:r w:rsidRPr="008A1F1E">
        <w:rPr>
          <w:rFonts w:cs="Arial"/>
          <w:rtl/>
        </w:rPr>
        <w:t xml:space="preserve"> ויש שם מותר</w:t>
      </w:r>
      <w:r w:rsidR="00370BE9">
        <w:rPr>
          <w:rFonts w:cs="Arial" w:hint="cs"/>
          <w:rtl/>
        </w:rPr>
        <w:t>,</w:t>
      </w:r>
      <w:r w:rsidRPr="008A1F1E">
        <w:rPr>
          <w:rFonts w:cs="Arial"/>
          <w:rtl/>
        </w:rPr>
        <w:t xml:space="preserve"> ונתמעטו</w:t>
      </w:r>
      <w:r>
        <w:rPr>
          <w:rStyle w:val="a7"/>
          <w:rFonts w:cs="Arial"/>
          <w:rtl/>
        </w:rPr>
        <w:footnoteReference w:id="2415"/>
      </w:r>
      <w:r w:rsidRPr="008A1F1E">
        <w:rPr>
          <w:rFonts w:cs="Arial"/>
          <w:rtl/>
        </w:rPr>
        <w:t xml:space="preserve"> בשעת חלוקה</w:t>
      </w:r>
      <w:r>
        <w:rPr>
          <w:rFonts w:cs="Arial" w:hint="cs"/>
          <w:rtl/>
        </w:rPr>
        <w:t xml:space="preserve"> -</w:t>
      </w:r>
      <w:r w:rsidRPr="008A1F1E">
        <w:rPr>
          <w:rFonts w:cs="Arial"/>
          <w:rtl/>
        </w:rPr>
        <w:t xml:space="preserve"> כבר זכה בן הגדולה בכתובת אמו</w:t>
      </w:r>
      <w:r>
        <w:rPr>
          <w:rFonts w:cs="Arial" w:hint="cs"/>
          <w:sz w:val="16"/>
          <w:szCs w:val="16"/>
          <w:rtl/>
        </w:rPr>
        <w:t xml:space="preserve"> (ל' הטור)</w:t>
      </w:r>
      <w:r>
        <w:rPr>
          <w:rFonts w:cs="Arial" w:hint="cs"/>
          <w:rtl/>
        </w:rPr>
        <w:t>.</w:t>
      </w:r>
      <w:r w:rsidRPr="008A1F1E">
        <w:rPr>
          <w:rFonts w:cs="Arial"/>
          <w:rtl/>
        </w:rPr>
        <w:t xml:space="preserve"> </w:t>
      </w:r>
      <w:r w:rsidRPr="0081621B">
        <w:rPr>
          <w:rFonts w:hint="cs"/>
          <w:color w:val="E36C0A" w:themeColor="accent6" w:themeShade="BF"/>
          <w:rtl/>
        </w:rPr>
        <w:t>(וכ"פ בשו"ע)</w:t>
      </w:r>
    </w:p>
    <w:p w14:paraId="747252E9" w14:textId="77777777" w:rsidR="00392DBB" w:rsidRPr="00FE297E" w:rsidRDefault="00392DBB" w:rsidP="00392DBB">
      <w:pPr>
        <w:ind w:left="360"/>
        <w:rPr>
          <w:u w:val="dotted"/>
        </w:rPr>
      </w:pPr>
      <w:r w:rsidRPr="00FE297E">
        <w:rPr>
          <w:rFonts w:hint="cs"/>
          <w:u w:val="dotted"/>
          <w:rtl/>
        </w:rPr>
        <w:t>ומה הדין אם לא נשאר בנכסים כדי שתי הכתובות:</w:t>
      </w:r>
    </w:p>
    <w:p w14:paraId="60E39860" w14:textId="78FF95EF" w:rsidR="00392DBB" w:rsidRPr="007D0E4B" w:rsidRDefault="00392DBB" w:rsidP="009000E3">
      <w:pPr>
        <w:pStyle w:val="ab"/>
        <w:numPr>
          <w:ilvl w:val="0"/>
          <w:numId w:val="63"/>
        </w:numPr>
      </w:pPr>
      <w:r>
        <w:rPr>
          <w:rFonts w:cs="Arial" w:hint="cs"/>
          <w:rtl/>
        </w:rPr>
        <w:t xml:space="preserve">טור- </w:t>
      </w:r>
      <w:r w:rsidRPr="008A1F1E">
        <w:rPr>
          <w:rFonts w:cs="Arial"/>
          <w:rtl/>
        </w:rPr>
        <w:t>והיכא שלא נשאר כדי ב' כתובות שמין לכל אחד כפי חלקו שהיה לו בנכסים</w:t>
      </w:r>
      <w:r>
        <w:rPr>
          <w:rStyle w:val="a7"/>
          <w:rFonts w:cs="Arial"/>
          <w:rtl/>
        </w:rPr>
        <w:footnoteReference w:id="2416"/>
      </w:r>
      <w:r>
        <w:rPr>
          <w:rFonts w:cs="Arial" w:hint="cs"/>
          <w:sz w:val="16"/>
          <w:szCs w:val="16"/>
          <w:rtl/>
        </w:rPr>
        <w:t xml:space="preserve"> (ל' הטור)</w:t>
      </w:r>
      <w:r>
        <w:rPr>
          <w:rFonts w:cs="Arial" w:hint="cs"/>
          <w:rtl/>
        </w:rPr>
        <w:t>.</w:t>
      </w:r>
    </w:p>
    <w:p w14:paraId="16597744" w14:textId="67480998" w:rsidR="00392DBB" w:rsidRPr="003F358F" w:rsidRDefault="00246365" w:rsidP="00392DBB">
      <w:pPr>
        <w:rPr>
          <w:u w:val="single"/>
        </w:rPr>
      </w:pPr>
      <w:r>
        <w:rPr>
          <w:rFonts w:hint="cs"/>
          <w:u w:val="single"/>
          <w:rtl/>
        </w:rPr>
        <w:t xml:space="preserve">נכסים </w:t>
      </w:r>
      <w:r w:rsidRPr="003F358F">
        <w:rPr>
          <w:rFonts w:hint="cs"/>
          <w:u w:val="single"/>
          <w:rtl/>
        </w:rPr>
        <w:t>ש</w:t>
      </w:r>
      <w:r>
        <w:rPr>
          <w:rFonts w:hint="cs"/>
          <w:u w:val="single"/>
          <w:rtl/>
        </w:rPr>
        <w:t xml:space="preserve">לא </w:t>
      </w:r>
      <w:r w:rsidRPr="003F358F">
        <w:rPr>
          <w:rFonts w:hint="cs"/>
          <w:u w:val="single"/>
          <w:rtl/>
        </w:rPr>
        <w:t>היה בה</w:t>
      </w:r>
      <w:r>
        <w:rPr>
          <w:rFonts w:hint="cs"/>
          <w:u w:val="single"/>
          <w:rtl/>
        </w:rPr>
        <w:t>ם</w:t>
      </w:r>
      <w:r w:rsidRPr="003F358F">
        <w:rPr>
          <w:rFonts w:hint="cs"/>
          <w:u w:val="single"/>
          <w:rtl/>
        </w:rPr>
        <w:t xml:space="preserve"> מותר </w:t>
      </w:r>
      <w:r>
        <w:rPr>
          <w:rFonts w:hint="cs"/>
          <w:u w:val="single"/>
          <w:rtl/>
        </w:rPr>
        <w:t xml:space="preserve">דינר </w:t>
      </w:r>
      <w:r w:rsidRPr="003F358F">
        <w:rPr>
          <w:rFonts w:hint="cs"/>
          <w:u w:val="single"/>
          <w:rtl/>
        </w:rPr>
        <w:t>בשעת מיתה</w:t>
      </w:r>
      <w:r>
        <w:rPr>
          <w:rFonts w:hint="cs"/>
          <w:u w:val="single"/>
          <w:rtl/>
        </w:rPr>
        <w:t>,</w:t>
      </w:r>
      <w:r w:rsidRPr="003F358F">
        <w:rPr>
          <w:rFonts w:hint="cs"/>
          <w:u w:val="single"/>
          <w:rtl/>
        </w:rPr>
        <w:t xml:space="preserve"> ואח"כ בשעת חלוקה </w:t>
      </w:r>
      <w:r>
        <w:rPr>
          <w:rFonts w:hint="cs"/>
          <w:u w:val="single"/>
          <w:rtl/>
        </w:rPr>
        <w:t>נתרבו ויש בהם מותר דינר</w:t>
      </w:r>
      <w:r w:rsidRPr="003F358F">
        <w:rPr>
          <w:rFonts w:hint="cs"/>
          <w:u w:val="single"/>
          <w:rtl/>
        </w:rPr>
        <w:t>:</w:t>
      </w:r>
    </w:p>
    <w:p w14:paraId="01411DC2" w14:textId="77777777" w:rsidR="00392DBB" w:rsidRPr="00D96223" w:rsidRDefault="00392DBB" w:rsidP="009000E3">
      <w:pPr>
        <w:pStyle w:val="ab"/>
        <w:numPr>
          <w:ilvl w:val="0"/>
          <w:numId w:val="63"/>
        </w:numPr>
      </w:pPr>
      <w:r>
        <w:rPr>
          <w:rFonts w:cs="Arial" w:hint="cs"/>
          <w:rtl/>
        </w:rPr>
        <w:t xml:space="preserve">רמב"ם </w:t>
      </w:r>
      <w:r w:rsidRPr="0081621B">
        <w:rPr>
          <w:rFonts w:cs="Arial" w:hint="cs"/>
          <w:sz w:val="16"/>
          <w:szCs w:val="16"/>
          <w:rtl/>
        </w:rPr>
        <w:t>(פי"ט מאישות ה"</w:t>
      </w:r>
      <w:r>
        <w:rPr>
          <w:rFonts w:cs="Arial" w:hint="cs"/>
          <w:sz w:val="16"/>
          <w:szCs w:val="16"/>
          <w:rtl/>
        </w:rPr>
        <w:t>ה</w:t>
      </w:r>
      <w:r w:rsidRPr="0081621B">
        <w:rPr>
          <w:rFonts w:cs="Arial" w:hint="cs"/>
          <w:sz w:val="16"/>
          <w:szCs w:val="16"/>
          <w:rtl/>
        </w:rPr>
        <w:t>)</w:t>
      </w:r>
      <w:r>
        <w:rPr>
          <w:rFonts w:cs="Arial" w:hint="cs"/>
          <w:sz w:val="16"/>
          <w:szCs w:val="16"/>
          <w:rtl/>
        </w:rPr>
        <w:t xml:space="preserve"> </w:t>
      </w:r>
      <w:r>
        <w:rPr>
          <w:rFonts w:cs="Arial" w:hint="cs"/>
          <w:rtl/>
        </w:rPr>
        <w:t xml:space="preserve">וטור- </w:t>
      </w:r>
      <w:r w:rsidRPr="008A1F1E">
        <w:rPr>
          <w:rFonts w:cs="Arial"/>
          <w:rtl/>
        </w:rPr>
        <w:t>וכן אם היו מועטים ואין שם מותר</w:t>
      </w:r>
      <w:r>
        <w:rPr>
          <w:rFonts w:cs="Arial" w:hint="cs"/>
          <w:rtl/>
        </w:rPr>
        <w:t>,</w:t>
      </w:r>
      <w:r w:rsidRPr="008A1F1E">
        <w:rPr>
          <w:rFonts w:cs="Arial"/>
          <w:rtl/>
        </w:rPr>
        <w:t xml:space="preserve"> ונתרבו </w:t>
      </w:r>
      <w:r>
        <w:rPr>
          <w:rFonts w:cs="Arial" w:hint="cs"/>
          <w:rtl/>
        </w:rPr>
        <w:t xml:space="preserve">- </w:t>
      </w:r>
      <w:r w:rsidRPr="008A1F1E">
        <w:rPr>
          <w:rFonts w:cs="Arial"/>
          <w:rtl/>
        </w:rPr>
        <w:t>כבר זכה בן הקטנה ואין כאן כתובת בנין דכרין</w:t>
      </w:r>
      <w:r>
        <w:rPr>
          <w:rFonts w:cs="Arial" w:hint="cs"/>
          <w:sz w:val="16"/>
          <w:szCs w:val="16"/>
          <w:rtl/>
        </w:rPr>
        <w:t xml:space="preserve"> (ל' הטור)</w:t>
      </w:r>
      <w:r>
        <w:rPr>
          <w:rFonts w:cs="Arial" w:hint="cs"/>
          <w:rtl/>
        </w:rPr>
        <w:t>.</w:t>
      </w:r>
      <w:r w:rsidRPr="008A1F1E">
        <w:rPr>
          <w:rFonts w:cs="Arial"/>
          <w:rtl/>
        </w:rPr>
        <w:t xml:space="preserve"> </w:t>
      </w:r>
      <w:r w:rsidRPr="0081621B">
        <w:rPr>
          <w:rFonts w:hint="cs"/>
          <w:color w:val="E36C0A" w:themeColor="accent6" w:themeShade="BF"/>
          <w:rtl/>
        </w:rPr>
        <w:t>(וכ"פ בשו"ע)</w:t>
      </w:r>
    </w:p>
    <w:p w14:paraId="3A1F5BD7"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0132211" w14:textId="77777777" w:rsidR="00392DBB" w:rsidRDefault="00392DBB" w:rsidP="00392DBB">
      <w:pPr>
        <w:rPr>
          <w:rtl/>
        </w:rPr>
      </w:pPr>
      <w:r>
        <w:rPr>
          <w:rFonts w:cs="Arial"/>
          <w:rtl/>
        </w:rPr>
        <w:t>אמרו היתומים: הרי אנו מעלים על נכסי אבינו יותר דינר, כדי שיטלו כתובת אמן, אין שומעין להם אלא שמין את הנכסים בב</w:t>
      </w:r>
      <w:r>
        <w:rPr>
          <w:rFonts w:cs="Arial" w:hint="cs"/>
          <w:rtl/>
        </w:rPr>
        <w:t xml:space="preserve">ית </w:t>
      </w:r>
      <w:r>
        <w:rPr>
          <w:rFonts w:cs="Arial"/>
          <w:rtl/>
        </w:rPr>
        <w:t>ד</w:t>
      </w:r>
      <w:r>
        <w:rPr>
          <w:rFonts w:cs="Arial" w:hint="cs"/>
          <w:rtl/>
        </w:rPr>
        <w:t>ין</w:t>
      </w:r>
      <w:r>
        <w:rPr>
          <w:rFonts w:cs="Arial"/>
          <w:rtl/>
        </w:rPr>
        <w:t xml:space="preserve"> כמה היו שוים בשעת מיתת אביהם</w:t>
      </w:r>
      <w:r>
        <w:rPr>
          <w:rFonts w:cs="Arial" w:hint="cs"/>
          <w:rtl/>
        </w:rPr>
        <w:t>.</w:t>
      </w:r>
      <w:r>
        <w:rPr>
          <w:rFonts w:cs="Arial"/>
          <w:rtl/>
        </w:rPr>
        <w:t xml:space="preserve"> אף על פי שנתרבו או נתמעטו אחר מיתת אביהם קודם שיבואו לחלוק, אין שמין אותם אלא כשעת מיתת אביהם. </w:t>
      </w:r>
      <w:r>
        <w:rPr>
          <w:rFonts w:cs="Arial" w:hint="cs"/>
          <w:sz w:val="18"/>
          <w:szCs w:val="18"/>
          <w:rtl/>
        </w:rPr>
        <w:t xml:space="preserve">[הגה] </w:t>
      </w:r>
      <w:r w:rsidRPr="008A1F1E">
        <w:rPr>
          <w:rFonts w:cs="Arial"/>
          <w:sz w:val="18"/>
          <w:szCs w:val="18"/>
          <w:rtl/>
        </w:rPr>
        <w:t xml:space="preserve">ודוקא שהוזלו הנכסים או נשתדפו, אבל נמצא שדה שאינו שלו, איגלאי מילתא למפרע דלא היה שם יותר דינר (ר"ן והמ"מ). </w:t>
      </w:r>
    </w:p>
    <w:p w14:paraId="590EDF1C" w14:textId="77777777" w:rsidR="00392DBB" w:rsidRDefault="00392DBB" w:rsidP="00392DBB">
      <w:pPr>
        <w:rPr>
          <w:rtl/>
        </w:rPr>
      </w:pPr>
    </w:p>
    <w:p w14:paraId="2A921575" w14:textId="77777777" w:rsidR="00392DBB" w:rsidRDefault="00392DBB" w:rsidP="000F64D0">
      <w:pPr>
        <w:pStyle w:val="2"/>
        <w:rPr>
          <w:rtl/>
        </w:rPr>
      </w:pPr>
      <w:r>
        <w:rPr>
          <w:rtl/>
        </w:rPr>
        <w:t>סעיף ו</w:t>
      </w:r>
      <w:r>
        <w:rPr>
          <w:rFonts w:hint="cs"/>
          <w:rtl/>
        </w:rPr>
        <w:t>: בעל חוב על המותר שבנכסים.</w:t>
      </w:r>
    </w:p>
    <w:p w14:paraId="414DECA4" w14:textId="77777777" w:rsidR="00392DBB" w:rsidRPr="00F77343" w:rsidRDefault="00392DBB" w:rsidP="00392DBB">
      <w:pPr>
        <w:rPr>
          <w:u w:val="single"/>
          <w:rtl/>
        </w:rPr>
      </w:pPr>
      <w:r w:rsidRPr="00F77343">
        <w:rPr>
          <w:rFonts w:hint="cs"/>
          <w:u w:val="single"/>
          <w:rtl/>
        </w:rPr>
        <w:t>יש ב</w:t>
      </w:r>
      <w:r>
        <w:rPr>
          <w:rFonts w:hint="cs"/>
          <w:u w:val="single"/>
          <w:rtl/>
        </w:rPr>
        <w:t>נכסים</w:t>
      </w:r>
      <w:r w:rsidRPr="00F77343">
        <w:rPr>
          <w:rFonts w:hint="cs"/>
          <w:u w:val="single"/>
          <w:rtl/>
        </w:rPr>
        <w:t xml:space="preserve"> מותר על </w:t>
      </w:r>
      <w:r>
        <w:rPr>
          <w:rFonts w:hint="cs"/>
          <w:u w:val="single"/>
          <w:rtl/>
        </w:rPr>
        <w:t>שתי הכתובות,</w:t>
      </w:r>
      <w:r w:rsidRPr="00F77343">
        <w:rPr>
          <w:rFonts w:hint="cs"/>
          <w:u w:val="single"/>
          <w:rtl/>
        </w:rPr>
        <w:t xml:space="preserve"> אבל צריך לפרוע המותר לבעל חוב:</w:t>
      </w:r>
    </w:p>
    <w:p w14:paraId="657C1FD3" w14:textId="77777777" w:rsidR="00392DBB" w:rsidRPr="00F77343" w:rsidRDefault="00392DBB" w:rsidP="009000E3">
      <w:pPr>
        <w:pStyle w:val="ab"/>
        <w:numPr>
          <w:ilvl w:val="0"/>
          <w:numId w:val="63"/>
        </w:numPr>
      </w:pPr>
      <w:r>
        <w:rPr>
          <w:rFonts w:cs="Arial"/>
          <w:rtl/>
        </w:rPr>
        <w:t>רי"ף</w:t>
      </w:r>
      <w:r>
        <w:rPr>
          <w:rStyle w:val="a7"/>
          <w:rFonts w:cs="Arial"/>
          <w:rtl/>
        </w:rPr>
        <w:footnoteReference w:id="2417"/>
      </w:r>
      <w:r>
        <w:rPr>
          <w:rFonts w:cs="Arial"/>
          <w:rtl/>
        </w:rPr>
        <w:t xml:space="preserve"> </w:t>
      </w:r>
      <w:r w:rsidRPr="00C95125">
        <w:rPr>
          <w:rFonts w:cs="Arial" w:hint="cs"/>
          <w:sz w:val="16"/>
          <w:szCs w:val="16"/>
          <w:rtl/>
        </w:rPr>
        <w:t xml:space="preserve">(מט:) </w:t>
      </w:r>
      <w:r>
        <w:rPr>
          <w:rFonts w:cs="Arial" w:hint="cs"/>
          <w:rtl/>
        </w:rPr>
        <w:t xml:space="preserve">רמב"ם </w:t>
      </w:r>
      <w:r w:rsidRPr="0081621B">
        <w:rPr>
          <w:rFonts w:cs="Arial" w:hint="cs"/>
          <w:sz w:val="16"/>
          <w:szCs w:val="16"/>
          <w:rtl/>
        </w:rPr>
        <w:t>(פי"ט מאישות ה"</w:t>
      </w:r>
      <w:r>
        <w:rPr>
          <w:rFonts w:cs="Arial" w:hint="cs"/>
          <w:sz w:val="16"/>
          <w:szCs w:val="16"/>
          <w:rtl/>
        </w:rPr>
        <w:t>ו</w:t>
      </w:r>
      <w:r w:rsidRPr="0081621B">
        <w:rPr>
          <w:rFonts w:cs="Arial" w:hint="cs"/>
          <w:sz w:val="16"/>
          <w:szCs w:val="16"/>
          <w:rtl/>
        </w:rPr>
        <w:t>)</w:t>
      </w:r>
      <w:r>
        <w:rPr>
          <w:rFonts w:cs="Arial" w:hint="cs"/>
          <w:sz w:val="16"/>
          <w:szCs w:val="16"/>
          <w:rtl/>
        </w:rPr>
        <w:t xml:space="preserve"> </w:t>
      </w:r>
      <w:r>
        <w:rPr>
          <w:rFonts w:cs="Arial"/>
          <w:rtl/>
        </w:rPr>
        <w:t xml:space="preserve">רא"ש </w:t>
      </w:r>
      <w:r w:rsidRPr="00C95125">
        <w:rPr>
          <w:rFonts w:cs="Arial" w:hint="cs"/>
          <w:sz w:val="16"/>
          <w:szCs w:val="16"/>
          <w:rtl/>
        </w:rPr>
        <w:t>(</w:t>
      </w:r>
      <w:r>
        <w:rPr>
          <w:rFonts w:cs="Arial" w:hint="cs"/>
          <w:sz w:val="16"/>
          <w:szCs w:val="16"/>
          <w:rtl/>
        </w:rPr>
        <w:t xml:space="preserve">פ"י </w:t>
      </w:r>
      <w:r w:rsidRPr="00C95125">
        <w:rPr>
          <w:rFonts w:cs="Arial" w:hint="cs"/>
          <w:sz w:val="16"/>
          <w:szCs w:val="16"/>
          <w:rtl/>
        </w:rPr>
        <w:t xml:space="preserve">סי' ב) </w:t>
      </w:r>
      <w:r>
        <w:rPr>
          <w:rFonts w:cs="Arial" w:hint="cs"/>
          <w:rtl/>
        </w:rPr>
        <w:t xml:space="preserve">וטור- </w:t>
      </w:r>
      <w:r w:rsidRPr="008A1F1E">
        <w:rPr>
          <w:rFonts w:cs="Arial"/>
          <w:rtl/>
        </w:rPr>
        <w:t>ואפילו יש בעל חוב שצריכים לפרוע לו המותר</w:t>
      </w:r>
      <w:r>
        <w:rPr>
          <w:rFonts w:cs="Arial" w:hint="cs"/>
          <w:rtl/>
        </w:rPr>
        <w:t xml:space="preserve"> -</w:t>
      </w:r>
      <w:r w:rsidRPr="008A1F1E">
        <w:rPr>
          <w:rFonts w:cs="Arial"/>
          <w:rtl/>
        </w:rPr>
        <w:t xml:space="preserve"> יש כאן כתובת בנין דכרין</w:t>
      </w:r>
      <w:r>
        <w:rPr>
          <w:rStyle w:val="a7"/>
          <w:rFonts w:cs="Arial"/>
          <w:rtl/>
        </w:rPr>
        <w:footnoteReference w:id="2418"/>
      </w:r>
      <w:r>
        <w:rPr>
          <w:rFonts w:cs="Arial" w:hint="cs"/>
          <w:sz w:val="16"/>
          <w:szCs w:val="16"/>
          <w:rtl/>
        </w:rPr>
        <w:t xml:space="preserve"> (ל' הטור)</w:t>
      </w:r>
      <w:r>
        <w:rPr>
          <w:rFonts w:cs="Arial" w:hint="cs"/>
          <w:rtl/>
        </w:rPr>
        <w:t>.</w:t>
      </w:r>
      <w:r w:rsidRPr="008A1F1E">
        <w:rPr>
          <w:rFonts w:cs="Arial"/>
          <w:rtl/>
        </w:rPr>
        <w:t xml:space="preserve"> </w:t>
      </w:r>
      <w:r w:rsidRPr="0081621B">
        <w:rPr>
          <w:rFonts w:hint="cs"/>
          <w:color w:val="E36C0A" w:themeColor="accent6" w:themeShade="BF"/>
          <w:rtl/>
        </w:rPr>
        <w:t>(וכ"פ בשו"ע)</w:t>
      </w:r>
    </w:p>
    <w:p w14:paraId="65DDD018" w14:textId="77777777" w:rsidR="00392DBB" w:rsidRPr="00F77343" w:rsidRDefault="00392DBB" w:rsidP="00392DBB">
      <w:pPr>
        <w:rPr>
          <w:u w:val="dotted"/>
        </w:rPr>
      </w:pPr>
      <w:r w:rsidRPr="00F77343">
        <w:rPr>
          <w:rFonts w:hint="cs"/>
          <w:u w:val="dotted"/>
          <w:rtl/>
        </w:rPr>
        <w:t>ומה הדין אם החוב יתר על המותר:</w:t>
      </w:r>
    </w:p>
    <w:p w14:paraId="09851EE2" w14:textId="77777777" w:rsidR="00392DBB" w:rsidRDefault="00392DBB" w:rsidP="009000E3">
      <w:pPr>
        <w:pStyle w:val="ab"/>
        <w:numPr>
          <w:ilvl w:val="0"/>
          <w:numId w:val="63"/>
        </w:numPr>
        <w:rPr>
          <w:rtl/>
        </w:rPr>
      </w:pPr>
      <w:r>
        <w:rPr>
          <w:rFonts w:cs="Arial" w:hint="cs"/>
          <w:rtl/>
        </w:rPr>
        <w:t>רא"ש</w:t>
      </w:r>
      <w:r>
        <w:rPr>
          <w:rStyle w:val="a7"/>
          <w:rFonts w:cs="Arial"/>
          <w:rtl/>
        </w:rPr>
        <w:footnoteReference w:id="2419"/>
      </w:r>
      <w:r>
        <w:rPr>
          <w:rFonts w:cs="Arial" w:hint="cs"/>
          <w:sz w:val="16"/>
          <w:szCs w:val="16"/>
          <w:rtl/>
        </w:rPr>
        <w:t xml:space="preserve"> (פ"י סי' ב)</w:t>
      </w:r>
      <w:r>
        <w:rPr>
          <w:rFonts w:cs="Arial" w:hint="cs"/>
          <w:rtl/>
        </w:rPr>
        <w:t xml:space="preserve"> וטור- </w:t>
      </w:r>
      <w:r w:rsidRPr="008A1F1E">
        <w:rPr>
          <w:rFonts w:cs="Arial"/>
          <w:rtl/>
        </w:rPr>
        <w:t xml:space="preserve">אפילו אם החוב יותר מהמותר שעל שתי הכתובות </w:t>
      </w:r>
      <w:r>
        <w:rPr>
          <w:rFonts w:cs="Arial" w:hint="cs"/>
          <w:rtl/>
        </w:rPr>
        <w:t xml:space="preserve">- </w:t>
      </w:r>
      <w:r w:rsidRPr="008A1F1E">
        <w:rPr>
          <w:rFonts w:cs="Arial"/>
          <w:rtl/>
        </w:rPr>
        <w:t>יפרעו לב"ח חובו</w:t>
      </w:r>
      <w:r>
        <w:rPr>
          <w:rFonts w:cs="Arial" w:hint="cs"/>
          <w:rtl/>
        </w:rPr>
        <w:t>,</w:t>
      </w:r>
      <w:r w:rsidRPr="008A1F1E">
        <w:rPr>
          <w:rFonts w:cs="Arial"/>
          <w:rtl/>
        </w:rPr>
        <w:t xml:space="preserve"> ומה שיותר יחלקו כפי שתי הכתובות</w:t>
      </w:r>
      <w:r>
        <w:rPr>
          <w:rStyle w:val="a7"/>
          <w:rFonts w:cs="Arial"/>
          <w:rtl/>
        </w:rPr>
        <w:footnoteReference w:id="2420"/>
      </w:r>
      <w:r>
        <w:rPr>
          <w:rFonts w:cs="Arial" w:hint="cs"/>
          <w:sz w:val="16"/>
          <w:szCs w:val="16"/>
          <w:rtl/>
        </w:rPr>
        <w:t xml:space="preserve"> (ל' הטור)</w:t>
      </w:r>
      <w:r>
        <w:rPr>
          <w:rFonts w:cs="Arial" w:hint="cs"/>
          <w:rtl/>
        </w:rPr>
        <w:t>.</w:t>
      </w:r>
      <w:r w:rsidRPr="008A1F1E">
        <w:rPr>
          <w:rFonts w:cs="Arial"/>
          <w:rtl/>
        </w:rPr>
        <w:t xml:space="preserve">  </w:t>
      </w:r>
      <w:r w:rsidRPr="0081621B">
        <w:rPr>
          <w:rFonts w:hint="cs"/>
          <w:color w:val="E36C0A" w:themeColor="accent6" w:themeShade="BF"/>
          <w:rtl/>
        </w:rPr>
        <w:t>(וכ"</w:t>
      </w:r>
      <w:r>
        <w:rPr>
          <w:rFonts w:hint="cs"/>
          <w:color w:val="E36C0A" w:themeColor="accent6" w:themeShade="BF"/>
          <w:rtl/>
        </w:rPr>
        <w:t>כ</w:t>
      </w:r>
      <w:r w:rsidRPr="0081621B">
        <w:rPr>
          <w:rFonts w:hint="cs"/>
          <w:color w:val="E36C0A" w:themeColor="accent6" w:themeShade="BF"/>
          <w:rtl/>
        </w:rPr>
        <w:t xml:space="preserve"> בשו"ע</w:t>
      </w:r>
      <w:r>
        <w:rPr>
          <w:rFonts w:hint="cs"/>
          <w:color w:val="E36C0A" w:themeColor="accent6" w:themeShade="BF"/>
          <w:sz w:val="16"/>
          <w:szCs w:val="16"/>
          <w:rtl/>
        </w:rPr>
        <w:t xml:space="preserve"> </w:t>
      </w:r>
      <w:r w:rsidRPr="00D90444">
        <w:rPr>
          <w:rFonts w:hint="cs"/>
          <w:color w:val="000000" w:themeColor="text1"/>
          <w:sz w:val="16"/>
          <w:szCs w:val="16"/>
          <w:rtl/>
        </w:rPr>
        <w:t>[בסע' ז]</w:t>
      </w:r>
      <w:r w:rsidRPr="0081621B">
        <w:rPr>
          <w:rFonts w:hint="cs"/>
          <w:color w:val="E36C0A" w:themeColor="accent6" w:themeShade="BF"/>
          <w:rtl/>
        </w:rPr>
        <w:t>)</w:t>
      </w:r>
    </w:p>
    <w:p w14:paraId="52FE88BC"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9D07CD3" w14:textId="77777777" w:rsidR="00392DBB" w:rsidRDefault="00392DBB" w:rsidP="00392DBB">
      <w:pPr>
        <w:rPr>
          <w:rtl/>
        </w:rPr>
      </w:pPr>
      <w:r>
        <w:rPr>
          <w:rFonts w:cs="Arial"/>
          <w:rtl/>
        </w:rPr>
        <w:lastRenderedPageBreak/>
        <w:t>היה שם יותר על כדי כל הכתובות דינר או יותר, אף על פי שיש עליו שטר חוב כנגד</w:t>
      </w:r>
      <w:r>
        <w:rPr>
          <w:rStyle w:val="a7"/>
          <w:rFonts w:cs="Arial"/>
          <w:rtl/>
        </w:rPr>
        <w:footnoteReference w:id="2421"/>
      </w:r>
      <w:r>
        <w:rPr>
          <w:rFonts w:cs="Arial"/>
          <w:rtl/>
        </w:rPr>
        <w:t xml:space="preserve"> היותר, אינו ממעט</w:t>
      </w:r>
      <w:r>
        <w:rPr>
          <w:rStyle w:val="a7"/>
          <w:rFonts w:cs="Arial"/>
          <w:rtl/>
        </w:rPr>
        <w:footnoteReference w:id="2422"/>
      </w:r>
      <w:r>
        <w:rPr>
          <w:rFonts w:cs="Arial" w:hint="cs"/>
          <w:rtl/>
        </w:rPr>
        <w:t>,</w:t>
      </w:r>
      <w:r>
        <w:rPr>
          <w:rFonts w:cs="Arial"/>
          <w:rtl/>
        </w:rPr>
        <w:t xml:space="preserve"> אלא כל אחד מהם יורש כתובת אמו. </w:t>
      </w:r>
    </w:p>
    <w:p w14:paraId="1E516D0B" w14:textId="77777777" w:rsidR="00392DBB" w:rsidRDefault="00392DBB" w:rsidP="00392DBB">
      <w:pPr>
        <w:rPr>
          <w:rtl/>
        </w:rPr>
      </w:pPr>
    </w:p>
    <w:p w14:paraId="34D0EFED" w14:textId="77777777" w:rsidR="00392DBB" w:rsidRDefault="00392DBB" w:rsidP="000F64D0">
      <w:pPr>
        <w:pStyle w:val="2"/>
        <w:rPr>
          <w:rtl/>
        </w:rPr>
      </w:pPr>
      <w:r>
        <w:rPr>
          <w:rtl/>
        </w:rPr>
        <w:t>סעיף ז</w:t>
      </w:r>
      <w:r>
        <w:rPr>
          <w:rFonts w:hint="cs"/>
          <w:rtl/>
        </w:rPr>
        <w:t>:</w:t>
      </w:r>
      <w:r w:rsidRPr="00026106">
        <w:rPr>
          <w:rFonts w:hint="cs"/>
          <w:rtl/>
        </w:rPr>
        <w:t xml:space="preserve"> </w:t>
      </w:r>
      <w:r>
        <w:rPr>
          <w:rFonts w:hint="cs"/>
          <w:rtl/>
        </w:rPr>
        <w:t>בעל חוב על יותר מהמותר שבנכסים.</w:t>
      </w:r>
    </w:p>
    <w:p w14:paraId="4E912206" w14:textId="77777777" w:rsidR="00392DBB" w:rsidRPr="00D96223" w:rsidRDefault="00392DBB" w:rsidP="00392DBB">
      <w:pPr>
        <w:rPr>
          <w:rtl/>
        </w:rPr>
      </w:pPr>
      <w:r>
        <w:rPr>
          <w:rFonts w:hint="cs"/>
          <w:rtl/>
        </w:rPr>
        <w:t>עיין במקורות בסעיף ו.</w:t>
      </w:r>
    </w:p>
    <w:p w14:paraId="30D33299"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148D912" w14:textId="19108C1B" w:rsidR="00392DBB" w:rsidRDefault="00392DBB" w:rsidP="00392DBB">
      <w:pPr>
        <w:rPr>
          <w:rtl/>
        </w:rPr>
      </w:pPr>
      <w:r>
        <w:rPr>
          <w:rFonts w:cs="Arial"/>
          <w:rtl/>
        </w:rPr>
        <w:t>וי</w:t>
      </w:r>
      <w:r>
        <w:rPr>
          <w:rFonts w:cs="Arial" w:hint="cs"/>
          <w:rtl/>
        </w:rPr>
        <w:t xml:space="preserve">ש </w:t>
      </w:r>
      <w:r>
        <w:rPr>
          <w:rFonts w:cs="Arial"/>
          <w:rtl/>
        </w:rPr>
        <w:t>א</w:t>
      </w:r>
      <w:r>
        <w:rPr>
          <w:rFonts w:cs="Arial" w:hint="cs"/>
          <w:rtl/>
        </w:rPr>
        <w:t>ומרים</w:t>
      </w:r>
      <w:r w:rsidR="008E75C2">
        <w:rPr>
          <w:rStyle w:val="a7"/>
          <w:rFonts w:cs="Arial"/>
          <w:rtl/>
        </w:rPr>
        <w:footnoteReference w:id="2423"/>
      </w:r>
      <w:r>
        <w:rPr>
          <w:rFonts w:cs="Arial"/>
          <w:rtl/>
        </w:rPr>
        <w:t xml:space="preserve"> שאפילו החוב יותר מהמותר שעל שתי כתובות, יפרעו לבעל חוב והשאר יחלקו כפי שתי הכתובות. </w:t>
      </w:r>
    </w:p>
    <w:p w14:paraId="52BC57F0" w14:textId="77777777" w:rsidR="00392DBB" w:rsidRDefault="00392DBB" w:rsidP="00392DBB">
      <w:pPr>
        <w:rPr>
          <w:rtl/>
        </w:rPr>
      </w:pPr>
    </w:p>
    <w:p w14:paraId="1E866835" w14:textId="77777777" w:rsidR="00392DBB" w:rsidRDefault="00392DBB" w:rsidP="000F64D0">
      <w:pPr>
        <w:pStyle w:val="2"/>
        <w:rPr>
          <w:rtl/>
        </w:rPr>
      </w:pPr>
      <w:r>
        <w:rPr>
          <w:rtl/>
        </w:rPr>
        <w:t>סעיף ח</w:t>
      </w:r>
      <w:r>
        <w:rPr>
          <w:rFonts w:hint="cs"/>
          <w:rtl/>
        </w:rPr>
        <w:t>: היה נשוי שתי נשים, אחת מתה בחייו ואחת לאחר מותו.</w:t>
      </w:r>
    </w:p>
    <w:p w14:paraId="255880D0" w14:textId="6B624FC2" w:rsidR="00392DBB" w:rsidRDefault="00392DBB" w:rsidP="00392DBB">
      <w:pPr>
        <w:rPr>
          <w:rtl/>
        </w:rPr>
      </w:pPr>
      <w:r w:rsidRPr="003E4BB7">
        <w:rPr>
          <w:rFonts w:cs="Arial" w:hint="cs"/>
          <w:b/>
          <w:bCs/>
          <w:rtl/>
        </w:rPr>
        <w:t xml:space="preserve">כתובות </w:t>
      </w:r>
      <w:r>
        <w:rPr>
          <w:rFonts w:cs="Arial" w:hint="cs"/>
          <w:b/>
          <w:bCs/>
          <w:sz w:val="16"/>
          <w:szCs w:val="16"/>
          <w:rtl/>
        </w:rPr>
        <w:t xml:space="preserve">(ר"פ מי שהיה נשוי) </w:t>
      </w:r>
      <w:r w:rsidR="000F6FB5" w:rsidRPr="003E4BB7">
        <w:rPr>
          <w:rFonts w:cs="Arial" w:hint="cs"/>
          <w:b/>
          <w:bCs/>
          <w:rtl/>
        </w:rPr>
        <w:t xml:space="preserve">צ </w:t>
      </w:r>
      <w:r w:rsidRPr="003E4BB7">
        <w:rPr>
          <w:rFonts w:cs="Arial" w:hint="cs"/>
          <w:b/>
          <w:bCs/>
          <w:rtl/>
        </w:rPr>
        <w:t>ע"</w:t>
      </w:r>
      <w:r>
        <w:rPr>
          <w:rFonts w:cs="Arial" w:hint="cs"/>
          <w:b/>
          <w:bCs/>
          <w:rtl/>
        </w:rPr>
        <w:t>א</w:t>
      </w:r>
      <w:r w:rsidRPr="003E4BB7">
        <w:rPr>
          <w:rFonts w:cs="Arial" w:hint="cs"/>
          <w:b/>
          <w:bCs/>
          <w:rtl/>
        </w:rPr>
        <w:t>:</w:t>
      </w:r>
      <w:r>
        <w:rPr>
          <w:rFonts w:cs="Arial" w:hint="cs"/>
          <w:rtl/>
        </w:rPr>
        <w:t xml:space="preserve"> </w:t>
      </w:r>
      <w:r w:rsidRPr="003500E9">
        <w:rPr>
          <w:rFonts w:cs="Arial" w:hint="cs"/>
          <w:u w:val="double"/>
          <w:rtl/>
        </w:rPr>
        <w:t>מתני'</w:t>
      </w:r>
      <w:r>
        <w:rPr>
          <w:rFonts w:cs="Arial" w:hint="cs"/>
          <w:rtl/>
        </w:rPr>
        <w:t xml:space="preserve">:... </w:t>
      </w:r>
      <w:r w:rsidRPr="003500E9">
        <w:rPr>
          <w:rFonts w:cs="Arial"/>
          <w:rtl/>
        </w:rPr>
        <w:t>נשא את הראשונה ומתה</w:t>
      </w:r>
      <w:r>
        <w:rPr>
          <w:rStyle w:val="a7"/>
          <w:rFonts w:cs="Arial"/>
          <w:rtl/>
        </w:rPr>
        <w:footnoteReference w:id="2424"/>
      </w:r>
      <w:r w:rsidRPr="003500E9">
        <w:rPr>
          <w:rFonts w:cs="Arial"/>
          <w:rtl/>
        </w:rPr>
        <w:t>, נשא שניה ומת הוא - שניה ויורשיה קודמין</w:t>
      </w:r>
      <w:r>
        <w:rPr>
          <w:rStyle w:val="a7"/>
          <w:rFonts w:cs="Arial"/>
          <w:rtl/>
        </w:rPr>
        <w:footnoteReference w:id="2425"/>
      </w:r>
      <w:r w:rsidRPr="003500E9">
        <w:rPr>
          <w:rFonts w:cs="Arial"/>
          <w:rtl/>
        </w:rPr>
        <w:t xml:space="preserve"> ליורשי הראשונה.</w:t>
      </w:r>
      <w:r>
        <w:rPr>
          <w:rFonts w:cs="Arial" w:hint="cs"/>
          <w:rtl/>
        </w:rPr>
        <w:t>..</w:t>
      </w:r>
      <w:r w:rsidRPr="003500E9">
        <w:rPr>
          <w:rFonts w:cs="Arial"/>
          <w:rtl/>
        </w:rPr>
        <w:t xml:space="preserve"> </w:t>
      </w:r>
      <w:r>
        <w:rPr>
          <w:rFonts w:cs="Arial" w:hint="cs"/>
          <w:rtl/>
        </w:rPr>
        <w:t xml:space="preserve">      </w:t>
      </w:r>
      <w:r w:rsidRPr="003500E9">
        <w:rPr>
          <w:rFonts w:cs="Arial" w:hint="cs"/>
          <w:u w:val="double"/>
          <w:rtl/>
        </w:rPr>
        <w:t>גמ'</w:t>
      </w:r>
      <w:r>
        <w:rPr>
          <w:rFonts w:cs="Arial" w:hint="cs"/>
          <w:sz w:val="14"/>
          <w:szCs w:val="14"/>
          <w:u w:val="double"/>
          <w:rtl/>
        </w:rPr>
        <w:t>(צ:)</w:t>
      </w:r>
      <w:r w:rsidRPr="003500E9">
        <w:rPr>
          <w:rFonts w:cs="Arial" w:hint="cs"/>
          <w:u w:val="double"/>
          <w:rtl/>
        </w:rPr>
        <w:t>:</w:t>
      </w:r>
      <w:r>
        <w:rPr>
          <w:rFonts w:cs="Arial" w:hint="cs"/>
          <w:rtl/>
        </w:rPr>
        <w:t xml:space="preserve"> </w:t>
      </w:r>
      <w:r w:rsidRPr="002535AE">
        <w:rPr>
          <w:rFonts w:cs="Arial"/>
          <w:rtl/>
        </w:rPr>
        <w:t>נשא את הראשונה. שמע מינה תלת:</w:t>
      </w:r>
      <w:r w:rsidRPr="002535AE">
        <w:rPr>
          <w:rtl/>
        </w:rPr>
        <w:t xml:space="preserve"> </w:t>
      </w:r>
      <w:r w:rsidRPr="002535AE">
        <w:rPr>
          <w:rFonts w:cs="Arial"/>
          <w:rtl/>
        </w:rPr>
        <w:t>שמע מינה, אחת בחייו ואחת במותו - יש להן</w:t>
      </w:r>
      <w:r>
        <w:rPr>
          <w:rStyle w:val="a7"/>
          <w:rFonts w:cs="Arial"/>
          <w:rtl/>
        </w:rPr>
        <w:footnoteReference w:id="2426"/>
      </w:r>
      <w:r w:rsidRPr="002535AE">
        <w:rPr>
          <w:rFonts w:cs="Arial"/>
          <w:rtl/>
        </w:rPr>
        <w:t xml:space="preserve"> כתובת בנין דכרין, ולא חיישינן לאינצויי, ממאי? מדקתני שניה ויורשיה קודמים ליורשי ראשונה, מיקדם הוא דקדמי, הא איכא שקלי</w:t>
      </w:r>
      <w:r>
        <w:rPr>
          <w:rFonts w:cs="Arial" w:hint="cs"/>
          <w:rtl/>
        </w:rPr>
        <w:t>.</w:t>
      </w:r>
      <w:r w:rsidRPr="002535AE">
        <w:rPr>
          <w:rFonts w:cs="Arial"/>
          <w:rtl/>
        </w:rPr>
        <w:t xml:space="preserve"> ושמע מינה, כתובה נעשית מותר לחברתה</w:t>
      </w:r>
      <w:r>
        <w:rPr>
          <w:rStyle w:val="a7"/>
          <w:rFonts w:cs="Arial"/>
          <w:rtl/>
        </w:rPr>
        <w:footnoteReference w:id="2427"/>
      </w:r>
      <w:r>
        <w:rPr>
          <w:rFonts w:cs="Arial" w:hint="cs"/>
          <w:rtl/>
        </w:rPr>
        <w:t>.</w:t>
      </w:r>
      <w:r w:rsidRPr="002535AE">
        <w:rPr>
          <w:rFonts w:cs="Arial"/>
          <w:rtl/>
        </w:rPr>
        <w:t xml:space="preserve"> ממאי? מדלא קתני אם יש שם מותר דינר</w:t>
      </w:r>
      <w:r>
        <w:rPr>
          <w:rFonts w:cs="Arial" w:hint="cs"/>
          <w:rtl/>
        </w:rPr>
        <w:t>...</w:t>
      </w:r>
      <w:r>
        <w:rPr>
          <w:rFonts w:hint="cs"/>
          <w:sz w:val="14"/>
          <w:szCs w:val="14"/>
          <w:rtl/>
        </w:rPr>
        <w:t xml:space="preserve"> (צא.)</w:t>
      </w:r>
      <w:r w:rsidRPr="002535AE">
        <w:rPr>
          <w:rtl/>
        </w:rPr>
        <w:t xml:space="preserve"> </w:t>
      </w:r>
      <w:r w:rsidRPr="002535AE">
        <w:rPr>
          <w:rFonts w:cs="Arial"/>
          <w:u w:val="single"/>
          <w:rtl/>
        </w:rPr>
        <w:t>אמר מר זוטרא משמיה דרב פפא</w:t>
      </w:r>
      <w:r>
        <w:rPr>
          <w:rFonts w:cs="Arial" w:hint="cs"/>
          <w:rtl/>
        </w:rPr>
        <w:t>:</w:t>
      </w:r>
      <w:r w:rsidRPr="002535AE">
        <w:rPr>
          <w:rFonts w:cs="Arial"/>
          <w:rtl/>
        </w:rPr>
        <w:t xml:space="preserve"> הלכתא</w:t>
      </w:r>
      <w:r>
        <w:rPr>
          <w:rFonts w:cs="Arial" w:hint="cs"/>
          <w:rtl/>
        </w:rPr>
        <w:t>,</w:t>
      </w:r>
      <w:r w:rsidRPr="002535AE">
        <w:rPr>
          <w:rFonts w:cs="Arial"/>
          <w:rtl/>
        </w:rPr>
        <w:t xml:space="preserve"> אחת בחייו ואחת במותו - יש להן כתובת בנין דכרין, וכתובה נעשית מותר לחברתה.</w:t>
      </w:r>
      <w:r w:rsidR="000F6FB5">
        <w:rPr>
          <w:rFonts w:hint="cs"/>
          <w:rtl/>
        </w:rPr>
        <w:t xml:space="preserve"> </w:t>
      </w:r>
    </w:p>
    <w:p w14:paraId="4F5270F2" w14:textId="52FBB88C" w:rsidR="00392DBB" w:rsidRPr="008A7171" w:rsidRDefault="00392DBB" w:rsidP="00392DBB">
      <w:pPr>
        <w:rPr>
          <w:sz w:val="16"/>
          <w:szCs w:val="16"/>
          <w:rtl/>
        </w:rPr>
      </w:pPr>
      <w:r w:rsidRPr="00401992">
        <w:rPr>
          <w:rFonts w:cs="Arial" w:hint="cs"/>
          <w:b/>
          <w:bCs/>
          <w:rtl/>
        </w:rPr>
        <w:t>שבועות</w:t>
      </w:r>
      <w:r>
        <w:rPr>
          <w:rFonts w:cs="Arial" w:hint="cs"/>
          <w:b/>
          <w:bCs/>
          <w:sz w:val="16"/>
          <w:szCs w:val="16"/>
          <w:rtl/>
        </w:rPr>
        <w:t xml:space="preserve"> (פ' כל הנשבעין)</w:t>
      </w:r>
      <w:r w:rsidRPr="00401992">
        <w:rPr>
          <w:rFonts w:cs="Arial" w:hint="cs"/>
          <w:b/>
          <w:bCs/>
          <w:rtl/>
        </w:rPr>
        <w:t xml:space="preserve"> מח ע"א:</w:t>
      </w:r>
      <w:r>
        <w:rPr>
          <w:rFonts w:hint="cs"/>
          <w:rtl/>
        </w:rPr>
        <w:t xml:space="preserve"> </w:t>
      </w:r>
      <w:r w:rsidRPr="008A7171">
        <w:rPr>
          <w:rFonts w:cs="Arial"/>
          <w:rtl/>
        </w:rPr>
        <w:t>תא שמע: נשא ראשונה ומתה, נשא שניה ומת הוא - שניה ויורשיה קודמין ליורשי הראשונה! ה"נ שנשבעה ומתה.</w:t>
      </w:r>
      <w:r>
        <w:rPr>
          <w:rFonts w:hint="cs"/>
          <w:sz w:val="16"/>
          <w:szCs w:val="16"/>
          <w:rtl/>
        </w:rPr>
        <w:t xml:space="preserve"> (וכתב הב"י שנתבאר דין זה בסי</w:t>
      </w:r>
      <w:r w:rsidR="000F6FB5">
        <w:rPr>
          <w:rFonts w:hint="cs"/>
          <w:sz w:val="16"/>
          <w:szCs w:val="16"/>
          <w:rtl/>
        </w:rPr>
        <w:t>'</w:t>
      </w:r>
      <w:r>
        <w:rPr>
          <w:rFonts w:hint="cs"/>
          <w:sz w:val="16"/>
          <w:szCs w:val="16"/>
          <w:rtl/>
        </w:rPr>
        <w:t xml:space="preserve"> צו)</w:t>
      </w:r>
    </w:p>
    <w:p w14:paraId="28C3D566" w14:textId="3DD030BB" w:rsidR="00392DBB" w:rsidRPr="00F50CEC" w:rsidRDefault="00392DBB" w:rsidP="00392DBB">
      <w:pPr>
        <w:rPr>
          <w:u w:val="single"/>
          <w:rtl/>
        </w:rPr>
      </w:pPr>
      <w:r w:rsidRPr="00F50CEC">
        <w:rPr>
          <w:rFonts w:hint="cs"/>
          <w:u w:val="single"/>
          <w:rtl/>
        </w:rPr>
        <w:t xml:space="preserve">היה נשוי שתי נשים, אחת מתה בחייו ואחת לאחר מותו </w:t>
      </w:r>
      <w:r w:rsidR="00F97626">
        <w:rPr>
          <w:u w:val="single"/>
          <w:rtl/>
        </w:rPr>
        <w:t>-</w:t>
      </w:r>
      <w:r w:rsidRPr="00F50CEC">
        <w:rPr>
          <w:rFonts w:hint="cs"/>
          <w:u w:val="single"/>
          <w:rtl/>
        </w:rPr>
        <w:t xml:space="preserve"> האם יש ליורשים כתובת בנין דכרין: </w:t>
      </w:r>
    </w:p>
    <w:p w14:paraId="7BDE6997" w14:textId="042ED5ED" w:rsidR="00392DBB" w:rsidRPr="00A059EA" w:rsidRDefault="00392DBB" w:rsidP="009000E3">
      <w:pPr>
        <w:pStyle w:val="ab"/>
        <w:numPr>
          <w:ilvl w:val="0"/>
          <w:numId w:val="63"/>
        </w:numPr>
      </w:pPr>
      <w:r>
        <w:rPr>
          <w:rFonts w:hint="cs"/>
          <w:rtl/>
        </w:rPr>
        <w:t xml:space="preserve">רמב"ם </w:t>
      </w:r>
      <w:r w:rsidRPr="00880514">
        <w:rPr>
          <w:rFonts w:hint="cs"/>
          <w:sz w:val="16"/>
          <w:szCs w:val="16"/>
          <w:rtl/>
        </w:rPr>
        <w:t xml:space="preserve">(פי"ט ה"ז) </w:t>
      </w:r>
      <w:r>
        <w:rPr>
          <w:rFonts w:hint="cs"/>
          <w:rtl/>
        </w:rPr>
        <w:t>וטור-</w:t>
      </w:r>
      <w:r>
        <w:rPr>
          <w:rFonts w:cs="Arial" w:hint="cs"/>
          <w:rtl/>
        </w:rPr>
        <w:t xml:space="preserve"> </w:t>
      </w:r>
      <w:r w:rsidRPr="008A1F1E">
        <w:rPr>
          <w:rFonts w:cs="Arial"/>
          <w:rtl/>
        </w:rPr>
        <w:t xml:space="preserve">והא דבעינן שיהא שם מותר דינר </w:t>
      </w:r>
      <w:r w:rsidR="003C7866">
        <w:rPr>
          <w:rFonts w:cs="Arial" w:hint="cs"/>
          <w:rtl/>
        </w:rPr>
        <w:t xml:space="preserve">- </w:t>
      </w:r>
      <w:r w:rsidRPr="008A1F1E">
        <w:rPr>
          <w:rFonts w:cs="Arial"/>
          <w:rtl/>
        </w:rPr>
        <w:t>דוקא כששתיהם מתו בחייו</w:t>
      </w:r>
      <w:r>
        <w:rPr>
          <w:rFonts w:cs="Arial" w:hint="cs"/>
          <w:rtl/>
        </w:rPr>
        <w:t>,</w:t>
      </w:r>
      <w:r w:rsidRPr="008A1F1E">
        <w:rPr>
          <w:rFonts w:cs="Arial"/>
          <w:rtl/>
        </w:rPr>
        <w:t xml:space="preserve"> ששניהם באין מכח התקנה</w:t>
      </w:r>
      <w:r>
        <w:rPr>
          <w:rFonts w:cs="Arial" w:hint="cs"/>
          <w:rtl/>
        </w:rPr>
        <w:t>,</w:t>
      </w:r>
      <w:r w:rsidRPr="008A1F1E">
        <w:rPr>
          <w:rFonts w:cs="Arial"/>
          <w:rtl/>
        </w:rPr>
        <w:t xml:space="preserve"> לפיכך בעינן מותר לקיים בו נחלה דאורייתא</w:t>
      </w:r>
      <w:r>
        <w:rPr>
          <w:rFonts w:cs="Arial" w:hint="cs"/>
          <w:rtl/>
        </w:rPr>
        <w:t>.</w:t>
      </w:r>
      <w:r w:rsidRPr="008A1F1E">
        <w:rPr>
          <w:rFonts w:cs="Arial"/>
          <w:rtl/>
        </w:rPr>
        <w:t xml:space="preserve"> אבל אם מתה אחת בחייו ואחת אחר מותו</w:t>
      </w:r>
      <w:r>
        <w:rPr>
          <w:rFonts w:cs="Arial" w:hint="cs"/>
          <w:rtl/>
        </w:rPr>
        <w:t>,</w:t>
      </w:r>
      <w:r w:rsidRPr="008A1F1E">
        <w:rPr>
          <w:rFonts w:cs="Arial"/>
          <w:rtl/>
        </w:rPr>
        <w:t xml:space="preserve"> ונשבעה על כתובתה אותה שמתה אחרי מותו קודם שמתה</w:t>
      </w:r>
      <w:r w:rsidRPr="00A059EA">
        <w:rPr>
          <w:rFonts w:cs="Arial"/>
          <w:rtl/>
        </w:rPr>
        <w:t xml:space="preserve"> </w:t>
      </w:r>
      <w:r w:rsidRPr="008A1F1E">
        <w:rPr>
          <w:rFonts w:cs="Arial"/>
          <w:rtl/>
        </w:rPr>
        <w:t>שאל</w:t>
      </w:r>
      <w:r w:rsidR="00B92EA8">
        <w:rPr>
          <w:rFonts w:cs="Arial" w:hint="cs"/>
          <w:rtl/>
        </w:rPr>
        <w:t>"</w:t>
      </w:r>
      <w:r w:rsidRPr="008A1F1E">
        <w:rPr>
          <w:rFonts w:cs="Arial"/>
          <w:rtl/>
        </w:rPr>
        <w:t>כ אין בניה יורשים כתובתה</w:t>
      </w:r>
      <w:r>
        <w:rPr>
          <w:rFonts w:cs="Arial" w:hint="cs"/>
          <w:rtl/>
        </w:rPr>
        <w:t>,</w:t>
      </w:r>
      <w:r w:rsidRPr="008A1F1E">
        <w:rPr>
          <w:rFonts w:cs="Arial"/>
          <w:rtl/>
        </w:rPr>
        <w:t xml:space="preserve"> נמצא שבני אותה שמתה אחרי מותו אינן באים מכח התקנה</w:t>
      </w:r>
      <w:r>
        <w:rPr>
          <w:rFonts w:cs="Arial" w:hint="cs"/>
          <w:rtl/>
        </w:rPr>
        <w:t>,</w:t>
      </w:r>
      <w:r w:rsidRPr="008A1F1E">
        <w:rPr>
          <w:rFonts w:cs="Arial"/>
          <w:rtl/>
        </w:rPr>
        <w:t xml:space="preserve"> שמן הדין יורשים כתובת אמן </w:t>
      </w:r>
      <w:r>
        <w:rPr>
          <w:rFonts w:cs="Arial" w:hint="cs"/>
          <w:rtl/>
        </w:rPr>
        <w:t xml:space="preserve">- </w:t>
      </w:r>
      <w:r w:rsidRPr="008A1F1E">
        <w:rPr>
          <w:rFonts w:cs="Arial"/>
          <w:rtl/>
        </w:rPr>
        <w:t>אז א"צ שיהיה שם מותר</w:t>
      </w:r>
      <w:r w:rsidR="003C7866">
        <w:rPr>
          <w:rFonts w:cs="Arial" w:hint="cs"/>
          <w:rtl/>
        </w:rPr>
        <w:t>,</w:t>
      </w:r>
      <w:r w:rsidRPr="008A1F1E">
        <w:rPr>
          <w:rFonts w:cs="Arial"/>
          <w:rtl/>
        </w:rPr>
        <w:t xml:space="preserve"> אלא בני כל אחת נוטלים כתובת אמן</w:t>
      </w:r>
      <w:r>
        <w:rPr>
          <w:rFonts w:cs="Arial" w:hint="cs"/>
          <w:rtl/>
        </w:rPr>
        <w:t>,</w:t>
      </w:r>
      <w:r w:rsidRPr="008A1F1E">
        <w:rPr>
          <w:rFonts w:cs="Arial"/>
          <w:rtl/>
        </w:rPr>
        <w:t xml:space="preserve"> שהרי בפרעון כתובת השנייה מתקיים נחלה דאורייתא</w:t>
      </w:r>
      <w:r>
        <w:rPr>
          <w:rFonts w:cs="Arial" w:hint="cs"/>
          <w:sz w:val="16"/>
          <w:szCs w:val="16"/>
          <w:rtl/>
        </w:rPr>
        <w:t xml:space="preserve"> (ל' הטור)</w:t>
      </w:r>
      <w:r>
        <w:rPr>
          <w:rFonts w:cs="Arial" w:hint="cs"/>
          <w:rtl/>
        </w:rPr>
        <w:t>.</w:t>
      </w:r>
      <w:r w:rsidRPr="005457C1">
        <w:rPr>
          <w:rFonts w:hint="cs"/>
          <w:color w:val="E36C0A" w:themeColor="accent6" w:themeShade="BF"/>
          <w:rtl/>
        </w:rPr>
        <w:t xml:space="preserve"> </w:t>
      </w:r>
      <w:r w:rsidRPr="0081621B">
        <w:rPr>
          <w:rFonts w:hint="cs"/>
          <w:color w:val="E36C0A" w:themeColor="accent6" w:themeShade="BF"/>
          <w:rtl/>
        </w:rPr>
        <w:t>(וכ"פ בשו"ע)</w:t>
      </w:r>
    </w:p>
    <w:p w14:paraId="1E85C742" w14:textId="77777777" w:rsidR="00392DBB" w:rsidRPr="00A059EA" w:rsidRDefault="00392DBB" w:rsidP="00392DBB">
      <w:pPr>
        <w:ind w:left="360"/>
        <w:rPr>
          <w:u w:val="dotted"/>
        </w:rPr>
      </w:pPr>
      <w:r w:rsidRPr="00A059EA">
        <w:rPr>
          <w:rFonts w:cs="Arial" w:hint="cs"/>
          <w:u w:val="dotted"/>
          <w:rtl/>
        </w:rPr>
        <w:t xml:space="preserve">ומה הדין </w:t>
      </w:r>
      <w:r w:rsidRPr="00A059EA">
        <w:rPr>
          <w:rFonts w:hint="cs"/>
          <w:u w:val="dotted"/>
          <w:rtl/>
        </w:rPr>
        <w:t>אם אותה שמתה בחייו לא נשבעה:</w:t>
      </w:r>
    </w:p>
    <w:p w14:paraId="0D39FD21" w14:textId="3066899B" w:rsidR="00392DBB" w:rsidRDefault="00392DBB" w:rsidP="009000E3">
      <w:pPr>
        <w:pStyle w:val="ab"/>
        <w:numPr>
          <w:ilvl w:val="0"/>
          <w:numId w:val="63"/>
        </w:numPr>
      </w:pPr>
      <w:r>
        <w:rPr>
          <w:rFonts w:cs="Arial" w:hint="cs"/>
          <w:rtl/>
        </w:rPr>
        <w:lastRenderedPageBreak/>
        <w:t xml:space="preserve">טור- </w:t>
      </w:r>
      <w:r w:rsidRPr="00F50CEC">
        <w:rPr>
          <w:rFonts w:cs="Arial"/>
          <w:rtl/>
        </w:rPr>
        <w:t>ואותה שמתה בחייו אע</w:t>
      </w:r>
      <w:r w:rsidR="00B92EA8">
        <w:rPr>
          <w:rFonts w:cs="Arial" w:hint="cs"/>
          <w:rtl/>
        </w:rPr>
        <w:t>"</w:t>
      </w:r>
      <w:r w:rsidRPr="00F50CEC">
        <w:rPr>
          <w:rFonts w:cs="Arial"/>
          <w:rtl/>
        </w:rPr>
        <w:t>פ שלא נשבעה בניה נוטלים כתובת בנין דכרין</w:t>
      </w:r>
      <w:r w:rsidRPr="00F50CEC">
        <w:rPr>
          <w:rFonts w:cs="Arial" w:hint="cs"/>
          <w:rtl/>
        </w:rPr>
        <w:t>,</w:t>
      </w:r>
      <w:r w:rsidRPr="00F50CEC">
        <w:rPr>
          <w:rFonts w:cs="Arial"/>
          <w:rtl/>
        </w:rPr>
        <w:t xml:space="preserve"> שאין עליה שבועה שלא נתנה כתובה לגבות מחיים</w:t>
      </w:r>
      <w:r>
        <w:rPr>
          <w:rStyle w:val="a7"/>
          <w:rFonts w:cs="Arial"/>
          <w:rtl/>
        </w:rPr>
        <w:footnoteReference w:id="2428"/>
      </w:r>
      <w:r w:rsidRPr="00F50CEC">
        <w:rPr>
          <w:rFonts w:cs="Arial" w:hint="cs"/>
          <w:rtl/>
        </w:rPr>
        <w:t>.</w:t>
      </w:r>
      <w:r w:rsidRPr="00F50CEC">
        <w:rPr>
          <w:rFonts w:cs="Arial"/>
          <w:rtl/>
        </w:rPr>
        <w:t xml:space="preserve"> </w:t>
      </w:r>
      <w:r w:rsidRPr="0081621B">
        <w:rPr>
          <w:rFonts w:hint="cs"/>
          <w:color w:val="E36C0A" w:themeColor="accent6" w:themeShade="BF"/>
          <w:rtl/>
        </w:rPr>
        <w:t>(וכ"פ בשו"ע)</w:t>
      </w:r>
    </w:p>
    <w:p w14:paraId="04B09FC7" w14:textId="77777777" w:rsidR="00392DBB" w:rsidRPr="00A059EA" w:rsidRDefault="00392DBB" w:rsidP="00392DBB">
      <w:pPr>
        <w:ind w:left="360"/>
        <w:rPr>
          <w:u w:val="dotted"/>
        </w:rPr>
      </w:pPr>
      <w:r w:rsidRPr="00A059EA">
        <w:rPr>
          <w:rFonts w:cs="Arial" w:hint="cs"/>
          <w:u w:val="dotted"/>
          <w:rtl/>
        </w:rPr>
        <w:t xml:space="preserve">ומה הדין </w:t>
      </w:r>
      <w:r w:rsidRPr="00A059EA">
        <w:rPr>
          <w:rFonts w:hint="cs"/>
          <w:u w:val="dotted"/>
          <w:rtl/>
        </w:rPr>
        <w:t xml:space="preserve">אם </w:t>
      </w:r>
      <w:r>
        <w:rPr>
          <w:rFonts w:hint="cs"/>
          <w:u w:val="dotted"/>
          <w:rtl/>
        </w:rPr>
        <w:t>האשה</w:t>
      </w:r>
      <w:r w:rsidRPr="00A059EA">
        <w:rPr>
          <w:rFonts w:hint="cs"/>
          <w:u w:val="dotted"/>
          <w:rtl/>
        </w:rPr>
        <w:t xml:space="preserve"> שמתה לאחר מותו לא נשבעה:</w:t>
      </w:r>
    </w:p>
    <w:p w14:paraId="06EE3F08" w14:textId="68504E2C" w:rsidR="00392DBB" w:rsidRPr="00F45401" w:rsidRDefault="00392DBB" w:rsidP="009000E3">
      <w:pPr>
        <w:pStyle w:val="ab"/>
        <w:numPr>
          <w:ilvl w:val="0"/>
          <w:numId w:val="63"/>
        </w:numPr>
      </w:pPr>
      <w:r>
        <w:rPr>
          <w:rFonts w:hint="cs"/>
          <w:rtl/>
        </w:rPr>
        <w:t xml:space="preserve">רמב"ם </w:t>
      </w:r>
      <w:r w:rsidRPr="00880514">
        <w:rPr>
          <w:rFonts w:hint="cs"/>
          <w:sz w:val="16"/>
          <w:szCs w:val="16"/>
          <w:rtl/>
        </w:rPr>
        <w:t xml:space="preserve">(פי"ט ה"ז) </w:t>
      </w:r>
      <w:r>
        <w:rPr>
          <w:rFonts w:hint="cs"/>
          <w:rtl/>
        </w:rPr>
        <w:t>וטור</w:t>
      </w:r>
      <w:r>
        <w:rPr>
          <w:rStyle w:val="a7"/>
          <w:rFonts w:cs="Arial"/>
          <w:rtl/>
        </w:rPr>
        <w:footnoteReference w:id="2429"/>
      </w:r>
      <w:r>
        <w:rPr>
          <w:rFonts w:hint="cs"/>
          <w:rtl/>
        </w:rPr>
        <w:t xml:space="preserve">- </w:t>
      </w:r>
      <w:r w:rsidRPr="00880514">
        <w:rPr>
          <w:rFonts w:cs="Arial"/>
          <w:rtl/>
        </w:rPr>
        <w:t>אם מתה קודם שתשבע</w:t>
      </w:r>
      <w:r w:rsidR="003C7866">
        <w:rPr>
          <w:rFonts w:cs="Arial" w:hint="cs"/>
          <w:rtl/>
        </w:rPr>
        <w:t>,</w:t>
      </w:r>
      <w:r w:rsidRPr="00880514">
        <w:rPr>
          <w:rFonts w:cs="Arial"/>
          <w:rtl/>
        </w:rPr>
        <w:t xml:space="preserve"> בני הראשונה יורשים כתובת אמן בלבד</w:t>
      </w:r>
      <w:r w:rsidR="003C7866">
        <w:rPr>
          <w:rFonts w:cs="Arial" w:hint="cs"/>
          <w:rtl/>
        </w:rPr>
        <w:t>,</w:t>
      </w:r>
      <w:r w:rsidRPr="00880514">
        <w:rPr>
          <w:rFonts w:cs="Arial"/>
          <w:rtl/>
        </w:rPr>
        <w:t xml:space="preserve"> והשאר חולקין בשוה</w:t>
      </w:r>
      <w:r>
        <w:rPr>
          <w:rStyle w:val="a7"/>
          <w:rFonts w:cs="Arial"/>
          <w:rtl/>
        </w:rPr>
        <w:footnoteReference w:id="2430"/>
      </w:r>
      <w:r>
        <w:rPr>
          <w:rFonts w:cs="Arial" w:hint="cs"/>
          <w:sz w:val="16"/>
          <w:szCs w:val="16"/>
          <w:rtl/>
        </w:rPr>
        <w:t xml:space="preserve"> (ל' הרמב"ם)</w:t>
      </w:r>
      <w:r w:rsidRPr="00880514">
        <w:rPr>
          <w:rFonts w:cs="Arial"/>
          <w:rtl/>
        </w:rPr>
        <w:t>.</w:t>
      </w:r>
      <w:r w:rsidRPr="005457C1">
        <w:rPr>
          <w:rFonts w:hint="cs"/>
          <w:color w:val="E36C0A" w:themeColor="accent6" w:themeShade="BF"/>
          <w:rtl/>
        </w:rPr>
        <w:t xml:space="preserve"> </w:t>
      </w:r>
      <w:r w:rsidRPr="0081621B">
        <w:rPr>
          <w:rFonts w:hint="cs"/>
          <w:color w:val="E36C0A" w:themeColor="accent6" w:themeShade="BF"/>
          <w:rtl/>
        </w:rPr>
        <w:t>(וכ"פ בשו"ע)</w:t>
      </w:r>
    </w:p>
    <w:p w14:paraId="7CF4D00C" w14:textId="074222B7" w:rsidR="00392DBB" w:rsidRDefault="00392DBB" w:rsidP="009000E3">
      <w:pPr>
        <w:pStyle w:val="ab"/>
        <w:numPr>
          <w:ilvl w:val="0"/>
          <w:numId w:val="63"/>
        </w:numPr>
      </w:pPr>
      <w:r w:rsidRPr="008A1F1E">
        <w:rPr>
          <w:rFonts w:cs="Arial"/>
          <w:rtl/>
        </w:rPr>
        <w:t>בהע</w:t>
      </w:r>
      <w:r>
        <w:rPr>
          <w:rFonts w:cs="Arial" w:hint="cs"/>
          <w:rtl/>
        </w:rPr>
        <w:t xml:space="preserve">י"ט </w:t>
      </w:r>
      <w:r w:rsidRPr="00880514">
        <w:rPr>
          <w:rFonts w:cs="Arial" w:hint="cs"/>
          <w:sz w:val="16"/>
          <w:szCs w:val="16"/>
          <w:rtl/>
        </w:rPr>
        <w:t>(אות כ כתובות לב ע"ד, ועיין במרדכי סי' רלה)</w:t>
      </w:r>
      <w:r>
        <w:rPr>
          <w:rFonts w:cs="Arial" w:hint="cs"/>
          <w:rtl/>
        </w:rPr>
        <w:t xml:space="preserve">- </w:t>
      </w:r>
      <w:r w:rsidRPr="008A1F1E">
        <w:rPr>
          <w:rFonts w:cs="Arial"/>
          <w:rtl/>
        </w:rPr>
        <w:t>גם בני השנייה שמתה אחרי מותו נוטלין כתובת בנין דכרין אע</w:t>
      </w:r>
      <w:r w:rsidR="003C7866">
        <w:rPr>
          <w:rFonts w:cs="Arial" w:hint="cs"/>
          <w:rtl/>
        </w:rPr>
        <w:t>"</w:t>
      </w:r>
      <w:r w:rsidRPr="008A1F1E">
        <w:rPr>
          <w:rFonts w:cs="Arial"/>
          <w:rtl/>
        </w:rPr>
        <w:t>פ שלא נשבעה אמן קודם מיתתה</w:t>
      </w:r>
      <w:r>
        <w:rPr>
          <w:rFonts w:cs="Arial" w:hint="cs"/>
          <w:rtl/>
        </w:rPr>
        <w:t>.</w:t>
      </w:r>
      <w:r w:rsidRPr="008A1F1E">
        <w:rPr>
          <w:rFonts w:cs="Arial"/>
          <w:rtl/>
        </w:rPr>
        <w:t xml:space="preserve"> </w:t>
      </w:r>
    </w:p>
    <w:p w14:paraId="56DE5AC3" w14:textId="77777777" w:rsidR="00392DBB" w:rsidRPr="005457C1" w:rsidRDefault="00392DBB" w:rsidP="00392DBB">
      <w:pPr>
        <w:ind w:left="360"/>
        <w:rPr>
          <w:u w:val="dotted"/>
        </w:rPr>
      </w:pPr>
      <w:r w:rsidRPr="005457C1">
        <w:rPr>
          <w:rFonts w:hint="cs"/>
          <w:u w:val="dotted"/>
          <w:rtl/>
        </w:rPr>
        <w:t>ומה הדין מתו שתיהן לאחר מותו:</w:t>
      </w:r>
    </w:p>
    <w:p w14:paraId="2B4CD52A" w14:textId="77777777" w:rsidR="00392DBB" w:rsidRPr="00880514" w:rsidRDefault="00392DBB" w:rsidP="009000E3">
      <w:pPr>
        <w:pStyle w:val="ab"/>
        <w:numPr>
          <w:ilvl w:val="0"/>
          <w:numId w:val="63"/>
        </w:numPr>
      </w:pPr>
      <w:r>
        <w:rPr>
          <w:rFonts w:cs="Arial" w:hint="cs"/>
          <w:rtl/>
        </w:rPr>
        <w:t xml:space="preserve">טור- </w:t>
      </w:r>
      <w:r w:rsidRPr="008A1F1E">
        <w:rPr>
          <w:rFonts w:cs="Arial"/>
          <w:rtl/>
        </w:rPr>
        <w:t>וכ"ש אם מתו שתיהן אחרי מותו שבני כל אחת נוטלין כתובת אמן אפי' אם אין שם מותר</w:t>
      </w:r>
      <w:r>
        <w:rPr>
          <w:rFonts w:cs="Arial" w:hint="cs"/>
          <w:rtl/>
        </w:rPr>
        <w:t>,</w:t>
      </w:r>
      <w:r w:rsidRPr="008A1F1E">
        <w:rPr>
          <w:rFonts w:cs="Arial"/>
          <w:rtl/>
        </w:rPr>
        <w:t xml:space="preserve"> שהרי באין בתורת חוב</w:t>
      </w:r>
      <w:r>
        <w:rPr>
          <w:rStyle w:val="a7"/>
          <w:rFonts w:cs="Arial"/>
          <w:rtl/>
        </w:rPr>
        <w:footnoteReference w:id="2431"/>
      </w:r>
      <w:r>
        <w:rPr>
          <w:rFonts w:cs="Arial" w:hint="cs"/>
          <w:rtl/>
        </w:rPr>
        <w:t>.</w:t>
      </w:r>
      <w:r w:rsidRPr="008A1F1E">
        <w:rPr>
          <w:rFonts w:cs="Arial"/>
          <w:rtl/>
        </w:rPr>
        <w:t xml:space="preserve"> </w:t>
      </w:r>
      <w:r w:rsidRPr="0081621B">
        <w:rPr>
          <w:rFonts w:hint="cs"/>
          <w:color w:val="E36C0A" w:themeColor="accent6" w:themeShade="BF"/>
          <w:rtl/>
        </w:rPr>
        <w:t>(וכ"פ בשו"ע)</w:t>
      </w:r>
    </w:p>
    <w:p w14:paraId="3D9A7C6E" w14:textId="20E021E2" w:rsidR="00392DBB" w:rsidRPr="005457C1" w:rsidRDefault="00392DBB" w:rsidP="00392DBB">
      <w:pPr>
        <w:ind w:left="360"/>
        <w:rPr>
          <w:rFonts w:cs="Arial"/>
          <w:u w:val="dotted"/>
          <w:rtl/>
        </w:rPr>
      </w:pPr>
      <w:r w:rsidRPr="005457C1">
        <w:rPr>
          <w:rFonts w:cs="Arial" w:hint="cs"/>
          <w:u w:val="dotted"/>
          <w:rtl/>
        </w:rPr>
        <w:t xml:space="preserve">ומה הדין אם גירש אחת, </w:t>
      </w:r>
      <w:r w:rsidR="003C7866">
        <w:rPr>
          <w:rFonts w:cs="Arial" w:hint="cs"/>
          <w:u w:val="dotted"/>
          <w:rtl/>
        </w:rPr>
        <w:t xml:space="preserve">ומתה </w:t>
      </w:r>
      <w:r w:rsidRPr="005457C1">
        <w:rPr>
          <w:rFonts w:cs="Arial" w:hint="cs"/>
          <w:u w:val="dotted"/>
          <w:rtl/>
        </w:rPr>
        <w:t>השניה</w:t>
      </w:r>
      <w:r w:rsidR="003C7866">
        <w:rPr>
          <w:rFonts w:cs="Arial" w:hint="cs"/>
          <w:u w:val="dotted"/>
          <w:rtl/>
        </w:rPr>
        <w:t xml:space="preserve"> בחייו</w:t>
      </w:r>
      <w:r w:rsidRPr="005457C1">
        <w:rPr>
          <w:rFonts w:cs="Arial" w:hint="cs"/>
          <w:u w:val="dotted"/>
          <w:rtl/>
        </w:rPr>
        <w:t>:</w:t>
      </w:r>
    </w:p>
    <w:p w14:paraId="6AA46F6F" w14:textId="77777777" w:rsidR="00392DBB" w:rsidRDefault="00392DBB" w:rsidP="009000E3">
      <w:pPr>
        <w:pStyle w:val="ab"/>
        <w:numPr>
          <w:ilvl w:val="0"/>
          <w:numId w:val="63"/>
        </w:numPr>
      </w:pPr>
      <w:r>
        <w:rPr>
          <w:rFonts w:cs="Arial" w:hint="cs"/>
          <w:rtl/>
        </w:rPr>
        <w:t xml:space="preserve">טור- </w:t>
      </w:r>
      <w:r w:rsidRPr="008A1F1E">
        <w:rPr>
          <w:rFonts w:cs="Arial"/>
          <w:rtl/>
        </w:rPr>
        <w:t>וכן אם גירש אחת</w:t>
      </w:r>
      <w:r>
        <w:rPr>
          <w:rStyle w:val="a7"/>
          <w:rFonts w:cs="Arial"/>
          <w:rtl/>
        </w:rPr>
        <w:footnoteReference w:id="2432"/>
      </w:r>
      <w:r>
        <w:rPr>
          <w:rFonts w:cs="Arial" w:hint="cs"/>
          <w:rtl/>
        </w:rPr>
        <w:t>,</w:t>
      </w:r>
      <w:r w:rsidRPr="008A1F1E">
        <w:rPr>
          <w:rFonts w:cs="Arial"/>
          <w:rtl/>
        </w:rPr>
        <w:t xml:space="preserve"> ומתה אחת בחייו</w:t>
      </w:r>
      <w:r>
        <w:rPr>
          <w:rFonts w:cs="Arial" w:hint="cs"/>
          <w:rtl/>
        </w:rPr>
        <w:t>,</w:t>
      </w:r>
      <w:r w:rsidRPr="008A1F1E">
        <w:rPr>
          <w:rFonts w:cs="Arial"/>
          <w:rtl/>
        </w:rPr>
        <w:t xml:space="preserve"> ואח"כ מת והניח בנים משתיהן </w:t>
      </w:r>
      <w:r>
        <w:rPr>
          <w:rFonts w:cs="Arial" w:hint="cs"/>
          <w:rtl/>
        </w:rPr>
        <w:t xml:space="preserve">- </w:t>
      </w:r>
      <w:r w:rsidRPr="008A1F1E">
        <w:rPr>
          <w:rFonts w:cs="Arial"/>
          <w:rtl/>
        </w:rPr>
        <w:t>בני המתה נוטלין כתובת בנין דכרין אפי' אין שם מותר דינר</w:t>
      </w:r>
      <w:r>
        <w:rPr>
          <w:rFonts w:cs="Arial" w:hint="cs"/>
          <w:rtl/>
        </w:rPr>
        <w:t>,</w:t>
      </w:r>
      <w:r w:rsidRPr="008A1F1E">
        <w:rPr>
          <w:rFonts w:cs="Arial"/>
          <w:rtl/>
        </w:rPr>
        <w:t xml:space="preserve"> דכתובת הגרושה שהיא חוב נעשית מותר לחבירתה</w:t>
      </w:r>
      <w:r>
        <w:rPr>
          <w:rFonts w:cs="Arial" w:hint="cs"/>
          <w:rtl/>
        </w:rPr>
        <w:t>.</w:t>
      </w:r>
      <w:r w:rsidRPr="008A1F1E">
        <w:rPr>
          <w:rFonts w:cs="Arial"/>
          <w:rtl/>
        </w:rPr>
        <w:t xml:space="preserve"> לפיכך בני הגרושה נוטלים תחילה</w:t>
      </w:r>
      <w:r>
        <w:rPr>
          <w:rFonts w:cs="Arial" w:hint="cs"/>
          <w:rtl/>
        </w:rPr>
        <w:t>,</w:t>
      </w:r>
      <w:r w:rsidRPr="008A1F1E">
        <w:rPr>
          <w:rFonts w:cs="Arial"/>
          <w:rtl/>
        </w:rPr>
        <w:t xml:space="preserve"> ואח"כ בני המתה</w:t>
      </w:r>
      <w:r>
        <w:rPr>
          <w:rStyle w:val="a7"/>
          <w:rFonts w:cs="Arial"/>
          <w:rtl/>
        </w:rPr>
        <w:footnoteReference w:id="2433"/>
      </w:r>
      <w:r>
        <w:rPr>
          <w:rFonts w:cs="Arial" w:hint="cs"/>
          <w:rtl/>
        </w:rPr>
        <w:t>.</w:t>
      </w:r>
      <w:r w:rsidRPr="008A1F1E">
        <w:rPr>
          <w:rFonts w:cs="Arial"/>
          <w:rtl/>
        </w:rPr>
        <w:t xml:space="preserve"> </w:t>
      </w:r>
      <w:r w:rsidRPr="0081621B">
        <w:rPr>
          <w:rFonts w:hint="cs"/>
          <w:color w:val="E36C0A" w:themeColor="accent6" w:themeShade="BF"/>
          <w:rtl/>
        </w:rPr>
        <w:t>(וכ"פ בשו"ע)</w:t>
      </w:r>
    </w:p>
    <w:p w14:paraId="4153EF9C" w14:textId="77777777" w:rsidR="00392DBB" w:rsidRDefault="00392DBB" w:rsidP="00392DBB">
      <w:pPr>
        <w:rPr>
          <w:rFonts w:cs="Arial"/>
          <w:rtl/>
        </w:rPr>
      </w:pPr>
      <w:r w:rsidRPr="009F2A14">
        <w:rPr>
          <w:rFonts w:cs="Arial" w:hint="cs"/>
          <w:u w:val="single"/>
          <w:rtl/>
        </w:rPr>
        <w:t>האם הבכור נוטל פי שנים בכתובת בנין דכרין:</w:t>
      </w:r>
      <w:r>
        <w:rPr>
          <w:rFonts w:cs="Arial" w:hint="cs"/>
          <w:rtl/>
        </w:rPr>
        <w:t xml:space="preserve"> </w:t>
      </w:r>
      <w:r w:rsidRPr="009F2A14">
        <w:rPr>
          <w:rFonts w:cs="Arial"/>
          <w:sz w:val="16"/>
          <w:szCs w:val="16"/>
          <w:rtl/>
        </w:rPr>
        <w:t>(</w:t>
      </w:r>
      <w:r w:rsidRPr="009F2A14">
        <w:rPr>
          <w:rFonts w:cs="Arial" w:hint="cs"/>
          <w:sz w:val="16"/>
          <w:szCs w:val="16"/>
          <w:rtl/>
        </w:rPr>
        <w:t xml:space="preserve">דרכ"מ אות </w:t>
      </w:r>
      <w:r w:rsidRPr="009F2A14">
        <w:rPr>
          <w:rFonts w:cs="Arial"/>
          <w:sz w:val="16"/>
          <w:szCs w:val="16"/>
          <w:rtl/>
        </w:rPr>
        <w:t>ד)</w:t>
      </w:r>
      <w:r w:rsidRPr="008A1F1E">
        <w:rPr>
          <w:rFonts w:cs="Arial"/>
          <w:rtl/>
        </w:rPr>
        <w:t xml:space="preserve"> </w:t>
      </w:r>
    </w:p>
    <w:p w14:paraId="4C1BF7EE" w14:textId="77777777" w:rsidR="00392DBB" w:rsidRDefault="00392DBB" w:rsidP="009000E3">
      <w:pPr>
        <w:pStyle w:val="ab"/>
        <w:numPr>
          <w:ilvl w:val="0"/>
          <w:numId w:val="63"/>
        </w:numPr>
        <w:rPr>
          <w:rtl/>
        </w:rPr>
      </w:pPr>
      <w:r w:rsidRPr="009F2A14">
        <w:rPr>
          <w:rFonts w:cs="Arial" w:hint="cs"/>
          <w:rtl/>
        </w:rPr>
        <w:t>שלט"ג</w:t>
      </w:r>
      <w:r w:rsidRPr="009F2A14">
        <w:rPr>
          <w:rFonts w:cs="Arial"/>
          <w:rtl/>
        </w:rPr>
        <w:t xml:space="preserve"> </w:t>
      </w:r>
      <w:r w:rsidRPr="009F2A14">
        <w:rPr>
          <w:rFonts w:cs="Arial"/>
          <w:sz w:val="16"/>
          <w:szCs w:val="16"/>
          <w:rtl/>
        </w:rPr>
        <w:t>(</w:t>
      </w:r>
      <w:r w:rsidRPr="009F2A14">
        <w:rPr>
          <w:rFonts w:cs="Arial" w:hint="cs"/>
          <w:sz w:val="16"/>
          <w:szCs w:val="16"/>
          <w:rtl/>
        </w:rPr>
        <w:t xml:space="preserve">פ' נערה </w:t>
      </w:r>
      <w:r w:rsidRPr="009F2A14">
        <w:rPr>
          <w:rFonts w:cs="Arial"/>
          <w:sz w:val="16"/>
          <w:szCs w:val="16"/>
          <w:rtl/>
        </w:rPr>
        <w:t xml:space="preserve">יט. </w:t>
      </w:r>
      <w:r>
        <w:rPr>
          <w:rFonts w:cs="Arial" w:hint="cs"/>
          <w:sz w:val="16"/>
          <w:szCs w:val="16"/>
          <w:rtl/>
        </w:rPr>
        <w:t xml:space="preserve">מדפה"ר </w:t>
      </w:r>
      <w:r w:rsidRPr="009F2A14">
        <w:rPr>
          <w:rFonts w:cs="Arial"/>
          <w:sz w:val="16"/>
          <w:szCs w:val="16"/>
          <w:rtl/>
        </w:rPr>
        <w:t>אות ו)</w:t>
      </w:r>
      <w:r w:rsidRPr="009F2A14">
        <w:rPr>
          <w:rFonts w:cs="Arial" w:hint="cs"/>
          <w:rtl/>
        </w:rPr>
        <w:t>-</w:t>
      </w:r>
      <w:r w:rsidRPr="009F2A14">
        <w:rPr>
          <w:rFonts w:cs="Arial"/>
          <w:rtl/>
        </w:rPr>
        <w:t xml:space="preserve"> אין בכור נוטל פי שנים בכתובת בנין דכרין של אמו</w:t>
      </w:r>
      <w:r w:rsidRPr="009F2A14">
        <w:rPr>
          <w:rFonts w:cs="Arial" w:hint="cs"/>
          <w:rtl/>
        </w:rPr>
        <w:t>,</w:t>
      </w:r>
      <w:r w:rsidRPr="009F2A14">
        <w:rPr>
          <w:rFonts w:cs="Arial"/>
          <w:rtl/>
        </w:rPr>
        <w:t xml:space="preserve"> אלא רואין כל הנכסים שהניח אביו בשוה ובאלו חולקין כל האחים ביחד</w:t>
      </w:r>
      <w:r w:rsidRPr="009F2A14">
        <w:rPr>
          <w:rFonts w:cs="Arial" w:hint="cs"/>
          <w:rtl/>
        </w:rPr>
        <w:t>,</w:t>
      </w:r>
      <w:r w:rsidRPr="009F2A14">
        <w:rPr>
          <w:rFonts w:cs="Arial"/>
          <w:rtl/>
        </w:rPr>
        <w:t xml:space="preserve"> ונוטל פי שנים כאחד מהן</w:t>
      </w:r>
      <w:r w:rsidRPr="009F2A14">
        <w:rPr>
          <w:rFonts w:cs="Arial" w:hint="cs"/>
          <w:rtl/>
        </w:rPr>
        <w:t>.</w:t>
      </w:r>
      <w:r>
        <w:rPr>
          <w:rFonts w:hint="cs"/>
          <w:rtl/>
        </w:rPr>
        <w:t xml:space="preserve"> (וכ"פ ב"ש </w:t>
      </w:r>
      <w:r>
        <w:rPr>
          <w:rFonts w:hint="cs"/>
          <w:sz w:val="16"/>
          <w:szCs w:val="16"/>
          <w:rtl/>
        </w:rPr>
        <w:t>[סק"ח]</w:t>
      </w:r>
      <w:r>
        <w:rPr>
          <w:rFonts w:hint="cs"/>
          <w:rtl/>
        </w:rPr>
        <w:t>)</w:t>
      </w:r>
    </w:p>
    <w:p w14:paraId="68035181"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25ABF37" w14:textId="742CBCA6" w:rsidR="00392DBB" w:rsidRDefault="00392DBB" w:rsidP="00392DBB">
      <w:pPr>
        <w:rPr>
          <w:rtl/>
        </w:rPr>
      </w:pPr>
      <w:r>
        <w:rPr>
          <w:rFonts w:cs="Arial"/>
          <w:rtl/>
        </w:rPr>
        <w:t>מי שהיה נשוי שתי נשים</w:t>
      </w:r>
      <w:r w:rsidR="003C7866">
        <w:rPr>
          <w:rFonts w:cs="Arial" w:hint="cs"/>
          <w:rtl/>
        </w:rPr>
        <w:t>,</w:t>
      </w:r>
      <w:r>
        <w:rPr>
          <w:rFonts w:cs="Arial"/>
          <w:rtl/>
        </w:rPr>
        <w:t xml:space="preserve"> ומתה אחת מהם בחייו</w:t>
      </w:r>
      <w:r w:rsidR="003C7866">
        <w:rPr>
          <w:rFonts w:cs="Arial" w:hint="cs"/>
          <w:rtl/>
        </w:rPr>
        <w:t>,</w:t>
      </w:r>
      <w:r>
        <w:rPr>
          <w:rFonts w:cs="Arial"/>
          <w:rtl/>
        </w:rPr>
        <w:t xml:space="preserve"> ואחת אחר מותו, ולו בנים משתיהן, אף על פי שלא הניח יותר על שתי הכתובות</w:t>
      </w:r>
      <w:r>
        <w:rPr>
          <w:rStyle w:val="a7"/>
          <w:rFonts w:cs="Arial"/>
          <w:rtl/>
        </w:rPr>
        <w:footnoteReference w:id="2434"/>
      </w:r>
      <w:r>
        <w:rPr>
          <w:rFonts w:cs="Arial"/>
          <w:rtl/>
        </w:rPr>
        <w:t>, אם נשבעה השניה שבועת אלמנה קודם שתמות, בניה קודמים לירושת כתובתה, מפני שאינם יורשים כתובת אמם בתנאי זה אלא ירושה של תורה, ואח</w:t>
      </w:r>
      <w:r>
        <w:rPr>
          <w:rFonts w:cs="Arial" w:hint="cs"/>
          <w:rtl/>
        </w:rPr>
        <w:t xml:space="preserve">ר </w:t>
      </w:r>
      <w:r>
        <w:rPr>
          <w:rFonts w:cs="Arial"/>
          <w:rtl/>
        </w:rPr>
        <w:t>כ</w:t>
      </w:r>
      <w:r>
        <w:rPr>
          <w:rFonts w:cs="Arial" w:hint="cs"/>
          <w:rtl/>
        </w:rPr>
        <w:t>ך</w:t>
      </w:r>
      <w:r>
        <w:rPr>
          <w:rFonts w:cs="Arial"/>
          <w:rtl/>
        </w:rPr>
        <w:t xml:space="preserve"> יורשים בני הראשונה כתובת אמם בתנאי זה</w:t>
      </w:r>
      <w:r w:rsidR="003C7866">
        <w:rPr>
          <w:rFonts w:cs="Arial" w:hint="cs"/>
          <w:rtl/>
        </w:rPr>
        <w:t>.</w:t>
      </w:r>
      <w:r>
        <w:rPr>
          <w:rFonts w:cs="Arial"/>
          <w:rtl/>
        </w:rPr>
        <w:t xml:space="preserve"> ואם נשאר שם כלום, חולקין אותו בשוה. ואם מתה קודם שתשבע, בני הראשונה יורשים כתובת אמם בלבד, והשאר חולקין בשוה</w:t>
      </w:r>
      <w:r>
        <w:rPr>
          <w:rStyle w:val="a7"/>
          <w:rFonts w:cs="Arial"/>
          <w:rtl/>
        </w:rPr>
        <w:footnoteReference w:id="2435"/>
      </w:r>
      <w:r>
        <w:rPr>
          <w:rFonts w:cs="Arial"/>
          <w:rtl/>
        </w:rPr>
        <w:t>. וכ</w:t>
      </w:r>
      <w:r>
        <w:rPr>
          <w:rFonts w:cs="Arial" w:hint="cs"/>
          <w:rtl/>
        </w:rPr>
        <w:t xml:space="preserve">ל </w:t>
      </w:r>
      <w:r>
        <w:rPr>
          <w:rFonts w:cs="Arial"/>
          <w:rtl/>
        </w:rPr>
        <w:t>ש</w:t>
      </w:r>
      <w:r>
        <w:rPr>
          <w:rFonts w:cs="Arial" w:hint="cs"/>
          <w:rtl/>
        </w:rPr>
        <w:t>כן</w:t>
      </w:r>
      <w:r>
        <w:rPr>
          <w:rFonts w:cs="Arial"/>
          <w:rtl/>
        </w:rPr>
        <w:t xml:space="preserve"> אם מתו שתיהן אחר מותו</w:t>
      </w:r>
      <w:r>
        <w:rPr>
          <w:rStyle w:val="a7"/>
          <w:rFonts w:cs="Arial"/>
          <w:rtl/>
        </w:rPr>
        <w:footnoteReference w:id="2436"/>
      </w:r>
      <w:r>
        <w:rPr>
          <w:rFonts w:cs="Arial"/>
          <w:rtl/>
        </w:rPr>
        <w:t>, שבני כל אחת נוטלים כתובת אמם אפי</w:t>
      </w:r>
      <w:r>
        <w:rPr>
          <w:rFonts w:cs="Arial" w:hint="cs"/>
          <w:rtl/>
        </w:rPr>
        <w:t>לו</w:t>
      </w:r>
      <w:r>
        <w:rPr>
          <w:rFonts w:cs="Arial"/>
          <w:rtl/>
        </w:rPr>
        <w:t xml:space="preserve"> אין שם מותר, שהרי באים בתורת חוב. וכן אם גירש אחת, ומתה אחת בחייו, ואח</w:t>
      </w:r>
      <w:r>
        <w:rPr>
          <w:rFonts w:cs="Arial" w:hint="cs"/>
          <w:rtl/>
        </w:rPr>
        <w:t xml:space="preserve">ר </w:t>
      </w:r>
      <w:r>
        <w:rPr>
          <w:rFonts w:cs="Arial"/>
          <w:rtl/>
        </w:rPr>
        <w:t>כ</w:t>
      </w:r>
      <w:r>
        <w:rPr>
          <w:rFonts w:cs="Arial" w:hint="cs"/>
          <w:rtl/>
        </w:rPr>
        <w:t>ך</w:t>
      </w:r>
      <w:r>
        <w:rPr>
          <w:rFonts w:cs="Arial"/>
          <w:rtl/>
        </w:rPr>
        <w:t xml:space="preserve"> מת והניח בנים משתיהן, בני המתה נוטלין כתובת בנין דכרין אפילו אין שם מותר דינר, דכתובת הגרושה שהוא חוב נעשית מותר לחבירתה. לפיכך בני הגרושה נוטלים תחלה</w:t>
      </w:r>
      <w:r>
        <w:rPr>
          <w:rStyle w:val="a7"/>
          <w:rFonts w:cs="Arial"/>
          <w:rtl/>
        </w:rPr>
        <w:footnoteReference w:id="2437"/>
      </w:r>
      <w:r>
        <w:rPr>
          <w:rFonts w:cs="Arial"/>
          <w:rtl/>
        </w:rPr>
        <w:t>, ואח</w:t>
      </w:r>
      <w:r>
        <w:rPr>
          <w:rFonts w:cs="Arial" w:hint="cs"/>
          <w:rtl/>
        </w:rPr>
        <w:t xml:space="preserve">ר </w:t>
      </w:r>
      <w:r>
        <w:rPr>
          <w:rFonts w:cs="Arial"/>
          <w:rtl/>
        </w:rPr>
        <w:t>כ</w:t>
      </w:r>
      <w:r>
        <w:rPr>
          <w:rFonts w:cs="Arial" w:hint="cs"/>
          <w:rtl/>
        </w:rPr>
        <w:t>ך</w:t>
      </w:r>
      <w:r>
        <w:rPr>
          <w:rFonts w:cs="Arial"/>
          <w:rtl/>
        </w:rPr>
        <w:t xml:space="preserve"> בני המתה. </w:t>
      </w:r>
    </w:p>
    <w:p w14:paraId="4E669CC3" w14:textId="77777777" w:rsidR="00392DBB" w:rsidRDefault="00392DBB" w:rsidP="00392DBB">
      <w:pPr>
        <w:rPr>
          <w:rtl/>
        </w:rPr>
      </w:pPr>
    </w:p>
    <w:p w14:paraId="5198C160" w14:textId="77777777" w:rsidR="00392DBB" w:rsidRDefault="00392DBB" w:rsidP="000F64D0">
      <w:pPr>
        <w:pStyle w:val="2"/>
        <w:rPr>
          <w:rtl/>
        </w:rPr>
      </w:pPr>
      <w:r>
        <w:rPr>
          <w:rtl/>
        </w:rPr>
        <w:t>סעיף ט</w:t>
      </w:r>
      <w:r>
        <w:rPr>
          <w:rFonts w:hint="cs"/>
          <w:rtl/>
        </w:rPr>
        <w:t xml:space="preserve">: כנ"ל, ויש בנכסים רק כדי כתובה ראשונה </w:t>
      </w:r>
      <w:r w:rsidRPr="007B177D">
        <w:rPr>
          <w:rFonts w:hint="cs"/>
          <w:sz w:val="20"/>
          <w:szCs w:val="20"/>
          <w:rtl/>
        </w:rPr>
        <w:t>(ויש/אין מותר דינר</w:t>
      </w:r>
      <w:r>
        <w:rPr>
          <w:rFonts w:hint="cs"/>
          <w:sz w:val="20"/>
          <w:szCs w:val="20"/>
          <w:rtl/>
        </w:rPr>
        <w:t>)</w:t>
      </w:r>
      <w:r>
        <w:rPr>
          <w:rFonts w:hint="cs"/>
          <w:rtl/>
        </w:rPr>
        <w:t>.</w:t>
      </w:r>
    </w:p>
    <w:p w14:paraId="6C3F663A" w14:textId="180E5911" w:rsidR="00392DBB" w:rsidRPr="00E41289" w:rsidRDefault="00392DBB" w:rsidP="00392DBB">
      <w:pPr>
        <w:rPr>
          <w:rtl/>
        </w:rPr>
      </w:pPr>
      <w:r w:rsidRPr="00F50CEC">
        <w:rPr>
          <w:rFonts w:hint="cs"/>
          <w:u w:val="single"/>
          <w:rtl/>
        </w:rPr>
        <w:t xml:space="preserve">היה נשוי שתי נשים, אחת מתה בחייו ואחת לאחר מותו </w:t>
      </w:r>
      <w:r w:rsidR="00F97626">
        <w:rPr>
          <w:u w:val="single"/>
          <w:rtl/>
        </w:rPr>
        <w:t>-</w:t>
      </w:r>
      <w:r>
        <w:rPr>
          <w:rFonts w:hint="cs"/>
          <w:u w:val="single"/>
          <w:rtl/>
        </w:rPr>
        <w:t xml:space="preserve"> ויש בנכסים רק כדי כתובה ראשונה:</w:t>
      </w:r>
    </w:p>
    <w:p w14:paraId="57419D8E" w14:textId="77777777" w:rsidR="00392DBB" w:rsidRDefault="00392DBB" w:rsidP="009000E3">
      <w:pPr>
        <w:pStyle w:val="ab"/>
        <w:numPr>
          <w:ilvl w:val="0"/>
          <w:numId w:val="63"/>
        </w:numPr>
      </w:pPr>
      <w:r>
        <w:rPr>
          <w:rFonts w:cs="Arial" w:hint="cs"/>
          <w:rtl/>
        </w:rPr>
        <w:lastRenderedPageBreak/>
        <w:t>רא"ש</w:t>
      </w:r>
      <w:r>
        <w:rPr>
          <w:rStyle w:val="a7"/>
          <w:rFonts w:cs="Arial"/>
          <w:rtl/>
        </w:rPr>
        <w:footnoteReference w:id="2438"/>
      </w:r>
      <w:r>
        <w:rPr>
          <w:rFonts w:cs="Arial" w:hint="cs"/>
          <w:rtl/>
        </w:rPr>
        <w:t xml:space="preserve"> </w:t>
      </w:r>
      <w:r w:rsidRPr="00A16126">
        <w:rPr>
          <w:rFonts w:cs="Arial" w:hint="cs"/>
          <w:sz w:val="16"/>
          <w:szCs w:val="16"/>
          <w:rtl/>
        </w:rPr>
        <w:t xml:space="preserve">(פ"י </w:t>
      </w:r>
      <w:r w:rsidRPr="00A16126">
        <w:rPr>
          <w:rFonts w:cs="Arial"/>
          <w:sz w:val="16"/>
          <w:szCs w:val="16"/>
          <w:rtl/>
        </w:rPr>
        <w:t>סי' ב</w:t>
      </w:r>
      <w:r>
        <w:rPr>
          <w:rFonts w:cs="Arial" w:hint="cs"/>
          <w:sz w:val="16"/>
          <w:szCs w:val="16"/>
          <w:rtl/>
        </w:rPr>
        <w:t>)</w:t>
      </w:r>
      <w:r w:rsidRPr="00A16126">
        <w:rPr>
          <w:rFonts w:cs="Arial"/>
          <w:sz w:val="16"/>
          <w:szCs w:val="16"/>
          <w:rtl/>
        </w:rPr>
        <w:t xml:space="preserve"> </w:t>
      </w:r>
      <w:r>
        <w:rPr>
          <w:rFonts w:cs="Arial" w:hint="cs"/>
          <w:rtl/>
        </w:rPr>
        <w:t xml:space="preserve">וטור- </w:t>
      </w:r>
      <w:r w:rsidRPr="008A1F1E">
        <w:rPr>
          <w:rFonts w:cs="Arial"/>
          <w:rtl/>
        </w:rPr>
        <w:t>אין שם אלא כדי כתובה הראשונה</w:t>
      </w:r>
      <w:r>
        <w:rPr>
          <w:rFonts w:cs="Arial" w:hint="cs"/>
          <w:rtl/>
        </w:rPr>
        <w:t>,</w:t>
      </w:r>
      <w:r w:rsidRPr="008A1F1E">
        <w:rPr>
          <w:rFonts w:cs="Arial"/>
          <w:rtl/>
        </w:rPr>
        <w:t xml:space="preserve"> לא אמרינן יפרעו לבני השנייה שבאין בתורת חוב והמותר יקחו בני הראשונה בתורת כתובת בנין דכרין</w:t>
      </w:r>
      <w:r>
        <w:rPr>
          <w:rStyle w:val="a7"/>
          <w:rFonts w:cs="Arial"/>
          <w:rtl/>
        </w:rPr>
        <w:footnoteReference w:id="2439"/>
      </w:r>
      <w:r>
        <w:rPr>
          <w:rFonts w:cs="Arial" w:hint="cs"/>
          <w:rtl/>
        </w:rPr>
        <w:t>,</w:t>
      </w:r>
      <w:r w:rsidRPr="008A1F1E">
        <w:rPr>
          <w:rFonts w:cs="Arial"/>
          <w:rtl/>
        </w:rPr>
        <w:t xml:space="preserve"> אלא אין כאן כתובת בנין דכרין ובני השנייה יטלו כתובת אמן והמותר יחלקו שוה בשוה</w:t>
      </w:r>
      <w:r>
        <w:rPr>
          <w:rFonts w:cs="Arial" w:hint="cs"/>
          <w:sz w:val="16"/>
          <w:szCs w:val="16"/>
          <w:rtl/>
        </w:rPr>
        <w:t xml:space="preserve"> (ל' הטור)</w:t>
      </w:r>
      <w:r>
        <w:rPr>
          <w:rFonts w:cs="Arial" w:hint="cs"/>
          <w:rtl/>
        </w:rPr>
        <w:t>.</w:t>
      </w:r>
      <w:r w:rsidRPr="008A1F1E">
        <w:rPr>
          <w:rFonts w:cs="Arial"/>
          <w:rtl/>
        </w:rPr>
        <w:t xml:space="preserve"> </w:t>
      </w:r>
      <w:r w:rsidRPr="0081621B">
        <w:rPr>
          <w:rFonts w:hint="cs"/>
          <w:color w:val="E36C0A" w:themeColor="accent6" w:themeShade="BF"/>
          <w:rtl/>
        </w:rPr>
        <w:t>(וכ"פ בשו"ע)</w:t>
      </w:r>
    </w:p>
    <w:p w14:paraId="0B462C60" w14:textId="77777777" w:rsidR="00392DBB" w:rsidRPr="007B177D" w:rsidRDefault="00392DBB" w:rsidP="00392DBB">
      <w:pPr>
        <w:ind w:left="360"/>
        <w:rPr>
          <w:u w:val="dotted"/>
        </w:rPr>
      </w:pPr>
      <w:r w:rsidRPr="007B177D">
        <w:rPr>
          <w:rFonts w:hint="cs"/>
          <w:u w:val="dotted"/>
          <w:rtl/>
        </w:rPr>
        <w:t xml:space="preserve">ומה הדין אם יש בנכסים </w:t>
      </w:r>
      <w:r>
        <w:rPr>
          <w:rFonts w:hint="cs"/>
          <w:u w:val="dotted"/>
          <w:rtl/>
        </w:rPr>
        <w:t>מותר דינר על ה</w:t>
      </w:r>
      <w:r w:rsidRPr="007B177D">
        <w:rPr>
          <w:rFonts w:hint="cs"/>
          <w:u w:val="dotted"/>
          <w:rtl/>
        </w:rPr>
        <w:t xml:space="preserve">כתובה </w:t>
      </w:r>
      <w:r>
        <w:rPr>
          <w:rFonts w:hint="cs"/>
          <w:u w:val="dotted"/>
          <w:rtl/>
        </w:rPr>
        <w:t>ה</w:t>
      </w:r>
      <w:r w:rsidRPr="007B177D">
        <w:rPr>
          <w:rFonts w:hint="cs"/>
          <w:u w:val="dotted"/>
          <w:rtl/>
        </w:rPr>
        <w:t>ראשונה:</w:t>
      </w:r>
    </w:p>
    <w:p w14:paraId="1E2125E9" w14:textId="77777777" w:rsidR="00392DBB" w:rsidRPr="00D96223" w:rsidRDefault="00392DBB" w:rsidP="009000E3">
      <w:pPr>
        <w:pStyle w:val="ab"/>
        <w:numPr>
          <w:ilvl w:val="0"/>
          <w:numId w:val="63"/>
        </w:numPr>
      </w:pPr>
      <w:r>
        <w:rPr>
          <w:rFonts w:cs="Arial" w:hint="cs"/>
          <w:rtl/>
        </w:rPr>
        <w:t xml:space="preserve">רא"ש </w:t>
      </w:r>
      <w:r w:rsidRPr="00A16126">
        <w:rPr>
          <w:rFonts w:cs="Arial" w:hint="cs"/>
          <w:sz w:val="16"/>
          <w:szCs w:val="16"/>
          <w:rtl/>
        </w:rPr>
        <w:t xml:space="preserve">(פ"י </w:t>
      </w:r>
      <w:r w:rsidRPr="00A16126">
        <w:rPr>
          <w:rFonts w:cs="Arial"/>
          <w:sz w:val="16"/>
          <w:szCs w:val="16"/>
          <w:rtl/>
        </w:rPr>
        <w:t>סי' ב</w:t>
      </w:r>
      <w:r>
        <w:rPr>
          <w:rFonts w:cs="Arial" w:hint="cs"/>
          <w:sz w:val="16"/>
          <w:szCs w:val="16"/>
          <w:rtl/>
        </w:rPr>
        <w:t>)</w:t>
      </w:r>
      <w:r w:rsidRPr="00A16126">
        <w:rPr>
          <w:rFonts w:cs="Arial"/>
          <w:sz w:val="16"/>
          <w:szCs w:val="16"/>
          <w:rtl/>
        </w:rPr>
        <w:t xml:space="preserve"> </w:t>
      </w:r>
      <w:r>
        <w:rPr>
          <w:rFonts w:cs="Arial" w:hint="cs"/>
          <w:rtl/>
        </w:rPr>
        <w:t xml:space="preserve">וטור- </w:t>
      </w:r>
      <w:r w:rsidRPr="008A1F1E">
        <w:rPr>
          <w:rFonts w:cs="Arial"/>
          <w:rtl/>
        </w:rPr>
        <w:t xml:space="preserve">אבל אם יש מותר על כתובה הראשונה אפילו דינר </w:t>
      </w:r>
      <w:r>
        <w:rPr>
          <w:rFonts w:cs="Arial" w:hint="cs"/>
          <w:rtl/>
        </w:rPr>
        <w:t xml:space="preserve">- </w:t>
      </w:r>
      <w:r w:rsidRPr="008A1F1E">
        <w:rPr>
          <w:rFonts w:cs="Arial"/>
          <w:rtl/>
        </w:rPr>
        <w:t>יפרעו לשנייה כתובת אמן והמותר יקחו בני הראשונה בתורת כתובת בנין דכרין</w:t>
      </w:r>
      <w:r>
        <w:rPr>
          <w:rFonts w:cs="Arial" w:hint="cs"/>
          <w:rtl/>
        </w:rPr>
        <w:t>.</w:t>
      </w:r>
      <w:r w:rsidRPr="008A1F1E">
        <w:rPr>
          <w:rFonts w:cs="Arial"/>
          <w:rtl/>
        </w:rPr>
        <w:t xml:space="preserve"> </w:t>
      </w:r>
      <w:r w:rsidRPr="0081621B">
        <w:rPr>
          <w:rFonts w:hint="cs"/>
          <w:color w:val="E36C0A" w:themeColor="accent6" w:themeShade="BF"/>
          <w:rtl/>
        </w:rPr>
        <w:t>(וכ"פ בשו"ע)</w:t>
      </w:r>
    </w:p>
    <w:p w14:paraId="78B8169C"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9485D00" w14:textId="77777777" w:rsidR="00392DBB" w:rsidRDefault="00392DBB" w:rsidP="00392DBB">
      <w:pPr>
        <w:rPr>
          <w:rtl/>
        </w:rPr>
      </w:pPr>
      <w:r>
        <w:rPr>
          <w:rFonts w:cs="Arial"/>
          <w:rtl/>
        </w:rPr>
        <w:t xml:space="preserve">מתה אחת בחייו ואחת לאחר מותו, ונשבעה על כתובתה אותה שמתה אחר מותו, ואין שם נכסים אלא כדי כתובת הראשונה, אין כאן </w:t>
      </w:r>
      <w:r>
        <w:rPr>
          <w:rStyle w:val="a7"/>
          <w:rFonts w:cs="Arial"/>
          <w:rtl/>
        </w:rPr>
        <w:footnoteReference w:id="2440"/>
      </w:r>
      <w:r w:rsidRPr="00F43FC3">
        <w:rPr>
          <w:rFonts w:cs="Arial"/>
          <w:rtl/>
        </w:rPr>
        <w:t>כתובת בנין דכרין</w:t>
      </w:r>
      <w:r>
        <w:rPr>
          <w:rFonts w:cs="Arial" w:hint="cs"/>
          <w:rtl/>
        </w:rPr>
        <w:t>.</w:t>
      </w:r>
      <w:r w:rsidRPr="00F43FC3">
        <w:rPr>
          <w:rFonts w:cs="Arial"/>
          <w:rtl/>
        </w:rPr>
        <w:t xml:space="preserve"> אבל אם יש </w:t>
      </w:r>
      <w:r>
        <w:rPr>
          <w:rFonts w:cs="Arial" w:hint="cs"/>
          <w:rtl/>
        </w:rPr>
        <w:t xml:space="preserve">שם </w:t>
      </w:r>
      <w:r w:rsidRPr="00F43FC3">
        <w:rPr>
          <w:rFonts w:cs="Arial"/>
          <w:rtl/>
        </w:rPr>
        <w:t>מותר ע</w:t>
      </w:r>
      <w:r>
        <w:rPr>
          <w:rFonts w:cs="Arial" w:hint="cs"/>
          <w:rtl/>
        </w:rPr>
        <w:t>ל</w:t>
      </w:r>
      <w:r>
        <w:rPr>
          <w:rFonts w:cs="Arial"/>
          <w:rtl/>
        </w:rPr>
        <w:t xml:space="preserve"> כתובה הראשונה אפילו דינר, יפרעו לשניה כתובת אמם והמותר יקחו בני הראשונה בתורת כתובת בנין דכרין</w:t>
      </w:r>
      <w:r>
        <w:rPr>
          <w:rStyle w:val="a7"/>
          <w:rFonts w:cs="Arial"/>
          <w:rtl/>
        </w:rPr>
        <w:footnoteReference w:id="2441"/>
      </w:r>
      <w:r>
        <w:rPr>
          <w:rFonts w:cs="Arial"/>
          <w:rtl/>
        </w:rPr>
        <w:t xml:space="preserve">. </w:t>
      </w:r>
    </w:p>
    <w:p w14:paraId="7824AC6D" w14:textId="77777777" w:rsidR="00392DBB" w:rsidRDefault="00392DBB" w:rsidP="00392DBB">
      <w:pPr>
        <w:rPr>
          <w:rtl/>
        </w:rPr>
      </w:pPr>
    </w:p>
    <w:p w14:paraId="31F7D33A" w14:textId="77777777" w:rsidR="00392DBB" w:rsidRDefault="00392DBB" w:rsidP="000F64D0">
      <w:pPr>
        <w:pStyle w:val="2"/>
        <w:rPr>
          <w:rtl/>
        </w:rPr>
      </w:pPr>
      <w:r>
        <w:rPr>
          <w:rtl/>
        </w:rPr>
        <w:t>סעיף י</w:t>
      </w:r>
      <w:r>
        <w:rPr>
          <w:rFonts w:hint="cs"/>
          <w:rtl/>
        </w:rPr>
        <w:t>:</w:t>
      </w:r>
      <w:r w:rsidRPr="0037496F">
        <w:rPr>
          <w:rFonts w:hint="cs"/>
          <w:rtl/>
        </w:rPr>
        <w:t xml:space="preserve"> </w:t>
      </w:r>
      <w:r>
        <w:rPr>
          <w:rFonts w:hint="cs"/>
          <w:rtl/>
        </w:rPr>
        <w:t>היה נשוי שתי נשים, אחת מתה בחייו, ומת הוא, והשניה קיימת.</w:t>
      </w:r>
    </w:p>
    <w:p w14:paraId="0B6F14D7" w14:textId="77777777" w:rsidR="00392DBB" w:rsidRPr="00CE4035" w:rsidRDefault="00392DBB" w:rsidP="00392DBB">
      <w:pPr>
        <w:rPr>
          <w:u w:val="single"/>
          <w:rtl/>
        </w:rPr>
      </w:pPr>
      <w:r w:rsidRPr="00CE4035">
        <w:rPr>
          <w:rFonts w:hint="cs"/>
          <w:u w:val="single"/>
          <w:rtl/>
        </w:rPr>
        <w:t>היה נשוי שתי נשים, אחת מתה בחייו, ומת הוא, והשניה קיימת:</w:t>
      </w:r>
    </w:p>
    <w:p w14:paraId="3F7F3B7F" w14:textId="77777777" w:rsidR="00392DBB" w:rsidRPr="0037496F" w:rsidRDefault="00392DBB" w:rsidP="009000E3">
      <w:pPr>
        <w:pStyle w:val="ab"/>
        <w:numPr>
          <w:ilvl w:val="0"/>
          <w:numId w:val="63"/>
        </w:numPr>
      </w:pPr>
      <w:r>
        <w:rPr>
          <w:rFonts w:cs="Arial" w:hint="cs"/>
          <w:rtl/>
        </w:rPr>
        <w:t>רא"ש</w:t>
      </w:r>
      <w:r>
        <w:rPr>
          <w:rStyle w:val="a7"/>
          <w:rFonts w:cs="Arial"/>
          <w:rtl/>
        </w:rPr>
        <w:footnoteReference w:id="2442"/>
      </w:r>
      <w:r>
        <w:rPr>
          <w:rFonts w:cs="Arial" w:hint="cs"/>
          <w:sz w:val="16"/>
          <w:szCs w:val="16"/>
          <w:rtl/>
        </w:rPr>
        <w:t xml:space="preserve"> </w:t>
      </w:r>
      <w:r w:rsidRPr="00A16126">
        <w:rPr>
          <w:rFonts w:cs="Arial" w:hint="cs"/>
          <w:sz w:val="16"/>
          <w:szCs w:val="16"/>
          <w:rtl/>
        </w:rPr>
        <w:t xml:space="preserve">(פ"י </w:t>
      </w:r>
      <w:r w:rsidRPr="00A16126">
        <w:rPr>
          <w:rFonts w:cs="Arial"/>
          <w:sz w:val="16"/>
          <w:szCs w:val="16"/>
          <w:rtl/>
        </w:rPr>
        <w:t>סי' ב</w:t>
      </w:r>
      <w:r>
        <w:rPr>
          <w:rFonts w:cs="Arial" w:hint="cs"/>
          <w:sz w:val="16"/>
          <w:szCs w:val="16"/>
          <w:rtl/>
        </w:rPr>
        <w:t>)</w:t>
      </w:r>
      <w:r>
        <w:rPr>
          <w:rFonts w:cs="Arial" w:hint="cs"/>
          <w:rtl/>
        </w:rPr>
        <w:t xml:space="preserve"> וטור- </w:t>
      </w:r>
      <w:r w:rsidRPr="008A1F1E">
        <w:rPr>
          <w:rFonts w:cs="Arial"/>
          <w:rtl/>
        </w:rPr>
        <w:t>וכאשר הדין במתה אחת בחייו ואחת אחרי מותו</w:t>
      </w:r>
      <w:r>
        <w:rPr>
          <w:rFonts w:cs="Arial" w:hint="cs"/>
          <w:rtl/>
        </w:rPr>
        <w:t>,</w:t>
      </w:r>
      <w:r w:rsidRPr="008A1F1E">
        <w:rPr>
          <w:rFonts w:cs="Arial"/>
          <w:rtl/>
        </w:rPr>
        <w:t xml:space="preserve"> כן הדין אם מתה אחת בחייו והשנייה קיימת</w:t>
      </w:r>
      <w:r>
        <w:rPr>
          <w:rFonts w:cs="Arial" w:hint="cs"/>
          <w:rtl/>
        </w:rPr>
        <w:t>.</w:t>
      </w:r>
      <w:r w:rsidRPr="008A1F1E">
        <w:rPr>
          <w:rFonts w:cs="Arial"/>
          <w:rtl/>
        </w:rPr>
        <w:t xml:space="preserve"> שדין בני הראשונה עם השנייה כדינם עם בניה</w:t>
      </w:r>
      <w:r>
        <w:rPr>
          <w:rFonts w:cs="Arial" w:hint="cs"/>
          <w:rtl/>
        </w:rPr>
        <w:t>.</w:t>
      </w:r>
      <w:r w:rsidRPr="008A1F1E">
        <w:rPr>
          <w:rFonts w:cs="Arial"/>
          <w:rtl/>
        </w:rPr>
        <w:t xml:space="preserve"> אם יש שם כדי ב' כתובות </w:t>
      </w:r>
      <w:r>
        <w:rPr>
          <w:rFonts w:cs="Arial" w:hint="cs"/>
          <w:rtl/>
        </w:rPr>
        <w:t xml:space="preserve">- </w:t>
      </w:r>
      <w:r w:rsidRPr="008A1F1E">
        <w:rPr>
          <w:rFonts w:cs="Arial"/>
          <w:rtl/>
        </w:rPr>
        <w:t>בני הראשונה נוטלים כתובת אמן והשנייה כתובתה</w:t>
      </w:r>
      <w:r>
        <w:rPr>
          <w:rStyle w:val="a7"/>
          <w:rFonts w:cs="Arial"/>
          <w:rtl/>
        </w:rPr>
        <w:footnoteReference w:id="2443"/>
      </w:r>
      <w:r>
        <w:rPr>
          <w:rFonts w:cs="Arial" w:hint="cs"/>
          <w:sz w:val="16"/>
          <w:szCs w:val="16"/>
          <w:rtl/>
        </w:rPr>
        <w:t xml:space="preserve"> (ל' הטור)</w:t>
      </w:r>
      <w:r>
        <w:rPr>
          <w:rFonts w:cs="Arial" w:hint="cs"/>
          <w:rtl/>
        </w:rPr>
        <w:t>.</w:t>
      </w:r>
      <w:r w:rsidRPr="008A1F1E">
        <w:rPr>
          <w:rFonts w:cs="Arial"/>
          <w:rtl/>
        </w:rPr>
        <w:t xml:space="preserve"> </w:t>
      </w:r>
      <w:r>
        <w:rPr>
          <w:rFonts w:hint="cs"/>
          <w:rtl/>
        </w:rPr>
        <w:t xml:space="preserve"> </w:t>
      </w:r>
      <w:r w:rsidRPr="0081621B">
        <w:rPr>
          <w:rFonts w:hint="cs"/>
          <w:color w:val="E36C0A" w:themeColor="accent6" w:themeShade="BF"/>
          <w:rtl/>
        </w:rPr>
        <w:t>(וכ"פ בשו"ע)</w:t>
      </w:r>
    </w:p>
    <w:p w14:paraId="0F1A443E" w14:textId="56F2FB89" w:rsidR="00392DBB" w:rsidRPr="00D96223" w:rsidRDefault="00392DBB" w:rsidP="009000E3">
      <w:pPr>
        <w:pStyle w:val="ab"/>
        <w:numPr>
          <w:ilvl w:val="0"/>
          <w:numId w:val="63"/>
        </w:numPr>
      </w:pPr>
      <w:r w:rsidRPr="008A1F1E">
        <w:rPr>
          <w:rFonts w:cs="Arial"/>
          <w:rtl/>
        </w:rPr>
        <w:t>יש מהגאונים</w:t>
      </w:r>
      <w:r>
        <w:rPr>
          <w:rFonts w:cs="Arial" w:hint="cs"/>
          <w:sz w:val="16"/>
          <w:szCs w:val="16"/>
          <w:rtl/>
        </w:rPr>
        <w:t xml:space="preserve"> (הביאום הרא"ש והטור)</w:t>
      </w:r>
      <w:r>
        <w:rPr>
          <w:rFonts w:cs="Arial" w:hint="cs"/>
          <w:rtl/>
        </w:rPr>
        <w:t xml:space="preserve">- </w:t>
      </w:r>
      <w:r w:rsidRPr="008A1F1E">
        <w:rPr>
          <w:rFonts w:cs="Arial"/>
          <w:rtl/>
        </w:rPr>
        <w:t>אם השנייה קיימת</w:t>
      </w:r>
      <w:r w:rsidR="00A71CB6">
        <w:rPr>
          <w:rFonts w:cs="Arial" w:hint="cs"/>
          <w:rtl/>
        </w:rPr>
        <w:t>,</w:t>
      </w:r>
      <w:r w:rsidRPr="008A1F1E">
        <w:rPr>
          <w:rFonts w:cs="Arial"/>
          <w:rtl/>
        </w:rPr>
        <w:t xml:space="preserve"> אין בני הראשונה נוטלין כתובת אמן</w:t>
      </w:r>
      <w:r>
        <w:rPr>
          <w:rFonts w:cs="Arial" w:hint="cs"/>
          <w:rtl/>
        </w:rPr>
        <w:t>.</w:t>
      </w:r>
      <w:r w:rsidRPr="008A1F1E">
        <w:rPr>
          <w:rFonts w:cs="Arial"/>
          <w:rtl/>
        </w:rPr>
        <w:t xml:space="preserve"> </w:t>
      </w:r>
    </w:p>
    <w:p w14:paraId="7DB8AE79" w14:textId="3ADFDC22" w:rsidR="00392DBB" w:rsidRPr="0037496F" w:rsidRDefault="00A71CB6" w:rsidP="00392DBB">
      <w:pPr>
        <w:ind w:left="360"/>
        <w:rPr>
          <w:u w:val="dotted"/>
        </w:rPr>
      </w:pPr>
      <w:r>
        <w:rPr>
          <w:rFonts w:hint="cs"/>
          <w:u w:val="dotted"/>
          <w:rtl/>
        </w:rPr>
        <w:t xml:space="preserve">לרא"ש וסיעתו - </w:t>
      </w:r>
      <w:r w:rsidR="00392DBB" w:rsidRPr="0037496F">
        <w:rPr>
          <w:rFonts w:hint="cs"/>
          <w:u w:val="dotted"/>
          <w:rtl/>
        </w:rPr>
        <w:t>מה דין אם יש בנכסים מעט יותר על כתובת הראשונה:</w:t>
      </w:r>
    </w:p>
    <w:p w14:paraId="310A61C0" w14:textId="43EC27C0" w:rsidR="00392DBB" w:rsidRPr="00D050EE" w:rsidRDefault="00392DBB" w:rsidP="009000E3">
      <w:pPr>
        <w:pStyle w:val="ab"/>
        <w:numPr>
          <w:ilvl w:val="0"/>
          <w:numId w:val="63"/>
        </w:numPr>
        <w:rPr>
          <w:rtl/>
        </w:rPr>
      </w:pPr>
      <w:r>
        <w:rPr>
          <w:rFonts w:cs="Arial" w:hint="cs"/>
          <w:rtl/>
        </w:rPr>
        <w:t xml:space="preserve">רא"ש </w:t>
      </w:r>
      <w:r w:rsidRPr="00A16126">
        <w:rPr>
          <w:rFonts w:cs="Arial" w:hint="cs"/>
          <w:sz w:val="16"/>
          <w:szCs w:val="16"/>
          <w:rtl/>
        </w:rPr>
        <w:t xml:space="preserve">(פ"י </w:t>
      </w:r>
      <w:r w:rsidRPr="00A16126">
        <w:rPr>
          <w:rFonts w:cs="Arial"/>
          <w:sz w:val="16"/>
          <w:szCs w:val="16"/>
          <w:rtl/>
        </w:rPr>
        <w:t>סי' ב</w:t>
      </w:r>
      <w:r>
        <w:rPr>
          <w:rFonts w:cs="Arial" w:hint="cs"/>
          <w:sz w:val="16"/>
          <w:szCs w:val="16"/>
          <w:rtl/>
        </w:rPr>
        <w:t>)</w:t>
      </w:r>
      <w:r>
        <w:rPr>
          <w:rFonts w:cs="Arial" w:hint="cs"/>
          <w:rtl/>
        </w:rPr>
        <w:t xml:space="preserve"> וטור- </w:t>
      </w:r>
      <w:r w:rsidRPr="008A1F1E">
        <w:rPr>
          <w:rFonts w:cs="Arial"/>
          <w:rtl/>
        </w:rPr>
        <w:t xml:space="preserve">ואם יש מעט יותר על כתובת הראשונה </w:t>
      </w:r>
      <w:r>
        <w:rPr>
          <w:rFonts w:cs="Arial" w:hint="cs"/>
          <w:rtl/>
        </w:rPr>
        <w:t xml:space="preserve">- </w:t>
      </w:r>
      <w:r w:rsidRPr="008A1F1E">
        <w:rPr>
          <w:rFonts w:cs="Arial"/>
          <w:rtl/>
        </w:rPr>
        <w:t>השנייה נוטלת כתובתה והמותר לבני הראשונה אע</w:t>
      </w:r>
      <w:r w:rsidR="00A71CB6">
        <w:rPr>
          <w:rFonts w:cs="Arial" w:hint="cs"/>
          <w:rtl/>
        </w:rPr>
        <w:t>"</w:t>
      </w:r>
      <w:r w:rsidRPr="008A1F1E">
        <w:rPr>
          <w:rFonts w:cs="Arial"/>
          <w:rtl/>
        </w:rPr>
        <w:t>פ שבני השנייה אינם נוטלין כלום</w:t>
      </w:r>
      <w:r>
        <w:rPr>
          <w:rFonts w:cs="Arial" w:hint="cs"/>
          <w:rtl/>
        </w:rPr>
        <w:t>.</w:t>
      </w:r>
      <w:r w:rsidRPr="008A1F1E">
        <w:rPr>
          <w:rFonts w:cs="Arial"/>
          <w:rtl/>
        </w:rPr>
        <w:t xml:space="preserve"> ואם אין שם אלא כדי כתובה הראשונה </w:t>
      </w:r>
      <w:r>
        <w:rPr>
          <w:rFonts w:cs="Arial" w:hint="cs"/>
          <w:rtl/>
        </w:rPr>
        <w:t xml:space="preserve">- </w:t>
      </w:r>
      <w:r w:rsidRPr="008A1F1E">
        <w:rPr>
          <w:rFonts w:cs="Arial"/>
          <w:rtl/>
        </w:rPr>
        <w:t>השנייה נוטלת כתובתה והמותר יחלקו בני הראשונה ובני השנייה</w:t>
      </w:r>
      <w:r>
        <w:rPr>
          <w:rFonts w:cs="Arial" w:hint="cs"/>
          <w:sz w:val="16"/>
          <w:szCs w:val="16"/>
          <w:rtl/>
        </w:rPr>
        <w:t xml:space="preserve"> (ל' הטור)</w:t>
      </w:r>
      <w:r>
        <w:rPr>
          <w:rFonts w:cs="Arial" w:hint="cs"/>
          <w:rtl/>
        </w:rPr>
        <w:t>.</w:t>
      </w:r>
      <w:r w:rsidRPr="008A1F1E">
        <w:rPr>
          <w:rFonts w:cs="Arial"/>
          <w:rtl/>
        </w:rPr>
        <w:t xml:space="preserve"> </w:t>
      </w:r>
      <w:r w:rsidRPr="0081621B">
        <w:rPr>
          <w:rFonts w:hint="cs"/>
          <w:color w:val="E36C0A" w:themeColor="accent6" w:themeShade="BF"/>
          <w:rtl/>
        </w:rPr>
        <w:t>(וכ"פ בשו"ע)</w:t>
      </w:r>
    </w:p>
    <w:p w14:paraId="7654DE16"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0D8DBF1" w14:textId="77777777" w:rsidR="00392DBB" w:rsidRDefault="00392DBB" w:rsidP="00392DBB">
      <w:pPr>
        <w:rPr>
          <w:rtl/>
        </w:rPr>
      </w:pPr>
      <w:r>
        <w:rPr>
          <w:rFonts w:cs="Arial"/>
          <w:rtl/>
        </w:rPr>
        <w:lastRenderedPageBreak/>
        <w:t xml:space="preserve">מתה אחת בחייו והשנייה קיימת, דינם כדין מתה אחת בחייו ואחת לאחר מותו. </w:t>
      </w:r>
    </w:p>
    <w:p w14:paraId="0A7A8066" w14:textId="77777777" w:rsidR="00392DBB" w:rsidRDefault="00392DBB" w:rsidP="00392DBB">
      <w:pPr>
        <w:rPr>
          <w:rtl/>
        </w:rPr>
      </w:pPr>
    </w:p>
    <w:p w14:paraId="189C8659" w14:textId="77777777" w:rsidR="00392DBB" w:rsidRDefault="00392DBB" w:rsidP="000F64D0">
      <w:pPr>
        <w:pStyle w:val="2"/>
        <w:rPr>
          <w:rtl/>
        </w:rPr>
      </w:pPr>
      <w:r>
        <w:rPr>
          <w:rtl/>
        </w:rPr>
        <w:t>סעיף יא</w:t>
      </w:r>
      <w:r>
        <w:rPr>
          <w:rFonts w:hint="cs"/>
          <w:rtl/>
        </w:rPr>
        <w:t>: היה נשוי שתי נשים, ומת, ואח"כ מתו שתי הנשים.</w:t>
      </w:r>
    </w:p>
    <w:p w14:paraId="47DACE23" w14:textId="77777777" w:rsidR="00392DBB" w:rsidRPr="00CE4035" w:rsidRDefault="00392DBB" w:rsidP="00392DBB">
      <w:pPr>
        <w:rPr>
          <w:u w:val="single"/>
          <w:rtl/>
        </w:rPr>
      </w:pPr>
      <w:r w:rsidRPr="00CE4035">
        <w:rPr>
          <w:rFonts w:hint="cs"/>
          <w:u w:val="single"/>
          <w:rtl/>
        </w:rPr>
        <w:t>היה נשוי שתי נשים, ומת, ואח"כ מתו שתי הנשים:</w:t>
      </w:r>
    </w:p>
    <w:p w14:paraId="3022EB55" w14:textId="77777777" w:rsidR="00392DBB" w:rsidRDefault="00392DBB" w:rsidP="009000E3">
      <w:pPr>
        <w:pStyle w:val="ab"/>
        <w:numPr>
          <w:ilvl w:val="0"/>
          <w:numId w:val="63"/>
        </w:numPr>
        <w:rPr>
          <w:rFonts w:cs="Arial"/>
        </w:rPr>
      </w:pPr>
      <w:r>
        <w:rPr>
          <w:rFonts w:hint="cs"/>
          <w:rtl/>
        </w:rPr>
        <w:t xml:space="preserve">רמב"ם </w:t>
      </w:r>
      <w:r w:rsidRPr="00433E0F">
        <w:rPr>
          <w:rFonts w:hint="cs"/>
          <w:sz w:val="16"/>
          <w:szCs w:val="16"/>
          <w:rtl/>
        </w:rPr>
        <w:t>(פי"ט מאישות ה"ח)</w:t>
      </w:r>
      <w:r w:rsidRPr="00433E0F">
        <w:rPr>
          <w:rFonts w:cs="Arial" w:hint="cs"/>
          <w:rtl/>
        </w:rPr>
        <w:t xml:space="preserve">- </w:t>
      </w:r>
      <w:r w:rsidRPr="00984C1C">
        <w:rPr>
          <w:rFonts w:cs="Arial"/>
          <w:rtl/>
        </w:rPr>
        <w:t>היה נשוי שתי נשים</w:t>
      </w:r>
      <w:r>
        <w:rPr>
          <w:rFonts w:cs="Arial" w:hint="cs"/>
          <w:rtl/>
        </w:rPr>
        <w:t>,</w:t>
      </w:r>
      <w:r w:rsidRPr="00984C1C">
        <w:rPr>
          <w:rFonts w:cs="Arial"/>
          <w:rtl/>
        </w:rPr>
        <w:t xml:space="preserve"> ולו מהן בנים</w:t>
      </w:r>
      <w:r>
        <w:rPr>
          <w:rFonts w:cs="Arial" w:hint="cs"/>
          <w:rtl/>
        </w:rPr>
        <w:t>.</w:t>
      </w:r>
      <w:r w:rsidRPr="00984C1C">
        <w:rPr>
          <w:rFonts w:cs="Arial"/>
          <w:rtl/>
        </w:rPr>
        <w:t xml:space="preserve"> ומת</w:t>
      </w:r>
      <w:r>
        <w:rPr>
          <w:rFonts w:cs="Arial" w:hint="cs"/>
          <w:rtl/>
        </w:rPr>
        <w:t>,</w:t>
      </w:r>
      <w:r w:rsidRPr="00984C1C">
        <w:rPr>
          <w:rFonts w:cs="Arial"/>
          <w:rtl/>
        </w:rPr>
        <w:t xml:space="preserve"> ואחר כך מתו הנשים</w:t>
      </w:r>
      <w:r>
        <w:rPr>
          <w:rFonts w:cs="Arial" w:hint="cs"/>
          <w:rtl/>
        </w:rPr>
        <w:t>.</w:t>
      </w:r>
      <w:r w:rsidRPr="00984C1C">
        <w:rPr>
          <w:rFonts w:cs="Arial"/>
          <w:rtl/>
        </w:rPr>
        <w:t xml:space="preserve"> אם נשבעו ואחר כך מתו </w:t>
      </w:r>
      <w:r>
        <w:rPr>
          <w:rFonts w:cs="Arial" w:hint="cs"/>
          <w:rtl/>
        </w:rPr>
        <w:t xml:space="preserve">- </w:t>
      </w:r>
      <w:r w:rsidRPr="00984C1C">
        <w:rPr>
          <w:rFonts w:cs="Arial"/>
          <w:rtl/>
        </w:rPr>
        <w:t>כל אחד ואחד יורש כתובת אמו בירושה של תורה ולא בתנאי זה, לפיכך אין משגיחין אם יש שם מותר או אין שם, ויורשי הראשונה קודמין ליורשי השניה</w:t>
      </w:r>
      <w:r>
        <w:rPr>
          <w:rFonts w:cs="Arial" w:hint="cs"/>
          <w:rtl/>
        </w:rPr>
        <w:t>.</w:t>
      </w:r>
      <w:r w:rsidRPr="00984C1C">
        <w:rPr>
          <w:rFonts w:cs="Arial"/>
          <w:rtl/>
        </w:rPr>
        <w:t xml:space="preserve"> ואם לא נשבעו </w:t>
      </w:r>
      <w:r>
        <w:rPr>
          <w:rFonts w:cs="Arial" w:hint="cs"/>
          <w:rtl/>
        </w:rPr>
        <w:t xml:space="preserve">- </w:t>
      </w:r>
      <w:r w:rsidRPr="00984C1C">
        <w:rPr>
          <w:rFonts w:cs="Arial"/>
          <w:rtl/>
        </w:rPr>
        <w:t>חולקין הבנים הכל בשוה ואין שם ירושת כתובה</w:t>
      </w:r>
      <w:r>
        <w:rPr>
          <w:rFonts w:cs="Arial" w:hint="cs"/>
          <w:rtl/>
        </w:rPr>
        <w:t>,</w:t>
      </w:r>
      <w:r w:rsidRPr="00984C1C">
        <w:rPr>
          <w:rFonts w:cs="Arial"/>
          <w:rtl/>
        </w:rPr>
        <w:t xml:space="preserve"> לפי שאין לאלמנה כתובה עד שתשבע</w:t>
      </w:r>
      <w:r w:rsidRPr="00433E0F">
        <w:rPr>
          <w:rStyle w:val="a7"/>
          <w:rtl/>
        </w:rPr>
        <w:footnoteReference w:id="2444"/>
      </w:r>
      <w:r w:rsidRPr="00984C1C">
        <w:rPr>
          <w:rFonts w:cs="Arial"/>
          <w:rtl/>
        </w:rPr>
        <w:t>.</w:t>
      </w:r>
      <w:r w:rsidRPr="00984C1C">
        <w:rPr>
          <w:rFonts w:cs="Arial" w:hint="cs"/>
          <w:rtl/>
        </w:rPr>
        <w:t xml:space="preserve"> </w:t>
      </w:r>
      <w:r w:rsidRPr="0081621B">
        <w:rPr>
          <w:rFonts w:hint="cs"/>
          <w:color w:val="E36C0A" w:themeColor="accent6" w:themeShade="BF"/>
          <w:rtl/>
        </w:rPr>
        <w:t>(וכ"פ בשו"ע)</w:t>
      </w:r>
    </w:p>
    <w:p w14:paraId="46AAF4D2"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77EE712" w14:textId="77777777" w:rsidR="00392DBB" w:rsidRDefault="00392DBB" w:rsidP="00392DBB">
      <w:pPr>
        <w:rPr>
          <w:rtl/>
        </w:rPr>
      </w:pPr>
      <w:r>
        <w:rPr>
          <w:rFonts w:cs="Arial"/>
          <w:rtl/>
        </w:rPr>
        <w:t>היה נשוי שתי נשים, והיו לו בנים מהן ומת, ואח</w:t>
      </w:r>
      <w:r>
        <w:rPr>
          <w:rFonts w:cs="Arial" w:hint="cs"/>
          <w:rtl/>
        </w:rPr>
        <w:t xml:space="preserve">ר </w:t>
      </w:r>
      <w:r>
        <w:rPr>
          <w:rFonts w:cs="Arial"/>
          <w:rtl/>
        </w:rPr>
        <w:t>כ</w:t>
      </w:r>
      <w:r>
        <w:rPr>
          <w:rFonts w:cs="Arial" w:hint="cs"/>
          <w:rtl/>
        </w:rPr>
        <w:t>ך</w:t>
      </w:r>
      <w:r>
        <w:rPr>
          <w:rFonts w:cs="Arial"/>
          <w:rtl/>
        </w:rPr>
        <w:t xml:space="preserve"> מתו הנשים, אם נשבעו ואחר כך מתו, כל אחד ואחד יורש כתובת אמו בירושה של תורה ולא בתנאי זה, לפיכך אין משגיחין אם יש שם מותר או אין שם. ויורשי הראשונה קודמים ליורשי השניה. ואם לא נשבעו, חולקין כל הבנים בשוה</w:t>
      </w:r>
      <w:r>
        <w:rPr>
          <w:rStyle w:val="a7"/>
          <w:rFonts w:cs="Arial"/>
          <w:rtl/>
        </w:rPr>
        <w:footnoteReference w:id="2445"/>
      </w:r>
      <w:r>
        <w:rPr>
          <w:rFonts w:cs="Arial"/>
          <w:rtl/>
        </w:rPr>
        <w:t xml:space="preserve"> ואין שם ירושת כתובה, לפי שאין לאלמנה כתובה עד שתשבע. </w:t>
      </w:r>
    </w:p>
    <w:p w14:paraId="4A735BA8" w14:textId="77777777" w:rsidR="00392DBB" w:rsidRDefault="00392DBB" w:rsidP="00392DBB">
      <w:pPr>
        <w:rPr>
          <w:rtl/>
        </w:rPr>
      </w:pPr>
    </w:p>
    <w:p w14:paraId="469005C3" w14:textId="77777777" w:rsidR="00392DBB" w:rsidRDefault="00392DBB" w:rsidP="000F64D0">
      <w:pPr>
        <w:pStyle w:val="2"/>
        <w:rPr>
          <w:rtl/>
        </w:rPr>
      </w:pPr>
      <w:r>
        <w:rPr>
          <w:rtl/>
        </w:rPr>
        <w:t>סעיף יב</w:t>
      </w:r>
      <w:r>
        <w:rPr>
          <w:rFonts w:hint="cs"/>
          <w:rtl/>
        </w:rPr>
        <w:t>: כנ"ל, ואחת נשבעה לפני מותה ואחת לא.</w:t>
      </w:r>
    </w:p>
    <w:p w14:paraId="1E39D97E" w14:textId="77777777" w:rsidR="00392DBB" w:rsidRPr="00CE4035" w:rsidRDefault="00392DBB" w:rsidP="00392DBB">
      <w:pPr>
        <w:rPr>
          <w:u w:val="single"/>
          <w:rtl/>
        </w:rPr>
      </w:pPr>
      <w:r w:rsidRPr="00CE4035">
        <w:rPr>
          <w:rFonts w:hint="cs"/>
          <w:u w:val="single"/>
          <w:rtl/>
        </w:rPr>
        <w:t>היה נשוי שתי נשים, ומת, ואח"כ מתו שתי הנשים</w:t>
      </w:r>
      <w:r>
        <w:rPr>
          <w:rFonts w:hint="cs"/>
          <w:u w:val="single"/>
          <w:rtl/>
        </w:rPr>
        <w:t xml:space="preserve"> - </w:t>
      </w:r>
      <w:r w:rsidRPr="00CE4035">
        <w:rPr>
          <w:rFonts w:hint="cs"/>
          <w:u w:val="single"/>
          <w:rtl/>
        </w:rPr>
        <w:t>אחת נשבעה לפני מותה ואחת לא:</w:t>
      </w:r>
    </w:p>
    <w:p w14:paraId="2C596D79" w14:textId="77777777" w:rsidR="00392DBB" w:rsidRPr="00CE4035" w:rsidRDefault="00392DBB" w:rsidP="009000E3">
      <w:pPr>
        <w:pStyle w:val="ab"/>
        <w:numPr>
          <w:ilvl w:val="0"/>
          <w:numId w:val="63"/>
        </w:numPr>
        <w:rPr>
          <w:rFonts w:cs="Arial"/>
          <w:rtl/>
        </w:rPr>
      </w:pPr>
      <w:r>
        <w:rPr>
          <w:rFonts w:hint="cs"/>
          <w:rtl/>
        </w:rPr>
        <w:t xml:space="preserve">רמב"ם </w:t>
      </w:r>
      <w:r w:rsidRPr="00433E0F">
        <w:rPr>
          <w:rFonts w:hint="cs"/>
          <w:sz w:val="16"/>
          <w:szCs w:val="16"/>
          <w:rtl/>
        </w:rPr>
        <w:t>(פי"ט מאישות ה"</w:t>
      </w:r>
      <w:r>
        <w:rPr>
          <w:rFonts w:hint="cs"/>
          <w:sz w:val="16"/>
          <w:szCs w:val="16"/>
          <w:rtl/>
        </w:rPr>
        <w:t>ט</w:t>
      </w:r>
      <w:r w:rsidRPr="00433E0F">
        <w:rPr>
          <w:rFonts w:hint="cs"/>
          <w:sz w:val="16"/>
          <w:szCs w:val="16"/>
          <w:rtl/>
        </w:rPr>
        <w:t>)</w:t>
      </w:r>
      <w:r w:rsidRPr="00433E0F">
        <w:rPr>
          <w:rFonts w:cs="Arial" w:hint="cs"/>
          <w:rtl/>
        </w:rPr>
        <w:t>-</w:t>
      </w:r>
      <w:r>
        <w:rPr>
          <w:rFonts w:cs="Arial" w:hint="cs"/>
          <w:rtl/>
        </w:rPr>
        <w:t xml:space="preserve"> </w:t>
      </w:r>
      <w:r w:rsidRPr="00984C1C">
        <w:rPr>
          <w:rFonts w:cs="Arial"/>
          <w:rtl/>
        </w:rPr>
        <w:t>אחת נשבעה ואחת לא נשבעה, זו שנשבעה בניה יורשין כתובתה תחלה והשאר חולקין אותו בשוה</w:t>
      </w:r>
      <w:r>
        <w:rPr>
          <w:rFonts w:cs="Arial" w:hint="cs"/>
          <w:rtl/>
        </w:rPr>
        <w:t xml:space="preserve">. </w:t>
      </w:r>
      <w:r w:rsidRPr="0081621B">
        <w:rPr>
          <w:rFonts w:hint="cs"/>
          <w:color w:val="E36C0A" w:themeColor="accent6" w:themeShade="BF"/>
          <w:rtl/>
        </w:rPr>
        <w:t>(וכ"פ בשו"ע)</w:t>
      </w:r>
    </w:p>
    <w:p w14:paraId="7DC9855B"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70E026C" w14:textId="77777777" w:rsidR="00392DBB" w:rsidRDefault="00392DBB" w:rsidP="00392DBB">
      <w:pPr>
        <w:rPr>
          <w:rtl/>
        </w:rPr>
      </w:pPr>
      <w:r>
        <w:rPr>
          <w:rFonts w:cs="Arial"/>
          <w:rtl/>
        </w:rPr>
        <w:t xml:space="preserve">אחת נשבעה ואחת לא נשבעה, זו שנשבעה בניה יורשים כתובתה תחלה, והשאר חולקין אותו בשוה. </w:t>
      </w:r>
    </w:p>
    <w:p w14:paraId="2F7FC792" w14:textId="77777777" w:rsidR="00392DBB" w:rsidRDefault="00392DBB" w:rsidP="00392DBB">
      <w:pPr>
        <w:rPr>
          <w:rtl/>
        </w:rPr>
      </w:pPr>
    </w:p>
    <w:p w14:paraId="5417F9D0" w14:textId="77777777" w:rsidR="00392DBB" w:rsidRDefault="00392DBB" w:rsidP="000F64D0">
      <w:pPr>
        <w:pStyle w:val="2"/>
        <w:rPr>
          <w:rtl/>
        </w:rPr>
      </w:pPr>
      <w:r>
        <w:rPr>
          <w:rtl/>
        </w:rPr>
        <w:t>סעיף יג</w:t>
      </w:r>
      <w:r>
        <w:rPr>
          <w:rFonts w:hint="cs"/>
          <w:rtl/>
        </w:rPr>
        <w:t>: גביית כתובת בנין דכרין ממשעבדי.</w:t>
      </w:r>
    </w:p>
    <w:p w14:paraId="36D78F3C" w14:textId="77777777" w:rsidR="00392DBB" w:rsidRDefault="00392DBB" w:rsidP="00392DBB">
      <w:pPr>
        <w:rPr>
          <w:rtl/>
        </w:rPr>
      </w:pPr>
      <w:r w:rsidRPr="003E4BB7">
        <w:rPr>
          <w:rFonts w:cs="Arial" w:hint="cs"/>
          <w:b/>
          <w:bCs/>
          <w:rtl/>
        </w:rPr>
        <w:t xml:space="preserve">כתובות צ </w:t>
      </w:r>
      <w:r>
        <w:rPr>
          <w:rFonts w:cs="Arial" w:hint="cs"/>
          <w:b/>
          <w:bCs/>
          <w:sz w:val="16"/>
          <w:szCs w:val="16"/>
          <w:rtl/>
        </w:rPr>
        <w:t xml:space="preserve">(ר"פ מי שהיה נשוי) </w:t>
      </w:r>
      <w:r w:rsidRPr="003E4BB7">
        <w:rPr>
          <w:rFonts w:cs="Arial" w:hint="cs"/>
          <w:b/>
          <w:bCs/>
          <w:rtl/>
        </w:rPr>
        <w:t>ע"</w:t>
      </w:r>
      <w:r>
        <w:rPr>
          <w:rFonts w:cs="Arial" w:hint="cs"/>
          <w:b/>
          <w:bCs/>
          <w:rtl/>
        </w:rPr>
        <w:t>א</w:t>
      </w:r>
      <w:r w:rsidRPr="003E4BB7">
        <w:rPr>
          <w:rFonts w:cs="Arial" w:hint="cs"/>
          <w:b/>
          <w:bCs/>
          <w:rtl/>
        </w:rPr>
        <w:t>:</w:t>
      </w:r>
      <w:r>
        <w:rPr>
          <w:rFonts w:cs="Arial" w:hint="cs"/>
          <w:rtl/>
        </w:rPr>
        <w:t xml:space="preserve"> </w:t>
      </w:r>
      <w:r w:rsidRPr="003500E9">
        <w:rPr>
          <w:rFonts w:cs="Arial" w:hint="cs"/>
          <w:u w:val="double"/>
          <w:rtl/>
        </w:rPr>
        <w:t>מתני'</w:t>
      </w:r>
      <w:r>
        <w:rPr>
          <w:rFonts w:cs="Arial" w:hint="cs"/>
          <w:rtl/>
        </w:rPr>
        <w:t xml:space="preserve">:... </w:t>
      </w:r>
      <w:r w:rsidRPr="003500E9">
        <w:rPr>
          <w:rFonts w:cs="Arial"/>
          <w:rtl/>
        </w:rPr>
        <w:t>נשא את הראשונה ומתה</w:t>
      </w:r>
      <w:r>
        <w:rPr>
          <w:rStyle w:val="a7"/>
          <w:rFonts w:cs="Arial"/>
          <w:rtl/>
        </w:rPr>
        <w:footnoteReference w:id="2446"/>
      </w:r>
      <w:r w:rsidRPr="003500E9">
        <w:rPr>
          <w:rFonts w:cs="Arial"/>
          <w:rtl/>
        </w:rPr>
        <w:t>, נשא שניה ומת הוא - שניה ויורשיה קודמין</w:t>
      </w:r>
      <w:r>
        <w:rPr>
          <w:rStyle w:val="a7"/>
          <w:rFonts w:cs="Arial"/>
          <w:rtl/>
        </w:rPr>
        <w:footnoteReference w:id="2447"/>
      </w:r>
      <w:r w:rsidRPr="003500E9">
        <w:rPr>
          <w:rFonts w:cs="Arial"/>
          <w:rtl/>
        </w:rPr>
        <w:t xml:space="preserve"> ליורשי הראשונה.</w:t>
      </w:r>
      <w:r>
        <w:rPr>
          <w:rFonts w:cs="Arial" w:hint="cs"/>
          <w:rtl/>
        </w:rPr>
        <w:t>..</w:t>
      </w:r>
      <w:r w:rsidRPr="003500E9">
        <w:rPr>
          <w:rFonts w:cs="Arial"/>
          <w:rtl/>
        </w:rPr>
        <w:t xml:space="preserve"> </w:t>
      </w:r>
      <w:r>
        <w:rPr>
          <w:rFonts w:cs="Arial" w:hint="cs"/>
          <w:rtl/>
        </w:rPr>
        <w:t xml:space="preserve">      </w:t>
      </w:r>
      <w:r w:rsidRPr="003500E9">
        <w:rPr>
          <w:rFonts w:cs="Arial" w:hint="cs"/>
          <w:u w:val="double"/>
          <w:rtl/>
        </w:rPr>
        <w:t>גמ'</w:t>
      </w:r>
      <w:r>
        <w:rPr>
          <w:rFonts w:cs="Arial" w:hint="cs"/>
          <w:sz w:val="14"/>
          <w:szCs w:val="14"/>
          <w:u w:val="double"/>
          <w:rtl/>
        </w:rPr>
        <w:t>(צ:)</w:t>
      </w:r>
      <w:r w:rsidRPr="003500E9">
        <w:rPr>
          <w:rFonts w:cs="Arial" w:hint="cs"/>
          <w:u w:val="double"/>
          <w:rtl/>
        </w:rPr>
        <w:t>:</w:t>
      </w:r>
      <w:r>
        <w:rPr>
          <w:rFonts w:cs="Arial" w:hint="cs"/>
          <w:rtl/>
        </w:rPr>
        <w:t xml:space="preserve"> </w:t>
      </w:r>
      <w:r w:rsidRPr="002535AE">
        <w:rPr>
          <w:rFonts w:cs="Arial"/>
          <w:rtl/>
        </w:rPr>
        <w:t>נשא את הראשונה. שמע מינה תלת:</w:t>
      </w:r>
      <w:r>
        <w:rPr>
          <w:rFonts w:hint="cs"/>
          <w:rtl/>
        </w:rPr>
        <w:t>...</w:t>
      </w:r>
      <w:r w:rsidRPr="00A26819">
        <w:rPr>
          <w:rtl/>
        </w:rPr>
        <w:t xml:space="preserve"> </w:t>
      </w:r>
      <w:r w:rsidRPr="00A26819">
        <w:rPr>
          <w:rFonts w:cs="Arial"/>
          <w:rtl/>
        </w:rPr>
        <w:t>ושמע מינה, כתובת בנין דכרין לא טרפה ממשעבדי</w:t>
      </w:r>
      <w:r>
        <w:rPr>
          <w:rStyle w:val="a7"/>
          <w:rFonts w:cs="Arial"/>
          <w:rtl/>
        </w:rPr>
        <w:footnoteReference w:id="2448"/>
      </w:r>
      <w:r w:rsidRPr="00A26819">
        <w:rPr>
          <w:rFonts w:cs="Arial"/>
          <w:rtl/>
        </w:rPr>
        <w:t>, דאי סלקא דעתין טרפה ממשעבדי, ליתו בני ראשונה ולטרפינהו לבני שניה.</w:t>
      </w:r>
    </w:p>
    <w:p w14:paraId="069EAF24" w14:textId="77777777" w:rsidR="00392DBB" w:rsidRPr="00A26819" w:rsidRDefault="00392DBB" w:rsidP="00392DBB">
      <w:pPr>
        <w:rPr>
          <w:u w:val="single"/>
          <w:rtl/>
        </w:rPr>
      </w:pPr>
      <w:r w:rsidRPr="00A26819">
        <w:rPr>
          <w:rFonts w:hint="cs"/>
          <w:u w:val="single"/>
          <w:rtl/>
        </w:rPr>
        <w:t>ממה נגבית כתובת בנין דכרין:</w:t>
      </w:r>
    </w:p>
    <w:p w14:paraId="10B1B05A" w14:textId="4AD46E24" w:rsidR="00392DBB" w:rsidRDefault="00392DBB" w:rsidP="009000E3">
      <w:pPr>
        <w:pStyle w:val="ab"/>
        <w:numPr>
          <w:ilvl w:val="0"/>
          <w:numId w:val="63"/>
        </w:numPr>
      </w:pPr>
      <w:r>
        <w:rPr>
          <w:rFonts w:cs="Arial" w:hint="cs"/>
          <w:rtl/>
        </w:rPr>
        <w:t xml:space="preserve">טור- </w:t>
      </w:r>
      <w:r w:rsidRPr="008A1F1E">
        <w:rPr>
          <w:rFonts w:cs="Arial"/>
          <w:rtl/>
        </w:rPr>
        <w:t>ואינה נגבית אלא מבני חרי ולא ממשעבדי</w:t>
      </w:r>
      <w:r w:rsidR="00BC6CA5">
        <w:rPr>
          <w:rFonts w:cs="Arial" w:hint="cs"/>
          <w:rtl/>
        </w:rPr>
        <w:t>,</w:t>
      </w:r>
      <w:r w:rsidRPr="008A1F1E">
        <w:rPr>
          <w:rFonts w:cs="Arial"/>
          <w:rtl/>
        </w:rPr>
        <w:t xml:space="preserve"> כשאר ירושה</w:t>
      </w:r>
      <w:r>
        <w:rPr>
          <w:rFonts w:cs="Arial" w:hint="cs"/>
          <w:rtl/>
        </w:rPr>
        <w:t>.</w:t>
      </w:r>
      <w:r w:rsidRPr="008A1F1E">
        <w:rPr>
          <w:rFonts w:cs="Arial"/>
          <w:rtl/>
        </w:rPr>
        <w:t xml:space="preserve"> </w:t>
      </w:r>
      <w:r w:rsidRPr="0081621B">
        <w:rPr>
          <w:rFonts w:hint="cs"/>
          <w:color w:val="E36C0A" w:themeColor="accent6" w:themeShade="BF"/>
          <w:rtl/>
        </w:rPr>
        <w:t>(וכ"פ בשו"ע)</w:t>
      </w:r>
    </w:p>
    <w:p w14:paraId="0BC72FFC" w14:textId="77777777" w:rsidR="00392DBB" w:rsidRPr="00707E37" w:rsidRDefault="00392DBB" w:rsidP="00392DBB">
      <w:pPr>
        <w:rPr>
          <w:rFonts w:cs="Arial"/>
        </w:rPr>
      </w:pPr>
      <w:r w:rsidRPr="00974A61">
        <w:rPr>
          <w:rFonts w:cs="Arial"/>
          <w:u w:val="single"/>
          <w:rtl/>
        </w:rPr>
        <w:t xml:space="preserve">כתב לחתנו </w:t>
      </w:r>
      <w:r w:rsidRPr="00974A61">
        <w:rPr>
          <w:rFonts w:cs="Arial" w:hint="cs"/>
          <w:sz w:val="16"/>
          <w:szCs w:val="16"/>
          <w:u w:val="single"/>
          <w:rtl/>
        </w:rPr>
        <w:t>(</w:t>
      </w:r>
      <w:r w:rsidRPr="00974A61">
        <w:rPr>
          <w:rFonts w:cs="Arial"/>
          <w:sz w:val="16"/>
          <w:szCs w:val="16"/>
          <w:u w:val="single"/>
          <w:rtl/>
        </w:rPr>
        <w:t>מהיום ולאחר מיתה</w:t>
      </w:r>
      <w:r w:rsidRPr="00974A61">
        <w:rPr>
          <w:rFonts w:cs="Arial" w:hint="cs"/>
          <w:sz w:val="16"/>
          <w:szCs w:val="16"/>
          <w:u w:val="single"/>
          <w:rtl/>
        </w:rPr>
        <w:t>)</w:t>
      </w:r>
      <w:r w:rsidRPr="00974A61">
        <w:rPr>
          <w:rFonts w:cs="Arial"/>
          <w:u w:val="single"/>
          <w:rtl/>
        </w:rPr>
        <w:t xml:space="preserve"> ליקח מכל נכסיו כאחד מבניו </w:t>
      </w:r>
      <w:r w:rsidRPr="00974A61">
        <w:rPr>
          <w:rFonts w:cs="Arial" w:hint="cs"/>
          <w:u w:val="single"/>
          <w:rtl/>
        </w:rPr>
        <w:t xml:space="preserve">- </w:t>
      </w:r>
      <w:r>
        <w:rPr>
          <w:rFonts w:cs="Arial" w:hint="cs"/>
          <w:u w:val="single"/>
          <w:rtl/>
        </w:rPr>
        <w:t>האם</w:t>
      </w:r>
      <w:r w:rsidRPr="00974A61">
        <w:rPr>
          <w:rFonts w:cs="Arial"/>
          <w:u w:val="single"/>
          <w:rtl/>
        </w:rPr>
        <w:t xml:space="preserve"> כתובת בנין דכרין נגבית</w:t>
      </w:r>
      <w:r>
        <w:rPr>
          <w:rFonts w:cs="Arial" w:hint="cs"/>
          <w:u w:val="single"/>
          <w:rtl/>
        </w:rPr>
        <w:t xml:space="preserve"> ממתנה זו</w:t>
      </w:r>
      <w:r w:rsidRPr="00707E37">
        <w:rPr>
          <w:rFonts w:cs="Arial" w:hint="cs"/>
          <w:u w:val="single"/>
          <w:rtl/>
        </w:rPr>
        <w:t>:</w:t>
      </w:r>
      <w:r w:rsidRPr="00707E37">
        <w:rPr>
          <w:rFonts w:cs="Arial"/>
          <w:sz w:val="16"/>
          <w:szCs w:val="16"/>
          <w:rtl/>
        </w:rPr>
        <w:t xml:space="preserve"> </w:t>
      </w:r>
      <w:r>
        <w:rPr>
          <w:rFonts w:cs="Arial" w:hint="cs"/>
          <w:sz w:val="16"/>
          <w:szCs w:val="16"/>
          <w:rtl/>
        </w:rPr>
        <w:t xml:space="preserve"> </w:t>
      </w:r>
      <w:r w:rsidRPr="00707E37">
        <w:rPr>
          <w:rFonts w:cs="Arial"/>
          <w:sz w:val="16"/>
          <w:szCs w:val="16"/>
          <w:rtl/>
        </w:rPr>
        <w:t>(</w:t>
      </w:r>
      <w:r w:rsidRPr="00707E37">
        <w:rPr>
          <w:rFonts w:cs="Arial" w:hint="cs"/>
          <w:sz w:val="16"/>
          <w:szCs w:val="16"/>
          <w:rtl/>
        </w:rPr>
        <w:t xml:space="preserve">דרכ"מ </w:t>
      </w:r>
      <w:r>
        <w:rPr>
          <w:rFonts w:cs="Arial" w:hint="cs"/>
          <w:sz w:val="16"/>
          <w:szCs w:val="16"/>
          <w:rtl/>
        </w:rPr>
        <w:t>אות א</w:t>
      </w:r>
      <w:r w:rsidRPr="00707E37">
        <w:rPr>
          <w:rFonts w:cs="Arial"/>
          <w:sz w:val="16"/>
          <w:szCs w:val="16"/>
          <w:rtl/>
        </w:rPr>
        <w:t>)</w:t>
      </w:r>
      <w:r w:rsidRPr="00707E37">
        <w:rPr>
          <w:rFonts w:cs="Arial"/>
          <w:rtl/>
        </w:rPr>
        <w:t xml:space="preserve"> </w:t>
      </w:r>
    </w:p>
    <w:p w14:paraId="73888E5E" w14:textId="77777777" w:rsidR="00392DBB" w:rsidRPr="00922AE5" w:rsidRDefault="00392DBB" w:rsidP="009000E3">
      <w:pPr>
        <w:pStyle w:val="ab"/>
        <w:numPr>
          <w:ilvl w:val="0"/>
          <w:numId w:val="63"/>
        </w:numPr>
      </w:pPr>
      <w:r w:rsidRPr="008A1F1E">
        <w:rPr>
          <w:rFonts w:cs="Arial"/>
          <w:rtl/>
        </w:rPr>
        <w:t xml:space="preserve">מרדכי </w:t>
      </w:r>
      <w:r w:rsidRPr="00A030DB">
        <w:rPr>
          <w:rFonts w:cs="Arial" w:hint="cs"/>
          <w:sz w:val="16"/>
          <w:szCs w:val="16"/>
          <w:rtl/>
        </w:rPr>
        <w:t>(</w:t>
      </w:r>
      <w:r w:rsidRPr="00A030DB">
        <w:rPr>
          <w:rFonts w:cs="Arial"/>
          <w:sz w:val="16"/>
          <w:szCs w:val="16"/>
          <w:rtl/>
        </w:rPr>
        <w:t>ס</w:t>
      </w:r>
      <w:r w:rsidRPr="00A030DB">
        <w:rPr>
          <w:rFonts w:cs="Arial" w:hint="cs"/>
          <w:sz w:val="16"/>
          <w:szCs w:val="16"/>
          <w:rtl/>
        </w:rPr>
        <w:t>"פ</w:t>
      </w:r>
      <w:r w:rsidRPr="00A030DB">
        <w:rPr>
          <w:rFonts w:cs="Arial"/>
          <w:sz w:val="16"/>
          <w:szCs w:val="16"/>
          <w:rtl/>
        </w:rPr>
        <w:t xml:space="preserve"> יש נוחלין ב"ב סי' תקצט)</w:t>
      </w:r>
      <w:r>
        <w:rPr>
          <w:rFonts w:cs="Arial" w:hint="cs"/>
          <w:rtl/>
        </w:rPr>
        <w:t>-</w:t>
      </w:r>
      <w:r w:rsidRPr="008A1F1E">
        <w:rPr>
          <w:rFonts w:cs="Arial"/>
          <w:rtl/>
        </w:rPr>
        <w:t xml:space="preserve"> אחד כתב לחתנו ליקח מכל נכסיו כאחד מבניו</w:t>
      </w:r>
      <w:r>
        <w:rPr>
          <w:rFonts w:cs="Arial" w:hint="cs"/>
          <w:rtl/>
        </w:rPr>
        <w:t>.</w:t>
      </w:r>
      <w:r w:rsidRPr="008A1F1E">
        <w:rPr>
          <w:rFonts w:cs="Arial"/>
          <w:rtl/>
        </w:rPr>
        <w:t xml:space="preserve"> ושטר מתנה זו כתב בו מהיום ולאחר מיתה </w:t>
      </w:r>
      <w:r>
        <w:rPr>
          <w:rFonts w:cs="Arial" w:hint="cs"/>
          <w:rtl/>
        </w:rPr>
        <w:t xml:space="preserve">- </w:t>
      </w:r>
      <w:r w:rsidRPr="008A1F1E">
        <w:rPr>
          <w:rFonts w:cs="Arial"/>
          <w:rtl/>
        </w:rPr>
        <w:t>הרי הוא כמתנת בריא</w:t>
      </w:r>
      <w:r>
        <w:rPr>
          <w:rStyle w:val="a7"/>
          <w:rFonts w:cs="Arial"/>
          <w:rtl/>
        </w:rPr>
        <w:footnoteReference w:id="2449"/>
      </w:r>
      <w:r w:rsidRPr="008A1F1E">
        <w:rPr>
          <w:rFonts w:cs="Arial"/>
          <w:rtl/>
        </w:rPr>
        <w:t xml:space="preserve"> וזכה בגוף מהיום ובפירות לאחר מיתה</w:t>
      </w:r>
      <w:r>
        <w:rPr>
          <w:rFonts w:cs="Arial" w:hint="cs"/>
          <w:rtl/>
        </w:rPr>
        <w:t>.</w:t>
      </w:r>
      <w:r w:rsidRPr="008A1F1E">
        <w:rPr>
          <w:rFonts w:cs="Arial"/>
          <w:rtl/>
        </w:rPr>
        <w:t xml:space="preserve"> ואין כתובת בנין דכרין נגבית </w:t>
      </w:r>
      <w:r w:rsidRPr="008A1F1E">
        <w:rPr>
          <w:rFonts w:cs="Arial"/>
          <w:rtl/>
        </w:rPr>
        <w:lastRenderedPageBreak/>
        <w:t>ממתנה זו</w:t>
      </w:r>
      <w:r>
        <w:rPr>
          <w:rFonts w:cs="Arial" w:hint="cs"/>
          <w:rtl/>
        </w:rPr>
        <w:t>,</w:t>
      </w:r>
      <w:r w:rsidRPr="008A1F1E">
        <w:rPr>
          <w:rFonts w:cs="Arial"/>
          <w:rtl/>
        </w:rPr>
        <w:t xml:space="preserve"> דהא כתובת בנין דכרין אינה אלא ירושה</w:t>
      </w:r>
      <w:r>
        <w:rPr>
          <w:rFonts w:cs="Arial" w:hint="cs"/>
          <w:rtl/>
        </w:rPr>
        <w:t>,</w:t>
      </w:r>
      <w:r w:rsidRPr="008A1F1E">
        <w:rPr>
          <w:rFonts w:cs="Arial"/>
          <w:rtl/>
        </w:rPr>
        <w:t xml:space="preserve"> וזו היא מתנה ומפקעת אותה</w:t>
      </w:r>
      <w:r>
        <w:rPr>
          <w:rFonts w:cs="Arial" w:hint="cs"/>
          <w:rtl/>
        </w:rPr>
        <w:t>.</w:t>
      </w:r>
      <w:r w:rsidRPr="008A1F1E">
        <w:rPr>
          <w:rFonts w:cs="Arial"/>
          <w:rtl/>
        </w:rPr>
        <w:t xml:space="preserve"> ועוד דמתנה זו חיילא מהיום ותו לא פקעה</w:t>
      </w:r>
      <w:r>
        <w:rPr>
          <w:rFonts w:cs="Arial" w:hint="cs"/>
          <w:rtl/>
        </w:rPr>
        <w:t>,</w:t>
      </w:r>
      <w:r w:rsidRPr="008A1F1E">
        <w:rPr>
          <w:rFonts w:cs="Arial"/>
          <w:rtl/>
        </w:rPr>
        <w:t xml:space="preserve"> ואע</w:t>
      </w:r>
      <w:r>
        <w:rPr>
          <w:rFonts w:cs="Arial" w:hint="cs"/>
          <w:rtl/>
        </w:rPr>
        <w:t>"</w:t>
      </w:r>
      <w:r w:rsidRPr="008A1F1E">
        <w:rPr>
          <w:rFonts w:cs="Arial"/>
          <w:rtl/>
        </w:rPr>
        <w:t>ג דפירות לא גביא מהיום מכל מקום לא גביא כתובת בנין דכרין מינייהו ולא מן השבח</w:t>
      </w:r>
      <w:r>
        <w:rPr>
          <w:rFonts w:cs="Arial" w:hint="cs"/>
          <w:rtl/>
        </w:rPr>
        <w:t>,</w:t>
      </w:r>
      <w:r w:rsidRPr="008A1F1E">
        <w:rPr>
          <w:rFonts w:cs="Arial"/>
          <w:rtl/>
        </w:rPr>
        <w:t xml:space="preserve"> קל וחומר מכתובה דאורייתא דלא גביא מינייהו</w:t>
      </w:r>
      <w:r>
        <w:rPr>
          <w:rStyle w:val="a7"/>
          <w:rFonts w:cs="Arial"/>
          <w:rtl/>
        </w:rPr>
        <w:footnoteReference w:id="2450"/>
      </w:r>
      <w:r>
        <w:rPr>
          <w:rFonts w:cs="Arial" w:hint="cs"/>
          <w:rtl/>
        </w:rPr>
        <w:t>.</w:t>
      </w:r>
    </w:p>
    <w:p w14:paraId="58CA9259"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E5D573E" w14:textId="77777777" w:rsidR="00392DBB" w:rsidRDefault="00392DBB" w:rsidP="00392DBB">
      <w:pPr>
        <w:rPr>
          <w:rtl/>
        </w:rPr>
      </w:pPr>
      <w:r>
        <w:rPr>
          <w:rFonts w:cs="Arial"/>
          <w:rtl/>
        </w:rPr>
        <w:t xml:space="preserve">כל היורש כתובת אמו שמתה בחיי אביו, אינו טורף מנכסים משועבדים אלא מבני חורין, ככל היורשין. </w:t>
      </w:r>
      <w:r w:rsidRPr="00974A61">
        <w:rPr>
          <w:rFonts w:cs="Arial" w:hint="cs"/>
          <w:sz w:val="18"/>
          <w:szCs w:val="18"/>
          <w:rtl/>
        </w:rPr>
        <w:t xml:space="preserve">[הגה] </w:t>
      </w:r>
      <w:r w:rsidRPr="00974A61">
        <w:rPr>
          <w:rFonts w:cs="Arial"/>
          <w:sz w:val="18"/>
          <w:szCs w:val="18"/>
          <w:rtl/>
        </w:rPr>
        <w:t>ועיין למטה סוף הסימן.</w:t>
      </w:r>
      <w:r>
        <w:rPr>
          <w:rFonts w:cs="Arial"/>
          <w:rtl/>
        </w:rPr>
        <w:t xml:space="preserve"> </w:t>
      </w:r>
    </w:p>
    <w:p w14:paraId="0DE8C97B" w14:textId="77777777" w:rsidR="00392DBB" w:rsidRDefault="00392DBB" w:rsidP="00392DBB">
      <w:pPr>
        <w:rPr>
          <w:rtl/>
        </w:rPr>
      </w:pPr>
    </w:p>
    <w:p w14:paraId="36863326" w14:textId="77777777" w:rsidR="00392DBB" w:rsidRDefault="00392DBB" w:rsidP="000F64D0">
      <w:pPr>
        <w:pStyle w:val="2"/>
        <w:rPr>
          <w:rtl/>
        </w:rPr>
      </w:pPr>
      <w:r>
        <w:rPr>
          <w:rtl/>
        </w:rPr>
        <w:t>סעיף יד</w:t>
      </w:r>
      <w:r>
        <w:rPr>
          <w:rFonts w:hint="cs"/>
          <w:rtl/>
        </w:rPr>
        <w:t>: גביית כתובת בנין דכרין ממטלטלים.</w:t>
      </w:r>
    </w:p>
    <w:p w14:paraId="55650CE0" w14:textId="77777777" w:rsidR="00392DBB" w:rsidRDefault="00392DBB" w:rsidP="00392DBB">
      <w:pPr>
        <w:rPr>
          <w:rFonts w:cs="Arial"/>
          <w:rtl/>
        </w:rPr>
      </w:pPr>
      <w:r w:rsidRPr="003E4BB7">
        <w:rPr>
          <w:rFonts w:cs="Arial" w:hint="cs"/>
          <w:b/>
          <w:bCs/>
          <w:rtl/>
        </w:rPr>
        <w:t>כתובות צא</w:t>
      </w:r>
      <w:r>
        <w:rPr>
          <w:rStyle w:val="a7"/>
          <w:rFonts w:cs="Arial"/>
          <w:b/>
          <w:bCs/>
          <w:rtl/>
        </w:rPr>
        <w:footnoteReference w:id="2451"/>
      </w:r>
      <w:r w:rsidRPr="003E4BB7">
        <w:rPr>
          <w:rFonts w:cs="Arial" w:hint="cs"/>
          <w:b/>
          <w:bCs/>
          <w:rtl/>
        </w:rPr>
        <w:t xml:space="preserve"> </w:t>
      </w:r>
      <w:r>
        <w:rPr>
          <w:rFonts w:cs="Arial" w:hint="cs"/>
          <w:b/>
          <w:bCs/>
          <w:sz w:val="16"/>
          <w:szCs w:val="16"/>
          <w:rtl/>
        </w:rPr>
        <w:t xml:space="preserve">(פ' מי שהיה נשוי) </w:t>
      </w:r>
      <w:r w:rsidRPr="003E4BB7">
        <w:rPr>
          <w:rFonts w:cs="Arial" w:hint="cs"/>
          <w:b/>
          <w:bCs/>
          <w:rtl/>
        </w:rPr>
        <w:t>ע"א:</w:t>
      </w:r>
      <w:r>
        <w:rPr>
          <w:rFonts w:cs="Arial" w:hint="cs"/>
          <w:rtl/>
        </w:rPr>
        <w:t xml:space="preserve"> </w:t>
      </w:r>
      <w:r w:rsidRPr="003E4BB7">
        <w:rPr>
          <w:rFonts w:cs="Arial"/>
          <w:u w:val="double"/>
          <w:rtl/>
        </w:rPr>
        <w:t>מתני'</w:t>
      </w:r>
      <w:r>
        <w:rPr>
          <w:rFonts w:cs="Arial" w:hint="cs"/>
          <w:rtl/>
        </w:rPr>
        <w:t>:</w:t>
      </w:r>
      <w:r w:rsidRPr="003E4BB7">
        <w:rPr>
          <w:rFonts w:cs="Arial"/>
          <w:rtl/>
        </w:rPr>
        <w:t xml:space="preserve"> מי שהיה נשוי שתי נשים ומתו, ואחר כך מת הוא, ויתומים מבקשין כתובת אמן</w:t>
      </w:r>
      <w:r>
        <w:rPr>
          <w:rStyle w:val="a7"/>
          <w:rFonts w:cs="Arial"/>
          <w:rtl/>
        </w:rPr>
        <w:footnoteReference w:id="2452"/>
      </w:r>
      <w:r w:rsidRPr="003E4BB7">
        <w:rPr>
          <w:rFonts w:cs="Arial"/>
          <w:rtl/>
        </w:rPr>
        <w:t xml:space="preserve"> ואין שם אלא שתי כתובות - חולקין בשוה</w:t>
      </w:r>
      <w:r>
        <w:rPr>
          <w:rStyle w:val="a7"/>
          <w:rFonts w:cs="Arial"/>
          <w:rtl/>
        </w:rPr>
        <w:footnoteReference w:id="2453"/>
      </w:r>
      <w:r>
        <w:rPr>
          <w:rFonts w:cs="Arial" w:hint="cs"/>
          <w:rtl/>
        </w:rPr>
        <w:t>.</w:t>
      </w:r>
      <w:r w:rsidRPr="003E4BB7">
        <w:rPr>
          <w:rFonts w:cs="Arial"/>
          <w:rtl/>
        </w:rPr>
        <w:t xml:space="preserve"> היה שם מותר דינר</w:t>
      </w:r>
      <w:r>
        <w:rPr>
          <w:rStyle w:val="a7"/>
          <w:rFonts w:cs="Arial"/>
          <w:rtl/>
        </w:rPr>
        <w:footnoteReference w:id="2454"/>
      </w:r>
      <w:r w:rsidRPr="003E4BB7">
        <w:rPr>
          <w:rFonts w:cs="Arial"/>
          <w:rtl/>
        </w:rPr>
        <w:t xml:space="preserve"> - אלו נוטלים כתובת אמן, ואלו נוטלים כתובת אמן.</w:t>
      </w:r>
      <w:r w:rsidRPr="00DC2E30">
        <w:rPr>
          <w:rtl/>
        </w:rPr>
        <w:t xml:space="preserve"> </w:t>
      </w:r>
      <w:r w:rsidRPr="00DC2E30">
        <w:rPr>
          <w:rFonts w:cs="Arial"/>
          <w:rtl/>
        </w:rPr>
        <w:t>אם אמרו יתומים</w:t>
      </w:r>
      <w:r>
        <w:rPr>
          <w:rStyle w:val="a7"/>
          <w:rFonts w:cs="Arial"/>
          <w:rtl/>
        </w:rPr>
        <w:footnoteReference w:id="2455"/>
      </w:r>
      <w:r w:rsidRPr="00DC2E30">
        <w:rPr>
          <w:rFonts w:cs="Arial"/>
          <w:rtl/>
        </w:rPr>
        <w:t xml:space="preserve"> אנחנו מעלים על נכסי אבינו</w:t>
      </w:r>
      <w:r>
        <w:rPr>
          <w:rStyle w:val="a7"/>
          <w:rFonts w:cs="Arial"/>
          <w:rtl/>
        </w:rPr>
        <w:footnoteReference w:id="2456"/>
      </w:r>
      <w:r w:rsidRPr="00DC2E30">
        <w:rPr>
          <w:rFonts w:cs="Arial"/>
          <w:rtl/>
        </w:rPr>
        <w:t xml:space="preserve"> יפה דינר, כדי שיטלו כתובת אמן - אין שומעין להן, אלא שמין את הנכסים בבית דין. היו שם נכסים בראוי</w:t>
      </w:r>
      <w:r>
        <w:rPr>
          <w:rStyle w:val="a7"/>
          <w:rFonts w:cs="Arial"/>
          <w:rtl/>
        </w:rPr>
        <w:footnoteReference w:id="2457"/>
      </w:r>
      <w:r w:rsidRPr="00DC2E30">
        <w:rPr>
          <w:rFonts w:cs="Arial"/>
          <w:rtl/>
        </w:rPr>
        <w:t xml:space="preserve"> - אינן כבמוחזק</w:t>
      </w:r>
      <w:r>
        <w:rPr>
          <w:rStyle w:val="a7"/>
          <w:rFonts w:cs="Arial"/>
          <w:rtl/>
        </w:rPr>
        <w:footnoteReference w:id="2458"/>
      </w:r>
      <w:r w:rsidRPr="00DC2E30">
        <w:rPr>
          <w:rFonts w:cs="Arial"/>
          <w:rtl/>
        </w:rPr>
        <w:t xml:space="preserve">. </w:t>
      </w:r>
      <w:r w:rsidRPr="00DC2E30">
        <w:rPr>
          <w:rFonts w:cs="Arial"/>
          <w:u w:val="single"/>
          <w:rtl/>
        </w:rPr>
        <w:t>ר"ש אומר</w:t>
      </w:r>
      <w:r w:rsidRPr="00DC2E30">
        <w:rPr>
          <w:rFonts w:cs="Arial"/>
          <w:rtl/>
        </w:rPr>
        <w:t>: אפי' יש שם נכסים שאין להם אחריות - אינן כלום, עד שיהיו שם נכסים שיש להן אחריות יותר על שתי הכתובות דינר.</w:t>
      </w:r>
    </w:p>
    <w:p w14:paraId="20ABBF93" w14:textId="77777777" w:rsidR="00392DBB" w:rsidRPr="00387D29" w:rsidRDefault="00392DBB" w:rsidP="00392DBB">
      <w:pPr>
        <w:rPr>
          <w:u w:val="single"/>
          <w:rtl/>
        </w:rPr>
      </w:pPr>
      <w:r w:rsidRPr="00387D29">
        <w:rPr>
          <w:rFonts w:hint="cs"/>
          <w:u w:val="single"/>
          <w:rtl/>
        </w:rPr>
        <w:t>האם כתובת בנין דכרין נגבית ממטלטלים:</w:t>
      </w:r>
    </w:p>
    <w:p w14:paraId="77E127D7" w14:textId="38789C7D" w:rsidR="00392DBB" w:rsidRPr="00631525" w:rsidRDefault="00392DBB" w:rsidP="009000E3">
      <w:pPr>
        <w:pStyle w:val="ab"/>
        <w:numPr>
          <w:ilvl w:val="0"/>
          <w:numId w:val="63"/>
        </w:numPr>
      </w:pPr>
      <w:r>
        <w:rPr>
          <w:rFonts w:cs="Arial"/>
          <w:rtl/>
        </w:rPr>
        <w:t>רא"ש</w:t>
      </w:r>
      <w:r>
        <w:rPr>
          <w:rStyle w:val="a7"/>
          <w:rFonts w:cs="Arial"/>
          <w:rtl/>
        </w:rPr>
        <w:footnoteReference w:id="2459"/>
      </w:r>
      <w:r>
        <w:rPr>
          <w:rFonts w:cs="Arial"/>
          <w:rtl/>
        </w:rPr>
        <w:t xml:space="preserve"> </w:t>
      </w:r>
      <w:r w:rsidRPr="000804DB">
        <w:rPr>
          <w:rFonts w:cs="Arial"/>
          <w:sz w:val="16"/>
          <w:szCs w:val="16"/>
          <w:rtl/>
        </w:rPr>
        <w:t xml:space="preserve">(סי' ב) </w:t>
      </w:r>
      <w:r>
        <w:rPr>
          <w:rFonts w:cs="Arial" w:hint="cs"/>
          <w:rtl/>
        </w:rPr>
        <w:t xml:space="preserve">וטור- </w:t>
      </w:r>
      <w:r w:rsidRPr="008A1F1E">
        <w:rPr>
          <w:rFonts w:cs="Arial"/>
          <w:rtl/>
        </w:rPr>
        <w:t>ודוקא במקרקעי שיש שם קרקע כדי שתי הכתובות</w:t>
      </w:r>
      <w:r>
        <w:rPr>
          <w:rFonts w:cs="Arial" w:hint="cs"/>
          <w:rtl/>
        </w:rPr>
        <w:t>,</w:t>
      </w:r>
      <w:r w:rsidRPr="008A1F1E">
        <w:rPr>
          <w:rFonts w:cs="Arial"/>
          <w:rtl/>
        </w:rPr>
        <w:t xml:space="preserve"> אבל אם אין שם אלא מטלטלי </w:t>
      </w:r>
      <w:r>
        <w:rPr>
          <w:rFonts w:cs="Arial" w:hint="cs"/>
          <w:rtl/>
        </w:rPr>
        <w:t xml:space="preserve">- </w:t>
      </w:r>
      <w:r w:rsidRPr="008A1F1E">
        <w:rPr>
          <w:rFonts w:cs="Arial"/>
          <w:rtl/>
        </w:rPr>
        <w:t>לא</w:t>
      </w:r>
      <w:r>
        <w:rPr>
          <w:rFonts w:cs="Arial" w:hint="cs"/>
          <w:rtl/>
        </w:rPr>
        <w:t>.</w:t>
      </w:r>
      <w:r w:rsidRPr="008A1F1E">
        <w:rPr>
          <w:rFonts w:cs="Arial"/>
          <w:rtl/>
        </w:rPr>
        <w:t xml:space="preserve"> </w:t>
      </w:r>
      <w:r w:rsidRPr="008E7F76">
        <w:rPr>
          <w:rFonts w:cs="Arial"/>
          <w:rtl/>
        </w:rPr>
        <w:t>וצריך שיהיה שם מותר על שתי כתובות כל שהוא אפילו דינר</w:t>
      </w:r>
      <w:r w:rsidRPr="008E7F76">
        <w:rPr>
          <w:rFonts w:cs="Arial" w:hint="cs"/>
          <w:rtl/>
        </w:rPr>
        <w:t>,</w:t>
      </w:r>
      <w:r w:rsidRPr="008E7F76">
        <w:rPr>
          <w:rFonts w:cs="Arial"/>
          <w:rtl/>
        </w:rPr>
        <w:t xml:space="preserve"> ומיהו אפילו אין המותר אלא מטלטלי</w:t>
      </w:r>
      <w:r w:rsidRPr="008E7F76">
        <w:rPr>
          <w:rFonts w:cs="Arial" w:hint="cs"/>
          <w:rtl/>
        </w:rPr>
        <w:t xml:space="preserve"> -</w:t>
      </w:r>
      <w:r w:rsidRPr="008E7F76">
        <w:rPr>
          <w:rFonts w:cs="Arial"/>
          <w:rtl/>
        </w:rPr>
        <w:t xml:space="preserve"> שפיר דמי</w:t>
      </w:r>
      <w:r>
        <w:rPr>
          <w:rFonts w:cs="Arial" w:hint="cs"/>
          <w:sz w:val="16"/>
          <w:szCs w:val="16"/>
          <w:rtl/>
        </w:rPr>
        <w:t xml:space="preserve"> (ל' הטור)</w:t>
      </w:r>
      <w:r w:rsidRPr="008E7F76">
        <w:rPr>
          <w:rFonts w:cs="Arial" w:hint="cs"/>
          <w:rtl/>
        </w:rPr>
        <w:t>.</w:t>
      </w:r>
      <w:r w:rsidR="00F93266" w:rsidRPr="00F93266">
        <w:rPr>
          <w:rFonts w:hint="cs"/>
          <w:color w:val="E36C0A" w:themeColor="accent6" w:themeShade="BF"/>
          <w:rtl/>
        </w:rPr>
        <w:t xml:space="preserve"> </w:t>
      </w:r>
      <w:r w:rsidR="00F93266" w:rsidRPr="00707460">
        <w:rPr>
          <w:rFonts w:hint="cs"/>
          <w:color w:val="E36C0A" w:themeColor="accent6" w:themeShade="BF"/>
          <w:rtl/>
        </w:rPr>
        <w:t>(וכ"</w:t>
      </w:r>
      <w:r w:rsidR="00F93266">
        <w:rPr>
          <w:rFonts w:hint="cs"/>
          <w:color w:val="E36C0A" w:themeColor="accent6" w:themeShade="BF"/>
          <w:rtl/>
        </w:rPr>
        <w:t>ס</w:t>
      </w:r>
      <w:r w:rsidR="00F93266" w:rsidRPr="00707460">
        <w:rPr>
          <w:rFonts w:hint="cs"/>
          <w:color w:val="E36C0A" w:themeColor="accent6" w:themeShade="BF"/>
          <w:rtl/>
        </w:rPr>
        <w:t xml:space="preserve"> בשו"ע)</w:t>
      </w:r>
    </w:p>
    <w:p w14:paraId="13C26136" w14:textId="77777777" w:rsidR="00392DBB" w:rsidRPr="00631525" w:rsidRDefault="00392DBB" w:rsidP="009000E3">
      <w:pPr>
        <w:pStyle w:val="ab"/>
        <w:numPr>
          <w:ilvl w:val="0"/>
          <w:numId w:val="63"/>
        </w:numPr>
      </w:pPr>
      <w:r w:rsidRPr="00631525">
        <w:rPr>
          <w:rFonts w:cs="Arial" w:hint="cs"/>
          <w:rtl/>
        </w:rPr>
        <w:t xml:space="preserve">רי"ף </w:t>
      </w:r>
      <w:r w:rsidRPr="00631525">
        <w:rPr>
          <w:rFonts w:cs="Arial" w:hint="cs"/>
          <w:sz w:val="16"/>
          <w:szCs w:val="16"/>
          <w:rtl/>
        </w:rPr>
        <w:t>([מט:] להב' הב"י)</w:t>
      </w:r>
      <w:r w:rsidRPr="00631525">
        <w:rPr>
          <w:rFonts w:cs="Arial" w:hint="cs"/>
          <w:rtl/>
        </w:rPr>
        <w:t xml:space="preserve">- </w:t>
      </w:r>
      <w:r w:rsidRPr="00631525">
        <w:rPr>
          <w:rStyle w:val="a7"/>
          <w:rFonts w:cs="Arial"/>
          <w:rtl/>
        </w:rPr>
        <w:footnoteReference w:id="2460"/>
      </w:r>
      <w:r w:rsidRPr="00631525">
        <w:rPr>
          <w:rFonts w:cs="Arial"/>
          <w:rtl/>
        </w:rPr>
        <w:t>במטלטלי נמי איתא אע</w:t>
      </w:r>
      <w:r w:rsidRPr="00631525">
        <w:rPr>
          <w:rFonts w:cs="Arial" w:hint="cs"/>
          <w:rtl/>
        </w:rPr>
        <w:t>"</w:t>
      </w:r>
      <w:r w:rsidRPr="00631525">
        <w:rPr>
          <w:rFonts w:cs="Arial"/>
          <w:rtl/>
        </w:rPr>
        <w:t>ג דכתובה ליתא במטלטלי</w:t>
      </w:r>
      <w:r w:rsidRPr="00631525">
        <w:rPr>
          <w:rFonts w:cs="Arial" w:hint="cs"/>
          <w:rtl/>
        </w:rPr>
        <w:t>.</w:t>
      </w:r>
      <w:r w:rsidRPr="00631525">
        <w:rPr>
          <w:rFonts w:cs="Arial"/>
          <w:rtl/>
        </w:rPr>
        <w:t xml:space="preserve"> ואת"ל דס"ל דלרבנן נמי ליתא אלא במקרקעי מכל מקום למאי דתקינו רבנן בתנאי דכתובה גביא ממטלטלי כתובת בנין דכרין נמי איתא במטלטלי.</w:t>
      </w:r>
    </w:p>
    <w:p w14:paraId="23182312" w14:textId="77777777" w:rsidR="00392DBB" w:rsidRDefault="00392DBB" w:rsidP="009000E3">
      <w:pPr>
        <w:pStyle w:val="ab"/>
        <w:numPr>
          <w:ilvl w:val="0"/>
          <w:numId w:val="63"/>
        </w:numPr>
      </w:pPr>
      <w:r w:rsidRPr="00631525">
        <w:rPr>
          <w:rFonts w:cs="Arial"/>
          <w:rtl/>
        </w:rPr>
        <w:t xml:space="preserve">רמב"ם </w:t>
      </w:r>
      <w:r w:rsidRPr="00631525">
        <w:rPr>
          <w:rFonts w:cs="Arial" w:hint="cs"/>
          <w:sz w:val="16"/>
          <w:szCs w:val="16"/>
          <w:rtl/>
        </w:rPr>
        <w:t>(פט</w:t>
      </w:r>
      <w:r>
        <w:rPr>
          <w:rFonts w:cs="Arial" w:hint="cs"/>
          <w:sz w:val="16"/>
          <w:szCs w:val="16"/>
          <w:rtl/>
        </w:rPr>
        <w:t>"ז</w:t>
      </w:r>
      <w:r w:rsidRPr="00631525">
        <w:rPr>
          <w:rFonts w:cs="Arial" w:hint="cs"/>
          <w:sz w:val="16"/>
          <w:szCs w:val="16"/>
          <w:rtl/>
        </w:rPr>
        <w:t xml:space="preserve"> מאישות ה"</w:t>
      </w:r>
      <w:r>
        <w:rPr>
          <w:rFonts w:cs="Arial" w:hint="cs"/>
          <w:sz w:val="16"/>
          <w:szCs w:val="16"/>
          <w:rtl/>
        </w:rPr>
        <w:t>ז</w:t>
      </w:r>
      <w:r w:rsidRPr="00631525">
        <w:rPr>
          <w:rFonts w:cs="Arial" w:hint="cs"/>
          <w:sz w:val="16"/>
          <w:szCs w:val="16"/>
          <w:rtl/>
        </w:rPr>
        <w:t>)</w:t>
      </w:r>
      <w:r>
        <w:rPr>
          <w:rFonts w:cs="Arial" w:hint="cs"/>
          <w:rtl/>
        </w:rPr>
        <w:t xml:space="preserve">- </w:t>
      </w:r>
      <w:r>
        <w:rPr>
          <w:rStyle w:val="a7"/>
          <w:rFonts w:cs="Arial"/>
          <w:rtl/>
        </w:rPr>
        <w:footnoteReference w:id="2461"/>
      </w:r>
      <w:r w:rsidRPr="00631525">
        <w:rPr>
          <w:rFonts w:cs="Arial"/>
          <w:rtl/>
        </w:rPr>
        <w:t>תקנו הגאונים בכל הישיבות שתהיה האשה גובה כתובתה אחרי מות בעלה אף מן המטלטלין</w:t>
      </w:r>
      <w:r>
        <w:rPr>
          <w:rFonts w:cs="Arial" w:hint="cs"/>
          <w:rtl/>
        </w:rPr>
        <w:t>,</w:t>
      </w:r>
      <w:r w:rsidRPr="00631525">
        <w:rPr>
          <w:rFonts w:cs="Arial"/>
          <w:rtl/>
        </w:rPr>
        <w:t xml:space="preserve"> ופשטה תקנה זו ברוב ישראל</w:t>
      </w:r>
      <w:r>
        <w:rPr>
          <w:rFonts w:cs="Arial" w:hint="cs"/>
          <w:rtl/>
        </w:rPr>
        <w:t>.</w:t>
      </w:r>
      <w:r w:rsidRPr="00631525">
        <w:rPr>
          <w:rFonts w:cs="Arial"/>
          <w:rtl/>
        </w:rPr>
        <w:t xml:space="preserve"> וכן שאר תנאי כתובה כולן ככתובה הן וישנן במטלטלין כקרקע חוץ מכתובת בנין דכרין שלא מצאנו מנהג ירושתן פשוט בכל הישיבות</w:t>
      </w:r>
      <w:r>
        <w:rPr>
          <w:rFonts w:cs="Arial" w:hint="cs"/>
          <w:rtl/>
        </w:rPr>
        <w:t>,</w:t>
      </w:r>
      <w:r w:rsidRPr="00631525">
        <w:rPr>
          <w:rFonts w:cs="Arial"/>
          <w:rtl/>
        </w:rPr>
        <w:t xml:space="preserve"> לפיכך אני אומר מעמידין אותה על דין התלמוד שאין יורשין כתובת אמן אלא מן הקרקע</w:t>
      </w:r>
      <w:r>
        <w:rPr>
          <w:rStyle w:val="a7"/>
          <w:rFonts w:cs="Arial"/>
          <w:rtl/>
        </w:rPr>
        <w:footnoteReference w:id="2462"/>
      </w:r>
      <w:r>
        <w:rPr>
          <w:rFonts w:cs="Arial" w:hint="cs"/>
          <w:rtl/>
        </w:rPr>
        <w:t>.</w:t>
      </w:r>
      <w:r w:rsidRPr="00631525">
        <w:rPr>
          <w:rFonts w:cs="Arial"/>
          <w:rtl/>
        </w:rPr>
        <w:t xml:space="preserve"> </w:t>
      </w:r>
    </w:p>
    <w:p w14:paraId="700623D5" w14:textId="39B019C2" w:rsidR="00392DBB" w:rsidRPr="00C2170A" w:rsidRDefault="00392DBB" w:rsidP="00392DBB">
      <w:pPr>
        <w:ind w:left="360"/>
        <w:rPr>
          <w:u w:val="dotted"/>
        </w:rPr>
      </w:pPr>
      <w:r w:rsidRPr="00C2170A">
        <w:rPr>
          <w:rFonts w:hint="cs"/>
          <w:u w:val="dotted"/>
          <w:rtl/>
        </w:rPr>
        <w:t xml:space="preserve">ומה הדין </w:t>
      </w:r>
      <w:r w:rsidR="00F93266">
        <w:rPr>
          <w:rFonts w:hint="cs"/>
          <w:u w:val="dotted"/>
          <w:rtl/>
        </w:rPr>
        <w:t xml:space="preserve">במקום </w:t>
      </w:r>
      <w:r w:rsidRPr="00C2170A">
        <w:rPr>
          <w:rFonts w:hint="cs"/>
          <w:u w:val="dotted"/>
          <w:rtl/>
        </w:rPr>
        <w:t xml:space="preserve">שכותבים </w:t>
      </w:r>
      <w:r w:rsidR="00F93266">
        <w:rPr>
          <w:rFonts w:hint="cs"/>
          <w:u w:val="dotted"/>
          <w:rtl/>
        </w:rPr>
        <w:t>ב</w:t>
      </w:r>
      <w:r w:rsidRPr="00C2170A">
        <w:rPr>
          <w:rFonts w:hint="cs"/>
          <w:u w:val="dotted"/>
          <w:rtl/>
        </w:rPr>
        <w:t>כתוב</w:t>
      </w:r>
      <w:r w:rsidR="00F93266">
        <w:rPr>
          <w:rFonts w:hint="cs"/>
          <w:u w:val="dotted"/>
          <w:rtl/>
        </w:rPr>
        <w:t>ה</w:t>
      </w:r>
      <w:r w:rsidRPr="00C2170A">
        <w:rPr>
          <w:rFonts w:hint="cs"/>
          <w:u w:val="dotted"/>
          <w:rtl/>
        </w:rPr>
        <w:t xml:space="preserve"> מטלטלי אגב מקרקעי:</w:t>
      </w:r>
    </w:p>
    <w:p w14:paraId="3699885B" w14:textId="3056E25A" w:rsidR="00392DBB" w:rsidRDefault="00392DBB" w:rsidP="009000E3">
      <w:pPr>
        <w:pStyle w:val="ab"/>
        <w:numPr>
          <w:ilvl w:val="0"/>
          <w:numId w:val="63"/>
        </w:numPr>
        <w:rPr>
          <w:rtl/>
        </w:rPr>
      </w:pPr>
      <w:r w:rsidRPr="00C2170A">
        <w:rPr>
          <w:rFonts w:cs="Arial" w:hint="cs"/>
          <w:rtl/>
        </w:rPr>
        <w:lastRenderedPageBreak/>
        <w:t xml:space="preserve">ריב"ש </w:t>
      </w:r>
      <w:r w:rsidRPr="00C2170A">
        <w:rPr>
          <w:rFonts w:cs="Arial" w:hint="cs"/>
          <w:sz w:val="16"/>
          <w:szCs w:val="16"/>
          <w:rtl/>
        </w:rPr>
        <w:t>(סי' קו)</w:t>
      </w:r>
      <w:r w:rsidRPr="00C2170A">
        <w:rPr>
          <w:rFonts w:cs="Arial" w:hint="cs"/>
          <w:rtl/>
        </w:rPr>
        <w:t xml:space="preserve">- </w:t>
      </w:r>
      <w:r>
        <w:rPr>
          <w:rStyle w:val="a7"/>
          <w:rFonts w:cs="Arial"/>
          <w:rtl/>
        </w:rPr>
        <w:footnoteReference w:id="2463"/>
      </w:r>
      <w:r w:rsidRPr="00C2170A">
        <w:rPr>
          <w:rFonts w:cs="Arial"/>
          <w:rtl/>
        </w:rPr>
        <w:t xml:space="preserve">נראה שעתה שכותבין בכל הכתובות מטלטלי אגב מקרקעי והיא נגבית מן המטלטלין מן הדין בזולת תקנת הגאונים </w:t>
      </w:r>
      <w:r w:rsidR="00F93266">
        <w:rPr>
          <w:rFonts w:cs="Arial" w:hint="cs"/>
          <w:rtl/>
        </w:rPr>
        <w:t xml:space="preserve">- </w:t>
      </w:r>
      <w:r w:rsidRPr="00C2170A">
        <w:rPr>
          <w:rFonts w:cs="Arial"/>
          <w:rtl/>
        </w:rPr>
        <w:t>גם כתובת בנין דכרין נגבית מן המטלטלין</w:t>
      </w:r>
      <w:r w:rsidR="00F93266">
        <w:rPr>
          <w:rFonts w:cs="Arial" w:hint="cs"/>
          <w:rtl/>
        </w:rPr>
        <w:t>,</w:t>
      </w:r>
      <w:r w:rsidRPr="00C2170A">
        <w:rPr>
          <w:rFonts w:cs="Arial"/>
          <w:rtl/>
        </w:rPr>
        <w:t xml:space="preserve"> דתנאי כתובה ככתובה</w:t>
      </w:r>
      <w:r w:rsidRPr="00C2170A">
        <w:rPr>
          <w:rFonts w:cs="Arial" w:hint="cs"/>
          <w:rtl/>
        </w:rPr>
        <w:t>.</w:t>
      </w:r>
      <w:r>
        <w:rPr>
          <w:rFonts w:hint="cs"/>
          <w:rtl/>
        </w:rPr>
        <w:t xml:space="preserve"> </w:t>
      </w:r>
      <w:r w:rsidRPr="00707460">
        <w:rPr>
          <w:rFonts w:hint="cs"/>
          <w:color w:val="E36C0A" w:themeColor="accent6" w:themeShade="BF"/>
          <w:rtl/>
        </w:rPr>
        <w:t>(וכ"פ בשו"ע</w:t>
      </w:r>
      <w:r w:rsidRPr="00707460">
        <w:rPr>
          <w:rFonts w:hint="cs"/>
          <w:color w:val="E36C0A" w:themeColor="accent6" w:themeShade="BF"/>
          <w:sz w:val="16"/>
          <w:szCs w:val="16"/>
          <w:rtl/>
        </w:rPr>
        <w:t xml:space="preserve"> </w:t>
      </w:r>
      <w:r>
        <w:rPr>
          <w:rFonts w:hint="cs"/>
          <w:sz w:val="16"/>
          <w:szCs w:val="16"/>
          <w:rtl/>
        </w:rPr>
        <w:t>[כאן ובסע' ג</w:t>
      </w:r>
      <w:r>
        <w:rPr>
          <w:rStyle w:val="a7"/>
          <w:rFonts w:cs="Arial"/>
          <w:rtl/>
        </w:rPr>
        <w:footnoteReference w:id="2464"/>
      </w:r>
      <w:r>
        <w:rPr>
          <w:rFonts w:hint="cs"/>
          <w:sz w:val="16"/>
          <w:szCs w:val="16"/>
          <w:rtl/>
        </w:rPr>
        <w:t>]</w:t>
      </w:r>
      <w:r w:rsidRPr="00707460">
        <w:rPr>
          <w:rFonts w:hint="cs"/>
          <w:color w:val="E36C0A" w:themeColor="accent6" w:themeShade="BF"/>
          <w:rtl/>
        </w:rPr>
        <w:t>)</w:t>
      </w:r>
    </w:p>
    <w:p w14:paraId="3B10ED24"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3664F01" w14:textId="77777777" w:rsidR="00392DBB" w:rsidRDefault="00392DBB" w:rsidP="00392DBB">
      <w:pPr>
        <w:rPr>
          <w:rtl/>
        </w:rPr>
      </w:pPr>
      <w:r>
        <w:rPr>
          <w:rFonts w:cs="Arial"/>
          <w:rtl/>
        </w:rPr>
        <w:t>י</w:t>
      </w:r>
      <w:r>
        <w:rPr>
          <w:rFonts w:cs="Arial" w:hint="cs"/>
          <w:rtl/>
        </w:rPr>
        <w:t xml:space="preserve">ש </w:t>
      </w:r>
      <w:r>
        <w:rPr>
          <w:rFonts w:cs="Arial"/>
          <w:rtl/>
        </w:rPr>
        <w:t>א</w:t>
      </w:r>
      <w:r>
        <w:rPr>
          <w:rFonts w:cs="Arial" w:hint="cs"/>
          <w:rtl/>
        </w:rPr>
        <w:t>ומרים</w:t>
      </w:r>
      <w:r>
        <w:rPr>
          <w:rFonts w:cs="Arial"/>
          <w:rtl/>
        </w:rPr>
        <w:t xml:space="preserve"> דוקא במקרקעי, שיש שם קרקע כדי שתי הכתובות, נהיגא כתובת בנין דכרין. אבל אם אין שם אלא מטלטלי, לא. ומיהו אפילו אין המותר אלא מטלטלי, שפיר דמי. ויש מי שאומר דהאידנא דכתבינן בכתובה דילן מטלטלי אגב מקרקעי, גם כתובות בנין דכרין נגבית ממטלטלים, דתנאי כתובה ככתובה. </w:t>
      </w:r>
    </w:p>
    <w:p w14:paraId="56F1936E" w14:textId="77777777" w:rsidR="00392DBB" w:rsidRDefault="00392DBB" w:rsidP="00392DBB">
      <w:pPr>
        <w:rPr>
          <w:rtl/>
        </w:rPr>
      </w:pPr>
    </w:p>
    <w:p w14:paraId="0CB1DA66" w14:textId="77777777" w:rsidR="00392DBB" w:rsidRDefault="00392DBB" w:rsidP="000F64D0">
      <w:pPr>
        <w:pStyle w:val="2"/>
        <w:rPr>
          <w:rtl/>
        </w:rPr>
      </w:pPr>
      <w:r>
        <w:rPr>
          <w:rtl/>
        </w:rPr>
        <w:t>סעיף טו</w:t>
      </w:r>
      <w:r>
        <w:rPr>
          <w:rFonts w:hint="cs"/>
          <w:rtl/>
        </w:rPr>
        <w:t>: מכרה/מחלה כתובתה.</w:t>
      </w:r>
    </w:p>
    <w:p w14:paraId="1E144310" w14:textId="77777777" w:rsidR="00392DBB" w:rsidRDefault="00392DBB" w:rsidP="00392DBB">
      <w:pPr>
        <w:rPr>
          <w:rFonts w:cs="Arial"/>
          <w:rtl/>
        </w:rPr>
      </w:pPr>
      <w:r w:rsidRPr="00974066">
        <w:rPr>
          <w:rFonts w:cs="Arial" w:hint="cs"/>
          <w:b/>
          <w:bCs/>
          <w:rtl/>
        </w:rPr>
        <w:t xml:space="preserve">כתובות </w:t>
      </w:r>
      <w:r w:rsidRPr="00974066">
        <w:rPr>
          <w:rFonts w:cs="Arial" w:hint="cs"/>
          <w:b/>
          <w:bCs/>
          <w:sz w:val="16"/>
          <w:szCs w:val="16"/>
          <w:rtl/>
        </w:rPr>
        <w:t>(</w:t>
      </w:r>
      <w:r w:rsidRPr="00974066">
        <w:rPr>
          <w:rFonts w:cs="Arial"/>
          <w:b/>
          <w:bCs/>
          <w:sz w:val="16"/>
          <w:szCs w:val="16"/>
          <w:rtl/>
        </w:rPr>
        <w:t>ס</w:t>
      </w:r>
      <w:r w:rsidRPr="00974066">
        <w:rPr>
          <w:rFonts w:cs="Arial" w:hint="cs"/>
          <w:b/>
          <w:bCs/>
          <w:sz w:val="16"/>
          <w:szCs w:val="16"/>
          <w:rtl/>
        </w:rPr>
        <w:t>"פ</w:t>
      </w:r>
      <w:r w:rsidRPr="00974066">
        <w:rPr>
          <w:rFonts w:cs="Arial"/>
          <w:b/>
          <w:bCs/>
          <w:sz w:val="16"/>
          <w:szCs w:val="16"/>
          <w:rtl/>
        </w:rPr>
        <w:t xml:space="preserve"> נערה שנתפתתה</w:t>
      </w:r>
      <w:r w:rsidRPr="00974066">
        <w:rPr>
          <w:rFonts w:cs="Arial" w:hint="cs"/>
          <w:b/>
          <w:bCs/>
          <w:sz w:val="16"/>
          <w:szCs w:val="16"/>
          <w:rtl/>
        </w:rPr>
        <w:t>)</w:t>
      </w:r>
      <w:r w:rsidRPr="00974066">
        <w:rPr>
          <w:rFonts w:cs="Arial"/>
          <w:b/>
          <w:bCs/>
          <w:rtl/>
        </w:rPr>
        <w:t xml:space="preserve"> נג</w:t>
      </w:r>
      <w:r w:rsidRPr="00974066">
        <w:rPr>
          <w:rFonts w:cs="Arial" w:hint="cs"/>
          <w:b/>
          <w:bCs/>
          <w:rtl/>
        </w:rPr>
        <w:t xml:space="preserve"> ע"א</w:t>
      </w:r>
      <w:r w:rsidRPr="00974066">
        <w:rPr>
          <w:rFonts w:cs="Arial"/>
          <w:b/>
          <w:bCs/>
          <w:rtl/>
        </w:rPr>
        <w:t>:</w:t>
      </w:r>
      <w:r>
        <w:rPr>
          <w:rFonts w:cs="Arial" w:hint="cs"/>
          <w:rtl/>
        </w:rPr>
        <w:t xml:space="preserve"> </w:t>
      </w:r>
      <w:r w:rsidRPr="00974066">
        <w:rPr>
          <w:rFonts w:cs="Arial"/>
          <w:u w:val="single"/>
          <w:rtl/>
        </w:rPr>
        <w:t>אמר רבא</w:t>
      </w:r>
      <w:r w:rsidRPr="00974066">
        <w:rPr>
          <w:rFonts w:cs="Arial"/>
          <w:rtl/>
        </w:rPr>
        <w:t>: פשיטא לי, מוכרת כתובתה לאחרים</w:t>
      </w:r>
      <w:r>
        <w:rPr>
          <w:rStyle w:val="a7"/>
          <w:rFonts w:cs="Arial"/>
          <w:rtl/>
        </w:rPr>
        <w:footnoteReference w:id="2465"/>
      </w:r>
      <w:r w:rsidRPr="00974066">
        <w:rPr>
          <w:rFonts w:cs="Arial"/>
          <w:rtl/>
        </w:rPr>
        <w:t xml:space="preserve"> - יש לה כתובת בנין דכרין</w:t>
      </w:r>
      <w:r>
        <w:rPr>
          <w:rStyle w:val="a7"/>
          <w:rFonts w:cs="Arial"/>
          <w:rtl/>
        </w:rPr>
        <w:footnoteReference w:id="2466"/>
      </w:r>
      <w:r w:rsidRPr="00974066">
        <w:rPr>
          <w:rFonts w:cs="Arial"/>
          <w:rtl/>
        </w:rPr>
        <w:t>, מאי טעמא? זוזי אנסוה</w:t>
      </w:r>
      <w:r>
        <w:rPr>
          <w:rFonts w:cs="Arial" w:hint="cs"/>
          <w:rtl/>
        </w:rPr>
        <w:t>.</w:t>
      </w:r>
      <w:r w:rsidRPr="00974066">
        <w:rPr>
          <w:rFonts w:cs="Arial"/>
          <w:rtl/>
        </w:rPr>
        <w:t xml:space="preserve"> מוחלת כתובתה לבעלה - אין לה כתובת בנין דכרין, מאי טעמא? אחולי אחילתא</w:t>
      </w:r>
      <w:r>
        <w:rPr>
          <w:rStyle w:val="a7"/>
          <w:rFonts w:cs="Arial"/>
          <w:rtl/>
        </w:rPr>
        <w:footnoteReference w:id="2467"/>
      </w:r>
      <w:r w:rsidRPr="00974066">
        <w:rPr>
          <w:rFonts w:cs="Arial"/>
          <w:rtl/>
        </w:rPr>
        <w:t xml:space="preserve">. </w:t>
      </w:r>
      <w:r w:rsidRPr="00974066">
        <w:rPr>
          <w:rFonts w:cs="Arial"/>
          <w:u w:val="single"/>
          <w:rtl/>
        </w:rPr>
        <w:t>בעי רבא</w:t>
      </w:r>
      <w:r w:rsidRPr="00974066">
        <w:rPr>
          <w:rFonts w:cs="Arial"/>
          <w:rtl/>
        </w:rPr>
        <w:t>: מוכרת כתובתה לבעלה</w:t>
      </w:r>
      <w:r>
        <w:rPr>
          <w:rStyle w:val="a7"/>
          <w:rFonts w:cs="Arial"/>
          <w:rtl/>
        </w:rPr>
        <w:footnoteReference w:id="2468"/>
      </w:r>
      <w:r w:rsidRPr="00974066">
        <w:rPr>
          <w:rFonts w:cs="Arial"/>
          <w:rtl/>
        </w:rPr>
        <w:t>, כמוכרת לאחרים דמי או כמוחלת לבעלה דמי</w:t>
      </w:r>
      <w:r>
        <w:rPr>
          <w:rStyle w:val="a7"/>
          <w:rFonts w:cs="Arial"/>
          <w:rtl/>
        </w:rPr>
        <w:footnoteReference w:id="2469"/>
      </w:r>
      <w:r w:rsidRPr="00974066">
        <w:rPr>
          <w:rFonts w:cs="Arial"/>
          <w:rtl/>
        </w:rPr>
        <w:t>? בתר דבעיא הדר פשטא: מוכרת כתובה לבעלה - כמוכרת לאחרים דמי.</w:t>
      </w:r>
      <w:r>
        <w:rPr>
          <w:rFonts w:cs="Arial" w:hint="cs"/>
          <w:rtl/>
        </w:rPr>
        <w:t xml:space="preserve">  </w:t>
      </w:r>
    </w:p>
    <w:p w14:paraId="0A5D85A5" w14:textId="17867F60" w:rsidR="00392DBB" w:rsidRPr="00974066" w:rsidRDefault="00392DBB" w:rsidP="00392DBB">
      <w:pPr>
        <w:rPr>
          <w:u w:val="single"/>
          <w:rtl/>
        </w:rPr>
      </w:pPr>
      <w:r w:rsidRPr="00974066">
        <w:rPr>
          <w:rFonts w:hint="cs"/>
          <w:u w:val="single"/>
          <w:rtl/>
        </w:rPr>
        <w:t xml:space="preserve">מכרה/מחלה כתובתה </w:t>
      </w:r>
      <w:r w:rsidR="00F97626">
        <w:rPr>
          <w:u w:val="single"/>
          <w:rtl/>
        </w:rPr>
        <w:t>-</w:t>
      </w:r>
      <w:r w:rsidRPr="00974066">
        <w:rPr>
          <w:rFonts w:hint="cs"/>
          <w:u w:val="single"/>
          <w:rtl/>
        </w:rPr>
        <w:t xml:space="preserve"> האם בניה גובים כתובת בנין דכרין:</w:t>
      </w:r>
    </w:p>
    <w:p w14:paraId="40DCD3B2" w14:textId="77777777" w:rsidR="00392DBB" w:rsidRPr="00D96223" w:rsidRDefault="00392DBB" w:rsidP="009000E3">
      <w:pPr>
        <w:pStyle w:val="ab"/>
        <w:numPr>
          <w:ilvl w:val="0"/>
          <w:numId w:val="63"/>
        </w:numPr>
      </w:pPr>
      <w:r w:rsidRPr="000469C0">
        <w:rPr>
          <w:rFonts w:cs="Arial"/>
          <w:rtl/>
        </w:rPr>
        <w:t xml:space="preserve">רמב"ם </w:t>
      </w:r>
      <w:r w:rsidRPr="000469C0">
        <w:rPr>
          <w:rFonts w:cs="Arial" w:hint="cs"/>
          <w:sz w:val="16"/>
          <w:szCs w:val="16"/>
          <w:rtl/>
        </w:rPr>
        <w:t>(</w:t>
      </w:r>
      <w:r w:rsidRPr="000469C0">
        <w:rPr>
          <w:rFonts w:cs="Arial"/>
          <w:sz w:val="16"/>
          <w:szCs w:val="16"/>
          <w:rtl/>
        </w:rPr>
        <w:t>פי"</w:t>
      </w:r>
      <w:r>
        <w:rPr>
          <w:rFonts w:cs="Arial" w:hint="cs"/>
          <w:sz w:val="16"/>
          <w:szCs w:val="16"/>
          <w:rtl/>
        </w:rPr>
        <w:t>ז</w:t>
      </w:r>
      <w:r w:rsidRPr="000469C0">
        <w:rPr>
          <w:rFonts w:cs="Arial"/>
          <w:sz w:val="16"/>
          <w:szCs w:val="16"/>
          <w:rtl/>
        </w:rPr>
        <w:t xml:space="preserve"> הי"</w:t>
      </w:r>
      <w:r>
        <w:rPr>
          <w:rFonts w:cs="Arial" w:hint="cs"/>
          <w:sz w:val="16"/>
          <w:szCs w:val="16"/>
          <w:rtl/>
        </w:rPr>
        <w:t>ט</w:t>
      </w:r>
      <w:r w:rsidRPr="000469C0">
        <w:rPr>
          <w:rFonts w:cs="Arial"/>
          <w:sz w:val="16"/>
          <w:szCs w:val="16"/>
          <w:rtl/>
        </w:rPr>
        <w:t>)</w:t>
      </w:r>
      <w:r>
        <w:rPr>
          <w:rFonts w:cs="Arial" w:hint="cs"/>
          <w:rtl/>
        </w:rPr>
        <w:t xml:space="preserve"> וטור- </w:t>
      </w:r>
      <w:r w:rsidRPr="008A1F1E">
        <w:rPr>
          <w:rFonts w:cs="Arial"/>
          <w:rtl/>
        </w:rPr>
        <w:t xml:space="preserve">המוכרת כתובתה בין לבעלה בין לאחרים </w:t>
      </w:r>
      <w:r>
        <w:rPr>
          <w:rFonts w:cs="Arial" w:hint="cs"/>
          <w:rtl/>
        </w:rPr>
        <w:t xml:space="preserve">- </w:t>
      </w:r>
      <w:r w:rsidRPr="008A1F1E">
        <w:rPr>
          <w:rFonts w:cs="Arial"/>
          <w:rtl/>
        </w:rPr>
        <w:t>לא הפסידה כתובת בנין דכרין</w:t>
      </w:r>
      <w:r>
        <w:rPr>
          <w:rFonts w:cs="Arial" w:hint="cs"/>
          <w:rtl/>
        </w:rPr>
        <w:t>.</w:t>
      </w:r>
      <w:r w:rsidRPr="008A1F1E">
        <w:rPr>
          <w:rFonts w:cs="Arial"/>
          <w:rtl/>
        </w:rPr>
        <w:t xml:space="preserve"> ואם תמות בחייו ואח"כ מת הוא </w:t>
      </w:r>
      <w:r>
        <w:rPr>
          <w:rFonts w:cs="Arial" w:hint="cs"/>
          <w:rtl/>
        </w:rPr>
        <w:t xml:space="preserve">- </w:t>
      </w:r>
      <w:r w:rsidRPr="008A1F1E">
        <w:rPr>
          <w:rFonts w:cs="Arial"/>
          <w:rtl/>
        </w:rPr>
        <w:t>בניה נוטלים כתובת אמן כאילו לא מכרה</w:t>
      </w:r>
      <w:r>
        <w:rPr>
          <w:rFonts w:cs="Arial" w:hint="cs"/>
          <w:rtl/>
        </w:rPr>
        <w:t>.</w:t>
      </w:r>
      <w:r w:rsidRPr="008A1F1E">
        <w:rPr>
          <w:rFonts w:cs="Arial"/>
          <w:rtl/>
        </w:rPr>
        <w:t xml:space="preserve"> אבל אם מחלה כתובתה לבעלה </w:t>
      </w:r>
      <w:r>
        <w:rPr>
          <w:rFonts w:cs="Arial" w:hint="cs"/>
          <w:rtl/>
        </w:rPr>
        <w:t xml:space="preserve">- </w:t>
      </w:r>
      <w:r w:rsidRPr="008A1F1E">
        <w:rPr>
          <w:rFonts w:cs="Arial"/>
          <w:rtl/>
        </w:rPr>
        <w:t>הפסידו בניה כתובת בנין דכרין</w:t>
      </w:r>
      <w:r>
        <w:rPr>
          <w:rFonts w:cs="Arial" w:hint="cs"/>
          <w:sz w:val="16"/>
          <w:szCs w:val="16"/>
          <w:rtl/>
        </w:rPr>
        <w:t xml:space="preserve"> (ל' הטור)</w:t>
      </w:r>
      <w:r>
        <w:rPr>
          <w:rFonts w:cs="Arial" w:hint="cs"/>
          <w:rtl/>
        </w:rPr>
        <w:t>.</w:t>
      </w:r>
      <w:r w:rsidRPr="008A1F1E">
        <w:rPr>
          <w:rFonts w:cs="Arial"/>
          <w:rtl/>
        </w:rPr>
        <w:t xml:space="preserve"> </w:t>
      </w:r>
      <w:r w:rsidRPr="0081621B">
        <w:rPr>
          <w:rFonts w:hint="cs"/>
          <w:color w:val="E36C0A" w:themeColor="accent6" w:themeShade="BF"/>
          <w:rtl/>
        </w:rPr>
        <w:t>(וכ"פ בשו"ע)</w:t>
      </w:r>
    </w:p>
    <w:p w14:paraId="72B23BD0" w14:textId="77777777" w:rsidR="00392DBB" w:rsidRPr="000469C0" w:rsidRDefault="00392DBB" w:rsidP="00392DBB">
      <w:pPr>
        <w:rPr>
          <w:rFonts w:cs="Arial"/>
          <w:u w:val="single"/>
          <w:rtl/>
        </w:rPr>
      </w:pPr>
      <w:r w:rsidRPr="000469C0">
        <w:rPr>
          <w:rFonts w:cs="Arial" w:hint="cs"/>
          <w:u w:val="single"/>
          <w:rtl/>
        </w:rPr>
        <w:t>האם הבנים צריכים להחזיק בשטר הכתובה של אמן כדי לגבות כתובת בנין דכרין:</w:t>
      </w:r>
    </w:p>
    <w:p w14:paraId="3AAD86D6" w14:textId="77777777" w:rsidR="00392DBB" w:rsidRPr="008A1F1E" w:rsidRDefault="00392DBB" w:rsidP="009000E3">
      <w:pPr>
        <w:pStyle w:val="ab"/>
        <w:numPr>
          <w:ilvl w:val="0"/>
          <w:numId w:val="63"/>
        </w:numPr>
        <w:rPr>
          <w:rtl/>
        </w:rPr>
      </w:pPr>
      <w:r w:rsidRPr="000469C0">
        <w:rPr>
          <w:rFonts w:cs="Arial"/>
          <w:rtl/>
        </w:rPr>
        <w:t xml:space="preserve">רמב"ם </w:t>
      </w:r>
      <w:r w:rsidRPr="000469C0">
        <w:rPr>
          <w:rFonts w:cs="Arial" w:hint="cs"/>
          <w:sz w:val="16"/>
          <w:szCs w:val="16"/>
          <w:rtl/>
        </w:rPr>
        <w:t>(</w:t>
      </w:r>
      <w:r w:rsidRPr="000469C0">
        <w:rPr>
          <w:rFonts w:cs="Arial"/>
          <w:sz w:val="16"/>
          <w:szCs w:val="16"/>
          <w:rtl/>
        </w:rPr>
        <w:t>פי"ט הי"ב)</w:t>
      </w:r>
      <w:r w:rsidRPr="000469C0">
        <w:rPr>
          <w:rFonts w:cs="Arial" w:hint="cs"/>
          <w:rtl/>
        </w:rPr>
        <w:t>-</w:t>
      </w:r>
      <w:r w:rsidRPr="000469C0">
        <w:rPr>
          <w:rFonts w:cs="Arial"/>
          <w:rtl/>
        </w:rPr>
        <w:t xml:space="preserve"> אין הבנים יורשין כתובת אמן</w:t>
      </w:r>
      <w:r w:rsidRPr="000469C0">
        <w:rPr>
          <w:rFonts w:cs="Arial" w:hint="cs"/>
          <w:rtl/>
        </w:rPr>
        <w:t>...</w:t>
      </w:r>
      <w:r w:rsidRPr="000469C0">
        <w:rPr>
          <w:rFonts w:cs="Arial"/>
          <w:rtl/>
        </w:rPr>
        <w:t xml:space="preserve"> עד שיהיה שטר כתובה יוצא מתחת ידם</w:t>
      </w:r>
      <w:r w:rsidRPr="000469C0">
        <w:rPr>
          <w:rFonts w:cs="Arial" w:hint="cs"/>
          <w:rtl/>
        </w:rPr>
        <w:t>.</w:t>
      </w:r>
      <w:r w:rsidRPr="000469C0">
        <w:rPr>
          <w:rFonts w:cs="Arial"/>
          <w:rtl/>
        </w:rPr>
        <w:t xml:space="preserve"> אבל אם אין שם שטר כתובה </w:t>
      </w:r>
      <w:r w:rsidRPr="000469C0">
        <w:rPr>
          <w:rFonts w:cs="Arial" w:hint="cs"/>
          <w:rtl/>
        </w:rPr>
        <w:t xml:space="preserve">- </w:t>
      </w:r>
      <w:r w:rsidRPr="000469C0">
        <w:rPr>
          <w:rFonts w:cs="Arial"/>
          <w:rtl/>
        </w:rPr>
        <w:t>אין להם כלום</w:t>
      </w:r>
      <w:r w:rsidRPr="000469C0">
        <w:rPr>
          <w:rFonts w:cs="Arial" w:hint="cs"/>
          <w:rtl/>
        </w:rPr>
        <w:t>,</w:t>
      </w:r>
      <w:r w:rsidRPr="000469C0">
        <w:rPr>
          <w:rFonts w:cs="Arial"/>
          <w:rtl/>
        </w:rPr>
        <w:t xml:space="preserve"> שמא מחלה אמן כתובתה</w:t>
      </w:r>
      <w:r w:rsidRPr="000469C0">
        <w:rPr>
          <w:rFonts w:cs="Arial" w:hint="cs"/>
          <w:rtl/>
        </w:rPr>
        <w:t>.</w:t>
      </w:r>
      <w:r w:rsidRPr="000469C0">
        <w:rPr>
          <w:rFonts w:cs="Arial"/>
          <w:rtl/>
        </w:rPr>
        <w:t xml:space="preserve"> ואם אין דרכם לכתוב כתובה </w:t>
      </w:r>
      <w:r w:rsidRPr="000469C0">
        <w:rPr>
          <w:rFonts w:cs="Arial" w:hint="cs"/>
          <w:rtl/>
        </w:rPr>
        <w:t xml:space="preserve">- </w:t>
      </w:r>
      <w:r w:rsidRPr="000469C0">
        <w:rPr>
          <w:rFonts w:cs="Arial"/>
          <w:rtl/>
        </w:rPr>
        <w:t>יש להן</w:t>
      </w:r>
      <w:r w:rsidRPr="000469C0">
        <w:rPr>
          <w:rFonts w:cs="Arial" w:hint="cs"/>
          <w:rtl/>
        </w:rPr>
        <w:t>..</w:t>
      </w:r>
      <w:r w:rsidRPr="000469C0">
        <w:rPr>
          <w:rFonts w:cs="Arial"/>
          <w:rtl/>
        </w:rPr>
        <w:t>.</w:t>
      </w:r>
      <w:r w:rsidRPr="004A0B46">
        <w:rPr>
          <w:rFonts w:hint="cs"/>
          <w:color w:val="E36C0A" w:themeColor="accent6" w:themeShade="BF"/>
          <w:rtl/>
        </w:rPr>
        <w:t xml:space="preserve"> </w:t>
      </w:r>
      <w:r w:rsidRPr="0081621B">
        <w:rPr>
          <w:rFonts w:hint="cs"/>
          <w:color w:val="E36C0A" w:themeColor="accent6" w:themeShade="BF"/>
          <w:rtl/>
        </w:rPr>
        <w:t>(וכ"פ בשו"ע)</w:t>
      </w:r>
    </w:p>
    <w:p w14:paraId="2E1A855A"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A7A9DB8" w14:textId="77777777" w:rsidR="00392DBB" w:rsidRDefault="00392DBB" w:rsidP="00392DBB">
      <w:pPr>
        <w:rPr>
          <w:rtl/>
        </w:rPr>
      </w:pPr>
      <w:r>
        <w:rPr>
          <w:rFonts w:cs="Arial"/>
          <w:rtl/>
        </w:rPr>
        <w:t>המוכרת כתובתה, בין לבעלה בין לאחרים, לא הפסידה כתובת בנין דכרין. אבל אם מחלה כתובתה</w:t>
      </w:r>
      <w:r>
        <w:rPr>
          <w:rStyle w:val="a7"/>
          <w:rFonts w:cs="Arial"/>
          <w:rtl/>
        </w:rPr>
        <w:footnoteReference w:id="2470"/>
      </w:r>
      <w:r>
        <w:rPr>
          <w:rFonts w:cs="Arial"/>
          <w:rtl/>
        </w:rPr>
        <w:t xml:space="preserve"> לבעלה, הפסידו בניה כתובת בנין דכרין. לפיכך אין הבנים יורשין כתובת בנין דכרין עד שיהיה שטר הכתובה יוצא מתחת ידם</w:t>
      </w:r>
      <w:r>
        <w:rPr>
          <w:rStyle w:val="a7"/>
          <w:rFonts w:cs="Arial"/>
          <w:rtl/>
        </w:rPr>
        <w:footnoteReference w:id="2471"/>
      </w:r>
      <w:r>
        <w:rPr>
          <w:rFonts w:cs="Arial"/>
          <w:rtl/>
        </w:rPr>
        <w:t xml:space="preserve">, אבל אם אין שם שטר כתובה אין להם כלום, שמא מחלה אמם. ואם אין דרכם לכתוב כתובה, יש להם. </w:t>
      </w:r>
    </w:p>
    <w:p w14:paraId="5D017562" w14:textId="77777777" w:rsidR="00392DBB" w:rsidRDefault="00392DBB" w:rsidP="00392DBB">
      <w:pPr>
        <w:rPr>
          <w:rtl/>
        </w:rPr>
      </w:pPr>
    </w:p>
    <w:p w14:paraId="1C010CC4" w14:textId="77777777" w:rsidR="00392DBB" w:rsidRDefault="00392DBB" w:rsidP="000F64D0">
      <w:pPr>
        <w:pStyle w:val="2"/>
        <w:rPr>
          <w:rtl/>
        </w:rPr>
      </w:pPr>
      <w:r>
        <w:rPr>
          <w:rtl/>
        </w:rPr>
        <w:t>סעיף טז</w:t>
      </w:r>
      <w:r>
        <w:rPr>
          <w:rFonts w:hint="cs"/>
          <w:rtl/>
        </w:rPr>
        <w:t>: צוה בשעת מותו שלא ירשו בניו כתובת בנין דכרין.</w:t>
      </w:r>
    </w:p>
    <w:p w14:paraId="6F537EB6" w14:textId="714202B9" w:rsidR="00392DBB" w:rsidRPr="002C27E2" w:rsidRDefault="00392DBB" w:rsidP="00392DBB">
      <w:pPr>
        <w:rPr>
          <w:sz w:val="16"/>
          <w:szCs w:val="16"/>
          <w:rtl/>
        </w:rPr>
      </w:pPr>
      <w:r w:rsidRPr="002F4753">
        <w:rPr>
          <w:rFonts w:cs="Arial" w:hint="cs"/>
          <w:b/>
          <w:bCs/>
          <w:rtl/>
        </w:rPr>
        <w:t xml:space="preserve">כתובות </w:t>
      </w:r>
      <w:r>
        <w:rPr>
          <w:rFonts w:cs="Arial" w:hint="cs"/>
          <w:b/>
          <w:bCs/>
          <w:sz w:val="16"/>
          <w:szCs w:val="16"/>
          <w:rtl/>
        </w:rPr>
        <w:t xml:space="preserve">(פ' מציאת האשה) </w:t>
      </w:r>
      <w:r w:rsidRPr="002F4753">
        <w:rPr>
          <w:rFonts w:cs="Arial" w:hint="cs"/>
          <w:b/>
          <w:bCs/>
          <w:rtl/>
        </w:rPr>
        <w:t>סח</w:t>
      </w:r>
      <w:r w:rsidR="0027732C" w:rsidRPr="00284737">
        <w:rPr>
          <w:rStyle w:val="a7"/>
          <w:rFonts w:cs="Arial"/>
          <w:b/>
          <w:bCs/>
          <w:rtl/>
        </w:rPr>
        <w:footnoteReference w:id="2472"/>
      </w:r>
      <w:r w:rsidRPr="002F4753">
        <w:rPr>
          <w:rFonts w:cs="Arial" w:hint="cs"/>
          <w:b/>
          <w:bCs/>
          <w:rtl/>
        </w:rPr>
        <w:t xml:space="preserve"> ע"ב:</w:t>
      </w:r>
      <w:r>
        <w:rPr>
          <w:rFonts w:cs="Arial" w:hint="cs"/>
          <w:rtl/>
        </w:rPr>
        <w:t xml:space="preserve"> </w:t>
      </w:r>
      <w:r w:rsidRPr="002F4753">
        <w:rPr>
          <w:rFonts w:cs="Arial"/>
          <w:rtl/>
        </w:rPr>
        <w:t>לכדתניא: האומר אל יזונו בנותיו מנכסיו - אין שומעין לו, אל יתפרנסו בנותיו מנכסיו - שומעין לו, שהפרנסה אינה כתנאי כתובה.</w:t>
      </w:r>
      <w:r>
        <w:rPr>
          <w:rFonts w:hint="cs"/>
          <w:sz w:val="16"/>
          <w:szCs w:val="16"/>
          <w:rtl/>
        </w:rPr>
        <w:t xml:space="preserve"> (דין זה מתבאר בסי' קיב, ומדין זה יש ללמוד שהאומר כן לגבי כתובת בנין דכרין גם כן לא מהני, ע"פ ב"י)</w:t>
      </w:r>
    </w:p>
    <w:p w14:paraId="7130FF34" w14:textId="77777777" w:rsidR="00392DBB" w:rsidRPr="00BF67F0" w:rsidRDefault="00392DBB" w:rsidP="00392DBB">
      <w:pPr>
        <w:rPr>
          <w:u w:val="single"/>
          <w:rtl/>
        </w:rPr>
      </w:pPr>
      <w:r w:rsidRPr="00BF67F0">
        <w:rPr>
          <w:rFonts w:cs="Arial"/>
          <w:u w:val="single"/>
          <w:rtl/>
        </w:rPr>
        <w:t>מי שצוה בשעת מיתה שלא יירשו בניו כתובת בנין דכרין</w:t>
      </w:r>
      <w:r w:rsidRPr="00BF67F0">
        <w:rPr>
          <w:rFonts w:hint="cs"/>
          <w:u w:val="single"/>
          <w:rtl/>
        </w:rPr>
        <w:t>:</w:t>
      </w:r>
    </w:p>
    <w:p w14:paraId="7FBB6E17" w14:textId="77777777" w:rsidR="00392DBB" w:rsidRPr="00BF67F0" w:rsidRDefault="00392DBB" w:rsidP="009000E3">
      <w:pPr>
        <w:pStyle w:val="ab"/>
        <w:numPr>
          <w:ilvl w:val="0"/>
          <w:numId w:val="63"/>
        </w:numPr>
      </w:pPr>
      <w:r>
        <w:rPr>
          <w:rFonts w:cs="Arial" w:hint="cs"/>
          <w:rtl/>
        </w:rPr>
        <w:t xml:space="preserve">טור- </w:t>
      </w:r>
      <w:r w:rsidRPr="008A1F1E">
        <w:rPr>
          <w:rFonts w:cs="Arial"/>
          <w:rtl/>
        </w:rPr>
        <w:t xml:space="preserve">מי שצוה בשעת מיתה שלא יירשו בניו כתובת בנין דכרין </w:t>
      </w:r>
      <w:r>
        <w:rPr>
          <w:rFonts w:cs="Arial" w:hint="cs"/>
          <w:rtl/>
        </w:rPr>
        <w:t xml:space="preserve">- </w:t>
      </w:r>
      <w:r w:rsidRPr="008A1F1E">
        <w:rPr>
          <w:rFonts w:cs="Arial"/>
          <w:rtl/>
        </w:rPr>
        <w:t>אין שומעין לו</w:t>
      </w:r>
      <w:r>
        <w:rPr>
          <w:rFonts w:cs="Arial" w:hint="cs"/>
          <w:rtl/>
        </w:rPr>
        <w:t>,</w:t>
      </w:r>
      <w:r w:rsidRPr="008A1F1E">
        <w:rPr>
          <w:rFonts w:cs="Arial"/>
          <w:rtl/>
        </w:rPr>
        <w:t xml:space="preserve"> שא"א לו לבטל תקנת חכמים</w:t>
      </w:r>
      <w:r>
        <w:rPr>
          <w:rFonts w:cs="Arial" w:hint="cs"/>
          <w:rtl/>
        </w:rPr>
        <w:t>.</w:t>
      </w:r>
      <w:r w:rsidRPr="008A1F1E">
        <w:rPr>
          <w:rFonts w:cs="Arial"/>
          <w:rtl/>
        </w:rPr>
        <w:t xml:space="preserve"> </w:t>
      </w:r>
      <w:r w:rsidRPr="0081621B">
        <w:rPr>
          <w:rFonts w:hint="cs"/>
          <w:color w:val="E36C0A" w:themeColor="accent6" w:themeShade="BF"/>
          <w:rtl/>
        </w:rPr>
        <w:t>(וכ"פ בשו"ע)</w:t>
      </w:r>
    </w:p>
    <w:p w14:paraId="547B6077" w14:textId="77777777" w:rsidR="00392DBB" w:rsidRPr="00BF67F0" w:rsidRDefault="00392DBB" w:rsidP="00392DBB">
      <w:pPr>
        <w:ind w:left="360"/>
        <w:rPr>
          <w:u w:val="dotted"/>
        </w:rPr>
      </w:pPr>
      <w:r w:rsidRPr="00BF67F0">
        <w:rPr>
          <w:rFonts w:hint="cs"/>
          <w:u w:val="dotted"/>
          <w:rtl/>
        </w:rPr>
        <w:t>ומה הדין אם התנה כן בשעת הנישואין:</w:t>
      </w:r>
    </w:p>
    <w:p w14:paraId="1C3095AA" w14:textId="42DE0CEA" w:rsidR="00392DBB" w:rsidRDefault="00392DBB" w:rsidP="009000E3">
      <w:pPr>
        <w:pStyle w:val="ab"/>
        <w:numPr>
          <w:ilvl w:val="0"/>
          <w:numId w:val="63"/>
        </w:numPr>
      </w:pPr>
      <w:r>
        <w:rPr>
          <w:rFonts w:cs="Arial" w:hint="cs"/>
          <w:rtl/>
        </w:rPr>
        <w:t xml:space="preserve">טור- </w:t>
      </w:r>
      <w:r w:rsidRPr="008A1F1E">
        <w:rPr>
          <w:rFonts w:cs="Arial"/>
          <w:rtl/>
        </w:rPr>
        <w:t>אבל אם התנה כן בשעת נישואין</w:t>
      </w:r>
      <w:r w:rsidR="0027732C">
        <w:rPr>
          <w:rFonts w:cs="Arial" w:hint="cs"/>
          <w:rtl/>
        </w:rPr>
        <w:t>,</w:t>
      </w:r>
      <w:r>
        <w:rPr>
          <w:rFonts w:cs="Arial" w:hint="cs"/>
          <w:rtl/>
        </w:rPr>
        <w:t xml:space="preserve"> </w:t>
      </w:r>
      <w:r w:rsidRPr="008A1F1E">
        <w:rPr>
          <w:rFonts w:cs="Arial"/>
          <w:rtl/>
        </w:rPr>
        <w:t>הוי תנאי שבממון וקיים</w:t>
      </w:r>
      <w:r>
        <w:rPr>
          <w:rFonts w:cs="Arial" w:hint="cs"/>
          <w:rtl/>
        </w:rPr>
        <w:t>.</w:t>
      </w:r>
      <w:r w:rsidRPr="008A1F1E">
        <w:rPr>
          <w:rFonts w:cs="Arial"/>
          <w:rtl/>
        </w:rPr>
        <w:t xml:space="preserve"> </w:t>
      </w:r>
      <w:r w:rsidRPr="00EF7FF2">
        <w:rPr>
          <w:rFonts w:hint="cs"/>
          <w:color w:val="00B0F0"/>
          <w:rtl/>
        </w:rPr>
        <w:t>(וכ"פ הרמ"א)</w:t>
      </w:r>
    </w:p>
    <w:p w14:paraId="0EEA6BD5" w14:textId="77777777" w:rsidR="00392DBB" w:rsidRPr="00851BF6" w:rsidRDefault="00392DBB" w:rsidP="00392DBB">
      <w:pPr>
        <w:rPr>
          <w:u w:val="single"/>
        </w:rPr>
      </w:pPr>
      <w:r w:rsidRPr="00851BF6">
        <w:rPr>
          <w:rFonts w:hint="cs"/>
          <w:u w:val="single"/>
          <w:rtl/>
        </w:rPr>
        <w:t>האם כתובת בנין דכרין נוהגת היום:</w:t>
      </w:r>
    </w:p>
    <w:p w14:paraId="52379262" w14:textId="77777777" w:rsidR="00392DBB" w:rsidRPr="00BF67F0" w:rsidRDefault="00392DBB" w:rsidP="009000E3">
      <w:pPr>
        <w:pStyle w:val="ab"/>
        <w:numPr>
          <w:ilvl w:val="0"/>
          <w:numId w:val="63"/>
        </w:numPr>
      </w:pPr>
      <w:r>
        <w:rPr>
          <w:rFonts w:cs="Arial" w:hint="cs"/>
          <w:rtl/>
        </w:rPr>
        <w:t xml:space="preserve">רב חנניא גאון רב שמואל גאון </w:t>
      </w:r>
      <w:r>
        <w:rPr>
          <w:rFonts w:cs="Arial" w:hint="cs"/>
          <w:sz w:val="16"/>
          <w:szCs w:val="16"/>
          <w:rtl/>
        </w:rPr>
        <w:t>(הביאם בהעי"ט [שם], והטור כתב כן בשם 'רבים מהגאונים')</w:t>
      </w:r>
      <w:r>
        <w:rPr>
          <w:rFonts w:cs="Arial" w:hint="cs"/>
          <w:rtl/>
        </w:rPr>
        <w:t xml:space="preserve"> ובהעי"ט</w:t>
      </w:r>
      <w:r>
        <w:rPr>
          <w:rStyle w:val="a7"/>
          <w:rFonts w:cs="Arial"/>
          <w:rtl/>
        </w:rPr>
        <w:footnoteReference w:id="2473"/>
      </w:r>
      <w:r>
        <w:rPr>
          <w:rFonts w:cs="Arial" w:hint="cs"/>
          <w:rtl/>
        </w:rPr>
        <w:t xml:space="preserve">- </w:t>
      </w:r>
      <w:r w:rsidRPr="008A1F1E">
        <w:rPr>
          <w:rFonts w:cs="Arial"/>
          <w:rtl/>
        </w:rPr>
        <w:t>אין כתובת בנין דכרין עתה נוהג כלל</w:t>
      </w:r>
      <w:r>
        <w:rPr>
          <w:rFonts w:cs="Arial" w:hint="cs"/>
          <w:rtl/>
        </w:rPr>
        <w:t>.</w:t>
      </w:r>
      <w:r w:rsidRPr="008A1F1E">
        <w:rPr>
          <w:rFonts w:cs="Arial"/>
          <w:rtl/>
        </w:rPr>
        <w:t xml:space="preserve"> שעיקר התקנה היתה כדי שיתן אדם לבתו כבנו</w:t>
      </w:r>
      <w:r>
        <w:rPr>
          <w:rFonts w:cs="Arial" w:hint="cs"/>
          <w:rtl/>
        </w:rPr>
        <w:t>,</w:t>
      </w:r>
      <w:r w:rsidRPr="008A1F1E">
        <w:rPr>
          <w:rFonts w:cs="Arial"/>
          <w:rtl/>
        </w:rPr>
        <w:t xml:space="preserve"> ועכשיו נוהגים לתת להם יותר ויותר</w:t>
      </w:r>
      <w:r>
        <w:rPr>
          <w:rFonts w:cs="Arial" w:hint="cs"/>
          <w:rtl/>
        </w:rPr>
        <w:t xml:space="preserve"> </w:t>
      </w:r>
      <w:r>
        <w:rPr>
          <w:rFonts w:cs="Arial" w:hint="cs"/>
          <w:sz w:val="16"/>
          <w:szCs w:val="16"/>
          <w:rtl/>
        </w:rPr>
        <w:t>(ל' הטור בשמם)</w:t>
      </w:r>
      <w:r>
        <w:rPr>
          <w:rFonts w:cs="Arial" w:hint="cs"/>
          <w:rtl/>
        </w:rPr>
        <w:t>.</w:t>
      </w:r>
      <w:r w:rsidRPr="008A1F1E">
        <w:rPr>
          <w:rFonts w:cs="Arial"/>
          <w:rtl/>
        </w:rPr>
        <w:t xml:space="preserve"> </w:t>
      </w:r>
      <w:r w:rsidRPr="00EF7FF2">
        <w:rPr>
          <w:rFonts w:hint="cs"/>
          <w:color w:val="00B0F0"/>
          <w:rtl/>
        </w:rPr>
        <w:t>(וכ"</w:t>
      </w:r>
      <w:r>
        <w:rPr>
          <w:rFonts w:hint="cs"/>
          <w:color w:val="00B0F0"/>
          <w:rtl/>
        </w:rPr>
        <w:t>כ</w:t>
      </w:r>
      <w:r w:rsidRPr="00EF7FF2">
        <w:rPr>
          <w:rFonts w:hint="cs"/>
          <w:color w:val="00B0F0"/>
          <w:rtl/>
        </w:rPr>
        <w:t xml:space="preserve"> הרמ"א)</w:t>
      </w:r>
    </w:p>
    <w:p w14:paraId="38F7A8CC" w14:textId="18ECD728" w:rsidR="00392DBB" w:rsidRDefault="00392DBB" w:rsidP="009000E3">
      <w:pPr>
        <w:pStyle w:val="ab"/>
        <w:numPr>
          <w:ilvl w:val="0"/>
          <w:numId w:val="63"/>
        </w:numPr>
      </w:pPr>
      <w:r w:rsidRPr="008A1F1E">
        <w:rPr>
          <w:rFonts w:cs="Arial"/>
          <w:rtl/>
        </w:rPr>
        <w:t xml:space="preserve">רב האי </w:t>
      </w:r>
      <w:r>
        <w:rPr>
          <w:rFonts w:cs="Arial" w:hint="cs"/>
          <w:sz w:val="16"/>
          <w:szCs w:val="16"/>
          <w:rtl/>
        </w:rPr>
        <w:t>(כ"כ בהעי"ט [שם] בשמו)</w:t>
      </w:r>
      <w:r>
        <w:rPr>
          <w:rFonts w:cs="Arial" w:hint="cs"/>
          <w:rtl/>
        </w:rPr>
        <w:t xml:space="preserve"> רמב"ם</w:t>
      </w:r>
      <w:r>
        <w:rPr>
          <w:rFonts w:cs="Arial" w:hint="cs"/>
          <w:sz w:val="16"/>
          <w:szCs w:val="16"/>
          <w:rtl/>
        </w:rPr>
        <w:t xml:space="preserve"> </w:t>
      </w:r>
      <w:r w:rsidRPr="00631525">
        <w:rPr>
          <w:rFonts w:cs="Arial" w:hint="cs"/>
          <w:sz w:val="16"/>
          <w:szCs w:val="16"/>
          <w:rtl/>
        </w:rPr>
        <w:t>(פט</w:t>
      </w:r>
      <w:r>
        <w:rPr>
          <w:rFonts w:cs="Arial" w:hint="cs"/>
          <w:sz w:val="16"/>
          <w:szCs w:val="16"/>
          <w:rtl/>
        </w:rPr>
        <w:t>"ז</w:t>
      </w:r>
      <w:r w:rsidRPr="00631525">
        <w:rPr>
          <w:rFonts w:cs="Arial" w:hint="cs"/>
          <w:sz w:val="16"/>
          <w:szCs w:val="16"/>
          <w:rtl/>
        </w:rPr>
        <w:t xml:space="preserve"> מאישות ה"</w:t>
      </w:r>
      <w:r>
        <w:rPr>
          <w:rFonts w:cs="Arial" w:hint="cs"/>
          <w:sz w:val="16"/>
          <w:szCs w:val="16"/>
          <w:rtl/>
        </w:rPr>
        <w:t>ז, הביאוהו המרדכי [שם] והטור</w:t>
      </w:r>
      <w:r w:rsidRPr="00631525">
        <w:rPr>
          <w:rFonts w:cs="Arial" w:hint="cs"/>
          <w:sz w:val="16"/>
          <w:szCs w:val="16"/>
          <w:rtl/>
        </w:rPr>
        <w:t>)</w:t>
      </w:r>
      <w:r>
        <w:rPr>
          <w:rFonts w:cs="Arial" w:hint="cs"/>
          <w:rtl/>
        </w:rPr>
        <w:t xml:space="preserve"> ורא"ש </w:t>
      </w:r>
      <w:r>
        <w:rPr>
          <w:rFonts w:cs="Arial" w:hint="cs"/>
          <w:sz w:val="16"/>
          <w:szCs w:val="16"/>
          <w:rtl/>
        </w:rPr>
        <w:t>(כלל לו סי' ו)</w:t>
      </w:r>
      <w:r>
        <w:rPr>
          <w:rFonts w:cs="Arial" w:hint="cs"/>
          <w:rtl/>
        </w:rPr>
        <w:t xml:space="preserve">- </w:t>
      </w:r>
      <w:r w:rsidRPr="008A1F1E">
        <w:rPr>
          <w:rFonts w:cs="Arial"/>
          <w:rtl/>
        </w:rPr>
        <w:t>היא נוהגת</w:t>
      </w:r>
      <w:r>
        <w:rPr>
          <w:rFonts w:cs="Arial" w:hint="cs"/>
          <w:rtl/>
        </w:rPr>
        <w:t>,</w:t>
      </w:r>
      <w:r w:rsidRPr="008A1F1E">
        <w:rPr>
          <w:rFonts w:cs="Arial"/>
          <w:rtl/>
        </w:rPr>
        <w:t xml:space="preserve"> שאין לנו כח לבטל תקנת חכמים</w:t>
      </w:r>
      <w:r w:rsidR="002F7BCC">
        <w:rPr>
          <w:rStyle w:val="a7"/>
          <w:rFonts w:cs="Arial"/>
          <w:rtl/>
        </w:rPr>
        <w:footnoteReference w:id="2474"/>
      </w:r>
      <w:r>
        <w:rPr>
          <w:rFonts w:cs="Arial" w:hint="cs"/>
          <w:rtl/>
        </w:rPr>
        <w:t xml:space="preserve"> </w:t>
      </w:r>
      <w:r>
        <w:rPr>
          <w:rFonts w:cs="Arial" w:hint="cs"/>
          <w:sz w:val="16"/>
          <w:szCs w:val="16"/>
          <w:rtl/>
        </w:rPr>
        <w:t>(ל' הטור בשמם)</w:t>
      </w:r>
      <w:r>
        <w:rPr>
          <w:rFonts w:cs="Arial" w:hint="cs"/>
          <w:rtl/>
        </w:rPr>
        <w:t>.</w:t>
      </w:r>
      <w:r w:rsidRPr="008A1F1E">
        <w:rPr>
          <w:rFonts w:cs="Arial"/>
          <w:rtl/>
        </w:rPr>
        <w:t xml:space="preserve"> </w:t>
      </w:r>
      <w:r w:rsidR="002F7BCC" w:rsidRPr="0081621B">
        <w:rPr>
          <w:rFonts w:hint="cs"/>
          <w:color w:val="E36C0A" w:themeColor="accent6" w:themeShade="BF"/>
          <w:rtl/>
        </w:rPr>
        <w:t>(וכ"</w:t>
      </w:r>
      <w:r w:rsidR="002F7BCC">
        <w:rPr>
          <w:rFonts w:hint="cs"/>
          <w:color w:val="E36C0A" w:themeColor="accent6" w:themeShade="BF"/>
          <w:rtl/>
        </w:rPr>
        <w:t>מ מסתימת</w:t>
      </w:r>
      <w:r w:rsidR="002F7BCC" w:rsidRPr="0081621B">
        <w:rPr>
          <w:rFonts w:hint="cs"/>
          <w:color w:val="E36C0A" w:themeColor="accent6" w:themeShade="BF"/>
          <w:rtl/>
        </w:rPr>
        <w:t xml:space="preserve"> </w:t>
      </w:r>
      <w:r w:rsidR="002F7BCC">
        <w:rPr>
          <w:rFonts w:hint="cs"/>
          <w:color w:val="E36C0A" w:themeColor="accent6" w:themeShade="BF"/>
          <w:rtl/>
        </w:rPr>
        <w:t>ה</w:t>
      </w:r>
      <w:r w:rsidR="002F7BCC" w:rsidRPr="0081621B">
        <w:rPr>
          <w:rFonts w:hint="cs"/>
          <w:color w:val="E36C0A" w:themeColor="accent6" w:themeShade="BF"/>
          <w:rtl/>
        </w:rPr>
        <w:t>שו"ע)</w:t>
      </w:r>
    </w:p>
    <w:p w14:paraId="101362DE" w14:textId="77777777" w:rsidR="00392DBB" w:rsidRPr="00046747" w:rsidRDefault="00392DBB" w:rsidP="00392DBB">
      <w:pPr>
        <w:ind w:left="360"/>
        <w:rPr>
          <w:u w:val="dotted"/>
        </w:rPr>
      </w:pPr>
      <w:r w:rsidRPr="00046747">
        <w:rPr>
          <w:rFonts w:hint="cs"/>
          <w:u w:val="dotted"/>
          <w:rtl/>
        </w:rPr>
        <w:t xml:space="preserve">האם נוהגת </w:t>
      </w:r>
      <w:r w:rsidRPr="00273BFF">
        <w:rPr>
          <w:rFonts w:hint="cs"/>
          <w:b/>
          <w:bCs/>
          <w:u w:val="dotted"/>
          <w:rtl/>
        </w:rPr>
        <w:t>היום</w:t>
      </w:r>
      <w:r w:rsidRPr="00EF7FF2">
        <w:rPr>
          <w:rStyle w:val="a7"/>
          <w:rFonts w:cs="Arial"/>
          <w:u w:val="dotted"/>
          <w:rtl/>
        </w:rPr>
        <w:footnoteReference w:id="2475"/>
      </w:r>
      <w:r>
        <w:rPr>
          <w:rFonts w:hint="cs"/>
          <w:u w:val="dotted"/>
          <w:rtl/>
        </w:rPr>
        <w:t xml:space="preserve"> </w:t>
      </w:r>
      <w:r w:rsidRPr="00046747">
        <w:rPr>
          <w:rFonts w:hint="cs"/>
          <w:u w:val="dotted"/>
          <w:rtl/>
        </w:rPr>
        <w:t>גם במטלטלי:</w:t>
      </w:r>
    </w:p>
    <w:p w14:paraId="52C4A06F" w14:textId="77777777" w:rsidR="00392DBB" w:rsidRPr="00851BF6" w:rsidRDefault="00392DBB" w:rsidP="009000E3">
      <w:pPr>
        <w:pStyle w:val="ab"/>
        <w:numPr>
          <w:ilvl w:val="0"/>
          <w:numId w:val="63"/>
        </w:numPr>
      </w:pPr>
      <w:r w:rsidRPr="008A1F1E">
        <w:rPr>
          <w:rFonts w:cs="Arial"/>
          <w:rtl/>
        </w:rPr>
        <w:t>ריב"א ור' שמשון</w:t>
      </w:r>
      <w:r>
        <w:rPr>
          <w:rFonts w:cs="Arial" w:hint="cs"/>
          <w:rtl/>
        </w:rPr>
        <w:t xml:space="preserve"> </w:t>
      </w:r>
      <w:r>
        <w:rPr>
          <w:rFonts w:cs="Arial" w:hint="cs"/>
          <w:sz w:val="16"/>
          <w:szCs w:val="16"/>
          <w:rtl/>
        </w:rPr>
        <w:t>(כ"כ הטור בשמם)</w:t>
      </w:r>
      <w:r>
        <w:rPr>
          <w:rFonts w:cs="Arial" w:hint="cs"/>
          <w:rtl/>
        </w:rPr>
        <w:t xml:space="preserve">- </w:t>
      </w:r>
      <w:r w:rsidRPr="008A1F1E">
        <w:rPr>
          <w:rFonts w:cs="Arial"/>
          <w:rtl/>
        </w:rPr>
        <w:t>נוהגת אפי' במטלטלי</w:t>
      </w:r>
      <w:r>
        <w:rPr>
          <w:rFonts w:cs="Arial" w:hint="cs"/>
          <w:rtl/>
        </w:rPr>
        <w:t>,</w:t>
      </w:r>
      <w:r w:rsidRPr="008A1F1E">
        <w:rPr>
          <w:rFonts w:cs="Arial"/>
          <w:rtl/>
        </w:rPr>
        <w:t xml:space="preserve"> דכיון דתיקון רבנן בתראי דכתובה נוהגת במטלטלין ה"ה כתובת בנין דכרין</w:t>
      </w:r>
      <w:r>
        <w:rPr>
          <w:rFonts w:cs="Arial" w:hint="cs"/>
          <w:rtl/>
        </w:rPr>
        <w:t xml:space="preserve"> </w:t>
      </w:r>
      <w:r>
        <w:rPr>
          <w:rFonts w:cs="Arial" w:hint="cs"/>
          <w:sz w:val="16"/>
          <w:szCs w:val="16"/>
          <w:rtl/>
        </w:rPr>
        <w:t>(ל' הטור בשמם)</w:t>
      </w:r>
      <w:r>
        <w:rPr>
          <w:rFonts w:cs="Arial" w:hint="cs"/>
          <w:rtl/>
        </w:rPr>
        <w:t>.</w:t>
      </w:r>
      <w:r>
        <w:rPr>
          <w:rFonts w:hint="cs"/>
          <w:rtl/>
        </w:rPr>
        <w:t xml:space="preserve"> </w:t>
      </w:r>
    </w:p>
    <w:p w14:paraId="5C4BAE98" w14:textId="48C061F0" w:rsidR="00392DBB" w:rsidRDefault="00392DBB" w:rsidP="009000E3">
      <w:pPr>
        <w:pStyle w:val="ab"/>
        <w:numPr>
          <w:ilvl w:val="0"/>
          <w:numId w:val="63"/>
        </w:numPr>
      </w:pPr>
      <w:r w:rsidRPr="008A1F1E">
        <w:rPr>
          <w:rFonts w:cs="Arial"/>
          <w:rtl/>
        </w:rPr>
        <w:t>ר"י</w:t>
      </w:r>
      <w:r>
        <w:rPr>
          <w:rFonts w:cs="Arial" w:hint="cs"/>
          <w:sz w:val="16"/>
          <w:szCs w:val="16"/>
          <w:rtl/>
        </w:rPr>
        <w:t xml:space="preserve"> </w:t>
      </w:r>
      <w:r>
        <w:rPr>
          <w:rFonts w:cs="Arial" w:hint="cs"/>
          <w:rtl/>
        </w:rPr>
        <w:t xml:space="preserve">רמב"ם </w:t>
      </w:r>
      <w:r w:rsidRPr="008A1F1E">
        <w:rPr>
          <w:rFonts w:cs="Arial"/>
          <w:rtl/>
        </w:rPr>
        <w:t>רמ"ה</w:t>
      </w:r>
      <w:r>
        <w:rPr>
          <w:rFonts w:cs="Arial" w:hint="cs"/>
          <w:rtl/>
        </w:rPr>
        <w:t xml:space="preserve"> רשב"א</w:t>
      </w:r>
      <w:r>
        <w:rPr>
          <w:rStyle w:val="a7"/>
          <w:rFonts w:cs="Arial"/>
          <w:rtl/>
        </w:rPr>
        <w:footnoteReference w:id="2476"/>
      </w:r>
      <w:r>
        <w:rPr>
          <w:rFonts w:cs="Arial" w:hint="cs"/>
          <w:sz w:val="16"/>
          <w:szCs w:val="16"/>
          <w:rtl/>
        </w:rPr>
        <w:t xml:space="preserve"> </w:t>
      </w:r>
      <w:r>
        <w:rPr>
          <w:rFonts w:cs="Arial" w:hint="cs"/>
          <w:rtl/>
        </w:rPr>
        <w:t>ורא"ש</w:t>
      </w:r>
      <w:r>
        <w:rPr>
          <w:rStyle w:val="a7"/>
          <w:rFonts w:cs="Arial"/>
          <w:rtl/>
        </w:rPr>
        <w:footnoteReference w:id="2477"/>
      </w:r>
      <w:r>
        <w:rPr>
          <w:rFonts w:cs="Arial" w:hint="cs"/>
          <w:rtl/>
        </w:rPr>
        <w:t>-</w:t>
      </w:r>
      <w:r w:rsidRPr="008A1F1E">
        <w:rPr>
          <w:rFonts w:cs="Arial"/>
          <w:rtl/>
        </w:rPr>
        <w:t xml:space="preserve"> כיון שמרבים ליתן לבנות</w:t>
      </w:r>
      <w:r w:rsidR="00C934E4">
        <w:rPr>
          <w:rFonts w:cs="Arial" w:hint="cs"/>
          <w:rtl/>
        </w:rPr>
        <w:t>,</w:t>
      </w:r>
      <w:r>
        <w:rPr>
          <w:rFonts w:cs="Arial" w:hint="cs"/>
          <w:rtl/>
        </w:rPr>
        <w:t xml:space="preserve"> </w:t>
      </w:r>
      <w:r w:rsidRPr="008A1F1E">
        <w:rPr>
          <w:rFonts w:cs="Arial"/>
          <w:rtl/>
        </w:rPr>
        <w:t>נעמידנה בחזקה דמעיקרא דוקא במקרקעי ולא במטלטלי</w:t>
      </w:r>
      <w:r>
        <w:rPr>
          <w:rStyle w:val="a7"/>
          <w:rFonts w:cs="Arial"/>
          <w:rtl/>
        </w:rPr>
        <w:footnoteReference w:id="2478"/>
      </w:r>
      <w:r>
        <w:rPr>
          <w:rFonts w:cs="Arial" w:hint="cs"/>
          <w:rtl/>
        </w:rPr>
        <w:t>.</w:t>
      </w:r>
      <w:r w:rsidRPr="008A1F1E">
        <w:rPr>
          <w:rFonts w:cs="Arial"/>
          <w:rtl/>
        </w:rPr>
        <w:t xml:space="preserve"> ולענין מה שתקנו הגאונים דכתובה נגבית ממטלטלין לענין זה לא עשו כתובת בנין דכרין כתובה</w:t>
      </w:r>
      <w:r>
        <w:rPr>
          <w:rFonts w:cs="Arial" w:hint="cs"/>
          <w:rtl/>
        </w:rPr>
        <w:t xml:space="preserve"> </w:t>
      </w:r>
      <w:r>
        <w:rPr>
          <w:rFonts w:cs="Arial" w:hint="cs"/>
          <w:sz w:val="16"/>
          <w:szCs w:val="16"/>
          <w:rtl/>
        </w:rPr>
        <w:t>(ל' הטור בשמם)</w:t>
      </w:r>
      <w:r>
        <w:rPr>
          <w:rStyle w:val="a7"/>
          <w:rtl/>
        </w:rPr>
        <w:footnoteReference w:id="2479"/>
      </w:r>
      <w:r>
        <w:rPr>
          <w:rFonts w:hint="cs"/>
          <w:rtl/>
        </w:rPr>
        <w:t xml:space="preserve">. </w:t>
      </w:r>
    </w:p>
    <w:p w14:paraId="5E75E91D" w14:textId="6BFA9E3D" w:rsidR="00392DBB" w:rsidRPr="001174FA" w:rsidRDefault="00392DBB" w:rsidP="00392DBB">
      <w:pPr>
        <w:ind w:left="720"/>
        <w:rPr>
          <w:u w:val="wave"/>
        </w:rPr>
      </w:pPr>
      <w:r w:rsidRPr="001174FA">
        <w:rPr>
          <w:rFonts w:hint="cs"/>
          <w:u w:val="wave"/>
          <w:rtl/>
        </w:rPr>
        <w:lastRenderedPageBreak/>
        <w:t>לרמב"ם וסיעת</w:t>
      </w:r>
      <w:r w:rsidR="0027732C">
        <w:rPr>
          <w:rFonts w:hint="cs"/>
          <w:u w:val="wave"/>
          <w:rtl/>
        </w:rPr>
        <w:t>ו</w:t>
      </w:r>
      <w:r w:rsidRPr="001174FA">
        <w:rPr>
          <w:rFonts w:hint="cs"/>
          <w:u w:val="wave"/>
          <w:rtl/>
        </w:rPr>
        <w:t xml:space="preserve"> - מה הדין </w:t>
      </w:r>
      <w:r>
        <w:rPr>
          <w:rFonts w:hint="cs"/>
          <w:u w:val="wave"/>
          <w:rtl/>
        </w:rPr>
        <w:t>כ</w:t>
      </w:r>
      <w:r w:rsidRPr="001174FA">
        <w:rPr>
          <w:rFonts w:hint="cs"/>
          <w:u w:val="wave"/>
          <w:rtl/>
        </w:rPr>
        <w:t>שכותבים מטלט</w:t>
      </w:r>
      <w:r>
        <w:rPr>
          <w:rFonts w:hint="cs"/>
          <w:u w:val="wave"/>
          <w:rtl/>
        </w:rPr>
        <w:t>ל</w:t>
      </w:r>
      <w:r w:rsidRPr="001174FA">
        <w:rPr>
          <w:rFonts w:hint="cs"/>
          <w:u w:val="wave"/>
          <w:rtl/>
        </w:rPr>
        <w:t>י אגב מקרקעי:</w:t>
      </w:r>
    </w:p>
    <w:p w14:paraId="6C7CECF3" w14:textId="699AED00" w:rsidR="00392DBB" w:rsidRPr="008A1F1E" w:rsidRDefault="00392DBB" w:rsidP="009000E3">
      <w:pPr>
        <w:pStyle w:val="ab"/>
        <w:numPr>
          <w:ilvl w:val="0"/>
          <w:numId w:val="63"/>
        </w:numPr>
        <w:rPr>
          <w:rtl/>
        </w:rPr>
      </w:pPr>
      <w:r>
        <w:rPr>
          <w:rFonts w:hint="cs"/>
          <w:rtl/>
        </w:rPr>
        <w:t xml:space="preserve">ב"י- </w:t>
      </w:r>
      <w:r w:rsidRPr="001174FA">
        <w:rPr>
          <w:rFonts w:cs="Arial"/>
          <w:rtl/>
        </w:rPr>
        <w:t xml:space="preserve">כבר נתבאר בתחלת סימן זה </w:t>
      </w:r>
      <w:r w:rsidRPr="001174FA">
        <w:rPr>
          <w:rFonts w:cs="Arial"/>
          <w:sz w:val="16"/>
          <w:szCs w:val="16"/>
          <w:rtl/>
        </w:rPr>
        <w:t>(</w:t>
      </w:r>
      <w:r w:rsidRPr="001174FA">
        <w:rPr>
          <w:rFonts w:cs="Arial" w:hint="cs"/>
          <w:sz w:val="16"/>
          <w:szCs w:val="16"/>
          <w:rtl/>
        </w:rPr>
        <w:t>בב"י, אך בשו"ע הוא בסע' יד</w:t>
      </w:r>
      <w:r w:rsidRPr="001174FA">
        <w:rPr>
          <w:rFonts w:cs="Arial"/>
          <w:sz w:val="16"/>
          <w:szCs w:val="16"/>
          <w:rtl/>
        </w:rPr>
        <w:t xml:space="preserve">) </w:t>
      </w:r>
      <w:r w:rsidRPr="001174FA">
        <w:rPr>
          <w:rFonts w:cs="Arial"/>
          <w:rtl/>
        </w:rPr>
        <w:t>ושם כתבתי דעת הריב"ש (סי' קו) דהשתא דכתבינן בכתובות דילן מטלטלי אגב מקרקעי לדעת הרמב"ם והרא"ש ז"ל גביא נמי אף ממטלטלי</w:t>
      </w:r>
      <w:r w:rsidRPr="001174FA">
        <w:rPr>
          <w:rFonts w:cs="Arial" w:hint="cs"/>
          <w:rtl/>
        </w:rPr>
        <w:t>.</w:t>
      </w:r>
    </w:p>
    <w:p w14:paraId="0F9B2A4E"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EB2A7E9" w14:textId="77777777" w:rsidR="00392DBB" w:rsidRDefault="00392DBB" w:rsidP="00392DBB">
      <w:pPr>
        <w:rPr>
          <w:rtl/>
        </w:rPr>
      </w:pPr>
      <w:r>
        <w:rPr>
          <w:rFonts w:cs="Arial"/>
          <w:rtl/>
        </w:rPr>
        <w:t xml:space="preserve">מי שצוה בשעת מיתה שלא ירשו בניו כתובת בנין דכרין, אין שומעין לו. </w:t>
      </w:r>
      <w:r w:rsidRPr="00CA185A">
        <w:rPr>
          <w:rFonts w:cs="Arial"/>
          <w:sz w:val="18"/>
          <w:szCs w:val="18"/>
          <w:rtl/>
        </w:rPr>
        <w:t>הגה: אבל אם התנה כן בשעת נשואין, תנאו קיים (טור). וי"א דאין כתובת בנין דכרין נוהגת האידנא, דעיקר התקנה היתה כדי שיתן אדם לבתו כבנו, ועכשיו נוהגים ליתן לבת יותר ויותר (</w:t>
      </w:r>
      <w:r>
        <w:rPr>
          <w:rFonts w:cs="Arial" w:hint="cs"/>
          <w:sz w:val="18"/>
          <w:szCs w:val="18"/>
          <w:rtl/>
        </w:rPr>
        <w:t>בהעי"ט</w:t>
      </w:r>
      <w:r w:rsidRPr="00CA185A">
        <w:rPr>
          <w:rFonts w:cs="Arial"/>
          <w:sz w:val="18"/>
          <w:szCs w:val="18"/>
          <w:rtl/>
        </w:rPr>
        <w:t>), וכן נוהגין במדינות אלו.</w:t>
      </w:r>
      <w:r>
        <w:rPr>
          <w:rFonts w:cs="Arial"/>
          <w:rtl/>
        </w:rPr>
        <w:t xml:space="preserve"> </w:t>
      </w:r>
    </w:p>
    <w:p w14:paraId="36E06A9D" w14:textId="77777777" w:rsidR="00392DBB" w:rsidRDefault="00392DBB" w:rsidP="00392DBB">
      <w:pPr>
        <w:rPr>
          <w:rtl/>
        </w:rPr>
      </w:pPr>
    </w:p>
    <w:p w14:paraId="5A66E220" w14:textId="77777777" w:rsidR="00392DBB" w:rsidRDefault="00392DBB" w:rsidP="000F64D0">
      <w:pPr>
        <w:pStyle w:val="2"/>
        <w:rPr>
          <w:rtl/>
        </w:rPr>
      </w:pPr>
      <w:r>
        <w:rPr>
          <w:rtl/>
        </w:rPr>
        <w:t>סעיף יז</w:t>
      </w:r>
      <w:r>
        <w:rPr>
          <w:rFonts w:hint="cs"/>
          <w:rtl/>
        </w:rPr>
        <w:t>: נתן נכסיו במתנת שכיב מרע או בריא.</w:t>
      </w:r>
    </w:p>
    <w:p w14:paraId="37FDBE57" w14:textId="7E2A8805" w:rsidR="00392DBB" w:rsidRPr="009F75B4" w:rsidRDefault="00392DBB" w:rsidP="00392DBB">
      <w:pPr>
        <w:rPr>
          <w:u w:val="single"/>
          <w:rtl/>
        </w:rPr>
      </w:pPr>
      <w:r w:rsidRPr="009F75B4">
        <w:rPr>
          <w:rFonts w:hint="cs"/>
          <w:u w:val="single"/>
          <w:rtl/>
        </w:rPr>
        <w:t xml:space="preserve">הנותן כל נכסיו במתנת שכיב מרע </w:t>
      </w:r>
      <w:r w:rsidR="00F97626">
        <w:rPr>
          <w:u w:val="single"/>
          <w:rtl/>
        </w:rPr>
        <w:t>-</w:t>
      </w:r>
      <w:r w:rsidRPr="009F75B4">
        <w:rPr>
          <w:rFonts w:hint="cs"/>
          <w:u w:val="single"/>
          <w:rtl/>
        </w:rPr>
        <w:t xml:space="preserve"> האם היורשים גובים כתובת בנין דכרין:</w:t>
      </w:r>
    </w:p>
    <w:p w14:paraId="1C7BEBD8" w14:textId="6EBECE54" w:rsidR="00392DBB" w:rsidRDefault="00392DBB" w:rsidP="009000E3">
      <w:pPr>
        <w:pStyle w:val="ab"/>
        <w:numPr>
          <w:ilvl w:val="0"/>
          <w:numId w:val="63"/>
        </w:numPr>
        <w:rPr>
          <w:rFonts w:cs="Arial"/>
        </w:rPr>
      </w:pPr>
      <w:r w:rsidRPr="00D8152A">
        <w:rPr>
          <w:rFonts w:cs="Arial"/>
          <w:rtl/>
        </w:rPr>
        <w:t xml:space="preserve">רמב"ם </w:t>
      </w:r>
      <w:r w:rsidRPr="009F75B4">
        <w:rPr>
          <w:rFonts w:cs="Arial" w:hint="cs"/>
          <w:sz w:val="16"/>
          <w:szCs w:val="16"/>
          <w:rtl/>
        </w:rPr>
        <w:t>(</w:t>
      </w:r>
      <w:r w:rsidRPr="009F75B4">
        <w:rPr>
          <w:rFonts w:cs="Arial"/>
          <w:sz w:val="16"/>
          <w:szCs w:val="16"/>
          <w:rtl/>
        </w:rPr>
        <w:t>פי"ט הי"ג)</w:t>
      </w:r>
      <w:r>
        <w:rPr>
          <w:rFonts w:cs="Arial" w:hint="cs"/>
          <w:rtl/>
        </w:rPr>
        <w:t xml:space="preserve">- </w:t>
      </w:r>
      <w:r w:rsidRPr="00D8152A">
        <w:rPr>
          <w:rFonts w:cs="Arial"/>
          <w:rtl/>
        </w:rPr>
        <w:t>אם נתן כל נכסיו לאחרים במתנת שכיב מרע</w:t>
      </w:r>
      <w:r>
        <w:rPr>
          <w:rFonts w:cs="Arial" w:hint="cs"/>
          <w:rtl/>
        </w:rPr>
        <w:t>,</w:t>
      </w:r>
      <w:r w:rsidRPr="00D8152A">
        <w:rPr>
          <w:rFonts w:cs="Arial"/>
          <w:rtl/>
        </w:rPr>
        <w:t xml:space="preserve"> הואיל ומתנת שכיב מרע אינה קונה אלא לאחר מיתה</w:t>
      </w:r>
      <w:r>
        <w:rPr>
          <w:rFonts w:cs="Arial" w:hint="cs"/>
          <w:rtl/>
        </w:rPr>
        <w:t>,</w:t>
      </w:r>
      <w:r w:rsidRPr="00D8152A">
        <w:rPr>
          <w:rFonts w:cs="Arial"/>
          <w:rtl/>
        </w:rPr>
        <w:t xml:space="preserve"> הרי המתנה וחיוב התנאים באים כאחד</w:t>
      </w:r>
      <w:r>
        <w:rPr>
          <w:rFonts w:cs="Arial" w:hint="cs"/>
          <w:rtl/>
        </w:rPr>
        <w:t>,</w:t>
      </w:r>
      <w:r w:rsidRPr="00D8152A">
        <w:rPr>
          <w:rFonts w:cs="Arial"/>
          <w:rtl/>
        </w:rPr>
        <w:t xml:space="preserve"> ולפיכך בניו יורשים כתובת אמן שמתה בחיי בעלה</w:t>
      </w:r>
      <w:r>
        <w:rPr>
          <w:rFonts w:cs="Arial" w:hint="cs"/>
          <w:rtl/>
        </w:rPr>
        <w:t>.</w:t>
      </w:r>
      <w:r w:rsidRPr="009C7725">
        <w:rPr>
          <w:rFonts w:hint="cs"/>
          <w:color w:val="E36C0A" w:themeColor="accent6" w:themeShade="BF"/>
          <w:rtl/>
        </w:rPr>
        <w:t xml:space="preserve"> </w:t>
      </w:r>
      <w:r w:rsidRPr="0081621B">
        <w:rPr>
          <w:rFonts w:hint="cs"/>
          <w:color w:val="E36C0A" w:themeColor="accent6" w:themeShade="BF"/>
          <w:rtl/>
        </w:rPr>
        <w:t>(וכ"פ בשו"ע)</w:t>
      </w:r>
      <w:r w:rsidR="002F7BCC">
        <w:rPr>
          <w:rFonts w:cs="Arial" w:hint="cs"/>
          <w:rtl/>
        </w:rPr>
        <w:t xml:space="preserve"> </w:t>
      </w:r>
    </w:p>
    <w:p w14:paraId="591387F2" w14:textId="77777777" w:rsidR="00392DBB" w:rsidRPr="009F75B4" w:rsidRDefault="00392DBB" w:rsidP="00392DBB">
      <w:pPr>
        <w:ind w:left="360"/>
        <w:rPr>
          <w:rFonts w:cs="Arial"/>
          <w:u w:val="dotted"/>
          <w:rtl/>
        </w:rPr>
      </w:pPr>
      <w:r w:rsidRPr="009F75B4">
        <w:rPr>
          <w:rFonts w:cs="Arial" w:hint="cs"/>
          <w:u w:val="dotted"/>
          <w:rtl/>
        </w:rPr>
        <w:t>ומה הדין אם נתן במתנת בריא:</w:t>
      </w:r>
    </w:p>
    <w:p w14:paraId="5D533DE2" w14:textId="51326755" w:rsidR="00392DBB" w:rsidRPr="0040121B" w:rsidRDefault="00392DBB" w:rsidP="0040121B">
      <w:pPr>
        <w:pStyle w:val="ab"/>
        <w:numPr>
          <w:ilvl w:val="0"/>
          <w:numId w:val="63"/>
        </w:numPr>
        <w:rPr>
          <w:rFonts w:cs="Arial"/>
        </w:rPr>
      </w:pPr>
      <w:r>
        <w:rPr>
          <w:rFonts w:cs="Arial" w:hint="cs"/>
          <w:rtl/>
        </w:rPr>
        <w:t xml:space="preserve">ב"י </w:t>
      </w:r>
      <w:r>
        <w:rPr>
          <w:rFonts w:cs="Arial" w:hint="cs"/>
          <w:sz w:val="16"/>
          <w:szCs w:val="16"/>
          <w:rtl/>
        </w:rPr>
        <w:t>(בבדה"ב)</w:t>
      </w:r>
      <w:r>
        <w:rPr>
          <w:rFonts w:cs="Arial" w:hint="cs"/>
          <w:rtl/>
        </w:rPr>
        <w:t>-</w:t>
      </w:r>
      <w:r w:rsidRPr="00D8152A">
        <w:rPr>
          <w:rFonts w:cs="Arial"/>
          <w:rtl/>
        </w:rPr>
        <w:t xml:space="preserve"> אם נתנה במתנת בריא מהיום ולאחר מיתה</w:t>
      </w:r>
      <w:r w:rsidR="0040121B">
        <w:rPr>
          <w:rFonts w:cs="Arial" w:hint="cs"/>
          <w:rtl/>
        </w:rPr>
        <w:t>,</w:t>
      </w:r>
      <w:r w:rsidRPr="0040121B">
        <w:rPr>
          <w:rFonts w:cs="Arial"/>
          <w:rtl/>
        </w:rPr>
        <w:t xml:space="preserve"> אע</w:t>
      </w:r>
      <w:r w:rsidRPr="0040121B">
        <w:rPr>
          <w:rFonts w:cs="Arial" w:hint="cs"/>
          <w:rtl/>
        </w:rPr>
        <w:t>"</w:t>
      </w:r>
      <w:r w:rsidRPr="0040121B">
        <w:rPr>
          <w:rFonts w:cs="Arial"/>
          <w:rtl/>
        </w:rPr>
        <w:t xml:space="preserve">פ שכתב הרמב"ם </w:t>
      </w:r>
      <w:r w:rsidRPr="0040121B">
        <w:rPr>
          <w:rFonts w:cs="Arial" w:hint="cs"/>
          <w:sz w:val="16"/>
          <w:szCs w:val="16"/>
          <w:rtl/>
        </w:rPr>
        <w:t>(</w:t>
      </w:r>
      <w:r w:rsidRPr="0040121B">
        <w:rPr>
          <w:rFonts w:cs="Arial"/>
          <w:sz w:val="16"/>
          <w:szCs w:val="16"/>
          <w:rtl/>
        </w:rPr>
        <w:t xml:space="preserve">פי"ב מזכיה ומתנה הי"ד) </w:t>
      </w:r>
      <w:r w:rsidRPr="0040121B">
        <w:rPr>
          <w:rFonts w:cs="Arial"/>
          <w:rtl/>
        </w:rPr>
        <w:t>שהיא כמתנת שכיב מרע</w:t>
      </w:r>
      <w:r w:rsidRPr="0040121B">
        <w:rPr>
          <w:rFonts w:cs="Arial" w:hint="cs"/>
          <w:rtl/>
        </w:rPr>
        <w:t>,</w:t>
      </w:r>
      <w:r w:rsidRPr="0040121B">
        <w:rPr>
          <w:rFonts w:cs="Arial"/>
          <w:rtl/>
        </w:rPr>
        <w:t xml:space="preserve"> היינו לענין הפירות</w:t>
      </w:r>
      <w:r w:rsidRPr="0040121B">
        <w:rPr>
          <w:rFonts w:cs="Arial" w:hint="cs"/>
          <w:rtl/>
        </w:rPr>
        <w:t>,</w:t>
      </w:r>
      <w:r w:rsidRPr="0040121B">
        <w:rPr>
          <w:rFonts w:cs="Arial"/>
          <w:rtl/>
        </w:rPr>
        <w:t xml:space="preserve"> אבל לענין הגוף דין מתנת בריא יש לה</w:t>
      </w:r>
      <w:r w:rsidRPr="0040121B">
        <w:rPr>
          <w:rFonts w:cs="Arial" w:hint="cs"/>
          <w:rtl/>
        </w:rPr>
        <w:t>,</w:t>
      </w:r>
      <w:r w:rsidRPr="0040121B">
        <w:rPr>
          <w:rFonts w:cs="Arial"/>
          <w:rtl/>
        </w:rPr>
        <w:t xml:space="preserve"> וכן מפורש בדברי הרמב"ם שם</w:t>
      </w:r>
      <w:r w:rsidRPr="0040121B">
        <w:rPr>
          <w:rFonts w:cs="Arial" w:hint="cs"/>
          <w:rtl/>
        </w:rPr>
        <w:t>.</w:t>
      </w:r>
      <w:r w:rsidRPr="0040121B">
        <w:rPr>
          <w:rFonts w:cs="Arial"/>
          <w:rtl/>
        </w:rPr>
        <w:t xml:space="preserve"> וכן כתב בפירוש המרדכי פרק יש נוחלין </w:t>
      </w:r>
      <w:r w:rsidRPr="0040121B">
        <w:rPr>
          <w:rFonts w:cs="Arial"/>
          <w:sz w:val="16"/>
          <w:szCs w:val="16"/>
          <w:rtl/>
        </w:rPr>
        <w:t xml:space="preserve">(ב"ב סי' תקצא) </w:t>
      </w:r>
      <w:r w:rsidRPr="0040121B">
        <w:rPr>
          <w:rFonts w:cs="Arial"/>
          <w:rtl/>
        </w:rPr>
        <w:t>בשם תשובת הר"מ</w:t>
      </w:r>
      <w:r w:rsidRPr="0040121B">
        <w:rPr>
          <w:rFonts w:cs="Arial" w:hint="cs"/>
          <w:rtl/>
        </w:rPr>
        <w:t>.</w:t>
      </w:r>
      <w:r w:rsidRPr="0040121B">
        <w:rPr>
          <w:rFonts w:hint="cs"/>
          <w:color w:val="E36C0A" w:themeColor="accent6" w:themeShade="BF"/>
          <w:rtl/>
        </w:rPr>
        <w:t xml:space="preserve"> (וכ"פ בשו"ע)</w:t>
      </w:r>
    </w:p>
    <w:p w14:paraId="5D79E150" w14:textId="77777777" w:rsidR="00392DBB" w:rsidRPr="00E8453E" w:rsidRDefault="00392DBB" w:rsidP="00392DBB">
      <w:pPr>
        <w:rPr>
          <w:rFonts w:cs="Arial"/>
          <w:rtl/>
        </w:rPr>
      </w:pPr>
      <w:r>
        <w:rPr>
          <w:rFonts w:hint="cs"/>
          <w:u w:val="single"/>
          <w:rtl/>
        </w:rPr>
        <w:t>נשא שתי נשים, ומתה הראשונה ויש לו ממנה ילדים, ומשהניה אין לו - ונתן מנכסיו מתנת שכ"מ ומת:</w:t>
      </w:r>
    </w:p>
    <w:p w14:paraId="27C5AE94" w14:textId="15B31893" w:rsidR="00392DBB" w:rsidRPr="008A1F1E" w:rsidRDefault="00392DBB" w:rsidP="009000E3">
      <w:pPr>
        <w:pStyle w:val="ab"/>
        <w:numPr>
          <w:ilvl w:val="0"/>
          <w:numId w:val="63"/>
        </w:numPr>
        <w:rPr>
          <w:rtl/>
        </w:rPr>
      </w:pPr>
      <w:r w:rsidRPr="00D8152A">
        <w:rPr>
          <w:rFonts w:cs="Arial"/>
          <w:rtl/>
        </w:rPr>
        <w:t>רש</w:t>
      </w:r>
      <w:r>
        <w:rPr>
          <w:rFonts w:cs="Arial" w:hint="cs"/>
          <w:rtl/>
        </w:rPr>
        <w:t>ב"צ</w:t>
      </w:r>
      <w:r w:rsidRPr="00D8152A">
        <w:rPr>
          <w:rFonts w:cs="Arial"/>
          <w:rtl/>
        </w:rPr>
        <w:t xml:space="preserve"> </w:t>
      </w:r>
      <w:r w:rsidRPr="00E8453E">
        <w:rPr>
          <w:rFonts w:cs="Arial"/>
          <w:sz w:val="16"/>
          <w:szCs w:val="16"/>
          <w:rtl/>
        </w:rPr>
        <w:t>(ח"א סי' קנ)</w:t>
      </w:r>
      <w:r>
        <w:rPr>
          <w:rFonts w:cs="Arial" w:hint="cs"/>
          <w:rtl/>
        </w:rPr>
        <w:t>-</w:t>
      </w:r>
      <w:r w:rsidRPr="00D8152A">
        <w:rPr>
          <w:rFonts w:cs="Arial"/>
          <w:rtl/>
        </w:rPr>
        <w:t xml:space="preserve"> ראובן מת והיו לו שתי נשים</w:t>
      </w:r>
      <w:r>
        <w:rPr>
          <w:rFonts w:cs="Arial" w:hint="cs"/>
          <w:rtl/>
        </w:rPr>
        <w:t>.</w:t>
      </w:r>
      <w:r w:rsidRPr="00D8152A">
        <w:rPr>
          <w:rFonts w:cs="Arial"/>
          <w:rtl/>
        </w:rPr>
        <w:t xml:space="preserve"> והיו לו בנים מהאחת שמתה בחייו</w:t>
      </w:r>
      <w:r>
        <w:rPr>
          <w:rFonts w:cs="Arial" w:hint="cs"/>
          <w:rtl/>
        </w:rPr>
        <w:t>,</w:t>
      </w:r>
      <w:r w:rsidRPr="00D8152A">
        <w:rPr>
          <w:rFonts w:cs="Arial"/>
          <w:rtl/>
        </w:rPr>
        <w:t xml:space="preserve"> ואין לו בנים מהשנייה</w:t>
      </w:r>
      <w:r>
        <w:rPr>
          <w:rFonts w:cs="Arial" w:hint="cs"/>
          <w:rtl/>
        </w:rPr>
        <w:t>.</w:t>
      </w:r>
      <w:r w:rsidRPr="00D8152A">
        <w:rPr>
          <w:rFonts w:cs="Arial"/>
          <w:rtl/>
        </w:rPr>
        <w:t xml:space="preserve"> ונתן מנכסיו במתנת שכיב מרע</w:t>
      </w:r>
      <w:r>
        <w:rPr>
          <w:rFonts w:cs="Arial" w:hint="cs"/>
          <w:rtl/>
        </w:rPr>
        <w:t>,</w:t>
      </w:r>
      <w:r w:rsidRPr="00D8152A">
        <w:rPr>
          <w:rFonts w:cs="Arial"/>
          <w:rtl/>
        </w:rPr>
        <w:t xml:space="preserve"> והשנייה באה לגבות כתובתה שקודמת למתנת שכיב מרע</w:t>
      </w:r>
      <w:r>
        <w:rPr>
          <w:rFonts w:cs="Arial" w:hint="cs"/>
          <w:rtl/>
        </w:rPr>
        <w:t>.</w:t>
      </w:r>
      <w:r w:rsidRPr="00D8152A">
        <w:rPr>
          <w:rFonts w:cs="Arial"/>
          <w:rtl/>
        </w:rPr>
        <w:t xml:space="preserve"> ובני הראשונה אומרים אנו קודמים מפני תנאי כתובת בנין דכרין</w:t>
      </w:r>
      <w:r>
        <w:rPr>
          <w:rFonts w:cs="Arial" w:hint="cs"/>
          <w:rtl/>
        </w:rPr>
        <w:t>.</w:t>
      </w:r>
      <w:r w:rsidRPr="00D8152A">
        <w:rPr>
          <w:rFonts w:cs="Arial"/>
          <w:rtl/>
        </w:rPr>
        <w:t xml:space="preserve"> ונשאל הריב"ש על זה והשיב דכתובת בנין דכרין קודמת למתנת שכיב מרע ולכתובת השניה</w:t>
      </w:r>
      <w:r>
        <w:rPr>
          <w:rFonts w:cs="Arial" w:hint="cs"/>
          <w:rtl/>
        </w:rPr>
        <w:t>.</w:t>
      </w:r>
      <w:r w:rsidRPr="00D8152A">
        <w:rPr>
          <w:rFonts w:cs="Arial"/>
          <w:rtl/>
        </w:rPr>
        <w:t xml:space="preserve"> אלא שנסתפק לו אם דין כתובת בנין דכרין הוא כשאין בנים לשנייה </w:t>
      </w:r>
      <w:r w:rsidRPr="00803D85">
        <w:rPr>
          <w:rFonts w:cs="Arial"/>
          <w:rtl/>
        </w:rPr>
        <w:t>אלא שהיא באה לגבות כתובתה כמו שהוא כשיש לה בנים או לא</w:t>
      </w:r>
      <w:r>
        <w:rPr>
          <w:rFonts w:cs="Arial" w:hint="cs"/>
          <w:rtl/>
        </w:rPr>
        <w:t>.</w:t>
      </w:r>
      <w:r w:rsidRPr="00803D85">
        <w:rPr>
          <w:rFonts w:cs="Arial"/>
          <w:rtl/>
        </w:rPr>
        <w:t xml:space="preserve"> ורצה לעמוד על דעתי</w:t>
      </w:r>
      <w:r>
        <w:rPr>
          <w:rFonts w:cs="Arial" w:hint="cs"/>
          <w:rtl/>
        </w:rPr>
        <w:t xml:space="preserve">, </w:t>
      </w:r>
      <w:r w:rsidRPr="00803D85">
        <w:rPr>
          <w:rFonts w:cs="Arial"/>
          <w:rtl/>
        </w:rPr>
        <w:t>וכתבתי לו זה</w:t>
      </w:r>
      <w:r>
        <w:rPr>
          <w:rFonts w:cs="Arial" w:hint="cs"/>
          <w:rtl/>
        </w:rPr>
        <w:t>:</w:t>
      </w:r>
      <w:r w:rsidRPr="00D8152A">
        <w:rPr>
          <w:rFonts w:cs="Arial"/>
          <w:rtl/>
        </w:rPr>
        <w:t xml:space="preserve"> במאי דבדיק לן מר כתובת בנין דכרין אע"ג דבין אית להו כתובת בנין דכרין בין לית להו אינהו ירתי כולהו נכסי</w:t>
      </w:r>
      <w:r>
        <w:rPr>
          <w:rFonts w:cs="Arial" w:hint="cs"/>
          <w:rtl/>
        </w:rPr>
        <w:t>,</w:t>
      </w:r>
      <w:r w:rsidRPr="00D8152A">
        <w:rPr>
          <w:rFonts w:cs="Arial"/>
          <w:rtl/>
        </w:rPr>
        <w:t xml:space="preserve"> מיהו נ"מ לענין מתנת שכיב מרע שנתן אביהם</w:t>
      </w:r>
      <w:r>
        <w:rPr>
          <w:rFonts w:cs="Arial" w:hint="cs"/>
          <w:rtl/>
        </w:rPr>
        <w:t>.</w:t>
      </w:r>
      <w:r w:rsidRPr="00D8152A">
        <w:rPr>
          <w:rFonts w:cs="Arial"/>
          <w:rtl/>
        </w:rPr>
        <w:t xml:space="preserve"> דאי אית להו</w:t>
      </w:r>
      <w:r>
        <w:rPr>
          <w:rFonts w:cs="Arial" w:hint="cs"/>
          <w:rtl/>
        </w:rPr>
        <w:t>,</w:t>
      </w:r>
      <w:r w:rsidRPr="00D8152A">
        <w:rPr>
          <w:rFonts w:cs="Arial"/>
          <w:rtl/>
        </w:rPr>
        <w:t xml:space="preserve"> אינהו קדמי</w:t>
      </w:r>
      <w:r>
        <w:rPr>
          <w:rFonts w:cs="Arial" w:hint="cs"/>
          <w:rtl/>
        </w:rPr>
        <w:t>,</w:t>
      </w:r>
      <w:r w:rsidRPr="00D8152A">
        <w:rPr>
          <w:rFonts w:cs="Arial"/>
          <w:rtl/>
        </w:rPr>
        <w:t xml:space="preserve"> דמתנת שכיב מרע כמשעבדי דמיא כדכתב מר</w:t>
      </w:r>
      <w:r>
        <w:rPr>
          <w:rFonts w:cs="Arial" w:hint="cs"/>
          <w:rtl/>
        </w:rPr>
        <w:t>.</w:t>
      </w:r>
      <w:r w:rsidRPr="00D8152A">
        <w:rPr>
          <w:rFonts w:cs="Arial"/>
          <w:rtl/>
        </w:rPr>
        <w:t xml:space="preserve"> ואי לית להו כתובת בנין דכרין ומכח אביהם שקלי</w:t>
      </w:r>
      <w:r>
        <w:rPr>
          <w:rFonts w:cs="Arial" w:hint="cs"/>
          <w:rtl/>
        </w:rPr>
        <w:t>,</w:t>
      </w:r>
      <w:r w:rsidRPr="00D8152A">
        <w:rPr>
          <w:rFonts w:cs="Arial"/>
          <w:rtl/>
        </w:rPr>
        <w:t xml:space="preserve"> מתנת שכיב מרע קדמה</w:t>
      </w:r>
      <w:r>
        <w:rPr>
          <w:rFonts w:cs="Arial" w:hint="cs"/>
          <w:rtl/>
        </w:rPr>
        <w:t>.</w:t>
      </w:r>
      <w:r w:rsidRPr="00D8152A">
        <w:rPr>
          <w:rFonts w:cs="Arial"/>
          <w:rtl/>
        </w:rPr>
        <w:t xml:space="preserve"> לישנא דמתניתין דפרק נערה משמע דבעינן שיהו בנים לזו ולזו</w:t>
      </w:r>
      <w:r>
        <w:rPr>
          <w:rFonts w:cs="Arial" w:hint="cs"/>
          <w:rtl/>
        </w:rPr>
        <w:t>,</w:t>
      </w:r>
      <w:r w:rsidRPr="00D8152A">
        <w:rPr>
          <w:rFonts w:cs="Arial"/>
          <w:rtl/>
        </w:rPr>
        <w:t xml:space="preserve"> דקתני אינון יירתון כתובתיך יתר על חולקהון דעם אחוהון</w:t>
      </w:r>
      <w:r>
        <w:rPr>
          <w:rFonts w:cs="Arial" w:hint="cs"/>
          <w:rtl/>
        </w:rPr>
        <w:t>...</w:t>
      </w:r>
    </w:p>
    <w:p w14:paraId="65C7288C"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46B7953" w14:textId="77777777" w:rsidR="00392DBB" w:rsidRPr="00775641" w:rsidRDefault="00392DBB" w:rsidP="00392DBB">
      <w:pPr>
        <w:rPr>
          <w:rFonts w:cs="Arial"/>
          <w:rtl/>
        </w:rPr>
        <w:sectPr w:rsidR="00392DBB" w:rsidRPr="00775641" w:rsidSect="00A347B3">
          <w:headerReference w:type="default" r:id="rId55"/>
          <w:footnotePr>
            <w:numRestart w:val="eachSect"/>
          </w:footnotePr>
          <w:pgSz w:w="11906" w:h="16838"/>
          <w:pgMar w:top="720" w:right="1134" w:bottom="720" w:left="1134" w:header="0" w:footer="0" w:gutter="0"/>
          <w:cols w:space="720"/>
          <w:bidi/>
          <w:rtlGutter/>
          <w:docGrid w:linePitch="360"/>
        </w:sectPr>
      </w:pPr>
      <w:r>
        <w:rPr>
          <w:rFonts w:cs="Arial"/>
          <w:rtl/>
        </w:rPr>
        <w:t>נתן כל נכסיו לאחרים במתנת שכ</w:t>
      </w:r>
      <w:r>
        <w:rPr>
          <w:rFonts w:cs="Arial" w:hint="cs"/>
          <w:rtl/>
        </w:rPr>
        <w:t xml:space="preserve">יב </w:t>
      </w:r>
      <w:r>
        <w:rPr>
          <w:rFonts w:cs="Arial"/>
          <w:rtl/>
        </w:rPr>
        <w:t>מ</w:t>
      </w:r>
      <w:r>
        <w:rPr>
          <w:rFonts w:cs="Arial" w:hint="cs"/>
          <w:rtl/>
        </w:rPr>
        <w:t>רע</w:t>
      </w:r>
      <w:r>
        <w:rPr>
          <w:rFonts w:cs="Arial"/>
          <w:rtl/>
        </w:rPr>
        <w:t>, הואיל ומתנת ש</w:t>
      </w:r>
      <w:r>
        <w:rPr>
          <w:rFonts w:cs="Arial" w:hint="cs"/>
          <w:rtl/>
        </w:rPr>
        <w:t xml:space="preserve">כיב </w:t>
      </w:r>
      <w:r>
        <w:rPr>
          <w:rFonts w:cs="Arial"/>
          <w:rtl/>
        </w:rPr>
        <w:t>מ</w:t>
      </w:r>
      <w:r>
        <w:rPr>
          <w:rFonts w:cs="Arial" w:hint="cs"/>
          <w:rtl/>
        </w:rPr>
        <w:t>רע</w:t>
      </w:r>
      <w:r>
        <w:rPr>
          <w:rFonts w:cs="Arial"/>
          <w:rtl/>
        </w:rPr>
        <w:t xml:space="preserve"> אינה קונה אלא לאחר מיתה, הרי המתנה וחיוב התנאים באים כאחד, לפיכך בנים יורשים כתובת אמם שמתה בחיי בעלה. ואם נתנם במתנת בריא מהיום ולאחר מיתה, דינן כדין מתנות בריא לענין זה.</w:t>
      </w:r>
      <w:r>
        <w:rPr>
          <w:rFonts w:cs="Arial" w:hint="cs"/>
          <w:rtl/>
        </w:rPr>
        <w:t xml:space="preserve"> </w:t>
      </w:r>
    </w:p>
    <w:p w14:paraId="4A1A1F4C" w14:textId="77777777" w:rsidR="00392DBB" w:rsidRPr="00523CDE" w:rsidRDefault="00392DBB" w:rsidP="00392DBB">
      <w:pPr>
        <w:pStyle w:val="1"/>
        <w:rPr>
          <w:rtl/>
        </w:rPr>
      </w:pPr>
      <w:r>
        <w:rPr>
          <w:rFonts w:hint="cs"/>
          <w:rtl/>
        </w:rPr>
        <w:lastRenderedPageBreak/>
        <w:t>סימן קיב:</w:t>
      </w:r>
      <w:r w:rsidRPr="00C12B74">
        <w:rPr>
          <w:rtl/>
        </w:rPr>
        <w:t xml:space="preserve"> </w:t>
      </w:r>
      <w:r w:rsidRPr="00523CDE">
        <w:rPr>
          <w:rFonts w:cs="Arial"/>
          <w:rtl/>
        </w:rPr>
        <w:t xml:space="preserve">מזונות הבנות ממה ניזונות ועד כמה, וכל דיניהם, ובו י"ח סעיפים. </w:t>
      </w:r>
    </w:p>
    <w:p w14:paraId="672F7EA6" w14:textId="77777777" w:rsidR="00392DBB" w:rsidRDefault="00392DBB" w:rsidP="000F64D0">
      <w:pPr>
        <w:pStyle w:val="2"/>
        <w:rPr>
          <w:rtl/>
        </w:rPr>
      </w:pPr>
      <w:r w:rsidRPr="00523CDE">
        <w:rPr>
          <w:rtl/>
        </w:rPr>
        <w:t>סעיף א</w:t>
      </w:r>
      <w:r>
        <w:rPr>
          <w:rFonts w:hint="cs"/>
          <w:rtl/>
        </w:rPr>
        <w:t>: מזונות הבנות לאחר מות האב.</w:t>
      </w:r>
    </w:p>
    <w:p w14:paraId="241A908E" w14:textId="5DB3B80E" w:rsidR="00392DBB" w:rsidRPr="00D93E62" w:rsidRDefault="00392DBB" w:rsidP="00392DBB">
      <w:pPr>
        <w:rPr>
          <w:sz w:val="16"/>
          <w:szCs w:val="16"/>
          <w:rtl/>
        </w:rPr>
      </w:pPr>
      <w:r w:rsidRPr="00974066">
        <w:rPr>
          <w:rFonts w:cs="Arial" w:hint="cs"/>
          <w:b/>
          <w:bCs/>
          <w:rtl/>
        </w:rPr>
        <w:t xml:space="preserve">כתובות </w:t>
      </w:r>
      <w:r w:rsidRPr="00974066">
        <w:rPr>
          <w:rFonts w:cs="Arial" w:hint="cs"/>
          <w:b/>
          <w:bCs/>
          <w:sz w:val="16"/>
          <w:szCs w:val="16"/>
          <w:rtl/>
        </w:rPr>
        <w:t>(פ</w:t>
      </w:r>
      <w:r>
        <w:rPr>
          <w:rFonts w:cs="Arial" w:hint="cs"/>
          <w:b/>
          <w:bCs/>
          <w:sz w:val="16"/>
          <w:szCs w:val="16"/>
          <w:rtl/>
        </w:rPr>
        <w:t>'</w:t>
      </w:r>
      <w:r w:rsidRPr="00974066">
        <w:rPr>
          <w:rFonts w:cs="Arial"/>
          <w:b/>
          <w:bCs/>
          <w:sz w:val="16"/>
          <w:szCs w:val="16"/>
          <w:rtl/>
        </w:rPr>
        <w:t xml:space="preserve"> נערה שנתפתתה</w:t>
      </w:r>
      <w:r w:rsidRPr="00974066">
        <w:rPr>
          <w:rFonts w:cs="Arial" w:hint="cs"/>
          <w:b/>
          <w:bCs/>
          <w:sz w:val="16"/>
          <w:szCs w:val="16"/>
          <w:rtl/>
        </w:rPr>
        <w:t>)</w:t>
      </w:r>
      <w:r w:rsidRPr="00974066">
        <w:rPr>
          <w:rFonts w:cs="Arial"/>
          <w:b/>
          <w:bCs/>
          <w:rtl/>
        </w:rPr>
        <w:t xml:space="preserve"> נ</w:t>
      </w:r>
      <w:r>
        <w:rPr>
          <w:rFonts w:cs="Arial" w:hint="cs"/>
          <w:b/>
          <w:bCs/>
          <w:rtl/>
        </w:rPr>
        <w:t>ב</w:t>
      </w:r>
      <w:r w:rsidR="00C43520" w:rsidRPr="00C43520">
        <w:rPr>
          <w:rStyle w:val="a7"/>
          <w:rFonts w:cs="Arial"/>
          <w:b/>
          <w:bCs/>
          <w:rtl/>
        </w:rPr>
        <w:footnoteReference w:id="2480"/>
      </w:r>
      <w:r w:rsidRPr="00974066">
        <w:rPr>
          <w:rFonts w:cs="Arial" w:hint="cs"/>
          <w:b/>
          <w:bCs/>
          <w:rtl/>
        </w:rPr>
        <w:t xml:space="preserve"> ע"</w:t>
      </w:r>
      <w:r>
        <w:rPr>
          <w:rFonts w:cs="Arial" w:hint="cs"/>
          <w:b/>
          <w:bCs/>
          <w:rtl/>
        </w:rPr>
        <w:t>ב</w:t>
      </w:r>
      <w:r w:rsidRPr="00974066">
        <w:rPr>
          <w:rFonts w:cs="Arial"/>
          <w:b/>
          <w:bCs/>
          <w:rtl/>
        </w:rPr>
        <w:t>:</w:t>
      </w:r>
      <w:r>
        <w:rPr>
          <w:rFonts w:cs="Arial" w:hint="cs"/>
          <w:rtl/>
        </w:rPr>
        <w:t xml:space="preserve"> </w:t>
      </w:r>
      <w:r w:rsidRPr="00F8140D">
        <w:rPr>
          <w:rFonts w:cs="Arial"/>
          <w:u w:val="double"/>
          <w:rtl/>
        </w:rPr>
        <w:t>מתני'</w:t>
      </w:r>
      <w:r>
        <w:rPr>
          <w:rFonts w:cs="Arial" w:hint="cs"/>
          <w:rtl/>
        </w:rPr>
        <w:t>:</w:t>
      </w:r>
      <w:r w:rsidRPr="00F8140D">
        <w:rPr>
          <w:rFonts w:cs="Arial"/>
          <w:rtl/>
        </w:rPr>
        <w:t xml:space="preserve"> לא כתב לה</w:t>
      </w:r>
      <w:r>
        <w:rPr>
          <w:rFonts w:cs="Arial" w:hint="cs"/>
          <w:rtl/>
        </w:rPr>
        <w:t>...</w:t>
      </w:r>
      <w:r w:rsidRPr="00F8140D">
        <w:rPr>
          <w:rFonts w:cs="Arial"/>
          <w:rtl/>
        </w:rPr>
        <w:t xml:space="preserve"> בנן נוקבן דיהוין ליכי מינאי, יהוין יתבן בביתי ומיתזנן מנכסי עד דתלקחון לגוברין - חייב, שהוא תנאי בית דין.</w:t>
      </w:r>
      <w:r>
        <w:rPr>
          <w:rFonts w:hint="cs"/>
          <w:rtl/>
        </w:rPr>
        <w:t xml:space="preserve"> </w:t>
      </w:r>
      <w:r>
        <w:rPr>
          <w:rFonts w:cs="Arial" w:hint="cs"/>
          <w:rtl/>
        </w:rPr>
        <w:t xml:space="preserve">      </w:t>
      </w:r>
      <w:r w:rsidRPr="00EB2DB3">
        <w:rPr>
          <w:rFonts w:cs="Arial" w:hint="cs"/>
          <w:u w:val="double"/>
          <w:rtl/>
        </w:rPr>
        <w:t>גמ'</w:t>
      </w:r>
      <w:r>
        <w:rPr>
          <w:rFonts w:cs="Arial" w:hint="cs"/>
          <w:sz w:val="14"/>
          <w:szCs w:val="14"/>
          <w:u w:val="double"/>
          <w:rtl/>
        </w:rPr>
        <w:t>(נג:)</w:t>
      </w:r>
      <w:r w:rsidRPr="00EB2DB3">
        <w:rPr>
          <w:rFonts w:cs="Arial" w:hint="cs"/>
          <w:u w:val="double"/>
          <w:rtl/>
        </w:rPr>
        <w:t>:</w:t>
      </w:r>
      <w:r>
        <w:rPr>
          <w:rFonts w:cs="Arial" w:hint="cs"/>
          <w:rtl/>
        </w:rPr>
        <w:t xml:space="preserve"> </w:t>
      </w:r>
      <w:r w:rsidRPr="00EB2DB3">
        <w:rPr>
          <w:rFonts w:cs="Arial"/>
          <w:rtl/>
        </w:rPr>
        <w:t xml:space="preserve">בנן נוקבן דיהויין ליכי מינאי וכו'. </w:t>
      </w:r>
      <w:r w:rsidRPr="00EB2DB3">
        <w:rPr>
          <w:rFonts w:cs="Arial"/>
          <w:u w:val="single"/>
          <w:rtl/>
        </w:rPr>
        <w:t>רב תני</w:t>
      </w:r>
      <w:r w:rsidRPr="00EB2DB3">
        <w:rPr>
          <w:rFonts w:cs="Arial"/>
          <w:rtl/>
        </w:rPr>
        <w:t>: עד דתלקחן לגוברין</w:t>
      </w:r>
      <w:r>
        <w:rPr>
          <w:rFonts w:cs="Arial" w:hint="cs"/>
          <w:rtl/>
        </w:rPr>
        <w:t>.</w:t>
      </w:r>
      <w:r w:rsidRPr="00EB2DB3">
        <w:rPr>
          <w:rFonts w:cs="Arial"/>
          <w:rtl/>
        </w:rPr>
        <w:t xml:space="preserve"> </w:t>
      </w:r>
      <w:r w:rsidRPr="00EB2DB3">
        <w:rPr>
          <w:rFonts w:cs="Arial"/>
          <w:u w:val="single"/>
          <w:rtl/>
        </w:rPr>
        <w:t>ולוי תני</w:t>
      </w:r>
      <w:r w:rsidRPr="00EB2DB3">
        <w:rPr>
          <w:rFonts w:cs="Arial"/>
          <w:rtl/>
        </w:rPr>
        <w:t>: עד דתבגרן. לרב אף על גב דבגר</w:t>
      </w:r>
      <w:r>
        <w:rPr>
          <w:rStyle w:val="a7"/>
          <w:rFonts w:cs="Arial"/>
          <w:rtl/>
        </w:rPr>
        <w:footnoteReference w:id="2481"/>
      </w:r>
      <w:r w:rsidRPr="00EB2DB3">
        <w:rPr>
          <w:rFonts w:cs="Arial"/>
          <w:rtl/>
        </w:rPr>
        <w:t>? ולוי אף על גב דאינסיב? אלא בגר ולא אינסיב, אינסיב ולא בגר - דכולי עלמא לא פליגי, כי פליגי - בארוסה</w:t>
      </w:r>
      <w:r>
        <w:rPr>
          <w:rStyle w:val="a7"/>
          <w:rFonts w:cs="Arial"/>
          <w:rtl/>
        </w:rPr>
        <w:footnoteReference w:id="2482"/>
      </w:r>
      <w:r w:rsidRPr="00EB2DB3">
        <w:rPr>
          <w:rFonts w:cs="Arial"/>
          <w:rtl/>
        </w:rPr>
        <w:t xml:space="preserve"> ולא בגר. וכן תני לוי במתניתיה</w:t>
      </w:r>
      <w:r>
        <w:rPr>
          <w:rStyle w:val="a7"/>
          <w:rFonts w:cs="Arial"/>
          <w:rtl/>
        </w:rPr>
        <w:footnoteReference w:id="2483"/>
      </w:r>
      <w:r w:rsidRPr="00EB2DB3">
        <w:rPr>
          <w:rFonts w:cs="Arial"/>
          <w:rtl/>
        </w:rPr>
        <w:t xml:space="preserve">: עד דתבגרן וימטי זמניהון דאינסבן. תרתי? אלא, או תבגרן או ימטי זמניהון לאיתנסבא. כתנאי: עד מתי הבת נזונית? עד שתארס, </w:t>
      </w:r>
      <w:r w:rsidRPr="00EB2DB3">
        <w:rPr>
          <w:rFonts w:cs="Arial"/>
          <w:u w:val="single"/>
          <w:rtl/>
        </w:rPr>
        <w:t>משום רבי אלעזר אמרו</w:t>
      </w:r>
      <w:r w:rsidRPr="00EB2DB3">
        <w:rPr>
          <w:rFonts w:cs="Arial"/>
          <w:rtl/>
        </w:rPr>
        <w:t>: עד שתבגר.</w:t>
      </w:r>
      <w:r w:rsidRPr="00EB2DB3">
        <w:rPr>
          <w:rtl/>
        </w:rPr>
        <w:t xml:space="preserve"> </w:t>
      </w:r>
      <w:r>
        <w:rPr>
          <w:rFonts w:cs="Arial" w:hint="cs"/>
          <w:sz w:val="16"/>
          <w:szCs w:val="16"/>
          <w:rtl/>
        </w:rPr>
        <w:t>(</w:t>
      </w:r>
      <w:r w:rsidRPr="00D93E62">
        <w:rPr>
          <w:rFonts w:cs="Arial"/>
          <w:sz w:val="16"/>
          <w:szCs w:val="16"/>
          <w:rtl/>
        </w:rPr>
        <w:t>רב כתנא קמא</w:t>
      </w:r>
      <w:r>
        <w:rPr>
          <w:rFonts w:cs="Arial" w:hint="cs"/>
          <w:sz w:val="16"/>
          <w:szCs w:val="16"/>
          <w:rtl/>
        </w:rPr>
        <w:t>,</w:t>
      </w:r>
      <w:r w:rsidRPr="00D93E62">
        <w:rPr>
          <w:rFonts w:cs="Arial"/>
          <w:sz w:val="16"/>
          <w:szCs w:val="16"/>
          <w:rtl/>
        </w:rPr>
        <w:t xml:space="preserve"> ולוי כרבי אלעזר</w:t>
      </w:r>
      <w:r w:rsidRPr="00D93E62">
        <w:rPr>
          <w:rFonts w:cs="Arial" w:hint="cs"/>
          <w:sz w:val="16"/>
          <w:szCs w:val="16"/>
          <w:rtl/>
        </w:rPr>
        <w:t>.</w:t>
      </w:r>
      <w:r w:rsidRPr="00D93E62">
        <w:rPr>
          <w:rFonts w:cs="Arial"/>
          <w:sz w:val="16"/>
          <w:szCs w:val="16"/>
          <w:rtl/>
        </w:rPr>
        <w:t xml:space="preserve"> וכתבו הרי"ף (כ.) והרא"ש (סי' כו) והלכתא כרב דקאי כתנא קמא</w:t>
      </w:r>
      <w:r w:rsidRPr="00D93E62">
        <w:rPr>
          <w:rFonts w:cs="Arial" w:hint="cs"/>
          <w:sz w:val="16"/>
          <w:szCs w:val="16"/>
          <w:rtl/>
        </w:rPr>
        <w:t>.</w:t>
      </w:r>
      <w:r w:rsidRPr="00D93E62">
        <w:rPr>
          <w:rFonts w:cs="Arial"/>
          <w:sz w:val="16"/>
          <w:szCs w:val="16"/>
          <w:rtl/>
        </w:rPr>
        <w:t xml:space="preserve"> וכן פסק הרמב"ם ז"ל בפי"ט מהל</w:t>
      </w:r>
      <w:r w:rsidR="00793350">
        <w:rPr>
          <w:rFonts w:cs="Arial" w:hint="cs"/>
          <w:sz w:val="16"/>
          <w:szCs w:val="16"/>
          <w:rtl/>
        </w:rPr>
        <w:t>'</w:t>
      </w:r>
      <w:r w:rsidRPr="00D93E62">
        <w:rPr>
          <w:rFonts w:cs="Arial"/>
          <w:sz w:val="16"/>
          <w:szCs w:val="16"/>
          <w:rtl/>
        </w:rPr>
        <w:t xml:space="preserve"> אישות (ה"י)</w:t>
      </w:r>
      <w:r w:rsidRPr="00D93E62">
        <w:rPr>
          <w:rFonts w:cs="Arial" w:hint="cs"/>
          <w:sz w:val="16"/>
          <w:szCs w:val="16"/>
          <w:rtl/>
        </w:rPr>
        <w:t>, ב"י)</w:t>
      </w:r>
    </w:p>
    <w:p w14:paraId="2A2860CB" w14:textId="2617000C" w:rsidR="00392DBB" w:rsidRDefault="00392DBB" w:rsidP="00392DBB">
      <w:pPr>
        <w:rPr>
          <w:rFonts w:cs="Arial"/>
          <w:rtl/>
        </w:rPr>
      </w:pPr>
      <w:r w:rsidRPr="00974066">
        <w:rPr>
          <w:rFonts w:cs="Arial" w:hint="cs"/>
          <w:b/>
          <w:bCs/>
          <w:rtl/>
        </w:rPr>
        <w:t xml:space="preserve">כתובות </w:t>
      </w:r>
      <w:r w:rsidRPr="00974066">
        <w:rPr>
          <w:rFonts w:cs="Arial" w:hint="cs"/>
          <w:b/>
          <w:bCs/>
          <w:sz w:val="16"/>
          <w:szCs w:val="16"/>
          <w:rtl/>
        </w:rPr>
        <w:t>(פ</w:t>
      </w:r>
      <w:r>
        <w:rPr>
          <w:rFonts w:cs="Arial" w:hint="cs"/>
          <w:b/>
          <w:bCs/>
          <w:sz w:val="16"/>
          <w:szCs w:val="16"/>
          <w:rtl/>
        </w:rPr>
        <w:t>'</w:t>
      </w:r>
      <w:r w:rsidRPr="00974066">
        <w:rPr>
          <w:rFonts w:cs="Arial"/>
          <w:b/>
          <w:bCs/>
          <w:sz w:val="16"/>
          <w:szCs w:val="16"/>
          <w:rtl/>
        </w:rPr>
        <w:t xml:space="preserve"> נערה שנתפתתה</w:t>
      </w:r>
      <w:r w:rsidRPr="00974066">
        <w:rPr>
          <w:rFonts w:cs="Arial" w:hint="cs"/>
          <w:b/>
          <w:bCs/>
          <w:sz w:val="16"/>
          <w:szCs w:val="16"/>
          <w:rtl/>
        </w:rPr>
        <w:t>)</w:t>
      </w:r>
      <w:r w:rsidRPr="00974066">
        <w:rPr>
          <w:rFonts w:cs="Arial"/>
          <w:b/>
          <w:bCs/>
          <w:rtl/>
        </w:rPr>
        <w:t xml:space="preserve"> </w:t>
      </w:r>
      <w:r>
        <w:rPr>
          <w:rFonts w:cs="Arial" w:hint="cs"/>
          <w:b/>
          <w:bCs/>
          <w:rtl/>
        </w:rPr>
        <w:t>מט</w:t>
      </w:r>
      <w:r w:rsidR="009C3B56" w:rsidRPr="00C43520">
        <w:rPr>
          <w:rStyle w:val="a7"/>
          <w:rFonts w:cs="Arial"/>
          <w:b/>
          <w:bCs/>
          <w:rtl/>
        </w:rPr>
        <w:footnoteReference w:id="2484"/>
      </w:r>
      <w:r w:rsidRPr="00974066">
        <w:rPr>
          <w:rFonts w:cs="Arial" w:hint="cs"/>
          <w:b/>
          <w:bCs/>
          <w:rtl/>
        </w:rPr>
        <w:t xml:space="preserve"> ע"</w:t>
      </w:r>
      <w:r>
        <w:rPr>
          <w:rFonts w:cs="Arial" w:hint="cs"/>
          <w:b/>
          <w:bCs/>
          <w:rtl/>
        </w:rPr>
        <w:t>א</w:t>
      </w:r>
      <w:r w:rsidRPr="00974066">
        <w:rPr>
          <w:rFonts w:cs="Arial"/>
          <w:b/>
          <w:bCs/>
          <w:rtl/>
        </w:rPr>
        <w:t>:</w:t>
      </w:r>
      <w:r>
        <w:rPr>
          <w:rFonts w:cs="Arial" w:hint="cs"/>
          <w:rtl/>
        </w:rPr>
        <w:t xml:space="preserve"> </w:t>
      </w:r>
      <w:r w:rsidRPr="00F8140D">
        <w:rPr>
          <w:rFonts w:cs="Arial"/>
          <w:u w:val="double"/>
          <w:rtl/>
        </w:rPr>
        <w:t>מתני'</w:t>
      </w:r>
      <w:r>
        <w:rPr>
          <w:rFonts w:cs="Arial" w:hint="cs"/>
          <w:rtl/>
        </w:rPr>
        <w:t>:</w:t>
      </w:r>
      <w:r w:rsidRPr="00F8140D">
        <w:rPr>
          <w:rFonts w:cs="Arial"/>
          <w:rtl/>
        </w:rPr>
        <w:t xml:space="preserve"> </w:t>
      </w:r>
      <w:r w:rsidRPr="00E4117B">
        <w:rPr>
          <w:rFonts w:cs="Arial"/>
          <w:rtl/>
        </w:rPr>
        <w:t>האב אינו חייב במזונות בתו. זה מדרש דרש רבי אלעזר בן עזריה לפני חכמים בכרם ביבנה: הבנים יירשו והבנות יזונו, מה הבנים אינן יורשין אלא לאחר מיתת האב, אף הבנות אין ניזונות אלא לאחר מיתת אביהן</w:t>
      </w:r>
      <w:r w:rsidRPr="00F8140D">
        <w:rPr>
          <w:rFonts w:cs="Arial"/>
          <w:rtl/>
        </w:rPr>
        <w:t>.</w:t>
      </w:r>
      <w:r>
        <w:rPr>
          <w:rFonts w:hint="cs"/>
          <w:rtl/>
        </w:rPr>
        <w:t xml:space="preserve"> </w:t>
      </w:r>
      <w:r>
        <w:rPr>
          <w:rFonts w:cs="Arial" w:hint="cs"/>
          <w:rtl/>
        </w:rPr>
        <w:t xml:space="preserve">      </w:t>
      </w:r>
      <w:r w:rsidRPr="00EB2DB3">
        <w:rPr>
          <w:rFonts w:cs="Arial" w:hint="cs"/>
          <w:u w:val="double"/>
          <w:rtl/>
        </w:rPr>
        <w:t>גמ'</w:t>
      </w:r>
      <w:r>
        <w:rPr>
          <w:rFonts w:cs="Arial" w:hint="cs"/>
          <w:sz w:val="14"/>
          <w:szCs w:val="14"/>
          <w:u w:val="double"/>
          <w:rtl/>
        </w:rPr>
        <w:t>(מט:)</w:t>
      </w:r>
      <w:r w:rsidRPr="00EB2DB3">
        <w:rPr>
          <w:rFonts w:cs="Arial" w:hint="cs"/>
          <w:u w:val="double"/>
          <w:rtl/>
        </w:rPr>
        <w:t>:</w:t>
      </w:r>
      <w:r>
        <w:rPr>
          <w:rFonts w:cs="Arial" w:hint="cs"/>
          <w:rtl/>
        </w:rPr>
        <w:t xml:space="preserve"> </w:t>
      </w:r>
      <w:r w:rsidRPr="00E4117B">
        <w:rPr>
          <w:rFonts w:cs="Arial"/>
          <w:u w:val="single"/>
          <w:rtl/>
        </w:rPr>
        <w:t>אמר רבי אילעא אמר ריש לקיש משום רבי יהודה בר חנינא</w:t>
      </w:r>
      <w:r w:rsidRPr="00E4117B">
        <w:rPr>
          <w:rFonts w:cs="Arial"/>
          <w:rtl/>
        </w:rPr>
        <w:t>: באושא התקינו, שיהא אדם זן את בניו ואת בנותיו כשהן קטנים.</w:t>
      </w:r>
    </w:p>
    <w:p w14:paraId="6A1610FA" w14:textId="77777777" w:rsidR="00392DBB" w:rsidRPr="00CE5034" w:rsidRDefault="00392DBB" w:rsidP="00392DBB">
      <w:pPr>
        <w:rPr>
          <w:rFonts w:cs="Arial"/>
          <w:u w:val="single"/>
          <w:rtl/>
        </w:rPr>
      </w:pPr>
      <w:r w:rsidRPr="00CE5034">
        <w:rPr>
          <w:rFonts w:hint="cs"/>
          <w:u w:val="single"/>
          <w:rtl/>
        </w:rPr>
        <w:t>מזונות הבנות לאחר מות האב</w:t>
      </w:r>
      <w:r w:rsidRPr="00CE5034">
        <w:rPr>
          <w:rFonts w:cs="Arial" w:hint="cs"/>
          <w:u w:val="single"/>
          <w:rtl/>
        </w:rPr>
        <w:t>:</w:t>
      </w:r>
    </w:p>
    <w:p w14:paraId="6B9640BA" w14:textId="48F029EF" w:rsidR="00392DBB" w:rsidRDefault="00392DBB" w:rsidP="009000E3">
      <w:pPr>
        <w:pStyle w:val="ab"/>
        <w:numPr>
          <w:ilvl w:val="0"/>
          <w:numId w:val="63"/>
        </w:numPr>
      </w:pPr>
      <w:r w:rsidRPr="00B345A5">
        <w:rPr>
          <w:rFonts w:cs="Arial" w:hint="cs"/>
          <w:rtl/>
        </w:rPr>
        <w:t xml:space="preserve">טור- </w:t>
      </w:r>
      <w:r w:rsidRPr="00B345A5">
        <w:rPr>
          <w:rFonts w:cs="Arial"/>
          <w:rtl/>
        </w:rPr>
        <w:t>תנאי כתובה שיהיו בנותיה ניזונות מנכסיו אחר מותו</w:t>
      </w:r>
      <w:r>
        <w:rPr>
          <w:rStyle w:val="a7"/>
          <w:rFonts w:cs="Arial"/>
          <w:rtl/>
        </w:rPr>
        <w:footnoteReference w:id="2485"/>
      </w:r>
      <w:r w:rsidRPr="00B345A5">
        <w:rPr>
          <w:rFonts w:cs="Arial"/>
          <w:rtl/>
        </w:rPr>
        <w:t xml:space="preserve"> עד שינשאו או עד שיבגרו</w:t>
      </w:r>
      <w:r w:rsidR="009C3B56">
        <w:rPr>
          <w:rFonts w:cs="Arial" w:hint="cs"/>
          <w:rtl/>
        </w:rPr>
        <w:t>,</w:t>
      </w:r>
      <w:r w:rsidRPr="00B345A5">
        <w:rPr>
          <w:rFonts w:cs="Arial"/>
          <w:rtl/>
        </w:rPr>
        <w:t xml:space="preserve"> אפי</w:t>
      </w:r>
      <w:r w:rsidR="009C3B56">
        <w:rPr>
          <w:rFonts w:cs="Arial" w:hint="cs"/>
          <w:rtl/>
        </w:rPr>
        <w:t>לו</w:t>
      </w:r>
      <w:r w:rsidRPr="00B345A5">
        <w:rPr>
          <w:rFonts w:cs="Arial"/>
          <w:rtl/>
        </w:rPr>
        <w:t xml:space="preserve"> לא נכתב</w:t>
      </w:r>
      <w:r>
        <w:rPr>
          <w:rFonts w:cs="Arial" w:hint="cs"/>
          <w:rtl/>
        </w:rPr>
        <w:t>,</w:t>
      </w:r>
      <w:r w:rsidRPr="00B345A5">
        <w:rPr>
          <w:rFonts w:cs="Arial"/>
          <w:rtl/>
        </w:rPr>
        <w:t xml:space="preserve"> או אפילו אין לה כתובה ובמקום שאין כותבין</w:t>
      </w:r>
      <w:r>
        <w:rPr>
          <w:rFonts w:cs="Arial" w:hint="cs"/>
          <w:rtl/>
        </w:rPr>
        <w:t>.</w:t>
      </w:r>
      <w:r w:rsidRPr="00F011B0">
        <w:rPr>
          <w:rFonts w:hint="cs"/>
          <w:color w:val="E36C0A" w:themeColor="accent6" w:themeShade="BF"/>
          <w:rtl/>
        </w:rPr>
        <w:t xml:space="preserve"> (וכ"פ בשו"ע)</w:t>
      </w:r>
    </w:p>
    <w:p w14:paraId="7E3E0DB6" w14:textId="77777777" w:rsidR="00392DBB" w:rsidRPr="00F011B0" w:rsidRDefault="00392DBB" w:rsidP="00392DBB">
      <w:pPr>
        <w:ind w:left="360"/>
        <w:rPr>
          <w:u w:val="dotted"/>
        </w:rPr>
      </w:pPr>
      <w:r w:rsidRPr="00F011B0">
        <w:rPr>
          <w:rFonts w:hint="cs"/>
          <w:u w:val="dotted"/>
          <w:rtl/>
        </w:rPr>
        <w:t>ומה הדין אם אין לה כתובה והם במקום שכותבים:</w:t>
      </w:r>
    </w:p>
    <w:p w14:paraId="2DA0FFEC" w14:textId="0A8F6813" w:rsidR="00392DBB" w:rsidRPr="000F4A99" w:rsidRDefault="00392DBB" w:rsidP="009000E3">
      <w:pPr>
        <w:pStyle w:val="ab"/>
        <w:numPr>
          <w:ilvl w:val="0"/>
          <w:numId w:val="63"/>
        </w:numPr>
      </w:pPr>
      <w:r>
        <w:rPr>
          <w:rFonts w:cs="Arial" w:hint="cs"/>
          <w:rtl/>
        </w:rPr>
        <w:t xml:space="preserve">רמב"ם </w:t>
      </w:r>
      <w:r w:rsidRPr="000F4A99">
        <w:rPr>
          <w:rFonts w:cs="Arial" w:hint="cs"/>
          <w:sz w:val="16"/>
          <w:szCs w:val="16"/>
          <w:rtl/>
        </w:rPr>
        <w:t>(פי"ט מאישות הי"ב)</w:t>
      </w:r>
      <w:r>
        <w:rPr>
          <w:rFonts w:cs="Arial" w:hint="cs"/>
          <w:rtl/>
        </w:rPr>
        <w:t xml:space="preserve">- </w:t>
      </w:r>
      <w:r w:rsidRPr="000F4A99">
        <w:rPr>
          <w:rFonts w:cs="Arial"/>
          <w:rtl/>
        </w:rPr>
        <w:t xml:space="preserve">אין הבנים יורשין כתובת אמן ולא הבנות ניזונות בתנאים אלו עד שיהיה שטר כתובה יוצא מתחת ידם, אבל אם אין שם שטר כתובה </w:t>
      </w:r>
      <w:r w:rsidR="009C3B56">
        <w:rPr>
          <w:rFonts w:cs="Arial" w:hint="cs"/>
          <w:rtl/>
        </w:rPr>
        <w:t xml:space="preserve">- </w:t>
      </w:r>
      <w:r w:rsidRPr="000F4A99">
        <w:rPr>
          <w:rFonts w:cs="Arial"/>
          <w:rtl/>
        </w:rPr>
        <w:t>אין להם כלום שמא מחלה אמן כתובתה</w:t>
      </w:r>
      <w:r>
        <w:rPr>
          <w:rStyle w:val="a7"/>
          <w:rFonts w:cs="Arial"/>
          <w:rtl/>
        </w:rPr>
        <w:footnoteReference w:id="2486"/>
      </w:r>
      <w:r w:rsidR="009C3B56">
        <w:rPr>
          <w:rFonts w:cs="Arial" w:hint="cs"/>
          <w:rtl/>
        </w:rPr>
        <w:t>.</w:t>
      </w:r>
      <w:r w:rsidRPr="000F4A99">
        <w:rPr>
          <w:rFonts w:cs="Arial"/>
          <w:rtl/>
        </w:rPr>
        <w:t xml:space="preserve"> ואם אין דרכם לכתוב כתובה </w:t>
      </w:r>
      <w:r w:rsidR="009C3B56">
        <w:rPr>
          <w:rFonts w:cs="Arial" w:hint="cs"/>
          <w:rtl/>
        </w:rPr>
        <w:t xml:space="preserve">- </w:t>
      </w:r>
      <w:r w:rsidRPr="000F4A99">
        <w:rPr>
          <w:rFonts w:cs="Arial"/>
          <w:rtl/>
        </w:rPr>
        <w:t>יש להן כפי התנאים.</w:t>
      </w:r>
    </w:p>
    <w:p w14:paraId="1486BD81" w14:textId="77777777" w:rsidR="00392DBB" w:rsidRPr="00EF7111" w:rsidRDefault="00392DBB" w:rsidP="009000E3">
      <w:pPr>
        <w:pStyle w:val="ab"/>
        <w:numPr>
          <w:ilvl w:val="0"/>
          <w:numId w:val="63"/>
        </w:numPr>
      </w:pPr>
      <w:r w:rsidRPr="000F4A99">
        <w:rPr>
          <w:rFonts w:cs="Arial"/>
          <w:rtl/>
        </w:rPr>
        <w:t>ראב"ד</w:t>
      </w:r>
      <w:r>
        <w:rPr>
          <w:rFonts w:cs="Arial" w:hint="cs"/>
          <w:sz w:val="16"/>
          <w:szCs w:val="16"/>
          <w:rtl/>
        </w:rPr>
        <w:t xml:space="preserve"> (בהשגות שם)</w:t>
      </w:r>
      <w:r>
        <w:rPr>
          <w:rFonts w:cs="Arial" w:hint="cs"/>
          <w:rtl/>
        </w:rPr>
        <w:t xml:space="preserve">- </w:t>
      </w:r>
      <w:r w:rsidRPr="000F4A99">
        <w:rPr>
          <w:rFonts w:cs="Arial"/>
          <w:rtl/>
        </w:rPr>
        <w:t>הפלא ופלא</w:t>
      </w:r>
      <w:r>
        <w:rPr>
          <w:rFonts w:cs="Arial" w:hint="cs"/>
          <w:rtl/>
        </w:rPr>
        <w:t>,</w:t>
      </w:r>
      <w:r w:rsidRPr="000F4A99">
        <w:rPr>
          <w:rFonts w:cs="Arial"/>
          <w:rtl/>
        </w:rPr>
        <w:t xml:space="preserve"> וכי מזון הבנות תלוי בפרעון כתובתה</w:t>
      </w:r>
      <w:r>
        <w:rPr>
          <w:rFonts w:cs="Arial" w:hint="cs"/>
          <w:rtl/>
        </w:rPr>
        <w:t>?</w:t>
      </w:r>
      <w:r w:rsidRPr="000F4A99">
        <w:rPr>
          <w:rFonts w:cs="Arial"/>
          <w:rtl/>
        </w:rPr>
        <w:t xml:space="preserve"> והמחילה אינה אלא כפרעון</w:t>
      </w:r>
      <w:r>
        <w:rPr>
          <w:rFonts w:cs="Arial" w:hint="cs"/>
          <w:rtl/>
        </w:rPr>
        <w:t>,</w:t>
      </w:r>
      <w:r w:rsidRPr="000F4A99">
        <w:rPr>
          <w:rFonts w:cs="Arial"/>
          <w:rtl/>
        </w:rPr>
        <w:t xml:space="preserve"> ואם פרע הבעל כתובת אשתו לא יטלו בנותיו מזונותיהן</w:t>
      </w:r>
      <w:r>
        <w:rPr>
          <w:rFonts w:cs="Arial" w:hint="cs"/>
          <w:rtl/>
        </w:rPr>
        <w:t>?</w:t>
      </w:r>
      <w:r w:rsidRPr="000F4A99">
        <w:rPr>
          <w:rFonts w:cs="Arial"/>
          <w:rtl/>
        </w:rPr>
        <w:t>.</w:t>
      </w:r>
    </w:p>
    <w:p w14:paraId="1020BD42"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30933B7" w14:textId="6F0EB32D" w:rsidR="00392DBB" w:rsidRDefault="00392DBB" w:rsidP="00392DBB">
      <w:pPr>
        <w:rPr>
          <w:rFonts w:cs="Arial"/>
          <w:sz w:val="18"/>
          <w:szCs w:val="18"/>
          <w:rtl/>
        </w:rPr>
      </w:pPr>
      <w:r w:rsidRPr="00523CDE">
        <w:rPr>
          <w:rFonts w:cs="Arial"/>
          <w:rtl/>
        </w:rPr>
        <w:t xml:space="preserve">מתנאי כתובה שתהיינה הבנות נזונות מנכסי אביהם אחר מותו, עד שיתארסו או עד שיבגרו. </w:t>
      </w:r>
      <w:r w:rsidRPr="00621C37">
        <w:rPr>
          <w:rFonts w:cs="Arial"/>
          <w:sz w:val="18"/>
          <w:szCs w:val="18"/>
          <w:rtl/>
        </w:rPr>
        <w:t>הגה: אפילו לא נכתב בכתובה</w:t>
      </w:r>
      <w:r>
        <w:rPr>
          <w:rStyle w:val="a7"/>
          <w:rFonts w:cs="Arial"/>
          <w:sz w:val="18"/>
          <w:szCs w:val="18"/>
          <w:rtl/>
        </w:rPr>
        <w:footnoteReference w:id="2487"/>
      </w:r>
      <w:r w:rsidRPr="00621C37">
        <w:rPr>
          <w:rFonts w:cs="Arial"/>
          <w:sz w:val="18"/>
          <w:szCs w:val="18"/>
          <w:rtl/>
        </w:rPr>
        <w:t>, או אפילו אין לה כתובה ובמקום שאין כותבין</w:t>
      </w:r>
      <w:r>
        <w:rPr>
          <w:rStyle w:val="a7"/>
          <w:rFonts w:cs="Arial"/>
          <w:sz w:val="18"/>
          <w:szCs w:val="18"/>
          <w:rtl/>
        </w:rPr>
        <w:footnoteReference w:id="2488"/>
      </w:r>
      <w:r w:rsidRPr="00621C37">
        <w:rPr>
          <w:rFonts w:cs="Arial"/>
          <w:sz w:val="18"/>
          <w:szCs w:val="18"/>
          <w:rtl/>
        </w:rPr>
        <w:t xml:space="preserve"> כתובה (טור). וי"א</w:t>
      </w:r>
      <w:r>
        <w:rPr>
          <w:rStyle w:val="a7"/>
          <w:rFonts w:cs="Arial"/>
          <w:sz w:val="18"/>
          <w:szCs w:val="18"/>
          <w:rtl/>
        </w:rPr>
        <w:footnoteReference w:id="2489"/>
      </w:r>
      <w:r w:rsidRPr="00621C37">
        <w:rPr>
          <w:rFonts w:cs="Arial"/>
          <w:sz w:val="18"/>
          <w:szCs w:val="18"/>
          <w:rtl/>
        </w:rPr>
        <w:t xml:space="preserve"> דאפילו במקום שכותבין כתובה ואין להם שטר כתובה</w:t>
      </w:r>
      <w:r>
        <w:rPr>
          <w:rStyle w:val="a7"/>
          <w:rFonts w:cs="Arial"/>
          <w:sz w:val="18"/>
          <w:szCs w:val="18"/>
          <w:rtl/>
        </w:rPr>
        <w:footnoteReference w:id="2490"/>
      </w:r>
      <w:r w:rsidRPr="00621C37">
        <w:rPr>
          <w:rFonts w:cs="Arial"/>
          <w:sz w:val="18"/>
          <w:szCs w:val="18"/>
          <w:rtl/>
        </w:rPr>
        <w:t xml:space="preserve">, ואפילו מחלה </w:t>
      </w:r>
      <w:r w:rsidRPr="00171F5A">
        <w:rPr>
          <w:rFonts w:cs="Arial"/>
          <w:sz w:val="18"/>
          <w:szCs w:val="18"/>
          <w:rtl/>
        </w:rPr>
        <w:t>אמם כתובתה בפירוש</w:t>
      </w:r>
      <w:r>
        <w:rPr>
          <w:rStyle w:val="a7"/>
          <w:rFonts w:cs="Arial"/>
          <w:sz w:val="18"/>
          <w:szCs w:val="18"/>
          <w:rtl/>
        </w:rPr>
        <w:footnoteReference w:id="2491"/>
      </w:r>
      <w:r w:rsidRPr="00171F5A">
        <w:rPr>
          <w:rFonts w:cs="Arial"/>
          <w:sz w:val="18"/>
          <w:szCs w:val="18"/>
          <w:rtl/>
        </w:rPr>
        <w:t>, יש לבנות מזונות (ראב"ד). וכן אם נתגרשה האם</w:t>
      </w:r>
      <w:r>
        <w:rPr>
          <w:rStyle w:val="a7"/>
          <w:rFonts w:cs="Arial"/>
          <w:sz w:val="18"/>
          <w:szCs w:val="18"/>
          <w:rtl/>
        </w:rPr>
        <w:footnoteReference w:id="2492"/>
      </w:r>
      <w:r w:rsidRPr="00171F5A">
        <w:rPr>
          <w:rFonts w:cs="Arial"/>
          <w:sz w:val="18"/>
          <w:szCs w:val="18"/>
          <w:rtl/>
        </w:rPr>
        <w:t>, אפילו הכי חייב במזונות הבנות</w:t>
      </w:r>
      <w:r>
        <w:rPr>
          <w:rStyle w:val="a7"/>
          <w:rFonts w:cs="Arial"/>
          <w:sz w:val="18"/>
          <w:szCs w:val="18"/>
          <w:rtl/>
        </w:rPr>
        <w:footnoteReference w:id="2493"/>
      </w:r>
      <w:r w:rsidRPr="00171F5A">
        <w:rPr>
          <w:rFonts w:cs="Arial"/>
          <w:sz w:val="18"/>
          <w:szCs w:val="18"/>
          <w:rtl/>
        </w:rPr>
        <w:t xml:space="preserve">. </w:t>
      </w:r>
    </w:p>
    <w:p w14:paraId="2311C9CD" w14:textId="77777777" w:rsidR="00392DBB" w:rsidRPr="00235ADC" w:rsidRDefault="00392DBB" w:rsidP="00392DBB">
      <w:pPr>
        <w:rPr>
          <w:rFonts w:cs="Arial"/>
          <w:sz w:val="16"/>
          <w:szCs w:val="16"/>
          <w:u w:val="single"/>
          <w:rtl/>
        </w:rPr>
      </w:pPr>
      <w:r w:rsidRPr="00235ADC">
        <w:rPr>
          <w:rFonts w:cs="Arial" w:hint="cs"/>
          <w:u w:val="single"/>
          <w:rtl/>
        </w:rPr>
        <w:lastRenderedPageBreak/>
        <w:t>בת לא קיבלה מזונות מחמת הנושים, ואחר פ</w:t>
      </w:r>
      <w:r>
        <w:rPr>
          <w:rFonts w:cs="Arial" w:hint="cs"/>
          <w:u w:val="single"/>
          <w:rtl/>
        </w:rPr>
        <w:t>י</w:t>
      </w:r>
      <w:r w:rsidRPr="00235ADC">
        <w:rPr>
          <w:rFonts w:cs="Arial" w:hint="cs"/>
          <w:u w:val="single"/>
          <w:rtl/>
        </w:rPr>
        <w:t xml:space="preserve">רנסה, </w:t>
      </w:r>
      <w:r>
        <w:rPr>
          <w:rFonts w:cs="Arial" w:hint="cs"/>
          <w:u w:val="single"/>
          <w:rtl/>
        </w:rPr>
        <w:t>ואח"כ</w:t>
      </w:r>
      <w:r w:rsidRPr="00235ADC">
        <w:rPr>
          <w:rFonts w:cs="Arial" w:hint="cs"/>
          <w:u w:val="single"/>
          <w:rtl/>
        </w:rPr>
        <w:t xml:space="preserve"> נתברר שיש ממה לגבות ור</w:t>
      </w:r>
      <w:r>
        <w:rPr>
          <w:rFonts w:cs="Arial" w:hint="cs"/>
          <w:u w:val="single"/>
          <w:rtl/>
        </w:rPr>
        <w:t>ו</w:t>
      </w:r>
      <w:r w:rsidRPr="00235ADC">
        <w:rPr>
          <w:rFonts w:cs="Arial" w:hint="cs"/>
          <w:u w:val="single"/>
          <w:rtl/>
        </w:rPr>
        <w:t>צה לגבות למפרע:</w:t>
      </w:r>
      <w:r w:rsidRPr="00235ADC">
        <w:rPr>
          <w:rFonts w:cs="Arial" w:hint="cs"/>
          <w:rtl/>
        </w:rPr>
        <w:t xml:space="preserve"> </w:t>
      </w:r>
      <w:r w:rsidRPr="00235ADC">
        <w:rPr>
          <w:rFonts w:cs="Arial" w:hint="cs"/>
          <w:sz w:val="16"/>
          <w:szCs w:val="16"/>
          <w:rtl/>
        </w:rPr>
        <w:t>(פת"ש סק"א)</w:t>
      </w:r>
    </w:p>
    <w:p w14:paraId="7C777A89" w14:textId="3F47001B" w:rsidR="00392DBB" w:rsidRPr="00235ADC" w:rsidRDefault="00392DBB" w:rsidP="009000E3">
      <w:pPr>
        <w:pStyle w:val="ab"/>
        <w:numPr>
          <w:ilvl w:val="0"/>
          <w:numId w:val="67"/>
        </w:numPr>
        <w:rPr>
          <w:rFonts w:cs="Arial"/>
          <w:rtl/>
        </w:rPr>
      </w:pPr>
      <w:r w:rsidRPr="00235ADC">
        <w:rPr>
          <w:rFonts w:cs="Arial"/>
          <w:rtl/>
        </w:rPr>
        <w:t xml:space="preserve">נו"ב </w:t>
      </w:r>
      <w:r w:rsidRPr="00235ADC">
        <w:rPr>
          <w:rFonts w:cs="Arial" w:hint="cs"/>
          <w:sz w:val="16"/>
          <w:szCs w:val="16"/>
          <w:rtl/>
        </w:rPr>
        <w:t>(</w:t>
      </w:r>
      <w:r w:rsidRPr="00235ADC">
        <w:rPr>
          <w:rFonts w:cs="Arial"/>
          <w:sz w:val="16"/>
          <w:szCs w:val="16"/>
          <w:rtl/>
        </w:rPr>
        <w:t>תניינא סי</w:t>
      </w:r>
      <w:r w:rsidRPr="00235ADC">
        <w:rPr>
          <w:rFonts w:cs="Arial" w:hint="cs"/>
          <w:sz w:val="16"/>
          <w:szCs w:val="16"/>
          <w:rtl/>
        </w:rPr>
        <w:t>'</w:t>
      </w:r>
      <w:r w:rsidRPr="00235ADC">
        <w:rPr>
          <w:rFonts w:cs="Arial"/>
          <w:sz w:val="16"/>
          <w:szCs w:val="16"/>
          <w:rtl/>
        </w:rPr>
        <w:t xml:space="preserve"> צה</w:t>
      </w:r>
      <w:r w:rsidRPr="00235ADC">
        <w:rPr>
          <w:rFonts w:cs="Arial" w:hint="cs"/>
          <w:sz w:val="16"/>
          <w:szCs w:val="16"/>
          <w:rtl/>
        </w:rPr>
        <w:t>)</w:t>
      </w:r>
      <w:r w:rsidRPr="00235ADC">
        <w:rPr>
          <w:rFonts w:cs="Arial" w:hint="cs"/>
          <w:rtl/>
        </w:rPr>
        <w:t>-</w:t>
      </w:r>
      <w:r w:rsidRPr="00235ADC">
        <w:rPr>
          <w:rFonts w:cs="Arial"/>
          <w:rtl/>
        </w:rPr>
        <w:t xml:space="preserve"> אחד מת ונשאר בעל חוב</w:t>
      </w:r>
      <w:r w:rsidRPr="00235ADC">
        <w:rPr>
          <w:rFonts w:cs="Arial" w:hint="cs"/>
          <w:rtl/>
        </w:rPr>
        <w:t>,</w:t>
      </w:r>
      <w:r w:rsidRPr="00235ADC">
        <w:rPr>
          <w:rFonts w:cs="Arial"/>
          <w:rtl/>
        </w:rPr>
        <w:t xml:space="preserve"> ועזבונו לא היה מספיק לפרוע החובות</w:t>
      </w:r>
      <w:r w:rsidRPr="00235ADC">
        <w:rPr>
          <w:rFonts w:cs="Arial" w:hint="cs"/>
          <w:rtl/>
        </w:rPr>
        <w:t>.</w:t>
      </w:r>
      <w:r w:rsidRPr="00235ADC">
        <w:rPr>
          <w:rFonts w:cs="Arial"/>
          <w:rtl/>
        </w:rPr>
        <w:t xml:space="preserve"> ומסרו הנכסים ביד אפטרופוס עד שיבואו הנושים כל אחד ליקח את שלו</w:t>
      </w:r>
      <w:r w:rsidRPr="00235ADC">
        <w:rPr>
          <w:rFonts w:cs="Arial" w:hint="cs"/>
          <w:rtl/>
        </w:rPr>
        <w:t>.</w:t>
      </w:r>
      <w:r w:rsidRPr="00235ADC">
        <w:rPr>
          <w:rFonts w:cs="Arial"/>
          <w:rtl/>
        </w:rPr>
        <w:t xml:space="preserve"> וזה המת הניח שני בנים ובת קטנה</w:t>
      </w:r>
      <w:r w:rsidRPr="00235ADC">
        <w:rPr>
          <w:rFonts w:cs="Arial" w:hint="cs"/>
          <w:rtl/>
        </w:rPr>
        <w:t>.</w:t>
      </w:r>
      <w:r w:rsidRPr="00235ADC">
        <w:rPr>
          <w:rFonts w:cs="Arial"/>
          <w:rtl/>
        </w:rPr>
        <w:t xml:space="preserve"> והואיל שהיו סבורים שיהיה הכרח לשלם כל הנושים היה הכל נשאר מונח ולא ניתן מזה למזונות היתומי'</w:t>
      </w:r>
      <w:r w:rsidRPr="00235ADC">
        <w:rPr>
          <w:rFonts w:cs="Arial" w:hint="cs"/>
          <w:rtl/>
        </w:rPr>
        <w:t>.</w:t>
      </w:r>
      <w:r w:rsidRPr="00235ADC">
        <w:rPr>
          <w:rFonts w:cs="Arial"/>
          <w:rtl/>
        </w:rPr>
        <w:t xml:space="preserve"> ואם הבת החזיקה את בתה אצלה וזנה ופרנסה והשיאה לגבר</w:t>
      </w:r>
      <w:r w:rsidRPr="00235ADC">
        <w:rPr>
          <w:rFonts w:cs="Arial" w:hint="cs"/>
          <w:rtl/>
        </w:rPr>
        <w:t>.</w:t>
      </w:r>
      <w:r w:rsidRPr="00235ADC">
        <w:rPr>
          <w:rFonts w:cs="Arial"/>
          <w:rtl/>
        </w:rPr>
        <w:t xml:space="preserve"> ועכשיו ברבות השנים בעל חוב אחד לא בא לתבוע את שלו לא נודע מקומו ועכשיו היורשים רוצים לחלק הנכסים</w:t>
      </w:r>
      <w:r w:rsidRPr="00235ADC">
        <w:rPr>
          <w:rFonts w:cs="Arial" w:hint="cs"/>
          <w:rtl/>
        </w:rPr>
        <w:t>.</w:t>
      </w:r>
      <w:r w:rsidRPr="00235ADC">
        <w:rPr>
          <w:rFonts w:cs="Arial"/>
          <w:rtl/>
        </w:rPr>
        <w:t xml:space="preserve"> וגם הבת באה לתבוע מזונות שהיה מגיע לה בקטנותה עד שבגרה</w:t>
      </w:r>
      <w:r w:rsidRPr="00235ADC">
        <w:rPr>
          <w:rFonts w:cs="Arial" w:hint="cs"/>
          <w:rtl/>
        </w:rPr>
        <w:t>.</w:t>
      </w:r>
      <w:r w:rsidRPr="00235ADC">
        <w:rPr>
          <w:rFonts w:cs="Arial"/>
          <w:rtl/>
        </w:rPr>
        <w:t xml:space="preserve"> ופסק הרב השואל שהנכסים כולם שייכים להבנים ואין להבת שום תביעה מחמת מזונות כיון שהיה לה מזונות ממקום אחר שאמה נתנה לה מזונות</w:t>
      </w:r>
      <w:r w:rsidRPr="00235ADC">
        <w:rPr>
          <w:rFonts w:cs="Arial" w:hint="cs"/>
          <w:rtl/>
        </w:rPr>
        <w:t>,</w:t>
      </w:r>
      <w:r w:rsidRPr="00235ADC">
        <w:rPr>
          <w:rFonts w:cs="Arial"/>
          <w:rtl/>
        </w:rPr>
        <w:t xml:space="preserve"> שלא תיקנו מזונות להבנות אלא שלא יצטרכו לחזור על הפתחים וזו שכבר ניזונה כו'.</w:t>
      </w:r>
      <w:r w:rsidRPr="00235ADC">
        <w:rPr>
          <w:rFonts w:cs="Arial" w:hint="cs"/>
          <w:rtl/>
        </w:rPr>
        <w:t>..</w:t>
      </w:r>
      <w:r w:rsidRPr="00235ADC">
        <w:rPr>
          <w:rFonts w:cs="Arial"/>
          <w:rtl/>
        </w:rPr>
        <w:t xml:space="preserve"> </w:t>
      </w:r>
      <w:r w:rsidRPr="00235ADC">
        <w:rPr>
          <w:rFonts w:cs="Arial" w:hint="cs"/>
          <w:rtl/>
        </w:rPr>
        <w:t>ו</w:t>
      </w:r>
      <w:r w:rsidRPr="00235ADC">
        <w:rPr>
          <w:rFonts w:cs="Arial"/>
          <w:rtl/>
        </w:rPr>
        <w:t>סברא זו נזכר בכנה"ג ואינו מסכים לזה</w:t>
      </w:r>
      <w:r>
        <w:rPr>
          <w:rFonts w:cs="Arial" w:hint="cs"/>
          <w:rtl/>
        </w:rPr>
        <w:t>,</w:t>
      </w:r>
      <w:r w:rsidRPr="00235ADC">
        <w:rPr>
          <w:rFonts w:cs="Arial"/>
          <w:rtl/>
        </w:rPr>
        <w:t xml:space="preserve"> שז"ל </w:t>
      </w:r>
      <w:r>
        <w:rPr>
          <w:rFonts w:cs="Arial" w:hint="cs"/>
          <w:rtl/>
        </w:rPr>
        <w:t>(</w:t>
      </w:r>
      <w:r w:rsidRPr="00235ADC">
        <w:rPr>
          <w:rFonts w:cs="Arial"/>
          <w:rtl/>
        </w:rPr>
        <w:t>הגהות הטור אות ו'</w:t>
      </w:r>
      <w:r>
        <w:rPr>
          <w:rFonts w:cs="Arial" w:hint="cs"/>
          <w:rtl/>
        </w:rPr>
        <w:t>)</w:t>
      </w:r>
      <w:r w:rsidR="004574D1">
        <w:rPr>
          <w:rFonts w:cs="Arial" w:hint="cs"/>
          <w:rtl/>
        </w:rPr>
        <w:t>:</w:t>
      </w:r>
      <w:r w:rsidRPr="00235ADC">
        <w:rPr>
          <w:rFonts w:cs="Arial"/>
          <w:rtl/>
        </w:rPr>
        <w:t xml:space="preserve"> אם נתחסד אחד עמה לזונה אין לה מזונות מן האחין הר"י הלוי סי' ב' ובשם חכם אחד כ' שאפ"ה יש לה מזונות ולזה דעתי נוטה עכ"ל</w:t>
      </w:r>
      <w:r>
        <w:rPr>
          <w:rFonts w:cs="Arial" w:hint="cs"/>
          <w:rtl/>
        </w:rPr>
        <w:t>.</w:t>
      </w:r>
      <w:r w:rsidRPr="00235ADC">
        <w:rPr>
          <w:rFonts w:cs="Arial"/>
          <w:rtl/>
        </w:rPr>
        <w:t xml:space="preserve"> אך באמת דבר זה תלוי בפלוגת' שבין הרי"ף ורמב"ם ובין רש"י ותוס' והרא"ש באבעיא דכתובות </w:t>
      </w:r>
      <w:r>
        <w:rPr>
          <w:rFonts w:cs="Arial" w:hint="cs"/>
          <w:rtl/>
        </w:rPr>
        <w:t>(</w:t>
      </w:r>
      <w:r w:rsidRPr="00235ADC">
        <w:rPr>
          <w:rFonts w:cs="Arial"/>
          <w:rtl/>
        </w:rPr>
        <w:t>נג</w:t>
      </w:r>
      <w:r>
        <w:rPr>
          <w:rFonts w:cs="Arial" w:hint="cs"/>
          <w:rtl/>
        </w:rPr>
        <w:t>.)</w:t>
      </w:r>
      <w:r w:rsidRPr="00235ADC">
        <w:rPr>
          <w:rFonts w:cs="Arial"/>
          <w:rtl/>
        </w:rPr>
        <w:t xml:space="preserve"> ארוסה יש לה מזונות</w:t>
      </w:r>
      <w:r>
        <w:rPr>
          <w:rFonts w:cs="Arial" w:hint="cs"/>
          <w:rtl/>
        </w:rPr>
        <w:t>.</w:t>
      </w:r>
      <w:r w:rsidRPr="00235ADC">
        <w:rPr>
          <w:rFonts w:cs="Arial"/>
          <w:rtl/>
        </w:rPr>
        <w:t xml:space="preserve"> ובפלוגתא זו פסק המחבר בסעיף ג' כרי"ף ורמב"ם והב"ש בסק"ו כתב דיכול הארוס לומר קים לי כרש"י. ומעתה סיומא דפסקא אם הנכסים שנשארו בעת מיתת המנוח היו מרובים (ע' סעיף י"א מה נקרא מרובים) ואף שהיה חייב לאחרים כהנה וכהנה מ"מ נקראו מרובים כמבואר בסט"ו ואז כל הנכסים בחזקת הבנים אלא שהם חייבים ליתן מזונות להבת וכיון שיש כאן ספיקא דדינא יכולים לומר קי"ל כרש"י ותוס' ורא"ש ואמנם אם היו הנכסים מועטים דהיינו שלא היו מספיקים רק כדי מזונות הבת לחוד עד שתבגור ואז מגיע הכל להבת וא"כ ספק הוא אם מגיע הכל להבת או הכל להבנים וכיון שהם מושלשים ביד אפטרופס בתורת פקדון הרי הוא ממון המוטל בספק ויחלוקו הבנים עם הבת. אלא שזה היה שייך אם היה נשאר קרקע אבל אם נשאר מטלטלים שבזה אפילו בנכסים מועטים עכ"פ הבנים שוים עם הבנות כמבואר סעיף י"ב וא"כ הבנים ודאי יש להם זכות בנכסים הללו והבנות ספק ואין ספק מוציא מידי ודאי ואף שכתב הרמ"א שם בהג"ה שבמקום שכותבים בכתובה מטלטלים אג"ק איכא למימר דמטלטלים הם כמו קרקע לא ברירא ליה להרמ"א ז"ל הך סברא והבנות הם ספק ספיקא באופן אם הנכסים היו מרובים בשעת מיתה אז ודאי הבנים יכולים לומר קי"ל ושייך הכל להבנים ואם היו מועטים וכנ"ל היה מקום לעיין בזה אך הואיל שכבר פסק הרב השואל ששייך הכל להבנים לא מהדרינן עובדא</w:t>
      </w:r>
      <w:r w:rsidRPr="00235ADC">
        <w:rPr>
          <w:rFonts w:cs="Arial" w:hint="cs"/>
          <w:rtl/>
        </w:rPr>
        <w:t>.</w:t>
      </w:r>
    </w:p>
    <w:p w14:paraId="0EA4DB66" w14:textId="77777777" w:rsidR="00392DBB" w:rsidRPr="00523CDE" w:rsidRDefault="00392DBB" w:rsidP="00392DBB">
      <w:pPr>
        <w:rPr>
          <w:rFonts w:cs="Arial"/>
          <w:rtl/>
        </w:rPr>
      </w:pPr>
    </w:p>
    <w:p w14:paraId="658194D2" w14:textId="77777777" w:rsidR="00392DBB" w:rsidRDefault="00392DBB" w:rsidP="000F64D0">
      <w:pPr>
        <w:pStyle w:val="2"/>
        <w:rPr>
          <w:rtl/>
        </w:rPr>
      </w:pPr>
      <w:r w:rsidRPr="00523CDE">
        <w:rPr>
          <w:rtl/>
        </w:rPr>
        <w:t>סעיף ב</w:t>
      </w:r>
      <w:r>
        <w:rPr>
          <w:rFonts w:hint="cs"/>
          <w:rtl/>
        </w:rPr>
        <w:t>: מעשה ידיה ומציאתה של הבת הניזונת.</w:t>
      </w:r>
    </w:p>
    <w:p w14:paraId="3737220B" w14:textId="1A16895D" w:rsidR="00392DBB" w:rsidRPr="00F06DB8" w:rsidRDefault="00392DBB" w:rsidP="00392DBB">
      <w:pPr>
        <w:rPr>
          <w:rtl/>
        </w:rPr>
      </w:pPr>
      <w:r w:rsidRPr="00974066">
        <w:rPr>
          <w:rFonts w:cs="Arial" w:hint="cs"/>
          <w:b/>
          <w:bCs/>
          <w:rtl/>
        </w:rPr>
        <w:t xml:space="preserve">כתובות </w:t>
      </w:r>
      <w:r w:rsidRPr="00974066">
        <w:rPr>
          <w:rFonts w:cs="Arial" w:hint="cs"/>
          <w:b/>
          <w:bCs/>
          <w:sz w:val="16"/>
          <w:szCs w:val="16"/>
          <w:rtl/>
        </w:rPr>
        <w:t>(פ</w:t>
      </w:r>
      <w:r>
        <w:rPr>
          <w:rFonts w:cs="Arial" w:hint="cs"/>
          <w:b/>
          <w:bCs/>
          <w:sz w:val="16"/>
          <w:szCs w:val="16"/>
          <w:rtl/>
        </w:rPr>
        <w:t>'</w:t>
      </w:r>
      <w:r w:rsidRPr="00974066">
        <w:rPr>
          <w:rFonts w:cs="Arial"/>
          <w:b/>
          <w:bCs/>
          <w:sz w:val="16"/>
          <w:szCs w:val="16"/>
          <w:rtl/>
        </w:rPr>
        <w:t xml:space="preserve"> נערה שנתפתתה</w:t>
      </w:r>
      <w:r w:rsidRPr="00974066">
        <w:rPr>
          <w:rFonts w:cs="Arial" w:hint="cs"/>
          <w:b/>
          <w:bCs/>
          <w:sz w:val="16"/>
          <w:szCs w:val="16"/>
          <w:rtl/>
        </w:rPr>
        <w:t>)</w:t>
      </w:r>
      <w:r w:rsidRPr="00974066">
        <w:rPr>
          <w:rFonts w:cs="Arial"/>
          <w:b/>
          <w:bCs/>
          <w:rtl/>
        </w:rPr>
        <w:t xml:space="preserve"> </w:t>
      </w:r>
      <w:r>
        <w:rPr>
          <w:rFonts w:cs="Arial" w:hint="cs"/>
          <w:b/>
          <w:bCs/>
          <w:rtl/>
        </w:rPr>
        <w:t>מג</w:t>
      </w:r>
      <w:r w:rsidR="004574D1" w:rsidRPr="00C43520">
        <w:rPr>
          <w:rStyle w:val="a7"/>
          <w:rFonts w:cs="Arial"/>
          <w:b/>
          <w:bCs/>
          <w:rtl/>
        </w:rPr>
        <w:footnoteReference w:id="2494"/>
      </w:r>
      <w:r w:rsidRPr="00974066">
        <w:rPr>
          <w:rFonts w:cs="Arial" w:hint="cs"/>
          <w:b/>
          <w:bCs/>
          <w:rtl/>
        </w:rPr>
        <w:t xml:space="preserve"> ע"</w:t>
      </w:r>
      <w:r>
        <w:rPr>
          <w:rFonts w:cs="Arial" w:hint="cs"/>
          <w:b/>
          <w:bCs/>
          <w:rtl/>
        </w:rPr>
        <w:t>א</w:t>
      </w:r>
      <w:r w:rsidRPr="00974066">
        <w:rPr>
          <w:rFonts w:cs="Arial"/>
          <w:b/>
          <w:bCs/>
          <w:rtl/>
        </w:rPr>
        <w:t>:</w:t>
      </w:r>
      <w:r w:rsidRPr="00F8140D">
        <w:rPr>
          <w:rFonts w:cs="Arial"/>
          <w:rtl/>
        </w:rPr>
        <w:t xml:space="preserve"> </w:t>
      </w:r>
      <w:r w:rsidRPr="00425323">
        <w:rPr>
          <w:rFonts w:cs="Arial"/>
          <w:u w:val="single"/>
          <w:rtl/>
        </w:rPr>
        <w:t>בעא מיניה רבי אבינא מרב ששת</w:t>
      </w:r>
      <w:r w:rsidRPr="00425323">
        <w:rPr>
          <w:rFonts w:cs="Arial"/>
          <w:rtl/>
        </w:rPr>
        <w:t>: בת הניזונת מן האחין, מעשה ידיה למי? במקום אב קיימי, מה התם מעשה ידיה לאב, ה"נ מעשה ידיה לאחין, או דלמא לא דמי לאב, התם מדידיה מיתזנא, הכא לאו מדידהו מיתזנא?</w:t>
      </w:r>
      <w:r>
        <w:rPr>
          <w:rFonts w:hint="cs"/>
          <w:rtl/>
        </w:rPr>
        <w:t>...</w:t>
      </w:r>
      <w:r>
        <w:rPr>
          <w:rFonts w:hint="cs"/>
          <w:sz w:val="14"/>
          <w:szCs w:val="14"/>
          <w:rtl/>
        </w:rPr>
        <w:t xml:space="preserve"> (מג:)</w:t>
      </w:r>
      <w:r w:rsidRPr="00425323">
        <w:rPr>
          <w:rtl/>
        </w:rPr>
        <w:t xml:space="preserve"> </w:t>
      </w:r>
      <w:r w:rsidRPr="00425323">
        <w:rPr>
          <w:rFonts w:cs="Arial"/>
          <w:u w:val="single"/>
          <w:rtl/>
        </w:rPr>
        <w:t>אמר רב זירא אמר רב מתנה אמר רב</w:t>
      </w:r>
      <w:r w:rsidRPr="00425323">
        <w:rPr>
          <w:rFonts w:cs="Arial"/>
          <w:rtl/>
        </w:rPr>
        <w:t xml:space="preserve">, ואמרי לה </w:t>
      </w:r>
      <w:r w:rsidRPr="00425323">
        <w:rPr>
          <w:rFonts w:cs="Arial"/>
          <w:u w:val="single"/>
          <w:rtl/>
        </w:rPr>
        <w:t>אמר רבי זירא</w:t>
      </w:r>
      <w:r>
        <w:rPr>
          <w:rStyle w:val="a7"/>
          <w:rFonts w:cs="Arial"/>
          <w:u w:val="single"/>
          <w:rtl/>
        </w:rPr>
        <w:footnoteReference w:id="2495"/>
      </w:r>
      <w:r w:rsidRPr="00425323">
        <w:rPr>
          <w:rFonts w:cs="Arial"/>
          <w:u w:val="single"/>
          <w:rtl/>
        </w:rPr>
        <w:t xml:space="preserve"> א"ר מתנה אמר </w:t>
      </w:r>
      <w:r w:rsidRPr="00425323">
        <w:rPr>
          <w:rFonts w:cs="Arial"/>
          <w:u w:val="single"/>
          <w:rtl/>
        </w:rPr>
        <w:lastRenderedPageBreak/>
        <w:t>רב</w:t>
      </w:r>
      <w:r w:rsidRPr="00425323">
        <w:rPr>
          <w:rFonts w:cs="Arial"/>
          <w:rtl/>
        </w:rPr>
        <w:t>: בת הניזונת מן האחין - מעשה ידיה לעצמה, דכתיב</w:t>
      </w:r>
      <w:r>
        <w:rPr>
          <w:rStyle w:val="a7"/>
          <w:rFonts w:cs="Arial"/>
          <w:rtl/>
        </w:rPr>
        <w:footnoteReference w:id="2496"/>
      </w:r>
      <w:r w:rsidRPr="00425323">
        <w:rPr>
          <w:rFonts w:cs="Arial"/>
          <w:rtl/>
        </w:rPr>
        <w:t xml:space="preserve">: </w:t>
      </w:r>
      <w:r>
        <w:rPr>
          <w:rFonts w:cs="Arial" w:hint="cs"/>
          <w:rtl/>
        </w:rPr>
        <w:t>'</w:t>
      </w:r>
      <w:r w:rsidRPr="00425323">
        <w:rPr>
          <w:rFonts w:cs="Arial"/>
          <w:rtl/>
        </w:rPr>
        <w:t>והתנחלתם אותם לבניכם אחריכם</w:t>
      </w:r>
      <w:r>
        <w:rPr>
          <w:rFonts w:cs="Arial" w:hint="cs"/>
          <w:rtl/>
        </w:rPr>
        <w:t>'</w:t>
      </w:r>
      <w:r w:rsidRPr="00425323">
        <w:rPr>
          <w:rFonts w:cs="Arial"/>
          <w:rtl/>
        </w:rPr>
        <w:t xml:space="preserve">, אותם לבניכם - ולא בנותיכם לבניכם, מגיד שאין אדם מוריש זכות בתו לבנו. </w:t>
      </w:r>
      <w:r w:rsidRPr="00F05CBF">
        <w:rPr>
          <w:rFonts w:cs="Arial"/>
          <w:u w:val="single"/>
          <w:rtl/>
        </w:rPr>
        <w:t>א"ל אבימי בר פפי</w:t>
      </w:r>
      <w:r w:rsidRPr="00425323">
        <w:rPr>
          <w:rFonts w:cs="Arial"/>
          <w:rtl/>
        </w:rPr>
        <w:t xml:space="preserve">: שקוד אמרה. שקוד מנו? שמואל, הא רב אמרה! אימא: אף שקוד אמרה. </w:t>
      </w:r>
      <w:r w:rsidRPr="00F05CBF">
        <w:rPr>
          <w:rFonts w:cs="Arial"/>
          <w:u w:val="single"/>
          <w:rtl/>
        </w:rPr>
        <w:t>אמר מר בר אמימר לרב אשי</w:t>
      </w:r>
      <w:r>
        <w:rPr>
          <w:rFonts w:cs="Arial" w:hint="cs"/>
          <w:rtl/>
        </w:rPr>
        <w:t>:</w:t>
      </w:r>
      <w:r w:rsidRPr="00425323">
        <w:rPr>
          <w:rFonts w:cs="Arial"/>
          <w:rtl/>
        </w:rPr>
        <w:t xml:space="preserve"> הכי אמרי נהרדעי: הלכתא כוותיה דרב ששת. </w:t>
      </w:r>
      <w:r w:rsidRPr="00F05CBF">
        <w:rPr>
          <w:rFonts w:cs="Arial"/>
          <w:u w:val="single"/>
          <w:rtl/>
        </w:rPr>
        <w:t>רב אשי אמר</w:t>
      </w:r>
      <w:r w:rsidRPr="00425323">
        <w:rPr>
          <w:rFonts w:cs="Arial"/>
          <w:rtl/>
        </w:rPr>
        <w:t>: הלכתא כוותיה דרב. והלכתא כוותיה דרב.</w:t>
      </w:r>
    </w:p>
    <w:p w14:paraId="5921CD19" w14:textId="66846322" w:rsidR="00392DBB" w:rsidRPr="00F06DB8" w:rsidRDefault="00392DBB" w:rsidP="00392DBB">
      <w:pPr>
        <w:rPr>
          <w:u w:val="single"/>
          <w:rtl/>
        </w:rPr>
      </w:pPr>
      <w:r w:rsidRPr="00F06DB8">
        <w:rPr>
          <w:rFonts w:hint="cs"/>
          <w:u w:val="single"/>
          <w:rtl/>
        </w:rPr>
        <w:t xml:space="preserve">מעשה ידיה ומציאתה של הבת הניזונת </w:t>
      </w:r>
      <w:r w:rsidR="00F97626">
        <w:rPr>
          <w:u w:val="single"/>
          <w:rtl/>
        </w:rPr>
        <w:t>-</w:t>
      </w:r>
      <w:r w:rsidRPr="00F06DB8">
        <w:rPr>
          <w:rFonts w:hint="cs"/>
          <w:u w:val="single"/>
          <w:rtl/>
        </w:rPr>
        <w:t xml:space="preserve"> למי:</w:t>
      </w:r>
    </w:p>
    <w:p w14:paraId="00C60E67" w14:textId="77777777" w:rsidR="00392DBB" w:rsidRPr="00EF7111" w:rsidRDefault="00392DBB" w:rsidP="009000E3">
      <w:pPr>
        <w:pStyle w:val="ab"/>
        <w:numPr>
          <w:ilvl w:val="0"/>
          <w:numId w:val="63"/>
        </w:numPr>
      </w:pPr>
      <w:r>
        <w:rPr>
          <w:rFonts w:cs="Arial" w:hint="cs"/>
          <w:rtl/>
        </w:rPr>
        <w:t xml:space="preserve">טור- </w:t>
      </w:r>
      <w:r w:rsidRPr="00B345A5">
        <w:rPr>
          <w:rFonts w:cs="Arial"/>
          <w:rtl/>
        </w:rPr>
        <w:t>ואף על פי שניזונת מן האחין מעשה ידיה ומציאתה לעצמה</w:t>
      </w:r>
      <w:r>
        <w:rPr>
          <w:rFonts w:cs="Arial" w:hint="cs"/>
          <w:rtl/>
        </w:rPr>
        <w:t>.</w:t>
      </w:r>
      <w:r w:rsidRPr="00B345A5">
        <w:rPr>
          <w:rFonts w:cs="Arial"/>
          <w:rtl/>
        </w:rPr>
        <w:t xml:space="preserve"> </w:t>
      </w:r>
      <w:r w:rsidRPr="00F011B0">
        <w:rPr>
          <w:rFonts w:hint="cs"/>
          <w:color w:val="E36C0A" w:themeColor="accent6" w:themeShade="BF"/>
          <w:rtl/>
        </w:rPr>
        <w:t>(וכ"פ בשו"ע)</w:t>
      </w:r>
    </w:p>
    <w:p w14:paraId="4923427C"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8BA6A4F" w14:textId="77777777" w:rsidR="00392DBB" w:rsidRDefault="00392DBB" w:rsidP="00392DBB">
      <w:pPr>
        <w:rPr>
          <w:rFonts w:cs="Arial"/>
          <w:rtl/>
        </w:rPr>
      </w:pPr>
      <w:r w:rsidRPr="00523CDE">
        <w:rPr>
          <w:rFonts w:cs="Arial"/>
          <w:rtl/>
        </w:rPr>
        <w:t>בת הניזונת מנכסי אביה לאחר מותו, מעשה ידיה ומציאתה לעצמה</w:t>
      </w:r>
      <w:r>
        <w:rPr>
          <w:rStyle w:val="a7"/>
          <w:rFonts w:cs="Arial"/>
          <w:rtl/>
        </w:rPr>
        <w:footnoteReference w:id="2497"/>
      </w:r>
      <w:r w:rsidRPr="00523CDE">
        <w:rPr>
          <w:rFonts w:cs="Arial"/>
          <w:rtl/>
        </w:rPr>
        <w:t xml:space="preserve">. </w:t>
      </w:r>
    </w:p>
    <w:p w14:paraId="528D4725" w14:textId="77777777" w:rsidR="00392DBB" w:rsidRPr="00523CDE" w:rsidRDefault="00392DBB" w:rsidP="00392DBB">
      <w:pPr>
        <w:rPr>
          <w:rFonts w:cs="Arial"/>
          <w:rtl/>
        </w:rPr>
      </w:pPr>
    </w:p>
    <w:p w14:paraId="10EF263E" w14:textId="77777777" w:rsidR="00392DBB" w:rsidRDefault="00392DBB" w:rsidP="000F64D0">
      <w:pPr>
        <w:pStyle w:val="2"/>
        <w:rPr>
          <w:rtl/>
        </w:rPr>
      </w:pPr>
      <w:r w:rsidRPr="00523CDE">
        <w:rPr>
          <w:rtl/>
        </w:rPr>
        <w:t>סעיף ג</w:t>
      </w:r>
      <w:r>
        <w:rPr>
          <w:rFonts w:hint="cs"/>
          <w:rtl/>
        </w:rPr>
        <w:t xml:space="preserve">: </w:t>
      </w:r>
      <w:r w:rsidRPr="00523CDE">
        <w:rPr>
          <w:rtl/>
        </w:rPr>
        <w:t>נתארסה בעודה קטנה</w:t>
      </w:r>
      <w:r>
        <w:rPr>
          <w:rFonts w:hint="cs"/>
          <w:rtl/>
        </w:rPr>
        <w:t>.</w:t>
      </w:r>
    </w:p>
    <w:p w14:paraId="419ADD28" w14:textId="7F944AC4" w:rsidR="00392DBB" w:rsidRPr="00F05CBF" w:rsidRDefault="00392DBB" w:rsidP="00392DBB">
      <w:pPr>
        <w:rPr>
          <w:u w:val="single"/>
          <w:rtl/>
        </w:rPr>
      </w:pPr>
      <w:r w:rsidRPr="00F05CBF">
        <w:rPr>
          <w:rFonts w:cs="Arial"/>
          <w:u w:val="single"/>
          <w:rtl/>
        </w:rPr>
        <w:t xml:space="preserve">נתארסה בעודה </w:t>
      </w:r>
      <w:r>
        <w:rPr>
          <w:rFonts w:cs="Arial" w:hint="cs"/>
          <w:u w:val="single"/>
          <w:rtl/>
        </w:rPr>
        <w:t xml:space="preserve">נערה או </w:t>
      </w:r>
      <w:r w:rsidRPr="00F05CBF">
        <w:rPr>
          <w:rFonts w:cs="Arial"/>
          <w:u w:val="single"/>
          <w:rtl/>
        </w:rPr>
        <w:t>קטנה</w:t>
      </w:r>
      <w:r>
        <w:rPr>
          <w:rFonts w:hint="cs"/>
          <w:u w:val="single"/>
          <w:rtl/>
        </w:rPr>
        <w:t xml:space="preserve"> </w:t>
      </w:r>
      <w:r w:rsidR="00F97626">
        <w:rPr>
          <w:u w:val="single"/>
          <w:rtl/>
        </w:rPr>
        <w:t>-</w:t>
      </w:r>
      <w:r>
        <w:rPr>
          <w:rFonts w:hint="cs"/>
          <w:u w:val="single"/>
          <w:rtl/>
        </w:rPr>
        <w:t xml:space="preserve"> האם </w:t>
      </w:r>
      <w:r w:rsidR="00C46172">
        <w:rPr>
          <w:rFonts w:hint="cs"/>
          <w:u w:val="single"/>
          <w:rtl/>
        </w:rPr>
        <w:t>יש לה מ</w:t>
      </w:r>
      <w:r>
        <w:rPr>
          <w:rFonts w:hint="cs"/>
          <w:u w:val="single"/>
          <w:rtl/>
        </w:rPr>
        <w:t>זונות</w:t>
      </w:r>
      <w:r w:rsidRPr="00F05CBF">
        <w:rPr>
          <w:rFonts w:hint="cs"/>
          <w:u w:val="single"/>
          <w:rtl/>
        </w:rPr>
        <w:t>:</w:t>
      </w:r>
    </w:p>
    <w:p w14:paraId="6D23300E" w14:textId="77777777" w:rsidR="00392DBB" w:rsidRPr="001B0B78" w:rsidRDefault="00392DBB" w:rsidP="009000E3">
      <w:pPr>
        <w:pStyle w:val="ab"/>
        <w:numPr>
          <w:ilvl w:val="0"/>
          <w:numId w:val="63"/>
        </w:numPr>
      </w:pPr>
      <w:r>
        <w:rPr>
          <w:rFonts w:cs="Arial" w:hint="cs"/>
          <w:rtl/>
        </w:rPr>
        <w:t xml:space="preserve">רמב"ם </w:t>
      </w:r>
      <w:r w:rsidRPr="000F4A99">
        <w:rPr>
          <w:rFonts w:cs="Arial" w:hint="cs"/>
          <w:sz w:val="16"/>
          <w:szCs w:val="16"/>
          <w:rtl/>
        </w:rPr>
        <w:t>(פי"ט מאישות ה</w:t>
      </w:r>
      <w:r>
        <w:rPr>
          <w:rFonts w:cs="Arial" w:hint="cs"/>
          <w:sz w:val="16"/>
          <w:szCs w:val="16"/>
          <w:rtl/>
        </w:rPr>
        <w:t>ט"ו</w:t>
      </w:r>
      <w:r w:rsidRPr="000F4A99">
        <w:rPr>
          <w:rFonts w:cs="Arial" w:hint="cs"/>
          <w:sz w:val="16"/>
          <w:szCs w:val="16"/>
          <w:rtl/>
        </w:rPr>
        <w:t>)</w:t>
      </w:r>
      <w:r>
        <w:rPr>
          <w:rFonts w:cs="Arial" w:hint="cs"/>
          <w:rtl/>
        </w:rPr>
        <w:t xml:space="preserve"> רא"ש </w:t>
      </w:r>
      <w:r>
        <w:rPr>
          <w:rFonts w:cs="Arial" w:hint="cs"/>
          <w:sz w:val="16"/>
          <w:szCs w:val="16"/>
          <w:rtl/>
        </w:rPr>
        <w:t>(פ"ד סי' כו)</w:t>
      </w:r>
      <w:r>
        <w:rPr>
          <w:rFonts w:cs="Arial" w:hint="cs"/>
          <w:rtl/>
        </w:rPr>
        <w:t xml:space="preserve"> וטור- </w:t>
      </w:r>
      <w:r w:rsidRPr="00B345A5">
        <w:rPr>
          <w:rFonts w:cs="Arial"/>
          <w:rtl/>
        </w:rPr>
        <w:t xml:space="preserve">בגרה הבת או נתארסה אפילו בקטנותה </w:t>
      </w:r>
      <w:r>
        <w:rPr>
          <w:rFonts w:cs="Arial" w:hint="cs"/>
          <w:rtl/>
        </w:rPr>
        <w:t xml:space="preserve">- </w:t>
      </w:r>
      <w:r w:rsidRPr="00B345A5">
        <w:rPr>
          <w:rFonts w:cs="Arial"/>
          <w:rtl/>
        </w:rPr>
        <w:t>שוב אין לה מזונות</w:t>
      </w:r>
      <w:r>
        <w:rPr>
          <w:rFonts w:cs="Arial" w:hint="cs"/>
          <w:sz w:val="16"/>
          <w:szCs w:val="16"/>
          <w:rtl/>
        </w:rPr>
        <w:t xml:space="preserve"> (ל' הטור)</w:t>
      </w:r>
      <w:r>
        <w:rPr>
          <w:rFonts w:cs="Arial" w:hint="cs"/>
          <w:rtl/>
        </w:rPr>
        <w:t xml:space="preserve">. </w:t>
      </w:r>
      <w:r w:rsidRPr="008B0555">
        <w:rPr>
          <w:rFonts w:hint="cs"/>
          <w:color w:val="E36C0A" w:themeColor="accent6" w:themeShade="BF"/>
          <w:rtl/>
        </w:rPr>
        <w:t>(וכ"פ בשו"ע</w:t>
      </w:r>
      <w:r w:rsidRPr="008B0555">
        <w:rPr>
          <w:rFonts w:hint="cs"/>
          <w:color w:val="E36C0A" w:themeColor="accent6" w:themeShade="BF"/>
          <w:sz w:val="16"/>
          <w:szCs w:val="16"/>
          <w:rtl/>
        </w:rPr>
        <w:t xml:space="preserve"> </w:t>
      </w:r>
      <w:r w:rsidRPr="008B0555">
        <w:rPr>
          <w:rFonts w:hint="cs"/>
          <w:color w:val="000000" w:themeColor="text1"/>
          <w:sz w:val="16"/>
          <w:szCs w:val="16"/>
          <w:rtl/>
        </w:rPr>
        <w:t>[כאן ובסי' נה ס"ד]</w:t>
      </w:r>
      <w:r w:rsidRPr="008B0555">
        <w:rPr>
          <w:rFonts w:hint="cs"/>
          <w:color w:val="E36C0A" w:themeColor="accent6" w:themeShade="BF"/>
          <w:rtl/>
        </w:rPr>
        <w:t>)</w:t>
      </w:r>
    </w:p>
    <w:p w14:paraId="79F771D5" w14:textId="77777777" w:rsidR="00392DBB" w:rsidRDefault="00392DBB" w:rsidP="009000E3">
      <w:pPr>
        <w:pStyle w:val="ab"/>
        <w:numPr>
          <w:ilvl w:val="0"/>
          <w:numId w:val="63"/>
        </w:numPr>
      </w:pPr>
      <w:r w:rsidRPr="001B0B78">
        <w:rPr>
          <w:rFonts w:cs="Arial"/>
          <w:rtl/>
        </w:rPr>
        <w:t>ר"ח</w:t>
      </w:r>
      <w:r w:rsidRPr="00EC48C9">
        <w:rPr>
          <w:rFonts w:cs="Arial"/>
          <w:rtl/>
        </w:rPr>
        <w:t xml:space="preserve"> </w:t>
      </w:r>
      <w:r w:rsidRPr="001B0B78">
        <w:rPr>
          <w:rFonts w:cs="Arial"/>
          <w:rtl/>
        </w:rPr>
        <w:t>בהעי</w:t>
      </w:r>
      <w:r>
        <w:rPr>
          <w:rFonts w:cs="Arial" w:hint="cs"/>
          <w:rtl/>
        </w:rPr>
        <w:t>"</w:t>
      </w:r>
      <w:r w:rsidRPr="001B0B78">
        <w:rPr>
          <w:rFonts w:cs="Arial"/>
          <w:rtl/>
        </w:rPr>
        <w:t>ט ורשב"א</w:t>
      </w:r>
      <w:r>
        <w:rPr>
          <w:rStyle w:val="a7"/>
          <w:rFonts w:cs="Arial"/>
          <w:rtl/>
        </w:rPr>
        <w:footnoteReference w:id="2498"/>
      </w:r>
      <w:r>
        <w:rPr>
          <w:rFonts w:cs="Arial" w:hint="cs"/>
          <w:rtl/>
        </w:rPr>
        <w:t xml:space="preserve">- </w:t>
      </w:r>
      <w:r w:rsidRPr="001B0B78">
        <w:rPr>
          <w:rFonts w:cs="Arial"/>
          <w:rtl/>
        </w:rPr>
        <w:t>דוקא ארוסה נערה הוא שאבדה מזונות משעת אירוסין</w:t>
      </w:r>
      <w:r>
        <w:rPr>
          <w:rFonts w:cs="Arial" w:hint="cs"/>
          <w:rtl/>
        </w:rPr>
        <w:t>,</w:t>
      </w:r>
      <w:r w:rsidRPr="001B0B78">
        <w:rPr>
          <w:rFonts w:cs="Arial"/>
          <w:rtl/>
        </w:rPr>
        <w:t xml:space="preserve"> לפי שאירוסיה אירוסין גמורים מדאורייתא</w:t>
      </w:r>
      <w:r>
        <w:rPr>
          <w:rFonts w:cs="Arial" w:hint="cs"/>
          <w:rtl/>
        </w:rPr>
        <w:t>.</w:t>
      </w:r>
      <w:r w:rsidRPr="001B0B78">
        <w:rPr>
          <w:rFonts w:cs="Arial"/>
          <w:rtl/>
        </w:rPr>
        <w:t xml:space="preserve"> אבל קטנה </w:t>
      </w:r>
      <w:r>
        <w:rPr>
          <w:rFonts w:cs="Arial" w:hint="cs"/>
          <w:rtl/>
        </w:rPr>
        <w:t xml:space="preserve">- </w:t>
      </w:r>
      <w:r w:rsidRPr="001B0B78">
        <w:rPr>
          <w:rFonts w:cs="Arial"/>
          <w:rtl/>
        </w:rPr>
        <w:t>לא הפסידה באירוסין בלבד</w:t>
      </w:r>
      <w:r>
        <w:rPr>
          <w:rStyle w:val="a7"/>
          <w:rFonts w:cs="Arial"/>
          <w:rtl/>
        </w:rPr>
        <w:footnoteReference w:id="2499"/>
      </w:r>
      <w:r>
        <w:rPr>
          <w:rFonts w:cs="Arial" w:hint="cs"/>
          <w:sz w:val="16"/>
          <w:szCs w:val="16"/>
          <w:rtl/>
        </w:rPr>
        <w:t xml:space="preserve"> (ל' הה"מ בשם ר"ח)</w:t>
      </w:r>
      <w:r>
        <w:rPr>
          <w:rFonts w:cs="Arial" w:hint="cs"/>
          <w:rtl/>
        </w:rPr>
        <w:t>.</w:t>
      </w:r>
      <w:r w:rsidRPr="008B0555">
        <w:rPr>
          <w:rFonts w:hint="cs"/>
          <w:color w:val="00B0F0"/>
          <w:rtl/>
        </w:rPr>
        <w:t xml:space="preserve"> </w:t>
      </w:r>
      <w:r w:rsidRPr="003F6249">
        <w:rPr>
          <w:rFonts w:hint="cs"/>
          <w:color w:val="00B0F0"/>
          <w:rtl/>
        </w:rPr>
        <w:t>(וכ"</w:t>
      </w:r>
      <w:r>
        <w:rPr>
          <w:rFonts w:hint="cs"/>
          <w:color w:val="00B0F0"/>
          <w:rtl/>
        </w:rPr>
        <w:t>כ</w:t>
      </w:r>
      <w:r w:rsidRPr="003F6249">
        <w:rPr>
          <w:rFonts w:hint="cs"/>
          <w:color w:val="00B0F0"/>
          <w:rtl/>
        </w:rPr>
        <w:t xml:space="preserve"> הרמ"א</w:t>
      </w:r>
      <w:r>
        <w:rPr>
          <w:rFonts w:hint="cs"/>
          <w:color w:val="00B0F0"/>
          <w:rtl/>
        </w:rPr>
        <w:t>)</w:t>
      </w:r>
    </w:p>
    <w:p w14:paraId="24D6F62F" w14:textId="0CE7E625" w:rsidR="00392DBB" w:rsidRPr="009A15F4" w:rsidRDefault="00392DBB" w:rsidP="00392DBB">
      <w:pPr>
        <w:ind w:left="360"/>
        <w:rPr>
          <w:u w:val="dotted"/>
        </w:rPr>
      </w:pPr>
      <w:r w:rsidRPr="003F6249">
        <w:rPr>
          <w:rFonts w:hint="cs"/>
          <w:u w:val="dotted"/>
          <w:rtl/>
        </w:rPr>
        <w:t xml:space="preserve">לרמב"ם וסיעתו </w:t>
      </w:r>
      <w:r w:rsidR="00F97626">
        <w:rPr>
          <w:u w:val="dotted"/>
          <w:rtl/>
        </w:rPr>
        <w:t>-</w:t>
      </w:r>
      <w:r w:rsidRPr="003F6249">
        <w:rPr>
          <w:rFonts w:hint="cs"/>
          <w:u w:val="dotted"/>
          <w:rtl/>
        </w:rPr>
        <w:t xml:space="preserve"> </w:t>
      </w:r>
      <w:r w:rsidRPr="009A15F4">
        <w:rPr>
          <w:rFonts w:hint="cs"/>
          <w:u w:val="dotted"/>
          <w:rtl/>
        </w:rPr>
        <w:t>מה הדין אם נתארסה מדעת היורשים:</w:t>
      </w:r>
    </w:p>
    <w:p w14:paraId="65AF4203" w14:textId="5E5F7DEC" w:rsidR="00392DBB" w:rsidRPr="001B0B78" w:rsidRDefault="00392DBB" w:rsidP="009000E3">
      <w:pPr>
        <w:pStyle w:val="ab"/>
        <w:numPr>
          <w:ilvl w:val="0"/>
          <w:numId w:val="63"/>
        </w:numPr>
      </w:pPr>
      <w:r w:rsidRPr="00B345A5">
        <w:rPr>
          <w:rFonts w:cs="Arial"/>
          <w:rtl/>
        </w:rPr>
        <w:t>רמ"ה</w:t>
      </w:r>
      <w:r>
        <w:rPr>
          <w:rFonts w:cs="Arial" w:hint="cs"/>
          <w:sz w:val="16"/>
          <w:szCs w:val="16"/>
          <w:rtl/>
        </w:rPr>
        <w:t xml:space="preserve"> (כ"כ הטור בשמו)</w:t>
      </w:r>
      <w:r>
        <w:rPr>
          <w:rFonts w:cs="Arial" w:hint="cs"/>
          <w:rtl/>
        </w:rPr>
        <w:t>-</w:t>
      </w:r>
      <w:r w:rsidRPr="00B345A5">
        <w:rPr>
          <w:rFonts w:cs="Arial"/>
          <w:rtl/>
        </w:rPr>
        <w:t xml:space="preserve"> ה"מ שלא נתארסה מדעת היורשים</w:t>
      </w:r>
      <w:r w:rsidR="003504AE">
        <w:rPr>
          <w:rFonts w:cs="Arial" w:hint="cs"/>
          <w:rtl/>
        </w:rPr>
        <w:t>,</w:t>
      </w:r>
      <w:r w:rsidRPr="00B345A5">
        <w:rPr>
          <w:rFonts w:cs="Arial"/>
          <w:rtl/>
        </w:rPr>
        <w:t xml:space="preserve"> אבל נתארסה מדעת היורשים </w:t>
      </w:r>
      <w:r w:rsidR="003504AE">
        <w:rPr>
          <w:rFonts w:cs="Arial" w:hint="cs"/>
          <w:rtl/>
        </w:rPr>
        <w:t xml:space="preserve">- </w:t>
      </w:r>
      <w:r w:rsidRPr="00B345A5">
        <w:rPr>
          <w:rFonts w:cs="Arial"/>
          <w:rtl/>
        </w:rPr>
        <w:t>אית לה מזונות</w:t>
      </w:r>
      <w:r w:rsidR="003504AE">
        <w:rPr>
          <w:rFonts w:cs="Arial" w:hint="cs"/>
          <w:rtl/>
        </w:rPr>
        <w:t>,</w:t>
      </w:r>
      <w:r w:rsidRPr="00B345A5">
        <w:rPr>
          <w:rFonts w:cs="Arial"/>
          <w:rtl/>
        </w:rPr>
        <w:t xml:space="preserve"> דלאו כל כמינייהו דיורשים להשיאה עצה להתארס דתפסיד מזוני</w:t>
      </w:r>
      <w:r w:rsidR="003504AE">
        <w:rPr>
          <w:rFonts w:cs="Arial" w:hint="cs"/>
          <w:rtl/>
        </w:rPr>
        <w:t>.</w:t>
      </w:r>
      <w:r w:rsidRPr="00B345A5">
        <w:rPr>
          <w:rFonts w:cs="Arial"/>
          <w:rtl/>
        </w:rPr>
        <w:t xml:space="preserve"> ואי נמי נתארסה שלא מדעת יורשים וחזו בי דינא דליכא מאן דיהיב לה מזוני</w:t>
      </w:r>
      <w:r w:rsidR="003504AE">
        <w:rPr>
          <w:rFonts w:cs="Arial" w:hint="cs"/>
          <w:rtl/>
        </w:rPr>
        <w:t>,</w:t>
      </w:r>
      <w:r w:rsidRPr="00B345A5">
        <w:rPr>
          <w:rFonts w:cs="Arial"/>
          <w:rtl/>
        </w:rPr>
        <w:t xml:space="preserve"> מלמדין אותה שתמאן ושקלה מזוני מאחי</w:t>
      </w:r>
      <w:r>
        <w:rPr>
          <w:rFonts w:cs="Arial" w:hint="cs"/>
          <w:rtl/>
        </w:rPr>
        <w:t>.</w:t>
      </w:r>
      <w:r w:rsidRPr="00B345A5">
        <w:rPr>
          <w:rFonts w:cs="Arial"/>
          <w:rtl/>
        </w:rPr>
        <w:t xml:space="preserve"> </w:t>
      </w:r>
      <w:r w:rsidRPr="003F6249">
        <w:rPr>
          <w:rFonts w:hint="cs"/>
          <w:color w:val="00B0F0"/>
          <w:rtl/>
        </w:rPr>
        <w:t>(וכ"</w:t>
      </w:r>
      <w:r>
        <w:rPr>
          <w:rFonts w:hint="cs"/>
          <w:color w:val="00B0F0"/>
          <w:rtl/>
        </w:rPr>
        <w:t>כ</w:t>
      </w:r>
      <w:r w:rsidRPr="003F6249">
        <w:rPr>
          <w:rFonts w:hint="cs"/>
          <w:color w:val="00B0F0"/>
          <w:rtl/>
        </w:rPr>
        <w:t xml:space="preserve"> הרמ"א</w:t>
      </w:r>
      <w:r>
        <w:rPr>
          <w:rFonts w:hint="cs"/>
          <w:color w:val="00B0F0"/>
          <w:rtl/>
        </w:rPr>
        <w:t>)</w:t>
      </w:r>
    </w:p>
    <w:p w14:paraId="0F845E3C" w14:textId="5CF50D85" w:rsidR="00392DBB" w:rsidRDefault="00392DBB" w:rsidP="00392DBB">
      <w:pPr>
        <w:rPr>
          <w:rFonts w:cs="Arial"/>
          <w:rtl/>
        </w:rPr>
      </w:pPr>
      <w:r w:rsidRPr="00974066">
        <w:rPr>
          <w:rFonts w:cs="Arial" w:hint="cs"/>
          <w:b/>
          <w:bCs/>
          <w:rtl/>
        </w:rPr>
        <w:t xml:space="preserve">כתובות </w:t>
      </w:r>
      <w:r w:rsidRPr="00974066">
        <w:rPr>
          <w:rFonts w:cs="Arial" w:hint="cs"/>
          <w:b/>
          <w:bCs/>
          <w:sz w:val="16"/>
          <w:szCs w:val="16"/>
          <w:rtl/>
        </w:rPr>
        <w:t>(</w:t>
      </w:r>
      <w:r>
        <w:rPr>
          <w:rFonts w:cs="Arial" w:hint="cs"/>
          <w:b/>
          <w:bCs/>
          <w:sz w:val="16"/>
          <w:szCs w:val="16"/>
          <w:rtl/>
        </w:rPr>
        <w:t>ס"</w:t>
      </w:r>
      <w:r w:rsidRPr="00974066">
        <w:rPr>
          <w:rFonts w:cs="Arial" w:hint="cs"/>
          <w:b/>
          <w:bCs/>
          <w:sz w:val="16"/>
          <w:szCs w:val="16"/>
          <w:rtl/>
        </w:rPr>
        <w:t>פ</w:t>
      </w:r>
      <w:r w:rsidRPr="00974066">
        <w:rPr>
          <w:rFonts w:cs="Arial"/>
          <w:b/>
          <w:bCs/>
          <w:sz w:val="16"/>
          <w:szCs w:val="16"/>
          <w:rtl/>
        </w:rPr>
        <w:t xml:space="preserve"> נערה שנתפתתה</w:t>
      </w:r>
      <w:r w:rsidRPr="00974066">
        <w:rPr>
          <w:rFonts w:cs="Arial" w:hint="cs"/>
          <w:b/>
          <w:bCs/>
          <w:sz w:val="16"/>
          <w:szCs w:val="16"/>
          <w:rtl/>
        </w:rPr>
        <w:t>)</w:t>
      </w:r>
      <w:r w:rsidRPr="00974066">
        <w:rPr>
          <w:rFonts w:cs="Arial"/>
          <w:b/>
          <w:bCs/>
          <w:rtl/>
        </w:rPr>
        <w:t xml:space="preserve"> </w:t>
      </w:r>
      <w:r>
        <w:rPr>
          <w:rFonts w:cs="Arial" w:hint="cs"/>
          <w:b/>
          <w:bCs/>
          <w:rtl/>
        </w:rPr>
        <w:t>נג</w:t>
      </w:r>
      <w:r w:rsidRPr="00974066">
        <w:rPr>
          <w:rFonts w:cs="Arial" w:hint="cs"/>
          <w:b/>
          <w:bCs/>
          <w:rtl/>
        </w:rPr>
        <w:t xml:space="preserve"> ע"</w:t>
      </w:r>
      <w:r>
        <w:rPr>
          <w:rFonts w:cs="Arial" w:hint="cs"/>
          <w:b/>
          <w:bCs/>
          <w:rtl/>
        </w:rPr>
        <w:t>ב</w:t>
      </w:r>
      <w:r>
        <w:rPr>
          <w:rFonts w:cs="Arial" w:hint="cs"/>
          <w:b/>
          <w:bCs/>
          <w:sz w:val="16"/>
          <w:szCs w:val="16"/>
          <w:rtl/>
        </w:rPr>
        <w:t xml:space="preserve"> (גי' רש"י)</w:t>
      </w:r>
      <w:r w:rsidRPr="00974066">
        <w:rPr>
          <w:rFonts w:cs="Arial"/>
          <w:b/>
          <w:bCs/>
          <w:rtl/>
        </w:rPr>
        <w:t>:</w:t>
      </w:r>
      <w:r>
        <w:rPr>
          <w:rFonts w:cs="Arial" w:hint="cs"/>
          <w:rtl/>
        </w:rPr>
        <w:t xml:space="preserve"> </w:t>
      </w:r>
      <w:r w:rsidRPr="00BB0921">
        <w:rPr>
          <w:rFonts w:cs="Arial"/>
          <w:u w:val="single"/>
          <w:rtl/>
        </w:rPr>
        <w:t>אמר ליה רב חסדא לרב יוסף</w:t>
      </w:r>
      <w:r w:rsidRPr="00BB0921">
        <w:rPr>
          <w:rFonts w:cs="Arial"/>
          <w:rtl/>
        </w:rPr>
        <w:t xml:space="preserve">: מי שמיע לך מיניה דרב יהודה, ארוסה </w:t>
      </w:r>
      <w:r w:rsidRPr="000276D5">
        <w:rPr>
          <w:rFonts w:cs="Arial"/>
          <w:rtl/>
        </w:rPr>
        <w:t>יש לה מזונות</w:t>
      </w:r>
      <w:r w:rsidRPr="000276D5">
        <w:rPr>
          <w:rStyle w:val="a7"/>
          <w:rFonts w:cs="Arial"/>
          <w:rtl/>
        </w:rPr>
        <w:footnoteReference w:id="2500"/>
      </w:r>
      <w:r w:rsidRPr="000276D5">
        <w:rPr>
          <w:rFonts w:cs="Arial"/>
          <w:rtl/>
        </w:rPr>
        <w:t xml:space="preserve"> או אין לה מזונות? </w:t>
      </w:r>
      <w:r w:rsidRPr="000276D5">
        <w:rPr>
          <w:rFonts w:cs="Arial"/>
          <w:u w:val="single"/>
          <w:rtl/>
        </w:rPr>
        <w:t>אמר ליה</w:t>
      </w:r>
      <w:r w:rsidRPr="000276D5">
        <w:rPr>
          <w:rFonts w:cs="Arial"/>
          <w:rtl/>
        </w:rPr>
        <w:t>: משמע לא שמיע לי, אלא מסברא לית לה, כיון דאירסה - לא ניחא ליה דתיתזיל</w:t>
      </w:r>
      <w:r w:rsidRPr="000276D5">
        <w:rPr>
          <w:rStyle w:val="a7"/>
          <w:rFonts w:cs="Arial"/>
          <w:rtl/>
        </w:rPr>
        <w:footnoteReference w:id="2501"/>
      </w:r>
      <w:r w:rsidRPr="000276D5">
        <w:rPr>
          <w:rFonts w:cs="Arial" w:hint="cs"/>
          <w:rtl/>
        </w:rPr>
        <w:t>.</w:t>
      </w:r>
      <w:r w:rsidRPr="000276D5">
        <w:rPr>
          <w:rFonts w:cs="Arial"/>
          <w:rtl/>
        </w:rPr>
        <w:t xml:space="preserve"> </w:t>
      </w:r>
      <w:r w:rsidRPr="000276D5">
        <w:rPr>
          <w:rFonts w:cs="Arial"/>
          <w:u w:val="single"/>
          <w:rtl/>
        </w:rPr>
        <w:t>אמר ליה</w:t>
      </w:r>
      <w:r w:rsidRPr="000276D5">
        <w:rPr>
          <w:rFonts w:cs="Arial"/>
          <w:rtl/>
        </w:rPr>
        <w:t>: אם משמע לא שמיע לך</w:t>
      </w:r>
      <w:r w:rsidRPr="000276D5">
        <w:rPr>
          <w:rStyle w:val="a7"/>
          <w:rFonts w:cs="Arial"/>
          <w:rtl/>
        </w:rPr>
        <w:footnoteReference w:id="2502"/>
      </w:r>
      <w:r w:rsidRPr="000276D5">
        <w:rPr>
          <w:rFonts w:cs="Arial"/>
          <w:rtl/>
        </w:rPr>
        <w:t>, מסברא אית לה</w:t>
      </w:r>
      <w:r w:rsidRPr="000276D5">
        <w:rPr>
          <w:rStyle w:val="a7"/>
          <w:rFonts w:cs="Arial"/>
          <w:rtl/>
        </w:rPr>
        <w:footnoteReference w:id="2503"/>
      </w:r>
      <w:r w:rsidRPr="000276D5">
        <w:rPr>
          <w:rFonts w:cs="Arial"/>
          <w:rtl/>
        </w:rPr>
        <w:t>, כיון דלא קים ליה בגוה</w:t>
      </w:r>
      <w:r w:rsidRPr="000276D5">
        <w:rPr>
          <w:rStyle w:val="a7"/>
          <w:rFonts w:cs="Arial"/>
          <w:rtl/>
        </w:rPr>
        <w:footnoteReference w:id="2504"/>
      </w:r>
      <w:r w:rsidRPr="000276D5">
        <w:rPr>
          <w:rFonts w:cs="Arial"/>
          <w:rtl/>
        </w:rPr>
        <w:t xml:space="preserve"> - לא שדי זוזי בכדי.</w:t>
      </w:r>
      <w:r w:rsidRPr="000276D5">
        <w:rPr>
          <w:rtl/>
        </w:rPr>
        <w:t xml:space="preserve"> </w:t>
      </w:r>
      <w:r w:rsidRPr="000276D5">
        <w:rPr>
          <w:rFonts w:cs="Arial" w:hint="cs"/>
          <w:sz w:val="16"/>
          <w:szCs w:val="16"/>
          <w:rtl/>
        </w:rPr>
        <w:t>(</w:t>
      </w:r>
      <w:r w:rsidRPr="000276D5">
        <w:rPr>
          <w:rFonts w:cs="Arial"/>
          <w:sz w:val="16"/>
          <w:szCs w:val="16"/>
          <w:rtl/>
        </w:rPr>
        <w:t>ואיכא</w:t>
      </w:r>
      <w:r w:rsidRPr="002D185C">
        <w:rPr>
          <w:rFonts w:cs="Arial"/>
          <w:sz w:val="16"/>
          <w:szCs w:val="16"/>
          <w:rtl/>
        </w:rPr>
        <w:t xml:space="preserve"> לישנא אחרינא איפכא</w:t>
      </w:r>
      <w:r>
        <w:rPr>
          <w:rStyle w:val="a7"/>
          <w:rFonts w:cs="Arial"/>
          <w:sz w:val="16"/>
          <w:szCs w:val="16"/>
          <w:rtl/>
        </w:rPr>
        <w:footnoteReference w:id="2505"/>
      </w:r>
      <w:r>
        <w:rPr>
          <w:rFonts w:cs="Arial" w:hint="cs"/>
          <w:sz w:val="16"/>
          <w:szCs w:val="16"/>
          <w:rtl/>
        </w:rPr>
        <w:t>,</w:t>
      </w:r>
      <w:r w:rsidRPr="002D185C">
        <w:rPr>
          <w:rFonts w:cs="Arial"/>
          <w:sz w:val="16"/>
          <w:szCs w:val="16"/>
          <w:rtl/>
        </w:rPr>
        <w:t xml:space="preserve"> זו היא גירסת </w:t>
      </w:r>
      <w:r w:rsidRPr="003622F0">
        <w:rPr>
          <w:rFonts w:cs="Arial"/>
          <w:sz w:val="16"/>
          <w:szCs w:val="16"/>
          <w:rtl/>
        </w:rPr>
        <w:t>רש"י</w:t>
      </w:r>
      <w:r>
        <w:rPr>
          <w:rFonts w:cs="Arial" w:hint="cs"/>
          <w:sz w:val="16"/>
          <w:szCs w:val="16"/>
          <w:rtl/>
        </w:rPr>
        <w:t>,</w:t>
      </w:r>
      <w:r w:rsidRPr="003622F0">
        <w:rPr>
          <w:rFonts w:cs="Arial"/>
          <w:sz w:val="16"/>
          <w:szCs w:val="16"/>
          <w:rtl/>
        </w:rPr>
        <w:t xml:space="preserve"> </w:t>
      </w:r>
      <w:r>
        <w:rPr>
          <w:rFonts w:cs="Arial" w:hint="cs"/>
          <w:sz w:val="16"/>
          <w:szCs w:val="16"/>
          <w:rtl/>
        </w:rPr>
        <w:t>ו</w:t>
      </w:r>
      <w:r w:rsidRPr="003622F0">
        <w:rPr>
          <w:rFonts w:cs="Arial"/>
          <w:sz w:val="16"/>
          <w:szCs w:val="16"/>
          <w:rtl/>
        </w:rPr>
        <w:t>מפרש לה ביתומה ארוסה אם ניזונת מן האחין</w:t>
      </w:r>
      <w:r>
        <w:rPr>
          <w:rFonts w:cs="Arial" w:hint="cs"/>
          <w:sz w:val="16"/>
          <w:szCs w:val="16"/>
          <w:rtl/>
        </w:rPr>
        <w:t>,</w:t>
      </w:r>
      <w:r w:rsidRPr="003622F0">
        <w:rPr>
          <w:rFonts w:cs="Arial"/>
          <w:sz w:val="16"/>
          <w:szCs w:val="16"/>
          <w:rtl/>
        </w:rPr>
        <w:t xml:space="preserve"> ולא שמיע ליה </w:t>
      </w:r>
      <w:r>
        <w:rPr>
          <w:rFonts w:cs="Arial" w:hint="cs"/>
          <w:sz w:val="14"/>
          <w:szCs w:val="14"/>
          <w:rtl/>
        </w:rPr>
        <w:t xml:space="preserve">{לרב חסדא וכו'} </w:t>
      </w:r>
      <w:r w:rsidRPr="003622F0">
        <w:rPr>
          <w:rFonts w:cs="Arial"/>
          <w:sz w:val="16"/>
          <w:szCs w:val="16"/>
          <w:rtl/>
        </w:rPr>
        <w:t>פלוגתא דהנך אמוראי</w:t>
      </w:r>
      <w:r w:rsidR="00DD22FF">
        <w:rPr>
          <w:rFonts w:cs="Arial" w:hint="cs"/>
          <w:sz w:val="16"/>
          <w:szCs w:val="16"/>
          <w:rtl/>
        </w:rPr>
        <w:t xml:space="preserve"> </w:t>
      </w:r>
      <w:r w:rsidR="00DD22FF">
        <w:rPr>
          <w:rFonts w:cs="Arial" w:hint="cs"/>
          <w:sz w:val="14"/>
          <w:szCs w:val="14"/>
          <w:rtl/>
        </w:rPr>
        <w:t>{</w:t>
      </w:r>
      <w:r w:rsidR="00C46172">
        <w:rPr>
          <w:rFonts w:cs="Arial" w:hint="cs"/>
          <w:sz w:val="14"/>
          <w:szCs w:val="14"/>
          <w:rtl/>
        </w:rPr>
        <w:t xml:space="preserve">דלעיל, היינו </w:t>
      </w:r>
      <w:r w:rsidR="00A853E2">
        <w:rPr>
          <w:rFonts w:cs="Arial" w:hint="cs"/>
          <w:sz w:val="14"/>
          <w:szCs w:val="14"/>
          <w:rtl/>
        </w:rPr>
        <w:t>לוי ו</w:t>
      </w:r>
      <w:r w:rsidR="00DD22FF">
        <w:rPr>
          <w:rFonts w:cs="Arial" w:hint="cs"/>
          <w:sz w:val="14"/>
          <w:szCs w:val="14"/>
          <w:rtl/>
        </w:rPr>
        <w:t>רב}</w:t>
      </w:r>
      <w:r w:rsidR="00DD22FF">
        <w:rPr>
          <w:rFonts w:cs="Arial" w:hint="cs"/>
          <w:sz w:val="16"/>
          <w:szCs w:val="16"/>
          <w:rtl/>
        </w:rPr>
        <w:t>,</w:t>
      </w:r>
      <w:r w:rsidRPr="003622F0">
        <w:rPr>
          <w:rFonts w:cs="Arial"/>
          <w:sz w:val="16"/>
          <w:szCs w:val="16"/>
          <w:rtl/>
        </w:rPr>
        <w:t xml:space="preserve"> אי נמי שמיע ליה ומבעיא ליה הילכתא כמאן</w:t>
      </w:r>
      <w:r>
        <w:rPr>
          <w:rFonts w:cs="Arial" w:hint="cs"/>
          <w:sz w:val="16"/>
          <w:szCs w:val="16"/>
          <w:rtl/>
        </w:rPr>
        <w:t>,</w:t>
      </w:r>
      <w:r w:rsidRPr="003622F0">
        <w:rPr>
          <w:rFonts w:cs="Arial"/>
          <w:sz w:val="16"/>
          <w:szCs w:val="16"/>
          <w:rtl/>
        </w:rPr>
        <w:t xml:space="preserve"> וקי"ל כלישנא בתראה דאמר מסברא לית לה והיינו כרב</w:t>
      </w:r>
      <w:r>
        <w:rPr>
          <w:rFonts w:cs="Arial" w:hint="cs"/>
          <w:sz w:val="16"/>
          <w:szCs w:val="16"/>
          <w:rtl/>
        </w:rPr>
        <w:t>...</w:t>
      </w:r>
      <w:r w:rsidRPr="00DA177B">
        <w:rPr>
          <w:rtl/>
        </w:rPr>
        <w:t xml:space="preserve"> </w:t>
      </w:r>
      <w:r w:rsidRPr="00DA177B">
        <w:rPr>
          <w:rFonts w:cs="Arial"/>
          <w:sz w:val="16"/>
          <w:szCs w:val="16"/>
          <w:rtl/>
        </w:rPr>
        <w:t>ופרש"י עיקר</w:t>
      </w:r>
      <w:r>
        <w:rPr>
          <w:rFonts w:cs="Arial" w:hint="cs"/>
          <w:sz w:val="16"/>
          <w:szCs w:val="16"/>
          <w:rtl/>
        </w:rPr>
        <w:t>, רא"ש (פ"ד סי' כו))</w:t>
      </w:r>
    </w:p>
    <w:p w14:paraId="641FE1E9" w14:textId="77777777" w:rsidR="00392DBB" w:rsidRPr="002D185C" w:rsidRDefault="00392DBB" w:rsidP="00392DBB">
      <w:pPr>
        <w:rPr>
          <w:rFonts w:cs="Arial"/>
          <w:sz w:val="16"/>
          <w:szCs w:val="16"/>
          <w:rtl/>
        </w:rPr>
      </w:pPr>
      <w:r w:rsidRPr="00974066">
        <w:rPr>
          <w:rFonts w:cs="Arial" w:hint="cs"/>
          <w:b/>
          <w:bCs/>
          <w:rtl/>
        </w:rPr>
        <w:t xml:space="preserve">כתובות </w:t>
      </w:r>
      <w:r w:rsidRPr="00974066">
        <w:rPr>
          <w:rFonts w:cs="Arial" w:hint="cs"/>
          <w:b/>
          <w:bCs/>
          <w:sz w:val="16"/>
          <w:szCs w:val="16"/>
          <w:rtl/>
        </w:rPr>
        <w:t>(</w:t>
      </w:r>
      <w:r>
        <w:rPr>
          <w:rFonts w:cs="Arial" w:hint="cs"/>
          <w:b/>
          <w:bCs/>
          <w:sz w:val="16"/>
          <w:szCs w:val="16"/>
          <w:rtl/>
        </w:rPr>
        <w:t>ס"</w:t>
      </w:r>
      <w:r w:rsidRPr="00974066">
        <w:rPr>
          <w:rFonts w:cs="Arial" w:hint="cs"/>
          <w:b/>
          <w:bCs/>
          <w:sz w:val="16"/>
          <w:szCs w:val="16"/>
          <w:rtl/>
        </w:rPr>
        <w:t>פ</w:t>
      </w:r>
      <w:r w:rsidRPr="00974066">
        <w:rPr>
          <w:rFonts w:cs="Arial"/>
          <w:b/>
          <w:bCs/>
          <w:sz w:val="16"/>
          <w:szCs w:val="16"/>
          <w:rtl/>
        </w:rPr>
        <w:t xml:space="preserve"> נערה שנתפתתה</w:t>
      </w:r>
      <w:r w:rsidRPr="00974066">
        <w:rPr>
          <w:rFonts w:cs="Arial" w:hint="cs"/>
          <w:b/>
          <w:bCs/>
          <w:sz w:val="16"/>
          <w:szCs w:val="16"/>
          <w:rtl/>
        </w:rPr>
        <w:t>)</w:t>
      </w:r>
      <w:r w:rsidRPr="00974066">
        <w:rPr>
          <w:rFonts w:cs="Arial"/>
          <w:b/>
          <w:bCs/>
          <w:rtl/>
        </w:rPr>
        <w:t xml:space="preserve"> </w:t>
      </w:r>
      <w:r>
        <w:rPr>
          <w:rFonts w:cs="Arial" w:hint="cs"/>
          <w:b/>
          <w:bCs/>
          <w:rtl/>
        </w:rPr>
        <w:t>נג</w:t>
      </w:r>
      <w:r w:rsidRPr="00974066">
        <w:rPr>
          <w:rFonts w:cs="Arial" w:hint="cs"/>
          <w:b/>
          <w:bCs/>
          <w:rtl/>
        </w:rPr>
        <w:t xml:space="preserve"> ע"</w:t>
      </w:r>
      <w:r>
        <w:rPr>
          <w:rFonts w:cs="Arial" w:hint="cs"/>
          <w:b/>
          <w:bCs/>
          <w:rtl/>
        </w:rPr>
        <w:t>ב</w:t>
      </w:r>
      <w:r>
        <w:rPr>
          <w:rFonts w:cs="Arial" w:hint="cs"/>
          <w:b/>
          <w:bCs/>
          <w:sz w:val="16"/>
          <w:szCs w:val="16"/>
          <w:rtl/>
        </w:rPr>
        <w:t xml:space="preserve"> (גי' הרי"ף [ע"פ </w:t>
      </w:r>
      <w:r w:rsidRPr="00DD22FF">
        <w:rPr>
          <w:rFonts w:cs="Arial" w:hint="cs"/>
          <w:b/>
          <w:bCs/>
          <w:sz w:val="16"/>
          <w:szCs w:val="16"/>
          <w:rtl/>
        </w:rPr>
        <w:t>רא"ש</w:t>
      </w:r>
      <w:r>
        <w:rPr>
          <w:rFonts w:cs="Arial" w:hint="cs"/>
          <w:b/>
          <w:bCs/>
          <w:sz w:val="16"/>
          <w:szCs w:val="16"/>
          <w:rtl/>
        </w:rPr>
        <w:t>])</w:t>
      </w:r>
      <w:r w:rsidRPr="00974066">
        <w:rPr>
          <w:rFonts w:cs="Arial"/>
          <w:b/>
          <w:bCs/>
          <w:rtl/>
        </w:rPr>
        <w:t>:</w:t>
      </w:r>
      <w:r>
        <w:rPr>
          <w:rFonts w:cs="Arial" w:hint="cs"/>
          <w:rtl/>
        </w:rPr>
        <w:t xml:space="preserve"> </w:t>
      </w:r>
      <w:r w:rsidRPr="00BB0921">
        <w:rPr>
          <w:rFonts w:cs="Arial"/>
          <w:u w:val="single"/>
          <w:rtl/>
        </w:rPr>
        <w:t>אמר ליה רב חסדא לרב יוסף</w:t>
      </w:r>
      <w:r w:rsidRPr="00BB0921">
        <w:rPr>
          <w:rFonts w:cs="Arial"/>
          <w:rtl/>
        </w:rPr>
        <w:t xml:space="preserve">: מי שמיע לך מיניה דרב יהודה, ארוסה </w:t>
      </w:r>
      <w:r w:rsidRPr="000276D5">
        <w:rPr>
          <w:rFonts w:cs="Arial"/>
          <w:rtl/>
        </w:rPr>
        <w:t xml:space="preserve">יש לה מזונות או אין לה מזונות? </w:t>
      </w:r>
      <w:r w:rsidRPr="000276D5">
        <w:rPr>
          <w:rFonts w:cs="Arial"/>
          <w:u w:val="single"/>
          <w:rtl/>
        </w:rPr>
        <w:t>אמר ליה</w:t>
      </w:r>
      <w:r w:rsidRPr="000276D5">
        <w:rPr>
          <w:rFonts w:cs="Arial"/>
          <w:rtl/>
        </w:rPr>
        <w:t>: משמע לא שמיע לי, מסברא אית לה, כיון דאירסה - לא ניחא ליה דתיתזיל</w:t>
      </w:r>
      <w:r w:rsidRPr="000276D5">
        <w:rPr>
          <w:rFonts w:cs="Arial" w:hint="cs"/>
          <w:rtl/>
        </w:rPr>
        <w:t>.</w:t>
      </w:r>
      <w:r w:rsidRPr="000276D5">
        <w:rPr>
          <w:rFonts w:cs="Arial"/>
          <w:rtl/>
        </w:rPr>
        <w:t xml:space="preserve"> </w:t>
      </w:r>
      <w:r w:rsidRPr="000276D5">
        <w:rPr>
          <w:rFonts w:cs="Arial"/>
          <w:u w:val="single"/>
          <w:rtl/>
        </w:rPr>
        <w:t>אמר ליה</w:t>
      </w:r>
      <w:r w:rsidRPr="000276D5">
        <w:rPr>
          <w:rFonts w:cs="Arial"/>
          <w:rtl/>
        </w:rPr>
        <w:t>: אם משמע לא שמיע לך, אלא מסברא לית לה, כיון דלא קים ליה בגוה - לא שדי זוזי בכדי</w:t>
      </w:r>
      <w:r w:rsidRPr="000276D5">
        <w:rPr>
          <w:rFonts w:cs="Arial" w:hint="cs"/>
          <w:rtl/>
        </w:rPr>
        <w:t xml:space="preserve">. </w:t>
      </w:r>
      <w:r w:rsidRPr="000276D5">
        <w:rPr>
          <w:rFonts w:cs="Arial" w:hint="cs"/>
          <w:sz w:val="16"/>
          <w:szCs w:val="16"/>
          <w:rtl/>
        </w:rPr>
        <w:t>(</w:t>
      </w:r>
      <w:r w:rsidRPr="000276D5">
        <w:rPr>
          <w:rFonts w:cs="Arial"/>
          <w:sz w:val="16"/>
          <w:szCs w:val="16"/>
          <w:rtl/>
        </w:rPr>
        <w:t>דהא לית לה מזוני מן האחים וקא פסקי רבנן הלכתא כי האי לישנא בתרא והני מילי לאחר י"ב חדש</w:t>
      </w:r>
      <w:r>
        <w:rPr>
          <w:rFonts w:cs="Arial" w:hint="cs"/>
          <w:sz w:val="16"/>
          <w:szCs w:val="16"/>
          <w:rtl/>
        </w:rPr>
        <w:t>, רי"ף (כ.).</w:t>
      </w:r>
      <w:r w:rsidRPr="000276D5">
        <w:rPr>
          <w:rFonts w:cs="Arial"/>
          <w:sz w:val="16"/>
          <w:szCs w:val="16"/>
          <w:rtl/>
        </w:rPr>
        <w:t xml:space="preserve"> </w:t>
      </w:r>
      <w:r w:rsidRPr="002D185C">
        <w:rPr>
          <w:rFonts w:cs="Arial"/>
          <w:sz w:val="16"/>
          <w:szCs w:val="16"/>
          <w:rtl/>
        </w:rPr>
        <w:t>ומפרש לה במארס יתומה הניזונת מן האחין</w:t>
      </w:r>
      <w:r>
        <w:rPr>
          <w:rFonts w:cs="Arial" w:hint="cs"/>
          <w:sz w:val="16"/>
          <w:szCs w:val="16"/>
          <w:rtl/>
        </w:rPr>
        <w:t>,</w:t>
      </w:r>
      <w:r w:rsidRPr="002D185C">
        <w:rPr>
          <w:rFonts w:cs="Arial"/>
          <w:sz w:val="16"/>
          <w:szCs w:val="16"/>
          <w:rtl/>
        </w:rPr>
        <w:t xml:space="preserve"> ומשום דידע </w:t>
      </w:r>
      <w:r w:rsidRPr="002D185C">
        <w:rPr>
          <w:rFonts w:cs="Arial"/>
          <w:sz w:val="16"/>
          <w:szCs w:val="16"/>
          <w:rtl/>
        </w:rPr>
        <w:lastRenderedPageBreak/>
        <w:t>ארוס דאחר שנתארסה אינה ניזונת מן האחין</w:t>
      </w:r>
      <w:r>
        <w:rPr>
          <w:rFonts w:cs="Arial" w:hint="cs"/>
          <w:sz w:val="16"/>
          <w:szCs w:val="16"/>
          <w:rtl/>
        </w:rPr>
        <w:t>,</w:t>
      </w:r>
      <w:r w:rsidRPr="002D185C">
        <w:rPr>
          <w:rFonts w:cs="Arial"/>
          <w:sz w:val="16"/>
          <w:szCs w:val="16"/>
          <w:rtl/>
        </w:rPr>
        <w:t xml:space="preserve"> דקי"ל כרב</w:t>
      </w:r>
      <w:r>
        <w:rPr>
          <w:rFonts w:cs="Arial" w:hint="cs"/>
          <w:sz w:val="16"/>
          <w:szCs w:val="16"/>
          <w:rtl/>
        </w:rPr>
        <w:t>,</w:t>
      </w:r>
      <w:r w:rsidRPr="002D185C">
        <w:rPr>
          <w:rFonts w:cs="Arial"/>
          <w:sz w:val="16"/>
          <w:szCs w:val="16"/>
          <w:rtl/>
        </w:rPr>
        <w:t xml:space="preserve"> מספקא ליה אי אירסה אדעתא דהכי שיזונה או לא</w:t>
      </w:r>
      <w:r>
        <w:rPr>
          <w:rFonts w:cs="Arial" w:hint="cs"/>
          <w:sz w:val="16"/>
          <w:szCs w:val="16"/>
          <w:rtl/>
        </w:rPr>
        <w:t>,</w:t>
      </w:r>
      <w:r w:rsidRPr="002D185C">
        <w:rPr>
          <w:rFonts w:cs="Arial"/>
          <w:sz w:val="16"/>
          <w:szCs w:val="16"/>
          <w:rtl/>
        </w:rPr>
        <w:t xml:space="preserve"> ופסק הלכה כלישנא בתראה דאית לה</w:t>
      </w:r>
      <w:r>
        <w:rPr>
          <w:rFonts w:cs="Arial" w:hint="cs"/>
          <w:sz w:val="16"/>
          <w:szCs w:val="16"/>
          <w:rtl/>
        </w:rPr>
        <w:t>, רא"ש (פ"ד סי' כו))</w:t>
      </w:r>
    </w:p>
    <w:p w14:paraId="362A97BD" w14:textId="77777777" w:rsidR="00392DBB" w:rsidRPr="002D185C" w:rsidRDefault="00392DBB" w:rsidP="00392DBB">
      <w:pPr>
        <w:rPr>
          <w:rFonts w:cs="Arial"/>
          <w:sz w:val="16"/>
          <w:szCs w:val="16"/>
          <w:rtl/>
        </w:rPr>
      </w:pPr>
      <w:r w:rsidRPr="00974066">
        <w:rPr>
          <w:rFonts w:cs="Arial" w:hint="cs"/>
          <w:b/>
          <w:bCs/>
          <w:rtl/>
        </w:rPr>
        <w:t xml:space="preserve">כתובות </w:t>
      </w:r>
      <w:r w:rsidRPr="00974066">
        <w:rPr>
          <w:rFonts w:cs="Arial" w:hint="cs"/>
          <w:b/>
          <w:bCs/>
          <w:sz w:val="16"/>
          <w:szCs w:val="16"/>
          <w:rtl/>
        </w:rPr>
        <w:t>(</w:t>
      </w:r>
      <w:r>
        <w:rPr>
          <w:rFonts w:cs="Arial" w:hint="cs"/>
          <w:b/>
          <w:bCs/>
          <w:sz w:val="16"/>
          <w:szCs w:val="16"/>
          <w:rtl/>
        </w:rPr>
        <w:t>ס"</w:t>
      </w:r>
      <w:r w:rsidRPr="00974066">
        <w:rPr>
          <w:rFonts w:cs="Arial" w:hint="cs"/>
          <w:b/>
          <w:bCs/>
          <w:sz w:val="16"/>
          <w:szCs w:val="16"/>
          <w:rtl/>
        </w:rPr>
        <w:t>פ</w:t>
      </w:r>
      <w:r w:rsidRPr="00974066">
        <w:rPr>
          <w:rFonts w:cs="Arial"/>
          <w:b/>
          <w:bCs/>
          <w:sz w:val="16"/>
          <w:szCs w:val="16"/>
          <w:rtl/>
        </w:rPr>
        <w:t xml:space="preserve"> נערה שנתפתתה</w:t>
      </w:r>
      <w:r w:rsidRPr="00974066">
        <w:rPr>
          <w:rFonts w:cs="Arial" w:hint="cs"/>
          <w:b/>
          <w:bCs/>
          <w:sz w:val="16"/>
          <w:szCs w:val="16"/>
          <w:rtl/>
        </w:rPr>
        <w:t>)</w:t>
      </w:r>
      <w:r w:rsidRPr="00974066">
        <w:rPr>
          <w:rFonts w:cs="Arial"/>
          <w:b/>
          <w:bCs/>
          <w:rtl/>
        </w:rPr>
        <w:t xml:space="preserve"> </w:t>
      </w:r>
      <w:r>
        <w:rPr>
          <w:rFonts w:cs="Arial" w:hint="cs"/>
          <w:b/>
          <w:bCs/>
          <w:rtl/>
        </w:rPr>
        <w:t>נג</w:t>
      </w:r>
      <w:r w:rsidRPr="00974066">
        <w:rPr>
          <w:rFonts w:cs="Arial" w:hint="cs"/>
          <w:b/>
          <w:bCs/>
          <w:rtl/>
        </w:rPr>
        <w:t xml:space="preserve"> ע"</w:t>
      </w:r>
      <w:r>
        <w:rPr>
          <w:rFonts w:cs="Arial" w:hint="cs"/>
          <w:b/>
          <w:bCs/>
          <w:rtl/>
        </w:rPr>
        <w:t>ב</w:t>
      </w:r>
      <w:r>
        <w:rPr>
          <w:rFonts w:cs="Arial" w:hint="cs"/>
          <w:b/>
          <w:bCs/>
          <w:sz w:val="16"/>
          <w:szCs w:val="16"/>
          <w:rtl/>
        </w:rPr>
        <w:t xml:space="preserve"> (גי' הרי"ף [ע"פ </w:t>
      </w:r>
      <w:r w:rsidRPr="00DD22FF">
        <w:rPr>
          <w:rFonts w:cs="Arial" w:hint="cs"/>
          <w:b/>
          <w:bCs/>
          <w:sz w:val="16"/>
          <w:szCs w:val="16"/>
          <w:rtl/>
        </w:rPr>
        <w:t>ר"ן</w:t>
      </w:r>
      <w:r>
        <w:rPr>
          <w:rFonts w:cs="Arial" w:hint="cs"/>
          <w:b/>
          <w:bCs/>
          <w:sz w:val="16"/>
          <w:szCs w:val="16"/>
          <w:rtl/>
        </w:rPr>
        <w:t>])</w:t>
      </w:r>
      <w:r w:rsidRPr="00974066">
        <w:rPr>
          <w:rFonts w:cs="Arial"/>
          <w:b/>
          <w:bCs/>
          <w:rtl/>
        </w:rPr>
        <w:t>:</w:t>
      </w:r>
      <w:r>
        <w:rPr>
          <w:rFonts w:cs="Arial" w:hint="cs"/>
          <w:rtl/>
        </w:rPr>
        <w:t xml:space="preserve"> </w:t>
      </w:r>
      <w:r w:rsidRPr="00BB0921">
        <w:rPr>
          <w:rFonts w:cs="Arial"/>
          <w:u w:val="single"/>
          <w:rtl/>
        </w:rPr>
        <w:t>אמר ליה רב חסדא לרב יוסף</w:t>
      </w:r>
      <w:r w:rsidRPr="00BB0921">
        <w:rPr>
          <w:rFonts w:cs="Arial"/>
          <w:rtl/>
        </w:rPr>
        <w:t xml:space="preserve">: מי שמיע לך מיניה דרב יהודה, ארוסה </w:t>
      </w:r>
      <w:r w:rsidRPr="000276D5">
        <w:rPr>
          <w:rFonts w:cs="Arial"/>
          <w:rtl/>
        </w:rPr>
        <w:t xml:space="preserve">יש לה מזונות או אין לה מזונות? </w:t>
      </w:r>
      <w:r w:rsidRPr="000276D5">
        <w:rPr>
          <w:rFonts w:cs="Arial"/>
          <w:u w:val="single"/>
          <w:rtl/>
        </w:rPr>
        <w:t>אמר ליה</w:t>
      </w:r>
      <w:r w:rsidRPr="000276D5">
        <w:rPr>
          <w:rFonts w:cs="Arial"/>
          <w:rtl/>
        </w:rPr>
        <w:t>: משמע לא שמיע לי, אלא מסברא לית לה, כיון דלא קים ליה בגוה - לא שדי זוזי בכדי</w:t>
      </w:r>
      <w:r w:rsidRPr="000276D5">
        <w:rPr>
          <w:rFonts w:cs="Arial" w:hint="cs"/>
          <w:rtl/>
        </w:rPr>
        <w:t>.</w:t>
      </w:r>
      <w:r w:rsidRPr="000276D5">
        <w:rPr>
          <w:rFonts w:cs="Arial"/>
          <w:rtl/>
        </w:rPr>
        <w:t xml:space="preserve"> </w:t>
      </w:r>
      <w:r w:rsidRPr="000276D5">
        <w:rPr>
          <w:rFonts w:cs="Arial"/>
          <w:u w:val="single"/>
          <w:rtl/>
        </w:rPr>
        <w:t>אמר ליה</w:t>
      </w:r>
      <w:r w:rsidRPr="000276D5">
        <w:rPr>
          <w:rFonts w:cs="Arial"/>
          <w:rtl/>
        </w:rPr>
        <w:t>: אם משמע לא שמיע לך, מסברא אית לה, כיון דאירסה - לא ניחא ליה דתיתזיל</w:t>
      </w:r>
      <w:r w:rsidRPr="000276D5">
        <w:rPr>
          <w:rFonts w:cs="Arial" w:hint="cs"/>
          <w:rtl/>
        </w:rPr>
        <w:t xml:space="preserve">. </w:t>
      </w:r>
      <w:r w:rsidRPr="000276D5">
        <w:rPr>
          <w:rFonts w:cs="Arial" w:hint="cs"/>
          <w:sz w:val="16"/>
          <w:szCs w:val="16"/>
          <w:rtl/>
        </w:rPr>
        <w:t>(</w:t>
      </w:r>
      <w:r w:rsidRPr="00A37F89">
        <w:rPr>
          <w:rFonts w:cs="Arial"/>
          <w:sz w:val="16"/>
          <w:szCs w:val="16"/>
          <w:rtl/>
        </w:rPr>
        <w:t>כך נמצא בנוסחי הלכות מדויקות</w:t>
      </w:r>
      <w:r>
        <w:rPr>
          <w:rFonts w:cs="Arial" w:hint="cs"/>
          <w:sz w:val="16"/>
          <w:szCs w:val="16"/>
          <w:rtl/>
        </w:rPr>
        <w:t>,</w:t>
      </w:r>
      <w:r w:rsidRPr="00A37F89">
        <w:rPr>
          <w:rFonts w:cs="Arial"/>
          <w:sz w:val="16"/>
          <w:szCs w:val="16"/>
          <w:rtl/>
        </w:rPr>
        <w:t xml:space="preserve"> וה"פ דבארוסה שנתאלמנה עסקינן וכגון שכתב לה כתובה והגיע זמן בחיי הבעל וקא מיבעיא ליה אם יש לה מזונות מיורשי ארוס או לא ואסיקנא ללישנא בתרא דאית לה דכיון דארסה לא ניחא ליה דתתזיל ונזונת היא מנכסיו דכיון דאכלה בחיי הבעל אף לאחר מיתתו אוכלת דכל יומי מיגר אלמנותיך בביתי קרינא ביה ואף על גב דתנן אלמנה מן האירוסין אינה מוכרת אלא בב"ד מפני שאין לה מזונות ההיא כשלא הגיע זמן אבל הגיע זמן בהדיא אשכחן בירושלמי ובתוספתא שניזונית היא לאחר מיתתו מנכסיו</w:t>
      </w:r>
      <w:r>
        <w:rPr>
          <w:rFonts w:cs="Arial" w:hint="cs"/>
          <w:sz w:val="14"/>
          <w:szCs w:val="14"/>
          <w:rtl/>
        </w:rPr>
        <w:t xml:space="preserve"> {כך פירש הרי"ף}</w:t>
      </w:r>
      <w:r>
        <w:rPr>
          <w:rFonts w:cs="Arial" w:hint="cs"/>
          <w:sz w:val="16"/>
          <w:szCs w:val="16"/>
          <w:rtl/>
        </w:rPr>
        <w:t>.</w:t>
      </w:r>
      <w:r w:rsidRPr="00A37F89">
        <w:rPr>
          <w:rtl/>
        </w:rPr>
        <w:t xml:space="preserve"> </w:t>
      </w:r>
      <w:r w:rsidRPr="00A37F89">
        <w:rPr>
          <w:rFonts w:cs="Arial"/>
          <w:sz w:val="16"/>
          <w:szCs w:val="16"/>
          <w:rtl/>
        </w:rPr>
        <w:t>והנגיד ז"ל פירשה דיתומה שנתארסה קמיבעיא ליה אם יש לה מזונות מן הארוס אפילו לא הגיע זמן נמי אמרינן דכי בעי הגיע זמן ה"מ בשנתארסה בחיי האב דלא מפסדא מזוני משום ארוס דהא אין האב חייב במזונות בתו אבל יתומה דקי"ל דמפסדא מזוני מן האחין מי אמרינן דכיון דמפסדא מזוני משום לתא דארוס אית לה מן האירוסין או דילמא ל"ש</w:t>
      </w:r>
      <w:r>
        <w:rPr>
          <w:rFonts w:cs="Arial" w:hint="cs"/>
          <w:sz w:val="16"/>
          <w:szCs w:val="16"/>
          <w:rtl/>
        </w:rPr>
        <w:t>.</w:t>
      </w:r>
      <w:r w:rsidRPr="00A37F89">
        <w:rPr>
          <w:rFonts w:cs="Arial"/>
          <w:sz w:val="16"/>
          <w:szCs w:val="16"/>
          <w:rtl/>
        </w:rPr>
        <w:t xml:space="preserve"> ואסיקנא ללישנא בתרא דאית לה דכיון דארסה לא ניחא ליה דתתזיל</w:t>
      </w:r>
      <w:r>
        <w:rPr>
          <w:rFonts w:cs="Arial" w:hint="cs"/>
          <w:sz w:val="16"/>
          <w:szCs w:val="16"/>
          <w:rtl/>
        </w:rPr>
        <w:t>.</w:t>
      </w:r>
      <w:r w:rsidRPr="00A37F89">
        <w:rPr>
          <w:rFonts w:cs="Arial"/>
          <w:sz w:val="16"/>
          <w:szCs w:val="16"/>
          <w:rtl/>
        </w:rPr>
        <w:t xml:space="preserve"> וכלשון הזה כתב הרמב"ם בפי"ט מהל' אישות</w:t>
      </w:r>
      <w:r>
        <w:rPr>
          <w:rFonts w:cs="Arial" w:hint="cs"/>
          <w:sz w:val="16"/>
          <w:szCs w:val="16"/>
          <w:rtl/>
        </w:rPr>
        <w:t>, ר"ן (כ.))</w:t>
      </w:r>
    </w:p>
    <w:p w14:paraId="1B0BFD50" w14:textId="4EA33EE8" w:rsidR="00392DBB" w:rsidRPr="008B0555" w:rsidRDefault="00392DBB" w:rsidP="00392DBB">
      <w:pPr>
        <w:rPr>
          <w:sz w:val="16"/>
          <w:szCs w:val="16"/>
        </w:rPr>
      </w:pPr>
      <w:r w:rsidRPr="00B94D84">
        <w:rPr>
          <w:rFonts w:hint="cs"/>
          <w:u w:val="single"/>
          <w:rtl/>
        </w:rPr>
        <w:t>לרמב"ם וסיעתו</w:t>
      </w:r>
      <w:r>
        <w:rPr>
          <w:rFonts w:hint="cs"/>
          <w:u w:val="single"/>
          <w:rtl/>
        </w:rPr>
        <w:t xml:space="preserve"> </w:t>
      </w:r>
      <w:r>
        <w:rPr>
          <w:rFonts w:hint="cs"/>
          <w:sz w:val="16"/>
          <w:szCs w:val="16"/>
          <w:u w:val="single"/>
          <w:rtl/>
        </w:rPr>
        <w:t>(</w:t>
      </w:r>
      <w:r w:rsidR="00A853E2">
        <w:rPr>
          <w:rFonts w:hint="cs"/>
          <w:sz w:val="16"/>
          <w:szCs w:val="16"/>
          <w:u w:val="single"/>
          <w:rtl/>
        </w:rPr>
        <w:t>שקטנה ארוסה אין לה מזונות מהאחים</w:t>
      </w:r>
      <w:r w:rsidRPr="00B94D84">
        <w:rPr>
          <w:rFonts w:hint="cs"/>
          <w:sz w:val="16"/>
          <w:szCs w:val="16"/>
          <w:u w:val="single"/>
          <w:rtl/>
        </w:rPr>
        <w:t>)</w:t>
      </w:r>
      <w:r w:rsidRPr="00B94D84">
        <w:rPr>
          <w:rFonts w:hint="cs"/>
          <w:u w:val="single"/>
          <w:rtl/>
        </w:rPr>
        <w:t xml:space="preserve"> </w:t>
      </w:r>
      <w:r w:rsidR="00F97626">
        <w:rPr>
          <w:u w:val="single"/>
          <w:rtl/>
        </w:rPr>
        <w:t>-</w:t>
      </w:r>
      <w:r w:rsidRPr="00B94D84">
        <w:rPr>
          <w:rFonts w:hint="cs"/>
          <w:u w:val="single"/>
          <w:rtl/>
        </w:rPr>
        <w:t xml:space="preserve"> האם הארוס חייב במזונות</w:t>
      </w:r>
      <w:r>
        <w:rPr>
          <w:rFonts w:hint="cs"/>
          <w:u w:val="single"/>
          <w:rtl/>
        </w:rPr>
        <w:t xml:space="preserve"> ארוסתו הקטנה</w:t>
      </w:r>
      <w:r w:rsidRPr="00B94D84">
        <w:rPr>
          <w:rFonts w:hint="cs"/>
          <w:u w:val="single"/>
          <w:rtl/>
        </w:rPr>
        <w:t>:</w:t>
      </w:r>
      <w:r>
        <w:rPr>
          <w:rFonts w:hint="cs"/>
          <w:rtl/>
        </w:rPr>
        <w:t xml:space="preserve"> </w:t>
      </w:r>
      <w:r>
        <w:rPr>
          <w:rFonts w:hint="cs"/>
          <w:sz w:val="16"/>
          <w:szCs w:val="16"/>
          <w:rtl/>
        </w:rPr>
        <w:t>(דין זה מובא בסי' נה סע' ד)</w:t>
      </w:r>
    </w:p>
    <w:p w14:paraId="36019CC3" w14:textId="77777777" w:rsidR="00392DBB" w:rsidRDefault="00392DBB" w:rsidP="009000E3">
      <w:pPr>
        <w:pStyle w:val="ab"/>
        <w:numPr>
          <w:ilvl w:val="0"/>
          <w:numId w:val="63"/>
        </w:numPr>
      </w:pPr>
      <w:r>
        <w:rPr>
          <w:rFonts w:cs="Arial" w:hint="cs"/>
          <w:rtl/>
        </w:rPr>
        <w:t xml:space="preserve">רש"י </w:t>
      </w:r>
      <w:r>
        <w:rPr>
          <w:rFonts w:cs="Arial" w:hint="cs"/>
          <w:sz w:val="16"/>
          <w:szCs w:val="16"/>
          <w:rtl/>
        </w:rPr>
        <w:t xml:space="preserve">(לפי גירסתו, וכ"כ הרא"ש בשמו) </w:t>
      </w:r>
      <w:r>
        <w:rPr>
          <w:rFonts w:cs="Arial" w:hint="cs"/>
          <w:rtl/>
        </w:rPr>
        <w:t xml:space="preserve">ורא"ש </w:t>
      </w:r>
      <w:r>
        <w:rPr>
          <w:rFonts w:cs="Arial" w:hint="cs"/>
          <w:sz w:val="16"/>
          <w:szCs w:val="16"/>
          <w:rtl/>
        </w:rPr>
        <w:t>(פ"ד סי' כו, הביאו הטור בסי' נה)</w:t>
      </w:r>
      <w:r>
        <w:rPr>
          <w:rFonts w:cs="Arial" w:hint="cs"/>
          <w:rtl/>
        </w:rPr>
        <w:t>- אין הארוס חייב במזונותיה</w:t>
      </w:r>
      <w:r>
        <w:rPr>
          <w:rStyle w:val="a7"/>
          <w:rFonts w:cs="Arial"/>
          <w:rtl/>
        </w:rPr>
        <w:footnoteReference w:id="2506"/>
      </w:r>
      <w:r>
        <w:rPr>
          <w:rFonts w:cs="Arial" w:hint="cs"/>
          <w:rtl/>
        </w:rPr>
        <w:t xml:space="preserve">. </w:t>
      </w:r>
      <w:r w:rsidRPr="003F6249">
        <w:rPr>
          <w:rFonts w:hint="cs"/>
          <w:color w:val="00B0F0"/>
          <w:rtl/>
        </w:rPr>
        <w:t>(וכ"</w:t>
      </w:r>
      <w:r>
        <w:rPr>
          <w:rFonts w:hint="cs"/>
          <w:color w:val="00B0F0"/>
          <w:rtl/>
        </w:rPr>
        <w:t>כ</w:t>
      </w:r>
      <w:r w:rsidRPr="003F6249">
        <w:rPr>
          <w:rFonts w:hint="cs"/>
          <w:color w:val="00B0F0"/>
          <w:rtl/>
        </w:rPr>
        <w:t xml:space="preserve"> הרמ"א</w:t>
      </w:r>
      <w:r>
        <w:rPr>
          <w:rFonts w:hint="cs"/>
          <w:color w:val="E36C0A" w:themeColor="accent6" w:themeShade="BF"/>
          <w:sz w:val="16"/>
          <w:szCs w:val="16"/>
          <w:rtl/>
        </w:rPr>
        <w:t xml:space="preserve"> </w:t>
      </w:r>
      <w:r w:rsidRPr="003F6249">
        <w:rPr>
          <w:rFonts w:hint="cs"/>
          <w:color w:val="000000" w:themeColor="text1"/>
          <w:sz w:val="16"/>
          <w:szCs w:val="16"/>
          <w:rtl/>
        </w:rPr>
        <w:t>[בסי' נה ס"ד]</w:t>
      </w:r>
      <w:r w:rsidRPr="003F6249">
        <w:rPr>
          <w:rFonts w:hint="cs"/>
          <w:color w:val="00B0F0"/>
          <w:rtl/>
        </w:rPr>
        <w:t>)</w:t>
      </w:r>
    </w:p>
    <w:p w14:paraId="76E7AF3E" w14:textId="77777777" w:rsidR="00392DBB" w:rsidRPr="00B345A5" w:rsidRDefault="00392DBB" w:rsidP="009000E3">
      <w:pPr>
        <w:pStyle w:val="ab"/>
        <w:numPr>
          <w:ilvl w:val="0"/>
          <w:numId w:val="63"/>
        </w:numPr>
        <w:rPr>
          <w:rtl/>
        </w:rPr>
      </w:pPr>
      <w:r>
        <w:rPr>
          <w:rFonts w:cs="Arial" w:hint="cs"/>
          <w:rtl/>
        </w:rPr>
        <w:t xml:space="preserve">רי"ף </w:t>
      </w:r>
      <w:r>
        <w:rPr>
          <w:rFonts w:cs="Arial" w:hint="cs"/>
          <w:sz w:val="16"/>
          <w:szCs w:val="16"/>
          <w:rtl/>
        </w:rPr>
        <w:t>(כ., לפי גי' הרא"ש בדבריו)</w:t>
      </w:r>
      <w:r>
        <w:rPr>
          <w:rFonts w:cs="Arial" w:hint="cs"/>
          <w:rtl/>
        </w:rPr>
        <w:t xml:space="preserve"> הנגיד</w:t>
      </w:r>
      <w:r>
        <w:rPr>
          <w:rStyle w:val="a7"/>
          <w:rFonts w:cs="Arial"/>
          <w:rtl/>
        </w:rPr>
        <w:footnoteReference w:id="2507"/>
      </w:r>
      <w:r>
        <w:rPr>
          <w:rFonts w:cs="Arial" w:hint="cs"/>
          <w:sz w:val="16"/>
          <w:szCs w:val="16"/>
          <w:rtl/>
        </w:rPr>
        <w:t xml:space="preserve"> (כ"כ בשמו הה"מ [</w:t>
      </w:r>
      <w:r w:rsidRPr="000F4A99">
        <w:rPr>
          <w:rFonts w:cs="Arial" w:hint="cs"/>
          <w:sz w:val="16"/>
          <w:szCs w:val="16"/>
          <w:rtl/>
        </w:rPr>
        <w:t>פי"ט ה</w:t>
      </w:r>
      <w:r>
        <w:rPr>
          <w:rFonts w:cs="Arial" w:hint="cs"/>
          <w:sz w:val="16"/>
          <w:szCs w:val="16"/>
          <w:rtl/>
        </w:rPr>
        <w:t>ט"ו] והר"ן [כ.])</w:t>
      </w:r>
      <w:r>
        <w:rPr>
          <w:rFonts w:cs="Arial" w:hint="cs"/>
          <w:rtl/>
        </w:rPr>
        <w:t xml:space="preserve"> ורמב"ם </w:t>
      </w:r>
      <w:r w:rsidRPr="000F4A99">
        <w:rPr>
          <w:rFonts w:cs="Arial" w:hint="cs"/>
          <w:sz w:val="16"/>
          <w:szCs w:val="16"/>
          <w:rtl/>
        </w:rPr>
        <w:t>(פי"ט מאישות ה</w:t>
      </w:r>
      <w:r>
        <w:rPr>
          <w:rFonts w:cs="Arial" w:hint="cs"/>
          <w:sz w:val="16"/>
          <w:szCs w:val="16"/>
          <w:rtl/>
        </w:rPr>
        <w:t>ט"ו</w:t>
      </w:r>
      <w:r w:rsidRPr="000F4A99">
        <w:rPr>
          <w:rFonts w:cs="Arial" w:hint="cs"/>
          <w:sz w:val="16"/>
          <w:szCs w:val="16"/>
          <w:rtl/>
        </w:rPr>
        <w:t>)</w:t>
      </w:r>
      <w:r>
        <w:rPr>
          <w:rFonts w:cs="Arial" w:hint="cs"/>
          <w:rtl/>
        </w:rPr>
        <w:t xml:space="preserve">- </w:t>
      </w:r>
      <w:r w:rsidRPr="001B0B78">
        <w:rPr>
          <w:rFonts w:cs="Arial"/>
          <w:rtl/>
        </w:rPr>
        <w:t>המארס בת הניזונת מן האחין חייב במזונותיה משעת האירוסין, שהרי אין לה מזונות מאחיה משנתארסה</w:t>
      </w:r>
      <w:r>
        <w:rPr>
          <w:rFonts w:cs="Arial" w:hint="cs"/>
          <w:rtl/>
        </w:rPr>
        <w:t>,</w:t>
      </w:r>
      <w:r w:rsidRPr="001B0B78">
        <w:rPr>
          <w:rFonts w:cs="Arial"/>
          <w:rtl/>
        </w:rPr>
        <w:t xml:space="preserve"> ואינה בוגרת כדי שתזון עצמה אלא קטנה או נערה</w:t>
      </w:r>
      <w:r>
        <w:rPr>
          <w:rFonts w:cs="Arial" w:hint="cs"/>
          <w:rtl/>
        </w:rPr>
        <w:t>,</w:t>
      </w:r>
      <w:r w:rsidRPr="001B0B78">
        <w:rPr>
          <w:rFonts w:cs="Arial"/>
          <w:rtl/>
        </w:rPr>
        <w:t xml:space="preserve"> ואין אדם רוצה שתתבזה ארוסתו ותלך ותשאל על הפתחים</w:t>
      </w:r>
      <w:r>
        <w:rPr>
          <w:rStyle w:val="a7"/>
          <w:rFonts w:cs="Arial"/>
          <w:rtl/>
        </w:rPr>
        <w:footnoteReference w:id="2508"/>
      </w:r>
      <w:r>
        <w:rPr>
          <w:rFonts w:cs="Arial" w:hint="cs"/>
          <w:sz w:val="16"/>
          <w:szCs w:val="16"/>
          <w:rtl/>
        </w:rPr>
        <w:t xml:space="preserve"> (ל' הרמב"ם)</w:t>
      </w:r>
      <w:r w:rsidRPr="001B0B78">
        <w:rPr>
          <w:rFonts w:cs="Arial"/>
          <w:rtl/>
        </w:rPr>
        <w:t>.</w:t>
      </w:r>
      <w:r w:rsidRPr="00840BEB">
        <w:rPr>
          <w:rFonts w:hint="cs"/>
          <w:color w:val="E36C0A" w:themeColor="accent6" w:themeShade="BF"/>
          <w:rtl/>
        </w:rPr>
        <w:t xml:space="preserve"> </w:t>
      </w:r>
      <w:r w:rsidRPr="00F011B0">
        <w:rPr>
          <w:rFonts w:hint="cs"/>
          <w:color w:val="E36C0A" w:themeColor="accent6" w:themeShade="BF"/>
          <w:rtl/>
        </w:rPr>
        <w:t>(וכ"פ בשו"ע</w:t>
      </w:r>
      <w:r>
        <w:rPr>
          <w:rFonts w:hint="cs"/>
          <w:color w:val="E36C0A" w:themeColor="accent6" w:themeShade="BF"/>
          <w:sz w:val="16"/>
          <w:szCs w:val="16"/>
          <w:rtl/>
        </w:rPr>
        <w:t xml:space="preserve"> </w:t>
      </w:r>
      <w:r w:rsidRPr="003F6249">
        <w:rPr>
          <w:rFonts w:hint="cs"/>
          <w:color w:val="000000" w:themeColor="text1"/>
          <w:sz w:val="16"/>
          <w:szCs w:val="16"/>
          <w:rtl/>
        </w:rPr>
        <w:t>[כאן</w:t>
      </w:r>
      <w:r>
        <w:rPr>
          <w:rFonts w:hint="cs"/>
          <w:color w:val="000000" w:themeColor="text1"/>
          <w:sz w:val="16"/>
          <w:szCs w:val="16"/>
          <w:rtl/>
        </w:rPr>
        <w:t>,</w:t>
      </w:r>
      <w:r w:rsidRPr="003F6249">
        <w:rPr>
          <w:rFonts w:hint="cs"/>
          <w:color w:val="000000" w:themeColor="text1"/>
          <w:sz w:val="16"/>
          <w:szCs w:val="16"/>
          <w:rtl/>
        </w:rPr>
        <w:t xml:space="preserve"> ובסי' נה ס"ד]</w:t>
      </w:r>
      <w:r w:rsidRPr="00F011B0">
        <w:rPr>
          <w:rFonts w:hint="cs"/>
          <w:color w:val="E36C0A" w:themeColor="accent6" w:themeShade="BF"/>
          <w:rtl/>
        </w:rPr>
        <w:t>)</w:t>
      </w:r>
    </w:p>
    <w:p w14:paraId="313AC586"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6B88404" w14:textId="7615A6C4" w:rsidR="00392DBB" w:rsidRDefault="00392DBB" w:rsidP="00392DBB">
      <w:pPr>
        <w:rPr>
          <w:rFonts w:cs="Arial"/>
          <w:rtl/>
        </w:rPr>
      </w:pPr>
      <w:r w:rsidRPr="00523CDE">
        <w:rPr>
          <w:rFonts w:cs="Arial"/>
          <w:rtl/>
        </w:rPr>
        <w:t xml:space="preserve">נתארסה בעודה קטנה, איבדה מזונות מן האחין והארוס חייב במזונותיה. </w:t>
      </w:r>
      <w:r w:rsidRPr="00621C37">
        <w:rPr>
          <w:rFonts w:cs="Arial"/>
          <w:sz w:val="18"/>
          <w:szCs w:val="18"/>
          <w:rtl/>
        </w:rPr>
        <w:t>הגה: וי"א דלא אבדה מזונות אלא כשתתארס משהיא נערה (ה</w:t>
      </w:r>
      <w:r w:rsidR="00D076DE">
        <w:rPr>
          <w:rFonts w:cs="Arial" w:hint="cs"/>
          <w:sz w:val="18"/>
          <w:szCs w:val="18"/>
          <w:rtl/>
        </w:rPr>
        <w:t>ה</w:t>
      </w:r>
      <w:r w:rsidRPr="00621C37">
        <w:rPr>
          <w:rFonts w:cs="Arial"/>
          <w:sz w:val="18"/>
          <w:szCs w:val="18"/>
          <w:rtl/>
        </w:rPr>
        <w:t>"מ בשם ר"ח ורשב"א). ויש אומרים דוקא שנתארסה מעצמה</w:t>
      </w:r>
      <w:r>
        <w:rPr>
          <w:rStyle w:val="a7"/>
          <w:rFonts w:cs="Arial"/>
          <w:sz w:val="18"/>
          <w:szCs w:val="18"/>
          <w:rtl/>
        </w:rPr>
        <w:footnoteReference w:id="2509"/>
      </w:r>
      <w:r w:rsidRPr="00621C37">
        <w:rPr>
          <w:rFonts w:cs="Arial"/>
          <w:sz w:val="18"/>
          <w:szCs w:val="18"/>
          <w:rtl/>
        </w:rPr>
        <w:t>, אבל נתארסה מדעת אחיה לא אבדה מזונות (טור בשם הרמ"ה).</w:t>
      </w:r>
      <w:r w:rsidRPr="00523CDE">
        <w:rPr>
          <w:rFonts w:cs="Arial"/>
          <w:rtl/>
        </w:rPr>
        <w:t xml:space="preserve"> </w:t>
      </w:r>
    </w:p>
    <w:p w14:paraId="5FAD5B3A" w14:textId="77777777" w:rsidR="00392DBB" w:rsidRPr="00523CDE" w:rsidRDefault="00392DBB" w:rsidP="00392DBB">
      <w:pPr>
        <w:rPr>
          <w:rFonts w:cs="Arial"/>
          <w:rtl/>
        </w:rPr>
      </w:pPr>
    </w:p>
    <w:p w14:paraId="1891AEBE" w14:textId="77777777" w:rsidR="00392DBB" w:rsidRDefault="00392DBB" w:rsidP="000F64D0">
      <w:pPr>
        <w:pStyle w:val="2"/>
        <w:rPr>
          <w:rtl/>
        </w:rPr>
      </w:pPr>
      <w:r w:rsidRPr="00523CDE">
        <w:rPr>
          <w:rtl/>
        </w:rPr>
        <w:t>סעיף ד</w:t>
      </w:r>
      <w:r>
        <w:rPr>
          <w:rFonts w:hint="cs"/>
          <w:rtl/>
        </w:rPr>
        <w:t>:</w:t>
      </w:r>
      <w:r w:rsidRPr="003B21C9">
        <w:rPr>
          <w:rFonts w:cs="Arial"/>
          <w:rtl/>
        </w:rPr>
        <w:t xml:space="preserve"> </w:t>
      </w:r>
      <w:r w:rsidRPr="00B345A5">
        <w:rPr>
          <w:rFonts w:cs="Arial"/>
          <w:rtl/>
        </w:rPr>
        <w:t>קטנה שהשיאוה</w:t>
      </w:r>
      <w:r>
        <w:rPr>
          <w:rFonts w:hint="cs"/>
          <w:rtl/>
        </w:rPr>
        <w:t xml:space="preserve"> ומיאנה/נתגרשה/נתאלמנה.</w:t>
      </w:r>
    </w:p>
    <w:p w14:paraId="27E96D5E" w14:textId="77777777" w:rsidR="00392DBB" w:rsidRPr="00405406" w:rsidRDefault="00392DBB" w:rsidP="00392DBB">
      <w:pPr>
        <w:rPr>
          <w:rtl/>
        </w:rPr>
      </w:pPr>
      <w:r w:rsidRPr="00B14D69">
        <w:rPr>
          <w:rFonts w:cs="Arial" w:hint="cs"/>
          <w:b/>
          <w:bCs/>
          <w:rtl/>
        </w:rPr>
        <w:t xml:space="preserve">כתובות </w:t>
      </w:r>
      <w:r w:rsidRPr="00B14D69">
        <w:rPr>
          <w:rFonts w:cs="Arial" w:hint="cs"/>
          <w:b/>
          <w:bCs/>
          <w:sz w:val="16"/>
          <w:szCs w:val="16"/>
          <w:rtl/>
        </w:rPr>
        <w:t>(ס"פ</w:t>
      </w:r>
      <w:r w:rsidRPr="00B14D69">
        <w:rPr>
          <w:rFonts w:cs="Arial"/>
          <w:b/>
          <w:bCs/>
          <w:sz w:val="16"/>
          <w:szCs w:val="16"/>
          <w:rtl/>
        </w:rPr>
        <w:t xml:space="preserve"> נערה שנתפתתה</w:t>
      </w:r>
      <w:r w:rsidRPr="00B14D69">
        <w:rPr>
          <w:rFonts w:cs="Arial" w:hint="cs"/>
          <w:b/>
          <w:bCs/>
          <w:sz w:val="16"/>
          <w:szCs w:val="16"/>
          <w:rtl/>
        </w:rPr>
        <w:t>)</w:t>
      </w:r>
      <w:r w:rsidRPr="00B14D69">
        <w:rPr>
          <w:rFonts w:cs="Arial"/>
          <w:b/>
          <w:bCs/>
          <w:rtl/>
        </w:rPr>
        <w:t xml:space="preserve"> </w:t>
      </w:r>
      <w:r w:rsidRPr="00B14D69">
        <w:rPr>
          <w:rFonts w:cs="Arial" w:hint="cs"/>
          <w:b/>
          <w:bCs/>
          <w:rtl/>
        </w:rPr>
        <w:t>נג ע"ב</w:t>
      </w:r>
      <w:r>
        <w:rPr>
          <w:rFonts w:cs="Arial" w:hint="cs"/>
          <w:b/>
          <w:bCs/>
          <w:rtl/>
        </w:rPr>
        <w:t>:</w:t>
      </w:r>
      <w:r w:rsidRPr="00B14D69">
        <w:rPr>
          <w:rtl/>
        </w:rPr>
        <w:t xml:space="preserve"> </w:t>
      </w:r>
      <w:r w:rsidRPr="00B14D69">
        <w:rPr>
          <w:rFonts w:cs="Arial"/>
          <w:u w:val="single"/>
          <w:rtl/>
        </w:rPr>
        <w:t>בעו מיניה מרב ששת</w:t>
      </w:r>
      <w:r w:rsidRPr="00B14D69">
        <w:rPr>
          <w:rFonts w:cs="Arial"/>
          <w:rtl/>
        </w:rPr>
        <w:t>: ממאנת</w:t>
      </w:r>
      <w:r>
        <w:rPr>
          <w:rStyle w:val="a7"/>
          <w:rFonts w:cs="Arial"/>
          <w:rtl/>
        </w:rPr>
        <w:footnoteReference w:id="2510"/>
      </w:r>
      <w:r w:rsidRPr="00B14D69">
        <w:rPr>
          <w:rFonts w:cs="Arial"/>
          <w:rtl/>
        </w:rPr>
        <w:t>, יש לה מזונות</w:t>
      </w:r>
      <w:r>
        <w:rPr>
          <w:rStyle w:val="a7"/>
          <w:rFonts w:cs="Arial"/>
          <w:rtl/>
        </w:rPr>
        <w:footnoteReference w:id="2511"/>
      </w:r>
      <w:r w:rsidRPr="00B14D69">
        <w:rPr>
          <w:rFonts w:cs="Arial"/>
          <w:rtl/>
        </w:rPr>
        <w:t xml:space="preserve"> או אין לה מזונות? </w:t>
      </w:r>
      <w:r w:rsidRPr="00B14D69">
        <w:rPr>
          <w:rFonts w:cs="Arial"/>
          <w:u w:val="single"/>
          <w:rtl/>
        </w:rPr>
        <w:t>אמר להו רב ששת</w:t>
      </w:r>
      <w:r>
        <w:rPr>
          <w:rFonts w:cs="Arial" w:hint="cs"/>
          <w:rtl/>
        </w:rPr>
        <w:t>:</w:t>
      </w:r>
      <w:r w:rsidRPr="00B14D69">
        <w:rPr>
          <w:rFonts w:cs="Arial"/>
          <w:rtl/>
        </w:rPr>
        <w:t xml:space="preserve"> תניתוה</w:t>
      </w:r>
      <w:r>
        <w:rPr>
          <w:rFonts w:cs="Arial" w:hint="cs"/>
          <w:rtl/>
        </w:rPr>
        <w:t>,</w:t>
      </w:r>
      <w:r w:rsidRPr="00B14D69">
        <w:rPr>
          <w:rFonts w:cs="Arial"/>
          <w:rtl/>
        </w:rPr>
        <w:t xml:space="preserve"> אלמנה בבית אביה</w:t>
      </w:r>
      <w:r>
        <w:rPr>
          <w:rStyle w:val="a7"/>
          <w:rFonts w:cs="Arial"/>
          <w:rtl/>
        </w:rPr>
        <w:footnoteReference w:id="2512"/>
      </w:r>
      <w:r w:rsidRPr="00B14D69">
        <w:rPr>
          <w:rFonts w:cs="Arial"/>
          <w:rtl/>
        </w:rPr>
        <w:t>, וגרושה בבית אביה, ושומרת יבם בבית אביה - יש לה מזונות</w:t>
      </w:r>
      <w:r>
        <w:rPr>
          <w:rFonts w:cs="Arial" w:hint="cs"/>
          <w:rtl/>
        </w:rPr>
        <w:t>.</w:t>
      </w:r>
      <w:r w:rsidRPr="00B14D69">
        <w:rPr>
          <w:rFonts w:cs="Arial"/>
          <w:rtl/>
        </w:rPr>
        <w:t xml:space="preserve"> </w:t>
      </w:r>
      <w:r w:rsidRPr="00B14D69">
        <w:rPr>
          <w:rFonts w:cs="Arial"/>
          <w:u w:val="single"/>
          <w:rtl/>
        </w:rPr>
        <w:t>רבי יהודה אומר</w:t>
      </w:r>
      <w:r w:rsidRPr="00B14D69">
        <w:rPr>
          <w:rFonts w:cs="Arial"/>
          <w:rtl/>
        </w:rPr>
        <w:t>: עודה בבית אביה - יש לה מזונות, אינה בבית אביה - אין לה מזונות</w:t>
      </w:r>
      <w:r>
        <w:rPr>
          <w:rFonts w:cs="Arial" w:hint="cs"/>
          <w:rtl/>
        </w:rPr>
        <w:t>.</w:t>
      </w:r>
      <w:r w:rsidRPr="00B14D69">
        <w:rPr>
          <w:rFonts w:cs="Arial"/>
          <w:rtl/>
        </w:rPr>
        <w:t xml:space="preserve"> רבי יהודה היינו ת"ק! אלא לאו ממאנת איכא בינייהו, דתנא קמא סבר: אית לה</w:t>
      </w:r>
      <w:r>
        <w:rPr>
          <w:rStyle w:val="a7"/>
          <w:rFonts w:cs="Arial"/>
          <w:rtl/>
        </w:rPr>
        <w:footnoteReference w:id="2513"/>
      </w:r>
      <w:r w:rsidRPr="00B14D69">
        <w:rPr>
          <w:rFonts w:cs="Arial"/>
          <w:rtl/>
        </w:rPr>
        <w:t>, ורבי יהודה סבר: לית לה.</w:t>
      </w:r>
      <w:r>
        <w:rPr>
          <w:rFonts w:hint="cs"/>
          <w:rtl/>
        </w:rPr>
        <w:t xml:space="preserve"> </w:t>
      </w:r>
      <w:r w:rsidRPr="00405406">
        <w:rPr>
          <w:rFonts w:hint="cs"/>
          <w:sz w:val="16"/>
          <w:szCs w:val="16"/>
          <w:rtl/>
        </w:rPr>
        <w:t>(</w:t>
      </w:r>
      <w:r w:rsidRPr="00405406">
        <w:rPr>
          <w:rFonts w:cs="Arial"/>
          <w:sz w:val="16"/>
          <w:szCs w:val="16"/>
          <w:rtl/>
        </w:rPr>
        <w:t>וידוע דהלכה כת"ק וכן פסקו הפוסקים</w:t>
      </w:r>
      <w:r>
        <w:rPr>
          <w:rFonts w:cs="Arial" w:hint="cs"/>
          <w:sz w:val="16"/>
          <w:szCs w:val="16"/>
          <w:rtl/>
        </w:rPr>
        <w:t>, ב"י)</w:t>
      </w:r>
    </w:p>
    <w:p w14:paraId="4115676B" w14:textId="77777777" w:rsidR="00392DBB" w:rsidRPr="003B21C9" w:rsidRDefault="00392DBB" w:rsidP="00392DBB">
      <w:pPr>
        <w:rPr>
          <w:u w:val="single"/>
          <w:rtl/>
        </w:rPr>
      </w:pPr>
      <w:r w:rsidRPr="003B21C9">
        <w:rPr>
          <w:rFonts w:cs="Arial"/>
          <w:u w:val="single"/>
          <w:rtl/>
        </w:rPr>
        <w:t>קטנה שהשיאוה</w:t>
      </w:r>
      <w:r w:rsidRPr="003B21C9">
        <w:rPr>
          <w:rFonts w:hint="cs"/>
          <w:u w:val="single"/>
          <w:rtl/>
        </w:rPr>
        <w:t xml:space="preserve"> ומיאנה/נתגרשה/נתאלמנה:</w:t>
      </w:r>
    </w:p>
    <w:p w14:paraId="6D2D5D84" w14:textId="77777777" w:rsidR="00392DBB" w:rsidRPr="00C44D14" w:rsidRDefault="00392DBB" w:rsidP="009000E3">
      <w:pPr>
        <w:pStyle w:val="ab"/>
        <w:numPr>
          <w:ilvl w:val="0"/>
          <w:numId w:val="63"/>
        </w:numPr>
      </w:pPr>
      <w:r>
        <w:rPr>
          <w:rFonts w:cs="Arial" w:hint="cs"/>
          <w:rtl/>
        </w:rPr>
        <w:t xml:space="preserve">טור- </w:t>
      </w:r>
      <w:r w:rsidRPr="00B345A5">
        <w:rPr>
          <w:rFonts w:cs="Arial"/>
          <w:rtl/>
        </w:rPr>
        <w:t>קטנה שהשיאוה האחין</w:t>
      </w:r>
      <w:r>
        <w:rPr>
          <w:rFonts w:cs="Arial" w:hint="cs"/>
          <w:rtl/>
        </w:rPr>
        <w:t>,</w:t>
      </w:r>
      <w:r w:rsidRPr="00B345A5">
        <w:rPr>
          <w:rFonts w:cs="Arial"/>
          <w:rtl/>
        </w:rPr>
        <w:t xml:space="preserve"> ומיאנה</w:t>
      </w:r>
      <w:r>
        <w:rPr>
          <w:rFonts w:cs="Arial" w:hint="cs"/>
          <w:rtl/>
        </w:rPr>
        <w:t xml:space="preserve"> -</w:t>
      </w:r>
      <w:r w:rsidRPr="00B345A5">
        <w:rPr>
          <w:rFonts w:cs="Arial"/>
          <w:rtl/>
        </w:rPr>
        <w:t xml:space="preserve"> יש לה מזונות</w:t>
      </w:r>
      <w:r>
        <w:rPr>
          <w:rFonts w:cs="Arial" w:hint="cs"/>
          <w:rtl/>
        </w:rPr>
        <w:t>.</w:t>
      </w:r>
      <w:r w:rsidRPr="00B345A5">
        <w:rPr>
          <w:rFonts w:cs="Arial"/>
          <w:rtl/>
        </w:rPr>
        <w:t xml:space="preserve"> ארסה אביה</w:t>
      </w:r>
      <w:r>
        <w:rPr>
          <w:rFonts w:cs="Arial" w:hint="cs"/>
          <w:rtl/>
        </w:rPr>
        <w:t>,</w:t>
      </w:r>
      <w:r w:rsidRPr="00B345A5">
        <w:rPr>
          <w:rFonts w:cs="Arial"/>
          <w:rtl/>
        </w:rPr>
        <w:t xml:space="preserve"> ונתגרשה מן האירוסין</w:t>
      </w:r>
      <w:r>
        <w:rPr>
          <w:rFonts w:cs="Arial" w:hint="cs"/>
          <w:rtl/>
        </w:rPr>
        <w:t>,</w:t>
      </w:r>
      <w:r w:rsidRPr="00B345A5">
        <w:rPr>
          <w:rFonts w:cs="Arial"/>
          <w:rtl/>
        </w:rPr>
        <w:t xml:space="preserve"> ומת</w:t>
      </w:r>
      <w:r>
        <w:rPr>
          <w:rFonts w:cs="Arial" w:hint="cs"/>
          <w:rtl/>
        </w:rPr>
        <w:t xml:space="preserve"> -</w:t>
      </w:r>
      <w:r w:rsidRPr="00B345A5">
        <w:rPr>
          <w:rFonts w:cs="Arial"/>
          <w:rtl/>
        </w:rPr>
        <w:t xml:space="preserve"> יש לה מזונות</w:t>
      </w:r>
      <w:r>
        <w:rPr>
          <w:rFonts w:cs="Arial" w:hint="cs"/>
          <w:rtl/>
        </w:rPr>
        <w:t>.</w:t>
      </w:r>
      <w:r w:rsidRPr="00B345A5">
        <w:rPr>
          <w:rFonts w:cs="Arial"/>
          <w:rtl/>
        </w:rPr>
        <w:t xml:space="preserve"> וכן נתאלמנה מן האירוסין אפילו היא שומרת יבם </w:t>
      </w:r>
      <w:r>
        <w:rPr>
          <w:rFonts w:cs="Arial" w:hint="cs"/>
          <w:rtl/>
        </w:rPr>
        <w:t xml:space="preserve">- </w:t>
      </w:r>
      <w:r w:rsidRPr="00B345A5">
        <w:rPr>
          <w:rFonts w:cs="Arial"/>
          <w:rtl/>
        </w:rPr>
        <w:t>יש לה מזונות</w:t>
      </w:r>
      <w:r>
        <w:rPr>
          <w:rFonts w:cs="Arial" w:hint="cs"/>
          <w:rtl/>
        </w:rPr>
        <w:t>.</w:t>
      </w:r>
      <w:r>
        <w:rPr>
          <w:rFonts w:hint="cs"/>
          <w:rtl/>
        </w:rPr>
        <w:t xml:space="preserve"> </w:t>
      </w:r>
      <w:r w:rsidRPr="009F066B">
        <w:rPr>
          <w:rFonts w:hint="cs"/>
          <w:color w:val="00B0F0"/>
          <w:rtl/>
        </w:rPr>
        <w:t>(וכ"פ הרמ"א)</w:t>
      </w:r>
    </w:p>
    <w:p w14:paraId="00699581" w14:textId="5FF1B6F1" w:rsidR="00392DBB" w:rsidRPr="00C44D14" w:rsidRDefault="00392DBB" w:rsidP="009000E3">
      <w:pPr>
        <w:pStyle w:val="ab"/>
        <w:numPr>
          <w:ilvl w:val="0"/>
          <w:numId w:val="63"/>
        </w:numPr>
      </w:pPr>
      <w:r w:rsidRPr="00C44D14">
        <w:rPr>
          <w:rFonts w:cs="Arial"/>
          <w:rtl/>
        </w:rPr>
        <w:lastRenderedPageBreak/>
        <w:t xml:space="preserve">רמב"ם </w:t>
      </w:r>
      <w:r w:rsidRPr="00C44D14">
        <w:rPr>
          <w:rFonts w:cs="Arial" w:hint="cs"/>
          <w:sz w:val="16"/>
          <w:szCs w:val="16"/>
          <w:rtl/>
        </w:rPr>
        <w:t>(</w:t>
      </w:r>
      <w:r w:rsidRPr="00C44D14">
        <w:rPr>
          <w:rFonts w:cs="Arial"/>
          <w:sz w:val="16"/>
          <w:szCs w:val="16"/>
          <w:rtl/>
        </w:rPr>
        <w:t>פי"ט הט"ז)</w:t>
      </w:r>
      <w:r>
        <w:rPr>
          <w:rFonts w:cs="Arial" w:hint="cs"/>
          <w:rtl/>
        </w:rPr>
        <w:t>-</w:t>
      </w:r>
      <w:r w:rsidRPr="00C44D14">
        <w:rPr>
          <w:rFonts w:cs="Arial"/>
          <w:rtl/>
        </w:rPr>
        <w:t xml:space="preserve"> נשאת</w:t>
      </w:r>
      <w:r>
        <w:rPr>
          <w:rStyle w:val="a7"/>
          <w:rFonts w:cs="Arial"/>
          <w:rtl/>
        </w:rPr>
        <w:footnoteReference w:id="2514"/>
      </w:r>
      <w:r w:rsidRPr="00C44D14">
        <w:rPr>
          <w:rFonts w:cs="Arial"/>
          <w:rtl/>
        </w:rPr>
        <w:t xml:space="preserve"> הבת ומיאנה או נתגרשה</w:t>
      </w:r>
      <w:r w:rsidR="00D076DE">
        <w:rPr>
          <w:rFonts w:cs="Arial" w:hint="cs"/>
          <w:rtl/>
        </w:rPr>
        <w:t>,</w:t>
      </w:r>
      <w:r w:rsidRPr="00C44D14">
        <w:rPr>
          <w:rFonts w:cs="Arial"/>
          <w:rtl/>
        </w:rPr>
        <w:t xml:space="preserve"> או נתאלמנה אפילו היא שומרת יבם</w:t>
      </w:r>
      <w:r w:rsidR="00D076DE">
        <w:rPr>
          <w:rFonts w:cs="Arial" w:hint="cs"/>
          <w:rtl/>
        </w:rPr>
        <w:t>,</w:t>
      </w:r>
      <w:r w:rsidRPr="00C44D14">
        <w:rPr>
          <w:rFonts w:cs="Arial"/>
          <w:rtl/>
        </w:rPr>
        <w:t xml:space="preserve"> הואיל וחזרה לבית אביה ועדיין לא בגרה </w:t>
      </w:r>
      <w:r>
        <w:rPr>
          <w:rFonts w:cs="Arial" w:hint="cs"/>
          <w:rtl/>
        </w:rPr>
        <w:t xml:space="preserve">- </w:t>
      </w:r>
      <w:r w:rsidRPr="00C44D14">
        <w:rPr>
          <w:rFonts w:cs="Arial"/>
          <w:rtl/>
        </w:rPr>
        <w:t>הרי זו נזונת מנכסי אביה עד שתבגור או עד שתתארס</w:t>
      </w:r>
      <w:r>
        <w:rPr>
          <w:rFonts w:cs="Arial" w:hint="cs"/>
          <w:rtl/>
        </w:rPr>
        <w:t>.</w:t>
      </w:r>
      <w:r w:rsidRPr="00C44D14">
        <w:rPr>
          <w:rFonts w:cs="Arial"/>
          <w:rtl/>
        </w:rPr>
        <w:t xml:space="preserve"> </w:t>
      </w:r>
      <w:r w:rsidRPr="009F066B">
        <w:rPr>
          <w:rFonts w:hint="cs"/>
          <w:color w:val="E36C0A" w:themeColor="accent6" w:themeShade="BF"/>
          <w:rtl/>
        </w:rPr>
        <w:t>(וכ"פ בשו"ע)</w:t>
      </w:r>
    </w:p>
    <w:p w14:paraId="6D9935C6" w14:textId="77777777" w:rsidR="00392DBB" w:rsidRPr="00C44D14" w:rsidRDefault="00392DBB" w:rsidP="00392DBB">
      <w:pPr>
        <w:ind w:left="360"/>
        <w:rPr>
          <w:u w:val="dotted"/>
        </w:rPr>
      </w:pPr>
      <w:r w:rsidRPr="00C44D14">
        <w:rPr>
          <w:rFonts w:cs="Arial" w:hint="cs"/>
          <w:u w:val="dotted"/>
          <w:rtl/>
        </w:rPr>
        <w:t>ומה הדין אם מת אביה קודם שנתאלמנה/נתגרשה:</w:t>
      </w:r>
      <w:r w:rsidRPr="00C44D14">
        <w:rPr>
          <w:rFonts w:cs="Arial"/>
          <w:u w:val="dotted"/>
          <w:rtl/>
        </w:rPr>
        <w:t xml:space="preserve"> </w:t>
      </w:r>
    </w:p>
    <w:p w14:paraId="29B0EAD0" w14:textId="1ECCE552" w:rsidR="00392DBB" w:rsidRDefault="00392DBB" w:rsidP="009000E3">
      <w:pPr>
        <w:pStyle w:val="ab"/>
        <w:numPr>
          <w:ilvl w:val="0"/>
          <w:numId w:val="63"/>
        </w:numPr>
      </w:pPr>
      <w:r>
        <w:rPr>
          <w:rFonts w:cs="Arial" w:hint="cs"/>
          <w:rtl/>
        </w:rPr>
        <w:t xml:space="preserve">רא"ש </w:t>
      </w:r>
      <w:r>
        <w:rPr>
          <w:rFonts w:cs="Arial" w:hint="cs"/>
          <w:sz w:val="16"/>
          <w:szCs w:val="16"/>
          <w:rtl/>
        </w:rPr>
        <w:t xml:space="preserve">(כ"כ הטור בשמו) </w:t>
      </w:r>
      <w:r>
        <w:rPr>
          <w:rFonts w:cs="Arial" w:hint="cs"/>
          <w:rtl/>
        </w:rPr>
        <w:t>ו</w:t>
      </w:r>
      <w:r>
        <w:rPr>
          <w:rFonts w:cs="Arial"/>
          <w:rtl/>
        </w:rPr>
        <w:t xml:space="preserve">ר"ן </w:t>
      </w:r>
      <w:r w:rsidRPr="00C44D14">
        <w:rPr>
          <w:rFonts w:cs="Arial"/>
          <w:sz w:val="16"/>
          <w:szCs w:val="16"/>
          <w:rtl/>
        </w:rPr>
        <w:t>(כ. דיבור ראשון)</w:t>
      </w:r>
      <w:r>
        <w:rPr>
          <w:rFonts w:cs="Arial" w:hint="cs"/>
          <w:rtl/>
        </w:rPr>
        <w:t>-</w:t>
      </w:r>
      <w:r w:rsidRPr="00B345A5">
        <w:rPr>
          <w:rFonts w:cs="Arial"/>
          <w:rtl/>
        </w:rPr>
        <w:t xml:space="preserve"> דוקא נתאלמנה או נתגרשה בחיי אביה</w:t>
      </w:r>
      <w:r w:rsidR="000545D2">
        <w:rPr>
          <w:rFonts w:cs="Arial" w:hint="cs"/>
          <w:rtl/>
        </w:rPr>
        <w:t>,</w:t>
      </w:r>
      <w:r w:rsidRPr="00B345A5">
        <w:rPr>
          <w:rFonts w:cs="Arial"/>
          <w:rtl/>
        </w:rPr>
        <w:t xml:space="preserve"> שבשעת מיתת האב היתה ברשותו</w:t>
      </w:r>
      <w:r w:rsidR="000545D2">
        <w:rPr>
          <w:rFonts w:cs="Arial" w:hint="cs"/>
          <w:rtl/>
        </w:rPr>
        <w:t>.</w:t>
      </w:r>
      <w:r w:rsidRPr="00B345A5">
        <w:rPr>
          <w:rFonts w:cs="Arial"/>
          <w:rtl/>
        </w:rPr>
        <w:t xml:space="preserve"> אבל אם נתארסה בחייו ונתגרשה או נתאלמנה אחרי מותו</w:t>
      </w:r>
      <w:r w:rsidR="00363F2C">
        <w:rPr>
          <w:rFonts w:cs="Arial" w:hint="cs"/>
          <w:rtl/>
        </w:rPr>
        <w:t>,</w:t>
      </w:r>
      <w:r w:rsidRPr="00B345A5">
        <w:rPr>
          <w:rFonts w:cs="Arial"/>
          <w:rtl/>
        </w:rPr>
        <w:t xml:space="preserve"> שבשעת מיתת אביה לא היתה ברשותו </w:t>
      </w:r>
      <w:r w:rsidR="00363F2C">
        <w:rPr>
          <w:rFonts w:cs="Arial" w:hint="cs"/>
          <w:rtl/>
        </w:rPr>
        <w:t xml:space="preserve">- </w:t>
      </w:r>
      <w:r w:rsidRPr="00B345A5">
        <w:rPr>
          <w:rFonts w:cs="Arial"/>
          <w:rtl/>
        </w:rPr>
        <w:t>אין לה מזונות</w:t>
      </w:r>
      <w:r>
        <w:rPr>
          <w:rFonts w:cs="Arial" w:hint="cs"/>
          <w:sz w:val="16"/>
          <w:szCs w:val="16"/>
          <w:rtl/>
        </w:rPr>
        <w:t xml:space="preserve"> (ל' הטור בשם הרא"ש)</w:t>
      </w:r>
      <w:r>
        <w:rPr>
          <w:rFonts w:cs="Arial" w:hint="cs"/>
          <w:rtl/>
        </w:rPr>
        <w:t>.</w:t>
      </w:r>
      <w:r w:rsidRPr="00B345A5">
        <w:rPr>
          <w:rFonts w:cs="Arial"/>
          <w:rtl/>
        </w:rPr>
        <w:t xml:space="preserve"> </w:t>
      </w:r>
      <w:r w:rsidRPr="009F066B">
        <w:rPr>
          <w:rFonts w:hint="cs"/>
          <w:color w:val="00B0F0"/>
          <w:rtl/>
        </w:rPr>
        <w:t>(וכ"פ הרמ"א)</w:t>
      </w:r>
    </w:p>
    <w:p w14:paraId="032CF56C" w14:textId="3ED94E88" w:rsidR="00392DBB" w:rsidRPr="009F066B" w:rsidRDefault="00392DBB" w:rsidP="00392DBB">
      <w:pPr>
        <w:rPr>
          <w:u w:val="single"/>
        </w:rPr>
      </w:pPr>
      <w:r w:rsidRPr="009F066B">
        <w:rPr>
          <w:rFonts w:hint="cs"/>
          <w:u w:val="single"/>
          <w:rtl/>
        </w:rPr>
        <w:t>בתה של הממאנת</w:t>
      </w:r>
      <w:r>
        <w:rPr>
          <w:rFonts w:hint="cs"/>
          <w:u w:val="single"/>
          <w:rtl/>
        </w:rPr>
        <w:t xml:space="preserve"> </w:t>
      </w:r>
      <w:r w:rsidR="00F97626">
        <w:rPr>
          <w:u w:val="single"/>
          <w:rtl/>
        </w:rPr>
        <w:t>-</w:t>
      </w:r>
      <w:r>
        <w:rPr>
          <w:rFonts w:hint="cs"/>
          <w:u w:val="single"/>
          <w:rtl/>
        </w:rPr>
        <w:t xml:space="preserve"> האם יש לה מזונות</w:t>
      </w:r>
      <w:r w:rsidRPr="009F066B">
        <w:rPr>
          <w:rFonts w:hint="cs"/>
          <w:u w:val="single"/>
          <w:rtl/>
        </w:rPr>
        <w:t>:</w:t>
      </w:r>
    </w:p>
    <w:p w14:paraId="6ECFEB20" w14:textId="77777777" w:rsidR="00392DBB" w:rsidRPr="00B93D0C" w:rsidRDefault="00392DBB" w:rsidP="009000E3">
      <w:pPr>
        <w:pStyle w:val="ab"/>
        <w:numPr>
          <w:ilvl w:val="0"/>
          <w:numId w:val="63"/>
        </w:numPr>
      </w:pPr>
      <w:r w:rsidRPr="00C44D14">
        <w:rPr>
          <w:rFonts w:cs="Arial"/>
          <w:rtl/>
        </w:rPr>
        <w:t xml:space="preserve">רמב"ם </w:t>
      </w:r>
      <w:r w:rsidRPr="00C44D14">
        <w:rPr>
          <w:rFonts w:cs="Arial" w:hint="cs"/>
          <w:sz w:val="16"/>
          <w:szCs w:val="16"/>
          <w:rtl/>
        </w:rPr>
        <w:t>(</w:t>
      </w:r>
      <w:r w:rsidRPr="00C44D14">
        <w:rPr>
          <w:rFonts w:cs="Arial"/>
          <w:sz w:val="16"/>
          <w:szCs w:val="16"/>
          <w:rtl/>
        </w:rPr>
        <w:t>פי"ט ה</w:t>
      </w:r>
      <w:r>
        <w:rPr>
          <w:rFonts w:cs="Arial" w:hint="cs"/>
          <w:sz w:val="16"/>
          <w:szCs w:val="16"/>
          <w:rtl/>
        </w:rPr>
        <w:t>י"ד</w:t>
      </w:r>
      <w:r w:rsidRPr="00B93D0C">
        <w:rPr>
          <w:rFonts w:cs="Arial"/>
          <w:sz w:val="16"/>
          <w:szCs w:val="16"/>
          <w:rtl/>
        </w:rPr>
        <w:t>)</w:t>
      </w:r>
      <w:r w:rsidRPr="00B93D0C">
        <w:rPr>
          <w:rFonts w:cs="Arial" w:hint="cs"/>
          <w:rtl/>
        </w:rPr>
        <w:t>-</w:t>
      </w:r>
      <w:r w:rsidRPr="00B93D0C">
        <w:rPr>
          <w:rFonts w:cs="Arial"/>
          <w:rtl/>
        </w:rPr>
        <w:t xml:space="preserve"> בת הממאנת</w:t>
      </w:r>
      <w:r>
        <w:rPr>
          <w:rStyle w:val="a7"/>
          <w:rFonts w:cs="Arial"/>
          <w:rtl/>
        </w:rPr>
        <w:footnoteReference w:id="2515"/>
      </w:r>
      <w:r w:rsidRPr="00B93D0C">
        <w:rPr>
          <w:rFonts w:cs="Arial"/>
          <w:rtl/>
        </w:rPr>
        <w:t xml:space="preserve"> הרי היא כשאר הבנות ויש לה מזונות</w:t>
      </w:r>
      <w:r>
        <w:rPr>
          <w:rFonts w:cs="Arial" w:hint="cs"/>
          <w:rtl/>
        </w:rPr>
        <w:t>...</w:t>
      </w:r>
      <w:r w:rsidRPr="00B93D0C">
        <w:rPr>
          <w:rFonts w:cs="Arial"/>
          <w:rtl/>
        </w:rPr>
        <w:t xml:space="preserve">. </w:t>
      </w:r>
    </w:p>
    <w:p w14:paraId="397C21FD" w14:textId="77777777" w:rsidR="00392DBB" w:rsidRPr="00B345A5" w:rsidRDefault="00392DBB" w:rsidP="009000E3">
      <w:pPr>
        <w:pStyle w:val="ab"/>
        <w:numPr>
          <w:ilvl w:val="0"/>
          <w:numId w:val="63"/>
        </w:numPr>
        <w:rPr>
          <w:rtl/>
        </w:rPr>
      </w:pPr>
      <w:r>
        <w:rPr>
          <w:rFonts w:cs="Arial" w:hint="cs"/>
          <w:rtl/>
        </w:rPr>
        <w:t xml:space="preserve">ראב"ד </w:t>
      </w:r>
      <w:r>
        <w:rPr>
          <w:rFonts w:cs="Arial" w:hint="cs"/>
          <w:sz w:val="16"/>
          <w:szCs w:val="16"/>
          <w:rtl/>
        </w:rPr>
        <w:t>(שם בהשגות)</w:t>
      </w:r>
      <w:r w:rsidRPr="009F066B">
        <w:rPr>
          <w:rFonts w:cs="Arial"/>
          <w:rtl/>
        </w:rPr>
        <w:t xml:space="preserve"> </w:t>
      </w:r>
      <w:r>
        <w:rPr>
          <w:rFonts w:cs="Arial"/>
          <w:rtl/>
        </w:rPr>
        <w:t xml:space="preserve">ור"ן </w:t>
      </w:r>
      <w:r w:rsidRPr="009F066B">
        <w:rPr>
          <w:rFonts w:cs="Arial"/>
          <w:sz w:val="16"/>
          <w:szCs w:val="16"/>
          <w:rtl/>
        </w:rPr>
        <w:t>(שם)</w:t>
      </w:r>
      <w:r>
        <w:rPr>
          <w:rFonts w:cs="Arial" w:hint="cs"/>
          <w:rtl/>
        </w:rPr>
        <w:t xml:space="preserve">- </w:t>
      </w:r>
      <w:r w:rsidRPr="00B93D0C">
        <w:rPr>
          <w:rFonts w:cs="Arial"/>
          <w:rtl/>
        </w:rPr>
        <w:t>מה שאינו כתב, בת הממאנת, אין לה לא בת ולא בן</w:t>
      </w:r>
      <w:r>
        <w:rPr>
          <w:rStyle w:val="a7"/>
          <w:rFonts w:cs="Arial"/>
          <w:rtl/>
        </w:rPr>
        <w:footnoteReference w:id="2516"/>
      </w:r>
      <w:r>
        <w:rPr>
          <w:rFonts w:cs="Arial" w:hint="cs"/>
          <w:rtl/>
        </w:rPr>
        <w:t>,</w:t>
      </w:r>
      <w:r w:rsidRPr="00B93D0C">
        <w:rPr>
          <w:rFonts w:cs="Arial"/>
          <w:rtl/>
        </w:rPr>
        <w:t xml:space="preserve"> ולא שאלו עליה אלא על עצמה אם תחזור לבית אביה אם יש לה מזונות מן האחים או לא ופשטו לה שיש לה</w:t>
      </w:r>
      <w:r>
        <w:rPr>
          <w:rFonts w:cs="Arial" w:hint="cs"/>
          <w:sz w:val="16"/>
          <w:szCs w:val="16"/>
          <w:rtl/>
        </w:rPr>
        <w:t xml:space="preserve"> (ל' הראב"ד)</w:t>
      </w:r>
      <w:r w:rsidRPr="00B93D0C">
        <w:rPr>
          <w:rFonts w:cs="Arial"/>
          <w:rtl/>
        </w:rPr>
        <w:t xml:space="preserve">. </w:t>
      </w:r>
    </w:p>
    <w:p w14:paraId="6A30BEF3"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B1A5A86" w14:textId="02119D77" w:rsidR="00392DBB" w:rsidRDefault="00392DBB" w:rsidP="00392DBB">
      <w:pPr>
        <w:rPr>
          <w:rFonts w:cs="Arial"/>
          <w:rtl/>
        </w:rPr>
      </w:pPr>
      <w:r w:rsidRPr="00523CDE">
        <w:rPr>
          <w:rFonts w:cs="Arial"/>
          <w:rtl/>
        </w:rPr>
        <w:t xml:space="preserve">נשאת הבת, או מיאנה או נתגרשה או נתאלמנה, אפילו היא שומרת יבם, הואיל וחזרה לבית אביה ועדיין לא בגרה, הרי זו נזונית מנכסי אביה עד שתבגר או עד שתתארס. </w:t>
      </w:r>
      <w:r w:rsidRPr="00621C37">
        <w:rPr>
          <w:rFonts w:cs="Arial"/>
          <w:sz w:val="18"/>
          <w:szCs w:val="18"/>
          <w:rtl/>
        </w:rPr>
        <w:t>הגה: וי"א</w:t>
      </w:r>
      <w:r w:rsidR="00363F2C">
        <w:rPr>
          <w:rStyle w:val="a7"/>
          <w:rFonts w:cs="Arial"/>
          <w:sz w:val="18"/>
          <w:szCs w:val="18"/>
          <w:rtl/>
        </w:rPr>
        <w:footnoteReference w:id="2517"/>
      </w:r>
      <w:r w:rsidRPr="00621C37">
        <w:rPr>
          <w:rFonts w:cs="Arial"/>
          <w:sz w:val="18"/>
          <w:szCs w:val="18"/>
          <w:rtl/>
        </w:rPr>
        <w:t xml:space="preserve"> דוקא מן האירוסין, אבל משנשאת שוב אין לה מזונות (</w:t>
      </w:r>
      <w:r w:rsidR="00363F2C">
        <w:rPr>
          <w:rFonts w:cs="Arial" w:hint="cs"/>
          <w:sz w:val="18"/>
          <w:szCs w:val="18"/>
          <w:rtl/>
        </w:rPr>
        <w:t xml:space="preserve">רש"י </w:t>
      </w:r>
      <w:r w:rsidRPr="00621C37">
        <w:rPr>
          <w:rFonts w:cs="Arial"/>
          <w:sz w:val="18"/>
          <w:szCs w:val="18"/>
          <w:rtl/>
        </w:rPr>
        <w:t>טור</w:t>
      </w:r>
      <w:r w:rsidR="00363F2C">
        <w:rPr>
          <w:rFonts w:cs="Arial" w:hint="cs"/>
          <w:sz w:val="18"/>
          <w:szCs w:val="18"/>
          <w:rtl/>
        </w:rPr>
        <w:t xml:space="preserve"> ור"ן</w:t>
      </w:r>
      <w:r w:rsidRPr="00621C37">
        <w:rPr>
          <w:rFonts w:cs="Arial"/>
          <w:sz w:val="18"/>
          <w:szCs w:val="18"/>
          <w:rtl/>
        </w:rPr>
        <w:t>). וי"א עוד דוקא בחיי אביה</w:t>
      </w:r>
      <w:r>
        <w:rPr>
          <w:rStyle w:val="a7"/>
          <w:rFonts w:cs="Arial"/>
          <w:sz w:val="18"/>
          <w:szCs w:val="18"/>
          <w:rtl/>
        </w:rPr>
        <w:footnoteReference w:id="2518"/>
      </w:r>
      <w:r w:rsidRPr="00621C37">
        <w:rPr>
          <w:rFonts w:cs="Arial"/>
          <w:sz w:val="18"/>
          <w:szCs w:val="18"/>
          <w:rtl/>
        </w:rPr>
        <w:t>, דכשמת אביה היתה ברשותו, אבל לאחר מיתת אביה אבדה מזונות מיד שנתארסה (רא"ש</w:t>
      </w:r>
      <w:r w:rsidR="00363F2C">
        <w:rPr>
          <w:rFonts w:cs="Arial" w:hint="cs"/>
          <w:sz w:val="18"/>
          <w:szCs w:val="18"/>
          <w:rtl/>
        </w:rPr>
        <w:t xml:space="preserve"> ור"ן</w:t>
      </w:r>
      <w:r w:rsidRPr="00621C37">
        <w:rPr>
          <w:rFonts w:cs="Arial"/>
          <w:sz w:val="18"/>
          <w:szCs w:val="18"/>
          <w:rtl/>
        </w:rPr>
        <w:t>), וכן נראה עיקר.</w:t>
      </w:r>
    </w:p>
    <w:p w14:paraId="6D0FB63F" w14:textId="7E53D295" w:rsidR="00392DBB" w:rsidRPr="0094552B" w:rsidRDefault="00392DBB" w:rsidP="00392DBB">
      <w:pPr>
        <w:rPr>
          <w:rFonts w:cs="Arial"/>
          <w:u w:val="single"/>
          <w:rtl/>
        </w:rPr>
      </w:pPr>
      <w:r w:rsidRPr="0094552B">
        <w:rPr>
          <w:rFonts w:cs="Arial"/>
          <w:u w:val="single"/>
          <w:rtl/>
        </w:rPr>
        <w:t>נתארסה כשהיא נערה אחר מיתת אביה</w:t>
      </w:r>
      <w:r w:rsidR="001522C2">
        <w:rPr>
          <w:rFonts w:cs="Arial" w:hint="cs"/>
          <w:u w:val="single"/>
          <w:rtl/>
        </w:rPr>
        <w:t>,</w:t>
      </w:r>
      <w:r w:rsidRPr="0094552B">
        <w:rPr>
          <w:rFonts w:cs="Arial"/>
          <w:u w:val="single"/>
          <w:rtl/>
        </w:rPr>
        <w:t xml:space="preserve"> ונתגרשה בעודה נערה</w:t>
      </w:r>
      <w:r>
        <w:rPr>
          <w:rFonts w:cs="Arial" w:hint="cs"/>
          <w:u w:val="single"/>
          <w:rtl/>
        </w:rPr>
        <w:t xml:space="preserve"> </w:t>
      </w:r>
      <w:r w:rsidR="00F97626">
        <w:rPr>
          <w:rFonts w:cs="Arial"/>
          <w:u w:val="single"/>
          <w:rtl/>
        </w:rPr>
        <w:t>-</w:t>
      </w:r>
      <w:r>
        <w:rPr>
          <w:rFonts w:cs="Arial" w:hint="cs"/>
          <w:u w:val="single"/>
          <w:rtl/>
        </w:rPr>
        <w:t xml:space="preserve"> האם</w:t>
      </w:r>
      <w:r w:rsidRPr="0094552B">
        <w:rPr>
          <w:rFonts w:cs="Arial"/>
          <w:u w:val="single"/>
          <w:rtl/>
        </w:rPr>
        <w:t xml:space="preserve"> יש לה מזונות</w:t>
      </w:r>
      <w:r w:rsidRPr="0094552B">
        <w:rPr>
          <w:rFonts w:cs="Arial" w:hint="cs"/>
          <w:u w:val="single"/>
          <w:rtl/>
        </w:rPr>
        <w:t>:</w:t>
      </w:r>
    </w:p>
    <w:p w14:paraId="0ECF7A90" w14:textId="524FD3D3" w:rsidR="00392DBB" w:rsidRDefault="00392DBB" w:rsidP="009000E3">
      <w:pPr>
        <w:pStyle w:val="ab"/>
        <w:numPr>
          <w:ilvl w:val="0"/>
          <w:numId w:val="66"/>
        </w:numPr>
        <w:rPr>
          <w:rFonts w:cs="Arial"/>
        </w:rPr>
      </w:pPr>
      <w:r w:rsidRPr="0094552B">
        <w:rPr>
          <w:rFonts w:cs="Arial"/>
          <w:rtl/>
        </w:rPr>
        <w:t>פרישה</w:t>
      </w:r>
      <w:r>
        <w:rPr>
          <w:rFonts w:cs="Arial" w:hint="cs"/>
          <w:sz w:val="16"/>
          <w:szCs w:val="16"/>
          <w:rtl/>
        </w:rPr>
        <w:t xml:space="preserve"> </w:t>
      </w:r>
      <w:r w:rsidRPr="0094552B">
        <w:rPr>
          <w:rFonts w:cs="Arial" w:hint="cs"/>
          <w:sz w:val="16"/>
          <w:szCs w:val="16"/>
          <w:rtl/>
        </w:rPr>
        <w:t>(</w:t>
      </w:r>
      <w:r>
        <w:rPr>
          <w:rFonts w:cs="Arial" w:hint="cs"/>
          <w:sz w:val="16"/>
          <w:szCs w:val="16"/>
          <w:rtl/>
        </w:rPr>
        <w:t>כ"כ בשמו הב"ש [</w:t>
      </w:r>
      <w:r w:rsidRPr="0094552B">
        <w:rPr>
          <w:rFonts w:cs="Arial" w:hint="cs"/>
          <w:sz w:val="16"/>
          <w:szCs w:val="16"/>
          <w:rtl/>
        </w:rPr>
        <w:t>סק"ט</w:t>
      </w:r>
      <w:r>
        <w:rPr>
          <w:rFonts w:cs="Arial" w:hint="cs"/>
          <w:sz w:val="16"/>
          <w:szCs w:val="16"/>
          <w:rtl/>
        </w:rPr>
        <w:t>]</w:t>
      </w:r>
      <w:r w:rsidRPr="0094552B">
        <w:rPr>
          <w:rFonts w:cs="Arial" w:hint="cs"/>
          <w:sz w:val="16"/>
          <w:szCs w:val="16"/>
          <w:rtl/>
        </w:rPr>
        <w:t>)</w:t>
      </w:r>
      <w:r>
        <w:rPr>
          <w:rFonts w:cs="Arial" w:hint="cs"/>
          <w:rtl/>
        </w:rPr>
        <w:t>-</w:t>
      </w:r>
      <w:r w:rsidRPr="0094552B">
        <w:rPr>
          <w:rFonts w:cs="Arial"/>
          <w:rtl/>
        </w:rPr>
        <w:t xml:space="preserve"> אם נתארסה כשהיא נערה אחר מיתת אביה ונתגרשה בעודה נערה </w:t>
      </w:r>
      <w:r w:rsidR="000545D2">
        <w:rPr>
          <w:rFonts w:cs="Arial" w:hint="cs"/>
          <w:rtl/>
        </w:rPr>
        <w:t xml:space="preserve">- </w:t>
      </w:r>
      <w:r w:rsidRPr="0094552B">
        <w:rPr>
          <w:rFonts w:cs="Arial"/>
          <w:rtl/>
        </w:rPr>
        <w:t>יש לה מזונות</w:t>
      </w:r>
      <w:r w:rsidR="000545D2">
        <w:rPr>
          <w:rFonts w:cs="Arial" w:hint="cs"/>
          <w:rtl/>
        </w:rPr>
        <w:t>,</w:t>
      </w:r>
      <w:r w:rsidRPr="0094552B">
        <w:rPr>
          <w:rFonts w:cs="Arial"/>
          <w:rtl/>
        </w:rPr>
        <w:t xml:space="preserve"> דכיון משמת אביה היה לה שיעבוד וחוב על האחין</w:t>
      </w:r>
      <w:r w:rsidR="000545D2">
        <w:rPr>
          <w:rFonts w:cs="Arial" w:hint="cs"/>
          <w:rtl/>
        </w:rPr>
        <w:t>,</w:t>
      </w:r>
      <w:r w:rsidRPr="0094552B">
        <w:rPr>
          <w:rFonts w:cs="Arial"/>
          <w:rtl/>
        </w:rPr>
        <w:t xml:space="preserve"> אע</w:t>
      </w:r>
      <w:r>
        <w:rPr>
          <w:rFonts w:cs="Arial" w:hint="cs"/>
          <w:rtl/>
        </w:rPr>
        <w:t>"</w:t>
      </w:r>
      <w:r w:rsidRPr="0094552B">
        <w:rPr>
          <w:rFonts w:cs="Arial"/>
          <w:rtl/>
        </w:rPr>
        <w:t>ג דפקע לה משנתארסה</w:t>
      </w:r>
      <w:r w:rsidR="000545D2">
        <w:rPr>
          <w:rFonts w:cs="Arial" w:hint="cs"/>
          <w:rtl/>
        </w:rPr>
        <w:t>,</w:t>
      </w:r>
      <w:r w:rsidRPr="0094552B">
        <w:rPr>
          <w:rFonts w:cs="Arial"/>
          <w:rtl/>
        </w:rPr>
        <w:t xml:space="preserve"> מ"מ כיון שנתגרשה חזרה לזכותה</w:t>
      </w:r>
      <w:r w:rsidR="000545D2">
        <w:rPr>
          <w:rFonts w:cs="Arial" w:hint="cs"/>
          <w:rtl/>
        </w:rPr>
        <w:t>.</w:t>
      </w:r>
      <w:r w:rsidRPr="0094552B">
        <w:rPr>
          <w:rFonts w:cs="Arial"/>
          <w:rtl/>
        </w:rPr>
        <w:t xml:space="preserve"> דומה לקטנה שנישאת כשמיאנה בנשואין חזרה למזונות</w:t>
      </w:r>
      <w:r>
        <w:rPr>
          <w:rFonts w:cs="Arial" w:hint="cs"/>
          <w:sz w:val="16"/>
          <w:szCs w:val="16"/>
          <w:rtl/>
        </w:rPr>
        <w:t xml:space="preserve"> (ל' הב"ש בשמו)</w:t>
      </w:r>
      <w:r>
        <w:rPr>
          <w:rFonts w:cs="Arial" w:hint="cs"/>
          <w:rtl/>
        </w:rPr>
        <w:t>.</w:t>
      </w:r>
      <w:r w:rsidRPr="0094552B">
        <w:rPr>
          <w:rFonts w:cs="Arial"/>
          <w:rtl/>
        </w:rPr>
        <w:t xml:space="preserve"> </w:t>
      </w:r>
    </w:p>
    <w:p w14:paraId="489D9A8A" w14:textId="108256D6" w:rsidR="00392DBB" w:rsidRPr="004C49EE" w:rsidRDefault="00392DBB" w:rsidP="009000E3">
      <w:pPr>
        <w:pStyle w:val="ab"/>
        <w:numPr>
          <w:ilvl w:val="0"/>
          <w:numId w:val="66"/>
        </w:numPr>
        <w:rPr>
          <w:rFonts w:cs="Arial"/>
          <w:rtl/>
        </w:rPr>
      </w:pPr>
      <w:r w:rsidRPr="0094552B">
        <w:rPr>
          <w:rFonts w:cs="Arial"/>
          <w:rtl/>
        </w:rPr>
        <w:t>ט"ז</w:t>
      </w:r>
      <w:r>
        <w:rPr>
          <w:rFonts w:cs="Arial" w:hint="cs"/>
          <w:rtl/>
        </w:rPr>
        <w:t xml:space="preserve"> </w:t>
      </w:r>
      <w:r w:rsidRPr="0094552B">
        <w:rPr>
          <w:rFonts w:cs="Arial" w:hint="cs"/>
          <w:sz w:val="16"/>
          <w:szCs w:val="16"/>
          <w:rtl/>
        </w:rPr>
        <w:t>(</w:t>
      </w:r>
      <w:r>
        <w:rPr>
          <w:rFonts w:cs="Arial" w:hint="cs"/>
          <w:sz w:val="16"/>
          <w:szCs w:val="16"/>
          <w:rtl/>
        </w:rPr>
        <w:t>כ"כ בשמו הב"ש [</w:t>
      </w:r>
      <w:r w:rsidRPr="0094552B">
        <w:rPr>
          <w:rFonts w:cs="Arial" w:hint="cs"/>
          <w:sz w:val="16"/>
          <w:szCs w:val="16"/>
          <w:rtl/>
        </w:rPr>
        <w:t>סק"ט</w:t>
      </w:r>
      <w:r>
        <w:rPr>
          <w:rFonts w:cs="Arial" w:hint="cs"/>
          <w:sz w:val="16"/>
          <w:szCs w:val="16"/>
          <w:rtl/>
        </w:rPr>
        <w:t>]</w:t>
      </w:r>
      <w:r w:rsidRPr="0094552B">
        <w:rPr>
          <w:rFonts w:cs="Arial" w:hint="cs"/>
          <w:sz w:val="16"/>
          <w:szCs w:val="16"/>
          <w:rtl/>
        </w:rPr>
        <w:t>)</w:t>
      </w:r>
      <w:r>
        <w:rPr>
          <w:rFonts w:cs="Arial" w:hint="cs"/>
          <w:rtl/>
        </w:rPr>
        <w:t>-</w:t>
      </w:r>
      <w:r w:rsidRPr="0094552B">
        <w:rPr>
          <w:rFonts w:cs="Arial"/>
          <w:rtl/>
        </w:rPr>
        <w:t xml:space="preserve"> ל</w:t>
      </w:r>
      <w:r>
        <w:rPr>
          <w:rFonts w:cs="Arial" w:hint="cs"/>
          <w:rtl/>
        </w:rPr>
        <w:t xml:space="preserve">א </w:t>
      </w:r>
      <w:r w:rsidRPr="0094552B">
        <w:rPr>
          <w:rFonts w:cs="Arial"/>
          <w:rtl/>
        </w:rPr>
        <w:t>ד</w:t>
      </w:r>
      <w:r>
        <w:rPr>
          <w:rFonts w:cs="Arial" w:hint="cs"/>
          <w:rtl/>
        </w:rPr>
        <w:t>מי</w:t>
      </w:r>
      <w:r w:rsidRPr="0094552B">
        <w:rPr>
          <w:rFonts w:cs="Arial"/>
          <w:rtl/>
        </w:rPr>
        <w:t xml:space="preserve"> למיאון שעוקר נישואין הראשונים</w:t>
      </w:r>
      <w:r w:rsidR="000545D2">
        <w:rPr>
          <w:rFonts w:cs="Arial" w:hint="cs"/>
          <w:rtl/>
        </w:rPr>
        <w:t>,</w:t>
      </w:r>
      <w:r w:rsidRPr="0094552B">
        <w:rPr>
          <w:rFonts w:cs="Arial"/>
          <w:rtl/>
        </w:rPr>
        <w:t xml:space="preserve"> משא"כ בארוסין של נערה</w:t>
      </w:r>
      <w:r w:rsidR="000545D2">
        <w:rPr>
          <w:rFonts w:cs="Arial" w:hint="cs"/>
          <w:rtl/>
        </w:rPr>
        <w:t>.</w:t>
      </w:r>
      <w:r w:rsidRPr="0094552B">
        <w:rPr>
          <w:rFonts w:cs="Arial"/>
          <w:rtl/>
        </w:rPr>
        <w:t xml:space="preserve"> ומשמע לדעת י"א אפילו אם נתאלמנה אחר מות אביה יש לה מזונות</w:t>
      </w:r>
      <w:r>
        <w:rPr>
          <w:rStyle w:val="a7"/>
          <w:rFonts w:cs="Arial"/>
          <w:rtl/>
        </w:rPr>
        <w:footnoteReference w:id="2519"/>
      </w:r>
      <w:r>
        <w:rPr>
          <w:rFonts w:cs="Arial" w:hint="cs"/>
          <w:sz w:val="16"/>
          <w:szCs w:val="16"/>
          <w:rtl/>
        </w:rPr>
        <w:t xml:space="preserve"> (ל' הב"ש בשמו)</w:t>
      </w:r>
      <w:r w:rsidRPr="004C49EE">
        <w:rPr>
          <w:rFonts w:cs="Arial" w:hint="cs"/>
          <w:rtl/>
        </w:rPr>
        <w:t>.</w:t>
      </w:r>
    </w:p>
    <w:p w14:paraId="613E6AC2" w14:textId="77777777" w:rsidR="00392DBB" w:rsidRPr="00523CDE" w:rsidRDefault="00392DBB" w:rsidP="00392DBB">
      <w:pPr>
        <w:rPr>
          <w:rFonts w:cs="Arial"/>
          <w:rtl/>
        </w:rPr>
      </w:pPr>
      <w:r w:rsidRPr="00523CDE">
        <w:rPr>
          <w:rFonts w:cs="Arial"/>
          <w:rtl/>
        </w:rPr>
        <w:t xml:space="preserve"> </w:t>
      </w:r>
    </w:p>
    <w:p w14:paraId="32929162" w14:textId="0EC616F4" w:rsidR="00392DBB" w:rsidRDefault="00392DBB" w:rsidP="000F64D0">
      <w:pPr>
        <w:pStyle w:val="2"/>
        <w:rPr>
          <w:rtl/>
        </w:rPr>
      </w:pPr>
      <w:r w:rsidRPr="00523CDE">
        <w:rPr>
          <w:rtl/>
        </w:rPr>
        <w:lastRenderedPageBreak/>
        <w:t>סעיף ה</w:t>
      </w:r>
      <w:r>
        <w:rPr>
          <w:rFonts w:hint="cs"/>
          <w:rtl/>
        </w:rPr>
        <w:t>: מזונות בתו מיבמ</w:t>
      </w:r>
      <w:r w:rsidR="008B4B15">
        <w:rPr>
          <w:rFonts w:hint="cs"/>
          <w:rtl/>
        </w:rPr>
        <w:t>תו</w:t>
      </w:r>
      <w:r>
        <w:rPr>
          <w:rFonts w:hint="cs"/>
          <w:rtl/>
        </w:rPr>
        <w:t>/שניה/אנוס</w:t>
      </w:r>
      <w:r w:rsidR="008B4B15">
        <w:rPr>
          <w:rFonts w:hint="cs"/>
          <w:rtl/>
        </w:rPr>
        <w:t>תו</w:t>
      </w:r>
      <w:r>
        <w:rPr>
          <w:rFonts w:hint="cs"/>
          <w:rtl/>
        </w:rPr>
        <w:t>/ארוס</w:t>
      </w:r>
      <w:r w:rsidR="008B4B15">
        <w:rPr>
          <w:rFonts w:hint="cs"/>
          <w:rtl/>
        </w:rPr>
        <w:t>תו</w:t>
      </w:r>
      <w:r>
        <w:rPr>
          <w:rFonts w:hint="cs"/>
          <w:rtl/>
        </w:rPr>
        <w:t>.</w:t>
      </w:r>
    </w:p>
    <w:p w14:paraId="3BE02E93" w14:textId="77777777" w:rsidR="00392DBB" w:rsidRDefault="00392DBB" w:rsidP="00392DBB">
      <w:pPr>
        <w:rPr>
          <w:rFonts w:cs="Arial"/>
          <w:rtl/>
        </w:rPr>
      </w:pPr>
      <w:r>
        <w:rPr>
          <w:rFonts w:cs="Arial" w:hint="cs"/>
          <w:b/>
          <w:bCs/>
          <w:rtl/>
        </w:rPr>
        <w:t>יבמות</w:t>
      </w:r>
      <w:r w:rsidRPr="00B14D69">
        <w:rPr>
          <w:rFonts w:cs="Arial" w:hint="cs"/>
          <w:b/>
          <w:bCs/>
          <w:rtl/>
        </w:rPr>
        <w:t xml:space="preserve"> </w:t>
      </w:r>
      <w:r w:rsidRPr="00B14D69">
        <w:rPr>
          <w:rFonts w:cs="Arial" w:hint="cs"/>
          <w:b/>
          <w:bCs/>
          <w:sz w:val="16"/>
          <w:szCs w:val="16"/>
          <w:rtl/>
        </w:rPr>
        <w:t>(</w:t>
      </w:r>
      <w:r>
        <w:rPr>
          <w:rFonts w:cs="Arial" w:hint="cs"/>
          <w:b/>
          <w:bCs/>
          <w:sz w:val="16"/>
          <w:szCs w:val="16"/>
          <w:rtl/>
        </w:rPr>
        <w:t>פ' החולץ</w:t>
      </w:r>
      <w:r w:rsidRPr="00B14D69">
        <w:rPr>
          <w:rFonts w:cs="Arial" w:hint="cs"/>
          <w:b/>
          <w:bCs/>
          <w:sz w:val="16"/>
          <w:szCs w:val="16"/>
          <w:rtl/>
        </w:rPr>
        <w:t>)</w:t>
      </w:r>
      <w:r w:rsidRPr="00B14D69">
        <w:rPr>
          <w:rFonts w:cs="Arial"/>
          <w:b/>
          <w:bCs/>
          <w:rtl/>
        </w:rPr>
        <w:t xml:space="preserve"> </w:t>
      </w:r>
      <w:r>
        <w:rPr>
          <w:rFonts w:cs="Arial" w:hint="cs"/>
          <w:b/>
          <w:bCs/>
          <w:rtl/>
        </w:rPr>
        <w:t>לח</w:t>
      </w:r>
      <w:r w:rsidRPr="00B14D69">
        <w:rPr>
          <w:rFonts w:cs="Arial" w:hint="cs"/>
          <w:b/>
          <w:bCs/>
          <w:rtl/>
        </w:rPr>
        <w:t xml:space="preserve"> ע"</w:t>
      </w:r>
      <w:r>
        <w:rPr>
          <w:rFonts w:cs="Arial" w:hint="cs"/>
          <w:b/>
          <w:bCs/>
          <w:rtl/>
        </w:rPr>
        <w:t>א:</w:t>
      </w:r>
      <w:r>
        <w:rPr>
          <w:rFonts w:cs="Arial" w:hint="cs"/>
          <w:rtl/>
        </w:rPr>
        <w:t xml:space="preserve"> </w:t>
      </w:r>
      <w:r w:rsidRPr="00821488">
        <w:rPr>
          <w:rFonts w:cs="Arial"/>
          <w:u w:val="double"/>
          <w:rtl/>
        </w:rPr>
        <w:t>מתני'</w:t>
      </w:r>
      <w:r>
        <w:rPr>
          <w:rFonts w:cs="Arial" w:hint="cs"/>
          <w:rtl/>
        </w:rPr>
        <w:t>:</w:t>
      </w:r>
      <w:r w:rsidRPr="00821488">
        <w:rPr>
          <w:rFonts w:cs="Arial"/>
          <w:rtl/>
        </w:rPr>
        <w:t xml:space="preserve"> שומרת יבם</w:t>
      </w:r>
      <w:r>
        <w:rPr>
          <w:rFonts w:cs="Arial" w:hint="cs"/>
          <w:rtl/>
        </w:rPr>
        <w:t>...</w:t>
      </w:r>
      <w:r w:rsidRPr="00821488">
        <w:rPr>
          <w:rFonts w:cs="Arial"/>
          <w:rtl/>
        </w:rPr>
        <w:t xml:space="preserve"> כנסה - הרי היא כאשתו לכל דבר, ובלבד שתהא כתובה על נכסי בעלה הראשון.</w:t>
      </w:r>
    </w:p>
    <w:p w14:paraId="22678C4E" w14:textId="77777777" w:rsidR="00392DBB" w:rsidRDefault="00392DBB" w:rsidP="00392DBB">
      <w:pPr>
        <w:rPr>
          <w:rFonts w:cs="Arial"/>
          <w:rtl/>
        </w:rPr>
      </w:pPr>
      <w:r w:rsidRPr="00B14D69">
        <w:rPr>
          <w:rFonts w:cs="Arial" w:hint="cs"/>
          <w:b/>
          <w:bCs/>
          <w:rtl/>
        </w:rPr>
        <w:t xml:space="preserve">כתובות </w:t>
      </w:r>
      <w:r w:rsidRPr="00B14D69">
        <w:rPr>
          <w:rFonts w:cs="Arial" w:hint="cs"/>
          <w:b/>
          <w:bCs/>
          <w:sz w:val="16"/>
          <w:szCs w:val="16"/>
          <w:rtl/>
        </w:rPr>
        <w:t>(ס"פ</w:t>
      </w:r>
      <w:r w:rsidRPr="00B14D69">
        <w:rPr>
          <w:rFonts w:cs="Arial"/>
          <w:b/>
          <w:bCs/>
          <w:sz w:val="16"/>
          <w:szCs w:val="16"/>
          <w:rtl/>
        </w:rPr>
        <w:t xml:space="preserve"> נערה שנתפתתה</w:t>
      </w:r>
      <w:r w:rsidRPr="00B14D69">
        <w:rPr>
          <w:rFonts w:cs="Arial" w:hint="cs"/>
          <w:b/>
          <w:bCs/>
          <w:sz w:val="16"/>
          <w:szCs w:val="16"/>
          <w:rtl/>
        </w:rPr>
        <w:t>)</w:t>
      </w:r>
      <w:r w:rsidRPr="00B14D69">
        <w:rPr>
          <w:rFonts w:cs="Arial"/>
          <w:b/>
          <w:bCs/>
          <w:rtl/>
        </w:rPr>
        <w:t xml:space="preserve"> </w:t>
      </w:r>
      <w:r w:rsidRPr="00B14D69">
        <w:rPr>
          <w:rFonts w:cs="Arial" w:hint="cs"/>
          <w:b/>
          <w:bCs/>
          <w:rtl/>
        </w:rPr>
        <w:t>נג ע"ב</w:t>
      </w:r>
      <w:r>
        <w:rPr>
          <w:rFonts w:cs="Arial" w:hint="cs"/>
          <w:b/>
          <w:bCs/>
          <w:rtl/>
        </w:rPr>
        <w:t>:</w:t>
      </w:r>
      <w:r>
        <w:rPr>
          <w:rFonts w:cs="Arial" w:hint="cs"/>
          <w:rtl/>
        </w:rPr>
        <w:t xml:space="preserve"> </w:t>
      </w:r>
      <w:r w:rsidRPr="008F28F3">
        <w:rPr>
          <w:rFonts w:cs="Arial"/>
          <w:u w:val="single"/>
          <w:rtl/>
        </w:rPr>
        <w:t>בעי ריש לקיש</w:t>
      </w:r>
      <w:r w:rsidRPr="008F28F3">
        <w:rPr>
          <w:rFonts w:cs="Arial"/>
          <w:rtl/>
        </w:rPr>
        <w:t>: בת יבמה</w:t>
      </w:r>
      <w:r>
        <w:rPr>
          <w:rStyle w:val="a7"/>
          <w:rFonts w:cs="Arial"/>
          <w:rtl/>
        </w:rPr>
        <w:footnoteReference w:id="2520"/>
      </w:r>
      <w:r w:rsidRPr="008F28F3">
        <w:rPr>
          <w:rFonts w:cs="Arial"/>
          <w:rtl/>
        </w:rPr>
        <w:t>, יש לה מזונות או אין לה מזונות? כיון דאמר מר</w:t>
      </w:r>
      <w:r>
        <w:rPr>
          <w:rStyle w:val="a7"/>
          <w:rFonts w:cs="Arial"/>
          <w:rtl/>
        </w:rPr>
        <w:footnoteReference w:id="2521"/>
      </w:r>
      <w:r w:rsidRPr="008F28F3">
        <w:rPr>
          <w:rFonts w:cs="Arial"/>
          <w:rtl/>
        </w:rPr>
        <w:t xml:space="preserve"> כתובתה על נכסי בעלה הראשון - לית לה, או דלמא</w:t>
      </w:r>
      <w:r>
        <w:rPr>
          <w:rStyle w:val="a7"/>
          <w:rFonts w:cs="Arial"/>
          <w:rtl/>
        </w:rPr>
        <w:footnoteReference w:id="2522"/>
      </w:r>
      <w:r w:rsidRPr="008F28F3">
        <w:rPr>
          <w:rFonts w:cs="Arial"/>
          <w:rtl/>
        </w:rPr>
        <w:t xml:space="preserve"> כיון דאי לית לה מראשון תקינו לה רבנן משני - אית לה</w:t>
      </w:r>
      <w:r>
        <w:rPr>
          <w:rStyle w:val="a7"/>
          <w:rFonts w:cs="Arial"/>
          <w:rtl/>
        </w:rPr>
        <w:footnoteReference w:id="2523"/>
      </w:r>
      <w:r w:rsidRPr="008F28F3">
        <w:rPr>
          <w:rFonts w:cs="Arial"/>
          <w:rtl/>
        </w:rPr>
        <w:t>? תיקו</w:t>
      </w:r>
      <w:r>
        <w:rPr>
          <w:rStyle w:val="a7"/>
          <w:rFonts w:cs="Arial"/>
          <w:rtl/>
        </w:rPr>
        <w:footnoteReference w:id="2524"/>
      </w:r>
      <w:r w:rsidRPr="008F28F3">
        <w:rPr>
          <w:rFonts w:cs="Arial"/>
          <w:rtl/>
        </w:rPr>
        <w:t xml:space="preserve">. </w:t>
      </w:r>
      <w:r w:rsidRPr="008F28F3">
        <w:rPr>
          <w:rFonts w:cs="Arial"/>
          <w:u w:val="single"/>
          <w:rtl/>
        </w:rPr>
        <w:t>בעי רבי אלעזר</w:t>
      </w:r>
      <w:r w:rsidRPr="008F28F3">
        <w:rPr>
          <w:rFonts w:cs="Arial"/>
          <w:rtl/>
        </w:rPr>
        <w:t>: בת שניה</w:t>
      </w:r>
      <w:r>
        <w:rPr>
          <w:rStyle w:val="a7"/>
          <w:rFonts w:cs="Arial"/>
          <w:rtl/>
        </w:rPr>
        <w:footnoteReference w:id="2525"/>
      </w:r>
      <w:r w:rsidRPr="008F28F3">
        <w:rPr>
          <w:rFonts w:cs="Arial"/>
          <w:rtl/>
        </w:rPr>
        <w:t>, יש לה מזונות או אין לה מזונות?</w:t>
      </w:r>
      <w:r w:rsidRPr="008F28F3">
        <w:rPr>
          <w:rtl/>
        </w:rPr>
        <w:t xml:space="preserve"> </w:t>
      </w:r>
      <w:r>
        <w:rPr>
          <w:rFonts w:hint="cs"/>
          <w:sz w:val="14"/>
          <w:szCs w:val="14"/>
          <w:rtl/>
        </w:rPr>
        <w:t xml:space="preserve">(נד.) </w:t>
      </w:r>
      <w:r w:rsidRPr="008F28F3">
        <w:rPr>
          <w:rFonts w:cs="Arial"/>
          <w:rtl/>
        </w:rPr>
        <w:t>כיון דלית לה כתובה</w:t>
      </w:r>
      <w:r>
        <w:rPr>
          <w:rStyle w:val="a7"/>
          <w:rFonts w:cs="Arial"/>
          <w:rtl/>
        </w:rPr>
        <w:footnoteReference w:id="2526"/>
      </w:r>
      <w:r w:rsidRPr="008F28F3">
        <w:rPr>
          <w:rFonts w:cs="Arial"/>
          <w:rtl/>
        </w:rPr>
        <w:t xml:space="preserve"> לית לה מזוני, או דלמא אמה דעבדא איסורא קנסוה רבנן, איהי דלא עבדא איסורא לא קנסוה רבנן? תיקו. </w:t>
      </w:r>
      <w:r w:rsidRPr="008F28F3">
        <w:rPr>
          <w:rFonts w:cs="Arial"/>
          <w:u w:val="single"/>
          <w:rtl/>
        </w:rPr>
        <w:t>בעי רבא</w:t>
      </w:r>
      <w:r w:rsidRPr="008F28F3">
        <w:rPr>
          <w:rFonts w:cs="Arial"/>
          <w:rtl/>
        </w:rPr>
        <w:t>: בת ארוסה</w:t>
      </w:r>
      <w:r>
        <w:rPr>
          <w:rStyle w:val="a7"/>
          <w:rFonts w:cs="Arial"/>
          <w:rtl/>
        </w:rPr>
        <w:footnoteReference w:id="2527"/>
      </w:r>
      <w:r w:rsidRPr="008F28F3">
        <w:rPr>
          <w:rFonts w:cs="Arial"/>
          <w:rtl/>
        </w:rPr>
        <w:t>, יש לה מזונות או אין לה מזונות? כיון דאית לה כתובה</w:t>
      </w:r>
      <w:r>
        <w:rPr>
          <w:rStyle w:val="a7"/>
          <w:rFonts w:cs="Arial"/>
          <w:rtl/>
        </w:rPr>
        <w:footnoteReference w:id="2528"/>
      </w:r>
      <w:r w:rsidRPr="008F28F3">
        <w:rPr>
          <w:rFonts w:cs="Arial"/>
          <w:rtl/>
        </w:rPr>
        <w:t xml:space="preserve"> - אית לה, או דלמא כיון דלא תקינו רבנן</w:t>
      </w:r>
      <w:r>
        <w:rPr>
          <w:rStyle w:val="a7"/>
          <w:rFonts w:cs="Arial"/>
          <w:rtl/>
        </w:rPr>
        <w:footnoteReference w:id="2529"/>
      </w:r>
      <w:r w:rsidRPr="008F28F3">
        <w:rPr>
          <w:rFonts w:cs="Arial"/>
          <w:rtl/>
        </w:rPr>
        <w:t xml:space="preserve"> כתובה עד שעת נישואין - לית לה? תיקו. </w:t>
      </w:r>
      <w:r w:rsidRPr="008F28F3">
        <w:rPr>
          <w:rFonts w:cs="Arial"/>
          <w:u w:val="single"/>
          <w:rtl/>
        </w:rPr>
        <w:t>בעי רב פפא</w:t>
      </w:r>
      <w:r w:rsidRPr="008F28F3">
        <w:rPr>
          <w:rFonts w:cs="Arial"/>
          <w:rtl/>
        </w:rPr>
        <w:t>: בת אנוסה</w:t>
      </w:r>
      <w:r>
        <w:rPr>
          <w:rStyle w:val="a7"/>
          <w:rFonts w:cs="Arial"/>
          <w:rtl/>
        </w:rPr>
        <w:footnoteReference w:id="2530"/>
      </w:r>
      <w:r w:rsidRPr="008F28F3">
        <w:rPr>
          <w:rFonts w:cs="Arial"/>
          <w:rtl/>
        </w:rPr>
        <w:t>, יש לה מזונות או אין לה מזונות? אליבא דרבי יוסי ברבי יהודה לא תיבעי לך, דאמר: יש לה כתובה</w:t>
      </w:r>
      <w:r>
        <w:rPr>
          <w:rStyle w:val="a7"/>
          <w:rFonts w:cs="Arial"/>
          <w:rtl/>
        </w:rPr>
        <w:footnoteReference w:id="2531"/>
      </w:r>
      <w:r w:rsidRPr="008F28F3">
        <w:rPr>
          <w:rFonts w:cs="Arial"/>
          <w:rtl/>
        </w:rPr>
        <w:t xml:space="preserve"> מנה</w:t>
      </w:r>
      <w:r>
        <w:rPr>
          <w:rStyle w:val="a7"/>
          <w:rFonts w:cs="Arial"/>
          <w:rtl/>
        </w:rPr>
        <w:footnoteReference w:id="2532"/>
      </w:r>
      <w:r w:rsidRPr="008F28F3">
        <w:rPr>
          <w:rFonts w:cs="Arial"/>
          <w:rtl/>
        </w:rPr>
        <w:t>, כי תיבעי לך - אליבא דרבנן, דאמרי: יצא כסף קנסה בכתובתה</w:t>
      </w:r>
      <w:r>
        <w:rPr>
          <w:rStyle w:val="a7"/>
          <w:rFonts w:cs="Arial"/>
          <w:rtl/>
        </w:rPr>
        <w:footnoteReference w:id="2533"/>
      </w:r>
      <w:r w:rsidRPr="008F28F3">
        <w:rPr>
          <w:rFonts w:cs="Arial"/>
          <w:rtl/>
        </w:rPr>
        <w:t>, מאי</w:t>
      </w:r>
      <w:r>
        <w:rPr>
          <w:rStyle w:val="a7"/>
          <w:rFonts w:cs="Arial"/>
          <w:rtl/>
        </w:rPr>
        <w:footnoteReference w:id="2534"/>
      </w:r>
      <w:r w:rsidRPr="008F28F3">
        <w:rPr>
          <w:rFonts w:cs="Arial"/>
          <w:rtl/>
        </w:rPr>
        <w:t>? כיון דלית לה כתובה לית לה מזוני, או דלמא כתובה טעמא מאי? כדי שלא תהא קלה בעיניו להוציאה, והא לא מצי מפיק לה</w:t>
      </w:r>
      <w:r>
        <w:rPr>
          <w:rStyle w:val="a7"/>
          <w:rFonts w:cs="Arial"/>
          <w:rtl/>
        </w:rPr>
        <w:footnoteReference w:id="2535"/>
      </w:r>
      <w:r w:rsidRPr="008F28F3">
        <w:rPr>
          <w:rFonts w:cs="Arial"/>
          <w:rtl/>
        </w:rPr>
        <w:t>? תיקו.</w:t>
      </w:r>
      <w:r w:rsidRPr="00F501C4">
        <w:rPr>
          <w:rFonts w:cs="Arial"/>
          <w:sz w:val="16"/>
          <w:szCs w:val="16"/>
          <w:rtl/>
        </w:rPr>
        <w:t xml:space="preserve"> </w:t>
      </w:r>
      <w:r>
        <w:rPr>
          <w:rFonts w:cs="Arial" w:hint="cs"/>
          <w:sz w:val="16"/>
          <w:szCs w:val="16"/>
          <w:rtl/>
        </w:rPr>
        <w:t>(</w:t>
      </w:r>
      <w:r w:rsidRPr="00F501C4">
        <w:rPr>
          <w:rFonts w:cs="Arial"/>
          <w:sz w:val="16"/>
          <w:szCs w:val="16"/>
          <w:rtl/>
        </w:rPr>
        <w:t>בכל הני מיבעיא ולא איפשיטא</w:t>
      </w:r>
      <w:r w:rsidRPr="00F501C4">
        <w:rPr>
          <w:rFonts w:cs="Arial" w:hint="cs"/>
          <w:sz w:val="16"/>
          <w:szCs w:val="16"/>
          <w:rtl/>
        </w:rPr>
        <w:t>...</w:t>
      </w:r>
      <w:r w:rsidRPr="00F501C4">
        <w:rPr>
          <w:rFonts w:cs="Arial"/>
          <w:sz w:val="16"/>
          <w:szCs w:val="16"/>
          <w:rtl/>
        </w:rPr>
        <w:t xml:space="preserve"> וכתבו הפוסקים דכיון דספיקא דממונא הוא הוי קולא לנתבע ואין להם מזונות</w:t>
      </w:r>
      <w:r>
        <w:rPr>
          <w:rFonts w:cs="Arial" w:hint="cs"/>
          <w:sz w:val="16"/>
          <w:szCs w:val="16"/>
          <w:rtl/>
        </w:rPr>
        <w:t>, ב"י)</w:t>
      </w:r>
    </w:p>
    <w:p w14:paraId="797E4A13" w14:textId="120F7FF6" w:rsidR="00392DBB" w:rsidRPr="008B4B15" w:rsidRDefault="008B4B15" w:rsidP="00392DBB">
      <w:pPr>
        <w:rPr>
          <w:u w:val="single"/>
          <w:rtl/>
        </w:rPr>
      </w:pPr>
      <w:r w:rsidRPr="008B4B15">
        <w:rPr>
          <w:rFonts w:hint="cs"/>
          <w:u w:val="single"/>
          <w:rtl/>
        </w:rPr>
        <w:t>מזונות בתו מיבמתו/שניה/אנוסתו/ארוסתו</w:t>
      </w:r>
      <w:r w:rsidR="00392DBB" w:rsidRPr="008B4B15">
        <w:rPr>
          <w:rFonts w:hint="cs"/>
          <w:u w:val="single"/>
          <w:rtl/>
        </w:rPr>
        <w:t>:</w:t>
      </w:r>
    </w:p>
    <w:p w14:paraId="73C8C662" w14:textId="7A91BF76" w:rsidR="00392DBB" w:rsidRPr="00F501C4" w:rsidRDefault="00392DBB" w:rsidP="008B4B15">
      <w:pPr>
        <w:pStyle w:val="ab"/>
        <w:numPr>
          <w:ilvl w:val="0"/>
          <w:numId w:val="63"/>
        </w:numPr>
        <w:rPr>
          <w:rtl/>
        </w:rPr>
      </w:pPr>
      <w:r w:rsidRPr="00C44D14">
        <w:rPr>
          <w:rFonts w:cs="Arial"/>
          <w:rtl/>
        </w:rPr>
        <w:t xml:space="preserve">רמב"ם </w:t>
      </w:r>
      <w:r w:rsidRPr="00C44D14">
        <w:rPr>
          <w:rFonts w:cs="Arial" w:hint="cs"/>
          <w:sz w:val="16"/>
          <w:szCs w:val="16"/>
          <w:rtl/>
        </w:rPr>
        <w:t>(</w:t>
      </w:r>
      <w:r w:rsidRPr="00C44D14">
        <w:rPr>
          <w:rFonts w:cs="Arial"/>
          <w:sz w:val="16"/>
          <w:szCs w:val="16"/>
          <w:rtl/>
        </w:rPr>
        <w:t>פי"ט ה</w:t>
      </w:r>
      <w:r>
        <w:rPr>
          <w:rFonts w:cs="Arial" w:hint="cs"/>
          <w:sz w:val="16"/>
          <w:szCs w:val="16"/>
          <w:rtl/>
        </w:rPr>
        <w:t>י"ד</w:t>
      </w:r>
      <w:r w:rsidRPr="00B93D0C">
        <w:rPr>
          <w:rFonts w:cs="Arial"/>
          <w:sz w:val="16"/>
          <w:szCs w:val="16"/>
          <w:rtl/>
        </w:rPr>
        <w:t>)</w:t>
      </w:r>
      <w:r>
        <w:rPr>
          <w:rFonts w:cs="Arial" w:hint="cs"/>
          <w:rtl/>
        </w:rPr>
        <w:t xml:space="preserve"> וטור- </w:t>
      </w:r>
      <w:r w:rsidRPr="00B345A5">
        <w:rPr>
          <w:rFonts w:cs="Arial"/>
          <w:rtl/>
        </w:rPr>
        <w:t>בת יבמה</w:t>
      </w:r>
      <w:r>
        <w:rPr>
          <w:rFonts w:cs="Arial" w:hint="cs"/>
          <w:rtl/>
        </w:rPr>
        <w:t>,</w:t>
      </w:r>
      <w:r w:rsidRPr="00B345A5">
        <w:rPr>
          <w:rFonts w:cs="Arial"/>
          <w:rtl/>
        </w:rPr>
        <w:t xml:space="preserve"> כגון שיבם אשת אחיו וילדה לו בת</w:t>
      </w:r>
      <w:r>
        <w:rPr>
          <w:rFonts w:cs="Arial" w:hint="cs"/>
          <w:rtl/>
        </w:rPr>
        <w:t>,</w:t>
      </w:r>
      <w:r w:rsidRPr="00B345A5">
        <w:rPr>
          <w:rFonts w:cs="Arial"/>
          <w:rtl/>
        </w:rPr>
        <w:t xml:space="preserve"> אם אין </w:t>
      </w:r>
      <w:r w:rsidR="008B4B15">
        <w:rPr>
          <w:rFonts w:cs="Arial" w:hint="cs"/>
          <w:rtl/>
        </w:rPr>
        <w:t>[</w:t>
      </w:r>
      <w:r w:rsidRPr="00B345A5">
        <w:rPr>
          <w:rFonts w:cs="Arial"/>
          <w:rtl/>
        </w:rPr>
        <w:t>לאחי</w:t>
      </w:r>
      <w:r w:rsidR="008B4B15">
        <w:rPr>
          <w:rFonts w:cs="Arial" w:hint="cs"/>
          <w:rtl/>
        </w:rPr>
        <w:t>ו]</w:t>
      </w:r>
      <w:r w:rsidRPr="00B345A5">
        <w:rPr>
          <w:rFonts w:cs="Arial"/>
          <w:rtl/>
        </w:rPr>
        <w:t xml:space="preserve"> המת נכסים</w:t>
      </w:r>
      <w:r w:rsidR="00390DBD">
        <w:rPr>
          <w:rFonts w:cs="Arial" w:hint="cs"/>
          <w:rtl/>
        </w:rPr>
        <w:t>,</w:t>
      </w:r>
      <w:r w:rsidRPr="00B345A5">
        <w:rPr>
          <w:rFonts w:cs="Arial"/>
          <w:rtl/>
        </w:rPr>
        <w:t xml:space="preserve"> שאז חל עליו חיוב הכתובה וכל תנאיה </w:t>
      </w:r>
      <w:r>
        <w:rPr>
          <w:rFonts w:cs="Arial" w:hint="cs"/>
          <w:rtl/>
        </w:rPr>
        <w:t xml:space="preserve">- </w:t>
      </w:r>
      <w:r w:rsidRPr="00B345A5">
        <w:rPr>
          <w:rFonts w:cs="Arial"/>
          <w:rtl/>
        </w:rPr>
        <w:t>פשיטא שהבת ניזונת מנכסיו אחרי מותו</w:t>
      </w:r>
      <w:r>
        <w:rPr>
          <w:rFonts w:cs="Arial" w:hint="cs"/>
          <w:rtl/>
        </w:rPr>
        <w:t>.</w:t>
      </w:r>
      <w:r w:rsidRPr="00B345A5">
        <w:rPr>
          <w:rFonts w:cs="Arial"/>
          <w:rtl/>
        </w:rPr>
        <w:t xml:space="preserve"> אבל אם יש לאחיו נכסים</w:t>
      </w:r>
      <w:r>
        <w:rPr>
          <w:rFonts w:cs="Arial" w:hint="cs"/>
          <w:rtl/>
        </w:rPr>
        <w:t>,</w:t>
      </w:r>
      <w:r w:rsidRPr="00B345A5">
        <w:rPr>
          <w:rFonts w:cs="Arial"/>
          <w:rtl/>
        </w:rPr>
        <w:t xml:space="preserve"> שלא חל חיוב הכתובה על היבם</w:t>
      </w:r>
      <w:r>
        <w:rPr>
          <w:rFonts w:cs="Arial" w:hint="cs"/>
          <w:rtl/>
        </w:rPr>
        <w:t>,</w:t>
      </w:r>
      <w:r w:rsidRPr="00B345A5">
        <w:rPr>
          <w:rFonts w:cs="Arial"/>
          <w:rtl/>
        </w:rPr>
        <w:t xml:space="preserve"> מיבעיא אם הבת ניזונת מנכסי היבם</w:t>
      </w:r>
      <w:r>
        <w:rPr>
          <w:rFonts w:cs="Arial" w:hint="cs"/>
          <w:rtl/>
        </w:rPr>
        <w:t>.</w:t>
      </w:r>
      <w:r w:rsidRPr="00B345A5">
        <w:rPr>
          <w:rFonts w:cs="Arial"/>
          <w:rtl/>
        </w:rPr>
        <w:t xml:space="preserve"> וכן מיבעיא בנושא שנייה וילדה לו בת</w:t>
      </w:r>
      <w:r>
        <w:rPr>
          <w:rFonts w:cs="Arial" w:hint="cs"/>
          <w:rtl/>
        </w:rPr>
        <w:t>,</w:t>
      </w:r>
      <w:r w:rsidRPr="00B345A5">
        <w:rPr>
          <w:rFonts w:cs="Arial"/>
          <w:rtl/>
        </w:rPr>
        <w:t xml:space="preserve"> ובאנס נערה ונשאה אחר כך וילדה לו בת</w:t>
      </w:r>
      <w:r>
        <w:rPr>
          <w:rFonts w:cs="Arial" w:hint="cs"/>
          <w:rtl/>
        </w:rPr>
        <w:t>,</w:t>
      </w:r>
      <w:r w:rsidRPr="00B345A5">
        <w:rPr>
          <w:rFonts w:cs="Arial"/>
          <w:rtl/>
        </w:rPr>
        <w:t xml:space="preserve"> ובבת ארוסתו שבא על ארוסתו וילדה לו בת ואחר כך נשאה</w:t>
      </w:r>
      <w:r>
        <w:rPr>
          <w:rFonts w:cs="Arial" w:hint="cs"/>
          <w:rtl/>
        </w:rPr>
        <w:t xml:space="preserve"> -</w:t>
      </w:r>
      <w:r w:rsidRPr="00B345A5">
        <w:rPr>
          <w:rFonts w:cs="Arial"/>
          <w:rtl/>
        </w:rPr>
        <w:t xml:space="preserve"> בכל הנך מיבעיא ולא איפשיטא ואין להן מזונות</w:t>
      </w:r>
      <w:r w:rsidR="008B4B15">
        <w:rPr>
          <w:rStyle w:val="a7"/>
          <w:rFonts w:cs="Arial"/>
          <w:rtl/>
        </w:rPr>
        <w:footnoteReference w:id="2536"/>
      </w:r>
      <w:r>
        <w:rPr>
          <w:rFonts w:cs="Arial" w:hint="cs"/>
          <w:rtl/>
        </w:rPr>
        <w:t>.</w:t>
      </w:r>
      <w:r w:rsidRPr="00B345A5">
        <w:rPr>
          <w:rFonts w:cs="Arial"/>
          <w:rtl/>
        </w:rPr>
        <w:t xml:space="preserve"> בד"א</w:t>
      </w:r>
      <w:r>
        <w:rPr>
          <w:rStyle w:val="a7"/>
          <w:rFonts w:cs="Arial"/>
          <w:rtl/>
        </w:rPr>
        <w:footnoteReference w:id="2537"/>
      </w:r>
      <w:r w:rsidRPr="00B345A5">
        <w:rPr>
          <w:rFonts w:cs="Arial"/>
          <w:rtl/>
        </w:rPr>
        <w:t xml:space="preserve"> אחרי מותו</w:t>
      </w:r>
      <w:r>
        <w:rPr>
          <w:rFonts w:cs="Arial" w:hint="cs"/>
          <w:rtl/>
        </w:rPr>
        <w:t>,</w:t>
      </w:r>
      <w:r w:rsidRPr="00B345A5">
        <w:rPr>
          <w:rFonts w:cs="Arial"/>
          <w:rtl/>
        </w:rPr>
        <w:t xml:space="preserve"> אבל בחייו חייב לזונם מתקנת אושא עד ששה שנים</w:t>
      </w:r>
      <w:r>
        <w:rPr>
          <w:rFonts w:cs="Arial" w:hint="cs"/>
          <w:sz w:val="16"/>
          <w:szCs w:val="16"/>
          <w:rtl/>
        </w:rPr>
        <w:t xml:space="preserve"> (ל' הטור)</w:t>
      </w:r>
      <w:r>
        <w:rPr>
          <w:rFonts w:cs="Arial" w:hint="cs"/>
          <w:rtl/>
        </w:rPr>
        <w:t>.</w:t>
      </w:r>
      <w:r w:rsidRPr="00A50850">
        <w:rPr>
          <w:rFonts w:hint="cs"/>
          <w:color w:val="E36C0A" w:themeColor="accent6" w:themeShade="BF"/>
          <w:rtl/>
        </w:rPr>
        <w:t xml:space="preserve"> (וכ"פ בשו"ע)</w:t>
      </w:r>
    </w:p>
    <w:p w14:paraId="786FA2D2"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DC650FE" w14:textId="77777777" w:rsidR="00392DBB" w:rsidRDefault="00392DBB" w:rsidP="00392DBB">
      <w:pPr>
        <w:rPr>
          <w:rFonts w:cs="Arial"/>
          <w:rtl/>
        </w:rPr>
      </w:pPr>
      <w:r w:rsidRPr="00523CDE">
        <w:rPr>
          <w:rFonts w:cs="Arial"/>
          <w:rtl/>
        </w:rPr>
        <w:lastRenderedPageBreak/>
        <w:t>יבם אשת אחיו וילדה לו בת, אם לא היה לאחיו נכסים, הבת נזונת מנכסי אביה. אבל אם היו לאחיו נכסים</w:t>
      </w:r>
      <w:r>
        <w:rPr>
          <w:rStyle w:val="a7"/>
          <w:rFonts w:cs="Arial"/>
          <w:rtl/>
        </w:rPr>
        <w:footnoteReference w:id="2538"/>
      </w:r>
      <w:r w:rsidRPr="00523CDE">
        <w:rPr>
          <w:rFonts w:cs="Arial"/>
          <w:rtl/>
        </w:rPr>
        <w:t>, וכן בת שנייה</w:t>
      </w:r>
      <w:r>
        <w:rPr>
          <w:rFonts w:cs="Arial" w:hint="cs"/>
          <w:rtl/>
        </w:rPr>
        <w:t>,</w:t>
      </w:r>
      <w:r w:rsidRPr="00523CDE">
        <w:rPr>
          <w:rFonts w:cs="Arial"/>
          <w:rtl/>
        </w:rPr>
        <w:t xml:space="preserve"> וכן בת</w:t>
      </w:r>
      <w:r>
        <w:rPr>
          <w:rStyle w:val="a7"/>
          <w:rFonts w:cs="Arial"/>
          <w:rtl/>
        </w:rPr>
        <w:footnoteReference w:id="2539"/>
      </w:r>
      <w:r w:rsidRPr="00523CDE">
        <w:rPr>
          <w:rFonts w:cs="Arial"/>
          <w:rtl/>
        </w:rPr>
        <w:t xml:space="preserve"> אנוסתו אפילו נולדו לו אחר שנשאה, וכן בת ארוסתו שנולדה לו בעודה ארוסה</w:t>
      </w:r>
      <w:r>
        <w:rPr>
          <w:rStyle w:val="a7"/>
          <w:rFonts w:cs="Arial"/>
          <w:rtl/>
        </w:rPr>
        <w:footnoteReference w:id="2540"/>
      </w:r>
      <w:r w:rsidRPr="00523CDE">
        <w:rPr>
          <w:rFonts w:cs="Arial"/>
          <w:rtl/>
        </w:rPr>
        <w:t xml:space="preserve"> ואחר כך נשא</w:t>
      </w:r>
      <w:r>
        <w:rPr>
          <w:rFonts w:cs="Arial" w:hint="cs"/>
          <w:rtl/>
        </w:rPr>
        <w:t>ה</w:t>
      </w:r>
      <w:r>
        <w:rPr>
          <w:rStyle w:val="a7"/>
          <w:rFonts w:cs="Arial"/>
          <w:rtl/>
        </w:rPr>
        <w:footnoteReference w:id="2541"/>
      </w:r>
      <w:r w:rsidRPr="00523CDE">
        <w:rPr>
          <w:rFonts w:cs="Arial"/>
          <w:rtl/>
        </w:rPr>
        <w:t>, אין להן מזונות</w:t>
      </w:r>
      <w:r>
        <w:rPr>
          <w:rStyle w:val="a7"/>
          <w:rFonts w:cs="Arial"/>
          <w:rtl/>
        </w:rPr>
        <w:footnoteReference w:id="2542"/>
      </w:r>
      <w:r w:rsidRPr="00523CDE">
        <w:rPr>
          <w:rFonts w:cs="Arial"/>
          <w:rtl/>
        </w:rPr>
        <w:t xml:space="preserve"> אחר מיתת אביהן</w:t>
      </w:r>
      <w:r>
        <w:rPr>
          <w:rFonts w:cs="Arial" w:hint="cs"/>
          <w:rtl/>
        </w:rPr>
        <w:t>.</w:t>
      </w:r>
      <w:r w:rsidRPr="00523CDE">
        <w:rPr>
          <w:rFonts w:cs="Arial"/>
          <w:rtl/>
        </w:rPr>
        <w:t xml:space="preserve"> אבל בחייו הוא חייב במזונותן</w:t>
      </w:r>
      <w:r>
        <w:rPr>
          <w:rStyle w:val="a7"/>
          <w:rFonts w:cs="Arial"/>
          <w:rtl/>
        </w:rPr>
        <w:footnoteReference w:id="2543"/>
      </w:r>
      <w:r w:rsidRPr="00523CDE">
        <w:rPr>
          <w:rFonts w:cs="Arial"/>
          <w:rtl/>
        </w:rPr>
        <w:t xml:space="preserve"> כדין שאר הבנים והבנות בחיי אביהן. </w:t>
      </w:r>
    </w:p>
    <w:p w14:paraId="6C1E001B" w14:textId="77777777" w:rsidR="00392DBB" w:rsidRPr="00523CDE" w:rsidRDefault="00392DBB" w:rsidP="00392DBB">
      <w:pPr>
        <w:rPr>
          <w:rFonts w:cs="Arial"/>
          <w:rtl/>
        </w:rPr>
      </w:pPr>
      <w:r>
        <w:rPr>
          <w:rFonts w:cs="Arial" w:hint="cs"/>
          <w:rtl/>
        </w:rPr>
        <w:t xml:space="preserve"> </w:t>
      </w:r>
    </w:p>
    <w:p w14:paraId="55F6F1EF" w14:textId="77777777" w:rsidR="00392DBB" w:rsidRDefault="00392DBB" w:rsidP="000F64D0">
      <w:pPr>
        <w:pStyle w:val="2"/>
        <w:rPr>
          <w:rtl/>
        </w:rPr>
      </w:pPr>
      <w:r w:rsidRPr="00523CDE">
        <w:rPr>
          <w:rtl/>
        </w:rPr>
        <w:t>סעיף ו</w:t>
      </w:r>
      <w:r>
        <w:rPr>
          <w:rFonts w:hint="cs"/>
          <w:rtl/>
        </w:rPr>
        <w:t>: פסיקת מזונות כסות ומדור לבת, ומכירה.</w:t>
      </w:r>
    </w:p>
    <w:p w14:paraId="7DAC4DD7" w14:textId="77777777" w:rsidR="00392DBB" w:rsidRDefault="00392DBB" w:rsidP="00392DBB">
      <w:pPr>
        <w:rPr>
          <w:rtl/>
        </w:rPr>
      </w:pPr>
      <w:r w:rsidRPr="00E02518">
        <w:rPr>
          <w:rFonts w:cs="Arial" w:hint="cs"/>
          <w:b/>
          <w:bCs/>
          <w:rtl/>
        </w:rPr>
        <w:t>ירושלמי כתובות פי"ב ה"א:</w:t>
      </w:r>
      <w:r>
        <w:rPr>
          <w:rFonts w:cs="Arial" w:hint="cs"/>
          <w:rtl/>
        </w:rPr>
        <w:t xml:space="preserve"> </w:t>
      </w:r>
      <w:r w:rsidRPr="00075FF9">
        <w:rPr>
          <w:rFonts w:cs="Arial"/>
          <w:rtl/>
        </w:rPr>
        <w:t>הדא היא הבת לא עולה ולא יורדת</w:t>
      </w:r>
      <w:r>
        <w:rPr>
          <w:rFonts w:cs="Arial" w:hint="cs"/>
          <w:rtl/>
        </w:rPr>
        <w:t>.</w:t>
      </w:r>
      <w:r w:rsidRPr="00075FF9">
        <w:rPr>
          <w:rFonts w:cs="Arial"/>
          <w:rtl/>
        </w:rPr>
        <w:t xml:space="preserve"> </w:t>
      </w:r>
      <w:r w:rsidRPr="00E02518">
        <w:rPr>
          <w:rFonts w:cs="Arial"/>
          <w:rtl/>
        </w:rPr>
        <w:t>תמן תנינן</w:t>
      </w:r>
      <w:r>
        <w:rPr>
          <w:rFonts w:cs="Arial" w:hint="cs"/>
          <w:rtl/>
        </w:rPr>
        <w:t>:</w:t>
      </w:r>
      <w:r w:rsidRPr="00E02518">
        <w:rPr>
          <w:rFonts w:cs="Arial"/>
          <w:rtl/>
        </w:rPr>
        <w:t xml:space="preserve"> בנן נוקבן דיהוון ליכי מינאי יהון יתבן בביתי</w:t>
      </w:r>
      <w:r>
        <w:rPr>
          <w:rFonts w:cs="Arial" w:hint="cs"/>
          <w:rtl/>
        </w:rPr>
        <w:t>,</w:t>
      </w:r>
      <w:r w:rsidRPr="00E02518">
        <w:rPr>
          <w:rFonts w:cs="Arial"/>
          <w:rtl/>
        </w:rPr>
        <w:t xml:space="preserve"> ומיתזנן מניכסיי</w:t>
      </w:r>
      <w:r>
        <w:rPr>
          <w:rFonts w:cs="Arial" w:hint="cs"/>
          <w:rtl/>
        </w:rPr>
        <w:t>.</w:t>
      </w:r>
      <w:r w:rsidRPr="00E02518">
        <w:rPr>
          <w:rFonts w:cs="Arial"/>
          <w:rtl/>
        </w:rPr>
        <w:t xml:space="preserve"> ותני עלה</w:t>
      </w:r>
      <w:r>
        <w:rPr>
          <w:rFonts w:cs="Arial" w:hint="cs"/>
          <w:rtl/>
        </w:rPr>
        <w:t>:</w:t>
      </w:r>
      <w:r w:rsidRPr="00E02518">
        <w:rPr>
          <w:rFonts w:cs="Arial"/>
          <w:rtl/>
        </w:rPr>
        <w:t xml:space="preserve"> ומתכסיין בכסותי</w:t>
      </w:r>
      <w:r>
        <w:rPr>
          <w:rFonts w:hint="cs"/>
          <w:rtl/>
        </w:rPr>
        <w:t>.</w:t>
      </w:r>
      <w:r w:rsidRPr="009D583D">
        <w:rPr>
          <w:rFonts w:cs="Arial" w:hint="cs"/>
          <w:rtl/>
        </w:rPr>
        <w:t xml:space="preserve"> </w:t>
      </w:r>
      <w:r w:rsidRPr="009D583D">
        <w:rPr>
          <w:rFonts w:cs="Arial" w:hint="cs"/>
          <w:sz w:val="16"/>
          <w:szCs w:val="16"/>
          <w:rtl/>
        </w:rPr>
        <w:t>(וכ"כ ה</w:t>
      </w:r>
      <w:r w:rsidRPr="009D583D">
        <w:rPr>
          <w:rFonts w:cs="Arial"/>
          <w:sz w:val="16"/>
          <w:szCs w:val="16"/>
          <w:rtl/>
        </w:rPr>
        <w:t>נמוק</w:t>
      </w:r>
      <w:r w:rsidRPr="009D583D">
        <w:rPr>
          <w:rFonts w:cs="Arial" w:hint="cs"/>
          <w:sz w:val="16"/>
          <w:szCs w:val="16"/>
          <w:rtl/>
        </w:rPr>
        <w:t>"</w:t>
      </w:r>
      <w:r w:rsidRPr="009D583D">
        <w:rPr>
          <w:rFonts w:cs="Arial"/>
          <w:sz w:val="16"/>
          <w:szCs w:val="16"/>
          <w:rtl/>
        </w:rPr>
        <w:t>י (סה. ד"ה גמ') בשם הריטב"א (קלט: ד"ה כל)</w:t>
      </w:r>
      <w:r w:rsidRPr="009D583D">
        <w:rPr>
          <w:rFonts w:cs="Arial" w:hint="cs"/>
          <w:sz w:val="16"/>
          <w:szCs w:val="16"/>
          <w:rtl/>
        </w:rPr>
        <w:t xml:space="preserve"> </w:t>
      </w:r>
      <w:r>
        <w:rPr>
          <w:rFonts w:cs="Arial" w:hint="cs"/>
          <w:sz w:val="16"/>
          <w:szCs w:val="16"/>
          <w:rtl/>
        </w:rPr>
        <w:t>ש</w:t>
      </w:r>
      <w:r w:rsidRPr="009D583D">
        <w:rPr>
          <w:rFonts w:cs="Arial"/>
          <w:sz w:val="16"/>
          <w:szCs w:val="16"/>
          <w:rtl/>
        </w:rPr>
        <w:t>בכלל מזונות הוי כסות ומלבוש שכן תנאי מזון האשה והבנות</w:t>
      </w:r>
      <w:r>
        <w:rPr>
          <w:rFonts w:cs="Arial" w:hint="cs"/>
          <w:sz w:val="16"/>
          <w:szCs w:val="16"/>
          <w:rtl/>
        </w:rPr>
        <w:t>, ב"י)</w:t>
      </w:r>
    </w:p>
    <w:p w14:paraId="56332026" w14:textId="77777777" w:rsidR="00392DBB" w:rsidRDefault="00392DBB" w:rsidP="00392DBB">
      <w:pPr>
        <w:rPr>
          <w:rtl/>
        </w:rPr>
      </w:pPr>
      <w:r w:rsidRPr="009E3B5F">
        <w:rPr>
          <w:rFonts w:hint="cs"/>
          <w:b/>
          <w:bCs/>
          <w:rtl/>
        </w:rPr>
        <w:t xml:space="preserve">כתובות </w:t>
      </w:r>
      <w:r w:rsidRPr="009E3B5F">
        <w:rPr>
          <w:rFonts w:hint="cs"/>
          <w:b/>
          <w:bCs/>
          <w:sz w:val="16"/>
          <w:szCs w:val="16"/>
          <w:rtl/>
        </w:rPr>
        <w:t xml:space="preserve">(פ' </w:t>
      </w:r>
      <w:r>
        <w:rPr>
          <w:rFonts w:hint="cs"/>
          <w:b/>
          <w:bCs/>
          <w:sz w:val="16"/>
          <w:szCs w:val="16"/>
          <w:rtl/>
        </w:rPr>
        <w:t>אע"פ</w:t>
      </w:r>
      <w:r w:rsidRPr="009E3B5F">
        <w:rPr>
          <w:rFonts w:hint="cs"/>
          <w:b/>
          <w:bCs/>
          <w:sz w:val="16"/>
          <w:szCs w:val="16"/>
          <w:rtl/>
        </w:rPr>
        <w:t xml:space="preserve">) </w:t>
      </w:r>
      <w:r>
        <w:rPr>
          <w:rFonts w:hint="cs"/>
          <w:b/>
          <w:bCs/>
          <w:rtl/>
        </w:rPr>
        <w:t>סה</w:t>
      </w:r>
      <w:r w:rsidRPr="009E3B5F">
        <w:rPr>
          <w:rFonts w:hint="cs"/>
          <w:b/>
          <w:bCs/>
          <w:rtl/>
        </w:rPr>
        <w:t xml:space="preserve"> ע"</w:t>
      </w:r>
      <w:r>
        <w:rPr>
          <w:rFonts w:hint="cs"/>
          <w:b/>
          <w:bCs/>
          <w:rtl/>
        </w:rPr>
        <w:t>א</w:t>
      </w:r>
      <w:r w:rsidRPr="009E3B5F">
        <w:rPr>
          <w:rFonts w:hint="cs"/>
          <w:b/>
          <w:bCs/>
          <w:rtl/>
        </w:rPr>
        <w:t>:</w:t>
      </w:r>
      <w:r w:rsidRPr="004C0F3E">
        <w:rPr>
          <w:rtl/>
        </w:rPr>
        <w:t xml:space="preserve"> </w:t>
      </w:r>
      <w:r w:rsidRPr="004C0F3E">
        <w:rPr>
          <w:rFonts w:cs="Arial"/>
          <w:rtl/>
        </w:rPr>
        <w:t>דביתהו דרב יוסף בריה דרב מנשיא מדויל אתאי לקמיה דרב יוסף, א"ל: פסוק לי מזוני, פסק לה. פסוק לי חמרא, פסק לה. פסוק לי שיראי, אמר לה: שיראי למה? אמרה ליה: לך ולחברך ולחברורך</w:t>
      </w:r>
      <w:r>
        <w:rPr>
          <w:rStyle w:val="a7"/>
          <w:rFonts w:cs="Arial"/>
          <w:rtl/>
        </w:rPr>
        <w:footnoteReference w:id="2544"/>
      </w:r>
      <w:r w:rsidRPr="004C0F3E">
        <w:rPr>
          <w:rFonts w:cs="Arial"/>
          <w:rtl/>
        </w:rPr>
        <w:t>.</w:t>
      </w:r>
    </w:p>
    <w:p w14:paraId="02653324" w14:textId="5629DAA0" w:rsidR="00392DBB" w:rsidRPr="000454C9" w:rsidRDefault="00392DBB" w:rsidP="00392DBB">
      <w:pPr>
        <w:rPr>
          <w:rtl/>
        </w:rPr>
      </w:pPr>
      <w:r w:rsidRPr="009E3B5F">
        <w:rPr>
          <w:rFonts w:hint="cs"/>
          <w:b/>
          <w:bCs/>
          <w:rtl/>
        </w:rPr>
        <w:t xml:space="preserve">כתובות </w:t>
      </w:r>
      <w:r w:rsidRPr="009E3B5F">
        <w:rPr>
          <w:rFonts w:hint="cs"/>
          <w:b/>
          <w:bCs/>
          <w:sz w:val="16"/>
          <w:szCs w:val="16"/>
          <w:rtl/>
        </w:rPr>
        <w:t xml:space="preserve">(פ' </w:t>
      </w:r>
      <w:r>
        <w:rPr>
          <w:rFonts w:hint="cs"/>
          <w:b/>
          <w:bCs/>
          <w:sz w:val="16"/>
          <w:szCs w:val="16"/>
          <w:rtl/>
        </w:rPr>
        <w:t>מציאת האשה</w:t>
      </w:r>
      <w:r w:rsidRPr="009E3B5F">
        <w:rPr>
          <w:rFonts w:hint="cs"/>
          <w:b/>
          <w:bCs/>
          <w:sz w:val="16"/>
          <w:szCs w:val="16"/>
          <w:rtl/>
        </w:rPr>
        <w:t xml:space="preserve">) </w:t>
      </w:r>
      <w:r>
        <w:rPr>
          <w:rFonts w:hint="cs"/>
          <w:b/>
          <w:bCs/>
          <w:rtl/>
        </w:rPr>
        <w:t>סח</w:t>
      </w:r>
      <w:r w:rsidRPr="009E3B5F">
        <w:rPr>
          <w:rFonts w:hint="cs"/>
          <w:b/>
          <w:bCs/>
          <w:rtl/>
        </w:rPr>
        <w:t xml:space="preserve"> ע"</w:t>
      </w:r>
      <w:r>
        <w:rPr>
          <w:rFonts w:hint="cs"/>
          <w:b/>
          <w:bCs/>
          <w:rtl/>
        </w:rPr>
        <w:t>א</w:t>
      </w:r>
      <w:r w:rsidRPr="009E3B5F">
        <w:rPr>
          <w:rFonts w:hint="cs"/>
          <w:b/>
          <w:bCs/>
          <w:rtl/>
        </w:rPr>
        <w:t>:</w:t>
      </w:r>
      <w:r>
        <w:rPr>
          <w:rFonts w:cs="Arial" w:hint="cs"/>
          <w:rtl/>
        </w:rPr>
        <w:t xml:space="preserve"> </w:t>
      </w:r>
      <w:r w:rsidRPr="000454C9">
        <w:rPr>
          <w:rFonts w:cs="Arial"/>
          <w:rtl/>
        </w:rPr>
        <w:t>מתיבי: הבנות ניזונות ומתפרנסות מנכסי אביהן</w:t>
      </w:r>
      <w:r>
        <w:rPr>
          <w:rFonts w:cs="Arial" w:hint="cs"/>
          <w:rtl/>
        </w:rPr>
        <w:t>.</w:t>
      </w:r>
      <w:r w:rsidRPr="000454C9">
        <w:rPr>
          <w:rFonts w:cs="Arial"/>
          <w:rtl/>
        </w:rPr>
        <w:t xml:space="preserve"> כיצד? אין אומרים אילו אביה קיים כך וכך היה נותן לה, אלא שמין את הנכסים ונותנין לה</w:t>
      </w:r>
      <w:r>
        <w:rPr>
          <w:rFonts w:hint="cs"/>
          <w:rtl/>
        </w:rPr>
        <w:t>.</w:t>
      </w:r>
      <w:r w:rsidRPr="000454C9">
        <w:rPr>
          <w:rFonts w:cs="Arial"/>
          <w:sz w:val="16"/>
          <w:szCs w:val="16"/>
          <w:rtl/>
        </w:rPr>
        <w:t xml:space="preserve"> </w:t>
      </w:r>
      <w:r>
        <w:rPr>
          <w:rFonts w:cs="Arial" w:hint="cs"/>
          <w:sz w:val="16"/>
          <w:szCs w:val="16"/>
          <w:rtl/>
        </w:rPr>
        <w:t>(</w:t>
      </w:r>
      <w:r w:rsidRPr="000454C9">
        <w:rPr>
          <w:rFonts w:cs="Arial"/>
          <w:sz w:val="16"/>
          <w:szCs w:val="16"/>
          <w:rtl/>
        </w:rPr>
        <w:t>ונר</w:t>
      </w:r>
      <w:r w:rsidRPr="000454C9">
        <w:rPr>
          <w:rFonts w:cs="Arial" w:hint="cs"/>
          <w:sz w:val="16"/>
          <w:szCs w:val="16"/>
          <w:rtl/>
        </w:rPr>
        <w:t>אה</w:t>
      </w:r>
      <w:r w:rsidRPr="000454C9">
        <w:rPr>
          <w:rFonts w:cs="Arial"/>
          <w:sz w:val="16"/>
          <w:szCs w:val="16"/>
          <w:rtl/>
        </w:rPr>
        <w:t xml:space="preserve"> דמכאן ג"כ למד הרמב"ם מה שכתב </w:t>
      </w:r>
      <w:r w:rsidR="008E5064">
        <w:rPr>
          <w:rFonts w:cs="Arial" w:hint="cs"/>
          <w:sz w:val="16"/>
          <w:szCs w:val="16"/>
          <w:rtl/>
        </w:rPr>
        <w:t>"</w:t>
      </w:r>
      <w:r w:rsidRPr="000454C9">
        <w:rPr>
          <w:rFonts w:cs="Arial"/>
          <w:sz w:val="16"/>
          <w:szCs w:val="16"/>
          <w:rtl/>
        </w:rPr>
        <w:t>אלא שהאשה פוסקין לה לפי כבודה ולבת פוסקין לה דבר המספיק לה בלבד</w:t>
      </w:r>
      <w:r w:rsidR="008E5064">
        <w:rPr>
          <w:rFonts w:cs="Arial" w:hint="cs"/>
          <w:sz w:val="16"/>
          <w:szCs w:val="16"/>
          <w:rtl/>
        </w:rPr>
        <w:t>"</w:t>
      </w:r>
      <w:r>
        <w:rPr>
          <w:rFonts w:cs="Arial" w:hint="cs"/>
          <w:sz w:val="16"/>
          <w:szCs w:val="16"/>
          <w:rtl/>
        </w:rPr>
        <w:t>, ב"י)</w:t>
      </w:r>
    </w:p>
    <w:p w14:paraId="7F679DAD" w14:textId="77777777" w:rsidR="00392DBB" w:rsidRDefault="00392DBB" w:rsidP="00392DBB">
      <w:pPr>
        <w:rPr>
          <w:rtl/>
        </w:rPr>
      </w:pPr>
      <w:r w:rsidRPr="009E3B5F">
        <w:rPr>
          <w:rFonts w:hint="cs"/>
          <w:b/>
          <w:bCs/>
          <w:rtl/>
        </w:rPr>
        <w:t xml:space="preserve">כתובות </w:t>
      </w:r>
      <w:r w:rsidRPr="009E3B5F">
        <w:rPr>
          <w:rFonts w:hint="cs"/>
          <w:b/>
          <w:bCs/>
          <w:sz w:val="16"/>
          <w:szCs w:val="16"/>
          <w:rtl/>
        </w:rPr>
        <w:t xml:space="preserve">(פ' אלמנה נזונת) </w:t>
      </w:r>
      <w:r>
        <w:rPr>
          <w:rFonts w:hint="cs"/>
          <w:b/>
          <w:bCs/>
          <w:rtl/>
        </w:rPr>
        <w:t>ק</w:t>
      </w:r>
      <w:r>
        <w:rPr>
          <w:rStyle w:val="a7"/>
          <w:b/>
          <w:bCs/>
          <w:rtl/>
        </w:rPr>
        <w:footnoteReference w:id="2545"/>
      </w:r>
      <w:r w:rsidRPr="009E3B5F">
        <w:rPr>
          <w:rFonts w:hint="cs"/>
          <w:b/>
          <w:bCs/>
          <w:rtl/>
        </w:rPr>
        <w:t xml:space="preserve"> ע"</w:t>
      </w:r>
      <w:r>
        <w:rPr>
          <w:rFonts w:hint="cs"/>
          <w:b/>
          <w:bCs/>
          <w:rtl/>
        </w:rPr>
        <w:t>ב</w:t>
      </w:r>
      <w:r w:rsidRPr="009E3B5F">
        <w:rPr>
          <w:rFonts w:hint="cs"/>
          <w:b/>
          <w:bCs/>
          <w:rtl/>
        </w:rPr>
        <w:t xml:space="preserve">: </w:t>
      </w:r>
      <w:r w:rsidRPr="00075FF9">
        <w:rPr>
          <w:rFonts w:cs="Arial"/>
          <w:u w:val="single"/>
          <w:rtl/>
        </w:rPr>
        <w:t>דאמרי נהרדעי</w:t>
      </w:r>
      <w:r w:rsidRPr="00744AD3">
        <w:rPr>
          <w:rFonts w:cs="Arial"/>
          <w:rtl/>
        </w:rPr>
        <w:t>: לכרגא, למזוני, ולקבורה - מזבנינן בלא אכרזתא.</w:t>
      </w:r>
    </w:p>
    <w:p w14:paraId="4518FF7E" w14:textId="07200ECC" w:rsidR="00392DBB" w:rsidRDefault="00392DBB" w:rsidP="00392DBB">
      <w:pPr>
        <w:rPr>
          <w:sz w:val="16"/>
          <w:szCs w:val="16"/>
          <w:rtl/>
        </w:rPr>
      </w:pPr>
      <w:r w:rsidRPr="009E3B5F">
        <w:rPr>
          <w:rFonts w:hint="cs"/>
          <w:b/>
          <w:bCs/>
          <w:rtl/>
        </w:rPr>
        <w:t xml:space="preserve">כתובות </w:t>
      </w:r>
      <w:r w:rsidRPr="009E3B5F">
        <w:rPr>
          <w:rFonts w:hint="cs"/>
          <w:b/>
          <w:bCs/>
          <w:sz w:val="16"/>
          <w:szCs w:val="16"/>
          <w:rtl/>
        </w:rPr>
        <w:t xml:space="preserve">(פ' </w:t>
      </w:r>
      <w:r>
        <w:rPr>
          <w:rFonts w:hint="cs"/>
          <w:b/>
          <w:bCs/>
          <w:sz w:val="16"/>
          <w:szCs w:val="16"/>
          <w:rtl/>
        </w:rPr>
        <w:t>מציאת האשה</w:t>
      </w:r>
      <w:r w:rsidRPr="009E3B5F">
        <w:rPr>
          <w:rFonts w:hint="cs"/>
          <w:b/>
          <w:bCs/>
          <w:sz w:val="16"/>
          <w:szCs w:val="16"/>
          <w:rtl/>
        </w:rPr>
        <w:t xml:space="preserve">) </w:t>
      </w:r>
      <w:r>
        <w:rPr>
          <w:rFonts w:hint="cs"/>
          <w:b/>
          <w:bCs/>
          <w:rtl/>
        </w:rPr>
        <w:t>סט</w:t>
      </w:r>
      <w:r w:rsidRPr="009E3B5F">
        <w:rPr>
          <w:rFonts w:hint="cs"/>
          <w:b/>
          <w:bCs/>
          <w:rtl/>
        </w:rPr>
        <w:t xml:space="preserve"> ע"</w:t>
      </w:r>
      <w:r>
        <w:rPr>
          <w:rFonts w:hint="cs"/>
          <w:b/>
          <w:bCs/>
          <w:rtl/>
        </w:rPr>
        <w:t>א</w:t>
      </w:r>
      <w:r w:rsidRPr="009E3B5F">
        <w:rPr>
          <w:rFonts w:hint="cs"/>
          <w:b/>
          <w:bCs/>
          <w:rtl/>
        </w:rPr>
        <w:t>:</w:t>
      </w:r>
      <w:r>
        <w:rPr>
          <w:rFonts w:cs="Arial" w:hint="cs"/>
          <w:rtl/>
        </w:rPr>
        <w:t xml:space="preserve"> </w:t>
      </w:r>
      <w:r w:rsidRPr="000454C9">
        <w:rPr>
          <w:rFonts w:cs="Arial"/>
          <w:u w:val="single"/>
          <w:rtl/>
        </w:rPr>
        <w:t>אמר אמימר</w:t>
      </w:r>
      <w:r w:rsidRPr="000454C9">
        <w:rPr>
          <w:rFonts w:cs="Arial"/>
          <w:rtl/>
        </w:rPr>
        <w:t>: בת - יורשת הויא.</w:t>
      </w:r>
      <w:r>
        <w:rPr>
          <w:rFonts w:cs="Arial" w:hint="cs"/>
          <w:rtl/>
        </w:rPr>
        <w:t>..</w:t>
      </w:r>
      <w:r w:rsidRPr="000454C9">
        <w:rPr>
          <w:rFonts w:cs="Arial"/>
          <w:rtl/>
        </w:rPr>
        <w:t xml:space="preserve"> </w:t>
      </w:r>
      <w:r w:rsidRPr="000454C9">
        <w:rPr>
          <w:rFonts w:cs="Arial"/>
          <w:u w:val="single"/>
          <w:rtl/>
        </w:rPr>
        <w:t>רב אשי אמר</w:t>
      </w:r>
      <w:r w:rsidRPr="000454C9">
        <w:rPr>
          <w:rFonts w:cs="Arial"/>
          <w:rtl/>
        </w:rPr>
        <w:t>: בת - בעלת חוב הויא</w:t>
      </w:r>
      <w:r w:rsidR="006A04B7">
        <w:rPr>
          <w:rStyle w:val="a7"/>
          <w:rFonts w:cs="Arial"/>
          <w:rtl/>
        </w:rPr>
        <w:footnoteReference w:id="2546"/>
      </w:r>
      <w:r w:rsidRPr="000454C9">
        <w:rPr>
          <w:rFonts w:cs="Arial"/>
          <w:rtl/>
        </w:rPr>
        <w:t>. ואף אמימר הדר ביה</w:t>
      </w:r>
      <w:r>
        <w:rPr>
          <w:rFonts w:cs="Arial" w:hint="cs"/>
          <w:rtl/>
        </w:rPr>
        <w:t>..</w:t>
      </w:r>
      <w:r w:rsidRPr="000454C9">
        <w:rPr>
          <w:rFonts w:cs="Arial"/>
          <w:rtl/>
        </w:rPr>
        <w:t>. והשתא דאמרת: בעלת חוב הויא, דאבא או דאחי? למאי נפקא מינה? למיגבא לבינונית שלא בשבועה</w:t>
      </w:r>
      <w:r w:rsidR="006A04B7">
        <w:rPr>
          <w:rStyle w:val="a7"/>
          <w:rFonts w:cs="Arial"/>
          <w:rtl/>
        </w:rPr>
        <w:footnoteReference w:id="2547"/>
      </w:r>
      <w:r w:rsidRPr="000454C9">
        <w:rPr>
          <w:rFonts w:cs="Arial"/>
          <w:rtl/>
        </w:rPr>
        <w:t xml:space="preserve"> וזיבורית בשבועה, מאי? תא שמע: דרבינא אגביה לברתיה דרב אשי</w:t>
      </w:r>
      <w:r w:rsidR="006A04B7">
        <w:rPr>
          <w:rStyle w:val="a7"/>
          <w:rFonts w:cs="Arial"/>
          <w:rtl/>
        </w:rPr>
        <w:footnoteReference w:id="2548"/>
      </w:r>
      <w:r w:rsidRPr="000454C9">
        <w:rPr>
          <w:rFonts w:cs="Arial"/>
          <w:rtl/>
        </w:rPr>
        <w:t xml:space="preserve"> ממר בריה דרב אשי בינונית ושלא בשבועה, מבריה דרב סמא בריה דרב אשי - זבורית בשבועה</w:t>
      </w:r>
      <w:r w:rsidR="006A04B7">
        <w:rPr>
          <w:rStyle w:val="a7"/>
          <w:rFonts w:cs="Arial"/>
          <w:rtl/>
        </w:rPr>
        <w:footnoteReference w:id="2549"/>
      </w:r>
      <w:r w:rsidRPr="000454C9">
        <w:rPr>
          <w:rFonts w:cs="Arial"/>
          <w:rtl/>
        </w:rPr>
        <w:t>.</w:t>
      </w:r>
      <w:r>
        <w:rPr>
          <w:rFonts w:hint="cs"/>
          <w:rtl/>
        </w:rPr>
        <w:t xml:space="preserve"> </w:t>
      </w:r>
      <w:r w:rsidRPr="000454C9">
        <w:rPr>
          <w:rFonts w:hint="cs"/>
          <w:sz w:val="16"/>
          <w:szCs w:val="16"/>
          <w:rtl/>
        </w:rPr>
        <w:t xml:space="preserve">(וכ"פ הרמב"ם </w:t>
      </w:r>
      <w:r>
        <w:rPr>
          <w:rFonts w:hint="cs"/>
          <w:sz w:val="16"/>
          <w:szCs w:val="16"/>
          <w:rtl/>
        </w:rPr>
        <w:t>(</w:t>
      </w:r>
      <w:r w:rsidRPr="000454C9">
        <w:rPr>
          <w:rFonts w:hint="cs"/>
          <w:sz w:val="16"/>
          <w:szCs w:val="16"/>
          <w:rtl/>
        </w:rPr>
        <w:t>פ"כ מאישות ה"ו</w:t>
      </w:r>
      <w:r>
        <w:rPr>
          <w:rFonts w:hint="cs"/>
          <w:sz w:val="16"/>
          <w:szCs w:val="16"/>
          <w:rtl/>
        </w:rPr>
        <w:t>)</w:t>
      </w:r>
      <w:r w:rsidRPr="000454C9">
        <w:rPr>
          <w:rFonts w:hint="cs"/>
          <w:sz w:val="16"/>
          <w:szCs w:val="16"/>
          <w:rtl/>
        </w:rPr>
        <w:t xml:space="preserve">. </w:t>
      </w:r>
      <w:r w:rsidRPr="000454C9">
        <w:rPr>
          <w:rFonts w:hint="cs"/>
          <w:color w:val="E36C0A" w:themeColor="accent6" w:themeShade="BF"/>
          <w:sz w:val="16"/>
          <w:szCs w:val="16"/>
          <w:rtl/>
        </w:rPr>
        <w:t xml:space="preserve">וכ"פ בשו"ע </w:t>
      </w:r>
      <w:r>
        <w:rPr>
          <w:rFonts w:hint="cs"/>
          <w:sz w:val="16"/>
          <w:szCs w:val="16"/>
          <w:rtl/>
        </w:rPr>
        <w:t>(</w:t>
      </w:r>
      <w:r w:rsidRPr="000454C9">
        <w:rPr>
          <w:rFonts w:hint="cs"/>
          <w:sz w:val="16"/>
          <w:szCs w:val="16"/>
          <w:rtl/>
        </w:rPr>
        <w:t>סי' קיג ס"ג</w:t>
      </w:r>
      <w:r>
        <w:rPr>
          <w:rFonts w:hint="cs"/>
          <w:sz w:val="16"/>
          <w:szCs w:val="16"/>
          <w:rtl/>
        </w:rPr>
        <w:t>))</w:t>
      </w:r>
    </w:p>
    <w:p w14:paraId="6B0E691A" w14:textId="77777777" w:rsidR="00392DBB" w:rsidRPr="00E62B51" w:rsidRDefault="00392DBB" w:rsidP="00392DBB">
      <w:pPr>
        <w:rPr>
          <w:u w:val="single"/>
          <w:rtl/>
        </w:rPr>
      </w:pPr>
      <w:r w:rsidRPr="00E62B51">
        <w:rPr>
          <w:rFonts w:hint="cs"/>
          <w:u w:val="single"/>
          <w:rtl/>
        </w:rPr>
        <w:t>פסיקת מזונות כסות ומדור לבת, ומכירה:</w:t>
      </w:r>
    </w:p>
    <w:p w14:paraId="22E2EC9A" w14:textId="77777777" w:rsidR="00392DBB" w:rsidRPr="00B345A5" w:rsidRDefault="00392DBB" w:rsidP="009000E3">
      <w:pPr>
        <w:pStyle w:val="ab"/>
        <w:numPr>
          <w:ilvl w:val="0"/>
          <w:numId w:val="63"/>
        </w:numPr>
        <w:rPr>
          <w:rtl/>
        </w:rPr>
      </w:pPr>
      <w:r w:rsidRPr="00B345A5">
        <w:rPr>
          <w:rFonts w:cs="Arial"/>
          <w:rtl/>
        </w:rPr>
        <w:t xml:space="preserve">רמב"ם </w:t>
      </w:r>
      <w:r>
        <w:rPr>
          <w:rFonts w:cs="Arial" w:hint="cs"/>
          <w:sz w:val="16"/>
          <w:szCs w:val="16"/>
          <w:rtl/>
        </w:rPr>
        <w:t xml:space="preserve">(פי"ט הי"א) </w:t>
      </w:r>
      <w:r>
        <w:rPr>
          <w:rFonts w:cs="Arial" w:hint="cs"/>
          <w:rtl/>
        </w:rPr>
        <w:t xml:space="preserve">וטור- </w:t>
      </w:r>
      <w:r w:rsidRPr="00E62B51">
        <w:rPr>
          <w:rFonts w:cs="Arial"/>
          <w:rtl/>
        </w:rPr>
        <w:t>פוסקין לבת מזונות וכסות ומדור מנכסי אביה כדרך שפוסקין לאלמנה</w:t>
      </w:r>
      <w:r>
        <w:rPr>
          <w:rFonts w:cs="Arial" w:hint="cs"/>
          <w:rtl/>
        </w:rPr>
        <w:t>.</w:t>
      </w:r>
      <w:r w:rsidRPr="00E62B51">
        <w:rPr>
          <w:rFonts w:cs="Arial"/>
          <w:rtl/>
        </w:rPr>
        <w:t xml:space="preserve"> ומוכרין למזון הבנות וכסותן בלא הכרזה כדרך שמוכרין למזון האלמנה וכסותה</w:t>
      </w:r>
      <w:r>
        <w:rPr>
          <w:rFonts w:cs="Arial" w:hint="cs"/>
          <w:rtl/>
        </w:rPr>
        <w:t>.</w:t>
      </w:r>
      <w:r w:rsidRPr="00E62B51">
        <w:rPr>
          <w:rFonts w:cs="Arial"/>
          <w:rtl/>
        </w:rPr>
        <w:t xml:space="preserve"> אלא שהאשה פוסקין לה לפי כבודה וכבוד בעלה</w:t>
      </w:r>
      <w:r>
        <w:rPr>
          <w:rFonts w:cs="Arial" w:hint="cs"/>
          <w:rtl/>
        </w:rPr>
        <w:t>,</w:t>
      </w:r>
      <w:r w:rsidRPr="00E62B51">
        <w:rPr>
          <w:rFonts w:cs="Arial"/>
          <w:rtl/>
        </w:rPr>
        <w:t xml:space="preserve"> ולבנות פוסקין להן דבר המספיק להן בלבד</w:t>
      </w:r>
      <w:r>
        <w:rPr>
          <w:rFonts w:cs="Arial" w:hint="cs"/>
          <w:rtl/>
        </w:rPr>
        <w:t>.</w:t>
      </w:r>
      <w:r w:rsidRPr="00E62B51">
        <w:rPr>
          <w:rFonts w:cs="Arial"/>
          <w:rtl/>
        </w:rPr>
        <w:t xml:space="preserve"> ואין הבנות נשבעות</w:t>
      </w:r>
      <w:r>
        <w:rPr>
          <w:rFonts w:cs="Arial" w:hint="cs"/>
          <w:sz w:val="16"/>
          <w:szCs w:val="16"/>
          <w:rtl/>
        </w:rPr>
        <w:t xml:space="preserve"> (ל' הרמב"ם)</w:t>
      </w:r>
      <w:r>
        <w:rPr>
          <w:rFonts w:cs="Arial" w:hint="cs"/>
          <w:rtl/>
        </w:rPr>
        <w:t>.</w:t>
      </w:r>
      <w:r w:rsidRPr="00B345A5">
        <w:rPr>
          <w:rFonts w:cs="Arial"/>
          <w:rtl/>
        </w:rPr>
        <w:t xml:space="preserve"> </w:t>
      </w:r>
    </w:p>
    <w:p w14:paraId="769BA7FC"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C8858CB" w14:textId="77777777" w:rsidR="00392DBB" w:rsidRDefault="00392DBB" w:rsidP="00392DBB">
      <w:pPr>
        <w:rPr>
          <w:rFonts w:cs="Arial"/>
          <w:rtl/>
        </w:rPr>
      </w:pPr>
      <w:r w:rsidRPr="00523CDE">
        <w:rPr>
          <w:rFonts w:cs="Arial"/>
          <w:rtl/>
        </w:rPr>
        <w:lastRenderedPageBreak/>
        <w:t>פוסקין לבת מזונות וכסות ומדור מנכסי אביה, כדרך שפוסקין לאלמנה. ומוכרין למזון הבנות וכסותן בלא הכרזה, כדרך שמוכרין למזון האלמנה וכסותה</w:t>
      </w:r>
      <w:r>
        <w:rPr>
          <w:rFonts w:cs="Arial" w:hint="cs"/>
          <w:rtl/>
        </w:rPr>
        <w:t>.</w:t>
      </w:r>
      <w:r w:rsidRPr="00523CDE">
        <w:rPr>
          <w:rFonts w:cs="Arial"/>
          <w:rtl/>
        </w:rPr>
        <w:t xml:space="preserve"> אלא שהאשה פוסקין לה לפי כבודה וכבוד בעלה, ולבת פוסקין לה דבר המספיק</w:t>
      </w:r>
      <w:r>
        <w:rPr>
          <w:rStyle w:val="a7"/>
          <w:rFonts w:cs="Arial"/>
          <w:rtl/>
        </w:rPr>
        <w:footnoteReference w:id="2550"/>
      </w:r>
      <w:r w:rsidRPr="00523CDE">
        <w:rPr>
          <w:rFonts w:cs="Arial"/>
          <w:rtl/>
        </w:rPr>
        <w:t xml:space="preserve"> לה בלבד. ואין הבנות נשבעות</w:t>
      </w:r>
      <w:r>
        <w:rPr>
          <w:rStyle w:val="a7"/>
          <w:rFonts w:cs="Arial"/>
          <w:rtl/>
        </w:rPr>
        <w:footnoteReference w:id="2551"/>
      </w:r>
      <w:r w:rsidRPr="00523CDE">
        <w:rPr>
          <w:rFonts w:cs="Arial"/>
          <w:rtl/>
        </w:rPr>
        <w:t xml:space="preserve">. </w:t>
      </w:r>
    </w:p>
    <w:p w14:paraId="25C35377" w14:textId="77777777" w:rsidR="00392DBB" w:rsidRPr="00523CDE" w:rsidRDefault="00392DBB" w:rsidP="00392DBB">
      <w:pPr>
        <w:rPr>
          <w:rFonts w:cs="Arial"/>
          <w:rtl/>
        </w:rPr>
      </w:pPr>
    </w:p>
    <w:p w14:paraId="5165CF66" w14:textId="77777777" w:rsidR="00392DBB" w:rsidRPr="00B72D3C" w:rsidRDefault="00392DBB" w:rsidP="000F64D0">
      <w:pPr>
        <w:pStyle w:val="2"/>
        <w:rPr>
          <w:rtl/>
        </w:rPr>
      </w:pPr>
      <w:r w:rsidRPr="00B72D3C">
        <w:rPr>
          <w:rtl/>
        </w:rPr>
        <w:t>סעיף ז</w:t>
      </w:r>
      <w:r w:rsidRPr="00B72D3C">
        <w:rPr>
          <w:rFonts w:hint="cs"/>
          <w:rtl/>
        </w:rPr>
        <w:t xml:space="preserve">: </w:t>
      </w:r>
      <w:r>
        <w:rPr>
          <w:rFonts w:hint="cs"/>
          <w:rtl/>
        </w:rPr>
        <w:t xml:space="preserve">מאלו נכסים גובים את </w:t>
      </w:r>
      <w:r w:rsidRPr="00B72D3C">
        <w:rPr>
          <w:rFonts w:hint="cs"/>
          <w:rtl/>
        </w:rPr>
        <w:t>מזונות הבת.</w:t>
      </w:r>
    </w:p>
    <w:p w14:paraId="49D26DB8" w14:textId="77777777" w:rsidR="00392DBB" w:rsidRPr="005A2FCA" w:rsidRDefault="00392DBB" w:rsidP="00392DBB">
      <w:pPr>
        <w:rPr>
          <w:rFonts w:cs="Arial"/>
          <w:u w:val="single"/>
          <w:rtl/>
        </w:rPr>
      </w:pPr>
      <w:r w:rsidRPr="009E3B5F">
        <w:rPr>
          <w:rFonts w:hint="cs"/>
          <w:b/>
          <w:bCs/>
          <w:rtl/>
        </w:rPr>
        <w:t xml:space="preserve">כתובות </w:t>
      </w:r>
      <w:r w:rsidRPr="009E3B5F">
        <w:rPr>
          <w:rFonts w:hint="cs"/>
          <w:b/>
          <w:bCs/>
          <w:sz w:val="16"/>
          <w:szCs w:val="16"/>
          <w:rtl/>
        </w:rPr>
        <w:t xml:space="preserve">(פ' </w:t>
      </w:r>
      <w:r>
        <w:rPr>
          <w:rFonts w:hint="cs"/>
          <w:b/>
          <w:bCs/>
          <w:sz w:val="16"/>
          <w:szCs w:val="16"/>
          <w:rtl/>
        </w:rPr>
        <w:t>נערה שנתפתתה</w:t>
      </w:r>
      <w:r w:rsidRPr="009E3B5F">
        <w:rPr>
          <w:rFonts w:hint="cs"/>
          <w:b/>
          <w:bCs/>
          <w:sz w:val="16"/>
          <w:szCs w:val="16"/>
          <w:rtl/>
        </w:rPr>
        <w:t xml:space="preserve">) </w:t>
      </w:r>
      <w:r>
        <w:rPr>
          <w:rFonts w:hint="cs"/>
          <w:b/>
          <w:bCs/>
          <w:rtl/>
        </w:rPr>
        <w:t>נ</w:t>
      </w:r>
      <w:r w:rsidRPr="009E3B5F">
        <w:rPr>
          <w:rFonts w:hint="cs"/>
          <w:b/>
          <w:bCs/>
          <w:rtl/>
        </w:rPr>
        <w:t xml:space="preserve"> ע"</w:t>
      </w:r>
      <w:r>
        <w:rPr>
          <w:rFonts w:hint="cs"/>
          <w:b/>
          <w:bCs/>
          <w:rtl/>
        </w:rPr>
        <w:t>ב</w:t>
      </w:r>
      <w:r w:rsidRPr="009E3B5F">
        <w:rPr>
          <w:rFonts w:hint="cs"/>
          <w:b/>
          <w:bCs/>
          <w:rtl/>
        </w:rPr>
        <w:t>:</w:t>
      </w:r>
      <w:r>
        <w:rPr>
          <w:rFonts w:cs="Arial" w:hint="cs"/>
          <w:rtl/>
        </w:rPr>
        <w:t xml:space="preserve"> </w:t>
      </w:r>
      <w:r w:rsidRPr="00CC0FD2">
        <w:rPr>
          <w:rFonts w:cs="Arial"/>
          <w:u w:val="single"/>
          <w:rtl/>
        </w:rPr>
        <w:t>יתיב רב יוסף קמיה דרב המנונא, ויתיב רב המנונא וקאמר</w:t>
      </w:r>
      <w:r w:rsidRPr="00D4525B">
        <w:rPr>
          <w:rFonts w:cs="Arial"/>
          <w:rtl/>
        </w:rPr>
        <w:t>: כשם שאין הבנים יורשין אלא מן הקרקע, כך אין בנות ניזונות אלא מן הקרקע. אווש עליה כולי עלמא</w:t>
      </w:r>
      <w:r>
        <w:rPr>
          <w:rStyle w:val="a7"/>
          <w:rFonts w:cs="Arial"/>
          <w:rtl/>
        </w:rPr>
        <w:footnoteReference w:id="2552"/>
      </w:r>
      <w:r w:rsidRPr="00D4525B">
        <w:rPr>
          <w:rFonts w:cs="Arial"/>
          <w:rtl/>
        </w:rPr>
        <w:t xml:space="preserve">, דשביק ארעא הוא דירתי ליה בניה, דלא שביק ארעא לא ירתי ליה בניה? </w:t>
      </w:r>
      <w:r w:rsidRPr="00CC0FD2">
        <w:rPr>
          <w:rFonts w:cs="Arial"/>
          <w:u w:val="single"/>
          <w:rtl/>
        </w:rPr>
        <w:t>אמר ליה רב יוסף</w:t>
      </w:r>
      <w:r w:rsidRPr="00D4525B">
        <w:rPr>
          <w:rFonts w:cs="Arial"/>
          <w:rtl/>
        </w:rPr>
        <w:t>: ודלמא כתובת בנין דכרין קאמר מר</w:t>
      </w:r>
      <w:r>
        <w:rPr>
          <w:rStyle w:val="a7"/>
          <w:rFonts w:cs="Arial"/>
          <w:rtl/>
        </w:rPr>
        <w:footnoteReference w:id="2553"/>
      </w:r>
      <w:r w:rsidRPr="00D4525B">
        <w:rPr>
          <w:rFonts w:cs="Arial"/>
          <w:rtl/>
        </w:rPr>
        <w:t xml:space="preserve">? </w:t>
      </w:r>
      <w:r w:rsidRPr="00B5620B">
        <w:rPr>
          <w:rFonts w:cs="Arial"/>
          <w:u w:val="single"/>
          <w:rtl/>
        </w:rPr>
        <w:t>אמר ליה</w:t>
      </w:r>
      <w:r w:rsidRPr="00D4525B">
        <w:rPr>
          <w:rFonts w:cs="Arial"/>
          <w:rtl/>
        </w:rPr>
        <w:t>: מר דגברא רבא הוא ידע</w:t>
      </w:r>
      <w:r>
        <w:rPr>
          <w:rStyle w:val="a7"/>
          <w:rFonts w:cs="Arial"/>
          <w:rtl/>
        </w:rPr>
        <w:footnoteReference w:id="2554"/>
      </w:r>
      <w:r w:rsidRPr="00D4525B">
        <w:rPr>
          <w:rFonts w:cs="Arial"/>
          <w:rtl/>
        </w:rPr>
        <w:t xml:space="preserve"> מאי קאמינא.</w:t>
      </w:r>
      <w:r>
        <w:rPr>
          <w:rFonts w:cs="Arial" w:hint="cs"/>
          <w:rtl/>
        </w:rPr>
        <w:t>..</w:t>
      </w:r>
      <w:r w:rsidRPr="00D4525B">
        <w:rPr>
          <w:rFonts w:cs="Arial"/>
          <w:rtl/>
        </w:rPr>
        <w:t xml:space="preserve"> הוה עובדא בנהרדעא, ודון דייני</w:t>
      </w:r>
      <w:r>
        <w:rPr>
          <w:rStyle w:val="a7"/>
          <w:rFonts w:cs="Arial"/>
          <w:rtl/>
        </w:rPr>
        <w:footnoteReference w:id="2555"/>
      </w:r>
      <w:r w:rsidRPr="00D4525B">
        <w:rPr>
          <w:rFonts w:cs="Arial"/>
          <w:rtl/>
        </w:rPr>
        <w:t xml:space="preserve"> דנהרדעא</w:t>
      </w:r>
      <w:r>
        <w:rPr>
          <w:rFonts w:cs="Arial" w:hint="cs"/>
          <w:rtl/>
        </w:rPr>
        <w:t>.</w:t>
      </w:r>
      <w:r w:rsidRPr="00D4525B">
        <w:rPr>
          <w:rFonts w:cs="Arial"/>
          <w:rtl/>
        </w:rPr>
        <w:t xml:space="preserve"> בפומבדיתא, ואגבי רב חנא בר ביזנא. </w:t>
      </w:r>
      <w:r w:rsidRPr="00812C86">
        <w:rPr>
          <w:rFonts w:cs="Arial"/>
          <w:u w:val="single"/>
          <w:rtl/>
        </w:rPr>
        <w:t>אמר להו רב נחמן</w:t>
      </w:r>
      <w:r w:rsidRPr="00D4525B">
        <w:rPr>
          <w:rFonts w:cs="Arial"/>
          <w:rtl/>
        </w:rPr>
        <w:t>: זילו אהדרו, ואי לא - מגבינא לכו לאפדנייכו מינייכו. רבי אמי ורבי אסי סבור למיזן ממטלטלי</w:t>
      </w:r>
      <w:r>
        <w:rPr>
          <w:rFonts w:cs="Arial" w:hint="cs"/>
          <w:rtl/>
        </w:rPr>
        <w:t>.</w:t>
      </w:r>
      <w:r w:rsidRPr="00D4525B">
        <w:rPr>
          <w:rFonts w:cs="Arial"/>
          <w:rtl/>
        </w:rPr>
        <w:t xml:space="preserve"> </w:t>
      </w:r>
      <w:r w:rsidRPr="00812C86">
        <w:rPr>
          <w:rFonts w:cs="Arial"/>
          <w:u w:val="single"/>
          <w:rtl/>
        </w:rPr>
        <w:t>אמר להו רבי יעקב בר אידי</w:t>
      </w:r>
      <w:r w:rsidRPr="00D4525B">
        <w:rPr>
          <w:rFonts w:cs="Arial"/>
          <w:rtl/>
        </w:rPr>
        <w:t>: מילתא דר' יוחנן ור"ל לא עבדו בה עובדא, אתון עבדין בה עובדא? רבי אלעזר סבר למיזן ממטלטלין</w:t>
      </w:r>
      <w:r>
        <w:rPr>
          <w:rFonts w:cs="Arial" w:hint="cs"/>
          <w:rtl/>
        </w:rPr>
        <w:t>.</w:t>
      </w:r>
      <w:r w:rsidRPr="00D4525B">
        <w:rPr>
          <w:rFonts w:cs="Arial"/>
          <w:rtl/>
        </w:rPr>
        <w:t xml:space="preserve"> </w:t>
      </w:r>
      <w:r w:rsidRPr="00812C86">
        <w:rPr>
          <w:rFonts w:cs="Arial"/>
          <w:u w:val="single"/>
          <w:rtl/>
        </w:rPr>
        <w:t>אמר לפניו רבי שמעון בן אליקים</w:t>
      </w:r>
      <w:r w:rsidRPr="00D4525B">
        <w:rPr>
          <w:rFonts w:cs="Arial"/>
          <w:rtl/>
        </w:rPr>
        <w:t>: רבי, יודע אני בך שאין מדת הדין אתה עושה אלא מדת רחמנות, אלא שמא יראו התלמידים ויקבעו הלכה לדורות.</w:t>
      </w:r>
      <w:r>
        <w:rPr>
          <w:rFonts w:cs="Arial" w:hint="cs"/>
          <w:rtl/>
        </w:rPr>
        <w:t>.</w:t>
      </w:r>
      <w:r w:rsidRPr="000C2B9F">
        <w:rPr>
          <w:rFonts w:cs="Arial"/>
          <w:rtl/>
        </w:rPr>
        <w:t>.</w:t>
      </w:r>
      <w:r>
        <w:rPr>
          <w:rFonts w:hint="cs"/>
          <w:rtl/>
        </w:rPr>
        <w:t xml:space="preserve"> </w:t>
      </w:r>
      <w:r>
        <w:rPr>
          <w:rFonts w:hint="cs"/>
          <w:sz w:val="14"/>
          <w:szCs w:val="14"/>
          <w:rtl/>
        </w:rPr>
        <w:t>(נא.)</w:t>
      </w:r>
      <w:r w:rsidRPr="000C2B9F">
        <w:rPr>
          <w:rFonts w:cs="Arial"/>
          <w:rtl/>
        </w:rPr>
        <w:t xml:space="preserve"> תנו רבנן: אחד נכסים שיש להן אחריות, ואחד נכסים שאין להן אחריות - מוציאין למזון אשה ולבנות, </w:t>
      </w:r>
      <w:r w:rsidRPr="000C2B9F">
        <w:rPr>
          <w:rFonts w:cs="Arial"/>
          <w:u w:val="single"/>
          <w:rtl/>
        </w:rPr>
        <w:t>דברי רבי</w:t>
      </w:r>
      <w:r>
        <w:rPr>
          <w:rFonts w:cs="Arial" w:hint="cs"/>
          <w:rtl/>
        </w:rPr>
        <w:t>.</w:t>
      </w:r>
      <w:r w:rsidRPr="000C2B9F">
        <w:rPr>
          <w:rFonts w:cs="Arial"/>
          <w:rtl/>
        </w:rPr>
        <w:t xml:space="preserve"> </w:t>
      </w:r>
      <w:r w:rsidRPr="000C2B9F">
        <w:rPr>
          <w:rFonts w:cs="Arial"/>
          <w:u w:val="single"/>
          <w:rtl/>
        </w:rPr>
        <w:t>רבי שמעון בן אלעזר אומר</w:t>
      </w:r>
      <w:r w:rsidRPr="000C2B9F">
        <w:rPr>
          <w:rFonts w:cs="Arial"/>
          <w:rtl/>
        </w:rPr>
        <w:t>: נכסים שיש להן אחריות - מוציאין לבנות מן הבנים ולבנות מן הבנות ולבנים מן הבנים ולבנים מן הבנות בנכסים מרובין, אבל לא לבנים מן הבנות בנכסים מועטין; נכסים שאין להן אחריות - מוציאין לבנים מן הבנים ולבנות מן הבנות ולבנים מן הבנות, אבל לא לבנות מן הבנים. אף על גב דקיימא לן הלכה כרבי מחבירו, הכא הלכה כרבי שמעון בן אלעזר, דאמר רבא, הלכתא: ממקרקעי ולא ממטלטלי, בין לכתובה, בין למזוני, בין לפרנסה.</w:t>
      </w:r>
      <w:r w:rsidRPr="000C2B9F">
        <w:rPr>
          <w:rFonts w:cs="Arial" w:hint="cs"/>
          <w:sz w:val="16"/>
          <w:szCs w:val="16"/>
          <w:rtl/>
        </w:rPr>
        <w:t xml:space="preserve"> (מכאן נלמד ד</w:t>
      </w:r>
      <w:r w:rsidRPr="000C2B9F">
        <w:rPr>
          <w:rFonts w:cs="Arial"/>
          <w:sz w:val="16"/>
          <w:szCs w:val="16"/>
          <w:rtl/>
        </w:rPr>
        <w:t>מדינא דגמרא אין הבנות נזונות אלא ממקרקעי. אבל מתקנת הגאונים שכתובה נגבית ממטלטלין</w:t>
      </w:r>
      <w:r>
        <w:rPr>
          <w:rFonts w:cs="Arial" w:hint="cs"/>
          <w:sz w:val="16"/>
          <w:szCs w:val="16"/>
          <w:rtl/>
        </w:rPr>
        <w:t xml:space="preserve"> -</w:t>
      </w:r>
      <w:r w:rsidRPr="000C2B9F">
        <w:rPr>
          <w:rFonts w:cs="Arial"/>
          <w:sz w:val="16"/>
          <w:szCs w:val="16"/>
          <w:rtl/>
        </w:rPr>
        <w:t xml:space="preserve"> גם הבנות נזונות מהם</w:t>
      </w:r>
      <w:r w:rsidRPr="000C2B9F">
        <w:rPr>
          <w:rFonts w:cs="Arial" w:hint="cs"/>
          <w:sz w:val="16"/>
          <w:szCs w:val="16"/>
          <w:rtl/>
        </w:rPr>
        <w:t xml:space="preserve">, </w:t>
      </w:r>
      <w:r w:rsidRPr="00CA3701">
        <w:rPr>
          <w:rFonts w:cs="Arial" w:hint="cs"/>
          <w:b/>
          <w:bCs/>
          <w:sz w:val="16"/>
          <w:szCs w:val="16"/>
          <w:rtl/>
        </w:rPr>
        <w:t>טור</w:t>
      </w:r>
      <w:r w:rsidRPr="000C2B9F">
        <w:rPr>
          <w:rFonts w:cs="Arial"/>
          <w:sz w:val="16"/>
          <w:szCs w:val="16"/>
          <w:rtl/>
        </w:rPr>
        <w:t xml:space="preserve">. </w:t>
      </w:r>
      <w:r w:rsidRPr="000C2B9F">
        <w:rPr>
          <w:rFonts w:cs="Arial" w:hint="cs"/>
          <w:sz w:val="16"/>
          <w:szCs w:val="16"/>
          <w:rtl/>
        </w:rPr>
        <w:t>ו</w:t>
      </w:r>
      <w:r w:rsidRPr="000C2B9F">
        <w:rPr>
          <w:rFonts w:cs="Arial"/>
          <w:sz w:val="16"/>
          <w:szCs w:val="16"/>
          <w:rtl/>
        </w:rPr>
        <w:t>כ"כ שם הרי"ף (יח:) והרא"ש (סי' יט)</w:t>
      </w:r>
      <w:r w:rsidRPr="000C2B9F">
        <w:rPr>
          <w:rFonts w:cs="Arial" w:hint="cs"/>
          <w:sz w:val="16"/>
          <w:szCs w:val="16"/>
          <w:rtl/>
        </w:rPr>
        <w:t xml:space="preserve">, </w:t>
      </w:r>
      <w:r w:rsidRPr="00CA3701">
        <w:rPr>
          <w:rFonts w:cs="Arial" w:hint="cs"/>
          <w:b/>
          <w:bCs/>
          <w:sz w:val="16"/>
          <w:szCs w:val="16"/>
          <w:rtl/>
        </w:rPr>
        <w:t>ב"י</w:t>
      </w:r>
      <w:r>
        <w:rPr>
          <w:rFonts w:cs="Arial" w:hint="cs"/>
          <w:sz w:val="16"/>
          <w:szCs w:val="16"/>
          <w:rtl/>
        </w:rPr>
        <w:t>)</w:t>
      </w:r>
    </w:p>
    <w:p w14:paraId="28C81ABD" w14:textId="77777777" w:rsidR="00392DBB" w:rsidRDefault="00392DBB" w:rsidP="00392DBB">
      <w:pPr>
        <w:rPr>
          <w:rtl/>
        </w:rPr>
      </w:pPr>
      <w:r w:rsidRPr="009E3B5F">
        <w:rPr>
          <w:rFonts w:hint="cs"/>
          <w:b/>
          <w:bCs/>
          <w:rtl/>
        </w:rPr>
        <w:t xml:space="preserve">כתובות </w:t>
      </w:r>
      <w:r w:rsidRPr="009E3B5F">
        <w:rPr>
          <w:rFonts w:hint="cs"/>
          <w:b/>
          <w:bCs/>
          <w:sz w:val="16"/>
          <w:szCs w:val="16"/>
          <w:rtl/>
        </w:rPr>
        <w:t>(</w:t>
      </w:r>
      <w:r>
        <w:rPr>
          <w:rFonts w:hint="cs"/>
          <w:b/>
          <w:bCs/>
          <w:sz w:val="16"/>
          <w:szCs w:val="16"/>
          <w:rtl/>
        </w:rPr>
        <w:t>ר"</w:t>
      </w:r>
      <w:r w:rsidRPr="009E3B5F">
        <w:rPr>
          <w:rFonts w:hint="cs"/>
          <w:b/>
          <w:bCs/>
          <w:sz w:val="16"/>
          <w:szCs w:val="16"/>
          <w:rtl/>
        </w:rPr>
        <w:t>פ</w:t>
      </w:r>
      <w:r>
        <w:rPr>
          <w:rFonts w:hint="cs"/>
          <w:b/>
          <w:bCs/>
          <w:sz w:val="16"/>
          <w:szCs w:val="16"/>
          <w:rtl/>
        </w:rPr>
        <w:t xml:space="preserve"> נושא</w:t>
      </w:r>
      <w:r w:rsidRPr="009E3B5F">
        <w:rPr>
          <w:rFonts w:hint="cs"/>
          <w:b/>
          <w:bCs/>
          <w:sz w:val="16"/>
          <w:szCs w:val="16"/>
          <w:rtl/>
        </w:rPr>
        <w:t xml:space="preserve">) </w:t>
      </w:r>
      <w:r>
        <w:rPr>
          <w:rFonts w:hint="cs"/>
          <w:b/>
          <w:bCs/>
          <w:rtl/>
        </w:rPr>
        <w:t>קא</w:t>
      </w:r>
      <w:r w:rsidRPr="009E3B5F">
        <w:rPr>
          <w:rFonts w:hint="cs"/>
          <w:b/>
          <w:bCs/>
          <w:rtl/>
        </w:rPr>
        <w:t xml:space="preserve"> ע"</w:t>
      </w:r>
      <w:r>
        <w:rPr>
          <w:rFonts w:hint="cs"/>
          <w:b/>
          <w:bCs/>
          <w:rtl/>
        </w:rPr>
        <w:t>ב</w:t>
      </w:r>
      <w:r w:rsidRPr="009E3B5F">
        <w:rPr>
          <w:rFonts w:hint="cs"/>
          <w:b/>
          <w:bCs/>
          <w:rtl/>
        </w:rPr>
        <w:t>:</w:t>
      </w:r>
      <w:r>
        <w:rPr>
          <w:rFonts w:cs="Arial" w:hint="cs"/>
          <w:rtl/>
        </w:rPr>
        <w:t xml:space="preserve"> </w:t>
      </w:r>
      <w:r w:rsidRPr="005A2FCA">
        <w:rPr>
          <w:rFonts w:cs="Arial"/>
          <w:u w:val="double"/>
          <w:rtl/>
        </w:rPr>
        <w:t>מתני'</w:t>
      </w:r>
      <w:r>
        <w:rPr>
          <w:rFonts w:cs="Arial" w:hint="cs"/>
          <w:rtl/>
        </w:rPr>
        <w:t>:</w:t>
      </w:r>
      <w:r w:rsidRPr="005A2FCA">
        <w:rPr>
          <w:rFonts w:cs="Arial"/>
          <w:rtl/>
        </w:rPr>
        <w:t xml:space="preserve"> הנושא את האשה, ופסקה עמו כדי שיזון את בתה חמש שנים - חייב לזונה חמש שנים.</w:t>
      </w:r>
      <w:r>
        <w:rPr>
          <w:rFonts w:cs="Arial" w:hint="cs"/>
          <w:rtl/>
        </w:rPr>
        <w:t>.</w:t>
      </w:r>
      <w:r w:rsidRPr="005A2FCA">
        <w:rPr>
          <w:rFonts w:cs="Arial"/>
          <w:rtl/>
        </w:rPr>
        <w:t>. ניסת - הבעל נותן לה מזונות, והן נותנין לה דמי מזונות. מתו - בנותיהן ניזונות מנכסים בני חורין</w:t>
      </w:r>
      <w:r>
        <w:rPr>
          <w:rStyle w:val="a7"/>
          <w:rFonts w:cs="Arial"/>
          <w:rtl/>
        </w:rPr>
        <w:footnoteReference w:id="2556"/>
      </w:r>
      <w:r w:rsidRPr="005A2FCA">
        <w:rPr>
          <w:rFonts w:cs="Arial"/>
          <w:rtl/>
        </w:rPr>
        <w:t xml:space="preserve">, והיא ניזונת מנכסים משועבדים, מפני שהיא כבעלת חוב.  </w:t>
      </w:r>
    </w:p>
    <w:p w14:paraId="1FB697E8" w14:textId="73EDAEBF" w:rsidR="00392DBB" w:rsidRDefault="00392DBB" w:rsidP="00392DBB">
      <w:pPr>
        <w:rPr>
          <w:rtl/>
        </w:rPr>
      </w:pPr>
      <w:r w:rsidRPr="009E3B5F">
        <w:rPr>
          <w:rFonts w:hint="cs"/>
          <w:b/>
          <w:bCs/>
          <w:rtl/>
        </w:rPr>
        <w:t xml:space="preserve">כתובות </w:t>
      </w:r>
      <w:r w:rsidRPr="009E3B5F">
        <w:rPr>
          <w:rFonts w:hint="cs"/>
          <w:b/>
          <w:bCs/>
          <w:sz w:val="16"/>
          <w:szCs w:val="16"/>
          <w:rtl/>
        </w:rPr>
        <w:t xml:space="preserve">(פ' </w:t>
      </w:r>
      <w:r>
        <w:rPr>
          <w:rFonts w:hint="cs"/>
          <w:b/>
          <w:bCs/>
          <w:sz w:val="16"/>
          <w:szCs w:val="16"/>
          <w:rtl/>
        </w:rPr>
        <w:t>מציאת האשה</w:t>
      </w:r>
      <w:r w:rsidRPr="009E3B5F">
        <w:rPr>
          <w:rFonts w:hint="cs"/>
          <w:b/>
          <w:bCs/>
          <w:sz w:val="16"/>
          <w:szCs w:val="16"/>
          <w:rtl/>
        </w:rPr>
        <w:t xml:space="preserve">) </w:t>
      </w:r>
      <w:r>
        <w:rPr>
          <w:rFonts w:hint="cs"/>
          <w:b/>
          <w:bCs/>
          <w:rtl/>
        </w:rPr>
        <w:t>סט</w:t>
      </w:r>
      <w:r w:rsidRPr="009E3B5F">
        <w:rPr>
          <w:rFonts w:hint="cs"/>
          <w:b/>
          <w:bCs/>
          <w:rtl/>
        </w:rPr>
        <w:t xml:space="preserve"> ע"</w:t>
      </w:r>
      <w:r>
        <w:rPr>
          <w:rFonts w:hint="cs"/>
          <w:b/>
          <w:bCs/>
          <w:rtl/>
        </w:rPr>
        <w:t>א</w:t>
      </w:r>
      <w:r w:rsidRPr="009E3B5F">
        <w:rPr>
          <w:rFonts w:hint="cs"/>
          <w:b/>
          <w:bCs/>
          <w:rtl/>
        </w:rPr>
        <w:t>:</w:t>
      </w:r>
      <w:r>
        <w:rPr>
          <w:rFonts w:cs="Arial" w:hint="cs"/>
          <w:rtl/>
        </w:rPr>
        <w:t xml:space="preserve"> </w:t>
      </w:r>
      <w:r w:rsidRPr="00925437">
        <w:rPr>
          <w:rFonts w:cs="Arial"/>
          <w:u w:val="single"/>
          <w:rtl/>
        </w:rPr>
        <w:t>תלה ליה רב לרבי ביני חטי</w:t>
      </w:r>
      <w:r w:rsidRPr="00925437">
        <w:rPr>
          <w:rStyle w:val="a7"/>
          <w:rFonts w:cs="Arial"/>
          <w:u w:val="single"/>
          <w:rtl/>
        </w:rPr>
        <w:footnoteReference w:id="2557"/>
      </w:r>
      <w:r w:rsidRPr="00B6418B">
        <w:rPr>
          <w:rFonts w:cs="Arial"/>
          <w:rtl/>
        </w:rPr>
        <w:t xml:space="preserve">: האחין ששיעבדו, מהו? </w:t>
      </w:r>
      <w:r w:rsidRPr="00925437">
        <w:rPr>
          <w:rFonts w:cs="Arial"/>
          <w:u w:val="single"/>
          <w:rtl/>
        </w:rPr>
        <w:t>הוה יתיב ר' חייא קמיה</w:t>
      </w:r>
      <w:r w:rsidRPr="00925437">
        <w:rPr>
          <w:rStyle w:val="a7"/>
          <w:rFonts w:cs="Arial"/>
          <w:u w:val="single"/>
          <w:rtl/>
        </w:rPr>
        <w:footnoteReference w:id="2558"/>
      </w:r>
      <w:r w:rsidRPr="00925437">
        <w:rPr>
          <w:rFonts w:cs="Arial"/>
          <w:u w:val="single"/>
          <w:rtl/>
        </w:rPr>
        <w:t>, אמר ליה</w:t>
      </w:r>
      <w:r w:rsidRPr="00B6418B">
        <w:rPr>
          <w:rFonts w:cs="Arial"/>
          <w:rtl/>
        </w:rPr>
        <w:t xml:space="preserve">: מכרו או משכנו? </w:t>
      </w:r>
      <w:r w:rsidRPr="00925437">
        <w:rPr>
          <w:rFonts w:cs="Arial"/>
          <w:u w:val="single"/>
          <w:rtl/>
        </w:rPr>
        <w:t>אמר ליה</w:t>
      </w:r>
      <w:r w:rsidRPr="00B6418B">
        <w:rPr>
          <w:rFonts w:cs="Arial"/>
          <w:rtl/>
        </w:rPr>
        <w:t>: מאי נפקא מינה? בין מכרו בין שמשכנו, מוציאין לפרנסה</w:t>
      </w:r>
      <w:r w:rsidR="005007BD">
        <w:rPr>
          <w:rStyle w:val="a7"/>
          <w:rFonts w:cs="Arial"/>
          <w:rtl/>
        </w:rPr>
        <w:footnoteReference w:id="2559"/>
      </w:r>
      <w:r w:rsidRPr="00B6418B">
        <w:rPr>
          <w:rFonts w:cs="Arial"/>
          <w:rtl/>
        </w:rPr>
        <w:t xml:space="preserve"> ואין מוציאין למזונות.</w:t>
      </w:r>
      <w:r>
        <w:rPr>
          <w:rFonts w:cs="Arial" w:hint="cs"/>
          <w:rtl/>
        </w:rPr>
        <w:t>.</w:t>
      </w:r>
      <w:r w:rsidRPr="00B6418B">
        <w:rPr>
          <w:rFonts w:cs="Arial"/>
          <w:rtl/>
        </w:rPr>
        <w:t>.</w:t>
      </w:r>
    </w:p>
    <w:p w14:paraId="3AEE718E" w14:textId="77777777" w:rsidR="00392DBB" w:rsidRPr="00D4525B" w:rsidRDefault="00392DBB" w:rsidP="00392DBB">
      <w:pPr>
        <w:rPr>
          <w:u w:val="single"/>
          <w:rtl/>
        </w:rPr>
      </w:pPr>
      <w:r w:rsidRPr="00861563">
        <w:rPr>
          <w:rFonts w:hint="cs"/>
          <w:u w:val="single"/>
          <w:rtl/>
        </w:rPr>
        <w:t>מאלו נכסים גובים את מזונות הבת</w:t>
      </w:r>
      <w:r w:rsidRPr="00D4525B">
        <w:rPr>
          <w:rFonts w:hint="cs"/>
          <w:u w:val="single"/>
          <w:rtl/>
        </w:rPr>
        <w:t>:</w:t>
      </w:r>
    </w:p>
    <w:p w14:paraId="688718FE" w14:textId="521502A0" w:rsidR="00392DBB" w:rsidRDefault="00392DBB" w:rsidP="009000E3">
      <w:pPr>
        <w:pStyle w:val="ab"/>
        <w:numPr>
          <w:ilvl w:val="0"/>
          <w:numId w:val="63"/>
        </w:numPr>
      </w:pPr>
      <w:r>
        <w:rPr>
          <w:rFonts w:cs="Arial" w:hint="cs"/>
          <w:rtl/>
        </w:rPr>
        <w:t xml:space="preserve">טור- </w:t>
      </w:r>
      <w:r w:rsidRPr="00B345A5">
        <w:rPr>
          <w:rFonts w:cs="Arial"/>
          <w:rtl/>
        </w:rPr>
        <w:t>מדינא דגמרא אין הבנות ניזונות אלא ממקרקעי</w:t>
      </w:r>
      <w:r w:rsidR="005007BD">
        <w:rPr>
          <w:rFonts w:cs="Arial" w:hint="cs"/>
          <w:rtl/>
        </w:rPr>
        <w:t>.</w:t>
      </w:r>
      <w:r w:rsidRPr="00B345A5">
        <w:rPr>
          <w:rFonts w:cs="Arial"/>
          <w:rtl/>
        </w:rPr>
        <w:t xml:space="preserve"> אבל מתקנת הגאונים שכתובה נגבית ממטלטלי </w:t>
      </w:r>
      <w:r>
        <w:rPr>
          <w:rFonts w:cs="Arial" w:hint="cs"/>
          <w:rtl/>
        </w:rPr>
        <w:t xml:space="preserve">- </w:t>
      </w:r>
      <w:r w:rsidRPr="00B345A5">
        <w:rPr>
          <w:rFonts w:cs="Arial"/>
          <w:rtl/>
        </w:rPr>
        <w:t>גם הבנות ניזונות מהם</w:t>
      </w:r>
      <w:r>
        <w:rPr>
          <w:rFonts w:cs="Arial" w:hint="cs"/>
          <w:rtl/>
        </w:rPr>
        <w:t>.</w:t>
      </w:r>
      <w:r w:rsidRPr="00B345A5">
        <w:rPr>
          <w:rFonts w:cs="Arial"/>
          <w:rtl/>
        </w:rPr>
        <w:t xml:space="preserve"> ואינן ניזונות אלא מבני חרי</w:t>
      </w:r>
      <w:r>
        <w:rPr>
          <w:rFonts w:cs="Arial" w:hint="cs"/>
          <w:rtl/>
        </w:rPr>
        <w:t>.</w:t>
      </w:r>
      <w:r w:rsidRPr="00B345A5">
        <w:rPr>
          <w:rFonts w:cs="Arial"/>
          <w:rtl/>
        </w:rPr>
        <w:t xml:space="preserve"> אבל אם מכר האב או נתן</w:t>
      </w:r>
      <w:r>
        <w:rPr>
          <w:rFonts w:cs="Arial" w:hint="cs"/>
          <w:rtl/>
        </w:rPr>
        <w:t>,</w:t>
      </w:r>
      <w:r w:rsidRPr="00B345A5">
        <w:rPr>
          <w:rFonts w:cs="Arial"/>
          <w:rtl/>
        </w:rPr>
        <w:t xml:space="preserve"> או אפי' הבנים אחרי מותו אם מכרו או משכנו או נתנו </w:t>
      </w:r>
      <w:r>
        <w:rPr>
          <w:rFonts w:cs="Arial" w:hint="cs"/>
          <w:rtl/>
        </w:rPr>
        <w:t xml:space="preserve">- </w:t>
      </w:r>
      <w:r w:rsidRPr="00B345A5">
        <w:rPr>
          <w:rFonts w:cs="Arial"/>
          <w:rtl/>
        </w:rPr>
        <w:t>אין ניזונות ממנו</w:t>
      </w:r>
      <w:r>
        <w:rPr>
          <w:rFonts w:cs="Arial" w:hint="cs"/>
          <w:rtl/>
        </w:rPr>
        <w:t>.</w:t>
      </w:r>
      <w:r w:rsidRPr="004206BB">
        <w:rPr>
          <w:rFonts w:cs="Arial"/>
          <w:color w:val="E36C0A" w:themeColor="accent6" w:themeShade="BF"/>
          <w:rtl/>
        </w:rPr>
        <w:t xml:space="preserve"> </w:t>
      </w:r>
      <w:r w:rsidRPr="004206BB">
        <w:rPr>
          <w:rFonts w:hint="cs"/>
          <w:color w:val="E36C0A" w:themeColor="accent6" w:themeShade="BF"/>
          <w:rtl/>
        </w:rPr>
        <w:t>(וכ"פ בשו"ע)</w:t>
      </w:r>
    </w:p>
    <w:p w14:paraId="21D6C242" w14:textId="77777777" w:rsidR="00392DBB" w:rsidRPr="00D9333A" w:rsidRDefault="00392DBB" w:rsidP="00392DBB">
      <w:pPr>
        <w:ind w:left="360"/>
        <w:rPr>
          <w:u w:val="dotted"/>
        </w:rPr>
      </w:pPr>
      <w:r w:rsidRPr="00D9333A">
        <w:rPr>
          <w:rFonts w:hint="cs"/>
          <w:u w:val="dotted"/>
          <w:rtl/>
        </w:rPr>
        <w:t>ומה הדין אם נתן הא</w:t>
      </w:r>
      <w:r>
        <w:rPr>
          <w:rFonts w:hint="cs"/>
          <w:u w:val="dotted"/>
          <w:rtl/>
        </w:rPr>
        <w:t>ב</w:t>
      </w:r>
      <w:r w:rsidRPr="00D9333A">
        <w:rPr>
          <w:rFonts w:hint="cs"/>
          <w:u w:val="dotted"/>
          <w:rtl/>
        </w:rPr>
        <w:t xml:space="preserve"> במתנת </w:t>
      </w:r>
      <w:r>
        <w:rPr>
          <w:rFonts w:hint="cs"/>
          <w:u w:val="dotted"/>
          <w:rtl/>
        </w:rPr>
        <w:t>שכיב מרע</w:t>
      </w:r>
      <w:r w:rsidRPr="00D9333A">
        <w:rPr>
          <w:rFonts w:hint="cs"/>
          <w:u w:val="dotted"/>
          <w:rtl/>
        </w:rPr>
        <w:t>:</w:t>
      </w:r>
    </w:p>
    <w:p w14:paraId="46E72CBA" w14:textId="77777777" w:rsidR="00392DBB" w:rsidRPr="00303A49" w:rsidRDefault="00392DBB" w:rsidP="009000E3">
      <w:pPr>
        <w:pStyle w:val="ab"/>
        <w:numPr>
          <w:ilvl w:val="0"/>
          <w:numId w:val="63"/>
        </w:numPr>
      </w:pPr>
      <w:r>
        <w:rPr>
          <w:rFonts w:cs="Arial" w:hint="cs"/>
          <w:rtl/>
        </w:rPr>
        <w:lastRenderedPageBreak/>
        <w:t>רמב"ם</w:t>
      </w:r>
      <w:r>
        <w:rPr>
          <w:rStyle w:val="a7"/>
          <w:rFonts w:cs="Arial"/>
          <w:rtl/>
        </w:rPr>
        <w:footnoteReference w:id="2560"/>
      </w:r>
      <w:r>
        <w:rPr>
          <w:rFonts w:cs="Arial" w:hint="cs"/>
          <w:rtl/>
        </w:rPr>
        <w:t xml:space="preserve"> </w:t>
      </w:r>
      <w:r>
        <w:rPr>
          <w:rFonts w:cs="Arial" w:hint="cs"/>
          <w:sz w:val="16"/>
          <w:szCs w:val="16"/>
          <w:rtl/>
        </w:rPr>
        <w:t>(פי"ט הי"ג)</w:t>
      </w:r>
      <w:r>
        <w:rPr>
          <w:rFonts w:cs="Arial" w:hint="cs"/>
          <w:rtl/>
        </w:rPr>
        <w:t xml:space="preserve"> רא"ש </w:t>
      </w:r>
      <w:r>
        <w:rPr>
          <w:rFonts w:cs="Arial" w:hint="cs"/>
          <w:sz w:val="16"/>
          <w:szCs w:val="16"/>
          <w:rtl/>
        </w:rPr>
        <w:t>(פ' יש נוחלין סי' לה)</w:t>
      </w:r>
      <w:r>
        <w:rPr>
          <w:rFonts w:cs="Arial" w:hint="cs"/>
          <w:rtl/>
        </w:rPr>
        <w:t xml:space="preserve"> וטור- </w:t>
      </w:r>
      <w:r w:rsidRPr="00B345A5">
        <w:rPr>
          <w:rFonts w:cs="Arial"/>
          <w:rtl/>
        </w:rPr>
        <w:t>בד"א שנתן האב מתנת בריא</w:t>
      </w:r>
      <w:r>
        <w:rPr>
          <w:rFonts w:cs="Arial" w:hint="cs"/>
          <w:rtl/>
        </w:rPr>
        <w:t>,</w:t>
      </w:r>
      <w:r w:rsidRPr="00B345A5">
        <w:rPr>
          <w:rFonts w:cs="Arial"/>
          <w:rtl/>
        </w:rPr>
        <w:t xml:space="preserve"> אבל אם נתן מתנת שכיב מרע </w:t>
      </w:r>
      <w:r>
        <w:rPr>
          <w:rFonts w:cs="Arial" w:hint="cs"/>
          <w:rtl/>
        </w:rPr>
        <w:t xml:space="preserve">- </w:t>
      </w:r>
      <w:r w:rsidRPr="00B345A5">
        <w:rPr>
          <w:rFonts w:cs="Arial"/>
          <w:rtl/>
        </w:rPr>
        <w:t>ניזונות ממנו</w:t>
      </w:r>
      <w:r>
        <w:rPr>
          <w:rStyle w:val="a7"/>
          <w:rFonts w:cs="Arial"/>
          <w:rtl/>
        </w:rPr>
        <w:footnoteReference w:id="2561"/>
      </w:r>
      <w:r>
        <w:rPr>
          <w:rFonts w:cs="Arial" w:hint="cs"/>
          <w:sz w:val="16"/>
          <w:szCs w:val="16"/>
          <w:rtl/>
        </w:rPr>
        <w:t xml:space="preserve"> (ל' הטור)</w:t>
      </w:r>
      <w:r>
        <w:rPr>
          <w:rFonts w:cs="Arial" w:hint="cs"/>
          <w:rtl/>
        </w:rPr>
        <w:t>.</w:t>
      </w:r>
    </w:p>
    <w:p w14:paraId="2DABB1BD" w14:textId="77777777" w:rsidR="00392DBB" w:rsidRDefault="00392DBB" w:rsidP="009000E3">
      <w:pPr>
        <w:pStyle w:val="ab"/>
        <w:numPr>
          <w:ilvl w:val="0"/>
          <w:numId w:val="63"/>
        </w:numPr>
        <w:rPr>
          <w:rtl/>
        </w:rPr>
      </w:pPr>
      <w:r w:rsidRPr="00B345A5">
        <w:rPr>
          <w:rFonts w:cs="Arial"/>
          <w:rtl/>
        </w:rPr>
        <w:t>ראב"ד</w:t>
      </w:r>
      <w:r>
        <w:rPr>
          <w:rStyle w:val="a7"/>
          <w:rFonts w:cs="Arial"/>
          <w:rtl/>
        </w:rPr>
        <w:footnoteReference w:id="2562"/>
      </w:r>
      <w:r>
        <w:rPr>
          <w:rFonts w:cs="Arial" w:hint="cs"/>
          <w:sz w:val="16"/>
          <w:szCs w:val="16"/>
          <w:rtl/>
        </w:rPr>
        <w:t xml:space="preserve"> (בהשגות שם)</w:t>
      </w:r>
      <w:r>
        <w:rPr>
          <w:rFonts w:cs="Arial" w:hint="cs"/>
          <w:rtl/>
        </w:rPr>
        <w:t>-</w:t>
      </w:r>
      <w:r w:rsidRPr="00B345A5">
        <w:rPr>
          <w:rFonts w:cs="Arial"/>
          <w:rtl/>
        </w:rPr>
        <w:t xml:space="preserve"> </w:t>
      </w:r>
      <w:r>
        <w:rPr>
          <w:rFonts w:cs="Arial" w:hint="cs"/>
          <w:rtl/>
        </w:rPr>
        <w:t>א</w:t>
      </w:r>
      <w:r w:rsidRPr="00B345A5">
        <w:rPr>
          <w:rFonts w:cs="Arial"/>
          <w:rtl/>
        </w:rPr>
        <w:t>ף במתנת שכיב מרע אינ</w:t>
      </w:r>
      <w:r>
        <w:rPr>
          <w:rFonts w:cs="Arial" w:hint="cs"/>
          <w:rtl/>
        </w:rPr>
        <w:t>ן</w:t>
      </w:r>
      <w:r w:rsidRPr="00B345A5">
        <w:rPr>
          <w:rFonts w:cs="Arial"/>
          <w:rtl/>
        </w:rPr>
        <w:t xml:space="preserve"> ניזונות</w:t>
      </w:r>
      <w:r>
        <w:rPr>
          <w:rFonts w:cs="Arial" w:hint="cs"/>
          <w:sz w:val="16"/>
          <w:szCs w:val="16"/>
          <w:rtl/>
        </w:rPr>
        <w:t xml:space="preserve"> (ל' הטור בשמו)</w:t>
      </w:r>
      <w:r>
        <w:rPr>
          <w:rFonts w:cs="Arial" w:hint="cs"/>
          <w:rtl/>
        </w:rPr>
        <w:t>.</w:t>
      </w:r>
      <w:r w:rsidRPr="00B345A5">
        <w:rPr>
          <w:rFonts w:cs="Arial"/>
          <w:rtl/>
        </w:rPr>
        <w:t xml:space="preserve"> </w:t>
      </w:r>
    </w:p>
    <w:p w14:paraId="2ECE7528"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1713CAC" w14:textId="77777777" w:rsidR="00392DBB" w:rsidRDefault="00392DBB" w:rsidP="00392DBB">
      <w:pPr>
        <w:rPr>
          <w:rFonts w:cs="Arial"/>
          <w:rtl/>
        </w:rPr>
      </w:pPr>
      <w:r w:rsidRPr="00523CDE">
        <w:rPr>
          <w:rFonts w:cs="Arial"/>
          <w:rtl/>
        </w:rPr>
        <w:t>עכשיו שכתובה נגבית אפילו ממטלטלים, גם הבנות נזונות מהם. ואינם ניזונות אלא מבני חרי, אבל לא ממשעבדי</w:t>
      </w:r>
      <w:r>
        <w:rPr>
          <w:rFonts w:cs="Arial" w:hint="cs"/>
          <w:rtl/>
        </w:rPr>
        <w:t>.</w:t>
      </w:r>
      <w:r w:rsidRPr="00523CDE">
        <w:rPr>
          <w:rFonts w:cs="Arial"/>
          <w:rtl/>
        </w:rPr>
        <w:t xml:space="preserve"> כגון אם מכר האב</w:t>
      </w:r>
      <w:r>
        <w:rPr>
          <w:rStyle w:val="a7"/>
          <w:rFonts w:cs="Arial"/>
          <w:rtl/>
        </w:rPr>
        <w:footnoteReference w:id="2563"/>
      </w:r>
      <w:r w:rsidRPr="00523CDE">
        <w:rPr>
          <w:rFonts w:cs="Arial"/>
          <w:rtl/>
        </w:rPr>
        <w:t xml:space="preserve"> או נתן האב במתנת בריא</w:t>
      </w:r>
      <w:r>
        <w:rPr>
          <w:rStyle w:val="a7"/>
          <w:rFonts w:cs="Arial"/>
          <w:rtl/>
        </w:rPr>
        <w:footnoteReference w:id="2564"/>
      </w:r>
      <w:r>
        <w:rPr>
          <w:rFonts w:cs="Arial" w:hint="cs"/>
          <w:rtl/>
        </w:rPr>
        <w:t>,</w:t>
      </w:r>
      <w:r w:rsidRPr="00523CDE">
        <w:rPr>
          <w:rFonts w:cs="Arial"/>
          <w:rtl/>
        </w:rPr>
        <w:t xml:space="preserve"> או אם הבנים אחר מיתת אביהם מכרו</w:t>
      </w:r>
      <w:r>
        <w:rPr>
          <w:rStyle w:val="a7"/>
          <w:rFonts w:cs="Arial"/>
          <w:rtl/>
        </w:rPr>
        <w:footnoteReference w:id="2565"/>
      </w:r>
      <w:r w:rsidRPr="00523CDE">
        <w:rPr>
          <w:rFonts w:cs="Arial"/>
          <w:rtl/>
        </w:rPr>
        <w:t xml:space="preserve"> או משכנו</w:t>
      </w:r>
      <w:r>
        <w:rPr>
          <w:rStyle w:val="a7"/>
          <w:rFonts w:cs="Arial"/>
          <w:rtl/>
        </w:rPr>
        <w:footnoteReference w:id="2566"/>
      </w:r>
      <w:r w:rsidRPr="00523CDE">
        <w:rPr>
          <w:rFonts w:cs="Arial"/>
          <w:rtl/>
        </w:rPr>
        <w:t xml:space="preserve"> או נתנו, אינן נזונות מהן. </w:t>
      </w:r>
    </w:p>
    <w:p w14:paraId="303174B7" w14:textId="77777777" w:rsidR="00392DBB" w:rsidRPr="00523CDE" w:rsidRDefault="00392DBB" w:rsidP="00392DBB">
      <w:pPr>
        <w:rPr>
          <w:rFonts w:cs="Arial"/>
          <w:rtl/>
        </w:rPr>
      </w:pPr>
    </w:p>
    <w:p w14:paraId="74576F56" w14:textId="77777777" w:rsidR="00392DBB" w:rsidRDefault="00392DBB" w:rsidP="000F64D0">
      <w:pPr>
        <w:pStyle w:val="2"/>
        <w:rPr>
          <w:rtl/>
        </w:rPr>
      </w:pPr>
      <w:r w:rsidRPr="00523CDE">
        <w:rPr>
          <w:rtl/>
        </w:rPr>
        <w:t>סעיף ח</w:t>
      </w:r>
      <w:r>
        <w:rPr>
          <w:rFonts w:hint="cs"/>
          <w:rtl/>
        </w:rPr>
        <w:t>: גביה ל</w:t>
      </w:r>
      <w:r w:rsidRPr="00B72D3C">
        <w:rPr>
          <w:rFonts w:hint="cs"/>
          <w:rtl/>
        </w:rPr>
        <w:t>מזונות הבת מ</w:t>
      </w:r>
      <w:r>
        <w:rPr>
          <w:rFonts w:hint="cs"/>
          <w:rtl/>
        </w:rPr>
        <w:t>מ</w:t>
      </w:r>
      <w:r w:rsidRPr="00B72D3C">
        <w:rPr>
          <w:rFonts w:hint="cs"/>
          <w:rtl/>
        </w:rPr>
        <w:t>שעבדי</w:t>
      </w:r>
      <w:r>
        <w:rPr>
          <w:rFonts w:hint="cs"/>
          <w:rtl/>
        </w:rPr>
        <w:t xml:space="preserve"> - כשקנו מהאב על חיוב מזונותיהן.</w:t>
      </w:r>
    </w:p>
    <w:p w14:paraId="595734CB" w14:textId="6A571E5B" w:rsidR="00392DBB" w:rsidRPr="006D1D4D" w:rsidRDefault="00392DBB" w:rsidP="00392DBB">
      <w:pPr>
        <w:rPr>
          <w:rtl/>
        </w:rPr>
      </w:pPr>
      <w:r w:rsidRPr="009E3B5F">
        <w:rPr>
          <w:rFonts w:hint="cs"/>
          <w:b/>
          <w:bCs/>
          <w:rtl/>
        </w:rPr>
        <w:t xml:space="preserve">כתובות </w:t>
      </w:r>
      <w:r w:rsidRPr="009E3B5F">
        <w:rPr>
          <w:rFonts w:hint="cs"/>
          <w:b/>
          <w:bCs/>
          <w:sz w:val="16"/>
          <w:szCs w:val="16"/>
          <w:rtl/>
        </w:rPr>
        <w:t>(</w:t>
      </w:r>
      <w:r>
        <w:rPr>
          <w:rFonts w:hint="cs"/>
          <w:b/>
          <w:bCs/>
          <w:sz w:val="16"/>
          <w:szCs w:val="16"/>
          <w:rtl/>
        </w:rPr>
        <w:t>ר"</w:t>
      </w:r>
      <w:r w:rsidRPr="009E3B5F">
        <w:rPr>
          <w:rFonts w:hint="cs"/>
          <w:b/>
          <w:bCs/>
          <w:sz w:val="16"/>
          <w:szCs w:val="16"/>
          <w:rtl/>
        </w:rPr>
        <w:t>פ</w:t>
      </w:r>
      <w:r>
        <w:rPr>
          <w:rFonts w:hint="cs"/>
          <w:b/>
          <w:bCs/>
          <w:sz w:val="16"/>
          <w:szCs w:val="16"/>
          <w:rtl/>
        </w:rPr>
        <w:t xml:space="preserve"> נושא</w:t>
      </w:r>
      <w:r w:rsidRPr="009E3B5F">
        <w:rPr>
          <w:rFonts w:hint="cs"/>
          <w:b/>
          <w:bCs/>
          <w:sz w:val="16"/>
          <w:szCs w:val="16"/>
          <w:rtl/>
        </w:rPr>
        <w:t xml:space="preserve">) </w:t>
      </w:r>
      <w:r>
        <w:rPr>
          <w:rFonts w:hint="cs"/>
          <w:b/>
          <w:bCs/>
          <w:rtl/>
        </w:rPr>
        <w:t>קא</w:t>
      </w:r>
      <w:r w:rsidRPr="009E3B5F">
        <w:rPr>
          <w:rFonts w:hint="cs"/>
          <w:b/>
          <w:bCs/>
          <w:rtl/>
        </w:rPr>
        <w:t xml:space="preserve"> ע"</w:t>
      </w:r>
      <w:r>
        <w:rPr>
          <w:rFonts w:hint="cs"/>
          <w:b/>
          <w:bCs/>
          <w:rtl/>
        </w:rPr>
        <w:t>ב</w:t>
      </w:r>
      <w:r w:rsidRPr="009E3B5F">
        <w:rPr>
          <w:rFonts w:hint="cs"/>
          <w:b/>
          <w:bCs/>
          <w:rtl/>
        </w:rPr>
        <w:t>:</w:t>
      </w:r>
      <w:r>
        <w:rPr>
          <w:rFonts w:cs="Arial" w:hint="cs"/>
          <w:rtl/>
        </w:rPr>
        <w:t xml:space="preserve"> </w:t>
      </w:r>
      <w:r w:rsidRPr="005A2FCA">
        <w:rPr>
          <w:rFonts w:cs="Arial"/>
          <w:u w:val="double"/>
          <w:rtl/>
        </w:rPr>
        <w:t>מתני'</w:t>
      </w:r>
      <w:r>
        <w:rPr>
          <w:rFonts w:cs="Arial" w:hint="cs"/>
          <w:rtl/>
        </w:rPr>
        <w:t>:</w:t>
      </w:r>
      <w:r w:rsidRPr="005A2FCA">
        <w:rPr>
          <w:rFonts w:cs="Arial"/>
          <w:rtl/>
        </w:rPr>
        <w:t xml:space="preserve"> הנושא את האשה, ופסקה עמו כדי שיזון את בתה חמש שנים - חייב לזונה חמש שנים.</w:t>
      </w:r>
      <w:r w:rsidRPr="006740EA">
        <w:rPr>
          <w:rtl/>
        </w:rPr>
        <w:t xml:space="preserve"> </w:t>
      </w:r>
      <w:r w:rsidRPr="006740EA">
        <w:rPr>
          <w:rFonts w:cs="Arial"/>
          <w:rtl/>
        </w:rPr>
        <w:t>ניסת</w:t>
      </w:r>
      <w:r>
        <w:rPr>
          <w:rStyle w:val="a7"/>
          <w:rFonts w:cs="Arial"/>
          <w:rtl/>
        </w:rPr>
        <w:footnoteReference w:id="2567"/>
      </w:r>
      <w:r w:rsidRPr="006740EA">
        <w:rPr>
          <w:rFonts w:cs="Arial"/>
          <w:rtl/>
        </w:rPr>
        <w:t xml:space="preserve"> לאחר, ופסקה עמו כדי שיזון את בתה חמש שנים - חייב לזונה חמש שנים. לא יאמר הראשון לכשתבא אצלי אזונה, אלא מוליך לה מזונותיה למקום שאמה. וכן לא יאמרו שניהם הרי אנו זנין אותה כאחד, אלא אחד זנה ואחד נותן לה דמי מזונות. ניסת - הבעל נותן לה מזונות, והן נותנין לה דמי מזונות.</w:t>
      </w:r>
      <w:r w:rsidRPr="005A2FCA">
        <w:rPr>
          <w:rFonts w:cs="Arial"/>
          <w:rtl/>
        </w:rPr>
        <w:t xml:space="preserve"> מתו - בנותיהן ניזונות מנכסים בני חורין</w:t>
      </w:r>
      <w:r>
        <w:rPr>
          <w:rStyle w:val="a7"/>
          <w:rFonts w:cs="Arial"/>
          <w:rtl/>
        </w:rPr>
        <w:footnoteReference w:id="2568"/>
      </w:r>
      <w:r w:rsidRPr="005A2FCA">
        <w:rPr>
          <w:rFonts w:cs="Arial"/>
          <w:rtl/>
        </w:rPr>
        <w:t>, והיא</w:t>
      </w:r>
      <w:r>
        <w:rPr>
          <w:rStyle w:val="a7"/>
          <w:rFonts w:cs="Arial"/>
          <w:rtl/>
        </w:rPr>
        <w:footnoteReference w:id="2569"/>
      </w:r>
      <w:r w:rsidRPr="005A2FCA">
        <w:rPr>
          <w:rFonts w:cs="Arial"/>
          <w:rtl/>
        </w:rPr>
        <w:t xml:space="preserve"> ניזונת מנכסים משועבדים, מפני שהיא כבעלת חוב.</w:t>
      </w:r>
      <w:r w:rsidRPr="00A9731F">
        <w:rPr>
          <w:rtl/>
        </w:rPr>
        <w:t xml:space="preserve"> </w:t>
      </w:r>
      <w:r w:rsidRPr="00A9731F">
        <w:rPr>
          <w:rFonts w:cs="Arial"/>
          <w:rtl/>
        </w:rPr>
        <w:t xml:space="preserve">הפקחים היו כותבים ע"מ שאזון את בתך חמש שנים כל זמן שאת עמי. </w:t>
      </w:r>
      <w:r w:rsidRPr="005A2FCA">
        <w:rPr>
          <w:rFonts w:cs="Arial"/>
          <w:rtl/>
        </w:rPr>
        <w:t xml:space="preserve">  </w:t>
      </w:r>
      <w:r>
        <w:rPr>
          <w:rFonts w:cs="Arial" w:hint="cs"/>
          <w:rtl/>
        </w:rPr>
        <w:t xml:space="preserve">   </w:t>
      </w:r>
      <w:r w:rsidRPr="009941F9">
        <w:rPr>
          <w:rFonts w:cs="Arial" w:hint="cs"/>
          <w:u w:val="double"/>
          <w:rtl/>
        </w:rPr>
        <w:t>גמ'</w:t>
      </w:r>
      <w:r w:rsidRPr="009941F9">
        <w:rPr>
          <w:rFonts w:cs="Arial" w:hint="cs"/>
          <w:sz w:val="14"/>
          <w:szCs w:val="14"/>
          <w:u w:val="double"/>
          <w:rtl/>
        </w:rPr>
        <w:t>(קב:)</w:t>
      </w:r>
      <w:r w:rsidRPr="009941F9">
        <w:rPr>
          <w:rFonts w:cs="Arial" w:hint="cs"/>
          <w:u w:val="double"/>
          <w:rtl/>
        </w:rPr>
        <w:t>:</w:t>
      </w:r>
      <w:r>
        <w:rPr>
          <w:rFonts w:cs="Arial" w:hint="cs"/>
          <w:rtl/>
        </w:rPr>
        <w:t xml:space="preserve"> </w:t>
      </w:r>
      <w:r w:rsidRPr="00A9731F">
        <w:rPr>
          <w:rFonts w:cs="Arial"/>
          <w:rtl/>
        </w:rPr>
        <w:t xml:space="preserve">גופא, </w:t>
      </w:r>
      <w:r w:rsidRPr="006339E4">
        <w:rPr>
          <w:rFonts w:cs="Arial"/>
          <w:u w:val="single"/>
          <w:rtl/>
        </w:rPr>
        <w:t>אמר רב גידל אמר רב</w:t>
      </w:r>
      <w:r w:rsidRPr="00A9731F">
        <w:rPr>
          <w:rFonts w:cs="Arial"/>
          <w:rtl/>
        </w:rPr>
        <w:t>: כמה אתה נותן לבנך? כך וכך, וכמה אתה נותן לבתך? כך וכך, עמדו וקידשו - קנו, הן הן הדברים הנקנים באמירה.</w:t>
      </w:r>
      <w:r>
        <w:rPr>
          <w:rFonts w:cs="Arial" w:hint="cs"/>
          <w:rtl/>
        </w:rPr>
        <w:t>.</w:t>
      </w:r>
      <w:r w:rsidRPr="00A9731F">
        <w:rPr>
          <w:rFonts w:cs="Arial"/>
          <w:rtl/>
        </w:rPr>
        <w:t xml:space="preserve">. </w:t>
      </w:r>
      <w:r w:rsidRPr="006339E4">
        <w:rPr>
          <w:rFonts w:cs="Arial"/>
          <w:u w:val="single"/>
          <w:rtl/>
        </w:rPr>
        <w:t>א"ל רבינא לרב אשי</w:t>
      </w:r>
      <w:r w:rsidRPr="00A9731F">
        <w:rPr>
          <w:rFonts w:cs="Arial"/>
          <w:rtl/>
        </w:rPr>
        <w:t>: דברים הללו ניתנו ליכתב</w:t>
      </w:r>
      <w:r>
        <w:rPr>
          <w:rStyle w:val="a7"/>
          <w:rFonts w:cs="Arial"/>
          <w:rtl/>
        </w:rPr>
        <w:footnoteReference w:id="2570"/>
      </w:r>
      <w:r w:rsidRPr="00A9731F">
        <w:rPr>
          <w:rFonts w:cs="Arial"/>
          <w:rtl/>
        </w:rPr>
        <w:t xml:space="preserve"> או לא ניתנו ליכתב</w:t>
      </w:r>
      <w:r>
        <w:rPr>
          <w:rStyle w:val="a7"/>
          <w:rFonts w:cs="Arial"/>
          <w:rtl/>
        </w:rPr>
        <w:footnoteReference w:id="2571"/>
      </w:r>
      <w:r w:rsidRPr="00A9731F">
        <w:rPr>
          <w:rFonts w:cs="Arial"/>
          <w:rtl/>
        </w:rPr>
        <w:t xml:space="preserve">? </w:t>
      </w:r>
      <w:r w:rsidRPr="006339E4">
        <w:rPr>
          <w:rFonts w:cs="Arial"/>
          <w:u w:val="single"/>
          <w:rtl/>
        </w:rPr>
        <w:t>א"ל</w:t>
      </w:r>
      <w:r w:rsidRPr="00A9731F">
        <w:rPr>
          <w:rFonts w:cs="Arial"/>
          <w:rtl/>
        </w:rPr>
        <w:t>: לא ניתנו ליכתב. איתיביה:</w:t>
      </w:r>
      <w:r>
        <w:rPr>
          <w:rFonts w:cs="Arial" w:hint="cs"/>
          <w:rtl/>
        </w:rPr>
        <w:t>...</w:t>
      </w:r>
      <w:r w:rsidRPr="00A9731F">
        <w:rPr>
          <w:rFonts w:cs="Arial"/>
          <w:rtl/>
        </w:rPr>
        <w:t xml:space="preserve"> תא שמע: מתו - בנותיהן ניזונות מנכסים בני חורין, והיא ניזונת מנכסים משועבדים, מפני שהיא כבעלת חוב</w:t>
      </w:r>
      <w:r>
        <w:rPr>
          <w:rStyle w:val="a7"/>
          <w:rFonts w:cs="Arial"/>
          <w:rtl/>
        </w:rPr>
        <w:footnoteReference w:id="2572"/>
      </w:r>
      <w:r>
        <w:rPr>
          <w:rFonts w:cs="Arial" w:hint="cs"/>
          <w:rtl/>
        </w:rPr>
        <w:t>.</w:t>
      </w:r>
      <w:r w:rsidRPr="00A9731F">
        <w:rPr>
          <w:rFonts w:cs="Arial"/>
          <w:rtl/>
        </w:rPr>
        <w:t xml:space="preserve"> </w:t>
      </w:r>
      <w:r w:rsidRPr="009941F9">
        <w:rPr>
          <w:rFonts w:cs="Arial"/>
          <w:rtl/>
        </w:rPr>
        <w:t>הכא במאי עסקינן - בשקנו מידו. אי הכי, בנות</w:t>
      </w:r>
      <w:r>
        <w:rPr>
          <w:rStyle w:val="a7"/>
          <w:rFonts w:cs="Arial"/>
          <w:rtl/>
        </w:rPr>
        <w:footnoteReference w:id="2573"/>
      </w:r>
      <w:r w:rsidRPr="009941F9">
        <w:rPr>
          <w:rFonts w:cs="Arial"/>
          <w:rtl/>
        </w:rPr>
        <w:t xml:space="preserve"> נמי! בשקנו לזו ולא קנו לזו. ומאי פסקא</w:t>
      </w:r>
      <w:r>
        <w:rPr>
          <w:rStyle w:val="a7"/>
          <w:rFonts w:cs="Arial"/>
          <w:rtl/>
        </w:rPr>
        <w:footnoteReference w:id="2574"/>
      </w:r>
      <w:r w:rsidRPr="009941F9">
        <w:rPr>
          <w:rFonts w:cs="Arial"/>
          <w:rtl/>
        </w:rPr>
        <w:t>? איהי דהואי בשעת קנין - מהני לה קנין, בנות דלא הוו בשעת קנין - לא מהני להו קנין. מי לא עסקינן דהואי בשעת קנין</w:t>
      </w:r>
      <w:r>
        <w:rPr>
          <w:rStyle w:val="a7"/>
          <w:rFonts w:cs="Arial"/>
          <w:rtl/>
        </w:rPr>
        <w:footnoteReference w:id="2575"/>
      </w:r>
      <w:r w:rsidRPr="009941F9">
        <w:rPr>
          <w:rFonts w:cs="Arial"/>
          <w:rtl/>
        </w:rPr>
        <w:t>, והיכי דמי? כגון דגרשה ואהדרה? אלא, איהי</w:t>
      </w:r>
      <w:r>
        <w:rPr>
          <w:rStyle w:val="a7"/>
          <w:rFonts w:cs="Arial"/>
          <w:rtl/>
        </w:rPr>
        <w:footnoteReference w:id="2576"/>
      </w:r>
      <w:r w:rsidRPr="009941F9">
        <w:rPr>
          <w:rFonts w:cs="Arial"/>
          <w:rtl/>
        </w:rPr>
        <w:t xml:space="preserve"> דליתא בתנאי ב"ד</w:t>
      </w:r>
      <w:r>
        <w:rPr>
          <w:rStyle w:val="a7"/>
          <w:rFonts w:cs="Arial"/>
          <w:rtl/>
        </w:rPr>
        <w:footnoteReference w:id="2577"/>
      </w:r>
      <w:r w:rsidRPr="009941F9">
        <w:rPr>
          <w:rFonts w:cs="Arial"/>
          <w:rtl/>
        </w:rPr>
        <w:t xml:space="preserve"> - מהני לה קנין, בנות</w:t>
      </w:r>
      <w:r>
        <w:rPr>
          <w:rStyle w:val="a7"/>
          <w:rFonts w:cs="Arial"/>
          <w:rtl/>
        </w:rPr>
        <w:footnoteReference w:id="2578"/>
      </w:r>
      <w:r w:rsidRPr="009941F9">
        <w:rPr>
          <w:rFonts w:cs="Arial"/>
          <w:rtl/>
        </w:rPr>
        <w:t xml:space="preserve"> דאיתנהו בתנאי ב"ד - לא מהני להו קנין. מגרע גרעי? אלא בנותיו היינו טעמא, כיון דאיתנהו בתנאי ב"ד - אימר צררי אתפסינהו</w:t>
      </w:r>
      <w:r>
        <w:rPr>
          <w:rStyle w:val="a7"/>
          <w:rFonts w:cs="Arial"/>
          <w:rtl/>
        </w:rPr>
        <w:footnoteReference w:id="2579"/>
      </w:r>
      <w:r w:rsidRPr="009941F9">
        <w:rPr>
          <w:rFonts w:cs="Arial"/>
          <w:rtl/>
        </w:rPr>
        <w:t>.</w:t>
      </w:r>
      <w:r>
        <w:rPr>
          <w:rFonts w:cs="Arial" w:hint="cs"/>
          <w:rtl/>
        </w:rPr>
        <w:t xml:space="preserve"> </w:t>
      </w:r>
      <w:r w:rsidRPr="00D91CCB">
        <w:rPr>
          <w:rFonts w:cs="Arial" w:hint="cs"/>
          <w:sz w:val="16"/>
          <w:szCs w:val="16"/>
          <w:rtl/>
        </w:rPr>
        <w:t>(</w:t>
      </w:r>
      <w:r w:rsidRPr="00D91CCB">
        <w:rPr>
          <w:rFonts w:cs="Arial"/>
          <w:sz w:val="16"/>
          <w:szCs w:val="16"/>
          <w:rtl/>
        </w:rPr>
        <w:t xml:space="preserve">תימה לרבי דבגיטין פ' הנזקין (מח:) תנן אין מוציאין לאכילת פירות ולשבח קרקעות ולמזון האשה והבנות </w:t>
      </w:r>
      <w:r w:rsidRPr="00D91CCB">
        <w:rPr>
          <w:rFonts w:cs="Arial"/>
          <w:sz w:val="16"/>
          <w:szCs w:val="16"/>
          <w:rtl/>
        </w:rPr>
        <w:lastRenderedPageBreak/>
        <w:t>מנכסים משועבדים מפני תיקון העולם</w:t>
      </w:r>
      <w:r>
        <w:rPr>
          <w:rFonts w:cs="Arial" w:hint="cs"/>
          <w:sz w:val="16"/>
          <w:szCs w:val="16"/>
          <w:rtl/>
        </w:rPr>
        <w:t>,</w:t>
      </w:r>
      <w:r w:rsidRPr="00D91CCB">
        <w:rPr>
          <w:rFonts w:cs="Arial"/>
          <w:sz w:val="16"/>
          <w:szCs w:val="16"/>
          <w:rtl/>
        </w:rPr>
        <w:t xml:space="preserve"> ומפרש ר"ל בגמ' (שם נ:) טעמא לפי שאין כתובין</w:t>
      </w:r>
      <w:r>
        <w:rPr>
          <w:rFonts w:cs="Arial" w:hint="cs"/>
          <w:sz w:val="16"/>
          <w:szCs w:val="16"/>
          <w:rtl/>
        </w:rPr>
        <w:t>,</w:t>
      </w:r>
      <w:r w:rsidRPr="00D91CCB">
        <w:rPr>
          <w:rFonts w:cs="Arial"/>
          <w:sz w:val="16"/>
          <w:szCs w:val="16"/>
          <w:rtl/>
        </w:rPr>
        <w:t xml:space="preserve"> והיינו טעמא נמי דמזון הבנות</w:t>
      </w:r>
      <w:r>
        <w:rPr>
          <w:rFonts w:cs="Arial" w:hint="cs"/>
          <w:sz w:val="16"/>
          <w:szCs w:val="16"/>
          <w:rtl/>
        </w:rPr>
        <w:t>,</w:t>
      </w:r>
      <w:r w:rsidRPr="00D91CCB">
        <w:rPr>
          <w:rFonts w:cs="Arial"/>
          <w:sz w:val="16"/>
          <w:szCs w:val="16"/>
          <w:rtl/>
        </w:rPr>
        <w:t xml:space="preserve"> והכא מפרש טעמא משום אימר צררי אתפסה</w:t>
      </w:r>
      <w:r>
        <w:rPr>
          <w:rFonts w:cs="Arial" w:hint="cs"/>
          <w:sz w:val="16"/>
          <w:szCs w:val="16"/>
          <w:rtl/>
        </w:rPr>
        <w:t>.</w:t>
      </w:r>
      <w:r w:rsidRPr="00D91CCB">
        <w:rPr>
          <w:rFonts w:cs="Arial"/>
          <w:sz w:val="16"/>
          <w:szCs w:val="16"/>
          <w:rtl/>
        </w:rPr>
        <w:t xml:space="preserve"> </w:t>
      </w:r>
      <w:r w:rsidRPr="006D5AC0">
        <w:rPr>
          <w:rFonts w:cs="Arial"/>
          <w:sz w:val="16"/>
          <w:szCs w:val="16"/>
          <w:u w:val="single"/>
          <w:rtl/>
        </w:rPr>
        <w:t>וי"ל</w:t>
      </w:r>
      <w:r w:rsidR="00FD4875">
        <w:rPr>
          <w:rFonts w:cs="Arial" w:hint="cs"/>
          <w:sz w:val="16"/>
          <w:szCs w:val="16"/>
          <w:rtl/>
        </w:rPr>
        <w:t xml:space="preserve"> </w:t>
      </w:r>
      <w:r w:rsidRPr="00D91CCB">
        <w:rPr>
          <w:rFonts w:cs="Arial"/>
          <w:sz w:val="16"/>
          <w:szCs w:val="16"/>
          <w:rtl/>
        </w:rPr>
        <w:t>דאיצטריך טעמא לפי שאין כתובין היכא שהודה האב שלא התפיס צררי</w:t>
      </w:r>
      <w:r>
        <w:rPr>
          <w:rFonts w:cs="Arial" w:hint="cs"/>
          <w:sz w:val="16"/>
          <w:szCs w:val="16"/>
          <w:rtl/>
        </w:rPr>
        <w:t>...</w:t>
      </w:r>
      <w:r w:rsidRPr="00D91CCB">
        <w:rPr>
          <w:rFonts w:cs="Arial"/>
          <w:sz w:val="16"/>
          <w:szCs w:val="16"/>
          <w:rtl/>
        </w:rPr>
        <w:t xml:space="preserve"> עוד תימה לרבי כיון דהיינו טעמא דלא גבו בנות ממשעבדי משום דכיון דאיתנהו בתנאי ב"ד אימר אתפסינהו צררי</w:t>
      </w:r>
      <w:r>
        <w:rPr>
          <w:rFonts w:cs="Arial" w:hint="cs"/>
          <w:sz w:val="16"/>
          <w:szCs w:val="16"/>
          <w:rtl/>
        </w:rPr>
        <w:t>,</w:t>
      </w:r>
      <w:r w:rsidRPr="00D91CCB">
        <w:rPr>
          <w:rFonts w:cs="Arial"/>
          <w:sz w:val="16"/>
          <w:szCs w:val="16"/>
          <w:rtl/>
        </w:rPr>
        <w:t xml:space="preserve"> כתובה נמי מהאי טעמא לא תגבי ממשעבדי</w:t>
      </w:r>
      <w:r>
        <w:rPr>
          <w:rFonts w:cs="Arial" w:hint="cs"/>
          <w:sz w:val="16"/>
          <w:szCs w:val="16"/>
          <w:rtl/>
        </w:rPr>
        <w:t>.</w:t>
      </w:r>
      <w:r w:rsidRPr="00D91CCB">
        <w:rPr>
          <w:rFonts w:cs="Arial"/>
          <w:sz w:val="16"/>
          <w:szCs w:val="16"/>
          <w:rtl/>
        </w:rPr>
        <w:t xml:space="preserve"> </w:t>
      </w:r>
      <w:r w:rsidRPr="006D5AC0">
        <w:rPr>
          <w:rFonts w:cs="Arial"/>
          <w:sz w:val="16"/>
          <w:szCs w:val="16"/>
          <w:u w:val="single"/>
          <w:rtl/>
        </w:rPr>
        <w:t>ותירץ רבי</w:t>
      </w:r>
      <w:r>
        <w:rPr>
          <w:rFonts w:cs="Arial" w:hint="cs"/>
          <w:sz w:val="16"/>
          <w:szCs w:val="16"/>
          <w:rtl/>
        </w:rPr>
        <w:t xml:space="preserve"> </w:t>
      </w:r>
      <w:r w:rsidRPr="00D91CCB">
        <w:rPr>
          <w:rFonts w:cs="Arial"/>
          <w:sz w:val="16"/>
          <w:szCs w:val="16"/>
          <w:rtl/>
        </w:rPr>
        <w:t>דטפי מתפיס צררי לבתו כדאמרינן לעיל בפרק נערה (מג. ושם) לענין הרווחה דבתו עדיפא ליה</w:t>
      </w:r>
      <w:r>
        <w:rPr>
          <w:rFonts w:cs="Arial" w:hint="cs"/>
          <w:sz w:val="16"/>
          <w:szCs w:val="16"/>
          <w:rtl/>
        </w:rPr>
        <w:t>.</w:t>
      </w:r>
      <w:r w:rsidRPr="00D91CCB">
        <w:rPr>
          <w:rFonts w:cs="Arial"/>
          <w:sz w:val="16"/>
          <w:szCs w:val="16"/>
          <w:rtl/>
        </w:rPr>
        <w:t xml:space="preserve"> ואמרתי לפני רבי דמשמע הכא דבת אשתו אי הוה גובה בתנאי ב"ד לא היתה גובה ממשעבדי</w:t>
      </w:r>
      <w:r>
        <w:rPr>
          <w:rFonts w:cs="Arial" w:hint="cs"/>
          <w:sz w:val="16"/>
          <w:szCs w:val="16"/>
          <w:rtl/>
        </w:rPr>
        <w:t>,</w:t>
      </w:r>
      <w:r w:rsidRPr="00D91CCB">
        <w:rPr>
          <w:rFonts w:cs="Arial"/>
          <w:sz w:val="16"/>
          <w:szCs w:val="16"/>
          <w:rtl/>
        </w:rPr>
        <w:t xml:space="preserve"> דהוה חיישינן להתפיס צררי אע</w:t>
      </w:r>
      <w:r>
        <w:rPr>
          <w:rFonts w:cs="Arial" w:hint="cs"/>
          <w:sz w:val="16"/>
          <w:szCs w:val="16"/>
          <w:rtl/>
        </w:rPr>
        <w:t>"</w:t>
      </w:r>
      <w:r w:rsidRPr="00D91CCB">
        <w:rPr>
          <w:rFonts w:cs="Arial"/>
          <w:sz w:val="16"/>
          <w:szCs w:val="16"/>
          <w:rtl/>
        </w:rPr>
        <w:t>ג דלא ניחא ליה בהרווחה</w:t>
      </w:r>
      <w:r>
        <w:rPr>
          <w:rFonts w:cs="Arial" w:hint="cs"/>
          <w:sz w:val="16"/>
          <w:szCs w:val="16"/>
          <w:rtl/>
        </w:rPr>
        <w:t>.</w:t>
      </w:r>
      <w:r w:rsidRPr="00D91CCB">
        <w:rPr>
          <w:rFonts w:cs="Arial"/>
          <w:sz w:val="16"/>
          <w:szCs w:val="16"/>
          <w:rtl/>
        </w:rPr>
        <w:t xml:space="preserve"> ואמר לי רבי דודאי הוה מצי למימר </w:t>
      </w:r>
      <w:r>
        <w:rPr>
          <w:rFonts w:cs="Arial" w:hint="cs"/>
          <w:sz w:val="14"/>
          <w:szCs w:val="14"/>
          <w:rtl/>
        </w:rPr>
        <w:t xml:space="preserve">{רק את הטעם ש-} </w:t>
      </w:r>
      <w:r w:rsidRPr="00D91CCB">
        <w:rPr>
          <w:rFonts w:cs="Arial"/>
          <w:sz w:val="16"/>
          <w:szCs w:val="16"/>
          <w:rtl/>
        </w:rPr>
        <w:t>בתה לא ניחא ליה בהרווחה</w:t>
      </w:r>
      <w:r>
        <w:rPr>
          <w:rFonts w:cs="Arial" w:hint="cs"/>
          <w:sz w:val="16"/>
          <w:szCs w:val="16"/>
          <w:rtl/>
        </w:rPr>
        <w:t>,</w:t>
      </w:r>
      <w:r w:rsidRPr="00D91CCB">
        <w:rPr>
          <w:rFonts w:cs="Arial"/>
          <w:sz w:val="16"/>
          <w:szCs w:val="16"/>
          <w:rtl/>
        </w:rPr>
        <w:t xml:space="preserve"> בתו ניחא ליה</w:t>
      </w:r>
      <w:r>
        <w:rPr>
          <w:rFonts w:cs="Arial" w:hint="cs"/>
          <w:sz w:val="16"/>
          <w:szCs w:val="16"/>
          <w:rtl/>
        </w:rPr>
        <w:t>,</w:t>
      </w:r>
      <w:r w:rsidRPr="00D91CCB">
        <w:rPr>
          <w:rFonts w:cs="Arial"/>
          <w:sz w:val="16"/>
          <w:szCs w:val="16"/>
          <w:rtl/>
        </w:rPr>
        <w:t xml:space="preserve"> אלא איצטריך </w:t>
      </w:r>
      <w:r>
        <w:rPr>
          <w:rFonts w:cs="Arial" w:hint="cs"/>
          <w:sz w:val="14"/>
          <w:szCs w:val="14"/>
          <w:rtl/>
        </w:rPr>
        <w:t xml:space="preserve">{הכא דווקא את} </w:t>
      </w:r>
      <w:r w:rsidRPr="00D91CCB">
        <w:rPr>
          <w:rFonts w:cs="Arial"/>
          <w:sz w:val="16"/>
          <w:szCs w:val="16"/>
          <w:rtl/>
        </w:rPr>
        <w:t>טעמא דתנאי ב"ד</w:t>
      </w:r>
      <w:r>
        <w:rPr>
          <w:rFonts w:cs="Arial" w:hint="cs"/>
          <w:sz w:val="16"/>
          <w:szCs w:val="16"/>
          <w:rtl/>
        </w:rPr>
        <w:t>,</w:t>
      </w:r>
      <w:r w:rsidRPr="00D91CCB">
        <w:rPr>
          <w:rFonts w:cs="Arial"/>
          <w:sz w:val="16"/>
          <w:szCs w:val="16"/>
          <w:rtl/>
        </w:rPr>
        <w:t xml:space="preserve"> </w:t>
      </w:r>
      <w:r>
        <w:rPr>
          <w:rFonts w:cs="Arial" w:hint="cs"/>
          <w:sz w:val="14"/>
          <w:szCs w:val="14"/>
          <w:rtl/>
        </w:rPr>
        <w:t xml:space="preserve">{כדי להורות} </w:t>
      </w:r>
      <w:r w:rsidRPr="00D91CCB">
        <w:rPr>
          <w:rFonts w:cs="Arial"/>
          <w:sz w:val="16"/>
          <w:szCs w:val="16"/>
          <w:rtl/>
        </w:rPr>
        <w:t>שאם פסקה עמו לזון את בתה מחיים</w:t>
      </w:r>
      <w:r>
        <w:rPr>
          <w:rFonts w:cs="Arial" w:hint="cs"/>
          <w:sz w:val="16"/>
          <w:szCs w:val="16"/>
          <w:rtl/>
        </w:rPr>
        <w:t>,</w:t>
      </w:r>
      <w:r w:rsidRPr="00D91CCB">
        <w:rPr>
          <w:rFonts w:cs="Arial"/>
          <w:sz w:val="16"/>
          <w:szCs w:val="16"/>
          <w:rtl/>
        </w:rPr>
        <w:t xml:space="preserve"> דאז לא אכלה בתנאי ב"ד</w:t>
      </w:r>
      <w:r>
        <w:rPr>
          <w:rFonts w:cs="Arial" w:hint="cs"/>
          <w:sz w:val="16"/>
          <w:szCs w:val="16"/>
          <w:rtl/>
        </w:rPr>
        <w:t>,</w:t>
      </w:r>
      <w:r w:rsidRPr="00D91CCB">
        <w:rPr>
          <w:rFonts w:cs="Arial"/>
          <w:sz w:val="16"/>
          <w:szCs w:val="16"/>
          <w:rtl/>
        </w:rPr>
        <w:t xml:space="preserve"> א"נ לאחר מיתה ולאחר שתבגר </w:t>
      </w:r>
      <w:r>
        <w:rPr>
          <w:rFonts w:cs="Arial" w:hint="cs"/>
          <w:sz w:val="16"/>
          <w:szCs w:val="16"/>
          <w:rtl/>
        </w:rPr>
        <w:t xml:space="preserve">- </w:t>
      </w:r>
      <w:r w:rsidRPr="00D91CCB">
        <w:rPr>
          <w:rFonts w:cs="Arial"/>
          <w:sz w:val="16"/>
          <w:szCs w:val="16"/>
          <w:rtl/>
        </w:rPr>
        <w:t>היתה גובה ממשעבדי</w:t>
      </w:r>
      <w:r>
        <w:rPr>
          <w:rFonts w:cs="Arial" w:hint="cs"/>
          <w:sz w:val="16"/>
          <w:szCs w:val="16"/>
          <w:rtl/>
        </w:rPr>
        <w:t>,</w:t>
      </w:r>
      <w:r w:rsidRPr="00D91CCB">
        <w:rPr>
          <w:rFonts w:cs="Arial"/>
          <w:sz w:val="16"/>
          <w:szCs w:val="16"/>
          <w:rtl/>
        </w:rPr>
        <w:t xml:space="preserve"> דלא חיישינן לצררי אלא היכא דאיכא תרי טעמי דאכלה בתנאי ב"ד וניחא ליה בהרווחה</w:t>
      </w:r>
      <w:r>
        <w:rPr>
          <w:rFonts w:cs="Arial" w:hint="cs"/>
          <w:sz w:val="16"/>
          <w:szCs w:val="16"/>
          <w:rtl/>
        </w:rPr>
        <w:t>...</w:t>
      </w:r>
      <w:r w:rsidRPr="00D91CCB">
        <w:rPr>
          <w:rFonts w:cs="Arial"/>
          <w:sz w:val="16"/>
          <w:szCs w:val="16"/>
          <w:rtl/>
        </w:rPr>
        <w:t xml:space="preserve"> </w:t>
      </w:r>
      <w:r>
        <w:rPr>
          <w:rStyle w:val="a7"/>
          <w:rFonts w:cs="Arial"/>
          <w:sz w:val="16"/>
          <w:szCs w:val="16"/>
          <w:rtl/>
        </w:rPr>
        <w:footnoteReference w:id="2580"/>
      </w:r>
      <w:r w:rsidRPr="006D5AC0">
        <w:rPr>
          <w:rFonts w:cs="Arial"/>
          <w:sz w:val="16"/>
          <w:szCs w:val="16"/>
          <w:u w:val="single"/>
          <w:rtl/>
        </w:rPr>
        <w:t>עוד תירץ</w:t>
      </w:r>
      <w:r w:rsidRPr="00D91CCB">
        <w:rPr>
          <w:rFonts w:cs="Arial"/>
          <w:sz w:val="16"/>
          <w:szCs w:val="16"/>
          <w:rtl/>
        </w:rPr>
        <w:t xml:space="preserve"> דה"ק</w:t>
      </w:r>
      <w:r>
        <w:rPr>
          <w:rFonts w:cs="Arial" w:hint="cs"/>
          <w:sz w:val="16"/>
          <w:szCs w:val="16"/>
          <w:rtl/>
        </w:rPr>
        <w:t>,</w:t>
      </w:r>
      <w:r w:rsidRPr="00D91CCB">
        <w:rPr>
          <w:rFonts w:cs="Arial"/>
          <w:sz w:val="16"/>
          <w:szCs w:val="16"/>
          <w:rtl/>
        </w:rPr>
        <w:t xml:space="preserve"> כיון דאיתנהו בתנאי ב"ד</w:t>
      </w:r>
      <w:r>
        <w:rPr>
          <w:rFonts w:cs="Arial" w:hint="cs"/>
          <w:sz w:val="16"/>
          <w:szCs w:val="16"/>
          <w:rtl/>
        </w:rPr>
        <w:t>,</w:t>
      </w:r>
      <w:r w:rsidRPr="00D91CCB">
        <w:rPr>
          <w:rFonts w:cs="Arial"/>
          <w:sz w:val="16"/>
          <w:szCs w:val="16"/>
          <w:rtl/>
        </w:rPr>
        <w:t xml:space="preserve"> פי' שכל כך יפה כחה שהקנה לה אע</w:t>
      </w:r>
      <w:r>
        <w:rPr>
          <w:rFonts w:cs="Arial" w:hint="cs"/>
          <w:sz w:val="16"/>
          <w:szCs w:val="16"/>
          <w:rtl/>
        </w:rPr>
        <w:t>"</w:t>
      </w:r>
      <w:r w:rsidRPr="00D91CCB">
        <w:rPr>
          <w:rFonts w:cs="Arial"/>
          <w:sz w:val="16"/>
          <w:szCs w:val="16"/>
          <w:rtl/>
        </w:rPr>
        <w:t xml:space="preserve">ג דאיתנהו בתנאי ב"ד </w:t>
      </w:r>
      <w:r>
        <w:rPr>
          <w:rFonts w:cs="Arial" w:hint="cs"/>
          <w:sz w:val="16"/>
          <w:szCs w:val="16"/>
          <w:rtl/>
        </w:rPr>
        <w:t xml:space="preserve">- </w:t>
      </w:r>
      <w:r w:rsidRPr="00D91CCB">
        <w:rPr>
          <w:rFonts w:cs="Arial"/>
          <w:sz w:val="16"/>
          <w:szCs w:val="16"/>
          <w:rtl/>
        </w:rPr>
        <w:t>ודאי איכא למיחש לצררי</w:t>
      </w:r>
      <w:r>
        <w:rPr>
          <w:rFonts w:cs="Arial" w:hint="cs"/>
          <w:sz w:val="16"/>
          <w:szCs w:val="16"/>
          <w:rtl/>
        </w:rPr>
        <w:t>.</w:t>
      </w:r>
      <w:r w:rsidRPr="00D91CCB">
        <w:rPr>
          <w:rFonts w:cs="Arial"/>
          <w:sz w:val="16"/>
          <w:szCs w:val="16"/>
          <w:rtl/>
        </w:rPr>
        <w:t xml:space="preserve"> ובהאי שינויא מתורצין לגמרי כל הנך פירכי ההיא דגיטין וההיא דקטנה וההיא דכתובה, מ"ר</w:t>
      </w:r>
      <w:r>
        <w:rPr>
          <w:rFonts w:cs="Arial" w:hint="cs"/>
          <w:sz w:val="16"/>
          <w:szCs w:val="16"/>
          <w:rtl/>
        </w:rPr>
        <w:t>, תוס' (ד"ה אימר צררי). ועיין בדברי הב"ש (סקי"ז) שמובאים בסוף הסעיף)</w:t>
      </w:r>
    </w:p>
    <w:p w14:paraId="01914803" w14:textId="0D754CA8" w:rsidR="00392DBB" w:rsidRPr="001A203B" w:rsidRDefault="00392DBB" w:rsidP="00392DBB">
      <w:pPr>
        <w:rPr>
          <w:rtl/>
        </w:rPr>
      </w:pPr>
      <w:r w:rsidRPr="001A203B">
        <w:rPr>
          <w:rFonts w:cs="Arial" w:hint="cs"/>
          <w:b/>
          <w:bCs/>
          <w:rtl/>
        </w:rPr>
        <w:t xml:space="preserve">גיטין </w:t>
      </w:r>
      <w:r>
        <w:rPr>
          <w:rFonts w:cs="Arial" w:hint="cs"/>
          <w:b/>
          <w:bCs/>
          <w:sz w:val="16"/>
          <w:szCs w:val="16"/>
          <w:rtl/>
        </w:rPr>
        <w:t>(ר"פ הניזקין)</w:t>
      </w:r>
      <w:r>
        <w:rPr>
          <w:rFonts w:cs="Arial" w:hint="cs"/>
          <w:b/>
          <w:bCs/>
          <w:rtl/>
        </w:rPr>
        <w:t xml:space="preserve"> </w:t>
      </w:r>
      <w:r w:rsidRPr="001A203B">
        <w:rPr>
          <w:rFonts w:cs="Arial" w:hint="cs"/>
          <w:b/>
          <w:bCs/>
          <w:rtl/>
        </w:rPr>
        <w:t>מח</w:t>
      </w:r>
      <w:r w:rsidR="00880AE0">
        <w:rPr>
          <w:rStyle w:val="a7"/>
          <w:rFonts w:cs="Arial"/>
          <w:b/>
          <w:bCs/>
          <w:rtl/>
        </w:rPr>
        <w:footnoteReference w:id="2581"/>
      </w:r>
      <w:r w:rsidRPr="001A203B">
        <w:rPr>
          <w:rFonts w:cs="Arial" w:hint="cs"/>
          <w:b/>
          <w:bCs/>
          <w:rtl/>
        </w:rPr>
        <w:t xml:space="preserve"> ע"ב: </w:t>
      </w:r>
      <w:r w:rsidRPr="00900521">
        <w:rPr>
          <w:rFonts w:cs="Arial"/>
          <w:u w:val="double"/>
          <w:rtl/>
        </w:rPr>
        <w:t>מתני'</w:t>
      </w:r>
      <w:r>
        <w:rPr>
          <w:rFonts w:cs="Arial" w:hint="cs"/>
          <w:rtl/>
        </w:rPr>
        <w:t>:...</w:t>
      </w:r>
      <w:r>
        <w:rPr>
          <w:rFonts w:cs="Arial"/>
          <w:rtl/>
        </w:rPr>
        <w:t xml:space="preserve"> אין מוציאין לאכילת פירות ולשבח קרקעות ולמזון האשה והבנות מנכסים משועבדין, מפני תיקון העולם.</w:t>
      </w:r>
      <w:r>
        <w:rPr>
          <w:rFonts w:cs="Arial" w:hint="cs"/>
          <w:rtl/>
        </w:rPr>
        <w:t>.</w:t>
      </w:r>
      <w:r>
        <w:rPr>
          <w:rFonts w:cs="Arial"/>
          <w:rtl/>
        </w:rPr>
        <w:t xml:space="preserve">. </w:t>
      </w:r>
      <w:r>
        <w:rPr>
          <w:rFonts w:hint="cs"/>
          <w:rtl/>
        </w:rPr>
        <w:t xml:space="preserve">        </w:t>
      </w:r>
      <w:r w:rsidRPr="00900521">
        <w:rPr>
          <w:rFonts w:cs="Arial"/>
          <w:u w:val="double"/>
          <w:rtl/>
        </w:rPr>
        <w:t>גמ'</w:t>
      </w:r>
      <w:r>
        <w:rPr>
          <w:rFonts w:cs="Arial" w:hint="cs"/>
          <w:sz w:val="14"/>
          <w:szCs w:val="14"/>
          <w:u w:val="double"/>
          <w:rtl/>
        </w:rPr>
        <w:t>(נ:)</w:t>
      </w:r>
      <w:r>
        <w:rPr>
          <w:rFonts w:cs="Arial" w:hint="cs"/>
          <w:u w:val="double"/>
          <w:rtl/>
        </w:rPr>
        <w:t>:</w:t>
      </w:r>
      <w:r w:rsidRPr="00900521">
        <w:rPr>
          <w:rtl/>
        </w:rPr>
        <w:t xml:space="preserve"> </w:t>
      </w:r>
      <w:r w:rsidRPr="00900521">
        <w:rPr>
          <w:rFonts w:cs="Arial"/>
          <w:rtl/>
        </w:rPr>
        <w:t xml:space="preserve">אין מוציאין לאכילת פירות. מאי טעמא? </w:t>
      </w:r>
      <w:r w:rsidRPr="00900521">
        <w:rPr>
          <w:rFonts w:cs="Arial"/>
          <w:u w:val="single"/>
          <w:rtl/>
        </w:rPr>
        <w:t>אמר עולא אמר ריש לקיש</w:t>
      </w:r>
      <w:r w:rsidRPr="00900521">
        <w:rPr>
          <w:rFonts w:cs="Arial"/>
          <w:rtl/>
        </w:rPr>
        <w:t xml:space="preserve">: לפי שאין כתובין. </w:t>
      </w:r>
      <w:r w:rsidRPr="00900521">
        <w:rPr>
          <w:rFonts w:cs="Arial"/>
          <w:u w:val="single"/>
          <w:rtl/>
        </w:rPr>
        <w:t>אמר ליה רבי אבא לעולא</w:t>
      </w:r>
      <w:r w:rsidRPr="00900521">
        <w:rPr>
          <w:rFonts w:cs="Arial"/>
          <w:rtl/>
        </w:rPr>
        <w:t>: והא מזון האשה והבנות דכמאן דכתיבי דמו</w:t>
      </w:r>
      <w:r>
        <w:rPr>
          <w:rStyle w:val="a7"/>
          <w:rFonts w:cs="Arial"/>
          <w:rtl/>
        </w:rPr>
        <w:footnoteReference w:id="2582"/>
      </w:r>
      <w:r w:rsidRPr="00900521">
        <w:rPr>
          <w:rFonts w:cs="Arial"/>
          <w:rtl/>
        </w:rPr>
        <w:t xml:space="preserve">, וקתני: אין מוציאין! </w:t>
      </w:r>
      <w:r w:rsidRPr="008172A3">
        <w:rPr>
          <w:rFonts w:cs="Arial"/>
          <w:u w:val="single"/>
          <w:rtl/>
        </w:rPr>
        <w:t>א"ל</w:t>
      </w:r>
      <w:r w:rsidRPr="00900521">
        <w:rPr>
          <w:rFonts w:cs="Arial"/>
          <w:rtl/>
        </w:rPr>
        <w:t>: התם מעיקרא הכי אתקון</w:t>
      </w:r>
      <w:r>
        <w:rPr>
          <w:rStyle w:val="a7"/>
          <w:rFonts w:cs="Arial"/>
          <w:rtl/>
        </w:rPr>
        <w:footnoteReference w:id="2583"/>
      </w:r>
      <w:r w:rsidRPr="00900521">
        <w:rPr>
          <w:rFonts w:cs="Arial"/>
          <w:rtl/>
        </w:rPr>
        <w:t xml:space="preserve">, כתובין הן אצל בני חורין, ואין כתובין הן אצל משועבדין. </w:t>
      </w:r>
      <w:r w:rsidRPr="008172A3">
        <w:rPr>
          <w:rFonts w:cs="Arial"/>
          <w:u w:val="single"/>
          <w:rtl/>
        </w:rPr>
        <w:t>וכן אמר רבי אסי אמר ר' יוחנן</w:t>
      </w:r>
      <w:r w:rsidRPr="00900521">
        <w:rPr>
          <w:rFonts w:cs="Arial"/>
          <w:rtl/>
        </w:rPr>
        <w:t xml:space="preserve">: לפי שאין כתובין. </w:t>
      </w:r>
      <w:r w:rsidRPr="00880AE0">
        <w:rPr>
          <w:rFonts w:cs="Arial"/>
          <w:u w:val="single"/>
          <w:rtl/>
        </w:rPr>
        <w:t>אמר ליה רבי זירא לרב אסי</w:t>
      </w:r>
      <w:r w:rsidRPr="00900521">
        <w:rPr>
          <w:rFonts w:cs="Arial"/>
          <w:rtl/>
        </w:rPr>
        <w:t xml:space="preserve">: והא מזון האשה והבנות דכמאן דכתיבי דמו, וקתני: אין מוציאין! </w:t>
      </w:r>
      <w:r w:rsidRPr="00880AE0">
        <w:rPr>
          <w:rFonts w:cs="Arial"/>
          <w:u w:val="single"/>
          <w:rtl/>
        </w:rPr>
        <w:t>א"ל</w:t>
      </w:r>
      <w:r w:rsidRPr="00900521">
        <w:rPr>
          <w:rFonts w:cs="Arial"/>
          <w:rtl/>
        </w:rPr>
        <w:t xml:space="preserve">: מעיקרא הכי אתקון, כתובין הן אצל בני חורין, ואין כתובין הן אצל משועבדין. </w:t>
      </w:r>
      <w:r w:rsidRPr="008172A3">
        <w:rPr>
          <w:rFonts w:cs="Arial"/>
          <w:u w:val="single"/>
          <w:rtl/>
        </w:rPr>
        <w:t>ר' חנינא אמר</w:t>
      </w:r>
      <w:r w:rsidRPr="00900521">
        <w:rPr>
          <w:rFonts w:cs="Arial"/>
          <w:rtl/>
        </w:rPr>
        <w:t>: לפי שאין קצובין.</w:t>
      </w:r>
      <w:r>
        <w:rPr>
          <w:rFonts w:hint="cs"/>
          <w:rtl/>
        </w:rPr>
        <w:t>..</w:t>
      </w:r>
      <w:r>
        <w:rPr>
          <w:rFonts w:hint="cs"/>
          <w:sz w:val="16"/>
          <w:szCs w:val="16"/>
          <w:rtl/>
        </w:rPr>
        <w:t xml:space="preserve"> </w:t>
      </w:r>
      <w:r w:rsidRPr="006A0A35">
        <w:rPr>
          <w:rFonts w:hint="cs"/>
          <w:sz w:val="14"/>
          <w:szCs w:val="14"/>
          <w:rtl/>
        </w:rPr>
        <w:t>(נ</w:t>
      </w:r>
      <w:r>
        <w:rPr>
          <w:rFonts w:hint="cs"/>
          <w:sz w:val="14"/>
          <w:szCs w:val="14"/>
          <w:rtl/>
        </w:rPr>
        <w:t>א</w:t>
      </w:r>
      <w:r w:rsidRPr="006A0A35">
        <w:rPr>
          <w:rFonts w:hint="cs"/>
          <w:sz w:val="14"/>
          <w:szCs w:val="14"/>
          <w:rtl/>
        </w:rPr>
        <w:t>.)</w:t>
      </w:r>
      <w:r>
        <w:rPr>
          <w:rFonts w:hint="cs"/>
          <w:rtl/>
        </w:rPr>
        <w:t xml:space="preserve"> </w:t>
      </w:r>
      <w:r w:rsidRPr="006A0A35">
        <w:rPr>
          <w:rFonts w:cs="Arial"/>
          <w:u w:val="single"/>
          <w:rtl/>
        </w:rPr>
        <w:t>מתיב רב הונא בר מנוח</w:t>
      </w:r>
      <w:r w:rsidRPr="006A0A35">
        <w:rPr>
          <w:rFonts w:cs="Arial"/>
          <w:rtl/>
        </w:rPr>
        <w:t>: מתו - בנותיהן נזונות מנכסים בני חורין, והיא נזונת מנכסים משועבדים</w:t>
      </w:r>
      <w:r>
        <w:rPr>
          <w:rStyle w:val="a7"/>
          <w:rFonts w:cs="Arial"/>
          <w:rtl/>
        </w:rPr>
        <w:footnoteReference w:id="2584"/>
      </w:r>
      <w:r w:rsidRPr="006A0A35">
        <w:rPr>
          <w:rFonts w:cs="Arial"/>
          <w:rtl/>
        </w:rPr>
        <w:t>, מפני שהיא כבעלת חוב! הכא במאי עסקינן - בשקנו מידו. אי הכי, בנות נמי! בשקנו לזו ולא קנו לזו. מאי פסקא?</w:t>
      </w:r>
      <w:r>
        <w:rPr>
          <w:rFonts w:cs="Arial" w:hint="cs"/>
          <w:rtl/>
        </w:rPr>
        <w:t>...</w:t>
      </w:r>
      <w:r w:rsidRPr="006A0A35">
        <w:rPr>
          <w:rFonts w:cs="Arial"/>
          <w:rtl/>
        </w:rPr>
        <w:t xml:space="preserve"> אלא, בתו כיון דבתנאי בית דין קאכלה, אימר צררי אתפסה.</w:t>
      </w:r>
      <w:r w:rsidRPr="001C7364">
        <w:rPr>
          <w:sz w:val="16"/>
          <w:szCs w:val="16"/>
          <w:rtl/>
        </w:rPr>
        <w:t xml:space="preserve"> </w:t>
      </w:r>
      <w:r w:rsidRPr="001C7364">
        <w:rPr>
          <w:rFonts w:cs="Arial" w:hint="cs"/>
          <w:sz w:val="16"/>
          <w:szCs w:val="16"/>
          <w:rtl/>
        </w:rPr>
        <w:t>(</w:t>
      </w:r>
      <w:r w:rsidRPr="001C7364">
        <w:rPr>
          <w:rFonts w:cs="Arial"/>
          <w:sz w:val="16"/>
          <w:szCs w:val="16"/>
          <w:rtl/>
        </w:rPr>
        <w:t>ו</w:t>
      </w:r>
      <w:r w:rsidRPr="001C7364">
        <w:rPr>
          <w:rFonts w:cs="Arial" w:hint="cs"/>
          <w:sz w:val="16"/>
          <w:szCs w:val="16"/>
          <w:rtl/>
        </w:rPr>
        <w:t xml:space="preserve">פסק </w:t>
      </w:r>
      <w:r w:rsidRPr="001C7364">
        <w:rPr>
          <w:rFonts w:cs="Arial"/>
          <w:sz w:val="16"/>
          <w:szCs w:val="16"/>
          <w:rtl/>
        </w:rPr>
        <w:t xml:space="preserve">הרמב"ם </w:t>
      </w:r>
      <w:r w:rsidRPr="001C7364">
        <w:rPr>
          <w:rFonts w:cs="Arial" w:hint="cs"/>
          <w:sz w:val="16"/>
          <w:szCs w:val="16"/>
          <w:rtl/>
        </w:rPr>
        <w:t xml:space="preserve">כר' חנינא, </w:t>
      </w:r>
      <w:r w:rsidRPr="001C7364">
        <w:rPr>
          <w:rFonts w:cs="Arial"/>
          <w:sz w:val="16"/>
          <w:szCs w:val="16"/>
          <w:rtl/>
        </w:rPr>
        <w:t>עיין סי' קי"ד</w:t>
      </w:r>
      <w:r w:rsidRPr="001C7364">
        <w:rPr>
          <w:rFonts w:cs="Arial" w:hint="cs"/>
          <w:sz w:val="16"/>
          <w:szCs w:val="16"/>
          <w:rtl/>
        </w:rPr>
        <w:t>)</w:t>
      </w:r>
    </w:p>
    <w:p w14:paraId="3D843CA8" w14:textId="51D03336" w:rsidR="00392DBB" w:rsidRPr="003F6091" w:rsidRDefault="00392DBB" w:rsidP="00392DBB">
      <w:pPr>
        <w:rPr>
          <w:u w:val="single"/>
          <w:rtl/>
        </w:rPr>
      </w:pPr>
      <w:r w:rsidRPr="003F6091">
        <w:rPr>
          <w:rFonts w:hint="cs"/>
          <w:u w:val="single"/>
          <w:rtl/>
        </w:rPr>
        <w:t>כשקנו מהאב על חיוב מזונות בת</w:t>
      </w:r>
      <w:r>
        <w:rPr>
          <w:rFonts w:hint="cs"/>
          <w:u w:val="single"/>
          <w:rtl/>
        </w:rPr>
        <w:t>ו</w:t>
      </w:r>
      <w:r w:rsidRPr="003F6091">
        <w:rPr>
          <w:rFonts w:hint="cs"/>
          <w:u w:val="single"/>
          <w:rtl/>
        </w:rPr>
        <w:t xml:space="preserve"> </w:t>
      </w:r>
      <w:r w:rsidR="00F97626">
        <w:rPr>
          <w:u w:val="single"/>
          <w:rtl/>
        </w:rPr>
        <w:t>-</w:t>
      </w:r>
      <w:r w:rsidRPr="003F6091">
        <w:rPr>
          <w:rFonts w:hint="cs"/>
          <w:u w:val="single"/>
          <w:rtl/>
        </w:rPr>
        <w:t xml:space="preserve"> האם היא ניזונת ממשעבדי:</w:t>
      </w:r>
    </w:p>
    <w:p w14:paraId="1517E143" w14:textId="690991B8" w:rsidR="00392DBB" w:rsidRDefault="00392DBB" w:rsidP="009000E3">
      <w:pPr>
        <w:pStyle w:val="ab"/>
        <w:numPr>
          <w:ilvl w:val="0"/>
          <w:numId w:val="63"/>
        </w:numPr>
      </w:pPr>
      <w:r>
        <w:rPr>
          <w:rFonts w:cs="Arial" w:hint="cs"/>
          <w:rtl/>
        </w:rPr>
        <w:t xml:space="preserve">טור- </w:t>
      </w:r>
      <w:r w:rsidRPr="00B345A5">
        <w:rPr>
          <w:rFonts w:cs="Arial"/>
          <w:rtl/>
        </w:rPr>
        <w:t>ואפי</w:t>
      </w:r>
      <w:r>
        <w:rPr>
          <w:rFonts w:cs="Arial" w:hint="cs"/>
          <w:rtl/>
        </w:rPr>
        <w:t>לו</w:t>
      </w:r>
      <w:r w:rsidRPr="00B345A5">
        <w:rPr>
          <w:rFonts w:cs="Arial"/>
          <w:rtl/>
        </w:rPr>
        <w:t xml:space="preserve"> קנו מיניה והיו בשעת קניין</w:t>
      </w:r>
      <w:r>
        <w:rPr>
          <w:rFonts w:cs="Arial" w:hint="cs"/>
          <w:rtl/>
        </w:rPr>
        <w:t>,</w:t>
      </w:r>
      <w:r w:rsidRPr="00B345A5">
        <w:rPr>
          <w:rFonts w:cs="Arial"/>
          <w:rtl/>
        </w:rPr>
        <w:t xml:space="preserve"> כגון שגרשה והיו לו בנות ממנה</w:t>
      </w:r>
      <w:r>
        <w:rPr>
          <w:rFonts w:cs="Arial" w:hint="cs"/>
          <w:rtl/>
        </w:rPr>
        <w:t>,</w:t>
      </w:r>
      <w:r w:rsidRPr="00B345A5">
        <w:rPr>
          <w:rFonts w:cs="Arial"/>
          <w:rtl/>
        </w:rPr>
        <w:t xml:space="preserve"> והחזירה וקנו מיניה לפרנסן </w:t>
      </w:r>
      <w:r>
        <w:rPr>
          <w:rFonts w:cs="Arial" w:hint="cs"/>
          <w:rtl/>
        </w:rPr>
        <w:t xml:space="preserve">- </w:t>
      </w:r>
      <w:r w:rsidRPr="00B345A5">
        <w:rPr>
          <w:rFonts w:cs="Arial"/>
          <w:rtl/>
        </w:rPr>
        <w:t>אפ"ה אינ</w:t>
      </w:r>
      <w:r>
        <w:rPr>
          <w:rFonts w:cs="Arial" w:hint="cs"/>
          <w:rtl/>
        </w:rPr>
        <w:t>ן</w:t>
      </w:r>
      <w:r w:rsidRPr="00B345A5">
        <w:rPr>
          <w:rFonts w:cs="Arial"/>
          <w:rtl/>
        </w:rPr>
        <w:t xml:space="preserve"> ניזונות ממשעבדי</w:t>
      </w:r>
      <w:r>
        <w:rPr>
          <w:rFonts w:cs="Arial" w:hint="cs"/>
          <w:rtl/>
        </w:rPr>
        <w:t>,</w:t>
      </w:r>
      <w:r w:rsidRPr="00B345A5">
        <w:rPr>
          <w:rFonts w:cs="Arial"/>
          <w:rtl/>
        </w:rPr>
        <w:t xml:space="preserve"> כיון דבתנאי ב"ד אכלי וגם ניחא ליה בהרווחה דידהו חיישינן לצררי</w:t>
      </w:r>
      <w:r>
        <w:rPr>
          <w:rStyle w:val="a7"/>
          <w:rFonts w:cs="Arial"/>
          <w:rtl/>
        </w:rPr>
        <w:footnoteReference w:id="2585"/>
      </w:r>
      <w:r>
        <w:rPr>
          <w:rFonts w:cs="Arial" w:hint="cs"/>
          <w:rtl/>
        </w:rPr>
        <w:t>.</w:t>
      </w:r>
      <w:r w:rsidRPr="00B345A5">
        <w:rPr>
          <w:rFonts w:cs="Arial"/>
          <w:rtl/>
        </w:rPr>
        <w:t xml:space="preserve"> אבל מבני חרי ניזונו</w:t>
      </w:r>
      <w:r>
        <w:rPr>
          <w:rFonts w:cs="Arial" w:hint="cs"/>
          <w:rtl/>
        </w:rPr>
        <w:t>ת</w:t>
      </w:r>
      <w:r w:rsidRPr="00B345A5">
        <w:rPr>
          <w:rFonts w:cs="Arial"/>
          <w:rtl/>
        </w:rPr>
        <w:t xml:space="preserve"> אע</w:t>
      </w:r>
      <w:r>
        <w:rPr>
          <w:rFonts w:cs="Arial" w:hint="cs"/>
          <w:rtl/>
        </w:rPr>
        <w:t>"</w:t>
      </w:r>
      <w:r w:rsidRPr="00B345A5">
        <w:rPr>
          <w:rFonts w:cs="Arial"/>
          <w:rtl/>
        </w:rPr>
        <w:t>פ שגירשה ולא אמרינן כבר נתבטל תנאי ב"ד</w:t>
      </w:r>
      <w:r>
        <w:rPr>
          <w:rFonts w:cs="Arial" w:hint="cs"/>
          <w:rtl/>
        </w:rPr>
        <w:t>,</w:t>
      </w:r>
      <w:r w:rsidRPr="00B345A5">
        <w:rPr>
          <w:rFonts w:cs="Arial"/>
          <w:rtl/>
        </w:rPr>
        <w:t xml:space="preserve"> אלא חייב לזון בנותיה שנולדו לה ממנו קודם שגירשה בתנאי ב"ד אחרי מותו</w:t>
      </w:r>
      <w:r>
        <w:rPr>
          <w:rFonts w:cs="Arial" w:hint="cs"/>
          <w:rtl/>
        </w:rPr>
        <w:t>.</w:t>
      </w:r>
      <w:r w:rsidRPr="00B345A5">
        <w:rPr>
          <w:rFonts w:cs="Arial"/>
          <w:rtl/>
        </w:rPr>
        <w:t xml:space="preserve"> </w:t>
      </w:r>
      <w:r w:rsidRPr="00861563">
        <w:rPr>
          <w:rFonts w:hint="cs"/>
          <w:color w:val="E36C0A" w:themeColor="accent6" w:themeShade="BF"/>
          <w:rtl/>
        </w:rPr>
        <w:t>(וכ"פ בשו"ע)</w:t>
      </w:r>
    </w:p>
    <w:p w14:paraId="50297951" w14:textId="7E5C87AB" w:rsidR="00392DBB" w:rsidRPr="006D1D4D" w:rsidRDefault="00392DBB" w:rsidP="00392DBB">
      <w:pPr>
        <w:ind w:left="360"/>
        <w:rPr>
          <w:u w:val="dotted"/>
        </w:rPr>
      </w:pPr>
      <w:r w:rsidRPr="006D1D4D">
        <w:rPr>
          <w:rFonts w:hint="cs"/>
          <w:u w:val="dotted"/>
          <w:rtl/>
        </w:rPr>
        <w:t xml:space="preserve">ומה הדין אם כתב להן שטר בפני עצמו </w:t>
      </w:r>
      <w:r w:rsidRPr="006D1D4D">
        <w:rPr>
          <w:rFonts w:hint="cs"/>
          <w:sz w:val="16"/>
          <w:szCs w:val="16"/>
          <w:u w:val="dotted"/>
          <w:rtl/>
        </w:rPr>
        <w:t xml:space="preserve">(חוץ </w:t>
      </w:r>
      <w:r>
        <w:rPr>
          <w:rFonts w:hint="cs"/>
          <w:sz w:val="16"/>
          <w:szCs w:val="16"/>
          <w:u w:val="dotted"/>
          <w:rtl/>
        </w:rPr>
        <w:t>מ</w:t>
      </w:r>
      <w:r w:rsidRPr="006D1D4D">
        <w:rPr>
          <w:rFonts w:hint="cs"/>
          <w:sz w:val="16"/>
          <w:szCs w:val="16"/>
          <w:u w:val="dotted"/>
          <w:rtl/>
        </w:rPr>
        <w:t xml:space="preserve">שטר </w:t>
      </w:r>
      <w:r w:rsidR="0085351B">
        <w:rPr>
          <w:rFonts w:hint="cs"/>
          <w:sz w:val="16"/>
          <w:szCs w:val="16"/>
          <w:u w:val="dotted"/>
          <w:rtl/>
        </w:rPr>
        <w:t>ה</w:t>
      </w:r>
      <w:r w:rsidRPr="006D1D4D">
        <w:rPr>
          <w:rFonts w:hint="cs"/>
          <w:sz w:val="16"/>
          <w:szCs w:val="16"/>
          <w:u w:val="dotted"/>
          <w:rtl/>
        </w:rPr>
        <w:t>כתובה שבו מוזכר תנאי זה)</w:t>
      </w:r>
      <w:r>
        <w:rPr>
          <w:rFonts w:hint="cs"/>
          <w:u w:val="dotted"/>
          <w:rtl/>
        </w:rPr>
        <w:t>,</w:t>
      </w:r>
      <w:r w:rsidRPr="006D1D4D">
        <w:rPr>
          <w:rFonts w:hint="cs"/>
          <w:u w:val="dotted"/>
          <w:rtl/>
        </w:rPr>
        <w:t xml:space="preserve"> או שקנו ממנו לאחר הנישואין</w:t>
      </w:r>
      <w:r>
        <w:rPr>
          <w:rFonts w:hint="cs"/>
          <w:u w:val="dotted"/>
          <w:rtl/>
        </w:rPr>
        <w:t>:</w:t>
      </w:r>
    </w:p>
    <w:p w14:paraId="621FF82F" w14:textId="25805305" w:rsidR="00392DBB" w:rsidRDefault="00392DBB" w:rsidP="009000E3">
      <w:pPr>
        <w:pStyle w:val="ab"/>
        <w:numPr>
          <w:ilvl w:val="0"/>
          <w:numId w:val="63"/>
        </w:numPr>
        <w:rPr>
          <w:rtl/>
        </w:rPr>
      </w:pPr>
      <w:r w:rsidRPr="00B345A5">
        <w:rPr>
          <w:rFonts w:cs="Arial"/>
          <w:rtl/>
        </w:rPr>
        <w:t>רמ"ה</w:t>
      </w:r>
      <w:r>
        <w:rPr>
          <w:rFonts w:cs="Arial" w:hint="cs"/>
          <w:rtl/>
        </w:rPr>
        <w:t xml:space="preserve"> </w:t>
      </w:r>
      <w:r>
        <w:rPr>
          <w:rFonts w:cs="Arial" w:hint="cs"/>
          <w:sz w:val="16"/>
          <w:szCs w:val="16"/>
          <w:rtl/>
        </w:rPr>
        <w:t>(כ"כ הטור בשמו)</w:t>
      </w:r>
      <w:r>
        <w:rPr>
          <w:rFonts w:cs="Arial" w:hint="cs"/>
          <w:rtl/>
        </w:rPr>
        <w:t>-</w:t>
      </w:r>
      <w:r w:rsidRPr="00B345A5">
        <w:rPr>
          <w:rFonts w:cs="Arial"/>
          <w:rtl/>
        </w:rPr>
        <w:t xml:space="preserve"> הא דלא מהני לה קנין דוקא דקנו מיניה בשעת נישואין בכלל מאי דקנו מיניה בתנאי כתובה ולא כתב לבנות שטר באפי נפשייהו</w:t>
      </w:r>
      <w:r>
        <w:rPr>
          <w:rFonts w:cs="Arial" w:hint="cs"/>
          <w:rtl/>
        </w:rPr>
        <w:t>,</w:t>
      </w:r>
      <w:r w:rsidRPr="00B345A5">
        <w:rPr>
          <w:rFonts w:cs="Arial"/>
          <w:rtl/>
        </w:rPr>
        <w:t xml:space="preserve"> אבל אי כתב להו שטרא באפי נפשייהו</w:t>
      </w:r>
      <w:r>
        <w:rPr>
          <w:rFonts w:cs="Arial" w:hint="cs"/>
          <w:rtl/>
        </w:rPr>
        <w:t>,</w:t>
      </w:r>
      <w:r w:rsidRPr="00B345A5">
        <w:rPr>
          <w:rFonts w:cs="Arial"/>
          <w:rtl/>
        </w:rPr>
        <w:t xml:space="preserve"> אי נמי קנו ממנו לאחר נישואין </w:t>
      </w:r>
      <w:r>
        <w:rPr>
          <w:rFonts w:cs="Arial" w:hint="cs"/>
          <w:rtl/>
        </w:rPr>
        <w:t xml:space="preserve">- </w:t>
      </w:r>
      <w:r w:rsidRPr="00B345A5">
        <w:rPr>
          <w:rFonts w:cs="Arial"/>
          <w:rtl/>
        </w:rPr>
        <w:t>סתם קנין לכתיבה עומד וגבי ממשעבדי</w:t>
      </w:r>
      <w:r>
        <w:rPr>
          <w:rFonts w:cs="Arial" w:hint="cs"/>
          <w:rtl/>
        </w:rPr>
        <w:t>,</w:t>
      </w:r>
      <w:r w:rsidRPr="00B345A5">
        <w:rPr>
          <w:rFonts w:cs="Arial"/>
          <w:rtl/>
        </w:rPr>
        <w:t xml:space="preserve"> דמעידנא דקנו מיניה גמר ומשעבד נפשיה</w:t>
      </w:r>
      <w:r>
        <w:rPr>
          <w:rFonts w:cs="Arial" w:hint="cs"/>
          <w:rtl/>
        </w:rPr>
        <w:t>.</w:t>
      </w:r>
      <w:r w:rsidRPr="00B345A5">
        <w:rPr>
          <w:rFonts w:cs="Arial"/>
          <w:rtl/>
        </w:rPr>
        <w:t xml:space="preserve"> ואם איתא דאתפיס צררי</w:t>
      </w:r>
      <w:r>
        <w:rPr>
          <w:rFonts w:cs="Arial" w:hint="cs"/>
          <w:rtl/>
        </w:rPr>
        <w:t>,</w:t>
      </w:r>
      <w:r w:rsidRPr="00B345A5">
        <w:rPr>
          <w:rFonts w:cs="Arial"/>
          <w:rtl/>
        </w:rPr>
        <w:t xml:space="preserve"> איבעי ליה למנקט שטרא מינה או למכתב תברא עליה</w:t>
      </w:r>
      <w:r w:rsidR="00507D0F">
        <w:rPr>
          <w:rStyle w:val="a7"/>
          <w:rFonts w:cs="Arial"/>
          <w:rtl/>
        </w:rPr>
        <w:footnoteReference w:id="2586"/>
      </w:r>
      <w:r>
        <w:rPr>
          <w:rFonts w:cs="Arial" w:hint="cs"/>
          <w:sz w:val="16"/>
          <w:szCs w:val="16"/>
          <w:rtl/>
        </w:rPr>
        <w:t xml:space="preserve"> (ל' הטור בשמו)</w:t>
      </w:r>
      <w:r>
        <w:rPr>
          <w:rFonts w:cs="Arial" w:hint="cs"/>
          <w:rtl/>
        </w:rPr>
        <w:t>.</w:t>
      </w:r>
      <w:r w:rsidRPr="00B345A5">
        <w:rPr>
          <w:rFonts w:cs="Arial"/>
          <w:rtl/>
        </w:rPr>
        <w:t xml:space="preserve"> </w:t>
      </w:r>
    </w:p>
    <w:p w14:paraId="7F810228" w14:textId="0B939E35" w:rsidR="00392DBB" w:rsidRDefault="00392DBB" w:rsidP="00392DBB">
      <w:pPr>
        <w:rPr>
          <w:rFonts w:cs="Arial"/>
          <w:rtl/>
        </w:rPr>
      </w:pPr>
      <w:r w:rsidRPr="00F07BB8">
        <w:rPr>
          <w:rFonts w:cs="Arial" w:hint="cs"/>
          <w:u w:val="single"/>
          <w:rtl/>
        </w:rPr>
        <w:t xml:space="preserve">מזונות הבת וכתובת האלמנה </w:t>
      </w:r>
      <w:r w:rsidR="00F97626">
        <w:rPr>
          <w:rFonts w:cs="Arial"/>
          <w:u w:val="single"/>
          <w:rtl/>
        </w:rPr>
        <w:t>-</w:t>
      </w:r>
      <w:r w:rsidRPr="00F07BB8">
        <w:rPr>
          <w:rFonts w:cs="Arial" w:hint="cs"/>
          <w:u w:val="single"/>
          <w:rtl/>
        </w:rPr>
        <w:t xml:space="preserve"> מי קודם:</w:t>
      </w:r>
    </w:p>
    <w:p w14:paraId="133CA5A1" w14:textId="77777777" w:rsidR="00392DBB" w:rsidRDefault="00392DBB" w:rsidP="009000E3">
      <w:pPr>
        <w:pStyle w:val="ab"/>
        <w:numPr>
          <w:ilvl w:val="0"/>
          <w:numId w:val="63"/>
        </w:numPr>
        <w:rPr>
          <w:rtl/>
        </w:rPr>
      </w:pPr>
      <w:r w:rsidRPr="00F07BB8">
        <w:rPr>
          <w:rFonts w:cs="Arial" w:hint="cs"/>
          <w:rtl/>
        </w:rPr>
        <w:t xml:space="preserve">רשב"א </w:t>
      </w:r>
      <w:r w:rsidRPr="00F07BB8">
        <w:rPr>
          <w:rFonts w:cs="Arial"/>
          <w:sz w:val="16"/>
          <w:szCs w:val="16"/>
          <w:rtl/>
        </w:rPr>
        <w:t>(במיוחסות סי</w:t>
      </w:r>
      <w:r w:rsidRPr="00F07BB8">
        <w:rPr>
          <w:rFonts w:cs="Arial" w:hint="cs"/>
          <w:sz w:val="16"/>
          <w:szCs w:val="16"/>
          <w:rtl/>
        </w:rPr>
        <w:t>'</w:t>
      </w:r>
      <w:r w:rsidRPr="00F07BB8">
        <w:rPr>
          <w:rFonts w:cs="Arial"/>
          <w:sz w:val="16"/>
          <w:szCs w:val="16"/>
          <w:rtl/>
        </w:rPr>
        <w:t xml:space="preserve"> מ</w:t>
      </w:r>
      <w:r w:rsidRPr="00F07BB8">
        <w:rPr>
          <w:rFonts w:cs="Arial" w:hint="cs"/>
          <w:sz w:val="16"/>
          <w:szCs w:val="16"/>
          <w:rtl/>
        </w:rPr>
        <w:t>)</w:t>
      </w:r>
      <w:r w:rsidRPr="00F07BB8">
        <w:rPr>
          <w:rFonts w:cs="Arial" w:hint="cs"/>
          <w:rtl/>
        </w:rPr>
        <w:t>-</w:t>
      </w:r>
      <w:r w:rsidRPr="00F07BB8">
        <w:rPr>
          <w:rFonts w:cs="Arial"/>
          <w:rtl/>
        </w:rPr>
        <w:t xml:space="preserve"> אם אין הנכסים מספיקים אלא לכתובת האלמנה והניח בת קטנה </w:t>
      </w:r>
      <w:r>
        <w:rPr>
          <w:rFonts w:cs="Arial" w:hint="cs"/>
          <w:rtl/>
        </w:rPr>
        <w:t xml:space="preserve">- </w:t>
      </w:r>
      <w:r w:rsidRPr="00F07BB8">
        <w:rPr>
          <w:rFonts w:cs="Arial"/>
          <w:rtl/>
        </w:rPr>
        <w:t>אין הבת נזונת מנכסיו שהרי הם משועבדים לכתובה</w:t>
      </w:r>
      <w:r>
        <w:rPr>
          <w:rFonts w:cs="Arial" w:hint="cs"/>
          <w:rtl/>
        </w:rPr>
        <w:t>,</w:t>
      </w:r>
      <w:r w:rsidRPr="00F07BB8">
        <w:rPr>
          <w:rFonts w:cs="Arial"/>
          <w:rtl/>
        </w:rPr>
        <w:t xml:space="preserve"> ואפילו שעבדם אחר שנולדה הבת</w:t>
      </w:r>
      <w:r>
        <w:rPr>
          <w:rFonts w:cs="Arial" w:hint="cs"/>
          <w:rtl/>
        </w:rPr>
        <w:t>,</w:t>
      </w:r>
      <w:r w:rsidRPr="00F07BB8">
        <w:rPr>
          <w:rFonts w:cs="Arial"/>
          <w:rtl/>
        </w:rPr>
        <w:t xml:space="preserve"> ואפילו קנו מידו אחר שנולדה הבת</w:t>
      </w:r>
      <w:r>
        <w:rPr>
          <w:rFonts w:cs="Arial" w:hint="cs"/>
          <w:rtl/>
        </w:rPr>
        <w:t>...</w:t>
      </w:r>
    </w:p>
    <w:p w14:paraId="3B96FB78" w14:textId="77777777" w:rsidR="00890191" w:rsidRPr="00D657B6" w:rsidRDefault="00890191" w:rsidP="00890191">
      <w:pPr>
        <w:pStyle w:val="ab"/>
        <w:numPr>
          <w:ilvl w:val="0"/>
          <w:numId w:val="61"/>
        </w:numPr>
      </w:pPr>
      <w:r w:rsidRPr="00D657B6">
        <w:rPr>
          <w:rFonts w:cs="Arial"/>
          <w:rtl/>
        </w:rPr>
        <w:t xml:space="preserve">ר"ן </w:t>
      </w:r>
      <w:r w:rsidRPr="00D657B6">
        <w:rPr>
          <w:rFonts w:cs="Arial" w:hint="cs"/>
          <w:sz w:val="16"/>
          <w:szCs w:val="16"/>
          <w:rtl/>
        </w:rPr>
        <w:t>(</w:t>
      </w:r>
      <w:r w:rsidRPr="00D657B6">
        <w:rPr>
          <w:rFonts w:cs="Arial"/>
          <w:sz w:val="16"/>
          <w:szCs w:val="16"/>
          <w:rtl/>
        </w:rPr>
        <w:t>ס</w:t>
      </w:r>
      <w:r w:rsidRPr="00D657B6">
        <w:rPr>
          <w:rFonts w:cs="Arial" w:hint="cs"/>
          <w:sz w:val="16"/>
          <w:szCs w:val="16"/>
          <w:rtl/>
        </w:rPr>
        <w:t>"פ</w:t>
      </w:r>
      <w:r w:rsidRPr="00D657B6">
        <w:rPr>
          <w:rFonts w:cs="Arial"/>
          <w:sz w:val="16"/>
          <w:szCs w:val="16"/>
          <w:rtl/>
        </w:rPr>
        <w:t xml:space="preserve"> מציאת האשה לא. דיבור ראשון)</w:t>
      </w:r>
      <w:r>
        <w:rPr>
          <w:rFonts w:cs="Arial" w:hint="cs"/>
          <w:rtl/>
        </w:rPr>
        <w:t>-</w:t>
      </w:r>
      <w:r w:rsidRPr="00D657B6">
        <w:rPr>
          <w:rFonts w:cs="Arial"/>
          <w:rtl/>
        </w:rPr>
        <w:t xml:space="preserve"> היכא דבת תובעת מזונות ואלמנה תובעת כתובה ואיכא מקרקעי </w:t>
      </w:r>
      <w:r>
        <w:rPr>
          <w:rFonts w:cs="Arial" w:hint="cs"/>
          <w:rtl/>
        </w:rPr>
        <w:t xml:space="preserve">- </w:t>
      </w:r>
      <w:r w:rsidRPr="00D657B6">
        <w:rPr>
          <w:rFonts w:cs="Arial"/>
          <w:rtl/>
        </w:rPr>
        <w:t>ודאי אלמנה קודמת</w:t>
      </w:r>
      <w:r>
        <w:rPr>
          <w:rFonts w:cs="Arial" w:hint="cs"/>
          <w:rtl/>
        </w:rPr>
        <w:t>.</w:t>
      </w:r>
      <w:r w:rsidRPr="00D657B6">
        <w:rPr>
          <w:rFonts w:cs="Arial"/>
          <w:rtl/>
        </w:rPr>
        <w:t xml:space="preserve"> ואפילו היכא דאיכא מטלטלי דאין בהם דין קדימה </w:t>
      </w:r>
      <w:r>
        <w:rPr>
          <w:rFonts w:cs="Arial" w:hint="cs"/>
          <w:rtl/>
        </w:rPr>
        <w:t xml:space="preserve">- </w:t>
      </w:r>
      <w:r w:rsidRPr="00D657B6">
        <w:rPr>
          <w:rFonts w:cs="Arial"/>
          <w:rtl/>
        </w:rPr>
        <w:t>אעפ</w:t>
      </w:r>
      <w:r>
        <w:rPr>
          <w:rFonts w:cs="Arial" w:hint="cs"/>
          <w:rtl/>
        </w:rPr>
        <w:t>"</w:t>
      </w:r>
      <w:r w:rsidRPr="00D657B6">
        <w:rPr>
          <w:rFonts w:cs="Arial"/>
          <w:rtl/>
        </w:rPr>
        <w:t>כ כתובה קודמת</w:t>
      </w:r>
      <w:r>
        <w:rPr>
          <w:rFonts w:cs="Arial" w:hint="cs"/>
          <w:rtl/>
        </w:rPr>
        <w:t>,</w:t>
      </w:r>
      <w:r w:rsidRPr="00D657B6">
        <w:rPr>
          <w:rFonts w:cs="Arial"/>
          <w:rtl/>
        </w:rPr>
        <w:t xml:space="preserve"> שזו וזו מתקנת האחרונים הוא שיש להם לגבות ממטלטלין כי תקינו כעין דאורייתא תקינו</w:t>
      </w:r>
      <w:r w:rsidRPr="00D657B6">
        <w:rPr>
          <w:rFonts w:cs="Arial" w:hint="cs"/>
          <w:rtl/>
        </w:rPr>
        <w:t>.</w:t>
      </w:r>
    </w:p>
    <w:p w14:paraId="18AAD6F3"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D04EA5D" w14:textId="77777777" w:rsidR="00392DBB" w:rsidRDefault="00392DBB" w:rsidP="00392DBB">
      <w:pPr>
        <w:rPr>
          <w:rFonts w:cs="Arial"/>
          <w:rtl/>
        </w:rPr>
      </w:pPr>
      <w:r w:rsidRPr="00523CDE">
        <w:rPr>
          <w:rFonts w:cs="Arial"/>
          <w:rtl/>
        </w:rPr>
        <w:lastRenderedPageBreak/>
        <w:t>אין הבנות נזונות ממשעבדי, אפילו קנו ממנו, ואפילו היו בשעת קנין, כגון שגירשה והיו לה בנות ממנו והחזירה וקנו ממנו. ויש מי שאומר דה</w:t>
      </w:r>
      <w:r>
        <w:rPr>
          <w:rFonts w:cs="Arial" w:hint="cs"/>
          <w:rtl/>
        </w:rPr>
        <w:t xml:space="preserve">ני </w:t>
      </w:r>
      <w:r w:rsidRPr="00523CDE">
        <w:rPr>
          <w:rFonts w:cs="Arial"/>
          <w:rtl/>
        </w:rPr>
        <w:t>מ</w:t>
      </w:r>
      <w:r>
        <w:rPr>
          <w:rFonts w:cs="Arial" w:hint="cs"/>
          <w:rtl/>
        </w:rPr>
        <w:t>ילי</w:t>
      </w:r>
      <w:r w:rsidRPr="00523CDE">
        <w:rPr>
          <w:rFonts w:cs="Arial"/>
          <w:rtl/>
        </w:rPr>
        <w:t xml:space="preserve"> כשקנו ממנו בשעת נשואין בכלל מה שקנו ממנו בתנאי כתובה, אבל אם קנו ממנו לאחר נשואין</w:t>
      </w:r>
      <w:r>
        <w:rPr>
          <w:rStyle w:val="a7"/>
          <w:rFonts w:cs="Arial"/>
          <w:rtl/>
        </w:rPr>
        <w:footnoteReference w:id="2587"/>
      </w:r>
      <w:r w:rsidRPr="00523CDE">
        <w:rPr>
          <w:rFonts w:cs="Arial"/>
          <w:rtl/>
        </w:rPr>
        <w:t xml:space="preserve"> על מזון הבנות, ניזונות אף ממשעבדי. </w:t>
      </w:r>
    </w:p>
    <w:p w14:paraId="709FD390" w14:textId="77777777" w:rsidR="00392DBB" w:rsidRPr="00F2693A" w:rsidRDefault="00392DBB" w:rsidP="00392DBB">
      <w:pPr>
        <w:rPr>
          <w:u w:val="single"/>
        </w:rPr>
      </w:pPr>
      <w:r w:rsidRPr="00F2693A">
        <w:rPr>
          <w:rFonts w:hint="cs"/>
          <w:u w:val="single"/>
          <w:rtl/>
        </w:rPr>
        <w:t xml:space="preserve">האם הבת יכולה לגבות ממשעבדי בשבועה: </w:t>
      </w:r>
    </w:p>
    <w:p w14:paraId="3E843D2A" w14:textId="77777777" w:rsidR="00392DBB" w:rsidRDefault="00392DBB" w:rsidP="009000E3">
      <w:pPr>
        <w:pStyle w:val="ab"/>
        <w:numPr>
          <w:ilvl w:val="0"/>
          <w:numId w:val="63"/>
        </w:numPr>
      </w:pPr>
      <w:r>
        <w:rPr>
          <w:rFonts w:cs="Arial" w:hint="cs"/>
          <w:rtl/>
        </w:rPr>
        <w:t>ב"י</w:t>
      </w:r>
      <w:r>
        <w:rPr>
          <w:rStyle w:val="a7"/>
          <w:rFonts w:cs="Arial"/>
          <w:rtl/>
        </w:rPr>
        <w:footnoteReference w:id="2588"/>
      </w:r>
      <w:r>
        <w:rPr>
          <w:rFonts w:hint="cs"/>
          <w:sz w:val="16"/>
          <w:szCs w:val="16"/>
          <w:rtl/>
        </w:rPr>
        <w:t xml:space="preserve"> (בבדה"ב)</w:t>
      </w:r>
      <w:r>
        <w:rPr>
          <w:rFonts w:hint="cs"/>
          <w:rtl/>
        </w:rPr>
        <w:t>-</w:t>
      </w:r>
      <w:r w:rsidRPr="00913A11">
        <w:rPr>
          <w:rStyle w:val="a7"/>
          <w:rFonts w:cs="Arial"/>
          <w:rtl/>
        </w:rPr>
        <w:t xml:space="preserve"> </w:t>
      </w:r>
      <w:r>
        <w:rPr>
          <w:rFonts w:cs="Arial"/>
          <w:rtl/>
        </w:rPr>
        <w:t xml:space="preserve">כיון דטעמא משום התפסת צררי </w:t>
      </w:r>
      <w:r>
        <w:rPr>
          <w:rFonts w:cs="Arial" w:hint="cs"/>
          <w:rtl/>
        </w:rPr>
        <w:t xml:space="preserve">- </w:t>
      </w:r>
      <w:r>
        <w:rPr>
          <w:rFonts w:cs="Arial"/>
          <w:rtl/>
        </w:rPr>
        <w:t>ישבעו הבנות ויזונו ממשעבדי</w:t>
      </w:r>
      <w:r>
        <w:rPr>
          <w:rStyle w:val="a7"/>
          <w:rFonts w:cs="Arial"/>
          <w:rtl/>
        </w:rPr>
        <w:footnoteReference w:id="2589"/>
      </w:r>
      <w:r>
        <w:rPr>
          <w:rFonts w:cs="Arial"/>
          <w:rtl/>
        </w:rPr>
        <w:t>.</w:t>
      </w:r>
    </w:p>
    <w:p w14:paraId="722B45DA" w14:textId="77777777" w:rsidR="00392DBB" w:rsidRPr="00913A11" w:rsidRDefault="00392DBB" w:rsidP="009000E3">
      <w:pPr>
        <w:pStyle w:val="ab"/>
        <w:numPr>
          <w:ilvl w:val="0"/>
          <w:numId w:val="63"/>
        </w:numPr>
      </w:pPr>
      <w:r>
        <w:rPr>
          <w:rFonts w:hint="cs"/>
          <w:rtl/>
        </w:rPr>
        <w:t>ח"מ</w:t>
      </w:r>
      <w:r w:rsidRPr="00F2693A">
        <w:rPr>
          <w:rFonts w:hint="cs"/>
          <w:sz w:val="16"/>
          <w:szCs w:val="16"/>
          <w:rtl/>
        </w:rPr>
        <w:t xml:space="preserve"> (סקי"ט)</w:t>
      </w:r>
      <w:r>
        <w:rPr>
          <w:rFonts w:hint="cs"/>
          <w:rtl/>
        </w:rPr>
        <w:t xml:space="preserve">- </w:t>
      </w:r>
      <w:r w:rsidRPr="00DE298F">
        <w:rPr>
          <w:rFonts w:cs="Arial"/>
          <w:rtl/>
        </w:rPr>
        <w:t>משמע שם מדברי התוס'</w:t>
      </w:r>
      <w:r>
        <w:rPr>
          <w:rFonts w:cs="Arial" w:hint="cs"/>
          <w:rtl/>
        </w:rPr>
        <w:t xml:space="preserve"> </w:t>
      </w:r>
      <w:r w:rsidRPr="00F2693A">
        <w:rPr>
          <w:rFonts w:cs="Arial" w:hint="cs"/>
          <w:sz w:val="16"/>
          <w:szCs w:val="16"/>
          <w:rtl/>
        </w:rPr>
        <w:t>(ד"ה אימר)</w:t>
      </w:r>
      <w:r w:rsidRPr="00F2693A">
        <w:rPr>
          <w:rFonts w:cs="Arial"/>
          <w:sz w:val="16"/>
          <w:szCs w:val="16"/>
          <w:rtl/>
        </w:rPr>
        <w:t xml:space="preserve"> </w:t>
      </w:r>
      <w:r w:rsidRPr="00DE298F">
        <w:rPr>
          <w:rFonts w:cs="Arial"/>
          <w:rtl/>
        </w:rPr>
        <w:t>בתחל</w:t>
      </w:r>
      <w:r>
        <w:rPr>
          <w:rFonts w:cs="Arial" w:hint="cs"/>
          <w:rtl/>
        </w:rPr>
        <w:t>ת</w:t>
      </w:r>
      <w:r w:rsidRPr="00DE298F">
        <w:rPr>
          <w:rFonts w:cs="Arial"/>
          <w:rtl/>
        </w:rPr>
        <w:t xml:space="preserve"> הדבור דאם הודה האב בשעת מותו דלא אתפסה צררי לא חיישינן לקנוניא וגובה ממשעבדי בשבועה אם היו בשעת קנין</w:t>
      </w:r>
      <w:r>
        <w:rPr>
          <w:rFonts w:hint="cs"/>
          <w:rtl/>
        </w:rPr>
        <w:t>.</w:t>
      </w:r>
    </w:p>
    <w:p w14:paraId="0123B4FC" w14:textId="042A577D" w:rsidR="00392DBB" w:rsidRDefault="00392DBB" w:rsidP="009000E3">
      <w:pPr>
        <w:pStyle w:val="ab"/>
        <w:numPr>
          <w:ilvl w:val="0"/>
          <w:numId w:val="63"/>
        </w:numPr>
      </w:pPr>
      <w:r>
        <w:rPr>
          <w:rFonts w:cs="Arial" w:hint="cs"/>
          <w:rtl/>
        </w:rPr>
        <w:t xml:space="preserve">ב"ש </w:t>
      </w:r>
      <w:r>
        <w:rPr>
          <w:rFonts w:cs="Arial" w:hint="cs"/>
          <w:sz w:val="16"/>
          <w:szCs w:val="16"/>
          <w:rtl/>
        </w:rPr>
        <w:t>(סקי"ז)</w:t>
      </w:r>
      <w:r>
        <w:rPr>
          <w:rFonts w:cs="Arial" w:hint="cs"/>
          <w:rtl/>
        </w:rPr>
        <w:t xml:space="preserve">- לפי התירוץ האחרון של התוס' </w:t>
      </w:r>
      <w:r w:rsidRPr="00913A11">
        <w:rPr>
          <w:rFonts w:cs="Arial"/>
          <w:rtl/>
        </w:rPr>
        <w:t>הבנות אי</w:t>
      </w:r>
      <w:r>
        <w:rPr>
          <w:rFonts w:cs="Arial" w:hint="cs"/>
          <w:rtl/>
        </w:rPr>
        <w:t>נ</w:t>
      </w:r>
      <w:r w:rsidRPr="00913A11">
        <w:rPr>
          <w:rFonts w:cs="Arial"/>
          <w:rtl/>
        </w:rPr>
        <w:t>ן טורפ</w:t>
      </w:r>
      <w:r>
        <w:rPr>
          <w:rFonts w:cs="Arial" w:hint="cs"/>
          <w:rtl/>
        </w:rPr>
        <w:t>ות</w:t>
      </w:r>
      <w:r w:rsidRPr="00913A11">
        <w:rPr>
          <w:rFonts w:cs="Arial"/>
          <w:rtl/>
        </w:rPr>
        <w:t xml:space="preserve"> אפי</w:t>
      </w:r>
      <w:r>
        <w:rPr>
          <w:rFonts w:cs="Arial" w:hint="cs"/>
          <w:rtl/>
        </w:rPr>
        <w:t>לו</w:t>
      </w:r>
      <w:r w:rsidRPr="00913A11">
        <w:rPr>
          <w:rFonts w:cs="Arial"/>
          <w:rtl/>
        </w:rPr>
        <w:t xml:space="preserve"> בשבועה</w:t>
      </w:r>
      <w:r>
        <w:rPr>
          <w:rStyle w:val="a7"/>
          <w:rFonts w:cs="Arial"/>
          <w:rtl/>
        </w:rPr>
        <w:footnoteReference w:id="2590"/>
      </w:r>
      <w:r>
        <w:rPr>
          <w:rFonts w:cs="Arial" w:hint="cs"/>
          <w:rtl/>
        </w:rPr>
        <w:t>.</w:t>
      </w:r>
    </w:p>
    <w:p w14:paraId="51E2D387" w14:textId="77777777" w:rsidR="00392DBB" w:rsidRPr="00F2693A" w:rsidRDefault="00392DBB" w:rsidP="00392DBB">
      <w:pPr>
        <w:rPr>
          <w:rFonts w:cs="Arial"/>
          <w:rtl/>
        </w:rPr>
      </w:pPr>
    </w:p>
    <w:p w14:paraId="05D9D3CA" w14:textId="766DDB06" w:rsidR="00392DBB" w:rsidRDefault="00392DBB" w:rsidP="000F64D0">
      <w:pPr>
        <w:pStyle w:val="2"/>
        <w:rPr>
          <w:rtl/>
        </w:rPr>
      </w:pPr>
      <w:r w:rsidRPr="00523CDE">
        <w:rPr>
          <w:rtl/>
        </w:rPr>
        <w:t>סעיף ט</w:t>
      </w:r>
      <w:r>
        <w:rPr>
          <w:rFonts w:hint="cs"/>
          <w:rtl/>
        </w:rPr>
        <w:t>: גביה ל</w:t>
      </w:r>
      <w:r w:rsidRPr="00B72D3C">
        <w:rPr>
          <w:rFonts w:hint="cs"/>
          <w:rtl/>
        </w:rPr>
        <w:t>מזונות הבת מ</w:t>
      </w:r>
      <w:r>
        <w:rPr>
          <w:rFonts w:hint="cs"/>
          <w:rtl/>
        </w:rPr>
        <w:t>מ</w:t>
      </w:r>
      <w:r w:rsidRPr="00B72D3C">
        <w:rPr>
          <w:rFonts w:hint="cs"/>
          <w:rtl/>
        </w:rPr>
        <w:t>שעבדי</w:t>
      </w:r>
      <w:r>
        <w:rPr>
          <w:rFonts w:hint="cs"/>
          <w:rtl/>
        </w:rPr>
        <w:t xml:space="preserve"> </w:t>
      </w:r>
      <w:r w:rsidR="00F97626">
        <w:rPr>
          <w:rtl/>
        </w:rPr>
        <w:t>-</w:t>
      </w:r>
      <w:r>
        <w:rPr>
          <w:rFonts w:hint="cs"/>
          <w:rtl/>
        </w:rPr>
        <w:t xml:space="preserve"> כשפסק האב שיתפרנסו הבנות אף לאחר שיבגרו.</w:t>
      </w:r>
    </w:p>
    <w:p w14:paraId="109EA0FC" w14:textId="77777777" w:rsidR="00392DBB" w:rsidRPr="002D5C63" w:rsidRDefault="00392DBB" w:rsidP="00392DBB">
      <w:pPr>
        <w:rPr>
          <w:u w:val="single"/>
          <w:rtl/>
        </w:rPr>
      </w:pPr>
      <w:r w:rsidRPr="002D5C63">
        <w:rPr>
          <w:rFonts w:hint="cs"/>
          <w:u w:val="single"/>
          <w:rtl/>
        </w:rPr>
        <w:t>פסק עם האשה שיתפרנסו הבנות אף לאחר שיבגרו:</w:t>
      </w:r>
    </w:p>
    <w:p w14:paraId="3092AAA8" w14:textId="77777777" w:rsidR="00392DBB" w:rsidRPr="00D9333A" w:rsidRDefault="00392DBB" w:rsidP="009000E3">
      <w:pPr>
        <w:pStyle w:val="ab"/>
        <w:numPr>
          <w:ilvl w:val="0"/>
          <w:numId w:val="63"/>
        </w:numPr>
      </w:pPr>
      <w:r>
        <w:rPr>
          <w:rFonts w:cs="Arial" w:hint="cs"/>
          <w:rtl/>
        </w:rPr>
        <w:t xml:space="preserve">טור- </w:t>
      </w:r>
      <w:r w:rsidRPr="00B345A5">
        <w:rPr>
          <w:rFonts w:cs="Arial"/>
          <w:rtl/>
        </w:rPr>
        <w:t>ומיהו זימנין דמשכח לה דמיתזני בנות ממשעבדי</w:t>
      </w:r>
      <w:r>
        <w:rPr>
          <w:rFonts w:cs="Arial" w:hint="cs"/>
          <w:rtl/>
        </w:rPr>
        <w:t>,</w:t>
      </w:r>
      <w:r w:rsidRPr="00B345A5">
        <w:rPr>
          <w:rFonts w:cs="Arial"/>
          <w:rtl/>
        </w:rPr>
        <w:t xml:space="preserve"> כגון שפסק עמה שיתפרנסו אף אחר שיבגרו</w:t>
      </w:r>
      <w:r>
        <w:rPr>
          <w:rFonts w:cs="Arial" w:hint="cs"/>
          <w:rtl/>
        </w:rPr>
        <w:t>,</w:t>
      </w:r>
      <w:r w:rsidRPr="00B345A5">
        <w:rPr>
          <w:rFonts w:cs="Arial"/>
          <w:rtl/>
        </w:rPr>
        <w:t xml:space="preserve"> דכיון דלא אכלי בתנאי ב"ד לא חיישינן שמא התפיס צררי</w:t>
      </w:r>
      <w:r>
        <w:rPr>
          <w:rFonts w:cs="Arial" w:hint="cs"/>
          <w:rtl/>
        </w:rPr>
        <w:t>.</w:t>
      </w:r>
      <w:r w:rsidRPr="00B345A5">
        <w:rPr>
          <w:rFonts w:cs="Arial"/>
          <w:rtl/>
        </w:rPr>
        <w:t xml:space="preserve"> </w:t>
      </w:r>
      <w:r w:rsidRPr="002D5C63">
        <w:rPr>
          <w:rFonts w:hint="cs"/>
          <w:color w:val="E36C0A" w:themeColor="accent6" w:themeShade="BF"/>
          <w:rtl/>
        </w:rPr>
        <w:t>(וכ"פ בשו"ע)</w:t>
      </w:r>
    </w:p>
    <w:p w14:paraId="05A9B0F9"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9F6EDF0" w14:textId="77777777" w:rsidR="00392DBB" w:rsidRDefault="00392DBB" w:rsidP="00392DBB">
      <w:pPr>
        <w:rPr>
          <w:rFonts w:cs="Arial"/>
          <w:rtl/>
        </w:rPr>
      </w:pPr>
      <w:r w:rsidRPr="00523CDE">
        <w:rPr>
          <w:rFonts w:cs="Arial"/>
          <w:rtl/>
        </w:rPr>
        <w:t>אם פסק עם האשה</w:t>
      </w:r>
      <w:r>
        <w:rPr>
          <w:rStyle w:val="a7"/>
          <w:rFonts w:cs="Arial"/>
          <w:rtl/>
        </w:rPr>
        <w:footnoteReference w:id="2591"/>
      </w:r>
      <w:r w:rsidRPr="00523CDE">
        <w:rPr>
          <w:rFonts w:cs="Arial"/>
          <w:rtl/>
        </w:rPr>
        <w:t xml:space="preserve"> שיתפרנסו הבנות אף אחר שיבגרו, נזונות ממשעבדי. </w:t>
      </w:r>
    </w:p>
    <w:p w14:paraId="7112F3D7" w14:textId="77777777" w:rsidR="00392DBB" w:rsidRPr="00523CDE" w:rsidRDefault="00392DBB" w:rsidP="00392DBB">
      <w:pPr>
        <w:rPr>
          <w:rFonts w:cs="Arial"/>
          <w:rtl/>
        </w:rPr>
      </w:pPr>
    </w:p>
    <w:p w14:paraId="7F216F45" w14:textId="77777777" w:rsidR="00392DBB" w:rsidRDefault="00392DBB" w:rsidP="000F64D0">
      <w:pPr>
        <w:pStyle w:val="2"/>
        <w:rPr>
          <w:rtl/>
        </w:rPr>
      </w:pPr>
      <w:r w:rsidRPr="00523CDE">
        <w:rPr>
          <w:rtl/>
        </w:rPr>
        <w:t>סעיף י</w:t>
      </w:r>
      <w:r>
        <w:rPr>
          <w:rFonts w:hint="cs"/>
          <w:rtl/>
        </w:rPr>
        <w:t>: האומר</w:t>
      </w:r>
      <w:r w:rsidRPr="00B345A5">
        <w:rPr>
          <w:rtl/>
        </w:rPr>
        <w:t xml:space="preserve"> </w:t>
      </w:r>
      <w:r>
        <w:rPr>
          <w:rFonts w:hint="cs"/>
          <w:rtl/>
        </w:rPr>
        <w:t>'</w:t>
      </w:r>
      <w:r w:rsidRPr="00B345A5">
        <w:rPr>
          <w:rtl/>
        </w:rPr>
        <w:t>אל יזונו בנותי מנכסי</w:t>
      </w:r>
      <w:r>
        <w:rPr>
          <w:rFonts w:hint="cs"/>
          <w:rtl/>
        </w:rPr>
        <w:t>'.</w:t>
      </w:r>
    </w:p>
    <w:p w14:paraId="40B6A71F" w14:textId="40F79501" w:rsidR="00392DBB" w:rsidRDefault="00392DBB" w:rsidP="00392DBB">
      <w:pPr>
        <w:rPr>
          <w:rtl/>
        </w:rPr>
      </w:pPr>
      <w:r w:rsidRPr="009E3B5F">
        <w:rPr>
          <w:rFonts w:hint="cs"/>
          <w:b/>
          <w:bCs/>
          <w:rtl/>
        </w:rPr>
        <w:t xml:space="preserve">כתובות </w:t>
      </w:r>
      <w:r w:rsidRPr="009E3B5F">
        <w:rPr>
          <w:rFonts w:hint="cs"/>
          <w:b/>
          <w:bCs/>
          <w:sz w:val="16"/>
          <w:szCs w:val="16"/>
          <w:rtl/>
        </w:rPr>
        <w:t>(</w:t>
      </w:r>
      <w:r>
        <w:rPr>
          <w:rFonts w:hint="cs"/>
          <w:b/>
          <w:bCs/>
          <w:sz w:val="16"/>
          <w:szCs w:val="16"/>
          <w:rtl/>
        </w:rPr>
        <w:t>ס"</w:t>
      </w:r>
      <w:r w:rsidRPr="009E3B5F">
        <w:rPr>
          <w:rFonts w:hint="cs"/>
          <w:b/>
          <w:bCs/>
          <w:sz w:val="16"/>
          <w:szCs w:val="16"/>
          <w:rtl/>
        </w:rPr>
        <w:t>פ</w:t>
      </w:r>
      <w:r>
        <w:rPr>
          <w:rFonts w:hint="cs"/>
          <w:b/>
          <w:bCs/>
          <w:sz w:val="16"/>
          <w:szCs w:val="16"/>
          <w:rtl/>
        </w:rPr>
        <w:t xml:space="preserve"> מציאת האשה</w:t>
      </w:r>
      <w:r w:rsidRPr="009E3B5F">
        <w:rPr>
          <w:rFonts w:hint="cs"/>
          <w:b/>
          <w:bCs/>
          <w:sz w:val="16"/>
          <w:szCs w:val="16"/>
          <w:rtl/>
        </w:rPr>
        <w:t xml:space="preserve">) </w:t>
      </w:r>
      <w:r>
        <w:rPr>
          <w:rFonts w:hint="cs"/>
          <w:b/>
          <w:bCs/>
          <w:rtl/>
        </w:rPr>
        <w:t>סח</w:t>
      </w:r>
      <w:r w:rsidR="00284737" w:rsidRPr="00284737">
        <w:rPr>
          <w:rStyle w:val="a7"/>
          <w:rFonts w:cs="Arial"/>
          <w:b/>
          <w:bCs/>
          <w:rtl/>
        </w:rPr>
        <w:footnoteReference w:id="2592"/>
      </w:r>
      <w:r w:rsidRPr="009E3B5F">
        <w:rPr>
          <w:rFonts w:hint="cs"/>
          <w:b/>
          <w:bCs/>
          <w:rtl/>
        </w:rPr>
        <w:t xml:space="preserve"> ע"</w:t>
      </w:r>
      <w:r>
        <w:rPr>
          <w:rFonts w:hint="cs"/>
          <w:b/>
          <w:bCs/>
          <w:rtl/>
        </w:rPr>
        <w:t>ב</w:t>
      </w:r>
      <w:r w:rsidRPr="009E3B5F">
        <w:rPr>
          <w:rFonts w:hint="cs"/>
          <w:b/>
          <w:bCs/>
          <w:rtl/>
        </w:rPr>
        <w:t>:</w:t>
      </w:r>
      <w:r>
        <w:rPr>
          <w:rFonts w:hint="cs"/>
          <w:rtl/>
        </w:rPr>
        <w:t xml:space="preserve"> </w:t>
      </w:r>
      <w:r w:rsidRPr="007A7A77">
        <w:rPr>
          <w:rFonts w:cs="Arial"/>
          <w:rtl/>
        </w:rPr>
        <w:t>לכדתניא: האומר אל יזונו בנותיו מנכסיו - אין שומעין לו</w:t>
      </w:r>
      <w:r>
        <w:rPr>
          <w:rFonts w:cs="Arial" w:hint="cs"/>
          <w:rtl/>
        </w:rPr>
        <w:t>..</w:t>
      </w:r>
      <w:r w:rsidRPr="007A7A77">
        <w:rPr>
          <w:rFonts w:cs="Arial"/>
          <w:rtl/>
        </w:rPr>
        <w:t>.</w:t>
      </w:r>
      <w:r w:rsidRPr="00411FBD">
        <w:rPr>
          <w:rFonts w:cs="Arial" w:hint="cs"/>
          <w:sz w:val="16"/>
          <w:szCs w:val="16"/>
          <w:rtl/>
        </w:rPr>
        <w:t xml:space="preserve"> </w:t>
      </w:r>
      <w:r>
        <w:rPr>
          <w:rFonts w:cs="Arial" w:hint="cs"/>
          <w:sz w:val="16"/>
          <w:szCs w:val="16"/>
          <w:rtl/>
        </w:rPr>
        <w:t>(</w:t>
      </w:r>
      <w:r w:rsidRPr="00411FBD">
        <w:rPr>
          <w:rFonts w:cs="Arial" w:hint="cs"/>
          <w:sz w:val="16"/>
          <w:szCs w:val="16"/>
          <w:rtl/>
        </w:rPr>
        <w:t>ו</w:t>
      </w:r>
      <w:r w:rsidRPr="00411FBD">
        <w:rPr>
          <w:rFonts w:cs="Arial"/>
          <w:sz w:val="16"/>
          <w:szCs w:val="16"/>
          <w:rtl/>
        </w:rPr>
        <w:t xml:space="preserve">שם כתבו הרא"ש (סי' טו) והר"ן (ל: דיבור ראשון) דרב האיי גריס </w:t>
      </w:r>
      <w:r w:rsidRPr="00411FBD">
        <w:rPr>
          <w:rFonts w:cs="Arial" w:hint="cs"/>
          <w:sz w:val="16"/>
          <w:szCs w:val="16"/>
          <w:rtl/>
        </w:rPr>
        <w:t>'</w:t>
      </w:r>
      <w:r w:rsidRPr="00411FBD">
        <w:rPr>
          <w:rFonts w:cs="Arial"/>
          <w:sz w:val="16"/>
          <w:szCs w:val="16"/>
          <w:rtl/>
        </w:rPr>
        <w:t>שומעין לו</w:t>
      </w:r>
      <w:r w:rsidRPr="00411FBD">
        <w:rPr>
          <w:rFonts w:cs="Arial" w:hint="cs"/>
          <w:sz w:val="16"/>
          <w:szCs w:val="16"/>
          <w:rtl/>
        </w:rPr>
        <w:t>',</w:t>
      </w:r>
      <w:r w:rsidRPr="00411FBD">
        <w:rPr>
          <w:rFonts w:cs="Arial"/>
          <w:sz w:val="16"/>
          <w:szCs w:val="16"/>
          <w:rtl/>
        </w:rPr>
        <w:t xml:space="preserve"> ומיירי בשהתנה בשעת נשואין שלא יהא לה תנאי כתובה </w:t>
      </w:r>
      <w:r w:rsidRPr="00411FBD">
        <w:rPr>
          <w:rFonts w:cs="Arial" w:hint="cs"/>
          <w:sz w:val="16"/>
          <w:szCs w:val="16"/>
          <w:rtl/>
        </w:rPr>
        <w:t xml:space="preserve">- </w:t>
      </w:r>
      <w:r w:rsidRPr="00411FBD">
        <w:rPr>
          <w:rFonts w:cs="Arial"/>
          <w:sz w:val="16"/>
          <w:szCs w:val="16"/>
          <w:rtl/>
        </w:rPr>
        <w:t>שומעין לו</w:t>
      </w:r>
      <w:r w:rsidRPr="00411FBD">
        <w:rPr>
          <w:rFonts w:cs="Arial" w:hint="cs"/>
          <w:sz w:val="16"/>
          <w:szCs w:val="16"/>
          <w:rtl/>
        </w:rPr>
        <w:t>,</w:t>
      </w:r>
      <w:r w:rsidRPr="00411FBD">
        <w:rPr>
          <w:rFonts w:cs="Arial"/>
          <w:sz w:val="16"/>
          <w:szCs w:val="16"/>
          <w:rtl/>
        </w:rPr>
        <w:t xml:space="preserve"> דכל דבר שבממון תנאו קיים</w:t>
      </w:r>
      <w:r w:rsidRPr="00411FBD">
        <w:rPr>
          <w:rFonts w:cs="Arial" w:hint="cs"/>
          <w:sz w:val="16"/>
          <w:szCs w:val="16"/>
          <w:rtl/>
        </w:rPr>
        <w:t>, ב"י</w:t>
      </w:r>
      <w:r>
        <w:rPr>
          <w:rFonts w:cs="Arial" w:hint="cs"/>
          <w:sz w:val="16"/>
          <w:szCs w:val="16"/>
          <w:rtl/>
        </w:rPr>
        <w:t>)</w:t>
      </w:r>
    </w:p>
    <w:p w14:paraId="3A36303F" w14:textId="77777777" w:rsidR="00392DBB" w:rsidRPr="007A7A77" w:rsidRDefault="00392DBB" w:rsidP="00392DBB">
      <w:pPr>
        <w:rPr>
          <w:u w:val="single"/>
          <w:rtl/>
        </w:rPr>
      </w:pPr>
      <w:r w:rsidRPr="007A7A77">
        <w:rPr>
          <w:rFonts w:cs="Arial"/>
          <w:u w:val="single"/>
          <w:rtl/>
        </w:rPr>
        <w:lastRenderedPageBreak/>
        <w:t xml:space="preserve">מי שצוה בשעת מיתה </w:t>
      </w:r>
      <w:r>
        <w:rPr>
          <w:rFonts w:cs="Arial" w:hint="cs"/>
          <w:u w:val="single"/>
          <w:rtl/>
        </w:rPr>
        <w:t>'</w:t>
      </w:r>
      <w:r w:rsidRPr="007A7A77">
        <w:rPr>
          <w:rFonts w:cs="Arial"/>
          <w:u w:val="single"/>
          <w:rtl/>
        </w:rPr>
        <w:t>אל יזונו בנותי מנכסי</w:t>
      </w:r>
      <w:r>
        <w:rPr>
          <w:rFonts w:hint="cs"/>
          <w:u w:val="single"/>
          <w:rtl/>
        </w:rPr>
        <w:t>'</w:t>
      </w:r>
      <w:r w:rsidRPr="007A7A77">
        <w:rPr>
          <w:rFonts w:hint="cs"/>
          <w:u w:val="single"/>
          <w:rtl/>
        </w:rPr>
        <w:t>:</w:t>
      </w:r>
    </w:p>
    <w:p w14:paraId="4BE5AE83" w14:textId="77777777" w:rsidR="00392DBB" w:rsidRPr="007A7A77" w:rsidRDefault="00392DBB" w:rsidP="009000E3">
      <w:pPr>
        <w:pStyle w:val="ab"/>
        <w:numPr>
          <w:ilvl w:val="0"/>
          <w:numId w:val="63"/>
        </w:numPr>
      </w:pPr>
      <w:r>
        <w:rPr>
          <w:rFonts w:cs="Arial" w:hint="cs"/>
          <w:rtl/>
        </w:rPr>
        <w:t xml:space="preserve">רמב"ם </w:t>
      </w:r>
      <w:r>
        <w:rPr>
          <w:rFonts w:cs="Arial" w:hint="cs"/>
          <w:sz w:val="16"/>
          <w:szCs w:val="16"/>
          <w:rtl/>
        </w:rPr>
        <w:t>(פי"ט הי"ג)</w:t>
      </w:r>
      <w:r>
        <w:rPr>
          <w:rFonts w:cs="Arial" w:hint="cs"/>
          <w:rtl/>
        </w:rPr>
        <w:t xml:space="preserve"> רא"ש </w:t>
      </w:r>
      <w:r w:rsidRPr="00411FBD">
        <w:rPr>
          <w:rFonts w:cs="Arial"/>
          <w:sz w:val="16"/>
          <w:szCs w:val="16"/>
          <w:rtl/>
        </w:rPr>
        <w:t xml:space="preserve">(סי' טו) </w:t>
      </w:r>
      <w:r>
        <w:rPr>
          <w:rFonts w:cs="Arial" w:hint="cs"/>
          <w:rtl/>
        </w:rPr>
        <w:t xml:space="preserve">וטור- </w:t>
      </w:r>
      <w:r w:rsidRPr="00B345A5">
        <w:rPr>
          <w:rFonts w:cs="Arial"/>
          <w:rtl/>
        </w:rPr>
        <w:t xml:space="preserve">מי שצוה בשעת מיתה אל יזונו בנותי מנכסי </w:t>
      </w:r>
      <w:r>
        <w:rPr>
          <w:rFonts w:cs="Arial" w:hint="cs"/>
          <w:rtl/>
        </w:rPr>
        <w:t xml:space="preserve">- </w:t>
      </w:r>
      <w:r w:rsidRPr="00B345A5">
        <w:rPr>
          <w:rFonts w:cs="Arial"/>
          <w:rtl/>
        </w:rPr>
        <w:t>אין שומעין לו</w:t>
      </w:r>
      <w:r>
        <w:rPr>
          <w:rFonts w:cs="Arial" w:hint="cs"/>
          <w:sz w:val="16"/>
          <w:szCs w:val="16"/>
          <w:rtl/>
        </w:rPr>
        <w:t xml:space="preserve"> (ל' הטור)</w:t>
      </w:r>
      <w:r>
        <w:rPr>
          <w:rFonts w:cs="Arial" w:hint="cs"/>
          <w:rtl/>
        </w:rPr>
        <w:t>.</w:t>
      </w:r>
      <w:r w:rsidRPr="00B345A5">
        <w:rPr>
          <w:rFonts w:cs="Arial"/>
          <w:rtl/>
        </w:rPr>
        <w:t xml:space="preserve"> </w:t>
      </w:r>
      <w:r w:rsidRPr="002D5C63">
        <w:rPr>
          <w:rFonts w:hint="cs"/>
          <w:color w:val="E36C0A" w:themeColor="accent6" w:themeShade="BF"/>
          <w:rtl/>
        </w:rPr>
        <w:t>(וכ"פ בשו"ע)</w:t>
      </w:r>
    </w:p>
    <w:p w14:paraId="4564B852" w14:textId="77777777" w:rsidR="00392DBB" w:rsidRPr="007A7A77" w:rsidRDefault="00392DBB" w:rsidP="00392DBB">
      <w:pPr>
        <w:ind w:left="360"/>
        <w:rPr>
          <w:u w:val="dotted"/>
        </w:rPr>
      </w:pPr>
      <w:r w:rsidRPr="007A7A77">
        <w:rPr>
          <w:rFonts w:hint="cs"/>
          <w:u w:val="dotted"/>
          <w:rtl/>
        </w:rPr>
        <w:t>ומה הדין אם התנה כן בשעת נישואין:</w:t>
      </w:r>
    </w:p>
    <w:p w14:paraId="44000EBC" w14:textId="77777777" w:rsidR="00392DBB" w:rsidRPr="00F16681" w:rsidRDefault="00392DBB" w:rsidP="009000E3">
      <w:pPr>
        <w:pStyle w:val="ab"/>
        <w:numPr>
          <w:ilvl w:val="0"/>
          <w:numId w:val="63"/>
        </w:numPr>
        <w:rPr>
          <w:rtl/>
        </w:rPr>
      </w:pPr>
      <w:r>
        <w:rPr>
          <w:rFonts w:cs="Arial" w:hint="cs"/>
          <w:rtl/>
        </w:rPr>
        <w:t xml:space="preserve">רא"ש </w:t>
      </w:r>
      <w:r w:rsidRPr="00411FBD">
        <w:rPr>
          <w:rFonts w:cs="Arial"/>
          <w:sz w:val="16"/>
          <w:szCs w:val="16"/>
          <w:rtl/>
        </w:rPr>
        <w:t xml:space="preserve">(סי' טו) </w:t>
      </w:r>
      <w:r>
        <w:rPr>
          <w:rFonts w:cs="Arial" w:hint="cs"/>
          <w:rtl/>
        </w:rPr>
        <w:t xml:space="preserve">טור ור"ן </w:t>
      </w:r>
      <w:r w:rsidRPr="00411FBD">
        <w:rPr>
          <w:rFonts w:cs="Arial"/>
          <w:sz w:val="16"/>
          <w:szCs w:val="16"/>
          <w:rtl/>
        </w:rPr>
        <w:t>(ל: דיבור ראשון)</w:t>
      </w:r>
      <w:r>
        <w:rPr>
          <w:rFonts w:cs="Arial" w:hint="cs"/>
          <w:rtl/>
        </w:rPr>
        <w:t xml:space="preserve">- </w:t>
      </w:r>
      <w:r w:rsidRPr="00B345A5">
        <w:rPr>
          <w:rFonts w:cs="Arial"/>
          <w:rtl/>
        </w:rPr>
        <w:t xml:space="preserve">ואם התנה בשעת נישואין שלא יזונו </w:t>
      </w:r>
      <w:r>
        <w:rPr>
          <w:rFonts w:cs="Arial" w:hint="cs"/>
          <w:rtl/>
        </w:rPr>
        <w:t xml:space="preserve">- </w:t>
      </w:r>
      <w:r w:rsidRPr="00B345A5">
        <w:rPr>
          <w:rFonts w:cs="Arial"/>
          <w:rtl/>
        </w:rPr>
        <w:t>הוי בכלל תנאי שבממון וקיים</w:t>
      </w:r>
      <w:r>
        <w:rPr>
          <w:rFonts w:cs="Arial" w:hint="cs"/>
          <w:sz w:val="16"/>
          <w:szCs w:val="16"/>
          <w:rtl/>
        </w:rPr>
        <w:t xml:space="preserve"> (ל' הטור)</w:t>
      </w:r>
      <w:r>
        <w:rPr>
          <w:rFonts w:cs="Arial" w:hint="cs"/>
          <w:rtl/>
        </w:rPr>
        <w:t>.</w:t>
      </w:r>
      <w:r w:rsidRPr="00B345A5">
        <w:rPr>
          <w:rFonts w:cs="Arial"/>
          <w:rtl/>
        </w:rPr>
        <w:t xml:space="preserve"> </w:t>
      </w:r>
      <w:r w:rsidRPr="002D5C63">
        <w:rPr>
          <w:rFonts w:hint="cs"/>
          <w:color w:val="E36C0A" w:themeColor="accent6" w:themeShade="BF"/>
          <w:rtl/>
        </w:rPr>
        <w:t>(וכ"פ בשו"ע)</w:t>
      </w:r>
    </w:p>
    <w:p w14:paraId="5142202E"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0D97567" w14:textId="77777777" w:rsidR="00392DBB" w:rsidRDefault="00392DBB" w:rsidP="00392DBB">
      <w:pPr>
        <w:rPr>
          <w:rFonts w:cs="Arial"/>
          <w:rtl/>
        </w:rPr>
      </w:pPr>
      <w:r w:rsidRPr="00523CDE">
        <w:rPr>
          <w:rFonts w:cs="Arial"/>
          <w:rtl/>
        </w:rPr>
        <w:t xml:space="preserve">מי שצוה בשעת מיתתו: אל יזונו בנותי מנכסי, אין שומעין לו. ואם בשעת נישואין התנה שלא יזונו מנכסיו, הוי בכלל תנאי שבממון, וקיים. </w:t>
      </w:r>
    </w:p>
    <w:p w14:paraId="6179D173" w14:textId="77777777" w:rsidR="00392DBB" w:rsidRPr="00523CDE" w:rsidRDefault="00392DBB" w:rsidP="00392DBB">
      <w:pPr>
        <w:rPr>
          <w:rFonts w:cs="Arial"/>
          <w:rtl/>
        </w:rPr>
      </w:pPr>
    </w:p>
    <w:p w14:paraId="19650B50" w14:textId="77777777" w:rsidR="00392DBB" w:rsidRDefault="00392DBB" w:rsidP="000F64D0">
      <w:pPr>
        <w:pStyle w:val="2"/>
        <w:rPr>
          <w:rtl/>
        </w:rPr>
      </w:pPr>
      <w:r w:rsidRPr="00523CDE">
        <w:rPr>
          <w:rtl/>
        </w:rPr>
        <w:t>סעיף יא</w:t>
      </w:r>
      <w:r>
        <w:rPr>
          <w:rFonts w:hint="cs"/>
          <w:rtl/>
        </w:rPr>
        <w:t>: חלוקת הנכסים בין בניו ובנותיו (לענין מזונות).</w:t>
      </w:r>
    </w:p>
    <w:p w14:paraId="546FAA11" w14:textId="46479CDF" w:rsidR="00392DBB" w:rsidRDefault="00392DBB" w:rsidP="00392DBB">
      <w:pPr>
        <w:rPr>
          <w:rtl/>
        </w:rPr>
      </w:pPr>
      <w:r w:rsidRPr="00D134DC">
        <w:rPr>
          <w:rFonts w:hint="cs"/>
          <w:b/>
          <w:bCs/>
          <w:rtl/>
        </w:rPr>
        <w:t xml:space="preserve">בבא בתרא </w:t>
      </w:r>
      <w:r w:rsidRPr="00D134DC">
        <w:rPr>
          <w:rFonts w:hint="cs"/>
          <w:b/>
          <w:bCs/>
          <w:sz w:val="16"/>
          <w:szCs w:val="16"/>
          <w:rtl/>
        </w:rPr>
        <w:t xml:space="preserve">(ר"פ מי שמת) </w:t>
      </w:r>
      <w:r w:rsidRPr="00D134DC">
        <w:rPr>
          <w:rFonts w:hint="cs"/>
          <w:b/>
          <w:bCs/>
          <w:rtl/>
        </w:rPr>
        <w:t>קלט</w:t>
      </w:r>
      <w:r w:rsidR="0065460B">
        <w:rPr>
          <w:rStyle w:val="a7"/>
          <w:rFonts w:cs="Arial"/>
          <w:b/>
          <w:bCs/>
          <w:rtl/>
        </w:rPr>
        <w:footnoteReference w:id="2593"/>
      </w:r>
      <w:r w:rsidRPr="00D134DC">
        <w:rPr>
          <w:rFonts w:hint="cs"/>
          <w:b/>
          <w:bCs/>
          <w:rtl/>
        </w:rPr>
        <w:t xml:space="preserve"> ע"ב:</w:t>
      </w:r>
      <w:r>
        <w:rPr>
          <w:rFonts w:hint="cs"/>
          <w:rtl/>
        </w:rPr>
        <w:t xml:space="preserve"> </w:t>
      </w:r>
      <w:r w:rsidRPr="00D134DC">
        <w:rPr>
          <w:rFonts w:hint="cs"/>
          <w:u w:val="double"/>
          <w:rtl/>
        </w:rPr>
        <w:t>מתני'</w:t>
      </w:r>
      <w:r>
        <w:rPr>
          <w:rFonts w:hint="cs"/>
          <w:rtl/>
        </w:rPr>
        <w:t xml:space="preserve">: </w:t>
      </w:r>
      <w:r w:rsidRPr="00D134DC">
        <w:rPr>
          <w:rFonts w:cs="Arial"/>
          <w:rtl/>
        </w:rPr>
        <w:t>מי שמת והניח בנים ובנות, בזמן שהנכסים מרובין - הבנים יירשו והבנות יזונו</w:t>
      </w:r>
      <w:r>
        <w:rPr>
          <w:rFonts w:cs="Arial" w:hint="cs"/>
          <w:rtl/>
        </w:rPr>
        <w:t>.</w:t>
      </w:r>
      <w:r w:rsidRPr="00D134DC">
        <w:rPr>
          <w:rFonts w:cs="Arial"/>
          <w:rtl/>
        </w:rPr>
        <w:t xml:space="preserve"> נכסים מועטין - הבנות יזונו</w:t>
      </w:r>
      <w:r>
        <w:rPr>
          <w:rFonts w:cs="Arial" w:hint="cs"/>
          <w:rtl/>
        </w:rPr>
        <w:t>,</w:t>
      </w:r>
      <w:r w:rsidRPr="00D134DC">
        <w:rPr>
          <w:rFonts w:cs="Arial"/>
          <w:rtl/>
        </w:rPr>
        <w:t xml:space="preserve"> והבנים ישאלו על הפתחים</w:t>
      </w:r>
      <w:r>
        <w:rPr>
          <w:rStyle w:val="a7"/>
          <w:rFonts w:cs="Arial"/>
          <w:rtl/>
        </w:rPr>
        <w:footnoteReference w:id="2594"/>
      </w:r>
      <w:r>
        <w:rPr>
          <w:rFonts w:cs="Arial" w:hint="cs"/>
          <w:rtl/>
        </w:rPr>
        <w:t>.</w:t>
      </w:r>
      <w:r w:rsidRPr="00D134DC">
        <w:rPr>
          <w:rFonts w:cs="Arial"/>
          <w:rtl/>
        </w:rPr>
        <w:t xml:space="preserve"> </w:t>
      </w:r>
      <w:r w:rsidRPr="00D134DC">
        <w:rPr>
          <w:rFonts w:cs="Arial"/>
          <w:u w:val="single"/>
          <w:rtl/>
        </w:rPr>
        <w:t>אדמון אומר</w:t>
      </w:r>
      <w:r w:rsidRPr="00D134DC">
        <w:rPr>
          <w:rFonts w:cs="Arial"/>
          <w:rtl/>
        </w:rPr>
        <w:t xml:space="preserve">: בשביל שאני זכר הפסדתי? </w:t>
      </w:r>
      <w:r w:rsidRPr="00D134DC">
        <w:rPr>
          <w:rFonts w:cs="Arial"/>
          <w:u w:val="single"/>
          <w:rtl/>
        </w:rPr>
        <w:t>אמר רבן גמליאל</w:t>
      </w:r>
      <w:r w:rsidRPr="00D134DC">
        <w:rPr>
          <w:rFonts w:cs="Arial"/>
          <w:rtl/>
        </w:rPr>
        <w:t>: רואה אני את דברי אדמון.</w:t>
      </w:r>
      <w:r w:rsidRPr="009731D8">
        <w:rPr>
          <w:rtl/>
        </w:rPr>
        <w:t xml:space="preserve"> </w:t>
      </w:r>
      <w:r>
        <w:rPr>
          <w:rFonts w:cs="Arial" w:hint="cs"/>
          <w:rtl/>
        </w:rPr>
        <w:t xml:space="preserve">          </w:t>
      </w:r>
      <w:r w:rsidRPr="009731D8">
        <w:rPr>
          <w:rFonts w:cs="Arial"/>
          <w:u w:val="double"/>
          <w:rtl/>
        </w:rPr>
        <w:t>גמ'</w:t>
      </w:r>
      <w:r>
        <w:rPr>
          <w:rFonts w:cs="Arial" w:hint="cs"/>
          <w:rtl/>
        </w:rPr>
        <w:t>:</w:t>
      </w:r>
      <w:r w:rsidRPr="009731D8">
        <w:rPr>
          <w:rFonts w:cs="Arial"/>
          <w:rtl/>
        </w:rPr>
        <w:t xml:space="preserve"> וכמה מרובין? </w:t>
      </w:r>
      <w:r w:rsidRPr="009731D8">
        <w:rPr>
          <w:rFonts w:cs="Arial"/>
          <w:u w:val="single"/>
          <w:rtl/>
        </w:rPr>
        <w:t>אמר רב יהודה אמר רב</w:t>
      </w:r>
      <w:r w:rsidRPr="009731D8">
        <w:rPr>
          <w:rFonts w:cs="Arial"/>
          <w:rtl/>
        </w:rPr>
        <w:t xml:space="preserve">: כדי שיזונו מהן אלו ואלו שנים עשר חדש. </w:t>
      </w:r>
      <w:r w:rsidRPr="009731D8">
        <w:rPr>
          <w:rFonts w:cs="Arial"/>
          <w:u w:val="single"/>
          <w:rtl/>
        </w:rPr>
        <w:t>כי אמריתא קמיה דשמואל, אמר</w:t>
      </w:r>
      <w:r w:rsidRPr="009731D8">
        <w:rPr>
          <w:rFonts w:cs="Arial"/>
          <w:rtl/>
        </w:rPr>
        <w:t>: זו דברי רבן גמליאל בר רבי, אבל חכמים אומרים: כדי שיזונו מהן אלו ואלו עד שיבגרו</w:t>
      </w:r>
      <w:r>
        <w:rPr>
          <w:rStyle w:val="a7"/>
          <w:rFonts w:cs="Arial"/>
          <w:rtl/>
        </w:rPr>
        <w:footnoteReference w:id="2595"/>
      </w:r>
      <w:r w:rsidRPr="009731D8">
        <w:rPr>
          <w:rFonts w:cs="Arial"/>
          <w:rtl/>
        </w:rPr>
        <w:t>. איתמר נמי</w:t>
      </w:r>
      <w:r>
        <w:rPr>
          <w:rFonts w:cs="Arial" w:hint="cs"/>
          <w:rtl/>
        </w:rPr>
        <w:t>,</w:t>
      </w:r>
      <w:r w:rsidRPr="009731D8">
        <w:rPr>
          <w:rFonts w:cs="Arial"/>
          <w:rtl/>
        </w:rPr>
        <w:t xml:space="preserve"> </w:t>
      </w:r>
      <w:r w:rsidRPr="009731D8">
        <w:rPr>
          <w:rFonts w:cs="Arial"/>
          <w:u w:val="single"/>
          <w:rtl/>
        </w:rPr>
        <w:t>כי אתא רבין אמר ר' יוחנן</w:t>
      </w:r>
      <w:r w:rsidRPr="009731D8">
        <w:rPr>
          <w:rFonts w:cs="Arial" w:hint="cs"/>
          <w:u w:val="single"/>
          <w:rtl/>
        </w:rPr>
        <w:t>,</w:t>
      </w:r>
      <w:r w:rsidRPr="009731D8">
        <w:rPr>
          <w:rFonts w:cs="Arial"/>
          <w:u w:val="single"/>
          <w:rtl/>
        </w:rPr>
        <w:t xml:space="preserve"> ואמרי לה</w:t>
      </w:r>
      <w:r w:rsidRPr="009731D8">
        <w:rPr>
          <w:rFonts w:cs="Arial" w:hint="cs"/>
          <w:u w:val="single"/>
          <w:rtl/>
        </w:rPr>
        <w:t xml:space="preserve"> </w:t>
      </w:r>
      <w:r w:rsidRPr="009731D8">
        <w:rPr>
          <w:rFonts w:cs="Arial"/>
          <w:u w:val="single"/>
          <w:rtl/>
        </w:rPr>
        <w:t>אמר רבה בר בר חנה אמר רבי יוחנן</w:t>
      </w:r>
      <w:r w:rsidRPr="009731D8">
        <w:rPr>
          <w:rFonts w:cs="Arial"/>
          <w:rtl/>
        </w:rPr>
        <w:t>: כל שיזונו מהן אלו ואלו עד שיבגרו - הן מרובין, פחות מכאן - הרי אלו מועטין. ואי ליכא לאלו ואלו עד שיבגרו,</w:t>
      </w:r>
      <w:r w:rsidRPr="009731D8">
        <w:rPr>
          <w:rtl/>
        </w:rPr>
        <w:t xml:space="preserve"> </w:t>
      </w:r>
      <w:r>
        <w:rPr>
          <w:rFonts w:hint="cs"/>
          <w:sz w:val="14"/>
          <w:szCs w:val="14"/>
          <w:rtl/>
        </w:rPr>
        <w:t xml:space="preserve">(קמ.) </w:t>
      </w:r>
      <w:r w:rsidRPr="009731D8">
        <w:rPr>
          <w:rFonts w:cs="Arial"/>
          <w:rtl/>
        </w:rPr>
        <w:t xml:space="preserve">שקלי להו בנות לכולהו? </w:t>
      </w:r>
      <w:r w:rsidRPr="009731D8">
        <w:rPr>
          <w:rFonts w:cs="Arial"/>
          <w:u w:val="single"/>
          <w:rtl/>
        </w:rPr>
        <w:t>אלא אמר רבא</w:t>
      </w:r>
      <w:r w:rsidRPr="009731D8">
        <w:rPr>
          <w:rFonts w:cs="Arial"/>
          <w:rtl/>
        </w:rPr>
        <w:t>: מוציאין להן מזונות לבנות עד שיבגרו, והשאר לבנים.</w:t>
      </w:r>
      <w:r w:rsidRPr="00483F54">
        <w:rPr>
          <w:rFonts w:cs="Arial"/>
          <w:sz w:val="16"/>
          <w:szCs w:val="16"/>
          <w:rtl/>
        </w:rPr>
        <w:t xml:space="preserve"> </w:t>
      </w:r>
      <w:r>
        <w:rPr>
          <w:rFonts w:cs="Arial" w:hint="cs"/>
          <w:sz w:val="16"/>
          <w:szCs w:val="16"/>
          <w:rtl/>
        </w:rPr>
        <w:t xml:space="preserve">(וז"ל </w:t>
      </w:r>
      <w:r w:rsidRPr="00483F54">
        <w:rPr>
          <w:rFonts w:cs="Arial"/>
          <w:sz w:val="16"/>
          <w:szCs w:val="16"/>
          <w:rtl/>
        </w:rPr>
        <w:t xml:space="preserve">הרא"ש </w:t>
      </w:r>
      <w:r>
        <w:rPr>
          <w:rFonts w:cs="Arial" w:hint="cs"/>
          <w:sz w:val="16"/>
          <w:szCs w:val="16"/>
          <w:rtl/>
        </w:rPr>
        <w:t>(</w:t>
      </w:r>
      <w:r w:rsidRPr="00483F54">
        <w:rPr>
          <w:rFonts w:cs="Arial"/>
          <w:sz w:val="16"/>
          <w:szCs w:val="16"/>
          <w:rtl/>
        </w:rPr>
        <w:t>בר"פ מי שמת שם)</w:t>
      </w:r>
      <w:r w:rsidR="00FE0CED">
        <w:rPr>
          <w:rFonts w:cs="Arial" w:hint="cs"/>
          <w:sz w:val="16"/>
          <w:szCs w:val="16"/>
          <w:rtl/>
        </w:rPr>
        <w:t>:</w:t>
      </w:r>
      <w:r w:rsidRPr="00483F54">
        <w:rPr>
          <w:rFonts w:cs="Arial"/>
          <w:sz w:val="16"/>
          <w:szCs w:val="16"/>
          <w:rtl/>
        </w:rPr>
        <w:t xml:space="preserve"> פרשב"ם (קלט: ד"ה אמר) דהלכה כאדמון משום דאמרינן בפרק בתרא דכתובות (קט.) כל מקום שאמר רבן גמליאל רואה אני את דברי אדמון הלכה כמותו</w:t>
      </w:r>
      <w:r>
        <w:rPr>
          <w:rFonts w:cs="Arial" w:hint="cs"/>
          <w:sz w:val="16"/>
          <w:szCs w:val="16"/>
          <w:rtl/>
        </w:rPr>
        <w:t>.</w:t>
      </w:r>
      <w:r w:rsidRPr="00483F54">
        <w:rPr>
          <w:rFonts w:cs="Arial"/>
          <w:sz w:val="16"/>
          <w:szCs w:val="16"/>
          <w:rtl/>
        </w:rPr>
        <w:t xml:space="preserve"> ורב אלפס (ב"ב סה. כתובות סג:) פסק כת"ק</w:t>
      </w:r>
      <w:r>
        <w:rPr>
          <w:rFonts w:cs="Arial" w:hint="cs"/>
          <w:sz w:val="16"/>
          <w:szCs w:val="16"/>
          <w:rtl/>
        </w:rPr>
        <w:t>,</w:t>
      </w:r>
      <w:r w:rsidRPr="00483F54">
        <w:rPr>
          <w:rFonts w:cs="Arial"/>
          <w:sz w:val="16"/>
          <w:szCs w:val="16"/>
          <w:rtl/>
        </w:rPr>
        <w:t xml:space="preserve"> משום דסוגיא דשמעתין בפרק מי שמת כוותיה אזלא</w:t>
      </w:r>
      <w:r>
        <w:rPr>
          <w:rFonts w:cs="Arial" w:hint="cs"/>
          <w:sz w:val="16"/>
          <w:szCs w:val="16"/>
          <w:rtl/>
        </w:rPr>
        <w:t>.</w:t>
      </w:r>
      <w:r w:rsidRPr="00483F54">
        <w:rPr>
          <w:rFonts w:cs="Arial"/>
          <w:sz w:val="16"/>
          <w:szCs w:val="16"/>
          <w:rtl/>
        </w:rPr>
        <w:t xml:space="preserve"> ושלא לסתור כלל דהתם איכא למימר דאדמון אינו אלא כמתמיה בעלמא</w:t>
      </w:r>
      <w:r>
        <w:rPr>
          <w:rFonts w:cs="Arial" w:hint="cs"/>
          <w:sz w:val="16"/>
          <w:szCs w:val="16"/>
          <w:rtl/>
        </w:rPr>
        <w:t>,</w:t>
      </w:r>
      <w:r w:rsidRPr="00483F54">
        <w:rPr>
          <w:rFonts w:cs="Arial"/>
          <w:sz w:val="16"/>
          <w:szCs w:val="16"/>
          <w:rtl/>
        </w:rPr>
        <w:t xml:space="preserve"> ונראה לרבן גמליאל דבריו דיפה היה תמיה עכ"ל</w:t>
      </w:r>
      <w:r>
        <w:rPr>
          <w:rFonts w:cs="Arial" w:hint="cs"/>
          <w:sz w:val="16"/>
          <w:szCs w:val="16"/>
          <w:rtl/>
        </w:rPr>
        <w:t>.</w:t>
      </w:r>
      <w:r w:rsidRPr="00483F54">
        <w:rPr>
          <w:rFonts w:cs="Arial"/>
          <w:sz w:val="16"/>
          <w:szCs w:val="16"/>
          <w:rtl/>
        </w:rPr>
        <w:t xml:space="preserve"> וכן כתב בפרק בתרא דכתובות (סי' ט) וז"ל</w:t>
      </w:r>
      <w:r w:rsidR="00C048D3">
        <w:rPr>
          <w:rFonts w:cs="Arial" w:hint="cs"/>
          <w:sz w:val="16"/>
          <w:szCs w:val="16"/>
          <w:rtl/>
        </w:rPr>
        <w:t>:</w:t>
      </w:r>
      <w:r w:rsidRPr="00483F54">
        <w:rPr>
          <w:rFonts w:cs="Arial"/>
          <w:sz w:val="16"/>
          <w:szCs w:val="16"/>
          <w:rtl/>
        </w:rPr>
        <w:t xml:space="preserve"> אע</w:t>
      </w:r>
      <w:r>
        <w:rPr>
          <w:rFonts w:cs="Arial" w:hint="cs"/>
          <w:sz w:val="16"/>
          <w:szCs w:val="16"/>
          <w:rtl/>
        </w:rPr>
        <w:t>"</w:t>
      </w:r>
      <w:r w:rsidRPr="00483F54">
        <w:rPr>
          <w:rFonts w:cs="Arial"/>
          <w:sz w:val="16"/>
          <w:szCs w:val="16"/>
          <w:rtl/>
        </w:rPr>
        <w:t>ג דפסקינן לקמן כל מקום שאמר רבן גמליאל רואה אני את דברי אדמון הלכה כמותו</w:t>
      </w:r>
      <w:r w:rsidR="00C048D3">
        <w:rPr>
          <w:rFonts w:cs="Arial" w:hint="cs"/>
          <w:sz w:val="16"/>
          <w:szCs w:val="16"/>
          <w:rtl/>
        </w:rPr>
        <w:t>,</w:t>
      </w:r>
      <w:r w:rsidRPr="00483F54">
        <w:rPr>
          <w:rFonts w:cs="Arial"/>
          <w:sz w:val="16"/>
          <w:szCs w:val="16"/>
          <w:rtl/>
        </w:rPr>
        <w:t xml:space="preserve"> מכל מקום ר"ח והרי"ף ור"ת (תוס' כתובות קח: ד"ה אדמון) ז"ל פסקו דלית הלכתא בהך כוותיה</w:t>
      </w:r>
      <w:r w:rsidRPr="00483F54">
        <w:rPr>
          <w:rFonts w:cs="Arial" w:hint="cs"/>
          <w:sz w:val="16"/>
          <w:szCs w:val="16"/>
          <w:rtl/>
        </w:rPr>
        <w:t>,</w:t>
      </w:r>
      <w:r w:rsidRPr="00483F54">
        <w:rPr>
          <w:rFonts w:cs="Arial"/>
          <w:sz w:val="16"/>
          <w:szCs w:val="16"/>
          <w:rtl/>
        </w:rPr>
        <w:t xml:space="preserve"> דסוגיא דתלמודא דלא כוותיה בפרק נערה (מג.) ובפרק הנושא (קג.) ובפרק מי שמת (קמ.)</w:t>
      </w:r>
      <w:r w:rsidRPr="00483F54">
        <w:rPr>
          <w:rFonts w:cs="Arial" w:hint="cs"/>
          <w:sz w:val="16"/>
          <w:szCs w:val="16"/>
          <w:rtl/>
        </w:rPr>
        <w:t>.</w:t>
      </w:r>
      <w:r w:rsidRPr="00483F54">
        <w:rPr>
          <w:rFonts w:cs="Arial"/>
          <w:sz w:val="16"/>
          <w:szCs w:val="16"/>
          <w:rtl/>
        </w:rPr>
        <w:t xml:space="preserve"> והיה אומר ר"ת (שם, וב"ב קלט: ד"ה אמר) דאדמון לאו לפלוגי אחכמים הוא דאתא אלא אתמוהי בעלמא קמתמה וקאמר רבן גמליאל יפה אמר אדמון שהיה מתמיה על דברי חכמים עכ"ל. וכן פסק הרמב"ם בפי"ט מהלכות אישות (הי"ז) וכתב הה</w:t>
      </w:r>
      <w:r w:rsidR="00C048D3">
        <w:rPr>
          <w:rFonts w:cs="Arial" w:hint="cs"/>
          <w:sz w:val="16"/>
          <w:szCs w:val="16"/>
          <w:rtl/>
        </w:rPr>
        <w:t>"</w:t>
      </w:r>
      <w:r w:rsidRPr="00483F54">
        <w:rPr>
          <w:rFonts w:cs="Arial"/>
          <w:sz w:val="16"/>
          <w:szCs w:val="16"/>
          <w:rtl/>
        </w:rPr>
        <w:t>מ שכן פסקו כל הגאונים</w:t>
      </w:r>
      <w:r>
        <w:rPr>
          <w:rFonts w:cs="Arial" w:hint="cs"/>
          <w:sz w:val="16"/>
          <w:szCs w:val="16"/>
          <w:rtl/>
        </w:rPr>
        <w:t>, ב"י)</w:t>
      </w:r>
    </w:p>
    <w:p w14:paraId="5ADC3C3E" w14:textId="7C36172B" w:rsidR="00392DBB" w:rsidRPr="00483F54" w:rsidRDefault="00392DBB" w:rsidP="00392DBB">
      <w:pPr>
        <w:rPr>
          <w:u w:val="single"/>
          <w:rtl/>
        </w:rPr>
      </w:pPr>
      <w:r w:rsidRPr="00483F54">
        <w:rPr>
          <w:rFonts w:cs="Arial"/>
          <w:u w:val="single"/>
          <w:rtl/>
        </w:rPr>
        <w:t>מי שמת והניח בנים ובנות</w:t>
      </w:r>
      <w:r w:rsidRPr="00483F54">
        <w:rPr>
          <w:rFonts w:hint="cs"/>
          <w:u w:val="single"/>
          <w:rtl/>
        </w:rPr>
        <w:t xml:space="preserve"> </w:t>
      </w:r>
      <w:r w:rsidR="00F97626">
        <w:rPr>
          <w:u w:val="single"/>
          <w:rtl/>
        </w:rPr>
        <w:t>-</w:t>
      </w:r>
      <w:r w:rsidRPr="00483F54">
        <w:rPr>
          <w:rFonts w:hint="cs"/>
          <w:u w:val="single"/>
          <w:rtl/>
        </w:rPr>
        <w:t xml:space="preserve"> כיצד מחלקים את הנכסים</w:t>
      </w:r>
      <w:r>
        <w:rPr>
          <w:rFonts w:hint="cs"/>
          <w:u w:val="single"/>
          <w:rtl/>
        </w:rPr>
        <w:t xml:space="preserve"> לעניין המזונות</w:t>
      </w:r>
      <w:r w:rsidRPr="00483F54">
        <w:rPr>
          <w:rFonts w:hint="cs"/>
          <w:u w:val="single"/>
          <w:rtl/>
        </w:rPr>
        <w:t>:</w:t>
      </w:r>
    </w:p>
    <w:p w14:paraId="4E001035" w14:textId="77777777" w:rsidR="00392DBB" w:rsidRPr="00D134DC" w:rsidRDefault="00392DBB" w:rsidP="009000E3">
      <w:pPr>
        <w:pStyle w:val="ab"/>
        <w:numPr>
          <w:ilvl w:val="0"/>
          <w:numId w:val="63"/>
        </w:numPr>
      </w:pPr>
      <w:r>
        <w:rPr>
          <w:rFonts w:cs="Arial" w:hint="cs"/>
          <w:rtl/>
        </w:rPr>
        <w:t xml:space="preserve">רי"ף </w:t>
      </w:r>
      <w:r w:rsidRPr="00483F54">
        <w:rPr>
          <w:rFonts w:cs="Arial"/>
          <w:sz w:val="16"/>
          <w:szCs w:val="16"/>
          <w:rtl/>
        </w:rPr>
        <w:t>(ב"ב סה. כתובות סג:)</w:t>
      </w:r>
      <w:r>
        <w:rPr>
          <w:rFonts w:cs="Arial" w:hint="cs"/>
          <w:rtl/>
        </w:rPr>
        <w:t xml:space="preserve"> </w:t>
      </w:r>
      <w:r>
        <w:rPr>
          <w:rFonts w:cs="Arial"/>
          <w:rtl/>
        </w:rPr>
        <w:t xml:space="preserve">רמב"ם </w:t>
      </w:r>
      <w:r w:rsidRPr="008B4495">
        <w:rPr>
          <w:rFonts w:cs="Arial" w:hint="cs"/>
          <w:sz w:val="16"/>
          <w:szCs w:val="16"/>
          <w:rtl/>
        </w:rPr>
        <w:t>(</w:t>
      </w:r>
      <w:r w:rsidRPr="008B4495">
        <w:rPr>
          <w:rFonts w:cs="Arial"/>
          <w:sz w:val="16"/>
          <w:szCs w:val="16"/>
          <w:rtl/>
        </w:rPr>
        <w:t>פי"ט מאישות הי"ז)</w:t>
      </w:r>
      <w:r w:rsidRPr="008B4495">
        <w:rPr>
          <w:rFonts w:cs="Arial" w:hint="cs"/>
          <w:sz w:val="16"/>
          <w:szCs w:val="16"/>
          <w:rtl/>
        </w:rPr>
        <w:t xml:space="preserve"> </w:t>
      </w:r>
      <w:r>
        <w:rPr>
          <w:rFonts w:cs="Arial"/>
          <w:rtl/>
        </w:rPr>
        <w:t xml:space="preserve">רא"ש </w:t>
      </w:r>
      <w:r w:rsidRPr="008B4495">
        <w:rPr>
          <w:rFonts w:cs="Arial"/>
          <w:sz w:val="16"/>
          <w:szCs w:val="16"/>
          <w:rtl/>
        </w:rPr>
        <w:t>(סי' א)</w:t>
      </w:r>
      <w:r w:rsidRPr="008B4495">
        <w:rPr>
          <w:rFonts w:cs="Arial" w:hint="cs"/>
          <w:sz w:val="16"/>
          <w:szCs w:val="16"/>
          <w:rtl/>
        </w:rPr>
        <w:t xml:space="preserve"> </w:t>
      </w:r>
      <w:r>
        <w:rPr>
          <w:rFonts w:cs="Arial" w:hint="cs"/>
          <w:rtl/>
        </w:rPr>
        <w:t xml:space="preserve">וטור- </w:t>
      </w:r>
      <w:r w:rsidRPr="00B345A5">
        <w:rPr>
          <w:rFonts w:cs="Arial"/>
          <w:rtl/>
        </w:rPr>
        <w:t>מי שמת והניח בנים ובנות</w:t>
      </w:r>
      <w:r>
        <w:rPr>
          <w:rFonts w:cs="Arial" w:hint="cs"/>
          <w:rtl/>
        </w:rPr>
        <w:t>,</w:t>
      </w:r>
      <w:r w:rsidRPr="00B345A5">
        <w:rPr>
          <w:rFonts w:cs="Arial"/>
          <w:rtl/>
        </w:rPr>
        <w:t xml:space="preserve"> אם הנכסים מרובים שיש בהם כדי שיזונו בנים ובנות עד שיבגרו הבנות</w:t>
      </w:r>
      <w:r>
        <w:rPr>
          <w:rFonts w:cs="Arial" w:hint="cs"/>
          <w:rtl/>
        </w:rPr>
        <w:t xml:space="preserve"> -</w:t>
      </w:r>
      <w:r w:rsidRPr="00B345A5">
        <w:rPr>
          <w:rFonts w:cs="Arial"/>
          <w:rtl/>
        </w:rPr>
        <w:t xml:space="preserve"> יירשו הבנים הכל שישארו הנכסים בחזקתן והם יפרנסו הבנות מתחת ידם</w:t>
      </w:r>
      <w:r>
        <w:rPr>
          <w:rFonts w:cs="Arial" w:hint="cs"/>
          <w:rtl/>
        </w:rPr>
        <w:t>,</w:t>
      </w:r>
      <w:r w:rsidRPr="00B837C8">
        <w:rPr>
          <w:rFonts w:cs="Arial"/>
          <w:rtl/>
        </w:rPr>
        <w:t xml:space="preserve"> </w:t>
      </w:r>
      <w:r>
        <w:rPr>
          <w:rFonts w:cs="Arial" w:hint="cs"/>
          <w:rtl/>
        </w:rPr>
        <w:t>ש</w:t>
      </w:r>
      <w:r w:rsidRPr="00B345A5">
        <w:rPr>
          <w:rFonts w:cs="Arial"/>
          <w:rtl/>
        </w:rPr>
        <w:t>אין מחייבים אותם להפריש חלק הבנות עד שיבגרו</w:t>
      </w:r>
      <w:r>
        <w:rPr>
          <w:rFonts w:cs="Arial" w:hint="cs"/>
          <w:rtl/>
        </w:rPr>
        <w:t>...</w:t>
      </w:r>
      <w:r w:rsidRPr="00B345A5">
        <w:rPr>
          <w:rFonts w:cs="Arial"/>
          <w:rtl/>
        </w:rPr>
        <w:t xml:space="preserve"> </w:t>
      </w:r>
      <w:r w:rsidRPr="00A2733A">
        <w:rPr>
          <w:rFonts w:cs="Arial"/>
          <w:rtl/>
        </w:rPr>
        <w:t>ואם אין בנכסים כדי שיזונו אלו ואלו עד שיבגרו הבנות</w:t>
      </w:r>
      <w:r w:rsidRPr="00A2733A">
        <w:rPr>
          <w:rFonts w:cs="Arial" w:hint="cs"/>
          <w:rtl/>
        </w:rPr>
        <w:t xml:space="preserve"> -</w:t>
      </w:r>
      <w:r w:rsidRPr="00A2733A">
        <w:rPr>
          <w:rFonts w:cs="Arial"/>
          <w:rtl/>
        </w:rPr>
        <w:t xml:space="preserve"> אז נקראים מועטים ומפרישים חלק הבנות עד שיבגרו</w:t>
      </w:r>
      <w:r w:rsidRPr="00A2733A">
        <w:rPr>
          <w:rFonts w:cs="Arial" w:hint="cs"/>
          <w:rtl/>
        </w:rPr>
        <w:t>,</w:t>
      </w:r>
      <w:r w:rsidRPr="00A2733A">
        <w:rPr>
          <w:rFonts w:cs="Arial"/>
          <w:rtl/>
        </w:rPr>
        <w:t xml:space="preserve"> והשאר לבניו</w:t>
      </w:r>
      <w:r w:rsidRPr="00A2733A">
        <w:rPr>
          <w:rFonts w:cs="Arial" w:hint="cs"/>
          <w:rtl/>
        </w:rPr>
        <w:t>.</w:t>
      </w:r>
      <w:r w:rsidRPr="00A2733A">
        <w:rPr>
          <w:rFonts w:cs="Arial"/>
          <w:rtl/>
        </w:rPr>
        <w:t xml:space="preserve"> ואם אין שם אלא עד כדי שיבגרו הבנות </w:t>
      </w:r>
      <w:r w:rsidRPr="00A2733A">
        <w:rPr>
          <w:rFonts w:cs="Arial" w:hint="cs"/>
          <w:rtl/>
        </w:rPr>
        <w:t xml:space="preserve">- </w:t>
      </w:r>
      <w:r w:rsidRPr="00A2733A">
        <w:rPr>
          <w:rFonts w:cs="Arial"/>
          <w:rtl/>
        </w:rPr>
        <w:t>הכל לבנות</w:t>
      </w:r>
      <w:r w:rsidRPr="00A2733A">
        <w:rPr>
          <w:rFonts w:cs="Arial" w:hint="cs"/>
          <w:rtl/>
        </w:rPr>
        <w:t>,</w:t>
      </w:r>
      <w:r w:rsidRPr="00A2733A">
        <w:rPr>
          <w:rFonts w:cs="Arial"/>
          <w:rtl/>
        </w:rPr>
        <w:t xml:space="preserve"> והבנים ישאלו על הפתחים</w:t>
      </w:r>
      <w:r>
        <w:rPr>
          <w:rFonts w:cs="Arial" w:hint="cs"/>
          <w:sz w:val="16"/>
          <w:szCs w:val="16"/>
          <w:rtl/>
        </w:rPr>
        <w:t xml:space="preserve"> (ל' הטור)</w:t>
      </w:r>
      <w:r w:rsidRPr="00A2733A">
        <w:rPr>
          <w:rFonts w:cs="Arial" w:hint="cs"/>
          <w:rtl/>
        </w:rPr>
        <w:t>.</w:t>
      </w:r>
      <w:r w:rsidRPr="00A2733A">
        <w:rPr>
          <w:rFonts w:cs="Arial"/>
          <w:rtl/>
        </w:rPr>
        <w:t xml:space="preserve"> </w:t>
      </w:r>
      <w:r w:rsidRPr="002D5C63">
        <w:rPr>
          <w:rFonts w:hint="cs"/>
          <w:color w:val="E36C0A" w:themeColor="accent6" w:themeShade="BF"/>
          <w:rtl/>
        </w:rPr>
        <w:t>(וכ"פ בשו"ע)</w:t>
      </w:r>
    </w:p>
    <w:p w14:paraId="737A9A7E" w14:textId="77777777" w:rsidR="00392DBB" w:rsidRDefault="00392DBB" w:rsidP="009000E3">
      <w:pPr>
        <w:pStyle w:val="ab"/>
        <w:numPr>
          <w:ilvl w:val="0"/>
          <w:numId w:val="63"/>
        </w:numPr>
      </w:pPr>
      <w:r>
        <w:rPr>
          <w:rFonts w:cs="Arial" w:hint="cs"/>
          <w:rtl/>
        </w:rPr>
        <w:t>רשב"ם</w:t>
      </w:r>
      <w:r w:rsidRPr="008B4495">
        <w:rPr>
          <w:rFonts w:cs="Arial" w:hint="cs"/>
          <w:sz w:val="16"/>
          <w:szCs w:val="16"/>
          <w:rtl/>
        </w:rPr>
        <w:t xml:space="preserve"> (</w:t>
      </w:r>
      <w:r>
        <w:rPr>
          <w:rFonts w:cs="Arial" w:hint="cs"/>
          <w:sz w:val="16"/>
          <w:szCs w:val="16"/>
          <w:rtl/>
        </w:rPr>
        <w:t>קלט: ד"ה אמר רבן גמליאל</w:t>
      </w:r>
      <w:r w:rsidRPr="008B4495">
        <w:rPr>
          <w:rFonts w:cs="Arial" w:hint="cs"/>
          <w:sz w:val="16"/>
          <w:szCs w:val="16"/>
          <w:rtl/>
        </w:rPr>
        <w:t>)</w:t>
      </w:r>
      <w:r>
        <w:rPr>
          <w:rFonts w:cs="Arial" w:hint="cs"/>
          <w:rtl/>
        </w:rPr>
        <w:t>-</w:t>
      </w:r>
      <w:r w:rsidRPr="00B345A5">
        <w:rPr>
          <w:rFonts w:cs="Arial"/>
          <w:rtl/>
        </w:rPr>
        <w:t xml:space="preserve"> לעולם יירשו הבנים הכל</w:t>
      </w:r>
      <w:r>
        <w:rPr>
          <w:rFonts w:cs="Arial" w:hint="cs"/>
          <w:sz w:val="16"/>
          <w:szCs w:val="16"/>
          <w:rtl/>
        </w:rPr>
        <w:t xml:space="preserve"> (ל' הטור בשם אדמון)</w:t>
      </w:r>
      <w:r>
        <w:rPr>
          <w:rFonts w:cs="Arial" w:hint="cs"/>
          <w:rtl/>
        </w:rPr>
        <w:t>.</w:t>
      </w:r>
      <w:r w:rsidRPr="00B345A5">
        <w:rPr>
          <w:rFonts w:cs="Arial"/>
          <w:rtl/>
        </w:rPr>
        <w:t xml:space="preserve"> </w:t>
      </w:r>
    </w:p>
    <w:p w14:paraId="4185BA6D" w14:textId="72810BE1" w:rsidR="00392DBB" w:rsidRPr="00CD4CBF" w:rsidRDefault="00392DBB" w:rsidP="00392DBB">
      <w:pPr>
        <w:ind w:left="360"/>
        <w:rPr>
          <w:u w:val="dotted"/>
        </w:rPr>
      </w:pPr>
      <w:r w:rsidRPr="00CD4CBF">
        <w:rPr>
          <w:rFonts w:hint="cs"/>
          <w:u w:val="dotted"/>
          <w:rtl/>
        </w:rPr>
        <w:t xml:space="preserve">לרי"ף וסיעתו </w:t>
      </w:r>
      <w:r w:rsidR="00F97626">
        <w:rPr>
          <w:u w:val="dotted"/>
          <w:rtl/>
        </w:rPr>
        <w:t>-</w:t>
      </w:r>
      <w:r w:rsidRPr="00CD4CBF">
        <w:rPr>
          <w:rFonts w:hint="cs"/>
          <w:u w:val="dotted"/>
          <w:rtl/>
        </w:rPr>
        <w:t xml:space="preserve"> האם מחייבים את הבנים לצמצם במזונות </w:t>
      </w:r>
      <w:r w:rsidRPr="00CD4CBF">
        <w:rPr>
          <w:rFonts w:hint="cs"/>
          <w:sz w:val="16"/>
          <w:szCs w:val="16"/>
          <w:u w:val="dotted"/>
          <w:rtl/>
        </w:rPr>
        <w:t>(כדי שישמרו מזונות הבנות)</w:t>
      </w:r>
      <w:r w:rsidRPr="00CD4CBF">
        <w:rPr>
          <w:rFonts w:hint="cs"/>
          <w:u w:val="dotted"/>
          <w:rtl/>
        </w:rPr>
        <w:t xml:space="preserve">: </w:t>
      </w:r>
    </w:p>
    <w:p w14:paraId="424DBBBE" w14:textId="77777777" w:rsidR="00392DBB" w:rsidRPr="00D134DC" w:rsidRDefault="00392DBB" w:rsidP="009000E3">
      <w:pPr>
        <w:pStyle w:val="ab"/>
        <w:numPr>
          <w:ilvl w:val="0"/>
          <w:numId w:val="63"/>
        </w:numPr>
      </w:pPr>
      <w:r>
        <w:rPr>
          <w:rFonts w:cs="Arial" w:hint="cs"/>
          <w:rtl/>
        </w:rPr>
        <w:t>טור-</w:t>
      </w:r>
      <w:r w:rsidRPr="00B345A5">
        <w:rPr>
          <w:rFonts w:cs="Arial"/>
          <w:rtl/>
        </w:rPr>
        <w:t xml:space="preserve"> אין מחייבים אותם לצמצם במזונות</w:t>
      </w:r>
      <w:r>
        <w:rPr>
          <w:rFonts w:cs="Arial" w:hint="cs"/>
          <w:rtl/>
        </w:rPr>
        <w:t>,</w:t>
      </w:r>
      <w:r w:rsidRPr="00B345A5">
        <w:rPr>
          <w:rFonts w:cs="Arial"/>
          <w:rtl/>
        </w:rPr>
        <w:t xml:space="preserve"> אלא אם ירצו יותירו במזונות</w:t>
      </w:r>
      <w:r>
        <w:rPr>
          <w:rFonts w:cs="Arial" w:hint="cs"/>
          <w:rtl/>
        </w:rPr>
        <w:t>.</w:t>
      </w:r>
      <w:r w:rsidRPr="00B345A5">
        <w:rPr>
          <w:rFonts w:cs="Arial"/>
          <w:rtl/>
        </w:rPr>
        <w:t xml:space="preserve"> ומ"מ אם ב"ד רואין שמכלין הממון ואין משגיחין בישוב העולם</w:t>
      </w:r>
      <w:r>
        <w:rPr>
          <w:rFonts w:cs="Arial" w:hint="cs"/>
          <w:rtl/>
        </w:rPr>
        <w:t xml:space="preserve"> -</w:t>
      </w:r>
      <w:r w:rsidRPr="00B345A5">
        <w:rPr>
          <w:rFonts w:cs="Arial"/>
          <w:rtl/>
        </w:rPr>
        <w:t xml:space="preserve"> חייבים ב"ד להשגיח בתיקון הבנות ולהפריש להן חלקן</w:t>
      </w:r>
      <w:r>
        <w:rPr>
          <w:rFonts w:hint="cs"/>
          <w:rtl/>
        </w:rPr>
        <w:t>.</w:t>
      </w:r>
      <w:r w:rsidRPr="00B837C8">
        <w:rPr>
          <w:rFonts w:hint="cs"/>
          <w:color w:val="00B0F0"/>
          <w:rtl/>
        </w:rPr>
        <w:t xml:space="preserve"> (וכ"כ הרמ"א)</w:t>
      </w:r>
    </w:p>
    <w:p w14:paraId="3B284130" w14:textId="77777777" w:rsidR="00392DBB" w:rsidRPr="00483F54" w:rsidRDefault="00392DBB" w:rsidP="00392DBB">
      <w:pPr>
        <w:ind w:left="360"/>
        <w:rPr>
          <w:rFonts w:cs="Arial"/>
          <w:u w:val="dotted"/>
          <w:rtl/>
        </w:rPr>
      </w:pPr>
      <w:r w:rsidRPr="00483F54">
        <w:rPr>
          <w:rFonts w:cs="Arial" w:hint="cs"/>
          <w:u w:val="dotted"/>
          <w:rtl/>
        </w:rPr>
        <w:t>מה נכלל בתוך מזונות אלו:</w:t>
      </w:r>
      <w:r w:rsidRPr="00483F54">
        <w:rPr>
          <w:rFonts w:cs="Arial"/>
          <w:u w:val="dotted"/>
          <w:rtl/>
        </w:rPr>
        <w:t xml:space="preserve"> </w:t>
      </w:r>
    </w:p>
    <w:p w14:paraId="1259AE20" w14:textId="77777777" w:rsidR="00392DBB" w:rsidRPr="000259A9" w:rsidRDefault="00392DBB" w:rsidP="009000E3">
      <w:pPr>
        <w:pStyle w:val="ab"/>
        <w:numPr>
          <w:ilvl w:val="0"/>
          <w:numId w:val="68"/>
        </w:numPr>
      </w:pPr>
      <w:r w:rsidRPr="000259A9">
        <w:rPr>
          <w:rFonts w:cs="Arial"/>
          <w:rtl/>
        </w:rPr>
        <w:lastRenderedPageBreak/>
        <w:t xml:space="preserve">ריטב"א </w:t>
      </w:r>
      <w:r w:rsidRPr="008B4495">
        <w:rPr>
          <w:rFonts w:cs="Arial"/>
          <w:sz w:val="16"/>
          <w:szCs w:val="16"/>
          <w:rtl/>
        </w:rPr>
        <w:t>(קלט: ד"ה כל</w:t>
      </w:r>
      <w:r>
        <w:rPr>
          <w:rFonts w:cs="Arial" w:hint="cs"/>
          <w:sz w:val="16"/>
          <w:szCs w:val="16"/>
          <w:rtl/>
        </w:rPr>
        <w:t>, וכ"כ בשמו הנמוק"י [</w:t>
      </w:r>
      <w:r w:rsidRPr="008B4495">
        <w:rPr>
          <w:rFonts w:cs="Arial"/>
          <w:sz w:val="16"/>
          <w:szCs w:val="16"/>
          <w:rtl/>
        </w:rPr>
        <w:t>סה. ד"ה גמ'</w:t>
      </w:r>
      <w:r>
        <w:rPr>
          <w:rFonts w:cs="Arial" w:hint="cs"/>
          <w:sz w:val="16"/>
          <w:szCs w:val="16"/>
          <w:rtl/>
        </w:rPr>
        <w:t>]</w:t>
      </w:r>
      <w:r w:rsidRPr="008B4495">
        <w:rPr>
          <w:rFonts w:cs="Arial"/>
          <w:sz w:val="16"/>
          <w:szCs w:val="16"/>
          <w:rtl/>
        </w:rPr>
        <w:t>)</w:t>
      </w:r>
      <w:r w:rsidRPr="000259A9">
        <w:rPr>
          <w:rFonts w:cs="Arial" w:hint="cs"/>
          <w:rtl/>
        </w:rPr>
        <w:t>-</w:t>
      </w:r>
      <w:r w:rsidRPr="00B63236">
        <w:rPr>
          <w:rtl/>
        </w:rPr>
        <w:t xml:space="preserve"> </w:t>
      </w:r>
      <w:r w:rsidRPr="004C0F3E">
        <w:rPr>
          <w:rFonts w:cs="Arial"/>
          <w:rtl/>
        </w:rPr>
        <w:t>בכלל מזונות אלו כסוי מלבוש</w:t>
      </w:r>
      <w:r>
        <w:rPr>
          <w:rFonts w:cs="Arial" w:hint="cs"/>
          <w:rtl/>
        </w:rPr>
        <w:t>,</w:t>
      </w:r>
      <w:r w:rsidRPr="004C0F3E">
        <w:rPr>
          <w:rFonts w:cs="Arial"/>
          <w:rtl/>
        </w:rPr>
        <w:t xml:space="preserve"> שכן תנאי מזון האשה והבנות</w:t>
      </w:r>
      <w:r>
        <w:rPr>
          <w:rStyle w:val="a7"/>
          <w:rFonts w:cs="Arial"/>
          <w:rtl/>
        </w:rPr>
        <w:footnoteReference w:id="2596"/>
      </w:r>
      <w:r>
        <w:rPr>
          <w:rFonts w:cs="Arial" w:hint="cs"/>
          <w:rtl/>
        </w:rPr>
        <w:t>,</w:t>
      </w:r>
      <w:r w:rsidRPr="004C0F3E">
        <w:rPr>
          <w:rFonts w:cs="Arial"/>
          <w:rtl/>
        </w:rPr>
        <w:t xml:space="preserve"> כדאמרינן התם (כתובות סה</w:t>
      </w:r>
      <w:r>
        <w:rPr>
          <w:rFonts w:cs="Arial" w:hint="cs"/>
          <w:rtl/>
        </w:rPr>
        <w:t>.</w:t>
      </w:r>
      <w:r w:rsidRPr="004C0F3E">
        <w:rPr>
          <w:rFonts w:cs="Arial"/>
          <w:rtl/>
        </w:rPr>
        <w:t>) גבי דביתהו דרב יוסף מדויל דאמרה פסיק לי שיראי פסק לה</w:t>
      </w:r>
      <w:r>
        <w:rPr>
          <w:rFonts w:cs="Arial" w:hint="cs"/>
          <w:rtl/>
        </w:rPr>
        <w:t>.</w:t>
      </w:r>
      <w:r w:rsidRPr="004C0F3E">
        <w:rPr>
          <w:rFonts w:cs="Arial"/>
          <w:rtl/>
        </w:rPr>
        <w:t xml:space="preserve"> אבל פרנסת הבת אינה בכלל תקנה זו</w:t>
      </w:r>
      <w:r>
        <w:rPr>
          <w:rStyle w:val="a7"/>
          <w:rFonts w:cs="Arial"/>
          <w:rtl/>
        </w:rPr>
        <w:footnoteReference w:id="2597"/>
      </w:r>
      <w:r>
        <w:rPr>
          <w:rFonts w:cs="Arial" w:hint="cs"/>
          <w:rtl/>
        </w:rPr>
        <w:t>.</w:t>
      </w:r>
      <w:r w:rsidRPr="004C0F3E">
        <w:rPr>
          <w:rFonts w:cs="Arial"/>
          <w:rtl/>
        </w:rPr>
        <w:t xml:space="preserve"> ואינה נקראת אלא בשם פרנסה בכל מקום</w:t>
      </w:r>
      <w:r>
        <w:rPr>
          <w:rFonts w:cs="Arial" w:hint="cs"/>
          <w:rtl/>
        </w:rPr>
        <w:t>.</w:t>
      </w:r>
      <w:r w:rsidRPr="004C0F3E">
        <w:rPr>
          <w:rFonts w:cs="Arial"/>
          <w:rtl/>
        </w:rPr>
        <w:t xml:space="preserve"> ומה שכתב רבינו שמואל</w:t>
      </w:r>
      <w:r>
        <w:rPr>
          <w:rStyle w:val="a7"/>
          <w:rFonts w:cs="Arial"/>
          <w:rtl/>
        </w:rPr>
        <w:footnoteReference w:id="2598"/>
      </w:r>
      <w:r w:rsidRPr="004C0F3E">
        <w:rPr>
          <w:rFonts w:cs="Arial"/>
          <w:rtl/>
        </w:rPr>
        <w:t xml:space="preserve"> </w:t>
      </w:r>
      <w:r>
        <w:rPr>
          <w:rFonts w:cs="Arial" w:hint="cs"/>
          <w:sz w:val="16"/>
          <w:szCs w:val="16"/>
          <w:rtl/>
        </w:rPr>
        <w:t>(קלט: ד"ה והבנות יזונו)</w:t>
      </w:r>
      <w:r>
        <w:rPr>
          <w:rFonts w:cs="Arial" w:hint="cs"/>
          <w:rtl/>
        </w:rPr>
        <w:t xml:space="preserve"> </w:t>
      </w:r>
      <w:r w:rsidRPr="004C0F3E">
        <w:rPr>
          <w:rFonts w:cs="Arial"/>
          <w:rtl/>
        </w:rPr>
        <w:t>במשנתינו פרנסת הבת בכלל מזונות</w:t>
      </w:r>
      <w:r>
        <w:rPr>
          <w:rFonts w:cs="Arial" w:hint="cs"/>
          <w:rtl/>
        </w:rPr>
        <w:t xml:space="preserve"> -</w:t>
      </w:r>
      <w:r w:rsidRPr="004C0F3E">
        <w:rPr>
          <w:rFonts w:cs="Arial"/>
          <w:rtl/>
        </w:rPr>
        <w:t xml:space="preserve"> גבי נכסים מרובין כתב לאשמועינן עיקר הדין, אבל לא שיהא בכלל לשון </w:t>
      </w:r>
      <w:r>
        <w:rPr>
          <w:rFonts w:cs="Arial" w:hint="cs"/>
          <w:rtl/>
        </w:rPr>
        <w:t>'</w:t>
      </w:r>
      <w:r w:rsidRPr="004C0F3E">
        <w:rPr>
          <w:rFonts w:cs="Arial"/>
          <w:rtl/>
        </w:rPr>
        <w:t>ניזונת</w:t>
      </w:r>
      <w:r>
        <w:rPr>
          <w:rFonts w:cs="Arial" w:hint="cs"/>
          <w:rtl/>
        </w:rPr>
        <w:t>'</w:t>
      </w:r>
      <w:r w:rsidRPr="004C0F3E">
        <w:rPr>
          <w:rFonts w:cs="Arial"/>
          <w:rtl/>
        </w:rPr>
        <w:t xml:space="preserve"> ולא בתקנת מזונות</w:t>
      </w:r>
      <w:r>
        <w:rPr>
          <w:rFonts w:cs="Arial" w:hint="cs"/>
          <w:rtl/>
        </w:rPr>
        <w:t>,</w:t>
      </w:r>
      <w:r w:rsidRPr="004C0F3E">
        <w:rPr>
          <w:rFonts w:cs="Arial"/>
          <w:rtl/>
        </w:rPr>
        <w:t xml:space="preserve"> ואין מחשבין אותו בנכסים מועטים כלל, וזה ברור</w:t>
      </w:r>
      <w:r w:rsidRPr="000259A9">
        <w:rPr>
          <w:rFonts w:cs="Arial" w:hint="cs"/>
          <w:rtl/>
        </w:rPr>
        <w:t>.</w:t>
      </w:r>
      <w:r>
        <w:rPr>
          <w:rFonts w:cs="Arial" w:hint="cs"/>
          <w:rtl/>
        </w:rPr>
        <w:t xml:space="preserve"> </w:t>
      </w:r>
      <w:r>
        <w:rPr>
          <w:rFonts w:hint="cs"/>
          <w:rtl/>
        </w:rPr>
        <w:t xml:space="preserve">(וכ"פ ח"מ </w:t>
      </w:r>
      <w:r>
        <w:rPr>
          <w:rFonts w:hint="cs"/>
          <w:sz w:val="16"/>
          <w:szCs w:val="16"/>
          <w:rtl/>
        </w:rPr>
        <w:t>[סקכ"ב]</w:t>
      </w:r>
      <w:r>
        <w:rPr>
          <w:rFonts w:hint="cs"/>
          <w:rtl/>
        </w:rPr>
        <w:t xml:space="preserve"> וב"ש </w:t>
      </w:r>
      <w:r>
        <w:rPr>
          <w:rFonts w:hint="cs"/>
          <w:sz w:val="16"/>
          <w:szCs w:val="16"/>
          <w:rtl/>
        </w:rPr>
        <w:t>[סק"כ]</w:t>
      </w:r>
      <w:r>
        <w:rPr>
          <w:rFonts w:hint="cs"/>
          <w:rtl/>
        </w:rPr>
        <w:t>)</w:t>
      </w:r>
    </w:p>
    <w:p w14:paraId="1579B361" w14:textId="4A45BE93" w:rsidR="00392DBB" w:rsidRPr="00C4750E" w:rsidRDefault="00392DBB" w:rsidP="00392DBB">
      <w:pPr>
        <w:ind w:left="360"/>
        <w:rPr>
          <w:u w:val="dotted"/>
        </w:rPr>
      </w:pPr>
      <w:r w:rsidRPr="00C4750E">
        <w:rPr>
          <w:rFonts w:hint="cs"/>
          <w:u w:val="dotted"/>
          <w:rtl/>
        </w:rPr>
        <w:t xml:space="preserve">כשיש נכסים מרובים </w:t>
      </w:r>
      <w:r w:rsidR="00F97626">
        <w:rPr>
          <w:u w:val="dotted"/>
          <w:rtl/>
        </w:rPr>
        <w:t>-</w:t>
      </w:r>
      <w:r w:rsidRPr="00C4750E">
        <w:rPr>
          <w:rFonts w:hint="cs"/>
          <w:u w:val="dotted"/>
          <w:rtl/>
        </w:rPr>
        <w:t xml:space="preserve"> האם האחים יכולים למכור חלק מהנכסים</w:t>
      </w:r>
      <w:r>
        <w:rPr>
          <w:rFonts w:hint="cs"/>
          <w:u w:val="dotted"/>
          <w:rtl/>
        </w:rPr>
        <w:t xml:space="preserve"> לכתחילה</w:t>
      </w:r>
      <w:r w:rsidRPr="00C4750E">
        <w:rPr>
          <w:rFonts w:hint="cs"/>
          <w:u w:val="dotted"/>
          <w:rtl/>
        </w:rPr>
        <w:t>:</w:t>
      </w:r>
    </w:p>
    <w:p w14:paraId="78E35B17" w14:textId="77777777" w:rsidR="00392DBB" w:rsidRPr="00C4750E" w:rsidRDefault="00392DBB" w:rsidP="009000E3">
      <w:pPr>
        <w:pStyle w:val="ab"/>
        <w:numPr>
          <w:ilvl w:val="0"/>
          <w:numId w:val="68"/>
        </w:numPr>
      </w:pPr>
      <w:r w:rsidRPr="00F16681">
        <w:rPr>
          <w:rFonts w:cs="Arial"/>
          <w:rtl/>
        </w:rPr>
        <w:t>נמוק</w:t>
      </w:r>
      <w:r>
        <w:rPr>
          <w:rFonts w:cs="Arial" w:hint="cs"/>
          <w:rtl/>
        </w:rPr>
        <w:t>"</w:t>
      </w:r>
      <w:r w:rsidRPr="00F16681">
        <w:rPr>
          <w:rFonts w:cs="Arial"/>
          <w:rtl/>
        </w:rPr>
        <w:t xml:space="preserve">י </w:t>
      </w:r>
      <w:r w:rsidRPr="00C4750E">
        <w:rPr>
          <w:rFonts w:cs="Arial"/>
          <w:sz w:val="16"/>
          <w:szCs w:val="16"/>
          <w:rtl/>
        </w:rPr>
        <w:t>(סה. ד"ה מי שמת)</w:t>
      </w:r>
      <w:r>
        <w:rPr>
          <w:rFonts w:cs="Arial" w:hint="cs"/>
          <w:rtl/>
        </w:rPr>
        <w:t>-</w:t>
      </w:r>
      <w:r w:rsidRPr="00F16681">
        <w:rPr>
          <w:rFonts w:cs="Arial"/>
          <w:rtl/>
        </w:rPr>
        <w:t xml:space="preserve"> האחין יכולין למכור בנכסים מרובין</w:t>
      </w:r>
      <w:r>
        <w:rPr>
          <w:rStyle w:val="a7"/>
          <w:rFonts w:cs="Arial"/>
          <w:rtl/>
        </w:rPr>
        <w:footnoteReference w:id="2599"/>
      </w:r>
      <w:r>
        <w:rPr>
          <w:rFonts w:cs="Arial" w:hint="cs"/>
          <w:rtl/>
        </w:rPr>
        <w:t>.</w:t>
      </w:r>
      <w:r w:rsidRPr="00F16681">
        <w:rPr>
          <w:rFonts w:cs="Arial"/>
          <w:rtl/>
        </w:rPr>
        <w:t xml:space="preserve"> </w:t>
      </w:r>
    </w:p>
    <w:p w14:paraId="452A6CCD" w14:textId="77777777" w:rsidR="00392DBB" w:rsidRDefault="00392DBB" w:rsidP="009000E3">
      <w:pPr>
        <w:pStyle w:val="ab"/>
        <w:numPr>
          <w:ilvl w:val="0"/>
          <w:numId w:val="68"/>
        </w:numPr>
        <w:rPr>
          <w:rtl/>
        </w:rPr>
      </w:pPr>
      <w:r>
        <w:rPr>
          <w:rFonts w:cs="Arial" w:hint="cs"/>
          <w:rtl/>
        </w:rPr>
        <w:t>תוס'</w:t>
      </w:r>
      <w:r>
        <w:rPr>
          <w:rStyle w:val="a7"/>
          <w:rFonts w:cs="Arial"/>
          <w:rtl/>
        </w:rPr>
        <w:footnoteReference w:id="2600"/>
      </w:r>
      <w:r>
        <w:rPr>
          <w:rFonts w:cs="Arial" w:hint="cs"/>
          <w:rtl/>
        </w:rPr>
        <w:t xml:space="preserve"> </w:t>
      </w:r>
      <w:r>
        <w:rPr>
          <w:rFonts w:cs="Arial" w:hint="cs"/>
          <w:sz w:val="16"/>
          <w:szCs w:val="16"/>
          <w:rtl/>
        </w:rPr>
        <w:t>(קמ. ד"ה יתומים)</w:t>
      </w:r>
      <w:r>
        <w:rPr>
          <w:rFonts w:cs="Arial" w:hint="cs"/>
          <w:rtl/>
        </w:rPr>
        <w:t xml:space="preserve"> ו</w:t>
      </w:r>
      <w:r w:rsidRPr="00F16681">
        <w:rPr>
          <w:rFonts w:cs="Arial"/>
          <w:rtl/>
        </w:rPr>
        <w:t>מרדכ</w:t>
      </w:r>
      <w:r>
        <w:rPr>
          <w:rFonts w:cs="Arial" w:hint="cs"/>
          <w:rtl/>
        </w:rPr>
        <w:t>י</w:t>
      </w:r>
      <w:r>
        <w:rPr>
          <w:rStyle w:val="a7"/>
          <w:rFonts w:cs="Arial"/>
          <w:rtl/>
        </w:rPr>
        <w:footnoteReference w:id="2601"/>
      </w:r>
      <w:r w:rsidRPr="00F16681">
        <w:rPr>
          <w:rFonts w:cs="Arial"/>
          <w:rtl/>
        </w:rPr>
        <w:t xml:space="preserve"> </w:t>
      </w:r>
      <w:r w:rsidRPr="00C4750E">
        <w:rPr>
          <w:rFonts w:cs="Arial"/>
          <w:sz w:val="16"/>
          <w:szCs w:val="16"/>
          <w:rtl/>
        </w:rPr>
        <w:t>(</w:t>
      </w:r>
      <w:r>
        <w:rPr>
          <w:rFonts w:cs="Arial" w:hint="cs"/>
          <w:sz w:val="16"/>
          <w:szCs w:val="16"/>
          <w:rtl/>
        </w:rPr>
        <w:t xml:space="preserve">ב"ב פ' מי שמת </w:t>
      </w:r>
      <w:r w:rsidRPr="00C4750E">
        <w:rPr>
          <w:rFonts w:cs="Arial"/>
          <w:sz w:val="16"/>
          <w:szCs w:val="16"/>
          <w:rtl/>
        </w:rPr>
        <w:t>סי' תרא)</w:t>
      </w:r>
      <w:r>
        <w:rPr>
          <w:rFonts w:cs="Arial" w:hint="cs"/>
          <w:rtl/>
        </w:rPr>
        <w:t>-</w:t>
      </w:r>
      <w:r w:rsidRPr="00F16681">
        <w:rPr>
          <w:rFonts w:cs="Arial"/>
          <w:rtl/>
        </w:rPr>
        <w:t xml:space="preserve"> אף בנכסים מרובים אסורין למכור לכתחלה</w:t>
      </w:r>
      <w:r>
        <w:rPr>
          <w:rFonts w:cs="Arial" w:hint="cs"/>
          <w:rtl/>
        </w:rPr>
        <w:t>,</w:t>
      </w:r>
      <w:r w:rsidRPr="00F16681">
        <w:rPr>
          <w:rFonts w:cs="Arial"/>
          <w:rtl/>
        </w:rPr>
        <w:t xml:space="preserve"> אא</w:t>
      </w:r>
      <w:r>
        <w:rPr>
          <w:rFonts w:cs="Arial" w:hint="cs"/>
          <w:rtl/>
        </w:rPr>
        <w:t>"</w:t>
      </w:r>
      <w:r w:rsidRPr="00F16681">
        <w:rPr>
          <w:rFonts w:cs="Arial"/>
          <w:rtl/>
        </w:rPr>
        <w:t>כ היה לצורך פדיון שבויים וכיוצא בזה</w:t>
      </w:r>
      <w:r>
        <w:rPr>
          <w:rFonts w:cs="Arial" w:hint="cs"/>
          <w:rtl/>
        </w:rPr>
        <w:t>.</w:t>
      </w:r>
      <w:r w:rsidRPr="00F16681">
        <w:rPr>
          <w:rFonts w:cs="Arial"/>
          <w:rtl/>
        </w:rPr>
        <w:t xml:space="preserve"> ובנכסים מועטין אפילו בכה"ג אסור</w:t>
      </w:r>
      <w:r>
        <w:rPr>
          <w:rFonts w:cs="Arial" w:hint="cs"/>
          <w:sz w:val="16"/>
          <w:szCs w:val="16"/>
          <w:rtl/>
        </w:rPr>
        <w:t xml:space="preserve"> (ל' הדרכ"מ בשם המרדכי)</w:t>
      </w:r>
      <w:r>
        <w:rPr>
          <w:rFonts w:cs="Arial" w:hint="cs"/>
          <w:rtl/>
        </w:rPr>
        <w:t>.</w:t>
      </w:r>
      <w:r>
        <w:rPr>
          <w:rFonts w:hint="cs"/>
          <w:rtl/>
        </w:rPr>
        <w:t xml:space="preserve"> </w:t>
      </w:r>
      <w:r w:rsidRPr="00B837C8">
        <w:rPr>
          <w:rFonts w:hint="cs"/>
          <w:color w:val="00B0F0"/>
          <w:rtl/>
        </w:rPr>
        <w:t>(וכ"כ הרמ"א)</w:t>
      </w:r>
    </w:p>
    <w:p w14:paraId="079CE099"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861052E" w14:textId="10B272CD" w:rsidR="00392DBB" w:rsidRDefault="00392DBB" w:rsidP="00392DBB">
      <w:pPr>
        <w:rPr>
          <w:rFonts w:cs="Arial"/>
          <w:rtl/>
        </w:rPr>
      </w:pPr>
      <w:r w:rsidRPr="00523CDE">
        <w:rPr>
          <w:rFonts w:cs="Arial"/>
          <w:rtl/>
        </w:rPr>
        <w:t xml:space="preserve">מי שמת והניח בנים ובנות, יירשו הבנים כל הנכסים והם זנים אחיותיהם עד שיבגרו או עד שיתארסו. </w:t>
      </w:r>
      <w:r w:rsidRPr="00621C37">
        <w:rPr>
          <w:rFonts w:cs="Arial"/>
          <w:sz w:val="18"/>
          <w:szCs w:val="18"/>
          <w:rtl/>
        </w:rPr>
        <w:t xml:space="preserve">הגה: ואין מחייבים הבנים לצמצם במזונות, אלא אם ירצו יותירו במזונות. ומכל מקום אם רואים בית דין שהבנים מכלין הממון ואין משגיחין בישוב העולם, חייבים בית דין להשגיח בתיקון הבנות ולהפריש להן חלקן (טור). </w:t>
      </w:r>
      <w:r w:rsidRPr="00523CDE">
        <w:rPr>
          <w:rFonts w:cs="Arial"/>
          <w:rtl/>
        </w:rPr>
        <w:t>ב</w:t>
      </w:r>
      <w:r>
        <w:rPr>
          <w:rFonts w:cs="Arial" w:hint="cs"/>
          <w:rtl/>
        </w:rPr>
        <w:t>מה דברים אמורים</w:t>
      </w:r>
      <w:r w:rsidRPr="00523CDE">
        <w:rPr>
          <w:rFonts w:cs="Arial"/>
          <w:rtl/>
        </w:rPr>
        <w:t>, כשהניח נכסים שאיפשר שיזונו מהם הבנים</w:t>
      </w:r>
      <w:r>
        <w:rPr>
          <w:rStyle w:val="a7"/>
          <w:rFonts w:cs="Arial"/>
          <w:rtl/>
        </w:rPr>
        <w:footnoteReference w:id="2602"/>
      </w:r>
      <w:r w:rsidRPr="00523CDE">
        <w:rPr>
          <w:rFonts w:cs="Arial"/>
          <w:rtl/>
        </w:rPr>
        <w:t xml:space="preserve"> והבנות כאחד עד שיבגרו הבנות, ואלו הם הנקראים נכסים מרובים. אבל אם אין בנכסים שהניח אלא פחות מזה, מוציאים מהם מזונות</w:t>
      </w:r>
      <w:r>
        <w:rPr>
          <w:rStyle w:val="a7"/>
          <w:rFonts w:cs="Arial"/>
          <w:rtl/>
        </w:rPr>
        <w:footnoteReference w:id="2603"/>
      </w:r>
      <w:r w:rsidRPr="00523CDE">
        <w:rPr>
          <w:rFonts w:cs="Arial"/>
          <w:rtl/>
        </w:rPr>
        <w:t xml:space="preserve"> לבנות עד שיבגרו, ונותנים השאר לבנים. ואם אין שם אלא כדי מזון הבנות בלבד, נזונות מהם עד שיבגרו או עד שיתארסו, והבנים ישאלו על הפתחים</w:t>
      </w:r>
      <w:r>
        <w:rPr>
          <w:rStyle w:val="a7"/>
          <w:rFonts w:cs="Arial"/>
          <w:rtl/>
        </w:rPr>
        <w:footnoteReference w:id="2604"/>
      </w:r>
      <w:r w:rsidRPr="00523CDE">
        <w:rPr>
          <w:rFonts w:cs="Arial"/>
          <w:rtl/>
        </w:rPr>
        <w:t xml:space="preserve">. </w:t>
      </w:r>
      <w:r w:rsidRPr="00621C37">
        <w:rPr>
          <w:rFonts w:cs="Arial"/>
          <w:sz w:val="18"/>
          <w:szCs w:val="18"/>
          <w:rtl/>
        </w:rPr>
        <w:t>הגה: וי"א דאסור לבנים למכור</w:t>
      </w:r>
      <w:r>
        <w:rPr>
          <w:rStyle w:val="a7"/>
          <w:rFonts w:cs="Arial"/>
          <w:sz w:val="18"/>
          <w:szCs w:val="18"/>
          <w:rtl/>
        </w:rPr>
        <w:footnoteReference w:id="2605"/>
      </w:r>
      <w:r w:rsidRPr="00621C37">
        <w:rPr>
          <w:rFonts w:cs="Arial"/>
          <w:sz w:val="18"/>
          <w:szCs w:val="18"/>
          <w:rtl/>
        </w:rPr>
        <w:t xml:space="preserve"> אפילו נכסים מרובים</w:t>
      </w:r>
      <w:r>
        <w:rPr>
          <w:rStyle w:val="a7"/>
          <w:rFonts w:cs="Arial"/>
          <w:sz w:val="18"/>
          <w:szCs w:val="18"/>
          <w:rtl/>
        </w:rPr>
        <w:footnoteReference w:id="2606"/>
      </w:r>
      <w:r w:rsidRPr="00621C37">
        <w:rPr>
          <w:rFonts w:cs="Arial"/>
          <w:sz w:val="18"/>
          <w:szCs w:val="18"/>
          <w:rtl/>
        </w:rPr>
        <w:t xml:space="preserve"> אם לא שהוא לצורך פדיון שבוים וכיוצא בזה</w:t>
      </w:r>
      <w:r>
        <w:rPr>
          <w:rFonts w:cs="Arial" w:hint="cs"/>
          <w:sz w:val="18"/>
          <w:szCs w:val="18"/>
          <w:rtl/>
        </w:rPr>
        <w:t>.</w:t>
      </w:r>
      <w:r w:rsidRPr="00621C37">
        <w:rPr>
          <w:rFonts w:cs="Arial"/>
          <w:sz w:val="18"/>
          <w:szCs w:val="18"/>
          <w:rtl/>
        </w:rPr>
        <w:t xml:space="preserve"> אבל בנכסים מועטים אפילו בכה"ג אסור (</w:t>
      </w:r>
      <w:r w:rsidR="002A1CCC">
        <w:rPr>
          <w:rFonts w:cs="Arial" w:hint="cs"/>
          <w:sz w:val="18"/>
          <w:szCs w:val="18"/>
          <w:rtl/>
        </w:rPr>
        <w:t xml:space="preserve">תוס' </w:t>
      </w:r>
      <w:r w:rsidRPr="00621C37">
        <w:rPr>
          <w:rFonts w:cs="Arial"/>
          <w:sz w:val="18"/>
          <w:szCs w:val="18"/>
          <w:rtl/>
        </w:rPr>
        <w:t>מרדכי). ואם עברו ומכרו יתבאר לקמן סעיף י"ד.</w:t>
      </w:r>
    </w:p>
    <w:p w14:paraId="2D108702" w14:textId="77777777" w:rsidR="00392DBB" w:rsidRPr="00523CDE" w:rsidRDefault="00392DBB" w:rsidP="00392DBB">
      <w:pPr>
        <w:rPr>
          <w:rFonts w:cs="Arial"/>
          <w:rtl/>
        </w:rPr>
      </w:pPr>
    </w:p>
    <w:p w14:paraId="6E1834A3" w14:textId="77777777" w:rsidR="00392DBB" w:rsidRDefault="00392DBB" w:rsidP="000F64D0">
      <w:pPr>
        <w:pStyle w:val="2"/>
        <w:rPr>
          <w:rtl/>
        </w:rPr>
      </w:pPr>
      <w:r w:rsidRPr="00523CDE">
        <w:rPr>
          <w:rtl/>
        </w:rPr>
        <w:t>סעיף יב</w:t>
      </w:r>
      <w:r>
        <w:rPr>
          <w:rFonts w:hint="cs"/>
          <w:rtl/>
        </w:rPr>
        <w:t>: חלוקת מטלטלים בין בניו ובנותיו (לענין מזונות).</w:t>
      </w:r>
    </w:p>
    <w:p w14:paraId="31A8340C" w14:textId="77777777" w:rsidR="00392DBB" w:rsidRPr="003F1E52" w:rsidRDefault="00392DBB" w:rsidP="00392DBB">
      <w:pPr>
        <w:rPr>
          <w:u w:val="single"/>
          <w:rtl/>
        </w:rPr>
      </w:pPr>
      <w:r w:rsidRPr="003F1E52">
        <w:rPr>
          <w:rFonts w:hint="cs"/>
          <w:u w:val="single"/>
          <w:rtl/>
        </w:rPr>
        <w:t>חלוקת מטלטלים בין בניו ובנותיו לעניין מזונות:</w:t>
      </w:r>
    </w:p>
    <w:p w14:paraId="1CE17A51" w14:textId="77777777" w:rsidR="00392DBB" w:rsidRDefault="00392DBB" w:rsidP="009000E3">
      <w:pPr>
        <w:pStyle w:val="ab"/>
        <w:numPr>
          <w:ilvl w:val="0"/>
          <w:numId w:val="63"/>
        </w:numPr>
      </w:pPr>
      <w:r>
        <w:rPr>
          <w:rFonts w:cs="Arial"/>
          <w:rtl/>
        </w:rPr>
        <w:lastRenderedPageBreak/>
        <w:t xml:space="preserve">רי"ף </w:t>
      </w:r>
      <w:r w:rsidRPr="003F1E52">
        <w:rPr>
          <w:rFonts w:cs="Arial"/>
          <w:sz w:val="16"/>
          <w:szCs w:val="16"/>
          <w:rtl/>
        </w:rPr>
        <w:t>(ב"ב סה.)</w:t>
      </w:r>
      <w:r>
        <w:rPr>
          <w:rFonts w:cs="Arial" w:hint="cs"/>
          <w:sz w:val="16"/>
          <w:szCs w:val="16"/>
          <w:rtl/>
        </w:rPr>
        <w:t xml:space="preserve"> </w:t>
      </w:r>
      <w:r>
        <w:rPr>
          <w:rFonts w:cs="Arial"/>
          <w:rtl/>
        </w:rPr>
        <w:t xml:space="preserve">רמב"ם </w:t>
      </w:r>
      <w:r w:rsidRPr="003F1E52">
        <w:rPr>
          <w:rFonts w:cs="Arial"/>
          <w:sz w:val="16"/>
          <w:szCs w:val="16"/>
          <w:rtl/>
        </w:rPr>
        <w:t>(</w:t>
      </w:r>
      <w:r>
        <w:rPr>
          <w:rFonts w:cs="Arial" w:hint="cs"/>
          <w:sz w:val="16"/>
          <w:szCs w:val="16"/>
          <w:rtl/>
        </w:rPr>
        <w:t xml:space="preserve">פי"ט </w:t>
      </w:r>
      <w:r w:rsidRPr="003F1E52">
        <w:rPr>
          <w:rFonts w:cs="Arial"/>
          <w:sz w:val="16"/>
          <w:szCs w:val="16"/>
          <w:rtl/>
        </w:rPr>
        <w:t>הי"ח)</w:t>
      </w:r>
      <w:r>
        <w:rPr>
          <w:rFonts w:cs="Arial" w:hint="cs"/>
          <w:rtl/>
        </w:rPr>
        <w:t xml:space="preserve"> </w:t>
      </w:r>
      <w:r>
        <w:rPr>
          <w:rFonts w:cs="Arial"/>
          <w:rtl/>
        </w:rPr>
        <w:t xml:space="preserve">רא"ש </w:t>
      </w:r>
      <w:r w:rsidRPr="003F1E52">
        <w:rPr>
          <w:rFonts w:cs="Arial"/>
          <w:sz w:val="16"/>
          <w:szCs w:val="16"/>
          <w:rtl/>
        </w:rPr>
        <w:t>(סי' א)</w:t>
      </w:r>
      <w:r>
        <w:rPr>
          <w:rFonts w:cs="Arial" w:hint="cs"/>
          <w:rtl/>
        </w:rPr>
        <w:t xml:space="preserve"> וטור- </w:t>
      </w:r>
      <w:r w:rsidRPr="00B345A5">
        <w:rPr>
          <w:rFonts w:cs="Arial"/>
          <w:rtl/>
        </w:rPr>
        <w:t>בד"א במקרקעי</w:t>
      </w:r>
      <w:r>
        <w:rPr>
          <w:rFonts w:cs="Arial" w:hint="cs"/>
          <w:rtl/>
        </w:rPr>
        <w:t>,</w:t>
      </w:r>
      <w:r w:rsidRPr="00B345A5">
        <w:rPr>
          <w:rFonts w:cs="Arial"/>
          <w:rtl/>
        </w:rPr>
        <w:t xml:space="preserve"> אבל במטלטלי אם הנכסים מועטים </w:t>
      </w:r>
      <w:r>
        <w:rPr>
          <w:rFonts w:cs="Arial" w:hint="cs"/>
          <w:rtl/>
        </w:rPr>
        <w:t xml:space="preserve">- </w:t>
      </w:r>
      <w:r w:rsidRPr="00B345A5">
        <w:rPr>
          <w:rFonts w:cs="Arial"/>
          <w:rtl/>
        </w:rPr>
        <w:t>יזונו אלו ואלו יחד עד שיכלו</w:t>
      </w:r>
      <w:r>
        <w:rPr>
          <w:rFonts w:cs="Arial" w:hint="cs"/>
          <w:rtl/>
        </w:rPr>
        <w:t>.</w:t>
      </w:r>
      <w:r w:rsidRPr="00B345A5">
        <w:rPr>
          <w:rFonts w:cs="Arial"/>
          <w:rtl/>
        </w:rPr>
        <w:t xml:space="preserve"> דכיון שאינ</w:t>
      </w:r>
      <w:r>
        <w:rPr>
          <w:rFonts w:cs="Arial" w:hint="cs"/>
          <w:rtl/>
        </w:rPr>
        <w:t>ן</w:t>
      </w:r>
      <w:r w:rsidRPr="00B345A5">
        <w:rPr>
          <w:rFonts w:cs="Arial"/>
          <w:rtl/>
        </w:rPr>
        <w:t xml:space="preserve"> ניזונות אלא בתקנת הגאונים</w:t>
      </w:r>
      <w:r>
        <w:rPr>
          <w:rFonts w:cs="Arial" w:hint="cs"/>
          <w:rtl/>
        </w:rPr>
        <w:t>,</w:t>
      </w:r>
      <w:r w:rsidRPr="00B345A5">
        <w:rPr>
          <w:rFonts w:cs="Arial"/>
          <w:rtl/>
        </w:rPr>
        <w:t xml:space="preserve"> די להן שיהיו כבנים</w:t>
      </w:r>
      <w:r>
        <w:rPr>
          <w:rFonts w:cs="Arial" w:hint="cs"/>
          <w:rtl/>
        </w:rPr>
        <w:t>,</w:t>
      </w:r>
      <w:r w:rsidRPr="00B345A5">
        <w:rPr>
          <w:rFonts w:cs="Arial"/>
          <w:rtl/>
        </w:rPr>
        <w:t xml:space="preserve"> ולא שיפה כחן יותר מן הבנים ליקח הכל</w:t>
      </w:r>
      <w:r>
        <w:rPr>
          <w:rFonts w:cs="Arial" w:hint="cs"/>
          <w:sz w:val="16"/>
          <w:szCs w:val="16"/>
          <w:rtl/>
        </w:rPr>
        <w:t xml:space="preserve"> (ל' הטור)</w:t>
      </w:r>
      <w:r>
        <w:rPr>
          <w:rFonts w:cs="Arial" w:hint="cs"/>
          <w:rtl/>
        </w:rPr>
        <w:t>.</w:t>
      </w:r>
      <w:r w:rsidRPr="00B345A5">
        <w:rPr>
          <w:rFonts w:cs="Arial"/>
          <w:rtl/>
        </w:rPr>
        <w:t xml:space="preserve"> </w:t>
      </w:r>
      <w:r w:rsidRPr="002D5C63">
        <w:rPr>
          <w:rFonts w:hint="cs"/>
          <w:color w:val="E36C0A" w:themeColor="accent6" w:themeShade="BF"/>
          <w:rtl/>
        </w:rPr>
        <w:t>(וכ"פ בשו"ע)</w:t>
      </w:r>
    </w:p>
    <w:p w14:paraId="111E339F" w14:textId="77777777" w:rsidR="00392DBB" w:rsidRPr="009B5382" w:rsidRDefault="00392DBB" w:rsidP="00392DBB">
      <w:pPr>
        <w:ind w:left="360"/>
        <w:rPr>
          <w:u w:val="dotted"/>
        </w:rPr>
      </w:pPr>
      <w:r w:rsidRPr="009B5382">
        <w:rPr>
          <w:rFonts w:hint="cs"/>
          <w:u w:val="dotted"/>
          <w:rtl/>
        </w:rPr>
        <w:t xml:space="preserve">ומה הדין השתא שכותבים בכתובה מטלטלי אגב מקרקעי: </w:t>
      </w:r>
    </w:p>
    <w:p w14:paraId="4EAF0518" w14:textId="77777777" w:rsidR="00392DBB" w:rsidRDefault="00392DBB" w:rsidP="009000E3">
      <w:pPr>
        <w:pStyle w:val="ab"/>
        <w:numPr>
          <w:ilvl w:val="0"/>
          <w:numId w:val="63"/>
        </w:numPr>
      </w:pPr>
      <w:r>
        <w:rPr>
          <w:rFonts w:cs="Arial" w:hint="cs"/>
          <w:rtl/>
        </w:rPr>
        <w:t xml:space="preserve">ב"י- </w:t>
      </w:r>
      <w:r w:rsidRPr="009B5382">
        <w:rPr>
          <w:rFonts w:cs="Arial"/>
          <w:rtl/>
        </w:rPr>
        <w:t>השתא דכותבין בכל הכתובות שהוא משעבד מטלטלי אגב מקרקעי איפשר דלענין מזון הבנות נמי דין מטלטלי כמקרקעי</w:t>
      </w:r>
      <w:r>
        <w:rPr>
          <w:rStyle w:val="a7"/>
          <w:rFonts w:cs="Arial"/>
          <w:rtl/>
        </w:rPr>
        <w:footnoteReference w:id="2607"/>
      </w:r>
      <w:r>
        <w:rPr>
          <w:rFonts w:cs="Arial" w:hint="cs"/>
          <w:rtl/>
        </w:rPr>
        <w:t>.</w:t>
      </w:r>
      <w:r>
        <w:rPr>
          <w:rFonts w:hint="cs"/>
          <w:rtl/>
        </w:rPr>
        <w:t xml:space="preserve"> </w:t>
      </w:r>
      <w:r w:rsidRPr="00F338F4">
        <w:rPr>
          <w:rFonts w:hint="cs"/>
          <w:color w:val="00B0F0"/>
          <w:rtl/>
        </w:rPr>
        <w:t>(וכ"כ הרמ"א)</w:t>
      </w:r>
    </w:p>
    <w:p w14:paraId="2B635B9D" w14:textId="77777777" w:rsidR="00392DBB" w:rsidRPr="009F258A" w:rsidRDefault="00392DBB" w:rsidP="00392DBB">
      <w:pPr>
        <w:rPr>
          <w:u w:val="single"/>
        </w:rPr>
      </w:pPr>
      <w:r>
        <w:rPr>
          <w:rFonts w:hint="cs"/>
          <w:u w:val="single"/>
          <w:rtl/>
        </w:rPr>
        <w:t xml:space="preserve">חלוקת נכסים כשיש </w:t>
      </w:r>
      <w:r w:rsidRPr="009F258A">
        <w:rPr>
          <w:rFonts w:cs="Arial"/>
          <w:u w:val="single"/>
          <w:rtl/>
        </w:rPr>
        <w:t>מטלטלי ומקרקעי</w:t>
      </w:r>
      <w:r w:rsidRPr="009F258A">
        <w:rPr>
          <w:rFonts w:cs="Arial" w:hint="cs"/>
          <w:u w:val="single"/>
          <w:rtl/>
        </w:rPr>
        <w:t>,</w:t>
      </w:r>
      <w:r w:rsidRPr="009F258A">
        <w:rPr>
          <w:rFonts w:cs="Arial"/>
          <w:u w:val="single"/>
          <w:rtl/>
        </w:rPr>
        <w:t xml:space="preserve"> והמקרקעי הם מועטי</w:t>
      </w:r>
      <w:r w:rsidRPr="009F258A">
        <w:rPr>
          <w:rFonts w:cs="Arial" w:hint="cs"/>
          <w:u w:val="single"/>
          <w:rtl/>
        </w:rPr>
        <w:t>ם,</w:t>
      </w:r>
      <w:r w:rsidRPr="009F258A">
        <w:rPr>
          <w:rFonts w:cs="Arial"/>
          <w:u w:val="single"/>
          <w:rtl/>
        </w:rPr>
        <w:t xml:space="preserve"> וע"י המטלטלים יהיו מרובי</w:t>
      </w:r>
      <w:r w:rsidRPr="009F258A">
        <w:rPr>
          <w:rFonts w:cs="Arial" w:hint="cs"/>
          <w:u w:val="single"/>
          <w:rtl/>
        </w:rPr>
        <w:t>ם:</w:t>
      </w:r>
    </w:p>
    <w:p w14:paraId="1DBE4D1C" w14:textId="77777777" w:rsidR="00392DBB" w:rsidRPr="00EF7111" w:rsidRDefault="00392DBB" w:rsidP="009000E3">
      <w:pPr>
        <w:pStyle w:val="ab"/>
        <w:numPr>
          <w:ilvl w:val="0"/>
          <w:numId w:val="63"/>
        </w:numPr>
      </w:pPr>
      <w:r>
        <w:rPr>
          <w:rFonts w:cs="Arial"/>
          <w:rtl/>
        </w:rPr>
        <w:t xml:space="preserve">רא"ש </w:t>
      </w:r>
      <w:r w:rsidRPr="003F1E52">
        <w:rPr>
          <w:rFonts w:cs="Arial"/>
          <w:sz w:val="16"/>
          <w:szCs w:val="16"/>
          <w:rtl/>
        </w:rPr>
        <w:t>(</w:t>
      </w:r>
      <w:r>
        <w:rPr>
          <w:rFonts w:cs="Arial" w:hint="cs"/>
          <w:sz w:val="16"/>
          <w:szCs w:val="16"/>
          <w:rtl/>
        </w:rPr>
        <w:t xml:space="preserve">פ' מי שמת </w:t>
      </w:r>
      <w:r w:rsidRPr="003F1E52">
        <w:rPr>
          <w:rFonts w:cs="Arial"/>
          <w:sz w:val="16"/>
          <w:szCs w:val="16"/>
          <w:rtl/>
        </w:rPr>
        <w:t>סי' א)</w:t>
      </w:r>
      <w:r>
        <w:rPr>
          <w:rFonts w:cs="Arial" w:hint="cs"/>
          <w:rtl/>
        </w:rPr>
        <w:t xml:space="preserve"> וטור- </w:t>
      </w:r>
      <w:r w:rsidRPr="00B345A5">
        <w:rPr>
          <w:rFonts w:cs="Arial"/>
          <w:rtl/>
        </w:rPr>
        <w:t>ואם יש מטלטלי ומקרקעי והמקרקעי הם מועטי</w:t>
      </w:r>
      <w:r>
        <w:rPr>
          <w:rFonts w:cs="Arial" w:hint="cs"/>
          <w:rtl/>
        </w:rPr>
        <w:t>ם</w:t>
      </w:r>
      <w:r w:rsidRPr="00B345A5">
        <w:rPr>
          <w:rFonts w:cs="Arial"/>
          <w:rtl/>
        </w:rPr>
        <w:t xml:space="preserve"> וע"י המטלטלים יהיו מרובים </w:t>
      </w:r>
      <w:r>
        <w:rPr>
          <w:rFonts w:cs="Arial" w:hint="cs"/>
          <w:rtl/>
        </w:rPr>
        <w:t xml:space="preserve">- </w:t>
      </w:r>
      <w:r w:rsidRPr="00B345A5">
        <w:rPr>
          <w:rFonts w:cs="Arial"/>
          <w:rtl/>
        </w:rPr>
        <w:t>יירשו הבנים</w:t>
      </w:r>
      <w:r>
        <w:rPr>
          <w:rFonts w:cs="Arial" w:hint="cs"/>
          <w:rtl/>
        </w:rPr>
        <w:t>,</w:t>
      </w:r>
      <w:r w:rsidRPr="00B345A5">
        <w:rPr>
          <w:rFonts w:cs="Arial"/>
          <w:rtl/>
        </w:rPr>
        <w:t xml:space="preserve"> ואין הבנות יכולות לומר כיון ששיעבודנו על הקרקע</w:t>
      </w:r>
      <w:r>
        <w:rPr>
          <w:rFonts w:cs="Arial" w:hint="cs"/>
          <w:rtl/>
        </w:rPr>
        <w:t>,</w:t>
      </w:r>
      <w:r w:rsidRPr="00B345A5">
        <w:rPr>
          <w:rFonts w:cs="Arial"/>
          <w:rtl/>
        </w:rPr>
        <w:t xml:space="preserve"> והרי הן מועטים</w:t>
      </w:r>
      <w:r>
        <w:rPr>
          <w:rFonts w:cs="Arial" w:hint="cs"/>
          <w:rtl/>
        </w:rPr>
        <w:t>,</w:t>
      </w:r>
      <w:r w:rsidRPr="00B345A5">
        <w:rPr>
          <w:rFonts w:cs="Arial"/>
          <w:rtl/>
        </w:rPr>
        <w:t xml:space="preserve"> יפרשו לנו מזונותינו</w:t>
      </w:r>
      <w:r>
        <w:rPr>
          <w:rFonts w:cs="Arial" w:hint="cs"/>
          <w:rtl/>
        </w:rPr>
        <w:t>.</w:t>
      </w:r>
      <w:r w:rsidRPr="00B345A5">
        <w:rPr>
          <w:rFonts w:cs="Arial"/>
          <w:rtl/>
        </w:rPr>
        <w:t xml:space="preserve"> אלא המטלטלין מצטרפין עם המקרקעי לעשות מרובים</w:t>
      </w:r>
      <w:r>
        <w:rPr>
          <w:rFonts w:cs="Arial" w:hint="cs"/>
          <w:sz w:val="16"/>
          <w:szCs w:val="16"/>
          <w:rtl/>
        </w:rPr>
        <w:t xml:space="preserve"> (ל' הטור)</w:t>
      </w:r>
      <w:r>
        <w:rPr>
          <w:rFonts w:cs="Arial" w:hint="cs"/>
          <w:rtl/>
        </w:rPr>
        <w:t>.</w:t>
      </w:r>
      <w:r w:rsidRPr="00B345A5">
        <w:rPr>
          <w:rFonts w:cs="Arial"/>
          <w:rtl/>
        </w:rPr>
        <w:t xml:space="preserve"> </w:t>
      </w:r>
      <w:r w:rsidRPr="002D5C63">
        <w:rPr>
          <w:rFonts w:hint="cs"/>
          <w:color w:val="E36C0A" w:themeColor="accent6" w:themeShade="BF"/>
          <w:rtl/>
        </w:rPr>
        <w:t>(וכ"פ בשו"ע)</w:t>
      </w:r>
    </w:p>
    <w:p w14:paraId="28A0F20E"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172D67B" w14:textId="77777777" w:rsidR="00392DBB" w:rsidRDefault="00392DBB" w:rsidP="00392DBB">
      <w:pPr>
        <w:rPr>
          <w:rFonts w:cs="Arial"/>
          <w:sz w:val="18"/>
          <w:szCs w:val="18"/>
          <w:rtl/>
        </w:rPr>
      </w:pPr>
      <w:r w:rsidRPr="00523CDE">
        <w:rPr>
          <w:rFonts w:cs="Arial"/>
          <w:rtl/>
        </w:rPr>
        <w:t>ב</w:t>
      </w:r>
      <w:r>
        <w:rPr>
          <w:rFonts w:cs="Arial" w:hint="cs"/>
          <w:rtl/>
        </w:rPr>
        <w:t>מה דברים אמורים</w:t>
      </w:r>
      <w:r w:rsidRPr="00523CDE">
        <w:rPr>
          <w:rFonts w:cs="Arial"/>
          <w:rtl/>
        </w:rPr>
        <w:t>, כשהניח קרקע. אבל אם לא הניח אלא מטלטלין, אם הנכסים מועטים יזונו אלו ואלו יחד</w:t>
      </w:r>
      <w:r>
        <w:rPr>
          <w:rStyle w:val="a7"/>
          <w:rFonts w:cs="Arial"/>
          <w:rtl/>
        </w:rPr>
        <w:footnoteReference w:id="2608"/>
      </w:r>
      <w:r w:rsidRPr="00523CDE">
        <w:rPr>
          <w:rFonts w:cs="Arial"/>
          <w:rtl/>
        </w:rPr>
        <w:t xml:space="preserve"> עד שיכלו</w:t>
      </w:r>
      <w:r>
        <w:rPr>
          <w:rFonts w:cs="Arial" w:hint="cs"/>
          <w:rtl/>
        </w:rPr>
        <w:t>.</w:t>
      </w:r>
      <w:r w:rsidRPr="00523CDE">
        <w:rPr>
          <w:rFonts w:cs="Arial"/>
          <w:rtl/>
        </w:rPr>
        <w:t xml:space="preserve"> דכיון שאינן נזונות אלא בתקנת הגאונים</w:t>
      </w:r>
      <w:r>
        <w:rPr>
          <w:rFonts w:cs="Arial" w:hint="cs"/>
          <w:rtl/>
        </w:rPr>
        <w:t>,</w:t>
      </w:r>
      <w:r w:rsidRPr="00523CDE">
        <w:rPr>
          <w:rFonts w:cs="Arial"/>
          <w:rtl/>
        </w:rPr>
        <w:t xml:space="preserve"> די שתהיינה כבנים ולא שיפה כחן יותר מהבנים. ואם הניח מטלטלין ומקרקעי, והמקרקעי הם מועטים</w:t>
      </w:r>
      <w:r>
        <w:rPr>
          <w:rFonts w:cs="Arial" w:hint="cs"/>
          <w:rtl/>
        </w:rPr>
        <w:t>,</w:t>
      </w:r>
      <w:r w:rsidRPr="00523CDE">
        <w:rPr>
          <w:rFonts w:cs="Arial"/>
          <w:rtl/>
        </w:rPr>
        <w:t xml:space="preserve"> וע</w:t>
      </w:r>
      <w:r>
        <w:rPr>
          <w:rFonts w:cs="Arial" w:hint="cs"/>
          <w:rtl/>
        </w:rPr>
        <w:t>ל ידי</w:t>
      </w:r>
      <w:r w:rsidRPr="00523CDE">
        <w:rPr>
          <w:rFonts w:cs="Arial"/>
          <w:rtl/>
        </w:rPr>
        <w:t xml:space="preserve"> המטלטלים יהיו מרובים, יירשו הבנים. </w:t>
      </w:r>
      <w:r w:rsidRPr="003F4D9E">
        <w:rPr>
          <w:rFonts w:cs="Arial"/>
          <w:sz w:val="18"/>
          <w:szCs w:val="18"/>
          <w:rtl/>
        </w:rPr>
        <w:t>הגה: מיהו במקום שכותבין בכתובות מטלטלין אגב קרקע, איכא למימר דמטלטלין הוי כמו קרקע (ב"י), וכמו ש</w:t>
      </w:r>
      <w:r>
        <w:rPr>
          <w:rFonts w:cs="Arial" w:hint="cs"/>
          <w:sz w:val="18"/>
          <w:szCs w:val="18"/>
          <w:rtl/>
        </w:rPr>
        <w:t>נ</w:t>
      </w:r>
      <w:r w:rsidRPr="003F4D9E">
        <w:rPr>
          <w:rFonts w:cs="Arial"/>
          <w:sz w:val="18"/>
          <w:szCs w:val="18"/>
          <w:rtl/>
        </w:rPr>
        <w:t xml:space="preserve">תבאר לעיל סימן קי"א סעיף י"ד. </w:t>
      </w:r>
    </w:p>
    <w:p w14:paraId="6D9B0CE4" w14:textId="77777777" w:rsidR="00392DBB" w:rsidRPr="00523CDE" w:rsidRDefault="00392DBB" w:rsidP="00392DBB">
      <w:pPr>
        <w:rPr>
          <w:rFonts w:cs="Arial"/>
          <w:rtl/>
        </w:rPr>
      </w:pPr>
    </w:p>
    <w:p w14:paraId="704A695B" w14:textId="77777777" w:rsidR="00392DBB" w:rsidRDefault="00392DBB" w:rsidP="000F64D0">
      <w:pPr>
        <w:pStyle w:val="2"/>
        <w:rPr>
          <w:rtl/>
        </w:rPr>
      </w:pPr>
      <w:r w:rsidRPr="00523CDE">
        <w:rPr>
          <w:rtl/>
        </w:rPr>
        <w:t>סעיף יג</w:t>
      </w:r>
      <w:r>
        <w:rPr>
          <w:rFonts w:hint="cs"/>
          <w:rtl/>
        </w:rPr>
        <w:t>: נכסים מרובים ונתמעטו.</w:t>
      </w:r>
    </w:p>
    <w:p w14:paraId="71B8C2DD" w14:textId="59CDDC95" w:rsidR="00392DBB" w:rsidRPr="0001487A" w:rsidRDefault="00392DBB" w:rsidP="00392DBB">
      <w:pPr>
        <w:rPr>
          <w:rtl/>
        </w:rPr>
      </w:pPr>
      <w:r w:rsidRPr="00D134DC">
        <w:rPr>
          <w:rFonts w:hint="cs"/>
          <w:b/>
          <w:bCs/>
          <w:rtl/>
        </w:rPr>
        <w:t xml:space="preserve">בבא בתרא </w:t>
      </w:r>
      <w:r w:rsidRPr="00D134DC">
        <w:rPr>
          <w:rFonts w:hint="cs"/>
          <w:b/>
          <w:bCs/>
          <w:sz w:val="16"/>
          <w:szCs w:val="16"/>
          <w:rtl/>
        </w:rPr>
        <w:t xml:space="preserve">(ר"פ מי שמת) </w:t>
      </w:r>
      <w:r w:rsidRPr="00D134DC">
        <w:rPr>
          <w:rFonts w:hint="cs"/>
          <w:b/>
          <w:bCs/>
          <w:rtl/>
        </w:rPr>
        <w:t>ק</w:t>
      </w:r>
      <w:r>
        <w:rPr>
          <w:rFonts w:hint="cs"/>
          <w:b/>
          <w:bCs/>
          <w:rtl/>
        </w:rPr>
        <w:t>מ</w:t>
      </w:r>
      <w:r w:rsidR="007A56DC">
        <w:rPr>
          <w:rStyle w:val="a7"/>
          <w:rFonts w:cs="Arial"/>
          <w:b/>
          <w:bCs/>
          <w:rtl/>
        </w:rPr>
        <w:footnoteReference w:id="2609"/>
      </w:r>
      <w:r w:rsidRPr="00D134DC">
        <w:rPr>
          <w:rFonts w:hint="cs"/>
          <w:b/>
          <w:bCs/>
          <w:rtl/>
        </w:rPr>
        <w:t xml:space="preserve"> ע"</w:t>
      </w:r>
      <w:r>
        <w:rPr>
          <w:rFonts w:hint="cs"/>
          <w:b/>
          <w:bCs/>
          <w:rtl/>
        </w:rPr>
        <w:t>א</w:t>
      </w:r>
      <w:r w:rsidRPr="00D134DC">
        <w:rPr>
          <w:rFonts w:hint="cs"/>
          <w:b/>
          <w:bCs/>
          <w:rtl/>
        </w:rPr>
        <w:t>:</w:t>
      </w:r>
      <w:r>
        <w:rPr>
          <w:rFonts w:cs="Arial" w:hint="cs"/>
          <w:rtl/>
        </w:rPr>
        <w:t xml:space="preserve"> </w:t>
      </w:r>
      <w:r w:rsidRPr="0001487A">
        <w:rPr>
          <w:rFonts w:cs="Arial"/>
          <w:rtl/>
        </w:rPr>
        <w:t>פשיטא, מרובין ונתמעטו</w:t>
      </w:r>
      <w:r>
        <w:rPr>
          <w:rStyle w:val="a7"/>
          <w:rFonts w:cs="Arial"/>
          <w:rtl/>
        </w:rPr>
        <w:footnoteReference w:id="2610"/>
      </w:r>
      <w:r w:rsidRPr="0001487A">
        <w:rPr>
          <w:rFonts w:cs="Arial"/>
          <w:rtl/>
        </w:rPr>
        <w:t xml:space="preserve"> - כבר זכו בהן יורשין</w:t>
      </w:r>
      <w:r>
        <w:rPr>
          <w:rStyle w:val="a7"/>
          <w:rtl/>
        </w:rPr>
        <w:footnoteReference w:id="2611"/>
      </w:r>
      <w:r>
        <w:rPr>
          <w:rFonts w:hint="cs"/>
          <w:rtl/>
        </w:rPr>
        <w:t>.</w:t>
      </w:r>
      <w:r w:rsidRPr="007038B3">
        <w:rPr>
          <w:rFonts w:cs="Arial"/>
          <w:rtl/>
        </w:rPr>
        <w:t xml:space="preserve"> </w:t>
      </w:r>
      <w:r w:rsidRPr="007038B3">
        <w:rPr>
          <w:rFonts w:cs="Arial" w:hint="cs"/>
          <w:sz w:val="16"/>
          <w:szCs w:val="16"/>
          <w:rtl/>
        </w:rPr>
        <w:t>(</w:t>
      </w:r>
      <w:r w:rsidRPr="007038B3">
        <w:rPr>
          <w:rFonts w:cs="Arial"/>
          <w:sz w:val="16"/>
          <w:szCs w:val="16"/>
          <w:rtl/>
        </w:rPr>
        <w:t>וכתב הרב המגיד (פי"ט הי"ט) אפילו נתמעטו קודם שיבואו לב"ד כיון שבשעת מיתה היו מרובים זכו הבנים</w:t>
      </w:r>
      <w:r>
        <w:rPr>
          <w:rFonts w:cs="Arial" w:hint="cs"/>
          <w:sz w:val="16"/>
          <w:szCs w:val="16"/>
          <w:rtl/>
        </w:rPr>
        <w:t>, ב"י)</w:t>
      </w:r>
    </w:p>
    <w:p w14:paraId="58188D66" w14:textId="77777777" w:rsidR="00392DBB" w:rsidRPr="0001487A" w:rsidRDefault="00392DBB" w:rsidP="00392DBB">
      <w:pPr>
        <w:rPr>
          <w:u w:val="single"/>
          <w:rtl/>
        </w:rPr>
      </w:pPr>
      <w:r w:rsidRPr="0001487A">
        <w:rPr>
          <w:rFonts w:hint="cs"/>
          <w:u w:val="single"/>
          <w:rtl/>
        </w:rPr>
        <w:t>היו נכסים מרובים בשעת מיתה ונתמעטו:</w:t>
      </w:r>
    </w:p>
    <w:p w14:paraId="40F5584C" w14:textId="77777777" w:rsidR="00392DBB" w:rsidRPr="0001487A" w:rsidRDefault="00392DBB" w:rsidP="009000E3">
      <w:pPr>
        <w:pStyle w:val="ab"/>
        <w:numPr>
          <w:ilvl w:val="0"/>
          <w:numId w:val="63"/>
        </w:numPr>
      </w:pPr>
      <w:r>
        <w:rPr>
          <w:rFonts w:cs="Arial" w:hint="cs"/>
          <w:rtl/>
        </w:rPr>
        <w:t xml:space="preserve">רא"ש </w:t>
      </w:r>
      <w:r w:rsidRPr="007038B3">
        <w:rPr>
          <w:rFonts w:cs="Arial"/>
          <w:sz w:val="16"/>
          <w:szCs w:val="16"/>
          <w:rtl/>
        </w:rPr>
        <w:t>(סי' ב)</w:t>
      </w:r>
      <w:r>
        <w:rPr>
          <w:rFonts w:cs="Arial" w:hint="cs"/>
          <w:sz w:val="16"/>
          <w:szCs w:val="16"/>
          <w:rtl/>
        </w:rPr>
        <w:t xml:space="preserve"> </w:t>
      </w:r>
      <w:r>
        <w:rPr>
          <w:rFonts w:cs="Arial" w:hint="cs"/>
          <w:rtl/>
        </w:rPr>
        <w:t xml:space="preserve">וטור- </w:t>
      </w:r>
      <w:r w:rsidRPr="00B345A5">
        <w:rPr>
          <w:rFonts w:cs="Arial"/>
          <w:rtl/>
        </w:rPr>
        <w:t xml:space="preserve">היו מרובים בשעת מיתה ונתמעטו </w:t>
      </w:r>
      <w:r>
        <w:rPr>
          <w:rFonts w:cs="Arial" w:hint="cs"/>
          <w:rtl/>
        </w:rPr>
        <w:t xml:space="preserve">- </w:t>
      </w:r>
      <w:r w:rsidRPr="00B345A5">
        <w:rPr>
          <w:rFonts w:cs="Arial"/>
          <w:rtl/>
        </w:rPr>
        <w:t>כבר זכו בהן הבנים</w:t>
      </w:r>
      <w:r>
        <w:rPr>
          <w:rFonts w:cs="Arial" w:hint="cs"/>
          <w:rtl/>
        </w:rPr>
        <w:t>,</w:t>
      </w:r>
      <w:r w:rsidRPr="00B345A5">
        <w:rPr>
          <w:rFonts w:cs="Arial"/>
          <w:rtl/>
        </w:rPr>
        <w:t xml:space="preserve"> ויש להן דין מרובים</w:t>
      </w:r>
      <w:r>
        <w:rPr>
          <w:rStyle w:val="a7"/>
          <w:rFonts w:cs="Arial"/>
          <w:rtl/>
        </w:rPr>
        <w:footnoteReference w:id="2612"/>
      </w:r>
      <w:r>
        <w:rPr>
          <w:rFonts w:cs="Arial" w:hint="cs"/>
          <w:rtl/>
        </w:rPr>
        <w:t>,</w:t>
      </w:r>
      <w:r w:rsidRPr="00B345A5">
        <w:rPr>
          <w:rFonts w:cs="Arial"/>
          <w:rtl/>
        </w:rPr>
        <w:t xml:space="preserve"> ויזונו יחד עד שיכלו הנכסים</w:t>
      </w:r>
      <w:r>
        <w:rPr>
          <w:rStyle w:val="a7"/>
          <w:rFonts w:cs="Arial"/>
          <w:rtl/>
        </w:rPr>
        <w:footnoteReference w:id="2613"/>
      </w:r>
      <w:r>
        <w:rPr>
          <w:rFonts w:cs="Arial" w:hint="cs"/>
          <w:sz w:val="16"/>
          <w:szCs w:val="16"/>
          <w:rtl/>
        </w:rPr>
        <w:t xml:space="preserve"> (ל' הטור)</w:t>
      </w:r>
      <w:r>
        <w:rPr>
          <w:rFonts w:cs="Arial" w:hint="cs"/>
          <w:rtl/>
        </w:rPr>
        <w:t>.</w:t>
      </w:r>
      <w:r>
        <w:rPr>
          <w:rFonts w:hint="cs"/>
          <w:rtl/>
        </w:rPr>
        <w:t xml:space="preserve"> </w:t>
      </w:r>
      <w:r w:rsidRPr="00EA5C7B">
        <w:rPr>
          <w:rFonts w:hint="cs"/>
          <w:color w:val="E36C0A" w:themeColor="accent6" w:themeShade="BF"/>
          <w:rtl/>
        </w:rPr>
        <w:t>(וכ"פ בשו"ע)</w:t>
      </w:r>
      <w:r>
        <w:rPr>
          <w:rFonts w:hint="cs"/>
          <w:rtl/>
        </w:rPr>
        <w:t xml:space="preserve"> </w:t>
      </w:r>
    </w:p>
    <w:p w14:paraId="1F493813" w14:textId="77777777" w:rsidR="00392DBB" w:rsidRPr="00F16681" w:rsidRDefault="00392DBB" w:rsidP="009000E3">
      <w:pPr>
        <w:pStyle w:val="ab"/>
        <w:numPr>
          <w:ilvl w:val="0"/>
          <w:numId w:val="63"/>
        </w:numPr>
        <w:rPr>
          <w:rtl/>
        </w:rPr>
      </w:pPr>
      <w:r w:rsidRPr="0001487A">
        <w:rPr>
          <w:rFonts w:cs="Arial"/>
          <w:rtl/>
        </w:rPr>
        <w:t xml:space="preserve">רשב"ם </w:t>
      </w:r>
      <w:r>
        <w:rPr>
          <w:rFonts w:cs="Arial" w:hint="cs"/>
          <w:sz w:val="16"/>
          <w:szCs w:val="16"/>
          <w:rtl/>
        </w:rPr>
        <w:t xml:space="preserve">(שם) </w:t>
      </w:r>
      <w:r>
        <w:rPr>
          <w:rFonts w:cs="Arial" w:hint="cs"/>
          <w:rtl/>
        </w:rPr>
        <w:t>ורמ"ה</w:t>
      </w:r>
      <w:r>
        <w:rPr>
          <w:rFonts w:cs="Arial" w:hint="cs"/>
          <w:sz w:val="16"/>
          <w:szCs w:val="16"/>
          <w:rtl/>
        </w:rPr>
        <w:t xml:space="preserve"> (כ"כ הטור בשמו)</w:t>
      </w:r>
      <w:r>
        <w:rPr>
          <w:rFonts w:cs="Arial" w:hint="cs"/>
          <w:rtl/>
        </w:rPr>
        <w:t xml:space="preserve">- </w:t>
      </w:r>
      <w:r w:rsidRPr="0001487A">
        <w:rPr>
          <w:rFonts w:cs="Arial"/>
          <w:rtl/>
        </w:rPr>
        <w:t>שמין כמה הגיע לבנות במזונותיהן עד שיבגרו</w:t>
      </w:r>
      <w:r w:rsidRPr="0001487A">
        <w:rPr>
          <w:rFonts w:cs="Arial" w:hint="cs"/>
          <w:rtl/>
        </w:rPr>
        <w:t>,</w:t>
      </w:r>
      <w:r w:rsidRPr="0001487A">
        <w:rPr>
          <w:rFonts w:cs="Arial"/>
          <w:rtl/>
        </w:rPr>
        <w:t xml:space="preserve"> ולבנים כירושתן</w:t>
      </w:r>
      <w:r w:rsidRPr="0001487A">
        <w:rPr>
          <w:rFonts w:cs="Arial" w:hint="cs"/>
          <w:rtl/>
        </w:rPr>
        <w:t>,</w:t>
      </w:r>
      <w:r w:rsidRPr="0001487A">
        <w:rPr>
          <w:rFonts w:cs="Arial"/>
          <w:rtl/>
        </w:rPr>
        <w:t xml:space="preserve"> ורואין כמה נפחתו מהנכסים</w:t>
      </w:r>
      <w:r w:rsidRPr="0001487A">
        <w:rPr>
          <w:rFonts w:cs="Arial" w:hint="cs"/>
          <w:rtl/>
        </w:rPr>
        <w:t>,</w:t>
      </w:r>
      <w:r w:rsidRPr="0001487A">
        <w:rPr>
          <w:rFonts w:cs="Arial"/>
          <w:rtl/>
        </w:rPr>
        <w:t xml:space="preserve"> ויפסיד כל אחד בפחות כפי שיעור שהיה לו בנכסים</w:t>
      </w:r>
      <w:r w:rsidRPr="0001487A">
        <w:rPr>
          <w:rFonts w:cs="Arial" w:hint="cs"/>
          <w:rtl/>
        </w:rPr>
        <w:t>.</w:t>
      </w:r>
      <w:r w:rsidRPr="0001487A">
        <w:rPr>
          <w:rFonts w:cs="Arial"/>
          <w:rtl/>
        </w:rPr>
        <w:t xml:space="preserve"> ולפ"ז אפשר שכלה חלק הבנות ועדיין חלק הבנים קיים ואפ"ה אין הבנות ניזונות עמהם</w:t>
      </w:r>
      <w:r>
        <w:rPr>
          <w:rFonts w:cs="Arial" w:hint="cs"/>
          <w:sz w:val="16"/>
          <w:szCs w:val="16"/>
          <w:rtl/>
        </w:rPr>
        <w:t xml:space="preserve"> (ל' הטור בשם הרשב"ם)</w:t>
      </w:r>
      <w:r w:rsidRPr="007038B3">
        <w:rPr>
          <w:rFonts w:cs="Arial" w:hint="cs"/>
          <w:rtl/>
        </w:rPr>
        <w:t>.</w:t>
      </w:r>
    </w:p>
    <w:p w14:paraId="56F8E9EC"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632E558" w14:textId="77777777" w:rsidR="00392DBB" w:rsidRDefault="00392DBB" w:rsidP="00392DBB">
      <w:pPr>
        <w:rPr>
          <w:rFonts w:cs="Arial"/>
          <w:rtl/>
        </w:rPr>
      </w:pPr>
      <w:r w:rsidRPr="00523CDE">
        <w:rPr>
          <w:rFonts w:cs="Arial"/>
          <w:rtl/>
        </w:rPr>
        <w:t>היו מרובים בשעת מיתה</w:t>
      </w:r>
      <w:r>
        <w:rPr>
          <w:rFonts w:cs="Arial" w:hint="cs"/>
          <w:rtl/>
        </w:rPr>
        <w:t>,</w:t>
      </w:r>
      <w:r w:rsidRPr="00523CDE">
        <w:rPr>
          <w:rFonts w:cs="Arial"/>
          <w:rtl/>
        </w:rPr>
        <w:t xml:space="preserve"> </w:t>
      </w:r>
      <w:r>
        <w:rPr>
          <w:rFonts w:cs="Arial" w:hint="cs"/>
          <w:rtl/>
        </w:rPr>
        <w:t>ו</w:t>
      </w:r>
      <w:r w:rsidRPr="00523CDE">
        <w:rPr>
          <w:rFonts w:cs="Arial"/>
          <w:rtl/>
        </w:rPr>
        <w:t xml:space="preserve">נתמעטו אחר כך, כבר זכו בהם הבנים ויש להם דין מרובים. </w:t>
      </w:r>
    </w:p>
    <w:p w14:paraId="099515F2" w14:textId="77777777" w:rsidR="00392DBB" w:rsidRPr="00523CDE" w:rsidRDefault="00392DBB" w:rsidP="00392DBB">
      <w:pPr>
        <w:rPr>
          <w:rFonts w:cs="Arial"/>
          <w:rtl/>
        </w:rPr>
      </w:pPr>
    </w:p>
    <w:p w14:paraId="3777A880" w14:textId="77777777" w:rsidR="00392DBB" w:rsidRDefault="00392DBB" w:rsidP="000F64D0">
      <w:pPr>
        <w:pStyle w:val="2"/>
        <w:rPr>
          <w:rtl/>
        </w:rPr>
      </w:pPr>
      <w:r w:rsidRPr="00523CDE">
        <w:rPr>
          <w:rtl/>
        </w:rPr>
        <w:t>סעיף יד</w:t>
      </w:r>
      <w:r>
        <w:rPr>
          <w:rFonts w:hint="cs"/>
          <w:rtl/>
        </w:rPr>
        <w:t>: נכסים מועטים ונתרבו.</w:t>
      </w:r>
    </w:p>
    <w:p w14:paraId="04880A33" w14:textId="7E0C2A34" w:rsidR="00392DBB" w:rsidRPr="00D535F4" w:rsidRDefault="00392DBB" w:rsidP="00392DBB">
      <w:pPr>
        <w:rPr>
          <w:rFonts w:cs="Arial"/>
          <w:rtl/>
        </w:rPr>
      </w:pPr>
      <w:r w:rsidRPr="00D134DC">
        <w:rPr>
          <w:rFonts w:hint="cs"/>
          <w:b/>
          <w:bCs/>
          <w:rtl/>
        </w:rPr>
        <w:t xml:space="preserve">בבא בתרא </w:t>
      </w:r>
      <w:r w:rsidRPr="00D134DC">
        <w:rPr>
          <w:rFonts w:hint="cs"/>
          <w:b/>
          <w:bCs/>
          <w:sz w:val="16"/>
          <w:szCs w:val="16"/>
          <w:rtl/>
        </w:rPr>
        <w:t xml:space="preserve">(ר"פ מי שמת) </w:t>
      </w:r>
      <w:r w:rsidRPr="00D134DC">
        <w:rPr>
          <w:rFonts w:hint="cs"/>
          <w:b/>
          <w:bCs/>
          <w:rtl/>
        </w:rPr>
        <w:t>ק</w:t>
      </w:r>
      <w:r>
        <w:rPr>
          <w:rFonts w:hint="cs"/>
          <w:b/>
          <w:bCs/>
          <w:rtl/>
        </w:rPr>
        <w:t>מ</w:t>
      </w:r>
      <w:r w:rsidRPr="00D134DC">
        <w:rPr>
          <w:rFonts w:hint="cs"/>
          <w:b/>
          <w:bCs/>
          <w:rtl/>
        </w:rPr>
        <w:t xml:space="preserve"> ע"</w:t>
      </w:r>
      <w:r>
        <w:rPr>
          <w:rFonts w:hint="cs"/>
          <w:b/>
          <w:bCs/>
          <w:rtl/>
        </w:rPr>
        <w:t>א</w:t>
      </w:r>
      <w:r w:rsidR="007A56DC">
        <w:rPr>
          <w:rStyle w:val="a7"/>
          <w:rFonts w:cs="Arial"/>
          <w:b/>
          <w:bCs/>
          <w:rtl/>
        </w:rPr>
        <w:footnoteReference w:id="2614"/>
      </w:r>
      <w:r w:rsidRPr="00D134DC">
        <w:rPr>
          <w:rFonts w:hint="cs"/>
          <w:b/>
          <w:bCs/>
          <w:rtl/>
        </w:rPr>
        <w:t>:</w:t>
      </w:r>
      <w:r>
        <w:rPr>
          <w:rFonts w:cs="Arial" w:hint="cs"/>
          <w:rtl/>
        </w:rPr>
        <w:t xml:space="preserve"> </w:t>
      </w:r>
      <w:r w:rsidRPr="0001487A">
        <w:rPr>
          <w:rFonts w:cs="Arial"/>
          <w:rtl/>
        </w:rPr>
        <w:t>פשיטא, מרובין ונתמעטו - כבר זכו בהן יורשין</w:t>
      </w:r>
      <w:r>
        <w:rPr>
          <w:rFonts w:cs="Arial" w:hint="cs"/>
          <w:rtl/>
        </w:rPr>
        <w:t>.</w:t>
      </w:r>
      <w:r w:rsidRPr="00E66C1A">
        <w:rPr>
          <w:rFonts w:cs="Arial"/>
          <w:rtl/>
        </w:rPr>
        <w:t xml:space="preserve"> מועטין ונתרבו</w:t>
      </w:r>
      <w:r>
        <w:rPr>
          <w:rStyle w:val="a7"/>
          <w:rFonts w:cs="Arial"/>
          <w:rtl/>
        </w:rPr>
        <w:footnoteReference w:id="2615"/>
      </w:r>
      <w:r w:rsidRPr="00E66C1A">
        <w:rPr>
          <w:rFonts w:cs="Arial"/>
          <w:rtl/>
        </w:rPr>
        <w:t xml:space="preserve"> מאי? ברשות יורשין קיימי, הלכך ברשות יורשין שבוח, או דלמא סלוקי מסלקי יורשין מהכא? תא שמע, </w:t>
      </w:r>
      <w:r w:rsidRPr="00E66C1A">
        <w:rPr>
          <w:rFonts w:cs="Arial"/>
          <w:u w:val="single"/>
          <w:rtl/>
        </w:rPr>
        <w:t xml:space="preserve">דאמר רבי אסי אמר רבי </w:t>
      </w:r>
      <w:r w:rsidRPr="00E66C1A">
        <w:rPr>
          <w:rFonts w:cs="Arial"/>
          <w:u w:val="single"/>
          <w:rtl/>
        </w:rPr>
        <w:lastRenderedPageBreak/>
        <w:t>יוחנן</w:t>
      </w:r>
      <w:r w:rsidRPr="00E66C1A">
        <w:rPr>
          <w:rFonts w:cs="Arial"/>
          <w:rtl/>
        </w:rPr>
        <w:t>: יתומין שקדמו ומכרו בנכסים מועטין - מה שמכרו מכרו.</w:t>
      </w:r>
      <w:r>
        <w:rPr>
          <w:rFonts w:cs="Arial" w:hint="cs"/>
          <w:rtl/>
        </w:rPr>
        <w:t xml:space="preserve"> </w:t>
      </w:r>
      <w:r w:rsidRPr="00D535F4">
        <w:rPr>
          <w:rFonts w:cs="Arial" w:hint="cs"/>
          <w:sz w:val="16"/>
          <w:szCs w:val="16"/>
          <w:rtl/>
        </w:rPr>
        <w:t>(</w:t>
      </w:r>
      <w:r w:rsidRPr="00D535F4">
        <w:rPr>
          <w:rFonts w:cs="Arial"/>
          <w:sz w:val="16"/>
          <w:szCs w:val="16"/>
          <w:rtl/>
        </w:rPr>
        <w:t>ופרש</w:t>
      </w:r>
      <w:r w:rsidRPr="00D535F4">
        <w:rPr>
          <w:rFonts w:cs="Arial" w:hint="cs"/>
          <w:sz w:val="16"/>
          <w:szCs w:val="16"/>
          <w:rtl/>
        </w:rPr>
        <w:t xml:space="preserve"> רשב"ם</w:t>
      </w:r>
      <w:r w:rsidRPr="00D535F4">
        <w:rPr>
          <w:rFonts w:cs="Arial"/>
          <w:sz w:val="16"/>
          <w:szCs w:val="16"/>
          <w:rtl/>
        </w:rPr>
        <w:t xml:space="preserve"> וכיון שאם מכרו מכירתן מכירה ש"מ יש להם תפיסת יד בנכסים ואם נתרבו יש להם חלק בהם וזכותן בהן עומדת</w:t>
      </w:r>
      <w:r w:rsidRPr="00D535F4">
        <w:rPr>
          <w:rFonts w:cs="Arial" w:hint="cs"/>
          <w:sz w:val="16"/>
          <w:szCs w:val="16"/>
          <w:rtl/>
        </w:rPr>
        <w:t>, ב"י)</w:t>
      </w:r>
    </w:p>
    <w:p w14:paraId="71FBF5E1" w14:textId="77777777" w:rsidR="00392DBB" w:rsidRPr="0049752C" w:rsidRDefault="00392DBB" w:rsidP="00392DBB">
      <w:pPr>
        <w:rPr>
          <w:u w:val="single"/>
          <w:rtl/>
        </w:rPr>
      </w:pPr>
      <w:r w:rsidRPr="0001487A">
        <w:rPr>
          <w:rFonts w:hint="cs"/>
          <w:u w:val="single"/>
          <w:rtl/>
        </w:rPr>
        <w:t xml:space="preserve">היו נכסים </w:t>
      </w:r>
      <w:r>
        <w:rPr>
          <w:rFonts w:hint="cs"/>
          <w:u w:val="single"/>
          <w:rtl/>
        </w:rPr>
        <w:t>מועטים</w:t>
      </w:r>
      <w:r w:rsidRPr="0001487A">
        <w:rPr>
          <w:rFonts w:hint="cs"/>
          <w:u w:val="single"/>
          <w:rtl/>
        </w:rPr>
        <w:t xml:space="preserve"> בשעת מיתה </w:t>
      </w:r>
      <w:r>
        <w:rPr>
          <w:rFonts w:hint="cs"/>
          <w:u w:val="single"/>
          <w:rtl/>
        </w:rPr>
        <w:t>ונתרבו</w:t>
      </w:r>
      <w:r w:rsidRPr="0001487A">
        <w:rPr>
          <w:rFonts w:hint="cs"/>
          <w:u w:val="single"/>
          <w:rtl/>
        </w:rPr>
        <w:t>:</w:t>
      </w:r>
    </w:p>
    <w:p w14:paraId="6A14B125" w14:textId="77777777" w:rsidR="00392DBB" w:rsidRDefault="00392DBB" w:rsidP="009000E3">
      <w:pPr>
        <w:pStyle w:val="ab"/>
        <w:numPr>
          <w:ilvl w:val="0"/>
          <w:numId w:val="63"/>
        </w:numPr>
      </w:pPr>
      <w:r>
        <w:rPr>
          <w:rFonts w:cs="Arial" w:hint="cs"/>
          <w:rtl/>
        </w:rPr>
        <w:t>רמב"ם</w:t>
      </w:r>
      <w:r>
        <w:rPr>
          <w:rFonts w:cs="Arial" w:hint="cs"/>
          <w:sz w:val="16"/>
          <w:szCs w:val="16"/>
          <w:rtl/>
        </w:rPr>
        <w:t xml:space="preserve"> (פי"ט הי"ט)</w:t>
      </w:r>
      <w:r>
        <w:rPr>
          <w:rFonts w:cs="Arial" w:hint="cs"/>
          <w:rtl/>
        </w:rPr>
        <w:t xml:space="preserve"> וטור- </w:t>
      </w:r>
      <w:r w:rsidRPr="00B345A5">
        <w:rPr>
          <w:rFonts w:cs="Arial"/>
          <w:rtl/>
        </w:rPr>
        <w:t xml:space="preserve">וכן אם היו מועטים בשעת מיתה ונתרבו </w:t>
      </w:r>
      <w:r>
        <w:rPr>
          <w:rFonts w:cs="Arial" w:hint="cs"/>
          <w:rtl/>
        </w:rPr>
        <w:t xml:space="preserve">- </w:t>
      </w:r>
      <w:r w:rsidRPr="00B345A5">
        <w:rPr>
          <w:rFonts w:cs="Arial"/>
          <w:rtl/>
        </w:rPr>
        <w:t>יש להם דין מרובים</w:t>
      </w:r>
      <w:r>
        <w:rPr>
          <w:rFonts w:cs="Arial" w:hint="cs"/>
          <w:rtl/>
        </w:rPr>
        <w:t>.</w:t>
      </w:r>
      <w:r w:rsidRPr="00B345A5">
        <w:rPr>
          <w:rFonts w:cs="Arial"/>
          <w:rtl/>
        </w:rPr>
        <w:t xml:space="preserve"> </w:t>
      </w:r>
      <w:r w:rsidRPr="00EA5C7B">
        <w:rPr>
          <w:rFonts w:hint="cs"/>
          <w:color w:val="E36C0A" w:themeColor="accent6" w:themeShade="BF"/>
          <w:rtl/>
        </w:rPr>
        <w:t>(וכ"פ בשו"ע)</w:t>
      </w:r>
    </w:p>
    <w:p w14:paraId="36DCD4C0" w14:textId="77777777" w:rsidR="00392DBB" w:rsidRPr="00D535F4" w:rsidRDefault="00392DBB" w:rsidP="00392DBB">
      <w:pPr>
        <w:ind w:left="360"/>
        <w:rPr>
          <w:u w:val="dotted"/>
        </w:rPr>
      </w:pPr>
      <w:r>
        <w:rPr>
          <w:rFonts w:hint="cs"/>
          <w:u w:val="dotted"/>
          <w:rtl/>
        </w:rPr>
        <w:t>האם הדין כן</w:t>
      </w:r>
      <w:r w:rsidRPr="00D535F4">
        <w:rPr>
          <w:rFonts w:hint="cs"/>
          <w:u w:val="dotted"/>
          <w:rtl/>
        </w:rPr>
        <w:t xml:space="preserve"> </w:t>
      </w:r>
      <w:r>
        <w:rPr>
          <w:rFonts w:hint="cs"/>
          <w:u w:val="dotted"/>
          <w:rtl/>
        </w:rPr>
        <w:t xml:space="preserve">אף </w:t>
      </w:r>
      <w:r w:rsidRPr="00D535F4">
        <w:rPr>
          <w:rFonts w:hint="cs"/>
          <w:u w:val="dotted"/>
          <w:rtl/>
        </w:rPr>
        <w:t>אם</w:t>
      </w:r>
      <w:r w:rsidRPr="00D535F4">
        <w:rPr>
          <w:rFonts w:cs="Arial"/>
          <w:u w:val="dotted"/>
          <w:rtl/>
        </w:rPr>
        <w:t xml:space="preserve"> כבר </w:t>
      </w:r>
      <w:r w:rsidRPr="00D535F4">
        <w:rPr>
          <w:rFonts w:cs="Arial" w:hint="cs"/>
          <w:u w:val="dotted"/>
          <w:rtl/>
        </w:rPr>
        <w:t>עמדו בדין ו</w:t>
      </w:r>
      <w:r w:rsidRPr="00D535F4">
        <w:rPr>
          <w:rFonts w:cs="Arial"/>
          <w:u w:val="dotted"/>
          <w:rtl/>
        </w:rPr>
        <w:t xml:space="preserve">פסקו להם </w:t>
      </w:r>
      <w:r w:rsidRPr="00D535F4">
        <w:rPr>
          <w:rFonts w:cs="Arial" w:hint="cs"/>
          <w:u w:val="dotted"/>
          <w:rtl/>
        </w:rPr>
        <w:t xml:space="preserve">בית דין </w:t>
      </w:r>
      <w:r w:rsidRPr="00D535F4">
        <w:rPr>
          <w:rFonts w:cs="Arial"/>
          <w:u w:val="dotted"/>
          <w:rtl/>
        </w:rPr>
        <w:t>נכסים מועטים</w:t>
      </w:r>
      <w:r w:rsidRPr="00D535F4">
        <w:rPr>
          <w:rFonts w:cs="Arial" w:hint="cs"/>
          <w:u w:val="dotted"/>
          <w:rtl/>
        </w:rPr>
        <w:t>:</w:t>
      </w:r>
    </w:p>
    <w:p w14:paraId="50DA8A56" w14:textId="09061A13" w:rsidR="00392DBB" w:rsidRPr="00D535F4" w:rsidRDefault="00392DBB" w:rsidP="009000E3">
      <w:pPr>
        <w:pStyle w:val="ab"/>
        <w:numPr>
          <w:ilvl w:val="0"/>
          <w:numId w:val="63"/>
        </w:numPr>
      </w:pPr>
      <w:r w:rsidRPr="00FF003E">
        <w:rPr>
          <w:rFonts w:cs="Arial"/>
          <w:rtl/>
        </w:rPr>
        <w:t xml:space="preserve">ר"י </w:t>
      </w:r>
      <w:r w:rsidRPr="00D63611">
        <w:rPr>
          <w:rFonts w:cs="Arial"/>
          <w:sz w:val="16"/>
          <w:szCs w:val="16"/>
          <w:rtl/>
        </w:rPr>
        <w:t>(תוס' ב"ב שם ד"ה יתומים</w:t>
      </w:r>
      <w:r>
        <w:rPr>
          <w:rFonts w:cs="Arial" w:hint="cs"/>
          <w:sz w:val="16"/>
          <w:szCs w:val="16"/>
          <w:rtl/>
        </w:rPr>
        <w:t>,</w:t>
      </w:r>
      <w:r w:rsidRPr="002767D6">
        <w:rPr>
          <w:rFonts w:cs="Arial" w:hint="cs"/>
          <w:sz w:val="16"/>
          <w:szCs w:val="16"/>
          <w:rtl/>
        </w:rPr>
        <w:t xml:space="preserve"> כ"כ בשמו הה"מ [</w:t>
      </w:r>
      <w:r>
        <w:rPr>
          <w:rFonts w:cs="Arial" w:hint="cs"/>
          <w:sz w:val="16"/>
          <w:szCs w:val="16"/>
          <w:rtl/>
        </w:rPr>
        <w:t>שם</w:t>
      </w:r>
      <w:r w:rsidRPr="002767D6">
        <w:rPr>
          <w:rFonts w:cs="Arial" w:hint="cs"/>
          <w:sz w:val="16"/>
          <w:szCs w:val="16"/>
          <w:rtl/>
        </w:rPr>
        <w:t>]</w:t>
      </w:r>
      <w:r w:rsidRPr="00D63611">
        <w:rPr>
          <w:rFonts w:cs="Arial"/>
          <w:sz w:val="16"/>
          <w:szCs w:val="16"/>
          <w:rtl/>
        </w:rPr>
        <w:t xml:space="preserve">) </w:t>
      </w:r>
      <w:r w:rsidRPr="00FF003E">
        <w:rPr>
          <w:rFonts w:cs="Arial"/>
          <w:rtl/>
        </w:rPr>
        <w:t xml:space="preserve">רשב"א </w:t>
      </w:r>
      <w:r w:rsidRPr="00D63611">
        <w:rPr>
          <w:rFonts w:cs="Arial"/>
          <w:sz w:val="16"/>
          <w:szCs w:val="16"/>
          <w:rtl/>
        </w:rPr>
        <w:t>(ב"ב שם ד"ה מועטין</w:t>
      </w:r>
      <w:r>
        <w:rPr>
          <w:rFonts w:cs="Arial" w:hint="cs"/>
          <w:sz w:val="16"/>
          <w:szCs w:val="16"/>
          <w:rtl/>
        </w:rPr>
        <w:t>,</w:t>
      </w:r>
      <w:r w:rsidRPr="002767D6">
        <w:rPr>
          <w:rFonts w:cs="Arial" w:hint="cs"/>
          <w:sz w:val="16"/>
          <w:szCs w:val="16"/>
          <w:rtl/>
        </w:rPr>
        <w:t xml:space="preserve"> כ"כ בשמו הה"מ [</w:t>
      </w:r>
      <w:r>
        <w:rPr>
          <w:rFonts w:cs="Arial" w:hint="cs"/>
          <w:sz w:val="16"/>
          <w:szCs w:val="16"/>
          <w:rtl/>
        </w:rPr>
        <w:t>שם</w:t>
      </w:r>
      <w:r w:rsidRPr="002767D6">
        <w:rPr>
          <w:rFonts w:cs="Arial" w:hint="cs"/>
          <w:sz w:val="16"/>
          <w:szCs w:val="16"/>
          <w:rtl/>
        </w:rPr>
        <w:t>]</w:t>
      </w:r>
      <w:r w:rsidRPr="00D63611">
        <w:rPr>
          <w:rFonts w:cs="Arial"/>
          <w:sz w:val="16"/>
          <w:szCs w:val="16"/>
          <w:rtl/>
        </w:rPr>
        <w:t>)</w:t>
      </w:r>
      <w:r w:rsidRPr="00D63611">
        <w:rPr>
          <w:rFonts w:cs="Arial" w:hint="cs"/>
          <w:sz w:val="16"/>
          <w:szCs w:val="16"/>
          <w:rtl/>
        </w:rPr>
        <w:t xml:space="preserve"> </w:t>
      </w:r>
      <w:r>
        <w:rPr>
          <w:rFonts w:cs="Arial" w:hint="cs"/>
          <w:rtl/>
        </w:rPr>
        <w:t>וטור</w:t>
      </w:r>
      <w:r>
        <w:rPr>
          <w:rStyle w:val="a7"/>
          <w:rFonts w:cs="Arial"/>
          <w:rtl/>
        </w:rPr>
        <w:footnoteReference w:id="2616"/>
      </w:r>
      <w:r>
        <w:rPr>
          <w:rFonts w:cs="Arial" w:hint="cs"/>
          <w:rtl/>
        </w:rPr>
        <w:t xml:space="preserve">- </w:t>
      </w:r>
      <w:r w:rsidRPr="00B345A5">
        <w:rPr>
          <w:rFonts w:cs="Arial"/>
          <w:rtl/>
        </w:rPr>
        <w:t>אפילו העמידו כבר בדין ופסקו להם ב"ד נכסים מועטים</w:t>
      </w:r>
      <w:r>
        <w:rPr>
          <w:rFonts w:cs="Arial" w:hint="cs"/>
          <w:rtl/>
        </w:rPr>
        <w:t>,</w:t>
      </w:r>
      <w:r w:rsidRPr="00B345A5">
        <w:rPr>
          <w:rFonts w:cs="Arial"/>
          <w:rtl/>
        </w:rPr>
        <w:t xml:space="preserve"> כיון שנתרבו חזרו לדין מרובים</w:t>
      </w:r>
      <w:r>
        <w:rPr>
          <w:rFonts w:cs="Arial" w:hint="cs"/>
          <w:rtl/>
        </w:rPr>
        <w:t>,</w:t>
      </w:r>
      <w:r w:rsidRPr="00B345A5">
        <w:rPr>
          <w:rFonts w:cs="Arial"/>
          <w:rtl/>
        </w:rPr>
        <w:t xml:space="preserve"> ויעמידום בחזקת הבנים והם יזונו הבנות מדי יום יום</w:t>
      </w:r>
      <w:r>
        <w:rPr>
          <w:rFonts w:cs="Arial" w:hint="cs"/>
          <w:rtl/>
        </w:rPr>
        <w:t>.</w:t>
      </w:r>
      <w:r w:rsidRPr="00B345A5">
        <w:rPr>
          <w:rFonts w:cs="Arial"/>
          <w:rtl/>
        </w:rPr>
        <w:t xml:space="preserve"> ואפי' חזרו אחר כך ונתמעטו יש להם דין נכסים מרובים ונתמעטו</w:t>
      </w:r>
      <w:r>
        <w:rPr>
          <w:rFonts w:cs="Arial" w:hint="cs"/>
          <w:rtl/>
        </w:rPr>
        <w:t>,</w:t>
      </w:r>
      <w:r w:rsidRPr="00B345A5">
        <w:rPr>
          <w:rFonts w:cs="Arial"/>
          <w:rtl/>
        </w:rPr>
        <w:t xml:space="preserve"> ויזונו אלו עם אלו</w:t>
      </w:r>
      <w:r>
        <w:rPr>
          <w:rFonts w:cs="Arial" w:hint="cs"/>
          <w:sz w:val="16"/>
          <w:szCs w:val="16"/>
          <w:rtl/>
        </w:rPr>
        <w:t xml:space="preserve"> (ל' הטור)</w:t>
      </w:r>
      <w:r>
        <w:rPr>
          <w:rFonts w:cs="Arial" w:hint="cs"/>
          <w:rtl/>
        </w:rPr>
        <w:t>.</w:t>
      </w:r>
      <w:r w:rsidRPr="0054316E">
        <w:rPr>
          <w:rFonts w:hint="cs"/>
          <w:color w:val="00B0F0"/>
          <w:rtl/>
        </w:rPr>
        <w:t xml:space="preserve"> </w:t>
      </w:r>
      <w:r w:rsidR="00DA583D" w:rsidRPr="0054316E">
        <w:rPr>
          <w:rFonts w:hint="cs"/>
          <w:color w:val="00B0F0"/>
          <w:rtl/>
        </w:rPr>
        <w:t>(וכ"</w:t>
      </w:r>
      <w:r w:rsidR="00DA583D">
        <w:rPr>
          <w:rFonts w:hint="cs"/>
          <w:color w:val="00B0F0"/>
          <w:rtl/>
        </w:rPr>
        <w:t>כ</w:t>
      </w:r>
      <w:r w:rsidR="00DA583D" w:rsidRPr="0054316E">
        <w:rPr>
          <w:rFonts w:hint="cs"/>
          <w:color w:val="00B0F0"/>
          <w:rtl/>
        </w:rPr>
        <w:t xml:space="preserve"> הרמ"א)</w:t>
      </w:r>
    </w:p>
    <w:p w14:paraId="6AF9F51C" w14:textId="77777777" w:rsidR="00392DBB" w:rsidRDefault="00392DBB" w:rsidP="009000E3">
      <w:pPr>
        <w:pStyle w:val="ab"/>
        <w:numPr>
          <w:ilvl w:val="0"/>
          <w:numId w:val="63"/>
        </w:numPr>
      </w:pPr>
      <w:r w:rsidRPr="00FF003E">
        <w:rPr>
          <w:rFonts w:cs="Arial"/>
          <w:rtl/>
        </w:rPr>
        <w:t xml:space="preserve">רש"י </w:t>
      </w:r>
      <w:r w:rsidRPr="002767D6">
        <w:rPr>
          <w:rFonts w:cs="Arial"/>
          <w:sz w:val="16"/>
          <w:szCs w:val="16"/>
          <w:rtl/>
        </w:rPr>
        <w:t>(כתובות קג. ד"ה וקדמו</w:t>
      </w:r>
      <w:r>
        <w:rPr>
          <w:rFonts w:cs="Arial" w:hint="cs"/>
          <w:sz w:val="16"/>
          <w:szCs w:val="16"/>
          <w:rtl/>
        </w:rPr>
        <w:t>,</w:t>
      </w:r>
      <w:r w:rsidRPr="002767D6">
        <w:rPr>
          <w:rFonts w:cs="Arial" w:hint="cs"/>
          <w:sz w:val="16"/>
          <w:szCs w:val="16"/>
          <w:rtl/>
        </w:rPr>
        <w:t xml:space="preserve"> כ"כ בשמו הה"מ [</w:t>
      </w:r>
      <w:r>
        <w:rPr>
          <w:rFonts w:cs="Arial" w:hint="cs"/>
          <w:sz w:val="16"/>
          <w:szCs w:val="16"/>
          <w:rtl/>
        </w:rPr>
        <w:t>שם</w:t>
      </w:r>
      <w:r w:rsidRPr="002767D6">
        <w:rPr>
          <w:rFonts w:cs="Arial" w:hint="cs"/>
          <w:sz w:val="16"/>
          <w:szCs w:val="16"/>
          <w:rtl/>
        </w:rPr>
        <w:t>]</w:t>
      </w:r>
      <w:r w:rsidRPr="002767D6">
        <w:rPr>
          <w:rFonts w:cs="Arial"/>
          <w:sz w:val="16"/>
          <w:szCs w:val="16"/>
          <w:rtl/>
        </w:rPr>
        <w:t xml:space="preserve">) </w:t>
      </w:r>
      <w:r w:rsidRPr="00FF003E">
        <w:rPr>
          <w:rFonts w:cs="Arial"/>
          <w:rtl/>
        </w:rPr>
        <w:t xml:space="preserve">ורמב"ן </w:t>
      </w:r>
      <w:r w:rsidRPr="002767D6">
        <w:rPr>
          <w:rFonts w:cs="Arial"/>
          <w:sz w:val="16"/>
          <w:szCs w:val="16"/>
          <w:rtl/>
        </w:rPr>
        <w:t>(ב"ב שם ד"ה פי'</w:t>
      </w:r>
      <w:r w:rsidRPr="002767D6">
        <w:rPr>
          <w:rFonts w:cs="Arial" w:hint="cs"/>
          <w:sz w:val="16"/>
          <w:szCs w:val="16"/>
          <w:rtl/>
        </w:rPr>
        <w:t>, כ"כ בשמו הה"מ [שם])</w:t>
      </w:r>
      <w:r>
        <w:rPr>
          <w:rFonts w:cs="Arial" w:hint="cs"/>
          <w:rtl/>
        </w:rPr>
        <w:t>-</w:t>
      </w:r>
      <w:r w:rsidRPr="00FF003E">
        <w:rPr>
          <w:rFonts w:cs="Arial"/>
          <w:rtl/>
        </w:rPr>
        <w:t xml:space="preserve"> מועטים ונתרבו דוקא קודם שיבואו לבית דין אבל אחר שבאו וזיכו בהם ב"ד את הבנות אין לאחר מעשה ב"ד כלום</w:t>
      </w:r>
      <w:r>
        <w:rPr>
          <w:rFonts w:cs="Arial" w:hint="cs"/>
          <w:sz w:val="16"/>
          <w:szCs w:val="16"/>
          <w:rtl/>
        </w:rPr>
        <w:t xml:space="preserve"> (ל' הה"מ בשמם)</w:t>
      </w:r>
      <w:r>
        <w:rPr>
          <w:rFonts w:cs="Arial" w:hint="cs"/>
          <w:rtl/>
        </w:rPr>
        <w:t>.</w:t>
      </w:r>
      <w:r w:rsidRPr="00FF003E">
        <w:rPr>
          <w:rFonts w:cs="Arial"/>
          <w:rtl/>
        </w:rPr>
        <w:t xml:space="preserve"> </w:t>
      </w:r>
    </w:p>
    <w:p w14:paraId="123D1448" w14:textId="77777777" w:rsidR="00392DBB" w:rsidRDefault="00392DBB" w:rsidP="00392DBB">
      <w:pPr>
        <w:rPr>
          <w:rFonts w:cs="Arial"/>
          <w:u w:val="single"/>
          <w:rtl/>
        </w:rPr>
      </w:pPr>
      <w:r w:rsidRPr="00D134DC">
        <w:rPr>
          <w:rFonts w:hint="cs"/>
          <w:b/>
          <w:bCs/>
          <w:rtl/>
        </w:rPr>
        <w:t xml:space="preserve">בבא בתרא </w:t>
      </w:r>
      <w:r w:rsidRPr="00D134DC">
        <w:rPr>
          <w:rFonts w:hint="cs"/>
          <w:b/>
          <w:bCs/>
          <w:sz w:val="16"/>
          <w:szCs w:val="16"/>
          <w:rtl/>
        </w:rPr>
        <w:t xml:space="preserve">(ר"פ מי שמת) </w:t>
      </w:r>
      <w:r w:rsidRPr="00D134DC">
        <w:rPr>
          <w:rFonts w:hint="cs"/>
          <w:b/>
          <w:bCs/>
          <w:rtl/>
        </w:rPr>
        <w:t>ק</w:t>
      </w:r>
      <w:r>
        <w:rPr>
          <w:rFonts w:hint="cs"/>
          <w:b/>
          <w:bCs/>
          <w:rtl/>
        </w:rPr>
        <w:t>מ</w:t>
      </w:r>
      <w:r w:rsidRPr="00D134DC">
        <w:rPr>
          <w:rFonts w:hint="cs"/>
          <w:b/>
          <w:bCs/>
          <w:rtl/>
        </w:rPr>
        <w:t xml:space="preserve"> ע"</w:t>
      </w:r>
      <w:r>
        <w:rPr>
          <w:rFonts w:hint="cs"/>
          <w:b/>
          <w:bCs/>
          <w:rtl/>
        </w:rPr>
        <w:t>א</w:t>
      </w:r>
      <w:r w:rsidRPr="00D134DC">
        <w:rPr>
          <w:rFonts w:hint="cs"/>
          <w:b/>
          <w:bCs/>
          <w:rtl/>
        </w:rPr>
        <w:t>:</w:t>
      </w:r>
      <w:r>
        <w:rPr>
          <w:rFonts w:cs="Arial" w:hint="cs"/>
          <w:rtl/>
        </w:rPr>
        <w:t xml:space="preserve"> </w:t>
      </w:r>
      <w:r w:rsidRPr="00E66C1A">
        <w:rPr>
          <w:rFonts w:cs="Arial"/>
          <w:u w:val="single"/>
          <w:rtl/>
        </w:rPr>
        <w:t>דאמר רבי אסי אמר רבי יוחנן</w:t>
      </w:r>
      <w:r w:rsidRPr="00E66C1A">
        <w:rPr>
          <w:rFonts w:cs="Arial"/>
          <w:rtl/>
        </w:rPr>
        <w:t>: יתומין שקדמו ומכרו בנכסים מועטין - מה שמכרו מכרו.</w:t>
      </w:r>
      <w:r>
        <w:rPr>
          <w:rFonts w:cs="Arial" w:hint="cs"/>
          <w:rtl/>
        </w:rPr>
        <w:t xml:space="preserve"> </w:t>
      </w:r>
    </w:p>
    <w:p w14:paraId="4C3FD137" w14:textId="507770BA" w:rsidR="00392DBB" w:rsidRDefault="00392DBB" w:rsidP="00392DBB">
      <w:pPr>
        <w:rPr>
          <w:rtl/>
        </w:rPr>
      </w:pPr>
      <w:r w:rsidRPr="00D63611">
        <w:rPr>
          <w:rFonts w:cs="Arial"/>
          <w:u w:val="single"/>
          <w:rtl/>
        </w:rPr>
        <w:t xml:space="preserve">היו הנכסים מועטים </w:t>
      </w:r>
      <w:r w:rsidR="007D5138">
        <w:rPr>
          <w:rFonts w:cs="Arial" w:hint="cs"/>
          <w:sz w:val="16"/>
          <w:szCs w:val="16"/>
          <w:u w:val="single"/>
          <w:rtl/>
        </w:rPr>
        <w:t xml:space="preserve">(ולא נתרבו כדלעיל) </w:t>
      </w:r>
      <w:r w:rsidRPr="00D63611">
        <w:rPr>
          <w:rFonts w:cs="Arial"/>
          <w:u w:val="single"/>
          <w:rtl/>
        </w:rPr>
        <w:t>וקדמו הבנים ומכרום</w:t>
      </w:r>
      <w:r w:rsidRPr="00D63611">
        <w:rPr>
          <w:rFonts w:cs="Arial" w:hint="cs"/>
          <w:u w:val="single"/>
          <w:rtl/>
        </w:rPr>
        <w:t>:</w:t>
      </w:r>
    </w:p>
    <w:p w14:paraId="474A1AA0" w14:textId="77777777" w:rsidR="00392DBB" w:rsidRPr="00A72EB6" w:rsidRDefault="00392DBB" w:rsidP="009000E3">
      <w:pPr>
        <w:pStyle w:val="ab"/>
        <w:numPr>
          <w:ilvl w:val="0"/>
          <w:numId w:val="63"/>
        </w:numPr>
      </w:pPr>
      <w:r>
        <w:rPr>
          <w:rFonts w:cs="Arial" w:hint="cs"/>
          <w:rtl/>
        </w:rPr>
        <w:t>רמב"ם</w:t>
      </w:r>
      <w:r>
        <w:rPr>
          <w:rFonts w:cs="Arial" w:hint="cs"/>
          <w:sz w:val="16"/>
          <w:szCs w:val="16"/>
          <w:rtl/>
        </w:rPr>
        <w:t xml:space="preserve"> (פי"ט הי"ט)</w:t>
      </w:r>
      <w:r>
        <w:rPr>
          <w:rFonts w:cs="Arial" w:hint="cs"/>
          <w:rtl/>
        </w:rPr>
        <w:t xml:space="preserve"> וטור- </w:t>
      </w:r>
      <w:r w:rsidRPr="00B345A5">
        <w:rPr>
          <w:rFonts w:cs="Arial"/>
          <w:rtl/>
        </w:rPr>
        <w:t xml:space="preserve">היו הנכסים מועטים וקדמו הבנים ומכרום </w:t>
      </w:r>
      <w:r>
        <w:rPr>
          <w:rFonts w:cs="Arial" w:hint="cs"/>
          <w:rtl/>
        </w:rPr>
        <w:t xml:space="preserve">- </w:t>
      </w:r>
      <w:r w:rsidRPr="00B345A5">
        <w:rPr>
          <w:rFonts w:cs="Arial"/>
          <w:rtl/>
        </w:rPr>
        <w:t>מכרן מכר</w:t>
      </w:r>
      <w:r>
        <w:rPr>
          <w:rFonts w:cs="Arial" w:hint="cs"/>
          <w:rtl/>
        </w:rPr>
        <w:t>,</w:t>
      </w:r>
      <w:r w:rsidRPr="00B345A5">
        <w:rPr>
          <w:rFonts w:cs="Arial"/>
          <w:rtl/>
        </w:rPr>
        <w:t xml:space="preserve"> ונדחו הבנות</w:t>
      </w:r>
      <w:r>
        <w:rPr>
          <w:rFonts w:cs="Arial" w:hint="cs"/>
          <w:sz w:val="16"/>
          <w:szCs w:val="16"/>
          <w:rtl/>
        </w:rPr>
        <w:t xml:space="preserve"> (ל' הטור)</w:t>
      </w:r>
      <w:r>
        <w:rPr>
          <w:rFonts w:cs="Arial" w:hint="cs"/>
          <w:rtl/>
        </w:rPr>
        <w:t>.</w:t>
      </w:r>
      <w:r w:rsidRPr="00B345A5">
        <w:rPr>
          <w:rFonts w:cs="Arial"/>
          <w:rtl/>
        </w:rPr>
        <w:t xml:space="preserve"> </w:t>
      </w:r>
      <w:r w:rsidRPr="00EA5C7B">
        <w:rPr>
          <w:rFonts w:hint="cs"/>
          <w:color w:val="E36C0A" w:themeColor="accent6" w:themeShade="BF"/>
          <w:rtl/>
        </w:rPr>
        <w:t>(וכ"פ בשו"ע)</w:t>
      </w:r>
    </w:p>
    <w:p w14:paraId="00EC3855" w14:textId="6802DF96" w:rsidR="00392DBB" w:rsidRPr="00D338D7" w:rsidRDefault="00392DBB" w:rsidP="00392DBB">
      <w:pPr>
        <w:ind w:left="360"/>
        <w:rPr>
          <w:u w:val="dotted"/>
        </w:rPr>
      </w:pPr>
      <w:r w:rsidRPr="00D338D7">
        <w:rPr>
          <w:rFonts w:hint="cs"/>
          <w:u w:val="dotted"/>
          <w:rtl/>
        </w:rPr>
        <w:t xml:space="preserve">האם </w:t>
      </w:r>
      <w:r>
        <w:rPr>
          <w:rFonts w:hint="cs"/>
          <w:u w:val="dotted"/>
          <w:rtl/>
        </w:rPr>
        <w:t xml:space="preserve">הדין כן אף </w:t>
      </w:r>
      <w:r w:rsidRPr="00D338D7">
        <w:rPr>
          <w:rFonts w:hint="cs"/>
          <w:u w:val="dotted"/>
          <w:rtl/>
        </w:rPr>
        <w:t xml:space="preserve">שמכרו האחים </w:t>
      </w:r>
      <w:r>
        <w:rPr>
          <w:rFonts w:hint="cs"/>
          <w:u w:val="dotted"/>
          <w:rtl/>
        </w:rPr>
        <w:t>לאחר</w:t>
      </w:r>
      <w:r w:rsidRPr="00D338D7">
        <w:rPr>
          <w:rFonts w:hint="cs"/>
          <w:u w:val="dotted"/>
          <w:rtl/>
        </w:rPr>
        <w:t xml:space="preserve"> שב"ד החזיק הבנות בנכסים</w:t>
      </w:r>
      <w:r w:rsidR="007D5138">
        <w:rPr>
          <w:rFonts w:hint="cs"/>
          <w:u w:val="dotted"/>
          <w:rtl/>
        </w:rPr>
        <w:t xml:space="preserve"> המועטים</w:t>
      </w:r>
      <w:r w:rsidRPr="00D338D7">
        <w:rPr>
          <w:rFonts w:hint="cs"/>
          <w:u w:val="dotted"/>
          <w:rtl/>
        </w:rPr>
        <w:t xml:space="preserve">: </w:t>
      </w:r>
    </w:p>
    <w:p w14:paraId="0139BDF2" w14:textId="37FD0F97" w:rsidR="00392DBB" w:rsidRPr="00D338D7" w:rsidRDefault="00392DBB" w:rsidP="009000E3">
      <w:pPr>
        <w:pStyle w:val="ab"/>
        <w:numPr>
          <w:ilvl w:val="0"/>
          <w:numId w:val="63"/>
        </w:numPr>
      </w:pPr>
      <w:r w:rsidRPr="00B345A5">
        <w:rPr>
          <w:rFonts w:cs="Arial"/>
          <w:rtl/>
        </w:rPr>
        <w:t>רש"י</w:t>
      </w:r>
      <w:r>
        <w:rPr>
          <w:rFonts w:cs="Arial" w:hint="cs"/>
          <w:rtl/>
        </w:rPr>
        <w:t xml:space="preserve"> </w:t>
      </w:r>
      <w:r>
        <w:rPr>
          <w:rFonts w:cs="Arial" w:hint="cs"/>
          <w:sz w:val="16"/>
          <w:szCs w:val="16"/>
          <w:rtl/>
        </w:rPr>
        <w:t>(כתובות קג. ד"ה וקדמו)</w:t>
      </w:r>
      <w:r>
        <w:rPr>
          <w:rFonts w:cs="Arial" w:hint="cs"/>
          <w:rtl/>
        </w:rPr>
        <w:t xml:space="preserve"> רשב"ם </w:t>
      </w:r>
      <w:r>
        <w:rPr>
          <w:rFonts w:cs="Arial" w:hint="cs"/>
          <w:sz w:val="16"/>
          <w:szCs w:val="16"/>
          <w:rtl/>
        </w:rPr>
        <w:t>(קמ. ד"ה יתומים שקדמו)</w:t>
      </w:r>
      <w:r>
        <w:rPr>
          <w:rFonts w:cs="Arial" w:hint="cs"/>
          <w:rtl/>
        </w:rPr>
        <w:t xml:space="preserve"> </w:t>
      </w:r>
      <w:r>
        <w:rPr>
          <w:rFonts w:cs="Arial"/>
          <w:rtl/>
        </w:rPr>
        <w:t xml:space="preserve">רמב"ן </w:t>
      </w:r>
      <w:r w:rsidRPr="00F223B8">
        <w:rPr>
          <w:rFonts w:cs="Arial"/>
          <w:sz w:val="16"/>
          <w:szCs w:val="16"/>
          <w:rtl/>
        </w:rPr>
        <w:t>(</w:t>
      </w:r>
      <w:r>
        <w:rPr>
          <w:rFonts w:cs="Arial" w:hint="cs"/>
          <w:sz w:val="16"/>
          <w:szCs w:val="16"/>
          <w:rtl/>
        </w:rPr>
        <w:t>ב"ב קמ.</w:t>
      </w:r>
      <w:r w:rsidRPr="00F223B8">
        <w:rPr>
          <w:rFonts w:cs="Arial"/>
          <w:sz w:val="16"/>
          <w:szCs w:val="16"/>
          <w:rtl/>
        </w:rPr>
        <w:t xml:space="preserve"> ד"ה פי')</w:t>
      </w:r>
      <w:r w:rsidRPr="00F223B8">
        <w:rPr>
          <w:rFonts w:cs="Arial" w:hint="cs"/>
          <w:sz w:val="16"/>
          <w:szCs w:val="16"/>
          <w:rtl/>
        </w:rPr>
        <w:t xml:space="preserve"> </w:t>
      </w:r>
      <w:r>
        <w:rPr>
          <w:rFonts w:cs="Arial" w:hint="cs"/>
          <w:rtl/>
        </w:rPr>
        <w:t>ורא"ש</w:t>
      </w:r>
      <w:r>
        <w:rPr>
          <w:rFonts w:cs="Arial" w:hint="cs"/>
          <w:sz w:val="16"/>
          <w:szCs w:val="16"/>
          <w:rtl/>
        </w:rPr>
        <w:t xml:space="preserve"> (ב"ב פ"ט סי' ב)</w:t>
      </w:r>
      <w:r>
        <w:rPr>
          <w:rFonts w:cs="Arial" w:hint="cs"/>
          <w:rtl/>
        </w:rPr>
        <w:t>-</w:t>
      </w:r>
      <w:r w:rsidRPr="00B345A5">
        <w:rPr>
          <w:rFonts w:cs="Arial"/>
          <w:rtl/>
        </w:rPr>
        <w:t xml:space="preserve"> דוקא שמכרום קודם שהחזיק ב"ד הבנות בנכסים</w:t>
      </w:r>
      <w:r>
        <w:rPr>
          <w:rFonts w:cs="Arial" w:hint="cs"/>
          <w:rtl/>
        </w:rPr>
        <w:t>,</w:t>
      </w:r>
      <w:r w:rsidRPr="00B345A5">
        <w:rPr>
          <w:rFonts w:cs="Arial"/>
          <w:rtl/>
        </w:rPr>
        <w:t xml:space="preserve"> אבל מכרום אח"כ </w:t>
      </w:r>
      <w:r>
        <w:rPr>
          <w:rFonts w:cs="Arial" w:hint="cs"/>
          <w:rtl/>
        </w:rPr>
        <w:t xml:space="preserve">- </w:t>
      </w:r>
      <w:r w:rsidRPr="00B345A5">
        <w:rPr>
          <w:rFonts w:cs="Arial"/>
          <w:rtl/>
        </w:rPr>
        <w:t>אינו מכור</w:t>
      </w:r>
      <w:r>
        <w:rPr>
          <w:rFonts w:cs="Arial" w:hint="cs"/>
          <w:sz w:val="16"/>
          <w:szCs w:val="16"/>
          <w:rtl/>
        </w:rPr>
        <w:t xml:space="preserve"> (ל' הטור בשם רש"י)</w:t>
      </w:r>
      <w:r>
        <w:rPr>
          <w:rFonts w:cs="Arial" w:hint="cs"/>
          <w:rtl/>
        </w:rPr>
        <w:t>.</w:t>
      </w:r>
      <w:r w:rsidRPr="00B345A5">
        <w:rPr>
          <w:rFonts w:cs="Arial"/>
          <w:rtl/>
        </w:rPr>
        <w:t xml:space="preserve"> </w:t>
      </w:r>
      <w:r w:rsidR="00181F6C" w:rsidRPr="0054316E">
        <w:rPr>
          <w:rFonts w:hint="cs"/>
          <w:color w:val="00B0F0"/>
          <w:rtl/>
        </w:rPr>
        <w:t>(וכ"</w:t>
      </w:r>
      <w:r w:rsidR="00181F6C">
        <w:rPr>
          <w:rFonts w:hint="cs"/>
          <w:color w:val="00B0F0"/>
          <w:rtl/>
        </w:rPr>
        <w:t>כ</w:t>
      </w:r>
      <w:r w:rsidR="00181F6C" w:rsidRPr="0054316E">
        <w:rPr>
          <w:rFonts w:hint="cs"/>
          <w:color w:val="00B0F0"/>
          <w:rtl/>
        </w:rPr>
        <w:t xml:space="preserve"> הרמ"א)</w:t>
      </w:r>
    </w:p>
    <w:p w14:paraId="1F388EB6" w14:textId="77777777" w:rsidR="00392DBB" w:rsidRDefault="00392DBB" w:rsidP="009000E3">
      <w:pPr>
        <w:pStyle w:val="ab"/>
        <w:numPr>
          <w:ilvl w:val="0"/>
          <w:numId w:val="63"/>
        </w:numPr>
      </w:pPr>
      <w:r>
        <w:rPr>
          <w:rFonts w:cs="Arial" w:hint="cs"/>
          <w:rtl/>
        </w:rPr>
        <w:t xml:space="preserve">תוס' </w:t>
      </w:r>
      <w:r>
        <w:rPr>
          <w:rFonts w:cs="Arial" w:hint="cs"/>
          <w:sz w:val="16"/>
          <w:szCs w:val="16"/>
          <w:rtl/>
        </w:rPr>
        <w:t>(קמ. ד"ה יתומים)</w:t>
      </w:r>
      <w:r>
        <w:rPr>
          <w:rFonts w:cs="Arial" w:hint="cs"/>
          <w:rtl/>
        </w:rPr>
        <w:t xml:space="preserve"> </w:t>
      </w:r>
      <w:r>
        <w:rPr>
          <w:rFonts w:cs="Arial"/>
          <w:rtl/>
        </w:rPr>
        <w:t xml:space="preserve">רשב"א </w:t>
      </w:r>
      <w:r w:rsidRPr="00F223B8">
        <w:rPr>
          <w:rFonts w:cs="Arial"/>
          <w:sz w:val="16"/>
          <w:szCs w:val="16"/>
          <w:rtl/>
        </w:rPr>
        <w:t>(שם ד"ה מועטין</w:t>
      </w:r>
      <w:r>
        <w:rPr>
          <w:rFonts w:cs="Arial" w:hint="cs"/>
          <w:sz w:val="16"/>
          <w:szCs w:val="16"/>
          <w:rtl/>
        </w:rPr>
        <w:t>, כ"כ בשמו הה"מ [פי"ט הי"ט]</w:t>
      </w:r>
      <w:r w:rsidRPr="00F223B8">
        <w:rPr>
          <w:rFonts w:cs="Arial"/>
          <w:sz w:val="16"/>
          <w:szCs w:val="16"/>
          <w:rtl/>
        </w:rPr>
        <w:t>)</w:t>
      </w:r>
      <w:r>
        <w:rPr>
          <w:rFonts w:cs="Arial" w:hint="cs"/>
          <w:rtl/>
        </w:rPr>
        <w:t xml:space="preserve"> ומרדכי </w:t>
      </w:r>
      <w:r>
        <w:rPr>
          <w:rFonts w:cs="Arial" w:hint="cs"/>
          <w:sz w:val="16"/>
          <w:szCs w:val="16"/>
          <w:rtl/>
        </w:rPr>
        <w:t>(ב"ב סי' תרא)</w:t>
      </w:r>
      <w:r>
        <w:rPr>
          <w:rFonts w:cs="Arial" w:hint="cs"/>
          <w:rtl/>
        </w:rPr>
        <w:t xml:space="preserve">- </w:t>
      </w:r>
      <w:r w:rsidRPr="00B345A5">
        <w:rPr>
          <w:rFonts w:cs="Arial"/>
          <w:rtl/>
        </w:rPr>
        <w:t>אפי' אם מכרום אחר שהחזיקו ב"ד בנכסים</w:t>
      </w:r>
      <w:r>
        <w:rPr>
          <w:rFonts w:cs="Arial" w:hint="cs"/>
          <w:rtl/>
        </w:rPr>
        <w:t xml:space="preserve"> - </w:t>
      </w:r>
      <w:r w:rsidRPr="00B345A5">
        <w:rPr>
          <w:rFonts w:cs="Arial"/>
          <w:rtl/>
        </w:rPr>
        <w:t>מכרם מכר</w:t>
      </w:r>
      <w:r>
        <w:rPr>
          <w:rFonts w:cs="Arial" w:hint="cs"/>
          <w:sz w:val="16"/>
          <w:szCs w:val="16"/>
          <w:rtl/>
        </w:rPr>
        <w:t xml:space="preserve"> (ל' הטור בשם י"א)</w:t>
      </w:r>
      <w:r>
        <w:rPr>
          <w:rFonts w:cs="Arial" w:hint="cs"/>
          <w:rtl/>
        </w:rPr>
        <w:t>.</w:t>
      </w:r>
      <w:r w:rsidRPr="00B345A5">
        <w:rPr>
          <w:rFonts w:cs="Arial"/>
          <w:rtl/>
        </w:rPr>
        <w:t xml:space="preserve"> </w:t>
      </w:r>
    </w:p>
    <w:p w14:paraId="57C79805" w14:textId="321C3F1F" w:rsidR="00392DBB" w:rsidRPr="00D338D7" w:rsidRDefault="00392DBB" w:rsidP="00392DBB">
      <w:pPr>
        <w:ind w:left="360"/>
        <w:rPr>
          <w:u w:val="dotted"/>
        </w:rPr>
      </w:pPr>
      <w:r w:rsidRPr="00D338D7">
        <w:rPr>
          <w:rFonts w:hint="cs"/>
          <w:u w:val="dotted"/>
          <w:rtl/>
        </w:rPr>
        <w:t xml:space="preserve">האידנא שהבנות ניזונות ממטלטלין </w:t>
      </w:r>
      <w:r w:rsidR="00F97626">
        <w:rPr>
          <w:u w:val="dotted"/>
          <w:rtl/>
        </w:rPr>
        <w:t>-</w:t>
      </w:r>
      <w:r w:rsidRPr="00D338D7">
        <w:rPr>
          <w:rFonts w:hint="cs"/>
          <w:u w:val="dotted"/>
          <w:rtl/>
        </w:rPr>
        <w:t xml:space="preserve"> האם הן ניזונות מהמעות שקיבלו האחים מהמכר:</w:t>
      </w:r>
    </w:p>
    <w:p w14:paraId="1F1FD657" w14:textId="13B08AD1" w:rsidR="00392DBB" w:rsidRPr="00D338D7" w:rsidRDefault="00392DBB" w:rsidP="009000E3">
      <w:pPr>
        <w:pStyle w:val="ab"/>
        <w:numPr>
          <w:ilvl w:val="0"/>
          <w:numId w:val="63"/>
        </w:numPr>
      </w:pPr>
      <w:r w:rsidRPr="00B345A5">
        <w:rPr>
          <w:rFonts w:cs="Arial"/>
          <w:rtl/>
        </w:rPr>
        <w:t>רב האי</w:t>
      </w:r>
      <w:r>
        <w:rPr>
          <w:rFonts w:cs="Arial" w:hint="cs"/>
          <w:sz w:val="16"/>
          <w:szCs w:val="16"/>
          <w:rtl/>
        </w:rPr>
        <w:t xml:space="preserve"> (כ"כ הרא"ש והטור בשמו)</w:t>
      </w:r>
      <w:r>
        <w:rPr>
          <w:rFonts w:cs="Arial" w:hint="cs"/>
          <w:rtl/>
        </w:rPr>
        <w:t>-</w:t>
      </w:r>
      <w:r w:rsidRPr="00B345A5">
        <w:rPr>
          <w:rFonts w:cs="Arial"/>
          <w:rtl/>
        </w:rPr>
        <w:t xml:space="preserve"> כיון דהאידנא תקנו הגאונים שיזונו ממטלטלין </w:t>
      </w:r>
      <w:r w:rsidR="00375427">
        <w:rPr>
          <w:rFonts w:cs="Arial" w:hint="cs"/>
          <w:rtl/>
        </w:rPr>
        <w:t xml:space="preserve">- </w:t>
      </w:r>
      <w:r w:rsidRPr="00B345A5">
        <w:rPr>
          <w:rFonts w:cs="Arial"/>
          <w:rtl/>
        </w:rPr>
        <w:t>ניזונו</w:t>
      </w:r>
      <w:r w:rsidR="00375427">
        <w:rPr>
          <w:rFonts w:cs="Arial" w:hint="cs"/>
          <w:rtl/>
        </w:rPr>
        <w:t>ת</w:t>
      </w:r>
      <w:r w:rsidRPr="00B345A5">
        <w:rPr>
          <w:rFonts w:cs="Arial"/>
          <w:rtl/>
        </w:rPr>
        <w:t xml:space="preserve"> מהדמים שקבלו מהם</w:t>
      </w:r>
      <w:r>
        <w:rPr>
          <w:rFonts w:cs="Arial" w:hint="cs"/>
          <w:rtl/>
        </w:rPr>
        <w:t>.</w:t>
      </w:r>
      <w:r w:rsidRPr="00B345A5">
        <w:rPr>
          <w:rFonts w:cs="Arial"/>
          <w:rtl/>
        </w:rPr>
        <w:t xml:space="preserve"> </w:t>
      </w:r>
    </w:p>
    <w:p w14:paraId="236E9396" w14:textId="76CA4046" w:rsidR="00392DBB" w:rsidRPr="00A72EB6" w:rsidRDefault="00392DBB" w:rsidP="009000E3">
      <w:pPr>
        <w:pStyle w:val="ab"/>
        <w:numPr>
          <w:ilvl w:val="0"/>
          <w:numId w:val="63"/>
        </w:numPr>
      </w:pPr>
      <w:r w:rsidRPr="00B345A5">
        <w:rPr>
          <w:rFonts w:cs="Arial"/>
          <w:rtl/>
        </w:rPr>
        <w:t>רא"ש</w:t>
      </w:r>
      <w:r>
        <w:rPr>
          <w:rFonts w:cs="Arial" w:hint="cs"/>
          <w:rtl/>
        </w:rPr>
        <w:t xml:space="preserve"> </w:t>
      </w:r>
      <w:r>
        <w:rPr>
          <w:rFonts w:cs="Arial" w:hint="cs"/>
          <w:sz w:val="16"/>
          <w:szCs w:val="16"/>
          <w:rtl/>
        </w:rPr>
        <w:t>(ב"ב פ"ט סי' ב)</w:t>
      </w:r>
      <w:r>
        <w:rPr>
          <w:rFonts w:cs="Arial" w:hint="cs"/>
          <w:rtl/>
        </w:rPr>
        <w:t xml:space="preserve"> ונמוק"י </w:t>
      </w:r>
      <w:r>
        <w:rPr>
          <w:rFonts w:cs="Arial" w:hint="cs"/>
          <w:sz w:val="16"/>
          <w:szCs w:val="16"/>
          <w:rtl/>
        </w:rPr>
        <w:t>(פ' מי שמת שם, הביאו הדרכ"מ [אות ו])</w:t>
      </w:r>
      <w:r>
        <w:rPr>
          <w:rFonts w:cs="Arial" w:hint="cs"/>
          <w:rtl/>
        </w:rPr>
        <w:t>-</w:t>
      </w:r>
      <w:r w:rsidRPr="00B345A5">
        <w:rPr>
          <w:rFonts w:cs="Arial"/>
          <w:rtl/>
        </w:rPr>
        <w:t xml:space="preserve"> </w:t>
      </w:r>
      <w:r>
        <w:rPr>
          <w:rFonts w:cs="Arial" w:hint="cs"/>
          <w:rtl/>
        </w:rPr>
        <w:t xml:space="preserve">אינן ניזונות מהמעות, </w:t>
      </w:r>
      <w:r w:rsidRPr="00B345A5">
        <w:rPr>
          <w:rFonts w:cs="Arial"/>
          <w:rtl/>
        </w:rPr>
        <w:t>שהרי אין שיעבודן אלא על נכסי אביהן</w:t>
      </w:r>
      <w:r w:rsidR="00375427">
        <w:rPr>
          <w:rFonts w:cs="Arial" w:hint="cs"/>
          <w:rtl/>
        </w:rPr>
        <w:t>,</w:t>
      </w:r>
      <w:r w:rsidRPr="00B345A5">
        <w:rPr>
          <w:rFonts w:cs="Arial"/>
          <w:rtl/>
        </w:rPr>
        <w:t xml:space="preserve"> וכיון שמכרום ואינם יכולין לטרוף מהלקוחות גם במעות אין להם כלום והם של הבנים</w:t>
      </w:r>
      <w:r>
        <w:rPr>
          <w:rFonts w:cs="Arial" w:hint="cs"/>
          <w:rtl/>
        </w:rPr>
        <w:t xml:space="preserve"> </w:t>
      </w:r>
      <w:r w:rsidRPr="00D338D7">
        <w:rPr>
          <w:rFonts w:hint="cs"/>
          <w:sz w:val="16"/>
          <w:szCs w:val="16"/>
          <w:rtl/>
        </w:rPr>
        <w:t>(ל' הטור בש</w:t>
      </w:r>
      <w:r>
        <w:rPr>
          <w:rFonts w:hint="cs"/>
          <w:sz w:val="16"/>
          <w:szCs w:val="16"/>
          <w:rtl/>
        </w:rPr>
        <w:t>ם הרא"ש</w:t>
      </w:r>
      <w:r w:rsidRPr="00D338D7">
        <w:rPr>
          <w:rFonts w:hint="cs"/>
          <w:sz w:val="16"/>
          <w:szCs w:val="16"/>
          <w:rtl/>
        </w:rPr>
        <w:t>)</w:t>
      </w:r>
      <w:r>
        <w:rPr>
          <w:rFonts w:cs="Arial" w:hint="cs"/>
          <w:rtl/>
        </w:rPr>
        <w:t xml:space="preserve">. </w:t>
      </w:r>
      <w:r w:rsidRPr="00A56D15">
        <w:rPr>
          <w:rFonts w:cs="Arial" w:hint="cs"/>
          <w:color w:val="E36C0A" w:themeColor="accent6" w:themeShade="BF"/>
          <w:rtl/>
        </w:rPr>
        <w:t>(וכ"פ בשו"ע</w:t>
      </w:r>
      <w:r w:rsidRPr="009356F2">
        <w:rPr>
          <w:rStyle w:val="a7"/>
          <w:rFonts w:cs="Arial"/>
          <w:rtl/>
        </w:rPr>
        <w:footnoteReference w:id="2617"/>
      </w:r>
      <w:r>
        <w:rPr>
          <w:rFonts w:cs="Arial" w:hint="cs"/>
          <w:sz w:val="16"/>
          <w:szCs w:val="16"/>
          <w:rtl/>
        </w:rPr>
        <w:t xml:space="preserve"> [חו"מ סי' קז ס"ד]</w:t>
      </w:r>
      <w:r w:rsidRPr="00A56D15">
        <w:rPr>
          <w:rFonts w:cs="Arial" w:hint="cs"/>
          <w:color w:val="E36C0A" w:themeColor="accent6" w:themeShade="BF"/>
          <w:rtl/>
        </w:rPr>
        <w:t>)</w:t>
      </w:r>
      <w:r w:rsidRPr="00B345A5">
        <w:rPr>
          <w:rFonts w:cs="Arial"/>
          <w:rtl/>
        </w:rPr>
        <w:t xml:space="preserve"> </w:t>
      </w:r>
      <w:r w:rsidRPr="0054316E">
        <w:rPr>
          <w:rFonts w:hint="cs"/>
          <w:color w:val="00B0F0"/>
          <w:rtl/>
        </w:rPr>
        <w:t>(וכ"</w:t>
      </w:r>
      <w:r>
        <w:rPr>
          <w:rFonts w:hint="cs"/>
          <w:color w:val="00B0F0"/>
          <w:rtl/>
        </w:rPr>
        <w:t>פ</w:t>
      </w:r>
      <w:r w:rsidRPr="0054316E">
        <w:rPr>
          <w:rFonts w:hint="cs"/>
          <w:color w:val="00B0F0"/>
          <w:rtl/>
        </w:rPr>
        <w:t xml:space="preserve"> הרמ"א)</w:t>
      </w:r>
    </w:p>
    <w:p w14:paraId="64209C02"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20DF39C" w14:textId="77777777" w:rsidR="00392DBB" w:rsidRDefault="00392DBB" w:rsidP="00392DBB">
      <w:pPr>
        <w:rPr>
          <w:rFonts w:cs="Arial"/>
          <w:rtl/>
        </w:rPr>
      </w:pPr>
      <w:r w:rsidRPr="00523CDE">
        <w:rPr>
          <w:rFonts w:cs="Arial"/>
          <w:rtl/>
        </w:rPr>
        <w:t>היו מועטים בשעת מיתה ונתרבו אחר כך, הבנים יורשים אותם כדין מרובים</w:t>
      </w:r>
      <w:r>
        <w:rPr>
          <w:rStyle w:val="a7"/>
          <w:rFonts w:cs="Arial"/>
          <w:rtl/>
        </w:rPr>
        <w:footnoteReference w:id="2618"/>
      </w:r>
      <w:r w:rsidRPr="00523CDE">
        <w:rPr>
          <w:rFonts w:cs="Arial"/>
          <w:rtl/>
        </w:rPr>
        <w:t xml:space="preserve">. </w:t>
      </w:r>
      <w:r w:rsidRPr="003F4D9E">
        <w:rPr>
          <w:rFonts w:cs="Arial"/>
          <w:sz w:val="18"/>
          <w:szCs w:val="18"/>
          <w:rtl/>
        </w:rPr>
        <w:t>הגה: וי"א אפילו עמדו כבר בדין ופסקו להם</w:t>
      </w:r>
      <w:r>
        <w:rPr>
          <w:rStyle w:val="a7"/>
          <w:rFonts w:cs="Arial"/>
          <w:sz w:val="18"/>
          <w:szCs w:val="18"/>
          <w:rtl/>
        </w:rPr>
        <w:footnoteReference w:id="2619"/>
      </w:r>
      <w:r w:rsidRPr="003F4D9E">
        <w:rPr>
          <w:rFonts w:cs="Arial"/>
          <w:sz w:val="18"/>
          <w:szCs w:val="18"/>
          <w:rtl/>
        </w:rPr>
        <w:t xml:space="preserve"> דין נכסים מועטים, כיון שנתרבו חזרו לדין מרובים, ואפילו חזרו אחר כך ונתמעטו יש להם דין נכסים מרובים ונתמעטו</w:t>
      </w:r>
      <w:r>
        <w:rPr>
          <w:rStyle w:val="a7"/>
          <w:rFonts w:cs="Arial"/>
          <w:sz w:val="18"/>
          <w:szCs w:val="18"/>
          <w:rtl/>
        </w:rPr>
        <w:footnoteReference w:id="2620"/>
      </w:r>
      <w:r w:rsidRPr="003F4D9E">
        <w:rPr>
          <w:rFonts w:cs="Arial"/>
          <w:sz w:val="18"/>
          <w:szCs w:val="18"/>
          <w:rtl/>
        </w:rPr>
        <w:t xml:space="preserve"> (טור). </w:t>
      </w:r>
      <w:r w:rsidRPr="00523CDE">
        <w:rPr>
          <w:rFonts w:cs="Arial"/>
          <w:rtl/>
        </w:rPr>
        <w:t xml:space="preserve">ואפילו לא </w:t>
      </w:r>
      <w:r w:rsidRPr="00523CDE">
        <w:rPr>
          <w:rFonts w:cs="Arial"/>
          <w:rtl/>
        </w:rPr>
        <w:lastRenderedPageBreak/>
        <w:t xml:space="preserve">נתרבו, אם קדמו הבנים ומכרו נכסים מועטין, מכרן קיים. </w:t>
      </w:r>
      <w:r w:rsidRPr="003F4D9E">
        <w:rPr>
          <w:rFonts w:cs="Arial"/>
          <w:sz w:val="18"/>
          <w:szCs w:val="18"/>
          <w:rtl/>
        </w:rPr>
        <w:t>הגה: ונדחו הבנות אפי' ממעות שקבלו מן המקח</w:t>
      </w:r>
      <w:r>
        <w:rPr>
          <w:rStyle w:val="a7"/>
          <w:rFonts w:cs="Arial"/>
          <w:sz w:val="18"/>
          <w:szCs w:val="18"/>
          <w:rtl/>
        </w:rPr>
        <w:footnoteReference w:id="2621"/>
      </w:r>
      <w:r w:rsidRPr="003F4D9E">
        <w:rPr>
          <w:rFonts w:cs="Arial"/>
          <w:sz w:val="18"/>
          <w:szCs w:val="18"/>
          <w:rtl/>
        </w:rPr>
        <w:t xml:space="preserve"> (טור בשם הרא"ש). וי"א דדוקא קודם שהחזיקו הבית דין הבנות בנכסים</w:t>
      </w:r>
      <w:r>
        <w:rPr>
          <w:rStyle w:val="a7"/>
          <w:rFonts w:cs="Arial"/>
          <w:sz w:val="18"/>
          <w:szCs w:val="18"/>
          <w:rtl/>
        </w:rPr>
        <w:footnoteReference w:id="2622"/>
      </w:r>
      <w:r w:rsidRPr="003F4D9E">
        <w:rPr>
          <w:rFonts w:cs="Arial"/>
          <w:sz w:val="18"/>
          <w:szCs w:val="18"/>
          <w:rtl/>
        </w:rPr>
        <w:t xml:space="preserve"> (טור בשם רש"י והרא"ש). </w:t>
      </w:r>
    </w:p>
    <w:p w14:paraId="7C477D50" w14:textId="121F7C87" w:rsidR="00392DBB" w:rsidRPr="007E545B" w:rsidRDefault="00392DBB" w:rsidP="00392DBB">
      <w:pPr>
        <w:rPr>
          <w:rFonts w:cs="Arial"/>
          <w:sz w:val="16"/>
          <w:szCs w:val="16"/>
          <w:u w:val="single"/>
          <w:rtl/>
        </w:rPr>
      </w:pPr>
      <w:r w:rsidRPr="007E545B">
        <w:rPr>
          <w:rFonts w:cs="Arial" w:hint="cs"/>
          <w:u w:val="single"/>
          <w:rtl/>
        </w:rPr>
        <w:t>מעשה באחד שמת והניח ב' בנים וב' בנות, וחילקו שלא כפי דין תורה, והבת לא קיבלה מספיק</w:t>
      </w:r>
      <w:r w:rsidRPr="007E545B">
        <w:rPr>
          <w:rFonts w:cs="Arial" w:hint="cs"/>
          <w:rtl/>
        </w:rPr>
        <w:t>:</w:t>
      </w:r>
      <w:r w:rsidR="00E503D4">
        <w:rPr>
          <w:rFonts w:cs="Arial" w:hint="cs"/>
          <w:rtl/>
        </w:rPr>
        <w:t xml:space="preserve"> </w:t>
      </w:r>
      <w:r w:rsidRPr="007E545B">
        <w:rPr>
          <w:rFonts w:cs="Arial" w:hint="cs"/>
          <w:sz w:val="16"/>
          <w:szCs w:val="16"/>
          <w:rtl/>
        </w:rPr>
        <w:t>(</w:t>
      </w:r>
      <w:r>
        <w:rPr>
          <w:rFonts w:cs="Arial" w:hint="cs"/>
          <w:sz w:val="16"/>
          <w:szCs w:val="16"/>
          <w:rtl/>
        </w:rPr>
        <w:t>פת"ש סק"ה)</w:t>
      </w:r>
    </w:p>
    <w:p w14:paraId="5D9F5781" w14:textId="6BC40E39" w:rsidR="00392DBB" w:rsidRPr="00C208C3" w:rsidRDefault="00392DBB" w:rsidP="009000E3">
      <w:pPr>
        <w:pStyle w:val="ab"/>
        <w:numPr>
          <w:ilvl w:val="0"/>
          <w:numId w:val="70"/>
        </w:numPr>
        <w:rPr>
          <w:rFonts w:cs="Arial"/>
          <w:rtl/>
        </w:rPr>
      </w:pPr>
      <w:r w:rsidRPr="00C208C3">
        <w:rPr>
          <w:rFonts w:cs="Arial"/>
          <w:rtl/>
        </w:rPr>
        <w:t>ח</w:t>
      </w:r>
      <w:r w:rsidRPr="00C208C3">
        <w:rPr>
          <w:rFonts w:cs="Arial" w:hint="cs"/>
          <w:rtl/>
        </w:rPr>
        <w:t>ת</w:t>
      </w:r>
      <w:r w:rsidRPr="00C208C3">
        <w:rPr>
          <w:rFonts w:cs="Arial"/>
          <w:rtl/>
        </w:rPr>
        <w:t xml:space="preserve">"ס </w:t>
      </w:r>
      <w:r w:rsidRPr="00C208C3">
        <w:rPr>
          <w:rFonts w:cs="Arial" w:hint="cs"/>
          <w:sz w:val="16"/>
          <w:szCs w:val="16"/>
          <w:rtl/>
        </w:rPr>
        <w:t>(</w:t>
      </w:r>
      <w:r w:rsidRPr="00C208C3">
        <w:rPr>
          <w:rFonts w:cs="Arial"/>
          <w:sz w:val="16"/>
          <w:szCs w:val="16"/>
          <w:rtl/>
        </w:rPr>
        <w:t>סי' קכז</w:t>
      </w:r>
      <w:r w:rsidRPr="00C208C3">
        <w:rPr>
          <w:rFonts w:cs="Arial" w:hint="cs"/>
          <w:sz w:val="16"/>
          <w:szCs w:val="16"/>
          <w:rtl/>
        </w:rPr>
        <w:t>)</w:t>
      </w:r>
      <w:r w:rsidRPr="00C208C3">
        <w:rPr>
          <w:rFonts w:cs="Arial" w:hint="cs"/>
          <w:rtl/>
        </w:rPr>
        <w:t>-</w:t>
      </w:r>
      <w:r w:rsidRPr="00C208C3">
        <w:rPr>
          <w:rFonts w:cs="Arial"/>
          <w:rtl/>
        </w:rPr>
        <w:t xml:space="preserve"> מי שמת והניח ב' בנים</w:t>
      </w:r>
      <w:r w:rsidR="00E503D4">
        <w:rPr>
          <w:rFonts w:cs="Arial" w:hint="cs"/>
          <w:rtl/>
        </w:rPr>
        <w:t>,</w:t>
      </w:r>
      <w:r w:rsidRPr="00C208C3">
        <w:rPr>
          <w:rFonts w:cs="Arial"/>
          <w:rtl/>
        </w:rPr>
        <w:t xml:space="preserve"> א' גדול ואחד קטן</w:t>
      </w:r>
      <w:r w:rsidR="00E503D4">
        <w:rPr>
          <w:rFonts w:cs="Arial" w:hint="cs"/>
          <w:rtl/>
        </w:rPr>
        <w:t>,</w:t>
      </w:r>
      <w:r w:rsidRPr="00C208C3">
        <w:rPr>
          <w:rFonts w:cs="Arial"/>
          <w:rtl/>
        </w:rPr>
        <w:t xml:space="preserve"> וב' בנות</w:t>
      </w:r>
      <w:r w:rsidR="00E503D4">
        <w:rPr>
          <w:rFonts w:cs="Arial" w:hint="cs"/>
          <w:rtl/>
        </w:rPr>
        <w:t>.</w:t>
      </w:r>
      <w:r w:rsidRPr="00C208C3">
        <w:rPr>
          <w:rFonts w:cs="Arial"/>
          <w:rtl/>
        </w:rPr>
        <w:t xml:space="preserve"> ובעזבונו נמצא בית וחובות</w:t>
      </w:r>
      <w:r w:rsidR="00CE3212">
        <w:rPr>
          <w:rFonts w:cs="Arial" w:hint="cs"/>
          <w:rtl/>
        </w:rPr>
        <w:t>.</w:t>
      </w:r>
      <w:r w:rsidRPr="00C208C3">
        <w:rPr>
          <w:rFonts w:cs="Arial"/>
          <w:rtl/>
        </w:rPr>
        <w:t xml:space="preserve"> ובא החלוקה בדיניהם להיות כל החובות להבנות</w:t>
      </w:r>
      <w:r w:rsidR="00CE3212">
        <w:rPr>
          <w:rFonts w:cs="Arial" w:hint="cs"/>
          <w:rtl/>
        </w:rPr>
        <w:t>,</w:t>
      </w:r>
      <w:r w:rsidRPr="00C208C3">
        <w:rPr>
          <w:rFonts w:cs="Arial"/>
          <w:rtl/>
        </w:rPr>
        <w:t xml:space="preserve"> והבית לב' הבנים</w:t>
      </w:r>
      <w:r w:rsidR="00CE3212">
        <w:rPr>
          <w:rFonts w:cs="Arial" w:hint="cs"/>
          <w:rtl/>
        </w:rPr>
        <w:t>.</w:t>
      </w:r>
      <w:r w:rsidRPr="00C208C3">
        <w:rPr>
          <w:rFonts w:cs="Arial"/>
          <w:rtl/>
        </w:rPr>
        <w:t xml:space="preserve"> ויען כי היה הבית רעוע ראו לטובת הקטן למכור חלקו להגדול והמעות ניתן ביד אפטרופוס ישראל לטובת יתום הקטן</w:t>
      </w:r>
      <w:r w:rsidR="00CE3212">
        <w:rPr>
          <w:rFonts w:cs="Arial" w:hint="cs"/>
          <w:rtl/>
        </w:rPr>
        <w:t>.</w:t>
      </w:r>
      <w:r w:rsidRPr="00C208C3">
        <w:rPr>
          <w:rFonts w:cs="Arial"/>
          <w:rtl/>
        </w:rPr>
        <w:t xml:space="preserve"> ועתה הגיעה אחת מהבנות לפרק נישואין והחובות שעלו על חלקה אינם מספיקים</w:t>
      </w:r>
      <w:r w:rsidR="00CE3212">
        <w:rPr>
          <w:rFonts w:cs="Arial" w:hint="cs"/>
          <w:rtl/>
        </w:rPr>
        <w:t>,</w:t>
      </w:r>
      <w:r w:rsidRPr="00C208C3">
        <w:rPr>
          <w:rFonts w:cs="Arial"/>
          <w:rtl/>
        </w:rPr>
        <w:t xml:space="preserve"> ושאל האפטרופוס אי מותר לו ליתן ממעות יתום הקטן שבידו. והרב השואל שם דעתו להתיר כי אנו אין לנו אלא דתה"ק שמגיע לבת פרנסת נדונייתה באומד האב</w:t>
      </w:r>
      <w:r w:rsidR="00A00F0D">
        <w:rPr>
          <w:rFonts w:cs="Arial" w:hint="cs"/>
          <w:rtl/>
        </w:rPr>
        <w:t>,</w:t>
      </w:r>
      <w:r w:rsidRPr="00C208C3">
        <w:rPr>
          <w:rFonts w:cs="Arial"/>
          <w:rtl/>
        </w:rPr>
        <w:t xml:space="preserve"> והכל יודעים שאילו היה האב בחיים היה נותן לבתו יותר ויותר</w:t>
      </w:r>
      <w:r w:rsidR="00A00F0D">
        <w:rPr>
          <w:rFonts w:cs="Arial" w:hint="cs"/>
          <w:rtl/>
        </w:rPr>
        <w:t>,</w:t>
      </w:r>
      <w:r w:rsidRPr="00C208C3">
        <w:rPr>
          <w:rFonts w:cs="Arial"/>
          <w:rtl/>
        </w:rPr>
        <w:t xml:space="preserve"> וקיי"ל לפרנס' מוציאין מהבנים אפי' לא נשאר להם כלום מירושת אביהם</w:t>
      </w:r>
      <w:r w:rsidR="00A00F0D">
        <w:rPr>
          <w:rFonts w:cs="Arial" w:hint="cs"/>
          <w:rtl/>
        </w:rPr>
        <w:t>.</w:t>
      </w:r>
      <w:r w:rsidRPr="00C208C3">
        <w:rPr>
          <w:rFonts w:cs="Arial"/>
          <w:rtl/>
        </w:rPr>
        <w:t xml:space="preserve"> ואמנם מאח הגדול המוחזק בבית א"א להוציא ממנו כלום משום דאלים טובא</w:t>
      </w:r>
      <w:r w:rsidR="00A00F0D">
        <w:rPr>
          <w:rFonts w:cs="Arial" w:hint="cs"/>
          <w:rtl/>
        </w:rPr>
        <w:t>.</w:t>
      </w:r>
      <w:r w:rsidRPr="00C208C3">
        <w:rPr>
          <w:rFonts w:cs="Arial"/>
          <w:rtl/>
        </w:rPr>
        <w:t xml:space="preserve"> אבל עכ"פ חלקו של הקטן שהאפטרופוס רוצה בכך למה לא נוציא להבת פרנסת נדוניא</w:t>
      </w:r>
      <w:r w:rsidR="005A2C0C">
        <w:rPr>
          <w:rFonts w:cs="Arial" w:hint="cs"/>
          <w:rtl/>
        </w:rPr>
        <w:t>.</w:t>
      </w:r>
      <w:r w:rsidRPr="00C208C3">
        <w:rPr>
          <w:rFonts w:cs="Arial"/>
          <w:rtl/>
        </w:rPr>
        <w:t xml:space="preserve"> מצורף לזה ג"כ כי אלו הבנות לא היו ניזונות כלל מהעיזבון</w:t>
      </w:r>
      <w:r w:rsidR="005A2C0C">
        <w:rPr>
          <w:rFonts w:cs="Arial" w:hint="cs"/>
          <w:rtl/>
        </w:rPr>
        <w:t>,</w:t>
      </w:r>
      <w:r w:rsidRPr="00C208C3">
        <w:rPr>
          <w:rFonts w:cs="Arial"/>
          <w:rtl/>
        </w:rPr>
        <w:t xml:space="preserve"> ולא שייך מחילה כי היו הבנות קטנות</w:t>
      </w:r>
      <w:r w:rsidR="005A2C0C">
        <w:rPr>
          <w:rFonts w:cs="Arial" w:hint="cs"/>
          <w:rtl/>
        </w:rPr>
        <w:t>,</w:t>
      </w:r>
      <w:r w:rsidRPr="00C208C3">
        <w:rPr>
          <w:rFonts w:cs="Arial"/>
          <w:rtl/>
        </w:rPr>
        <w:t xml:space="preserve"> וא"כ יש להן לתבוע מהבנים גם מזונות שלהן. והוא ז"ל השיב דפשוט דאסור לו להאפטרופוס ליגע בהמעות מזומנים שהונחו תחת ידו</w:t>
      </w:r>
      <w:r w:rsidR="005A2C0C">
        <w:rPr>
          <w:rFonts w:cs="Arial" w:hint="cs"/>
          <w:rtl/>
        </w:rPr>
        <w:t>,</w:t>
      </w:r>
      <w:r w:rsidRPr="00C208C3">
        <w:rPr>
          <w:rFonts w:cs="Arial"/>
          <w:rtl/>
        </w:rPr>
        <w:t xml:space="preserve"> דדבר ברור הוא דלא משתעבדי לא למזונות ולא לפרנסה</w:t>
      </w:r>
      <w:r>
        <w:rPr>
          <w:rStyle w:val="a7"/>
          <w:rFonts w:cs="Arial"/>
          <w:rtl/>
        </w:rPr>
        <w:footnoteReference w:id="2623"/>
      </w:r>
      <w:r w:rsidRPr="00C208C3">
        <w:rPr>
          <w:rFonts w:cs="Arial"/>
          <w:rtl/>
        </w:rPr>
        <w:t xml:space="preserve"> אלא הני נכסי ממש דשבק אבוהון ולא חילופיהן</w:t>
      </w:r>
      <w:r w:rsidR="005A2C0C">
        <w:rPr>
          <w:rFonts w:cs="Arial" w:hint="cs"/>
          <w:rtl/>
        </w:rPr>
        <w:t>,</w:t>
      </w:r>
      <w:r w:rsidRPr="00C208C3">
        <w:rPr>
          <w:rFonts w:cs="Arial"/>
          <w:rtl/>
        </w:rPr>
        <w:t xml:space="preserve"> והני זוזי חלופי הבית נינהו ולא הני זוזי שבק אבוהון</w:t>
      </w:r>
      <w:r w:rsidR="005A2C0C">
        <w:rPr>
          <w:rFonts w:cs="Arial" w:hint="cs"/>
          <w:rtl/>
        </w:rPr>
        <w:t>,</w:t>
      </w:r>
      <w:r w:rsidRPr="00C208C3">
        <w:rPr>
          <w:rFonts w:cs="Arial"/>
          <w:rtl/>
        </w:rPr>
        <w:t xml:space="preserve"> ודין זה פשוט ומבואר בסי</w:t>
      </w:r>
      <w:r>
        <w:rPr>
          <w:rFonts w:cs="Arial" w:hint="cs"/>
          <w:rtl/>
        </w:rPr>
        <w:t>'</w:t>
      </w:r>
      <w:r w:rsidRPr="00C208C3">
        <w:rPr>
          <w:rFonts w:cs="Arial"/>
          <w:rtl/>
        </w:rPr>
        <w:t xml:space="preserve"> קי"ב ובב"ש שם </w:t>
      </w:r>
      <w:r w:rsidR="005A2C0C">
        <w:rPr>
          <w:rFonts w:cs="Arial" w:hint="cs"/>
          <w:rtl/>
        </w:rPr>
        <w:t>(</w:t>
      </w:r>
      <w:r w:rsidRPr="00C208C3">
        <w:rPr>
          <w:rFonts w:cs="Arial"/>
          <w:rtl/>
        </w:rPr>
        <w:t>סק"ל</w:t>
      </w:r>
      <w:r w:rsidR="005A2C0C">
        <w:rPr>
          <w:rFonts w:cs="Arial" w:hint="cs"/>
          <w:rtl/>
        </w:rPr>
        <w:t>),</w:t>
      </w:r>
      <w:r w:rsidRPr="00C208C3">
        <w:rPr>
          <w:rFonts w:cs="Arial"/>
          <w:rtl/>
        </w:rPr>
        <w:t xml:space="preserve"> ולא נשאר אלא לטרוף ממשעבדי מהאח הגדול והוא יחזור אח</w:t>
      </w:r>
      <w:r w:rsidR="005A2C0C">
        <w:rPr>
          <w:rFonts w:cs="Arial" w:hint="cs"/>
          <w:rtl/>
        </w:rPr>
        <w:t>"</w:t>
      </w:r>
      <w:r w:rsidRPr="00C208C3">
        <w:rPr>
          <w:rFonts w:cs="Arial"/>
          <w:rtl/>
        </w:rPr>
        <w:t>כ על הקטן מדין אחריות</w:t>
      </w:r>
      <w:r w:rsidR="005A2C0C">
        <w:rPr>
          <w:rFonts w:cs="Arial" w:hint="cs"/>
          <w:rtl/>
        </w:rPr>
        <w:t>.</w:t>
      </w:r>
      <w:r w:rsidRPr="00C208C3">
        <w:rPr>
          <w:rFonts w:cs="Arial"/>
          <w:rtl/>
        </w:rPr>
        <w:t xml:space="preserve"> ולפי דברי השואל הוא דבר בטל משום שהשני קשה ואלים טובא. ואמנם א"נ היה אפשר לטרוף ממשעבדי מ"מ השואל ממזונות הבת ליתא דאין טורפין למזונות ממשעבדי ששעבדו האחים ורק לפרנס</w:t>
      </w:r>
      <w:r w:rsidR="00A31753">
        <w:rPr>
          <w:rFonts w:cs="Arial" w:hint="cs"/>
          <w:rtl/>
        </w:rPr>
        <w:t>'</w:t>
      </w:r>
      <w:r w:rsidRPr="00C208C3">
        <w:rPr>
          <w:rFonts w:cs="Arial"/>
          <w:rtl/>
        </w:rPr>
        <w:t xml:space="preserve"> טורפים</w:t>
      </w:r>
      <w:r w:rsidR="00A31753">
        <w:rPr>
          <w:rFonts w:cs="Arial" w:hint="cs"/>
          <w:rtl/>
        </w:rPr>
        <w:t>.</w:t>
      </w:r>
      <w:r w:rsidRPr="00C208C3">
        <w:rPr>
          <w:rFonts w:cs="Arial"/>
          <w:rtl/>
        </w:rPr>
        <w:t xml:space="preserve"> וכל זה אם לא בגרה הבת</w:t>
      </w:r>
      <w:r w:rsidR="00A31753">
        <w:rPr>
          <w:rFonts w:cs="Arial" w:hint="cs"/>
          <w:rtl/>
        </w:rPr>
        <w:t>,</w:t>
      </w:r>
      <w:r w:rsidRPr="00C208C3">
        <w:rPr>
          <w:rFonts w:cs="Arial"/>
          <w:rtl/>
        </w:rPr>
        <w:t xml:space="preserve"> אבל אם בגרה ושתקה ויתרה אפי' שתקה מחמת שלא ידעה הדין ע' סי' קי"ג ובב"ש ססקי"ח</w:t>
      </w:r>
      <w:r w:rsidR="00A31753">
        <w:rPr>
          <w:rFonts w:cs="Arial" w:hint="cs"/>
          <w:rtl/>
        </w:rPr>
        <w:t>.</w:t>
      </w:r>
      <w:r w:rsidRPr="00C208C3">
        <w:rPr>
          <w:rFonts w:cs="Arial"/>
          <w:rtl/>
        </w:rPr>
        <w:t xml:space="preserve"> וכל הדברים הללו פשוטים. </w:t>
      </w:r>
    </w:p>
    <w:p w14:paraId="44ECCA01" w14:textId="77777777" w:rsidR="00392DBB" w:rsidRPr="00523CDE" w:rsidRDefault="00392DBB" w:rsidP="00392DBB">
      <w:pPr>
        <w:rPr>
          <w:rFonts w:cs="Arial"/>
          <w:rtl/>
        </w:rPr>
      </w:pPr>
    </w:p>
    <w:p w14:paraId="4B0E4F8B" w14:textId="77777777" w:rsidR="00392DBB" w:rsidRDefault="00392DBB" w:rsidP="000F64D0">
      <w:pPr>
        <w:pStyle w:val="2"/>
        <w:rPr>
          <w:rtl/>
        </w:rPr>
      </w:pPr>
      <w:r w:rsidRPr="00523CDE">
        <w:rPr>
          <w:rtl/>
        </w:rPr>
        <w:t>סעיף טו</w:t>
      </w:r>
      <w:r>
        <w:rPr>
          <w:rFonts w:hint="cs"/>
          <w:rtl/>
        </w:rPr>
        <w:t>:</w:t>
      </w:r>
      <w:r w:rsidRPr="001D444C">
        <w:rPr>
          <w:rFonts w:hint="cs"/>
          <w:rtl/>
        </w:rPr>
        <w:t xml:space="preserve"> </w:t>
      </w:r>
      <w:r>
        <w:rPr>
          <w:rFonts w:hint="cs"/>
          <w:rtl/>
        </w:rPr>
        <w:t>נכסים מרובים אבל יש עליהם חיוב למזונות/עישור נכסים/בע"ח.</w:t>
      </w:r>
    </w:p>
    <w:p w14:paraId="7F0E76C3" w14:textId="5D73E669" w:rsidR="00392DBB" w:rsidRDefault="00392DBB" w:rsidP="00392DBB">
      <w:pPr>
        <w:rPr>
          <w:rFonts w:cs="Arial"/>
          <w:rtl/>
        </w:rPr>
      </w:pPr>
      <w:r w:rsidRPr="00D134DC">
        <w:rPr>
          <w:rFonts w:hint="cs"/>
          <w:b/>
          <w:bCs/>
          <w:rtl/>
        </w:rPr>
        <w:t xml:space="preserve">בבא בתרא </w:t>
      </w:r>
      <w:r w:rsidRPr="00D134DC">
        <w:rPr>
          <w:rFonts w:hint="cs"/>
          <w:b/>
          <w:bCs/>
          <w:sz w:val="16"/>
          <w:szCs w:val="16"/>
          <w:rtl/>
        </w:rPr>
        <w:t xml:space="preserve">(ר"פ מי שמת) </w:t>
      </w:r>
      <w:r w:rsidRPr="00D134DC">
        <w:rPr>
          <w:rFonts w:hint="cs"/>
          <w:b/>
          <w:bCs/>
          <w:rtl/>
        </w:rPr>
        <w:t>ק</w:t>
      </w:r>
      <w:r>
        <w:rPr>
          <w:rFonts w:hint="cs"/>
          <w:b/>
          <w:bCs/>
          <w:rtl/>
        </w:rPr>
        <w:t>מ</w:t>
      </w:r>
      <w:r w:rsidR="007A56DC">
        <w:rPr>
          <w:rStyle w:val="a7"/>
          <w:rFonts w:cs="Arial"/>
          <w:b/>
          <w:bCs/>
          <w:rtl/>
        </w:rPr>
        <w:footnoteReference w:id="2624"/>
      </w:r>
      <w:r w:rsidRPr="00D134DC">
        <w:rPr>
          <w:rFonts w:hint="cs"/>
          <w:b/>
          <w:bCs/>
          <w:rtl/>
        </w:rPr>
        <w:t xml:space="preserve"> ע"</w:t>
      </w:r>
      <w:r>
        <w:rPr>
          <w:rFonts w:hint="cs"/>
          <w:b/>
          <w:bCs/>
          <w:rtl/>
        </w:rPr>
        <w:t>א</w:t>
      </w:r>
      <w:r w:rsidRPr="00D134DC">
        <w:rPr>
          <w:rFonts w:hint="cs"/>
          <w:b/>
          <w:bCs/>
          <w:rtl/>
        </w:rPr>
        <w:t>:</w:t>
      </w:r>
      <w:r w:rsidRPr="001D444C">
        <w:rPr>
          <w:rtl/>
        </w:rPr>
        <w:t xml:space="preserve"> </w:t>
      </w:r>
      <w:r w:rsidRPr="001D444C">
        <w:rPr>
          <w:rFonts w:cs="Arial"/>
          <w:u w:val="single"/>
          <w:rtl/>
        </w:rPr>
        <w:t>יתיב רבי ירמיה קמיה דרבי אבהו וקא בעי מיניה</w:t>
      </w:r>
      <w:r w:rsidRPr="001D444C">
        <w:rPr>
          <w:rFonts w:cs="Arial"/>
          <w:rtl/>
        </w:rPr>
        <w:t>: אלמנתו מהו שתמעט בנכסים? מי אמרינן: כיון דאית לה מזוני - ממעטא, או דלמא כיון דאילו מנסבא לית לה, השתא נמי לית לה? אם תמצא לומר: כיון דאילו מנסבא לית לה, השתא נמי לית לה, בת אשתו מהו שתמעט בנכסים? מי אמרינן: כיון דכי מנסבא נמי אית לה - וממעטא, או דלמא כיון דאילו מתה לית לה - ולא ממעטא? ואם תמצא לומר: כיון דאילו מתה לית לה ולא ממעטא, בע"ח מהו שימעט בנכסים? מי אמרינן: כיון דכי מיית נמי אית ליה - ממעט, או דלמא כיון דמחסרי גוביינא לא ממעט? ואיכא דבעי לה לאידך גיסא: בע"ח מהו שימעט בנכסים?</w:t>
      </w:r>
      <w:r>
        <w:rPr>
          <w:rFonts w:hint="cs"/>
          <w:sz w:val="14"/>
          <w:szCs w:val="14"/>
          <w:rtl/>
        </w:rPr>
        <w:t xml:space="preserve"> (קמ:) </w:t>
      </w:r>
      <w:r w:rsidRPr="001D444C">
        <w:rPr>
          <w:rFonts w:cs="Arial"/>
          <w:rtl/>
        </w:rPr>
        <w:t xml:space="preserve">בת אשתו מהו שתמעט בנכסים? אלמנתו מהו שתמעט בנכסים? אלמנתו ובת אי זה מהן קודמת? </w:t>
      </w:r>
      <w:r w:rsidRPr="001D444C">
        <w:rPr>
          <w:rFonts w:cs="Arial"/>
          <w:u w:val="single"/>
          <w:rtl/>
        </w:rPr>
        <w:t>אמר ליה</w:t>
      </w:r>
      <w:r w:rsidRPr="001D444C">
        <w:rPr>
          <w:rFonts w:cs="Arial"/>
          <w:rtl/>
        </w:rPr>
        <w:t xml:space="preserve">: זיל האידנא ותא למחר. </w:t>
      </w:r>
      <w:r w:rsidRPr="001D444C">
        <w:rPr>
          <w:rFonts w:cs="Arial"/>
          <w:u w:val="single"/>
          <w:rtl/>
        </w:rPr>
        <w:t>כי אתא, אמר ליה</w:t>
      </w:r>
      <w:r w:rsidRPr="001D444C">
        <w:rPr>
          <w:rFonts w:cs="Arial"/>
          <w:rtl/>
        </w:rPr>
        <w:t>: פשוט מיהת חדא, דאמר רבי אבא אמר רבי אסי: עשו אלמנה אצל הבת</w:t>
      </w:r>
      <w:r>
        <w:rPr>
          <w:rFonts w:cs="Arial" w:hint="cs"/>
          <w:rtl/>
        </w:rPr>
        <w:t>,</w:t>
      </w:r>
      <w:r w:rsidRPr="001D444C">
        <w:rPr>
          <w:rFonts w:cs="Arial"/>
          <w:rtl/>
        </w:rPr>
        <w:t xml:space="preserve"> כבת אצל האחין בנכסים מועטין</w:t>
      </w:r>
      <w:r>
        <w:rPr>
          <w:rFonts w:cs="Arial" w:hint="cs"/>
          <w:rtl/>
        </w:rPr>
        <w:t>.</w:t>
      </w:r>
      <w:r w:rsidRPr="001D444C">
        <w:rPr>
          <w:rFonts w:cs="Arial"/>
          <w:rtl/>
        </w:rPr>
        <w:t xml:space="preserve"> מה בת אצל אחין - הבת ניזונת והאחין ישאלו על הפתחים, אף אלמנה אצל הבת - אלמנה ניזונת והבת תשאל על הפתחים.</w:t>
      </w:r>
      <w:r>
        <w:rPr>
          <w:rFonts w:hint="cs"/>
          <w:rtl/>
        </w:rPr>
        <w:t xml:space="preserve"> </w:t>
      </w:r>
      <w:r w:rsidRPr="00F0077E">
        <w:rPr>
          <w:rFonts w:hint="cs"/>
          <w:sz w:val="16"/>
          <w:szCs w:val="16"/>
          <w:rtl/>
        </w:rPr>
        <w:t>(</w:t>
      </w:r>
      <w:r w:rsidRPr="00F0077E">
        <w:rPr>
          <w:rFonts w:cs="Arial"/>
          <w:sz w:val="16"/>
          <w:szCs w:val="16"/>
          <w:rtl/>
        </w:rPr>
        <w:t>וכתבו הרי"ף (סה:) והרא"ש (סי' ג) והני בעיי לא איפשיטו ולקולא עבדינן ולא ממעטי</w:t>
      </w:r>
      <w:r w:rsidR="004B1B56">
        <w:rPr>
          <w:rFonts w:cs="Arial" w:hint="cs"/>
          <w:sz w:val="16"/>
          <w:szCs w:val="16"/>
          <w:rtl/>
        </w:rPr>
        <w:t>,</w:t>
      </w:r>
      <w:r w:rsidRPr="00F0077E">
        <w:rPr>
          <w:rFonts w:cs="Arial"/>
          <w:sz w:val="16"/>
          <w:szCs w:val="16"/>
          <w:rtl/>
        </w:rPr>
        <w:t xml:space="preserve"> דנכסי בחזקת בנים קיימי ולא מפקינן מינייהו אלא בראיה</w:t>
      </w:r>
      <w:r w:rsidRPr="00F0077E">
        <w:rPr>
          <w:rFonts w:cs="Arial" w:hint="cs"/>
          <w:sz w:val="16"/>
          <w:szCs w:val="16"/>
          <w:rtl/>
        </w:rPr>
        <w:t>.</w:t>
      </w:r>
      <w:r w:rsidRPr="00F0077E">
        <w:rPr>
          <w:rFonts w:cs="Arial"/>
          <w:sz w:val="16"/>
          <w:szCs w:val="16"/>
          <w:rtl/>
        </w:rPr>
        <w:t xml:space="preserve"> [בדק הבית] וכן פסק הרמב"ם (פי"ט ה"כ) אלא שלא הזכיר דין אלמנה אם ממעטת</w:t>
      </w:r>
      <w:r w:rsidR="004B1B56">
        <w:rPr>
          <w:rFonts w:cs="Arial" w:hint="cs"/>
          <w:sz w:val="16"/>
          <w:szCs w:val="16"/>
          <w:rtl/>
        </w:rPr>
        <w:t>,</w:t>
      </w:r>
      <w:r w:rsidRPr="00F0077E">
        <w:rPr>
          <w:rFonts w:cs="Arial"/>
          <w:sz w:val="16"/>
          <w:szCs w:val="16"/>
          <w:rtl/>
        </w:rPr>
        <w:t xml:space="preserve"> וגם הרי"ף לא הזכיר</w:t>
      </w:r>
      <w:r w:rsidR="004B1B56">
        <w:rPr>
          <w:rFonts w:cs="Arial" w:hint="cs"/>
          <w:sz w:val="16"/>
          <w:szCs w:val="16"/>
          <w:rtl/>
        </w:rPr>
        <w:t>,</w:t>
      </w:r>
      <w:r w:rsidRPr="00F0077E">
        <w:rPr>
          <w:rFonts w:cs="Arial"/>
          <w:sz w:val="16"/>
          <w:szCs w:val="16"/>
          <w:rtl/>
        </w:rPr>
        <w:t xml:space="preserve"> ונראה שלא היה כתוב בנסחתם בגמרא אלמנה מהו שתמעט [עד כאן]. וכתב עוד הרא"ש (שם) והא דלא איבעיא ליה בכתובת אלמנה אי ממעטא</w:t>
      </w:r>
      <w:r w:rsidRPr="00F0077E">
        <w:rPr>
          <w:rFonts w:cs="Arial" w:hint="cs"/>
          <w:sz w:val="16"/>
          <w:szCs w:val="16"/>
          <w:rtl/>
        </w:rPr>
        <w:t>,</w:t>
      </w:r>
      <w:r w:rsidRPr="00F0077E">
        <w:rPr>
          <w:rFonts w:cs="Arial"/>
          <w:sz w:val="16"/>
          <w:szCs w:val="16"/>
          <w:rtl/>
        </w:rPr>
        <w:t xml:space="preserve"> משום דפשיטא ליה כיון דבתנאי ב"ד אית לה דכמאן דגביא דמי וממעטא</w:t>
      </w:r>
      <w:r w:rsidRPr="00F0077E">
        <w:rPr>
          <w:rFonts w:cs="Arial" w:hint="cs"/>
          <w:sz w:val="16"/>
          <w:szCs w:val="16"/>
          <w:rtl/>
        </w:rPr>
        <w:t>.</w:t>
      </w:r>
      <w:r w:rsidRPr="00F0077E">
        <w:rPr>
          <w:rFonts w:cs="Arial"/>
          <w:sz w:val="16"/>
          <w:szCs w:val="16"/>
          <w:rtl/>
        </w:rPr>
        <w:t xml:space="preserve"> ותימא דאמאי לא מיבעיא ליה פרנסה מהו שתמעט</w:t>
      </w:r>
      <w:r w:rsidRPr="00F0077E">
        <w:rPr>
          <w:rFonts w:cs="Arial" w:hint="cs"/>
          <w:sz w:val="16"/>
          <w:szCs w:val="16"/>
          <w:rtl/>
        </w:rPr>
        <w:t>,</w:t>
      </w:r>
      <w:r w:rsidRPr="00F0077E">
        <w:rPr>
          <w:rFonts w:cs="Arial"/>
          <w:sz w:val="16"/>
          <w:szCs w:val="16"/>
          <w:rtl/>
        </w:rPr>
        <w:t xml:space="preserve"> אי בעינן שיהיו מרובים בלא עישור נכסי</w:t>
      </w:r>
      <w:r w:rsidRPr="00F0077E">
        <w:rPr>
          <w:rFonts w:cs="Arial" w:hint="cs"/>
          <w:sz w:val="16"/>
          <w:szCs w:val="16"/>
          <w:rtl/>
        </w:rPr>
        <w:t>,</w:t>
      </w:r>
      <w:r w:rsidRPr="00F0077E">
        <w:rPr>
          <w:rFonts w:cs="Arial"/>
          <w:sz w:val="16"/>
          <w:szCs w:val="16"/>
          <w:rtl/>
        </w:rPr>
        <w:t xml:space="preserve"> או דילמא אפילו הכי נקראים מרובים</w:t>
      </w:r>
      <w:r w:rsidRPr="00F0077E">
        <w:rPr>
          <w:rFonts w:cs="Arial" w:hint="cs"/>
          <w:sz w:val="16"/>
          <w:szCs w:val="16"/>
          <w:rtl/>
        </w:rPr>
        <w:t>.</w:t>
      </w:r>
      <w:r w:rsidRPr="00F0077E">
        <w:rPr>
          <w:rFonts w:cs="Arial"/>
          <w:sz w:val="16"/>
          <w:szCs w:val="16"/>
          <w:rtl/>
        </w:rPr>
        <w:t xml:space="preserve"> ומסתברא כיון שלא הגיע זמנה לגבות לא ממעטא עכ"ל</w:t>
      </w:r>
      <w:r>
        <w:rPr>
          <w:rFonts w:cs="Arial" w:hint="cs"/>
          <w:sz w:val="16"/>
          <w:szCs w:val="16"/>
          <w:rtl/>
        </w:rPr>
        <w:t>, ב"י</w:t>
      </w:r>
      <w:r w:rsidRPr="00F0077E">
        <w:rPr>
          <w:rFonts w:cs="Arial" w:hint="cs"/>
          <w:sz w:val="16"/>
          <w:szCs w:val="16"/>
          <w:rtl/>
        </w:rPr>
        <w:t>)</w:t>
      </w:r>
      <w:r w:rsidRPr="00F16681">
        <w:rPr>
          <w:rFonts w:cs="Arial"/>
          <w:rtl/>
        </w:rPr>
        <w:t xml:space="preserve"> </w:t>
      </w:r>
    </w:p>
    <w:p w14:paraId="68EF0CED" w14:textId="489FF48A" w:rsidR="00392DBB" w:rsidRPr="004C7B27" w:rsidRDefault="00392DBB" w:rsidP="00392DBB">
      <w:pPr>
        <w:rPr>
          <w:rFonts w:cs="Arial"/>
          <w:rtl/>
        </w:rPr>
      </w:pPr>
      <w:r w:rsidRPr="004C7B27">
        <w:rPr>
          <w:rFonts w:hint="cs"/>
          <w:b/>
          <w:bCs/>
          <w:rtl/>
        </w:rPr>
        <w:t>ירושלמי בבא בתרא פ"ט ה"א</w:t>
      </w:r>
      <w:r>
        <w:rPr>
          <w:rStyle w:val="a7"/>
          <w:rFonts w:cs="Arial"/>
          <w:b/>
          <w:bCs/>
          <w:rtl/>
        </w:rPr>
        <w:footnoteReference w:id="2625"/>
      </w:r>
      <w:r w:rsidRPr="004C7B27">
        <w:rPr>
          <w:rFonts w:hint="cs"/>
          <w:b/>
          <w:bCs/>
          <w:rtl/>
        </w:rPr>
        <w:t>:</w:t>
      </w:r>
      <w:r>
        <w:rPr>
          <w:rFonts w:hint="cs"/>
          <w:rtl/>
        </w:rPr>
        <w:t xml:space="preserve"> </w:t>
      </w:r>
      <w:r w:rsidRPr="004C7B27">
        <w:rPr>
          <w:rFonts w:cs="Arial"/>
          <w:u w:val="single"/>
          <w:rtl/>
        </w:rPr>
        <w:t>רב חסדא בעי</w:t>
      </w:r>
      <w:r>
        <w:rPr>
          <w:rFonts w:cs="Arial" w:hint="cs"/>
          <w:rtl/>
        </w:rPr>
        <w:t>:</w:t>
      </w:r>
      <w:r w:rsidRPr="004C7B27">
        <w:rPr>
          <w:rFonts w:cs="Arial"/>
          <w:rtl/>
        </w:rPr>
        <w:t xml:space="preserve"> היה שם לאילו ולאילו מזון שנים עשר חדש ואלמנה לזון</w:t>
      </w:r>
      <w:r>
        <w:rPr>
          <w:rFonts w:cs="Arial" w:hint="cs"/>
          <w:rtl/>
        </w:rPr>
        <w:t>,</w:t>
      </w:r>
      <w:r w:rsidRPr="004C7B27">
        <w:rPr>
          <w:rFonts w:cs="Arial"/>
          <w:rtl/>
        </w:rPr>
        <w:t xml:space="preserve"> מהו שיאמרו בנים לבנות</w:t>
      </w:r>
      <w:r w:rsidR="00FC113E">
        <w:rPr>
          <w:rFonts w:cs="Arial" w:hint="cs"/>
          <w:rtl/>
        </w:rPr>
        <w:t>:</w:t>
      </w:r>
      <w:r w:rsidRPr="004C7B27">
        <w:rPr>
          <w:rFonts w:cs="Arial"/>
          <w:rtl/>
        </w:rPr>
        <w:t xml:space="preserve"> אין לכם אלא מזון שנים עשר חדש</w:t>
      </w:r>
      <w:r w:rsidR="00FC113E">
        <w:rPr>
          <w:rFonts w:cs="Arial" w:hint="cs"/>
          <w:rtl/>
        </w:rPr>
        <w:t>.</w:t>
      </w:r>
      <w:r w:rsidRPr="004C7B27">
        <w:rPr>
          <w:rFonts w:cs="Arial"/>
          <w:rtl/>
        </w:rPr>
        <w:t xml:space="preserve"> ודא דתימר והוא שיהא שם לאילו ולאילו מזון שנים עשר חדש </w:t>
      </w:r>
      <w:r w:rsidR="00FC113E">
        <w:rPr>
          <w:rFonts w:cs="Arial" w:hint="cs"/>
          <w:rtl/>
        </w:rPr>
        <w:t xml:space="preserve">- </w:t>
      </w:r>
      <w:r w:rsidRPr="004C7B27">
        <w:rPr>
          <w:rFonts w:cs="Arial"/>
          <w:rtl/>
        </w:rPr>
        <w:t>חוץ מכתובת אשה</w:t>
      </w:r>
      <w:r>
        <w:rPr>
          <w:rFonts w:cs="Arial" w:hint="cs"/>
          <w:rtl/>
        </w:rPr>
        <w:t>,</w:t>
      </w:r>
      <w:r w:rsidRPr="004C7B27">
        <w:rPr>
          <w:rFonts w:cs="Arial"/>
          <w:rtl/>
        </w:rPr>
        <w:t xml:space="preserve"> חוץ ממזונות אלמנה</w:t>
      </w:r>
      <w:r>
        <w:rPr>
          <w:rFonts w:cs="Arial" w:hint="cs"/>
          <w:rtl/>
        </w:rPr>
        <w:t>,</w:t>
      </w:r>
      <w:r w:rsidRPr="004C7B27">
        <w:rPr>
          <w:rFonts w:cs="Arial"/>
          <w:rtl/>
        </w:rPr>
        <w:t xml:space="preserve"> חוץ מפרנסת בנות</w:t>
      </w:r>
      <w:r>
        <w:rPr>
          <w:rFonts w:cs="Arial" w:hint="cs"/>
          <w:rtl/>
        </w:rPr>
        <w:t>,</w:t>
      </w:r>
      <w:r w:rsidRPr="004C7B27">
        <w:rPr>
          <w:rFonts w:cs="Arial"/>
          <w:rtl/>
        </w:rPr>
        <w:t xml:space="preserve"> חוץ ממלוה בשטר</w:t>
      </w:r>
      <w:r>
        <w:rPr>
          <w:rFonts w:cs="Arial" w:hint="cs"/>
          <w:rtl/>
        </w:rPr>
        <w:t>,</w:t>
      </w:r>
      <w:r w:rsidRPr="004C7B27">
        <w:rPr>
          <w:rFonts w:cs="Arial"/>
          <w:rtl/>
        </w:rPr>
        <w:t xml:space="preserve"> חוץ ממלו' בעדים</w:t>
      </w:r>
      <w:r>
        <w:rPr>
          <w:rFonts w:cs="Arial" w:hint="cs"/>
          <w:rtl/>
        </w:rPr>
        <w:t>,</w:t>
      </w:r>
      <w:r w:rsidRPr="004C7B27">
        <w:rPr>
          <w:rFonts w:cs="Arial"/>
          <w:rtl/>
        </w:rPr>
        <w:t xml:space="preserve"> חוץ מקבורת'. </w:t>
      </w:r>
      <w:r w:rsidRPr="004C7B27">
        <w:rPr>
          <w:rFonts w:cs="Arial" w:hint="cs"/>
          <w:sz w:val="16"/>
          <w:szCs w:val="16"/>
          <w:rtl/>
        </w:rPr>
        <w:t>(</w:t>
      </w:r>
      <w:r w:rsidRPr="004C7B27">
        <w:rPr>
          <w:rFonts w:cs="Arial"/>
          <w:sz w:val="16"/>
          <w:szCs w:val="16"/>
          <w:rtl/>
        </w:rPr>
        <w:t>משמע דפליגא אגמרא דידן דסלקו בתיקו</w:t>
      </w:r>
      <w:r w:rsidRPr="004C7B27">
        <w:rPr>
          <w:rFonts w:cs="Arial" w:hint="cs"/>
          <w:sz w:val="16"/>
          <w:szCs w:val="16"/>
          <w:rtl/>
        </w:rPr>
        <w:t>, רא"ש (פ"ב סי ג))</w:t>
      </w:r>
    </w:p>
    <w:p w14:paraId="35CFC421" w14:textId="0E98F95B" w:rsidR="00392DBB" w:rsidRDefault="00392DBB" w:rsidP="00392DBB">
      <w:pPr>
        <w:rPr>
          <w:u w:val="single"/>
          <w:rtl/>
        </w:rPr>
      </w:pPr>
      <w:r w:rsidRPr="001D444C">
        <w:rPr>
          <w:rFonts w:hint="cs"/>
          <w:u w:val="single"/>
          <w:rtl/>
        </w:rPr>
        <w:t xml:space="preserve">נכסים מרובים אבל יש עליהם חיוב </w:t>
      </w:r>
      <w:r w:rsidR="00B02FD8" w:rsidRPr="00070D6E">
        <w:rPr>
          <w:rFonts w:hint="cs"/>
          <w:sz w:val="16"/>
          <w:szCs w:val="16"/>
          <w:u w:val="single"/>
          <w:rtl/>
        </w:rPr>
        <w:t>(כדלקמן)</w:t>
      </w:r>
      <w:r w:rsidR="00070D6E">
        <w:rPr>
          <w:rFonts w:hint="cs"/>
          <w:u w:val="single"/>
          <w:rtl/>
        </w:rPr>
        <w:t>,</w:t>
      </w:r>
      <w:r w:rsidR="00B02FD8">
        <w:rPr>
          <w:rFonts w:hint="cs"/>
          <w:u w:val="single"/>
          <w:rtl/>
        </w:rPr>
        <w:t xml:space="preserve"> </w:t>
      </w:r>
      <w:r w:rsidRPr="001D444C">
        <w:rPr>
          <w:rFonts w:hint="cs"/>
          <w:u w:val="single"/>
          <w:rtl/>
        </w:rPr>
        <w:t>ולאחר תשלום החיוב יהיו מועטים</w:t>
      </w:r>
      <w:r w:rsidR="00070D6E">
        <w:rPr>
          <w:rFonts w:hint="cs"/>
          <w:u w:val="single"/>
          <w:rtl/>
        </w:rPr>
        <w:t xml:space="preserve"> - האם עדיין נקראים נכסים מרובים</w:t>
      </w:r>
      <w:r w:rsidRPr="001D444C">
        <w:rPr>
          <w:rFonts w:hint="cs"/>
          <w:u w:val="single"/>
          <w:rtl/>
        </w:rPr>
        <w:t>:</w:t>
      </w:r>
    </w:p>
    <w:p w14:paraId="0BD9BC40" w14:textId="69BF0EC0" w:rsidR="00070D6E" w:rsidRPr="001D444C" w:rsidRDefault="00BB0672" w:rsidP="0063056B">
      <w:pPr>
        <w:ind w:left="360"/>
        <w:rPr>
          <w:u w:val="single"/>
          <w:rtl/>
        </w:rPr>
      </w:pPr>
      <w:r>
        <w:rPr>
          <w:rFonts w:hint="cs"/>
          <w:u w:val="dotted"/>
          <w:rtl/>
        </w:rPr>
        <w:lastRenderedPageBreak/>
        <w:t>כש</w:t>
      </w:r>
      <w:r w:rsidR="0063056B" w:rsidRPr="009551D3">
        <w:rPr>
          <w:rFonts w:hint="cs"/>
          <w:u w:val="dotted"/>
          <w:rtl/>
        </w:rPr>
        <w:t xml:space="preserve">יש </w:t>
      </w:r>
      <w:r w:rsidR="0063056B">
        <w:rPr>
          <w:rFonts w:hint="cs"/>
          <w:u w:val="dotted"/>
          <w:rtl/>
        </w:rPr>
        <w:t>על</w:t>
      </w:r>
      <w:r>
        <w:rPr>
          <w:rFonts w:hint="cs"/>
          <w:u w:val="dotted"/>
          <w:rtl/>
        </w:rPr>
        <w:t xml:space="preserve"> הנכסים</w:t>
      </w:r>
      <w:r w:rsidR="0063056B">
        <w:rPr>
          <w:rFonts w:hint="cs"/>
          <w:u w:val="dotted"/>
          <w:rtl/>
        </w:rPr>
        <w:t xml:space="preserve"> </w:t>
      </w:r>
      <w:r w:rsidR="0063056B" w:rsidRPr="009551D3">
        <w:rPr>
          <w:rFonts w:hint="cs"/>
          <w:u w:val="dotted"/>
          <w:rtl/>
        </w:rPr>
        <w:t xml:space="preserve">חיוב </w:t>
      </w:r>
      <w:r w:rsidR="0063056B">
        <w:rPr>
          <w:rFonts w:hint="cs"/>
          <w:b/>
          <w:bCs/>
          <w:u w:val="dotted"/>
          <w:rtl/>
        </w:rPr>
        <w:t>מזונות בת אשתו / בע"ח:</w:t>
      </w:r>
    </w:p>
    <w:p w14:paraId="7EA3EC44" w14:textId="77777777" w:rsidR="00392DBB" w:rsidRDefault="00392DBB" w:rsidP="009000E3">
      <w:pPr>
        <w:pStyle w:val="ab"/>
        <w:numPr>
          <w:ilvl w:val="0"/>
          <w:numId w:val="63"/>
        </w:numPr>
      </w:pPr>
      <w:r>
        <w:rPr>
          <w:rFonts w:hint="cs"/>
          <w:rtl/>
        </w:rPr>
        <w:t>רמב"ם</w:t>
      </w:r>
      <w:r>
        <w:rPr>
          <w:rStyle w:val="a7"/>
          <w:rtl/>
        </w:rPr>
        <w:footnoteReference w:id="2626"/>
      </w:r>
      <w:r>
        <w:rPr>
          <w:rFonts w:hint="cs"/>
          <w:sz w:val="16"/>
          <w:szCs w:val="16"/>
          <w:rtl/>
        </w:rPr>
        <w:t xml:space="preserve"> (פי"ט ה"כ)</w:t>
      </w:r>
      <w:r>
        <w:rPr>
          <w:rFonts w:cs="Arial" w:hint="cs"/>
          <w:rtl/>
        </w:rPr>
        <w:t xml:space="preserve"> וטור- </w:t>
      </w:r>
      <w:r w:rsidRPr="00B345A5">
        <w:rPr>
          <w:rFonts w:cs="Arial"/>
          <w:rtl/>
        </w:rPr>
        <w:t>היו מרובים ויש עליהם ב"ח</w:t>
      </w:r>
      <w:r>
        <w:rPr>
          <w:rStyle w:val="a7"/>
          <w:rFonts w:cs="Arial"/>
          <w:rtl/>
        </w:rPr>
        <w:footnoteReference w:id="2627"/>
      </w:r>
      <w:r>
        <w:rPr>
          <w:rFonts w:cs="Arial" w:hint="cs"/>
          <w:rtl/>
        </w:rPr>
        <w:t>,</w:t>
      </w:r>
      <w:r w:rsidRPr="00B345A5">
        <w:rPr>
          <w:rFonts w:cs="Arial"/>
          <w:rtl/>
        </w:rPr>
        <w:t xml:space="preserve"> או חיוב מזונות בת אשתו</w:t>
      </w:r>
      <w:r>
        <w:rPr>
          <w:rFonts w:cs="Arial" w:hint="cs"/>
          <w:rtl/>
        </w:rPr>
        <w:t xml:space="preserve">... </w:t>
      </w:r>
      <w:r w:rsidRPr="00B345A5">
        <w:rPr>
          <w:rFonts w:cs="Arial"/>
          <w:rtl/>
        </w:rPr>
        <w:t xml:space="preserve">וכשיוציא אחד מאלו ישארו מועטים </w:t>
      </w:r>
      <w:r>
        <w:rPr>
          <w:rFonts w:cs="Arial" w:hint="cs"/>
          <w:rtl/>
        </w:rPr>
        <w:t xml:space="preserve">- </w:t>
      </w:r>
      <w:r w:rsidRPr="00B345A5">
        <w:rPr>
          <w:rFonts w:cs="Arial"/>
          <w:rtl/>
        </w:rPr>
        <w:t>יש להם דין מרובים ויפרעו החוב שעליהן ויזונו הבנות מתחת ידיהם</w:t>
      </w:r>
      <w:r>
        <w:rPr>
          <w:rFonts w:cs="Arial" w:hint="cs"/>
          <w:sz w:val="16"/>
          <w:szCs w:val="16"/>
          <w:rtl/>
        </w:rPr>
        <w:t xml:space="preserve"> (ל' הטור)</w:t>
      </w:r>
      <w:r>
        <w:rPr>
          <w:rFonts w:cs="Arial" w:hint="cs"/>
          <w:rtl/>
        </w:rPr>
        <w:t>.</w:t>
      </w:r>
      <w:r w:rsidRPr="00B345A5">
        <w:rPr>
          <w:rFonts w:cs="Arial"/>
          <w:rtl/>
        </w:rPr>
        <w:t xml:space="preserve"> </w:t>
      </w:r>
      <w:r w:rsidRPr="00EA5C7B">
        <w:rPr>
          <w:rFonts w:hint="cs"/>
          <w:color w:val="E36C0A" w:themeColor="accent6" w:themeShade="BF"/>
          <w:rtl/>
        </w:rPr>
        <w:t>(וכ"פ בשו"ע)</w:t>
      </w:r>
    </w:p>
    <w:p w14:paraId="71ABFB70" w14:textId="1A4059AF" w:rsidR="00392DBB" w:rsidRPr="009551D3" w:rsidRDefault="00BB0672" w:rsidP="00392DBB">
      <w:pPr>
        <w:ind w:left="360"/>
        <w:rPr>
          <w:u w:val="dotted"/>
        </w:rPr>
      </w:pPr>
      <w:r>
        <w:rPr>
          <w:rFonts w:hint="cs"/>
          <w:u w:val="dotted"/>
          <w:rtl/>
        </w:rPr>
        <w:t>כש</w:t>
      </w:r>
      <w:r w:rsidRPr="009551D3">
        <w:rPr>
          <w:rFonts w:hint="cs"/>
          <w:u w:val="dotted"/>
          <w:rtl/>
        </w:rPr>
        <w:t xml:space="preserve">יש </w:t>
      </w:r>
      <w:r>
        <w:rPr>
          <w:rFonts w:hint="cs"/>
          <w:u w:val="dotted"/>
          <w:rtl/>
        </w:rPr>
        <w:t>על הנכסים</w:t>
      </w:r>
      <w:r w:rsidRPr="009551D3">
        <w:rPr>
          <w:rFonts w:hint="cs"/>
          <w:u w:val="dotted"/>
          <w:rtl/>
        </w:rPr>
        <w:t xml:space="preserve"> </w:t>
      </w:r>
      <w:r w:rsidR="00392DBB" w:rsidRPr="009551D3">
        <w:rPr>
          <w:rFonts w:hint="cs"/>
          <w:u w:val="dotted"/>
          <w:rtl/>
        </w:rPr>
        <w:t xml:space="preserve">חיוב </w:t>
      </w:r>
      <w:r w:rsidR="00392DBB" w:rsidRPr="00A13A6B">
        <w:rPr>
          <w:rFonts w:hint="cs"/>
          <w:b/>
          <w:bCs/>
          <w:u w:val="dotted"/>
          <w:rtl/>
        </w:rPr>
        <w:t>עישור נכסים</w:t>
      </w:r>
      <w:r w:rsidR="00392DBB" w:rsidRPr="009551D3">
        <w:rPr>
          <w:rFonts w:hint="cs"/>
          <w:u w:val="dotted"/>
          <w:rtl/>
        </w:rPr>
        <w:t>:</w:t>
      </w:r>
    </w:p>
    <w:p w14:paraId="6DD9F8F0" w14:textId="2B5B79E8" w:rsidR="00392DBB" w:rsidRDefault="00392DBB" w:rsidP="009000E3">
      <w:pPr>
        <w:pStyle w:val="ab"/>
        <w:numPr>
          <w:ilvl w:val="0"/>
          <w:numId w:val="63"/>
        </w:numPr>
      </w:pPr>
      <w:r>
        <w:rPr>
          <w:rFonts w:cs="Arial" w:hint="cs"/>
          <w:rtl/>
        </w:rPr>
        <w:t xml:space="preserve">רא"ש </w:t>
      </w:r>
      <w:r>
        <w:rPr>
          <w:rFonts w:cs="Arial" w:hint="cs"/>
          <w:sz w:val="16"/>
          <w:szCs w:val="16"/>
          <w:rtl/>
        </w:rPr>
        <w:t xml:space="preserve">(פ"ט סי' ג) </w:t>
      </w:r>
      <w:r>
        <w:rPr>
          <w:rFonts w:cs="Arial" w:hint="cs"/>
          <w:rtl/>
        </w:rPr>
        <w:t xml:space="preserve">וטור- </w:t>
      </w:r>
      <w:r w:rsidRPr="00B345A5">
        <w:rPr>
          <w:rFonts w:cs="Arial"/>
          <w:rtl/>
        </w:rPr>
        <w:t>היו מרובים ויש עליהם</w:t>
      </w:r>
      <w:r>
        <w:rPr>
          <w:rFonts w:cs="Arial" w:hint="cs"/>
          <w:rtl/>
        </w:rPr>
        <w:t>...</w:t>
      </w:r>
      <w:r w:rsidRPr="00B345A5">
        <w:rPr>
          <w:rFonts w:cs="Arial"/>
          <w:rtl/>
        </w:rPr>
        <w:t xml:space="preserve"> חיוב עישור נכסים לפרנס בתו</w:t>
      </w:r>
      <w:r>
        <w:rPr>
          <w:rFonts w:cs="Arial" w:hint="cs"/>
          <w:rtl/>
        </w:rPr>
        <w:t>...</w:t>
      </w:r>
      <w:r w:rsidRPr="00B345A5">
        <w:rPr>
          <w:rFonts w:cs="Arial"/>
          <w:rtl/>
        </w:rPr>
        <w:t xml:space="preserve"> </w:t>
      </w:r>
      <w:r>
        <w:rPr>
          <w:rFonts w:cs="Arial" w:hint="cs"/>
          <w:rtl/>
        </w:rPr>
        <w:t xml:space="preserve">- </w:t>
      </w:r>
      <w:r w:rsidRPr="00B345A5">
        <w:rPr>
          <w:rFonts w:cs="Arial"/>
          <w:rtl/>
        </w:rPr>
        <w:t>יש להם דין מרובים</w:t>
      </w:r>
      <w:r>
        <w:rPr>
          <w:rFonts w:cs="Arial" w:hint="cs"/>
          <w:sz w:val="16"/>
          <w:szCs w:val="16"/>
          <w:rtl/>
        </w:rPr>
        <w:t xml:space="preserve"> (ל' הטור)</w:t>
      </w:r>
      <w:r>
        <w:rPr>
          <w:rFonts w:cs="Arial" w:hint="cs"/>
          <w:rtl/>
        </w:rPr>
        <w:t>.</w:t>
      </w:r>
      <w:r w:rsidRPr="00B345A5">
        <w:rPr>
          <w:rFonts w:cs="Arial"/>
          <w:rtl/>
        </w:rPr>
        <w:t xml:space="preserve"> </w:t>
      </w:r>
      <w:r w:rsidRPr="00EA5C7B">
        <w:rPr>
          <w:rFonts w:hint="cs"/>
          <w:color w:val="E36C0A" w:themeColor="accent6" w:themeShade="BF"/>
          <w:rtl/>
        </w:rPr>
        <w:t>(וכ"פ בשו"ע)</w:t>
      </w:r>
      <w:r w:rsidR="00BB0672">
        <w:rPr>
          <w:rFonts w:hint="cs"/>
          <w:rtl/>
        </w:rPr>
        <w:t xml:space="preserve"> </w:t>
      </w:r>
    </w:p>
    <w:p w14:paraId="5E2FF5C3" w14:textId="23BEE3CE" w:rsidR="00392DBB" w:rsidRPr="00A13A6B" w:rsidRDefault="00BB0672" w:rsidP="00392DBB">
      <w:pPr>
        <w:ind w:left="360"/>
        <w:rPr>
          <w:u w:val="dotted"/>
        </w:rPr>
      </w:pPr>
      <w:r>
        <w:rPr>
          <w:rFonts w:hint="cs"/>
          <w:u w:val="dotted"/>
          <w:rtl/>
        </w:rPr>
        <w:t>כש</w:t>
      </w:r>
      <w:r w:rsidRPr="009551D3">
        <w:rPr>
          <w:rFonts w:hint="cs"/>
          <w:u w:val="dotted"/>
          <w:rtl/>
        </w:rPr>
        <w:t xml:space="preserve">יש </w:t>
      </w:r>
      <w:r>
        <w:rPr>
          <w:rFonts w:hint="cs"/>
          <w:u w:val="dotted"/>
          <w:rtl/>
        </w:rPr>
        <w:t>על הנכסים</w:t>
      </w:r>
      <w:r w:rsidRPr="00A13A6B">
        <w:rPr>
          <w:rFonts w:hint="cs"/>
          <w:u w:val="dotted"/>
          <w:rtl/>
        </w:rPr>
        <w:t xml:space="preserve"> </w:t>
      </w:r>
      <w:r w:rsidR="00392DBB" w:rsidRPr="00A13A6B">
        <w:rPr>
          <w:rFonts w:hint="cs"/>
          <w:u w:val="dotted"/>
          <w:rtl/>
        </w:rPr>
        <w:t xml:space="preserve">חיוב </w:t>
      </w:r>
      <w:r w:rsidR="00392DBB" w:rsidRPr="00A13A6B">
        <w:rPr>
          <w:rFonts w:hint="cs"/>
          <w:b/>
          <w:bCs/>
          <w:u w:val="dotted"/>
          <w:rtl/>
        </w:rPr>
        <w:t>מזונות אלמנה</w:t>
      </w:r>
      <w:r w:rsidR="00392DBB" w:rsidRPr="00A13A6B">
        <w:rPr>
          <w:rFonts w:hint="cs"/>
          <w:u w:val="dotted"/>
          <w:rtl/>
        </w:rPr>
        <w:t>:</w:t>
      </w:r>
    </w:p>
    <w:p w14:paraId="70F42D4D" w14:textId="77777777" w:rsidR="00392DBB" w:rsidRDefault="00392DBB" w:rsidP="009000E3">
      <w:pPr>
        <w:pStyle w:val="ab"/>
        <w:numPr>
          <w:ilvl w:val="0"/>
          <w:numId w:val="63"/>
        </w:numPr>
      </w:pPr>
      <w:r>
        <w:rPr>
          <w:rFonts w:cs="Arial" w:hint="cs"/>
          <w:rtl/>
        </w:rPr>
        <w:t xml:space="preserve">טור- </w:t>
      </w:r>
      <w:r w:rsidRPr="00B345A5">
        <w:rPr>
          <w:rFonts w:cs="Arial"/>
          <w:rtl/>
        </w:rPr>
        <w:t>היו מרובים ויש עליהם</w:t>
      </w:r>
      <w:r>
        <w:rPr>
          <w:rFonts w:cs="Arial" w:hint="cs"/>
          <w:rtl/>
        </w:rPr>
        <w:t>...</w:t>
      </w:r>
      <w:r w:rsidRPr="00B345A5">
        <w:rPr>
          <w:rFonts w:cs="Arial"/>
          <w:rtl/>
        </w:rPr>
        <w:t xml:space="preserve"> מזונות האלמנה</w:t>
      </w:r>
      <w:r>
        <w:rPr>
          <w:rFonts w:cs="Arial" w:hint="cs"/>
          <w:rtl/>
        </w:rPr>
        <w:t>...</w:t>
      </w:r>
      <w:r w:rsidRPr="00B345A5">
        <w:rPr>
          <w:rFonts w:cs="Arial"/>
          <w:rtl/>
        </w:rPr>
        <w:t xml:space="preserve"> </w:t>
      </w:r>
      <w:r>
        <w:rPr>
          <w:rFonts w:cs="Arial" w:hint="cs"/>
          <w:rtl/>
        </w:rPr>
        <w:t xml:space="preserve">- </w:t>
      </w:r>
      <w:r w:rsidRPr="00B345A5">
        <w:rPr>
          <w:rFonts w:cs="Arial"/>
          <w:rtl/>
        </w:rPr>
        <w:t>יש להם דין מרובים</w:t>
      </w:r>
      <w:r>
        <w:rPr>
          <w:rFonts w:cs="Arial" w:hint="cs"/>
          <w:rtl/>
        </w:rPr>
        <w:t>...</w:t>
      </w:r>
      <w:r w:rsidRPr="00B345A5">
        <w:rPr>
          <w:rFonts w:cs="Arial"/>
          <w:rtl/>
        </w:rPr>
        <w:t xml:space="preserve"> </w:t>
      </w:r>
      <w:r>
        <w:rPr>
          <w:rFonts w:cs="Arial" w:hint="cs"/>
          <w:rtl/>
        </w:rPr>
        <w:t>וי</w:t>
      </w:r>
      <w:r w:rsidRPr="00B345A5">
        <w:rPr>
          <w:rFonts w:cs="Arial"/>
          <w:rtl/>
        </w:rPr>
        <w:t>זונו שלשתן יחד</w:t>
      </w:r>
      <w:r>
        <w:rPr>
          <w:rFonts w:cs="Arial" w:hint="cs"/>
          <w:rtl/>
        </w:rPr>
        <w:t>.</w:t>
      </w:r>
      <w:r w:rsidRPr="00B345A5">
        <w:rPr>
          <w:rFonts w:cs="Arial"/>
          <w:rtl/>
        </w:rPr>
        <w:t xml:space="preserve"> </w:t>
      </w:r>
    </w:p>
    <w:p w14:paraId="627ADFA7" w14:textId="77777777" w:rsidR="00392DBB" w:rsidRDefault="00392DBB" w:rsidP="009000E3">
      <w:pPr>
        <w:pStyle w:val="ab"/>
        <w:numPr>
          <w:ilvl w:val="0"/>
          <w:numId w:val="63"/>
        </w:numPr>
        <w:rPr>
          <w:rtl/>
        </w:rPr>
      </w:pPr>
      <w:r>
        <w:rPr>
          <w:rFonts w:cs="Arial" w:hint="cs"/>
          <w:rtl/>
        </w:rPr>
        <w:t xml:space="preserve">הה"מ </w:t>
      </w:r>
      <w:r w:rsidRPr="00C573F5">
        <w:rPr>
          <w:rFonts w:cs="Arial" w:hint="cs"/>
          <w:sz w:val="16"/>
          <w:szCs w:val="16"/>
          <w:rtl/>
        </w:rPr>
        <w:t>(</w:t>
      </w:r>
      <w:r w:rsidRPr="00C573F5">
        <w:rPr>
          <w:rFonts w:cs="Arial"/>
          <w:sz w:val="16"/>
          <w:szCs w:val="16"/>
          <w:rtl/>
        </w:rPr>
        <w:t>פי"ט הכ"א</w:t>
      </w:r>
      <w:r>
        <w:rPr>
          <w:rFonts w:cs="Arial" w:hint="cs"/>
          <w:sz w:val="16"/>
          <w:szCs w:val="16"/>
          <w:rtl/>
        </w:rPr>
        <w:t>, הביאו הב"י בבדה"ב</w:t>
      </w:r>
      <w:r w:rsidRPr="00C573F5">
        <w:rPr>
          <w:rFonts w:cs="Arial"/>
          <w:sz w:val="16"/>
          <w:szCs w:val="16"/>
          <w:rtl/>
        </w:rPr>
        <w:t>)</w:t>
      </w:r>
      <w:r w:rsidRPr="00F0077E">
        <w:rPr>
          <w:rFonts w:cs="Arial"/>
          <w:rtl/>
        </w:rPr>
        <w:t xml:space="preserve"> בשם המפרשים</w:t>
      </w:r>
      <w:r>
        <w:rPr>
          <w:rFonts w:cs="Arial" w:hint="cs"/>
          <w:sz w:val="16"/>
          <w:szCs w:val="16"/>
          <w:rtl/>
        </w:rPr>
        <w:t xml:space="preserve"> (רי"ף רמב"ם רמב"ן ור"ן)</w:t>
      </w:r>
      <w:r>
        <w:rPr>
          <w:rFonts w:cs="Arial" w:hint="cs"/>
          <w:rtl/>
        </w:rPr>
        <w:t xml:space="preserve">- </w:t>
      </w:r>
      <w:r w:rsidRPr="00F0077E">
        <w:rPr>
          <w:rFonts w:cs="Arial"/>
          <w:rtl/>
        </w:rPr>
        <w:t>מזונות אלמנה ממעטים</w:t>
      </w:r>
      <w:r w:rsidRPr="00F0077E">
        <w:rPr>
          <w:rFonts w:cs="Arial" w:hint="cs"/>
          <w:rtl/>
        </w:rPr>
        <w:t>.</w:t>
      </w:r>
      <w:r w:rsidRPr="00C573F5">
        <w:rPr>
          <w:rFonts w:hint="cs"/>
          <w:color w:val="E36C0A" w:themeColor="accent6" w:themeShade="BF"/>
          <w:rtl/>
        </w:rPr>
        <w:t xml:space="preserve"> </w:t>
      </w:r>
      <w:r w:rsidRPr="00EA5C7B">
        <w:rPr>
          <w:rFonts w:hint="cs"/>
          <w:color w:val="E36C0A" w:themeColor="accent6" w:themeShade="BF"/>
          <w:rtl/>
        </w:rPr>
        <w:t>(וכ"פ בשו"ע</w:t>
      </w:r>
      <w:r>
        <w:rPr>
          <w:rFonts w:hint="cs"/>
          <w:color w:val="E36C0A" w:themeColor="accent6" w:themeShade="BF"/>
          <w:rtl/>
        </w:rPr>
        <w:t xml:space="preserve"> </w:t>
      </w:r>
      <w:r w:rsidRPr="00290018">
        <w:rPr>
          <w:rFonts w:hint="cs"/>
          <w:color w:val="000000" w:themeColor="text1"/>
          <w:sz w:val="16"/>
          <w:szCs w:val="16"/>
          <w:rtl/>
        </w:rPr>
        <w:t>[</w:t>
      </w:r>
      <w:r>
        <w:rPr>
          <w:rFonts w:hint="cs"/>
          <w:color w:val="000000" w:themeColor="text1"/>
          <w:sz w:val="16"/>
          <w:szCs w:val="16"/>
          <w:rtl/>
        </w:rPr>
        <w:t>בסע' הבא ובסי' צג ס"ד</w:t>
      </w:r>
      <w:r>
        <w:rPr>
          <w:rStyle w:val="a7"/>
          <w:color w:val="000000" w:themeColor="text1"/>
          <w:sz w:val="16"/>
          <w:szCs w:val="16"/>
          <w:rtl/>
        </w:rPr>
        <w:footnoteReference w:id="2628"/>
      </w:r>
      <w:r>
        <w:rPr>
          <w:rFonts w:hint="cs"/>
          <w:color w:val="000000" w:themeColor="text1"/>
          <w:sz w:val="16"/>
          <w:szCs w:val="16"/>
          <w:rtl/>
        </w:rPr>
        <w:t>]</w:t>
      </w:r>
      <w:r w:rsidRPr="00EA5C7B">
        <w:rPr>
          <w:rFonts w:hint="cs"/>
          <w:color w:val="E36C0A" w:themeColor="accent6" w:themeShade="BF"/>
          <w:rtl/>
        </w:rPr>
        <w:t>)</w:t>
      </w:r>
    </w:p>
    <w:p w14:paraId="1EE2ED1A" w14:textId="2D763852" w:rsidR="00392DBB" w:rsidRPr="00A13A6B" w:rsidRDefault="00BB0672" w:rsidP="00392DBB">
      <w:pPr>
        <w:ind w:left="360"/>
        <w:rPr>
          <w:u w:val="dotted"/>
        </w:rPr>
      </w:pPr>
      <w:r>
        <w:rPr>
          <w:rFonts w:hint="cs"/>
          <w:u w:val="dotted"/>
          <w:rtl/>
        </w:rPr>
        <w:t>כש</w:t>
      </w:r>
      <w:r w:rsidRPr="009551D3">
        <w:rPr>
          <w:rFonts w:hint="cs"/>
          <w:u w:val="dotted"/>
          <w:rtl/>
        </w:rPr>
        <w:t xml:space="preserve">יש </w:t>
      </w:r>
      <w:r>
        <w:rPr>
          <w:rFonts w:hint="cs"/>
          <w:u w:val="dotted"/>
          <w:rtl/>
        </w:rPr>
        <w:t>על הנכסים</w:t>
      </w:r>
      <w:r w:rsidRPr="00A13A6B">
        <w:rPr>
          <w:rFonts w:hint="cs"/>
          <w:u w:val="dotted"/>
          <w:rtl/>
        </w:rPr>
        <w:t xml:space="preserve"> </w:t>
      </w:r>
      <w:r w:rsidR="00392DBB" w:rsidRPr="00A13A6B">
        <w:rPr>
          <w:rFonts w:hint="cs"/>
          <w:u w:val="dotted"/>
          <w:rtl/>
        </w:rPr>
        <w:t xml:space="preserve">חיוב </w:t>
      </w:r>
      <w:r w:rsidR="00392DBB" w:rsidRPr="00A13A6B">
        <w:rPr>
          <w:rFonts w:hint="cs"/>
          <w:b/>
          <w:bCs/>
          <w:u w:val="dotted"/>
          <w:rtl/>
        </w:rPr>
        <w:t>כתובת אלמנה</w:t>
      </w:r>
      <w:r w:rsidR="00392DBB" w:rsidRPr="00A13A6B">
        <w:rPr>
          <w:rFonts w:hint="cs"/>
          <w:u w:val="dotted"/>
          <w:rtl/>
        </w:rPr>
        <w:t>:</w:t>
      </w:r>
    </w:p>
    <w:p w14:paraId="02AEB359" w14:textId="77777777" w:rsidR="00392DBB" w:rsidRPr="00EF7111" w:rsidRDefault="00392DBB" w:rsidP="009000E3">
      <w:pPr>
        <w:pStyle w:val="ab"/>
        <w:numPr>
          <w:ilvl w:val="0"/>
          <w:numId w:val="63"/>
        </w:numPr>
      </w:pPr>
      <w:r>
        <w:rPr>
          <w:rFonts w:cs="Arial" w:hint="cs"/>
          <w:rtl/>
        </w:rPr>
        <w:t xml:space="preserve">רא"ש </w:t>
      </w:r>
      <w:r>
        <w:rPr>
          <w:rFonts w:cs="Arial" w:hint="cs"/>
          <w:sz w:val="16"/>
          <w:szCs w:val="16"/>
          <w:rtl/>
        </w:rPr>
        <w:t xml:space="preserve">(פ"ט סי' ג) </w:t>
      </w:r>
      <w:r>
        <w:rPr>
          <w:rFonts w:cs="Arial" w:hint="cs"/>
          <w:rtl/>
        </w:rPr>
        <w:t xml:space="preserve">וטור- </w:t>
      </w:r>
      <w:r w:rsidRPr="00B345A5">
        <w:rPr>
          <w:rFonts w:cs="Arial"/>
          <w:rtl/>
        </w:rPr>
        <w:t>היו מרובים ויש עליהם</w:t>
      </w:r>
      <w:r>
        <w:rPr>
          <w:rFonts w:cs="Arial" w:hint="cs"/>
          <w:rtl/>
        </w:rPr>
        <w:t>...</w:t>
      </w:r>
      <w:r w:rsidRPr="00B345A5">
        <w:rPr>
          <w:rFonts w:cs="Arial"/>
          <w:rtl/>
        </w:rPr>
        <w:t xml:space="preserve"> כתובת אלמנה </w:t>
      </w:r>
      <w:r>
        <w:rPr>
          <w:rFonts w:cs="Arial" w:hint="cs"/>
          <w:rtl/>
        </w:rPr>
        <w:t xml:space="preserve">- </w:t>
      </w:r>
      <w:r w:rsidRPr="00B345A5">
        <w:rPr>
          <w:rFonts w:cs="Arial"/>
          <w:rtl/>
        </w:rPr>
        <w:t>ממעטת</w:t>
      </w:r>
      <w:r>
        <w:rPr>
          <w:rFonts w:cs="Arial" w:hint="cs"/>
          <w:rtl/>
        </w:rPr>
        <w:t>,</w:t>
      </w:r>
      <w:r w:rsidRPr="00B345A5">
        <w:rPr>
          <w:rFonts w:cs="Arial"/>
          <w:rtl/>
        </w:rPr>
        <w:t xml:space="preserve"> ועושין אותם מועטים</w:t>
      </w:r>
      <w:r>
        <w:rPr>
          <w:rFonts w:cs="Arial" w:hint="cs"/>
          <w:sz w:val="16"/>
          <w:szCs w:val="16"/>
          <w:rtl/>
        </w:rPr>
        <w:t xml:space="preserve"> (ל' הטור)</w:t>
      </w:r>
      <w:r>
        <w:rPr>
          <w:rFonts w:cs="Arial" w:hint="cs"/>
          <w:rtl/>
        </w:rPr>
        <w:t>.</w:t>
      </w:r>
      <w:r w:rsidRPr="00B345A5">
        <w:rPr>
          <w:rFonts w:cs="Arial"/>
          <w:rtl/>
        </w:rPr>
        <w:t xml:space="preserve"> </w:t>
      </w:r>
      <w:r w:rsidRPr="00EA5C7B">
        <w:rPr>
          <w:rFonts w:hint="cs"/>
          <w:color w:val="E36C0A" w:themeColor="accent6" w:themeShade="BF"/>
          <w:rtl/>
        </w:rPr>
        <w:t>(וכ"פ בשו"ע)</w:t>
      </w:r>
    </w:p>
    <w:p w14:paraId="032319F4"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4A75718" w14:textId="77777777" w:rsidR="00392DBB" w:rsidRDefault="00392DBB" w:rsidP="00392DBB">
      <w:pPr>
        <w:rPr>
          <w:rFonts w:cs="Arial"/>
          <w:rtl/>
        </w:rPr>
      </w:pPr>
      <w:r w:rsidRPr="00523CDE">
        <w:rPr>
          <w:rFonts w:cs="Arial"/>
          <w:rtl/>
        </w:rPr>
        <w:t>היו הנכסים מרובים ויש עליו חוב</w:t>
      </w:r>
      <w:r>
        <w:rPr>
          <w:rStyle w:val="a7"/>
          <w:rFonts w:cs="Arial"/>
          <w:rtl/>
        </w:rPr>
        <w:footnoteReference w:id="2629"/>
      </w:r>
      <w:r>
        <w:rPr>
          <w:rFonts w:cs="Arial" w:hint="cs"/>
          <w:rtl/>
        </w:rPr>
        <w:t>,</w:t>
      </w:r>
      <w:r w:rsidRPr="00523CDE">
        <w:rPr>
          <w:rFonts w:cs="Arial"/>
          <w:rtl/>
        </w:rPr>
        <w:t xml:space="preserve"> או חיוב מזונות בת אשתו</w:t>
      </w:r>
      <w:r>
        <w:rPr>
          <w:rFonts w:cs="Arial" w:hint="cs"/>
          <w:rtl/>
        </w:rPr>
        <w:t>,</w:t>
      </w:r>
      <w:r w:rsidRPr="00523CDE">
        <w:rPr>
          <w:rFonts w:cs="Arial"/>
          <w:rtl/>
        </w:rPr>
        <w:t xml:space="preserve"> או חיוב עישור נכסים</w:t>
      </w:r>
      <w:r>
        <w:rPr>
          <w:rStyle w:val="a7"/>
          <w:rFonts w:cs="Arial"/>
          <w:rtl/>
        </w:rPr>
        <w:footnoteReference w:id="2630"/>
      </w:r>
      <w:r w:rsidRPr="00523CDE">
        <w:rPr>
          <w:rFonts w:cs="Arial"/>
          <w:rtl/>
        </w:rPr>
        <w:t xml:space="preserve"> לפרנסת בתו, וכשיוציא אחד מאלו ישארו מועטים, יש להם דין מרובים. אבל כתובת האלמנה ממעטת ועושה אותה מועטים. ומזונות האלמנה, י</w:t>
      </w:r>
      <w:r>
        <w:rPr>
          <w:rFonts w:cs="Arial" w:hint="cs"/>
          <w:rtl/>
        </w:rPr>
        <w:t>ש אומרים</w:t>
      </w:r>
      <w:r w:rsidRPr="00523CDE">
        <w:rPr>
          <w:rFonts w:cs="Arial"/>
          <w:rtl/>
        </w:rPr>
        <w:t xml:space="preserve"> שממעטים</w:t>
      </w:r>
      <w:r>
        <w:rPr>
          <w:rFonts w:cs="Arial" w:hint="cs"/>
          <w:rtl/>
        </w:rPr>
        <w:t>,</w:t>
      </w:r>
      <w:r w:rsidRPr="00523CDE">
        <w:rPr>
          <w:rFonts w:cs="Arial"/>
          <w:rtl/>
        </w:rPr>
        <w:t xml:space="preserve"> וי</w:t>
      </w:r>
      <w:r>
        <w:rPr>
          <w:rFonts w:cs="Arial" w:hint="cs"/>
          <w:rtl/>
        </w:rPr>
        <w:t xml:space="preserve">ש </w:t>
      </w:r>
      <w:r w:rsidRPr="00523CDE">
        <w:rPr>
          <w:rFonts w:cs="Arial"/>
          <w:rtl/>
        </w:rPr>
        <w:t>א</w:t>
      </w:r>
      <w:r>
        <w:rPr>
          <w:rFonts w:cs="Arial" w:hint="cs"/>
          <w:rtl/>
        </w:rPr>
        <w:t>ומרים</w:t>
      </w:r>
      <w:r w:rsidRPr="00523CDE">
        <w:rPr>
          <w:rFonts w:cs="Arial"/>
          <w:rtl/>
        </w:rPr>
        <w:t xml:space="preserve"> שאין ממעטים</w:t>
      </w:r>
      <w:r>
        <w:rPr>
          <w:rStyle w:val="a7"/>
          <w:rFonts w:cs="Arial"/>
          <w:rtl/>
        </w:rPr>
        <w:footnoteReference w:id="2631"/>
      </w:r>
      <w:r w:rsidRPr="00523CDE">
        <w:rPr>
          <w:rFonts w:cs="Arial"/>
          <w:rtl/>
        </w:rPr>
        <w:t xml:space="preserve">. </w:t>
      </w:r>
    </w:p>
    <w:p w14:paraId="52C5200F" w14:textId="77777777" w:rsidR="00392DBB" w:rsidRPr="00523CDE" w:rsidRDefault="00392DBB" w:rsidP="00392DBB">
      <w:pPr>
        <w:rPr>
          <w:rFonts w:cs="Arial"/>
          <w:rtl/>
        </w:rPr>
      </w:pPr>
    </w:p>
    <w:p w14:paraId="6F6BCAD2" w14:textId="77777777" w:rsidR="00392DBB" w:rsidRDefault="00392DBB" w:rsidP="000F64D0">
      <w:pPr>
        <w:pStyle w:val="2"/>
        <w:rPr>
          <w:rtl/>
        </w:rPr>
      </w:pPr>
      <w:r w:rsidRPr="00523CDE">
        <w:rPr>
          <w:rtl/>
        </w:rPr>
        <w:t>סעיף טז</w:t>
      </w:r>
      <w:r>
        <w:rPr>
          <w:rFonts w:hint="cs"/>
          <w:rtl/>
        </w:rPr>
        <w:t>: נכסים מועטים ויש אלמנה ובת ו/או בן.</w:t>
      </w:r>
    </w:p>
    <w:p w14:paraId="1550BF4C" w14:textId="77777777" w:rsidR="00392DBB" w:rsidRDefault="00392DBB" w:rsidP="00392DBB">
      <w:pPr>
        <w:rPr>
          <w:rFonts w:cs="Arial"/>
          <w:rtl/>
        </w:rPr>
      </w:pPr>
      <w:r>
        <w:rPr>
          <w:rFonts w:cs="Arial" w:hint="cs"/>
          <w:b/>
          <w:bCs/>
          <w:rtl/>
        </w:rPr>
        <w:t>בבא בתרא</w:t>
      </w:r>
      <w:r>
        <w:rPr>
          <w:rFonts w:cs="Arial" w:hint="cs"/>
          <w:b/>
          <w:bCs/>
          <w:sz w:val="16"/>
          <w:szCs w:val="16"/>
          <w:rtl/>
        </w:rPr>
        <w:t xml:space="preserve"> (ר"פ מי שמת)</w:t>
      </w:r>
      <w:r>
        <w:rPr>
          <w:rFonts w:cs="Arial" w:hint="cs"/>
          <w:b/>
          <w:bCs/>
          <w:rtl/>
        </w:rPr>
        <w:t xml:space="preserve"> קלט</w:t>
      </w:r>
      <w:r>
        <w:rPr>
          <w:rStyle w:val="a7"/>
          <w:rFonts w:cs="Arial"/>
          <w:b/>
          <w:bCs/>
          <w:rtl/>
        </w:rPr>
        <w:footnoteReference w:id="2632"/>
      </w:r>
      <w:r>
        <w:rPr>
          <w:rFonts w:cs="Arial" w:hint="cs"/>
          <w:b/>
          <w:bCs/>
          <w:rtl/>
        </w:rPr>
        <w:t xml:space="preserve"> ע"ב: </w:t>
      </w:r>
      <w:r w:rsidRPr="009F73FD">
        <w:rPr>
          <w:rFonts w:cs="Arial"/>
          <w:u w:val="double"/>
          <w:rtl/>
        </w:rPr>
        <w:t>מתני'</w:t>
      </w:r>
      <w:r>
        <w:rPr>
          <w:rFonts w:cs="Arial" w:hint="cs"/>
          <w:rtl/>
        </w:rPr>
        <w:t>:</w:t>
      </w:r>
      <w:r w:rsidRPr="009F73FD">
        <w:rPr>
          <w:rFonts w:cs="Arial"/>
          <w:rtl/>
        </w:rPr>
        <w:t xml:space="preserve"> מי שמת והניח בנים ובנות, בזמן שהנכסים מרובין - הבנים יירשו והבנות יזונו, נכסים מועטין - הבנות יזונו והבנים ישאלו על הפתחים</w:t>
      </w:r>
      <w:r>
        <w:rPr>
          <w:rFonts w:cs="Arial" w:hint="cs"/>
          <w:rtl/>
        </w:rPr>
        <w:t>.</w:t>
      </w:r>
      <w:r w:rsidRPr="009F73FD">
        <w:rPr>
          <w:rFonts w:cs="Arial"/>
          <w:rtl/>
        </w:rPr>
        <w:t xml:space="preserve"> </w:t>
      </w:r>
      <w:r w:rsidRPr="009F73FD">
        <w:rPr>
          <w:rFonts w:cs="Arial"/>
          <w:u w:val="single"/>
          <w:rtl/>
        </w:rPr>
        <w:t>אדמון אומר</w:t>
      </w:r>
      <w:r w:rsidRPr="009F73FD">
        <w:rPr>
          <w:rFonts w:cs="Arial"/>
          <w:rtl/>
        </w:rPr>
        <w:t xml:space="preserve">: בשביל שאני זכר הפסדתי? </w:t>
      </w:r>
      <w:r w:rsidRPr="009F73FD">
        <w:rPr>
          <w:rFonts w:cs="Arial"/>
          <w:u w:val="single"/>
          <w:rtl/>
        </w:rPr>
        <w:t>אמר רבן גמליאל</w:t>
      </w:r>
      <w:r w:rsidRPr="009F73FD">
        <w:rPr>
          <w:rFonts w:cs="Arial"/>
          <w:rtl/>
        </w:rPr>
        <w:t xml:space="preserve">: רואה אני את דברי אדמון. </w:t>
      </w:r>
      <w:r>
        <w:rPr>
          <w:rFonts w:cs="Arial" w:hint="cs"/>
          <w:rtl/>
        </w:rPr>
        <w:t xml:space="preserve">        </w:t>
      </w:r>
      <w:r w:rsidRPr="0078313F">
        <w:rPr>
          <w:rFonts w:cs="Arial" w:hint="cs"/>
          <w:u w:val="double"/>
          <w:rtl/>
        </w:rPr>
        <w:t>גמ'</w:t>
      </w:r>
      <w:r>
        <w:rPr>
          <w:rFonts w:cs="Arial" w:hint="cs"/>
          <w:sz w:val="14"/>
          <w:szCs w:val="14"/>
          <w:u w:val="double"/>
          <w:rtl/>
        </w:rPr>
        <w:t>(קמ.)</w:t>
      </w:r>
      <w:r w:rsidRPr="0078313F">
        <w:rPr>
          <w:rFonts w:cs="Arial" w:hint="cs"/>
          <w:u w:val="double"/>
          <w:rtl/>
        </w:rPr>
        <w:t>:</w:t>
      </w:r>
      <w:r>
        <w:rPr>
          <w:rFonts w:cs="Arial" w:hint="cs"/>
          <w:rtl/>
        </w:rPr>
        <w:t xml:space="preserve"> </w:t>
      </w:r>
      <w:r w:rsidRPr="0078313F">
        <w:rPr>
          <w:rFonts w:cs="Arial"/>
          <w:u w:val="single"/>
          <w:rtl/>
        </w:rPr>
        <w:t>יתיב רבי ירמיה קמיה דרבי אבהו וקא בעי מיניה</w:t>
      </w:r>
      <w:r w:rsidRPr="0078313F">
        <w:rPr>
          <w:rFonts w:cs="Arial"/>
          <w:rtl/>
        </w:rPr>
        <w:t>: אלמנתו מהו שתמעט בנכסים</w:t>
      </w:r>
      <w:r>
        <w:rPr>
          <w:rStyle w:val="a7"/>
          <w:rFonts w:cs="Arial"/>
          <w:rtl/>
        </w:rPr>
        <w:footnoteReference w:id="2633"/>
      </w:r>
      <w:r w:rsidRPr="0078313F">
        <w:rPr>
          <w:rFonts w:cs="Arial"/>
          <w:rtl/>
        </w:rPr>
        <w:t xml:space="preserve">? מי אמרינן: כיון דאית לה מזוני - ממעטא, או דלמא כיון דאילו מנסבא לית לה, השתא נמי לית לה? אם תמצא לומר: כיון דאילו מנסבא לית לה, השתא נמי לית לה, בת אשתו מהו שתמעט בנכסים? מי אמרינן: כיון דכי מנסבא נמי אית לה - וממעטא, או דלמא כיון דאילו מתה לית לה - ולא ממעטא? ואם תמצא לומר: כיון דאילו מתה לית לה ולא ממעטא, בע"ח מהו שימעט בנכסים? מי אמרינן: כיון דכי מיית נמי אית ליה - ממעט, או דלמא כיון </w:t>
      </w:r>
      <w:r w:rsidRPr="0078313F">
        <w:rPr>
          <w:rFonts w:cs="Arial"/>
          <w:rtl/>
        </w:rPr>
        <w:lastRenderedPageBreak/>
        <w:t>דמחסרי גוביינא לא ממעט? ואיכא דבעי לה לאידך גיסא: בע"ח מהו שימעט בנכסים?</w:t>
      </w:r>
      <w:r>
        <w:rPr>
          <w:rFonts w:cs="Arial" w:hint="cs"/>
          <w:sz w:val="14"/>
          <w:szCs w:val="14"/>
          <w:rtl/>
        </w:rPr>
        <w:t>(קמ:)</w:t>
      </w:r>
      <w:r w:rsidRPr="0078313F">
        <w:rPr>
          <w:rtl/>
        </w:rPr>
        <w:t xml:space="preserve"> </w:t>
      </w:r>
      <w:r w:rsidRPr="0078313F">
        <w:rPr>
          <w:rFonts w:cs="Arial"/>
          <w:rtl/>
        </w:rPr>
        <w:t xml:space="preserve">בת אשתו מהו שתמעט בנכסים? אלמנתו מהו שתמעט בנכסים? אלמנתו ובת אי זה מהן קודמת? </w:t>
      </w:r>
      <w:r w:rsidRPr="00892405">
        <w:rPr>
          <w:rFonts w:cs="Arial"/>
          <w:u w:val="single"/>
          <w:rtl/>
        </w:rPr>
        <w:t>אמר ליה</w:t>
      </w:r>
      <w:r w:rsidRPr="0078313F">
        <w:rPr>
          <w:rFonts w:cs="Arial"/>
          <w:rtl/>
        </w:rPr>
        <w:t xml:space="preserve">: זיל האידנא ותא למחר. </w:t>
      </w:r>
      <w:r w:rsidRPr="00B36091">
        <w:rPr>
          <w:rFonts w:cs="Arial"/>
          <w:u w:val="single"/>
          <w:rtl/>
        </w:rPr>
        <w:t>כי אתא, אמר ליה</w:t>
      </w:r>
      <w:r w:rsidRPr="0078313F">
        <w:rPr>
          <w:rFonts w:cs="Arial"/>
          <w:rtl/>
        </w:rPr>
        <w:t>: פשוט מיהת חדא, דאמר רבי אבא אמר רבי אסי: עשו אלמנה אצל הבת כבת אצל האחין בנכסים מועטין, מה בת אצל אחין - הבת ניזונת והאחין ישאלו על הפתחים, אף אלמנה אצל הבת - אלמנה ניזונת והבת תשאל על הפתחים.</w:t>
      </w:r>
      <w:r>
        <w:rPr>
          <w:rFonts w:cs="Arial" w:hint="cs"/>
          <w:rtl/>
        </w:rPr>
        <w:t xml:space="preserve"> </w:t>
      </w:r>
    </w:p>
    <w:p w14:paraId="55C77464" w14:textId="00B8A9AA" w:rsidR="00392DBB" w:rsidRDefault="00392DBB" w:rsidP="00392DBB">
      <w:pPr>
        <w:rPr>
          <w:rFonts w:cs="Arial"/>
          <w:rtl/>
        </w:rPr>
      </w:pPr>
      <w:r w:rsidRPr="004854C8">
        <w:rPr>
          <w:rFonts w:cs="Arial" w:hint="cs"/>
          <w:b/>
          <w:bCs/>
          <w:rtl/>
        </w:rPr>
        <w:t>ירושלמי בבא בתרא פ"ט ה"א</w:t>
      </w:r>
      <w:r>
        <w:rPr>
          <w:rStyle w:val="a7"/>
          <w:rFonts w:cs="Arial"/>
          <w:b/>
          <w:bCs/>
          <w:rtl/>
        </w:rPr>
        <w:footnoteReference w:id="2634"/>
      </w:r>
      <w:r w:rsidRPr="004854C8">
        <w:rPr>
          <w:rFonts w:cs="Arial" w:hint="cs"/>
          <w:b/>
          <w:bCs/>
          <w:rtl/>
        </w:rPr>
        <w:t xml:space="preserve">: </w:t>
      </w:r>
      <w:r w:rsidRPr="004854C8">
        <w:rPr>
          <w:rFonts w:cs="Arial"/>
          <w:u w:val="single"/>
          <w:rtl/>
        </w:rPr>
        <w:t>רב חסדא בעי</w:t>
      </w:r>
      <w:r>
        <w:rPr>
          <w:rFonts w:cs="Arial" w:hint="cs"/>
          <w:rtl/>
        </w:rPr>
        <w:t>:</w:t>
      </w:r>
      <w:r w:rsidRPr="004854C8">
        <w:rPr>
          <w:rFonts w:cs="Arial"/>
          <w:rtl/>
        </w:rPr>
        <w:t xml:space="preserve"> היה שם לאילו ולאילו מזון שנים עשר חדש ואלמנה לזון</w:t>
      </w:r>
      <w:r>
        <w:rPr>
          <w:rFonts w:cs="Arial" w:hint="cs"/>
          <w:rtl/>
        </w:rPr>
        <w:t>.</w:t>
      </w:r>
      <w:r w:rsidRPr="004854C8">
        <w:rPr>
          <w:rFonts w:cs="Arial"/>
          <w:rtl/>
        </w:rPr>
        <w:t xml:space="preserve"> מהו שיאמרו בנים לבנות אין לכם אלא מזון שנים עשר חדש. ודא דתימר והוא שיהא שם לאילו ולאילו מזון שנים עשר חדש חוץ מכתובת אשה</w:t>
      </w:r>
      <w:r>
        <w:rPr>
          <w:rFonts w:cs="Arial" w:hint="cs"/>
          <w:rtl/>
        </w:rPr>
        <w:t>,</w:t>
      </w:r>
      <w:r w:rsidRPr="004854C8">
        <w:rPr>
          <w:rFonts w:cs="Arial"/>
          <w:rtl/>
        </w:rPr>
        <w:t xml:space="preserve"> חוץ ממזונות אלמנה</w:t>
      </w:r>
      <w:r>
        <w:rPr>
          <w:rFonts w:cs="Arial" w:hint="cs"/>
          <w:rtl/>
        </w:rPr>
        <w:t>,</w:t>
      </w:r>
      <w:r w:rsidRPr="004854C8">
        <w:rPr>
          <w:rFonts w:cs="Arial"/>
          <w:rtl/>
        </w:rPr>
        <w:t xml:space="preserve"> חוץ מפרנסת בנות</w:t>
      </w:r>
      <w:r>
        <w:rPr>
          <w:rFonts w:cs="Arial" w:hint="cs"/>
          <w:rtl/>
        </w:rPr>
        <w:t>,</w:t>
      </w:r>
      <w:r w:rsidRPr="004854C8">
        <w:rPr>
          <w:rFonts w:cs="Arial"/>
          <w:rtl/>
        </w:rPr>
        <w:t xml:space="preserve"> חוץ ממלוה בשטר</w:t>
      </w:r>
      <w:r>
        <w:rPr>
          <w:rFonts w:cs="Arial" w:hint="cs"/>
          <w:rtl/>
        </w:rPr>
        <w:t>,</w:t>
      </w:r>
      <w:r w:rsidRPr="004854C8">
        <w:rPr>
          <w:rFonts w:cs="Arial"/>
          <w:rtl/>
        </w:rPr>
        <w:t xml:space="preserve"> חוץ ממלו' בעדים</w:t>
      </w:r>
      <w:r>
        <w:rPr>
          <w:rFonts w:cs="Arial" w:hint="cs"/>
          <w:rtl/>
        </w:rPr>
        <w:t>,</w:t>
      </w:r>
      <w:r w:rsidRPr="004854C8">
        <w:rPr>
          <w:rFonts w:cs="Arial"/>
          <w:rtl/>
        </w:rPr>
        <w:t xml:space="preserve"> חוץ מקבורת'. אלמנה ובנות שתי</w:t>
      </w:r>
      <w:r>
        <w:rPr>
          <w:rFonts w:cs="Arial" w:hint="cs"/>
          <w:rtl/>
        </w:rPr>
        <w:t>הן</w:t>
      </w:r>
      <w:r w:rsidRPr="004854C8">
        <w:rPr>
          <w:rFonts w:cs="Arial"/>
          <w:rtl/>
        </w:rPr>
        <w:t xml:space="preserve"> שוות</w:t>
      </w:r>
      <w:r>
        <w:rPr>
          <w:rFonts w:cs="Arial" w:hint="cs"/>
          <w:rtl/>
        </w:rPr>
        <w:t>.</w:t>
      </w:r>
      <w:r w:rsidRPr="004854C8">
        <w:rPr>
          <w:rFonts w:cs="Arial"/>
          <w:rtl/>
        </w:rPr>
        <w:t xml:space="preserve"> אלמנה ובנים שניה</w:t>
      </w:r>
      <w:r>
        <w:rPr>
          <w:rFonts w:cs="Arial" w:hint="cs"/>
          <w:rtl/>
        </w:rPr>
        <w:t>ם</w:t>
      </w:r>
      <w:r w:rsidRPr="004854C8">
        <w:rPr>
          <w:rFonts w:cs="Arial"/>
          <w:rtl/>
        </w:rPr>
        <w:t xml:space="preserve"> שוין</w:t>
      </w:r>
      <w:r>
        <w:rPr>
          <w:rFonts w:cs="Arial" w:hint="cs"/>
          <w:rtl/>
        </w:rPr>
        <w:t>.</w:t>
      </w:r>
      <w:r w:rsidRPr="004854C8">
        <w:rPr>
          <w:rFonts w:cs="Arial"/>
          <w:rtl/>
        </w:rPr>
        <w:t xml:space="preserve"> אין אלמנה דוחה לבנות</w:t>
      </w:r>
      <w:r>
        <w:rPr>
          <w:rFonts w:cs="Arial" w:hint="cs"/>
          <w:rtl/>
        </w:rPr>
        <w:t>,</w:t>
      </w:r>
      <w:r w:rsidRPr="004854C8">
        <w:rPr>
          <w:rFonts w:cs="Arial"/>
          <w:rtl/>
        </w:rPr>
        <w:t xml:space="preserve"> ולא בנות דוחות לאלמנה. פעמים שאלמנה דוחה לבנות על ידי בנים</w:t>
      </w:r>
      <w:r>
        <w:rPr>
          <w:rFonts w:cs="Arial" w:hint="cs"/>
          <w:rtl/>
        </w:rPr>
        <w:t>.</w:t>
      </w:r>
      <w:r w:rsidRPr="004854C8">
        <w:rPr>
          <w:rFonts w:cs="Arial"/>
          <w:rtl/>
        </w:rPr>
        <w:t xml:space="preserve"> כשם שהאלמנ' דוחה לבנות על ידי בנים כך תדחה אלמנה לבנים.</w:t>
      </w:r>
      <w:r>
        <w:rPr>
          <w:rFonts w:cs="Arial" w:hint="cs"/>
          <w:rtl/>
        </w:rPr>
        <w:t xml:space="preserve"> </w:t>
      </w:r>
      <w:r w:rsidRPr="00217F3F">
        <w:rPr>
          <w:rFonts w:cs="Arial" w:hint="cs"/>
          <w:sz w:val="16"/>
          <w:szCs w:val="16"/>
          <w:rtl/>
        </w:rPr>
        <w:t>(והביאו התוס' והרא"ש ירושלמי זה ופסקוהו. אך הרמב"ן כתב וז"ל</w:t>
      </w:r>
      <w:r w:rsidR="005C79CD">
        <w:rPr>
          <w:rFonts w:cs="Arial" w:hint="cs"/>
          <w:sz w:val="16"/>
          <w:szCs w:val="16"/>
          <w:rtl/>
        </w:rPr>
        <w:t>:</w:t>
      </w:r>
      <w:r w:rsidRPr="00217F3F">
        <w:rPr>
          <w:rFonts w:cs="Arial" w:hint="cs"/>
          <w:sz w:val="16"/>
          <w:szCs w:val="16"/>
          <w:rtl/>
        </w:rPr>
        <w:t xml:space="preserve"> </w:t>
      </w:r>
      <w:r w:rsidRPr="00217F3F">
        <w:rPr>
          <w:rFonts w:cs="Arial"/>
          <w:sz w:val="16"/>
          <w:szCs w:val="16"/>
          <w:rtl/>
        </w:rPr>
        <w:t>ולא ידעתי אם ראוי לסמוך על הירושלמי בזה, שהיה להם לפרש כן בגמרא שלנו, אבל רבותי' סומכין עליו, ובודאי לא מצינו אף בגמרא שלנו מפורש שיהו מוציאין הנכסים מרשות הבנים משום מזונות אלמנה, אלא הבנים ירשו והאלמנה ניזונית, ונראה שהרב ר' משה הספרדי ז"ל לא סמך על הירושלמי בכאן</w:t>
      </w:r>
      <w:r w:rsidR="00494EF6">
        <w:rPr>
          <w:rFonts w:cs="Arial" w:hint="cs"/>
          <w:sz w:val="16"/>
          <w:szCs w:val="16"/>
          <w:rtl/>
        </w:rPr>
        <w:t>,</w:t>
      </w:r>
      <w:r w:rsidRPr="00217F3F">
        <w:rPr>
          <w:rFonts w:cs="Arial"/>
          <w:sz w:val="16"/>
          <w:szCs w:val="16"/>
          <w:rtl/>
        </w:rPr>
        <w:t xml:space="preserve"> ודעתי נוטה לו</w:t>
      </w:r>
      <w:r>
        <w:rPr>
          <w:rFonts w:cs="Arial" w:hint="cs"/>
          <w:sz w:val="16"/>
          <w:szCs w:val="16"/>
          <w:rtl/>
        </w:rPr>
        <w:t>)</w:t>
      </w:r>
    </w:p>
    <w:p w14:paraId="5FC8F97E" w14:textId="3C2D1A2C" w:rsidR="00392DBB" w:rsidRPr="00F67790" w:rsidRDefault="00392DBB" w:rsidP="00392DBB">
      <w:pPr>
        <w:rPr>
          <w:rFonts w:cs="Arial"/>
          <w:u w:val="single"/>
          <w:rtl/>
        </w:rPr>
      </w:pPr>
      <w:r w:rsidRPr="00F67790">
        <w:rPr>
          <w:rFonts w:cs="Arial" w:hint="cs"/>
          <w:u w:val="single"/>
          <w:rtl/>
        </w:rPr>
        <w:t xml:space="preserve">כיצד יש לפרש את שאלת רבי ירמיה </w:t>
      </w:r>
      <w:r w:rsidR="00F97626">
        <w:rPr>
          <w:rFonts w:cs="Arial"/>
          <w:u w:val="single"/>
          <w:rtl/>
        </w:rPr>
        <w:t>-</w:t>
      </w:r>
      <w:r w:rsidRPr="00F67790">
        <w:rPr>
          <w:rFonts w:cs="Arial" w:hint="cs"/>
          <w:u w:val="single"/>
          <w:rtl/>
        </w:rPr>
        <w:t xml:space="preserve"> </w:t>
      </w:r>
      <w:r>
        <w:rPr>
          <w:rFonts w:cs="Arial" w:hint="cs"/>
          <w:u w:val="single"/>
          <w:rtl/>
        </w:rPr>
        <w:t>'</w:t>
      </w:r>
      <w:r w:rsidRPr="00F67790">
        <w:rPr>
          <w:rFonts w:cs="Arial"/>
          <w:u w:val="single"/>
          <w:rtl/>
        </w:rPr>
        <w:t>אלמנתו מהו שתמעט בנכסים?</w:t>
      </w:r>
      <w:r>
        <w:rPr>
          <w:rFonts w:cs="Arial" w:hint="cs"/>
          <w:u w:val="single"/>
          <w:rtl/>
        </w:rPr>
        <w:t>'</w:t>
      </w:r>
      <w:r w:rsidRPr="00F67790">
        <w:rPr>
          <w:rFonts w:cs="Arial" w:hint="cs"/>
          <w:u w:val="single"/>
          <w:rtl/>
        </w:rPr>
        <w:t>:</w:t>
      </w:r>
    </w:p>
    <w:p w14:paraId="3C183675" w14:textId="3A442CC4" w:rsidR="00392DBB" w:rsidRDefault="00392DBB" w:rsidP="009000E3">
      <w:pPr>
        <w:pStyle w:val="ab"/>
        <w:numPr>
          <w:ilvl w:val="0"/>
          <w:numId w:val="69"/>
        </w:numPr>
        <w:rPr>
          <w:rFonts w:cs="Arial"/>
        </w:rPr>
      </w:pPr>
      <w:r w:rsidRPr="008D2C72">
        <w:rPr>
          <w:rFonts w:cs="Arial"/>
          <w:rtl/>
        </w:rPr>
        <w:t>תוס</w:t>
      </w:r>
      <w:r>
        <w:rPr>
          <w:rFonts w:cs="Arial" w:hint="cs"/>
          <w:rtl/>
        </w:rPr>
        <w:t>'</w:t>
      </w:r>
      <w:r>
        <w:rPr>
          <w:rStyle w:val="a7"/>
          <w:rFonts w:cs="Arial"/>
          <w:rtl/>
        </w:rPr>
        <w:footnoteReference w:id="2635"/>
      </w:r>
      <w:r w:rsidRPr="008D2C72">
        <w:rPr>
          <w:rFonts w:cs="Arial"/>
          <w:rtl/>
        </w:rPr>
        <w:t xml:space="preserve"> </w:t>
      </w:r>
      <w:r w:rsidRPr="006872FF">
        <w:rPr>
          <w:rFonts w:cs="Arial"/>
          <w:sz w:val="16"/>
          <w:szCs w:val="16"/>
          <w:rtl/>
        </w:rPr>
        <w:t>(קמ. ד"ה מי)</w:t>
      </w:r>
      <w:r w:rsidRPr="001D62E5">
        <w:rPr>
          <w:rFonts w:cs="Arial" w:hint="cs"/>
          <w:color w:val="FF0000"/>
          <w:rtl/>
        </w:rPr>
        <w:t xml:space="preserve"> </w:t>
      </w:r>
      <w:r w:rsidRPr="006872FF">
        <w:rPr>
          <w:rFonts w:cs="Arial"/>
          <w:rtl/>
        </w:rPr>
        <w:t>רא"ש</w:t>
      </w:r>
      <w:r>
        <w:rPr>
          <w:rStyle w:val="a7"/>
          <w:rFonts w:cs="Arial"/>
          <w:rtl/>
        </w:rPr>
        <w:footnoteReference w:id="2636"/>
      </w:r>
      <w:r w:rsidRPr="006872FF">
        <w:rPr>
          <w:rFonts w:cs="Arial"/>
          <w:rtl/>
        </w:rPr>
        <w:t xml:space="preserve"> </w:t>
      </w:r>
      <w:r w:rsidRPr="006872FF">
        <w:rPr>
          <w:rFonts w:cs="Arial" w:hint="cs"/>
          <w:sz w:val="16"/>
          <w:szCs w:val="16"/>
          <w:rtl/>
        </w:rPr>
        <w:t>(פ"ט</w:t>
      </w:r>
      <w:r w:rsidRPr="006872FF">
        <w:rPr>
          <w:rFonts w:cs="Arial"/>
          <w:sz w:val="16"/>
          <w:szCs w:val="16"/>
          <w:rtl/>
        </w:rPr>
        <w:t xml:space="preserve"> סי' ג)</w:t>
      </w:r>
      <w:r>
        <w:rPr>
          <w:rFonts w:cs="Arial" w:hint="cs"/>
          <w:rtl/>
        </w:rPr>
        <w:t xml:space="preserve"> וטור- </w:t>
      </w:r>
      <w:r w:rsidRPr="006872FF">
        <w:rPr>
          <w:rFonts w:cs="Arial"/>
          <w:rtl/>
        </w:rPr>
        <w:t>נראה לפרש דודאי אם אין כאן אלא אלמנה אצל הבנים</w:t>
      </w:r>
      <w:r w:rsidR="006D04B1">
        <w:rPr>
          <w:rFonts w:cs="Arial" w:hint="cs"/>
          <w:rtl/>
        </w:rPr>
        <w:t>,</w:t>
      </w:r>
      <w:r w:rsidRPr="006872FF">
        <w:rPr>
          <w:rFonts w:cs="Arial"/>
          <w:rtl/>
        </w:rPr>
        <w:t xml:space="preserve"> שניהם שוין בנכסים</w:t>
      </w:r>
      <w:r w:rsidRPr="006872FF">
        <w:rPr>
          <w:rFonts w:cs="Arial" w:hint="cs"/>
          <w:rtl/>
        </w:rPr>
        <w:t>.</w:t>
      </w:r>
      <w:r w:rsidRPr="006872FF">
        <w:rPr>
          <w:rFonts w:cs="Arial"/>
          <w:rtl/>
        </w:rPr>
        <w:t xml:space="preserve"> וכן אם אין כאן אלא אלמנה ובנות</w:t>
      </w:r>
      <w:r>
        <w:rPr>
          <w:rFonts w:cs="Arial" w:hint="cs"/>
          <w:rtl/>
        </w:rPr>
        <w:t xml:space="preserve"> </w:t>
      </w:r>
      <w:r>
        <w:rPr>
          <w:rFonts w:cs="Arial" w:hint="cs"/>
          <w:sz w:val="16"/>
          <w:szCs w:val="16"/>
          <w:rtl/>
        </w:rPr>
        <w:t>(ל' התוס')</w:t>
      </w:r>
      <w:r>
        <w:rPr>
          <w:rFonts w:cs="Arial" w:hint="cs"/>
          <w:rtl/>
        </w:rPr>
        <w:t>,</w:t>
      </w:r>
      <w:r w:rsidRPr="003632FA">
        <w:rPr>
          <w:rFonts w:cs="Arial"/>
          <w:rtl/>
        </w:rPr>
        <w:t xml:space="preserve"> </w:t>
      </w:r>
      <w:r>
        <w:rPr>
          <w:rFonts w:cs="Arial" w:hint="cs"/>
          <w:rtl/>
        </w:rPr>
        <w:t>ו</w:t>
      </w:r>
      <w:r w:rsidRPr="006872FF">
        <w:rPr>
          <w:rFonts w:cs="Arial"/>
          <w:rtl/>
        </w:rPr>
        <w:t>הך בעיא מיירי בשיש בנים ובנות ואלמנה</w:t>
      </w:r>
      <w:r>
        <w:rPr>
          <w:rFonts w:cs="Arial" w:hint="cs"/>
          <w:rtl/>
        </w:rPr>
        <w:t>,</w:t>
      </w:r>
      <w:r w:rsidRPr="006872FF">
        <w:rPr>
          <w:rFonts w:cs="Arial"/>
          <w:rtl/>
        </w:rPr>
        <w:t xml:space="preserve"> ואין מזון לבנים ובנות עד שיבגרו</w:t>
      </w:r>
      <w:r>
        <w:rPr>
          <w:rFonts w:cs="Arial" w:hint="cs"/>
          <w:rtl/>
        </w:rPr>
        <w:t>.</w:t>
      </w:r>
      <w:r w:rsidRPr="006872FF">
        <w:rPr>
          <w:rFonts w:cs="Arial"/>
          <w:rtl/>
        </w:rPr>
        <w:t xml:space="preserve"> הילכך בלא האלמנה נעשו הנכסים מועטים ונסתלקו הבנים</w:t>
      </w:r>
      <w:r>
        <w:rPr>
          <w:rFonts w:cs="Arial" w:hint="cs"/>
          <w:rtl/>
        </w:rPr>
        <w:t>,</w:t>
      </w:r>
      <w:r w:rsidRPr="006872FF">
        <w:rPr>
          <w:rFonts w:cs="Arial"/>
          <w:rtl/>
        </w:rPr>
        <w:t xml:space="preserve"> ומיבעיא ליה כיון דאלמנה ובנות באות מכח תנאי כתובה איזו מהן קודמת</w:t>
      </w:r>
      <w:r>
        <w:rPr>
          <w:rFonts w:cs="Arial" w:hint="cs"/>
          <w:sz w:val="16"/>
          <w:szCs w:val="16"/>
          <w:rtl/>
        </w:rPr>
        <w:t xml:space="preserve"> (ל' הרא"ש)</w:t>
      </w:r>
      <w:r>
        <w:rPr>
          <w:rFonts w:cs="Arial" w:hint="cs"/>
          <w:rtl/>
        </w:rPr>
        <w:t>.</w:t>
      </w:r>
    </w:p>
    <w:p w14:paraId="07EDFEA0" w14:textId="74D21FBA" w:rsidR="00392DBB" w:rsidRDefault="00392DBB" w:rsidP="009000E3">
      <w:pPr>
        <w:pStyle w:val="ab"/>
        <w:numPr>
          <w:ilvl w:val="0"/>
          <w:numId w:val="69"/>
        </w:numPr>
        <w:rPr>
          <w:rFonts w:cs="Arial"/>
        </w:rPr>
      </w:pPr>
      <w:r>
        <w:rPr>
          <w:rFonts w:cs="Arial" w:hint="cs"/>
          <w:rtl/>
        </w:rPr>
        <w:t>רשב"ם</w:t>
      </w:r>
      <w:r>
        <w:rPr>
          <w:rFonts w:cs="Arial" w:hint="cs"/>
          <w:sz w:val="16"/>
          <w:szCs w:val="16"/>
          <w:rtl/>
        </w:rPr>
        <w:t xml:space="preserve"> (קמ. ד"ה אלמנתו מהו)</w:t>
      </w:r>
      <w:r>
        <w:rPr>
          <w:rFonts w:cs="Arial" w:hint="cs"/>
          <w:rtl/>
        </w:rPr>
        <w:t xml:space="preserve">- </w:t>
      </w:r>
      <w:r w:rsidRPr="003632FA">
        <w:rPr>
          <w:rFonts w:cs="Arial"/>
          <w:rtl/>
        </w:rPr>
        <w:t>מי שמת והניח בנים ובנות והניח נמי אלמנתו וצריכה נמי מזונות כל ימי מיגר ארמלותה</w:t>
      </w:r>
      <w:r w:rsidR="005A15E0">
        <w:rPr>
          <w:rFonts w:cs="Arial" w:hint="cs"/>
          <w:rtl/>
        </w:rPr>
        <w:t>,</w:t>
      </w:r>
      <w:r w:rsidRPr="003632FA">
        <w:rPr>
          <w:rFonts w:cs="Arial"/>
          <w:rtl/>
        </w:rPr>
        <w:t xml:space="preserve"> ואין כאן נכסים אלא כדי מזון הבנים והבנות עד שיבגרו</w:t>
      </w:r>
      <w:r w:rsidR="00351E81">
        <w:rPr>
          <w:rFonts w:cs="Arial" w:hint="cs"/>
          <w:rtl/>
        </w:rPr>
        <w:t>,</w:t>
      </w:r>
      <w:r w:rsidRPr="003632FA">
        <w:rPr>
          <w:rFonts w:cs="Arial"/>
          <w:rtl/>
        </w:rPr>
        <w:t xml:space="preserve"> מי אמרינן כיון דאית לה מזוני ממעטא ולא מיקרו נכסים מרובין</w:t>
      </w:r>
      <w:r w:rsidR="00351E81">
        <w:rPr>
          <w:rFonts w:cs="Arial" w:hint="cs"/>
          <w:rtl/>
        </w:rPr>
        <w:t>,</w:t>
      </w:r>
      <w:r w:rsidRPr="003632FA">
        <w:rPr>
          <w:rFonts w:cs="Arial"/>
          <w:rtl/>
        </w:rPr>
        <w:t xml:space="preserve"> ומפרישין מהנכסים מזון האשה והבנות עד שיבגרו והמותר לבנים דהא מועטין נינהו</w:t>
      </w:r>
      <w:r w:rsidR="00351E81">
        <w:rPr>
          <w:rFonts w:cs="Arial" w:hint="cs"/>
          <w:rtl/>
        </w:rPr>
        <w:t>,</w:t>
      </w:r>
      <w:r w:rsidRPr="003632FA">
        <w:rPr>
          <w:rFonts w:cs="Arial"/>
          <w:rtl/>
        </w:rPr>
        <w:t xml:space="preserve"> ולאחר שיוציאו המותר ישאלו על הפתחים</w:t>
      </w:r>
      <w:r w:rsidR="00351E81">
        <w:rPr>
          <w:rFonts w:cs="Arial" w:hint="cs"/>
          <w:rtl/>
        </w:rPr>
        <w:t>,</w:t>
      </w:r>
      <w:r w:rsidRPr="003632FA">
        <w:rPr>
          <w:rFonts w:cs="Arial"/>
          <w:rtl/>
        </w:rPr>
        <w:t xml:space="preserve"> או דלמא כיון דאילו מינסבא לבעל לית לה מזוני לא ממעטא וכמאן דליתא דמיא ומוציאין מן הנכסים לבנות כדי מזונן עד שיבגרו וכל השאר יירשו הבנים כדין נכסים מרובין</w:t>
      </w:r>
      <w:r>
        <w:rPr>
          <w:rStyle w:val="a7"/>
          <w:rFonts w:cs="Arial"/>
          <w:rtl/>
        </w:rPr>
        <w:footnoteReference w:id="2637"/>
      </w:r>
      <w:r>
        <w:rPr>
          <w:rFonts w:cs="Arial" w:hint="cs"/>
          <w:rtl/>
        </w:rPr>
        <w:t>.</w:t>
      </w:r>
    </w:p>
    <w:p w14:paraId="504DE49D" w14:textId="77777777" w:rsidR="00392DBB" w:rsidRPr="00217F3F" w:rsidRDefault="00392DBB" w:rsidP="009000E3">
      <w:pPr>
        <w:pStyle w:val="ab"/>
        <w:numPr>
          <w:ilvl w:val="0"/>
          <w:numId w:val="69"/>
        </w:numPr>
      </w:pPr>
      <w:r>
        <w:rPr>
          <w:rFonts w:cs="Arial" w:hint="cs"/>
          <w:rtl/>
        </w:rPr>
        <w:t xml:space="preserve">רמב"ם </w:t>
      </w:r>
      <w:r>
        <w:rPr>
          <w:rFonts w:cs="Arial" w:hint="cs"/>
          <w:sz w:val="16"/>
          <w:szCs w:val="16"/>
          <w:rtl/>
        </w:rPr>
        <w:t>(פי"ט הכ"א)</w:t>
      </w:r>
      <w:r>
        <w:rPr>
          <w:rFonts w:cs="Arial" w:hint="cs"/>
          <w:rtl/>
        </w:rPr>
        <w:t xml:space="preserve"> ורמב"ן</w:t>
      </w:r>
      <w:r>
        <w:rPr>
          <w:rFonts w:cs="Arial" w:hint="cs"/>
          <w:sz w:val="16"/>
          <w:szCs w:val="16"/>
          <w:rtl/>
        </w:rPr>
        <w:t xml:space="preserve"> (קמ. דיבור ראשון, וכ"כ הה"מ [שם] בשמו) </w:t>
      </w:r>
      <w:r>
        <w:rPr>
          <w:rFonts w:cs="Arial" w:hint="cs"/>
          <w:rtl/>
        </w:rPr>
        <w:t>ו</w:t>
      </w:r>
      <w:r w:rsidRPr="00217F3F">
        <w:rPr>
          <w:rFonts w:cs="Arial"/>
          <w:rtl/>
        </w:rPr>
        <w:t xml:space="preserve">ר"ן </w:t>
      </w:r>
      <w:r w:rsidRPr="00217F3F">
        <w:rPr>
          <w:rFonts w:cs="Arial"/>
          <w:sz w:val="16"/>
          <w:szCs w:val="16"/>
          <w:rtl/>
        </w:rPr>
        <w:t>(ב"ב קמ: ד"ה אלמנה)</w:t>
      </w:r>
      <w:r w:rsidRPr="00217F3F">
        <w:rPr>
          <w:rFonts w:cs="Arial" w:hint="cs"/>
          <w:rtl/>
        </w:rPr>
        <w:t xml:space="preserve">- </w:t>
      </w:r>
      <w:r w:rsidRPr="00217F3F">
        <w:rPr>
          <w:rFonts w:cs="Arial"/>
          <w:rtl/>
        </w:rPr>
        <w:t>לפום פשטא דגמרין משמע דאלמנה אצל הבת בלא בן קאמר</w:t>
      </w:r>
      <w:r w:rsidRPr="00217F3F">
        <w:rPr>
          <w:rFonts w:cs="Arial" w:hint="cs"/>
          <w:rtl/>
        </w:rPr>
        <w:t>.</w:t>
      </w:r>
      <w:r w:rsidRPr="00217F3F">
        <w:rPr>
          <w:rFonts w:cs="Arial"/>
          <w:rtl/>
        </w:rPr>
        <w:t xml:space="preserve"> ומשמע דכיון שאלמנה דוחה את הבת</w:t>
      </w:r>
      <w:r w:rsidRPr="00217F3F">
        <w:rPr>
          <w:rFonts w:cs="Arial" w:hint="cs"/>
          <w:rtl/>
        </w:rPr>
        <w:t>,</w:t>
      </w:r>
      <w:r w:rsidRPr="00217F3F">
        <w:rPr>
          <w:rFonts w:cs="Arial"/>
          <w:rtl/>
        </w:rPr>
        <w:t xml:space="preserve"> כל שכן שדוחה את הבן</w:t>
      </w:r>
      <w:r w:rsidRPr="00217F3F">
        <w:rPr>
          <w:rFonts w:cs="Arial" w:hint="cs"/>
          <w:rtl/>
        </w:rPr>
        <w:t>,</w:t>
      </w:r>
      <w:r w:rsidRPr="00217F3F">
        <w:rPr>
          <w:rFonts w:cs="Arial"/>
          <w:rtl/>
        </w:rPr>
        <w:t xml:space="preserve"> ואמרינן דאלמנה נזונת ובן ישאל על הפתחים</w:t>
      </w:r>
      <w:r w:rsidRPr="00217F3F">
        <w:rPr>
          <w:rFonts w:cs="Arial" w:hint="cs"/>
          <w:rtl/>
        </w:rPr>
        <w:t>.</w:t>
      </w:r>
      <w:r w:rsidRPr="00217F3F">
        <w:rPr>
          <w:rFonts w:cs="Arial"/>
          <w:rtl/>
        </w:rPr>
        <w:t xml:space="preserve"> דקל וחומר הוא</w:t>
      </w:r>
      <w:r w:rsidRPr="00217F3F">
        <w:rPr>
          <w:rFonts w:cs="Arial" w:hint="cs"/>
          <w:rtl/>
        </w:rPr>
        <w:t>,</w:t>
      </w:r>
      <w:r w:rsidRPr="00217F3F">
        <w:rPr>
          <w:rFonts w:cs="Arial"/>
          <w:rtl/>
        </w:rPr>
        <w:t xml:space="preserve"> אם בת שדוחה את הבן נדחית מפני האלמנה</w:t>
      </w:r>
      <w:r w:rsidRPr="00217F3F">
        <w:rPr>
          <w:rFonts w:cs="Arial" w:hint="cs"/>
          <w:rtl/>
        </w:rPr>
        <w:t>,</w:t>
      </w:r>
      <w:r w:rsidRPr="00217F3F">
        <w:rPr>
          <w:rFonts w:cs="Arial"/>
          <w:rtl/>
        </w:rPr>
        <w:t xml:space="preserve"> כל שכן שהבן נדחה מפניה</w:t>
      </w:r>
      <w:r>
        <w:rPr>
          <w:rStyle w:val="a7"/>
          <w:rFonts w:cs="Arial"/>
          <w:rtl/>
        </w:rPr>
        <w:footnoteReference w:id="2638"/>
      </w:r>
      <w:r>
        <w:rPr>
          <w:rFonts w:cs="Arial" w:hint="cs"/>
          <w:sz w:val="16"/>
          <w:szCs w:val="16"/>
          <w:rtl/>
        </w:rPr>
        <w:t xml:space="preserve"> (ל' הר"ן)</w:t>
      </w:r>
      <w:r w:rsidRPr="00217F3F">
        <w:rPr>
          <w:rFonts w:cs="Arial"/>
          <w:rtl/>
        </w:rPr>
        <w:t>.</w:t>
      </w:r>
    </w:p>
    <w:p w14:paraId="5748467B" w14:textId="42C99361" w:rsidR="00392DBB" w:rsidRPr="00E35923" w:rsidRDefault="00392DBB" w:rsidP="00392DBB">
      <w:pPr>
        <w:ind w:left="360"/>
        <w:rPr>
          <w:u w:val="dotted"/>
          <w:rtl/>
        </w:rPr>
      </w:pPr>
      <w:r w:rsidRPr="00E35923">
        <w:rPr>
          <w:rFonts w:hint="cs"/>
          <w:u w:val="dotted"/>
          <w:rtl/>
        </w:rPr>
        <w:t xml:space="preserve">למעשה </w:t>
      </w:r>
      <w:r w:rsidR="00F97626">
        <w:rPr>
          <w:u w:val="dotted"/>
          <w:rtl/>
        </w:rPr>
        <w:t>-</w:t>
      </w:r>
      <w:r w:rsidRPr="00E35923">
        <w:rPr>
          <w:rFonts w:hint="cs"/>
          <w:u w:val="dotted"/>
          <w:rtl/>
        </w:rPr>
        <w:t xml:space="preserve"> כיצד </w:t>
      </w:r>
      <w:r>
        <w:rPr>
          <w:rFonts w:hint="cs"/>
          <w:u w:val="dotted"/>
          <w:rtl/>
        </w:rPr>
        <w:t>אלמנה ניזונת</w:t>
      </w:r>
      <w:r w:rsidRPr="00E35923">
        <w:rPr>
          <w:rFonts w:hint="cs"/>
          <w:u w:val="dotted"/>
          <w:rtl/>
        </w:rPr>
        <w:t xml:space="preserve"> </w:t>
      </w:r>
      <w:r>
        <w:rPr>
          <w:rFonts w:hint="cs"/>
          <w:u w:val="dotted"/>
          <w:rtl/>
        </w:rPr>
        <w:t>כשה</w:t>
      </w:r>
      <w:r w:rsidRPr="00E35923">
        <w:rPr>
          <w:rFonts w:hint="cs"/>
          <w:u w:val="dotted"/>
          <w:rtl/>
        </w:rPr>
        <w:t>נכסים מועטים ו</w:t>
      </w:r>
      <w:r>
        <w:rPr>
          <w:rFonts w:hint="cs"/>
          <w:u w:val="dotted"/>
          <w:rtl/>
        </w:rPr>
        <w:t xml:space="preserve">יש עמה </w:t>
      </w:r>
      <w:r w:rsidRPr="00E35923">
        <w:rPr>
          <w:rFonts w:hint="cs"/>
          <w:u w:val="dotted"/>
          <w:rtl/>
        </w:rPr>
        <w:t>בת ו/או בן:</w:t>
      </w:r>
    </w:p>
    <w:p w14:paraId="0AC4C8A9" w14:textId="77777777" w:rsidR="00392DBB" w:rsidRPr="00872E10" w:rsidRDefault="00392DBB" w:rsidP="009000E3">
      <w:pPr>
        <w:pStyle w:val="ab"/>
        <w:numPr>
          <w:ilvl w:val="0"/>
          <w:numId w:val="61"/>
        </w:numPr>
      </w:pPr>
      <w:r>
        <w:rPr>
          <w:rFonts w:cs="Arial" w:hint="cs"/>
          <w:rtl/>
        </w:rPr>
        <w:lastRenderedPageBreak/>
        <w:t xml:space="preserve">רמב"ם </w:t>
      </w:r>
      <w:r>
        <w:rPr>
          <w:rFonts w:cs="Arial" w:hint="cs"/>
          <w:sz w:val="16"/>
          <w:szCs w:val="16"/>
          <w:rtl/>
        </w:rPr>
        <w:t>(פי"ט הכ"א)</w:t>
      </w:r>
      <w:r>
        <w:rPr>
          <w:rFonts w:cs="Arial" w:hint="cs"/>
          <w:rtl/>
        </w:rPr>
        <w:t xml:space="preserve"> ורמב"ן</w:t>
      </w:r>
      <w:r>
        <w:rPr>
          <w:rFonts w:cs="Arial" w:hint="cs"/>
          <w:sz w:val="16"/>
          <w:szCs w:val="16"/>
          <w:rtl/>
        </w:rPr>
        <w:t xml:space="preserve"> (קמ. דיבור ראשון, וכ"כ הה"מ [שם] בשמו)</w:t>
      </w:r>
      <w:r>
        <w:rPr>
          <w:rFonts w:cs="Arial" w:hint="cs"/>
          <w:rtl/>
        </w:rPr>
        <w:t xml:space="preserve">- </w:t>
      </w:r>
      <w:r w:rsidRPr="00872E10">
        <w:rPr>
          <w:rFonts w:cs="Arial"/>
          <w:rtl/>
        </w:rPr>
        <w:t>הניח אלמנה ובת</w:t>
      </w:r>
      <w:r>
        <w:rPr>
          <w:rFonts w:cs="Arial" w:hint="cs"/>
          <w:rtl/>
        </w:rPr>
        <w:t>,</w:t>
      </w:r>
      <w:r w:rsidRPr="00872E10">
        <w:rPr>
          <w:rFonts w:cs="Arial"/>
          <w:rtl/>
        </w:rPr>
        <w:t xml:space="preserve"> ממנה או מאשה אחרת</w:t>
      </w:r>
      <w:r>
        <w:rPr>
          <w:rFonts w:cs="Arial" w:hint="cs"/>
          <w:rtl/>
        </w:rPr>
        <w:t>,</w:t>
      </w:r>
      <w:r w:rsidRPr="00872E10">
        <w:rPr>
          <w:rFonts w:cs="Arial"/>
          <w:rtl/>
        </w:rPr>
        <w:t xml:space="preserve"> ואין בנכסים כדי שיזונו שתיהן </w:t>
      </w:r>
      <w:r>
        <w:rPr>
          <w:rFonts w:cs="Arial" w:hint="cs"/>
          <w:rtl/>
        </w:rPr>
        <w:t xml:space="preserve">- </w:t>
      </w:r>
      <w:r w:rsidRPr="00872E10">
        <w:rPr>
          <w:rFonts w:cs="Arial"/>
          <w:rtl/>
        </w:rPr>
        <w:t>האלמנה ניזונת</w:t>
      </w:r>
      <w:r>
        <w:rPr>
          <w:rFonts w:cs="Arial" w:hint="cs"/>
          <w:rtl/>
        </w:rPr>
        <w:t>,</w:t>
      </w:r>
      <w:r w:rsidRPr="00872E10">
        <w:rPr>
          <w:rFonts w:cs="Arial"/>
          <w:rtl/>
        </w:rPr>
        <w:t xml:space="preserve"> והבת תשאל על הפתחים</w:t>
      </w:r>
      <w:r>
        <w:rPr>
          <w:rFonts w:cs="Arial" w:hint="cs"/>
          <w:rtl/>
        </w:rPr>
        <w:t>.</w:t>
      </w:r>
      <w:r w:rsidRPr="00290018">
        <w:rPr>
          <w:rFonts w:cs="Arial"/>
          <w:color w:val="E36C0A" w:themeColor="accent6" w:themeShade="BF"/>
          <w:rtl/>
        </w:rPr>
        <w:t xml:space="preserve"> </w:t>
      </w:r>
      <w:r w:rsidRPr="00290018">
        <w:rPr>
          <w:rFonts w:hint="cs"/>
          <w:color w:val="E36C0A" w:themeColor="accent6" w:themeShade="BF"/>
          <w:rtl/>
        </w:rPr>
        <w:t>(וכ"פ בשו"ע</w:t>
      </w:r>
      <w:r>
        <w:rPr>
          <w:rFonts w:hint="cs"/>
          <w:color w:val="E36C0A" w:themeColor="accent6" w:themeShade="BF"/>
          <w:sz w:val="16"/>
          <w:szCs w:val="16"/>
          <w:rtl/>
        </w:rPr>
        <w:t xml:space="preserve"> </w:t>
      </w:r>
      <w:r w:rsidRPr="00290018">
        <w:rPr>
          <w:rFonts w:hint="cs"/>
          <w:color w:val="000000" w:themeColor="text1"/>
          <w:sz w:val="16"/>
          <w:szCs w:val="16"/>
          <w:rtl/>
        </w:rPr>
        <w:t>[</w:t>
      </w:r>
      <w:r>
        <w:rPr>
          <w:rFonts w:hint="cs"/>
          <w:color w:val="000000" w:themeColor="text1"/>
          <w:sz w:val="16"/>
          <w:szCs w:val="16"/>
          <w:rtl/>
        </w:rPr>
        <w:t>כאן ובסי' צג ס"ד]</w:t>
      </w:r>
      <w:r w:rsidRPr="00290018">
        <w:rPr>
          <w:rFonts w:hint="cs"/>
          <w:color w:val="E36C0A" w:themeColor="accent6" w:themeShade="BF"/>
          <w:rtl/>
        </w:rPr>
        <w:t>)</w:t>
      </w:r>
    </w:p>
    <w:p w14:paraId="3A52A50E" w14:textId="1743A449" w:rsidR="00392DBB" w:rsidRDefault="00392DBB" w:rsidP="009000E3">
      <w:pPr>
        <w:pStyle w:val="ab"/>
        <w:numPr>
          <w:ilvl w:val="0"/>
          <w:numId w:val="61"/>
        </w:numPr>
      </w:pPr>
      <w:r>
        <w:rPr>
          <w:rFonts w:cs="Arial" w:hint="cs"/>
          <w:rtl/>
        </w:rPr>
        <w:t>טור</w:t>
      </w:r>
      <w:r w:rsidR="00A95F72">
        <w:rPr>
          <w:rFonts w:cs="Arial" w:hint="cs"/>
          <w:sz w:val="16"/>
          <w:szCs w:val="16"/>
          <w:rtl/>
        </w:rPr>
        <w:t xml:space="preserve"> (סי' צג)</w:t>
      </w:r>
      <w:r>
        <w:rPr>
          <w:rFonts w:cs="Arial" w:hint="cs"/>
          <w:rtl/>
        </w:rPr>
        <w:t xml:space="preserve">- </w:t>
      </w:r>
      <w:r w:rsidRPr="000A1431">
        <w:rPr>
          <w:rFonts w:cs="Arial"/>
          <w:rtl/>
        </w:rPr>
        <w:t>ואין חילוק בין אם הנכסים מרובים למועטים</w:t>
      </w:r>
      <w:r>
        <w:rPr>
          <w:rFonts w:cs="Arial" w:hint="cs"/>
          <w:rtl/>
        </w:rPr>
        <w:t>,</w:t>
      </w:r>
      <w:r w:rsidRPr="000A1431">
        <w:rPr>
          <w:rFonts w:cs="Arial"/>
          <w:rtl/>
        </w:rPr>
        <w:t xml:space="preserve"> אע</w:t>
      </w:r>
      <w:r>
        <w:rPr>
          <w:rFonts w:cs="Arial" w:hint="cs"/>
          <w:rtl/>
        </w:rPr>
        <w:t>"</w:t>
      </w:r>
      <w:r w:rsidRPr="000A1431">
        <w:rPr>
          <w:rFonts w:cs="Arial"/>
          <w:rtl/>
        </w:rPr>
        <w:t>ג דגבי בת הניזונת יש חילוק בין מרובים למועטים כדלקמן</w:t>
      </w:r>
      <w:r>
        <w:rPr>
          <w:rFonts w:cs="Arial" w:hint="cs"/>
          <w:sz w:val="16"/>
          <w:szCs w:val="16"/>
          <w:rtl/>
        </w:rPr>
        <w:t xml:space="preserve"> (סי' קיב)</w:t>
      </w:r>
      <w:r>
        <w:rPr>
          <w:rFonts w:cs="Arial" w:hint="cs"/>
          <w:rtl/>
        </w:rPr>
        <w:t>,</w:t>
      </w:r>
      <w:r w:rsidRPr="000A1431">
        <w:rPr>
          <w:rFonts w:cs="Arial"/>
          <w:rtl/>
        </w:rPr>
        <w:t xml:space="preserve"> הכא אין חילוק</w:t>
      </w:r>
      <w:r>
        <w:rPr>
          <w:rFonts w:cs="Arial" w:hint="cs"/>
          <w:rtl/>
        </w:rPr>
        <w:t>,</w:t>
      </w:r>
      <w:r w:rsidRPr="000A1431">
        <w:rPr>
          <w:rFonts w:cs="Arial"/>
          <w:rtl/>
        </w:rPr>
        <w:t xml:space="preserve"> אלא בכל ענין אם יש אלמנה ובן או אלמנה ובת </w:t>
      </w:r>
      <w:r>
        <w:rPr>
          <w:rFonts w:cs="Arial" w:hint="cs"/>
          <w:rtl/>
        </w:rPr>
        <w:t xml:space="preserve">- </w:t>
      </w:r>
      <w:r w:rsidRPr="000A1431">
        <w:rPr>
          <w:rFonts w:cs="Arial"/>
          <w:rtl/>
        </w:rPr>
        <w:t>תיזון היא עם הבן או עם הבת עד שיאכלו הנכסים</w:t>
      </w:r>
      <w:r>
        <w:rPr>
          <w:rFonts w:cs="Arial" w:hint="cs"/>
          <w:rtl/>
        </w:rPr>
        <w:t>..</w:t>
      </w:r>
      <w:r w:rsidRPr="0084491B">
        <w:rPr>
          <w:rFonts w:cs="Arial" w:hint="cs"/>
          <w:rtl/>
        </w:rPr>
        <w:t>.</w:t>
      </w:r>
      <w:r w:rsidRPr="0084491B">
        <w:rPr>
          <w:rFonts w:cs="Arial"/>
          <w:rtl/>
        </w:rPr>
        <w:t xml:space="preserve"> אבל אם יש אלמנה ובן ובת</w:t>
      </w:r>
      <w:r w:rsidRPr="0084491B">
        <w:rPr>
          <w:rFonts w:cs="Arial" w:hint="cs"/>
          <w:rtl/>
        </w:rPr>
        <w:t>,</w:t>
      </w:r>
      <w:r w:rsidRPr="0084491B">
        <w:rPr>
          <w:rFonts w:cs="Arial"/>
          <w:rtl/>
        </w:rPr>
        <w:t xml:space="preserve"> והנכסים מועטים שאין בהן כדי שיזונו הבת והבן עד שתיבגר הבת</w:t>
      </w:r>
      <w:r w:rsidRPr="0084491B">
        <w:rPr>
          <w:rFonts w:cs="Arial" w:hint="cs"/>
          <w:rtl/>
        </w:rPr>
        <w:t>,</w:t>
      </w:r>
      <w:r w:rsidRPr="0084491B">
        <w:rPr>
          <w:rFonts w:cs="Arial"/>
          <w:rtl/>
        </w:rPr>
        <w:t xml:space="preserve"> אז ידחו הבן והבת ותיזון האלמנה לבדה עד שתגבה כתובתה</w:t>
      </w:r>
      <w:r w:rsidRPr="0084491B">
        <w:rPr>
          <w:rFonts w:cs="Arial" w:hint="cs"/>
          <w:rtl/>
        </w:rPr>
        <w:t>.</w:t>
      </w:r>
      <w:r w:rsidRPr="0084491B">
        <w:rPr>
          <w:rFonts w:cs="Arial"/>
          <w:rtl/>
        </w:rPr>
        <w:t xml:space="preserve"> </w:t>
      </w:r>
    </w:p>
    <w:p w14:paraId="0F92E3A1" w14:textId="72A2DCE5" w:rsidR="00392DBB" w:rsidRPr="00E35923" w:rsidRDefault="00392DBB" w:rsidP="00392DBB">
      <w:pPr>
        <w:ind w:left="360"/>
        <w:rPr>
          <w:u w:val="dotted"/>
        </w:rPr>
      </w:pPr>
      <w:r>
        <w:rPr>
          <w:rFonts w:hint="cs"/>
          <w:u w:val="dotted"/>
          <w:rtl/>
        </w:rPr>
        <w:t>ל</w:t>
      </w:r>
      <w:r w:rsidRPr="00E35923">
        <w:rPr>
          <w:rFonts w:hint="cs"/>
          <w:u w:val="dotted"/>
          <w:rtl/>
        </w:rPr>
        <w:t xml:space="preserve">רמב"ם וסיעתו </w:t>
      </w:r>
      <w:r w:rsidR="00F97626">
        <w:rPr>
          <w:u w:val="dotted"/>
          <w:rtl/>
        </w:rPr>
        <w:t>-</w:t>
      </w:r>
      <w:r w:rsidRPr="00E35923">
        <w:rPr>
          <w:rFonts w:hint="cs"/>
          <w:u w:val="dotted"/>
          <w:rtl/>
        </w:rPr>
        <w:t xml:space="preserve"> כשהאלמנה דוחה את הבת, כמה מזונות פוסקים לה:</w:t>
      </w:r>
    </w:p>
    <w:p w14:paraId="11334D4A" w14:textId="3A745098" w:rsidR="00392DBB" w:rsidRPr="00E35923" w:rsidRDefault="00392DBB" w:rsidP="009000E3">
      <w:pPr>
        <w:pStyle w:val="ab"/>
        <w:numPr>
          <w:ilvl w:val="0"/>
          <w:numId w:val="61"/>
        </w:numPr>
        <w:rPr>
          <w:rFonts w:cs="Arial"/>
        </w:rPr>
      </w:pPr>
      <w:r>
        <w:rPr>
          <w:rFonts w:cs="Arial" w:hint="cs"/>
          <w:rtl/>
        </w:rPr>
        <w:t>הה"מ</w:t>
      </w:r>
      <w:r>
        <w:rPr>
          <w:rFonts w:cs="Arial" w:hint="cs"/>
          <w:sz w:val="16"/>
          <w:szCs w:val="16"/>
          <w:rtl/>
        </w:rPr>
        <w:t xml:space="preserve"> (שם)</w:t>
      </w:r>
      <w:r>
        <w:rPr>
          <w:rFonts w:cs="Arial" w:hint="cs"/>
          <w:rtl/>
        </w:rPr>
        <w:t>-</w:t>
      </w:r>
      <w:r w:rsidRPr="008D2C72">
        <w:rPr>
          <w:rFonts w:cs="Arial"/>
          <w:rtl/>
        </w:rPr>
        <w:t xml:space="preserve"> דע שכשהאלמנה דוחה את הבנות כתבו הרמב"ן (קמ: ד"ה אבל בירושלמי) והרשב"א (שם ד"ה עשו) ז"ל שמוציאין לאלמנה מזון עד זמן שאומדים ב"ד שראויה לחיות אם זקנה ואם ילדה</w:t>
      </w:r>
      <w:r w:rsidR="00E742E3">
        <w:rPr>
          <w:rFonts w:cs="Arial" w:hint="cs"/>
          <w:rtl/>
        </w:rPr>
        <w:t>,</w:t>
      </w:r>
      <w:r w:rsidRPr="008D2C72">
        <w:rPr>
          <w:rFonts w:cs="Arial"/>
          <w:rtl/>
        </w:rPr>
        <w:t xml:space="preserve"> ומעמידין ביד שליש והוא מפרנסה אחד לשלשים יום כדרך שאמרו בלוקח כנזכר </w:t>
      </w:r>
      <w:r>
        <w:rPr>
          <w:rFonts w:cs="Arial" w:hint="cs"/>
          <w:rtl/>
        </w:rPr>
        <w:t>ב</w:t>
      </w:r>
      <w:r w:rsidRPr="008D2C72">
        <w:rPr>
          <w:rFonts w:cs="Arial"/>
          <w:rtl/>
        </w:rPr>
        <w:t>פ</w:t>
      </w:r>
      <w:r>
        <w:rPr>
          <w:rFonts w:cs="Arial" w:hint="cs"/>
          <w:rtl/>
        </w:rPr>
        <w:t>י</w:t>
      </w:r>
      <w:r w:rsidRPr="008D2C72">
        <w:rPr>
          <w:rFonts w:cs="Arial"/>
          <w:rtl/>
        </w:rPr>
        <w:t xml:space="preserve">"ג. </w:t>
      </w:r>
      <w:r w:rsidRPr="00290018">
        <w:rPr>
          <w:rFonts w:cs="Arial" w:hint="cs"/>
          <w:color w:val="00B0F0"/>
          <w:rtl/>
        </w:rPr>
        <w:t>(וכ"פ הרמ"א</w:t>
      </w:r>
      <w:r>
        <w:rPr>
          <w:rFonts w:hint="cs"/>
          <w:color w:val="000000" w:themeColor="text1"/>
          <w:sz w:val="16"/>
          <w:szCs w:val="16"/>
          <w:rtl/>
        </w:rPr>
        <w:t xml:space="preserve"> </w:t>
      </w:r>
      <w:r w:rsidRPr="00290018">
        <w:rPr>
          <w:rFonts w:hint="cs"/>
          <w:color w:val="000000" w:themeColor="text1"/>
          <w:sz w:val="16"/>
          <w:szCs w:val="16"/>
          <w:rtl/>
        </w:rPr>
        <w:t>[</w:t>
      </w:r>
      <w:r>
        <w:rPr>
          <w:rFonts w:hint="cs"/>
          <w:color w:val="000000" w:themeColor="text1"/>
          <w:sz w:val="16"/>
          <w:szCs w:val="16"/>
          <w:rtl/>
        </w:rPr>
        <w:t>בסי' צג ס"ד]</w:t>
      </w:r>
      <w:r w:rsidRPr="00290018">
        <w:rPr>
          <w:rFonts w:cs="Arial" w:hint="cs"/>
          <w:color w:val="00B0F0"/>
          <w:rtl/>
        </w:rPr>
        <w:t>)</w:t>
      </w:r>
    </w:p>
    <w:p w14:paraId="7828D364" w14:textId="5F5BAE60" w:rsidR="00392DBB" w:rsidRPr="00311F2C" w:rsidRDefault="00392DBB" w:rsidP="00392DBB">
      <w:pPr>
        <w:ind w:left="360"/>
        <w:rPr>
          <w:rFonts w:cs="Arial"/>
          <w:u w:val="dotted"/>
        </w:rPr>
      </w:pPr>
      <w:r w:rsidRPr="00311F2C">
        <w:rPr>
          <w:rFonts w:cs="Arial" w:hint="cs"/>
          <w:u w:val="dotted"/>
          <w:rtl/>
        </w:rPr>
        <w:t>לרמב</w:t>
      </w:r>
      <w:r>
        <w:rPr>
          <w:rFonts w:cs="Arial" w:hint="cs"/>
          <w:u w:val="dotted"/>
          <w:rtl/>
        </w:rPr>
        <w:t>"</w:t>
      </w:r>
      <w:r w:rsidRPr="00311F2C">
        <w:rPr>
          <w:rFonts w:cs="Arial" w:hint="cs"/>
          <w:u w:val="dotted"/>
          <w:rtl/>
        </w:rPr>
        <w:t xml:space="preserve">ם וסיעתו </w:t>
      </w:r>
      <w:r w:rsidR="00F97626">
        <w:rPr>
          <w:rFonts w:cs="Arial"/>
          <w:u w:val="dotted"/>
          <w:rtl/>
        </w:rPr>
        <w:t>-</w:t>
      </w:r>
      <w:r w:rsidRPr="00311F2C">
        <w:rPr>
          <w:rFonts w:cs="Arial" w:hint="cs"/>
          <w:u w:val="dotted"/>
          <w:rtl/>
        </w:rPr>
        <w:t xml:space="preserve"> מה הדין כשהבת נישאת, האם היא נוטלת ממזון האלמנה עישור נכסים:</w:t>
      </w:r>
    </w:p>
    <w:p w14:paraId="5142966B" w14:textId="77777777" w:rsidR="00392DBB" w:rsidRPr="00311F2C" w:rsidRDefault="00392DBB" w:rsidP="009000E3">
      <w:pPr>
        <w:pStyle w:val="ab"/>
        <w:numPr>
          <w:ilvl w:val="0"/>
          <w:numId w:val="61"/>
        </w:numPr>
        <w:rPr>
          <w:rFonts w:cs="Arial"/>
        </w:rPr>
      </w:pPr>
      <w:r w:rsidRPr="00290018">
        <w:rPr>
          <w:rFonts w:cs="Arial"/>
          <w:rtl/>
        </w:rPr>
        <w:t xml:space="preserve">סמ"ג </w:t>
      </w:r>
      <w:r w:rsidRPr="00290018">
        <w:rPr>
          <w:rFonts w:cs="Arial"/>
          <w:sz w:val="16"/>
          <w:szCs w:val="16"/>
          <w:rtl/>
        </w:rPr>
        <w:t>(לאוין פא לג ע"ב)</w:t>
      </w:r>
      <w:r>
        <w:rPr>
          <w:rFonts w:cs="Arial" w:hint="cs"/>
          <w:rtl/>
        </w:rPr>
        <w:t>-</w:t>
      </w:r>
      <w:r w:rsidRPr="00290018">
        <w:rPr>
          <w:rFonts w:cs="Arial"/>
          <w:rtl/>
        </w:rPr>
        <w:t xml:space="preserve"> מי שמת והניח אלמנה ובת </w:t>
      </w:r>
      <w:r>
        <w:rPr>
          <w:rFonts w:cs="Arial" w:hint="cs"/>
          <w:rtl/>
        </w:rPr>
        <w:t xml:space="preserve">- </w:t>
      </w:r>
      <w:r w:rsidRPr="00290018">
        <w:rPr>
          <w:rFonts w:cs="Arial"/>
          <w:rtl/>
        </w:rPr>
        <w:t>מזונות האלמנה קודמין למזונות הבת</w:t>
      </w:r>
      <w:r>
        <w:rPr>
          <w:rFonts w:cs="Arial" w:hint="cs"/>
          <w:rtl/>
        </w:rPr>
        <w:t>.</w:t>
      </w:r>
      <w:r w:rsidRPr="00290018">
        <w:rPr>
          <w:rFonts w:cs="Arial"/>
          <w:rtl/>
        </w:rPr>
        <w:t xml:space="preserve"> וכן נשאת הבת </w:t>
      </w:r>
      <w:r>
        <w:rPr>
          <w:rFonts w:cs="Arial" w:hint="cs"/>
          <w:rtl/>
        </w:rPr>
        <w:t xml:space="preserve">- </w:t>
      </w:r>
      <w:r w:rsidRPr="00290018">
        <w:rPr>
          <w:rFonts w:cs="Arial"/>
          <w:rtl/>
        </w:rPr>
        <w:t>אין נוטלת עישור נכסים</w:t>
      </w:r>
      <w:r>
        <w:rPr>
          <w:rFonts w:cs="Arial" w:hint="cs"/>
          <w:rtl/>
        </w:rPr>
        <w:t>,</w:t>
      </w:r>
      <w:r w:rsidRPr="00290018">
        <w:rPr>
          <w:rFonts w:cs="Arial"/>
          <w:rtl/>
        </w:rPr>
        <w:t xml:space="preserve"> מפני מזונות האלמנה</w:t>
      </w:r>
      <w:r w:rsidRPr="00290018">
        <w:rPr>
          <w:rFonts w:cs="Arial" w:hint="cs"/>
          <w:rtl/>
        </w:rPr>
        <w:t>.</w:t>
      </w:r>
      <w:r w:rsidRPr="00311F2C">
        <w:rPr>
          <w:rFonts w:hint="cs"/>
          <w:color w:val="E36C0A" w:themeColor="accent6" w:themeShade="BF"/>
          <w:rtl/>
        </w:rPr>
        <w:t xml:space="preserve"> </w:t>
      </w:r>
      <w:r w:rsidRPr="00290018">
        <w:rPr>
          <w:rFonts w:hint="cs"/>
          <w:color w:val="E36C0A" w:themeColor="accent6" w:themeShade="BF"/>
          <w:rtl/>
        </w:rPr>
        <w:t>(וכ"פ בשו"ע</w:t>
      </w:r>
      <w:r>
        <w:rPr>
          <w:rFonts w:hint="cs"/>
          <w:color w:val="000000" w:themeColor="text1"/>
          <w:sz w:val="16"/>
          <w:szCs w:val="16"/>
          <w:rtl/>
        </w:rPr>
        <w:t xml:space="preserve"> </w:t>
      </w:r>
      <w:r w:rsidRPr="00290018">
        <w:rPr>
          <w:rFonts w:hint="cs"/>
          <w:color w:val="000000" w:themeColor="text1"/>
          <w:sz w:val="16"/>
          <w:szCs w:val="16"/>
          <w:rtl/>
        </w:rPr>
        <w:t>[</w:t>
      </w:r>
      <w:r>
        <w:rPr>
          <w:rFonts w:hint="cs"/>
          <w:color w:val="000000" w:themeColor="text1"/>
          <w:sz w:val="16"/>
          <w:szCs w:val="16"/>
          <w:rtl/>
        </w:rPr>
        <w:t>בסי' קיג ס"ו]</w:t>
      </w:r>
      <w:r w:rsidRPr="00290018">
        <w:rPr>
          <w:rFonts w:hint="cs"/>
          <w:color w:val="E36C0A" w:themeColor="accent6" w:themeShade="BF"/>
          <w:rtl/>
        </w:rPr>
        <w:t>)</w:t>
      </w:r>
    </w:p>
    <w:p w14:paraId="029160B7" w14:textId="43369992" w:rsidR="00392DBB" w:rsidRDefault="00392DBB" w:rsidP="00392DBB">
      <w:pPr>
        <w:rPr>
          <w:rFonts w:cs="Arial"/>
          <w:rtl/>
        </w:rPr>
      </w:pPr>
      <w:r>
        <w:rPr>
          <w:rFonts w:cs="Arial" w:hint="cs"/>
          <w:b/>
          <w:bCs/>
          <w:rtl/>
        </w:rPr>
        <w:t>בבא בתרא</w:t>
      </w:r>
      <w:r>
        <w:rPr>
          <w:rFonts w:cs="Arial" w:hint="cs"/>
          <w:b/>
          <w:bCs/>
          <w:sz w:val="16"/>
          <w:szCs w:val="16"/>
          <w:rtl/>
        </w:rPr>
        <w:t xml:space="preserve"> (ר"פ מי שמת)</w:t>
      </w:r>
      <w:r>
        <w:rPr>
          <w:rFonts w:cs="Arial" w:hint="cs"/>
          <w:b/>
          <w:bCs/>
          <w:rtl/>
        </w:rPr>
        <w:t xml:space="preserve"> קלט</w:t>
      </w:r>
      <w:r w:rsidR="0063488B">
        <w:rPr>
          <w:rStyle w:val="a7"/>
          <w:rFonts w:cs="Arial"/>
          <w:b/>
          <w:bCs/>
          <w:rtl/>
        </w:rPr>
        <w:footnoteReference w:id="2639"/>
      </w:r>
      <w:r>
        <w:rPr>
          <w:rFonts w:cs="Arial" w:hint="cs"/>
          <w:b/>
          <w:bCs/>
          <w:rtl/>
        </w:rPr>
        <w:t xml:space="preserve"> ע"א:</w:t>
      </w:r>
      <w:r>
        <w:rPr>
          <w:rFonts w:cs="Arial" w:hint="cs"/>
          <w:rtl/>
        </w:rPr>
        <w:t xml:space="preserve"> </w:t>
      </w:r>
      <w:r w:rsidRPr="00432426">
        <w:rPr>
          <w:rFonts w:cs="Arial"/>
          <w:rtl/>
        </w:rPr>
        <w:t>דשלח רבין באגרתיה: מי שמת והניח אלמנה ובת - אלמנתו נזונת מנכסיו</w:t>
      </w:r>
      <w:r>
        <w:rPr>
          <w:rFonts w:cs="Arial" w:hint="cs"/>
          <w:rtl/>
        </w:rPr>
        <w:t>.</w:t>
      </w:r>
      <w:r w:rsidRPr="00432426">
        <w:rPr>
          <w:rFonts w:cs="Arial"/>
          <w:rtl/>
        </w:rPr>
        <w:t xml:space="preserve"> נשאת הבת</w:t>
      </w:r>
      <w:r>
        <w:rPr>
          <w:rStyle w:val="a7"/>
          <w:rFonts w:cs="Arial"/>
          <w:rtl/>
        </w:rPr>
        <w:footnoteReference w:id="2640"/>
      </w:r>
      <w:r w:rsidRPr="00432426">
        <w:rPr>
          <w:rFonts w:cs="Arial"/>
          <w:rtl/>
        </w:rPr>
        <w:t xml:space="preserve"> - אלמנתו נזונת מנכסיו</w:t>
      </w:r>
      <w:r>
        <w:rPr>
          <w:rFonts w:cs="Arial" w:hint="cs"/>
          <w:rtl/>
        </w:rPr>
        <w:t>.</w:t>
      </w:r>
      <w:r w:rsidRPr="00432426">
        <w:rPr>
          <w:rFonts w:cs="Arial"/>
          <w:rtl/>
        </w:rPr>
        <w:t xml:space="preserve"> מתה הבת</w:t>
      </w:r>
      <w:r>
        <w:rPr>
          <w:rFonts w:cs="Arial" w:hint="cs"/>
          <w:rtl/>
        </w:rPr>
        <w:t>,</w:t>
      </w:r>
      <w:r w:rsidRPr="00432426">
        <w:rPr>
          <w:rFonts w:cs="Arial"/>
          <w:rtl/>
        </w:rPr>
        <w:t xml:space="preserve"> </w:t>
      </w:r>
      <w:r w:rsidRPr="00432426">
        <w:rPr>
          <w:rFonts w:cs="Arial"/>
          <w:u w:val="single"/>
          <w:rtl/>
        </w:rPr>
        <w:t>אמר רב יהודה בן אחותו של ר' יוסי ברבי חנינא</w:t>
      </w:r>
      <w:r>
        <w:rPr>
          <w:rFonts w:cs="Arial" w:hint="cs"/>
          <w:rtl/>
        </w:rPr>
        <w:t>:</w:t>
      </w:r>
      <w:r w:rsidRPr="00432426">
        <w:rPr>
          <w:rFonts w:cs="Arial"/>
          <w:rtl/>
        </w:rPr>
        <w:t xml:space="preserve"> ע"י היה מעשה ואמרו</w:t>
      </w:r>
      <w:r>
        <w:rPr>
          <w:rFonts w:cs="Arial" w:hint="cs"/>
          <w:rtl/>
        </w:rPr>
        <w:t xml:space="preserve"> -</w:t>
      </w:r>
      <w:r w:rsidRPr="00432426">
        <w:rPr>
          <w:rFonts w:cs="Arial"/>
          <w:rtl/>
        </w:rPr>
        <w:t xml:space="preserve"> אלמנתו נזונת מנכסיו</w:t>
      </w:r>
      <w:r>
        <w:rPr>
          <w:rFonts w:cs="Arial" w:hint="cs"/>
          <w:rtl/>
        </w:rPr>
        <w:t>.</w:t>
      </w:r>
      <w:r w:rsidRPr="00556503">
        <w:rPr>
          <w:rtl/>
        </w:rPr>
        <w:t xml:space="preserve"> </w:t>
      </w:r>
      <w:r w:rsidRPr="00556503">
        <w:rPr>
          <w:rFonts w:cs="Arial"/>
          <w:rtl/>
        </w:rPr>
        <w:t>אי אמרת בשלמא</w:t>
      </w:r>
      <w:r>
        <w:rPr>
          <w:rStyle w:val="a7"/>
          <w:rFonts w:cs="Arial"/>
          <w:rtl/>
        </w:rPr>
        <w:footnoteReference w:id="2641"/>
      </w:r>
      <w:r w:rsidRPr="00556503">
        <w:rPr>
          <w:rFonts w:cs="Arial"/>
          <w:rtl/>
        </w:rPr>
        <w:t xml:space="preserve"> יורש הוי, משום הכי אלמנתו נזונת מנכסיו, אלא אי אמרת לוקח הוי, אמאי נזונת מנכסיו?</w:t>
      </w:r>
      <w:r>
        <w:rPr>
          <w:rFonts w:cs="Arial" w:hint="cs"/>
          <w:rtl/>
        </w:rPr>
        <w:t>...</w:t>
      </w:r>
      <w:r>
        <w:rPr>
          <w:rFonts w:cs="Arial" w:hint="cs"/>
          <w:sz w:val="14"/>
          <w:szCs w:val="14"/>
          <w:rtl/>
        </w:rPr>
        <w:t xml:space="preserve"> (קלט:)</w:t>
      </w:r>
      <w:r w:rsidRPr="00432426">
        <w:rPr>
          <w:rtl/>
        </w:rPr>
        <w:t xml:space="preserve"> </w:t>
      </w:r>
      <w:r w:rsidRPr="00432426">
        <w:rPr>
          <w:rFonts w:cs="Arial"/>
          <w:u w:val="single"/>
          <w:rtl/>
        </w:rPr>
        <w:t>אמר רב אשי</w:t>
      </w:r>
      <w:r w:rsidRPr="00432426">
        <w:rPr>
          <w:rFonts w:cs="Arial"/>
          <w:rtl/>
        </w:rPr>
        <w:t>: בעל - שויוהו רבנן כיורש ושויוהו רבנן כלוקח, והיכא דטבא ליה עבדו ליה, גבי יובל - שויוהו רבנן כיורש משום פסידא דידיה, גבי דר' יוסי בר' חנינא - שויוהו רבנן כלוקח משום פסידא דידיה, גבי דרבין - משום פסידא דאלמנה שויוהו רבנן כיורש.</w:t>
      </w:r>
    </w:p>
    <w:p w14:paraId="72C07DEA" w14:textId="77777777" w:rsidR="0063488B" w:rsidRPr="0063488B" w:rsidRDefault="0063488B" w:rsidP="0063488B">
      <w:pPr>
        <w:rPr>
          <w:rFonts w:cs="Arial"/>
          <w:u w:val="single"/>
          <w:rtl/>
        </w:rPr>
      </w:pPr>
      <w:r w:rsidRPr="0063488B">
        <w:rPr>
          <w:rFonts w:cs="Arial" w:hint="cs"/>
          <w:u w:val="single"/>
          <w:rtl/>
        </w:rPr>
        <w:t xml:space="preserve">מי שמת והניח אלמנה בת ונכסים מועטים </w:t>
      </w:r>
      <w:r w:rsidRPr="0063488B">
        <w:rPr>
          <w:rFonts w:cs="Arial" w:hint="cs"/>
          <w:sz w:val="16"/>
          <w:szCs w:val="16"/>
          <w:u w:val="single"/>
          <w:rtl/>
        </w:rPr>
        <w:t>(או מרובים, לטור וסיעתו)</w:t>
      </w:r>
      <w:r w:rsidRPr="0063488B">
        <w:rPr>
          <w:rFonts w:cs="Arial" w:hint="cs"/>
          <w:u w:val="single"/>
          <w:rtl/>
        </w:rPr>
        <w:t xml:space="preserve"> </w:t>
      </w:r>
      <w:r w:rsidRPr="0063488B">
        <w:rPr>
          <w:rFonts w:cs="Arial"/>
          <w:u w:val="single"/>
          <w:rtl/>
        </w:rPr>
        <w:t>-</w:t>
      </w:r>
      <w:r w:rsidRPr="0063488B">
        <w:rPr>
          <w:rFonts w:cs="Arial" w:hint="cs"/>
          <w:u w:val="single"/>
          <w:rtl/>
        </w:rPr>
        <w:t xml:space="preserve"> מה הדין אם הבת נישאת והכניסה הנכסים לבעל:</w:t>
      </w:r>
    </w:p>
    <w:p w14:paraId="6429D9C6" w14:textId="77777777" w:rsidR="00392DBB" w:rsidRDefault="00392DBB" w:rsidP="009000E3">
      <w:pPr>
        <w:pStyle w:val="ab"/>
        <w:numPr>
          <w:ilvl w:val="0"/>
          <w:numId w:val="61"/>
        </w:numPr>
        <w:rPr>
          <w:rFonts w:cs="Arial"/>
        </w:rPr>
      </w:pPr>
      <w:r w:rsidRPr="00A16ADE">
        <w:rPr>
          <w:rFonts w:cs="Arial" w:hint="cs"/>
          <w:rtl/>
        </w:rPr>
        <w:t xml:space="preserve">טור- </w:t>
      </w:r>
      <w:r w:rsidRPr="00A16ADE">
        <w:rPr>
          <w:rFonts w:cs="Arial"/>
          <w:rtl/>
        </w:rPr>
        <w:t>אם יש אלמנה ובן או אלמנה ובת</w:t>
      </w:r>
      <w:r>
        <w:rPr>
          <w:rFonts w:cs="Arial" w:hint="cs"/>
          <w:rtl/>
        </w:rPr>
        <w:t>...</w:t>
      </w:r>
      <w:r w:rsidRPr="00A16ADE">
        <w:rPr>
          <w:rFonts w:cs="Arial"/>
          <w:rtl/>
        </w:rPr>
        <w:t xml:space="preserve"> ואפי' אם תינשא הבת ומכנסת הנכסים לבעל </w:t>
      </w:r>
      <w:r w:rsidRPr="00A16ADE">
        <w:rPr>
          <w:rFonts w:cs="Arial" w:hint="cs"/>
          <w:rtl/>
        </w:rPr>
        <w:t xml:space="preserve">- </w:t>
      </w:r>
      <w:r w:rsidRPr="00A16ADE">
        <w:rPr>
          <w:rFonts w:cs="Arial"/>
          <w:rtl/>
        </w:rPr>
        <w:t>היא תיזון מהן אפי' אחר מיתת הבת</w:t>
      </w:r>
      <w:r w:rsidRPr="00A16ADE">
        <w:rPr>
          <w:rFonts w:cs="Arial" w:hint="cs"/>
          <w:rtl/>
        </w:rPr>
        <w:t>.</w:t>
      </w:r>
      <w:r w:rsidRPr="00761138">
        <w:rPr>
          <w:rFonts w:hint="cs"/>
          <w:color w:val="E36C0A" w:themeColor="accent6" w:themeShade="BF"/>
          <w:rtl/>
        </w:rPr>
        <w:t xml:space="preserve"> </w:t>
      </w:r>
      <w:r w:rsidRPr="00290018">
        <w:rPr>
          <w:rFonts w:hint="cs"/>
          <w:color w:val="E36C0A" w:themeColor="accent6" w:themeShade="BF"/>
          <w:rtl/>
        </w:rPr>
        <w:t>(וכ"פ בשו"ע</w:t>
      </w:r>
      <w:r>
        <w:rPr>
          <w:rFonts w:hint="cs"/>
          <w:color w:val="000000" w:themeColor="text1"/>
          <w:sz w:val="16"/>
          <w:szCs w:val="16"/>
          <w:rtl/>
        </w:rPr>
        <w:t xml:space="preserve"> </w:t>
      </w:r>
      <w:r w:rsidRPr="00290018">
        <w:rPr>
          <w:rFonts w:hint="cs"/>
          <w:color w:val="000000" w:themeColor="text1"/>
          <w:sz w:val="16"/>
          <w:szCs w:val="16"/>
          <w:rtl/>
        </w:rPr>
        <w:t>[</w:t>
      </w:r>
      <w:r>
        <w:rPr>
          <w:rFonts w:hint="cs"/>
          <w:color w:val="000000" w:themeColor="text1"/>
          <w:sz w:val="16"/>
          <w:szCs w:val="16"/>
          <w:rtl/>
        </w:rPr>
        <w:t>בסי' קיג ס"ו]</w:t>
      </w:r>
      <w:r w:rsidRPr="00290018">
        <w:rPr>
          <w:rFonts w:hint="cs"/>
          <w:color w:val="E36C0A" w:themeColor="accent6" w:themeShade="BF"/>
          <w:rtl/>
        </w:rPr>
        <w:t>)</w:t>
      </w:r>
      <w:r>
        <w:rPr>
          <w:rFonts w:cs="Arial" w:hint="cs"/>
          <w:rtl/>
        </w:rPr>
        <w:t xml:space="preserve"> </w:t>
      </w:r>
    </w:p>
    <w:p w14:paraId="34946629" w14:textId="312BED6B" w:rsidR="00392DBB" w:rsidRPr="00D657B6" w:rsidRDefault="00DA203E" w:rsidP="00392DBB">
      <w:pPr>
        <w:rPr>
          <w:rFonts w:cs="Arial"/>
          <w:u w:val="single"/>
        </w:rPr>
      </w:pPr>
      <w:r w:rsidRPr="00D657B6">
        <w:rPr>
          <w:rFonts w:cs="Arial" w:hint="cs"/>
          <w:u w:val="single"/>
          <w:rtl/>
        </w:rPr>
        <w:t>מזונות</w:t>
      </w:r>
      <w:r w:rsidRPr="00D657B6">
        <w:rPr>
          <w:rFonts w:cs="Arial" w:hint="cs"/>
          <w:u w:val="single"/>
          <w:rtl/>
        </w:rPr>
        <w:t xml:space="preserve"> </w:t>
      </w:r>
      <w:r>
        <w:rPr>
          <w:rFonts w:cs="Arial" w:hint="cs"/>
          <w:u w:val="single"/>
          <w:rtl/>
        </w:rPr>
        <w:t>ה</w:t>
      </w:r>
      <w:r w:rsidR="00392DBB" w:rsidRPr="00D657B6">
        <w:rPr>
          <w:rFonts w:cs="Arial" w:hint="cs"/>
          <w:u w:val="single"/>
          <w:rtl/>
        </w:rPr>
        <w:t>בת</w:t>
      </w:r>
      <w:r w:rsidR="00392DBB">
        <w:rPr>
          <w:rFonts w:cs="Arial" w:hint="cs"/>
          <w:u w:val="single"/>
          <w:rtl/>
        </w:rPr>
        <w:t>,</w:t>
      </w:r>
      <w:r w:rsidR="00392DBB" w:rsidRPr="00D657B6">
        <w:rPr>
          <w:rFonts w:cs="Arial" w:hint="cs"/>
          <w:u w:val="single"/>
          <w:rtl/>
        </w:rPr>
        <w:t xml:space="preserve"> ו</w:t>
      </w:r>
      <w:r>
        <w:rPr>
          <w:rFonts w:cs="Arial" w:hint="cs"/>
          <w:u w:val="single"/>
          <w:rtl/>
        </w:rPr>
        <w:t xml:space="preserve">כתובת </w:t>
      </w:r>
      <w:r w:rsidR="00392DBB" w:rsidRPr="00D657B6">
        <w:rPr>
          <w:rFonts w:cs="Arial" w:hint="cs"/>
          <w:u w:val="single"/>
          <w:rtl/>
        </w:rPr>
        <w:t xml:space="preserve">אלמנה </w:t>
      </w:r>
      <w:r w:rsidR="00F97626">
        <w:rPr>
          <w:rFonts w:cs="Arial"/>
          <w:u w:val="single"/>
          <w:rtl/>
        </w:rPr>
        <w:t>-</w:t>
      </w:r>
      <w:r w:rsidR="00392DBB" w:rsidRPr="00D657B6">
        <w:rPr>
          <w:rFonts w:cs="Arial" w:hint="cs"/>
          <w:u w:val="single"/>
          <w:rtl/>
        </w:rPr>
        <w:t xml:space="preserve"> מי קודם:</w:t>
      </w:r>
    </w:p>
    <w:p w14:paraId="250D489E" w14:textId="77777777" w:rsidR="00DA203E" w:rsidRDefault="00DA203E" w:rsidP="00DA203E">
      <w:pPr>
        <w:pStyle w:val="ab"/>
        <w:numPr>
          <w:ilvl w:val="0"/>
          <w:numId w:val="61"/>
        </w:numPr>
        <w:rPr>
          <w:rtl/>
        </w:rPr>
      </w:pPr>
      <w:r w:rsidRPr="00F07BB8">
        <w:rPr>
          <w:rFonts w:cs="Arial" w:hint="cs"/>
          <w:rtl/>
        </w:rPr>
        <w:t xml:space="preserve">רשב"א </w:t>
      </w:r>
      <w:r w:rsidRPr="00F07BB8">
        <w:rPr>
          <w:rFonts w:cs="Arial"/>
          <w:sz w:val="16"/>
          <w:szCs w:val="16"/>
          <w:rtl/>
        </w:rPr>
        <w:t>(במיוחסות סי</w:t>
      </w:r>
      <w:r w:rsidRPr="00F07BB8">
        <w:rPr>
          <w:rFonts w:cs="Arial" w:hint="cs"/>
          <w:sz w:val="16"/>
          <w:szCs w:val="16"/>
          <w:rtl/>
        </w:rPr>
        <w:t>'</w:t>
      </w:r>
      <w:r w:rsidRPr="00F07BB8">
        <w:rPr>
          <w:rFonts w:cs="Arial"/>
          <w:sz w:val="16"/>
          <w:szCs w:val="16"/>
          <w:rtl/>
        </w:rPr>
        <w:t xml:space="preserve"> מ</w:t>
      </w:r>
      <w:r w:rsidRPr="00F07BB8">
        <w:rPr>
          <w:rFonts w:cs="Arial" w:hint="cs"/>
          <w:sz w:val="16"/>
          <w:szCs w:val="16"/>
          <w:rtl/>
        </w:rPr>
        <w:t>)</w:t>
      </w:r>
      <w:r w:rsidRPr="00F07BB8">
        <w:rPr>
          <w:rFonts w:cs="Arial" w:hint="cs"/>
          <w:rtl/>
        </w:rPr>
        <w:t>-</w:t>
      </w:r>
      <w:r w:rsidRPr="00F07BB8">
        <w:rPr>
          <w:rFonts w:cs="Arial"/>
          <w:rtl/>
        </w:rPr>
        <w:t xml:space="preserve"> אם אין הנכסים מספיקים אלא לכתובת האלמנה והניח בת קטנה </w:t>
      </w:r>
      <w:r>
        <w:rPr>
          <w:rFonts w:cs="Arial" w:hint="cs"/>
          <w:rtl/>
        </w:rPr>
        <w:t xml:space="preserve">- </w:t>
      </w:r>
      <w:r w:rsidRPr="00F07BB8">
        <w:rPr>
          <w:rFonts w:cs="Arial"/>
          <w:rtl/>
        </w:rPr>
        <w:t>אין הבת נזונת מנכסיו שהרי הם משועבדים לכתובה</w:t>
      </w:r>
      <w:r>
        <w:rPr>
          <w:rFonts w:cs="Arial" w:hint="cs"/>
          <w:rtl/>
        </w:rPr>
        <w:t>,</w:t>
      </w:r>
      <w:r w:rsidRPr="00F07BB8">
        <w:rPr>
          <w:rFonts w:cs="Arial"/>
          <w:rtl/>
        </w:rPr>
        <w:t xml:space="preserve"> ואפילו שעבדם אחר שנולדה הבת</w:t>
      </w:r>
      <w:r>
        <w:rPr>
          <w:rFonts w:cs="Arial" w:hint="cs"/>
          <w:rtl/>
        </w:rPr>
        <w:t>,</w:t>
      </w:r>
      <w:r w:rsidRPr="00F07BB8">
        <w:rPr>
          <w:rFonts w:cs="Arial"/>
          <w:rtl/>
        </w:rPr>
        <w:t xml:space="preserve"> ואפילו קנו מידו אחר שנולדה הבת</w:t>
      </w:r>
      <w:r>
        <w:rPr>
          <w:rFonts w:cs="Arial" w:hint="cs"/>
          <w:rtl/>
        </w:rPr>
        <w:t>...</w:t>
      </w:r>
    </w:p>
    <w:p w14:paraId="3C1FF595" w14:textId="77777777" w:rsidR="00392DBB" w:rsidRPr="00D657B6" w:rsidRDefault="00392DBB" w:rsidP="009000E3">
      <w:pPr>
        <w:pStyle w:val="ab"/>
        <w:numPr>
          <w:ilvl w:val="0"/>
          <w:numId w:val="61"/>
        </w:numPr>
      </w:pPr>
      <w:r w:rsidRPr="00D657B6">
        <w:rPr>
          <w:rFonts w:cs="Arial"/>
          <w:rtl/>
        </w:rPr>
        <w:t xml:space="preserve">ר"ן </w:t>
      </w:r>
      <w:r w:rsidRPr="00D657B6">
        <w:rPr>
          <w:rFonts w:cs="Arial" w:hint="cs"/>
          <w:sz w:val="16"/>
          <w:szCs w:val="16"/>
          <w:rtl/>
        </w:rPr>
        <w:t>(</w:t>
      </w:r>
      <w:r w:rsidRPr="00D657B6">
        <w:rPr>
          <w:rFonts w:cs="Arial"/>
          <w:sz w:val="16"/>
          <w:szCs w:val="16"/>
          <w:rtl/>
        </w:rPr>
        <w:t>ס</w:t>
      </w:r>
      <w:r w:rsidRPr="00D657B6">
        <w:rPr>
          <w:rFonts w:cs="Arial" w:hint="cs"/>
          <w:sz w:val="16"/>
          <w:szCs w:val="16"/>
          <w:rtl/>
        </w:rPr>
        <w:t>"פ</w:t>
      </w:r>
      <w:r w:rsidRPr="00D657B6">
        <w:rPr>
          <w:rFonts w:cs="Arial"/>
          <w:sz w:val="16"/>
          <w:szCs w:val="16"/>
          <w:rtl/>
        </w:rPr>
        <w:t xml:space="preserve"> מציאת האשה לא. דיבור ראשון)</w:t>
      </w:r>
      <w:r>
        <w:rPr>
          <w:rFonts w:cs="Arial" w:hint="cs"/>
          <w:rtl/>
        </w:rPr>
        <w:t>-</w:t>
      </w:r>
      <w:r w:rsidRPr="00D657B6">
        <w:rPr>
          <w:rFonts w:cs="Arial"/>
          <w:rtl/>
        </w:rPr>
        <w:t xml:space="preserve"> היכא דבת תובעת מזונות ואלמנה תובעת כתובה ואיכא מקרקעי </w:t>
      </w:r>
      <w:r>
        <w:rPr>
          <w:rFonts w:cs="Arial" w:hint="cs"/>
          <w:rtl/>
        </w:rPr>
        <w:t xml:space="preserve">- </w:t>
      </w:r>
      <w:r w:rsidRPr="00D657B6">
        <w:rPr>
          <w:rFonts w:cs="Arial"/>
          <w:rtl/>
        </w:rPr>
        <w:t>ודאי אלמנה קודמת</w:t>
      </w:r>
      <w:r>
        <w:rPr>
          <w:rFonts w:cs="Arial" w:hint="cs"/>
          <w:rtl/>
        </w:rPr>
        <w:t>.</w:t>
      </w:r>
      <w:r w:rsidRPr="00D657B6">
        <w:rPr>
          <w:rFonts w:cs="Arial"/>
          <w:rtl/>
        </w:rPr>
        <w:t xml:space="preserve"> ואפילו היכא דאיכא מטלטלי דאין בהם דין קדימה </w:t>
      </w:r>
      <w:r>
        <w:rPr>
          <w:rFonts w:cs="Arial" w:hint="cs"/>
          <w:rtl/>
        </w:rPr>
        <w:t xml:space="preserve">- </w:t>
      </w:r>
      <w:r w:rsidRPr="00D657B6">
        <w:rPr>
          <w:rFonts w:cs="Arial"/>
          <w:rtl/>
        </w:rPr>
        <w:t>אעפ</w:t>
      </w:r>
      <w:r>
        <w:rPr>
          <w:rFonts w:cs="Arial" w:hint="cs"/>
          <w:rtl/>
        </w:rPr>
        <w:t>"</w:t>
      </w:r>
      <w:r w:rsidRPr="00D657B6">
        <w:rPr>
          <w:rFonts w:cs="Arial"/>
          <w:rtl/>
        </w:rPr>
        <w:t>כ כתובה קודמת</w:t>
      </w:r>
      <w:r>
        <w:rPr>
          <w:rFonts w:cs="Arial" w:hint="cs"/>
          <w:rtl/>
        </w:rPr>
        <w:t>,</w:t>
      </w:r>
      <w:r w:rsidRPr="00D657B6">
        <w:rPr>
          <w:rFonts w:cs="Arial"/>
          <w:rtl/>
        </w:rPr>
        <w:t xml:space="preserve"> שזו וזו מתקנת האחרונים הוא שיש להם לגבות ממטלטלין כי תקינו כעין דאורייתא תקינו</w:t>
      </w:r>
      <w:r w:rsidRPr="00D657B6">
        <w:rPr>
          <w:rFonts w:cs="Arial" w:hint="cs"/>
          <w:rtl/>
        </w:rPr>
        <w:t>.</w:t>
      </w:r>
    </w:p>
    <w:p w14:paraId="311D21EF"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5AB8845" w14:textId="77777777" w:rsidR="00392DBB" w:rsidRDefault="00392DBB" w:rsidP="00392DBB">
      <w:pPr>
        <w:rPr>
          <w:rFonts w:cs="Arial"/>
          <w:rtl/>
        </w:rPr>
      </w:pPr>
      <w:r w:rsidRPr="00523CDE">
        <w:rPr>
          <w:rFonts w:cs="Arial"/>
          <w:rtl/>
        </w:rPr>
        <w:t>הניח אלמנה ובת</w:t>
      </w:r>
      <w:r>
        <w:rPr>
          <w:rFonts w:cs="Arial" w:hint="cs"/>
          <w:rtl/>
        </w:rPr>
        <w:t>,</w:t>
      </w:r>
      <w:r w:rsidRPr="00523CDE">
        <w:rPr>
          <w:rFonts w:cs="Arial"/>
          <w:rtl/>
        </w:rPr>
        <w:t xml:space="preserve"> ממנה או מאשה אחרת, ואין בנכסים כדי שיזונו שתיהן, האלמנה ניזונית והבת תשאל על הפתחים. ויש חולקין כמו שנתבאר בסימן צ"ג. </w:t>
      </w:r>
    </w:p>
    <w:p w14:paraId="60978C9E" w14:textId="77777777" w:rsidR="00392DBB" w:rsidRPr="00523CDE" w:rsidRDefault="00392DBB" w:rsidP="00392DBB">
      <w:pPr>
        <w:rPr>
          <w:rFonts w:cs="Arial"/>
          <w:rtl/>
        </w:rPr>
      </w:pPr>
    </w:p>
    <w:p w14:paraId="30FA632A" w14:textId="77777777" w:rsidR="00392DBB" w:rsidRDefault="00392DBB" w:rsidP="000F64D0">
      <w:pPr>
        <w:pStyle w:val="2"/>
        <w:rPr>
          <w:rtl/>
        </w:rPr>
      </w:pPr>
      <w:r w:rsidRPr="00523CDE">
        <w:rPr>
          <w:rtl/>
        </w:rPr>
        <w:t>סעיף יז</w:t>
      </w:r>
      <w:r>
        <w:rPr>
          <w:rFonts w:hint="cs"/>
          <w:rtl/>
        </w:rPr>
        <w:t>: קדימת מזונות הבת לכתובת בנין דכרין.</w:t>
      </w:r>
    </w:p>
    <w:p w14:paraId="10BB0CF7" w14:textId="34ADA2BE" w:rsidR="00392DBB" w:rsidRPr="00070732" w:rsidRDefault="00392DBB" w:rsidP="00392DBB">
      <w:pPr>
        <w:rPr>
          <w:u w:val="single"/>
          <w:rtl/>
        </w:rPr>
      </w:pPr>
      <w:r w:rsidRPr="00070732">
        <w:rPr>
          <w:rFonts w:hint="cs"/>
          <w:u w:val="single"/>
          <w:rtl/>
        </w:rPr>
        <w:t xml:space="preserve">מזונות הבת וכתובת בנין דכרין </w:t>
      </w:r>
      <w:r w:rsidR="00F97626">
        <w:rPr>
          <w:u w:val="single"/>
          <w:rtl/>
        </w:rPr>
        <w:t>-</w:t>
      </w:r>
      <w:r>
        <w:rPr>
          <w:rFonts w:hint="cs"/>
          <w:u w:val="single"/>
          <w:rtl/>
        </w:rPr>
        <w:t xml:space="preserve"> מי </w:t>
      </w:r>
      <w:r w:rsidRPr="00070732">
        <w:rPr>
          <w:rFonts w:hint="cs"/>
          <w:u w:val="single"/>
          <w:rtl/>
        </w:rPr>
        <w:t>קודם:</w:t>
      </w:r>
    </w:p>
    <w:p w14:paraId="72ED16E0" w14:textId="19024C61" w:rsidR="00392DBB" w:rsidRPr="00D535F4" w:rsidRDefault="00392DBB" w:rsidP="009000E3">
      <w:pPr>
        <w:pStyle w:val="ab"/>
        <w:numPr>
          <w:ilvl w:val="0"/>
          <w:numId w:val="63"/>
        </w:numPr>
      </w:pPr>
      <w:r>
        <w:rPr>
          <w:rFonts w:cs="Arial" w:hint="cs"/>
          <w:rtl/>
        </w:rPr>
        <w:lastRenderedPageBreak/>
        <w:t xml:space="preserve">רמב"ם </w:t>
      </w:r>
      <w:r>
        <w:rPr>
          <w:rFonts w:cs="Arial" w:hint="cs"/>
          <w:sz w:val="16"/>
          <w:szCs w:val="16"/>
          <w:rtl/>
        </w:rPr>
        <w:t>(</w:t>
      </w:r>
      <w:r w:rsidRPr="00D535F4">
        <w:rPr>
          <w:rFonts w:cs="Arial" w:hint="cs"/>
          <w:sz w:val="16"/>
          <w:szCs w:val="16"/>
          <w:rtl/>
        </w:rPr>
        <w:t>פי"</w:t>
      </w:r>
      <w:r>
        <w:rPr>
          <w:rFonts w:cs="Arial" w:hint="cs"/>
          <w:sz w:val="16"/>
          <w:szCs w:val="16"/>
          <w:rtl/>
        </w:rPr>
        <w:t>ט</w:t>
      </w:r>
      <w:r w:rsidRPr="00D535F4">
        <w:rPr>
          <w:rFonts w:cs="Arial" w:hint="cs"/>
          <w:sz w:val="16"/>
          <w:szCs w:val="16"/>
          <w:rtl/>
        </w:rPr>
        <w:t xml:space="preserve"> הכ"א)</w:t>
      </w:r>
      <w:r>
        <w:rPr>
          <w:rFonts w:cs="Arial" w:hint="cs"/>
          <w:rtl/>
        </w:rPr>
        <w:t xml:space="preserve"> וטור- </w:t>
      </w:r>
      <w:r w:rsidRPr="00FF003E">
        <w:rPr>
          <w:rFonts w:cs="Arial"/>
          <w:rtl/>
        </w:rPr>
        <w:t>וכן אני אומר שמזונות הבת קודמין לירושת הבן כתובת אמו שמתה בחיי אביו</w:t>
      </w:r>
      <w:r w:rsidRPr="00FF003E">
        <w:rPr>
          <w:rFonts w:cs="Arial" w:hint="cs"/>
          <w:rtl/>
        </w:rPr>
        <w:t>,</w:t>
      </w:r>
      <w:r w:rsidRPr="00FF003E">
        <w:rPr>
          <w:rFonts w:cs="Arial"/>
          <w:rtl/>
        </w:rPr>
        <w:t xml:space="preserve"> ואע</w:t>
      </w:r>
      <w:r w:rsidRPr="00FF003E">
        <w:rPr>
          <w:rFonts w:cs="Arial" w:hint="cs"/>
          <w:rtl/>
        </w:rPr>
        <w:t>"</w:t>
      </w:r>
      <w:r w:rsidRPr="00FF003E">
        <w:rPr>
          <w:rFonts w:cs="Arial"/>
          <w:rtl/>
        </w:rPr>
        <w:t>פ ששניהם מתנאי כתובה, קל וחומר הדברים</w:t>
      </w:r>
      <w:r w:rsidRPr="00FF003E">
        <w:rPr>
          <w:rFonts w:cs="Arial" w:hint="cs"/>
          <w:rtl/>
        </w:rPr>
        <w:t>,</w:t>
      </w:r>
      <w:r w:rsidRPr="00FF003E">
        <w:rPr>
          <w:rFonts w:cs="Arial"/>
          <w:rtl/>
        </w:rPr>
        <w:t xml:space="preserve"> ומה אם נדחת ירושה של תורה מפני מזונות הבת</w:t>
      </w:r>
      <w:r w:rsidR="00A95F72">
        <w:rPr>
          <w:rFonts w:cs="Arial" w:hint="cs"/>
          <w:rtl/>
        </w:rPr>
        <w:t>,</w:t>
      </w:r>
      <w:r w:rsidRPr="00FF003E">
        <w:rPr>
          <w:rFonts w:cs="Arial"/>
          <w:rtl/>
        </w:rPr>
        <w:t xml:space="preserve"> לא תדחה ירושת הכתובה שהיא תנאי בית דין מפני מזונות הבת</w:t>
      </w:r>
      <w:r>
        <w:rPr>
          <w:rFonts w:cs="Arial" w:hint="cs"/>
          <w:sz w:val="16"/>
          <w:szCs w:val="16"/>
          <w:rtl/>
        </w:rPr>
        <w:t xml:space="preserve"> (ל' הרמב"ם)</w:t>
      </w:r>
      <w:r w:rsidRPr="00FF003E">
        <w:rPr>
          <w:rFonts w:cs="Arial"/>
          <w:rtl/>
        </w:rPr>
        <w:t>.</w:t>
      </w:r>
      <w:r>
        <w:rPr>
          <w:rFonts w:hint="cs"/>
          <w:rtl/>
        </w:rPr>
        <w:t xml:space="preserve"> </w:t>
      </w:r>
      <w:r w:rsidRPr="00D657B6">
        <w:rPr>
          <w:rFonts w:hint="cs"/>
          <w:color w:val="E36C0A" w:themeColor="accent6" w:themeShade="BF"/>
          <w:rtl/>
        </w:rPr>
        <w:t>(וכ"פ בשו"ע)</w:t>
      </w:r>
    </w:p>
    <w:p w14:paraId="0C938398"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22C0735" w14:textId="77777777" w:rsidR="00392DBB" w:rsidRDefault="00392DBB" w:rsidP="00392DBB">
      <w:pPr>
        <w:rPr>
          <w:rFonts w:cs="Arial"/>
          <w:rtl/>
        </w:rPr>
      </w:pPr>
      <w:r w:rsidRPr="00523CDE">
        <w:rPr>
          <w:rFonts w:cs="Arial"/>
          <w:rtl/>
        </w:rPr>
        <w:t xml:space="preserve">מזונות הבת קודמת לכתובת בנין דכרין. </w:t>
      </w:r>
    </w:p>
    <w:p w14:paraId="3E1D3D71" w14:textId="77777777" w:rsidR="00392DBB" w:rsidRPr="00523CDE" w:rsidRDefault="00392DBB" w:rsidP="00392DBB">
      <w:pPr>
        <w:rPr>
          <w:rFonts w:cs="Arial"/>
          <w:rtl/>
        </w:rPr>
      </w:pPr>
    </w:p>
    <w:p w14:paraId="02CAF2F1" w14:textId="77777777" w:rsidR="00392DBB" w:rsidRDefault="00392DBB" w:rsidP="000F64D0">
      <w:pPr>
        <w:pStyle w:val="2"/>
        <w:rPr>
          <w:rtl/>
        </w:rPr>
      </w:pPr>
      <w:r w:rsidRPr="00523CDE">
        <w:rPr>
          <w:rtl/>
        </w:rPr>
        <w:t>סעיף יח</w:t>
      </w:r>
      <w:r>
        <w:rPr>
          <w:rFonts w:hint="cs"/>
          <w:rtl/>
        </w:rPr>
        <w:t>: חלוקת הנכסים כשיש</w:t>
      </w:r>
      <w:r w:rsidRPr="00B345A5">
        <w:rPr>
          <w:rtl/>
        </w:rPr>
        <w:t xml:space="preserve"> בנות גדולות וקטנו</w:t>
      </w:r>
      <w:r>
        <w:rPr>
          <w:rFonts w:hint="cs"/>
          <w:rtl/>
        </w:rPr>
        <w:t>ת.</w:t>
      </w:r>
    </w:p>
    <w:p w14:paraId="3ED6C7B1" w14:textId="77777777" w:rsidR="00392DBB" w:rsidRDefault="00392DBB" w:rsidP="00392DBB">
      <w:pPr>
        <w:rPr>
          <w:rtl/>
        </w:rPr>
      </w:pPr>
      <w:r>
        <w:rPr>
          <w:rFonts w:cs="Arial" w:hint="cs"/>
          <w:b/>
          <w:bCs/>
          <w:rtl/>
        </w:rPr>
        <w:t>בבא בתרא</w:t>
      </w:r>
      <w:r>
        <w:rPr>
          <w:rFonts w:cs="Arial" w:hint="cs"/>
          <w:b/>
          <w:bCs/>
          <w:sz w:val="16"/>
          <w:szCs w:val="16"/>
          <w:rtl/>
        </w:rPr>
        <w:t xml:space="preserve"> (ס"פ יש נוחלין)</w:t>
      </w:r>
      <w:r>
        <w:rPr>
          <w:rFonts w:cs="Arial" w:hint="cs"/>
          <w:b/>
          <w:bCs/>
          <w:rtl/>
        </w:rPr>
        <w:t xml:space="preserve"> קלט ע"א: </w:t>
      </w:r>
      <w:r w:rsidRPr="009F73FD">
        <w:rPr>
          <w:rFonts w:cs="Arial"/>
          <w:u w:val="double"/>
          <w:rtl/>
        </w:rPr>
        <w:t>מתני'</w:t>
      </w:r>
      <w:r>
        <w:rPr>
          <w:rFonts w:cs="Arial" w:hint="cs"/>
          <w:rtl/>
        </w:rPr>
        <w:t>:...</w:t>
      </w:r>
      <w:r w:rsidRPr="0056720C">
        <w:rPr>
          <w:rFonts w:cs="Arial"/>
          <w:rtl/>
        </w:rPr>
        <w:t xml:space="preserve"> הניח בנות גדולות וקטנות - אין הגדולות מתפרנסות על ידי הקטנות, ולא הקטנות נזונות על הגדולות, אלא חולקות בשוה.</w:t>
      </w:r>
      <w:r>
        <w:rPr>
          <w:rFonts w:cs="Arial" w:hint="cs"/>
          <w:rtl/>
        </w:rPr>
        <w:t>.</w:t>
      </w:r>
      <w:r w:rsidRPr="0056720C">
        <w:rPr>
          <w:rFonts w:cs="Arial"/>
          <w:rtl/>
        </w:rPr>
        <w:t>.</w:t>
      </w:r>
    </w:p>
    <w:p w14:paraId="50B7975C" w14:textId="04EC52BE" w:rsidR="00392DBB" w:rsidRPr="0056720C" w:rsidRDefault="00392DBB" w:rsidP="00392DBB">
      <w:pPr>
        <w:rPr>
          <w:u w:val="single"/>
          <w:rtl/>
        </w:rPr>
      </w:pPr>
      <w:r w:rsidRPr="0056720C">
        <w:rPr>
          <w:rFonts w:cs="Arial"/>
          <w:u w:val="single"/>
          <w:rtl/>
        </w:rPr>
        <w:t>הניח בנות גדולות וקטנו</w:t>
      </w:r>
      <w:r w:rsidRPr="0056720C">
        <w:rPr>
          <w:rFonts w:cs="Arial" w:hint="cs"/>
          <w:u w:val="single"/>
          <w:rtl/>
        </w:rPr>
        <w:t>ת</w:t>
      </w:r>
      <w:r w:rsidRPr="0056720C">
        <w:rPr>
          <w:rFonts w:hint="cs"/>
          <w:u w:val="single"/>
          <w:rtl/>
        </w:rPr>
        <w:t xml:space="preserve"> </w:t>
      </w:r>
      <w:r w:rsidR="00F97626">
        <w:rPr>
          <w:u w:val="single"/>
          <w:rtl/>
        </w:rPr>
        <w:t>-</w:t>
      </w:r>
      <w:r w:rsidRPr="0056720C">
        <w:rPr>
          <w:rFonts w:hint="cs"/>
          <w:u w:val="single"/>
          <w:rtl/>
        </w:rPr>
        <w:t xml:space="preserve"> כיצד מחלקים את הנכסים:</w:t>
      </w:r>
    </w:p>
    <w:p w14:paraId="2E368EE5" w14:textId="77777777" w:rsidR="00392DBB" w:rsidRDefault="00392DBB" w:rsidP="009000E3">
      <w:pPr>
        <w:pStyle w:val="ab"/>
        <w:numPr>
          <w:ilvl w:val="0"/>
          <w:numId w:val="63"/>
        </w:numPr>
      </w:pPr>
      <w:r>
        <w:rPr>
          <w:rFonts w:cs="Arial" w:hint="cs"/>
          <w:rtl/>
        </w:rPr>
        <w:t xml:space="preserve">טור- </w:t>
      </w:r>
      <w:r w:rsidRPr="00B345A5">
        <w:rPr>
          <w:rFonts w:cs="Arial"/>
          <w:rtl/>
        </w:rPr>
        <w:t>הניח בנות גדולות וקטנו</w:t>
      </w:r>
      <w:r>
        <w:rPr>
          <w:rFonts w:cs="Arial" w:hint="cs"/>
          <w:rtl/>
        </w:rPr>
        <w:t>ת,</w:t>
      </w:r>
      <w:r w:rsidRPr="00B345A5">
        <w:rPr>
          <w:rFonts w:cs="Arial"/>
          <w:rtl/>
        </w:rPr>
        <w:t xml:space="preserve"> אין אומרים יזונו הקטנות עד שיבגרו ואח"כ יחלקו הנכסים</w:t>
      </w:r>
      <w:r>
        <w:rPr>
          <w:rFonts w:cs="Arial" w:hint="cs"/>
          <w:rtl/>
        </w:rPr>
        <w:t>,</w:t>
      </w:r>
      <w:r w:rsidRPr="00B345A5">
        <w:rPr>
          <w:rFonts w:cs="Arial"/>
          <w:rtl/>
        </w:rPr>
        <w:t xml:space="preserve"> אלא מיד יחלקו בשוה וכל אחת תיזון ותתפרנס משלה</w:t>
      </w:r>
      <w:r>
        <w:rPr>
          <w:rFonts w:cs="Arial" w:hint="cs"/>
          <w:rtl/>
        </w:rPr>
        <w:t>.</w:t>
      </w:r>
      <w:r w:rsidRPr="0056720C">
        <w:rPr>
          <w:rFonts w:hint="cs"/>
          <w:color w:val="E36C0A" w:themeColor="accent6" w:themeShade="BF"/>
          <w:rtl/>
        </w:rPr>
        <w:t xml:space="preserve"> (וכ"פ בשו"ע)</w:t>
      </w:r>
    </w:p>
    <w:p w14:paraId="7E14C54C"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DE1FA34" w14:textId="77777777" w:rsidR="00392DBB" w:rsidRPr="007A3469" w:rsidRDefault="00392DBB" w:rsidP="00392DBB">
      <w:pPr>
        <w:rPr>
          <w:rtl/>
        </w:rPr>
        <w:sectPr w:rsidR="00392DBB" w:rsidRPr="007A3469" w:rsidSect="00A347B3">
          <w:headerReference w:type="default" r:id="rId56"/>
          <w:footnotePr>
            <w:numRestart w:val="eachSect"/>
          </w:footnotePr>
          <w:pgSz w:w="11906" w:h="16838"/>
          <w:pgMar w:top="720" w:right="1134" w:bottom="720" w:left="1134" w:header="0" w:footer="0" w:gutter="0"/>
          <w:cols w:space="720"/>
          <w:bidi/>
          <w:rtlGutter/>
          <w:docGrid w:linePitch="360"/>
        </w:sectPr>
      </w:pPr>
      <w:r w:rsidRPr="00523CDE">
        <w:rPr>
          <w:rFonts w:cs="Arial"/>
          <w:rtl/>
        </w:rPr>
        <w:t>מי שמת והניח בנות גדולות וקטנות, ולא הניח בן, אין אומרים: יזונו הקטנות עד שיבגרו ויחלקו שאר נכסים בשוה, אלא כלן חולקות.</w:t>
      </w:r>
    </w:p>
    <w:p w14:paraId="614897FF" w14:textId="77777777" w:rsidR="00392DBB" w:rsidRDefault="00392DBB" w:rsidP="00392DBB">
      <w:pPr>
        <w:pStyle w:val="1"/>
        <w:rPr>
          <w:rtl/>
        </w:rPr>
      </w:pPr>
      <w:r>
        <w:rPr>
          <w:rFonts w:hint="cs"/>
          <w:rtl/>
        </w:rPr>
        <w:lastRenderedPageBreak/>
        <w:t>סימן קיג:</w:t>
      </w:r>
      <w:r w:rsidRPr="00C12B74">
        <w:rPr>
          <w:rtl/>
        </w:rPr>
        <w:t xml:space="preserve"> </w:t>
      </w:r>
      <w:r>
        <w:rPr>
          <w:rFonts w:cs="Arial"/>
          <w:rtl/>
        </w:rPr>
        <w:t xml:space="preserve">דין עישור נכסים ממה נגבים, ובו י' סעיפים. </w:t>
      </w:r>
    </w:p>
    <w:p w14:paraId="38FBFC43" w14:textId="77777777" w:rsidR="00392DBB" w:rsidRDefault="00392DBB" w:rsidP="000F64D0">
      <w:pPr>
        <w:pStyle w:val="2"/>
        <w:rPr>
          <w:rtl/>
        </w:rPr>
      </w:pPr>
      <w:r>
        <w:rPr>
          <w:rtl/>
        </w:rPr>
        <w:t>סעיף א</w:t>
      </w:r>
      <w:r>
        <w:rPr>
          <w:rFonts w:hint="cs"/>
          <w:rtl/>
        </w:rPr>
        <w:t>: פרנסת הבת.</w:t>
      </w:r>
    </w:p>
    <w:p w14:paraId="36095C06" w14:textId="1D03DBC3" w:rsidR="00392DBB" w:rsidRDefault="00392DBB" w:rsidP="00392DBB">
      <w:pPr>
        <w:rPr>
          <w:rtl/>
        </w:rPr>
      </w:pPr>
      <w:r w:rsidRPr="009164FE">
        <w:rPr>
          <w:rFonts w:cs="Arial" w:hint="cs"/>
          <w:b/>
          <w:bCs/>
          <w:rtl/>
        </w:rPr>
        <w:t xml:space="preserve">כתובות </w:t>
      </w:r>
      <w:r w:rsidRPr="009164FE">
        <w:rPr>
          <w:rFonts w:cs="Arial" w:hint="cs"/>
          <w:b/>
          <w:bCs/>
          <w:sz w:val="16"/>
          <w:szCs w:val="16"/>
          <w:rtl/>
        </w:rPr>
        <w:t xml:space="preserve">(פ' מציאת האשה) </w:t>
      </w:r>
      <w:r w:rsidRPr="009164FE">
        <w:rPr>
          <w:rFonts w:cs="Arial" w:hint="cs"/>
          <w:b/>
          <w:bCs/>
          <w:rtl/>
        </w:rPr>
        <w:t>סח</w:t>
      </w:r>
      <w:r w:rsidR="004842A6">
        <w:rPr>
          <w:rStyle w:val="a7"/>
          <w:rFonts w:cs="Arial"/>
          <w:b/>
          <w:bCs/>
          <w:rtl/>
        </w:rPr>
        <w:footnoteReference w:id="2642"/>
      </w:r>
      <w:r w:rsidRPr="009164FE">
        <w:rPr>
          <w:rFonts w:cs="Arial" w:hint="cs"/>
          <w:b/>
          <w:bCs/>
          <w:rtl/>
        </w:rPr>
        <w:t xml:space="preserve"> ע"א:</w:t>
      </w:r>
      <w:r>
        <w:rPr>
          <w:rFonts w:cs="Arial" w:hint="cs"/>
          <w:rtl/>
        </w:rPr>
        <w:t xml:space="preserve"> </w:t>
      </w:r>
      <w:r w:rsidRPr="009164FE">
        <w:rPr>
          <w:rFonts w:cs="Arial"/>
          <w:u w:val="double"/>
          <w:rtl/>
        </w:rPr>
        <w:t>מתני'</w:t>
      </w:r>
      <w:r>
        <w:rPr>
          <w:rFonts w:cs="Arial" w:hint="cs"/>
          <w:rtl/>
        </w:rPr>
        <w:t>:</w:t>
      </w:r>
      <w:r>
        <w:rPr>
          <w:rFonts w:cs="Arial"/>
          <w:rtl/>
        </w:rPr>
        <w:t xml:space="preserve"> יתומה שהשיאתה אמה או אחיה מדעתה, וכתבו לה במאה או בחמשים זוז, יכולה היא משתגדיל להוציא מידן מה שראוי להנתן לה. </w:t>
      </w:r>
      <w:r w:rsidRPr="009164FE">
        <w:rPr>
          <w:rFonts w:cs="Arial"/>
          <w:u w:val="single"/>
          <w:rtl/>
        </w:rPr>
        <w:t>רבי יהודה אומר</w:t>
      </w:r>
      <w:r>
        <w:rPr>
          <w:rFonts w:cs="Arial"/>
          <w:rtl/>
        </w:rPr>
        <w:t>: אם השיא את הבת הראשונה, ינתן לשניה כדרך שנתן לראשונה</w:t>
      </w:r>
      <w:r>
        <w:rPr>
          <w:rFonts w:cs="Arial" w:hint="cs"/>
          <w:rtl/>
        </w:rPr>
        <w:t>.</w:t>
      </w:r>
      <w:r>
        <w:rPr>
          <w:rFonts w:cs="Arial"/>
          <w:rtl/>
        </w:rPr>
        <w:t xml:space="preserve"> </w:t>
      </w:r>
      <w:r w:rsidRPr="009164FE">
        <w:rPr>
          <w:rFonts w:cs="Arial"/>
          <w:u w:val="single"/>
          <w:rtl/>
        </w:rPr>
        <w:t>וחכ"א</w:t>
      </w:r>
      <w:r>
        <w:rPr>
          <w:rFonts w:cs="Arial"/>
          <w:rtl/>
        </w:rPr>
        <w:t xml:space="preserve">: פעמים שאדם עני והעשיר או עשיר והעני, אלא שמין את הנכסים ונותנין לה. </w:t>
      </w:r>
      <w:r>
        <w:rPr>
          <w:rFonts w:hint="cs"/>
          <w:rtl/>
        </w:rPr>
        <w:t xml:space="preserve">   </w:t>
      </w:r>
      <w:r w:rsidR="00AA4718">
        <w:rPr>
          <w:rFonts w:hint="cs"/>
          <w:rtl/>
        </w:rPr>
        <w:t xml:space="preserve"> </w:t>
      </w:r>
      <w:r>
        <w:rPr>
          <w:rFonts w:hint="cs"/>
          <w:rtl/>
        </w:rPr>
        <w:t xml:space="preserve">  </w:t>
      </w:r>
      <w:r w:rsidRPr="009164FE">
        <w:rPr>
          <w:rFonts w:cs="Arial"/>
          <w:u w:val="double"/>
          <w:rtl/>
        </w:rPr>
        <w:t>גמ'</w:t>
      </w:r>
      <w:r>
        <w:rPr>
          <w:rFonts w:cs="Arial" w:hint="cs"/>
          <w:rtl/>
        </w:rPr>
        <w:t>:</w:t>
      </w:r>
      <w:r>
        <w:rPr>
          <w:rFonts w:cs="Arial"/>
          <w:rtl/>
        </w:rPr>
        <w:t xml:space="preserve"> </w:t>
      </w:r>
      <w:r w:rsidRPr="009164FE">
        <w:rPr>
          <w:rFonts w:cs="Arial"/>
          <w:u w:val="single"/>
          <w:rtl/>
        </w:rPr>
        <w:t>אמר שמואל</w:t>
      </w:r>
      <w:r>
        <w:rPr>
          <w:rFonts w:cs="Arial"/>
          <w:rtl/>
        </w:rPr>
        <w:t>: לפרנסה שמין באב</w:t>
      </w:r>
      <w:r>
        <w:rPr>
          <w:rStyle w:val="a7"/>
          <w:rFonts w:cs="Arial"/>
          <w:rtl/>
        </w:rPr>
        <w:footnoteReference w:id="2643"/>
      </w:r>
      <w:r>
        <w:rPr>
          <w:rFonts w:cs="Arial"/>
          <w:rtl/>
        </w:rPr>
        <w:t>.</w:t>
      </w:r>
      <w:r>
        <w:rPr>
          <w:rFonts w:cs="Arial" w:hint="cs"/>
          <w:rtl/>
        </w:rPr>
        <w:t>.</w:t>
      </w:r>
      <w:r>
        <w:rPr>
          <w:rFonts w:cs="Arial"/>
          <w:rtl/>
        </w:rPr>
        <w:t>. תנן, וחכ"א: פעמים שאדם עני והעשיר או עשיר והעני, אלא שמין הנכסים ונותנין לה</w:t>
      </w:r>
      <w:r>
        <w:rPr>
          <w:rFonts w:cs="Arial" w:hint="cs"/>
          <w:rtl/>
        </w:rPr>
        <w:t>.</w:t>
      </w:r>
      <w:r>
        <w:rPr>
          <w:rFonts w:cs="Arial"/>
          <w:rtl/>
        </w:rPr>
        <w:t xml:space="preserve"> מאי עני ומאי עשיר? אי נימא עני - עני בנכסים, עשיר - עשיר בנכסים, מכלל דתנא קמא סבר: אפילו עשיר והעני כדמעיקרא יהבינן לה, הא לית ליה! אלא לאו עני - עני בדעת</w:t>
      </w:r>
      <w:r>
        <w:rPr>
          <w:rStyle w:val="a7"/>
          <w:rFonts w:cs="Arial"/>
          <w:rtl/>
        </w:rPr>
        <w:footnoteReference w:id="2644"/>
      </w:r>
      <w:r>
        <w:rPr>
          <w:rFonts w:cs="Arial"/>
          <w:rtl/>
        </w:rPr>
        <w:t>, עשיר - עשיר בדעת, וקתני: שמין את הנכסים ונותנין לה, אלמא לא אזלינן בתר אומדנא, ותיובתא דשמואל</w:t>
      </w:r>
      <w:r>
        <w:rPr>
          <w:rFonts w:cs="Arial" w:hint="cs"/>
          <w:rtl/>
        </w:rPr>
        <w:t>?</w:t>
      </w:r>
      <w:r>
        <w:rPr>
          <w:rFonts w:cs="Arial"/>
          <w:rtl/>
        </w:rPr>
        <w:t xml:space="preserve">! הוא דאמר </w:t>
      </w:r>
      <w:r>
        <w:rPr>
          <w:rFonts w:cs="Arial" w:hint="cs"/>
          <w:rtl/>
        </w:rPr>
        <w:t xml:space="preserve">- </w:t>
      </w:r>
      <w:r>
        <w:rPr>
          <w:rFonts w:cs="Arial"/>
          <w:rtl/>
        </w:rPr>
        <w:t>כרבי יהודה</w:t>
      </w:r>
      <w:r>
        <w:rPr>
          <w:rFonts w:cs="Arial" w:hint="cs"/>
          <w:rtl/>
        </w:rPr>
        <w:t>.</w:t>
      </w:r>
      <w:r>
        <w:rPr>
          <w:rFonts w:cs="Arial"/>
          <w:rtl/>
        </w:rPr>
        <w:t xml:space="preserve"> דתנן, רבי יהודה אומר: אם השיא בת הראשונה, ינתן לשניה כדרך שנתן לראשונה. ונימא: הלכה כרבי יהודה!</w:t>
      </w:r>
      <w:r>
        <w:rPr>
          <w:rFonts w:cs="Arial" w:hint="cs"/>
          <w:rtl/>
        </w:rPr>
        <w:t>?</w:t>
      </w:r>
      <w:r>
        <w:rPr>
          <w:rFonts w:cs="Arial"/>
          <w:rtl/>
        </w:rPr>
        <w:t xml:space="preserve"> אי אמר הלכה כרבי יהודה, הוה אמינא דוקא השיאה, דגלי דעתיה, אבל לא השיאה לא, קמ"ל טעמא דר' יהודה דאזלינן בתר אומדנא לא שנא השיאה ולא שנא לא השיאה</w:t>
      </w:r>
      <w:r>
        <w:rPr>
          <w:rFonts w:cs="Arial" w:hint="cs"/>
          <w:rtl/>
        </w:rPr>
        <w:t>.</w:t>
      </w:r>
      <w:r>
        <w:rPr>
          <w:rFonts w:cs="Arial"/>
          <w:rtl/>
        </w:rPr>
        <w:t xml:space="preserve"> והאי דקתני השיאה? להודיעך כחן דרבנן, דאע"ג דהשיאה וגלי דעתיה לא אזלינן בתר אומדנא. </w:t>
      </w:r>
      <w:r w:rsidRPr="009164FE">
        <w:rPr>
          <w:rFonts w:cs="Arial"/>
          <w:u w:val="single"/>
          <w:rtl/>
        </w:rPr>
        <w:t>א"ל רבא לרב חסדא</w:t>
      </w:r>
      <w:r>
        <w:rPr>
          <w:rFonts w:cs="Arial" w:hint="cs"/>
          <w:rtl/>
        </w:rPr>
        <w:t>:</w:t>
      </w:r>
      <w:r>
        <w:rPr>
          <w:rFonts w:cs="Arial"/>
          <w:rtl/>
        </w:rPr>
        <w:t xml:space="preserve"> דרשינן משמך הלכה כר' יהודה</w:t>
      </w:r>
      <w:r>
        <w:rPr>
          <w:rFonts w:cs="Arial" w:hint="cs"/>
          <w:rtl/>
        </w:rPr>
        <w:t>.</w:t>
      </w:r>
      <w:r>
        <w:rPr>
          <w:rFonts w:cs="Arial"/>
          <w:rtl/>
        </w:rPr>
        <w:t xml:space="preserve"> </w:t>
      </w:r>
      <w:r w:rsidRPr="009164FE">
        <w:rPr>
          <w:rFonts w:cs="Arial"/>
          <w:u w:val="single"/>
          <w:rtl/>
        </w:rPr>
        <w:t>א"ל</w:t>
      </w:r>
      <w:r>
        <w:rPr>
          <w:rFonts w:cs="Arial"/>
          <w:rtl/>
        </w:rPr>
        <w:t>: יהא רעוא כל כי הני מילי מעלייתא תדרשו משמאי. ומי אמר רבא הכי? והתניא, רבי אומר: בת הניזונת מן האחין - נוטלת עישור נכסים</w:t>
      </w:r>
      <w:r>
        <w:rPr>
          <w:rStyle w:val="a7"/>
          <w:rFonts w:cs="Arial"/>
          <w:rtl/>
        </w:rPr>
        <w:footnoteReference w:id="2645"/>
      </w:r>
      <w:r>
        <w:rPr>
          <w:rFonts w:cs="Arial" w:hint="cs"/>
          <w:rtl/>
        </w:rPr>
        <w:t>.</w:t>
      </w:r>
      <w:r>
        <w:rPr>
          <w:rFonts w:cs="Arial"/>
          <w:rtl/>
        </w:rPr>
        <w:t xml:space="preserve"> ואמר רבא: הלכתא כרבי! לא קשיא: הא דאמידניה, הא דלא אמידניה</w:t>
      </w:r>
      <w:r>
        <w:rPr>
          <w:rStyle w:val="a7"/>
          <w:rFonts w:cs="Arial"/>
          <w:rtl/>
        </w:rPr>
        <w:footnoteReference w:id="2646"/>
      </w:r>
      <w:r>
        <w:rPr>
          <w:rFonts w:cs="Arial"/>
          <w:rtl/>
        </w:rPr>
        <w:t>. הכי נמי מסתברא</w:t>
      </w:r>
      <w:r>
        <w:rPr>
          <w:rStyle w:val="a7"/>
          <w:rFonts w:cs="Arial"/>
          <w:rtl/>
        </w:rPr>
        <w:footnoteReference w:id="2647"/>
      </w:r>
      <w:r>
        <w:rPr>
          <w:rFonts w:cs="Arial"/>
          <w:rtl/>
        </w:rPr>
        <w:t>, דאמר רב אדא בר אהבה: מעשה ונתן לה רבי אחד משנים עשר בנכסים, קשיין אהדדי! אלא לאו ש"מ: הא דאמידניה, הא דלא אמידניה, ש"מ.</w:t>
      </w:r>
    </w:p>
    <w:p w14:paraId="201C292C" w14:textId="77777777" w:rsidR="00392DBB" w:rsidRPr="00740D47" w:rsidRDefault="00392DBB" w:rsidP="00392DBB">
      <w:pPr>
        <w:rPr>
          <w:u w:val="single"/>
          <w:rtl/>
        </w:rPr>
      </w:pPr>
      <w:r w:rsidRPr="00740D47">
        <w:rPr>
          <w:rFonts w:hint="cs"/>
          <w:u w:val="single"/>
          <w:rtl/>
        </w:rPr>
        <w:t>פרנסת הבת כיצד:</w:t>
      </w:r>
    </w:p>
    <w:p w14:paraId="73645266" w14:textId="77777777" w:rsidR="00392DBB" w:rsidRPr="00F4222F" w:rsidRDefault="00392DBB" w:rsidP="009000E3">
      <w:pPr>
        <w:pStyle w:val="ab"/>
        <w:numPr>
          <w:ilvl w:val="0"/>
          <w:numId w:val="63"/>
        </w:numPr>
      </w:pPr>
      <w:r>
        <w:rPr>
          <w:rFonts w:cs="Arial" w:hint="cs"/>
          <w:rtl/>
        </w:rPr>
        <w:t xml:space="preserve">טור- </w:t>
      </w:r>
      <w:r w:rsidRPr="00E04543">
        <w:rPr>
          <w:rFonts w:cs="Arial"/>
          <w:rtl/>
        </w:rPr>
        <w:t>מי שמת והניח בת להשיאה</w:t>
      </w:r>
      <w:r>
        <w:rPr>
          <w:rFonts w:cs="Arial" w:hint="cs"/>
          <w:rtl/>
        </w:rPr>
        <w:t>,</w:t>
      </w:r>
      <w:r w:rsidRPr="00E04543">
        <w:rPr>
          <w:rFonts w:cs="Arial"/>
          <w:rtl/>
        </w:rPr>
        <w:t xml:space="preserve"> משיאין אותה מנכסיו</w:t>
      </w:r>
      <w:r>
        <w:rPr>
          <w:rFonts w:cs="Arial" w:hint="cs"/>
          <w:rtl/>
        </w:rPr>
        <w:t>,</w:t>
      </w:r>
      <w:r w:rsidRPr="00E04543">
        <w:rPr>
          <w:rFonts w:cs="Arial"/>
          <w:rtl/>
        </w:rPr>
        <w:t xml:space="preserve"> וזה נקרא פרנסת הבת</w:t>
      </w:r>
      <w:r>
        <w:rPr>
          <w:rFonts w:cs="Arial" w:hint="cs"/>
          <w:rtl/>
        </w:rPr>
        <w:t xml:space="preserve">... </w:t>
      </w:r>
      <w:r w:rsidRPr="000F0C6A">
        <w:rPr>
          <w:rFonts w:cs="Arial"/>
          <w:rtl/>
        </w:rPr>
        <w:t>וכמה נותנים לפרנסתה</w:t>
      </w:r>
      <w:r>
        <w:rPr>
          <w:rFonts w:cs="Arial" w:hint="cs"/>
          <w:rtl/>
        </w:rPr>
        <w:t>,</w:t>
      </w:r>
      <w:r w:rsidRPr="000F0C6A">
        <w:rPr>
          <w:rFonts w:cs="Arial"/>
          <w:rtl/>
        </w:rPr>
        <w:t xml:space="preserve"> רואין</w:t>
      </w:r>
      <w:r>
        <w:rPr>
          <w:rFonts w:cs="Arial" w:hint="cs"/>
          <w:rtl/>
        </w:rPr>
        <w:t>,</w:t>
      </w:r>
      <w:r w:rsidRPr="000F0C6A">
        <w:rPr>
          <w:rFonts w:cs="Arial"/>
          <w:rtl/>
        </w:rPr>
        <w:t xml:space="preserve"> אם השיא שום בת בחייו </w:t>
      </w:r>
      <w:r>
        <w:rPr>
          <w:rFonts w:cs="Arial" w:hint="cs"/>
          <w:rtl/>
        </w:rPr>
        <w:t xml:space="preserve">- </w:t>
      </w:r>
      <w:r w:rsidRPr="000F0C6A">
        <w:rPr>
          <w:rFonts w:cs="Arial"/>
          <w:rtl/>
        </w:rPr>
        <w:t>נותנין לה כמו שנתן לאחותה שהשיאה אותו בחייו</w:t>
      </w:r>
      <w:r>
        <w:rPr>
          <w:rFonts w:cs="Arial" w:hint="cs"/>
          <w:rtl/>
        </w:rPr>
        <w:t xml:space="preserve">... </w:t>
      </w:r>
      <w:r w:rsidRPr="005129D3">
        <w:rPr>
          <w:rFonts w:cs="Arial"/>
          <w:rtl/>
        </w:rPr>
        <w:t>ואם לא השיא שום אחת</w:t>
      </w:r>
      <w:r w:rsidRPr="005129D3">
        <w:rPr>
          <w:rFonts w:cs="Arial" w:hint="cs"/>
          <w:rtl/>
        </w:rPr>
        <w:t xml:space="preserve"> - </w:t>
      </w:r>
      <w:r w:rsidRPr="005129D3">
        <w:rPr>
          <w:rFonts w:cs="Arial"/>
          <w:rtl/>
        </w:rPr>
        <w:t>אומדין דעתו כמה היה נותן אילו היה חי ולפי עושרו ולפי כבודו ולפי ותרנותו וכך יתנו לזאת</w:t>
      </w:r>
      <w:r w:rsidRPr="005129D3">
        <w:rPr>
          <w:rFonts w:cs="Arial" w:hint="cs"/>
          <w:rtl/>
        </w:rPr>
        <w:t>.</w:t>
      </w:r>
      <w:r>
        <w:rPr>
          <w:rFonts w:cs="Arial" w:hint="cs"/>
          <w:rtl/>
        </w:rPr>
        <w:t>..</w:t>
      </w:r>
      <w:r w:rsidRPr="005129D3">
        <w:rPr>
          <w:rFonts w:cs="Arial"/>
          <w:rtl/>
        </w:rPr>
        <w:t xml:space="preserve"> ואם אין יודעין לשער דעתו </w:t>
      </w:r>
      <w:r w:rsidRPr="005129D3">
        <w:rPr>
          <w:rFonts w:cs="Arial" w:hint="cs"/>
          <w:rtl/>
        </w:rPr>
        <w:t xml:space="preserve">- </w:t>
      </w:r>
      <w:r w:rsidRPr="005129D3">
        <w:rPr>
          <w:rFonts w:cs="Arial"/>
          <w:rtl/>
        </w:rPr>
        <w:t>יתנו לה עישור הנכסים</w:t>
      </w:r>
      <w:r w:rsidRPr="005129D3">
        <w:rPr>
          <w:rFonts w:cs="Arial" w:hint="cs"/>
          <w:rtl/>
        </w:rPr>
        <w:t>.</w:t>
      </w:r>
      <w:r w:rsidRPr="005129D3">
        <w:rPr>
          <w:rFonts w:cs="Arial"/>
          <w:rtl/>
        </w:rPr>
        <w:t xml:space="preserve"> </w:t>
      </w:r>
      <w:r w:rsidRPr="00F4222F">
        <w:rPr>
          <w:rFonts w:hint="cs"/>
          <w:color w:val="E36C0A" w:themeColor="accent6" w:themeShade="BF"/>
          <w:rtl/>
        </w:rPr>
        <w:t>(וכ"פ בשו"ע)</w:t>
      </w:r>
    </w:p>
    <w:p w14:paraId="6ABA15F4" w14:textId="77777777" w:rsidR="00392DBB" w:rsidRPr="00F4222F" w:rsidRDefault="00392DBB" w:rsidP="00392DBB">
      <w:pPr>
        <w:ind w:left="360"/>
        <w:rPr>
          <w:u w:val="dotted"/>
        </w:rPr>
      </w:pPr>
      <w:r w:rsidRPr="00F4222F">
        <w:rPr>
          <w:rFonts w:hint="cs"/>
          <w:u w:val="dotted"/>
          <w:rtl/>
        </w:rPr>
        <w:t>ומה הדין אם נשתנתה דעתו או שהעשיר/העני:</w:t>
      </w:r>
    </w:p>
    <w:p w14:paraId="7FE91810" w14:textId="77777777" w:rsidR="00392DBB" w:rsidRDefault="00392DBB" w:rsidP="009000E3">
      <w:pPr>
        <w:pStyle w:val="ab"/>
        <w:numPr>
          <w:ilvl w:val="0"/>
          <w:numId w:val="63"/>
        </w:numPr>
      </w:pPr>
      <w:r>
        <w:rPr>
          <w:rFonts w:cs="Arial" w:hint="cs"/>
          <w:rtl/>
        </w:rPr>
        <w:t xml:space="preserve">טור- </w:t>
      </w:r>
      <w:r w:rsidRPr="005129D3">
        <w:rPr>
          <w:rFonts w:cs="Arial"/>
          <w:rtl/>
        </w:rPr>
        <w:t>ואם היה עשיר והעני</w:t>
      </w:r>
      <w:r w:rsidRPr="005129D3">
        <w:rPr>
          <w:rFonts w:cs="Arial" w:hint="cs"/>
          <w:rtl/>
        </w:rPr>
        <w:t>,</w:t>
      </w:r>
      <w:r w:rsidRPr="005129D3">
        <w:rPr>
          <w:rFonts w:cs="Arial"/>
          <w:rtl/>
        </w:rPr>
        <w:t xml:space="preserve"> או ותרן ונשתנה דעתו</w:t>
      </w:r>
      <w:r w:rsidRPr="005129D3">
        <w:rPr>
          <w:rFonts w:cs="Arial" w:hint="cs"/>
          <w:rtl/>
        </w:rPr>
        <w:t xml:space="preserve"> -</w:t>
      </w:r>
      <w:r w:rsidRPr="005129D3">
        <w:rPr>
          <w:rFonts w:cs="Arial"/>
          <w:rtl/>
        </w:rPr>
        <w:t xml:space="preserve"> אומדין אותו כפי ממונו ודעתו האחרון</w:t>
      </w:r>
      <w:r w:rsidRPr="005129D3">
        <w:rPr>
          <w:rFonts w:cs="Arial" w:hint="cs"/>
          <w:rtl/>
        </w:rPr>
        <w:t>.</w:t>
      </w:r>
      <w:r>
        <w:rPr>
          <w:rFonts w:hint="cs"/>
          <w:rtl/>
        </w:rPr>
        <w:t xml:space="preserve"> </w:t>
      </w:r>
      <w:r w:rsidRPr="00F4222F">
        <w:rPr>
          <w:rFonts w:hint="cs"/>
          <w:color w:val="00B0F0"/>
          <w:rtl/>
        </w:rPr>
        <w:t>(וכ"</w:t>
      </w:r>
      <w:r>
        <w:rPr>
          <w:rFonts w:hint="cs"/>
          <w:color w:val="00B0F0"/>
          <w:rtl/>
        </w:rPr>
        <w:t>פ</w:t>
      </w:r>
      <w:r w:rsidRPr="00F4222F">
        <w:rPr>
          <w:rFonts w:hint="cs"/>
          <w:color w:val="00B0F0"/>
          <w:rtl/>
        </w:rPr>
        <w:t xml:space="preserve"> הרמ"א)</w:t>
      </w:r>
    </w:p>
    <w:p w14:paraId="2C4D29A1" w14:textId="77777777" w:rsidR="00392DBB" w:rsidRPr="005129D3" w:rsidRDefault="00392DBB" w:rsidP="00392DBB">
      <w:pPr>
        <w:ind w:left="360"/>
        <w:rPr>
          <w:u w:val="dotted"/>
        </w:rPr>
      </w:pPr>
      <w:r w:rsidRPr="005129D3">
        <w:rPr>
          <w:rFonts w:hint="cs"/>
          <w:u w:val="dotted"/>
          <w:rtl/>
        </w:rPr>
        <w:t>מה הדין אם לא הניח האב אלא כשיעור מה שנתן לראשונה:</w:t>
      </w:r>
    </w:p>
    <w:p w14:paraId="2742DD3B" w14:textId="59B009D8" w:rsidR="00392DBB" w:rsidRDefault="00392DBB" w:rsidP="009000E3">
      <w:pPr>
        <w:pStyle w:val="ab"/>
        <w:numPr>
          <w:ilvl w:val="0"/>
          <w:numId w:val="63"/>
        </w:numPr>
      </w:pPr>
      <w:r w:rsidRPr="000F0C6A">
        <w:rPr>
          <w:rFonts w:cs="Arial"/>
          <w:rtl/>
        </w:rPr>
        <w:t>ראב"ד</w:t>
      </w:r>
      <w:r>
        <w:rPr>
          <w:rFonts w:cs="Arial" w:hint="cs"/>
          <w:sz w:val="16"/>
          <w:szCs w:val="16"/>
          <w:rtl/>
        </w:rPr>
        <w:t xml:space="preserve"> (כ"כ הטור בשמו)</w:t>
      </w:r>
      <w:r>
        <w:rPr>
          <w:rFonts w:cs="Arial" w:hint="cs"/>
          <w:rtl/>
        </w:rPr>
        <w:t>-</w:t>
      </w:r>
      <w:r w:rsidRPr="000F0C6A">
        <w:rPr>
          <w:rFonts w:cs="Arial"/>
          <w:rtl/>
        </w:rPr>
        <w:t xml:space="preserve"> אפילו לא הניח אלא שיעור מה שנתן לראשונה</w:t>
      </w:r>
      <w:r w:rsidR="00924F13">
        <w:rPr>
          <w:rFonts w:cs="Arial" w:hint="cs"/>
          <w:rtl/>
        </w:rPr>
        <w:t>,</w:t>
      </w:r>
      <w:r w:rsidRPr="000F0C6A">
        <w:rPr>
          <w:rFonts w:cs="Arial"/>
          <w:rtl/>
        </w:rPr>
        <w:t xml:space="preserve"> ב"ד אומדין דעתו שיתן לשנייה כל מה שהניח והוא יטרח לחזור אחר נכסים אחרים</w:t>
      </w:r>
      <w:r w:rsidR="00C93E6E">
        <w:rPr>
          <w:rFonts w:cs="Arial" w:hint="cs"/>
          <w:rtl/>
        </w:rPr>
        <w:t>.</w:t>
      </w:r>
      <w:r w:rsidRPr="000F0C6A">
        <w:rPr>
          <w:rFonts w:cs="Arial"/>
          <w:rtl/>
        </w:rPr>
        <w:t xml:space="preserve"> וכופין ג"כ את היורשים ליתן לה כולו</w:t>
      </w:r>
      <w:r>
        <w:rPr>
          <w:rStyle w:val="a7"/>
          <w:rFonts w:cs="Arial"/>
          <w:rtl/>
        </w:rPr>
        <w:footnoteReference w:id="2648"/>
      </w:r>
      <w:r>
        <w:rPr>
          <w:rFonts w:cs="Arial" w:hint="cs"/>
          <w:rtl/>
        </w:rPr>
        <w:t>.</w:t>
      </w:r>
      <w:r w:rsidRPr="000F0C6A">
        <w:rPr>
          <w:rFonts w:cs="Arial"/>
          <w:rtl/>
        </w:rPr>
        <w:t xml:space="preserve"> </w:t>
      </w:r>
    </w:p>
    <w:p w14:paraId="4B2DEECF" w14:textId="77777777" w:rsidR="00392DBB" w:rsidRDefault="00392DBB" w:rsidP="00392DBB">
      <w:pPr>
        <w:rPr>
          <w:rFonts w:cs="Arial"/>
          <w:rtl/>
        </w:rPr>
      </w:pPr>
      <w:r w:rsidRPr="00F4222F">
        <w:rPr>
          <w:rFonts w:cs="Arial" w:hint="cs"/>
          <w:u w:val="single"/>
          <w:rtl/>
        </w:rPr>
        <w:t xml:space="preserve">האם </w:t>
      </w:r>
      <w:r w:rsidRPr="00F4222F">
        <w:rPr>
          <w:rFonts w:cs="Arial"/>
          <w:u w:val="single"/>
          <w:rtl/>
        </w:rPr>
        <w:t xml:space="preserve">מפרנסין הבת </w:t>
      </w:r>
      <w:r>
        <w:rPr>
          <w:rFonts w:cs="Arial" w:hint="cs"/>
          <w:u w:val="single"/>
          <w:rtl/>
        </w:rPr>
        <w:t xml:space="preserve">גם </w:t>
      </w:r>
      <w:r w:rsidRPr="00F4222F">
        <w:rPr>
          <w:rFonts w:cs="Arial"/>
          <w:u w:val="single"/>
          <w:rtl/>
        </w:rPr>
        <w:t>מנכסי א</w:t>
      </w:r>
      <w:r w:rsidRPr="00F4222F">
        <w:rPr>
          <w:rFonts w:cs="Arial" w:hint="cs"/>
          <w:u w:val="single"/>
          <w:rtl/>
        </w:rPr>
        <w:t>מה:</w:t>
      </w:r>
      <w:r w:rsidRPr="00E04543">
        <w:rPr>
          <w:rFonts w:cs="Arial"/>
          <w:rtl/>
        </w:rPr>
        <w:t xml:space="preserve"> </w:t>
      </w:r>
      <w:r w:rsidRPr="00F4222F">
        <w:rPr>
          <w:rFonts w:cs="Arial"/>
          <w:sz w:val="16"/>
          <w:szCs w:val="16"/>
          <w:rtl/>
        </w:rPr>
        <w:t>(</w:t>
      </w:r>
      <w:r w:rsidRPr="00F4222F">
        <w:rPr>
          <w:rFonts w:cs="Arial" w:hint="cs"/>
          <w:sz w:val="16"/>
          <w:szCs w:val="16"/>
          <w:rtl/>
        </w:rPr>
        <w:t xml:space="preserve">דרכ"מ אות </w:t>
      </w:r>
      <w:r w:rsidRPr="00F4222F">
        <w:rPr>
          <w:rFonts w:cs="Arial"/>
          <w:sz w:val="16"/>
          <w:szCs w:val="16"/>
          <w:rtl/>
        </w:rPr>
        <w:t>א)</w:t>
      </w:r>
      <w:r w:rsidRPr="00E04543">
        <w:rPr>
          <w:rFonts w:cs="Arial"/>
          <w:rtl/>
        </w:rPr>
        <w:t xml:space="preserve"> </w:t>
      </w:r>
    </w:p>
    <w:p w14:paraId="3C2F54E4" w14:textId="3F4BF1AE" w:rsidR="00392DBB" w:rsidRPr="00DB6A77" w:rsidRDefault="00392DBB" w:rsidP="009000E3">
      <w:pPr>
        <w:pStyle w:val="ab"/>
        <w:numPr>
          <w:ilvl w:val="0"/>
          <w:numId w:val="63"/>
        </w:numPr>
      </w:pPr>
      <w:r>
        <w:rPr>
          <w:rFonts w:cs="Arial" w:hint="cs"/>
          <w:rtl/>
        </w:rPr>
        <w:t xml:space="preserve">רא"ה </w:t>
      </w:r>
      <w:r w:rsidRPr="001B3F60">
        <w:rPr>
          <w:rFonts w:cs="Arial" w:hint="cs"/>
          <w:sz w:val="16"/>
          <w:szCs w:val="16"/>
          <w:rtl/>
        </w:rPr>
        <w:t>(כ"כ בשמו הריטב"א</w:t>
      </w:r>
      <w:r>
        <w:rPr>
          <w:rFonts w:cs="Arial" w:hint="cs"/>
          <w:sz w:val="16"/>
          <w:szCs w:val="16"/>
          <w:rtl/>
        </w:rPr>
        <w:t xml:space="preserve"> [</w:t>
      </w:r>
      <w:r w:rsidRPr="002B5716">
        <w:rPr>
          <w:rFonts w:cs="Arial" w:hint="cs"/>
          <w:sz w:val="16"/>
          <w:szCs w:val="16"/>
          <w:rtl/>
        </w:rPr>
        <w:t>ב"ב קכב: דיבור ראשון</w:t>
      </w:r>
      <w:r>
        <w:rPr>
          <w:rFonts w:cs="Arial" w:hint="cs"/>
          <w:sz w:val="16"/>
          <w:szCs w:val="16"/>
          <w:rtl/>
        </w:rPr>
        <w:t>]</w:t>
      </w:r>
      <w:r w:rsidRPr="002B5716">
        <w:rPr>
          <w:rFonts w:cs="Arial" w:hint="cs"/>
          <w:sz w:val="16"/>
          <w:szCs w:val="16"/>
          <w:rtl/>
        </w:rPr>
        <w:t>)</w:t>
      </w:r>
      <w:r>
        <w:rPr>
          <w:rStyle w:val="a7"/>
          <w:rFonts w:cs="Arial"/>
          <w:rtl/>
        </w:rPr>
        <w:footnoteReference w:id="2649"/>
      </w:r>
      <w:r>
        <w:rPr>
          <w:rFonts w:cs="Arial" w:hint="cs"/>
          <w:rtl/>
        </w:rPr>
        <w:t>-</w:t>
      </w:r>
      <w:r w:rsidRPr="00F4222F">
        <w:rPr>
          <w:rFonts w:cs="Arial"/>
          <w:rtl/>
        </w:rPr>
        <w:t xml:space="preserve"> </w:t>
      </w:r>
      <w:r w:rsidRPr="002B5716">
        <w:rPr>
          <w:rFonts w:cs="Arial"/>
          <w:rtl/>
        </w:rPr>
        <w:t>הא דתנן שהבנות ניזונות מנכסי האב ואינן ניזונות מנכסי האם.</w:t>
      </w:r>
      <w:r>
        <w:rPr>
          <w:rFonts w:cs="Arial" w:hint="cs"/>
          <w:rtl/>
        </w:rPr>
        <w:t xml:space="preserve">.. - </w:t>
      </w:r>
      <w:r w:rsidRPr="002B5716">
        <w:rPr>
          <w:rFonts w:cs="Arial"/>
          <w:rtl/>
        </w:rPr>
        <w:t xml:space="preserve"> לישנא דניזונות דאמרינן הכא כולל הוא אף לפרנסה</w:t>
      </w:r>
      <w:r w:rsidR="007245A0">
        <w:rPr>
          <w:rFonts w:cs="Arial" w:hint="cs"/>
          <w:rtl/>
        </w:rPr>
        <w:t>,</w:t>
      </w:r>
      <w:r w:rsidRPr="002B5716">
        <w:rPr>
          <w:rFonts w:cs="Arial"/>
          <w:rtl/>
        </w:rPr>
        <w:t xml:space="preserve"> בין פרנסת גופן בין פרנסת נישואיהן </w:t>
      </w:r>
      <w:r w:rsidRPr="005405F1">
        <w:rPr>
          <w:rFonts w:cs="Arial" w:hint="cs"/>
          <w:sz w:val="16"/>
          <w:szCs w:val="16"/>
          <w:rtl/>
        </w:rPr>
        <w:t>(</w:t>
      </w:r>
      <w:r w:rsidRPr="005405F1">
        <w:rPr>
          <w:rFonts w:cs="Arial"/>
          <w:sz w:val="16"/>
          <w:szCs w:val="16"/>
          <w:rtl/>
        </w:rPr>
        <w:t>דתנאי כתובה דבנן נוקבן וכן דאלמנה דתנן התם (כתובות נב</w:t>
      </w:r>
      <w:r w:rsidRPr="005405F1">
        <w:rPr>
          <w:rFonts w:cs="Arial" w:hint="cs"/>
          <w:sz w:val="16"/>
          <w:szCs w:val="16"/>
          <w:rtl/>
        </w:rPr>
        <w:t>:</w:t>
      </w:r>
      <w:r w:rsidRPr="005405F1">
        <w:rPr>
          <w:rFonts w:cs="Arial"/>
          <w:sz w:val="16"/>
          <w:szCs w:val="16"/>
          <w:rtl/>
        </w:rPr>
        <w:t>) את תהא יתבא בביתי ומתזנא מנכסאי ובנן נוקבן דיהווין ליכי מינאי תיהוון יתבן בביתי ומתזנא מנכסאי, אף פרנסת גופן בכלל, וכדמוכח בכתובות (ס</w:t>
      </w:r>
      <w:r w:rsidRPr="005405F1">
        <w:rPr>
          <w:rFonts w:cs="Arial" w:hint="cs"/>
          <w:sz w:val="16"/>
          <w:szCs w:val="16"/>
          <w:rtl/>
        </w:rPr>
        <w:t>ה.</w:t>
      </w:r>
      <w:r w:rsidRPr="005405F1">
        <w:rPr>
          <w:rFonts w:cs="Arial"/>
          <w:sz w:val="16"/>
          <w:szCs w:val="16"/>
          <w:rtl/>
        </w:rPr>
        <w:t>) גבי עובדא דאתתיה דרב יוסף דאמרה פסוק לי שיראי</w:t>
      </w:r>
      <w:r>
        <w:rPr>
          <w:rFonts w:cs="Arial" w:hint="cs"/>
          <w:sz w:val="16"/>
          <w:szCs w:val="16"/>
          <w:rtl/>
        </w:rPr>
        <w:t>)</w:t>
      </w:r>
      <w:r>
        <w:rPr>
          <w:rFonts w:cs="Arial" w:hint="cs"/>
          <w:rtl/>
        </w:rPr>
        <w:t>,</w:t>
      </w:r>
      <w:r w:rsidRPr="002B5716">
        <w:rPr>
          <w:rFonts w:cs="Arial"/>
          <w:rtl/>
        </w:rPr>
        <w:t xml:space="preserve"> וגם פרנסת הבת שחייבו חכמים לנשואין ועישור נכסים אינן אלא מנכסי האב </w:t>
      </w:r>
      <w:r w:rsidRPr="005405F1">
        <w:rPr>
          <w:rFonts w:cs="Arial" w:hint="cs"/>
          <w:sz w:val="16"/>
          <w:szCs w:val="16"/>
          <w:rtl/>
        </w:rPr>
        <w:t>(</w:t>
      </w:r>
      <w:r w:rsidRPr="005405F1">
        <w:rPr>
          <w:rFonts w:cs="Arial"/>
          <w:sz w:val="16"/>
          <w:szCs w:val="16"/>
          <w:rtl/>
        </w:rPr>
        <w:t>דבדידיה כתיב קרא ואת בנותיכם תנו לאנשים שסמכו משם חכמים לפרנסת הבת כדאיתא בכתובות (נב</w:t>
      </w:r>
      <w:r w:rsidRPr="005405F1">
        <w:rPr>
          <w:rFonts w:cs="Arial" w:hint="cs"/>
          <w:sz w:val="16"/>
          <w:szCs w:val="16"/>
          <w:rtl/>
        </w:rPr>
        <w:t>:</w:t>
      </w:r>
      <w:r w:rsidRPr="005405F1">
        <w:rPr>
          <w:rFonts w:cs="Arial"/>
          <w:sz w:val="16"/>
          <w:szCs w:val="16"/>
          <w:rtl/>
        </w:rPr>
        <w:t>), הילכך הכא תנא ניזונות ונקט לשון כולל לכולן</w:t>
      </w:r>
      <w:r w:rsidRPr="005405F1">
        <w:rPr>
          <w:rFonts w:cs="Arial" w:hint="cs"/>
          <w:sz w:val="16"/>
          <w:szCs w:val="16"/>
          <w:rtl/>
        </w:rPr>
        <w:t>.</w:t>
      </w:r>
      <w:r w:rsidRPr="005405F1">
        <w:rPr>
          <w:rFonts w:cs="Arial"/>
          <w:sz w:val="16"/>
          <w:szCs w:val="16"/>
          <w:rtl/>
        </w:rPr>
        <w:t xml:space="preserve"> א"נ דמזונות משום פרנסת גופן דמאכל ומלבוש וחדא מינייהו נקט אבל ה"ה לפרנסת בנות דנשואין</w:t>
      </w:r>
      <w:r w:rsidRPr="005405F1">
        <w:rPr>
          <w:rFonts w:cs="Arial" w:hint="cs"/>
          <w:sz w:val="16"/>
          <w:szCs w:val="16"/>
          <w:rtl/>
        </w:rPr>
        <w:t>)</w:t>
      </w:r>
      <w:r>
        <w:rPr>
          <w:rFonts w:cs="Arial" w:hint="cs"/>
          <w:rtl/>
        </w:rPr>
        <w:t>.</w:t>
      </w:r>
      <w:r w:rsidRPr="002B5716">
        <w:rPr>
          <w:rFonts w:cs="Arial"/>
          <w:rtl/>
        </w:rPr>
        <w:t xml:space="preserve"> </w:t>
      </w:r>
    </w:p>
    <w:p w14:paraId="7ED8728F" w14:textId="77777777" w:rsidR="00392DBB" w:rsidRPr="00F4222F" w:rsidRDefault="00392DBB" w:rsidP="009000E3">
      <w:pPr>
        <w:pStyle w:val="ab"/>
        <w:numPr>
          <w:ilvl w:val="0"/>
          <w:numId w:val="63"/>
        </w:numPr>
      </w:pPr>
      <w:r>
        <w:rPr>
          <w:rFonts w:cs="Arial" w:hint="cs"/>
          <w:rtl/>
        </w:rPr>
        <w:lastRenderedPageBreak/>
        <w:t xml:space="preserve">רמ"ה </w:t>
      </w:r>
      <w:r>
        <w:rPr>
          <w:rFonts w:cs="Arial" w:hint="cs"/>
          <w:sz w:val="16"/>
          <w:szCs w:val="16"/>
          <w:rtl/>
        </w:rPr>
        <w:t>(כ"כ בשמו הריטב"א [שם] באחרונה)</w:t>
      </w:r>
      <w:r>
        <w:rPr>
          <w:rFonts w:cs="Arial" w:hint="cs"/>
          <w:rtl/>
        </w:rPr>
        <w:t xml:space="preserve">- </w:t>
      </w:r>
      <w:r w:rsidRPr="002B5716">
        <w:rPr>
          <w:rFonts w:cs="Arial"/>
          <w:rtl/>
        </w:rPr>
        <w:t xml:space="preserve">כיון דלא קתני הכא אלא מזונות ש"מ דפרנסת נישואין אף מנכסי האם היא </w:t>
      </w:r>
      <w:r w:rsidRPr="005405F1">
        <w:rPr>
          <w:rFonts w:cs="Arial" w:hint="cs"/>
          <w:sz w:val="16"/>
          <w:szCs w:val="16"/>
          <w:rtl/>
        </w:rPr>
        <w:t>(</w:t>
      </w:r>
      <w:r w:rsidRPr="005405F1">
        <w:rPr>
          <w:rFonts w:cs="Arial"/>
          <w:sz w:val="16"/>
          <w:szCs w:val="16"/>
          <w:rtl/>
        </w:rPr>
        <w:t>דבשלמא מזונות שהם תנאי כתובה אינם מנכסי האם אבל פרנסת נישואין שאינה מתנאי כתובה שוה היא בנכסי האם כנכסי האב</w:t>
      </w:r>
      <w:r>
        <w:rPr>
          <w:rFonts w:cs="Arial" w:hint="cs"/>
          <w:sz w:val="16"/>
          <w:szCs w:val="16"/>
          <w:rtl/>
        </w:rPr>
        <w:t>)</w:t>
      </w:r>
      <w:r>
        <w:rPr>
          <w:rStyle w:val="a7"/>
          <w:rFonts w:cs="Arial"/>
          <w:rtl/>
        </w:rPr>
        <w:footnoteReference w:id="2650"/>
      </w:r>
      <w:r>
        <w:rPr>
          <w:rFonts w:cs="Arial" w:hint="cs"/>
          <w:rtl/>
        </w:rPr>
        <w:t>.</w:t>
      </w:r>
      <w:r w:rsidRPr="00F4222F">
        <w:rPr>
          <w:rFonts w:cs="Arial"/>
          <w:rtl/>
        </w:rPr>
        <w:t xml:space="preserve"> </w:t>
      </w:r>
    </w:p>
    <w:p w14:paraId="50AFDFF2" w14:textId="1D77BF1F" w:rsidR="00392DBB" w:rsidRDefault="00392DBB" w:rsidP="00392DBB">
      <w:r w:rsidRPr="009F6248">
        <w:rPr>
          <w:rFonts w:cs="Arial" w:hint="cs"/>
          <w:b/>
          <w:bCs/>
          <w:rtl/>
        </w:rPr>
        <w:t xml:space="preserve">כתובות </w:t>
      </w:r>
      <w:r>
        <w:rPr>
          <w:rFonts w:cs="Arial" w:hint="cs"/>
          <w:b/>
          <w:bCs/>
          <w:sz w:val="16"/>
          <w:szCs w:val="16"/>
          <w:rtl/>
        </w:rPr>
        <w:t xml:space="preserve">(פ' נערה שנתפתתה) </w:t>
      </w:r>
      <w:r w:rsidRPr="009F6248">
        <w:rPr>
          <w:rFonts w:cs="Arial" w:hint="cs"/>
          <w:b/>
          <w:bCs/>
          <w:rtl/>
        </w:rPr>
        <w:t>נב</w:t>
      </w:r>
      <w:r w:rsidR="00973168">
        <w:rPr>
          <w:rStyle w:val="a7"/>
          <w:rFonts w:cs="Arial"/>
          <w:b/>
          <w:bCs/>
          <w:rtl/>
        </w:rPr>
        <w:footnoteReference w:id="2651"/>
      </w:r>
      <w:r w:rsidRPr="009F6248">
        <w:rPr>
          <w:rFonts w:cs="Arial" w:hint="cs"/>
          <w:b/>
          <w:bCs/>
          <w:rtl/>
        </w:rPr>
        <w:t xml:space="preserve"> ע"ב: </w:t>
      </w:r>
      <w:r w:rsidRPr="009F6248">
        <w:rPr>
          <w:rFonts w:cs="Arial"/>
          <w:rtl/>
        </w:rPr>
        <w:t xml:space="preserve">רב פפא איעסק ליה לבריה בי אבא סוראה, אזיל למיכתב לה כתובתה, שמע יהודה בר מרימר, נפק אתא איתחזי ליה. כי מטו לפיתחא הוה קא מפטר מיניה, </w:t>
      </w:r>
      <w:r w:rsidRPr="00C55B53">
        <w:rPr>
          <w:rFonts w:cs="Arial"/>
          <w:u w:val="single"/>
          <w:rtl/>
        </w:rPr>
        <w:t>אמר ליה</w:t>
      </w:r>
      <w:r w:rsidRPr="009F6248">
        <w:rPr>
          <w:rFonts w:cs="Arial"/>
          <w:rtl/>
        </w:rPr>
        <w:t>: ניעול מר בהדאי,</w:t>
      </w:r>
      <w:r w:rsidRPr="009F6248">
        <w:rPr>
          <w:rtl/>
        </w:rPr>
        <w:t xml:space="preserve"> </w:t>
      </w:r>
      <w:r w:rsidRPr="009F6248">
        <w:rPr>
          <w:rFonts w:cs="Arial" w:hint="cs"/>
          <w:sz w:val="14"/>
          <w:szCs w:val="14"/>
          <w:rtl/>
        </w:rPr>
        <w:t>(</w:t>
      </w:r>
      <w:r>
        <w:rPr>
          <w:rFonts w:cs="Arial" w:hint="cs"/>
          <w:sz w:val="14"/>
          <w:szCs w:val="14"/>
          <w:rtl/>
        </w:rPr>
        <w:t>נג.</w:t>
      </w:r>
      <w:r w:rsidRPr="009F6248">
        <w:rPr>
          <w:rFonts w:cs="Arial" w:hint="cs"/>
          <w:sz w:val="14"/>
          <w:szCs w:val="14"/>
          <w:rtl/>
        </w:rPr>
        <w:t>)</w:t>
      </w:r>
      <w:r>
        <w:rPr>
          <w:rFonts w:cs="Arial" w:hint="cs"/>
          <w:rtl/>
        </w:rPr>
        <w:t xml:space="preserve"> </w:t>
      </w:r>
      <w:r w:rsidRPr="009F6248">
        <w:rPr>
          <w:rFonts w:cs="Arial"/>
          <w:rtl/>
        </w:rPr>
        <w:t>חזייה דלא הוה ניחא ליה</w:t>
      </w:r>
      <w:r>
        <w:rPr>
          <w:rFonts w:cs="Arial" w:hint="cs"/>
          <w:rtl/>
        </w:rPr>
        <w:t>.</w:t>
      </w:r>
      <w:r w:rsidRPr="009F6248">
        <w:rPr>
          <w:rFonts w:cs="Arial"/>
          <w:rtl/>
        </w:rPr>
        <w:t xml:space="preserve"> </w:t>
      </w:r>
      <w:r w:rsidRPr="00C55B53">
        <w:rPr>
          <w:rFonts w:cs="Arial"/>
          <w:u w:val="single"/>
          <w:rtl/>
        </w:rPr>
        <w:t>אמר ליה</w:t>
      </w:r>
      <w:r w:rsidRPr="009F6248">
        <w:rPr>
          <w:rFonts w:cs="Arial"/>
          <w:rtl/>
        </w:rPr>
        <w:t>: מאי דעתיך? משום דאמר ליה שמואל לרב יהודה: שיננא, לא תיהוי בעבורי אחסנתא אפילו מברא בישא לברא טבא, דלא ידיעא מאי זרעא נפיק מיניה, וכל שכן מברא לברתא</w:t>
      </w:r>
      <w:r>
        <w:rPr>
          <w:rStyle w:val="a7"/>
          <w:rFonts w:cs="Arial"/>
          <w:rtl/>
        </w:rPr>
        <w:footnoteReference w:id="2652"/>
      </w:r>
      <w:r>
        <w:rPr>
          <w:rFonts w:cs="Arial" w:hint="cs"/>
          <w:rtl/>
        </w:rPr>
        <w:t xml:space="preserve"> -</w:t>
      </w:r>
      <w:r w:rsidRPr="009F6248">
        <w:rPr>
          <w:rFonts w:cs="Arial"/>
          <w:rtl/>
        </w:rPr>
        <w:t xml:space="preserve"> האי נמי תקנתא דרבנן היא, דאמר רבי יוחנן</w:t>
      </w:r>
      <w:r>
        <w:rPr>
          <w:rStyle w:val="a7"/>
          <w:rFonts w:cs="Arial"/>
          <w:rtl/>
        </w:rPr>
        <w:footnoteReference w:id="2653"/>
      </w:r>
      <w:r w:rsidRPr="009F6248">
        <w:rPr>
          <w:rFonts w:cs="Arial"/>
          <w:rtl/>
        </w:rPr>
        <w:t xml:space="preserve"> משום ר' שמעון בן יוחי! </w:t>
      </w:r>
      <w:r w:rsidRPr="00C55B53">
        <w:rPr>
          <w:rFonts w:cs="Arial"/>
          <w:u w:val="single"/>
          <w:rtl/>
        </w:rPr>
        <w:t>אמר ליה</w:t>
      </w:r>
      <w:r w:rsidRPr="009F6248">
        <w:rPr>
          <w:rFonts w:cs="Arial"/>
          <w:rtl/>
        </w:rPr>
        <w:t xml:space="preserve">: ה"מ מדעתיה, לעשוייה נמי? </w:t>
      </w:r>
      <w:r w:rsidRPr="00C55B53">
        <w:rPr>
          <w:rFonts w:cs="Arial"/>
          <w:u w:val="single"/>
          <w:rtl/>
        </w:rPr>
        <w:t>א"ל</w:t>
      </w:r>
      <w:r w:rsidRPr="009F6248">
        <w:rPr>
          <w:rFonts w:cs="Arial"/>
          <w:rtl/>
        </w:rPr>
        <w:t xml:space="preserve">: אטו מי קאמינא לך דעול ועשייה? עול ולא תעשייה קאמינא! </w:t>
      </w:r>
      <w:r w:rsidRPr="00C55B53">
        <w:rPr>
          <w:rFonts w:cs="Arial"/>
          <w:u w:val="single"/>
          <w:rtl/>
        </w:rPr>
        <w:t>אמר ליה</w:t>
      </w:r>
      <w:r w:rsidRPr="009F6248">
        <w:rPr>
          <w:rFonts w:cs="Arial"/>
          <w:rtl/>
        </w:rPr>
        <w:t xml:space="preserve">: מעלאי דידי היינו עשייה. אכפייה ועול, אישתיק ויתיב. סבר ההוא מירתח רתח, כתביה לכל מאי דהוה ליה. </w:t>
      </w:r>
      <w:r w:rsidRPr="00C55B53">
        <w:rPr>
          <w:rFonts w:cs="Arial"/>
          <w:u w:val="single"/>
          <w:rtl/>
        </w:rPr>
        <w:t>לסוף אמר ליה</w:t>
      </w:r>
      <w:r w:rsidRPr="009F6248">
        <w:rPr>
          <w:rFonts w:cs="Arial"/>
          <w:rtl/>
        </w:rPr>
        <w:t xml:space="preserve">: השתא נמי לא מישתעי מר? חיי דמר, לא שביקי מידי לנפשאי! </w:t>
      </w:r>
      <w:r w:rsidRPr="00C55B53">
        <w:rPr>
          <w:rFonts w:cs="Arial"/>
          <w:u w:val="single"/>
          <w:rtl/>
        </w:rPr>
        <w:t>אמר ליה</w:t>
      </w:r>
      <w:r w:rsidRPr="009F6248">
        <w:rPr>
          <w:rFonts w:cs="Arial"/>
          <w:rtl/>
        </w:rPr>
        <w:t>: אי מינאי דידי</w:t>
      </w:r>
      <w:r>
        <w:rPr>
          <w:rStyle w:val="a7"/>
          <w:rFonts w:cs="Arial"/>
          <w:rtl/>
        </w:rPr>
        <w:footnoteReference w:id="2654"/>
      </w:r>
      <w:r w:rsidRPr="009F6248">
        <w:rPr>
          <w:rFonts w:cs="Arial"/>
          <w:rtl/>
        </w:rPr>
        <w:t xml:space="preserve">, אפי' האי נמי דכתבת לא ניחא לי. </w:t>
      </w:r>
      <w:r w:rsidRPr="00C55B53">
        <w:rPr>
          <w:rFonts w:cs="Arial"/>
          <w:u w:val="single"/>
          <w:rtl/>
        </w:rPr>
        <w:t>א"ל</w:t>
      </w:r>
      <w:r w:rsidRPr="009F6248">
        <w:rPr>
          <w:rFonts w:cs="Arial"/>
          <w:rtl/>
        </w:rPr>
        <w:t xml:space="preserve">: השתא נמי אהדר בי! א"ל: שוייה נפשך </w:t>
      </w:r>
      <w:r>
        <w:rPr>
          <w:rFonts w:cs="Arial" w:hint="cs"/>
          <w:rtl/>
        </w:rPr>
        <w:t>'</w:t>
      </w:r>
      <w:r w:rsidRPr="009F6248">
        <w:rPr>
          <w:rFonts w:cs="Arial"/>
          <w:rtl/>
        </w:rPr>
        <w:t>הדרנא</w:t>
      </w:r>
      <w:r>
        <w:rPr>
          <w:rFonts w:cs="Arial" w:hint="cs"/>
          <w:rtl/>
        </w:rPr>
        <w:t>'</w:t>
      </w:r>
      <w:r w:rsidRPr="009F6248">
        <w:rPr>
          <w:rFonts w:cs="Arial"/>
          <w:rtl/>
        </w:rPr>
        <w:t xml:space="preserve"> </w:t>
      </w:r>
      <w:r>
        <w:rPr>
          <w:rFonts w:cs="Arial" w:hint="cs"/>
          <w:rtl/>
        </w:rPr>
        <w:t xml:space="preserve">- </w:t>
      </w:r>
      <w:r w:rsidRPr="009F6248">
        <w:rPr>
          <w:rFonts w:cs="Arial"/>
          <w:rtl/>
        </w:rPr>
        <w:t>לא קאמינא.</w:t>
      </w:r>
    </w:p>
    <w:p w14:paraId="062F1478" w14:textId="77777777" w:rsidR="00392DBB" w:rsidRPr="00065ACA" w:rsidRDefault="00392DBB" w:rsidP="00392DBB">
      <w:r w:rsidRPr="00065ACA">
        <w:rPr>
          <w:rFonts w:cs="Arial" w:hint="cs"/>
          <w:u w:val="single"/>
          <w:rtl/>
        </w:rPr>
        <w:t xml:space="preserve">האם </w:t>
      </w:r>
      <w:r>
        <w:rPr>
          <w:rFonts w:cs="Arial" w:hint="cs"/>
          <w:u w:val="single"/>
          <w:rtl/>
        </w:rPr>
        <w:t>ה</w:t>
      </w:r>
      <w:r w:rsidRPr="00065ACA">
        <w:rPr>
          <w:rFonts w:cs="Arial" w:hint="cs"/>
          <w:u w:val="single"/>
          <w:rtl/>
        </w:rPr>
        <w:t>אב יכול לתת לבתו יותר מעישור נכסים</w:t>
      </w:r>
      <w:r>
        <w:rPr>
          <w:rFonts w:cs="Arial" w:hint="cs"/>
          <w:u w:val="single"/>
          <w:rtl/>
        </w:rPr>
        <w:t xml:space="preserve"> לנדונייתה</w:t>
      </w:r>
      <w:r w:rsidRPr="00065ACA">
        <w:rPr>
          <w:rFonts w:cs="Arial" w:hint="cs"/>
          <w:u w:val="single"/>
          <w:rtl/>
        </w:rPr>
        <w:t>:</w:t>
      </w:r>
      <w:r>
        <w:rPr>
          <w:rFonts w:cs="Arial" w:hint="cs"/>
          <w:rtl/>
        </w:rPr>
        <w:t xml:space="preserve"> </w:t>
      </w:r>
      <w:r w:rsidRPr="00065ACA">
        <w:rPr>
          <w:rFonts w:cs="Arial"/>
          <w:sz w:val="16"/>
          <w:szCs w:val="16"/>
          <w:rtl/>
        </w:rPr>
        <w:t>(</w:t>
      </w:r>
      <w:r w:rsidRPr="00065ACA">
        <w:rPr>
          <w:rFonts w:cs="Arial" w:hint="cs"/>
          <w:sz w:val="16"/>
          <w:szCs w:val="16"/>
          <w:rtl/>
        </w:rPr>
        <w:t xml:space="preserve">דרכ"מ אות </w:t>
      </w:r>
      <w:r w:rsidRPr="00065ACA">
        <w:rPr>
          <w:rFonts w:cs="Arial"/>
          <w:sz w:val="16"/>
          <w:szCs w:val="16"/>
          <w:rtl/>
        </w:rPr>
        <w:t xml:space="preserve">ג) </w:t>
      </w:r>
    </w:p>
    <w:p w14:paraId="5730F2FE" w14:textId="17F0C351" w:rsidR="00392DBB" w:rsidRDefault="00392DBB" w:rsidP="009000E3">
      <w:pPr>
        <w:pStyle w:val="ab"/>
        <w:numPr>
          <w:ilvl w:val="0"/>
          <w:numId w:val="63"/>
        </w:numPr>
      </w:pPr>
      <w:r>
        <w:rPr>
          <w:rFonts w:cs="Arial" w:hint="cs"/>
          <w:rtl/>
        </w:rPr>
        <w:t xml:space="preserve">רב חנניה בן יהודה גאון </w:t>
      </w:r>
      <w:r w:rsidRPr="006D6996">
        <w:rPr>
          <w:rFonts w:cs="Arial" w:hint="cs"/>
          <w:sz w:val="16"/>
          <w:szCs w:val="16"/>
          <w:rtl/>
        </w:rPr>
        <w:t>(</w:t>
      </w:r>
      <w:r>
        <w:rPr>
          <w:rFonts w:cs="Arial" w:hint="cs"/>
          <w:sz w:val="16"/>
          <w:szCs w:val="16"/>
          <w:rtl/>
        </w:rPr>
        <w:t xml:space="preserve">הביאו </w:t>
      </w:r>
      <w:r w:rsidRPr="006D6996">
        <w:rPr>
          <w:rFonts w:cs="Arial" w:hint="cs"/>
          <w:sz w:val="16"/>
          <w:szCs w:val="16"/>
          <w:rtl/>
        </w:rPr>
        <w:t>בהעי"ט</w:t>
      </w:r>
      <w:r w:rsidRPr="006D6996">
        <w:rPr>
          <w:rStyle w:val="a7"/>
          <w:sz w:val="16"/>
          <w:szCs w:val="16"/>
          <w:rtl/>
        </w:rPr>
        <w:footnoteReference w:id="2655"/>
      </w:r>
      <w:r w:rsidRPr="006D6996">
        <w:rPr>
          <w:rFonts w:cs="Arial" w:hint="cs"/>
          <w:sz w:val="16"/>
          <w:szCs w:val="16"/>
          <w:rtl/>
        </w:rPr>
        <w:t xml:space="preserve"> </w:t>
      </w:r>
      <w:r>
        <w:rPr>
          <w:rFonts w:cs="Arial" w:hint="cs"/>
          <w:sz w:val="16"/>
          <w:szCs w:val="16"/>
          <w:rtl/>
        </w:rPr>
        <w:t>[</w:t>
      </w:r>
      <w:r w:rsidRPr="002C27E2">
        <w:rPr>
          <w:rFonts w:cs="Arial"/>
          <w:sz w:val="16"/>
          <w:szCs w:val="16"/>
          <w:rtl/>
        </w:rPr>
        <w:t>אות כ - כתובות דף לב טור ד</w:t>
      </w:r>
      <w:r>
        <w:rPr>
          <w:rFonts w:cs="Arial" w:hint="cs"/>
          <w:sz w:val="16"/>
          <w:szCs w:val="16"/>
          <w:rtl/>
        </w:rPr>
        <w:t>])</w:t>
      </w:r>
      <w:r>
        <w:rPr>
          <w:rFonts w:cs="Arial" w:hint="cs"/>
          <w:rtl/>
        </w:rPr>
        <w:t xml:space="preserve">- </w:t>
      </w:r>
      <w:r w:rsidRPr="002C27E2">
        <w:rPr>
          <w:rFonts w:cs="Arial"/>
          <w:rtl/>
        </w:rPr>
        <w:t>ולואי שיתן לבנו כבתו</w:t>
      </w:r>
      <w:r w:rsidR="000E4700">
        <w:rPr>
          <w:rFonts w:cs="Arial" w:hint="cs"/>
          <w:rtl/>
        </w:rPr>
        <w:t>,</w:t>
      </w:r>
      <w:r w:rsidRPr="002C27E2">
        <w:rPr>
          <w:rFonts w:cs="Arial"/>
          <w:rtl/>
        </w:rPr>
        <w:t xml:space="preserve"> וכמה פעמים הוצרך הדבר לנדות כל מי שירבה למתנת בתו</w:t>
      </w:r>
      <w:r>
        <w:rPr>
          <w:rFonts w:hint="cs"/>
          <w:rtl/>
        </w:rPr>
        <w:t>.</w:t>
      </w:r>
    </w:p>
    <w:p w14:paraId="0BE6EB58" w14:textId="600283F8" w:rsidR="00392DBB" w:rsidRPr="003D3F9F" w:rsidRDefault="00392DBB" w:rsidP="009000E3">
      <w:pPr>
        <w:pStyle w:val="ab"/>
        <w:numPr>
          <w:ilvl w:val="0"/>
          <w:numId w:val="63"/>
        </w:numPr>
      </w:pPr>
      <w:r w:rsidRPr="00E04543">
        <w:rPr>
          <w:rFonts w:cs="Arial"/>
          <w:rtl/>
        </w:rPr>
        <w:t xml:space="preserve">ר"ן </w:t>
      </w:r>
      <w:r w:rsidRPr="00065ACA">
        <w:rPr>
          <w:rFonts w:cs="Arial" w:hint="cs"/>
          <w:sz w:val="16"/>
          <w:szCs w:val="16"/>
          <w:rtl/>
        </w:rPr>
        <w:t>(</w:t>
      </w:r>
      <w:r w:rsidRPr="00065ACA">
        <w:rPr>
          <w:rFonts w:cs="Arial"/>
          <w:sz w:val="16"/>
          <w:szCs w:val="16"/>
          <w:rtl/>
        </w:rPr>
        <w:t>פרק מציאת האשה ל</w:t>
      </w:r>
      <w:r w:rsidRPr="00065ACA">
        <w:rPr>
          <w:rFonts w:cs="Arial" w:hint="cs"/>
          <w:sz w:val="16"/>
          <w:szCs w:val="16"/>
          <w:rtl/>
        </w:rPr>
        <w:t>.</w:t>
      </w:r>
      <w:r w:rsidRPr="00065ACA">
        <w:rPr>
          <w:rFonts w:cs="Arial"/>
          <w:sz w:val="16"/>
          <w:szCs w:val="16"/>
          <w:rtl/>
        </w:rPr>
        <w:t>)</w:t>
      </w:r>
      <w:r>
        <w:rPr>
          <w:rFonts w:cs="Arial" w:hint="cs"/>
          <w:rtl/>
        </w:rPr>
        <w:t>-</w:t>
      </w:r>
      <w:r w:rsidRPr="00E04543">
        <w:rPr>
          <w:rFonts w:cs="Arial"/>
          <w:rtl/>
        </w:rPr>
        <w:t xml:space="preserve"> </w:t>
      </w:r>
      <w:r w:rsidRPr="00FE7F23">
        <w:rPr>
          <w:rFonts w:cs="Arial"/>
          <w:rtl/>
        </w:rPr>
        <w:t>ועד כמה אביי ורבא דאמרי תרוייהו עד עישור נכסי</w:t>
      </w:r>
      <w:r>
        <w:rPr>
          <w:rFonts w:cs="Arial" w:hint="cs"/>
          <w:rtl/>
        </w:rPr>
        <w:t>.</w:t>
      </w:r>
      <w:r w:rsidRPr="00FE7F23">
        <w:rPr>
          <w:rFonts w:cs="Arial"/>
          <w:rtl/>
        </w:rPr>
        <w:t xml:space="preserve"> ומשמע ודאי דה"ק עד כמה מחייב ושרי דליכא משום עבורי אחסנתא</w:t>
      </w:r>
      <w:r>
        <w:rPr>
          <w:rFonts w:cs="Arial" w:hint="cs"/>
          <w:rtl/>
        </w:rPr>
        <w:t>,</w:t>
      </w:r>
      <w:r w:rsidRPr="00FE7F23">
        <w:rPr>
          <w:rFonts w:cs="Arial"/>
          <w:rtl/>
        </w:rPr>
        <w:t xml:space="preserve"> ומהדרינן</w:t>
      </w:r>
      <w:r w:rsidR="00B97B42">
        <w:rPr>
          <w:rFonts w:cs="Arial" w:hint="cs"/>
          <w:rtl/>
        </w:rPr>
        <w:t>:</w:t>
      </w:r>
      <w:r w:rsidRPr="00FE7F23">
        <w:rPr>
          <w:rFonts w:cs="Arial"/>
          <w:rtl/>
        </w:rPr>
        <w:t xml:space="preserve"> עד עישור נכסי</w:t>
      </w:r>
      <w:r>
        <w:rPr>
          <w:rFonts w:cs="Arial" w:hint="cs"/>
          <w:rtl/>
        </w:rPr>
        <w:t>,</w:t>
      </w:r>
      <w:r w:rsidRPr="00FE7F23">
        <w:rPr>
          <w:rFonts w:cs="Arial"/>
          <w:rtl/>
        </w:rPr>
        <w:t xml:space="preserve"> אבל טפי מהכי לא</w:t>
      </w:r>
      <w:r>
        <w:rPr>
          <w:rFonts w:cs="Arial" w:hint="cs"/>
          <w:rtl/>
        </w:rPr>
        <w:t>,</w:t>
      </w:r>
      <w:r w:rsidRPr="00FE7F23">
        <w:rPr>
          <w:rFonts w:cs="Arial"/>
          <w:rtl/>
        </w:rPr>
        <w:t xml:space="preserve"> וכעובדא דרב פפא דאיעסק ליה לבריה בי אבא סוראה דמשמע בהדיא דלרבות בפרנסה אסור</w:t>
      </w:r>
      <w:r>
        <w:rPr>
          <w:rFonts w:cs="Arial" w:hint="cs"/>
          <w:rtl/>
        </w:rPr>
        <w:t>.</w:t>
      </w:r>
      <w:r>
        <w:rPr>
          <w:rFonts w:hint="cs"/>
          <w:rtl/>
        </w:rPr>
        <w:t xml:space="preserve"> </w:t>
      </w:r>
    </w:p>
    <w:p w14:paraId="34DF461E"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491BABF" w14:textId="0289D624" w:rsidR="00392DBB" w:rsidRDefault="00392DBB" w:rsidP="00392DBB">
      <w:pPr>
        <w:rPr>
          <w:rtl/>
        </w:rPr>
      </w:pPr>
      <w:r>
        <w:rPr>
          <w:rFonts w:cs="Arial"/>
          <w:rtl/>
        </w:rPr>
        <w:t>מי שמת והניח בת, אומדים דעתו כמה היה בלבו ליתן לה לפרנסת נדונייתה ונותנים לה</w:t>
      </w:r>
      <w:r>
        <w:rPr>
          <w:rStyle w:val="a7"/>
          <w:rFonts w:cs="Arial"/>
          <w:rtl/>
        </w:rPr>
        <w:footnoteReference w:id="2656"/>
      </w:r>
      <w:r>
        <w:rPr>
          <w:rFonts w:cs="Arial"/>
          <w:rtl/>
        </w:rPr>
        <w:t>. ומנין יהיו יודעים אומדן דעתו, מריעיו ומיודעיו ומשאו ומתנו וכבודו</w:t>
      </w:r>
      <w:r>
        <w:rPr>
          <w:rFonts w:cs="Arial" w:hint="cs"/>
          <w:rtl/>
        </w:rPr>
        <w:t>,</w:t>
      </w:r>
      <w:r>
        <w:rPr>
          <w:rFonts w:cs="Arial"/>
          <w:rtl/>
        </w:rPr>
        <w:t xml:space="preserve"> וכן אם השיא בת בחייו אומדים בה</w:t>
      </w:r>
      <w:r>
        <w:rPr>
          <w:rStyle w:val="a7"/>
          <w:rFonts w:cs="Arial"/>
          <w:rtl/>
        </w:rPr>
        <w:footnoteReference w:id="2657"/>
      </w:r>
      <w:r>
        <w:rPr>
          <w:rFonts w:cs="Arial"/>
          <w:rtl/>
        </w:rPr>
        <w:t xml:space="preserve">. </w:t>
      </w:r>
      <w:r w:rsidRPr="00C208C3">
        <w:rPr>
          <w:rFonts w:cs="Arial"/>
          <w:sz w:val="18"/>
          <w:szCs w:val="18"/>
          <w:rtl/>
        </w:rPr>
        <w:t>הגה: ואם היה עשיר והעני, או ותרן ונשתנה דעתו</w:t>
      </w:r>
      <w:r>
        <w:rPr>
          <w:rStyle w:val="a7"/>
          <w:rFonts w:cs="Arial"/>
          <w:sz w:val="18"/>
          <w:szCs w:val="18"/>
          <w:rtl/>
        </w:rPr>
        <w:footnoteReference w:id="2658"/>
      </w:r>
      <w:r w:rsidRPr="00C208C3">
        <w:rPr>
          <w:rFonts w:cs="Arial"/>
          <w:sz w:val="18"/>
          <w:szCs w:val="18"/>
          <w:rtl/>
        </w:rPr>
        <w:t>, הולכין אחר דעתו האחרונה (טור).</w:t>
      </w:r>
      <w:r>
        <w:rPr>
          <w:rFonts w:cs="Arial"/>
          <w:rtl/>
        </w:rPr>
        <w:t xml:space="preserve"> ואם לא ידעו ב</w:t>
      </w:r>
      <w:r>
        <w:rPr>
          <w:rFonts w:cs="Arial" w:hint="cs"/>
          <w:rtl/>
        </w:rPr>
        <w:t xml:space="preserve">ית </w:t>
      </w:r>
      <w:r>
        <w:rPr>
          <w:rFonts w:cs="Arial"/>
          <w:rtl/>
        </w:rPr>
        <w:t>ד</w:t>
      </w:r>
      <w:r>
        <w:rPr>
          <w:rFonts w:cs="Arial" w:hint="cs"/>
          <w:rtl/>
        </w:rPr>
        <w:t>ין</w:t>
      </w:r>
      <w:r>
        <w:rPr>
          <w:rFonts w:cs="Arial"/>
          <w:rtl/>
        </w:rPr>
        <w:t xml:space="preserve"> אומדן דעתו, נותנים לה מנכסיו עישור לפרנסת נדונייתה. </w:t>
      </w:r>
      <w:r w:rsidRPr="00F038E9">
        <w:rPr>
          <w:rFonts w:cs="Arial"/>
          <w:sz w:val="18"/>
          <w:szCs w:val="18"/>
          <w:rtl/>
        </w:rPr>
        <w:t>הגה: וכשם שנותנין לבת פרנסה לנדוניא מנכסי האב, כך נותנים לה פרנסה מנכסי האם (</w:t>
      </w:r>
      <w:r w:rsidR="00E67B80">
        <w:rPr>
          <w:rFonts w:cs="Arial" w:hint="cs"/>
          <w:sz w:val="18"/>
          <w:szCs w:val="18"/>
          <w:rtl/>
        </w:rPr>
        <w:t>רמ"ה</w:t>
      </w:r>
      <w:r w:rsidRPr="00F038E9">
        <w:rPr>
          <w:rFonts w:cs="Arial"/>
          <w:sz w:val="18"/>
          <w:szCs w:val="18"/>
          <w:rtl/>
        </w:rPr>
        <w:t>). ויש חולקין</w:t>
      </w:r>
      <w:r>
        <w:rPr>
          <w:rStyle w:val="a7"/>
          <w:rFonts w:cs="Arial"/>
          <w:sz w:val="18"/>
          <w:szCs w:val="18"/>
          <w:rtl/>
        </w:rPr>
        <w:footnoteReference w:id="2659"/>
      </w:r>
      <w:r w:rsidRPr="00F038E9">
        <w:rPr>
          <w:rFonts w:cs="Arial"/>
          <w:sz w:val="18"/>
          <w:szCs w:val="18"/>
          <w:rtl/>
        </w:rPr>
        <w:t xml:space="preserve"> (</w:t>
      </w:r>
      <w:r w:rsidR="00E67B80">
        <w:rPr>
          <w:rFonts w:cs="Arial" w:hint="cs"/>
          <w:sz w:val="18"/>
          <w:szCs w:val="18"/>
          <w:rtl/>
        </w:rPr>
        <w:t>רא"ה ו</w:t>
      </w:r>
      <w:r w:rsidRPr="00F038E9">
        <w:rPr>
          <w:rFonts w:cs="Arial"/>
          <w:sz w:val="18"/>
          <w:szCs w:val="18"/>
          <w:rtl/>
        </w:rPr>
        <w:t>מהרי"ל). י"א דאף האב בחיים אין לו להוסיף לבתו יותר מעישור נכסים (ר"ן), ואין נוהגין כן.</w:t>
      </w:r>
      <w:r>
        <w:rPr>
          <w:rFonts w:cs="Arial"/>
          <w:rtl/>
        </w:rPr>
        <w:t xml:space="preserve"> </w:t>
      </w:r>
    </w:p>
    <w:p w14:paraId="15B62707" w14:textId="18E1879E" w:rsidR="00392DBB" w:rsidRPr="00754C20" w:rsidRDefault="00392DBB" w:rsidP="00392DBB">
      <w:pPr>
        <w:rPr>
          <w:rtl/>
        </w:rPr>
      </w:pPr>
      <w:r w:rsidRPr="00A45093">
        <w:rPr>
          <w:rFonts w:hint="cs"/>
          <w:u w:val="single"/>
          <w:rtl/>
        </w:rPr>
        <w:t xml:space="preserve">אב שמת, ואח"כ מת אביו, ונפלו נכסיו לפני הנכדים </w:t>
      </w:r>
      <w:r w:rsidR="00F97626">
        <w:rPr>
          <w:u w:val="single"/>
          <w:rtl/>
        </w:rPr>
        <w:t>-</w:t>
      </w:r>
      <w:r w:rsidRPr="00A45093">
        <w:rPr>
          <w:rFonts w:hint="cs"/>
          <w:u w:val="single"/>
          <w:rtl/>
        </w:rPr>
        <w:t xml:space="preserve"> האם מחשבין נכסים אלו לעניין עישור נכסים:</w:t>
      </w:r>
      <w:r>
        <w:rPr>
          <w:rFonts w:hint="cs"/>
          <w:rtl/>
        </w:rPr>
        <w:t xml:space="preserve"> </w:t>
      </w:r>
      <w:r w:rsidRPr="00754C20">
        <w:rPr>
          <w:rFonts w:hint="cs"/>
          <w:sz w:val="16"/>
          <w:szCs w:val="16"/>
          <w:rtl/>
        </w:rPr>
        <w:t xml:space="preserve"> (פת"ש סק"ב)</w:t>
      </w:r>
    </w:p>
    <w:p w14:paraId="0803F1EA" w14:textId="038D2821" w:rsidR="00392DBB" w:rsidRDefault="00392DBB" w:rsidP="009000E3">
      <w:pPr>
        <w:pStyle w:val="ab"/>
        <w:numPr>
          <w:ilvl w:val="0"/>
          <w:numId w:val="71"/>
        </w:numPr>
        <w:rPr>
          <w:rtl/>
        </w:rPr>
      </w:pPr>
      <w:r w:rsidRPr="00A45093">
        <w:rPr>
          <w:rFonts w:cs="Arial"/>
          <w:rtl/>
        </w:rPr>
        <w:lastRenderedPageBreak/>
        <w:t>ח</w:t>
      </w:r>
      <w:r w:rsidRPr="00A45093">
        <w:rPr>
          <w:rFonts w:cs="Arial" w:hint="cs"/>
          <w:rtl/>
        </w:rPr>
        <w:t>ת</w:t>
      </w:r>
      <w:r w:rsidRPr="00A45093">
        <w:rPr>
          <w:rFonts w:cs="Arial"/>
          <w:rtl/>
        </w:rPr>
        <w:t xml:space="preserve">"ס </w:t>
      </w:r>
      <w:r w:rsidRPr="00A45093">
        <w:rPr>
          <w:rFonts w:cs="Arial" w:hint="cs"/>
          <w:sz w:val="16"/>
          <w:szCs w:val="16"/>
          <w:rtl/>
        </w:rPr>
        <w:t>(</w:t>
      </w:r>
      <w:r w:rsidRPr="00A45093">
        <w:rPr>
          <w:rFonts w:cs="Arial"/>
          <w:sz w:val="16"/>
          <w:szCs w:val="16"/>
          <w:rtl/>
        </w:rPr>
        <w:t>סי' קמ</w:t>
      </w:r>
      <w:r w:rsidRPr="00A45093">
        <w:rPr>
          <w:rFonts w:cs="Arial" w:hint="cs"/>
          <w:sz w:val="16"/>
          <w:szCs w:val="16"/>
          <w:rtl/>
        </w:rPr>
        <w:t>ה)</w:t>
      </w:r>
      <w:r w:rsidRPr="00A45093">
        <w:rPr>
          <w:rFonts w:cs="Arial" w:hint="cs"/>
          <w:rtl/>
        </w:rPr>
        <w:t xml:space="preserve">- </w:t>
      </w:r>
      <w:r w:rsidRPr="00A45093">
        <w:rPr>
          <w:rFonts w:cs="Arial"/>
          <w:rtl/>
        </w:rPr>
        <w:t>אבי אב שמת ונפלו נכסיו לפני נכדיו</w:t>
      </w:r>
      <w:r>
        <w:rPr>
          <w:rFonts w:cs="Arial" w:hint="cs"/>
          <w:rtl/>
        </w:rPr>
        <w:t>,</w:t>
      </w:r>
      <w:r w:rsidRPr="00A45093">
        <w:rPr>
          <w:rFonts w:cs="Arial"/>
          <w:rtl/>
        </w:rPr>
        <w:t xml:space="preserve"> צ"ע אם מוציאין עישור נכסיו להבנות</w:t>
      </w:r>
      <w:r w:rsidR="000607E1">
        <w:rPr>
          <w:rFonts w:cs="Arial" w:hint="cs"/>
          <w:rtl/>
        </w:rPr>
        <w:t>.</w:t>
      </w:r>
      <w:r w:rsidRPr="00A45093">
        <w:rPr>
          <w:rFonts w:cs="Arial"/>
          <w:rtl/>
        </w:rPr>
        <w:t xml:space="preserve"> דבקידושין </w:t>
      </w:r>
      <w:r>
        <w:rPr>
          <w:rFonts w:cs="Arial" w:hint="cs"/>
          <w:rtl/>
        </w:rPr>
        <w:t>(</w:t>
      </w:r>
      <w:r w:rsidRPr="00A45093">
        <w:rPr>
          <w:rFonts w:cs="Arial"/>
          <w:rtl/>
        </w:rPr>
        <w:t>ל</w:t>
      </w:r>
      <w:r>
        <w:rPr>
          <w:rFonts w:cs="Arial" w:hint="cs"/>
          <w:rtl/>
        </w:rPr>
        <w:t>.)</w:t>
      </w:r>
      <w:r w:rsidRPr="00A45093">
        <w:rPr>
          <w:rFonts w:cs="Arial"/>
          <w:rtl/>
        </w:rPr>
        <w:t xml:space="preserve"> צריך קרא דאבי אביו מחוייב ללמדו תורה דאי לאו הכי ה"א בניכם ולא בני בניכם</w:t>
      </w:r>
      <w:r w:rsidR="00EE7C21">
        <w:rPr>
          <w:rFonts w:cs="Arial" w:hint="cs"/>
          <w:rtl/>
        </w:rPr>
        <w:t>,</w:t>
      </w:r>
      <w:r w:rsidRPr="00A45093">
        <w:rPr>
          <w:rFonts w:cs="Arial"/>
          <w:rtl/>
        </w:rPr>
        <w:t xml:space="preserve"> וא"כ בההיא דקחו נשים לבניכם ואת בנותיכם תתנו לאנשים דליכא ריבוי אמרי' בניכם ובנותיכם ולא בני בניכם ובנותיכם. ועובדא הוה קמן במותב תלתא ולא פסקנו לבת הבן כלום מנכסי אבי אביה במקום אח</w:t>
      </w:r>
      <w:r w:rsidR="00EE7C21">
        <w:rPr>
          <w:rFonts w:cs="Arial" w:hint="cs"/>
          <w:rtl/>
        </w:rPr>
        <w:t>,</w:t>
      </w:r>
      <w:r w:rsidRPr="00A45093">
        <w:rPr>
          <w:rFonts w:cs="Arial"/>
          <w:rtl/>
        </w:rPr>
        <w:t xml:space="preserve"> דאין לומר דהאב יורש בקבר מאביו ומוריש לבניו ומחוייבי' בפרנסת הבת</w:t>
      </w:r>
      <w:r>
        <w:rPr>
          <w:rFonts w:cs="Arial" w:hint="cs"/>
          <w:rtl/>
        </w:rPr>
        <w:t>,</w:t>
      </w:r>
      <w:r w:rsidRPr="00A45093">
        <w:rPr>
          <w:rFonts w:cs="Arial"/>
          <w:rtl/>
        </w:rPr>
        <w:t xml:space="preserve"> ז</w:t>
      </w:r>
      <w:r>
        <w:rPr>
          <w:rFonts w:cs="Arial" w:hint="cs"/>
          <w:rtl/>
        </w:rPr>
        <w:t xml:space="preserve">ה </w:t>
      </w:r>
      <w:r w:rsidRPr="00A45093">
        <w:rPr>
          <w:rFonts w:cs="Arial"/>
          <w:rtl/>
        </w:rPr>
        <w:t>א</w:t>
      </w:r>
      <w:r>
        <w:rPr>
          <w:rFonts w:cs="Arial" w:hint="cs"/>
          <w:rtl/>
        </w:rPr>
        <w:t>ינו.</w:t>
      </w:r>
      <w:r w:rsidRPr="00A45093">
        <w:rPr>
          <w:rFonts w:cs="Arial"/>
          <w:rtl/>
        </w:rPr>
        <w:t xml:space="preserve"> חדא דיכולים לטעון מכח אבוה דאבא קאתינא כדפסקי' בח</w:t>
      </w:r>
      <w:r w:rsidR="00EE7C21">
        <w:rPr>
          <w:rFonts w:cs="Arial" w:hint="cs"/>
          <w:rtl/>
        </w:rPr>
        <w:t>ו</w:t>
      </w:r>
      <w:r w:rsidRPr="00A45093">
        <w:rPr>
          <w:rFonts w:cs="Arial"/>
          <w:rtl/>
        </w:rPr>
        <w:t xml:space="preserve">"מ </w:t>
      </w:r>
      <w:r w:rsidR="00EE7C21">
        <w:rPr>
          <w:rFonts w:cs="Arial" w:hint="cs"/>
          <w:rtl/>
        </w:rPr>
        <w:t>(</w:t>
      </w:r>
      <w:r w:rsidRPr="00A45093">
        <w:rPr>
          <w:rFonts w:cs="Arial"/>
          <w:rtl/>
        </w:rPr>
        <w:t>סי ריא סע</w:t>
      </w:r>
      <w:r w:rsidR="00EE7C21">
        <w:rPr>
          <w:rFonts w:cs="Arial" w:hint="cs"/>
          <w:rtl/>
        </w:rPr>
        <w:t>'</w:t>
      </w:r>
      <w:r w:rsidRPr="00A45093">
        <w:rPr>
          <w:rFonts w:cs="Arial"/>
          <w:rtl/>
        </w:rPr>
        <w:t xml:space="preserve"> ג</w:t>
      </w:r>
      <w:r w:rsidR="00EE7C21">
        <w:rPr>
          <w:rFonts w:cs="Arial" w:hint="cs"/>
          <w:rtl/>
        </w:rPr>
        <w:t>-</w:t>
      </w:r>
      <w:r w:rsidRPr="00A45093">
        <w:rPr>
          <w:rFonts w:cs="Arial"/>
          <w:rtl/>
        </w:rPr>
        <w:t>ד</w:t>
      </w:r>
      <w:r w:rsidR="00EE7C21">
        <w:rPr>
          <w:rFonts w:cs="Arial" w:hint="cs"/>
          <w:rtl/>
        </w:rPr>
        <w:t>)</w:t>
      </w:r>
      <w:r>
        <w:rPr>
          <w:rFonts w:cs="Arial" w:hint="cs"/>
          <w:rtl/>
        </w:rPr>
        <w:t>.</w:t>
      </w:r>
      <w:r w:rsidRPr="00A45093">
        <w:rPr>
          <w:rFonts w:cs="Arial"/>
          <w:rtl/>
        </w:rPr>
        <w:t xml:space="preserve"> ותו דהאב בקבר לא מחייב במצות הבן על האב כו'</w:t>
      </w:r>
      <w:r>
        <w:rPr>
          <w:rFonts w:cs="Arial" w:hint="cs"/>
          <w:rtl/>
        </w:rPr>
        <w:t>.</w:t>
      </w:r>
      <w:r w:rsidRPr="00A45093">
        <w:rPr>
          <w:rFonts w:cs="Arial"/>
          <w:rtl/>
        </w:rPr>
        <w:t xml:space="preserve"> ואי משום אומדנא דאילו היה זקן חי היה נותן כך לנדוניית נכדו </w:t>
      </w:r>
      <w:r>
        <w:rPr>
          <w:rFonts w:cs="Arial" w:hint="cs"/>
          <w:rtl/>
        </w:rPr>
        <w:t xml:space="preserve">- </w:t>
      </w:r>
      <w:r w:rsidRPr="00A45093">
        <w:rPr>
          <w:rFonts w:cs="Arial"/>
          <w:rtl/>
        </w:rPr>
        <w:t>אין לנו לדון בדמיונות ואומדנות דלא מתפרשו בש"ס</w:t>
      </w:r>
      <w:r w:rsidR="002F4D39">
        <w:rPr>
          <w:rFonts w:cs="Arial" w:hint="cs"/>
          <w:rtl/>
        </w:rPr>
        <w:t>.</w:t>
      </w:r>
      <w:r w:rsidRPr="00A45093">
        <w:rPr>
          <w:rFonts w:cs="Arial"/>
          <w:rtl/>
        </w:rPr>
        <w:t xml:space="preserve"> דלא נאמר אלא באב דגוף הנישואין מחויב מה"ת להשיא בתו אלא דאנן אמדינן דעתיה כמה היה מפריז לנדן</w:t>
      </w:r>
      <w:r w:rsidR="002F4D39">
        <w:rPr>
          <w:rFonts w:cs="Arial" w:hint="cs"/>
          <w:rtl/>
        </w:rPr>
        <w:t>,</w:t>
      </w:r>
      <w:r w:rsidRPr="00A45093">
        <w:rPr>
          <w:rFonts w:cs="Arial"/>
          <w:rtl/>
        </w:rPr>
        <w:t xml:space="preserve"> אבל באבי אב כו'</w:t>
      </w:r>
      <w:r w:rsidR="002F4D39">
        <w:rPr>
          <w:rFonts w:cs="Arial" w:hint="cs"/>
          <w:rtl/>
        </w:rPr>
        <w:t>...</w:t>
      </w:r>
      <w:r w:rsidRPr="00A45093">
        <w:rPr>
          <w:rFonts w:cs="Arial"/>
          <w:rtl/>
        </w:rPr>
        <w:t xml:space="preserve"> ע</w:t>
      </w:r>
      <w:r w:rsidR="002F4D39">
        <w:rPr>
          <w:rFonts w:cs="Arial" w:hint="cs"/>
          <w:rtl/>
        </w:rPr>
        <w:t>ל כן</w:t>
      </w:r>
      <w:r w:rsidRPr="00A45093">
        <w:rPr>
          <w:rFonts w:cs="Arial"/>
          <w:rtl/>
        </w:rPr>
        <w:t xml:space="preserve"> אין להוציא אפילו מנכסי אבי האב</w:t>
      </w:r>
      <w:r w:rsidR="002F4D39">
        <w:rPr>
          <w:rFonts w:cs="Arial" w:hint="cs"/>
          <w:rtl/>
        </w:rPr>
        <w:t>,</w:t>
      </w:r>
      <w:r w:rsidRPr="00A45093">
        <w:rPr>
          <w:rFonts w:cs="Arial"/>
          <w:rtl/>
        </w:rPr>
        <w:t xml:space="preserve"> ומכ"ש מנכסי אבי האם.</w:t>
      </w:r>
      <w:r>
        <w:rPr>
          <w:rFonts w:cs="Arial" w:hint="cs"/>
          <w:rtl/>
        </w:rPr>
        <w:t xml:space="preserve">.. </w:t>
      </w:r>
      <w:r w:rsidRPr="00A45093">
        <w:rPr>
          <w:rFonts w:cs="Arial"/>
          <w:rtl/>
        </w:rPr>
        <w:t>אמנם אם היו הבנים כולם גדולי' בין הזכרים ובין הנקיבות פשוט שהב"ד יכולים לכוף בדברים עכ"פ מטעם צדקה לסייע בסך מסויים לפי עשרם</w:t>
      </w:r>
      <w:r w:rsidR="002F4D39">
        <w:rPr>
          <w:rFonts w:cs="Arial" w:hint="cs"/>
          <w:rtl/>
        </w:rPr>
        <w:t>.</w:t>
      </w:r>
      <w:r w:rsidRPr="00A45093">
        <w:rPr>
          <w:rFonts w:cs="Arial"/>
          <w:rtl/>
        </w:rPr>
        <w:t xml:space="preserve"> ואפילו אם הזכרים קטנים ורק הבנות הגיעו לפרק נישואין עכשיו רשאי לאפטרופס ליתן סיום לפי עשרם של הבנים לאחשבינהו</w:t>
      </w:r>
      <w:r w:rsidR="002F4D39">
        <w:rPr>
          <w:rFonts w:cs="Arial" w:hint="cs"/>
          <w:rtl/>
        </w:rPr>
        <w:t>,</w:t>
      </w:r>
      <w:r w:rsidRPr="00A45093">
        <w:rPr>
          <w:rFonts w:cs="Arial"/>
          <w:rtl/>
        </w:rPr>
        <w:t xml:space="preserve"> עח</w:t>
      </w:r>
      <w:r w:rsidR="002F4D39">
        <w:rPr>
          <w:rFonts w:cs="Arial" w:hint="cs"/>
          <w:rtl/>
        </w:rPr>
        <w:t>ו</w:t>
      </w:r>
      <w:r w:rsidRPr="00A45093">
        <w:rPr>
          <w:rFonts w:cs="Arial"/>
          <w:rtl/>
        </w:rPr>
        <w:t xml:space="preserve">"מ </w:t>
      </w:r>
      <w:r w:rsidR="002F4D39">
        <w:rPr>
          <w:rFonts w:cs="Arial" w:hint="cs"/>
          <w:rtl/>
        </w:rPr>
        <w:t>(</w:t>
      </w:r>
      <w:r w:rsidRPr="00A45093">
        <w:rPr>
          <w:rFonts w:cs="Arial"/>
          <w:rtl/>
        </w:rPr>
        <w:t>סי' רצ סע</w:t>
      </w:r>
      <w:r w:rsidR="002F4D39">
        <w:rPr>
          <w:rFonts w:cs="Arial" w:hint="cs"/>
          <w:rtl/>
        </w:rPr>
        <w:t>'</w:t>
      </w:r>
      <w:r w:rsidRPr="00A45093">
        <w:rPr>
          <w:rFonts w:cs="Arial"/>
          <w:rtl/>
        </w:rPr>
        <w:t xml:space="preserve"> יד ממתני' דגיטין נ</w:t>
      </w:r>
      <w:r w:rsidR="002F4D39">
        <w:rPr>
          <w:rFonts w:cs="Arial" w:hint="cs"/>
          <w:rtl/>
        </w:rPr>
        <w:t>ב.)</w:t>
      </w:r>
      <w:r>
        <w:rPr>
          <w:rFonts w:cs="Arial" w:hint="cs"/>
          <w:rtl/>
        </w:rPr>
        <w:t>.</w:t>
      </w:r>
      <w:r w:rsidRPr="00A45093">
        <w:rPr>
          <w:rFonts w:cs="Arial"/>
          <w:rtl/>
        </w:rPr>
        <w:t xml:space="preserve"> אבל אם הבנות קטנות להפריש עתה ממעות הזכרים קטנים משום הבנות כשיתגדלו </w:t>
      </w:r>
      <w:r w:rsidR="002F4D39">
        <w:rPr>
          <w:rFonts w:cs="Arial" w:hint="cs"/>
          <w:rtl/>
        </w:rPr>
        <w:t xml:space="preserve">- </w:t>
      </w:r>
      <w:r w:rsidRPr="00A45093">
        <w:rPr>
          <w:rFonts w:cs="Arial"/>
          <w:rtl/>
        </w:rPr>
        <w:t>אינו נכון</w:t>
      </w:r>
      <w:r w:rsidR="002F4D39">
        <w:rPr>
          <w:rFonts w:cs="Arial" w:hint="cs"/>
          <w:rtl/>
        </w:rPr>
        <w:t>,</w:t>
      </w:r>
      <w:r w:rsidRPr="00A45093">
        <w:rPr>
          <w:rFonts w:cs="Arial"/>
          <w:rtl/>
        </w:rPr>
        <w:t xml:space="preserve"> דהא אינו רשאי לעשר ולהניח. ומ"מ הכל לפי ראות עיני הדיינים אם יראו אם יתגדלו הבנים לא ישמעו קול הורים</w:t>
      </w:r>
      <w:r w:rsidR="002F4D39">
        <w:rPr>
          <w:rFonts w:cs="Arial" w:hint="cs"/>
          <w:rtl/>
        </w:rPr>
        <w:t>,</w:t>
      </w:r>
      <w:r w:rsidRPr="00A45093">
        <w:rPr>
          <w:rFonts w:cs="Arial"/>
          <w:rtl/>
        </w:rPr>
        <w:t xml:space="preserve"> כדור הזה הפרוץ בעו"ה</w:t>
      </w:r>
      <w:r w:rsidR="002F4D39">
        <w:rPr>
          <w:rFonts w:cs="Arial" w:hint="cs"/>
          <w:rtl/>
        </w:rPr>
        <w:t>,</w:t>
      </w:r>
      <w:r w:rsidRPr="00A45093">
        <w:rPr>
          <w:rFonts w:cs="Arial"/>
          <w:rtl/>
        </w:rPr>
        <w:t xml:space="preserve"> ותשבו הבנות עד שילבינו אפשר יש רשות לב"ד לקצוב המעשר מירושתם לחלק בין הבנות לכשיגיעו לנישואין. ואמנם יהיה הקרן ההוא עומד בחזקת הזכרים והפירות שלהם</w:t>
      </w:r>
      <w:r w:rsidR="002F4D39">
        <w:rPr>
          <w:rFonts w:cs="Arial" w:hint="cs"/>
          <w:rtl/>
        </w:rPr>
        <w:t>,</w:t>
      </w:r>
      <w:r w:rsidRPr="00A45093">
        <w:rPr>
          <w:rFonts w:cs="Arial"/>
          <w:rtl/>
        </w:rPr>
        <w:t xml:space="preserve"> אך יוכתב בפנקס הקהל שסך הזה שהוא לעשר ירושתה יחולק בין הבנות ולכשיגיעו לנישואין והוא להם מתנה מאחיהם מעשר מעותיהם</w:t>
      </w:r>
      <w:r w:rsidR="002F4D39">
        <w:rPr>
          <w:rFonts w:cs="Arial" w:hint="cs"/>
          <w:rtl/>
        </w:rPr>
        <w:t>.</w:t>
      </w:r>
      <w:r w:rsidRPr="00A45093">
        <w:rPr>
          <w:rFonts w:cs="Arial"/>
          <w:rtl/>
        </w:rPr>
        <w:t xml:space="preserve"> ויש בזה קצת ועשית הישר והטוב</w:t>
      </w:r>
      <w:r>
        <w:rPr>
          <w:rFonts w:cs="Arial" w:hint="cs"/>
          <w:rtl/>
        </w:rPr>
        <w:t>...</w:t>
      </w:r>
    </w:p>
    <w:p w14:paraId="1A646498" w14:textId="77777777" w:rsidR="00392DBB" w:rsidRDefault="00392DBB" w:rsidP="00392DBB">
      <w:pPr>
        <w:rPr>
          <w:rtl/>
        </w:rPr>
      </w:pPr>
    </w:p>
    <w:p w14:paraId="1873D2BE" w14:textId="77777777" w:rsidR="00392DBB" w:rsidRDefault="00392DBB" w:rsidP="000F64D0">
      <w:pPr>
        <w:pStyle w:val="2"/>
        <w:rPr>
          <w:rtl/>
        </w:rPr>
      </w:pPr>
      <w:r>
        <w:rPr>
          <w:rtl/>
        </w:rPr>
        <w:t>סעיף ב</w:t>
      </w:r>
      <w:r>
        <w:rPr>
          <w:rFonts w:hint="cs"/>
          <w:rtl/>
        </w:rPr>
        <w:t>: ממה נגבית פרנסת הבת.</w:t>
      </w:r>
    </w:p>
    <w:p w14:paraId="2E688D5B" w14:textId="77777777" w:rsidR="00392DBB" w:rsidRDefault="00392DBB" w:rsidP="00392DBB">
      <w:pPr>
        <w:rPr>
          <w:rFonts w:cs="Arial"/>
          <w:rtl/>
        </w:rPr>
      </w:pPr>
      <w:r w:rsidRPr="009E3B5F">
        <w:rPr>
          <w:rFonts w:hint="cs"/>
          <w:b/>
          <w:bCs/>
          <w:rtl/>
        </w:rPr>
        <w:t xml:space="preserve">כתובות </w:t>
      </w:r>
      <w:r w:rsidRPr="009E3B5F">
        <w:rPr>
          <w:rFonts w:hint="cs"/>
          <w:b/>
          <w:bCs/>
          <w:sz w:val="16"/>
          <w:szCs w:val="16"/>
          <w:rtl/>
        </w:rPr>
        <w:t xml:space="preserve">(פ' </w:t>
      </w:r>
      <w:r>
        <w:rPr>
          <w:rFonts w:hint="cs"/>
          <w:b/>
          <w:bCs/>
          <w:sz w:val="16"/>
          <w:szCs w:val="16"/>
          <w:rtl/>
        </w:rPr>
        <w:t>מציאת האשה</w:t>
      </w:r>
      <w:r w:rsidRPr="009E3B5F">
        <w:rPr>
          <w:rFonts w:hint="cs"/>
          <w:b/>
          <w:bCs/>
          <w:sz w:val="16"/>
          <w:szCs w:val="16"/>
          <w:rtl/>
        </w:rPr>
        <w:t xml:space="preserve">) </w:t>
      </w:r>
      <w:r>
        <w:rPr>
          <w:rFonts w:hint="cs"/>
          <w:b/>
          <w:bCs/>
          <w:rtl/>
        </w:rPr>
        <w:t>סח</w:t>
      </w:r>
      <w:r w:rsidRPr="009E3B5F">
        <w:rPr>
          <w:rFonts w:hint="cs"/>
          <w:b/>
          <w:bCs/>
          <w:rtl/>
        </w:rPr>
        <w:t xml:space="preserve"> ע"</w:t>
      </w:r>
      <w:r>
        <w:rPr>
          <w:rFonts w:hint="cs"/>
          <w:b/>
          <w:bCs/>
          <w:rtl/>
        </w:rPr>
        <w:t>ב</w:t>
      </w:r>
      <w:r w:rsidRPr="009E3B5F">
        <w:rPr>
          <w:rFonts w:hint="cs"/>
          <w:b/>
          <w:bCs/>
          <w:rtl/>
        </w:rPr>
        <w:t>:</w:t>
      </w:r>
      <w:r>
        <w:rPr>
          <w:rFonts w:cs="Arial" w:hint="cs"/>
          <w:rtl/>
        </w:rPr>
        <w:t xml:space="preserve"> </w:t>
      </w:r>
      <w:r w:rsidRPr="003B2777">
        <w:rPr>
          <w:rFonts w:cs="Arial"/>
          <w:u w:val="single"/>
          <w:rtl/>
        </w:rPr>
        <w:t>אמר רב הונא אמר רבי</w:t>
      </w:r>
      <w:r w:rsidRPr="009C31B7">
        <w:rPr>
          <w:rFonts w:cs="Arial"/>
          <w:rtl/>
        </w:rPr>
        <w:t>: פרנסה אינה כתנאי כתובה</w:t>
      </w:r>
      <w:r>
        <w:rPr>
          <w:rFonts w:cs="Arial" w:hint="cs"/>
          <w:rtl/>
        </w:rPr>
        <w:t>...</w:t>
      </w:r>
      <w:r w:rsidRPr="009C31B7">
        <w:rPr>
          <w:rFonts w:cs="Arial"/>
          <w:rtl/>
        </w:rPr>
        <w:t xml:space="preserve"> </w:t>
      </w:r>
    </w:p>
    <w:p w14:paraId="7C0396B9" w14:textId="77777777" w:rsidR="00392DBB" w:rsidRPr="00FE4D36" w:rsidRDefault="00392DBB" w:rsidP="00392DBB">
      <w:pPr>
        <w:rPr>
          <w:rFonts w:cs="Arial"/>
          <w:rtl/>
        </w:rPr>
      </w:pPr>
      <w:r w:rsidRPr="009E3B5F">
        <w:rPr>
          <w:rFonts w:hint="cs"/>
          <w:b/>
          <w:bCs/>
          <w:rtl/>
        </w:rPr>
        <w:t xml:space="preserve">כתובות </w:t>
      </w:r>
      <w:r w:rsidRPr="009E3B5F">
        <w:rPr>
          <w:rFonts w:hint="cs"/>
          <w:b/>
          <w:bCs/>
          <w:sz w:val="16"/>
          <w:szCs w:val="16"/>
          <w:rtl/>
        </w:rPr>
        <w:t xml:space="preserve">(פ' </w:t>
      </w:r>
      <w:r>
        <w:rPr>
          <w:rFonts w:hint="cs"/>
          <w:b/>
          <w:bCs/>
          <w:sz w:val="16"/>
          <w:szCs w:val="16"/>
          <w:rtl/>
        </w:rPr>
        <w:t>מציאת האשה</w:t>
      </w:r>
      <w:r w:rsidRPr="009E3B5F">
        <w:rPr>
          <w:rFonts w:hint="cs"/>
          <w:b/>
          <w:bCs/>
          <w:sz w:val="16"/>
          <w:szCs w:val="16"/>
          <w:rtl/>
        </w:rPr>
        <w:t xml:space="preserve">) </w:t>
      </w:r>
      <w:r>
        <w:rPr>
          <w:rFonts w:hint="cs"/>
          <w:b/>
          <w:bCs/>
          <w:rtl/>
        </w:rPr>
        <w:t>סט</w:t>
      </w:r>
      <w:r w:rsidRPr="009E3B5F">
        <w:rPr>
          <w:rFonts w:hint="cs"/>
          <w:b/>
          <w:bCs/>
          <w:rtl/>
        </w:rPr>
        <w:t xml:space="preserve"> ע"</w:t>
      </w:r>
      <w:r>
        <w:rPr>
          <w:rFonts w:hint="cs"/>
          <w:b/>
          <w:bCs/>
          <w:rtl/>
        </w:rPr>
        <w:t>א</w:t>
      </w:r>
      <w:r w:rsidRPr="009E3B5F">
        <w:rPr>
          <w:rFonts w:hint="cs"/>
          <w:b/>
          <w:bCs/>
          <w:rtl/>
        </w:rPr>
        <w:t>:</w:t>
      </w:r>
      <w:r>
        <w:rPr>
          <w:rFonts w:cs="Arial" w:hint="cs"/>
          <w:rtl/>
        </w:rPr>
        <w:t xml:space="preserve"> </w:t>
      </w:r>
      <w:r w:rsidRPr="000454C9">
        <w:rPr>
          <w:rFonts w:cs="Arial"/>
          <w:u w:val="single"/>
          <w:rtl/>
        </w:rPr>
        <w:t>אמר אמימר</w:t>
      </w:r>
      <w:r w:rsidRPr="000454C9">
        <w:rPr>
          <w:rFonts w:cs="Arial"/>
          <w:rtl/>
        </w:rPr>
        <w:t>: בת - יורשת הויא</w:t>
      </w:r>
      <w:r>
        <w:rPr>
          <w:rStyle w:val="a7"/>
          <w:rFonts w:cs="Arial"/>
          <w:rtl/>
        </w:rPr>
        <w:footnoteReference w:id="2660"/>
      </w:r>
      <w:r w:rsidRPr="000454C9">
        <w:rPr>
          <w:rFonts w:cs="Arial"/>
          <w:rtl/>
        </w:rPr>
        <w:t>.</w:t>
      </w:r>
      <w:r w:rsidRPr="003B2777">
        <w:rPr>
          <w:rtl/>
        </w:rPr>
        <w:t xml:space="preserve"> </w:t>
      </w:r>
      <w:r w:rsidRPr="003B2777">
        <w:rPr>
          <w:rFonts w:cs="Arial"/>
          <w:u w:val="single"/>
          <w:rtl/>
        </w:rPr>
        <w:t>אמר ליה רב אשי לאמימר</w:t>
      </w:r>
      <w:r w:rsidRPr="003B2777">
        <w:rPr>
          <w:rFonts w:cs="Arial"/>
          <w:rtl/>
        </w:rPr>
        <w:t xml:space="preserve">: אילו בעי לסלוקה בזוזי, הכי נמי דלא מצי לסלוקה? </w:t>
      </w:r>
      <w:r w:rsidRPr="00CF069C">
        <w:rPr>
          <w:rFonts w:cs="Arial"/>
          <w:u w:val="single"/>
          <w:rtl/>
        </w:rPr>
        <w:t>אמר ליה</w:t>
      </w:r>
      <w:r w:rsidRPr="003B2777">
        <w:rPr>
          <w:rFonts w:cs="Arial"/>
          <w:rtl/>
        </w:rPr>
        <w:t xml:space="preserve">: אין. אי בעי לסלוקה בחדא ארעא, הכי נמי דלא מצי מסלק לה? </w:t>
      </w:r>
      <w:r w:rsidRPr="00CF069C">
        <w:rPr>
          <w:rFonts w:cs="Arial"/>
          <w:u w:val="single"/>
          <w:rtl/>
        </w:rPr>
        <w:t>אמר ליה</w:t>
      </w:r>
      <w:r w:rsidRPr="003B2777">
        <w:rPr>
          <w:rFonts w:cs="Arial"/>
          <w:rtl/>
        </w:rPr>
        <w:t>: אין</w:t>
      </w:r>
      <w:r>
        <w:rPr>
          <w:rStyle w:val="a7"/>
          <w:rFonts w:cs="Arial"/>
          <w:rtl/>
        </w:rPr>
        <w:footnoteReference w:id="2661"/>
      </w:r>
      <w:r w:rsidRPr="003B2777">
        <w:rPr>
          <w:rFonts w:cs="Arial"/>
          <w:rtl/>
        </w:rPr>
        <w:t xml:space="preserve">. </w:t>
      </w:r>
      <w:r w:rsidRPr="000454C9">
        <w:rPr>
          <w:rFonts w:cs="Arial"/>
          <w:rtl/>
        </w:rPr>
        <w:t xml:space="preserve"> </w:t>
      </w:r>
      <w:r w:rsidRPr="000454C9">
        <w:rPr>
          <w:rFonts w:cs="Arial"/>
          <w:u w:val="single"/>
          <w:rtl/>
        </w:rPr>
        <w:t>רב אשי אמר</w:t>
      </w:r>
      <w:r w:rsidRPr="000454C9">
        <w:rPr>
          <w:rFonts w:cs="Arial"/>
          <w:rtl/>
        </w:rPr>
        <w:t>: בת - בעלת חוב הויא. ואף אמימר הדר ביה</w:t>
      </w:r>
      <w:r w:rsidRPr="003B2777">
        <w:rPr>
          <w:rFonts w:cs="Arial"/>
          <w:rtl/>
        </w:rPr>
        <w:t>, דאמר רב מניומי בריה דרב ניחומי: הוה קאימנא קמיה דאמימר, ואתאי האי איתתא לקמיה דהות קא בעיא עישור נכסים, וחזיתיה לדעתיה דאי בעי לסלוקה בזוזי הוי מסלק לה, דשמעי מאחי דהוו קאמרי לה: אילו הוה לן זוזי סליקנא בזוזי, ואישתיק ולא אמר להו ולא מידי.</w:t>
      </w:r>
      <w:r w:rsidRPr="000454C9">
        <w:rPr>
          <w:rFonts w:cs="Arial"/>
          <w:rtl/>
        </w:rPr>
        <w:t xml:space="preserve"> והשתא דאמרת: בעלת חוב הויא, דאבא או דאחי? למאי נפקא מינה? למיגבא לבינונית שלא בשבועה וזיבורית בשבועה, מאי? תא שמע: דרבינא אגביה לברתיה דרב אשי ממר בריה דרב אשי בינונית ושלא בשבועה, מבריה דרב סמא בריה דרב אשי - זבורית בשבועה</w:t>
      </w:r>
      <w:r>
        <w:rPr>
          <w:rFonts w:cs="Arial" w:hint="cs"/>
          <w:rtl/>
        </w:rPr>
        <w:t xml:space="preserve">. </w:t>
      </w:r>
      <w:r w:rsidRPr="00154112">
        <w:rPr>
          <w:rFonts w:cs="Arial"/>
          <w:u w:val="single"/>
          <w:rtl/>
        </w:rPr>
        <w:t>שלח ליה רב נחמיה בריה דרב יוסף לרבה בר רב הונא זוטא מנהרדע</w:t>
      </w:r>
      <w:r w:rsidRPr="00154112">
        <w:rPr>
          <w:rFonts w:cs="Arial"/>
          <w:rtl/>
        </w:rPr>
        <w:t>א: כי אתיא הא איתתא</w:t>
      </w:r>
      <w:r>
        <w:rPr>
          <w:rStyle w:val="a7"/>
          <w:rFonts w:cs="Arial"/>
          <w:rtl/>
        </w:rPr>
        <w:footnoteReference w:id="2662"/>
      </w:r>
      <w:r w:rsidRPr="00154112">
        <w:rPr>
          <w:rFonts w:cs="Arial"/>
          <w:rtl/>
        </w:rPr>
        <w:t xml:space="preserve"> לקמך, אגבה עישור נכסים אפילו מאיצטרובלא</w:t>
      </w:r>
      <w:r>
        <w:rPr>
          <w:rStyle w:val="a7"/>
          <w:rFonts w:cs="Arial"/>
          <w:rtl/>
        </w:rPr>
        <w:footnoteReference w:id="2663"/>
      </w:r>
      <w:r w:rsidRPr="00154112">
        <w:rPr>
          <w:rFonts w:cs="Arial"/>
          <w:rtl/>
        </w:rPr>
        <w:t xml:space="preserve">. </w:t>
      </w:r>
      <w:r w:rsidRPr="00154112">
        <w:rPr>
          <w:rFonts w:cs="Arial"/>
          <w:u w:val="single"/>
          <w:rtl/>
        </w:rPr>
        <w:t>אמר רב אשי</w:t>
      </w:r>
      <w:r w:rsidRPr="00154112">
        <w:rPr>
          <w:rFonts w:cs="Arial"/>
          <w:rtl/>
        </w:rPr>
        <w:t>: כי הוינן בי רב כהנא, הוה מגבינן אפילו מעמלא דביתי</w:t>
      </w:r>
      <w:r>
        <w:rPr>
          <w:rStyle w:val="a7"/>
          <w:rFonts w:cs="Arial"/>
          <w:rtl/>
        </w:rPr>
        <w:footnoteReference w:id="2664"/>
      </w:r>
      <w:r w:rsidRPr="00154112">
        <w:rPr>
          <w:rFonts w:cs="Arial"/>
          <w:rtl/>
        </w:rPr>
        <w:t>.</w:t>
      </w:r>
      <w:r>
        <w:rPr>
          <w:rFonts w:cs="Arial" w:hint="cs"/>
          <w:rtl/>
        </w:rPr>
        <w:t>..</w:t>
      </w:r>
      <w:r w:rsidRPr="004D4855">
        <w:rPr>
          <w:rtl/>
        </w:rPr>
        <w:t xml:space="preserve"> </w:t>
      </w:r>
      <w:r w:rsidRPr="004D4855">
        <w:rPr>
          <w:rFonts w:cs="Arial"/>
          <w:u w:val="single"/>
          <w:rtl/>
        </w:rPr>
        <w:t>אמר רבא</w:t>
      </w:r>
      <w:r>
        <w:rPr>
          <w:rFonts w:cs="Arial" w:hint="cs"/>
          <w:rtl/>
        </w:rPr>
        <w:t>:</w:t>
      </w:r>
      <w:r w:rsidRPr="004D4855">
        <w:rPr>
          <w:rFonts w:cs="Arial"/>
          <w:rtl/>
        </w:rPr>
        <w:t xml:space="preserve"> הלכתא</w:t>
      </w:r>
      <w:r>
        <w:rPr>
          <w:rFonts w:cs="Arial" w:hint="cs"/>
          <w:rtl/>
        </w:rPr>
        <w:t>,</w:t>
      </w:r>
      <w:r w:rsidRPr="004D4855">
        <w:rPr>
          <w:rFonts w:cs="Arial"/>
          <w:rtl/>
        </w:rPr>
        <w:t xml:space="preserve"> ממקרקעי ולא ממטלטלי, בין למזוני, בין לכתובה, בין לפרנסה.</w:t>
      </w:r>
    </w:p>
    <w:p w14:paraId="30BA4007" w14:textId="77777777" w:rsidR="00392DBB" w:rsidRDefault="00392DBB" w:rsidP="00392DBB">
      <w:pPr>
        <w:rPr>
          <w:u w:val="single"/>
          <w:rtl/>
        </w:rPr>
      </w:pPr>
      <w:r>
        <w:rPr>
          <w:rFonts w:hint="cs"/>
          <w:u w:val="single"/>
          <w:rtl/>
        </w:rPr>
        <w:t>מאלו נכסים מחשבים את</w:t>
      </w:r>
      <w:r w:rsidRPr="009C31B7">
        <w:rPr>
          <w:rFonts w:hint="cs"/>
          <w:u w:val="single"/>
          <w:rtl/>
        </w:rPr>
        <w:t xml:space="preserve"> פרנסת הבת</w:t>
      </w:r>
      <w:r>
        <w:rPr>
          <w:rFonts w:hint="cs"/>
          <w:u w:val="single"/>
          <w:rtl/>
        </w:rPr>
        <w:t>, ומאלו נכסים גובים</w:t>
      </w:r>
      <w:r w:rsidRPr="009C31B7">
        <w:rPr>
          <w:rFonts w:hint="cs"/>
          <w:u w:val="single"/>
          <w:rtl/>
        </w:rPr>
        <w:t>:</w:t>
      </w:r>
    </w:p>
    <w:p w14:paraId="74371A17" w14:textId="77777777" w:rsidR="00392DBB" w:rsidRPr="00DC2768" w:rsidRDefault="00392DBB" w:rsidP="00392DBB">
      <w:pPr>
        <w:ind w:left="360"/>
        <w:rPr>
          <w:u w:val="dotted"/>
          <w:rtl/>
        </w:rPr>
      </w:pPr>
      <w:r>
        <w:rPr>
          <w:rFonts w:hint="cs"/>
          <w:u w:val="dotted"/>
          <w:rtl/>
        </w:rPr>
        <w:t>כשמגבים לה לפני אומדנותו של אב:</w:t>
      </w:r>
    </w:p>
    <w:p w14:paraId="00F0E47D" w14:textId="77777777" w:rsidR="00392DBB" w:rsidRDefault="00392DBB" w:rsidP="009000E3">
      <w:pPr>
        <w:pStyle w:val="ab"/>
        <w:numPr>
          <w:ilvl w:val="0"/>
          <w:numId w:val="63"/>
        </w:numPr>
      </w:pPr>
      <w:r>
        <w:rPr>
          <w:rFonts w:hint="cs"/>
          <w:rtl/>
        </w:rPr>
        <w:t xml:space="preserve">רמב"ם </w:t>
      </w:r>
      <w:r>
        <w:rPr>
          <w:rFonts w:hint="cs"/>
          <w:sz w:val="16"/>
          <w:szCs w:val="16"/>
          <w:rtl/>
        </w:rPr>
        <w:t>(להב' הה"מ</w:t>
      </w:r>
      <w:r>
        <w:rPr>
          <w:rStyle w:val="a7"/>
          <w:sz w:val="16"/>
          <w:szCs w:val="16"/>
          <w:rtl/>
        </w:rPr>
        <w:footnoteReference w:id="2665"/>
      </w:r>
      <w:r>
        <w:rPr>
          <w:rFonts w:hint="cs"/>
          <w:sz w:val="16"/>
          <w:szCs w:val="16"/>
          <w:rtl/>
        </w:rPr>
        <w:t xml:space="preserve"> [עי' בפ"כ הי"ב])</w:t>
      </w:r>
      <w:r>
        <w:rPr>
          <w:rFonts w:cs="Arial" w:hint="cs"/>
          <w:rtl/>
        </w:rPr>
        <w:t xml:space="preserve"> </w:t>
      </w:r>
      <w:r w:rsidRPr="00F60F50">
        <w:rPr>
          <w:rFonts w:cs="Arial"/>
          <w:rtl/>
        </w:rPr>
        <w:t xml:space="preserve">רמב"ן </w:t>
      </w:r>
      <w:r w:rsidRPr="0014710D">
        <w:rPr>
          <w:rFonts w:cs="Arial"/>
          <w:sz w:val="16"/>
          <w:szCs w:val="16"/>
          <w:rtl/>
        </w:rPr>
        <w:t xml:space="preserve">(סח. ד"ה ומסתברא) </w:t>
      </w:r>
      <w:r w:rsidRPr="00F60F50">
        <w:rPr>
          <w:rFonts w:cs="Arial"/>
          <w:rtl/>
        </w:rPr>
        <w:t xml:space="preserve">רשב"א </w:t>
      </w:r>
      <w:r w:rsidRPr="0014710D">
        <w:rPr>
          <w:rFonts w:cs="Arial"/>
          <w:sz w:val="16"/>
          <w:szCs w:val="16"/>
          <w:rtl/>
        </w:rPr>
        <w:t>(סח. ד"ה והלכך)</w:t>
      </w:r>
      <w:r>
        <w:rPr>
          <w:rFonts w:cs="Arial" w:hint="cs"/>
          <w:rtl/>
        </w:rPr>
        <w:t xml:space="preserve"> רא"ש</w:t>
      </w:r>
      <w:r w:rsidRPr="00FE4D36">
        <w:rPr>
          <w:rFonts w:cs="Arial" w:hint="cs"/>
          <w:sz w:val="16"/>
          <w:szCs w:val="16"/>
          <w:rtl/>
        </w:rPr>
        <w:t xml:space="preserve"> (פ"ו סי</w:t>
      </w:r>
      <w:r>
        <w:rPr>
          <w:rFonts w:cs="Arial" w:hint="cs"/>
          <w:sz w:val="16"/>
          <w:szCs w:val="16"/>
          <w:rtl/>
        </w:rPr>
        <w:t>"</w:t>
      </w:r>
      <w:r w:rsidRPr="00FE4D36">
        <w:rPr>
          <w:rFonts w:cs="Arial" w:hint="cs"/>
          <w:sz w:val="16"/>
          <w:szCs w:val="16"/>
          <w:rtl/>
        </w:rPr>
        <w:t>ט)</w:t>
      </w:r>
      <w:r>
        <w:rPr>
          <w:rFonts w:cs="Arial" w:hint="cs"/>
          <w:rtl/>
        </w:rPr>
        <w:t xml:space="preserve"> וטור- </w:t>
      </w:r>
      <w:r w:rsidRPr="00E04543">
        <w:rPr>
          <w:rFonts w:cs="Arial"/>
          <w:rtl/>
        </w:rPr>
        <w:t>כשנותנים לפי אומד דעתו</w:t>
      </w:r>
      <w:r>
        <w:rPr>
          <w:rFonts w:cs="Arial" w:hint="cs"/>
          <w:rtl/>
        </w:rPr>
        <w:t>,</w:t>
      </w:r>
      <w:r w:rsidRPr="00E04543">
        <w:rPr>
          <w:rFonts w:cs="Arial"/>
          <w:rtl/>
        </w:rPr>
        <w:t xml:space="preserve"> אין חילוק בין מקרקעי למטלטלי</w:t>
      </w:r>
      <w:r>
        <w:rPr>
          <w:rFonts w:cs="Arial" w:hint="cs"/>
          <w:rtl/>
        </w:rPr>
        <w:t>.</w:t>
      </w:r>
      <w:r w:rsidRPr="00E04543">
        <w:rPr>
          <w:rFonts w:cs="Arial"/>
          <w:rtl/>
        </w:rPr>
        <w:t xml:space="preserve"> שאם השיא בת</w:t>
      </w:r>
      <w:r>
        <w:rPr>
          <w:rFonts w:cs="Arial" w:hint="cs"/>
          <w:rtl/>
        </w:rPr>
        <w:t>,</w:t>
      </w:r>
      <w:r w:rsidRPr="00E04543">
        <w:rPr>
          <w:rFonts w:cs="Arial"/>
          <w:rtl/>
        </w:rPr>
        <w:t xml:space="preserve"> בכל מה שנתן לה בין מטלטלי בין מקרקעי כך יתנו לזאת</w:t>
      </w:r>
      <w:r>
        <w:rPr>
          <w:rFonts w:cs="Arial" w:hint="cs"/>
          <w:rtl/>
        </w:rPr>
        <w:t>.</w:t>
      </w:r>
      <w:r w:rsidRPr="00E04543">
        <w:rPr>
          <w:rFonts w:cs="Arial"/>
          <w:rtl/>
        </w:rPr>
        <w:t xml:space="preserve"> ואם לא השיא ואומדין דעתו שהיה נותן מטלטלי ומקרקעי</w:t>
      </w:r>
      <w:r>
        <w:rPr>
          <w:rFonts w:cs="Arial" w:hint="cs"/>
          <w:rtl/>
        </w:rPr>
        <w:t>,</w:t>
      </w:r>
      <w:r w:rsidRPr="00E04543">
        <w:rPr>
          <w:rFonts w:cs="Arial"/>
          <w:rtl/>
        </w:rPr>
        <w:t xml:space="preserve"> כך יתנו לזאת</w:t>
      </w:r>
      <w:r>
        <w:rPr>
          <w:rFonts w:cs="Arial" w:hint="cs"/>
          <w:rtl/>
        </w:rPr>
        <w:t xml:space="preserve"> </w:t>
      </w:r>
      <w:r>
        <w:rPr>
          <w:rFonts w:cs="Arial" w:hint="cs"/>
          <w:sz w:val="16"/>
          <w:szCs w:val="16"/>
          <w:rtl/>
        </w:rPr>
        <w:t>(ל' הטור)</w:t>
      </w:r>
      <w:r>
        <w:rPr>
          <w:rFonts w:cs="Arial" w:hint="cs"/>
          <w:rtl/>
        </w:rPr>
        <w:t>.</w:t>
      </w:r>
    </w:p>
    <w:p w14:paraId="347A33E7" w14:textId="77777777" w:rsidR="00392DBB" w:rsidRPr="001A165B" w:rsidRDefault="00392DBB" w:rsidP="00392DBB">
      <w:pPr>
        <w:ind w:left="360"/>
        <w:rPr>
          <w:u w:val="dotted"/>
        </w:rPr>
      </w:pPr>
      <w:r>
        <w:rPr>
          <w:rFonts w:hint="cs"/>
          <w:u w:val="dotted"/>
          <w:rtl/>
        </w:rPr>
        <w:t>כשמגבים לה עישור נכסים</w:t>
      </w:r>
      <w:r w:rsidRPr="001A165B">
        <w:rPr>
          <w:rFonts w:hint="cs"/>
          <w:u w:val="dotted"/>
          <w:rtl/>
        </w:rPr>
        <w:t>:</w:t>
      </w:r>
    </w:p>
    <w:p w14:paraId="4F25EA01" w14:textId="77777777" w:rsidR="00392DBB" w:rsidRDefault="00392DBB" w:rsidP="009000E3">
      <w:pPr>
        <w:pStyle w:val="ab"/>
        <w:numPr>
          <w:ilvl w:val="0"/>
          <w:numId w:val="63"/>
        </w:numPr>
      </w:pPr>
      <w:r>
        <w:rPr>
          <w:rFonts w:cs="Arial" w:hint="cs"/>
          <w:rtl/>
        </w:rPr>
        <w:lastRenderedPageBreak/>
        <w:t>רא"ש</w:t>
      </w:r>
      <w:r w:rsidRPr="00FE4D36">
        <w:rPr>
          <w:rFonts w:cs="Arial" w:hint="cs"/>
          <w:sz w:val="16"/>
          <w:szCs w:val="16"/>
          <w:rtl/>
        </w:rPr>
        <w:t xml:space="preserve"> (פ"ו סי</w:t>
      </w:r>
      <w:r>
        <w:rPr>
          <w:rFonts w:cs="Arial" w:hint="cs"/>
          <w:sz w:val="16"/>
          <w:szCs w:val="16"/>
          <w:rtl/>
        </w:rPr>
        <w:t>"</w:t>
      </w:r>
      <w:r w:rsidRPr="00FE4D36">
        <w:rPr>
          <w:rFonts w:cs="Arial" w:hint="cs"/>
          <w:sz w:val="16"/>
          <w:szCs w:val="16"/>
          <w:rtl/>
        </w:rPr>
        <w:t>ט)</w:t>
      </w:r>
      <w:r>
        <w:rPr>
          <w:rFonts w:cs="Arial" w:hint="cs"/>
          <w:rtl/>
        </w:rPr>
        <w:t xml:space="preserve"> טור ור"ן </w:t>
      </w:r>
      <w:r>
        <w:rPr>
          <w:rFonts w:cs="Arial" w:hint="cs"/>
          <w:sz w:val="16"/>
          <w:szCs w:val="16"/>
          <w:rtl/>
        </w:rPr>
        <w:t>(ל: ד"ה אבל פרנסה)</w:t>
      </w:r>
      <w:r>
        <w:rPr>
          <w:rFonts w:cs="Arial" w:hint="cs"/>
          <w:rtl/>
        </w:rPr>
        <w:t xml:space="preserve">- </w:t>
      </w:r>
      <w:r w:rsidRPr="00E04543">
        <w:rPr>
          <w:rFonts w:cs="Arial"/>
          <w:rtl/>
        </w:rPr>
        <w:t xml:space="preserve">אבל כשאין יודעין לשער דעתו ונותנין לה עישור נכסים </w:t>
      </w:r>
      <w:r>
        <w:rPr>
          <w:rFonts w:cs="Arial" w:hint="cs"/>
          <w:rtl/>
        </w:rPr>
        <w:t xml:space="preserve">- </w:t>
      </w:r>
      <w:r w:rsidRPr="00E04543">
        <w:rPr>
          <w:rFonts w:cs="Arial"/>
          <w:rtl/>
        </w:rPr>
        <w:t>אין נותנין לה אלא מקרקעי</w:t>
      </w:r>
      <w:r>
        <w:rPr>
          <w:rFonts w:cs="Arial" w:hint="cs"/>
          <w:rtl/>
        </w:rPr>
        <w:t>. ו</w:t>
      </w:r>
      <w:r w:rsidRPr="00E04543">
        <w:rPr>
          <w:rFonts w:cs="Arial"/>
          <w:rtl/>
        </w:rPr>
        <w:t>דוקא לגבות אינה נגבית אלא מקרקע</w:t>
      </w:r>
      <w:r>
        <w:rPr>
          <w:rFonts w:cs="Arial" w:hint="cs"/>
          <w:rtl/>
        </w:rPr>
        <w:t>,</w:t>
      </w:r>
      <w:r w:rsidRPr="00E04543">
        <w:rPr>
          <w:rFonts w:cs="Arial"/>
          <w:rtl/>
        </w:rPr>
        <w:t xml:space="preserve"> אבל כששמין הנכסים לידע העישור</w:t>
      </w:r>
      <w:r>
        <w:rPr>
          <w:rFonts w:cs="Arial" w:hint="cs"/>
          <w:sz w:val="16"/>
          <w:szCs w:val="16"/>
          <w:rtl/>
        </w:rPr>
        <w:t xml:space="preserve"> </w:t>
      </w:r>
      <w:r>
        <w:rPr>
          <w:rFonts w:cs="Arial" w:hint="cs"/>
          <w:rtl/>
        </w:rPr>
        <w:t xml:space="preserve">- </w:t>
      </w:r>
      <w:r w:rsidRPr="00E04543">
        <w:rPr>
          <w:rFonts w:cs="Arial"/>
          <w:rtl/>
        </w:rPr>
        <w:t>שמין בין מקרקעי בין מטלטלי</w:t>
      </w:r>
      <w:r>
        <w:rPr>
          <w:rFonts w:cs="Arial" w:hint="cs"/>
          <w:rtl/>
        </w:rPr>
        <w:t>,</w:t>
      </w:r>
      <w:r w:rsidRPr="00E04543">
        <w:rPr>
          <w:rFonts w:cs="Arial"/>
          <w:rtl/>
        </w:rPr>
        <w:t xml:space="preserve"> ומגבין לה העישור ממקרקעי</w:t>
      </w:r>
      <w:r>
        <w:rPr>
          <w:rFonts w:cs="Arial" w:hint="cs"/>
          <w:sz w:val="16"/>
          <w:szCs w:val="16"/>
          <w:rtl/>
        </w:rPr>
        <w:t xml:space="preserve"> (ל' הטור)</w:t>
      </w:r>
      <w:r>
        <w:rPr>
          <w:rFonts w:cs="Arial" w:hint="cs"/>
          <w:rtl/>
        </w:rPr>
        <w:t>.</w:t>
      </w:r>
      <w:r w:rsidRPr="00E04543">
        <w:rPr>
          <w:rFonts w:cs="Arial"/>
          <w:rtl/>
        </w:rPr>
        <w:t xml:space="preserve"> </w:t>
      </w:r>
    </w:p>
    <w:p w14:paraId="7C8EF978" w14:textId="5291B2A0" w:rsidR="00392DBB" w:rsidRPr="001A165B" w:rsidRDefault="00392DBB" w:rsidP="009000E3">
      <w:pPr>
        <w:pStyle w:val="ab"/>
        <w:numPr>
          <w:ilvl w:val="0"/>
          <w:numId w:val="63"/>
        </w:numPr>
      </w:pPr>
      <w:r>
        <w:rPr>
          <w:rFonts w:cs="Arial" w:hint="cs"/>
          <w:rtl/>
        </w:rPr>
        <w:t xml:space="preserve">רמב"ם </w:t>
      </w:r>
      <w:r>
        <w:rPr>
          <w:rFonts w:cs="Arial" w:hint="cs"/>
          <w:sz w:val="16"/>
          <w:szCs w:val="16"/>
          <w:rtl/>
        </w:rPr>
        <w:t>(פ"כ ה"ה והי"ב)</w:t>
      </w:r>
      <w:r>
        <w:rPr>
          <w:rFonts w:cs="Arial" w:hint="cs"/>
          <w:rtl/>
        </w:rPr>
        <w:t xml:space="preserve"> </w:t>
      </w:r>
      <w:r w:rsidRPr="00F60F50">
        <w:rPr>
          <w:rFonts w:cs="Arial"/>
          <w:rtl/>
        </w:rPr>
        <w:t>וה</w:t>
      </w:r>
      <w:r>
        <w:rPr>
          <w:rFonts w:cs="Arial" w:hint="cs"/>
          <w:rtl/>
        </w:rPr>
        <w:t xml:space="preserve">ה"מ </w:t>
      </w:r>
      <w:r>
        <w:rPr>
          <w:rFonts w:cs="Arial" w:hint="cs"/>
          <w:sz w:val="16"/>
          <w:szCs w:val="16"/>
          <w:rtl/>
        </w:rPr>
        <w:t>(פ"כ ה"ה)</w:t>
      </w:r>
      <w:r>
        <w:rPr>
          <w:rFonts w:cs="Arial" w:hint="cs"/>
          <w:rtl/>
        </w:rPr>
        <w:t xml:space="preserve">- </w:t>
      </w:r>
      <w:r w:rsidRPr="00DC2768">
        <w:rPr>
          <w:rFonts w:cs="Arial"/>
          <w:rtl/>
        </w:rPr>
        <w:t>אם היו לו מטלטלין וקרקעות</w:t>
      </w:r>
      <w:r w:rsidR="00D267F3">
        <w:rPr>
          <w:rFonts w:cs="Arial" w:hint="cs"/>
          <w:rtl/>
        </w:rPr>
        <w:t>,</w:t>
      </w:r>
      <w:r w:rsidRPr="00DC2768">
        <w:rPr>
          <w:rFonts w:cs="Arial"/>
          <w:rtl/>
        </w:rPr>
        <w:t xml:space="preserve"> אין המטלטלין נחשבים לכלום</w:t>
      </w:r>
      <w:r w:rsidR="00D267F3">
        <w:rPr>
          <w:rFonts w:cs="Arial" w:hint="cs"/>
          <w:rtl/>
        </w:rPr>
        <w:t>,</w:t>
      </w:r>
      <w:r w:rsidRPr="00DC2768">
        <w:rPr>
          <w:rFonts w:cs="Arial"/>
          <w:rtl/>
        </w:rPr>
        <w:t xml:space="preserve"> אלא הקרקעות בלבד</w:t>
      </w:r>
      <w:r w:rsidR="00D267F3">
        <w:rPr>
          <w:rFonts w:cs="Arial" w:hint="cs"/>
          <w:rtl/>
        </w:rPr>
        <w:t>,</w:t>
      </w:r>
      <w:r w:rsidRPr="00DC2768">
        <w:rPr>
          <w:rFonts w:cs="Arial"/>
          <w:rtl/>
        </w:rPr>
        <w:t xml:space="preserve"> ונוטלת העישור של קרקעות בקרקע </w:t>
      </w:r>
      <w:r>
        <w:rPr>
          <w:rFonts w:cs="Arial" w:hint="cs"/>
          <w:sz w:val="16"/>
          <w:szCs w:val="16"/>
          <w:rtl/>
        </w:rPr>
        <w:t>(ל' הה"מ בשם הרמב"ם)</w:t>
      </w:r>
      <w:r w:rsidRPr="00016B45">
        <w:rPr>
          <w:rFonts w:cs="Arial"/>
          <w:rtl/>
        </w:rPr>
        <w:t xml:space="preserve">. </w:t>
      </w:r>
    </w:p>
    <w:p w14:paraId="140575AB" w14:textId="4D4C96A9" w:rsidR="00392DBB" w:rsidRPr="009C31B7" w:rsidRDefault="00392DBB" w:rsidP="00392DBB">
      <w:pPr>
        <w:ind w:left="360"/>
        <w:rPr>
          <w:u w:val="dotted"/>
        </w:rPr>
      </w:pPr>
      <w:r w:rsidRPr="009C31B7">
        <w:rPr>
          <w:rFonts w:hint="cs"/>
          <w:u w:val="dotted"/>
          <w:rtl/>
        </w:rPr>
        <w:t xml:space="preserve">האם לאחר תקנת הגאונים </w:t>
      </w:r>
      <w:r w:rsidRPr="009C31B7">
        <w:rPr>
          <w:rFonts w:hint="cs"/>
          <w:sz w:val="16"/>
          <w:szCs w:val="16"/>
          <w:u w:val="dotted"/>
          <w:rtl/>
        </w:rPr>
        <w:t>(שכתובה נגבית גם ממטלטלים</w:t>
      </w:r>
      <w:r>
        <w:rPr>
          <w:rFonts w:hint="cs"/>
          <w:sz w:val="16"/>
          <w:szCs w:val="16"/>
          <w:u w:val="dotted"/>
          <w:rtl/>
        </w:rPr>
        <w:t>)</w:t>
      </w:r>
      <w:r w:rsidRPr="009C31B7">
        <w:rPr>
          <w:rFonts w:hint="cs"/>
          <w:sz w:val="16"/>
          <w:szCs w:val="16"/>
          <w:u w:val="dotted"/>
          <w:rtl/>
        </w:rPr>
        <w:t xml:space="preserve"> </w:t>
      </w:r>
      <w:r w:rsidR="0003754A">
        <w:rPr>
          <w:rFonts w:hint="cs"/>
          <w:u w:val="dotted"/>
          <w:rtl/>
        </w:rPr>
        <w:t>גובים</w:t>
      </w:r>
      <w:r w:rsidRPr="009C31B7">
        <w:rPr>
          <w:rFonts w:hint="cs"/>
          <w:u w:val="dotted"/>
          <w:rtl/>
        </w:rPr>
        <w:t xml:space="preserve"> </w:t>
      </w:r>
      <w:r>
        <w:rPr>
          <w:rFonts w:hint="cs"/>
          <w:u w:val="dotted"/>
          <w:rtl/>
        </w:rPr>
        <w:t xml:space="preserve">לפרנסת הבת </w:t>
      </w:r>
      <w:r w:rsidRPr="009C31B7">
        <w:rPr>
          <w:rFonts w:hint="cs"/>
          <w:u w:val="dotted"/>
          <w:rtl/>
        </w:rPr>
        <w:t>גם ממטלטלים:</w:t>
      </w:r>
    </w:p>
    <w:p w14:paraId="36759BF1" w14:textId="22792CBF" w:rsidR="00392DBB" w:rsidRDefault="00392DBB" w:rsidP="009000E3">
      <w:pPr>
        <w:pStyle w:val="ab"/>
        <w:numPr>
          <w:ilvl w:val="0"/>
          <w:numId w:val="63"/>
        </w:numPr>
      </w:pPr>
      <w:r>
        <w:rPr>
          <w:rFonts w:cs="Arial" w:hint="cs"/>
          <w:rtl/>
        </w:rPr>
        <w:t xml:space="preserve">ר"ח </w:t>
      </w:r>
      <w:r>
        <w:rPr>
          <w:rFonts w:cs="Arial" w:hint="cs"/>
          <w:sz w:val="16"/>
          <w:szCs w:val="16"/>
          <w:rtl/>
        </w:rPr>
        <w:t xml:space="preserve">(כ"כ בשמו סמ"ג עשין מח) </w:t>
      </w:r>
      <w:r>
        <w:rPr>
          <w:rFonts w:cs="Arial"/>
          <w:rtl/>
        </w:rPr>
        <w:t xml:space="preserve">רי"ף </w:t>
      </w:r>
      <w:r w:rsidRPr="003B2777">
        <w:rPr>
          <w:rFonts w:cs="Arial"/>
          <w:sz w:val="16"/>
          <w:szCs w:val="16"/>
          <w:rtl/>
        </w:rPr>
        <w:t>(ל:</w:t>
      </w:r>
      <w:r w:rsidRPr="003B2777">
        <w:rPr>
          <w:rFonts w:cs="Arial" w:hint="cs"/>
          <w:sz w:val="16"/>
          <w:szCs w:val="16"/>
          <w:rtl/>
        </w:rPr>
        <w:t>)</w:t>
      </w:r>
      <w:r>
        <w:rPr>
          <w:rFonts w:cs="Arial"/>
          <w:rtl/>
        </w:rPr>
        <w:t xml:space="preserve"> </w:t>
      </w:r>
      <w:r>
        <w:rPr>
          <w:rFonts w:cs="Arial" w:hint="cs"/>
          <w:rtl/>
        </w:rPr>
        <w:t xml:space="preserve">רמב"ם </w:t>
      </w:r>
      <w:r>
        <w:rPr>
          <w:rFonts w:cs="Arial" w:hint="cs"/>
          <w:sz w:val="16"/>
          <w:szCs w:val="16"/>
          <w:rtl/>
        </w:rPr>
        <w:t xml:space="preserve"> (פי"ט ה"ה)</w:t>
      </w:r>
      <w:r>
        <w:rPr>
          <w:rFonts w:cs="Arial" w:hint="cs"/>
          <w:rtl/>
        </w:rPr>
        <w:t xml:space="preserve"> רא"ש</w:t>
      </w:r>
      <w:r>
        <w:rPr>
          <w:rStyle w:val="a7"/>
          <w:rFonts w:cs="Arial"/>
          <w:rtl/>
        </w:rPr>
        <w:footnoteReference w:id="2666"/>
      </w:r>
      <w:r>
        <w:rPr>
          <w:rFonts w:cs="Arial" w:hint="cs"/>
          <w:rtl/>
        </w:rPr>
        <w:t xml:space="preserve"> </w:t>
      </w:r>
      <w:r>
        <w:rPr>
          <w:rFonts w:cs="Arial" w:hint="cs"/>
          <w:sz w:val="16"/>
          <w:szCs w:val="16"/>
          <w:rtl/>
        </w:rPr>
        <w:t>(פ"ו סי' יט)</w:t>
      </w:r>
      <w:r>
        <w:rPr>
          <w:rFonts w:cs="Arial" w:hint="cs"/>
          <w:rtl/>
        </w:rPr>
        <w:t xml:space="preserve"> וטור- </w:t>
      </w:r>
      <w:r w:rsidRPr="00AC3B3E">
        <w:rPr>
          <w:rFonts w:cs="Arial"/>
          <w:rtl/>
        </w:rPr>
        <w:t>עישור זה שהוא לפרנסה אינו מתנאי כתובה לפיכך אפילו לתקנת אחרונים</w:t>
      </w:r>
      <w:r>
        <w:rPr>
          <w:rFonts w:cs="Arial" w:hint="cs"/>
          <w:rtl/>
        </w:rPr>
        <w:t xml:space="preserve"> -</w:t>
      </w:r>
      <w:r w:rsidRPr="00AC3B3E">
        <w:rPr>
          <w:rFonts w:cs="Arial"/>
          <w:rtl/>
        </w:rPr>
        <w:t xml:space="preserve"> אינו ניטל אלא מן הקרקע</w:t>
      </w:r>
      <w:r>
        <w:rPr>
          <w:rFonts w:cs="Arial" w:hint="cs"/>
          <w:sz w:val="16"/>
          <w:szCs w:val="16"/>
          <w:rtl/>
        </w:rPr>
        <w:t xml:space="preserve"> (ל' הרמב"ם)</w:t>
      </w:r>
      <w:r>
        <w:rPr>
          <w:rFonts w:cs="Arial" w:hint="cs"/>
          <w:rtl/>
        </w:rPr>
        <w:t>.</w:t>
      </w:r>
      <w:r w:rsidRPr="00D67C33">
        <w:rPr>
          <w:rFonts w:hint="cs"/>
          <w:color w:val="E36C0A" w:themeColor="accent6" w:themeShade="BF"/>
          <w:rtl/>
        </w:rPr>
        <w:t xml:space="preserve"> (וכ"פ בשו"ע)</w:t>
      </w:r>
    </w:p>
    <w:p w14:paraId="58EC2CC3" w14:textId="77777777" w:rsidR="00392DBB" w:rsidRPr="00477A54" w:rsidRDefault="00392DBB" w:rsidP="00477A54">
      <w:pPr>
        <w:ind w:left="720"/>
        <w:rPr>
          <w:u w:val="wave"/>
        </w:rPr>
      </w:pPr>
      <w:r w:rsidRPr="00477A54">
        <w:rPr>
          <w:rFonts w:hint="cs"/>
          <w:u w:val="wave"/>
          <w:rtl/>
        </w:rPr>
        <w:t>ומה הדין במקום שכולם רגילים לתת פרנסה ממטלטלי:</w:t>
      </w:r>
    </w:p>
    <w:p w14:paraId="777E283A" w14:textId="1DB650E3" w:rsidR="00392DBB" w:rsidRDefault="00F050DB" w:rsidP="009000E3">
      <w:pPr>
        <w:pStyle w:val="ab"/>
        <w:numPr>
          <w:ilvl w:val="0"/>
          <w:numId w:val="63"/>
        </w:numPr>
      </w:pPr>
      <w:r>
        <w:rPr>
          <w:rFonts w:cs="Arial" w:hint="cs"/>
          <w:rtl/>
        </w:rPr>
        <w:t xml:space="preserve">תוס' </w:t>
      </w:r>
      <w:r>
        <w:rPr>
          <w:rFonts w:cs="Arial" w:hint="cs"/>
          <w:sz w:val="16"/>
          <w:szCs w:val="16"/>
          <w:rtl/>
        </w:rPr>
        <w:t xml:space="preserve">(נא. ד"ה ממקרקעי, </w:t>
      </w:r>
      <w:r>
        <w:rPr>
          <w:rFonts w:cs="Arial" w:hint="cs"/>
          <w:sz w:val="16"/>
          <w:szCs w:val="16"/>
          <w:rtl/>
        </w:rPr>
        <w:t xml:space="preserve">וכן בדף </w:t>
      </w:r>
      <w:r>
        <w:rPr>
          <w:rFonts w:cs="Arial" w:hint="cs"/>
          <w:sz w:val="16"/>
          <w:szCs w:val="16"/>
          <w:rtl/>
        </w:rPr>
        <w:t>סט: ד"ה אמר רבא)</w:t>
      </w:r>
      <w:r>
        <w:rPr>
          <w:rFonts w:cs="Arial" w:hint="cs"/>
          <w:rtl/>
        </w:rPr>
        <w:t xml:space="preserve"> וסמ"ג</w:t>
      </w:r>
      <w:r w:rsidR="00477A54">
        <w:rPr>
          <w:rStyle w:val="a7"/>
          <w:rFonts w:cs="Arial"/>
          <w:rtl/>
        </w:rPr>
        <w:footnoteReference w:id="2667"/>
      </w:r>
      <w:r>
        <w:rPr>
          <w:rFonts w:cs="Arial" w:hint="cs"/>
          <w:rtl/>
        </w:rPr>
        <w:t xml:space="preserve"> </w:t>
      </w:r>
      <w:r>
        <w:rPr>
          <w:rFonts w:cs="Arial" w:hint="cs"/>
          <w:sz w:val="16"/>
          <w:szCs w:val="16"/>
          <w:rtl/>
        </w:rPr>
        <w:t>(עשין מח, הטור הביא חלק מדבריו)</w:t>
      </w:r>
      <w:r>
        <w:rPr>
          <w:rFonts w:cs="Arial" w:hint="cs"/>
          <w:rtl/>
        </w:rPr>
        <w:t>-</w:t>
      </w:r>
      <w:r w:rsidR="00392DBB">
        <w:rPr>
          <w:rFonts w:cs="Arial" w:hint="cs"/>
          <w:rtl/>
        </w:rPr>
        <w:t xml:space="preserve"> </w:t>
      </w:r>
      <w:r w:rsidR="00392DBB">
        <w:rPr>
          <w:rFonts w:cs="Arial"/>
          <w:rtl/>
        </w:rPr>
        <w:t>נראה דבזמן הזה דכולהו גבי ממטלטלי כתובה ומזונות מתקנת הגאונים</w:t>
      </w:r>
      <w:r w:rsidR="00392DBB">
        <w:rPr>
          <w:rFonts w:cs="Arial" w:hint="cs"/>
          <w:rtl/>
        </w:rPr>
        <w:t>,</w:t>
      </w:r>
      <w:r w:rsidR="00392DBB">
        <w:rPr>
          <w:rFonts w:cs="Arial"/>
          <w:rtl/>
        </w:rPr>
        <w:t xml:space="preserve"> ופרנסה נמי אנן סהדי שכל בני אדם רגילין להשיא בנותיהן ממטלטלי וחשיב כמו באמידניה דפסק רבא כר' יהודה</w:t>
      </w:r>
      <w:r w:rsidR="00477A54">
        <w:rPr>
          <w:rStyle w:val="a7"/>
          <w:rFonts w:cs="Arial"/>
          <w:rtl/>
        </w:rPr>
        <w:footnoteReference w:id="2668"/>
      </w:r>
      <w:r w:rsidR="00392DBB">
        <w:rPr>
          <w:rFonts w:cs="Arial" w:hint="cs"/>
          <w:sz w:val="16"/>
          <w:szCs w:val="16"/>
          <w:rtl/>
        </w:rPr>
        <w:t xml:space="preserve"> (ל' התוס')</w:t>
      </w:r>
      <w:r w:rsidR="00392DBB">
        <w:rPr>
          <w:rFonts w:cs="Arial" w:hint="cs"/>
          <w:rtl/>
        </w:rPr>
        <w:t>.</w:t>
      </w:r>
      <w:r w:rsidR="00392DBB" w:rsidRPr="008449F3">
        <w:rPr>
          <w:rFonts w:hint="cs"/>
          <w:color w:val="E36C0A" w:themeColor="accent6" w:themeShade="BF"/>
          <w:rtl/>
        </w:rPr>
        <w:t xml:space="preserve"> </w:t>
      </w:r>
      <w:r w:rsidR="00392DBB" w:rsidRPr="00D67C33">
        <w:rPr>
          <w:rFonts w:hint="cs"/>
          <w:color w:val="E36C0A" w:themeColor="accent6" w:themeShade="BF"/>
          <w:rtl/>
        </w:rPr>
        <w:t>(וכ"פ בשו"ע</w:t>
      </w:r>
      <w:r w:rsidR="00392DBB">
        <w:rPr>
          <w:rFonts w:hint="cs"/>
          <w:color w:val="E36C0A" w:themeColor="accent6" w:themeShade="BF"/>
          <w:sz w:val="16"/>
          <w:szCs w:val="16"/>
          <w:rtl/>
        </w:rPr>
        <w:t xml:space="preserve"> </w:t>
      </w:r>
      <w:r w:rsidR="00392DBB" w:rsidRPr="008449F3">
        <w:rPr>
          <w:rFonts w:hint="cs"/>
          <w:color w:val="000000" w:themeColor="text1"/>
          <w:sz w:val="16"/>
          <w:szCs w:val="16"/>
          <w:rtl/>
        </w:rPr>
        <w:t>[</w:t>
      </w:r>
      <w:r w:rsidR="00392DBB">
        <w:rPr>
          <w:rFonts w:hint="cs"/>
          <w:color w:val="000000" w:themeColor="text1"/>
          <w:sz w:val="16"/>
          <w:szCs w:val="16"/>
          <w:rtl/>
        </w:rPr>
        <w:t>ב</w:t>
      </w:r>
      <w:r w:rsidR="00392DBB" w:rsidRPr="008449F3">
        <w:rPr>
          <w:rFonts w:hint="cs"/>
          <w:color w:val="000000" w:themeColor="text1"/>
          <w:sz w:val="16"/>
          <w:szCs w:val="16"/>
          <w:rtl/>
        </w:rPr>
        <w:t>סע' ג]</w:t>
      </w:r>
      <w:r w:rsidR="00392DBB" w:rsidRPr="00D67C33">
        <w:rPr>
          <w:rFonts w:hint="cs"/>
          <w:color w:val="E36C0A" w:themeColor="accent6" w:themeShade="BF"/>
          <w:rtl/>
        </w:rPr>
        <w:t>)</w:t>
      </w:r>
    </w:p>
    <w:p w14:paraId="3DDA2EC8" w14:textId="1F6C0D2C" w:rsidR="00392DBB" w:rsidRPr="00FB514A" w:rsidRDefault="00392DBB" w:rsidP="00392DBB">
      <w:pPr>
        <w:ind w:left="360"/>
        <w:rPr>
          <w:u w:val="dotted"/>
        </w:rPr>
      </w:pPr>
      <w:r w:rsidRPr="00FB514A">
        <w:rPr>
          <w:rFonts w:cs="Arial"/>
          <w:u w:val="dotted"/>
          <w:rtl/>
        </w:rPr>
        <w:t>כשנותנין לפי אומד דעת</w:t>
      </w:r>
      <w:r>
        <w:rPr>
          <w:rFonts w:cs="Arial" w:hint="cs"/>
          <w:u w:val="dotted"/>
          <w:rtl/>
        </w:rPr>
        <w:t xml:space="preserve"> האב</w:t>
      </w:r>
      <w:r w:rsidRPr="00FB514A">
        <w:rPr>
          <w:rFonts w:cs="Arial" w:hint="cs"/>
          <w:u w:val="dotted"/>
          <w:rtl/>
        </w:rPr>
        <w:t>, ומשערים שהיה נותן יותר מעישור</w:t>
      </w:r>
      <w:r>
        <w:rPr>
          <w:rFonts w:cs="Arial" w:hint="cs"/>
          <w:u w:val="dotted"/>
          <w:rtl/>
        </w:rPr>
        <w:t xml:space="preserve"> נכסי</w:t>
      </w:r>
      <w:r w:rsidRPr="00FB514A">
        <w:rPr>
          <w:rFonts w:cs="Arial"/>
          <w:u w:val="dotted"/>
          <w:rtl/>
        </w:rPr>
        <w:t xml:space="preserve"> </w:t>
      </w:r>
      <w:r w:rsidR="00F97626">
        <w:rPr>
          <w:rFonts w:cs="Arial"/>
          <w:u w:val="dotted"/>
          <w:rtl/>
        </w:rPr>
        <w:t>-</w:t>
      </w:r>
      <w:r w:rsidRPr="00FB514A">
        <w:rPr>
          <w:rFonts w:cs="Arial" w:hint="cs"/>
          <w:u w:val="dotted"/>
          <w:rtl/>
        </w:rPr>
        <w:t xml:space="preserve"> האם </w:t>
      </w:r>
      <w:r w:rsidRPr="00FB514A">
        <w:rPr>
          <w:rFonts w:cs="Arial"/>
          <w:u w:val="dotted"/>
          <w:rtl/>
        </w:rPr>
        <w:t>נותני</w:t>
      </w:r>
      <w:r w:rsidRPr="00FB514A">
        <w:rPr>
          <w:rFonts w:cs="Arial" w:hint="cs"/>
          <w:u w:val="dotted"/>
          <w:rtl/>
        </w:rPr>
        <w:t>ם לה כך:</w:t>
      </w:r>
    </w:p>
    <w:p w14:paraId="76419647" w14:textId="77777777" w:rsidR="00392DBB" w:rsidRPr="00FB514A" w:rsidRDefault="00392DBB" w:rsidP="009000E3">
      <w:pPr>
        <w:pStyle w:val="ab"/>
        <w:numPr>
          <w:ilvl w:val="0"/>
          <w:numId w:val="63"/>
        </w:numPr>
      </w:pPr>
      <w:r w:rsidRPr="00E04543">
        <w:rPr>
          <w:rFonts w:cs="Arial"/>
          <w:rtl/>
        </w:rPr>
        <w:t>יש</w:t>
      </w:r>
      <w:r>
        <w:rPr>
          <w:rFonts w:cs="Arial" w:hint="cs"/>
          <w:rtl/>
        </w:rPr>
        <w:t xml:space="preserve"> מה</w:t>
      </w:r>
      <w:r w:rsidRPr="00E04543">
        <w:rPr>
          <w:rFonts w:cs="Arial"/>
          <w:rtl/>
        </w:rPr>
        <w:t>גאונים</w:t>
      </w:r>
      <w:r w:rsidRPr="00676BC0">
        <w:rPr>
          <w:rFonts w:cs="Arial"/>
          <w:rtl/>
        </w:rPr>
        <w:t xml:space="preserve"> </w:t>
      </w:r>
      <w:r w:rsidRPr="00A37DE1">
        <w:rPr>
          <w:rFonts w:cs="Arial"/>
          <w:rtl/>
        </w:rPr>
        <w:t>רש"י ראב"ד רמב"ם</w:t>
      </w:r>
      <w:r>
        <w:rPr>
          <w:rFonts w:cs="Arial" w:hint="cs"/>
          <w:sz w:val="16"/>
          <w:szCs w:val="16"/>
          <w:rtl/>
        </w:rPr>
        <w:t xml:space="preserve"> </w:t>
      </w:r>
      <w:r>
        <w:rPr>
          <w:rFonts w:cs="Arial" w:hint="cs"/>
          <w:rtl/>
        </w:rPr>
        <w:t>והה"מ</w:t>
      </w:r>
      <w:r>
        <w:rPr>
          <w:rStyle w:val="a7"/>
          <w:rFonts w:cs="Arial"/>
          <w:rtl/>
        </w:rPr>
        <w:footnoteReference w:id="2669"/>
      </w:r>
      <w:r>
        <w:rPr>
          <w:rFonts w:cs="Arial" w:hint="cs"/>
          <w:rtl/>
        </w:rPr>
        <w:t>-</w:t>
      </w:r>
      <w:r w:rsidRPr="00E04543">
        <w:rPr>
          <w:rFonts w:cs="Arial"/>
          <w:rtl/>
        </w:rPr>
        <w:t xml:space="preserve"> כשנותנין לפי אומד דעתו נותנין לה כפי מה שישערו שהיה נותן בין להוסיף על עישור נכסים בין לגרוע ממנו</w:t>
      </w:r>
      <w:r>
        <w:rPr>
          <w:rFonts w:cs="Arial" w:hint="cs"/>
          <w:sz w:val="16"/>
          <w:szCs w:val="16"/>
          <w:rtl/>
        </w:rPr>
        <w:t xml:space="preserve"> (ל' הטור בשמם)</w:t>
      </w:r>
      <w:r>
        <w:rPr>
          <w:rFonts w:cs="Arial" w:hint="cs"/>
          <w:rtl/>
        </w:rPr>
        <w:t>.</w:t>
      </w:r>
    </w:p>
    <w:p w14:paraId="4D2F2A03" w14:textId="77777777" w:rsidR="00392DBB" w:rsidRPr="00676BC0" w:rsidRDefault="00392DBB" w:rsidP="009000E3">
      <w:pPr>
        <w:pStyle w:val="ab"/>
        <w:numPr>
          <w:ilvl w:val="0"/>
          <w:numId w:val="63"/>
        </w:numPr>
      </w:pPr>
      <w:r>
        <w:rPr>
          <w:rFonts w:cs="Arial" w:hint="cs"/>
          <w:rtl/>
        </w:rPr>
        <w:t xml:space="preserve">מרדכי </w:t>
      </w:r>
      <w:r>
        <w:rPr>
          <w:rFonts w:cs="Arial" w:hint="cs"/>
          <w:sz w:val="16"/>
          <w:szCs w:val="16"/>
          <w:rtl/>
        </w:rPr>
        <w:t>(סי' קצ)</w:t>
      </w:r>
      <w:r>
        <w:rPr>
          <w:rFonts w:cs="Arial" w:hint="cs"/>
          <w:rtl/>
        </w:rPr>
        <w:t xml:space="preserve"> רא"ש </w:t>
      </w:r>
      <w:r>
        <w:rPr>
          <w:rFonts w:cs="Arial" w:hint="cs"/>
          <w:sz w:val="16"/>
          <w:szCs w:val="16"/>
          <w:rtl/>
        </w:rPr>
        <w:t>(פ"ו סי' יט)</w:t>
      </w:r>
      <w:r>
        <w:rPr>
          <w:rFonts w:cs="Arial" w:hint="cs"/>
          <w:rtl/>
        </w:rPr>
        <w:t xml:space="preserve"> ר"ן </w:t>
      </w:r>
      <w:r>
        <w:rPr>
          <w:rFonts w:cs="Arial" w:hint="cs"/>
          <w:sz w:val="16"/>
          <w:szCs w:val="16"/>
          <w:rtl/>
        </w:rPr>
        <w:t>(ל.)</w:t>
      </w:r>
      <w:r>
        <w:rPr>
          <w:rFonts w:cs="Arial" w:hint="cs"/>
          <w:rtl/>
        </w:rPr>
        <w:t xml:space="preserve"> ומהרי"ק</w:t>
      </w:r>
      <w:r>
        <w:rPr>
          <w:rStyle w:val="a7"/>
          <w:rFonts w:cs="Arial"/>
          <w:rtl/>
        </w:rPr>
        <w:footnoteReference w:id="2670"/>
      </w:r>
      <w:r w:rsidRPr="000A007C">
        <w:rPr>
          <w:rFonts w:cs="Arial" w:hint="cs"/>
          <w:sz w:val="16"/>
          <w:szCs w:val="16"/>
          <w:rtl/>
        </w:rPr>
        <w:t xml:space="preserve"> (שורש עח)</w:t>
      </w:r>
      <w:r>
        <w:rPr>
          <w:rFonts w:cs="Arial" w:hint="cs"/>
          <w:rtl/>
        </w:rPr>
        <w:t xml:space="preserve">- </w:t>
      </w:r>
      <w:r w:rsidRPr="00E04543">
        <w:rPr>
          <w:rFonts w:cs="Arial"/>
          <w:rtl/>
        </w:rPr>
        <w:t>אין הולכים אחר אומד דעתו אלא לגרוע מהעישור אבל לא להוסיף עליו</w:t>
      </w:r>
      <w:r>
        <w:rPr>
          <w:rStyle w:val="a7"/>
          <w:rFonts w:cs="Arial"/>
          <w:rtl/>
        </w:rPr>
        <w:footnoteReference w:id="2671"/>
      </w:r>
      <w:r>
        <w:rPr>
          <w:rFonts w:cs="Arial" w:hint="cs"/>
          <w:rtl/>
        </w:rPr>
        <w:t>.</w:t>
      </w:r>
      <w:r w:rsidRPr="00E04543">
        <w:rPr>
          <w:rFonts w:cs="Arial"/>
          <w:rtl/>
        </w:rPr>
        <w:t xml:space="preserve"> </w:t>
      </w:r>
    </w:p>
    <w:p w14:paraId="256B979F" w14:textId="77777777" w:rsidR="00392DBB" w:rsidRPr="00FE4D36" w:rsidRDefault="00392DBB" w:rsidP="00392DBB">
      <w:pPr>
        <w:rPr>
          <w:u w:val="single"/>
        </w:rPr>
      </w:pPr>
      <w:r w:rsidRPr="00FE4D36">
        <w:rPr>
          <w:rFonts w:hint="cs"/>
          <w:u w:val="single"/>
          <w:rtl/>
        </w:rPr>
        <w:t>דברים שנחשבים כמקרקעי אע"ג דאינם קרקע ממש:</w:t>
      </w:r>
    </w:p>
    <w:p w14:paraId="2BA48322" w14:textId="77777777" w:rsidR="00392DBB" w:rsidRPr="00A37F47" w:rsidRDefault="00392DBB" w:rsidP="00392DBB">
      <w:pPr>
        <w:ind w:left="360"/>
        <w:rPr>
          <w:u w:val="dotted"/>
        </w:rPr>
      </w:pPr>
      <w:r w:rsidRPr="00A37F47">
        <w:rPr>
          <w:rFonts w:hint="cs"/>
          <w:u w:val="dotted"/>
          <w:rtl/>
        </w:rPr>
        <w:t>דברים המחוברים לקרקע:</w:t>
      </w:r>
    </w:p>
    <w:p w14:paraId="6147770E" w14:textId="77777777" w:rsidR="00392DBB" w:rsidRPr="00A37F47" w:rsidRDefault="00392DBB" w:rsidP="009000E3">
      <w:pPr>
        <w:pStyle w:val="ab"/>
        <w:numPr>
          <w:ilvl w:val="0"/>
          <w:numId w:val="63"/>
        </w:numPr>
      </w:pPr>
      <w:r>
        <w:rPr>
          <w:rFonts w:cs="Arial" w:hint="cs"/>
          <w:rtl/>
        </w:rPr>
        <w:t xml:space="preserve">טור- </w:t>
      </w:r>
      <w:r w:rsidRPr="00E04543">
        <w:rPr>
          <w:rFonts w:cs="Arial"/>
          <w:rtl/>
        </w:rPr>
        <w:t>אצטרובלי חשוב מקרקעי לגבות ממנו</w:t>
      </w:r>
      <w:r>
        <w:rPr>
          <w:rFonts w:cs="Arial" w:hint="cs"/>
          <w:rtl/>
        </w:rPr>
        <w:t>.</w:t>
      </w:r>
      <w:r w:rsidRPr="00E04543">
        <w:rPr>
          <w:rFonts w:cs="Arial"/>
          <w:rtl/>
        </w:rPr>
        <w:t xml:space="preserve"> </w:t>
      </w:r>
    </w:p>
    <w:p w14:paraId="0DAF4DC6" w14:textId="77777777" w:rsidR="00392DBB" w:rsidRPr="00A37F47" w:rsidRDefault="00392DBB" w:rsidP="00392DBB">
      <w:pPr>
        <w:ind w:left="360"/>
        <w:rPr>
          <w:u w:val="dotted"/>
        </w:rPr>
      </w:pPr>
      <w:r>
        <w:rPr>
          <w:rFonts w:hint="cs"/>
          <w:u w:val="dotted"/>
          <w:rtl/>
        </w:rPr>
        <w:t xml:space="preserve">דמי </w:t>
      </w:r>
      <w:r w:rsidRPr="00A37F47">
        <w:rPr>
          <w:rFonts w:hint="cs"/>
          <w:u w:val="dotted"/>
          <w:rtl/>
        </w:rPr>
        <w:t>שכירות של קרקע:</w:t>
      </w:r>
    </w:p>
    <w:p w14:paraId="194757CF" w14:textId="77777777" w:rsidR="00392DBB" w:rsidRPr="00F4644D" w:rsidRDefault="00392DBB" w:rsidP="009000E3">
      <w:pPr>
        <w:pStyle w:val="ab"/>
        <w:numPr>
          <w:ilvl w:val="0"/>
          <w:numId w:val="63"/>
        </w:numPr>
      </w:pPr>
      <w:r>
        <w:rPr>
          <w:rFonts w:cs="Arial" w:hint="cs"/>
          <w:rtl/>
        </w:rPr>
        <w:t xml:space="preserve">רמב"ם </w:t>
      </w:r>
      <w:r>
        <w:rPr>
          <w:rFonts w:cs="Arial" w:hint="cs"/>
          <w:sz w:val="16"/>
          <w:szCs w:val="16"/>
          <w:rtl/>
        </w:rPr>
        <w:t xml:space="preserve"> (פי"ט ה"ה)</w:t>
      </w:r>
      <w:r>
        <w:rPr>
          <w:rFonts w:cs="Arial" w:hint="cs"/>
          <w:rtl/>
        </w:rPr>
        <w:t xml:space="preserve"> וטור- </w:t>
      </w:r>
      <w:r w:rsidRPr="00F4644D">
        <w:rPr>
          <w:rFonts w:cs="Arial"/>
          <w:rtl/>
        </w:rPr>
        <w:t>ויש לה לגבות עישור זה משכירות הקרקע</w:t>
      </w:r>
      <w:r>
        <w:rPr>
          <w:rFonts w:cs="Arial" w:hint="cs"/>
          <w:sz w:val="16"/>
          <w:szCs w:val="16"/>
          <w:rtl/>
        </w:rPr>
        <w:t xml:space="preserve"> (ל' הרמב"ם)</w:t>
      </w:r>
      <w:r>
        <w:rPr>
          <w:rFonts w:cs="Arial" w:hint="cs"/>
          <w:rtl/>
        </w:rPr>
        <w:t>.</w:t>
      </w:r>
      <w:r w:rsidRPr="00E04543">
        <w:rPr>
          <w:rFonts w:cs="Arial"/>
          <w:rtl/>
        </w:rPr>
        <w:t xml:space="preserve"> </w:t>
      </w:r>
      <w:r w:rsidRPr="00D67C33">
        <w:rPr>
          <w:rFonts w:hint="cs"/>
          <w:color w:val="E36C0A" w:themeColor="accent6" w:themeShade="BF"/>
          <w:rtl/>
        </w:rPr>
        <w:t>(וכ"פ בשו"ע)</w:t>
      </w:r>
    </w:p>
    <w:p w14:paraId="6100607C" w14:textId="77777777" w:rsidR="00392DBB" w:rsidRPr="00F4644D" w:rsidRDefault="00392DBB" w:rsidP="00392DBB">
      <w:pPr>
        <w:ind w:left="720"/>
      </w:pPr>
      <w:r w:rsidRPr="00F4644D">
        <w:rPr>
          <w:rFonts w:hint="cs"/>
          <w:u w:val="wave"/>
          <w:rtl/>
        </w:rPr>
        <w:t>ומה הדין בשכירות קרקע שעדיין לא הגיע זמנה להיגבות</w:t>
      </w:r>
      <w:r>
        <w:rPr>
          <w:rFonts w:hint="cs"/>
          <w:rtl/>
        </w:rPr>
        <w:t>:</w:t>
      </w:r>
    </w:p>
    <w:p w14:paraId="66826F67" w14:textId="77777777" w:rsidR="00392DBB" w:rsidRDefault="00392DBB" w:rsidP="009000E3">
      <w:pPr>
        <w:pStyle w:val="ab"/>
        <w:numPr>
          <w:ilvl w:val="0"/>
          <w:numId w:val="63"/>
        </w:numPr>
      </w:pPr>
      <w:r>
        <w:rPr>
          <w:rFonts w:cs="Arial"/>
          <w:rtl/>
        </w:rPr>
        <w:t>תוס</w:t>
      </w:r>
      <w:r>
        <w:rPr>
          <w:rFonts w:cs="Arial" w:hint="cs"/>
          <w:rtl/>
        </w:rPr>
        <w:t>'</w:t>
      </w:r>
      <w:r>
        <w:rPr>
          <w:rFonts w:cs="Arial"/>
          <w:rtl/>
        </w:rPr>
        <w:t xml:space="preserve"> </w:t>
      </w:r>
      <w:r w:rsidRPr="00D67C33">
        <w:rPr>
          <w:rFonts w:cs="Arial"/>
          <w:sz w:val="16"/>
          <w:szCs w:val="16"/>
          <w:rtl/>
        </w:rPr>
        <w:t xml:space="preserve">(ד"ה מעמלא) </w:t>
      </w:r>
      <w:r>
        <w:rPr>
          <w:rFonts w:cs="Arial"/>
          <w:rtl/>
        </w:rPr>
        <w:t xml:space="preserve">רשב"א </w:t>
      </w:r>
      <w:r w:rsidRPr="00D67C33">
        <w:rPr>
          <w:rFonts w:cs="Arial"/>
          <w:sz w:val="16"/>
          <w:szCs w:val="16"/>
          <w:rtl/>
        </w:rPr>
        <w:t>(סט. ד"ה הא</w:t>
      </w:r>
      <w:r w:rsidRPr="00D67C33">
        <w:rPr>
          <w:rFonts w:cs="Arial" w:hint="cs"/>
          <w:sz w:val="16"/>
          <w:szCs w:val="16"/>
          <w:rtl/>
        </w:rPr>
        <w:t>, כ"כ בשמו הה"מ [פ"</w:t>
      </w:r>
      <w:r>
        <w:rPr>
          <w:rFonts w:cs="Arial" w:hint="cs"/>
          <w:sz w:val="16"/>
          <w:szCs w:val="16"/>
          <w:rtl/>
        </w:rPr>
        <w:t>כ</w:t>
      </w:r>
      <w:r w:rsidRPr="00D67C33">
        <w:rPr>
          <w:rFonts w:cs="Arial" w:hint="cs"/>
          <w:sz w:val="16"/>
          <w:szCs w:val="16"/>
          <w:rtl/>
        </w:rPr>
        <w:t>]</w:t>
      </w:r>
      <w:r w:rsidRPr="00D67C33">
        <w:rPr>
          <w:rFonts w:cs="Arial"/>
          <w:sz w:val="16"/>
          <w:szCs w:val="16"/>
          <w:rtl/>
        </w:rPr>
        <w:t xml:space="preserve">) </w:t>
      </w:r>
      <w:r>
        <w:rPr>
          <w:rFonts w:cs="Arial"/>
          <w:rtl/>
        </w:rPr>
        <w:t xml:space="preserve">רא"ש </w:t>
      </w:r>
      <w:r w:rsidRPr="00D67C33">
        <w:rPr>
          <w:rFonts w:cs="Arial"/>
          <w:sz w:val="16"/>
          <w:szCs w:val="16"/>
          <w:rtl/>
        </w:rPr>
        <w:t>(סי' יט)</w:t>
      </w:r>
      <w:r w:rsidRPr="00D67C33">
        <w:rPr>
          <w:rFonts w:cs="Arial" w:hint="cs"/>
          <w:sz w:val="16"/>
          <w:szCs w:val="16"/>
          <w:rtl/>
        </w:rPr>
        <w:t xml:space="preserve"> </w:t>
      </w:r>
      <w:r>
        <w:rPr>
          <w:rFonts w:cs="Arial" w:hint="cs"/>
          <w:rtl/>
        </w:rPr>
        <w:t>טור ו</w:t>
      </w:r>
      <w:r>
        <w:rPr>
          <w:rFonts w:cs="Arial"/>
          <w:rtl/>
        </w:rPr>
        <w:t xml:space="preserve">ר"ן </w:t>
      </w:r>
      <w:r w:rsidRPr="00D67C33">
        <w:rPr>
          <w:rFonts w:cs="Arial"/>
          <w:sz w:val="16"/>
          <w:szCs w:val="16"/>
          <w:rtl/>
        </w:rPr>
        <w:t>(לא. דיבור ראשון)</w:t>
      </w:r>
      <w:r>
        <w:rPr>
          <w:rFonts w:cs="Arial" w:hint="cs"/>
          <w:rtl/>
        </w:rPr>
        <w:t xml:space="preserve">- </w:t>
      </w:r>
      <w:r w:rsidRPr="00E04543">
        <w:rPr>
          <w:rFonts w:cs="Arial"/>
          <w:rtl/>
        </w:rPr>
        <w:t>ואפי' מה שעבר</w:t>
      </w:r>
      <w:r>
        <w:rPr>
          <w:rFonts w:cs="Arial" w:hint="cs"/>
          <w:rtl/>
        </w:rPr>
        <w:t>,</w:t>
      </w:r>
      <w:r w:rsidRPr="00E04543">
        <w:rPr>
          <w:rFonts w:cs="Arial"/>
          <w:rtl/>
        </w:rPr>
        <w:t xml:space="preserve"> כגון אם השכיר בית לשנה</w:t>
      </w:r>
      <w:r>
        <w:rPr>
          <w:rFonts w:cs="Arial" w:hint="cs"/>
          <w:rtl/>
        </w:rPr>
        <w:t>,</w:t>
      </w:r>
      <w:r w:rsidRPr="00E04543">
        <w:rPr>
          <w:rFonts w:cs="Arial"/>
          <w:rtl/>
        </w:rPr>
        <w:t xml:space="preserve"> ודר בו </w:t>
      </w:r>
      <w:r>
        <w:rPr>
          <w:rStyle w:val="a7"/>
          <w:rFonts w:cs="Arial"/>
          <w:rtl/>
        </w:rPr>
        <w:footnoteReference w:id="2672"/>
      </w:r>
      <w:r w:rsidRPr="00E04543">
        <w:rPr>
          <w:rFonts w:cs="Arial"/>
          <w:rtl/>
        </w:rPr>
        <w:t>ה</w:t>
      </w:r>
      <w:r>
        <w:rPr>
          <w:rFonts w:cs="Arial" w:hint="cs"/>
          <w:rtl/>
        </w:rPr>
        <w:t>מ</w:t>
      </w:r>
      <w:r w:rsidRPr="00E04543">
        <w:rPr>
          <w:rFonts w:cs="Arial"/>
          <w:rtl/>
        </w:rPr>
        <w:t>וכר חצי שנה</w:t>
      </w:r>
      <w:r>
        <w:rPr>
          <w:rFonts w:cs="Arial" w:hint="cs"/>
          <w:rtl/>
        </w:rPr>
        <w:t>,</w:t>
      </w:r>
      <w:r w:rsidRPr="00E04543">
        <w:rPr>
          <w:rFonts w:cs="Arial"/>
          <w:rtl/>
        </w:rPr>
        <w:t xml:space="preserve"> מנכין אותה</w:t>
      </w:r>
      <w:r>
        <w:rPr>
          <w:rFonts w:cs="Arial" w:hint="cs"/>
          <w:rtl/>
        </w:rPr>
        <w:t>.</w:t>
      </w:r>
      <w:r w:rsidRPr="00E04543">
        <w:rPr>
          <w:rFonts w:cs="Arial"/>
          <w:rtl/>
        </w:rPr>
        <w:t xml:space="preserve"> אפי' מחצי השנה שעברה</w:t>
      </w:r>
      <w:r>
        <w:rPr>
          <w:rFonts w:cs="Arial" w:hint="cs"/>
          <w:rtl/>
        </w:rPr>
        <w:t>,</w:t>
      </w:r>
      <w:r w:rsidRPr="00E04543">
        <w:rPr>
          <w:rFonts w:cs="Arial"/>
          <w:rtl/>
        </w:rPr>
        <w:t xml:space="preserve"> ואפי' על השכירות </w:t>
      </w:r>
      <w:r w:rsidRPr="00E04543">
        <w:rPr>
          <w:rFonts w:cs="Arial"/>
          <w:rtl/>
        </w:rPr>
        <w:lastRenderedPageBreak/>
        <w:t>בחיי האב</w:t>
      </w:r>
      <w:r>
        <w:rPr>
          <w:rStyle w:val="a7"/>
          <w:rFonts w:cs="Arial"/>
          <w:rtl/>
        </w:rPr>
        <w:footnoteReference w:id="2673"/>
      </w:r>
      <w:r>
        <w:rPr>
          <w:rFonts w:cs="Arial" w:hint="cs"/>
          <w:rtl/>
        </w:rPr>
        <w:t>.</w:t>
      </w:r>
      <w:r w:rsidRPr="00E04543">
        <w:rPr>
          <w:rFonts w:cs="Arial"/>
          <w:rtl/>
        </w:rPr>
        <w:t xml:space="preserve"> דכיון דשכירות אינה משתלמת אלא לבסוף</w:t>
      </w:r>
      <w:r>
        <w:rPr>
          <w:rFonts w:cs="Arial" w:hint="cs"/>
          <w:rtl/>
        </w:rPr>
        <w:t>,</w:t>
      </w:r>
      <w:r w:rsidRPr="00E04543">
        <w:rPr>
          <w:rFonts w:cs="Arial"/>
          <w:rtl/>
        </w:rPr>
        <w:t xml:space="preserve"> חשיב כמקרקעי</w:t>
      </w:r>
      <w:r>
        <w:rPr>
          <w:rFonts w:cs="Arial" w:hint="cs"/>
          <w:rtl/>
        </w:rPr>
        <w:t>.</w:t>
      </w:r>
      <w:r w:rsidRPr="00E04543">
        <w:rPr>
          <w:rFonts w:cs="Arial"/>
          <w:rtl/>
        </w:rPr>
        <w:t xml:space="preserve"> אבל אם כבר גבו אותו היתומים</w:t>
      </w:r>
      <w:r>
        <w:rPr>
          <w:rFonts w:cs="Arial" w:hint="cs"/>
          <w:rtl/>
        </w:rPr>
        <w:t>,</w:t>
      </w:r>
      <w:r w:rsidRPr="00E04543">
        <w:rPr>
          <w:rFonts w:cs="Arial"/>
          <w:rtl/>
        </w:rPr>
        <w:t xml:space="preserve"> הוי כשאר מטלטלין</w:t>
      </w:r>
      <w:r>
        <w:rPr>
          <w:rFonts w:cs="Arial" w:hint="cs"/>
          <w:sz w:val="16"/>
          <w:szCs w:val="16"/>
          <w:rtl/>
        </w:rPr>
        <w:t xml:space="preserve"> (ל' הטור)</w:t>
      </w:r>
      <w:r>
        <w:rPr>
          <w:rFonts w:cs="Arial" w:hint="cs"/>
          <w:rtl/>
        </w:rPr>
        <w:t>.</w:t>
      </w:r>
      <w:r>
        <w:rPr>
          <w:rFonts w:hint="cs"/>
          <w:rtl/>
        </w:rPr>
        <w:t xml:space="preserve"> </w:t>
      </w:r>
      <w:r w:rsidRPr="00D67C33">
        <w:rPr>
          <w:rFonts w:hint="cs"/>
          <w:color w:val="00B0F0"/>
          <w:rtl/>
        </w:rPr>
        <w:t>(וכ"פ הרמ"א)</w:t>
      </w:r>
    </w:p>
    <w:p w14:paraId="34F8B403" w14:textId="77777777" w:rsidR="00392DBB" w:rsidRPr="00F4644D" w:rsidRDefault="00392DBB" w:rsidP="00392DBB">
      <w:pPr>
        <w:rPr>
          <w:u w:val="single"/>
        </w:rPr>
      </w:pPr>
      <w:r w:rsidRPr="00F4644D">
        <w:rPr>
          <w:rFonts w:hint="cs"/>
          <w:u w:val="single"/>
          <w:rtl/>
        </w:rPr>
        <w:t>אחים שרוצים לפרוע את פרנסת הבת במעות:</w:t>
      </w:r>
    </w:p>
    <w:p w14:paraId="441E98A7" w14:textId="73FF6589" w:rsidR="00392DBB" w:rsidRDefault="00392DBB" w:rsidP="009000E3">
      <w:pPr>
        <w:pStyle w:val="ab"/>
        <w:numPr>
          <w:ilvl w:val="0"/>
          <w:numId w:val="63"/>
        </w:numPr>
      </w:pPr>
      <w:r>
        <w:rPr>
          <w:rFonts w:cs="Arial" w:hint="cs"/>
          <w:rtl/>
        </w:rPr>
        <w:t xml:space="preserve">רמב"ם </w:t>
      </w:r>
      <w:r>
        <w:rPr>
          <w:rFonts w:cs="Arial" w:hint="cs"/>
          <w:sz w:val="16"/>
          <w:szCs w:val="16"/>
          <w:rtl/>
        </w:rPr>
        <w:t xml:space="preserve"> (פי"ט ה"ה)</w:t>
      </w:r>
      <w:r>
        <w:rPr>
          <w:rFonts w:cs="Arial" w:hint="cs"/>
          <w:rtl/>
        </w:rPr>
        <w:t xml:space="preserve"> וטור- </w:t>
      </w:r>
      <w:r w:rsidRPr="00F4644D">
        <w:rPr>
          <w:rFonts w:cs="Arial"/>
          <w:rtl/>
        </w:rPr>
        <w:t xml:space="preserve">אם רצו האחין ליתן לה מעות כנגד עישור הקרקע </w:t>
      </w:r>
      <w:r w:rsidR="00F97626">
        <w:rPr>
          <w:rFonts w:cs="Arial"/>
          <w:rtl/>
        </w:rPr>
        <w:t>-</w:t>
      </w:r>
      <w:r>
        <w:rPr>
          <w:rFonts w:cs="Arial" w:hint="cs"/>
          <w:rtl/>
        </w:rPr>
        <w:t xml:space="preserve"> </w:t>
      </w:r>
      <w:r w:rsidRPr="00F4644D">
        <w:rPr>
          <w:rFonts w:cs="Arial"/>
          <w:rtl/>
        </w:rPr>
        <w:t>נותנין</w:t>
      </w:r>
      <w:r>
        <w:rPr>
          <w:rStyle w:val="a7"/>
          <w:rFonts w:cs="Arial"/>
          <w:rtl/>
        </w:rPr>
        <w:footnoteReference w:id="2674"/>
      </w:r>
      <w:r>
        <w:rPr>
          <w:rFonts w:cs="Arial" w:hint="cs"/>
          <w:sz w:val="16"/>
          <w:szCs w:val="16"/>
          <w:rtl/>
        </w:rPr>
        <w:t xml:space="preserve"> (ל' הרמב"ם)</w:t>
      </w:r>
      <w:r w:rsidRPr="00F4644D">
        <w:rPr>
          <w:rFonts w:cs="Arial"/>
          <w:rtl/>
        </w:rPr>
        <w:t>.</w:t>
      </w:r>
      <w:r w:rsidRPr="00D67C33">
        <w:rPr>
          <w:rFonts w:hint="cs"/>
          <w:color w:val="E36C0A" w:themeColor="accent6" w:themeShade="BF"/>
          <w:rtl/>
        </w:rPr>
        <w:t xml:space="preserve"> (וכ"פ בשו"ע)</w:t>
      </w:r>
    </w:p>
    <w:p w14:paraId="64D31608" w14:textId="77777777" w:rsidR="00392DBB" w:rsidRPr="00B472A5" w:rsidRDefault="00392DBB" w:rsidP="00392DBB">
      <w:r w:rsidRPr="00B752F5">
        <w:rPr>
          <w:rFonts w:hint="cs"/>
          <w:u w:val="single"/>
          <w:rtl/>
        </w:rPr>
        <w:t>מי שמת והניח מקרקעי ומטלטלי, ויש עליהם בע</w:t>
      </w:r>
      <w:r>
        <w:rPr>
          <w:rFonts w:hint="cs"/>
          <w:u w:val="single"/>
          <w:rtl/>
        </w:rPr>
        <w:t>"</w:t>
      </w:r>
      <w:r w:rsidRPr="00B752F5">
        <w:rPr>
          <w:rFonts w:hint="cs"/>
          <w:u w:val="single"/>
          <w:rtl/>
        </w:rPr>
        <w:t>ח כתובת אשה ופרנסת בנות:</w:t>
      </w:r>
      <w:r>
        <w:rPr>
          <w:rFonts w:hint="cs"/>
          <w:rtl/>
        </w:rPr>
        <w:t xml:space="preserve"> </w:t>
      </w:r>
      <w:r w:rsidRPr="00B472A5">
        <w:rPr>
          <w:rFonts w:hint="cs"/>
          <w:sz w:val="16"/>
          <w:szCs w:val="16"/>
          <w:rtl/>
        </w:rPr>
        <w:t>(דרכ"מ אות ה)</w:t>
      </w:r>
    </w:p>
    <w:p w14:paraId="1101292B" w14:textId="77777777" w:rsidR="00392DBB" w:rsidRPr="00B472A5" w:rsidRDefault="00392DBB" w:rsidP="009000E3">
      <w:pPr>
        <w:pStyle w:val="ab"/>
        <w:numPr>
          <w:ilvl w:val="0"/>
          <w:numId w:val="63"/>
        </w:numPr>
        <w:rPr>
          <w:rFonts w:cs="Arial"/>
          <w:rtl/>
        </w:rPr>
      </w:pPr>
      <w:r>
        <w:rPr>
          <w:rFonts w:cs="Arial" w:hint="cs"/>
          <w:rtl/>
        </w:rPr>
        <w:t xml:space="preserve">מהר"ם </w:t>
      </w:r>
      <w:r>
        <w:rPr>
          <w:rFonts w:cs="Arial" w:hint="cs"/>
          <w:sz w:val="16"/>
          <w:szCs w:val="16"/>
          <w:rtl/>
        </w:rPr>
        <w:t>(</w:t>
      </w:r>
      <w:r w:rsidRPr="009D57F4">
        <w:rPr>
          <w:rFonts w:cs="Arial"/>
          <w:sz w:val="16"/>
          <w:szCs w:val="16"/>
          <w:rtl/>
        </w:rPr>
        <w:t>ספר סיני וליקוטים סי</w:t>
      </w:r>
      <w:r>
        <w:rPr>
          <w:rFonts w:cs="Arial" w:hint="cs"/>
          <w:sz w:val="16"/>
          <w:szCs w:val="16"/>
          <w:rtl/>
        </w:rPr>
        <w:t>'</w:t>
      </w:r>
      <w:r w:rsidRPr="009D57F4">
        <w:rPr>
          <w:rFonts w:cs="Arial"/>
          <w:sz w:val="16"/>
          <w:szCs w:val="16"/>
          <w:rtl/>
        </w:rPr>
        <w:t xml:space="preserve"> תקעה</w:t>
      </w:r>
      <w:r>
        <w:rPr>
          <w:rFonts w:cs="Arial" w:hint="cs"/>
          <w:sz w:val="16"/>
          <w:szCs w:val="16"/>
          <w:rtl/>
        </w:rPr>
        <w:t>, הביאו בשלט"ג [אות א] על המרדכי [כתובות סי' קצ])</w:t>
      </w:r>
      <w:r>
        <w:rPr>
          <w:rFonts w:cs="Arial" w:hint="cs"/>
          <w:rtl/>
        </w:rPr>
        <w:t xml:space="preserve">- </w:t>
      </w:r>
      <w:r w:rsidRPr="009D57F4">
        <w:rPr>
          <w:rFonts w:cs="Arial"/>
          <w:rtl/>
        </w:rPr>
        <w:t>מסקנא דמילתא דווקא במקרקעי ולא במטלטלי. ואם הניח ראובן בעל חוב וכתובת אשה וגם הניח נכסים מרובים ומקרקעי, ורוצה אפוטרופוס של יתומים ליטול עשור מכל הקרקעות קודם שיפרע הבעל חוב והאשה. וכתב מו' שהם יפרעו תחילה מן הקרקעות אם ירצו היתומים לסלקם במקרקעי, ומן הנשאר תטול מן היתומים העשור</w:t>
      </w:r>
      <w:r>
        <w:rPr>
          <w:rFonts w:cs="Arial" w:hint="cs"/>
          <w:rtl/>
        </w:rPr>
        <w:t>.</w:t>
      </w:r>
      <w:r w:rsidRPr="009D57F4">
        <w:rPr>
          <w:rFonts w:cs="Arial"/>
          <w:rtl/>
        </w:rPr>
        <w:t xml:space="preserve"> אמנם אם אין מגיעין הקרקעות אך כפי החוב והכתובה </w:t>
      </w:r>
      <w:r>
        <w:rPr>
          <w:rFonts w:cs="Arial" w:hint="cs"/>
          <w:rtl/>
        </w:rPr>
        <w:t xml:space="preserve">- </w:t>
      </w:r>
      <w:r w:rsidRPr="009D57F4">
        <w:rPr>
          <w:rFonts w:cs="Arial"/>
          <w:rtl/>
        </w:rPr>
        <w:t>לא תטול מן היתומים כלום</w:t>
      </w:r>
      <w:r>
        <w:rPr>
          <w:rFonts w:cs="Arial" w:hint="cs"/>
          <w:rtl/>
        </w:rPr>
        <w:t>.</w:t>
      </w:r>
      <w:r w:rsidRPr="009D57F4">
        <w:rPr>
          <w:rFonts w:cs="Arial"/>
          <w:rtl/>
        </w:rPr>
        <w:t xml:space="preserve"> ואין היכולת ביד האפוטרופוס לומר ליתומים דליסלקו לבעל חוב וכתובה בזוזי, משום דאסמכתייהו על הקרקעות, ואין לפקפק</w:t>
      </w:r>
      <w:r>
        <w:rPr>
          <w:rStyle w:val="a7"/>
          <w:rFonts w:cs="Arial"/>
          <w:rtl/>
        </w:rPr>
        <w:footnoteReference w:id="2675"/>
      </w:r>
      <w:r w:rsidRPr="00B472A5">
        <w:rPr>
          <w:rFonts w:cs="Arial" w:hint="cs"/>
          <w:rtl/>
        </w:rPr>
        <w:t>.</w:t>
      </w:r>
    </w:p>
    <w:p w14:paraId="74951E8D" w14:textId="77777777" w:rsidR="00392DBB" w:rsidRPr="00C208C3"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7C1EF73" w14:textId="77777777" w:rsidR="00392DBB" w:rsidRDefault="00392DBB" w:rsidP="00392DBB">
      <w:pPr>
        <w:rPr>
          <w:rtl/>
        </w:rPr>
      </w:pPr>
      <w:r>
        <w:rPr>
          <w:rFonts w:cs="Arial"/>
          <w:rtl/>
        </w:rPr>
        <w:t>עישור זה לפרנסת נדוניא אינו מתנאי כתובה</w:t>
      </w:r>
      <w:r>
        <w:rPr>
          <w:rStyle w:val="a7"/>
          <w:rFonts w:cs="Arial"/>
          <w:rtl/>
        </w:rPr>
        <w:footnoteReference w:id="2676"/>
      </w:r>
      <w:r>
        <w:rPr>
          <w:rFonts w:cs="Arial"/>
          <w:rtl/>
        </w:rPr>
        <w:t>. לפיכך אפילו לפי תקנת חכמים הראשונים והאחרונים</w:t>
      </w:r>
      <w:r>
        <w:rPr>
          <w:rStyle w:val="a7"/>
          <w:rFonts w:cs="Arial"/>
          <w:rtl/>
        </w:rPr>
        <w:footnoteReference w:id="2677"/>
      </w:r>
      <w:r>
        <w:rPr>
          <w:rFonts w:cs="Arial"/>
          <w:rtl/>
        </w:rPr>
        <w:t xml:space="preserve"> אינה נוטלת אלא הקרקע. ויש לה לגבות עישור זה משכירות הקרקע</w:t>
      </w:r>
      <w:r>
        <w:rPr>
          <w:rStyle w:val="a7"/>
          <w:rFonts w:cs="Arial"/>
          <w:rtl/>
        </w:rPr>
        <w:footnoteReference w:id="2678"/>
      </w:r>
      <w:r>
        <w:rPr>
          <w:rFonts w:cs="Arial"/>
          <w:rtl/>
        </w:rPr>
        <w:t xml:space="preserve"> </w:t>
      </w:r>
      <w:r>
        <w:rPr>
          <w:rFonts w:cs="Arial" w:hint="cs"/>
          <w:sz w:val="18"/>
          <w:szCs w:val="18"/>
          <w:rtl/>
        </w:rPr>
        <w:t xml:space="preserve">[הגה] </w:t>
      </w:r>
      <w:r w:rsidRPr="00F038E9">
        <w:rPr>
          <w:rFonts w:cs="Arial"/>
          <w:sz w:val="18"/>
          <w:szCs w:val="18"/>
          <w:rtl/>
        </w:rPr>
        <w:t>אם לא גבו היתומים עדיין (טור)</w:t>
      </w:r>
      <w:r>
        <w:rPr>
          <w:rFonts w:cs="Arial" w:hint="cs"/>
          <w:rtl/>
        </w:rPr>
        <w:t>,</w:t>
      </w:r>
      <w:r>
        <w:rPr>
          <w:rFonts w:cs="Arial"/>
          <w:rtl/>
        </w:rPr>
        <w:t xml:space="preserve"> ומן הראוי</w:t>
      </w:r>
      <w:r>
        <w:rPr>
          <w:rStyle w:val="a7"/>
          <w:rFonts w:cs="Arial"/>
          <w:rtl/>
        </w:rPr>
        <w:footnoteReference w:id="2679"/>
      </w:r>
      <w:r>
        <w:rPr>
          <w:rFonts w:cs="Arial"/>
          <w:rtl/>
        </w:rPr>
        <w:t xml:space="preserve">. ואם רצו האחים ליתן לה מעות כנגד עישור הקרקע, נותנים. </w:t>
      </w:r>
      <w:r w:rsidRPr="00F038E9">
        <w:rPr>
          <w:rFonts w:cs="Arial"/>
          <w:sz w:val="18"/>
          <w:szCs w:val="18"/>
          <w:rtl/>
        </w:rPr>
        <w:t>הגה: ודוקא לגבות אינה נגבית רק ממקרקעי, אבל כששמין הנכסים לידע העישור שמין אף מטלטלין</w:t>
      </w:r>
      <w:r>
        <w:rPr>
          <w:rFonts w:cs="Arial" w:hint="cs"/>
          <w:sz w:val="18"/>
          <w:szCs w:val="18"/>
          <w:rtl/>
        </w:rPr>
        <w:t>,</w:t>
      </w:r>
      <w:r w:rsidRPr="00F038E9">
        <w:rPr>
          <w:rFonts w:cs="Arial"/>
          <w:sz w:val="18"/>
          <w:szCs w:val="18"/>
          <w:rtl/>
        </w:rPr>
        <w:t xml:space="preserve"> ומגבינן לה העישור ממקרקעי. ודוקא שנותנים לה עישור נכסים, אבל כשנוכל לאמוד דעת האב נותנים לה לפי דעתו, כפי מה שהיה נותן לה</w:t>
      </w:r>
      <w:r>
        <w:rPr>
          <w:rFonts w:cs="Arial" w:hint="cs"/>
          <w:sz w:val="18"/>
          <w:szCs w:val="18"/>
          <w:rtl/>
        </w:rPr>
        <w:t>,</w:t>
      </w:r>
      <w:r w:rsidRPr="00F038E9">
        <w:rPr>
          <w:rFonts w:cs="Arial"/>
          <w:sz w:val="18"/>
          <w:szCs w:val="18"/>
          <w:rtl/>
        </w:rPr>
        <w:t xml:space="preserve"> הן מטלטלי הן מקרקעי, כך נותנים לה (הכל בטור). וי"א דאף כששמין אין שמין אלא בקרקע (מ"מ </w:t>
      </w:r>
      <w:r>
        <w:rPr>
          <w:rFonts w:cs="Arial" w:hint="cs"/>
          <w:sz w:val="18"/>
          <w:szCs w:val="18"/>
          <w:rtl/>
        </w:rPr>
        <w:t>בשם ה</w:t>
      </w:r>
      <w:r w:rsidRPr="00F038E9">
        <w:rPr>
          <w:rFonts w:cs="Arial"/>
          <w:sz w:val="18"/>
          <w:szCs w:val="18"/>
          <w:rtl/>
        </w:rPr>
        <w:t>רמב"ם). ואם היו כאן בעלי חובות</w:t>
      </w:r>
      <w:r>
        <w:rPr>
          <w:rStyle w:val="a7"/>
          <w:rFonts w:cs="Arial"/>
          <w:sz w:val="18"/>
          <w:szCs w:val="18"/>
          <w:rtl/>
        </w:rPr>
        <w:footnoteReference w:id="2680"/>
      </w:r>
      <w:r w:rsidRPr="00F038E9">
        <w:rPr>
          <w:rFonts w:cs="Arial"/>
          <w:sz w:val="18"/>
          <w:szCs w:val="18"/>
          <w:rtl/>
        </w:rPr>
        <w:t>, והבנים אומרים לסלק אותן בקרקעות</w:t>
      </w:r>
      <w:r>
        <w:rPr>
          <w:rStyle w:val="a7"/>
          <w:rFonts w:cs="Arial"/>
          <w:sz w:val="18"/>
          <w:szCs w:val="18"/>
          <w:rtl/>
        </w:rPr>
        <w:footnoteReference w:id="2681"/>
      </w:r>
      <w:r w:rsidRPr="00F038E9">
        <w:rPr>
          <w:rFonts w:cs="Arial"/>
          <w:sz w:val="18"/>
          <w:szCs w:val="18"/>
          <w:rtl/>
        </w:rPr>
        <w:t>, והבנות אומרות לסלק אותן במטלטלין כדי שישארו הקרקעות ליתומים ויטלו מהן עישור נכסים, הדין עם הבנים (מהר"ם). ונראה לי דהוא הדין לענין שטר חצי חלק זכר הנוהג בינינו שאין הבנות נוטלות חלק בקרקעות</w:t>
      </w:r>
      <w:r>
        <w:rPr>
          <w:rStyle w:val="a7"/>
          <w:rFonts w:cs="Arial"/>
          <w:sz w:val="18"/>
          <w:szCs w:val="18"/>
          <w:rtl/>
        </w:rPr>
        <w:footnoteReference w:id="2682"/>
      </w:r>
      <w:r w:rsidRPr="00F038E9">
        <w:rPr>
          <w:rFonts w:cs="Arial"/>
          <w:sz w:val="18"/>
          <w:szCs w:val="18"/>
          <w:rtl/>
        </w:rPr>
        <w:t xml:space="preserve"> אם היו </w:t>
      </w:r>
      <w:r w:rsidRPr="00F038E9">
        <w:rPr>
          <w:rFonts w:cs="Arial"/>
          <w:sz w:val="18"/>
          <w:szCs w:val="18"/>
          <w:rtl/>
        </w:rPr>
        <w:lastRenderedPageBreak/>
        <w:t>כאן בעלי חובות, הרשות ביד הבנים לסלק אותן במטלטלין כדי שישארו להם הקרקעות ולא יהא לבנות חלק בהם</w:t>
      </w:r>
      <w:r>
        <w:rPr>
          <w:rFonts w:cs="Arial" w:hint="cs"/>
          <w:sz w:val="18"/>
          <w:szCs w:val="18"/>
          <w:rtl/>
        </w:rPr>
        <w:t xml:space="preserve"> (ד"ע)</w:t>
      </w:r>
      <w:r w:rsidRPr="00F038E9">
        <w:rPr>
          <w:rFonts w:cs="Arial"/>
          <w:sz w:val="18"/>
          <w:szCs w:val="18"/>
          <w:rtl/>
        </w:rPr>
        <w:t>. כשאומדים דעת האב, יש אומרים דוקא למעוטי מעישור נכסים, אבל לא להרבות עליהם (רא"ש). וי"א דאפילו להוסיף עליהם (גאונים)</w:t>
      </w:r>
      <w:r>
        <w:rPr>
          <w:rFonts w:cs="Arial" w:hint="cs"/>
          <w:sz w:val="18"/>
          <w:szCs w:val="18"/>
          <w:rtl/>
        </w:rPr>
        <w:t>,</w:t>
      </w:r>
      <w:r w:rsidRPr="00F038E9">
        <w:rPr>
          <w:rFonts w:cs="Arial"/>
          <w:sz w:val="18"/>
          <w:szCs w:val="18"/>
          <w:rtl/>
        </w:rPr>
        <w:t xml:space="preserve"> ואפילו אין כאן אלא מה שנתן לבתו הראשונה, נותנים הכל לשנייה</w:t>
      </w:r>
      <w:r>
        <w:rPr>
          <w:rStyle w:val="a7"/>
          <w:rFonts w:cs="Arial"/>
          <w:sz w:val="18"/>
          <w:szCs w:val="18"/>
          <w:rtl/>
        </w:rPr>
        <w:footnoteReference w:id="2683"/>
      </w:r>
      <w:r w:rsidRPr="00F038E9">
        <w:rPr>
          <w:rFonts w:cs="Arial"/>
          <w:sz w:val="18"/>
          <w:szCs w:val="18"/>
          <w:rtl/>
        </w:rPr>
        <w:t xml:space="preserve"> (טור בשם הראב"ד). וראוי לאומדו כפי הממון שהניח בשעת מותו</w:t>
      </w:r>
      <w:r>
        <w:rPr>
          <w:rStyle w:val="a7"/>
          <w:rFonts w:cs="Arial"/>
          <w:sz w:val="18"/>
          <w:szCs w:val="18"/>
          <w:rtl/>
        </w:rPr>
        <w:footnoteReference w:id="2684"/>
      </w:r>
      <w:r w:rsidRPr="00F038E9">
        <w:rPr>
          <w:rFonts w:cs="Arial"/>
          <w:sz w:val="18"/>
          <w:szCs w:val="18"/>
          <w:rtl/>
        </w:rPr>
        <w:t xml:space="preserve"> (מהרי"ק שורש עח), וכן נראה לי. </w:t>
      </w:r>
    </w:p>
    <w:p w14:paraId="060BDBBC" w14:textId="77777777" w:rsidR="00392DBB" w:rsidRDefault="00392DBB" w:rsidP="00392DBB">
      <w:pPr>
        <w:rPr>
          <w:rtl/>
        </w:rPr>
      </w:pPr>
    </w:p>
    <w:p w14:paraId="0FF95D51" w14:textId="77777777" w:rsidR="00392DBB" w:rsidRDefault="00392DBB" w:rsidP="000F64D0">
      <w:pPr>
        <w:pStyle w:val="2"/>
        <w:rPr>
          <w:rtl/>
        </w:rPr>
      </w:pPr>
      <w:r>
        <w:rPr>
          <w:rtl/>
        </w:rPr>
        <w:t>סעיף ג</w:t>
      </w:r>
      <w:r>
        <w:rPr>
          <w:rFonts w:hint="cs"/>
          <w:rtl/>
        </w:rPr>
        <w:t>: פרנסת הבת - חוב על האחים (נפ"מ לגביה מבינונית בלא שבועה ומן הראוי).</w:t>
      </w:r>
    </w:p>
    <w:p w14:paraId="6C7DB1BB" w14:textId="77777777" w:rsidR="00392DBB" w:rsidRDefault="00392DBB" w:rsidP="00392DBB">
      <w:pPr>
        <w:rPr>
          <w:rtl/>
        </w:rPr>
      </w:pPr>
      <w:r w:rsidRPr="009E3B5F">
        <w:rPr>
          <w:rFonts w:hint="cs"/>
          <w:b/>
          <w:bCs/>
          <w:rtl/>
        </w:rPr>
        <w:t xml:space="preserve">כתובות </w:t>
      </w:r>
      <w:r w:rsidRPr="009E3B5F">
        <w:rPr>
          <w:rFonts w:hint="cs"/>
          <w:b/>
          <w:bCs/>
          <w:sz w:val="16"/>
          <w:szCs w:val="16"/>
          <w:rtl/>
        </w:rPr>
        <w:t xml:space="preserve">(פ' </w:t>
      </w:r>
      <w:r>
        <w:rPr>
          <w:rFonts w:hint="cs"/>
          <w:b/>
          <w:bCs/>
          <w:sz w:val="16"/>
          <w:szCs w:val="16"/>
          <w:rtl/>
        </w:rPr>
        <w:t>מציאת האשה</w:t>
      </w:r>
      <w:r w:rsidRPr="009E3B5F">
        <w:rPr>
          <w:rFonts w:hint="cs"/>
          <w:b/>
          <w:bCs/>
          <w:sz w:val="16"/>
          <w:szCs w:val="16"/>
          <w:rtl/>
        </w:rPr>
        <w:t xml:space="preserve">) </w:t>
      </w:r>
      <w:r>
        <w:rPr>
          <w:rFonts w:hint="cs"/>
          <w:b/>
          <w:bCs/>
          <w:rtl/>
        </w:rPr>
        <w:t>סט</w:t>
      </w:r>
      <w:r w:rsidRPr="009E3B5F">
        <w:rPr>
          <w:rFonts w:hint="cs"/>
          <w:b/>
          <w:bCs/>
          <w:rtl/>
        </w:rPr>
        <w:t xml:space="preserve"> ע"</w:t>
      </w:r>
      <w:r>
        <w:rPr>
          <w:rFonts w:hint="cs"/>
          <w:b/>
          <w:bCs/>
          <w:rtl/>
        </w:rPr>
        <w:t>א</w:t>
      </w:r>
      <w:r w:rsidRPr="009E3B5F">
        <w:rPr>
          <w:rFonts w:hint="cs"/>
          <w:b/>
          <w:bCs/>
          <w:rtl/>
        </w:rPr>
        <w:t>:</w:t>
      </w:r>
      <w:r>
        <w:rPr>
          <w:rFonts w:cs="Arial" w:hint="cs"/>
          <w:rtl/>
        </w:rPr>
        <w:t xml:space="preserve"> </w:t>
      </w:r>
      <w:r w:rsidRPr="000454C9">
        <w:rPr>
          <w:rFonts w:cs="Arial"/>
          <w:u w:val="single"/>
          <w:rtl/>
        </w:rPr>
        <w:t>אמר אמימר</w:t>
      </w:r>
      <w:r w:rsidRPr="000454C9">
        <w:rPr>
          <w:rFonts w:cs="Arial"/>
          <w:rtl/>
        </w:rPr>
        <w:t>: בת - יורשת הויא</w:t>
      </w:r>
      <w:r>
        <w:rPr>
          <w:rStyle w:val="a7"/>
          <w:rFonts w:cs="Arial"/>
          <w:rtl/>
        </w:rPr>
        <w:footnoteReference w:id="2685"/>
      </w:r>
      <w:r w:rsidRPr="000454C9">
        <w:rPr>
          <w:rFonts w:cs="Arial"/>
          <w:rtl/>
        </w:rPr>
        <w:t>.</w:t>
      </w:r>
      <w:r w:rsidRPr="003B2777">
        <w:rPr>
          <w:rtl/>
        </w:rPr>
        <w:t xml:space="preserve"> </w:t>
      </w:r>
      <w:r w:rsidRPr="003B2777">
        <w:rPr>
          <w:rFonts w:cs="Arial"/>
          <w:u w:val="single"/>
          <w:rtl/>
        </w:rPr>
        <w:t>אמר ליה רב אשי לאמימר</w:t>
      </w:r>
      <w:r w:rsidRPr="003B2777">
        <w:rPr>
          <w:rFonts w:cs="Arial"/>
          <w:rtl/>
        </w:rPr>
        <w:t>: אילו בעי לסלוקה בזוזי, הכי נמי דלא מצי לסלוקה? אמר ליה: אין. אי בעי לסלוקה בחדא ארעא, הכי נמי דלא מצי מסלק לה? אמר ליה: אין</w:t>
      </w:r>
      <w:r>
        <w:rPr>
          <w:rStyle w:val="a7"/>
          <w:rFonts w:cs="Arial"/>
          <w:rtl/>
        </w:rPr>
        <w:footnoteReference w:id="2686"/>
      </w:r>
      <w:r w:rsidRPr="003B2777">
        <w:rPr>
          <w:rFonts w:cs="Arial"/>
          <w:rtl/>
        </w:rPr>
        <w:t xml:space="preserve">. </w:t>
      </w:r>
      <w:r w:rsidRPr="000454C9">
        <w:rPr>
          <w:rFonts w:cs="Arial"/>
          <w:rtl/>
        </w:rPr>
        <w:t xml:space="preserve"> </w:t>
      </w:r>
      <w:r w:rsidRPr="000454C9">
        <w:rPr>
          <w:rFonts w:cs="Arial"/>
          <w:u w:val="single"/>
          <w:rtl/>
        </w:rPr>
        <w:t>רב אשי אמר</w:t>
      </w:r>
      <w:r w:rsidRPr="000454C9">
        <w:rPr>
          <w:rFonts w:cs="Arial"/>
          <w:rtl/>
        </w:rPr>
        <w:t>: בת - בעלת חוב הויא</w:t>
      </w:r>
      <w:r>
        <w:rPr>
          <w:rStyle w:val="a7"/>
          <w:rFonts w:cs="Arial"/>
          <w:rtl/>
        </w:rPr>
        <w:footnoteReference w:id="2687"/>
      </w:r>
      <w:r w:rsidRPr="000454C9">
        <w:rPr>
          <w:rFonts w:cs="Arial"/>
          <w:rtl/>
        </w:rPr>
        <w:t>. ואף אמימר הדר ביה</w:t>
      </w:r>
      <w:r w:rsidRPr="003B2777">
        <w:rPr>
          <w:rFonts w:cs="Arial"/>
          <w:rtl/>
        </w:rPr>
        <w:t>, דאמר רב מניומי בריה דרב ניחומי: הוה קאימנא קמיה דאמימר, ואתאי האי איתתא לקמיה דהות קא בעיא עישור נכסים, וחזיתיה לדעתיה דאי בעי לסלוקה בזוזי הוי מסלק לה, דשמעי מאחי דהוו קאמרי לה: אילו הוה לן זוזי סליקנא בזוזי, ואישתיק ולא אמר להו ולא מידי.</w:t>
      </w:r>
      <w:r w:rsidRPr="000454C9">
        <w:rPr>
          <w:rFonts w:cs="Arial"/>
          <w:rtl/>
        </w:rPr>
        <w:t xml:space="preserve"> והשתא דאמרת: בעלת חוב הויא, דאבא או דאחי? למאי נפקא מינה? למיגבא לבינונית שלא בשבועה וזיבורית בשבועה</w:t>
      </w:r>
      <w:r>
        <w:rPr>
          <w:rStyle w:val="a7"/>
          <w:rFonts w:cs="Arial"/>
          <w:rtl/>
        </w:rPr>
        <w:footnoteReference w:id="2688"/>
      </w:r>
      <w:r>
        <w:rPr>
          <w:rFonts w:cs="Arial" w:hint="cs"/>
          <w:rtl/>
        </w:rPr>
        <w:t>.</w:t>
      </w:r>
      <w:r w:rsidRPr="000454C9">
        <w:rPr>
          <w:rFonts w:cs="Arial"/>
          <w:rtl/>
        </w:rPr>
        <w:t xml:space="preserve"> מאי? תא שמע: דרבינא אגביה לברתיה דרב אשי</w:t>
      </w:r>
      <w:r>
        <w:rPr>
          <w:rStyle w:val="a7"/>
          <w:rFonts w:cs="Arial"/>
          <w:rtl/>
        </w:rPr>
        <w:footnoteReference w:id="2689"/>
      </w:r>
      <w:r w:rsidRPr="000454C9">
        <w:rPr>
          <w:rFonts w:cs="Arial"/>
          <w:rtl/>
        </w:rPr>
        <w:t xml:space="preserve"> ממר בריה דרב אשי בינונית ושלא בשבועה</w:t>
      </w:r>
      <w:r>
        <w:rPr>
          <w:rFonts w:cs="Arial" w:hint="cs"/>
          <w:rtl/>
        </w:rPr>
        <w:t>.</w:t>
      </w:r>
      <w:r w:rsidRPr="000454C9">
        <w:rPr>
          <w:rFonts w:cs="Arial"/>
          <w:rtl/>
        </w:rPr>
        <w:t xml:space="preserve"> מבריה דרב סמא בריה דרב אשי - זבורית</w:t>
      </w:r>
      <w:r>
        <w:rPr>
          <w:rStyle w:val="a7"/>
          <w:rFonts w:cs="Arial"/>
          <w:rtl/>
        </w:rPr>
        <w:footnoteReference w:id="2690"/>
      </w:r>
      <w:r w:rsidRPr="000454C9">
        <w:rPr>
          <w:rFonts w:cs="Arial"/>
          <w:rtl/>
        </w:rPr>
        <w:t xml:space="preserve"> בשבועה</w:t>
      </w:r>
      <w:r>
        <w:rPr>
          <w:rFonts w:cs="Arial" w:hint="cs"/>
          <w:rtl/>
        </w:rPr>
        <w:t>.</w:t>
      </w:r>
      <w:r>
        <w:rPr>
          <w:rFonts w:hint="cs"/>
          <w:rtl/>
        </w:rPr>
        <w:t xml:space="preserve"> </w:t>
      </w:r>
    </w:p>
    <w:p w14:paraId="2D1853D0" w14:textId="77777777" w:rsidR="00392DBB" w:rsidRPr="000009EE" w:rsidRDefault="00392DBB" w:rsidP="00392DBB">
      <w:pPr>
        <w:rPr>
          <w:u w:val="single"/>
          <w:rtl/>
        </w:rPr>
      </w:pPr>
      <w:r w:rsidRPr="000009EE">
        <w:rPr>
          <w:rFonts w:hint="cs"/>
          <w:u w:val="single"/>
          <w:rtl/>
        </w:rPr>
        <w:t xml:space="preserve">פרנסת הבת </w:t>
      </w:r>
      <w:r>
        <w:rPr>
          <w:rFonts w:hint="cs"/>
          <w:u w:val="single"/>
          <w:rtl/>
        </w:rPr>
        <w:t xml:space="preserve">- </w:t>
      </w:r>
      <w:r w:rsidRPr="000009EE">
        <w:rPr>
          <w:rFonts w:hint="cs"/>
          <w:u w:val="single"/>
          <w:rtl/>
        </w:rPr>
        <w:t>חוב על האחים:</w:t>
      </w:r>
    </w:p>
    <w:p w14:paraId="1954163A" w14:textId="77777777" w:rsidR="00392DBB" w:rsidRDefault="00392DBB" w:rsidP="009000E3">
      <w:pPr>
        <w:pStyle w:val="ab"/>
        <w:numPr>
          <w:ilvl w:val="0"/>
          <w:numId w:val="63"/>
        </w:numPr>
        <w:rPr>
          <w:rtl/>
        </w:rPr>
      </w:pPr>
      <w:r>
        <w:rPr>
          <w:rFonts w:cs="Arial" w:hint="cs"/>
          <w:rtl/>
        </w:rPr>
        <w:t xml:space="preserve">טור- </w:t>
      </w:r>
      <w:r w:rsidRPr="00E04543">
        <w:rPr>
          <w:rFonts w:cs="Arial"/>
          <w:rtl/>
        </w:rPr>
        <w:t>הבת לגבי עישור נכסים חשובה כבעל חוב של האחין</w:t>
      </w:r>
      <w:r>
        <w:rPr>
          <w:rFonts w:cs="Arial" w:hint="cs"/>
          <w:rtl/>
        </w:rPr>
        <w:t>.</w:t>
      </w:r>
      <w:r w:rsidRPr="00E04543">
        <w:rPr>
          <w:rFonts w:cs="Arial"/>
          <w:rtl/>
        </w:rPr>
        <w:t xml:space="preserve"> לפיכך נוטלת מהן מהבינונית בלא שבועה</w:t>
      </w:r>
      <w:r>
        <w:rPr>
          <w:rStyle w:val="a7"/>
          <w:rFonts w:cs="Arial"/>
          <w:rtl/>
        </w:rPr>
        <w:footnoteReference w:id="2691"/>
      </w:r>
      <w:r>
        <w:rPr>
          <w:rFonts w:cs="Arial" w:hint="cs"/>
          <w:rtl/>
        </w:rPr>
        <w:t>,</w:t>
      </w:r>
      <w:r w:rsidRPr="00E04543">
        <w:rPr>
          <w:rFonts w:cs="Arial"/>
          <w:rtl/>
        </w:rPr>
        <w:t xml:space="preserve"> ומן הראוי</w:t>
      </w:r>
      <w:r>
        <w:rPr>
          <w:rFonts w:cs="Arial" w:hint="cs"/>
          <w:rtl/>
        </w:rPr>
        <w:t>.</w:t>
      </w:r>
      <w:r w:rsidRPr="00E04543">
        <w:rPr>
          <w:rFonts w:cs="Arial"/>
          <w:rtl/>
        </w:rPr>
        <w:t xml:space="preserve"> כגון אם מת אביה בחיי זקנה</w:t>
      </w:r>
      <w:r>
        <w:rPr>
          <w:rFonts w:cs="Arial" w:hint="cs"/>
          <w:rtl/>
        </w:rPr>
        <w:t>,</w:t>
      </w:r>
      <w:r w:rsidRPr="00E04543">
        <w:rPr>
          <w:rFonts w:cs="Arial"/>
          <w:rtl/>
        </w:rPr>
        <w:t xml:space="preserve"> ולא היו נכסים לאביה</w:t>
      </w:r>
      <w:r>
        <w:rPr>
          <w:rFonts w:cs="Arial" w:hint="cs"/>
          <w:rtl/>
        </w:rPr>
        <w:t>,</w:t>
      </w:r>
      <w:r w:rsidRPr="00E04543">
        <w:rPr>
          <w:rFonts w:cs="Arial"/>
          <w:rtl/>
        </w:rPr>
        <w:t xml:space="preserve"> ואח"כ מת זקנה וירשוה אחיה </w:t>
      </w:r>
      <w:r>
        <w:rPr>
          <w:rFonts w:cs="Arial" w:hint="cs"/>
          <w:rtl/>
        </w:rPr>
        <w:t xml:space="preserve">- </w:t>
      </w:r>
      <w:r w:rsidRPr="00E04543">
        <w:rPr>
          <w:rFonts w:cs="Arial"/>
          <w:rtl/>
        </w:rPr>
        <w:t>נוטלת מהם עישור נכסים</w:t>
      </w:r>
      <w:r>
        <w:rPr>
          <w:rFonts w:cs="Arial" w:hint="cs"/>
          <w:rtl/>
        </w:rPr>
        <w:t>.</w:t>
      </w:r>
      <w:r w:rsidRPr="00E04543">
        <w:rPr>
          <w:rFonts w:cs="Arial"/>
          <w:rtl/>
        </w:rPr>
        <w:t xml:space="preserve"> ויכולים ליתן לה איזה קרקע בינונית שירצו</w:t>
      </w:r>
      <w:r>
        <w:rPr>
          <w:rFonts w:cs="Arial" w:hint="cs"/>
          <w:rtl/>
        </w:rPr>
        <w:t>,</w:t>
      </w:r>
      <w:r w:rsidRPr="00E04543">
        <w:rPr>
          <w:rFonts w:cs="Arial"/>
          <w:rtl/>
        </w:rPr>
        <w:t xml:space="preserve"> ולסלקה בזוזי</w:t>
      </w:r>
      <w:r>
        <w:rPr>
          <w:rFonts w:cs="Arial" w:hint="cs"/>
          <w:rtl/>
        </w:rPr>
        <w:t>.</w:t>
      </w:r>
      <w:r w:rsidRPr="00E04543">
        <w:rPr>
          <w:rFonts w:cs="Arial"/>
          <w:rtl/>
        </w:rPr>
        <w:t xml:space="preserve"> אבל אם מתו אחיה קודם שנטלה עישור נכסים </w:t>
      </w:r>
      <w:r>
        <w:rPr>
          <w:rFonts w:cs="Arial" w:hint="cs"/>
          <w:rtl/>
        </w:rPr>
        <w:t xml:space="preserve">- </w:t>
      </w:r>
      <w:r w:rsidRPr="00E04543">
        <w:rPr>
          <w:rFonts w:cs="Arial"/>
          <w:rtl/>
        </w:rPr>
        <w:t>אינה גובה מבניהם אלא מזיבורית ובשבועה</w:t>
      </w:r>
      <w:r>
        <w:rPr>
          <w:rFonts w:cs="Arial" w:hint="cs"/>
          <w:rtl/>
        </w:rPr>
        <w:t>.</w:t>
      </w:r>
      <w:r w:rsidRPr="00E04543">
        <w:rPr>
          <w:rFonts w:cs="Arial"/>
          <w:rtl/>
        </w:rPr>
        <w:t xml:space="preserve"> </w:t>
      </w:r>
      <w:r w:rsidRPr="000009EE">
        <w:rPr>
          <w:rFonts w:cs="Arial" w:hint="cs"/>
          <w:color w:val="E36C0A" w:themeColor="accent6" w:themeShade="BF"/>
          <w:rtl/>
        </w:rPr>
        <w:t>(וכ"פ בשו"ע</w:t>
      </w:r>
      <w:r>
        <w:rPr>
          <w:rFonts w:cs="Arial" w:hint="cs"/>
          <w:color w:val="E36C0A" w:themeColor="accent6" w:themeShade="BF"/>
          <w:sz w:val="16"/>
          <w:szCs w:val="16"/>
          <w:rtl/>
        </w:rPr>
        <w:t xml:space="preserve"> </w:t>
      </w:r>
      <w:r w:rsidRPr="00F50FF3">
        <w:rPr>
          <w:rFonts w:cs="Arial" w:hint="cs"/>
          <w:color w:val="000000" w:themeColor="text1"/>
          <w:sz w:val="16"/>
          <w:szCs w:val="16"/>
          <w:rtl/>
        </w:rPr>
        <w:t>[</w:t>
      </w:r>
      <w:r>
        <w:rPr>
          <w:rFonts w:cs="Arial" w:hint="cs"/>
          <w:color w:val="000000" w:themeColor="text1"/>
          <w:sz w:val="16"/>
          <w:szCs w:val="16"/>
          <w:rtl/>
        </w:rPr>
        <w:t>כאן ובסע' ב</w:t>
      </w:r>
      <w:r w:rsidRPr="00F50FF3">
        <w:rPr>
          <w:rFonts w:cs="Arial" w:hint="cs"/>
          <w:color w:val="000000" w:themeColor="text1"/>
          <w:sz w:val="16"/>
          <w:szCs w:val="16"/>
          <w:rtl/>
        </w:rPr>
        <w:t>]</w:t>
      </w:r>
      <w:r w:rsidRPr="000009EE">
        <w:rPr>
          <w:rFonts w:cs="Arial" w:hint="cs"/>
          <w:color w:val="E36C0A" w:themeColor="accent6" w:themeShade="BF"/>
          <w:rtl/>
        </w:rPr>
        <w:t>)</w:t>
      </w:r>
    </w:p>
    <w:p w14:paraId="49E5635F"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022051D" w14:textId="77777777" w:rsidR="00392DBB" w:rsidRDefault="00392DBB" w:rsidP="00392DBB">
      <w:pPr>
        <w:rPr>
          <w:rtl/>
        </w:rPr>
      </w:pPr>
      <w:r>
        <w:rPr>
          <w:rFonts w:cs="Arial"/>
          <w:rtl/>
        </w:rPr>
        <w:t>הבת בעישור זה כבעל חוב של אחין היא, לפיכך נוטלת אותו מן הבינונית בלא שבועה</w:t>
      </w:r>
      <w:r>
        <w:rPr>
          <w:rStyle w:val="a7"/>
          <w:rFonts w:cs="Arial"/>
          <w:rtl/>
        </w:rPr>
        <w:footnoteReference w:id="2692"/>
      </w:r>
      <w:r>
        <w:rPr>
          <w:rFonts w:cs="Arial"/>
          <w:rtl/>
        </w:rPr>
        <w:t>. ואם מתו האחים, נוטלת אותו מבניהם מזיבורית ובשבועה</w:t>
      </w:r>
      <w:r>
        <w:rPr>
          <w:rStyle w:val="a7"/>
          <w:rFonts w:cs="Arial"/>
          <w:rtl/>
        </w:rPr>
        <w:footnoteReference w:id="2693"/>
      </w:r>
      <w:r>
        <w:rPr>
          <w:rFonts w:cs="Arial"/>
          <w:rtl/>
        </w:rPr>
        <w:t>, שהרי היא נפרעת מנכסי יתומים. ובזמן הזה שכל בני אדם רגילין להשיא בנותיהם מהמטלטלים, חשוב כמו אומדניה</w:t>
      </w:r>
      <w:r>
        <w:rPr>
          <w:rStyle w:val="a7"/>
          <w:rFonts w:cs="Arial"/>
          <w:rtl/>
        </w:rPr>
        <w:footnoteReference w:id="2694"/>
      </w:r>
      <w:r>
        <w:rPr>
          <w:rFonts w:cs="Arial"/>
          <w:rtl/>
        </w:rPr>
        <w:t xml:space="preserve">. </w:t>
      </w:r>
    </w:p>
    <w:p w14:paraId="342AD598" w14:textId="77777777" w:rsidR="00392DBB" w:rsidRDefault="00392DBB" w:rsidP="00392DBB">
      <w:pPr>
        <w:rPr>
          <w:rtl/>
        </w:rPr>
      </w:pPr>
    </w:p>
    <w:p w14:paraId="6A50FA90" w14:textId="77777777" w:rsidR="00392DBB" w:rsidRDefault="00392DBB" w:rsidP="000F64D0">
      <w:pPr>
        <w:pStyle w:val="2"/>
        <w:rPr>
          <w:rtl/>
        </w:rPr>
      </w:pPr>
      <w:r>
        <w:rPr>
          <w:rtl/>
        </w:rPr>
        <w:t>סעיף ד</w:t>
      </w:r>
      <w:r>
        <w:rPr>
          <w:rFonts w:hint="cs"/>
          <w:rtl/>
        </w:rPr>
        <w:t xml:space="preserve">: הניח מספר בנות שצריכות להנשא, כיצד מחשבים את העישור. </w:t>
      </w:r>
    </w:p>
    <w:p w14:paraId="3FA96671" w14:textId="695CA2B9" w:rsidR="00392DBB" w:rsidRPr="00A2673D" w:rsidRDefault="00392DBB" w:rsidP="00392DBB">
      <w:pPr>
        <w:rPr>
          <w:rFonts w:cs="Arial"/>
          <w:u w:val="single"/>
          <w:rtl/>
        </w:rPr>
      </w:pPr>
      <w:r w:rsidRPr="009E3B5F">
        <w:rPr>
          <w:rFonts w:hint="cs"/>
          <w:b/>
          <w:bCs/>
          <w:rtl/>
        </w:rPr>
        <w:t xml:space="preserve">כתובות </w:t>
      </w:r>
      <w:r w:rsidRPr="009E3B5F">
        <w:rPr>
          <w:rFonts w:hint="cs"/>
          <w:b/>
          <w:bCs/>
          <w:sz w:val="16"/>
          <w:szCs w:val="16"/>
          <w:rtl/>
        </w:rPr>
        <w:t xml:space="preserve">(פ' </w:t>
      </w:r>
      <w:r>
        <w:rPr>
          <w:rFonts w:hint="cs"/>
          <w:b/>
          <w:bCs/>
          <w:sz w:val="16"/>
          <w:szCs w:val="16"/>
          <w:rtl/>
        </w:rPr>
        <w:t>מציאת האשה</w:t>
      </w:r>
      <w:r w:rsidRPr="009E3B5F">
        <w:rPr>
          <w:rFonts w:hint="cs"/>
          <w:b/>
          <w:bCs/>
          <w:sz w:val="16"/>
          <w:szCs w:val="16"/>
          <w:rtl/>
        </w:rPr>
        <w:t xml:space="preserve">) </w:t>
      </w:r>
      <w:r>
        <w:rPr>
          <w:rFonts w:hint="cs"/>
          <w:b/>
          <w:bCs/>
          <w:rtl/>
        </w:rPr>
        <w:t>סח</w:t>
      </w:r>
      <w:r w:rsidR="00D5146E">
        <w:rPr>
          <w:rStyle w:val="a7"/>
          <w:rFonts w:cs="Arial"/>
          <w:b/>
          <w:bCs/>
          <w:rtl/>
        </w:rPr>
        <w:footnoteReference w:id="2695"/>
      </w:r>
      <w:r w:rsidRPr="009E3B5F">
        <w:rPr>
          <w:rFonts w:hint="cs"/>
          <w:b/>
          <w:bCs/>
          <w:rtl/>
        </w:rPr>
        <w:t xml:space="preserve"> ע"</w:t>
      </w:r>
      <w:r>
        <w:rPr>
          <w:rFonts w:hint="cs"/>
          <w:b/>
          <w:bCs/>
          <w:rtl/>
        </w:rPr>
        <w:t>א</w:t>
      </w:r>
      <w:r w:rsidRPr="009E3B5F">
        <w:rPr>
          <w:rFonts w:hint="cs"/>
          <w:b/>
          <w:bCs/>
          <w:rtl/>
        </w:rPr>
        <w:t>:</w:t>
      </w:r>
      <w:r w:rsidRPr="009C31B7">
        <w:rPr>
          <w:rFonts w:cs="Arial"/>
          <w:rtl/>
        </w:rPr>
        <w:t xml:space="preserve"> </w:t>
      </w:r>
      <w:r w:rsidRPr="00A2673D">
        <w:rPr>
          <w:rFonts w:cs="Arial"/>
          <w:rtl/>
        </w:rPr>
        <w:t xml:space="preserve">גופא, </w:t>
      </w:r>
      <w:r w:rsidRPr="00CD4FF2">
        <w:rPr>
          <w:rFonts w:cs="Arial"/>
          <w:u w:val="single"/>
          <w:rtl/>
        </w:rPr>
        <w:t>אמר רבי</w:t>
      </w:r>
      <w:r w:rsidRPr="00A2673D">
        <w:rPr>
          <w:rFonts w:cs="Arial"/>
          <w:rtl/>
        </w:rPr>
        <w:t xml:space="preserve">: בת הניזונת מן האחין - נוטלת עישור נכסים. </w:t>
      </w:r>
      <w:r w:rsidRPr="00CD4FF2">
        <w:rPr>
          <w:rFonts w:cs="Arial"/>
          <w:u w:val="single"/>
          <w:rtl/>
        </w:rPr>
        <w:t>אמרו לו לרבי</w:t>
      </w:r>
      <w:r w:rsidRPr="00A2673D">
        <w:rPr>
          <w:rFonts w:cs="Arial"/>
          <w:rtl/>
        </w:rPr>
        <w:t xml:space="preserve">: לדבריך, מי שיש לו עשר בנות ובן, אין לו לבן במקום בנות כלום! </w:t>
      </w:r>
      <w:r w:rsidRPr="00CD4FF2">
        <w:rPr>
          <w:rFonts w:cs="Arial"/>
          <w:u w:val="single"/>
          <w:rtl/>
        </w:rPr>
        <w:t>אמר להן, כך אני אומר</w:t>
      </w:r>
      <w:r w:rsidRPr="00A2673D">
        <w:rPr>
          <w:rFonts w:cs="Arial"/>
          <w:rtl/>
        </w:rPr>
        <w:t>: ראשונה נוטלת עישור נכסים, שניה - במה ששיירה, ושלישית - במה ששיירה, וחוזרות וחולקות בשוה.</w:t>
      </w:r>
      <w:r w:rsidRPr="00A2673D">
        <w:rPr>
          <w:rtl/>
        </w:rPr>
        <w:t xml:space="preserve"> </w:t>
      </w:r>
      <w:r>
        <w:rPr>
          <w:rFonts w:hint="cs"/>
          <w:sz w:val="14"/>
          <w:szCs w:val="14"/>
          <w:rtl/>
        </w:rPr>
        <w:t xml:space="preserve">(סח:) </w:t>
      </w:r>
      <w:r w:rsidRPr="00A2673D">
        <w:rPr>
          <w:rFonts w:cs="Arial"/>
          <w:rtl/>
        </w:rPr>
        <w:t>כל חדא וחדא דנפשה שקלה</w:t>
      </w:r>
      <w:r>
        <w:rPr>
          <w:rStyle w:val="a7"/>
          <w:rFonts w:cs="Arial"/>
          <w:rtl/>
        </w:rPr>
        <w:footnoteReference w:id="2696"/>
      </w:r>
      <w:r w:rsidRPr="00A2673D">
        <w:rPr>
          <w:rFonts w:cs="Arial"/>
          <w:rtl/>
        </w:rPr>
        <w:t>! הכי קאמר: אם באו כולם להנשא כאחת</w:t>
      </w:r>
      <w:r>
        <w:rPr>
          <w:rStyle w:val="a7"/>
          <w:rFonts w:cs="Arial"/>
          <w:rtl/>
        </w:rPr>
        <w:footnoteReference w:id="2697"/>
      </w:r>
      <w:r w:rsidRPr="00A2673D">
        <w:rPr>
          <w:rFonts w:cs="Arial"/>
          <w:rtl/>
        </w:rPr>
        <w:t xml:space="preserve"> - חולקות בשוה. מסייע ליה לרב מתנה, דאמר רב מתנה: אם באו להנשא כולם כאחת - נוטלות עישור אחד</w:t>
      </w:r>
      <w:r>
        <w:rPr>
          <w:rFonts w:cs="Arial" w:hint="cs"/>
          <w:rtl/>
        </w:rPr>
        <w:t>.</w:t>
      </w:r>
      <w:r w:rsidRPr="00A2673D">
        <w:rPr>
          <w:rFonts w:cs="Arial"/>
          <w:rtl/>
        </w:rPr>
        <w:t xml:space="preserve"> עישור אחד סלקא דעתך? אלא, נוטלות עישור כאחד.</w:t>
      </w:r>
    </w:p>
    <w:p w14:paraId="60CBC7C1" w14:textId="77777777" w:rsidR="00392DBB" w:rsidRPr="006155CA" w:rsidRDefault="00392DBB" w:rsidP="00392DBB">
      <w:pPr>
        <w:rPr>
          <w:u w:val="single"/>
          <w:rtl/>
        </w:rPr>
      </w:pPr>
      <w:r w:rsidRPr="006155CA">
        <w:rPr>
          <w:rFonts w:hint="cs"/>
          <w:u w:val="single"/>
          <w:rtl/>
        </w:rPr>
        <w:t>הניח מספר בנות שצריכות להנשא, כיצד מחשבים את העישור:</w:t>
      </w:r>
    </w:p>
    <w:p w14:paraId="04BB14A1" w14:textId="77777777" w:rsidR="00392DBB" w:rsidRPr="006155CA" w:rsidRDefault="00392DBB" w:rsidP="009000E3">
      <w:pPr>
        <w:pStyle w:val="ab"/>
        <w:numPr>
          <w:ilvl w:val="0"/>
          <w:numId w:val="63"/>
        </w:numPr>
      </w:pPr>
      <w:r>
        <w:rPr>
          <w:rFonts w:cs="Arial" w:hint="cs"/>
          <w:rtl/>
        </w:rPr>
        <w:t xml:space="preserve">טור- </w:t>
      </w:r>
      <w:r w:rsidRPr="00E04543">
        <w:rPr>
          <w:rFonts w:cs="Arial"/>
          <w:rtl/>
        </w:rPr>
        <w:t>אם יש בנות רבות להשיא</w:t>
      </w:r>
      <w:r>
        <w:rPr>
          <w:rFonts w:cs="Arial" w:hint="cs"/>
          <w:rtl/>
        </w:rPr>
        <w:t>,</w:t>
      </w:r>
      <w:r w:rsidRPr="00E04543">
        <w:rPr>
          <w:rFonts w:cs="Arial"/>
          <w:rtl/>
        </w:rPr>
        <w:t xml:space="preserve"> נותנין לראשונה עישור נכסים</w:t>
      </w:r>
      <w:r>
        <w:rPr>
          <w:rFonts w:cs="Arial" w:hint="cs"/>
          <w:rtl/>
        </w:rPr>
        <w:t>,</w:t>
      </w:r>
      <w:r w:rsidRPr="00E04543">
        <w:rPr>
          <w:rFonts w:cs="Arial"/>
          <w:rtl/>
        </w:rPr>
        <w:t xml:space="preserve"> ולשנייה עישור מה ששיירה הראשונה</w:t>
      </w:r>
      <w:r>
        <w:rPr>
          <w:rFonts w:cs="Arial" w:hint="cs"/>
          <w:rtl/>
        </w:rPr>
        <w:t>,</w:t>
      </w:r>
      <w:r w:rsidRPr="00E04543">
        <w:rPr>
          <w:rFonts w:cs="Arial"/>
          <w:rtl/>
        </w:rPr>
        <w:t xml:space="preserve"> וכן כולן</w:t>
      </w:r>
      <w:r>
        <w:rPr>
          <w:rFonts w:cs="Arial" w:hint="cs"/>
          <w:rtl/>
        </w:rPr>
        <w:t>.</w:t>
      </w:r>
      <w:r w:rsidRPr="00E04543">
        <w:rPr>
          <w:rFonts w:cs="Arial"/>
          <w:rtl/>
        </w:rPr>
        <w:t xml:space="preserve"> באו לישא כאחת</w:t>
      </w:r>
      <w:r>
        <w:rPr>
          <w:rFonts w:cs="Arial" w:hint="cs"/>
          <w:rtl/>
        </w:rPr>
        <w:t>,</w:t>
      </w:r>
      <w:r w:rsidRPr="00E04543">
        <w:rPr>
          <w:rFonts w:cs="Arial"/>
          <w:rtl/>
        </w:rPr>
        <w:t xml:space="preserve"> ראשונה נוטלת עישור נכסים</w:t>
      </w:r>
      <w:r>
        <w:rPr>
          <w:rFonts w:cs="Arial" w:hint="cs"/>
          <w:rtl/>
        </w:rPr>
        <w:t>,</w:t>
      </w:r>
      <w:r w:rsidRPr="00E04543">
        <w:rPr>
          <w:rFonts w:cs="Arial"/>
          <w:rtl/>
        </w:rPr>
        <w:t xml:space="preserve"> והשנייה עישור במה ששיירה ראשונה</w:t>
      </w:r>
      <w:r>
        <w:rPr>
          <w:rFonts w:cs="Arial" w:hint="cs"/>
          <w:rtl/>
        </w:rPr>
        <w:t>,</w:t>
      </w:r>
      <w:r w:rsidRPr="00E04543">
        <w:rPr>
          <w:rFonts w:cs="Arial"/>
          <w:rtl/>
        </w:rPr>
        <w:t xml:space="preserve"> והשלישית במה ששיירה שנייה</w:t>
      </w:r>
      <w:r>
        <w:rPr>
          <w:rFonts w:cs="Arial" w:hint="cs"/>
          <w:rtl/>
        </w:rPr>
        <w:t>,</w:t>
      </w:r>
      <w:r w:rsidRPr="00E04543">
        <w:rPr>
          <w:rFonts w:cs="Arial"/>
          <w:rtl/>
        </w:rPr>
        <w:t xml:space="preserve"> וחוזרות וחולקות כל העישורים בשוה</w:t>
      </w:r>
      <w:r>
        <w:rPr>
          <w:rFonts w:cs="Arial" w:hint="cs"/>
          <w:rtl/>
        </w:rPr>
        <w:t>,</w:t>
      </w:r>
      <w:r w:rsidRPr="00E04543">
        <w:rPr>
          <w:rFonts w:cs="Arial"/>
          <w:rtl/>
        </w:rPr>
        <w:t xml:space="preserve"> והמותר לבנים</w:t>
      </w:r>
      <w:r>
        <w:rPr>
          <w:rFonts w:cs="Arial" w:hint="cs"/>
          <w:rtl/>
        </w:rPr>
        <w:t>.</w:t>
      </w:r>
      <w:r w:rsidRPr="00E04543">
        <w:rPr>
          <w:rFonts w:cs="Arial"/>
          <w:rtl/>
        </w:rPr>
        <w:t xml:space="preserve"> </w:t>
      </w:r>
      <w:r w:rsidRPr="000009EE">
        <w:rPr>
          <w:rFonts w:cs="Arial" w:hint="cs"/>
          <w:color w:val="E36C0A" w:themeColor="accent6" w:themeShade="BF"/>
          <w:rtl/>
        </w:rPr>
        <w:t>(וכ"פ בשו"ע</w:t>
      </w:r>
      <w:r>
        <w:rPr>
          <w:rFonts w:cs="Arial" w:hint="cs"/>
          <w:color w:val="E36C0A" w:themeColor="accent6" w:themeShade="BF"/>
          <w:rtl/>
        </w:rPr>
        <w:t>)</w:t>
      </w:r>
    </w:p>
    <w:p w14:paraId="18130BFA" w14:textId="77777777" w:rsidR="00392DBB" w:rsidRPr="00DD61F7" w:rsidRDefault="00392DBB" w:rsidP="00392DBB">
      <w:pPr>
        <w:rPr>
          <w:u w:val="single"/>
        </w:rPr>
      </w:pPr>
      <w:r w:rsidRPr="00DD61F7">
        <w:rPr>
          <w:rFonts w:hint="cs"/>
          <w:u w:val="single"/>
          <w:rtl/>
        </w:rPr>
        <w:t>מתי הבת נוטל</w:t>
      </w:r>
      <w:r>
        <w:rPr>
          <w:rFonts w:hint="cs"/>
          <w:u w:val="single"/>
          <w:rtl/>
        </w:rPr>
        <w:t>ת</w:t>
      </w:r>
      <w:r w:rsidRPr="00DD61F7">
        <w:rPr>
          <w:rFonts w:hint="cs"/>
          <w:u w:val="single"/>
          <w:rtl/>
        </w:rPr>
        <w:t xml:space="preserve"> את עישור הנכסים:</w:t>
      </w:r>
    </w:p>
    <w:p w14:paraId="2DBF4519" w14:textId="178AC694" w:rsidR="00392DBB" w:rsidRPr="00DD61F7" w:rsidRDefault="00392DBB" w:rsidP="009000E3">
      <w:pPr>
        <w:pStyle w:val="ab"/>
        <w:numPr>
          <w:ilvl w:val="0"/>
          <w:numId w:val="63"/>
        </w:numPr>
      </w:pPr>
      <w:r w:rsidRPr="00A37DE1">
        <w:rPr>
          <w:rFonts w:cs="Arial"/>
          <w:rtl/>
        </w:rPr>
        <w:t>ר</w:t>
      </w:r>
      <w:r>
        <w:rPr>
          <w:rFonts w:cs="Arial" w:hint="cs"/>
          <w:rtl/>
        </w:rPr>
        <w:t>שב"א</w:t>
      </w:r>
      <w:r w:rsidRPr="00A37DE1">
        <w:rPr>
          <w:rFonts w:cs="Arial"/>
          <w:rtl/>
        </w:rPr>
        <w:t xml:space="preserve"> </w:t>
      </w:r>
      <w:r w:rsidRPr="00473B4D">
        <w:rPr>
          <w:rFonts w:cs="Arial" w:hint="cs"/>
          <w:sz w:val="16"/>
          <w:szCs w:val="16"/>
          <w:rtl/>
        </w:rPr>
        <w:t>(</w:t>
      </w:r>
      <w:r>
        <w:rPr>
          <w:rFonts w:cs="Arial" w:hint="cs"/>
          <w:sz w:val="16"/>
          <w:szCs w:val="16"/>
          <w:rtl/>
        </w:rPr>
        <w:t xml:space="preserve">במיוחסות </w:t>
      </w:r>
      <w:r w:rsidRPr="00473B4D">
        <w:rPr>
          <w:rFonts w:cs="Arial"/>
          <w:sz w:val="16"/>
          <w:szCs w:val="16"/>
          <w:rtl/>
        </w:rPr>
        <w:t>סי</w:t>
      </w:r>
      <w:r w:rsidRPr="00473B4D">
        <w:rPr>
          <w:rFonts w:cs="Arial" w:hint="cs"/>
          <w:sz w:val="16"/>
          <w:szCs w:val="16"/>
          <w:rtl/>
        </w:rPr>
        <w:t>'</w:t>
      </w:r>
      <w:r w:rsidRPr="00473B4D">
        <w:rPr>
          <w:rFonts w:cs="Arial"/>
          <w:sz w:val="16"/>
          <w:szCs w:val="16"/>
          <w:rtl/>
        </w:rPr>
        <w:t xml:space="preserve"> מו</w:t>
      </w:r>
      <w:r w:rsidRPr="00473B4D">
        <w:rPr>
          <w:rFonts w:cs="Arial" w:hint="cs"/>
          <w:sz w:val="16"/>
          <w:szCs w:val="16"/>
          <w:rtl/>
        </w:rPr>
        <w:t>)</w:t>
      </w:r>
      <w:r>
        <w:rPr>
          <w:rFonts w:cs="Arial" w:hint="cs"/>
          <w:rtl/>
        </w:rPr>
        <w:t xml:space="preserve"> והה"מ</w:t>
      </w:r>
      <w:r w:rsidRPr="006155CA">
        <w:rPr>
          <w:rFonts w:cs="Arial"/>
          <w:rtl/>
        </w:rPr>
        <w:t xml:space="preserve"> </w:t>
      </w:r>
      <w:r w:rsidRPr="00DD61F7">
        <w:rPr>
          <w:rFonts w:cs="Arial" w:hint="cs"/>
          <w:sz w:val="16"/>
          <w:szCs w:val="16"/>
          <w:rtl/>
        </w:rPr>
        <w:t>(</w:t>
      </w:r>
      <w:r w:rsidRPr="00DD61F7">
        <w:rPr>
          <w:rFonts w:cs="Arial"/>
          <w:sz w:val="16"/>
          <w:szCs w:val="16"/>
          <w:rtl/>
        </w:rPr>
        <w:t>פ</w:t>
      </w:r>
      <w:r w:rsidRPr="00DD61F7">
        <w:rPr>
          <w:rFonts w:cs="Arial" w:hint="cs"/>
          <w:sz w:val="16"/>
          <w:szCs w:val="16"/>
          <w:rtl/>
        </w:rPr>
        <w:t>"</w:t>
      </w:r>
      <w:r w:rsidRPr="00DD61F7">
        <w:rPr>
          <w:rFonts w:cs="Arial"/>
          <w:sz w:val="16"/>
          <w:szCs w:val="16"/>
          <w:rtl/>
        </w:rPr>
        <w:t>ב ה"ד)</w:t>
      </w:r>
      <w:r>
        <w:rPr>
          <w:rFonts w:cs="Arial" w:hint="cs"/>
          <w:rtl/>
        </w:rPr>
        <w:t>-</w:t>
      </w:r>
      <w:r w:rsidRPr="006155CA">
        <w:rPr>
          <w:rFonts w:cs="Arial"/>
          <w:rtl/>
        </w:rPr>
        <w:t xml:space="preserve"> אין הבת נוטלת פרנסתה אלא לזמן נישואיה</w:t>
      </w:r>
      <w:r>
        <w:rPr>
          <w:rFonts w:cs="Arial" w:hint="cs"/>
          <w:sz w:val="16"/>
          <w:szCs w:val="16"/>
          <w:rtl/>
        </w:rPr>
        <w:t xml:space="preserve"> (ל' הה"מ)</w:t>
      </w:r>
      <w:r w:rsidRPr="006155CA">
        <w:rPr>
          <w:rFonts w:cs="Arial"/>
          <w:rtl/>
        </w:rPr>
        <w:t>.</w:t>
      </w:r>
      <w:r>
        <w:rPr>
          <w:rFonts w:hint="cs"/>
          <w:rtl/>
        </w:rPr>
        <w:t xml:space="preserve"> </w:t>
      </w:r>
      <w:r w:rsidRPr="003439CD">
        <w:rPr>
          <w:rFonts w:hint="cs"/>
          <w:color w:val="00B0F0"/>
          <w:rtl/>
        </w:rPr>
        <w:t>(וכ"פ הרמ"א)</w:t>
      </w:r>
    </w:p>
    <w:p w14:paraId="1DCA8A4E" w14:textId="77777777" w:rsidR="00392DBB" w:rsidRPr="002C24EF" w:rsidRDefault="00392DBB" w:rsidP="00392DBB">
      <w:pPr>
        <w:rPr>
          <w:u w:val="single"/>
        </w:rPr>
      </w:pPr>
      <w:r w:rsidRPr="002C24EF">
        <w:rPr>
          <w:rFonts w:hint="cs"/>
          <w:u w:val="single"/>
          <w:rtl/>
        </w:rPr>
        <w:t>מתי אומדין דעת האב</w:t>
      </w:r>
      <w:r>
        <w:rPr>
          <w:rFonts w:hint="cs"/>
          <w:u w:val="single"/>
          <w:rtl/>
        </w:rPr>
        <w:t>, בשעת מיתה או בשעת נישואין</w:t>
      </w:r>
      <w:r w:rsidRPr="002C24EF">
        <w:rPr>
          <w:rFonts w:hint="cs"/>
          <w:u w:val="single"/>
          <w:rtl/>
        </w:rPr>
        <w:t>:</w:t>
      </w:r>
    </w:p>
    <w:p w14:paraId="7E288AFA" w14:textId="2E3702F4" w:rsidR="00392DBB" w:rsidRPr="006155CA" w:rsidRDefault="00392DBB" w:rsidP="009000E3">
      <w:pPr>
        <w:pStyle w:val="ab"/>
        <w:numPr>
          <w:ilvl w:val="0"/>
          <w:numId w:val="63"/>
        </w:numPr>
      </w:pPr>
      <w:r w:rsidRPr="006155CA">
        <w:rPr>
          <w:rFonts w:cs="Arial"/>
          <w:rtl/>
        </w:rPr>
        <w:t xml:space="preserve">רשב"א </w:t>
      </w:r>
      <w:r w:rsidRPr="002C24EF">
        <w:rPr>
          <w:rFonts w:cs="Arial"/>
          <w:sz w:val="16"/>
          <w:szCs w:val="16"/>
          <w:rtl/>
        </w:rPr>
        <w:t>(סח: ד"ה שוכרות)</w:t>
      </w:r>
      <w:r>
        <w:rPr>
          <w:rFonts w:cs="Arial" w:hint="cs"/>
          <w:rtl/>
        </w:rPr>
        <w:t>-</w:t>
      </w:r>
      <w:r w:rsidRPr="006155CA">
        <w:rPr>
          <w:rFonts w:cs="Arial"/>
          <w:rtl/>
        </w:rPr>
        <w:t xml:space="preserve"> </w:t>
      </w:r>
      <w:r w:rsidRPr="00724589">
        <w:rPr>
          <w:rFonts w:cs="Arial"/>
          <w:rtl/>
        </w:rPr>
        <w:t>שוכרות להם בעלים ומוציאין להם פרנסתם. מהא שמעינן דאינה נוטלת עשור נכסים עד שעת נשואין</w:t>
      </w:r>
      <w:r w:rsidR="00FB3C3A">
        <w:rPr>
          <w:rFonts w:cs="Arial" w:hint="cs"/>
          <w:rtl/>
        </w:rPr>
        <w:t>,</w:t>
      </w:r>
      <w:r w:rsidRPr="00724589">
        <w:rPr>
          <w:rFonts w:cs="Arial"/>
          <w:rtl/>
        </w:rPr>
        <w:t xml:space="preserve"> וה"נ שמעינן לה מדאמרינן לעיל באו כולן לינשא כאחת נוטלות עישור כאחת</w:t>
      </w:r>
      <w:r>
        <w:rPr>
          <w:rFonts w:cs="Arial" w:hint="cs"/>
          <w:rtl/>
        </w:rPr>
        <w:t>.</w:t>
      </w:r>
      <w:r w:rsidRPr="00724589">
        <w:rPr>
          <w:rFonts w:cs="Arial"/>
          <w:rtl/>
        </w:rPr>
        <w:t xml:space="preserve"> וה"ה להיכא דאמידניה לאב</w:t>
      </w:r>
      <w:r>
        <w:rPr>
          <w:rFonts w:cs="Arial" w:hint="cs"/>
          <w:rtl/>
        </w:rPr>
        <w:t>.</w:t>
      </w:r>
      <w:r w:rsidRPr="00724589">
        <w:rPr>
          <w:rFonts w:cs="Arial"/>
          <w:rtl/>
        </w:rPr>
        <w:t xml:space="preserve"> ומסתברא לי דהיכא דאזלינן בתר אומדנא דאב</w:t>
      </w:r>
      <w:r>
        <w:rPr>
          <w:rFonts w:cs="Arial" w:hint="cs"/>
          <w:rtl/>
        </w:rPr>
        <w:t>,</w:t>
      </w:r>
      <w:r w:rsidRPr="00724589">
        <w:rPr>
          <w:rFonts w:cs="Arial"/>
          <w:rtl/>
        </w:rPr>
        <w:t xml:space="preserve"> אע</w:t>
      </w:r>
      <w:r>
        <w:rPr>
          <w:rFonts w:cs="Arial" w:hint="cs"/>
          <w:rtl/>
        </w:rPr>
        <w:t>"</w:t>
      </w:r>
      <w:r w:rsidRPr="00724589">
        <w:rPr>
          <w:rFonts w:cs="Arial"/>
          <w:rtl/>
        </w:rPr>
        <w:t xml:space="preserve">ג דאין מוציאין לה עד שעת נשואין </w:t>
      </w:r>
      <w:r>
        <w:rPr>
          <w:rFonts w:cs="Arial" w:hint="cs"/>
          <w:rtl/>
        </w:rPr>
        <w:t xml:space="preserve">- </w:t>
      </w:r>
      <w:r w:rsidRPr="00724589">
        <w:rPr>
          <w:rFonts w:cs="Arial"/>
          <w:rtl/>
        </w:rPr>
        <w:t>אומדנא מיהא מהשתא</w:t>
      </w:r>
      <w:r w:rsidR="00914F30">
        <w:rPr>
          <w:rFonts w:cs="Arial" w:hint="cs"/>
          <w:sz w:val="16"/>
          <w:szCs w:val="16"/>
          <w:rtl/>
        </w:rPr>
        <w:t xml:space="preserve"> {שעת מיתה}</w:t>
      </w:r>
      <w:r w:rsidRPr="00724589">
        <w:rPr>
          <w:rFonts w:cs="Arial"/>
          <w:rtl/>
        </w:rPr>
        <w:t xml:space="preserve"> עבדינן, דהא אמדינן ליה לפי נכסי מקרקעי ומטלטלי וכדכתיבנא לעיל</w:t>
      </w:r>
      <w:r>
        <w:rPr>
          <w:rFonts w:cs="Arial" w:hint="cs"/>
          <w:rtl/>
        </w:rPr>
        <w:t>,</w:t>
      </w:r>
      <w:r w:rsidRPr="00724589">
        <w:rPr>
          <w:rFonts w:cs="Arial"/>
          <w:rtl/>
        </w:rPr>
        <w:t xml:space="preserve"> והשתא הוא דידעינן לפי אומדן דעתא מאי דשבק אב, ו</w:t>
      </w:r>
      <w:r>
        <w:rPr>
          <w:rFonts w:cs="Arial" w:hint="cs"/>
          <w:rtl/>
        </w:rPr>
        <w:t>ע</w:t>
      </w:r>
      <w:r w:rsidRPr="00724589">
        <w:rPr>
          <w:rFonts w:cs="Arial"/>
          <w:rtl/>
        </w:rPr>
        <w:t>ד דאתי לקמי בי דינא דילמא לא ידעי ובמאי אמדינן, אלא מהשתא אומדין בית דין ופוסקין לה מאי דחזו לה למשקל כנ"ל</w:t>
      </w:r>
      <w:r>
        <w:rPr>
          <w:rFonts w:cs="Arial" w:hint="cs"/>
          <w:rtl/>
        </w:rPr>
        <w:t>.</w:t>
      </w:r>
      <w:r w:rsidRPr="003439CD">
        <w:rPr>
          <w:rFonts w:hint="cs"/>
          <w:color w:val="00B0F0"/>
          <w:rtl/>
        </w:rPr>
        <w:t xml:space="preserve"> (וכ"פ הרמ"א)</w:t>
      </w:r>
    </w:p>
    <w:p w14:paraId="7468A54F" w14:textId="77777777" w:rsidR="00392DBB" w:rsidRPr="00B946AC" w:rsidRDefault="00392DBB" w:rsidP="00392DBB">
      <w:pPr>
        <w:ind w:left="360"/>
        <w:rPr>
          <w:u w:val="dotted"/>
        </w:rPr>
      </w:pPr>
      <w:r w:rsidRPr="00B946AC">
        <w:rPr>
          <w:rFonts w:hint="cs"/>
          <w:u w:val="dotted"/>
          <w:rtl/>
        </w:rPr>
        <w:t>האם הדין כן גם כשעושים עישור נכסים:</w:t>
      </w:r>
    </w:p>
    <w:p w14:paraId="6D9AB7B7" w14:textId="16DC6E9D" w:rsidR="00392DBB" w:rsidRDefault="00392DBB" w:rsidP="009000E3">
      <w:pPr>
        <w:pStyle w:val="ab"/>
        <w:numPr>
          <w:ilvl w:val="0"/>
          <w:numId w:val="63"/>
        </w:numPr>
        <w:rPr>
          <w:rtl/>
        </w:rPr>
      </w:pPr>
      <w:r w:rsidRPr="006155CA">
        <w:rPr>
          <w:rFonts w:cs="Arial"/>
          <w:rtl/>
        </w:rPr>
        <w:t>ר"ן</w:t>
      </w:r>
      <w:r w:rsidRPr="00B946AC">
        <w:rPr>
          <w:rFonts w:cs="Arial"/>
          <w:sz w:val="16"/>
          <w:szCs w:val="16"/>
          <w:rtl/>
        </w:rPr>
        <w:t xml:space="preserve"> </w:t>
      </w:r>
      <w:r w:rsidRPr="00B946AC">
        <w:rPr>
          <w:rFonts w:cs="Arial" w:hint="cs"/>
          <w:sz w:val="16"/>
          <w:szCs w:val="16"/>
          <w:rtl/>
        </w:rPr>
        <w:t>(</w:t>
      </w:r>
      <w:r w:rsidRPr="00B946AC">
        <w:rPr>
          <w:rFonts w:cs="Arial"/>
          <w:sz w:val="16"/>
          <w:szCs w:val="16"/>
          <w:rtl/>
        </w:rPr>
        <w:t>פ</w:t>
      </w:r>
      <w:r w:rsidRPr="00B946AC">
        <w:rPr>
          <w:rFonts w:cs="Arial" w:hint="cs"/>
          <w:sz w:val="16"/>
          <w:szCs w:val="16"/>
          <w:rtl/>
        </w:rPr>
        <w:t>'</w:t>
      </w:r>
      <w:r w:rsidRPr="00B946AC">
        <w:rPr>
          <w:rFonts w:cs="Arial"/>
          <w:sz w:val="16"/>
          <w:szCs w:val="16"/>
          <w:rtl/>
        </w:rPr>
        <w:t xml:space="preserve"> מציאת האשה ל.)</w:t>
      </w:r>
      <w:r>
        <w:rPr>
          <w:rFonts w:cs="Arial" w:hint="cs"/>
          <w:rtl/>
        </w:rPr>
        <w:t>-</w:t>
      </w:r>
      <w:r w:rsidRPr="006155CA">
        <w:rPr>
          <w:rFonts w:cs="Arial"/>
          <w:rtl/>
        </w:rPr>
        <w:t xml:space="preserve"> על זה תמהני אם הדין כן כי לא אמידניה נמי</w:t>
      </w:r>
      <w:r>
        <w:rPr>
          <w:rFonts w:cs="Arial" w:hint="cs"/>
          <w:rtl/>
        </w:rPr>
        <w:t>,</w:t>
      </w:r>
      <w:r w:rsidRPr="006155CA">
        <w:rPr>
          <w:rFonts w:cs="Arial"/>
          <w:rtl/>
        </w:rPr>
        <w:t xml:space="preserve"> למה אין עושין כן כדי לידע שיעור הנכסים</w:t>
      </w:r>
      <w:r>
        <w:rPr>
          <w:rFonts w:cs="Arial" w:hint="cs"/>
          <w:rtl/>
        </w:rPr>
        <w:t>.</w:t>
      </w:r>
      <w:r w:rsidRPr="006155CA">
        <w:rPr>
          <w:rFonts w:cs="Arial"/>
          <w:rtl/>
        </w:rPr>
        <w:t xml:space="preserve"> ואיפשר שהוא סובר דבדלא אמידניה אין נותנין לה אלא עישור הקרקעות ולפיכך אין צורך לפסוק לה בשעת מיתה</w:t>
      </w:r>
      <w:r>
        <w:rPr>
          <w:rFonts w:cs="Arial" w:hint="cs"/>
          <w:rtl/>
        </w:rPr>
        <w:t>,</w:t>
      </w:r>
      <w:r w:rsidRPr="006155CA">
        <w:rPr>
          <w:rFonts w:cs="Arial"/>
          <w:rtl/>
        </w:rPr>
        <w:t xml:space="preserve"> שהקרקעות ידועים הם ואם מכרו אחיה הא קיי"ל (סט.) דמוציאין לפרנסה</w:t>
      </w:r>
      <w:r>
        <w:rPr>
          <w:rFonts w:cs="Arial" w:hint="cs"/>
          <w:rtl/>
        </w:rPr>
        <w:t>.</w:t>
      </w:r>
      <w:r w:rsidRPr="006155CA">
        <w:rPr>
          <w:rFonts w:cs="Arial"/>
          <w:rtl/>
        </w:rPr>
        <w:t xml:space="preserve"> אבל לפי דעתי אע</w:t>
      </w:r>
      <w:r>
        <w:rPr>
          <w:rFonts w:cs="Arial" w:hint="cs"/>
          <w:rtl/>
        </w:rPr>
        <w:t>"</w:t>
      </w:r>
      <w:r w:rsidRPr="006155CA">
        <w:rPr>
          <w:rFonts w:cs="Arial"/>
          <w:rtl/>
        </w:rPr>
        <w:t>פ שאין הפרנסה נגבית אלא מן הקרקעות מכל מקום גובה היא מהם כדי עישור כל נכסיו ואפילו כנגד מטלטלין</w:t>
      </w:r>
      <w:r>
        <w:rPr>
          <w:rFonts w:cs="Arial" w:hint="cs"/>
          <w:rtl/>
        </w:rPr>
        <w:t>...</w:t>
      </w:r>
      <w:r w:rsidRPr="00C25749">
        <w:rPr>
          <w:rtl/>
        </w:rPr>
        <w:t xml:space="preserve"> </w:t>
      </w:r>
      <w:r>
        <w:rPr>
          <w:rStyle w:val="a7"/>
          <w:rFonts w:cs="Arial"/>
          <w:rtl/>
        </w:rPr>
        <w:footnoteReference w:id="2698"/>
      </w:r>
      <w:r w:rsidRPr="00C25749">
        <w:rPr>
          <w:rFonts w:cs="Arial"/>
          <w:rtl/>
        </w:rPr>
        <w:t xml:space="preserve">ולפיכך אם הדין כן </w:t>
      </w:r>
      <w:r w:rsidR="00711AA2">
        <w:rPr>
          <w:rFonts w:cs="Arial" w:hint="cs"/>
          <w:rtl/>
        </w:rPr>
        <w:t xml:space="preserve">- </w:t>
      </w:r>
      <w:r w:rsidRPr="00C25749">
        <w:rPr>
          <w:rFonts w:cs="Arial"/>
          <w:rtl/>
        </w:rPr>
        <w:t>אפילו בדלא אמדינן ראוי שיפסקו לה בית דין חלקה אחר מיתת האב</w:t>
      </w:r>
      <w:r>
        <w:rPr>
          <w:rFonts w:hint="cs"/>
          <w:rtl/>
        </w:rPr>
        <w:t>.</w:t>
      </w:r>
    </w:p>
    <w:p w14:paraId="6386D699"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6E393CF" w14:textId="77777777" w:rsidR="00392DBB" w:rsidRPr="00847391" w:rsidRDefault="00392DBB" w:rsidP="00392DBB">
      <w:pPr>
        <w:rPr>
          <w:rtl/>
        </w:rPr>
      </w:pPr>
      <w:r>
        <w:rPr>
          <w:rFonts w:cs="Arial"/>
          <w:rtl/>
        </w:rPr>
        <w:t xml:space="preserve">הניח בנות רבות, כל שתבא לינשא נותנין לה עישור הנכסים, ושל אחריה עישור מה ששיירה הראשונה, ושל אחריה עישור מה ששיירה שניה. ואם באו כלם לינשא כאחת, ראשונה נוטלת עישור, ושניה עישור מה ששיירה ראשונה, וכן </w:t>
      </w:r>
      <w:r>
        <w:rPr>
          <w:rFonts w:cs="Arial"/>
          <w:rtl/>
        </w:rPr>
        <w:lastRenderedPageBreak/>
        <w:t xml:space="preserve">אפילו הן עשר, וחוזרת וחולקות כל העישורים בשוה. </w:t>
      </w:r>
      <w:r w:rsidRPr="00F038E9">
        <w:rPr>
          <w:rFonts w:cs="Arial"/>
          <w:sz w:val="18"/>
          <w:szCs w:val="18"/>
          <w:rtl/>
        </w:rPr>
        <w:t>הגה: אע</w:t>
      </w:r>
      <w:r>
        <w:rPr>
          <w:rFonts w:cs="Arial" w:hint="cs"/>
          <w:sz w:val="18"/>
          <w:szCs w:val="18"/>
          <w:rtl/>
        </w:rPr>
        <w:t>"</w:t>
      </w:r>
      <w:r w:rsidRPr="00F038E9">
        <w:rPr>
          <w:rFonts w:cs="Arial"/>
          <w:sz w:val="18"/>
          <w:szCs w:val="18"/>
          <w:rtl/>
        </w:rPr>
        <w:t>פ שעישור נכסים אינה נגבה עד שתבא הבת להנשא, מכל מקום משערים לפי מה שהניח בעת מותו. וכן אם אומדים אותו, אומדים אותו מיד שמת, ואינה נוטלת עד שתנשא (</w:t>
      </w:r>
      <w:r>
        <w:rPr>
          <w:rFonts w:cs="Arial" w:hint="cs"/>
          <w:sz w:val="18"/>
          <w:szCs w:val="18"/>
          <w:rtl/>
        </w:rPr>
        <w:t>רשב"א</w:t>
      </w:r>
      <w:r w:rsidRPr="00F038E9">
        <w:rPr>
          <w:rFonts w:cs="Arial"/>
          <w:sz w:val="18"/>
          <w:szCs w:val="18"/>
          <w:rtl/>
        </w:rPr>
        <w:t xml:space="preserve">). </w:t>
      </w:r>
    </w:p>
    <w:p w14:paraId="23AA3914" w14:textId="69C9D980" w:rsidR="00392DBB" w:rsidRPr="009357EC" w:rsidRDefault="00392DBB" w:rsidP="00392DBB">
      <w:pPr>
        <w:rPr>
          <w:rFonts w:cs="Arial"/>
          <w:u w:val="single"/>
          <w:rtl/>
        </w:rPr>
      </w:pPr>
      <w:r w:rsidRPr="009357EC">
        <w:rPr>
          <w:rFonts w:cs="Arial" w:hint="cs"/>
          <w:u w:val="single"/>
          <w:rtl/>
        </w:rPr>
        <w:t>אחים שהרוויחו מ</w:t>
      </w:r>
      <w:r>
        <w:rPr>
          <w:rFonts w:cs="Arial" w:hint="cs"/>
          <w:u w:val="single"/>
          <w:rtl/>
        </w:rPr>
        <w:t>עישור הנכסים</w:t>
      </w:r>
      <w:r w:rsidRPr="009357EC">
        <w:rPr>
          <w:rFonts w:cs="Arial" w:hint="cs"/>
          <w:u w:val="single"/>
          <w:rtl/>
        </w:rPr>
        <w:t xml:space="preserve"> שפסקו בית </w:t>
      </w:r>
      <w:r>
        <w:rPr>
          <w:rFonts w:cs="Arial" w:hint="cs"/>
          <w:u w:val="single"/>
          <w:rtl/>
        </w:rPr>
        <w:t>ה</w:t>
      </w:r>
      <w:r w:rsidRPr="009357EC">
        <w:rPr>
          <w:rFonts w:cs="Arial" w:hint="cs"/>
          <w:u w:val="single"/>
          <w:rtl/>
        </w:rPr>
        <w:t xml:space="preserve">דין לבנות </w:t>
      </w:r>
      <w:r w:rsidR="00F97626">
        <w:rPr>
          <w:rFonts w:cs="Arial"/>
          <w:u w:val="single"/>
          <w:rtl/>
        </w:rPr>
        <w:t>-</w:t>
      </w:r>
      <w:r w:rsidRPr="009357EC">
        <w:rPr>
          <w:rFonts w:cs="Arial" w:hint="cs"/>
          <w:u w:val="single"/>
          <w:rtl/>
        </w:rPr>
        <w:t xml:space="preserve"> למי הרווחים:</w:t>
      </w:r>
      <w:r w:rsidRPr="00847391">
        <w:rPr>
          <w:rFonts w:cs="Arial" w:hint="cs"/>
          <w:sz w:val="16"/>
          <w:szCs w:val="16"/>
          <w:rtl/>
        </w:rPr>
        <w:t xml:space="preserve"> </w:t>
      </w:r>
      <w:r>
        <w:rPr>
          <w:rFonts w:cs="Arial" w:hint="cs"/>
          <w:sz w:val="16"/>
          <w:szCs w:val="16"/>
          <w:rtl/>
        </w:rPr>
        <w:t xml:space="preserve"> </w:t>
      </w:r>
      <w:r w:rsidRPr="00847391">
        <w:rPr>
          <w:rFonts w:cs="Arial" w:hint="cs"/>
          <w:sz w:val="16"/>
          <w:szCs w:val="16"/>
          <w:rtl/>
        </w:rPr>
        <w:t xml:space="preserve">(באה"ט </w:t>
      </w:r>
      <w:r>
        <w:rPr>
          <w:rFonts w:cs="Arial" w:hint="cs"/>
          <w:sz w:val="16"/>
          <w:szCs w:val="16"/>
          <w:rtl/>
        </w:rPr>
        <w:t>[</w:t>
      </w:r>
      <w:r w:rsidRPr="00847391">
        <w:rPr>
          <w:rFonts w:cs="Arial" w:hint="cs"/>
          <w:sz w:val="16"/>
          <w:szCs w:val="16"/>
          <w:rtl/>
        </w:rPr>
        <w:t>סקט"ו</w:t>
      </w:r>
      <w:r>
        <w:rPr>
          <w:rFonts w:cs="Arial" w:hint="cs"/>
          <w:sz w:val="16"/>
          <w:szCs w:val="16"/>
          <w:rtl/>
        </w:rPr>
        <w:t>] ופת"ש [סק"י]</w:t>
      </w:r>
      <w:r w:rsidRPr="00847391">
        <w:rPr>
          <w:rFonts w:cs="Arial" w:hint="cs"/>
          <w:sz w:val="16"/>
          <w:szCs w:val="16"/>
          <w:rtl/>
        </w:rPr>
        <w:t>)</w:t>
      </w:r>
    </w:p>
    <w:p w14:paraId="545C75AD" w14:textId="77777777" w:rsidR="00392DBB" w:rsidRDefault="00392DBB" w:rsidP="009000E3">
      <w:pPr>
        <w:pStyle w:val="ab"/>
        <w:numPr>
          <w:ilvl w:val="0"/>
          <w:numId w:val="63"/>
        </w:numPr>
        <w:rPr>
          <w:rFonts w:cs="Arial"/>
        </w:rPr>
      </w:pPr>
      <w:r w:rsidRPr="00CD6DC5">
        <w:rPr>
          <w:rFonts w:cs="Arial"/>
          <w:rtl/>
        </w:rPr>
        <w:t xml:space="preserve">רש"ך </w:t>
      </w:r>
      <w:r w:rsidRPr="00CD6DC5">
        <w:rPr>
          <w:rFonts w:cs="Arial" w:hint="cs"/>
          <w:sz w:val="16"/>
          <w:szCs w:val="16"/>
          <w:rtl/>
        </w:rPr>
        <w:t>(</w:t>
      </w:r>
      <w:r w:rsidRPr="00CD6DC5">
        <w:rPr>
          <w:rFonts w:cs="Arial"/>
          <w:sz w:val="16"/>
          <w:szCs w:val="16"/>
          <w:rtl/>
        </w:rPr>
        <w:t>ח"א סי' רב</w:t>
      </w:r>
      <w:r w:rsidRPr="00CD6DC5">
        <w:rPr>
          <w:rFonts w:cs="Arial" w:hint="cs"/>
          <w:sz w:val="16"/>
          <w:szCs w:val="16"/>
          <w:rtl/>
        </w:rPr>
        <w:t>)</w:t>
      </w:r>
      <w:r w:rsidRPr="00CD6DC5">
        <w:rPr>
          <w:rFonts w:cs="Arial" w:hint="cs"/>
          <w:rtl/>
        </w:rPr>
        <w:t>-</w:t>
      </w:r>
      <w:r w:rsidRPr="00CD6DC5">
        <w:rPr>
          <w:rFonts w:cs="Arial"/>
          <w:rtl/>
        </w:rPr>
        <w:t xml:space="preserve"> כיון שאין העישור נגבה עד שעת נשואין </w:t>
      </w:r>
      <w:r>
        <w:rPr>
          <w:rFonts w:cs="Arial" w:hint="cs"/>
          <w:rtl/>
        </w:rPr>
        <w:t xml:space="preserve">- </w:t>
      </w:r>
      <w:r w:rsidRPr="00CD6DC5">
        <w:rPr>
          <w:rFonts w:cs="Arial"/>
          <w:rtl/>
        </w:rPr>
        <w:t>הנכסים בחזקת האחים קיימי וכל מה שירויחו עם הנכסים הם שלהם</w:t>
      </w:r>
      <w:r>
        <w:rPr>
          <w:rFonts w:cs="Arial" w:hint="cs"/>
          <w:rtl/>
        </w:rPr>
        <w:t>.</w:t>
      </w:r>
      <w:r w:rsidRPr="00CD6DC5">
        <w:rPr>
          <w:rFonts w:cs="Arial"/>
          <w:rtl/>
        </w:rPr>
        <w:t xml:space="preserve"> אמנם טוב הוא שיחלקו הריוח</w:t>
      </w:r>
      <w:r>
        <w:rPr>
          <w:rFonts w:cs="Arial" w:hint="cs"/>
          <w:rtl/>
        </w:rPr>
        <w:t>,</w:t>
      </w:r>
      <w:r w:rsidRPr="00CD6DC5">
        <w:rPr>
          <w:rFonts w:cs="Arial"/>
          <w:rtl/>
        </w:rPr>
        <w:t xml:space="preserve"> החצי תטול הבת והחצי יטלו כל האחים</w:t>
      </w:r>
      <w:r>
        <w:rPr>
          <w:rStyle w:val="a7"/>
          <w:rFonts w:cs="Arial"/>
          <w:rtl/>
        </w:rPr>
        <w:footnoteReference w:id="2699"/>
      </w:r>
      <w:r w:rsidRPr="00CD6DC5">
        <w:rPr>
          <w:rFonts w:cs="Arial"/>
          <w:rtl/>
        </w:rPr>
        <w:t xml:space="preserve">. </w:t>
      </w:r>
    </w:p>
    <w:p w14:paraId="7A1B5DA3" w14:textId="33917949" w:rsidR="00392DBB" w:rsidRPr="00847391" w:rsidRDefault="00392DBB" w:rsidP="00392DBB">
      <w:pPr>
        <w:rPr>
          <w:u w:val="single"/>
        </w:rPr>
      </w:pPr>
      <w:r w:rsidRPr="00847391">
        <w:rPr>
          <w:rFonts w:hint="cs"/>
          <w:u w:val="single"/>
          <w:rtl/>
        </w:rPr>
        <w:t>בן ש</w:t>
      </w:r>
      <w:r>
        <w:rPr>
          <w:rFonts w:hint="cs"/>
          <w:u w:val="single"/>
          <w:rtl/>
        </w:rPr>
        <w:t>מפסיד</w:t>
      </w:r>
      <w:r w:rsidRPr="00847391">
        <w:rPr>
          <w:rFonts w:hint="cs"/>
          <w:u w:val="single"/>
          <w:rtl/>
        </w:rPr>
        <w:t xml:space="preserve"> </w:t>
      </w:r>
      <w:r>
        <w:rPr>
          <w:rFonts w:hint="cs"/>
          <w:u w:val="single"/>
          <w:rtl/>
        </w:rPr>
        <w:t>מעישור ה</w:t>
      </w:r>
      <w:r w:rsidRPr="00847391">
        <w:rPr>
          <w:rFonts w:hint="cs"/>
          <w:u w:val="single"/>
          <w:rtl/>
        </w:rPr>
        <w:t>נכסים שפסקו בית הדין לבנות</w:t>
      </w:r>
      <w:r>
        <w:rPr>
          <w:rFonts w:hint="cs"/>
          <w:u w:val="single"/>
          <w:rtl/>
        </w:rPr>
        <w:t xml:space="preserve"> </w:t>
      </w:r>
      <w:r w:rsidR="00F97626">
        <w:rPr>
          <w:u w:val="single"/>
          <w:rtl/>
        </w:rPr>
        <w:t>-</w:t>
      </w:r>
      <w:r>
        <w:rPr>
          <w:rFonts w:hint="cs"/>
          <w:u w:val="single"/>
          <w:rtl/>
        </w:rPr>
        <w:t xml:space="preserve"> האם מוציאים ממנו</w:t>
      </w:r>
      <w:r w:rsidRPr="00847391">
        <w:rPr>
          <w:rFonts w:hint="cs"/>
          <w:u w:val="single"/>
          <w:rtl/>
        </w:rPr>
        <w:t>:</w:t>
      </w:r>
      <w:r w:rsidRPr="00847391">
        <w:rPr>
          <w:rFonts w:cs="Arial" w:hint="cs"/>
          <w:sz w:val="16"/>
          <w:szCs w:val="16"/>
          <w:rtl/>
        </w:rPr>
        <w:t xml:space="preserve"> (באה"ט </w:t>
      </w:r>
      <w:r>
        <w:rPr>
          <w:rFonts w:cs="Arial" w:hint="cs"/>
          <w:sz w:val="16"/>
          <w:szCs w:val="16"/>
          <w:rtl/>
        </w:rPr>
        <w:t>[</w:t>
      </w:r>
      <w:r w:rsidRPr="00847391">
        <w:rPr>
          <w:rFonts w:cs="Arial" w:hint="cs"/>
          <w:sz w:val="16"/>
          <w:szCs w:val="16"/>
          <w:rtl/>
        </w:rPr>
        <w:t>סקט"ו</w:t>
      </w:r>
      <w:r>
        <w:rPr>
          <w:rFonts w:cs="Arial" w:hint="cs"/>
          <w:sz w:val="16"/>
          <w:szCs w:val="16"/>
          <w:rtl/>
        </w:rPr>
        <w:t>] ופת"ש [סק"י]</w:t>
      </w:r>
      <w:r w:rsidRPr="00847391">
        <w:rPr>
          <w:rFonts w:cs="Arial" w:hint="cs"/>
          <w:sz w:val="16"/>
          <w:szCs w:val="16"/>
          <w:rtl/>
        </w:rPr>
        <w:t>)</w:t>
      </w:r>
    </w:p>
    <w:p w14:paraId="06E436B8" w14:textId="77777777" w:rsidR="00392DBB" w:rsidRPr="0012512E" w:rsidRDefault="00392DBB" w:rsidP="009000E3">
      <w:pPr>
        <w:pStyle w:val="ab"/>
        <w:numPr>
          <w:ilvl w:val="0"/>
          <w:numId w:val="63"/>
        </w:numPr>
      </w:pPr>
      <w:r w:rsidRPr="00CD6DC5">
        <w:rPr>
          <w:rFonts w:cs="Arial"/>
          <w:rtl/>
        </w:rPr>
        <w:t>כנה"ג</w:t>
      </w:r>
      <w:r>
        <w:rPr>
          <w:rFonts w:cs="Arial" w:hint="cs"/>
          <w:rtl/>
        </w:rPr>
        <w:t xml:space="preserve"> </w:t>
      </w:r>
      <w:r w:rsidRPr="0012512E">
        <w:rPr>
          <w:rFonts w:cs="Arial" w:hint="cs"/>
          <w:sz w:val="16"/>
          <w:szCs w:val="16"/>
          <w:rtl/>
        </w:rPr>
        <w:t>(הגב"י סע' ו)</w:t>
      </w:r>
      <w:r w:rsidRPr="0012512E">
        <w:rPr>
          <w:rFonts w:cs="Arial"/>
          <w:sz w:val="16"/>
          <w:szCs w:val="16"/>
          <w:rtl/>
        </w:rPr>
        <w:t xml:space="preserve"> </w:t>
      </w:r>
      <w:r w:rsidRPr="00CD6DC5">
        <w:rPr>
          <w:rFonts w:cs="Arial"/>
          <w:rtl/>
        </w:rPr>
        <w:t>בש</w:t>
      </w:r>
      <w:r>
        <w:rPr>
          <w:rFonts w:cs="Arial" w:hint="cs"/>
          <w:rtl/>
        </w:rPr>
        <w:t>ם</w:t>
      </w:r>
      <w:r w:rsidRPr="00CD6DC5">
        <w:rPr>
          <w:rFonts w:cs="Arial"/>
          <w:rtl/>
        </w:rPr>
        <w:t xml:space="preserve"> הרדב"ז </w:t>
      </w:r>
      <w:r w:rsidRPr="0012512E">
        <w:rPr>
          <w:rFonts w:cs="Arial" w:hint="cs"/>
          <w:sz w:val="16"/>
          <w:szCs w:val="16"/>
          <w:rtl/>
        </w:rPr>
        <w:t>(ח"א סי' תל)</w:t>
      </w:r>
      <w:r>
        <w:rPr>
          <w:rFonts w:cs="Arial" w:hint="cs"/>
          <w:rtl/>
        </w:rPr>
        <w:t xml:space="preserve">- </w:t>
      </w:r>
      <w:r w:rsidRPr="00CD6DC5">
        <w:rPr>
          <w:rFonts w:cs="Arial"/>
          <w:rtl/>
        </w:rPr>
        <w:t>כיון דעישור נכסי אינו נגבה עד שעת נשואין אפי' שהבן מפסיד הנכסים</w:t>
      </w:r>
      <w:r>
        <w:rPr>
          <w:rFonts w:cs="Arial" w:hint="cs"/>
          <w:rtl/>
        </w:rPr>
        <w:t>,</w:t>
      </w:r>
      <w:r w:rsidRPr="00CD6DC5">
        <w:rPr>
          <w:rFonts w:cs="Arial"/>
          <w:rtl/>
        </w:rPr>
        <w:t xml:space="preserve"> </w:t>
      </w:r>
      <w:r>
        <w:rPr>
          <w:rFonts w:cs="Arial" w:hint="cs"/>
          <w:rtl/>
        </w:rPr>
        <w:t>ו</w:t>
      </w:r>
      <w:r w:rsidRPr="00CD6DC5">
        <w:rPr>
          <w:rFonts w:cs="Arial"/>
          <w:rtl/>
        </w:rPr>
        <w:t>אפי' הנכסים ביד שליש</w:t>
      </w:r>
      <w:r>
        <w:rPr>
          <w:rFonts w:cs="Arial" w:hint="cs"/>
          <w:rtl/>
        </w:rPr>
        <w:t xml:space="preserve"> -</w:t>
      </w:r>
      <w:r w:rsidRPr="00CD6DC5">
        <w:rPr>
          <w:rFonts w:cs="Arial"/>
          <w:rtl/>
        </w:rPr>
        <w:t xml:space="preserve"> ינתנו ביד הבן</w:t>
      </w:r>
      <w:r>
        <w:rPr>
          <w:rStyle w:val="a7"/>
          <w:rFonts w:cs="Arial"/>
          <w:rtl/>
        </w:rPr>
        <w:footnoteReference w:id="2700"/>
      </w:r>
      <w:r>
        <w:rPr>
          <w:rFonts w:cs="Arial" w:hint="cs"/>
          <w:rtl/>
        </w:rPr>
        <w:t>.</w:t>
      </w:r>
      <w:r w:rsidRPr="00CD6DC5">
        <w:rPr>
          <w:rFonts w:cs="Arial"/>
          <w:rtl/>
        </w:rPr>
        <w:t xml:space="preserve"> </w:t>
      </w:r>
    </w:p>
    <w:p w14:paraId="7C13F819" w14:textId="77777777" w:rsidR="00392DBB" w:rsidRPr="009357EC" w:rsidRDefault="00392DBB" w:rsidP="009000E3">
      <w:pPr>
        <w:pStyle w:val="ab"/>
        <w:numPr>
          <w:ilvl w:val="0"/>
          <w:numId w:val="63"/>
        </w:numPr>
        <w:rPr>
          <w:rFonts w:cs="Arial"/>
          <w:rtl/>
        </w:rPr>
      </w:pPr>
      <w:r>
        <w:rPr>
          <w:rFonts w:cs="Arial" w:hint="cs"/>
          <w:rtl/>
        </w:rPr>
        <w:t xml:space="preserve">ישועות יעקב </w:t>
      </w:r>
      <w:r w:rsidRPr="009357EC">
        <w:rPr>
          <w:rFonts w:cs="Arial" w:hint="cs"/>
          <w:sz w:val="16"/>
          <w:szCs w:val="16"/>
          <w:rtl/>
        </w:rPr>
        <w:t>(סק"ה)</w:t>
      </w:r>
      <w:r>
        <w:rPr>
          <w:rFonts w:cs="Arial" w:hint="cs"/>
          <w:rtl/>
        </w:rPr>
        <w:t xml:space="preserve">- </w:t>
      </w:r>
      <w:r w:rsidRPr="0012512E">
        <w:rPr>
          <w:rFonts w:cs="Arial"/>
          <w:rtl/>
        </w:rPr>
        <w:t xml:space="preserve">הדין בזה כמו בבע"ח קודם זמנו אם מתמוטט או מבזבז נכסיו </w:t>
      </w:r>
      <w:r w:rsidRPr="009357EC">
        <w:rPr>
          <w:rFonts w:cs="Arial"/>
          <w:sz w:val="16"/>
          <w:szCs w:val="16"/>
          <w:rtl/>
        </w:rPr>
        <w:t>(שנתבאר בח</w:t>
      </w:r>
      <w:r>
        <w:rPr>
          <w:rFonts w:cs="Arial" w:hint="cs"/>
          <w:sz w:val="16"/>
          <w:szCs w:val="16"/>
          <w:rtl/>
        </w:rPr>
        <w:t>ו</w:t>
      </w:r>
      <w:r w:rsidRPr="009357EC">
        <w:rPr>
          <w:rFonts w:cs="Arial"/>
          <w:sz w:val="16"/>
          <w:szCs w:val="16"/>
          <w:rtl/>
        </w:rPr>
        <w:t>"מ סי' עג ס"י)</w:t>
      </w:r>
      <w:r>
        <w:rPr>
          <w:rFonts w:cs="Arial" w:hint="cs"/>
          <w:rtl/>
        </w:rPr>
        <w:t>.</w:t>
      </w:r>
    </w:p>
    <w:p w14:paraId="2521CD52" w14:textId="24790768" w:rsidR="00392DBB" w:rsidRPr="00847391" w:rsidRDefault="00392DBB" w:rsidP="00392DBB">
      <w:pPr>
        <w:rPr>
          <w:u w:val="single"/>
        </w:rPr>
      </w:pPr>
      <w:r w:rsidRPr="00847391">
        <w:rPr>
          <w:rFonts w:hint="cs"/>
          <w:u w:val="single"/>
          <w:rtl/>
        </w:rPr>
        <w:t xml:space="preserve">אחים שרוצים ללכת לעיר אחרת </w:t>
      </w:r>
      <w:r w:rsidR="00F97626">
        <w:rPr>
          <w:u w:val="single"/>
          <w:rtl/>
        </w:rPr>
        <w:t>-</w:t>
      </w:r>
      <w:r w:rsidRPr="00847391">
        <w:rPr>
          <w:rFonts w:hint="cs"/>
          <w:u w:val="single"/>
          <w:rtl/>
        </w:rPr>
        <w:t xml:space="preserve"> האם צריכים להניח את העישור בעיר הבנות לפני כן:</w:t>
      </w:r>
      <w:r w:rsidRPr="00847391">
        <w:rPr>
          <w:rFonts w:cs="Arial" w:hint="cs"/>
          <w:sz w:val="16"/>
          <w:szCs w:val="16"/>
          <w:rtl/>
        </w:rPr>
        <w:t xml:space="preserve"> (באה"ט </w:t>
      </w:r>
      <w:r>
        <w:rPr>
          <w:rFonts w:cs="Arial" w:hint="cs"/>
          <w:sz w:val="16"/>
          <w:szCs w:val="16"/>
          <w:rtl/>
        </w:rPr>
        <w:t>[</w:t>
      </w:r>
      <w:r w:rsidRPr="00847391">
        <w:rPr>
          <w:rFonts w:cs="Arial" w:hint="cs"/>
          <w:sz w:val="16"/>
          <w:szCs w:val="16"/>
          <w:rtl/>
        </w:rPr>
        <w:t>סקט"ו</w:t>
      </w:r>
      <w:r>
        <w:rPr>
          <w:rFonts w:cs="Arial" w:hint="cs"/>
          <w:sz w:val="16"/>
          <w:szCs w:val="16"/>
          <w:rtl/>
        </w:rPr>
        <w:t>] ופת"ש [סק"י]</w:t>
      </w:r>
      <w:r w:rsidRPr="00847391">
        <w:rPr>
          <w:rFonts w:cs="Arial" w:hint="cs"/>
          <w:sz w:val="16"/>
          <w:szCs w:val="16"/>
          <w:rtl/>
        </w:rPr>
        <w:t>)</w:t>
      </w:r>
    </w:p>
    <w:p w14:paraId="1CCE8E8B" w14:textId="3785B990" w:rsidR="00392DBB" w:rsidRPr="0012512E" w:rsidRDefault="00392DBB" w:rsidP="009000E3">
      <w:pPr>
        <w:pStyle w:val="ab"/>
        <w:numPr>
          <w:ilvl w:val="0"/>
          <w:numId w:val="63"/>
        </w:numPr>
      </w:pPr>
      <w:r w:rsidRPr="00CD6DC5">
        <w:rPr>
          <w:rFonts w:cs="Arial"/>
          <w:rtl/>
        </w:rPr>
        <w:t xml:space="preserve">רשד"ם </w:t>
      </w:r>
      <w:r w:rsidRPr="0012512E">
        <w:rPr>
          <w:rFonts w:cs="Arial" w:hint="cs"/>
          <w:sz w:val="16"/>
          <w:szCs w:val="16"/>
          <w:rtl/>
        </w:rPr>
        <w:t>(</w:t>
      </w:r>
      <w:r w:rsidRPr="0012512E">
        <w:rPr>
          <w:rFonts w:cs="Arial"/>
          <w:sz w:val="16"/>
          <w:szCs w:val="16"/>
          <w:rtl/>
        </w:rPr>
        <w:t>א</w:t>
      </w:r>
      <w:r w:rsidRPr="0012512E">
        <w:rPr>
          <w:rFonts w:cs="Arial" w:hint="cs"/>
          <w:sz w:val="16"/>
          <w:szCs w:val="16"/>
          <w:rtl/>
        </w:rPr>
        <w:t>ב</w:t>
      </w:r>
      <w:r w:rsidRPr="0012512E">
        <w:rPr>
          <w:rFonts w:cs="Arial"/>
          <w:sz w:val="16"/>
          <w:szCs w:val="16"/>
          <w:rtl/>
        </w:rPr>
        <w:t>ה</w:t>
      </w:r>
      <w:r w:rsidRPr="0012512E">
        <w:rPr>
          <w:rFonts w:cs="Arial" w:hint="cs"/>
          <w:sz w:val="16"/>
          <w:szCs w:val="16"/>
          <w:rtl/>
        </w:rPr>
        <w:t>"ע</w:t>
      </w:r>
      <w:r w:rsidRPr="0012512E">
        <w:rPr>
          <w:rFonts w:cs="Arial"/>
          <w:sz w:val="16"/>
          <w:szCs w:val="16"/>
          <w:rtl/>
        </w:rPr>
        <w:t xml:space="preserve"> סי' קפא</w:t>
      </w:r>
      <w:r w:rsidRPr="0012512E">
        <w:rPr>
          <w:rFonts w:cs="Arial" w:hint="cs"/>
          <w:sz w:val="16"/>
          <w:szCs w:val="16"/>
          <w:rtl/>
        </w:rPr>
        <w:t>)</w:t>
      </w:r>
      <w:r>
        <w:rPr>
          <w:rFonts w:cs="Arial" w:hint="cs"/>
          <w:rtl/>
        </w:rPr>
        <w:t xml:space="preserve">- </w:t>
      </w:r>
      <w:r w:rsidRPr="00CD6DC5">
        <w:rPr>
          <w:rFonts w:cs="Arial"/>
          <w:rtl/>
        </w:rPr>
        <w:t>אם האחים רוצים ללכת לעיר אחרת</w:t>
      </w:r>
      <w:r w:rsidR="00892088">
        <w:rPr>
          <w:rFonts w:cs="Arial" w:hint="cs"/>
          <w:rtl/>
        </w:rPr>
        <w:t>,</w:t>
      </w:r>
      <w:r w:rsidRPr="00CD6DC5">
        <w:rPr>
          <w:rFonts w:cs="Arial"/>
          <w:rtl/>
        </w:rPr>
        <w:t xml:space="preserve"> מחייבין אותם הב"ד להניח העישור בב"ד</w:t>
      </w:r>
      <w:r>
        <w:rPr>
          <w:rFonts w:cs="Arial" w:hint="cs"/>
          <w:rtl/>
        </w:rPr>
        <w:t>.</w:t>
      </w:r>
      <w:r w:rsidRPr="00CD6DC5">
        <w:rPr>
          <w:rFonts w:cs="Arial"/>
          <w:rtl/>
        </w:rPr>
        <w:t xml:space="preserve"> </w:t>
      </w:r>
    </w:p>
    <w:p w14:paraId="3B3F3679" w14:textId="77777777" w:rsidR="00392DBB" w:rsidRDefault="00392DBB" w:rsidP="009000E3">
      <w:pPr>
        <w:pStyle w:val="ab"/>
        <w:numPr>
          <w:ilvl w:val="0"/>
          <w:numId w:val="63"/>
        </w:numPr>
      </w:pPr>
      <w:r w:rsidRPr="00CD6DC5">
        <w:rPr>
          <w:rFonts w:cs="Arial"/>
          <w:rtl/>
        </w:rPr>
        <w:t>דב</w:t>
      </w:r>
      <w:r>
        <w:rPr>
          <w:rFonts w:cs="Arial" w:hint="cs"/>
          <w:rtl/>
        </w:rPr>
        <w:t>ר</w:t>
      </w:r>
      <w:r w:rsidRPr="00CD6DC5">
        <w:rPr>
          <w:rFonts w:cs="Arial"/>
          <w:rtl/>
        </w:rPr>
        <w:t>י</w:t>
      </w:r>
      <w:r>
        <w:rPr>
          <w:rFonts w:cs="Arial" w:hint="cs"/>
          <w:rtl/>
        </w:rPr>
        <w:t xml:space="preserve"> ריבות</w:t>
      </w:r>
      <w:r w:rsidRPr="00CD6DC5">
        <w:rPr>
          <w:rFonts w:cs="Arial"/>
          <w:rtl/>
        </w:rPr>
        <w:t xml:space="preserve"> </w:t>
      </w:r>
      <w:r w:rsidRPr="0012512E">
        <w:rPr>
          <w:rFonts w:cs="Arial" w:hint="cs"/>
          <w:sz w:val="16"/>
          <w:szCs w:val="16"/>
          <w:rtl/>
        </w:rPr>
        <w:t>(</w:t>
      </w:r>
      <w:r w:rsidRPr="0012512E">
        <w:rPr>
          <w:rFonts w:cs="Arial"/>
          <w:sz w:val="16"/>
          <w:szCs w:val="16"/>
          <w:rtl/>
        </w:rPr>
        <w:t xml:space="preserve">סי' </w:t>
      </w:r>
      <w:r w:rsidRPr="0012512E">
        <w:rPr>
          <w:rFonts w:cs="Arial" w:hint="cs"/>
          <w:sz w:val="16"/>
          <w:szCs w:val="16"/>
          <w:rtl/>
        </w:rPr>
        <w:t>ת)</w:t>
      </w:r>
      <w:r>
        <w:rPr>
          <w:rFonts w:cs="Arial" w:hint="cs"/>
          <w:rtl/>
        </w:rPr>
        <w:t>-</w:t>
      </w:r>
      <w:r w:rsidRPr="00CD6DC5">
        <w:rPr>
          <w:rFonts w:cs="Arial"/>
          <w:rtl/>
        </w:rPr>
        <w:t xml:space="preserve"> אין מחייבין אותו להניח העישור בב"ד אלא בשעת נשואין</w:t>
      </w:r>
      <w:r>
        <w:rPr>
          <w:rStyle w:val="a7"/>
          <w:rFonts w:cs="Arial"/>
          <w:rtl/>
        </w:rPr>
        <w:footnoteReference w:id="2701"/>
      </w:r>
      <w:r>
        <w:rPr>
          <w:rFonts w:cs="Arial" w:hint="cs"/>
          <w:rtl/>
        </w:rPr>
        <w:t>.</w:t>
      </w:r>
    </w:p>
    <w:p w14:paraId="0319A0D8" w14:textId="77777777" w:rsidR="00392DBB" w:rsidRPr="009357EC" w:rsidRDefault="00392DBB" w:rsidP="009000E3">
      <w:pPr>
        <w:pStyle w:val="ab"/>
        <w:numPr>
          <w:ilvl w:val="0"/>
          <w:numId w:val="63"/>
        </w:numPr>
        <w:rPr>
          <w:rFonts w:cs="Arial"/>
          <w:rtl/>
        </w:rPr>
      </w:pPr>
      <w:r>
        <w:rPr>
          <w:rFonts w:cs="Arial" w:hint="cs"/>
          <w:rtl/>
        </w:rPr>
        <w:t xml:space="preserve">ישועות יעקב </w:t>
      </w:r>
      <w:r w:rsidRPr="009357EC">
        <w:rPr>
          <w:rFonts w:cs="Arial" w:hint="cs"/>
          <w:sz w:val="16"/>
          <w:szCs w:val="16"/>
          <w:rtl/>
        </w:rPr>
        <w:t>(סק"ה)</w:t>
      </w:r>
      <w:r>
        <w:rPr>
          <w:rFonts w:cs="Arial" w:hint="cs"/>
          <w:rtl/>
        </w:rPr>
        <w:t xml:space="preserve">- </w:t>
      </w:r>
      <w:r w:rsidRPr="0012512E">
        <w:rPr>
          <w:rFonts w:cs="Arial"/>
          <w:rtl/>
        </w:rPr>
        <w:t xml:space="preserve">הדין בזה כמו בבע"ח קודם זמנו אם מתמוטט או מבזבז נכסיו </w:t>
      </w:r>
      <w:r w:rsidRPr="009357EC">
        <w:rPr>
          <w:rFonts w:cs="Arial"/>
          <w:sz w:val="16"/>
          <w:szCs w:val="16"/>
          <w:rtl/>
        </w:rPr>
        <w:t>(שנתבאר בח</w:t>
      </w:r>
      <w:r>
        <w:rPr>
          <w:rFonts w:cs="Arial" w:hint="cs"/>
          <w:sz w:val="16"/>
          <w:szCs w:val="16"/>
          <w:rtl/>
        </w:rPr>
        <w:t>ו</w:t>
      </w:r>
      <w:r w:rsidRPr="009357EC">
        <w:rPr>
          <w:rFonts w:cs="Arial"/>
          <w:sz w:val="16"/>
          <w:szCs w:val="16"/>
          <w:rtl/>
        </w:rPr>
        <w:t>"מ סי' עג ס"י)</w:t>
      </w:r>
      <w:r>
        <w:rPr>
          <w:rFonts w:cs="Arial" w:hint="cs"/>
          <w:rtl/>
        </w:rPr>
        <w:t>.</w:t>
      </w:r>
    </w:p>
    <w:p w14:paraId="093C2CA1" w14:textId="77777777" w:rsidR="00392DBB" w:rsidRDefault="00392DBB" w:rsidP="00392DBB">
      <w:pPr>
        <w:rPr>
          <w:rtl/>
        </w:rPr>
      </w:pPr>
    </w:p>
    <w:p w14:paraId="6488CBC5" w14:textId="77777777" w:rsidR="00392DBB" w:rsidRDefault="00392DBB" w:rsidP="000F64D0">
      <w:pPr>
        <w:pStyle w:val="2"/>
        <w:rPr>
          <w:rtl/>
        </w:rPr>
      </w:pPr>
      <w:r>
        <w:rPr>
          <w:rtl/>
        </w:rPr>
        <w:t>סעיף ה</w:t>
      </w:r>
      <w:r>
        <w:rPr>
          <w:rFonts w:hint="cs"/>
          <w:rtl/>
        </w:rPr>
        <w:t>: טריפת פרנסת הבת מלקוחות.</w:t>
      </w:r>
    </w:p>
    <w:p w14:paraId="6EFE26A3" w14:textId="77777777" w:rsidR="00392DBB" w:rsidRDefault="00392DBB" w:rsidP="00392DBB">
      <w:pPr>
        <w:rPr>
          <w:rtl/>
        </w:rPr>
      </w:pPr>
      <w:r w:rsidRPr="009E3B5F">
        <w:rPr>
          <w:rFonts w:hint="cs"/>
          <w:b/>
          <w:bCs/>
          <w:rtl/>
        </w:rPr>
        <w:t xml:space="preserve">כתובות </w:t>
      </w:r>
      <w:r w:rsidRPr="009E3B5F">
        <w:rPr>
          <w:rFonts w:hint="cs"/>
          <w:b/>
          <w:bCs/>
          <w:sz w:val="16"/>
          <w:szCs w:val="16"/>
          <w:rtl/>
        </w:rPr>
        <w:t xml:space="preserve">(פ' </w:t>
      </w:r>
      <w:r>
        <w:rPr>
          <w:rFonts w:hint="cs"/>
          <w:b/>
          <w:bCs/>
          <w:sz w:val="16"/>
          <w:szCs w:val="16"/>
          <w:rtl/>
        </w:rPr>
        <w:t>מציאת האשה</w:t>
      </w:r>
      <w:r w:rsidRPr="009E3B5F">
        <w:rPr>
          <w:rFonts w:hint="cs"/>
          <w:b/>
          <w:bCs/>
          <w:sz w:val="16"/>
          <w:szCs w:val="16"/>
          <w:rtl/>
        </w:rPr>
        <w:t xml:space="preserve">) </w:t>
      </w:r>
      <w:r>
        <w:rPr>
          <w:rFonts w:hint="cs"/>
          <w:b/>
          <w:bCs/>
          <w:rtl/>
        </w:rPr>
        <w:t>סט</w:t>
      </w:r>
      <w:r w:rsidRPr="009E3B5F">
        <w:rPr>
          <w:rFonts w:hint="cs"/>
          <w:b/>
          <w:bCs/>
          <w:rtl/>
        </w:rPr>
        <w:t xml:space="preserve"> ע"</w:t>
      </w:r>
      <w:r>
        <w:rPr>
          <w:rFonts w:hint="cs"/>
          <w:b/>
          <w:bCs/>
          <w:rtl/>
        </w:rPr>
        <w:t>א</w:t>
      </w:r>
      <w:r w:rsidRPr="009E3B5F">
        <w:rPr>
          <w:rFonts w:hint="cs"/>
          <w:b/>
          <w:bCs/>
          <w:rtl/>
        </w:rPr>
        <w:t>:</w:t>
      </w:r>
      <w:r>
        <w:rPr>
          <w:rFonts w:cs="Arial" w:hint="cs"/>
          <w:rtl/>
        </w:rPr>
        <w:t xml:space="preserve"> </w:t>
      </w:r>
      <w:r w:rsidRPr="00925437">
        <w:rPr>
          <w:rFonts w:cs="Arial"/>
          <w:u w:val="single"/>
          <w:rtl/>
        </w:rPr>
        <w:t>תלה ליה רב לרבי ביני חטי</w:t>
      </w:r>
      <w:r w:rsidRPr="00925437">
        <w:rPr>
          <w:rStyle w:val="a7"/>
          <w:rFonts w:cs="Arial"/>
          <w:u w:val="single"/>
          <w:rtl/>
        </w:rPr>
        <w:footnoteReference w:id="2702"/>
      </w:r>
      <w:r w:rsidRPr="00B6418B">
        <w:rPr>
          <w:rFonts w:cs="Arial"/>
          <w:rtl/>
        </w:rPr>
        <w:t xml:space="preserve">: האחין ששיעבדו, מהו? </w:t>
      </w:r>
      <w:r w:rsidRPr="00925437">
        <w:rPr>
          <w:rFonts w:cs="Arial"/>
          <w:u w:val="single"/>
          <w:rtl/>
        </w:rPr>
        <w:t>הוה יתיב ר' חייא קמיה</w:t>
      </w:r>
      <w:r w:rsidRPr="00925437">
        <w:rPr>
          <w:rStyle w:val="a7"/>
          <w:rFonts w:cs="Arial"/>
          <w:u w:val="single"/>
          <w:rtl/>
        </w:rPr>
        <w:footnoteReference w:id="2703"/>
      </w:r>
      <w:r w:rsidRPr="00925437">
        <w:rPr>
          <w:rFonts w:cs="Arial"/>
          <w:u w:val="single"/>
          <w:rtl/>
        </w:rPr>
        <w:t>, אמר ליה</w:t>
      </w:r>
      <w:r w:rsidRPr="00B6418B">
        <w:rPr>
          <w:rFonts w:cs="Arial"/>
          <w:rtl/>
        </w:rPr>
        <w:t xml:space="preserve">: מכרו או משכנו? </w:t>
      </w:r>
      <w:r w:rsidRPr="00925437">
        <w:rPr>
          <w:rFonts w:cs="Arial"/>
          <w:u w:val="single"/>
          <w:rtl/>
        </w:rPr>
        <w:t>אמר ליה</w:t>
      </w:r>
      <w:r w:rsidRPr="00B6418B">
        <w:rPr>
          <w:rFonts w:cs="Arial"/>
          <w:rtl/>
        </w:rPr>
        <w:t>: מאי נפקא מינה? בין מכרו בין שמשכנו, מוציאין לפרנסה ואין מוציאין למזונות.</w:t>
      </w:r>
      <w:r>
        <w:rPr>
          <w:rFonts w:cs="Arial" w:hint="cs"/>
          <w:rtl/>
        </w:rPr>
        <w:t>.</w:t>
      </w:r>
      <w:r w:rsidRPr="00B6418B">
        <w:rPr>
          <w:rFonts w:cs="Arial"/>
          <w:rtl/>
        </w:rPr>
        <w:t>.</w:t>
      </w:r>
      <w:r w:rsidRPr="00925437">
        <w:rPr>
          <w:rFonts w:cs="Arial"/>
          <w:sz w:val="16"/>
          <w:szCs w:val="16"/>
          <w:rtl/>
        </w:rPr>
        <w:t xml:space="preserve"> </w:t>
      </w:r>
      <w:r>
        <w:rPr>
          <w:rFonts w:cs="Arial" w:hint="cs"/>
          <w:sz w:val="16"/>
          <w:szCs w:val="16"/>
          <w:rtl/>
        </w:rPr>
        <w:t>(</w:t>
      </w:r>
      <w:r w:rsidRPr="00925437">
        <w:rPr>
          <w:rFonts w:cs="Arial"/>
          <w:sz w:val="16"/>
          <w:szCs w:val="16"/>
          <w:rtl/>
        </w:rPr>
        <w:t>ואע</w:t>
      </w:r>
      <w:r>
        <w:rPr>
          <w:rFonts w:cs="Arial" w:hint="cs"/>
          <w:sz w:val="16"/>
          <w:szCs w:val="16"/>
          <w:rtl/>
        </w:rPr>
        <w:t>"</w:t>
      </w:r>
      <w:r w:rsidRPr="00925437">
        <w:rPr>
          <w:rFonts w:cs="Arial"/>
          <w:sz w:val="16"/>
          <w:szCs w:val="16"/>
          <w:rtl/>
        </w:rPr>
        <w:t>ג דרבי יוחנן פליג התם פסקו הפוסקים כר</w:t>
      </w:r>
      <w:r>
        <w:rPr>
          <w:rFonts w:cs="Arial" w:hint="cs"/>
          <w:sz w:val="16"/>
          <w:szCs w:val="16"/>
          <w:rtl/>
        </w:rPr>
        <w:t>בי, ב"י)</w:t>
      </w:r>
    </w:p>
    <w:p w14:paraId="271D2338" w14:textId="77777777" w:rsidR="00392DBB" w:rsidRPr="009D5BAF" w:rsidRDefault="00392DBB" w:rsidP="00392DBB">
      <w:pPr>
        <w:rPr>
          <w:u w:val="single"/>
          <w:rtl/>
        </w:rPr>
      </w:pPr>
      <w:r w:rsidRPr="009D5BAF">
        <w:rPr>
          <w:rFonts w:hint="cs"/>
          <w:u w:val="single"/>
          <w:rtl/>
        </w:rPr>
        <w:t>טריפת פרנסת הבת מלקוחות:</w:t>
      </w:r>
    </w:p>
    <w:p w14:paraId="23DCD351" w14:textId="77777777" w:rsidR="00392DBB" w:rsidRPr="00B710BB" w:rsidRDefault="00392DBB" w:rsidP="009000E3">
      <w:pPr>
        <w:pStyle w:val="ab"/>
        <w:numPr>
          <w:ilvl w:val="0"/>
          <w:numId w:val="63"/>
        </w:numPr>
      </w:pPr>
      <w:r>
        <w:rPr>
          <w:rFonts w:cs="Arial" w:hint="cs"/>
          <w:rtl/>
        </w:rPr>
        <w:t xml:space="preserve">טור- </w:t>
      </w:r>
      <w:r w:rsidRPr="00E04543">
        <w:rPr>
          <w:rFonts w:cs="Arial"/>
          <w:rtl/>
        </w:rPr>
        <w:t>מכרו האחין או משכנו אחר מיתת אביהן</w:t>
      </w:r>
      <w:r>
        <w:rPr>
          <w:rFonts w:cs="Arial" w:hint="cs"/>
          <w:rtl/>
        </w:rPr>
        <w:t xml:space="preserve"> -</w:t>
      </w:r>
      <w:r w:rsidRPr="00E04543">
        <w:rPr>
          <w:rFonts w:cs="Arial"/>
          <w:rtl/>
        </w:rPr>
        <w:t xml:space="preserve"> טורפת מהלקוחות</w:t>
      </w:r>
      <w:r>
        <w:rPr>
          <w:rFonts w:cs="Arial" w:hint="cs"/>
          <w:rtl/>
        </w:rPr>
        <w:t>.</w:t>
      </w:r>
      <w:r w:rsidRPr="00E04543">
        <w:rPr>
          <w:rFonts w:cs="Arial"/>
          <w:rtl/>
        </w:rPr>
        <w:t xml:space="preserve"> </w:t>
      </w:r>
      <w:r w:rsidRPr="000009EE">
        <w:rPr>
          <w:rFonts w:cs="Arial" w:hint="cs"/>
          <w:color w:val="E36C0A" w:themeColor="accent6" w:themeShade="BF"/>
          <w:rtl/>
        </w:rPr>
        <w:t>(וכ"פ בשו"ע</w:t>
      </w:r>
      <w:r>
        <w:rPr>
          <w:rFonts w:cs="Arial" w:hint="cs"/>
          <w:color w:val="E36C0A" w:themeColor="accent6" w:themeShade="BF"/>
          <w:rtl/>
        </w:rPr>
        <w:t>)</w:t>
      </w:r>
    </w:p>
    <w:p w14:paraId="69A39833" w14:textId="77777777" w:rsidR="00392DBB" w:rsidRPr="00B710BB" w:rsidRDefault="00392DBB" w:rsidP="00392DBB">
      <w:pPr>
        <w:ind w:left="360"/>
        <w:rPr>
          <w:u w:val="dotted"/>
        </w:rPr>
      </w:pPr>
      <w:r w:rsidRPr="00B710BB">
        <w:rPr>
          <w:rFonts w:hint="cs"/>
          <w:u w:val="dotted"/>
          <w:rtl/>
        </w:rPr>
        <w:t>האם צריכות להישבע:</w:t>
      </w:r>
    </w:p>
    <w:p w14:paraId="4412CB32" w14:textId="77777777" w:rsidR="00392DBB" w:rsidRPr="00F038E9" w:rsidRDefault="00392DBB" w:rsidP="009000E3">
      <w:pPr>
        <w:pStyle w:val="ab"/>
        <w:numPr>
          <w:ilvl w:val="0"/>
          <w:numId w:val="63"/>
        </w:numPr>
        <w:rPr>
          <w:rtl/>
        </w:rPr>
      </w:pPr>
      <w:r>
        <w:rPr>
          <w:rFonts w:cs="Arial" w:hint="cs"/>
          <w:rtl/>
        </w:rPr>
        <w:t xml:space="preserve">הה"מ </w:t>
      </w:r>
      <w:r w:rsidRPr="00B710BB">
        <w:rPr>
          <w:rFonts w:cs="Arial" w:hint="cs"/>
          <w:sz w:val="16"/>
          <w:szCs w:val="16"/>
          <w:rtl/>
        </w:rPr>
        <w:t>(</w:t>
      </w:r>
      <w:r w:rsidRPr="00B710BB">
        <w:rPr>
          <w:rFonts w:cs="Arial"/>
          <w:sz w:val="16"/>
          <w:szCs w:val="16"/>
          <w:rtl/>
        </w:rPr>
        <w:t>פ"</w:t>
      </w:r>
      <w:r w:rsidRPr="00B710BB">
        <w:rPr>
          <w:rFonts w:cs="Arial" w:hint="cs"/>
          <w:sz w:val="16"/>
          <w:szCs w:val="16"/>
          <w:rtl/>
        </w:rPr>
        <w:t>כ ה"ז)</w:t>
      </w:r>
      <w:r w:rsidRPr="00B710BB">
        <w:rPr>
          <w:rFonts w:cs="Arial"/>
          <w:sz w:val="16"/>
          <w:szCs w:val="16"/>
          <w:rtl/>
        </w:rPr>
        <w:t xml:space="preserve"> </w:t>
      </w:r>
      <w:r w:rsidRPr="00B710BB">
        <w:rPr>
          <w:rFonts w:cs="Arial"/>
          <w:rtl/>
        </w:rPr>
        <w:t xml:space="preserve">בשם הרשב"א </w:t>
      </w:r>
      <w:r w:rsidRPr="00B710BB">
        <w:rPr>
          <w:rFonts w:cs="Arial"/>
          <w:sz w:val="16"/>
          <w:szCs w:val="16"/>
          <w:rtl/>
        </w:rPr>
        <w:t>(סט. ד"ה ומבריה)</w:t>
      </w:r>
      <w:r>
        <w:rPr>
          <w:rFonts w:cs="Arial" w:hint="cs"/>
          <w:rtl/>
        </w:rPr>
        <w:t>-</w:t>
      </w:r>
      <w:r w:rsidRPr="00B710BB">
        <w:rPr>
          <w:rFonts w:cs="Arial"/>
          <w:rtl/>
        </w:rPr>
        <w:t xml:space="preserve"> כמו שאינן מוציאות מן היתומים אלא בשבועה כך אין מוציאות מן המשועבדין אלא בשבועה כשאר ב"ח הבאים לטרוף ממשעבדי</w:t>
      </w:r>
      <w:r w:rsidRPr="00B710BB">
        <w:rPr>
          <w:rFonts w:cs="Arial" w:hint="cs"/>
          <w:rtl/>
        </w:rPr>
        <w:t>.</w:t>
      </w:r>
      <w:r w:rsidRPr="00E04543">
        <w:rPr>
          <w:rFonts w:cs="Arial"/>
          <w:rtl/>
        </w:rPr>
        <w:t xml:space="preserve"> </w:t>
      </w:r>
      <w:r w:rsidRPr="000009EE">
        <w:rPr>
          <w:rFonts w:cs="Arial" w:hint="cs"/>
          <w:color w:val="E36C0A" w:themeColor="accent6" w:themeShade="BF"/>
          <w:rtl/>
        </w:rPr>
        <w:t>(וכ"פ בשו"ע</w:t>
      </w:r>
      <w:r>
        <w:rPr>
          <w:rFonts w:cs="Arial" w:hint="cs"/>
          <w:color w:val="E36C0A" w:themeColor="accent6" w:themeShade="BF"/>
          <w:rtl/>
        </w:rPr>
        <w:t>)</w:t>
      </w:r>
    </w:p>
    <w:p w14:paraId="200A21DF"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FC22049" w14:textId="77777777" w:rsidR="00392DBB" w:rsidRDefault="00392DBB" w:rsidP="00392DBB">
      <w:pPr>
        <w:rPr>
          <w:rtl/>
        </w:rPr>
      </w:pPr>
      <w:r>
        <w:rPr>
          <w:rFonts w:cs="Arial"/>
          <w:rtl/>
        </w:rPr>
        <w:t>האחים</w:t>
      </w:r>
      <w:r>
        <w:rPr>
          <w:rStyle w:val="a7"/>
          <w:rFonts w:cs="Arial"/>
          <w:rtl/>
        </w:rPr>
        <w:footnoteReference w:id="2704"/>
      </w:r>
      <w:r>
        <w:rPr>
          <w:rFonts w:cs="Arial"/>
          <w:rtl/>
        </w:rPr>
        <w:t xml:space="preserve"> שמכרו או משכנו קרקע אביהם, הבת טורפת מהלקוחות פרנסת נדוניתה, ובשבועה, כדרך שטורפין בעלי חובות מהלקוחות. </w:t>
      </w:r>
    </w:p>
    <w:p w14:paraId="155D53CF" w14:textId="77777777" w:rsidR="00392DBB" w:rsidRDefault="00392DBB" w:rsidP="00392DBB">
      <w:pPr>
        <w:rPr>
          <w:rFonts w:cs="Arial"/>
          <w:rtl/>
        </w:rPr>
      </w:pPr>
      <w:r w:rsidRPr="00282295">
        <w:rPr>
          <w:rFonts w:cs="Arial" w:hint="cs"/>
          <w:u w:val="single"/>
          <w:rtl/>
        </w:rPr>
        <w:t>אחים שמכרו את הנכסים של פרנסת הבת באופן שאי אפשר לטרוף מהלקוחות:</w:t>
      </w:r>
      <w:r>
        <w:rPr>
          <w:rFonts w:cs="Arial" w:hint="cs"/>
          <w:rtl/>
        </w:rPr>
        <w:t xml:space="preserve"> </w:t>
      </w:r>
      <w:r w:rsidRPr="00282295">
        <w:rPr>
          <w:rFonts w:cs="Arial" w:hint="cs"/>
          <w:sz w:val="16"/>
          <w:szCs w:val="16"/>
          <w:rtl/>
        </w:rPr>
        <w:t xml:space="preserve"> (פת"ש סק</w:t>
      </w:r>
      <w:r w:rsidRPr="00282295">
        <w:rPr>
          <w:rFonts w:cs="Arial"/>
          <w:sz w:val="16"/>
          <w:szCs w:val="16"/>
          <w:rtl/>
        </w:rPr>
        <w:t>י</w:t>
      </w:r>
      <w:r w:rsidRPr="00282295">
        <w:rPr>
          <w:rFonts w:cs="Arial" w:hint="cs"/>
          <w:sz w:val="16"/>
          <w:szCs w:val="16"/>
          <w:rtl/>
        </w:rPr>
        <w:t>"</w:t>
      </w:r>
      <w:r w:rsidRPr="00282295">
        <w:rPr>
          <w:rFonts w:cs="Arial"/>
          <w:sz w:val="16"/>
          <w:szCs w:val="16"/>
          <w:rtl/>
        </w:rPr>
        <w:t>א)</w:t>
      </w:r>
      <w:r w:rsidRPr="00B710BB">
        <w:rPr>
          <w:rFonts w:cs="Arial"/>
          <w:rtl/>
        </w:rPr>
        <w:t xml:space="preserve"> </w:t>
      </w:r>
    </w:p>
    <w:p w14:paraId="3864E406" w14:textId="77777777" w:rsidR="00392DBB" w:rsidRDefault="00392DBB" w:rsidP="009000E3">
      <w:pPr>
        <w:pStyle w:val="ab"/>
        <w:numPr>
          <w:ilvl w:val="0"/>
          <w:numId w:val="63"/>
        </w:numPr>
        <w:rPr>
          <w:rtl/>
        </w:rPr>
      </w:pPr>
      <w:r w:rsidRPr="00282295">
        <w:rPr>
          <w:rFonts w:cs="Arial"/>
          <w:rtl/>
        </w:rPr>
        <w:t>ישועות יעקב</w:t>
      </w:r>
      <w:r>
        <w:rPr>
          <w:rFonts w:cs="Arial" w:hint="cs"/>
          <w:sz w:val="16"/>
          <w:szCs w:val="16"/>
          <w:rtl/>
        </w:rPr>
        <w:t xml:space="preserve"> (סק"ו)</w:t>
      </w:r>
      <w:r w:rsidRPr="00282295">
        <w:rPr>
          <w:rFonts w:cs="Arial" w:hint="cs"/>
          <w:rtl/>
        </w:rPr>
        <w:t xml:space="preserve">- </w:t>
      </w:r>
      <w:r w:rsidRPr="00282295">
        <w:rPr>
          <w:rFonts w:cs="Arial"/>
          <w:rtl/>
        </w:rPr>
        <w:t xml:space="preserve">אם מכרו הנכסים באופן שא"א לגבות מהם </w:t>
      </w:r>
      <w:r>
        <w:rPr>
          <w:rFonts w:cs="Arial" w:hint="cs"/>
          <w:rtl/>
        </w:rPr>
        <w:t xml:space="preserve">- </w:t>
      </w:r>
      <w:r w:rsidRPr="00282295">
        <w:rPr>
          <w:rFonts w:cs="Arial"/>
          <w:rtl/>
        </w:rPr>
        <w:t>מחוייבים היורשים לסלק מהמעות</w:t>
      </w:r>
      <w:r>
        <w:rPr>
          <w:rFonts w:cs="Arial" w:hint="cs"/>
          <w:rtl/>
        </w:rPr>
        <w:t>,</w:t>
      </w:r>
      <w:r w:rsidRPr="00282295">
        <w:rPr>
          <w:rFonts w:cs="Arial"/>
          <w:rtl/>
        </w:rPr>
        <w:t xml:space="preserve"> אף דלעיל גבי מזונות נחלקו הקדמונים בזה </w:t>
      </w:r>
      <w:r w:rsidRPr="00D65159">
        <w:rPr>
          <w:rFonts w:cs="Arial"/>
          <w:sz w:val="16"/>
          <w:szCs w:val="16"/>
          <w:rtl/>
        </w:rPr>
        <w:t>(בסימן קי"ב סי"ד בהגה</w:t>
      </w:r>
      <w:r w:rsidRPr="00D65159">
        <w:rPr>
          <w:rFonts w:cs="Arial" w:hint="cs"/>
          <w:sz w:val="16"/>
          <w:szCs w:val="16"/>
          <w:rtl/>
        </w:rPr>
        <w:t>,</w:t>
      </w:r>
      <w:r w:rsidRPr="00D65159">
        <w:rPr>
          <w:rFonts w:cs="Arial"/>
          <w:sz w:val="16"/>
          <w:szCs w:val="16"/>
          <w:rtl/>
        </w:rPr>
        <w:t xml:space="preserve"> ובב"ש שם</w:t>
      </w:r>
      <w:r w:rsidRPr="00D65159">
        <w:rPr>
          <w:rFonts w:cs="Arial" w:hint="cs"/>
          <w:sz w:val="16"/>
          <w:szCs w:val="16"/>
          <w:rtl/>
        </w:rPr>
        <w:t xml:space="preserve"> סק"ל)</w:t>
      </w:r>
      <w:r>
        <w:rPr>
          <w:rFonts w:cs="Arial" w:hint="cs"/>
          <w:rtl/>
        </w:rPr>
        <w:t xml:space="preserve"> </w:t>
      </w:r>
      <w:r w:rsidRPr="00282295">
        <w:rPr>
          <w:rFonts w:cs="Arial"/>
          <w:rtl/>
        </w:rPr>
        <w:t>כאן כ</w:t>
      </w:r>
      <w:r w:rsidRPr="00282295">
        <w:rPr>
          <w:rFonts w:cs="Arial" w:hint="cs"/>
          <w:rtl/>
        </w:rPr>
        <w:t>ו</w:t>
      </w:r>
      <w:r w:rsidRPr="00282295">
        <w:rPr>
          <w:rFonts w:cs="Arial"/>
          <w:rtl/>
        </w:rPr>
        <w:t>"ע מודים דצריכים היורשים לסלק לה מן המעות שקיבלו בעד הקרקעות</w:t>
      </w:r>
      <w:r>
        <w:rPr>
          <w:rStyle w:val="a7"/>
          <w:rFonts w:cs="Arial"/>
          <w:rtl/>
        </w:rPr>
        <w:footnoteReference w:id="2705"/>
      </w:r>
      <w:r w:rsidRPr="00610120">
        <w:rPr>
          <w:rFonts w:cs="Arial" w:hint="cs"/>
          <w:rtl/>
        </w:rPr>
        <w:t>.</w:t>
      </w:r>
    </w:p>
    <w:p w14:paraId="118C7A06" w14:textId="77777777" w:rsidR="00392DBB" w:rsidRDefault="00392DBB" w:rsidP="00392DBB">
      <w:pPr>
        <w:rPr>
          <w:rtl/>
        </w:rPr>
      </w:pPr>
    </w:p>
    <w:p w14:paraId="5531E25D" w14:textId="77777777" w:rsidR="00392DBB" w:rsidRDefault="00392DBB" w:rsidP="000F64D0">
      <w:pPr>
        <w:pStyle w:val="2"/>
        <w:rPr>
          <w:rtl/>
        </w:rPr>
      </w:pPr>
      <w:r>
        <w:rPr>
          <w:rtl/>
        </w:rPr>
        <w:t>סעיף ו</w:t>
      </w:r>
      <w:r>
        <w:rPr>
          <w:rFonts w:hint="cs"/>
          <w:rtl/>
        </w:rPr>
        <w:t>: קדימת כתובת/מזונות אלמנה לפרנסת הבת.</w:t>
      </w:r>
    </w:p>
    <w:p w14:paraId="75C5EDBD" w14:textId="6192098A" w:rsidR="00392DBB" w:rsidRPr="003176A5" w:rsidRDefault="00392DBB" w:rsidP="00392DBB">
      <w:pPr>
        <w:rPr>
          <w:u w:val="single"/>
          <w:rtl/>
        </w:rPr>
      </w:pPr>
      <w:r w:rsidRPr="003176A5">
        <w:rPr>
          <w:rFonts w:hint="cs"/>
          <w:u w:val="single"/>
          <w:rtl/>
        </w:rPr>
        <w:t xml:space="preserve">אלמנה שבאה לגבות מזונות/כתובה, ובת שבאה לגבות פרנסתה </w:t>
      </w:r>
      <w:r w:rsidR="00F97626">
        <w:rPr>
          <w:u w:val="single"/>
          <w:rtl/>
        </w:rPr>
        <w:t>-</w:t>
      </w:r>
      <w:r w:rsidRPr="003176A5">
        <w:rPr>
          <w:rFonts w:hint="cs"/>
          <w:u w:val="single"/>
          <w:rtl/>
        </w:rPr>
        <w:t xml:space="preserve"> מי קודם:</w:t>
      </w:r>
    </w:p>
    <w:p w14:paraId="453E5156" w14:textId="56B13E43" w:rsidR="00392DBB" w:rsidRPr="00AF6AA8" w:rsidRDefault="00392DBB" w:rsidP="009000E3">
      <w:pPr>
        <w:pStyle w:val="ab"/>
        <w:numPr>
          <w:ilvl w:val="0"/>
          <w:numId w:val="63"/>
        </w:numPr>
      </w:pPr>
      <w:r>
        <w:rPr>
          <w:rFonts w:cs="Arial" w:hint="cs"/>
          <w:rtl/>
        </w:rPr>
        <w:t>ר"</w:t>
      </w:r>
      <w:r w:rsidRPr="00E04543">
        <w:rPr>
          <w:rFonts w:cs="Arial"/>
          <w:rtl/>
        </w:rPr>
        <w:t>י קרקושא</w:t>
      </w:r>
      <w:r>
        <w:rPr>
          <w:rStyle w:val="a7"/>
          <w:rFonts w:cs="Arial"/>
          <w:rtl/>
        </w:rPr>
        <w:footnoteReference w:id="2706"/>
      </w:r>
      <w:r w:rsidRPr="00E04543">
        <w:rPr>
          <w:rFonts w:cs="Arial"/>
          <w:rtl/>
        </w:rPr>
        <w:t xml:space="preserve"> </w:t>
      </w:r>
      <w:r>
        <w:rPr>
          <w:rFonts w:cs="Arial" w:hint="cs"/>
          <w:sz w:val="16"/>
          <w:szCs w:val="16"/>
          <w:rtl/>
        </w:rPr>
        <w:t>(כ"כ הטור בשמו)</w:t>
      </w:r>
      <w:r>
        <w:rPr>
          <w:rFonts w:cs="Arial" w:hint="cs"/>
          <w:rtl/>
        </w:rPr>
        <w:t xml:space="preserve"> טור</w:t>
      </w:r>
      <w:r w:rsidRPr="00FF41BE">
        <w:rPr>
          <w:rFonts w:cs="Arial"/>
          <w:rtl/>
        </w:rPr>
        <w:t xml:space="preserve"> </w:t>
      </w:r>
      <w:r>
        <w:rPr>
          <w:rFonts w:cs="Arial" w:hint="cs"/>
          <w:rtl/>
        </w:rPr>
        <w:t>ו</w:t>
      </w:r>
      <w:r w:rsidRPr="00863D97">
        <w:rPr>
          <w:rFonts w:cs="Arial"/>
          <w:rtl/>
        </w:rPr>
        <w:t>ר"ן</w:t>
      </w:r>
      <w:r>
        <w:rPr>
          <w:rFonts w:cs="Arial" w:hint="cs"/>
          <w:rtl/>
        </w:rPr>
        <w:t xml:space="preserve"> </w:t>
      </w:r>
      <w:r w:rsidRPr="00FF41BE">
        <w:rPr>
          <w:rFonts w:cs="Arial"/>
          <w:sz w:val="16"/>
          <w:szCs w:val="16"/>
          <w:rtl/>
        </w:rPr>
        <w:t>(לא. דיבור ראשון)</w:t>
      </w:r>
      <w:r>
        <w:rPr>
          <w:rFonts w:cs="Arial" w:hint="cs"/>
          <w:rtl/>
        </w:rPr>
        <w:t xml:space="preserve">- </w:t>
      </w:r>
      <w:r w:rsidRPr="00E04543">
        <w:rPr>
          <w:rFonts w:cs="Arial"/>
          <w:rtl/>
        </w:rPr>
        <w:t>אי איכא אלמנה ובת</w:t>
      </w:r>
      <w:r>
        <w:rPr>
          <w:rFonts w:cs="Arial" w:hint="cs"/>
          <w:rtl/>
        </w:rPr>
        <w:t>,</w:t>
      </w:r>
      <w:r w:rsidRPr="00E04543">
        <w:rPr>
          <w:rFonts w:cs="Arial"/>
          <w:rtl/>
        </w:rPr>
        <w:t xml:space="preserve"> אלמנה תובעת כתובתה או מזונו</w:t>
      </w:r>
      <w:r>
        <w:rPr>
          <w:rFonts w:cs="Arial" w:hint="cs"/>
          <w:rtl/>
        </w:rPr>
        <w:t>ת,</w:t>
      </w:r>
      <w:r w:rsidRPr="00E04543">
        <w:rPr>
          <w:rFonts w:cs="Arial"/>
          <w:rtl/>
        </w:rPr>
        <w:t xml:space="preserve"> ובת פרנסתה </w:t>
      </w:r>
      <w:r>
        <w:rPr>
          <w:rFonts w:cs="Arial" w:hint="cs"/>
          <w:rtl/>
        </w:rPr>
        <w:t xml:space="preserve">- </w:t>
      </w:r>
      <w:r w:rsidRPr="00E04543">
        <w:rPr>
          <w:rFonts w:cs="Arial"/>
          <w:rtl/>
        </w:rPr>
        <w:t>אלמנה קודמת</w:t>
      </w:r>
      <w:r>
        <w:rPr>
          <w:rStyle w:val="a7"/>
          <w:rFonts w:cs="Arial"/>
          <w:rtl/>
        </w:rPr>
        <w:footnoteReference w:id="2707"/>
      </w:r>
      <w:r>
        <w:rPr>
          <w:rFonts w:cs="Arial" w:hint="cs"/>
          <w:rtl/>
        </w:rPr>
        <w:t>,</w:t>
      </w:r>
      <w:r w:rsidRPr="00E04543">
        <w:rPr>
          <w:rFonts w:cs="Arial"/>
          <w:rtl/>
        </w:rPr>
        <w:t xml:space="preserve"> שהיא בעלת חוב דאב</w:t>
      </w:r>
      <w:r>
        <w:rPr>
          <w:rFonts w:cs="Arial" w:hint="cs"/>
          <w:rtl/>
        </w:rPr>
        <w:t>,</w:t>
      </w:r>
      <w:r w:rsidRPr="00E04543">
        <w:rPr>
          <w:rFonts w:cs="Arial"/>
          <w:rtl/>
        </w:rPr>
        <w:t xml:space="preserve"> ובת בעלת חוב דאחים</w:t>
      </w:r>
      <w:r>
        <w:rPr>
          <w:rFonts w:cs="Arial" w:hint="cs"/>
          <w:rtl/>
        </w:rPr>
        <w:t>.</w:t>
      </w:r>
      <w:r w:rsidRPr="00E04543">
        <w:rPr>
          <w:rFonts w:cs="Arial"/>
          <w:rtl/>
        </w:rPr>
        <w:t xml:space="preserve"> ואפי</w:t>
      </w:r>
      <w:r>
        <w:rPr>
          <w:rFonts w:cs="Arial" w:hint="cs"/>
          <w:rtl/>
        </w:rPr>
        <w:t>לו</w:t>
      </w:r>
      <w:r w:rsidRPr="00E04543">
        <w:rPr>
          <w:rFonts w:cs="Arial"/>
          <w:rtl/>
        </w:rPr>
        <w:t xml:space="preserve"> אין שם אלא מטלטלי דלא שייך בהו דין קדימה</w:t>
      </w:r>
      <w:r>
        <w:rPr>
          <w:rFonts w:cs="Arial" w:hint="cs"/>
          <w:rtl/>
        </w:rPr>
        <w:t>,</w:t>
      </w:r>
      <w:r w:rsidRPr="00E04543">
        <w:rPr>
          <w:rFonts w:cs="Arial"/>
          <w:rtl/>
        </w:rPr>
        <w:t xml:space="preserve"> כי היכי שהיא קודמת כי איכא מקרקעי</w:t>
      </w:r>
      <w:r w:rsidR="00E10681">
        <w:rPr>
          <w:rFonts w:cs="Arial" w:hint="cs"/>
          <w:rtl/>
        </w:rPr>
        <w:t>,</w:t>
      </w:r>
      <w:r w:rsidRPr="00E04543">
        <w:rPr>
          <w:rFonts w:cs="Arial"/>
          <w:rtl/>
        </w:rPr>
        <w:t xml:space="preserve"> דכי תקנו הגאונים לגבות כתובתה ומזונו</w:t>
      </w:r>
      <w:r>
        <w:rPr>
          <w:rFonts w:cs="Arial" w:hint="cs"/>
          <w:rtl/>
        </w:rPr>
        <w:t>ת</w:t>
      </w:r>
      <w:r w:rsidRPr="00E04543">
        <w:rPr>
          <w:rFonts w:cs="Arial"/>
          <w:rtl/>
        </w:rPr>
        <w:t xml:space="preserve"> ממטלטלין</w:t>
      </w:r>
      <w:r>
        <w:rPr>
          <w:rFonts w:cs="Arial" w:hint="cs"/>
          <w:rtl/>
        </w:rPr>
        <w:t>,</w:t>
      </w:r>
      <w:r w:rsidRPr="00E04543">
        <w:rPr>
          <w:rFonts w:cs="Arial"/>
          <w:rtl/>
        </w:rPr>
        <w:t xml:space="preserve"> כעין דינא תיקון</w:t>
      </w:r>
      <w:r>
        <w:rPr>
          <w:rFonts w:cs="Arial" w:hint="cs"/>
          <w:rtl/>
        </w:rPr>
        <w:t>,</w:t>
      </w:r>
      <w:r w:rsidRPr="00E04543">
        <w:rPr>
          <w:rFonts w:cs="Arial"/>
          <w:rtl/>
        </w:rPr>
        <w:t xml:space="preserve"> ולענין דינא היכא דאיכא קרקע אלמנה קודמ</w:t>
      </w:r>
      <w:r>
        <w:rPr>
          <w:rFonts w:cs="Arial" w:hint="cs"/>
          <w:rtl/>
        </w:rPr>
        <w:t>ת</w:t>
      </w:r>
      <w:r w:rsidRPr="00E04543">
        <w:rPr>
          <w:rFonts w:cs="Arial"/>
          <w:rtl/>
        </w:rPr>
        <w:t xml:space="preserve"> לגבו</w:t>
      </w:r>
      <w:r>
        <w:rPr>
          <w:rFonts w:cs="Arial" w:hint="cs"/>
          <w:rtl/>
        </w:rPr>
        <w:t>ת</w:t>
      </w:r>
      <w:r w:rsidRPr="00E04543">
        <w:rPr>
          <w:rFonts w:cs="Arial"/>
          <w:rtl/>
        </w:rPr>
        <w:t xml:space="preserve"> כתובתה</w:t>
      </w:r>
      <w:r>
        <w:rPr>
          <w:rFonts w:cs="Arial" w:hint="cs"/>
          <w:sz w:val="16"/>
          <w:szCs w:val="16"/>
          <w:rtl/>
        </w:rPr>
        <w:t xml:space="preserve"> (ל' הטור בשם ר"י קרקושא)</w:t>
      </w:r>
      <w:r>
        <w:rPr>
          <w:rFonts w:cs="Arial" w:hint="cs"/>
          <w:rtl/>
        </w:rPr>
        <w:t>.</w:t>
      </w:r>
    </w:p>
    <w:p w14:paraId="02C33CD1" w14:textId="25F60FA5" w:rsidR="00392DBB" w:rsidRDefault="00392DBB" w:rsidP="009000E3">
      <w:pPr>
        <w:pStyle w:val="ab"/>
        <w:numPr>
          <w:ilvl w:val="0"/>
          <w:numId w:val="63"/>
        </w:numPr>
      </w:pPr>
      <w:r w:rsidRPr="00AF6AA8">
        <w:rPr>
          <w:rFonts w:cs="Arial"/>
          <w:rtl/>
        </w:rPr>
        <w:t xml:space="preserve">רמב"ם </w:t>
      </w:r>
      <w:r w:rsidRPr="00AF6AA8">
        <w:rPr>
          <w:rFonts w:cs="Arial" w:hint="cs"/>
          <w:sz w:val="16"/>
          <w:szCs w:val="16"/>
          <w:rtl/>
        </w:rPr>
        <w:t>(פ"</w:t>
      </w:r>
      <w:r w:rsidRPr="00AF6AA8">
        <w:rPr>
          <w:rFonts w:cs="Arial"/>
          <w:sz w:val="16"/>
          <w:szCs w:val="16"/>
          <w:rtl/>
        </w:rPr>
        <w:t>כ הי"א)</w:t>
      </w:r>
      <w:r w:rsidRPr="00AF6AA8">
        <w:rPr>
          <w:rFonts w:cs="Arial" w:hint="cs"/>
          <w:rtl/>
        </w:rPr>
        <w:t>-</w:t>
      </w:r>
      <w:r w:rsidRPr="00AF6AA8">
        <w:rPr>
          <w:rFonts w:cs="Arial"/>
          <w:rtl/>
        </w:rPr>
        <w:t xml:space="preserve"> מי שמת והניח אלמנה ובת</w:t>
      </w:r>
      <w:r w:rsidRPr="00AF6AA8">
        <w:rPr>
          <w:rFonts w:cs="Arial" w:hint="cs"/>
          <w:rtl/>
        </w:rPr>
        <w:t>,</w:t>
      </w:r>
      <w:r w:rsidRPr="00AF6AA8">
        <w:rPr>
          <w:rFonts w:cs="Arial"/>
          <w:rtl/>
        </w:rPr>
        <w:t xml:space="preserve"> כבר ביארנו </w:t>
      </w:r>
      <w:r w:rsidRPr="00AF6AA8">
        <w:rPr>
          <w:rFonts w:cs="Arial"/>
          <w:sz w:val="16"/>
          <w:szCs w:val="16"/>
          <w:rtl/>
        </w:rPr>
        <w:t xml:space="preserve">(פי"ט הכ"א) </w:t>
      </w:r>
      <w:r w:rsidRPr="00AF6AA8">
        <w:rPr>
          <w:rFonts w:cs="Arial"/>
          <w:rtl/>
        </w:rPr>
        <w:t>שמזונות האלמנה קודמין למזונות הבת</w:t>
      </w:r>
      <w:r w:rsidRPr="00AF6AA8">
        <w:rPr>
          <w:rFonts w:cs="Arial" w:hint="cs"/>
          <w:rtl/>
        </w:rPr>
        <w:t>.</w:t>
      </w:r>
      <w:r w:rsidRPr="00AF6AA8">
        <w:rPr>
          <w:rFonts w:cs="Arial"/>
          <w:rtl/>
        </w:rPr>
        <w:t xml:space="preserve"> וכן אם נישאת הבת</w:t>
      </w:r>
      <w:r w:rsidRPr="00AF6AA8">
        <w:rPr>
          <w:rFonts w:cs="Arial" w:hint="cs"/>
          <w:rtl/>
        </w:rPr>
        <w:t>,</w:t>
      </w:r>
      <w:r w:rsidRPr="00AF6AA8">
        <w:rPr>
          <w:rFonts w:cs="Arial"/>
          <w:rtl/>
        </w:rPr>
        <w:t xml:space="preserve"> אינה נוטלת עישור נכסים מפני מזונות האלמנה</w:t>
      </w:r>
      <w:r w:rsidRPr="00AF6AA8">
        <w:rPr>
          <w:rFonts w:cs="Arial" w:hint="cs"/>
          <w:rtl/>
        </w:rPr>
        <w:t>.</w:t>
      </w:r>
      <w:r w:rsidRPr="00AF6AA8">
        <w:rPr>
          <w:rFonts w:cs="Arial"/>
          <w:rtl/>
        </w:rPr>
        <w:t xml:space="preserve"> ואפילו מתה הבת אחר שנישאת</w:t>
      </w:r>
      <w:r w:rsidRPr="00AF6AA8">
        <w:rPr>
          <w:rFonts w:cs="Arial" w:hint="cs"/>
          <w:rtl/>
        </w:rPr>
        <w:t>,</w:t>
      </w:r>
      <w:r w:rsidRPr="00AF6AA8">
        <w:rPr>
          <w:rFonts w:cs="Arial"/>
          <w:rtl/>
        </w:rPr>
        <w:t xml:space="preserve"> אין הבעל יורש פרנסה הראויה לינתן לה</w:t>
      </w:r>
      <w:r w:rsidRPr="00AF6AA8">
        <w:rPr>
          <w:rFonts w:cs="Arial" w:hint="cs"/>
          <w:rtl/>
        </w:rPr>
        <w:t>,</w:t>
      </w:r>
      <w:r w:rsidRPr="00AF6AA8">
        <w:rPr>
          <w:rFonts w:cs="Arial"/>
          <w:rtl/>
        </w:rPr>
        <w:t xml:space="preserve"> שהרי הנכסים כולם בחזקת האלמנה שתהא נזונת מהם</w:t>
      </w:r>
      <w:r>
        <w:rPr>
          <w:rStyle w:val="a7"/>
          <w:rFonts w:cs="Arial"/>
          <w:rtl/>
        </w:rPr>
        <w:footnoteReference w:id="2708"/>
      </w:r>
      <w:r w:rsidRPr="00AF6AA8">
        <w:rPr>
          <w:rFonts w:cs="Arial" w:hint="cs"/>
          <w:rtl/>
        </w:rPr>
        <w:t>.</w:t>
      </w:r>
      <w:r>
        <w:rPr>
          <w:rFonts w:hint="cs"/>
          <w:rtl/>
        </w:rPr>
        <w:t xml:space="preserve"> </w:t>
      </w:r>
      <w:r w:rsidRPr="00AF6AA8">
        <w:rPr>
          <w:rFonts w:hint="cs"/>
          <w:color w:val="E36C0A" w:themeColor="accent6" w:themeShade="BF"/>
          <w:rtl/>
        </w:rPr>
        <w:t>(וכ"פ בשו"ע)</w:t>
      </w:r>
      <w:r w:rsidR="00744EED">
        <w:rPr>
          <w:rFonts w:hint="cs"/>
          <w:rtl/>
        </w:rPr>
        <w:t xml:space="preserve"> </w:t>
      </w:r>
    </w:p>
    <w:p w14:paraId="16908108"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0B2DFB5" w14:textId="0EE6990A" w:rsidR="00392DBB" w:rsidRDefault="00392DBB" w:rsidP="00392DBB">
      <w:pPr>
        <w:rPr>
          <w:rtl/>
        </w:rPr>
      </w:pPr>
      <w:r>
        <w:rPr>
          <w:rFonts w:cs="Arial"/>
          <w:rtl/>
        </w:rPr>
        <w:t>מי שמת והניח אלמנה ובת, אין הבת נוטלת עישור נכסים</w:t>
      </w:r>
      <w:r>
        <w:rPr>
          <w:rStyle w:val="a7"/>
          <w:rFonts w:cs="Arial"/>
          <w:rtl/>
        </w:rPr>
        <w:footnoteReference w:id="2709"/>
      </w:r>
      <w:r>
        <w:rPr>
          <w:rFonts w:cs="Arial"/>
          <w:rtl/>
        </w:rPr>
        <w:t xml:space="preserve">, מפני מזונות האלמנה. ואפילו מתה הבת אחר שנשאת, אין הבעל יורש פרנסה הראויה להנתן לה, שהרי כולן בחזקת האלמנה שתהא ניזונית מהן. </w:t>
      </w:r>
      <w:r>
        <w:rPr>
          <w:rFonts w:cs="Arial" w:hint="cs"/>
          <w:sz w:val="18"/>
          <w:szCs w:val="18"/>
          <w:rtl/>
        </w:rPr>
        <w:t xml:space="preserve">[הגה] </w:t>
      </w:r>
      <w:r w:rsidRPr="00F038E9">
        <w:rPr>
          <w:rFonts w:cs="Arial"/>
          <w:sz w:val="18"/>
          <w:szCs w:val="18"/>
          <w:rtl/>
        </w:rPr>
        <w:t>וכן פרנסת בנות קודמת לכתובת בנין דכרין</w:t>
      </w:r>
      <w:r>
        <w:rPr>
          <w:rStyle w:val="a7"/>
          <w:rFonts w:cs="Arial"/>
          <w:sz w:val="18"/>
          <w:szCs w:val="18"/>
          <w:rtl/>
        </w:rPr>
        <w:footnoteReference w:id="2710"/>
      </w:r>
      <w:r w:rsidRPr="00F038E9">
        <w:rPr>
          <w:rFonts w:cs="Arial"/>
          <w:sz w:val="18"/>
          <w:szCs w:val="18"/>
          <w:rtl/>
        </w:rPr>
        <w:t xml:space="preserve"> (ר"ן).</w:t>
      </w:r>
    </w:p>
    <w:p w14:paraId="293CE764" w14:textId="77777777" w:rsidR="00392DBB" w:rsidRDefault="00392DBB" w:rsidP="00392DBB">
      <w:pPr>
        <w:rPr>
          <w:rtl/>
        </w:rPr>
      </w:pPr>
    </w:p>
    <w:p w14:paraId="2085A97E" w14:textId="52E52017" w:rsidR="00392DBB" w:rsidRDefault="00392DBB" w:rsidP="000F64D0">
      <w:pPr>
        <w:pStyle w:val="2"/>
        <w:rPr>
          <w:rtl/>
        </w:rPr>
      </w:pPr>
      <w:r>
        <w:rPr>
          <w:rtl/>
        </w:rPr>
        <w:t>סעיף ז</w:t>
      </w:r>
      <w:r>
        <w:rPr>
          <w:rFonts w:hint="cs"/>
          <w:rtl/>
        </w:rPr>
        <w:t>:</w:t>
      </w:r>
      <w:r w:rsidRPr="006553C2">
        <w:rPr>
          <w:rFonts w:hint="cs"/>
          <w:rtl/>
        </w:rPr>
        <w:t xml:space="preserve"> </w:t>
      </w:r>
      <w:r w:rsidR="00BF168B">
        <w:rPr>
          <w:rFonts w:hint="cs"/>
          <w:rtl/>
        </w:rPr>
        <w:t>יתומה</w:t>
      </w:r>
      <w:r>
        <w:rPr>
          <w:rFonts w:hint="cs"/>
          <w:rtl/>
        </w:rPr>
        <w:t xml:space="preserve"> שנשאת ולא נתנו לה אחיה פרנסתה כדין.</w:t>
      </w:r>
    </w:p>
    <w:p w14:paraId="42C40929" w14:textId="75EF42CA" w:rsidR="00392DBB" w:rsidRPr="00CA76E2" w:rsidRDefault="00392DBB" w:rsidP="00392DBB">
      <w:pPr>
        <w:rPr>
          <w:rtl/>
        </w:rPr>
      </w:pPr>
      <w:r w:rsidRPr="009164FE">
        <w:rPr>
          <w:rFonts w:cs="Arial" w:hint="cs"/>
          <w:b/>
          <w:bCs/>
          <w:rtl/>
        </w:rPr>
        <w:t xml:space="preserve">כתובות </w:t>
      </w:r>
      <w:r w:rsidRPr="009164FE">
        <w:rPr>
          <w:rFonts w:cs="Arial" w:hint="cs"/>
          <w:b/>
          <w:bCs/>
          <w:sz w:val="16"/>
          <w:szCs w:val="16"/>
          <w:rtl/>
        </w:rPr>
        <w:t xml:space="preserve">(פ' מציאת האשה) </w:t>
      </w:r>
      <w:r w:rsidRPr="009164FE">
        <w:rPr>
          <w:rFonts w:cs="Arial" w:hint="cs"/>
          <w:b/>
          <w:bCs/>
          <w:rtl/>
        </w:rPr>
        <w:t>סח</w:t>
      </w:r>
      <w:r w:rsidR="00827192">
        <w:rPr>
          <w:rStyle w:val="a7"/>
          <w:rFonts w:cs="Arial"/>
          <w:b/>
          <w:bCs/>
          <w:rtl/>
        </w:rPr>
        <w:footnoteReference w:id="2711"/>
      </w:r>
      <w:r w:rsidRPr="009164FE">
        <w:rPr>
          <w:rFonts w:cs="Arial" w:hint="cs"/>
          <w:b/>
          <w:bCs/>
          <w:rtl/>
        </w:rPr>
        <w:t xml:space="preserve"> ע"א:</w:t>
      </w:r>
      <w:r>
        <w:rPr>
          <w:rFonts w:cs="Arial" w:hint="cs"/>
          <w:rtl/>
        </w:rPr>
        <w:t xml:space="preserve"> </w:t>
      </w:r>
      <w:r w:rsidRPr="009164FE">
        <w:rPr>
          <w:rFonts w:cs="Arial"/>
          <w:u w:val="double"/>
          <w:rtl/>
        </w:rPr>
        <w:t>מתני'</w:t>
      </w:r>
      <w:r>
        <w:rPr>
          <w:rFonts w:cs="Arial" w:hint="cs"/>
          <w:rtl/>
        </w:rPr>
        <w:t>:</w:t>
      </w:r>
      <w:r>
        <w:rPr>
          <w:rFonts w:cs="Arial"/>
          <w:rtl/>
        </w:rPr>
        <w:t xml:space="preserve"> יתומה שהשיאתה אמה או אחיה מדעתה</w:t>
      </w:r>
      <w:r>
        <w:rPr>
          <w:rStyle w:val="a7"/>
          <w:rFonts w:cs="Arial"/>
          <w:rtl/>
        </w:rPr>
        <w:footnoteReference w:id="2712"/>
      </w:r>
      <w:r>
        <w:rPr>
          <w:rFonts w:cs="Arial"/>
          <w:rtl/>
        </w:rPr>
        <w:t>, וכתבו לה במאה או בחמשים זוז, יכולה היא משתגדיל להוציא מידן מה שראוי להנתן לה</w:t>
      </w:r>
      <w:r>
        <w:rPr>
          <w:rStyle w:val="a7"/>
          <w:rFonts w:cs="Arial"/>
          <w:rtl/>
        </w:rPr>
        <w:footnoteReference w:id="2713"/>
      </w:r>
      <w:r>
        <w:rPr>
          <w:rFonts w:cs="Arial"/>
          <w:rtl/>
        </w:rPr>
        <w:t>.</w:t>
      </w:r>
      <w:r>
        <w:rPr>
          <w:rFonts w:cs="Arial" w:hint="cs"/>
          <w:rtl/>
        </w:rPr>
        <w:t>.</w:t>
      </w:r>
      <w:r>
        <w:rPr>
          <w:rFonts w:cs="Arial"/>
          <w:rtl/>
        </w:rPr>
        <w:t xml:space="preserve">. </w:t>
      </w:r>
      <w:r>
        <w:rPr>
          <w:rFonts w:hint="cs"/>
          <w:rtl/>
        </w:rPr>
        <w:t xml:space="preserve">    </w:t>
      </w:r>
      <w:r w:rsidR="000B2B28">
        <w:rPr>
          <w:rFonts w:hint="cs"/>
          <w:rtl/>
        </w:rPr>
        <w:t xml:space="preserve"> </w:t>
      </w:r>
      <w:r>
        <w:rPr>
          <w:rFonts w:hint="cs"/>
          <w:rtl/>
        </w:rPr>
        <w:t xml:space="preserve">  </w:t>
      </w:r>
      <w:r w:rsidRPr="009164FE">
        <w:rPr>
          <w:rFonts w:cs="Arial"/>
          <w:u w:val="double"/>
          <w:rtl/>
        </w:rPr>
        <w:t>גמ'</w:t>
      </w:r>
      <w:r>
        <w:rPr>
          <w:rFonts w:cs="Arial" w:hint="cs"/>
          <w:sz w:val="14"/>
          <w:szCs w:val="14"/>
          <w:u w:val="double"/>
          <w:rtl/>
        </w:rPr>
        <w:t>(סח:)</w:t>
      </w:r>
      <w:r>
        <w:rPr>
          <w:rFonts w:cs="Arial" w:hint="cs"/>
          <w:u w:val="double"/>
          <w:rtl/>
        </w:rPr>
        <w:t>:</w:t>
      </w:r>
      <w:r w:rsidRPr="00CA76E2">
        <w:rPr>
          <w:rtl/>
        </w:rPr>
        <w:t xml:space="preserve"> </w:t>
      </w:r>
      <w:r w:rsidRPr="00CA76E2">
        <w:rPr>
          <w:rFonts w:cs="Arial"/>
          <w:rtl/>
        </w:rPr>
        <w:t xml:space="preserve">ת"ר: הבנות, בין בגרו עד שלא נישאו </w:t>
      </w:r>
      <w:r w:rsidRPr="00CA76E2">
        <w:rPr>
          <w:rFonts w:cs="Arial"/>
          <w:rtl/>
        </w:rPr>
        <w:lastRenderedPageBreak/>
        <w:t>ובין נישאו עד שלא בגרו - איבדו מזונותיהן</w:t>
      </w:r>
      <w:r>
        <w:rPr>
          <w:rStyle w:val="a7"/>
          <w:rFonts w:cs="Arial"/>
          <w:rtl/>
        </w:rPr>
        <w:footnoteReference w:id="2714"/>
      </w:r>
      <w:r w:rsidRPr="00CA76E2">
        <w:rPr>
          <w:rFonts w:cs="Arial"/>
          <w:rtl/>
        </w:rPr>
        <w:t xml:space="preserve"> ולא איבדו פרנסתן, </w:t>
      </w:r>
      <w:r w:rsidRPr="00CA76E2">
        <w:rPr>
          <w:rFonts w:cs="Arial"/>
          <w:u w:val="single"/>
          <w:rtl/>
        </w:rPr>
        <w:t>דברי רבי</w:t>
      </w:r>
      <w:r>
        <w:rPr>
          <w:rFonts w:cs="Arial" w:hint="cs"/>
          <w:rtl/>
        </w:rPr>
        <w:t>.</w:t>
      </w:r>
      <w:r w:rsidRPr="00CA76E2">
        <w:rPr>
          <w:rFonts w:cs="Arial"/>
          <w:rtl/>
        </w:rPr>
        <w:t xml:space="preserve"> </w:t>
      </w:r>
      <w:r w:rsidRPr="00CA76E2">
        <w:rPr>
          <w:rFonts w:cs="Arial"/>
          <w:u w:val="single"/>
          <w:rtl/>
        </w:rPr>
        <w:t>ר' שמעון בן אלעזר אומר</w:t>
      </w:r>
      <w:r w:rsidRPr="00CA76E2">
        <w:rPr>
          <w:rFonts w:cs="Arial"/>
          <w:rtl/>
        </w:rPr>
        <w:t>: אף איבדו פרנסתן</w:t>
      </w:r>
      <w:r>
        <w:rPr>
          <w:rStyle w:val="a7"/>
          <w:rFonts w:cs="Arial"/>
          <w:rtl/>
        </w:rPr>
        <w:footnoteReference w:id="2715"/>
      </w:r>
      <w:r w:rsidRPr="00CA76E2">
        <w:rPr>
          <w:rFonts w:cs="Arial"/>
          <w:rtl/>
        </w:rPr>
        <w:t>, כיצד הן עושות? שוכרות להן בעלים</w:t>
      </w:r>
      <w:r>
        <w:rPr>
          <w:rStyle w:val="a7"/>
          <w:rFonts w:cs="Arial"/>
          <w:rtl/>
        </w:rPr>
        <w:footnoteReference w:id="2716"/>
      </w:r>
      <w:r w:rsidRPr="00CA76E2">
        <w:rPr>
          <w:rFonts w:cs="Arial"/>
          <w:rtl/>
        </w:rPr>
        <w:t xml:space="preserve"> ומוציאין להן פרנסתן. </w:t>
      </w:r>
      <w:r w:rsidRPr="00AB7135">
        <w:rPr>
          <w:rFonts w:cs="Arial"/>
          <w:u w:val="single"/>
          <w:rtl/>
        </w:rPr>
        <w:t>אמר רב נחמן, אמר לי הונא</w:t>
      </w:r>
      <w:r w:rsidRPr="00CA76E2">
        <w:rPr>
          <w:rFonts w:cs="Arial"/>
          <w:rtl/>
        </w:rPr>
        <w:t xml:space="preserve">: הלכתא כרבי. </w:t>
      </w:r>
      <w:r w:rsidRPr="00AB7135">
        <w:rPr>
          <w:rFonts w:cs="Arial"/>
          <w:u w:val="single"/>
          <w:rtl/>
        </w:rPr>
        <w:t>איתיביה רבא לרב נחמן</w:t>
      </w:r>
      <w:r w:rsidRPr="00CA76E2">
        <w:rPr>
          <w:rFonts w:cs="Arial"/>
          <w:rtl/>
        </w:rPr>
        <w:t>: יתומה שהשיאתה אמה או אחיה מדעתה, וכתבו לה במאה או בחמשים זוז, יכולה היא משתגדיל להוציא מידם מה שראוי להנתן לה</w:t>
      </w:r>
      <w:r>
        <w:rPr>
          <w:rFonts w:cs="Arial" w:hint="cs"/>
          <w:rtl/>
        </w:rPr>
        <w:t>.</w:t>
      </w:r>
      <w:r w:rsidRPr="00CA76E2">
        <w:rPr>
          <w:rFonts w:cs="Arial"/>
          <w:rtl/>
        </w:rPr>
        <w:t xml:space="preserve"> טעמא דקטנה, הא גדולה</w:t>
      </w:r>
      <w:r>
        <w:rPr>
          <w:rStyle w:val="a7"/>
          <w:rFonts w:cs="Arial"/>
          <w:rtl/>
        </w:rPr>
        <w:footnoteReference w:id="2717"/>
      </w:r>
      <w:r w:rsidRPr="00CA76E2">
        <w:rPr>
          <w:rFonts w:cs="Arial"/>
          <w:rtl/>
        </w:rPr>
        <w:t xml:space="preserve"> ויתרה! לא קשיא: הא דמחאי</w:t>
      </w:r>
      <w:r>
        <w:rPr>
          <w:rStyle w:val="a7"/>
          <w:rFonts w:cs="Arial"/>
          <w:rtl/>
        </w:rPr>
        <w:footnoteReference w:id="2718"/>
      </w:r>
      <w:r w:rsidRPr="00CA76E2">
        <w:rPr>
          <w:rFonts w:cs="Arial"/>
          <w:rtl/>
        </w:rPr>
        <w:t>, הא דלא מחאי. הכי נמי מסתברא, דאם כן, קשיא דרבי אדרבי! דתניא, רבי אומר: בת הניזונת מן האחין - נוטלת עישור נכסים, ניזונת אין</w:t>
      </w:r>
      <w:r>
        <w:rPr>
          <w:rStyle w:val="a7"/>
          <w:rFonts w:cs="Arial"/>
          <w:rtl/>
        </w:rPr>
        <w:footnoteReference w:id="2719"/>
      </w:r>
      <w:r w:rsidRPr="00CA76E2">
        <w:rPr>
          <w:rFonts w:cs="Arial"/>
          <w:rtl/>
        </w:rPr>
        <w:t xml:space="preserve">, שאינה ניזונת לא! אלא לאו ש"מ: הא דמחאי, הא דלא מחאי, ש"מ. </w:t>
      </w:r>
      <w:r w:rsidRPr="004326CA">
        <w:rPr>
          <w:rFonts w:cs="Arial"/>
          <w:u w:val="single"/>
          <w:rtl/>
        </w:rPr>
        <w:t>אמר ליה רבינא לרבא, אמר לן רב אדא בר אהבה משמך</w:t>
      </w:r>
      <w:r w:rsidRPr="00CA76E2">
        <w:rPr>
          <w:rFonts w:cs="Arial"/>
          <w:rtl/>
        </w:rPr>
        <w:t>: בגרה - אינה צריכה למחות</w:t>
      </w:r>
      <w:r>
        <w:rPr>
          <w:rStyle w:val="a7"/>
          <w:rFonts w:cs="Arial"/>
          <w:rtl/>
        </w:rPr>
        <w:footnoteReference w:id="2720"/>
      </w:r>
      <w:r w:rsidRPr="00CA76E2">
        <w:rPr>
          <w:rFonts w:cs="Arial"/>
          <w:rtl/>
        </w:rPr>
        <w:t>, נישאת - אינה צריכה למחות, בגרה ונישאת - צריכה למחות. מי אמר רבא הכי? והא איתיביה רבא לרב נחמן יתומה, ושני ליה</w:t>
      </w:r>
      <w:r>
        <w:rPr>
          <w:rStyle w:val="a7"/>
          <w:rFonts w:cs="Arial"/>
          <w:rtl/>
        </w:rPr>
        <w:footnoteReference w:id="2721"/>
      </w:r>
      <w:r w:rsidRPr="00CA76E2">
        <w:rPr>
          <w:rFonts w:cs="Arial"/>
          <w:rtl/>
        </w:rPr>
        <w:t>: הא דמחי, הא דלא מחי! לא קשיא: הא</w:t>
      </w:r>
      <w:r>
        <w:rPr>
          <w:rStyle w:val="a7"/>
          <w:rFonts w:cs="Arial"/>
          <w:rtl/>
        </w:rPr>
        <w:footnoteReference w:id="2722"/>
      </w:r>
      <w:r w:rsidRPr="00CA76E2">
        <w:rPr>
          <w:rFonts w:cs="Arial"/>
          <w:rtl/>
        </w:rPr>
        <w:t xml:space="preserve"> דקא מיתזנא מינייהו, הא דלא קא מיתזנא מינייהו.</w:t>
      </w:r>
      <w:r>
        <w:rPr>
          <w:rFonts w:hint="cs"/>
          <w:rtl/>
        </w:rPr>
        <w:t xml:space="preserve"> </w:t>
      </w:r>
      <w:r w:rsidRPr="00935A52">
        <w:rPr>
          <w:rFonts w:hint="cs"/>
          <w:sz w:val="16"/>
          <w:szCs w:val="16"/>
          <w:rtl/>
        </w:rPr>
        <w:t>(</w:t>
      </w:r>
      <w:r w:rsidRPr="00935A52">
        <w:rPr>
          <w:rFonts w:cs="Arial"/>
          <w:sz w:val="16"/>
          <w:szCs w:val="16"/>
          <w:rtl/>
        </w:rPr>
        <w:t>וכתב הר"ן (ל ריש ע"ב) דהא דאמרינן דכי מיתזנא מינייהו אינה צריכה למחות</w:t>
      </w:r>
      <w:r w:rsidRPr="00935A52">
        <w:rPr>
          <w:rFonts w:cs="Arial" w:hint="cs"/>
          <w:sz w:val="16"/>
          <w:szCs w:val="16"/>
          <w:rtl/>
        </w:rPr>
        <w:t xml:space="preserve"> -</w:t>
      </w:r>
      <w:r w:rsidRPr="00935A52">
        <w:rPr>
          <w:rFonts w:cs="Arial"/>
          <w:sz w:val="16"/>
          <w:szCs w:val="16"/>
          <w:rtl/>
        </w:rPr>
        <w:t xml:space="preserve"> היינו דוקא בשידעה בשעת נישואין שהם יזונו אותה</w:t>
      </w:r>
      <w:r w:rsidRPr="00935A52">
        <w:rPr>
          <w:rFonts w:cs="Arial" w:hint="cs"/>
          <w:sz w:val="16"/>
          <w:szCs w:val="16"/>
          <w:rtl/>
        </w:rPr>
        <w:t>.</w:t>
      </w:r>
      <w:r w:rsidRPr="00935A52">
        <w:rPr>
          <w:rFonts w:cs="Arial"/>
          <w:sz w:val="16"/>
          <w:szCs w:val="16"/>
          <w:rtl/>
        </w:rPr>
        <w:t xml:space="preserve"> ואפילו הכי</w:t>
      </w:r>
      <w:r>
        <w:rPr>
          <w:rFonts w:cs="Arial" w:hint="cs"/>
          <w:sz w:val="16"/>
          <w:szCs w:val="16"/>
          <w:rtl/>
        </w:rPr>
        <w:t>,</w:t>
      </w:r>
      <w:r w:rsidRPr="00935A52">
        <w:rPr>
          <w:rFonts w:cs="Arial"/>
          <w:sz w:val="16"/>
          <w:szCs w:val="16"/>
          <w:rtl/>
        </w:rPr>
        <w:t xml:space="preserve"> בגרה ונישאת </w:t>
      </w:r>
      <w:r w:rsidRPr="00935A52">
        <w:rPr>
          <w:rFonts w:cs="Arial" w:hint="cs"/>
          <w:sz w:val="16"/>
          <w:szCs w:val="16"/>
          <w:rtl/>
        </w:rPr>
        <w:t xml:space="preserve">- </w:t>
      </w:r>
      <w:r w:rsidRPr="00935A52">
        <w:rPr>
          <w:rFonts w:cs="Arial"/>
          <w:sz w:val="16"/>
          <w:szCs w:val="16"/>
          <w:rtl/>
        </w:rPr>
        <w:t>צריכה למחות</w:t>
      </w:r>
      <w:r>
        <w:rPr>
          <w:rFonts w:cs="Arial" w:hint="cs"/>
          <w:sz w:val="16"/>
          <w:szCs w:val="16"/>
          <w:rtl/>
        </w:rPr>
        <w:t>, ב"י.</w:t>
      </w:r>
      <w:r w:rsidRPr="00935A52">
        <w:rPr>
          <w:rFonts w:cs="Arial" w:hint="cs"/>
          <w:color w:val="00B0F0"/>
          <w:sz w:val="16"/>
          <w:szCs w:val="16"/>
          <w:rtl/>
        </w:rPr>
        <w:t xml:space="preserve"> (וכ"פ הרמ"א)</w:t>
      </w:r>
      <w:r>
        <w:rPr>
          <w:rFonts w:cs="Arial" w:hint="cs"/>
          <w:sz w:val="16"/>
          <w:szCs w:val="16"/>
          <w:rtl/>
        </w:rPr>
        <w:t>)</w:t>
      </w:r>
    </w:p>
    <w:p w14:paraId="75A0412F" w14:textId="1799FA55" w:rsidR="00392DBB" w:rsidRDefault="00BF168B" w:rsidP="00392DBB">
      <w:pPr>
        <w:rPr>
          <w:u w:val="single"/>
          <w:rtl/>
        </w:rPr>
      </w:pPr>
      <w:r>
        <w:rPr>
          <w:rFonts w:hint="cs"/>
          <w:u w:val="single"/>
          <w:rtl/>
        </w:rPr>
        <w:t>יתומה ש</w:t>
      </w:r>
      <w:r w:rsidR="00392DBB">
        <w:rPr>
          <w:rFonts w:hint="cs"/>
          <w:u w:val="single"/>
          <w:rtl/>
        </w:rPr>
        <w:t>השיאוה אחיה</w:t>
      </w:r>
      <w:r w:rsidR="00392DBB" w:rsidRPr="006553C2">
        <w:rPr>
          <w:rFonts w:hint="cs"/>
          <w:u w:val="single"/>
          <w:rtl/>
        </w:rPr>
        <w:t xml:space="preserve"> ולא נתנו לה </w:t>
      </w:r>
      <w:r w:rsidR="00392DBB">
        <w:rPr>
          <w:rFonts w:hint="cs"/>
          <w:u w:val="single"/>
          <w:rtl/>
        </w:rPr>
        <w:t xml:space="preserve">את </w:t>
      </w:r>
      <w:r w:rsidR="00392DBB" w:rsidRPr="006553C2">
        <w:rPr>
          <w:rFonts w:hint="cs"/>
          <w:u w:val="single"/>
          <w:rtl/>
        </w:rPr>
        <w:t xml:space="preserve">פרנסתה כדין </w:t>
      </w:r>
      <w:r w:rsidR="00F97626">
        <w:rPr>
          <w:u w:val="single"/>
          <w:rtl/>
        </w:rPr>
        <w:t>-</w:t>
      </w:r>
      <w:r w:rsidR="00392DBB" w:rsidRPr="006553C2">
        <w:rPr>
          <w:rFonts w:hint="cs"/>
          <w:u w:val="single"/>
          <w:rtl/>
        </w:rPr>
        <w:t xml:space="preserve"> האם יכולה להוציא מהם אח"כ:</w:t>
      </w:r>
    </w:p>
    <w:p w14:paraId="1FF1995E" w14:textId="77777777" w:rsidR="00392DBB" w:rsidRPr="005B0330" w:rsidRDefault="00392DBB" w:rsidP="00392DBB">
      <w:pPr>
        <w:ind w:left="360"/>
        <w:rPr>
          <w:u w:val="dotted"/>
          <w:rtl/>
        </w:rPr>
      </w:pPr>
      <w:r w:rsidRPr="005B0330">
        <w:rPr>
          <w:rFonts w:hint="cs"/>
          <w:u w:val="dotted"/>
          <w:rtl/>
        </w:rPr>
        <w:t xml:space="preserve">נשאת קטנה: </w:t>
      </w:r>
    </w:p>
    <w:p w14:paraId="12957734" w14:textId="35C58F6E" w:rsidR="00392DBB" w:rsidRPr="005B0330" w:rsidRDefault="00392DBB" w:rsidP="009000E3">
      <w:pPr>
        <w:pStyle w:val="ab"/>
        <w:numPr>
          <w:ilvl w:val="0"/>
          <w:numId w:val="63"/>
        </w:numPr>
      </w:pPr>
      <w:r>
        <w:rPr>
          <w:rFonts w:cs="Arial" w:hint="cs"/>
          <w:rtl/>
        </w:rPr>
        <w:t>רי"ף</w:t>
      </w:r>
      <w:r>
        <w:rPr>
          <w:rStyle w:val="a7"/>
          <w:rFonts w:cs="Arial"/>
          <w:rtl/>
        </w:rPr>
        <w:footnoteReference w:id="2723"/>
      </w:r>
      <w:r>
        <w:rPr>
          <w:rFonts w:cs="Arial" w:hint="cs"/>
          <w:rtl/>
        </w:rPr>
        <w:t xml:space="preserve"> </w:t>
      </w:r>
      <w:r w:rsidRPr="00935A52">
        <w:rPr>
          <w:rFonts w:cs="Arial"/>
          <w:sz w:val="16"/>
          <w:szCs w:val="16"/>
          <w:rtl/>
        </w:rPr>
        <w:t xml:space="preserve">(ל:) </w:t>
      </w:r>
      <w:r>
        <w:rPr>
          <w:rFonts w:cs="Arial"/>
          <w:rtl/>
        </w:rPr>
        <w:t xml:space="preserve">רמב"ם </w:t>
      </w:r>
      <w:r w:rsidRPr="002B699E">
        <w:rPr>
          <w:rFonts w:cs="Arial" w:hint="cs"/>
          <w:sz w:val="16"/>
          <w:szCs w:val="16"/>
          <w:rtl/>
        </w:rPr>
        <w:t>(</w:t>
      </w:r>
      <w:r w:rsidRPr="002B699E">
        <w:rPr>
          <w:rFonts w:cs="Arial"/>
          <w:sz w:val="16"/>
          <w:szCs w:val="16"/>
          <w:rtl/>
        </w:rPr>
        <w:t>פ"כ הי"ג)</w:t>
      </w:r>
      <w:r>
        <w:rPr>
          <w:rFonts w:cs="Arial" w:hint="cs"/>
          <w:rtl/>
        </w:rPr>
        <w:t xml:space="preserve"> </w:t>
      </w:r>
      <w:r w:rsidRPr="00323472">
        <w:rPr>
          <w:rFonts w:cs="Arial"/>
          <w:rtl/>
        </w:rPr>
        <w:t xml:space="preserve">רא"ש </w:t>
      </w:r>
      <w:r w:rsidRPr="00935A52">
        <w:rPr>
          <w:rFonts w:cs="Arial"/>
          <w:sz w:val="16"/>
          <w:szCs w:val="16"/>
          <w:rtl/>
        </w:rPr>
        <w:t xml:space="preserve">(סי' יג) </w:t>
      </w:r>
      <w:r>
        <w:rPr>
          <w:rFonts w:cs="Arial" w:hint="cs"/>
          <w:rtl/>
        </w:rPr>
        <w:t xml:space="preserve">וטור- </w:t>
      </w:r>
      <w:r w:rsidRPr="00E04543">
        <w:rPr>
          <w:rFonts w:cs="Arial"/>
          <w:rtl/>
        </w:rPr>
        <w:t xml:space="preserve">השיאוה האחין ולא נתנו לה פרנסתה או שלא נתנו לה כראוי לה </w:t>
      </w:r>
      <w:r>
        <w:rPr>
          <w:rFonts w:cs="Arial" w:hint="cs"/>
          <w:rtl/>
        </w:rPr>
        <w:t xml:space="preserve">- </w:t>
      </w:r>
      <w:r w:rsidRPr="00E04543">
        <w:rPr>
          <w:rFonts w:cs="Arial"/>
          <w:rtl/>
        </w:rPr>
        <w:t>יכולה להוציא מהן כשתגדיל פרנסתה הראוי לה או באומדן דעת האב או עישור נכסים</w:t>
      </w:r>
      <w:r>
        <w:rPr>
          <w:rFonts w:cs="Arial" w:hint="cs"/>
          <w:rtl/>
        </w:rPr>
        <w:t>,</w:t>
      </w:r>
      <w:r w:rsidRPr="00E04543">
        <w:rPr>
          <w:rFonts w:cs="Arial"/>
          <w:rtl/>
        </w:rPr>
        <w:t xml:space="preserve"> אפילו לא מחתה בשעת הנישואין</w:t>
      </w:r>
      <w:r>
        <w:rPr>
          <w:rStyle w:val="a7"/>
          <w:rFonts w:cs="Arial"/>
          <w:rtl/>
        </w:rPr>
        <w:footnoteReference w:id="2724"/>
      </w:r>
      <w:r w:rsidRPr="00E04543">
        <w:rPr>
          <w:rFonts w:cs="Arial"/>
          <w:rtl/>
        </w:rPr>
        <w:t xml:space="preserve"> לומר דעו שאיני מוחלת על פרנסתי</w:t>
      </w:r>
      <w:r>
        <w:rPr>
          <w:rFonts w:cs="Arial" w:hint="cs"/>
          <w:rtl/>
        </w:rPr>
        <w:t>,</w:t>
      </w:r>
      <w:r w:rsidRPr="00E04543">
        <w:rPr>
          <w:rFonts w:cs="Arial"/>
          <w:rtl/>
        </w:rPr>
        <w:t xml:space="preserve"> וגם לא פסקו שיתנו לה עוד מזונות</w:t>
      </w:r>
      <w:r>
        <w:rPr>
          <w:rFonts w:cs="Arial" w:hint="cs"/>
          <w:sz w:val="16"/>
          <w:szCs w:val="16"/>
          <w:rtl/>
        </w:rPr>
        <w:t xml:space="preserve"> (ל' הטור)</w:t>
      </w:r>
      <w:r>
        <w:rPr>
          <w:rFonts w:cs="Arial" w:hint="cs"/>
          <w:rtl/>
        </w:rPr>
        <w:t>.</w:t>
      </w:r>
      <w:r w:rsidRPr="00E04543">
        <w:rPr>
          <w:rFonts w:cs="Arial"/>
          <w:rtl/>
        </w:rPr>
        <w:t xml:space="preserve"> </w:t>
      </w:r>
      <w:r w:rsidRPr="008C5D9B">
        <w:rPr>
          <w:rFonts w:hint="cs"/>
          <w:color w:val="E36C0A" w:themeColor="accent6" w:themeShade="BF"/>
          <w:rtl/>
        </w:rPr>
        <w:t>(וכ"פ בשו"ע)</w:t>
      </w:r>
    </w:p>
    <w:p w14:paraId="0B0AC762" w14:textId="77777777" w:rsidR="00392DBB" w:rsidRPr="005B0330" w:rsidRDefault="00392DBB" w:rsidP="00392DBB">
      <w:pPr>
        <w:ind w:left="360"/>
      </w:pPr>
      <w:r w:rsidRPr="005B0330">
        <w:rPr>
          <w:rFonts w:hint="cs"/>
          <w:u w:val="dotted"/>
          <w:rtl/>
        </w:rPr>
        <w:t xml:space="preserve">נשאת </w:t>
      </w:r>
      <w:r>
        <w:rPr>
          <w:rFonts w:hint="cs"/>
          <w:u w:val="dotted"/>
          <w:rtl/>
        </w:rPr>
        <w:t>נערה</w:t>
      </w:r>
      <w:r w:rsidRPr="005B0330">
        <w:rPr>
          <w:rFonts w:hint="cs"/>
          <w:u w:val="dotted"/>
          <w:rtl/>
        </w:rPr>
        <w:t>:</w:t>
      </w:r>
    </w:p>
    <w:p w14:paraId="378FA4A3" w14:textId="4CFC2FE4" w:rsidR="00392DBB" w:rsidRPr="005B0330" w:rsidRDefault="00392DBB" w:rsidP="009000E3">
      <w:pPr>
        <w:pStyle w:val="ab"/>
        <w:numPr>
          <w:ilvl w:val="0"/>
          <w:numId w:val="63"/>
        </w:numPr>
      </w:pPr>
      <w:r>
        <w:rPr>
          <w:rFonts w:cs="Arial" w:hint="cs"/>
          <w:rtl/>
        </w:rPr>
        <w:t xml:space="preserve">רי"ף </w:t>
      </w:r>
      <w:r w:rsidRPr="00935A52">
        <w:rPr>
          <w:rFonts w:cs="Arial"/>
          <w:sz w:val="16"/>
          <w:szCs w:val="16"/>
          <w:rtl/>
        </w:rPr>
        <w:t xml:space="preserve">(ל:) </w:t>
      </w:r>
      <w:r>
        <w:rPr>
          <w:rFonts w:cs="Arial"/>
          <w:rtl/>
        </w:rPr>
        <w:t>רמב"ם</w:t>
      </w:r>
      <w:r>
        <w:rPr>
          <w:rStyle w:val="a7"/>
          <w:rFonts w:cs="Arial"/>
          <w:rtl/>
        </w:rPr>
        <w:footnoteReference w:id="2725"/>
      </w:r>
      <w:r>
        <w:rPr>
          <w:rFonts w:cs="Arial"/>
          <w:rtl/>
        </w:rPr>
        <w:t xml:space="preserve"> </w:t>
      </w:r>
      <w:r w:rsidRPr="002B699E">
        <w:rPr>
          <w:rFonts w:cs="Arial" w:hint="cs"/>
          <w:sz w:val="16"/>
          <w:szCs w:val="16"/>
          <w:rtl/>
        </w:rPr>
        <w:t>(</w:t>
      </w:r>
      <w:r>
        <w:rPr>
          <w:rFonts w:cs="Arial" w:hint="cs"/>
          <w:sz w:val="16"/>
          <w:szCs w:val="16"/>
          <w:rtl/>
        </w:rPr>
        <w:t>שם, להב' הב"י</w:t>
      </w:r>
      <w:r w:rsidRPr="002B699E">
        <w:rPr>
          <w:rFonts w:cs="Arial"/>
          <w:sz w:val="16"/>
          <w:szCs w:val="16"/>
          <w:rtl/>
        </w:rPr>
        <w:t>)</w:t>
      </w:r>
      <w:r>
        <w:rPr>
          <w:rFonts w:cs="Arial" w:hint="cs"/>
          <w:rtl/>
        </w:rPr>
        <w:t xml:space="preserve"> </w:t>
      </w:r>
      <w:r w:rsidRPr="00323472">
        <w:rPr>
          <w:rFonts w:cs="Arial"/>
          <w:rtl/>
        </w:rPr>
        <w:t xml:space="preserve">רא"ש </w:t>
      </w:r>
      <w:r w:rsidRPr="00935A52">
        <w:rPr>
          <w:rFonts w:cs="Arial"/>
          <w:sz w:val="16"/>
          <w:szCs w:val="16"/>
          <w:rtl/>
        </w:rPr>
        <w:t xml:space="preserve">(סי' יג) </w:t>
      </w:r>
      <w:r>
        <w:rPr>
          <w:rFonts w:cs="Arial" w:hint="cs"/>
          <w:rtl/>
        </w:rPr>
        <w:t xml:space="preserve">וטור- </w:t>
      </w:r>
      <w:r w:rsidRPr="00E04543">
        <w:rPr>
          <w:rFonts w:cs="Arial"/>
          <w:rtl/>
        </w:rPr>
        <w:t>בד"א כשנישא</w:t>
      </w:r>
      <w:r>
        <w:rPr>
          <w:rFonts w:cs="Arial" w:hint="cs"/>
          <w:rtl/>
        </w:rPr>
        <w:t>ת</w:t>
      </w:r>
      <w:r w:rsidRPr="00E04543">
        <w:rPr>
          <w:rFonts w:cs="Arial"/>
          <w:rtl/>
        </w:rPr>
        <w:t xml:space="preserve"> ועודה קטנה</w:t>
      </w:r>
      <w:r>
        <w:rPr>
          <w:rFonts w:cs="Arial" w:hint="cs"/>
          <w:rtl/>
        </w:rPr>
        <w:t>,</w:t>
      </w:r>
      <w:r w:rsidRPr="00E04543">
        <w:rPr>
          <w:rFonts w:cs="Arial"/>
          <w:rtl/>
        </w:rPr>
        <w:t xml:space="preserve"> אבל נישאת נערה ולא נתנו לה פרנסת</w:t>
      </w:r>
      <w:r>
        <w:rPr>
          <w:rFonts w:cs="Arial" w:hint="cs"/>
          <w:rtl/>
        </w:rPr>
        <w:t>ה,</w:t>
      </w:r>
      <w:r w:rsidRPr="00E04543">
        <w:rPr>
          <w:rFonts w:cs="Arial"/>
          <w:rtl/>
        </w:rPr>
        <w:t xml:space="preserve"> אם לא מחתה וגם לא פסקו ליתן לה עוד מזונו</w:t>
      </w:r>
      <w:r>
        <w:rPr>
          <w:rFonts w:cs="Arial" w:hint="cs"/>
          <w:rtl/>
        </w:rPr>
        <w:t>ת -</w:t>
      </w:r>
      <w:r w:rsidRPr="00E04543">
        <w:rPr>
          <w:rFonts w:cs="Arial"/>
          <w:rtl/>
        </w:rPr>
        <w:t xml:space="preserve"> אבדה פרנסתה</w:t>
      </w:r>
      <w:r>
        <w:rPr>
          <w:rFonts w:cs="Arial" w:hint="cs"/>
          <w:rtl/>
        </w:rPr>
        <w:t>,</w:t>
      </w:r>
      <w:r w:rsidRPr="00E04543">
        <w:rPr>
          <w:rFonts w:cs="Arial"/>
          <w:rtl/>
        </w:rPr>
        <w:t xml:space="preserve"> אא"כ מחתה או פסקו לה עוד מזונו</w:t>
      </w:r>
      <w:r>
        <w:rPr>
          <w:rFonts w:cs="Arial" w:hint="cs"/>
          <w:rtl/>
        </w:rPr>
        <w:t>ת</w:t>
      </w:r>
      <w:r>
        <w:rPr>
          <w:rFonts w:cs="Arial" w:hint="cs"/>
          <w:sz w:val="16"/>
          <w:szCs w:val="16"/>
          <w:rtl/>
        </w:rPr>
        <w:t xml:space="preserve"> (ל' הטור)</w:t>
      </w:r>
      <w:r>
        <w:rPr>
          <w:rFonts w:cs="Arial" w:hint="cs"/>
          <w:rtl/>
        </w:rPr>
        <w:t>.</w:t>
      </w:r>
      <w:r w:rsidRPr="00E04543">
        <w:rPr>
          <w:rFonts w:cs="Arial"/>
          <w:rtl/>
        </w:rPr>
        <w:t xml:space="preserve"> </w:t>
      </w:r>
      <w:r w:rsidRPr="008C5D9B">
        <w:rPr>
          <w:rFonts w:hint="cs"/>
          <w:color w:val="E36C0A" w:themeColor="accent6" w:themeShade="BF"/>
          <w:rtl/>
        </w:rPr>
        <w:t>(וכ"פ בשו"ע)</w:t>
      </w:r>
    </w:p>
    <w:p w14:paraId="1CABD73C" w14:textId="7EAF22BE" w:rsidR="00392DBB" w:rsidRPr="005B0330" w:rsidRDefault="00392DBB" w:rsidP="00392DBB">
      <w:pPr>
        <w:ind w:left="360"/>
      </w:pPr>
      <w:r>
        <w:rPr>
          <w:rFonts w:hint="cs"/>
          <w:u w:val="dotted"/>
          <w:rtl/>
        </w:rPr>
        <w:lastRenderedPageBreak/>
        <w:t>בגר</w:t>
      </w:r>
      <w:r w:rsidR="00A561C1">
        <w:rPr>
          <w:rFonts w:hint="cs"/>
          <w:u w:val="dotted"/>
          <w:rtl/>
        </w:rPr>
        <w:t>ה ונשאת</w:t>
      </w:r>
      <w:r w:rsidRPr="005B0330">
        <w:rPr>
          <w:rFonts w:hint="cs"/>
          <w:u w:val="dotted"/>
          <w:rtl/>
        </w:rPr>
        <w:t>:</w:t>
      </w:r>
    </w:p>
    <w:p w14:paraId="076CE05B" w14:textId="77777777" w:rsidR="00392DBB" w:rsidRDefault="00392DBB" w:rsidP="009000E3">
      <w:pPr>
        <w:pStyle w:val="ab"/>
        <w:numPr>
          <w:ilvl w:val="0"/>
          <w:numId w:val="63"/>
        </w:numPr>
      </w:pPr>
      <w:r>
        <w:rPr>
          <w:rFonts w:cs="Arial" w:hint="cs"/>
          <w:rtl/>
        </w:rPr>
        <w:t xml:space="preserve">רי"ף </w:t>
      </w:r>
      <w:r w:rsidRPr="00935A52">
        <w:rPr>
          <w:rFonts w:cs="Arial"/>
          <w:sz w:val="16"/>
          <w:szCs w:val="16"/>
          <w:rtl/>
        </w:rPr>
        <w:t xml:space="preserve">(ל:) </w:t>
      </w:r>
      <w:r>
        <w:rPr>
          <w:rFonts w:cs="Arial"/>
          <w:rtl/>
        </w:rPr>
        <w:t xml:space="preserve">רמב"ם </w:t>
      </w:r>
      <w:r w:rsidRPr="002B699E">
        <w:rPr>
          <w:rFonts w:cs="Arial" w:hint="cs"/>
          <w:sz w:val="16"/>
          <w:szCs w:val="16"/>
          <w:rtl/>
        </w:rPr>
        <w:t>(</w:t>
      </w:r>
      <w:r w:rsidRPr="002B699E">
        <w:rPr>
          <w:rFonts w:cs="Arial"/>
          <w:sz w:val="16"/>
          <w:szCs w:val="16"/>
          <w:rtl/>
        </w:rPr>
        <w:t>פ"כ הי"ג)</w:t>
      </w:r>
      <w:r>
        <w:rPr>
          <w:rFonts w:cs="Arial" w:hint="cs"/>
          <w:sz w:val="16"/>
          <w:szCs w:val="16"/>
          <w:rtl/>
        </w:rPr>
        <w:t xml:space="preserve"> </w:t>
      </w:r>
      <w:r w:rsidRPr="00323472">
        <w:rPr>
          <w:rFonts w:cs="Arial"/>
          <w:rtl/>
        </w:rPr>
        <w:t xml:space="preserve">רא"ש </w:t>
      </w:r>
      <w:r w:rsidRPr="00935A52">
        <w:rPr>
          <w:rFonts w:cs="Arial"/>
          <w:sz w:val="16"/>
          <w:szCs w:val="16"/>
          <w:rtl/>
        </w:rPr>
        <w:t xml:space="preserve">(סי' יג) </w:t>
      </w:r>
      <w:r>
        <w:rPr>
          <w:rFonts w:cs="Arial" w:hint="cs"/>
          <w:rtl/>
        </w:rPr>
        <w:t xml:space="preserve">וטור- </w:t>
      </w:r>
      <w:r w:rsidRPr="00E04543">
        <w:rPr>
          <w:rFonts w:cs="Arial"/>
          <w:rtl/>
        </w:rPr>
        <w:t>ואם בגרה ואח"כ נישאת</w:t>
      </w:r>
      <w:r>
        <w:rPr>
          <w:rFonts w:cs="Arial" w:hint="cs"/>
          <w:rtl/>
        </w:rPr>
        <w:t>,</w:t>
      </w:r>
      <w:r w:rsidRPr="00E04543">
        <w:rPr>
          <w:rFonts w:cs="Arial"/>
          <w:rtl/>
        </w:rPr>
        <w:t xml:space="preserve"> אפי' אם יפסקו ליתן לה מזונות </w:t>
      </w:r>
      <w:r>
        <w:rPr>
          <w:rFonts w:cs="Arial" w:hint="cs"/>
          <w:rtl/>
        </w:rPr>
        <w:t xml:space="preserve">- </w:t>
      </w:r>
      <w:r w:rsidRPr="00E04543">
        <w:rPr>
          <w:rFonts w:cs="Arial"/>
          <w:rtl/>
        </w:rPr>
        <w:t>אבדה מזונותיה אא"כ מחתה</w:t>
      </w:r>
      <w:r>
        <w:rPr>
          <w:rStyle w:val="a7"/>
          <w:rFonts w:cs="Arial"/>
          <w:rtl/>
        </w:rPr>
        <w:footnoteReference w:id="2726"/>
      </w:r>
      <w:r>
        <w:rPr>
          <w:rFonts w:cs="Arial" w:hint="cs"/>
          <w:sz w:val="16"/>
          <w:szCs w:val="16"/>
          <w:rtl/>
        </w:rPr>
        <w:t xml:space="preserve"> (ל' הטור)</w:t>
      </w:r>
      <w:r>
        <w:rPr>
          <w:rFonts w:cs="Arial" w:hint="cs"/>
          <w:rtl/>
        </w:rPr>
        <w:t xml:space="preserve">. </w:t>
      </w:r>
      <w:r w:rsidRPr="008C5D9B">
        <w:rPr>
          <w:rFonts w:hint="cs"/>
          <w:color w:val="E36C0A" w:themeColor="accent6" w:themeShade="BF"/>
          <w:rtl/>
        </w:rPr>
        <w:t>(וכ"פ בשו"ע)</w:t>
      </w:r>
    </w:p>
    <w:p w14:paraId="76E7C870" w14:textId="77777777" w:rsidR="00392DBB" w:rsidRPr="005B0330" w:rsidRDefault="00392DBB" w:rsidP="00392DBB">
      <w:pPr>
        <w:ind w:left="360"/>
        <w:rPr>
          <w:u w:val="dotted"/>
        </w:rPr>
      </w:pPr>
      <w:r w:rsidRPr="005B0330">
        <w:rPr>
          <w:rFonts w:hint="cs"/>
          <w:u w:val="dotted"/>
          <w:rtl/>
        </w:rPr>
        <w:t>בגרה ולא נשאת:</w:t>
      </w:r>
    </w:p>
    <w:p w14:paraId="35017889" w14:textId="77777777" w:rsidR="00392DBB" w:rsidRDefault="00392DBB" w:rsidP="009000E3">
      <w:pPr>
        <w:pStyle w:val="ab"/>
        <w:numPr>
          <w:ilvl w:val="0"/>
          <w:numId w:val="63"/>
        </w:numPr>
      </w:pPr>
      <w:r>
        <w:rPr>
          <w:rFonts w:cs="Arial" w:hint="cs"/>
          <w:rtl/>
        </w:rPr>
        <w:t xml:space="preserve">רי"ף </w:t>
      </w:r>
      <w:r w:rsidRPr="00935A52">
        <w:rPr>
          <w:rFonts w:cs="Arial"/>
          <w:sz w:val="16"/>
          <w:szCs w:val="16"/>
          <w:rtl/>
        </w:rPr>
        <w:t xml:space="preserve">(ל:) </w:t>
      </w:r>
      <w:r>
        <w:rPr>
          <w:rFonts w:cs="Arial"/>
          <w:rtl/>
        </w:rPr>
        <w:t xml:space="preserve">רמב"ם </w:t>
      </w:r>
      <w:r w:rsidRPr="002B699E">
        <w:rPr>
          <w:rFonts w:cs="Arial" w:hint="cs"/>
          <w:sz w:val="16"/>
          <w:szCs w:val="16"/>
          <w:rtl/>
        </w:rPr>
        <w:t>(</w:t>
      </w:r>
      <w:r w:rsidRPr="002B699E">
        <w:rPr>
          <w:rFonts w:cs="Arial"/>
          <w:sz w:val="16"/>
          <w:szCs w:val="16"/>
          <w:rtl/>
        </w:rPr>
        <w:t>פ"כ הי"ג)</w:t>
      </w:r>
      <w:r>
        <w:rPr>
          <w:rFonts w:cs="Arial" w:hint="cs"/>
          <w:sz w:val="16"/>
          <w:szCs w:val="16"/>
          <w:rtl/>
        </w:rPr>
        <w:t xml:space="preserve"> </w:t>
      </w:r>
      <w:r w:rsidRPr="00323472">
        <w:rPr>
          <w:rFonts w:cs="Arial"/>
          <w:rtl/>
        </w:rPr>
        <w:t xml:space="preserve">רא"ש </w:t>
      </w:r>
      <w:r w:rsidRPr="00935A52">
        <w:rPr>
          <w:rFonts w:cs="Arial"/>
          <w:sz w:val="16"/>
          <w:szCs w:val="16"/>
          <w:rtl/>
        </w:rPr>
        <w:t xml:space="preserve">(סי' יג) </w:t>
      </w:r>
      <w:r>
        <w:rPr>
          <w:rFonts w:cs="Arial" w:hint="cs"/>
          <w:rtl/>
        </w:rPr>
        <w:t xml:space="preserve">וטור- </w:t>
      </w:r>
      <w:r w:rsidRPr="006553C2">
        <w:rPr>
          <w:rFonts w:cs="Arial"/>
          <w:rtl/>
        </w:rPr>
        <w:t>וכן נמי מיד כשבגרה</w:t>
      </w:r>
      <w:r w:rsidRPr="006553C2">
        <w:rPr>
          <w:rFonts w:cs="Arial" w:hint="cs"/>
          <w:rtl/>
        </w:rPr>
        <w:t>,</w:t>
      </w:r>
      <w:r w:rsidRPr="006553C2">
        <w:rPr>
          <w:rFonts w:cs="Arial"/>
          <w:rtl/>
        </w:rPr>
        <w:t xml:space="preserve"> אפילו לא ניסת </w:t>
      </w:r>
      <w:r w:rsidRPr="006553C2">
        <w:rPr>
          <w:rFonts w:cs="Arial" w:hint="cs"/>
          <w:rtl/>
        </w:rPr>
        <w:t xml:space="preserve">- </w:t>
      </w:r>
      <w:r w:rsidRPr="006553C2">
        <w:rPr>
          <w:rFonts w:cs="Arial"/>
          <w:rtl/>
        </w:rPr>
        <w:t>אבדה פרנסתה אא"כ מחתה או שפסקו ליתן לה עוד מזונות</w:t>
      </w:r>
      <w:r w:rsidRPr="006553C2">
        <w:rPr>
          <w:rFonts w:cs="Arial" w:hint="cs"/>
          <w:rtl/>
        </w:rPr>
        <w:t>.</w:t>
      </w:r>
      <w:r w:rsidRPr="006553C2">
        <w:rPr>
          <w:rFonts w:cs="Arial"/>
          <w:rtl/>
        </w:rPr>
        <w:t xml:space="preserve"> ומיהו במחאה לחוד סגי</w:t>
      </w:r>
      <w:r>
        <w:rPr>
          <w:rFonts w:cs="Arial" w:hint="cs"/>
          <w:rtl/>
        </w:rPr>
        <w:t>,</w:t>
      </w:r>
      <w:r w:rsidRPr="006553C2">
        <w:rPr>
          <w:rFonts w:cs="Arial"/>
          <w:rtl/>
        </w:rPr>
        <w:t xml:space="preserve"> אפי' אין פוסקין ליתן לה עוד מזונו</w:t>
      </w:r>
      <w:r w:rsidRPr="006553C2">
        <w:rPr>
          <w:rFonts w:cs="Arial" w:hint="cs"/>
          <w:rtl/>
        </w:rPr>
        <w:t>ת</w:t>
      </w:r>
      <w:r>
        <w:rPr>
          <w:rFonts w:cs="Arial" w:hint="cs"/>
          <w:sz w:val="16"/>
          <w:szCs w:val="16"/>
          <w:rtl/>
        </w:rPr>
        <w:t xml:space="preserve"> (ל' הטור)</w:t>
      </w:r>
      <w:r w:rsidRPr="006553C2">
        <w:rPr>
          <w:rFonts w:cs="Arial" w:hint="cs"/>
          <w:rtl/>
        </w:rPr>
        <w:t>.</w:t>
      </w:r>
      <w:r w:rsidRPr="006553C2">
        <w:rPr>
          <w:rFonts w:cs="Arial"/>
          <w:rtl/>
        </w:rPr>
        <w:t xml:space="preserve"> </w:t>
      </w:r>
      <w:r w:rsidRPr="008C5D9B">
        <w:rPr>
          <w:rFonts w:hint="cs"/>
          <w:color w:val="E36C0A" w:themeColor="accent6" w:themeShade="BF"/>
          <w:rtl/>
        </w:rPr>
        <w:t>(וכ"פ בשו"ע)</w:t>
      </w:r>
    </w:p>
    <w:p w14:paraId="43D63F2A" w14:textId="77777777" w:rsidR="003C4542" w:rsidRPr="003C4542" w:rsidRDefault="003C4542" w:rsidP="003C4542">
      <w:pPr>
        <w:ind w:left="360"/>
        <w:rPr>
          <w:u w:val="dotted"/>
        </w:rPr>
      </w:pPr>
      <w:r w:rsidRPr="003C4542">
        <w:rPr>
          <w:rFonts w:hint="cs"/>
          <w:u w:val="dotted"/>
          <w:rtl/>
        </w:rPr>
        <w:t>בגרה בחיי האב:</w:t>
      </w:r>
    </w:p>
    <w:p w14:paraId="0D42100B" w14:textId="77777777" w:rsidR="003C4542" w:rsidRPr="00284E7E" w:rsidRDefault="003C4542" w:rsidP="003C4542">
      <w:pPr>
        <w:pStyle w:val="ab"/>
        <w:numPr>
          <w:ilvl w:val="0"/>
          <w:numId w:val="63"/>
        </w:numPr>
      </w:pPr>
      <w:r w:rsidRPr="00E04543">
        <w:rPr>
          <w:rFonts w:cs="Arial"/>
          <w:rtl/>
        </w:rPr>
        <w:t>ה"ר יונה</w:t>
      </w:r>
      <w:r>
        <w:rPr>
          <w:rFonts w:cs="Arial" w:hint="cs"/>
          <w:rtl/>
        </w:rPr>
        <w:t xml:space="preserve"> </w:t>
      </w:r>
      <w:r>
        <w:rPr>
          <w:rFonts w:cs="Arial" w:hint="cs"/>
          <w:sz w:val="16"/>
          <w:szCs w:val="16"/>
          <w:rtl/>
        </w:rPr>
        <w:t>(כ"כ בשמו הרא"ש [</w:t>
      </w:r>
      <w:r w:rsidRPr="00CF4F52">
        <w:rPr>
          <w:rFonts w:cs="Arial"/>
          <w:sz w:val="16"/>
          <w:szCs w:val="16"/>
          <w:rtl/>
        </w:rPr>
        <w:t>סי' יד</w:t>
      </w:r>
      <w:r>
        <w:rPr>
          <w:rFonts w:cs="Arial" w:hint="cs"/>
          <w:sz w:val="16"/>
          <w:szCs w:val="16"/>
          <w:rtl/>
        </w:rPr>
        <w:t>]</w:t>
      </w:r>
      <w:r w:rsidRPr="00CF4F52">
        <w:rPr>
          <w:rFonts w:cs="Arial" w:hint="cs"/>
          <w:sz w:val="16"/>
          <w:szCs w:val="16"/>
          <w:rtl/>
        </w:rPr>
        <w:t xml:space="preserve"> </w:t>
      </w:r>
      <w:r>
        <w:rPr>
          <w:rFonts w:cs="Arial" w:hint="cs"/>
          <w:sz w:val="16"/>
          <w:szCs w:val="16"/>
          <w:rtl/>
        </w:rPr>
        <w:t>והטור)</w:t>
      </w:r>
      <w:r>
        <w:rPr>
          <w:rFonts w:cs="Arial" w:hint="cs"/>
          <w:rtl/>
        </w:rPr>
        <w:t xml:space="preserve"> ורא"ש </w:t>
      </w:r>
      <w:r>
        <w:rPr>
          <w:rFonts w:cs="Arial" w:hint="cs"/>
          <w:sz w:val="16"/>
          <w:szCs w:val="16"/>
          <w:rtl/>
        </w:rPr>
        <w:t>(שם, כ"כ הטור בשמו)</w:t>
      </w:r>
      <w:r>
        <w:rPr>
          <w:rFonts w:cs="Arial" w:hint="cs"/>
          <w:rtl/>
        </w:rPr>
        <w:t>-</w:t>
      </w:r>
      <w:r w:rsidRPr="00E04543">
        <w:rPr>
          <w:rFonts w:cs="Arial"/>
          <w:rtl/>
        </w:rPr>
        <w:t xml:space="preserve"> הא דבוגרת לא הפסידה עישור נכסים אם מחתה</w:t>
      </w:r>
      <w:r>
        <w:rPr>
          <w:rFonts w:cs="Arial" w:hint="cs"/>
          <w:rtl/>
        </w:rPr>
        <w:t>,</w:t>
      </w:r>
      <w:r w:rsidRPr="00E04543">
        <w:rPr>
          <w:rFonts w:cs="Arial"/>
          <w:rtl/>
        </w:rPr>
        <w:t xml:space="preserve"> היינו דוקא כשבגרה אחרי מות האב</w:t>
      </w:r>
      <w:r>
        <w:rPr>
          <w:rFonts w:cs="Arial" w:hint="cs"/>
          <w:rtl/>
        </w:rPr>
        <w:t>.</w:t>
      </w:r>
      <w:r w:rsidRPr="00E04543">
        <w:rPr>
          <w:rFonts w:cs="Arial"/>
          <w:rtl/>
        </w:rPr>
        <w:t xml:space="preserve"> אבל אם בגרה בחיי האב</w:t>
      </w:r>
      <w:r>
        <w:rPr>
          <w:rFonts w:cs="Arial" w:hint="cs"/>
          <w:rtl/>
        </w:rPr>
        <w:t xml:space="preserve"> -</w:t>
      </w:r>
      <w:r w:rsidRPr="00E04543">
        <w:rPr>
          <w:rFonts w:cs="Arial"/>
          <w:rtl/>
        </w:rPr>
        <w:t xml:space="preserve"> אין האחין חייבים להשיאה</w:t>
      </w:r>
      <w:r>
        <w:rPr>
          <w:rFonts w:cs="Arial" w:hint="cs"/>
          <w:rtl/>
        </w:rPr>
        <w:t>.</w:t>
      </w:r>
      <w:r w:rsidRPr="00E04543">
        <w:rPr>
          <w:rFonts w:cs="Arial"/>
          <w:rtl/>
        </w:rPr>
        <w:t xml:space="preserve"> שלא תקנו עישור נכסים אלא במי שמת והניח בנות קטנות</w:t>
      </w:r>
      <w:r>
        <w:rPr>
          <w:rFonts w:cs="Arial" w:hint="cs"/>
          <w:rtl/>
        </w:rPr>
        <w:t>,</w:t>
      </w:r>
      <w:r w:rsidRPr="00E04543">
        <w:rPr>
          <w:rFonts w:cs="Arial"/>
          <w:rtl/>
        </w:rPr>
        <w:t xml:space="preserve"> מפני שאמרו חכמים דעתו של אדם שאינו מניח בתו עד שתיבגר</w:t>
      </w:r>
      <w:r>
        <w:rPr>
          <w:rFonts w:cs="Arial" w:hint="cs"/>
          <w:rtl/>
        </w:rPr>
        <w:t>.</w:t>
      </w:r>
      <w:r w:rsidRPr="00E04543">
        <w:rPr>
          <w:rFonts w:cs="Arial"/>
          <w:rtl/>
        </w:rPr>
        <w:t xml:space="preserve"> אבל זאת שבגרה בחיי האב</w:t>
      </w:r>
      <w:r>
        <w:rPr>
          <w:rFonts w:cs="Arial" w:hint="cs"/>
          <w:rtl/>
        </w:rPr>
        <w:t>,</w:t>
      </w:r>
      <w:r w:rsidRPr="00E04543">
        <w:rPr>
          <w:rFonts w:cs="Arial"/>
          <w:rtl/>
        </w:rPr>
        <w:t xml:space="preserve"> כיון דאשתהי אשתהי</w:t>
      </w:r>
      <w:r>
        <w:rPr>
          <w:rFonts w:cs="Arial" w:hint="cs"/>
          <w:sz w:val="16"/>
          <w:szCs w:val="16"/>
          <w:rtl/>
        </w:rPr>
        <w:t xml:space="preserve"> (ל' הטור בשם ה"ר יונה)</w:t>
      </w:r>
      <w:r>
        <w:rPr>
          <w:rFonts w:cs="Arial" w:hint="cs"/>
          <w:rtl/>
        </w:rPr>
        <w:t>.</w:t>
      </w:r>
      <w:r>
        <w:rPr>
          <w:rFonts w:hint="cs"/>
          <w:rtl/>
        </w:rPr>
        <w:t xml:space="preserve"> </w:t>
      </w:r>
      <w:r w:rsidRPr="008C5D9B">
        <w:rPr>
          <w:rFonts w:hint="cs"/>
          <w:color w:val="00B0F0"/>
          <w:rtl/>
        </w:rPr>
        <w:t>(וכ"כ הרמ"א)</w:t>
      </w:r>
    </w:p>
    <w:p w14:paraId="3A6E2B0C" w14:textId="39B1B2F0" w:rsidR="003C4542" w:rsidRPr="002B699E" w:rsidRDefault="003C4542" w:rsidP="000C7661">
      <w:pPr>
        <w:pStyle w:val="ab"/>
        <w:numPr>
          <w:ilvl w:val="0"/>
          <w:numId w:val="63"/>
        </w:numPr>
        <w:rPr>
          <w:rtl/>
        </w:rPr>
      </w:pPr>
      <w:r w:rsidRPr="00284E7E">
        <w:rPr>
          <w:rFonts w:cs="Arial"/>
          <w:rtl/>
        </w:rPr>
        <w:t>רמב"ם</w:t>
      </w:r>
      <w:r>
        <w:rPr>
          <w:rFonts w:cs="Arial" w:hint="cs"/>
          <w:sz w:val="16"/>
          <w:szCs w:val="16"/>
          <w:rtl/>
        </w:rPr>
        <w:t xml:space="preserve"> (פ"כ הי"ג)</w:t>
      </w:r>
      <w:r w:rsidRPr="00284E7E">
        <w:rPr>
          <w:rFonts w:cs="Arial" w:hint="cs"/>
          <w:rtl/>
        </w:rPr>
        <w:t xml:space="preserve">- </w:t>
      </w:r>
      <w:r w:rsidR="000C7661">
        <w:rPr>
          <w:rFonts w:cs="Arial"/>
          <w:rtl/>
        </w:rPr>
        <w:t>בגרה ועודה בבית אביה</w:t>
      </w:r>
      <w:r w:rsidR="000C7661">
        <w:rPr>
          <w:rFonts w:cs="Arial" w:hint="cs"/>
          <w:rtl/>
        </w:rPr>
        <w:t>,</w:t>
      </w:r>
      <w:r w:rsidR="000C7661">
        <w:rPr>
          <w:rFonts w:cs="Arial"/>
          <w:rtl/>
        </w:rPr>
        <w:t xml:space="preserve"> בין שבגרה אחרי מותו בין שהניחה בוגרת</w:t>
      </w:r>
      <w:r w:rsidR="000C7661">
        <w:rPr>
          <w:rFonts w:cs="Arial" w:hint="cs"/>
          <w:rtl/>
        </w:rPr>
        <w:t>,</w:t>
      </w:r>
      <w:r w:rsidR="000C7661">
        <w:rPr>
          <w:rFonts w:cs="Arial"/>
          <w:rtl/>
        </w:rPr>
        <w:t xml:space="preserve"> אם פסקו האחין מלתת מזונותיה</w:t>
      </w:r>
      <w:r w:rsidR="000C7661">
        <w:rPr>
          <w:rFonts w:cs="Arial" w:hint="cs"/>
          <w:rtl/>
        </w:rPr>
        <w:t>,</w:t>
      </w:r>
      <w:r w:rsidR="000C7661">
        <w:rPr>
          <w:rFonts w:cs="Arial"/>
          <w:rtl/>
        </w:rPr>
        <w:t xml:space="preserve"> שהרי אין לה מזונות כמו שביארנו</w:t>
      </w:r>
      <w:r w:rsidR="000C7661">
        <w:rPr>
          <w:rFonts w:cs="Arial" w:hint="cs"/>
          <w:rtl/>
        </w:rPr>
        <w:t>,</w:t>
      </w:r>
      <w:r w:rsidR="000C7661">
        <w:rPr>
          <w:rFonts w:cs="Arial"/>
          <w:rtl/>
        </w:rPr>
        <w:t xml:space="preserve"> ושתקה ולא תבעה </w:t>
      </w:r>
      <w:r w:rsidR="000C7661">
        <w:rPr>
          <w:rFonts w:cs="Arial" w:hint="cs"/>
          <w:rtl/>
        </w:rPr>
        <w:t xml:space="preserve">- </w:t>
      </w:r>
      <w:r w:rsidR="000C7661">
        <w:rPr>
          <w:rFonts w:cs="Arial"/>
          <w:rtl/>
        </w:rPr>
        <w:t>איבדה פרנסתה</w:t>
      </w:r>
      <w:r w:rsidR="000C7661">
        <w:rPr>
          <w:rFonts w:cs="Arial" w:hint="cs"/>
          <w:rtl/>
        </w:rPr>
        <w:t>.</w:t>
      </w:r>
      <w:r w:rsidR="000C7661">
        <w:rPr>
          <w:rFonts w:cs="Arial"/>
          <w:rtl/>
        </w:rPr>
        <w:t xml:space="preserve"> לא פסקו האחים מזונותיה וזנו אותה בבגר</w:t>
      </w:r>
      <w:r w:rsidR="000C7661">
        <w:rPr>
          <w:rFonts w:cs="Arial" w:hint="cs"/>
          <w:rtl/>
        </w:rPr>
        <w:t>,</w:t>
      </w:r>
      <w:r w:rsidR="000C7661">
        <w:rPr>
          <w:rFonts w:cs="Arial" w:hint="cs"/>
          <w:rtl/>
        </w:rPr>
        <w:t xml:space="preserve"> </w:t>
      </w:r>
      <w:r w:rsidR="000C7661">
        <w:rPr>
          <w:rFonts w:cs="Arial"/>
          <w:rtl/>
        </w:rPr>
        <w:t>אע</w:t>
      </w:r>
      <w:r w:rsidR="000C7661">
        <w:rPr>
          <w:rFonts w:cs="Arial" w:hint="cs"/>
          <w:rtl/>
        </w:rPr>
        <w:t>"</w:t>
      </w:r>
      <w:r w:rsidR="000C7661">
        <w:rPr>
          <w:rFonts w:cs="Arial"/>
          <w:rtl/>
        </w:rPr>
        <w:t xml:space="preserve">פ שלא מחתה </w:t>
      </w:r>
      <w:r w:rsidR="000C7661">
        <w:rPr>
          <w:rFonts w:cs="Arial" w:hint="cs"/>
          <w:rtl/>
        </w:rPr>
        <w:t xml:space="preserve">- </w:t>
      </w:r>
      <w:r w:rsidR="000C7661">
        <w:rPr>
          <w:rFonts w:cs="Arial"/>
          <w:rtl/>
        </w:rPr>
        <w:t>לא איבדה פרנסתה כל זמן שהם זנין אותה</w:t>
      </w:r>
      <w:r w:rsidR="000C7661">
        <w:rPr>
          <w:rFonts w:cs="Arial" w:hint="cs"/>
          <w:rtl/>
        </w:rPr>
        <w:t>,</w:t>
      </w:r>
      <w:r w:rsidR="000C7661">
        <w:rPr>
          <w:rFonts w:cs="Arial"/>
          <w:rtl/>
        </w:rPr>
        <w:t xml:space="preserve"> שיש לה לטעון מפני שהם זנין אותה אע</w:t>
      </w:r>
      <w:r w:rsidR="000C7661">
        <w:rPr>
          <w:rFonts w:cs="Arial" w:hint="cs"/>
          <w:rtl/>
        </w:rPr>
        <w:t>"</w:t>
      </w:r>
      <w:r w:rsidR="000C7661">
        <w:rPr>
          <w:rFonts w:cs="Arial"/>
          <w:rtl/>
        </w:rPr>
        <w:t>פ שאינם חייבים והיא עדיין לא נישאת מפני זה לא תבעה פרנסתה</w:t>
      </w:r>
      <w:r w:rsidR="000C7661">
        <w:rPr>
          <w:rFonts w:cs="Arial" w:hint="cs"/>
          <w:rtl/>
        </w:rPr>
        <w:t xml:space="preserve">. </w:t>
      </w:r>
      <w:r w:rsidRPr="000C7661">
        <w:rPr>
          <w:rFonts w:hint="cs"/>
          <w:color w:val="E36C0A" w:themeColor="accent6" w:themeShade="BF"/>
          <w:rtl/>
        </w:rPr>
        <w:t>(וכ"פ בשו"ע)</w:t>
      </w:r>
    </w:p>
    <w:p w14:paraId="1479DF63" w14:textId="77777777" w:rsidR="00392DBB" w:rsidRPr="006523DB" w:rsidRDefault="00392DBB" w:rsidP="00392DBB">
      <w:pPr>
        <w:rPr>
          <w:u w:val="single"/>
        </w:rPr>
      </w:pPr>
      <w:r w:rsidRPr="006523DB">
        <w:rPr>
          <w:rFonts w:hint="cs"/>
          <w:u w:val="single"/>
          <w:rtl/>
        </w:rPr>
        <w:t>האם אירוסין בנערה חשיב כנישואין וצריכה למחות כדי לקבל פרנסתה:</w:t>
      </w:r>
    </w:p>
    <w:p w14:paraId="227B949C" w14:textId="77777777" w:rsidR="00392DBB" w:rsidRPr="006553C2" w:rsidRDefault="00392DBB" w:rsidP="009000E3">
      <w:pPr>
        <w:pStyle w:val="ab"/>
        <w:numPr>
          <w:ilvl w:val="0"/>
          <w:numId w:val="63"/>
        </w:numPr>
      </w:pPr>
      <w:r w:rsidRPr="00E04543">
        <w:rPr>
          <w:rFonts w:cs="Arial"/>
          <w:rtl/>
        </w:rPr>
        <w:t>רמ"ה</w:t>
      </w:r>
      <w:r>
        <w:rPr>
          <w:rFonts w:cs="Arial" w:hint="cs"/>
          <w:sz w:val="16"/>
          <w:szCs w:val="16"/>
          <w:rtl/>
        </w:rPr>
        <w:t xml:space="preserve"> (כ"כ הטור בשמו)</w:t>
      </w:r>
      <w:r>
        <w:rPr>
          <w:rFonts w:cs="Arial" w:hint="cs"/>
          <w:rtl/>
        </w:rPr>
        <w:t xml:space="preserve">- </w:t>
      </w:r>
      <w:r w:rsidRPr="00E04543">
        <w:rPr>
          <w:rFonts w:cs="Arial"/>
          <w:rtl/>
        </w:rPr>
        <w:t xml:space="preserve">אירוסין בנערות חשיבי כנישואין ואם אין פוסקין לה מזונות </w:t>
      </w:r>
      <w:r>
        <w:rPr>
          <w:rFonts w:cs="Arial" w:hint="cs"/>
          <w:rtl/>
        </w:rPr>
        <w:t xml:space="preserve">- </w:t>
      </w:r>
      <w:r w:rsidRPr="00E04543">
        <w:rPr>
          <w:rFonts w:cs="Arial"/>
          <w:rtl/>
        </w:rPr>
        <w:t>צריכה למחות</w:t>
      </w:r>
      <w:r>
        <w:rPr>
          <w:rStyle w:val="a7"/>
          <w:rFonts w:cs="Arial"/>
          <w:rtl/>
        </w:rPr>
        <w:footnoteReference w:id="2727"/>
      </w:r>
      <w:r>
        <w:rPr>
          <w:rFonts w:cs="Arial" w:hint="cs"/>
          <w:rtl/>
        </w:rPr>
        <w:t>.</w:t>
      </w:r>
      <w:r w:rsidRPr="00E04543">
        <w:rPr>
          <w:rFonts w:cs="Arial"/>
          <w:rtl/>
        </w:rPr>
        <w:t xml:space="preserve"> </w:t>
      </w:r>
    </w:p>
    <w:p w14:paraId="7A00EE9F" w14:textId="77777777" w:rsidR="00392DBB" w:rsidRDefault="00392DBB" w:rsidP="009000E3">
      <w:pPr>
        <w:pStyle w:val="ab"/>
        <w:numPr>
          <w:ilvl w:val="0"/>
          <w:numId w:val="63"/>
        </w:numPr>
      </w:pPr>
      <w:r w:rsidRPr="00E04543">
        <w:rPr>
          <w:rFonts w:cs="Arial"/>
          <w:rtl/>
        </w:rPr>
        <w:t>תוס</w:t>
      </w:r>
      <w:r>
        <w:rPr>
          <w:rFonts w:cs="Arial" w:hint="cs"/>
          <w:rtl/>
        </w:rPr>
        <w:t>'</w:t>
      </w:r>
      <w:r>
        <w:rPr>
          <w:rFonts w:cs="Arial" w:hint="cs"/>
          <w:sz w:val="16"/>
          <w:szCs w:val="16"/>
          <w:rtl/>
        </w:rPr>
        <w:t xml:space="preserve"> (כ"כ הטור בשמו [ועי' בתוס' סח: ד"ה בין])</w:t>
      </w:r>
      <w:r>
        <w:rPr>
          <w:rFonts w:cs="Arial" w:hint="cs"/>
          <w:rtl/>
        </w:rPr>
        <w:t>-</w:t>
      </w:r>
      <w:r w:rsidRPr="00E04543">
        <w:rPr>
          <w:rFonts w:cs="Arial"/>
          <w:rtl/>
        </w:rPr>
        <w:t xml:space="preserve"> </w:t>
      </w:r>
      <w:r w:rsidRPr="005973FB">
        <w:rPr>
          <w:rFonts w:cs="Arial"/>
          <w:rtl/>
        </w:rPr>
        <w:t>מדלא תני רבי נתארסו עד שלא בגרו איבדו מזונותיהן דהוי רבותא טפי אלמא דנתארסו לא איבדו מזונותיהן ודלא כרב בפרק נערה</w:t>
      </w:r>
      <w:r>
        <w:rPr>
          <w:rStyle w:val="a7"/>
          <w:rFonts w:cs="Arial"/>
          <w:rtl/>
        </w:rPr>
        <w:footnoteReference w:id="2728"/>
      </w:r>
      <w:r>
        <w:rPr>
          <w:rFonts w:cs="Arial" w:hint="cs"/>
          <w:rtl/>
        </w:rPr>
        <w:t>.</w:t>
      </w:r>
      <w:r w:rsidRPr="005973FB">
        <w:rPr>
          <w:rFonts w:cs="Arial"/>
          <w:rtl/>
        </w:rPr>
        <w:t xml:space="preserve"> </w:t>
      </w:r>
    </w:p>
    <w:p w14:paraId="5AC5465A" w14:textId="2BF3F2F4" w:rsidR="00392DBB" w:rsidRDefault="00392DBB" w:rsidP="00392DBB">
      <w:pPr>
        <w:rPr>
          <w:rFonts w:cs="Arial"/>
          <w:rtl/>
        </w:rPr>
      </w:pPr>
      <w:r w:rsidRPr="00B17AD5">
        <w:rPr>
          <w:rFonts w:cs="Arial" w:hint="cs"/>
          <w:u w:val="single"/>
          <w:rtl/>
        </w:rPr>
        <w:t>אב שציוה לתת לבתו שליש נכסיו, והשיאוה ולא נתנו לה</w:t>
      </w:r>
      <w:r w:rsidR="00BE63C0">
        <w:rPr>
          <w:rFonts w:cs="Arial" w:hint="cs"/>
          <w:u w:val="single"/>
          <w:rtl/>
        </w:rPr>
        <w:t xml:space="preserve"> כן</w:t>
      </w:r>
      <w:r w:rsidRPr="00B17AD5">
        <w:rPr>
          <w:rFonts w:cs="Arial" w:hint="cs"/>
          <w:u w:val="single"/>
          <w:rtl/>
        </w:rPr>
        <w:t>:</w:t>
      </w:r>
      <w:r>
        <w:rPr>
          <w:rFonts w:cs="Arial" w:hint="cs"/>
          <w:rtl/>
        </w:rPr>
        <w:t xml:space="preserve"> </w:t>
      </w:r>
      <w:r w:rsidRPr="00B17AD5">
        <w:rPr>
          <w:rFonts w:cs="Arial" w:hint="cs"/>
          <w:sz w:val="16"/>
          <w:szCs w:val="16"/>
          <w:rtl/>
        </w:rPr>
        <w:t xml:space="preserve">(דרכ"מ אות יא) </w:t>
      </w:r>
    </w:p>
    <w:p w14:paraId="5D28C043" w14:textId="08DA7293" w:rsidR="00392DBB" w:rsidRPr="00F038E9" w:rsidRDefault="00392DBB" w:rsidP="009000E3">
      <w:pPr>
        <w:pStyle w:val="ab"/>
        <w:numPr>
          <w:ilvl w:val="0"/>
          <w:numId w:val="72"/>
        </w:numPr>
        <w:rPr>
          <w:rtl/>
        </w:rPr>
      </w:pPr>
      <w:r w:rsidRPr="00B17AD5">
        <w:rPr>
          <w:rFonts w:cs="Arial"/>
          <w:rtl/>
        </w:rPr>
        <w:t>רשב"א</w:t>
      </w:r>
      <w:r w:rsidRPr="00B17AD5">
        <w:rPr>
          <w:rFonts w:cs="Arial"/>
          <w:sz w:val="16"/>
          <w:szCs w:val="16"/>
          <w:rtl/>
        </w:rPr>
        <w:t xml:space="preserve"> (ח"א סי</w:t>
      </w:r>
      <w:r w:rsidRPr="00B17AD5">
        <w:rPr>
          <w:rFonts w:cs="Arial" w:hint="cs"/>
          <w:sz w:val="16"/>
          <w:szCs w:val="16"/>
          <w:rtl/>
        </w:rPr>
        <w:t>'</w:t>
      </w:r>
      <w:r w:rsidRPr="00B17AD5">
        <w:rPr>
          <w:rFonts w:cs="Arial"/>
          <w:sz w:val="16"/>
          <w:szCs w:val="16"/>
          <w:rtl/>
        </w:rPr>
        <w:t xml:space="preserve"> אלף מג</w:t>
      </w:r>
      <w:r w:rsidRPr="00B17AD5">
        <w:rPr>
          <w:rFonts w:cs="Arial" w:hint="cs"/>
          <w:sz w:val="16"/>
          <w:szCs w:val="16"/>
          <w:rtl/>
        </w:rPr>
        <w:t>)</w:t>
      </w:r>
      <w:r w:rsidRPr="00B17AD5">
        <w:rPr>
          <w:rFonts w:cs="Arial" w:hint="cs"/>
          <w:rtl/>
        </w:rPr>
        <w:t>-</w:t>
      </w:r>
      <w:r w:rsidRPr="00B17AD5">
        <w:rPr>
          <w:rFonts w:cs="Arial"/>
          <w:rtl/>
        </w:rPr>
        <w:t xml:space="preserve"> </w:t>
      </w:r>
      <w:r w:rsidRPr="001539B8">
        <w:rPr>
          <w:rFonts w:cs="Arial"/>
          <w:rtl/>
        </w:rPr>
        <w:t>שאלת</w:t>
      </w:r>
      <w:r w:rsidR="0073710E">
        <w:rPr>
          <w:rFonts w:cs="Arial" w:hint="cs"/>
          <w:rtl/>
        </w:rPr>
        <w:t>:</w:t>
      </w:r>
      <w:r w:rsidRPr="001539B8">
        <w:rPr>
          <w:rFonts w:cs="Arial"/>
          <w:rtl/>
        </w:rPr>
        <w:t xml:space="preserve"> מעשה בראובן שהיו לו שני בנים ובת</w:t>
      </w:r>
      <w:r w:rsidRPr="001539B8">
        <w:rPr>
          <w:rFonts w:cs="Arial" w:hint="cs"/>
          <w:rtl/>
        </w:rPr>
        <w:t>,</w:t>
      </w:r>
      <w:r w:rsidRPr="001539B8">
        <w:rPr>
          <w:rFonts w:cs="Arial"/>
          <w:rtl/>
        </w:rPr>
        <w:t xml:space="preserve"> ונתן לשלשתן כל נכסיו. והתנ</w:t>
      </w:r>
      <w:r w:rsidRPr="001539B8">
        <w:rPr>
          <w:rFonts w:cs="Arial" w:hint="cs"/>
          <w:rtl/>
        </w:rPr>
        <w:t>ה</w:t>
      </w:r>
      <w:r w:rsidRPr="001539B8">
        <w:rPr>
          <w:rFonts w:cs="Arial"/>
          <w:rtl/>
        </w:rPr>
        <w:t xml:space="preserve"> שבזמן שישיאו הבת או שתשיא היא עצמה שתטול נדוניא ותסתלק. ודן מורי ז"ל שזכתה הבת בשליש הנכסים. ואם השיאה אח אחד ופסק לה בנדוניתה פחות משליש </w:t>
      </w:r>
      <w:r w:rsidRPr="001539B8">
        <w:rPr>
          <w:rFonts w:cs="Arial" w:hint="cs"/>
          <w:rtl/>
        </w:rPr>
        <w:t xml:space="preserve">- </w:t>
      </w:r>
      <w:r w:rsidRPr="001539B8">
        <w:rPr>
          <w:rFonts w:cs="Arial"/>
          <w:rtl/>
        </w:rPr>
        <w:t>לאו כל כמיניה</w:t>
      </w:r>
      <w:r w:rsidRPr="001539B8">
        <w:rPr>
          <w:rFonts w:cs="Arial" w:hint="cs"/>
          <w:rtl/>
        </w:rPr>
        <w:t>,</w:t>
      </w:r>
      <w:r w:rsidRPr="001539B8">
        <w:rPr>
          <w:rFonts w:cs="Arial"/>
          <w:rtl/>
        </w:rPr>
        <w:t xml:space="preserve"> שלא בא אלא לגרוע כחה אם השיאה הוא או שנשאת היא והכניסה בנדונית</w:t>
      </w:r>
      <w:r w:rsidRPr="001539B8">
        <w:rPr>
          <w:rFonts w:cs="Arial" w:hint="cs"/>
          <w:rtl/>
        </w:rPr>
        <w:t>ה</w:t>
      </w:r>
      <w:r w:rsidRPr="001539B8">
        <w:rPr>
          <w:rFonts w:cs="Arial"/>
          <w:rtl/>
        </w:rPr>
        <w:t xml:space="preserve"> פחות משליש הנכסים שתסתלק בכך. אבל אין בידו לפסוק לה יותר משליש. </w:t>
      </w:r>
      <w:r w:rsidRPr="008C5D9B">
        <w:rPr>
          <w:rFonts w:hint="cs"/>
          <w:color w:val="00B0F0"/>
          <w:rtl/>
        </w:rPr>
        <w:t>(וכ"</w:t>
      </w:r>
      <w:r>
        <w:rPr>
          <w:rFonts w:hint="cs"/>
          <w:color w:val="00B0F0"/>
          <w:rtl/>
        </w:rPr>
        <w:t>פ</w:t>
      </w:r>
      <w:r w:rsidRPr="008C5D9B">
        <w:rPr>
          <w:rFonts w:hint="cs"/>
          <w:color w:val="00B0F0"/>
          <w:rtl/>
        </w:rPr>
        <w:t xml:space="preserve"> הרמ"א)</w:t>
      </w:r>
    </w:p>
    <w:p w14:paraId="7F64B4CF"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5796DAC" w14:textId="593BF148" w:rsidR="00392DBB" w:rsidRDefault="00392DBB" w:rsidP="00392DBB">
      <w:pPr>
        <w:rPr>
          <w:rtl/>
        </w:rPr>
      </w:pPr>
      <w:r>
        <w:rPr>
          <w:rFonts w:cs="Arial"/>
          <w:rtl/>
        </w:rPr>
        <w:t>קטנה יתומה שהשיאתה אמה או אחיה לדעתה, ונתנו לה מאה או חמשים זוז, יכולה היא משתגדיל להוציא מידם פרנסת נדוניא הראויה לה</w:t>
      </w:r>
      <w:r>
        <w:rPr>
          <w:rFonts w:cs="Arial" w:hint="cs"/>
          <w:rtl/>
        </w:rPr>
        <w:t>,</w:t>
      </w:r>
      <w:r>
        <w:rPr>
          <w:rFonts w:cs="Arial"/>
          <w:rtl/>
        </w:rPr>
        <w:t xml:space="preserve"> </w:t>
      </w:r>
      <w:r>
        <w:rPr>
          <w:rFonts w:cs="Arial" w:hint="cs"/>
          <w:sz w:val="18"/>
          <w:szCs w:val="18"/>
          <w:rtl/>
        </w:rPr>
        <w:t xml:space="preserve">[הגה] </w:t>
      </w:r>
      <w:r w:rsidRPr="00F038E9">
        <w:rPr>
          <w:rFonts w:cs="Arial"/>
          <w:sz w:val="18"/>
          <w:szCs w:val="18"/>
          <w:rtl/>
        </w:rPr>
        <w:t>ואפילו שתקה זמן רב משתגדיל, יכולה אח"כ לתבוע פרנסתה</w:t>
      </w:r>
      <w:r>
        <w:rPr>
          <w:rStyle w:val="a7"/>
          <w:rFonts w:cs="Arial"/>
          <w:sz w:val="18"/>
          <w:szCs w:val="18"/>
          <w:rtl/>
        </w:rPr>
        <w:footnoteReference w:id="2729"/>
      </w:r>
      <w:r w:rsidRPr="00F038E9">
        <w:rPr>
          <w:rFonts w:cs="Arial"/>
          <w:sz w:val="18"/>
          <w:szCs w:val="18"/>
          <w:rtl/>
        </w:rPr>
        <w:t xml:space="preserve"> (</w:t>
      </w:r>
      <w:r w:rsidR="00025CB6">
        <w:rPr>
          <w:rFonts w:cs="Arial" w:hint="cs"/>
          <w:sz w:val="18"/>
          <w:szCs w:val="18"/>
          <w:rtl/>
        </w:rPr>
        <w:t>רשב"א ור"ן, ו</w:t>
      </w:r>
      <w:r w:rsidRPr="00F038E9">
        <w:rPr>
          <w:rFonts w:cs="Arial"/>
          <w:sz w:val="18"/>
          <w:szCs w:val="18"/>
          <w:rtl/>
        </w:rPr>
        <w:t>כ</w:t>
      </w:r>
      <w:r>
        <w:rPr>
          <w:rFonts w:cs="Arial" w:hint="cs"/>
          <w:sz w:val="18"/>
          <w:szCs w:val="18"/>
          <w:rtl/>
        </w:rPr>
        <w:t>"</w:t>
      </w:r>
      <w:r w:rsidRPr="00F038E9">
        <w:rPr>
          <w:rFonts w:cs="Arial"/>
          <w:sz w:val="18"/>
          <w:szCs w:val="18"/>
          <w:rtl/>
        </w:rPr>
        <w:t xml:space="preserve">מ </w:t>
      </w:r>
      <w:r>
        <w:rPr>
          <w:rFonts w:cs="Arial" w:hint="cs"/>
          <w:sz w:val="18"/>
          <w:szCs w:val="18"/>
          <w:rtl/>
        </w:rPr>
        <w:t>מ</w:t>
      </w:r>
      <w:r w:rsidRPr="00F038E9">
        <w:rPr>
          <w:rFonts w:cs="Arial"/>
          <w:sz w:val="18"/>
          <w:szCs w:val="18"/>
          <w:rtl/>
        </w:rPr>
        <w:t>הטור)</w:t>
      </w:r>
      <w:r>
        <w:rPr>
          <w:rFonts w:cs="Arial" w:hint="cs"/>
          <w:sz w:val="18"/>
          <w:szCs w:val="18"/>
          <w:rtl/>
        </w:rPr>
        <w:t>,</w:t>
      </w:r>
      <w:r w:rsidRPr="00F038E9">
        <w:rPr>
          <w:rFonts w:cs="Arial"/>
          <w:sz w:val="18"/>
          <w:szCs w:val="18"/>
          <w:rtl/>
        </w:rPr>
        <w:t xml:space="preserve"> </w:t>
      </w:r>
      <w:r>
        <w:rPr>
          <w:rFonts w:cs="Arial"/>
          <w:rtl/>
        </w:rPr>
        <w:t>ואפילו לא היו האחים זנים אותה</w:t>
      </w:r>
      <w:r>
        <w:rPr>
          <w:rFonts w:cs="Arial" w:hint="cs"/>
          <w:rtl/>
        </w:rPr>
        <w:t>,</w:t>
      </w:r>
      <w:r>
        <w:rPr>
          <w:rFonts w:cs="Arial"/>
          <w:rtl/>
        </w:rPr>
        <w:t xml:space="preserve"> ואף על פי שלא מחתה בשעת נשואין, מפני שהקטנה אינה בת מחאה</w:t>
      </w:r>
      <w:r>
        <w:rPr>
          <w:rStyle w:val="a7"/>
          <w:rFonts w:cs="Arial"/>
          <w:rtl/>
        </w:rPr>
        <w:footnoteReference w:id="2730"/>
      </w:r>
      <w:r>
        <w:rPr>
          <w:rFonts w:cs="Arial"/>
          <w:rtl/>
        </w:rPr>
        <w:t>. ואם נשאת הבת אחר שגדלה, בין נערה בין בוגרת, ולא תבעה פרנסתה, אבדה פרנסתה</w:t>
      </w:r>
      <w:r w:rsidR="00C64D98">
        <w:rPr>
          <w:rFonts w:cs="Arial" w:hint="cs"/>
          <w:rtl/>
        </w:rPr>
        <w:t>.</w:t>
      </w:r>
      <w:r>
        <w:rPr>
          <w:rFonts w:cs="Arial"/>
          <w:rtl/>
        </w:rPr>
        <w:t xml:space="preserve"> א</w:t>
      </w:r>
      <w:r>
        <w:rPr>
          <w:rFonts w:cs="Arial" w:hint="cs"/>
          <w:rtl/>
        </w:rPr>
        <w:t>לא אם כן</w:t>
      </w:r>
      <w:r>
        <w:rPr>
          <w:rStyle w:val="a7"/>
          <w:rFonts w:cs="Arial"/>
          <w:rtl/>
        </w:rPr>
        <w:footnoteReference w:id="2731"/>
      </w:r>
      <w:r>
        <w:rPr>
          <w:rFonts w:cs="Arial"/>
          <w:rtl/>
        </w:rPr>
        <w:t xml:space="preserve"> היו האחים זנין אותה אחר </w:t>
      </w:r>
      <w:r>
        <w:rPr>
          <w:rFonts w:cs="Arial"/>
          <w:rtl/>
        </w:rPr>
        <w:lastRenderedPageBreak/>
        <w:t xml:space="preserve">נשואיה </w:t>
      </w:r>
      <w:r>
        <w:rPr>
          <w:rFonts w:cs="Arial" w:hint="cs"/>
          <w:sz w:val="18"/>
          <w:szCs w:val="18"/>
          <w:rtl/>
        </w:rPr>
        <w:t>[הגה]</w:t>
      </w:r>
      <w:r w:rsidRPr="00F038E9">
        <w:rPr>
          <w:rFonts w:cs="Arial"/>
          <w:sz w:val="18"/>
          <w:szCs w:val="18"/>
          <w:rtl/>
        </w:rPr>
        <w:t xml:space="preserve"> והיא ידעה כן בשעת נישואין (ר"ן)</w:t>
      </w:r>
      <w:r>
        <w:rPr>
          <w:rFonts w:cs="Arial" w:hint="cs"/>
          <w:rtl/>
        </w:rPr>
        <w:t xml:space="preserve">. </w:t>
      </w:r>
      <w:r>
        <w:rPr>
          <w:rFonts w:cs="Arial"/>
          <w:rtl/>
        </w:rPr>
        <w:t xml:space="preserve">ואם מחתה בעת נישואיה, הרי זו מוציאה הראוי לה כל זמן שתרצה. ואם בגרה ועודה בבית אביה, בין שבגרה אחר מותו בין שהניחה בוגרת, </w:t>
      </w:r>
      <w:r>
        <w:rPr>
          <w:rFonts w:cs="Arial" w:hint="cs"/>
          <w:sz w:val="18"/>
          <w:szCs w:val="18"/>
          <w:rtl/>
        </w:rPr>
        <w:t xml:space="preserve">[הגה] </w:t>
      </w:r>
      <w:r w:rsidRPr="00F038E9">
        <w:rPr>
          <w:rFonts w:cs="Arial"/>
          <w:sz w:val="18"/>
          <w:szCs w:val="18"/>
          <w:rtl/>
        </w:rPr>
        <w:t>ויש חולקין וסבירא להו דאם הניחה בוגרת אין לה פרנסה כלל</w:t>
      </w:r>
      <w:r>
        <w:rPr>
          <w:rStyle w:val="a7"/>
          <w:rFonts w:cs="Arial"/>
          <w:sz w:val="18"/>
          <w:szCs w:val="18"/>
          <w:rtl/>
        </w:rPr>
        <w:footnoteReference w:id="2732"/>
      </w:r>
      <w:r w:rsidRPr="00F038E9">
        <w:rPr>
          <w:rFonts w:cs="Arial"/>
          <w:sz w:val="18"/>
          <w:szCs w:val="18"/>
          <w:rtl/>
        </w:rPr>
        <w:t xml:space="preserve"> (ה"ר יונה ורא"ש)</w:t>
      </w:r>
      <w:r>
        <w:rPr>
          <w:rFonts w:cs="Arial"/>
          <w:rtl/>
        </w:rPr>
        <w:t>, אם פסקו האחים מלתת לה מזונותיה, שהרי אין לה מזונות, ושתקה ולא תבעה פרנסת נדוניתה, אבדה</w:t>
      </w:r>
      <w:r>
        <w:rPr>
          <w:rStyle w:val="a7"/>
          <w:rFonts w:cs="Arial"/>
          <w:rtl/>
        </w:rPr>
        <w:footnoteReference w:id="2733"/>
      </w:r>
      <w:r>
        <w:rPr>
          <w:rFonts w:cs="Arial"/>
          <w:rtl/>
        </w:rPr>
        <w:t xml:space="preserve">. ואם מחתה, לא אבדה. ואם לא פסקו האחים מלזונה, וזנו אותה בבגר, אף על פי שלא מחתה לא אבדה פרנסת נדוניתה כל זמן שהם זנין אותה, שיש לה לטעון מפני שהם זנים אותה אף על פי שאינם חייבים והיא עדיין לא נשאת, מפני זה לא תבעה פרנסתה. </w:t>
      </w:r>
      <w:r>
        <w:rPr>
          <w:rFonts w:cs="Arial" w:hint="cs"/>
          <w:sz w:val="18"/>
          <w:szCs w:val="18"/>
          <w:rtl/>
        </w:rPr>
        <w:t xml:space="preserve">[הגה] </w:t>
      </w:r>
      <w:r w:rsidRPr="00F038E9">
        <w:rPr>
          <w:rFonts w:cs="Arial"/>
          <w:sz w:val="18"/>
          <w:szCs w:val="18"/>
          <w:rtl/>
        </w:rPr>
        <w:t>מי שצוה לתת לבתו שליש נכסיו, והשיאוה אחיה ולא נתנו לה, צריכים ליתן לה אחר כך</w:t>
      </w:r>
      <w:r>
        <w:rPr>
          <w:rStyle w:val="a7"/>
          <w:rFonts w:cs="Arial"/>
          <w:sz w:val="18"/>
          <w:szCs w:val="18"/>
          <w:rtl/>
        </w:rPr>
        <w:footnoteReference w:id="2734"/>
      </w:r>
      <w:r w:rsidRPr="00F038E9">
        <w:rPr>
          <w:rFonts w:cs="Arial"/>
          <w:sz w:val="18"/>
          <w:szCs w:val="18"/>
          <w:rtl/>
        </w:rPr>
        <w:t xml:space="preserve"> (רשב"א).</w:t>
      </w:r>
    </w:p>
    <w:p w14:paraId="2E713EB8" w14:textId="77777777" w:rsidR="00392DBB" w:rsidRDefault="00392DBB" w:rsidP="00392DBB">
      <w:pPr>
        <w:rPr>
          <w:rtl/>
        </w:rPr>
      </w:pPr>
    </w:p>
    <w:p w14:paraId="497FED83" w14:textId="77777777" w:rsidR="00392DBB" w:rsidRDefault="00392DBB" w:rsidP="000F64D0">
      <w:pPr>
        <w:pStyle w:val="2"/>
        <w:rPr>
          <w:rtl/>
        </w:rPr>
      </w:pPr>
      <w:r>
        <w:rPr>
          <w:rtl/>
        </w:rPr>
        <w:t>סעיף ח</w:t>
      </w:r>
      <w:r>
        <w:rPr>
          <w:rFonts w:hint="cs"/>
          <w:rtl/>
        </w:rPr>
        <w:t>:</w:t>
      </w:r>
      <w:r w:rsidRPr="00F939CB">
        <w:rPr>
          <w:rFonts w:hint="cs"/>
          <w:rtl/>
        </w:rPr>
        <w:t xml:space="preserve"> </w:t>
      </w:r>
      <w:r>
        <w:rPr>
          <w:rFonts w:hint="cs"/>
          <w:rtl/>
        </w:rPr>
        <w:t>הניח שתי בנות ובן, אחת נטלה פרנסה, ואח"כ האח מת, האם שניה נוטלת פרנסתה.</w:t>
      </w:r>
    </w:p>
    <w:p w14:paraId="4BC79E2B" w14:textId="5246615B" w:rsidR="00392DBB" w:rsidRDefault="00392DBB" w:rsidP="00392DBB">
      <w:pPr>
        <w:rPr>
          <w:rtl/>
        </w:rPr>
      </w:pPr>
      <w:r w:rsidRPr="009164FE">
        <w:rPr>
          <w:rFonts w:cs="Arial" w:hint="cs"/>
          <w:b/>
          <w:bCs/>
          <w:rtl/>
        </w:rPr>
        <w:t xml:space="preserve">כתובות </w:t>
      </w:r>
      <w:r w:rsidRPr="009164FE">
        <w:rPr>
          <w:rFonts w:cs="Arial" w:hint="cs"/>
          <w:b/>
          <w:bCs/>
          <w:sz w:val="16"/>
          <w:szCs w:val="16"/>
          <w:rtl/>
        </w:rPr>
        <w:t>(</w:t>
      </w:r>
      <w:r>
        <w:rPr>
          <w:rFonts w:cs="Arial" w:hint="cs"/>
          <w:b/>
          <w:bCs/>
          <w:sz w:val="16"/>
          <w:szCs w:val="16"/>
          <w:rtl/>
        </w:rPr>
        <w:t>ס"</w:t>
      </w:r>
      <w:r w:rsidRPr="009164FE">
        <w:rPr>
          <w:rFonts w:cs="Arial" w:hint="cs"/>
          <w:b/>
          <w:bCs/>
          <w:sz w:val="16"/>
          <w:szCs w:val="16"/>
          <w:rtl/>
        </w:rPr>
        <w:t xml:space="preserve">פ מציאת האשה) </w:t>
      </w:r>
      <w:r w:rsidRPr="009164FE">
        <w:rPr>
          <w:rFonts w:cs="Arial" w:hint="cs"/>
          <w:b/>
          <w:bCs/>
          <w:rtl/>
        </w:rPr>
        <w:t>ס</w:t>
      </w:r>
      <w:r w:rsidR="00AB7C3A">
        <w:rPr>
          <w:rFonts w:cs="Arial" w:hint="cs"/>
          <w:b/>
          <w:bCs/>
          <w:rtl/>
        </w:rPr>
        <w:t>ט</w:t>
      </w:r>
      <w:r w:rsidRPr="009164FE">
        <w:rPr>
          <w:rFonts w:cs="Arial" w:hint="cs"/>
          <w:b/>
          <w:bCs/>
          <w:rtl/>
        </w:rPr>
        <w:t xml:space="preserve"> ע"א:</w:t>
      </w:r>
      <w:r>
        <w:rPr>
          <w:rFonts w:cs="Arial"/>
          <w:rtl/>
        </w:rPr>
        <w:t xml:space="preserve"> </w:t>
      </w:r>
      <w:r w:rsidRPr="00516AC0">
        <w:rPr>
          <w:rFonts w:cs="Arial"/>
          <w:rtl/>
        </w:rPr>
        <w:t xml:space="preserve">תלה ליה רב לרבי ביני חטי: האחין ששיעבדו, מהו? </w:t>
      </w:r>
      <w:r w:rsidRPr="00516AC0">
        <w:rPr>
          <w:rFonts w:cs="Arial"/>
          <w:u w:val="single"/>
          <w:rtl/>
        </w:rPr>
        <w:t>הוה יתיב ר' חייא קמיה, אמר ליה</w:t>
      </w:r>
      <w:r w:rsidRPr="00516AC0">
        <w:rPr>
          <w:rFonts w:cs="Arial"/>
          <w:rtl/>
        </w:rPr>
        <w:t xml:space="preserve">: מכרו או משכנו? </w:t>
      </w:r>
      <w:r w:rsidRPr="00516AC0">
        <w:rPr>
          <w:rFonts w:cs="Arial"/>
          <w:u w:val="single"/>
          <w:rtl/>
        </w:rPr>
        <w:t>אמר ליה</w:t>
      </w:r>
      <w:r w:rsidRPr="00516AC0">
        <w:rPr>
          <w:rFonts w:cs="Arial"/>
          <w:rtl/>
        </w:rPr>
        <w:t>: מאי נפקא מינה? בין מכרו בין שמשכנו, מוציאין לפרנסה ואין מוציאין למזונות.</w:t>
      </w:r>
      <w:r>
        <w:rPr>
          <w:rFonts w:cs="Arial" w:hint="cs"/>
          <w:rtl/>
        </w:rPr>
        <w:t>..</w:t>
      </w:r>
      <w:r w:rsidRPr="00516AC0">
        <w:rPr>
          <w:rFonts w:cs="Arial"/>
          <w:rtl/>
        </w:rPr>
        <w:t xml:space="preserve"> </w:t>
      </w:r>
      <w:r w:rsidRPr="00516AC0">
        <w:rPr>
          <w:rFonts w:cs="Arial"/>
          <w:u w:val="single"/>
          <w:rtl/>
        </w:rPr>
        <w:t>ורבי יוחנן אמר</w:t>
      </w:r>
      <w:r w:rsidRPr="00516AC0">
        <w:rPr>
          <w:rFonts w:cs="Arial"/>
          <w:rtl/>
        </w:rPr>
        <w:t>: אחד זה ואחד זה אין מוציאין. איבעיא להו: לרבי יוחנן לא שמיע ליה הא דרבי, ואי שמיע ליה הוה מקבל ליה, או דלמא שמיע ליה ולא מקבל ליה? ת"ש</w:t>
      </w:r>
      <w:r w:rsidRPr="00F939CB">
        <w:rPr>
          <w:rFonts w:cs="Arial"/>
          <w:rtl/>
        </w:rPr>
        <w:t>, דאתמר: מי שמת והניח שתי בנות ובן, וקדמה הראשונה ונטלה עישור נכסים, ולא הספיקה שניה לגבות עד שמת הבן</w:t>
      </w:r>
      <w:r>
        <w:rPr>
          <w:rStyle w:val="a7"/>
          <w:rFonts w:cs="Arial"/>
          <w:rtl/>
        </w:rPr>
        <w:footnoteReference w:id="2735"/>
      </w:r>
      <w:r w:rsidRPr="00F939CB">
        <w:rPr>
          <w:rFonts w:cs="Arial"/>
          <w:rtl/>
        </w:rPr>
        <w:t xml:space="preserve">, </w:t>
      </w:r>
      <w:r w:rsidRPr="00F939CB">
        <w:rPr>
          <w:rFonts w:cs="Arial"/>
          <w:u w:val="single"/>
          <w:rtl/>
        </w:rPr>
        <w:t>אמר ר' יוחנן</w:t>
      </w:r>
      <w:r w:rsidRPr="00F939CB">
        <w:rPr>
          <w:rFonts w:cs="Arial"/>
          <w:rtl/>
        </w:rPr>
        <w:t>: שניה ויתרה</w:t>
      </w:r>
      <w:r>
        <w:rPr>
          <w:rStyle w:val="a7"/>
          <w:rFonts w:cs="Arial"/>
          <w:rtl/>
        </w:rPr>
        <w:footnoteReference w:id="2736"/>
      </w:r>
      <w:r>
        <w:rPr>
          <w:rFonts w:cs="Arial" w:hint="cs"/>
          <w:rtl/>
        </w:rPr>
        <w:t>.</w:t>
      </w:r>
      <w:r w:rsidRPr="00F939CB">
        <w:rPr>
          <w:rFonts w:cs="Arial"/>
          <w:rtl/>
        </w:rPr>
        <w:t xml:space="preserve"> </w:t>
      </w:r>
      <w:r w:rsidRPr="00F939CB">
        <w:rPr>
          <w:rFonts w:cs="Arial"/>
          <w:u w:val="single"/>
          <w:rtl/>
        </w:rPr>
        <w:t>אמר ר' חנינא</w:t>
      </w:r>
      <w:r>
        <w:rPr>
          <w:rFonts w:cs="Arial" w:hint="cs"/>
          <w:rtl/>
        </w:rPr>
        <w:t>:</w:t>
      </w:r>
      <w:r w:rsidRPr="00F939CB">
        <w:rPr>
          <w:rFonts w:cs="Arial"/>
          <w:rtl/>
        </w:rPr>
        <w:t xml:space="preserve"> גדולה מזו</w:t>
      </w:r>
      <w:r>
        <w:rPr>
          <w:rStyle w:val="a7"/>
          <w:rFonts w:cs="Arial"/>
          <w:rtl/>
        </w:rPr>
        <w:footnoteReference w:id="2737"/>
      </w:r>
      <w:r w:rsidRPr="00F939CB">
        <w:rPr>
          <w:rFonts w:cs="Arial"/>
          <w:rtl/>
        </w:rPr>
        <w:t xml:space="preserve"> אמרו: מוציאין לפרנסה ואין מוציאין למזונות, ואת אמרת: שניה ויתרה</w:t>
      </w:r>
      <w:r>
        <w:rPr>
          <w:rFonts w:hint="cs"/>
          <w:rtl/>
        </w:rPr>
        <w:t>?.</w:t>
      </w:r>
      <w:r w:rsidRPr="00516AC0">
        <w:rPr>
          <w:rtl/>
        </w:rPr>
        <w:t xml:space="preserve"> </w:t>
      </w:r>
      <w:r w:rsidRPr="00516AC0">
        <w:rPr>
          <w:rFonts w:cs="Arial"/>
          <w:rtl/>
        </w:rPr>
        <w:t>ואם איתא, נימא ליה: מאן אמרה</w:t>
      </w:r>
      <w:r>
        <w:rPr>
          <w:rStyle w:val="a7"/>
          <w:rFonts w:cs="Arial"/>
          <w:rtl/>
        </w:rPr>
        <w:footnoteReference w:id="2738"/>
      </w:r>
      <w:r w:rsidRPr="00516AC0">
        <w:rPr>
          <w:rFonts w:cs="Arial"/>
          <w:rtl/>
        </w:rPr>
        <w:t>? ודלמא לעולם לא שמיע ליה</w:t>
      </w:r>
      <w:r>
        <w:rPr>
          <w:rStyle w:val="a7"/>
          <w:rFonts w:cs="Arial"/>
          <w:rtl/>
        </w:rPr>
        <w:footnoteReference w:id="2739"/>
      </w:r>
      <w:r w:rsidRPr="00516AC0">
        <w:rPr>
          <w:rFonts w:cs="Arial"/>
          <w:rtl/>
        </w:rPr>
        <w:t>, וכי שמיע ליה קביל, ושאני התם</w:t>
      </w:r>
      <w:r>
        <w:rPr>
          <w:rStyle w:val="a7"/>
          <w:rFonts w:cs="Arial"/>
          <w:rtl/>
        </w:rPr>
        <w:footnoteReference w:id="2740"/>
      </w:r>
      <w:r w:rsidRPr="00516AC0">
        <w:rPr>
          <w:rFonts w:cs="Arial"/>
          <w:rtl/>
        </w:rPr>
        <w:t>, דאיכא רווח ביתא</w:t>
      </w:r>
      <w:r>
        <w:rPr>
          <w:rStyle w:val="a7"/>
          <w:rFonts w:cs="Arial"/>
          <w:rtl/>
        </w:rPr>
        <w:footnoteReference w:id="2741"/>
      </w:r>
      <w:r w:rsidRPr="00516AC0">
        <w:rPr>
          <w:rFonts w:cs="Arial"/>
          <w:rtl/>
        </w:rPr>
        <w:t xml:space="preserve">. </w:t>
      </w:r>
      <w:r w:rsidRPr="004B5D9E">
        <w:rPr>
          <w:rFonts w:cs="Arial"/>
          <w:u w:val="single"/>
          <w:rtl/>
        </w:rPr>
        <w:t>אמר ליה רב יימר לרב אשי</w:t>
      </w:r>
      <w:r w:rsidRPr="00516AC0">
        <w:rPr>
          <w:rFonts w:cs="Arial"/>
          <w:rtl/>
        </w:rPr>
        <w:t xml:space="preserve">: אלא מעתה, אשכחה מציאה בעלמא, דאיכא רווח ביתא, הכי נמי דלא יהבינן לה עישור נכסים? </w:t>
      </w:r>
      <w:r w:rsidRPr="004B5D9E">
        <w:rPr>
          <w:rFonts w:cs="Arial"/>
          <w:u w:val="single"/>
          <w:rtl/>
        </w:rPr>
        <w:t>אמר ליה</w:t>
      </w:r>
      <w:r w:rsidRPr="00516AC0">
        <w:rPr>
          <w:rFonts w:cs="Arial"/>
          <w:rtl/>
        </w:rPr>
        <w:t>: אנא רווח ביתא מהני נכסי קאמינא.</w:t>
      </w:r>
      <w:r w:rsidRPr="009674DA">
        <w:rPr>
          <w:rFonts w:cs="Arial"/>
          <w:sz w:val="16"/>
          <w:szCs w:val="16"/>
          <w:rtl/>
        </w:rPr>
        <w:t xml:space="preserve"> </w:t>
      </w:r>
      <w:r>
        <w:rPr>
          <w:rFonts w:cs="Arial" w:hint="cs"/>
          <w:sz w:val="16"/>
          <w:szCs w:val="16"/>
          <w:rtl/>
        </w:rPr>
        <w:t>(</w:t>
      </w:r>
      <w:r w:rsidRPr="009674DA">
        <w:rPr>
          <w:rFonts w:cs="Arial"/>
          <w:sz w:val="16"/>
          <w:szCs w:val="16"/>
          <w:rtl/>
        </w:rPr>
        <w:t>וכתב הרי"ף (ל:) מסתברא לן דהלכה כרבי יוחנן משום דרב אשי דהוא בתרא ס"ל כוותיה</w:t>
      </w:r>
      <w:r w:rsidRPr="009674DA">
        <w:rPr>
          <w:rFonts w:cs="Arial" w:hint="cs"/>
          <w:sz w:val="16"/>
          <w:szCs w:val="16"/>
          <w:rtl/>
        </w:rPr>
        <w:t>.</w:t>
      </w:r>
      <w:r w:rsidRPr="009674DA">
        <w:rPr>
          <w:rFonts w:cs="Arial"/>
          <w:sz w:val="16"/>
          <w:szCs w:val="16"/>
          <w:rtl/>
        </w:rPr>
        <w:t xml:space="preserve"> אבל בירושלמי (שם ה"ו) פסק כרבי חנינא. וכתב הרא"ש (סי' יז) על זה</w:t>
      </w:r>
      <w:r w:rsidR="001E000F">
        <w:rPr>
          <w:rFonts w:cs="Arial" w:hint="cs"/>
          <w:sz w:val="16"/>
          <w:szCs w:val="16"/>
          <w:rtl/>
        </w:rPr>
        <w:t>:</w:t>
      </w:r>
      <w:r w:rsidRPr="009674DA">
        <w:rPr>
          <w:rFonts w:cs="Arial"/>
          <w:sz w:val="16"/>
          <w:szCs w:val="16"/>
          <w:rtl/>
        </w:rPr>
        <w:t xml:space="preserve"> וכיון דבירושלמי פסק בהדיא כרבי חנינא</w:t>
      </w:r>
      <w:r w:rsidRPr="009674DA">
        <w:rPr>
          <w:rFonts w:cs="Arial" w:hint="cs"/>
          <w:sz w:val="16"/>
          <w:szCs w:val="16"/>
          <w:rtl/>
        </w:rPr>
        <w:t xml:space="preserve"> -</w:t>
      </w:r>
      <w:r w:rsidRPr="009674DA">
        <w:rPr>
          <w:rFonts w:cs="Arial"/>
          <w:sz w:val="16"/>
          <w:szCs w:val="16"/>
          <w:rtl/>
        </w:rPr>
        <w:t xml:space="preserve"> עבדינן כוותיה</w:t>
      </w:r>
      <w:r w:rsidRPr="009674DA">
        <w:rPr>
          <w:rFonts w:cs="Arial" w:hint="cs"/>
          <w:sz w:val="16"/>
          <w:szCs w:val="16"/>
          <w:rtl/>
        </w:rPr>
        <w:t>.</w:t>
      </w:r>
      <w:r w:rsidRPr="009674DA">
        <w:rPr>
          <w:rFonts w:cs="Arial"/>
          <w:sz w:val="16"/>
          <w:szCs w:val="16"/>
          <w:rtl/>
        </w:rPr>
        <w:t xml:space="preserve"> ורב אשי שקיל וטרי ולא משום דס"ל כרבי יוחנן. וכתבו הר"ן (ל: ד"ה תלא) והה</w:t>
      </w:r>
      <w:r w:rsidR="001E000F">
        <w:rPr>
          <w:rFonts w:cs="Arial" w:hint="cs"/>
          <w:sz w:val="16"/>
          <w:szCs w:val="16"/>
          <w:rtl/>
        </w:rPr>
        <w:t>"</w:t>
      </w:r>
      <w:r w:rsidRPr="009674DA">
        <w:rPr>
          <w:rFonts w:cs="Arial"/>
          <w:sz w:val="16"/>
          <w:szCs w:val="16"/>
          <w:rtl/>
        </w:rPr>
        <w:t>מ (פ"כ ה"ט) שגם הרשב"א (סט. ד"ה והא) הסכים לפסוק הלכה כרבי חנינא כדברי הירושלמי</w:t>
      </w:r>
      <w:r w:rsidRPr="009674DA">
        <w:rPr>
          <w:rFonts w:cs="Arial" w:hint="cs"/>
          <w:sz w:val="16"/>
          <w:szCs w:val="16"/>
          <w:rtl/>
        </w:rPr>
        <w:t>.</w:t>
      </w:r>
      <w:r w:rsidRPr="009674DA">
        <w:rPr>
          <w:rFonts w:cs="Arial"/>
          <w:sz w:val="16"/>
          <w:szCs w:val="16"/>
          <w:rtl/>
        </w:rPr>
        <w:t xml:space="preserve"> אבל הרמב"ם בפ"כ פסק כרבי יוחנן</w:t>
      </w:r>
      <w:r>
        <w:rPr>
          <w:rFonts w:cs="Arial" w:hint="cs"/>
          <w:sz w:val="16"/>
          <w:szCs w:val="16"/>
          <w:rtl/>
        </w:rPr>
        <w:t>, ב"י)</w:t>
      </w:r>
    </w:p>
    <w:p w14:paraId="440BC0D2" w14:textId="77777777" w:rsidR="00392DBB" w:rsidRDefault="00392DBB" w:rsidP="00392DBB">
      <w:pPr>
        <w:rPr>
          <w:rtl/>
        </w:rPr>
      </w:pPr>
      <w:r w:rsidRPr="00E84EC5">
        <w:rPr>
          <w:rFonts w:cs="Arial"/>
          <w:b/>
          <w:bCs/>
          <w:rtl/>
        </w:rPr>
        <w:t>ירושלמי כתובות פ</w:t>
      </w:r>
      <w:r>
        <w:rPr>
          <w:rFonts w:cs="Arial" w:hint="cs"/>
          <w:b/>
          <w:bCs/>
          <w:rtl/>
        </w:rPr>
        <w:t>"ו</w:t>
      </w:r>
      <w:r w:rsidRPr="00E84EC5">
        <w:rPr>
          <w:rFonts w:cs="Arial"/>
          <w:b/>
          <w:bCs/>
          <w:rtl/>
        </w:rPr>
        <w:t xml:space="preserve"> ה</w:t>
      </w:r>
      <w:r>
        <w:rPr>
          <w:rFonts w:cs="Arial" w:hint="cs"/>
          <w:b/>
          <w:bCs/>
          <w:rtl/>
        </w:rPr>
        <w:t>"ו:</w:t>
      </w:r>
      <w:r w:rsidRPr="00E84EC5">
        <w:rPr>
          <w:rFonts w:cs="Arial"/>
          <w:b/>
          <w:bCs/>
          <w:rtl/>
        </w:rPr>
        <w:t xml:space="preserve"> </w:t>
      </w:r>
      <w:r w:rsidRPr="00E84EC5">
        <w:rPr>
          <w:rFonts w:cs="Arial"/>
          <w:rtl/>
        </w:rPr>
        <w:t>הרי שהיו שתי נקיבות ובן אחד</w:t>
      </w:r>
      <w:r>
        <w:rPr>
          <w:rFonts w:cs="Arial" w:hint="cs"/>
          <w:rtl/>
        </w:rPr>
        <w:t>,</w:t>
      </w:r>
      <w:r w:rsidRPr="00E84EC5">
        <w:rPr>
          <w:rFonts w:cs="Arial"/>
          <w:rtl/>
        </w:rPr>
        <w:t xml:space="preserve"> ונטלה הראשונה עישור נכסים</w:t>
      </w:r>
      <w:r>
        <w:rPr>
          <w:rFonts w:cs="Arial" w:hint="cs"/>
          <w:rtl/>
        </w:rPr>
        <w:t>.</w:t>
      </w:r>
      <w:r w:rsidRPr="00E84EC5">
        <w:rPr>
          <w:rFonts w:cs="Arial"/>
          <w:rtl/>
        </w:rPr>
        <w:t xml:space="preserve"> לא הספיקה השנייה ליטול עישור נכסים עד שמת הבן</w:t>
      </w:r>
      <w:r>
        <w:rPr>
          <w:rFonts w:cs="Arial" w:hint="cs"/>
          <w:rtl/>
        </w:rPr>
        <w:t>,</w:t>
      </w:r>
      <w:r w:rsidRPr="00E84EC5">
        <w:rPr>
          <w:rFonts w:cs="Arial"/>
          <w:rtl/>
        </w:rPr>
        <w:t xml:space="preserve"> </w:t>
      </w:r>
      <w:r w:rsidRPr="00E84EC5">
        <w:rPr>
          <w:rFonts w:cs="Arial"/>
          <w:u w:val="single"/>
          <w:rtl/>
        </w:rPr>
        <w:t>רבי חנינה סבר מימר</w:t>
      </w:r>
      <w:r>
        <w:rPr>
          <w:rFonts w:cs="Arial" w:hint="cs"/>
          <w:rtl/>
        </w:rPr>
        <w:t>:</w:t>
      </w:r>
      <w:r w:rsidRPr="00E84EC5">
        <w:rPr>
          <w:rFonts w:cs="Arial"/>
          <w:rtl/>
        </w:rPr>
        <w:t xml:space="preserve"> השנייה נוטלת עישור נכסים והשאר חולקות אותו בשוה</w:t>
      </w:r>
      <w:r>
        <w:rPr>
          <w:rFonts w:cs="Arial" w:hint="cs"/>
          <w:rtl/>
        </w:rPr>
        <w:t>.</w:t>
      </w:r>
      <w:r w:rsidRPr="00E84EC5">
        <w:rPr>
          <w:rFonts w:cs="Arial"/>
          <w:rtl/>
        </w:rPr>
        <w:t xml:space="preserve"> </w:t>
      </w:r>
      <w:r w:rsidRPr="00E84EC5">
        <w:rPr>
          <w:rFonts w:cs="Arial"/>
          <w:u w:val="single"/>
          <w:rtl/>
        </w:rPr>
        <w:t>אמר ליה רבי יוחנן</w:t>
      </w:r>
      <w:r>
        <w:rPr>
          <w:rFonts w:cs="Arial" w:hint="cs"/>
          <w:rtl/>
        </w:rPr>
        <w:t>:</w:t>
      </w:r>
      <w:r w:rsidRPr="00E84EC5">
        <w:rPr>
          <w:rFonts w:cs="Arial"/>
          <w:rtl/>
        </w:rPr>
        <w:t xml:space="preserve"> תמן בשלא היה להתפרנס</w:t>
      </w:r>
      <w:r>
        <w:rPr>
          <w:rFonts w:cs="Arial" w:hint="cs"/>
          <w:rtl/>
        </w:rPr>
        <w:t>,</w:t>
      </w:r>
      <w:r w:rsidRPr="00E84EC5">
        <w:rPr>
          <w:rFonts w:cs="Arial"/>
          <w:rtl/>
        </w:rPr>
        <w:t xml:space="preserve"> ברם הכא תמכור את השאר ותתפרנס ממנו</w:t>
      </w:r>
      <w:r>
        <w:rPr>
          <w:rFonts w:cs="Arial" w:hint="cs"/>
          <w:rtl/>
        </w:rPr>
        <w:t>.</w:t>
      </w:r>
      <w:r w:rsidRPr="00E84EC5">
        <w:rPr>
          <w:rFonts w:cs="Arial"/>
          <w:rtl/>
        </w:rPr>
        <w:t xml:space="preserve"> </w:t>
      </w:r>
      <w:r w:rsidRPr="00E84EC5">
        <w:rPr>
          <w:rFonts w:cs="Arial"/>
          <w:u w:val="single"/>
          <w:rtl/>
        </w:rPr>
        <w:t>ר' טבי בשם רבי יאשיה</w:t>
      </w:r>
      <w:r>
        <w:rPr>
          <w:rFonts w:cs="Arial" w:hint="cs"/>
          <w:rtl/>
        </w:rPr>
        <w:t>:</w:t>
      </w:r>
      <w:r w:rsidRPr="00E84EC5">
        <w:rPr>
          <w:rFonts w:cs="Arial"/>
          <w:rtl/>
        </w:rPr>
        <w:t xml:space="preserve"> טעמא דרבי חנינה אין מן המשועבדין היא גובה</w:t>
      </w:r>
      <w:r>
        <w:rPr>
          <w:rFonts w:cs="Arial" w:hint="cs"/>
          <w:rtl/>
        </w:rPr>
        <w:t>?</w:t>
      </w:r>
      <w:r w:rsidRPr="00E84EC5">
        <w:rPr>
          <w:rFonts w:cs="Arial"/>
          <w:rtl/>
        </w:rPr>
        <w:t xml:space="preserve"> לא כל שכן ממה שלפניה</w:t>
      </w:r>
      <w:r>
        <w:rPr>
          <w:rFonts w:cs="Arial" w:hint="cs"/>
          <w:rtl/>
        </w:rPr>
        <w:t>!</w:t>
      </w:r>
      <w:r w:rsidRPr="00E84EC5">
        <w:rPr>
          <w:rFonts w:cs="Arial"/>
          <w:rtl/>
        </w:rPr>
        <w:t xml:space="preserve"> רבי יוחנן כדעתיה </w:t>
      </w:r>
      <w:r w:rsidRPr="00E84EC5">
        <w:rPr>
          <w:rFonts w:cs="Arial"/>
          <w:u w:val="single"/>
          <w:rtl/>
        </w:rPr>
        <w:t>דמר רבי זעירא</w:t>
      </w:r>
      <w:r>
        <w:rPr>
          <w:rFonts w:cs="Arial" w:hint="cs"/>
          <w:rtl/>
        </w:rPr>
        <w:t>:</w:t>
      </w:r>
      <w:r w:rsidRPr="00E84EC5">
        <w:rPr>
          <w:rFonts w:cs="Arial"/>
          <w:rtl/>
        </w:rPr>
        <w:t xml:space="preserve"> רבי יוחנן לא </w:t>
      </w:r>
      <w:r w:rsidRPr="00E84EC5">
        <w:rPr>
          <w:rFonts w:cs="Arial"/>
          <w:rtl/>
        </w:rPr>
        <w:lastRenderedPageBreak/>
        <w:t>גבי</w:t>
      </w:r>
      <w:r>
        <w:rPr>
          <w:rFonts w:cs="Arial" w:hint="cs"/>
          <w:rtl/>
        </w:rPr>
        <w:t>.</w:t>
      </w:r>
      <w:r w:rsidRPr="00E84EC5">
        <w:rPr>
          <w:rFonts w:cs="Arial"/>
          <w:rtl/>
        </w:rPr>
        <w:t xml:space="preserve"> מאן גבי</w:t>
      </w:r>
      <w:r>
        <w:rPr>
          <w:rFonts w:cs="Arial" w:hint="cs"/>
          <w:rtl/>
        </w:rPr>
        <w:t>?</w:t>
      </w:r>
      <w:r w:rsidRPr="00E84EC5">
        <w:rPr>
          <w:rFonts w:cs="Arial"/>
          <w:rtl/>
        </w:rPr>
        <w:t xml:space="preserve"> רבי חנינה גבי</w:t>
      </w:r>
      <w:r>
        <w:rPr>
          <w:rFonts w:cs="Arial" w:hint="cs"/>
          <w:rtl/>
        </w:rPr>
        <w:t>..</w:t>
      </w:r>
      <w:r>
        <w:rPr>
          <w:rFonts w:hint="cs"/>
          <w:rtl/>
        </w:rPr>
        <w:t>.</w:t>
      </w:r>
      <w:r w:rsidRPr="009674DA">
        <w:rPr>
          <w:rtl/>
        </w:rPr>
        <w:t xml:space="preserve"> </w:t>
      </w:r>
      <w:r w:rsidRPr="009674DA">
        <w:rPr>
          <w:rFonts w:cs="Arial"/>
          <w:u w:val="single"/>
          <w:rtl/>
        </w:rPr>
        <w:t>רבי זעירא בעא קומי רבי יוסי</w:t>
      </w:r>
      <w:r>
        <w:rPr>
          <w:rFonts w:cs="Arial" w:hint="cs"/>
          <w:rtl/>
        </w:rPr>
        <w:t>:</w:t>
      </w:r>
      <w:r w:rsidRPr="009674DA">
        <w:rPr>
          <w:rFonts w:cs="Arial"/>
          <w:rtl/>
        </w:rPr>
        <w:t xml:space="preserve"> היך עבדין עובדא</w:t>
      </w:r>
      <w:r>
        <w:rPr>
          <w:rFonts w:cs="Arial" w:hint="cs"/>
          <w:rtl/>
        </w:rPr>
        <w:t>?</w:t>
      </w:r>
      <w:r w:rsidRPr="009674DA">
        <w:rPr>
          <w:rFonts w:cs="Arial"/>
          <w:rtl/>
        </w:rPr>
        <w:t xml:space="preserve"> </w:t>
      </w:r>
      <w:r w:rsidRPr="009674DA">
        <w:rPr>
          <w:rFonts w:cs="Arial"/>
          <w:u w:val="single"/>
          <w:rtl/>
        </w:rPr>
        <w:t>אמר ליה</w:t>
      </w:r>
      <w:r>
        <w:rPr>
          <w:rFonts w:cs="Arial" w:hint="cs"/>
          <w:rtl/>
        </w:rPr>
        <w:t>:</w:t>
      </w:r>
      <w:r w:rsidRPr="009674DA">
        <w:rPr>
          <w:rFonts w:cs="Arial"/>
          <w:rtl/>
        </w:rPr>
        <w:t xml:space="preserve"> כרבי חנינה</w:t>
      </w:r>
      <w:r>
        <w:rPr>
          <w:rFonts w:cs="Arial" w:hint="cs"/>
          <w:rtl/>
        </w:rPr>
        <w:t>.</w:t>
      </w:r>
      <w:r w:rsidRPr="009674DA">
        <w:rPr>
          <w:rFonts w:cs="Arial"/>
          <w:rtl/>
        </w:rPr>
        <w:t xml:space="preserve"> וכן נפק עובדא כרבי חנינה</w:t>
      </w:r>
      <w:r>
        <w:rPr>
          <w:rFonts w:cs="Arial" w:hint="cs"/>
          <w:rtl/>
        </w:rPr>
        <w:t>.</w:t>
      </w:r>
      <w:r w:rsidRPr="009674DA">
        <w:rPr>
          <w:rFonts w:cs="Arial"/>
          <w:rtl/>
        </w:rPr>
        <w:t xml:space="preserve"> </w:t>
      </w:r>
      <w:r w:rsidRPr="009674DA">
        <w:rPr>
          <w:rFonts w:cs="Arial"/>
          <w:u w:val="single"/>
          <w:rtl/>
        </w:rPr>
        <w:t>רבי אבון בשם רבי הילא</w:t>
      </w:r>
      <w:r>
        <w:rPr>
          <w:rFonts w:cs="Arial" w:hint="cs"/>
          <w:rtl/>
        </w:rPr>
        <w:t>:</w:t>
      </w:r>
      <w:r w:rsidRPr="009674DA">
        <w:rPr>
          <w:rFonts w:cs="Arial"/>
          <w:rtl/>
        </w:rPr>
        <w:t xml:space="preserve"> רואין את הנכסין</w:t>
      </w:r>
      <w:r>
        <w:rPr>
          <w:rStyle w:val="a7"/>
          <w:rFonts w:cs="Arial"/>
          <w:rtl/>
        </w:rPr>
        <w:footnoteReference w:id="2742"/>
      </w:r>
      <w:r w:rsidRPr="009674DA">
        <w:rPr>
          <w:rFonts w:cs="Arial"/>
          <w:rtl/>
        </w:rPr>
        <w:t xml:space="preserve"> כאילו חריבין</w:t>
      </w:r>
      <w:r>
        <w:rPr>
          <w:rFonts w:hint="cs"/>
          <w:rtl/>
        </w:rPr>
        <w:t>.</w:t>
      </w:r>
    </w:p>
    <w:p w14:paraId="11F11308" w14:textId="4B41F1ED" w:rsidR="00392DBB" w:rsidRPr="00F939CB" w:rsidRDefault="00392DBB" w:rsidP="00392DBB">
      <w:pPr>
        <w:rPr>
          <w:u w:val="single"/>
          <w:rtl/>
        </w:rPr>
      </w:pPr>
      <w:r>
        <w:rPr>
          <w:rFonts w:hint="cs"/>
          <w:u w:val="single"/>
          <w:rtl/>
        </w:rPr>
        <w:t xml:space="preserve">הניח </w:t>
      </w:r>
      <w:r w:rsidRPr="00F939CB">
        <w:rPr>
          <w:rFonts w:hint="cs"/>
          <w:u w:val="single"/>
          <w:rtl/>
        </w:rPr>
        <w:t xml:space="preserve">שתי בנות ובן, אחת נטלה פרנסה, ואח"כ האח מת </w:t>
      </w:r>
      <w:r w:rsidR="00F97626">
        <w:rPr>
          <w:u w:val="single"/>
          <w:rtl/>
        </w:rPr>
        <w:t>-</w:t>
      </w:r>
      <w:r w:rsidRPr="00F939CB">
        <w:rPr>
          <w:rFonts w:hint="cs"/>
          <w:u w:val="single"/>
          <w:rtl/>
        </w:rPr>
        <w:t xml:space="preserve"> האם האחות השניה נוטלת פרנסתה</w:t>
      </w:r>
      <w:r w:rsidR="003A4F7D">
        <w:rPr>
          <w:rFonts w:hint="cs"/>
          <w:u w:val="single"/>
          <w:rtl/>
        </w:rPr>
        <w:t xml:space="preserve"> בנוסף לירושה</w:t>
      </w:r>
      <w:r w:rsidRPr="00F939CB">
        <w:rPr>
          <w:rFonts w:hint="cs"/>
          <w:u w:val="single"/>
          <w:rtl/>
        </w:rPr>
        <w:t>:</w:t>
      </w:r>
    </w:p>
    <w:p w14:paraId="6873CC1B" w14:textId="77777777" w:rsidR="00392DBB" w:rsidRPr="009674DA" w:rsidRDefault="00392DBB" w:rsidP="009000E3">
      <w:pPr>
        <w:pStyle w:val="ab"/>
        <w:numPr>
          <w:ilvl w:val="0"/>
          <w:numId w:val="63"/>
        </w:numPr>
      </w:pPr>
      <w:r>
        <w:rPr>
          <w:rFonts w:cs="Arial" w:hint="cs"/>
          <w:rtl/>
        </w:rPr>
        <w:t xml:space="preserve">רי"ף </w:t>
      </w:r>
      <w:r w:rsidRPr="009674DA">
        <w:rPr>
          <w:rFonts w:cs="Arial"/>
          <w:sz w:val="16"/>
          <w:szCs w:val="16"/>
          <w:rtl/>
        </w:rPr>
        <w:t>(ל:)</w:t>
      </w:r>
      <w:r>
        <w:rPr>
          <w:rFonts w:cs="Arial" w:hint="cs"/>
          <w:rtl/>
        </w:rPr>
        <w:t xml:space="preserve"> רמב"ם </w:t>
      </w:r>
      <w:r>
        <w:rPr>
          <w:rFonts w:cs="Arial" w:hint="cs"/>
          <w:sz w:val="16"/>
          <w:szCs w:val="16"/>
          <w:rtl/>
        </w:rPr>
        <w:t>(פ"כ ה"ט)</w:t>
      </w:r>
      <w:r>
        <w:rPr>
          <w:rFonts w:cs="Arial" w:hint="cs"/>
          <w:rtl/>
        </w:rPr>
        <w:t xml:space="preserve">- </w:t>
      </w:r>
      <w:r w:rsidRPr="009674DA">
        <w:rPr>
          <w:rFonts w:cs="Arial"/>
          <w:rtl/>
        </w:rPr>
        <w:t>מי שמת והניח שתי בנות ובן</w:t>
      </w:r>
      <w:r>
        <w:rPr>
          <w:rFonts w:cs="Arial" w:hint="cs"/>
          <w:rtl/>
        </w:rPr>
        <w:t>,</w:t>
      </w:r>
      <w:r w:rsidRPr="009674DA">
        <w:rPr>
          <w:rFonts w:cs="Arial"/>
          <w:rtl/>
        </w:rPr>
        <w:t xml:space="preserve"> וקדמה ראשונה ונטלה עישור נכסים</w:t>
      </w:r>
      <w:r>
        <w:rPr>
          <w:rFonts w:cs="Arial" w:hint="cs"/>
          <w:rtl/>
        </w:rPr>
        <w:t>,</w:t>
      </w:r>
      <w:r w:rsidRPr="009674DA">
        <w:rPr>
          <w:rFonts w:cs="Arial"/>
          <w:rtl/>
        </w:rPr>
        <w:t xml:space="preserve"> ולא הספיקה השניה לגבות עד שמת הבן ונפלו כל הנכסים לשתיהן </w:t>
      </w:r>
      <w:r>
        <w:rPr>
          <w:rFonts w:cs="Arial" w:hint="cs"/>
          <w:rtl/>
        </w:rPr>
        <w:t xml:space="preserve">- </w:t>
      </w:r>
      <w:r w:rsidRPr="009674DA">
        <w:rPr>
          <w:rFonts w:cs="Arial"/>
          <w:rtl/>
        </w:rPr>
        <w:t>אין השניה נוטלת עישור</w:t>
      </w:r>
      <w:r>
        <w:rPr>
          <w:rFonts w:cs="Arial" w:hint="cs"/>
          <w:rtl/>
        </w:rPr>
        <w:t>,</w:t>
      </w:r>
      <w:r w:rsidRPr="009674DA">
        <w:rPr>
          <w:rFonts w:cs="Arial"/>
          <w:rtl/>
        </w:rPr>
        <w:t xml:space="preserve"> אלא חולקות בשוה</w:t>
      </w:r>
      <w:r>
        <w:rPr>
          <w:rFonts w:cs="Arial" w:hint="cs"/>
          <w:rtl/>
        </w:rPr>
        <w:t>,</w:t>
      </w:r>
      <w:r w:rsidRPr="009674DA">
        <w:rPr>
          <w:rFonts w:cs="Arial"/>
          <w:rtl/>
        </w:rPr>
        <w:t xml:space="preserve"> וזכת ראשונה בעישור שלה</w:t>
      </w:r>
      <w:r>
        <w:rPr>
          <w:rFonts w:cs="Arial" w:hint="cs"/>
          <w:sz w:val="16"/>
          <w:szCs w:val="16"/>
          <w:rtl/>
        </w:rPr>
        <w:t xml:space="preserve"> (ל' הרמב"ם)</w:t>
      </w:r>
      <w:r w:rsidRPr="009674DA">
        <w:rPr>
          <w:rFonts w:cs="Arial"/>
          <w:rtl/>
        </w:rPr>
        <w:t>.</w:t>
      </w:r>
      <w:r w:rsidRPr="00A3392E">
        <w:rPr>
          <w:rFonts w:cs="Arial"/>
          <w:color w:val="E36C0A" w:themeColor="accent6" w:themeShade="BF"/>
          <w:rtl/>
        </w:rPr>
        <w:t xml:space="preserve"> </w:t>
      </w:r>
      <w:r w:rsidRPr="00A3392E">
        <w:rPr>
          <w:rFonts w:hint="cs"/>
          <w:color w:val="E36C0A" w:themeColor="accent6" w:themeShade="BF"/>
          <w:rtl/>
        </w:rPr>
        <w:t>(וכ"פ בשו"ע)</w:t>
      </w:r>
    </w:p>
    <w:p w14:paraId="3D6A1C79" w14:textId="77777777" w:rsidR="00392DBB" w:rsidRPr="00A3392E" w:rsidRDefault="00392DBB" w:rsidP="009000E3">
      <w:pPr>
        <w:pStyle w:val="ab"/>
        <w:numPr>
          <w:ilvl w:val="0"/>
          <w:numId w:val="63"/>
        </w:numPr>
      </w:pPr>
      <w:r>
        <w:rPr>
          <w:rFonts w:cs="Arial" w:hint="cs"/>
          <w:rtl/>
        </w:rPr>
        <w:t>רשב"א</w:t>
      </w:r>
      <w:r w:rsidRPr="009674DA">
        <w:rPr>
          <w:rFonts w:cs="Arial"/>
          <w:sz w:val="16"/>
          <w:szCs w:val="16"/>
          <w:rtl/>
        </w:rPr>
        <w:t xml:space="preserve"> (סט. ד"ה והא) </w:t>
      </w:r>
      <w:r>
        <w:rPr>
          <w:rFonts w:cs="Arial" w:hint="cs"/>
          <w:rtl/>
        </w:rPr>
        <w:t xml:space="preserve">ורא"ש </w:t>
      </w:r>
      <w:r w:rsidRPr="009674DA">
        <w:rPr>
          <w:rFonts w:cs="Arial"/>
          <w:sz w:val="16"/>
          <w:szCs w:val="16"/>
          <w:rtl/>
        </w:rPr>
        <w:t>(סי' יז)</w:t>
      </w:r>
      <w:r>
        <w:rPr>
          <w:rFonts w:cs="Arial" w:hint="cs"/>
          <w:rtl/>
        </w:rPr>
        <w:t xml:space="preserve">- </w:t>
      </w:r>
      <w:r w:rsidRPr="00A3392E">
        <w:rPr>
          <w:rFonts w:cs="Arial"/>
          <w:rtl/>
        </w:rPr>
        <w:t>מי שמת והניח שתי בנות ובן ונטלה הראשונה עישור נכסים ולא הספיקה שנייה ליטול עישור נכסים עד שמת הבן</w:t>
      </w:r>
      <w:r>
        <w:rPr>
          <w:rFonts w:cs="Arial" w:hint="cs"/>
          <w:rtl/>
        </w:rPr>
        <w:t>...</w:t>
      </w:r>
      <w:r w:rsidRPr="00A3392E">
        <w:rPr>
          <w:rFonts w:cs="Arial"/>
          <w:rtl/>
        </w:rPr>
        <w:t xml:space="preserve"> </w:t>
      </w:r>
      <w:r>
        <w:rPr>
          <w:rFonts w:cs="Arial" w:hint="cs"/>
          <w:rtl/>
        </w:rPr>
        <w:t xml:space="preserve">- </w:t>
      </w:r>
      <w:r w:rsidRPr="009674DA">
        <w:rPr>
          <w:rFonts w:cs="Arial"/>
          <w:rtl/>
        </w:rPr>
        <w:t>גם היא נוטלת העישור שלה ואח"כ יחלקו</w:t>
      </w:r>
      <w:r>
        <w:rPr>
          <w:rFonts w:cs="Arial" w:hint="cs"/>
          <w:sz w:val="16"/>
          <w:szCs w:val="16"/>
          <w:rtl/>
        </w:rPr>
        <w:t xml:space="preserve"> (ל' הטור בשם  הרא"ש)</w:t>
      </w:r>
      <w:r w:rsidRPr="009674DA">
        <w:rPr>
          <w:rFonts w:cs="Arial" w:hint="cs"/>
          <w:rtl/>
        </w:rPr>
        <w:t>.</w:t>
      </w:r>
      <w:r w:rsidRPr="009674DA">
        <w:rPr>
          <w:rFonts w:cs="Arial"/>
          <w:rtl/>
        </w:rPr>
        <w:t xml:space="preserve"> </w:t>
      </w:r>
      <w:r w:rsidRPr="00A3392E">
        <w:rPr>
          <w:rFonts w:hint="cs"/>
          <w:color w:val="00B0F0"/>
          <w:rtl/>
        </w:rPr>
        <w:t>(וכ"כ הרמ"א)</w:t>
      </w:r>
    </w:p>
    <w:p w14:paraId="2AD320AE" w14:textId="77777777" w:rsidR="00392DBB" w:rsidRPr="00A3392E" w:rsidRDefault="00392DBB" w:rsidP="00392DBB">
      <w:pPr>
        <w:ind w:left="360"/>
        <w:rPr>
          <w:u w:val="dotted"/>
        </w:rPr>
      </w:pPr>
      <w:r>
        <w:rPr>
          <w:rFonts w:hint="cs"/>
          <w:u w:val="dotted"/>
          <w:rtl/>
        </w:rPr>
        <w:t xml:space="preserve">לפוסקים כר' יוחנן </w:t>
      </w:r>
      <w:r>
        <w:rPr>
          <w:rFonts w:hint="cs"/>
          <w:sz w:val="16"/>
          <w:szCs w:val="16"/>
          <w:u w:val="dotted"/>
          <w:rtl/>
        </w:rPr>
        <w:t>(רי"ף ורמב"ם)</w:t>
      </w:r>
      <w:r>
        <w:rPr>
          <w:rFonts w:hint="cs"/>
          <w:u w:val="dotted"/>
          <w:rtl/>
        </w:rPr>
        <w:t xml:space="preserve"> - </w:t>
      </w:r>
      <w:r w:rsidRPr="00A3392E">
        <w:rPr>
          <w:rFonts w:hint="cs"/>
          <w:u w:val="dotted"/>
          <w:rtl/>
        </w:rPr>
        <w:t xml:space="preserve">מה הדין </w:t>
      </w:r>
      <w:r>
        <w:rPr>
          <w:rFonts w:hint="cs"/>
          <w:u w:val="dotted"/>
          <w:rtl/>
        </w:rPr>
        <w:t xml:space="preserve">היכא דליכא רווח ביתא </w:t>
      </w:r>
      <w:r w:rsidRPr="00BE1B6B">
        <w:rPr>
          <w:rFonts w:hint="cs"/>
          <w:sz w:val="16"/>
          <w:szCs w:val="16"/>
          <w:u w:val="dotted"/>
          <w:rtl/>
        </w:rPr>
        <w:t>(כגון שיש עשר בנות ובן אחד)</w:t>
      </w:r>
      <w:r w:rsidRPr="00A3392E">
        <w:rPr>
          <w:rFonts w:hint="cs"/>
          <w:u w:val="dotted"/>
          <w:rtl/>
        </w:rPr>
        <w:t>:</w:t>
      </w:r>
    </w:p>
    <w:p w14:paraId="00997B12" w14:textId="77777777" w:rsidR="00392DBB" w:rsidRPr="00BE1B6B" w:rsidRDefault="00392DBB" w:rsidP="009000E3">
      <w:pPr>
        <w:pStyle w:val="ab"/>
        <w:numPr>
          <w:ilvl w:val="0"/>
          <w:numId w:val="63"/>
        </w:numPr>
      </w:pPr>
      <w:r>
        <w:rPr>
          <w:rFonts w:cs="Arial" w:hint="cs"/>
          <w:rtl/>
        </w:rPr>
        <w:t xml:space="preserve">תוס' </w:t>
      </w:r>
      <w:r w:rsidRPr="00BE1B6B">
        <w:rPr>
          <w:rFonts w:cs="Arial" w:hint="cs"/>
          <w:sz w:val="16"/>
          <w:szCs w:val="16"/>
          <w:rtl/>
        </w:rPr>
        <w:t xml:space="preserve">(סט. ד"ה </w:t>
      </w:r>
      <w:r w:rsidRPr="00BE1B6B">
        <w:rPr>
          <w:rFonts w:cs="Arial"/>
          <w:sz w:val="16"/>
          <w:szCs w:val="16"/>
          <w:rtl/>
        </w:rPr>
        <w:t>משום רווח ביתא</w:t>
      </w:r>
      <w:r w:rsidRPr="00BE1B6B">
        <w:rPr>
          <w:rFonts w:cs="Arial" w:hint="cs"/>
          <w:sz w:val="16"/>
          <w:szCs w:val="16"/>
          <w:rtl/>
        </w:rPr>
        <w:t>)</w:t>
      </w:r>
      <w:r w:rsidRPr="00BE1B6B">
        <w:rPr>
          <w:rFonts w:cs="Arial"/>
          <w:rtl/>
        </w:rPr>
        <w:t>- יש להסתפק היכא דאיכא עשר בנות דליכא רווח ביתא מהו</w:t>
      </w:r>
      <w:r>
        <w:rPr>
          <w:rStyle w:val="a7"/>
          <w:rFonts w:cs="Arial"/>
          <w:rtl/>
        </w:rPr>
        <w:footnoteReference w:id="2743"/>
      </w:r>
      <w:r>
        <w:rPr>
          <w:rFonts w:cs="Arial" w:hint="cs"/>
          <w:rtl/>
        </w:rPr>
        <w:t>.</w:t>
      </w:r>
    </w:p>
    <w:p w14:paraId="1B131C6F"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7369F53" w14:textId="40ED361E" w:rsidR="00392DBB" w:rsidRDefault="00392DBB" w:rsidP="00392DBB">
      <w:pPr>
        <w:rPr>
          <w:rFonts w:cs="Arial"/>
          <w:sz w:val="18"/>
          <w:szCs w:val="18"/>
          <w:rtl/>
        </w:rPr>
      </w:pPr>
      <w:r>
        <w:rPr>
          <w:rFonts w:cs="Arial"/>
          <w:rtl/>
        </w:rPr>
        <w:t xml:space="preserve">מי שמת והניח שתי בנות ובן, וקדמה ראשונה ונטלה עישור נכסים, ולא הספיקה השניה לגבות עד שמת הבן ונפלו כל הנכסים לשתיהן, אין השניה נוטלת עישור, אלא חולקות בשוה וזכתה הראשונה בעישור שלה. </w:t>
      </w:r>
      <w:r>
        <w:rPr>
          <w:rFonts w:cs="Arial" w:hint="cs"/>
          <w:sz w:val="18"/>
          <w:szCs w:val="18"/>
          <w:rtl/>
        </w:rPr>
        <w:t xml:space="preserve">[הגה] </w:t>
      </w:r>
      <w:r w:rsidRPr="00F038E9">
        <w:rPr>
          <w:rFonts w:cs="Arial"/>
          <w:sz w:val="18"/>
          <w:szCs w:val="18"/>
          <w:rtl/>
        </w:rPr>
        <w:t>ויש חולקין וסבירא להו דגם השניה נוטלת עישור שלה תחלה ואחר כך חולקין (</w:t>
      </w:r>
      <w:r w:rsidR="006B027C">
        <w:rPr>
          <w:rFonts w:cs="Arial" w:hint="cs"/>
          <w:sz w:val="18"/>
          <w:szCs w:val="18"/>
          <w:rtl/>
        </w:rPr>
        <w:t>רא</w:t>
      </w:r>
      <w:r w:rsidRPr="00F038E9">
        <w:rPr>
          <w:rFonts w:cs="Arial"/>
          <w:sz w:val="18"/>
          <w:szCs w:val="18"/>
          <w:rtl/>
        </w:rPr>
        <w:t xml:space="preserve">"ש). </w:t>
      </w:r>
    </w:p>
    <w:p w14:paraId="158AFFB2" w14:textId="77777777" w:rsidR="00392DBB" w:rsidRDefault="00392DBB" w:rsidP="00392DBB">
      <w:pPr>
        <w:rPr>
          <w:rtl/>
        </w:rPr>
      </w:pPr>
    </w:p>
    <w:p w14:paraId="108004DE" w14:textId="77777777" w:rsidR="00392DBB" w:rsidRDefault="00392DBB" w:rsidP="000F64D0">
      <w:pPr>
        <w:pStyle w:val="2"/>
        <w:rPr>
          <w:rtl/>
        </w:rPr>
      </w:pPr>
      <w:r>
        <w:rPr>
          <w:rtl/>
        </w:rPr>
        <w:t>סעיף ט</w:t>
      </w:r>
      <w:r>
        <w:rPr>
          <w:rFonts w:hint="cs"/>
          <w:rtl/>
        </w:rPr>
        <w:t>: הניח רק בנות.</w:t>
      </w:r>
    </w:p>
    <w:p w14:paraId="1A476AC7" w14:textId="5ABEEE3E" w:rsidR="00392DBB" w:rsidRDefault="00392DBB" w:rsidP="00392DBB">
      <w:pPr>
        <w:rPr>
          <w:rtl/>
        </w:rPr>
      </w:pPr>
      <w:r w:rsidRPr="009063CC">
        <w:rPr>
          <w:rFonts w:hint="cs"/>
          <w:b/>
          <w:bCs/>
          <w:rtl/>
        </w:rPr>
        <w:t xml:space="preserve">בבא בתרא </w:t>
      </w:r>
      <w:r w:rsidRPr="009063CC">
        <w:rPr>
          <w:rFonts w:hint="cs"/>
          <w:b/>
          <w:bCs/>
          <w:sz w:val="16"/>
          <w:szCs w:val="16"/>
          <w:rtl/>
        </w:rPr>
        <w:t xml:space="preserve">(ס"פ יש נוחלין) </w:t>
      </w:r>
      <w:r w:rsidRPr="009063CC">
        <w:rPr>
          <w:rFonts w:hint="cs"/>
          <w:b/>
          <w:bCs/>
          <w:rtl/>
        </w:rPr>
        <w:t>קלט ע"א:</w:t>
      </w:r>
      <w:r>
        <w:rPr>
          <w:rFonts w:hint="cs"/>
          <w:rtl/>
        </w:rPr>
        <w:t xml:space="preserve"> </w:t>
      </w:r>
      <w:r w:rsidRPr="009063CC">
        <w:rPr>
          <w:rFonts w:cs="Arial"/>
          <w:u w:val="double"/>
          <w:rtl/>
        </w:rPr>
        <w:t>מתני'</w:t>
      </w:r>
      <w:r>
        <w:rPr>
          <w:rFonts w:cs="Arial" w:hint="cs"/>
          <w:rtl/>
        </w:rPr>
        <w:t>:...</w:t>
      </w:r>
      <w:r>
        <w:rPr>
          <w:rFonts w:cs="Arial"/>
          <w:rtl/>
        </w:rPr>
        <w:t xml:space="preserve"> הניח בנות גדולות וקטנות - אין הגדולות מתפרנסות על ידי הקטנות, ולא הקטנות נזונות על הגדולות, אלא חולקות בשוה. נשאו גדולות - ישאו קטנות, ואם אמרו קטנות: הרי אנו נושאות כדרך שנשאתם אתם - אין שומעין להן.</w:t>
      </w:r>
      <w:r>
        <w:rPr>
          <w:rFonts w:cs="Arial" w:hint="cs"/>
          <w:rtl/>
        </w:rPr>
        <w:t>.</w:t>
      </w:r>
      <w:r>
        <w:rPr>
          <w:rFonts w:cs="Arial"/>
          <w:rtl/>
        </w:rPr>
        <w:t xml:space="preserve">. </w:t>
      </w:r>
      <w:r>
        <w:rPr>
          <w:rFonts w:hint="cs"/>
          <w:rtl/>
        </w:rPr>
        <w:t xml:space="preserve">       </w:t>
      </w:r>
      <w:r w:rsidRPr="009063CC">
        <w:rPr>
          <w:rFonts w:cs="Arial"/>
          <w:u w:val="double"/>
          <w:rtl/>
        </w:rPr>
        <w:t>גמ'</w:t>
      </w:r>
      <w:r>
        <w:rPr>
          <w:rFonts w:cs="Arial" w:hint="cs"/>
          <w:rtl/>
        </w:rPr>
        <w:t>:</w:t>
      </w:r>
      <w:r>
        <w:rPr>
          <w:rFonts w:cs="Arial"/>
          <w:rtl/>
        </w:rPr>
        <w:t xml:space="preserve"> נשאו גדולים ישאו קטנים. מאי קאמר? </w:t>
      </w:r>
      <w:r w:rsidRPr="004C074E">
        <w:rPr>
          <w:rFonts w:cs="Arial"/>
          <w:u w:val="single"/>
          <w:rtl/>
        </w:rPr>
        <w:t>אמר רב יהודה</w:t>
      </w:r>
      <w:r w:rsidR="004C074E">
        <w:rPr>
          <w:rFonts w:cs="Arial" w:hint="cs"/>
          <w:rtl/>
        </w:rPr>
        <w:t>:</w:t>
      </w:r>
      <w:r>
        <w:rPr>
          <w:rFonts w:cs="Arial"/>
          <w:rtl/>
        </w:rPr>
        <w:t xml:space="preserve"> הכי קאמר: נשאו גדולים לאחר מיתת אביהן - ישאו קטנים לאחר מיתת אביהן, אבל נשאו גדולים בחיי אביהן, ואמרו קטנים לאחר מיתת אביהן: הרי אנו נושאין כדרך שנשאתם אתם - אין שומעין להן, אלא מה שנתן להן אביהן נתן.</w:t>
      </w:r>
    </w:p>
    <w:p w14:paraId="40D81BA0" w14:textId="0B2830A9" w:rsidR="00392DBB" w:rsidRPr="00967D8E" w:rsidRDefault="00392DBB" w:rsidP="00392DBB">
      <w:pPr>
        <w:rPr>
          <w:u w:val="single"/>
          <w:rtl/>
        </w:rPr>
      </w:pPr>
      <w:r w:rsidRPr="00967D8E">
        <w:rPr>
          <w:rFonts w:hint="cs"/>
          <w:u w:val="single"/>
          <w:rtl/>
        </w:rPr>
        <w:t xml:space="preserve">הניח רק בנות </w:t>
      </w:r>
      <w:r w:rsidR="00F97626">
        <w:rPr>
          <w:u w:val="single"/>
          <w:rtl/>
        </w:rPr>
        <w:t>-</w:t>
      </w:r>
      <w:r w:rsidRPr="00967D8E">
        <w:rPr>
          <w:rFonts w:hint="cs"/>
          <w:u w:val="single"/>
          <w:rtl/>
        </w:rPr>
        <w:t xml:space="preserve"> האם יש להן פרנסה:</w:t>
      </w:r>
    </w:p>
    <w:p w14:paraId="3DA89FF8" w14:textId="77777777" w:rsidR="00392DBB" w:rsidRPr="00967D8E" w:rsidRDefault="00392DBB" w:rsidP="009000E3">
      <w:pPr>
        <w:pStyle w:val="ab"/>
        <w:numPr>
          <w:ilvl w:val="0"/>
          <w:numId w:val="63"/>
        </w:numPr>
      </w:pPr>
      <w:r>
        <w:rPr>
          <w:rFonts w:cs="Arial" w:hint="cs"/>
          <w:rtl/>
        </w:rPr>
        <w:t xml:space="preserve">טור- </w:t>
      </w:r>
      <w:r w:rsidRPr="00E04543">
        <w:rPr>
          <w:rFonts w:cs="Arial"/>
          <w:rtl/>
        </w:rPr>
        <w:t>לא תקנ</w:t>
      </w:r>
      <w:r>
        <w:rPr>
          <w:rFonts w:cs="Arial" w:hint="cs"/>
          <w:rtl/>
        </w:rPr>
        <w:t>ו</w:t>
      </w:r>
      <w:r w:rsidRPr="00E04543">
        <w:rPr>
          <w:rFonts w:cs="Arial"/>
          <w:rtl/>
        </w:rPr>
        <w:t xml:space="preserve"> פרנסה לבת אלא במקום בן</w:t>
      </w:r>
      <w:r>
        <w:rPr>
          <w:rFonts w:cs="Arial" w:hint="cs"/>
          <w:rtl/>
        </w:rPr>
        <w:t>,</w:t>
      </w:r>
      <w:r w:rsidRPr="00E04543">
        <w:rPr>
          <w:rFonts w:cs="Arial"/>
          <w:rtl/>
        </w:rPr>
        <w:t xml:space="preserve"> אבל אם לא הניח אלא בנות </w:t>
      </w:r>
      <w:r>
        <w:rPr>
          <w:rFonts w:cs="Arial" w:hint="cs"/>
          <w:rtl/>
        </w:rPr>
        <w:t xml:space="preserve">- </w:t>
      </w:r>
      <w:r w:rsidRPr="00E04543">
        <w:rPr>
          <w:rFonts w:cs="Arial"/>
          <w:rtl/>
        </w:rPr>
        <w:t>לא תיקנו</w:t>
      </w:r>
      <w:r>
        <w:rPr>
          <w:rFonts w:cs="Arial" w:hint="cs"/>
          <w:rtl/>
        </w:rPr>
        <w:t>,</w:t>
      </w:r>
      <w:r w:rsidRPr="00E04543">
        <w:rPr>
          <w:rFonts w:cs="Arial"/>
          <w:rtl/>
        </w:rPr>
        <w:t xml:space="preserve"> אלא יחלקו הכל בשוה</w:t>
      </w:r>
      <w:r>
        <w:rPr>
          <w:rFonts w:cs="Arial" w:hint="cs"/>
          <w:rtl/>
        </w:rPr>
        <w:t>.</w:t>
      </w:r>
      <w:r w:rsidRPr="00E04543">
        <w:rPr>
          <w:rFonts w:cs="Arial"/>
          <w:rtl/>
        </w:rPr>
        <w:t xml:space="preserve"> </w:t>
      </w:r>
      <w:r w:rsidRPr="00A3392E">
        <w:rPr>
          <w:rFonts w:hint="cs"/>
          <w:color w:val="E36C0A" w:themeColor="accent6" w:themeShade="BF"/>
          <w:rtl/>
        </w:rPr>
        <w:t>(וכ"פ בשו"ע)</w:t>
      </w:r>
    </w:p>
    <w:p w14:paraId="090DB494" w14:textId="77777777" w:rsidR="00392DBB" w:rsidRPr="00967D8E" w:rsidRDefault="00392DBB" w:rsidP="00392DBB">
      <w:pPr>
        <w:ind w:left="360"/>
        <w:rPr>
          <w:u w:val="dotted"/>
        </w:rPr>
      </w:pPr>
      <w:r w:rsidRPr="00967D8E">
        <w:rPr>
          <w:rFonts w:hint="cs"/>
          <w:u w:val="dotted"/>
          <w:rtl/>
        </w:rPr>
        <w:t>ומה הדין אם בת אחת נישא</w:t>
      </w:r>
      <w:r>
        <w:rPr>
          <w:rFonts w:hint="cs"/>
          <w:u w:val="dotted"/>
          <w:rtl/>
        </w:rPr>
        <w:t>ת וקיבלה כסף</w:t>
      </w:r>
      <w:r w:rsidRPr="00967D8E">
        <w:rPr>
          <w:rFonts w:hint="cs"/>
          <w:u w:val="dotted"/>
          <w:rtl/>
        </w:rPr>
        <w:t>, ועתה רוצות שאר הבנות לקבל כמותה ורק אח"כ לחלוק:</w:t>
      </w:r>
    </w:p>
    <w:p w14:paraId="6DD5502E" w14:textId="69C6A6F3" w:rsidR="00392DBB" w:rsidRDefault="00392DBB" w:rsidP="009000E3">
      <w:pPr>
        <w:pStyle w:val="ab"/>
        <w:numPr>
          <w:ilvl w:val="0"/>
          <w:numId w:val="63"/>
        </w:numPr>
      </w:pPr>
      <w:r>
        <w:rPr>
          <w:rFonts w:cs="Arial" w:hint="cs"/>
          <w:rtl/>
        </w:rPr>
        <w:t xml:space="preserve">טור- </w:t>
      </w:r>
      <w:r w:rsidRPr="00E04543">
        <w:rPr>
          <w:rFonts w:cs="Arial"/>
          <w:rtl/>
        </w:rPr>
        <w:t>ואפילו נשאו הגדולו</w:t>
      </w:r>
      <w:r>
        <w:rPr>
          <w:rFonts w:cs="Arial" w:hint="cs"/>
          <w:rtl/>
        </w:rPr>
        <w:t>ת</w:t>
      </w:r>
      <w:r w:rsidRPr="00E04543">
        <w:rPr>
          <w:rFonts w:cs="Arial"/>
          <w:rtl/>
        </w:rPr>
        <w:t xml:space="preserve"> בחיי אביהן</w:t>
      </w:r>
      <w:r w:rsidR="004C074E">
        <w:rPr>
          <w:rFonts w:cs="Arial" w:hint="cs"/>
          <w:rtl/>
        </w:rPr>
        <w:t>,</w:t>
      </w:r>
      <w:r w:rsidRPr="00E04543">
        <w:rPr>
          <w:rFonts w:cs="Arial"/>
          <w:rtl/>
        </w:rPr>
        <w:t xml:space="preserve"> ואומרו</w:t>
      </w:r>
      <w:r>
        <w:rPr>
          <w:rFonts w:cs="Arial" w:hint="cs"/>
          <w:rtl/>
        </w:rPr>
        <w:t>ת</w:t>
      </w:r>
      <w:r w:rsidRPr="00E04543">
        <w:rPr>
          <w:rFonts w:cs="Arial"/>
          <w:rtl/>
        </w:rPr>
        <w:t xml:space="preserve"> הקטנו</w:t>
      </w:r>
      <w:r>
        <w:rPr>
          <w:rFonts w:cs="Arial" w:hint="cs"/>
          <w:rtl/>
        </w:rPr>
        <w:t>ת</w:t>
      </w:r>
      <w:r w:rsidRPr="00E04543">
        <w:rPr>
          <w:rFonts w:cs="Arial"/>
          <w:rtl/>
        </w:rPr>
        <w:t xml:space="preserve"> גם אנחנו נישא מהממון קודם חלוקה </w:t>
      </w:r>
      <w:r>
        <w:rPr>
          <w:rFonts w:cs="Arial" w:hint="cs"/>
          <w:rtl/>
        </w:rPr>
        <w:t xml:space="preserve">- </w:t>
      </w:r>
      <w:r w:rsidRPr="00E04543">
        <w:rPr>
          <w:rFonts w:cs="Arial"/>
          <w:rtl/>
        </w:rPr>
        <w:t>אין שומעין להן</w:t>
      </w:r>
      <w:r>
        <w:rPr>
          <w:rFonts w:cs="Arial" w:hint="cs"/>
          <w:rtl/>
        </w:rPr>
        <w:t>.</w:t>
      </w:r>
      <w:r w:rsidRPr="00E04543">
        <w:rPr>
          <w:rFonts w:cs="Arial"/>
          <w:rtl/>
        </w:rPr>
        <w:t xml:space="preserve"> אבל אם נשאו הגדולו</w:t>
      </w:r>
      <w:r>
        <w:rPr>
          <w:rFonts w:cs="Arial" w:hint="cs"/>
          <w:rtl/>
        </w:rPr>
        <w:t>ת</w:t>
      </w:r>
      <w:r w:rsidRPr="00E04543">
        <w:rPr>
          <w:rFonts w:cs="Arial"/>
          <w:rtl/>
        </w:rPr>
        <w:t xml:space="preserve"> אחר מיתת אביהן מהאמצע</w:t>
      </w:r>
      <w:r>
        <w:rPr>
          <w:rFonts w:cs="Arial" w:hint="cs"/>
          <w:rtl/>
        </w:rPr>
        <w:t xml:space="preserve"> -</w:t>
      </w:r>
      <w:r w:rsidRPr="00E04543">
        <w:rPr>
          <w:rFonts w:cs="Arial"/>
          <w:rtl/>
        </w:rPr>
        <w:t xml:space="preserve"> ישאו גם הקטנות</w:t>
      </w:r>
      <w:r>
        <w:rPr>
          <w:rFonts w:cs="Arial" w:hint="cs"/>
          <w:rtl/>
        </w:rPr>
        <w:t>,</w:t>
      </w:r>
      <w:r w:rsidRPr="00E04543">
        <w:rPr>
          <w:rFonts w:cs="Arial"/>
          <w:rtl/>
        </w:rPr>
        <w:t xml:space="preserve"> ואח"כ יחלקו</w:t>
      </w:r>
      <w:r>
        <w:rPr>
          <w:rFonts w:cs="Arial" w:hint="cs"/>
          <w:rtl/>
        </w:rPr>
        <w:t>.</w:t>
      </w:r>
      <w:r w:rsidRPr="00967D8E">
        <w:rPr>
          <w:rFonts w:hint="cs"/>
          <w:color w:val="E36C0A" w:themeColor="accent6" w:themeShade="BF"/>
          <w:rtl/>
        </w:rPr>
        <w:t xml:space="preserve"> </w:t>
      </w:r>
      <w:r w:rsidRPr="00A3392E">
        <w:rPr>
          <w:rFonts w:hint="cs"/>
          <w:color w:val="E36C0A" w:themeColor="accent6" w:themeShade="BF"/>
          <w:rtl/>
        </w:rPr>
        <w:t>(וכ"פ בשו"ע)</w:t>
      </w:r>
    </w:p>
    <w:p w14:paraId="2B71DA51"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9D11497" w14:textId="77777777" w:rsidR="00392DBB" w:rsidRDefault="00392DBB" w:rsidP="00392DBB">
      <w:pPr>
        <w:rPr>
          <w:rtl/>
        </w:rPr>
      </w:pPr>
      <w:r>
        <w:rPr>
          <w:rFonts w:cs="Arial"/>
          <w:rtl/>
        </w:rPr>
        <w:t>לא תקנו פרנסת נדוניה לבת אלא במקום בן, אבל אם לא הניח אלא בנות, יחלקו הכל בשוה. ואפילו נשאו הגדולות בחיי אביהן, ואומרות הקטנות: גם אנו נשא מהממון קודם חלוקה, אין שומעין להם. אבל אם נשאו הגדולות אחר מיתת אביהם מהאמצע, ישאו גם הקטנות ואח</w:t>
      </w:r>
      <w:r>
        <w:rPr>
          <w:rFonts w:cs="Arial" w:hint="cs"/>
          <w:rtl/>
        </w:rPr>
        <w:t xml:space="preserve">ר </w:t>
      </w:r>
      <w:r>
        <w:rPr>
          <w:rFonts w:cs="Arial"/>
          <w:rtl/>
        </w:rPr>
        <w:t>כ</w:t>
      </w:r>
      <w:r>
        <w:rPr>
          <w:rFonts w:cs="Arial" w:hint="cs"/>
          <w:rtl/>
        </w:rPr>
        <w:t>ך</w:t>
      </w:r>
      <w:r>
        <w:rPr>
          <w:rFonts w:cs="Arial"/>
          <w:rtl/>
        </w:rPr>
        <w:t xml:space="preserve"> יחלוקו. </w:t>
      </w:r>
    </w:p>
    <w:p w14:paraId="750FC369" w14:textId="77777777" w:rsidR="00392DBB" w:rsidRDefault="00392DBB" w:rsidP="00392DBB">
      <w:pPr>
        <w:rPr>
          <w:rtl/>
        </w:rPr>
      </w:pPr>
    </w:p>
    <w:p w14:paraId="78C89C2F" w14:textId="77777777" w:rsidR="00392DBB" w:rsidRDefault="00392DBB" w:rsidP="000F64D0">
      <w:pPr>
        <w:pStyle w:val="2"/>
        <w:rPr>
          <w:rtl/>
        </w:rPr>
      </w:pPr>
      <w:r>
        <w:rPr>
          <w:rtl/>
        </w:rPr>
        <w:lastRenderedPageBreak/>
        <w:t>סעיף י</w:t>
      </w:r>
      <w:r>
        <w:rPr>
          <w:rFonts w:hint="cs"/>
          <w:rtl/>
        </w:rPr>
        <w:t>: האומר</w:t>
      </w:r>
      <w:r w:rsidRPr="00B345A5">
        <w:rPr>
          <w:rtl/>
        </w:rPr>
        <w:t xml:space="preserve"> </w:t>
      </w:r>
      <w:r>
        <w:rPr>
          <w:rFonts w:hint="cs"/>
          <w:rtl/>
        </w:rPr>
        <w:t>'</w:t>
      </w:r>
      <w:r w:rsidRPr="00B345A5">
        <w:rPr>
          <w:rtl/>
        </w:rPr>
        <w:t xml:space="preserve">אל </w:t>
      </w:r>
      <w:r>
        <w:rPr>
          <w:rFonts w:hint="cs"/>
          <w:rtl/>
        </w:rPr>
        <w:t>יתפרנסו</w:t>
      </w:r>
      <w:r w:rsidRPr="00B345A5">
        <w:rPr>
          <w:rtl/>
        </w:rPr>
        <w:t xml:space="preserve"> בנותי מנכסי</w:t>
      </w:r>
      <w:r>
        <w:rPr>
          <w:rFonts w:hint="cs"/>
          <w:rtl/>
        </w:rPr>
        <w:t xml:space="preserve">'. </w:t>
      </w:r>
    </w:p>
    <w:p w14:paraId="431CBFD2" w14:textId="51414FEF" w:rsidR="00392DBB" w:rsidRPr="00554E82" w:rsidRDefault="00392DBB" w:rsidP="00392DBB">
      <w:pPr>
        <w:rPr>
          <w:rFonts w:cs="Arial"/>
          <w:rtl/>
        </w:rPr>
      </w:pPr>
      <w:r w:rsidRPr="009E3B5F">
        <w:rPr>
          <w:rFonts w:hint="cs"/>
          <w:b/>
          <w:bCs/>
          <w:rtl/>
        </w:rPr>
        <w:t xml:space="preserve">כתובות </w:t>
      </w:r>
      <w:r w:rsidRPr="009E3B5F">
        <w:rPr>
          <w:rFonts w:hint="cs"/>
          <w:b/>
          <w:bCs/>
          <w:sz w:val="16"/>
          <w:szCs w:val="16"/>
          <w:rtl/>
        </w:rPr>
        <w:t xml:space="preserve">(פ' </w:t>
      </w:r>
      <w:r>
        <w:rPr>
          <w:rFonts w:hint="cs"/>
          <w:b/>
          <w:bCs/>
          <w:sz w:val="16"/>
          <w:szCs w:val="16"/>
          <w:rtl/>
        </w:rPr>
        <w:t>מציאת האשה</w:t>
      </w:r>
      <w:r w:rsidRPr="009E3B5F">
        <w:rPr>
          <w:rFonts w:hint="cs"/>
          <w:b/>
          <w:bCs/>
          <w:sz w:val="16"/>
          <w:szCs w:val="16"/>
          <w:rtl/>
        </w:rPr>
        <w:t xml:space="preserve">) </w:t>
      </w:r>
      <w:r>
        <w:rPr>
          <w:rFonts w:hint="cs"/>
          <w:b/>
          <w:bCs/>
          <w:rtl/>
        </w:rPr>
        <w:t>סח</w:t>
      </w:r>
      <w:r w:rsidR="00284737" w:rsidRPr="00284737">
        <w:rPr>
          <w:rStyle w:val="a7"/>
          <w:rFonts w:cs="Arial"/>
          <w:b/>
          <w:bCs/>
          <w:rtl/>
        </w:rPr>
        <w:footnoteReference w:id="2744"/>
      </w:r>
      <w:r w:rsidRPr="009E3B5F">
        <w:rPr>
          <w:rFonts w:hint="cs"/>
          <w:b/>
          <w:bCs/>
          <w:rtl/>
        </w:rPr>
        <w:t xml:space="preserve"> ע"</w:t>
      </w:r>
      <w:r>
        <w:rPr>
          <w:rFonts w:hint="cs"/>
          <w:b/>
          <w:bCs/>
          <w:rtl/>
        </w:rPr>
        <w:t>ב</w:t>
      </w:r>
      <w:r w:rsidRPr="009E3B5F">
        <w:rPr>
          <w:rFonts w:hint="cs"/>
          <w:b/>
          <w:bCs/>
          <w:rtl/>
        </w:rPr>
        <w:t>:</w:t>
      </w:r>
      <w:r>
        <w:rPr>
          <w:rFonts w:cs="Arial" w:hint="cs"/>
          <w:rtl/>
        </w:rPr>
        <w:t xml:space="preserve"> </w:t>
      </w:r>
      <w:r w:rsidRPr="003B2777">
        <w:rPr>
          <w:rFonts w:cs="Arial"/>
          <w:u w:val="single"/>
          <w:rtl/>
        </w:rPr>
        <w:t>אמר רב הונא אמר רבי</w:t>
      </w:r>
      <w:r w:rsidRPr="009C31B7">
        <w:rPr>
          <w:rFonts w:cs="Arial"/>
          <w:rtl/>
        </w:rPr>
        <w:t>: פרנסה אינה כתנאי כתובה</w:t>
      </w:r>
      <w:r>
        <w:rPr>
          <w:rFonts w:cs="Arial" w:hint="cs"/>
          <w:rtl/>
        </w:rPr>
        <w:t>.</w:t>
      </w:r>
      <w:r w:rsidRPr="00554E82">
        <w:rPr>
          <w:rtl/>
        </w:rPr>
        <w:t xml:space="preserve"> </w:t>
      </w:r>
      <w:r w:rsidRPr="00554E82">
        <w:rPr>
          <w:rFonts w:cs="Arial"/>
          <w:rtl/>
        </w:rPr>
        <w:t>מאי אינה כתנאי כתובה?</w:t>
      </w:r>
      <w:r>
        <w:rPr>
          <w:rFonts w:cs="Arial" w:hint="cs"/>
          <w:rtl/>
        </w:rPr>
        <w:t>...</w:t>
      </w:r>
      <w:r w:rsidRPr="009C31B7">
        <w:rPr>
          <w:rFonts w:cs="Arial"/>
          <w:rtl/>
        </w:rPr>
        <w:t xml:space="preserve"> </w:t>
      </w:r>
      <w:r w:rsidRPr="00554E82">
        <w:rPr>
          <w:rFonts w:cs="Arial"/>
          <w:rtl/>
        </w:rPr>
        <w:t>לכדתניא: האומר אל יזונו בנותיו מנכסיו - אין שומעין לו</w:t>
      </w:r>
      <w:r>
        <w:rPr>
          <w:rFonts w:cs="Arial" w:hint="cs"/>
          <w:rtl/>
        </w:rPr>
        <w:t>.</w:t>
      </w:r>
      <w:r w:rsidRPr="00554E82">
        <w:rPr>
          <w:rFonts w:cs="Arial"/>
          <w:rtl/>
        </w:rPr>
        <w:t xml:space="preserve"> אל יתפרנסו בנותיו מנכסיו - שומעין לו, שהפרנסה אינה כתנאי כתובה.</w:t>
      </w:r>
    </w:p>
    <w:p w14:paraId="40F7A1CC" w14:textId="77777777" w:rsidR="00392DBB" w:rsidRPr="00554E82" w:rsidRDefault="00392DBB" w:rsidP="00392DBB">
      <w:pPr>
        <w:rPr>
          <w:u w:val="single"/>
          <w:rtl/>
        </w:rPr>
      </w:pPr>
      <w:r w:rsidRPr="00554E82">
        <w:rPr>
          <w:rFonts w:hint="cs"/>
          <w:u w:val="single"/>
          <w:rtl/>
        </w:rPr>
        <w:t>מי שצוה בשעת מיתתו 'אל יתפרנסו בנותי מנכסי':</w:t>
      </w:r>
    </w:p>
    <w:p w14:paraId="7706E606" w14:textId="77777777" w:rsidR="00392DBB" w:rsidRDefault="00392DBB" w:rsidP="009000E3">
      <w:pPr>
        <w:pStyle w:val="ab"/>
        <w:numPr>
          <w:ilvl w:val="0"/>
          <w:numId w:val="63"/>
        </w:numPr>
        <w:rPr>
          <w:rFonts w:cs="Arial"/>
        </w:rPr>
      </w:pPr>
      <w:r>
        <w:rPr>
          <w:rFonts w:cs="Arial" w:hint="cs"/>
          <w:rtl/>
        </w:rPr>
        <w:t xml:space="preserve">רמב"ם </w:t>
      </w:r>
      <w:r>
        <w:rPr>
          <w:rFonts w:cs="Arial" w:hint="cs"/>
          <w:sz w:val="16"/>
          <w:szCs w:val="16"/>
          <w:rtl/>
        </w:rPr>
        <w:t>(</w:t>
      </w:r>
      <w:r w:rsidRPr="00554E82">
        <w:rPr>
          <w:rFonts w:cs="Arial" w:hint="cs"/>
          <w:sz w:val="16"/>
          <w:szCs w:val="16"/>
          <w:rtl/>
        </w:rPr>
        <w:t>פ"כ ה"י)</w:t>
      </w:r>
      <w:r>
        <w:rPr>
          <w:rFonts w:cs="Arial" w:hint="cs"/>
          <w:rtl/>
        </w:rPr>
        <w:t xml:space="preserve"> ו</w:t>
      </w:r>
      <w:r w:rsidRPr="00967D8E">
        <w:rPr>
          <w:rFonts w:cs="Arial" w:hint="cs"/>
          <w:rtl/>
        </w:rPr>
        <w:t xml:space="preserve">טור- </w:t>
      </w:r>
      <w:r w:rsidRPr="00967D8E">
        <w:rPr>
          <w:rFonts w:cs="Arial"/>
          <w:rtl/>
        </w:rPr>
        <w:t>ואינו כשאר תנאי הכתובה אלא תקנה שתקנו חכמים</w:t>
      </w:r>
      <w:r w:rsidRPr="00967D8E">
        <w:rPr>
          <w:rFonts w:cs="Arial" w:hint="cs"/>
          <w:rtl/>
        </w:rPr>
        <w:t>.</w:t>
      </w:r>
      <w:r w:rsidRPr="00967D8E">
        <w:rPr>
          <w:rFonts w:cs="Arial"/>
          <w:rtl/>
        </w:rPr>
        <w:t xml:space="preserve"> לפיכך אם צוה בשעת מיתה אל יתפרנסו בנותי מנכסי </w:t>
      </w:r>
      <w:r>
        <w:rPr>
          <w:rFonts w:cs="Arial" w:hint="cs"/>
          <w:rtl/>
        </w:rPr>
        <w:t xml:space="preserve">- </w:t>
      </w:r>
      <w:r w:rsidRPr="00967D8E">
        <w:rPr>
          <w:rFonts w:cs="Arial"/>
          <w:rtl/>
        </w:rPr>
        <w:t>שומעין לו</w:t>
      </w:r>
      <w:r>
        <w:rPr>
          <w:rFonts w:cs="Arial" w:hint="cs"/>
          <w:sz w:val="16"/>
          <w:szCs w:val="16"/>
          <w:rtl/>
        </w:rPr>
        <w:t xml:space="preserve"> (ל' הטור)</w:t>
      </w:r>
      <w:r>
        <w:rPr>
          <w:rFonts w:cs="Arial" w:hint="cs"/>
          <w:rtl/>
        </w:rPr>
        <w:t>.</w:t>
      </w:r>
      <w:r w:rsidRPr="00967D8E">
        <w:rPr>
          <w:rFonts w:cs="Arial"/>
          <w:rtl/>
        </w:rPr>
        <w:t xml:space="preserve"> </w:t>
      </w:r>
      <w:r w:rsidRPr="00A3392E">
        <w:rPr>
          <w:rFonts w:hint="cs"/>
          <w:color w:val="E36C0A" w:themeColor="accent6" w:themeShade="BF"/>
          <w:rtl/>
        </w:rPr>
        <w:t>(וכ"פ בשו"ע)</w:t>
      </w:r>
    </w:p>
    <w:p w14:paraId="5EB368FE" w14:textId="06F29C54" w:rsidR="00392DBB" w:rsidRPr="00DC22EE" w:rsidRDefault="00392DBB" w:rsidP="00392DBB">
      <w:pPr>
        <w:rPr>
          <w:rFonts w:cs="Arial"/>
        </w:rPr>
      </w:pPr>
      <w:r w:rsidRPr="00DC22EE">
        <w:rPr>
          <w:rFonts w:hint="cs"/>
          <w:b/>
          <w:bCs/>
          <w:rtl/>
        </w:rPr>
        <w:t xml:space="preserve">כתובות </w:t>
      </w:r>
      <w:r w:rsidRPr="00DC22EE">
        <w:rPr>
          <w:rFonts w:hint="cs"/>
          <w:b/>
          <w:bCs/>
          <w:sz w:val="16"/>
          <w:szCs w:val="16"/>
          <w:rtl/>
        </w:rPr>
        <w:t xml:space="preserve">(פ' מציאת האשה) </w:t>
      </w:r>
      <w:r w:rsidRPr="00DC22EE">
        <w:rPr>
          <w:rFonts w:hint="cs"/>
          <w:b/>
          <w:bCs/>
          <w:rtl/>
        </w:rPr>
        <w:t>סח ע"ב</w:t>
      </w:r>
      <w:r>
        <w:rPr>
          <w:rFonts w:hint="cs"/>
          <w:b/>
          <w:bCs/>
          <w:sz w:val="16"/>
          <w:szCs w:val="16"/>
          <w:rtl/>
        </w:rPr>
        <w:t xml:space="preserve"> [לגיר' רב האי]</w:t>
      </w:r>
      <w:r w:rsidRPr="00DC22EE">
        <w:rPr>
          <w:rFonts w:hint="cs"/>
          <w:b/>
          <w:bCs/>
          <w:rtl/>
        </w:rPr>
        <w:t>:</w:t>
      </w:r>
      <w:r w:rsidRPr="00DC22EE">
        <w:rPr>
          <w:rFonts w:cs="Arial"/>
          <w:rtl/>
        </w:rPr>
        <w:t xml:space="preserve"> לכדתניא: האומר אל יזונו בנותיו מנכסיו - שומעין לו</w:t>
      </w:r>
      <w:r w:rsidRPr="00DC22EE">
        <w:rPr>
          <w:rFonts w:cs="Arial" w:hint="cs"/>
          <w:rtl/>
        </w:rPr>
        <w:t>.</w:t>
      </w:r>
      <w:r w:rsidRPr="00DC22EE">
        <w:rPr>
          <w:rFonts w:cs="Arial"/>
          <w:rtl/>
        </w:rPr>
        <w:t xml:space="preserve"> אל יתפרנסו בנותיו מנכסיו -</w:t>
      </w:r>
      <w:r>
        <w:rPr>
          <w:rFonts w:cs="Arial" w:hint="cs"/>
          <w:rtl/>
        </w:rPr>
        <w:t xml:space="preserve"> אין</w:t>
      </w:r>
      <w:r w:rsidRPr="00DC22EE">
        <w:rPr>
          <w:rFonts w:cs="Arial"/>
          <w:rtl/>
        </w:rPr>
        <w:t xml:space="preserve"> שומעין לו, שהפרנסה אינה כתנאי כתובה.</w:t>
      </w:r>
      <w:r>
        <w:rPr>
          <w:rFonts w:cs="Arial" w:hint="cs"/>
          <w:rtl/>
        </w:rPr>
        <w:t xml:space="preserve"> </w:t>
      </w:r>
      <w:r w:rsidRPr="00DC22EE">
        <w:rPr>
          <w:rFonts w:cs="Arial" w:hint="cs"/>
          <w:sz w:val="16"/>
          <w:szCs w:val="16"/>
          <w:rtl/>
        </w:rPr>
        <w:t>(</w:t>
      </w:r>
      <w:r w:rsidRPr="00DC22EE">
        <w:rPr>
          <w:rFonts w:cs="Arial"/>
          <w:sz w:val="16"/>
          <w:szCs w:val="16"/>
          <w:rtl/>
        </w:rPr>
        <w:t>הרא"ש (סי' טו)</w:t>
      </w:r>
      <w:r w:rsidRPr="0054586D">
        <w:rPr>
          <w:rFonts w:cs="Arial"/>
          <w:rtl/>
        </w:rPr>
        <w:t xml:space="preserve"> </w:t>
      </w:r>
      <w:r>
        <w:rPr>
          <w:rFonts w:cs="Arial" w:hint="cs"/>
          <w:sz w:val="16"/>
          <w:szCs w:val="16"/>
          <w:rtl/>
        </w:rPr>
        <w:t xml:space="preserve">והר"ן </w:t>
      </w:r>
      <w:r w:rsidRPr="0054586D">
        <w:rPr>
          <w:rFonts w:cs="Arial"/>
          <w:sz w:val="16"/>
          <w:szCs w:val="16"/>
          <w:rtl/>
        </w:rPr>
        <w:t>(ל: סוף דיבור ראשון)</w:t>
      </w:r>
      <w:r w:rsidRPr="00DC22EE">
        <w:rPr>
          <w:rFonts w:cs="Arial"/>
          <w:sz w:val="16"/>
          <w:szCs w:val="16"/>
          <w:rtl/>
        </w:rPr>
        <w:t xml:space="preserve"> </w:t>
      </w:r>
      <w:r>
        <w:rPr>
          <w:rFonts w:cs="Arial" w:hint="cs"/>
          <w:sz w:val="16"/>
          <w:szCs w:val="16"/>
          <w:rtl/>
        </w:rPr>
        <w:t xml:space="preserve">כתבו שכך היא גירסת </w:t>
      </w:r>
      <w:r w:rsidRPr="00DC22EE">
        <w:rPr>
          <w:rFonts w:cs="Arial"/>
          <w:sz w:val="16"/>
          <w:szCs w:val="16"/>
          <w:rtl/>
        </w:rPr>
        <w:t>רבינו האיי</w:t>
      </w:r>
      <w:r w:rsidRPr="00DC22EE">
        <w:rPr>
          <w:rFonts w:cs="Arial" w:hint="cs"/>
          <w:sz w:val="16"/>
          <w:szCs w:val="16"/>
          <w:rtl/>
        </w:rPr>
        <w:t>,</w:t>
      </w:r>
      <w:r w:rsidRPr="00DC22EE">
        <w:rPr>
          <w:rFonts w:cs="Arial"/>
          <w:sz w:val="16"/>
          <w:szCs w:val="16"/>
          <w:rtl/>
        </w:rPr>
        <w:t xml:space="preserve"> ומפרש </w:t>
      </w:r>
      <w:r>
        <w:rPr>
          <w:rFonts w:cs="Arial" w:hint="cs"/>
          <w:sz w:val="16"/>
          <w:szCs w:val="16"/>
          <w:rtl/>
        </w:rPr>
        <w:t>רב האי ש</w:t>
      </w:r>
      <w:r w:rsidRPr="00DC22EE">
        <w:rPr>
          <w:rFonts w:cs="Arial"/>
          <w:sz w:val="16"/>
          <w:szCs w:val="16"/>
          <w:rtl/>
        </w:rPr>
        <w:t>כשהתנה בשעת נישואין שלא יהא לה תנאי כתובה</w:t>
      </w:r>
      <w:r w:rsidRPr="00DC22EE">
        <w:rPr>
          <w:rFonts w:cs="Arial" w:hint="cs"/>
          <w:sz w:val="16"/>
          <w:szCs w:val="16"/>
          <w:rtl/>
        </w:rPr>
        <w:t xml:space="preserve"> -</w:t>
      </w:r>
      <w:r w:rsidRPr="00DC22EE">
        <w:rPr>
          <w:rFonts w:cs="Arial"/>
          <w:sz w:val="16"/>
          <w:szCs w:val="16"/>
          <w:rtl/>
        </w:rPr>
        <w:t xml:space="preserve"> שומעין לו</w:t>
      </w:r>
      <w:r>
        <w:rPr>
          <w:rFonts w:cs="Arial" w:hint="cs"/>
          <w:sz w:val="16"/>
          <w:szCs w:val="16"/>
          <w:rtl/>
        </w:rPr>
        <w:t>,</w:t>
      </w:r>
      <w:r w:rsidRPr="00DC22EE">
        <w:rPr>
          <w:rFonts w:cs="Arial"/>
          <w:sz w:val="16"/>
          <w:szCs w:val="16"/>
          <w:rtl/>
        </w:rPr>
        <w:t xml:space="preserve"> דכל דבר שבממון תנאו קיים</w:t>
      </w:r>
      <w:r>
        <w:rPr>
          <w:rFonts w:cs="Arial" w:hint="cs"/>
          <w:sz w:val="16"/>
          <w:szCs w:val="16"/>
          <w:rtl/>
        </w:rPr>
        <w:t xml:space="preserve">. </w:t>
      </w:r>
      <w:r w:rsidRPr="0054586D">
        <w:rPr>
          <w:rFonts w:cs="Arial" w:hint="cs"/>
          <w:color w:val="E36C0A" w:themeColor="accent6" w:themeShade="BF"/>
          <w:sz w:val="16"/>
          <w:szCs w:val="16"/>
          <w:rtl/>
        </w:rPr>
        <w:t xml:space="preserve">(וכ"פ בשו"ע </w:t>
      </w:r>
      <w:r w:rsidRPr="0054586D">
        <w:rPr>
          <w:rFonts w:cs="Arial" w:hint="cs"/>
          <w:sz w:val="14"/>
          <w:szCs w:val="14"/>
          <w:rtl/>
        </w:rPr>
        <w:t>[סי' קיב ס"י]</w:t>
      </w:r>
      <w:r w:rsidRPr="0054586D">
        <w:rPr>
          <w:rFonts w:cs="Arial" w:hint="cs"/>
          <w:color w:val="E36C0A" w:themeColor="accent6" w:themeShade="BF"/>
          <w:sz w:val="16"/>
          <w:szCs w:val="16"/>
          <w:rtl/>
        </w:rPr>
        <w:t>)</w:t>
      </w:r>
      <w:r w:rsidRPr="00DC22EE">
        <w:rPr>
          <w:rFonts w:cs="Arial" w:hint="cs"/>
          <w:sz w:val="16"/>
          <w:szCs w:val="16"/>
          <w:rtl/>
        </w:rPr>
        <w:t>.</w:t>
      </w:r>
      <w:r w:rsidRPr="00DC22EE">
        <w:rPr>
          <w:rFonts w:cs="Arial"/>
          <w:sz w:val="16"/>
          <w:szCs w:val="16"/>
          <w:rtl/>
        </w:rPr>
        <w:t xml:space="preserve"> אבל פרנסה לאו מכח דכתובה היא באה אלא שתקנת חכמים שתקנו לבנות ישראל ונתנו להן חלק בממון אביהם להיות נישאות בו </w:t>
      </w:r>
      <w:r w:rsidRPr="00DC22EE">
        <w:rPr>
          <w:rFonts w:cs="Arial" w:hint="cs"/>
          <w:sz w:val="16"/>
          <w:szCs w:val="16"/>
          <w:rtl/>
        </w:rPr>
        <w:t xml:space="preserve">- </w:t>
      </w:r>
      <w:r w:rsidRPr="00DC22EE">
        <w:rPr>
          <w:rFonts w:cs="Arial"/>
          <w:sz w:val="16"/>
          <w:szCs w:val="16"/>
          <w:rtl/>
        </w:rPr>
        <w:t>אין בידו להפקיע מה שזיכו להם חכמים</w:t>
      </w:r>
      <w:r w:rsidRPr="00DC22EE">
        <w:rPr>
          <w:rFonts w:cs="Arial" w:hint="cs"/>
          <w:sz w:val="16"/>
          <w:szCs w:val="16"/>
          <w:rtl/>
        </w:rPr>
        <w:t>.</w:t>
      </w:r>
      <w:r w:rsidRPr="00DC22EE">
        <w:rPr>
          <w:rFonts w:cs="Arial"/>
          <w:sz w:val="16"/>
          <w:szCs w:val="16"/>
          <w:rtl/>
        </w:rPr>
        <w:t xml:space="preserve"> ואע</w:t>
      </w:r>
      <w:r w:rsidRPr="00DC22EE">
        <w:rPr>
          <w:rFonts w:cs="Arial" w:hint="cs"/>
          <w:sz w:val="16"/>
          <w:szCs w:val="16"/>
          <w:rtl/>
        </w:rPr>
        <w:t>"</w:t>
      </w:r>
      <w:r w:rsidRPr="00DC22EE">
        <w:rPr>
          <w:rFonts w:cs="Arial"/>
          <w:sz w:val="16"/>
          <w:szCs w:val="16"/>
          <w:rtl/>
        </w:rPr>
        <w:t>ג דגלי דעתיה בשעת נישואין שאינו רוצה שינשאו בנותיו מנכסיו</w:t>
      </w:r>
      <w:r>
        <w:rPr>
          <w:rFonts w:cs="Arial" w:hint="cs"/>
          <w:sz w:val="16"/>
          <w:szCs w:val="16"/>
          <w:rtl/>
        </w:rPr>
        <w:t>,</w:t>
      </w:r>
      <w:r w:rsidRPr="00DC22EE">
        <w:rPr>
          <w:rFonts w:cs="Arial"/>
          <w:sz w:val="16"/>
          <w:szCs w:val="16"/>
          <w:rtl/>
        </w:rPr>
        <w:t xml:space="preserve"> וקיי"ל דבפרנסה שמין באב</w:t>
      </w:r>
      <w:r>
        <w:rPr>
          <w:rFonts w:cs="Arial" w:hint="cs"/>
          <w:sz w:val="16"/>
          <w:szCs w:val="16"/>
          <w:rtl/>
        </w:rPr>
        <w:t xml:space="preserve"> -</w:t>
      </w:r>
      <w:r w:rsidRPr="00DC22EE">
        <w:rPr>
          <w:rFonts w:cs="Arial"/>
          <w:sz w:val="16"/>
          <w:szCs w:val="16"/>
          <w:rtl/>
        </w:rPr>
        <w:t xml:space="preserve"> הני מילי כי גלי דעתיה בתר נישואין כשהשיא בנותיו או שראינו ותרנותו או קמצנותו או שצוה בשעת מיתה</w:t>
      </w:r>
      <w:r w:rsidRPr="00DC22EE">
        <w:rPr>
          <w:rFonts w:cs="Arial" w:hint="cs"/>
          <w:sz w:val="16"/>
          <w:szCs w:val="16"/>
          <w:rtl/>
        </w:rPr>
        <w:t>,</w:t>
      </w:r>
      <w:r w:rsidRPr="00DC22EE">
        <w:rPr>
          <w:rFonts w:cs="Arial"/>
          <w:sz w:val="16"/>
          <w:szCs w:val="16"/>
          <w:rtl/>
        </w:rPr>
        <w:t xml:space="preserve"> אבל גילוי דעתא בשעת נישואין </w:t>
      </w:r>
      <w:r w:rsidRPr="00DC22EE">
        <w:rPr>
          <w:rFonts w:cs="Arial" w:hint="cs"/>
          <w:sz w:val="16"/>
          <w:szCs w:val="16"/>
          <w:rtl/>
        </w:rPr>
        <w:t xml:space="preserve">- </w:t>
      </w:r>
      <w:r w:rsidRPr="00DC22EE">
        <w:rPr>
          <w:rFonts w:cs="Arial"/>
          <w:sz w:val="16"/>
          <w:szCs w:val="16"/>
          <w:rtl/>
        </w:rPr>
        <w:t>לאו מילתא היא</w:t>
      </w:r>
      <w:r w:rsidRPr="00DC22EE">
        <w:rPr>
          <w:rFonts w:cs="Arial" w:hint="cs"/>
          <w:sz w:val="16"/>
          <w:szCs w:val="16"/>
          <w:rtl/>
        </w:rPr>
        <w:t>,</w:t>
      </w:r>
      <w:r w:rsidRPr="00DC22EE">
        <w:rPr>
          <w:rFonts w:cs="Arial"/>
          <w:sz w:val="16"/>
          <w:szCs w:val="16"/>
          <w:rtl/>
        </w:rPr>
        <w:t xml:space="preserve"> דאיפשר שהיה בדעתו שלא לעשות חוב על בניו</w:t>
      </w:r>
      <w:r>
        <w:rPr>
          <w:rFonts w:cs="Arial" w:hint="cs"/>
          <w:sz w:val="16"/>
          <w:szCs w:val="16"/>
          <w:rtl/>
        </w:rPr>
        <w:t>.</w:t>
      </w:r>
      <w:r w:rsidRPr="00DC22EE">
        <w:rPr>
          <w:rFonts w:cs="Arial"/>
          <w:sz w:val="16"/>
          <w:szCs w:val="16"/>
          <w:rtl/>
        </w:rPr>
        <w:t xml:space="preserve"> ועוד איפשר אח"כ שהיה רואה בנותיו שהגיעו לפירקן היה מרחם עליהן ומשיאן</w:t>
      </w:r>
      <w:r w:rsidRPr="00DC22EE">
        <w:rPr>
          <w:rFonts w:cs="Arial" w:hint="cs"/>
          <w:sz w:val="16"/>
          <w:szCs w:val="16"/>
          <w:rtl/>
        </w:rPr>
        <w:t>.</w:t>
      </w:r>
      <w:r w:rsidRPr="00DC22EE">
        <w:rPr>
          <w:rFonts w:cs="Arial"/>
          <w:sz w:val="16"/>
          <w:szCs w:val="16"/>
          <w:rtl/>
        </w:rPr>
        <w:t xml:space="preserve"> הילכך תנאי של שעת נישואין לא חשיב גילוי דעת עכ"ל. ואיפשר דלאו לרבינו האיי בלחוד הוי דינא הכי אלא לכו</w:t>
      </w:r>
      <w:r w:rsidR="005C6E6F">
        <w:rPr>
          <w:rFonts w:cs="Arial" w:hint="cs"/>
          <w:sz w:val="16"/>
          <w:szCs w:val="16"/>
          <w:rtl/>
        </w:rPr>
        <w:t>"ע</w:t>
      </w:r>
      <w:r w:rsidRPr="00DC22EE">
        <w:rPr>
          <w:rFonts w:cs="Arial" w:hint="cs"/>
          <w:sz w:val="16"/>
          <w:szCs w:val="16"/>
          <w:rtl/>
        </w:rPr>
        <w:t>,</w:t>
      </w:r>
      <w:r w:rsidRPr="00DC22EE">
        <w:rPr>
          <w:rFonts w:cs="Arial"/>
          <w:sz w:val="16"/>
          <w:szCs w:val="16"/>
          <w:rtl/>
        </w:rPr>
        <w:t xml:space="preserve"> דהא כיון דפרנסה לאו מכח כתובה קא אתי אלא מתקנת חכמים</w:t>
      </w:r>
      <w:r w:rsidRPr="00DC22EE">
        <w:rPr>
          <w:rFonts w:cs="Arial" w:hint="cs"/>
          <w:sz w:val="16"/>
          <w:szCs w:val="16"/>
          <w:rtl/>
        </w:rPr>
        <w:t>,</w:t>
      </w:r>
      <w:r w:rsidRPr="00DC22EE">
        <w:rPr>
          <w:rFonts w:cs="Arial"/>
          <w:sz w:val="16"/>
          <w:szCs w:val="16"/>
          <w:rtl/>
        </w:rPr>
        <w:t xml:space="preserve"> כי אתני בשעת נישואין עם האשה מאי הוי</w:t>
      </w:r>
      <w:r w:rsidRPr="00DC22EE">
        <w:rPr>
          <w:rFonts w:cs="Arial" w:hint="cs"/>
          <w:sz w:val="16"/>
          <w:szCs w:val="16"/>
          <w:rtl/>
        </w:rPr>
        <w:t>?</w:t>
      </w:r>
      <w:r w:rsidRPr="00DC22EE">
        <w:rPr>
          <w:rFonts w:cs="Arial"/>
          <w:sz w:val="16"/>
          <w:szCs w:val="16"/>
          <w:rtl/>
        </w:rPr>
        <w:t xml:space="preserve"> והכל תלוי במה שאמר בשעת מיתה</w:t>
      </w:r>
      <w:r>
        <w:rPr>
          <w:rFonts w:cs="Arial" w:hint="cs"/>
          <w:sz w:val="16"/>
          <w:szCs w:val="16"/>
          <w:rtl/>
        </w:rPr>
        <w:t>, ב"י)</w:t>
      </w:r>
    </w:p>
    <w:p w14:paraId="23CFB902" w14:textId="77777777" w:rsidR="00392DBB" w:rsidRPr="0054586D" w:rsidRDefault="00392DBB" w:rsidP="00392DBB">
      <w:pPr>
        <w:rPr>
          <w:rFonts w:cs="Arial"/>
          <w:u w:val="single"/>
        </w:rPr>
      </w:pPr>
      <w:r w:rsidRPr="00554E82">
        <w:rPr>
          <w:rFonts w:hint="cs"/>
          <w:u w:val="single"/>
          <w:rtl/>
        </w:rPr>
        <w:t>מי שצוה</w:t>
      </w:r>
      <w:r w:rsidRPr="0054586D">
        <w:rPr>
          <w:rFonts w:cs="Arial" w:hint="cs"/>
          <w:u w:val="single"/>
          <w:rtl/>
        </w:rPr>
        <w:t xml:space="preserve"> בשעת נישואין</w:t>
      </w:r>
      <w:r>
        <w:rPr>
          <w:rFonts w:cs="Arial" w:hint="cs"/>
          <w:u w:val="single"/>
          <w:rtl/>
        </w:rPr>
        <w:t xml:space="preserve"> </w:t>
      </w:r>
      <w:r w:rsidRPr="00554E82">
        <w:rPr>
          <w:rFonts w:hint="cs"/>
          <w:u w:val="single"/>
          <w:rtl/>
        </w:rPr>
        <w:t>'אל יתפרנסו בנותי מנכסי'</w:t>
      </w:r>
      <w:r w:rsidRPr="0054586D">
        <w:rPr>
          <w:rFonts w:cs="Arial" w:hint="cs"/>
          <w:u w:val="single"/>
          <w:rtl/>
        </w:rPr>
        <w:t>:</w:t>
      </w:r>
    </w:p>
    <w:p w14:paraId="72F9484E" w14:textId="75686B23" w:rsidR="00392DBB" w:rsidRDefault="00392DBB" w:rsidP="009000E3">
      <w:pPr>
        <w:pStyle w:val="ab"/>
        <w:numPr>
          <w:ilvl w:val="0"/>
          <w:numId w:val="63"/>
        </w:numPr>
        <w:rPr>
          <w:rFonts w:cs="Arial"/>
        </w:rPr>
      </w:pPr>
      <w:r>
        <w:rPr>
          <w:rFonts w:cs="Arial" w:hint="cs"/>
          <w:rtl/>
        </w:rPr>
        <w:t xml:space="preserve">טור- </w:t>
      </w:r>
      <w:r w:rsidRPr="00967D8E">
        <w:rPr>
          <w:rFonts w:cs="Arial"/>
          <w:rtl/>
        </w:rPr>
        <w:t xml:space="preserve">ואם התנה בשעת נישואין שלא יתפרנסו מנכסיו </w:t>
      </w:r>
      <w:r>
        <w:rPr>
          <w:rFonts w:cs="Arial" w:hint="cs"/>
          <w:rtl/>
        </w:rPr>
        <w:t xml:space="preserve">- </w:t>
      </w:r>
      <w:r w:rsidRPr="00967D8E">
        <w:rPr>
          <w:rFonts w:cs="Arial"/>
          <w:rtl/>
        </w:rPr>
        <w:t>לפירוש רב האי אין שומעין לו</w:t>
      </w:r>
      <w:r w:rsidRPr="00967D8E">
        <w:rPr>
          <w:rFonts w:cs="Arial" w:hint="cs"/>
          <w:rtl/>
        </w:rPr>
        <w:t>.</w:t>
      </w:r>
      <w:r w:rsidR="000C74F6">
        <w:rPr>
          <w:rFonts w:cs="Arial" w:hint="cs"/>
          <w:rtl/>
        </w:rPr>
        <w:t xml:space="preserve"> </w:t>
      </w:r>
      <w:r w:rsidR="000C74F6" w:rsidRPr="000C74F6">
        <w:rPr>
          <w:rFonts w:cs="Arial" w:hint="cs"/>
          <w:color w:val="00B0F0"/>
          <w:rtl/>
        </w:rPr>
        <w:t>(וכ"פ הרמ"א)</w:t>
      </w:r>
      <w:r w:rsidRPr="00967D8E">
        <w:rPr>
          <w:rFonts w:cs="Arial"/>
          <w:rtl/>
        </w:rPr>
        <w:t xml:space="preserve"> </w:t>
      </w:r>
    </w:p>
    <w:p w14:paraId="6057DC95"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5B630E6" w14:textId="0EDE86CD" w:rsidR="00392DBB" w:rsidRPr="007A3469" w:rsidRDefault="00392DBB" w:rsidP="00392DBB">
      <w:pPr>
        <w:rPr>
          <w:rtl/>
        </w:rPr>
        <w:sectPr w:rsidR="00392DBB" w:rsidRPr="007A3469" w:rsidSect="00A347B3">
          <w:headerReference w:type="default" r:id="rId57"/>
          <w:footnotePr>
            <w:numRestart w:val="eachSect"/>
          </w:footnotePr>
          <w:pgSz w:w="11906" w:h="16838"/>
          <w:pgMar w:top="720" w:right="1134" w:bottom="720" w:left="1134" w:header="0" w:footer="0" w:gutter="0"/>
          <w:cols w:space="720"/>
          <w:bidi/>
          <w:rtlGutter/>
          <w:docGrid w:linePitch="360"/>
        </w:sectPr>
      </w:pPr>
      <w:r>
        <w:rPr>
          <w:rFonts w:cs="Arial"/>
          <w:rtl/>
        </w:rPr>
        <w:t xml:space="preserve">מי שצוה בשעת מיתה: אל תפרנסו לבנותי פרנסת נדוניא מנכסי, שומעין לו. </w:t>
      </w:r>
      <w:r w:rsidR="00CA0AF9">
        <w:rPr>
          <w:rFonts w:cs="Arial" w:hint="cs"/>
          <w:sz w:val="18"/>
          <w:szCs w:val="18"/>
          <w:rtl/>
        </w:rPr>
        <w:t xml:space="preserve">[הגה] </w:t>
      </w:r>
      <w:r w:rsidRPr="00CA0AF9">
        <w:rPr>
          <w:rFonts w:cs="Arial"/>
          <w:sz w:val="18"/>
          <w:szCs w:val="18"/>
          <w:rtl/>
        </w:rPr>
        <w:t>אבל אם התנה בשעת נשואין שלא יתפרנסו בנותיו מנכסיו, אין שומעין לו</w:t>
      </w:r>
      <w:r w:rsidRPr="00CA0AF9">
        <w:rPr>
          <w:rStyle w:val="a7"/>
          <w:rFonts w:cs="Arial"/>
          <w:sz w:val="18"/>
          <w:szCs w:val="18"/>
          <w:rtl/>
        </w:rPr>
        <w:footnoteReference w:id="2745"/>
      </w:r>
      <w:r w:rsidRPr="00CA0AF9">
        <w:rPr>
          <w:rFonts w:cs="Arial"/>
          <w:sz w:val="18"/>
          <w:szCs w:val="18"/>
          <w:rtl/>
        </w:rPr>
        <w:t>.</w:t>
      </w:r>
    </w:p>
    <w:p w14:paraId="597EA931" w14:textId="77777777" w:rsidR="00392DBB" w:rsidRDefault="00392DBB" w:rsidP="00392DBB">
      <w:pPr>
        <w:pStyle w:val="1"/>
        <w:rPr>
          <w:rtl/>
        </w:rPr>
      </w:pPr>
      <w:r>
        <w:rPr>
          <w:rFonts w:hint="cs"/>
          <w:rtl/>
        </w:rPr>
        <w:lastRenderedPageBreak/>
        <w:t>סימן קיד:</w:t>
      </w:r>
      <w:r w:rsidRPr="00C12B74">
        <w:rPr>
          <w:rtl/>
        </w:rPr>
        <w:t xml:space="preserve"> </w:t>
      </w:r>
      <w:r>
        <w:rPr>
          <w:rFonts w:cs="Arial"/>
          <w:rtl/>
        </w:rPr>
        <w:t xml:space="preserve">דין מי שקבל עליו לזון בת אשתו וחבירו, ובו י"ב סעיפים. </w:t>
      </w:r>
    </w:p>
    <w:p w14:paraId="6B2D9B22" w14:textId="77777777" w:rsidR="00392DBB" w:rsidRDefault="00392DBB" w:rsidP="000F64D0">
      <w:pPr>
        <w:pStyle w:val="2"/>
        <w:rPr>
          <w:rtl/>
        </w:rPr>
      </w:pPr>
      <w:r>
        <w:rPr>
          <w:rtl/>
        </w:rPr>
        <w:t>סעיף א</w:t>
      </w:r>
      <w:r>
        <w:rPr>
          <w:rFonts w:hint="cs"/>
          <w:rtl/>
        </w:rPr>
        <w:t>: מזונות בת אשתו. והמתחייב לזון את בת אשתו.</w:t>
      </w:r>
    </w:p>
    <w:p w14:paraId="4FA55B7D" w14:textId="77777777" w:rsidR="00392DBB" w:rsidRDefault="00392DBB" w:rsidP="00392DBB">
      <w:pPr>
        <w:rPr>
          <w:rtl/>
        </w:rPr>
      </w:pPr>
      <w:r w:rsidRPr="00C46108">
        <w:rPr>
          <w:rFonts w:cs="Arial" w:hint="cs"/>
          <w:b/>
          <w:bCs/>
          <w:rtl/>
        </w:rPr>
        <w:t xml:space="preserve">כתובות </w:t>
      </w:r>
      <w:r>
        <w:rPr>
          <w:rFonts w:cs="Arial" w:hint="cs"/>
          <w:b/>
          <w:bCs/>
          <w:sz w:val="16"/>
          <w:szCs w:val="16"/>
          <w:rtl/>
        </w:rPr>
        <w:t xml:space="preserve">(ר"פ הנושא) </w:t>
      </w:r>
      <w:r w:rsidRPr="00C46108">
        <w:rPr>
          <w:rFonts w:cs="Arial" w:hint="cs"/>
          <w:b/>
          <w:bCs/>
          <w:rtl/>
        </w:rPr>
        <w:t>קא</w:t>
      </w:r>
      <w:r>
        <w:rPr>
          <w:rStyle w:val="a7"/>
          <w:rFonts w:cs="Arial"/>
          <w:b/>
          <w:bCs/>
          <w:rtl/>
        </w:rPr>
        <w:footnoteReference w:id="2746"/>
      </w:r>
      <w:r w:rsidRPr="00C46108">
        <w:rPr>
          <w:rFonts w:cs="Arial" w:hint="cs"/>
          <w:b/>
          <w:bCs/>
          <w:rtl/>
        </w:rPr>
        <w:t xml:space="preserve"> ע"ב:</w:t>
      </w:r>
      <w:r>
        <w:rPr>
          <w:rFonts w:cs="Arial" w:hint="cs"/>
          <w:rtl/>
        </w:rPr>
        <w:t xml:space="preserve"> </w:t>
      </w:r>
      <w:r w:rsidRPr="005234DA">
        <w:rPr>
          <w:rFonts w:cs="Arial"/>
          <w:u w:val="double"/>
          <w:rtl/>
        </w:rPr>
        <w:t>מתני'</w:t>
      </w:r>
      <w:r>
        <w:rPr>
          <w:rFonts w:cs="Arial" w:hint="cs"/>
          <w:rtl/>
        </w:rPr>
        <w:t>:</w:t>
      </w:r>
      <w:r w:rsidRPr="00B44A91">
        <w:rPr>
          <w:rFonts w:cs="Arial"/>
          <w:rtl/>
        </w:rPr>
        <w:t xml:space="preserve"> הנושא את האשה, ופסקה עמו כדי שיזון את בתה חמש שנים - חייב לזונה חמש שנים.</w:t>
      </w:r>
      <w:r>
        <w:rPr>
          <w:rFonts w:cs="Arial" w:hint="cs"/>
          <w:rtl/>
        </w:rPr>
        <w:t xml:space="preserve">      </w:t>
      </w:r>
      <w:r w:rsidRPr="00B44A91">
        <w:rPr>
          <w:rFonts w:cs="Arial"/>
          <w:rtl/>
        </w:rPr>
        <w:t xml:space="preserve"> </w:t>
      </w:r>
      <w:r w:rsidRPr="00B44A91">
        <w:rPr>
          <w:rFonts w:cs="Arial" w:hint="cs"/>
          <w:u w:val="double"/>
          <w:rtl/>
        </w:rPr>
        <w:t>גמ'</w:t>
      </w:r>
      <w:r>
        <w:rPr>
          <w:rFonts w:cs="Arial" w:hint="cs"/>
          <w:rtl/>
        </w:rPr>
        <w:t xml:space="preserve">: </w:t>
      </w:r>
      <w:r w:rsidRPr="000F1C0E">
        <w:rPr>
          <w:rFonts w:cs="Arial"/>
          <w:rtl/>
        </w:rPr>
        <w:t xml:space="preserve">אתמר: האומר לחבירו חייב אני לך מנה, </w:t>
      </w:r>
      <w:r w:rsidRPr="003022C3">
        <w:rPr>
          <w:rFonts w:cs="Arial"/>
          <w:u w:val="single"/>
          <w:rtl/>
        </w:rPr>
        <w:t>רבי יוחנן אמר</w:t>
      </w:r>
      <w:r w:rsidRPr="000F1C0E">
        <w:rPr>
          <w:rFonts w:cs="Arial"/>
          <w:rtl/>
        </w:rPr>
        <w:t xml:space="preserve">: חייב, </w:t>
      </w:r>
      <w:r w:rsidRPr="003022C3">
        <w:rPr>
          <w:rFonts w:cs="Arial"/>
          <w:u w:val="single"/>
          <w:rtl/>
        </w:rPr>
        <w:t>ור"ל אמר</w:t>
      </w:r>
      <w:r w:rsidRPr="000F1C0E">
        <w:rPr>
          <w:rFonts w:cs="Arial"/>
          <w:rtl/>
        </w:rPr>
        <w:t>: פטור. ה"ד?</w:t>
      </w:r>
      <w:r>
        <w:rPr>
          <w:rFonts w:cs="Arial" w:hint="cs"/>
          <w:rtl/>
        </w:rPr>
        <w:t>...</w:t>
      </w:r>
      <w:r w:rsidRPr="000F1C0E">
        <w:rPr>
          <w:rFonts w:cs="Arial"/>
          <w:rtl/>
        </w:rPr>
        <w:t xml:space="preserve"> לעולם דלא קאמר להו אתם עדיי, והכא במאי עסקינן - דא"ל חייב אני לך מנה בשטר, רבי יוחנן אמר: חייב, אלימא מילתא דשטרא כמאן דאמר להו אתם עדים דמי; ר"ל אמר: פטור, לא אלימא מילתא דשטרא. תנן: הנושא את האשה, ופסקה עמו לזון את בתה חמש שנים - חייב לזונה חמש שנים; מאי לאו כי האי גוונא!</w:t>
      </w:r>
      <w:r>
        <w:rPr>
          <w:rFonts w:cs="Arial" w:hint="cs"/>
          <w:rtl/>
        </w:rPr>
        <w:t xml:space="preserve"> </w:t>
      </w:r>
      <w:r>
        <w:rPr>
          <w:rFonts w:cs="Arial" w:hint="cs"/>
          <w:sz w:val="14"/>
          <w:szCs w:val="14"/>
          <w:rtl/>
        </w:rPr>
        <w:t xml:space="preserve">(קב.) </w:t>
      </w:r>
      <w:r w:rsidRPr="000F1C0E">
        <w:rPr>
          <w:rFonts w:cs="Arial"/>
          <w:rtl/>
        </w:rPr>
        <w:t xml:space="preserve">לא, בשטרי פסיקתא, וכדרב גידל, </w:t>
      </w:r>
      <w:r w:rsidRPr="003022C3">
        <w:rPr>
          <w:rFonts w:cs="Arial"/>
          <w:u w:val="single"/>
          <w:rtl/>
        </w:rPr>
        <w:t>דאמר רב גידל אמר רב</w:t>
      </w:r>
      <w:r w:rsidRPr="000F1C0E">
        <w:rPr>
          <w:rFonts w:cs="Arial"/>
          <w:rtl/>
        </w:rPr>
        <w:t>: כמה אתה נותן לבנך? כך וכך, וכמה אתה נותן לבתך? כך וכך, עמדו וקידשו - קנו, הן הן הדברים הנקנין באמירה.</w:t>
      </w:r>
      <w:r>
        <w:rPr>
          <w:rFonts w:hint="cs"/>
          <w:rtl/>
        </w:rPr>
        <w:t>..</w:t>
      </w:r>
      <w:r w:rsidRPr="00CA7CD4">
        <w:rPr>
          <w:rtl/>
        </w:rPr>
        <w:t xml:space="preserve"> </w:t>
      </w:r>
    </w:p>
    <w:p w14:paraId="15B3B93B" w14:textId="77777777" w:rsidR="00392DBB" w:rsidRPr="009D37AE" w:rsidRDefault="00392DBB" w:rsidP="00392DBB">
      <w:pPr>
        <w:rPr>
          <w:u w:val="single"/>
          <w:rtl/>
        </w:rPr>
      </w:pPr>
      <w:r w:rsidRPr="009D37AE">
        <w:rPr>
          <w:rFonts w:hint="cs"/>
          <w:u w:val="single"/>
          <w:rtl/>
        </w:rPr>
        <w:t>מזונות בת אשתו:</w:t>
      </w:r>
    </w:p>
    <w:p w14:paraId="2AD5D8B6" w14:textId="77777777" w:rsidR="00392DBB" w:rsidRPr="00003C2E" w:rsidRDefault="00392DBB" w:rsidP="009000E3">
      <w:pPr>
        <w:pStyle w:val="ab"/>
        <w:numPr>
          <w:ilvl w:val="0"/>
          <w:numId w:val="63"/>
        </w:numPr>
      </w:pPr>
      <w:r>
        <w:rPr>
          <w:rFonts w:hint="cs"/>
          <w:rtl/>
        </w:rPr>
        <w:t xml:space="preserve">טור- </w:t>
      </w:r>
      <w:r w:rsidRPr="00716457">
        <w:rPr>
          <w:rFonts w:cs="Arial"/>
          <w:rtl/>
        </w:rPr>
        <w:t>כל אלו הדברים אינו חייב אלא בבת אשתו שילדה לו</w:t>
      </w:r>
      <w:r>
        <w:rPr>
          <w:rFonts w:cs="Arial" w:hint="cs"/>
          <w:rtl/>
        </w:rPr>
        <w:t>.</w:t>
      </w:r>
      <w:r w:rsidRPr="00716457">
        <w:rPr>
          <w:rFonts w:cs="Arial"/>
          <w:rtl/>
        </w:rPr>
        <w:t xml:space="preserve"> אבל אם יש לה בת מאיש אחר </w:t>
      </w:r>
      <w:r>
        <w:rPr>
          <w:rFonts w:cs="Arial" w:hint="cs"/>
          <w:rtl/>
        </w:rPr>
        <w:t xml:space="preserve">- </w:t>
      </w:r>
      <w:r w:rsidRPr="00716457">
        <w:rPr>
          <w:rFonts w:cs="Arial"/>
          <w:rtl/>
        </w:rPr>
        <w:t>אינו חייב לה כלום אלא מה שהתנתה עמו</w:t>
      </w:r>
      <w:r>
        <w:rPr>
          <w:rStyle w:val="a7"/>
          <w:rFonts w:cs="Arial"/>
          <w:rtl/>
        </w:rPr>
        <w:footnoteReference w:id="2747"/>
      </w:r>
      <w:r>
        <w:rPr>
          <w:rFonts w:cs="Arial" w:hint="cs"/>
          <w:rtl/>
        </w:rPr>
        <w:t>.</w:t>
      </w:r>
      <w:r w:rsidRPr="00716457">
        <w:rPr>
          <w:rFonts w:cs="Arial"/>
          <w:rtl/>
        </w:rPr>
        <w:t xml:space="preserve"> דתנן הנושא את האשה ופסק עמה שיזון את בתה ה' שנים חייב לזונה ה' שנים</w:t>
      </w:r>
      <w:r>
        <w:rPr>
          <w:rFonts w:cs="Arial" w:hint="cs"/>
          <w:rtl/>
        </w:rPr>
        <w:t>.</w:t>
      </w:r>
      <w:r w:rsidRPr="00716457">
        <w:rPr>
          <w:rFonts w:cs="Arial"/>
          <w:rtl/>
        </w:rPr>
        <w:t xml:space="preserve"> אבל אם לא פסקה</w:t>
      </w:r>
      <w:r>
        <w:rPr>
          <w:rFonts w:cs="Arial" w:hint="cs"/>
          <w:rtl/>
        </w:rPr>
        <w:t xml:space="preserve"> -</w:t>
      </w:r>
      <w:r w:rsidRPr="00716457">
        <w:rPr>
          <w:rFonts w:cs="Arial"/>
          <w:rtl/>
        </w:rPr>
        <w:t xml:space="preserve"> לא</w:t>
      </w:r>
      <w:r>
        <w:rPr>
          <w:rFonts w:cs="Arial" w:hint="cs"/>
          <w:rtl/>
        </w:rPr>
        <w:t>.</w:t>
      </w:r>
      <w:r w:rsidRPr="00716457">
        <w:rPr>
          <w:rFonts w:cs="Arial"/>
          <w:rtl/>
        </w:rPr>
        <w:t xml:space="preserve"> </w:t>
      </w:r>
      <w:r w:rsidRPr="004663D7">
        <w:rPr>
          <w:rFonts w:hint="cs"/>
          <w:color w:val="E36C0A" w:themeColor="accent6" w:themeShade="BF"/>
          <w:rtl/>
        </w:rPr>
        <w:t>(וכ"פ בשו"ע)</w:t>
      </w:r>
    </w:p>
    <w:p w14:paraId="68E79482" w14:textId="58EBF12F" w:rsidR="00392DBB" w:rsidRPr="00943D88" w:rsidRDefault="00392DBB" w:rsidP="00392DBB">
      <w:pPr>
        <w:ind w:left="360"/>
        <w:rPr>
          <w:u w:val="dotted"/>
        </w:rPr>
      </w:pPr>
      <w:r>
        <w:rPr>
          <w:rFonts w:cs="Arial" w:hint="cs"/>
          <w:u w:val="dotted"/>
          <w:rtl/>
        </w:rPr>
        <w:t xml:space="preserve">כשפסק עמה לזון את בתה חמש שנים </w:t>
      </w:r>
      <w:r w:rsidR="00F97626">
        <w:rPr>
          <w:rFonts w:cs="Arial"/>
          <w:u w:val="dotted"/>
          <w:rtl/>
        </w:rPr>
        <w:t>-</w:t>
      </w:r>
      <w:r>
        <w:rPr>
          <w:rFonts w:cs="Arial" w:hint="cs"/>
          <w:u w:val="dotted"/>
          <w:rtl/>
        </w:rPr>
        <w:t xml:space="preserve"> האם מספיק דיבור בעלמא או שצריך לעשות קנין/כתיבה</w:t>
      </w:r>
      <w:r w:rsidRPr="00943D88">
        <w:rPr>
          <w:rFonts w:cs="Arial" w:hint="cs"/>
          <w:u w:val="dotted"/>
          <w:rtl/>
        </w:rPr>
        <w:t>:</w:t>
      </w:r>
    </w:p>
    <w:p w14:paraId="173929A1" w14:textId="77777777" w:rsidR="00392DBB" w:rsidRDefault="00392DBB" w:rsidP="009000E3">
      <w:pPr>
        <w:pStyle w:val="ab"/>
        <w:numPr>
          <w:ilvl w:val="0"/>
          <w:numId w:val="63"/>
        </w:numPr>
      </w:pPr>
      <w:r w:rsidRPr="00716457">
        <w:rPr>
          <w:rFonts w:cs="Arial"/>
          <w:rtl/>
        </w:rPr>
        <w:t>רמב"ם</w:t>
      </w:r>
      <w:r>
        <w:rPr>
          <w:rFonts w:cs="Arial" w:hint="cs"/>
          <w:sz w:val="16"/>
          <w:szCs w:val="16"/>
          <w:rtl/>
        </w:rPr>
        <w:t xml:space="preserve"> (פכ"ג מאישות הי"ז, הביאו הטור)</w:t>
      </w:r>
      <w:r>
        <w:rPr>
          <w:rFonts w:cs="Arial" w:hint="cs"/>
          <w:rtl/>
        </w:rPr>
        <w:t xml:space="preserve"> וטור- </w:t>
      </w:r>
      <w:r w:rsidRPr="00003C2E">
        <w:rPr>
          <w:rFonts w:cs="Arial"/>
          <w:rtl/>
        </w:rPr>
        <w:t xml:space="preserve">הנושא את האשה ופסקה עמו שיהיה זן את בתה כך וכך שנים </w:t>
      </w:r>
      <w:r>
        <w:rPr>
          <w:rFonts w:cs="Arial" w:hint="cs"/>
          <w:rtl/>
        </w:rPr>
        <w:t xml:space="preserve">- </w:t>
      </w:r>
      <w:r w:rsidRPr="00003C2E">
        <w:rPr>
          <w:rFonts w:cs="Arial"/>
          <w:rtl/>
        </w:rPr>
        <w:t>חייב לזון אותם שנים שקיבל על עצמו</w:t>
      </w:r>
      <w:r>
        <w:rPr>
          <w:rFonts w:cs="Arial" w:hint="cs"/>
          <w:rtl/>
        </w:rPr>
        <w:t>.</w:t>
      </w:r>
      <w:r w:rsidRPr="00003C2E">
        <w:rPr>
          <w:rFonts w:cs="Arial"/>
          <w:rtl/>
        </w:rPr>
        <w:t xml:space="preserve"> </w:t>
      </w:r>
      <w:r w:rsidRPr="00943D88">
        <w:rPr>
          <w:rFonts w:cs="Arial"/>
          <w:rtl/>
        </w:rPr>
        <w:t>והוא שיתנו על דבר זה בשעת קידושין</w:t>
      </w:r>
      <w:r w:rsidRPr="00943D88">
        <w:rPr>
          <w:rFonts w:cs="Arial" w:hint="cs"/>
          <w:rtl/>
        </w:rPr>
        <w:t>.</w:t>
      </w:r>
      <w:r w:rsidRPr="00943D88">
        <w:rPr>
          <w:rFonts w:cs="Arial"/>
          <w:rtl/>
        </w:rPr>
        <w:t xml:space="preserve"> אבל שלא בשעת קידושין </w:t>
      </w:r>
      <w:r w:rsidRPr="00943D88">
        <w:rPr>
          <w:rFonts w:cs="Arial" w:hint="cs"/>
          <w:rtl/>
        </w:rPr>
        <w:t xml:space="preserve">- </w:t>
      </w:r>
      <w:r w:rsidRPr="00943D88">
        <w:rPr>
          <w:rFonts w:cs="Arial"/>
          <w:rtl/>
        </w:rPr>
        <w:t>עד שיקנו מידו</w:t>
      </w:r>
      <w:r>
        <w:rPr>
          <w:rStyle w:val="a7"/>
          <w:rFonts w:cs="Arial"/>
          <w:rtl/>
        </w:rPr>
        <w:footnoteReference w:id="2748"/>
      </w:r>
      <w:r w:rsidRPr="00943D88">
        <w:rPr>
          <w:rFonts w:cs="Arial"/>
          <w:rtl/>
        </w:rPr>
        <w:t xml:space="preserve"> או עד שיכתוב בשטר וכיוצא בו</w:t>
      </w:r>
      <w:r>
        <w:rPr>
          <w:rStyle w:val="a7"/>
          <w:rFonts w:cs="Arial"/>
          <w:rtl/>
        </w:rPr>
        <w:footnoteReference w:id="2749"/>
      </w:r>
      <w:r>
        <w:rPr>
          <w:rFonts w:cs="Arial" w:hint="cs"/>
          <w:rtl/>
        </w:rPr>
        <w:t>,</w:t>
      </w:r>
      <w:r w:rsidRPr="00943D88">
        <w:rPr>
          <w:rFonts w:cs="Arial"/>
          <w:rtl/>
        </w:rPr>
        <w:t xml:space="preserve"> כמו שיתבאר בהלכות מקח וממכר</w:t>
      </w:r>
      <w:r>
        <w:rPr>
          <w:rFonts w:cs="Arial" w:hint="cs"/>
          <w:sz w:val="16"/>
          <w:szCs w:val="16"/>
          <w:rtl/>
        </w:rPr>
        <w:t xml:space="preserve"> (ל' הרמב"ם)</w:t>
      </w:r>
      <w:r w:rsidRPr="00943D88">
        <w:rPr>
          <w:rFonts w:cs="Arial" w:hint="cs"/>
          <w:rtl/>
        </w:rPr>
        <w:t>.</w:t>
      </w:r>
    </w:p>
    <w:p w14:paraId="06FEB645" w14:textId="77777777" w:rsidR="00392DBB" w:rsidRDefault="00392DBB" w:rsidP="00392DBB">
      <w:pPr>
        <w:rPr>
          <w:rtl/>
        </w:rPr>
      </w:pPr>
      <w:r>
        <w:rPr>
          <w:rFonts w:cs="Arial" w:hint="cs"/>
          <w:b/>
          <w:bCs/>
          <w:rtl/>
        </w:rPr>
        <w:t xml:space="preserve">ירושלמי </w:t>
      </w:r>
      <w:r w:rsidRPr="00C46108">
        <w:rPr>
          <w:rFonts w:cs="Arial" w:hint="cs"/>
          <w:b/>
          <w:bCs/>
          <w:rtl/>
        </w:rPr>
        <w:t xml:space="preserve">כתובות </w:t>
      </w:r>
      <w:r>
        <w:rPr>
          <w:rFonts w:cs="Arial" w:hint="cs"/>
          <w:b/>
          <w:bCs/>
          <w:rtl/>
        </w:rPr>
        <w:t>פי"ב ה"א</w:t>
      </w:r>
      <w:r w:rsidRPr="00C46108">
        <w:rPr>
          <w:rFonts w:cs="Arial" w:hint="cs"/>
          <w:b/>
          <w:bCs/>
          <w:rtl/>
        </w:rPr>
        <w:t>:</w:t>
      </w:r>
      <w:r>
        <w:rPr>
          <w:rFonts w:cs="Arial" w:hint="cs"/>
          <w:rtl/>
        </w:rPr>
        <w:t xml:space="preserve"> </w:t>
      </w:r>
      <w:r w:rsidRPr="00986539">
        <w:rPr>
          <w:rFonts w:cs="Arial"/>
          <w:rtl/>
        </w:rPr>
        <w:t>תני</w:t>
      </w:r>
      <w:r>
        <w:rPr>
          <w:rFonts w:cs="Arial" w:hint="cs"/>
          <w:rtl/>
        </w:rPr>
        <w:t>:</w:t>
      </w:r>
      <w:r w:rsidRPr="00986539">
        <w:rPr>
          <w:rFonts w:cs="Arial"/>
          <w:rtl/>
        </w:rPr>
        <w:t xml:space="preserve"> זנה חמש שנים הראשונים בין ביוקר בין בזול</w:t>
      </w:r>
      <w:r>
        <w:rPr>
          <w:rFonts w:cs="Arial" w:hint="cs"/>
          <w:rtl/>
        </w:rPr>
        <w:t>.</w:t>
      </w:r>
      <w:r w:rsidRPr="00986539">
        <w:rPr>
          <w:rFonts w:cs="Arial"/>
          <w:rtl/>
        </w:rPr>
        <w:t xml:space="preserve"> היו ביוקר והזילו</w:t>
      </w:r>
      <w:r>
        <w:rPr>
          <w:rFonts w:cs="Arial" w:hint="cs"/>
          <w:rtl/>
        </w:rPr>
        <w:t>,</w:t>
      </w:r>
      <w:r w:rsidRPr="00986539">
        <w:rPr>
          <w:rFonts w:cs="Arial"/>
          <w:rtl/>
        </w:rPr>
        <w:t xml:space="preserve"> אם הוא גרים </w:t>
      </w:r>
      <w:r>
        <w:rPr>
          <w:rFonts w:cs="Arial" w:hint="cs"/>
          <w:rtl/>
        </w:rPr>
        <w:t xml:space="preserve">- </w:t>
      </w:r>
      <w:r w:rsidRPr="00986539">
        <w:rPr>
          <w:rFonts w:cs="Arial"/>
          <w:rtl/>
        </w:rPr>
        <w:t>נותן ביוקר</w:t>
      </w:r>
      <w:r>
        <w:rPr>
          <w:rFonts w:cs="Arial" w:hint="cs"/>
          <w:rtl/>
        </w:rPr>
        <w:t>.</w:t>
      </w:r>
      <w:r w:rsidRPr="00986539">
        <w:rPr>
          <w:rFonts w:cs="Arial"/>
          <w:rtl/>
        </w:rPr>
        <w:t xml:space="preserve"> ואם היא גרמה </w:t>
      </w:r>
      <w:r>
        <w:rPr>
          <w:rFonts w:cs="Arial" w:hint="cs"/>
          <w:rtl/>
        </w:rPr>
        <w:t xml:space="preserve">- </w:t>
      </w:r>
      <w:r w:rsidRPr="00986539">
        <w:rPr>
          <w:rFonts w:cs="Arial"/>
          <w:rtl/>
        </w:rPr>
        <w:t>נותן בזול</w:t>
      </w:r>
      <w:r>
        <w:rPr>
          <w:rFonts w:cs="Arial" w:hint="cs"/>
          <w:rtl/>
        </w:rPr>
        <w:t>.</w:t>
      </w:r>
      <w:r w:rsidRPr="00986539">
        <w:rPr>
          <w:rFonts w:cs="Arial"/>
          <w:rtl/>
        </w:rPr>
        <w:t xml:space="preserve"> היו בזול והוקירו</w:t>
      </w:r>
      <w:r>
        <w:rPr>
          <w:rFonts w:cs="Arial" w:hint="cs"/>
          <w:rtl/>
        </w:rPr>
        <w:t>,</w:t>
      </w:r>
      <w:r w:rsidRPr="00986539">
        <w:rPr>
          <w:rFonts w:cs="Arial"/>
          <w:rtl/>
        </w:rPr>
        <w:t xml:space="preserve"> בין שהוא גרם בין שהיא גרמה </w:t>
      </w:r>
      <w:r>
        <w:rPr>
          <w:rFonts w:cs="Arial" w:hint="cs"/>
          <w:rtl/>
        </w:rPr>
        <w:t xml:space="preserve">- </w:t>
      </w:r>
      <w:r w:rsidRPr="00986539">
        <w:rPr>
          <w:rFonts w:cs="Arial"/>
          <w:rtl/>
        </w:rPr>
        <w:t>נותנין בזול</w:t>
      </w:r>
      <w:r>
        <w:rPr>
          <w:rFonts w:cs="Arial" w:hint="cs"/>
          <w:rtl/>
        </w:rPr>
        <w:t>.</w:t>
      </w:r>
      <w:r w:rsidRPr="0012094B">
        <w:rPr>
          <w:rtl/>
        </w:rPr>
        <w:t xml:space="preserve"> </w:t>
      </w:r>
      <w:r w:rsidRPr="0012094B">
        <w:rPr>
          <w:rFonts w:cs="Arial"/>
          <w:rtl/>
        </w:rPr>
        <w:t>הדא היא הבת לא עולה ולא יורדת</w:t>
      </w:r>
      <w:r>
        <w:rPr>
          <w:rFonts w:cs="Arial" w:hint="cs"/>
          <w:rtl/>
        </w:rPr>
        <w:t>.</w:t>
      </w:r>
      <w:r w:rsidRPr="004663D7">
        <w:rPr>
          <w:rFonts w:cs="Arial"/>
          <w:sz w:val="16"/>
          <w:szCs w:val="16"/>
          <w:rtl/>
        </w:rPr>
        <w:t xml:space="preserve"> </w:t>
      </w:r>
      <w:r>
        <w:rPr>
          <w:rFonts w:cs="Arial" w:hint="cs"/>
          <w:sz w:val="16"/>
          <w:szCs w:val="16"/>
          <w:rtl/>
        </w:rPr>
        <w:t>(</w:t>
      </w:r>
      <w:r w:rsidRPr="004663D7">
        <w:rPr>
          <w:rFonts w:cs="Arial"/>
          <w:sz w:val="16"/>
          <w:szCs w:val="16"/>
          <w:rtl/>
        </w:rPr>
        <w:t xml:space="preserve">כתבוהו הרא"ש </w:t>
      </w:r>
      <w:r>
        <w:rPr>
          <w:rFonts w:cs="Arial" w:hint="cs"/>
          <w:sz w:val="16"/>
          <w:szCs w:val="16"/>
          <w:rtl/>
        </w:rPr>
        <w:t xml:space="preserve">(סי' א) </w:t>
      </w:r>
      <w:r w:rsidRPr="004663D7">
        <w:rPr>
          <w:rFonts w:cs="Arial"/>
          <w:sz w:val="16"/>
          <w:szCs w:val="16"/>
          <w:rtl/>
        </w:rPr>
        <w:t xml:space="preserve">והר"ן </w:t>
      </w:r>
      <w:r>
        <w:rPr>
          <w:rFonts w:cs="Arial" w:hint="cs"/>
          <w:sz w:val="16"/>
          <w:szCs w:val="16"/>
          <w:rtl/>
        </w:rPr>
        <w:t xml:space="preserve">(ס:) </w:t>
      </w:r>
      <w:r w:rsidRPr="004663D7">
        <w:rPr>
          <w:rFonts w:cs="Arial"/>
          <w:sz w:val="16"/>
          <w:szCs w:val="16"/>
          <w:rtl/>
        </w:rPr>
        <w:t>ז"ל בר"פ הנושא</w:t>
      </w:r>
      <w:r>
        <w:rPr>
          <w:rFonts w:cs="Arial" w:hint="cs"/>
          <w:sz w:val="16"/>
          <w:szCs w:val="16"/>
          <w:rtl/>
        </w:rPr>
        <w:t>.</w:t>
      </w:r>
      <w:r w:rsidRPr="004663D7">
        <w:rPr>
          <w:rFonts w:cs="Arial"/>
          <w:sz w:val="16"/>
          <w:szCs w:val="16"/>
          <w:rtl/>
        </w:rPr>
        <w:t xml:space="preserve"> וכתב הרא"ש דטעמא דבסיפא אע</w:t>
      </w:r>
      <w:r>
        <w:rPr>
          <w:rFonts w:cs="Arial" w:hint="cs"/>
          <w:sz w:val="16"/>
          <w:szCs w:val="16"/>
          <w:rtl/>
        </w:rPr>
        <w:t>"</w:t>
      </w:r>
      <w:r w:rsidRPr="004663D7">
        <w:rPr>
          <w:rFonts w:cs="Arial"/>
          <w:sz w:val="16"/>
          <w:szCs w:val="16"/>
          <w:rtl/>
        </w:rPr>
        <w:t>פ שעיכב הוא אינו נותן אלא כדמי הזול מפני שאינו חייב לשלם אלא כעין שגזל דהיינו אותם שנים שהיה בזול</w:t>
      </w:r>
      <w:r>
        <w:rPr>
          <w:rFonts w:cs="Arial" w:hint="cs"/>
          <w:sz w:val="16"/>
          <w:szCs w:val="16"/>
          <w:rtl/>
        </w:rPr>
        <w:t>, ב"י)</w:t>
      </w:r>
    </w:p>
    <w:p w14:paraId="74A3320E" w14:textId="77777777" w:rsidR="00392DBB" w:rsidRPr="004663D7" w:rsidRDefault="00392DBB" w:rsidP="00392DBB">
      <w:pPr>
        <w:rPr>
          <w:u w:val="single"/>
          <w:rtl/>
        </w:rPr>
      </w:pPr>
      <w:r w:rsidRPr="004663D7">
        <w:rPr>
          <w:rFonts w:hint="cs"/>
          <w:u w:val="single"/>
          <w:rtl/>
        </w:rPr>
        <w:t>התחייב לזונה כך וכך שנים והתייקרו/הוזילו המזונות:</w:t>
      </w:r>
    </w:p>
    <w:p w14:paraId="33C43DBF" w14:textId="77777777" w:rsidR="00392DBB" w:rsidRPr="008A32F1" w:rsidRDefault="00392DBB" w:rsidP="009000E3">
      <w:pPr>
        <w:pStyle w:val="ab"/>
        <w:numPr>
          <w:ilvl w:val="0"/>
          <w:numId w:val="63"/>
        </w:numPr>
        <w:rPr>
          <w:rtl/>
        </w:rPr>
      </w:pPr>
      <w:r>
        <w:rPr>
          <w:rFonts w:cs="Arial" w:hint="cs"/>
          <w:rtl/>
        </w:rPr>
        <w:t xml:space="preserve">טור- </w:t>
      </w:r>
      <w:r w:rsidRPr="00716457">
        <w:rPr>
          <w:rFonts w:cs="Arial"/>
          <w:rtl/>
        </w:rPr>
        <w:t>וצריך לזונה ה' שנים הראשונים שאחר הנישואין בין אם המזונו</w:t>
      </w:r>
      <w:r>
        <w:rPr>
          <w:rFonts w:cs="Arial" w:hint="cs"/>
          <w:rtl/>
        </w:rPr>
        <w:t>ת</w:t>
      </w:r>
      <w:r w:rsidRPr="00716457">
        <w:rPr>
          <w:rFonts w:cs="Arial"/>
          <w:rtl/>
        </w:rPr>
        <w:t xml:space="preserve"> ביוקר או בזול</w:t>
      </w:r>
      <w:r>
        <w:rPr>
          <w:rFonts w:cs="Arial" w:hint="cs"/>
          <w:rtl/>
        </w:rPr>
        <w:t>.</w:t>
      </w:r>
      <w:r w:rsidRPr="00716457">
        <w:rPr>
          <w:rFonts w:cs="Arial"/>
          <w:rtl/>
        </w:rPr>
        <w:t xml:space="preserve"> לא זנה בהם והוזלו המזונות</w:t>
      </w:r>
      <w:r>
        <w:rPr>
          <w:rFonts w:cs="Arial" w:hint="cs"/>
          <w:rtl/>
        </w:rPr>
        <w:t>,</w:t>
      </w:r>
      <w:r w:rsidRPr="00716457">
        <w:rPr>
          <w:rFonts w:cs="Arial"/>
          <w:rtl/>
        </w:rPr>
        <w:t xml:space="preserve"> אם הוא עיכב לזונה </w:t>
      </w:r>
      <w:r>
        <w:rPr>
          <w:rFonts w:cs="Arial" w:hint="cs"/>
          <w:rtl/>
        </w:rPr>
        <w:t xml:space="preserve">- </w:t>
      </w:r>
      <w:r w:rsidRPr="00716457">
        <w:rPr>
          <w:rFonts w:cs="Arial"/>
          <w:rtl/>
        </w:rPr>
        <w:t>צריך לפרוע לה בדמים ביוקר של עכשיו</w:t>
      </w:r>
      <w:r>
        <w:rPr>
          <w:rFonts w:cs="Arial" w:hint="cs"/>
          <w:rtl/>
        </w:rPr>
        <w:t>.</w:t>
      </w:r>
      <w:r w:rsidRPr="00716457">
        <w:rPr>
          <w:rFonts w:cs="Arial"/>
          <w:rtl/>
        </w:rPr>
        <w:t xml:space="preserve"> ואם היא עכבה </w:t>
      </w:r>
      <w:r>
        <w:rPr>
          <w:rFonts w:cs="Arial" w:hint="cs"/>
          <w:rtl/>
        </w:rPr>
        <w:t xml:space="preserve">- </w:t>
      </w:r>
      <w:r w:rsidRPr="00716457">
        <w:rPr>
          <w:rFonts w:cs="Arial"/>
          <w:rtl/>
        </w:rPr>
        <w:t>אין נותנין לה אלא כדמי הזול</w:t>
      </w:r>
      <w:r>
        <w:rPr>
          <w:rFonts w:cs="Arial" w:hint="cs"/>
          <w:rtl/>
        </w:rPr>
        <w:t>.</w:t>
      </w:r>
      <w:r w:rsidRPr="00716457">
        <w:rPr>
          <w:rFonts w:cs="Arial"/>
          <w:rtl/>
        </w:rPr>
        <w:t xml:space="preserve"> היו בזול והוקרו בין שעכבה היא או הוא </w:t>
      </w:r>
      <w:r>
        <w:rPr>
          <w:rFonts w:cs="Arial" w:hint="cs"/>
          <w:rtl/>
        </w:rPr>
        <w:t xml:space="preserve">- </w:t>
      </w:r>
      <w:r w:rsidRPr="00716457">
        <w:rPr>
          <w:rFonts w:cs="Arial"/>
          <w:rtl/>
        </w:rPr>
        <w:t>אין נותן לה אלא כדמי הזול</w:t>
      </w:r>
      <w:r>
        <w:rPr>
          <w:rFonts w:cs="Arial" w:hint="cs"/>
          <w:rtl/>
        </w:rPr>
        <w:t>.</w:t>
      </w:r>
      <w:r w:rsidRPr="00716457">
        <w:rPr>
          <w:rFonts w:cs="Arial"/>
          <w:rtl/>
        </w:rPr>
        <w:t xml:space="preserve"> </w:t>
      </w:r>
      <w:r w:rsidRPr="004663D7">
        <w:rPr>
          <w:rFonts w:hint="cs"/>
          <w:color w:val="E36C0A" w:themeColor="accent6" w:themeShade="BF"/>
          <w:rtl/>
        </w:rPr>
        <w:t>(וכ"פ בשו"ע)</w:t>
      </w:r>
    </w:p>
    <w:p w14:paraId="0A818934"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67947F0" w14:textId="77777777" w:rsidR="00392DBB" w:rsidRDefault="00392DBB" w:rsidP="00392DBB">
      <w:pPr>
        <w:rPr>
          <w:rtl/>
        </w:rPr>
      </w:pPr>
      <w:r>
        <w:rPr>
          <w:rFonts w:cs="Arial"/>
          <w:rtl/>
        </w:rPr>
        <w:t>הנושא אשה, ופסקה עמו לזון את בתה ה' שנים, חייב לזונה במאכל ובמשקה</w:t>
      </w:r>
      <w:r>
        <w:rPr>
          <w:rStyle w:val="a7"/>
          <w:rFonts w:cs="Arial"/>
          <w:rtl/>
        </w:rPr>
        <w:footnoteReference w:id="2750"/>
      </w:r>
      <w:r>
        <w:rPr>
          <w:rFonts w:cs="Arial"/>
          <w:rtl/>
        </w:rPr>
        <w:t xml:space="preserve"> חמש שנים הראשונים</w:t>
      </w:r>
      <w:r>
        <w:rPr>
          <w:rStyle w:val="a7"/>
          <w:rFonts w:cs="Arial"/>
          <w:rtl/>
        </w:rPr>
        <w:footnoteReference w:id="2751"/>
      </w:r>
      <w:r>
        <w:rPr>
          <w:rFonts w:cs="Arial"/>
          <w:rtl/>
        </w:rPr>
        <w:t xml:space="preserve"> שאחר הנשואין, בין אם המזונות ביוקר או בזול. ואם לא זנה בהם, והוזלו המזונות, אם הוא עיכב</w:t>
      </w:r>
      <w:r>
        <w:rPr>
          <w:rFonts w:cs="Arial" w:hint="cs"/>
          <w:rtl/>
        </w:rPr>
        <w:t>,</w:t>
      </w:r>
      <w:r>
        <w:rPr>
          <w:rFonts w:cs="Arial"/>
          <w:rtl/>
        </w:rPr>
        <w:t xml:space="preserve"> צריך לפרוע לה</w:t>
      </w:r>
      <w:r>
        <w:rPr>
          <w:rStyle w:val="a7"/>
          <w:rFonts w:cs="Arial"/>
          <w:rtl/>
        </w:rPr>
        <w:footnoteReference w:id="2752"/>
      </w:r>
      <w:r>
        <w:rPr>
          <w:rFonts w:cs="Arial"/>
          <w:rtl/>
        </w:rPr>
        <w:t xml:space="preserve"> כזמן </w:t>
      </w:r>
      <w:r>
        <w:rPr>
          <w:rFonts w:cs="Arial"/>
          <w:rtl/>
        </w:rPr>
        <w:lastRenderedPageBreak/>
        <w:t xml:space="preserve">היוקר. ואם היא עיכבה, אינו נותן לה אלא </w:t>
      </w:r>
      <w:r>
        <w:rPr>
          <w:rFonts w:cs="Arial" w:hint="cs"/>
          <w:rtl/>
        </w:rPr>
        <w:t>כ</w:t>
      </w:r>
      <w:r>
        <w:rPr>
          <w:rFonts w:cs="Arial"/>
          <w:rtl/>
        </w:rPr>
        <w:t>זמן הזול</w:t>
      </w:r>
      <w:r>
        <w:rPr>
          <w:rStyle w:val="a7"/>
          <w:rFonts w:cs="Arial"/>
          <w:rtl/>
        </w:rPr>
        <w:footnoteReference w:id="2753"/>
      </w:r>
      <w:r>
        <w:rPr>
          <w:rFonts w:cs="Arial"/>
          <w:rtl/>
        </w:rPr>
        <w:t xml:space="preserve">. ואם היו בזול והוקרו, אפילו אם עיכב הוא, אינו נותן לה אלא כדמי הזול. </w:t>
      </w:r>
    </w:p>
    <w:p w14:paraId="15C996EF" w14:textId="77777777" w:rsidR="00392DBB" w:rsidRDefault="00392DBB" w:rsidP="00392DBB">
      <w:pPr>
        <w:rPr>
          <w:rtl/>
        </w:rPr>
      </w:pPr>
    </w:p>
    <w:p w14:paraId="71B01302" w14:textId="77777777" w:rsidR="00392DBB" w:rsidRDefault="00392DBB" w:rsidP="000F64D0">
      <w:pPr>
        <w:pStyle w:val="2"/>
        <w:rPr>
          <w:rtl/>
        </w:rPr>
      </w:pPr>
      <w:r>
        <w:rPr>
          <w:rtl/>
        </w:rPr>
        <w:t>סעיף ב</w:t>
      </w:r>
      <w:r>
        <w:rPr>
          <w:rFonts w:hint="cs"/>
          <w:rtl/>
        </w:rPr>
        <w:t>: מעשה ידיה של בת אשתו.</w:t>
      </w:r>
    </w:p>
    <w:p w14:paraId="0AD618CF" w14:textId="3A5742AD" w:rsidR="00392DBB" w:rsidRDefault="00392DBB" w:rsidP="00392DBB">
      <w:pPr>
        <w:rPr>
          <w:rtl/>
        </w:rPr>
      </w:pPr>
      <w:r>
        <w:rPr>
          <w:rFonts w:cs="Arial" w:hint="cs"/>
          <w:b/>
          <w:bCs/>
          <w:rtl/>
        </w:rPr>
        <w:t xml:space="preserve">ירושלמי </w:t>
      </w:r>
      <w:r w:rsidRPr="00C46108">
        <w:rPr>
          <w:rFonts w:cs="Arial" w:hint="cs"/>
          <w:b/>
          <w:bCs/>
          <w:rtl/>
        </w:rPr>
        <w:t xml:space="preserve">כתובות </w:t>
      </w:r>
      <w:r>
        <w:rPr>
          <w:rFonts w:cs="Arial" w:hint="cs"/>
          <w:b/>
          <w:bCs/>
          <w:rtl/>
        </w:rPr>
        <w:t>פי"ב ה"א</w:t>
      </w:r>
      <w:r w:rsidRPr="00C46108">
        <w:rPr>
          <w:rFonts w:cs="Arial" w:hint="cs"/>
          <w:b/>
          <w:bCs/>
          <w:rtl/>
        </w:rPr>
        <w:t>:</w:t>
      </w:r>
      <w:r>
        <w:rPr>
          <w:rFonts w:cs="Arial" w:hint="cs"/>
          <w:rtl/>
        </w:rPr>
        <w:t xml:space="preserve"> </w:t>
      </w:r>
      <w:r w:rsidRPr="00C81756">
        <w:rPr>
          <w:rFonts w:cs="Arial"/>
          <w:rtl/>
        </w:rPr>
        <w:t>מעשה ידי הבת</w:t>
      </w:r>
      <w:r>
        <w:rPr>
          <w:rStyle w:val="a7"/>
          <w:rFonts w:cs="Arial"/>
          <w:rtl/>
        </w:rPr>
        <w:footnoteReference w:id="2754"/>
      </w:r>
      <w:r w:rsidRPr="00C81756">
        <w:rPr>
          <w:rFonts w:cs="Arial"/>
          <w:rtl/>
        </w:rPr>
        <w:t xml:space="preserve"> של מי</w:t>
      </w:r>
      <w:r>
        <w:rPr>
          <w:rFonts w:cs="Arial" w:hint="cs"/>
          <w:rtl/>
        </w:rPr>
        <w:t>?</w:t>
      </w:r>
      <w:r w:rsidRPr="00C81756">
        <w:rPr>
          <w:rFonts w:cs="Arial"/>
          <w:rtl/>
        </w:rPr>
        <w:t xml:space="preserve"> נישמעינה מן הדא</w:t>
      </w:r>
      <w:r>
        <w:rPr>
          <w:rFonts w:cs="Arial" w:hint="cs"/>
          <w:rtl/>
        </w:rPr>
        <w:t>:</w:t>
      </w:r>
      <w:r w:rsidRPr="00C81756">
        <w:rPr>
          <w:rFonts w:cs="Arial"/>
          <w:rtl/>
        </w:rPr>
        <w:t xml:space="preserve"> נישאת</w:t>
      </w:r>
      <w:r>
        <w:rPr>
          <w:rFonts w:cs="Arial" w:hint="cs"/>
          <w:rtl/>
        </w:rPr>
        <w:t>,</w:t>
      </w:r>
      <w:r w:rsidRPr="00C81756">
        <w:rPr>
          <w:rFonts w:cs="Arial"/>
          <w:rtl/>
        </w:rPr>
        <w:t xml:space="preserve"> הבעל חייב במזונותיה</w:t>
      </w:r>
      <w:r>
        <w:rPr>
          <w:rFonts w:cs="Arial" w:hint="cs"/>
          <w:rtl/>
        </w:rPr>
        <w:t>,</w:t>
      </w:r>
      <w:r w:rsidRPr="00C81756">
        <w:rPr>
          <w:rFonts w:cs="Arial"/>
          <w:rtl/>
        </w:rPr>
        <w:t xml:space="preserve"> והן נותנין לה דמי מזונות</w:t>
      </w:r>
      <w:r>
        <w:rPr>
          <w:rFonts w:cs="Arial" w:hint="cs"/>
          <w:rtl/>
        </w:rPr>
        <w:t>.</w:t>
      </w:r>
      <w:r w:rsidRPr="00C81756">
        <w:rPr>
          <w:rFonts w:cs="Arial"/>
          <w:rtl/>
        </w:rPr>
        <w:t xml:space="preserve"> הדא אמרה</w:t>
      </w:r>
      <w:r>
        <w:rPr>
          <w:rStyle w:val="a7"/>
          <w:rFonts w:cs="Arial"/>
          <w:rtl/>
        </w:rPr>
        <w:footnoteReference w:id="2755"/>
      </w:r>
      <w:r>
        <w:rPr>
          <w:rFonts w:cs="Arial" w:hint="cs"/>
          <w:rtl/>
        </w:rPr>
        <w:t xml:space="preserve"> -</w:t>
      </w:r>
      <w:r w:rsidRPr="00C81756">
        <w:rPr>
          <w:rFonts w:cs="Arial"/>
          <w:rtl/>
        </w:rPr>
        <w:t xml:space="preserve"> זנה ומעשה ידיה של בעלה</w:t>
      </w:r>
      <w:r>
        <w:rPr>
          <w:rFonts w:cs="Arial" w:hint="cs"/>
          <w:rtl/>
        </w:rPr>
        <w:t>.</w:t>
      </w:r>
      <w:r w:rsidRPr="00C81756">
        <w:rPr>
          <w:rFonts w:cs="Arial"/>
          <w:rtl/>
        </w:rPr>
        <w:t xml:space="preserve"> </w:t>
      </w:r>
      <w:r w:rsidRPr="00C81756">
        <w:rPr>
          <w:rFonts w:cs="Arial"/>
          <w:u w:val="single"/>
          <w:rtl/>
        </w:rPr>
        <w:t>אמר ר' יוסי</w:t>
      </w:r>
      <w:r>
        <w:rPr>
          <w:rFonts w:cs="Arial" w:hint="cs"/>
          <w:rtl/>
        </w:rPr>
        <w:t>:</w:t>
      </w:r>
      <w:r w:rsidRPr="00C81756">
        <w:rPr>
          <w:rFonts w:cs="Arial"/>
          <w:rtl/>
        </w:rPr>
        <w:t xml:space="preserve"> הדא אמרה</w:t>
      </w:r>
      <w:r>
        <w:rPr>
          <w:rFonts w:cs="Arial" w:hint="cs"/>
          <w:rtl/>
        </w:rPr>
        <w:t>:</w:t>
      </w:r>
      <w:r w:rsidRPr="00C81756">
        <w:rPr>
          <w:rFonts w:cs="Arial"/>
          <w:rtl/>
        </w:rPr>
        <w:t xml:space="preserve"> פסק לזון כלתו</w:t>
      </w:r>
      <w:r>
        <w:rPr>
          <w:rFonts w:cs="Arial" w:hint="cs"/>
          <w:rtl/>
        </w:rPr>
        <w:t xml:space="preserve"> </w:t>
      </w:r>
      <w:r w:rsidR="00F97626">
        <w:rPr>
          <w:rFonts w:cs="Arial"/>
          <w:rtl/>
        </w:rPr>
        <w:t>-</w:t>
      </w:r>
      <w:r w:rsidRPr="00C81756">
        <w:rPr>
          <w:rFonts w:cs="Arial"/>
          <w:rtl/>
        </w:rPr>
        <w:t xml:space="preserve"> זנה</w:t>
      </w:r>
      <w:r>
        <w:rPr>
          <w:rFonts w:cs="Arial" w:hint="cs"/>
          <w:rtl/>
        </w:rPr>
        <w:t>,</w:t>
      </w:r>
      <w:r w:rsidRPr="00C81756">
        <w:rPr>
          <w:rFonts w:cs="Arial"/>
          <w:rtl/>
        </w:rPr>
        <w:t xml:space="preserve"> ומעשה ידיה של בנו</w:t>
      </w:r>
      <w:r>
        <w:rPr>
          <w:rFonts w:cs="Arial" w:hint="cs"/>
          <w:rtl/>
        </w:rPr>
        <w:t>.</w:t>
      </w:r>
      <w:r w:rsidRPr="00C81756">
        <w:rPr>
          <w:rFonts w:cs="Arial" w:hint="cs"/>
          <w:sz w:val="16"/>
          <w:szCs w:val="16"/>
          <w:rtl/>
        </w:rPr>
        <w:t xml:space="preserve"> </w:t>
      </w:r>
      <w:r>
        <w:rPr>
          <w:rFonts w:cs="Arial" w:hint="cs"/>
          <w:sz w:val="16"/>
          <w:szCs w:val="16"/>
          <w:rtl/>
        </w:rPr>
        <w:t>(</w:t>
      </w:r>
      <w:r w:rsidRPr="00C81756">
        <w:rPr>
          <w:rFonts w:cs="Arial" w:hint="cs"/>
          <w:sz w:val="16"/>
          <w:szCs w:val="16"/>
          <w:rtl/>
        </w:rPr>
        <w:t>ו</w:t>
      </w:r>
      <w:r w:rsidRPr="00C81756">
        <w:rPr>
          <w:rFonts w:cs="Arial"/>
          <w:sz w:val="16"/>
          <w:szCs w:val="16"/>
          <w:rtl/>
        </w:rPr>
        <w:t xml:space="preserve">כתבו הרא"ש </w:t>
      </w:r>
      <w:r>
        <w:rPr>
          <w:rFonts w:cs="Arial" w:hint="cs"/>
          <w:sz w:val="16"/>
          <w:szCs w:val="16"/>
          <w:rtl/>
        </w:rPr>
        <w:t>(פ' הנושא סי' א)</w:t>
      </w:r>
      <w:r w:rsidRPr="00C81756">
        <w:rPr>
          <w:rFonts w:cs="Arial" w:hint="cs"/>
          <w:sz w:val="16"/>
          <w:szCs w:val="16"/>
          <w:rtl/>
        </w:rPr>
        <w:t>.</w:t>
      </w:r>
      <w:r w:rsidRPr="00C81756">
        <w:rPr>
          <w:rFonts w:cs="Arial"/>
          <w:sz w:val="16"/>
          <w:szCs w:val="16"/>
          <w:rtl/>
        </w:rPr>
        <w:t xml:space="preserve"> והריב"ש </w:t>
      </w:r>
      <w:r>
        <w:rPr>
          <w:rFonts w:cs="Arial" w:hint="cs"/>
          <w:sz w:val="16"/>
          <w:szCs w:val="16"/>
          <w:rtl/>
        </w:rPr>
        <w:t>(</w:t>
      </w:r>
      <w:r w:rsidRPr="00C81756">
        <w:rPr>
          <w:rFonts w:cs="Arial"/>
          <w:sz w:val="16"/>
          <w:szCs w:val="16"/>
          <w:rtl/>
        </w:rPr>
        <w:t>בתשו</w:t>
      </w:r>
      <w:r>
        <w:rPr>
          <w:rFonts w:cs="Arial" w:hint="cs"/>
          <w:sz w:val="16"/>
          <w:szCs w:val="16"/>
          <w:rtl/>
        </w:rPr>
        <w:t>'</w:t>
      </w:r>
      <w:r w:rsidRPr="00C81756">
        <w:rPr>
          <w:rFonts w:cs="Arial"/>
          <w:sz w:val="16"/>
          <w:szCs w:val="16"/>
          <w:rtl/>
        </w:rPr>
        <w:t xml:space="preserve"> סי</w:t>
      </w:r>
      <w:r>
        <w:rPr>
          <w:rFonts w:cs="Arial" w:hint="cs"/>
          <w:sz w:val="16"/>
          <w:szCs w:val="16"/>
          <w:rtl/>
        </w:rPr>
        <w:t>'</w:t>
      </w:r>
      <w:r w:rsidRPr="00C81756">
        <w:rPr>
          <w:rFonts w:cs="Arial"/>
          <w:sz w:val="16"/>
          <w:szCs w:val="16"/>
          <w:rtl/>
        </w:rPr>
        <w:t xml:space="preserve"> תפ</w:t>
      </w:r>
      <w:r>
        <w:rPr>
          <w:rFonts w:cs="Arial" w:hint="cs"/>
          <w:sz w:val="16"/>
          <w:szCs w:val="16"/>
          <w:rtl/>
        </w:rPr>
        <w:t>)</w:t>
      </w:r>
      <w:r w:rsidRPr="00C81756">
        <w:rPr>
          <w:rFonts w:cs="Arial"/>
          <w:sz w:val="16"/>
          <w:szCs w:val="16"/>
          <w:rtl/>
        </w:rPr>
        <w:t xml:space="preserve"> כתבו בשם התוספתא (כתובות פ"י ה"ג) ונתן טעם לדבר</w:t>
      </w:r>
      <w:r>
        <w:rPr>
          <w:rFonts w:cs="Arial" w:hint="cs"/>
          <w:sz w:val="16"/>
          <w:szCs w:val="16"/>
          <w:rtl/>
        </w:rPr>
        <w:t>, ב"י)</w:t>
      </w:r>
    </w:p>
    <w:p w14:paraId="52827206" w14:textId="77777777" w:rsidR="00392DBB" w:rsidRPr="00C81756" w:rsidRDefault="00392DBB" w:rsidP="00392DBB">
      <w:pPr>
        <w:rPr>
          <w:rtl/>
        </w:rPr>
      </w:pPr>
      <w:r w:rsidRPr="00CF5559">
        <w:rPr>
          <w:rFonts w:cs="Arial" w:hint="cs"/>
          <w:b/>
          <w:bCs/>
          <w:rtl/>
        </w:rPr>
        <w:t>תוספתא כתובות פ"י ה"ב:</w:t>
      </w:r>
      <w:r>
        <w:rPr>
          <w:rFonts w:cs="Arial" w:hint="cs"/>
          <w:rtl/>
        </w:rPr>
        <w:t xml:space="preserve"> </w:t>
      </w:r>
      <w:r w:rsidRPr="00CF5559">
        <w:rPr>
          <w:rFonts w:cs="Arial"/>
          <w:rtl/>
        </w:rPr>
        <w:t xml:space="preserve">כתב לזון את בת אשתו ואת בן אשתו </w:t>
      </w:r>
      <w:r>
        <w:rPr>
          <w:rFonts w:cs="Arial" w:hint="cs"/>
          <w:rtl/>
        </w:rPr>
        <w:t xml:space="preserve">- </w:t>
      </w:r>
      <w:r w:rsidRPr="00CF5559">
        <w:rPr>
          <w:rFonts w:cs="Arial"/>
          <w:rtl/>
        </w:rPr>
        <w:t>הרי הן כבעלי חוב וקודמין לכל</w:t>
      </w:r>
      <w:r>
        <w:rPr>
          <w:rFonts w:cs="Arial" w:hint="cs"/>
          <w:rtl/>
        </w:rPr>
        <w:t>.</w:t>
      </w:r>
      <w:r w:rsidRPr="00CF5559">
        <w:rPr>
          <w:rFonts w:cs="Arial"/>
          <w:rtl/>
        </w:rPr>
        <w:t xml:space="preserve"> לא יאמר להן צאו ועשו מלאכה ואני זן אתכם</w:t>
      </w:r>
      <w:r>
        <w:rPr>
          <w:rFonts w:cs="Arial" w:hint="cs"/>
          <w:rtl/>
        </w:rPr>
        <w:t>,</w:t>
      </w:r>
      <w:r w:rsidRPr="00CF5559">
        <w:rPr>
          <w:rFonts w:cs="Arial"/>
          <w:rtl/>
        </w:rPr>
        <w:t xml:space="preserve"> אלא יושבין ומעלה להן מזונות</w:t>
      </w:r>
      <w:r>
        <w:rPr>
          <w:rFonts w:hint="cs"/>
          <w:rtl/>
        </w:rPr>
        <w:t>...</w:t>
      </w:r>
    </w:p>
    <w:p w14:paraId="715D2C30" w14:textId="2F9F0B7A" w:rsidR="00392DBB" w:rsidRPr="00E931A9" w:rsidRDefault="00392DBB" w:rsidP="00392DBB">
      <w:pPr>
        <w:rPr>
          <w:u w:val="single"/>
          <w:rtl/>
        </w:rPr>
      </w:pPr>
      <w:r w:rsidRPr="00E931A9">
        <w:rPr>
          <w:rFonts w:hint="cs"/>
          <w:u w:val="single"/>
          <w:rtl/>
        </w:rPr>
        <w:t xml:space="preserve">כשהוא זן את בת אשתו </w:t>
      </w:r>
      <w:r w:rsidR="00F97626">
        <w:rPr>
          <w:u w:val="single"/>
          <w:rtl/>
        </w:rPr>
        <w:t>-</w:t>
      </w:r>
      <w:r w:rsidRPr="00E931A9">
        <w:rPr>
          <w:rFonts w:hint="cs"/>
          <w:u w:val="single"/>
          <w:rtl/>
        </w:rPr>
        <w:t xml:space="preserve"> למי שיי</w:t>
      </w:r>
      <w:r>
        <w:rPr>
          <w:rFonts w:hint="cs"/>
          <w:u w:val="single"/>
          <w:rtl/>
        </w:rPr>
        <w:t>כ</w:t>
      </w:r>
      <w:r w:rsidRPr="00E931A9">
        <w:rPr>
          <w:rFonts w:hint="cs"/>
          <w:u w:val="single"/>
          <w:rtl/>
        </w:rPr>
        <w:t>ים מעשה ידיה:</w:t>
      </w:r>
    </w:p>
    <w:p w14:paraId="1E752FBD" w14:textId="77777777" w:rsidR="00392DBB" w:rsidRPr="00716457" w:rsidRDefault="00392DBB" w:rsidP="009000E3">
      <w:pPr>
        <w:pStyle w:val="ab"/>
        <w:numPr>
          <w:ilvl w:val="0"/>
          <w:numId w:val="63"/>
        </w:numPr>
        <w:rPr>
          <w:rtl/>
        </w:rPr>
      </w:pPr>
      <w:r>
        <w:rPr>
          <w:rFonts w:hint="cs"/>
          <w:rtl/>
        </w:rPr>
        <w:t>טור-</w:t>
      </w:r>
      <w:r>
        <w:rPr>
          <w:rFonts w:cs="Arial" w:hint="cs"/>
          <w:rtl/>
        </w:rPr>
        <w:t xml:space="preserve"> </w:t>
      </w:r>
      <w:r w:rsidRPr="00716457">
        <w:rPr>
          <w:rFonts w:cs="Arial"/>
          <w:rtl/>
        </w:rPr>
        <w:t>ומעשה ידיה שלה אף על פי שזנה</w:t>
      </w:r>
      <w:r>
        <w:rPr>
          <w:rFonts w:cs="Arial" w:hint="cs"/>
          <w:rtl/>
        </w:rPr>
        <w:t>.</w:t>
      </w:r>
      <w:r w:rsidRPr="00716457">
        <w:rPr>
          <w:rFonts w:cs="Arial"/>
          <w:rtl/>
        </w:rPr>
        <w:t xml:space="preserve"> </w:t>
      </w:r>
      <w:r w:rsidRPr="004663D7">
        <w:rPr>
          <w:rFonts w:hint="cs"/>
          <w:color w:val="E36C0A" w:themeColor="accent6" w:themeShade="BF"/>
          <w:rtl/>
        </w:rPr>
        <w:t>(וכ"פ בשו"ע)</w:t>
      </w:r>
    </w:p>
    <w:p w14:paraId="10B53AB5" w14:textId="77777777" w:rsidR="00392DBB" w:rsidRPr="008A32F1"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399EB74" w14:textId="77777777" w:rsidR="00392DBB" w:rsidRDefault="00392DBB" w:rsidP="00392DBB">
      <w:pPr>
        <w:rPr>
          <w:rFonts w:cs="Arial"/>
          <w:rtl/>
        </w:rPr>
      </w:pPr>
      <w:r>
        <w:rPr>
          <w:rFonts w:cs="Arial"/>
          <w:rtl/>
        </w:rPr>
        <w:t>אף על פי שהוא זנה, מעשה ידיה שלה</w:t>
      </w:r>
      <w:r>
        <w:rPr>
          <w:rStyle w:val="a7"/>
          <w:rFonts w:cs="Arial"/>
          <w:rtl/>
        </w:rPr>
        <w:footnoteReference w:id="2756"/>
      </w:r>
      <w:r>
        <w:rPr>
          <w:rFonts w:cs="Arial"/>
          <w:rtl/>
        </w:rPr>
        <w:t xml:space="preserve">. </w:t>
      </w:r>
    </w:p>
    <w:p w14:paraId="12EA6F60" w14:textId="77777777" w:rsidR="00392DBB" w:rsidRDefault="00392DBB" w:rsidP="00392DBB">
      <w:pPr>
        <w:rPr>
          <w:rtl/>
        </w:rPr>
      </w:pPr>
    </w:p>
    <w:p w14:paraId="46BF6C1F" w14:textId="77777777" w:rsidR="00392DBB" w:rsidRDefault="00392DBB" w:rsidP="000F64D0">
      <w:pPr>
        <w:pStyle w:val="2"/>
        <w:rPr>
          <w:rtl/>
        </w:rPr>
      </w:pPr>
      <w:r>
        <w:rPr>
          <w:rtl/>
        </w:rPr>
        <w:t>סעיף ג</w:t>
      </w:r>
      <w:r>
        <w:rPr>
          <w:rFonts w:hint="cs"/>
          <w:rtl/>
        </w:rPr>
        <w:t>: אשה שויתרה לבעל על מזונות הבת.</w:t>
      </w:r>
    </w:p>
    <w:p w14:paraId="38A3CE95" w14:textId="77777777" w:rsidR="00392DBB" w:rsidRDefault="00392DBB" w:rsidP="00392DBB">
      <w:pPr>
        <w:rPr>
          <w:rtl/>
        </w:rPr>
      </w:pPr>
      <w:r w:rsidRPr="00CF5559">
        <w:rPr>
          <w:rFonts w:cs="Arial" w:hint="cs"/>
          <w:b/>
          <w:bCs/>
          <w:rtl/>
        </w:rPr>
        <w:t>תוספתא כתובות פ"י ה"ב:</w:t>
      </w:r>
      <w:r>
        <w:rPr>
          <w:rFonts w:cs="Arial" w:hint="cs"/>
          <w:rtl/>
        </w:rPr>
        <w:t xml:space="preserve"> </w:t>
      </w:r>
      <w:r w:rsidRPr="00CF5559">
        <w:rPr>
          <w:rFonts w:cs="Arial"/>
          <w:rtl/>
        </w:rPr>
        <w:t>כתב לזון את בת אשתו ושברה לו לא כל הימנו שזכין לקטן ואין חבין לו</w:t>
      </w:r>
      <w:r>
        <w:rPr>
          <w:rFonts w:hint="cs"/>
          <w:rtl/>
        </w:rPr>
        <w:t>.</w:t>
      </w:r>
      <w:r>
        <w:rPr>
          <w:rFonts w:cs="Arial" w:hint="cs"/>
          <w:rtl/>
        </w:rPr>
        <w:t xml:space="preserve"> </w:t>
      </w:r>
      <w:r>
        <w:rPr>
          <w:rFonts w:cs="Arial" w:hint="cs"/>
          <w:sz w:val="16"/>
          <w:szCs w:val="16"/>
          <w:rtl/>
        </w:rPr>
        <w:t>(</w:t>
      </w:r>
      <w:r w:rsidRPr="00C81756">
        <w:rPr>
          <w:rFonts w:cs="Arial"/>
          <w:sz w:val="16"/>
          <w:szCs w:val="16"/>
          <w:rtl/>
        </w:rPr>
        <w:t>כתב</w:t>
      </w:r>
      <w:r>
        <w:rPr>
          <w:rFonts w:cs="Arial" w:hint="cs"/>
          <w:sz w:val="16"/>
          <w:szCs w:val="16"/>
          <w:rtl/>
        </w:rPr>
        <w:t>ה</w:t>
      </w:r>
      <w:r w:rsidRPr="00C81756">
        <w:rPr>
          <w:rFonts w:cs="Arial"/>
          <w:sz w:val="16"/>
          <w:szCs w:val="16"/>
          <w:rtl/>
        </w:rPr>
        <w:t xml:space="preserve"> הרא"ש </w:t>
      </w:r>
      <w:r>
        <w:rPr>
          <w:rFonts w:cs="Arial" w:hint="cs"/>
          <w:sz w:val="16"/>
          <w:szCs w:val="16"/>
          <w:rtl/>
        </w:rPr>
        <w:t>(פ' הנושא סי' א), ב"י)</w:t>
      </w:r>
    </w:p>
    <w:p w14:paraId="7F39047D" w14:textId="77777777" w:rsidR="00392DBB" w:rsidRPr="00CF5559" w:rsidRDefault="00392DBB" w:rsidP="00392DBB">
      <w:pPr>
        <w:rPr>
          <w:u w:val="single"/>
          <w:rtl/>
        </w:rPr>
      </w:pPr>
      <w:r w:rsidRPr="00CF5559">
        <w:rPr>
          <w:rFonts w:hint="cs"/>
          <w:u w:val="single"/>
          <w:rtl/>
        </w:rPr>
        <w:t xml:space="preserve">אשה שויתרה לבעל על מזונות </w:t>
      </w:r>
      <w:r>
        <w:rPr>
          <w:rFonts w:hint="cs"/>
          <w:u w:val="single"/>
          <w:rtl/>
        </w:rPr>
        <w:t>הבת</w:t>
      </w:r>
      <w:r w:rsidRPr="00CF5559">
        <w:rPr>
          <w:rFonts w:hint="cs"/>
          <w:u w:val="single"/>
          <w:rtl/>
        </w:rPr>
        <w:t>:</w:t>
      </w:r>
    </w:p>
    <w:p w14:paraId="496E31DC" w14:textId="77777777" w:rsidR="00392DBB" w:rsidRPr="00696880" w:rsidRDefault="00392DBB" w:rsidP="009000E3">
      <w:pPr>
        <w:pStyle w:val="ab"/>
        <w:numPr>
          <w:ilvl w:val="0"/>
          <w:numId w:val="63"/>
        </w:numPr>
      </w:pPr>
      <w:r>
        <w:rPr>
          <w:rFonts w:hint="cs"/>
          <w:rtl/>
        </w:rPr>
        <w:t>טור-</w:t>
      </w:r>
      <w:r>
        <w:rPr>
          <w:rFonts w:cs="Arial" w:hint="cs"/>
          <w:rtl/>
        </w:rPr>
        <w:t xml:space="preserve"> </w:t>
      </w:r>
      <w:r w:rsidRPr="00716457">
        <w:rPr>
          <w:rFonts w:cs="Arial"/>
          <w:rtl/>
        </w:rPr>
        <w:t>ואם האם פוטרת אותו מלזונה אחר שפסקה עמו לזונה</w:t>
      </w:r>
      <w:r>
        <w:rPr>
          <w:rFonts w:cs="Arial" w:hint="cs"/>
          <w:rtl/>
        </w:rPr>
        <w:t xml:space="preserve"> -</w:t>
      </w:r>
      <w:r w:rsidRPr="00716457">
        <w:rPr>
          <w:rFonts w:cs="Arial"/>
          <w:rtl/>
        </w:rPr>
        <w:t xml:space="preserve"> אין שומעין לה</w:t>
      </w:r>
      <w:r>
        <w:rPr>
          <w:rFonts w:cs="Arial" w:hint="cs"/>
          <w:rtl/>
        </w:rPr>
        <w:t>,</w:t>
      </w:r>
      <w:r w:rsidRPr="00716457">
        <w:rPr>
          <w:rFonts w:cs="Arial"/>
          <w:rtl/>
        </w:rPr>
        <w:t xml:space="preserve"> דלאו כל כמינה להפסיד בתה</w:t>
      </w:r>
      <w:r>
        <w:rPr>
          <w:rFonts w:cs="Arial" w:hint="cs"/>
          <w:rtl/>
        </w:rPr>
        <w:t>.</w:t>
      </w:r>
      <w:r w:rsidRPr="00716457">
        <w:rPr>
          <w:rFonts w:cs="Arial"/>
          <w:rtl/>
        </w:rPr>
        <w:t xml:space="preserve"> </w:t>
      </w:r>
      <w:r w:rsidRPr="004663D7">
        <w:rPr>
          <w:rFonts w:hint="cs"/>
          <w:color w:val="E36C0A" w:themeColor="accent6" w:themeShade="BF"/>
          <w:rtl/>
        </w:rPr>
        <w:t>(וכ"פ בשו"ע)</w:t>
      </w:r>
    </w:p>
    <w:p w14:paraId="237BA7E7"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9E520BC" w14:textId="14C93EDA" w:rsidR="00392DBB" w:rsidRDefault="00392DBB" w:rsidP="00392DBB">
      <w:pPr>
        <w:rPr>
          <w:rtl/>
        </w:rPr>
      </w:pPr>
      <w:r>
        <w:rPr>
          <w:rFonts w:cs="Arial"/>
          <w:rtl/>
        </w:rPr>
        <w:t>אם האם פטר</w:t>
      </w:r>
      <w:r w:rsidR="00652B8E">
        <w:rPr>
          <w:rFonts w:cs="Arial" w:hint="cs"/>
          <w:rtl/>
        </w:rPr>
        <w:t>ת</w:t>
      </w:r>
      <w:r>
        <w:rPr>
          <w:rFonts w:cs="Arial"/>
          <w:rtl/>
        </w:rPr>
        <w:t>ו מלזונה, אין הפיטור כלום</w:t>
      </w:r>
      <w:r>
        <w:rPr>
          <w:rStyle w:val="a7"/>
          <w:rFonts w:cs="Arial"/>
          <w:rtl/>
        </w:rPr>
        <w:footnoteReference w:id="2757"/>
      </w:r>
      <w:r>
        <w:rPr>
          <w:rFonts w:cs="Arial"/>
          <w:rtl/>
        </w:rPr>
        <w:t xml:space="preserve">. </w:t>
      </w:r>
    </w:p>
    <w:p w14:paraId="4625A1A4" w14:textId="77777777" w:rsidR="00392DBB" w:rsidRDefault="00392DBB" w:rsidP="00392DBB">
      <w:pPr>
        <w:rPr>
          <w:rtl/>
        </w:rPr>
      </w:pPr>
    </w:p>
    <w:p w14:paraId="2CB6E626" w14:textId="77777777" w:rsidR="00392DBB" w:rsidRDefault="00392DBB" w:rsidP="000F64D0">
      <w:pPr>
        <w:pStyle w:val="2"/>
        <w:rPr>
          <w:rtl/>
        </w:rPr>
      </w:pPr>
      <w:r>
        <w:rPr>
          <w:rtl/>
        </w:rPr>
        <w:lastRenderedPageBreak/>
        <w:t>סעיף ד</w:t>
      </w:r>
      <w:r>
        <w:rPr>
          <w:rFonts w:hint="cs"/>
          <w:rtl/>
        </w:rPr>
        <w:t>: פסק לבת אשתו מזונות, ומת.</w:t>
      </w:r>
    </w:p>
    <w:p w14:paraId="7FA803E9" w14:textId="77777777" w:rsidR="00392DBB" w:rsidRDefault="00392DBB" w:rsidP="00392DBB">
      <w:pPr>
        <w:rPr>
          <w:rtl/>
        </w:rPr>
      </w:pPr>
      <w:r w:rsidRPr="00C46108">
        <w:rPr>
          <w:rFonts w:cs="Arial" w:hint="cs"/>
          <w:b/>
          <w:bCs/>
          <w:rtl/>
        </w:rPr>
        <w:t xml:space="preserve">כתובות </w:t>
      </w:r>
      <w:r>
        <w:rPr>
          <w:rFonts w:cs="Arial" w:hint="cs"/>
          <w:b/>
          <w:bCs/>
          <w:sz w:val="16"/>
          <w:szCs w:val="16"/>
          <w:rtl/>
        </w:rPr>
        <w:t xml:space="preserve">(ר"פ הנושא) </w:t>
      </w:r>
      <w:r w:rsidRPr="00C46108">
        <w:rPr>
          <w:rFonts w:cs="Arial" w:hint="cs"/>
          <w:b/>
          <w:bCs/>
          <w:rtl/>
        </w:rPr>
        <w:t>קא</w:t>
      </w:r>
      <w:r>
        <w:rPr>
          <w:rStyle w:val="a7"/>
          <w:rFonts w:cs="Arial"/>
          <w:b/>
          <w:bCs/>
          <w:rtl/>
        </w:rPr>
        <w:footnoteReference w:id="2758"/>
      </w:r>
      <w:r w:rsidRPr="00C46108">
        <w:rPr>
          <w:rFonts w:cs="Arial" w:hint="cs"/>
          <w:b/>
          <w:bCs/>
          <w:rtl/>
        </w:rPr>
        <w:t xml:space="preserve"> ע"ב:</w:t>
      </w:r>
      <w:r>
        <w:rPr>
          <w:rFonts w:cs="Arial" w:hint="cs"/>
          <w:rtl/>
        </w:rPr>
        <w:t xml:space="preserve"> </w:t>
      </w:r>
      <w:r w:rsidRPr="005234DA">
        <w:rPr>
          <w:rFonts w:cs="Arial"/>
          <w:u w:val="double"/>
          <w:rtl/>
        </w:rPr>
        <w:t>מתני'</w:t>
      </w:r>
      <w:r>
        <w:rPr>
          <w:rFonts w:cs="Arial" w:hint="cs"/>
          <w:rtl/>
        </w:rPr>
        <w:t>:</w:t>
      </w:r>
      <w:r w:rsidRPr="00B44A91">
        <w:rPr>
          <w:rFonts w:cs="Arial"/>
          <w:rtl/>
        </w:rPr>
        <w:t xml:space="preserve"> הנושא את האשה, ופסקה עמו כדי שיזון את בתה חמש שנים - חייב לזונה חמש שנים</w:t>
      </w:r>
      <w:r>
        <w:rPr>
          <w:rFonts w:cs="Arial" w:hint="cs"/>
          <w:rtl/>
        </w:rPr>
        <w:t>...</w:t>
      </w:r>
      <w:r w:rsidRPr="002F224D">
        <w:rPr>
          <w:rFonts w:cs="Arial"/>
          <w:rtl/>
        </w:rPr>
        <w:t xml:space="preserve"> מתו - בנותיהן ניזונות מנכסים בני חורין, והיא ניזונת מנכסים משועבדים, מפני שהיא כבעלת חוב.</w:t>
      </w:r>
    </w:p>
    <w:p w14:paraId="6BAB061E" w14:textId="77777777" w:rsidR="00392DBB" w:rsidRDefault="00392DBB" w:rsidP="00392DBB">
      <w:pPr>
        <w:rPr>
          <w:rtl/>
        </w:rPr>
      </w:pPr>
      <w:r w:rsidRPr="00C46108">
        <w:rPr>
          <w:rFonts w:cs="Arial" w:hint="cs"/>
          <w:b/>
          <w:bCs/>
          <w:rtl/>
        </w:rPr>
        <w:t xml:space="preserve">כתובות </w:t>
      </w:r>
      <w:r>
        <w:rPr>
          <w:rFonts w:cs="Arial" w:hint="cs"/>
          <w:b/>
          <w:bCs/>
          <w:sz w:val="16"/>
          <w:szCs w:val="16"/>
          <w:rtl/>
        </w:rPr>
        <w:t xml:space="preserve">(ר"פ הנושא) </w:t>
      </w:r>
      <w:r w:rsidRPr="00C46108">
        <w:rPr>
          <w:rFonts w:cs="Arial" w:hint="cs"/>
          <w:b/>
          <w:bCs/>
          <w:rtl/>
        </w:rPr>
        <w:t>ק</w:t>
      </w:r>
      <w:r>
        <w:rPr>
          <w:rFonts w:cs="Arial" w:hint="cs"/>
          <w:b/>
          <w:bCs/>
          <w:rtl/>
        </w:rPr>
        <w:t>ב</w:t>
      </w:r>
      <w:r w:rsidRPr="00C46108">
        <w:rPr>
          <w:rFonts w:cs="Arial" w:hint="cs"/>
          <w:b/>
          <w:bCs/>
          <w:rtl/>
        </w:rPr>
        <w:t xml:space="preserve"> ע"ב:</w:t>
      </w:r>
      <w:r>
        <w:rPr>
          <w:rFonts w:cs="Arial" w:hint="cs"/>
          <w:b/>
          <w:bCs/>
          <w:rtl/>
        </w:rPr>
        <w:t xml:space="preserve"> </w:t>
      </w:r>
      <w:r w:rsidRPr="00486131">
        <w:rPr>
          <w:rFonts w:cs="Arial"/>
          <w:rtl/>
        </w:rPr>
        <w:t xml:space="preserve">גופא, </w:t>
      </w:r>
      <w:r w:rsidRPr="00486131">
        <w:rPr>
          <w:rFonts w:cs="Arial"/>
          <w:u w:val="single"/>
          <w:rtl/>
        </w:rPr>
        <w:t>אמר רב גידל אמר רב</w:t>
      </w:r>
      <w:r w:rsidRPr="00486131">
        <w:rPr>
          <w:rFonts w:cs="Arial"/>
          <w:rtl/>
        </w:rPr>
        <w:t>: כמה אתה נותן לבנך? כך וכך, וכמה אתה נותן לבתך? כך וכך, עמדו וקידשו - קנו, הן הן הדברים הנקנים באמירה</w:t>
      </w:r>
      <w:r>
        <w:rPr>
          <w:rFonts w:cs="Arial" w:hint="cs"/>
          <w:rtl/>
        </w:rPr>
        <w:t>..</w:t>
      </w:r>
      <w:r w:rsidRPr="00486131">
        <w:rPr>
          <w:rFonts w:cs="Arial"/>
          <w:rtl/>
        </w:rPr>
        <w:t>.</w:t>
      </w:r>
      <w:r w:rsidRPr="00486131">
        <w:rPr>
          <w:rFonts w:cs="Arial"/>
          <w:b/>
          <w:bCs/>
          <w:rtl/>
        </w:rPr>
        <w:t xml:space="preserve"> </w:t>
      </w:r>
      <w:r w:rsidRPr="00581D8B">
        <w:rPr>
          <w:rFonts w:cs="Arial"/>
          <w:u w:val="single"/>
          <w:rtl/>
        </w:rPr>
        <w:t>א"ל רבינא לרב אשי</w:t>
      </w:r>
      <w:r w:rsidRPr="00581D8B">
        <w:rPr>
          <w:rFonts w:cs="Arial"/>
          <w:rtl/>
        </w:rPr>
        <w:t>: דברים הללו ניתנו ליכתב</w:t>
      </w:r>
      <w:r>
        <w:rPr>
          <w:rStyle w:val="a7"/>
          <w:rFonts w:cs="Arial"/>
          <w:rtl/>
        </w:rPr>
        <w:footnoteReference w:id="2759"/>
      </w:r>
      <w:r w:rsidRPr="00581D8B">
        <w:rPr>
          <w:rFonts w:cs="Arial"/>
          <w:rtl/>
        </w:rPr>
        <w:t xml:space="preserve"> או לא ניתנו ליכתב? </w:t>
      </w:r>
      <w:r w:rsidRPr="00581D8B">
        <w:rPr>
          <w:rFonts w:cs="Arial"/>
          <w:u w:val="single"/>
          <w:rtl/>
        </w:rPr>
        <w:t>א"ל</w:t>
      </w:r>
      <w:r w:rsidRPr="00581D8B">
        <w:rPr>
          <w:rFonts w:cs="Arial"/>
          <w:rtl/>
        </w:rPr>
        <w:t>: לא ניתנו ליכתב</w:t>
      </w:r>
      <w:r>
        <w:rPr>
          <w:rStyle w:val="a7"/>
          <w:rFonts w:cs="Arial"/>
          <w:rtl/>
        </w:rPr>
        <w:footnoteReference w:id="2760"/>
      </w:r>
      <w:r w:rsidRPr="00581D8B">
        <w:rPr>
          <w:rFonts w:cs="Arial"/>
          <w:rtl/>
        </w:rPr>
        <w:t>.איתיביה: הפקחין היו כותבין על מנת שאזון את בתך חמש שנים כל זמן שאת עמי! מאי כותבין? אומרים. וקרי ליה לאמירה כתיבה? אין, והתנן: הכותב לאשתו דין ודברים אין לי בנכסייך, ותני ר' חייא: האומר לאשתו.</w:t>
      </w:r>
      <w:r>
        <w:rPr>
          <w:rFonts w:cs="Arial" w:hint="cs"/>
          <w:rtl/>
        </w:rPr>
        <w:t>..</w:t>
      </w:r>
      <w:r w:rsidRPr="00581D8B">
        <w:rPr>
          <w:rFonts w:cs="Arial"/>
          <w:rtl/>
        </w:rPr>
        <w:t xml:space="preserve"> תא שמע: מתו - בנותיהן ניזונות מנכסים בני חורין, והיא ניזונת מנכסים משועבדים, מפני שהיא כבעלת חוב! הכא במאי עסקינן - בשקנו מידו.</w:t>
      </w:r>
    </w:p>
    <w:p w14:paraId="1B168C23" w14:textId="1564D67D" w:rsidR="00392DBB" w:rsidRPr="00385D28" w:rsidRDefault="00392DBB" w:rsidP="00392DBB">
      <w:pPr>
        <w:rPr>
          <w:u w:val="single"/>
          <w:rtl/>
        </w:rPr>
      </w:pPr>
      <w:r w:rsidRPr="00385D28">
        <w:rPr>
          <w:rFonts w:hint="cs"/>
          <w:u w:val="single"/>
          <w:rtl/>
        </w:rPr>
        <w:t xml:space="preserve">פסק לבת אשתו מזונות, ומת </w:t>
      </w:r>
      <w:r w:rsidR="00F97626">
        <w:rPr>
          <w:u w:val="single"/>
          <w:rtl/>
        </w:rPr>
        <w:t>-</w:t>
      </w:r>
      <w:r w:rsidRPr="00385D28">
        <w:rPr>
          <w:rFonts w:hint="cs"/>
          <w:u w:val="single"/>
          <w:rtl/>
        </w:rPr>
        <w:t xml:space="preserve"> מ</w:t>
      </w:r>
      <w:r>
        <w:rPr>
          <w:rFonts w:hint="cs"/>
          <w:u w:val="single"/>
          <w:rtl/>
        </w:rPr>
        <w:t>א</w:t>
      </w:r>
      <w:r w:rsidRPr="00385D28">
        <w:rPr>
          <w:rFonts w:hint="cs"/>
          <w:u w:val="single"/>
          <w:rtl/>
        </w:rPr>
        <w:t>יזה נכסים גובה הבת:</w:t>
      </w:r>
    </w:p>
    <w:p w14:paraId="4B0AC918" w14:textId="27916197" w:rsidR="00392DBB" w:rsidRPr="00716457" w:rsidRDefault="00392DBB" w:rsidP="009000E3">
      <w:pPr>
        <w:pStyle w:val="ab"/>
        <w:numPr>
          <w:ilvl w:val="0"/>
          <w:numId w:val="63"/>
        </w:numPr>
        <w:rPr>
          <w:rtl/>
        </w:rPr>
      </w:pPr>
      <w:r>
        <w:rPr>
          <w:rFonts w:cs="Arial" w:hint="cs"/>
          <w:rtl/>
        </w:rPr>
        <w:t xml:space="preserve">רמב"ם </w:t>
      </w:r>
      <w:r>
        <w:rPr>
          <w:rFonts w:cs="Arial" w:hint="cs"/>
          <w:sz w:val="16"/>
          <w:szCs w:val="16"/>
          <w:rtl/>
        </w:rPr>
        <w:t>(פכ"ג הי"ח)</w:t>
      </w:r>
      <w:r>
        <w:rPr>
          <w:rFonts w:hint="cs"/>
          <w:rtl/>
        </w:rPr>
        <w:t xml:space="preserve"> וטור-</w:t>
      </w:r>
      <w:r>
        <w:rPr>
          <w:rFonts w:cs="Arial" w:hint="cs"/>
          <w:rtl/>
        </w:rPr>
        <w:t xml:space="preserve"> </w:t>
      </w:r>
      <w:r w:rsidRPr="00716457">
        <w:rPr>
          <w:rFonts w:cs="Arial"/>
          <w:rtl/>
        </w:rPr>
        <w:t>מת הבעל</w:t>
      </w:r>
      <w:r w:rsidR="00D430E4">
        <w:rPr>
          <w:rFonts w:cs="Arial" w:hint="cs"/>
          <w:rtl/>
        </w:rPr>
        <w:t>,</w:t>
      </w:r>
      <w:r w:rsidRPr="00716457">
        <w:rPr>
          <w:rFonts w:cs="Arial"/>
          <w:rtl/>
        </w:rPr>
        <w:t xml:space="preserve"> הבת מוציאה מזונותיה מנכסים משועבדים כשאר בעלי חוב</w:t>
      </w:r>
      <w:r w:rsidR="00D430E4">
        <w:rPr>
          <w:rFonts w:cs="Arial" w:hint="cs"/>
          <w:rtl/>
        </w:rPr>
        <w:t>,</w:t>
      </w:r>
      <w:r w:rsidRPr="00716457">
        <w:rPr>
          <w:rFonts w:cs="Arial"/>
          <w:rtl/>
        </w:rPr>
        <w:t xml:space="preserve"> ודוקא שקנו מידו או שחייב עצמו במזונותיה בשטר</w:t>
      </w:r>
      <w:r w:rsidR="0007308B">
        <w:rPr>
          <w:rFonts w:cs="Arial" w:hint="cs"/>
          <w:rtl/>
        </w:rPr>
        <w:t>.</w:t>
      </w:r>
      <w:r w:rsidRPr="00716457">
        <w:rPr>
          <w:rFonts w:cs="Arial"/>
          <w:rtl/>
        </w:rPr>
        <w:t xml:space="preserve"> אבל אם פסקו בשעת קידושין ולא היה שם קנין</w:t>
      </w:r>
      <w:r w:rsidR="0007308B">
        <w:rPr>
          <w:rFonts w:cs="Arial" w:hint="cs"/>
          <w:rtl/>
        </w:rPr>
        <w:t>,</w:t>
      </w:r>
      <w:r w:rsidRPr="00716457">
        <w:rPr>
          <w:rFonts w:cs="Arial"/>
          <w:rtl/>
        </w:rPr>
        <w:t xml:space="preserve"> הן הן הדברים שלא ניתנו ליכתב ואינה ניזונת ממשועבדים</w:t>
      </w:r>
      <w:r>
        <w:rPr>
          <w:rStyle w:val="a7"/>
          <w:rFonts w:cs="Arial"/>
          <w:rtl/>
        </w:rPr>
        <w:footnoteReference w:id="2761"/>
      </w:r>
      <w:r>
        <w:rPr>
          <w:rFonts w:cs="Arial" w:hint="cs"/>
          <w:sz w:val="16"/>
          <w:szCs w:val="16"/>
          <w:rtl/>
        </w:rPr>
        <w:t xml:space="preserve"> (ל' הטור)</w:t>
      </w:r>
      <w:r>
        <w:rPr>
          <w:rFonts w:cs="Arial" w:hint="cs"/>
          <w:rtl/>
        </w:rPr>
        <w:t>.</w:t>
      </w:r>
      <w:r w:rsidRPr="00EF4840">
        <w:rPr>
          <w:rFonts w:hint="cs"/>
          <w:color w:val="E36C0A" w:themeColor="accent6" w:themeShade="BF"/>
          <w:rtl/>
        </w:rPr>
        <w:t xml:space="preserve"> </w:t>
      </w:r>
      <w:r w:rsidRPr="004663D7">
        <w:rPr>
          <w:rFonts w:hint="cs"/>
          <w:color w:val="E36C0A" w:themeColor="accent6" w:themeShade="BF"/>
          <w:rtl/>
        </w:rPr>
        <w:t>(וכ"פ בשו"ע)</w:t>
      </w:r>
    </w:p>
    <w:p w14:paraId="77D18844"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C657DC8" w14:textId="39B248C1" w:rsidR="00392DBB" w:rsidRDefault="00392DBB" w:rsidP="00392DBB">
      <w:pPr>
        <w:rPr>
          <w:rtl/>
        </w:rPr>
      </w:pPr>
      <w:r>
        <w:rPr>
          <w:rFonts w:cs="Arial"/>
          <w:rtl/>
        </w:rPr>
        <w:t>מת</w:t>
      </w:r>
      <w:r>
        <w:rPr>
          <w:rStyle w:val="a7"/>
          <w:rFonts w:cs="Arial"/>
          <w:rtl/>
        </w:rPr>
        <w:footnoteReference w:id="2762"/>
      </w:r>
      <w:r>
        <w:rPr>
          <w:rFonts w:cs="Arial"/>
          <w:rtl/>
        </w:rPr>
        <w:t xml:space="preserve"> הבעל, הבת מוציאה מזונותיה מנכסים משועבדים כשאר בעל חוב</w:t>
      </w:r>
      <w:r w:rsidR="00D50785">
        <w:rPr>
          <w:rFonts w:cs="Arial" w:hint="cs"/>
          <w:rtl/>
        </w:rPr>
        <w:t>,</w:t>
      </w:r>
      <w:r>
        <w:rPr>
          <w:rFonts w:cs="Arial"/>
          <w:rtl/>
        </w:rPr>
        <w:t xml:space="preserve"> ודוקא שקנו מידו או שחייב עצמו במזונותיה בשטר</w:t>
      </w:r>
      <w:r>
        <w:rPr>
          <w:rFonts w:cs="Arial" w:hint="cs"/>
          <w:rtl/>
        </w:rPr>
        <w:t>.</w:t>
      </w:r>
      <w:r>
        <w:rPr>
          <w:rFonts w:cs="Arial"/>
          <w:rtl/>
        </w:rPr>
        <w:t xml:space="preserve"> אבל אם לא היה שם קנין, הם דברים שלא נתנו ליכתב ואינה ניזונית ממשועבדים</w:t>
      </w:r>
      <w:r>
        <w:rPr>
          <w:rStyle w:val="a7"/>
          <w:rFonts w:cs="Arial"/>
          <w:rtl/>
        </w:rPr>
        <w:footnoteReference w:id="2763"/>
      </w:r>
      <w:r>
        <w:rPr>
          <w:rFonts w:cs="Arial"/>
          <w:rtl/>
        </w:rPr>
        <w:t xml:space="preserve">. </w:t>
      </w:r>
    </w:p>
    <w:p w14:paraId="1C973CD9" w14:textId="77777777" w:rsidR="00392DBB" w:rsidRDefault="00392DBB" w:rsidP="00392DBB">
      <w:pPr>
        <w:rPr>
          <w:rtl/>
        </w:rPr>
      </w:pPr>
    </w:p>
    <w:p w14:paraId="7106067A" w14:textId="77777777" w:rsidR="00392DBB" w:rsidRDefault="00392DBB" w:rsidP="000F64D0">
      <w:pPr>
        <w:pStyle w:val="2"/>
        <w:rPr>
          <w:rtl/>
        </w:rPr>
      </w:pPr>
      <w:r>
        <w:rPr>
          <w:rtl/>
        </w:rPr>
        <w:t>סעיף ה</w:t>
      </w:r>
      <w:r>
        <w:rPr>
          <w:rFonts w:hint="cs"/>
          <w:rtl/>
        </w:rPr>
        <w:t>: מתה/חלתה הבת.</w:t>
      </w:r>
    </w:p>
    <w:p w14:paraId="0F3378A0" w14:textId="76D2FFE8" w:rsidR="00392DBB" w:rsidRDefault="00392DBB" w:rsidP="00392DBB">
      <w:pPr>
        <w:rPr>
          <w:rtl/>
        </w:rPr>
      </w:pPr>
      <w:r>
        <w:rPr>
          <w:rFonts w:cs="Arial" w:hint="cs"/>
          <w:b/>
          <w:bCs/>
          <w:rtl/>
        </w:rPr>
        <w:t xml:space="preserve">ירושלמי </w:t>
      </w:r>
      <w:r w:rsidRPr="00C46108">
        <w:rPr>
          <w:rFonts w:cs="Arial" w:hint="cs"/>
          <w:b/>
          <w:bCs/>
          <w:rtl/>
        </w:rPr>
        <w:t xml:space="preserve">כתובות </w:t>
      </w:r>
      <w:r>
        <w:rPr>
          <w:rFonts w:cs="Arial" w:hint="cs"/>
          <w:b/>
          <w:bCs/>
          <w:rtl/>
        </w:rPr>
        <w:t>פי"ב ה"א</w:t>
      </w:r>
      <w:r w:rsidRPr="00C46108">
        <w:rPr>
          <w:rFonts w:cs="Arial" w:hint="cs"/>
          <w:b/>
          <w:bCs/>
          <w:rtl/>
        </w:rPr>
        <w:t>:</w:t>
      </w:r>
      <w:r>
        <w:rPr>
          <w:rFonts w:cs="Arial" w:hint="cs"/>
          <w:rtl/>
        </w:rPr>
        <w:t xml:space="preserve"> </w:t>
      </w:r>
      <w:r w:rsidRPr="008D4CEB">
        <w:rPr>
          <w:rFonts w:cs="Arial"/>
          <w:rtl/>
        </w:rPr>
        <w:t>חלת</w:t>
      </w:r>
      <w:r>
        <w:rPr>
          <w:rFonts w:cs="Arial" w:hint="cs"/>
          <w:rtl/>
        </w:rPr>
        <w:t>ה -</w:t>
      </w:r>
      <w:r w:rsidRPr="008D4CEB">
        <w:rPr>
          <w:rFonts w:cs="Arial"/>
          <w:rtl/>
        </w:rPr>
        <w:t xml:space="preserve"> כמי שנישאת</w:t>
      </w:r>
      <w:r>
        <w:rPr>
          <w:rStyle w:val="a7"/>
          <w:rFonts w:cs="Arial"/>
          <w:rtl/>
        </w:rPr>
        <w:footnoteReference w:id="2764"/>
      </w:r>
      <w:r>
        <w:rPr>
          <w:rFonts w:cs="Arial" w:hint="cs"/>
          <w:rtl/>
        </w:rPr>
        <w:t>.</w:t>
      </w:r>
      <w:r w:rsidRPr="008D4CEB">
        <w:rPr>
          <w:rFonts w:cs="Arial"/>
          <w:rtl/>
        </w:rPr>
        <w:t xml:space="preserve"> מתה </w:t>
      </w:r>
      <w:r>
        <w:rPr>
          <w:rFonts w:cs="Arial" w:hint="cs"/>
          <w:rtl/>
        </w:rPr>
        <w:t xml:space="preserve">- </w:t>
      </w:r>
      <w:r w:rsidRPr="008D4CEB">
        <w:rPr>
          <w:rFonts w:cs="Arial"/>
          <w:rtl/>
        </w:rPr>
        <w:t>כמי שנישאת</w:t>
      </w:r>
      <w:r>
        <w:rPr>
          <w:rStyle w:val="a7"/>
          <w:rFonts w:cs="Arial"/>
          <w:rtl/>
        </w:rPr>
        <w:footnoteReference w:id="2765"/>
      </w:r>
      <w:r>
        <w:rPr>
          <w:rFonts w:cs="Arial" w:hint="cs"/>
          <w:rtl/>
        </w:rPr>
        <w:t>.</w:t>
      </w:r>
      <w:r w:rsidRPr="008D4CEB">
        <w:rPr>
          <w:rFonts w:cs="Arial"/>
          <w:rtl/>
        </w:rPr>
        <w:t xml:space="preserve"> מתה</w:t>
      </w:r>
      <w:r>
        <w:rPr>
          <w:rFonts w:cs="Arial" w:hint="cs"/>
          <w:rtl/>
        </w:rPr>
        <w:t xml:space="preserve">? </w:t>
      </w:r>
      <w:r w:rsidRPr="008D4CEB">
        <w:rPr>
          <w:rFonts w:cs="Arial"/>
          <w:rtl/>
        </w:rPr>
        <w:t>כבר מתה</w:t>
      </w:r>
      <w:r>
        <w:rPr>
          <w:rStyle w:val="a7"/>
          <w:rFonts w:cs="Arial"/>
          <w:rtl/>
        </w:rPr>
        <w:footnoteReference w:id="2766"/>
      </w:r>
      <w:r>
        <w:rPr>
          <w:rFonts w:cs="Arial" w:hint="cs"/>
          <w:rtl/>
        </w:rPr>
        <w:t>!</w:t>
      </w:r>
      <w:r w:rsidR="008C78FF">
        <w:rPr>
          <w:rFonts w:cs="Arial" w:hint="cs"/>
          <w:rtl/>
        </w:rPr>
        <w:t>.</w:t>
      </w:r>
    </w:p>
    <w:p w14:paraId="44A740CE" w14:textId="080C52A8" w:rsidR="00392DBB" w:rsidRPr="00EF4840" w:rsidRDefault="00392DBB" w:rsidP="00392DBB">
      <w:pPr>
        <w:rPr>
          <w:u w:val="single"/>
          <w:rtl/>
        </w:rPr>
      </w:pPr>
      <w:r w:rsidRPr="00EF4840">
        <w:rPr>
          <w:rFonts w:hint="cs"/>
          <w:u w:val="single"/>
          <w:rtl/>
        </w:rPr>
        <w:t xml:space="preserve">מתה הבת </w:t>
      </w:r>
      <w:r w:rsidR="00F97626">
        <w:rPr>
          <w:u w:val="single"/>
          <w:rtl/>
        </w:rPr>
        <w:t>-</w:t>
      </w:r>
      <w:r w:rsidRPr="00EF4840">
        <w:rPr>
          <w:rFonts w:hint="cs"/>
          <w:u w:val="single"/>
          <w:rtl/>
        </w:rPr>
        <w:t xml:space="preserve"> מה דין המזונות שפסקו לה:</w:t>
      </w:r>
    </w:p>
    <w:p w14:paraId="5F6DFEE4" w14:textId="77777777" w:rsidR="00392DBB" w:rsidRDefault="00392DBB" w:rsidP="009000E3">
      <w:pPr>
        <w:pStyle w:val="ab"/>
        <w:numPr>
          <w:ilvl w:val="0"/>
          <w:numId w:val="63"/>
        </w:numPr>
      </w:pPr>
      <w:r>
        <w:rPr>
          <w:rFonts w:hint="cs"/>
          <w:rtl/>
        </w:rPr>
        <w:t>טור-</w:t>
      </w:r>
      <w:r>
        <w:rPr>
          <w:rFonts w:cs="Arial" w:hint="cs"/>
          <w:rtl/>
        </w:rPr>
        <w:t xml:space="preserve"> </w:t>
      </w:r>
      <w:r w:rsidRPr="00716457">
        <w:rPr>
          <w:rFonts w:cs="Arial"/>
          <w:rtl/>
        </w:rPr>
        <w:t xml:space="preserve">מתה הבת </w:t>
      </w:r>
      <w:r>
        <w:rPr>
          <w:rFonts w:cs="Arial" w:hint="cs"/>
          <w:rtl/>
        </w:rPr>
        <w:t xml:space="preserve">- </w:t>
      </w:r>
      <w:r w:rsidRPr="00716457">
        <w:rPr>
          <w:rFonts w:cs="Arial"/>
          <w:rtl/>
        </w:rPr>
        <w:t>אין יורשיה יורשים מזונותיה</w:t>
      </w:r>
      <w:r>
        <w:rPr>
          <w:rFonts w:cs="Arial" w:hint="cs"/>
          <w:rtl/>
        </w:rPr>
        <w:t>.</w:t>
      </w:r>
      <w:r w:rsidRPr="00716457">
        <w:rPr>
          <w:rFonts w:cs="Arial"/>
          <w:rtl/>
        </w:rPr>
        <w:t xml:space="preserve"> </w:t>
      </w:r>
      <w:r w:rsidRPr="004663D7">
        <w:rPr>
          <w:rFonts w:hint="cs"/>
          <w:color w:val="E36C0A" w:themeColor="accent6" w:themeShade="BF"/>
          <w:rtl/>
        </w:rPr>
        <w:t>(וכ"פ בשו"ע)</w:t>
      </w:r>
    </w:p>
    <w:p w14:paraId="19D86BCA" w14:textId="31C03339" w:rsidR="00392DBB" w:rsidRPr="00EF4840" w:rsidRDefault="00392DBB" w:rsidP="00392DBB">
      <w:pPr>
        <w:rPr>
          <w:u w:val="single"/>
        </w:rPr>
      </w:pPr>
      <w:r w:rsidRPr="00EF4840">
        <w:rPr>
          <w:rFonts w:hint="cs"/>
          <w:u w:val="single"/>
          <w:rtl/>
        </w:rPr>
        <w:t xml:space="preserve">חלתה הבת </w:t>
      </w:r>
      <w:r w:rsidR="00F97626">
        <w:rPr>
          <w:u w:val="single"/>
          <w:rtl/>
        </w:rPr>
        <w:t>-</w:t>
      </w:r>
      <w:r w:rsidRPr="00EF4840">
        <w:rPr>
          <w:rFonts w:hint="cs"/>
          <w:u w:val="single"/>
          <w:rtl/>
        </w:rPr>
        <w:t xml:space="preserve"> מה דין המזונות שפסקו לה:</w:t>
      </w:r>
    </w:p>
    <w:p w14:paraId="1EABDAA2" w14:textId="77777777" w:rsidR="00392DBB" w:rsidRPr="00696880" w:rsidRDefault="00392DBB" w:rsidP="009000E3">
      <w:pPr>
        <w:pStyle w:val="ab"/>
        <w:numPr>
          <w:ilvl w:val="0"/>
          <w:numId w:val="63"/>
        </w:numPr>
      </w:pPr>
      <w:r w:rsidRPr="0093243A">
        <w:rPr>
          <w:rFonts w:cs="Arial" w:hint="cs"/>
          <w:rtl/>
        </w:rPr>
        <w:t>ריטב"א</w:t>
      </w:r>
      <w:r>
        <w:rPr>
          <w:rFonts w:cs="Arial" w:hint="cs"/>
          <w:sz w:val="16"/>
          <w:szCs w:val="16"/>
          <w:rtl/>
        </w:rPr>
        <w:t xml:space="preserve"> (קא:) </w:t>
      </w:r>
      <w:r>
        <w:rPr>
          <w:rFonts w:cs="Arial" w:hint="cs"/>
          <w:rtl/>
        </w:rPr>
        <w:t xml:space="preserve">רי"ו </w:t>
      </w:r>
      <w:r>
        <w:rPr>
          <w:rFonts w:cs="Arial" w:hint="cs"/>
          <w:sz w:val="16"/>
          <w:szCs w:val="16"/>
          <w:rtl/>
        </w:rPr>
        <w:t>(מישרים נכ"ג ח"ג, כ"כ הדרכ"מ [אות ג] בשמו)</w:t>
      </w:r>
      <w:r>
        <w:rPr>
          <w:rFonts w:cs="Arial" w:hint="cs"/>
          <w:rtl/>
        </w:rPr>
        <w:t xml:space="preserve"> וב"י- </w:t>
      </w:r>
      <w:r w:rsidRPr="00EF4840">
        <w:rPr>
          <w:rFonts w:cs="Arial"/>
          <w:rtl/>
        </w:rPr>
        <w:t>חלתה כמי שנישאת כלומר וחייב ליתן לה מזונותיה כבריאה</w:t>
      </w:r>
      <w:r>
        <w:rPr>
          <w:rFonts w:cs="Arial" w:hint="cs"/>
          <w:sz w:val="16"/>
          <w:szCs w:val="16"/>
          <w:rtl/>
        </w:rPr>
        <w:t xml:space="preserve"> (ל' הב"י)</w:t>
      </w:r>
      <w:r>
        <w:rPr>
          <w:rFonts w:hint="cs"/>
          <w:rtl/>
        </w:rPr>
        <w:t>.</w:t>
      </w:r>
      <w:r w:rsidRPr="00EF4840">
        <w:rPr>
          <w:rFonts w:hint="cs"/>
          <w:color w:val="E36C0A" w:themeColor="accent6" w:themeShade="BF"/>
          <w:rtl/>
        </w:rPr>
        <w:t xml:space="preserve"> </w:t>
      </w:r>
      <w:r w:rsidRPr="0047740F">
        <w:rPr>
          <w:rFonts w:hint="cs"/>
          <w:color w:val="00B0F0"/>
          <w:rtl/>
        </w:rPr>
        <w:t>(וכ"פ הרמ"א)</w:t>
      </w:r>
    </w:p>
    <w:p w14:paraId="41EF3FCF"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26FC291" w14:textId="0C320AC4" w:rsidR="00392DBB" w:rsidRDefault="00392DBB" w:rsidP="00392DBB">
      <w:pPr>
        <w:rPr>
          <w:rtl/>
        </w:rPr>
      </w:pPr>
      <w:r>
        <w:rPr>
          <w:rFonts w:cs="Arial"/>
          <w:rtl/>
        </w:rPr>
        <w:t>מתה הבת, אין יורשיה יורשים מזונותיה</w:t>
      </w:r>
      <w:r>
        <w:rPr>
          <w:rStyle w:val="a7"/>
          <w:rFonts w:cs="Arial"/>
          <w:rtl/>
        </w:rPr>
        <w:footnoteReference w:id="2767"/>
      </w:r>
      <w:r>
        <w:rPr>
          <w:rFonts w:cs="Arial"/>
          <w:rtl/>
        </w:rPr>
        <w:t xml:space="preserve">. </w:t>
      </w:r>
      <w:r w:rsidRPr="00EF4840">
        <w:rPr>
          <w:rFonts w:cs="Arial" w:hint="cs"/>
          <w:sz w:val="18"/>
          <w:szCs w:val="18"/>
          <w:rtl/>
        </w:rPr>
        <w:t xml:space="preserve">[הגה] </w:t>
      </w:r>
      <w:r w:rsidRPr="00EF4840">
        <w:rPr>
          <w:rFonts w:cs="Arial"/>
          <w:sz w:val="18"/>
          <w:szCs w:val="18"/>
          <w:rtl/>
        </w:rPr>
        <w:t>חלתה הבת, הרי היא כנשאת ומעלה לה מזונות כאלו היתה בריאה</w:t>
      </w:r>
      <w:r>
        <w:rPr>
          <w:rStyle w:val="a7"/>
          <w:rFonts w:cs="Arial"/>
          <w:sz w:val="18"/>
          <w:szCs w:val="18"/>
          <w:rtl/>
        </w:rPr>
        <w:footnoteReference w:id="2768"/>
      </w:r>
      <w:r>
        <w:rPr>
          <w:rFonts w:cs="Arial" w:hint="cs"/>
          <w:sz w:val="18"/>
          <w:szCs w:val="18"/>
          <w:rtl/>
        </w:rPr>
        <w:t xml:space="preserve"> (</w:t>
      </w:r>
      <w:r w:rsidR="00EF339D">
        <w:rPr>
          <w:rFonts w:cs="Arial" w:hint="cs"/>
          <w:sz w:val="18"/>
          <w:szCs w:val="18"/>
          <w:rtl/>
        </w:rPr>
        <w:t>ריטב"א ו</w:t>
      </w:r>
      <w:r>
        <w:rPr>
          <w:rFonts w:cs="Arial" w:hint="cs"/>
          <w:sz w:val="18"/>
          <w:szCs w:val="18"/>
          <w:rtl/>
        </w:rPr>
        <w:t>ב"י בשם הירושלמי)</w:t>
      </w:r>
      <w:r w:rsidRPr="00EF4840">
        <w:rPr>
          <w:rFonts w:cs="Arial" w:hint="cs"/>
          <w:sz w:val="18"/>
          <w:szCs w:val="18"/>
          <w:rtl/>
        </w:rPr>
        <w:t>.</w:t>
      </w:r>
    </w:p>
    <w:p w14:paraId="6487EA66" w14:textId="77777777" w:rsidR="00392DBB" w:rsidRPr="00685B96" w:rsidRDefault="00392DBB" w:rsidP="00392DBB">
      <w:pPr>
        <w:rPr>
          <w:rFonts w:cs="Arial"/>
          <w:u w:val="single"/>
          <w:rtl/>
        </w:rPr>
      </w:pPr>
      <w:r w:rsidRPr="00685B96">
        <w:rPr>
          <w:rFonts w:cs="Arial" w:hint="cs"/>
          <w:u w:val="single"/>
          <w:rtl/>
        </w:rPr>
        <w:lastRenderedPageBreak/>
        <w:t>אב</w:t>
      </w:r>
      <w:r w:rsidRPr="00685B96">
        <w:rPr>
          <w:rFonts w:cs="Arial"/>
          <w:u w:val="single"/>
          <w:rtl/>
        </w:rPr>
        <w:t xml:space="preserve"> פסק לבנו ולכלתו ליתן להם מזונות זמן מה</w:t>
      </w:r>
      <w:r w:rsidRPr="00685B96">
        <w:rPr>
          <w:rFonts w:cs="Arial" w:hint="cs"/>
          <w:u w:val="single"/>
          <w:rtl/>
        </w:rPr>
        <w:t>,</w:t>
      </w:r>
      <w:r w:rsidRPr="00685B96">
        <w:rPr>
          <w:rFonts w:cs="Arial"/>
          <w:u w:val="single"/>
          <w:rtl/>
        </w:rPr>
        <w:t xml:space="preserve"> ובתוך הזמן מת הבן</w:t>
      </w:r>
      <w:r w:rsidRPr="00685B96">
        <w:rPr>
          <w:rFonts w:cs="Arial" w:hint="cs"/>
          <w:u w:val="single"/>
          <w:rtl/>
        </w:rPr>
        <w:t xml:space="preserve"> -</w:t>
      </w:r>
      <w:r w:rsidRPr="00685B96">
        <w:rPr>
          <w:rFonts w:cs="Arial"/>
          <w:u w:val="single"/>
          <w:rtl/>
        </w:rPr>
        <w:t xml:space="preserve"> אי מחויב </w:t>
      </w:r>
      <w:r>
        <w:rPr>
          <w:rFonts w:cs="Arial" w:hint="cs"/>
          <w:u w:val="single"/>
          <w:rtl/>
        </w:rPr>
        <w:t xml:space="preserve">להמשיך </w:t>
      </w:r>
      <w:r w:rsidRPr="00685B96">
        <w:rPr>
          <w:rFonts w:cs="Arial"/>
          <w:u w:val="single"/>
          <w:rtl/>
        </w:rPr>
        <w:t>ליתן</w:t>
      </w:r>
      <w:r>
        <w:rPr>
          <w:rFonts w:cs="Arial" w:hint="cs"/>
          <w:u w:val="single"/>
          <w:rtl/>
        </w:rPr>
        <w:t>:</w:t>
      </w:r>
      <w:r w:rsidRPr="00685B96">
        <w:rPr>
          <w:rFonts w:cs="Arial" w:hint="cs"/>
          <w:sz w:val="16"/>
          <w:szCs w:val="16"/>
          <w:rtl/>
        </w:rPr>
        <w:t xml:space="preserve">  (באה"ט סק"ז)</w:t>
      </w:r>
      <w:r w:rsidRPr="00685B96">
        <w:rPr>
          <w:rFonts w:cs="Arial"/>
          <w:u w:val="single"/>
          <w:rtl/>
        </w:rPr>
        <w:t xml:space="preserve"> </w:t>
      </w:r>
    </w:p>
    <w:p w14:paraId="4D382DF6" w14:textId="77777777" w:rsidR="00392DBB" w:rsidRPr="00685B96" w:rsidRDefault="00392DBB" w:rsidP="009000E3">
      <w:pPr>
        <w:pStyle w:val="ab"/>
        <w:numPr>
          <w:ilvl w:val="0"/>
          <w:numId w:val="63"/>
        </w:numPr>
        <w:rPr>
          <w:rFonts w:cs="Arial"/>
          <w:rtl/>
        </w:rPr>
      </w:pPr>
      <w:r w:rsidRPr="00685B96">
        <w:rPr>
          <w:rFonts w:cs="Arial"/>
          <w:rtl/>
        </w:rPr>
        <w:t xml:space="preserve">ט"ז </w:t>
      </w:r>
      <w:r w:rsidRPr="00685B96">
        <w:rPr>
          <w:rFonts w:cs="Arial" w:hint="cs"/>
          <w:sz w:val="16"/>
          <w:szCs w:val="16"/>
          <w:rtl/>
        </w:rPr>
        <w:t>(</w:t>
      </w:r>
      <w:r w:rsidRPr="00685B96">
        <w:rPr>
          <w:rFonts w:cs="Arial"/>
          <w:sz w:val="16"/>
          <w:szCs w:val="16"/>
          <w:rtl/>
        </w:rPr>
        <w:t>ח</w:t>
      </w:r>
      <w:r w:rsidRPr="00685B96">
        <w:rPr>
          <w:rFonts w:cs="Arial" w:hint="cs"/>
          <w:sz w:val="16"/>
          <w:szCs w:val="16"/>
          <w:rtl/>
        </w:rPr>
        <w:t>ו</w:t>
      </w:r>
      <w:r w:rsidRPr="00685B96">
        <w:rPr>
          <w:rFonts w:cs="Arial"/>
          <w:sz w:val="16"/>
          <w:szCs w:val="16"/>
          <w:rtl/>
        </w:rPr>
        <w:t>"מ סי' ס</w:t>
      </w:r>
      <w:r w:rsidRPr="00685B96">
        <w:rPr>
          <w:rFonts w:cs="Arial" w:hint="cs"/>
          <w:sz w:val="16"/>
          <w:szCs w:val="16"/>
          <w:rtl/>
        </w:rPr>
        <w:t xml:space="preserve"> סע' ג ד"ה ראובן)</w:t>
      </w:r>
      <w:r w:rsidRPr="00685B96">
        <w:rPr>
          <w:rFonts w:cs="Arial" w:hint="cs"/>
          <w:rtl/>
        </w:rPr>
        <w:t xml:space="preserve">- </w:t>
      </w:r>
      <w:r w:rsidRPr="00685B96">
        <w:rPr>
          <w:rFonts w:cs="Arial"/>
          <w:rtl/>
        </w:rPr>
        <w:t>צריך ליתן לה מזונות עד זמן שקבע</w:t>
      </w:r>
      <w:r w:rsidRPr="00685B96">
        <w:rPr>
          <w:rFonts w:cs="Arial" w:hint="cs"/>
          <w:rtl/>
        </w:rPr>
        <w:t>.</w:t>
      </w:r>
      <w:r w:rsidRPr="00685B96">
        <w:rPr>
          <w:rFonts w:cs="Arial"/>
          <w:rtl/>
        </w:rPr>
        <w:t xml:space="preserve"> </w:t>
      </w:r>
    </w:p>
    <w:p w14:paraId="7F480736" w14:textId="77777777" w:rsidR="00392DBB" w:rsidRDefault="00392DBB" w:rsidP="009000E3">
      <w:pPr>
        <w:pStyle w:val="ab"/>
        <w:numPr>
          <w:ilvl w:val="0"/>
          <w:numId w:val="63"/>
        </w:numPr>
        <w:rPr>
          <w:rtl/>
        </w:rPr>
      </w:pPr>
      <w:r w:rsidRPr="00685B96">
        <w:rPr>
          <w:rFonts w:cs="Arial"/>
          <w:rtl/>
        </w:rPr>
        <w:t xml:space="preserve">שבות יעקב </w:t>
      </w:r>
      <w:r w:rsidRPr="00685B96">
        <w:rPr>
          <w:rFonts w:cs="Arial" w:hint="cs"/>
          <w:sz w:val="16"/>
          <w:szCs w:val="16"/>
          <w:rtl/>
        </w:rPr>
        <w:t>(</w:t>
      </w:r>
      <w:r w:rsidRPr="00685B96">
        <w:rPr>
          <w:rFonts w:cs="Arial"/>
          <w:sz w:val="16"/>
          <w:szCs w:val="16"/>
          <w:rtl/>
        </w:rPr>
        <w:t>ח"ב שאלה קמב</w:t>
      </w:r>
      <w:r w:rsidRPr="00685B96">
        <w:rPr>
          <w:rFonts w:cs="Arial" w:hint="cs"/>
          <w:sz w:val="16"/>
          <w:szCs w:val="16"/>
          <w:rtl/>
        </w:rPr>
        <w:t>)</w:t>
      </w:r>
      <w:r w:rsidRPr="00685B96">
        <w:rPr>
          <w:rFonts w:cs="Arial" w:hint="cs"/>
          <w:rtl/>
        </w:rPr>
        <w:t>-</w:t>
      </w:r>
      <w:r w:rsidRPr="00685B96">
        <w:rPr>
          <w:rFonts w:cs="Arial"/>
          <w:rtl/>
        </w:rPr>
        <w:t xml:space="preserve"> אין לה מזונות כשמת הבן</w:t>
      </w:r>
      <w:r>
        <w:rPr>
          <w:rStyle w:val="a7"/>
          <w:rFonts w:cs="Arial"/>
          <w:rtl/>
        </w:rPr>
        <w:footnoteReference w:id="2769"/>
      </w:r>
      <w:r w:rsidRPr="00685B96">
        <w:rPr>
          <w:rFonts w:cs="Arial" w:hint="cs"/>
          <w:rtl/>
        </w:rPr>
        <w:t>.</w:t>
      </w:r>
    </w:p>
    <w:p w14:paraId="0949A273" w14:textId="77777777" w:rsidR="00392DBB" w:rsidRDefault="00392DBB" w:rsidP="00392DBB">
      <w:pPr>
        <w:rPr>
          <w:rtl/>
        </w:rPr>
      </w:pPr>
    </w:p>
    <w:p w14:paraId="68E9C4C1" w14:textId="77777777" w:rsidR="00392DBB" w:rsidRDefault="00392DBB" w:rsidP="000F64D0">
      <w:pPr>
        <w:pStyle w:val="2"/>
        <w:rPr>
          <w:rtl/>
        </w:rPr>
      </w:pPr>
      <w:r>
        <w:rPr>
          <w:rtl/>
        </w:rPr>
        <w:t>סעיף ו</w:t>
      </w:r>
      <w:r>
        <w:rPr>
          <w:rFonts w:hint="cs"/>
          <w:rtl/>
        </w:rPr>
        <w:t>: גרש את אשתו תוך הזמן שפסק מזונות לבתה.</w:t>
      </w:r>
    </w:p>
    <w:p w14:paraId="6B2E1C0B" w14:textId="77777777" w:rsidR="00392DBB" w:rsidRDefault="00392DBB" w:rsidP="00392DBB">
      <w:pPr>
        <w:rPr>
          <w:rtl/>
        </w:rPr>
      </w:pPr>
      <w:r w:rsidRPr="00C46108">
        <w:rPr>
          <w:rFonts w:cs="Arial" w:hint="cs"/>
          <w:b/>
          <w:bCs/>
          <w:rtl/>
        </w:rPr>
        <w:t xml:space="preserve">כתובות </w:t>
      </w:r>
      <w:r>
        <w:rPr>
          <w:rFonts w:cs="Arial" w:hint="cs"/>
          <w:b/>
          <w:bCs/>
          <w:sz w:val="16"/>
          <w:szCs w:val="16"/>
          <w:rtl/>
        </w:rPr>
        <w:t xml:space="preserve">(ר"פ הנושא) </w:t>
      </w:r>
      <w:r w:rsidRPr="00C46108">
        <w:rPr>
          <w:rFonts w:cs="Arial" w:hint="cs"/>
          <w:b/>
          <w:bCs/>
          <w:rtl/>
        </w:rPr>
        <w:t>קא</w:t>
      </w:r>
      <w:r>
        <w:rPr>
          <w:rStyle w:val="a7"/>
          <w:rFonts w:cs="Arial"/>
          <w:b/>
          <w:bCs/>
          <w:rtl/>
        </w:rPr>
        <w:footnoteReference w:id="2770"/>
      </w:r>
      <w:r w:rsidRPr="00C46108">
        <w:rPr>
          <w:rFonts w:cs="Arial" w:hint="cs"/>
          <w:b/>
          <w:bCs/>
          <w:rtl/>
        </w:rPr>
        <w:t xml:space="preserve"> ע"ב:</w:t>
      </w:r>
      <w:r>
        <w:rPr>
          <w:rFonts w:cs="Arial" w:hint="cs"/>
          <w:rtl/>
        </w:rPr>
        <w:t xml:space="preserve"> </w:t>
      </w:r>
      <w:r w:rsidRPr="005234DA">
        <w:rPr>
          <w:rFonts w:cs="Arial"/>
          <w:u w:val="double"/>
          <w:rtl/>
        </w:rPr>
        <w:t>מתני'</w:t>
      </w:r>
      <w:r>
        <w:rPr>
          <w:rFonts w:cs="Arial" w:hint="cs"/>
          <w:rtl/>
        </w:rPr>
        <w:t>:</w:t>
      </w:r>
      <w:r w:rsidRPr="00B44A91">
        <w:rPr>
          <w:rFonts w:cs="Arial"/>
          <w:rtl/>
        </w:rPr>
        <w:t xml:space="preserve"> הנושא את האשה, ופסקה עמו כדי שיזון את בתה חמש שנים - חייב לזונה חמש שנים</w:t>
      </w:r>
      <w:r>
        <w:rPr>
          <w:rFonts w:cs="Arial" w:hint="cs"/>
          <w:rtl/>
        </w:rPr>
        <w:t>.</w:t>
      </w:r>
      <w:r w:rsidRPr="00B77EF1">
        <w:rPr>
          <w:rtl/>
        </w:rPr>
        <w:t xml:space="preserve"> </w:t>
      </w:r>
      <w:r w:rsidRPr="00B77EF1">
        <w:rPr>
          <w:rFonts w:cs="Arial"/>
          <w:rtl/>
        </w:rPr>
        <w:t>ניסת לאחר, ופסקה עמו כדי שיזון את בתה חמש שנים - חייב לזונה חמש שנים. לא יאמר הראשון לכשתבא אצלי אזונה, אלא מוליך לה מזונותיה למקום שאמה. וכן לא יאמרו שניהם הרי אנו זנין אותה כאחד, אלא אחד זנה ואחד נותן לה דמי מזונות.</w:t>
      </w:r>
      <w:r>
        <w:rPr>
          <w:rFonts w:cs="Arial" w:hint="cs"/>
          <w:rtl/>
        </w:rPr>
        <w:t>.</w:t>
      </w:r>
      <w:r w:rsidRPr="00B77EF1">
        <w:rPr>
          <w:rFonts w:cs="Arial"/>
          <w:rtl/>
        </w:rPr>
        <w:t>.</w:t>
      </w:r>
    </w:p>
    <w:p w14:paraId="62F6BC78" w14:textId="214E2B89" w:rsidR="00392DBB" w:rsidRPr="007702CA" w:rsidRDefault="00392DBB" w:rsidP="00392DBB">
      <w:pPr>
        <w:rPr>
          <w:u w:val="single"/>
          <w:rtl/>
        </w:rPr>
      </w:pPr>
      <w:r w:rsidRPr="007702CA">
        <w:rPr>
          <w:rFonts w:hint="cs"/>
          <w:u w:val="single"/>
          <w:rtl/>
        </w:rPr>
        <w:t xml:space="preserve">גרש את אשתו </w:t>
      </w:r>
      <w:r w:rsidR="00F97626">
        <w:rPr>
          <w:u w:val="single"/>
          <w:rtl/>
        </w:rPr>
        <w:t>-</w:t>
      </w:r>
      <w:r w:rsidRPr="007702CA">
        <w:rPr>
          <w:rFonts w:hint="cs"/>
          <w:u w:val="single"/>
          <w:rtl/>
        </w:rPr>
        <w:t xml:space="preserve"> האם חייב עדיין ליתן מזונות לבתה:</w:t>
      </w:r>
    </w:p>
    <w:p w14:paraId="2EA925C8" w14:textId="77777777" w:rsidR="00392DBB" w:rsidRPr="007702CA" w:rsidRDefault="00392DBB" w:rsidP="009000E3">
      <w:pPr>
        <w:pStyle w:val="ab"/>
        <w:numPr>
          <w:ilvl w:val="0"/>
          <w:numId w:val="63"/>
        </w:numPr>
      </w:pPr>
      <w:r>
        <w:rPr>
          <w:rFonts w:hint="cs"/>
          <w:rtl/>
        </w:rPr>
        <w:t>טור-</w:t>
      </w:r>
      <w:r>
        <w:rPr>
          <w:rFonts w:cs="Arial" w:hint="cs"/>
          <w:rtl/>
        </w:rPr>
        <w:t xml:space="preserve"> </w:t>
      </w:r>
      <w:r w:rsidRPr="00716457">
        <w:rPr>
          <w:rFonts w:cs="Arial"/>
          <w:rtl/>
        </w:rPr>
        <w:t>נתגרשה בתוך הזמן שקבל לזון את הבת</w:t>
      </w:r>
      <w:r>
        <w:rPr>
          <w:rFonts w:cs="Arial" w:hint="cs"/>
          <w:rtl/>
        </w:rPr>
        <w:t>,</w:t>
      </w:r>
      <w:r w:rsidRPr="00716457">
        <w:rPr>
          <w:rFonts w:cs="Arial"/>
          <w:rtl/>
        </w:rPr>
        <w:t xml:space="preserve"> לא יוכל לומר כשתבא הבת אצלי אתן לה מזונות </w:t>
      </w:r>
      <w:r>
        <w:rPr>
          <w:rFonts w:cs="Arial" w:hint="cs"/>
          <w:rtl/>
        </w:rPr>
        <w:t xml:space="preserve">- </w:t>
      </w:r>
      <w:r w:rsidRPr="00716457">
        <w:rPr>
          <w:rFonts w:cs="Arial"/>
          <w:rtl/>
        </w:rPr>
        <w:t>אלא נותן לה מזונות משלם במקום שתהיה אמה ולא לפי ברכת הבית</w:t>
      </w:r>
      <w:r>
        <w:rPr>
          <w:rStyle w:val="a7"/>
          <w:rFonts w:cs="Arial"/>
          <w:rtl/>
        </w:rPr>
        <w:footnoteReference w:id="2771"/>
      </w:r>
      <w:r>
        <w:rPr>
          <w:rFonts w:cs="Arial" w:hint="cs"/>
          <w:rtl/>
        </w:rPr>
        <w:t>.</w:t>
      </w:r>
      <w:r w:rsidRPr="00716457">
        <w:rPr>
          <w:rFonts w:cs="Arial"/>
          <w:rtl/>
        </w:rPr>
        <w:t xml:space="preserve"> </w:t>
      </w:r>
      <w:r w:rsidRPr="004663D7">
        <w:rPr>
          <w:rFonts w:hint="cs"/>
          <w:color w:val="E36C0A" w:themeColor="accent6" w:themeShade="BF"/>
          <w:rtl/>
        </w:rPr>
        <w:t>(וכ"פ בשו"ע)</w:t>
      </w:r>
    </w:p>
    <w:p w14:paraId="2A1B297F" w14:textId="77777777" w:rsidR="00392DBB" w:rsidRPr="007702CA" w:rsidRDefault="00392DBB" w:rsidP="00392DBB">
      <w:pPr>
        <w:rPr>
          <w:u w:val="single"/>
          <w:rtl/>
        </w:rPr>
      </w:pPr>
      <w:r w:rsidRPr="007702CA">
        <w:rPr>
          <w:rFonts w:hint="cs"/>
          <w:u w:val="single"/>
          <w:rtl/>
        </w:rPr>
        <w:t>כמה מזונות צריך ליתן לבת אשתו:</w:t>
      </w:r>
    </w:p>
    <w:p w14:paraId="6F13BDAF" w14:textId="78C31ACC" w:rsidR="00392DBB" w:rsidRPr="007702CA" w:rsidRDefault="00392DBB" w:rsidP="009000E3">
      <w:pPr>
        <w:pStyle w:val="ab"/>
        <w:numPr>
          <w:ilvl w:val="0"/>
          <w:numId w:val="63"/>
        </w:numPr>
      </w:pPr>
      <w:r w:rsidRPr="00716457">
        <w:rPr>
          <w:rFonts w:cs="Arial"/>
          <w:rtl/>
        </w:rPr>
        <w:t>רמ"ה</w:t>
      </w:r>
      <w:r>
        <w:rPr>
          <w:rFonts w:cs="Arial" w:hint="cs"/>
          <w:sz w:val="16"/>
          <w:szCs w:val="16"/>
          <w:rtl/>
        </w:rPr>
        <w:t xml:space="preserve"> (כ"כ </w:t>
      </w:r>
      <w:r w:rsidR="00AA4AA3">
        <w:rPr>
          <w:rFonts w:cs="Arial" w:hint="cs"/>
          <w:sz w:val="16"/>
          <w:szCs w:val="16"/>
          <w:rtl/>
        </w:rPr>
        <w:t xml:space="preserve">בשמו </w:t>
      </w:r>
      <w:r>
        <w:rPr>
          <w:rFonts w:cs="Arial" w:hint="cs"/>
          <w:sz w:val="16"/>
          <w:szCs w:val="16"/>
          <w:rtl/>
        </w:rPr>
        <w:t>הרא"ש [שם] והטור)</w:t>
      </w:r>
      <w:r>
        <w:rPr>
          <w:rFonts w:cs="Arial" w:hint="cs"/>
          <w:rtl/>
        </w:rPr>
        <w:t>-</w:t>
      </w:r>
      <w:r w:rsidRPr="00716457">
        <w:rPr>
          <w:rFonts w:cs="Arial"/>
          <w:rtl/>
        </w:rPr>
        <w:t xml:space="preserve"> אלו המזונות שנותן לה אינו נותן לה אלא כזן את אשתו ע"י שליש</w:t>
      </w:r>
      <w:r>
        <w:rPr>
          <w:rFonts w:cs="Arial" w:hint="cs"/>
          <w:rtl/>
        </w:rPr>
        <w:t>.</w:t>
      </w:r>
      <w:r w:rsidRPr="00716457">
        <w:rPr>
          <w:rFonts w:cs="Arial"/>
          <w:rtl/>
        </w:rPr>
        <w:t xml:space="preserve"> ואפי' עשיר שבישראל אינו חייב ליתן לה לפי כבודו</w:t>
      </w:r>
      <w:r>
        <w:rPr>
          <w:rFonts w:cs="Arial" w:hint="cs"/>
          <w:rtl/>
        </w:rPr>
        <w:t>,</w:t>
      </w:r>
      <w:r w:rsidRPr="00716457">
        <w:rPr>
          <w:rFonts w:cs="Arial"/>
          <w:rtl/>
        </w:rPr>
        <w:t xml:space="preserve"> ואפי' היא עשירה הרבה אינו חייב לזונה אלא בפחות</w:t>
      </w:r>
      <w:r>
        <w:rPr>
          <w:rFonts w:cs="Arial" w:hint="cs"/>
          <w:rtl/>
        </w:rPr>
        <w:t>.</w:t>
      </w:r>
      <w:r w:rsidRPr="00716457">
        <w:rPr>
          <w:rFonts w:cs="Arial"/>
          <w:rtl/>
        </w:rPr>
        <w:t xml:space="preserve"> שלא אמרו שנותן לפי כבודו אלא באשתו שאוכלת בתנאי ב"ד</w:t>
      </w:r>
      <w:r>
        <w:rPr>
          <w:rFonts w:cs="Arial" w:hint="cs"/>
          <w:rtl/>
        </w:rPr>
        <w:t>.</w:t>
      </w:r>
      <w:r w:rsidRPr="00716457">
        <w:rPr>
          <w:rFonts w:cs="Arial"/>
          <w:rtl/>
        </w:rPr>
        <w:t xml:space="preserve"> אבל בבת אשתו שהוא חייב את עצמו </w:t>
      </w:r>
      <w:r>
        <w:rPr>
          <w:rFonts w:cs="Arial" w:hint="cs"/>
          <w:rtl/>
        </w:rPr>
        <w:t xml:space="preserve">- </w:t>
      </w:r>
      <w:r w:rsidRPr="00716457">
        <w:rPr>
          <w:rFonts w:cs="Arial"/>
          <w:rtl/>
        </w:rPr>
        <w:t>יד בעל השטר על התחתונה</w:t>
      </w:r>
      <w:r>
        <w:rPr>
          <w:rFonts w:cs="Arial" w:hint="cs"/>
          <w:sz w:val="16"/>
          <w:szCs w:val="16"/>
          <w:rtl/>
        </w:rPr>
        <w:t xml:space="preserve"> (ל' הטור בשמו)</w:t>
      </w:r>
      <w:r>
        <w:rPr>
          <w:rFonts w:cs="Arial" w:hint="cs"/>
          <w:rtl/>
        </w:rPr>
        <w:t>.</w:t>
      </w:r>
      <w:r w:rsidRPr="00716457">
        <w:rPr>
          <w:rFonts w:cs="Arial"/>
          <w:rtl/>
        </w:rPr>
        <w:t xml:space="preserve"> </w:t>
      </w:r>
      <w:r w:rsidRPr="004663D7">
        <w:rPr>
          <w:rFonts w:hint="cs"/>
          <w:color w:val="E36C0A" w:themeColor="accent6" w:themeShade="BF"/>
          <w:rtl/>
        </w:rPr>
        <w:t>(וכ"פ בשו"ע)</w:t>
      </w:r>
    </w:p>
    <w:p w14:paraId="019B77C2" w14:textId="28F801AA" w:rsidR="00C17D86" w:rsidRPr="00C17D86" w:rsidRDefault="00392DBB" w:rsidP="009000E3">
      <w:pPr>
        <w:pStyle w:val="ab"/>
        <w:numPr>
          <w:ilvl w:val="0"/>
          <w:numId w:val="63"/>
        </w:numPr>
      </w:pPr>
      <w:r w:rsidRPr="00716457">
        <w:rPr>
          <w:rFonts w:cs="Arial"/>
          <w:rtl/>
        </w:rPr>
        <w:t>רא"ש</w:t>
      </w:r>
      <w:r>
        <w:rPr>
          <w:rFonts w:cs="Arial" w:hint="cs"/>
          <w:sz w:val="16"/>
          <w:szCs w:val="16"/>
          <w:rtl/>
        </w:rPr>
        <w:t xml:space="preserve"> (כתובות פי"ב סי' א)</w:t>
      </w:r>
      <w:r>
        <w:rPr>
          <w:rFonts w:cs="Arial" w:hint="cs"/>
          <w:rtl/>
        </w:rPr>
        <w:t>-</w:t>
      </w:r>
      <w:r w:rsidRPr="00716457">
        <w:rPr>
          <w:rFonts w:cs="Arial"/>
          <w:rtl/>
        </w:rPr>
        <w:t xml:space="preserve"> </w:t>
      </w:r>
      <w:r>
        <w:rPr>
          <w:rStyle w:val="a7"/>
          <w:rFonts w:cs="Arial"/>
          <w:rtl/>
        </w:rPr>
        <w:footnoteReference w:id="2772"/>
      </w:r>
      <w:r w:rsidRPr="00716457">
        <w:rPr>
          <w:rFonts w:cs="Arial"/>
          <w:rtl/>
        </w:rPr>
        <w:t xml:space="preserve">כל המתחייב בפרנסת אדם </w:t>
      </w:r>
      <w:r>
        <w:rPr>
          <w:rFonts w:cs="Arial" w:hint="cs"/>
          <w:rtl/>
        </w:rPr>
        <w:t xml:space="preserve">- </w:t>
      </w:r>
      <w:r w:rsidRPr="00716457">
        <w:rPr>
          <w:rFonts w:cs="Arial"/>
          <w:rtl/>
        </w:rPr>
        <w:t>מתחייב לפרנסו כשאר ב</w:t>
      </w:r>
      <w:r>
        <w:rPr>
          <w:rFonts w:cs="Arial" w:hint="cs"/>
          <w:rtl/>
        </w:rPr>
        <w:t>ני ביתו</w:t>
      </w:r>
      <w:r>
        <w:rPr>
          <w:rStyle w:val="a7"/>
          <w:rFonts w:cs="Arial"/>
          <w:rtl/>
        </w:rPr>
        <w:footnoteReference w:id="2773"/>
      </w:r>
      <w:r w:rsidR="00AA4AA3">
        <w:rPr>
          <w:rFonts w:cs="Arial" w:hint="cs"/>
          <w:sz w:val="16"/>
          <w:szCs w:val="16"/>
          <w:rtl/>
        </w:rPr>
        <w:t xml:space="preserve"> </w:t>
      </w:r>
      <w:r w:rsidR="00AA4AA3" w:rsidRPr="00C17D86">
        <w:rPr>
          <w:rFonts w:cs="Arial" w:hint="cs"/>
          <w:sz w:val="16"/>
          <w:szCs w:val="16"/>
          <w:rtl/>
        </w:rPr>
        <w:t>(ל' הטור בשמו)</w:t>
      </w:r>
      <w:r>
        <w:rPr>
          <w:rFonts w:cs="Arial" w:hint="cs"/>
          <w:rtl/>
        </w:rPr>
        <w:t>.</w:t>
      </w:r>
      <w:r w:rsidRPr="003E426D">
        <w:rPr>
          <w:rFonts w:cs="Arial" w:hint="cs"/>
          <w:rtl/>
        </w:rPr>
        <w:t xml:space="preserve"> </w:t>
      </w:r>
      <w:r w:rsidR="00D400DF" w:rsidRPr="004663D7">
        <w:rPr>
          <w:rFonts w:hint="cs"/>
          <w:color w:val="E36C0A" w:themeColor="accent6" w:themeShade="BF"/>
          <w:rtl/>
        </w:rPr>
        <w:t>(וכ"פ בשו"ע)</w:t>
      </w:r>
    </w:p>
    <w:p w14:paraId="7C77A32C" w14:textId="01BA1B31" w:rsidR="00C17D86" w:rsidRPr="0094194F" w:rsidRDefault="0094194F" w:rsidP="00C17D86">
      <w:pPr>
        <w:rPr>
          <w:u w:val="single"/>
        </w:rPr>
      </w:pPr>
      <w:r w:rsidRPr="0094194F">
        <w:rPr>
          <w:rFonts w:hint="cs"/>
          <w:u w:val="single"/>
          <w:rtl/>
        </w:rPr>
        <w:t>המקבל על עצמו לפרנס אדם - האם חייב ברפואתו:</w:t>
      </w:r>
    </w:p>
    <w:p w14:paraId="6360C687" w14:textId="7FB27677" w:rsidR="00392DBB" w:rsidRPr="00716457" w:rsidRDefault="00C17D86" w:rsidP="00C17D86">
      <w:pPr>
        <w:pStyle w:val="ab"/>
        <w:numPr>
          <w:ilvl w:val="0"/>
          <w:numId w:val="63"/>
        </w:numPr>
        <w:rPr>
          <w:rtl/>
        </w:rPr>
      </w:pPr>
      <w:r w:rsidRPr="00716457">
        <w:rPr>
          <w:rFonts w:cs="Arial"/>
          <w:rtl/>
        </w:rPr>
        <w:lastRenderedPageBreak/>
        <w:t>רא"ש</w:t>
      </w:r>
      <w:r>
        <w:rPr>
          <w:rFonts w:cs="Arial" w:hint="cs"/>
          <w:sz w:val="16"/>
          <w:szCs w:val="16"/>
          <w:rtl/>
        </w:rPr>
        <w:t xml:space="preserve"> (כתובות פי"ב סי' א)</w:t>
      </w:r>
      <w:r>
        <w:rPr>
          <w:rFonts w:cs="Arial" w:hint="cs"/>
          <w:rtl/>
        </w:rPr>
        <w:t>-</w:t>
      </w:r>
      <w:r w:rsidRPr="00716457">
        <w:rPr>
          <w:rFonts w:cs="Arial"/>
          <w:rtl/>
        </w:rPr>
        <w:t xml:space="preserve"> כל המתחייב בפרנסת אדם</w:t>
      </w:r>
      <w:r>
        <w:rPr>
          <w:rFonts w:cs="Arial" w:hint="cs"/>
          <w:rtl/>
        </w:rPr>
        <w:t>...</w:t>
      </w:r>
      <w:r>
        <w:rPr>
          <w:rFonts w:cs="Arial" w:hint="cs"/>
          <w:rtl/>
        </w:rPr>
        <w:t xml:space="preserve"> </w:t>
      </w:r>
      <w:r w:rsidR="00392DBB" w:rsidRPr="00C17D86">
        <w:rPr>
          <w:rFonts w:cs="Arial"/>
          <w:rtl/>
        </w:rPr>
        <w:t xml:space="preserve">אם חלה </w:t>
      </w:r>
      <w:r w:rsidR="00392DBB" w:rsidRPr="00C17D86">
        <w:rPr>
          <w:rFonts w:cs="Arial" w:hint="cs"/>
          <w:rtl/>
        </w:rPr>
        <w:t xml:space="preserve">- </w:t>
      </w:r>
      <w:r w:rsidR="00392DBB" w:rsidRPr="00C17D86">
        <w:rPr>
          <w:rFonts w:cs="Arial"/>
          <w:rtl/>
        </w:rPr>
        <w:t>אינו חייב לרפאותו</w:t>
      </w:r>
      <w:r w:rsidR="00392DBB" w:rsidRPr="00C17D86">
        <w:rPr>
          <w:rFonts w:cs="Arial" w:hint="cs"/>
          <w:rtl/>
        </w:rPr>
        <w:t>,</w:t>
      </w:r>
      <w:r w:rsidR="00392DBB" w:rsidRPr="00C17D86">
        <w:rPr>
          <w:rFonts w:cs="Arial"/>
          <w:rtl/>
        </w:rPr>
        <w:t xml:space="preserve"> א</w:t>
      </w:r>
      <w:r w:rsidR="00392DBB" w:rsidRPr="00C17D86">
        <w:rPr>
          <w:rFonts w:cs="Arial" w:hint="cs"/>
          <w:rtl/>
        </w:rPr>
        <w:t>ע"ג</w:t>
      </w:r>
      <w:r w:rsidR="00392DBB" w:rsidRPr="00C17D86">
        <w:rPr>
          <w:rFonts w:cs="Arial"/>
          <w:rtl/>
        </w:rPr>
        <w:t xml:space="preserve"> דתנן במזון האשה דרפואה שאין לה קצבה הרי היא כמזונות</w:t>
      </w:r>
      <w:r w:rsidR="00392DBB" w:rsidRPr="00C17D86">
        <w:rPr>
          <w:rFonts w:cs="Arial" w:hint="cs"/>
          <w:rtl/>
        </w:rPr>
        <w:t>,</w:t>
      </w:r>
      <w:r w:rsidR="00392DBB" w:rsidRPr="00C17D86">
        <w:rPr>
          <w:rFonts w:cs="Arial"/>
          <w:rtl/>
        </w:rPr>
        <w:t xml:space="preserve"> ה</w:t>
      </w:r>
      <w:r w:rsidR="00392DBB" w:rsidRPr="00C17D86">
        <w:rPr>
          <w:rFonts w:cs="Arial" w:hint="cs"/>
          <w:rtl/>
        </w:rPr>
        <w:t xml:space="preserve">ני </w:t>
      </w:r>
      <w:r w:rsidR="00392DBB" w:rsidRPr="00C17D86">
        <w:rPr>
          <w:rFonts w:cs="Arial"/>
          <w:rtl/>
        </w:rPr>
        <w:t>מ</w:t>
      </w:r>
      <w:r w:rsidR="00392DBB" w:rsidRPr="00C17D86">
        <w:rPr>
          <w:rFonts w:cs="Arial" w:hint="cs"/>
          <w:rtl/>
        </w:rPr>
        <w:t>ילי</w:t>
      </w:r>
      <w:r w:rsidR="00392DBB" w:rsidRPr="00C17D86">
        <w:rPr>
          <w:rFonts w:cs="Arial"/>
          <w:rtl/>
        </w:rPr>
        <w:t xml:space="preserve"> כשאוכלת בתנאי ב"ד שהוא חייב להספיק כל צרכה</w:t>
      </w:r>
      <w:r w:rsidR="00392DBB" w:rsidRPr="00C17D86">
        <w:rPr>
          <w:rFonts w:cs="Arial" w:hint="cs"/>
          <w:rtl/>
        </w:rPr>
        <w:t>,</w:t>
      </w:r>
      <w:r w:rsidR="00392DBB" w:rsidRPr="00C17D86">
        <w:rPr>
          <w:rFonts w:cs="Arial"/>
          <w:rtl/>
        </w:rPr>
        <w:t xml:space="preserve"> אבל המקבל עליו לפרנס חבירו אין הרפואה בכלל</w:t>
      </w:r>
      <w:r w:rsidR="00392DBB" w:rsidRPr="00C17D86">
        <w:rPr>
          <w:rFonts w:cs="Arial" w:hint="cs"/>
          <w:sz w:val="16"/>
          <w:szCs w:val="16"/>
          <w:rtl/>
        </w:rPr>
        <w:t xml:space="preserve"> (ל' הטור בשמו)</w:t>
      </w:r>
      <w:r w:rsidR="00392DBB" w:rsidRPr="00C17D86">
        <w:rPr>
          <w:rFonts w:cs="Arial" w:hint="cs"/>
          <w:rtl/>
        </w:rPr>
        <w:t>.</w:t>
      </w:r>
      <w:r w:rsidR="00392DBB" w:rsidRPr="00C17D86">
        <w:rPr>
          <w:rFonts w:hint="cs"/>
          <w:color w:val="E36C0A" w:themeColor="accent6" w:themeShade="BF"/>
          <w:rtl/>
        </w:rPr>
        <w:t xml:space="preserve"> (וכ"פ בשו"ע)</w:t>
      </w:r>
    </w:p>
    <w:p w14:paraId="12AD0EE0"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4205516" w14:textId="47E736CE" w:rsidR="00392DBB" w:rsidRDefault="00392DBB" w:rsidP="00392DBB">
      <w:pPr>
        <w:rPr>
          <w:rtl/>
        </w:rPr>
      </w:pPr>
      <w:r>
        <w:rPr>
          <w:rFonts w:cs="Arial"/>
          <w:rtl/>
        </w:rPr>
        <w:t>נתגרשה בתוך הזמן שקבל לזון את הבת, נותן לה במקום שתהיה אמה מזונות משלם כמי שזן את אשתו ע</w:t>
      </w:r>
      <w:r>
        <w:rPr>
          <w:rFonts w:cs="Arial" w:hint="cs"/>
          <w:rtl/>
        </w:rPr>
        <w:t>ל ידי</w:t>
      </w:r>
      <w:r>
        <w:rPr>
          <w:rFonts w:cs="Arial"/>
          <w:rtl/>
        </w:rPr>
        <w:t xml:space="preserve"> שליש, ואינו חייב ליתן לה לפי כבודו ולא לפי כבודה. </w:t>
      </w:r>
      <w:r w:rsidRPr="007905FE">
        <w:rPr>
          <w:rFonts w:cs="Arial" w:hint="cs"/>
          <w:sz w:val="18"/>
          <w:szCs w:val="18"/>
          <w:rtl/>
        </w:rPr>
        <w:t xml:space="preserve">[הגה] </w:t>
      </w:r>
      <w:r w:rsidRPr="007905FE">
        <w:rPr>
          <w:rFonts w:cs="Arial"/>
          <w:sz w:val="18"/>
          <w:szCs w:val="18"/>
          <w:rtl/>
        </w:rPr>
        <w:t>ויש חולקים וסוברים דצריך לתת לה כאחד מבני ביתו (רא"ש</w:t>
      </w:r>
      <w:r w:rsidR="005A5C8C">
        <w:rPr>
          <w:rFonts w:cs="Arial" w:hint="cs"/>
          <w:sz w:val="18"/>
          <w:szCs w:val="18"/>
          <w:rtl/>
        </w:rPr>
        <w:t xml:space="preserve"> להב'</w:t>
      </w:r>
      <w:r w:rsidR="00AA4AA3">
        <w:rPr>
          <w:rFonts w:cs="Arial" w:hint="cs"/>
          <w:sz w:val="18"/>
          <w:szCs w:val="18"/>
          <w:rtl/>
        </w:rPr>
        <w:t xml:space="preserve"> הטור</w:t>
      </w:r>
      <w:r w:rsidR="005A5C8C">
        <w:rPr>
          <w:rFonts w:cs="Arial" w:hint="cs"/>
          <w:sz w:val="18"/>
          <w:szCs w:val="18"/>
          <w:rtl/>
        </w:rPr>
        <w:t xml:space="preserve"> </w:t>
      </w:r>
      <w:r w:rsidR="00AA4AA3">
        <w:rPr>
          <w:rFonts w:cs="Arial" w:hint="cs"/>
          <w:sz w:val="18"/>
          <w:szCs w:val="18"/>
          <w:rtl/>
        </w:rPr>
        <w:t>ו</w:t>
      </w:r>
      <w:r w:rsidR="00C5046B">
        <w:rPr>
          <w:rFonts w:cs="Arial" w:hint="cs"/>
          <w:sz w:val="18"/>
          <w:szCs w:val="18"/>
          <w:rtl/>
        </w:rPr>
        <w:t>הדרכ"מ</w:t>
      </w:r>
      <w:r w:rsidRPr="007905FE">
        <w:rPr>
          <w:rFonts w:cs="Arial"/>
          <w:sz w:val="18"/>
          <w:szCs w:val="18"/>
          <w:rtl/>
        </w:rPr>
        <w:t>) וכן נ"ל.</w:t>
      </w:r>
      <w:r>
        <w:rPr>
          <w:rFonts w:cs="Arial"/>
          <w:rtl/>
        </w:rPr>
        <w:t xml:space="preserve"> ואם מאכילה על שלחנו, ניזונת עמו כאחד מאוכלי שלחנו. ובין כך ובין כך אינו חייב ברפואתה. </w:t>
      </w:r>
    </w:p>
    <w:p w14:paraId="376CD8D3" w14:textId="77777777" w:rsidR="00392DBB" w:rsidRDefault="00392DBB" w:rsidP="00392DBB">
      <w:pPr>
        <w:rPr>
          <w:rtl/>
        </w:rPr>
      </w:pPr>
    </w:p>
    <w:p w14:paraId="65C6FA74" w14:textId="77777777" w:rsidR="00392DBB" w:rsidRDefault="00392DBB" w:rsidP="000F64D0">
      <w:pPr>
        <w:pStyle w:val="2"/>
        <w:rPr>
          <w:rtl/>
        </w:rPr>
      </w:pPr>
      <w:r>
        <w:rPr>
          <w:rtl/>
        </w:rPr>
        <w:t>סעיף ז</w:t>
      </w:r>
      <w:r>
        <w:rPr>
          <w:rFonts w:hint="cs"/>
          <w:rtl/>
        </w:rPr>
        <w:t>: המקבל עליו לזון אדם כל שהוא.</w:t>
      </w:r>
    </w:p>
    <w:p w14:paraId="1D83323F" w14:textId="77777777" w:rsidR="00392DBB" w:rsidRPr="0093243A" w:rsidRDefault="00392DBB" w:rsidP="00392DBB">
      <w:pPr>
        <w:rPr>
          <w:rFonts w:cs="Arial"/>
          <w:u w:val="single"/>
          <w:rtl/>
        </w:rPr>
      </w:pPr>
      <w:r w:rsidRPr="0093243A">
        <w:rPr>
          <w:rFonts w:cs="Arial" w:hint="cs"/>
          <w:u w:val="single"/>
          <w:rtl/>
        </w:rPr>
        <w:t>המקבל עליו לזון את חברו לכך וכך זמן:</w:t>
      </w:r>
    </w:p>
    <w:p w14:paraId="4D2B6943" w14:textId="558D61BF" w:rsidR="00392DBB" w:rsidRDefault="00392DBB" w:rsidP="009000E3">
      <w:pPr>
        <w:pStyle w:val="ab"/>
        <w:numPr>
          <w:ilvl w:val="0"/>
          <w:numId w:val="74"/>
        </w:numPr>
        <w:rPr>
          <w:rFonts w:cs="Arial"/>
        </w:rPr>
      </w:pPr>
      <w:r w:rsidRPr="0093243A">
        <w:rPr>
          <w:rFonts w:cs="Arial"/>
          <w:rtl/>
        </w:rPr>
        <w:t>רשב"א</w:t>
      </w:r>
      <w:r w:rsidRPr="0093243A">
        <w:rPr>
          <w:rFonts w:cs="Arial"/>
          <w:sz w:val="16"/>
          <w:szCs w:val="16"/>
          <w:rtl/>
        </w:rPr>
        <w:t xml:space="preserve"> </w:t>
      </w:r>
      <w:r w:rsidRPr="0093243A">
        <w:rPr>
          <w:rFonts w:cs="Arial" w:hint="cs"/>
          <w:sz w:val="16"/>
          <w:szCs w:val="16"/>
          <w:rtl/>
        </w:rPr>
        <w:t>(</w:t>
      </w:r>
      <w:r w:rsidRPr="0093243A">
        <w:rPr>
          <w:rFonts w:cs="Arial"/>
          <w:sz w:val="16"/>
          <w:szCs w:val="16"/>
          <w:rtl/>
        </w:rPr>
        <w:t>בתשו</w:t>
      </w:r>
      <w:r w:rsidRPr="0093243A">
        <w:rPr>
          <w:rFonts w:cs="Arial" w:hint="cs"/>
          <w:sz w:val="16"/>
          <w:szCs w:val="16"/>
          <w:rtl/>
        </w:rPr>
        <w:t>', כ"כ הב"י בשמו)</w:t>
      </w:r>
      <w:r w:rsidRPr="0093243A">
        <w:rPr>
          <w:rFonts w:cs="Arial"/>
          <w:rtl/>
        </w:rPr>
        <w:t xml:space="preserve"> </w:t>
      </w:r>
      <w:r>
        <w:rPr>
          <w:rFonts w:cs="Arial" w:hint="cs"/>
          <w:rtl/>
        </w:rPr>
        <w:t xml:space="preserve">ור"ן </w:t>
      </w:r>
      <w:r w:rsidRPr="0093243A">
        <w:rPr>
          <w:rFonts w:cs="Arial"/>
          <w:sz w:val="16"/>
          <w:szCs w:val="16"/>
          <w:rtl/>
        </w:rPr>
        <w:t>(</w:t>
      </w:r>
      <w:r w:rsidRPr="0093243A">
        <w:rPr>
          <w:rFonts w:cs="Arial" w:hint="cs"/>
          <w:sz w:val="16"/>
          <w:szCs w:val="16"/>
          <w:rtl/>
        </w:rPr>
        <w:t xml:space="preserve">ר"פ הנושא </w:t>
      </w:r>
      <w:r w:rsidRPr="0093243A">
        <w:rPr>
          <w:rFonts w:cs="Arial"/>
          <w:sz w:val="16"/>
          <w:szCs w:val="16"/>
          <w:rtl/>
        </w:rPr>
        <w:t>ס: ד"ה נשאת</w:t>
      </w:r>
      <w:r>
        <w:rPr>
          <w:rFonts w:cs="Arial" w:hint="cs"/>
          <w:sz w:val="16"/>
          <w:szCs w:val="16"/>
          <w:rtl/>
        </w:rPr>
        <w:t>, כ"כ בשמו הדרכ"מ [אות א]</w:t>
      </w:r>
      <w:r w:rsidRPr="0093243A">
        <w:rPr>
          <w:rFonts w:cs="Arial"/>
          <w:sz w:val="16"/>
          <w:szCs w:val="16"/>
          <w:rtl/>
        </w:rPr>
        <w:t>)</w:t>
      </w:r>
      <w:r w:rsidRPr="0093243A">
        <w:rPr>
          <w:rFonts w:cs="Arial" w:hint="cs"/>
          <w:rtl/>
        </w:rPr>
        <w:t>-</w:t>
      </w:r>
      <w:r w:rsidRPr="0093243A">
        <w:rPr>
          <w:rFonts w:cs="Arial"/>
          <w:rtl/>
        </w:rPr>
        <w:t xml:space="preserve"> דינים אלו שוים במקבל עליו לזון את חבירו ה' שנים כמו במקבל עליו לזון את בת אשתו</w:t>
      </w:r>
      <w:r w:rsidR="00D7517F">
        <w:rPr>
          <w:rFonts w:cs="Arial" w:hint="cs"/>
          <w:sz w:val="16"/>
          <w:szCs w:val="16"/>
          <w:rtl/>
        </w:rPr>
        <w:t xml:space="preserve"> (ל' הב"י בשם הרשב"א)</w:t>
      </w:r>
      <w:r w:rsidRPr="0093243A">
        <w:rPr>
          <w:rFonts w:cs="Arial"/>
          <w:rtl/>
        </w:rPr>
        <w:t xml:space="preserve">. </w:t>
      </w:r>
      <w:r w:rsidRPr="004663D7">
        <w:rPr>
          <w:rFonts w:hint="cs"/>
          <w:color w:val="E36C0A" w:themeColor="accent6" w:themeShade="BF"/>
          <w:rtl/>
        </w:rPr>
        <w:t>(וכ"פ בשו"ע)</w:t>
      </w:r>
    </w:p>
    <w:p w14:paraId="15720908" w14:textId="77777777" w:rsidR="00392DBB" w:rsidRPr="00070245" w:rsidRDefault="00392DBB" w:rsidP="00392DBB">
      <w:pPr>
        <w:rPr>
          <w:rFonts w:cs="Arial"/>
          <w:u w:val="single"/>
        </w:rPr>
      </w:pPr>
      <w:r w:rsidRPr="00070245">
        <w:rPr>
          <w:rFonts w:cs="Arial" w:hint="cs"/>
          <w:u w:val="single"/>
          <w:rtl/>
        </w:rPr>
        <w:t>המקבל עליו לזון את חברו בסתם</w:t>
      </w:r>
      <w:r>
        <w:rPr>
          <w:rFonts w:cs="Arial" w:hint="cs"/>
          <w:u w:val="single"/>
          <w:rtl/>
        </w:rPr>
        <w:t xml:space="preserve"> </w:t>
      </w:r>
      <w:r>
        <w:rPr>
          <w:rFonts w:cs="Arial" w:hint="cs"/>
          <w:sz w:val="16"/>
          <w:szCs w:val="16"/>
          <w:u w:val="single"/>
          <w:rtl/>
        </w:rPr>
        <w:t>(ולא אמר כמה זמן)</w:t>
      </w:r>
      <w:r w:rsidRPr="00070245">
        <w:rPr>
          <w:rFonts w:cs="Arial" w:hint="cs"/>
          <w:u w:val="single"/>
          <w:rtl/>
        </w:rPr>
        <w:t>:</w:t>
      </w:r>
    </w:p>
    <w:p w14:paraId="52D13BA4" w14:textId="77777777" w:rsidR="00392DBB" w:rsidRDefault="00392DBB" w:rsidP="009000E3">
      <w:pPr>
        <w:pStyle w:val="ab"/>
        <w:numPr>
          <w:ilvl w:val="0"/>
          <w:numId w:val="74"/>
        </w:numPr>
        <w:rPr>
          <w:rFonts w:cs="Arial"/>
        </w:rPr>
      </w:pPr>
      <w:r>
        <w:rPr>
          <w:rFonts w:cs="Arial" w:hint="cs"/>
          <w:rtl/>
        </w:rPr>
        <w:t>רשב"א</w:t>
      </w:r>
      <w:r w:rsidRPr="00290810">
        <w:rPr>
          <w:rFonts w:cs="Arial"/>
          <w:rtl/>
        </w:rPr>
        <w:t xml:space="preserve"> </w:t>
      </w:r>
      <w:r w:rsidRPr="00290810">
        <w:rPr>
          <w:rFonts w:cs="Arial"/>
          <w:sz w:val="16"/>
          <w:szCs w:val="16"/>
          <w:rtl/>
        </w:rPr>
        <w:t>(ח"ו סי' ה)</w:t>
      </w:r>
      <w:r>
        <w:rPr>
          <w:rFonts w:cs="Arial" w:hint="cs"/>
          <w:rtl/>
        </w:rPr>
        <w:t>-</w:t>
      </w:r>
      <w:r w:rsidRPr="00290810">
        <w:rPr>
          <w:rFonts w:cs="Arial"/>
          <w:rtl/>
        </w:rPr>
        <w:t xml:space="preserve"> כל שמקבל עליו לזון או שמזכה לאיש בנכסיו מזונות</w:t>
      </w:r>
      <w:r>
        <w:rPr>
          <w:rFonts w:cs="Arial" w:hint="cs"/>
          <w:rtl/>
        </w:rPr>
        <w:t>,</w:t>
      </w:r>
      <w:r w:rsidRPr="00290810">
        <w:rPr>
          <w:rFonts w:cs="Arial"/>
          <w:rtl/>
        </w:rPr>
        <w:t xml:space="preserve"> סתם </w:t>
      </w:r>
      <w:r>
        <w:rPr>
          <w:rFonts w:cs="Arial" w:hint="cs"/>
          <w:rtl/>
        </w:rPr>
        <w:t xml:space="preserve">- </w:t>
      </w:r>
      <w:r w:rsidRPr="00290810">
        <w:rPr>
          <w:rFonts w:cs="Arial"/>
          <w:rtl/>
        </w:rPr>
        <w:t>כל זמן שצריך מזונות משמע</w:t>
      </w:r>
      <w:r>
        <w:rPr>
          <w:rFonts w:cs="Arial" w:hint="cs"/>
          <w:rtl/>
        </w:rPr>
        <w:t>.</w:t>
      </w:r>
      <w:r w:rsidRPr="00290810">
        <w:rPr>
          <w:rFonts w:cs="Arial"/>
          <w:rtl/>
        </w:rPr>
        <w:t xml:space="preserve"> וכמי שאסר על עצמו סתם שלא יאכל מן המינים</w:t>
      </w:r>
      <w:r>
        <w:rPr>
          <w:rFonts w:cs="Arial" w:hint="cs"/>
          <w:rtl/>
        </w:rPr>
        <w:t>,</w:t>
      </w:r>
      <w:r w:rsidRPr="00290810">
        <w:rPr>
          <w:rFonts w:cs="Arial"/>
          <w:rtl/>
        </w:rPr>
        <w:t xml:space="preserve"> שאסור בהם לעולם</w:t>
      </w:r>
      <w:r>
        <w:rPr>
          <w:rFonts w:cs="Arial" w:hint="cs"/>
          <w:rtl/>
        </w:rPr>
        <w:t>.</w:t>
      </w:r>
      <w:r w:rsidRPr="00290810">
        <w:rPr>
          <w:rFonts w:cs="Arial"/>
          <w:rtl/>
        </w:rPr>
        <w:t xml:space="preserve"> וכדאמרינן בפרק ד' נדרים (נדרים כח.) אמתניתין דנודרין להרגין כיון דאמר יאסרו כל פירות העולם עלי איתסור כל פירי דעלמא עילויה</w:t>
      </w:r>
      <w:r>
        <w:rPr>
          <w:rFonts w:cs="Arial" w:hint="cs"/>
          <w:rtl/>
        </w:rPr>
        <w:t>!?</w:t>
      </w:r>
      <w:r w:rsidRPr="00290810">
        <w:rPr>
          <w:rFonts w:cs="Arial"/>
          <w:rtl/>
        </w:rPr>
        <w:t xml:space="preserve"> ופרקינן דאמר היום</w:t>
      </w:r>
      <w:r>
        <w:rPr>
          <w:rFonts w:cs="Arial" w:hint="cs"/>
          <w:rtl/>
        </w:rPr>
        <w:t>.</w:t>
      </w:r>
      <w:r w:rsidRPr="00290810">
        <w:rPr>
          <w:rFonts w:cs="Arial"/>
          <w:rtl/>
        </w:rPr>
        <w:t xml:space="preserve"> אלמא כל סתם </w:t>
      </w:r>
      <w:r>
        <w:rPr>
          <w:rFonts w:cs="Arial" w:hint="cs"/>
          <w:rtl/>
        </w:rPr>
        <w:t xml:space="preserve">- </w:t>
      </w:r>
      <w:r w:rsidRPr="00290810">
        <w:rPr>
          <w:rFonts w:cs="Arial"/>
          <w:rtl/>
        </w:rPr>
        <w:t>כלעולם דמי</w:t>
      </w:r>
      <w:r>
        <w:rPr>
          <w:rStyle w:val="a7"/>
          <w:rFonts w:cs="Arial"/>
          <w:rtl/>
        </w:rPr>
        <w:footnoteReference w:id="2774"/>
      </w:r>
      <w:r w:rsidRPr="00290810">
        <w:rPr>
          <w:rFonts w:cs="Arial"/>
          <w:rtl/>
        </w:rPr>
        <w:t xml:space="preserve">. </w:t>
      </w:r>
    </w:p>
    <w:p w14:paraId="3FE9E436" w14:textId="75B2BFDD" w:rsidR="00392DBB" w:rsidRPr="002C1D2E" w:rsidRDefault="00392DBB" w:rsidP="002C1D2E">
      <w:pPr>
        <w:pStyle w:val="ab"/>
        <w:numPr>
          <w:ilvl w:val="0"/>
          <w:numId w:val="74"/>
        </w:numPr>
        <w:rPr>
          <w:rFonts w:cs="Arial"/>
          <w:rtl/>
        </w:rPr>
      </w:pPr>
      <w:r w:rsidRPr="00290810">
        <w:rPr>
          <w:rFonts w:cs="Arial"/>
          <w:rtl/>
        </w:rPr>
        <w:t xml:space="preserve">רא"ש </w:t>
      </w:r>
      <w:r w:rsidRPr="00290810">
        <w:rPr>
          <w:rFonts w:cs="Arial" w:hint="cs"/>
          <w:sz w:val="16"/>
          <w:szCs w:val="16"/>
          <w:rtl/>
        </w:rPr>
        <w:t>(</w:t>
      </w:r>
      <w:r w:rsidRPr="00290810">
        <w:rPr>
          <w:rFonts w:cs="Arial"/>
          <w:sz w:val="16"/>
          <w:szCs w:val="16"/>
          <w:rtl/>
        </w:rPr>
        <w:t xml:space="preserve">כלל </w:t>
      </w:r>
      <w:r w:rsidRPr="00290810">
        <w:rPr>
          <w:rFonts w:cs="Arial" w:hint="cs"/>
          <w:sz w:val="16"/>
          <w:szCs w:val="16"/>
          <w:rtl/>
        </w:rPr>
        <w:t>ו</w:t>
      </w:r>
      <w:r w:rsidRPr="00290810">
        <w:rPr>
          <w:rFonts w:cs="Arial"/>
          <w:sz w:val="16"/>
          <w:szCs w:val="16"/>
          <w:rtl/>
        </w:rPr>
        <w:t xml:space="preserve"> סי</w:t>
      </w:r>
      <w:r w:rsidRPr="00290810">
        <w:rPr>
          <w:rFonts w:cs="Arial" w:hint="cs"/>
          <w:sz w:val="16"/>
          <w:szCs w:val="16"/>
          <w:rtl/>
        </w:rPr>
        <w:t xml:space="preserve">' </w:t>
      </w:r>
      <w:r w:rsidR="00680BE7">
        <w:rPr>
          <w:rFonts w:cs="Arial" w:hint="cs"/>
          <w:sz w:val="16"/>
          <w:szCs w:val="16"/>
          <w:rtl/>
        </w:rPr>
        <w:t>יח-</w:t>
      </w:r>
      <w:r w:rsidRPr="00290810">
        <w:rPr>
          <w:rFonts w:cs="Arial"/>
          <w:sz w:val="16"/>
          <w:szCs w:val="16"/>
          <w:rtl/>
        </w:rPr>
        <w:t>יט</w:t>
      </w:r>
      <w:r w:rsidRPr="00290810">
        <w:rPr>
          <w:rFonts w:cs="Arial" w:hint="cs"/>
          <w:sz w:val="16"/>
          <w:szCs w:val="16"/>
          <w:rtl/>
        </w:rPr>
        <w:t>)</w:t>
      </w:r>
      <w:r>
        <w:rPr>
          <w:rFonts w:cs="Arial" w:hint="cs"/>
          <w:rtl/>
        </w:rPr>
        <w:t xml:space="preserve">- </w:t>
      </w:r>
      <w:r w:rsidR="003423D1" w:rsidRPr="003423D1">
        <w:rPr>
          <w:rFonts w:cs="Arial"/>
          <w:rtl/>
        </w:rPr>
        <w:t>עוד ילמדני מי שקבל עליו לזון את חבירו סתם או ליתן לו מאה זהובים לשנה ולא קבע לו זמן אם יכול לחזור בו לכשירצה או נאמר לעולם ויהיה כסתם נדר דלית לי' קיצותא ואף אם יכול לחזור.</w:t>
      </w:r>
      <w:r w:rsidR="00680BE7">
        <w:rPr>
          <w:rFonts w:cs="Arial" w:hint="cs"/>
          <w:rtl/>
        </w:rPr>
        <w:t>..</w:t>
      </w:r>
      <w:r w:rsidR="003423D1" w:rsidRPr="003423D1">
        <w:rPr>
          <w:rFonts w:cs="Arial"/>
          <w:rtl/>
        </w:rPr>
        <w:t xml:space="preserve"> </w:t>
      </w:r>
      <w:r w:rsidR="002C1D2E" w:rsidRPr="002C1D2E">
        <w:rPr>
          <w:rFonts w:cs="Arial"/>
          <w:rtl/>
        </w:rPr>
        <w:t>המקבל עליו לזון חברו בסתם או</w:t>
      </w:r>
      <w:r w:rsidR="00680BE7">
        <w:rPr>
          <w:rFonts w:cs="Arial" w:hint="cs"/>
          <w:rtl/>
        </w:rPr>
        <w:t xml:space="preserve"> </w:t>
      </w:r>
      <w:r w:rsidR="002C1D2E" w:rsidRPr="002C1D2E">
        <w:rPr>
          <w:rFonts w:cs="Arial"/>
          <w:rtl/>
        </w:rPr>
        <w:t>יתן לו מאה זהובים לשנה</w:t>
      </w:r>
      <w:r w:rsidR="005A5F3E">
        <w:rPr>
          <w:rFonts w:cs="Arial" w:hint="cs"/>
          <w:rtl/>
        </w:rPr>
        <w:t xml:space="preserve"> -</w:t>
      </w:r>
      <w:r w:rsidR="002C1D2E" w:rsidRPr="002C1D2E">
        <w:rPr>
          <w:rFonts w:cs="Arial"/>
          <w:rtl/>
        </w:rPr>
        <w:t xml:space="preserve"> דין זה כדין הראשון ובשנה אחת יפטרו מנדרו</w:t>
      </w:r>
      <w:r w:rsidRPr="002C1D2E">
        <w:rPr>
          <w:rFonts w:cs="Arial" w:hint="cs"/>
          <w:rtl/>
        </w:rPr>
        <w:t>.</w:t>
      </w:r>
    </w:p>
    <w:p w14:paraId="0AE4B919"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39DA085" w14:textId="475F7EC6" w:rsidR="00392DBB" w:rsidRDefault="00392DBB" w:rsidP="00392DBB">
      <w:pPr>
        <w:rPr>
          <w:rtl/>
        </w:rPr>
      </w:pPr>
      <w:r>
        <w:rPr>
          <w:rFonts w:cs="Arial"/>
          <w:rtl/>
        </w:rPr>
        <w:t>הוא הדין למי שמתחייב בפרנסת אדם אחר</w:t>
      </w:r>
      <w:r>
        <w:rPr>
          <w:rStyle w:val="a7"/>
          <w:rFonts w:cs="Arial"/>
          <w:rtl/>
        </w:rPr>
        <w:footnoteReference w:id="2775"/>
      </w:r>
      <w:r w:rsidR="00DD4C51">
        <w:rPr>
          <w:rFonts w:cs="Arial" w:hint="cs"/>
          <w:rtl/>
        </w:rPr>
        <w:t>.</w:t>
      </w:r>
      <w:r>
        <w:rPr>
          <w:rFonts w:cs="Arial"/>
          <w:rtl/>
        </w:rPr>
        <w:t xml:space="preserve"> </w:t>
      </w:r>
      <w:r w:rsidR="00DD4C51">
        <w:rPr>
          <w:rFonts w:cs="Arial" w:hint="cs"/>
          <w:sz w:val="18"/>
          <w:szCs w:val="18"/>
          <w:rtl/>
        </w:rPr>
        <w:t xml:space="preserve">[הגה] </w:t>
      </w:r>
      <w:r w:rsidRPr="00290810">
        <w:rPr>
          <w:rFonts w:cs="Arial"/>
          <w:sz w:val="18"/>
          <w:szCs w:val="18"/>
          <w:rtl/>
        </w:rPr>
        <w:t>ועיין באלו דינים בחשן המשפט סי' ס'</w:t>
      </w:r>
      <w:r>
        <w:rPr>
          <w:rFonts w:cs="Arial"/>
          <w:rtl/>
        </w:rPr>
        <w:t xml:space="preserve">. </w:t>
      </w:r>
    </w:p>
    <w:p w14:paraId="5123B6C7" w14:textId="77777777" w:rsidR="00392DBB" w:rsidRDefault="00392DBB" w:rsidP="00392DBB">
      <w:pPr>
        <w:rPr>
          <w:rFonts w:hint="cs"/>
          <w:rtl/>
        </w:rPr>
      </w:pPr>
    </w:p>
    <w:p w14:paraId="6227CD6D" w14:textId="77777777" w:rsidR="00392DBB" w:rsidRDefault="00392DBB" w:rsidP="000F64D0">
      <w:pPr>
        <w:pStyle w:val="2"/>
        <w:rPr>
          <w:rtl/>
        </w:rPr>
      </w:pPr>
      <w:r>
        <w:rPr>
          <w:rtl/>
        </w:rPr>
        <w:t>סעיף ח</w:t>
      </w:r>
      <w:r>
        <w:rPr>
          <w:rFonts w:hint="cs"/>
          <w:rtl/>
        </w:rPr>
        <w:t>: גרש את אשתו ונשאת לאחר, ופסקה גם עמו שיזון את בתה.</w:t>
      </w:r>
    </w:p>
    <w:p w14:paraId="2C00C656" w14:textId="77777777" w:rsidR="00392DBB" w:rsidRDefault="00392DBB" w:rsidP="00392DBB">
      <w:pPr>
        <w:rPr>
          <w:rtl/>
        </w:rPr>
      </w:pPr>
      <w:r w:rsidRPr="00C46108">
        <w:rPr>
          <w:rFonts w:cs="Arial" w:hint="cs"/>
          <w:b/>
          <w:bCs/>
          <w:rtl/>
        </w:rPr>
        <w:t xml:space="preserve">כתובות </w:t>
      </w:r>
      <w:r>
        <w:rPr>
          <w:rFonts w:cs="Arial" w:hint="cs"/>
          <w:b/>
          <w:bCs/>
          <w:sz w:val="16"/>
          <w:szCs w:val="16"/>
          <w:rtl/>
        </w:rPr>
        <w:t xml:space="preserve">(ר"פ הנושא) </w:t>
      </w:r>
      <w:r w:rsidRPr="00C46108">
        <w:rPr>
          <w:rFonts w:cs="Arial" w:hint="cs"/>
          <w:b/>
          <w:bCs/>
          <w:rtl/>
        </w:rPr>
        <w:t>קא</w:t>
      </w:r>
      <w:r>
        <w:rPr>
          <w:rStyle w:val="a7"/>
          <w:rFonts w:cs="Arial"/>
          <w:b/>
          <w:bCs/>
          <w:rtl/>
        </w:rPr>
        <w:footnoteReference w:id="2776"/>
      </w:r>
      <w:r w:rsidRPr="00C46108">
        <w:rPr>
          <w:rFonts w:cs="Arial" w:hint="cs"/>
          <w:b/>
          <w:bCs/>
          <w:rtl/>
        </w:rPr>
        <w:t xml:space="preserve"> ע"ב:</w:t>
      </w:r>
      <w:r>
        <w:rPr>
          <w:rFonts w:cs="Arial" w:hint="cs"/>
          <w:rtl/>
        </w:rPr>
        <w:t xml:space="preserve"> </w:t>
      </w:r>
      <w:r w:rsidRPr="005234DA">
        <w:rPr>
          <w:rFonts w:cs="Arial"/>
          <w:u w:val="double"/>
          <w:rtl/>
        </w:rPr>
        <w:t>מתני'</w:t>
      </w:r>
      <w:r>
        <w:rPr>
          <w:rFonts w:cs="Arial" w:hint="cs"/>
          <w:rtl/>
        </w:rPr>
        <w:t>:</w:t>
      </w:r>
      <w:r w:rsidRPr="00B44A91">
        <w:rPr>
          <w:rFonts w:cs="Arial"/>
          <w:rtl/>
        </w:rPr>
        <w:t xml:space="preserve"> הנושא את האשה, ופסקה עמו כדי שיזון את בתה חמש שנים - חייב לזונה חמש שנים</w:t>
      </w:r>
      <w:r>
        <w:rPr>
          <w:rFonts w:cs="Arial" w:hint="cs"/>
          <w:rtl/>
        </w:rPr>
        <w:t>.</w:t>
      </w:r>
      <w:r w:rsidRPr="00B77EF1">
        <w:rPr>
          <w:rtl/>
        </w:rPr>
        <w:t xml:space="preserve"> </w:t>
      </w:r>
      <w:r w:rsidRPr="00B77EF1">
        <w:rPr>
          <w:rFonts w:cs="Arial"/>
          <w:rtl/>
        </w:rPr>
        <w:t>ניסת לאחר, ופסקה עמו כדי שיזון את בתה חמש שנים - חייב לזונה חמש שנים. לא יאמר הראשון לכשתבא אצלי אזונה, אלא מוליך לה מזונותיה למקום שאמה. וכן לא יאמרו שניהם הרי אנו זנין אותה כאחד, אלא אחד זנה ואחד נותן לה דמי מזונות.</w:t>
      </w:r>
      <w:r>
        <w:rPr>
          <w:rFonts w:cs="Arial" w:hint="cs"/>
          <w:rtl/>
        </w:rPr>
        <w:t>.</w:t>
      </w:r>
      <w:r w:rsidRPr="00B77EF1">
        <w:rPr>
          <w:rFonts w:cs="Arial"/>
          <w:rtl/>
        </w:rPr>
        <w:t>.</w:t>
      </w:r>
    </w:p>
    <w:p w14:paraId="34C58EC2" w14:textId="77777777" w:rsidR="00392DBB" w:rsidRPr="00070245" w:rsidRDefault="00392DBB" w:rsidP="00392DBB">
      <w:pPr>
        <w:rPr>
          <w:u w:val="single"/>
          <w:rtl/>
        </w:rPr>
      </w:pPr>
      <w:r w:rsidRPr="00070245">
        <w:rPr>
          <w:rFonts w:hint="cs"/>
          <w:u w:val="single"/>
          <w:rtl/>
        </w:rPr>
        <w:t>נשאת לאחר ופסקה גם עמו שיזון את בתה:</w:t>
      </w:r>
    </w:p>
    <w:p w14:paraId="1A028730" w14:textId="3EF8B8AE" w:rsidR="00392DBB" w:rsidRPr="00696880" w:rsidRDefault="00392DBB" w:rsidP="009000E3">
      <w:pPr>
        <w:pStyle w:val="ab"/>
        <w:numPr>
          <w:ilvl w:val="0"/>
          <w:numId w:val="63"/>
        </w:numPr>
      </w:pPr>
      <w:r>
        <w:rPr>
          <w:rFonts w:hint="cs"/>
          <w:rtl/>
        </w:rPr>
        <w:t>טור-</w:t>
      </w:r>
      <w:r>
        <w:rPr>
          <w:rFonts w:cs="Arial" w:hint="cs"/>
          <w:rtl/>
        </w:rPr>
        <w:t xml:space="preserve"> </w:t>
      </w:r>
      <w:r w:rsidRPr="00716457">
        <w:rPr>
          <w:rFonts w:cs="Arial"/>
          <w:rtl/>
        </w:rPr>
        <w:t>נשאת לאחר</w:t>
      </w:r>
      <w:r w:rsidR="00BC14A4">
        <w:rPr>
          <w:rFonts w:cs="Arial" w:hint="cs"/>
          <w:rtl/>
        </w:rPr>
        <w:t>,</w:t>
      </w:r>
      <w:r w:rsidRPr="00716457">
        <w:rPr>
          <w:rFonts w:cs="Arial"/>
          <w:rtl/>
        </w:rPr>
        <w:t xml:space="preserve"> ופסקה גם עמו שיזון את בתה</w:t>
      </w:r>
      <w:r w:rsidR="00D7517F">
        <w:rPr>
          <w:rFonts w:cs="Arial" w:hint="cs"/>
          <w:rtl/>
        </w:rPr>
        <w:t>,</w:t>
      </w:r>
      <w:r>
        <w:rPr>
          <w:rFonts w:cs="Arial" w:hint="cs"/>
          <w:rtl/>
        </w:rPr>
        <w:t xml:space="preserve"> </w:t>
      </w:r>
      <w:r w:rsidRPr="00716457">
        <w:rPr>
          <w:rFonts w:cs="Arial"/>
          <w:rtl/>
        </w:rPr>
        <w:t>אחד זנה ואחד נותן לה דמי מזונו</w:t>
      </w:r>
      <w:r>
        <w:rPr>
          <w:rFonts w:cs="Arial" w:hint="cs"/>
          <w:rtl/>
        </w:rPr>
        <w:t>ת</w:t>
      </w:r>
      <w:r w:rsidRPr="00716457">
        <w:rPr>
          <w:rFonts w:cs="Arial"/>
          <w:rtl/>
        </w:rPr>
        <w:t xml:space="preserve"> משלם</w:t>
      </w:r>
      <w:r>
        <w:rPr>
          <w:rFonts w:cs="Arial" w:hint="cs"/>
          <w:rtl/>
        </w:rPr>
        <w:t>.</w:t>
      </w:r>
      <w:r w:rsidRPr="00716457">
        <w:rPr>
          <w:rFonts w:cs="Arial"/>
          <w:rtl/>
        </w:rPr>
        <w:t xml:space="preserve"> </w:t>
      </w:r>
      <w:r w:rsidRPr="004663D7">
        <w:rPr>
          <w:rFonts w:hint="cs"/>
          <w:color w:val="E36C0A" w:themeColor="accent6" w:themeShade="BF"/>
          <w:rtl/>
        </w:rPr>
        <w:t>(וכ"פ בשו"ע)</w:t>
      </w:r>
    </w:p>
    <w:p w14:paraId="6E0906B0"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B528E5D" w14:textId="77777777" w:rsidR="00392DBB" w:rsidRDefault="00392DBB" w:rsidP="00392DBB">
      <w:pPr>
        <w:rPr>
          <w:rtl/>
        </w:rPr>
      </w:pPr>
      <w:r>
        <w:rPr>
          <w:rFonts w:cs="Arial"/>
          <w:rtl/>
        </w:rPr>
        <w:t>נשאת לאחר, ופסקה גם עמו שיזון את בתה, אחד זנה ואחד נותן לה דמי מזונות</w:t>
      </w:r>
      <w:r>
        <w:rPr>
          <w:rStyle w:val="a7"/>
          <w:rFonts w:cs="Arial"/>
          <w:rtl/>
        </w:rPr>
        <w:footnoteReference w:id="2777"/>
      </w:r>
      <w:r>
        <w:rPr>
          <w:rFonts w:cs="Arial"/>
          <w:rtl/>
        </w:rPr>
        <w:t xml:space="preserve"> משלם. </w:t>
      </w:r>
    </w:p>
    <w:p w14:paraId="592C6C83" w14:textId="64EE20DB" w:rsidR="00392DBB" w:rsidRDefault="00392DBB" w:rsidP="00392DBB">
      <w:pPr>
        <w:rPr>
          <w:rFonts w:cs="Arial"/>
          <w:rtl/>
        </w:rPr>
      </w:pPr>
      <w:r w:rsidRPr="00E8419F">
        <w:rPr>
          <w:rFonts w:cs="Arial"/>
          <w:u w:val="single"/>
          <w:rtl/>
        </w:rPr>
        <w:lastRenderedPageBreak/>
        <w:t>מי שנשא אשה ונתחייב להשי</w:t>
      </w:r>
      <w:r w:rsidRPr="00E8419F">
        <w:rPr>
          <w:rFonts w:cs="Arial" w:hint="cs"/>
          <w:u w:val="single"/>
          <w:rtl/>
        </w:rPr>
        <w:t>א</w:t>
      </w:r>
      <w:r w:rsidRPr="00E8419F">
        <w:rPr>
          <w:rFonts w:cs="Arial"/>
          <w:u w:val="single"/>
          <w:rtl/>
        </w:rPr>
        <w:t xml:space="preserve"> את בתה מפני שלא היה </w:t>
      </w:r>
      <w:r w:rsidR="008C7FBD">
        <w:rPr>
          <w:rFonts w:cs="Arial" w:hint="cs"/>
          <w:u w:val="single"/>
          <w:rtl/>
        </w:rPr>
        <w:t xml:space="preserve">לה </w:t>
      </w:r>
      <w:r w:rsidRPr="00E8419F">
        <w:rPr>
          <w:rFonts w:cs="Arial"/>
          <w:u w:val="single"/>
          <w:rtl/>
        </w:rPr>
        <w:t>על מה לסמוך</w:t>
      </w:r>
      <w:r w:rsidRPr="00E8419F">
        <w:rPr>
          <w:rFonts w:cs="Arial" w:hint="cs"/>
          <w:u w:val="single"/>
          <w:rtl/>
        </w:rPr>
        <w:t>,</w:t>
      </w:r>
      <w:r w:rsidRPr="00E8419F">
        <w:rPr>
          <w:rFonts w:cs="Arial"/>
          <w:u w:val="single"/>
          <w:rtl/>
        </w:rPr>
        <w:t xml:space="preserve"> ואח"כ מת</w:t>
      </w:r>
      <w:r w:rsidRPr="00E8419F">
        <w:rPr>
          <w:rFonts w:cs="Arial" w:hint="cs"/>
          <w:u w:val="single"/>
          <w:rtl/>
        </w:rPr>
        <w:t>:</w:t>
      </w:r>
      <w:r w:rsidRPr="00E8419F">
        <w:rPr>
          <w:rFonts w:cs="Arial"/>
          <w:rtl/>
        </w:rPr>
        <w:t xml:space="preserve"> </w:t>
      </w:r>
    </w:p>
    <w:p w14:paraId="184BB8A1" w14:textId="531E0699" w:rsidR="00392DBB" w:rsidRDefault="00392DBB" w:rsidP="009000E3">
      <w:pPr>
        <w:pStyle w:val="ab"/>
        <w:numPr>
          <w:ilvl w:val="0"/>
          <w:numId w:val="63"/>
        </w:numPr>
        <w:rPr>
          <w:rtl/>
        </w:rPr>
      </w:pPr>
      <w:r w:rsidRPr="00E8419F">
        <w:rPr>
          <w:rFonts w:cs="Arial" w:hint="cs"/>
          <w:rtl/>
        </w:rPr>
        <w:t xml:space="preserve">באה"ט </w:t>
      </w:r>
      <w:r w:rsidRPr="00E8419F">
        <w:rPr>
          <w:rFonts w:cs="Arial" w:hint="cs"/>
          <w:sz w:val="16"/>
          <w:szCs w:val="16"/>
          <w:rtl/>
        </w:rPr>
        <w:t>(סק"י)</w:t>
      </w:r>
      <w:r w:rsidRPr="00E8419F">
        <w:rPr>
          <w:rFonts w:cs="Arial" w:hint="cs"/>
          <w:rtl/>
        </w:rPr>
        <w:t xml:space="preserve">- </w:t>
      </w:r>
      <w:r w:rsidRPr="00E8419F">
        <w:rPr>
          <w:rFonts w:cs="Arial"/>
          <w:rtl/>
        </w:rPr>
        <w:t>אע</w:t>
      </w:r>
      <w:r w:rsidR="0027107E">
        <w:rPr>
          <w:rFonts w:cs="Arial" w:hint="cs"/>
          <w:rtl/>
        </w:rPr>
        <w:t>"</w:t>
      </w:r>
      <w:r w:rsidRPr="00E8419F">
        <w:rPr>
          <w:rFonts w:cs="Arial"/>
          <w:rtl/>
        </w:rPr>
        <w:t>פ שאמה תגבה כתובתה ותוכל להשיאה</w:t>
      </w:r>
      <w:r w:rsidR="0027107E">
        <w:rPr>
          <w:rFonts w:cs="Arial" w:hint="cs"/>
          <w:rtl/>
        </w:rPr>
        <w:t>,</w:t>
      </w:r>
      <w:r w:rsidRPr="00E8419F">
        <w:rPr>
          <w:rFonts w:cs="Arial"/>
          <w:rtl/>
        </w:rPr>
        <w:t xml:space="preserve"> אפ"ה חייבים היורשים להשיאה</w:t>
      </w:r>
      <w:r w:rsidRPr="00E8419F">
        <w:rPr>
          <w:rFonts w:cs="Arial" w:hint="cs"/>
          <w:rtl/>
        </w:rPr>
        <w:t>,</w:t>
      </w:r>
      <w:r w:rsidRPr="00E8419F">
        <w:rPr>
          <w:rFonts w:cs="Arial"/>
          <w:rtl/>
        </w:rPr>
        <w:t xml:space="preserve"> הר"ם מטראני </w:t>
      </w:r>
      <w:r w:rsidR="0027107E">
        <w:rPr>
          <w:rFonts w:cs="Arial" w:hint="cs"/>
          <w:rtl/>
        </w:rPr>
        <w:t>(</w:t>
      </w:r>
      <w:r w:rsidRPr="00E8419F">
        <w:rPr>
          <w:rFonts w:cs="Arial"/>
          <w:rtl/>
        </w:rPr>
        <w:t>ח"א סי' קסא</w:t>
      </w:r>
      <w:r w:rsidR="0027107E">
        <w:rPr>
          <w:rFonts w:cs="Arial" w:hint="cs"/>
          <w:rtl/>
        </w:rPr>
        <w:t>)</w:t>
      </w:r>
      <w:r w:rsidRPr="00E8419F">
        <w:rPr>
          <w:rFonts w:cs="Arial"/>
          <w:rtl/>
        </w:rPr>
        <w:t>. וכ' כנה"ג עליו</w:t>
      </w:r>
      <w:r w:rsidR="0027107E">
        <w:rPr>
          <w:rFonts w:cs="Arial" w:hint="cs"/>
          <w:rtl/>
        </w:rPr>
        <w:t>:</w:t>
      </w:r>
      <w:r w:rsidRPr="00E8419F">
        <w:rPr>
          <w:rFonts w:cs="Arial"/>
          <w:rtl/>
        </w:rPr>
        <w:t xml:space="preserve"> וה"ה אם העשיר</w:t>
      </w:r>
      <w:r w:rsidR="0027107E">
        <w:rPr>
          <w:rFonts w:cs="Arial" w:hint="cs"/>
          <w:rtl/>
        </w:rPr>
        <w:t>ה</w:t>
      </w:r>
      <w:r w:rsidRPr="00E8419F">
        <w:rPr>
          <w:rFonts w:cs="Arial"/>
          <w:rtl/>
        </w:rPr>
        <w:t xml:space="preserve"> הבת שחייב הוא או יורשיו להשיאה ע"ש</w:t>
      </w:r>
      <w:r w:rsidR="0027107E">
        <w:rPr>
          <w:rFonts w:cs="Arial" w:hint="cs"/>
          <w:rtl/>
        </w:rPr>
        <w:t>.</w:t>
      </w:r>
      <w:r w:rsidRPr="00E8419F">
        <w:rPr>
          <w:rFonts w:cs="Arial"/>
          <w:rtl/>
        </w:rPr>
        <w:t xml:space="preserve"> וע' בהרשד"ם </w:t>
      </w:r>
      <w:r w:rsidR="0027107E">
        <w:rPr>
          <w:rFonts w:cs="Arial" w:hint="cs"/>
          <w:rtl/>
        </w:rPr>
        <w:t>(</w:t>
      </w:r>
      <w:r w:rsidRPr="00E8419F">
        <w:rPr>
          <w:rFonts w:cs="Arial"/>
          <w:rtl/>
        </w:rPr>
        <w:t>קי"ד סי' ריט</w:t>
      </w:r>
      <w:r w:rsidR="0027107E">
        <w:rPr>
          <w:rFonts w:cs="Arial" w:hint="cs"/>
          <w:rtl/>
        </w:rPr>
        <w:t>)</w:t>
      </w:r>
      <w:r w:rsidRPr="00E8419F">
        <w:rPr>
          <w:rFonts w:cs="Arial" w:hint="cs"/>
          <w:rtl/>
        </w:rPr>
        <w:t>.</w:t>
      </w:r>
    </w:p>
    <w:p w14:paraId="2BF6C691" w14:textId="77777777" w:rsidR="00392DBB" w:rsidRDefault="00392DBB" w:rsidP="00392DBB">
      <w:pPr>
        <w:rPr>
          <w:rtl/>
        </w:rPr>
      </w:pPr>
    </w:p>
    <w:p w14:paraId="352C667E" w14:textId="77777777" w:rsidR="00392DBB" w:rsidRDefault="00392DBB" w:rsidP="000F64D0">
      <w:pPr>
        <w:pStyle w:val="2"/>
        <w:rPr>
          <w:rtl/>
        </w:rPr>
      </w:pPr>
      <w:r>
        <w:rPr>
          <w:rtl/>
        </w:rPr>
        <w:t>סעיף ט</w:t>
      </w:r>
      <w:r>
        <w:rPr>
          <w:rFonts w:hint="cs"/>
          <w:rtl/>
        </w:rPr>
        <w:t>: גרשה גם השני, ושני הבעלים רוצים לזון ולא לתת דמים.</w:t>
      </w:r>
    </w:p>
    <w:p w14:paraId="0364C3FF" w14:textId="6D0D9BD1" w:rsidR="00392DBB" w:rsidRPr="00070245" w:rsidRDefault="00392DBB" w:rsidP="00392DBB">
      <w:pPr>
        <w:rPr>
          <w:u w:val="single"/>
          <w:rtl/>
        </w:rPr>
      </w:pPr>
      <w:r w:rsidRPr="00070245">
        <w:rPr>
          <w:rFonts w:cs="Arial"/>
          <w:u w:val="single"/>
          <w:rtl/>
        </w:rPr>
        <w:t>גירשה גם השני</w:t>
      </w:r>
      <w:r w:rsidRPr="00070245">
        <w:rPr>
          <w:rFonts w:cs="Arial" w:hint="cs"/>
          <w:u w:val="single"/>
          <w:rtl/>
        </w:rPr>
        <w:t>,</w:t>
      </w:r>
      <w:r w:rsidRPr="00070245">
        <w:rPr>
          <w:rFonts w:cs="Arial"/>
          <w:u w:val="single"/>
          <w:rtl/>
        </w:rPr>
        <w:t xml:space="preserve"> ושניהם חייבים במזונותיה</w:t>
      </w:r>
      <w:r w:rsidR="008C7FBD">
        <w:rPr>
          <w:rFonts w:cs="Arial" w:hint="cs"/>
          <w:u w:val="single"/>
          <w:rtl/>
        </w:rPr>
        <w:t>,</w:t>
      </w:r>
      <w:r w:rsidRPr="00070245">
        <w:rPr>
          <w:rFonts w:cs="Arial"/>
          <w:u w:val="single"/>
          <w:rtl/>
        </w:rPr>
        <w:t xml:space="preserve"> וכל אחד ואחד אומר </w:t>
      </w:r>
      <w:r>
        <w:rPr>
          <w:rFonts w:cs="Arial" w:hint="cs"/>
          <w:u w:val="single"/>
          <w:rtl/>
        </w:rPr>
        <w:t>'</w:t>
      </w:r>
      <w:r w:rsidRPr="00070245">
        <w:rPr>
          <w:rFonts w:cs="Arial"/>
          <w:u w:val="single"/>
          <w:rtl/>
        </w:rPr>
        <w:t>אני אזון אותה ולא אתן דמים</w:t>
      </w:r>
      <w:r>
        <w:rPr>
          <w:rFonts w:cs="Arial" w:hint="cs"/>
          <w:u w:val="single"/>
          <w:rtl/>
        </w:rPr>
        <w:t>'</w:t>
      </w:r>
      <w:r w:rsidRPr="00070245">
        <w:rPr>
          <w:rFonts w:hint="cs"/>
          <w:u w:val="single"/>
          <w:rtl/>
        </w:rPr>
        <w:t>:</w:t>
      </w:r>
    </w:p>
    <w:p w14:paraId="4BBFC768" w14:textId="0BEE3FC0" w:rsidR="00392DBB" w:rsidRPr="00696880" w:rsidRDefault="00392DBB" w:rsidP="009000E3">
      <w:pPr>
        <w:pStyle w:val="ab"/>
        <w:numPr>
          <w:ilvl w:val="0"/>
          <w:numId w:val="63"/>
        </w:numPr>
      </w:pPr>
      <w:r>
        <w:rPr>
          <w:rFonts w:hint="cs"/>
          <w:rtl/>
        </w:rPr>
        <w:t>טור-</w:t>
      </w:r>
      <w:r>
        <w:rPr>
          <w:rFonts w:cs="Arial" w:hint="cs"/>
          <w:rtl/>
        </w:rPr>
        <w:t xml:space="preserve"> </w:t>
      </w:r>
      <w:r w:rsidRPr="00716457">
        <w:rPr>
          <w:rFonts w:cs="Arial"/>
          <w:rtl/>
        </w:rPr>
        <w:t>ואם גירשה גם השני</w:t>
      </w:r>
      <w:r w:rsidR="008C7FBD">
        <w:rPr>
          <w:rFonts w:cs="Arial" w:hint="cs"/>
          <w:rtl/>
        </w:rPr>
        <w:t>,</w:t>
      </w:r>
      <w:r w:rsidRPr="00716457">
        <w:rPr>
          <w:rFonts w:cs="Arial"/>
          <w:rtl/>
        </w:rPr>
        <w:t xml:space="preserve"> ושניהם חייבים במזונותיה</w:t>
      </w:r>
      <w:r w:rsidR="008C7FBD">
        <w:rPr>
          <w:rFonts w:cs="Arial" w:hint="cs"/>
          <w:rtl/>
        </w:rPr>
        <w:t>,</w:t>
      </w:r>
      <w:r w:rsidRPr="00716457">
        <w:rPr>
          <w:rFonts w:cs="Arial"/>
          <w:rtl/>
        </w:rPr>
        <w:t xml:space="preserve"> וכל אחד ואחד אומר אני אזון אותה ולא אתן דמים</w:t>
      </w:r>
      <w:r w:rsidR="008C7FBD">
        <w:rPr>
          <w:rFonts w:cs="Arial" w:hint="cs"/>
          <w:rtl/>
        </w:rPr>
        <w:t>,</w:t>
      </w:r>
      <w:r w:rsidRPr="00716457">
        <w:rPr>
          <w:rFonts w:cs="Arial"/>
          <w:rtl/>
        </w:rPr>
        <w:t xml:space="preserve"> כתב הרמ"ה שהדבר תלוי בה שתבחר איזה מהם שתרצה שיזון אותה</w:t>
      </w:r>
      <w:r>
        <w:rPr>
          <w:rFonts w:cs="Arial" w:hint="cs"/>
          <w:rtl/>
        </w:rPr>
        <w:t>.</w:t>
      </w:r>
      <w:r w:rsidRPr="00716457">
        <w:rPr>
          <w:rFonts w:cs="Arial"/>
          <w:rtl/>
        </w:rPr>
        <w:t xml:space="preserve"> ואם היא חרשת שאין בה דעת לבחור </w:t>
      </w:r>
      <w:r>
        <w:rPr>
          <w:rFonts w:cs="Arial" w:hint="cs"/>
          <w:rtl/>
        </w:rPr>
        <w:t xml:space="preserve">- </w:t>
      </w:r>
      <w:r w:rsidRPr="00716457">
        <w:rPr>
          <w:rFonts w:cs="Arial"/>
          <w:rtl/>
        </w:rPr>
        <w:t>זנין אותה לפרקים</w:t>
      </w:r>
      <w:r>
        <w:rPr>
          <w:rFonts w:cs="Arial" w:hint="cs"/>
          <w:rtl/>
        </w:rPr>
        <w:t>,</w:t>
      </w:r>
      <w:r w:rsidRPr="00716457">
        <w:rPr>
          <w:rFonts w:cs="Arial"/>
          <w:rtl/>
        </w:rPr>
        <w:t xml:space="preserve"> זה שבת וזה שבת</w:t>
      </w:r>
      <w:r>
        <w:rPr>
          <w:rFonts w:cs="Arial" w:hint="cs"/>
          <w:rtl/>
        </w:rPr>
        <w:t>. וכן מסתבר לאדוני אבי הרא"ש</w:t>
      </w:r>
      <w:r>
        <w:rPr>
          <w:rStyle w:val="a7"/>
          <w:rFonts w:cs="Arial"/>
          <w:rtl/>
        </w:rPr>
        <w:footnoteReference w:id="2778"/>
      </w:r>
      <w:r>
        <w:rPr>
          <w:rFonts w:cs="Arial" w:hint="cs"/>
          <w:rtl/>
        </w:rPr>
        <w:t xml:space="preserve"> </w:t>
      </w:r>
      <w:r>
        <w:rPr>
          <w:rFonts w:cs="Arial" w:hint="cs"/>
          <w:sz w:val="16"/>
          <w:szCs w:val="16"/>
          <w:rtl/>
        </w:rPr>
        <w:t>(כתובות פי"ב סי' א)</w:t>
      </w:r>
      <w:r>
        <w:rPr>
          <w:rFonts w:cs="Arial" w:hint="cs"/>
          <w:rtl/>
        </w:rPr>
        <w:t>.</w:t>
      </w:r>
      <w:r w:rsidRPr="00716457">
        <w:rPr>
          <w:rFonts w:cs="Arial"/>
          <w:rtl/>
        </w:rPr>
        <w:t xml:space="preserve"> </w:t>
      </w:r>
      <w:r w:rsidR="008D31D8" w:rsidRPr="00864336">
        <w:rPr>
          <w:rFonts w:hint="cs"/>
          <w:color w:val="E36C0A" w:themeColor="accent6" w:themeShade="BF"/>
          <w:rtl/>
        </w:rPr>
        <w:t>(וכ"פ בשו"ע)</w:t>
      </w:r>
    </w:p>
    <w:p w14:paraId="1751BC59"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5B35476" w14:textId="77777777" w:rsidR="00392DBB" w:rsidRDefault="00392DBB" w:rsidP="00392DBB">
      <w:pPr>
        <w:rPr>
          <w:rtl/>
        </w:rPr>
      </w:pPr>
      <w:r>
        <w:rPr>
          <w:rFonts w:cs="Arial"/>
          <w:rtl/>
        </w:rPr>
        <w:t>גירשה גם השני ושניהם חייבים במזונותיה, וכל אחד אומר: אני אזונה ולא אתן דמים, הדבר תלוי בה שתבחר איזה מהם שתרצה שיזון אותה</w:t>
      </w:r>
      <w:r>
        <w:rPr>
          <w:rStyle w:val="a7"/>
          <w:rFonts w:cs="Arial"/>
          <w:rtl/>
        </w:rPr>
        <w:footnoteReference w:id="2779"/>
      </w:r>
      <w:r>
        <w:rPr>
          <w:rFonts w:cs="Arial"/>
          <w:rtl/>
        </w:rPr>
        <w:t xml:space="preserve">. ואם היא חרשת שאין בה דעת לבחור, זנין אותה לפרקים זה שבת וזה שבת. </w:t>
      </w:r>
    </w:p>
    <w:p w14:paraId="3BBBFA33" w14:textId="77777777" w:rsidR="00392DBB" w:rsidRDefault="00392DBB" w:rsidP="00392DBB">
      <w:pPr>
        <w:rPr>
          <w:rtl/>
        </w:rPr>
      </w:pPr>
    </w:p>
    <w:p w14:paraId="357A4D5F" w14:textId="77777777" w:rsidR="00392DBB" w:rsidRDefault="00392DBB" w:rsidP="000F64D0">
      <w:pPr>
        <w:pStyle w:val="2"/>
        <w:rPr>
          <w:rtl/>
        </w:rPr>
      </w:pPr>
      <w:r>
        <w:rPr>
          <w:rtl/>
        </w:rPr>
        <w:t>סעיף י</w:t>
      </w:r>
      <w:r>
        <w:rPr>
          <w:rFonts w:hint="cs"/>
          <w:rtl/>
        </w:rPr>
        <w:t>: נישאת בת אשתו תוך הזמן שפסק לה מזונות.</w:t>
      </w:r>
    </w:p>
    <w:p w14:paraId="2FF6FCFF" w14:textId="77777777" w:rsidR="00392DBB" w:rsidRDefault="00392DBB" w:rsidP="00392DBB">
      <w:pPr>
        <w:rPr>
          <w:rtl/>
        </w:rPr>
      </w:pPr>
      <w:r w:rsidRPr="00C46108">
        <w:rPr>
          <w:rFonts w:cs="Arial" w:hint="cs"/>
          <w:b/>
          <w:bCs/>
          <w:rtl/>
        </w:rPr>
        <w:t xml:space="preserve">כתובות </w:t>
      </w:r>
      <w:r>
        <w:rPr>
          <w:rFonts w:cs="Arial" w:hint="cs"/>
          <w:b/>
          <w:bCs/>
          <w:sz w:val="16"/>
          <w:szCs w:val="16"/>
          <w:rtl/>
        </w:rPr>
        <w:t xml:space="preserve">(ר"פ הנושא) </w:t>
      </w:r>
      <w:r w:rsidRPr="00C46108">
        <w:rPr>
          <w:rFonts w:cs="Arial" w:hint="cs"/>
          <w:b/>
          <w:bCs/>
          <w:rtl/>
        </w:rPr>
        <w:t>קא</w:t>
      </w:r>
      <w:r>
        <w:rPr>
          <w:rStyle w:val="a7"/>
          <w:rFonts w:cs="Arial"/>
          <w:b/>
          <w:bCs/>
          <w:rtl/>
        </w:rPr>
        <w:footnoteReference w:id="2780"/>
      </w:r>
      <w:r w:rsidRPr="00C46108">
        <w:rPr>
          <w:rFonts w:cs="Arial" w:hint="cs"/>
          <w:b/>
          <w:bCs/>
          <w:rtl/>
        </w:rPr>
        <w:t xml:space="preserve"> ע"ב:</w:t>
      </w:r>
      <w:r>
        <w:rPr>
          <w:rFonts w:cs="Arial" w:hint="cs"/>
          <w:rtl/>
        </w:rPr>
        <w:t xml:space="preserve"> </w:t>
      </w:r>
      <w:r w:rsidRPr="005234DA">
        <w:rPr>
          <w:rFonts w:cs="Arial"/>
          <w:u w:val="double"/>
          <w:rtl/>
        </w:rPr>
        <w:t>מתני'</w:t>
      </w:r>
      <w:r>
        <w:rPr>
          <w:rFonts w:cs="Arial" w:hint="cs"/>
          <w:rtl/>
        </w:rPr>
        <w:t>:</w:t>
      </w:r>
      <w:r w:rsidRPr="00B44A91">
        <w:rPr>
          <w:rFonts w:cs="Arial"/>
          <w:rtl/>
        </w:rPr>
        <w:t xml:space="preserve"> הנושא את האשה, ופסקה עמו כדי שיזון את בתה חמש שנים - חייב לזונה חמש שנים</w:t>
      </w:r>
      <w:r>
        <w:rPr>
          <w:rFonts w:cs="Arial" w:hint="cs"/>
          <w:rtl/>
        </w:rPr>
        <w:t>.</w:t>
      </w:r>
      <w:r w:rsidRPr="00B77EF1">
        <w:rPr>
          <w:rtl/>
        </w:rPr>
        <w:t xml:space="preserve"> </w:t>
      </w:r>
      <w:r w:rsidRPr="00B77EF1">
        <w:rPr>
          <w:rFonts w:cs="Arial"/>
          <w:rtl/>
        </w:rPr>
        <w:t>ניסת לאחר, ופסקה עמו כדי שיזון את בתה חמש שנים - חייב לזונה חמש שנים.</w:t>
      </w:r>
      <w:r>
        <w:rPr>
          <w:rFonts w:hint="cs"/>
          <w:rtl/>
        </w:rPr>
        <w:t>..</w:t>
      </w:r>
      <w:r w:rsidRPr="00BA62EC">
        <w:rPr>
          <w:rtl/>
        </w:rPr>
        <w:t xml:space="preserve"> </w:t>
      </w:r>
      <w:r w:rsidRPr="00BA62EC">
        <w:rPr>
          <w:rFonts w:cs="Arial"/>
          <w:rtl/>
        </w:rPr>
        <w:t>ניסת - הבעל נותן לה מזונות, והן נותנין לה דמי מזונות.</w:t>
      </w:r>
    </w:p>
    <w:p w14:paraId="3154810E" w14:textId="77777777" w:rsidR="00392DBB" w:rsidRPr="00E8419F" w:rsidRDefault="00392DBB" w:rsidP="00392DBB">
      <w:pPr>
        <w:rPr>
          <w:u w:val="single"/>
          <w:rtl/>
        </w:rPr>
      </w:pPr>
      <w:r w:rsidRPr="00E8419F">
        <w:rPr>
          <w:rFonts w:hint="cs"/>
          <w:u w:val="single"/>
          <w:rtl/>
        </w:rPr>
        <w:t>נישאת בת אשתו תוך הזמן שפסק לה מזונות:</w:t>
      </w:r>
    </w:p>
    <w:p w14:paraId="11E7B554" w14:textId="3FA083D4" w:rsidR="00392DBB" w:rsidRPr="00696880" w:rsidRDefault="00392DBB" w:rsidP="009000E3">
      <w:pPr>
        <w:pStyle w:val="ab"/>
        <w:numPr>
          <w:ilvl w:val="0"/>
          <w:numId w:val="63"/>
        </w:numPr>
      </w:pPr>
      <w:r>
        <w:rPr>
          <w:rFonts w:hint="cs"/>
          <w:rtl/>
        </w:rPr>
        <w:t>טור-</w:t>
      </w:r>
      <w:r>
        <w:rPr>
          <w:rFonts w:cs="Arial" w:hint="cs"/>
          <w:rtl/>
        </w:rPr>
        <w:t xml:space="preserve"> </w:t>
      </w:r>
      <w:r w:rsidRPr="00716457">
        <w:rPr>
          <w:rFonts w:cs="Arial"/>
          <w:rtl/>
        </w:rPr>
        <w:t>נישאת הבת תוך הזמן</w:t>
      </w:r>
      <w:r w:rsidR="008D31D8">
        <w:rPr>
          <w:rFonts w:cs="Arial" w:hint="cs"/>
          <w:rtl/>
        </w:rPr>
        <w:t>,</w:t>
      </w:r>
      <w:r>
        <w:rPr>
          <w:rFonts w:cs="Arial" w:hint="cs"/>
          <w:rtl/>
        </w:rPr>
        <w:t xml:space="preserve"> </w:t>
      </w:r>
      <w:r w:rsidRPr="00716457">
        <w:rPr>
          <w:rFonts w:cs="Arial"/>
          <w:rtl/>
        </w:rPr>
        <w:t>הבעל חייב במזונותיה</w:t>
      </w:r>
      <w:r>
        <w:rPr>
          <w:rFonts w:cs="Arial" w:hint="cs"/>
          <w:rtl/>
        </w:rPr>
        <w:t>,</w:t>
      </w:r>
      <w:r w:rsidRPr="00716457">
        <w:rPr>
          <w:rFonts w:cs="Arial"/>
          <w:rtl/>
        </w:rPr>
        <w:t xml:space="preserve"> והשנים כל אחד ואחד נותן לה דמי מזונו</w:t>
      </w:r>
      <w:r>
        <w:rPr>
          <w:rFonts w:cs="Arial" w:hint="cs"/>
          <w:rtl/>
        </w:rPr>
        <w:t>ת.</w:t>
      </w:r>
      <w:r w:rsidRPr="00716457">
        <w:rPr>
          <w:rFonts w:cs="Arial"/>
          <w:rtl/>
        </w:rPr>
        <w:t xml:space="preserve"> </w:t>
      </w:r>
      <w:r w:rsidR="008D31D8" w:rsidRPr="00864336">
        <w:rPr>
          <w:rFonts w:hint="cs"/>
          <w:color w:val="E36C0A" w:themeColor="accent6" w:themeShade="BF"/>
          <w:rtl/>
        </w:rPr>
        <w:t>(וכ"פ בשו"ע)</w:t>
      </w:r>
    </w:p>
    <w:p w14:paraId="012416AF"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086EFC5" w14:textId="77777777" w:rsidR="00392DBB" w:rsidRDefault="00392DBB" w:rsidP="00392DBB">
      <w:pPr>
        <w:rPr>
          <w:rtl/>
        </w:rPr>
      </w:pPr>
      <w:r>
        <w:rPr>
          <w:rFonts w:cs="Arial"/>
          <w:rtl/>
        </w:rPr>
        <w:t xml:space="preserve">נשאת הבת תוך הזמן, הבעל חייב במזונותיה והשנים כל אחד ואחד נותן לה דמי מזונות. </w:t>
      </w:r>
    </w:p>
    <w:p w14:paraId="33A93B40" w14:textId="77777777" w:rsidR="00392DBB" w:rsidRDefault="00392DBB" w:rsidP="00392DBB">
      <w:pPr>
        <w:rPr>
          <w:rtl/>
        </w:rPr>
      </w:pPr>
    </w:p>
    <w:p w14:paraId="7E52CDA7" w14:textId="77777777" w:rsidR="00392DBB" w:rsidRDefault="00392DBB" w:rsidP="000F64D0">
      <w:pPr>
        <w:pStyle w:val="2"/>
        <w:rPr>
          <w:rtl/>
        </w:rPr>
      </w:pPr>
      <w:r>
        <w:rPr>
          <w:rtl/>
        </w:rPr>
        <w:t>סעיף יא</w:t>
      </w:r>
      <w:r>
        <w:rPr>
          <w:rFonts w:hint="cs"/>
          <w:rtl/>
        </w:rPr>
        <w:t>: הכותב לאשתו 'אזון את בתך חמש שנים כל זמן שאת עמי'.</w:t>
      </w:r>
    </w:p>
    <w:p w14:paraId="49A883D7" w14:textId="77777777" w:rsidR="00392DBB" w:rsidRDefault="00392DBB" w:rsidP="00392DBB">
      <w:pPr>
        <w:rPr>
          <w:rFonts w:cs="Arial"/>
          <w:rtl/>
        </w:rPr>
      </w:pPr>
      <w:r w:rsidRPr="00C46108">
        <w:rPr>
          <w:rFonts w:cs="Arial" w:hint="cs"/>
          <w:b/>
          <w:bCs/>
          <w:rtl/>
        </w:rPr>
        <w:t xml:space="preserve">כתובות </w:t>
      </w:r>
      <w:r>
        <w:rPr>
          <w:rFonts w:cs="Arial" w:hint="cs"/>
          <w:b/>
          <w:bCs/>
          <w:sz w:val="16"/>
          <w:szCs w:val="16"/>
          <w:rtl/>
        </w:rPr>
        <w:t xml:space="preserve">(ר"פ הנושא) </w:t>
      </w:r>
      <w:r w:rsidRPr="00C46108">
        <w:rPr>
          <w:rFonts w:cs="Arial" w:hint="cs"/>
          <w:b/>
          <w:bCs/>
          <w:rtl/>
        </w:rPr>
        <w:t>קא</w:t>
      </w:r>
      <w:r>
        <w:rPr>
          <w:rStyle w:val="a7"/>
          <w:rFonts w:cs="Arial"/>
          <w:b/>
          <w:bCs/>
          <w:rtl/>
        </w:rPr>
        <w:footnoteReference w:id="2781"/>
      </w:r>
      <w:r w:rsidRPr="00C46108">
        <w:rPr>
          <w:rFonts w:cs="Arial" w:hint="cs"/>
          <w:b/>
          <w:bCs/>
          <w:rtl/>
        </w:rPr>
        <w:t xml:space="preserve"> ע"ב:</w:t>
      </w:r>
      <w:r>
        <w:rPr>
          <w:rFonts w:cs="Arial" w:hint="cs"/>
          <w:rtl/>
        </w:rPr>
        <w:t xml:space="preserve"> </w:t>
      </w:r>
      <w:r w:rsidRPr="005234DA">
        <w:rPr>
          <w:rFonts w:cs="Arial"/>
          <w:u w:val="double"/>
          <w:rtl/>
        </w:rPr>
        <w:t>מתני'</w:t>
      </w:r>
      <w:r>
        <w:rPr>
          <w:rFonts w:cs="Arial" w:hint="cs"/>
          <w:rtl/>
        </w:rPr>
        <w:t>:</w:t>
      </w:r>
      <w:r w:rsidRPr="00B44A91">
        <w:rPr>
          <w:rFonts w:cs="Arial"/>
          <w:rtl/>
        </w:rPr>
        <w:t xml:space="preserve"> הנושא את האשה, ופסקה עמו כדי שיזון את בתה חמש שנים - חייב לזונה חמש שנים</w:t>
      </w:r>
      <w:r>
        <w:rPr>
          <w:rFonts w:cs="Arial" w:hint="cs"/>
          <w:rtl/>
        </w:rPr>
        <w:t>.</w:t>
      </w:r>
      <w:r>
        <w:rPr>
          <w:rFonts w:hint="cs"/>
          <w:rtl/>
        </w:rPr>
        <w:t>..</w:t>
      </w:r>
      <w:r w:rsidRPr="00864336">
        <w:rPr>
          <w:rtl/>
        </w:rPr>
        <w:t xml:space="preserve"> </w:t>
      </w:r>
      <w:r w:rsidRPr="00864336">
        <w:rPr>
          <w:rFonts w:cs="Arial"/>
          <w:rtl/>
        </w:rPr>
        <w:t>הפקחים היו כותבים ע"מ שאזון את בתך חמש שנים כל זמן שאת עמי.</w:t>
      </w:r>
    </w:p>
    <w:p w14:paraId="60D6B8D4" w14:textId="77777777" w:rsidR="00392DBB" w:rsidRPr="00864336" w:rsidRDefault="00392DBB" w:rsidP="00392DBB">
      <w:pPr>
        <w:rPr>
          <w:u w:val="single"/>
          <w:rtl/>
        </w:rPr>
      </w:pPr>
      <w:r>
        <w:rPr>
          <w:rFonts w:hint="cs"/>
          <w:u w:val="single"/>
          <w:rtl/>
        </w:rPr>
        <w:t>הכותב לאשתו '</w:t>
      </w:r>
      <w:r w:rsidRPr="00864336">
        <w:rPr>
          <w:rFonts w:hint="cs"/>
          <w:u w:val="single"/>
          <w:rtl/>
        </w:rPr>
        <w:t xml:space="preserve">אזון את בתך </w:t>
      </w:r>
      <w:r>
        <w:rPr>
          <w:rFonts w:hint="cs"/>
          <w:u w:val="single"/>
          <w:rtl/>
        </w:rPr>
        <w:t>חמש</w:t>
      </w:r>
      <w:r w:rsidRPr="00864336">
        <w:rPr>
          <w:rFonts w:hint="cs"/>
          <w:u w:val="single"/>
          <w:rtl/>
        </w:rPr>
        <w:t xml:space="preserve"> שנים כל זמן שאת עמי</w:t>
      </w:r>
      <w:r>
        <w:rPr>
          <w:rFonts w:hint="cs"/>
          <w:u w:val="single"/>
          <w:rtl/>
        </w:rPr>
        <w:t>'</w:t>
      </w:r>
      <w:r w:rsidRPr="00864336">
        <w:rPr>
          <w:rFonts w:hint="cs"/>
          <w:u w:val="single"/>
          <w:rtl/>
        </w:rPr>
        <w:t>:</w:t>
      </w:r>
    </w:p>
    <w:p w14:paraId="287D822C" w14:textId="77777777" w:rsidR="00392DBB" w:rsidRPr="007A508C" w:rsidRDefault="00392DBB" w:rsidP="009000E3">
      <w:pPr>
        <w:pStyle w:val="ab"/>
        <w:numPr>
          <w:ilvl w:val="0"/>
          <w:numId w:val="63"/>
        </w:numPr>
      </w:pPr>
      <w:r>
        <w:rPr>
          <w:rFonts w:hint="cs"/>
          <w:rtl/>
        </w:rPr>
        <w:t xml:space="preserve">רא"ש </w:t>
      </w:r>
      <w:r>
        <w:rPr>
          <w:rFonts w:cs="Arial" w:hint="cs"/>
          <w:sz w:val="16"/>
          <w:szCs w:val="16"/>
          <w:rtl/>
        </w:rPr>
        <w:t xml:space="preserve">(כתובות פי"ב סי' א) </w:t>
      </w:r>
      <w:r>
        <w:rPr>
          <w:rFonts w:hint="cs"/>
          <w:rtl/>
        </w:rPr>
        <w:t>וטור-</w:t>
      </w:r>
      <w:r>
        <w:rPr>
          <w:rFonts w:cs="Arial" w:hint="cs"/>
          <w:rtl/>
        </w:rPr>
        <w:t xml:space="preserve"> </w:t>
      </w:r>
      <w:r w:rsidRPr="00716457">
        <w:rPr>
          <w:rFonts w:cs="Arial"/>
          <w:rtl/>
        </w:rPr>
        <w:t>כתב לה אני אזון את בתך כל זמן שאת עמי</w:t>
      </w:r>
      <w:r>
        <w:rPr>
          <w:rFonts w:cs="Arial" w:hint="cs"/>
          <w:rtl/>
        </w:rPr>
        <w:t>,</w:t>
      </w:r>
      <w:r w:rsidRPr="00716457">
        <w:rPr>
          <w:rFonts w:cs="Arial"/>
          <w:rtl/>
        </w:rPr>
        <w:t xml:space="preserve"> מתה</w:t>
      </w:r>
      <w:r>
        <w:rPr>
          <w:rFonts w:cs="Arial" w:hint="cs"/>
          <w:rtl/>
        </w:rPr>
        <w:t xml:space="preserve"> -</w:t>
      </w:r>
      <w:r w:rsidRPr="00716457">
        <w:rPr>
          <w:rFonts w:cs="Arial"/>
          <w:rtl/>
        </w:rPr>
        <w:t xml:space="preserve"> אינו חייב עוד לזונה</w:t>
      </w:r>
      <w:r>
        <w:rPr>
          <w:rFonts w:cs="Arial" w:hint="cs"/>
          <w:rtl/>
        </w:rPr>
        <w:t>.</w:t>
      </w:r>
      <w:r w:rsidRPr="00716457">
        <w:rPr>
          <w:rFonts w:cs="Arial"/>
          <w:rtl/>
        </w:rPr>
        <w:t xml:space="preserve"> וכן אם נתגרשה</w:t>
      </w:r>
      <w:r>
        <w:rPr>
          <w:rFonts w:cs="Arial" w:hint="cs"/>
          <w:rtl/>
        </w:rPr>
        <w:t>,</w:t>
      </w:r>
      <w:r w:rsidRPr="00716457">
        <w:rPr>
          <w:rFonts w:cs="Arial"/>
          <w:rtl/>
        </w:rPr>
        <w:t xml:space="preserve"> אפי</w:t>
      </w:r>
      <w:r>
        <w:rPr>
          <w:rFonts w:cs="Arial" w:hint="cs"/>
          <w:rtl/>
        </w:rPr>
        <w:t>לו</w:t>
      </w:r>
      <w:r w:rsidRPr="00716457">
        <w:rPr>
          <w:rFonts w:cs="Arial"/>
          <w:rtl/>
        </w:rPr>
        <w:t xml:space="preserve"> חזר ונשאה</w:t>
      </w:r>
      <w:r>
        <w:rPr>
          <w:rFonts w:cs="Arial" w:hint="cs"/>
          <w:rtl/>
        </w:rPr>
        <w:t>,</w:t>
      </w:r>
      <w:r w:rsidRPr="00716457">
        <w:rPr>
          <w:rFonts w:cs="Arial"/>
          <w:rtl/>
        </w:rPr>
        <w:t xml:space="preserve"> דכל זמן שאת עמי מאלו הנישואין משמע</w:t>
      </w:r>
      <w:r>
        <w:rPr>
          <w:rFonts w:cs="Arial" w:hint="cs"/>
          <w:sz w:val="16"/>
          <w:szCs w:val="16"/>
          <w:rtl/>
        </w:rPr>
        <w:t xml:space="preserve"> (ל' הטור)</w:t>
      </w:r>
      <w:r>
        <w:rPr>
          <w:rFonts w:cs="Arial" w:hint="cs"/>
          <w:rtl/>
        </w:rPr>
        <w:t>.</w:t>
      </w:r>
      <w:r w:rsidRPr="00716457">
        <w:rPr>
          <w:rFonts w:cs="Arial"/>
          <w:rtl/>
        </w:rPr>
        <w:t xml:space="preserve"> </w:t>
      </w:r>
      <w:r w:rsidRPr="00864336">
        <w:rPr>
          <w:rFonts w:hint="cs"/>
          <w:color w:val="E36C0A" w:themeColor="accent6" w:themeShade="BF"/>
          <w:rtl/>
        </w:rPr>
        <w:t>(וכ"פ בשו"ע)</w:t>
      </w:r>
    </w:p>
    <w:p w14:paraId="71F78DB3"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41040350" w14:textId="77777777" w:rsidR="00392DBB" w:rsidRDefault="00392DBB" w:rsidP="00392DBB">
      <w:pPr>
        <w:rPr>
          <w:rFonts w:cs="Arial"/>
          <w:rtl/>
        </w:rPr>
      </w:pPr>
      <w:r>
        <w:rPr>
          <w:rFonts w:cs="Arial"/>
          <w:rtl/>
        </w:rPr>
        <w:t>כתב לה: אזון את בתך כל זמן שאת עמי, ומתה האם, אינו חייב עוד לזונה. וכן אם נתגרשה, אפילו חזר ונשאה</w:t>
      </w:r>
      <w:r>
        <w:rPr>
          <w:rStyle w:val="a7"/>
          <w:rFonts w:cs="Arial"/>
          <w:rtl/>
        </w:rPr>
        <w:footnoteReference w:id="2782"/>
      </w:r>
      <w:r>
        <w:rPr>
          <w:rFonts w:cs="Arial"/>
          <w:rtl/>
        </w:rPr>
        <w:t>.</w:t>
      </w:r>
    </w:p>
    <w:p w14:paraId="51FFF47F" w14:textId="77777777" w:rsidR="00392DBB" w:rsidRDefault="00392DBB" w:rsidP="00392DBB">
      <w:pPr>
        <w:rPr>
          <w:rtl/>
        </w:rPr>
      </w:pPr>
      <w:r>
        <w:rPr>
          <w:rFonts w:cs="Arial"/>
          <w:rtl/>
        </w:rPr>
        <w:t xml:space="preserve"> </w:t>
      </w:r>
    </w:p>
    <w:p w14:paraId="63537D35" w14:textId="77777777" w:rsidR="00392DBB" w:rsidRDefault="00392DBB" w:rsidP="000F64D0">
      <w:pPr>
        <w:pStyle w:val="2"/>
        <w:rPr>
          <w:rtl/>
        </w:rPr>
      </w:pPr>
      <w:r>
        <w:rPr>
          <w:rtl/>
        </w:rPr>
        <w:t>סעיף יב</w:t>
      </w:r>
      <w:r>
        <w:rPr>
          <w:rFonts w:hint="cs"/>
          <w:rtl/>
        </w:rPr>
        <w:t>: חיוב מלבוש כשהתחייב לזון מדעתו.</w:t>
      </w:r>
    </w:p>
    <w:p w14:paraId="14F748A0" w14:textId="55F83555" w:rsidR="00392DBB" w:rsidRPr="00864336" w:rsidRDefault="00392DBB" w:rsidP="00392DBB">
      <w:pPr>
        <w:rPr>
          <w:u w:val="single"/>
          <w:rtl/>
        </w:rPr>
      </w:pPr>
      <w:r w:rsidRPr="00864336">
        <w:rPr>
          <w:rFonts w:hint="cs"/>
          <w:u w:val="single"/>
          <w:rtl/>
        </w:rPr>
        <w:t xml:space="preserve">המתחייב לזון מדעתו </w:t>
      </w:r>
      <w:r w:rsidR="00F97626">
        <w:rPr>
          <w:u w:val="single"/>
          <w:rtl/>
        </w:rPr>
        <w:t>-</w:t>
      </w:r>
      <w:r w:rsidRPr="00864336">
        <w:rPr>
          <w:rFonts w:hint="cs"/>
          <w:u w:val="single"/>
          <w:rtl/>
        </w:rPr>
        <w:t xml:space="preserve"> האם חייב גם במלבוש:</w:t>
      </w:r>
    </w:p>
    <w:p w14:paraId="6DA9EAF4" w14:textId="77777777" w:rsidR="00392DBB" w:rsidRPr="00E12E0D" w:rsidRDefault="00392DBB" w:rsidP="009000E3">
      <w:pPr>
        <w:pStyle w:val="ab"/>
        <w:numPr>
          <w:ilvl w:val="0"/>
          <w:numId w:val="63"/>
        </w:numPr>
      </w:pPr>
      <w:r w:rsidRPr="00E8419F">
        <w:rPr>
          <w:rFonts w:cs="Arial"/>
          <w:rtl/>
        </w:rPr>
        <w:t xml:space="preserve">רשב"א </w:t>
      </w:r>
      <w:r w:rsidRPr="00E8419F">
        <w:rPr>
          <w:rFonts w:cs="Arial"/>
          <w:sz w:val="16"/>
          <w:szCs w:val="16"/>
          <w:rtl/>
        </w:rPr>
        <w:t>(ח"ב סי' קטז, ובמיוחסות סי' קח)</w:t>
      </w:r>
      <w:r w:rsidRPr="00E8419F">
        <w:rPr>
          <w:rFonts w:cs="Arial" w:hint="cs"/>
          <w:rtl/>
        </w:rPr>
        <w:t>-</w:t>
      </w:r>
      <w:r w:rsidRPr="00E8419F">
        <w:rPr>
          <w:rFonts w:cs="Arial"/>
          <w:rtl/>
        </w:rPr>
        <w:t xml:space="preserve"> ששאלתם אם יש בכלל המזונות מלבושים</w:t>
      </w:r>
      <w:r>
        <w:rPr>
          <w:rFonts w:cs="Arial" w:hint="cs"/>
          <w:rtl/>
        </w:rPr>
        <w:t>.</w:t>
      </w:r>
      <w:r w:rsidRPr="00E8419F">
        <w:rPr>
          <w:rFonts w:cs="Arial"/>
          <w:rtl/>
        </w:rPr>
        <w:t xml:space="preserve"> משמו של רבינו האיי אמרו שהמלבושים וצרכי הנישואין בכלל המזונות</w:t>
      </w:r>
      <w:r>
        <w:rPr>
          <w:rFonts w:cs="Arial" w:hint="cs"/>
          <w:rtl/>
        </w:rPr>
        <w:t>.</w:t>
      </w:r>
      <w:r w:rsidRPr="00E8419F">
        <w:rPr>
          <w:rFonts w:cs="Arial"/>
          <w:rtl/>
        </w:rPr>
        <w:t xml:space="preserve"> וריב"ם כתב שאין בכלל המזונות אלא מאכל ומשקה</w:t>
      </w:r>
      <w:r>
        <w:rPr>
          <w:rFonts w:cs="Arial" w:hint="cs"/>
          <w:rtl/>
        </w:rPr>
        <w:t>,</w:t>
      </w:r>
      <w:r w:rsidRPr="00E8419F">
        <w:rPr>
          <w:rFonts w:cs="Arial"/>
          <w:rtl/>
        </w:rPr>
        <w:t xml:space="preserve"> אבל מלבושים ונדוניא </w:t>
      </w:r>
      <w:r>
        <w:rPr>
          <w:rFonts w:cs="Arial" w:hint="cs"/>
          <w:rtl/>
        </w:rPr>
        <w:t xml:space="preserve">- </w:t>
      </w:r>
      <w:r w:rsidRPr="00E8419F">
        <w:rPr>
          <w:rFonts w:cs="Arial"/>
          <w:rtl/>
        </w:rPr>
        <w:t>פרנסה מיקרו</w:t>
      </w:r>
      <w:r>
        <w:rPr>
          <w:rFonts w:cs="Arial" w:hint="cs"/>
          <w:rtl/>
        </w:rPr>
        <w:t>.</w:t>
      </w:r>
      <w:r w:rsidRPr="00E8419F">
        <w:rPr>
          <w:rFonts w:cs="Arial"/>
          <w:rtl/>
        </w:rPr>
        <w:t xml:space="preserve"> ומסתברא שהמלבושים גם כן בכלל מזונות הם</w:t>
      </w:r>
      <w:r>
        <w:rPr>
          <w:rFonts w:cs="Arial" w:hint="cs"/>
          <w:rtl/>
        </w:rPr>
        <w:t>,</w:t>
      </w:r>
      <w:r w:rsidRPr="00E8419F">
        <w:rPr>
          <w:rFonts w:cs="Arial"/>
          <w:rtl/>
        </w:rPr>
        <w:t xml:space="preserve"> כמו ששנינו (כתובות נב:) את תהא יתבא בביתי ומתזנא מנכסי וכו'</w:t>
      </w:r>
      <w:r>
        <w:rPr>
          <w:rFonts w:cs="Arial" w:hint="cs"/>
          <w:rtl/>
        </w:rPr>
        <w:t>.</w:t>
      </w:r>
      <w:r w:rsidRPr="00E8419F">
        <w:rPr>
          <w:rFonts w:cs="Arial"/>
          <w:rtl/>
        </w:rPr>
        <w:t xml:space="preserve"> ואלמנה ודאי יש לה מלבושים בנכסי בעלה מתנאי זה</w:t>
      </w:r>
      <w:r>
        <w:rPr>
          <w:rFonts w:cs="Arial" w:hint="cs"/>
          <w:rtl/>
        </w:rPr>
        <w:t>.</w:t>
      </w:r>
      <w:r w:rsidRPr="00E8419F">
        <w:rPr>
          <w:rFonts w:cs="Arial"/>
          <w:rtl/>
        </w:rPr>
        <w:t xml:space="preserve"> אבל כשבאים חכמים לחלק בין דין המאכל והמשקה לדין הפרנסה</w:t>
      </w:r>
      <w:r>
        <w:rPr>
          <w:rFonts w:cs="Arial" w:hint="cs"/>
          <w:rtl/>
        </w:rPr>
        <w:t>,</w:t>
      </w:r>
      <w:r w:rsidRPr="00E8419F">
        <w:rPr>
          <w:rFonts w:cs="Arial"/>
          <w:rtl/>
        </w:rPr>
        <w:t xml:space="preserve"> קורים לאלו מזונות</w:t>
      </w:r>
      <w:r>
        <w:rPr>
          <w:rFonts w:cs="Arial" w:hint="cs"/>
          <w:rtl/>
        </w:rPr>
        <w:t>,</w:t>
      </w:r>
      <w:r w:rsidRPr="00E8419F">
        <w:rPr>
          <w:rFonts w:cs="Arial"/>
          <w:rtl/>
        </w:rPr>
        <w:t xml:space="preserve"> ולאלו פרנסה</w:t>
      </w:r>
      <w:r>
        <w:rPr>
          <w:rFonts w:cs="Arial" w:hint="cs"/>
          <w:rtl/>
        </w:rPr>
        <w:t>.</w:t>
      </w:r>
      <w:r w:rsidRPr="00E8419F">
        <w:rPr>
          <w:rFonts w:cs="Arial"/>
          <w:rtl/>
        </w:rPr>
        <w:t xml:space="preserve"> ואלא מיהו במי שבא לחייב עצמו מדעתו</w:t>
      </w:r>
      <w:r>
        <w:rPr>
          <w:rFonts w:cs="Arial" w:hint="cs"/>
          <w:rtl/>
        </w:rPr>
        <w:t>,</w:t>
      </w:r>
      <w:r w:rsidRPr="00E8419F">
        <w:rPr>
          <w:rFonts w:cs="Arial"/>
          <w:rtl/>
        </w:rPr>
        <w:t xml:space="preserve"> שלא מתנאי בית דין </w:t>
      </w:r>
      <w:r>
        <w:rPr>
          <w:rFonts w:cs="Arial" w:hint="cs"/>
          <w:rtl/>
        </w:rPr>
        <w:t xml:space="preserve">- </w:t>
      </w:r>
      <w:r w:rsidRPr="00E8419F">
        <w:rPr>
          <w:rFonts w:cs="Arial"/>
          <w:rtl/>
        </w:rPr>
        <w:t xml:space="preserve">אין דנין ומוציאין לבעל השטר המלבושים מחמת מזונות סתם עד שיפרש </w:t>
      </w:r>
      <w:r>
        <w:rPr>
          <w:rFonts w:cs="Arial" w:hint="cs"/>
          <w:rtl/>
        </w:rPr>
        <w:t>'</w:t>
      </w:r>
      <w:r w:rsidRPr="00E8419F">
        <w:rPr>
          <w:rFonts w:cs="Arial"/>
          <w:rtl/>
        </w:rPr>
        <w:t>אזון ואפרנס</w:t>
      </w:r>
      <w:r>
        <w:rPr>
          <w:rFonts w:cs="Arial" w:hint="cs"/>
          <w:rtl/>
        </w:rPr>
        <w:t>',</w:t>
      </w:r>
      <w:r w:rsidRPr="00E8419F">
        <w:rPr>
          <w:rFonts w:cs="Arial"/>
          <w:rtl/>
        </w:rPr>
        <w:t xml:space="preserve"> דיד בעל השטר על התחתונה</w:t>
      </w:r>
      <w:r>
        <w:rPr>
          <w:rFonts w:cs="Arial" w:hint="cs"/>
          <w:rtl/>
        </w:rPr>
        <w:t>.</w:t>
      </w:r>
      <w:r w:rsidRPr="00E8419F">
        <w:rPr>
          <w:rFonts w:cs="Arial"/>
          <w:rtl/>
        </w:rPr>
        <w:t xml:space="preserve"> וכיון שלעתים אינם כוללים אותם בכלל המזונות</w:t>
      </w:r>
      <w:r>
        <w:rPr>
          <w:rFonts w:cs="Arial" w:hint="cs"/>
          <w:rtl/>
        </w:rPr>
        <w:t>,</w:t>
      </w:r>
      <w:r w:rsidRPr="00E8419F">
        <w:rPr>
          <w:rFonts w:cs="Arial"/>
          <w:rtl/>
        </w:rPr>
        <w:t xml:space="preserve"> ועוד שאינם בכלל מזונות בלשון בני אדם</w:t>
      </w:r>
      <w:r>
        <w:rPr>
          <w:rFonts w:cs="Arial" w:hint="cs"/>
          <w:rtl/>
        </w:rPr>
        <w:t>,</w:t>
      </w:r>
      <w:r w:rsidRPr="00E8419F">
        <w:rPr>
          <w:rFonts w:cs="Arial"/>
          <w:rtl/>
        </w:rPr>
        <w:t xml:space="preserve"> לפיכך מי שבא להוציא עליו הראיה</w:t>
      </w:r>
      <w:r>
        <w:rPr>
          <w:rFonts w:cs="Arial" w:hint="cs"/>
          <w:rtl/>
        </w:rPr>
        <w:t>.</w:t>
      </w:r>
      <w:r w:rsidRPr="00E8419F">
        <w:rPr>
          <w:rFonts w:cs="Arial"/>
          <w:rtl/>
        </w:rPr>
        <w:t xml:space="preserve"> וזהו שנהגו עכשיו לכתוב בכתובות </w:t>
      </w:r>
      <w:r>
        <w:rPr>
          <w:rFonts w:cs="Arial" w:hint="cs"/>
          <w:rtl/>
        </w:rPr>
        <w:t>'</w:t>
      </w:r>
      <w:r w:rsidRPr="00E8419F">
        <w:rPr>
          <w:rFonts w:cs="Arial"/>
          <w:rtl/>
        </w:rPr>
        <w:t>ואזון ואפרנס יתיכי</w:t>
      </w:r>
      <w:r>
        <w:rPr>
          <w:rFonts w:cs="Arial" w:hint="cs"/>
          <w:rtl/>
        </w:rPr>
        <w:t>'</w:t>
      </w:r>
      <w:r w:rsidRPr="00E8419F">
        <w:rPr>
          <w:rFonts w:cs="Arial" w:hint="cs"/>
          <w:rtl/>
        </w:rPr>
        <w:t>.</w:t>
      </w:r>
      <w:r>
        <w:rPr>
          <w:rFonts w:hint="cs"/>
          <w:rtl/>
        </w:rPr>
        <w:t xml:space="preserve"> </w:t>
      </w:r>
      <w:r w:rsidRPr="00864336">
        <w:rPr>
          <w:rFonts w:hint="cs"/>
          <w:color w:val="E36C0A" w:themeColor="accent6" w:themeShade="BF"/>
          <w:rtl/>
        </w:rPr>
        <w:t>(וכ"פ בשו"ע)</w:t>
      </w:r>
      <w:r w:rsidRPr="00E12E0D">
        <w:rPr>
          <w:rStyle w:val="a7"/>
          <w:rFonts w:cs="Arial"/>
          <w:rtl/>
        </w:rPr>
        <w:t xml:space="preserve"> </w:t>
      </w:r>
    </w:p>
    <w:p w14:paraId="2AA781C3" w14:textId="77777777" w:rsidR="00392DBB" w:rsidRPr="00E12E0D" w:rsidRDefault="00392DBB" w:rsidP="00392DBB">
      <w:r>
        <w:rPr>
          <w:rFonts w:cs="Arial" w:hint="cs"/>
          <w:u w:val="single"/>
          <w:rtl/>
        </w:rPr>
        <w:t>לוי</w:t>
      </w:r>
      <w:r w:rsidRPr="00E12E0D">
        <w:rPr>
          <w:rFonts w:cs="Arial"/>
          <w:u w:val="single"/>
          <w:rtl/>
        </w:rPr>
        <w:t xml:space="preserve"> אמר לשמעון </w:t>
      </w:r>
      <w:r w:rsidRPr="00E12E0D">
        <w:rPr>
          <w:rFonts w:cs="Arial" w:hint="cs"/>
          <w:u w:val="single"/>
          <w:rtl/>
        </w:rPr>
        <w:t>'</w:t>
      </w:r>
      <w:r w:rsidRPr="00E12E0D">
        <w:rPr>
          <w:rFonts w:cs="Arial"/>
          <w:u w:val="single"/>
          <w:rtl/>
        </w:rPr>
        <w:t xml:space="preserve">אם תשא בת </w:t>
      </w:r>
      <w:r>
        <w:rPr>
          <w:rFonts w:cs="Arial" w:hint="cs"/>
          <w:u w:val="single"/>
          <w:rtl/>
        </w:rPr>
        <w:t>ראובן</w:t>
      </w:r>
      <w:r w:rsidRPr="00E12E0D">
        <w:rPr>
          <w:rFonts w:cs="Arial"/>
          <w:u w:val="single"/>
          <w:rtl/>
        </w:rPr>
        <w:t xml:space="preserve"> אתן לך </w:t>
      </w:r>
      <w:r>
        <w:rPr>
          <w:rFonts w:cs="Arial" w:hint="cs"/>
          <w:u w:val="single"/>
          <w:rtl/>
        </w:rPr>
        <w:t>ר'</w:t>
      </w:r>
      <w:r w:rsidRPr="00E12E0D">
        <w:rPr>
          <w:rFonts w:cs="Arial"/>
          <w:u w:val="single"/>
          <w:rtl/>
        </w:rPr>
        <w:t xml:space="preserve"> זוז לפרנסתה ומזונותיה</w:t>
      </w:r>
      <w:r w:rsidRPr="00E12E0D">
        <w:rPr>
          <w:rFonts w:cs="Arial" w:hint="cs"/>
          <w:u w:val="single"/>
          <w:rtl/>
        </w:rPr>
        <w:t xml:space="preserve">', </w:t>
      </w:r>
      <w:r w:rsidRPr="00E12E0D">
        <w:rPr>
          <w:rFonts w:cs="Arial"/>
          <w:u w:val="single"/>
          <w:rtl/>
        </w:rPr>
        <w:t xml:space="preserve">ומתה בת </w:t>
      </w:r>
      <w:r>
        <w:rPr>
          <w:rFonts w:cs="Arial" w:hint="cs"/>
          <w:u w:val="single"/>
          <w:rtl/>
        </w:rPr>
        <w:t>ראובן</w:t>
      </w:r>
      <w:r w:rsidRPr="00E12E0D">
        <w:rPr>
          <w:rFonts w:cs="Arial"/>
          <w:u w:val="single"/>
          <w:rtl/>
        </w:rPr>
        <w:t xml:space="preserve"> לאחר שנשאה</w:t>
      </w:r>
      <w:r w:rsidRPr="00E12E0D">
        <w:rPr>
          <w:rFonts w:cs="Arial" w:hint="cs"/>
          <w:u w:val="single"/>
          <w:rtl/>
        </w:rPr>
        <w:t>:</w:t>
      </w:r>
      <w:r w:rsidRPr="00E12E0D">
        <w:rPr>
          <w:rFonts w:cs="Arial"/>
          <w:rtl/>
        </w:rPr>
        <w:t xml:space="preserve"> </w:t>
      </w:r>
      <w:r w:rsidRPr="00E12E0D">
        <w:rPr>
          <w:rFonts w:cs="Arial"/>
          <w:sz w:val="16"/>
          <w:szCs w:val="16"/>
          <w:rtl/>
        </w:rPr>
        <w:t>(</w:t>
      </w:r>
      <w:r w:rsidRPr="00E12E0D">
        <w:rPr>
          <w:rFonts w:cs="Arial" w:hint="cs"/>
          <w:sz w:val="16"/>
          <w:szCs w:val="16"/>
          <w:rtl/>
        </w:rPr>
        <w:t xml:space="preserve">דרכ"מ אות </w:t>
      </w:r>
      <w:r w:rsidRPr="00E12E0D">
        <w:rPr>
          <w:rFonts w:cs="Arial"/>
          <w:sz w:val="16"/>
          <w:szCs w:val="16"/>
          <w:rtl/>
        </w:rPr>
        <w:t xml:space="preserve">ו) </w:t>
      </w:r>
    </w:p>
    <w:p w14:paraId="7729D7B3" w14:textId="1F452C16" w:rsidR="00392DBB" w:rsidRPr="00BA3153" w:rsidRDefault="00392DBB" w:rsidP="009000E3">
      <w:pPr>
        <w:pStyle w:val="ab"/>
        <w:numPr>
          <w:ilvl w:val="0"/>
          <w:numId w:val="63"/>
        </w:numPr>
        <w:rPr>
          <w:rFonts w:cs="Arial"/>
          <w:rtl/>
        </w:rPr>
      </w:pPr>
      <w:r w:rsidRPr="00716457">
        <w:rPr>
          <w:rFonts w:cs="Arial"/>
          <w:rtl/>
        </w:rPr>
        <w:t>רשב"א</w:t>
      </w:r>
      <w:r w:rsidRPr="00E12E0D">
        <w:rPr>
          <w:rFonts w:cs="Arial"/>
          <w:sz w:val="16"/>
          <w:szCs w:val="16"/>
          <w:rtl/>
        </w:rPr>
        <w:t xml:space="preserve"> (ח"א סי</w:t>
      </w:r>
      <w:r w:rsidRPr="00E12E0D">
        <w:rPr>
          <w:rFonts w:cs="Arial" w:hint="cs"/>
          <w:sz w:val="16"/>
          <w:szCs w:val="16"/>
          <w:rtl/>
        </w:rPr>
        <w:t>'</w:t>
      </w:r>
      <w:r w:rsidRPr="00E12E0D">
        <w:rPr>
          <w:rFonts w:cs="Arial"/>
          <w:sz w:val="16"/>
          <w:szCs w:val="16"/>
          <w:rtl/>
        </w:rPr>
        <w:t xml:space="preserve"> תתקע</w:t>
      </w:r>
      <w:r w:rsidRPr="00E12E0D">
        <w:rPr>
          <w:rFonts w:cs="Arial" w:hint="cs"/>
          <w:sz w:val="16"/>
          <w:szCs w:val="16"/>
          <w:rtl/>
        </w:rPr>
        <w:t>)</w:t>
      </w:r>
      <w:r>
        <w:rPr>
          <w:rFonts w:cs="Arial" w:hint="cs"/>
          <w:rtl/>
        </w:rPr>
        <w:t>-</w:t>
      </w:r>
      <w:r w:rsidRPr="00716457">
        <w:rPr>
          <w:rFonts w:cs="Arial"/>
          <w:rtl/>
        </w:rPr>
        <w:t xml:space="preserve"> </w:t>
      </w:r>
      <w:r w:rsidRPr="00BA3153">
        <w:rPr>
          <w:rFonts w:cs="Arial"/>
          <w:rtl/>
        </w:rPr>
        <w:t>נשאל עוד</w:t>
      </w:r>
      <w:r w:rsidR="00C94815">
        <w:rPr>
          <w:rFonts w:cs="Arial" w:hint="cs"/>
          <w:rtl/>
        </w:rPr>
        <w:t>:</w:t>
      </w:r>
      <w:r w:rsidRPr="00BA3153">
        <w:rPr>
          <w:rFonts w:cs="Arial"/>
          <w:rtl/>
        </w:rPr>
        <w:t xml:space="preserve"> לוי שאמר לשמעון אם תשא דינה בת ראובן אתן לך ולדינה הנזכרת מאתים דינרים לצורך מזונות. ועשה לו שטר חוב עליהם בכל תיקון חכמים ובפי' לצורך מזונות וקבע לו זמני'. והקנה לו עצמו ונכסיו לאותן המעות לזמנים קבועים. לימי' מתה דינה הנזכרת תוך אותם זמנים. ועכשו שמעון תובע כל אותו שטר, ולוי טוען שלא נתחייב אלא לצורך מזונות כיון שמתה מתה. </w:t>
      </w:r>
      <w:r>
        <w:rPr>
          <w:rFonts w:cs="Arial" w:hint="cs"/>
          <w:rtl/>
        </w:rPr>
        <w:t xml:space="preserve"> </w:t>
      </w:r>
      <w:r w:rsidR="00C94815">
        <w:rPr>
          <w:rFonts w:cs="Arial" w:hint="cs"/>
          <w:rtl/>
        </w:rPr>
        <w:t xml:space="preserve">  </w:t>
      </w:r>
      <w:r>
        <w:rPr>
          <w:rFonts w:cs="Arial" w:hint="cs"/>
          <w:rtl/>
        </w:rPr>
        <w:t xml:space="preserve">  </w:t>
      </w:r>
      <w:r w:rsidRPr="00BA3153">
        <w:rPr>
          <w:rFonts w:cs="Arial"/>
          <w:rtl/>
        </w:rPr>
        <w:t>והשיב</w:t>
      </w:r>
      <w:r w:rsidR="00C94815">
        <w:rPr>
          <w:rFonts w:cs="Arial" w:hint="cs"/>
          <w:rtl/>
        </w:rPr>
        <w:t>:</w:t>
      </w:r>
      <w:r w:rsidRPr="00BA3153">
        <w:rPr>
          <w:rFonts w:cs="Arial"/>
          <w:rtl/>
        </w:rPr>
        <w:t xml:space="preserve"> אם קבל עליו לוי לזונם חמש שנים ומתה דינה לשתי שנים בכי הא ודאי אינו נותן לה אלא כנגד הב' שנים לבד כדגרסינן בירושלמי. אבל זה לא קצב למזונות אלא קבל על עצמו סך מעות לצורך מזונות סתם. אלו רצו להוציא</w:t>
      </w:r>
      <w:r>
        <w:rPr>
          <w:rStyle w:val="a7"/>
          <w:rFonts w:cs="Arial"/>
          <w:rtl/>
        </w:rPr>
        <w:footnoteReference w:id="2783"/>
      </w:r>
      <w:r w:rsidRPr="00BA3153">
        <w:rPr>
          <w:rFonts w:cs="Arial"/>
          <w:rtl/>
        </w:rPr>
        <w:t xml:space="preserve"> אותו סך ביום הא' הרשות בידם. וגם הוא שלא קצב זמן באותו חוב שחייב עצמו מעכשו והם יזונו את עצמם כמו שירצו. והילכך טענת לוי זה שטוען אינה טענה. אלא שמצד אחד הוא פטור לפרוע מחצית הממון ואפי' אותו שהגיע זמן בחיי דינה</w:t>
      </w:r>
      <w:r w:rsidR="00C94815">
        <w:rPr>
          <w:rFonts w:cs="Arial" w:hint="cs"/>
          <w:rtl/>
        </w:rPr>
        <w:t>,</w:t>
      </w:r>
      <w:r w:rsidRPr="00BA3153">
        <w:rPr>
          <w:rFonts w:cs="Arial"/>
          <w:rtl/>
        </w:rPr>
        <w:t xml:space="preserve"> והוא שזה חייב עצמו לשמעון ולאשתו הרי זה כמחייב עצמו לשנים דעלמא שזהו זוכה במקצת החוב וזהו זוכה במקצתו. גם כן הוא זכה במחצית ואשתו במחצית והוה ליה כנכסי מלוג דעלמא. וכיון שלא הספיקה דינה לגבות אותו החוב הרי זה חלק דינה כמלוה והוה ליה ראוי ואין הבעל נוטל בראוי כבמוחזק. כדאמר רב פפא ביש נוחלין (קכה</w:t>
      </w:r>
      <w:r>
        <w:rPr>
          <w:rFonts w:cs="Arial" w:hint="cs"/>
          <w:rtl/>
        </w:rPr>
        <w:t>:</w:t>
      </w:r>
      <w:r w:rsidRPr="00BA3153">
        <w:rPr>
          <w:rFonts w:cs="Arial"/>
          <w:rtl/>
        </w:rPr>
        <w:t>) הלכתא אין הבעל נוטל בראוי כבמוחזק ואין הבכור נוטל במלוה. דמפרשי רבואתא ז"ל דמלוה ראויה אצל הבעל כמו שהיא ראויה אצל בכור</w:t>
      </w:r>
      <w:r>
        <w:rPr>
          <w:rStyle w:val="a7"/>
          <w:rFonts w:cs="Arial"/>
          <w:rtl/>
        </w:rPr>
        <w:footnoteReference w:id="2784"/>
      </w:r>
      <w:r>
        <w:rPr>
          <w:rFonts w:hint="cs"/>
          <w:rtl/>
        </w:rPr>
        <w:t>.</w:t>
      </w:r>
      <w:r w:rsidRPr="00BA3153">
        <w:rPr>
          <w:rFonts w:hint="cs"/>
          <w:color w:val="00B0F0"/>
          <w:rtl/>
        </w:rPr>
        <w:t xml:space="preserve"> (וכ"פ הרמ"א)</w:t>
      </w:r>
    </w:p>
    <w:p w14:paraId="1B44E145"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C82D5A1" w14:textId="21761B19" w:rsidR="00392DBB" w:rsidRPr="007A3469" w:rsidRDefault="00392DBB" w:rsidP="00392DBB">
      <w:pPr>
        <w:rPr>
          <w:rtl/>
        </w:rPr>
        <w:sectPr w:rsidR="00392DBB" w:rsidRPr="007A3469" w:rsidSect="00A347B3">
          <w:headerReference w:type="default" r:id="rId58"/>
          <w:footnotePr>
            <w:numRestart w:val="eachSect"/>
          </w:footnotePr>
          <w:pgSz w:w="11906" w:h="16838"/>
          <w:pgMar w:top="720" w:right="1134" w:bottom="720" w:left="1134" w:header="0" w:footer="0" w:gutter="0"/>
          <w:cols w:space="720"/>
          <w:bidi/>
          <w:rtlGutter/>
          <w:docGrid w:linePitch="360"/>
        </w:sectPr>
      </w:pPr>
      <w:r>
        <w:rPr>
          <w:rFonts w:cs="Arial"/>
          <w:rtl/>
        </w:rPr>
        <w:t xml:space="preserve">כל המחייב עצמו מדעתו לזון שלא מתנאי בית דין, אינו חייב במלבוש אלא אם כן פירש: אזון ואפרנס. </w:t>
      </w:r>
      <w:r w:rsidRPr="00F973EF">
        <w:rPr>
          <w:rFonts w:cs="Arial"/>
          <w:sz w:val="18"/>
          <w:szCs w:val="18"/>
          <w:rtl/>
        </w:rPr>
        <w:t>הגה: ואם כתב לאחד, אם ישא בת פלוני ליתן לו סך מה לצורך פרנסת מזונות, חייב ליתן לו אע</w:t>
      </w:r>
      <w:r>
        <w:rPr>
          <w:rFonts w:cs="Arial" w:hint="cs"/>
          <w:sz w:val="18"/>
          <w:szCs w:val="18"/>
          <w:rtl/>
        </w:rPr>
        <w:t>"</w:t>
      </w:r>
      <w:r w:rsidRPr="00F973EF">
        <w:rPr>
          <w:rFonts w:cs="Arial"/>
          <w:sz w:val="18"/>
          <w:szCs w:val="18"/>
          <w:rtl/>
        </w:rPr>
        <w:t>פ שמתה הבת, דהרי לא קצב לו זמן המזונות אלא קצב לו סך למזונות</w:t>
      </w:r>
      <w:r>
        <w:rPr>
          <w:rFonts w:cs="Arial" w:hint="cs"/>
          <w:sz w:val="18"/>
          <w:szCs w:val="18"/>
          <w:rtl/>
        </w:rPr>
        <w:t>,</w:t>
      </w:r>
      <w:r w:rsidRPr="00F973EF">
        <w:rPr>
          <w:rFonts w:cs="Arial"/>
          <w:sz w:val="18"/>
          <w:szCs w:val="18"/>
          <w:rtl/>
        </w:rPr>
        <w:t xml:space="preserve"> ואלו היה רוצה ליקח ממנו הסך ביחד</w:t>
      </w:r>
      <w:r>
        <w:rPr>
          <w:rStyle w:val="a7"/>
          <w:rFonts w:cs="Arial"/>
          <w:sz w:val="18"/>
          <w:szCs w:val="18"/>
          <w:rtl/>
        </w:rPr>
        <w:footnoteReference w:id="2785"/>
      </w:r>
      <w:r w:rsidRPr="00F973EF">
        <w:rPr>
          <w:rFonts w:cs="Arial"/>
          <w:sz w:val="18"/>
          <w:szCs w:val="18"/>
          <w:rtl/>
        </w:rPr>
        <w:t xml:space="preserve"> היה חייב ליתן לו. אך אם כתב לו ולאשתו, אינו יורש חלק אשתו</w:t>
      </w:r>
      <w:r w:rsidR="00351012" w:rsidRPr="00F973EF">
        <w:rPr>
          <w:rFonts w:cs="Arial"/>
          <w:sz w:val="18"/>
          <w:szCs w:val="18"/>
          <w:rtl/>
        </w:rPr>
        <w:t xml:space="preserve"> </w:t>
      </w:r>
      <w:r w:rsidRPr="00F973EF">
        <w:rPr>
          <w:rFonts w:cs="Arial"/>
          <w:sz w:val="18"/>
          <w:szCs w:val="18"/>
          <w:rtl/>
        </w:rPr>
        <w:t>(רשב"א).</w:t>
      </w:r>
    </w:p>
    <w:p w14:paraId="024A58DC" w14:textId="77777777" w:rsidR="00392DBB" w:rsidRDefault="00392DBB" w:rsidP="00392DBB">
      <w:pPr>
        <w:pStyle w:val="1"/>
        <w:rPr>
          <w:rtl/>
        </w:rPr>
      </w:pPr>
      <w:r>
        <w:rPr>
          <w:rFonts w:hint="cs"/>
          <w:rtl/>
        </w:rPr>
        <w:lastRenderedPageBreak/>
        <w:t>סימן קטו:</w:t>
      </w:r>
      <w:r w:rsidRPr="00C12B74">
        <w:rPr>
          <w:rtl/>
        </w:rPr>
        <w:t xml:space="preserve"> </w:t>
      </w:r>
      <w:r>
        <w:rPr>
          <w:rFonts w:cs="Arial"/>
          <w:rtl/>
        </w:rPr>
        <w:t xml:space="preserve">דין היוצאת בלא כתובה והמפסדת כתובתה, ובו י' סעיפים. </w:t>
      </w:r>
    </w:p>
    <w:p w14:paraId="793F9B74" w14:textId="77777777" w:rsidR="00392DBB" w:rsidRDefault="00392DBB" w:rsidP="000F64D0">
      <w:pPr>
        <w:pStyle w:val="2"/>
        <w:rPr>
          <w:rtl/>
        </w:rPr>
      </w:pPr>
      <w:r>
        <w:rPr>
          <w:rtl/>
        </w:rPr>
        <w:t>סעיף א</w:t>
      </w:r>
      <w:r>
        <w:rPr>
          <w:rFonts w:hint="cs"/>
          <w:rtl/>
        </w:rPr>
        <w:t>:</w:t>
      </w:r>
      <w:r w:rsidRPr="00972691">
        <w:rPr>
          <w:rtl/>
        </w:rPr>
        <w:t xml:space="preserve"> </w:t>
      </w:r>
      <w:r w:rsidRPr="00671DE4">
        <w:rPr>
          <w:rtl/>
        </w:rPr>
        <w:t>העוברת על דת משה</w:t>
      </w:r>
      <w:r>
        <w:rPr>
          <w:rFonts w:hint="cs"/>
          <w:rtl/>
        </w:rPr>
        <w:t>.</w:t>
      </w:r>
    </w:p>
    <w:p w14:paraId="183B9F71" w14:textId="6BA7F8B0" w:rsidR="00392DBB" w:rsidRDefault="00392DBB" w:rsidP="00392DBB">
      <w:pPr>
        <w:rPr>
          <w:rtl/>
        </w:rPr>
      </w:pPr>
      <w:r w:rsidRPr="00287A5F">
        <w:rPr>
          <w:rFonts w:hint="cs"/>
          <w:b/>
          <w:bCs/>
          <w:rtl/>
        </w:rPr>
        <w:t xml:space="preserve">כתובות </w:t>
      </w:r>
      <w:r w:rsidRPr="00287A5F">
        <w:rPr>
          <w:rFonts w:hint="cs"/>
          <w:b/>
          <w:bCs/>
          <w:sz w:val="16"/>
          <w:szCs w:val="16"/>
          <w:rtl/>
        </w:rPr>
        <w:t xml:space="preserve">(פ' המדיר) </w:t>
      </w:r>
      <w:r w:rsidRPr="00287A5F">
        <w:rPr>
          <w:rFonts w:hint="cs"/>
          <w:b/>
          <w:bCs/>
          <w:rtl/>
        </w:rPr>
        <w:t>עב</w:t>
      </w:r>
      <w:r w:rsidR="0077331D" w:rsidRPr="0077331D">
        <w:rPr>
          <w:rStyle w:val="a7"/>
          <w:rFonts w:cs="Arial"/>
          <w:b/>
          <w:bCs/>
          <w:rtl/>
        </w:rPr>
        <w:footnoteReference w:id="2786"/>
      </w:r>
      <w:r w:rsidRPr="00287A5F">
        <w:rPr>
          <w:rFonts w:hint="cs"/>
          <w:b/>
          <w:bCs/>
          <w:rtl/>
        </w:rPr>
        <w:t xml:space="preserve"> ע"א:</w:t>
      </w:r>
      <w:r>
        <w:rPr>
          <w:rFonts w:hint="cs"/>
          <w:rtl/>
        </w:rPr>
        <w:t xml:space="preserve"> </w:t>
      </w:r>
      <w:r w:rsidRPr="00287A5F">
        <w:rPr>
          <w:rFonts w:cs="Arial"/>
          <w:u w:val="double"/>
          <w:rtl/>
        </w:rPr>
        <w:t>מתני'</w:t>
      </w:r>
      <w:r>
        <w:rPr>
          <w:rFonts w:cs="Arial" w:hint="cs"/>
          <w:rtl/>
        </w:rPr>
        <w:t>:</w:t>
      </w:r>
      <w:r w:rsidRPr="00287A5F">
        <w:rPr>
          <w:rFonts w:cs="Arial"/>
          <w:rtl/>
        </w:rPr>
        <w:t xml:space="preserve"> ואלו יוצאות שלא בכתובה: העוברת על דת משה ויהודית</w:t>
      </w:r>
      <w:r>
        <w:rPr>
          <w:rStyle w:val="a7"/>
          <w:rFonts w:cs="Arial"/>
          <w:rtl/>
        </w:rPr>
        <w:footnoteReference w:id="2787"/>
      </w:r>
      <w:r w:rsidRPr="00287A5F">
        <w:rPr>
          <w:rFonts w:cs="Arial"/>
          <w:rtl/>
        </w:rPr>
        <w:t xml:space="preserve">. ואיזו היא דת משה? מאכילתו שאינו מעושר, ומשמשתו נדה, ולא קוצה לה חלה, ונודרת ואינה מקיימת. ואיזוהי דת יהודית? יוצאה וראשה פרוע, וטווה בשוק, ומדברת עם כל אדם. </w:t>
      </w:r>
      <w:r w:rsidRPr="00287A5F">
        <w:rPr>
          <w:rFonts w:cs="Arial"/>
          <w:u w:val="single"/>
          <w:rtl/>
        </w:rPr>
        <w:t>אבא שאול אומר</w:t>
      </w:r>
      <w:r w:rsidRPr="00287A5F">
        <w:rPr>
          <w:rFonts w:cs="Arial"/>
          <w:rtl/>
        </w:rPr>
        <w:t xml:space="preserve">: אף המקללת יולדיו בפניו. </w:t>
      </w:r>
      <w:r w:rsidRPr="00287A5F">
        <w:rPr>
          <w:rFonts w:cs="Arial"/>
          <w:u w:val="single"/>
          <w:rtl/>
        </w:rPr>
        <w:t>רבי טרפון אומר</w:t>
      </w:r>
      <w:r w:rsidRPr="00287A5F">
        <w:rPr>
          <w:rFonts w:cs="Arial"/>
          <w:rtl/>
        </w:rPr>
        <w:t>: אף הקולנית. ואיזוהי קולנית? לכשהיא מדברת בתוך ביתה ושכיניה שומעין קולה.</w:t>
      </w:r>
      <w:r>
        <w:rPr>
          <w:rFonts w:hint="cs"/>
          <w:rtl/>
        </w:rPr>
        <w:t xml:space="preserve">       </w:t>
      </w:r>
      <w:r w:rsidRPr="00972691">
        <w:rPr>
          <w:rFonts w:hint="cs"/>
          <w:u w:val="double"/>
          <w:rtl/>
        </w:rPr>
        <w:t>גמ'</w:t>
      </w:r>
      <w:r>
        <w:rPr>
          <w:rFonts w:hint="cs"/>
          <w:rtl/>
        </w:rPr>
        <w:t>:</w:t>
      </w:r>
      <w:r>
        <w:rPr>
          <w:rFonts w:cs="Arial"/>
          <w:rtl/>
        </w:rPr>
        <w:t xml:space="preserve"> מאכילתו שאינו מעושר. היכי דמי? אי דידע, נפרוש! אי דלא ידע, מנא ידע? לא</w:t>
      </w:r>
      <w:r>
        <w:rPr>
          <w:rFonts w:cs="Arial" w:hint="cs"/>
          <w:rtl/>
        </w:rPr>
        <w:t>,</w:t>
      </w:r>
      <w:r>
        <w:rPr>
          <w:rFonts w:cs="Arial"/>
          <w:rtl/>
        </w:rPr>
        <w:t xml:space="preserve"> צריכא</w:t>
      </w:r>
      <w:r>
        <w:rPr>
          <w:rFonts w:cs="Arial" w:hint="cs"/>
          <w:rtl/>
        </w:rPr>
        <w:t>,</w:t>
      </w:r>
      <w:r>
        <w:rPr>
          <w:rFonts w:cs="Arial"/>
          <w:rtl/>
        </w:rPr>
        <w:t xml:space="preserve"> דאמרה ליה פלוני כהן תיקן לי את הכרי, ואזיל שייליה ואשתכח שיקרא. ומשמשתו נדה. היכי דמי? אי דידע בה, נפרוש! אי דלא ידע, נסמוך עילוה! דא"ר חיננא בר כהנא אמר שמואל: מנין לנדה שסופרת לעצמה? שנאמר: וספרה לה שבעת ימים, לה - לעצמה! לא</w:t>
      </w:r>
      <w:r>
        <w:rPr>
          <w:rFonts w:cs="Arial" w:hint="cs"/>
          <w:rtl/>
        </w:rPr>
        <w:t>,</w:t>
      </w:r>
      <w:r>
        <w:rPr>
          <w:rFonts w:cs="Arial"/>
          <w:rtl/>
        </w:rPr>
        <w:t xml:space="preserve"> צריכא, דאמרה ליה פלוני חכם טיהר לי את הדם, ואזל שייליה ואשתכח שיקרא.</w:t>
      </w:r>
      <w:r>
        <w:rPr>
          <w:rFonts w:cs="Arial" w:hint="cs"/>
          <w:rtl/>
        </w:rPr>
        <w:t>.</w:t>
      </w:r>
      <w:r>
        <w:rPr>
          <w:rFonts w:cs="Arial"/>
          <w:rtl/>
        </w:rPr>
        <w:t>. ולא קוצה לה חלה. היכי דמי? אי דידע, נפרוש! אי דלא ידע, מנא ידע? לא</w:t>
      </w:r>
      <w:r>
        <w:rPr>
          <w:rFonts w:cs="Arial" w:hint="cs"/>
          <w:rtl/>
        </w:rPr>
        <w:t>,</w:t>
      </w:r>
      <w:r>
        <w:rPr>
          <w:rFonts w:cs="Arial"/>
          <w:rtl/>
        </w:rPr>
        <w:t xml:space="preserve"> צריכא, דאמרה ליה פלוני גבל תיקן לי את העיסה, ואזיל שייליה ואשתכח שיקרא.</w:t>
      </w:r>
    </w:p>
    <w:p w14:paraId="426064A1" w14:textId="0EFC9FA5" w:rsidR="00392DBB" w:rsidRDefault="00392DBB" w:rsidP="00392DBB">
      <w:pPr>
        <w:rPr>
          <w:rtl/>
        </w:rPr>
      </w:pPr>
      <w:r w:rsidRPr="00F3070E">
        <w:rPr>
          <w:rFonts w:cs="Arial" w:hint="cs"/>
          <w:b/>
          <w:bCs/>
          <w:rtl/>
        </w:rPr>
        <w:t>ירושלמי כתובות פ"ז ה"ו:</w:t>
      </w:r>
      <w:r>
        <w:rPr>
          <w:rFonts w:cs="Arial" w:hint="cs"/>
          <w:rtl/>
        </w:rPr>
        <w:t xml:space="preserve"> </w:t>
      </w:r>
      <w:r w:rsidRPr="00F3070E">
        <w:rPr>
          <w:rFonts w:cs="Arial"/>
          <w:u w:val="double"/>
          <w:rtl/>
        </w:rPr>
        <w:t>מתני'</w:t>
      </w:r>
      <w:r>
        <w:rPr>
          <w:rFonts w:cs="Arial" w:hint="cs"/>
          <w:rtl/>
        </w:rPr>
        <w:t>:</w:t>
      </w:r>
      <w:r w:rsidRPr="00F3070E">
        <w:rPr>
          <w:rFonts w:cs="Arial"/>
          <w:rtl/>
        </w:rPr>
        <w:t xml:space="preserve"> אילו יוצאות שלא בכתובה</w:t>
      </w:r>
      <w:r>
        <w:rPr>
          <w:rFonts w:cs="Arial" w:hint="cs"/>
          <w:rtl/>
        </w:rPr>
        <w:t>:</w:t>
      </w:r>
      <w:r w:rsidRPr="00F3070E">
        <w:rPr>
          <w:rFonts w:cs="Arial"/>
          <w:rtl/>
        </w:rPr>
        <w:t xml:space="preserve"> העוברת על דת משה ויהודית</w:t>
      </w:r>
      <w:r>
        <w:rPr>
          <w:rFonts w:cs="Arial" w:hint="cs"/>
          <w:rtl/>
        </w:rPr>
        <w:t>.</w:t>
      </w:r>
      <w:r w:rsidRPr="00F3070E">
        <w:rPr>
          <w:rFonts w:cs="Arial"/>
          <w:rtl/>
        </w:rPr>
        <w:t xml:space="preserve"> ואי זו היא דת משה</w:t>
      </w:r>
      <w:r>
        <w:rPr>
          <w:rFonts w:cs="Arial" w:hint="cs"/>
          <w:rtl/>
        </w:rPr>
        <w:t>?</w:t>
      </w:r>
      <w:r w:rsidRPr="00F3070E">
        <w:rPr>
          <w:rFonts w:cs="Arial"/>
          <w:rtl/>
        </w:rPr>
        <w:t xml:space="preserve"> מאכילתו שאינו מעושר</w:t>
      </w:r>
      <w:r>
        <w:rPr>
          <w:rFonts w:cs="Arial" w:hint="cs"/>
          <w:rtl/>
        </w:rPr>
        <w:t>,</w:t>
      </w:r>
      <w:r w:rsidRPr="00F3070E">
        <w:rPr>
          <w:rFonts w:cs="Arial"/>
          <w:rtl/>
        </w:rPr>
        <w:t xml:space="preserve"> ומשמשתו נידה</w:t>
      </w:r>
      <w:r>
        <w:rPr>
          <w:rFonts w:cs="Arial" w:hint="cs"/>
          <w:rtl/>
        </w:rPr>
        <w:t>,</w:t>
      </w:r>
      <w:r w:rsidRPr="00F3070E">
        <w:rPr>
          <w:rFonts w:cs="Arial"/>
          <w:rtl/>
        </w:rPr>
        <w:t xml:space="preserve"> ולא קוצה לו חלה</w:t>
      </w:r>
      <w:r>
        <w:rPr>
          <w:rFonts w:cs="Arial" w:hint="cs"/>
          <w:rtl/>
        </w:rPr>
        <w:t>,</w:t>
      </w:r>
      <w:r w:rsidRPr="00F3070E">
        <w:rPr>
          <w:rFonts w:cs="Arial"/>
          <w:rtl/>
        </w:rPr>
        <w:t xml:space="preserve"> ונודרת ואינה מקיימת</w:t>
      </w:r>
      <w:r>
        <w:rPr>
          <w:rFonts w:cs="Arial" w:hint="cs"/>
          <w:rtl/>
        </w:rPr>
        <w:t>...</w:t>
      </w:r>
      <w:r w:rsidRPr="00F3070E">
        <w:rPr>
          <w:rFonts w:cs="Arial"/>
          <w:rtl/>
        </w:rPr>
        <w:t xml:space="preserve"> </w:t>
      </w:r>
      <w:r>
        <w:rPr>
          <w:rFonts w:cs="Arial" w:hint="cs"/>
          <w:rtl/>
        </w:rPr>
        <w:t xml:space="preserve">       </w:t>
      </w:r>
      <w:r w:rsidRPr="00F3070E">
        <w:rPr>
          <w:rFonts w:cs="Arial"/>
          <w:u w:val="double"/>
          <w:rtl/>
        </w:rPr>
        <w:t>גמ'</w:t>
      </w:r>
      <w:r>
        <w:rPr>
          <w:rFonts w:cs="Arial" w:hint="cs"/>
          <w:rtl/>
        </w:rPr>
        <w:t>:</w:t>
      </w:r>
      <w:r w:rsidRPr="00F3070E">
        <w:rPr>
          <w:rFonts w:cs="Arial"/>
          <w:rtl/>
        </w:rPr>
        <w:t xml:space="preserve"> וכולהון בעדים</w:t>
      </w:r>
      <w:r>
        <w:rPr>
          <w:rFonts w:cs="Arial" w:hint="cs"/>
          <w:rtl/>
        </w:rPr>
        <w:t>.</w:t>
      </w:r>
      <w:r w:rsidRPr="001437CC">
        <w:rPr>
          <w:rtl/>
        </w:rPr>
        <w:t xml:space="preserve"> </w:t>
      </w:r>
      <w:r w:rsidRPr="001437CC">
        <w:rPr>
          <w:rFonts w:cs="Arial"/>
          <w:rtl/>
        </w:rPr>
        <w:t>פלוני עישר</w:t>
      </w:r>
      <w:r>
        <w:rPr>
          <w:rFonts w:cs="Arial" w:hint="cs"/>
          <w:rtl/>
        </w:rPr>
        <w:t>,</w:t>
      </w:r>
      <w:r w:rsidRPr="001437CC">
        <w:rPr>
          <w:rFonts w:cs="Arial"/>
          <w:rtl/>
        </w:rPr>
        <w:t xml:space="preserve"> פלוני ראה כיתמן</w:t>
      </w:r>
      <w:r>
        <w:rPr>
          <w:rFonts w:cs="Arial" w:hint="cs"/>
          <w:rtl/>
        </w:rPr>
        <w:t>,</w:t>
      </w:r>
      <w:r w:rsidRPr="001437CC">
        <w:rPr>
          <w:rFonts w:cs="Arial"/>
          <w:rtl/>
        </w:rPr>
        <w:t xml:space="preserve"> פלוני קצה חלתה</w:t>
      </w:r>
      <w:r>
        <w:rPr>
          <w:rFonts w:cs="Arial" w:hint="cs"/>
          <w:rtl/>
        </w:rPr>
        <w:t>,</w:t>
      </w:r>
      <w:r w:rsidRPr="001437CC">
        <w:rPr>
          <w:rFonts w:cs="Arial"/>
          <w:rtl/>
        </w:rPr>
        <w:t xml:space="preserve"> פלוני התיר את נדרה</w:t>
      </w:r>
      <w:r>
        <w:rPr>
          <w:rFonts w:cs="Arial" w:hint="cs"/>
          <w:rtl/>
        </w:rPr>
        <w:t>,</w:t>
      </w:r>
      <w:r w:rsidRPr="001437CC">
        <w:rPr>
          <w:rFonts w:cs="Arial"/>
          <w:rtl/>
        </w:rPr>
        <w:t xml:space="preserve"> בדקו כולהון ולא אשכחון</w:t>
      </w:r>
      <w:r>
        <w:rPr>
          <w:rFonts w:cs="Arial" w:hint="cs"/>
          <w:rtl/>
        </w:rPr>
        <w:t>.</w:t>
      </w:r>
      <w:r w:rsidRPr="00F3070E">
        <w:rPr>
          <w:rFonts w:cs="Arial"/>
          <w:rtl/>
        </w:rPr>
        <w:t xml:space="preserve"> </w:t>
      </w:r>
      <w:r w:rsidRPr="00BE53A3">
        <w:rPr>
          <w:rFonts w:cs="Arial" w:hint="cs"/>
          <w:sz w:val="16"/>
          <w:szCs w:val="16"/>
          <w:rtl/>
        </w:rPr>
        <w:t>(</w:t>
      </w:r>
      <w:r w:rsidRPr="00BE53A3">
        <w:rPr>
          <w:rFonts w:cs="Arial"/>
          <w:sz w:val="16"/>
          <w:szCs w:val="16"/>
          <w:rtl/>
        </w:rPr>
        <w:t>וכתב</w:t>
      </w:r>
      <w:r w:rsidRPr="00BE53A3">
        <w:rPr>
          <w:rFonts w:cs="Arial" w:hint="cs"/>
          <w:sz w:val="16"/>
          <w:szCs w:val="16"/>
          <w:rtl/>
        </w:rPr>
        <w:t xml:space="preserve"> ה</w:t>
      </w:r>
      <w:r w:rsidRPr="00BE53A3">
        <w:rPr>
          <w:rFonts w:cs="Arial"/>
          <w:sz w:val="16"/>
          <w:szCs w:val="16"/>
          <w:rtl/>
        </w:rPr>
        <w:t>רא"ש (</w:t>
      </w:r>
      <w:r>
        <w:rPr>
          <w:rFonts w:cs="Arial" w:hint="cs"/>
          <w:sz w:val="16"/>
          <w:szCs w:val="16"/>
          <w:rtl/>
        </w:rPr>
        <w:t xml:space="preserve">כתובות פ"ז </w:t>
      </w:r>
      <w:r w:rsidRPr="00BE53A3">
        <w:rPr>
          <w:rFonts w:cs="Arial"/>
          <w:sz w:val="16"/>
          <w:szCs w:val="16"/>
          <w:rtl/>
        </w:rPr>
        <w:t>סי' ט)</w:t>
      </w:r>
      <w:r w:rsidRPr="00BE53A3">
        <w:rPr>
          <w:rFonts w:cs="Arial" w:hint="cs"/>
          <w:sz w:val="16"/>
          <w:szCs w:val="16"/>
          <w:rtl/>
        </w:rPr>
        <w:t xml:space="preserve"> דמכאן שצריך עדים להכחישה. וכתב עוד</w:t>
      </w:r>
      <w:r w:rsidRPr="00BE53A3">
        <w:rPr>
          <w:rFonts w:cs="Arial"/>
          <w:sz w:val="16"/>
          <w:szCs w:val="16"/>
          <w:rtl/>
        </w:rPr>
        <w:t xml:space="preserve"> דטעמא דמסתבר הוא</w:t>
      </w:r>
      <w:r w:rsidR="00DA58D6">
        <w:rPr>
          <w:rFonts w:cs="Arial" w:hint="cs"/>
          <w:sz w:val="16"/>
          <w:szCs w:val="16"/>
          <w:rtl/>
        </w:rPr>
        <w:t>,</w:t>
      </w:r>
      <w:r w:rsidRPr="00BE53A3">
        <w:rPr>
          <w:rFonts w:cs="Arial"/>
          <w:sz w:val="16"/>
          <w:szCs w:val="16"/>
          <w:rtl/>
        </w:rPr>
        <w:t xml:space="preserve"> דאי אפשר להפקיע ממונה אלא בעדים</w:t>
      </w:r>
      <w:r>
        <w:rPr>
          <w:rFonts w:cs="Arial" w:hint="cs"/>
          <w:sz w:val="16"/>
          <w:szCs w:val="16"/>
          <w:rtl/>
        </w:rPr>
        <w:t xml:space="preserve">. </w:t>
      </w:r>
      <w:r w:rsidR="00DA58D6">
        <w:rPr>
          <w:rFonts w:cs="Arial" w:hint="cs"/>
          <w:sz w:val="16"/>
          <w:szCs w:val="16"/>
          <w:rtl/>
        </w:rPr>
        <w:t xml:space="preserve">וגם </w:t>
      </w:r>
      <w:r>
        <w:rPr>
          <w:rFonts w:cs="Arial" w:hint="cs"/>
          <w:sz w:val="16"/>
          <w:szCs w:val="16"/>
          <w:rtl/>
        </w:rPr>
        <w:t xml:space="preserve">הר"ן (לב:) פירש דהא </w:t>
      </w:r>
      <w:r w:rsidRPr="00960CA5">
        <w:rPr>
          <w:rFonts w:cs="Arial"/>
          <w:sz w:val="16"/>
          <w:szCs w:val="16"/>
          <w:rtl/>
        </w:rPr>
        <w:t xml:space="preserve">דאמרינן </w:t>
      </w:r>
      <w:r>
        <w:rPr>
          <w:rFonts w:cs="Arial" w:hint="cs"/>
          <w:sz w:val="16"/>
          <w:szCs w:val="16"/>
          <w:rtl/>
        </w:rPr>
        <w:t>'</w:t>
      </w:r>
      <w:r w:rsidRPr="00960CA5">
        <w:rPr>
          <w:rFonts w:cs="Arial"/>
          <w:sz w:val="16"/>
          <w:szCs w:val="16"/>
          <w:rtl/>
        </w:rPr>
        <w:t>כגון דקא אמרה איש פלוני כהן תקן לי את הכרי ופלוני חכם טהר לי את הדם</w:t>
      </w:r>
      <w:r>
        <w:rPr>
          <w:rFonts w:cs="Arial" w:hint="cs"/>
          <w:sz w:val="16"/>
          <w:szCs w:val="16"/>
          <w:rtl/>
        </w:rPr>
        <w:t>'</w:t>
      </w:r>
      <w:r w:rsidRPr="00960CA5">
        <w:rPr>
          <w:rFonts w:cs="Arial"/>
          <w:sz w:val="16"/>
          <w:szCs w:val="16"/>
          <w:rtl/>
        </w:rPr>
        <w:t xml:space="preserve"> כדאמרה הכי בעדים דאותו פלוני תקן לה את הכרי</w:t>
      </w:r>
      <w:r>
        <w:rPr>
          <w:rFonts w:cs="Arial" w:hint="cs"/>
          <w:sz w:val="16"/>
          <w:szCs w:val="16"/>
          <w:rtl/>
        </w:rPr>
        <w:t>,</w:t>
      </w:r>
      <w:r w:rsidRPr="00960CA5">
        <w:rPr>
          <w:rFonts w:cs="Arial"/>
          <w:sz w:val="16"/>
          <w:szCs w:val="16"/>
          <w:rtl/>
        </w:rPr>
        <w:t xml:space="preserve"> ובדשיילוה בעדים</w:t>
      </w:r>
      <w:r w:rsidRPr="00BE53A3">
        <w:rPr>
          <w:rFonts w:hint="cs"/>
          <w:sz w:val="16"/>
          <w:szCs w:val="16"/>
          <w:rtl/>
        </w:rPr>
        <w:t>)</w:t>
      </w:r>
    </w:p>
    <w:p w14:paraId="07013F45" w14:textId="77777777" w:rsidR="00392DBB" w:rsidRPr="00972691" w:rsidRDefault="00392DBB" w:rsidP="00392DBB">
      <w:pPr>
        <w:rPr>
          <w:u w:val="single"/>
          <w:rtl/>
        </w:rPr>
      </w:pPr>
      <w:r w:rsidRPr="00972691">
        <w:rPr>
          <w:rFonts w:cs="Arial"/>
          <w:u w:val="single"/>
          <w:rtl/>
        </w:rPr>
        <w:t>העוברת על דת משה</w:t>
      </w:r>
      <w:r w:rsidRPr="00972691">
        <w:rPr>
          <w:rFonts w:hint="cs"/>
          <w:u w:val="single"/>
          <w:rtl/>
        </w:rPr>
        <w:t>:</w:t>
      </w:r>
    </w:p>
    <w:p w14:paraId="55E4F82E" w14:textId="0E916799" w:rsidR="00392DBB" w:rsidRDefault="00392DBB" w:rsidP="009000E3">
      <w:pPr>
        <w:pStyle w:val="ab"/>
        <w:numPr>
          <w:ilvl w:val="0"/>
          <w:numId w:val="72"/>
        </w:numPr>
      </w:pPr>
      <w:r>
        <w:rPr>
          <w:rFonts w:cs="Arial" w:hint="cs"/>
          <w:rtl/>
        </w:rPr>
        <w:t xml:space="preserve">רמב"ם </w:t>
      </w:r>
      <w:r w:rsidRPr="007D17F3">
        <w:rPr>
          <w:rFonts w:cs="Arial" w:hint="cs"/>
          <w:sz w:val="16"/>
          <w:szCs w:val="16"/>
          <w:rtl/>
        </w:rPr>
        <w:t>(פכ"ד אישות הי"א)</w:t>
      </w:r>
      <w:r>
        <w:rPr>
          <w:rFonts w:cs="Arial" w:hint="cs"/>
          <w:rtl/>
        </w:rPr>
        <w:t xml:space="preserve"> </w:t>
      </w:r>
      <w:r>
        <w:rPr>
          <w:rFonts w:cs="Arial"/>
          <w:rtl/>
        </w:rPr>
        <w:t xml:space="preserve">רא"ש </w:t>
      </w:r>
      <w:r w:rsidRPr="007D17F3">
        <w:rPr>
          <w:rFonts w:cs="Arial"/>
          <w:sz w:val="16"/>
          <w:szCs w:val="16"/>
          <w:rtl/>
        </w:rPr>
        <w:t>(סי' ט)</w:t>
      </w:r>
      <w:r>
        <w:rPr>
          <w:rFonts w:cs="Arial" w:hint="cs"/>
          <w:sz w:val="16"/>
          <w:szCs w:val="16"/>
          <w:rtl/>
        </w:rPr>
        <w:t xml:space="preserve"> </w:t>
      </w:r>
      <w:r>
        <w:rPr>
          <w:rFonts w:cs="Arial" w:hint="cs"/>
          <w:rtl/>
        </w:rPr>
        <w:t xml:space="preserve">וטור- </w:t>
      </w:r>
      <w:r w:rsidRPr="00671DE4">
        <w:rPr>
          <w:rFonts w:cs="Arial"/>
          <w:rtl/>
        </w:rPr>
        <w:t xml:space="preserve">אלו יוצאות בלא כתובה </w:t>
      </w:r>
      <w:r>
        <w:rPr>
          <w:rFonts w:cs="Arial" w:hint="cs"/>
          <w:rtl/>
        </w:rPr>
        <w:t xml:space="preserve">- </w:t>
      </w:r>
      <w:r w:rsidRPr="00671DE4">
        <w:rPr>
          <w:rFonts w:cs="Arial"/>
          <w:rtl/>
        </w:rPr>
        <w:t>העוברת על דת משה ויהודית</w:t>
      </w:r>
      <w:r>
        <w:rPr>
          <w:rFonts w:cs="Arial" w:hint="cs"/>
          <w:rtl/>
        </w:rPr>
        <w:t>.</w:t>
      </w:r>
      <w:r w:rsidRPr="00671DE4">
        <w:rPr>
          <w:rFonts w:cs="Arial"/>
          <w:rtl/>
        </w:rPr>
        <w:t xml:space="preserve"> ואיזו היא דת משה</w:t>
      </w:r>
      <w:r>
        <w:rPr>
          <w:rFonts w:cs="Arial" w:hint="cs"/>
          <w:rtl/>
        </w:rPr>
        <w:t xml:space="preserve"> -</w:t>
      </w:r>
      <w:r w:rsidRPr="00671DE4">
        <w:rPr>
          <w:rFonts w:cs="Arial"/>
          <w:rtl/>
        </w:rPr>
        <w:t xml:space="preserve"> מאכילתו שאינו מעושר</w:t>
      </w:r>
      <w:r>
        <w:rPr>
          <w:rFonts w:cs="Arial" w:hint="cs"/>
          <w:rtl/>
        </w:rPr>
        <w:t>,</w:t>
      </w:r>
      <w:r w:rsidRPr="00671DE4">
        <w:rPr>
          <w:rFonts w:cs="Arial"/>
          <w:rtl/>
        </w:rPr>
        <w:t xml:space="preserve"> או אחד מכל האיסורים כגון דם או חלב שהכשילתו ואכלו על פיה</w:t>
      </w:r>
      <w:r>
        <w:rPr>
          <w:rFonts w:cs="Arial" w:hint="cs"/>
          <w:rtl/>
        </w:rPr>
        <w:t>,</w:t>
      </w:r>
      <w:r w:rsidRPr="00671DE4">
        <w:rPr>
          <w:rFonts w:cs="Arial"/>
          <w:rtl/>
        </w:rPr>
        <w:t xml:space="preserve"> ונודע לו אח"כ</w:t>
      </w:r>
      <w:r>
        <w:rPr>
          <w:rFonts w:cs="Arial" w:hint="cs"/>
          <w:rtl/>
        </w:rPr>
        <w:t>.</w:t>
      </w:r>
      <w:r w:rsidRPr="00671DE4">
        <w:rPr>
          <w:rFonts w:cs="Arial"/>
          <w:rtl/>
        </w:rPr>
        <w:t xml:space="preserve"> כגון שאמרה פלוני חכם תקן לי הכרי הזה</w:t>
      </w:r>
      <w:r>
        <w:rPr>
          <w:rFonts w:cs="Arial" w:hint="cs"/>
          <w:rtl/>
        </w:rPr>
        <w:t>,</w:t>
      </w:r>
      <w:r w:rsidRPr="00671DE4">
        <w:rPr>
          <w:rFonts w:cs="Arial"/>
          <w:rtl/>
        </w:rPr>
        <w:t xml:space="preserve"> או התיר לי חתיכה זו</w:t>
      </w:r>
      <w:r>
        <w:rPr>
          <w:rFonts w:cs="Arial" w:hint="cs"/>
          <w:rtl/>
        </w:rPr>
        <w:t>,</w:t>
      </w:r>
      <w:r w:rsidRPr="00671DE4">
        <w:rPr>
          <w:rFonts w:cs="Arial"/>
          <w:rtl/>
        </w:rPr>
        <w:t xml:space="preserve"> או טיהר לי הדם הזה</w:t>
      </w:r>
      <w:r>
        <w:rPr>
          <w:rFonts w:cs="Arial" w:hint="cs"/>
          <w:rtl/>
        </w:rPr>
        <w:t xml:space="preserve">, </w:t>
      </w:r>
      <w:r w:rsidRPr="00671DE4">
        <w:rPr>
          <w:rFonts w:cs="Arial"/>
          <w:rtl/>
        </w:rPr>
        <w:t>ונמצאת שקרנית</w:t>
      </w:r>
      <w:r>
        <w:rPr>
          <w:rFonts w:cs="Arial" w:hint="cs"/>
          <w:rtl/>
        </w:rPr>
        <w:t xml:space="preserve"> </w:t>
      </w:r>
      <w:r>
        <w:rPr>
          <w:rFonts w:cs="Arial" w:hint="cs"/>
          <w:sz w:val="16"/>
          <w:szCs w:val="16"/>
          <w:rtl/>
        </w:rPr>
        <w:t>(ל' הטור)</w:t>
      </w:r>
      <w:r>
        <w:rPr>
          <w:rFonts w:cs="Arial" w:hint="cs"/>
          <w:rtl/>
        </w:rPr>
        <w:t>.</w:t>
      </w:r>
      <w:r w:rsidRPr="00671DE4">
        <w:rPr>
          <w:rFonts w:cs="Arial"/>
          <w:rtl/>
        </w:rPr>
        <w:t xml:space="preserve"> </w:t>
      </w:r>
      <w:r w:rsidR="0048260F" w:rsidRPr="00864336">
        <w:rPr>
          <w:rFonts w:hint="cs"/>
          <w:color w:val="E36C0A" w:themeColor="accent6" w:themeShade="BF"/>
          <w:rtl/>
        </w:rPr>
        <w:t>(וכ"פ בשו"ע)</w:t>
      </w:r>
    </w:p>
    <w:p w14:paraId="4C11ECCE" w14:textId="77777777" w:rsidR="00392DBB" w:rsidRPr="00972691" w:rsidRDefault="00392DBB" w:rsidP="00392DBB">
      <w:pPr>
        <w:ind w:left="360"/>
        <w:rPr>
          <w:u w:val="dotted"/>
        </w:rPr>
      </w:pPr>
      <w:r w:rsidRPr="00972691">
        <w:rPr>
          <w:rFonts w:hint="cs"/>
          <w:u w:val="dotted"/>
          <w:rtl/>
        </w:rPr>
        <w:t>האם צריך שתוכחש בעדים או שהח</w:t>
      </w:r>
      <w:r>
        <w:rPr>
          <w:rFonts w:hint="cs"/>
          <w:u w:val="dotted"/>
          <w:rtl/>
        </w:rPr>
        <w:t>כ</w:t>
      </w:r>
      <w:r w:rsidRPr="00972691">
        <w:rPr>
          <w:rFonts w:hint="cs"/>
          <w:u w:val="dotted"/>
          <w:rtl/>
        </w:rPr>
        <w:t>ם</w:t>
      </w:r>
      <w:r>
        <w:rPr>
          <w:rFonts w:hint="cs"/>
          <w:u w:val="dotted"/>
          <w:rtl/>
        </w:rPr>
        <w:t>/הכהן</w:t>
      </w:r>
      <w:r w:rsidRPr="00972691">
        <w:rPr>
          <w:rFonts w:hint="cs"/>
          <w:u w:val="dotted"/>
          <w:rtl/>
        </w:rPr>
        <w:t xml:space="preserve"> </w:t>
      </w:r>
      <w:r>
        <w:rPr>
          <w:rFonts w:hint="cs"/>
          <w:u w:val="dotted"/>
          <w:rtl/>
        </w:rPr>
        <w:t>נאמן לה</w:t>
      </w:r>
      <w:r w:rsidRPr="00972691">
        <w:rPr>
          <w:rFonts w:hint="cs"/>
          <w:u w:val="dotted"/>
          <w:rtl/>
        </w:rPr>
        <w:t>כחישה:</w:t>
      </w:r>
    </w:p>
    <w:p w14:paraId="66B66A7C" w14:textId="7B3FFF64" w:rsidR="00392DBB" w:rsidRPr="00AD195C" w:rsidRDefault="00392DBB" w:rsidP="009000E3">
      <w:pPr>
        <w:pStyle w:val="ab"/>
        <w:numPr>
          <w:ilvl w:val="0"/>
          <w:numId w:val="72"/>
        </w:numPr>
      </w:pPr>
      <w:r>
        <w:rPr>
          <w:rFonts w:cs="Arial"/>
          <w:rtl/>
        </w:rPr>
        <w:t>רשב"א</w:t>
      </w:r>
      <w:r w:rsidRPr="00BE53A3">
        <w:rPr>
          <w:rFonts w:cs="Arial"/>
          <w:sz w:val="16"/>
          <w:szCs w:val="16"/>
          <w:rtl/>
        </w:rPr>
        <w:t xml:space="preserve"> (עב. ד"ה ומשני</w:t>
      </w:r>
      <w:r>
        <w:rPr>
          <w:rFonts w:cs="Arial" w:hint="cs"/>
          <w:sz w:val="16"/>
          <w:szCs w:val="16"/>
          <w:rtl/>
        </w:rPr>
        <w:t>, כ"כ הר"ן בשמו [לב:]</w:t>
      </w:r>
      <w:r w:rsidRPr="00BE53A3">
        <w:rPr>
          <w:rFonts w:cs="Arial"/>
          <w:sz w:val="16"/>
          <w:szCs w:val="16"/>
          <w:rtl/>
        </w:rPr>
        <w:t>)</w:t>
      </w:r>
      <w:r>
        <w:rPr>
          <w:rFonts w:cs="Arial" w:hint="cs"/>
          <w:rtl/>
        </w:rPr>
        <w:t xml:space="preserve"> </w:t>
      </w:r>
      <w:r>
        <w:rPr>
          <w:rFonts w:cs="Arial"/>
          <w:rtl/>
        </w:rPr>
        <w:t xml:space="preserve">רא"ש </w:t>
      </w:r>
      <w:r w:rsidRPr="007D17F3">
        <w:rPr>
          <w:rFonts w:cs="Arial"/>
          <w:sz w:val="16"/>
          <w:szCs w:val="16"/>
          <w:rtl/>
        </w:rPr>
        <w:t>(</w:t>
      </w:r>
      <w:r>
        <w:rPr>
          <w:rFonts w:cs="Arial" w:hint="cs"/>
          <w:sz w:val="16"/>
          <w:szCs w:val="16"/>
          <w:rtl/>
        </w:rPr>
        <w:t xml:space="preserve">כתובות </w:t>
      </w:r>
      <w:r w:rsidRPr="007D17F3">
        <w:rPr>
          <w:rFonts w:cs="Arial"/>
          <w:sz w:val="16"/>
          <w:szCs w:val="16"/>
          <w:rtl/>
        </w:rPr>
        <w:t>סי' ט)</w:t>
      </w:r>
      <w:r>
        <w:rPr>
          <w:rFonts w:cs="Arial" w:hint="cs"/>
          <w:sz w:val="16"/>
          <w:szCs w:val="16"/>
          <w:rtl/>
        </w:rPr>
        <w:t xml:space="preserve"> </w:t>
      </w:r>
      <w:r>
        <w:rPr>
          <w:rFonts w:cs="Arial" w:hint="cs"/>
          <w:rtl/>
        </w:rPr>
        <w:t xml:space="preserve">וטור- </w:t>
      </w:r>
      <w:r w:rsidRPr="00671DE4">
        <w:rPr>
          <w:rFonts w:cs="Arial"/>
          <w:rtl/>
        </w:rPr>
        <w:t>ודוקא שהוכחשה בעדים</w:t>
      </w:r>
      <w:r>
        <w:rPr>
          <w:rFonts w:cs="Arial" w:hint="cs"/>
          <w:rtl/>
        </w:rPr>
        <w:t>,</w:t>
      </w:r>
      <w:r w:rsidRPr="00671DE4">
        <w:rPr>
          <w:rFonts w:cs="Arial"/>
          <w:rtl/>
        </w:rPr>
        <w:t xml:space="preserve"> כגון שהעידו שבאותה שעה שאמרה שפלוני תקן לה שלא היה אותו פלוני בעיר</w:t>
      </w:r>
      <w:r>
        <w:rPr>
          <w:rFonts w:cs="Arial" w:hint="cs"/>
          <w:rtl/>
        </w:rPr>
        <w:t>.</w:t>
      </w:r>
      <w:r w:rsidRPr="00671DE4">
        <w:rPr>
          <w:rFonts w:cs="Arial"/>
          <w:rtl/>
        </w:rPr>
        <w:t xml:space="preserve"> וגם יש עדים שאמרה לו שהוא מתוקן</w:t>
      </w:r>
      <w:r>
        <w:rPr>
          <w:rFonts w:cs="Arial" w:hint="cs"/>
          <w:rtl/>
        </w:rPr>
        <w:t>,</w:t>
      </w:r>
      <w:r w:rsidRPr="00671DE4">
        <w:rPr>
          <w:rFonts w:cs="Arial"/>
          <w:rtl/>
        </w:rPr>
        <w:t xml:space="preserve"> ושהוא אכלו על פיה</w:t>
      </w:r>
      <w:r>
        <w:rPr>
          <w:rFonts w:cs="Arial" w:hint="cs"/>
          <w:rtl/>
        </w:rPr>
        <w:t>.</w:t>
      </w:r>
      <w:r w:rsidRPr="00671DE4">
        <w:rPr>
          <w:rFonts w:cs="Arial"/>
          <w:rtl/>
        </w:rPr>
        <w:t xml:space="preserve"> אבל אם אין עדים</w:t>
      </w:r>
      <w:r>
        <w:rPr>
          <w:rFonts w:cs="Arial" w:hint="cs"/>
          <w:rtl/>
        </w:rPr>
        <w:t>,</w:t>
      </w:r>
      <w:r w:rsidRPr="00671DE4">
        <w:rPr>
          <w:rFonts w:cs="Arial"/>
          <w:rtl/>
        </w:rPr>
        <w:t xml:space="preserve"> והיא כופרת שלא האכילתו</w:t>
      </w:r>
      <w:r>
        <w:rPr>
          <w:rFonts w:cs="Arial" w:hint="cs"/>
          <w:rtl/>
        </w:rPr>
        <w:t>,</w:t>
      </w:r>
      <w:r w:rsidRPr="00671DE4">
        <w:rPr>
          <w:rFonts w:cs="Arial"/>
          <w:rtl/>
        </w:rPr>
        <w:t xml:space="preserve"> או שמכחשת החכם שאומר שלא תקן לה והיא אומרת שתקן לה </w:t>
      </w:r>
      <w:r>
        <w:rPr>
          <w:rFonts w:cs="Arial" w:hint="cs"/>
          <w:rtl/>
        </w:rPr>
        <w:t xml:space="preserve">- </w:t>
      </w:r>
      <w:r w:rsidRPr="00671DE4">
        <w:rPr>
          <w:rFonts w:cs="Arial"/>
          <w:rtl/>
        </w:rPr>
        <w:t>נאמנת</w:t>
      </w:r>
      <w:r w:rsidRPr="00972691">
        <w:rPr>
          <w:rFonts w:cs="Arial" w:hint="cs"/>
          <w:sz w:val="16"/>
          <w:szCs w:val="16"/>
          <w:rtl/>
        </w:rPr>
        <w:t xml:space="preserve"> (ל' הטור)</w:t>
      </w:r>
      <w:r w:rsidRPr="00972691">
        <w:rPr>
          <w:rFonts w:cs="Arial" w:hint="cs"/>
          <w:rtl/>
        </w:rPr>
        <w:t>.</w:t>
      </w:r>
      <w:r w:rsidRPr="00972691">
        <w:rPr>
          <w:rFonts w:cs="Arial"/>
          <w:rtl/>
        </w:rPr>
        <w:t xml:space="preserve"> </w:t>
      </w:r>
      <w:r w:rsidR="0048260F" w:rsidRPr="00864336">
        <w:rPr>
          <w:rFonts w:hint="cs"/>
          <w:color w:val="E36C0A" w:themeColor="accent6" w:themeShade="BF"/>
          <w:rtl/>
        </w:rPr>
        <w:t>(וכ"פ בשו"ע)</w:t>
      </w:r>
    </w:p>
    <w:p w14:paraId="7F1FF41B" w14:textId="1449D7E3" w:rsidR="00392DBB" w:rsidRDefault="00392DBB" w:rsidP="009000E3">
      <w:pPr>
        <w:pStyle w:val="ab"/>
        <w:numPr>
          <w:ilvl w:val="0"/>
          <w:numId w:val="72"/>
        </w:numPr>
      </w:pPr>
      <w:r>
        <w:rPr>
          <w:rFonts w:cs="Arial" w:hint="cs"/>
          <w:rtl/>
        </w:rPr>
        <w:t>רמב"ם</w:t>
      </w:r>
      <w:r>
        <w:rPr>
          <w:rStyle w:val="a7"/>
          <w:rFonts w:cs="Arial"/>
          <w:rtl/>
        </w:rPr>
        <w:footnoteReference w:id="2788"/>
      </w:r>
      <w:r>
        <w:rPr>
          <w:rFonts w:cs="Arial" w:hint="cs"/>
          <w:rtl/>
        </w:rPr>
        <w:t xml:space="preserve"> </w:t>
      </w:r>
      <w:r w:rsidRPr="007D17F3">
        <w:rPr>
          <w:rFonts w:cs="Arial" w:hint="cs"/>
          <w:sz w:val="16"/>
          <w:szCs w:val="16"/>
          <w:rtl/>
        </w:rPr>
        <w:t>(פכ"ד אישות הי"</w:t>
      </w:r>
      <w:r>
        <w:rPr>
          <w:rFonts w:cs="Arial" w:hint="cs"/>
          <w:sz w:val="16"/>
          <w:szCs w:val="16"/>
          <w:rtl/>
        </w:rPr>
        <w:t>א, והי"ד</w:t>
      </w:r>
      <w:r w:rsidRPr="007D17F3">
        <w:rPr>
          <w:rFonts w:cs="Arial" w:hint="cs"/>
          <w:sz w:val="16"/>
          <w:szCs w:val="16"/>
          <w:rtl/>
        </w:rPr>
        <w:t>)</w:t>
      </w:r>
      <w:r>
        <w:rPr>
          <w:rFonts w:cs="Arial" w:hint="cs"/>
          <w:rtl/>
        </w:rPr>
        <w:t xml:space="preserve"> רמב"ן </w:t>
      </w:r>
      <w:r>
        <w:rPr>
          <w:rFonts w:cs="Arial" w:hint="cs"/>
          <w:sz w:val="16"/>
          <w:szCs w:val="16"/>
          <w:rtl/>
        </w:rPr>
        <w:t>(שבועות לב: דיבור ראשון)</w:t>
      </w:r>
      <w:r>
        <w:rPr>
          <w:rFonts w:cs="Arial" w:hint="cs"/>
          <w:rtl/>
        </w:rPr>
        <w:t xml:space="preserve"> ו</w:t>
      </w:r>
      <w:r>
        <w:rPr>
          <w:rFonts w:hint="cs"/>
          <w:rtl/>
        </w:rPr>
        <w:t xml:space="preserve">סמ"ג </w:t>
      </w:r>
      <w:r>
        <w:rPr>
          <w:rFonts w:hint="cs"/>
          <w:sz w:val="16"/>
          <w:szCs w:val="16"/>
          <w:rtl/>
        </w:rPr>
        <w:t>(עשין מח ד"ה מי שזינתה)</w:t>
      </w:r>
      <w:r>
        <w:rPr>
          <w:rFonts w:cs="Arial" w:hint="cs"/>
          <w:rtl/>
        </w:rPr>
        <w:t xml:space="preserve">- </w:t>
      </w:r>
      <w:r w:rsidRPr="00AD195C">
        <w:rPr>
          <w:rFonts w:cs="Arial"/>
          <w:rtl/>
        </w:rPr>
        <w:t>אע"ג דאיהי מהימנא</w:t>
      </w:r>
      <w:r>
        <w:rPr>
          <w:rFonts w:cs="Arial" w:hint="cs"/>
          <w:rtl/>
        </w:rPr>
        <w:t>,</w:t>
      </w:r>
      <w:r w:rsidRPr="00AD195C">
        <w:rPr>
          <w:rFonts w:cs="Arial"/>
          <w:rtl/>
        </w:rPr>
        <w:t xml:space="preserve"> כיון דאמרה בשם פלוני ושייליה ואמר דשיקרא הוא</w:t>
      </w:r>
      <w:r>
        <w:rPr>
          <w:rFonts w:cs="Arial" w:hint="cs"/>
          <w:rtl/>
        </w:rPr>
        <w:t xml:space="preserve"> -</w:t>
      </w:r>
      <w:r w:rsidRPr="00AD195C">
        <w:rPr>
          <w:rFonts w:cs="Arial"/>
          <w:rtl/>
        </w:rPr>
        <w:t xml:space="preserve"> לא מהימנא הא דאמרה בשמו</w:t>
      </w:r>
      <w:r>
        <w:rPr>
          <w:rFonts w:cs="Arial" w:hint="cs"/>
          <w:rtl/>
        </w:rPr>
        <w:t>.</w:t>
      </w:r>
      <w:r w:rsidRPr="00AD195C">
        <w:rPr>
          <w:rFonts w:cs="Arial"/>
          <w:rtl/>
        </w:rPr>
        <w:t xml:space="preserve"> ולא מצית למימר </w:t>
      </w:r>
      <w:r>
        <w:rPr>
          <w:rFonts w:cs="Arial" w:hint="cs"/>
          <w:rtl/>
        </w:rPr>
        <w:t>'</w:t>
      </w:r>
      <w:r w:rsidRPr="00AD195C">
        <w:rPr>
          <w:rFonts w:cs="Arial"/>
          <w:rtl/>
        </w:rPr>
        <w:t>אשתכח שיקרא</w:t>
      </w:r>
      <w:r>
        <w:rPr>
          <w:rFonts w:cs="Arial" w:hint="cs"/>
          <w:rtl/>
        </w:rPr>
        <w:t xml:space="preserve">' </w:t>
      </w:r>
      <w:r w:rsidRPr="00AD195C">
        <w:rPr>
          <w:rFonts w:cs="Arial"/>
          <w:rtl/>
        </w:rPr>
        <w:t>על פי עדים</w:t>
      </w:r>
      <w:r>
        <w:rPr>
          <w:rFonts w:cs="Arial" w:hint="cs"/>
          <w:rtl/>
        </w:rPr>
        <w:t>,</w:t>
      </w:r>
      <w:r w:rsidRPr="00AD195C">
        <w:rPr>
          <w:rFonts w:cs="Arial"/>
          <w:rtl/>
        </w:rPr>
        <w:t xml:space="preserve"> דהא קאמרינן </w:t>
      </w:r>
      <w:r>
        <w:rPr>
          <w:rFonts w:cs="Arial" w:hint="cs"/>
          <w:rtl/>
        </w:rPr>
        <w:t>'</w:t>
      </w:r>
      <w:r w:rsidRPr="00AD195C">
        <w:rPr>
          <w:rFonts w:cs="Arial"/>
          <w:rtl/>
        </w:rPr>
        <w:t>ואזל שייליה</w:t>
      </w:r>
      <w:r>
        <w:rPr>
          <w:rFonts w:cs="Arial" w:hint="cs"/>
          <w:rtl/>
        </w:rPr>
        <w:t>'.</w:t>
      </w:r>
      <w:r w:rsidRPr="00AD195C">
        <w:rPr>
          <w:rFonts w:cs="Arial"/>
          <w:rtl/>
        </w:rPr>
        <w:t xml:space="preserve"> וכן הדין בכל עד מפי עד אם בא הראשון וכפר</w:t>
      </w:r>
      <w:r>
        <w:rPr>
          <w:rFonts w:cs="Arial" w:hint="cs"/>
          <w:rtl/>
        </w:rPr>
        <w:t>,</w:t>
      </w:r>
      <w:r w:rsidRPr="00AD195C">
        <w:rPr>
          <w:rFonts w:cs="Arial"/>
          <w:rtl/>
        </w:rPr>
        <w:t xml:space="preserve"> אין השני האומר בשמו נאמן, וכך קבלתי דין זה</w:t>
      </w:r>
      <w:r>
        <w:rPr>
          <w:rFonts w:cs="Arial" w:hint="cs"/>
          <w:sz w:val="16"/>
          <w:szCs w:val="16"/>
          <w:rtl/>
        </w:rPr>
        <w:t xml:space="preserve"> (ל' הרמב"ן)</w:t>
      </w:r>
      <w:r>
        <w:rPr>
          <w:rFonts w:cs="Arial" w:hint="cs"/>
          <w:rtl/>
        </w:rPr>
        <w:t>.</w:t>
      </w:r>
    </w:p>
    <w:p w14:paraId="07E4A094" w14:textId="77777777" w:rsidR="00392DBB" w:rsidRPr="00FE5774" w:rsidRDefault="00392DBB" w:rsidP="00392DBB">
      <w:pPr>
        <w:ind w:left="720"/>
        <w:rPr>
          <w:u w:val="wave"/>
        </w:rPr>
      </w:pPr>
      <w:r>
        <w:rPr>
          <w:rFonts w:hint="cs"/>
          <w:u w:val="wave"/>
          <w:rtl/>
        </w:rPr>
        <w:t>ומה הדין אם היא מודה:</w:t>
      </w:r>
    </w:p>
    <w:p w14:paraId="68F10F7A" w14:textId="61BA3034" w:rsidR="00392DBB" w:rsidRDefault="00392DBB" w:rsidP="009000E3">
      <w:pPr>
        <w:pStyle w:val="ab"/>
        <w:numPr>
          <w:ilvl w:val="0"/>
          <w:numId w:val="72"/>
        </w:numPr>
      </w:pPr>
      <w:r>
        <w:rPr>
          <w:rFonts w:cs="Arial" w:hint="cs"/>
          <w:rtl/>
        </w:rPr>
        <w:t xml:space="preserve">רשב"א </w:t>
      </w:r>
      <w:r>
        <w:rPr>
          <w:rFonts w:cs="Arial" w:hint="cs"/>
          <w:sz w:val="16"/>
          <w:szCs w:val="16"/>
          <w:rtl/>
        </w:rPr>
        <w:t xml:space="preserve">(עב. ד"ה ואי, הביאו הה"מ [פכ"ד הי"א]) </w:t>
      </w:r>
      <w:r w:rsidR="00B946AD">
        <w:rPr>
          <w:rFonts w:cs="Arial" w:hint="cs"/>
          <w:rtl/>
        </w:rPr>
        <w:t>ו</w:t>
      </w:r>
      <w:r w:rsidRPr="00E21A0A">
        <w:rPr>
          <w:rFonts w:cs="Arial"/>
          <w:rtl/>
        </w:rPr>
        <w:t xml:space="preserve">ר"ן </w:t>
      </w:r>
      <w:r w:rsidRPr="00FE5774">
        <w:rPr>
          <w:rFonts w:cs="Arial" w:hint="cs"/>
          <w:sz w:val="16"/>
          <w:szCs w:val="16"/>
          <w:rtl/>
        </w:rPr>
        <w:t>(לב:</w:t>
      </w:r>
      <w:r>
        <w:rPr>
          <w:rFonts w:cs="Arial" w:hint="cs"/>
          <w:sz w:val="16"/>
          <w:szCs w:val="16"/>
          <w:rtl/>
        </w:rPr>
        <w:t>, הביאו הב"י</w:t>
      </w:r>
      <w:r w:rsidRPr="00FE5774">
        <w:rPr>
          <w:rFonts w:cs="Arial" w:hint="cs"/>
          <w:sz w:val="16"/>
          <w:szCs w:val="16"/>
          <w:rtl/>
        </w:rPr>
        <w:t>)</w:t>
      </w:r>
      <w:r>
        <w:rPr>
          <w:rFonts w:cs="Arial" w:hint="cs"/>
          <w:rtl/>
        </w:rPr>
        <w:t xml:space="preserve">- </w:t>
      </w:r>
      <w:r w:rsidRPr="00E21A0A">
        <w:rPr>
          <w:rFonts w:cs="Arial"/>
          <w:rtl/>
        </w:rPr>
        <w:t>הא דלא אוקמה במודה</w:t>
      </w:r>
      <w:r>
        <w:rPr>
          <w:rFonts w:cs="Arial" w:hint="cs"/>
          <w:rtl/>
        </w:rPr>
        <w:t>,</w:t>
      </w:r>
      <w:r w:rsidRPr="00E21A0A">
        <w:rPr>
          <w:rFonts w:cs="Arial"/>
          <w:rtl/>
        </w:rPr>
        <w:t xml:space="preserve"> כתב הראב"ד ז"ל משום דאינה נאמנת דאין אדם משים עצמו רשע</w:t>
      </w:r>
      <w:r>
        <w:rPr>
          <w:rFonts w:cs="Arial" w:hint="cs"/>
          <w:rtl/>
        </w:rPr>
        <w:t>.</w:t>
      </w:r>
      <w:r w:rsidRPr="00E21A0A">
        <w:rPr>
          <w:rFonts w:cs="Arial"/>
          <w:rtl/>
        </w:rPr>
        <w:t xml:space="preserve"> ול</w:t>
      </w:r>
      <w:r>
        <w:rPr>
          <w:rFonts w:cs="Arial" w:hint="cs"/>
          <w:rtl/>
        </w:rPr>
        <w:t xml:space="preserve">י </w:t>
      </w:r>
      <w:r w:rsidRPr="00E21A0A">
        <w:rPr>
          <w:rFonts w:cs="Arial"/>
          <w:rtl/>
        </w:rPr>
        <w:t>נ</w:t>
      </w:r>
      <w:r>
        <w:rPr>
          <w:rFonts w:cs="Arial" w:hint="cs"/>
          <w:rtl/>
        </w:rPr>
        <w:t>ראה</w:t>
      </w:r>
      <w:r w:rsidRPr="00E21A0A">
        <w:rPr>
          <w:rFonts w:cs="Arial"/>
          <w:rtl/>
        </w:rPr>
        <w:t xml:space="preserve"> דלהפסידה כתובתה ודאי נאמנת דהודאת בעל דין כק' עדים דמי אלא דמשום דמילתא דלא שכיחא היא לא אוקמה בהכי</w:t>
      </w:r>
      <w:r>
        <w:rPr>
          <w:rFonts w:cs="Arial" w:hint="cs"/>
          <w:sz w:val="16"/>
          <w:szCs w:val="16"/>
          <w:rtl/>
        </w:rPr>
        <w:t xml:space="preserve"> (ל' הב"י בשם הר"ן)</w:t>
      </w:r>
      <w:r w:rsidRPr="00E21A0A">
        <w:rPr>
          <w:rFonts w:cs="Arial" w:hint="cs"/>
          <w:rtl/>
        </w:rPr>
        <w:t>.</w:t>
      </w:r>
      <w:r>
        <w:rPr>
          <w:rFonts w:hint="cs"/>
          <w:rtl/>
        </w:rPr>
        <w:t xml:space="preserve"> (וכ"פ ח"מ </w:t>
      </w:r>
      <w:r>
        <w:rPr>
          <w:rFonts w:hint="cs"/>
          <w:sz w:val="16"/>
          <w:szCs w:val="16"/>
          <w:rtl/>
        </w:rPr>
        <w:t xml:space="preserve">[סק"ד] </w:t>
      </w:r>
      <w:r>
        <w:rPr>
          <w:rFonts w:hint="cs"/>
          <w:rtl/>
        </w:rPr>
        <w:t xml:space="preserve">וב"ש </w:t>
      </w:r>
      <w:r>
        <w:rPr>
          <w:rFonts w:hint="cs"/>
          <w:sz w:val="16"/>
          <w:szCs w:val="16"/>
          <w:rtl/>
        </w:rPr>
        <w:t>[סק"ג]</w:t>
      </w:r>
      <w:r>
        <w:rPr>
          <w:rFonts w:hint="cs"/>
          <w:rtl/>
        </w:rPr>
        <w:t>)</w:t>
      </w:r>
      <w:r w:rsidR="0048260F" w:rsidRPr="0048260F">
        <w:rPr>
          <w:rFonts w:hint="cs"/>
          <w:color w:val="E36C0A" w:themeColor="accent6" w:themeShade="BF"/>
          <w:rtl/>
        </w:rPr>
        <w:t xml:space="preserve"> </w:t>
      </w:r>
      <w:r w:rsidR="0048260F" w:rsidRPr="00864336">
        <w:rPr>
          <w:rFonts w:hint="cs"/>
          <w:color w:val="E36C0A" w:themeColor="accent6" w:themeShade="BF"/>
          <w:rtl/>
        </w:rPr>
        <w:t>(וכ"פ בשו"ע)</w:t>
      </w:r>
    </w:p>
    <w:p w14:paraId="02EBA0A1" w14:textId="77777777" w:rsidR="00392DBB" w:rsidRDefault="00392DBB" w:rsidP="009000E3">
      <w:pPr>
        <w:pStyle w:val="ab"/>
        <w:numPr>
          <w:ilvl w:val="0"/>
          <w:numId w:val="72"/>
        </w:numPr>
        <w:rPr>
          <w:rtl/>
        </w:rPr>
      </w:pPr>
      <w:r>
        <w:rPr>
          <w:rFonts w:cs="Arial" w:hint="cs"/>
          <w:rtl/>
        </w:rPr>
        <w:t xml:space="preserve">רמב"ם </w:t>
      </w:r>
      <w:r w:rsidRPr="007D17F3">
        <w:rPr>
          <w:rFonts w:cs="Arial" w:hint="cs"/>
          <w:sz w:val="16"/>
          <w:szCs w:val="16"/>
          <w:rtl/>
        </w:rPr>
        <w:t xml:space="preserve">(פכ"ד אישות </w:t>
      </w:r>
      <w:r>
        <w:rPr>
          <w:rFonts w:cs="Arial" w:hint="cs"/>
          <w:sz w:val="16"/>
          <w:szCs w:val="16"/>
          <w:rtl/>
        </w:rPr>
        <w:t>הי"ד</w:t>
      </w:r>
      <w:r w:rsidRPr="007D17F3">
        <w:rPr>
          <w:rFonts w:cs="Arial" w:hint="cs"/>
          <w:sz w:val="16"/>
          <w:szCs w:val="16"/>
          <w:rtl/>
        </w:rPr>
        <w:t>)</w:t>
      </w:r>
      <w:r>
        <w:rPr>
          <w:rFonts w:hint="cs"/>
          <w:rtl/>
        </w:rPr>
        <w:t xml:space="preserve">- </w:t>
      </w:r>
      <w:r w:rsidRPr="0067792E">
        <w:rPr>
          <w:rFonts w:cs="Arial"/>
          <w:rtl/>
        </w:rPr>
        <w:t>אם תודה שעברה אחר התראה זו אין לה כלום</w:t>
      </w:r>
      <w:r>
        <w:rPr>
          <w:rFonts w:hint="cs"/>
          <w:rtl/>
        </w:rPr>
        <w:t>.</w:t>
      </w:r>
    </w:p>
    <w:p w14:paraId="247DE3C8" w14:textId="77777777" w:rsidR="00392DBB" w:rsidRDefault="00392DBB" w:rsidP="00392DBB">
      <w:pPr>
        <w:ind w:left="360"/>
        <w:rPr>
          <w:u w:val="dotted"/>
          <w:rtl/>
        </w:rPr>
      </w:pPr>
      <w:r w:rsidRPr="001F0140">
        <w:rPr>
          <w:rFonts w:hint="cs"/>
          <w:u w:val="dotted"/>
          <w:rtl/>
        </w:rPr>
        <w:t>רצתה להכשילו, ולא נכשל</w:t>
      </w:r>
      <w:r>
        <w:rPr>
          <w:rFonts w:hint="cs"/>
          <w:u w:val="dotted"/>
          <w:rtl/>
        </w:rPr>
        <w:t>:</w:t>
      </w:r>
      <w:r w:rsidRPr="001F0140">
        <w:rPr>
          <w:rFonts w:hint="cs"/>
          <w:u w:val="dotted"/>
          <w:rtl/>
        </w:rPr>
        <w:t xml:space="preserve"> </w:t>
      </w:r>
    </w:p>
    <w:p w14:paraId="0C983858" w14:textId="03F06C7A" w:rsidR="00392DBB" w:rsidRPr="00E21A0A" w:rsidRDefault="00392DBB" w:rsidP="009000E3">
      <w:pPr>
        <w:pStyle w:val="ab"/>
        <w:numPr>
          <w:ilvl w:val="0"/>
          <w:numId w:val="72"/>
        </w:numPr>
      </w:pPr>
      <w:r>
        <w:rPr>
          <w:rFonts w:cs="Arial"/>
          <w:rtl/>
        </w:rPr>
        <w:lastRenderedPageBreak/>
        <w:t xml:space="preserve">רא"ש </w:t>
      </w:r>
      <w:r w:rsidRPr="007D17F3">
        <w:rPr>
          <w:rFonts w:cs="Arial"/>
          <w:sz w:val="16"/>
          <w:szCs w:val="16"/>
          <w:rtl/>
        </w:rPr>
        <w:t>(סי' ט)</w:t>
      </w:r>
      <w:r>
        <w:rPr>
          <w:rFonts w:cs="Arial" w:hint="cs"/>
          <w:sz w:val="16"/>
          <w:szCs w:val="16"/>
          <w:rtl/>
        </w:rPr>
        <w:t xml:space="preserve"> </w:t>
      </w:r>
      <w:r>
        <w:rPr>
          <w:rFonts w:cs="Arial" w:hint="cs"/>
          <w:rtl/>
        </w:rPr>
        <w:t xml:space="preserve">טור ור"ן </w:t>
      </w:r>
      <w:r>
        <w:rPr>
          <w:rFonts w:cs="Arial" w:hint="cs"/>
          <w:sz w:val="16"/>
          <w:szCs w:val="16"/>
          <w:rtl/>
        </w:rPr>
        <w:t>(לב:)</w:t>
      </w:r>
      <w:r>
        <w:rPr>
          <w:rFonts w:cs="Arial" w:hint="cs"/>
          <w:rtl/>
        </w:rPr>
        <w:t xml:space="preserve">- </w:t>
      </w:r>
      <w:r w:rsidRPr="00671DE4">
        <w:rPr>
          <w:rFonts w:cs="Arial"/>
          <w:rtl/>
        </w:rPr>
        <w:t>ודוקא שהכשילתו ואכל על פיה</w:t>
      </w:r>
      <w:r>
        <w:rPr>
          <w:rFonts w:cs="Arial" w:hint="cs"/>
          <w:rtl/>
        </w:rPr>
        <w:t>.</w:t>
      </w:r>
      <w:r w:rsidRPr="00671DE4">
        <w:rPr>
          <w:rFonts w:cs="Arial"/>
          <w:rtl/>
        </w:rPr>
        <w:t xml:space="preserve"> אבל אם רצתה להאכילו דבר איסור</w:t>
      </w:r>
      <w:r>
        <w:rPr>
          <w:rFonts w:cs="Arial" w:hint="cs"/>
          <w:rtl/>
        </w:rPr>
        <w:t>,</w:t>
      </w:r>
      <w:r w:rsidRPr="00671DE4">
        <w:rPr>
          <w:rFonts w:cs="Arial"/>
          <w:rtl/>
        </w:rPr>
        <w:t xml:space="preserve"> ונודע לו ופירש</w:t>
      </w:r>
      <w:r>
        <w:rPr>
          <w:rFonts w:cs="Arial" w:hint="cs"/>
          <w:rtl/>
        </w:rPr>
        <w:t>...</w:t>
      </w:r>
      <w:r w:rsidRPr="00671DE4">
        <w:rPr>
          <w:rFonts w:cs="Arial"/>
          <w:rtl/>
        </w:rPr>
        <w:t xml:space="preserve"> </w:t>
      </w:r>
      <w:r>
        <w:rPr>
          <w:rFonts w:cs="Arial" w:hint="cs"/>
          <w:rtl/>
        </w:rPr>
        <w:t xml:space="preserve">- </w:t>
      </w:r>
      <w:r w:rsidRPr="00671DE4">
        <w:rPr>
          <w:rFonts w:cs="Arial"/>
          <w:rtl/>
        </w:rPr>
        <w:t>לא אבדה כתובתה</w:t>
      </w:r>
      <w:r>
        <w:rPr>
          <w:rStyle w:val="a7"/>
          <w:rFonts w:cs="Arial"/>
          <w:rtl/>
        </w:rPr>
        <w:footnoteReference w:id="2789"/>
      </w:r>
      <w:r>
        <w:rPr>
          <w:rFonts w:cs="Arial" w:hint="cs"/>
          <w:sz w:val="16"/>
          <w:szCs w:val="16"/>
          <w:rtl/>
        </w:rPr>
        <w:t xml:space="preserve"> (ל' הטור)</w:t>
      </w:r>
      <w:r>
        <w:rPr>
          <w:rFonts w:cs="Arial" w:hint="cs"/>
          <w:rtl/>
        </w:rPr>
        <w:t>.</w:t>
      </w:r>
      <w:r w:rsidR="0048260F" w:rsidRPr="0048260F">
        <w:rPr>
          <w:rFonts w:hint="cs"/>
          <w:color w:val="E36C0A" w:themeColor="accent6" w:themeShade="BF"/>
          <w:rtl/>
        </w:rPr>
        <w:t xml:space="preserve"> </w:t>
      </w:r>
      <w:r w:rsidR="0048260F" w:rsidRPr="00864336">
        <w:rPr>
          <w:rFonts w:hint="cs"/>
          <w:color w:val="E36C0A" w:themeColor="accent6" w:themeShade="BF"/>
          <w:rtl/>
        </w:rPr>
        <w:t>(וכ"פ בשו"ע)</w:t>
      </w:r>
    </w:p>
    <w:p w14:paraId="46B6336D" w14:textId="3CC0931F" w:rsidR="00392DBB" w:rsidRPr="00E21A0A" w:rsidRDefault="00392DBB" w:rsidP="009000E3">
      <w:pPr>
        <w:pStyle w:val="ab"/>
        <w:numPr>
          <w:ilvl w:val="0"/>
          <w:numId w:val="72"/>
        </w:numPr>
      </w:pPr>
      <w:r w:rsidRPr="00E21A0A">
        <w:rPr>
          <w:rFonts w:cs="Arial"/>
          <w:rtl/>
        </w:rPr>
        <w:t xml:space="preserve">רא"ה </w:t>
      </w:r>
      <w:r w:rsidRPr="00E21A0A">
        <w:rPr>
          <w:rFonts w:cs="Arial"/>
          <w:sz w:val="16"/>
          <w:szCs w:val="16"/>
          <w:rtl/>
        </w:rPr>
        <w:t>(עב. ד"ה הא</w:t>
      </w:r>
      <w:r w:rsidRPr="00E21A0A">
        <w:rPr>
          <w:rFonts w:cs="Arial" w:hint="cs"/>
          <w:sz w:val="16"/>
          <w:szCs w:val="16"/>
          <w:rtl/>
        </w:rPr>
        <w:t>, הביאו הר"ן [שם]</w:t>
      </w:r>
      <w:r w:rsidRPr="00E21A0A">
        <w:rPr>
          <w:rFonts w:cs="Arial"/>
          <w:sz w:val="16"/>
          <w:szCs w:val="16"/>
          <w:rtl/>
        </w:rPr>
        <w:t>)</w:t>
      </w:r>
      <w:r>
        <w:rPr>
          <w:rFonts w:cs="Arial" w:hint="cs"/>
          <w:rtl/>
        </w:rPr>
        <w:t xml:space="preserve">- </w:t>
      </w:r>
      <w:r w:rsidRPr="00E21A0A">
        <w:rPr>
          <w:rFonts w:cs="Arial"/>
          <w:rtl/>
        </w:rPr>
        <w:t>אפילו בנתכוונה להאכילו מפסדת כתובתה</w:t>
      </w:r>
      <w:r>
        <w:rPr>
          <w:rFonts w:hint="cs"/>
          <w:rtl/>
        </w:rPr>
        <w:t>.</w:t>
      </w:r>
    </w:p>
    <w:p w14:paraId="56DFC3EC" w14:textId="77777777" w:rsidR="00392DBB" w:rsidRPr="001F0140" w:rsidRDefault="00392DBB" w:rsidP="00392DBB">
      <w:pPr>
        <w:ind w:left="360"/>
        <w:rPr>
          <w:u w:val="dotted"/>
          <w:rtl/>
        </w:rPr>
      </w:pPr>
      <w:r w:rsidRPr="001F0140">
        <w:rPr>
          <w:rFonts w:hint="cs"/>
          <w:u w:val="dotted"/>
          <w:rtl/>
        </w:rPr>
        <w:t>עברה בעצמה על דבר איסור:</w:t>
      </w:r>
    </w:p>
    <w:p w14:paraId="616C2114" w14:textId="11CADA72" w:rsidR="00392DBB" w:rsidRDefault="00392DBB" w:rsidP="009000E3">
      <w:pPr>
        <w:pStyle w:val="ab"/>
        <w:numPr>
          <w:ilvl w:val="0"/>
          <w:numId w:val="72"/>
        </w:numPr>
      </w:pPr>
      <w:r>
        <w:rPr>
          <w:rFonts w:cs="Arial"/>
          <w:rtl/>
        </w:rPr>
        <w:t>רא"ש</w:t>
      </w:r>
      <w:r>
        <w:rPr>
          <w:rStyle w:val="a7"/>
          <w:rFonts w:cs="Arial"/>
          <w:rtl/>
        </w:rPr>
        <w:footnoteReference w:id="2790"/>
      </w:r>
      <w:r>
        <w:rPr>
          <w:rFonts w:cs="Arial"/>
          <w:rtl/>
        </w:rPr>
        <w:t xml:space="preserve"> </w:t>
      </w:r>
      <w:r w:rsidRPr="007D17F3">
        <w:rPr>
          <w:rFonts w:cs="Arial"/>
          <w:sz w:val="16"/>
          <w:szCs w:val="16"/>
          <w:rtl/>
        </w:rPr>
        <w:t>(סי' ט)</w:t>
      </w:r>
      <w:r>
        <w:rPr>
          <w:rFonts w:cs="Arial" w:hint="cs"/>
          <w:sz w:val="16"/>
          <w:szCs w:val="16"/>
          <w:rtl/>
        </w:rPr>
        <w:t xml:space="preserve"> </w:t>
      </w:r>
      <w:r>
        <w:rPr>
          <w:rFonts w:cs="Arial" w:hint="cs"/>
          <w:rtl/>
        </w:rPr>
        <w:t xml:space="preserve">וטור- </w:t>
      </w:r>
      <w:r w:rsidR="00435927">
        <w:rPr>
          <w:rFonts w:cs="Arial" w:hint="cs"/>
          <w:rtl/>
        </w:rPr>
        <w:t>ש</w:t>
      </w:r>
      <w:r w:rsidRPr="00671DE4">
        <w:rPr>
          <w:rFonts w:cs="Arial"/>
          <w:rtl/>
        </w:rPr>
        <w:t>היא בעצמה אכלה דבר איסור</w:t>
      </w:r>
      <w:r w:rsidR="00675597">
        <w:rPr>
          <w:rFonts w:cs="Arial" w:hint="cs"/>
          <w:rtl/>
        </w:rPr>
        <w:t>,</w:t>
      </w:r>
      <w:r>
        <w:rPr>
          <w:rFonts w:cs="Arial" w:hint="cs"/>
          <w:rtl/>
        </w:rPr>
        <w:t xml:space="preserve"> </w:t>
      </w:r>
      <w:r w:rsidRPr="00671DE4">
        <w:rPr>
          <w:rFonts w:cs="Arial"/>
          <w:rtl/>
        </w:rPr>
        <w:t>לא אבדה כתובתה</w:t>
      </w:r>
      <w:r>
        <w:rPr>
          <w:rFonts w:cs="Arial" w:hint="cs"/>
          <w:sz w:val="16"/>
          <w:szCs w:val="16"/>
          <w:rtl/>
        </w:rPr>
        <w:t xml:space="preserve"> (ל' הטור)</w:t>
      </w:r>
      <w:r>
        <w:rPr>
          <w:rFonts w:cs="Arial" w:hint="cs"/>
          <w:rtl/>
        </w:rPr>
        <w:t>.</w:t>
      </w:r>
      <w:r w:rsidRPr="00671DE4">
        <w:rPr>
          <w:rFonts w:cs="Arial"/>
          <w:rtl/>
        </w:rPr>
        <w:t xml:space="preserve"> </w:t>
      </w:r>
    </w:p>
    <w:p w14:paraId="0C3DEF22" w14:textId="77777777" w:rsidR="00392DBB" w:rsidRPr="005635DE" w:rsidRDefault="00392DBB" w:rsidP="00392DBB">
      <w:pPr>
        <w:rPr>
          <w:u w:val="single"/>
          <w:rtl/>
        </w:rPr>
      </w:pPr>
      <w:r>
        <w:rPr>
          <w:rFonts w:hint="cs"/>
          <w:u w:val="single"/>
          <w:rtl/>
        </w:rPr>
        <w:t>בעל ש</w:t>
      </w:r>
      <w:r w:rsidRPr="005635DE">
        <w:rPr>
          <w:rFonts w:hint="cs"/>
          <w:u w:val="single"/>
          <w:rtl/>
        </w:rPr>
        <w:t>עובר על דת משה</w:t>
      </w:r>
      <w:r>
        <w:rPr>
          <w:rFonts w:hint="cs"/>
          <w:u w:val="single"/>
          <w:rtl/>
        </w:rPr>
        <w:t xml:space="preserve"> ומכשיל את אשתו</w:t>
      </w:r>
      <w:r w:rsidRPr="005635DE">
        <w:rPr>
          <w:rFonts w:hint="cs"/>
          <w:u w:val="single"/>
          <w:rtl/>
        </w:rPr>
        <w:t>:</w:t>
      </w:r>
    </w:p>
    <w:p w14:paraId="3F0BB049" w14:textId="4035C207" w:rsidR="00392DBB" w:rsidRDefault="00392DBB" w:rsidP="009000E3">
      <w:pPr>
        <w:pStyle w:val="ab"/>
        <w:numPr>
          <w:ilvl w:val="0"/>
          <w:numId w:val="72"/>
        </w:numPr>
        <w:rPr>
          <w:rtl/>
        </w:rPr>
      </w:pPr>
      <w:r w:rsidRPr="005635DE">
        <w:rPr>
          <w:rFonts w:cs="Arial"/>
          <w:rtl/>
        </w:rPr>
        <w:t>הגהות אלפסי</w:t>
      </w:r>
      <w:r w:rsidRPr="005635DE">
        <w:rPr>
          <w:rFonts w:cs="Arial" w:hint="cs"/>
          <w:sz w:val="16"/>
          <w:szCs w:val="16"/>
          <w:rtl/>
        </w:rPr>
        <w:t xml:space="preserve"> (הביאו הח"מ [סק"א])</w:t>
      </w:r>
      <w:r w:rsidRPr="005635DE">
        <w:rPr>
          <w:rFonts w:cs="Arial" w:hint="cs"/>
          <w:rtl/>
        </w:rPr>
        <w:t>-</w:t>
      </w:r>
      <w:r w:rsidRPr="005635DE">
        <w:rPr>
          <w:rFonts w:cs="Arial"/>
          <w:rtl/>
        </w:rPr>
        <w:t xml:space="preserve"> אם הוא מאכיל אותה דברים האסורים או נודר ואינו מקיים </w:t>
      </w:r>
      <w:r w:rsidR="00435927">
        <w:rPr>
          <w:rFonts w:cs="Arial" w:hint="cs"/>
          <w:rtl/>
        </w:rPr>
        <w:t xml:space="preserve">- </w:t>
      </w:r>
      <w:r w:rsidRPr="005635DE">
        <w:rPr>
          <w:rFonts w:cs="Arial"/>
          <w:rtl/>
        </w:rPr>
        <w:t>יוציא ויתן כתוב</w:t>
      </w:r>
      <w:r w:rsidRPr="005635DE">
        <w:rPr>
          <w:rFonts w:cs="Arial" w:hint="cs"/>
          <w:rtl/>
        </w:rPr>
        <w:t xml:space="preserve">ה. </w:t>
      </w:r>
      <w:r w:rsidRPr="005635DE">
        <w:rPr>
          <w:rFonts w:cs="Arial" w:hint="cs"/>
          <w:color w:val="00B0F0"/>
          <w:rtl/>
        </w:rPr>
        <w:t>(וכ"פ הרמ"א</w:t>
      </w:r>
      <w:r w:rsidRPr="005635DE">
        <w:rPr>
          <w:rFonts w:cs="Arial" w:hint="cs"/>
          <w:color w:val="00B0F0"/>
          <w:sz w:val="16"/>
          <w:szCs w:val="16"/>
          <w:rtl/>
        </w:rPr>
        <w:t xml:space="preserve"> </w:t>
      </w:r>
      <w:r w:rsidRPr="005635DE">
        <w:rPr>
          <w:rFonts w:cs="Arial" w:hint="cs"/>
          <w:sz w:val="16"/>
          <w:szCs w:val="16"/>
          <w:rtl/>
        </w:rPr>
        <w:t>[סי' קנד ס"א]</w:t>
      </w:r>
      <w:r w:rsidRPr="005635DE">
        <w:rPr>
          <w:rFonts w:cs="Arial" w:hint="cs"/>
          <w:color w:val="00B0F0"/>
          <w:rtl/>
        </w:rPr>
        <w:t>)</w:t>
      </w:r>
    </w:p>
    <w:p w14:paraId="3E76BE8E"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C7925D9" w14:textId="63308238" w:rsidR="00392DBB" w:rsidRDefault="00392DBB" w:rsidP="00392DBB">
      <w:pPr>
        <w:rPr>
          <w:rtl/>
        </w:rPr>
      </w:pPr>
      <w:r>
        <w:rPr>
          <w:rFonts w:cs="Arial"/>
          <w:rtl/>
        </w:rPr>
        <w:t>אלו יוצאות שלא בכתובה: העוברת על דת משה ויהודית. ואיזו היא דת משה, שהאכילה את בעלה שאינו מעושר, או אחד מכל האיסורים</w:t>
      </w:r>
      <w:r>
        <w:rPr>
          <w:rStyle w:val="a7"/>
          <w:rFonts w:cs="Arial"/>
          <w:rtl/>
        </w:rPr>
        <w:footnoteReference w:id="2791"/>
      </w:r>
      <w:r>
        <w:rPr>
          <w:rFonts w:cs="Arial"/>
          <w:rtl/>
        </w:rPr>
        <w:t>, או ששימשתו נדה, ונודע לו אחר כך</w:t>
      </w:r>
      <w:r>
        <w:rPr>
          <w:rFonts w:cs="Arial" w:hint="cs"/>
          <w:rtl/>
        </w:rPr>
        <w:t>.</w:t>
      </w:r>
      <w:r>
        <w:rPr>
          <w:rFonts w:cs="Arial"/>
          <w:rtl/>
        </w:rPr>
        <w:t xml:space="preserve"> כגון שאמרה: פלוני חכם תקן לי הכרי הזה או התיר לי חתיכה זו או טיהר לי הדם</w:t>
      </w:r>
      <w:r>
        <w:rPr>
          <w:rStyle w:val="a7"/>
          <w:rFonts w:cs="Arial"/>
          <w:rtl/>
        </w:rPr>
        <w:footnoteReference w:id="2792"/>
      </w:r>
      <w:r>
        <w:rPr>
          <w:rFonts w:cs="Arial"/>
          <w:rtl/>
        </w:rPr>
        <w:t xml:space="preserve"> הזה, ונמצאת שקרנית. ודוקא</w:t>
      </w:r>
      <w:r w:rsidR="00212230">
        <w:rPr>
          <w:rStyle w:val="a7"/>
          <w:rFonts w:cs="Arial"/>
          <w:rtl/>
        </w:rPr>
        <w:footnoteReference w:id="2793"/>
      </w:r>
      <w:r>
        <w:rPr>
          <w:rFonts w:cs="Arial"/>
          <w:rtl/>
        </w:rPr>
        <w:t xml:space="preserve"> שהוכחשה בעדים</w:t>
      </w:r>
      <w:r>
        <w:rPr>
          <w:rStyle w:val="a7"/>
          <w:rFonts w:cs="Arial"/>
          <w:rtl/>
        </w:rPr>
        <w:footnoteReference w:id="2794"/>
      </w:r>
      <w:r>
        <w:rPr>
          <w:rFonts w:cs="Arial"/>
          <w:rtl/>
        </w:rPr>
        <w:t>, כגון שהעידו שבאותה שעה שאמרה שפלוני תקן לה לא היה אותו פלוני בעיר, וגם יש עדים שאמרה לו שהוא מתוקן</w:t>
      </w:r>
      <w:r>
        <w:rPr>
          <w:rStyle w:val="a7"/>
          <w:rFonts w:cs="Arial"/>
          <w:rtl/>
        </w:rPr>
        <w:footnoteReference w:id="2795"/>
      </w:r>
      <w:r>
        <w:rPr>
          <w:rFonts w:cs="Arial"/>
          <w:rtl/>
        </w:rPr>
        <w:t xml:space="preserve"> ושהוא אכלו על פיה</w:t>
      </w:r>
      <w:r>
        <w:rPr>
          <w:rFonts w:cs="Arial" w:hint="cs"/>
          <w:rtl/>
        </w:rPr>
        <w:t>.</w:t>
      </w:r>
      <w:r>
        <w:rPr>
          <w:rFonts w:cs="Arial"/>
          <w:rtl/>
        </w:rPr>
        <w:t xml:space="preserve"> אבל אם אין עדים</w:t>
      </w:r>
      <w:r>
        <w:rPr>
          <w:rFonts w:cs="Arial" w:hint="cs"/>
          <w:rtl/>
        </w:rPr>
        <w:t>,</w:t>
      </w:r>
      <w:r>
        <w:rPr>
          <w:rFonts w:cs="Arial"/>
          <w:rtl/>
        </w:rPr>
        <w:t xml:space="preserve"> והיא כופרת שלא האכילתו, או שמכחשת החכם שאומר שלא תקן לה, והיא אומרת שתיקן לה, נאמנת</w:t>
      </w:r>
      <w:r>
        <w:rPr>
          <w:rStyle w:val="a7"/>
          <w:rFonts w:cs="Arial"/>
          <w:rtl/>
        </w:rPr>
        <w:footnoteReference w:id="2796"/>
      </w:r>
      <w:r>
        <w:rPr>
          <w:rFonts w:cs="Arial"/>
          <w:rtl/>
        </w:rPr>
        <w:t xml:space="preserve">. ודוקא שהכשילתו ואכל על פיה, אבל אם רצתה להאכילו דבר איסור לא איבדה כתובתה. </w:t>
      </w:r>
    </w:p>
    <w:p w14:paraId="7EADF4FB" w14:textId="0D5DD59E" w:rsidR="00392DBB" w:rsidRPr="002C7D5E" w:rsidRDefault="00392DBB" w:rsidP="00392DBB">
      <w:pPr>
        <w:rPr>
          <w:rFonts w:cs="Arial"/>
          <w:sz w:val="16"/>
          <w:szCs w:val="16"/>
          <w:rtl/>
        </w:rPr>
      </w:pPr>
      <w:r w:rsidRPr="00E07133">
        <w:rPr>
          <w:rFonts w:cs="Arial" w:hint="cs"/>
          <w:u w:val="single"/>
          <w:rtl/>
        </w:rPr>
        <w:lastRenderedPageBreak/>
        <w:t xml:space="preserve">אשה ששימשה עם בעלה כשהיא נדה </w:t>
      </w:r>
      <w:r w:rsidR="00F97626">
        <w:rPr>
          <w:rFonts w:cs="Arial"/>
          <w:u w:val="single"/>
          <w:rtl/>
        </w:rPr>
        <w:t>-</w:t>
      </w:r>
      <w:r w:rsidRPr="00E07133">
        <w:rPr>
          <w:rFonts w:cs="Arial" w:hint="cs"/>
          <w:u w:val="single"/>
          <w:rtl/>
        </w:rPr>
        <w:t xml:space="preserve"> האם יכולה לטעון שהוא ידע בכך:</w:t>
      </w:r>
      <w:r>
        <w:rPr>
          <w:rFonts w:cs="Arial" w:hint="cs"/>
          <w:rtl/>
        </w:rPr>
        <w:t xml:space="preserve"> </w:t>
      </w:r>
      <w:r>
        <w:rPr>
          <w:rFonts w:cs="Arial" w:hint="cs"/>
          <w:sz w:val="16"/>
          <w:szCs w:val="16"/>
          <w:rtl/>
        </w:rPr>
        <w:t>(פת"ש סק"ג)</w:t>
      </w:r>
    </w:p>
    <w:p w14:paraId="729C4AD3" w14:textId="77777777" w:rsidR="00392DBB" w:rsidRDefault="00392DBB" w:rsidP="009000E3">
      <w:pPr>
        <w:pStyle w:val="ab"/>
        <w:numPr>
          <w:ilvl w:val="0"/>
          <w:numId w:val="72"/>
        </w:numPr>
        <w:rPr>
          <w:rFonts w:cs="Arial"/>
        </w:rPr>
      </w:pPr>
      <w:r w:rsidRPr="00E07133">
        <w:rPr>
          <w:rFonts w:cs="Arial"/>
          <w:rtl/>
        </w:rPr>
        <w:t>פ</w:t>
      </w:r>
      <w:r w:rsidRPr="00E07133">
        <w:rPr>
          <w:rFonts w:cs="Arial" w:hint="cs"/>
          <w:rtl/>
        </w:rPr>
        <w:t>נ</w:t>
      </w:r>
      <w:r w:rsidRPr="00E07133">
        <w:rPr>
          <w:rFonts w:cs="Arial"/>
          <w:rtl/>
        </w:rPr>
        <w:t xml:space="preserve">מ"א </w:t>
      </w:r>
      <w:r w:rsidRPr="00E07133">
        <w:rPr>
          <w:rFonts w:cs="Arial" w:hint="cs"/>
          <w:sz w:val="16"/>
          <w:szCs w:val="16"/>
          <w:rtl/>
        </w:rPr>
        <w:t>(</w:t>
      </w:r>
      <w:r w:rsidRPr="00E07133">
        <w:rPr>
          <w:rFonts w:cs="Arial"/>
          <w:sz w:val="16"/>
          <w:szCs w:val="16"/>
          <w:rtl/>
        </w:rPr>
        <w:t>ח"ב סי</w:t>
      </w:r>
      <w:r w:rsidRPr="00E07133">
        <w:rPr>
          <w:rFonts w:cs="Arial" w:hint="cs"/>
          <w:sz w:val="16"/>
          <w:szCs w:val="16"/>
          <w:rtl/>
        </w:rPr>
        <w:t>'</w:t>
      </w:r>
      <w:r w:rsidRPr="00E07133">
        <w:rPr>
          <w:rFonts w:cs="Arial"/>
          <w:sz w:val="16"/>
          <w:szCs w:val="16"/>
          <w:rtl/>
        </w:rPr>
        <w:t xml:space="preserve"> יב</w:t>
      </w:r>
      <w:r w:rsidRPr="00E07133">
        <w:rPr>
          <w:rFonts w:cs="Arial" w:hint="cs"/>
          <w:sz w:val="16"/>
          <w:szCs w:val="16"/>
          <w:rtl/>
        </w:rPr>
        <w:t>)</w:t>
      </w:r>
      <w:r>
        <w:rPr>
          <w:rFonts w:cs="Arial" w:hint="cs"/>
          <w:rtl/>
        </w:rPr>
        <w:t xml:space="preserve"> ו</w:t>
      </w:r>
      <w:r>
        <w:rPr>
          <w:rFonts w:cs="Arial"/>
          <w:rtl/>
        </w:rPr>
        <w:t xml:space="preserve">בית מאיר </w:t>
      </w:r>
      <w:r w:rsidRPr="008522EA">
        <w:rPr>
          <w:rFonts w:cs="Arial" w:hint="cs"/>
          <w:sz w:val="16"/>
          <w:szCs w:val="16"/>
          <w:rtl/>
        </w:rPr>
        <w:t>(</w:t>
      </w:r>
      <w:r w:rsidRPr="008522EA">
        <w:rPr>
          <w:rFonts w:cs="Arial"/>
          <w:sz w:val="16"/>
          <w:szCs w:val="16"/>
          <w:rtl/>
        </w:rPr>
        <w:t>סי' צו סי"ב</w:t>
      </w:r>
      <w:r w:rsidRPr="008522EA">
        <w:rPr>
          <w:rFonts w:cs="Arial" w:hint="cs"/>
          <w:sz w:val="16"/>
          <w:szCs w:val="16"/>
          <w:rtl/>
        </w:rPr>
        <w:t>)</w:t>
      </w:r>
      <w:r w:rsidRPr="00E07133">
        <w:rPr>
          <w:rFonts w:cs="Arial" w:hint="cs"/>
          <w:rtl/>
        </w:rPr>
        <w:t>-</w:t>
      </w:r>
      <w:r w:rsidRPr="00E07133">
        <w:rPr>
          <w:rFonts w:cs="Arial"/>
          <w:rtl/>
        </w:rPr>
        <w:t xml:space="preserve"> בעל </w:t>
      </w:r>
      <w:r w:rsidRPr="00E07133">
        <w:rPr>
          <w:rFonts w:cs="Arial" w:hint="cs"/>
          <w:rtl/>
        </w:rPr>
        <w:t>ש</w:t>
      </w:r>
      <w:r w:rsidRPr="00E07133">
        <w:rPr>
          <w:rFonts w:cs="Arial"/>
          <w:rtl/>
        </w:rPr>
        <w:t xml:space="preserve">טען על אשתו ששמשתו נדה והיא הודית אלא שטענה שנעשה בידיעתו </w:t>
      </w:r>
      <w:r w:rsidRPr="00E07133">
        <w:rPr>
          <w:rFonts w:cs="Arial" w:hint="cs"/>
          <w:rtl/>
        </w:rPr>
        <w:t xml:space="preserve">- </w:t>
      </w:r>
      <w:r w:rsidRPr="00E07133">
        <w:rPr>
          <w:rFonts w:cs="Arial"/>
          <w:rtl/>
        </w:rPr>
        <w:t xml:space="preserve">ישבע הבעל שלא ידע והיא הכשילתו ויגרשנה בלא כתובה. </w:t>
      </w:r>
    </w:p>
    <w:p w14:paraId="70EF746A" w14:textId="77777777" w:rsidR="00392DBB" w:rsidRDefault="00392DBB" w:rsidP="009000E3">
      <w:pPr>
        <w:pStyle w:val="ab"/>
        <w:numPr>
          <w:ilvl w:val="0"/>
          <w:numId w:val="72"/>
        </w:numPr>
        <w:rPr>
          <w:rFonts w:cs="Arial"/>
        </w:rPr>
      </w:pPr>
      <w:r w:rsidRPr="008522EA">
        <w:rPr>
          <w:rFonts w:cs="Arial"/>
          <w:rtl/>
        </w:rPr>
        <w:t xml:space="preserve">מהר"י הלוי </w:t>
      </w:r>
      <w:r w:rsidRPr="008522EA">
        <w:rPr>
          <w:rFonts w:cs="Arial" w:hint="cs"/>
          <w:sz w:val="16"/>
          <w:szCs w:val="16"/>
          <w:rtl/>
        </w:rPr>
        <w:t>(</w:t>
      </w:r>
      <w:r w:rsidRPr="008522EA">
        <w:rPr>
          <w:rFonts w:cs="Arial"/>
          <w:sz w:val="16"/>
          <w:szCs w:val="16"/>
          <w:rtl/>
        </w:rPr>
        <w:t>סי</w:t>
      </w:r>
      <w:r w:rsidRPr="008522EA">
        <w:rPr>
          <w:rFonts w:cs="Arial" w:hint="cs"/>
          <w:sz w:val="16"/>
          <w:szCs w:val="16"/>
          <w:rtl/>
        </w:rPr>
        <w:t>'</w:t>
      </w:r>
      <w:r w:rsidRPr="008522EA">
        <w:rPr>
          <w:rFonts w:cs="Arial"/>
          <w:sz w:val="16"/>
          <w:szCs w:val="16"/>
          <w:rtl/>
        </w:rPr>
        <w:t xml:space="preserve"> לט</w:t>
      </w:r>
      <w:r w:rsidRPr="008522EA">
        <w:rPr>
          <w:rFonts w:cs="Arial" w:hint="cs"/>
          <w:sz w:val="16"/>
          <w:szCs w:val="16"/>
          <w:rtl/>
        </w:rPr>
        <w:t>,</w:t>
      </w:r>
      <w:r w:rsidRPr="008522EA">
        <w:rPr>
          <w:rFonts w:cs="Arial"/>
          <w:sz w:val="16"/>
          <w:szCs w:val="16"/>
          <w:rtl/>
        </w:rPr>
        <w:t xml:space="preserve"> </w:t>
      </w:r>
      <w:r w:rsidRPr="008522EA">
        <w:rPr>
          <w:rFonts w:cs="Arial" w:hint="cs"/>
          <w:sz w:val="16"/>
          <w:szCs w:val="16"/>
          <w:rtl/>
        </w:rPr>
        <w:t xml:space="preserve">ובתשו' </w:t>
      </w:r>
      <w:r w:rsidRPr="008522EA">
        <w:rPr>
          <w:rFonts w:cs="Arial"/>
          <w:sz w:val="16"/>
          <w:szCs w:val="16"/>
          <w:rtl/>
        </w:rPr>
        <w:t>גאוני בתראי סי' כו</w:t>
      </w:r>
      <w:r w:rsidRPr="008522EA">
        <w:rPr>
          <w:rFonts w:cs="Arial" w:hint="cs"/>
          <w:sz w:val="16"/>
          <w:szCs w:val="16"/>
          <w:rtl/>
        </w:rPr>
        <w:t>)</w:t>
      </w:r>
      <w:r>
        <w:rPr>
          <w:rFonts w:cs="Arial" w:hint="cs"/>
          <w:rtl/>
        </w:rPr>
        <w:t>-</w:t>
      </w:r>
      <w:r w:rsidRPr="008522EA">
        <w:rPr>
          <w:rFonts w:cs="Arial"/>
          <w:rtl/>
        </w:rPr>
        <w:t xml:space="preserve"> </w:t>
      </w:r>
      <w:r>
        <w:rPr>
          <w:rFonts w:cs="Arial" w:hint="cs"/>
          <w:rtl/>
        </w:rPr>
        <w:t>א</w:t>
      </w:r>
      <w:r w:rsidRPr="008522EA">
        <w:rPr>
          <w:rFonts w:cs="Arial"/>
          <w:rtl/>
        </w:rPr>
        <w:t>ין בטענתה ממש ולא תוכל לומר כן אא"כ מביאה עדים ע</w:t>
      </w:r>
      <w:r>
        <w:rPr>
          <w:rFonts w:cs="Arial" w:hint="cs"/>
          <w:rtl/>
        </w:rPr>
        <w:t>ל זה</w:t>
      </w:r>
      <w:r>
        <w:rPr>
          <w:rStyle w:val="a7"/>
          <w:rFonts w:cs="Arial"/>
          <w:rtl/>
        </w:rPr>
        <w:footnoteReference w:id="2797"/>
      </w:r>
      <w:r>
        <w:rPr>
          <w:rFonts w:cs="Arial" w:hint="cs"/>
          <w:rtl/>
        </w:rPr>
        <w:t>.</w:t>
      </w:r>
      <w:r w:rsidRPr="008522EA">
        <w:rPr>
          <w:rFonts w:cs="Arial"/>
          <w:rtl/>
        </w:rPr>
        <w:t xml:space="preserve"> </w:t>
      </w:r>
    </w:p>
    <w:p w14:paraId="2D51F8C6" w14:textId="77777777" w:rsidR="00392DBB" w:rsidRDefault="00392DBB" w:rsidP="009000E3">
      <w:pPr>
        <w:pStyle w:val="ab"/>
        <w:numPr>
          <w:ilvl w:val="0"/>
          <w:numId w:val="72"/>
        </w:numPr>
        <w:rPr>
          <w:rFonts w:cs="Arial"/>
        </w:rPr>
      </w:pPr>
      <w:r w:rsidRPr="008522EA">
        <w:rPr>
          <w:rFonts w:cs="Arial"/>
          <w:rtl/>
        </w:rPr>
        <w:t>נו"ב</w:t>
      </w:r>
      <w:r>
        <w:rPr>
          <w:rStyle w:val="a7"/>
          <w:rFonts w:cs="Arial"/>
          <w:rtl/>
        </w:rPr>
        <w:footnoteReference w:id="2798"/>
      </w:r>
      <w:r w:rsidRPr="00653ED5">
        <w:rPr>
          <w:rFonts w:cs="Arial"/>
          <w:sz w:val="16"/>
          <w:szCs w:val="16"/>
          <w:rtl/>
        </w:rPr>
        <w:t xml:space="preserve"> </w:t>
      </w:r>
      <w:r w:rsidRPr="00653ED5">
        <w:rPr>
          <w:rFonts w:cs="Arial" w:hint="cs"/>
          <w:sz w:val="16"/>
          <w:szCs w:val="16"/>
          <w:rtl/>
        </w:rPr>
        <w:t>(</w:t>
      </w:r>
      <w:r w:rsidRPr="00653ED5">
        <w:rPr>
          <w:rFonts w:cs="Arial"/>
          <w:sz w:val="16"/>
          <w:szCs w:val="16"/>
          <w:rtl/>
        </w:rPr>
        <w:t>תניינא סי' כו</w:t>
      </w:r>
      <w:r w:rsidRPr="00653ED5">
        <w:rPr>
          <w:rFonts w:cs="Arial" w:hint="cs"/>
          <w:sz w:val="16"/>
          <w:szCs w:val="16"/>
          <w:rtl/>
        </w:rPr>
        <w:t>)</w:t>
      </w:r>
      <w:r>
        <w:rPr>
          <w:rFonts w:cs="Arial" w:hint="cs"/>
          <w:rtl/>
        </w:rPr>
        <w:t>-</w:t>
      </w:r>
      <w:r w:rsidRPr="008522EA">
        <w:rPr>
          <w:rFonts w:cs="Arial"/>
          <w:rtl/>
        </w:rPr>
        <w:t xml:space="preserve"> אם יש עדים על אשה ששימשה בנדתה</w:t>
      </w:r>
      <w:r>
        <w:rPr>
          <w:rFonts w:cs="Arial" w:hint="cs"/>
          <w:rtl/>
        </w:rPr>
        <w:t>,</w:t>
      </w:r>
      <w:r w:rsidRPr="008522EA">
        <w:rPr>
          <w:rFonts w:cs="Arial"/>
          <w:rtl/>
        </w:rPr>
        <w:t xml:space="preserve"> והיא טוענת תיכף שגם הבעל ידע </w:t>
      </w:r>
      <w:r>
        <w:rPr>
          <w:rFonts w:cs="Arial" w:hint="cs"/>
          <w:rtl/>
        </w:rPr>
        <w:t xml:space="preserve">- </w:t>
      </w:r>
      <w:r w:rsidRPr="008522EA">
        <w:rPr>
          <w:rFonts w:cs="Arial"/>
          <w:rtl/>
        </w:rPr>
        <w:t>ודאי דאינה נאמנת</w:t>
      </w:r>
      <w:r>
        <w:rPr>
          <w:rFonts w:cs="Arial" w:hint="cs"/>
          <w:rtl/>
        </w:rPr>
        <w:t>,</w:t>
      </w:r>
      <w:r w:rsidRPr="008522EA">
        <w:rPr>
          <w:rFonts w:cs="Arial"/>
          <w:rtl/>
        </w:rPr>
        <w:t xml:space="preserve"> דמהיכי תיתי להאמינה</w:t>
      </w:r>
      <w:r>
        <w:rPr>
          <w:rFonts w:cs="Arial" w:hint="cs"/>
          <w:rtl/>
        </w:rPr>
        <w:t>.</w:t>
      </w:r>
      <w:r w:rsidRPr="008522EA">
        <w:rPr>
          <w:rFonts w:cs="Arial"/>
          <w:rtl/>
        </w:rPr>
        <w:t xml:space="preserve"> רק אם אין עדים</w:t>
      </w:r>
      <w:r>
        <w:rPr>
          <w:rFonts w:cs="Arial" w:hint="cs"/>
          <w:rtl/>
        </w:rPr>
        <w:t>,</w:t>
      </w:r>
      <w:r w:rsidRPr="008522EA">
        <w:rPr>
          <w:rFonts w:cs="Arial"/>
          <w:rtl/>
        </w:rPr>
        <w:t xml:space="preserve"> אלא שהיא מודית ואמרה שהי</w:t>
      </w:r>
      <w:r>
        <w:rPr>
          <w:rFonts w:cs="Arial" w:hint="cs"/>
          <w:rtl/>
        </w:rPr>
        <w:t>ה</w:t>
      </w:r>
      <w:r w:rsidRPr="008522EA">
        <w:rPr>
          <w:rFonts w:cs="Arial"/>
          <w:rtl/>
        </w:rPr>
        <w:t xml:space="preserve"> בידיעת ורצון בעלה</w:t>
      </w:r>
      <w:r>
        <w:rPr>
          <w:rFonts w:cs="Arial" w:hint="cs"/>
          <w:rtl/>
        </w:rPr>
        <w:t xml:space="preserve"> -</w:t>
      </w:r>
      <w:r w:rsidRPr="008522EA">
        <w:rPr>
          <w:rFonts w:cs="Arial"/>
          <w:rtl/>
        </w:rPr>
        <w:t xml:space="preserve"> היא נאמנת במגו דלא שמשתי נדה</w:t>
      </w:r>
      <w:r>
        <w:rPr>
          <w:rFonts w:cs="Arial" w:hint="cs"/>
          <w:rtl/>
        </w:rPr>
        <w:t>.</w:t>
      </w:r>
      <w:r w:rsidRPr="008522EA">
        <w:rPr>
          <w:rFonts w:cs="Arial"/>
          <w:rtl/>
        </w:rPr>
        <w:t xml:space="preserve"> </w:t>
      </w:r>
    </w:p>
    <w:p w14:paraId="3CC19DEB" w14:textId="6CC909EA" w:rsidR="00392DBB" w:rsidRPr="004274B7" w:rsidRDefault="00392DBB" w:rsidP="009000E3">
      <w:pPr>
        <w:pStyle w:val="ab"/>
        <w:numPr>
          <w:ilvl w:val="0"/>
          <w:numId w:val="72"/>
        </w:numPr>
        <w:rPr>
          <w:rFonts w:cs="Arial"/>
          <w:rtl/>
        </w:rPr>
      </w:pPr>
      <w:r>
        <w:rPr>
          <w:rFonts w:cs="Arial"/>
          <w:rtl/>
        </w:rPr>
        <w:t>רדב"ז</w:t>
      </w:r>
      <w:r w:rsidRPr="002C7D5E">
        <w:rPr>
          <w:rFonts w:cs="Arial"/>
          <w:sz w:val="16"/>
          <w:szCs w:val="16"/>
          <w:rtl/>
        </w:rPr>
        <w:t xml:space="preserve"> </w:t>
      </w:r>
      <w:r w:rsidRPr="002C7D5E">
        <w:rPr>
          <w:rFonts w:cs="Arial" w:hint="cs"/>
          <w:sz w:val="16"/>
          <w:szCs w:val="16"/>
          <w:rtl/>
        </w:rPr>
        <w:t>(</w:t>
      </w:r>
      <w:r w:rsidRPr="002C7D5E">
        <w:rPr>
          <w:rFonts w:cs="Arial"/>
          <w:sz w:val="16"/>
          <w:szCs w:val="16"/>
          <w:rtl/>
        </w:rPr>
        <w:t>ח"א סי' צ</w:t>
      </w:r>
      <w:r w:rsidRPr="002C7D5E">
        <w:rPr>
          <w:rFonts w:cs="Arial" w:hint="cs"/>
          <w:sz w:val="16"/>
          <w:szCs w:val="16"/>
          <w:rtl/>
        </w:rPr>
        <w:t>)</w:t>
      </w:r>
      <w:r>
        <w:rPr>
          <w:rFonts w:cs="Arial"/>
          <w:rtl/>
        </w:rPr>
        <w:t xml:space="preserve"> </w:t>
      </w:r>
      <w:r>
        <w:rPr>
          <w:rFonts w:cs="Arial" w:hint="cs"/>
          <w:rtl/>
        </w:rPr>
        <w:t xml:space="preserve">בשם </w:t>
      </w:r>
      <w:r>
        <w:rPr>
          <w:rFonts w:cs="Arial"/>
          <w:rtl/>
        </w:rPr>
        <w:t>תשו</w:t>
      </w:r>
      <w:r>
        <w:rPr>
          <w:rFonts w:cs="Arial" w:hint="cs"/>
          <w:rtl/>
        </w:rPr>
        <w:t xml:space="preserve">בת </w:t>
      </w:r>
      <w:r>
        <w:rPr>
          <w:rFonts w:cs="Arial"/>
          <w:rtl/>
        </w:rPr>
        <w:t>הרמב"ם</w:t>
      </w:r>
      <w:r>
        <w:rPr>
          <w:rFonts w:cs="Arial" w:hint="cs"/>
          <w:rtl/>
        </w:rPr>
        <w:t>-</w:t>
      </w:r>
      <w:r>
        <w:rPr>
          <w:rFonts w:cs="Arial"/>
          <w:rtl/>
        </w:rPr>
        <w:t xml:space="preserve"> אפילו אם בעלה ידע מזה שמשמשתו נדה והוא שותק </w:t>
      </w:r>
      <w:r>
        <w:rPr>
          <w:rFonts w:cs="Arial" w:hint="cs"/>
          <w:rtl/>
        </w:rPr>
        <w:t xml:space="preserve">- </w:t>
      </w:r>
      <w:r>
        <w:rPr>
          <w:rFonts w:cs="Arial"/>
          <w:rtl/>
        </w:rPr>
        <w:t>אין לה כתובה כלל</w:t>
      </w:r>
      <w:r>
        <w:rPr>
          <w:rFonts w:cs="Arial" w:hint="cs"/>
          <w:rtl/>
        </w:rPr>
        <w:t>,</w:t>
      </w:r>
      <w:r>
        <w:rPr>
          <w:rFonts w:cs="Arial"/>
          <w:rtl/>
        </w:rPr>
        <w:t xml:space="preserve"> כדי שלא יהא חוטא נשכר</w:t>
      </w:r>
      <w:r>
        <w:rPr>
          <w:rFonts w:cs="Arial" w:hint="cs"/>
          <w:rtl/>
        </w:rPr>
        <w:t>.</w:t>
      </w:r>
      <w:r>
        <w:rPr>
          <w:rFonts w:cs="Arial"/>
          <w:rtl/>
        </w:rPr>
        <w:t xml:space="preserve"> ואע</w:t>
      </w:r>
      <w:r w:rsidR="005D676B">
        <w:rPr>
          <w:rFonts w:cs="Arial" w:hint="cs"/>
          <w:rtl/>
        </w:rPr>
        <w:t>"</w:t>
      </w:r>
      <w:r>
        <w:rPr>
          <w:rFonts w:cs="Arial"/>
          <w:rtl/>
        </w:rPr>
        <w:t>פ שגם הוא חוטא ונשכר שנפטר מלפרוע הכתובה</w:t>
      </w:r>
      <w:r>
        <w:rPr>
          <w:rFonts w:cs="Arial" w:hint="cs"/>
          <w:rtl/>
        </w:rPr>
        <w:t>,</w:t>
      </w:r>
      <w:r>
        <w:rPr>
          <w:rFonts w:cs="Arial"/>
          <w:rtl/>
        </w:rPr>
        <w:t xml:space="preserve"> מניעת פריעת הכתובה לא נקרא שכר כיון שלא קיבל ממנה כלום. ואם יש לה עליו בלאות חייב לפרוע אותם כדי שלא יהא חוטא נשכר כו</w:t>
      </w:r>
      <w:r>
        <w:rPr>
          <w:rFonts w:cs="Arial" w:hint="cs"/>
          <w:rtl/>
        </w:rPr>
        <w:t>'.</w:t>
      </w:r>
    </w:p>
    <w:p w14:paraId="6AD41FFA" w14:textId="77777777" w:rsidR="00392DBB" w:rsidRDefault="00392DBB" w:rsidP="00392DBB">
      <w:pPr>
        <w:rPr>
          <w:rtl/>
        </w:rPr>
      </w:pPr>
    </w:p>
    <w:p w14:paraId="66DBB154" w14:textId="77777777" w:rsidR="00392DBB" w:rsidRDefault="00392DBB" w:rsidP="000F64D0">
      <w:pPr>
        <w:pStyle w:val="2"/>
        <w:rPr>
          <w:rtl/>
        </w:rPr>
      </w:pPr>
      <w:r>
        <w:rPr>
          <w:rtl/>
        </w:rPr>
        <w:t>סעיף ב</w:t>
      </w:r>
      <w:r>
        <w:rPr>
          <w:rFonts w:hint="cs"/>
          <w:rtl/>
        </w:rPr>
        <w:t xml:space="preserve">: </w:t>
      </w:r>
      <w:r w:rsidRPr="00BC450C">
        <w:rPr>
          <w:rtl/>
        </w:rPr>
        <w:t>הוחזקה נדה בשכנותיה</w:t>
      </w:r>
      <w:r>
        <w:rPr>
          <w:rFonts w:hint="cs"/>
          <w:rtl/>
        </w:rPr>
        <w:t>.</w:t>
      </w:r>
    </w:p>
    <w:p w14:paraId="152ED8EE" w14:textId="0A50BD7E" w:rsidR="00392DBB" w:rsidRPr="000070F1" w:rsidRDefault="00392DBB" w:rsidP="00392DBB">
      <w:pPr>
        <w:rPr>
          <w:rtl/>
        </w:rPr>
      </w:pPr>
      <w:r w:rsidRPr="00287A5F">
        <w:rPr>
          <w:rFonts w:hint="cs"/>
          <w:b/>
          <w:bCs/>
          <w:rtl/>
        </w:rPr>
        <w:t xml:space="preserve">כתובות </w:t>
      </w:r>
      <w:r w:rsidRPr="00287A5F">
        <w:rPr>
          <w:rFonts w:hint="cs"/>
          <w:b/>
          <w:bCs/>
          <w:sz w:val="16"/>
          <w:szCs w:val="16"/>
          <w:rtl/>
        </w:rPr>
        <w:t xml:space="preserve">(פ' המדיר) </w:t>
      </w:r>
      <w:r w:rsidRPr="00287A5F">
        <w:rPr>
          <w:rFonts w:hint="cs"/>
          <w:b/>
          <w:bCs/>
          <w:rtl/>
        </w:rPr>
        <w:t>עב</w:t>
      </w:r>
      <w:r w:rsidR="006B2DC1" w:rsidRPr="0077331D">
        <w:rPr>
          <w:rStyle w:val="a7"/>
          <w:rFonts w:cs="Arial"/>
          <w:b/>
          <w:bCs/>
          <w:rtl/>
        </w:rPr>
        <w:footnoteReference w:id="2799"/>
      </w:r>
      <w:r w:rsidRPr="00287A5F">
        <w:rPr>
          <w:rFonts w:hint="cs"/>
          <w:b/>
          <w:bCs/>
          <w:rtl/>
        </w:rPr>
        <w:t xml:space="preserve"> ע"א:</w:t>
      </w:r>
      <w:r>
        <w:rPr>
          <w:rFonts w:hint="cs"/>
          <w:rtl/>
        </w:rPr>
        <w:t xml:space="preserve"> </w:t>
      </w:r>
      <w:r w:rsidRPr="00287A5F">
        <w:rPr>
          <w:rFonts w:cs="Arial"/>
          <w:u w:val="double"/>
          <w:rtl/>
        </w:rPr>
        <w:t>מתני'</w:t>
      </w:r>
      <w:r>
        <w:rPr>
          <w:rFonts w:cs="Arial" w:hint="cs"/>
          <w:rtl/>
        </w:rPr>
        <w:t>:</w:t>
      </w:r>
      <w:r w:rsidRPr="00287A5F">
        <w:rPr>
          <w:rFonts w:cs="Arial"/>
          <w:rtl/>
        </w:rPr>
        <w:t xml:space="preserve"> ואלו יוצאות שלא בכתובה: העוברת על דת משה ויהודית. ואיזו היא דת משה? מאכילתו שאינו מעושר, ומשמשתו נדה</w:t>
      </w:r>
      <w:r>
        <w:rPr>
          <w:rFonts w:cs="Arial" w:hint="cs"/>
          <w:rtl/>
        </w:rPr>
        <w:t>..</w:t>
      </w:r>
      <w:r w:rsidRPr="00287A5F">
        <w:rPr>
          <w:rFonts w:cs="Arial"/>
          <w:rtl/>
        </w:rPr>
        <w:t>.</w:t>
      </w:r>
      <w:r>
        <w:rPr>
          <w:rFonts w:hint="cs"/>
          <w:rtl/>
        </w:rPr>
        <w:t xml:space="preserve">       </w:t>
      </w:r>
      <w:r w:rsidRPr="00972691">
        <w:rPr>
          <w:rFonts w:hint="cs"/>
          <w:u w:val="double"/>
          <w:rtl/>
        </w:rPr>
        <w:t>גמ'</w:t>
      </w:r>
      <w:r>
        <w:rPr>
          <w:rFonts w:hint="cs"/>
          <w:rtl/>
        </w:rPr>
        <w:t>:</w:t>
      </w:r>
      <w:r>
        <w:rPr>
          <w:rFonts w:cs="Arial"/>
          <w:rtl/>
        </w:rPr>
        <w:t xml:space="preserve"> ומשמשתו נדה. היכי דמי? אי דידע בה, נפרוש! אי דלא ידע, נסמוך עילוה! דא"ר חיננא בר כהנא אמר שמואל: מנין לנדה שסופרת לעצמה? שנאמר: וספרה לה שבעת ימים, לה - לעצמה! לא</w:t>
      </w:r>
      <w:r>
        <w:rPr>
          <w:rFonts w:cs="Arial" w:hint="cs"/>
          <w:rtl/>
        </w:rPr>
        <w:t>,</w:t>
      </w:r>
      <w:r>
        <w:rPr>
          <w:rFonts w:cs="Arial"/>
          <w:rtl/>
        </w:rPr>
        <w:t xml:space="preserve"> צריכא, דאמרה ליה פלוני חכם טיהר לי את הדם, ואזל שייליה ואשתכח שיקרא. ואיבעית אימא: כדרב יהודה, דאמר רב יהודה: הוחזקה נדה בשכינותיה</w:t>
      </w:r>
      <w:r>
        <w:rPr>
          <w:rStyle w:val="a7"/>
          <w:rFonts w:cs="Arial"/>
          <w:rtl/>
        </w:rPr>
        <w:footnoteReference w:id="2800"/>
      </w:r>
      <w:r>
        <w:rPr>
          <w:rFonts w:cs="Arial"/>
          <w:rtl/>
        </w:rPr>
        <w:t>, בעלה לוקה</w:t>
      </w:r>
      <w:r>
        <w:rPr>
          <w:rStyle w:val="a7"/>
          <w:rFonts w:cs="Arial"/>
          <w:rtl/>
        </w:rPr>
        <w:footnoteReference w:id="2801"/>
      </w:r>
      <w:r>
        <w:rPr>
          <w:rFonts w:cs="Arial"/>
          <w:rtl/>
        </w:rPr>
        <w:t xml:space="preserve"> עליה משום נדה.</w:t>
      </w:r>
    </w:p>
    <w:p w14:paraId="4144EE24" w14:textId="77777777" w:rsidR="00392DBB" w:rsidRPr="00FE5774" w:rsidRDefault="00392DBB" w:rsidP="00392DBB">
      <w:pPr>
        <w:rPr>
          <w:u w:val="single"/>
          <w:rtl/>
        </w:rPr>
      </w:pPr>
      <w:r w:rsidRPr="00FE5774">
        <w:rPr>
          <w:rFonts w:cs="Arial"/>
          <w:u w:val="single"/>
          <w:rtl/>
        </w:rPr>
        <w:t>הוחזקה נדה בשכנותיה</w:t>
      </w:r>
      <w:r w:rsidRPr="00FE5774">
        <w:rPr>
          <w:rFonts w:hint="cs"/>
          <w:u w:val="single"/>
          <w:rtl/>
        </w:rPr>
        <w:t>:</w:t>
      </w:r>
    </w:p>
    <w:p w14:paraId="0C70A017" w14:textId="3032B4B7" w:rsidR="00392DBB" w:rsidRPr="00281DE0" w:rsidRDefault="00392DBB" w:rsidP="009000E3">
      <w:pPr>
        <w:pStyle w:val="ab"/>
        <w:numPr>
          <w:ilvl w:val="0"/>
          <w:numId w:val="72"/>
        </w:numPr>
      </w:pPr>
      <w:r>
        <w:rPr>
          <w:rFonts w:cs="Arial" w:hint="cs"/>
          <w:rtl/>
        </w:rPr>
        <w:t xml:space="preserve">טור- </w:t>
      </w:r>
      <w:r w:rsidRPr="00671DE4">
        <w:rPr>
          <w:rFonts w:cs="Arial"/>
          <w:rtl/>
        </w:rPr>
        <w:t>הוחזקה נדה בשכנותיה</w:t>
      </w:r>
      <w:r>
        <w:rPr>
          <w:rFonts w:cs="Arial" w:hint="cs"/>
          <w:rtl/>
        </w:rPr>
        <w:t>,</w:t>
      </w:r>
      <w:r w:rsidRPr="00671DE4">
        <w:rPr>
          <w:rFonts w:cs="Arial"/>
          <w:rtl/>
        </w:rPr>
        <w:t xml:space="preserve"> שראוה לובשת בגדי נדותה</w:t>
      </w:r>
      <w:r>
        <w:rPr>
          <w:rFonts w:cs="Arial" w:hint="cs"/>
          <w:rtl/>
        </w:rPr>
        <w:t>,</w:t>
      </w:r>
      <w:r w:rsidRPr="00671DE4">
        <w:rPr>
          <w:rFonts w:cs="Arial"/>
          <w:rtl/>
        </w:rPr>
        <w:t xml:space="preserve"> ואמרה לו טהורה אני</w:t>
      </w:r>
      <w:r>
        <w:rPr>
          <w:rFonts w:cs="Arial" w:hint="cs"/>
          <w:rtl/>
        </w:rPr>
        <w:t>,</w:t>
      </w:r>
      <w:r w:rsidRPr="00671DE4">
        <w:rPr>
          <w:rFonts w:cs="Arial"/>
          <w:rtl/>
        </w:rPr>
        <w:t xml:space="preserve"> ובא עליה</w:t>
      </w:r>
      <w:r>
        <w:rPr>
          <w:rFonts w:cs="Arial" w:hint="cs"/>
          <w:rtl/>
        </w:rPr>
        <w:t xml:space="preserve"> -</w:t>
      </w:r>
      <w:r w:rsidRPr="00671DE4">
        <w:rPr>
          <w:rFonts w:cs="Arial"/>
          <w:rtl/>
        </w:rPr>
        <w:t xml:space="preserve"> יוצאת </w:t>
      </w:r>
      <w:r w:rsidR="009C1509">
        <w:rPr>
          <w:rFonts w:cs="Arial" w:hint="cs"/>
          <w:rtl/>
        </w:rPr>
        <w:t>ב</w:t>
      </w:r>
      <w:r w:rsidRPr="00671DE4">
        <w:rPr>
          <w:rFonts w:cs="Arial"/>
          <w:rtl/>
        </w:rPr>
        <w:t>לא כתובה</w:t>
      </w:r>
      <w:r>
        <w:rPr>
          <w:rFonts w:cs="Arial" w:hint="cs"/>
          <w:rtl/>
        </w:rPr>
        <w:t>.</w:t>
      </w:r>
      <w:r w:rsidRPr="00671DE4">
        <w:rPr>
          <w:rFonts w:cs="Arial"/>
          <w:rtl/>
        </w:rPr>
        <w:t xml:space="preserve"> </w:t>
      </w:r>
      <w:r w:rsidR="006B2DC1" w:rsidRPr="00864336">
        <w:rPr>
          <w:rFonts w:hint="cs"/>
          <w:color w:val="E36C0A" w:themeColor="accent6" w:themeShade="BF"/>
          <w:rtl/>
        </w:rPr>
        <w:t>(וכ"פ בשו"ע)</w:t>
      </w:r>
    </w:p>
    <w:p w14:paraId="57BA50FF"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1C21AC9" w14:textId="77777777" w:rsidR="00392DBB" w:rsidRDefault="00392DBB" w:rsidP="00392DBB">
      <w:pPr>
        <w:rPr>
          <w:rtl/>
        </w:rPr>
      </w:pPr>
      <w:r>
        <w:rPr>
          <w:rFonts w:cs="Arial"/>
          <w:rtl/>
        </w:rPr>
        <w:t>הוחזקה נדה בשכנותיה, שראוה לובשת בגדי נדותה, ואמרה לו: טהורה אני, ובא עליה</w:t>
      </w:r>
      <w:r>
        <w:rPr>
          <w:rStyle w:val="a7"/>
          <w:rFonts w:cs="Arial"/>
          <w:rtl/>
        </w:rPr>
        <w:footnoteReference w:id="2802"/>
      </w:r>
      <w:r>
        <w:rPr>
          <w:rFonts w:cs="Arial"/>
          <w:rtl/>
        </w:rPr>
        <w:t xml:space="preserve">, יוצאת בלא כתובה. </w:t>
      </w:r>
    </w:p>
    <w:p w14:paraId="2E8A43D3" w14:textId="77777777" w:rsidR="00392DBB" w:rsidRDefault="00392DBB" w:rsidP="00392DBB">
      <w:pPr>
        <w:rPr>
          <w:rtl/>
        </w:rPr>
      </w:pPr>
    </w:p>
    <w:p w14:paraId="0958AEFA" w14:textId="77777777" w:rsidR="00392DBB" w:rsidRDefault="00392DBB" w:rsidP="000F64D0">
      <w:pPr>
        <w:pStyle w:val="2"/>
        <w:rPr>
          <w:rtl/>
        </w:rPr>
      </w:pPr>
      <w:r>
        <w:rPr>
          <w:rtl/>
        </w:rPr>
        <w:lastRenderedPageBreak/>
        <w:t>סעיף ג</w:t>
      </w:r>
      <w:r>
        <w:rPr>
          <w:rFonts w:hint="cs"/>
          <w:rtl/>
        </w:rPr>
        <w:t>: נודרת ואינה מקיימת.</w:t>
      </w:r>
    </w:p>
    <w:p w14:paraId="2A3D5E93" w14:textId="5DC04D3D" w:rsidR="00392DBB" w:rsidRPr="003014ED" w:rsidRDefault="00392DBB" w:rsidP="00392DBB">
      <w:pPr>
        <w:rPr>
          <w:rtl/>
        </w:rPr>
      </w:pPr>
      <w:r w:rsidRPr="00287A5F">
        <w:rPr>
          <w:rFonts w:hint="cs"/>
          <w:b/>
          <w:bCs/>
          <w:rtl/>
        </w:rPr>
        <w:t xml:space="preserve">כתובות </w:t>
      </w:r>
      <w:r w:rsidRPr="00287A5F">
        <w:rPr>
          <w:rFonts w:hint="cs"/>
          <w:b/>
          <w:bCs/>
          <w:sz w:val="16"/>
          <w:szCs w:val="16"/>
          <w:rtl/>
        </w:rPr>
        <w:t xml:space="preserve">(פ' המדיר) </w:t>
      </w:r>
      <w:r w:rsidRPr="00287A5F">
        <w:rPr>
          <w:rFonts w:hint="cs"/>
          <w:b/>
          <w:bCs/>
          <w:rtl/>
        </w:rPr>
        <w:t>עב</w:t>
      </w:r>
      <w:r w:rsidR="006B2DC1" w:rsidRPr="0077331D">
        <w:rPr>
          <w:rStyle w:val="a7"/>
          <w:rFonts w:cs="Arial"/>
          <w:b/>
          <w:bCs/>
          <w:rtl/>
        </w:rPr>
        <w:footnoteReference w:id="2803"/>
      </w:r>
      <w:r w:rsidRPr="00287A5F">
        <w:rPr>
          <w:rFonts w:hint="cs"/>
          <w:b/>
          <w:bCs/>
          <w:rtl/>
        </w:rPr>
        <w:t xml:space="preserve"> ע"א:</w:t>
      </w:r>
      <w:r>
        <w:rPr>
          <w:rFonts w:hint="cs"/>
          <w:rtl/>
        </w:rPr>
        <w:t xml:space="preserve"> </w:t>
      </w:r>
      <w:r w:rsidRPr="00287A5F">
        <w:rPr>
          <w:rFonts w:cs="Arial"/>
          <w:u w:val="double"/>
          <w:rtl/>
        </w:rPr>
        <w:t>מתני'</w:t>
      </w:r>
      <w:r>
        <w:rPr>
          <w:rFonts w:cs="Arial" w:hint="cs"/>
          <w:rtl/>
        </w:rPr>
        <w:t>:</w:t>
      </w:r>
      <w:r w:rsidRPr="00287A5F">
        <w:rPr>
          <w:rFonts w:cs="Arial"/>
          <w:rtl/>
        </w:rPr>
        <w:t xml:space="preserve"> ואלו יוצאות שלא בכתובה: העוברת על דת משה ויהודית. ואיזו היא דת משה? מאכילתו שאינו מעושר, ומשמשתו נדה, ולא קוצה לה חלה, ונודרת ואינה מקיימת.</w:t>
      </w:r>
      <w:r>
        <w:rPr>
          <w:rFonts w:cs="Arial" w:hint="cs"/>
          <w:rtl/>
        </w:rPr>
        <w:t>.</w:t>
      </w:r>
      <w:r w:rsidRPr="00287A5F">
        <w:rPr>
          <w:rFonts w:cs="Arial"/>
          <w:rtl/>
        </w:rPr>
        <w:t>.</w:t>
      </w:r>
      <w:r>
        <w:rPr>
          <w:rFonts w:hint="cs"/>
          <w:rtl/>
        </w:rPr>
        <w:t xml:space="preserve">       </w:t>
      </w:r>
      <w:r w:rsidRPr="00972691">
        <w:rPr>
          <w:rFonts w:hint="cs"/>
          <w:u w:val="double"/>
          <w:rtl/>
        </w:rPr>
        <w:t>גמ'</w:t>
      </w:r>
      <w:r>
        <w:rPr>
          <w:rFonts w:hint="cs"/>
          <w:rtl/>
        </w:rPr>
        <w:t>:</w:t>
      </w:r>
      <w:r>
        <w:rPr>
          <w:rFonts w:cs="Arial"/>
          <w:rtl/>
        </w:rPr>
        <w:t xml:space="preserve"> </w:t>
      </w:r>
      <w:r w:rsidRPr="003014ED">
        <w:rPr>
          <w:rFonts w:cs="Arial"/>
          <w:rtl/>
        </w:rPr>
        <w:t xml:space="preserve">ונודרת ואינה מקיימת. </w:t>
      </w:r>
      <w:r w:rsidRPr="003014ED">
        <w:rPr>
          <w:rFonts w:cs="Arial"/>
          <w:u w:val="single"/>
          <w:rtl/>
        </w:rPr>
        <w:t>דאמר מר</w:t>
      </w:r>
      <w:r w:rsidRPr="003014ED">
        <w:rPr>
          <w:rFonts w:cs="Arial"/>
          <w:rtl/>
        </w:rPr>
        <w:t>: בעון נדרים בנים מתים, שנאמר: אל תתן את פיך לחטיא את בשרך וגו'</w:t>
      </w:r>
      <w:r>
        <w:rPr>
          <w:rStyle w:val="a7"/>
          <w:rFonts w:cs="Arial"/>
          <w:rtl/>
        </w:rPr>
        <w:footnoteReference w:id="2804"/>
      </w:r>
      <w:r w:rsidRPr="003014ED">
        <w:rPr>
          <w:rFonts w:cs="Arial"/>
          <w:rtl/>
        </w:rPr>
        <w:t xml:space="preserve">, ואיזו הן מעשה ידיו של אדם? הוי אומר בניו ובנותיו. </w:t>
      </w:r>
      <w:r w:rsidRPr="003014ED">
        <w:rPr>
          <w:rFonts w:cs="Arial"/>
          <w:u w:val="single"/>
          <w:rtl/>
        </w:rPr>
        <w:t>רב נחמן אמר מהכא</w:t>
      </w:r>
      <w:r>
        <w:rPr>
          <w:rFonts w:cs="Arial" w:hint="cs"/>
          <w:rtl/>
        </w:rPr>
        <w:t>:</w:t>
      </w:r>
      <w:r w:rsidRPr="003014ED">
        <w:rPr>
          <w:rFonts w:cs="Arial"/>
          <w:rtl/>
        </w:rPr>
        <w:t xml:space="preserve"> לשוא הכיתי את בניכם, לשוא - על עסקי שוא. תניא, </w:t>
      </w:r>
      <w:r w:rsidRPr="003014ED">
        <w:rPr>
          <w:rFonts w:cs="Arial"/>
          <w:u w:val="single"/>
          <w:rtl/>
        </w:rPr>
        <w:t>היה ר"מ אומר</w:t>
      </w:r>
      <w:r w:rsidRPr="003014ED">
        <w:rPr>
          <w:rFonts w:cs="Arial"/>
          <w:rtl/>
        </w:rPr>
        <w:t>: כל היודע באשתו שנודרת ואינה מקיימת - יחזור וידירנה. ידירנה, במאי מתקן לה? אלא יחזור ויקניטנה, כדי שתדור בפניו ויפר לה, אמרו לו: אין אדם דר עם נחש בכפיפה.</w:t>
      </w:r>
    </w:p>
    <w:p w14:paraId="0F61F842" w14:textId="77777777" w:rsidR="00392DBB" w:rsidRPr="003014ED" w:rsidRDefault="00392DBB" w:rsidP="00392DBB">
      <w:pPr>
        <w:rPr>
          <w:u w:val="single"/>
          <w:rtl/>
        </w:rPr>
      </w:pPr>
      <w:r w:rsidRPr="003014ED">
        <w:rPr>
          <w:rFonts w:hint="cs"/>
          <w:u w:val="single"/>
          <w:rtl/>
        </w:rPr>
        <w:t>נודרת ואינה מקיימת:</w:t>
      </w:r>
    </w:p>
    <w:p w14:paraId="3C7DC110" w14:textId="65DFD0BE" w:rsidR="00392DBB" w:rsidRPr="001D1B32" w:rsidRDefault="00392DBB" w:rsidP="009000E3">
      <w:pPr>
        <w:pStyle w:val="ab"/>
        <w:numPr>
          <w:ilvl w:val="0"/>
          <w:numId w:val="72"/>
        </w:numPr>
      </w:pPr>
      <w:r>
        <w:rPr>
          <w:rFonts w:cs="Arial" w:hint="cs"/>
          <w:rtl/>
        </w:rPr>
        <w:t xml:space="preserve">טור- </w:t>
      </w:r>
      <w:r w:rsidRPr="00671DE4">
        <w:rPr>
          <w:rFonts w:cs="Arial"/>
          <w:rtl/>
        </w:rPr>
        <w:t>הנודרת ואינה מקיימת תצא בלא כתובה</w:t>
      </w:r>
      <w:r>
        <w:rPr>
          <w:rFonts w:cs="Arial" w:hint="cs"/>
          <w:rtl/>
        </w:rPr>
        <w:t>,</w:t>
      </w:r>
      <w:r w:rsidRPr="00671DE4">
        <w:rPr>
          <w:rFonts w:cs="Arial"/>
          <w:rtl/>
        </w:rPr>
        <w:t xml:space="preserve"> דבעון נדרים בנים מתים קטנים</w:t>
      </w:r>
      <w:r>
        <w:rPr>
          <w:rFonts w:cs="Arial" w:hint="cs"/>
          <w:rtl/>
        </w:rPr>
        <w:t>.</w:t>
      </w:r>
      <w:r w:rsidRPr="00671DE4">
        <w:rPr>
          <w:rFonts w:cs="Arial"/>
          <w:rtl/>
        </w:rPr>
        <w:t xml:space="preserve"> </w:t>
      </w:r>
      <w:r w:rsidRPr="00E0450D">
        <w:rPr>
          <w:rFonts w:hint="cs"/>
          <w:color w:val="E36C0A" w:themeColor="accent6" w:themeShade="BF"/>
          <w:rtl/>
        </w:rPr>
        <w:t>(וכ"פ בשו"ע)</w:t>
      </w:r>
    </w:p>
    <w:p w14:paraId="3F64486C" w14:textId="77777777" w:rsidR="00392DBB" w:rsidRPr="00485762" w:rsidRDefault="00392DBB" w:rsidP="00392DBB">
      <w:pPr>
        <w:ind w:left="360"/>
        <w:rPr>
          <w:u w:val="dotted"/>
        </w:rPr>
      </w:pPr>
      <w:r w:rsidRPr="00485762">
        <w:rPr>
          <w:rFonts w:hint="cs"/>
          <w:u w:val="dotted"/>
          <w:rtl/>
        </w:rPr>
        <w:t>ומה הדין אם גם הוא נודר ואינו מקיים:</w:t>
      </w:r>
    </w:p>
    <w:p w14:paraId="053B2743" w14:textId="77777777" w:rsidR="00392DBB" w:rsidRPr="00CD1A02" w:rsidRDefault="00392DBB" w:rsidP="009000E3">
      <w:pPr>
        <w:pStyle w:val="ab"/>
        <w:numPr>
          <w:ilvl w:val="0"/>
          <w:numId w:val="72"/>
        </w:numPr>
      </w:pPr>
      <w:r w:rsidRPr="001D1B32">
        <w:rPr>
          <w:rFonts w:cs="Arial" w:hint="cs"/>
          <w:rtl/>
        </w:rPr>
        <w:t>מהר"ם</w:t>
      </w:r>
      <w:r>
        <w:rPr>
          <w:rFonts w:cs="Arial" w:hint="cs"/>
          <w:rtl/>
        </w:rPr>
        <w:t xml:space="preserve"> </w:t>
      </w:r>
      <w:r>
        <w:rPr>
          <w:rFonts w:cs="Arial" w:hint="cs"/>
          <w:sz w:val="16"/>
          <w:szCs w:val="16"/>
          <w:rtl/>
        </w:rPr>
        <w:t>(</w:t>
      </w:r>
      <w:r w:rsidRPr="00485762">
        <w:rPr>
          <w:rFonts w:cs="Arial"/>
          <w:sz w:val="16"/>
          <w:szCs w:val="16"/>
          <w:rtl/>
        </w:rPr>
        <w:t>ספר סיני וליקוטים סי</w:t>
      </w:r>
      <w:r>
        <w:rPr>
          <w:rFonts w:cs="Arial" w:hint="cs"/>
          <w:sz w:val="16"/>
          <w:szCs w:val="16"/>
          <w:rtl/>
        </w:rPr>
        <w:t>'</w:t>
      </w:r>
      <w:r w:rsidRPr="00485762">
        <w:rPr>
          <w:rFonts w:cs="Arial"/>
          <w:sz w:val="16"/>
          <w:szCs w:val="16"/>
          <w:rtl/>
        </w:rPr>
        <w:t xml:space="preserve"> שסב</w:t>
      </w:r>
      <w:r>
        <w:rPr>
          <w:rFonts w:cs="Arial" w:hint="cs"/>
          <w:sz w:val="16"/>
          <w:szCs w:val="16"/>
          <w:rtl/>
        </w:rPr>
        <w:t>, העתיקו דבריו הרשב"א [</w:t>
      </w:r>
      <w:r w:rsidRPr="001D1B32">
        <w:rPr>
          <w:rFonts w:cs="Arial"/>
          <w:sz w:val="16"/>
          <w:szCs w:val="16"/>
          <w:rtl/>
        </w:rPr>
        <w:t>ח"א סי</w:t>
      </w:r>
      <w:r w:rsidRPr="001D1B32">
        <w:rPr>
          <w:rFonts w:cs="Arial" w:hint="cs"/>
          <w:sz w:val="16"/>
          <w:szCs w:val="16"/>
          <w:rtl/>
        </w:rPr>
        <w:t>'</w:t>
      </w:r>
      <w:r w:rsidRPr="001D1B32">
        <w:rPr>
          <w:rFonts w:cs="Arial"/>
          <w:sz w:val="16"/>
          <w:szCs w:val="16"/>
          <w:rtl/>
        </w:rPr>
        <w:t xml:space="preserve"> תתסו</w:t>
      </w:r>
      <w:r>
        <w:rPr>
          <w:rFonts w:cs="Arial" w:hint="cs"/>
          <w:sz w:val="16"/>
          <w:szCs w:val="16"/>
          <w:rtl/>
        </w:rPr>
        <w:t>] המרדכי [סי' קצו] והג"א [כתובות פ"ז סי' ט הגהה ה])</w:t>
      </w:r>
      <w:r w:rsidRPr="001D1B32">
        <w:rPr>
          <w:rFonts w:cs="Arial" w:hint="cs"/>
          <w:rtl/>
        </w:rPr>
        <w:t>-</w:t>
      </w:r>
      <w:r w:rsidRPr="001D1B32">
        <w:rPr>
          <w:rFonts w:cs="Arial"/>
          <w:rtl/>
        </w:rPr>
        <w:t xml:space="preserve"> </w:t>
      </w:r>
      <w:r w:rsidRPr="00485762">
        <w:rPr>
          <w:rFonts w:cs="Arial"/>
          <w:rtl/>
        </w:rPr>
        <w:t>אמנם יש לדקדק במה שכתבת שהיא הביאה עדים שגם הוא עבר על החרם. אם אותם עדים שהביא הוא שהיא עברה על דת, היינו מזה שנודרת ואינה מקיימת ועוברת חרמות, נ"ל שאינו יכול להוציאה בלא כתובה. דטעמא</w:t>
      </w:r>
      <w:r>
        <w:rPr>
          <w:rFonts w:cs="Arial" w:hint="cs"/>
          <w:rtl/>
        </w:rPr>
        <w:t xml:space="preserve"> </w:t>
      </w:r>
      <w:r w:rsidRPr="00485762">
        <w:rPr>
          <w:rFonts w:cs="Arial"/>
          <w:rtl/>
        </w:rPr>
        <w:t xml:space="preserve">מאי אמור רבנן נודרת ואינה מקיימת יוצאה בלא כתובה, דמצי למימר אין אשה אלא לבנים </w:t>
      </w:r>
      <w:r>
        <w:rPr>
          <w:rFonts w:cs="Arial" w:hint="cs"/>
          <w:rtl/>
        </w:rPr>
        <w:t>(</w:t>
      </w:r>
      <w:r w:rsidRPr="00485762">
        <w:rPr>
          <w:rFonts w:cs="Arial"/>
          <w:rtl/>
        </w:rPr>
        <w:t>כתובות נט</w:t>
      </w:r>
      <w:r>
        <w:rPr>
          <w:rFonts w:cs="Arial" w:hint="cs"/>
          <w:rtl/>
        </w:rPr>
        <w:t>:)</w:t>
      </w:r>
      <w:r w:rsidRPr="00485762">
        <w:rPr>
          <w:rFonts w:cs="Arial"/>
          <w:rtl/>
        </w:rPr>
        <w:t xml:space="preserve"> ובעון נדרים בנים מתים </w:t>
      </w:r>
      <w:r>
        <w:rPr>
          <w:rFonts w:cs="Arial" w:hint="cs"/>
          <w:rtl/>
        </w:rPr>
        <w:t>(</w:t>
      </w:r>
      <w:r w:rsidRPr="00485762">
        <w:rPr>
          <w:rFonts w:cs="Arial"/>
          <w:rtl/>
        </w:rPr>
        <w:t>שם עב</w:t>
      </w:r>
      <w:r>
        <w:rPr>
          <w:rFonts w:cs="Arial" w:hint="cs"/>
          <w:rtl/>
        </w:rPr>
        <w:t>.)</w:t>
      </w:r>
      <w:r w:rsidRPr="00485762">
        <w:rPr>
          <w:rFonts w:cs="Arial"/>
          <w:rtl/>
        </w:rPr>
        <w:t>, וכיון שגם הוא עובר חרמות, ההוא גברא לא בעי בני, ואין טענתו טענה</w:t>
      </w:r>
      <w:r w:rsidRPr="001D1B32">
        <w:rPr>
          <w:rFonts w:cs="Arial"/>
          <w:rtl/>
        </w:rPr>
        <w:t>.</w:t>
      </w:r>
      <w:r w:rsidRPr="00E0450D">
        <w:rPr>
          <w:rFonts w:hint="cs"/>
          <w:color w:val="00B0F0"/>
          <w:rtl/>
        </w:rPr>
        <w:t xml:space="preserve"> (וכ"פ הרמ"א)</w:t>
      </w:r>
    </w:p>
    <w:p w14:paraId="495DE884" w14:textId="77777777" w:rsidR="00392DBB" w:rsidRPr="00CD1A02" w:rsidRDefault="00392DBB" w:rsidP="00392DBB">
      <w:pPr>
        <w:ind w:left="360"/>
        <w:rPr>
          <w:u w:val="dotted"/>
        </w:rPr>
      </w:pPr>
      <w:r w:rsidRPr="00CD1A02">
        <w:rPr>
          <w:rFonts w:hint="cs"/>
          <w:u w:val="dotted"/>
          <w:rtl/>
        </w:rPr>
        <w:t xml:space="preserve">ומה הדין אם היא עוברת על שאר דת משה ויהודית </w:t>
      </w:r>
      <w:r w:rsidRPr="00CD1A02">
        <w:rPr>
          <w:rFonts w:hint="cs"/>
          <w:sz w:val="16"/>
          <w:szCs w:val="16"/>
          <w:u w:val="dotted"/>
          <w:rtl/>
        </w:rPr>
        <w:t>(לא על נדרים)</w:t>
      </w:r>
      <w:r w:rsidRPr="00CD1A02">
        <w:rPr>
          <w:rFonts w:hint="cs"/>
          <w:u w:val="dotted"/>
          <w:rtl/>
        </w:rPr>
        <w:t>, והוא עובר על נדרים</w:t>
      </w:r>
      <w:r>
        <w:rPr>
          <w:rFonts w:hint="cs"/>
          <w:sz w:val="16"/>
          <w:szCs w:val="16"/>
          <w:u w:val="dotted"/>
          <w:rtl/>
        </w:rPr>
        <w:t xml:space="preserve"> (וכן להפך)</w:t>
      </w:r>
      <w:r w:rsidRPr="00CD1A02">
        <w:rPr>
          <w:rFonts w:hint="cs"/>
          <w:u w:val="dotted"/>
          <w:rtl/>
        </w:rPr>
        <w:t>:</w:t>
      </w:r>
    </w:p>
    <w:p w14:paraId="32ADEC1E" w14:textId="77777777" w:rsidR="00392DBB" w:rsidRDefault="00392DBB" w:rsidP="009000E3">
      <w:pPr>
        <w:pStyle w:val="ab"/>
        <w:numPr>
          <w:ilvl w:val="0"/>
          <w:numId w:val="72"/>
        </w:numPr>
      </w:pPr>
      <w:r w:rsidRPr="001D1B32">
        <w:rPr>
          <w:rFonts w:cs="Arial"/>
          <w:rtl/>
        </w:rPr>
        <w:t xml:space="preserve">מרדכי </w:t>
      </w:r>
      <w:r w:rsidRPr="00EE6D01">
        <w:rPr>
          <w:rFonts w:cs="Arial" w:hint="cs"/>
          <w:sz w:val="16"/>
          <w:szCs w:val="16"/>
          <w:rtl/>
        </w:rPr>
        <w:t>(כתובות סי' קצו</w:t>
      </w:r>
      <w:r>
        <w:rPr>
          <w:rFonts w:cs="Arial" w:hint="cs"/>
          <w:sz w:val="16"/>
          <w:szCs w:val="16"/>
          <w:rtl/>
        </w:rPr>
        <w:t>)</w:t>
      </w:r>
      <w:r>
        <w:rPr>
          <w:rFonts w:cs="Arial" w:hint="cs"/>
          <w:rtl/>
        </w:rPr>
        <w:t>-</w:t>
      </w:r>
      <w:r w:rsidRPr="00485762">
        <w:rPr>
          <w:rFonts w:cs="Arial"/>
          <w:rtl/>
        </w:rPr>
        <w:t xml:space="preserve"> </w:t>
      </w:r>
      <w:r>
        <w:rPr>
          <w:rStyle w:val="a7"/>
          <w:rFonts w:cs="Arial"/>
          <w:rtl/>
        </w:rPr>
        <w:footnoteReference w:id="2805"/>
      </w:r>
      <w:r w:rsidRPr="00EE6D01">
        <w:rPr>
          <w:rFonts w:cs="Arial"/>
          <w:rtl/>
        </w:rPr>
        <w:t>אבל עדים המעידים על האשה שעוברת על שאר דת משה ויהודית</w:t>
      </w:r>
      <w:r w:rsidRPr="00EE6D01">
        <w:rPr>
          <w:rFonts w:cs="Arial" w:hint="cs"/>
          <w:rtl/>
        </w:rPr>
        <w:t>,</w:t>
      </w:r>
      <w:r w:rsidRPr="00EE6D01">
        <w:rPr>
          <w:rFonts w:cs="Arial"/>
          <w:rtl/>
        </w:rPr>
        <w:t xml:space="preserve"> אע</w:t>
      </w:r>
      <w:r w:rsidRPr="00EE6D01">
        <w:rPr>
          <w:rFonts w:cs="Arial" w:hint="cs"/>
          <w:rtl/>
        </w:rPr>
        <w:t>"</w:t>
      </w:r>
      <w:r w:rsidRPr="00EE6D01">
        <w:rPr>
          <w:rFonts w:cs="Arial"/>
          <w:rtl/>
        </w:rPr>
        <w:t>פ שהוא עובר חרמות</w:t>
      </w:r>
      <w:r>
        <w:rPr>
          <w:rFonts w:cs="Arial" w:hint="cs"/>
          <w:rtl/>
        </w:rPr>
        <w:t>,</w:t>
      </w:r>
      <w:r w:rsidRPr="00EE6D01">
        <w:rPr>
          <w:rFonts w:cs="Arial"/>
          <w:rtl/>
        </w:rPr>
        <w:t xml:space="preserve"> החשוד על דבר אחד אין חשוד לכל התורה כולה</w:t>
      </w:r>
      <w:r>
        <w:rPr>
          <w:rFonts w:cs="Arial" w:hint="cs"/>
          <w:rtl/>
        </w:rPr>
        <w:t>,</w:t>
      </w:r>
      <w:r w:rsidRPr="00EE6D01">
        <w:rPr>
          <w:rFonts w:cs="Arial"/>
          <w:rtl/>
        </w:rPr>
        <w:t xml:space="preserve"> ויכול להוציאה בלא כתובה בעל כרחה</w:t>
      </w:r>
      <w:r>
        <w:rPr>
          <w:rFonts w:cs="Arial" w:hint="cs"/>
          <w:rtl/>
        </w:rPr>
        <w:t>.</w:t>
      </w:r>
      <w:r w:rsidRPr="00EE6D01">
        <w:rPr>
          <w:rFonts w:cs="Arial"/>
          <w:rtl/>
        </w:rPr>
        <w:t xml:space="preserve"> דאיכא למימר דנהי דעבר עבירה שעובר על החרם מ"מ לא היה בא על הנדה</w:t>
      </w:r>
      <w:r>
        <w:rPr>
          <w:rFonts w:cs="Arial" w:hint="cs"/>
          <w:rtl/>
        </w:rPr>
        <w:t>.</w:t>
      </w:r>
      <w:r w:rsidRPr="00EE6D01">
        <w:rPr>
          <w:rFonts w:cs="Arial"/>
          <w:rtl/>
        </w:rPr>
        <w:t xml:space="preserve"> ואם משמשת נדה תצא או בשביל ד"א דשאר מילי דמיקריא בהו עוברת על דת ויכול לגרשה בעל כרחה וגם כתובתה הפסידה אם התרו בה</w:t>
      </w:r>
      <w:r w:rsidRPr="00EE6D01">
        <w:rPr>
          <w:rFonts w:cs="Arial" w:hint="cs"/>
          <w:rtl/>
        </w:rPr>
        <w:t>.</w:t>
      </w:r>
      <w:r>
        <w:rPr>
          <w:rFonts w:hint="cs"/>
          <w:rtl/>
        </w:rPr>
        <w:t xml:space="preserve"> (וכ"פ ח"מ </w:t>
      </w:r>
      <w:r>
        <w:rPr>
          <w:rFonts w:hint="cs"/>
          <w:sz w:val="16"/>
          <w:szCs w:val="16"/>
          <w:rtl/>
        </w:rPr>
        <w:t xml:space="preserve">[סק"ז] </w:t>
      </w:r>
      <w:r>
        <w:rPr>
          <w:rFonts w:hint="cs"/>
          <w:rtl/>
        </w:rPr>
        <w:t>וב"ש</w:t>
      </w:r>
      <w:r>
        <w:rPr>
          <w:rFonts w:hint="cs"/>
          <w:sz w:val="16"/>
          <w:szCs w:val="16"/>
          <w:rtl/>
        </w:rPr>
        <w:t xml:space="preserve"> [סק"ז]</w:t>
      </w:r>
      <w:r>
        <w:rPr>
          <w:rFonts w:hint="cs"/>
          <w:rtl/>
        </w:rPr>
        <w:t>)</w:t>
      </w:r>
    </w:p>
    <w:p w14:paraId="5547FE68" w14:textId="77777777" w:rsidR="00392DBB" w:rsidRPr="00150DB4" w:rsidRDefault="00392DBB" w:rsidP="00392DBB">
      <w:pPr>
        <w:rPr>
          <w:u w:val="single"/>
        </w:rPr>
      </w:pPr>
      <w:r>
        <w:rPr>
          <w:rFonts w:hint="cs"/>
          <w:u w:val="single"/>
          <w:rtl/>
        </w:rPr>
        <w:t>א</w:t>
      </w:r>
      <w:r w:rsidRPr="00150DB4">
        <w:rPr>
          <w:rFonts w:hint="cs"/>
          <w:u w:val="single"/>
          <w:rtl/>
        </w:rPr>
        <w:t xml:space="preserve">שה שעוברת על </w:t>
      </w:r>
      <w:r>
        <w:rPr>
          <w:rFonts w:hint="cs"/>
          <w:u w:val="single"/>
          <w:rtl/>
        </w:rPr>
        <w:t>חרם ושבועה:</w:t>
      </w:r>
    </w:p>
    <w:p w14:paraId="45F7CEDF" w14:textId="2198382A" w:rsidR="00392DBB" w:rsidRPr="006F6C98" w:rsidRDefault="00392DBB" w:rsidP="009000E3">
      <w:pPr>
        <w:pStyle w:val="ab"/>
        <w:numPr>
          <w:ilvl w:val="0"/>
          <w:numId w:val="72"/>
        </w:numPr>
      </w:pPr>
      <w:r w:rsidRPr="001D1B32">
        <w:rPr>
          <w:rFonts w:cs="Arial"/>
          <w:rtl/>
        </w:rPr>
        <w:t xml:space="preserve">מרדכי </w:t>
      </w:r>
      <w:r w:rsidRPr="00EE6D01">
        <w:rPr>
          <w:rFonts w:cs="Arial" w:hint="cs"/>
          <w:sz w:val="16"/>
          <w:szCs w:val="16"/>
          <w:rtl/>
        </w:rPr>
        <w:t>(כתובות סי' קצו</w:t>
      </w:r>
      <w:r>
        <w:rPr>
          <w:rFonts w:cs="Arial" w:hint="cs"/>
          <w:sz w:val="16"/>
          <w:szCs w:val="16"/>
          <w:rtl/>
        </w:rPr>
        <w:t>, וכ"כ הגה"מ [פכ"ד מאישות הי"א])</w:t>
      </w:r>
      <w:r>
        <w:rPr>
          <w:rFonts w:cs="Arial" w:hint="cs"/>
          <w:rtl/>
        </w:rPr>
        <w:t xml:space="preserve"> בשם</w:t>
      </w:r>
      <w:r w:rsidRPr="00150DB4">
        <w:rPr>
          <w:rFonts w:cs="Arial"/>
          <w:rtl/>
        </w:rPr>
        <w:t xml:space="preserve"> </w:t>
      </w:r>
      <w:r>
        <w:rPr>
          <w:rFonts w:cs="Arial" w:hint="cs"/>
          <w:rtl/>
        </w:rPr>
        <w:t>מ</w:t>
      </w:r>
      <w:r w:rsidRPr="00150DB4">
        <w:rPr>
          <w:rFonts w:cs="Arial"/>
          <w:rtl/>
        </w:rPr>
        <w:t>הר"ם</w:t>
      </w:r>
      <w:r>
        <w:rPr>
          <w:rFonts w:cs="Arial" w:hint="cs"/>
          <w:rtl/>
        </w:rPr>
        <w:t xml:space="preserve">- </w:t>
      </w:r>
      <w:r w:rsidRPr="00150DB4">
        <w:rPr>
          <w:rFonts w:cs="Arial"/>
          <w:rtl/>
        </w:rPr>
        <w:t>אשה שעוברת על חרם ושבועה</w:t>
      </w:r>
      <w:r w:rsidR="00D1334C">
        <w:rPr>
          <w:rFonts w:cs="Arial" w:hint="cs"/>
          <w:rtl/>
        </w:rPr>
        <w:t>,</w:t>
      </w:r>
      <w:r w:rsidRPr="00150DB4">
        <w:rPr>
          <w:rFonts w:cs="Arial"/>
          <w:rtl/>
        </w:rPr>
        <w:t xml:space="preserve"> עוברת על דת משה היא</w:t>
      </w:r>
      <w:r w:rsidR="00D1334C">
        <w:rPr>
          <w:rFonts w:cs="Arial" w:hint="cs"/>
          <w:rtl/>
        </w:rPr>
        <w:t>,</w:t>
      </w:r>
      <w:r w:rsidRPr="00150DB4">
        <w:rPr>
          <w:rFonts w:cs="Arial"/>
          <w:rtl/>
        </w:rPr>
        <w:t xml:space="preserve"> דהויא לה נודרת ואינה מקיימת</w:t>
      </w:r>
      <w:r>
        <w:rPr>
          <w:rFonts w:cs="Arial" w:hint="cs"/>
          <w:rtl/>
        </w:rPr>
        <w:t>.</w:t>
      </w:r>
      <w:r w:rsidRPr="00150DB4">
        <w:rPr>
          <w:rFonts w:cs="Arial"/>
          <w:rtl/>
        </w:rPr>
        <w:t xml:space="preserve"> ויכול לגרשה בלא הסכמת הקהלות</w:t>
      </w:r>
      <w:r>
        <w:rPr>
          <w:rFonts w:cs="Arial" w:hint="cs"/>
          <w:rtl/>
        </w:rPr>
        <w:t>.</w:t>
      </w:r>
      <w:r w:rsidRPr="00150DB4">
        <w:rPr>
          <w:rFonts w:cs="Arial"/>
          <w:rtl/>
        </w:rPr>
        <w:t xml:space="preserve"> ואע</w:t>
      </w:r>
      <w:r>
        <w:rPr>
          <w:rFonts w:cs="Arial" w:hint="cs"/>
          <w:rtl/>
        </w:rPr>
        <w:t>"</w:t>
      </w:r>
      <w:r w:rsidRPr="00150DB4">
        <w:rPr>
          <w:rFonts w:cs="Arial"/>
          <w:rtl/>
        </w:rPr>
        <w:t>ג דקא מיבעיא לן פרק ארוסה בעוברת על דת משה אם יכול לקיימה אם לאו</w:t>
      </w:r>
      <w:r>
        <w:rPr>
          <w:rFonts w:cs="Arial" w:hint="cs"/>
          <w:rtl/>
        </w:rPr>
        <w:t>,</w:t>
      </w:r>
      <w:r w:rsidRPr="00150DB4">
        <w:rPr>
          <w:rFonts w:cs="Arial"/>
          <w:rtl/>
        </w:rPr>
        <w:t xml:space="preserve"> מ"מ פשיטא שמצוה לגרשה ולהוציאה כיון שעוברת על דת</w:t>
      </w:r>
      <w:r>
        <w:rPr>
          <w:rFonts w:cs="Arial" w:hint="cs"/>
          <w:rtl/>
        </w:rPr>
        <w:t xml:space="preserve">. </w:t>
      </w:r>
      <w:r w:rsidRPr="00E0450D">
        <w:rPr>
          <w:rFonts w:hint="cs"/>
          <w:color w:val="00B0F0"/>
          <w:rtl/>
        </w:rPr>
        <w:t>(וכ"פ הרמ"א)</w:t>
      </w:r>
    </w:p>
    <w:p w14:paraId="4EC81ADA" w14:textId="77777777" w:rsidR="00392DBB" w:rsidRPr="00A86C98" w:rsidRDefault="00392DBB" w:rsidP="00392DBB">
      <w:pPr>
        <w:rPr>
          <w:u w:val="single"/>
        </w:rPr>
      </w:pPr>
      <w:r w:rsidRPr="00A86C98">
        <w:rPr>
          <w:rFonts w:hint="cs"/>
          <w:u w:val="single"/>
          <w:rtl/>
        </w:rPr>
        <w:t>אשה שאינה ראויה ללדת, ונודרת ואינה מקיימת. וכן הוצאת בלא כתובה מחמת נדרים במקום שפרוצים בנדרים:</w:t>
      </w:r>
    </w:p>
    <w:p w14:paraId="6DBAEEDD" w14:textId="090660FA" w:rsidR="00392DBB" w:rsidRPr="001D1B32" w:rsidRDefault="00392DBB" w:rsidP="009000E3">
      <w:pPr>
        <w:pStyle w:val="ab"/>
        <w:numPr>
          <w:ilvl w:val="0"/>
          <w:numId w:val="72"/>
        </w:numPr>
      </w:pPr>
      <w:r w:rsidRPr="00D74B3E">
        <w:rPr>
          <w:rFonts w:cs="Arial" w:hint="cs"/>
          <w:rtl/>
        </w:rPr>
        <w:t>תרוה"ד</w:t>
      </w:r>
      <w:r w:rsidRPr="00D74B3E">
        <w:rPr>
          <w:rFonts w:cs="Arial"/>
          <w:rtl/>
        </w:rPr>
        <w:t xml:space="preserve"> </w:t>
      </w:r>
      <w:r w:rsidRPr="00D74B3E">
        <w:rPr>
          <w:rFonts w:cs="Arial" w:hint="cs"/>
          <w:sz w:val="16"/>
          <w:szCs w:val="16"/>
          <w:rtl/>
        </w:rPr>
        <w:t>(פסקים ו</w:t>
      </w:r>
      <w:r w:rsidRPr="00D74B3E">
        <w:rPr>
          <w:rFonts w:cs="Arial"/>
          <w:sz w:val="16"/>
          <w:szCs w:val="16"/>
          <w:rtl/>
        </w:rPr>
        <w:t>כתבי</w:t>
      </w:r>
      <w:r w:rsidRPr="00D74B3E">
        <w:rPr>
          <w:rFonts w:cs="Arial" w:hint="cs"/>
          <w:sz w:val="16"/>
          <w:szCs w:val="16"/>
          <w:rtl/>
        </w:rPr>
        <w:t>ם</w:t>
      </w:r>
      <w:r w:rsidRPr="00D74B3E">
        <w:rPr>
          <w:rFonts w:cs="Arial"/>
          <w:sz w:val="16"/>
          <w:szCs w:val="16"/>
          <w:rtl/>
        </w:rPr>
        <w:t xml:space="preserve"> סי</w:t>
      </w:r>
      <w:r w:rsidRPr="00D74B3E">
        <w:rPr>
          <w:rFonts w:cs="Arial" w:hint="cs"/>
          <w:sz w:val="16"/>
          <w:szCs w:val="16"/>
          <w:rtl/>
        </w:rPr>
        <w:t>'</w:t>
      </w:r>
      <w:r w:rsidRPr="00D74B3E">
        <w:rPr>
          <w:rFonts w:cs="Arial"/>
          <w:sz w:val="16"/>
          <w:szCs w:val="16"/>
          <w:rtl/>
        </w:rPr>
        <w:t xml:space="preserve"> סח</w:t>
      </w:r>
      <w:r w:rsidRPr="00D74B3E">
        <w:rPr>
          <w:rFonts w:cs="Arial" w:hint="cs"/>
          <w:sz w:val="16"/>
          <w:szCs w:val="16"/>
          <w:rtl/>
        </w:rPr>
        <w:t>)</w:t>
      </w:r>
      <w:r w:rsidRPr="00D74B3E">
        <w:rPr>
          <w:rFonts w:cs="Arial" w:hint="cs"/>
          <w:rtl/>
        </w:rPr>
        <w:t>-</w:t>
      </w:r>
      <w:r w:rsidRPr="00D74B3E">
        <w:rPr>
          <w:rFonts w:cs="Arial"/>
          <w:rtl/>
        </w:rPr>
        <w:t xml:space="preserve"> אשר שאלתני על אשה שיושבת תחת בעלה ואינה בת בנים</w:t>
      </w:r>
      <w:r>
        <w:rPr>
          <w:rFonts w:cs="Arial" w:hint="cs"/>
          <w:rtl/>
        </w:rPr>
        <w:t>,</w:t>
      </w:r>
      <w:r w:rsidRPr="00D74B3E">
        <w:rPr>
          <w:rFonts w:cs="Arial"/>
          <w:rtl/>
        </w:rPr>
        <w:t xml:space="preserve"> ונודרת ואינה מקיימת. ובעלה רוצה לגרשה בלא כתובה, דהיא מן היוצאים בלא כתובה, ומשמע מדברי מהר"ם דגם בזמנינו נוהג דין זה. אלא שהיא טוענת דהואיל ואינה בת בנים לא הפסידה כתובתה, דנודרת משום כלוי בנים</w:t>
      </w:r>
      <w:r>
        <w:rPr>
          <w:rFonts w:cs="Arial" w:hint="cs"/>
          <w:rtl/>
        </w:rPr>
        <w:t>,</w:t>
      </w:r>
      <w:r w:rsidRPr="00D74B3E">
        <w:rPr>
          <w:rFonts w:cs="Arial"/>
          <w:rtl/>
        </w:rPr>
        <w:t xml:space="preserve"> והרי היא אינה בת בנים.</w:t>
      </w:r>
      <w:r>
        <w:rPr>
          <w:rFonts w:cs="Arial" w:hint="cs"/>
          <w:rtl/>
        </w:rPr>
        <w:t>.</w:t>
      </w:r>
      <w:r w:rsidRPr="00D74B3E">
        <w:rPr>
          <w:rFonts w:cs="Arial"/>
          <w:rtl/>
        </w:rPr>
        <w:t>. לכאורה בצד הראשון יפה חלקת דהכי דייק מהר"ם במרדכי אהיכא דעובר הוא על החרם. אמנם נראה דיש לחלק ואיכא למימר דהיכא דאינה בת בנים מצי טעין אלו לא פשעת ונדרת ולא קיימת הוי מתרחיש לי ניסא כמו שנעשה לאמנו שרה ע"ה. והכי אשכחן ממש בתלמודא דהיכא דמצי למימר ליה דהוה לך למעבד מאי דמחייבת ולדידי הוי מתרחיש ניסא מצי טעין</w:t>
      </w:r>
      <w:r w:rsidR="00F302E9">
        <w:rPr>
          <w:rFonts w:cs="Arial" w:hint="cs"/>
          <w:rtl/>
        </w:rPr>
        <w:t>,</w:t>
      </w:r>
      <w:r w:rsidRPr="00D74B3E">
        <w:rPr>
          <w:rFonts w:cs="Arial"/>
          <w:rtl/>
        </w:rPr>
        <w:t xml:space="preserve"> כדאמרינן פ' המקבל </w:t>
      </w:r>
      <w:r>
        <w:rPr>
          <w:rFonts w:cs="Arial" w:hint="cs"/>
          <w:rtl/>
        </w:rPr>
        <w:t>(</w:t>
      </w:r>
      <w:r w:rsidRPr="00D74B3E">
        <w:rPr>
          <w:rFonts w:cs="Arial"/>
          <w:rtl/>
        </w:rPr>
        <w:t>ב"מ קו:</w:t>
      </w:r>
      <w:r>
        <w:rPr>
          <w:rFonts w:cs="Arial" w:hint="cs"/>
          <w:rtl/>
        </w:rPr>
        <w:t>)</w:t>
      </w:r>
      <w:r w:rsidRPr="00D74B3E">
        <w:rPr>
          <w:rFonts w:cs="Arial"/>
          <w:rtl/>
        </w:rPr>
        <w:t xml:space="preserve"> אהא דקאמר שמואל</w:t>
      </w:r>
      <w:r>
        <w:rPr>
          <w:rFonts w:cs="Arial" w:hint="cs"/>
          <w:rtl/>
        </w:rPr>
        <w:t>..</w:t>
      </w:r>
      <w:r w:rsidRPr="00D74B3E">
        <w:rPr>
          <w:rFonts w:cs="Arial"/>
          <w:rtl/>
        </w:rPr>
        <w:t>. אלמא דמצי למימר הוה מתרחיש לי ניסא, הכי נמי מצי טעין הוה מתקיים בי היפלא מה' דבר וגו'. אמנם לא ברירא לי לחלק מש"ה</w:t>
      </w:r>
      <w:r>
        <w:rPr>
          <w:rFonts w:cs="Arial" w:hint="cs"/>
          <w:rtl/>
        </w:rPr>
        <w:t>.</w:t>
      </w:r>
      <w:r w:rsidRPr="00D74B3E">
        <w:rPr>
          <w:rFonts w:cs="Arial"/>
          <w:rtl/>
        </w:rPr>
        <w:t xml:space="preserve"> אלא דהאידנא בלאו הכי אנשים ונשים פרוצים בנדרים צריך דקדוק היטב להוציא אשה בלא כתובה משום נדרים</w:t>
      </w:r>
      <w:r>
        <w:rPr>
          <w:rFonts w:cs="Arial" w:hint="cs"/>
          <w:rtl/>
        </w:rPr>
        <w:t>..</w:t>
      </w:r>
      <w:r w:rsidRPr="00D74B3E">
        <w:rPr>
          <w:rFonts w:cs="Arial" w:hint="cs"/>
          <w:rtl/>
        </w:rPr>
        <w:t>.</w:t>
      </w:r>
      <w:r>
        <w:rPr>
          <w:rFonts w:hint="cs"/>
          <w:rtl/>
        </w:rPr>
        <w:t xml:space="preserve"> (וכ"פ ח"מ </w:t>
      </w:r>
      <w:r>
        <w:rPr>
          <w:rFonts w:hint="cs"/>
          <w:sz w:val="16"/>
          <w:szCs w:val="16"/>
          <w:rtl/>
        </w:rPr>
        <w:t xml:space="preserve">[סק"ו] </w:t>
      </w:r>
      <w:r>
        <w:rPr>
          <w:rFonts w:hint="cs"/>
          <w:rtl/>
        </w:rPr>
        <w:t>וב"ש</w:t>
      </w:r>
      <w:r>
        <w:rPr>
          <w:rStyle w:val="a7"/>
          <w:rtl/>
        </w:rPr>
        <w:footnoteReference w:id="2806"/>
      </w:r>
      <w:r>
        <w:rPr>
          <w:rFonts w:hint="cs"/>
          <w:sz w:val="16"/>
          <w:szCs w:val="16"/>
          <w:rtl/>
        </w:rPr>
        <w:t xml:space="preserve"> [סק"ז]</w:t>
      </w:r>
      <w:r>
        <w:rPr>
          <w:rFonts w:hint="cs"/>
          <w:rtl/>
        </w:rPr>
        <w:t>)</w:t>
      </w:r>
    </w:p>
    <w:p w14:paraId="376A940A" w14:textId="0EA0B3E5" w:rsidR="00392DBB" w:rsidRPr="001D1B32" w:rsidRDefault="00392DBB" w:rsidP="00392DBB">
      <w:pPr>
        <w:rPr>
          <w:rFonts w:cs="Arial"/>
          <w:u w:val="single"/>
          <w:rtl/>
        </w:rPr>
      </w:pPr>
      <w:r w:rsidRPr="001D1B32">
        <w:rPr>
          <w:rFonts w:cs="Arial" w:hint="cs"/>
          <w:u w:val="single"/>
          <w:rtl/>
        </w:rPr>
        <w:lastRenderedPageBreak/>
        <w:t xml:space="preserve">אשה שהמירה דתה מאונס, ומיד כשיכלה חזרה בה </w:t>
      </w:r>
      <w:r w:rsidR="00F97626">
        <w:rPr>
          <w:rFonts w:cs="Arial"/>
          <w:u w:val="single"/>
          <w:rtl/>
        </w:rPr>
        <w:t>-</w:t>
      </w:r>
      <w:r w:rsidRPr="001D1B32">
        <w:rPr>
          <w:rFonts w:cs="Arial" w:hint="cs"/>
          <w:u w:val="single"/>
          <w:rtl/>
        </w:rPr>
        <w:t xml:space="preserve"> האם יש לה כתובה:</w:t>
      </w:r>
    </w:p>
    <w:p w14:paraId="0EBE11F0" w14:textId="0FC3DB66" w:rsidR="00392DBB" w:rsidRPr="001D1B32" w:rsidRDefault="00392DBB" w:rsidP="009000E3">
      <w:pPr>
        <w:pStyle w:val="ab"/>
        <w:numPr>
          <w:ilvl w:val="0"/>
          <w:numId w:val="72"/>
        </w:numPr>
        <w:rPr>
          <w:rFonts w:cs="Arial"/>
          <w:rtl/>
        </w:rPr>
      </w:pPr>
      <w:r w:rsidRPr="001D1B32">
        <w:rPr>
          <w:rFonts w:cs="Arial"/>
          <w:rtl/>
        </w:rPr>
        <w:t xml:space="preserve">רא"ש </w:t>
      </w:r>
      <w:r w:rsidRPr="001D1B32">
        <w:rPr>
          <w:rFonts w:cs="Arial" w:hint="cs"/>
          <w:sz w:val="16"/>
          <w:szCs w:val="16"/>
          <w:rtl/>
        </w:rPr>
        <w:t>(</w:t>
      </w:r>
      <w:r w:rsidRPr="001D1B32">
        <w:rPr>
          <w:rFonts w:cs="Arial"/>
          <w:sz w:val="16"/>
          <w:szCs w:val="16"/>
          <w:rtl/>
        </w:rPr>
        <w:t xml:space="preserve">כלל </w:t>
      </w:r>
      <w:r w:rsidRPr="001D1B32">
        <w:rPr>
          <w:rFonts w:cs="Arial" w:hint="cs"/>
          <w:sz w:val="16"/>
          <w:szCs w:val="16"/>
          <w:rtl/>
        </w:rPr>
        <w:t xml:space="preserve">לב </w:t>
      </w:r>
      <w:r w:rsidRPr="001D1B32">
        <w:rPr>
          <w:rFonts w:cs="Arial"/>
          <w:sz w:val="16"/>
          <w:szCs w:val="16"/>
          <w:rtl/>
        </w:rPr>
        <w:t>סי</w:t>
      </w:r>
      <w:r w:rsidRPr="001D1B32">
        <w:rPr>
          <w:rFonts w:cs="Arial" w:hint="cs"/>
          <w:sz w:val="16"/>
          <w:szCs w:val="16"/>
          <w:rtl/>
        </w:rPr>
        <w:t>'</w:t>
      </w:r>
      <w:r w:rsidRPr="001D1B32">
        <w:rPr>
          <w:rFonts w:cs="Arial"/>
          <w:sz w:val="16"/>
          <w:szCs w:val="16"/>
          <w:rtl/>
        </w:rPr>
        <w:t xml:space="preserve"> </w:t>
      </w:r>
      <w:r w:rsidRPr="001D1B32">
        <w:rPr>
          <w:rFonts w:cs="Arial" w:hint="cs"/>
          <w:sz w:val="16"/>
          <w:szCs w:val="16"/>
          <w:rtl/>
        </w:rPr>
        <w:t>ח)</w:t>
      </w:r>
      <w:r w:rsidRPr="001D1B32">
        <w:rPr>
          <w:rFonts w:cs="Arial" w:hint="cs"/>
          <w:rtl/>
        </w:rPr>
        <w:t xml:space="preserve">- </w:t>
      </w:r>
      <w:r w:rsidRPr="001D1B32">
        <w:rPr>
          <w:rFonts w:cs="Arial"/>
          <w:rtl/>
        </w:rPr>
        <w:t>על אודות הנשים אשר לא היה להם כח לעמוד בהיכל המלך ובעת הגזרה החליפו מפני אימת מות, וכאשר מצאו נס ונמלטו חזרו לדתן. אמת הדבר כי מאד הרעו לעשות וצריכות חרטה ותשובה וקבלת יסורין יותר מהמחליפין שלא בשעת הגזרה כי פרהסיא הוא</w:t>
      </w:r>
      <w:r w:rsidRPr="001D1B32">
        <w:rPr>
          <w:rFonts w:cs="Arial" w:hint="cs"/>
          <w:rtl/>
        </w:rPr>
        <w:t>...</w:t>
      </w:r>
      <w:r w:rsidRPr="001D1B32">
        <w:rPr>
          <w:rFonts w:cs="Arial"/>
          <w:rtl/>
        </w:rPr>
        <w:t xml:space="preserve"> ונראה לי שמותרות לבעליהן, אע</w:t>
      </w:r>
      <w:r w:rsidR="00CC6B41">
        <w:rPr>
          <w:rFonts w:cs="Arial" w:hint="cs"/>
          <w:rtl/>
        </w:rPr>
        <w:t>"</w:t>
      </w:r>
      <w:r w:rsidRPr="001D1B32">
        <w:rPr>
          <w:rFonts w:cs="Arial"/>
          <w:rtl/>
        </w:rPr>
        <w:t>ג דתנן בפ"ב דכתובות (כו:) האשה שנחבשה בידי כותים על ידי ממון מותרת לבעלה על ידי נפשות אסורה לבעלה, ופי' ר</w:t>
      </w:r>
      <w:r w:rsidR="00CC6B41">
        <w:rPr>
          <w:rFonts w:cs="Arial" w:hint="cs"/>
          <w:rtl/>
        </w:rPr>
        <w:t>"</w:t>
      </w:r>
      <w:r w:rsidRPr="001D1B32">
        <w:rPr>
          <w:rFonts w:cs="Arial"/>
          <w:rtl/>
        </w:rPr>
        <w:t>ת אסורה לבעלה אפילו לישראל דחיישינן שמא נתרצית להבעל כדי למצוא חן בעיניהם שלא יהרגוה. הא ליכא למיחש, שהרי בשעת הגזרה קודם שחזרה לדתם אף אם היתה מתרצית ליבעל לא היתה ניצולת בכך, ואחרי שהוחלפה הדבר ידוע שיש לה שלום יותר משאם היתה כותית ואף לאנסה אינן רשאין, הילכך ליכא למיחש שמא נתרצית. ואין לומר אחרי שהוחלפה ואוכלת ושותה עמהם ג"כ הפקירה עצמה להם, כי הדבר ידוע שלבם לשמים אלא שמאימת מות החליפו.</w:t>
      </w:r>
      <w:r w:rsidRPr="001D1B32">
        <w:rPr>
          <w:rFonts w:cs="Arial" w:hint="cs"/>
          <w:rtl/>
        </w:rPr>
        <w:t xml:space="preserve">.. </w:t>
      </w:r>
      <w:r w:rsidRPr="001D1B32">
        <w:rPr>
          <w:rFonts w:cs="Arial"/>
          <w:rtl/>
        </w:rPr>
        <w:t>הנה הדבר ידוע ונראה שמיד שמוצאות מקום לימלט אינם מתאחרות אפי' רגע אחד. ואע</w:t>
      </w:r>
      <w:r w:rsidR="00CC6B41">
        <w:rPr>
          <w:rFonts w:cs="Arial" w:hint="cs"/>
          <w:rtl/>
        </w:rPr>
        <w:t>"</w:t>
      </w:r>
      <w:r w:rsidRPr="001D1B32">
        <w:rPr>
          <w:rFonts w:cs="Arial"/>
          <w:rtl/>
        </w:rPr>
        <w:t>פ שנתיחדו זמן גדול בין הכותים קיי"ל שאין אוסרין על היחוד, הילכך נראה לי שמותרות לבעליהן. ויש רוצין לומר שיש להן דין עוברת על דת להפסיד כתובתה, ואמת הדבר כי עוברת על דת, ואע</w:t>
      </w:r>
      <w:r w:rsidR="00CC6B41">
        <w:rPr>
          <w:rFonts w:cs="Arial" w:hint="cs"/>
          <w:rtl/>
        </w:rPr>
        <w:t>"</w:t>
      </w:r>
      <w:r w:rsidRPr="001D1B32">
        <w:rPr>
          <w:rFonts w:cs="Arial"/>
          <w:rtl/>
        </w:rPr>
        <w:t>ג דמאהבה ומיראה פטור ממיתה מכל מקום חייב אדם למסור נפשו על קידוש השם.</w:t>
      </w:r>
      <w:r w:rsidRPr="001D1B32">
        <w:rPr>
          <w:rFonts w:cs="Arial" w:hint="cs"/>
          <w:rtl/>
        </w:rPr>
        <w:t xml:space="preserve">.. </w:t>
      </w:r>
      <w:r w:rsidRPr="001D1B32">
        <w:rPr>
          <w:rFonts w:cs="Arial"/>
          <w:rtl/>
        </w:rPr>
        <w:t>מ"מ נראה לי דלא הפסידה כתובתה, דלא מיקריא עוברת על דת משה אלא בדברים שמכשלת בהם הבעל כדברים המפורשים במשנה (כתובות עב</w:t>
      </w:r>
      <w:r w:rsidR="00CA555A">
        <w:rPr>
          <w:rFonts w:cs="Arial" w:hint="cs"/>
          <w:rtl/>
        </w:rPr>
        <w:t>.</w:t>
      </w:r>
      <w:r w:rsidRPr="001D1B32">
        <w:rPr>
          <w:rFonts w:cs="Arial"/>
          <w:rtl/>
        </w:rPr>
        <w:t>) מאכילתו שאינו מעושר ולא קוצה לו חלה ונודרת ואינה מקיימת ומשמשתו נדה.</w:t>
      </w:r>
      <w:r w:rsidRPr="001D1B32">
        <w:rPr>
          <w:rFonts w:cs="Arial" w:hint="cs"/>
          <w:rtl/>
        </w:rPr>
        <w:t>.</w:t>
      </w:r>
      <w:r w:rsidRPr="001D1B32">
        <w:rPr>
          <w:rFonts w:cs="Arial"/>
          <w:rtl/>
        </w:rPr>
        <w:t xml:space="preserve">. דוקא דת משה ויהודית דקתני במתני' אבל אכלה חלב נבלה </w:t>
      </w:r>
      <w:r w:rsidRPr="001D1B32">
        <w:rPr>
          <w:rFonts w:cs="Arial" w:hint="cs"/>
          <w:rtl/>
        </w:rPr>
        <w:t>ו</w:t>
      </w:r>
      <w:r w:rsidRPr="001D1B32">
        <w:rPr>
          <w:rFonts w:cs="Arial"/>
          <w:rtl/>
        </w:rPr>
        <w:t>דם אפי' למ"ד מומר לדבר אחד הוי מומר לכל התורה כולה אינה חשודה על אלו שאימת בעלה עליה</w:t>
      </w:r>
      <w:r w:rsidR="00BC703B">
        <w:rPr>
          <w:rFonts w:cs="Arial" w:hint="cs"/>
          <w:rtl/>
        </w:rPr>
        <w:t>,</w:t>
      </w:r>
      <w:r w:rsidRPr="001D1B32">
        <w:rPr>
          <w:rFonts w:cs="Arial"/>
          <w:rtl/>
        </w:rPr>
        <w:t xml:space="preserve"> כדאמרינן גבי עבד אימת רבו עליו</w:t>
      </w:r>
      <w:r w:rsidR="00BC703B">
        <w:rPr>
          <w:rFonts w:cs="Arial" w:hint="cs"/>
          <w:rtl/>
        </w:rPr>
        <w:t>,</w:t>
      </w:r>
      <w:r w:rsidRPr="001D1B32">
        <w:rPr>
          <w:rFonts w:cs="Arial"/>
          <w:rtl/>
        </w:rPr>
        <w:t xml:space="preserve"> ולא מגרש לה אלא בכתובתה. אמנם יש לדקדק שמא גם בדבר זה תקלה לבעלה שמא לבנים אשר תלד</w:t>
      </w:r>
      <w:r w:rsidRPr="001D1B32">
        <w:rPr>
          <w:rFonts w:cs="Arial" w:hint="cs"/>
          <w:rtl/>
        </w:rPr>
        <w:t>.</w:t>
      </w:r>
      <w:r w:rsidRPr="001D1B32">
        <w:rPr>
          <w:rFonts w:cs="Arial"/>
          <w:rtl/>
        </w:rPr>
        <w:t xml:space="preserve"> וגם שמא לא יהיה רשאי להיות עמה במקום שיפדוה שיכירוה. מיהו נראה לי שלא הפסידה כתובתה, דמסקינן בסוטה פרק ארוסה (כה</w:t>
      </w:r>
      <w:r w:rsidR="00CA555A">
        <w:rPr>
          <w:rFonts w:cs="Arial" w:hint="cs"/>
          <w:rtl/>
        </w:rPr>
        <w:t>.</w:t>
      </w:r>
      <w:r w:rsidRPr="001D1B32">
        <w:rPr>
          <w:rFonts w:cs="Arial"/>
          <w:rtl/>
        </w:rPr>
        <w:t>) דעוברת על דת צריכה התראה להפסידה כתובתה. אלמא היכא דעברה על דת כמה פעמים ולא התרו בה אם תעבור על דת תפסידי כתובתך לא הפסידה</w:t>
      </w:r>
      <w:r>
        <w:rPr>
          <w:rStyle w:val="a7"/>
          <w:rFonts w:cs="Arial"/>
          <w:rtl/>
        </w:rPr>
        <w:footnoteReference w:id="2807"/>
      </w:r>
      <w:r w:rsidRPr="001D1B32">
        <w:rPr>
          <w:rFonts w:cs="Arial"/>
          <w:rtl/>
        </w:rPr>
        <w:t xml:space="preserve">. </w:t>
      </w:r>
      <w:r w:rsidRPr="00E0450D">
        <w:rPr>
          <w:rFonts w:hint="cs"/>
          <w:color w:val="00B0F0"/>
          <w:rtl/>
        </w:rPr>
        <w:t xml:space="preserve"> (וכ"פ הרמ"א)</w:t>
      </w:r>
    </w:p>
    <w:p w14:paraId="2CC2D08C"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8C752B7" w14:textId="20BBB5D9" w:rsidR="00392DBB" w:rsidRDefault="00392DBB" w:rsidP="00392DBB">
      <w:pPr>
        <w:rPr>
          <w:rtl/>
        </w:rPr>
      </w:pPr>
      <w:r>
        <w:rPr>
          <w:rFonts w:cs="Arial"/>
          <w:rtl/>
        </w:rPr>
        <w:t xml:space="preserve">הנודרת ואינה מקיימת, תצא בלא כתובה. </w:t>
      </w:r>
      <w:r w:rsidRPr="00C41C8D">
        <w:rPr>
          <w:rFonts w:cs="Arial"/>
          <w:sz w:val="18"/>
          <w:szCs w:val="18"/>
          <w:rtl/>
        </w:rPr>
        <w:t>הגה: וכן אם עברה על השבועה או על החרם (</w:t>
      </w:r>
      <w:r>
        <w:rPr>
          <w:rFonts w:cs="Arial" w:hint="cs"/>
          <w:sz w:val="18"/>
          <w:szCs w:val="18"/>
          <w:rtl/>
        </w:rPr>
        <w:t>מרדכי ו</w:t>
      </w:r>
      <w:r w:rsidRPr="00C41C8D">
        <w:rPr>
          <w:rFonts w:cs="Arial"/>
          <w:sz w:val="18"/>
          <w:szCs w:val="18"/>
          <w:rtl/>
        </w:rPr>
        <w:t>הג</w:t>
      </w:r>
      <w:r>
        <w:rPr>
          <w:rFonts w:cs="Arial" w:hint="cs"/>
          <w:sz w:val="18"/>
          <w:szCs w:val="18"/>
          <w:rtl/>
        </w:rPr>
        <w:t>ה"</w:t>
      </w:r>
      <w:r w:rsidRPr="00C41C8D">
        <w:rPr>
          <w:rFonts w:cs="Arial"/>
          <w:sz w:val="18"/>
          <w:szCs w:val="18"/>
          <w:rtl/>
        </w:rPr>
        <w:t>מ</w:t>
      </w:r>
      <w:r>
        <w:rPr>
          <w:rFonts w:cs="Arial" w:hint="cs"/>
          <w:sz w:val="18"/>
          <w:szCs w:val="18"/>
          <w:rtl/>
        </w:rPr>
        <w:t xml:space="preserve"> בשם מהר"ם</w:t>
      </w:r>
      <w:r w:rsidRPr="00C41C8D">
        <w:rPr>
          <w:rFonts w:cs="Arial"/>
          <w:sz w:val="18"/>
          <w:szCs w:val="18"/>
          <w:rtl/>
        </w:rPr>
        <w:t>). אבל אם היא מביאה עדים שגם הוא עובר על נדרים ושבועה וחרם, לא אבדה כתובתה אף אם היא עוברת</w:t>
      </w:r>
      <w:r>
        <w:rPr>
          <w:rStyle w:val="a7"/>
          <w:rFonts w:cs="Arial"/>
          <w:sz w:val="18"/>
          <w:szCs w:val="18"/>
          <w:rtl/>
        </w:rPr>
        <w:footnoteReference w:id="2808"/>
      </w:r>
      <w:r w:rsidRPr="00C41C8D">
        <w:rPr>
          <w:rFonts w:cs="Arial"/>
          <w:sz w:val="18"/>
          <w:szCs w:val="18"/>
          <w:rtl/>
        </w:rPr>
        <w:t xml:space="preserve"> (</w:t>
      </w:r>
      <w:r>
        <w:rPr>
          <w:rFonts w:cs="Arial" w:hint="cs"/>
          <w:sz w:val="18"/>
          <w:szCs w:val="18"/>
          <w:rtl/>
        </w:rPr>
        <w:t>מהר"ם</w:t>
      </w:r>
      <w:r w:rsidRPr="00C41C8D">
        <w:rPr>
          <w:rFonts w:cs="Arial"/>
          <w:sz w:val="18"/>
          <w:szCs w:val="18"/>
          <w:rtl/>
        </w:rPr>
        <w:t>). אשה שהמירה דתה</w:t>
      </w:r>
      <w:r>
        <w:rPr>
          <w:rStyle w:val="a7"/>
          <w:rFonts w:cs="Arial"/>
          <w:sz w:val="18"/>
          <w:szCs w:val="18"/>
          <w:rtl/>
        </w:rPr>
        <w:footnoteReference w:id="2809"/>
      </w:r>
      <w:r w:rsidRPr="00C41C8D">
        <w:rPr>
          <w:rFonts w:cs="Arial"/>
          <w:sz w:val="18"/>
          <w:szCs w:val="18"/>
          <w:rtl/>
        </w:rPr>
        <w:t xml:space="preserve"> וחזרה בה, אינה אלא כעוברת על דת, ולא הפסידה כתובתה אלא אחר התראה (רא"ש). </w:t>
      </w:r>
    </w:p>
    <w:p w14:paraId="21BD17BD" w14:textId="77777777" w:rsidR="00392DBB" w:rsidRPr="00861032" w:rsidRDefault="00392DBB" w:rsidP="00392DBB">
      <w:pPr>
        <w:rPr>
          <w:u w:val="single"/>
          <w:rtl/>
        </w:rPr>
      </w:pPr>
      <w:r w:rsidRPr="00861032">
        <w:rPr>
          <w:rFonts w:hint="cs"/>
          <w:u w:val="single"/>
          <w:rtl/>
        </w:rPr>
        <w:t xml:space="preserve">אשה שנשבעה </w:t>
      </w:r>
      <w:r>
        <w:rPr>
          <w:rFonts w:hint="cs"/>
          <w:u w:val="single"/>
          <w:rtl/>
        </w:rPr>
        <w:t>לא לעשות דבר מסויים</w:t>
      </w:r>
      <w:r w:rsidRPr="00CA7843">
        <w:rPr>
          <w:rFonts w:hint="cs"/>
          <w:sz w:val="16"/>
          <w:szCs w:val="16"/>
          <w:u w:val="single"/>
          <w:rtl/>
        </w:rPr>
        <w:t xml:space="preserve"> (לאו דוקא עברה)</w:t>
      </w:r>
      <w:r>
        <w:rPr>
          <w:rFonts w:hint="cs"/>
          <w:u w:val="single"/>
          <w:rtl/>
        </w:rPr>
        <w:t xml:space="preserve"> ושאם תעשה </w:t>
      </w:r>
      <w:r w:rsidRPr="00861032">
        <w:rPr>
          <w:rFonts w:hint="cs"/>
          <w:u w:val="single"/>
          <w:rtl/>
        </w:rPr>
        <w:t>תהא מחוייבת לקבל גט</w:t>
      </w:r>
      <w:r>
        <w:rPr>
          <w:rFonts w:hint="cs"/>
          <w:u w:val="single"/>
          <w:rtl/>
        </w:rPr>
        <w:t xml:space="preserve"> בעל כרחה</w:t>
      </w:r>
      <w:r w:rsidRPr="00861032">
        <w:rPr>
          <w:rFonts w:hint="cs"/>
          <w:u w:val="single"/>
          <w:rtl/>
        </w:rPr>
        <w:t>:</w:t>
      </w:r>
    </w:p>
    <w:p w14:paraId="6E447EA8" w14:textId="77777777" w:rsidR="00392DBB" w:rsidRDefault="00392DBB" w:rsidP="009000E3">
      <w:pPr>
        <w:pStyle w:val="ab"/>
        <w:numPr>
          <w:ilvl w:val="0"/>
          <w:numId w:val="72"/>
        </w:numPr>
        <w:rPr>
          <w:rtl/>
        </w:rPr>
      </w:pPr>
      <w:r w:rsidRPr="00CA7843">
        <w:rPr>
          <w:rFonts w:cs="Arial" w:hint="cs"/>
          <w:rtl/>
        </w:rPr>
        <w:t xml:space="preserve">ב"ש </w:t>
      </w:r>
      <w:r w:rsidRPr="00CA7843">
        <w:rPr>
          <w:rFonts w:cs="Arial" w:hint="cs"/>
          <w:sz w:val="16"/>
          <w:szCs w:val="16"/>
          <w:rtl/>
        </w:rPr>
        <w:t>(סק"ז)</w:t>
      </w:r>
      <w:r w:rsidRPr="00CA7843">
        <w:rPr>
          <w:rFonts w:cs="Arial" w:hint="cs"/>
          <w:rtl/>
        </w:rPr>
        <w:t xml:space="preserve">- </w:t>
      </w:r>
      <w:r w:rsidRPr="00CA7843">
        <w:rPr>
          <w:rFonts w:cs="Arial"/>
          <w:rtl/>
        </w:rPr>
        <w:t>אם תשבע היא על איזה דבר שעשתה שאם תעשה עוד מחויבת לקבל גט ממנו</w:t>
      </w:r>
      <w:r w:rsidRPr="00CA7843">
        <w:rPr>
          <w:rFonts w:cs="Arial" w:hint="cs"/>
          <w:rtl/>
        </w:rPr>
        <w:t>,</w:t>
      </w:r>
      <w:r w:rsidRPr="00CA7843">
        <w:rPr>
          <w:rFonts w:cs="Arial"/>
          <w:rtl/>
        </w:rPr>
        <w:t xml:space="preserve"> ועברה על השבועה </w:t>
      </w:r>
      <w:r w:rsidRPr="00CA7843">
        <w:rPr>
          <w:rFonts w:cs="Arial" w:hint="cs"/>
          <w:rtl/>
        </w:rPr>
        <w:t xml:space="preserve">- </w:t>
      </w:r>
      <w:r w:rsidRPr="00CA7843">
        <w:rPr>
          <w:rFonts w:cs="Arial"/>
          <w:rtl/>
        </w:rPr>
        <w:t xml:space="preserve">נראה </w:t>
      </w:r>
      <w:r w:rsidRPr="00CA7843">
        <w:rPr>
          <w:rFonts w:cs="Arial" w:hint="cs"/>
          <w:rtl/>
        </w:rPr>
        <w:t>ד</w:t>
      </w:r>
      <w:r w:rsidRPr="00CA7843">
        <w:rPr>
          <w:rFonts w:cs="Arial"/>
          <w:rtl/>
        </w:rPr>
        <w:t>השבועה חל</w:t>
      </w:r>
      <w:r w:rsidRPr="00CA7843">
        <w:rPr>
          <w:rFonts w:cs="Arial" w:hint="cs"/>
          <w:rtl/>
        </w:rPr>
        <w:t>ה.</w:t>
      </w:r>
      <w:r w:rsidRPr="00CA7843">
        <w:rPr>
          <w:rFonts w:cs="Arial"/>
          <w:rtl/>
        </w:rPr>
        <w:t xml:space="preserve"> דהא ח</w:t>
      </w:r>
      <w:r w:rsidRPr="00CA7843">
        <w:rPr>
          <w:rFonts w:cs="Arial" w:hint="cs"/>
          <w:rtl/>
        </w:rPr>
        <w:t xml:space="preserve">רם </w:t>
      </w:r>
      <w:r w:rsidRPr="00CA7843">
        <w:rPr>
          <w:rFonts w:cs="Arial"/>
          <w:rtl/>
        </w:rPr>
        <w:t>ר"ג היה לטובתה שאל יגרש אותה בע"כ</w:t>
      </w:r>
      <w:r w:rsidRPr="00CA7843">
        <w:rPr>
          <w:rFonts w:cs="Arial" w:hint="cs"/>
          <w:rtl/>
        </w:rPr>
        <w:t>,</w:t>
      </w:r>
      <w:r w:rsidRPr="00CA7843">
        <w:rPr>
          <w:rFonts w:cs="Arial"/>
          <w:rtl/>
        </w:rPr>
        <w:t xml:space="preserve"> והיא יכולה למחול</w:t>
      </w:r>
      <w:r w:rsidRPr="00CA7843">
        <w:rPr>
          <w:rFonts w:cs="Arial" w:hint="cs"/>
          <w:rtl/>
        </w:rPr>
        <w:t>,</w:t>
      </w:r>
      <w:r w:rsidRPr="00CA7843">
        <w:rPr>
          <w:rFonts w:cs="Arial"/>
          <w:rtl/>
        </w:rPr>
        <w:t xml:space="preserve"> מכ"ש בזה"ז די"ל כבר כל</w:t>
      </w:r>
      <w:r>
        <w:rPr>
          <w:rFonts w:cs="Arial" w:hint="cs"/>
          <w:rtl/>
        </w:rPr>
        <w:t>ה</w:t>
      </w:r>
      <w:r w:rsidRPr="00CA7843">
        <w:rPr>
          <w:rFonts w:cs="Arial"/>
          <w:rtl/>
        </w:rPr>
        <w:t xml:space="preserve"> זמן החרם, וא"כ דהשבועה היה חל עליה ועברה על השבועה נמצ</w:t>
      </w:r>
      <w:r w:rsidRPr="00CA7843">
        <w:rPr>
          <w:rFonts w:cs="Arial" w:hint="cs"/>
          <w:rtl/>
        </w:rPr>
        <w:t>את</w:t>
      </w:r>
      <w:r w:rsidRPr="00CA7843">
        <w:rPr>
          <w:rFonts w:cs="Arial"/>
          <w:rtl/>
        </w:rPr>
        <w:t xml:space="preserve"> דהיא עוברת על הדת ויכול לגרש אותה בע</w:t>
      </w:r>
      <w:r w:rsidRPr="00CA7843">
        <w:rPr>
          <w:rFonts w:cs="Arial" w:hint="cs"/>
          <w:rtl/>
        </w:rPr>
        <w:t>ל כרחה.</w:t>
      </w:r>
    </w:p>
    <w:p w14:paraId="54BBDA6E" w14:textId="77777777" w:rsidR="00392DBB" w:rsidRDefault="00392DBB" w:rsidP="00392DBB">
      <w:pPr>
        <w:rPr>
          <w:rtl/>
        </w:rPr>
      </w:pPr>
    </w:p>
    <w:p w14:paraId="45B7A147" w14:textId="77777777" w:rsidR="00392DBB" w:rsidRDefault="00392DBB" w:rsidP="000F64D0">
      <w:pPr>
        <w:pStyle w:val="2"/>
        <w:rPr>
          <w:rtl/>
        </w:rPr>
      </w:pPr>
      <w:r>
        <w:rPr>
          <w:rtl/>
        </w:rPr>
        <w:t>סעיף ד</w:t>
      </w:r>
      <w:r>
        <w:rPr>
          <w:rFonts w:hint="cs"/>
          <w:rtl/>
        </w:rPr>
        <w:t>: העוברת על דת יהודית.</w:t>
      </w:r>
    </w:p>
    <w:p w14:paraId="30B2E92D" w14:textId="6A21EB99" w:rsidR="00392DBB" w:rsidRDefault="00392DBB" w:rsidP="00392DBB">
      <w:pPr>
        <w:rPr>
          <w:rFonts w:cs="Arial"/>
          <w:rtl/>
        </w:rPr>
      </w:pPr>
      <w:r w:rsidRPr="00287A5F">
        <w:rPr>
          <w:rFonts w:hint="cs"/>
          <w:b/>
          <w:bCs/>
          <w:rtl/>
        </w:rPr>
        <w:t xml:space="preserve">כתובות </w:t>
      </w:r>
      <w:r w:rsidRPr="00287A5F">
        <w:rPr>
          <w:rFonts w:hint="cs"/>
          <w:b/>
          <w:bCs/>
          <w:sz w:val="16"/>
          <w:szCs w:val="16"/>
          <w:rtl/>
        </w:rPr>
        <w:t xml:space="preserve">(פ' המדיר) </w:t>
      </w:r>
      <w:r w:rsidRPr="00287A5F">
        <w:rPr>
          <w:rFonts w:hint="cs"/>
          <w:b/>
          <w:bCs/>
          <w:rtl/>
        </w:rPr>
        <w:t>עב</w:t>
      </w:r>
      <w:r w:rsidR="00C54F21" w:rsidRPr="0077331D">
        <w:rPr>
          <w:rStyle w:val="a7"/>
          <w:rFonts w:cs="Arial"/>
          <w:b/>
          <w:bCs/>
          <w:rtl/>
        </w:rPr>
        <w:footnoteReference w:id="2810"/>
      </w:r>
      <w:r w:rsidRPr="00287A5F">
        <w:rPr>
          <w:rFonts w:hint="cs"/>
          <w:b/>
          <w:bCs/>
          <w:rtl/>
        </w:rPr>
        <w:t xml:space="preserve"> ע"א:</w:t>
      </w:r>
      <w:r>
        <w:rPr>
          <w:rFonts w:hint="cs"/>
          <w:rtl/>
        </w:rPr>
        <w:t xml:space="preserve"> </w:t>
      </w:r>
      <w:r w:rsidRPr="00287A5F">
        <w:rPr>
          <w:rFonts w:cs="Arial"/>
          <w:u w:val="double"/>
          <w:rtl/>
        </w:rPr>
        <w:t>מתני'</w:t>
      </w:r>
      <w:r>
        <w:rPr>
          <w:rFonts w:cs="Arial" w:hint="cs"/>
          <w:rtl/>
        </w:rPr>
        <w:t>:</w:t>
      </w:r>
      <w:r w:rsidRPr="00287A5F">
        <w:rPr>
          <w:rFonts w:cs="Arial"/>
          <w:rtl/>
        </w:rPr>
        <w:t xml:space="preserve"> ואלו יוצאות שלא בכתובה: העוברת על דת משה ויהודית</w:t>
      </w:r>
      <w:r>
        <w:rPr>
          <w:rStyle w:val="a7"/>
          <w:rFonts w:cs="Arial"/>
          <w:rtl/>
        </w:rPr>
        <w:footnoteReference w:id="2811"/>
      </w:r>
      <w:r w:rsidRPr="00287A5F">
        <w:rPr>
          <w:rFonts w:cs="Arial"/>
          <w:rtl/>
        </w:rPr>
        <w:t>.</w:t>
      </w:r>
      <w:r>
        <w:rPr>
          <w:rFonts w:cs="Arial" w:hint="cs"/>
          <w:rtl/>
        </w:rPr>
        <w:t>..</w:t>
      </w:r>
      <w:r w:rsidRPr="00287A5F">
        <w:rPr>
          <w:rFonts w:cs="Arial"/>
          <w:rtl/>
        </w:rPr>
        <w:t xml:space="preserve"> ואיזוהי דת יהודית? יוצאה וראשה פרוע, וטווה בשוק, ומדברת עם כל אדם. </w:t>
      </w:r>
      <w:r w:rsidRPr="00287A5F">
        <w:rPr>
          <w:rFonts w:cs="Arial"/>
          <w:u w:val="single"/>
          <w:rtl/>
        </w:rPr>
        <w:t>אבא שאול אומר</w:t>
      </w:r>
      <w:r w:rsidRPr="00287A5F">
        <w:rPr>
          <w:rFonts w:cs="Arial"/>
          <w:rtl/>
        </w:rPr>
        <w:t xml:space="preserve">: אף המקללת יולדיו בפניו. </w:t>
      </w:r>
      <w:r w:rsidRPr="00287A5F">
        <w:rPr>
          <w:rFonts w:cs="Arial"/>
          <w:u w:val="single"/>
          <w:rtl/>
        </w:rPr>
        <w:t>רבי טרפון אומר</w:t>
      </w:r>
      <w:r w:rsidRPr="00287A5F">
        <w:rPr>
          <w:rFonts w:cs="Arial"/>
          <w:rtl/>
        </w:rPr>
        <w:t>: אף הקולנית. ואיזוהי קולנית? לכשהיא מדברת בתוך ביתה ושכיניה שומעין קולה.</w:t>
      </w:r>
      <w:r>
        <w:rPr>
          <w:rFonts w:hint="cs"/>
          <w:rtl/>
        </w:rPr>
        <w:t xml:space="preserve">      </w:t>
      </w:r>
      <w:r w:rsidRPr="00972691">
        <w:rPr>
          <w:rFonts w:hint="cs"/>
          <w:u w:val="double"/>
          <w:rtl/>
        </w:rPr>
        <w:t>גמ'</w:t>
      </w:r>
      <w:r>
        <w:rPr>
          <w:rFonts w:cs="Arial" w:hint="cs"/>
          <w:rtl/>
        </w:rPr>
        <w:t>:</w:t>
      </w:r>
      <w:r>
        <w:rPr>
          <w:rFonts w:cs="Arial"/>
          <w:rtl/>
        </w:rPr>
        <w:t xml:space="preserve"> </w:t>
      </w:r>
      <w:r w:rsidRPr="00432EB9">
        <w:rPr>
          <w:rFonts w:cs="Arial"/>
          <w:rtl/>
        </w:rPr>
        <w:t xml:space="preserve">ואיזוהי דת יהודית? יוצאה וראשה פרוע. ראשה פרוע דאורייתא היא! דכתיב: ופרע את ראש האשה, ותנא דבי רבי ישמעאל: אזהרה לבנות </w:t>
      </w:r>
      <w:r w:rsidRPr="00432EB9">
        <w:rPr>
          <w:rFonts w:cs="Arial"/>
          <w:rtl/>
        </w:rPr>
        <w:lastRenderedPageBreak/>
        <w:t xml:space="preserve">ישראל שלא יצאו בפרוע ראש! דאורייתא </w:t>
      </w:r>
      <w:r>
        <w:rPr>
          <w:rFonts w:cs="Arial" w:hint="cs"/>
          <w:rtl/>
        </w:rPr>
        <w:t xml:space="preserve">- </w:t>
      </w:r>
      <w:r>
        <w:rPr>
          <w:rFonts w:cs="Arial" w:hint="cs"/>
          <w:sz w:val="14"/>
          <w:szCs w:val="14"/>
          <w:rtl/>
        </w:rPr>
        <w:t xml:space="preserve">(עב:) </w:t>
      </w:r>
      <w:r w:rsidRPr="00432EB9">
        <w:rPr>
          <w:rFonts w:cs="Arial"/>
          <w:rtl/>
        </w:rPr>
        <w:t>קלתה</w:t>
      </w:r>
      <w:r>
        <w:rPr>
          <w:rStyle w:val="a7"/>
          <w:rFonts w:cs="Arial"/>
          <w:rtl/>
        </w:rPr>
        <w:footnoteReference w:id="2812"/>
      </w:r>
      <w:r w:rsidRPr="00432EB9">
        <w:rPr>
          <w:rFonts w:cs="Arial"/>
          <w:rtl/>
        </w:rPr>
        <w:t xml:space="preserve"> שפיר דמי, דת יהודית - אפילו קלתה נמי אסור. </w:t>
      </w:r>
      <w:r w:rsidRPr="00432EB9">
        <w:rPr>
          <w:rFonts w:cs="Arial"/>
          <w:u w:val="single"/>
          <w:rtl/>
        </w:rPr>
        <w:t>אמר רבי אסי אמר ר' יוחנן</w:t>
      </w:r>
      <w:r w:rsidR="00A110B2">
        <w:rPr>
          <w:rFonts w:cs="Arial" w:hint="cs"/>
          <w:rtl/>
        </w:rPr>
        <w:t>:</w:t>
      </w:r>
      <w:r w:rsidRPr="00432EB9">
        <w:rPr>
          <w:rFonts w:cs="Arial"/>
          <w:rtl/>
        </w:rPr>
        <w:t xml:space="preserve"> קלתה אין בה משום פרוע ראש. הוי בה רבי זירא, היכא? אילימא בשוק, דת יהודית היא! ואלא בחצר, אם כן</w:t>
      </w:r>
      <w:r>
        <w:rPr>
          <w:rStyle w:val="a7"/>
          <w:rFonts w:cs="Arial"/>
          <w:rtl/>
        </w:rPr>
        <w:footnoteReference w:id="2813"/>
      </w:r>
      <w:r w:rsidRPr="00432EB9">
        <w:rPr>
          <w:rFonts w:cs="Arial"/>
          <w:rtl/>
        </w:rPr>
        <w:t xml:space="preserve">, לא הנחת בת לאברהם אבינו שיושבת תחת בעלה! </w:t>
      </w:r>
      <w:r w:rsidRPr="00432EB9">
        <w:rPr>
          <w:rFonts w:cs="Arial"/>
          <w:u w:val="single"/>
          <w:rtl/>
        </w:rPr>
        <w:t>אמר אביי, ואיתימא רב כהנא</w:t>
      </w:r>
      <w:r w:rsidRPr="00432EB9">
        <w:rPr>
          <w:rFonts w:cs="Arial"/>
          <w:rtl/>
        </w:rPr>
        <w:t>: מחצר לחצר ודרך מבוי</w:t>
      </w:r>
      <w:r>
        <w:rPr>
          <w:rStyle w:val="a7"/>
          <w:rFonts w:cs="Arial"/>
          <w:rtl/>
        </w:rPr>
        <w:footnoteReference w:id="2814"/>
      </w:r>
      <w:r w:rsidRPr="00432EB9">
        <w:rPr>
          <w:rFonts w:cs="Arial"/>
          <w:rtl/>
        </w:rPr>
        <w:t>.</w:t>
      </w:r>
      <w:r>
        <w:rPr>
          <w:rFonts w:cs="Arial" w:hint="cs"/>
          <w:rtl/>
        </w:rPr>
        <w:t xml:space="preserve"> </w:t>
      </w:r>
      <w:r w:rsidRPr="00432EB9">
        <w:rPr>
          <w:rFonts w:cs="Arial"/>
          <w:rtl/>
        </w:rPr>
        <w:t xml:space="preserve">וטווה בשוק. </w:t>
      </w:r>
      <w:r w:rsidRPr="002B3F7D">
        <w:rPr>
          <w:rFonts w:cs="Arial"/>
          <w:u w:val="single"/>
          <w:rtl/>
        </w:rPr>
        <w:t>אמר רב יהודה אמר שמואל</w:t>
      </w:r>
      <w:r w:rsidRPr="00432EB9">
        <w:rPr>
          <w:rFonts w:cs="Arial"/>
          <w:rtl/>
        </w:rPr>
        <w:t xml:space="preserve">: במראה זרועותיה לבני אדם. </w:t>
      </w:r>
      <w:r w:rsidRPr="002B3F7D">
        <w:rPr>
          <w:rFonts w:cs="Arial"/>
          <w:u w:val="single"/>
          <w:rtl/>
        </w:rPr>
        <w:t>רב חסדא אמר אבימי</w:t>
      </w:r>
      <w:r w:rsidRPr="00432EB9">
        <w:rPr>
          <w:rFonts w:cs="Arial"/>
          <w:rtl/>
        </w:rPr>
        <w:t>: בטווה ורד כנגד פניה</w:t>
      </w:r>
      <w:r>
        <w:rPr>
          <w:rStyle w:val="a7"/>
          <w:rFonts w:cs="Arial"/>
          <w:rtl/>
        </w:rPr>
        <w:footnoteReference w:id="2815"/>
      </w:r>
      <w:r w:rsidRPr="00432EB9">
        <w:rPr>
          <w:rFonts w:cs="Arial"/>
          <w:rtl/>
        </w:rPr>
        <w:t xml:space="preserve">. ומדברת עם כל אדם. </w:t>
      </w:r>
      <w:r w:rsidRPr="002B3F7D">
        <w:rPr>
          <w:rFonts w:cs="Arial"/>
          <w:u w:val="single"/>
          <w:rtl/>
        </w:rPr>
        <w:t>אמר רב יהודה אמר שמואל</w:t>
      </w:r>
      <w:r w:rsidRPr="00432EB9">
        <w:rPr>
          <w:rFonts w:cs="Arial"/>
          <w:rtl/>
        </w:rPr>
        <w:t xml:space="preserve">: במשחקת עם בחורים. </w:t>
      </w:r>
      <w:r w:rsidRPr="002B3F7D">
        <w:rPr>
          <w:rFonts w:cs="Arial"/>
          <w:u w:val="single"/>
          <w:rtl/>
        </w:rPr>
        <w:t>אמר רבה בר בר חנה</w:t>
      </w:r>
      <w:r w:rsidRPr="00432EB9">
        <w:rPr>
          <w:rFonts w:cs="Arial"/>
          <w:rtl/>
        </w:rPr>
        <w:t xml:space="preserve">: זימנא חדא הוה קאזילנא בתריה דרב עוקבא, חזיתיה לההיא ערביא דהוה יתבה קא שדיא פילכה וטווה ורד כנגד פניה, כיון דחזיתינן פסיקתיה לפילכה שדיתיה, אמרה לי: עולם, הב לי פלך, אמר בה רב עוקבא מילתא. מאי אמר בה? </w:t>
      </w:r>
      <w:r w:rsidRPr="002B3F7D">
        <w:rPr>
          <w:rFonts w:cs="Arial"/>
          <w:u w:val="single"/>
          <w:rtl/>
        </w:rPr>
        <w:t>רבינא אמר</w:t>
      </w:r>
      <w:r w:rsidRPr="00432EB9">
        <w:rPr>
          <w:rFonts w:cs="Arial"/>
          <w:rtl/>
        </w:rPr>
        <w:t xml:space="preserve">: טווה בשוק אמר בה, </w:t>
      </w:r>
      <w:r w:rsidRPr="002B3F7D">
        <w:rPr>
          <w:rFonts w:cs="Arial"/>
          <w:u w:val="single"/>
          <w:rtl/>
        </w:rPr>
        <w:t>רבנן אמרי</w:t>
      </w:r>
      <w:r w:rsidRPr="00432EB9">
        <w:rPr>
          <w:rFonts w:cs="Arial"/>
          <w:rtl/>
        </w:rPr>
        <w:t xml:space="preserve">: מדברת עם כל אדם אמר בה. </w:t>
      </w:r>
      <w:r w:rsidRPr="002B3F7D">
        <w:rPr>
          <w:rFonts w:cs="Arial"/>
          <w:u w:val="single"/>
          <w:rtl/>
        </w:rPr>
        <w:t>אבא שאול אומר</w:t>
      </w:r>
      <w:r w:rsidRPr="00432EB9">
        <w:rPr>
          <w:rFonts w:cs="Arial"/>
          <w:rtl/>
        </w:rPr>
        <w:t xml:space="preserve">: אף המקללת יולדיו בפניו. </w:t>
      </w:r>
      <w:r w:rsidRPr="002B3F7D">
        <w:rPr>
          <w:rFonts w:cs="Arial"/>
          <w:u w:val="single"/>
          <w:rtl/>
        </w:rPr>
        <w:t>אמר רב יהודה אמר שמואל</w:t>
      </w:r>
      <w:r w:rsidRPr="00432EB9">
        <w:rPr>
          <w:rFonts w:cs="Arial"/>
          <w:rtl/>
        </w:rPr>
        <w:t>: במקללת יולידיו בפני מולידיו</w:t>
      </w:r>
      <w:r>
        <w:rPr>
          <w:rStyle w:val="a7"/>
          <w:rFonts w:cs="Arial"/>
          <w:rtl/>
        </w:rPr>
        <w:footnoteReference w:id="2816"/>
      </w:r>
      <w:r w:rsidRPr="00432EB9">
        <w:rPr>
          <w:rFonts w:cs="Arial"/>
          <w:rtl/>
        </w:rPr>
        <w:t xml:space="preserve">, וסימניך: אפרים ומנשה כראובן ושמעון יהיו לי. </w:t>
      </w:r>
      <w:r w:rsidRPr="002B3F7D">
        <w:rPr>
          <w:rFonts w:cs="Arial"/>
          <w:u w:val="single"/>
          <w:rtl/>
        </w:rPr>
        <w:t>אמר רבה</w:t>
      </w:r>
      <w:r w:rsidRPr="00432EB9">
        <w:rPr>
          <w:rFonts w:cs="Arial"/>
          <w:rtl/>
        </w:rPr>
        <w:t xml:space="preserve">: דאמרה ליה ניכליה אריא לסבא באפי בריה. רבי טרפון אומר: אף הקולנית. מאי קולנית? </w:t>
      </w:r>
      <w:r w:rsidRPr="002B3F7D">
        <w:rPr>
          <w:rFonts w:cs="Arial"/>
          <w:u w:val="single"/>
          <w:rtl/>
        </w:rPr>
        <w:t>אמר רב יהודה אמר שמואל</w:t>
      </w:r>
      <w:r w:rsidRPr="00432EB9">
        <w:rPr>
          <w:rFonts w:cs="Arial"/>
          <w:rtl/>
        </w:rPr>
        <w:t>: במשמעת קולה על עסקי תשמיש</w:t>
      </w:r>
      <w:r>
        <w:rPr>
          <w:rStyle w:val="a7"/>
          <w:rFonts w:cs="Arial"/>
          <w:rtl/>
        </w:rPr>
        <w:footnoteReference w:id="2817"/>
      </w:r>
      <w:r w:rsidRPr="00432EB9">
        <w:rPr>
          <w:rFonts w:cs="Arial"/>
          <w:rtl/>
        </w:rPr>
        <w:t xml:space="preserve">. במתניתא תנא: במשמשת בחצר זו ונשמע קולה בחצר אחרת. וניתנייה גבי מומין במתניתין! אלא, מחוורתא כדשנין מעיקרא.  </w:t>
      </w:r>
    </w:p>
    <w:p w14:paraId="5AA828A8" w14:textId="77777777" w:rsidR="00392DBB" w:rsidRPr="009F080D" w:rsidRDefault="00392DBB" w:rsidP="00392DBB">
      <w:pPr>
        <w:rPr>
          <w:color w:val="E36C0A" w:themeColor="accent6" w:themeShade="BF"/>
          <w:rtl/>
        </w:rPr>
      </w:pPr>
      <w:r w:rsidRPr="00F3070E">
        <w:rPr>
          <w:rFonts w:cs="Arial" w:hint="cs"/>
          <w:b/>
          <w:bCs/>
          <w:rtl/>
        </w:rPr>
        <w:t>ירושלמי כתובות פ"ז ה"ו:</w:t>
      </w:r>
      <w:r>
        <w:rPr>
          <w:rFonts w:cs="Arial" w:hint="cs"/>
          <w:rtl/>
        </w:rPr>
        <w:t xml:space="preserve"> </w:t>
      </w:r>
      <w:r w:rsidRPr="00421466">
        <w:rPr>
          <w:rFonts w:cs="Arial"/>
          <w:rtl/>
        </w:rPr>
        <w:t>וראשה פרוע</w:t>
      </w:r>
      <w:r>
        <w:rPr>
          <w:rFonts w:cs="Arial" w:hint="cs"/>
          <w:rtl/>
        </w:rPr>
        <w:t xml:space="preserve"> -</w:t>
      </w:r>
      <w:r w:rsidRPr="00421466">
        <w:rPr>
          <w:rFonts w:cs="Arial"/>
          <w:rtl/>
        </w:rPr>
        <w:t xml:space="preserve"> לחצר</w:t>
      </w:r>
      <w:r>
        <w:rPr>
          <w:rFonts w:cs="Arial" w:hint="cs"/>
          <w:rtl/>
        </w:rPr>
        <w:t>.</w:t>
      </w:r>
      <w:r w:rsidRPr="00421466">
        <w:rPr>
          <w:rFonts w:cs="Arial"/>
          <w:rtl/>
        </w:rPr>
        <w:t xml:space="preserve"> אמרו</w:t>
      </w:r>
      <w:r>
        <w:rPr>
          <w:rFonts w:cs="Arial" w:hint="cs"/>
          <w:rtl/>
        </w:rPr>
        <w:t>:</w:t>
      </w:r>
      <w:r w:rsidRPr="00421466">
        <w:rPr>
          <w:rFonts w:cs="Arial"/>
          <w:rtl/>
        </w:rPr>
        <w:t xml:space="preserve"> ק"ו למבוי</w:t>
      </w:r>
      <w:r>
        <w:rPr>
          <w:rFonts w:cs="Arial" w:hint="cs"/>
          <w:rtl/>
        </w:rPr>
        <w:t>.</w:t>
      </w:r>
      <w:r w:rsidRPr="00421466">
        <w:rPr>
          <w:rFonts w:cs="Arial"/>
          <w:rtl/>
        </w:rPr>
        <w:t xml:space="preserve"> </w:t>
      </w:r>
      <w:r w:rsidRPr="00421466">
        <w:rPr>
          <w:rFonts w:cs="Arial"/>
          <w:u w:val="single"/>
          <w:rtl/>
        </w:rPr>
        <w:t>רבי חייה בשם רבי יוחנן</w:t>
      </w:r>
      <w:r>
        <w:rPr>
          <w:rFonts w:cs="Arial" w:hint="cs"/>
          <w:rtl/>
        </w:rPr>
        <w:t>:</w:t>
      </w:r>
      <w:r w:rsidRPr="00421466">
        <w:rPr>
          <w:rFonts w:cs="Arial"/>
          <w:rtl/>
        </w:rPr>
        <w:t xml:space="preserve"> היוצאה בקפלטין שלה </w:t>
      </w:r>
      <w:r>
        <w:rPr>
          <w:rFonts w:cs="Arial" w:hint="cs"/>
          <w:rtl/>
        </w:rPr>
        <w:t xml:space="preserve">- </w:t>
      </w:r>
      <w:r w:rsidRPr="00421466">
        <w:rPr>
          <w:rFonts w:cs="Arial"/>
          <w:rtl/>
        </w:rPr>
        <w:t>אין בה משום ראשה פרוע</w:t>
      </w:r>
      <w:r>
        <w:rPr>
          <w:rFonts w:cs="Arial" w:hint="cs"/>
          <w:rtl/>
        </w:rPr>
        <w:t>.</w:t>
      </w:r>
      <w:r w:rsidRPr="00421466">
        <w:rPr>
          <w:rFonts w:cs="Arial"/>
          <w:rtl/>
        </w:rPr>
        <w:t xml:space="preserve"> הדא דתימא</w:t>
      </w:r>
      <w:r>
        <w:rPr>
          <w:rFonts w:cs="Arial" w:hint="cs"/>
          <w:rtl/>
        </w:rPr>
        <w:t xml:space="preserve"> -</w:t>
      </w:r>
      <w:r w:rsidRPr="00421466">
        <w:rPr>
          <w:rFonts w:cs="Arial"/>
          <w:rtl/>
        </w:rPr>
        <w:t xml:space="preserve"> לחצר</w:t>
      </w:r>
      <w:r>
        <w:rPr>
          <w:rFonts w:cs="Arial" w:hint="cs"/>
          <w:rtl/>
        </w:rPr>
        <w:t>,</w:t>
      </w:r>
      <w:r w:rsidRPr="00421466">
        <w:rPr>
          <w:rFonts w:cs="Arial"/>
          <w:rtl/>
        </w:rPr>
        <w:t xml:space="preserve"> אבל למבוי </w:t>
      </w:r>
      <w:r>
        <w:rPr>
          <w:rFonts w:cs="Arial" w:hint="cs"/>
          <w:rtl/>
        </w:rPr>
        <w:t xml:space="preserve">- </w:t>
      </w:r>
      <w:r w:rsidRPr="00421466">
        <w:rPr>
          <w:rFonts w:cs="Arial"/>
          <w:rtl/>
        </w:rPr>
        <w:t>יש בה משום יוצאה וראשה פרוע</w:t>
      </w:r>
      <w:r>
        <w:rPr>
          <w:rFonts w:cs="Arial" w:hint="cs"/>
          <w:rtl/>
        </w:rPr>
        <w:t>.</w:t>
      </w:r>
      <w:r w:rsidRPr="00421466">
        <w:rPr>
          <w:rFonts w:cs="Arial"/>
          <w:rtl/>
        </w:rPr>
        <w:t xml:space="preserve"> יש חצר שהוא כמבוי</w:t>
      </w:r>
      <w:r>
        <w:rPr>
          <w:rFonts w:cs="Arial" w:hint="cs"/>
          <w:rtl/>
        </w:rPr>
        <w:t>,</w:t>
      </w:r>
      <w:r w:rsidRPr="00421466">
        <w:rPr>
          <w:rFonts w:cs="Arial"/>
          <w:rtl/>
        </w:rPr>
        <w:t xml:space="preserve"> ויש מבוי שהוא כחצר</w:t>
      </w:r>
      <w:r>
        <w:rPr>
          <w:rFonts w:cs="Arial" w:hint="cs"/>
          <w:rtl/>
        </w:rPr>
        <w:t>.</w:t>
      </w:r>
      <w:r w:rsidRPr="00421466">
        <w:rPr>
          <w:rFonts w:cs="Arial"/>
          <w:rtl/>
        </w:rPr>
        <w:t xml:space="preserve"> חצר שהרבים בוקעין ב</w:t>
      </w:r>
      <w:r w:rsidRPr="00421466">
        <w:rPr>
          <w:rFonts w:cs="Arial"/>
          <w:color w:val="000000" w:themeColor="text1"/>
          <w:rtl/>
        </w:rPr>
        <w:t xml:space="preserve">תוכה </w:t>
      </w:r>
      <w:r>
        <w:rPr>
          <w:rFonts w:cs="Arial" w:hint="cs"/>
          <w:color w:val="000000" w:themeColor="text1"/>
          <w:rtl/>
        </w:rPr>
        <w:t xml:space="preserve">- </w:t>
      </w:r>
      <w:r w:rsidRPr="00421466">
        <w:rPr>
          <w:rFonts w:cs="Arial"/>
          <w:color w:val="000000" w:themeColor="text1"/>
          <w:rtl/>
        </w:rPr>
        <w:t>הרי הוא כמבוי</w:t>
      </w:r>
      <w:r>
        <w:rPr>
          <w:rFonts w:cs="Arial" w:hint="cs"/>
          <w:color w:val="000000" w:themeColor="text1"/>
          <w:rtl/>
        </w:rPr>
        <w:t>.</w:t>
      </w:r>
      <w:r w:rsidRPr="00421466">
        <w:rPr>
          <w:rFonts w:cs="Arial"/>
          <w:color w:val="000000" w:themeColor="text1"/>
          <w:rtl/>
        </w:rPr>
        <w:t xml:space="preserve"> ומבוי שאין הרבים בוקעין בתוכו </w:t>
      </w:r>
      <w:r>
        <w:rPr>
          <w:rFonts w:cs="Arial" w:hint="cs"/>
          <w:color w:val="000000" w:themeColor="text1"/>
          <w:rtl/>
        </w:rPr>
        <w:t xml:space="preserve">- </w:t>
      </w:r>
      <w:r w:rsidRPr="00421466">
        <w:rPr>
          <w:rFonts w:cs="Arial"/>
          <w:color w:val="000000" w:themeColor="text1"/>
          <w:rtl/>
        </w:rPr>
        <w:t>הרי הוא כחצר</w:t>
      </w:r>
      <w:r w:rsidRPr="00421466">
        <w:rPr>
          <w:rFonts w:cs="Arial" w:hint="cs"/>
          <w:color w:val="000000" w:themeColor="text1"/>
          <w:rtl/>
        </w:rPr>
        <w:t>.</w:t>
      </w:r>
      <w:r w:rsidRPr="00421466">
        <w:rPr>
          <w:rFonts w:hint="cs"/>
          <w:color w:val="000000" w:themeColor="text1"/>
          <w:rtl/>
        </w:rPr>
        <w:t xml:space="preserve"> </w:t>
      </w:r>
      <w:r w:rsidRPr="00421466">
        <w:rPr>
          <w:rFonts w:hint="cs"/>
          <w:color w:val="000000" w:themeColor="text1"/>
          <w:sz w:val="16"/>
          <w:szCs w:val="16"/>
          <w:rtl/>
        </w:rPr>
        <w:t>(והביא</w:t>
      </w:r>
      <w:r>
        <w:rPr>
          <w:rFonts w:hint="cs"/>
          <w:color w:val="000000" w:themeColor="text1"/>
          <w:sz w:val="16"/>
          <w:szCs w:val="16"/>
          <w:rtl/>
        </w:rPr>
        <w:t>ו</w:t>
      </w:r>
      <w:r w:rsidRPr="00421466">
        <w:rPr>
          <w:rFonts w:hint="cs"/>
          <w:color w:val="000000" w:themeColor="text1"/>
          <w:sz w:val="16"/>
          <w:szCs w:val="16"/>
          <w:rtl/>
        </w:rPr>
        <w:t xml:space="preserve"> הרי"ף (לב:) </w:t>
      </w:r>
      <w:r>
        <w:rPr>
          <w:rFonts w:hint="cs"/>
          <w:color w:val="000000" w:themeColor="text1"/>
          <w:sz w:val="16"/>
          <w:szCs w:val="16"/>
          <w:rtl/>
        </w:rPr>
        <w:t xml:space="preserve">והרא"ש (סי' ט) </w:t>
      </w:r>
      <w:r w:rsidRPr="00421466">
        <w:rPr>
          <w:rFonts w:hint="cs"/>
          <w:color w:val="000000" w:themeColor="text1"/>
          <w:sz w:val="16"/>
          <w:szCs w:val="16"/>
          <w:rtl/>
        </w:rPr>
        <w:t>את מסקנת הירושלמי</w:t>
      </w:r>
      <w:r>
        <w:rPr>
          <w:rFonts w:hint="cs"/>
          <w:color w:val="000000" w:themeColor="text1"/>
          <w:sz w:val="16"/>
          <w:szCs w:val="16"/>
          <w:rtl/>
        </w:rPr>
        <w:t xml:space="preserve">. וכ"כ הטור. </w:t>
      </w:r>
      <w:r w:rsidRPr="00421466">
        <w:rPr>
          <w:rFonts w:hint="cs"/>
          <w:color w:val="E36C0A" w:themeColor="accent6" w:themeShade="BF"/>
          <w:sz w:val="16"/>
          <w:szCs w:val="16"/>
          <w:rtl/>
        </w:rPr>
        <w:t>וכ"פ בשו"ע</w:t>
      </w:r>
      <w:r w:rsidRPr="00421466">
        <w:rPr>
          <w:rFonts w:hint="cs"/>
          <w:color w:val="000000" w:themeColor="text1"/>
          <w:sz w:val="16"/>
          <w:szCs w:val="16"/>
          <w:rtl/>
        </w:rPr>
        <w:t>)</w:t>
      </w:r>
    </w:p>
    <w:p w14:paraId="002C8F8D" w14:textId="77777777" w:rsidR="00392DBB" w:rsidRPr="009F080D" w:rsidRDefault="00392DBB" w:rsidP="00392DBB">
      <w:pPr>
        <w:rPr>
          <w:u w:val="single"/>
          <w:rtl/>
        </w:rPr>
      </w:pPr>
      <w:r w:rsidRPr="009F080D">
        <w:rPr>
          <w:rFonts w:hint="cs"/>
          <w:u w:val="single"/>
          <w:rtl/>
        </w:rPr>
        <w:t>העוברת על דת יהודית:</w:t>
      </w:r>
    </w:p>
    <w:p w14:paraId="488BB185" w14:textId="5D80F75E" w:rsidR="00392DBB" w:rsidRDefault="00392DBB" w:rsidP="009000E3">
      <w:pPr>
        <w:pStyle w:val="ab"/>
        <w:numPr>
          <w:ilvl w:val="0"/>
          <w:numId w:val="72"/>
        </w:numPr>
      </w:pPr>
      <w:r w:rsidRPr="009F080D">
        <w:rPr>
          <w:rFonts w:cs="Arial" w:hint="cs"/>
          <w:rtl/>
        </w:rPr>
        <w:t xml:space="preserve">טור- </w:t>
      </w:r>
      <w:r w:rsidRPr="009F080D">
        <w:rPr>
          <w:rFonts w:cs="Arial"/>
          <w:rtl/>
        </w:rPr>
        <w:t>אלו יוצאות בלא כתובה</w:t>
      </w:r>
      <w:r w:rsidR="001C77B8">
        <w:rPr>
          <w:rFonts w:cs="Arial" w:hint="cs"/>
          <w:rtl/>
        </w:rPr>
        <w:t>:</w:t>
      </w:r>
      <w:r w:rsidRPr="009F080D">
        <w:rPr>
          <w:rFonts w:cs="Arial" w:hint="cs"/>
          <w:rtl/>
        </w:rPr>
        <w:t xml:space="preserve"> </w:t>
      </w:r>
      <w:r w:rsidRPr="009F080D">
        <w:rPr>
          <w:rFonts w:cs="Arial"/>
          <w:rtl/>
        </w:rPr>
        <w:t>העוברת על דת משה ויהודית</w:t>
      </w:r>
      <w:r w:rsidRPr="009F080D">
        <w:rPr>
          <w:rFonts w:cs="Arial" w:hint="cs"/>
          <w:rtl/>
        </w:rPr>
        <w:t>.</w:t>
      </w:r>
      <w:r>
        <w:rPr>
          <w:rFonts w:cs="Arial" w:hint="cs"/>
          <w:rtl/>
        </w:rPr>
        <w:t>..</w:t>
      </w:r>
      <w:r w:rsidRPr="009F080D">
        <w:rPr>
          <w:rFonts w:cs="Arial" w:hint="cs"/>
          <w:rtl/>
        </w:rPr>
        <w:t xml:space="preserve"> </w:t>
      </w:r>
      <w:r w:rsidRPr="009F080D">
        <w:rPr>
          <w:rFonts w:cs="Arial"/>
          <w:rtl/>
        </w:rPr>
        <w:t>ואיזו היא דת יהודית יוצאת וראשה פרוע</w:t>
      </w:r>
      <w:r>
        <w:rPr>
          <w:rFonts w:cs="Arial" w:hint="cs"/>
          <w:rtl/>
        </w:rPr>
        <w:t>...</w:t>
      </w:r>
      <w:r w:rsidRPr="009F080D">
        <w:rPr>
          <w:rFonts w:cs="Arial"/>
          <w:rtl/>
        </w:rPr>
        <w:t xml:space="preserve"> ודוקא שיוצאת כן ברשות הרבים או במבוי המפולש או בחצר שהרבים בוקעים בו</w:t>
      </w:r>
      <w:r>
        <w:rPr>
          <w:rFonts w:cs="Arial" w:hint="cs"/>
          <w:rtl/>
        </w:rPr>
        <w:t>.</w:t>
      </w:r>
      <w:r w:rsidRPr="00857BB8">
        <w:rPr>
          <w:rFonts w:cs="Arial"/>
          <w:rtl/>
        </w:rPr>
        <w:t xml:space="preserve"> </w:t>
      </w:r>
      <w:r w:rsidRPr="009F080D">
        <w:rPr>
          <w:rFonts w:cs="Arial"/>
          <w:rtl/>
        </w:rPr>
        <w:t>אבל במבוי שאינו מפולש וחצר שאין הרבים בוקעים בו</w:t>
      </w:r>
      <w:r>
        <w:rPr>
          <w:rFonts w:cs="Arial" w:hint="cs"/>
          <w:rtl/>
        </w:rPr>
        <w:t>,</w:t>
      </w:r>
      <w:r w:rsidRPr="009F080D">
        <w:rPr>
          <w:rFonts w:cs="Arial"/>
          <w:rtl/>
        </w:rPr>
        <w:t xml:space="preserve"> לא תצא</w:t>
      </w:r>
      <w:r>
        <w:rPr>
          <w:rStyle w:val="a7"/>
          <w:rFonts w:cs="Arial"/>
          <w:rtl/>
        </w:rPr>
        <w:footnoteReference w:id="2818"/>
      </w:r>
      <w:r>
        <w:rPr>
          <w:rFonts w:cs="Arial" w:hint="cs"/>
          <w:rtl/>
        </w:rPr>
        <w:t>.</w:t>
      </w:r>
      <w:r w:rsidRPr="009F080D">
        <w:rPr>
          <w:rFonts w:cs="Arial"/>
          <w:rtl/>
        </w:rPr>
        <w:t xml:space="preserve"> וכן הטווה בשוק שמראה זרועותיה לבני אדם</w:t>
      </w:r>
      <w:r>
        <w:rPr>
          <w:rFonts w:cs="Arial" w:hint="cs"/>
          <w:rtl/>
        </w:rPr>
        <w:t>.</w:t>
      </w:r>
      <w:r w:rsidRPr="009F080D">
        <w:rPr>
          <w:rFonts w:cs="Arial"/>
          <w:rtl/>
        </w:rPr>
        <w:t xml:space="preserve"> וכן הטווה ורד כנגד פניה</w:t>
      </w:r>
      <w:r>
        <w:rPr>
          <w:rFonts w:cs="Arial" w:hint="cs"/>
          <w:rtl/>
        </w:rPr>
        <w:t>...</w:t>
      </w:r>
      <w:r w:rsidRPr="009F080D">
        <w:rPr>
          <w:rFonts w:cs="Arial"/>
          <w:rtl/>
        </w:rPr>
        <w:t xml:space="preserve"> וכן המדברת ומשחקת</w:t>
      </w:r>
      <w:r>
        <w:rPr>
          <w:rStyle w:val="a7"/>
          <w:rFonts w:cs="Arial"/>
          <w:rtl/>
        </w:rPr>
        <w:footnoteReference w:id="2819"/>
      </w:r>
      <w:r w:rsidRPr="009F080D">
        <w:rPr>
          <w:rFonts w:cs="Arial"/>
          <w:rtl/>
        </w:rPr>
        <w:t xml:space="preserve"> עם הבחורים</w:t>
      </w:r>
      <w:r>
        <w:rPr>
          <w:rFonts w:cs="Arial" w:hint="cs"/>
          <w:rtl/>
        </w:rPr>
        <w:t>.</w:t>
      </w:r>
      <w:r w:rsidRPr="009F080D">
        <w:rPr>
          <w:rFonts w:cs="Arial"/>
          <w:rtl/>
        </w:rPr>
        <w:t xml:space="preserve"> וכן המקללת אביו בפניו או בפני בנו</w:t>
      </w:r>
      <w:r>
        <w:rPr>
          <w:rFonts w:cs="Arial" w:hint="cs"/>
          <w:rtl/>
        </w:rPr>
        <w:t>.</w:t>
      </w:r>
      <w:r w:rsidRPr="009F080D">
        <w:rPr>
          <w:rFonts w:cs="Arial"/>
          <w:rtl/>
        </w:rPr>
        <w:t xml:space="preserve"> וכן התובעת מבעלה </w:t>
      </w:r>
      <w:r w:rsidRPr="009F080D">
        <w:rPr>
          <w:rFonts w:cs="Arial"/>
          <w:rtl/>
        </w:rPr>
        <w:lastRenderedPageBreak/>
        <w:t>התשמיש בקול רם עד ששכנותיה שומעות אותה</w:t>
      </w:r>
      <w:r>
        <w:rPr>
          <w:rFonts w:cs="Arial" w:hint="cs"/>
          <w:rtl/>
        </w:rPr>
        <w:t>,</w:t>
      </w:r>
      <w:r w:rsidRPr="009F080D">
        <w:rPr>
          <w:rFonts w:cs="Arial"/>
          <w:rtl/>
        </w:rPr>
        <w:t xml:space="preserve"> או שמריבה עמו עד שנשמע קולה כשתובע על עסקי תשמיש</w:t>
      </w:r>
      <w:r>
        <w:rPr>
          <w:rFonts w:cs="Arial" w:hint="cs"/>
          <w:rtl/>
        </w:rPr>
        <w:t>.</w:t>
      </w:r>
      <w:r w:rsidRPr="009F080D">
        <w:rPr>
          <w:rFonts w:cs="Arial"/>
          <w:rtl/>
        </w:rPr>
        <w:t xml:space="preserve"> בכל אחד מאלו </w:t>
      </w:r>
      <w:r>
        <w:rPr>
          <w:rFonts w:cs="Arial" w:hint="cs"/>
          <w:rtl/>
        </w:rPr>
        <w:t xml:space="preserve">- </w:t>
      </w:r>
      <w:r w:rsidRPr="009F080D">
        <w:rPr>
          <w:rFonts w:cs="Arial"/>
          <w:rtl/>
        </w:rPr>
        <w:t>תצא בלא כתובה</w:t>
      </w:r>
      <w:r>
        <w:rPr>
          <w:rFonts w:cs="Arial" w:hint="cs"/>
          <w:rtl/>
        </w:rPr>
        <w:t>.</w:t>
      </w:r>
      <w:r w:rsidRPr="009F080D">
        <w:rPr>
          <w:rFonts w:cs="Arial"/>
          <w:rtl/>
        </w:rPr>
        <w:t xml:space="preserve"> </w:t>
      </w:r>
    </w:p>
    <w:p w14:paraId="7FB79600" w14:textId="543918C7" w:rsidR="00A110B2" w:rsidRDefault="00BA0B26" w:rsidP="009000E3">
      <w:pPr>
        <w:pStyle w:val="ab"/>
        <w:numPr>
          <w:ilvl w:val="0"/>
          <w:numId w:val="72"/>
        </w:numPr>
        <w:rPr>
          <w:rtl/>
        </w:rPr>
      </w:pPr>
      <w:r>
        <w:rPr>
          <w:rFonts w:hint="cs"/>
          <w:rtl/>
        </w:rPr>
        <w:t xml:space="preserve">רמב"ם </w:t>
      </w:r>
      <w:r>
        <w:rPr>
          <w:rFonts w:hint="cs"/>
          <w:sz w:val="16"/>
          <w:szCs w:val="16"/>
          <w:rtl/>
        </w:rPr>
        <w:t>(פכ"ד ה"י והי"ב)</w:t>
      </w:r>
      <w:r>
        <w:rPr>
          <w:rFonts w:hint="cs"/>
          <w:rtl/>
        </w:rPr>
        <w:t xml:space="preserve">- </w:t>
      </w:r>
      <w:r w:rsidRPr="00BA0B26">
        <w:rPr>
          <w:rFonts w:cs="Arial"/>
          <w:rtl/>
        </w:rPr>
        <w:t>העוברת על דת משה או על דת יהודית או היוצאה משום שם רע אין לה כתובה לא עיקר ולא תוספת ולא תנאי מתנאי כתובה</w:t>
      </w:r>
      <w:r>
        <w:rPr>
          <w:rFonts w:cs="Arial" w:hint="cs"/>
          <w:rtl/>
        </w:rPr>
        <w:t>...</w:t>
      </w:r>
      <w:r w:rsidR="001C77B8" w:rsidRPr="001C77B8">
        <w:rPr>
          <w:rtl/>
        </w:rPr>
        <w:t xml:space="preserve"> </w:t>
      </w:r>
      <w:r w:rsidR="001C77B8" w:rsidRPr="001C77B8">
        <w:rPr>
          <w:rFonts w:cs="Arial"/>
          <w:rtl/>
        </w:rPr>
        <w:t>ואיזו היא דת יהודית, הוא מנהג הצניעות שנהגו בנות ישראל, ואלו הן הדברים שאם עשת אחד מהן עברה על דת יהודית: יוצאה לשוק או למבוי מפולש וראשה פרוע ואין עליה רדיד ככל הנשים, אף על פי ששערה מכוסה במטפחת, או שהיתה טווה בשוק וורד וכיוצא בו כנגד פניה על פדחתה או על לחיה כדרך שעושות הגויות הפרוצות, או שטווה בשוק ומראה זרועותיה לבני אדם, או שהיתה משחקת עם הבחורים, או שהיתה תובעת התשמיש מבעלה בקול רם עד ששכנותיה שומעות אותה מדברת על עסקי תשמיש, או שהיתה מקללת אבי בעלה בפני בעלה.</w:t>
      </w:r>
      <w:r w:rsidR="001C77B8" w:rsidRPr="009F080D">
        <w:rPr>
          <w:rFonts w:cs="Arial"/>
          <w:rtl/>
        </w:rPr>
        <w:t xml:space="preserve"> </w:t>
      </w:r>
      <w:r w:rsidR="001C77B8">
        <w:rPr>
          <w:rFonts w:cs="Arial" w:hint="cs"/>
          <w:color w:val="E36C0A" w:themeColor="accent6" w:themeShade="BF"/>
          <w:rtl/>
        </w:rPr>
        <w:t>(</w:t>
      </w:r>
      <w:r w:rsidR="001C77B8" w:rsidRPr="00C847DB">
        <w:rPr>
          <w:rFonts w:cs="Arial" w:hint="cs"/>
          <w:color w:val="E36C0A" w:themeColor="accent6" w:themeShade="BF"/>
          <w:rtl/>
        </w:rPr>
        <w:t>וכ"פ בשו"ע</w:t>
      </w:r>
      <w:r w:rsidR="001C77B8">
        <w:rPr>
          <w:rFonts w:cs="Arial" w:hint="cs"/>
          <w:color w:val="E36C0A" w:themeColor="accent6" w:themeShade="BF"/>
          <w:rtl/>
        </w:rPr>
        <w:t>)</w:t>
      </w:r>
    </w:p>
    <w:p w14:paraId="322615FB" w14:textId="4F1B40C0" w:rsidR="00392DBB" w:rsidRPr="00495757" w:rsidRDefault="00392DBB" w:rsidP="00392DBB">
      <w:r w:rsidRPr="00495757">
        <w:rPr>
          <w:rFonts w:cs="Arial" w:hint="cs"/>
          <w:b/>
          <w:bCs/>
          <w:rtl/>
        </w:rPr>
        <w:t xml:space="preserve">סוטה </w:t>
      </w:r>
      <w:r>
        <w:rPr>
          <w:rFonts w:cs="Arial" w:hint="cs"/>
          <w:b/>
          <w:bCs/>
          <w:sz w:val="16"/>
          <w:szCs w:val="16"/>
          <w:rtl/>
        </w:rPr>
        <w:t xml:space="preserve">(פ' ארוסה) </w:t>
      </w:r>
      <w:r w:rsidRPr="00495757">
        <w:rPr>
          <w:rFonts w:cs="Arial" w:hint="cs"/>
          <w:b/>
          <w:bCs/>
          <w:rtl/>
        </w:rPr>
        <w:t>כה</w:t>
      </w:r>
      <w:r w:rsidR="00210907" w:rsidRPr="00210907">
        <w:rPr>
          <w:rStyle w:val="a7"/>
          <w:rFonts w:cs="Arial"/>
          <w:b/>
          <w:bCs/>
          <w:rtl/>
        </w:rPr>
        <w:footnoteReference w:id="2820"/>
      </w:r>
      <w:r w:rsidRPr="00495757">
        <w:rPr>
          <w:rFonts w:cs="Arial" w:hint="cs"/>
          <w:b/>
          <w:bCs/>
          <w:rtl/>
        </w:rPr>
        <w:t xml:space="preserve"> ע"א: </w:t>
      </w:r>
      <w:r w:rsidRPr="00495757">
        <w:rPr>
          <w:rFonts w:cs="Arial"/>
          <w:rtl/>
        </w:rPr>
        <w:t>איבעיא להו: עוברת על דת, צריכה התראה להפסידה כתובתה או אינה צריכה? מי אמרינן, כיון דעוברת על דת היא לא בעיא התראה, או דלמא תיבעי התראה, דאי הדרה בה תיהדר בה?</w:t>
      </w:r>
      <w:r>
        <w:rPr>
          <w:rFonts w:cs="Arial" w:hint="cs"/>
          <w:rtl/>
        </w:rPr>
        <w:t>..</w:t>
      </w:r>
      <w:r w:rsidRPr="00495757">
        <w:rPr>
          <w:rFonts w:cs="Arial"/>
          <w:rtl/>
        </w:rPr>
        <w:t xml:space="preserve">. </w:t>
      </w:r>
      <w:r w:rsidRPr="00853310">
        <w:rPr>
          <w:rFonts w:cs="Arial"/>
          <w:u w:val="single"/>
          <w:rtl/>
        </w:rPr>
        <w:t>א"ר חנינא מסורא</w:t>
      </w:r>
      <w:r w:rsidRPr="00495757">
        <w:rPr>
          <w:rFonts w:cs="Arial"/>
          <w:rtl/>
        </w:rPr>
        <w:t>: ת"ש, ואלו שבית דין מקנין להן: מי שנתחרש בעלה, או נשתטה, או שהיה חבוש בבית האסורין, ולא להשקותה אמרו אלא לפוסלה מכתובתה</w:t>
      </w:r>
      <w:r>
        <w:rPr>
          <w:rStyle w:val="a7"/>
          <w:rFonts w:cs="Arial"/>
          <w:rtl/>
        </w:rPr>
        <w:footnoteReference w:id="2821"/>
      </w:r>
      <w:r>
        <w:rPr>
          <w:rFonts w:cs="Arial" w:hint="cs"/>
          <w:rtl/>
        </w:rPr>
        <w:t>,</w:t>
      </w:r>
      <w:r w:rsidRPr="00495757">
        <w:rPr>
          <w:rFonts w:cs="Arial"/>
          <w:rtl/>
        </w:rPr>
        <w:t xml:space="preserve"> ש"מ בעי התראה, ש"מ.</w:t>
      </w:r>
    </w:p>
    <w:p w14:paraId="7A261E2A" w14:textId="77777777" w:rsidR="00392DBB" w:rsidRPr="00495757" w:rsidRDefault="00392DBB" w:rsidP="00392DBB">
      <w:pPr>
        <w:rPr>
          <w:u w:val="single"/>
        </w:rPr>
      </w:pPr>
      <w:r w:rsidRPr="00495757">
        <w:rPr>
          <w:rFonts w:hint="cs"/>
          <w:u w:val="single"/>
          <w:rtl/>
        </w:rPr>
        <w:t>האם עוברת על דת צריכה התראה כדי להפסיד כתובתה:</w:t>
      </w:r>
    </w:p>
    <w:p w14:paraId="23602540" w14:textId="77777777" w:rsidR="00392DBB" w:rsidRPr="00585149" w:rsidRDefault="00392DBB" w:rsidP="009000E3">
      <w:pPr>
        <w:pStyle w:val="ab"/>
        <w:numPr>
          <w:ilvl w:val="0"/>
          <w:numId w:val="72"/>
        </w:numPr>
      </w:pPr>
      <w:r>
        <w:rPr>
          <w:rFonts w:cs="Arial" w:hint="cs"/>
          <w:rtl/>
        </w:rPr>
        <w:t xml:space="preserve">טור- </w:t>
      </w:r>
      <w:r w:rsidRPr="009F080D">
        <w:rPr>
          <w:rFonts w:cs="Arial"/>
          <w:rtl/>
        </w:rPr>
        <w:t>ומ"מ לא אבדה כתובתה אא"כ יש עדים שהתרה בה תחילה</w:t>
      </w:r>
      <w:r>
        <w:rPr>
          <w:rFonts w:cs="Arial" w:hint="cs"/>
          <w:rtl/>
        </w:rPr>
        <w:t>,</w:t>
      </w:r>
      <w:r w:rsidRPr="009F080D">
        <w:rPr>
          <w:rFonts w:cs="Arial"/>
          <w:rtl/>
        </w:rPr>
        <w:t xml:space="preserve"> ועברה על התראתו</w:t>
      </w:r>
      <w:r>
        <w:rPr>
          <w:rStyle w:val="a7"/>
          <w:rFonts w:cs="Arial"/>
          <w:rtl/>
        </w:rPr>
        <w:footnoteReference w:id="2822"/>
      </w:r>
      <w:r>
        <w:rPr>
          <w:rFonts w:cs="Arial" w:hint="cs"/>
          <w:rtl/>
        </w:rPr>
        <w:t>.</w:t>
      </w:r>
      <w:r w:rsidRPr="009F080D">
        <w:rPr>
          <w:rFonts w:cs="Arial"/>
          <w:rtl/>
        </w:rPr>
        <w:t xml:space="preserve"> ואם אין עדים </w:t>
      </w:r>
      <w:r>
        <w:rPr>
          <w:rFonts w:cs="Arial" w:hint="cs"/>
          <w:rtl/>
        </w:rPr>
        <w:t xml:space="preserve">- </w:t>
      </w:r>
      <w:r w:rsidRPr="009F080D">
        <w:rPr>
          <w:rFonts w:cs="Arial"/>
          <w:rtl/>
        </w:rPr>
        <w:t>תשבע שהוא כדבריה</w:t>
      </w:r>
      <w:r>
        <w:rPr>
          <w:rStyle w:val="a7"/>
          <w:rFonts w:cs="Arial"/>
          <w:rtl/>
        </w:rPr>
        <w:footnoteReference w:id="2823"/>
      </w:r>
      <w:r>
        <w:rPr>
          <w:rFonts w:cs="Arial" w:hint="cs"/>
          <w:rtl/>
        </w:rPr>
        <w:t>.</w:t>
      </w:r>
      <w:r w:rsidRPr="009F080D">
        <w:rPr>
          <w:rFonts w:cs="Arial"/>
          <w:rtl/>
        </w:rPr>
        <w:t xml:space="preserve"> </w:t>
      </w:r>
      <w:r>
        <w:rPr>
          <w:rFonts w:cs="Arial" w:hint="cs"/>
          <w:color w:val="E36C0A" w:themeColor="accent6" w:themeShade="BF"/>
          <w:rtl/>
        </w:rPr>
        <w:t>(</w:t>
      </w:r>
      <w:r w:rsidRPr="00C847DB">
        <w:rPr>
          <w:rFonts w:cs="Arial" w:hint="cs"/>
          <w:color w:val="E36C0A" w:themeColor="accent6" w:themeShade="BF"/>
          <w:rtl/>
        </w:rPr>
        <w:t>וכ"פ בשו"ע</w:t>
      </w:r>
      <w:r>
        <w:rPr>
          <w:rFonts w:cs="Arial" w:hint="cs"/>
          <w:color w:val="E36C0A" w:themeColor="accent6" w:themeShade="BF"/>
          <w:rtl/>
        </w:rPr>
        <w:t>)</w:t>
      </w:r>
    </w:p>
    <w:p w14:paraId="3A81C29F" w14:textId="77777777" w:rsidR="00392DBB" w:rsidRPr="00F1386B" w:rsidRDefault="00392DBB" w:rsidP="00392DBB">
      <w:pPr>
        <w:ind w:left="360"/>
        <w:rPr>
          <w:u w:val="dotted"/>
        </w:rPr>
      </w:pPr>
      <w:r w:rsidRPr="00F1386B">
        <w:rPr>
          <w:rFonts w:cs="Arial" w:hint="cs"/>
          <w:u w:val="dotted"/>
          <w:rtl/>
        </w:rPr>
        <w:t>מתי צריך להתרות בה:</w:t>
      </w:r>
      <w:r w:rsidRPr="00F1386B">
        <w:rPr>
          <w:rFonts w:cs="Arial"/>
          <w:u w:val="dotted"/>
          <w:rtl/>
        </w:rPr>
        <w:t xml:space="preserve"> </w:t>
      </w:r>
    </w:p>
    <w:p w14:paraId="1F141459" w14:textId="77777777" w:rsidR="00392DBB" w:rsidRDefault="00392DBB" w:rsidP="009000E3">
      <w:pPr>
        <w:pStyle w:val="ab"/>
        <w:numPr>
          <w:ilvl w:val="0"/>
          <w:numId w:val="72"/>
        </w:numPr>
      </w:pPr>
      <w:r>
        <w:rPr>
          <w:rFonts w:cs="Arial" w:hint="cs"/>
          <w:rtl/>
        </w:rPr>
        <w:t xml:space="preserve">מהר"ם </w:t>
      </w:r>
      <w:r>
        <w:rPr>
          <w:rFonts w:cs="Arial" w:hint="cs"/>
          <w:sz w:val="16"/>
          <w:szCs w:val="16"/>
          <w:rtl/>
        </w:rPr>
        <w:t>(ד"ל סי' תמ, הביאוהו הרשב"א [ח"א סי' תתסד וסי' תתסו] המרדכי [סי' קצו] ותשו' מיימוניות [סי' טז])</w:t>
      </w:r>
      <w:r>
        <w:rPr>
          <w:rFonts w:cs="Arial" w:hint="cs"/>
          <w:rtl/>
        </w:rPr>
        <w:t xml:space="preserve">- </w:t>
      </w:r>
      <w:r>
        <w:rPr>
          <w:rFonts w:cs="Arial"/>
          <w:rtl/>
        </w:rPr>
        <w:t>עודני מחזיק לקיים דברי, דע</w:t>
      </w:r>
      <w:r>
        <w:rPr>
          <w:rFonts w:cs="Arial" w:hint="cs"/>
          <w:rtl/>
        </w:rPr>
        <w:t xml:space="preserve">ל </w:t>
      </w:r>
      <w:r>
        <w:rPr>
          <w:rFonts w:cs="Arial"/>
          <w:rtl/>
        </w:rPr>
        <w:t>כ</w:t>
      </w:r>
      <w:r>
        <w:rPr>
          <w:rFonts w:cs="Arial" w:hint="cs"/>
          <w:rtl/>
        </w:rPr>
        <w:t>רחך</w:t>
      </w:r>
      <w:r>
        <w:rPr>
          <w:rFonts w:cs="Arial"/>
          <w:rtl/>
        </w:rPr>
        <w:t xml:space="preserve"> לא בעיא התראה בשעת מעשה כמו שהוכחתי שמקנין לארוסה להשקותה כשהיא נשואה, ופירש"י בפרק הבא על יבמתו </w:t>
      </w:r>
      <w:r>
        <w:rPr>
          <w:rFonts w:cs="Arial" w:hint="cs"/>
          <w:rtl/>
        </w:rPr>
        <w:t>(</w:t>
      </w:r>
      <w:r>
        <w:rPr>
          <w:rFonts w:cs="Arial"/>
          <w:rtl/>
        </w:rPr>
        <w:t>יבמות נ</w:t>
      </w:r>
      <w:r>
        <w:rPr>
          <w:rFonts w:cs="Arial" w:hint="cs"/>
          <w:rtl/>
        </w:rPr>
        <w:t>ח:</w:t>
      </w:r>
      <w:r>
        <w:rPr>
          <w:rFonts w:cs="Arial"/>
          <w:rtl/>
        </w:rPr>
        <w:t xml:space="preserve"> ד"ה רב פפא אמר</w:t>
      </w:r>
      <w:r>
        <w:rPr>
          <w:rFonts w:cs="Arial" w:hint="cs"/>
          <w:rtl/>
        </w:rPr>
        <w:t>)</w:t>
      </w:r>
      <w:r>
        <w:rPr>
          <w:rFonts w:cs="Arial"/>
          <w:rtl/>
        </w:rPr>
        <w:t xml:space="preserve"> על סתירה שנסתרה לאחר שנישאת.</w:t>
      </w:r>
      <w:r>
        <w:rPr>
          <w:rFonts w:cs="Arial" w:hint="cs"/>
          <w:rtl/>
        </w:rPr>
        <w:t>..</w:t>
      </w:r>
      <w:r>
        <w:rPr>
          <w:rFonts w:cs="Arial"/>
          <w:rtl/>
        </w:rPr>
        <w:t xml:space="preserve"> והכי איתא בהדיא בפרק ארוסה </w:t>
      </w:r>
      <w:r>
        <w:rPr>
          <w:rFonts w:cs="Arial" w:hint="cs"/>
          <w:rtl/>
        </w:rPr>
        <w:t>(</w:t>
      </w:r>
      <w:r>
        <w:rPr>
          <w:rFonts w:cs="Arial"/>
          <w:rtl/>
        </w:rPr>
        <w:t>סוטה כו</w:t>
      </w:r>
      <w:r>
        <w:rPr>
          <w:rFonts w:cs="Arial" w:hint="cs"/>
          <w:rtl/>
        </w:rPr>
        <w:t>.)</w:t>
      </w:r>
      <w:r>
        <w:rPr>
          <w:rFonts w:cs="Arial"/>
          <w:rtl/>
        </w:rPr>
        <w:t xml:space="preserve"> המקנא לארוסתו ולשומרת יבם שלו, משנכנסה נסתרה, או שותות או לא נוטלות כתובה. אלמא אע</w:t>
      </w:r>
      <w:r>
        <w:rPr>
          <w:rFonts w:cs="Arial" w:hint="cs"/>
          <w:rtl/>
        </w:rPr>
        <w:t>"</w:t>
      </w:r>
      <w:r>
        <w:rPr>
          <w:rFonts w:cs="Arial"/>
          <w:rtl/>
        </w:rPr>
        <w:t xml:space="preserve">ג דהקינוי היה קודם הסתירה הרבה מהני להשקותה על ידי ההוא קינוי, כ"ש דמהני להפסידה כתובתה כמו שכתבתי כבר. </w:t>
      </w:r>
      <w:r w:rsidRPr="00585149">
        <w:rPr>
          <w:rFonts w:cs="Arial"/>
          <w:rtl/>
        </w:rPr>
        <w:t>ומה שכתבת דומיא דמשמשתו נידה. משמשתו נדה נמי לא בעי להתרות בשעת מעשה, אלא כשהיא עוברת פעם אחת שוב מתרה בה בעדים והזהרי שלא תעברי עוד, ואם תעברי תפסדי כתובתך ותצאי בלא כתובה. ואם יש עדים שראוה שעברה תצא בלא כתובה, אע</w:t>
      </w:r>
      <w:r w:rsidRPr="00585149">
        <w:rPr>
          <w:rFonts w:cs="Arial" w:hint="cs"/>
          <w:rtl/>
        </w:rPr>
        <w:t>"</w:t>
      </w:r>
      <w:r w:rsidRPr="00585149">
        <w:rPr>
          <w:rFonts w:cs="Arial"/>
          <w:rtl/>
        </w:rPr>
        <w:t xml:space="preserve">פ שלא חזרו והתרו בה פעם שנייה בשעת מעשה, מידי דהוי אקינוי שאדם מקנה לאשתו אל תסתרי ושוב ראה שנסתרה, אף על פי שלא התרו בה בשעת מעשה משקה אותה ולא מציא למימר אישתליין, וכ"ש הכא לגבי כתובה דלא מציא למימר אישתליין. </w:t>
      </w:r>
      <w:r>
        <w:rPr>
          <w:rFonts w:hint="cs"/>
          <w:rtl/>
        </w:rPr>
        <w:t>(וכ"פ הח"מ</w:t>
      </w:r>
      <w:r>
        <w:rPr>
          <w:rFonts w:hint="cs"/>
          <w:sz w:val="16"/>
          <w:szCs w:val="16"/>
          <w:rtl/>
        </w:rPr>
        <w:t xml:space="preserve"> [סקט"ז]</w:t>
      </w:r>
      <w:r>
        <w:rPr>
          <w:rFonts w:hint="cs"/>
          <w:rtl/>
        </w:rPr>
        <w:t>)</w:t>
      </w:r>
    </w:p>
    <w:p w14:paraId="605D51DA" w14:textId="77777777" w:rsidR="00392DBB" w:rsidRPr="00F1386B" w:rsidRDefault="00392DBB" w:rsidP="00392DBB">
      <w:pPr>
        <w:ind w:left="360"/>
        <w:rPr>
          <w:u w:val="dotted"/>
        </w:rPr>
      </w:pPr>
      <w:r w:rsidRPr="00F1386B">
        <w:rPr>
          <w:rFonts w:hint="cs"/>
          <w:u w:val="dotted"/>
          <w:rtl/>
        </w:rPr>
        <w:lastRenderedPageBreak/>
        <w:t>מהי לשון ההתראה:</w:t>
      </w:r>
    </w:p>
    <w:p w14:paraId="771A08E2" w14:textId="77777777" w:rsidR="00392DBB" w:rsidRDefault="00392DBB" w:rsidP="009000E3">
      <w:pPr>
        <w:pStyle w:val="ab"/>
        <w:numPr>
          <w:ilvl w:val="0"/>
          <w:numId w:val="72"/>
        </w:numPr>
      </w:pPr>
      <w:r w:rsidRPr="00585149">
        <w:rPr>
          <w:rFonts w:cs="Arial"/>
          <w:rtl/>
        </w:rPr>
        <w:t xml:space="preserve">רא"ש </w:t>
      </w:r>
      <w:r>
        <w:rPr>
          <w:rFonts w:cs="Arial" w:hint="cs"/>
          <w:sz w:val="16"/>
          <w:szCs w:val="16"/>
          <w:rtl/>
        </w:rPr>
        <w:t>(כלל לב סי' יז, כ"כ הב"י [בבדה"ב] בשמו)</w:t>
      </w:r>
      <w:r>
        <w:rPr>
          <w:rFonts w:cs="Arial" w:hint="cs"/>
          <w:rtl/>
        </w:rPr>
        <w:t xml:space="preserve">- </w:t>
      </w:r>
      <w:r w:rsidRPr="00585149">
        <w:rPr>
          <w:rFonts w:cs="Arial"/>
          <w:rtl/>
        </w:rPr>
        <w:t xml:space="preserve">לשון ההתראה הוא </w:t>
      </w:r>
      <w:r>
        <w:rPr>
          <w:rFonts w:cs="Arial" w:hint="cs"/>
          <w:rtl/>
        </w:rPr>
        <w:t>'</w:t>
      </w:r>
      <w:r w:rsidRPr="00585149">
        <w:rPr>
          <w:rFonts w:cs="Arial"/>
          <w:rtl/>
        </w:rPr>
        <w:t>דעי שאם תעשי כך תפסידי כתובתיך</w:t>
      </w:r>
      <w:r>
        <w:rPr>
          <w:rFonts w:cs="Arial" w:hint="cs"/>
          <w:rtl/>
        </w:rPr>
        <w:t>'</w:t>
      </w:r>
      <w:r>
        <w:rPr>
          <w:rStyle w:val="a7"/>
          <w:rFonts w:cs="Arial"/>
          <w:rtl/>
        </w:rPr>
        <w:footnoteReference w:id="2824"/>
      </w:r>
      <w:r>
        <w:rPr>
          <w:rFonts w:hint="cs"/>
          <w:rtl/>
        </w:rPr>
        <w:t xml:space="preserve">. </w:t>
      </w:r>
      <w:r w:rsidRPr="00CE53A0">
        <w:rPr>
          <w:rFonts w:hint="cs"/>
          <w:color w:val="E36C0A" w:themeColor="accent6" w:themeShade="BF"/>
          <w:rtl/>
        </w:rPr>
        <w:t>(וכ"פ בשו"ע</w:t>
      </w:r>
      <w:r w:rsidRPr="00CE53A0">
        <w:rPr>
          <w:rFonts w:hint="cs"/>
          <w:color w:val="E36C0A" w:themeColor="accent6" w:themeShade="BF"/>
          <w:sz w:val="16"/>
          <w:szCs w:val="16"/>
          <w:rtl/>
        </w:rPr>
        <w:t xml:space="preserve"> </w:t>
      </w:r>
      <w:r>
        <w:rPr>
          <w:rFonts w:hint="cs"/>
          <w:sz w:val="16"/>
          <w:szCs w:val="16"/>
          <w:rtl/>
        </w:rPr>
        <w:t>[בסע' י]</w:t>
      </w:r>
      <w:r w:rsidRPr="00CE53A0">
        <w:rPr>
          <w:rFonts w:hint="cs"/>
          <w:color w:val="E36C0A" w:themeColor="accent6" w:themeShade="BF"/>
          <w:rtl/>
        </w:rPr>
        <w:t>)</w:t>
      </w:r>
      <w:r>
        <w:rPr>
          <w:rFonts w:hint="cs"/>
          <w:rtl/>
        </w:rPr>
        <w:t xml:space="preserve"> (וכ"פ הח"מ</w:t>
      </w:r>
      <w:r>
        <w:rPr>
          <w:rFonts w:hint="cs"/>
          <w:sz w:val="16"/>
          <w:szCs w:val="16"/>
          <w:rtl/>
        </w:rPr>
        <w:t xml:space="preserve"> [סקט"ז]</w:t>
      </w:r>
      <w:r>
        <w:rPr>
          <w:rFonts w:hint="cs"/>
          <w:rtl/>
        </w:rPr>
        <w:t>)</w:t>
      </w:r>
    </w:p>
    <w:p w14:paraId="3CD3CD7F" w14:textId="77777777" w:rsidR="00392DBB" w:rsidRDefault="00392DBB" w:rsidP="009000E3">
      <w:pPr>
        <w:pStyle w:val="ab"/>
        <w:numPr>
          <w:ilvl w:val="0"/>
          <w:numId w:val="72"/>
        </w:numPr>
      </w:pPr>
      <w:r>
        <w:rPr>
          <w:rFonts w:hint="cs"/>
          <w:rtl/>
        </w:rPr>
        <w:t xml:space="preserve">ריא"ז </w:t>
      </w:r>
      <w:r>
        <w:rPr>
          <w:rFonts w:hint="cs"/>
          <w:sz w:val="16"/>
          <w:szCs w:val="16"/>
          <w:rtl/>
        </w:rPr>
        <w:t>(פסקי ריא"ז כתובות פ"ז אות ד, וכ"כ בשמו השלט"ג [שם])</w:t>
      </w:r>
      <w:r>
        <w:rPr>
          <w:rFonts w:hint="cs"/>
          <w:rtl/>
        </w:rPr>
        <w:t xml:space="preserve"> שלט"ג </w:t>
      </w:r>
      <w:r w:rsidRPr="00133020">
        <w:rPr>
          <w:rFonts w:cs="Arial"/>
          <w:sz w:val="16"/>
          <w:szCs w:val="16"/>
          <w:rtl/>
        </w:rPr>
        <w:t>(לג. אות א)</w:t>
      </w:r>
      <w:r>
        <w:rPr>
          <w:rFonts w:hint="cs"/>
          <w:rtl/>
        </w:rPr>
        <w:t xml:space="preserve"> ומהרח"ש</w:t>
      </w:r>
      <w:r>
        <w:rPr>
          <w:rFonts w:hint="cs"/>
          <w:sz w:val="16"/>
          <w:szCs w:val="16"/>
          <w:rtl/>
        </w:rPr>
        <w:t xml:space="preserve"> (סי' נז)</w:t>
      </w:r>
      <w:r>
        <w:rPr>
          <w:rFonts w:hint="cs"/>
          <w:rtl/>
        </w:rPr>
        <w:t>- ונראה בעיני שאין צורך להתרות בהן ולהודיען שמפסידות כתובתן אלא אפי' אם התרו שלא ינהגו כמנהגות הרעות הללו והן מחזיקות ברשען יוצאות בלא כתובה ובלא תוספת כמבואר בקונטרס הראיות (ראיה י)</w:t>
      </w:r>
      <w:r>
        <w:rPr>
          <w:rFonts w:hint="cs"/>
          <w:sz w:val="16"/>
          <w:szCs w:val="16"/>
          <w:rtl/>
        </w:rPr>
        <w:t xml:space="preserve"> (ל' ריא"ז)</w:t>
      </w:r>
      <w:r>
        <w:rPr>
          <w:rStyle w:val="a7"/>
          <w:rFonts w:cs="Arial"/>
          <w:rtl/>
        </w:rPr>
        <w:footnoteReference w:id="2825"/>
      </w:r>
      <w:r>
        <w:rPr>
          <w:rFonts w:hint="cs"/>
          <w:rtl/>
        </w:rPr>
        <w:t>.</w:t>
      </w:r>
    </w:p>
    <w:p w14:paraId="247F63AB" w14:textId="704B5BF3" w:rsidR="00392DBB" w:rsidRDefault="00392DBB" w:rsidP="00392DBB">
      <w:pPr>
        <w:rPr>
          <w:u w:val="single"/>
          <w:rtl/>
        </w:rPr>
      </w:pPr>
      <w:r w:rsidRPr="00495757">
        <w:rPr>
          <w:rFonts w:cs="Arial" w:hint="cs"/>
          <w:b/>
          <w:bCs/>
          <w:rtl/>
        </w:rPr>
        <w:t xml:space="preserve">סוטה </w:t>
      </w:r>
      <w:r>
        <w:rPr>
          <w:rFonts w:cs="Arial" w:hint="cs"/>
          <w:b/>
          <w:bCs/>
          <w:sz w:val="16"/>
          <w:szCs w:val="16"/>
          <w:rtl/>
        </w:rPr>
        <w:t xml:space="preserve">(פ' ארוסה) </w:t>
      </w:r>
      <w:r w:rsidRPr="00495757">
        <w:rPr>
          <w:rFonts w:cs="Arial" w:hint="cs"/>
          <w:b/>
          <w:bCs/>
          <w:rtl/>
        </w:rPr>
        <w:t>כה</w:t>
      </w:r>
      <w:r w:rsidR="003C78F1" w:rsidRPr="00210907">
        <w:rPr>
          <w:rStyle w:val="a7"/>
          <w:rFonts w:cs="Arial"/>
          <w:b/>
          <w:bCs/>
          <w:rtl/>
        </w:rPr>
        <w:footnoteReference w:id="2826"/>
      </w:r>
      <w:r w:rsidRPr="00495757">
        <w:rPr>
          <w:rFonts w:cs="Arial" w:hint="cs"/>
          <w:b/>
          <w:bCs/>
          <w:rtl/>
        </w:rPr>
        <w:t xml:space="preserve"> ע"א:</w:t>
      </w:r>
      <w:r w:rsidRPr="00A151A0">
        <w:rPr>
          <w:rFonts w:cs="Arial" w:hint="cs"/>
          <w:rtl/>
        </w:rPr>
        <w:t xml:space="preserve"> </w:t>
      </w:r>
      <w:r w:rsidRPr="00A151A0">
        <w:rPr>
          <w:rFonts w:cs="Arial"/>
          <w:rtl/>
        </w:rPr>
        <w:t>איבעיא להו: עוברת על דת ורצה בעל לקיימה, מקיימה או אינו מקיימה? מי אמרינן בקפידא דבעל תלא רחמנא, והא לא קפיד, או דלמא כיון דקפיד - קפיד? ת"ש, ואלו שבית דין מקנין להן: מי שנתחרש בעלה, או נשתטה, או שהיה חבוש בבית האסורין</w:t>
      </w:r>
      <w:r>
        <w:rPr>
          <w:rFonts w:cs="Arial" w:hint="cs"/>
          <w:rtl/>
        </w:rPr>
        <w:t>.</w:t>
      </w:r>
      <w:r w:rsidRPr="00A151A0">
        <w:rPr>
          <w:rFonts w:cs="Arial"/>
          <w:rtl/>
        </w:rPr>
        <w:t xml:space="preserve"> ואי אמרת רצה בעל לקיימה מקיימה, עבדי ב"ד מידי דדלמא לא ניחא ליה לבעל? סתמא דמילתא כיון דעוברת על דת </w:t>
      </w:r>
      <w:r w:rsidRPr="004B6EBE">
        <w:rPr>
          <w:rFonts w:cs="Arial"/>
          <w:rtl/>
        </w:rPr>
        <w:t>היא, מינח ניחא ליה</w:t>
      </w:r>
      <w:r w:rsidRPr="004B6EBE">
        <w:rPr>
          <w:rStyle w:val="a7"/>
          <w:rFonts w:cs="Arial"/>
          <w:rtl/>
        </w:rPr>
        <w:footnoteReference w:id="2827"/>
      </w:r>
      <w:r w:rsidRPr="004B6EBE">
        <w:rPr>
          <w:rFonts w:cs="Arial"/>
          <w:rtl/>
        </w:rPr>
        <w:t>.</w:t>
      </w:r>
      <w:r w:rsidRPr="004B6EBE">
        <w:rPr>
          <w:rtl/>
        </w:rPr>
        <w:t xml:space="preserve"> </w:t>
      </w:r>
      <w:r w:rsidRPr="004B6EBE">
        <w:rPr>
          <w:rFonts w:cs="Arial"/>
          <w:rtl/>
        </w:rPr>
        <w:t>איבעיא להו: בעל שמחל על קינויו, קינויו מחול או אינו מחול? מי אמרינן בקינוי דבעל תלא רחמנא, ובעל הא מחיל ליה לקינויו, או דלמא כיון דקני ליה מעיקרא - לא מצי מחיל ליה? ת"ש, ואלו שב"ד מקנין להן: מי שנתחרש בעלה, או נשתטה, או שהיה חבוש בבית האסורין; ואי אמרת בעל שמחל על קינויו קינויו מחול, עבדינן מידי דאתי בעל מחיל ליה? סתמא דמלתא אדם מסכים על דעת ב"ד. ת"ש: ומוסרין לו שני ת"ח, שמא יבא עליה בדרך; ואי אמרת בעל שמחל על קינויו קינויו מחול, לחליה לקינויה ולבעול! מ"ש תלמידי חכמים? דגמירי, דאי בעי למיבעל, אמרי ליה: אחליה לקינוייך ובעלה. ת"ש: דאמר ר' יאשיה, שלשה דברים סח לי זעירא מאנשי ירושלים: בעל שמחל על קינויו - קינויו מחול, וזקן ממרא שרצו בית דין למחול לו - מוחלין לו, ובן סורר ומורה שרצו אביו ואמו למחול לו - מוחלין לו; וכשבאתי אצל חבירי שבדרום, על שנים הודו לי ועל זקן ממרא לא הודו לי, שלא ירבו מחלוקת בישראל; ש"מ בעל שמחל על קינויו - קינויו מחול, ש"מ.</w:t>
      </w:r>
    </w:p>
    <w:p w14:paraId="461F6B7E" w14:textId="2285780A" w:rsidR="00392DBB" w:rsidRPr="00F1386B" w:rsidRDefault="00392DBB" w:rsidP="00392DBB">
      <w:pPr>
        <w:rPr>
          <w:u w:val="single"/>
        </w:rPr>
      </w:pPr>
      <w:r w:rsidRPr="00F1386B">
        <w:rPr>
          <w:rFonts w:hint="cs"/>
          <w:u w:val="single"/>
          <w:rtl/>
        </w:rPr>
        <w:t>אש</w:t>
      </w:r>
      <w:r>
        <w:rPr>
          <w:rFonts w:hint="cs"/>
          <w:u w:val="single"/>
          <w:rtl/>
        </w:rPr>
        <w:t xml:space="preserve">ה </w:t>
      </w:r>
      <w:r w:rsidRPr="00F1386B">
        <w:rPr>
          <w:rFonts w:hint="cs"/>
          <w:u w:val="single"/>
          <w:rtl/>
        </w:rPr>
        <w:t>ש</w:t>
      </w:r>
      <w:r>
        <w:rPr>
          <w:rFonts w:hint="cs"/>
          <w:u w:val="single"/>
          <w:rtl/>
        </w:rPr>
        <w:t>עו</w:t>
      </w:r>
      <w:r w:rsidRPr="00F1386B">
        <w:rPr>
          <w:rFonts w:hint="cs"/>
          <w:u w:val="single"/>
          <w:rtl/>
        </w:rPr>
        <w:t>ברת על דת</w:t>
      </w:r>
      <w:r>
        <w:rPr>
          <w:rFonts w:hint="cs"/>
          <w:u w:val="single"/>
          <w:rtl/>
        </w:rPr>
        <w:t xml:space="preserve"> </w:t>
      </w:r>
      <w:r w:rsidR="00F97626">
        <w:rPr>
          <w:u w:val="single"/>
          <w:rtl/>
        </w:rPr>
        <w:t>-</w:t>
      </w:r>
      <w:r>
        <w:rPr>
          <w:rFonts w:hint="cs"/>
          <w:u w:val="single"/>
          <w:rtl/>
        </w:rPr>
        <w:t xml:space="preserve"> האם כופים את בעלה להוציאה</w:t>
      </w:r>
      <w:r w:rsidRPr="00F1386B">
        <w:rPr>
          <w:rFonts w:hint="cs"/>
          <w:u w:val="single"/>
          <w:rtl/>
        </w:rPr>
        <w:t>:</w:t>
      </w:r>
    </w:p>
    <w:p w14:paraId="3E6B887B" w14:textId="77777777" w:rsidR="00392DBB" w:rsidRPr="00746479" w:rsidRDefault="00392DBB" w:rsidP="009000E3">
      <w:pPr>
        <w:pStyle w:val="ab"/>
        <w:numPr>
          <w:ilvl w:val="0"/>
          <w:numId w:val="72"/>
        </w:numPr>
      </w:pPr>
      <w:r>
        <w:rPr>
          <w:rFonts w:cs="Arial" w:hint="cs"/>
          <w:rtl/>
        </w:rPr>
        <w:t xml:space="preserve">ראב"ד </w:t>
      </w:r>
      <w:r>
        <w:rPr>
          <w:rFonts w:cs="Arial" w:hint="cs"/>
          <w:sz w:val="16"/>
          <w:szCs w:val="16"/>
          <w:rtl/>
        </w:rPr>
        <w:t>(כ"כ בשמו הרשב"א [כתובות עב:] והר"ן [כתובות</w:t>
      </w:r>
      <w:r w:rsidRPr="00746479">
        <w:rPr>
          <w:rFonts w:cs="Arial" w:hint="cs"/>
          <w:sz w:val="16"/>
          <w:szCs w:val="16"/>
          <w:rtl/>
        </w:rPr>
        <w:t xml:space="preserve"> </w:t>
      </w:r>
      <w:r w:rsidRPr="00746479">
        <w:rPr>
          <w:rFonts w:cs="Arial"/>
          <w:sz w:val="16"/>
          <w:szCs w:val="16"/>
          <w:rtl/>
        </w:rPr>
        <w:t>לג.</w:t>
      </w:r>
      <w:r>
        <w:rPr>
          <w:rFonts w:cs="Arial" w:hint="cs"/>
          <w:sz w:val="16"/>
          <w:szCs w:val="16"/>
          <w:rtl/>
        </w:rPr>
        <w:t xml:space="preserve">]) </w:t>
      </w:r>
      <w:r w:rsidRPr="006F32B2">
        <w:rPr>
          <w:rFonts w:cs="Arial"/>
          <w:rtl/>
        </w:rPr>
        <w:t>רא"ש</w:t>
      </w:r>
      <w:r>
        <w:rPr>
          <w:rFonts w:cs="Arial" w:hint="cs"/>
          <w:rtl/>
        </w:rPr>
        <w:t xml:space="preserve"> </w:t>
      </w:r>
      <w:r w:rsidRPr="00746479">
        <w:rPr>
          <w:rFonts w:cs="Arial" w:hint="cs"/>
          <w:sz w:val="16"/>
          <w:szCs w:val="16"/>
          <w:rtl/>
        </w:rPr>
        <w:t>(</w:t>
      </w:r>
      <w:r w:rsidRPr="00746479">
        <w:rPr>
          <w:rFonts w:cs="Arial"/>
          <w:sz w:val="16"/>
          <w:szCs w:val="16"/>
          <w:rtl/>
        </w:rPr>
        <w:t>פ</w:t>
      </w:r>
      <w:r w:rsidRPr="00746479">
        <w:rPr>
          <w:rFonts w:cs="Arial" w:hint="cs"/>
          <w:sz w:val="16"/>
          <w:szCs w:val="16"/>
          <w:rtl/>
        </w:rPr>
        <w:t>'</w:t>
      </w:r>
      <w:r w:rsidRPr="00746479">
        <w:rPr>
          <w:rFonts w:cs="Arial"/>
          <w:sz w:val="16"/>
          <w:szCs w:val="16"/>
          <w:rtl/>
        </w:rPr>
        <w:t xml:space="preserve"> המדיר סו"ס </w:t>
      </w:r>
      <w:r w:rsidRPr="00746479">
        <w:rPr>
          <w:rFonts w:cs="Arial" w:hint="cs"/>
          <w:sz w:val="16"/>
          <w:szCs w:val="16"/>
          <w:rtl/>
        </w:rPr>
        <w:t xml:space="preserve">) </w:t>
      </w:r>
      <w:r>
        <w:rPr>
          <w:rFonts w:cs="Arial" w:hint="cs"/>
          <w:rtl/>
        </w:rPr>
        <w:t xml:space="preserve">וטור- </w:t>
      </w:r>
      <w:r w:rsidRPr="009F080D">
        <w:rPr>
          <w:rFonts w:cs="Arial"/>
          <w:rtl/>
        </w:rPr>
        <w:t>ואם רצה לקיים אותה אח"כ אין כופין אותו להוציאה</w:t>
      </w:r>
      <w:r>
        <w:rPr>
          <w:rFonts w:cs="Arial" w:hint="cs"/>
          <w:rtl/>
        </w:rPr>
        <w:t>,</w:t>
      </w:r>
      <w:r w:rsidRPr="009F080D">
        <w:rPr>
          <w:rFonts w:cs="Arial"/>
          <w:rtl/>
        </w:rPr>
        <w:t xml:space="preserve"> ומ"מ מצוה עליו שיוציאנה</w:t>
      </w:r>
      <w:r>
        <w:rPr>
          <w:rFonts w:cs="Arial" w:hint="cs"/>
          <w:sz w:val="16"/>
          <w:szCs w:val="16"/>
          <w:rtl/>
        </w:rPr>
        <w:t xml:space="preserve"> (ל' הטור)</w:t>
      </w:r>
      <w:r>
        <w:rPr>
          <w:rFonts w:cs="Arial" w:hint="cs"/>
          <w:rtl/>
        </w:rPr>
        <w:t>.</w:t>
      </w:r>
      <w:r w:rsidRPr="007C7697">
        <w:rPr>
          <w:rFonts w:cs="Arial" w:hint="cs"/>
          <w:color w:val="E36C0A" w:themeColor="accent6" w:themeShade="BF"/>
          <w:rtl/>
        </w:rPr>
        <w:t xml:space="preserve"> </w:t>
      </w:r>
      <w:r>
        <w:rPr>
          <w:rFonts w:cs="Arial" w:hint="cs"/>
          <w:color w:val="E36C0A" w:themeColor="accent6" w:themeShade="BF"/>
          <w:rtl/>
        </w:rPr>
        <w:t>(</w:t>
      </w:r>
      <w:r w:rsidRPr="00C847DB">
        <w:rPr>
          <w:rFonts w:cs="Arial" w:hint="cs"/>
          <w:color w:val="E36C0A" w:themeColor="accent6" w:themeShade="BF"/>
          <w:rtl/>
        </w:rPr>
        <w:t>וכ"פ בשו"ע</w:t>
      </w:r>
      <w:r>
        <w:rPr>
          <w:rFonts w:cs="Arial" w:hint="cs"/>
          <w:color w:val="E36C0A" w:themeColor="accent6" w:themeShade="BF"/>
          <w:rtl/>
        </w:rPr>
        <w:t>)</w:t>
      </w:r>
    </w:p>
    <w:p w14:paraId="3E5FAA01" w14:textId="77777777" w:rsidR="00392DBB" w:rsidRDefault="00392DBB" w:rsidP="009000E3">
      <w:pPr>
        <w:pStyle w:val="ab"/>
        <w:numPr>
          <w:ilvl w:val="0"/>
          <w:numId w:val="72"/>
        </w:numPr>
      </w:pPr>
      <w:r>
        <w:rPr>
          <w:rFonts w:cs="Arial" w:hint="cs"/>
          <w:rtl/>
        </w:rPr>
        <w:t>תוס'</w:t>
      </w:r>
      <w:r>
        <w:rPr>
          <w:rStyle w:val="a7"/>
          <w:rFonts w:cs="Arial"/>
          <w:rtl/>
        </w:rPr>
        <w:footnoteReference w:id="2828"/>
      </w:r>
      <w:r>
        <w:rPr>
          <w:rFonts w:cs="Arial" w:hint="cs"/>
          <w:rtl/>
        </w:rPr>
        <w:t xml:space="preserve"> </w:t>
      </w:r>
      <w:r>
        <w:rPr>
          <w:rFonts w:cs="Arial" w:hint="cs"/>
          <w:sz w:val="16"/>
          <w:szCs w:val="16"/>
          <w:rtl/>
        </w:rPr>
        <w:t xml:space="preserve">(סוטה כה. ד"ה שמע מינה) </w:t>
      </w:r>
      <w:r w:rsidRPr="006F32B2">
        <w:rPr>
          <w:rFonts w:cs="Arial"/>
          <w:rtl/>
        </w:rPr>
        <w:t xml:space="preserve">רמב"ם </w:t>
      </w:r>
      <w:r w:rsidRPr="00746479">
        <w:rPr>
          <w:rFonts w:cs="Arial" w:hint="cs"/>
          <w:sz w:val="16"/>
          <w:szCs w:val="16"/>
          <w:rtl/>
        </w:rPr>
        <w:t>(פכ"ד הט"ז)</w:t>
      </w:r>
      <w:r>
        <w:rPr>
          <w:rFonts w:cs="Arial" w:hint="cs"/>
          <w:rtl/>
        </w:rPr>
        <w:t xml:space="preserve"> ו</w:t>
      </w:r>
      <w:r w:rsidRPr="006F32B2">
        <w:rPr>
          <w:rFonts w:cs="Arial"/>
          <w:rtl/>
        </w:rPr>
        <w:t>רשב"א</w:t>
      </w:r>
      <w:r>
        <w:rPr>
          <w:rStyle w:val="a7"/>
          <w:rFonts w:cs="Arial"/>
          <w:rtl/>
        </w:rPr>
        <w:footnoteReference w:id="2829"/>
      </w:r>
      <w:r w:rsidRPr="00F60CE1">
        <w:rPr>
          <w:rFonts w:cs="Arial"/>
          <w:sz w:val="16"/>
          <w:szCs w:val="16"/>
          <w:rtl/>
        </w:rPr>
        <w:t xml:space="preserve"> (כתובות עב: ד"ה ואסיקנא</w:t>
      </w:r>
      <w:r w:rsidRPr="00F60CE1">
        <w:rPr>
          <w:rFonts w:cs="Arial" w:hint="cs"/>
          <w:sz w:val="16"/>
          <w:szCs w:val="16"/>
          <w:rtl/>
        </w:rPr>
        <w:t xml:space="preserve">, </w:t>
      </w:r>
      <w:r>
        <w:rPr>
          <w:rFonts w:cs="Arial" w:hint="cs"/>
          <w:sz w:val="16"/>
          <w:szCs w:val="16"/>
          <w:rtl/>
        </w:rPr>
        <w:t>ו</w:t>
      </w:r>
      <w:r w:rsidRPr="00F60CE1">
        <w:rPr>
          <w:rFonts w:cs="Arial" w:hint="cs"/>
          <w:sz w:val="16"/>
          <w:szCs w:val="16"/>
          <w:rtl/>
        </w:rPr>
        <w:t>כ"כ הר"ן בשמו [שם]</w:t>
      </w:r>
      <w:r w:rsidRPr="00F60CE1">
        <w:rPr>
          <w:rFonts w:cs="Arial"/>
          <w:sz w:val="16"/>
          <w:szCs w:val="16"/>
          <w:rtl/>
        </w:rPr>
        <w:t>)</w:t>
      </w:r>
      <w:r>
        <w:rPr>
          <w:rFonts w:cs="Arial" w:hint="cs"/>
          <w:rtl/>
        </w:rPr>
        <w:t xml:space="preserve">- </w:t>
      </w:r>
      <w:r w:rsidRPr="00746479">
        <w:rPr>
          <w:rFonts w:cs="Arial"/>
          <w:rtl/>
        </w:rPr>
        <w:t xml:space="preserve">עוברת על דת משה או על דת יהודית וכן זו שעשת דבר מכוער </w:t>
      </w:r>
      <w:r>
        <w:rPr>
          <w:rFonts w:cs="Arial" w:hint="cs"/>
          <w:rtl/>
        </w:rPr>
        <w:t xml:space="preserve">- </w:t>
      </w:r>
      <w:r w:rsidRPr="00746479">
        <w:rPr>
          <w:rFonts w:cs="Arial"/>
          <w:rtl/>
        </w:rPr>
        <w:t>אין כופין את הבעל להוציא</w:t>
      </w:r>
      <w:r>
        <w:rPr>
          <w:rFonts w:cs="Arial" w:hint="cs"/>
          <w:rtl/>
        </w:rPr>
        <w:t>,</w:t>
      </w:r>
      <w:r w:rsidRPr="00746479">
        <w:rPr>
          <w:rFonts w:cs="Arial"/>
          <w:rtl/>
        </w:rPr>
        <w:t xml:space="preserve"> אלא אם רצה לא יוציא</w:t>
      </w:r>
      <w:r>
        <w:rPr>
          <w:rStyle w:val="a7"/>
          <w:rFonts w:cs="Arial"/>
          <w:rtl/>
        </w:rPr>
        <w:footnoteReference w:id="2830"/>
      </w:r>
      <w:r>
        <w:rPr>
          <w:rFonts w:cs="Arial" w:hint="cs"/>
          <w:sz w:val="16"/>
          <w:szCs w:val="16"/>
          <w:rtl/>
        </w:rPr>
        <w:t xml:space="preserve"> (ל' הרמב"ם)</w:t>
      </w:r>
      <w:r>
        <w:rPr>
          <w:rFonts w:cs="Arial" w:hint="cs"/>
          <w:rtl/>
        </w:rPr>
        <w:t>.</w:t>
      </w:r>
      <w:r w:rsidRPr="00746479">
        <w:rPr>
          <w:rFonts w:cs="Arial"/>
          <w:rtl/>
        </w:rPr>
        <w:t xml:space="preserve"> </w:t>
      </w:r>
    </w:p>
    <w:p w14:paraId="7709C19A" w14:textId="37348296" w:rsidR="00392DBB" w:rsidRPr="004B6EBE" w:rsidRDefault="00392DBB" w:rsidP="00392DBB">
      <w:pPr>
        <w:ind w:left="360"/>
        <w:rPr>
          <w:u w:val="dotted"/>
        </w:rPr>
      </w:pPr>
      <w:r w:rsidRPr="004B6EBE">
        <w:rPr>
          <w:rFonts w:hint="cs"/>
          <w:u w:val="dotted"/>
          <w:rtl/>
        </w:rPr>
        <w:t xml:space="preserve">בעל שלא רצה להוציא </w:t>
      </w:r>
      <w:r w:rsidR="00F97626">
        <w:rPr>
          <w:u w:val="dotted"/>
          <w:rtl/>
        </w:rPr>
        <w:t>-</w:t>
      </w:r>
      <w:r w:rsidRPr="004B6EBE">
        <w:rPr>
          <w:rFonts w:hint="cs"/>
          <w:u w:val="dotted"/>
          <w:rtl/>
        </w:rPr>
        <w:t xml:space="preserve"> האם יש לאשתו כתובה:</w:t>
      </w:r>
    </w:p>
    <w:p w14:paraId="4C551799" w14:textId="77777777" w:rsidR="00392DBB" w:rsidRDefault="00392DBB" w:rsidP="009000E3">
      <w:pPr>
        <w:pStyle w:val="ab"/>
        <w:numPr>
          <w:ilvl w:val="0"/>
          <w:numId w:val="72"/>
        </w:numPr>
      </w:pPr>
      <w:r w:rsidRPr="006F32B2">
        <w:rPr>
          <w:rFonts w:cs="Arial"/>
          <w:rtl/>
        </w:rPr>
        <w:t xml:space="preserve">רמב"ם </w:t>
      </w:r>
      <w:r w:rsidRPr="00746479">
        <w:rPr>
          <w:rFonts w:cs="Arial" w:hint="cs"/>
          <w:sz w:val="16"/>
          <w:szCs w:val="16"/>
          <w:rtl/>
        </w:rPr>
        <w:t>(פכ"ד הט"ז)</w:t>
      </w:r>
      <w:r>
        <w:rPr>
          <w:rFonts w:cs="Arial" w:hint="cs"/>
          <w:rtl/>
        </w:rPr>
        <w:t xml:space="preserve"> וטור- </w:t>
      </w:r>
      <w:r w:rsidRPr="00746479">
        <w:rPr>
          <w:rFonts w:cs="Arial"/>
          <w:rtl/>
        </w:rPr>
        <w:t>ואע</w:t>
      </w:r>
      <w:r>
        <w:rPr>
          <w:rFonts w:cs="Arial" w:hint="cs"/>
          <w:rtl/>
        </w:rPr>
        <w:t>"</w:t>
      </w:r>
      <w:r w:rsidRPr="00746479">
        <w:rPr>
          <w:rFonts w:cs="Arial"/>
          <w:rtl/>
        </w:rPr>
        <w:t>פ שלא הוציא אין להן כתובה, שהכתובה תקנת חכמים היא כדי שלא תהא קלה בעיניו להוציאה ולא הקפידו אלא על בנות ישראל הצנועות אבל אלו הפרוצות אין להן תקנה זו אלא תהא קלה בעיניו להוציאה</w:t>
      </w:r>
      <w:r>
        <w:rPr>
          <w:rStyle w:val="a7"/>
          <w:rFonts w:cs="Arial"/>
          <w:rtl/>
        </w:rPr>
        <w:footnoteReference w:id="2831"/>
      </w:r>
      <w:r>
        <w:rPr>
          <w:rFonts w:cs="Arial" w:hint="cs"/>
          <w:sz w:val="16"/>
          <w:szCs w:val="16"/>
          <w:rtl/>
        </w:rPr>
        <w:t xml:space="preserve"> (ל' הרמב"ם)</w:t>
      </w:r>
      <w:r w:rsidRPr="00746479">
        <w:rPr>
          <w:rFonts w:cs="Arial"/>
          <w:rtl/>
        </w:rPr>
        <w:t xml:space="preserve">. </w:t>
      </w:r>
    </w:p>
    <w:p w14:paraId="77771CB9" w14:textId="77777777" w:rsidR="00392DBB" w:rsidRPr="006F32B2" w:rsidRDefault="00392DBB" w:rsidP="009000E3">
      <w:pPr>
        <w:pStyle w:val="ab"/>
        <w:numPr>
          <w:ilvl w:val="0"/>
          <w:numId w:val="72"/>
        </w:numPr>
        <w:rPr>
          <w:rtl/>
        </w:rPr>
      </w:pPr>
      <w:r>
        <w:rPr>
          <w:rFonts w:cs="Arial" w:hint="cs"/>
          <w:rtl/>
        </w:rPr>
        <w:t xml:space="preserve">ריטב"א </w:t>
      </w:r>
      <w:r>
        <w:rPr>
          <w:rFonts w:cs="Arial" w:hint="cs"/>
          <w:sz w:val="16"/>
          <w:szCs w:val="16"/>
          <w:rtl/>
        </w:rPr>
        <w:t>(כתובות עב. ד"ה העוברת)</w:t>
      </w:r>
      <w:r>
        <w:rPr>
          <w:rFonts w:cs="Arial" w:hint="cs"/>
          <w:rtl/>
        </w:rPr>
        <w:t xml:space="preserve">- </w:t>
      </w:r>
      <w:r w:rsidRPr="0020236E">
        <w:rPr>
          <w:rFonts w:cs="Arial"/>
          <w:rtl/>
        </w:rPr>
        <w:t>רוב רבותי ז"ל חולקין עליו</w:t>
      </w:r>
      <w:r>
        <w:rPr>
          <w:rFonts w:cs="Arial" w:hint="cs"/>
          <w:sz w:val="16"/>
          <w:szCs w:val="16"/>
          <w:rtl/>
        </w:rPr>
        <w:t xml:space="preserve"> {על הרמב"ם}</w:t>
      </w:r>
      <w:r w:rsidRPr="0020236E">
        <w:rPr>
          <w:rFonts w:cs="Arial"/>
          <w:rtl/>
        </w:rPr>
        <w:t xml:space="preserve"> בזה.</w:t>
      </w:r>
    </w:p>
    <w:p w14:paraId="2F95E4BC" w14:textId="77777777" w:rsidR="00392DBB" w:rsidRPr="00E863A5" w:rsidRDefault="00392DBB" w:rsidP="00392DBB">
      <w:pPr>
        <w:rPr>
          <w:u w:val="single"/>
          <w:rtl/>
        </w:rPr>
      </w:pPr>
      <w:r w:rsidRPr="00E863A5">
        <w:rPr>
          <w:rFonts w:hint="cs"/>
          <w:u w:val="single"/>
          <w:rtl/>
        </w:rPr>
        <w:t>אשה שעברה על דת בינו לבינה, והתרה בה:</w:t>
      </w:r>
    </w:p>
    <w:p w14:paraId="2474E022" w14:textId="77777777" w:rsidR="00392DBB" w:rsidRDefault="00392DBB" w:rsidP="009000E3">
      <w:pPr>
        <w:pStyle w:val="ab"/>
        <w:numPr>
          <w:ilvl w:val="0"/>
          <w:numId w:val="72"/>
        </w:numPr>
        <w:rPr>
          <w:rtl/>
        </w:rPr>
      </w:pPr>
      <w:r w:rsidRPr="006F32B2">
        <w:rPr>
          <w:rFonts w:cs="Arial"/>
          <w:rtl/>
        </w:rPr>
        <w:lastRenderedPageBreak/>
        <w:t xml:space="preserve">רמב"ם </w:t>
      </w:r>
      <w:r w:rsidRPr="00746479">
        <w:rPr>
          <w:rFonts w:cs="Arial" w:hint="cs"/>
          <w:sz w:val="16"/>
          <w:szCs w:val="16"/>
          <w:rtl/>
        </w:rPr>
        <w:t>(פכ"ד ה</w:t>
      </w:r>
      <w:r>
        <w:rPr>
          <w:rFonts w:cs="Arial" w:hint="cs"/>
          <w:sz w:val="16"/>
          <w:szCs w:val="16"/>
          <w:rtl/>
        </w:rPr>
        <w:t>י"ז</w:t>
      </w:r>
      <w:r w:rsidRPr="00746479">
        <w:rPr>
          <w:rFonts w:cs="Arial" w:hint="cs"/>
          <w:sz w:val="16"/>
          <w:szCs w:val="16"/>
          <w:rtl/>
        </w:rPr>
        <w:t>)</w:t>
      </w:r>
      <w:r>
        <w:rPr>
          <w:rFonts w:cs="Arial" w:hint="cs"/>
          <w:rtl/>
        </w:rPr>
        <w:t xml:space="preserve"> וטור- </w:t>
      </w:r>
      <w:r w:rsidRPr="00E863A5">
        <w:rPr>
          <w:rFonts w:cs="Arial"/>
          <w:rtl/>
        </w:rPr>
        <w:t>עברה בינו לבינה וידע שהיא עוברת על דת והתרה בה בלא עדים וחזרה ועברה הוא טוען ואומר עברה אחר התראה והיא אומרת לא עברתי כלל או לא התרה בי, אם רצה להוציא הרי זה נותן כתובה אחר שתשבע שלא עברה, שאם תודה שעברה אחר התראה זו אין לה כלום</w:t>
      </w:r>
      <w:r>
        <w:rPr>
          <w:rFonts w:cs="Arial" w:hint="cs"/>
          <w:rtl/>
        </w:rPr>
        <w:t>.</w:t>
      </w:r>
    </w:p>
    <w:p w14:paraId="32C7380B" w14:textId="77777777" w:rsidR="00392DBB" w:rsidRPr="006F6C98" w:rsidRDefault="00392DBB" w:rsidP="00392DBB">
      <w:r w:rsidRPr="00150DB4">
        <w:rPr>
          <w:rFonts w:hint="cs"/>
          <w:u w:val="single"/>
          <w:rtl/>
        </w:rPr>
        <w:t xml:space="preserve">האם </w:t>
      </w:r>
      <w:r>
        <w:rPr>
          <w:rFonts w:hint="cs"/>
          <w:u w:val="single"/>
          <w:rtl/>
        </w:rPr>
        <w:t xml:space="preserve">אדם </w:t>
      </w:r>
      <w:r w:rsidRPr="00150DB4">
        <w:rPr>
          <w:rFonts w:hint="cs"/>
          <w:u w:val="single"/>
          <w:rtl/>
        </w:rPr>
        <w:t xml:space="preserve">יכול לגרש </w:t>
      </w:r>
      <w:r>
        <w:rPr>
          <w:rFonts w:hint="cs"/>
          <w:u w:val="single"/>
          <w:rtl/>
        </w:rPr>
        <w:t xml:space="preserve">אשה שעוברת על דת </w:t>
      </w:r>
      <w:r w:rsidRPr="00150DB4">
        <w:rPr>
          <w:rFonts w:hint="cs"/>
          <w:u w:val="single"/>
          <w:rtl/>
        </w:rPr>
        <w:t>בעל כרחה לאחר תקנת רבנו גרשום</w:t>
      </w:r>
      <w:r>
        <w:rPr>
          <w:rFonts w:hint="cs"/>
          <w:u w:val="single"/>
          <w:rtl/>
        </w:rPr>
        <w:t>:</w:t>
      </w:r>
    </w:p>
    <w:p w14:paraId="1FBDC09C" w14:textId="77777777" w:rsidR="00392DBB" w:rsidRDefault="00392DBB" w:rsidP="009000E3">
      <w:pPr>
        <w:pStyle w:val="ab"/>
        <w:numPr>
          <w:ilvl w:val="0"/>
          <w:numId w:val="72"/>
        </w:numPr>
      </w:pPr>
      <w:r w:rsidRPr="00E863A5">
        <w:rPr>
          <w:rFonts w:cs="Arial"/>
          <w:rtl/>
        </w:rPr>
        <w:t>רשב"א</w:t>
      </w:r>
      <w:r>
        <w:rPr>
          <w:rStyle w:val="a7"/>
          <w:rFonts w:cs="Arial"/>
          <w:rtl/>
        </w:rPr>
        <w:footnoteReference w:id="2832"/>
      </w:r>
      <w:r w:rsidRPr="00E863A5">
        <w:rPr>
          <w:rFonts w:cs="Arial"/>
          <w:rtl/>
        </w:rPr>
        <w:t xml:space="preserve"> </w:t>
      </w:r>
      <w:r w:rsidRPr="00E863A5">
        <w:rPr>
          <w:rFonts w:cs="Arial" w:hint="cs"/>
          <w:sz w:val="16"/>
          <w:szCs w:val="16"/>
          <w:rtl/>
        </w:rPr>
        <w:t>(</w:t>
      </w:r>
      <w:r w:rsidRPr="00E863A5">
        <w:rPr>
          <w:rFonts w:cs="Arial"/>
          <w:sz w:val="16"/>
          <w:szCs w:val="16"/>
          <w:rtl/>
        </w:rPr>
        <w:t>ח"א סי</w:t>
      </w:r>
      <w:r w:rsidRPr="00E863A5">
        <w:rPr>
          <w:rFonts w:cs="Arial" w:hint="cs"/>
          <w:sz w:val="16"/>
          <w:szCs w:val="16"/>
          <w:rtl/>
        </w:rPr>
        <w:t>'</w:t>
      </w:r>
      <w:r w:rsidRPr="00E863A5">
        <w:rPr>
          <w:rFonts w:cs="Arial"/>
          <w:sz w:val="16"/>
          <w:szCs w:val="16"/>
          <w:rtl/>
        </w:rPr>
        <w:t xml:space="preserve"> תקנז</w:t>
      </w:r>
      <w:r w:rsidRPr="00E863A5">
        <w:rPr>
          <w:rFonts w:cs="Arial" w:hint="cs"/>
          <w:sz w:val="16"/>
          <w:szCs w:val="16"/>
          <w:rtl/>
        </w:rPr>
        <w:t>)</w:t>
      </w:r>
      <w:r>
        <w:rPr>
          <w:rFonts w:cs="Arial" w:hint="cs"/>
          <w:rtl/>
        </w:rPr>
        <w:t xml:space="preserve"> ו</w:t>
      </w:r>
      <w:r w:rsidRPr="001D1B32">
        <w:rPr>
          <w:rFonts w:cs="Arial"/>
          <w:rtl/>
        </w:rPr>
        <w:t xml:space="preserve">מרדכי </w:t>
      </w:r>
      <w:r w:rsidRPr="00EE6D01">
        <w:rPr>
          <w:rFonts w:cs="Arial" w:hint="cs"/>
          <w:sz w:val="16"/>
          <w:szCs w:val="16"/>
          <w:rtl/>
        </w:rPr>
        <w:t>(כתובות סי' קצו</w:t>
      </w:r>
      <w:r>
        <w:rPr>
          <w:rFonts w:cs="Arial" w:hint="cs"/>
          <w:sz w:val="16"/>
          <w:szCs w:val="16"/>
          <w:rtl/>
        </w:rPr>
        <w:t>, וכ"כ הגה"מ [שם])</w:t>
      </w:r>
      <w:r>
        <w:rPr>
          <w:rFonts w:cs="Arial" w:hint="cs"/>
          <w:rtl/>
        </w:rPr>
        <w:t xml:space="preserve"> בשם</w:t>
      </w:r>
      <w:r w:rsidRPr="00150DB4">
        <w:rPr>
          <w:rFonts w:cs="Arial"/>
          <w:rtl/>
        </w:rPr>
        <w:t xml:space="preserve"> </w:t>
      </w:r>
      <w:r>
        <w:rPr>
          <w:rFonts w:cs="Arial" w:hint="cs"/>
          <w:rtl/>
        </w:rPr>
        <w:t>מ</w:t>
      </w:r>
      <w:r w:rsidRPr="00150DB4">
        <w:rPr>
          <w:rFonts w:cs="Arial"/>
          <w:rtl/>
        </w:rPr>
        <w:t>הר"ם</w:t>
      </w:r>
      <w:r>
        <w:rPr>
          <w:rFonts w:cs="Arial" w:hint="cs"/>
          <w:rtl/>
        </w:rPr>
        <w:t xml:space="preserve">- </w:t>
      </w:r>
      <w:r w:rsidRPr="00150DB4">
        <w:rPr>
          <w:rFonts w:cs="Arial"/>
          <w:rtl/>
        </w:rPr>
        <w:t>ודבר פשיטא שלא תיקן רבינו גרשום</w:t>
      </w:r>
      <w:r>
        <w:rPr>
          <w:rFonts w:cs="Arial" w:hint="cs"/>
          <w:rtl/>
        </w:rPr>
        <w:t xml:space="preserve"> </w:t>
      </w:r>
      <w:r w:rsidRPr="00150DB4">
        <w:rPr>
          <w:rFonts w:cs="Arial"/>
          <w:rtl/>
        </w:rPr>
        <w:t>מאור הגולה תקנתו לעכב על ידו שלא יעשה מצוה</w:t>
      </w:r>
      <w:r>
        <w:rPr>
          <w:rStyle w:val="a7"/>
          <w:rFonts w:cs="Arial"/>
          <w:rtl/>
        </w:rPr>
        <w:footnoteReference w:id="2833"/>
      </w:r>
      <w:r>
        <w:rPr>
          <w:rFonts w:cs="Arial" w:hint="cs"/>
          <w:rtl/>
        </w:rPr>
        <w:t>.</w:t>
      </w:r>
      <w:r w:rsidRPr="00150DB4">
        <w:rPr>
          <w:rFonts w:cs="Arial"/>
          <w:rtl/>
        </w:rPr>
        <w:t xml:space="preserve"> ואדרבה אם אין מגרשה כשהיא עוברת על דת מקרי רשע כדאיתא פרק המגרש</w:t>
      </w:r>
      <w:r>
        <w:rPr>
          <w:rFonts w:cs="Arial" w:hint="cs"/>
          <w:sz w:val="16"/>
          <w:szCs w:val="16"/>
          <w:rtl/>
        </w:rPr>
        <w:t xml:space="preserve"> (ל' המרדכי בשם מהר"ם)</w:t>
      </w:r>
      <w:r w:rsidRPr="009F10EF">
        <w:rPr>
          <w:rStyle w:val="a7"/>
          <w:rFonts w:cs="Arial"/>
          <w:rtl/>
        </w:rPr>
        <w:footnoteReference w:id="2834"/>
      </w:r>
      <w:r w:rsidRPr="00150DB4">
        <w:rPr>
          <w:rFonts w:cs="Arial"/>
          <w:rtl/>
        </w:rPr>
        <w:t>.</w:t>
      </w:r>
      <w:r w:rsidRPr="003402B0">
        <w:rPr>
          <w:rFonts w:hint="cs"/>
          <w:color w:val="00B0F0"/>
          <w:rtl/>
        </w:rPr>
        <w:t xml:space="preserve"> </w:t>
      </w:r>
      <w:r w:rsidRPr="00E43F63">
        <w:rPr>
          <w:rFonts w:hint="cs"/>
          <w:color w:val="00B0F0"/>
          <w:rtl/>
        </w:rPr>
        <w:t>(וכ"פ הרמ"א)</w:t>
      </w:r>
    </w:p>
    <w:p w14:paraId="4D92E681" w14:textId="77777777" w:rsidR="00392DBB" w:rsidRDefault="00392DBB" w:rsidP="00392DBB">
      <w:pPr>
        <w:rPr>
          <w:rFonts w:cs="Arial"/>
          <w:rtl/>
        </w:rPr>
      </w:pPr>
      <w:r w:rsidRPr="00A151A0">
        <w:rPr>
          <w:rFonts w:cs="Arial" w:hint="cs"/>
          <w:u w:val="single"/>
          <w:rtl/>
        </w:rPr>
        <w:t>אשה שרגילה להתייחד עם גוים:</w:t>
      </w:r>
    </w:p>
    <w:p w14:paraId="17A1C7CB" w14:textId="77777777" w:rsidR="00392DBB" w:rsidRPr="00BC622F" w:rsidRDefault="00392DBB" w:rsidP="009000E3">
      <w:pPr>
        <w:pStyle w:val="ab"/>
        <w:numPr>
          <w:ilvl w:val="0"/>
          <w:numId w:val="72"/>
        </w:numPr>
        <w:rPr>
          <w:rFonts w:cs="Arial"/>
        </w:rPr>
      </w:pPr>
      <w:r w:rsidRPr="00A151A0">
        <w:rPr>
          <w:rFonts w:cs="Arial" w:hint="cs"/>
          <w:rtl/>
        </w:rPr>
        <w:t>תרוה"ד</w:t>
      </w:r>
      <w:r>
        <w:rPr>
          <w:rStyle w:val="a7"/>
          <w:rFonts w:cs="Arial"/>
          <w:rtl/>
        </w:rPr>
        <w:footnoteReference w:id="2835"/>
      </w:r>
      <w:r w:rsidRPr="00A151A0">
        <w:rPr>
          <w:rFonts w:cs="Arial" w:hint="cs"/>
          <w:rtl/>
        </w:rPr>
        <w:t xml:space="preserve"> </w:t>
      </w:r>
      <w:r w:rsidRPr="00A151A0">
        <w:rPr>
          <w:rFonts w:cs="Arial" w:hint="cs"/>
          <w:sz w:val="16"/>
          <w:szCs w:val="16"/>
          <w:rtl/>
        </w:rPr>
        <w:t>(סי' רמב)</w:t>
      </w:r>
      <w:r w:rsidRPr="00A151A0">
        <w:rPr>
          <w:rFonts w:cs="Arial" w:hint="cs"/>
          <w:rtl/>
        </w:rPr>
        <w:t>-</w:t>
      </w:r>
      <w:r>
        <w:rPr>
          <w:rFonts w:cs="Arial" w:hint="cs"/>
          <w:rtl/>
        </w:rPr>
        <w:t xml:space="preserve"> </w:t>
      </w:r>
      <w:r w:rsidRPr="00BC622F">
        <w:rPr>
          <w:rFonts w:cs="Arial"/>
          <w:rtl/>
        </w:rPr>
        <w:t>אשה שרגילה להתיחד עם הגוים הויא עוברת על דת ואיפשר שאין זו צריכה התראה</w:t>
      </w:r>
      <w:r w:rsidRPr="00BC622F">
        <w:rPr>
          <w:rFonts w:cs="Arial" w:hint="cs"/>
          <w:rtl/>
        </w:rPr>
        <w:t>.</w:t>
      </w:r>
      <w:r w:rsidRPr="00BC622F">
        <w:rPr>
          <w:rFonts w:hint="cs"/>
          <w:color w:val="00B0F0"/>
          <w:rtl/>
        </w:rPr>
        <w:t xml:space="preserve"> (וכ"פ הרמ"א)</w:t>
      </w:r>
    </w:p>
    <w:p w14:paraId="347A83EC" w14:textId="77777777" w:rsidR="00392DBB" w:rsidRPr="00607BC7" w:rsidRDefault="00392DBB" w:rsidP="00392DBB">
      <w:pPr>
        <w:rPr>
          <w:u w:val="single"/>
        </w:rPr>
      </w:pPr>
      <w:r w:rsidRPr="00607BC7">
        <w:rPr>
          <w:rFonts w:cs="Arial"/>
          <w:u w:val="single"/>
          <w:rtl/>
        </w:rPr>
        <w:t xml:space="preserve">מי שאומר שאשתו זנתה </w:t>
      </w:r>
      <w:r>
        <w:rPr>
          <w:rFonts w:cs="Arial" w:hint="cs"/>
          <w:u w:val="single"/>
          <w:rtl/>
        </w:rPr>
        <w:t>- ה</w:t>
      </w:r>
      <w:r w:rsidRPr="00607BC7">
        <w:rPr>
          <w:rFonts w:cs="Arial"/>
          <w:u w:val="single"/>
          <w:rtl/>
        </w:rPr>
        <w:t>אם הוא נאמן</w:t>
      </w:r>
      <w:r w:rsidRPr="00607BC7">
        <w:rPr>
          <w:rFonts w:cs="Arial" w:hint="cs"/>
          <w:u w:val="single"/>
          <w:rtl/>
        </w:rPr>
        <w:t>:</w:t>
      </w:r>
    </w:p>
    <w:p w14:paraId="5B23D205" w14:textId="77777777" w:rsidR="00392DBB" w:rsidRPr="00D6022C" w:rsidRDefault="00392DBB" w:rsidP="009000E3">
      <w:pPr>
        <w:pStyle w:val="ab"/>
        <w:numPr>
          <w:ilvl w:val="0"/>
          <w:numId w:val="72"/>
        </w:numPr>
        <w:rPr>
          <w:rFonts w:cs="Arial"/>
          <w:rtl/>
        </w:rPr>
      </w:pPr>
      <w:r w:rsidRPr="00E863A5">
        <w:rPr>
          <w:rFonts w:cs="Arial"/>
          <w:rtl/>
        </w:rPr>
        <w:t xml:space="preserve">מרדכי </w:t>
      </w:r>
      <w:r w:rsidRPr="00607BC7">
        <w:rPr>
          <w:rFonts w:cs="Arial" w:hint="cs"/>
          <w:sz w:val="16"/>
          <w:szCs w:val="16"/>
          <w:rtl/>
        </w:rPr>
        <w:t>(</w:t>
      </w:r>
      <w:r w:rsidRPr="00607BC7">
        <w:rPr>
          <w:rFonts w:cs="Arial"/>
          <w:sz w:val="16"/>
          <w:szCs w:val="16"/>
          <w:rtl/>
        </w:rPr>
        <w:t>קידושין פרק האומר סי' תקל)</w:t>
      </w:r>
      <w:r>
        <w:rPr>
          <w:rFonts w:cs="Arial" w:hint="cs"/>
          <w:rtl/>
        </w:rPr>
        <w:t xml:space="preserve">- </w:t>
      </w:r>
      <w:r w:rsidRPr="00D6022C">
        <w:rPr>
          <w:rFonts w:cs="Arial"/>
          <w:rtl/>
        </w:rPr>
        <w:t>מעשה באחד שאסר אשתו עליו ואמר שזינתה מאחר</w:t>
      </w:r>
      <w:r>
        <w:rPr>
          <w:rFonts w:cs="Arial" w:hint="cs"/>
          <w:rtl/>
        </w:rPr>
        <w:t>.</w:t>
      </w:r>
      <w:r w:rsidRPr="00D6022C">
        <w:rPr>
          <w:rFonts w:cs="Arial"/>
          <w:rtl/>
        </w:rPr>
        <w:t xml:space="preserve"> ונשאל למורי ה"ר </w:t>
      </w:r>
      <w:r w:rsidRPr="00607BC7">
        <w:rPr>
          <w:rFonts w:cs="Arial"/>
          <w:rtl/>
        </w:rPr>
        <w:t>שמעון מאונפילא</w:t>
      </w:r>
      <w:r w:rsidRPr="00D6022C">
        <w:rPr>
          <w:rFonts w:cs="Arial"/>
          <w:rtl/>
        </w:rPr>
        <w:t xml:space="preserve"> אם נאמן אם לאו</w:t>
      </w:r>
      <w:r>
        <w:rPr>
          <w:rFonts w:cs="Arial" w:hint="cs"/>
          <w:rtl/>
        </w:rPr>
        <w:t>.</w:t>
      </w:r>
      <w:r w:rsidRPr="00D6022C">
        <w:rPr>
          <w:rFonts w:cs="Arial"/>
          <w:rtl/>
        </w:rPr>
        <w:t xml:space="preserve"> והשיב כמדומה לי ששמעתי מרבותי מפרשים האומרת טמאה אני לך תביא ראיה לדבריה ואינה אסורה עליו וא"כ כופין אותו ומשמשתו</w:t>
      </w:r>
      <w:r>
        <w:rPr>
          <w:rFonts w:cs="Arial" w:hint="cs"/>
          <w:rtl/>
        </w:rPr>
        <w:t xml:space="preserve"> כמו במורדת...</w:t>
      </w:r>
      <w:r w:rsidRPr="00D6022C">
        <w:rPr>
          <w:rFonts w:cs="Arial"/>
          <w:rtl/>
        </w:rPr>
        <w:t xml:space="preserve"> ומשמע דמותרת ולפי זה נותנת הסברא הואיל ונגזרה הגזירה שלא לגרש אשתו כי אם ברצונה חיישינן שמא עיניו נתן באחרת ומותר בה וכופין אותו</w:t>
      </w:r>
      <w:r>
        <w:rPr>
          <w:rFonts w:cs="Arial" w:hint="cs"/>
          <w:rtl/>
        </w:rPr>
        <w:t>...</w:t>
      </w:r>
      <w:r w:rsidRPr="00D6022C">
        <w:rPr>
          <w:rFonts w:cs="Arial"/>
          <w:rtl/>
        </w:rPr>
        <w:t xml:space="preserve"> ואפילו למי שלבו נוקפו ולומר שלא להאכיל לאדם דבר האסור לו עכ"ל ה"ר ר' שמעון</w:t>
      </w:r>
      <w:r>
        <w:rPr>
          <w:rFonts w:cs="Arial" w:hint="cs"/>
          <w:rtl/>
        </w:rPr>
        <w:t>.</w:t>
      </w:r>
      <w:r w:rsidRPr="00D6022C">
        <w:rPr>
          <w:rFonts w:cs="Arial"/>
          <w:rtl/>
        </w:rPr>
        <w:t xml:space="preserve"> ועוד האריך. ובירושלמי גרסינן עלה דההיא דאומרת טמאה אני לך כו' א"ר אילא אם היה חבר יוציא</w:t>
      </w:r>
      <w:r>
        <w:rPr>
          <w:rFonts w:cs="Arial" w:hint="cs"/>
          <w:rtl/>
        </w:rPr>
        <w:t>.</w:t>
      </w:r>
    </w:p>
    <w:p w14:paraId="083CE921" w14:textId="4E4DB38D" w:rsidR="00392DBB" w:rsidRPr="00122471" w:rsidRDefault="00392DBB" w:rsidP="00392DBB">
      <w:pPr>
        <w:rPr>
          <w:u w:val="single"/>
        </w:rPr>
      </w:pPr>
      <w:r w:rsidRPr="00122471">
        <w:rPr>
          <w:rFonts w:hint="cs"/>
          <w:u w:val="single"/>
          <w:rtl/>
        </w:rPr>
        <w:t xml:space="preserve">אשה שמקללת את אביה/אמה </w:t>
      </w:r>
      <w:r w:rsidR="00F97626">
        <w:rPr>
          <w:u w:val="single"/>
          <w:rtl/>
        </w:rPr>
        <w:t>-</w:t>
      </w:r>
      <w:r w:rsidRPr="00122471">
        <w:rPr>
          <w:rFonts w:hint="cs"/>
          <w:u w:val="single"/>
          <w:rtl/>
        </w:rPr>
        <w:t xml:space="preserve"> האם מותר להכותה:</w:t>
      </w:r>
    </w:p>
    <w:p w14:paraId="23C84C44" w14:textId="77777777" w:rsidR="00392DBB" w:rsidRPr="00195FC3" w:rsidRDefault="00392DBB" w:rsidP="009000E3">
      <w:pPr>
        <w:pStyle w:val="ab"/>
        <w:numPr>
          <w:ilvl w:val="0"/>
          <w:numId w:val="72"/>
        </w:numPr>
        <w:rPr>
          <w:rtl/>
        </w:rPr>
      </w:pPr>
      <w:r w:rsidRPr="00195FC3">
        <w:rPr>
          <w:rFonts w:cs="Arial" w:hint="cs"/>
          <w:rtl/>
        </w:rPr>
        <w:lastRenderedPageBreak/>
        <w:t xml:space="preserve">תרוה"ד </w:t>
      </w:r>
      <w:r w:rsidRPr="00195FC3">
        <w:rPr>
          <w:rFonts w:cs="Arial" w:hint="cs"/>
          <w:sz w:val="16"/>
          <w:szCs w:val="16"/>
          <w:rtl/>
        </w:rPr>
        <w:t>(</w:t>
      </w:r>
      <w:r w:rsidRPr="00195FC3">
        <w:rPr>
          <w:rFonts w:cs="Arial"/>
          <w:sz w:val="16"/>
          <w:szCs w:val="16"/>
          <w:rtl/>
        </w:rPr>
        <w:t>סי</w:t>
      </w:r>
      <w:r w:rsidRPr="00195FC3">
        <w:rPr>
          <w:rFonts w:cs="Arial" w:hint="cs"/>
          <w:sz w:val="16"/>
          <w:szCs w:val="16"/>
          <w:rtl/>
        </w:rPr>
        <w:t>'</w:t>
      </w:r>
      <w:r w:rsidRPr="00195FC3">
        <w:rPr>
          <w:rFonts w:cs="Arial"/>
          <w:sz w:val="16"/>
          <w:szCs w:val="16"/>
          <w:rtl/>
        </w:rPr>
        <w:t xml:space="preserve"> ריח</w:t>
      </w:r>
      <w:r w:rsidRPr="00195FC3">
        <w:rPr>
          <w:rFonts w:cs="Arial" w:hint="cs"/>
          <w:sz w:val="16"/>
          <w:szCs w:val="16"/>
          <w:rtl/>
        </w:rPr>
        <w:t>)</w:t>
      </w:r>
      <w:r>
        <w:rPr>
          <w:rFonts w:cs="Arial" w:hint="cs"/>
          <w:rtl/>
        </w:rPr>
        <w:t xml:space="preserve">- </w:t>
      </w:r>
      <w:r w:rsidRPr="00195FC3">
        <w:rPr>
          <w:rFonts w:cs="Arial"/>
          <w:rtl/>
        </w:rPr>
        <w:t xml:space="preserve">אע"ג דכתב במרדכי פרק המדיר בשם רבינו שמחה שהמכה את אשתו עובר בלאו דפן יוסיף </w:t>
      </w:r>
      <w:r w:rsidRPr="00623350">
        <w:rPr>
          <w:rFonts w:cs="Arial"/>
          <w:sz w:val="16"/>
          <w:szCs w:val="16"/>
          <w:rtl/>
        </w:rPr>
        <w:t>(דברים כה ג)</w:t>
      </w:r>
      <w:r w:rsidRPr="00195FC3">
        <w:rPr>
          <w:rFonts w:cs="Arial"/>
          <w:rtl/>
        </w:rPr>
        <w:t xml:space="preserve"> והחמיר מאד בדבר</w:t>
      </w:r>
      <w:r>
        <w:rPr>
          <w:rFonts w:cs="Arial" w:hint="cs"/>
          <w:rtl/>
        </w:rPr>
        <w:t>,</w:t>
      </w:r>
      <w:r w:rsidRPr="00195FC3">
        <w:rPr>
          <w:rFonts w:cs="Arial"/>
          <w:rtl/>
        </w:rPr>
        <w:t xml:space="preserve"> מכל מקום מי ששמע באשתו מקללת ומזלזלת באביה ואמה והוכיחה בדברים על זה כמה פעמים ולא הועיל שרי להכותה כדי ליסרה שלא תעשה. </w:t>
      </w:r>
    </w:p>
    <w:p w14:paraId="562285CC" w14:textId="77777777" w:rsidR="00392DBB" w:rsidRDefault="00392DBB" w:rsidP="00392DBB">
      <w:pPr>
        <w:rPr>
          <w:rFonts w:cs="Arial"/>
          <w:rtl/>
        </w:rPr>
      </w:pPr>
      <w:r w:rsidRPr="00EF53DE">
        <w:rPr>
          <w:rFonts w:cs="Arial" w:hint="cs"/>
          <w:u w:val="single"/>
          <w:rtl/>
        </w:rPr>
        <w:t>אשה שמקללת את בעלה:</w:t>
      </w:r>
    </w:p>
    <w:p w14:paraId="0573CCB0" w14:textId="59AD632C" w:rsidR="00392DBB" w:rsidRPr="004777B9" w:rsidRDefault="00392DBB" w:rsidP="009000E3">
      <w:pPr>
        <w:pStyle w:val="ab"/>
        <w:numPr>
          <w:ilvl w:val="0"/>
          <w:numId w:val="75"/>
        </w:numPr>
        <w:rPr>
          <w:rFonts w:cs="Arial"/>
          <w:rtl/>
        </w:rPr>
      </w:pPr>
      <w:r w:rsidRPr="00EF53DE">
        <w:rPr>
          <w:rFonts w:cs="Arial" w:hint="cs"/>
          <w:rtl/>
        </w:rPr>
        <w:t>רשב"א</w:t>
      </w:r>
      <w:r w:rsidRPr="00EF53DE">
        <w:rPr>
          <w:rFonts w:cs="Arial"/>
          <w:rtl/>
        </w:rPr>
        <w:t xml:space="preserve"> </w:t>
      </w:r>
      <w:r w:rsidRPr="00EF53DE">
        <w:rPr>
          <w:rFonts w:cs="Arial"/>
          <w:sz w:val="16"/>
          <w:szCs w:val="16"/>
          <w:rtl/>
        </w:rPr>
        <w:t>(במיוחסות סי</w:t>
      </w:r>
      <w:r w:rsidRPr="00EF53DE">
        <w:rPr>
          <w:rFonts w:cs="Arial" w:hint="cs"/>
          <w:sz w:val="16"/>
          <w:szCs w:val="16"/>
          <w:rtl/>
        </w:rPr>
        <w:t>'</w:t>
      </w:r>
      <w:r w:rsidRPr="00EF53DE">
        <w:rPr>
          <w:rFonts w:cs="Arial"/>
          <w:sz w:val="16"/>
          <w:szCs w:val="16"/>
          <w:rtl/>
        </w:rPr>
        <w:t xml:space="preserve"> קב</w:t>
      </w:r>
      <w:r w:rsidRPr="00EF53DE">
        <w:rPr>
          <w:rFonts w:cs="Arial" w:hint="cs"/>
          <w:sz w:val="16"/>
          <w:szCs w:val="16"/>
          <w:rtl/>
        </w:rPr>
        <w:t>)</w:t>
      </w:r>
      <w:r w:rsidRPr="00EF53DE">
        <w:rPr>
          <w:rFonts w:cs="Arial" w:hint="cs"/>
          <w:rtl/>
        </w:rPr>
        <w:t xml:space="preserve">- </w:t>
      </w:r>
      <w:r w:rsidRPr="00EF53DE">
        <w:rPr>
          <w:rFonts w:cs="Arial"/>
          <w:rtl/>
        </w:rPr>
        <w:t>שאלה</w:t>
      </w:r>
      <w:r w:rsidRPr="00EF53DE">
        <w:rPr>
          <w:rFonts w:cs="Arial" w:hint="cs"/>
          <w:rtl/>
        </w:rPr>
        <w:t>,</w:t>
      </w:r>
      <w:r w:rsidRPr="00EF53DE">
        <w:rPr>
          <w:rFonts w:cs="Arial"/>
          <w:rtl/>
        </w:rPr>
        <w:t xml:space="preserve"> בעל המכה אשתו בכל יום ומצטערת עד שהצריכה לצאת מביתו. והלכה לבית אביה. והוא טוען שהיא מקללתו בפניו והיא מכחישתו.</w:t>
      </w:r>
      <w:r w:rsidRPr="00EF53DE">
        <w:rPr>
          <w:rFonts w:cs="Arial" w:hint="cs"/>
          <w:rtl/>
        </w:rPr>
        <w:t xml:space="preserve">..    </w:t>
      </w:r>
      <w:r w:rsidRPr="00EF53DE">
        <w:rPr>
          <w:rFonts w:cs="Arial"/>
          <w:rtl/>
        </w:rPr>
        <w:t xml:space="preserve"> </w:t>
      </w:r>
      <w:r w:rsidR="00FE210D">
        <w:rPr>
          <w:rFonts w:cs="Arial"/>
          <w:rtl/>
        </w:rPr>
        <w:t xml:space="preserve">      תשובה:</w:t>
      </w:r>
      <w:r w:rsidRPr="00EF53DE">
        <w:rPr>
          <w:rFonts w:cs="Arial"/>
          <w:rtl/>
        </w:rPr>
        <w:t xml:space="preserve"> אין לבעל להכות ולענות אשתו.</w:t>
      </w:r>
      <w:r w:rsidRPr="00EF53DE">
        <w:rPr>
          <w:rFonts w:cs="Arial" w:hint="cs"/>
          <w:rtl/>
        </w:rPr>
        <w:t>..</w:t>
      </w:r>
      <w:r w:rsidRPr="00EF53DE">
        <w:rPr>
          <w:rFonts w:cs="Arial"/>
          <w:rtl/>
        </w:rPr>
        <w:t xml:space="preserve"> ואם טען שהיא מקללתו ב"ד חוקרין ושואלים לשכנים מי הגורם. ואם הוא מכה ומצער שלא כדין והיא בורחת הדין עמה. שאין אדם דר עם נחש בכפיפה. זכר לדבר הגר. אבל אם מקללתו חנם הדין עמו. דהא מקללת בעלה בפניו מן היוצאות שלא בכתובה</w:t>
      </w:r>
      <w:r>
        <w:rPr>
          <w:rStyle w:val="a7"/>
          <w:rFonts w:cs="Arial"/>
          <w:rtl/>
        </w:rPr>
        <w:footnoteReference w:id="2836"/>
      </w:r>
      <w:r w:rsidRPr="00EF53DE">
        <w:rPr>
          <w:rFonts w:cs="Arial"/>
          <w:rtl/>
        </w:rPr>
        <w:t>.</w:t>
      </w:r>
      <w:r>
        <w:rPr>
          <w:rFonts w:cs="Arial" w:hint="cs"/>
          <w:rtl/>
        </w:rPr>
        <w:t xml:space="preserve">.. </w:t>
      </w:r>
      <w:r w:rsidRPr="0029380B">
        <w:rPr>
          <w:rFonts w:cs="Arial"/>
          <w:rtl/>
        </w:rPr>
        <w:t xml:space="preserve">וקרוב בעיני הדבר שאם ידוע שהוא מכה אותה שלא כדרך בנות ישראל ההגונות ר"ל שמתמיד להכותה שאין נאמן לטעון שהיא גורמת שהיא מקללתו בפניו. דלאו כל כמיניה לאחזוקה בפרוצה. </w:t>
      </w:r>
      <w:r w:rsidRPr="00E43F63">
        <w:rPr>
          <w:rFonts w:hint="cs"/>
          <w:color w:val="00B0F0"/>
          <w:rtl/>
        </w:rPr>
        <w:t>(וכ"פ הרמ"א</w:t>
      </w:r>
      <w:r>
        <w:rPr>
          <w:rFonts w:hint="cs"/>
          <w:color w:val="00B0F0"/>
          <w:sz w:val="16"/>
          <w:szCs w:val="16"/>
          <w:rtl/>
        </w:rPr>
        <w:t xml:space="preserve"> </w:t>
      </w:r>
      <w:r w:rsidRPr="002C71B8">
        <w:rPr>
          <w:rFonts w:hint="cs"/>
          <w:color w:val="000000" w:themeColor="text1"/>
          <w:sz w:val="16"/>
          <w:szCs w:val="16"/>
          <w:rtl/>
        </w:rPr>
        <w:t>[</w:t>
      </w:r>
      <w:r>
        <w:rPr>
          <w:rFonts w:hint="cs"/>
          <w:color w:val="000000" w:themeColor="text1"/>
          <w:sz w:val="16"/>
          <w:szCs w:val="16"/>
          <w:rtl/>
        </w:rPr>
        <w:t>כאן ובסי' קנד ס"ג</w:t>
      </w:r>
      <w:r w:rsidRPr="002C71B8">
        <w:rPr>
          <w:rFonts w:hint="cs"/>
          <w:color w:val="000000" w:themeColor="text1"/>
          <w:sz w:val="16"/>
          <w:szCs w:val="16"/>
          <w:rtl/>
        </w:rPr>
        <w:t>]</w:t>
      </w:r>
      <w:r w:rsidRPr="00E43F63">
        <w:rPr>
          <w:rFonts w:hint="cs"/>
          <w:color w:val="00B0F0"/>
          <w:rtl/>
        </w:rPr>
        <w:t>)</w:t>
      </w:r>
    </w:p>
    <w:p w14:paraId="46802CCA" w14:textId="77777777" w:rsidR="00392DBB" w:rsidRPr="00673B1B" w:rsidRDefault="00392DBB" w:rsidP="00392DBB">
      <w:pPr>
        <w:rPr>
          <w:u w:val="single"/>
        </w:rPr>
      </w:pPr>
      <w:r w:rsidRPr="00673B1B">
        <w:rPr>
          <w:rFonts w:hint="cs"/>
          <w:u w:val="single"/>
          <w:rtl/>
        </w:rPr>
        <w:t>אשה שעברה על דת פעם אחת באקראי:</w:t>
      </w:r>
    </w:p>
    <w:p w14:paraId="3E432BB5" w14:textId="77777777" w:rsidR="00392DBB" w:rsidRDefault="00392DBB" w:rsidP="009000E3">
      <w:pPr>
        <w:pStyle w:val="ab"/>
        <w:numPr>
          <w:ilvl w:val="0"/>
          <w:numId w:val="72"/>
        </w:numPr>
      </w:pPr>
      <w:r w:rsidRPr="00A3390B">
        <w:rPr>
          <w:rFonts w:cs="Arial"/>
          <w:rtl/>
        </w:rPr>
        <w:t xml:space="preserve">רשב"א </w:t>
      </w:r>
      <w:r w:rsidRPr="00A3390B">
        <w:rPr>
          <w:rFonts w:cs="Arial"/>
          <w:sz w:val="16"/>
          <w:szCs w:val="16"/>
          <w:rtl/>
        </w:rPr>
        <w:t>(ח"א סי</w:t>
      </w:r>
      <w:r w:rsidRPr="00A3390B">
        <w:rPr>
          <w:rFonts w:cs="Arial" w:hint="cs"/>
          <w:sz w:val="16"/>
          <w:szCs w:val="16"/>
          <w:rtl/>
        </w:rPr>
        <w:t>'</w:t>
      </w:r>
      <w:r w:rsidRPr="00A3390B">
        <w:rPr>
          <w:rFonts w:cs="Arial"/>
          <w:sz w:val="16"/>
          <w:szCs w:val="16"/>
          <w:rtl/>
        </w:rPr>
        <w:t xml:space="preserve"> תקעא</w:t>
      </w:r>
      <w:r w:rsidRPr="00A3390B">
        <w:rPr>
          <w:rFonts w:cs="Arial" w:hint="cs"/>
          <w:sz w:val="16"/>
          <w:szCs w:val="16"/>
          <w:rtl/>
        </w:rPr>
        <w:t>)</w:t>
      </w:r>
      <w:r>
        <w:rPr>
          <w:rFonts w:cs="Arial" w:hint="cs"/>
          <w:rtl/>
        </w:rPr>
        <w:t>-</w:t>
      </w:r>
      <w:r w:rsidRPr="00A3390B">
        <w:rPr>
          <w:rFonts w:cs="Arial"/>
          <w:rtl/>
        </w:rPr>
        <w:t xml:space="preserve"> </w:t>
      </w:r>
      <w:r w:rsidRPr="00257193">
        <w:rPr>
          <w:rFonts w:cs="Arial"/>
          <w:rtl/>
        </w:rPr>
        <w:t>אשכנז, אל הרב רבי חיים בן הרב רבי יצחק ז"ל אור זרוע מעיר ויאינא. אמרת כי מרת ארלוגה מתקוטטת על בעלה רבי יונה. ומתוך הקטטה פרצה ויצאה בשוק ואמרה בקול רם לבעלה שהיה מין. ושראתה אותו מקלקל עם עבדו ופעם אחת עם בנו ועוד קלקל עם עדים שהיו לה. ויצאה בשוק וצעקה על זה בפני גוים וישראלים רבים. ומתוך כך פרעה ראשה ונתגלו זרועותיה וקצת תחת זרועותיה</w:t>
      </w:r>
      <w:r>
        <w:rPr>
          <w:rFonts w:cs="Arial" w:hint="cs"/>
          <w:rtl/>
        </w:rPr>
        <w:t>...</w:t>
      </w:r>
      <w:r w:rsidRPr="00257193">
        <w:rPr>
          <w:rFonts w:cs="Arial"/>
          <w:rtl/>
        </w:rPr>
        <w:t xml:space="preserve"> במה שבאו לחייבה לצאת שלא בכתובה מדין עובר על דת משה ויהודית בשפרעה ראשה וקצת זרועותיה</w:t>
      </w:r>
      <w:r>
        <w:rPr>
          <w:rFonts w:cs="Arial" w:hint="cs"/>
          <w:rtl/>
        </w:rPr>
        <w:t xml:space="preserve">... - </w:t>
      </w:r>
      <w:r w:rsidRPr="00257193">
        <w:rPr>
          <w:rFonts w:cs="Arial"/>
          <w:rtl/>
        </w:rPr>
        <w:t>לא אמרו אלא ברגילה בכך. אבל אם גלתה ופרעה ראשה באקראי או שדברה עם הבחורים פעם אחת דרך מקרה ודאי לא הפסידה כתובתה. וזה ששנו במשנתי' (כתובות פז</w:t>
      </w:r>
      <w:r>
        <w:rPr>
          <w:rFonts w:cs="Arial" w:hint="cs"/>
          <w:rtl/>
        </w:rPr>
        <w:t>:</w:t>
      </w:r>
      <w:r w:rsidRPr="00257193">
        <w:rPr>
          <w:rFonts w:cs="Arial"/>
          <w:rtl/>
        </w:rPr>
        <w:t>) יוצאה וראשה פרוע וטווה בשוק. ועוד שבשעת הכעס היה ובשעת הכעס הרי היא כשוטה ואין השם ומצותיו כנגדו באותה שעה. כמו שאמרו בנדרים (כב</w:t>
      </w:r>
      <w:r>
        <w:rPr>
          <w:rFonts w:cs="Arial" w:hint="cs"/>
          <w:rtl/>
        </w:rPr>
        <w:t>:</w:t>
      </w:r>
      <w:r w:rsidRPr="00257193">
        <w:rPr>
          <w:rFonts w:cs="Arial"/>
          <w:rtl/>
        </w:rPr>
        <w:t>) שהכועס אפילו שכינה אין חשובה כנגדו</w:t>
      </w:r>
      <w:r>
        <w:rPr>
          <w:rStyle w:val="a7"/>
          <w:rFonts w:cs="Arial"/>
          <w:rtl/>
        </w:rPr>
        <w:footnoteReference w:id="2837"/>
      </w:r>
      <w:r>
        <w:rPr>
          <w:rFonts w:cs="Arial" w:hint="cs"/>
          <w:rtl/>
        </w:rPr>
        <w:t>.</w:t>
      </w:r>
      <w:r>
        <w:rPr>
          <w:rFonts w:hint="cs"/>
          <w:rtl/>
        </w:rPr>
        <w:t xml:space="preserve"> </w:t>
      </w:r>
      <w:r w:rsidRPr="00E43F63">
        <w:rPr>
          <w:rFonts w:hint="cs"/>
          <w:color w:val="00B0F0"/>
          <w:rtl/>
        </w:rPr>
        <w:t>(וכ"פ הרמ"א)</w:t>
      </w:r>
    </w:p>
    <w:p w14:paraId="31F08EEE" w14:textId="642D5907" w:rsidR="00392DBB" w:rsidRDefault="00392DBB" w:rsidP="009000E3">
      <w:pPr>
        <w:pStyle w:val="ab"/>
        <w:numPr>
          <w:ilvl w:val="0"/>
          <w:numId w:val="72"/>
        </w:numPr>
      </w:pPr>
      <w:r>
        <w:rPr>
          <w:rFonts w:cs="Arial" w:hint="cs"/>
          <w:rtl/>
        </w:rPr>
        <w:t xml:space="preserve">ריטב"א </w:t>
      </w:r>
      <w:r>
        <w:rPr>
          <w:rFonts w:cs="Arial" w:hint="cs"/>
          <w:sz w:val="16"/>
          <w:szCs w:val="16"/>
          <w:rtl/>
        </w:rPr>
        <w:t>(כת</w:t>
      </w:r>
      <w:r w:rsidR="003C2D05">
        <w:rPr>
          <w:rFonts w:cs="Arial" w:hint="cs"/>
          <w:sz w:val="16"/>
          <w:szCs w:val="16"/>
          <w:rtl/>
        </w:rPr>
        <w:t>ו</w:t>
      </w:r>
      <w:r>
        <w:rPr>
          <w:rFonts w:cs="Arial" w:hint="cs"/>
          <w:sz w:val="16"/>
          <w:szCs w:val="16"/>
          <w:rtl/>
        </w:rPr>
        <w:t>בות עב.)</w:t>
      </w:r>
      <w:r>
        <w:rPr>
          <w:rFonts w:cs="Arial" w:hint="cs"/>
          <w:rtl/>
        </w:rPr>
        <w:t xml:space="preserve">- </w:t>
      </w:r>
      <w:r w:rsidRPr="00D37E8C">
        <w:rPr>
          <w:rFonts w:cs="Arial"/>
          <w:rtl/>
        </w:rPr>
        <w:t>העוברת על דת משה ויהודית. פירוש ואפילו לא עברה אלא פעם אחת כיון שהתרה בה, דבכמה דוכתי העושה כך וכך משום פעם אחת, העובד עבודה זרה המברך את השם ההוגה את השם באותיותיו המבזה רבותיו וכן רבים לאין סוף.</w:t>
      </w:r>
    </w:p>
    <w:p w14:paraId="74A80192" w14:textId="7BB4244B" w:rsidR="00392DBB" w:rsidRPr="00195FC3" w:rsidRDefault="00392DBB" w:rsidP="00392DBB">
      <w:pPr>
        <w:rPr>
          <w:u w:val="single"/>
        </w:rPr>
      </w:pPr>
      <w:r w:rsidRPr="00195FC3">
        <w:rPr>
          <w:rFonts w:hint="cs"/>
          <w:u w:val="single"/>
          <w:rtl/>
        </w:rPr>
        <w:t>אשה שמקללת את סב</w:t>
      </w:r>
      <w:r w:rsidR="00A17994">
        <w:rPr>
          <w:rFonts w:hint="cs"/>
          <w:u w:val="single"/>
          <w:rtl/>
        </w:rPr>
        <w:t>א</w:t>
      </w:r>
      <w:r w:rsidRPr="00195FC3">
        <w:rPr>
          <w:rFonts w:hint="cs"/>
          <w:u w:val="single"/>
          <w:rtl/>
        </w:rPr>
        <w:t xml:space="preserve"> של בעלה:</w:t>
      </w:r>
      <w:r>
        <w:rPr>
          <w:rFonts w:cs="Arial" w:hint="cs"/>
          <w:rtl/>
        </w:rPr>
        <w:t xml:space="preserve"> </w:t>
      </w:r>
      <w:r w:rsidRPr="00195FC3">
        <w:rPr>
          <w:rFonts w:cs="Arial" w:hint="cs"/>
          <w:sz w:val="16"/>
          <w:szCs w:val="16"/>
          <w:rtl/>
        </w:rPr>
        <w:t>(דרכ"מ אות ו)</w:t>
      </w:r>
    </w:p>
    <w:p w14:paraId="6C513852" w14:textId="77777777" w:rsidR="00392DBB" w:rsidRDefault="00392DBB" w:rsidP="009000E3">
      <w:pPr>
        <w:pStyle w:val="ab"/>
        <w:numPr>
          <w:ilvl w:val="0"/>
          <w:numId w:val="72"/>
        </w:numPr>
      </w:pPr>
      <w:r w:rsidRPr="00195FC3">
        <w:rPr>
          <w:rFonts w:cs="Arial" w:hint="cs"/>
          <w:rtl/>
        </w:rPr>
        <w:t>הגמ"ר</w:t>
      </w:r>
      <w:r w:rsidRPr="00195FC3">
        <w:rPr>
          <w:rFonts w:cs="Arial"/>
          <w:rtl/>
        </w:rPr>
        <w:t xml:space="preserve"> </w:t>
      </w:r>
      <w:r w:rsidRPr="00195FC3">
        <w:rPr>
          <w:rFonts w:cs="Arial" w:hint="cs"/>
          <w:sz w:val="16"/>
          <w:szCs w:val="16"/>
          <w:rtl/>
        </w:rPr>
        <w:t>(</w:t>
      </w:r>
      <w:r w:rsidRPr="00195FC3">
        <w:rPr>
          <w:rFonts w:cs="Arial"/>
          <w:sz w:val="16"/>
          <w:szCs w:val="16"/>
          <w:rtl/>
        </w:rPr>
        <w:t>כתובות סו"ס רצ)</w:t>
      </w:r>
      <w:r w:rsidRPr="00195FC3">
        <w:rPr>
          <w:rFonts w:cs="Arial" w:hint="cs"/>
          <w:rtl/>
        </w:rPr>
        <w:t xml:space="preserve">- </w:t>
      </w:r>
      <w:r w:rsidRPr="00195FC3">
        <w:rPr>
          <w:rFonts w:cs="Arial"/>
          <w:rtl/>
        </w:rPr>
        <w:t>אם קללה זקנו של בעל בפני הבעל</w:t>
      </w:r>
      <w:r>
        <w:rPr>
          <w:rFonts w:cs="Arial" w:hint="cs"/>
          <w:rtl/>
        </w:rPr>
        <w:t xml:space="preserve"> -</w:t>
      </w:r>
      <w:r w:rsidRPr="00195FC3">
        <w:rPr>
          <w:rFonts w:cs="Arial"/>
          <w:rtl/>
        </w:rPr>
        <w:t xml:space="preserve"> הוי כמקללת אבי בעלה בפני בנו</w:t>
      </w:r>
      <w:r>
        <w:rPr>
          <w:rStyle w:val="a7"/>
          <w:rFonts w:cs="Arial"/>
          <w:rtl/>
        </w:rPr>
        <w:footnoteReference w:id="2838"/>
      </w:r>
      <w:r w:rsidRPr="00195FC3">
        <w:rPr>
          <w:rFonts w:cs="Arial"/>
          <w:rtl/>
        </w:rPr>
        <w:t xml:space="preserve">. </w:t>
      </w:r>
    </w:p>
    <w:p w14:paraId="02EA8C6B" w14:textId="48E14CA7" w:rsidR="00392DBB" w:rsidRPr="00122471" w:rsidRDefault="00392DBB" w:rsidP="00392DBB">
      <w:r w:rsidRPr="00122471">
        <w:rPr>
          <w:rFonts w:cs="Arial" w:hint="cs"/>
          <w:u w:val="single"/>
          <w:rtl/>
        </w:rPr>
        <w:t>אשה שאמרה לבעלה שהיא רוצה לשכור גוי להורגו</w:t>
      </w:r>
      <w:r>
        <w:rPr>
          <w:rFonts w:cs="Arial" w:hint="cs"/>
          <w:u w:val="single"/>
          <w:rtl/>
        </w:rPr>
        <w:t xml:space="preserve"> אם יעשה לה משהו</w:t>
      </w:r>
      <w:r w:rsidRPr="00122471">
        <w:rPr>
          <w:rFonts w:cs="Arial" w:hint="cs"/>
          <w:u w:val="single"/>
          <w:rtl/>
        </w:rPr>
        <w:t>:</w:t>
      </w:r>
      <w:r w:rsidRPr="00122471">
        <w:rPr>
          <w:rFonts w:cs="Arial" w:hint="cs"/>
          <w:rtl/>
        </w:rPr>
        <w:t xml:space="preserve"> </w:t>
      </w:r>
      <w:r w:rsidRPr="00122471">
        <w:rPr>
          <w:rFonts w:cs="Arial"/>
          <w:sz w:val="16"/>
          <w:szCs w:val="16"/>
          <w:rtl/>
        </w:rPr>
        <w:t>(</w:t>
      </w:r>
      <w:r w:rsidRPr="00122471">
        <w:rPr>
          <w:rFonts w:cs="Arial" w:hint="cs"/>
          <w:sz w:val="16"/>
          <w:szCs w:val="16"/>
          <w:rtl/>
        </w:rPr>
        <w:t xml:space="preserve">דרכ"מ אות </w:t>
      </w:r>
      <w:r w:rsidRPr="00122471">
        <w:rPr>
          <w:rFonts w:cs="Arial"/>
          <w:sz w:val="16"/>
          <w:szCs w:val="16"/>
          <w:rtl/>
        </w:rPr>
        <w:t>ז)</w:t>
      </w:r>
      <w:r w:rsidRPr="00122471">
        <w:rPr>
          <w:rFonts w:cs="Arial"/>
          <w:rtl/>
        </w:rPr>
        <w:t xml:space="preserve"> </w:t>
      </w:r>
    </w:p>
    <w:p w14:paraId="7B198443" w14:textId="77777777" w:rsidR="00392DBB" w:rsidRPr="00D37E8C" w:rsidRDefault="00392DBB" w:rsidP="009000E3">
      <w:pPr>
        <w:pStyle w:val="ab"/>
        <w:numPr>
          <w:ilvl w:val="0"/>
          <w:numId w:val="72"/>
        </w:numPr>
        <w:rPr>
          <w:rFonts w:cs="Arial"/>
          <w:rtl/>
        </w:rPr>
      </w:pPr>
      <w:r>
        <w:rPr>
          <w:rFonts w:cs="Arial" w:hint="cs"/>
          <w:rtl/>
        </w:rPr>
        <w:t xml:space="preserve">מהר"ם </w:t>
      </w:r>
      <w:r w:rsidRPr="00122471">
        <w:rPr>
          <w:rFonts w:cs="Arial" w:hint="cs"/>
          <w:sz w:val="16"/>
          <w:szCs w:val="16"/>
          <w:rtl/>
        </w:rPr>
        <w:t>(</w:t>
      </w:r>
      <w:r w:rsidRPr="00D37E8C">
        <w:rPr>
          <w:rFonts w:cs="Arial"/>
          <w:sz w:val="16"/>
          <w:szCs w:val="16"/>
          <w:rtl/>
        </w:rPr>
        <w:t>ספר סיני וליקוטים סי</w:t>
      </w:r>
      <w:r>
        <w:rPr>
          <w:rFonts w:cs="Arial" w:hint="cs"/>
          <w:sz w:val="16"/>
          <w:szCs w:val="16"/>
          <w:rtl/>
        </w:rPr>
        <w:t>'</w:t>
      </w:r>
      <w:r w:rsidRPr="00D37E8C">
        <w:rPr>
          <w:rFonts w:cs="Arial"/>
          <w:sz w:val="16"/>
          <w:szCs w:val="16"/>
          <w:rtl/>
        </w:rPr>
        <w:t xml:space="preserve"> קלד</w:t>
      </w:r>
      <w:r>
        <w:rPr>
          <w:rFonts w:cs="Arial" w:hint="cs"/>
          <w:sz w:val="16"/>
          <w:szCs w:val="16"/>
          <w:rtl/>
        </w:rPr>
        <w:t>, וכ"כ בהגה"מ [</w:t>
      </w:r>
      <w:r w:rsidRPr="00122471">
        <w:rPr>
          <w:rFonts w:cs="Arial"/>
          <w:sz w:val="16"/>
          <w:szCs w:val="16"/>
          <w:rtl/>
        </w:rPr>
        <w:t>פכ"ד אות ג</w:t>
      </w:r>
      <w:r>
        <w:rPr>
          <w:rFonts w:cs="Arial" w:hint="cs"/>
          <w:sz w:val="16"/>
          <w:szCs w:val="16"/>
          <w:rtl/>
        </w:rPr>
        <w:t>]</w:t>
      </w:r>
      <w:r w:rsidRPr="00122471">
        <w:rPr>
          <w:rFonts w:cs="Arial"/>
          <w:sz w:val="16"/>
          <w:szCs w:val="16"/>
          <w:rtl/>
        </w:rPr>
        <w:t>)</w:t>
      </w:r>
      <w:r>
        <w:rPr>
          <w:rFonts w:cs="Arial" w:hint="cs"/>
          <w:rtl/>
        </w:rPr>
        <w:t>-</w:t>
      </w:r>
      <w:r w:rsidRPr="00026E9E">
        <w:rPr>
          <w:rFonts w:cs="Arial"/>
          <w:rtl/>
        </w:rPr>
        <w:t xml:space="preserve"> </w:t>
      </w:r>
      <w:r w:rsidRPr="00D37E8C">
        <w:rPr>
          <w:rFonts w:cs="Arial"/>
          <w:rtl/>
        </w:rPr>
        <w:t xml:space="preserve">ועוד אחרי שהביאה ריק אחד רוצח על בעלה לגזמו אם יעשה לה דבר וגיזם לו להורגו, לא גרע ממקללת יולדיו בפניו לאבא שאול </w:t>
      </w:r>
      <w:r>
        <w:rPr>
          <w:rFonts w:cs="Arial" w:hint="cs"/>
          <w:rtl/>
        </w:rPr>
        <w:t>(</w:t>
      </w:r>
      <w:r w:rsidRPr="00D37E8C">
        <w:rPr>
          <w:rFonts w:cs="Arial"/>
          <w:rtl/>
        </w:rPr>
        <w:t>כתובות עב</w:t>
      </w:r>
      <w:r>
        <w:rPr>
          <w:rFonts w:cs="Arial" w:hint="cs"/>
          <w:rtl/>
        </w:rPr>
        <w:t>.)</w:t>
      </w:r>
      <w:r w:rsidRPr="00D37E8C">
        <w:rPr>
          <w:rFonts w:cs="Arial"/>
          <w:rtl/>
        </w:rPr>
        <w:t xml:space="preserve"> והילכתא כוותיה, כל שכן הכא דמגיזמת לו להורגו. ועוד חשיבא כמדברת עם כל אדם כדאמר בפרק המדיר </w:t>
      </w:r>
      <w:r>
        <w:rPr>
          <w:rFonts w:cs="Arial" w:hint="cs"/>
          <w:rtl/>
        </w:rPr>
        <w:t>(</w:t>
      </w:r>
      <w:r w:rsidRPr="00D37E8C">
        <w:rPr>
          <w:rFonts w:cs="Arial"/>
          <w:rtl/>
        </w:rPr>
        <w:t xml:space="preserve">שם </w:t>
      </w:r>
      <w:r>
        <w:rPr>
          <w:rFonts w:cs="Arial" w:hint="cs"/>
          <w:rtl/>
        </w:rPr>
        <w:t>עב:)</w:t>
      </w:r>
      <w:r w:rsidRPr="00D37E8C">
        <w:rPr>
          <w:rFonts w:cs="Arial"/>
          <w:rtl/>
        </w:rPr>
        <w:t xml:space="preserve"> בההיא ערבייא דהוה יתבא ושדיא פילכא וטווה ורד כנגד פניה פסקה לפילכא אמרה עולם עולם הב לי פלך, אמר בה ר' עקיבא מילתא וכו' עד רבנן אמרי מדברת עם כל אדם אמר בה, וכל שכן זאת שבאתה עם אותו ריק ודברה עמו כל כך עד שבשביל אהבתם גיזם לבעלה להורגו</w:t>
      </w:r>
      <w:r>
        <w:rPr>
          <w:rStyle w:val="a7"/>
          <w:rFonts w:cs="Arial"/>
          <w:rtl/>
        </w:rPr>
        <w:footnoteReference w:id="2839"/>
      </w:r>
      <w:r>
        <w:rPr>
          <w:rFonts w:hint="cs"/>
          <w:rtl/>
        </w:rPr>
        <w:t>.</w:t>
      </w:r>
      <w:r w:rsidRPr="00D37E8C">
        <w:rPr>
          <w:rFonts w:hint="cs"/>
          <w:color w:val="00B0F0"/>
          <w:rtl/>
        </w:rPr>
        <w:t xml:space="preserve"> (וכ"פ הרמ"א)</w:t>
      </w:r>
    </w:p>
    <w:p w14:paraId="1CF402AB"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8171C22" w14:textId="77777777" w:rsidR="00392DBB" w:rsidRDefault="00392DBB" w:rsidP="00392DBB">
      <w:pPr>
        <w:rPr>
          <w:rtl/>
        </w:rPr>
      </w:pPr>
      <w:r>
        <w:rPr>
          <w:rFonts w:cs="Arial"/>
          <w:rtl/>
        </w:rPr>
        <w:lastRenderedPageBreak/>
        <w:t>איזו היא דת יהודית, הוא מנהג הצניעות שנהגו בנות ישראל. ואלו הם הדברים שאם עשתה אחת מהם עברה על דת יהודית: יוצאת לשוק</w:t>
      </w:r>
      <w:r>
        <w:rPr>
          <w:rStyle w:val="a7"/>
          <w:rFonts w:cs="Arial"/>
          <w:rtl/>
        </w:rPr>
        <w:footnoteReference w:id="2840"/>
      </w:r>
      <w:r>
        <w:rPr>
          <w:rFonts w:cs="Arial"/>
          <w:rtl/>
        </w:rPr>
        <w:t xml:space="preserve"> או למבוי מפולש או בחצר שהרבים בוקעים בו וראשה פרוע</w:t>
      </w:r>
      <w:r>
        <w:rPr>
          <w:rStyle w:val="a7"/>
          <w:rFonts w:cs="Arial"/>
          <w:rtl/>
        </w:rPr>
        <w:footnoteReference w:id="2841"/>
      </w:r>
      <w:r>
        <w:rPr>
          <w:rFonts w:cs="Arial"/>
          <w:rtl/>
        </w:rPr>
        <w:t xml:space="preserve"> ואין עליה רדיד ככל הנשים, אף על פי ששערה מכוסה</w:t>
      </w:r>
      <w:r>
        <w:rPr>
          <w:rStyle w:val="a7"/>
          <w:rFonts w:cs="Arial"/>
          <w:rtl/>
        </w:rPr>
        <w:footnoteReference w:id="2842"/>
      </w:r>
      <w:r>
        <w:rPr>
          <w:rFonts w:cs="Arial"/>
          <w:rtl/>
        </w:rPr>
        <w:t xml:space="preserve"> במטפחות</w:t>
      </w:r>
      <w:r>
        <w:rPr>
          <w:rStyle w:val="a7"/>
          <w:rFonts w:cs="Arial"/>
          <w:rtl/>
        </w:rPr>
        <w:footnoteReference w:id="2843"/>
      </w:r>
      <w:r>
        <w:rPr>
          <w:rFonts w:cs="Arial" w:hint="cs"/>
          <w:rtl/>
        </w:rPr>
        <w:t>.</w:t>
      </w:r>
      <w:r>
        <w:rPr>
          <w:rFonts w:cs="Arial"/>
          <w:rtl/>
        </w:rPr>
        <w:t xml:space="preserve"> או שהיתה טווה בשוק וורד וכיוצא בו כנגד פניה על פדחתה או על לחיה, כדרך שעושות </w:t>
      </w:r>
      <w:r>
        <w:rPr>
          <w:rFonts w:cs="Arial" w:hint="cs"/>
          <w:rtl/>
        </w:rPr>
        <w:t>הגויות</w:t>
      </w:r>
      <w:r>
        <w:rPr>
          <w:rFonts w:cs="Arial"/>
          <w:rtl/>
        </w:rPr>
        <w:t xml:space="preserve"> הפרוצות</w:t>
      </w:r>
      <w:r>
        <w:rPr>
          <w:rFonts w:cs="Arial" w:hint="cs"/>
          <w:rtl/>
        </w:rPr>
        <w:t>.</w:t>
      </w:r>
      <w:r>
        <w:rPr>
          <w:rFonts w:cs="Arial"/>
          <w:rtl/>
        </w:rPr>
        <w:t xml:space="preserve"> או שטווה בשוק ומראה זרועותיה לבני אדם </w:t>
      </w:r>
      <w:r>
        <w:rPr>
          <w:rFonts w:cs="Arial" w:hint="cs"/>
          <w:sz w:val="18"/>
          <w:szCs w:val="18"/>
          <w:rtl/>
        </w:rPr>
        <w:t xml:space="preserve">[הגה] </w:t>
      </w:r>
      <w:r w:rsidRPr="00B24647">
        <w:rPr>
          <w:rFonts w:cs="Arial"/>
          <w:sz w:val="18"/>
          <w:szCs w:val="18"/>
          <w:rtl/>
        </w:rPr>
        <w:t>ורגילה בכך</w:t>
      </w:r>
      <w:r>
        <w:rPr>
          <w:rStyle w:val="a7"/>
          <w:rFonts w:cs="Arial"/>
          <w:sz w:val="18"/>
          <w:szCs w:val="18"/>
          <w:rtl/>
        </w:rPr>
        <w:footnoteReference w:id="2844"/>
      </w:r>
      <w:r w:rsidRPr="00B24647">
        <w:rPr>
          <w:rFonts w:cs="Arial"/>
          <w:sz w:val="18"/>
          <w:szCs w:val="18"/>
          <w:rtl/>
        </w:rPr>
        <w:t xml:space="preserve"> (רשב"א סי' תקעא)</w:t>
      </w:r>
      <w:r>
        <w:rPr>
          <w:rFonts w:cs="Arial"/>
          <w:rtl/>
        </w:rPr>
        <w:t>, או שהיתה משחקת עם הבחורים</w:t>
      </w:r>
      <w:r>
        <w:rPr>
          <w:rStyle w:val="a7"/>
          <w:rFonts w:cs="Arial"/>
          <w:rtl/>
        </w:rPr>
        <w:footnoteReference w:id="2845"/>
      </w:r>
      <w:r>
        <w:rPr>
          <w:rFonts w:cs="Arial" w:hint="cs"/>
          <w:rtl/>
        </w:rPr>
        <w:t>.</w:t>
      </w:r>
      <w:r>
        <w:rPr>
          <w:rFonts w:cs="Arial"/>
          <w:rtl/>
        </w:rPr>
        <w:t xml:space="preserve"> או שהיתה תובעת התשמיש בקול רם מבעלה עד ששכנותיה שומעות אותה מדברת על עסקי תשמיש</w:t>
      </w:r>
      <w:r>
        <w:rPr>
          <w:rFonts w:cs="Arial" w:hint="cs"/>
          <w:rtl/>
        </w:rPr>
        <w:t>.</w:t>
      </w:r>
      <w:r>
        <w:rPr>
          <w:rFonts w:cs="Arial"/>
          <w:rtl/>
        </w:rPr>
        <w:t xml:space="preserve"> או שהיתה מקללת</w:t>
      </w:r>
      <w:r>
        <w:rPr>
          <w:rStyle w:val="a7"/>
          <w:rFonts w:cs="Arial"/>
          <w:rtl/>
        </w:rPr>
        <w:footnoteReference w:id="2846"/>
      </w:r>
      <w:r>
        <w:rPr>
          <w:rFonts w:cs="Arial"/>
          <w:rtl/>
        </w:rPr>
        <w:t xml:space="preserve"> אבי בעלה בפני בעלה, </w:t>
      </w:r>
      <w:r>
        <w:rPr>
          <w:rFonts w:cs="Arial" w:hint="cs"/>
          <w:sz w:val="18"/>
          <w:szCs w:val="18"/>
          <w:rtl/>
        </w:rPr>
        <w:t xml:space="preserve">[הגה] </w:t>
      </w:r>
      <w:r w:rsidRPr="00B24647">
        <w:rPr>
          <w:rFonts w:cs="Arial"/>
          <w:sz w:val="18"/>
          <w:szCs w:val="18"/>
          <w:rtl/>
        </w:rPr>
        <w:t>וי"א דה"ה אם קללה אפילו אבי בעלה בפני עצמו (כן משמע מפרש"י</w:t>
      </w:r>
      <w:r>
        <w:rPr>
          <w:rFonts w:cs="Arial" w:hint="cs"/>
          <w:sz w:val="18"/>
          <w:szCs w:val="18"/>
          <w:rtl/>
        </w:rPr>
        <w:t xml:space="preserve"> ותוס'</w:t>
      </w:r>
      <w:r w:rsidRPr="00B24647">
        <w:rPr>
          <w:rFonts w:cs="Arial"/>
          <w:sz w:val="18"/>
          <w:szCs w:val="18"/>
          <w:rtl/>
        </w:rPr>
        <w:t>) וע"ל סי' קנ"ד ה</w:t>
      </w:r>
      <w:r>
        <w:rPr>
          <w:rFonts w:cs="Arial" w:hint="cs"/>
          <w:sz w:val="18"/>
          <w:szCs w:val="18"/>
          <w:rtl/>
        </w:rPr>
        <w:t>וא הדין</w:t>
      </w:r>
      <w:r w:rsidRPr="00B24647">
        <w:rPr>
          <w:rFonts w:cs="Arial"/>
          <w:sz w:val="18"/>
          <w:szCs w:val="18"/>
          <w:rtl/>
        </w:rPr>
        <w:t xml:space="preserve"> המקללת בעלה בפניו (</w:t>
      </w:r>
      <w:r>
        <w:rPr>
          <w:rFonts w:cs="Arial" w:hint="cs"/>
          <w:sz w:val="18"/>
          <w:szCs w:val="18"/>
          <w:rtl/>
        </w:rPr>
        <w:t>במיוחסות</w:t>
      </w:r>
      <w:r w:rsidRPr="00B24647">
        <w:rPr>
          <w:rFonts w:cs="Arial"/>
          <w:sz w:val="18"/>
          <w:szCs w:val="18"/>
          <w:rtl/>
        </w:rPr>
        <w:t xml:space="preserve"> סי' קב)</w:t>
      </w:r>
      <w:r>
        <w:rPr>
          <w:rFonts w:cs="Arial"/>
          <w:rtl/>
        </w:rPr>
        <w:t>, בכל אחד מאלו תצא בלא כתובה, אם יש עדים שהתרה בה תחלה ועברה על התראתו. ואם אין עדים, תשבע שהוא כדבריה. ואם רצה לקיים אותה אח</w:t>
      </w:r>
      <w:r>
        <w:rPr>
          <w:rFonts w:cs="Arial" w:hint="cs"/>
          <w:rtl/>
        </w:rPr>
        <w:t xml:space="preserve">ר </w:t>
      </w:r>
      <w:r>
        <w:rPr>
          <w:rFonts w:cs="Arial"/>
          <w:rtl/>
        </w:rPr>
        <w:t>כ</w:t>
      </w:r>
      <w:r>
        <w:rPr>
          <w:rFonts w:cs="Arial" w:hint="cs"/>
          <w:rtl/>
        </w:rPr>
        <w:t>ך</w:t>
      </w:r>
      <w:r>
        <w:rPr>
          <w:rFonts w:cs="Arial"/>
          <w:rtl/>
        </w:rPr>
        <w:t>, אין כופין אותו להוציאה</w:t>
      </w:r>
      <w:r>
        <w:rPr>
          <w:rFonts w:cs="Arial" w:hint="cs"/>
          <w:rtl/>
        </w:rPr>
        <w:t>.</w:t>
      </w:r>
      <w:r>
        <w:rPr>
          <w:rFonts w:cs="Arial"/>
          <w:rtl/>
        </w:rPr>
        <w:t xml:space="preserve"> מכל מקום מצוה עליו שיוציאנה</w:t>
      </w:r>
      <w:r>
        <w:rPr>
          <w:rStyle w:val="a7"/>
          <w:rFonts w:cs="Arial"/>
          <w:rtl/>
        </w:rPr>
        <w:footnoteReference w:id="2847"/>
      </w:r>
      <w:r>
        <w:rPr>
          <w:rFonts w:cs="Arial"/>
          <w:rtl/>
        </w:rPr>
        <w:t xml:space="preserve">. </w:t>
      </w:r>
      <w:r w:rsidRPr="00B24647">
        <w:rPr>
          <w:rFonts w:cs="Arial"/>
          <w:sz w:val="18"/>
          <w:szCs w:val="18"/>
          <w:rtl/>
        </w:rPr>
        <w:t>הגה: ואינה יכולה לעכב על ידו שלא יגרשנה, ויכול לגרשה בעל כרחה, ואין בזה משום חרם ר</w:t>
      </w:r>
      <w:r>
        <w:rPr>
          <w:rFonts w:cs="Arial" w:hint="cs"/>
          <w:sz w:val="18"/>
          <w:szCs w:val="18"/>
          <w:rtl/>
        </w:rPr>
        <w:t>בנו גרשום</w:t>
      </w:r>
      <w:r w:rsidRPr="00B24647">
        <w:rPr>
          <w:rFonts w:cs="Arial"/>
          <w:sz w:val="18"/>
          <w:szCs w:val="18"/>
          <w:rtl/>
        </w:rPr>
        <w:t xml:space="preserve"> (</w:t>
      </w:r>
      <w:r>
        <w:rPr>
          <w:rFonts w:cs="Arial" w:hint="cs"/>
          <w:sz w:val="18"/>
          <w:szCs w:val="18"/>
          <w:rtl/>
        </w:rPr>
        <w:t xml:space="preserve">מרדכי בשם </w:t>
      </w:r>
      <w:r w:rsidRPr="00B24647">
        <w:rPr>
          <w:rFonts w:cs="Arial"/>
          <w:sz w:val="18"/>
          <w:szCs w:val="18"/>
          <w:rtl/>
        </w:rPr>
        <w:t xml:space="preserve">מהר"ם </w:t>
      </w:r>
      <w:r>
        <w:rPr>
          <w:rFonts w:cs="Arial" w:hint="cs"/>
          <w:sz w:val="18"/>
          <w:szCs w:val="18"/>
          <w:rtl/>
        </w:rPr>
        <w:t>ו</w:t>
      </w:r>
      <w:r w:rsidRPr="00B24647">
        <w:rPr>
          <w:rFonts w:cs="Arial"/>
          <w:sz w:val="18"/>
          <w:szCs w:val="18"/>
          <w:rtl/>
        </w:rPr>
        <w:t xml:space="preserve">רשב"א). אשה שגזמה לבעלה שרצונה להשכיר עליו </w:t>
      </w:r>
      <w:r>
        <w:rPr>
          <w:rFonts w:cs="Arial" w:hint="cs"/>
          <w:sz w:val="18"/>
          <w:szCs w:val="18"/>
          <w:rtl/>
        </w:rPr>
        <w:t>גוי</w:t>
      </w:r>
      <w:r w:rsidRPr="00B24647">
        <w:rPr>
          <w:rFonts w:cs="Arial"/>
          <w:sz w:val="18"/>
          <w:szCs w:val="18"/>
          <w:rtl/>
        </w:rPr>
        <w:t xml:space="preserve"> להרגו אם יעשה לה דבר, מיקרי עוברת על דת (</w:t>
      </w:r>
      <w:r>
        <w:rPr>
          <w:rFonts w:cs="Arial" w:hint="cs"/>
          <w:sz w:val="18"/>
          <w:szCs w:val="18"/>
          <w:rtl/>
        </w:rPr>
        <w:t>מהר"ם</w:t>
      </w:r>
      <w:r w:rsidRPr="00B24647">
        <w:rPr>
          <w:rFonts w:cs="Arial"/>
          <w:sz w:val="18"/>
          <w:szCs w:val="18"/>
          <w:rtl/>
        </w:rPr>
        <w:t xml:space="preserve">). אשה הרגילה להתייחד עם </w:t>
      </w:r>
      <w:r>
        <w:rPr>
          <w:rFonts w:cs="Arial" w:hint="cs"/>
          <w:sz w:val="18"/>
          <w:szCs w:val="18"/>
          <w:rtl/>
        </w:rPr>
        <w:t>גוי</w:t>
      </w:r>
      <w:r w:rsidRPr="00B24647">
        <w:rPr>
          <w:rFonts w:cs="Arial"/>
          <w:sz w:val="18"/>
          <w:szCs w:val="18"/>
          <w:rtl/>
        </w:rPr>
        <w:t>, נקראת עוברת על דת (ת</w:t>
      </w:r>
      <w:r>
        <w:rPr>
          <w:rFonts w:cs="Arial" w:hint="cs"/>
          <w:sz w:val="18"/>
          <w:szCs w:val="18"/>
          <w:rtl/>
        </w:rPr>
        <w:t>רו</w:t>
      </w:r>
      <w:r w:rsidRPr="00B24647">
        <w:rPr>
          <w:rFonts w:cs="Arial"/>
          <w:sz w:val="18"/>
          <w:szCs w:val="18"/>
          <w:rtl/>
        </w:rPr>
        <w:t>ה</w:t>
      </w:r>
      <w:r>
        <w:rPr>
          <w:rFonts w:cs="Arial" w:hint="cs"/>
          <w:sz w:val="18"/>
          <w:szCs w:val="18"/>
          <w:rtl/>
        </w:rPr>
        <w:t>"ד</w:t>
      </w:r>
      <w:r w:rsidRPr="00B24647">
        <w:rPr>
          <w:rFonts w:cs="Arial"/>
          <w:sz w:val="18"/>
          <w:szCs w:val="18"/>
          <w:rtl/>
        </w:rPr>
        <w:t>).</w:t>
      </w:r>
      <w:r>
        <w:rPr>
          <w:rFonts w:cs="Arial"/>
          <w:rtl/>
        </w:rPr>
        <w:t xml:space="preserve"> </w:t>
      </w:r>
    </w:p>
    <w:p w14:paraId="099F1F2B" w14:textId="77777777" w:rsidR="00392DBB" w:rsidRDefault="00392DBB" w:rsidP="00392DBB">
      <w:pPr>
        <w:rPr>
          <w:rtl/>
        </w:rPr>
      </w:pPr>
    </w:p>
    <w:p w14:paraId="387B6DCB" w14:textId="696CD37B" w:rsidR="00392DBB" w:rsidRDefault="00392DBB" w:rsidP="000F64D0">
      <w:pPr>
        <w:pStyle w:val="2"/>
        <w:rPr>
          <w:rtl/>
        </w:rPr>
      </w:pPr>
      <w:r>
        <w:rPr>
          <w:rtl/>
        </w:rPr>
        <w:t>סעיף ה</w:t>
      </w:r>
      <w:r>
        <w:rPr>
          <w:rFonts w:hint="cs"/>
          <w:rtl/>
        </w:rPr>
        <w:t xml:space="preserve">: היוצאת בלא כתובה </w:t>
      </w:r>
      <w:r w:rsidR="00F97626">
        <w:rPr>
          <w:rtl/>
        </w:rPr>
        <w:t>-</w:t>
      </w:r>
      <w:r>
        <w:rPr>
          <w:rFonts w:hint="cs"/>
          <w:rtl/>
        </w:rPr>
        <w:t xml:space="preserve"> מה בכלל זה.</w:t>
      </w:r>
    </w:p>
    <w:p w14:paraId="722FCEEC" w14:textId="77777777" w:rsidR="00392DBB" w:rsidRPr="00C544BF" w:rsidRDefault="00392DBB" w:rsidP="00392DBB">
      <w:pPr>
        <w:rPr>
          <w:rFonts w:cs="Arial"/>
          <w:rtl/>
        </w:rPr>
      </w:pPr>
      <w:r w:rsidRPr="00634C48">
        <w:rPr>
          <w:rFonts w:cs="Arial"/>
          <w:b/>
          <w:bCs/>
          <w:rtl/>
        </w:rPr>
        <w:t xml:space="preserve">כתובות </w:t>
      </w:r>
      <w:r w:rsidRPr="00634C48">
        <w:rPr>
          <w:rFonts w:cs="Arial" w:hint="cs"/>
          <w:b/>
          <w:bCs/>
          <w:sz w:val="16"/>
          <w:szCs w:val="16"/>
          <w:rtl/>
        </w:rPr>
        <w:t>(ס"פ</w:t>
      </w:r>
      <w:r w:rsidRPr="00634C48">
        <w:rPr>
          <w:rFonts w:cs="Arial"/>
          <w:b/>
          <w:bCs/>
          <w:sz w:val="16"/>
          <w:szCs w:val="16"/>
          <w:rtl/>
        </w:rPr>
        <w:t xml:space="preserve"> אלמנה נזונת</w:t>
      </w:r>
      <w:r w:rsidRPr="00634C48">
        <w:rPr>
          <w:rFonts w:cs="Arial" w:hint="cs"/>
          <w:b/>
          <w:bCs/>
          <w:sz w:val="16"/>
          <w:szCs w:val="16"/>
          <w:rtl/>
        </w:rPr>
        <w:t xml:space="preserve">) </w:t>
      </w:r>
      <w:r w:rsidRPr="00634C48">
        <w:rPr>
          <w:rFonts w:cs="Arial"/>
          <w:b/>
          <w:bCs/>
          <w:rtl/>
        </w:rPr>
        <w:t>קא</w:t>
      </w:r>
      <w:r w:rsidRPr="00634C48">
        <w:rPr>
          <w:rFonts w:cs="Arial" w:hint="cs"/>
          <w:b/>
          <w:bCs/>
          <w:rtl/>
        </w:rPr>
        <w:t xml:space="preserve"> ע"א:</w:t>
      </w:r>
      <w:r w:rsidRPr="00026E9E">
        <w:rPr>
          <w:rFonts w:cs="Arial"/>
          <w:rtl/>
        </w:rPr>
        <w:t xml:space="preserve"> </w:t>
      </w:r>
      <w:r w:rsidRPr="008C07EF">
        <w:rPr>
          <w:rFonts w:cs="Arial"/>
          <w:rtl/>
        </w:rPr>
        <w:t>ת</w:t>
      </w:r>
      <w:r>
        <w:rPr>
          <w:rFonts w:cs="Arial" w:hint="cs"/>
          <w:rtl/>
        </w:rPr>
        <w:t>ניא נמי הכי</w:t>
      </w:r>
      <w:r w:rsidRPr="008C07EF">
        <w:rPr>
          <w:rFonts w:cs="Arial"/>
          <w:rtl/>
        </w:rPr>
        <w:t>: נשים שאמרו חכמים אין להן כתובה, כגון הממאנת וחברותיה - אין להן מנה מאתים, אבל תוספת יש להן</w:t>
      </w:r>
      <w:r>
        <w:rPr>
          <w:rFonts w:cs="Arial" w:hint="cs"/>
          <w:rtl/>
        </w:rPr>
        <w:t>.</w:t>
      </w:r>
      <w:r w:rsidRPr="008C07EF">
        <w:rPr>
          <w:rFonts w:cs="Arial"/>
          <w:rtl/>
        </w:rPr>
        <w:t xml:space="preserve"> נשים שאמרו חכמים יוצאות שלא בכתובה, כגון עוברת על דת וחברותיה - אין </w:t>
      </w:r>
      <w:r w:rsidRPr="008C07EF">
        <w:rPr>
          <w:rFonts w:cs="Arial"/>
          <w:rtl/>
        </w:rPr>
        <w:lastRenderedPageBreak/>
        <w:t>להן תוספת, וכ"ש מנה מאתים</w:t>
      </w:r>
      <w:r>
        <w:rPr>
          <w:rFonts w:cs="Arial" w:hint="cs"/>
          <w:rtl/>
        </w:rPr>
        <w:t>.</w:t>
      </w:r>
      <w:r w:rsidRPr="008C07EF">
        <w:rPr>
          <w:rFonts w:cs="Arial"/>
          <w:rtl/>
        </w:rPr>
        <w:t xml:space="preserve"> והיוצאת משום שם רע - נוטלת מה שלפניה ויוצאה. מסייע ליה לרב הונא, דאמר רב הונא: זינתה, לא הפסידה</w:t>
      </w:r>
      <w:r>
        <w:rPr>
          <w:rFonts w:cs="Arial" w:hint="cs"/>
          <w:sz w:val="14"/>
          <w:szCs w:val="14"/>
          <w:rtl/>
        </w:rPr>
        <w:t xml:space="preserve"> (קא:)</w:t>
      </w:r>
      <w:r w:rsidRPr="008C07EF">
        <w:rPr>
          <w:rtl/>
        </w:rPr>
        <w:t xml:space="preserve"> </w:t>
      </w:r>
      <w:r w:rsidRPr="008C07EF">
        <w:rPr>
          <w:rFonts w:cs="Arial"/>
          <w:rtl/>
        </w:rPr>
        <w:t>בלאותיה קיימין.</w:t>
      </w:r>
      <w:r>
        <w:rPr>
          <w:rFonts w:cs="Arial" w:hint="cs"/>
          <w:rtl/>
        </w:rPr>
        <w:t xml:space="preserve"> </w:t>
      </w:r>
      <w:r w:rsidRPr="00C544BF">
        <w:rPr>
          <w:rFonts w:cs="Arial" w:hint="cs"/>
          <w:sz w:val="16"/>
          <w:szCs w:val="16"/>
          <w:rtl/>
        </w:rPr>
        <w:t>(</w:t>
      </w:r>
      <w:r w:rsidRPr="00C544BF">
        <w:rPr>
          <w:rFonts w:cs="Arial"/>
          <w:sz w:val="16"/>
          <w:szCs w:val="16"/>
          <w:rtl/>
        </w:rPr>
        <w:t xml:space="preserve">ופירש הרא"ש (סי' כה - כח) נשים שאמרו חכמים </w:t>
      </w:r>
      <w:r w:rsidRPr="00C544BF">
        <w:rPr>
          <w:rFonts w:cs="Arial" w:hint="cs"/>
          <w:sz w:val="16"/>
          <w:szCs w:val="16"/>
          <w:rtl/>
        </w:rPr>
        <w:t>'</w:t>
      </w:r>
      <w:r w:rsidRPr="00C544BF">
        <w:rPr>
          <w:rFonts w:cs="Arial"/>
          <w:sz w:val="16"/>
          <w:szCs w:val="16"/>
          <w:rtl/>
        </w:rPr>
        <w:t>אין להם כתובה</w:t>
      </w:r>
      <w:r w:rsidRPr="00C544BF">
        <w:rPr>
          <w:rFonts w:cs="Arial" w:hint="cs"/>
          <w:sz w:val="16"/>
          <w:szCs w:val="16"/>
          <w:rtl/>
        </w:rPr>
        <w:t>'</w:t>
      </w:r>
      <w:r w:rsidRPr="00C544BF">
        <w:rPr>
          <w:rFonts w:cs="Arial"/>
          <w:sz w:val="16"/>
          <w:szCs w:val="16"/>
          <w:rtl/>
        </w:rPr>
        <w:t xml:space="preserve"> כגון ממאנת וחבירותיה שכתחלתן כך סופן</w:t>
      </w:r>
      <w:r w:rsidRPr="00C544BF">
        <w:rPr>
          <w:rFonts w:cs="Arial" w:hint="cs"/>
          <w:sz w:val="16"/>
          <w:szCs w:val="16"/>
          <w:rtl/>
        </w:rPr>
        <w:t>,</w:t>
      </w:r>
      <w:r w:rsidRPr="00C544BF">
        <w:rPr>
          <w:rFonts w:cs="Arial"/>
          <w:sz w:val="16"/>
          <w:szCs w:val="16"/>
          <w:rtl/>
        </w:rPr>
        <w:t xml:space="preserve"> ולהכי תנא בהו ואין להם כתובה</w:t>
      </w:r>
      <w:r w:rsidRPr="00C544BF">
        <w:rPr>
          <w:rFonts w:cs="Arial" w:hint="cs"/>
          <w:sz w:val="16"/>
          <w:szCs w:val="16"/>
          <w:rtl/>
        </w:rPr>
        <w:t>,</w:t>
      </w:r>
      <w:r w:rsidRPr="00C544BF">
        <w:rPr>
          <w:rFonts w:cs="Arial"/>
          <w:sz w:val="16"/>
          <w:szCs w:val="16"/>
          <w:rtl/>
        </w:rPr>
        <w:t xml:space="preserve"> כלומר שאין להם כתובה מתחלתן</w:t>
      </w:r>
      <w:r w:rsidRPr="00C544BF">
        <w:rPr>
          <w:rFonts w:cs="Arial" w:hint="cs"/>
          <w:sz w:val="16"/>
          <w:szCs w:val="16"/>
          <w:rtl/>
        </w:rPr>
        <w:t>.</w:t>
      </w:r>
      <w:r w:rsidRPr="00C544BF">
        <w:rPr>
          <w:rFonts w:cs="Arial"/>
          <w:sz w:val="16"/>
          <w:szCs w:val="16"/>
          <w:rtl/>
        </w:rPr>
        <w:t xml:space="preserve"> והוא הדין במקום ששנה </w:t>
      </w:r>
      <w:r w:rsidRPr="00C544BF">
        <w:rPr>
          <w:rFonts w:cs="Arial" w:hint="cs"/>
          <w:sz w:val="16"/>
          <w:szCs w:val="16"/>
          <w:rtl/>
        </w:rPr>
        <w:t>'</w:t>
      </w:r>
      <w:r w:rsidRPr="00C544BF">
        <w:rPr>
          <w:rFonts w:cs="Arial"/>
          <w:sz w:val="16"/>
          <w:szCs w:val="16"/>
          <w:rtl/>
        </w:rPr>
        <w:t>יוצאות שלא בכתובה</w:t>
      </w:r>
      <w:r w:rsidRPr="00C544BF">
        <w:rPr>
          <w:rFonts w:cs="Arial" w:hint="cs"/>
          <w:sz w:val="16"/>
          <w:szCs w:val="16"/>
          <w:rtl/>
        </w:rPr>
        <w:t>'</w:t>
      </w:r>
      <w:r w:rsidRPr="00C544BF">
        <w:rPr>
          <w:rFonts w:cs="Arial"/>
          <w:sz w:val="16"/>
          <w:szCs w:val="16"/>
          <w:rtl/>
        </w:rPr>
        <w:t xml:space="preserve"> כההיא ברייתא דפרק הבא על יבמתו (יבמות סה.) נשאת למי שאין לו בנים תצא שלא בכתובה</w:t>
      </w:r>
      <w:r w:rsidRPr="00C544BF">
        <w:rPr>
          <w:rFonts w:cs="Arial" w:hint="cs"/>
          <w:sz w:val="16"/>
          <w:szCs w:val="16"/>
          <w:rtl/>
        </w:rPr>
        <w:t xml:space="preserve">. </w:t>
      </w:r>
      <w:r w:rsidRPr="00C544BF">
        <w:rPr>
          <w:rFonts w:cs="Arial"/>
          <w:sz w:val="16"/>
          <w:szCs w:val="16"/>
          <w:rtl/>
        </w:rPr>
        <w:t>ויש לה תוספת</w:t>
      </w:r>
      <w:r w:rsidRPr="00C544BF">
        <w:rPr>
          <w:rFonts w:cs="Arial" w:hint="cs"/>
          <w:sz w:val="16"/>
          <w:szCs w:val="16"/>
          <w:rtl/>
        </w:rPr>
        <w:t>,</w:t>
      </w:r>
      <w:r w:rsidRPr="00C544BF">
        <w:rPr>
          <w:rFonts w:cs="Arial"/>
          <w:sz w:val="16"/>
          <w:szCs w:val="16"/>
          <w:rtl/>
        </w:rPr>
        <w:t xml:space="preserve"> מידי דהוה אאילונית לפי שכתחלתה כך סופה</w:t>
      </w:r>
      <w:r w:rsidRPr="00C544BF">
        <w:rPr>
          <w:rFonts w:cs="Arial" w:hint="cs"/>
          <w:sz w:val="16"/>
          <w:szCs w:val="16"/>
          <w:rtl/>
        </w:rPr>
        <w:t>.</w:t>
      </w:r>
      <w:r w:rsidRPr="00C544BF">
        <w:rPr>
          <w:rFonts w:cs="Arial"/>
          <w:sz w:val="16"/>
          <w:szCs w:val="16"/>
          <w:rtl/>
        </w:rPr>
        <w:t xml:space="preserve"> ונשים שאמרו חכמים </w:t>
      </w:r>
      <w:r w:rsidRPr="00C544BF">
        <w:rPr>
          <w:rFonts w:cs="Arial" w:hint="cs"/>
          <w:sz w:val="16"/>
          <w:szCs w:val="16"/>
          <w:rtl/>
        </w:rPr>
        <w:t>'</w:t>
      </w:r>
      <w:r w:rsidRPr="00C544BF">
        <w:rPr>
          <w:rFonts w:cs="Arial"/>
          <w:sz w:val="16"/>
          <w:szCs w:val="16"/>
          <w:rtl/>
        </w:rPr>
        <w:t>יוצאות שלא בכתובה</w:t>
      </w:r>
      <w:r w:rsidRPr="00C544BF">
        <w:rPr>
          <w:rFonts w:cs="Arial" w:hint="cs"/>
          <w:sz w:val="16"/>
          <w:szCs w:val="16"/>
          <w:rtl/>
        </w:rPr>
        <w:t>'</w:t>
      </w:r>
      <w:r w:rsidRPr="00C544BF">
        <w:rPr>
          <w:rFonts w:cs="Arial"/>
          <w:sz w:val="16"/>
          <w:szCs w:val="16"/>
          <w:rtl/>
        </w:rPr>
        <w:t xml:space="preserve"> שמחמת קלקול שאחר הנשואין הפסידו</w:t>
      </w:r>
      <w:r w:rsidRPr="00C544BF">
        <w:rPr>
          <w:rFonts w:cs="Arial" w:hint="cs"/>
          <w:sz w:val="16"/>
          <w:szCs w:val="16"/>
          <w:rtl/>
        </w:rPr>
        <w:t>,</w:t>
      </w:r>
      <w:r w:rsidRPr="00C544BF">
        <w:rPr>
          <w:rFonts w:cs="Arial"/>
          <w:sz w:val="16"/>
          <w:szCs w:val="16"/>
          <w:rtl/>
        </w:rPr>
        <w:t xml:space="preserve"> כגון עוברת על דת וחבירותיה שאין סופן כתחלתן</w:t>
      </w:r>
      <w:r w:rsidRPr="00C544BF">
        <w:rPr>
          <w:rFonts w:cs="Arial" w:hint="cs"/>
          <w:sz w:val="16"/>
          <w:szCs w:val="16"/>
          <w:rtl/>
        </w:rPr>
        <w:t>,</w:t>
      </w:r>
      <w:r w:rsidRPr="00C544BF">
        <w:rPr>
          <w:rFonts w:cs="Arial"/>
          <w:sz w:val="16"/>
          <w:szCs w:val="16"/>
          <w:rtl/>
        </w:rPr>
        <w:t xml:space="preserve"> שמתחלה היו ראויות לכתובה ועכשיו הפסידו על עצמן</w:t>
      </w:r>
      <w:r w:rsidRPr="00C544BF">
        <w:rPr>
          <w:rFonts w:cs="Arial" w:hint="cs"/>
          <w:sz w:val="16"/>
          <w:szCs w:val="16"/>
          <w:rtl/>
        </w:rPr>
        <w:t>,</w:t>
      </w:r>
      <w:r w:rsidRPr="00C544BF">
        <w:rPr>
          <w:rFonts w:cs="Arial"/>
          <w:sz w:val="16"/>
          <w:szCs w:val="16"/>
          <w:rtl/>
        </w:rPr>
        <w:t xml:space="preserve"> בין ששנו בהם </w:t>
      </w:r>
      <w:r w:rsidRPr="00C544BF">
        <w:rPr>
          <w:rFonts w:cs="Arial" w:hint="cs"/>
          <w:sz w:val="16"/>
          <w:szCs w:val="16"/>
          <w:rtl/>
        </w:rPr>
        <w:t>'</w:t>
      </w:r>
      <w:r w:rsidRPr="00C544BF">
        <w:rPr>
          <w:rFonts w:cs="Arial"/>
          <w:sz w:val="16"/>
          <w:szCs w:val="16"/>
          <w:rtl/>
        </w:rPr>
        <w:t>יוצאות שלא בכתובה</w:t>
      </w:r>
      <w:r w:rsidRPr="00C544BF">
        <w:rPr>
          <w:rFonts w:cs="Arial" w:hint="cs"/>
          <w:sz w:val="16"/>
          <w:szCs w:val="16"/>
          <w:rtl/>
        </w:rPr>
        <w:t>'</w:t>
      </w:r>
      <w:r w:rsidRPr="00C544BF">
        <w:rPr>
          <w:rFonts w:cs="Arial"/>
          <w:sz w:val="16"/>
          <w:szCs w:val="16"/>
          <w:rtl/>
        </w:rPr>
        <w:t xml:space="preserve"> בין ששנו בהם </w:t>
      </w:r>
      <w:r w:rsidRPr="00C544BF">
        <w:rPr>
          <w:rFonts w:cs="Arial" w:hint="cs"/>
          <w:sz w:val="16"/>
          <w:szCs w:val="16"/>
          <w:rtl/>
        </w:rPr>
        <w:t>'</w:t>
      </w:r>
      <w:r w:rsidRPr="00C544BF">
        <w:rPr>
          <w:rFonts w:cs="Arial"/>
          <w:sz w:val="16"/>
          <w:szCs w:val="16"/>
          <w:rtl/>
        </w:rPr>
        <w:t>אין להם כתובה</w:t>
      </w:r>
      <w:r w:rsidRPr="00C544BF">
        <w:rPr>
          <w:rFonts w:cs="Arial" w:hint="cs"/>
          <w:sz w:val="16"/>
          <w:szCs w:val="16"/>
          <w:rtl/>
        </w:rPr>
        <w:t>'</w:t>
      </w:r>
      <w:r w:rsidRPr="00C544BF">
        <w:rPr>
          <w:rFonts w:cs="Arial"/>
          <w:sz w:val="16"/>
          <w:szCs w:val="16"/>
          <w:rtl/>
        </w:rPr>
        <w:t xml:space="preserve"> כאותה ששנינו ביבמות (פז:) ובהזורק (גיטין עט:) </w:t>
      </w:r>
      <w:r w:rsidRPr="00C544BF">
        <w:rPr>
          <w:rFonts w:cs="Arial" w:hint="cs"/>
          <w:sz w:val="16"/>
          <w:szCs w:val="16"/>
          <w:rtl/>
        </w:rPr>
        <w:t>'</w:t>
      </w:r>
      <w:r w:rsidRPr="00C544BF">
        <w:rPr>
          <w:rFonts w:cs="Arial"/>
          <w:sz w:val="16"/>
          <w:szCs w:val="16"/>
          <w:rtl/>
        </w:rPr>
        <w:t>תצא מזה ומזה ואין לה כתובה</w:t>
      </w:r>
      <w:r w:rsidRPr="00C544BF">
        <w:rPr>
          <w:rFonts w:cs="Arial" w:hint="cs"/>
          <w:sz w:val="16"/>
          <w:szCs w:val="16"/>
          <w:rtl/>
        </w:rPr>
        <w:t>'</w:t>
      </w:r>
      <w:r w:rsidRPr="00C544BF">
        <w:rPr>
          <w:rFonts w:cs="Arial"/>
          <w:sz w:val="16"/>
          <w:szCs w:val="16"/>
          <w:rtl/>
        </w:rPr>
        <w:t xml:space="preserve"> </w:t>
      </w:r>
      <w:r w:rsidRPr="00C544BF">
        <w:rPr>
          <w:rFonts w:cs="Arial" w:hint="cs"/>
          <w:sz w:val="16"/>
          <w:szCs w:val="16"/>
          <w:rtl/>
        </w:rPr>
        <w:t xml:space="preserve">- </w:t>
      </w:r>
      <w:r w:rsidRPr="00C544BF">
        <w:rPr>
          <w:rFonts w:cs="Arial"/>
          <w:sz w:val="16"/>
          <w:szCs w:val="16"/>
          <w:rtl/>
        </w:rPr>
        <w:t>כולן אין להם לא מנה ולא תוספת</w:t>
      </w:r>
      <w:r w:rsidRPr="00C544BF">
        <w:rPr>
          <w:rFonts w:cs="Arial" w:hint="cs"/>
          <w:sz w:val="16"/>
          <w:szCs w:val="16"/>
          <w:rtl/>
        </w:rPr>
        <w:t>,</w:t>
      </w:r>
      <w:r w:rsidRPr="00C544BF">
        <w:rPr>
          <w:rFonts w:cs="Arial"/>
          <w:sz w:val="16"/>
          <w:szCs w:val="16"/>
          <w:rtl/>
        </w:rPr>
        <w:t xml:space="preserve"> שהרי כל אותם הנשים משום צד זנות הם מפסידות כתובתן ונאסרות על בעליהן</w:t>
      </w:r>
      <w:r w:rsidRPr="00C544BF">
        <w:rPr>
          <w:rFonts w:cs="Arial" w:hint="cs"/>
          <w:sz w:val="16"/>
          <w:szCs w:val="16"/>
          <w:rtl/>
        </w:rPr>
        <w:t>.</w:t>
      </w:r>
      <w:r w:rsidRPr="00C544BF">
        <w:rPr>
          <w:rFonts w:cs="Arial"/>
          <w:sz w:val="16"/>
          <w:szCs w:val="16"/>
          <w:rtl/>
        </w:rPr>
        <w:t xml:space="preserve"> הילכך עוברת על דת וחבירותיה והיוצאת משום שם רע נוטלת מה שבפניה ויוצאת</w:t>
      </w:r>
      <w:r w:rsidRPr="00C544BF">
        <w:rPr>
          <w:rFonts w:cs="Arial" w:hint="cs"/>
          <w:sz w:val="16"/>
          <w:szCs w:val="16"/>
          <w:rtl/>
        </w:rPr>
        <w:t>.</w:t>
      </w:r>
      <w:r w:rsidRPr="00C544BF">
        <w:rPr>
          <w:rFonts w:cs="Arial"/>
          <w:sz w:val="16"/>
          <w:szCs w:val="16"/>
          <w:rtl/>
        </w:rPr>
        <w:t xml:space="preserve"> מסייע לרב הונא דאמר זינתה לא הפסידה בלאותיה קיימים</w:t>
      </w:r>
      <w:r w:rsidRPr="00C544BF">
        <w:rPr>
          <w:rFonts w:cs="Arial" w:hint="cs"/>
          <w:sz w:val="16"/>
          <w:szCs w:val="16"/>
          <w:rtl/>
        </w:rPr>
        <w:t>.</w:t>
      </w:r>
      <w:r w:rsidRPr="00C544BF">
        <w:rPr>
          <w:rFonts w:cs="Arial"/>
          <w:sz w:val="16"/>
          <w:szCs w:val="16"/>
          <w:rtl/>
        </w:rPr>
        <w:t xml:space="preserve"> הן בלאות של נכסי מלוג הן של נכסי צאן ברזל</w:t>
      </w:r>
      <w:r w:rsidRPr="00C544BF">
        <w:rPr>
          <w:rFonts w:cs="Arial" w:hint="cs"/>
          <w:sz w:val="16"/>
          <w:szCs w:val="16"/>
          <w:rtl/>
        </w:rPr>
        <w:t>.</w:t>
      </w:r>
      <w:r w:rsidRPr="00C544BF">
        <w:rPr>
          <w:rFonts w:cs="Arial"/>
          <w:sz w:val="16"/>
          <w:szCs w:val="16"/>
          <w:rtl/>
        </w:rPr>
        <w:t xml:space="preserve"> דמדקתני בלאותיה בסתם</w:t>
      </w:r>
      <w:r w:rsidRPr="00C544BF">
        <w:rPr>
          <w:rFonts w:cs="Arial" w:hint="cs"/>
          <w:sz w:val="16"/>
          <w:szCs w:val="16"/>
          <w:rtl/>
        </w:rPr>
        <w:t>,</w:t>
      </w:r>
      <w:r w:rsidRPr="00C544BF">
        <w:rPr>
          <w:rFonts w:cs="Arial"/>
          <w:sz w:val="16"/>
          <w:szCs w:val="16"/>
          <w:rtl/>
        </w:rPr>
        <w:t xml:space="preserve"> משמע מכל מה שהכניסה לו עכ"ל. וכ"כ הר"ן ז"ל שם (נט: ד"ה גמ'). וכך הם דברי רמב"ם </w:t>
      </w:r>
      <w:r>
        <w:rPr>
          <w:rFonts w:cs="Arial" w:hint="cs"/>
          <w:sz w:val="16"/>
          <w:szCs w:val="16"/>
          <w:rtl/>
        </w:rPr>
        <w:t>(</w:t>
      </w:r>
      <w:r w:rsidRPr="00C544BF">
        <w:rPr>
          <w:rFonts w:cs="Arial"/>
          <w:sz w:val="16"/>
          <w:szCs w:val="16"/>
          <w:rtl/>
        </w:rPr>
        <w:t>פכ"ד מ</w:t>
      </w:r>
      <w:r>
        <w:rPr>
          <w:rFonts w:cs="Arial" w:hint="cs"/>
          <w:sz w:val="16"/>
          <w:szCs w:val="16"/>
          <w:rtl/>
        </w:rPr>
        <w:t xml:space="preserve">אישות </w:t>
      </w:r>
      <w:r w:rsidRPr="00C544BF">
        <w:rPr>
          <w:rFonts w:cs="Arial"/>
          <w:sz w:val="16"/>
          <w:szCs w:val="16"/>
          <w:rtl/>
        </w:rPr>
        <w:t>ה"ו</w:t>
      </w:r>
      <w:r>
        <w:rPr>
          <w:rFonts w:cs="Arial" w:hint="cs"/>
          <w:sz w:val="16"/>
          <w:szCs w:val="16"/>
          <w:rtl/>
        </w:rPr>
        <w:t xml:space="preserve"> וה"י</w:t>
      </w:r>
      <w:r w:rsidRPr="00C544BF">
        <w:rPr>
          <w:rFonts w:cs="Arial"/>
          <w:sz w:val="16"/>
          <w:szCs w:val="16"/>
          <w:rtl/>
        </w:rPr>
        <w:t>). ועיין במישרים סוף נכ"ג</w:t>
      </w:r>
      <w:r w:rsidRPr="00C544BF">
        <w:rPr>
          <w:rFonts w:cs="Arial" w:hint="cs"/>
          <w:sz w:val="16"/>
          <w:szCs w:val="16"/>
          <w:rtl/>
        </w:rPr>
        <w:t>, ב"י)</w:t>
      </w:r>
    </w:p>
    <w:p w14:paraId="2F222D32" w14:textId="25C874F5" w:rsidR="00392DBB" w:rsidRPr="00634C48" w:rsidRDefault="00392DBB" w:rsidP="00392DBB">
      <w:pPr>
        <w:rPr>
          <w:u w:val="single"/>
          <w:rtl/>
        </w:rPr>
      </w:pPr>
      <w:r w:rsidRPr="00634C48">
        <w:rPr>
          <w:rFonts w:hint="cs"/>
          <w:u w:val="single"/>
          <w:rtl/>
        </w:rPr>
        <w:t xml:space="preserve">היוצאת בלא כתובה </w:t>
      </w:r>
      <w:r w:rsidR="00F97626">
        <w:rPr>
          <w:u w:val="single"/>
          <w:rtl/>
        </w:rPr>
        <w:t>-</w:t>
      </w:r>
      <w:r w:rsidRPr="00634C48">
        <w:rPr>
          <w:rFonts w:hint="cs"/>
          <w:u w:val="single"/>
          <w:rtl/>
        </w:rPr>
        <w:t xml:space="preserve"> מה בכלל זה:</w:t>
      </w:r>
    </w:p>
    <w:p w14:paraId="4D2C9B93" w14:textId="77777777" w:rsidR="00392DBB" w:rsidRDefault="00392DBB" w:rsidP="009000E3">
      <w:pPr>
        <w:pStyle w:val="ab"/>
        <w:numPr>
          <w:ilvl w:val="0"/>
          <w:numId w:val="72"/>
        </w:numPr>
        <w:rPr>
          <w:rtl/>
        </w:rPr>
      </w:pPr>
      <w:r>
        <w:rPr>
          <w:rFonts w:cs="Arial" w:hint="cs"/>
          <w:rtl/>
        </w:rPr>
        <w:t xml:space="preserve">טור- </w:t>
      </w:r>
      <w:r w:rsidRPr="00671DE4">
        <w:rPr>
          <w:rFonts w:cs="Arial"/>
          <w:rtl/>
        </w:rPr>
        <w:t>כל אלו אין להם לא עיקר כתובה ולא תנאי כתובה ולא תוספת</w:t>
      </w:r>
      <w:r>
        <w:rPr>
          <w:rFonts w:cs="Arial" w:hint="cs"/>
          <w:rtl/>
        </w:rPr>
        <w:t>,</w:t>
      </w:r>
      <w:r w:rsidRPr="00671DE4">
        <w:rPr>
          <w:rFonts w:cs="Arial"/>
          <w:rtl/>
        </w:rPr>
        <w:t xml:space="preserve"> אבל תטול מה שהכניסה אליו והוא בעין בין מנכסי צאן ברזל בין מנכסי מלוג</w:t>
      </w:r>
      <w:r>
        <w:rPr>
          <w:rFonts w:cs="Arial" w:hint="cs"/>
          <w:rtl/>
        </w:rPr>
        <w:t>.</w:t>
      </w:r>
      <w:r w:rsidRPr="00671DE4">
        <w:rPr>
          <w:rFonts w:cs="Arial"/>
          <w:rtl/>
        </w:rPr>
        <w:t xml:space="preserve"> ואם כלה או נגנב או נאבד </w:t>
      </w:r>
      <w:r>
        <w:rPr>
          <w:rFonts w:cs="Arial" w:hint="cs"/>
          <w:rtl/>
        </w:rPr>
        <w:t xml:space="preserve">- </w:t>
      </w:r>
      <w:r w:rsidRPr="00671DE4">
        <w:rPr>
          <w:rFonts w:cs="Arial"/>
          <w:rtl/>
        </w:rPr>
        <w:t>אין מוציאין ממנו</w:t>
      </w:r>
      <w:r>
        <w:rPr>
          <w:rFonts w:cs="Arial" w:hint="cs"/>
          <w:rtl/>
        </w:rPr>
        <w:t>.</w:t>
      </w:r>
      <w:r w:rsidRPr="00671DE4">
        <w:rPr>
          <w:rFonts w:cs="Arial"/>
          <w:rtl/>
        </w:rPr>
        <w:t xml:space="preserve"> וכן הדין במי שזנתה או יוצאת משום שם רע</w:t>
      </w:r>
      <w:r>
        <w:rPr>
          <w:rFonts w:cs="Arial" w:hint="cs"/>
          <w:rtl/>
        </w:rPr>
        <w:t>,</w:t>
      </w:r>
      <w:r w:rsidRPr="00671DE4">
        <w:rPr>
          <w:rFonts w:cs="Arial"/>
          <w:rtl/>
        </w:rPr>
        <w:t xml:space="preserve"> שאבדה עיקר כתובתה ותוספת</w:t>
      </w:r>
      <w:r>
        <w:rPr>
          <w:rFonts w:cs="Arial" w:hint="cs"/>
          <w:rtl/>
        </w:rPr>
        <w:t>,</w:t>
      </w:r>
      <w:r w:rsidRPr="00671DE4">
        <w:rPr>
          <w:rFonts w:cs="Arial"/>
          <w:rtl/>
        </w:rPr>
        <w:t xml:space="preserve"> ונוטלת מה שהוא בעין מכל מה שהכניסה</w:t>
      </w:r>
      <w:r>
        <w:rPr>
          <w:rFonts w:cs="Arial" w:hint="cs"/>
          <w:rtl/>
        </w:rPr>
        <w:t>.</w:t>
      </w:r>
      <w:r w:rsidRPr="00671DE4">
        <w:rPr>
          <w:rFonts w:cs="Arial"/>
          <w:rtl/>
        </w:rPr>
        <w:t xml:space="preserve"> וכן הדין בכל אותן ששנינו בה </w:t>
      </w:r>
      <w:r>
        <w:rPr>
          <w:rFonts w:cs="Arial" w:hint="cs"/>
          <w:rtl/>
        </w:rPr>
        <w:t>'</w:t>
      </w:r>
      <w:r w:rsidRPr="00671DE4">
        <w:rPr>
          <w:rFonts w:cs="Arial"/>
          <w:rtl/>
        </w:rPr>
        <w:t>תצא מזה ומזה</w:t>
      </w:r>
      <w:r>
        <w:rPr>
          <w:rFonts w:cs="Arial" w:hint="cs"/>
          <w:rtl/>
        </w:rPr>
        <w:t>',</w:t>
      </w:r>
      <w:r w:rsidRPr="00671DE4">
        <w:rPr>
          <w:rFonts w:cs="Arial"/>
          <w:rtl/>
        </w:rPr>
        <w:t xml:space="preserve"> שהרי מצד זנות היא מפסדת כתובתה</w:t>
      </w:r>
      <w:r>
        <w:rPr>
          <w:rFonts w:cs="Arial" w:hint="cs"/>
          <w:rtl/>
        </w:rPr>
        <w:t>.</w:t>
      </w:r>
      <w:r w:rsidRPr="00671DE4">
        <w:rPr>
          <w:rFonts w:cs="Arial"/>
          <w:rtl/>
        </w:rPr>
        <w:t xml:space="preserve"> </w:t>
      </w:r>
      <w:r>
        <w:rPr>
          <w:rFonts w:cs="Arial" w:hint="cs"/>
          <w:color w:val="E36C0A" w:themeColor="accent6" w:themeShade="BF"/>
          <w:rtl/>
        </w:rPr>
        <w:t>(</w:t>
      </w:r>
      <w:r w:rsidRPr="00C847DB">
        <w:rPr>
          <w:rFonts w:cs="Arial" w:hint="cs"/>
          <w:color w:val="E36C0A" w:themeColor="accent6" w:themeShade="BF"/>
          <w:rtl/>
        </w:rPr>
        <w:t>וכ"פ בשו"ע</w:t>
      </w:r>
      <w:r>
        <w:rPr>
          <w:rFonts w:cs="Arial" w:hint="cs"/>
          <w:color w:val="E36C0A" w:themeColor="accent6" w:themeShade="BF"/>
          <w:rtl/>
        </w:rPr>
        <w:t>)</w:t>
      </w:r>
    </w:p>
    <w:p w14:paraId="43592A06"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EADF6EE" w14:textId="77777777" w:rsidR="00392DBB" w:rsidRDefault="00392DBB" w:rsidP="00392DBB">
      <w:pPr>
        <w:rPr>
          <w:rtl/>
        </w:rPr>
      </w:pPr>
      <w:r>
        <w:rPr>
          <w:rFonts w:cs="Arial"/>
          <w:rtl/>
        </w:rPr>
        <w:t>כל אלו אין להם לא עיקר כתובה ולא תנאי כתובה ולא תוספת, אבל תטול מה שהכניסה לו והוא בעין</w:t>
      </w:r>
      <w:r>
        <w:rPr>
          <w:rStyle w:val="a7"/>
          <w:rFonts w:cs="Arial"/>
          <w:rtl/>
        </w:rPr>
        <w:footnoteReference w:id="2848"/>
      </w:r>
      <w:r>
        <w:rPr>
          <w:rFonts w:cs="Arial"/>
          <w:rtl/>
        </w:rPr>
        <w:t>, בין מנכסי צאן ברזל</w:t>
      </w:r>
      <w:r>
        <w:rPr>
          <w:rStyle w:val="a7"/>
          <w:rFonts w:cs="Arial"/>
          <w:rtl/>
        </w:rPr>
        <w:footnoteReference w:id="2849"/>
      </w:r>
      <w:r>
        <w:rPr>
          <w:rFonts w:cs="Arial"/>
          <w:rtl/>
        </w:rPr>
        <w:t xml:space="preserve"> בין מנכסי מלוג. ואם כלה או נגנב או נאבד, אין מוציאין ממנו</w:t>
      </w:r>
      <w:r>
        <w:rPr>
          <w:rStyle w:val="a7"/>
          <w:rFonts w:cs="Arial"/>
          <w:rtl/>
        </w:rPr>
        <w:footnoteReference w:id="2850"/>
      </w:r>
      <w:r>
        <w:rPr>
          <w:rFonts w:cs="Arial"/>
          <w:rtl/>
        </w:rPr>
        <w:t>. וכן הדין במי שזינתה</w:t>
      </w:r>
      <w:r>
        <w:rPr>
          <w:rStyle w:val="a7"/>
          <w:rFonts w:cs="Arial"/>
          <w:rtl/>
        </w:rPr>
        <w:footnoteReference w:id="2851"/>
      </w:r>
      <w:r>
        <w:rPr>
          <w:rFonts w:cs="Arial"/>
          <w:rtl/>
        </w:rPr>
        <w:t xml:space="preserve"> או שיוצאה משום שם רע, שאיבדה עיקר כתובה ותוספת, ונוטלת מה שהוא בעין מכל מה שהכניסה. וכן הדין בכל אותם ששנינו בהן תצא מזה ומזה. </w:t>
      </w:r>
    </w:p>
    <w:p w14:paraId="02E6DEA2" w14:textId="77777777" w:rsidR="00392DBB" w:rsidRDefault="00392DBB" w:rsidP="00392DBB">
      <w:pPr>
        <w:rPr>
          <w:rtl/>
        </w:rPr>
      </w:pPr>
    </w:p>
    <w:p w14:paraId="6DF79BFB" w14:textId="77777777" w:rsidR="00392DBB" w:rsidRDefault="00392DBB" w:rsidP="000F64D0">
      <w:pPr>
        <w:pStyle w:val="2"/>
        <w:rPr>
          <w:rtl/>
        </w:rPr>
      </w:pPr>
      <w:r>
        <w:rPr>
          <w:rtl/>
        </w:rPr>
        <w:t>סעיף ו</w:t>
      </w:r>
      <w:r>
        <w:rPr>
          <w:rFonts w:hint="cs"/>
          <w:rtl/>
        </w:rPr>
        <w:t>: אמרה שזינתה, ואין עדים בדבר.</w:t>
      </w:r>
    </w:p>
    <w:p w14:paraId="4F27CFB1" w14:textId="77777777" w:rsidR="00392DBB" w:rsidRDefault="00392DBB" w:rsidP="00392DBB">
      <w:pPr>
        <w:rPr>
          <w:rtl/>
        </w:rPr>
      </w:pPr>
      <w:r w:rsidRPr="003131E2">
        <w:rPr>
          <w:rFonts w:cs="Arial" w:hint="cs"/>
          <w:b/>
          <w:bCs/>
          <w:rtl/>
        </w:rPr>
        <w:t xml:space="preserve">נדרים </w:t>
      </w:r>
      <w:r w:rsidRPr="003131E2">
        <w:rPr>
          <w:rFonts w:cs="Arial" w:hint="cs"/>
          <w:b/>
          <w:bCs/>
          <w:sz w:val="16"/>
          <w:szCs w:val="16"/>
          <w:rtl/>
        </w:rPr>
        <w:t>(פ' בתרא)</w:t>
      </w:r>
      <w:r w:rsidRPr="003131E2">
        <w:rPr>
          <w:rFonts w:cs="Arial" w:hint="cs"/>
          <w:b/>
          <w:bCs/>
          <w:rtl/>
        </w:rPr>
        <w:t xml:space="preserve"> צ ע"ב: </w:t>
      </w:r>
      <w:r w:rsidRPr="003131E2">
        <w:rPr>
          <w:rFonts w:cs="Arial"/>
          <w:u w:val="double"/>
          <w:rtl/>
        </w:rPr>
        <w:t>מתני'</w:t>
      </w:r>
      <w:r>
        <w:rPr>
          <w:rFonts w:cs="Arial" w:hint="cs"/>
          <w:rtl/>
        </w:rPr>
        <w:t>:</w:t>
      </w:r>
      <w:r w:rsidRPr="003131E2">
        <w:rPr>
          <w:rFonts w:cs="Arial"/>
          <w:rtl/>
        </w:rPr>
        <w:t xml:space="preserve"> בראשונה היו אומרים, שלש נשים יוצאות ונוטלות כתובה: האומרת טמאה אני לך, שמים ביני לבינך, ונטולה אני מן היהודים. חזרו לומר, שלא תהא אשה נותנת עיניה באחר ומקלקלת על בעלה, </w:t>
      </w:r>
      <w:r w:rsidRPr="003131E2">
        <w:rPr>
          <w:rFonts w:cs="Arial"/>
          <w:rtl/>
        </w:rPr>
        <w:lastRenderedPageBreak/>
        <w:t>האומרת טמאה אני לך - תביא ראיה לדבריה, השמים ביני לבינך - יעשו דרך בקשה, ונטולה אני מן היהודים - יפר לחלקו ותהא משמשתו, ותהא נטולה מן היהודים.</w:t>
      </w:r>
      <w:r w:rsidRPr="00146D47">
        <w:rPr>
          <w:rtl/>
        </w:rPr>
        <w:t xml:space="preserve"> </w:t>
      </w:r>
      <w:r>
        <w:rPr>
          <w:rFonts w:hint="cs"/>
          <w:rtl/>
        </w:rPr>
        <w:t xml:space="preserve">        </w:t>
      </w:r>
      <w:r w:rsidRPr="00146D47">
        <w:rPr>
          <w:rFonts w:hint="cs"/>
          <w:u w:val="double"/>
          <w:rtl/>
        </w:rPr>
        <w:t>גמ'</w:t>
      </w:r>
      <w:r>
        <w:rPr>
          <w:rFonts w:hint="cs"/>
          <w:rtl/>
        </w:rPr>
        <w:t xml:space="preserve">: </w:t>
      </w:r>
      <w:r w:rsidRPr="00146D47">
        <w:rPr>
          <w:rFonts w:cs="Arial"/>
          <w:u w:val="single"/>
          <w:rtl/>
        </w:rPr>
        <w:t>אמר רב פפא</w:t>
      </w:r>
      <w:r>
        <w:rPr>
          <w:rFonts w:cs="Arial" w:hint="cs"/>
          <w:rtl/>
        </w:rPr>
        <w:t>:</w:t>
      </w:r>
      <w:r w:rsidRPr="00146D47">
        <w:rPr>
          <w:rFonts w:cs="Arial"/>
          <w:rtl/>
        </w:rPr>
        <w:t xml:space="preserve"> בדיק לן רבא</w:t>
      </w:r>
      <w:r>
        <w:rPr>
          <w:rFonts w:cs="Arial" w:hint="cs"/>
          <w:rtl/>
        </w:rPr>
        <w:t>:</w:t>
      </w:r>
      <w:r w:rsidRPr="00146D47">
        <w:rPr>
          <w:rFonts w:cs="Arial"/>
          <w:rtl/>
        </w:rPr>
        <w:t xml:space="preserve"> אשת כהן שנאנסה, יש לה כתובה או אין לה כתובה? כיון דאונס לגבי כהן כרצון לגבי ישראל דמי - אין לה כתובה, או דילמא מצי אמרה ליה: אנא הא חזינא</w:t>
      </w:r>
      <w:r>
        <w:rPr>
          <w:rFonts w:cs="Arial" w:hint="cs"/>
          <w:sz w:val="14"/>
          <w:szCs w:val="14"/>
          <w:rtl/>
        </w:rPr>
        <w:t xml:space="preserve"> (צא.)</w:t>
      </w:r>
      <w:r w:rsidRPr="00146D47">
        <w:rPr>
          <w:rFonts w:cs="Arial"/>
          <w:rtl/>
        </w:rPr>
        <w:t>,</w:t>
      </w:r>
      <w:r w:rsidRPr="00146D47">
        <w:rPr>
          <w:rtl/>
        </w:rPr>
        <w:t xml:space="preserve"> </w:t>
      </w:r>
      <w:r w:rsidRPr="00146D47">
        <w:rPr>
          <w:rFonts w:cs="Arial"/>
          <w:rtl/>
        </w:rPr>
        <w:t>וגברא הוא דנסתחפה שדהו? ואמרינן ליה</w:t>
      </w:r>
      <w:r>
        <w:rPr>
          <w:rFonts w:cs="Arial" w:hint="cs"/>
          <w:rtl/>
        </w:rPr>
        <w:t>:</w:t>
      </w:r>
      <w:r w:rsidRPr="00146D47">
        <w:rPr>
          <w:rFonts w:cs="Arial"/>
          <w:rtl/>
        </w:rPr>
        <w:t xml:space="preserve"> מתני' היא: האומרת טמאה אני לך - יש לה כתובה</w:t>
      </w:r>
      <w:r>
        <w:rPr>
          <w:rFonts w:cs="Arial" w:hint="cs"/>
          <w:rtl/>
        </w:rPr>
        <w:t>.</w:t>
      </w:r>
      <w:r w:rsidRPr="00146D47">
        <w:rPr>
          <w:rFonts w:cs="Arial"/>
          <w:rtl/>
        </w:rPr>
        <w:t xml:space="preserve"> במאי עסקינן? אילימא באשת ישראל, אי ברצון, כלום יש לה כתובה? ואי באונס, ומי קא מיתסרא על גברא? ואלא באשת כהן, אי ברצון, כלום יש לה כתובה? מי גרעה מאשת ישראל ברצון? אלא לאו באונס, וקתני: יש לה כתובה.</w:t>
      </w:r>
      <w:r w:rsidRPr="00773835">
        <w:rPr>
          <w:rFonts w:cs="Arial"/>
          <w:sz w:val="16"/>
          <w:szCs w:val="16"/>
          <w:rtl/>
        </w:rPr>
        <w:t xml:space="preserve"> </w:t>
      </w:r>
      <w:r>
        <w:rPr>
          <w:rFonts w:cs="Arial" w:hint="cs"/>
          <w:sz w:val="16"/>
          <w:szCs w:val="16"/>
          <w:rtl/>
        </w:rPr>
        <w:t>(</w:t>
      </w:r>
      <w:r w:rsidRPr="00773835">
        <w:rPr>
          <w:rFonts w:cs="Arial"/>
          <w:sz w:val="16"/>
          <w:szCs w:val="16"/>
          <w:rtl/>
        </w:rPr>
        <w:t>וטעמא דאשת ישראל פשוט שהרי אינה נאסרת על בעלה משום אונס ואשת כהן אע</w:t>
      </w:r>
      <w:r>
        <w:rPr>
          <w:rFonts w:cs="Arial" w:hint="cs"/>
          <w:sz w:val="16"/>
          <w:szCs w:val="16"/>
          <w:rtl/>
        </w:rPr>
        <w:t>"</w:t>
      </w:r>
      <w:r w:rsidRPr="00773835">
        <w:rPr>
          <w:rFonts w:cs="Arial"/>
          <w:sz w:val="16"/>
          <w:szCs w:val="16"/>
          <w:rtl/>
        </w:rPr>
        <w:t>פ שהיא נאסרת על בעלה לא הפסידה כתובתה משום דיכלה למימר אנא הא קאימנא</w:t>
      </w:r>
      <w:r w:rsidRPr="00773835">
        <w:rPr>
          <w:rFonts w:cs="Arial" w:hint="cs"/>
          <w:sz w:val="16"/>
          <w:szCs w:val="16"/>
          <w:rtl/>
        </w:rPr>
        <w:t>,</w:t>
      </w:r>
      <w:r w:rsidRPr="00773835">
        <w:rPr>
          <w:rFonts w:cs="Arial"/>
          <w:sz w:val="16"/>
          <w:szCs w:val="16"/>
          <w:rtl/>
        </w:rPr>
        <w:t xml:space="preserve"> גברא הוא דנסתחפה שדהו</w:t>
      </w:r>
      <w:r w:rsidRPr="00773835">
        <w:rPr>
          <w:rFonts w:cs="Arial" w:hint="cs"/>
          <w:sz w:val="16"/>
          <w:szCs w:val="16"/>
          <w:rtl/>
        </w:rPr>
        <w:t>,</w:t>
      </w:r>
      <w:r w:rsidRPr="00773835">
        <w:rPr>
          <w:rFonts w:cs="Arial"/>
          <w:sz w:val="16"/>
          <w:szCs w:val="16"/>
          <w:rtl/>
        </w:rPr>
        <w:t xml:space="preserve"> כלומר שקדושת כהונתו גרמה שתהא אסורה לו דהא אונס בישראל מישרא שרי הילכך מזלו גרם</w:t>
      </w:r>
      <w:r>
        <w:rPr>
          <w:rFonts w:cs="Arial" w:hint="cs"/>
          <w:sz w:val="16"/>
          <w:szCs w:val="16"/>
          <w:rtl/>
        </w:rPr>
        <w:t>, ב"י)</w:t>
      </w:r>
    </w:p>
    <w:p w14:paraId="45578C3F" w14:textId="77777777" w:rsidR="00392DBB" w:rsidRDefault="00392DBB" w:rsidP="00392DBB">
      <w:pPr>
        <w:rPr>
          <w:rtl/>
        </w:rPr>
      </w:pPr>
      <w:r w:rsidRPr="00FA5DD7">
        <w:rPr>
          <w:rFonts w:cs="Arial" w:hint="cs"/>
          <w:b/>
          <w:bCs/>
          <w:rtl/>
        </w:rPr>
        <w:t>ירושלמי נדרים פי"א הי"ב:</w:t>
      </w:r>
      <w:r>
        <w:rPr>
          <w:rFonts w:cs="Arial" w:hint="cs"/>
          <w:rtl/>
        </w:rPr>
        <w:t xml:space="preserve"> </w:t>
      </w:r>
      <w:r w:rsidRPr="00FA5DD7">
        <w:rPr>
          <w:rFonts w:cs="Arial"/>
          <w:u w:val="double"/>
          <w:rtl/>
        </w:rPr>
        <w:t>מתני'</w:t>
      </w:r>
      <w:r>
        <w:rPr>
          <w:rFonts w:cs="Arial" w:hint="cs"/>
          <w:rtl/>
        </w:rPr>
        <w:t>:</w:t>
      </w:r>
      <w:r w:rsidRPr="00FA5DD7">
        <w:rPr>
          <w:rFonts w:cs="Arial"/>
          <w:rtl/>
        </w:rPr>
        <w:t xml:space="preserve"> בראשונה היו אומרי' שלש נשים יוצאות ונוטלות כתוב' האומרת טמאה אני לך שמים ביני לבינך ונטולה אני מן היהודים</w:t>
      </w:r>
      <w:r>
        <w:rPr>
          <w:rFonts w:cs="Arial" w:hint="cs"/>
          <w:rtl/>
        </w:rPr>
        <w:t>.</w:t>
      </w:r>
      <w:r w:rsidRPr="00FA5DD7">
        <w:rPr>
          <w:rFonts w:cs="Arial"/>
          <w:rtl/>
        </w:rPr>
        <w:t xml:space="preserve"> חזרו לומר שלא תהא אשה נותנת עיניה באחר ומקלקלת על בעלה</w:t>
      </w:r>
      <w:r>
        <w:rPr>
          <w:rFonts w:cs="Arial" w:hint="cs"/>
          <w:rtl/>
        </w:rPr>
        <w:t>.</w:t>
      </w:r>
      <w:r w:rsidRPr="00FA5DD7">
        <w:rPr>
          <w:rFonts w:cs="Arial"/>
          <w:rtl/>
        </w:rPr>
        <w:t xml:space="preserve"> האומרת טמאה אני לך תביא ראייה לדבריה</w:t>
      </w:r>
      <w:r>
        <w:rPr>
          <w:rFonts w:cs="Arial" w:hint="cs"/>
          <w:rtl/>
        </w:rPr>
        <w:t>.</w:t>
      </w:r>
      <w:r w:rsidRPr="00FA5DD7">
        <w:rPr>
          <w:rFonts w:cs="Arial"/>
          <w:rtl/>
        </w:rPr>
        <w:t xml:space="preserve"> שמים ביני לבינך יעשו דרך בקשה ונטולה אני מן היהודים יפר חלקו ומשמשתו ותהא נטולה מן היהודים</w:t>
      </w:r>
      <w:r>
        <w:rPr>
          <w:rFonts w:cs="Arial" w:hint="cs"/>
          <w:rtl/>
        </w:rPr>
        <w:t>.</w:t>
      </w:r>
      <w:r w:rsidRPr="00FA5DD7">
        <w:rPr>
          <w:rFonts w:cs="Arial"/>
          <w:rtl/>
        </w:rPr>
        <w:t xml:space="preserve"> </w:t>
      </w:r>
      <w:r>
        <w:rPr>
          <w:rFonts w:cs="Arial" w:hint="cs"/>
          <w:rtl/>
        </w:rPr>
        <w:t xml:space="preserve">        </w:t>
      </w:r>
      <w:r w:rsidRPr="00FA5DD7">
        <w:rPr>
          <w:rFonts w:cs="Arial"/>
          <w:u w:val="double"/>
          <w:rtl/>
        </w:rPr>
        <w:t>גמ'</w:t>
      </w:r>
      <w:r>
        <w:rPr>
          <w:rFonts w:cs="Arial" w:hint="cs"/>
          <w:rtl/>
        </w:rPr>
        <w:t>:</w:t>
      </w:r>
      <w:r w:rsidRPr="00FA5DD7">
        <w:rPr>
          <w:rFonts w:cs="Arial"/>
          <w:rtl/>
        </w:rPr>
        <w:t xml:space="preserve"> הא לא הביאה ראייה לדבריה </w:t>
      </w:r>
      <w:r>
        <w:rPr>
          <w:rFonts w:cs="Arial" w:hint="cs"/>
          <w:rtl/>
        </w:rPr>
        <w:t xml:space="preserve">- </w:t>
      </w:r>
      <w:r w:rsidRPr="00FA5DD7">
        <w:rPr>
          <w:rFonts w:cs="Arial"/>
          <w:rtl/>
        </w:rPr>
        <w:t xml:space="preserve">פשיטא שהיא מותרת לביתה. </w:t>
      </w:r>
      <w:r w:rsidRPr="00FA5DD7">
        <w:rPr>
          <w:rFonts w:cs="Arial"/>
          <w:u w:val="single"/>
          <w:rtl/>
        </w:rPr>
        <w:t>אמר רבי הילא</w:t>
      </w:r>
      <w:r>
        <w:rPr>
          <w:rFonts w:cs="Arial" w:hint="cs"/>
          <w:rtl/>
        </w:rPr>
        <w:t>:</w:t>
      </w:r>
      <w:r w:rsidRPr="00FA5DD7">
        <w:rPr>
          <w:rFonts w:cs="Arial"/>
          <w:rtl/>
        </w:rPr>
        <w:t xml:space="preserve"> לא מסתברא</w:t>
      </w:r>
      <w:r>
        <w:rPr>
          <w:rFonts w:cs="Arial" w:hint="cs"/>
          <w:rtl/>
        </w:rPr>
        <w:t>,</w:t>
      </w:r>
      <w:r w:rsidRPr="00FA5DD7">
        <w:rPr>
          <w:rFonts w:cs="Arial"/>
          <w:rtl/>
        </w:rPr>
        <w:t xml:space="preserve"> אם היה חבר</w:t>
      </w:r>
      <w:r>
        <w:rPr>
          <w:rFonts w:cs="Arial" w:hint="cs"/>
          <w:rtl/>
        </w:rPr>
        <w:t xml:space="preserve"> </w:t>
      </w:r>
      <w:r w:rsidRPr="00FA5DD7">
        <w:rPr>
          <w:rFonts w:cs="Arial"/>
          <w:rtl/>
        </w:rPr>
        <w:t>יחוש.</w:t>
      </w:r>
    </w:p>
    <w:p w14:paraId="4AAC29A6" w14:textId="07C4401D" w:rsidR="00392DBB" w:rsidRPr="003131E2" w:rsidRDefault="00392DBB" w:rsidP="00392DBB">
      <w:pPr>
        <w:rPr>
          <w:u w:val="single"/>
          <w:rtl/>
        </w:rPr>
      </w:pPr>
      <w:r w:rsidRPr="003131E2">
        <w:rPr>
          <w:rFonts w:hint="cs"/>
          <w:u w:val="single"/>
          <w:rtl/>
        </w:rPr>
        <w:t xml:space="preserve">אשה שאמרה שזינתה </w:t>
      </w:r>
      <w:r w:rsidR="00F97626">
        <w:rPr>
          <w:u w:val="single"/>
          <w:rtl/>
        </w:rPr>
        <w:t>-</w:t>
      </w:r>
      <w:r w:rsidRPr="003131E2">
        <w:rPr>
          <w:rFonts w:hint="cs"/>
          <w:u w:val="single"/>
          <w:rtl/>
        </w:rPr>
        <w:t xml:space="preserve"> ואין עדים בדבר:</w:t>
      </w:r>
    </w:p>
    <w:p w14:paraId="49C69A33" w14:textId="77777777" w:rsidR="00392DBB" w:rsidRDefault="00392DBB" w:rsidP="009000E3">
      <w:pPr>
        <w:pStyle w:val="ab"/>
        <w:numPr>
          <w:ilvl w:val="0"/>
          <w:numId w:val="72"/>
        </w:numPr>
      </w:pPr>
      <w:r>
        <w:rPr>
          <w:rFonts w:cs="Arial" w:hint="cs"/>
          <w:rtl/>
        </w:rPr>
        <w:t xml:space="preserve">רמב"ם </w:t>
      </w:r>
      <w:r>
        <w:rPr>
          <w:rFonts w:cs="Arial" w:hint="cs"/>
          <w:sz w:val="16"/>
          <w:szCs w:val="16"/>
          <w:rtl/>
        </w:rPr>
        <w:t>(פכ"ד מאישות הי"ח, והכ"ב)</w:t>
      </w:r>
      <w:r>
        <w:rPr>
          <w:rFonts w:cs="Arial" w:hint="cs"/>
          <w:rtl/>
        </w:rPr>
        <w:t xml:space="preserve"> וטור- </w:t>
      </w:r>
      <w:r w:rsidRPr="00671DE4">
        <w:rPr>
          <w:rFonts w:cs="Arial"/>
          <w:rtl/>
        </w:rPr>
        <w:t xml:space="preserve">אין עדים שזינתה אלא שהיא עצמה אומרת שזינתה </w:t>
      </w:r>
      <w:r>
        <w:rPr>
          <w:rFonts w:cs="Arial" w:hint="cs"/>
          <w:rtl/>
        </w:rPr>
        <w:t xml:space="preserve">- </w:t>
      </w:r>
      <w:r w:rsidRPr="00671DE4">
        <w:rPr>
          <w:rFonts w:cs="Arial"/>
          <w:rtl/>
        </w:rPr>
        <w:t>אין חוששין לדבר זה לאוסרה</w:t>
      </w:r>
      <w:r>
        <w:rPr>
          <w:rFonts w:cs="Arial" w:hint="cs"/>
          <w:rtl/>
        </w:rPr>
        <w:t>,</w:t>
      </w:r>
      <w:r w:rsidRPr="00671DE4">
        <w:rPr>
          <w:rFonts w:cs="Arial"/>
          <w:rtl/>
        </w:rPr>
        <w:t xml:space="preserve"> דשמא עיניה נתנה באחר</w:t>
      </w:r>
      <w:r>
        <w:rPr>
          <w:rFonts w:cs="Arial" w:hint="cs"/>
          <w:rtl/>
        </w:rPr>
        <w:t>,</w:t>
      </w:r>
      <w:r w:rsidRPr="00671DE4">
        <w:rPr>
          <w:rFonts w:cs="Arial"/>
          <w:rtl/>
        </w:rPr>
        <w:t xml:space="preserve"> אבל אבדה כתובתה עיקר ותוספת</w:t>
      </w:r>
      <w:r>
        <w:rPr>
          <w:rStyle w:val="a7"/>
          <w:rFonts w:cs="Arial"/>
          <w:rtl/>
        </w:rPr>
        <w:footnoteReference w:id="2852"/>
      </w:r>
      <w:r w:rsidRPr="00671DE4">
        <w:rPr>
          <w:rFonts w:cs="Arial"/>
          <w:rtl/>
        </w:rPr>
        <w:t xml:space="preserve"> ומה שאינו בעין ממה שהכניסה לו</w:t>
      </w:r>
      <w:r>
        <w:rPr>
          <w:rStyle w:val="a7"/>
          <w:rFonts w:cs="Arial"/>
          <w:rtl/>
        </w:rPr>
        <w:footnoteReference w:id="2853"/>
      </w:r>
      <w:r>
        <w:rPr>
          <w:rFonts w:cs="Arial" w:hint="cs"/>
          <w:rtl/>
        </w:rPr>
        <w:t>.</w:t>
      </w:r>
      <w:r w:rsidRPr="00671DE4">
        <w:rPr>
          <w:rFonts w:cs="Arial"/>
          <w:rtl/>
        </w:rPr>
        <w:t xml:space="preserve"> אבל אם נאנסה </w:t>
      </w:r>
      <w:r>
        <w:rPr>
          <w:rFonts w:cs="Arial" w:hint="cs"/>
          <w:rtl/>
        </w:rPr>
        <w:t xml:space="preserve">- </w:t>
      </w:r>
      <w:r w:rsidRPr="00671DE4">
        <w:rPr>
          <w:rFonts w:cs="Arial"/>
          <w:rtl/>
        </w:rPr>
        <w:t>לא הפסידה כתובתה</w:t>
      </w:r>
      <w:r>
        <w:rPr>
          <w:rFonts w:cs="Arial" w:hint="cs"/>
          <w:rtl/>
        </w:rPr>
        <w:t>,</w:t>
      </w:r>
      <w:r w:rsidRPr="00671DE4">
        <w:rPr>
          <w:rFonts w:cs="Arial"/>
          <w:rtl/>
        </w:rPr>
        <w:t xml:space="preserve"> לא אשת ישראל ולא אשת כהן</w:t>
      </w:r>
      <w:r>
        <w:rPr>
          <w:rFonts w:cs="Arial" w:hint="cs"/>
          <w:sz w:val="16"/>
          <w:szCs w:val="16"/>
          <w:rtl/>
        </w:rPr>
        <w:t xml:space="preserve"> (ל' הטור)</w:t>
      </w:r>
      <w:r>
        <w:rPr>
          <w:rFonts w:cs="Arial" w:hint="cs"/>
          <w:rtl/>
        </w:rPr>
        <w:t>.</w:t>
      </w:r>
      <w:r w:rsidRPr="00671DE4">
        <w:rPr>
          <w:rFonts w:cs="Arial"/>
          <w:rtl/>
        </w:rPr>
        <w:t xml:space="preserve"> </w:t>
      </w:r>
      <w:r w:rsidRPr="008C7592">
        <w:rPr>
          <w:rFonts w:hint="cs"/>
          <w:color w:val="E36C0A" w:themeColor="accent6" w:themeShade="BF"/>
          <w:rtl/>
        </w:rPr>
        <w:t>(וכ"פ בשו"ע)</w:t>
      </w:r>
    </w:p>
    <w:p w14:paraId="631668A6" w14:textId="77777777" w:rsidR="00392DBB" w:rsidRPr="00BD6E5D" w:rsidRDefault="00392DBB" w:rsidP="00392DBB">
      <w:pPr>
        <w:ind w:left="360"/>
        <w:rPr>
          <w:u w:val="dotted"/>
        </w:rPr>
      </w:pPr>
      <w:r w:rsidRPr="00BD6E5D">
        <w:rPr>
          <w:rFonts w:hint="cs"/>
          <w:u w:val="dotted"/>
          <w:rtl/>
        </w:rPr>
        <w:t>ומה הדין אם יש רגלי</w:t>
      </w:r>
      <w:r>
        <w:rPr>
          <w:rFonts w:hint="cs"/>
          <w:u w:val="dotted"/>
          <w:rtl/>
        </w:rPr>
        <w:t>ם</w:t>
      </w:r>
      <w:r w:rsidRPr="00BD6E5D">
        <w:rPr>
          <w:rFonts w:hint="cs"/>
          <w:u w:val="dotted"/>
          <w:rtl/>
        </w:rPr>
        <w:t xml:space="preserve"> לדבר:</w:t>
      </w:r>
      <w:r>
        <w:rPr>
          <w:rFonts w:hint="cs"/>
          <w:rtl/>
        </w:rPr>
        <w:t xml:space="preserve"> </w:t>
      </w:r>
      <w:r w:rsidRPr="00BD6E5D">
        <w:rPr>
          <w:rFonts w:hint="cs"/>
          <w:sz w:val="16"/>
          <w:szCs w:val="16"/>
          <w:rtl/>
        </w:rPr>
        <w:t>(דרכ"מ אות יא)</w:t>
      </w:r>
    </w:p>
    <w:p w14:paraId="6DB98523" w14:textId="77777777" w:rsidR="00392DBB" w:rsidRDefault="00392DBB" w:rsidP="009000E3">
      <w:pPr>
        <w:pStyle w:val="ab"/>
        <w:numPr>
          <w:ilvl w:val="0"/>
          <w:numId w:val="72"/>
        </w:numPr>
      </w:pPr>
      <w:r>
        <w:rPr>
          <w:rFonts w:cs="Arial" w:hint="cs"/>
          <w:rtl/>
        </w:rPr>
        <w:t>הגמ"ר</w:t>
      </w:r>
      <w:r>
        <w:rPr>
          <w:rStyle w:val="a7"/>
          <w:rFonts w:cs="Arial"/>
          <w:rtl/>
        </w:rPr>
        <w:footnoteReference w:id="2854"/>
      </w:r>
      <w:r>
        <w:rPr>
          <w:rFonts w:cs="Arial" w:hint="cs"/>
          <w:rtl/>
        </w:rPr>
        <w:t xml:space="preserve"> </w:t>
      </w:r>
      <w:r w:rsidRPr="00BD6E5D">
        <w:rPr>
          <w:rFonts w:cs="Arial" w:hint="cs"/>
          <w:sz w:val="16"/>
          <w:szCs w:val="16"/>
          <w:rtl/>
        </w:rPr>
        <w:t>(</w:t>
      </w:r>
      <w:r w:rsidRPr="00BD6E5D">
        <w:rPr>
          <w:rFonts w:cs="Arial"/>
          <w:sz w:val="16"/>
          <w:szCs w:val="16"/>
          <w:rtl/>
        </w:rPr>
        <w:t>יבמות סי' קב</w:t>
      </w:r>
      <w:r>
        <w:rPr>
          <w:rFonts w:cs="Arial" w:hint="cs"/>
          <w:sz w:val="16"/>
          <w:szCs w:val="16"/>
          <w:rtl/>
        </w:rPr>
        <w:t>, וכן הוא בקיצור במרדכי [קידושין סי' תקל], כ"כ בשמו הדרכ"מ</w:t>
      </w:r>
      <w:r w:rsidRPr="00BD6E5D">
        <w:rPr>
          <w:rFonts w:cs="Arial"/>
          <w:sz w:val="16"/>
          <w:szCs w:val="16"/>
          <w:rtl/>
        </w:rPr>
        <w:t>)</w:t>
      </w:r>
      <w:r>
        <w:rPr>
          <w:rFonts w:cs="Arial" w:hint="cs"/>
          <w:rtl/>
        </w:rPr>
        <w:t xml:space="preserve"> ו</w:t>
      </w:r>
      <w:r w:rsidRPr="003D0C9A">
        <w:rPr>
          <w:rFonts w:cs="Arial" w:hint="cs"/>
          <w:rtl/>
        </w:rPr>
        <w:t>תרוה"ד</w:t>
      </w:r>
      <w:r w:rsidRPr="003D0C9A">
        <w:rPr>
          <w:rFonts w:cs="Arial"/>
          <w:sz w:val="16"/>
          <w:szCs w:val="16"/>
          <w:rtl/>
        </w:rPr>
        <w:t xml:space="preserve"> </w:t>
      </w:r>
      <w:r w:rsidRPr="003D0C9A">
        <w:rPr>
          <w:rFonts w:cs="Arial" w:hint="cs"/>
          <w:sz w:val="16"/>
          <w:szCs w:val="16"/>
          <w:rtl/>
        </w:rPr>
        <w:t>(</w:t>
      </w:r>
      <w:r w:rsidRPr="003D0C9A">
        <w:rPr>
          <w:rFonts w:cs="Arial"/>
          <w:sz w:val="16"/>
          <w:szCs w:val="16"/>
          <w:rtl/>
        </w:rPr>
        <w:t>פסקי</w:t>
      </w:r>
      <w:r w:rsidRPr="003D0C9A">
        <w:rPr>
          <w:rFonts w:cs="Arial" w:hint="cs"/>
          <w:sz w:val="16"/>
          <w:szCs w:val="16"/>
          <w:rtl/>
        </w:rPr>
        <w:t>ם</w:t>
      </w:r>
      <w:r w:rsidRPr="003D0C9A">
        <w:rPr>
          <w:rFonts w:cs="Arial"/>
          <w:sz w:val="16"/>
          <w:szCs w:val="16"/>
          <w:rtl/>
        </w:rPr>
        <w:t xml:space="preserve"> סי</w:t>
      </w:r>
      <w:r w:rsidRPr="003D0C9A">
        <w:rPr>
          <w:rFonts w:cs="Arial" w:hint="cs"/>
          <w:sz w:val="16"/>
          <w:szCs w:val="16"/>
          <w:rtl/>
        </w:rPr>
        <w:t>'</w:t>
      </w:r>
      <w:r w:rsidRPr="003D0C9A">
        <w:rPr>
          <w:rFonts w:cs="Arial"/>
          <w:sz w:val="16"/>
          <w:szCs w:val="16"/>
          <w:rtl/>
        </w:rPr>
        <w:t xml:space="preserve"> רכב</w:t>
      </w:r>
      <w:r w:rsidRPr="003D0C9A">
        <w:rPr>
          <w:rFonts w:cs="Arial" w:hint="cs"/>
          <w:sz w:val="16"/>
          <w:szCs w:val="16"/>
          <w:rtl/>
        </w:rPr>
        <w:t>)</w:t>
      </w:r>
      <w:r w:rsidRPr="003D0C9A">
        <w:rPr>
          <w:rFonts w:cs="Arial" w:hint="cs"/>
          <w:rtl/>
        </w:rPr>
        <w:t>-</w:t>
      </w:r>
      <w:r w:rsidRPr="003D0C9A">
        <w:rPr>
          <w:rFonts w:cs="Arial"/>
          <w:rtl/>
        </w:rPr>
        <w:t xml:space="preserve"> אם אמרה טמאה אני לך ויש רגלים לדבריה </w:t>
      </w:r>
      <w:r>
        <w:rPr>
          <w:rFonts w:cs="Arial" w:hint="cs"/>
          <w:rtl/>
        </w:rPr>
        <w:t xml:space="preserve">- </w:t>
      </w:r>
      <w:r w:rsidRPr="003D0C9A">
        <w:rPr>
          <w:rFonts w:cs="Arial"/>
          <w:rtl/>
        </w:rPr>
        <w:t>נאמנת</w:t>
      </w:r>
      <w:r w:rsidRPr="003D0C9A">
        <w:rPr>
          <w:rFonts w:cs="Arial" w:hint="cs"/>
          <w:rtl/>
        </w:rPr>
        <w:t xml:space="preserve">. </w:t>
      </w:r>
      <w:r w:rsidRPr="003D0C9A">
        <w:rPr>
          <w:rFonts w:hint="cs"/>
          <w:color w:val="00B0F0"/>
          <w:rtl/>
        </w:rPr>
        <w:t>(וכ"פ הרמ"א)</w:t>
      </w:r>
    </w:p>
    <w:p w14:paraId="013591F2" w14:textId="77777777" w:rsidR="00392DBB" w:rsidRPr="00A8099B" w:rsidRDefault="00392DBB" w:rsidP="00392DBB">
      <w:pPr>
        <w:ind w:left="360"/>
        <w:rPr>
          <w:u w:val="dotted"/>
        </w:rPr>
      </w:pPr>
      <w:r w:rsidRPr="00A8099B">
        <w:rPr>
          <w:rFonts w:hint="cs"/>
          <w:u w:val="dotted"/>
          <w:rtl/>
        </w:rPr>
        <w:t>האם אבדה כתובתה אע"ג ד</w:t>
      </w:r>
      <w:r>
        <w:rPr>
          <w:rFonts w:hint="cs"/>
          <w:u w:val="dotted"/>
          <w:rtl/>
        </w:rPr>
        <w:t>חזרה בה ו</w:t>
      </w:r>
      <w:r w:rsidRPr="00A8099B">
        <w:rPr>
          <w:rFonts w:hint="cs"/>
          <w:u w:val="dotted"/>
          <w:rtl/>
        </w:rPr>
        <w:t>נתנה אמתלה לדבריה:</w:t>
      </w:r>
      <w:r>
        <w:rPr>
          <w:rFonts w:hint="cs"/>
          <w:sz w:val="16"/>
          <w:szCs w:val="16"/>
          <w:rtl/>
        </w:rPr>
        <w:t xml:space="preserve"> </w:t>
      </w:r>
      <w:r w:rsidRPr="00BD6E5D">
        <w:rPr>
          <w:rFonts w:hint="cs"/>
          <w:sz w:val="16"/>
          <w:szCs w:val="16"/>
          <w:rtl/>
        </w:rPr>
        <w:t>(דרכ"מ אות יא)</w:t>
      </w:r>
    </w:p>
    <w:p w14:paraId="7F2C98B3" w14:textId="77777777" w:rsidR="00392DBB" w:rsidRDefault="00392DBB" w:rsidP="009000E3">
      <w:pPr>
        <w:pStyle w:val="ab"/>
        <w:numPr>
          <w:ilvl w:val="0"/>
          <w:numId w:val="72"/>
        </w:numPr>
      </w:pPr>
      <w:r>
        <w:rPr>
          <w:rFonts w:cs="Arial" w:hint="cs"/>
          <w:rtl/>
        </w:rPr>
        <w:t xml:space="preserve">הגמ"ר </w:t>
      </w:r>
      <w:r w:rsidRPr="00A8099B">
        <w:rPr>
          <w:rFonts w:cs="Arial" w:hint="cs"/>
          <w:sz w:val="16"/>
          <w:szCs w:val="16"/>
          <w:rtl/>
        </w:rPr>
        <w:t>(</w:t>
      </w:r>
      <w:r w:rsidRPr="00A8099B">
        <w:rPr>
          <w:rFonts w:cs="Arial"/>
          <w:sz w:val="16"/>
          <w:szCs w:val="16"/>
          <w:rtl/>
        </w:rPr>
        <w:t>קידושין סי' תקמז)</w:t>
      </w:r>
      <w:r>
        <w:rPr>
          <w:rFonts w:cs="Arial" w:hint="cs"/>
          <w:rtl/>
        </w:rPr>
        <w:t>-</w:t>
      </w:r>
      <w:r w:rsidRPr="00E069A0">
        <w:rPr>
          <w:rFonts w:cs="Arial"/>
          <w:rtl/>
        </w:rPr>
        <w:t xml:space="preserve"> דוקא דלא נתנה אמתלא לדבריה למה אמרה כן</w:t>
      </w:r>
      <w:r>
        <w:rPr>
          <w:rFonts w:cs="Arial" w:hint="cs"/>
          <w:rtl/>
        </w:rPr>
        <w:t>,</w:t>
      </w:r>
      <w:r w:rsidRPr="00E069A0">
        <w:rPr>
          <w:rFonts w:cs="Arial"/>
          <w:rtl/>
        </w:rPr>
        <w:t xml:space="preserve"> אבל אם נתנה אמתלא לדבריה </w:t>
      </w:r>
      <w:r>
        <w:rPr>
          <w:rFonts w:cs="Arial" w:hint="cs"/>
          <w:rtl/>
        </w:rPr>
        <w:t xml:space="preserve">- </w:t>
      </w:r>
      <w:r w:rsidRPr="00E069A0">
        <w:rPr>
          <w:rFonts w:cs="Arial"/>
          <w:rtl/>
        </w:rPr>
        <w:t xml:space="preserve">נאמנת ולא אבדה כלום. </w:t>
      </w:r>
      <w:r w:rsidRPr="003D0C9A">
        <w:rPr>
          <w:rFonts w:hint="cs"/>
          <w:color w:val="00B0F0"/>
          <w:rtl/>
        </w:rPr>
        <w:t>(וכ"פ הרמ"א)</w:t>
      </w:r>
    </w:p>
    <w:p w14:paraId="6CEAF62C" w14:textId="41315E38" w:rsidR="00392DBB" w:rsidRPr="002A30B2" w:rsidRDefault="00392DBB" w:rsidP="00392DBB">
      <w:pPr>
        <w:rPr>
          <w:rFonts w:cs="Arial"/>
          <w:rtl/>
        </w:rPr>
      </w:pPr>
      <w:r w:rsidRPr="002A30B2">
        <w:rPr>
          <w:rFonts w:cs="Arial"/>
          <w:b/>
          <w:bCs/>
          <w:rtl/>
        </w:rPr>
        <w:t>קידושין</w:t>
      </w:r>
      <w:r w:rsidRPr="002A30B2">
        <w:rPr>
          <w:rFonts w:cs="Arial"/>
          <w:b/>
          <w:bCs/>
          <w:sz w:val="16"/>
          <w:szCs w:val="16"/>
          <w:rtl/>
        </w:rPr>
        <w:t xml:space="preserve"> </w:t>
      </w:r>
      <w:r w:rsidRPr="002A30B2">
        <w:rPr>
          <w:rFonts w:cs="Arial" w:hint="cs"/>
          <w:b/>
          <w:bCs/>
          <w:sz w:val="16"/>
          <w:szCs w:val="16"/>
          <w:rtl/>
        </w:rPr>
        <w:t>(ס"פ</w:t>
      </w:r>
      <w:r w:rsidRPr="002A30B2">
        <w:rPr>
          <w:rFonts w:cs="Arial"/>
          <w:b/>
          <w:bCs/>
          <w:sz w:val="16"/>
          <w:szCs w:val="16"/>
          <w:rtl/>
        </w:rPr>
        <w:t xml:space="preserve"> האומר</w:t>
      </w:r>
      <w:r w:rsidRPr="002A30B2">
        <w:rPr>
          <w:rFonts w:cs="Arial" w:hint="cs"/>
          <w:b/>
          <w:bCs/>
          <w:sz w:val="16"/>
          <w:szCs w:val="16"/>
          <w:rtl/>
        </w:rPr>
        <w:t>)</w:t>
      </w:r>
      <w:r w:rsidRPr="002A30B2">
        <w:rPr>
          <w:rFonts w:cs="Arial"/>
          <w:b/>
          <w:bCs/>
          <w:rtl/>
        </w:rPr>
        <w:t xml:space="preserve"> סו</w:t>
      </w:r>
      <w:r w:rsidR="002A5062" w:rsidRPr="00210907">
        <w:rPr>
          <w:rStyle w:val="a7"/>
          <w:rFonts w:cs="Arial"/>
          <w:b/>
          <w:bCs/>
          <w:rtl/>
        </w:rPr>
        <w:footnoteReference w:id="2855"/>
      </w:r>
      <w:r w:rsidRPr="002A30B2">
        <w:rPr>
          <w:rFonts w:cs="Arial" w:hint="cs"/>
          <w:b/>
          <w:bCs/>
          <w:rtl/>
        </w:rPr>
        <w:t xml:space="preserve"> ע"א:</w:t>
      </w:r>
      <w:r w:rsidRPr="002A30B2">
        <w:rPr>
          <w:rFonts w:cs="Arial"/>
          <w:rtl/>
        </w:rPr>
        <w:t xml:space="preserve"> איבעיא להו: אשתו זינתה בעד אחד, ושותק, מהו? </w:t>
      </w:r>
      <w:r w:rsidRPr="002A30B2">
        <w:rPr>
          <w:rFonts w:cs="Arial"/>
          <w:u w:val="single"/>
          <w:rtl/>
        </w:rPr>
        <w:t>אמר אביי</w:t>
      </w:r>
      <w:r w:rsidRPr="002A30B2">
        <w:rPr>
          <w:rFonts w:cs="Arial"/>
          <w:rtl/>
        </w:rPr>
        <w:t>: נאמן</w:t>
      </w:r>
      <w:r w:rsidRPr="002A30B2">
        <w:rPr>
          <w:rFonts w:cs="Arial" w:hint="cs"/>
          <w:rtl/>
        </w:rPr>
        <w:t>.</w:t>
      </w:r>
      <w:r w:rsidRPr="002A30B2">
        <w:rPr>
          <w:rFonts w:cs="Arial"/>
          <w:rtl/>
        </w:rPr>
        <w:t xml:space="preserve"> </w:t>
      </w:r>
      <w:r w:rsidRPr="002A30B2">
        <w:rPr>
          <w:rFonts w:cs="Arial"/>
          <w:u w:val="single"/>
          <w:rtl/>
        </w:rPr>
        <w:t>רבא אמר</w:t>
      </w:r>
      <w:r w:rsidRPr="002A30B2">
        <w:rPr>
          <w:rFonts w:cs="Arial"/>
          <w:rtl/>
        </w:rPr>
        <w:t xml:space="preserve">: אינו נאמן, הוי דבר שבערוה, ואין דבר שבערוה פחות משנים. </w:t>
      </w:r>
      <w:r w:rsidRPr="002A30B2">
        <w:rPr>
          <w:rFonts w:cs="Arial"/>
          <w:u w:val="single"/>
          <w:rtl/>
        </w:rPr>
        <w:t>אמר אביי</w:t>
      </w:r>
      <w:r w:rsidRPr="002A30B2">
        <w:rPr>
          <w:rFonts w:cs="Arial"/>
          <w:rtl/>
        </w:rPr>
        <w:t xml:space="preserve">: מנא אמינא לה? דההוא סמיא דהוה מסדר מתנייתא קמיה דמר שמואל, יומא חד נגה ליה ולא הוה קאתי, שדר שליחא אבתריה. אדאזיל שליח בחדא אורחא, אתא איהו בחדא. כי אתא שליח, אמר: אשתו זינתה, אתא לקמיה דמר שמואל, א"ל: אי מהימן לך </w:t>
      </w:r>
      <w:r>
        <w:rPr>
          <w:rFonts w:cs="Arial" w:hint="cs"/>
          <w:rtl/>
        </w:rPr>
        <w:t xml:space="preserve">- </w:t>
      </w:r>
      <w:r w:rsidRPr="002A30B2">
        <w:rPr>
          <w:rFonts w:cs="Arial"/>
          <w:rtl/>
        </w:rPr>
        <w:t>זיל אפקה, ואי לא - לא תפיק</w:t>
      </w:r>
      <w:r>
        <w:rPr>
          <w:rFonts w:cs="Arial" w:hint="cs"/>
          <w:rtl/>
        </w:rPr>
        <w:t>.</w:t>
      </w:r>
      <w:r w:rsidRPr="002A30B2">
        <w:rPr>
          <w:rFonts w:cs="Arial"/>
          <w:rtl/>
        </w:rPr>
        <w:t xml:space="preserve"> מאי לאו אי מהימן עלך דלאו גזלנא הוא. ורבא? אי מהימן לך כבי תרי </w:t>
      </w:r>
      <w:r>
        <w:rPr>
          <w:rFonts w:cs="Arial" w:hint="cs"/>
          <w:rtl/>
        </w:rPr>
        <w:t xml:space="preserve">- </w:t>
      </w:r>
      <w:r w:rsidRPr="002A30B2">
        <w:rPr>
          <w:rFonts w:cs="Arial"/>
          <w:rtl/>
        </w:rPr>
        <w:t xml:space="preserve">זיל אפקה, ואי לא - לא תפקה. </w:t>
      </w:r>
    </w:p>
    <w:p w14:paraId="60205E14" w14:textId="091608B7" w:rsidR="00392DBB" w:rsidRPr="002A30B2" w:rsidRDefault="00392DBB" w:rsidP="00BD522C">
      <w:r w:rsidRPr="003131E2">
        <w:rPr>
          <w:rFonts w:hint="cs"/>
          <w:u w:val="single"/>
          <w:rtl/>
        </w:rPr>
        <w:t xml:space="preserve">אשה שאמרה שזינתה </w:t>
      </w:r>
      <w:r w:rsidR="00F97626">
        <w:rPr>
          <w:u w:val="single"/>
          <w:rtl/>
        </w:rPr>
        <w:t>-</w:t>
      </w:r>
      <w:r w:rsidRPr="003131E2">
        <w:rPr>
          <w:rFonts w:hint="cs"/>
          <w:u w:val="single"/>
          <w:rtl/>
        </w:rPr>
        <w:t xml:space="preserve"> ו</w:t>
      </w:r>
      <w:r>
        <w:rPr>
          <w:rFonts w:hint="cs"/>
          <w:u w:val="single"/>
          <w:rtl/>
        </w:rPr>
        <w:t>יש</w:t>
      </w:r>
      <w:r w:rsidRPr="003131E2">
        <w:rPr>
          <w:rFonts w:hint="cs"/>
          <w:u w:val="single"/>
          <w:rtl/>
        </w:rPr>
        <w:t xml:space="preserve"> עד</w:t>
      </w:r>
      <w:r>
        <w:rPr>
          <w:rFonts w:hint="cs"/>
          <w:u w:val="single"/>
          <w:rtl/>
        </w:rPr>
        <w:t xml:space="preserve"> אחד</w:t>
      </w:r>
      <w:r w:rsidRPr="003131E2">
        <w:rPr>
          <w:rFonts w:hint="cs"/>
          <w:u w:val="single"/>
          <w:rtl/>
        </w:rPr>
        <w:t xml:space="preserve"> בדב</w:t>
      </w:r>
      <w:r>
        <w:rPr>
          <w:rFonts w:hint="cs"/>
          <w:u w:val="single"/>
          <w:rtl/>
        </w:rPr>
        <w:t>ר</w:t>
      </w:r>
      <w:r>
        <w:rPr>
          <w:rFonts w:hint="cs"/>
          <w:sz w:val="16"/>
          <w:szCs w:val="16"/>
          <w:u w:val="single"/>
          <w:rtl/>
        </w:rPr>
        <w:t xml:space="preserve"> (והאשה מכחישה את העד, דרכ"מ [אות יד])</w:t>
      </w:r>
      <w:r w:rsidRPr="003131E2">
        <w:rPr>
          <w:rFonts w:hint="cs"/>
          <w:u w:val="single"/>
          <w:rtl/>
        </w:rPr>
        <w:t>:</w:t>
      </w:r>
    </w:p>
    <w:p w14:paraId="54C615CF" w14:textId="4E520B7D" w:rsidR="00392DBB" w:rsidRPr="008E63E3" w:rsidRDefault="00392DBB" w:rsidP="009000E3">
      <w:pPr>
        <w:pStyle w:val="ab"/>
        <w:numPr>
          <w:ilvl w:val="0"/>
          <w:numId w:val="72"/>
        </w:numPr>
      </w:pPr>
      <w:r w:rsidRPr="002A30B2">
        <w:rPr>
          <w:rFonts w:cs="Arial"/>
          <w:rtl/>
        </w:rPr>
        <w:t xml:space="preserve">רי"ף </w:t>
      </w:r>
      <w:r w:rsidRPr="00AD45E4">
        <w:rPr>
          <w:rFonts w:cs="Arial"/>
          <w:sz w:val="16"/>
          <w:szCs w:val="16"/>
          <w:rtl/>
        </w:rPr>
        <w:t>(כח:)</w:t>
      </w:r>
      <w:r w:rsidRPr="002A30B2">
        <w:rPr>
          <w:rFonts w:cs="Arial"/>
          <w:rtl/>
        </w:rPr>
        <w:t xml:space="preserve"> </w:t>
      </w:r>
      <w:r>
        <w:rPr>
          <w:rFonts w:cs="Arial" w:hint="cs"/>
          <w:rtl/>
        </w:rPr>
        <w:t>רמב"ם</w:t>
      </w:r>
      <w:r>
        <w:rPr>
          <w:rStyle w:val="a7"/>
          <w:rFonts w:cs="Arial"/>
          <w:rtl/>
        </w:rPr>
        <w:footnoteReference w:id="2856"/>
      </w:r>
      <w:r>
        <w:rPr>
          <w:rFonts w:cs="Arial" w:hint="cs"/>
          <w:rtl/>
        </w:rPr>
        <w:t xml:space="preserve"> </w:t>
      </w:r>
      <w:r>
        <w:rPr>
          <w:rFonts w:cs="Arial" w:hint="cs"/>
          <w:sz w:val="16"/>
          <w:szCs w:val="16"/>
          <w:rtl/>
        </w:rPr>
        <w:t>(פכ"ד מאישות הי"ז)</w:t>
      </w:r>
      <w:r>
        <w:rPr>
          <w:rFonts w:cs="Arial" w:hint="cs"/>
          <w:rtl/>
        </w:rPr>
        <w:t xml:space="preserve"> </w:t>
      </w:r>
      <w:r w:rsidRPr="002A30B2">
        <w:rPr>
          <w:rFonts w:cs="Arial"/>
          <w:rtl/>
        </w:rPr>
        <w:t xml:space="preserve">ורא"ש </w:t>
      </w:r>
      <w:r w:rsidRPr="00AD45E4">
        <w:rPr>
          <w:rFonts w:cs="Arial"/>
          <w:sz w:val="16"/>
          <w:szCs w:val="16"/>
          <w:rtl/>
        </w:rPr>
        <w:t>(סי' טו)</w:t>
      </w:r>
      <w:r w:rsidRPr="002A30B2">
        <w:rPr>
          <w:rFonts w:cs="Arial" w:hint="cs"/>
          <w:rtl/>
        </w:rPr>
        <w:t xml:space="preserve">- </w:t>
      </w:r>
      <w:r w:rsidRPr="002A30B2">
        <w:rPr>
          <w:rFonts w:cs="Arial"/>
          <w:rtl/>
        </w:rPr>
        <w:t>זינתה אשתו בעד אחד</w:t>
      </w:r>
      <w:r>
        <w:rPr>
          <w:rStyle w:val="a7"/>
          <w:rFonts w:cs="Arial"/>
          <w:rtl/>
        </w:rPr>
        <w:footnoteReference w:id="2857"/>
      </w:r>
      <w:r w:rsidRPr="002A30B2">
        <w:rPr>
          <w:rFonts w:cs="Arial"/>
          <w:rtl/>
        </w:rPr>
        <w:t xml:space="preserve"> </w:t>
      </w:r>
      <w:r w:rsidRPr="002A30B2">
        <w:rPr>
          <w:rFonts w:cs="Arial" w:hint="cs"/>
          <w:rtl/>
        </w:rPr>
        <w:t xml:space="preserve">- </w:t>
      </w:r>
      <w:r w:rsidRPr="002A30B2">
        <w:rPr>
          <w:rFonts w:cs="Arial"/>
          <w:rtl/>
        </w:rPr>
        <w:t>הוי דבר שבערוה ואין דבר שבערוה פחות משנים</w:t>
      </w:r>
      <w:r w:rsidRPr="002A30B2">
        <w:rPr>
          <w:rFonts w:cs="Arial" w:hint="cs"/>
          <w:rtl/>
        </w:rPr>
        <w:t>.</w:t>
      </w:r>
      <w:r w:rsidRPr="002A30B2">
        <w:rPr>
          <w:rFonts w:cs="Arial"/>
          <w:rtl/>
        </w:rPr>
        <w:t xml:space="preserve"> והני מילי בדיני אדם</w:t>
      </w:r>
      <w:r>
        <w:rPr>
          <w:rFonts w:cs="Arial" w:hint="cs"/>
          <w:rtl/>
        </w:rPr>
        <w:t>,</w:t>
      </w:r>
      <w:r w:rsidRPr="002A30B2">
        <w:rPr>
          <w:rFonts w:cs="Arial"/>
          <w:rtl/>
        </w:rPr>
        <w:t xml:space="preserve"> אבל בבא לצאת ידי שמים אי מהימן ליה כבי תרי</w:t>
      </w:r>
      <w:r w:rsidR="006717F9">
        <w:rPr>
          <w:rStyle w:val="a7"/>
          <w:rFonts w:cs="Arial"/>
          <w:rtl/>
        </w:rPr>
        <w:footnoteReference w:id="2858"/>
      </w:r>
      <w:r w:rsidRPr="002A30B2">
        <w:rPr>
          <w:rFonts w:cs="Arial"/>
          <w:rtl/>
        </w:rPr>
        <w:t xml:space="preserve"> </w:t>
      </w:r>
      <w:r>
        <w:rPr>
          <w:rFonts w:cs="Arial" w:hint="cs"/>
          <w:rtl/>
        </w:rPr>
        <w:t xml:space="preserve">- </w:t>
      </w:r>
      <w:r w:rsidRPr="002A30B2">
        <w:rPr>
          <w:rFonts w:cs="Arial"/>
          <w:rtl/>
        </w:rPr>
        <w:t>חייב</w:t>
      </w:r>
      <w:r w:rsidR="00BD522C">
        <w:rPr>
          <w:rStyle w:val="a7"/>
          <w:rFonts w:cs="Arial"/>
          <w:rtl/>
        </w:rPr>
        <w:footnoteReference w:id="2859"/>
      </w:r>
      <w:r w:rsidRPr="002A30B2">
        <w:rPr>
          <w:rFonts w:cs="Arial"/>
          <w:rtl/>
        </w:rPr>
        <w:t xml:space="preserve"> לאפוקה ולמיהב לה כתובה</w:t>
      </w:r>
      <w:r w:rsidR="00D214E6">
        <w:rPr>
          <w:rStyle w:val="a7"/>
          <w:rFonts w:cs="Arial"/>
          <w:rtl/>
        </w:rPr>
        <w:footnoteReference w:id="2860"/>
      </w:r>
      <w:r w:rsidR="00BD522C">
        <w:rPr>
          <w:rFonts w:cs="Arial" w:hint="cs"/>
          <w:sz w:val="16"/>
          <w:szCs w:val="16"/>
          <w:rtl/>
        </w:rPr>
        <w:t xml:space="preserve"> </w:t>
      </w:r>
      <w:r>
        <w:rPr>
          <w:rFonts w:cs="Arial" w:hint="cs"/>
          <w:sz w:val="16"/>
          <w:szCs w:val="16"/>
          <w:rtl/>
        </w:rPr>
        <w:t>(ל' הב"י בשם הרי"ף והרא"ש)</w:t>
      </w:r>
      <w:r w:rsidRPr="002A30B2">
        <w:rPr>
          <w:rFonts w:cs="Arial"/>
          <w:rtl/>
        </w:rPr>
        <w:t xml:space="preserve">. </w:t>
      </w:r>
      <w:r w:rsidRPr="008C7592">
        <w:rPr>
          <w:rFonts w:hint="cs"/>
          <w:color w:val="E36C0A" w:themeColor="accent6" w:themeShade="BF"/>
          <w:rtl/>
        </w:rPr>
        <w:t>(וכ"פ בשו"ע</w:t>
      </w:r>
      <w:r>
        <w:rPr>
          <w:rFonts w:hint="cs"/>
          <w:color w:val="E36C0A" w:themeColor="accent6" w:themeShade="BF"/>
          <w:sz w:val="16"/>
          <w:szCs w:val="16"/>
          <w:rtl/>
        </w:rPr>
        <w:t xml:space="preserve"> </w:t>
      </w:r>
      <w:r w:rsidRPr="00B33253">
        <w:rPr>
          <w:rFonts w:hint="cs"/>
          <w:color w:val="000000" w:themeColor="text1"/>
          <w:sz w:val="16"/>
          <w:szCs w:val="16"/>
          <w:rtl/>
        </w:rPr>
        <w:t>[</w:t>
      </w:r>
      <w:r>
        <w:rPr>
          <w:rFonts w:hint="cs"/>
          <w:color w:val="000000" w:themeColor="text1"/>
          <w:sz w:val="16"/>
          <w:szCs w:val="16"/>
          <w:rtl/>
        </w:rPr>
        <w:t>בסע' ז</w:t>
      </w:r>
      <w:r w:rsidRPr="00B33253">
        <w:rPr>
          <w:rFonts w:hint="cs"/>
          <w:color w:val="000000" w:themeColor="text1"/>
          <w:sz w:val="16"/>
          <w:szCs w:val="16"/>
          <w:rtl/>
        </w:rPr>
        <w:t>]</w:t>
      </w:r>
      <w:r w:rsidRPr="008C7592">
        <w:rPr>
          <w:rFonts w:hint="cs"/>
          <w:color w:val="E36C0A" w:themeColor="accent6" w:themeShade="BF"/>
          <w:rtl/>
        </w:rPr>
        <w:t>)</w:t>
      </w:r>
    </w:p>
    <w:p w14:paraId="4E3F794B" w14:textId="77777777" w:rsidR="00392DBB" w:rsidRDefault="00392DBB" w:rsidP="009000E3">
      <w:pPr>
        <w:pStyle w:val="ab"/>
        <w:numPr>
          <w:ilvl w:val="0"/>
          <w:numId w:val="72"/>
        </w:numPr>
      </w:pPr>
      <w:r w:rsidRPr="008E63E3">
        <w:rPr>
          <w:rFonts w:cs="Arial"/>
          <w:rtl/>
        </w:rPr>
        <w:lastRenderedPageBreak/>
        <w:t>רשב"א</w:t>
      </w:r>
      <w:r>
        <w:rPr>
          <w:rFonts w:cs="Arial" w:hint="cs"/>
          <w:rtl/>
        </w:rPr>
        <w:t xml:space="preserve"> </w:t>
      </w:r>
      <w:r w:rsidRPr="008E63E3">
        <w:rPr>
          <w:rFonts w:cs="Arial"/>
          <w:sz w:val="16"/>
          <w:szCs w:val="16"/>
          <w:rtl/>
        </w:rPr>
        <w:t>(ח"א</w:t>
      </w:r>
      <w:r w:rsidRPr="008E63E3">
        <w:rPr>
          <w:rFonts w:cs="Arial" w:hint="cs"/>
          <w:sz w:val="16"/>
          <w:szCs w:val="16"/>
          <w:rtl/>
        </w:rPr>
        <w:t xml:space="preserve"> </w:t>
      </w:r>
      <w:r w:rsidRPr="008E63E3">
        <w:rPr>
          <w:rFonts w:cs="Arial"/>
          <w:sz w:val="16"/>
          <w:szCs w:val="16"/>
          <w:rtl/>
        </w:rPr>
        <w:t>סי</w:t>
      </w:r>
      <w:r w:rsidRPr="008E63E3">
        <w:rPr>
          <w:rFonts w:cs="Arial" w:hint="cs"/>
          <w:sz w:val="16"/>
          <w:szCs w:val="16"/>
          <w:rtl/>
        </w:rPr>
        <w:t>'</w:t>
      </w:r>
      <w:r w:rsidRPr="008E63E3">
        <w:rPr>
          <w:rFonts w:cs="Arial"/>
          <w:sz w:val="16"/>
          <w:szCs w:val="16"/>
          <w:rtl/>
        </w:rPr>
        <w:t xml:space="preserve"> רמט</w:t>
      </w:r>
      <w:r w:rsidRPr="008E63E3">
        <w:rPr>
          <w:rFonts w:cs="Arial" w:hint="cs"/>
          <w:sz w:val="16"/>
          <w:szCs w:val="16"/>
          <w:rtl/>
        </w:rPr>
        <w:t>)</w:t>
      </w:r>
      <w:r>
        <w:rPr>
          <w:rFonts w:cs="Arial" w:hint="cs"/>
          <w:rtl/>
        </w:rPr>
        <w:t>-</w:t>
      </w:r>
      <w:r w:rsidRPr="008E63E3">
        <w:rPr>
          <w:rFonts w:cs="Arial"/>
          <w:rtl/>
        </w:rPr>
        <w:t xml:space="preserve"> מה שכתב הרמב"ם (שם) שאם א"ל א' מקרוביו שהוא מאמינם שזינתה אשתו הרי הוא חייב להוציאה ואסור לו לבא עליה </w:t>
      </w:r>
      <w:r>
        <w:rPr>
          <w:rFonts w:cs="Arial" w:hint="cs"/>
          <w:rtl/>
        </w:rPr>
        <w:t xml:space="preserve">- </w:t>
      </w:r>
      <w:r w:rsidRPr="008E63E3">
        <w:rPr>
          <w:rFonts w:cs="Arial"/>
          <w:rtl/>
        </w:rPr>
        <w:t>לא נתחוורו לי דבריו בזה</w:t>
      </w:r>
      <w:r>
        <w:rPr>
          <w:rFonts w:cs="Arial" w:hint="cs"/>
          <w:rtl/>
        </w:rPr>
        <w:t>.</w:t>
      </w:r>
      <w:r w:rsidRPr="00E34FAE">
        <w:rPr>
          <w:rFonts w:cs="Arial"/>
          <w:rtl/>
        </w:rPr>
        <w:t xml:space="preserve"> </w:t>
      </w:r>
      <w:r>
        <w:rPr>
          <w:rStyle w:val="a7"/>
          <w:rFonts w:cs="Arial"/>
          <w:rtl/>
        </w:rPr>
        <w:footnoteReference w:id="2861"/>
      </w:r>
      <w:r>
        <w:rPr>
          <w:rFonts w:cs="Arial" w:hint="cs"/>
          <w:rtl/>
        </w:rPr>
        <w:t>ש</w:t>
      </w:r>
      <w:r w:rsidRPr="00E34FAE">
        <w:rPr>
          <w:rFonts w:cs="Arial"/>
          <w:rtl/>
        </w:rPr>
        <w:t>אפילו כשר שבכשרים שהעיד עליה שזינתה עם אחר אינו נאמן כדאמרן שאין דבר שבערוה פחות משנים. ומה שטען שהוא מאמין אותו האיש במה שהעיז פניו אין מקבלין ממנו דמתוך שהרגיל קטטה שקורי משקר וכמו שכתבתי. ועוד דמסתבר לי דלא אמרינן אי מהימן לך אלא בשאינה מכחישתו אלא שותקת</w:t>
      </w:r>
      <w:r w:rsidRPr="00E34FAE">
        <w:rPr>
          <w:rFonts w:cs="Arial" w:hint="cs"/>
          <w:rtl/>
        </w:rPr>
        <w:t>,</w:t>
      </w:r>
      <w:r w:rsidRPr="00E34FAE">
        <w:rPr>
          <w:rFonts w:cs="Arial"/>
          <w:rtl/>
        </w:rPr>
        <w:t xml:space="preserve"> הא מכחישתו לא. דעד אחד בהכחשה אפילו בעלמא לא כלום הוא וכל שכן בדבר שבערוה</w:t>
      </w:r>
      <w:r>
        <w:rPr>
          <w:rFonts w:hint="cs"/>
          <w:rtl/>
        </w:rPr>
        <w:t>...</w:t>
      </w:r>
      <w:r w:rsidRPr="00413A8E">
        <w:rPr>
          <w:rtl/>
        </w:rPr>
        <w:t xml:space="preserve"> </w:t>
      </w:r>
      <w:r w:rsidRPr="00E34FAE">
        <w:rPr>
          <w:rFonts w:cs="Arial"/>
          <w:rtl/>
        </w:rPr>
        <w:t xml:space="preserve">ועוד מצד מה שאמרת דכל מה שנתן עיניו לגרשה </w:t>
      </w:r>
      <w:r w:rsidRPr="00E34FAE">
        <w:rPr>
          <w:rFonts w:cs="Arial" w:hint="cs"/>
          <w:rtl/>
        </w:rPr>
        <w:t xml:space="preserve">- </w:t>
      </w:r>
      <w:r w:rsidRPr="00E34FAE">
        <w:rPr>
          <w:rFonts w:cs="Arial"/>
          <w:rtl/>
        </w:rPr>
        <w:t>אנו חוששין לו וחזר זה להיות כמשנה אחרונה דהאומרת טמאה אני לך. דכיון שאינו יכול לגרש אלא מדעתה וכל דאגיד בה לא יהבו ליה אחריתי לפיכך חוששין כמו שחששו באומרת טמאה אני לך. וכל שכן בזה דודאי נתן עיניו באחרת ומחזר לגרש את זו. וקרוב הדבר שאפי' בעונה שהוא משועבד לה מותר</w:t>
      </w:r>
      <w:r w:rsidRPr="00E34FAE">
        <w:rPr>
          <w:rFonts w:cs="Arial" w:hint="cs"/>
          <w:rtl/>
        </w:rPr>
        <w:t>,</w:t>
      </w:r>
      <w:r w:rsidRPr="00E34FAE">
        <w:rPr>
          <w:rFonts w:cs="Arial"/>
          <w:rtl/>
        </w:rPr>
        <w:t xml:space="preserve"> דבית דין מתנין לעקור דבר מן התורה משום מגדר מילתא. וכמו שהתירו באומרת טמאה אני לך כך יש להתיר באומר טמאה היא לי במקום שאי אפשר לגרש אלא בטענה ועל פי בית דין. כדי שלא יהיו בנות ישראל ובני ישראל רגילין בכך. ומכל מקום אפילו ראה לומר שהיא אסורה לו ושוייה אנפשיה חתיכה דאיסורה. הוא יחוש לעצמו ואם תרצה היא למחול על העונה ושלא יוציא בגט יתן לה שאר וכסות כמו שאמרת ויפה אמרת.</w:t>
      </w:r>
    </w:p>
    <w:p w14:paraId="741D1CF1" w14:textId="2DFA4535" w:rsidR="00392DBB" w:rsidRPr="00F124FE" w:rsidRDefault="00392DBB" w:rsidP="00392DBB">
      <w:pPr>
        <w:ind w:left="360"/>
        <w:rPr>
          <w:u w:val="dotted"/>
        </w:rPr>
      </w:pPr>
      <w:r w:rsidRPr="00F124FE">
        <w:rPr>
          <w:rFonts w:hint="cs"/>
          <w:u w:val="dotted"/>
          <w:rtl/>
        </w:rPr>
        <w:t>ל</w:t>
      </w:r>
      <w:r w:rsidR="005E10A1">
        <w:rPr>
          <w:rFonts w:hint="cs"/>
          <w:u w:val="dotted"/>
          <w:rtl/>
        </w:rPr>
        <w:t>רמב"ם וסיעתו</w:t>
      </w:r>
      <w:r w:rsidRPr="00F124FE">
        <w:rPr>
          <w:rFonts w:hint="cs"/>
          <w:u w:val="dotted"/>
          <w:rtl/>
        </w:rPr>
        <w:t xml:space="preserve"> </w:t>
      </w:r>
      <w:r w:rsidR="00F97626">
        <w:rPr>
          <w:u w:val="dotted"/>
          <w:rtl/>
        </w:rPr>
        <w:t>-</w:t>
      </w:r>
      <w:r w:rsidRPr="00F124FE">
        <w:rPr>
          <w:rFonts w:hint="cs"/>
          <w:u w:val="dotted"/>
          <w:rtl/>
        </w:rPr>
        <w:t xml:space="preserve"> האם צריכה להישבע שלא זינתה כדי לקבל כתובתה: </w:t>
      </w:r>
    </w:p>
    <w:p w14:paraId="30670586" w14:textId="21762C6D" w:rsidR="00392DBB" w:rsidRDefault="00392DBB" w:rsidP="00D214E6">
      <w:pPr>
        <w:pStyle w:val="ab"/>
        <w:numPr>
          <w:ilvl w:val="0"/>
          <w:numId w:val="72"/>
        </w:numPr>
      </w:pPr>
      <w:r>
        <w:rPr>
          <w:rFonts w:cs="Arial" w:hint="cs"/>
          <w:rtl/>
        </w:rPr>
        <w:t xml:space="preserve">רמב"ם </w:t>
      </w:r>
      <w:r>
        <w:rPr>
          <w:rFonts w:cs="Arial" w:hint="cs"/>
          <w:sz w:val="16"/>
          <w:szCs w:val="16"/>
          <w:rtl/>
        </w:rPr>
        <w:t>(פכ"ד מאישות הי"ז)</w:t>
      </w:r>
      <w:r>
        <w:rPr>
          <w:rFonts w:cs="Arial" w:hint="cs"/>
          <w:rtl/>
        </w:rPr>
        <w:t xml:space="preserve">- </w:t>
      </w:r>
      <w:r w:rsidRPr="00CA3D71">
        <w:rPr>
          <w:rFonts w:cs="Arial"/>
          <w:rtl/>
        </w:rPr>
        <w:t>מי שראה אשתו שזינת</w:t>
      </w:r>
      <w:r>
        <w:rPr>
          <w:rFonts w:cs="Arial" w:hint="cs"/>
          <w:rtl/>
        </w:rPr>
        <w:t>,</w:t>
      </w:r>
      <w:r w:rsidRPr="00CA3D71">
        <w:rPr>
          <w:rFonts w:cs="Arial"/>
          <w:rtl/>
        </w:rPr>
        <w:t xml:space="preserve"> או שאמר לו אחד מקרוביו או מקרובותיה שהוא מאמינם וסומכת דעתו עליהם שזינת אשתו</w:t>
      </w:r>
      <w:r>
        <w:rPr>
          <w:rFonts w:cs="Arial" w:hint="cs"/>
          <w:rtl/>
        </w:rPr>
        <w:t>,</w:t>
      </w:r>
      <w:r w:rsidRPr="00CA3D71">
        <w:rPr>
          <w:rFonts w:cs="Arial"/>
          <w:rtl/>
        </w:rPr>
        <w:t xml:space="preserve"> בין שהיה האומר איש בין שהיתה אשה הואיל וסמכה דעתו לדבר זה שהוא אמת</w:t>
      </w:r>
      <w:r>
        <w:rPr>
          <w:rFonts w:cs="Arial" w:hint="cs"/>
          <w:rtl/>
        </w:rPr>
        <w:t xml:space="preserve"> -</w:t>
      </w:r>
      <w:r w:rsidRPr="00CA3D71">
        <w:rPr>
          <w:rFonts w:cs="Arial"/>
          <w:rtl/>
        </w:rPr>
        <w:t xml:space="preserve"> הרי זה חייב להוציא ואסור לו לבוא עליה ויתן כתובתה</w:t>
      </w:r>
      <w:r>
        <w:rPr>
          <w:rFonts w:cs="Arial" w:hint="cs"/>
          <w:rtl/>
        </w:rPr>
        <w:t>.</w:t>
      </w:r>
      <w:r w:rsidRPr="00CA3D71">
        <w:rPr>
          <w:rFonts w:cs="Arial"/>
          <w:rtl/>
        </w:rPr>
        <w:t xml:space="preserve"> ואם הודת לו שזינת </w:t>
      </w:r>
      <w:r>
        <w:rPr>
          <w:rFonts w:cs="Arial" w:hint="cs"/>
          <w:rtl/>
        </w:rPr>
        <w:t xml:space="preserve">- </w:t>
      </w:r>
      <w:r w:rsidRPr="00CA3D71">
        <w:rPr>
          <w:rFonts w:cs="Arial"/>
          <w:rtl/>
        </w:rPr>
        <w:t>תצא בלא כתובה</w:t>
      </w:r>
      <w:r>
        <w:rPr>
          <w:rFonts w:cs="Arial" w:hint="cs"/>
          <w:rtl/>
        </w:rPr>
        <w:t>.</w:t>
      </w:r>
      <w:r w:rsidRPr="00CA3D71">
        <w:rPr>
          <w:rFonts w:cs="Arial"/>
          <w:rtl/>
        </w:rPr>
        <w:t xml:space="preserve"> לפיכך משביעה בנקיטת חפץ שלא זינת תחתיו אם ראה אותה בעצמו</w:t>
      </w:r>
      <w:r>
        <w:rPr>
          <w:rFonts w:cs="Arial" w:hint="cs"/>
          <w:rtl/>
        </w:rPr>
        <w:t>,</w:t>
      </w:r>
      <w:r w:rsidRPr="00CA3D71">
        <w:rPr>
          <w:rFonts w:cs="Arial"/>
          <w:rtl/>
        </w:rPr>
        <w:t xml:space="preserve"> ואחר כך תגבה כתובתה</w:t>
      </w:r>
      <w:r>
        <w:rPr>
          <w:rFonts w:cs="Arial" w:hint="cs"/>
          <w:rtl/>
        </w:rPr>
        <w:t>.</w:t>
      </w:r>
      <w:r w:rsidRPr="00CA3D71">
        <w:rPr>
          <w:rFonts w:cs="Arial"/>
          <w:rtl/>
        </w:rPr>
        <w:t xml:space="preserve"> אבל </w:t>
      </w:r>
      <w:r>
        <w:rPr>
          <w:rStyle w:val="a7"/>
          <w:rFonts w:cs="Arial"/>
          <w:rtl/>
        </w:rPr>
        <w:footnoteReference w:id="2862"/>
      </w:r>
      <w:r>
        <w:rPr>
          <w:rFonts w:cs="Arial" w:hint="cs"/>
          <w:rtl/>
        </w:rPr>
        <w:t>ב</w:t>
      </w:r>
      <w:r w:rsidRPr="00CA3D71">
        <w:rPr>
          <w:rFonts w:cs="Arial"/>
          <w:rtl/>
        </w:rPr>
        <w:t>דבר</w:t>
      </w:r>
      <w:r>
        <w:rPr>
          <w:rFonts w:cs="Arial" w:hint="cs"/>
          <w:rtl/>
        </w:rPr>
        <w:t>י</w:t>
      </w:r>
      <w:r w:rsidRPr="00CA3D71">
        <w:rPr>
          <w:rFonts w:cs="Arial"/>
          <w:rtl/>
        </w:rPr>
        <w:t xml:space="preserve"> אחר אינו יכול להשביעה אלא על ידי גלגול</w:t>
      </w:r>
      <w:r>
        <w:rPr>
          <w:rStyle w:val="a7"/>
          <w:rFonts w:cs="Arial"/>
          <w:rtl/>
        </w:rPr>
        <w:footnoteReference w:id="2863"/>
      </w:r>
      <w:r w:rsidRPr="00FA64E7">
        <w:rPr>
          <w:rFonts w:cs="Arial" w:hint="cs"/>
          <w:rtl/>
        </w:rPr>
        <w:t>.</w:t>
      </w:r>
      <w:r>
        <w:rPr>
          <w:rFonts w:hint="cs"/>
          <w:color w:val="E36C0A" w:themeColor="accent6" w:themeShade="BF"/>
          <w:rtl/>
        </w:rPr>
        <w:t xml:space="preserve"> </w:t>
      </w:r>
      <w:r w:rsidRPr="008C7592">
        <w:rPr>
          <w:rFonts w:hint="cs"/>
          <w:color w:val="E36C0A" w:themeColor="accent6" w:themeShade="BF"/>
          <w:rtl/>
        </w:rPr>
        <w:t>(וכ"פ בשו"ע</w:t>
      </w:r>
      <w:r>
        <w:rPr>
          <w:rFonts w:hint="cs"/>
          <w:color w:val="E36C0A" w:themeColor="accent6" w:themeShade="BF"/>
          <w:sz w:val="16"/>
          <w:szCs w:val="16"/>
          <w:rtl/>
        </w:rPr>
        <w:t xml:space="preserve"> </w:t>
      </w:r>
      <w:r w:rsidRPr="00B33253">
        <w:rPr>
          <w:rFonts w:hint="cs"/>
          <w:color w:val="000000" w:themeColor="text1"/>
          <w:sz w:val="16"/>
          <w:szCs w:val="16"/>
          <w:rtl/>
        </w:rPr>
        <w:t>[</w:t>
      </w:r>
      <w:r>
        <w:rPr>
          <w:rFonts w:hint="cs"/>
          <w:color w:val="000000" w:themeColor="text1"/>
          <w:sz w:val="16"/>
          <w:szCs w:val="16"/>
          <w:rtl/>
        </w:rPr>
        <w:t>בסע' ז</w:t>
      </w:r>
      <w:r w:rsidRPr="00B33253">
        <w:rPr>
          <w:rFonts w:hint="cs"/>
          <w:color w:val="000000" w:themeColor="text1"/>
          <w:sz w:val="16"/>
          <w:szCs w:val="16"/>
          <w:rtl/>
        </w:rPr>
        <w:t>]</w:t>
      </w:r>
      <w:r w:rsidRPr="008C7592">
        <w:rPr>
          <w:rFonts w:hint="cs"/>
          <w:color w:val="E36C0A" w:themeColor="accent6" w:themeShade="BF"/>
          <w:rtl/>
        </w:rPr>
        <w:t>)</w:t>
      </w:r>
    </w:p>
    <w:p w14:paraId="1FC6D085" w14:textId="6F3FC4CF" w:rsidR="00392DBB" w:rsidRPr="00773835" w:rsidRDefault="00392DBB" w:rsidP="00392DBB">
      <w:r w:rsidRPr="003131E2">
        <w:rPr>
          <w:rFonts w:hint="cs"/>
          <w:u w:val="single"/>
          <w:rtl/>
        </w:rPr>
        <w:t>אשה שאמרה שזינתה</w:t>
      </w:r>
      <w:r w:rsidR="004F2A52">
        <w:rPr>
          <w:rFonts w:hint="cs"/>
          <w:u w:val="single"/>
          <w:rtl/>
        </w:rPr>
        <w:t>,</w:t>
      </w:r>
      <w:r w:rsidRPr="003131E2">
        <w:rPr>
          <w:rFonts w:hint="cs"/>
          <w:u w:val="single"/>
          <w:rtl/>
        </w:rPr>
        <w:t xml:space="preserve"> ו</w:t>
      </w:r>
      <w:r>
        <w:rPr>
          <w:rFonts w:hint="cs"/>
          <w:u w:val="single"/>
          <w:rtl/>
        </w:rPr>
        <w:t>ה</w:t>
      </w:r>
      <w:r w:rsidR="004F2A52">
        <w:rPr>
          <w:rFonts w:hint="cs"/>
          <w:u w:val="single"/>
          <w:rtl/>
        </w:rPr>
        <w:t>בעל מאמין לה</w:t>
      </w:r>
      <w:r w:rsidRPr="003131E2">
        <w:rPr>
          <w:rFonts w:hint="cs"/>
          <w:u w:val="single"/>
          <w:rtl/>
        </w:rPr>
        <w:t>:</w:t>
      </w:r>
    </w:p>
    <w:p w14:paraId="293A33D1" w14:textId="77777777" w:rsidR="00392DBB" w:rsidRDefault="00392DBB" w:rsidP="009000E3">
      <w:pPr>
        <w:pStyle w:val="ab"/>
        <w:numPr>
          <w:ilvl w:val="0"/>
          <w:numId w:val="72"/>
        </w:numPr>
      </w:pPr>
      <w:r>
        <w:rPr>
          <w:rFonts w:cs="Arial" w:hint="cs"/>
          <w:rtl/>
        </w:rPr>
        <w:t xml:space="preserve">רמב"ם </w:t>
      </w:r>
      <w:r>
        <w:rPr>
          <w:rFonts w:cs="Arial" w:hint="cs"/>
          <w:sz w:val="16"/>
          <w:szCs w:val="16"/>
          <w:rtl/>
        </w:rPr>
        <w:t>(פכ"ד מאישות הי"ח)</w:t>
      </w:r>
      <w:r>
        <w:rPr>
          <w:rFonts w:cs="Arial" w:hint="cs"/>
          <w:rtl/>
        </w:rPr>
        <w:t xml:space="preserve"> וטור- </w:t>
      </w:r>
      <w:r w:rsidRPr="00671DE4">
        <w:rPr>
          <w:rFonts w:cs="Arial"/>
          <w:rtl/>
        </w:rPr>
        <w:t xml:space="preserve">וכן כשאומרת אשתו שזינתה אם הוא מאמינה וסומך על דבריה </w:t>
      </w:r>
      <w:r>
        <w:rPr>
          <w:rFonts w:cs="Arial" w:hint="cs"/>
          <w:rtl/>
        </w:rPr>
        <w:t xml:space="preserve">- </w:t>
      </w:r>
      <w:r w:rsidRPr="00671DE4">
        <w:rPr>
          <w:rFonts w:cs="Arial"/>
          <w:rtl/>
        </w:rPr>
        <w:t>צריך להוציאה לצאת ידי שמים</w:t>
      </w:r>
      <w:r>
        <w:rPr>
          <w:rStyle w:val="a7"/>
          <w:rFonts w:cs="Arial"/>
          <w:rtl/>
        </w:rPr>
        <w:footnoteReference w:id="2864"/>
      </w:r>
      <w:r>
        <w:rPr>
          <w:rFonts w:cs="Arial" w:hint="cs"/>
          <w:sz w:val="16"/>
          <w:szCs w:val="16"/>
          <w:rtl/>
        </w:rPr>
        <w:t xml:space="preserve"> (ל' הטור)</w:t>
      </w:r>
      <w:r>
        <w:rPr>
          <w:rFonts w:cs="Arial" w:hint="cs"/>
          <w:rtl/>
        </w:rPr>
        <w:t>.</w:t>
      </w:r>
      <w:r w:rsidRPr="00671DE4">
        <w:rPr>
          <w:rFonts w:cs="Arial"/>
          <w:rtl/>
        </w:rPr>
        <w:t xml:space="preserve"> </w:t>
      </w:r>
      <w:r w:rsidRPr="008C7592">
        <w:rPr>
          <w:rFonts w:hint="cs"/>
          <w:color w:val="E36C0A" w:themeColor="accent6" w:themeShade="BF"/>
          <w:rtl/>
        </w:rPr>
        <w:t>(וכ"פ בשו"ע)</w:t>
      </w:r>
    </w:p>
    <w:p w14:paraId="38E2A6ED" w14:textId="77777777" w:rsidR="00392DBB" w:rsidRPr="00C23656" w:rsidRDefault="00392DBB" w:rsidP="009000E3">
      <w:pPr>
        <w:pStyle w:val="ab"/>
        <w:numPr>
          <w:ilvl w:val="0"/>
          <w:numId w:val="72"/>
        </w:numPr>
        <w:rPr>
          <w:rFonts w:cs="Arial"/>
          <w:rtl/>
        </w:rPr>
      </w:pPr>
      <w:r w:rsidRPr="00E34FAE">
        <w:rPr>
          <w:rFonts w:cs="Arial"/>
          <w:rtl/>
        </w:rPr>
        <w:t>רשב"א</w:t>
      </w:r>
      <w:r w:rsidRPr="00E34FAE">
        <w:rPr>
          <w:rFonts w:cs="Arial" w:hint="cs"/>
          <w:rtl/>
        </w:rPr>
        <w:t xml:space="preserve"> </w:t>
      </w:r>
      <w:r w:rsidRPr="00E34FAE">
        <w:rPr>
          <w:rFonts w:cs="Arial"/>
          <w:sz w:val="16"/>
          <w:szCs w:val="16"/>
          <w:rtl/>
        </w:rPr>
        <w:t>(ח"א סי</w:t>
      </w:r>
      <w:r w:rsidRPr="00E34FAE">
        <w:rPr>
          <w:rFonts w:cs="Arial" w:hint="cs"/>
          <w:sz w:val="16"/>
          <w:szCs w:val="16"/>
          <w:rtl/>
        </w:rPr>
        <w:t>'</w:t>
      </w:r>
      <w:r w:rsidRPr="00E34FAE">
        <w:rPr>
          <w:rFonts w:cs="Arial"/>
          <w:sz w:val="16"/>
          <w:szCs w:val="16"/>
          <w:rtl/>
        </w:rPr>
        <w:t xml:space="preserve"> אלף רלז</w:t>
      </w:r>
      <w:r w:rsidRPr="00E34FAE">
        <w:rPr>
          <w:rFonts w:cs="Arial" w:hint="cs"/>
          <w:sz w:val="16"/>
          <w:szCs w:val="16"/>
          <w:rtl/>
        </w:rPr>
        <w:t>, ובמיוחסות</w:t>
      </w:r>
      <w:r w:rsidRPr="00E34FAE">
        <w:rPr>
          <w:rFonts w:cs="Arial"/>
          <w:sz w:val="16"/>
          <w:szCs w:val="16"/>
          <w:rtl/>
        </w:rPr>
        <w:t xml:space="preserve"> סי</w:t>
      </w:r>
      <w:r w:rsidRPr="00E34FAE">
        <w:rPr>
          <w:rFonts w:cs="Arial" w:hint="cs"/>
          <w:sz w:val="16"/>
          <w:szCs w:val="16"/>
          <w:rtl/>
        </w:rPr>
        <w:t>'</w:t>
      </w:r>
      <w:r w:rsidRPr="00E34FAE">
        <w:rPr>
          <w:rFonts w:cs="Arial"/>
          <w:sz w:val="16"/>
          <w:szCs w:val="16"/>
          <w:rtl/>
        </w:rPr>
        <w:t xml:space="preserve"> קלג</w:t>
      </w:r>
      <w:r w:rsidRPr="00E34FAE">
        <w:rPr>
          <w:rFonts w:cs="Arial" w:hint="cs"/>
          <w:sz w:val="16"/>
          <w:szCs w:val="16"/>
          <w:rtl/>
        </w:rPr>
        <w:t>)</w:t>
      </w:r>
      <w:r>
        <w:rPr>
          <w:rFonts w:cs="Arial" w:hint="cs"/>
          <w:rtl/>
        </w:rPr>
        <w:t xml:space="preserve"> והגה"מ</w:t>
      </w:r>
      <w:r>
        <w:rPr>
          <w:rFonts w:cs="Arial" w:hint="cs"/>
          <w:sz w:val="16"/>
          <w:szCs w:val="16"/>
          <w:rtl/>
        </w:rPr>
        <w:t xml:space="preserve"> (פכ"ד מאישות הי"ח אות י, וכעין זה כתב במרדכי [קידושין סי' תקל])</w:t>
      </w:r>
      <w:r>
        <w:rPr>
          <w:rFonts w:cs="Arial" w:hint="cs"/>
          <w:rtl/>
        </w:rPr>
        <w:t xml:space="preserve">- </w:t>
      </w:r>
      <w:r w:rsidRPr="0011385D">
        <w:rPr>
          <w:rFonts w:cs="Arial"/>
          <w:rtl/>
        </w:rPr>
        <w:t xml:space="preserve">הורה רבי יוסף האומר אשתו שזינתה דאינה אסורה עליו לפי משנה אחרונה דאינה נאמנת שמא עיניה נתנה באחר ה"נ </w:t>
      </w:r>
      <w:r w:rsidRPr="0011385D">
        <w:rPr>
          <w:rFonts w:cs="Arial"/>
          <w:rtl/>
        </w:rPr>
        <w:lastRenderedPageBreak/>
        <w:t>שמא עיניו נתן באחרת אחר תקנת ר"ג שאינו יכול לגרשה ע</w:t>
      </w:r>
      <w:r>
        <w:rPr>
          <w:rFonts w:cs="Arial" w:hint="cs"/>
          <w:rtl/>
        </w:rPr>
        <w:t>ל כרחה.</w:t>
      </w:r>
      <w:r w:rsidRPr="0011385D">
        <w:rPr>
          <w:rFonts w:cs="Arial"/>
          <w:rtl/>
        </w:rPr>
        <w:t xml:space="preserve"> ועוד נראה דיש לנדות</w:t>
      </w:r>
      <w:r>
        <w:rPr>
          <w:rStyle w:val="a7"/>
          <w:rFonts w:cs="Arial"/>
          <w:rtl/>
        </w:rPr>
        <w:footnoteReference w:id="2865"/>
      </w:r>
      <w:r w:rsidRPr="0011385D">
        <w:rPr>
          <w:rFonts w:cs="Arial"/>
          <w:rtl/>
        </w:rPr>
        <w:t xml:space="preserve"> האוסר אשתו כמגרשה על כרחה דסוף סוף מבטל תקנת הגאונים</w:t>
      </w:r>
      <w:r>
        <w:rPr>
          <w:rStyle w:val="a7"/>
          <w:rFonts w:cs="Arial"/>
          <w:rtl/>
        </w:rPr>
        <w:footnoteReference w:id="2866"/>
      </w:r>
      <w:r>
        <w:rPr>
          <w:rFonts w:cs="Arial" w:hint="cs"/>
          <w:sz w:val="16"/>
          <w:szCs w:val="16"/>
          <w:rtl/>
        </w:rPr>
        <w:t xml:space="preserve"> (ל' הגה"מ)</w:t>
      </w:r>
      <w:r w:rsidRPr="00C23656">
        <w:rPr>
          <w:rFonts w:cs="Arial"/>
          <w:rtl/>
        </w:rPr>
        <w:t xml:space="preserve">. </w:t>
      </w:r>
    </w:p>
    <w:p w14:paraId="6A2AAF4E" w14:textId="77777777" w:rsidR="00392DBB" w:rsidRPr="00B31716" w:rsidRDefault="00392DBB" w:rsidP="00392DBB">
      <w:pPr>
        <w:ind w:left="360"/>
      </w:pPr>
      <w:r w:rsidRPr="00B31716">
        <w:rPr>
          <w:rFonts w:cs="Arial" w:hint="cs"/>
          <w:u w:val="dotted"/>
          <w:rtl/>
        </w:rPr>
        <w:t xml:space="preserve">ומה הדין אם </w:t>
      </w:r>
      <w:r>
        <w:rPr>
          <w:rFonts w:cs="Arial" w:hint="cs"/>
          <w:u w:val="dotted"/>
          <w:rtl/>
        </w:rPr>
        <w:t>אח"כ חזרה בה ואמרה שנאנסה</w:t>
      </w:r>
      <w:r w:rsidRPr="00B31716">
        <w:rPr>
          <w:rFonts w:cs="Arial" w:hint="cs"/>
          <w:u w:val="dotted"/>
          <w:rtl/>
        </w:rPr>
        <w:t>:</w:t>
      </w:r>
      <w:r>
        <w:rPr>
          <w:rFonts w:cs="Arial" w:hint="cs"/>
          <w:rtl/>
        </w:rPr>
        <w:t xml:space="preserve"> </w:t>
      </w:r>
      <w:r w:rsidRPr="00B31716">
        <w:rPr>
          <w:rFonts w:cs="Arial"/>
          <w:sz w:val="16"/>
          <w:szCs w:val="16"/>
          <w:rtl/>
        </w:rPr>
        <w:t>(</w:t>
      </w:r>
      <w:r w:rsidRPr="00B31716">
        <w:rPr>
          <w:rFonts w:cs="Arial" w:hint="cs"/>
          <w:sz w:val="16"/>
          <w:szCs w:val="16"/>
          <w:rtl/>
        </w:rPr>
        <w:t xml:space="preserve">דרכ"מ אות </w:t>
      </w:r>
      <w:r w:rsidRPr="00B31716">
        <w:rPr>
          <w:rFonts w:cs="Arial"/>
          <w:sz w:val="16"/>
          <w:szCs w:val="16"/>
          <w:rtl/>
        </w:rPr>
        <w:t>יג)</w:t>
      </w:r>
    </w:p>
    <w:p w14:paraId="0294420B" w14:textId="47CBF727" w:rsidR="00392DBB" w:rsidRPr="00E671AE" w:rsidRDefault="00392DBB" w:rsidP="009000E3">
      <w:pPr>
        <w:pStyle w:val="ab"/>
        <w:numPr>
          <w:ilvl w:val="0"/>
          <w:numId w:val="72"/>
        </w:numPr>
        <w:rPr>
          <w:rtl/>
        </w:rPr>
      </w:pPr>
      <w:r>
        <w:rPr>
          <w:rFonts w:cs="Arial" w:hint="cs"/>
          <w:rtl/>
        </w:rPr>
        <w:t xml:space="preserve">הה"מ </w:t>
      </w:r>
      <w:r w:rsidRPr="00E671AE">
        <w:rPr>
          <w:rFonts w:cs="Arial" w:hint="cs"/>
          <w:sz w:val="16"/>
          <w:szCs w:val="16"/>
          <w:rtl/>
        </w:rPr>
        <w:t>(</w:t>
      </w:r>
      <w:r w:rsidRPr="00E671AE">
        <w:rPr>
          <w:rFonts w:cs="Arial"/>
          <w:sz w:val="16"/>
          <w:szCs w:val="16"/>
          <w:rtl/>
        </w:rPr>
        <w:t xml:space="preserve">פכ"ד הי"ח) </w:t>
      </w:r>
      <w:r w:rsidRPr="00E069A0">
        <w:rPr>
          <w:rFonts w:cs="Arial"/>
          <w:rtl/>
        </w:rPr>
        <w:t>בשם תוס</w:t>
      </w:r>
      <w:r w:rsidR="004F2A52">
        <w:rPr>
          <w:rFonts w:cs="Arial" w:hint="cs"/>
          <w:rtl/>
        </w:rPr>
        <w:t>'</w:t>
      </w:r>
      <w:r>
        <w:rPr>
          <w:rFonts w:cs="Arial" w:hint="cs"/>
          <w:rtl/>
        </w:rPr>
        <w:t>-</w:t>
      </w:r>
      <w:r w:rsidRPr="00E069A0">
        <w:rPr>
          <w:rFonts w:cs="Arial"/>
          <w:rtl/>
        </w:rPr>
        <w:t xml:space="preserve"> א</w:t>
      </w:r>
      <w:r>
        <w:rPr>
          <w:rFonts w:cs="Arial" w:hint="cs"/>
          <w:rtl/>
        </w:rPr>
        <w:t xml:space="preserve">שת </w:t>
      </w:r>
      <w:r w:rsidRPr="00E069A0">
        <w:rPr>
          <w:rFonts w:cs="Arial"/>
          <w:rtl/>
        </w:rPr>
        <w:t>א</w:t>
      </w:r>
      <w:r>
        <w:rPr>
          <w:rFonts w:cs="Arial" w:hint="cs"/>
          <w:rtl/>
        </w:rPr>
        <w:t>יש</w:t>
      </w:r>
      <w:r w:rsidRPr="00E069A0">
        <w:rPr>
          <w:rFonts w:cs="Arial"/>
          <w:rtl/>
        </w:rPr>
        <w:t xml:space="preserve"> שאמרה טמאה אני לך</w:t>
      </w:r>
      <w:r>
        <w:rPr>
          <w:rFonts w:cs="Arial" w:hint="cs"/>
          <w:rtl/>
        </w:rPr>
        <w:t>,</w:t>
      </w:r>
      <w:r w:rsidRPr="00E069A0">
        <w:rPr>
          <w:rFonts w:cs="Arial"/>
          <w:rtl/>
        </w:rPr>
        <w:t xml:space="preserve"> והבעל אומר שמאמינה </w:t>
      </w:r>
      <w:r>
        <w:rPr>
          <w:rFonts w:cs="Arial" w:hint="cs"/>
          <w:rtl/>
        </w:rPr>
        <w:t xml:space="preserve">- </w:t>
      </w:r>
      <w:r w:rsidRPr="00E069A0">
        <w:rPr>
          <w:rFonts w:cs="Arial"/>
          <w:rtl/>
        </w:rPr>
        <w:t>אינה נאמנת לומר אחר כך שנאנסה</w:t>
      </w:r>
      <w:r>
        <w:rPr>
          <w:rFonts w:cs="Arial" w:hint="cs"/>
          <w:rtl/>
        </w:rPr>
        <w:t>,</w:t>
      </w:r>
      <w:r w:rsidRPr="00E069A0">
        <w:rPr>
          <w:rFonts w:cs="Arial"/>
          <w:rtl/>
        </w:rPr>
        <w:t xml:space="preserve"> שכבר שויה הבעל אנפשיה חתיכה דאיסורא. </w:t>
      </w:r>
    </w:p>
    <w:p w14:paraId="0CB65965" w14:textId="77777777" w:rsidR="00392DBB" w:rsidRDefault="00392DBB" w:rsidP="00392DBB">
      <w:pPr>
        <w:rPr>
          <w:rFonts w:cs="Arial"/>
          <w:rtl/>
        </w:rPr>
      </w:pPr>
      <w:r w:rsidRPr="00E671AE">
        <w:rPr>
          <w:rFonts w:cs="Arial" w:hint="cs"/>
          <w:u w:val="single"/>
          <w:rtl/>
        </w:rPr>
        <w:t>אשה שזינתה ב</w:t>
      </w:r>
      <w:r>
        <w:rPr>
          <w:rFonts w:cs="Arial" w:hint="cs"/>
          <w:u w:val="single"/>
          <w:rtl/>
        </w:rPr>
        <w:t>רצון ולא ידעה שיש איסור בדבר</w:t>
      </w:r>
      <w:r w:rsidRPr="00E671AE">
        <w:rPr>
          <w:rFonts w:cs="Arial" w:hint="cs"/>
          <w:u w:val="single"/>
          <w:rtl/>
        </w:rPr>
        <w:t>:</w:t>
      </w:r>
    </w:p>
    <w:p w14:paraId="4A90306A" w14:textId="77777777" w:rsidR="00392DBB" w:rsidRDefault="00392DBB" w:rsidP="009000E3">
      <w:pPr>
        <w:pStyle w:val="ab"/>
        <w:numPr>
          <w:ilvl w:val="0"/>
          <w:numId w:val="72"/>
        </w:numPr>
        <w:rPr>
          <w:rFonts w:cs="Arial"/>
        </w:rPr>
      </w:pPr>
      <w:r w:rsidRPr="00E671AE">
        <w:rPr>
          <w:rFonts w:cs="Arial" w:hint="cs"/>
          <w:rtl/>
        </w:rPr>
        <w:t xml:space="preserve">מהרי"ק </w:t>
      </w:r>
      <w:r w:rsidRPr="00E671AE">
        <w:rPr>
          <w:rFonts w:cs="Arial" w:hint="cs"/>
          <w:sz w:val="16"/>
          <w:szCs w:val="16"/>
          <w:rtl/>
        </w:rPr>
        <w:t>(</w:t>
      </w:r>
      <w:r w:rsidRPr="00E671AE">
        <w:rPr>
          <w:rFonts w:cs="Arial"/>
          <w:sz w:val="16"/>
          <w:szCs w:val="16"/>
          <w:rtl/>
        </w:rPr>
        <w:t>שורש קסח)</w:t>
      </w:r>
      <w:r w:rsidRPr="00E671AE">
        <w:rPr>
          <w:rFonts w:cs="Arial" w:hint="cs"/>
          <w:rtl/>
        </w:rPr>
        <w:t>-</w:t>
      </w:r>
      <w:r w:rsidRPr="00E671AE">
        <w:rPr>
          <w:rFonts w:cs="Arial"/>
          <w:rtl/>
        </w:rPr>
        <w:t xml:space="preserve"> אשה שזינתה ברצון והיא לא ידעה שיש איסור בדבר </w:t>
      </w:r>
      <w:r w:rsidRPr="00E671AE">
        <w:rPr>
          <w:rFonts w:cs="Arial" w:hint="cs"/>
          <w:rtl/>
        </w:rPr>
        <w:t xml:space="preserve">- </w:t>
      </w:r>
      <w:r w:rsidRPr="00E671AE">
        <w:rPr>
          <w:rFonts w:cs="Arial"/>
          <w:rtl/>
        </w:rPr>
        <w:t>אין לזו דין שוגגת להתירה לבעלה</w:t>
      </w:r>
      <w:r w:rsidRPr="00E671AE">
        <w:rPr>
          <w:rFonts w:cs="Arial" w:hint="cs"/>
          <w:rtl/>
        </w:rPr>
        <w:t>.</w:t>
      </w:r>
      <w:r w:rsidRPr="00E671AE">
        <w:rPr>
          <w:rFonts w:cs="Arial"/>
          <w:rtl/>
        </w:rPr>
        <w:t xml:space="preserve"> ומה שכתב הרמב"ם בפכ"ד מהלכות אישות (הי"ט) דאשה שזינתה תחת בעלה בשגגה או באונס שהיא מותרת לבעלה היינו כגון שהיא סבורה שהוא בעלה ונמצא שהוא אדם אחר</w:t>
      </w:r>
      <w:r>
        <w:rPr>
          <w:rStyle w:val="a7"/>
          <w:rFonts w:cs="Arial"/>
          <w:rtl/>
        </w:rPr>
        <w:footnoteReference w:id="2867"/>
      </w:r>
      <w:r w:rsidRPr="00E671AE">
        <w:rPr>
          <w:rFonts w:cs="Arial"/>
          <w:rtl/>
        </w:rPr>
        <w:t xml:space="preserve">. </w:t>
      </w:r>
    </w:p>
    <w:p w14:paraId="189E303D" w14:textId="77777777" w:rsidR="00392DBB" w:rsidRPr="00CA3D71" w:rsidRDefault="00392DBB" w:rsidP="00392DBB">
      <w:pPr>
        <w:rPr>
          <w:rFonts w:cs="Arial"/>
        </w:rPr>
      </w:pPr>
      <w:r w:rsidRPr="00E671AE">
        <w:rPr>
          <w:rFonts w:cs="Arial" w:hint="cs"/>
          <w:u w:val="single"/>
          <w:rtl/>
        </w:rPr>
        <w:t>אשה שזינתה ב</w:t>
      </w:r>
      <w:r>
        <w:rPr>
          <w:rFonts w:cs="Arial" w:hint="cs"/>
          <w:u w:val="single"/>
          <w:rtl/>
        </w:rPr>
        <w:t>שוגג, אבל הבועל היה מזיד</w:t>
      </w:r>
      <w:r>
        <w:rPr>
          <w:rFonts w:cs="Arial" w:hint="cs"/>
          <w:sz w:val="16"/>
          <w:szCs w:val="16"/>
          <w:u w:val="single"/>
          <w:rtl/>
        </w:rPr>
        <w:t xml:space="preserve"> (או להפך)</w:t>
      </w:r>
      <w:r w:rsidRPr="00E671AE">
        <w:rPr>
          <w:rFonts w:cs="Arial" w:hint="cs"/>
          <w:u w:val="single"/>
          <w:rtl/>
        </w:rPr>
        <w:t>:</w:t>
      </w:r>
    </w:p>
    <w:p w14:paraId="07AD4145" w14:textId="77777777" w:rsidR="00392DBB" w:rsidRPr="00E671AE" w:rsidRDefault="00392DBB" w:rsidP="009000E3">
      <w:pPr>
        <w:pStyle w:val="ab"/>
        <w:numPr>
          <w:ilvl w:val="0"/>
          <w:numId w:val="72"/>
        </w:numPr>
        <w:rPr>
          <w:rFonts w:cs="Arial"/>
          <w:rtl/>
        </w:rPr>
      </w:pPr>
      <w:r>
        <w:rPr>
          <w:rFonts w:cs="Arial" w:hint="cs"/>
          <w:rtl/>
        </w:rPr>
        <w:t>רי"ו</w:t>
      </w:r>
      <w:r w:rsidRPr="007433D7">
        <w:rPr>
          <w:rFonts w:cs="Arial"/>
          <w:sz w:val="16"/>
          <w:szCs w:val="16"/>
          <w:rtl/>
        </w:rPr>
        <w:t xml:space="preserve"> (</w:t>
      </w:r>
      <w:r w:rsidRPr="00CA3D71">
        <w:rPr>
          <w:rFonts w:cs="Arial"/>
          <w:sz w:val="16"/>
          <w:szCs w:val="16"/>
          <w:rtl/>
        </w:rPr>
        <w:t xml:space="preserve">תא"ו נכ"ג ח"ב קצד </w:t>
      </w:r>
      <w:r w:rsidRPr="007433D7">
        <w:rPr>
          <w:rFonts w:cs="Arial"/>
          <w:sz w:val="16"/>
          <w:szCs w:val="16"/>
          <w:rtl/>
        </w:rPr>
        <w:t>שם:)</w:t>
      </w:r>
      <w:r>
        <w:rPr>
          <w:rFonts w:cs="Arial" w:hint="cs"/>
          <w:rtl/>
        </w:rPr>
        <w:t>-</w:t>
      </w:r>
      <w:r w:rsidRPr="00E671AE">
        <w:rPr>
          <w:rFonts w:cs="Arial"/>
          <w:rtl/>
        </w:rPr>
        <w:t xml:space="preserve"> אשת ישראל שנאנסה מותרת</w:t>
      </w:r>
      <w:r>
        <w:rPr>
          <w:rFonts w:cs="Arial" w:hint="cs"/>
          <w:rtl/>
        </w:rPr>
        <w:t>.</w:t>
      </w:r>
      <w:r w:rsidRPr="00E671AE">
        <w:rPr>
          <w:rFonts w:cs="Arial"/>
          <w:rtl/>
        </w:rPr>
        <w:t xml:space="preserve"> ומוכח בפרק ד' אחין דהוא הדין דשוגג</w:t>
      </w:r>
      <w:r>
        <w:rPr>
          <w:rFonts w:cs="Arial" w:hint="cs"/>
          <w:rtl/>
        </w:rPr>
        <w:t>,</w:t>
      </w:r>
      <w:r w:rsidRPr="00E671AE">
        <w:rPr>
          <w:rFonts w:cs="Arial"/>
          <w:rtl/>
        </w:rPr>
        <w:t xml:space="preserve"> ואפילו היא שוגגת והוא מזיד</w:t>
      </w:r>
      <w:r>
        <w:rPr>
          <w:rFonts w:cs="Arial" w:hint="cs"/>
          <w:rtl/>
        </w:rPr>
        <w:t>.</w:t>
      </w:r>
      <w:r w:rsidRPr="00E671AE">
        <w:rPr>
          <w:rFonts w:cs="Arial"/>
          <w:rtl/>
        </w:rPr>
        <w:t xml:space="preserve"> אבל הוא שוגג והיא מזידה אסורה. </w:t>
      </w:r>
    </w:p>
    <w:p w14:paraId="1CADB4E2" w14:textId="77777777" w:rsidR="00392DBB" w:rsidRPr="00FA732A" w:rsidRDefault="00392DBB" w:rsidP="00392DBB">
      <w:pPr>
        <w:rPr>
          <w:rFonts w:cs="Arial"/>
          <w:sz w:val="16"/>
          <w:szCs w:val="16"/>
          <w:u w:val="single"/>
          <w:rtl/>
        </w:rPr>
      </w:pPr>
      <w:r w:rsidRPr="00FA732A">
        <w:rPr>
          <w:rFonts w:cs="Arial"/>
          <w:u w:val="single"/>
          <w:rtl/>
        </w:rPr>
        <w:t>אשה שהלכה בדרך עם שני אנשים ובאה ואמרה שאחד מהם אנסה</w:t>
      </w:r>
      <w:r w:rsidRPr="00FA732A">
        <w:rPr>
          <w:rFonts w:cs="Arial" w:hint="cs"/>
          <w:u w:val="single"/>
          <w:rtl/>
        </w:rPr>
        <w:t>:</w:t>
      </w:r>
    </w:p>
    <w:p w14:paraId="4F00FA26" w14:textId="77777777" w:rsidR="00392DBB" w:rsidRDefault="00392DBB" w:rsidP="009000E3">
      <w:pPr>
        <w:pStyle w:val="ab"/>
        <w:numPr>
          <w:ilvl w:val="0"/>
          <w:numId w:val="72"/>
        </w:numPr>
      </w:pPr>
      <w:r w:rsidRPr="00E069A0">
        <w:rPr>
          <w:rFonts w:cs="Arial"/>
          <w:rtl/>
        </w:rPr>
        <w:t>מרדכי</w:t>
      </w:r>
      <w:r w:rsidRPr="00FA732A">
        <w:rPr>
          <w:rFonts w:cs="Arial"/>
          <w:sz w:val="16"/>
          <w:szCs w:val="16"/>
          <w:rtl/>
        </w:rPr>
        <w:t xml:space="preserve"> </w:t>
      </w:r>
      <w:r w:rsidRPr="00FA732A">
        <w:rPr>
          <w:rFonts w:cs="Arial" w:hint="cs"/>
          <w:sz w:val="16"/>
          <w:szCs w:val="16"/>
          <w:rtl/>
        </w:rPr>
        <w:t>(</w:t>
      </w:r>
      <w:r w:rsidRPr="00FA732A">
        <w:rPr>
          <w:rFonts w:cs="Arial"/>
          <w:sz w:val="16"/>
          <w:szCs w:val="16"/>
          <w:rtl/>
        </w:rPr>
        <w:t>פ</w:t>
      </w:r>
      <w:r w:rsidRPr="00FA732A">
        <w:rPr>
          <w:rFonts w:cs="Arial" w:hint="cs"/>
          <w:sz w:val="16"/>
          <w:szCs w:val="16"/>
          <w:rtl/>
        </w:rPr>
        <w:t>"ב</w:t>
      </w:r>
      <w:r w:rsidRPr="00FA732A">
        <w:rPr>
          <w:rFonts w:cs="Arial"/>
          <w:sz w:val="16"/>
          <w:szCs w:val="16"/>
          <w:rtl/>
        </w:rPr>
        <w:t xml:space="preserve"> דכתובות סי' קמז)</w:t>
      </w:r>
      <w:r>
        <w:rPr>
          <w:rFonts w:cs="Arial" w:hint="cs"/>
          <w:rtl/>
        </w:rPr>
        <w:t>-</w:t>
      </w:r>
      <w:r w:rsidRPr="00E069A0">
        <w:rPr>
          <w:rFonts w:cs="Arial"/>
          <w:rtl/>
        </w:rPr>
        <w:t xml:space="preserve"> מעשה באשה אחת שהלכה לדרך עם שני אנשים יהודים</w:t>
      </w:r>
      <w:r>
        <w:rPr>
          <w:rFonts w:cs="Arial" w:hint="cs"/>
          <w:rtl/>
        </w:rPr>
        <w:t>,</w:t>
      </w:r>
      <w:r w:rsidRPr="00E069A0">
        <w:rPr>
          <w:rFonts w:cs="Arial"/>
          <w:rtl/>
        </w:rPr>
        <w:t xml:space="preserve"> וכשבאו ביער ישבו לנוח ובא אחד ותקפה</w:t>
      </w:r>
      <w:r>
        <w:rPr>
          <w:rFonts w:cs="Arial" w:hint="cs"/>
          <w:rtl/>
        </w:rPr>
        <w:t>,</w:t>
      </w:r>
      <w:r w:rsidRPr="00E069A0">
        <w:rPr>
          <w:rFonts w:cs="Arial"/>
          <w:rtl/>
        </w:rPr>
        <w:t xml:space="preserve"> והשני טמאה</w:t>
      </w:r>
      <w:r>
        <w:rPr>
          <w:rFonts w:cs="Arial" w:hint="cs"/>
          <w:rtl/>
        </w:rPr>
        <w:t>.</w:t>
      </w:r>
      <w:r w:rsidRPr="00E069A0">
        <w:rPr>
          <w:rFonts w:cs="Arial"/>
          <w:rtl/>
        </w:rPr>
        <w:t xml:space="preserve"> וצעקה ואין מושיע לה</w:t>
      </w:r>
      <w:r>
        <w:rPr>
          <w:rFonts w:cs="Arial" w:hint="cs"/>
          <w:rtl/>
        </w:rPr>
        <w:t>,</w:t>
      </w:r>
      <w:r w:rsidRPr="00E069A0">
        <w:rPr>
          <w:rFonts w:cs="Arial"/>
          <w:rtl/>
        </w:rPr>
        <w:t xml:space="preserve"> ואין עדים</w:t>
      </w:r>
      <w:r>
        <w:rPr>
          <w:rFonts w:cs="Arial" w:hint="cs"/>
          <w:rtl/>
        </w:rPr>
        <w:t>.</w:t>
      </w:r>
      <w:r w:rsidRPr="00E069A0">
        <w:rPr>
          <w:rFonts w:cs="Arial"/>
          <w:rtl/>
        </w:rPr>
        <w:t xml:space="preserve"> ובאת לפני רבותינו וספרה המאורע ואמרה נאנסתי</w:t>
      </w:r>
      <w:r>
        <w:rPr>
          <w:rFonts w:cs="Arial" w:hint="cs"/>
          <w:rtl/>
        </w:rPr>
        <w:t xml:space="preserve"> -</w:t>
      </w:r>
      <w:r w:rsidRPr="00E069A0">
        <w:rPr>
          <w:rFonts w:cs="Arial"/>
          <w:rtl/>
        </w:rPr>
        <w:t xml:space="preserve"> והתירוה לבעל במגו דאמרה לא נבעלתי</w:t>
      </w:r>
      <w:r>
        <w:rPr>
          <w:rFonts w:cs="Arial" w:hint="cs"/>
          <w:rtl/>
        </w:rPr>
        <w:t>.</w:t>
      </w:r>
      <w:r w:rsidRPr="00E069A0">
        <w:rPr>
          <w:rFonts w:cs="Arial"/>
          <w:rtl/>
        </w:rPr>
        <w:t xml:space="preserve"> וכן פסק שם ראבי"ה</w:t>
      </w:r>
      <w:r>
        <w:rPr>
          <w:rFonts w:cs="Arial" w:hint="cs"/>
          <w:rtl/>
        </w:rPr>
        <w:t>.</w:t>
      </w:r>
      <w:r w:rsidRPr="00E069A0">
        <w:rPr>
          <w:rFonts w:cs="Arial"/>
          <w:rtl/>
        </w:rPr>
        <w:t xml:space="preserve"> אמנם רבינו שמחה אסרה</w:t>
      </w:r>
      <w:r>
        <w:rPr>
          <w:rFonts w:cs="Arial" w:hint="cs"/>
          <w:rtl/>
        </w:rPr>
        <w:t>,</w:t>
      </w:r>
      <w:r w:rsidRPr="00E069A0">
        <w:rPr>
          <w:rFonts w:cs="Arial"/>
          <w:rtl/>
        </w:rPr>
        <w:t xml:space="preserve"> ואמר דאבדה מגו שלה הואיל ונתייחדה עמהן</w:t>
      </w:r>
      <w:r>
        <w:rPr>
          <w:rFonts w:cs="Arial" w:hint="cs"/>
          <w:rtl/>
        </w:rPr>
        <w:t>.</w:t>
      </w:r>
    </w:p>
    <w:p w14:paraId="7389588C" w14:textId="77777777" w:rsidR="00392DBB" w:rsidRPr="008F1D9A" w:rsidRDefault="00392DBB" w:rsidP="00392DBB">
      <w:r w:rsidRPr="00FF1FB8">
        <w:rPr>
          <w:rFonts w:cs="Arial"/>
          <w:u w:val="single"/>
          <w:rtl/>
        </w:rPr>
        <w:t>עד אחד שאומר ל</w:t>
      </w:r>
      <w:r w:rsidRPr="00FF1FB8">
        <w:rPr>
          <w:rFonts w:cs="Arial" w:hint="cs"/>
          <w:u w:val="single"/>
          <w:rtl/>
        </w:rPr>
        <w:t>בעל</w:t>
      </w:r>
      <w:r w:rsidRPr="00FF1FB8">
        <w:rPr>
          <w:rFonts w:cs="Arial"/>
          <w:u w:val="single"/>
          <w:rtl/>
        </w:rPr>
        <w:t xml:space="preserve"> </w:t>
      </w:r>
      <w:r w:rsidRPr="00FF1FB8">
        <w:rPr>
          <w:rFonts w:cs="Arial" w:hint="cs"/>
          <w:u w:val="single"/>
          <w:rtl/>
        </w:rPr>
        <w:t>'</w:t>
      </w:r>
      <w:r w:rsidRPr="00FF1FB8">
        <w:rPr>
          <w:rFonts w:cs="Arial"/>
          <w:u w:val="single"/>
          <w:rtl/>
        </w:rPr>
        <w:t>אשתך זנתה בפניך</w:t>
      </w:r>
      <w:r w:rsidRPr="00FF1FB8">
        <w:rPr>
          <w:rFonts w:cs="Arial" w:hint="cs"/>
          <w:u w:val="single"/>
          <w:rtl/>
        </w:rPr>
        <w:t>',</w:t>
      </w:r>
      <w:r w:rsidRPr="00FF1FB8">
        <w:rPr>
          <w:rFonts w:cs="Arial"/>
          <w:u w:val="single"/>
          <w:rtl/>
        </w:rPr>
        <w:t xml:space="preserve"> ושתק </w:t>
      </w:r>
      <w:r w:rsidRPr="00FF1FB8">
        <w:rPr>
          <w:rFonts w:cs="Arial" w:hint="cs"/>
          <w:u w:val="single"/>
          <w:rtl/>
        </w:rPr>
        <w:t>הבעל:</w:t>
      </w:r>
      <w:r>
        <w:rPr>
          <w:rFonts w:cs="Arial" w:hint="cs"/>
          <w:rtl/>
        </w:rPr>
        <w:t xml:space="preserve"> </w:t>
      </w:r>
      <w:r w:rsidRPr="00FF1FB8">
        <w:rPr>
          <w:rFonts w:cs="Arial" w:hint="cs"/>
          <w:sz w:val="16"/>
          <w:szCs w:val="16"/>
          <w:rtl/>
        </w:rPr>
        <w:t>(דרכ"מ אות יח)</w:t>
      </w:r>
    </w:p>
    <w:p w14:paraId="7716DD68" w14:textId="75FAE40F" w:rsidR="00392DBB" w:rsidRDefault="00392DBB" w:rsidP="009000E3">
      <w:pPr>
        <w:pStyle w:val="ab"/>
        <w:numPr>
          <w:ilvl w:val="0"/>
          <w:numId w:val="72"/>
        </w:numPr>
      </w:pPr>
      <w:r>
        <w:rPr>
          <w:rFonts w:cs="Arial" w:hint="cs"/>
          <w:rtl/>
        </w:rPr>
        <w:t>רי"ו</w:t>
      </w:r>
      <w:r w:rsidRPr="008F1D9A">
        <w:rPr>
          <w:rFonts w:cs="Arial" w:hint="cs"/>
          <w:sz w:val="16"/>
          <w:szCs w:val="16"/>
          <w:rtl/>
        </w:rPr>
        <w:t xml:space="preserve"> (תא"ו</w:t>
      </w:r>
      <w:r w:rsidRPr="008F1D9A">
        <w:rPr>
          <w:rFonts w:cs="Arial"/>
          <w:sz w:val="16"/>
          <w:szCs w:val="16"/>
          <w:rtl/>
        </w:rPr>
        <w:t xml:space="preserve"> נכ"ג ח"ב קצד א)</w:t>
      </w:r>
      <w:r>
        <w:rPr>
          <w:rFonts w:cs="Arial" w:hint="cs"/>
          <w:rtl/>
        </w:rPr>
        <w:t>-</w:t>
      </w:r>
      <w:r w:rsidRPr="00E069A0">
        <w:rPr>
          <w:rFonts w:cs="Arial"/>
          <w:rtl/>
        </w:rPr>
        <w:t xml:space="preserve"> עד אחד שאומר לו אשתך זנתה בפניך</w:t>
      </w:r>
      <w:r>
        <w:rPr>
          <w:rFonts w:cs="Arial" w:hint="cs"/>
          <w:rtl/>
        </w:rPr>
        <w:t>,</w:t>
      </w:r>
      <w:r w:rsidRPr="00E069A0">
        <w:rPr>
          <w:rFonts w:cs="Arial"/>
          <w:rtl/>
        </w:rPr>
        <w:t xml:space="preserve"> ושתק </w:t>
      </w:r>
      <w:r>
        <w:rPr>
          <w:rFonts w:cs="Arial" w:hint="cs"/>
          <w:rtl/>
        </w:rPr>
        <w:t xml:space="preserve">- </w:t>
      </w:r>
      <w:r w:rsidRPr="00E069A0">
        <w:rPr>
          <w:rFonts w:cs="Arial"/>
          <w:rtl/>
        </w:rPr>
        <w:t>העד נאמן</w:t>
      </w:r>
      <w:r>
        <w:rPr>
          <w:rFonts w:cs="Arial" w:hint="cs"/>
          <w:rtl/>
        </w:rPr>
        <w:t>.</w:t>
      </w:r>
      <w:r w:rsidRPr="00E069A0">
        <w:rPr>
          <w:rFonts w:cs="Arial"/>
          <w:rtl/>
        </w:rPr>
        <w:t xml:space="preserve"> זולתי אם חזר ואמר </w:t>
      </w:r>
      <w:r>
        <w:rPr>
          <w:rFonts w:cs="Arial" w:hint="cs"/>
          <w:rtl/>
        </w:rPr>
        <w:t>'</w:t>
      </w:r>
      <w:r w:rsidRPr="00E069A0">
        <w:rPr>
          <w:rFonts w:cs="Arial"/>
          <w:rtl/>
        </w:rPr>
        <w:t>לא שתקתי אלא שלא חששתי לדברי העד</w:t>
      </w:r>
      <w:r>
        <w:rPr>
          <w:rFonts w:cs="Arial" w:hint="cs"/>
          <w:rtl/>
        </w:rPr>
        <w:t>'.</w:t>
      </w:r>
      <w:r w:rsidRPr="00E069A0">
        <w:rPr>
          <w:rFonts w:cs="Arial"/>
          <w:rtl/>
        </w:rPr>
        <w:t xml:space="preserve"> מ</w:t>
      </w:r>
      <w:r w:rsidR="00BF7DB3">
        <w:rPr>
          <w:rFonts w:cs="Arial" w:hint="cs"/>
          <w:rtl/>
        </w:rPr>
        <w:t>ש</w:t>
      </w:r>
      <w:r w:rsidRPr="00E069A0">
        <w:rPr>
          <w:rFonts w:cs="Arial"/>
          <w:rtl/>
        </w:rPr>
        <w:t>א</w:t>
      </w:r>
      <w:r w:rsidR="00BF7DB3">
        <w:rPr>
          <w:rFonts w:cs="Arial" w:hint="cs"/>
          <w:rtl/>
        </w:rPr>
        <w:t>"</w:t>
      </w:r>
      <w:r w:rsidRPr="00E069A0">
        <w:rPr>
          <w:rFonts w:cs="Arial"/>
          <w:rtl/>
        </w:rPr>
        <w:t>כ בשאר איסורים.</w:t>
      </w:r>
    </w:p>
    <w:p w14:paraId="4338C402" w14:textId="77777777" w:rsidR="00392DBB" w:rsidRPr="009F38AA" w:rsidRDefault="00392DBB" w:rsidP="00392DBB">
      <w:r>
        <w:rPr>
          <w:rFonts w:cs="Arial" w:hint="cs"/>
          <w:u w:val="single"/>
          <w:rtl/>
        </w:rPr>
        <w:t>הנחשד מעיד שזינתה עמו, ועד אחד מעיד שהודית בפניו שזינתה</w:t>
      </w:r>
      <w:r w:rsidRPr="00FF1FB8">
        <w:rPr>
          <w:rFonts w:cs="Arial" w:hint="cs"/>
          <w:u w:val="single"/>
          <w:rtl/>
        </w:rPr>
        <w:t>:</w:t>
      </w:r>
      <w:r>
        <w:rPr>
          <w:rFonts w:cs="Arial" w:hint="cs"/>
          <w:rtl/>
        </w:rPr>
        <w:t xml:space="preserve"> </w:t>
      </w:r>
      <w:r w:rsidRPr="00FF1FB8">
        <w:rPr>
          <w:rFonts w:cs="Arial" w:hint="cs"/>
          <w:sz w:val="16"/>
          <w:szCs w:val="16"/>
          <w:rtl/>
        </w:rPr>
        <w:t>(דרכ"מ אות יח)</w:t>
      </w:r>
    </w:p>
    <w:p w14:paraId="73C469D9" w14:textId="77777777" w:rsidR="00392DBB" w:rsidRPr="00D22AF1" w:rsidRDefault="00392DBB" w:rsidP="009000E3">
      <w:pPr>
        <w:pStyle w:val="ab"/>
        <w:numPr>
          <w:ilvl w:val="0"/>
          <w:numId w:val="72"/>
        </w:numPr>
      </w:pPr>
      <w:r>
        <w:rPr>
          <w:rFonts w:cs="Arial" w:hint="cs"/>
          <w:rtl/>
        </w:rPr>
        <w:t xml:space="preserve">תרוה"ד </w:t>
      </w:r>
      <w:r w:rsidRPr="00FF1FB8">
        <w:rPr>
          <w:rFonts w:cs="Arial" w:hint="cs"/>
          <w:sz w:val="16"/>
          <w:szCs w:val="16"/>
          <w:rtl/>
        </w:rPr>
        <w:t>(פסקים סי' רכב)</w:t>
      </w:r>
      <w:r>
        <w:rPr>
          <w:rFonts w:cs="Arial" w:hint="cs"/>
          <w:rtl/>
        </w:rPr>
        <w:t xml:space="preserve">- </w:t>
      </w:r>
      <w:r w:rsidRPr="00FF1FB8">
        <w:rPr>
          <w:rFonts w:cs="Arial"/>
          <w:rtl/>
        </w:rPr>
        <w:t>אם הנחשד אומר שזנתה עמו</w:t>
      </w:r>
      <w:r>
        <w:rPr>
          <w:rStyle w:val="a7"/>
          <w:rFonts w:cs="Arial"/>
          <w:rtl/>
        </w:rPr>
        <w:footnoteReference w:id="2868"/>
      </w:r>
      <w:r w:rsidRPr="00FF1FB8">
        <w:rPr>
          <w:rFonts w:cs="Arial" w:hint="cs"/>
          <w:rtl/>
        </w:rPr>
        <w:t>,</w:t>
      </w:r>
      <w:r w:rsidRPr="00FF1FB8">
        <w:rPr>
          <w:rFonts w:cs="Arial"/>
          <w:rtl/>
        </w:rPr>
        <w:t xml:space="preserve"> והיא הודית לדבריו לפני איש אחד שנטמאה</w:t>
      </w:r>
      <w:r w:rsidRPr="00FF1FB8">
        <w:rPr>
          <w:rFonts w:cs="Arial" w:hint="cs"/>
          <w:rtl/>
        </w:rPr>
        <w:t xml:space="preserve"> -</w:t>
      </w:r>
      <w:r w:rsidRPr="00FF1FB8">
        <w:rPr>
          <w:rFonts w:cs="Arial"/>
          <w:rtl/>
        </w:rPr>
        <w:t xml:space="preserve"> אותן שנים מצטרפין ואסורה לבעלה</w:t>
      </w:r>
      <w:r>
        <w:rPr>
          <w:rFonts w:cs="Arial" w:hint="cs"/>
          <w:rtl/>
        </w:rPr>
        <w:t>.</w:t>
      </w:r>
      <w:r w:rsidRPr="00AE454B">
        <w:rPr>
          <w:rFonts w:hint="cs"/>
          <w:color w:val="00B0F0"/>
          <w:rtl/>
        </w:rPr>
        <w:t xml:space="preserve"> (וכ"פ הרמ"א)</w:t>
      </w:r>
    </w:p>
    <w:p w14:paraId="511DA3F7" w14:textId="77777777" w:rsidR="00392DBB" w:rsidRPr="00FF1FB8" w:rsidRDefault="00392DBB" w:rsidP="00392DBB">
      <w:r w:rsidRPr="00D22AF1">
        <w:rPr>
          <w:rFonts w:cs="Arial"/>
          <w:u w:val="single"/>
          <w:rtl/>
        </w:rPr>
        <w:t>אשה שאמרה לפני אחד שזנתה ואח"כ לפני בעלה אומרת שהוא שקר</w:t>
      </w:r>
      <w:r>
        <w:rPr>
          <w:rFonts w:cs="Arial" w:hint="cs"/>
          <w:u w:val="single"/>
          <w:rtl/>
        </w:rPr>
        <w:t>:</w:t>
      </w:r>
      <w:r>
        <w:rPr>
          <w:rFonts w:cs="Arial" w:hint="cs"/>
          <w:rtl/>
        </w:rPr>
        <w:t xml:space="preserve"> </w:t>
      </w:r>
      <w:r w:rsidRPr="00FF1FB8">
        <w:rPr>
          <w:rFonts w:cs="Arial" w:hint="cs"/>
          <w:sz w:val="16"/>
          <w:szCs w:val="16"/>
          <w:rtl/>
        </w:rPr>
        <w:t>(דרכ"מ אות יח)</w:t>
      </w:r>
    </w:p>
    <w:p w14:paraId="79281790" w14:textId="5289F97E" w:rsidR="00392DBB" w:rsidRDefault="00392DBB" w:rsidP="009000E3">
      <w:pPr>
        <w:pStyle w:val="ab"/>
        <w:numPr>
          <w:ilvl w:val="0"/>
          <w:numId w:val="72"/>
        </w:numPr>
      </w:pPr>
      <w:r>
        <w:rPr>
          <w:rFonts w:cs="Arial" w:hint="cs"/>
          <w:rtl/>
        </w:rPr>
        <w:t xml:space="preserve">תרוה"ד </w:t>
      </w:r>
      <w:r w:rsidRPr="00FF1FB8">
        <w:rPr>
          <w:rFonts w:cs="Arial" w:hint="cs"/>
          <w:sz w:val="16"/>
          <w:szCs w:val="16"/>
          <w:rtl/>
        </w:rPr>
        <w:t>(פסקים סי' רכב)</w:t>
      </w:r>
      <w:r>
        <w:rPr>
          <w:rFonts w:cs="Arial" w:hint="cs"/>
          <w:rtl/>
        </w:rPr>
        <w:t xml:space="preserve">- </w:t>
      </w:r>
      <w:r w:rsidRPr="00FF1FB8">
        <w:rPr>
          <w:rFonts w:cs="Arial"/>
          <w:rtl/>
        </w:rPr>
        <w:t>אשה שאמרה לפני אחד שזנתה</w:t>
      </w:r>
      <w:r w:rsidR="005C6118">
        <w:rPr>
          <w:rFonts w:cs="Arial" w:hint="cs"/>
          <w:rtl/>
        </w:rPr>
        <w:t>,</w:t>
      </w:r>
      <w:r w:rsidRPr="00FF1FB8">
        <w:rPr>
          <w:rFonts w:cs="Arial"/>
          <w:rtl/>
        </w:rPr>
        <w:t xml:space="preserve"> ואח"כ לפני בעלה אומרת שהוא שקר </w:t>
      </w:r>
      <w:r>
        <w:rPr>
          <w:rFonts w:cs="Arial" w:hint="cs"/>
          <w:rtl/>
        </w:rPr>
        <w:t xml:space="preserve">- </w:t>
      </w:r>
      <w:r w:rsidRPr="00FF1FB8">
        <w:rPr>
          <w:rFonts w:cs="Arial"/>
          <w:rtl/>
        </w:rPr>
        <w:t>אינו כלום</w:t>
      </w:r>
      <w:r>
        <w:rPr>
          <w:rFonts w:cs="Arial" w:hint="cs"/>
          <w:rtl/>
        </w:rPr>
        <w:t>,</w:t>
      </w:r>
      <w:r w:rsidRPr="00FF1FB8">
        <w:rPr>
          <w:rFonts w:cs="Arial"/>
          <w:rtl/>
        </w:rPr>
        <w:t xml:space="preserve"> דחיישינן שמא תחלה כשהודית עיניה נתנה באחר</w:t>
      </w:r>
      <w:r>
        <w:rPr>
          <w:rStyle w:val="a7"/>
          <w:rFonts w:cs="Arial"/>
          <w:rtl/>
        </w:rPr>
        <w:footnoteReference w:id="2869"/>
      </w:r>
      <w:r>
        <w:rPr>
          <w:rFonts w:cs="Arial" w:hint="cs"/>
          <w:rtl/>
        </w:rPr>
        <w:t>.</w:t>
      </w:r>
      <w:r w:rsidRPr="00FF1FB8">
        <w:rPr>
          <w:rFonts w:cs="Arial"/>
          <w:rtl/>
        </w:rPr>
        <w:t xml:space="preserve"> </w:t>
      </w:r>
      <w:r w:rsidRPr="00AE454B">
        <w:rPr>
          <w:rFonts w:hint="cs"/>
          <w:color w:val="00B0F0"/>
          <w:rtl/>
        </w:rPr>
        <w:t>(וכ"פ הרמ"א)</w:t>
      </w:r>
    </w:p>
    <w:p w14:paraId="121CF18A" w14:textId="1799794B" w:rsidR="00392DBB" w:rsidRPr="00DC3FF3" w:rsidRDefault="00392DBB" w:rsidP="00392DBB">
      <w:r w:rsidRPr="00DC3FF3">
        <w:rPr>
          <w:rFonts w:cs="Arial"/>
          <w:u w:val="single"/>
          <w:rtl/>
        </w:rPr>
        <w:t xml:space="preserve">אשה שאמרה </w:t>
      </w:r>
      <w:r>
        <w:rPr>
          <w:rFonts w:cs="Arial" w:hint="cs"/>
          <w:u w:val="single"/>
          <w:rtl/>
        </w:rPr>
        <w:t>שזנתה, ועמד בעלה וגיר</w:t>
      </w:r>
      <w:r w:rsidR="00A70FB2">
        <w:rPr>
          <w:rFonts w:cs="Arial" w:hint="cs"/>
          <w:u w:val="single"/>
          <w:rtl/>
        </w:rPr>
        <w:t>ש</w:t>
      </w:r>
      <w:r>
        <w:rPr>
          <w:rFonts w:cs="Arial" w:hint="cs"/>
          <w:u w:val="single"/>
          <w:rtl/>
        </w:rPr>
        <w:t xml:space="preserve">ה אע"ג שאינה נאמנת </w:t>
      </w:r>
      <w:r w:rsidR="00F97626">
        <w:rPr>
          <w:rFonts w:cs="Arial"/>
          <w:u w:val="single"/>
          <w:rtl/>
        </w:rPr>
        <w:t>-</w:t>
      </w:r>
      <w:r>
        <w:rPr>
          <w:rFonts w:cs="Arial" w:hint="cs"/>
          <w:u w:val="single"/>
          <w:rtl/>
        </w:rPr>
        <w:t xml:space="preserve"> האם יכול אח"כ להחזירה:</w:t>
      </w:r>
      <w:r w:rsidRPr="00DC3FF3">
        <w:rPr>
          <w:rFonts w:cs="Arial" w:hint="cs"/>
          <w:rtl/>
        </w:rPr>
        <w:t xml:space="preserve"> </w:t>
      </w:r>
      <w:r w:rsidRPr="00DC3FF3">
        <w:rPr>
          <w:rFonts w:cs="Arial" w:hint="cs"/>
          <w:sz w:val="16"/>
          <w:szCs w:val="16"/>
          <w:rtl/>
        </w:rPr>
        <w:t>(דרכ"מ אות יח)</w:t>
      </w:r>
    </w:p>
    <w:p w14:paraId="7B6B0948" w14:textId="069859BC" w:rsidR="00392DBB" w:rsidRDefault="00392DBB" w:rsidP="009000E3">
      <w:pPr>
        <w:pStyle w:val="ab"/>
        <w:numPr>
          <w:ilvl w:val="0"/>
          <w:numId w:val="72"/>
        </w:numPr>
        <w:rPr>
          <w:rtl/>
        </w:rPr>
      </w:pPr>
      <w:r w:rsidRPr="00FF1FB8">
        <w:rPr>
          <w:rFonts w:cs="Arial"/>
          <w:rtl/>
        </w:rPr>
        <w:t xml:space="preserve">מהר"ם פאדו"ה </w:t>
      </w:r>
      <w:r w:rsidRPr="00DC3FF3">
        <w:rPr>
          <w:rFonts w:cs="Arial" w:hint="cs"/>
          <w:sz w:val="16"/>
          <w:szCs w:val="16"/>
          <w:rtl/>
        </w:rPr>
        <w:t>(</w:t>
      </w:r>
      <w:r w:rsidRPr="00DC3FF3">
        <w:rPr>
          <w:rFonts w:cs="Arial"/>
          <w:sz w:val="16"/>
          <w:szCs w:val="16"/>
          <w:rtl/>
        </w:rPr>
        <w:t>סי</w:t>
      </w:r>
      <w:r w:rsidRPr="00DC3FF3">
        <w:rPr>
          <w:rFonts w:cs="Arial" w:hint="cs"/>
          <w:sz w:val="16"/>
          <w:szCs w:val="16"/>
          <w:rtl/>
        </w:rPr>
        <w:t>'</w:t>
      </w:r>
      <w:r w:rsidRPr="00DC3FF3">
        <w:rPr>
          <w:rFonts w:cs="Arial"/>
          <w:sz w:val="16"/>
          <w:szCs w:val="16"/>
          <w:rtl/>
        </w:rPr>
        <w:t xml:space="preserve"> לד</w:t>
      </w:r>
      <w:r w:rsidRPr="00DC3FF3">
        <w:rPr>
          <w:rFonts w:cs="Arial" w:hint="cs"/>
          <w:sz w:val="16"/>
          <w:szCs w:val="16"/>
          <w:rtl/>
        </w:rPr>
        <w:t>)</w:t>
      </w:r>
      <w:r>
        <w:rPr>
          <w:rFonts w:cs="Arial" w:hint="cs"/>
          <w:rtl/>
        </w:rPr>
        <w:t xml:space="preserve">- </w:t>
      </w:r>
      <w:r w:rsidRPr="00FF1FB8">
        <w:rPr>
          <w:rFonts w:cs="Arial"/>
          <w:rtl/>
        </w:rPr>
        <w:t>אשה שאמרה שזנתה</w:t>
      </w:r>
      <w:r w:rsidR="00A70FB2">
        <w:rPr>
          <w:rFonts w:cs="Arial" w:hint="cs"/>
          <w:rtl/>
        </w:rPr>
        <w:t>,</w:t>
      </w:r>
      <w:r w:rsidRPr="00FF1FB8">
        <w:rPr>
          <w:rFonts w:cs="Arial"/>
          <w:rtl/>
        </w:rPr>
        <w:t xml:space="preserve"> אע</w:t>
      </w:r>
      <w:r w:rsidR="00A70FB2">
        <w:rPr>
          <w:rFonts w:cs="Arial" w:hint="cs"/>
          <w:rtl/>
        </w:rPr>
        <w:t>"</w:t>
      </w:r>
      <w:r w:rsidRPr="00FF1FB8">
        <w:rPr>
          <w:rFonts w:cs="Arial"/>
          <w:rtl/>
        </w:rPr>
        <w:t xml:space="preserve">ג דאינה נאמנת אם עמד בעלה וגירשה ועומדת בדבריה </w:t>
      </w:r>
      <w:r w:rsidR="00A70FB2">
        <w:rPr>
          <w:rFonts w:cs="Arial" w:hint="cs"/>
          <w:rtl/>
        </w:rPr>
        <w:t xml:space="preserve">- </w:t>
      </w:r>
      <w:r w:rsidRPr="00FF1FB8">
        <w:rPr>
          <w:rFonts w:cs="Arial"/>
          <w:rtl/>
        </w:rPr>
        <w:t>אסור להחזירה</w:t>
      </w:r>
      <w:r>
        <w:rPr>
          <w:rFonts w:cs="Arial" w:hint="cs"/>
          <w:rtl/>
        </w:rPr>
        <w:t>.</w:t>
      </w:r>
      <w:r w:rsidRPr="00FF1FB8">
        <w:rPr>
          <w:rFonts w:cs="Arial"/>
          <w:rtl/>
        </w:rPr>
        <w:t xml:space="preserve"> ואפילו החזירה</w:t>
      </w:r>
      <w:r>
        <w:rPr>
          <w:rFonts w:cs="Arial" w:hint="cs"/>
          <w:rtl/>
        </w:rPr>
        <w:t>,</w:t>
      </w:r>
      <w:r w:rsidRPr="00FF1FB8">
        <w:rPr>
          <w:rFonts w:cs="Arial"/>
          <w:rtl/>
        </w:rPr>
        <w:t xml:space="preserve"> יש לחוש</w:t>
      </w:r>
      <w:r>
        <w:rPr>
          <w:rFonts w:cs="Arial" w:hint="cs"/>
          <w:rtl/>
        </w:rPr>
        <w:t>.</w:t>
      </w:r>
      <w:r>
        <w:rPr>
          <w:rFonts w:hint="cs"/>
          <w:rtl/>
        </w:rPr>
        <w:t xml:space="preserve"> </w:t>
      </w:r>
      <w:r w:rsidRPr="00AE454B">
        <w:rPr>
          <w:rFonts w:hint="cs"/>
          <w:color w:val="00B0F0"/>
          <w:rtl/>
        </w:rPr>
        <w:t>(וכ"פ הרמ"א)</w:t>
      </w:r>
    </w:p>
    <w:p w14:paraId="544FFA4E"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B425296" w14:textId="7E2DD85E" w:rsidR="00392DBB" w:rsidRDefault="00392DBB" w:rsidP="00392DBB">
      <w:pPr>
        <w:rPr>
          <w:rtl/>
        </w:rPr>
      </w:pPr>
      <w:r>
        <w:rPr>
          <w:rFonts w:cs="Arial"/>
          <w:rtl/>
        </w:rPr>
        <w:lastRenderedPageBreak/>
        <w:t xml:space="preserve">אין עדים שזינתה, אלא שהיא אומרת שזינתה, אין חוששין לדבר זה לאוסרה, דשמא עיניה נתנה באחר. </w:t>
      </w:r>
      <w:r>
        <w:rPr>
          <w:rFonts w:cs="Arial" w:hint="cs"/>
          <w:sz w:val="18"/>
          <w:szCs w:val="18"/>
          <w:rtl/>
        </w:rPr>
        <w:t xml:space="preserve">[הגה] </w:t>
      </w:r>
      <w:r w:rsidRPr="00547575">
        <w:rPr>
          <w:rFonts w:cs="Arial"/>
          <w:sz w:val="18"/>
          <w:szCs w:val="18"/>
          <w:rtl/>
        </w:rPr>
        <w:t>ודוקא שאין רגלים לדבר, אבל אם יש רגלים לדבר נאמנת (</w:t>
      </w:r>
      <w:r w:rsidR="00A70FB2">
        <w:rPr>
          <w:rFonts w:cs="Arial" w:hint="cs"/>
          <w:sz w:val="18"/>
          <w:szCs w:val="18"/>
          <w:rtl/>
        </w:rPr>
        <w:t>הגמ"ר תרוה"ד</w:t>
      </w:r>
      <w:r w:rsidRPr="00547575">
        <w:rPr>
          <w:rFonts w:cs="Arial"/>
          <w:sz w:val="18"/>
          <w:szCs w:val="18"/>
          <w:rtl/>
        </w:rPr>
        <w:t>)</w:t>
      </w:r>
      <w:r>
        <w:rPr>
          <w:rFonts w:cs="Arial"/>
          <w:rtl/>
        </w:rPr>
        <w:t xml:space="preserve">, אבל איבדה כתובתה, עיקר ותוספת ומה שאינו בעין ממה שהכניסה לו. </w:t>
      </w:r>
      <w:r>
        <w:rPr>
          <w:rFonts w:cs="Arial" w:hint="cs"/>
          <w:sz w:val="18"/>
          <w:szCs w:val="18"/>
          <w:rtl/>
        </w:rPr>
        <w:t xml:space="preserve">[הגה] </w:t>
      </w:r>
      <w:r w:rsidRPr="00B24647">
        <w:rPr>
          <w:rFonts w:cs="Arial"/>
          <w:sz w:val="18"/>
          <w:szCs w:val="18"/>
          <w:rtl/>
        </w:rPr>
        <w:t>ואם חזרה בה ונתנה אמתלא לדבריה</w:t>
      </w:r>
      <w:r>
        <w:rPr>
          <w:rStyle w:val="a7"/>
          <w:rFonts w:cs="Arial"/>
          <w:sz w:val="18"/>
          <w:szCs w:val="18"/>
          <w:rtl/>
        </w:rPr>
        <w:footnoteReference w:id="2870"/>
      </w:r>
      <w:r w:rsidRPr="00B24647">
        <w:rPr>
          <w:rFonts w:cs="Arial"/>
          <w:sz w:val="18"/>
          <w:szCs w:val="18"/>
          <w:rtl/>
        </w:rPr>
        <w:t xml:space="preserve"> למה אמרה בתחלה כן, נאמנת (</w:t>
      </w:r>
      <w:r>
        <w:rPr>
          <w:rFonts w:cs="Arial" w:hint="cs"/>
          <w:sz w:val="18"/>
          <w:szCs w:val="18"/>
          <w:rtl/>
        </w:rPr>
        <w:t>הגמ"ר</w:t>
      </w:r>
      <w:r w:rsidRPr="00B24647">
        <w:rPr>
          <w:rFonts w:cs="Arial"/>
          <w:sz w:val="18"/>
          <w:szCs w:val="18"/>
          <w:rtl/>
        </w:rPr>
        <w:t xml:space="preserve">). </w:t>
      </w:r>
      <w:r>
        <w:rPr>
          <w:rFonts w:cs="Arial"/>
          <w:rtl/>
        </w:rPr>
        <w:t>ואם היה מאמינה ודעתו סומכת על דבריה, ה</w:t>
      </w:r>
      <w:r>
        <w:rPr>
          <w:rFonts w:cs="Arial" w:hint="cs"/>
          <w:rtl/>
        </w:rPr>
        <w:t xml:space="preserve">רי </w:t>
      </w:r>
      <w:r>
        <w:rPr>
          <w:rFonts w:cs="Arial"/>
          <w:rtl/>
        </w:rPr>
        <w:t>ז</w:t>
      </w:r>
      <w:r>
        <w:rPr>
          <w:rFonts w:cs="Arial" w:hint="cs"/>
          <w:rtl/>
        </w:rPr>
        <w:t>ה</w:t>
      </w:r>
      <w:r>
        <w:rPr>
          <w:rFonts w:cs="Arial"/>
          <w:rtl/>
        </w:rPr>
        <w:t xml:space="preserve"> חייב להוציאה, אבל אין כופין אותו להוציאה. אבל אם נאנסה, לא הפסידה כתובתה, לא אשת ישראל ולא אשת כהן. </w:t>
      </w:r>
      <w:r w:rsidRPr="00B24647">
        <w:rPr>
          <w:rFonts w:cs="Arial"/>
          <w:sz w:val="18"/>
          <w:szCs w:val="18"/>
          <w:rtl/>
        </w:rPr>
        <w:t>הגה: ועיין לקמן סימן קע"ח סעיף ט'. אמר א' על אשה אחת שזנתה עמו, נאמן עליה כעד אחד</w:t>
      </w:r>
      <w:r>
        <w:rPr>
          <w:rStyle w:val="a7"/>
          <w:rFonts w:cs="Arial"/>
          <w:sz w:val="18"/>
          <w:szCs w:val="18"/>
          <w:rtl/>
        </w:rPr>
        <w:footnoteReference w:id="2871"/>
      </w:r>
      <w:r w:rsidRPr="00B24647">
        <w:rPr>
          <w:rFonts w:cs="Arial"/>
          <w:sz w:val="18"/>
          <w:szCs w:val="18"/>
          <w:rtl/>
        </w:rPr>
        <w:t>, דפלגינן דיבוריה (רשב"א). ואם היא הודית לפני אחד שנטמאת, הנחשד מצטרף עם האחד לאסרה על בעלה</w:t>
      </w:r>
      <w:r>
        <w:rPr>
          <w:rStyle w:val="a7"/>
          <w:rFonts w:cs="Arial"/>
          <w:sz w:val="18"/>
          <w:szCs w:val="18"/>
          <w:rtl/>
        </w:rPr>
        <w:footnoteReference w:id="2872"/>
      </w:r>
      <w:r w:rsidRPr="00B24647">
        <w:rPr>
          <w:rFonts w:cs="Arial"/>
          <w:sz w:val="18"/>
          <w:szCs w:val="18"/>
          <w:rtl/>
        </w:rPr>
        <w:t xml:space="preserve"> (</w:t>
      </w:r>
      <w:r>
        <w:rPr>
          <w:rFonts w:cs="Arial" w:hint="cs"/>
          <w:sz w:val="18"/>
          <w:szCs w:val="18"/>
          <w:rtl/>
        </w:rPr>
        <w:t>תרוה"ד</w:t>
      </w:r>
      <w:r w:rsidRPr="00B24647">
        <w:rPr>
          <w:rFonts w:cs="Arial"/>
          <w:sz w:val="18"/>
          <w:szCs w:val="18"/>
          <w:rtl/>
        </w:rPr>
        <w:t>). הודית לפני אחד</w:t>
      </w:r>
      <w:r>
        <w:rPr>
          <w:rStyle w:val="a7"/>
          <w:rFonts w:cs="Arial"/>
          <w:sz w:val="18"/>
          <w:szCs w:val="18"/>
          <w:rtl/>
        </w:rPr>
        <w:footnoteReference w:id="2873"/>
      </w:r>
      <w:r w:rsidRPr="00B24647">
        <w:rPr>
          <w:rFonts w:cs="Arial"/>
          <w:sz w:val="18"/>
          <w:szCs w:val="18"/>
          <w:rtl/>
        </w:rPr>
        <w:t xml:space="preserve"> שזנתה, ואח"כ אומרת ששקר הוא, ומכחשת העד המעיד עליה, מותרת לבעלה אף אם מאמין הבעל לעד המעיד עליה, דאמרינן בתחלה שהודית נתנה עיניה באחר ועכשיו חוזרת בה (</w:t>
      </w:r>
      <w:r>
        <w:rPr>
          <w:rFonts w:cs="Arial" w:hint="cs"/>
          <w:sz w:val="18"/>
          <w:szCs w:val="18"/>
          <w:rtl/>
        </w:rPr>
        <w:t>תרוה"ד ו</w:t>
      </w:r>
      <w:r w:rsidRPr="00B24647">
        <w:rPr>
          <w:rFonts w:cs="Arial"/>
          <w:sz w:val="18"/>
          <w:szCs w:val="18"/>
          <w:rtl/>
        </w:rPr>
        <w:t>מהרי"ק). אשה שאמרה לבעלה שזנתה, אע</w:t>
      </w:r>
      <w:r>
        <w:rPr>
          <w:rFonts w:cs="Arial" w:hint="cs"/>
          <w:sz w:val="18"/>
          <w:szCs w:val="18"/>
          <w:rtl/>
        </w:rPr>
        <w:t>"</w:t>
      </w:r>
      <w:r w:rsidRPr="00B24647">
        <w:rPr>
          <w:rFonts w:cs="Arial"/>
          <w:sz w:val="18"/>
          <w:szCs w:val="18"/>
          <w:rtl/>
        </w:rPr>
        <w:t>פ שאינה נאמנת, אם עמד וגירשה, אסור להחזירה</w:t>
      </w:r>
      <w:r>
        <w:rPr>
          <w:rStyle w:val="a7"/>
          <w:rFonts w:cs="Arial"/>
          <w:sz w:val="18"/>
          <w:szCs w:val="18"/>
          <w:rtl/>
        </w:rPr>
        <w:footnoteReference w:id="2874"/>
      </w:r>
      <w:r>
        <w:rPr>
          <w:rFonts w:cs="Arial" w:hint="cs"/>
          <w:sz w:val="18"/>
          <w:szCs w:val="18"/>
          <w:rtl/>
        </w:rPr>
        <w:t>.</w:t>
      </w:r>
      <w:r w:rsidRPr="00B24647">
        <w:rPr>
          <w:rFonts w:cs="Arial"/>
          <w:sz w:val="18"/>
          <w:szCs w:val="18"/>
          <w:rtl/>
        </w:rPr>
        <w:t xml:space="preserve"> ואפילו אם החזירה, יש לחוש (מהר"ם פדוואה). </w:t>
      </w:r>
    </w:p>
    <w:p w14:paraId="5A670C92" w14:textId="77777777" w:rsidR="00392DBB" w:rsidRDefault="00392DBB" w:rsidP="00392DBB">
      <w:pPr>
        <w:rPr>
          <w:rFonts w:cs="Arial"/>
          <w:rtl/>
        </w:rPr>
      </w:pPr>
      <w:r w:rsidRPr="0024576C">
        <w:rPr>
          <w:rFonts w:cs="Arial" w:hint="cs"/>
          <w:u w:val="single"/>
          <w:rtl/>
        </w:rPr>
        <w:t>האם אומרים 'עיניה נתנה באיש אחר' גם כשמעשיה מוכיחים שאי</w:t>
      </w:r>
      <w:r>
        <w:rPr>
          <w:rFonts w:cs="Arial" w:hint="cs"/>
          <w:u w:val="single"/>
          <w:rtl/>
        </w:rPr>
        <w:t>נ</w:t>
      </w:r>
      <w:r w:rsidRPr="0024576C">
        <w:rPr>
          <w:rFonts w:cs="Arial" w:hint="cs"/>
          <w:u w:val="single"/>
          <w:rtl/>
        </w:rPr>
        <w:t>ה רוצה להתגרש מבעלה</w:t>
      </w:r>
      <w:r>
        <w:rPr>
          <w:rFonts w:cs="Arial" w:hint="cs"/>
          <w:u w:val="single"/>
          <w:rtl/>
        </w:rPr>
        <w:t xml:space="preserve"> בשום פנים</w:t>
      </w:r>
      <w:r w:rsidRPr="0024576C">
        <w:rPr>
          <w:rFonts w:cs="Arial" w:hint="cs"/>
          <w:u w:val="single"/>
          <w:rtl/>
        </w:rPr>
        <w:t>:</w:t>
      </w:r>
      <w:r w:rsidRPr="0024576C">
        <w:rPr>
          <w:rFonts w:cs="Arial" w:hint="cs"/>
          <w:sz w:val="16"/>
          <w:szCs w:val="16"/>
          <w:rtl/>
        </w:rPr>
        <w:t xml:space="preserve"> (פת"ש סקכ"ה)</w:t>
      </w:r>
      <w:r>
        <w:rPr>
          <w:rFonts w:cs="Arial" w:hint="cs"/>
          <w:rtl/>
        </w:rPr>
        <w:t xml:space="preserve"> </w:t>
      </w:r>
    </w:p>
    <w:p w14:paraId="3E5A3334" w14:textId="779A9F82" w:rsidR="00392DBB" w:rsidRPr="00423E56" w:rsidRDefault="00392DBB" w:rsidP="009000E3">
      <w:pPr>
        <w:pStyle w:val="ab"/>
        <w:numPr>
          <w:ilvl w:val="0"/>
          <w:numId w:val="72"/>
        </w:numPr>
        <w:rPr>
          <w:rFonts w:cs="Arial"/>
          <w:rtl/>
        </w:rPr>
      </w:pPr>
      <w:r w:rsidRPr="00423E56">
        <w:rPr>
          <w:rFonts w:cs="Arial"/>
          <w:rtl/>
        </w:rPr>
        <w:t>נו"ב</w:t>
      </w:r>
      <w:r w:rsidRPr="00423E56">
        <w:rPr>
          <w:rFonts w:cs="Arial"/>
          <w:sz w:val="16"/>
          <w:szCs w:val="16"/>
          <w:rtl/>
        </w:rPr>
        <w:t xml:space="preserve"> </w:t>
      </w:r>
      <w:r w:rsidRPr="00423E56">
        <w:rPr>
          <w:rFonts w:cs="Arial" w:hint="cs"/>
          <w:sz w:val="16"/>
          <w:szCs w:val="16"/>
          <w:rtl/>
        </w:rPr>
        <w:t>(</w:t>
      </w:r>
      <w:r w:rsidRPr="00423E56">
        <w:rPr>
          <w:rFonts w:cs="Arial"/>
          <w:sz w:val="16"/>
          <w:szCs w:val="16"/>
          <w:rtl/>
        </w:rPr>
        <w:t>סי</w:t>
      </w:r>
      <w:r w:rsidRPr="00423E56">
        <w:rPr>
          <w:rFonts w:cs="Arial" w:hint="cs"/>
          <w:sz w:val="16"/>
          <w:szCs w:val="16"/>
          <w:rtl/>
        </w:rPr>
        <w:t>'</w:t>
      </w:r>
      <w:r w:rsidRPr="00423E56">
        <w:rPr>
          <w:rFonts w:cs="Arial"/>
          <w:sz w:val="16"/>
          <w:szCs w:val="16"/>
          <w:rtl/>
        </w:rPr>
        <w:t xml:space="preserve"> ע</w:t>
      </w:r>
      <w:r w:rsidRPr="00423E56">
        <w:rPr>
          <w:rFonts w:cs="Arial" w:hint="cs"/>
          <w:sz w:val="16"/>
          <w:szCs w:val="16"/>
          <w:rtl/>
        </w:rPr>
        <w:t>)</w:t>
      </w:r>
      <w:r w:rsidRPr="00423E56">
        <w:rPr>
          <w:rFonts w:cs="Arial" w:hint="cs"/>
          <w:rtl/>
        </w:rPr>
        <w:t>-</w:t>
      </w:r>
      <w:r w:rsidRPr="00423E56">
        <w:rPr>
          <w:rFonts w:cs="Arial"/>
          <w:rtl/>
        </w:rPr>
        <w:t xml:space="preserve"> יש לדון באשה זו שאינה רוצה להתגרש בשום אופן אולי לא שייך בה עיניה נתנה באחר ומהראוי שתהא נאמנת</w:t>
      </w:r>
      <w:r w:rsidR="00F62792">
        <w:rPr>
          <w:rFonts w:cs="Arial" w:hint="cs"/>
          <w:rtl/>
        </w:rPr>
        <w:t>.</w:t>
      </w:r>
      <w:r w:rsidRPr="00423E56">
        <w:rPr>
          <w:rFonts w:cs="Arial"/>
          <w:rtl/>
        </w:rPr>
        <w:t xml:space="preserve"> אך באמת הדבר קשה לחלק בזה</w:t>
      </w:r>
      <w:r w:rsidR="00F62792">
        <w:rPr>
          <w:rFonts w:cs="Arial" w:hint="cs"/>
          <w:rtl/>
        </w:rPr>
        <w:t>,</w:t>
      </w:r>
      <w:r w:rsidRPr="00423E56">
        <w:rPr>
          <w:rFonts w:cs="Arial"/>
          <w:rtl/>
        </w:rPr>
        <w:t xml:space="preserve"> ובש"ע סתם ואמר אין עדים שזינתה אלא שהיא אומרת אין חוששין כו'</w:t>
      </w:r>
      <w:r w:rsidR="00F62792">
        <w:rPr>
          <w:rFonts w:cs="Arial" w:hint="cs"/>
          <w:rtl/>
        </w:rPr>
        <w:t>.</w:t>
      </w:r>
      <w:r w:rsidRPr="00423E56">
        <w:rPr>
          <w:rFonts w:cs="Arial"/>
          <w:rtl/>
        </w:rPr>
        <w:t xml:space="preserve"> וי"ל הטעם לפי מה דמסיק הר"ן בנדרים שם דגם למשנה הראשונה לא ע"פ דין היתה נאמנת כו'</w:t>
      </w:r>
      <w:r w:rsidR="00F62792">
        <w:rPr>
          <w:rFonts w:cs="Arial" w:hint="cs"/>
          <w:rtl/>
        </w:rPr>
        <w:t>.</w:t>
      </w:r>
      <w:r w:rsidRPr="00423E56">
        <w:rPr>
          <w:rFonts w:cs="Arial"/>
          <w:rtl/>
        </w:rPr>
        <w:t xml:space="preserve"> וא"כ כיון שנתבטל התקנה הראשונה ממילא לא מהימנא אפילו היכא דלא שייך ענ"ב.</w:t>
      </w:r>
    </w:p>
    <w:p w14:paraId="256B1687" w14:textId="77777777" w:rsidR="00392DBB" w:rsidRDefault="00392DBB" w:rsidP="009000E3">
      <w:pPr>
        <w:pStyle w:val="ab"/>
        <w:numPr>
          <w:ilvl w:val="0"/>
          <w:numId w:val="72"/>
        </w:numPr>
        <w:rPr>
          <w:rFonts w:cs="Arial"/>
        </w:rPr>
      </w:pPr>
      <w:r w:rsidRPr="00423E56">
        <w:rPr>
          <w:rFonts w:cs="Arial"/>
          <w:rtl/>
        </w:rPr>
        <w:t xml:space="preserve">מהרי"ט </w:t>
      </w:r>
      <w:r w:rsidRPr="00423E56">
        <w:rPr>
          <w:rFonts w:cs="Arial" w:hint="cs"/>
          <w:sz w:val="16"/>
          <w:szCs w:val="16"/>
          <w:rtl/>
        </w:rPr>
        <w:t>(</w:t>
      </w:r>
      <w:r w:rsidRPr="00423E56">
        <w:rPr>
          <w:rFonts w:cs="Arial"/>
          <w:sz w:val="16"/>
          <w:szCs w:val="16"/>
          <w:rtl/>
        </w:rPr>
        <w:t>ח"א ס"ס צב</w:t>
      </w:r>
      <w:r w:rsidRPr="00423E56">
        <w:rPr>
          <w:rFonts w:cs="Arial" w:hint="cs"/>
          <w:sz w:val="16"/>
          <w:szCs w:val="16"/>
          <w:rtl/>
        </w:rPr>
        <w:t>)</w:t>
      </w:r>
      <w:r w:rsidRPr="00423E56">
        <w:rPr>
          <w:rFonts w:cs="Arial" w:hint="cs"/>
          <w:rtl/>
        </w:rPr>
        <w:t xml:space="preserve"> ו</w:t>
      </w:r>
      <w:r w:rsidRPr="00423E56">
        <w:rPr>
          <w:rFonts w:cs="Arial"/>
          <w:rtl/>
        </w:rPr>
        <w:t xml:space="preserve">ברית אברהם </w:t>
      </w:r>
      <w:r w:rsidRPr="00423E56">
        <w:rPr>
          <w:rFonts w:cs="Arial" w:hint="cs"/>
          <w:sz w:val="16"/>
          <w:szCs w:val="16"/>
          <w:rtl/>
        </w:rPr>
        <w:t>(</w:t>
      </w:r>
      <w:r w:rsidRPr="00423E56">
        <w:rPr>
          <w:rFonts w:cs="Arial"/>
          <w:sz w:val="16"/>
          <w:szCs w:val="16"/>
          <w:rtl/>
        </w:rPr>
        <w:t>סי' עד אות א</w:t>
      </w:r>
      <w:r w:rsidRPr="00423E56">
        <w:rPr>
          <w:rFonts w:cs="Arial" w:hint="cs"/>
          <w:sz w:val="16"/>
          <w:szCs w:val="16"/>
          <w:rtl/>
        </w:rPr>
        <w:t>)</w:t>
      </w:r>
      <w:r w:rsidRPr="00423E56">
        <w:rPr>
          <w:rFonts w:cs="Arial" w:hint="cs"/>
          <w:rtl/>
        </w:rPr>
        <w:t xml:space="preserve">- </w:t>
      </w:r>
      <w:r w:rsidRPr="00423E56">
        <w:rPr>
          <w:rFonts w:cs="Arial"/>
          <w:rtl/>
        </w:rPr>
        <w:t>לא שייך ע</w:t>
      </w:r>
      <w:r w:rsidRPr="00423E56">
        <w:rPr>
          <w:rFonts w:cs="Arial" w:hint="cs"/>
          <w:rtl/>
        </w:rPr>
        <w:t xml:space="preserve">יניה נתנה </w:t>
      </w:r>
      <w:r w:rsidRPr="00423E56">
        <w:rPr>
          <w:rFonts w:cs="Arial"/>
          <w:rtl/>
        </w:rPr>
        <w:t>ב</w:t>
      </w:r>
      <w:r w:rsidRPr="00423E56">
        <w:rPr>
          <w:rFonts w:cs="Arial" w:hint="cs"/>
          <w:rtl/>
        </w:rPr>
        <w:t>אחר</w:t>
      </w:r>
      <w:r w:rsidRPr="00423E56">
        <w:rPr>
          <w:rFonts w:cs="Arial"/>
          <w:rtl/>
        </w:rPr>
        <w:t xml:space="preserve"> </w:t>
      </w:r>
      <w:r w:rsidRPr="00423E56">
        <w:rPr>
          <w:rFonts w:cs="Arial" w:hint="cs"/>
          <w:rtl/>
        </w:rPr>
        <w:t>כ</w:t>
      </w:r>
      <w:r w:rsidRPr="00423E56">
        <w:rPr>
          <w:rFonts w:cs="Arial"/>
          <w:rtl/>
        </w:rPr>
        <w:t>שמעשים מוכיחין שחפיצ</w:t>
      </w:r>
      <w:r w:rsidRPr="00423E56">
        <w:rPr>
          <w:rFonts w:cs="Arial" w:hint="cs"/>
          <w:rtl/>
        </w:rPr>
        <w:t>ה</w:t>
      </w:r>
      <w:r w:rsidRPr="00423E56">
        <w:rPr>
          <w:rFonts w:cs="Arial"/>
          <w:rtl/>
        </w:rPr>
        <w:t xml:space="preserve"> בבעלה כיון דטרחה לזייף גט מהראשון</w:t>
      </w:r>
      <w:r w:rsidRPr="00423E56">
        <w:rPr>
          <w:rFonts w:cs="Arial" w:hint="cs"/>
          <w:rtl/>
        </w:rPr>
        <w:t>.</w:t>
      </w:r>
    </w:p>
    <w:p w14:paraId="184BFB35" w14:textId="77777777" w:rsidR="00392DBB" w:rsidRPr="00BB1C78" w:rsidRDefault="00392DBB" w:rsidP="00392DBB">
      <w:pPr>
        <w:rPr>
          <w:rFonts w:cs="Arial"/>
        </w:rPr>
      </w:pPr>
      <w:r w:rsidRPr="0024576C">
        <w:rPr>
          <w:rFonts w:cs="Arial" w:hint="cs"/>
          <w:u w:val="single"/>
          <w:rtl/>
        </w:rPr>
        <w:t>האם אומרים '</w:t>
      </w:r>
      <w:r>
        <w:rPr>
          <w:rFonts w:cs="Arial" w:hint="cs"/>
          <w:u w:val="single"/>
          <w:rtl/>
        </w:rPr>
        <w:t>רגלים לדבר</w:t>
      </w:r>
      <w:r w:rsidRPr="0024576C">
        <w:rPr>
          <w:rFonts w:cs="Arial" w:hint="cs"/>
          <w:u w:val="single"/>
          <w:rtl/>
        </w:rPr>
        <w:t xml:space="preserve">' </w:t>
      </w:r>
      <w:r>
        <w:rPr>
          <w:rFonts w:cs="Arial" w:hint="cs"/>
          <w:u w:val="single"/>
          <w:rtl/>
        </w:rPr>
        <w:t>מתוך דבריה של האשה</w:t>
      </w:r>
      <w:r w:rsidRPr="0024576C">
        <w:rPr>
          <w:rFonts w:cs="Arial" w:hint="cs"/>
          <w:u w:val="single"/>
          <w:rtl/>
        </w:rPr>
        <w:t>:</w:t>
      </w:r>
      <w:r w:rsidRPr="0024576C">
        <w:rPr>
          <w:rFonts w:cs="Arial" w:hint="cs"/>
          <w:sz w:val="16"/>
          <w:szCs w:val="16"/>
          <w:rtl/>
        </w:rPr>
        <w:t xml:space="preserve"> (פת"ש סקכ"ה)</w:t>
      </w:r>
    </w:p>
    <w:p w14:paraId="35F0E2A4" w14:textId="0F5DD93A" w:rsidR="00392DBB" w:rsidRDefault="00392DBB" w:rsidP="009000E3">
      <w:pPr>
        <w:pStyle w:val="ab"/>
        <w:numPr>
          <w:ilvl w:val="0"/>
          <w:numId w:val="72"/>
        </w:numPr>
        <w:rPr>
          <w:rFonts w:cs="Arial"/>
        </w:rPr>
      </w:pPr>
      <w:r w:rsidRPr="00423E56">
        <w:rPr>
          <w:rFonts w:cs="Arial"/>
          <w:rtl/>
        </w:rPr>
        <w:t>נו"ב</w:t>
      </w:r>
      <w:r w:rsidRPr="00423E56">
        <w:rPr>
          <w:rFonts w:cs="Arial"/>
          <w:sz w:val="16"/>
          <w:szCs w:val="16"/>
          <w:rtl/>
        </w:rPr>
        <w:t xml:space="preserve"> </w:t>
      </w:r>
      <w:r>
        <w:rPr>
          <w:rFonts w:cs="Arial" w:hint="cs"/>
          <w:sz w:val="16"/>
          <w:szCs w:val="16"/>
          <w:rtl/>
        </w:rPr>
        <w:t>(תניינא סי' יב,</w:t>
      </w:r>
      <w:r w:rsidRPr="00BB1C78">
        <w:rPr>
          <w:rFonts w:cs="Arial"/>
          <w:sz w:val="16"/>
          <w:szCs w:val="16"/>
          <w:rtl/>
        </w:rPr>
        <w:t xml:space="preserve"> </w:t>
      </w:r>
      <w:r>
        <w:rPr>
          <w:rFonts w:cs="Arial" w:hint="cs"/>
          <w:sz w:val="16"/>
          <w:szCs w:val="16"/>
          <w:rtl/>
        </w:rPr>
        <w:t xml:space="preserve">ובמה"ק </w:t>
      </w:r>
      <w:r w:rsidRPr="00423E56">
        <w:rPr>
          <w:rFonts w:cs="Arial"/>
          <w:sz w:val="16"/>
          <w:szCs w:val="16"/>
          <w:rtl/>
        </w:rPr>
        <w:t>סי</w:t>
      </w:r>
      <w:r w:rsidRPr="00423E56">
        <w:rPr>
          <w:rFonts w:cs="Arial" w:hint="cs"/>
          <w:sz w:val="16"/>
          <w:szCs w:val="16"/>
          <w:rtl/>
        </w:rPr>
        <w:t>'</w:t>
      </w:r>
      <w:r w:rsidRPr="00423E56">
        <w:rPr>
          <w:rFonts w:cs="Arial"/>
          <w:sz w:val="16"/>
          <w:szCs w:val="16"/>
          <w:rtl/>
        </w:rPr>
        <w:t xml:space="preserve"> ע</w:t>
      </w:r>
      <w:r>
        <w:rPr>
          <w:rFonts w:cs="Arial" w:hint="cs"/>
          <w:sz w:val="16"/>
          <w:szCs w:val="16"/>
          <w:rtl/>
        </w:rPr>
        <w:t>א</w:t>
      </w:r>
      <w:r w:rsidRPr="00423E56">
        <w:rPr>
          <w:rFonts w:cs="Arial" w:hint="cs"/>
          <w:sz w:val="16"/>
          <w:szCs w:val="16"/>
          <w:rtl/>
        </w:rPr>
        <w:t>)</w:t>
      </w:r>
      <w:r>
        <w:rPr>
          <w:rFonts w:cs="Arial" w:hint="cs"/>
          <w:rtl/>
        </w:rPr>
        <w:t xml:space="preserve"> צ"צ </w:t>
      </w:r>
      <w:r>
        <w:rPr>
          <w:rFonts w:cs="Arial" w:hint="cs"/>
          <w:sz w:val="16"/>
          <w:szCs w:val="16"/>
          <w:rtl/>
        </w:rPr>
        <w:t>(סי' פב)</w:t>
      </w:r>
      <w:r>
        <w:rPr>
          <w:rFonts w:cs="Arial" w:hint="cs"/>
          <w:rtl/>
        </w:rPr>
        <w:t xml:space="preserve"> וברית אברהם </w:t>
      </w:r>
      <w:r>
        <w:rPr>
          <w:rFonts w:cs="Arial" w:hint="cs"/>
          <w:sz w:val="16"/>
          <w:szCs w:val="16"/>
          <w:rtl/>
        </w:rPr>
        <w:t>(סי' עד)</w:t>
      </w:r>
      <w:r w:rsidRPr="00423E56">
        <w:rPr>
          <w:rFonts w:cs="Arial" w:hint="cs"/>
          <w:rtl/>
        </w:rPr>
        <w:t>-</w:t>
      </w:r>
      <w:r w:rsidRPr="00423E56">
        <w:rPr>
          <w:rFonts w:cs="Arial"/>
          <w:rtl/>
        </w:rPr>
        <w:t xml:space="preserve"> </w:t>
      </w:r>
      <w:r w:rsidRPr="00BB1C78">
        <w:rPr>
          <w:rFonts w:cs="Arial"/>
          <w:rtl/>
        </w:rPr>
        <w:t>ובגוף הדבר שהחליט השואל כיון שאמרה כן בשעת חולי דרך וידוי מקרי רגלים לדבר</w:t>
      </w:r>
      <w:r w:rsidR="009B3215">
        <w:rPr>
          <w:rFonts w:cs="Arial" w:hint="cs"/>
          <w:rtl/>
        </w:rPr>
        <w:t>.</w:t>
      </w:r>
      <w:r w:rsidRPr="00BB1C78">
        <w:rPr>
          <w:rFonts w:cs="Arial"/>
          <w:rtl/>
        </w:rPr>
        <w:t xml:space="preserve"> לדעתי לא החמירו ברגלים לדבר אלא ביש רגלים בלי אמירה דידה</w:t>
      </w:r>
      <w:r w:rsidR="009B3215">
        <w:rPr>
          <w:rFonts w:cs="Arial" w:hint="cs"/>
          <w:rtl/>
        </w:rPr>
        <w:t>,</w:t>
      </w:r>
      <w:r w:rsidRPr="00BB1C78">
        <w:rPr>
          <w:rFonts w:cs="Arial"/>
          <w:rtl/>
        </w:rPr>
        <w:t xml:space="preserve"> שאף אם לא היתה אומרת כלל שזינתה רגלים לדבר ממקום אחר שזינתה זה מצטרף בהדי אמיר</w:t>
      </w:r>
      <w:r>
        <w:rPr>
          <w:rFonts w:cs="Arial" w:hint="cs"/>
          <w:rtl/>
        </w:rPr>
        <w:t>ה</w:t>
      </w:r>
      <w:r w:rsidRPr="00BB1C78">
        <w:rPr>
          <w:rFonts w:cs="Arial"/>
          <w:rtl/>
        </w:rPr>
        <w:t xml:space="preserve"> דיד</w:t>
      </w:r>
      <w:r>
        <w:rPr>
          <w:rFonts w:cs="Arial" w:hint="cs"/>
          <w:rtl/>
        </w:rPr>
        <w:t>ה</w:t>
      </w:r>
      <w:r w:rsidR="009B3215">
        <w:rPr>
          <w:rFonts w:cs="Arial" w:hint="cs"/>
          <w:rtl/>
        </w:rPr>
        <w:t>.</w:t>
      </w:r>
      <w:r w:rsidRPr="00BB1C78">
        <w:rPr>
          <w:rFonts w:cs="Arial"/>
          <w:rtl/>
        </w:rPr>
        <w:t xml:space="preserve"> וכן משמע במהרא"י </w:t>
      </w:r>
      <w:r w:rsidR="009B3215">
        <w:rPr>
          <w:rFonts w:cs="Arial" w:hint="cs"/>
          <w:rtl/>
        </w:rPr>
        <w:t>(</w:t>
      </w:r>
      <w:r w:rsidRPr="00BB1C78">
        <w:rPr>
          <w:rFonts w:cs="Arial"/>
          <w:rtl/>
        </w:rPr>
        <w:t>סי' רכב</w:t>
      </w:r>
      <w:r w:rsidR="009B3215">
        <w:rPr>
          <w:rFonts w:cs="Arial" w:hint="cs"/>
          <w:rtl/>
        </w:rPr>
        <w:t>)</w:t>
      </w:r>
      <w:r>
        <w:rPr>
          <w:rFonts w:cs="Arial" w:hint="cs"/>
          <w:rtl/>
        </w:rPr>
        <w:t>...</w:t>
      </w:r>
      <w:r w:rsidRPr="00BB1C78">
        <w:rPr>
          <w:rFonts w:cs="Arial"/>
          <w:rtl/>
        </w:rPr>
        <w:t xml:space="preserve"> ומ"ש בת' חו"י </w:t>
      </w:r>
      <w:r>
        <w:rPr>
          <w:rFonts w:cs="Arial" w:hint="cs"/>
          <w:rtl/>
        </w:rPr>
        <w:t>(</w:t>
      </w:r>
      <w:r w:rsidRPr="00BB1C78">
        <w:rPr>
          <w:rFonts w:cs="Arial"/>
          <w:rtl/>
        </w:rPr>
        <w:t>סי' עב</w:t>
      </w:r>
      <w:r>
        <w:rPr>
          <w:rFonts w:cs="Arial" w:hint="cs"/>
          <w:rtl/>
        </w:rPr>
        <w:t>)</w:t>
      </w:r>
      <w:r w:rsidRPr="00BB1C78">
        <w:rPr>
          <w:rFonts w:cs="Arial"/>
          <w:rtl/>
        </w:rPr>
        <w:t xml:space="preserve"> שאם אמרה דרך וידוי אסורה</w:t>
      </w:r>
      <w:r w:rsidR="009B3215">
        <w:rPr>
          <w:rFonts w:cs="Arial" w:hint="cs"/>
          <w:rtl/>
        </w:rPr>
        <w:t xml:space="preserve">, </w:t>
      </w:r>
      <w:r w:rsidRPr="00BB1C78">
        <w:rPr>
          <w:rFonts w:cs="Arial"/>
          <w:rtl/>
        </w:rPr>
        <w:t>לא מצאתי ראי' לדבריו</w:t>
      </w:r>
      <w:r w:rsidR="009B3215">
        <w:rPr>
          <w:rFonts w:cs="Arial" w:hint="cs"/>
          <w:rtl/>
        </w:rPr>
        <w:t>,</w:t>
      </w:r>
      <w:r w:rsidRPr="00BB1C78">
        <w:rPr>
          <w:rFonts w:cs="Arial"/>
          <w:rtl/>
        </w:rPr>
        <w:t xml:space="preserve"> ובפרט לדברי הר"ן בנדרים דמצד הדין מעולם לא היתה נאמנת כו'</w:t>
      </w:r>
      <w:r>
        <w:rPr>
          <w:rFonts w:cs="Arial" w:hint="cs"/>
          <w:sz w:val="16"/>
          <w:szCs w:val="16"/>
          <w:rtl/>
        </w:rPr>
        <w:t xml:space="preserve"> (ל' הנו"ב)</w:t>
      </w:r>
      <w:r>
        <w:rPr>
          <w:rFonts w:cs="Arial" w:hint="cs"/>
          <w:rtl/>
        </w:rPr>
        <w:t>.</w:t>
      </w:r>
      <w:r w:rsidRPr="00BB1C78">
        <w:rPr>
          <w:rFonts w:cs="Arial"/>
          <w:rtl/>
        </w:rPr>
        <w:t xml:space="preserve"> </w:t>
      </w:r>
    </w:p>
    <w:p w14:paraId="753384DE" w14:textId="34C62D92" w:rsidR="00392DBB" w:rsidRPr="00BB1C78" w:rsidRDefault="00392DBB" w:rsidP="009000E3">
      <w:pPr>
        <w:pStyle w:val="ab"/>
        <w:numPr>
          <w:ilvl w:val="0"/>
          <w:numId w:val="72"/>
        </w:numPr>
        <w:rPr>
          <w:rFonts w:cs="Arial"/>
          <w:rtl/>
        </w:rPr>
      </w:pPr>
      <w:r w:rsidRPr="00BB1C78">
        <w:rPr>
          <w:rFonts w:cs="Arial"/>
          <w:rtl/>
        </w:rPr>
        <w:lastRenderedPageBreak/>
        <w:t xml:space="preserve">ב"ח </w:t>
      </w:r>
      <w:r w:rsidRPr="003429C8">
        <w:rPr>
          <w:rFonts w:cs="Arial" w:hint="cs"/>
          <w:sz w:val="16"/>
          <w:szCs w:val="16"/>
          <w:rtl/>
        </w:rPr>
        <w:t>(</w:t>
      </w:r>
      <w:r w:rsidRPr="003429C8">
        <w:rPr>
          <w:rFonts w:cs="Arial"/>
          <w:sz w:val="16"/>
          <w:szCs w:val="16"/>
          <w:rtl/>
        </w:rPr>
        <w:t>ס"ס צח</w:t>
      </w:r>
      <w:r w:rsidRPr="003429C8">
        <w:rPr>
          <w:rFonts w:cs="Arial" w:hint="cs"/>
          <w:sz w:val="16"/>
          <w:szCs w:val="16"/>
          <w:rtl/>
        </w:rPr>
        <w:t>)</w:t>
      </w:r>
      <w:r>
        <w:rPr>
          <w:rFonts w:cs="Arial" w:hint="cs"/>
          <w:rtl/>
        </w:rPr>
        <w:t>-</w:t>
      </w:r>
      <w:r w:rsidRPr="00BB1C78">
        <w:rPr>
          <w:rFonts w:cs="Arial"/>
          <w:rtl/>
        </w:rPr>
        <w:t xml:space="preserve"> כיון שהודית שזינתה עם ג' מנאפים</w:t>
      </w:r>
      <w:r w:rsidR="00DD3789">
        <w:rPr>
          <w:rFonts w:cs="Arial" w:hint="cs"/>
          <w:rtl/>
        </w:rPr>
        <w:t>,</w:t>
      </w:r>
      <w:r w:rsidRPr="00BB1C78">
        <w:rPr>
          <w:rFonts w:cs="Arial"/>
          <w:rtl/>
        </w:rPr>
        <w:t xml:space="preserve"> ואי משום דעיני' נ"ב הא סגי לומר שזינתה עם אחד</w:t>
      </w:r>
      <w:r w:rsidR="00DD3789">
        <w:rPr>
          <w:rFonts w:cs="Arial" w:hint="cs"/>
          <w:rtl/>
        </w:rPr>
        <w:t>,</w:t>
      </w:r>
      <w:r w:rsidRPr="00BB1C78">
        <w:rPr>
          <w:rFonts w:cs="Arial"/>
          <w:rtl/>
        </w:rPr>
        <w:t xml:space="preserve"> וע</w:t>
      </w:r>
      <w:r>
        <w:rPr>
          <w:rFonts w:cs="Arial" w:hint="cs"/>
          <w:rtl/>
        </w:rPr>
        <w:t xml:space="preserve">ל </w:t>
      </w:r>
      <w:r w:rsidRPr="00BB1C78">
        <w:rPr>
          <w:rFonts w:cs="Arial"/>
          <w:rtl/>
        </w:rPr>
        <w:t>כ</w:t>
      </w:r>
      <w:r>
        <w:rPr>
          <w:rFonts w:cs="Arial" w:hint="cs"/>
          <w:rtl/>
        </w:rPr>
        <w:t>רחך</w:t>
      </w:r>
      <w:r w:rsidRPr="00BB1C78">
        <w:rPr>
          <w:rFonts w:cs="Arial"/>
          <w:rtl/>
        </w:rPr>
        <w:t xml:space="preserve"> דבאה לסדר תשובה</w:t>
      </w:r>
      <w:r>
        <w:rPr>
          <w:rStyle w:val="a7"/>
          <w:rFonts w:cs="Arial"/>
          <w:rtl/>
        </w:rPr>
        <w:footnoteReference w:id="2875"/>
      </w:r>
      <w:r>
        <w:rPr>
          <w:rFonts w:cs="Arial" w:hint="cs"/>
          <w:rtl/>
        </w:rPr>
        <w:t>.</w:t>
      </w:r>
    </w:p>
    <w:p w14:paraId="547D29F0" w14:textId="77777777" w:rsidR="00392DBB" w:rsidRDefault="00392DBB" w:rsidP="00392DBB">
      <w:pPr>
        <w:rPr>
          <w:rtl/>
        </w:rPr>
      </w:pPr>
    </w:p>
    <w:p w14:paraId="60BECE9A" w14:textId="77777777" w:rsidR="00392DBB" w:rsidRDefault="00392DBB" w:rsidP="000F64D0">
      <w:pPr>
        <w:pStyle w:val="2"/>
        <w:rPr>
          <w:rtl/>
        </w:rPr>
      </w:pPr>
      <w:r>
        <w:rPr>
          <w:rtl/>
        </w:rPr>
        <w:t>סעיף ז</w:t>
      </w:r>
      <w:r>
        <w:rPr>
          <w:rFonts w:hint="cs"/>
          <w:rtl/>
        </w:rPr>
        <w:t>: מי שראה את אשתו מזנה, או ששמע כך מאדם שנאמן עליו.</w:t>
      </w:r>
    </w:p>
    <w:p w14:paraId="1308D1CD" w14:textId="77777777" w:rsidR="00392DBB" w:rsidRPr="00547575" w:rsidRDefault="00392DBB" w:rsidP="00392DBB">
      <w:pPr>
        <w:rPr>
          <w:rtl/>
        </w:rPr>
      </w:pPr>
      <w:r>
        <w:rPr>
          <w:rFonts w:hint="cs"/>
          <w:rtl/>
        </w:rPr>
        <w:t>עיין במקורות בסעיף ו.</w:t>
      </w:r>
    </w:p>
    <w:p w14:paraId="54654F82"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DA8043E" w14:textId="51E23120" w:rsidR="00392DBB" w:rsidRDefault="00392DBB" w:rsidP="00392DBB">
      <w:pPr>
        <w:rPr>
          <w:rtl/>
        </w:rPr>
      </w:pPr>
      <w:r>
        <w:rPr>
          <w:rFonts w:cs="Arial"/>
          <w:rtl/>
        </w:rPr>
        <w:t>מי שראה אשתו שזינתה, או שאמר לו אחד מקרוביו או מקרובותיה, שהוא מאמינם וסומכת דעתו עליהם, שזנתה אשתו, בין שהיה האומר איש בין שהיתה אשה, הואיל וסמכה דעתו לדבר זה שהוא אמת ה</w:t>
      </w:r>
      <w:r>
        <w:rPr>
          <w:rFonts w:cs="Arial" w:hint="cs"/>
          <w:rtl/>
        </w:rPr>
        <w:t xml:space="preserve">רי </w:t>
      </w:r>
      <w:r>
        <w:rPr>
          <w:rFonts w:cs="Arial"/>
          <w:rtl/>
        </w:rPr>
        <w:t>ז</w:t>
      </w:r>
      <w:r>
        <w:rPr>
          <w:rFonts w:cs="Arial" w:hint="cs"/>
          <w:rtl/>
        </w:rPr>
        <w:t>ה</w:t>
      </w:r>
      <w:r>
        <w:rPr>
          <w:rFonts w:cs="Arial"/>
          <w:rtl/>
        </w:rPr>
        <w:t xml:space="preserve"> חייב</w:t>
      </w:r>
      <w:r>
        <w:rPr>
          <w:rStyle w:val="a7"/>
          <w:rFonts w:cs="Arial"/>
          <w:rtl/>
        </w:rPr>
        <w:footnoteReference w:id="2876"/>
      </w:r>
      <w:r>
        <w:rPr>
          <w:rFonts w:cs="Arial"/>
          <w:rtl/>
        </w:rPr>
        <w:t xml:space="preserve"> להוציאה ואסור לו לבא עליה, ויתן כתובה. ואם הודית לו שזינתה, תצא בלא כתובה. ולפיכך משביעה</w:t>
      </w:r>
      <w:r>
        <w:rPr>
          <w:rStyle w:val="a7"/>
          <w:rFonts w:cs="Arial"/>
          <w:rtl/>
        </w:rPr>
        <w:footnoteReference w:id="2877"/>
      </w:r>
      <w:r>
        <w:rPr>
          <w:rFonts w:cs="Arial"/>
          <w:rtl/>
        </w:rPr>
        <w:t xml:space="preserve"> בנקיטת חפץ שלא זינתה תחתיו, אם ראה אותה בעצמו, ואח</w:t>
      </w:r>
      <w:r>
        <w:rPr>
          <w:rFonts w:cs="Arial" w:hint="cs"/>
          <w:rtl/>
        </w:rPr>
        <w:t xml:space="preserve">ר </w:t>
      </w:r>
      <w:r>
        <w:rPr>
          <w:rFonts w:cs="Arial"/>
          <w:rtl/>
        </w:rPr>
        <w:t>כ</w:t>
      </w:r>
      <w:r>
        <w:rPr>
          <w:rFonts w:cs="Arial" w:hint="cs"/>
          <w:rtl/>
        </w:rPr>
        <w:t>ך</w:t>
      </w:r>
      <w:r>
        <w:rPr>
          <w:rFonts w:cs="Arial"/>
          <w:rtl/>
        </w:rPr>
        <w:t xml:space="preserve"> תגבה כתובתה. אבל בדברי אחר אינו יכול להשביעה אלא ע</w:t>
      </w:r>
      <w:r>
        <w:rPr>
          <w:rFonts w:cs="Arial" w:hint="cs"/>
          <w:rtl/>
        </w:rPr>
        <w:t>ל יד</w:t>
      </w:r>
      <w:r>
        <w:rPr>
          <w:rFonts w:cs="Arial"/>
          <w:rtl/>
        </w:rPr>
        <w:t xml:space="preserve">י גלגול. </w:t>
      </w:r>
      <w:r w:rsidRPr="00B24647">
        <w:rPr>
          <w:rFonts w:cs="Arial"/>
          <w:sz w:val="18"/>
          <w:szCs w:val="18"/>
          <w:rtl/>
        </w:rPr>
        <w:t>הגה: הרבה קרובים כולם אינם רק כעד אחד (</w:t>
      </w:r>
      <w:r>
        <w:rPr>
          <w:rFonts w:cs="Arial" w:hint="cs"/>
          <w:sz w:val="18"/>
          <w:szCs w:val="18"/>
          <w:rtl/>
        </w:rPr>
        <w:t>הגמ"ר</w:t>
      </w:r>
      <w:r w:rsidRPr="00B24647">
        <w:rPr>
          <w:rFonts w:cs="Arial"/>
          <w:sz w:val="18"/>
          <w:szCs w:val="18"/>
          <w:rtl/>
        </w:rPr>
        <w:t>). וע"ל סי' קע"ח סעיף ט'. וי"א דלא יכול לומר שמאמין לעד אלא אם מאמין לו ג"כ בשאר דברים, אבל אם אינו מאמין לו בשאר דברים, רק בדבר זה, משום דבלאו הכי נחשדת לו קצת, לא נאסרה עליו משום זה</w:t>
      </w:r>
      <w:r>
        <w:rPr>
          <w:rStyle w:val="a7"/>
          <w:rFonts w:cs="Arial"/>
          <w:sz w:val="18"/>
          <w:szCs w:val="18"/>
          <w:rtl/>
        </w:rPr>
        <w:footnoteReference w:id="2878"/>
      </w:r>
      <w:r w:rsidRPr="00B24647">
        <w:rPr>
          <w:rFonts w:cs="Arial"/>
          <w:sz w:val="18"/>
          <w:szCs w:val="18"/>
          <w:rtl/>
        </w:rPr>
        <w:t xml:space="preserve"> (מהרי"ק).</w:t>
      </w:r>
      <w:r>
        <w:rPr>
          <w:rFonts w:cs="Arial"/>
          <w:rtl/>
        </w:rPr>
        <w:t xml:space="preserve"> </w:t>
      </w:r>
    </w:p>
    <w:p w14:paraId="41B7AC72" w14:textId="77777777" w:rsidR="00392DBB" w:rsidRDefault="00392DBB" w:rsidP="00392DBB">
      <w:pPr>
        <w:rPr>
          <w:rtl/>
        </w:rPr>
      </w:pPr>
    </w:p>
    <w:p w14:paraId="3E5F56CC" w14:textId="77777777" w:rsidR="00392DBB" w:rsidRDefault="00392DBB" w:rsidP="000F64D0">
      <w:pPr>
        <w:pStyle w:val="2"/>
        <w:rPr>
          <w:rtl/>
        </w:rPr>
      </w:pPr>
      <w:r>
        <w:rPr>
          <w:rtl/>
        </w:rPr>
        <w:t>סעיף ח</w:t>
      </w:r>
      <w:r>
        <w:rPr>
          <w:rFonts w:hint="cs"/>
          <w:rtl/>
        </w:rPr>
        <w:t>:</w:t>
      </w:r>
      <w:r w:rsidRPr="007D286B">
        <w:rPr>
          <w:rtl/>
        </w:rPr>
        <w:t xml:space="preserve"> </w:t>
      </w:r>
      <w:r w:rsidRPr="00671DE4">
        <w:rPr>
          <w:rtl/>
        </w:rPr>
        <w:t xml:space="preserve">האומר לאשתו בפני עדים </w:t>
      </w:r>
      <w:r>
        <w:rPr>
          <w:rFonts w:hint="cs"/>
          <w:rtl/>
        </w:rPr>
        <w:t>'</w:t>
      </w:r>
      <w:r w:rsidRPr="00671DE4">
        <w:rPr>
          <w:rtl/>
        </w:rPr>
        <w:t>אל תסתרי עם איש פלוני</w:t>
      </w:r>
      <w:r>
        <w:rPr>
          <w:rFonts w:hint="cs"/>
          <w:rtl/>
        </w:rPr>
        <w:t>', ונסתרה.</w:t>
      </w:r>
    </w:p>
    <w:p w14:paraId="6A91B197" w14:textId="77777777" w:rsidR="00392DBB" w:rsidRDefault="00392DBB" w:rsidP="00392DBB">
      <w:pPr>
        <w:rPr>
          <w:rtl/>
        </w:rPr>
      </w:pPr>
      <w:r w:rsidRPr="00970BC0">
        <w:rPr>
          <w:rFonts w:hint="cs"/>
          <w:b/>
          <w:bCs/>
          <w:rtl/>
        </w:rPr>
        <w:t xml:space="preserve">סוטה </w:t>
      </w:r>
      <w:r w:rsidRPr="00970BC0">
        <w:rPr>
          <w:rFonts w:hint="cs"/>
          <w:b/>
          <w:bCs/>
          <w:sz w:val="16"/>
          <w:szCs w:val="16"/>
          <w:rtl/>
        </w:rPr>
        <w:t>(רפ"ק)</w:t>
      </w:r>
      <w:r w:rsidRPr="00970BC0">
        <w:rPr>
          <w:rFonts w:hint="cs"/>
          <w:b/>
          <w:bCs/>
          <w:rtl/>
        </w:rPr>
        <w:t xml:space="preserve"> ב ע"א:</w:t>
      </w:r>
      <w:r>
        <w:rPr>
          <w:rFonts w:hint="cs"/>
          <w:rtl/>
        </w:rPr>
        <w:t xml:space="preserve"> </w:t>
      </w:r>
      <w:r w:rsidRPr="00970BC0">
        <w:rPr>
          <w:rFonts w:cs="Arial"/>
          <w:u w:val="double"/>
          <w:rtl/>
        </w:rPr>
        <w:t>מתני'</w:t>
      </w:r>
      <w:r>
        <w:rPr>
          <w:rFonts w:cs="Arial" w:hint="cs"/>
          <w:rtl/>
        </w:rPr>
        <w:t>:</w:t>
      </w:r>
      <w:r w:rsidRPr="00970BC0">
        <w:rPr>
          <w:rFonts w:cs="Arial"/>
          <w:rtl/>
        </w:rPr>
        <w:t xml:space="preserve"> המקנא לאשתו, </w:t>
      </w:r>
      <w:r w:rsidRPr="00970BC0">
        <w:rPr>
          <w:rFonts w:cs="Arial"/>
          <w:u w:val="single"/>
          <w:rtl/>
        </w:rPr>
        <w:t>רבי אליעזר אומר</w:t>
      </w:r>
      <w:r w:rsidRPr="00970BC0">
        <w:rPr>
          <w:rFonts w:cs="Arial"/>
          <w:rtl/>
        </w:rPr>
        <w:t>: מקנא לה על פי שנים, ומשקה על פי עד אחד או ע"פ עצמו</w:t>
      </w:r>
      <w:r>
        <w:rPr>
          <w:rFonts w:cs="Arial" w:hint="cs"/>
          <w:rtl/>
        </w:rPr>
        <w:t>.</w:t>
      </w:r>
      <w:r w:rsidRPr="00970BC0">
        <w:rPr>
          <w:rFonts w:cs="Arial"/>
          <w:rtl/>
        </w:rPr>
        <w:t xml:space="preserve"> </w:t>
      </w:r>
      <w:r w:rsidRPr="00970BC0">
        <w:rPr>
          <w:rFonts w:cs="Arial"/>
          <w:u w:val="single"/>
          <w:rtl/>
        </w:rPr>
        <w:t>רבי יהושע אומר</w:t>
      </w:r>
      <w:r w:rsidRPr="00970BC0">
        <w:rPr>
          <w:rFonts w:cs="Arial"/>
          <w:rtl/>
        </w:rPr>
        <w:t>: מקנא לה על פי שנים ומשקה ע"פ שנים. כיצד מקנא לה? אומר לה בפני שנים אל תדברי עם איש פלוני, ודברה עמו - עדיין היא מותרת לביתה ומותרת לאכול בתרומה, נכנסה עמו לבית הסתר ושהתה עמו כדי טומאה - אסורה לביתה ואסורה לאכול בתרומה, ואם מת - חולצת ולא מתייבמת.</w:t>
      </w:r>
    </w:p>
    <w:p w14:paraId="7256D3C1" w14:textId="77777777" w:rsidR="00392DBB" w:rsidRDefault="00392DBB" w:rsidP="00392DBB">
      <w:pPr>
        <w:rPr>
          <w:rFonts w:cs="Arial"/>
          <w:rtl/>
        </w:rPr>
      </w:pPr>
      <w:r w:rsidRPr="00970BC0">
        <w:rPr>
          <w:rFonts w:hint="cs"/>
          <w:b/>
          <w:bCs/>
          <w:rtl/>
        </w:rPr>
        <w:t xml:space="preserve">סוטה </w:t>
      </w:r>
      <w:r w:rsidRPr="00970BC0">
        <w:rPr>
          <w:rFonts w:hint="cs"/>
          <w:b/>
          <w:bCs/>
          <w:sz w:val="16"/>
          <w:szCs w:val="16"/>
          <w:rtl/>
        </w:rPr>
        <w:t>(ר</w:t>
      </w:r>
      <w:r>
        <w:rPr>
          <w:rFonts w:hint="cs"/>
          <w:b/>
          <w:bCs/>
          <w:sz w:val="16"/>
          <w:szCs w:val="16"/>
          <w:rtl/>
        </w:rPr>
        <w:t>"</w:t>
      </w:r>
      <w:r w:rsidRPr="00970BC0">
        <w:rPr>
          <w:rFonts w:hint="cs"/>
          <w:b/>
          <w:bCs/>
          <w:sz w:val="16"/>
          <w:szCs w:val="16"/>
          <w:rtl/>
        </w:rPr>
        <w:t>פ</w:t>
      </w:r>
      <w:r>
        <w:rPr>
          <w:rFonts w:hint="cs"/>
          <w:b/>
          <w:bCs/>
          <w:sz w:val="16"/>
          <w:szCs w:val="16"/>
          <w:rtl/>
        </w:rPr>
        <w:t xml:space="preserve"> ארוסה</w:t>
      </w:r>
      <w:r w:rsidRPr="00970BC0">
        <w:rPr>
          <w:rFonts w:hint="cs"/>
          <w:b/>
          <w:bCs/>
          <w:sz w:val="16"/>
          <w:szCs w:val="16"/>
          <w:rtl/>
        </w:rPr>
        <w:t>)</w:t>
      </w:r>
      <w:r w:rsidRPr="00970BC0">
        <w:rPr>
          <w:rFonts w:hint="cs"/>
          <w:b/>
          <w:bCs/>
          <w:rtl/>
        </w:rPr>
        <w:t xml:space="preserve"> </w:t>
      </w:r>
      <w:r>
        <w:rPr>
          <w:rFonts w:hint="cs"/>
          <w:b/>
          <w:bCs/>
          <w:rtl/>
        </w:rPr>
        <w:t>כד</w:t>
      </w:r>
      <w:r w:rsidRPr="00970BC0">
        <w:rPr>
          <w:rFonts w:hint="cs"/>
          <w:b/>
          <w:bCs/>
          <w:rtl/>
        </w:rPr>
        <w:t xml:space="preserve"> ע"</w:t>
      </w:r>
      <w:r>
        <w:rPr>
          <w:rFonts w:hint="cs"/>
          <w:b/>
          <w:bCs/>
          <w:rtl/>
        </w:rPr>
        <w:t>א</w:t>
      </w:r>
      <w:r w:rsidRPr="00970BC0">
        <w:rPr>
          <w:rFonts w:hint="cs"/>
          <w:b/>
          <w:bCs/>
          <w:rtl/>
        </w:rPr>
        <w:t>:</w:t>
      </w:r>
      <w:r>
        <w:rPr>
          <w:rFonts w:hint="cs"/>
          <w:rtl/>
        </w:rPr>
        <w:t xml:space="preserve"> </w:t>
      </w:r>
      <w:r w:rsidRPr="00970BC0">
        <w:rPr>
          <w:rFonts w:cs="Arial"/>
          <w:u w:val="double"/>
          <w:rtl/>
        </w:rPr>
        <w:t>מתני'</w:t>
      </w:r>
      <w:r>
        <w:rPr>
          <w:rFonts w:cs="Arial" w:hint="cs"/>
          <w:rtl/>
        </w:rPr>
        <w:t xml:space="preserve">:... </w:t>
      </w:r>
      <w:r w:rsidRPr="00970BC0">
        <w:rPr>
          <w:rFonts w:cs="Arial"/>
          <w:rtl/>
        </w:rPr>
        <w:t xml:space="preserve">מתו בעליהן עד שלא שתו - </w:t>
      </w:r>
      <w:r w:rsidRPr="005327EC">
        <w:rPr>
          <w:rFonts w:cs="Arial"/>
          <w:u w:val="single"/>
          <w:rtl/>
        </w:rPr>
        <w:t>בש"א</w:t>
      </w:r>
      <w:r w:rsidRPr="00970BC0">
        <w:rPr>
          <w:rFonts w:cs="Arial"/>
          <w:rtl/>
        </w:rPr>
        <w:t>: נוטלות כתובה ולא שותות</w:t>
      </w:r>
      <w:r>
        <w:rPr>
          <w:rFonts w:cs="Arial" w:hint="cs"/>
          <w:rtl/>
        </w:rPr>
        <w:t>.</w:t>
      </w:r>
      <w:r w:rsidRPr="00970BC0">
        <w:rPr>
          <w:rFonts w:cs="Arial"/>
          <w:rtl/>
        </w:rPr>
        <w:t xml:space="preserve"> </w:t>
      </w:r>
      <w:r w:rsidRPr="005327EC">
        <w:rPr>
          <w:rFonts w:cs="Arial"/>
          <w:u w:val="single"/>
          <w:rtl/>
        </w:rPr>
        <w:t>ובה"א</w:t>
      </w:r>
      <w:r w:rsidRPr="00970BC0">
        <w:rPr>
          <w:rFonts w:cs="Arial"/>
          <w:rtl/>
        </w:rPr>
        <w:t>: או שותות או לא נוטלות כתובתן</w:t>
      </w:r>
      <w:r>
        <w:rPr>
          <w:rFonts w:cs="Arial" w:hint="cs"/>
          <w:rtl/>
        </w:rPr>
        <w:t>..</w:t>
      </w:r>
      <w:r w:rsidRPr="00970BC0">
        <w:rPr>
          <w:rFonts w:cs="Arial"/>
          <w:rtl/>
        </w:rPr>
        <w:t>.</w:t>
      </w:r>
      <w:r>
        <w:rPr>
          <w:rFonts w:cs="Arial" w:hint="cs"/>
          <w:rtl/>
        </w:rPr>
        <w:t xml:space="preserve">        </w:t>
      </w:r>
      <w:r>
        <w:rPr>
          <w:rFonts w:cs="Arial" w:hint="cs"/>
          <w:u w:val="double"/>
          <w:rtl/>
        </w:rPr>
        <w:t>גמ'</w:t>
      </w:r>
      <w:r>
        <w:rPr>
          <w:rFonts w:cs="Arial" w:hint="cs"/>
          <w:sz w:val="14"/>
          <w:szCs w:val="14"/>
          <w:u w:val="double"/>
          <w:rtl/>
        </w:rPr>
        <w:t>(כה.)</w:t>
      </w:r>
      <w:r>
        <w:rPr>
          <w:rFonts w:cs="Arial" w:hint="cs"/>
          <w:u w:val="double"/>
          <w:rtl/>
        </w:rPr>
        <w:t>:</w:t>
      </w:r>
      <w:r>
        <w:rPr>
          <w:rFonts w:cs="Arial" w:hint="cs"/>
          <w:rtl/>
        </w:rPr>
        <w:t xml:space="preserve"> </w:t>
      </w:r>
      <w:r w:rsidRPr="00D271AA">
        <w:rPr>
          <w:rFonts w:cs="Arial"/>
          <w:rtl/>
        </w:rPr>
        <w:t>מתו בעליהן עד שלא שתו - ב"ש כו'. במאי קמיפלגי? בית שמאי סברי: שטר העומד לגבות כגבוי דמי,</w:t>
      </w:r>
      <w:r>
        <w:rPr>
          <w:rFonts w:hint="cs"/>
          <w:sz w:val="14"/>
          <w:szCs w:val="14"/>
          <w:rtl/>
        </w:rPr>
        <w:t>(כה:)</w:t>
      </w:r>
      <w:r w:rsidRPr="00D271AA">
        <w:rPr>
          <w:rtl/>
        </w:rPr>
        <w:t xml:space="preserve"> </w:t>
      </w:r>
      <w:r w:rsidRPr="00D271AA">
        <w:rPr>
          <w:rFonts w:cs="Arial"/>
          <w:rtl/>
        </w:rPr>
        <w:t>וב"ה סברי: שטר העומד לגבות לאו כגבוי דמי.</w:t>
      </w:r>
    </w:p>
    <w:p w14:paraId="08069485" w14:textId="77777777" w:rsidR="00392DBB" w:rsidRDefault="00392DBB" w:rsidP="00392DBB">
      <w:pPr>
        <w:rPr>
          <w:rtl/>
        </w:rPr>
      </w:pPr>
      <w:r w:rsidRPr="0039343A">
        <w:rPr>
          <w:rFonts w:cs="Arial" w:hint="cs"/>
          <w:b/>
          <w:bCs/>
          <w:rtl/>
        </w:rPr>
        <w:t>יבמות</w:t>
      </w:r>
      <w:r>
        <w:rPr>
          <w:rFonts w:cs="Arial" w:hint="cs"/>
          <w:b/>
          <w:bCs/>
          <w:sz w:val="16"/>
          <w:szCs w:val="16"/>
          <w:rtl/>
        </w:rPr>
        <w:t xml:space="preserve"> (פ' החולץ)</w:t>
      </w:r>
      <w:r w:rsidRPr="0039343A">
        <w:rPr>
          <w:rFonts w:cs="Arial" w:hint="cs"/>
          <w:b/>
          <w:bCs/>
          <w:rtl/>
        </w:rPr>
        <w:t xml:space="preserve"> לח ע"</w:t>
      </w:r>
      <w:r>
        <w:rPr>
          <w:rFonts w:cs="Arial" w:hint="cs"/>
          <w:b/>
          <w:bCs/>
          <w:rtl/>
        </w:rPr>
        <w:t>ב</w:t>
      </w:r>
      <w:r w:rsidRPr="0039343A">
        <w:rPr>
          <w:rFonts w:cs="Arial" w:hint="cs"/>
          <w:b/>
          <w:bCs/>
          <w:rtl/>
        </w:rPr>
        <w:t xml:space="preserve">: </w:t>
      </w:r>
      <w:r w:rsidRPr="0039343A">
        <w:rPr>
          <w:rFonts w:cs="Arial"/>
          <w:rtl/>
        </w:rPr>
        <w:t>דתנן: מתו בעליהן עד שלא שתו - ב"ש אומרים: נוטלות כתובתן ואינן שותות, וב"ה אומרים: או שותות או לא נוטלות כתובתן; או שותות? והביא האיש את אשתו אמר רחמנא, וליכא! אלא, מתוך שלא שותות - לא נוטלות כתובתן</w:t>
      </w:r>
      <w:r>
        <w:rPr>
          <w:rFonts w:hint="cs"/>
          <w:rtl/>
        </w:rPr>
        <w:t>.</w:t>
      </w:r>
    </w:p>
    <w:p w14:paraId="7F7C5A1A" w14:textId="77777777" w:rsidR="00392DBB" w:rsidRDefault="00392DBB" w:rsidP="00392DBB">
      <w:pPr>
        <w:rPr>
          <w:rtl/>
        </w:rPr>
      </w:pPr>
      <w:r w:rsidRPr="00634C48">
        <w:rPr>
          <w:rFonts w:cs="Arial"/>
          <w:b/>
          <w:bCs/>
          <w:rtl/>
        </w:rPr>
        <w:t xml:space="preserve">כתובות </w:t>
      </w:r>
      <w:r w:rsidRPr="00634C48">
        <w:rPr>
          <w:rFonts w:cs="Arial" w:hint="cs"/>
          <w:b/>
          <w:bCs/>
          <w:sz w:val="16"/>
          <w:szCs w:val="16"/>
          <w:rtl/>
        </w:rPr>
        <w:t>(ס"פ</w:t>
      </w:r>
      <w:r w:rsidRPr="00634C48">
        <w:rPr>
          <w:rFonts w:cs="Arial"/>
          <w:b/>
          <w:bCs/>
          <w:sz w:val="16"/>
          <w:szCs w:val="16"/>
          <w:rtl/>
        </w:rPr>
        <w:t xml:space="preserve"> אלמנה נזונת</w:t>
      </w:r>
      <w:r w:rsidRPr="00634C48">
        <w:rPr>
          <w:rFonts w:cs="Arial" w:hint="cs"/>
          <w:b/>
          <w:bCs/>
          <w:sz w:val="16"/>
          <w:szCs w:val="16"/>
          <w:rtl/>
        </w:rPr>
        <w:t xml:space="preserve">) </w:t>
      </w:r>
      <w:r w:rsidRPr="00634C48">
        <w:rPr>
          <w:rFonts w:cs="Arial"/>
          <w:b/>
          <w:bCs/>
          <w:rtl/>
        </w:rPr>
        <w:t>קא</w:t>
      </w:r>
      <w:r w:rsidRPr="00634C48">
        <w:rPr>
          <w:rFonts w:cs="Arial" w:hint="cs"/>
          <w:b/>
          <w:bCs/>
          <w:rtl/>
        </w:rPr>
        <w:t xml:space="preserve"> ע"א:</w:t>
      </w:r>
      <w:r w:rsidRPr="00026E9E">
        <w:rPr>
          <w:rFonts w:cs="Arial"/>
          <w:rtl/>
        </w:rPr>
        <w:t xml:space="preserve"> </w:t>
      </w:r>
      <w:r w:rsidRPr="008C07EF">
        <w:rPr>
          <w:rFonts w:cs="Arial"/>
          <w:rtl/>
        </w:rPr>
        <w:t>ת</w:t>
      </w:r>
      <w:r>
        <w:rPr>
          <w:rFonts w:cs="Arial" w:hint="cs"/>
          <w:rtl/>
        </w:rPr>
        <w:t>ניא נמי הכי</w:t>
      </w:r>
      <w:r w:rsidRPr="008C07EF">
        <w:rPr>
          <w:rFonts w:cs="Arial"/>
          <w:rtl/>
        </w:rPr>
        <w:t>:</w:t>
      </w:r>
      <w:r>
        <w:rPr>
          <w:rFonts w:cs="Arial" w:hint="cs"/>
          <w:rtl/>
        </w:rPr>
        <w:t>...</w:t>
      </w:r>
      <w:r w:rsidRPr="008C07EF">
        <w:rPr>
          <w:rFonts w:cs="Arial"/>
          <w:rtl/>
        </w:rPr>
        <w:t xml:space="preserve"> נשים שאמרו חכמים יוצאות שלא בכתובה, כגון עוברת על דת וחברותיה - אין להן תוספת, וכ"ש מנה מאתים</w:t>
      </w:r>
      <w:r>
        <w:rPr>
          <w:rStyle w:val="a7"/>
          <w:rFonts w:cs="Arial"/>
          <w:rtl/>
        </w:rPr>
        <w:footnoteReference w:id="2879"/>
      </w:r>
      <w:r>
        <w:rPr>
          <w:rFonts w:cs="Arial" w:hint="cs"/>
          <w:rtl/>
        </w:rPr>
        <w:t>.</w:t>
      </w:r>
      <w:r w:rsidRPr="008C07EF">
        <w:rPr>
          <w:rFonts w:cs="Arial"/>
          <w:rtl/>
        </w:rPr>
        <w:t xml:space="preserve"> והיוצאת משום שם רע - נוטלת מה שלפניה ויוצאה. מסייע ליה לרב הונא, </w:t>
      </w:r>
      <w:r w:rsidRPr="008F592A">
        <w:rPr>
          <w:rFonts w:cs="Arial"/>
          <w:u w:val="single"/>
          <w:rtl/>
        </w:rPr>
        <w:t>דאמר רב הונא</w:t>
      </w:r>
      <w:r w:rsidRPr="008C07EF">
        <w:rPr>
          <w:rFonts w:cs="Arial"/>
          <w:rtl/>
        </w:rPr>
        <w:t>: זינתה, לא הפסידה</w:t>
      </w:r>
      <w:r>
        <w:rPr>
          <w:rFonts w:cs="Arial" w:hint="cs"/>
          <w:sz w:val="14"/>
          <w:szCs w:val="14"/>
          <w:rtl/>
        </w:rPr>
        <w:t xml:space="preserve"> (קא:)</w:t>
      </w:r>
      <w:r w:rsidRPr="008C07EF">
        <w:rPr>
          <w:rtl/>
        </w:rPr>
        <w:t xml:space="preserve"> </w:t>
      </w:r>
      <w:r w:rsidRPr="008C07EF">
        <w:rPr>
          <w:rFonts w:cs="Arial"/>
          <w:rtl/>
        </w:rPr>
        <w:t>בלאותיה קיימין.</w:t>
      </w:r>
      <w:r>
        <w:rPr>
          <w:rFonts w:cs="Arial" w:hint="cs"/>
          <w:rtl/>
        </w:rPr>
        <w:t xml:space="preserve"> </w:t>
      </w:r>
    </w:p>
    <w:p w14:paraId="60998297" w14:textId="4F6EC875" w:rsidR="00392DBB" w:rsidRPr="007D286B" w:rsidRDefault="00392DBB" w:rsidP="00392DBB">
      <w:pPr>
        <w:rPr>
          <w:u w:val="single"/>
          <w:rtl/>
        </w:rPr>
      </w:pPr>
      <w:r w:rsidRPr="007D286B">
        <w:rPr>
          <w:rFonts w:cs="Arial"/>
          <w:u w:val="single"/>
          <w:rtl/>
        </w:rPr>
        <w:t xml:space="preserve">האומר לאשתו בפני עדים </w:t>
      </w:r>
      <w:r w:rsidRPr="007D286B">
        <w:rPr>
          <w:rFonts w:cs="Arial" w:hint="cs"/>
          <w:u w:val="single"/>
          <w:rtl/>
        </w:rPr>
        <w:t>'</w:t>
      </w:r>
      <w:r w:rsidRPr="007D286B">
        <w:rPr>
          <w:rFonts w:cs="Arial"/>
          <w:u w:val="single"/>
          <w:rtl/>
        </w:rPr>
        <w:t>אל תסתרי עם אי</w:t>
      </w:r>
      <w:r w:rsidRPr="007D286B">
        <w:rPr>
          <w:rFonts w:cs="Arial" w:hint="cs"/>
          <w:u w:val="single"/>
          <w:rtl/>
        </w:rPr>
        <w:t>ש</w:t>
      </w:r>
      <w:r w:rsidRPr="007D286B">
        <w:rPr>
          <w:rFonts w:cs="Arial"/>
          <w:u w:val="single"/>
          <w:rtl/>
        </w:rPr>
        <w:t xml:space="preserve"> פלוני</w:t>
      </w:r>
      <w:r w:rsidRPr="007D286B">
        <w:rPr>
          <w:rFonts w:cs="Arial" w:hint="cs"/>
          <w:u w:val="single"/>
          <w:rtl/>
        </w:rPr>
        <w:t xml:space="preserve">' </w:t>
      </w:r>
      <w:r w:rsidR="00F97626">
        <w:rPr>
          <w:rFonts w:cs="Arial"/>
          <w:u w:val="single"/>
          <w:rtl/>
        </w:rPr>
        <w:t>-</w:t>
      </w:r>
      <w:r w:rsidRPr="007D286B">
        <w:rPr>
          <w:rFonts w:cs="Arial" w:hint="cs"/>
          <w:u w:val="single"/>
          <w:rtl/>
        </w:rPr>
        <w:t xml:space="preserve"> ונסתרה:</w:t>
      </w:r>
    </w:p>
    <w:p w14:paraId="7C33D177" w14:textId="77777777" w:rsidR="00392DBB" w:rsidRPr="007D286B" w:rsidRDefault="00392DBB" w:rsidP="009000E3">
      <w:pPr>
        <w:pStyle w:val="ab"/>
        <w:numPr>
          <w:ilvl w:val="0"/>
          <w:numId w:val="72"/>
        </w:numPr>
      </w:pPr>
      <w:r>
        <w:rPr>
          <w:rFonts w:cs="Arial" w:hint="cs"/>
          <w:rtl/>
        </w:rPr>
        <w:lastRenderedPageBreak/>
        <w:t xml:space="preserve">טור- </w:t>
      </w:r>
      <w:r w:rsidRPr="00671DE4">
        <w:rPr>
          <w:rFonts w:cs="Arial"/>
          <w:rtl/>
        </w:rPr>
        <w:t xml:space="preserve">האומר לאשתו בפני עדים </w:t>
      </w:r>
      <w:r>
        <w:rPr>
          <w:rFonts w:cs="Arial" w:hint="cs"/>
          <w:rtl/>
        </w:rPr>
        <w:t>'</w:t>
      </w:r>
      <w:r w:rsidRPr="00671DE4">
        <w:rPr>
          <w:rFonts w:cs="Arial"/>
          <w:rtl/>
        </w:rPr>
        <w:t>אל תסתרי עם איש פלוני</w:t>
      </w:r>
      <w:r>
        <w:rPr>
          <w:rFonts w:cs="Arial" w:hint="cs"/>
          <w:rtl/>
        </w:rPr>
        <w:t>'</w:t>
      </w:r>
      <w:r>
        <w:rPr>
          <w:rStyle w:val="a7"/>
          <w:rFonts w:cs="Arial"/>
          <w:rtl/>
        </w:rPr>
        <w:footnoteReference w:id="2880"/>
      </w:r>
      <w:r>
        <w:rPr>
          <w:rFonts w:cs="Arial" w:hint="cs"/>
          <w:rtl/>
        </w:rPr>
        <w:t>,</w:t>
      </w:r>
      <w:r w:rsidRPr="00671DE4">
        <w:rPr>
          <w:rFonts w:cs="Arial"/>
          <w:rtl/>
        </w:rPr>
        <w:t xml:space="preserve"> ויש עדים שנכנסה עמו בסתר ושהתה עמו כדי טומאה </w:t>
      </w:r>
      <w:r>
        <w:rPr>
          <w:rFonts w:cs="Arial" w:hint="cs"/>
          <w:rtl/>
        </w:rPr>
        <w:t xml:space="preserve">- </w:t>
      </w:r>
      <w:r w:rsidRPr="00671DE4">
        <w:rPr>
          <w:rFonts w:cs="Arial"/>
          <w:rtl/>
        </w:rPr>
        <w:t>אסורה לבעלה עד שתשתה</w:t>
      </w:r>
      <w:r>
        <w:rPr>
          <w:rFonts w:cs="Arial" w:hint="cs"/>
          <w:rtl/>
        </w:rPr>
        <w:t>.</w:t>
      </w:r>
      <w:r w:rsidRPr="00671DE4">
        <w:rPr>
          <w:rFonts w:cs="Arial"/>
          <w:rtl/>
        </w:rPr>
        <w:t xml:space="preserve"> ואם מת</w:t>
      </w:r>
      <w:r>
        <w:rPr>
          <w:rStyle w:val="a7"/>
          <w:rFonts w:cs="Arial"/>
          <w:rtl/>
        </w:rPr>
        <w:footnoteReference w:id="2881"/>
      </w:r>
      <w:r w:rsidRPr="00671DE4">
        <w:rPr>
          <w:rFonts w:cs="Arial"/>
          <w:rtl/>
        </w:rPr>
        <w:t xml:space="preserve"> קודם שישקנה </w:t>
      </w:r>
      <w:r>
        <w:rPr>
          <w:rFonts w:cs="Arial" w:hint="cs"/>
          <w:rtl/>
        </w:rPr>
        <w:t xml:space="preserve">- </w:t>
      </w:r>
      <w:r w:rsidRPr="00671DE4">
        <w:rPr>
          <w:rFonts w:cs="Arial"/>
          <w:rtl/>
        </w:rPr>
        <w:t>אין לה כתובה</w:t>
      </w:r>
      <w:r>
        <w:rPr>
          <w:rFonts w:cs="Arial" w:hint="cs"/>
          <w:rtl/>
        </w:rPr>
        <w:t>,</w:t>
      </w:r>
      <w:r w:rsidRPr="00671DE4">
        <w:rPr>
          <w:rFonts w:cs="Arial"/>
          <w:rtl/>
        </w:rPr>
        <w:t xml:space="preserve"> לא עיקר ולא תוספ</w:t>
      </w:r>
      <w:r>
        <w:rPr>
          <w:rFonts w:cs="Arial" w:hint="cs"/>
          <w:rtl/>
        </w:rPr>
        <w:t>ת</w:t>
      </w:r>
      <w:r w:rsidRPr="00671DE4">
        <w:rPr>
          <w:rFonts w:cs="Arial"/>
          <w:rtl/>
        </w:rPr>
        <w:t xml:space="preserve"> אף על פי שלא מצאו עליה דבר מכוער</w:t>
      </w:r>
      <w:r>
        <w:rPr>
          <w:rFonts w:cs="Arial" w:hint="cs"/>
          <w:rtl/>
        </w:rPr>
        <w:t>,</w:t>
      </w:r>
      <w:r w:rsidRPr="00671DE4">
        <w:rPr>
          <w:rFonts w:cs="Arial"/>
          <w:rtl/>
        </w:rPr>
        <w:t xml:space="preserve"> שאין לך דבר מכוער יותר מזה</w:t>
      </w:r>
      <w:r>
        <w:rPr>
          <w:rFonts w:cs="Arial" w:hint="cs"/>
          <w:rtl/>
        </w:rPr>
        <w:t>.</w:t>
      </w:r>
      <w:r w:rsidRPr="00671DE4">
        <w:rPr>
          <w:rFonts w:cs="Arial"/>
          <w:rtl/>
        </w:rPr>
        <w:t xml:space="preserve"> ובזמן הזה שאין מי סוטה </w:t>
      </w:r>
      <w:r>
        <w:rPr>
          <w:rFonts w:cs="Arial" w:hint="cs"/>
          <w:rtl/>
        </w:rPr>
        <w:t xml:space="preserve">- </w:t>
      </w:r>
      <w:r w:rsidRPr="00671DE4">
        <w:rPr>
          <w:rFonts w:cs="Arial"/>
          <w:rtl/>
        </w:rPr>
        <w:t>אסורה לו עולמית ותצא בלא כתובה שהרי מעשיה הרעים גרמו לה להיאסר</w:t>
      </w:r>
      <w:r>
        <w:rPr>
          <w:rStyle w:val="a7"/>
          <w:rFonts w:cs="Arial"/>
          <w:rtl/>
        </w:rPr>
        <w:footnoteReference w:id="2882"/>
      </w:r>
      <w:r>
        <w:rPr>
          <w:rFonts w:cs="Arial" w:hint="cs"/>
          <w:rtl/>
        </w:rPr>
        <w:t>.</w:t>
      </w:r>
      <w:r w:rsidRPr="00671DE4">
        <w:rPr>
          <w:rFonts w:cs="Arial"/>
          <w:rtl/>
        </w:rPr>
        <w:t xml:space="preserve"> </w:t>
      </w:r>
      <w:r w:rsidRPr="008C7592">
        <w:rPr>
          <w:rFonts w:hint="cs"/>
          <w:color w:val="E36C0A" w:themeColor="accent6" w:themeShade="BF"/>
          <w:rtl/>
        </w:rPr>
        <w:t>(וכ"פ בשו"ע)</w:t>
      </w:r>
    </w:p>
    <w:p w14:paraId="6AF7B0AC" w14:textId="77777777" w:rsidR="00392DBB" w:rsidRPr="007D286B" w:rsidRDefault="00392DBB" w:rsidP="00392DBB">
      <w:pPr>
        <w:ind w:left="360"/>
        <w:rPr>
          <w:u w:val="dotted"/>
        </w:rPr>
      </w:pPr>
      <w:r w:rsidRPr="007D286B">
        <w:rPr>
          <w:rFonts w:hint="cs"/>
          <w:u w:val="dotted"/>
          <w:rtl/>
        </w:rPr>
        <w:t xml:space="preserve">האם יכול להתייחד עמה: </w:t>
      </w:r>
    </w:p>
    <w:p w14:paraId="3B41ACCC" w14:textId="7ED681C1" w:rsidR="00392DBB" w:rsidRPr="00E069A0" w:rsidRDefault="00392DBB" w:rsidP="009000E3">
      <w:pPr>
        <w:pStyle w:val="ab"/>
        <w:numPr>
          <w:ilvl w:val="0"/>
          <w:numId w:val="72"/>
        </w:numPr>
        <w:rPr>
          <w:rtl/>
        </w:rPr>
      </w:pPr>
      <w:r w:rsidRPr="007D286B">
        <w:rPr>
          <w:rFonts w:cs="Arial"/>
          <w:rtl/>
        </w:rPr>
        <w:t xml:space="preserve">רא"ש </w:t>
      </w:r>
      <w:r w:rsidRPr="007D286B">
        <w:rPr>
          <w:rFonts w:cs="Arial" w:hint="cs"/>
          <w:sz w:val="16"/>
          <w:szCs w:val="16"/>
          <w:rtl/>
        </w:rPr>
        <w:t>(כלל לב סי' יא)</w:t>
      </w:r>
      <w:r w:rsidRPr="007D286B">
        <w:rPr>
          <w:rFonts w:cs="Arial" w:hint="cs"/>
          <w:rtl/>
        </w:rPr>
        <w:t>-</w:t>
      </w:r>
      <w:r w:rsidRPr="007D286B">
        <w:rPr>
          <w:rFonts w:cs="Arial"/>
          <w:rtl/>
        </w:rPr>
        <w:t xml:space="preserve"> כיון דאסורה לבעלה</w:t>
      </w:r>
      <w:r w:rsidRPr="007D286B">
        <w:rPr>
          <w:rFonts w:cs="Arial" w:hint="cs"/>
          <w:rtl/>
        </w:rPr>
        <w:t xml:space="preserve"> </w:t>
      </w:r>
      <w:r w:rsidRPr="007D286B">
        <w:rPr>
          <w:rFonts w:cs="Arial"/>
          <w:rtl/>
        </w:rPr>
        <w:t>אסור להתייחד עמה</w:t>
      </w:r>
      <w:r w:rsidRPr="007D286B">
        <w:rPr>
          <w:rFonts w:cs="Arial" w:hint="cs"/>
          <w:rtl/>
        </w:rPr>
        <w:t>,</w:t>
      </w:r>
      <w:r w:rsidRPr="007D286B">
        <w:rPr>
          <w:rFonts w:cs="Arial"/>
          <w:rtl/>
        </w:rPr>
        <w:t xml:space="preserve"> כדתנן (סוטה ז.) ומוסרין לו שני ת"ח שמא יבא עליה בדרך</w:t>
      </w:r>
      <w:r w:rsidRPr="007D286B">
        <w:rPr>
          <w:rFonts w:cs="Arial" w:hint="cs"/>
          <w:rtl/>
        </w:rPr>
        <w:t>.</w:t>
      </w:r>
      <w:r w:rsidRPr="007D286B">
        <w:rPr>
          <w:rFonts w:cs="Arial"/>
          <w:rtl/>
        </w:rPr>
        <w:t xml:space="preserve"> והאומרים שאין כופין אותו להוציאה</w:t>
      </w:r>
      <w:r w:rsidR="00897B07">
        <w:rPr>
          <w:rFonts w:cs="Arial" w:hint="cs"/>
          <w:rtl/>
        </w:rPr>
        <w:t>,</w:t>
      </w:r>
      <w:r w:rsidRPr="007D286B">
        <w:rPr>
          <w:rFonts w:cs="Arial" w:hint="cs"/>
          <w:rtl/>
        </w:rPr>
        <w:t xml:space="preserve"> </w:t>
      </w:r>
      <w:r w:rsidRPr="007D286B">
        <w:rPr>
          <w:rFonts w:cs="Arial"/>
          <w:rtl/>
        </w:rPr>
        <w:t>טועים הם</w:t>
      </w:r>
      <w:r w:rsidRPr="007D286B">
        <w:rPr>
          <w:rFonts w:cs="Arial" w:hint="cs"/>
          <w:rtl/>
        </w:rPr>
        <w:t>.</w:t>
      </w:r>
      <w:r w:rsidRPr="007D286B">
        <w:rPr>
          <w:rFonts w:cs="Arial"/>
          <w:rtl/>
        </w:rPr>
        <w:t xml:space="preserve"> וכיון שאסור להתייחד עמה</w:t>
      </w:r>
      <w:r w:rsidRPr="007D286B">
        <w:rPr>
          <w:rFonts w:cs="Arial" w:hint="cs"/>
          <w:rtl/>
        </w:rPr>
        <w:t>,</w:t>
      </w:r>
      <w:r w:rsidRPr="007D286B">
        <w:rPr>
          <w:rFonts w:cs="Arial"/>
          <w:rtl/>
        </w:rPr>
        <w:t xml:space="preserve"> אינו רשאי לשהותה בביתו</w:t>
      </w:r>
      <w:r w:rsidRPr="007D286B">
        <w:rPr>
          <w:rFonts w:cs="Arial" w:hint="cs"/>
          <w:rtl/>
        </w:rPr>
        <w:t>,</w:t>
      </w:r>
      <w:r w:rsidRPr="007D286B">
        <w:rPr>
          <w:rFonts w:cs="Arial"/>
          <w:rtl/>
        </w:rPr>
        <w:t xml:space="preserve"> שמא יבא עליה וכופין אותה להוציא מביתו</w:t>
      </w:r>
      <w:r w:rsidRPr="007D286B">
        <w:rPr>
          <w:rFonts w:cs="Arial" w:hint="cs"/>
          <w:rtl/>
        </w:rPr>
        <w:t>.</w:t>
      </w:r>
      <w:r w:rsidRPr="007D286B">
        <w:rPr>
          <w:rFonts w:cs="Arial"/>
          <w:rtl/>
        </w:rPr>
        <w:t xml:space="preserve"> ואפילו רצה למחול על קינויו</w:t>
      </w:r>
      <w:r w:rsidRPr="007D286B">
        <w:rPr>
          <w:rFonts w:cs="Arial" w:hint="cs"/>
          <w:rtl/>
        </w:rPr>
        <w:t xml:space="preserve"> -</w:t>
      </w:r>
      <w:r w:rsidRPr="007D286B">
        <w:rPr>
          <w:rFonts w:cs="Arial"/>
          <w:rtl/>
        </w:rPr>
        <w:t xml:space="preserve"> לאו כל כמיניה</w:t>
      </w:r>
      <w:r w:rsidRPr="007D286B">
        <w:rPr>
          <w:rFonts w:cs="Arial" w:hint="cs"/>
          <w:rtl/>
        </w:rPr>
        <w:t>,</w:t>
      </w:r>
      <w:r w:rsidRPr="007D286B">
        <w:rPr>
          <w:rFonts w:cs="Arial"/>
          <w:rtl/>
        </w:rPr>
        <w:t xml:space="preserve"> דמסקינן בסוטה פרק ארוסה (כה.) דבעל שמחל על קינויו לפני סתירה מחול</w:t>
      </w:r>
      <w:r w:rsidRPr="007D286B">
        <w:rPr>
          <w:rFonts w:cs="Arial" w:hint="cs"/>
          <w:rtl/>
        </w:rPr>
        <w:t>,</w:t>
      </w:r>
      <w:r w:rsidRPr="007D286B">
        <w:rPr>
          <w:rFonts w:cs="Arial"/>
          <w:rtl/>
        </w:rPr>
        <w:t xml:space="preserve"> לאחר סתירה אינו מחול</w:t>
      </w:r>
      <w:r w:rsidRPr="007D286B">
        <w:rPr>
          <w:rFonts w:cs="Arial" w:hint="cs"/>
          <w:rtl/>
        </w:rPr>
        <w:t>.</w:t>
      </w:r>
      <w:r w:rsidRPr="007D286B">
        <w:rPr>
          <w:rFonts w:hint="cs"/>
          <w:color w:val="E36C0A" w:themeColor="accent6" w:themeShade="BF"/>
          <w:rtl/>
        </w:rPr>
        <w:t xml:space="preserve"> </w:t>
      </w:r>
      <w:r w:rsidRPr="008C7592">
        <w:rPr>
          <w:rFonts w:hint="cs"/>
          <w:color w:val="E36C0A" w:themeColor="accent6" w:themeShade="BF"/>
          <w:rtl/>
        </w:rPr>
        <w:t>(וכ"פ בשו"ע)</w:t>
      </w:r>
    </w:p>
    <w:p w14:paraId="618EE0C1"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151335D" w14:textId="7D4365E6" w:rsidR="00392DBB" w:rsidRDefault="00392DBB" w:rsidP="00392DBB">
      <w:pPr>
        <w:rPr>
          <w:rtl/>
        </w:rPr>
      </w:pPr>
      <w:r>
        <w:rPr>
          <w:rFonts w:cs="Arial"/>
          <w:rtl/>
        </w:rPr>
        <w:t>האומר לאשתו בפני עדים: אל תסתרי עם איש פלוני, ויש עדים שנכנסה עמו בסתר ושהתה עמו כדי טומאה, אסורה לבעלה ותצא בלא כתובה</w:t>
      </w:r>
      <w:r>
        <w:rPr>
          <w:rStyle w:val="a7"/>
          <w:rFonts w:cs="Arial"/>
          <w:rtl/>
        </w:rPr>
        <w:footnoteReference w:id="2883"/>
      </w:r>
      <w:r>
        <w:rPr>
          <w:rFonts w:cs="Arial"/>
          <w:rtl/>
        </w:rPr>
        <w:t xml:space="preserve">. ואסור לו להתייחד עמה, וכופין אותו להוציאה מביתו. </w:t>
      </w:r>
      <w:r>
        <w:rPr>
          <w:rFonts w:cs="Arial" w:hint="cs"/>
          <w:sz w:val="18"/>
          <w:szCs w:val="18"/>
          <w:rtl/>
        </w:rPr>
        <w:t xml:space="preserve">[הגה] </w:t>
      </w:r>
      <w:r w:rsidRPr="00B24647">
        <w:rPr>
          <w:rFonts w:cs="Arial"/>
          <w:sz w:val="18"/>
          <w:szCs w:val="18"/>
          <w:rtl/>
        </w:rPr>
        <w:t xml:space="preserve">ודוקא שאמר לה בלשון קינוי (מהרי"ו), וכדרך שיתבאר לקמן סי' קע"ח. </w:t>
      </w:r>
    </w:p>
    <w:p w14:paraId="632C5C29" w14:textId="77777777" w:rsidR="00392DBB" w:rsidRDefault="00392DBB" w:rsidP="00392DBB">
      <w:pPr>
        <w:rPr>
          <w:rtl/>
        </w:rPr>
      </w:pPr>
    </w:p>
    <w:p w14:paraId="37D887E2" w14:textId="77777777" w:rsidR="00392DBB" w:rsidRDefault="00392DBB" w:rsidP="000F64D0">
      <w:pPr>
        <w:pStyle w:val="2"/>
        <w:rPr>
          <w:rtl/>
        </w:rPr>
      </w:pPr>
      <w:r>
        <w:rPr>
          <w:rtl/>
        </w:rPr>
        <w:t>סעיף ט</w:t>
      </w:r>
      <w:r>
        <w:rPr>
          <w:rFonts w:hint="cs"/>
          <w:rtl/>
        </w:rPr>
        <w:t xml:space="preserve">: </w:t>
      </w:r>
      <w:r w:rsidRPr="00671DE4">
        <w:rPr>
          <w:rtl/>
        </w:rPr>
        <w:t xml:space="preserve">האומר לאשתו </w:t>
      </w:r>
      <w:r>
        <w:rPr>
          <w:rFonts w:hint="cs"/>
          <w:rtl/>
        </w:rPr>
        <w:t>בינו לבינה</w:t>
      </w:r>
      <w:r w:rsidRPr="00671DE4">
        <w:rPr>
          <w:rtl/>
        </w:rPr>
        <w:t xml:space="preserve"> </w:t>
      </w:r>
      <w:r>
        <w:rPr>
          <w:rFonts w:hint="cs"/>
          <w:rtl/>
        </w:rPr>
        <w:t>'</w:t>
      </w:r>
      <w:r w:rsidRPr="00671DE4">
        <w:rPr>
          <w:rtl/>
        </w:rPr>
        <w:t>אל תסתרי עם איש פלוני</w:t>
      </w:r>
      <w:r>
        <w:rPr>
          <w:rFonts w:hint="cs"/>
          <w:rtl/>
        </w:rPr>
        <w:t>', ונסתרה.</w:t>
      </w:r>
    </w:p>
    <w:p w14:paraId="08E1ADAA" w14:textId="6B7C13D3" w:rsidR="00392DBB" w:rsidRPr="000865CD" w:rsidRDefault="00392DBB" w:rsidP="00392DBB">
      <w:pPr>
        <w:rPr>
          <w:rtl/>
        </w:rPr>
      </w:pPr>
      <w:r w:rsidRPr="00970BC0">
        <w:rPr>
          <w:rFonts w:hint="cs"/>
          <w:b/>
          <w:bCs/>
          <w:rtl/>
        </w:rPr>
        <w:t xml:space="preserve">סוטה </w:t>
      </w:r>
      <w:r w:rsidRPr="00970BC0">
        <w:rPr>
          <w:rFonts w:hint="cs"/>
          <w:b/>
          <w:bCs/>
          <w:sz w:val="16"/>
          <w:szCs w:val="16"/>
          <w:rtl/>
        </w:rPr>
        <w:t>(רפ"ק)</w:t>
      </w:r>
      <w:r w:rsidRPr="00970BC0">
        <w:rPr>
          <w:rFonts w:hint="cs"/>
          <w:b/>
          <w:bCs/>
          <w:rtl/>
        </w:rPr>
        <w:t xml:space="preserve"> ב ע"</w:t>
      </w:r>
      <w:r>
        <w:rPr>
          <w:rFonts w:hint="cs"/>
          <w:b/>
          <w:bCs/>
          <w:rtl/>
        </w:rPr>
        <w:t>ב</w:t>
      </w:r>
      <w:r w:rsidRPr="00970BC0">
        <w:rPr>
          <w:rFonts w:hint="cs"/>
          <w:b/>
          <w:bCs/>
          <w:rtl/>
        </w:rPr>
        <w:t>:</w:t>
      </w:r>
      <w:r>
        <w:rPr>
          <w:rFonts w:hint="cs"/>
          <w:rtl/>
        </w:rPr>
        <w:t xml:space="preserve"> </w:t>
      </w:r>
      <w:r w:rsidRPr="00970BC0">
        <w:rPr>
          <w:rFonts w:cs="Arial"/>
          <w:u w:val="double"/>
          <w:rtl/>
        </w:rPr>
        <w:t>מתני'</w:t>
      </w:r>
      <w:r>
        <w:rPr>
          <w:rFonts w:cs="Arial" w:hint="cs"/>
          <w:rtl/>
        </w:rPr>
        <w:t>:</w:t>
      </w:r>
      <w:r w:rsidRPr="00970BC0">
        <w:rPr>
          <w:rFonts w:cs="Arial"/>
          <w:rtl/>
        </w:rPr>
        <w:t xml:space="preserve"> המקנא לאשתו, </w:t>
      </w:r>
      <w:r w:rsidRPr="00970BC0">
        <w:rPr>
          <w:rFonts w:cs="Arial"/>
          <w:u w:val="single"/>
          <w:rtl/>
        </w:rPr>
        <w:t>רבי אליעזר אומר</w:t>
      </w:r>
      <w:r w:rsidRPr="00970BC0">
        <w:rPr>
          <w:rFonts w:cs="Arial"/>
          <w:rtl/>
        </w:rPr>
        <w:t>: מקנא לה על פי שנים, ומשקה על פי עד אחד או ע"פ עצמו</w:t>
      </w:r>
      <w:r>
        <w:rPr>
          <w:rFonts w:cs="Arial" w:hint="cs"/>
          <w:rtl/>
        </w:rPr>
        <w:t>.</w:t>
      </w:r>
      <w:r w:rsidRPr="00970BC0">
        <w:rPr>
          <w:rFonts w:cs="Arial"/>
          <w:rtl/>
        </w:rPr>
        <w:t xml:space="preserve"> </w:t>
      </w:r>
      <w:r w:rsidRPr="00970BC0">
        <w:rPr>
          <w:rFonts w:cs="Arial"/>
          <w:u w:val="single"/>
          <w:rtl/>
        </w:rPr>
        <w:t>רבי יהושע אומר</w:t>
      </w:r>
      <w:r w:rsidRPr="00970BC0">
        <w:rPr>
          <w:rFonts w:cs="Arial"/>
          <w:rtl/>
        </w:rPr>
        <w:t>: מקנא לה על פי שנים ומשקה ע"פ שנים. כיצד מקנא לה? אומר לה בפני שנים אל תדברי עם איש פלוני, ודברה עמו - עדיין היא מותרת לביתה ומותרת לאכול בתרומה, נכנסה עמו לבית הסתר ושהתה עמו כדי טומאה - אסורה לביתה ואסורה לאכול בתרומה, ואם מת - חולצת ולא מתייבמת.</w:t>
      </w:r>
      <w:r>
        <w:rPr>
          <w:rFonts w:cs="Arial" w:hint="cs"/>
          <w:rtl/>
        </w:rPr>
        <w:t xml:space="preserve">        </w:t>
      </w:r>
      <w:r>
        <w:rPr>
          <w:rFonts w:cs="Arial" w:hint="cs"/>
          <w:u w:val="double"/>
          <w:rtl/>
        </w:rPr>
        <w:t>גמ'</w:t>
      </w:r>
      <w:r>
        <w:rPr>
          <w:rFonts w:cs="Arial" w:hint="cs"/>
          <w:sz w:val="14"/>
          <w:szCs w:val="14"/>
          <w:u w:val="double"/>
          <w:rtl/>
        </w:rPr>
        <w:t>(ב:)</w:t>
      </w:r>
      <w:r>
        <w:rPr>
          <w:rFonts w:cs="Arial" w:hint="cs"/>
          <w:u w:val="double"/>
          <w:rtl/>
        </w:rPr>
        <w:t>:</w:t>
      </w:r>
      <w:r>
        <w:rPr>
          <w:rFonts w:cs="Arial" w:hint="cs"/>
          <w:rtl/>
        </w:rPr>
        <w:t xml:space="preserve"> </w:t>
      </w:r>
      <w:r w:rsidRPr="002D2DDF">
        <w:rPr>
          <w:rFonts w:cs="Arial"/>
          <w:rtl/>
        </w:rPr>
        <w:t>מתני' דלא כי האי תנא</w:t>
      </w:r>
      <w:r>
        <w:rPr>
          <w:rFonts w:cs="Arial" w:hint="cs"/>
          <w:rtl/>
        </w:rPr>
        <w:t>,</w:t>
      </w:r>
      <w:r w:rsidRPr="002D2DDF">
        <w:rPr>
          <w:rFonts w:cs="Arial"/>
          <w:rtl/>
        </w:rPr>
        <w:t xml:space="preserve"> </w:t>
      </w:r>
      <w:r w:rsidRPr="000865CD">
        <w:rPr>
          <w:rFonts w:cs="Arial"/>
          <w:rtl/>
        </w:rPr>
        <w:t xml:space="preserve">דתניא, </w:t>
      </w:r>
      <w:r w:rsidRPr="000865CD">
        <w:rPr>
          <w:rFonts w:cs="Arial"/>
          <w:u w:val="single"/>
          <w:rtl/>
        </w:rPr>
        <w:t>רבי יוסי ברבי יהודה אומר משום ר' אליעזר</w:t>
      </w:r>
      <w:r w:rsidRPr="000865CD">
        <w:rPr>
          <w:rFonts w:cs="Arial"/>
          <w:rtl/>
        </w:rPr>
        <w:t>: המקנא לאשתו, מקנא ע"פ עד אחד או ע"פ עצמו, ומשקה לה על פי שנים</w:t>
      </w:r>
      <w:r>
        <w:rPr>
          <w:rFonts w:cs="Arial" w:hint="cs"/>
          <w:rtl/>
        </w:rPr>
        <w:t>.</w:t>
      </w:r>
      <w:r w:rsidRPr="000865CD">
        <w:rPr>
          <w:rFonts w:cs="Arial"/>
          <w:rtl/>
        </w:rPr>
        <w:t xml:space="preserve"> </w:t>
      </w:r>
      <w:r w:rsidRPr="002D2DDF">
        <w:rPr>
          <w:rFonts w:cs="Arial"/>
          <w:u w:val="single"/>
          <w:rtl/>
        </w:rPr>
        <w:t>השיבו חכמים</w:t>
      </w:r>
      <w:r w:rsidRPr="000865CD">
        <w:rPr>
          <w:rFonts w:cs="Arial"/>
          <w:rtl/>
        </w:rPr>
        <w:t>: לדברי רבי יוסי ברבי יהודה, אין לדבר סוף.</w:t>
      </w:r>
      <w:r>
        <w:rPr>
          <w:rFonts w:cs="Arial" w:hint="cs"/>
          <w:rtl/>
        </w:rPr>
        <w:t>..</w:t>
      </w:r>
      <w:r w:rsidRPr="000865CD">
        <w:rPr>
          <w:rFonts w:cs="Arial"/>
          <w:rtl/>
        </w:rPr>
        <w:t xml:space="preserve"> השיבו חכמים: לדברי ר' יוסי בר' יהודה, אין לדבר סוף. מאי ניהו? דזמנין דלא קני ואמר קנאי: הא למשנתינו יש לדבר סוף? זמנין דלא איסתתר ואמר איסתתר!</w:t>
      </w:r>
      <w:r>
        <w:rPr>
          <w:rFonts w:cs="Arial" w:hint="cs"/>
          <w:rtl/>
        </w:rPr>
        <w:t>...</w:t>
      </w:r>
      <w:r w:rsidRPr="000865CD">
        <w:rPr>
          <w:rFonts w:cs="Arial"/>
          <w:rtl/>
        </w:rPr>
        <w:t xml:space="preserve"> </w:t>
      </w:r>
      <w:r w:rsidRPr="002D2DDF">
        <w:rPr>
          <w:rFonts w:cs="Arial"/>
          <w:u w:val="single"/>
          <w:rtl/>
        </w:rPr>
        <w:t>א"ר יצחק בר יוסף א"ר יוחנן</w:t>
      </w:r>
      <w:r w:rsidRPr="000865CD">
        <w:rPr>
          <w:rFonts w:cs="Arial"/>
          <w:rtl/>
        </w:rPr>
        <w:t xml:space="preserve">: לדברי ר' יוסי בר' יהודה, אף למשנתינו אין לדבר סוף. </w:t>
      </w:r>
      <w:r w:rsidRPr="002D2DDF">
        <w:rPr>
          <w:rFonts w:cs="Arial"/>
          <w:u w:val="single"/>
          <w:rtl/>
        </w:rPr>
        <w:t>א"ר חנינא מסורא</w:t>
      </w:r>
      <w:r w:rsidRPr="000865CD">
        <w:rPr>
          <w:rFonts w:cs="Arial"/>
          <w:rtl/>
        </w:rPr>
        <w:t>: לא לימא איניש לאיתתיה בזמן הזה לא תיסתרי בהדי פלוני, דילמא קי"ל כרבי יוסי בר' יהודה, דאמר: קינוי על פי עצמו, ומיסתתרא, וליכא האידנא מי סוטה למיבדקה, וקאסר לה עילויה איסורא דלעולם.</w:t>
      </w:r>
      <w:r>
        <w:rPr>
          <w:rFonts w:hint="cs"/>
          <w:rtl/>
        </w:rPr>
        <w:t xml:space="preserve"> </w:t>
      </w:r>
      <w:r w:rsidRPr="002D2DDF">
        <w:rPr>
          <w:rFonts w:hint="cs"/>
          <w:sz w:val="16"/>
          <w:szCs w:val="16"/>
          <w:rtl/>
        </w:rPr>
        <w:t>(</w:t>
      </w:r>
      <w:r w:rsidRPr="002D2DDF">
        <w:rPr>
          <w:sz w:val="16"/>
          <w:szCs w:val="16"/>
          <w:rtl/>
        </w:rPr>
        <w:t xml:space="preserve">הרמב"ם פסק </w:t>
      </w:r>
      <w:r w:rsidRPr="002D2DDF">
        <w:rPr>
          <w:rFonts w:hint="cs"/>
          <w:sz w:val="16"/>
          <w:szCs w:val="16"/>
          <w:rtl/>
        </w:rPr>
        <w:t>(פ"א מסוטה ה"</w:t>
      </w:r>
      <w:r w:rsidR="00F94742">
        <w:rPr>
          <w:rFonts w:hint="cs"/>
          <w:sz w:val="16"/>
          <w:szCs w:val="16"/>
          <w:rtl/>
        </w:rPr>
        <w:t>א</w:t>
      </w:r>
      <w:r w:rsidRPr="002D2DDF">
        <w:rPr>
          <w:rFonts w:hint="cs"/>
          <w:sz w:val="16"/>
          <w:szCs w:val="16"/>
          <w:rtl/>
        </w:rPr>
        <w:t xml:space="preserve">) </w:t>
      </w:r>
      <w:r w:rsidRPr="002D2DDF">
        <w:rPr>
          <w:sz w:val="16"/>
          <w:szCs w:val="16"/>
          <w:rtl/>
        </w:rPr>
        <w:t>כמ"ד דוקא כשמקנא אותה ע"פ שנים</w:t>
      </w:r>
      <w:r>
        <w:rPr>
          <w:rFonts w:hint="cs"/>
          <w:sz w:val="16"/>
          <w:szCs w:val="16"/>
          <w:rtl/>
        </w:rPr>
        <w:t>.</w:t>
      </w:r>
      <w:r w:rsidRPr="002D2DDF">
        <w:rPr>
          <w:sz w:val="16"/>
          <w:szCs w:val="16"/>
          <w:rtl/>
        </w:rPr>
        <w:t xml:space="preserve"> והיינו דוקא לענין השקאת מים</w:t>
      </w:r>
      <w:r>
        <w:rPr>
          <w:rFonts w:hint="cs"/>
          <w:sz w:val="16"/>
          <w:szCs w:val="16"/>
          <w:rtl/>
        </w:rPr>
        <w:t>,</w:t>
      </w:r>
      <w:r w:rsidRPr="002D2DDF">
        <w:rPr>
          <w:sz w:val="16"/>
          <w:szCs w:val="16"/>
          <w:rtl/>
        </w:rPr>
        <w:t xml:space="preserve"> </w:t>
      </w:r>
      <w:r>
        <w:rPr>
          <w:rFonts w:hint="cs"/>
          <w:sz w:val="16"/>
          <w:szCs w:val="16"/>
          <w:rtl/>
        </w:rPr>
        <w:t>ד</w:t>
      </w:r>
      <w:r w:rsidRPr="002D2DDF">
        <w:rPr>
          <w:sz w:val="16"/>
          <w:szCs w:val="16"/>
          <w:rtl/>
        </w:rPr>
        <w:t>אין משקין אותה אא"כ כשהיה הקינוי ע"פ שנים</w:t>
      </w:r>
      <w:r>
        <w:rPr>
          <w:rFonts w:hint="cs"/>
          <w:sz w:val="16"/>
          <w:szCs w:val="16"/>
          <w:rtl/>
        </w:rPr>
        <w:t>.</w:t>
      </w:r>
      <w:r w:rsidRPr="002D2DDF">
        <w:rPr>
          <w:sz w:val="16"/>
          <w:szCs w:val="16"/>
          <w:rtl/>
        </w:rPr>
        <w:t xml:space="preserve"> אבל לענין איסור</w:t>
      </w:r>
      <w:r>
        <w:rPr>
          <w:rFonts w:hint="cs"/>
          <w:sz w:val="16"/>
          <w:szCs w:val="16"/>
          <w:rtl/>
        </w:rPr>
        <w:t>,</w:t>
      </w:r>
      <w:r w:rsidRPr="002D2DDF">
        <w:rPr>
          <w:sz w:val="16"/>
          <w:szCs w:val="16"/>
          <w:rtl/>
        </w:rPr>
        <w:t xml:space="preserve"> חושש הוא</w:t>
      </w:r>
      <w:r w:rsidR="00F94742">
        <w:rPr>
          <w:rFonts w:hint="cs"/>
          <w:sz w:val="16"/>
          <w:szCs w:val="16"/>
          <w:rtl/>
        </w:rPr>
        <w:t xml:space="preserve"> (שם ה"ח)</w:t>
      </w:r>
      <w:r w:rsidRPr="002D2DDF">
        <w:rPr>
          <w:sz w:val="16"/>
          <w:szCs w:val="16"/>
          <w:rtl/>
        </w:rPr>
        <w:t xml:space="preserve"> ג"כ לדברי ר"י </w:t>
      </w:r>
      <w:r>
        <w:rPr>
          <w:rFonts w:hint="cs"/>
          <w:sz w:val="16"/>
          <w:szCs w:val="16"/>
          <w:rtl/>
        </w:rPr>
        <w:t>ו</w:t>
      </w:r>
      <w:r w:rsidRPr="002D2DDF">
        <w:rPr>
          <w:sz w:val="16"/>
          <w:szCs w:val="16"/>
          <w:rtl/>
        </w:rPr>
        <w:t>אפי' אם היה הקינוי ע"פ עצמו הוי קינוי ואסורה לו</w:t>
      </w:r>
      <w:r w:rsidRPr="002D2DDF">
        <w:rPr>
          <w:rFonts w:hint="cs"/>
          <w:sz w:val="16"/>
          <w:szCs w:val="16"/>
          <w:rtl/>
        </w:rPr>
        <w:t xml:space="preserve">, </w:t>
      </w:r>
      <w:r>
        <w:rPr>
          <w:rFonts w:hint="cs"/>
          <w:sz w:val="16"/>
          <w:szCs w:val="16"/>
          <w:rtl/>
        </w:rPr>
        <w:t>ב</w:t>
      </w:r>
      <w:r w:rsidRPr="002D2DDF">
        <w:rPr>
          <w:rFonts w:hint="cs"/>
          <w:sz w:val="16"/>
          <w:szCs w:val="16"/>
          <w:rtl/>
        </w:rPr>
        <w:t>"</w:t>
      </w:r>
      <w:r>
        <w:rPr>
          <w:rFonts w:hint="cs"/>
          <w:sz w:val="16"/>
          <w:szCs w:val="16"/>
          <w:rtl/>
        </w:rPr>
        <w:t>ש</w:t>
      </w:r>
      <w:r w:rsidRPr="002D2DDF">
        <w:rPr>
          <w:rFonts w:hint="cs"/>
          <w:sz w:val="16"/>
          <w:szCs w:val="16"/>
          <w:rtl/>
        </w:rPr>
        <w:t xml:space="preserve"> (סקל"</w:t>
      </w:r>
      <w:r>
        <w:rPr>
          <w:rFonts w:hint="cs"/>
          <w:sz w:val="16"/>
          <w:szCs w:val="16"/>
          <w:rtl/>
        </w:rPr>
        <w:t>ו</w:t>
      </w:r>
      <w:r w:rsidRPr="002D2DDF">
        <w:rPr>
          <w:rFonts w:hint="cs"/>
          <w:sz w:val="16"/>
          <w:szCs w:val="16"/>
          <w:rtl/>
        </w:rPr>
        <w:t>)</w:t>
      </w:r>
      <w:r>
        <w:rPr>
          <w:rFonts w:hint="cs"/>
          <w:sz w:val="16"/>
          <w:szCs w:val="16"/>
          <w:rtl/>
        </w:rPr>
        <w:t>. וכ"כ ב"ח וח"מ (סקל"ג)</w:t>
      </w:r>
      <w:r w:rsidRPr="002D2DDF">
        <w:rPr>
          <w:rFonts w:hint="cs"/>
          <w:sz w:val="16"/>
          <w:szCs w:val="16"/>
          <w:rtl/>
        </w:rPr>
        <w:t>)</w:t>
      </w:r>
    </w:p>
    <w:p w14:paraId="54D00DF3" w14:textId="3E255F49" w:rsidR="00392DBB" w:rsidRPr="00682025" w:rsidRDefault="00392DBB" w:rsidP="00392DBB">
      <w:pPr>
        <w:rPr>
          <w:u w:val="single"/>
          <w:rtl/>
        </w:rPr>
      </w:pPr>
      <w:r w:rsidRPr="00682025">
        <w:rPr>
          <w:rFonts w:cs="Arial"/>
          <w:u w:val="single"/>
          <w:rtl/>
        </w:rPr>
        <w:t xml:space="preserve">האומר לאשתו </w:t>
      </w:r>
      <w:r w:rsidRPr="00682025">
        <w:rPr>
          <w:rFonts w:cs="Arial" w:hint="cs"/>
          <w:u w:val="single"/>
          <w:rtl/>
        </w:rPr>
        <w:t>בינו לבינה</w:t>
      </w:r>
      <w:r w:rsidRPr="00682025">
        <w:rPr>
          <w:rFonts w:cs="Arial"/>
          <w:u w:val="single"/>
          <w:rtl/>
        </w:rPr>
        <w:t xml:space="preserve"> </w:t>
      </w:r>
      <w:r w:rsidRPr="00682025">
        <w:rPr>
          <w:rFonts w:cs="Arial" w:hint="cs"/>
          <w:u w:val="single"/>
          <w:rtl/>
        </w:rPr>
        <w:t>'</w:t>
      </w:r>
      <w:r w:rsidRPr="00682025">
        <w:rPr>
          <w:rFonts w:cs="Arial"/>
          <w:u w:val="single"/>
          <w:rtl/>
        </w:rPr>
        <w:t>אל תסתרי עם איש פלוני</w:t>
      </w:r>
      <w:r w:rsidRPr="00682025">
        <w:rPr>
          <w:rFonts w:cs="Arial" w:hint="cs"/>
          <w:u w:val="single"/>
          <w:rtl/>
        </w:rPr>
        <w:t>'</w:t>
      </w:r>
      <w:r>
        <w:rPr>
          <w:rFonts w:cs="Arial" w:hint="cs"/>
          <w:u w:val="single"/>
          <w:rtl/>
        </w:rPr>
        <w:t xml:space="preserve"> -</w:t>
      </w:r>
      <w:r w:rsidRPr="00682025">
        <w:rPr>
          <w:rFonts w:cs="Arial" w:hint="cs"/>
          <w:u w:val="single"/>
          <w:rtl/>
        </w:rPr>
        <w:t xml:space="preserve"> ו</w:t>
      </w:r>
      <w:r w:rsidR="00AD3E62">
        <w:rPr>
          <w:rFonts w:cs="Arial" w:hint="cs"/>
          <w:u w:val="single"/>
          <w:rtl/>
        </w:rPr>
        <w:t xml:space="preserve">ראה </w:t>
      </w:r>
      <w:r w:rsidR="00F81712">
        <w:rPr>
          <w:rFonts w:cs="Arial" w:hint="cs"/>
          <w:u w:val="single"/>
          <w:rtl/>
        </w:rPr>
        <w:t>בעצמו ש</w:t>
      </w:r>
      <w:r w:rsidRPr="00682025">
        <w:rPr>
          <w:rFonts w:cs="Arial" w:hint="cs"/>
          <w:u w:val="single"/>
          <w:rtl/>
        </w:rPr>
        <w:t>נסתרה</w:t>
      </w:r>
      <w:r w:rsidRPr="00682025">
        <w:rPr>
          <w:rFonts w:hint="cs"/>
          <w:u w:val="single"/>
          <w:rtl/>
        </w:rPr>
        <w:t>:</w:t>
      </w:r>
    </w:p>
    <w:p w14:paraId="4CB41026" w14:textId="3A79C790" w:rsidR="00392DBB" w:rsidRPr="002F21F7" w:rsidRDefault="00F94742" w:rsidP="009000E3">
      <w:pPr>
        <w:pStyle w:val="ab"/>
        <w:numPr>
          <w:ilvl w:val="0"/>
          <w:numId w:val="72"/>
        </w:numPr>
      </w:pPr>
      <w:r>
        <w:rPr>
          <w:rFonts w:cs="Arial" w:hint="cs"/>
          <w:rtl/>
        </w:rPr>
        <w:t xml:space="preserve">רמב"ם </w:t>
      </w:r>
      <w:r>
        <w:rPr>
          <w:rFonts w:cs="Arial" w:hint="cs"/>
          <w:sz w:val="16"/>
          <w:szCs w:val="16"/>
          <w:rtl/>
        </w:rPr>
        <w:t xml:space="preserve">(פ"א מהל' סוטה ה"ח) </w:t>
      </w:r>
      <w:r>
        <w:rPr>
          <w:rFonts w:cs="Arial" w:hint="cs"/>
          <w:rtl/>
        </w:rPr>
        <w:t>ו</w:t>
      </w:r>
      <w:r w:rsidR="00392DBB">
        <w:rPr>
          <w:rFonts w:cs="Arial" w:hint="cs"/>
          <w:rtl/>
        </w:rPr>
        <w:t xml:space="preserve">טור- </w:t>
      </w:r>
      <w:r w:rsidR="00392DBB" w:rsidRPr="00671DE4">
        <w:rPr>
          <w:rFonts w:cs="Arial"/>
          <w:rtl/>
        </w:rPr>
        <w:t xml:space="preserve">אמר לה בינו לבינה </w:t>
      </w:r>
      <w:r w:rsidR="00392DBB">
        <w:rPr>
          <w:rFonts w:cs="Arial" w:hint="cs"/>
          <w:rtl/>
        </w:rPr>
        <w:t>'</w:t>
      </w:r>
      <w:r w:rsidR="00392DBB" w:rsidRPr="00671DE4">
        <w:rPr>
          <w:rFonts w:cs="Arial"/>
          <w:rtl/>
        </w:rPr>
        <w:t>אל תסתרי עם איש פלוני</w:t>
      </w:r>
      <w:r w:rsidR="00392DBB">
        <w:rPr>
          <w:rFonts w:cs="Arial" w:hint="cs"/>
          <w:rtl/>
        </w:rPr>
        <w:t>',</w:t>
      </w:r>
      <w:r w:rsidR="00392DBB" w:rsidRPr="00671DE4">
        <w:rPr>
          <w:rFonts w:cs="Arial"/>
          <w:rtl/>
        </w:rPr>
        <w:t xml:space="preserve"> וראה</w:t>
      </w:r>
      <w:r>
        <w:rPr>
          <w:rStyle w:val="a7"/>
          <w:rFonts w:cs="Arial"/>
          <w:rtl/>
        </w:rPr>
        <w:footnoteReference w:id="2884"/>
      </w:r>
      <w:r w:rsidR="00392DBB" w:rsidRPr="00671DE4">
        <w:rPr>
          <w:rFonts w:cs="Arial"/>
          <w:rtl/>
        </w:rPr>
        <w:t xml:space="preserve"> אותה שנסתרה ושהתה עמו כדי טומאה </w:t>
      </w:r>
      <w:r w:rsidR="00392DBB">
        <w:rPr>
          <w:rFonts w:cs="Arial" w:hint="cs"/>
          <w:rtl/>
        </w:rPr>
        <w:t xml:space="preserve">- </w:t>
      </w:r>
      <w:r w:rsidR="00392DBB" w:rsidRPr="00671DE4">
        <w:rPr>
          <w:rFonts w:cs="Arial"/>
          <w:rtl/>
        </w:rPr>
        <w:t>אסורה לו בזמן הזה שאין מי סוטה</w:t>
      </w:r>
      <w:r w:rsidR="00392DBB">
        <w:rPr>
          <w:rFonts w:cs="Arial" w:hint="cs"/>
          <w:rtl/>
        </w:rPr>
        <w:t>,</w:t>
      </w:r>
      <w:r w:rsidR="00392DBB" w:rsidRPr="00671DE4">
        <w:rPr>
          <w:rFonts w:cs="Arial"/>
          <w:rtl/>
        </w:rPr>
        <w:t xml:space="preserve"> וחייב להוציאה ויתן לה כתובה</w:t>
      </w:r>
      <w:r w:rsidR="00392DBB">
        <w:rPr>
          <w:rFonts w:cs="Arial" w:hint="cs"/>
          <w:rtl/>
        </w:rPr>
        <w:t>.</w:t>
      </w:r>
      <w:r w:rsidR="00392DBB" w:rsidRPr="00671DE4">
        <w:rPr>
          <w:rFonts w:cs="Arial"/>
          <w:rtl/>
        </w:rPr>
        <w:t xml:space="preserve"> ואם הוד</w:t>
      </w:r>
      <w:r w:rsidR="00392DBB">
        <w:rPr>
          <w:rFonts w:cs="Arial" w:hint="cs"/>
          <w:rtl/>
        </w:rPr>
        <w:t>ת</w:t>
      </w:r>
      <w:r w:rsidR="00392DBB" w:rsidRPr="00671DE4">
        <w:rPr>
          <w:rFonts w:cs="Arial"/>
          <w:rtl/>
        </w:rPr>
        <w:t xml:space="preserve">ה שנסתרה אחרי שהתרה בה </w:t>
      </w:r>
      <w:r w:rsidR="00392DBB">
        <w:rPr>
          <w:rFonts w:cs="Arial" w:hint="cs"/>
          <w:rtl/>
        </w:rPr>
        <w:t xml:space="preserve">- </w:t>
      </w:r>
      <w:r w:rsidR="00392DBB" w:rsidRPr="00671DE4">
        <w:rPr>
          <w:rFonts w:cs="Arial"/>
          <w:rtl/>
        </w:rPr>
        <w:t>תצא בלא כתובה</w:t>
      </w:r>
      <w:r w:rsidR="00392DBB">
        <w:rPr>
          <w:rFonts w:cs="Arial" w:hint="cs"/>
          <w:rtl/>
        </w:rPr>
        <w:t>.</w:t>
      </w:r>
      <w:r w:rsidR="00392DBB" w:rsidRPr="00671DE4">
        <w:rPr>
          <w:rFonts w:cs="Arial"/>
          <w:rtl/>
        </w:rPr>
        <w:t xml:space="preserve"> לפיכך משביעה על זה ואח"כ נותן לה כתובה</w:t>
      </w:r>
      <w:r w:rsidR="00392DBB">
        <w:rPr>
          <w:rStyle w:val="a7"/>
          <w:rFonts w:cs="Arial"/>
          <w:rtl/>
        </w:rPr>
        <w:footnoteReference w:id="2885"/>
      </w:r>
      <w:r w:rsidR="00392DBB">
        <w:rPr>
          <w:rFonts w:cs="Arial" w:hint="cs"/>
          <w:rtl/>
        </w:rPr>
        <w:t>.</w:t>
      </w:r>
      <w:r w:rsidR="00392DBB" w:rsidRPr="00671DE4">
        <w:rPr>
          <w:rFonts w:cs="Arial"/>
          <w:rtl/>
        </w:rPr>
        <w:t xml:space="preserve"> </w:t>
      </w:r>
      <w:r w:rsidR="00392DBB" w:rsidRPr="008C7592">
        <w:rPr>
          <w:rFonts w:hint="cs"/>
          <w:color w:val="E36C0A" w:themeColor="accent6" w:themeShade="BF"/>
          <w:rtl/>
        </w:rPr>
        <w:t>(וכ"פ בשו"ע)</w:t>
      </w:r>
    </w:p>
    <w:p w14:paraId="32DC58B9" w14:textId="77777777" w:rsidR="00392DBB" w:rsidRPr="002F21F7" w:rsidRDefault="00392DBB" w:rsidP="00392DBB">
      <w:pPr>
        <w:rPr>
          <w:sz w:val="16"/>
          <w:szCs w:val="16"/>
          <w:u w:val="single"/>
        </w:rPr>
      </w:pPr>
      <w:r w:rsidRPr="002F21F7">
        <w:rPr>
          <w:rFonts w:hint="cs"/>
          <w:u w:val="single"/>
          <w:rtl/>
        </w:rPr>
        <w:lastRenderedPageBreak/>
        <w:t>ב' עדים שראו אשה שנסרתה עם גוי, ולא היה קינוי:</w:t>
      </w:r>
      <w:r w:rsidRPr="002F21F7">
        <w:rPr>
          <w:rFonts w:hint="cs"/>
          <w:sz w:val="16"/>
          <w:szCs w:val="16"/>
          <w:rtl/>
        </w:rPr>
        <w:t xml:space="preserve"> (</w:t>
      </w:r>
      <w:r>
        <w:rPr>
          <w:rFonts w:hint="cs"/>
          <w:sz w:val="16"/>
          <w:szCs w:val="16"/>
          <w:rtl/>
        </w:rPr>
        <w:t>דרכ"מ אות כ)</w:t>
      </w:r>
    </w:p>
    <w:p w14:paraId="4A447FA8" w14:textId="77777777" w:rsidR="00392DBB" w:rsidRPr="00E069A0" w:rsidRDefault="00392DBB" w:rsidP="009000E3">
      <w:pPr>
        <w:pStyle w:val="ab"/>
        <w:numPr>
          <w:ilvl w:val="0"/>
          <w:numId w:val="72"/>
        </w:numPr>
        <w:rPr>
          <w:rtl/>
        </w:rPr>
      </w:pPr>
      <w:r w:rsidRPr="002F21F7">
        <w:rPr>
          <w:rFonts w:cs="Arial"/>
          <w:rtl/>
        </w:rPr>
        <w:t xml:space="preserve">מהרי"ו </w:t>
      </w:r>
      <w:r w:rsidRPr="002F21F7">
        <w:rPr>
          <w:rFonts w:cs="Arial" w:hint="cs"/>
          <w:sz w:val="16"/>
          <w:szCs w:val="16"/>
          <w:rtl/>
        </w:rPr>
        <w:t>(</w:t>
      </w:r>
      <w:r w:rsidRPr="002F21F7">
        <w:rPr>
          <w:rFonts w:cs="Arial"/>
          <w:sz w:val="16"/>
          <w:szCs w:val="16"/>
          <w:rtl/>
        </w:rPr>
        <w:t>סי</w:t>
      </w:r>
      <w:r w:rsidRPr="002F21F7">
        <w:rPr>
          <w:rFonts w:cs="Arial" w:hint="cs"/>
          <w:sz w:val="16"/>
          <w:szCs w:val="16"/>
          <w:rtl/>
        </w:rPr>
        <w:t>'</w:t>
      </w:r>
      <w:r w:rsidRPr="002F21F7">
        <w:rPr>
          <w:rFonts w:cs="Arial"/>
          <w:sz w:val="16"/>
          <w:szCs w:val="16"/>
          <w:rtl/>
        </w:rPr>
        <w:t xml:space="preserve"> ח</w:t>
      </w:r>
      <w:r w:rsidRPr="002F21F7">
        <w:rPr>
          <w:rFonts w:cs="Arial" w:hint="cs"/>
          <w:sz w:val="16"/>
          <w:szCs w:val="16"/>
          <w:rtl/>
        </w:rPr>
        <w:t>)</w:t>
      </w:r>
      <w:r w:rsidRPr="002F21F7">
        <w:rPr>
          <w:rFonts w:cs="Arial" w:hint="cs"/>
          <w:rtl/>
        </w:rPr>
        <w:t>-</w:t>
      </w:r>
      <w:r w:rsidRPr="002F21F7">
        <w:rPr>
          <w:rFonts w:cs="Arial"/>
          <w:rtl/>
        </w:rPr>
        <w:t xml:space="preserve"> אם ראוה ב' עדים נסתרת עם גוי אפילו בלא קינוי הוי דבר מכוער ואם היא אומרת טהורה אני יש לדרוש ולחקור היטב אם אינה נותנת אמתלא ברורה אפשר דאסורה לבעלה וגם כתובתה הפסידה אפילו בלא קינוי, אמנם אם לא ראו ב' עדים רק עד אחד ונשים לא נאסרה בלא קינוי</w:t>
      </w:r>
      <w:r w:rsidRPr="002F21F7">
        <w:rPr>
          <w:rFonts w:cs="Arial" w:hint="cs"/>
          <w:rtl/>
        </w:rPr>
        <w:t>.</w:t>
      </w:r>
    </w:p>
    <w:p w14:paraId="40E230B0"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072B5EA" w14:textId="77777777" w:rsidR="00392DBB" w:rsidRDefault="00392DBB" w:rsidP="00392DBB">
      <w:pPr>
        <w:rPr>
          <w:rtl/>
        </w:rPr>
      </w:pPr>
      <w:r>
        <w:rPr>
          <w:rFonts w:cs="Arial"/>
          <w:rtl/>
        </w:rPr>
        <w:t>אמר לה בינו לבינה: אל תסתרי עם איש פלוני, וראה אותה שנסתרה ושהתה עמו כדי טומאה, אסורה לו</w:t>
      </w:r>
      <w:r>
        <w:rPr>
          <w:rStyle w:val="a7"/>
          <w:rFonts w:cs="Arial"/>
          <w:rtl/>
        </w:rPr>
        <w:footnoteReference w:id="2886"/>
      </w:r>
      <w:r>
        <w:rPr>
          <w:rFonts w:cs="Arial"/>
          <w:rtl/>
        </w:rPr>
        <w:t xml:space="preserve"> וחייב להוציאה</w:t>
      </w:r>
      <w:r>
        <w:rPr>
          <w:rStyle w:val="a7"/>
          <w:rFonts w:cs="Arial"/>
          <w:rtl/>
        </w:rPr>
        <w:footnoteReference w:id="2887"/>
      </w:r>
      <w:r>
        <w:rPr>
          <w:rFonts w:cs="Arial"/>
          <w:rtl/>
        </w:rPr>
        <w:t xml:space="preserve"> ויתן לה כתובה</w:t>
      </w:r>
      <w:r>
        <w:rPr>
          <w:rFonts w:cs="Arial" w:hint="cs"/>
          <w:rtl/>
        </w:rPr>
        <w:t>.</w:t>
      </w:r>
      <w:r>
        <w:rPr>
          <w:rFonts w:cs="Arial"/>
          <w:rtl/>
        </w:rPr>
        <w:t xml:space="preserve"> ואם הודית שנסתרה אחר שהתרה בה, תצא בלא כתובה. לפיכך משביעה על זה</w:t>
      </w:r>
      <w:r>
        <w:rPr>
          <w:rStyle w:val="a7"/>
          <w:rFonts w:cs="Arial"/>
          <w:rtl/>
        </w:rPr>
        <w:footnoteReference w:id="2888"/>
      </w:r>
      <w:r>
        <w:rPr>
          <w:rFonts w:cs="Arial"/>
          <w:rtl/>
        </w:rPr>
        <w:t xml:space="preserve"> ואח</w:t>
      </w:r>
      <w:r>
        <w:rPr>
          <w:rFonts w:cs="Arial" w:hint="cs"/>
          <w:rtl/>
        </w:rPr>
        <w:t xml:space="preserve">ר </w:t>
      </w:r>
      <w:r>
        <w:rPr>
          <w:rFonts w:cs="Arial"/>
          <w:rtl/>
        </w:rPr>
        <w:t>כ</w:t>
      </w:r>
      <w:r>
        <w:rPr>
          <w:rFonts w:cs="Arial" w:hint="cs"/>
          <w:rtl/>
        </w:rPr>
        <w:t>ך</w:t>
      </w:r>
      <w:r>
        <w:rPr>
          <w:rFonts w:cs="Arial"/>
          <w:rtl/>
        </w:rPr>
        <w:t xml:space="preserve"> נותן לה כתובה. </w:t>
      </w:r>
    </w:p>
    <w:p w14:paraId="0BB9B404" w14:textId="77777777" w:rsidR="00392DBB" w:rsidRDefault="00392DBB" w:rsidP="00392DBB">
      <w:pPr>
        <w:rPr>
          <w:rtl/>
        </w:rPr>
      </w:pPr>
    </w:p>
    <w:p w14:paraId="6E3BC768" w14:textId="77777777" w:rsidR="00392DBB" w:rsidRDefault="00392DBB" w:rsidP="000F64D0">
      <w:pPr>
        <w:pStyle w:val="2"/>
        <w:rPr>
          <w:rtl/>
        </w:rPr>
      </w:pPr>
      <w:r>
        <w:rPr>
          <w:rtl/>
        </w:rPr>
        <w:t>סעיף י</w:t>
      </w:r>
      <w:r>
        <w:rPr>
          <w:rFonts w:hint="cs"/>
          <w:rtl/>
        </w:rPr>
        <w:t xml:space="preserve">: </w:t>
      </w:r>
      <w:r>
        <w:rPr>
          <w:rtl/>
        </w:rPr>
        <w:t>השביע אשתו שלא תדבר עם פלוני, ועברה ודברה עמו</w:t>
      </w:r>
      <w:r>
        <w:rPr>
          <w:rFonts w:hint="cs"/>
          <w:rtl/>
        </w:rPr>
        <w:t>.</w:t>
      </w:r>
    </w:p>
    <w:p w14:paraId="065DC557" w14:textId="77777777" w:rsidR="00392DBB" w:rsidRPr="00147895" w:rsidRDefault="00392DBB" w:rsidP="00392DBB">
      <w:pPr>
        <w:rPr>
          <w:u w:val="single"/>
          <w:rtl/>
        </w:rPr>
      </w:pPr>
      <w:r w:rsidRPr="00147895">
        <w:rPr>
          <w:rFonts w:cs="Arial"/>
          <w:u w:val="single"/>
          <w:rtl/>
        </w:rPr>
        <w:t>השביע אשתו שלא תדבר עם פלוני, ועברה ודברה עמו</w:t>
      </w:r>
      <w:r w:rsidRPr="00147895">
        <w:rPr>
          <w:rFonts w:hint="cs"/>
          <w:u w:val="single"/>
          <w:rtl/>
        </w:rPr>
        <w:t>:</w:t>
      </w:r>
    </w:p>
    <w:p w14:paraId="56684517" w14:textId="20CE23B1" w:rsidR="00392DBB" w:rsidRDefault="00392DBB" w:rsidP="009000E3">
      <w:pPr>
        <w:pStyle w:val="ab"/>
        <w:numPr>
          <w:ilvl w:val="0"/>
          <w:numId w:val="72"/>
        </w:numPr>
      </w:pPr>
      <w:r w:rsidRPr="00671DE4">
        <w:rPr>
          <w:rFonts w:cs="Arial"/>
          <w:rtl/>
        </w:rPr>
        <w:t xml:space="preserve">רא"ש </w:t>
      </w:r>
      <w:r w:rsidRPr="0040788E">
        <w:rPr>
          <w:rFonts w:cs="Arial" w:hint="cs"/>
          <w:sz w:val="16"/>
          <w:szCs w:val="16"/>
          <w:rtl/>
        </w:rPr>
        <w:t>(כלל לב סי' יז)</w:t>
      </w:r>
      <w:r>
        <w:rPr>
          <w:rFonts w:cs="Arial" w:hint="cs"/>
          <w:rtl/>
        </w:rPr>
        <w:t xml:space="preserve"> וטור-</w:t>
      </w:r>
      <w:r w:rsidRPr="00671DE4">
        <w:rPr>
          <w:rFonts w:cs="Arial"/>
          <w:rtl/>
        </w:rPr>
        <w:t xml:space="preserve"> ששאלת ראובן השביע לאשתו שלא תדבר לפלוני ופלוני</w:t>
      </w:r>
      <w:r>
        <w:rPr>
          <w:rFonts w:cs="Arial" w:hint="cs"/>
          <w:rtl/>
        </w:rPr>
        <w:t>,</w:t>
      </w:r>
      <w:r w:rsidRPr="00671DE4">
        <w:rPr>
          <w:rFonts w:cs="Arial"/>
          <w:rtl/>
        </w:rPr>
        <w:t xml:space="preserve"> ולא תכנס עמהם לבית הסתר</w:t>
      </w:r>
      <w:r>
        <w:rPr>
          <w:rFonts w:cs="Arial" w:hint="cs"/>
          <w:rtl/>
        </w:rPr>
        <w:t>.</w:t>
      </w:r>
      <w:r w:rsidRPr="00671DE4">
        <w:rPr>
          <w:rFonts w:cs="Arial"/>
          <w:rtl/>
        </w:rPr>
        <w:t xml:space="preserve"> וקבלה שבועתו בפני עדים לזמן קצוב</w:t>
      </w:r>
      <w:r>
        <w:rPr>
          <w:rFonts w:cs="Arial" w:hint="cs"/>
          <w:rtl/>
        </w:rPr>
        <w:t>.</w:t>
      </w:r>
      <w:r w:rsidRPr="00671DE4">
        <w:rPr>
          <w:rFonts w:cs="Arial"/>
          <w:rtl/>
        </w:rPr>
        <w:t xml:space="preserve"> אם עברה על שום דבר משבועתה אם אבדה כתובתה</w:t>
      </w:r>
      <w:r>
        <w:rPr>
          <w:rFonts w:cs="Arial" w:hint="cs"/>
          <w:rtl/>
        </w:rPr>
        <w:t xml:space="preserve">.   </w:t>
      </w:r>
      <w:r w:rsidRPr="00671DE4">
        <w:rPr>
          <w:rFonts w:cs="Arial"/>
          <w:rtl/>
        </w:rPr>
        <w:t xml:space="preserve"> </w:t>
      </w:r>
      <w:r w:rsidR="00FE210D">
        <w:rPr>
          <w:rFonts w:cs="Arial"/>
          <w:rtl/>
        </w:rPr>
        <w:t xml:space="preserve">      תשובה:</w:t>
      </w:r>
      <w:r w:rsidRPr="00671DE4">
        <w:rPr>
          <w:rFonts w:cs="Arial"/>
          <w:rtl/>
        </w:rPr>
        <w:t xml:space="preserve"> אם נכנסה עמו לבית הסתר ושהתה עמו כדי טומאה בשני עדים </w:t>
      </w:r>
      <w:r>
        <w:rPr>
          <w:rFonts w:cs="Arial" w:hint="cs"/>
          <w:rtl/>
        </w:rPr>
        <w:t xml:space="preserve">- </w:t>
      </w:r>
      <w:r w:rsidRPr="00671DE4">
        <w:rPr>
          <w:rFonts w:cs="Arial"/>
          <w:rtl/>
        </w:rPr>
        <w:t>אסורה לבעלה ותצא בלא כתובה</w:t>
      </w:r>
      <w:r>
        <w:rPr>
          <w:rFonts w:cs="Arial" w:hint="cs"/>
          <w:rtl/>
        </w:rPr>
        <w:t>.</w:t>
      </w:r>
      <w:r w:rsidRPr="00671DE4">
        <w:rPr>
          <w:rFonts w:cs="Arial"/>
          <w:rtl/>
        </w:rPr>
        <w:t xml:space="preserve"> ודוקא שיש ב' עדים שנסתרה</w:t>
      </w:r>
      <w:r>
        <w:rPr>
          <w:rFonts w:cs="Arial" w:hint="cs"/>
          <w:rtl/>
        </w:rPr>
        <w:t>,</w:t>
      </w:r>
      <w:r w:rsidRPr="00671DE4">
        <w:rPr>
          <w:rFonts w:cs="Arial"/>
          <w:rtl/>
        </w:rPr>
        <w:t xml:space="preserve"> אבל נסתרה עמו בעד אחד אינה אסורה</w:t>
      </w:r>
      <w:r>
        <w:rPr>
          <w:rStyle w:val="a7"/>
          <w:rFonts w:cs="Arial"/>
          <w:rtl/>
        </w:rPr>
        <w:footnoteReference w:id="2889"/>
      </w:r>
      <w:r>
        <w:rPr>
          <w:rFonts w:cs="Arial" w:hint="cs"/>
          <w:rtl/>
        </w:rPr>
        <w:t>.</w:t>
      </w:r>
      <w:r w:rsidRPr="00671DE4">
        <w:rPr>
          <w:rFonts w:cs="Arial"/>
          <w:rtl/>
        </w:rPr>
        <w:t xml:space="preserve"> אבל אם לא נכנסה לבית הסתר אלא דברה עם אחד מהם </w:t>
      </w:r>
      <w:r>
        <w:rPr>
          <w:rFonts w:cs="Arial" w:hint="cs"/>
          <w:rtl/>
        </w:rPr>
        <w:t xml:space="preserve">- </w:t>
      </w:r>
      <w:r w:rsidRPr="00671DE4">
        <w:rPr>
          <w:rFonts w:cs="Arial"/>
          <w:rtl/>
        </w:rPr>
        <w:t>לא נאסרה מכח הקינוי</w:t>
      </w:r>
      <w:r>
        <w:rPr>
          <w:rFonts w:cs="Arial" w:hint="cs"/>
          <w:rtl/>
        </w:rPr>
        <w:t>.</w:t>
      </w:r>
      <w:r w:rsidRPr="00671DE4">
        <w:rPr>
          <w:rFonts w:cs="Arial"/>
          <w:rtl/>
        </w:rPr>
        <w:t xml:space="preserve"> אבל מ"מ עוברת על דת היא כיון שנשבעה שלא לדבר עמו ועברה ודברה עמו </w:t>
      </w:r>
      <w:r>
        <w:rPr>
          <w:rFonts w:cs="Arial" w:hint="cs"/>
          <w:rtl/>
        </w:rPr>
        <w:t xml:space="preserve">- </w:t>
      </w:r>
      <w:r w:rsidRPr="00671DE4">
        <w:rPr>
          <w:rFonts w:cs="Arial"/>
          <w:rtl/>
        </w:rPr>
        <w:t>יוצאת בלא כתובה</w:t>
      </w:r>
      <w:r>
        <w:rPr>
          <w:rFonts w:cs="Arial" w:hint="cs"/>
          <w:rtl/>
        </w:rPr>
        <w:t>,</w:t>
      </w:r>
      <w:r w:rsidRPr="00671DE4">
        <w:rPr>
          <w:rFonts w:cs="Arial"/>
          <w:rtl/>
        </w:rPr>
        <w:t xml:space="preserve"> ודוקא שהתרו בה תחילה אם תעברי על שבועתך תפסידי כתובתך</w:t>
      </w:r>
      <w:r>
        <w:rPr>
          <w:rFonts w:cs="Arial" w:hint="cs"/>
          <w:rtl/>
        </w:rPr>
        <w:t>.</w:t>
      </w:r>
      <w:r w:rsidRPr="00671DE4">
        <w:rPr>
          <w:rFonts w:cs="Arial"/>
          <w:rtl/>
        </w:rPr>
        <w:t xml:space="preserve"> אבל אם לא התרו בה </w:t>
      </w:r>
      <w:r>
        <w:rPr>
          <w:rFonts w:cs="Arial" w:hint="cs"/>
          <w:rtl/>
        </w:rPr>
        <w:t xml:space="preserve">- </w:t>
      </w:r>
      <w:r w:rsidRPr="00671DE4">
        <w:rPr>
          <w:rFonts w:cs="Arial"/>
          <w:rtl/>
        </w:rPr>
        <w:t>לא הפסידה כתובתה</w:t>
      </w:r>
      <w:r>
        <w:rPr>
          <w:rStyle w:val="a7"/>
          <w:rFonts w:cs="Arial"/>
          <w:rtl/>
        </w:rPr>
        <w:footnoteReference w:id="2890"/>
      </w:r>
      <w:r>
        <w:rPr>
          <w:rFonts w:cs="Arial" w:hint="cs"/>
          <w:sz w:val="16"/>
          <w:szCs w:val="16"/>
          <w:rtl/>
        </w:rPr>
        <w:t xml:space="preserve"> (ל' הטור בשם הרא"ש)</w:t>
      </w:r>
      <w:r>
        <w:rPr>
          <w:rFonts w:cs="Arial" w:hint="cs"/>
          <w:rtl/>
        </w:rPr>
        <w:t>.</w:t>
      </w:r>
      <w:r w:rsidRPr="00147895">
        <w:rPr>
          <w:rFonts w:hint="cs"/>
          <w:color w:val="E36C0A" w:themeColor="accent6" w:themeShade="BF"/>
          <w:rtl/>
        </w:rPr>
        <w:t xml:space="preserve"> </w:t>
      </w:r>
      <w:r w:rsidRPr="008C7592">
        <w:rPr>
          <w:rFonts w:hint="cs"/>
          <w:color w:val="E36C0A" w:themeColor="accent6" w:themeShade="BF"/>
          <w:rtl/>
        </w:rPr>
        <w:t>(וכ"פ בשו"ע)</w:t>
      </w:r>
    </w:p>
    <w:p w14:paraId="792F5CD1"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2908B97C" w14:textId="77777777" w:rsidR="00392DBB" w:rsidRPr="007A3469" w:rsidRDefault="00392DBB" w:rsidP="00392DBB">
      <w:pPr>
        <w:rPr>
          <w:rtl/>
        </w:rPr>
        <w:sectPr w:rsidR="00392DBB" w:rsidRPr="007A3469" w:rsidSect="00A347B3">
          <w:headerReference w:type="default" r:id="rId59"/>
          <w:footnotePr>
            <w:numRestart w:val="eachSect"/>
          </w:footnotePr>
          <w:pgSz w:w="11906" w:h="16838"/>
          <w:pgMar w:top="720" w:right="1134" w:bottom="720" w:left="1134" w:header="0" w:footer="0" w:gutter="0"/>
          <w:cols w:space="720"/>
          <w:bidi/>
          <w:rtlGutter/>
          <w:docGrid w:linePitch="360"/>
        </w:sectPr>
      </w:pPr>
      <w:r>
        <w:rPr>
          <w:rFonts w:cs="Arial"/>
          <w:rtl/>
        </w:rPr>
        <w:t>אם השביע אשתו שלא תדבר עם פלוני, ועברה ודברה עמו, עוברת על דת היא</w:t>
      </w:r>
      <w:r>
        <w:rPr>
          <w:rStyle w:val="a7"/>
          <w:rFonts w:cs="Arial"/>
          <w:rtl/>
        </w:rPr>
        <w:footnoteReference w:id="2891"/>
      </w:r>
      <w:r>
        <w:rPr>
          <w:rFonts w:cs="Arial" w:hint="cs"/>
          <w:rtl/>
        </w:rPr>
        <w:t>.</w:t>
      </w:r>
      <w:r>
        <w:rPr>
          <w:rFonts w:cs="Arial"/>
          <w:rtl/>
        </w:rPr>
        <w:t xml:space="preserve"> והפסידה כתובתה אם התרו בה תחלה: אם תעברי על שבועתיך תפסידי כתובתיך.</w:t>
      </w:r>
    </w:p>
    <w:p w14:paraId="4EC091C1" w14:textId="77777777" w:rsidR="00392DBB" w:rsidRDefault="00392DBB" w:rsidP="00392DBB">
      <w:pPr>
        <w:pStyle w:val="1"/>
        <w:rPr>
          <w:rtl/>
        </w:rPr>
      </w:pPr>
      <w:r>
        <w:rPr>
          <w:rFonts w:hint="cs"/>
          <w:rtl/>
        </w:rPr>
        <w:lastRenderedPageBreak/>
        <w:t>סימן קטז:</w:t>
      </w:r>
      <w:r w:rsidRPr="00C12B74">
        <w:rPr>
          <w:rtl/>
        </w:rPr>
        <w:t xml:space="preserve"> </w:t>
      </w:r>
      <w:r>
        <w:rPr>
          <w:rFonts w:cs="Arial"/>
          <w:rtl/>
        </w:rPr>
        <w:t xml:space="preserve">דין כתובה ותנאיה, ודין הנושא אשה באיסור, ובו ו' סעיפים. </w:t>
      </w:r>
    </w:p>
    <w:p w14:paraId="4CA46C6F" w14:textId="77777777" w:rsidR="00392DBB" w:rsidRDefault="00392DBB" w:rsidP="000F64D0">
      <w:pPr>
        <w:pStyle w:val="2"/>
        <w:rPr>
          <w:rtl/>
        </w:rPr>
      </w:pPr>
      <w:r>
        <w:rPr>
          <w:rtl/>
        </w:rPr>
        <w:t>סעיף א</w:t>
      </w:r>
      <w:r>
        <w:rPr>
          <w:rFonts w:hint="cs"/>
          <w:rtl/>
        </w:rPr>
        <w:t>: הנושא אשה שאסורה עליו בלאו.</w:t>
      </w:r>
    </w:p>
    <w:p w14:paraId="5AE0B790" w14:textId="77777777" w:rsidR="00392DBB" w:rsidRDefault="00392DBB" w:rsidP="00392DBB">
      <w:pPr>
        <w:rPr>
          <w:rFonts w:cs="Arial"/>
          <w:rtl/>
        </w:rPr>
      </w:pPr>
      <w:r w:rsidRPr="003A2932">
        <w:rPr>
          <w:rFonts w:cs="Arial" w:hint="cs"/>
          <w:b/>
          <w:bCs/>
          <w:rtl/>
        </w:rPr>
        <w:t xml:space="preserve">כתובות </w:t>
      </w:r>
      <w:r w:rsidRPr="003A2932">
        <w:rPr>
          <w:rFonts w:cs="Arial" w:hint="cs"/>
          <w:b/>
          <w:bCs/>
          <w:sz w:val="16"/>
          <w:szCs w:val="16"/>
          <w:rtl/>
        </w:rPr>
        <w:t>(ס"פ אלמנה</w:t>
      </w:r>
      <w:r>
        <w:rPr>
          <w:rFonts w:cs="Arial" w:hint="cs"/>
          <w:b/>
          <w:bCs/>
          <w:sz w:val="16"/>
          <w:szCs w:val="16"/>
          <w:rtl/>
        </w:rPr>
        <w:t xml:space="preserve"> ניזונת</w:t>
      </w:r>
      <w:r w:rsidRPr="003A2932">
        <w:rPr>
          <w:rFonts w:cs="Arial" w:hint="cs"/>
          <w:b/>
          <w:bCs/>
          <w:sz w:val="16"/>
          <w:szCs w:val="16"/>
          <w:rtl/>
        </w:rPr>
        <w:t xml:space="preserve">) </w:t>
      </w:r>
      <w:r w:rsidRPr="003A2932">
        <w:rPr>
          <w:rFonts w:cs="Arial" w:hint="cs"/>
          <w:b/>
          <w:bCs/>
          <w:rtl/>
        </w:rPr>
        <w:t xml:space="preserve">ק ע"ב: </w:t>
      </w:r>
      <w:r w:rsidRPr="003A2932">
        <w:rPr>
          <w:rFonts w:cs="Arial"/>
          <w:u w:val="double"/>
          <w:rtl/>
        </w:rPr>
        <w:t>מתני'</w:t>
      </w:r>
      <w:r>
        <w:rPr>
          <w:rFonts w:cs="Arial" w:hint="cs"/>
          <w:rtl/>
        </w:rPr>
        <w:t>:</w:t>
      </w:r>
      <w:r w:rsidRPr="001D1C27">
        <w:rPr>
          <w:rtl/>
        </w:rPr>
        <w:t xml:space="preserve"> </w:t>
      </w:r>
      <w:r w:rsidRPr="001D1C27">
        <w:rPr>
          <w:rFonts w:cs="Arial"/>
          <w:rtl/>
        </w:rPr>
        <w:t>הממאנת, השניה, והאילונית - אין להן כתובה</w:t>
      </w:r>
      <w:r>
        <w:rPr>
          <w:rStyle w:val="a7"/>
          <w:rFonts w:cs="Arial"/>
          <w:rtl/>
        </w:rPr>
        <w:footnoteReference w:id="2892"/>
      </w:r>
      <w:r w:rsidRPr="001D1C27">
        <w:rPr>
          <w:rFonts w:cs="Arial"/>
          <w:rtl/>
        </w:rPr>
        <w:t xml:space="preserve"> ולא פירות</w:t>
      </w:r>
      <w:r>
        <w:rPr>
          <w:rStyle w:val="a7"/>
          <w:rFonts w:cs="Arial"/>
          <w:rtl/>
        </w:rPr>
        <w:footnoteReference w:id="2893"/>
      </w:r>
      <w:r w:rsidRPr="001D1C27">
        <w:rPr>
          <w:rFonts w:cs="Arial"/>
          <w:rtl/>
        </w:rPr>
        <w:t>, ולא מזונות ולא בלאות</w:t>
      </w:r>
      <w:r>
        <w:rPr>
          <w:rFonts w:cs="Arial" w:hint="cs"/>
          <w:rtl/>
        </w:rPr>
        <w:t>.</w:t>
      </w:r>
      <w:r w:rsidRPr="001D1C27">
        <w:rPr>
          <w:rFonts w:cs="Arial"/>
          <w:rtl/>
        </w:rPr>
        <w:t xml:space="preserve"> אם מתחלה נשאה לשם אילונית - יש לה כתובה. </w:t>
      </w:r>
      <w:r w:rsidRPr="003A2932">
        <w:rPr>
          <w:rFonts w:cs="Arial"/>
          <w:rtl/>
        </w:rPr>
        <w:t>אלמנה לכ"ג</w:t>
      </w:r>
      <w:r>
        <w:rPr>
          <w:rStyle w:val="a7"/>
          <w:rFonts w:cs="Arial"/>
          <w:rtl/>
        </w:rPr>
        <w:footnoteReference w:id="2894"/>
      </w:r>
      <w:r w:rsidRPr="003A2932">
        <w:rPr>
          <w:rFonts w:cs="Arial"/>
          <w:rtl/>
        </w:rPr>
        <w:t xml:space="preserve">, גרושה וחלוצה לכהן הדיוט, ממזרת ונתינה לישראל, בת ישראל לנתין ולממזר - יש להם כתובה. </w:t>
      </w:r>
      <w:r>
        <w:rPr>
          <w:rFonts w:cs="Arial" w:hint="cs"/>
          <w:rtl/>
        </w:rPr>
        <w:t xml:space="preserve">        </w:t>
      </w:r>
      <w:r w:rsidRPr="001D1C27">
        <w:rPr>
          <w:rFonts w:cs="Arial" w:hint="cs"/>
          <w:u w:val="double"/>
          <w:rtl/>
        </w:rPr>
        <w:t>גמ'</w:t>
      </w:r>
      <w:r>
        <w:rPr>
          <w:rFonts w:cs="Arial" w:hint="cs"/>
          <w:sz w:val="14"/>
          <w:szCs w:val="14"/>
          <w:u w:val="double"/>
          <w:rtl/>
        </w:rPr>
        <w:t>(קא.)</w:t>
      </w:r>
      <w:r w:rsidRPr="001D1C27">
        <w:rPr>
          <w:rFonts w:cs="Arial" w:hint="cs"/>
          <w:u w:val="double"/>
          <w:rtl/>
        </w:rPr>
        <w:t>:</w:t>
      </w:r>
      <w:r w:rsidRPr="001D1C27">
        <w:rPr>
          <w:rtl/>
        </w:rPr>
        <w:t xml:space="preserve"> </w:t>
      </w:r>
      <w:r w:rsidRPr="00297264">
        <w:rPr>
          <w:rFonts w:cs="Arial"/>
          <w:rtl/>
        </w:rPr>
        <w:t xml:space="preserve">ולא בלאות. </w:t>
      </w:r>
      <w:r w:rsidRPr="00297264">
        <w:rPr>
          <w:rFonts w:cs="Arial"/>
          <w:u w:val="single"/>
          <w:rtl/>
        </w:rPr>
        <w:t>א"ל רב הונא בר חייא לרב כהנא, אמרת לן משמיה דשמואל</w:t>
      </w:r>
      <w:r w:rsidRPr="00297264">
        <w:rPr>
          <w:rFonts w:cs="Arial"/>
          <w:rtl/>
        </w:rPr>
        <w:t xml:space="preserve">: לא שנו אלא נכסי מלוג, אבל נכסי צאן ברזל אית לה. </w:t>
      </w:r>
      <w:r w:rsidRPr="00297264">
        <w:rPr>
          <w:rFonts w:cs="Arial"/>
          <w:u w:val="single"/>
          <w:rtl/>
        </w:rPr>
        <w:t>הוי בה רב פפא</w:t>
      </w:r>
      <w:r w:rsidRPr="00297264">
        <w:rPr>
          <w:rFonts w:cs="Arial"/>
          <w:rtl/>
        </w:rPr>
        <w:t xml:space="preserve">: אהייא? אילימא אממאנת, אי דאיתנהו, אידי ואידי שקלא! ואי דליתנהו, אידי ואידי לא שקלא! אלא אאיילונית, אי דאיתנהו, אידי ואידי שקלא! אי דליתנהו, איפכא מיבעי ליה: נכסי מלוג דברשותה קיימי </w:t>
      </w:r>
      <w:r>
        <w:rPr>
          <w:rFonts w:cs="Arial" w:hint="cs"/>
          <w:rtl/>
        </w:rPr>
        <w:t xml:space="preserve">- </w:t>
      </w:r>
      <w:r w:rsidRPr="00297264">
        <w:rPr>
          <w:rFonts w:cs="Arial"/>
          <w:rtl/>
        </w:rPr>
        <w:t>אית לה, נכסי צאן ברזל דלאו ברשותה קיימי</w:t>
      </w:r>
      <w:r>
        <w:rPr>
          <w:rFonts w:cs="Arial" w:hint="cs"/>
          <w:rtl/>
        </w:rPr>
        <w:t xml:space="preserve"> -</w:t>
      </w:r>
      <w:r w:rsidRPr="00297264">
        <w:rPr>
          <w:rFonts w:cs="Arial"/>
          <w:rtl/>
        </w:rPr>
        <w:t xml:space="preserve"> לית לה! אלא אשניה, וקנסו רבנן לדידה בדידיה, ולדידיה בדידה. </w:t>
      </w:r>
      <w:r w:rsidRPr="00297264">
        <w:rPr>
          <w:rFonts w:cs="Arial"/>
          <w:u w:val="single"/>
          <w:rtl/>
        </w:rPr>
        <w:t>אמר רב שימי בר אשי</w:t>
      </w:r>
      <w:r w:rsidRPr="00297264">
        <w:rPr>
          <w:rFonts w:cs="Arial"/>
          <w:rtl/>
        </w:rPr>
        <w:t xml:space="preserve">: ש"מ מדרב כהנא, עיילא ליה גלימא - קרנא הוי, ולא מכסי לה ואזיל עד דבלי. והאמר רב נחמן: פירא הוי! דרב נחמן פליגא. </w:t>
      </w:r>
      <w:r w:rsidRPr="00EA2802">
        <w:rPr>
          <w:rFonts w:cs="Arial"/>
          <w:rtl/>
        </w:rPr>
        <w:t xml:space="preserve">אין להן כתובה. </w:t>
      </w:r>
      <w:r w:rsidRPr="00EA2802">
        <w:rPr>
          <w:rFonts w:cs="Arial"/>
          <w:u w:val="single"/>
          <w:rtl/>
        </w:rPr>
        <w:t>אמר שמואל</w:t>
      </w:r>
      <w:r w:rsidRPr="00EA2802">
        <w:rPr>
          <w:rFonts w:cs="Arial"/>
          <w:rtl/>
        </w:rPr>
        <w:t>: ל"ש אלא מנה מאתים, אבל תוספת יש להן</w:t>
      </w:r>
      <w:r>
        <w:rPr>
          <w:rStyle w:val="a7"/>
          <w:rFonts w:cs="Arial"/>
          <w:rtl/>
        </w:rPr>
        <w:footnoteReference w:id="2895"/>
      </w:r>
      <w:r w:rsidRPr="00EA2802">
        <w:rPr>
          <w:rFonts w:cs="Arial"/>
          <w:rtl/>
        </w:rPr>
        <w:t xml:space="preserve">. </w:t>
      </w:r>
      <w:r w:rsidRPr="008C07EF">
        <w:rPr>
          <w:rFonts w:cs="Arial"/>
          <w:rtl/>
        </w:rPr>
        <w:t>ת</w:t>
      </w:r>
      <w:r>
        <w:rPr>
          <w:rFonts w:cs="Arial" w:hint="cs"/>
          <w:rtl/>
        </w:rPr>
        <w:t>ניא נמי הכי</w:t>
      </w:r>
      <w:r w:rsidRPr="008C07EF">
        <w:rPr>
          <w:rFonts w:cs="Arial"/>
          <w:rtl/>
        </w:rPr>
        <w:t>: נשים שאמרו חכמים אין להן כתובה, כגון הממאנת וחברותיה - אין להן מנה מאתים, אבל תוספת יש להן</w:t>
      </w:r>
      <w:r>
        <w:rPr>
          <w:rFonts w:cs="Arial" w:hint="cs"/>
          <w:rtl/>
        </w:rPr>
        <w:t>.</w:t>
      </w:r>
      <w:r w:rsidRPr="008C07EF">
        <w:rPr>
          <w:rFonts w:cs="Arial"/>
          <w:rtl/>
        </w:rPr>
        <w:t xml:space="preserve"> נשים שאמרו חכמים יוצאות שלא בכתובה, כגון עוברת על דת וחברותיה - אין להן תוספת, וכ"ש מנה מאתים</w:t>
      </w:r>
      <w:r>
        <w:rPr>
          <w:rFonts w:cs="Arial" w:hint="cs"/>
          <w:rtl/>
        </w:rPr>
        <w:t>.</w:t>
      </w:r>
      <w:r w:rsidRPr="008C07EF">
        <w:rPr>
          <w:rFonts w:cs="Arial"/>
          <w:rtl/>
        </w:rPr>
        <w:t xml:space="preserve"> והיוצאת משום שם רע - נוטלת מה שלפניה ויוצאה. מסייע ליה לרב הונא, דאמר רב הונא: זינתה, לא הפסידה</w:t>
      </w:r>
      <w:r>
        <w:rPr>
          <w:rFonts w:cs="Arial" w:hint="cs"/>
          <w:sz w:val="14"/>
          <w:szCs w:val="14"/>
          <w:rtl/>
        </w:rPr>
        <w:t xml:space="preserve"> (קא:)</w:t>
      </w:r>
      <w:r w:rsidRPr="008C07EF">
        <w:rPr>
          <w:rtl/>
        </w:rPr>
        <w:t xml:space="preserve"> </w:t>
      </w:r>
      <w:r w:rsidRPr="008C07EF">
        <w:rPr>
          <w:rFonts w:cs="Arial"/>
          <w:rtl/>
        </w:rPr>
        <w:t>בלאותיה קיימין.</w:t>
      </w:r>
      <w:r>
        <w:rPr>
          <w:rFonts w:cs="Arial" w:hint="cs"/>
          <w:rtl/>
        </w:rPr>
        <w:t xml:space="preserve">.. </w:t>
      </w:r>
      <w:r w:rsidRPr="001D1C27">
        <w:rPr>
          <w:rFonts w:cs="Arial"/>
          <w:rtl/>
        </w:rPr>
        <w:t xml:space="preserve">אם מתחלה נשאה כו'. </w:t>
      </w:r>
      <w:r w:rsidRPr="00FD4332">
        <w:rPr>
          <w:rFonts w:cs="Arial"/>
          <w:u w:val="single"/>
          <w:rtl/>
        </w:rPr>
        <w:t>אמר רב הונא</w:t>
      </w:r>
      <w:r w:rsidRPr="001D1C27">
        <w:rPr>
          <w:rFonts w:cs="Arial"/>
          <w:rtl/>
        </w:rPr>
        <w:t>: אילונית - אשה ואינה אשה</w:t>
      </w:r>
      <w:r>
        <w:rPr>
          <w:rStyle w:val="a7"/>
          <w:rFonts w:cs="Arial"/>
          <w:rtl/>
        </w:rPr>
        <w:footnoteReference w:id="2896"/>
      </w:r>
      <w:r w:rsidRPr="001D1C27">
        <w:rPr>
          <w:rFonts w:cs="Arial"/>
          <w:rtl/>
        </w:rPr>
        <w:t>, אלמנה</w:t>
      </w:r>
      <w:r>
        <w:rPr>
          <w:rStyle w:val="a7"/>
          <w:rFonts w:cs="Arial"/>
          <w:rtl/>
        </w:rPr>
        <w:footnoteReference w:id="2897"/>
      </w:r>
      <w:r w:rsidRPr="001D1C27">
        <w:rPr>
          <w:rFonts w:cs="Arial"/>
          <w:rtl/>
        </w:rPr>
        <w:t xml:space="preserve"> - אשה גמורה</w:t>
      </w:r>
      <w:r>
        <w:rPr>
          <w:rFonts w:cs="Arial" w:hint="cs"/>
          <w:rtl/>
        </w:rPr>
        <w:t>.</w:t>
      </w:r>
      <w:r w:rsidRPr="001D1C27">
        <w:rPr>
          <w:rFonts w:cs="Arial"/>
          <w:rtl/>
        </w:rPr>
        <w:t xml:space="preserve"> אילונית אשה ואינה אשה, הכיר בה - יש לה כתובה, לא הכיר בה - אין לה כתובה</w:t>
      </w:r>
      <w:r>
        <w:rPr>
          <w:rFonts w:cs="Arial" w:hint="cs"/>
          <w:rtl/>
        </w:rPr>
        <w:t>.</w:t>
      </w:r>
      <w:r w:rsidRPr="001D1C27">
        <w:rPr>
          <w:rFonts w:cs="Arial"/>
          <w:rtl/>
        </w:rPr>
        <w:t xml:space="preserve"> אלמנה אשה גמורה, בין הכיר בה בין לא הכיר בה - יש לה כתובה</w:t>
      </w:r>
      <w:r>
        <w:rPr>
          <w:rFonts w:cs="Arial" w:hint="cs"/>
          <w:rtl/>
        </w:rPr>
        <w:t>.</w:t>
      </w:r>
      <w:r w:rsidRPr="001D1C27">
        <w:rPr>
          <w:rFonts w:cs="Arial"/>
          <w:rtl/>
        </w:rPr>
        <w:t xml:space="preserve"> </w:t>
      </w:r>
      <w:r w:rsidRPr="00FD4332">
        <w:rPr>
          <w:rFonts w:cs="Arial"/>
          <w:u w:val="single"/>
          <w:rtl/>
        </w:rPr>
        <w:t>ורב יהודה אומר</w:t>
      </w:r>
      <w:r w:rsidRPr="001D1C27">
        <w:rPr>
          <w:rFonts w:cs="Arial"/>
          <w:rtl/>
        </w:rPr>
        <w:t>: אחת זו ואחת זו אשה ואינה אשה, הכיר בה - יש לה כתובה, לא הכיר בה - אין לה כתובה. מיתיבי: כנסה בחזקת שהיא כן</w:t>
      </w:r>
      <w:r>
        <w:rPr>
          <w:rStyle w:val="a7"/>
          <w:rFonts w:cs="Arial"/>
          <w:rtl/>
        </w:rPr>
        <w:footnoteReference w:id="2898"/>
      </w:r>
      <w:r w:rsidRPr="001D1C27">
        <w:rPr>
          <w:rFonts w:cs="Arial"/>
          <w:rtl/>
        </w:rPr>
        <w:t xml:space="preserve"> ונמצאת שהיא כן - יש לה כתובה, הא סתמא</w:t>
      </w:r>
      <w:r>
        <w:rPr>
          <w:rStyle w:val="a7"/>
          <w:rFonts w:cs="Arial"/>
          <w:rtl/>
        </w:rPr>
        <w:footnoteReference w:id="2899"/>
      </w:r>
      <w:r w:rsidRPr="001D1C27">
        <w:rPr>
          <w:rFonts w:cs="Arial"/>
          <w:rtl/>
        </w:rPr>
        <w:t xml:space="preserve"> - אין לה</w:t>
      </w:r>
      <w:r>
        <w:rPr>
          <w:rStyle w:val="a7"/>
          <w:rFonts w:cs="Arial"/>
          <w:rtl/>
        </w:rPr>
        <w:footnoteReference w:id="2900"/>
      </w:r>
      <w:r w:rsidRPr="001D1C27">
        <w:rPr>
          <w:rFonts w:cs="Arial"/>
          <w:rtl/>
        </w:rPr>
        <w:t xml:space="preserve"> כתובה! לא תימא: הא סתמא - אין לה כתובה, אלא אימא: כנסה בחזקת שאינה כן</w:t>
      </w:r>
      <w:r>
        <w:rPr>
          <w:rStyle w:val="a7"/>
          <w:rFonts w:cs="Arial"/>
          <w:rtl/>
        </w:rPr>
        <w:footnoteReference w:id="2901"/>
      </w:r>
      <w:r w:rsidRPr="001D1C27">
        <w:rPr>
          <w:rFonts w:cs="Arial"/>
          <w:rtl/>
        </w:rPr>
        <w:t xml:space="preserve"> ונמצאת שהיא כן - אין לה כתובה. אבל סתמא</w:t>
      </w:r>
      <w:r>
        <w:rPr>
          <w:rStyle w:val="a7"/>
          <w:rFonts w:cs="Arial"/>
          <w:rtl/>
        </w:rPr>
        <w:footnoteReference w:id="2902"/>
      </w:r>
      <w:r w:rsidRPr="001D1C27">
        <w:rPr>
          <w:rFonts w:cs="Arial"/>
          <w:rtl/>
        </w:rPr>
        <w:t xml:space="preserve"> מאי? אית לה</w:t>
      </w:r>
      <w:r>
        <w:rPr>
          <w:rFonts w:cs="Arial" w:hint="cs"/>
          <w:rtl/>
        </w:rPr>
        <w:t>.</w:t>
      </w:r>
      <w:r w:rsidRPr="001D1C27">
        <w:rPr>
          <w:rFonts w:cs="Arial"/>
          <w:rtl/>
        </w:rPr>
        <w:t xml:space="preserve"> אדתני: בחזקת שהיא כן ונמצאת שהיא כן - יש לה כתובה, לשמעינן סתמא וכ"ש הא! ועוד תני: כנסה בידוע</w:t>
      </w:r>
      <w:r>
        <w:rPr>
          <w:rStyle w:val="a7"/>
          <w:rFonts w:cs="Arial"/>
          <w:rtl/>
        </w:rPr>
        <w:footnoteReference w:id="2903"/>
      </w:r>
      <w:r w:rsidRPr="001D1C27">
        <w:rPr>
          <w:rFonts w:cs="Arial"/>
          <w:rtl/>
        </w:rPr>
        <w:t xml:space="preserve"> ונמצאת בידוע - יש לה כתובה, כנסה סתם - אין לה כתובה, תיובתא דרב הונא! רב הונא מתני' אטעיתיה, הוא סבר: מדקא מפליג באילונית</w:t>
      </w:r>
      <w:r>
        <w:rPr>
          <w:rStyle w:val="a7"/>
          <w:rFonts w:cs="Arial"/>
          <w:rtl/>
        </w:rPr>
        <w:footnoteReference w:id="2904"/>
      </w:r>
      <w:r w:rsidRPr="001D1C27">
        <w:rPr>
          <w:rFonts w:cs="Arial"/>
          <w:rtl/>
        </w:rPr>
        <w:t xml:space="preserve"> ולא קמפליג באלמנה, מכלל דאלמנה אפי' בסתמא נמי אית לה, ולא היא, כי קתני לה לאלמנה</w:t>
      </w:r>
      <w:r>
        <w:rPr>
          <w:rStyle w:val="a7"/>
          <w:rFonts w:cs="Arial"/>
          <w:rtl/>
        </w:rPr>
        <w:footnoteReference w:id="2905"/>
      </w:r>
      <w:r w:rsidRPr="001D1C27">
        <w:rPr>
          <w:rFonts w:cs="Arial"/>
          <w:rtl/>
        </w:rPr>
        <w:t xml:space="preserve"> - אפלוגתא דאילונית קאי</w:t>
      </w:r>
      <w:r>
        <w:rPr>
          <w:rStyle w:val="a7"/>
          <w:rFonts w:cs="Arial"/>
          <w:rtl/>
        </w:rPr>
        <w:footnoteReference w:id="2906"/>
      </w:r>
      <w:r>
        <w:rPr>
          <w:rFonts w:cs="Arial" w:hint="cs"/>
          <w:rtl/>
        </w:rPr>
        <w:t xml:space="preserve">. </w:t>
      </w:r>
    </w:p>
    <w:p w14:paraId="79EEF5F6" w14:textId="281AF800" w:rsidR="00392DBB" w:rsidRDefault="00392DBB" w:rsidP="00392DBB">
      <w:pPr>
        <w:rPr>
          <w:rFonts w:cs="Arial"/>
          <w:rtl/>
        </w:rPr>
      </w:pPr>
      <w:r w:rsidRPr="00DF38A2">
        <w:rPr>
          <w:rFonts w:cs="Arial" w:hint="cs"/>
          <w:b/>
          <w:bCs/>
          <w:rtl/>
        </w:rPr>
        <w:t xml:space="preserve">יבמות </w:t>
      </w:r>
      <w:r w:rsidRPr="00DF38A2">
        <w:rPr>
          <w:rFonts w:cs="Arial" w:hint="cs"/>
          <w:b/>
          <w:bCs/>
          <w:sz w:val="16"/>
          <w:szCs w:val="16"/>
          <w:rtl/>
        </w:rPr>
        <w:t>(</w:t>
      </w:r>
      <w:r w:rsidRPr="00DF38A2">
        <w:rPr>
          <w:rFonts w:cs="Arial"/>
          <w:b/>
          <w:bCs/>
          <w:sz w:val="16"/>
          <w:szCs w:val="16"/>
          <w:rtl/>
        </w:rPr>
        <w:t>פ</w:t>
      </w:r>
      <w:r w:rsidRPr="00DF38A2">
        <w:rPr>
          <w:rFonts w:cs="Arial" w:hint="cs"/>
          <w:b/>
          <w:bCs/>
          <w:sz w:val="16"/>
          <w:szCs w:val="16"/>
          <w:rtl/>
        </w:rPr>
        <w:t>'</w:t>
      </w:r>
      <w:r w:rsidRPr="00DF38A2">
        <w:rPr>
          <w:rFonts w:cs="Arial"/>
          <w:b/>
          <w:bCs/>
          <w:sz w:val="16"/>
          <w:szCs w:val="16"/>
          <w:rtl/>
        </w:rPr>
        <w:t xml:space="preserve"> יש מותרות</w:t>
      </w:r>
      <w:r w:rsidRPr="00DF38A2">
        <w:rPr>
          <w:rFonts w:cs="Arial" w:hint="cs"/>
          <w:b/>
          <w:bCs/>
          <w:sz w:val="16"/>
          <w:szCs w:val="16"/>
          <w:rtl/>
        </w:rPr>
        <w:t xml:space="preserve">) </w:t>
      </w:r>
      <w:r w:rsidRPr="00DF38A2">
        <w:rPr>
          <w:rFonts w:cs="Arial" w:hint="cs"/>
          <w:b/>
          <w:bCs/>
          <w:rtl/>
        </w:rPr>
        <w:t>פה ע"א:</w:t>
      </w:r>
      <w:r>
        <w:rPr>
          <w:rFonts w:cs="Arial"/>
          <w:rtl/>
        </w:rPr>
        <w:t xml:space="preserve"> </w:t>
      </w:r>
      <w:r w:rsidRPr="00982EDE">
        <w:rPr>
          <w:rFonts w:cs="Arial"/>
          <w:u w:val="single"/>
          <w:rtl/>
        </w:rPr>
        <w:t>בעא מיניה רבי אלעזר מרבי יוחנן</w:t>
      </w:r>
      <w:r w:rsidRPr="00DF38A2">
        <w:rPr>
          <w:rFonts w:cs="Arial"/>
          <w:rtl/>
        </w:rPr>
        <w:t xml:space="preserve">: אלמנה לכ"ג, גרושה וחלוצה לכהן הדיוט, יש להן מזונות או אין להן מזונות? היכי דמי? אילימא דיתבה תותיה, בעמוד והוצא קאי, מזונות אית לה? לא צריכא, שהלך הוא למדינת הים ולותה ואכלה, מאי? מזוני תנאי כתובה נינהו, מדאית לה כתובה אית לה מזוני, או דלמא כתובה דלמשקל ומיפק אית לה, מזוני דלמא תיעכב גביה לית לה? </w:t>
      </w:r>
      <w:r w:rsidRPr="00703EC2">
        <w:rPr>
          <w:rFonts w:cs="Arial"/>
          <w:u w:val="single"/>
          <w:rtl/>
        </w:rPr>
        <w:t>א"ל</w:t>
      </w:r>
      <w:r w:rsidRPr="00DF38A2">
        <w:rPr>
          <w:rFonts w:cs="Arial"/>
          <w:rtl/>
        </w:rPr>
        <w:t xml:space="preserve">: לית לה. והתניא: יש לה! כי תניא ההיא - לאחר מיתה. אית דאמר: </w:t>
      </w:r>
      <w:r w:rsidRPr="00703EC2">
        <w:rPr>
          <w:rFonts w:cs="Arial"/>
          <w:u w:val="single"/>
          <w:rtl/>
        </w:rPr>
        <w:t>אמר ליה</w:t>
      </w:r>
      <w:r w:rsidR="00703EC2">
        <w:rPr>
          <w:rFonts w:cs="Arial" w:hint="cs"/>
          <w:rtl/>
        </w:rPr>
        <w:t>:</w:t>
      </w:r>
      <w:r w:rsidRPr="00DF38A2">
        <w:rPr>
          <w:rFonts w:cs="Arial"/>
          <w:rtl/>
        </w:rPr>
        <w:t xml:space="preserve"> תניא: יש לה. הא בעמוד והוצא קאי! ואלא התניא: יש לה! כי תניא ההיא - לאחר מיתה. </w:t>
      </w:r>
      <w:r w:rsidRPr="00982EDE">
        <w:rPr>
          <w:rFonts w:cs="Arial" w:hint="cs"/>
          <w:sz w:val="16"/>
          <w:szCs w:val="16"/>
          <w:rtl/>
        </w:rPr>
        <w:t>(</w:t>
      </w:r>
      <w:r w:rsidRPr="00982EDE">
        <w:rPr>
          <w:rFonts w:cs="Arial"/>
          <w:sz w:val="16"/>
          <w:szCs w:val="16"/>
          <w:rtl/>
        </w:rPr>
        <w:t>וכן פסקו הרי"ף (כז.) והרא"ש (סי' ג)</w:t>
      </w:r>
      <w:r>
        <w:rPr>
          <w:rFonts w:cs="Arial" w:hint="cs"/>
          <w:sz w:val="16"/>
          <w:szCs w:val="16"/>
          <w:rtl/>
        </w:rPr>
        <w:t>, ב"י)</w:t>
      </w:r>
    </w:p>
    <w:p w14:paraId="5F5ED8B9" w14:textId="12147727" w:rsidR="00392DBB" w:rsidRPr="00566416" w:rsidRDefault="00392DBB" w:rsidP="00392DBB">
      <w:pPr>
        <w:rPr>
          <w:u w:val="single"/>
          <w:rtl/>
        </w:rPr>
      </w:pPr>
      <w:r w:rsidRPr="00566416">
        <w:rPr>
          <w:rFonts w:hint="cs"/>
          <w:u w:val="single"/>
          <w:rtl/>
        </w:rPr>
        <w:lastRenderedPageBreak/>
        <w:t>הנושא אשה בעביר</w:t>
      </w:r>
      <w:r w:rsidR="003F667C">
        <w:rPr>
          <w:rFonts w:hint="cs"/>
          <w:u w:val="single"/>
          <w:rtl/>
        </w:rPr>
        <w:t>ה, כגון חייבי</w:t>
      </w:r>
      <w:r>
        <w:rPr>
          <w:rFonts w:hint="cs"/>
          <w:u w:val="single"/>
          <w:rtl/>
        </w:rPr>
        <w:t xml:space="preserve"> לאו</w:t>
      </w:r>
      <w:r w:rsidR="003F667C">
        <w:rPr>
          <w:rFonts w:hint="cs"/>
          <w:u w:val="single"/>
          <w:rtl/>
        </w:rPr>
        <w:t>ין</w:t>
      </w:r>
      <w:r>
        <w:rPr>
          <w:rFonts w:hint="cs"/>
          <w:u w:val="single"/>
          <w:rtl/>
        </w:rPr>
        <w:t>:</w:t>
      </w:r>
    </w:p>
    <w:p w14:paraId="54AD22DF" w14:textId="77777777" w:rsidR="00392DBB" w:rsidRDefault="00392DBB" w:rsidP="009000E3">
      <w:pPr>
        <w:pStyle w:val="ab"/>
        <w:numPr>
          <w:ilvl w:val="0"/>
          <w:numId w:val="72"/>
        </w:numPr>
      </w:pPr>
      <w:r>
        <w:rPr>
          <w:rFonts w:cs="Arial"/>
          <w:rtl/>
        </w:rPr>
        <w:t>רי"ף</w:t>
      </w:r>
      <w:r>
        <w:rPr>
          <w:rStyle w:val="a7"/>
          <w:rFonts w:cs="Arial"/>
          <w:rtl/>
        </w:rPr>
        <w:footnoteReference w:id="2907"/>
      </w:r>
      <w:r>
        <w:rPr>
          <w:rFonts w:cs="Arial"/>
          <w:rtl/>
        </w:rPr>
        <w:t xml:space="preserve"> </w:t>
      </w:r>
      <w:r w:rsidRPr="007F7FDE">
        <w:rPr>
          <w:rFonts w:cs="Arial"/>
          <w:sz w:val="16"/>
          <w:szCs w:val="16"/>
          <w:rtl/>
        </w:rPr>
        <w:t>(</w:t>
      </w:r>
      <w:r>
        <w:rPr>
          <w:rFonts w:cs="Arial" w:hint="cs"/>
          <w:sz w:val="16"/>
          <w:szCs w:val="16"/>
          <w:rtl/>
        </w:rPr>
        <w:t xml:space="preserve">כתובות </w:t>
      </w:r>
      <w:r w:rsidRPr="007F7FDE">
        <w:rPr>
          <w:rFonts w:cs="Arial"/>
          <w:sz w:val="16"/>
          <w:szCs w:val="16"/>
          <w:rtl/>
        </w:rPr>
        <w:t>ס.</w:t>
      </w:r>
      <w:r>
        <w:rPr>
          <w:rFonts w:cs="Arial" w:hint="cs"/>
          <w:sz w:val="16"/>
          <w:szCs w:val="16"/>
          <w:rtl/>
        </w:rPr>
        <w:t>, ויבמות כז.</w:t>
      </w:r>
      <w:r w:rsidRPr="007F7FDE">
        <w:rPr>
          <w:rFonts w:cs="Arial"/>
          <w:sz w:val="16"/>
          <w:szCs w:val="16"/>
          <w:rtl/>
        </w:rPr>
        <w:t xml:space="preserve">) </w:t>
      </w:r>
      <w:r>
        <w:rPr>
          <w:rFonts w:cs="Arial" w:hint="cs"/>
          <w:rtl/>
        </w:rPr>
        <w:t>ר</w:t>
      </w:r>
      <w:r>
        <w:rPr>
          <w:rFonts w:cs="Arial"/>
          <w:rtl/>
        </w:rPr>
        <w:t xml:space="preserve">א"ש </w:t>
      </w:r>
      <w:r w:rsidRPr="007F7FDE">
        <w:rPr>
          <w:rFonts w:cs="Arial"/>
          <w:sz w:val="16"/>
          <w:szCs w:val="16"/>
          <w:rtl/>
        </w:rPr>
        <w:t>(</w:t>
      </w:r>
      <w:r>
        <w:rPr>
          <w:rFonts w:cs="Arial" w:hint="cs"/>
          <w:sz w:val="16"/>
          <w:szCs w:val="16"/>
          <w:rtl/>
        </w:rPr>
        <w:t xml:space="preserve">כתובות פי"א </w:t>
      </w:r>
      <w:r w:rsidRPr="007F7FDE">
        <w:rPr>
          <w:rFonts w:cs="Arial"/>
          <w:sz w:val="16"/>
          <w:szCs w:val="16"/>
          <w:rtl/>
        </w:rPr>
        <w:t>סי' כה</w:t>
      </w:r>
      <w:r>
        <w:rPr>
          <w:rFonts w:cs="Arial" w:hint="cs"/>
          <w:sz w:val="16"/>
          <w:szCs w:val="16"/>
          <w:rtl/>
        </w:rPr>
        <w:t>-</w:t>
      </w:r>
      <w:r w:rsidRPr="007F7FDE">
        <w:rPr>
          <w:rFonts w:cs="Arial"/>
          <w:sz w:val="16"/>
          <w:szCs w:val="16"/>
          <w:rtl/>
        </w:rPr>
        <w:t>כח</w:t>
      </w:r>
      <w:r>
        <w:rPr>
          <w:rFonts w:cs="Arial" w:hint="cs"/>
          <w:sz w:val="16"/>
          <w:szCs w:val="16"/>
          <w:rtl/>
        </w:rPr>
        <w:t>, ויבמות פ"ט סי' ג</w:t>
      </w:r>
      <w:r w:rsidRPr="007F7FDE">
        <w:rPr>
          <w:rFonts w:cs="Arial"/>
          <w:sz w:val="16"/>
          <w:szCs w:val="16"/>
          <w:rtl/>
        </w:rPr>
        <w:t>)</w:t>
      </w:r>
      <w:r>
        <w:rPr>
          <w:rFonts w:cs="Arial"/>
          <w:rtl/>
        </w:rPr>
        <w:t xml:space="preserve"> </w:t>
      </w:r>
      <w:r>
        <w:rPr>
          <w:rFonts w:hint="cs"/>
          <w:rtl/>
        </w:rPr>
        <w:t xml:space="preserve">וטור- </w:t>
      </w:r>
      <w:r w:rsidRPr="003C7FB6">
        <w:rPr>
          <w:rFonts w:cs="Arial"/>
          <w:rtl/>
        </w:rPr>
        <w:t>הנושא אשה בעבירה</w:t>
      </w:r>
      <w:r>
        <w:rPr>
          <w:rFonts w:cs="Arial" w:hint="cs"/>
          <w:rtl/>
        </w:rPr>
        <w:t>,</w:t>
      </w:r>
      <w:r w:rsidRPr="003C7FB6">
        <w:rPr>
          <w:rFonts w:cs="Arial"/>
          <w:rtl/>
        </w:rPr>
        <w:t xml:space="preserve"> כגון חייבי לאוין דתפסי בהו קידושין</w:t>
      </w:r>
      <w:r>
        <w:rPr>
          <w:rFonts w:cs="Arial" w:hint="cs"/>
          <w:rtl/>
        </w:rPr>
        <w:t>,</w:t>
      </w:r>
      <w:r w:rsidRPr="003C7FB6">
        <w:rPr>
          <w:rFonts w:cs="Arial"/>
          <w:rtl/>
        </w:rPr>
        <w:t xml:space="preserve"> כמו אלמנה לכ"ג</w:t>
      </w:r>
      <w:r>
        <w:rPr>
          <w:rFonts w:cs="Arial" w:hint="cs"/>
          <w:rtl/>
        </w:rPr>
        <w:t>,</w:t>
      </w:r>
      <w:r w:rsidRPr="003C7FB6">
        <w:rPr>
          <w:rFonts w:cs="Arial"/>
          <w:rtl/>
        </w:rPr>
        <w:t xml:space="preserve"> גרושה וחלוצה לכהן הדיוט</w:t>
      </w:r>
      <w:r>
        <w:rPr>
          <w:rFonts w:cs="Arial" w:hint="cs"/>
          <w:rtl/>
        </w:rPr>
        <w:t>,</w:t>
      </w:r>
      <w:r w:rsidRPr="003C7FB6">
        <w:rPr>
          <w:rFonts w:cs="Arial"/>
          <w:rtl/>
        </w:rPr>
        <w:t xml:space="preserve"> ממזרת ונתינה לישראל</w:t>
      </w:r>
      <w:r>
        <w:rPr>
          <w:rFonts w:cs="Arial" w:hint="cs"/>
          <w:rtl/>
        </w:rPr>
        <w:t>,</w:t>
      </w:r>
      <w:r w:rsidRPr="003C7FB6">
        <w:rPr>
          <w:rFonts w:cs="Arial"/>
          <w:rtl/>
        </w:rPr>
        <w:t xml:space="preserve"> בת ישראל לממזר ולנתין</w:t>
      </w:r>
      <w:r>
        <w:rPr>
          <w:rFonts w:cs="Arial" w:hint="cs"/>
          <w:rtl/>
        </w:rPr>
        <w:t>,</w:t>
      </w:r>
      <w:r w:rsidRPr="003C7FB6">
        <w:rPr>
          <w:rFonts w:cs="Arial"/>
          <w:rtl/>
        </w:rPr>
        <w:t xml:space="preserve"> או פצוע דכא שנשא ישראלית</w:t>
      </w:r>
      <w:r>
        <w:rPr>
          <w:rFonts w:cs="Arial" w:hint="cs"/>
          <w:rtl/>
        </w:rPr>
        <w:t>,</w:t>
      </w:r>
      <w:r w:rsidRPr="003C7FB6">
        <w:rPr>
          <w:rFonts w:cs="Arial"/>
          <w:rtl/>
        </w:rPr>
        <w:t xml:space="preserve"> אם הכיר בה </w:t>
      </w:r>
      <w:r>
        <w:rPr>
          <w:rFonts w:cs="Arial" w:hint="cs"/>
          <w:rtl/>
        </w:rPr>
        <w:t xml:space="preserve">- </w:t>
      </w:r>
      <w:r w:rsidRPr="003C7FB6">
        <w:rPr>
          <w:rFonts w:cs="Arial"/>
          <w:rtl/>
        </w:rPr>
        <w:t>יש לה עיקר כתובה ותוספת כל תנאיה</w:t>
      </w:r>
      <w:r>
        <w:rPr>
          <w:rFonts w:cs="Arial" w:hint="cs"/>
          <w:rtl/>
        </w:rPr>
        <w:t>.</w:t>
      </w:r>
      <w:r w:rsidRPr="003C7FB6">
        <w:rPr>
          <w:rFonts w:cs="Arial"/>
          <w:rtl/>
        </w:rPr>
        <w:t xml:space="preserve"> ומיהו מזונות אין לה</w:t>
      </w:r>
      <w:r>
        <w:rPr>
          <w:rStyle w:val="a7"/>
          <w:rFonts w:cs="Arial"/>
          <w:rtl/>
        </w:rPr>
        <w:footnoteReference w:id="2908"/>
      </w:r>
      <w:r w:rsidRPr="003C7FB6">
        <w:rPr>
          <w:rFonts w:cs="Arial"/>
          <w:rtl/>
        </w:rPr>
        <w:t xml:space="preserve"> אלא אחר מיתת הבעל</w:t>
      </w:r>
      <w:r>
        <w:rPr>
          <w:rFonts w:cs="Arial" w:hint="cs"/>
          <w:rtl/>
        </w:rPr>
        <w:t>,</w:t>
      </w:r>
      <w:r w:rsidRPr="003C7FB6">
        <w:rPr>
          <w:rFonts w:cs="Arial"/>
          <w:rtl/>
        </w:rPr>
        <w:t xml:space="preserve"> כגון שלא הספיק להוציאה עד שמת</w:t>
      </w:r>
      <w:r>
        <w:rPr>
          <w:rFonts w:cs="Arial" w:hint="cs"/>
          <w:rtl/>
        </w:rPr>
        <w:t>.</w:t>
      </w:r>
      <w:r w:rsidRPr="003C7FB6">
        <w:rPr>
          <w:rFonts w:cs="Arial"/>
          <w:rtl/>
        </w:rPr>
        <w:t xml:space="preserve"> אבל בחייו אין לה</w:t>
      </w:r>
      <w:r>
        <w:rPr>
          <w:rFonts w:cs="Arial" w:hint="cs"/>
          <w:rtl/>
        </w:rPr>
        <w:t>,</w:t>
      </w:r>
      <w:r w:rsidRPr="003C7FB6">
        <w:rPr>
          <w:rFonts w:cs="Arial"/>
          <w:rtl/>
        </w:rPr>
        <w:t xml:space="preserve"> לא מיבעיא בעודו לפנינו דהא בעמוד והוצא קאי ואי יהיב לה מזונות שמא תתעכב אצלו</w:t>
      </w:r>
      <w:r>
        <w:rPr>
          <w:rFonts w:cs="Arial" w:hint="cs"/>
          <w:rtl/>
        </w:rPr>
        <w:t>,</w:t>
      </w:r>
      <w:r w:rsidRPr="003C7FB6">
        <w:rPr>
          <w:rFonts w:cs="Arial"/>
          <w:rtl/>
        </w:rPr>
        <w:t xml:space="preserve"> אלא אפי' הלך למדינת הים ולותה ואכלה אינו חייב כלום</w:t>
      </w:r>
      <w:r>
        <w:rPr>
          <w:rStyle w:val="a7"/>
          <w:rFonts w:cs="Arial"/>
          <w:rtl/>
        </w:rPr>
        <w:footnoteReference w:id="2909"/>
      </w:r>
      <w:r>
        <w:rPr>
          <w:rFonts w:cs="Arial" w:hint="cs"/>
          <w:rtl/>
        </w:rPr>
        <w:t>...</w:t>
      </w:r>
      <w:r w:rsidRPr="007F7FDE">
        <w:rPr>
          <w:rFonts w:cs="Arial" w:hint="cs"/>
          <w:rtl/>
        </w:rPr>
        <w:t xml:space="preserve"> </w:t>
      </w:r>
      <w:r w:rsidRPr="007F7FDE">
        <w:rPr>
          <w:rFonts w:cs="Arial"/>
          <w:rtl/>
        </w:rPr>
        <w:t xml:space="preserve">לא הכיר בה </w:t>
      </w:r>
      <w:r w:rsidRPr="007F7FDE">
        <w:rPr>
          <w:rFonts w:cs="Arial" w:hint="cs"/>
          <w:rtl/>
        </w:rPr>
        <w:t xml:space="preserve">- </w:t>
      </w:r>
      <w:r w:rsidRPr="007F7FDE">
        <w:rPr>
          <w:rFonts w:cs="Arial"/>
          <w:rtl/>
        </w:rPr>
        <w:t>אין לה מנה ומאתים</w:t>
      </w:r>
      <w:r w:rsidRPr="007F7FDE">
        <w:rPr>
          <w:rFonts w:cs="Arial" w:hint="cs"/>
          <w:rtl/>
        </w:rPr>
        <w:t>,</w:t>
      </w:r>
      <w:r w:rsidRPr="007F7FDE">
        <w:rPr>
          <w:rFonts w:cs="Arial"/>
          <w:rtl/>
        </w:rPr>
        <w:t xml:space="preserve"> אבל תוספת יש לה</w:t>
      </w:r>
      <w:r w:rsidRPr="007F7FDE">
        <w:rPr>
          <w:rFonts w:cs="Arial" w:hint="cs"/>
          <w:rtl/>
        </w:rPr>
        <w:t>,</w:t>
      </w:r>
      <w:r w:rsidRPr="007F7FDE">
        <w:rPr>
          <w:rFonts w:cs="Arial"/>
          <w:rtl/>
        </w:rPr>
        <w:t xml:space="preserve"> ואין לה שום תנאי מתנאי הכתובה ואפילו מזונו</w:t>
      </w:r>
      <w:r>
        <w:rPr>
          <w:rFonts w:cs="Arial" w:hint="cs"/>
          <w:rtl/>
        </w:rPr>
        <w:t>ת</w:t>
      </w:r>
      <w:r w:rsidRPr="007F7FDE">
        <w:rPr>
          <w:rFonts w:cs="Arial"/>
          <w:rtl/>
        </w:rPr>
        <w:t xml:space="preserve"> אחרי מותו</w:t>
      </w:r>
      <w:r w:rsidRPr="007F7FDE">
        <w:rPr>
          <w:rFonts w:cs="Arial" w:hint="cs"/>
          <w:rtl/>
        </w:rPr>
        <w:t>,</w:t>
      </w:r>
      <w:r w:rsidRPr="007F7FDE">
        <w:rPr>
          <w:rFonts w:cs="Arial"/>
          <w:rtl/>
        </w:rPr>
        <w:t xml:space="preserve"> ואינו חייב בפרקונה</w:t>
      </w:r>
      <w:r w:rsidRPr="007F7FDE">
        <w:rPr>
          <w:rFonts w:cs="Arial" w:hint="cs"/>
          <w:rtl/>
        </w:rPr>
        <w:t>.</w:t>
      </w:r>
      <w:r w:rsidRPr="007F7FDE">
        <w:rPr>
          <w:rFonts w:cs="Arial"/>
          <w:rtl/>
        </w:rPr>
        <w:t xml:space="preserve"> ואפ"ה אינו משלם פירו</w:t>
      </w:r>
      <w:r>
        <w:rPr>
          <w:rFonts w:cs="Arial" w:hint="cs"/>
          <w:rtl/>
        </w:rPr>
        <w:t>ת</w:t>
      </w:r>
      <w:r w:rsidRPr="007F7FDE">
        <w:rPr>
          <w:rFonts w:cs="Arial"/>
          <w:rtl/>
        </w:rPr>
        <w:t xml:space="preserve"> שאכל משלה</w:t>
      </w:r>
      <w:r>
        <w:rPr>
          <w:rFonts w:cs="Arial" w:hint="cs"/>
          <w:sz w:val="16"/>
          <w:szCs w:val="16"/>
          <w:rtl/>
        </w:rPr>
        <w:t xml:space="preserve"> (ל' הטור)</w:t>
      </w:r>
      <w:r>
        <w:rPr>
          <w:rFonts w:cs="Arial" w:hint="cs"/>
          <w:rtl/>
        </w:rPr>
        <w:t>.</w:t>
      </w:r>
      <w:r w:rsidRPr="007F7FDE">
        <w:rPr>
          <w:rFonts w:cs="Arial"/>
          <w:rtl/>
        </w:rPr>
        <w:t xml:space="preserve"> </w:t>
      </w:r>
      <w:r w:rsidRPr="00F554B8">
        <w:rPr>
          <w:rFonts w:hint="cs"/>
          <w:color w:val="E36C0A" w:themeColor="accent6" w:themeShade="BF"/>
          <w:rtl/>
        </w:rPr>
        <w:t>(וכ"פ בשו"ע)</w:t>
      </w:r>
    </w:p>
    <w:p w14:paraId="4028D98B" w14:textId="79598DD7" w:rsidR="00924AC5" w:rsidRDefault="00392DBB" w:rsidP="00392DBB">
      <w:pPr>
        <w:ind w:left="360"/>
        <w:rPr>
          <w:u w:val="dotted"/>
          <w:rtl/>
        </w:rPr>
      </w:pPr>
      <w:r w:rsidRPr="001E347F">
        <w:rPr>
          <w:rFonts w:hint="cs"/>
          <w:u w:val="dotted"/>
          <w:rtl/>
        </w:rPr>
        <w:t>כשלא הכיר בה</w:t>
      </w:r>
      <w:r w:rsidR="003A52FA">
        <w:rPr>
          <w:rFonts w:hint="cs"/>
          <w:u w:val="dotted"/>
          <w:rtl/>
        </w:rPr>
        <w:t xml:space="preserve"> -</w:t>
      </w:r>
      <w:r w:rsidRPr="001E347F">
        <w:rPr>
          <w:rFonts w:hint="cs"/>
          <w:u w:val="dotted"/>
          <w:rtl/>
        </w:rPr>
        <w:t xml:space="preserve"> מה דין </w:t>
      </w:r>
      <w:r>
        <w:rPr>
          <w:rFonts w:hint="cs"/>
          <w:u w:val="dotted"/>
          <w:rtl/>
        </w:rPr>
        <w:t>ה</w:t>
      </w:r>
      <w:r w:rsidR="00924AC5">
        <w:rPr>
          <w:rFonts w:hint="cs"/>
          <w:u w:val="dotted"/>
          <w:rtl/>
        </w:rPr>
        <w:t>דברים הבאים:</w:t>
      </w:r>
    </w:p>
    <w:p w14:paraId="111FB3E9" w14:textId="29BC8436" w:rsidR="00392DBB" w:rsidRPr="00924AC5" w:rsidRDefault="00392DBB" w:rsidP="00924AC5">
      <w:pPr>
        <w:ind w:left="720"/>
        <w:rPr>
          <w:u w:val="wave"/>
        </w:rPr>
      </w:pPr>
      <w:r w:rsidRPr="00924AC5">
        <w:rPr>
          <w:rFonts w:hint="cs"/>
          <w:u w:val="wave"/>
          <w:rtl/>
        </w:rPr>
        <w:t>פירות שליקט משלה ועדיין מונחים אצלו:</w:t>
      </w:r>
    </w:p>
    <w:p w14:paraId="08459E88" w14:textId="57105BF9" w:rsidR="00392DBB" w:rsidRPr="001E347F" w:rsidRDefault="00392DBB" w:rsidP="009000E3">
      <w:pPr>
        <w:pStyle w:val="ab"/>
        <w:numPr>
          <w:ilvl w:val="0"/>
          <w:numId w:val="72"/>
        </w:numPr>
      </w:pPr>
      <w:r>
        <w:rPr>
          <w:rFonts w:cs="Arial" w:hint="cs"/>
          <w:rtl/>
        </w:rPr>
        <w:t xml:space="preserve">טור- </w:t>
      </w:r>
      <w:r w:rsidRPr="007F7FDE">
        <w:rPr>
          <w:rFonts w:cs="Arial"/>
          <w:rtl/>
        </w:rPr>
        <w:t xml:space="preserve">ואפילו אם הם עדיין בעין כגון שלקוטים ומונחים אצלו </w:t>
      </w:r>
      <w:r w:rsidR="00F97626">
        <w:rPr>
          <w:rFonts w:cs="Arial"/>
          <w:rtl/>
        </w:rPr>
        <w:t>-</w:t>
      </w:r>
      <w:r>
        <w:rPr>
          <w:rFonts w:cs="Arial" w:hint="cs"/>
          <w:rtl/>
        </w:rPr>
        <w:t xml:space="preserve"> </w:t>
      </w:r>
      <w:r w:rsidRPr="007F7FDE">
        <w:rPr>
          <w:rFonts w:cs="Arial"/>
          <w:rtl/>
        </w:rPr>
        <w:t>א</w:t>
      </w:r>
      <w:r>
        <w:rPr>
          <w:rFonts w:cs="Arial" w:hint="cs"/>
          <w:rtl/>
        </w:rPr>
        <w:t xml:space="preserve">ין </w:t>
      </w:r>
      <w:r w:rsidRPr="007F7FDE">
        <w:rPr>
          <w:rFonts w:cs="Arial"/>
          <w:rtl/>
        </w:rPr>
        <w:t>צ</w:t>
      </w:r>
      <w:r>
        <w:rPr>
          <w:rFonts w:cs="Arial" w:hint="cs"/>
          <w:rtl/>
        </w:rPr>
        <w:t>ריך</w:t>
      </w:r>
      <w:r w:rsidRPr="007F7FDE">
        <w:rPr>
          <w:rFonts w:cs="Arial"/>
          <w:rtl/>
        </w:rPr>
        <w:t xml:space="preserve"> ליתנם לה</w:t>
      </w:r>
      <w:r>
        <w:rPr>
          <w:rStyle w:val="a7"/>
          <w:rFonts w:cs="Arial"/>
          <w:rtl/>
        </w:rPr>
        <w:footnoteReference w:id="2910"/>
      </w:r>
      <w:r w:rsidRPr="007F7FDE">
        <w:rPr>
          <w:rFonts w:cs="Arial" w:hint="cs"/>
          <w:rtl/>
        </w:rPr>
        <w:t>.</w:t>
      </w:r>
      <w:r w:rsidRPr="007F7FDE">
        <w:rPr>
          <w:rFonts w:cs="Arial"/>
          <w:rtl/>
        </w:rPr>
        <w:t xml:space="preserve"> </w:t>
      </w:r>
      <w:r w:rsidRPr="00F554B8">
        <w:rPr>
          <w:rFonts w:hint="cs"/>
          <w:color w:val="E36C0A" w:themeColor="accent6" w:themeShade="BF"/>
          <w:rtl/>
        </w:rPr>
        <w:t>(וכ"פ בשו"ע)</w:t>
      </w:r>
    </w:p>
    <w:p w14:paraId="71DF7350" w14:textId="1C883BD3" w:rsidR="00392DBB" w:rsidRDefault="00392DBB" w:rsidP="009000E3">
      <w:pPr>
        <w:pStyle w:val="ab"/>
        <w:numPr>
          <w:ilvl w:val="0"/>
          <w:numId w:val="72"/>
        </w:numPr>
        <w:rPr>
          <w:rtl/>
        </w:rPr>
      </w:pPr>
      <w:r>
        <w:rPr>
          <w:rFonts w:cs="Arial" w:hint="cs"/>
          <w:rtl/>
        </w:rPr>
        <w:t xml:space="preserve">רי"ף </w:t>
      </w:r>
      <w:r>
        <w:rPr>
          <w:rFonts w:cs="Arial" w:hint="cs"/>
          <w:sz w:val="16"/>
          <w:szCs w:val="16"/>
          <w:rtl/>
        </w:rPr>
        <w:t>(נט:)</w:t>
      </w:r>
      <w:r>
        <w:rPr>
          <w:rFonts w:cs="Arial" w:hint="cs"/>
          <w:rtl/>
        </w:rPr>
        <w:t xml:space="preserve"> </w:t>
      </w:r>
      <w:r w:rsidR="00E25A76">
        <w:rPr>
          <w:rFonts w:cs="Arial" w:hint="cs"/>
          <w:rtl/>
        </w:rPr>
        <w:t>ו</w:t>
      </w:r>
      <w:r>
        <w:rPr>
          <w:rFonts w:cs="Arial" w:hint="cs"/>
          <w:rtl/>
        </w:rPr>
        <w:t>רמב"ם</w:t>
      </w:r>
      <w:r>
        <w:rPr>
          <w:rFonts w:cs="Arial" w:hint="cs"/>
          <w:sz w:val="16"/>
          <w:szCs w:val="16"/>
          <w:rtl/>
        </w:rPr>
        <w:t xml:space="preserve"> (פכ"ד ה"ב)</w:t>
      </w:r>
      <w:r>
        <w:rPr>
          <w:rFonts w:cs="Arial" w:hint="cs"/>
          <w:rtl/>
        </w:rPr>
        <w:t xml:space="preserve">- </w:t>
      </w:r>
      <w:r w:rsidRPr="001E347F">
        <w:rPr>
          <w:rFonts w:cs="Arial"/>
          <w:rtl/>
        </w:rPr>
        <w:t>כשכופין אותו ומפרישים ביניהם אין מוציאין מן הבעל פירות שאכל</w:t>
      </w:r>
      <w:r>
        <w:rPr>
          <w:rStyle w:val="a7"/>
          <w:rFonts w:cs="Arial"/>
          <w:rtl/>
        </w:rPr>
        <w:footnoteReference w:id="2911"/>
      </w:r>
      <w:r>
        <w:rPr>
          <w:rFonts w:cs="Arial" w:hint="cs"/>
          <w:sz w:val="16"/>
          <w:szCs w:val="16"/>
          <w:rtl/>
        </w:rPr>
        <w:t xml:space="preserve"> (ל' הרמב"ם)</w:t>
      </w:r>
      <w:r w:rsidRPr="001E347F">
        <w:rPr>
          <w:rFonts w:cs="Arial" w:hint="cs"/>
          <w:rtl/>
        </w:rPr>
        <w:t>.</w:t>
      </w:r>
      <w:r>
        <w:rPr>
          <w:rFonts w:hint="cs"/>
          <w:color w:val="E36C0A" w:themeColor="accent6" w:themeShade="BF"/>
          <w:rtl/>
        </w:rPr>
        <w:t xml:space="preserve"> </w:t>
      </w:r>
    </w:p>
    <w:p w14:paraId="2457AED6" w14:textId="1839C47F" w:rsidR="00392DBB" w:rsidRPr="00924AC5" w:rsidRDefault="00392DBB" w:rsidP="00924AC5">
      <w:pPr>
        <w:ind w:left="720"/>
        <w:rPr>
          <w:u w:val="wave"/>
        </w:rPr>
      </w:pPr>
      <w:r w:rsidRPr="00924AC5">
        <w:rPr>
          <w:rFonts w:hint="cs"/>
          <w:u w:val="wave"/>
          <w:rtl/>
        </w:rPr>
        <w:t>נכסים שהכניסה לו והם בעין:</w:t>
      </w:r>
    </w:p>
    <w:p w14:paraId="52DB1B70" w14:textId="304F04A1" w:rsidR="00392DBB" w:rsidRDefault="00392DBB" w:rsidP="009000E3">
      <w:pPr>
        <w:pStyle w:val="ab"/>
        <w:numPr>
          <w:ilvl w:val="0"/>
          <w:numId w:val="72"/>
        </w:numPr>
      </w:pPr>
      <w:r>
        <w:rPr>
          <w:rFonts w:cs="Arial" w:hint="cs"/>
          <w:rtl/>
        </w:rPr>
        <w:t xml:space="preserve">רי"ף </w:t>
      </w:r>
      <w:r>
        <w:rPr>
          <w:rFonts w:cs="Arial" w:hint="cs"/>
          <w:sz w:val="16"/>
          <w:szCs w:val="16"/>
          <w:rtl/>
        </w:rPr>
        <w:t>(נט:)</w:t>
      </w:r>
      <w:r>
        <w:rPr>
          <w:rFonts w:cs="Arial" w:hint="cs"/>
          <w:rtl/>
        </w:rPr>
        <w:t xml:space="preserve"> רא"ש </w:t>
      </w:r>
      <w:r>
        <w:rPr>
          <w:rFonts w:cs="Arial" w:hint="cs"/>
          <w:sz w:val="16"/>
          <w:szCs w:val="16"/>
          <w:rtl/>
        </w:rPr>
        <w:t>(כתובות שם)</w:t>
      </w:r>
      <w:r>
        <w:rPr>
          <w:rFonts w:cs="Arial" w:hint="cs"/>
          <w:rtl/>
        </w:rPr>
        <w:t xml:space="preserve"> וטור- </w:t>
      </w:r>
      <w:r w:rsidRPr="007F7FDE">
        <w:rPr>
          <w:rFonts w:cs="Arial"/>
          <w:rtl/>
        </w:rPr>
        <w:t>נכסים שהכניסה לו</w:t>
      </w:r>
      <w:r w:rsidRPr="007F7FDE">
        <w:rPr>
          <w:rFonts w:cs="Arial" w:hint="cs"/>
          <w:rtl/>
        </w:rPr>
        <w:t>,</w:t>
      </w:r>
      <w:r w:rsidRPr="007F7FDE">
        <w:rPr>
          <w:rFonts w:cs="Arial"/>
          <w:rtl/>
        </w:rPr>
        <w:t xml:space="preserve"> אם הם בעין</w:t>
      </w:r>
      <w:r>
        <w:rPr>
          <w:rFonts w:cs="Arial" w:hint="cs"/>
          <w:rtl/>
        </w:rPr>
        <w:t>,</w:t>
      </w:r>
      <w:r w:rsidRPr="007F7FDE">
        <w:rPr>
          <w:rFonts w:cs="Arial"/>
          <w:rtl/>
        </w:rPr>
        <w:t xml:space="preserve"> בין נכסי מלוג בין נכסי צאן ברזל </w:t>
      </w:r>
      <w:r w:rsidR="00F97626">
        <w:rPr>
          <w:rFonts w:cs="Arial"/>
          <w:rtl/>
        </w:rPr>
        <w:t>-</w:t>
      </w:r>
      <w:r w:rsidRPr="007F7FDE">
        <w:rPr>
          <w:rFonts w:cs="Arial" w:hint="cs"/>
          <w:rtl/>
        </w:rPr>
        <w:t xml:space="preserve"> </w:t>
      </w:r>
      <w:r w:rsidRPr="007F7FDE">
        <w:rPr>
          <w:rFonts w:cs="Arial"/>
          <w:rtl/>
        </w:rPr>
        <w:t>תטלם</w:t>
      </w:r>
      <w:r>
        <w:rPr>
          <w:rFonts w:cs="Arial" w:hint="cs"/>
          <w:sz w:val="16"/>
          <w:szCs w:val="16"/>
          <w:rtl/>
        </w:rPr>
        <w:t xml:space="preserve"> (ל' הטור)</w:t>
      </w:r>
      <w:r w:rsidRPr="007F7FDE">
        <w:rPr>
          <w:rFonts w:cs="Arial" w:hint="cs"/>
          <w:rtl/>
        </w:rPr>
        <w:t>.</w:t>
      </w:r>
      <w:r w:rsidRPr="007F7FDE">
        <w:rPr>
          <w:rFonts w:cs="Arial"/>
          <w:rtl/>
        </w:rPr>
        <w:t xml:space="preserve"> </w:t>
      </w:r>
      <w:r w:rsidRPr="00F554B8">
        <w:rPr>
          <w:rFonts w:hint="cs"/>
          <w:color w:val="E36C0A" w:themeColor="accent6" w:themeShade="BF"/>
          <w:rtl/>
        </w:rPr>
        <w:t>(וכ"פ בשו"ע)</w:t>
      </w:r>
    </w:p>
    <w:p w14:paraId="3AB86D68" w14:textId="7B33FDEC" w:rsidR="00392DBB" w:rsidRPr="00924AC5" w:rsidRDefault="00392DBB" w:rsidP="00924AC5">
      <w:pPr>
        <w:ind w:left="720"/>
        <w:rPr>
          <w:u w:val="wave"/>
        </w:rPr>
      </w:pPr>
      <w:r w:rsidRPr="00924AC5">
        <w:rPr>
          <w:rFonts w:hint="cs"/>
          <w:u w:val="wave"/>
          <w:rtl/>
        </w:rPr>
        <w:t>נכסים שהכניסה לו והם לא בעין:</w:t>
      </w:r>
    </w:p>
    <w:p w14:paraId="504A00D4" w14:textId="525B74A4" w:rsidR="00392DBB" w:rsidRPr="00157561" w:rsidRDefault="00392DBB" w:rsidP="009000E3">
      <w:pPr>
        <w:pStyle w:val="ab"/>
        <w:numPr>
          <w:ilvl w:val="0"/>
          <w:numId w:val="72"/>
        </w:numPr>
      </w:pPr>
      <w:r>
        <w:rPr>
          <w:rFonts w:cs="Arial" w:hint="cs"/>
          <w:rtl/>
        </w:rPr>
        <w:t xml:space="preserve">טור- </w:t>
      </w:r>
      <w:r w:rsidRPr="007F7FDE">
        <w:rPr>
          <w:rFonts w:cs="Arial"/>
          <w:rtl/>
        </w:rPr>
        <w:t>ואם אינן בעין</w:t>
      </w:r>
      <w:r w:rsidRPr="007F7FDE">
        <w:rPr>
          <w:rFonts w:cs="Arial" w:hint="cs"/>
          <w:rtl/>
        </w:rPr>
        <w:t>,</w:t>
      </w:r>
      <w:r w:rsidRPr="007F7FDE">
        <w:rPr>
          <w:rFonts w:cs="Arial"/>
          <w:rtl/>
        </w:rPr>
        <w:t xml:space="preserve"> כגון שנשתמש</w:t>
      </w:r>
      <w:r>
        <w:rPr>
          <w:rStyle w:val="a7"/>
          <w:rFonts w:cs="Arial"/>
          <w:rtl/>
        </w:rPr>
        <w:footnoteReference w:id="2912"/>
      </w:r>
      <w:r w:rsidRPr="007F7FDE">
        <w:rPr>
          <w:rFonts w:cs="Arial"/>
          <w:rtl/>
        </w:rPr>
        <w:t xml:space="preserve"> בהם ובלה אותם</w:t>
      </w:r>
      <w:r w:rsidRPr="007F7FDE">
        <w:rPr>
          <w:rFonts w:cs="Arial" w:hint="cs"/>
          <w:rtl/>
        </w:rPr>
        <w:t xml:space="preserve">, </w:t>
      </w:r>
      <w:r w:rsidRPr="007F7FDE">
        <w:rPr>
          <w:rFonts w:cs="Arial"/>
          <w:rtl/>
        </w:rPr>
        <w:t xml:space="preserve">של נכסי מלוג </w:t>
      </w:r>
      <w:r w:rsidRPr="007F7FDE">
        <w:rPr>
          <w:rFonts w:cs="Arial" w:hint="cs"/>
          <w:rtl/>
        </w:rPr>
        <w:t xml:space="preserve">- </w:t>
      </w:r>
      <w:r w:rsidRPr="007F7FDE">
        <w:rPr>
          <w:rFonts w:cs="Arial"/>
          <w:rtl/>
        </w:rPr>
        <w:t>צריך לשלם</w:t>
      </w:r>
      <w:r w:rsidRPr="007F7FDE">
        <w:rPr>
          <w:rFonts w:cs="Arial" w:hint="cs"/>
          <w:rtl/>
        </w:rPr>
        <w:t>,</w:t>
      </w:r>
      <w:r w:rsidRPr="007F7FDE">
        <w:rPr>
          <w:rFonts w:cs="Arial"/>
          <w:rtl/>
        </w:rPr>
        <w:t xml:space="preserve"> ושל נכסי צאן ברזל </w:t>
      </w:r>
      <w:r w:rsidR="00F97626">
        <w:rPr>
          <w:rFonts w:cs="Arial"/>
          <w:rtl/>
        </w:rPr>
        <w:t>-</w:t>
      </w:r>
      <w:r w:rsidRPr="007F7FDE">
        <w:rPr>
          <w:rFonts w:cs="Arial" w:hint="cs"/>
          <w:rtl/>
        </w:rPr>
        <w:t xml:space="preserve"> </w:t>
      </w:r>
      <w:r w:rsidRPr="007F7FDE">
        <w:rPr>
          <w:rFonts w:cs="Arial"/>
          <w:rtl/>
        </w:rPr>
        <w:t>א</w:t>
      </w:r>
      <w:r>
        <w:rPr>
          <w:rFonts w:cs="Arial" w:hint="cs"/>
          <w:rtl/>
        </w:rPr>
        <w:t xml:space="preserve">ין </w:t>
      </w:r>
      <w:r w:rsidRPr="007F7FDE">
        <w:rPr>
          <w:rFonts w:cs="Arial"/>
          <w:rtl/>
        </w:rPr>
        <w:t>צ</w:t>
      </w:r>
      <w:r>
        <w:rPr>
          <w:rFonts w:cs="Arial" w:hint="cs"/>
          <w:rtl/>
        </w:rPr>
        <w:t>ריך</w:t>
      </w:r>
      <w:r w:rsidRPr="007F7FDE">
        <w:rPr>
          <w:rFonts w:cs="Arial"/>
          <w:rtl/>
        </w:rPr>
        <w:t xml:space="preserve"> לשלם</w:t>
      </w:r>
      <w:r w:rsidRPr="006C3414">
        <w:rPr>
          <w:rFonts w:cs="Arial"/>
          <w:rtl/>
        </w:rPr>
        <w:t>.</w:t>
      </w:r>
    </w:p>
    <w:p w14:paraId="420E9AE2" w14:textId="77777777" w:rsidR="00392DBB" w:rsidRDefault="00392DBB" w:rsidP="009000E3">
      <w:pPr>
        <w:pStyle w:val="ab"/>
        <w:numPr>
          <w:ilvl w:val="0"/>
          <w:numId w:val="72"/>
        </w:numPr>
        <w:rPr>
          <w:rtl/>
        </w:rPr>
      </w:pPr>
      <w:r w:rsidRPr="00157561">
        <w:rPr>
          <w:rFonts w:cs="Arial"/>
          <w:rtl/>
        </w:rPr>
        <w:t xml:space="preserve">רמב"ם </w:t>
      </w:r>
      <w:r w:rsidRPr="00157561">
        <w:rPr>
          <w:rFonts w:cs="Arial" w:hint="cs"/>
          <w:sz w:val="16"/>
          <w:szCs w:val="16"/>
          <w:rtl/>
        </w:rPr>
        <w:t>(</w:t>
      </w:r>
      <w:r w:rsidRPr="00157561">
        <w:rPr>
          <w:rFonts w:cs="Arial"/>
          <w:sz w:val="16"/>
          <w:szCs w:val="16"/>
          <w:rtl/>
        </w:rPr>
        <w:t>פכ"ד ה"ח)</w:t>
      </w:r>
      <w:r>
        <w:rPr>
          <w:rFonts w:cs="Arial" w:hint="cs"/>
          <w:rtl/>
        </w:rPr>
        <w:t>-</w:t>
      </w:r>
      <w:r w:rsidRPr="00157561">
        <w:rPr>
          <w:rFonts w:cs="Arial"/>
          <w:rtl/>
        </w:rPr>
        <w:t xml:space="preserve"> היתה</w:t>
      </w:r>
      <w:r>
        <w:rPr>
          <w:rFonts w:cs="Arial" w:hint="cs"/>
          <w:rtl/>
        </w:rPr>
        <w:t>...</w:t>
      </w:r>
      <w:r w:rsidRPr="00157561">
        <w:rPr>
          <w:rFonts w:cs="Arial"/>
          <w:rtl/>
        </w:rPr>
        <w:t xml:space="preserve"> מחייבי לאוין ולא הכיר בה</w:t>
      </w:r>
      <w:r>
        <w:rPr>
          <w:rFonts w:cs="Arial" w:hint="cs"/>
          <w:rtl/>
        </w:rPr>
        <w:t>,</w:t>
      </w:r>
      <w:r w:rsidRPr="00157561">
        <w:rPr>
          <w:rFonts w:cs="Arial"/>
          <w:rtl/>
        </w:rPr>
        <w:t xml:space="preserve"> כל מה שנגנב או אבד או בלה או שנשחת מנכסי צאן ברזל </w:t>
      </w:r>
      <w:r>
        <w:rPr>
          <w:rFonts w:cs="Arial" w:hint="cs"/>
          <w:rtl/>
        </w:rPr>
        <w:t xml:space="preserve">- </w:t>
      </w:r>
      <w:r w:rsidRPr="00157561">
        <w:rPr>
          <w:rFonts w:cs="Arial"/>
          <w:rtl/>
        </w:rPr>
        <w:t>אין הבעל חייב לשלם</w:t>
      </w:r>
      <w:r>
        <w:rPr>
          <w:rFonts w:cs="Arial" w:hint="cs"/>
          <w:rtl/>
        </w:rPr>
        <w:t>,</w:t>
      </w:r>
      <w:r w:rsidRPr="00157561">
        <w:rPr>
          <w:rFonts w:cs="Arial"/>
          <w:rtl/>
        </w:rPr>
        <w:t xml:space="preserve"> שהרי היא נתנה לו רשות להיותן אצלו</w:t>
      </w:r>
      <w:r>
        <w:rPr>
          <w:rFonts w:cs="Arial" w:hint="cs"/>
          <w:rtl/>
        </w:rPr>
        <w:t>.</w:t>
      </w:r>
      <w:r w:rsidRPr="00157561">
        <w:rPr>
          <w:rFonts w:cs="Arial"/>
          <w:rtl/>
        </w:rPr>
        <w:t xml:space="preserve"> וכל מה שאבד או נגנב מנכסי מלוג </w:t>
      </w:r>
      <w:r>
        <w:rPr>
          <w:rFonts w:cs="Arial" w:hint="cs"/>
          <w:rtl/>
        </w:rPr>
        <w:t xml:space="preserve">- </w:t>
      </w:r>
      <w:r w:rsidRPr="00157561">
        <w:rPr>
          <w:rFonts w:cs="Arial"/>
          <w:rtl/>
        </w:rPr>
        <w:t>חייב לשלם</w:t>
      </w:r>
      <w:r>
        <w:rPr>
          <w:rFonts w:cs="Arial" w:hint="cs"/>
          <w:rtl/>
        </w:rPr>
        <w:t>,</w:t>
      </w:r>
      <w:r w:rsidRPr="00157561">
        <w:rPr>
          <w:rFonts w:cs="Arial"/>
          <w:rtl/>
        </w:rPr>
        <w:t xml:space="preserve"> הפך מכל הנשים</w:t>
      </w:r>
      <w:r>
        <w:rPr>
          <w:rStyle w:val="a7"/>
          <w:rFonts w:cs="Arial"/>
          <w:rtl/>
        </w:rPr>
        <w:footnoteReference w:id="2913"/>
      </w:r>
      <w:r>
        <w:rPr>
          <w:rFonts w:cs="Arial" w:hint="cs"/>
          <w:rtl/>
        </w:rPr>
        <w:t>,</w:t>
      </w:r>
      <w:r w:rsidRPr="00157561">
        <w:rPr>
          <w:rFonts w:cs="Arial"/>
          <w:rtl/>
        </w:rPr>
        <w:t xml:space="preserve"> מפני שאין שם אישות גמורה לא זכה בנכסי מלוג</w:t>
      </w:r>
      <w:r>
        <w:rPr>
          <w:rStyle w:val="a7"/>
          <w:rFonts w:cs="Arial"/>
          <w:rtl/>
        </w:rPr>
        <w:footnoteReference w:id="2914"/>
      </w:r>
      <w:r w:rsidRPr="00157561">
        <w:rPr>
          <w:rFonts w:cs="Arial" w:hint="cs"/>
          <w:rtl/>
        </w:rPr>
        <w:t>.</w:t>
      </w:r>
      <w:r>
        <w:rPr>
          <w:rFonts w:hint="cs"/>
          <w:rtl/>
        </w:rPr>
        <w:t xml:space="preserve"> </w:t>
      </w:r>
      <w:r w:rsidRPr="00F554B8">
        <w:rPr>
          <w:rFonts w:hint="cs"/>
          <w:color w:val="E36C0A" w:themeColor="accent6" w:themeShade="BF"/>
          <w:rtl/>
        </w:rPr>
        <w:t>(וכ"פ בשו"ע)</w:t>
      </w:r>
    </w:p>
    <w:p w14:paraId="4558B016"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7668099D" w14:textId="77777777" w:rsidR="00392DBB" w:rsidRDefault="00392DBB" w:rsidP="00392DBB">
      <w:pPr>
        <w:rPr>
          <w:rtl/>
        </w:rPr>
      </w:pPr>
      <w:r>
        <w:rPr>
          <w:rFonts w:cs="Arial"/>
          <w:rtl/>
        </w:rPr>
        <w:t>הנושא אחת מחייבי לאוין, אם הכיר בה יש לה עיקר ותוספת וכל תנאיה</w:t>
      </w:r>
      <w:r>
        <w:rPr>
          <w:rFonts w:cs="Arial" w:hint="cs"/>
          <w:rtl/>
        </w:rPr>
        <w:t>.</w:t>
      </w:r>
      <w:r>
        <w:rPr>
          <w:rFonts w:cs="Arial"/>
          <w:rtl/>
        </w:rPr>
        <w:t xml:space="preserve"> ומיהו מזונות אין לה אלא לאחר מותו, אבל בחייו אין לה, אפילו לותה ואכלה אינו חייב כלום</w:t>
      </w:r>
      <w:r>
        <w:rPr>
          <w:rFonts w:cs="Arial" w:hint="cs"/>
          <w:rtl/>
        </w:rPr>
        <w:t>.</w:t>
      </w:r>
      <w:r>
        <w:rPr>
          <w:rFonts w:cs="Arial"/>
          <w:rtl/>
        </w:rPr>
        <w:t xml:space="preserve"> </w:t>
      </w:r>
      <w:r>
        <w:rPr>
          <w:rFonts w:cs="Arial" w:hint="cs"/>
          <w:sz w:val="18"/>
          <w:szCs w:val="18"/>
          <w:rtl/>
        </w:rPr>
        <w:t xml:space="preserve">[הגה] </w:t>
      </w:r>
      <w:r w:rsidRPr="0015263A">
        <w:rPr>
          <w:rFonts w:cs="Arial"/>
          <w:sz w:val="18"/>
          <w:szCs w:val="18"/>
          <w:rtl/>
        </w:rPr>
        <w:t>ואם זן אותה, מעשה ידיה שלו</w:t>
      </w:r>
      <w:r>
        <w:rPr>
          <w:rStyle w:val="a7"/>
          <w:rFonts w:cs="Arial"/>
          <w:rtl/>
        </w:rPr>
        <w:footnoteReference w:id="2915"/>
      </w:r>
      <w:r w:rsidRPr="0015263A">
        <w:rPr>
          <w:rFonts w:cs="Arial"/>
          <w:sz w:val="18"/>
          <w:szCs w:val="18"/>
          <w:rtl/>
        </w:rPr>
        <w:t xml:space="preserve"> (נ</w:t>
      </w:r>
      <w:r>
        <w:rPr>
          <w:rFonts w:cs="Arial" w:hint="cs"/>
          <w:sz w:val="18"/>
          <w:szCs w:val="18"/>
          <w:rtl/>
        </w:rPr>
        <w:t>מוק</w:t>
      </w:r>
      <w:r w:rsidRPr="0015263A">
        <w:rPr>
          <w:rFonts w:cs="Arial"/>
          <w:sz w:val="18"/>
          <w:szCs w:val="18"/>
          <w:rtl/>
        </w:rPr>
        <w:t>"י</w:t>
      </w:r>
      <w:r>
        <w:rPr>
          <w:rFonts w:cs="Arial" w:hint="cs"/>
          <w:sz w:val="18"/>
          <w:szCs w:val="18"/>
          <w:rtl/>
        </w:rPr>
        <w:t xml:space="preserve"> בשם הריטב"א</w:t>
      </w:r>
      <w:r w:rsidRPr="0015263A">
        <w:rPr>
          <w:rFonts w:cs="Arial"/>
          <w:sz w:val="18"/>
          <w:szCs w:val="18"/>
          <w:rtl/>
        </w:rPr>
        <w:t>).</w:t>
      </w:r>
      <w:r>
        <w:rPr>
          <w:rFonts w:cs="Arial"/>
          <w:rtl/>
        </w:rPr>
        <w:t xml:space="preserve"> ואם לא הכיר בה, אין לה מנה ומאתים אבל תוספת יש לה. ואין לה שום תנאי מתנאי כתובה, ואפילו מזונות, אחר מותו</w:t>
      </w:r>
      <w:r>
        <w:rPr>
          <w:rFonts w:cs="Arial" w:hint="cs"/>
          <w:rtl/>
        </w:rPr>
        <w:t>.</w:t>
      </w:r>
      <w:r>
        <w:rPr>
          <w:rFonts w:cs="Arial"/>
          <w:rtl/>
        </w:rPr>
        <w:t xml:space="preserve"> ואינו חייב בפרקונה</w:t>
      </w:r>
      <w:r>
        <w:rPr>
          <w:rStyle w:val="a7"/>
          <w:rFonts w:cs="Arial"/>
          <w:rtl/>
        </w:rPr>
        <w:footnoteReference w:id="2916"/>
      </w:r>
      <w:r>
        <w:rPr>
          <w:rFonts w:cs="Arial"/>
          <w:rtl/>
        </w:rPr>
        <w:t>, ואפילו הכי אינו משלם פירות</w:t>
      </w:r>
      <w:r>
        <w:rPr>
          <w:rStyle w:val="a7"/>
          <w:rFonts w:cs="Arial"/>
          <w:rtl/>
        </w:rPr>
        <w:footnoteReference w:id="2917"/>
      </w:r>
      <w:r>
        <w:rPr>
          <w:rFonts w:cs="Arial"/>
          <w:rtl/>
        </w:rPr>
        <w:t xml:space="preserve"> שאכל משלה, ואפילו הם בעין אצלו. ונכסיה שהכניסה לו, אם הם בעין, בין נכסי מלוג בין נכסי צאן ברזל, תטלם</w:t>
      </w:r>
      <w:r>
        <w:rPr>
          <w:rFonts w:cs="Arial" w:hint="cs"/>
          <w:rtl/>
        </w:rPr>
        <w:t>.</w:t>
      </w:r>
      <w:r>
        <w:rPr>
          <w:rFonts w:cs="Arial"/>
          <w:rtl/>
        </w:rPr>
        <w:t xml:space="preserve"> וכל מה שאבד או נגנב או </w:t>
      </w:r>
      <w:r>
        <w:rPr>
          <w:rFonts w:cs="Arial" w:hint="cs"/>
          <w:rtl/>
        </w:rPr>
        <w:t>ב</w:t>
      </w:r>
      <w:r>
        <w:rPr>
          <w:rFonts w:cs="Arial"/>
          <w:rtl/>
        </w:rPr>
        <w:t>לה או נשח</w:t>
      </w:r>
      <w:r>
        <w:rPr>
          <w:rFonts w:cs="Arial" w:hint="cs"/>
          <w:rtl/>
        </w:rPr>
        <w:t>ק</w:t>
      </w:r>
      <w:r>
        <w:rPr>
          <w:rFonts w:cs="Arial"/>
          <w:rtl/>
        </w:rPr>
        <w:t xml:space="preserve"> מנכסי צאן ברזל, אינו חייב לשלם</w:t>
      </w:r>
      <w:r>
        <w:rPr>
          <w:rStyle w:val="a7"/>
          <w:rFonts w:cs="Arial"/>
          <w:rtl/>
        </w:rPr>
        <w:footnoteReference w:id="2918"/>
      </w:r>
      <w:r>
        <w:rPr>
          <w:rFonts w:cs="Arial" w:hint="cs"/>
          <w:rtl/>
        </w:rPr>
        <w:t>.</w:t>
      </w:r>
      <w:r>
        <w:rPr>
          <w:rFonts w:cs="Arial"/>
          <w:rtl/>
        </w:rPr>
        <w:t xml:space="preserve"> וכל מה שאבד או נגנב מנכסי מלוג, חייב לשלם. </w:t>
      </w:r>
    </w:p>
    <w:p w14:paraId="1045D322" w14:textId="77777777" w:rsidR="00392DBB" w:rsidRDefault="00392DBB" w:rsidP="00392DBB">
      <w:pPr>
        <w:rPr>
          <w:rtl/>
        </w:rPr>
      </w:pPr>
    </w:p>
    <w:p w14:paraId="61C18602" w14:textId="77777777" w:rsidR="00392DBB" w:rsidRDefault="00392DBB" w:rsidP="000F64D0">
      <w:pPr>
        <w:pStyle w:val="2"/>
        <w:rPr>
          <w:rtl/>
        </w:rPr>
      </w:pPr>
      <w:r>
        <w:rPr>
          <w:rtl/>
        </w:rPr>
        <w:t>סעיף ב</w:t>
      </w:r>
      <w:r>
        <w:rPr>
          <w:rFonts w:hint="cs"/>
          <w:rtl/>
        </w:rPr>
        <w:t>: הנושא אשה שאסורה עליו בעשה.</w:t>
      </w:r>
    </w:p>
    <w:p w14:paraId="583EDF94" w14:textId="77777777" w:rsidR="00392DBB" w:rsidRPr="00FA40A3" w:rsidRDefault="00392DBB" w:rsidP="00392DBB">
      <w:pPr>
        <w:rPr>
          <w:u w:val="single"/>
          <w:rtl/>
        </w:rPr>
      </w:pPr>
      <w:r w:rsidRPr="00FA40A3">
        <w:rPr>
          <w:rFonts w:hint="cs"/>
          <w:u w:val="single"/>
          <w:rtl/>
        </w:rPr>
        <w:t xml:space="preserve">הנושא אשה </w:t>
      </w:r>
      <w:r>
        <w:rPr>
          <w:rFonts w:hint="cs"/>
          <w:u w:val="single"/>
          <w:rtl/>
        </w:rPr>
        <w:t>שאסורה עליו</w:t>
      </w:r>
      <w:r w:rsidRPr="00FA40A3">
        <w:rPr>
          <w:rFonts w:hint="cs"/>
          <w:u w:val="single"/>
          <w:rtl/>
        </w:rPr>
        <w:t xml:space="preserve"> </w:t>
      </w:r>
      <w:r>
        <w:rPr>
          <w:rFonts w:hint="cs"/>
          <w:u w:val="single"/>
          <w:rtl/>
        </w:rPr>
        <w:t>ב</w:t>
      </w:r>
      <w:r w:rsidRPr="00FA40A3">
        <w:rPr>
          <w:rFonts w:hint="cs"/>
          <w:u w:val="single"/>
          <w:rtl/>
        </w:rPr>
        <w:t>עשה:</w:t>
      </w:r>
    </w:p>
    <w:p w14:paraId="7F141D55" w14:textId="77777777" w:rsidR="00392DBB" w:rsidRPr="003B154C" w:rsidRDefault="00392DBB" w:rsidP="009000E3">
      <w:pPr>
        <w:pStyle w:val="ab"/>
        <w:numPr>
          <w:ilvl w:val="0"/>
          <w:numId w:val="72"/>
        </w:numPr>
      </w:pPr>
      <w:r w:rsidRPr="003C7FB6">
        <w:rPr>
          <w:rFonts w:cs="Arial"/>
          <w:rtl/>
        </w:rPr>
        <w:t xml:space="preserve">רמב"ם </w:t>
      </w:r>
      <w:r>
        <w:rPr>
          <w:rFonts w:cs="Arial" w:hint="cs"/>
          <w:sz w:val="16"/>
          <w:szCs w:val="16"/>
          <w:rtl/>
        </w:rPr>
        <w:t xml:space="preserve">(פכ"ד ה"ד) </w:t>
      </w:r>
      <w:r>
        <w:rPr>
          <w:rFonts w:cs="Arial" w:hint="cs"/>
          <w:rtl/>
        </w:rPr>
        <w:t xml:space="preserve">וטור- </w:t>
      </w:r>
      <w:r w:rsidRPr="003C7FB6">
        <w:rPr>
          <w:rFonts w:cs="Arial"/>
          <w:rtl/>
        </w:rPr>
        <w:t>חייבי עשה כיון שאיסורן קל</w:t>
      </w:r>
      <w:r>
        <w:rPr>
          <w:rFonts w:cs="Arial" w:hint="cs"/>
          <w:rtl/>
        </w:rPr>
        <w:t>,</w:t>
      </w:r>
      <w:r w:rsidRPr="003C7FB6">
        <w:rPr>
          <w:rFonts w:cs="Arial"/>
          <w:rtl/>
        </w:rPr>
        <w:t xml:space="preserve"> אפילו אם </w:t>
      </w:r>
      <w:r>
        <w:rPr>
          <w:rFonts w:cs="Arial" w:hint="cs"/>
          <w:rtl/>
        </w:rPr>
        <w:t xml:space="preserve">לא </w:t>
      </w:r>
      <w:r w:rsidRPr="003C7FB6">
        <w:rPr>
          <w:rFonts w:cs="Arial"/>
          <w:rtl/>
        </w:rPr>
        <w:t xml:space="preserve">הכיר בה </w:t>
      </w:r>
      <w:r>
        <w:rPr>
          <w:rFonts w:cs="Arial" w:hint="cs"/>
          <w:rtl/>
        </w:rPr>
        <w:t xml:space="preserve">- </w:t>
      </w:r>
      <w:r w:rsidRPr="003C7FB6">
        <w:rPr>
          <w:rFonts w:cs="Arial"/>
          <w:rtl/>
        </w:rPr>
        <w:t>דינם כחייבי לאוין ש</w:t>
      </w:r>
      <w:r>
        <w:rPr>
          <w:rFonts w:cs="Arial" w:hint="cs"/>
          <w:rtl/>
        </w:rPr>
        <w:t>ה</w:t>
      </w:r>
      <w:r w:rsidRPr="003C7FB6">
        <w:rPr>
          <w:rFonts w:cs="Arial"/>
          <w:rtl/>
        </w:rPr>
        <w:t>כיר בה</w:t>
      </w:r>
      <w:r>
        <w:rPr>
          <w:rFonts w:cs="Arial" w:hint="cs"/>
          <w:sz w:val="16"/>
          <w:szCs w:val="16"/>
          <w:rtl/>
        </w:rPr>
        <w:t xml:space="preserve"> (ל' הטור בשם הרמב"ם)</w:t>
      </w:r>
      <w:r>
        <w:rPr>
          <w:rFonts w:cs="Arial" w:hint="cs"/>
          <w:rtl/>
        </w:rPr>
        <w:t>.</w:t>
      </w:r>
      <w:r w:rsidRPr="003C7FB6">
        <w:rPr>
          <w:rFonts w:cs="Arial"/>
          <w:rtl/>
        </w:rPr>
        <w:t xml:space="preserve"> </w:t>
      </w:r>
      <w:r w:rsidRPr="00781AA6">
        <w:rPr>
          <w:rFonts w:hint="cs"/>
          <w:color w:val="E36C0A" w:themeColor="accent6" w:themeShade="BF"/>
          <w:rtl/>
        </w:rPr>
        <w:t>(וכ"פ בשו"ע)</w:t>
      </w:r>
    </w:p>
    <w:p w14:paraId="41B64DA6"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9CDB83E" w14:textId="77777777" w:rsidR="00392DBB" w:rsidRDefault="00392DBB" w:rsidP="00392DBB">
      <w:pPr>
        <w:rPr>
          <w:rtl/>
        </w:rPr>
      </w:pPr>
      <w:r>
        <w:rPr>
          <w:rFonts w:cs="Arial"/>
          <w:rtl/>
        </w:rPr>
        <w:t xml:space="preserve">חייבי עשה, אפילו לא הכיר בה, דינה כחייבי לאוין שהכיר בה. </w:t>
      </w:r>
    </w:p>
    <w:p w14:paraId="3421DB52" w14:textId="77777777" w:rsidR="00392DBB" w:rsidRDefault="00392DBB" w:rsidP="00392DBB">
      <w:pPr>
        <w:rPr>
          <w:rtl/>
        </w:rPr>
      </w:pPr>
    </w:p>
    <w:p w14:paraId="11E7A67E" w14:textId="77777777" w:rsidR="00392DBB" w:rsidRDefault="00392DBB" w:rsidP="000F64D0">
      <w:pPr>
        <w:pStyle w:val="2"/>
        <w:rPr>
          <w:rtl/>
        </w:rPr>
      </w:pPr>
      <w:r>
        <w:rPr>
          <w:rtl/>
        </w:rPr>
        <w:t>סעיף ג</w:t>
      </w:r>
      <w:r>
        <w:rPr>
          <w:rFonts w:hint="cs"/>
          <w:rtl/>
        </w:rPr>
        <w:t>: הנושא אילונית.</w:t>
      </w:r>
    </w:p>
    <w:p w14:paraId="7EEAF11B" w14:textId="77777777" w:rsidR="00392DBB" w:rsidRPr="00781AA6" w:rsidRDefault="00392DBB" w:rsidP="00392DBB">
      <w:pPr>
        <w:rPr>
          <w:rtl/>
        </w:rPr>
      </w:pPr>
      <w:r w:rsidRPr="003A2932">
        <w:rPr>
          <w:rFonts w:cs="Arial" w:hint="cs"/>
          <w:b/>
          <w:bCs/>
          <w:rtl/>
        </w:rPr>
        <w:t xml:space="preserve">כתובות </w:t>
      </w:r>
      <w:r w:rsidRPr="003A2932">
        <w:rPr>
          <w:rFonts w:cs="Arial" w:hint="cs"/>
          <w:b/>
          <w:bCs/>
          <w:sz w:val="16"/>
          <w:szCs w:val="16"/>
          <w:rtl/>
        </w:rPr>
        <w:t>(ס"פ אלמנה</w:t>
      </w:r>
      <w:r>
        <w:rPr>
          <w:rFonts w:cs="Arial" w:hint="cs"/>
          <w:b/>
          <w:bCs/>
          <w:sz w:val="16"/>
          <w:szCs w:val="16"/>
          <w:rtl/>
        </w:rPr>
        <w:t xml:space="preserve"> ניזונת</w:t>
      </w:r>
      <w:r w:rsidRPr="003A2932">
        <w:rPr>
          <w:rFonts w:cs="Arial" w:hint="cs"/>
          <w:b/>
          <w:bCs/>
          <w:sz w:val="16"/>
          <w:szCs w:val="16"/>
          <w:rtl/>
        </w:rPr>
        <w:t xml:space="preserve">) </w:t>
      </w:r>
      <w:r w:rsidRPr="003A2932">
        <w:rPr>
          <w:rFonts w:cs="Arial" w:hint="cs"/>
          <w:b/>
          <w:bCs/>
          <w:rtl/>
        </w:rPr>
        <w:t xml:space="preserve">ק ע"ב: </w:t>
      </w:r>
      <w:r w:rsidRPr="003A2932">
        <w:rPr>
          <w:rFonts w:cs="Arial"/>
          <w:u w:val="double"/>
          <w:rtl/>
        </w:rPr>
        <w:t>מתני'</w:t>
      </w:r>
      <w:r>
        <w:rPr>
          <w:rFonts w:cs="Arial" w:hint="cs"/>
          <w:rtl/>
        </w:rPr>
        <w:t>:</w:t>
      </w:r>
      <w:r w:rsidRPr="001D1C27">
        <w:rPr>
          <w:rtl/>
        </w:rPr>
        <w:t xml:space="preserve"> </w:t>
      </w:r>
      <w:r w:rsidRPr="001D1C27">
        <w:rPr>
          <w:rFonts w:cs="Arial"/>
          <w:rtl/>
        </w:rPr>
        <w:t>הממאנת, השניה, והאילונית - אין להן כתובה</w:t>
      </w:r>
      <w:r>
        <w:rPr>
          <w:rStyle w:val="a7"/>
          <w:rFonts w:cs="Arial"/>
          <w:rtl/>
        </w:rPr>
        <w:footnoteReference w:id="2919"/>
      </w:r>
      <w:r w:rsidRPr="001D1C27">
        <w:rPr>
          <w:rFonts w:cs="Arial"/>
          <w:rtl/>
        </w:rPr>
        <w:t xml:space="preserve"> ולא פירות</w:t>
      </w:r>
      <w:r>
        <w:rPr>
          <w:rStyle w:val="a7"/>
          <w:rFonts w:cs="Arial"/>
          <w:rtl/>
        </w:rPr>
        <w:footnoteReference w:id="2920"/>
      </w:r>
      <w:r w:rsidRPr="001D1C27">
        <w:rPr>
          <w:rFonts w:cs="Arial"/>
          <w:rtl/>
        </w:rPr>
        <w:t>, ולא מזונות ולא בלאות</w:t>
      </w:r>
      <w:r>
        <w:rPr>
          <w:rFonts w:cs="Arial" w:hint="cs"/>
          <w:rtl/>
        </w:rPr>
        <w:t>.</w:t>
      </w:r>
      <w:r w:rsidRPr="001D1C27">
        <w:rPr>
          <w:rFonts w:cs="Arial"/>
          <w:rtl/>
        </w:rPr>
        <w:t xml:space="preserve"> אם מתחלה נשאה לשם אילונית - יש לה כתובה.</w:t>
      </w:r>
      <w:r>
        <w:rPr>
          <w:rFonts w:cs="Arial" w:hint="cs"/>
          <w:rtl/>
        </w:rPr>
        <w:t>.</w:t>
      </w:r>
      <w:r w:rsidRPr="003A2932">
        <w:rPr>
          <w:rFonts w:cs="Arial"/>
          <w:rtl/>
        </w:rPr>
        <w:t xml:space="preserve">. </w:t>
      </w:r>
      <w:r>
        <w:rPr>
          <w:rFonts w:cs="Arial" w:hint="cs"/>
          <w:rtl/>
        </w:rPr>
        <w:t xml:space="preserve">        </w:t>
      </w:r>
      <w:r w:rsidRPr="001D1C27">
        <w:rPr>
          <w:rFonts w:cs="Arial" w:hint="cs"/>
          <w:u w:val="double"/>
          <w:rtl/>
        </w:rPr>
        <w:t>גמ'</w:t>
      </w:r>
      <w:r>
        <w:rPr>
          <w:rFonts w:cs="Arial" w:hint="cs"/>
          <w:sz w:val="14"/>
          <w:szCs w:val="14"/>
          <w:u w:val="double"/>
          <w:rtl/>
        </w:rPr>
        <w:t>(קא.)</w:t>
      </w:r>
      <w:r w:rsidRPr="001D1C27">
        <w:rPr>
          <w:rFonts w:cs="Arial" w:hint="cs"/>
          <w:u w:val="double"/>
          <w:rtl/>
        </w:rPr>
        <w:t>:</w:t>
      </w:r>
      <w:r w:rsidRPr="001D1C27">
        <w:rPr>
          <w:rtl/>
        </w:rPr>
        <w:t xml:space="preserve"> </w:t>
      </w:r>
      <w:r w:rsidRPr="00297264">
        <w:rPr>
          <w:rFonts w:cs="Arial"/>
          <w:rtl/>
        </w:rPr>
        <w:t xml:space="preserve">ולא בלאות. </w:t>
      </w:r>
      <w:r w:rsidRPr="00297264">
        <w:rPr>
          <w:rFonts w:cs="Arial"/>
          <w:u w:val="single"/>
          <w:rtl/>
        </w:rPr>
        <w:t>א"ל רב הונא בר חייא לרב כהנא, אמרת לן משמיה דשמואל</w:t>
      </w:r>
      <w:r w:rsidRPr="00297264">
        <w:rPr>
          <w:rFonts w:cs="Arial"/>
          <w:rtl/>
        </w:rPr>
        <w:t xml:space="preserve">: לא שנו אלא נכסי מלוג, אבל נכסי צאן ברזל אית לה. </w:t>
      </w:r>
      <w:r w:rsidRPr="00297264">
        <w:rPr>
          <w:rFonts w:cs="Arial"/>
          <w:u w:val="single"/>
          <w:rtl/>
        </w:rPr>
        <w:t>הוי בה רב פפא</w:t>
      </w:r>
      <w:r w:rsidRPr="00297264">
        <w:rPr>
          <w:rFonts w:cs="Arial"/>
          <w:rtl/>
        </w:rPr>
        <w:t xml:space="preserve">: אהייא? אילימא אממאנת, אי דאיתנהו, אידי ואידי שקלא! ואי דליתנהו, אידי ואידי לא שקלא! אלא אאיילונית, אי דאיתנהו, אידי ואידי שקלא! אי דליתנהו, איפכא מיבעי ליה: נכסי מלוג דברשותה קיימי </w:t>
      </w:r>
      <w:r>
        <w:rPr>
          <w:rFonts w:cs="Arial" w:hint="cs"/>
          <w:rtl/>
        </w:rPr>
        <w:t xml:space="preserve">- </w:t>
      </w:r>
      <w:r w:rsidRPr="00297264">
        <w:rPr>
          <w:rFonts w:cs="Arial"/>
          <w:rtl/>
        </w:rPr>
        <w:t>אית לה, נכסי צאן ברזל דלאו ברשותה קיימי</w:t>
      </w:r>
      <w:r>
        <w:rPr>
          <w:rFonts w:cs="Arial" w:hint="cs"/>
          <w:rtl/>
        </w:rPr>
        <w:t xml:space="preserve"> -</w:t>
      </w:r>
      <w:r w:rsidRPr="00297264">
        <w:rPr>
          <w:rFonts w:cs="Arial"/>
          <w:rtl/>
        </w:rPr>
        <w:t xml:space="preserve"> לית לה</w:t>
      </w:r>
      <w:r>
        <w:rPr>
          <w:rFonts w:cs="Arial" w:hint="cs"/>
          <w:rtl/>
        </w:rPr>
        <w:t>...</w:t>
      </w:r>
      <w:r w:rsidRPr="00297264">
        <w:rPr>
          <w:rFonts w:cs="Arial"/>
          <w:rtl/>
        </w:rPr>
        <w:t xml:space="preserve"> </w:t>
      </w:r>
      <w:r w:rsidRPr="00EA2802">
        <w:rPr>
          <w:rFonts w:cs="Arial"/>
          <w:rtl/>
        </w:rPr>
        <w:t xml:space="preserve">אין להן כתובה. </w:t>
      </w:r>
      <w:r w:rsidRPr="00EA2802">
        <w:rPr>
          <w:rFonts w:cs="Arial"/>
          <w:u w:val="single"/>
          <w:rtl/>
        </w:rPr>
        <w:t>אמר שמואל</w:t>
      </w:r>
      <w:r w:rsidRPr="00EA2802">
        <w:rPr>
          <w:rFonts w:cs="Arial"/>
          <w:rtl/>
        </w:rPr>
        <w:t>: ל"ש אלא מנה מאתים, אבל תוספת יש להן</w:t>
      </w:r>
      <w:r>
        <w:rPr>
          <w:rStyle w:val="a7"/>
          <w:rFonts w:cs="Arial"/>
          <w:rtl/>
        </w:rPr>
        <w:footnoteReference w:id="2921"/>
      </w:r>
      <w:r w:rsidRPr="00EA2802">
        <w:rPr>
          <w:rFonts w:cs="Arial"/>
          <w:rtl/>
        </w:rPr>
        <w:t>.</w:t>
      </w:r>
      <w:r>
        <w:rPr>
          <w:rFonts w:cs="Arial" w:hint="cs"/>
          <w:rtl/>
        </w:rPr>
        <w:t>..</w:t>
      </w:r>
    </w:p>
    <w:p w14:paraId="1630A800" w14:textId="77777777" w:rsidR="00392DBB" w:rsidRPr="00781AA6" w:rsidRDefault="00392DBB" w:rsidP="00392DBB">
      <w:pPr>
        <w:rPr>
          <w:u w:val="single"/>
          <w:rtl/>
        </w:rPr>
      </w:pPr>
      <w:r w:rsidRPr="00781AA6">
        <w:rPr>
          <w:rFonts w:hint="cs"/>
          <w:u w:val="single"/>
          <w:rtl/>
        </w:rPr>
        <w:lastRenderedPageBreak/>
        <w:t>הנושא אילונית:</w:t>
      </w:r>
    </w:p>
    <w:p w14:paraId="63A9BFF8" w14:textId="13DF1644" w:rsidR="00392DBB" w:rsidRDefault="00392DBB" w:rsidP="009000E3">
      <w:pPr>
        <w:pStyle w:val="ab"/>
        <w:numPr>
          <w:ilvl w:val="0"/>
          <w:numId w:val="72"/>
        </w:numPr>
      </w:pPr>
      <w:r>
        <w:rPr>
          <w:rFonts w:hint="cs"/>
          <w:rtl/>
        </w:rPr>
        <w:t>טור-</w:t>
      </w:r>
      <w:r>
        <w:rPr>
          <w:rFonts w:cs="Arial" w:hint="cs"/>
          <w:rtl/>
        </w:rPr>
        <w:t xml:space="preserve"> </w:t>
      </w:r>
      <w:r w:rsidRPr="003C7FB6">
        <w:rPr>
          <w:rFonts w:cs="Arial"/>
          <w:rtl/>
        </w:rPr>
        <w:t>ודין אילוני</w:t>
      </w:r>
      <w:r>
        <w:rPr>
          <w:rFonts w:cs="Arial" w:hint="cs"/>
          <w:rtl/>
        </w:rPr>
        <w:t>ת</w:t>
      </w:r>
      <w:r w:rsidRPr="003C7FB6">
        <w:rPr>
          <w:rFonts w:cs="Arial"/>
          <w:rtl/>
        </w:rPr>
        <w:t xml:space="preserve"> כדין אלו</w:t>
      </w:r>
      <w:r>
        <w:rPr>
          <w:rFonts w:cs="Arial" w:hint="cs"/>
          <w:rtl/>
        </w:rPr>
        <w:t>,</w:t>
      </w:r>
      <w:r w:rsidRPr="003C7FB6">
        <w:rPr>
          <w:rFonts w:cs="Arial"/>
          <w:rtl/>
        </w:rPr>
        <w:t xml:space="preserve"> שאם הכיר בה </w:t>
      </w:r>
      <w:r>
        <w:rPr>
          <w:rFonts w:cs="Arial" w:hint="cs"/>
          <w:rtl/>
        </w:rPr>
        <w:t xml:space="preserve">- </w:t>
      </w:r>
      <w:r w:rsidRPr="003C7FB6">
        <w:rPr>
          <w:rFonts w:cs="Arial"/>
          <w:rtl/>
        </w:rPr>
        <w:t>יש לה הכל</w:t>
      </w:r>
      <w:r>
        <w:rPr>
          <w:rFonts w:cs="Arial" w:hint="cs"/>
          <w:rtl/>
        </w:rPr>
        <w:t>.</w:t>
      </w:r>
      <w:r w:rsidRPr="003C7FB6">
        <w:rPr>
          <w:rFonts w:cs="Arial"/>
          <w:rtl/>
        </w:rPr>
        <w:t xml:space="preserve"> ואם לא הכיר בה </w:t>
      </w:r>
      <w:r>
        <w:rPr>
          <w:rFonts w:cs="Arial" w:hint="cs"/>
          <w:rtl/>
        </w:rPr>
        <w:t xml:space="preserve">- </w:t>
      </w:r>
      <w:r w:rsidRPr="003C7FB6">
        <w:rPr>
          <w:rFonts w:cs="Arial"/>
          <w:rtl/>
        </w:rPr>
        <w:t>אין לה עיקר כתובה ותנאיה</w:t>
      </w:r>
      <w:r>
        <w:rPr>
          <w:rFonts w:cs="Arial" w:hint="cs"/>
          <w:rtl/>
        </w:rPr>
        <w:t>,</w:t>
      </w:r>
      <w:r w:rsidRPr="003C7FB6">
        <w:rPr>
          <w:rFonts w:cs="Arial"/>
          <w:rtl/>
        </w:rPr>
        <w:t xml:space="preserve"> אבל יש לה תוס</w:t>
      </w:r>
      <w:r>
        <w:rPr>
          <w:rFonts w:cs="Arial" w:hint="cs"/>
          <w:rtl/>
        </w:rPr>
        <w:t>פת</w:t>
      </w:r>
      <w:r w:rsidR="000551D8">
        <w:rPr>
          <w:rStyle w:val="a7"/>
          <w:rFonts w:cs="Arial"/>
          <w:rtl/>
        </w:rPr>
        <w:footnoteReference w:id="2922"/>
      </w:r>
      <w:r>
        <w:rPr>
          <w:rFonts w:cs="Arial" w:hint="cs"/>
          <w:rtl/>
        </w:rPr>
        <w:t>.</w:t>
      </w:r>
      <w:r w:rsidRPr="003C7FB6">
        <w:rPr>
          <w:rFonts w:cs="Arial"/>
          <w:rtl/>
        </w:rPr>
        <w:t xml:space="preserve"> ובלאותיה הקיימין בין של מלוג בין של צאן ברזל</w:t>
      </w:r>
      <w:r>
        <w:rPr>
          <w:rFonts w:cs="Arial" w:hint="cs"/>
          <w:rtl/>
        </w:rPr>
        <w:t>,</w:t>
      </w:r>
      <w:r w:rsidRPr="003C7FB6">
        <w:rPr>
          <w:rFonts w:cs="Arial"/>
          <w:rtl/>
        </w:rPr>
        <w:t xml:space="preserve"> ואפי' שאינן קיימין של מלוג </w:t>
      </w:r>
      <w:r>
        <w:rPr>
          <w:rFonts w:cs="Arial" w:hint="cs"/>
          <w:rtl/>
        </w:rPr>
        <w:t xml:space="preserve">- </w:t>
      </w:r>
      <w:r w:rsidRPr="003C7FB6">
        <w:rPr>
          <w:rFonts w:cs="Arial"/>
          <w:rtl/>
        </w:rPr>
        <w:t>חייב לשלם</w:t>
      </w:r>
      <w:r>
        <w:rPr>
          <w:rFonts w:cs="Arial" w:hint="cs"/>
          <w:rtl/>
        </w:rPr>
        <w:t>.</w:t>
      </w:r>
      <w:r w:rsidRPr="003C7FB6">
        <w:rPr>
          <w:rFonts w:cs="Arial"/>
          <w:rtl/>
        </w:rPr>
        <w:t xml:space="preserve"> אלא שבזה חלוקה מהם </w:t>
      </w:r>
      <w:r>
        <w:rPr>
          <w:rFonts w:cs="Arial" w:hint="cs"/>
          <w:rtl/>
        </w:rPr>
        <w:t xml:space="preserve">- </w:t>
      </w:r>
      <w:r w:rsidRPr="003C7FB6">
        <w:rPr>
          <w:rFonts w:cs="Arial"/>
          <w:rtl/>
        </w:rPr>
        <w:t>שחייב במזונו</w:t>
      </w:r>
      <w:r>
        <w:rPr>
          <w:rFonts w:cs="Arial" w:hint="cs"/>
          <w:rtl/>
        </w:rPr>
        <w:t>ת</w:t>
      </w:r>
      <w:r w:rsidRPr="003C7FB6">
        <w:rPr>
          <w:rFonts w:cs="Arial"/>
          <w:rtl/>
        </w:rPr>
        <w:t xml:space="preserve"> בהכיר בה אפי</w:t>
      </w:r>
      <w:r>
        <w:rPr>
          <w:rFonts w:cs="Arial" w:hint="cs"/>
          <w:rtl/>
        </w:rPr>
        <w:t>לו</w:t>
      </w:r>
      <w:r w:rsidRPr="003C7FB6">
        <w:rPr>
          <w:rFonts w:cs="Arial"/>
          <w:rtl/>
        </w:rPr>
        <w:t xml:space="preserve"> בחייו</w:t>
      </w:r>
      <w:r w:rsidR="00C6452B">
        <w:rPr>
          <w:rStyle w:val="a7"/>
          <w:rFonts w:cs="Arial"/>
          <w:rtl/>
        </w:rPr>
        <w:footnoteReference w:id="2923"/>
      </w:r>
      <w:r>
        <w:rPr>
          <w:rFonts w:cs="Arial" w:hint="cs"/>
          <w:rtl/>
        </w:rPr>
        <w:t>.</w:t>
      </w:r>
      <w:r w:rsidRPr="003C7FB6">
        <w:rPr>
          <w:rFonts w:cs="Arial"/>
          <w:rtl/>
        </w:rPr>
        <w:t xml:space="preserve"> והנשאת לשני ולא היו לה בנים וניסת עוד לשלישי ולא היו לה בנים </w:t>
      </w:r>
      <w:r>
        <w:rPr>
          <w:rFonts w:cs="Arial" w:hint="cs"/>
          <w:rtl/>
        </w:rPr>
        <w:t xml:space="preserve">- </w:t>
      </w:r>
      <w:r w:rsidRPr="003C7FB6">
        <w:rPr>
          <w:rFonts w:cs="Arial"/>
          <w:rtl/>
        </w:rPr>
        <w:t>דינה כיוצא באלו</w:t>
      </w:r>
      <w:r>
        <w:rPr>
          <w:rStyle w:val="a7"/>
          <w:rFonts w:cs="Arial"/>
          <w:rtl/>
        </w:rPr>
        <w:footnoteReference w:id="2924"/>
      </w:r>
      <w:r>
        <w:rPr>
          <w:rFonts w:cs="Arial" w:hint="cs"/>
          <w:rtl/>
        </w:rPr>
        <w:t>.</w:t>
      </w:r>
      <w:r w:rsidRPr="003C7FB6">
        <w:rPr>
          <w:rFonts w:cs="Arial"/>
          <w:rtl/>
        </w:rPr>
        <w:t xml:space="preserve"> </w:t>
      </w:r>
      <w:r w:rsidR="00C6452B">
        <w:rPr>
          <w:rFonts w:hint="cs"/>
          <w:rtl/>
        </w:rPr>
        <w:t xml:space="preserve"> </w:t>
      </w:r>
    </w:p>
    <w:p w14:paraId="0236813D" w14:textId="7C9ABB48" w:rsidR="00392DBB" w:rsidRPr="003B154C" w:rsidRDefault="00392DBB" w:rsidP="008C0C65">
      <w:pPr>
        <w:pStyle w:val="ab"/>
        <w:numPr>
          <w:ilvl w:val="0"/>
          <w:numId w:val="72"/>
        </w:numPr>
      </w:pPr>
      <w:r>
        <w:rPr>
          <w:rFonts w:cs="Arial" w:hint="cs"/>
          <w:rtl/>
        </w:rPr>
        <w:t xml:space="preserve">רמב"ם </w:t>
      </w:r>
      <w:r>
        <w:rPr>
          <w:rFonts w:cs="Arial" w:hint="cs"/>
          <w:sz w:val="16"/>
          <w:szCs w:val="16"/>
          <w:rtl/>
        </w:rPr>
        <w:t>(פכ"ד ה"א-ב)</w:t>
      </w:r>
      <w:r>
        <w:rPr>
          <w:rFonts w:cs="Arial" w:hint="cs"/>
          <w:rtl/>
        </w:rPr>
        <w:t xml:space="preserve">- </w:t>
      </w:r>
      <w:r w:rsidRPr="00483EA3">
        <w:rPr>
          <w:rFonts w:cs="Arial"/>
          <w:rtl/>
        </w:rPr>
        <w:t>הנושא את האילונית ולא היו לו בנים ולא אשה אחרת לפרות ולרבות ממנה אע</w:t>
      </w:r>
      <w:r w:rsidR="00340DC3">
        <w:rPr>
          <w:rFonts w:cs="Arial" w:hint="cs"/>
          <w:rtl/>
        </w:rPr>
        <w:t>"</w:t>
      </w:r>
      <w:r w:rsidRPr="00483EA3">
        <w:rPr>
          <w:rFonts w:cs="Arial"/>
          <w:rtl/>
        </w:rPr>
        <w:t>פ שכופין אותו ומוציא הרי היא ככל הנשים ויש לה כתובה ושאר תנאי כתובה, וכן זוכה הבעל במה שזוכה בשאר הנשים.</w:t>
      </w:r>
      <w:r w:rsidRPr="00D85525">
        <w:rPr>
          <w:rtl/>
        </w:rPr>
        <w:t xml:space="preserve"> </w:t>
      </w:r>
      <w:r w:rsidRPr="00D85525">
        <w:rPr>
          <w:rFonts w:cs="Arial"/>
          <w:rtl/>
        </w:rPr>
        <w:t>אבל הנושא אשה ולא הכיר בה ונמצאת אילונית או מחייבי לאוין</w:t>
      </w:r>
      <w:r>
        <w:rPr>
          <w:rFonts w:hint="cs"/>
          <w:rtl/>
        </w:rPr>
        <w:t>... -</w:t>
      </w:r>
      <w:r w:rsidRPr="00D85525">
        <w:rPr>
          <w:rtl/>
        </w:rPr>
        <w:t xml:space="preserve"> </w:t>
      </w:r>
      <w:r w:rsidRPr="00D85525">
        <w:rPr>
          <w:rFonts w:cs="Arial"/>
          <w:rtl/>
        </w:rPr>
        <w:t>אין לה עיקר כתובה ולא תנאי מתנאי כתובה</w:t>
      </w:r>
      <w:r w:rsidR="005E4265">
        <w:rPr>
          <w:rFonts w:cs="Arial" w:hint="cs"/>
          <w:rtl/>
        </w:rPr>
        <w:t>,</w:t>
      </w:r>
      <w:r w:rsidRPr="00D85525">
        <w:rPr>
          <w:rFonts w:cs="Arial"/>
          <w:rtl/>
        </w:rPr>
        <w:t xml:space="preserve"> אבל תוספת יש לה</w:t>
      </w:r>
      <w:r w:rsidR="005E4265">
        <w:rPr>
          <w:rFonts w:cs="Arial" w:hint="cs"/>
          <w:rtl/>
        </w:rPr>
        <w:t>,</w:t>
      </w:r>
      <w:r w:rsidRPr="00D85525">
        <w:rPr>
          <w:rFonts w:cs="Arial"/>
          <w:rtl/>
        </w:rPr>
        <w:t xml:space="preserve"> ואין לה מזונות ואפילו לאחר מותו</w:t>
      </w:r>
      <w:r w:rsidR="008C0C65">
        <w:rPr>
          <w:rFonts w:cs="Arial" w:hint="cs"/>
          <w:rtl/>
        </w:rPr>
        <w:t>.</w:t>
      </w:r>
      <w:r w:rsidRPr="008C0C65">
        <w:rPr>
          <w:rFonts w:cs="Arial"/>
          <w:rtl/>
        </w:rPr>
        <w:t xml:space="preserve"> וכשכופין אותו ומפרישין ביניהם אין מוציאין מן הבעל פירות שאכל. </w:t>
      </w:r>
      <w:r w:rsidRPr="008C0C65">
        <w:rPr>
          <w:rFonts w:cs="Arial" w:hint="cs"/>
          <w:color w:val="E36C0A" w:themeColor="accent6" w:themeShade="BF"/>
          <w:rtl/>
        </w:rPr>
        <w:t>(וכ"פ בשו"ע)</w:t>
      </w:r>
    </w:p>
    <w:p w14:paraId="0008A31B"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6660126" w14:textId="77777777" w:rsidR="00392DBB" w:rsidRDefault="00392DBB" w:rsidP="00392DBB">
      <w:pPr>
        <w:rPr>
          <w:rFonts w:cs="Arial"/>
          <w:rtl/>
        </w:rPr>
      </w:pPr>
      <w:r>
        <w:rPr>
          <w:rFonts w:cs="Arial"/>
          <w:rtl/>
        </w:rPr>
        <w:t>אילונית, אם הכיר בה, הרי היא ככל הנשים</w:t>
      </w:r>
      <w:r>
        <w:rPr>
          <w:rStyle w:val="a7"/>
          <w:rFonts w:cs="Arial"/>
          <w:rtl/>
        </w:rPr>
        <w:footnoteReference w:id="2925"/>
      </w:r>
      <w:r>
        <w:rPr>
          <w:rFonts w:cs="Arial"/>
          <w:rtl/>
        </w:rPr>
        <w:t xml:space="preserve"> ויש לה כתובה ותנאי כתובה, וכן זוכה הבעל במה שזוכה בשאר הנשים. ואם לא הכיר בה, דינה כדין חייבי לאוין שלא הכיר בה</w:t>
      </w:r>
      <w:r>
        <w:rPr>
          <w:rStyle w:val="a7"/>
          <w:rFonts w:cs="Arial"/>
          <w:rtl/>
        </w:rPr>
        <w:footnoteReference w:id="2926"/>
      </w:r>
      <w:r>
        <w:rPr>
          <w:rFonts w:cs="Arial"/>
          <w:rtl/>
        </w:rPr>
        <w:t xml:space="preserve">. </w:t>
      </w:r>
    </w:p>
    <w:p w14:paraId="7247046F" w14:textId="77777777" w:rsidR="00392DBB" w:rsidRDefault="00392DBB" w:rsidP="00392DBB">
      <w:pPr>
        <w:rPr>
          <w:rtl/>
        </w:rPr>
      </w:pPr>
    </w:p>
    <w:p w14:paraId="29820C57" w14:textId="77777777" w:rsidR="00392DBB" w:rsidRDefault="00392DBB" w:rsidP="000F64D0">
      <w:pPr>
        <w:pStyle w:val="2"/>
        <w:rPr>
          <w:rtl/>
        </w:rPr>
      </w:pPr>
      <w:r>
        <w:rPr>
          <w:rtl/>
        </w:rPr>
        <w:t>סעיף ד</w:t>
      </w:r>
      <w:r>
        <w:rPr>
          <w:rFonts w:hint="cs"/>
          <w:rtl/>
        </w:rPr>
        <w:t xml:space="preserve">: הנושא אשה שאסורה עליו מדרבנן </w:t>
      </w:r>
      <w:r w:rsidRPr="00815496">
        <w:rPr>
          <w:rFonts w:hint="cs"/>
          <w:sz w:val="20"/>
          <w:szCs w:val="20"/>
          <w:rtl/>
        </w:rPr>
        <w:t>(כגון אחת מהשניות</w:t>
      </w:r>
      <w:r>
        <w:rPr>
          <w:rFonts w:hint="cs"/>
          <w:sz w:val="20"/>
          <w:szCs w:val="20"/>
          <w:rtl/>
        </w:rPr>
        <w:t>)</w:t>
      </w:r>
      <w:r>
        <w:rPr>
          <w:rFonts w:hint="cs"/>
          <w:rtl/>
        </w:rPr>
        <w:t>.</w:t>
      </w:r>
    </w:p>
    <w:p w14:paraId="7D201C60" w14:textId="77777777" w:rsidR="00392DBB" w:rsidRDefault="00392DBB" w:rsidP="00392DBB">
      <w:pPr>
        <w:rPr>
          <w:rFonts w:cs="Arial"/>
          <w:rtl/>
        </w:rPr>
      </w:pPr>
      <w:r w:rsidRPr="00DF38A2">
        <w:rPr>
          <w:rFonts w:cs="Arial" w:hint="cs"/>
          <w:b/>
          <w:bCs/>
          <w:rtl/>
        </w:rPr>
        <w:t xml:space="preserve">יבמות </w:t>
      </w:r>
      <w:r w:rsidRPr="00DF38A2">
        <w:rPr>
          <w:rFonts w:cs="Arial" w:hint="cs"/>
          <w:b/>
          <w:bCs/>
          <w:sz w:val="16"/>
          <w:szCs w:val="16"/>
          <w:rtl/>
        </w:rPr>
        <w:t>(</w:t>
      </w:r>
      <w:r>
        <w:rPr>
          <w:rFonts w:cs="Arial" w:hint="cs"/>
          <w:b/>
          <w:bCs/>
          <w:sz w:val="16"/>
          <w:szCs w:val="16"/>
          <w:rtl/>
        </w:rPr>
        <w:t>ר"</w:t>
      </w:r>
      <w:r w:rsidRPr="00DF38A2">
        <w:rPr>
          <w:rFonts w:cs="Arial"/>
          <w:b/>
          <w:bCs/>
          <w:sz w:val="16"/>
          <w:szCs w:val="16"/>
          <w:rtl/>
        </w:rPr>
        <w:t>פ יש מותרות</w:t>
      </w:r>
      <w:r w:rsidRPr="00DF38A2">
        <w:rPr>
          <w:rFonts w:cs="Arial" w:hint="cs"/>
          <w:b/>
          <w:bCs/>
          <w:sz w:val="16"/>
          <w:szCs w:val="16"/>
          <w:rtl/>
        </w:rPr>
        <w:t xml:space="preserve">) </w:t>
      </w:r>
      <w:r w:rsidRPr="00DF38A2">
        <w:rPr>
          <w:rFonts w:cs="Arial" w:hint="cs"/>
          <w:b/>
          <w:bCs/>
          <w:rtl/>
        </w:rPr>
        <w:t>פ</w:t>
      </w:r>
      <w:r>
        <w:rPr>
          <w:rFonts w:cs="Arial" w:hint="cs"/>
          <w:b/>
          <w:bCs/>
          <w:rtl/>
        </w:rPr>
        <w:t>ד</w:t>
      </w:r>
      <w:r w:rsidRPr="00DF38A2">
        <w:rPr>
          <w:rFonts w:cs="Arial" w:hint="cs"/>
          <w:b/>
          <w:bCs/>
          <w:rtl/>
        </w:rPr>
        <w:t xml:space="preserve"> ע"א:</w:t>
      </w:r>
      <w:r>
        <w:rPr>
          <w:rFonts w:cs="Arial"/>
          <w:rtl/>
        </w:rPr>
        <w:t xml:space="preserve"> </w:t>
      </w:r>
      <w:r w:rsidRPr="00710631">
        <w:rPr>
          <w:rFonts w:cs="Arial"/>
          <w:u w:val="double"/>
          <w:rtl/>
        </w:rPr>
        <w:t>מתני'</w:t>
      </w:r>
      <w:r>
        <w:rPr>
          <w:rFonts w:cs="Arial" w:hint="cs"/>
          <w:rtl/>
        </w:rPr>
        <w:t xml:space="preserve">:... </w:t>
      </w:r>
      <w:r w:rsidRPr="00710631">
        <w:rPr>
          <w:rFonts w:cs="Arial"/>
          <w:rtl/>
        </w:rPr>
        <w:t>שניות מד"ס</w:t>
      </w:r>
      <w:r>
        <w:rPr>
          <w:rFonts w:cs="Arial" w:hint="cs"/>
          <w:rtl/>
        </w:rPr>
        <w:t>... -</w:t>
      </w:r>
      <w:r w:rsidRPr="00710631">
        <w:rPr>
          <w:rFonts w:cs="Arial"/>
          <w:rtl/>
        </w:rPr>
        <w:t xml:space="preserve"> אין לה לא כתובה, ולא פירות, ולא מזונות, ולא בלאות, והולד כשר, וכופין אותו להוציא</w:t>
      </w:r>
      <w:r w:rsidRPr="00DF38A2">
        <w:rPr>
          <w:rFonts w:cs="Arial"/>
          <w:rtl/>
        </w:rPr>
        <w:t xml:space="preserve">. </w:t>
      </w:r>
    </w:p>
    <w:p w14:paraId="53ED869C" w14:textId="20D03DF4" w:rsidR="00392DBB" w:rsidRDefault="00392DBB" w:rsidP="00392DBB">
      <w:pPr>
        <w:rPr>
          <w:rFonts w:cs="Arial"/>
          <w:rtl/>
        </w:rPr>
      </w:pPr>
      <w:r w:rsidRPr="00DF38A2">
        <w:rPr>
          <w:rFonts w:cs="Arial" w:hint="cs"/>
          <w:b/>
          <w:bCs/>
          <w:rtl/>
        </w:rPr>
        <w:t xml:space="preserve">יבמות </w:t>
      </w:r>
      <w:r w:rsidRPr="00DF38A2">
        <w:rPr>
          <w:rFonts w:cs="Arial" w:hint="cs"/>
          <w:b/>
          <w:bCs/>
          <w:sz w:val="16"/>
          <w:szCs w:val="16"/>
          <w:rtl/>
        </w:rPr>
        <w:t>(</w:t>
      </w:r>
      <w:r w:rsidRPr="00DF38A2">
        <w:rPr>
          <w:rFonts w:cs="Arial"/>
          <w:b/>
          <w:bCs/>
          <w:sz w:val="16"/>
          <w:szCs w:val="16"/>
          <w:rtl/>
        </w:rPr>
        <w:t>פ</w:t>
      </w:r>
      <w:r>
        <w:rPr>
          <w:rFonts w:cs="Arial" w:hint="cs"/>
          <w:b/>
          <w:bCs/>
          <w:sz w:val="16"/>
          <w:szCs w:val="16"/>
          <w:rtl/>
        </w:rPr>
        <w:t>'</w:t>
      </w:r>
      <w:r w:rsidRPr="00DF38A2">
        <w:rPr>
          <w:rFonts w:cs="Arial"/>
          <w:b/>
          <w:bCs/>
          <w:sz w:val="16"/>
          <w:szCs w:val="16"/>
          <w:rtl/>
        </w:rPr>
        <w:t xml:space="preserve"> יש מותרות</w:t>
      </w:r>
      <w:r w:rsidRPr="00DF38A2">
        <w:rPr>
          <w:rFonts w:cs="Arial" w:hint="cs"/>
          <w:b/>
          <w:bCs/>
          <w:sz w:val="16"/>
          <w:szCs w:val="16"/>
          <w:rtl/>
        </w:rPr>
        <w:t xml:space="preserve">) </w:t>
      </w:r>
      <w:r w:rsidRPr="00DF38A2">
        <w:rPr>
          <w:rFonts w:cs="Arial" w:hint="cs"/>
          <w:b/>
          <w:bCs/>
          <w:rtl/>
        </w:rPr>
        <w:t>פ</w:t>
      </w:r>
      <w:r>
        <w:rPr>
          <w:rFonts w:cs="Arial" w:hint="cs"/>
          <w:b/>
          <w:bCs/>
          <w:rtl/>
        </w:rPr>
        <w:t>ה</w:t>
      </w:r>
      <w:r w:rsidR="00AC39A4">
        <w:rPr>
          <w:rStyle w:val="a7"/>
          <w:rFonts w:cs="Arial"/>
          <w:rtl/>
        </w:rPr>
        <w:footnoteReference w:id="2927"/>
      </w:r>
      <w:r w:rsidRPr="00DF38A2">
        <w:rPr>
          <w:rFonts w:cs="Arial" w:hint="cs"/>
          <w:b/>
          <w:bCs/>
          <w:rtl/>
        </w:rPr>
        <w:t xml:space="preserve"> ע"א:</w:t>
      </w:r>
      <w:r>
        <w:rPr>
          <w:rFonts w:cs="Arial" w:hint="cs"/>
          <w:rtl/>
        </w:rPr>
        <w:t xml:space="preserve"> </w:t>
      </w:r>
      <w:r w:rsidRPr="00A579F5">
        <w:rPr>
          <w:rFonts w:cs="Arial"/>
          <w:rtl/>
        </w:rPr>
        <w:t>ת"ר: אלמנה לכהן גדול, גרושה וחלוצה לכהן הדיוט - יש לה כתובה, פירות, מזונות, בלאות, והיא פסולה וולדה פסול, וכופין אותו להוציא</w:t>
      </w:r>
      <w:r>
        <w:rPr>
          <w:rFonts w:cs="Arial" w:hint="cs"/>
          <w:rtl/>
        </w:rPr>
        <w:t>.</w:t>
      </w:r>
      <w:r w:rsidRPr="00A579F5">
        <w:rPr>
          <w:rFonts w:cs="Arial"/>
          <w:rtl/>
        </w:rPr>
        <w:t xml:space="preserve"> שניות מדברי סופרים - אין לה כתובה, לא פירות, לא מזונות, ולא בלאות, והיא כשירה וולדה כשר, וכופין אותו להוציא. </w:t>
      </w:r>
      <w:r w:rsidRPr="00A579F5">
        <w:rPr>
          <w:rFonts w:cs="Arial"/>
          <w:u w:val="single"/>
          <w:rtl/>
        </w:rPr>
        <w:t>אמר ר"ש בן אלעזר</w:t>
      </w:r>
      <w:r w:rsidRPr="00A579F5">
        <w:rPr>
          <w:rFonts w:cs="Arial"/>
          <w:rtl/>
        </w:rPr>
        <w:t>: מפני מה אמרו אלמנה לכ"ג יש לה כתובה? מפני שהוא פסול והיא פסולה, וכ"מ שהוא פסול והיא פסולה</w:t>
      </w:r>
      <w:r>
        <w:rPr>
          <w:rFonts w:cs="Arial" w:hint="cs"/>
          <w:rtl/>
        </w:rPr>
        <w:t xml:space="preserve"> -</w:t>
      </w:r>
      <w:r>
        <w:rPr>
          <w:rFonts w:hint="cs"/>
          <w:sz w:val="14"/>
          <w:szCs w:val="14"/>
          <w:rtl/>
        </w:rPr>
        <w:t xml:space="preserve"> (פה:) </w:t>
      </w:r>
      <w:r w:rsidRPr="00A579F5">
        <w:rPr>
          <w:rFonts w:cs="Arial"/>
          <w:rtl/>
        </w:rPr>
        <w:t>קנסו אותו כתובה</w:t>
      </w:r>
      <w:r>
        <w:rPr>
          <w:rFonts w:cs="Arial" w:hint="cs"/>
          <w:rtl/>
        </w:rPr>
        <w:t>.</w:t>
      </w:r>
      <w:r w:rsidRPr="00A579F5">
        <w:rPr>
          <w:rFonts w:cs="Arial"/>
          <w:rtl/>
        </w:rPr>
        <w:t xml:space="preserve"> ומפני מה אמרו שניות מדברי סופרים אין להן כתובה? מפני שהוא כשר והיא כשרה, וכל מקום שהוא כשר והיא כשרה - קנסו אותה כתובה. </w:t>
      </w:r>
      <w:r w:rsidRPr="005B3BEB">
        <w:rPr>
          <w:rFonts w:cs="Arial"/>
          <w:u w:val="single"/>
          <w:rtl/>
        </w:rPr>
        <w:t>רבי אומר</w:t>
      </w:r>
      <w:r w:rsidRPr="00A579F5">
        <w:rPr>
          <w:rFonts w:cs="Arial"/>
          <w:rtl/>
        </w:rPr>
        <w:t xml:space="preserve">: הללו דברי תורה, ודברי תורה אין צריכין חיזוק, והללו דברי סופרים, ודברי סופרים צריכין חיזוק. </w:t>
      </w:r>
      <w:r w:rsidRPr="005B3BEB">
        <w:rPr>
          <w:rFonts w:cs="Arial"/>
          <w:u w:val="single"/>
          <w:rtl/>
        </w:rPr>
        <w:t>דבר אחר</w:t>
      </w:r>
      <w:r w:rsidRPr="00A579F5">
        <w:rPr>
          <w:rFonts w:cs="Arial"/>
          <w:rtl/>
        </w:rPr>
        <w:t xml:space="preserve">: זהו מרגילה, וזו היא מרגילתו. דבר אחר: מאן קתני לה? </w:t>
      </w:r>
      <w:r w:rsidRPr="005B3BEB">
        <w:rPr>
          <w:rFonts w:cs="Arial"/>
          <w:u w:val="single"/>
          <w:rtl/>
        </w:rPr>
        <w:t>איכא דאמר</w:t>
      </w:r>
      <w:r w:rsidRPr="00A579F5">
        <w:rPr>
          <w:rFonts w:cs="Arial"/>
          <w:rtl/>
        </w:rPr>
        <w:t xml:space="preserve">: ר"ש בן אלעזר קתני לה, ומה טעם קאמר, מה טעם אמרו הוא פסול והיא פסולה קנסו אותו כתובה? מפני שהוא מרגילה, ומה טעם הוא כשר והיא כשרה קנסו אותה כתובה? מפני שהיא מרגילתו. </w:t>
      </w:r>
      <w:r w:rsidRPr="005B3BEB">
        <w:rPr>
          <w:rFonts w:cs="Arial"/>
          <w:u w:val="single"/>
          <w:rtl/>
        </w:rPr>
        <w:t>איכא דאמר</w:t>
      </w:r>
      <w:r w:rsidRPr="00A579F5">
        <w:rPr>
          <w:rFonts w:cs="Arial"/>
          <w:rtl/>
        </w:rPr>
        <w:t>: רבי קתני לה, וחלוצה קא קשיא ליה, והא חלוצה דרבנן ואית לה כתובה! הדר אמר: כיון דפסיל לה מדרבנן, זהו מרגילה וזו היא מרגילתו.</w:t>
      </w:r>
    </w:p>
    <w:p w14:paraId="5A51F2B3" w14:textId="77777777" w:rsidR="00392DBB" w:rsidRPr="00815496" w:rsidRDefault="00392DBB" w:rsidP="00392DBB">
      <w:pPr>
        <w:rPr>
          <w:u w:val="single"/>
          <w:rtl/>
        </w:rPr>
      </w:pPr>
      <w:r w:rsidRPr="00815496">
        <w:rPr>
          <w:rFonts w:hint="cs"/>
          <w:u w:val="single"/>
          <w:rtl/>
        </w:rPr>
        <w:t xml:space="preserve">הנושא אשה שאסורה עליו מדרבנן </w:t>
      </w:r>
      <w:r w:rsidRPr="00815496">
        <w:rPr>
          <w:rFonts w:hint="cs"/>
          <w:sz w:val="16"/>
          <w:szCs w:val="16"/>
          <w:u w:val="single"/>
          <w:rtl/>
        </w:rPr>
        <w:t>(כגון אחת מהשניות)</w:t>
      </w:r>
      <w:r w:rsidRPr="00815496">
        <w:rPr>
          <w:rFonts w:hint="cs"/>
          <w:u w:val="single"/>
          <w:rtl/>
        </w:rPr>
        <w:t>:</w:t>
      </w:r>
    </w:p>
    <w:p w14:paraId="14D8A9AD" w14:textId="77777777" w:rsidR="00392DBB" w:rsidRPr="00B74416" w:rsidRDefault="00392DBB" w:rsidP="009000E3">
      <w:pPr>
        <w:pStyle w:val="ab"/>
        <w:numPr>
          <w:ilvl w:val="0"/>
          <w:numId w:val="72"/>
        </w:numPr>
        <w:rPr>
          <w:rtl/>
        </w:rPr>
      </w:pPr>
      <w:r>
        <w:rPr>
          <w:rFonts w:cs="Arial"/>
          <w:rtl/>
        </w:rPr>
        <w:t>רי"ף</w:t>
      </w:r>
      <w:r>
        <w:rPr>
          <w:rStyle w:val="a7"/>
          <w:rFonts w:cs="Arial"/>
          <w:rtl/>
        </w:rPr>
        <w:footnoteReference w:id="2928"/>
      </w:r>
      <w:r w:rsidRPr="006A1A57">
        <w:rPr>
          <w:rFonts w:cs="Arial"/>
          <w:sz w:val="16"/>
          <w:szCs w:val="16"/>
          <w:rtl/>
        </w:rPr>
        <w:t xml:space="preserve"> </w:t>
      </w:r>
      <w:r w:rsidRPr="006A1A57">
        <w:rPr>
          <w:rFonts w:cs="Arial" w:hint="cs"/>
          <w:sz w:val="16"/>
          <w:szCs w:val="16"/>
          <w:rtl/>
        </w:rPr>
        <w:t xml:space="preserve">(כתובות </w:t>
      </w:r>
      <w:r w:rsidRPr="006A1A57">
        <w:rPr>
          <w:rFonts w:cs="Arial"/>
          <w:sz w:val="16"/>
          <w:szCs w:val="16"/>
          <w:rtl/>
        </w:rPr>
        <w:t>ס.</w:t>
      </w:r>
      <w:r w:rsidRPr="006A1A57">
        <w:rPr>
          <w:rFonts w:cs="Arial" w:hint="cs"/>
          <w:sz w:val="16"/>
          <w:szCs w:val="16"/>
          <w:rtl/>
        </w:rPr>
        <w:t>)</w:t>
      </w:r>
      <w:r>
        <w:rPr>
          <w:rFonts w:cs="Arial"/>
          <w:rtl/>
        </w:rPr>
        <w:t xml:space="preserve"> רא"ש </w:t>
      </w:r>
      <w:r w:rsidRPr="006A1A57">
        <w:rPr>
          <w:rFonts w:cs="Arial" w:hint="cs"/>
          <w:sz w:val="16"/>
          <w:szCs w:val="16"/>
          <w:rtl/>
        </w:rPr>
        <w:t xml:space="preserve">(כתובות </w:t>
      </w:r>
      <w:r w:rsidRPr="006A1A57">
        <w:rPr>
          <w:rFonts w:cs="Arial"/>
          <w:sz w:val="16"/>
          <w:szCs w:val="16"/>
          <w:rtl/>
        </w:rPr>
        <w:t>סי' כה - כח)</w:t>
      </w:r>
      <w:r>
        <w:rPr>
          <w:rFonts w:cs="Arial"/>
          <w:rtl/>
        </w:rPr>
        <w:t xml:space="preserve"> </w:t>
      </w:r>
      <w:r>
        <w:rPr>
          <w:rFonts w:hint="cs"/>
          <w:rtl/>
        </w:rPr>
        <w:t>וטור-</w:t>
      </w:r>
      <w:r>
        <w:rPr>
          <w:rFonts w:cs="Arial" w:hint="cs"/>
          <w:rtl/>
        </w:rPr>
        <w:t xml:space="preserve"> </w:t>
      </w:r>
      <w:r w:rsidRPr="003C7FB6">
        <w:rPr>
          <w:rFonts w:cs="Arial"/>
          <w:rtl/>
        </w:rPr>
        <w:t>והנושא באיסור דרבנן</w:t>
      </w:r>
      <w:r>
        <w:rPr>
          <w:rFonts w:cs="Arial" w:hint="cs"/>
          <w:rtl/>
        </w:rPr>
        <w:t>,</w:t>
      </w:r>
      <w:r w:rsidRPr="003C7FB6">
        <w:rPr>
          <w:rFonts w:cs="Arial"/>
          <w:rtl/>
        </w:rPr>
        <w:t xml:space="preserve"> כגון שנייה</w:t>
      </w:r>
      <w:r>
        <w:rPr>
          <w:rFonts w:cs="Arial" w:hint="cs"/>
          <w:rtl/>
        </w:rPr>
        <w:t>,</w:t>
      </w:r>
      <w:r w:rsidRPr="003C7FB6">
        <w:rPr>
          <w:rFonts w:cs="Arial"/>
          <w:rtl/>
        </w:rPr>
        <w:t xml:space="preserve"> בין הכיר בה בין לא הכיר בה</w:t>
      </w:r>
      <w:r>
        <w:rPr>
          <w:rStyle w:val="a7"/>
          <w:rFonts w:cs="Arial"/>
          <w:rtl/>
        </w:rPr>
        <w:footnoteReference w:id="2929"/>
      </w:r>
      <w:r w:rsidRPr="003C7FB6">
        <w:rPr>
          <w:rFonts w:cs="Arial"/>
          <w:rtl/>
        </w:rPr>
        <w:t xml:space="preserve"> </w:t>
      </w:r>
      <w:r>
        <w:rPr>
          <w:rFonts w:cs="Arial" w:hint="cs"/>
          <w:rtl/>
        </w:rPr>
        <w:t xml:space="preserve">- </w:t>
      </w:r>
      <w:r w:rsidRPr="003C7FB6">
        <w:rPr>
          <w:rFonts w:cs="Arial"/>
          <w:rtl/>
        </w:rPr>
        <w:t>אין לה מנה ומאתים</w:t>
      </w:r>
      <w:r>
        <w:rPr>
          <w:rFonts w:cs="Arial" w:hint="cs"/>
          <w:rtl/>
        </w:rPr>
        <w:t>,</w:t>
      </w:r>
      <w:r w:rsidRPr="003C7FB6">
        <w:rPr>
          <w:rFonts w:cs="Arial"/>
          <w:rtl/>
        </w:rPr>
        <w:t xml:space="preserve"> ולא מזונו</w:t>
      </w:r>
      <w:r>
        <w:rPr>
          <w:rFonts w:cs="Arial" w:hint="cs"/>
          <w:rtl/>
        </w:rPr>
        <w:t>ת</w:t>
      </w:r>
      <w:r w:rsidRPr="003C7FB6">
        <w:rPr>
          <w:rFonts w:cs="Arial"/>
          <w:rtl/>
        </w:rPr>
        <w:t xml:space="preserve"> לא בחייו ולא אחרי מותו</w:t>
      </w:r>
      <w:r>
        <w:rPr>
          <w:rStyle w:val="a7"/>
          <w:rFonts w:cs="Arial"/>
          <w:rtl/>
        </w:rPr>
        <w:footnoteReference w:id="2930"/>
      </w:r>
      <w:r>
        <w:rPr>
          <w:rFonts w:cs="Arial" w:hint="cs"/>
          <w:rtl/>
        </w:rPr>
        <w:t>,</w:t>
      </w:r>
      <w:r w:rsidRPr="003C7FB6">
        <w:rPr>
          <w:rFonts w:cs="Arial"/>
          <w:rtl/>
        </w:rPr>
        <w:t xml:space="preserve"> ואינו חייב לפדותה ואוכל פירותיה</w:t>
      </w:r>
      <w:r>
        <w:rPr>
          <w:rFonts w:cs="Arial" w:hint="cs"/>
          <w:rtl/>
        </w:rPr>
        <w:t>.</w:t>
      </w:r>
      <w:r w:rsidRPr="003C7FB6">
        <w:rPr>
          <w:rFonts w:cs="Arial"/>
          <w:rtl/>
        </w:rPr>
        <w:t xml:space="preserve"> אבל </w:t>
      </w:r>
      <w:r w:rsidRPr="003C7FB6">
        <w:rPr>
          <w:rFonts w:cs="Arial"/>
          <w:rtl/>
        </w:rPr>
        <w:lastRenderedPageBreak/>
        <w:t>תוס</w:t>
      </w:r>
      <w:r>
        <w:rPr>
          <w:rFonts w:cs="Arial" w:hint="cs"/>
          <w:rtl/>
        </w:rPr>
        <w:t>פת</w:t>
      </w:r>
      <w:r w:rsidRPr="003C7FB6">
        <w:rPr>
          <w:rFonts w:cs="Arial"/>
          <w:rtl/>
        </w:rPr>
        <w:t xml:space="preserve"> יש לה</w:t>
      </w:r>
      <w:r>
        <w:rPr>
          <w:rFonts w:cs="Arial" w:hint="cs"/>
          <w:rtl/>
        </w:rPr>
        <w:t>.</w:t>
      </w:r>
      <w:r w:rsidRPr="003C7FB6">
        <w:rPr>
          <w:rFonts w:cs="Arial"/>
          <w:rtl/>
        </w:rPr>
        <w:t xml:space="preserve"> ונכסים של נכסי מלוג</w:t>
      </w:r>
      <w:r>
        <w:rPr>
          <w:rFonts w:cs="Arial" w:hint="cs"/>
          <w:rtl/>
        </w:rPr>
        <w:t>,</w:t>
      </w:r>
      <w:r w:rsidRPr="003C7FB6">
        <w:rPr>
          <w:rFonts w:cs="Arial"/>
          <w:rtl/>
        </w:rPr>
        <w:t xml:space="preserve"> מה שהן בעין תטלם</w:t>
      </w:r>
      <w:r>
        <w:rPr>
          <w:rFonts w:cs="Arial" w:hint="cs"/>
          <w:rtl/>
        </w:rPr>
        <w:t>,</w:t>
      </w:r>
      <w:r w:rsidRPr="003C7FB6">
        <w:rPr>
          <w:rFonts w:cs="Arial"/>
          <w:rtl/>
        </w:rPr>
        <w:t xml:space="preserve"> ושאינן בעין אין מוציאין מידו</w:t>
      </w:r>
      <w:r>
        <w:rPr>
          <w:rFonts w:cs="Arial" w:hint="cs"/>
          <w:rtl/>
        </w:rPr>
        <w:t>.</w:t>
      </w:r>
      <w:r w:rsidRPr="003C7FB6">
        <w:rPr>
          <w:rFonts w:cs="Arial"/>
          <w:rtl/>
        </w:rPr>
        <w:t xml:space="preserve"> ושל צאן ברזל אפי' שאינן בעין חייב לשלם לה</w:t>
      </w:r>
      <w:r>
        <w:rPr>
          <w:rFonts w:cs="Arial" w:hint="cs"/>
          <w:sz w:val="16"/>
          <w:szCs w:val="16"/>
          <w:rtl/>
        </w:rPr>
        <w:t xml:space="preserve"> (ל' הטור)</w:t>
      </w:r>
      <w:r w:rsidRPr="00B74416">
        <w:rPr>
          <w:rFonts w:cs="Arial" w:hint="cs"/>
          <w:rtl/>
        </w:rPr>
        <w:t>.</w:t>
      </w:r>
    </w:p>
    <w:p w14:paraId="56F213DC" w14:textId="77777777" w:rsidR="00392DBB" w:rsidRPr="003B154C" w:rsidRDefault="00392DBB" w:rsidP="009000E3">
      <w:pPr>
        <w:pStyle w:val="ab"/>
        <w:numPr>
          <w:ilvl w:val="0"/>
          <w:numId w:val="72"/>
        </w:numPr>
      </w:pPr>
      <w:r>
        <w:rPr>
          <w:rFonts w:cs="Arial" w:hint="cs"/>
          <w:rtl/>
        </w:rPr>
        <w:t xml:space="preserve">רמב"ם </w:t>
      </w:r>
      <w:r>
        <w:rPr>
          <w:rFonts w:cs="Arial" w:hint="cs"/>
          <w:sz w:val="16"/>
          <w:szCs w:val="16"/>
          <w:rtl/>
        </w:rPr>
        <w:t>(פכ"ד ה"ב)</w:t>
      </w:r>
      <w:r>
        <w:rPr>
          <w:rFonts w:cs="Arial" w:hint="cs"/>
          <w:rtl/>
        </w:rPr>
        <w:t xml:space="preserve">- </w:t>
      </w:r>
      <w:r w:rsidRPr="009A6A61">
        <w:rPr>
          <w:rFonts w:cs="Arial"/>
          <w:rtl/>
        </w:rPr>
        <w:t>הנושא שנייה בין הכיר בה בין לא הכיר בה</w:t>
      </w:r>
      <w:r>
        <w:rPr>
          <w:rFonts w:cs="Arial" w:hint="cs"/>
          <w:rtl/>
        </w:rPr>
        <w:t xml:space="preserve"> - </w:t>
      </w:r>
      <w:r w:rsidRPr="009A6A61">
        <w:rPr>
          <w:rFonts w:cs="Arial"/>
          <w:rtl/>
        </w:rPr>
        <w:t>אין לה עיקר כתובה ולא תנאי מתנאי כתובה אבל תוספת יש לה</w:t>
      </w:r>
      <w:r>
        <w:rPr>
          <w:rFonts w:cs="Arial" w:hint="cs"/>
          <w:rtl/>
        </w:rPr>
        <w:t>.</w:t>
      </w:r>
      <w:r w:rsidRPr="009A6A61">
        <w:rPr>
          <w:rFonts w:cs="Arial"/>
          <w:rtl/>
        </w:rPr>
        <w:t xml:space="preserve"> ואין לה מזונות ואפילו לאחר מותו</w:t>
      </w:r>
      <w:r>
        <w:rPr>
          <w:rFonts w:cs="Arial" w:hint="cs"/>
          <w:rtl/>
        </w:rPr>
        <w:t>.</w:t>
      </w:r>
      <w:r w:rsidRPr="009A6A61">
        <w:rPr>
          <w:rFonts w:cs="Arial"/>
          <w:rtl/>
        </w:rPr>
        <w:t xml:space="preserve"> וכשכופין אותו ומפרישין ביניהם אין מוציאין מן הבעל פירות שאכל</w:t>
      </w:r>
      <w:r w:rsidRPr="00D85525">
        <w:rPr>
          <w:rFonts w:cs="Arial"/>
          <w:rtl/>
        </w:rPr>
        <w:t xml:space="preserve">. </w:t>
      </w:r>
      <w:r w:rsidRPr="00D85525">
        <w:rPr>
          <w:rFonts w:cs="Arial" w:hint="cs"/>
          <w:color w:val="E36C0A" w:themeColor="accent6" w:themeShade="BF"/>
          <w:rtl/>
        </w:rPr>
        <w:t>(וכ"פ בשו"ע)</w:t>
      </w:r>
    </w:p>
    <w:p w14:paraId="1FF0B9BD"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11240D4" w14:textId="77777777" w:rsidR="00392DBB" w:rsidRDefault="00392DBB" w:rsidP="00392DBB">
      <w:pPr>
        <w:rPr>
          <w:rtl/>
        </w:rPr>
      </w:pPr>
      <w:r>
        <w:rPr>
          <w:rFonts w:cs="Arial"/>
          <w:rtl/>
        </w:rPr>
        <w:t>שניה, בין הכיר בה בין לא הכיר בה, דינה כדין חייבי לאוין שלא הכיר בה</w:t>
      </w:r>
      <w:r>
        <w:rPr>
          <w:rFonts w:cs="Arial" w:hint="cs"/>
          <w:rtl/>
        </w:rPr>
        <w:t>.</w:t>
      </w:r>
      <w:r>
        <w:rPr>
          <w:rFonts w:cs="Arial"/>
          <w:rtl/>
        </w:rPr>
        <w:t xml:space="preserve"> חוץ מנכסי צאן ברזל ונכסי מלוג, שדינה בהם ככל הנשים</w:t>
      </w:r>
      <w:r>
        <w:rPr>
          <w:rStyle w:val="a7"/>
          <w:rFonts w:cs="Arial"/>
          <w:rtl/>
        </w:rPr>
        <w:footnoteReference w:id="2931"/>
      </w:r>
      <w:r>
        <w:rPr>
          <w:rFonts w:cs="Arial"/>
          <w:rtl/>
        </w:rPr>
        <w:t xml:space="preserve">. </w:t>
      </w:r>
    </w:p>
    <w:p w14:paraId="644DF58E" w14:textId="77777777" w:rsidR="00392DBB" w:rsidRDefault="00392DBB" w:rsidP="00392DBB">
      <w:pPr>
        <w:rPr>
          <w:rtl/>
        </w:rPr>
      </w:pPr>
    </w:p>
    <w:p w14:paraId="1DD24232" w14:textId="77777777" w:rsidR="00392DBB" w:rsidRDefault="00392DBB" w:rsidP="000F64D0">
      <w:pPr>
        <w:pStyle w:val="2"/>
        <w:rPr>
          <w:rtl/>
        </w:rPr>
      </w:pPr>
      <w:r>
        <w:rPr>
          <w:rtl/>
        </w:rPr>
        <w:t>סעיף ה</w:t>
      </w:r>
      <w:r>
        <w:rPr>
          <w:rFonts w:hint="cs"/>
          <w:rtl/>
        </w:rPr>
        <w:t>: ממאנת.</w:t>
      </w:r>
    </w:p>
    <w:p w14:paraId="26424A70" w14:textId="77777777" w:rsidR="00392DBB" w:rsidRDefault="00392DBB" w:rsidP="00392DBB">
      <w:pPr>
        <w:rPr>
          <w:rtl/>
        </w:rPr>
      </w:pPr>
      <w:r w:rsidRPr="003A2932">
        <w:rPr>
          <w:rFonts w:cs="Arial" w:hint="cs"/>
          <w:b/>
          <w:bCs/>
          <w:rtl/>
        </w:rPr>
        <w:t xml:space="preserve">כתובות </w:t>
      </w:r>
      <w:r w:rsidRPr="003A2932">
        <w:rPr>
          <w:rFonts w:cs="Arial" w:hint="cs"/>
          <w:b/>
          <w:bCs/>
          <w:sz w:val="16"/>
          <w:szCs w:val="16"/>
          <w:rtl/>
        </w:rPr>
        <w:t>(ס"פ אלמנה</w:t>
      </w:r>
      <w:r>
        <w:rPr>
          <w:rFonts w:cs="Arial" w:hint="cs"/>
          <w:b/>
          <w:bCs/>
          <w:sz w:val="16"/>
          <w:szCs w:val="16"/>
          <w:rtl/>
        </w:rPr>
        <w:t xml:space="preserve"> ניזונת</w:t>
      </w:r>
      <w:r w:rsidRPr="003A2932">
        <w:rPr>
          <w:rFonts w:cs="Arial" w:hint="cs"/>
          <w:b/>
          <w:bCs/>
          <w:sz w:val="16"/>
          <w:szCs w:val="16"/>
          <w:rtl/>
        </w:rPr>
        <w:t xml:space="preserve">) </w:t>
      </w:r>
      <w:r w:rsidRPr="003A2932">
        <w:rPr>
          <w:rFonts w:cs="Arial" w:hint="cs"/>
          <w:b/>
          <w:bCs/>
          <w:rtl/>
        </w:rPr>
        <w:t xml:space="preserve">ק ע"ב: </w:t>
      </w:r>
      <w:r w:rsidRPr="003A2932">
        <w:rPr>
          <w:rFonts w:cs="Arial"/>
          <w:u w:val="double"/>
          <w:rtl/>
        </w:rPr>
        <w:t>מתני'</w:t>
      </w:r>
      <w:r>
        <w:rPr>
          <w:rFonts w:cs="Arial" w:hint="cs"/>
          <w:rtl/>
        </w:rPr>
        <w:t>:</w:t>
      </w:r>
      <w:r w:rsidRPr="001D1C27">
        <w:rPr>
          <w:rtl/>
        </w:rPr>
        <w:t xml:space="preserve"> </w:t>
      </w:r>
      <w:r w:rsidRPr="001D1C27">
        <w:rPr>
          <w:rFonts w:cs="Arial"/>
          <w:rtl/>
        </w:rPr>
        <w:t>הממאנת, השניה, והאילונית - אין להן כתובה</w:t>
      </w:r>
      <w:r>
        <w:rPr>
          <w:rStyle w:val="a7"/>
          <w:rFonts w:cs="Arial"/>
          <w:rtl/>
        </w:rPr>
        <w:footnoteReference w:id="2932"/>
      </w:r>
      <w:r w:rsidRPr="001D1C27">
        <w:rPr>
          <w:rFonts w:cs="Arial"/>
          <w:rtl/>
        </w:rPr>
        <w:t xml:space="preserve"> ולא פירות</w:t>
      </w:r>
      <w:r>
        <w:rPr>
          <w:rStyle w:val="a7"/>
          <w:rFonts w:cs="Arial"/>
          <w:rtl/>
        </w:rPr>
        <w:footnoteReference w:id="2933"/>
      </w:r>
      <w:r w:rsidRPr="001D1C27">
        <w:rPr>
          <w:rFonts w:cs="Arial"/>
          <w:rtl/>
        </w:rPr>
        <w:t>, ולא מזונות ולא בלאות</w:t>
      </w:r>
      <w:r>
        <w:rPr>
          <w:rFonts w:cs="Arial" w:hint="cs"/>
          <w:rtl/>
        </w:rPr>
        <w:t>.</w:t>
      </w:r>
      <w:r w:rsidRPr="001D1C27">
        <w:rPr>
          <w:rFonts w:cs="Arial"/>
          <w:rtl/>
        </w:rPr>
        <w:t xml:space="preserve"> אם מתחלה נשאה לשם אילונית - יש לה כתובה.</w:t>
      </w:r>
      <w:r>
        <w:rPr>
          <w:rFonts w:cs="Arial" w:hint="cs"/>
          <w:rtl/>
        </w:rPr>
        <w:t>.</w:t>
      </w:r>
      <w:r w:rsidRPr="003A2932">
        <w:rPr>
          <w:rFonts w:cs="Arial"/>
          <w:rtl/>
        </w:rPr>
        <w:t xml:space="preserve">. </w:t>
      </w:r>
      <w:r>
        <w:rPr>
          <w:rFonts w:cs="Arial" w:hint="cs"/>
          <w:rtl/>
        </w:rPr>
        <w:t xml:space="preserve">        </w:t>
      </w:r>
      <w:r w:rsidRPr="001D1C27">
        <w:rPr>
          <w:rFonts w:cs="Arial" w:hint="cs"/>
          <w:u w:val="double"/>
          <w:rtl/>
        </w:rPr>
        <w:t>גמ'</w:t>
      </w:r>
      <w:r>
        <w:rPr>
          <w:rFonts w:cs="Arial" w:hint="cs"/>
          <w:sz w:val="14"/>
          <w:szCs w:val="14"/>
          <w:u w:val="double"/>
          <w:rtl/>
        </w:rPr>
        <w:t>(קא.)</w:t>
      </w:r>
      <w:r w:rsidRPr="001D1C27">
        <w:rPr>
          <w:rFonts w:cs="Arial" w:hint="cs"/>
          <w:u w:val="double"/>
          <w:rtl/>
        </w:rPr>
        <w:t>:</w:t>
      </w:r>
      <w:r w:rsidRPr="001D1C27">
        <w:rPr>
          <w:rtl/>
        </w:rPr>
        <w:t xml:space="preserve"> </w:t>
      </w:r>
      <w:r w:rsidRPr="00297264">
        <w:rPr>
          <w:rFonts w:cs="Arial"/>
          <w:rtl/>
        </w:rPr>
        <w:t xml:space="preserve">ולא בלאות. </w:t>
      </w:r>
      <w:r w:rsidRPr="00297264">
        <w:rPr>
          <w:rFonts w:cs="Arial"/>
          <w:u w:val="single"/>
          <w:rtl/>
        </w:rPr>
        <w:t>א"ל רב הונא בר חייא לרב כהנא, אמרת לן משמיה דשמואל</w:t>
      </w:r>
      <w:r w:rsidRPr="00297264">
        <w:rPr>
          <w:rFonts w:cs="Arial"/>
          <w:rtl/>
        </w:rPr>
        <w:t xml:space="preserve">: לא שנו אלא נכסי מלוג, אבל נכסי צאן ברזל אית לה. </w:t>
      </w:r>
      <w:r w:rsidRPr="00297264">
        <w:rPr>
          <w:rFonts w:cs="Arial"/>
          <w:u w:val="single"/>
          <w:rtl/>
        </w:rPr>
        <w:t>הוי בה רב פפא</w:t>
      </w:r>
      <w:r w:rsidRPr="00297264">
        <w:rPr>
          <w:rFonts w:cs="Arial"/>
          <w:rtl/>
        </w:rPr>
        <w:t>: אהייא? אילימא אממאנת, אי דאיתנהו, אידי ואידי שקלא! ואי דליתנהו, אידי ואידי לא שקלא!</w:t>
      </w:r>
      <w:r>
        <w:rPr>
          <w:rFonts w:cs="Arial" w:hint="cs"/>
          <w:rtl/>
        </w:rPr>
        <w:t>...</w:t>
      </w:r>
      <w:r w:rsidRPr="00297264">
        <w:rPr>
          <w:rFonts w:cs="Arial"/>
          <w:rtl/>
        </w:rPr>
        <w:t xml:space="preserve"> </w:t>
      </w:r>
      <w:r w:rsidRPr="00EA2802">
        <w:rPr>
          <w:rFonts w:cs="Arial"/>
          <w:rtl/>
        </w:rPr>
        <w:t xml:space="preserve">אין להן כתובה. </w:t>
      </w:r>
      <w:r w:rsidRPr="00EA2802">
        <w:rPr>
          <w:rFonts w:cs="Arial"/>
          <w:u w:val="single"/>
          <w:rtl/>
        </w:rPr>
        <w:t>אמר שמואל</w:t>
      </w:r>
      <w:r w:rsidRPr="00EA2802">
        <w:rPr>
          <w:rFonts w:cs="Arial"/>
          <w:rtl/>
        </w:rPr>
        <w:t>: ל"ש אלא מנה מאתים, אבל תוספת יש להן</w:t>
      </w:r>
      <w:r>
        <w:rPr>
          <w:rStyle w:val="a7"/>
          <w:rFonts w:cs="Arial"/>
          <w:rtl/>
        </w:rPr>
        <w:footnoteReference w:id="2934"/>
      </w:r>
      <w:r w:rsidRPr="00EA2802">
        <w:rPr>
          <w:rFonts w:cs="Arial"/>
          <w:rtl/>
        </w:rPr>
        <w:t>.</w:t>
      </w:r>
      <w:r>
        <w:rPr>
          <w:rFonts w:cs="Arial" w:hint="cs"/>
          <w:rtl/>
        </w:rPr>
        <w:t>..</w:t>
      </w:r>
    </w:p>
    <w:p w14:paraId="582E6F19" w14:textId="77777777" w:rsidR="00392DBB" w:rsidRDefault="00392DBB" w:rsidP="00392DBB">
      <w:pPr>
        <w:rPr>
          <w:rFonts w:cs="Arial"/>
          <w:rtl/>
        </w:rPr>
      </w:pPr>
      <w:r w:rsidRPr="003A2932">
        <w:rPr>
          <w:rFonts w:cs="Arial" w:hint="cs"/>
          <w:b/>
          <w:bCs/>
          <w:rtl/>
        </w:rPr>
        <w:t xml:space="preserve">כתובות </w:t>
      </w:r>
      <w:r w:rsidRPr="003A2932">
        <w:rPr>
          <w:rFonts w:cs="Arial" w:hint="cs"/>
          <w:b/>
          <w:bCs/>
          <w:sz w:val="16"/>
          <w:szCs w:val="16"/>
          <w:rtl/>
        </w:rPr>
        <w:t>(פ</w:t>
      </w:r>
      <w:r>
        <w:rPr>
          <w:rFonts w:cs="Arial" w:hint="cs"/>
          <w:b/>
          <w:bCs/>
          <w:sz w:val="16"/>
          <w:szCs w:val="16"/>
          <w:rtl/>
        </w:rPr>
        <w:t>'</w:t>
      </w:r>
      <w:r w:rsidRPr="003A2932">
        <w:rPr>
          <w:rFonts w:cs="Arial" w:hint="cs"/>
          <w:b/>
          <w:bCs/>
          <w:sz w:val="16"/>
          <w:szCs w:val="16"/>
          <w:rtl/>
        </w:rPr>
        <w:t xml:space="preserve"> </w:t>
      </w:r>
      <w:r>
        <w:rPr>
          <w:rFonts w:cs="Arial" w:hint="cs"/>
          <w:b/>
          <w:bCs/>
          <w:sz w:val="16"/>
          <w:szCs w:val="16"/>
          <w:rtl/>
        </w:rPr>
        <w:t>שני דייני גזילות</w:t>
      </w:r>
      <w:r w:rsidRPr="003A2932">
        <w:rPr>
          <w:rFonts w:cs="Arial" w:hint="cs"/>
          <w:b/>
          <w:bCs/>
          <w:sz w:val="16"/>
          <w:szCs w:val="16"/>
          <w:rtl/>
        </w:rPr>
        <w:t xml:space="preserve">) </w:t>
      </w:r>
      <w:r w:rsidRPr="003A2932">
        <w:rPr>
          <w:rFonts w:cs="Arial" w:hint="cs"/>
          <w:b/>
          <w:bCs/>
          <w:rtl/>
        </w:rPr>
        <w:t>ק</w:t>
      </w:r>
      <w:r>
        <w:rPr>
          <w:rFonts w:cs="Arial" w:hint="cs"/>
          <w:b/>
          <w:bCs/>
          <w:rtl/>
        </w:rPr>
        <w:t>ז</w:t>
      </w:r>
      <w:r w:rsidRPr="003A2932">
        <w:rPr>
          <w:rFonts w:cs="Arial" w:hint="cs"/>
          <w:b/>
          <w:bCs/>
          <w:rtl/>
        </w:rPr>
        <w:t xml:space="preserve"> ע"ב:</w:t>
      </w:r>
      <w:r>
        <w:rPr>
          <w:rFonts w:cs="Arial" w:hint="cs"/>
          <w:rtl/>
        </w:rPr>
        <w:t xml:space="preserve"> </w:t>
      </w:r>
      <w:r w:rsidRPr="004E22C7">
        <w:rPr>
          <w:rFonts w:cs="Arial"/>
          <w:rtl/>
        </w:rPr>
        <w:t>תא שמע: כיצד אמרו ממאנת אין לה מזונות? אי אתה יכול לומר ביושבת תחת בעלה, שהרי בעלה חייב במזונות, אלא כגון שהלך בעלה למדינת הים, לותה ואכלה עמדה ומיאנה</w:t>
      </w:r>
      <w:r>
        <w:rPr>
          <w:rFonts w:cs="Arial" w:hint="cs"/>
          <w:rtl/>
        </w:rPr>
        <w:t>.</w:t>
      </w:r>
      <w:r w:rsidRPr="004E22C7">
        <w:rPr>
          <w:rFonts w:cs="Arial"/>
          <w:rtl/>
        </w:rPr>
        <w:t xml:space="preserve"> </w:t>
      </w:r>
      <w:r w:rsidRPr="004E22C7">
        <w:rPr>
          <w:rFonts w:cs="Arial" w:hint="cs"/>
          <w:sz w:val="16"/>
          <w:szCs w:val="16"/>
          <w:rtl/>
        </w:rPr>
        <w:t>(</w:t>
      </w:r>
      <w:r w:rsidRPr="004E22C7">
        <w:rPr>
          <w:rFonts w:cs="Arial"/>
          <w:sz w:val="16"/>
          <w:szCs w:val="16"/>
          <w:rtl/>
        </w:rPr>
        <w:t>וכתב הרא"ש בפרק אלמנה נזונת (שם) הא דקתני אין לה פירות מפרש אין לה פרקונה שהוא תחת פירות וגם אין משלם פירות שאכל אף על פי שלא נתחייב בפרקונה</w:t>
      </w:r>
      <w:r w:rsidRPr="004E22C7">
        <w:rPr>
          <w:rFonts w:cs="Arial" w:hint="cs"/>
          <w:sz w:val="16"/>
          <w:szCs w:val="16"/>
          <w:rtl/>
        </w:rPr>
        <w:t>.</w:t>
      </w:r>
      <w:r w:rsidRPr="004E22C7">
        <w:rPr>
          <w:rFonts w:cs="Arial"/>
          <w:sz w:val="16"/>
          <w:szCs w:val="16"/>
          <w:rtl/>
        </w:rPr>
        <w:t xml:space="preserve"> ובשנייה ואילונית ניחא</w:t>
      </w:r>
      <w:r w:rsidRPr="004E22C7">
        <w:rPr>
          <w:rFonts w:cs="Arial" w:hint="cs"/>
          <w:sz w:val="16"/>
          <w:szCs w:val="16"/>
          <w:rtl/>
        </w:rPr>
        <w:t>,</w:t>
      </w:r>
      <w:r w:rsidRPr="004E22C7">
        <w:rPr>
          <w:rFonts w:cs="Arial"/>
          <w:sz w:val="16"/>
          <w:szCs w:val="16"/>
          <w:rtl/>
        </w:rPr>
        <w:t xml:space="preserve"> אבל בממאנת מאי אין לה פירות</w:t>
      </w:r>
      <w:r w:rsidRPr="004E22C7">
        <w:rPr>
          <w:rFonts w:cs="Arial" w:hint="cs"/>
          <w:sz w:val="16"/>
          <w:szCs w:val="16"/>
          <w:rtl/>
        </w:rPr>
        <w:t>?</w:t>
      </w:r>
      <w:r w:rsidRPr="004E22C7">
        <w:rPr>
          <w:rFonts w:cs="Arial"/>
          <w:sz w:val="16"/>
          <w:szCs w:val="16"/>
          <w:rtl/>
        </w:rPr>
        <w:t xml:space="preserve"> אין לומר תקנת פירות</w:t>
      </w:r>
      <w:r w:rsidRPr="004E22C7">
        <w:rPr>
          <w:rFonts w:cs="Arial" w:hint="cs"/>
          <w:sz w:val="16"/>
          <w:szCs w:val="16"/>
          <w:rtl/>
        </w:rPr>
        <w:t>,</w:t>
      </w:r>
      <w:r w:rsidRPr="004E22C7">
        <w:rPr>
          <w:rFonts w:cs="Arial"/>
          <w:sz w:val="16"/>
          <w:szCs w:val="16"/>
          <w:rtl/>
        </w:rPr>
        <w:t xml:space="preserve"> דהיינו פרקונה</w:t>
      </w:r>
      <w:r w:rsidRPr="004E22C7">
        <w:rPr>
          <w:rFonts w:cs="Arial" w:hint="cs"/>
          <w:sz w:val="16"/>
          <w:szCs w:val="16"/>
          <w:rtl/>
        </w:rPr>
        <w:t>,</w:t>
      </w:r>
      <w:r w:rsidRPr="004E22C7">
        <w:rPr>
          <w:rFonts w:cs="Arial"/>
          <w:sz w:val="16"/>
          <w:szCs w:val="16"/>
          <w:rtl/>
        </w:rPr>
        <w:t xml:space="preserve"> דבעודה יושבת תחתיו פשיטא דאם נשבית חייב לפדותה</w:t>
      </w:r>
      <w:r w:rsidRPr="004E22C7">
        <w:rPr>
          <w:rFonts w:cs="Arial" w:hint="cs"/>
          <w:sz w:val="16"/>
          <w:szCs w:val="16"/>
          <w:rtl/>
        </w:rPr>
        <w:t>,</w:t>
      </w:r>
      <w:r w:rsidRPr="004E22C7">
        <w:rPr>
          <w:rFonts w:cs="Arial"/>
          <w:sz w:val="16"/>
          <w:szCs w:val="16"/>
          <w:rtl/>
        </w:rPr>
        <w:t xml:space="preserve"> ואי מיאנה ואח"כ נשבית פשיטא דאינו חייב לפדותה</w:t>
      </w:r>
      <w:r w:rsidRPr="004E22C7">
        <w:rPr>
          <w:rFonts w:cs="Arial" w:hint="cs"/>
          <w:sz w:val="16"/>
          <w:szCs w:val="16"/>
          <w:rtl/>
        </w:rPr>
        <w:t>,</w:t>
      </w:r>
      <w:r w:rsidRPr="004E22C7">
        <w:rPr>
          <w:rFonts w:cs="Arial"/>
          <w:sz w:val="16"/>
          <w:szCs w:val="16"/>
          <w:rtl/>
        </w:rPr>
        <w:t xml:space="preserve"> ואם נשבית ומיאנה ועודה שבויה פשיטא דאין חייב לפדותה</w:t>
      </w:r>
      <w:r w:rsidRPr="004E22C7">
        <w:rPr>
          <w:rFonts w:cs="Arial" w:hint="cs"/>
          <w:sz w:val="16"/>
          <w:szCs w:val="16"/>
          <w:rtl/>
        </w:rPr>
        <w:t>.</w:t>
      </w:r>
      <w:r w:rsidRPr="004E22C7">
        <w:rPr>
          <w:rFonts w:cs="Arial"/>
          <w:sz w:val="16"/>
          <w:szCs w:val="16"/>
          <w:rtl/>
        </w:rPr>
        <w:t xml:space="preserve"> ובפירות שאכל נמי אין לפרש</w:t>
      </w:r>
      <w:r w:rsidRPr="004E22C7">
        <w:rPr>
          <w:rFonts w:cs="Arial" w:hint="cs"/>
          <w:sz w:val="16"/>
          <w:szCs w:val="16"/>
          <w:rtl/>
        </w:rPr>
        <w:t>,</w:t>
      </w:r>
      <w:r w:rsidRPr="004E22C7">
        <w:rPr>
          <w:rFonts w:cs="Arial"/>
          <w:sz w:val="16"/>
          <w:szCs w:val="16"/>
          <w:rtl/>
        </w:rPr>
        <w:t xml:space="preserve"> דאפילו קרן גופיה אם אכלו אין לה</w:t>
      </w:r>
      <w:r w:rsidRPr="004E22C7">
        <w:rPr>
          <w:rFonts w:cs="Arial" w:hint="cs"/>
          <w:sz w:val="16"/>
          <w:szCs w:val="16"/>
          <w:rtl/>
        </w:rPr>
        <w:t>,</w:t>
      </w:r>
      <w:r w:rsidRPr="004E22C7">
        <w:rPr>
          <w:rFonts w:cs="Arial"/>
          <w:sz w:val="16"/>
          <w:szCs w:val="16"/>
          <w:rtl/>
        </w:rPr>
        <w:t xml:space="preserve"> דאמרינן בגמרא (קא.) אי דליתנהו אידי ואידי לית לה</w:t>
      </w:r>
      <w:r w:rsidRPr="004E22C7">
        <w:rPr>
          <w:rFonts w:cs="Arial" w:hint="cs"/>
          <w:sz w:val="16"/>
          <w:szCs w:val="16"/>
          <w:rtl/>
        </w:rPr>
        <w:t>.</w:t>
      </w:r>
      <w:r w:rsidRPr="004E22C7">
        <w:rPr>
          <w:rFonts w:cs="Arial"/>
          <w:sz w:val="16"/>
          <w:szCs w:val="16"/>
          <w:rtl/>
        </w:rPr>
        <w:t xml:space="preserve"> ואיצטריך לאשמועינן דאין לה פירות שליקט אפילו הן מונחים בעין בתוך ביתו</w:t>
      </w:r>
      <w:r w:rsidRPr="004E22C7">
        <w:rPr>
          <w:rFonts w:cs="Arial" w:hint="cs"/>
          <w:sz w:val="16"/>
          <w:szCs w:val="16"/>
          <w:rtl/>
        </w:rPr>
        <w:t>.</w:t>
      </w:r>
      <w:r w:rsidRPr="004E22C7">
        <w:rPr>
          <w:rFonts w:cs="Arial"/>
          <w:sz w:val="16"/>
          <w:szCs w:val="16"/>
          <w:rtl/>
        </w:rPr>
        <w:t xml:space="preserve"> ועוד יש לפרש תקנת פירות כגון שנשבית ולוותה ופדתה את עצמה ואח"כ מיאנה</w:t>
      </w:r>
      <w:r w:rsidRPr="004E22C7">
        <w:rPr>
          <w:rFonts w:cs="Arial" w:hint="cs"/>
          <w:sz w:val="16"/>
          <w:szCs w:val="16"/>
          <w:rtl/>
        </w:rPr>
        <w:t>,</w:t>
      </w:r>
      <w:r w:rsidRPr="004E22C7">
        <w:rPr>
          <w:rFonts w:cs="Arial"/>
          <w:sz w:val="16"/>
          <w:szCs w:val="16"/>
          <w:rtl/>
        </w:rPr>
        <w:t xml:space="preserve"> דומיא דמזונות דמפרש בפרק שני דייני גזילות ע"כ</w:t>
      </w:r>
      <w:r>
        <w:rPr>
          <w:rFonts w:cs="Arial" w:hint="cs"/>
          <w:sz w:val="16"/>
          <w:szCs w:val="16"/>
          <w:rtl/>
        </w:rPr>
        <w:t>, ב"י)</w:t>
      </w:r>
      <w:r w:rsidRPr="00BE01BB">
        <w:rPr>
          <w:rFonts w:cs="Arial"/>
          <w:rtl/>
        </w:rPr>
        <w:t xml:space="preserve"> </w:t>
      </w:r>
    </w:p>
    <w:p w14:paraId="0868E5B5" w14:textId="41B9F782" w:rsidR="00392DBB" w:rsidRPr="00EE4C94" w:rsidRDefault="00392DBB" w:rsidP="00392DBB">
      <w:pPr>
        <w:rPr>
          <w:u w:val="single"/>
          <w:rtl/>
        </w:rPr>
      </w:pPr>
      <w:r w:rsidRPr="00EE4C94">
        <w:rPr>
          <w:rFonts w:hint="cs"/>
          <w:u w:val="single"/>
          <w:rtl/>
        </w:rPr>
        <w:lastRenderedPageBreak/>
        <w:t xml:space="preserve">ממאנת </w:t>
      </w:r>
      <w:r w:rsidR="00F97626">
        <w:rPr>
          <w:u w:val="single"/>
          <w:rtl/>
        </w:rPr>
        <w:t>-</w:t>
      </w:r>
      <w:r w:rsidRPr="00EE4C94">
        <w:rPr>
          <w:rFonts w:hint="cs"/>
          <w:u w:val="single"/>
          <w:rtl/>
        </w:rPr>
        <w:t xml:space="preserve"> במה יוצאת:</w:t>
      </w:r>
    </w:p>
    <w:p w14:paraId="3B40F924" w14:textId="6A80FBEC" w:rsidR="00392DBB" w:rsidRPr="00BE01BB" w:rsidRDefault="00392DBB" w:rsidP="009000E3">
      <w:pPr>
        <w:pStyle w:val="ab"/>
        <w:numPr>
          <w:ilvl w:val="0"/>
          <w:numId w:val="72"/>
        </w:numPr>
        <w:rPr>
          <w:rtl/>
        </w:rPr>
      </w:pPr>
      <w:r>
        <w:rPr>
          <w:rFonts w:hint="cs"/>
          <w:rtl/>
        </w:rPr>
        <w:t>טור-</w:t>
      </w:r>
      <w:r>
        <w:rPr>
          <w:rFonts w:cs="Arial" w:hint="cs"/>
          <w:rtl/>
        </w:rPr>
        <w:t xml:space="preserve"> </w:t>
      </w:r>
      <w:r w:rsidRPr="003C7FB6">
        <w:rPr>
          <w:rFonts w:cs="Arial"/>
          <w:rtl/>
        </w:rPr>
        <w:t>קטנה היוצא</w:t>
      </w:r>
      <w:r>
        <w:rPr>
          <w:rFonts w:cs="Arial" w:hint="cs"/>
          <w:rtl/>
        </w:rPr>
        <w:t>ת</w:t>
      </w:r>
      <w:r w:rsidRPr="003C7FB6">
        <w:rPr>
          <w:rFonts w:cs="Arial"/>
          <w:rtl/>
        </w:rPr>
        <w:t xml:space="preserve"> במיאון אין לה מנה מאתים</w:t>
      </w:r>
      <w:r>
        <w:rPr>
          <w:rFonts w:cs="Arial" w:hint="cs"/>
          <w:rtl/>
        </w:rPr>
        <w:t>,</w:t>
      </w:r>
      <w:r w:rsidRPr="003C7FB6">
        <w:rPr>
          <w:rFonts w:cs="Arial"/>
          <w:rtl/>
        </w:rPr>
        <w:t xml:space="preserve"> אבל יש לה תוס</w:t>
      </w:r>
      <w:r>
        <w:rPr>
          <w:rFonts w:cs="Arial" w:hint="cs"/>
          <w:rtl/>
        </w:rPr>
        <w:t>פת,</w:t>
      </w:r>
      <w:r w:rsidRPr="003C7FB6">
        <w:rPr>
          <w:rFonts w:cs="Arial"/>
          <w:rtl/>
        </w:rPr>
        <w:t xml:space="preserve"> וחייב לזונה ולפדותה כל זמן שהיא תחתיו</w:t>
      </w:r>
      <w:r>
        <w:rPr>
          <w:rFonts w:cs="Arial" w:hint="cs"/>
          <w:rtl/>
        </w:rPr>
        <w:t>,</w:t>
      </w:r>
      <w:r w:rsidRPr="003C7FB6">
        <w:rPr>
          <w:rFonts w:cs="Arial"/>
          <w:rtl/>
        </w:rPr>
        <w:t xml:space="preserve"> ואוכל פירותיה</w:t>
      </w:r>
      <w:r>
        <w:rPr>
          <w:rFonts w:cs="Arial" w:hint="cs"/>
          <w:rtl/>
        </w:rPr>
        <w:t>.</w:t>
      </w:r>
      <w:r w:rsidRPr="003C7FB6">
        <w:rPr>
          <w:rFonts w:cs="Arial"/>
          <w:rtl/>
        </w:rPr>
        <w:t xml:space="preserve"> אבל אם הלך למדינת הים ולותה ואכלה למזונותיה או לפדיונה ואח"כ מיאנה </w:t>
      </w:r>
      <w:r>
        <w:rPr>
          <w:rFonts w:cs="Arial" w:hint="cs"/>
          <w:rtl/>
        </w:rPr>
        <w:t xml:space="preserve">- </w:t>
      </w:r>
      <w:r w:rsidRPr="003C7FB6">
        <w:rPr>
          <w:rFonts w:cs="Arial"/>
          <w:rtl/>
        </w:rPr>
        <w:t>אינו חייב לשלם</w:t>
      </w:r>
      <w:r>
        <w:rPr>
          <w:rFonts w:cs="Arial" w:hint="cs"/>
          <w:rtl/>
        </w:rPr>
        <w:t>,</w:t>
      </w:r>
      <w:r w:rsidRPr="003C7FB6">
        <w:rPr>
          <w:rFonts w:cs="Arial"/>
          <w:rtl/>
        </w:rPr>
        <w:t xml:space="preserve"> אע</w:t>
      </w:r>
      <w:r w:rsidR="005B5AFC">
        <w:rPr>
          <w:rFonts w:cs="Arial" w:hint="cs"/>
          <w:rtl/>
        </w:rPr>
        <w:t>"</w:t>
      </w:r>
      <w:r w:rsidRPr="003C7FB6">
        <w:rPr>
          <w:rFonts w:cs="Arial"/>
          <w:rtl/>
        </w:rPr>
        <w:t>פ שאכל פירותיה ואפי</w:t>
      </w:r>
      <w:r>
        <w:rPr>
          <w:rFonts w:cs="Arial" w:hint="cs"/>
          <w:rtl/>
        </w:rPr>
        <w:t>לו</w:t>
      </w:r>
      <w:r w:rsidRPr="003C7FB6">
        <w:rPr>
          <w:rFonts w:cs="Arial"/>
          <w:rtl/>
        </w:rPr>
        <w:t xml:space="preserve"> הן בעין עדיין שלקטן ומונחים ברשותו אינו נותנן</w:t>
      </w:r>
      <w:r>
        <w:rPr>
          <w:rStyle w:val="a7"/>
          <w:rFonts w:cs="Arial"/>
          <w:rtl/>
        </w:rPr>
        <w:footnoteReference w:id="2935"/>
      </w:r>
      <w:r>
        <w:rPr>
          <w:rFonts w:cs="Arial" w:hint="cs"/>
          <w:rtl/>
        </w:rPr>
        <w:t>.</w:t>
      </w:r>
      <w:r>
        <w:rPr>
          <w:rFonts w:hint="cs"/>
          <w:color w:val="E36C0A" w:themeColor="accent6" w:themeShade="BF"/>
          <w:rtl/>
        </w:rPr>
        <w:t xml:space="preserve"> </w:t>
      </w:r>
      <w:r w:rsidRPr="00544E63">
        <w:rPr>
          <w:rFonts w:hint="cs"/>
          <w:color w:val="E36C0A" w:themeColor="accent6" w:themeShade="BF"/>
          <w:rtl/>
        </w:rPr>
        <w:t>(וכ"פ בשו"ע)</w:t>
      </w:r>
    </w:p>
    <w:p w14:paraId="46A2B03F"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A503661" w14:textId="77777777" w:rsidR="00392DBB" w:rsidRDefault="00392DBB" w:rsidP="00392DBB">
      <w:pPr>
        <w:rPr>
          <w:rFonts w:cs="Arial"/>
          <w:rtl/>
        </w:rPr>
      </w:pPr>
      <w:r>
        <w:rPr>
          <w:rFonts w:cs="Arial"/>
          <w:rtl/>
        </w:rPr>
        <w:t>הממאנת, אין לה מנה ומאתים אבל יש לה תוספת</w:t>
      </w:r>
      <w:r>
        <w:rPr>
          <w:rStyle w:val="a7"/>
          <w:rFonts w:cs="Arial"/>
          <w:rtl/>
        </w:rPr>
        <w:footnoteReference w:id="2936"/>
      </w:r>
      <w:r>
        <w:rPr>
          <w:rFonts w:cs="Arial" w:hint="cs"/>
          <w:rtl/>
        </w:rPr>
        <w:t>.</w:t>
      </w:r>
      <w:r>
        <w:rPr>
          <w:rFonts w:cs="Arial"/>
          <w:rtl/>
        </w:rPr>
        <w:t xml:space="preserve"> וחייב לזונה ולפדותה כל זמן שהיא תחתיו</w:t>
      </w:r>
      <w:r>
        <w:rPr>
          <w:rFonts w:cs="Arial" w:hint="cs"/>
          <w:rtl/>
        </w:rPr>
        <w:t>,</w:t>
      </w:r>
      <w:r>
        <w:rPr>
          <w:rFonts w:cs="Arial"/>
          <w:rtl/>
        </w:rPr>
        <w:t xml:space="preserve"> ואוכל פירותיה</w:t>
      </w:r>
      <w:r>
        <w:rPr>
          <w:rFonts w:cs="Arial" w:hint="cs"/>
          <w:rtl/>
        </w:rPr>
        <w:t>.</w:t>
      </w:r>
      <w:r>
        <w:rPr>
          <w:rFonts w:cs="Arial"/>
          <w:rtl/>
        </w:rPr>
        <w:t xml:space="preserve"> אבל אם הלך למדינת הים ולותה למזונותיה או לפדיונה ואח</w:t>
      </w:r>
      <w:r>
        <w:rPr>
          <w:rFonts w:cs="Arial" w:hint="cs"/>
          <w:rtl/>
        </w:rPr>
        <w:t>ר כך</w:t>
      </w:r>
      <w:r>
        <w:rPr>
          <w:rFonts w:cs="Arial"/>
          <w:rtl/>
        </w:rPr>
        <w:t xml:space="preserve"> מיאנה, אינו חייב לשלם אף על פי שאכל פירותיה, ואפילו הם בעין. </w:t>
      </w:r>
    </w:p>
    <w:p w14:paraId="22430ABF" w14:textId="77777777" w:rsidR="00392DBB" w:rsidRDefault="00392DBB" w:rsidP="00392DBB">
      <w:pPr>
        <w:rPr>
          <w:rtl/>
        </w:rPr>
      </w:pPr>
    </w:p>
    <w:p w14:paraId="00FFFD42" w14:textId="77777777" w:rsidR="00392DBB" w:rsidRDefault="00392DBB" w:rsidP="000F64D0">
      <w:pPr>
        <w:pStyle w:val="2"/>
        <w:rPr>
          <w:rtl/>
        </w:rPr>
      </w:pPr>
      <w:r>
        <w:rPr>
          <w:rtl/>
        </w:rPr>
        <w:t>סעיף ו</w:t>
      </w:r>
      <w:r>
        <w:rPr>
          <w:rFonts w:hint="cs"/>
          <w:rtl/>
        </w:rPr>
        <w:t>: קטנה היוצאת בגט.</w:t>
      </w:r>
    </w:p>
    <w:p w14:paraId="77A38578" w14:textId="001A1553" w:rsidR="00392DBB" w:rsidRPr="009A6A61" w:rsidRDefault="00392DBB" w:rsidP="00392DBB">
      <w:pPr>
        <w:rPr>
          <w:rtl/>
        </w:rPr>
      </w:pPr>
      <w:r w:rsidRPr="003A2932">
        <w:rPr>
          <w:rFonts w:cs="Arial" w:hint="cs"/>
          <w:b/>
          <w:bCs/>
          <w:rtl/>
        </w:rPr>
        <w:t xml:space="preserve">כתובות </w:t>
      </w:r>
      <w:r w:rsidRPr="003A2932">
        <w:rPr>
          <w:rFonts w:cs="Arial" w:hint="cs"/>
          <w:b/>
          <w:bCs/>
          <w:sz w:val="16"/>
          <w:szCs w:val="16"/>
          <w:rtl/>
        </w:rPr>
        <w:t>(ס"פ אלמנה</w:t>
      </w:r>
      <w:r>
        <w:rPr>
          <w:rFonts w:cs="Arial" w:hint="cs"/>
          <w:b/>
          <w:bCs/>
          <w:sz w:val="16"/>
          <w:szCs w:val="16"/>
          <w:rtl/>
        </w:rPr>
        <w:t xml:space="preserve"> ניזונת</w:t>
      </w:r>
      <w:r w:rsidRPr="003A2932">
        <w:rPr>
          <w:rFonts w:cs="Arial" w:hint="cs"/>
          <w:b/>
          <w:bCs/>
          <w:sz w:val="16"/>
          <w:szCs w:val="16"/>
          <w:rtl/>
        </w:rPr>
        <w:t xml:space="preserve">) </w:t>
      </w:r>
      <w:r w:rsidRPr="003A2932">
        <w:rPr>
          <w:rFonts w:cs="Arial" w:hint="cs"/>
          <w:b/>
          <w:bCs/>
          <w:rtl/>
        </w:rPr>
        <w:t>ק</w:t>
      </w:r>
      <w:r w:rsidR="004031A7" w:rsidRPr="004031A7">
        <w:rPr>
          <w:rStyle w:val="a7"/>
          <w:rFonts w:cs="Arial"/>
          <w:b/>
          <w:bCs/>
          <w:rtl/>
        </w:rPr>
        <w:footnoteReference w:id="2937"/>
      </w:r>
      <w:r w:rsidRPr="003A2932">
        <w:rPr>
          <w:rFonts w:cs="Arial" w:hint="cs"/>
          <w:b/>
          <w:bCs/>
          <w:rtl/>
        </w:rPr>
        <w:t xml:space="preserve"> ע"ב:</w:t>
      </w:r>
      <w:r w:rsidRPr="009A6A61">
        <w:rPr>
          <w:rFonts w:cs="Arial"/>
          <w:rtl/>
        </w:rPr>
        <w:t xml:space="preserve"> </w:t>
      </w:r>
      <w:r w:rsidRPr="009A6A61">
        <w:rPr>
          <w:rFonts w:cs="Arial"/>
          <w:u w:val="single"/>
          <w:rtl/>
        </w:rPr>
        <w:t>רב תני</w:t>
      </w:r>
      <w:r w:rsidRPr="009A6A61">
        <w:rPr>
          <w:rFonts w:cs="Arial"/>
          <w:rtl/>
        </w:rPr>
        <w:t>: קטנה יוצאה בגט - אין לה כתובה, וכל שכן ממאנת</w:t>
      </w:r>
      <w:r>
        <w:rPr>
          <w:rFonts w:cs="Arial" w:hint="cs"/>
          <w:rtl/>
        </w:rPr>
        <w:t>.</w:t>
      </w:r>
      <w:r w:rsidRPr="009A6A61">
        <w:rPr>
          <w:rFonts w:cs="Arial"/>
          <w:rtl/>
        </w:rPr>
        <w:t xml:space="preserve"> </w:t>
      </w:r>
      <w:r w:rsidRPr="00544E63">
        <w:rPr>
          <w:rFonts w:cs="Arial"/>
          <w:u w:val="single"/>
          <w:rtl/>
        </w:rPr>
        <w:t>שמואל תני</w:t>
      </w:r>
      <w:r w:rsidRPr="009A6A61">
        <w:rPr>
          <w:rFonts w:cs="Arial"/>
          <w:rtl/>
        </w:rPr>
        <w:t>: ממאנת - אין לה כתובה, אבל יוצאה בגט - יש לה כתובה.</w:t>
      </w:r>
      <w:r w:rsidRPr="00544E63">
        <w:rPr>
          <w:rFonts w:cs="Arial"/>
          <w:rtl/>
        </w:rPr>
        <w:t xml:space="preserve"> </w:t>
      </w:r>
      <w:r>
        <w:rPr>
          <w:rFonts w:cs="Arial" w:hint="cs"/>
          <w:sz w:val="16"/>
          <w:szCs w:val="16"/>
          <w:rtl/>
        </w:rPr>
        <w:t>(</w:t>
      </w:r>
      <w:r w:rsidRPr="00544E63">
        <w:rPr>
          <w:rFonts w:cs="Arial"/>
          <w:sz w:val="16"/>
          <w:szCs w:val="16"/>
          <w:rtl/>
        </w:rPr>
        <w:t>ופסקו הפוסקים הלכה כשמואל</w:t>
      </w:r>
      <w:r w:rsidRPr="00544E63">
        <w:rPr>
          <w:rFonts w:hint="cs"/>
          <w:sz w:val="16"/>
          <w:szCs w:val="16"/>
          <w:rtl/>
        </w:rPr>
        <w:t>, ב"י)</w:t>
      </w:r>
    </w:p>
    <w:p w14:paraId="57444B26" w14:textId="77777777" w:rsidR="00392DBB" w:rsidRPr="009A6A61" w:rsidRDefault="00392DBB" w:rsidP="00392DBB">
      <w:pPr>
        <w:rPr>
          <w:u w:val="single"/>
          <w:rtl/>
        </w:rPr>
      </w:pPr>
      <w:r w:rsidRPr="009A6A61">
        <w:rPr>
          <w:rFonts w:hint="cs"/>
          <w:u w:val="single"/>
          <w:rtl/>
        </w:rPr>
        <w:t>קטנה היוצאת בגט:</w:t>
      </w:r>
    </w:p>
    <w:p w14:paraId="7203CE3D" w14:textId="77777777" w:rsidR="00392DBB" w:rsidRDefault="00392DBB" w:rsidP="009000E3">
      <w:pPr>
        <w:pStyle w:val="ab"/>
        <w:numPr>
          <w:ilvl w:val="0"/>
          <w:numId w:val="72"/>
        </w:numPr>
      </w:pPr>
      <w:r>
        <w:rPr>
          <w:rFonts w:hint="cs"/>
          <w:rtl/>
        </w:rPr>
        <w:t>טור-</w:t>
      </w:r>
      <w:r w:rsidRPr="003C7FB6">
        <w:rPr>
          <w:rFonts w:cs="Arial"/>
          <w:rtl/>
        </w:rPr>
        <w:t xml:space="preserve"> וקטנה היוצאת בגט </w:t>
      </w:r>
      <w:r>
        <w:rPr>
          <w:rFonts w:cs="Arial" w:hint="cs"/>
          <w:rtl/>
        </w:rPr>
        <w:t xml:space="preserve">- </w:t>
      </w:r>
      <w:r w:rsidRPr="003C7FB6">
        <w:rPr>
          <w:rFonts w:cs="Arial"/>
          <w:rtl/>
        </w:rPr>
        <w:t>דינה כגדולה היוצאת בגט</w:t>
      </w:r>
      <w:r>
        <w:rPr>
          <w:rFonts w:cs="Arial" w:hint="cs"/>
          <w:rtl/>
        </w:rPr>
        <w:t>.</w:t>
      </w:r>
      <w:r>
        <w:rPr>
          <w:rFonts w:hint="cs"/>
          <w:rtl/>
        </w:rPr>
        <w:t xml:space="preserve"> </w:t>
      </w:r>
      <w:r w:rsidRPr="00544E63">
        <w:rPr>
          <w:rFonts w:hint="cs"/>
          <w:color w:val="E36C0A" w:themeColor="accent6" w:themeShade="BF"/>
          <w:rtl/>
        </w:rPr>
        <w:t>(וכ"פ בשו"ע)</w:t>
      </w:r>
    </w:p>
    <w:p w14:paraId="170BE769"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EB95454" w14:textId="77777777" w:rsidR="00392DBB" w:rsidRPr="007A3469" w:rsidRDefault="00392DBB" w:rsidP="00392DBB">
      <w:pPr>
        <w:rPr>
          <w:rtl/>
        </w:rPr>
        <w:sectPr w:rsidR="00392DBB" w:rsidRPr="007A3469" w:rsidSect="00A347B3">
          <w:headerReference w:type="default" r:id="rId60"/>
          <w:footnotePr>
            <w:numRestart w:val="eachSect"/>
          </w:footnotePr>
          <w:pgSz w:w="11906" w:h="16838"/>
          <w:pgMar w:top="720" w:right="1134" w:bottom="720" w:left="1134" w:header="0" w:footer="0" w:gutter="0"/>
          <w:cols w:space="720"/>
          <w:bidi/>
          <w:rtlGutter/>
          <w:docGrid w:linePitch="360"/>
        </w:sectPr>
      </w:pPr>
      <w:r>
        <w:rPr>
          <w:rFonts w:cs="Arial"/>
          <w:rtl/>
        </w:rPr>
        <w:t>קטנה היוצאת בגט, דינה כגדולה היוצאת בגט.</w:t>
      </w:r>
    </w:p>
    <w:p w14:paraId="66E4E24B" w14:textId="77777777" w:rsidR="00392DBB" w:rsidRDefault="00392DBB" w:rsidP="00392DBB">
      <w:pPr>
        <w:pStyle w:val="1"/>
        <w:rPr>
          <w:rtl/>
        </w:rPr>
      </w:pPr>
      <w:r>
        <w:rPr>
          <w:rFonts w:hint="cs"/>
          <w:rtl/>
        </w:rPr>
        <w:lastRenderedPageBreak/>
        <w:t>סימן קיז:</w:t>
      </w:r>
      <w:r w:rsidRPr="00C12B74">
        <w:rPr>
          <w:rtl/>
        </w:rPr>
        <w:t xml:space="preserve"> </w:t>
      </w:r>
      <w:r>
        <w:rPr>
          <w:rFonts w:cs="Arial"/>
          <w:rtl/>
        </w:rPr>
        <w:t xml:space="preserve">דין כתובה באשה שאין לה וסת או שאר מומין ודין קטלנית, ובו י"א סעיפים. </w:t>
      </w:r>
    </w:p>
    <w:p w14:paraId="75CA57E5" w14:textId="77777777" w:rsidR="00392DBB" w:rsidRDefault="00392DBB" w:rsidP="000F64D0">
      <w:pPr>
        <w:pStyle w:val="2"/>
        <w:rPr>
          <w:rtl/>
        </w:rPr>
      </w:pPr>
      <w:r>
        <w:rPr>
          <w:rtl/>
        </w:rPr>
        <w:t>סעיף א</w:t>
      </w:r>
      <w:r>
        <w:rPr>
          <w:rFonts w:hint="cs"/>
          <w:rtl/>
        </w:rPr>
        <w:t>:</w:t>
      </w:r>
      <w:r w:rsidRPr="00E45F61">
        <w:rPr>
          <w:rFonts w:cs="Arial"/>
          <w:rtl/>
        </w:rPr>
        <w:t xml:space="preserve"> </w:t>
      </w:r>
      <w:r>
        <w:rPr>
          <w:rFonts w:cs="Arial"/>
          <w:rtl/>
        </w:rPr>
        <w:t>אשה שאין לה וסת</w:t>
      </w:r>
      <w:r>
        <w:rPr>
          <w:rFonts w:hint="cs"/>
          <w:rtl/>
        </w:rPr>
        <w:t xml:space="preserve"> קבוע שראתה דם מחמת תשמיש ג"פ.</w:t>
      </w:r>
    </w:p>
    <w:p w14:paraId="6E9AE7AC" w14:textId="3C9685DF" w:rsidR="00392DBB" w:rsidRPr="00F730D9" w:rsidRDefault="00392DBB" w:rsidP="00392DBB">
      <w:pPr>
        <w:rPr>
          <w:rFonts w:cs="Arial"/>
          <w:sz w:val="16"/>
          <w:szCs w:val="16"/>
          <w:rtl/>
        </w:rPr>
      </w:pPr>
      <w:r w:rsidRPr="009D028B">
        <w:rPr>
          <w:rFonts w:cs="Arial" w:hint="cs"/>
          <w:b/>
          <w:bCs/>
          <w:rtl/>
        </w:rPr>
        <w:t xml:space="preserve">נדה </w:t>
      </w:r>
      <w:r w:rsidRPr="009D028B">
        <w:rPr>
          <w:rFonts w:cs="Arial" w:hint="cs"/>
          <w:b/>
          <w:bCs/>
          <w:sz w:val="16"/>
          <w:szCs w:val="16"/>
          <w:rtl/>
        </w:rPr>
        <w:t xml:space="preserve">(ספ"ק) </w:t>
      </w:r>
      <w:r w:rsidRPr="009D028B">
        <w:rPr>
          <w:rFonts w:cs="Arial" w:hint="cs"/>
          <w:b/>
          <w:bCs/>
          <w:rtl/>
        </w:rPr>
        <w:t xml:space="preserve">יב ע"ב: </w:t>
      </w:r>
      <w:r w:rsidRPr="009D028B">
        <w:rPr>
          <w:rFonts w:cs="Arial"/>
          <w:rtl/>
        </w:rPr>
        <w:t>ת"ר</w:t>
      </w:r>
      <w:r>
        <w:rPr>
          <w:rFonts w:cs="Arial" w:hint="cs"/>
          <w:rtl/>
        </w:rPr>
        <w:t>:</w:t>
      </w:r>
      <w:r w:rsidRPr="009D028B">
        <w:rPr>
          <w:rFonts w:cs="Arial"/>
          <w:rtl/>
        </w:rPr>
        <w:t xml:space="preserve"> אשה שאין לה וסת - אסורה לשַמֵש, ואין לה לא כתובה ולא פירות ולא מזונות ולא בלאות, ויוציא ולא מחזיר עולמית - </w:t>
      </w:r>
      <w:r w:rsidRPr="009D028B">
        <w:rPr>
          <w:rFonts w:cs="Arial"/>
          <w:u w:val="single"/>
          <w:rtl/>
        </w:rPr>
        <w:t>דברי ר"מ</w:t>
      </w:r>
      <w:r w:rsidRPr="009D028B">
        <w:rPr>
          <w:rFonts w:cs="Arial"/>
          <w:rtl/>
        </w:rPr>
        <w:t xml:space="preserve">. </w:t>
      </w:r>
      <w:r w:rsidRPr="009D028B">
        <w:rPr>
          <w:rFonts w:cs="Arial"/>
          <w:u w:val="single"/>
          <w:rtl/>
        </w:rPr>
        <w:t>רבי חנינא בן אנטיגנוס אומר</w:t>
      </w:r>
      <w:r w:rsidRPr="009D028B">
        <w:rPr>
          <w:rFonts w:cs="Arial"/>
          <w:rtl/>
        </w:rPr>
        <w:t xml:space="preserve">: משמשת בשני עדים, הן עותוה הן תקנוה. </w:t>
      </w:r>
      <w:r w:rsidRPr="009D028B">
        <w:rPr>
          <w:rFonts w:cs="Arial"/>
          <w:u w:val="single"/>
          <w:rtl/>
        </w:rPr>
        <w:t>משום אבא חנן אמרו</w:t>
      </w:r>
      <w:r w:rsidRPr="009D028B">
        <w:rPr>
          <w:rFonts w:cs="Arial"/>
          <w:rtl/>
        </w:rPr>
        <w:t>: אוי לו לבעלה. אסורה לשמש - דילמא מקלקלת ליה</w:t>
      </w:r>
      <w:r>
        <w:rPr>
          <w:rFonts w:cs="Arial" w:hint="cs"/>
          <w:rtl/>
        </w:rPr>
        <w:t>.</w:t>
      </w:r>
      <w:r w:rsidRPr="009D028B">
        <w:rPr>
          <w:rFonts w:cs="Arial"/>
          <w:rtl/>
        </w:rPr>
        <w:t xml:space="preserve"> ואין לה כתובה - כיון דלא חזיא לביאה</w:t>
      </w:r>
      <w:r>
        <w:rPr>
          <w:rFonts w:cs="Arial" w:hint="cs"/>
          <w:rtl/>
        </w:rPr>
        <w:t>.</w:t>
      </w:r>
      <w:r w:rsidRPr="009D028B">
        <w:rPr>
          <w:rFonts w:cs="Arial"/>
          <w:rtl/>
        </w:rPr>
        <w:t xml:space="preserve"> לית לה כתובה ולא פירות ולא מזונות ולא בלאות - תנאי כתובה ככתובה דמו</w:t>
      </w:r>
      <w:r>
        <w:rPr>
          <w:rFonts w:cs="Arial" w:hint="cs"/>
          <w:rtl/>
        </w:rPr>
        <w:t>.</w:t>
      </w:r>
      <w:r w:rsidRPr="009D028B">
        <w:rPr>
          <w:rFonts w:cs="Arial"/>
          <w:rtl/>
        </w:rPr>
        <w:t xml:space="preserve"> ויוציא ולא יחזיר עולמית </w:t>
      </w:r>
      <w:r>
        <w:rPr>
          <w:rFonts w:cs="Arial" w:hint="cs"/>
          <w:rtl/>
        </w:rPr>
        <w:t xml:space="preserve">- </w:t>
      </w:r>
      <w:r w:rsidRPr="009D028B">
        <w:rPr>
          <w:rFonts w:cs="Arial"/>
          <w:rtl/>
        </w:rPr>
        <w:t>פשיטא! לא צריכא - דהדרה ואתקנה, מהו דתימא ליהדרה, קמ"ל - דזימנין דאזלא ומנסבא ומתקנא, ואמר: אילו הייתי יודע שכך היה - אפילו הייתם נותנין לי מאה מנה לא הייתי מגרשה, ונמצא גט בטל ובניה ממזרין</w:t>
      </w:r>
      <w:r>
        <w:rPr>
          <w:rStyle w:val="a7"/>
          <w:rFonts w:cs="Arial"/>
          <w:rtl/>
        </w:rPr>
        <w:footnoteReference w:id="2938"/>
      </w:r>
      <w:r w:rsidRPr="009D028B">
        <w:rPr>
          <w:rFonts w:cs="Arial"/>
          <w:rtl/>
        </w:rPr>
        <w:t>.</w:t>
      </w:r>
      <w:r>
        <w:rPr>
          <w:rFonts w:cs="Arial" w:hint="cs"/>
          <w:rtl/>
        </w:rPr>
        <w:t>.</w:t>
      </w:r>
      <w:r w:rsidRPr="009D028B">
        <w:rPr>
          <w:rFonts w:cs="Arial"/>
          <w:rtl/>
        </w:rPr>
        <w:t xml:space="preserve">. </w:t>
      </w:r>
      <w:r w:rsidRPr="009D028B">
        <w:rPr>
          <w:rFonts w:cs="Arial"/>
          <w:u w:val="single"/>
          <w:rtl/>
        </w:rPr>
        <w:t>אמר רב יהודה אמר שמואל</w:t>
      </w:r>
      <w:r w:rsidRPr="009D028B">
        <w:rPr>
          <w:rFonts w:cs="Arial"/>
          <w:rtl/>
        </w:rPr>
        <w:t xml:space="preserve">: הלכה כר' חנינא בן אנטיגנוס. ובמאי? אי בעסוקה בטהרות - הא אמרה שמואל חדא זימנא! ואי בשאינה עסוקה בטהרות - הא אמר כל לבעלה לא בעיא בדיקה, דא"ר זירא א"ר אבא בר ירמיה אמר שמואל: אשה שאין לה וסת - אסורה לשמש עד שתבדוק, ואוקימנא לה - בעסוקה בטהרות! מאן דמתני הא לא מתני הא. </w:t>
      </w:r>
      <w:r>
        <w:rPr>
          <w:rFonts w:cs="Arial" w:hint="cs"/>
          <w:sz w:val="16"/>
          <w:szCs w:val="16"/>
          <w:rtl/>
        </w:rPr>
        <w:t>(</w:t>
      </w:r>
      <w:r w:rsidRPr="004A26E4">
        <w:rPr>
          <w:rFonts w:cs="Arial"/>
          <w:sz w:val="16"/>
          <w:szCs w:val="16"/>
          <w:rtl/>
        </w:rPr>
        <w:t>והרי"ף הביא ברייתא זו בסוף פרק אלמנה נזונת (כתובות ס:) וכתב כלשון הזה רבי חנינא בן אנטיגנוס אומר משמשת בשני עדים והם תיקוניה ועיוותיה שאם תשמש פעם א' וב' וג' בעדים וימצא על עד שלה או שלו בכל פעם ופעם הרי הן עיוותיה שהוחזקה נדה כל ימיה ותצא בלא כתובה</w:t>
      </w:r>
      <w:r w:rsidR="003C2853">
        <w:rPr>
          <w:rFonts w:cs="Arial" w:hint="cs"/>
          <w:sz w:val="16"/>
          <w:szCs w:val="16"/>
          <w:rtl/>
        </w:rPr>
        <w:t>,</w:t>
      </w:r>
      <w:r w:rsidRPr="004A26E4">
        <w:rPr>
          <w:rFonts w:cs="Arial"/>
          <w:sz w:val="16"/>
          <w:szCs w:val="16"/>
          <w:rtl/>
        </w:rPr>
        <w:t xml:space="preserve"> ואם שמשה בשני עדים אחד לו ואחד לה ג"פ ולא נמצא באחד מהם הרי הן תיקוניה והרי היא ככל הנשים עכ"ל. וכתב הר"ן בפרק ב' דשבועות (ב: דיבור ראשון) שנראה שהוא ז"ל סובר דאע"ג דקיי"ל דכל אשה שאין לה וסת לא בעיא בדיקה לבעלה </w:t>
      </w:r>
      <w:r w:rsidRPr="004A26E4">
        <w:rPr>
          <w:rFonts w:cs="Arial" w:hint="cs"/>
          <w:sz w:val="16"/>
          <w:szCs w:val="16"/>
          <w:rtl/>
        </w:rPr>
        <w:t xml:space="preserve">- </w:t>
      </w:r>
      <w:r w:rsidRPr="004A26E4">
        <w:rPr>
          <w:rFonts w:cs="Arial"/>
          <w:sz w:val="16"/>
          <w:szCs w:val="16"/>
          <w:rtl/>
        </w:rPr>
        <w:t>היינו לאחר שתהא מוחזקת ג"פ שלא תהא רואה דם מחמת תשמיש</w:t>
      </w:r>
      <w:r w:rsidRPr="004A26E4">
        <w:rPr>
          <w:rFonts w:cs="Arial" w:hint="cs"/>
          <w:sz w:val="16"/>
          <w:szCs w:val="16"/>
          <w:rtl/>
        </w:rPr>
        <w:t>,</w:t>
      </w:r>
      <w:r w:rsidRPr="004A26E4">
        <w:rPr>
          <w:rFonts w:cs="Arial"/>
          <w:sz w:val="16"/>
          <w:szCs w:val="16"/>
          <w:rtl/>
        </w:rPr>
        <w:t xml:space="preserve"> אבל מתחלה חוששין לה</w:t>
      </w:r>
      <w:r>
        <w:rPr>
          <w:rStyle w:val="a7"/>
          <w:rFonts w:cs="Arial"/>
          <w:sz w:val="16"/>
          <w:szCs w:val="16"/>
          <w:rtl/>
        </w:rPr>
        <w:footnoteReference w:id="2939"/>
      </w:r>
      <w:r w:rsidRPr="004A26E4">
        <w:rPr>
          <w:rFonts w:cs="Arial" w:hint="cs"/>
          <w:sz w:val="16"/>
          <w:szCs w:val="16"/>
          <w:rtl/>
        </w:rPr>
        <w:t>.</w:t>
      </w:r>
      <w:r w:rsidRPr="004A26E4">
        <w:rPr>
          <w:rFonts w:cs="Arial"/>
          <w:sz w:val="16"/>
          <w:szCs w:val="16"/>
          <w:rtl/>
        </w:rPr>
        <w:t xml:space="preserve"> וכן פירש הרשב"א בתורת הבית (בדיני הפרישה בית שביעי שער שני ז:) דברי הרי"ף ז"ל</w:t>
      </w:r>
      <w:r>
        <w:rPr>
          <w:rFonts w:cs="Arial" w:hint="cs"/>
          <w:sz w:val="16"/>
          <w:szCs w:val="16"/>
          <w:rtl/>
        </w:rPr>
        <w:t>, ב"י.)</w:t>
      </w:r>
    </w:p>
    <w:p w14:paraId="47B69883" w14:textId="77777777" w:rsidR="00392DBB" w:rsidRPr="00E45F61" w:rsidRDefault="00392DBB" w:rsidP="00392DBB">
      <w:pPr>
        <w:rPr>
          <w:u w:val="single"/>
          <w:rtl/>
        </w:rPr>
      </w:pPr>
      <w:r w:rsidRPr="00E45F61">
        <w:rPr>
          <w:rFonts w:hint="cs"/>
          <w:u w:val="single"/>
          <w:rtl/>
        </w:rPr>
        <w:t>אשה שאין לה וסת</w:t>
      </w:r>
      <w:r>
        <w:rPr>
          <w:rFonts w:hint="cs"/>
          <w:u w:val="single"/>
          <w:rtl/>
        </w:rPr>
        <w:t xml:space="preserve"> קבוע - ו</w:t>
      </w:r>
      <w:r w:rsidRPr="001813F5">
        <w:rPr>
          <w:rFonts w:hint="cs"/>
          <w:u w:val="single"/>
          <w:rtl/>
        </w:rPr>
        <w:t>ראתה דם מחמת תשמיש ג"פ</w:t>
      </w:r>
      <w:r>
        <w:rPr>
          <w:rFonts w:hint="cs"/>
          <w:u w:val="single"/>
          <w:rtl/>
        </w:rPr>
        <w:t xml:space="preserve"> רצופים</w:t>
      </w:r>
      <w:r w:rsidRPr="00D93BAC">
        <w:rPr>
          <w:rFonts w:hint="cs"/>
          <w:b/>
          <w:bCs/>
          <w:u w:val="single"/>
          <w:rtl/>
        </w:rPr>
        <w:t xml:space="preserve"> מיד לאחר הנשואים</w:t>
      </w:r>
      <w:r w:rsidRPr="00E45F61">
        <w:rPr>
          <w:rFonts w:hint="cs"/>
          <w:u w:val="single"/>
          <w:rtl/>
        </w:rPr>
        <w:t>:</w:t>
      </w:r>
    </w:p>
    <w:p w14:paraId="4305AA23" w14:textId="77777777" w:rsidR="00392DBB" w:rsidRDefault="00392DBB" w:rsidP="009000E3">
      <w:pPr>
        <w:pStyle w:val="ab"/>
        <w:numPr>
          <w:ilvl w:val="0"/>
          <w:numId w:val="72"/>
        </w:numPr>
      </w:pPr>
      <w:r>
        <w:rPr>
          <w:rFonts w:cs="Arial" w:hint="cs"/>
          <w:rtl/>
        </w:rPr>
        <w:t xml:space="preserve">רי"ף </w:t>
      </w:r>
      <w:r>
        <w:rPr>
          <w:rFonts w:cs="Arial" w:hint="cs"/>
          <w:sz w:val="16"/>
          <w:szCs w:val="16"/>
          <w:rtl/>
        </w:rPr>
        <w:t>(</w:t>
      </w:r>
      <w:r w:rsidRPr="004A26E4">
        <w:rPr>
          <w:rFonts w:cs="Arial" w:hint="cs"/>
          <w:sz w:val="16"/>
          <w:szCs w:val="16"/>
          <w:rtl/>
        </w:rPr>
        <w:t>כתובות ס:)</w:t>
      </w:r>
      <w:r>
        <w:rPr>
          <w:rFonts w:cs="Arial" w:hint="cs"/>
          <w:rtl/>
        </w:rPr>
        <w:t xml:space="preserve"> רמב"ם </w:t>
      </w:r>
      <w:r w:rsidRPr="00D93BAC">
        <w:rPr>
          <w:rFonts w:cs="Arial"/>
          <w:sz w:val="16"/>
          <w:szCs w:val="16"/>
          <w:rtl/>
        </w:rPr>
        <w:t xml:space="preserve">(פכ"ה </w:t>
      </w:r>
      <w:r>
        <w:rPr>
          <w:rFonts w:cs="Arial" w:hint="cs"/>
          <w:sz w:val="16"/>
          <w:szCs w:val="16"/>
          <w:rtl/>
        </w:rPr>
        <w:t>מאישות ה"ח</w:t>
      </w:r>
      <w:r w:rsidRPr="00D93BAC">
        <w:rPr>
          <w:rFonts w:cs="Arial"/>
          <w:sz w:val="16"/>
          <w:szCs w:val="16"/>
          <w:rtl/>
        </w:rPr>
        <w:t>)</w:t>
      </w:r>
      <w:r>
        <w:rPr>
          <w:rFonts w:cs="Arial" w:hint="cs"/>
          <w:sz w:val="16"/>
          <w:szCs w:val="16"/>
          <w:rtl/>
        </w:rPr>
        <w:t xml:space="preserve"> </w:t>
      </w:r>
      <w:r>
        <w:rPr>
          <w:rFonts w:cs="Arial" w:hint="cs"/>
          <w:rtl/>
        </w:rPr>
        <w:t>ו</w:t>
      </w:r>
      <w:r w:rsidRPr="008E3200">
        <w:rPr>
          <w:rFonts w:cs="Arial" w:hint="cs"/>
          <w:rtl/>
        </w:rPr>
        <w:t xml:space="preserve">טור- </w:t>
      </w:r>
      <w:r w:rsidRPr="008E3200">
        <w:rPr>
          <w:rFonts w:cs="Arial"/>
          <w:rtl/>
        </w:rPr>
        <w:t>אשה שאין לה וסת</w:t>
      </w:r>
      <w:r>
        <w:rPr>
          <w:rFonts w:cs="Arial" w:hint="cs"/>
          <w:rtl/>
        </w:rPr>
        <w:t>,</w:t>
      </w:r>
      <w:r w:rsidRPr="008E3200">
        <w:rPr>
          <w:rFonts w:cs="Arial"/>
          <w:rtl/>
        </w:rPr>
        <w:t xml:space="preserve"> לא תשמש אלא ע"י בדיקה</w:t>
      </w:r>
      <w:r>
        <w:rPr>
          <w:rFonts w:cs="Arial" w:hint="cs"/>
          <w:rtl/>
        </w:rPr>
        <w:t>.</w:t>
      </w:r>
      <w:r w:rsidRPr="008E3200">
        <w:rPr>
          <w:rFonts w:cs="Arial"/>
          <w:rtl/>
        </w:rPr>
        <w:t xml:space="preserve"> כיצד היא הבדיקה</w:t>
      </w:r>
      <w:r>
        <w:rPr>
          <w:rFonts w:cs="Arial" w:hint="cs"/>
          <w:rtl/>
        </w:rPr>
        <w:t>,</w:t>
      </w:r>
      <w:r w:rsidRPr="008E3200">
        <w:rPr>
          <w:rFonts w:cs="Arial"/>
          <w:rtl/>
        </w:rPr>
        <w:t xml:space="preserve"> בודקת קודם תשמיש ומיד אחר תשמיש</w:t>
      </w:r>
      <w:r>
        <w:rPr>
          <w:rFonts w:cs="Arial" w:hint="cs"/>
          <w:rtl/>
        </w:rPr>
        <w:t>.</w:t>
      </w:r>
      <w:r w:rsidRPr="008E3200">
        <w:rPr>
          <w:rFonts w:cs="Arial"/>
          <w:rtl/>
        </w:rPr>
        <w:t xml:space="preserve"> אם נמצא בעד שאחר תשמיש דם בג' תשמישים זה אחר זה</w:t>
      </w:r>
      <w:r>
        <w:rPr>
          <w:rFonts w:cs="Arial" w:hint="cs"/>
          <w:rtl/>
        </w:rPr>
        <w:t xml:space="preserve"> -</w:t>
      </w:r>
      <w:r w:rsidRPr="008E3200">
        <w:rPr>
          <w:rFonts w:cs="Arial"/>
          <w:rtl/>
        </w:rPr>
        <w:t xml:space="preserve"> הוחזקה נדה כל ימיה ויוצאת בלא כתובה</w:t>
      </w:r>
      <w:r>
        <w:rPr>
          <w:rStyle w:val="a7"/>
          <w:rFonts w:cs="Arial"/>
          <w:rtl/>
        </w:rPr>
        <w:footnoteReference w:id="2940"/>
      </w:r>
      <w:r>
        <w:rPr>
          <w:rFonts w:cs="Arial" w:hint="cs"/>
          <w:rtl/>
        </w:rPr>
        <w:t>.</w:t>
      </w:r>
      <w:r w:rsidRPr="008E3200">
        <w:rPr>
          <w:rFonts w:cs="Arial"/>
          <w:rtl/>
        </w:rPr>
        <w:t xml:space="preserve"> ואין לה פירות ולא מזונות ולא בלאות שאינן קיימין</w:t>
      </w:r>
      <w:r>
        <w:rPr>
          <w:rFonts w:cs="Arial" w:hint="cs"/>
          <w:rtl/>
        </w:rPr>
        <w:t>,</w:t>
      </w:r>
      <w:r w:rsidRPr="008E3200">
        <w:rPr>
          <w:rFonts w:cs="Arial"/>
          <w:rtl/>
        </w:rPr>
        <w:t xml:space="preserve"> דלאו בת תשמיש היא</w:t>
      </w:r>
      <w:r>
        <w:rPr>
          <w:rFonts w:cs="Arial" w:hint="cs"/>
          <w:rtl/>
        </w:rPr>
        <w:t>.</w:t>
      </w:r>
      <w:r w:rsidRPr="008E3200">
        <w:rPr>
          <w:rFonts w:cs="Arial"/>
          <w:rtl/>
        </w:rPr>
        <w:t xml:space="preserve"> ויוציא ולא יחזיר עולמית אפילו אם תתרפא</w:t>
      </w:r>
      <w:r>
        <w:rPr>
          <w:rFonts w:cs="Arial" w:hint="cs"/>
          <w:rtl/>
        </w:rPr>
        <w:t>.</w:t>
      </w:r>
      <w:r w:rsidRPr="008E3200">
        <w:rPr>
          <w:rFonts w:cs="Arial"/>
          <w:rtl/>
        </w:rPr>
        <w:t xml:space="preserve"> ומותרת לינשא לאחר כמו שפירשתי בהל' נדה בספר י</w:t>
      </w:r>
      <w:r>
        <w:rPr>
          <w:rFonts w:cs="Arial" w:hint="cs"/>
          <w:rtl/>
        </w:rPr>
        <w:t xml:space="preserve">ורה </w:t>
      </w:r>
      <w:r w:rsidRPr="008E3200">
        <w:rPr>
          <w:rFonts w:cs="Arial"/>
          <w:rtl/>
        </w:rPr>
        <w:t>ד</w:t>
      </w:r>
      <w:r>
        <w:rPr>
          <w:rFonts w:cs="Arial" w:hint="cs"/>
          <w:rtl/>
        </w:rPr>
        <w:t>עה</w:t>
      </w:r>
      <w:r>
        <w:rPr>
          <w:rStyle w:val="a7"/>
          <w:rFonts w:cs="Arial"/>
          <w:rtl/>
        </w:rPr>
        <w:footnoteReference w:id="2941"/>
      </w:r>
      <w:r>
        <w:rPr>
          <w:rFonts w:cs="Arial" w:hint="cs"/>
          <w:sz w:val="16"/>
          <w:szCs w:val="16"/>
          <w:rtl/>
        </w:rPr>
        <w:t xml:space="preserve"> (ל' הטור)</w:t>
      </w:r>
      <w:r>
        <w:rPr>
          <w:rFonts w:cs="Arial" w:hint="cs"/>
          <w:rtl/>
        </w:rPr>
        <w:t>.</w:t>
      </w:r>
      <w:r w:rsidRPr="008E3200">
        <w:rPr>
          <w:rFonts w:cs="Arial"/>
          <w:rtl/>
        </w:rPr>
        <w:t xml:space="preserve"> </w:t>
      </w:r>
      <w:r w:rsidRPr="00544E63">
        <w:rPr>
          <w:rFonts w:hint="cs"/>
          <w:color w:val="E36C0A" w:themeColor="accent6" w:themeShade="BF"/>
          <w:rtl/>
        </w:rPr>
        <w:t>(וכ"פ בשו"ע)</w:t>
      </w:r>
    </w:p>
    <w:p w14:paraId="4B5CE4AB" w14:textId="77777777" w:rsidR="00392DBB" w:rsidRPr="00E45F61" w:rsidRDefault="00392DBB" w:rsidP="009000E3">
      <w:pPr>
        <w:pStyle w:val="ab"/>
        <w:numPr>
          <w:ilvl w:val="0"/>
          <w:numId w:val="72"/>
        </w:numPr>
      </w:pPr>
      <w:r>
        <w:rPr>
          <w:rFonts w:cs="Arial" w:hint="cs"/>
          <w:rtl/>
        </w:rPr>
        <w:t xml:space="preserve">ראבי"ה </w:t>
      </w:r>
      <w:r>
        <w:rPr>
          <w:rFonts w:cs="Arial" w:hint="cs"/>
          <w:sz w:val="16"/>
          <w:szCs w:val="16"/>
          <w:rtl/>
        </w:rPr>
        <w:t>(סי' תתקצד, וכ"כ המרדכי [סי' תשלה], הביאו הדרכ"מ [אות א])</w:t>
      </w:r>
      <w:r>
        <w:rPr>
          <w:rFonts w:cs="Arial" w:hint="cs"/>
          <w:rtl/>
        </w:rPr>
        <w:t xml:space="preserve">- </w:t>
      </w:r>
      <w:r w:rsidRPr="001813F5">
        <w:rPr>
          <w:rFonts w:cs="Arial"/>
          <w:rtl/>
        </w:rPr>
        <w:t>האשה הזאת הרואה אחר טבילתה מחמת תשמיש והורגלה והוחזקה בכך וזאת נהייתה אחרי נישואין, לא הפסידה כתובתה ולא פירות ולא מזונות ולא בלאות.</w:t>
      </w:r>
    </w:p>
    <w:p w14:paraId="45BD59CC" w14:textId="77777777" w:rsidR="00392DBB" w:rsidRPr="00E45F61" w:rsidRDefault="00392DBB" w:rsidP="00392DBB">
      <w:pPr>
        <w:ind w:left="360"/>
        <w:rPr>
          <w:u w:val="dotted"/>
        </w:rPr>
      </w:pPr>
      <w:r w:rsidRPr="00E45F61">
        <w:rPr>
          <w:rFonts w:hint="cs"/>
          <w:u w:val="dotted"/>
          <w:rtl/>
        </w:rPr>
        <w:t>ומה הדין אם שמשה ג' פעמים ולא מצאה דם:</w:t>
      </w:r>
    </w:p>
    <w:p w14:paraId="0C2AD39C" w14:textId="77777777" w:rsidR="00392DBB" w:rsidRPr="004A26E4" w:rsidRDefault="00392DBB" w:rsidP="009000E3">
      <w:pPr>
        <w:pStyle w:val="ab"/>
        <w:numPr>
          <w:ilvl w:val="0"/>
          <w:numId w:val="72"/>
        </w:numPr>
      </w:pPr>
      <w:r>
        <w:rPr>
          <w:rFonts w:cs="Arial" w:hint="cs"/>
          <w:rtl/>
        </w:rPr>
        <w:t xml:space="preserve">רי"ף </w:t>
      </w:r>
      <w:r>
        <w:rPr>
          <w:rFonts w:cs="Arial" w:hint="cs"/>
          <w:sz w:val="16"/>
          <w:szCs w:val="16"/>
          <w:rtl/>
        </w:rPr>
        <w:t>(</w:t>
      </w:r>
      <w:r w:rsidRPr="004A26E4">
        <w:rPr>
          <w:rFonts w:cs="Arial" w:hint="cs"/>
          <w:sz w:val="16"/>
          <w:szCs w:val="16"/>
          <w:rtl/>
        </w:rPr>
        <w:t>כתובות ס:)</w:t>
      </w:r>
      <w:r>
        <w:rPr>
          <w:rFonts w:cs="Arial" w:hint="cs"/>
          <w:rtl/>
        </w:rPr>
        <w:t xml:space="preserve">- </w:t>
      </w:r>
      <w:r w:rsidRPr="008E3200">
        <w:rPr>
          <w:rFonts w:cs="Arial"/>
          <w:rtl/>
        </w:rPr>
        <w:t xml:space="preserve">אם שמשה ג' פעמים ולא מצאה דם </w:t>
      </w:r>
      <w:r>
        <w:rPr>
          <w:rFonts w:cs="Arial" w:hint="cs"/>
          <w:rtl/>
        </w:rPr>
        <w:t xml:space="preserve">- </w:t>
      </w:r>
      <w:r w:rsidRPr="008E3200">
        <w:rPr>
          <w:rFonts w:cs="Arial"/>
          <w:rtl/>
        </w:rPr>
        <w:t>היא ככל הנשים</w:t>
      </w:r>
      <w:r>
        <w:rPr>
          <w:rFonts w:cs="Arial" w:hint="cs"/>
          <w:sz w:val="16"/>
          <w:szCs w:val="16"/>
          <w:rtl/>
        </w:rPr>
        <w:t xml:space="preserve"> (ל' הטור בשמו)</w:t>
      </w:r>
      <w:r>
        <w:rPr>
          <w:rFonts w:cs="Arial" w:hint="cs"/>
          <w:rtl/>
        </w:rPr>
        <w:t>.</w:t>
      </w:r>
      <w:r w:rsidRPr="008E3200">
        <w:rPr>
          <w:rFonts w:cs="Arial"/>
          <w:rtl/>
        </w:rPr>
        <w:t xml:space="preserve"> </w:t>
      </w:r>
    </w:p>
    <w:p w14:paraId="6204BBBF" w14:textId="77777777" w:rsidR="00392DBB" w:rsidRDefault="00392DBB" w:rsidP="009000E3">
      <w:pPr>
        <w:pStyle w:val="ab"/>
        <w:numPr>
          <w:ilvl w:val="0"/>
          <w:numId w:val="72"/>
        </w:numPr>
      </w:pPr>
      <w:r>
        <w:rPr>
          <w:rFonts w:cs="Arial" w:hint="cs"/>
          <w:rtl/>
        </w:rPr>
        <w:t>רמב"ם ורא"ש</w:t>
      </w:r>
      <w:r>
        <w:rPr>
          <w:rFonts w:cs="Arial" w:hint="cs"/>
          <w:sz w:val="16"/>
          <w:szCs w:val="16"/>
          <w:rtl/>
        </w:rPr>
        <w:t xml:space="preserve"> (כ"כ הטור בשמם)</w:t>
      </w:r>
      <w:r>
        <w:rPr>
          <w:rFonts w:cs="Arial" w:hint="cs"/>
          <w:rtl/>
        </w:rPr>
        <w:t xml:space="preserve">- </w:t>
      </w:r>
      <w:r w:rsidRPr="008E3200">
        <w:rPr>
          <w:rFonts w:cs="Arial"/>
          <w:rtl/>
        </w:rPr>
        <w:t>לעולם לא תשמש בלא בדיקה</w:t>
      </w:r>
      <w:r>
        <w:rPr>
          <w:rFonts w:cs="Arial" w:hint="cs"/>
          <w:rtl/>
        </w:rPr>
        <w:t>.</w:t>
      </w:r>
      <w:r w:rsidRPr="008E3200">
        <w:rPr>
          <w:rFonts w:cs="Arial"/>
          <w:rtl/>
        </w:rPr>
        <w:t xml:space="preserve"> </w:t>
      </w:r>
    </w:p>
    <w:p w14:paraId="6AA37171" w14:textId="77777777" w:rsidR="00392DBB" w:rsidRPr="007D071A" w:rsidRDefault="00392DBB" w:rsidP="009000E3">
      <w:pPr>
        <w:pStyle w:val="ab"/>
        <w:numPr>
          <w:ilvl w:val="1"/>
          <w:numId w:val="72"/>
        </w:numPr>
        <w:rPr>
          <w:rtl/>
        </w:rPr>
      </w:pPr>
      <w:r>
        <w:rPr>
          <w:rFonts w:hint="cs"/>
          <w:rtl/>
        </w:rPr>
        <w:t xml:space="preserve">ב"י- </w:t>
      </w:r>
      <w:r>
        <w:rPr>
          <w:rFonts w:cs="Arial"/>
          <w:rtl/>
        </w:rPr>
        <w:t>נתבאר בארוכה בטור יורה דעה סימן קפ"ו</w:t>
      </w:r>
      <w:r>
        <w:rPr>
          <w:rFonts w:cs="Arial" w:hint="cs"/>
          <w:rtl/>
        </w:rPr>
        <w:t xml:space="preserve"> </w:t>
      </w:r>
      <w:r w:rsidRPr="00D93BAC">
        <w:rPr>
          <w:rFonts w:cs="Arial" w:hint="cs"/>
          <w:sz w:val="16"/>
          <w:szCs w:val="16"/>
          <w:rtl/>
        </w:rPr>
        <w:t>(סע' ב)</w:t>
      </w:r>
      <w:r>
        <w:rPr>
          <w:rFonts w:cs="Arial" w:hint="cs"/>
          <w:rtl/>
        </w:rPr>
        <w:t>.</w:t>
      </w:r>
    </w:p>
    <w:p w14:paraId="1B43DAD6" w14:textId="77777777" w:rsidR="00392DBB" w:rsidRPr="00593A25" w:rsidRDefault="00392DBB" w:rsidP="00392DBB">
      <w:pPr>
        <w:rPr>
          <w:rFonts w:cs="Arial"/>
        </w:rPr>
      </w:pPr>
      <w:r w:rsidRPr="00593A25">
        <w:rPr>
          <w:rFonts w:cs="Arial" w:hint="cs"/>
          <w:b/>
          <w:bCs/>
          <w:rtl/>
        </w:rPr>
        <w:t xml:space="preserve">כתובות </w:t>
      </w:r>
      <w:r w:rsidRPr="00593A25">
        <w:rPr>
          <w:rFonts w:cs="Arial" w:hint="cs"/>
          <w:b/>
          <w:bCs/>
          <w:sz w:val="16"/>
          <w:szCs w:val="16"/>
          <w:rtl/>
        </w:rPr>
        <w:t xml:space="preserve">(רפ"ק) </w:t>
      </w:r>
      <w:r w:rsidRPr="00593A25">
        <w:rPr>
          <w:rFonts w:cs="Arial" w:hint="cs"/>
          <w:b/>
          <w:bCs/>
          <w:rtl/>
        </w:rPr>
        <w:t xml:space="preserve">ב ע"א: </w:t>
      </w:r>
      <w:r w:rsidRPr="00593A25">
        <w:rPr>
          <w:rFonts w:cs="Arial"/>
          <w:rtl/>
        </w:rPr>
        <w:t>חלתה היא, מהו? מצי אמר לה אנא הא קאימנא, או דלמא מציא אמרה ליה נסתחפה שדהו? ואם תמצי לומר: אמרה ליה נסתחפה שדהו, פירסה נדה, מהו? בשעת ווסתה לא תיבעי לך</w:t>
      </w:r>
      <w:r w:rsidRPr="00593A25">
        <w:rPr>
          <w:rFonts w:cs="Arial" w:hint="cs"/>
          <w:sz w:val="14"/>
          <w:szCs w:val="14"/>
          <w:rtl/>
        </w:rPr>
        <w:t xml:space="preserve"> (ב:) </w:t>
      </w:r>
      <w:r w:rsidRPr="00593A25">
        <w:rPr>
          <w:rFonts w:cs="Arial" w:hint="cs"/>
          <w:rtl/>
        </w:rPr>
        <w:t xml:space="preserve">- </w:t>
      </w:r>
      <w:r w:rsidRPr="00593A25">
        <w:rPr>
          <w:rFonts w:cs="Arial"/>
          <w:rtl/>
        </w:rPr>
        <w:t>דלא מציא אמרה ליה נסתחפה שדהו, כי תיבעי לך - שלא בשעת ווסתה מאי? כיון דלא בשעת ווסתה הויא, מציא אמרה ליה נסתחפה שדהו, או דלמא כיון דאיכא נשי דקא משנייא ווסתייהו, כשעת ווסתה דמי?</w:t>
      </w:r>
      <w:r w:rsidRPr="00593A25">
        <w:rPr>
          <w:rFonts w:cs="Arial" w:hint="cs"/>
          <w:rtl/>
        </w:rPr>
        <w:t>...</w:t>
      </w:r>
    </w:p>
    <w:p w14:paraId="152F14F8" w14:textId="56323D47" w:rsidR="00392DBB" w:rsidRDefault="00392DBB" w:rsidP="00392DBB">
      <w:pPr>
        <w:rPr>
          <w:u w:val="single"/>
          <w:rtl/>
        </w:rPr>
      </w:pPr>
      <w:r w:rsidRPr="00593A25">
        <w:rPr>
          <w:rFonts w:cs="Arial" w:hint="cs"/>
          <w:b/>
          <w:bCs/>
          <w:rtl/>
        </w:rPr>
        <w:t xml:space="preserve">כתובות </w:t>
      </w:r>
      <w:r w:rsidRPr="00593A25">
        <w:rPr>
          <w:rFonts w:cs="Arial" w:hint="cs"/>
          <w:b/>
          <w:bCs/>
          <w:sz w:val="16"/>
          <w:szCs w:val="16"/>
          <w:rtl/>
        </w:rPr>
        <w:t xml:space="preserve">(פ' המדיר) </w:t>
      </w:r>
      <w:r w:rsidRPr="00593A25">
        <w:rPr>
          <w:rFonts w:cs="Arial" w:hint="cs"/>
          <w:b/>
          <w:bCs/>
          <w:rtl/>
        </w:rPr>
        <w:t xml:space="preserve">עה ע"א: </w:t>
      </w:r>
      <w:r w:rsidRPr="00593A25">
        <w:rPr>
          <w:rFonts w:cs="Arial"/>
          <w:u w:val="double"/>
          <w:rtl/>
        </w:rPr>
        <w:t>מתני'</w:t>
      </w:r>
      <w:r w:rsidRPr="00593A25">
        <w:rPr>
          <w:rFonts w:cs="Arial" w:hint="cs"/>
          <w:rtl/>
        </w:rPr>
        <w:t>:</w:t>
      </w:r>
      <w:r w:rsidRPr="00593A25">
        <w:rPr>
          <w:rFonts w:cs="Arial"/>
          <w:rtl/>
        </w:rPr>
        <w:t xml:space="preserve"> היו בה מומין ועודה בבית אביה - האב צריך להביא ראיה שמשנתארסה היו בה מומין הללו, ונסתחפה שדהו</w:t>
      </w:r>
      <w:r w:rsidR="000F694F">
        <w:rPr>
          <w:rFonts w:cs="Arial" w:hint="cs"/>
          <w:rtl/>
        </w:rPr>
        <w:t>.</w:t>
      </w:r>
      <w:r w:rsidRPr="00593A25">
        <w:rPr>
          <w:rFonts w:cs="Arial"/>
          <w:rtl/>
        </w:rPr>
        <w:t xml:space="preserve"> נכנסה לרשות הבעל - הבעל צריך להביא ראיה שעד שלא נתארסה היו בה מומין אלו, </w:t>
      </w:r>
      <w:r w:rsidRPr="00593A25">
        <w:rPr>
          <w:rFonts w:cs="Arial"/>
          <w:rtl/>
        </w:rPr>
        <w:lastRenderedPageBreak/>
        <w:t xml:space="preserve">והיה מקחו מקח טעות, </w:t>
      </w:r>
      <w:r w:rsidRPr="000F694F">
        <w:rPr>
          <w:rFonts w:cs="Arial"/>
          <w:u w:val="single"/>
          <w:rtl/>
        </w:rPr>
        <w:t>דברי ר"מ</w:t>
      </w:r>
      <w:r w:rsidRPr="00593A25">
        <w:rPr>
          <w:rFonts w:cs="Arial"/>
          <w:rtl/>
        </w:rPr>
        <w:t xml:space="preserve">; </w:t>
      </w:r>
      <w:r w:rsidRPr="000F694F">
        <w:rPr>
          <w:rFonts w:cs="Arial"/>
          <w:u w:val="single"/>
          <w:rtl/>
        </w:rPr>
        <w:t>וחכמים אומרים</w:t>
      </w:r>
      <w:r w:rsidRPr="00593A25">
        <w:rPr>
          <w:rFonts w:cs="Arial"/>
          <w:rtl/>
        </w:rPr>
        <w:t>: במה דברים אמורים - במומין שבסתר,</w:t>
      </w:r>
      <w:r w:rsidR="000F694F">
        <w:rPr>
          <w:rFonts w:hint="cs"/>
          <w:sz w:val="14"/>
          <w:szCs w:val="14"/>
          <w:rtl/>
        </w:rPr>
        <w:t xml:space="preserve"> </w:t>
      </w:r>
      <w:r w:rsidRPr="00593A25">
        <w:rPr>
          <w:rFonts w:hint="cs"/>
          <w:sz w:val="14"/>
          <w:szCs w:val="14"/>
          <w:rtl/>
        </w:rPr>
        <w:t>(עה:)</w:t>
      </w:r>
      <w:r w:rsidRPr="00593A25">
        <w:rPr>
          <w:rtl/>
        </w:rPr>
        <w:t xml:space="preserve"> </w:t>
      </w:r>
      <w:r w:rsidRPr="00593A25">
        <w:rPr>
          <w:rFonts w:cs="Arial"/>
          <w:rtl/>
        </w:rPr>
        <w:t>אבל במומין שבגלוי - אינו יכול לטעון.</w:t>
      </w:r>
    </w:p>
    <w:p w14:paraId="4A441DAC" w14:textId="47CA9FA9" w:rsidR="00392DBB" w:rsidRPr="007D071A" w:rsidRDefault="00392DBB" w:rsidP="00392DBB">
      <w:pPr>
        <w:rPr>
          <w:u w:val="single"/>
        </w:rPr>
      </w:pPr>
      <w:r w:rsidRPr="007D071A">
        <w:rPr>
          <w:rFonts w:hint="cs"/>
          <w:u w:val="single"/>
          <w:rtl/>
        </w:rPr>
        <w:t>אשה שבתחילה לא ראתה מחמת תשמיש</w:t>
      </w:r>
      <w:r w:rsidR="00DA66C2">
        <w:rPr>
          <w:rFonts w:hint="cs"/>
          <w:u w:val="single"/>
          <w:rtl/>
        </w:rPr>
        <w:t>,</w:t>
      </w:r>
      <w:r w:rsidRPr="007D071A">
        <w:rPr>
          <w:rFonts w:hint="cs"/>
          <w:u w:val="single"/>
          <w:rtl/>
        </w:rPr>
        <w:t xml:space="preserve"> ואח"כ התחילה להיות רואה מחמת תשמיש</w:t>
      </w:r>
      <w:r w:rsidRPr="007D071A">
        <w:rPr>
          <w:rFonts w:hint="cs"/>
          <w:sz w:val="16"/>
          <w:szCs w:val="16"/>
          <w:u w:val="single"/>
          <w:rtl/>
        </w:rPr>
        <w:t xml:space="preserve"> (וכן שאר מומים שנתגלו אח"כ)</w:t>
      </w:r>
      <w:r w:rsidRPr="007D071A">
        <w:rPr>
          <w:rFonts w:hint="cs"/>
          <w:u w:val="single"/>
          <w:rtl/>
        </w:rPr>
        <w:t>:</w:t>
      </w:r>
    </w:p>
    <w:p w14:paraId="32333670" w14:textId="7F002CDF" w:rsidR="00392DBB" w:rsidRPr="00967E8D" w:rsidRDefault="00392DBB" w:rsidP="009000E3">
      <w:pPr>
        <w:pStyle w:val="ab"/>
        <w:numPr>
          <w:ilvl w:val="0"/>
          <w:numId w:val="72"/>
        </w:numPr>
      </w:pPr>
      <w:r>
        <w:rPr>
          <w:rFonts w:cs="Arial" w:hint="cs"/>
          <w:rtl/>
        </w:rPr>
        <w:t xml:space="preserve">רמב"ם </w:t>
      </w:r>
      <w:r w:rsidRPr="00D93BAC">
        <w:rPr>
          <w:rFonts w:cs="Arial"/>
          <w:sz w:val="16"/>
          <w:szCs w:val="16"/>
          <w:rtl/>
        </w:rPr>
        <w:t xml:space="preserve">(פכ"ה </w:t>
      </w:r>
      <w:r>
        <w:rPr>
          <w:rFonts w:cs="Arial" w:hint="cs"/>
          <w:sz w:val="16"/>
          <w:szCs w:val="16"/>
          <w:rtl/>
        </w:rPr>
        <w:t xml:space="preserve">מאישות </w:t>
      </w:r>
      <w:r w:rsidRPr="00D93BAC">
        <w:rPr>
          <w:rFonts w:cs="Arial"/>
          <w:sz w:val="16"/>
          <w:szCs w:val="16"/>
          <w:rtl/>
        </w:rPr>
        <w:t>ה</w:t>
      </w:r>
      <w:r>
        <w:rPr>
          <w:rFonts w:cs="Arial" w:hint="cs"/>
          <w:sz w:val="16"/>
          <w:szCs w:val="16"/>
          <w:rtl/>
        </w:rPr>
        <w:t>"</w:t>
      </w:r>
      <w:r w:rsidRPr="00D93BAC">
        <w:rPr>
          <w:rFonts w:cs="Arial"/>
          <w:sz w:val="16"/>
          <w:szCs w:val="16"/>
          <w:rtl/>
        </w:rPr>
        <w:t>ט-י)</w:t>
      </w:r>
      <w:r>
        <w:rPr>
          <w:rFonts w:cs="Arial" w:hint="cs"/>
          <w:sz w:val="16"/>
          <w:szCs w:val="16"/>
          <w:rtl/>
        </w:rPr>
        <w:t xml:space="preserve"> </w:t>
      </w:r>
      <w:r>
        <w:rPr>
          <w:rFonts w:cs="Arial" w:hint="cs"/>
          <w:rtl/>
        </w:rPr>
        <w:t xml:space="preserve">וטור- </w:t>
      </w:r>
      <w:r w:rsidRPr="002E7886">
        <w:rPr>
          <w:rFonts w:cs="Arial"/>
          <w:rtl/>
        </w:rPr>
        <w:t>בד"א בשהיתה כך מתחלת נישואיה ומבעילה ראשונה ראת דם</w:t>
      </w:r>
      <w:r w:rsidR="00DA66C2">
        <w:rPr>
          <w:rFonts w:cs="Arial" w:hint="cs"/>
          <w:rtl/>
        </w:rPr>
        <w:t>.</w:t>
      </w:r>
      <w:r w:rsidRPr="002E7886">
        <w:rPr>
          <w:rFonts w:cs="Arial"/>
          <w:rtl/>
        </w:rPr>
        <w:t xml:space="preserve"> אבל אם אירע לה חולי זה אחר שנשאת </w:t>
      </w:r>
      <w:r w:rsidR="00DA66C2">
        <w:rPr>
          <w:rFonts w:cs="Arial" w:hint="cs"/>
          <w:rtl/>
        </w:rPr>
        <w:t xml:space="preserve">- </w:t>
      </w:r>
      <w:r w:rsidRPr="002E7886">
        <w:rPr>
          <w:rFonts w:cs="Arial"/>
          <w:rtl/>
        </w:rPr>
        <w:t>נסתחפה שדהו</w:t>
      </w:r>
      <w:r w:rsidR="00DA66C2">
        <w:rPr>
          <w:rFonts w:cs="Arial" w:hint="cs"/>
          <w:rtl/>
        </w:rPr>
        <w:t>.</w:t>
      </w:r>
      <w:r w:rsidRPr="002E7886">
        <w:rPr>
          <w:rFonts w:cs="Arial"/>
          <w:rtl/>
        </w:rPr>
        <w:t xml:space="preserve"> לפיכך</w:t>
      </w:r>
      <w:r w:rsidR="00DA66C2">
        <w:rPr>
          <w:rFonts w:cs="Arial" w:hint="cs"/>
          <w:rtl/>
        </w:rPr>
        <w:t>,</w:t>
      </w:r>
      <w:r w:rsidRPr="002E7886">
        <w:rPr>
          <w:rFonts w:cs="Arial"/>
          <w:rtl/>
        </w:rPr>
        <w:t xml:space="preserve"> אם בעל פעם אחת ולא נמצא דם</w:t>
      </w:r>
      <w:r w:rsidR="00DA66C2">
        <w:rPr>
          <w:rFonts w:cs="Arial" w:hint="cs"/>
          <w:rtl/>
        </w:rPr>
        <w:t>,</w:t>
      </w:r>
      <w:r w:rsidRPr="002E7886">
        <w:rPr>
          <w:rFonts w:cs="Arial"/>
          <w:rtl/>
        </w:rPr>
        <w:t xml:space="preserve"> ואח</w:t>
      </w:r>
      <w:r w:rsidR="00DA66C2">
        <w:rPr>
          <w:rFonts w:cs="Arial" w:hint="cs"/>
          <w:rtl/>
        </w:rPr>
        <w:t>"</w:t>
      </w:r>
      <w:r w:rsidRPr="002E7886">
        <w:rPr>
          <w:rFonts w:cs="Arial"/>
          <w:rtl/>
        </w:rPr>
        <w:t xml:space="preserve">כ חזרה להיות רואה דם בכל עת תשמיש </w:t>
      </w:r>
      <w:r w:rsidR="00DA66C2">
        <w:rPr>
          <w:rFonts w:cs="Arial" w:hint="cs"/>
          <w:rtl/>
        </w:rPr>
        <w:t xml:space="preserve">- </w:t>
      </w:r>
      <w:r w:rsidRPr="002E7886">
        <w:rPr>
          <w:rFonts w:cs="Arial"/>
          <w:rtl/>
        </w:rPr>
        <w:t>יוציא ויתן כתובה כולה ולא יחזיר עולמית כמו שביארנו. וכן כל אשה שנולדו בה מומין אחר שנשאת</w:t>
      </w:r>
      <w:r w:rsidR="00DA66C2">
        <w:rPr>
          <w:rFonts w:cs="Arial" w:hint="cs"/>
          <w:rtl/>
        </w:rPr>
        <w:t>,</w:t>
      </w:r>
      <w:r w:rsidRPr="002E7886">
        <w:rPr>
          <w:rFonts w:cs="Arial"/>
          <w:rtl/>
        </w:rPr>
        <w:t xml:space="preserve"> אפילו נעשית מוכת שחין</w:t>
      </w:r>
      <w:r w:rsidR="00DA66C2">
        <w:rPr>
          <w:rFonts w:cs="Arial" w:hint="cs"/>
          <w:rtl/>
        </w:rPr>
        <w:t>,</w:t>
      </w:r>
      <w:r w:rsidRPr="002E7886">
        <w:rPr>
          <w:rFonts w:cs="Arial"/>
          <w:rtl/>
        </w:rPr>
        <w:t xml:space="preserve"> אם רצה לקיים </w:t>
      </w:r>
      <w:r w:rsidR="00834204">
        <w:rPr>
          <w:rFonts w:cs="Arial" w:hint="cs"/>
          <w:rtl/>
        </w:rPr>
        <w:t xml:space="preserve">- </w:t>
      </w:r>
      <w:r w:rsidRPr="002E7886">
        <w:rPr>
          <w:rFonts w:cs="Arial"/>
          <w:rtl/>
        </w:rPr>
        <w:t>יקיים</w:t>
      </w:r>
      <w:r w:rsidR="00834204">
        <w:rPr>
          <w:rFonts w:cs="Arial" w:hint="cs"/>
          <w:rtl/>
        </w:rPr>
        <w:t>,</w:t>
      </w:r>
      <w:r w:rsidRPr="002E7886">
        <w:rPr>
          <w:rFonts w:cs="Arial"/>
          <w:rtl/>
        </w:rPr>
        <w:t xml:space="preserve"> ואם רצה להוציא </w:t>
      </w:r>
      <w:r w:rsidR="00834204">
        <w:rPr>
          <w:rFonts w:cs="Arial" w:hint="cs"/>
          <w:rtl/>
        </w:rPr>
        <w:t xml:space="preserve">- </w:t>
      </w:r>
      <w:r w:rsidRPr="002E7886">
        <w:rPr>
          <w:rFonts w:cs="Arial"/>
          <w:rtl/>
        </w:rPr>
        <w:t>יתן כתובה</w:t>
      </w:r>
      <w:r>
        <w:rPr>
          <w:rFonts w:cs="Arial" w:hint="cs"/>
          <w:sz w:val="16"/>
          <w:szCs w:val="16"/>
          <w:rtl/>
        </w:rPr>
        <w:t xml:space="preserve"> (ל' הרמב"ם)</w:t>
      </w:r>
      <w:r w:rsidRPr="002E7886">
        <w:rPr>
          <w:rFonts w:cs="Arial" w:hint="cs"/>
          <w:rtl/>
        </w:rPr>
        <w:t>.</w:t>
      </w:r>
      <w:r w:rsidRPr="00F25143">
        <w:rPr>
          <w:rFonts w:hint="cs"/>
          <w:color w:val="E36C0A" w:themeColor="accent6" w:themeShade="BF"/>
          <w:rtl/>
        </w:rPr>
        <w:t xml:space="preserve"> </w:t>
      </w:r>
      <w:r w:rsidRPr="00544E63">
        <w:rPr>
          <w:rFonts w:hint="cs"/>
          <w:color w:val="E36C0A" w:themeColor="accent6" w:themeShade="BF"/>
          <w:rtl/>
        </w:rPr>
        <w:t>(וכ"פ בשו"ע)</w:t>
      </w:r>
    </w:p>
    <w:p w14:paraId="71BC3030" w14:textId="77777777" w:rsidR="00392DBB" w:rsidRPr="00967E8D" w:rsidRDefault="00392DBB" w:rsidP="00392DBB">
      <w:pPr>
        <w:rPr>
          <w:u w:val="single"/>
        </w:rPr>
      </w:pPr>
      <w:r w:rsidRPr="00967E8D">
        <w:rPr>
          <w:rFonts w:hint="cs"/>
          <w:u w:val="single"/>
          <w:rtl/>
        </w:rPr>
        <w:t xml:space="preserve">מתי אוסרים על הבעל להחזיר את אשתו שנתרפאת: </w:t>
      </w:r>
    </w:p>
    <w:p w14:paraId="5B91A8E8" w14:textId="5CEF4814" w:rsidR="00392DBB" w:rsidRPr="00F25143" w:rsidRDefault="00392DBB" w:rsidP="009000E3">
      <w:pPr>
        <w:pStyle w:val="ab"/>
        <w:numPr>
          <w:ilvl w:val="0"/>
          <w:numId w:val="72"/>
        </w:numPr>
      </w:pPr>
      <w:r w:rsidRPr="00967E8D">
        <w:rPr>
          <w:rFonts w:cs="Arial"/>
          <w:rtl/>
        </w:rPr>
        <w:t xml:space="preserve">ר"ן </w:t>
      </w:r>
      <w:r w:rsidRPr="00967E8D">
        <w:rPr>
          <w:rFonts w:cs="Arial" w:hint="cs"/>
          <w:sz w:val="16"/>
          <w:szCs w:val="16"/>
          <w:rtl/>
        </w:rPr>
        <w:t>(</w:t>
      </w:r>
      <w:r w:rsidRPr="00967E8D">
        <w:rPr>
          <w:rFonts w:cs="Arial"/>
          <w:sz w:val="16"/>
          <w:szCs w:val="16"/>
          <w:rtl/>
        </w:rPr>
        <w:t>שבועות ב. ד"ה ומיהו)</w:t>
      </w:r>
      <w:r w:rsidRPr="00967E8D">
        <w:rPr>
          <w:rFonts w:cs="Arial" w:hint="cs"/>
          <w:rtl/>
        </w:rPr>
        <w:t>-</w:t>
      </w:r>
      <w:r w:rsidRPr="00967E8D">
        <w:rPr>
          <w:rFonts w:cs="Arial"/>
          <w:rtl/>
        </w:rPr>
        <w:t xml:space="preserve"> כי אמרינן דלא יחזיר עולמית</w:t>
      </w:r>
      <w:r w:rsidRPr="00967E8D">
        <w:rPr>
          <w:rFonts w:cs="Arial" w:hint="cs"/>
          <w:rtl/>
        </w:rPr>
        <w:t>,</w:t>
      </w:r>
      <w:r w:rsidRPr="00967E8D">
        <w:rPr>
          <w:rFonts w:cs="Arial"/>
          <w:rtl/>
        </w:rPr>
        <w:t xml:space="preserve"> דוקא בדאמר לה </w:t>
      </w:r>
      <w:r w:rsidRPr="00967E8D">
        <w:rPr>
          <w:rFonts w:cs="Arial" w:hint="cs"/>
          <w:rtl/>
        </w:rPr>
        <w:t>'</w:t>
      </w:r>
      <w:r w:rsidRPr="00967E8D">
        <w:rPr>
          <w:rFonts w:cs="Arial"/>
          <w:rtl/>
        </w:rPr>
        <w:t>הוי יודעת דמשום דאין לך וסת אני מגרשך ואי לא לא הייתי מגרשך</w:t>
      </w:r>
      <w:r w:rsidRPr="00967E8D">
        <w:rPr>
          <w:rFonts w:cs="Arial" w:hint="cs"/>
          <w:rtl/>
        </w:rPr>
        <w:t>',</w:t>
      </w:r>
      <w:r w:rsidRPr="00967E8D">
        <w:rPr>
          <w:rFonts w:cs="Arial"/>
          <w:rtl/>
        </w:rPr>
        <w:t xml:space="preserve"> ובכה"ג אי שרית ליה לאהדורא מצי לקלקולה</w:t>
      </w:r>
      <w:r w:rsidRPr="00967E8D">
        <w:rPr>
          <w:rFonts w:cs="Arial" w:hint="cs"/>
          <w:rtl/>
        </w:rPr>
        <w:t>.</w:t>
      </w:r>
      <w:r w:rsidRPr="00967E8D">
        <w:rPr>
          <w:rFonts w:cs="Arial"/>
          <w:rtl/>
        </w:rPr>
        <w:t xml:space="preserve"> הא לאו הכי</w:t>
      </w:r>
      <w:r w:rsidR="00387F6B">
        <w:rPr>
          <w:rFonts w:cs="Arial" w:hint="cs"/>
          <w:rtl/>
        </w:rPr>
        <w:t>,</w:t>
      </w:r>
      <w:r w:rsidRPr="00967E8D">
        <w:rPr>
          <w:rFonts w:cs="Arial"/>
          <w:rtl/>
        </w:rPr>
        <w:t xml:space="preserve"> לא מצי לקלקולה</w:t>
      </w:r>
      <w:r>
        <w:rPr>
          <w:rStyle w:val="a7"/>
          <w:rFonts w:cs="Arial"/>
          <w:rtl/>
        </w:rPr>
        <w:footnoteReference w:id="2942"/>
      </w:r>
      <w:r w:rsidRPr="00967E8D">
        <w:rPr>
          <w:rFonts w:cs="Arial"/>
          <w:rtl/>
        </w:rPr>
        <w:t xml:space="preserve"> לרבי מאיר דבעי תנאי כפול</w:t>
      </w:r>
      <w:r>
        <w:rPr>
          <w:rFonts w:cs="Arial" w:hint="cs"/>
          <w:rtl/>
        </w:rPr>
        <w:t>.</w:t>
      </w:r>
      <w:r w:rsidRPr="00967E8D">
        <w:rPr>
          <w:rFonts w:cs="Arial"/>
          <w:rtl/>
        </w:rPr>
        <w:t xml:space="preserve"> דתנן בפרק השולח (גיטין מו:) המוציא את אשתו משום אילונית</w:t>
      </w:r>
      <w:r w:rsidRPr="00967E8D">
        <w:rPr>
          <w:rFonts w:cs="Arial" w:hint="cs"/>
          <w:rtl/>
        </w:rPr>
        <w:t>,</w:t>
      </w:r>
      <w:r w:rsidRPr="00967E8D">
        <w:rPr>
          <w:rFonts w:cs="Arial"/>
          <w:rtl/>
        </w:rPr>
        <w:t xml:space="preserve"> רבי יהודה אומר לא יחזיר</w:t>
      </w:r>
      <w:r w:rsidRPr="00967E8D">
        <w:rPr>
          <w:rFonts w:cs="Arial" w:hint="cs"/>
          <w:rtl/>
        </w:rPr>
        <w:t>.</w:t>
      </w:r>
      <w:r w:rsidRPr="00967E8D">
        <w:rPr>
          <w:rFonts w:cs="Arial"/>
          <w:rtl/>
        </w:rPr>
        <w:t xml:space="preserve"> וחכמים אומרים יחזיר</w:t>
      </w:r>
      <w:r w:rsidRPr="00967E8D">
        <w:rPr>
          <w:rFonts w:cs="Arial" w:hint="cs"/>
          <w:rtl/>
        </w:rPr>
        <w:t>.</w:t>
      </w:r>
      <w:r w:rsidRPr="00967E8D">
        <w:rPr>
          <w:rFonts w:cs="Arial"/>
          <w:rtl/>
        </w:rPr>
        <w:t xml:space="preserve"> ואמרינן עלה בגמרא מאן חכמים</w:t>
      </w:r>
      <w:r w:rsidRPr="00967E8D">
        <w:rPr>
          <w:rFonts w:cs="Arial" w:hint="cs"/>
          <w:rtl/>
        </w:rPr>
        <w:t>,</w:t>
      </w:r>
      <w:r w:rsidRPr="00967E8D">
        <w:rPr>
          <w:rFonts w:cs="Arial"/>
          <w:rtl/>
        </w:rPr>
        <w:t xml:space="preserve"> רבי מאיר</w:t>
      </w:r>
      <w:r w:rsidRPr="00967E8D">
        <w:rPr>
          <w:rFonts w:cs="Arial" w:hint="cs"/>
          <w:rtl/>
        </w:rPr>
        <w:t>,</w:t>
      </w:r>
      <w:r w:rsidRPr="00967E8D">
        <w:rPr>
          <w:rFonts w:cs="Arial"/>
          <w:rtl/>
        </w:rPr>
        <w:t xml:space="preserve"> וטעמא משום דכיון דלא כפליה לתנאיה לא מצי לקלקולה</w:t>
      </w:r>
      <w:r w:rsidRPr="00967E8D">
        <w:rPr>
          <w:rFonts w:cs="Arial" w:hint="cs"/>
          <w:rtl/>
        </w:rPr>
        <w:t>.</w:t>
      </w:r>
      <w:r w:rsidRPr="00967E8D">
        <w:rPr>
          <w:rFonts w:cs="Arial"/>
          <w:rtl/>
        </w:rPr>
        <w:t xml:space="preserve"> ולרבנן נמי דלא בעו תנאי כפול הכא דוקא כשאמר לה </w:t>
      </w:r>
      <w:r w:rsidRPr="00967E8D">
        <w:rPr>
          <w:rFonts w:cs="Arial" w:hint="cs"/>
          <w:rtl/>
        </w:rPr>
        <w:t>'</w:t>
      </w:r>
      <w:r w:rsidRPr="00967E8D">
        <w:rPr>
          <w:rFonts w:cs="Arial"/>
          <w:rtl/>
        </w:rPr>
        <w:t>משום כך אני מוציאך</w:t>
      </w:r>
      <w:r w:rsidRPr="00967E8D">
        <w:rPr>
          <w:rFonts w:cs="Arial" w:hint="cs"/>
          <w:rtl/>
        </w:rPr>
        <w:t>',</w:t>
      </w:r>
      <w:r w:rsidRPr="00967E8D">
        <w:rPr>
          <w:rFonts w:cs="Arial"/>
          <w:rtl/>
        </w:rPr>
        <w:t xml:space="preserve"> אבל גירש סתם יכול הוא להחזיר דהא לא מצי לקלקולה</w:t>
      </w:r>
      <w:r w:rsidRPr="00967E8D">
        <w:rPr>
          <w:rFonts w:cs="Arial" w:hint="cs"/>
          <w:rtl/>
        </w:rPr>
        <w:t>,</w:t>
      </w:r>
      <w:r w:rsidRPr="00967E8D">
        <w:rPr>
          <w:rFonts w:cs="Arial"/>
          <w:rtl/>
        </w:rPr>
        <w:t xml:space="preserve"> וכענין שאמרו שם גבי אילונית</w:t>
      </w:r>
      <w:r w:rsidRPr="00967E8D">
        <w:rPr>
          <w:rFonts w:cs="Arial" w:hint="cs"/>
          <w:rtl/>
        </w:rPr>
        <w:t>.</w:t>
      </w:r>
      <w:r w:rsidRPr="00967E8D">
        <w:rPr>
          <w:rFonts w:cs="Arial"/>
          <w:rtl/>
        </w:rPr>
        <w:t xml:space="preserve"> ואחרים אומרים דהכא אפילו לא אמר </w:t>
      </w:r>
      <w:r w:rsidR="001376C3">
        <w:rPr>
          <w:rFonts w:cs="Arial" w:hint="cs"/>
          <w:rtl/>
        </w:rPr>
        <w:t xml:space="preserve">- </w:t>
      </w:r>
      <w:r w:rsidRPr="00967E8D">
        <w:rPr>
          <w:rFonts w:cs="Arial"/>
          <w:rtl/>
        </w:rPr>
        <w:t>לא מצי לקלקולה</w:t>
      </w:r>
      <w:r w:rsidR="002F19D4">
        <w:rPr>
          <w:rFonts w:cs="Arial" w:hint="cs"/>
          <w:rtl/>
        </w:rPr>
        <w:t>,</w:t>
      </w:r>
      <w:r w:rsidRPr="00967E8D">
        <w:rPr>
          <w:rFonts w:cs="Arial"/>
          <w:rtl/>
        </w:rPr>
        <w:t xml:space="preserve"> לפי שהדבר ידוע שאין אדם משהא אשה שהיא אסורה לשמש</w:t>
      </w:r>
      <w:r w:rsidRPr="00967E8D">
        <w:rPr>
          <w:rFonts w:cs="Arial" w:hint="cs"/>
          <w:rtl/>
        </w:rPr>
        <w:t>,</w:t>
      </w:r>
      <w:r w:rsidRPr="00967E8D">
        <w:rPr>
          <w:rFonts w:cs="Arial"/>
          <w:rtl/>
        </w:rPr>
        <w:t xml:space="preserve"> הילכך סתמו כפירושו</w:t>
      </w:r>
      <w:r w:rsidRPr="00967E8D">
        <w:rPr>
          <w:rFonts w:cs="Arial" w:hint="cs"/>
          <w:rtl/>
        </w:rPr>
        <w:t>.</w:t>
      </w:r>
      <w:r w:rsidRPr="00967E8D">
        <w:rPr>
          <w:rFonts w:cs="Arial"/>
          <w:rtl/>
        </w:rPr>
        <w:t xml:space="preserve"> אבל התם כל שלא פירש אין הדבר מוכיח שמפני כך גירשה</w:t>
      </w:r>
      <w:r w:rsidRPr="00967E8D">
        <w:rPr>
          <w:rFonts w:cs="Arial" w:hint="cs"/>
          <w:rtl/>
        </w:rPr>
        <w:t>.</w:t>
      </w:r>
      <w:r w:rsidRPr="00967E8D">
        <w:rPr>
          <w:rFonts w:cs="Arial"/>
          <w:rtl/>
        </w:rPr>
        <w:t xml:space="preserve"> ותמהני הכא היכי מצי לקלקולה</w:t>
      </w:r>
      <w:r w:rsidRPr="00967E8D">
        <w:rPr>
          <w:rFonts w:cs="Arial" w:hint="cs"/>
          <w:rtl/>
        </w:rPr>
        <w:t>,</w:t>
      </w:r>
      <w:r w:rsidRPr="00967E8D">
        <w:rPr>
          <w:rFonts w:cs="Arial"/>
          <w:rtl/>
        </w:rPr>
        <w:t xml:space="preserve"> דכיון דמדינא אמרינן יוציא</w:t>
      </w:r>
      <w:r w:rsidR="002F19D4">
        <w:rPr>
          <w:rFonts w:cs="Arial" w:hint="cs"/>
          <w:rtl/>
        </w:rPr>
        <w:t>,</w:t>
      </w:r>
      <w:r w:rsidRPr="00967E8D">
        <w:rPr>
          <w:rFonts w:cs="Arial"/>
          <w:rtl/>
        </w:rPr>
        <w:t xml:space="preserve"> הא לא מצי אמר לה אילו הייתי יודע שכן לא הייתי מגרשך</w:t>
      </w:r>
      <w:r w:rsidRPr="00967E8D">
        <w:rPr>
          <w:rFonts w:cs="Arial" w:hint="cs"/>
          <w:rtl/>
        </w:rPr>
        <w:t>,</w:t>
      </w:r>
      <w:r w:rsidRPr="00967E8D">
        <w:rPr>
          <w:rFonts w:cs="Arial"/>
          <w:rtl/>
        </w:rPr>
        <w:t xml:space="preserve"> שהרי מחוייב הוא לגרשה</w:t>
      </w:r>
      <w:r w:rsidRPr="00967E8D">
        <w:rPr>
          <w:rFonts w:cs="Arial" w:hint="cs"/>
          <w:rtl/>
        </w:rPr>
        <w:t>.</w:t>
      </w:r>
      <w:r w:rsidRPr="00967E8D">
        <w:rPr>
          <w:rFonts w:cs="Arial"/>
          <w:rtl/>
        </w:rPr>
        <w:t xml:space="preserve"> וניחא לי דמאי דאמרינן יוציא</w:t>
      </w:r>
      <w:r w:rsidRPr="00967E8D">
        <w:rPr>
          <w:rFonts w:cs="Arial" w:hint="cs"/>
          <w:rtl/>
        </w:rPr>
        <w:t>,</w:t>
      </w:r>
      <w:r w:rsidRPr="00967E8D">
        <w:rPr>
          <w:rFonts w:cs="Arial"/>
          <w:rtl/>
        </w:rPr>
        <w:t xml:space="preserve"> לא שיכפוהו ב"ד בכך אלא שכיון שאינו יכול לשמש עמה מוטל עליו להוציאה</w:t>
      </w:r>
      <w:r w:rsidRPr="00967E8D">
        <w:rPr>
          <w:rFonts w:cs="Arial" w:hint="cs"/>
          <w:rtl/>
        </w:rPr>
        <w:t>,</w:t>
      </w:r>
      <w:r w:rsidRPr="00967E8D">
        <w:rPr>
          <w:rFonts w:cs="Arial"/>
          <w:rtl/>
        </w:rPr>
        <w:t xml:space="preserve"> הילכך מצי לקלקולה ולומר אילו הייתי יודע שתהא לה תקנה הייתי שוהא מלגרש ומחזר שתהא מתוקנת</w:t>
      </w:r>
      <w:r w:rsidRPr="00967E8D">
        <w:rPr>
          <w:rFonts w:cs="Arial" w:hint="cs"/>
          <w:rtl/>
        </w:rPr>
        <w:t>.</w:t>
      </w:r>
      <w:r w:rsidRPr="00967E8D">
        <w:rPr>
          <w:rFonts w:cs="Arial"/>
          <w:rtl/>
        </w:rPr>
        <w:t xml:space="preserve"> והארכתי בזה אע</w:t>
      </w:r>
      <w:r w:rsidR="002F19D4">
        <w:rPr>
          <w:rFonts w:cs="Arial" w:hint="cs"/>
          <w:rtl/>
        </w:rPr>
        <w:t>"</w:t>
      </w:r>
      <w:r w:rsidRPr="00967E8D">
        <w:rPr>
          <w:rFonts w:cs="Arial"/>
          <w:rtl/>
        </w:rPr>
        <w:t>ג דלא קיי</w:t>
      </w:r>
      <w:r w:rsidR="002F19D4">
        <w:rPr>
          <w:rFonts w:cs="Arial" w:hint="cs"/>
          <w:rtl/>
        </w:rPr>
        <w:t>"</w:t>
      </w:r>
      <w:r w:rsidRPr="00967E8D">
        <w:rPr>
          <w:rFonts w:cs="Arial"/>
          <w:rtl/>
        </w:rPr>
        <w:t>ל כרבי מאיר</w:t>
      </w:r>
      <w:r w:rsidRPr="00967E8D">
        <w:rPr>
          <w:rFonts w:cs="Arial" w:hint="cs"/>
          <w:rtl/>
        </w:rPr>
        <w:t>,</w:t>
      </w:r>
      <w:r w:rsidRPr="00967E8D">
        <w:rPr>
          <w:rFonts w:cs="Arial"/>
          <w:rtl/>
        </w:rPr>
        <w:t xml:space="preserve"> משום דנפקא מיניה לרבי חנינא בן אנטיגנוס לפי שטתו של הרב ז"ל שהוא סובר דלרבי חנינא נמי היכא שנבדקה ג"פ ומצאה טמאה יוציא</w:t>
      </w:r>
      <w:r w:rsidRPr="00967E8D">
        <w:rPr>
          <w:rFonts w:cs="Arial" w:hint="cs"/>
          <w:rtl/>
        </w:rPr>
        <w:t>.</w:t>
      </w:r>
    </w:p>
    <w:p w14:paraId="7E09B5B4" w14:textId="77777777" w:rsidR="00392DBB" w:rsidRPr="00F25143" w:rsidRDefault="00392DBB" w:rsidP="00392DBB">
      <w:r w:rsidRPr="00F25143">
        <w:rPr>
          <w:rFonts w:cs="Arial" w:hint="cs"/>
          <w:u w:val="single"/>
          <w:rtl/>
        </w:rPr>
        <w:t>בעל שרוצה להשאיר את אשתו שראתה ג"פ מחמת תשמיש:</w:t>
      </w:r>
    </w:p>
    <w:p w14:paraId="558CAA08" w14:textId="3AEC761F" w:rsidR="00392DBB" w:rsidRPr="008E3200" w:rsidRDefault="00392DBB" w:rsidP="009000E3">
      <w:pPr>
        <w:pStyle w:val="ab"/>
        <w:numPr>
          <w:ilvl w:val="0"/>
          <w:numId w:val="72"/>
        </w:numPr>
        <w:rPr>
          <w:rtl/>
        </w:rPr>
      </w:pPr>
      <w:r w:rsidRPr="00F25143">
        <w:rPr>
          <w:rFonts w:cs="Arial" w:hint="cs"/>
          <w:rtl/>
        </w:rPr>
        <w:t>מ</w:t>
      </w:r>
      <w:r w:rsidRPr="00F25143">
        <w:rPr>
          <w:rFonts w:cs="Arial"/>
          <w:rtl/>
        </w:rPr>
        <w:t>הר"</w:t>
      </w:r>
      <w:r w:rsidRPr="00F25143">
        <w:rPr>
          <w:rFonts w:cs="Arial" w:hint="cs"/>
          <w:rtl/>
        </w:rPr>
        <w:t>ם</w:t>
      </w:r>
      <w:r w:rsidRPr="00F25143">
        <w:rPr>
          <w:rFonts w:cs="Arial"/>
          <w:rtl/>
        </w:rPr>
        <w:t xml:space="preserve"> </w:t>
      </w:r>
      <w:r w:rsidRPr="00F25143">
        <w:rPr>
          <w:rFonts w:cs="Arial" w:hint="cs"/>
          <w:sz w:val="16"/>
          <w:szCs w:val="16"/>
          <w:rtl/>
        </w:rPr>
        <w:t>(</w:t>
      </w:r>
      <w:r w:rsidR="00B871A4">
        <w:rPr>
          <w:rFonts w:cs="Arial" w:hint="cs"/>
          <w:sz w:val="16"/>
          <w:szCs w:val="16"/>
          <w:rtl/>
        </w:rPr>
        <w:t xml:space="preserve">ד"ב סי' עד, </w:t>
      </w:r>
      <w:r w:rsidRPr="00F25143">
        <w:rPr>
          <w:rFonts w:cs="Arial"/>
          <w:sz w:val="16"/>
          <w:szCs w:val="16"/>
          <w:rtl/>
        </w:rPr>
        <w:t>בסוף תשובות הרשב"א ח"א סי' תתמ)</w:t>
      </w:r>
      <w:r w:rsidRPr="00F25143">
        <w:rPr>
          <w:rFonts w:cs="Arial" w:hint="cs"/>
          <w:rtl/>
        </w:rPr>
        <w:t>-</w:t>
      </w:r>
      <w:r w:rsidRPr="00F25143">
        <w:rPr>
          <w:rFonts w:cs="Arial"/>
          <w:rtl/>
        </w:rPr>
        <w:t xml:space="preserve"> רואה דם מחמת תשמיש אין לה תקנה לישאר עם בעלה אלא תתגרש לאלתר ואסור להשהותה דחיישינן שמא יבא עליה</w:t>
      </w:r>
      <w:r w:rsidRPr="00F25143">
        <w:rPr>
          <w:rFonts w:cs="Arial" w:hint="cs"/>
          <w:rtl/>
        </w:rPr>
        <w:t>.</w:t>
      </w:r>
      <w:r w:rsidRPr="00F25143">
        <w:rPr>
          <w:rFonts w:cs="Arial"/>
          <w:rtl/>
        </w:rPr>
        <w:t xml:space="preserve"> </w:t>
      </w:r>
      <w:r w:rsidRPr="00F25143">
        <w:rPr>
          <w:rFonts w:cs="Arial" w:hint="cs"/>
          <w:rtl/>
        </w:rPr>
        <w:t>ו</w:t>
      </w:r>
      <w:r w:rsidRPr="00F25143">
        <w:rPr>
          <w:rFonts w:cs="Arial"/>
          <w:rtl/>
        </w:rPr>
        <w:t xml:space="preserve">כן </w:t>
      </w:r>
      <w:r w:rsidRPr="00F25143">
        <w:rPr>
          <w:rFonts w:cs="Arial" w:hint="cs"/>
          <w:rtl/>
        </w:rPr>
        <w:t xml:space="preserve">נראה </w:t>
      </w:r>
      <w:r w:rsidRPr="00F25143">
        <w:rPr>
          <w:rFonts w:cs="Arial"/>
          <w:rtl/>
        </w:rPr>
        <w:t>מדברי הרמב"ם (שם הל' ח - י)</w:t>
      </w:r>
      <w:r w:rsidRPr="00F25143">
        <w:rPr>
          <w:rFonts w:cs="Arial" w:hint="cs"/>
          <w:rtl/>
        </w:rPr>
        <w:t>.</w:t>
      </w:r>
      <w:r w:rsidRPr="00F25143">
        <w:rPr>
          <w:rFonts w:cs="Arial"/>
          <w:rtl/>
        </w:rPr>
        <w:t xml:space="preserve"> ואע"ג דבריש זבחים (ב:) גבי אשה לאו לגירושין עומדת כתב ר"י (תוס' שם ד"ה סתם) דאפילו זינתה יכולה להיות תחתיו ותשמשנו כשפחה</w:t>
      </w:r>
      <w:r w:rsidRPr="00F25143">
        <w:rPr>
          <w:rFonts w:cs="Arial" w:hint="cs"/>
          <w:rtl/>
        </w:rPr>
        <w:t>,</w:t>
      </w:r>
      <w:r w:rsidRPr="00F25143">
        <w:rPr>
          <w:rFonts w:cs="Arial"/>
          <w:rtl/>
        </w:rPr>
        <w:t xml:space="preserve"> שאני התם דליכא למיחש כולי האי שמא יבוא עליה</w:t>
      </w:r>
      <w:r w:rsidRPr="00F25143">
        <w:rPr>
          <w:rFonts w:cs="Arial" w:hint="cs"/>
          <w:rtl/>
        </w:rPr>
        <w:t>,</w:t>
      </w:r>
      <w:r w:rsidRPr="00F25143">
        <w:rPr>
          <w:rFonts w:cs="Arial"/>
          <w:rtl/>
        </w:rPr>
        <w:t xml:space="preserve"> דכיון שזינתה תחתיו שונא אותה ומאוסה בעיניו</w:t>
      </w:r>
      <w:r>
        <w:rPr>
          <w:rStyle w:val="a7"/>
          <w:rFonts w:cs="Arial"/>
          <w:rtl/>
        </w:rPr>
        <w:footnoteReference w:id="2943"/>
      </w:r>
      <w:r w:rsidRPr="00F25143">
        <w:rPr>
          <w:rFonts w:cs="Arial" w:hint="cs"/>
          <w:rtl/>
        </w:rPr>
        <w:t>.</w:t>
      </w:r>
      <w:r w:rsidRPr="00F25143">
        <w:rPr>
          <w:rFonts w:cs="Arial"/>
          <w:rtl/>
        </w:rPr>
        <w:t xml:space="preserve"> ומיהו נראה לי דהכא עד כל זמן שאינו חפץ לישא אחרת ורוצה להשרותה ע"י שליש </w:t>
      </w:r>
      <w:r w:rsidR="00F51AE6">
        <w:rPr>
          <w:rStyle w:val="a7"/>
          <w:rFonts w:cs="Arial"/>
          <w:rtl/>
        </w:rPr>
        <w:footnoteReference w:id="2944"/>
      </w:r>
      <w:r w:rsidR="003013B0">
        <w:rPr>
          <w:rFonts w:cs="Arial" w:hint="cs"/>
          <w:rtl/>
        </w:rPr>
        <w:t>[</w:t>
      </w:r>
      <w:r w:rsidRPr="00F25143">
        <w:rPr>
          <w:rFonts w:cs="Arial"/>
          <w:rtl/>
        </w:rPr>
        <w:t>ובש</w:t>
      </w:r>
      <w:r w:rsidR="00B871A4">
        <w:rPr>
          <w:rFonts w:cs="Arial" w:hint="cs"/>
          <w:rtl/>
        </w:rPr>
        <w:t>כו</w:t>
      </w:r>
      <w:r w:rsidRPr="00F25143">
        <w:rPr>
          <w:rFonts w:cs="Arial"/>
          <w:rtl/>
        </w:rPr>
        <w:t>נה אח</w:t>
      </w:r>
      <w:r w:rsidR="00B871A4">
        <w:rPr>
          <w:rFonts w:cs="Arial" w:hint="cs"/>
          <w:rtl/>
        </w:rPr>
        <w:t>ר</w:t>
      </w:r>
      <w:r w:rsidRPr="00F25143">
        <w:rPr>
          <w:rFonts w:cs="Arial"/>
          <w:rtl/>
        </w:rPr>
        <w:t>ת</w:t>
      </w:r>
      <w:r w:rsidR="00B871A4">
        <w:rPr>
          <w:rFonts w:cs="Arial" w:hint="cs"/>
          <w:rtl/>
        </w:rPr>
        <w:t>]</w:t>
      </w:r>
      <w:r w:rsidRPr="00F25143">
        <w:rPr>
          <w:rFonts w:cs="Arial"/>
          <w:rtl/>
        </w:rPr>
        <w:t xml:space="preserve"> ולא ילך אצלה אלא בעדים אין צריך לגרש אם אינה באה מחמת טענה</w:t>
      </w:r>
      <w:r w:rsidRPr="00F25143">
        <w:rPr>
          <w:rFonts w:cs="Arial" w:hint="cs"/>
          <w:rtl/>
        </w:rPr>
        <w:t>.</w:t>
      </w:r>
      <w:r w:rsidRPr="00F25143">
        <w:rPr>
          <w:rFonts w:cs="Arial"/>
          <w:rtl/>
        </w:rPr>
        <w:t xml:space="preserve"> אבל אם רצה לישא אשה אחרת</w:t>
      </w:r>
      <w:r w:rsidR="008213BD">
        <w:rPr>
          <w:rFonts w:cs="Arial" w:hint="cs"/>
          <w:rtl/>
        </w:rPr>
        <w:t>,</w:t>
      </w:r>
      <w:r w:rsidRPr="00F25143">
        <w:rPr>
          <w:rFonts w:cs="Arial"/>
          <w:rtl/>
        </w:rPr>
        <w:t xml:space="preserve"> זו יוציא ויתן כתובה</w:t>
      </w:r>
      <w:r w:rsidRPr="00F25143">
        <w:rPr>
          <w:rFonts w:cs="Arial" w:hint="cs"/>
          <w:rtl/>
        </w:rPr>
        <w:t>.</w:t>
      </w:r>
      <w:r>
        <w:rPr>
          <w:rFonts w:hint="cs"/>
          <w:rtl/>
        </w:rPr>
        <w:t xml:space="preserve"> </w:t>
      </w:r>
      <w:r w:rsidRPr="00F25143">
        <w:rPr>
          <w:rFonts w:hint="cs"/>
          <w:color w:val="00B0F0"/>
          <w:rtl/>
        </w:rPr>
        <w:t>(וכ"כ הרמ"א)</w:t>
      </w:r>
    </w:p>
    <w:p w14:paraId="1063E7A0"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3B99C1F" w14:textId="1EFED5C6" w:rsidR="00392DBB" w:rsidRDefault="00392DBB" w:rsidP="00392DBB">
      <w:pPr>
        <w:rPr>
          <w:rtl/>
        </w:rPr>
      </w:pPr>
      <w:r>
        <w:rPr>
          <w:rFonts w:cs="Arial"/>
          <w:rtl/>
        </w:rPr>
        <w:t xml:space="preserve">הנושא אשה, ובדקה עצמה ונבעלה, ובעת שקנחה עצמה היא והוא נמצא דם על עד שלה או על עד שלו, אם אירע זה פעם אחר פעם ג' פעמים סמוכות זו לזו, הרי זו אסורה לישב עם בעלה, ותצא בלא כתובה, לא עיקר ולא תוספת, ולא </w:t>
      </w:r>
      <w:r>
        <w:rPr>
          <w:rFonts w:cs="Arial"/>
          <w:rtl/>
        </w:rPr>
        <w:lastRenderedPageBreak/>
        <w:t>תנאי מתנאי הכתובה</w:t>
      </w:r>
      <w:r>
        <w:rPr>
          <w:rStyle w:val="a7"/>
          <w:rFonts w:cs="Arial"/>
          <w:rtl/>
        </w:rPr>
        <w:footnoteReference w:id="2945"/>
      </w:r>
      <w:r>
        <w:rPr>
          <w:rFonts w:cs="Arial"/>
          <w:rtl/>
        </w:rPr>
        <w:t>, שהרי אינה ראויה לתשמיש</w:t>
      </w:r>
      <w:r>
        <w:rPr>
          <w:rFonts w:cs="Arial" w:hint="cs"/>
          <w:rtl/>
        </w:rPr>
        <w:t>.</w:t>
      </w:r>
      <w:r>
        <w:rPr>
          <w:rFonts w:cs="Arial"/>
          <w:rtl/>
        </w:rPr>
        <w:t xml:space="preserve"> ויוציא, ולא יחזיר לעולם. ב</w:t>
      </w:r>
      <w:r>
        <w:rPr>
          <w:rFonts w:cs="Arial" w:hint="cs"/>
          <w:rtl/>
        </w:rPr>
        <w:t>מה דברים אמורים</w:t>
      </w:r>
      <w:r>
        <w:rPr>
          <w:rFonts w:cs="Arial"/>
          <w:rtl/>
        </w:rPr>
        <w:t>, כשהיתה כך מתחלת נשואיה, ומבעילה ראשונה ראתה דם</w:t>
      </w:r>
      <w:r>
        <w:rPr>
          <w:rStyle w:val="a7"/>
          <w:rFonts w:cs="Arial"/>
          <w:rtl/>
        </w:rPr>
        <w:footnoteReference w:id="2946"/>
      </w:r>
      <w:r>
        <w:rPr>
          <w:rFonts w:cs="Arial"/>
          <w:rtl/>
        </w:rPr>
        <w:t xml:space="preserve">. אבל אם אירע לה חולי זה אחר שנשאת, נסתחפה שדהו. לפיכך אם בעל פעם אחת ולא מצא דם, ואחר כך חזרה להיות רואה דם בכל עת תשמיש, יוציא ויתן כתובה כולה, ולא יחזיר עולמית. </w:t>
      </w:r>
      <w:r w:rsidRPr="009B12C2">
        <w:rPr>
          <w:rFonts w:cs="Arial"/>
          <w:sz w:val="18"/>
          <w:szCs w:val="18"/>
          <w:rtl/>
        </w:rPr>
        <w:t>הגה: י"א דאם אינו רוצה לישא אחרת, ורוצה לשרות עם זו ע"י שליש בשנה אחת</w:t>
      </w:r>
      <w:r w:rsidR="00F36A68">
        <w:rPr>
          <w:rStyle w:val="a7"/>
          <w:rFonts w:cs="Arial"/>
          <w:sz w:val="18"/>
          <w:szCs w:val="18"/>
          <w:rtl/>
        </w:rPr>
        <w:footnoteReference w:id="2947"/>
      </w:r>
      <w:r w:rsidRPr="009B12C2">
        <w:rPr>
          <w:rFonts w:cs="Arial"/>
          <w:sz w:val="18"/>
          <w:szCs w:val="18"/>
          <w:rtl/>
        </w:rPr>
        <w:t>, ולא ילך אצלה אלא בעדים, אין צריך לגרשה</w:t>
      </w:r>
      <w:r>
        <w:rPr>
          <w:rStyle w:val="a7"/>
          <w:rFonts w:cs="Arial"/>
          <w:sz w:val="18"/>
          <w:szCs w:val="18"/>
          <w:rtl/>
        </w:rPr>
        <w:footnoteReference w:id="2948"/>
      </w:r>
      <w:r w:rsidRPr="009B12C2">
        <w:rPr>
          <w:rFonts w:cs="Arial"/>
          <w:sz w:val="18"/>
          <w:szCs w:val="18"/>
          <w:rtl/>
        </w:rPr>
        <w:t xml:space="preserve"> (</w:t>
      </w:r>
      <w:r w:rsidR="00F51AE6">
        <w:rPr>
          <w:rFonts w:cs="Arial" w:hint="cs"/>
          <w:sz w:val="18"/>
          <w:szCs w:val="18"/>
          <w:rtl/>
        </w:rPr>
        <w:t xml:space="preserve">רשב"א בשם </w:t>
      </w:r>
      <w:r>
        <w:rPr>
          <w:rFonts w:cs="Arial" w:hint="cs"/>
          <w:sz w:val="18"/>
          <w:szCs w:val="18"/>
          <w:rtl/>
        </w:rPr>
        <w:t>מ</w:t>
      </w:r>
      <w:r w:rsidRPr="009B12C2">
        <w:rPr>
          <w:rFonts w:cs="Arial"/>
          <w:sz w:val="18"/>
          <w:szCs w:val="18"/>
          <w:rtl/>
        </w:rPr>
        <w:t>הר"ם). וכ"ש אם זנתה תחתיו, דמאיסה ליה, דשרי בכה"ג (שם).</w:t>
      </w:r>
      <w:r>
        <w:rPr>
          <w:rFonts w:cs="Arial"/>
          <w:rtl/>
        </w:rPr>
        <w:t xml:space="preserve"> </w:t>
      </w:r>
    </w:p>
    <w:p w14:paraId="62A73789" w14:textId="77777777" w:rsidR="00392DBB" w:rsidRDefault="00392DBB" w:rsidP="00392DBB">
      <w:pPr>
        <w:rPr>
          <w:rtl/>
        </w:rPr>
      </w:pPr>
    </w:p>
    <w:p w14:paraId="440A80A6" w14:textId="77777777" w:rsidR="00392DBB" w:rsidRDefault="00392DBB" w:rsidP="000F64D0">
      <w:pPr>
        <w:pStyle w:val="2"/>
        <w:rPr>
          <w:rtl/>
        </w:rPr>
      </w:pPr>
      <w:r>
        <w:rPr>
          <w:rtl/>
        </w:rPr>
        <w:t>סעיף ב</w:t>
      </w:r>
      <w:r>
        <w:rPr>
          <w:rFonts w:hint="cs"/>
          <w:rtl/>
        </w:rPr>
        <w:t>: בעל שטוען על אשתו שאינה ראויה לאיש.</w:t>
      </w:r>
    </w:p>
    <w:p w14:paraId="61F64023" w14:textId="77777777" w:rsidR="00392DBB" w:rsidRPr="007F65E3" w:rsidRDefault="00392DBB" w:rsidP="00392DBB">
      <w:pPr>
        <w:rPr>
          <w:u w:val="single"/>
          <w:rtl/>
        </w:rPr>
      </w:pPr>
      <w:r w:rsidRPr="007F65E3">
        <w:rPr>
          <w:rFonts w:hint="cs"/>
          <w:u w:val="single"/>
          <w:rtl/>
        </w:rPr>
        <w:t>האומר על אשתו שאינה ראויה לאיש</w:t>
      </w:r>
      <w:r>
        <w:rPr>
          <w:rFonts w:hint="cs"/>
          <w:sz w:val="16"/>
          <w:szCs w:val="16"/>
          <w:u w:val="single"/>
          <w:rtl/>
        </w:rPr>
        <w:t xml:space="preserve"> (כגון שהיא טומטום)</w:t>
      </w:r>
      <w:r w:rsidRPr="007F65E3">
        <w:rPr>
          <w:rFonts w:hint="cs"/>
          <w:u w:val="single"/>
          <w:rtl/>
        </w:rPr>
        <w:t>, והיא אומרת שהיא כן רא</w:t>
      </w:r>
      <w:r>
        <w:rPr>
          <w:rFonts w:hint="cs"/>
          <w:u w:val="single"/>
          <w:rtl/>
        </w:rPr>
        <w:t>ו</w:t>
      </w:r>
      <w:r w:rsidRPr="007F65E3">
        <w:rPr>
          <w:rFonts w:hint="cs"/>
          <w:u w:val="single"/>
          <w:rtl/>
        </w:rPr>
        <w:t>יה:</w:t>
      </w:r>
    </w:p>
    <w:p w14:paraId="3F0764C4" w14:textId="74DBF6F1" w:rsidR="00392DBB" w:rsidRPr="009E695B" w:rsidRDefault="00392DBB" w:rsidP="009000E3">
      <w:pPr>
        <w:pStyle w:val="ab"/>
        <w:numPr>
          <w:ilvl w:val="0"/>
          <w:numId w:val="72"/>
        </w:numPr>
      </w:pPr>
      <w:r w:rsidRPr="008E3200">
        <w:rPr>
          <w:rFonts w:cs="Arial"/>
          <w:rtl/>
        </w:rPr>
        <w:t xml:space="preserve">רא"ש </w:t>
      </w:r>
      <w:r>
        <w:rPr>
          <w:rFonts w:cs="Arial" w:hint="cs"/>
          <w:sz w:val="16"/>
          <w:szCs w:val="16"/>
          <w:rtl/>
        </w:rPr>
        <w:t>(כלל לג סי' ב)</w:t>
      </w:r>
      <w:r>
        <w:rPr>
          <w:rFonts w:cs="Arial" w:hint="cs"/>
          <w:rtl/>
        </w:rPr>
        <w:t xml:space="preserve"> וטור-</w:t>
      </w:r>
      <w:r w:rsidRPr="008E3200">
        <w:rPr>
          <w:rFonts w:cs="Arial"/>
          <w:rtl/>
        </w:rPr>
        <w:t xml:space="preserve"> האומר על אשתו שאינה ראויה לאיש</w:t>
      </w:r>
      <w:r>
        <w:rPr>
          <w:rFonts w:cs="Arial" w:hint="cs"/>
          <w:rtl/>
        </w:rPr>
        <w:t>.</w:t>
      </w:r>
      <w:r w:rsidRPr="008E3200">
        <w:rPr>
          <w:rFonts w:cs="Arial"/>
          <w:rtl/>
        </w:rPr>
        <w:t xml:space="preserve"> והיא אומרת שהיא ככל הנשים</w:t>
      </w:r>
      <w:r>
        <w:rPr>
          <w:rFonts w:cs="Arial" w:hint="cs"/>
          <w:rtl/>
        </w:rPr>
        <w:t>.</w:t>
      </w:r>
      <w:r w:rsidRPr="008E3200">
        <w:rPr>
          <w:rFonts w:cs="Arial"/>
          <w:rtl/>
        </w:rPr>
        <w:t xml:space="preserve"> דבר זה יבדק ע"י נשים הגונות וכשרות</w:t>
      </w:r>
      <w:r>
        <w:rPr>
          <w:rFonts w:cs="Arial" w:hint="cs"/>
          <w:rtl/>
        </w:rPr>
        <w:t>,</w:t>
      </w:r>
      <w:r w:rsidRPr="008E3200">
        <w:rPr>
          <w:rFonts w:cs="Arial"/>
          <w:rtl/>
        </w:rPr>
        <w:t xml:space="preserve"> אם הן אומרות שאינה ראויה לאיש</w:t>
      </w:r>
      <w:r>
        <w:rPr>
          <w:rFonts w:cs="Arial" w:hint="cs"/>
          <w:rtl/>
        </w:rPr>
        <w:t xml:space="preserve"> -</w:t>
      </w:r>
      <w:r w:rsidRPr="008E3200">
        <w:rPr>
          <w:rFonts w:cs="Arial"/>
          <w:rtl/>
        </w:rPr>
        <w:t xml:space="preserve"> אין לה עליו לא כתובה ולא תנאי כתובה</w:t>
      </w:r>
      <w:r>
        <w:rPr>
          <w:rFonts w:cs="Arial" w:hint="cs"/>
          <w:rtl/>
        </w:rPr>
        <w:t>.</w:t>
      </w:r>
      <w:r w:rsidRPr="008E3200">
        <w:rPr>
          <w:rFonts w:cs="Arial"/>
          <w:rtl/>
        </w:rPr>
        <w:t xml:space="preserve"> ואם הם אומרות שהיא ראויה לאיש </w:t>
      </w:r>
      <w:r>
        <w:rPr>
          <w:rFonts w:cs="Arial" w:hint="cs"/>
          <w:rtl/>
        </w:rPr>
        <w:t xml:space="preserve">- </w:t>
      </w:r>
      <w:r w:rsidRPr="008E3200">
        <w:rPr>
          <w:rFonts w:cs="Arial"/>
          <w:rtl/>
        </w:rPr>
        <w:t>הרי היא ככל הנשים</w:t>
      </w:r>
      <w:r>
        <w:rPr>
          <w:rFonts w:cs="Arial" w:hint="cs"/>
          <w:rtl/>
        </w:rPr>
        <w:t>.</w:t>
      </w:r>
      <w:r w:rsidRPr="008E3200">
        <w:rPr>
          <w:rFonts w:cs="Arial"/>
          <w:rtl/>
        </w:rPr>
        <w:t xml:space="preserve"> וכל זמן שלא נבדקה </w:t>
      </w:r>
      <w:r>
        <w:rPr>
          <w:rFonts w:cs="Arial" w:hint="cs"/>
          <w:rtl/>
        </w:rPr>
        <w:t xml:space="preserve">- </w:t>
      </w:r>
      <w:r w:rsidRPr="008E3200">
        <w:rPr>
          <w:rFonts w:cs="Arial"/>
          <w:rtl/>
        </w:rPr>
        <w:t>אינו חייב במזונותיה</w:t>
      </w:r>
      <w:r>
        <w:rPr>
          <w:rFonts w:cs="Arial" w:hint="cs"/>
          <w:sz w:val="16"/>
          <w:szCs w:val="16"/>
          <w:rtl/>
        </w:rPr>
        <w:t xml:space="preserve"> (ל' הטור בשם הרא"ש)</w:t>
      </w:r>
      <w:r>
        <w:rPr>
          <w:rFonts w:cs="Arial" w:hint="cs"/>
          <w:rtl/>
        </w:rPr>
        <w:t>.</w:t>
      </w:r>
      <w:r w:rsidRPr="008E3200">
        <w:rPr>
          <w:rFonts w:cs="Arial"/>
          <w:rtl/>
        </w:rPr>
        <w:t xml:space="preserve"> </w:t>
      </w:r>
      <w:r w:rsidRPr="00544E63">
        <w:rPr>
          <w:rFonts w:hint="cs"/>
          <w:color w:val="E36C0A" w:themeColor="accent6" w:themeShade="BF"/>
          <w:rtl/>
        </w:rPr>
        <w:t>(וכ"פ בשו"ע)</w:t>
      </w:r>
    </w:p>
    <w:p w14:paraId="19B19C2E"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DC1568B" w14:textId="77777777" w:rsidR="00392DBB" w:rsidRDefault="00392DBB" w:rsidP="00392DBB">
      <w:pPr>
        <w:rPr>
          <w:rtl/>
        </w:rPr>
      </w:pPr>
      <w:r>
        <w:rPr>
          <w:rFonts w:cs="Arial"/>
          <w:rtl/>
        </w:rPr>
        <w:t>אשה שנבדקה על ידי נשים, ואמרו שאינה ראויה לאיש</w:t>
      </w:r>
      <w:r>
        <w:rPr>
          <w:rStyle w:val="a7"/>
          <w:rFonts w:cs="Arial"/>
          <w:rtl/>
        </w:rPr>
        <w:footnoteReference w:id="2949"/>
      </w:r>
      <w:r>
        <w:rPr>
          <w:rFonts w:cs="Arial"/>
          <w:rtl/>
        </w:rPr>
        <w:t xml:space="preserve">, אין לה כתובה ולא תנאי כתובה. ואם הבעל טוען עליה כך, כל זמן שלא נבדקה אינו חייב במזונותיה. </w:t>
      </w:r>
    </w:p>
    <w:p w14:paraId="0D21F76E" w14:textId="77777777" w:rsidR="00392DBB" w:rsidRDefault="00392DBB" w:rsidP="00392DBB">
      <w:pPr>
        <w:rPr>
          <w:rtl/>
        </w:rPr>
      </w:pPr>
    </w:p>
    <w:p w14:paraId="6B1DDDC6" w14:textId="77777777" w:rsidR="00392DBB" w:rsidRDefault="00392DBB" w:rsidP="000F64D0">
      <w:pPr>
        <w:pStyle w:val="2"/>
        <w:rPr>
          <w:rtl/>
        </w:rPr>
      </w:pPr>
      <w:r>
        <w:rPr>
          <w:rtl/>
        </w:rPr>
        <w:t>סעיף ג</w:t>
      </w:r>
      <w:r>
        <w:rPr>
          <w:rFonts w:hint="cs"/>
          <w:rtl/>
        </w:rPr>
        <w:t>: נמצאו עליה נדרים.</w:t>
      </w:r>
    </w:p>
    <w:p w14:paraId="73D1D236" w14:textId="77777777" w:rsidR="00392DBB" w:rsidRDefault="00392DBB" w:rsidP="00392DBB">
      <w:pPr>
        <w:rPr>
          <w:rtl/>
        </w:rPr>
      </w:pPr>
      <w:r w:rsidRPr="00593A25">
        <w:rPr>
          <w:rFonts w:cs="Arial" w:hint="cs"/>
          <w:b/>
          <w:bCs/>
          <w:rtl/>
        </w:rPr>
        <w:t xml:space="preserve">כתובות </w:t>
      </w:r>
      <w:r w:rsidRPr="00593A25">
        <w:rPr>
          <w:rFonts w:cs="Arial" w:hint="cs"/>
          <w:b/>
          <w:bCs/>
          <w:sz w:val="16"/>
          <w:szCs w:val="16"/>
          <w:rtl/>
        </w:rPr>
        <w:t xml:space="preserve">(פ' המדיר) </w:t>
      </w:r>
      <w:r w:rsidRPr="00593A25">
        <w:rPr>
          <w:rFonts w:cs="Arial" w:hint="cs"/>
          <w:b/>
          <w:bCs/>
          <w:rtl/>
        </w:rPr>
        <w:t>ע</w:t>
      </w:r>
      <w:r>
        <w:rPr>
          <w:rFonts w:cs="Arial" w:hint="cs"/>
          <w:b/>
          <w:bCs/>
          <w:rtl/>
        </w:rPr>
        <w:t>ב</w:t>
      </w:r>
      <w:r w:rsidRPr="00593A25">
        <w:rPr>
          <w:rFonts w:cs="Arial" w:hint="cs"/>
          <w:b/>
          <w:bCs/>
          <w:rtl/>
        </w:rPr>
        <w:t xml:space="preserve"> ע"</w:t>
      </w:r>
      <w:r>
        <w:rPr>
          <w:rFonts w:cs="Arial" w:hint="cs"/>
          <w:b/>
          <w:bCs/>
          <w:rtl/>
        </w:rPr>
        <w:t>ב</w:t>
      </w:r>
      <w:r w:rsidRPr="00593A25">
        <w:rPr>
          <w:rFonts w:cs="Arial" w:hint="cs"/>
          <w:b/>
          <w:bCs/>
          <w:rtl/>
        </w:rPr>
        <w:t xml:space="preserve">: </w:t>
      </w:r>
      <w:r w:rsidRPr="00593A25">
        <w:rPr>
          <w:rFonts w:cs="Arial"/>
          <w:u w:val="double"/>
          <w:rtl/>
        </w:rPr>
        <w:t>מתני'</w:t>
      </w:r>
      <w:r w:rsidRPr="00593A25">
        <w:rPr>
          <w:rFonts w:cs="Arial" w:hint="cs"/>
          <w:rtl/>
        </w:rPr>
        <w:t>:</w:t>
      </w:r>
      <w:r>
        <w:rPr>
          <w:rFonts w:cs="Arial" w:hint="cs"/>
          <w:rtl/>
        </w:rPr>
        <w:t xml:space="preserve"> </w:t>
      </w:r>
      <w:r>
        <w:rPr>
          <w:rFonts w:cs="Arial"/>
          <w:rtl/>
        </w:rPr>
        <w:t>המקדש את האשה על מנת שאין עליה נדרים, ונמצאו עליה נדרים - אינה מקודשת</w:t>
      </w:r>
      <w:r>
        <w:rPr>
          <w:rFonts w:cs="Arial" w:hint="cs"/>
          <w:rtl/>
        </w:rPr>
        <w:t>.</w:t>
      </w:r>
      <w:r>
        <w:rPr>
          <w:rFonts w:cs="Arial"/>
          <w:rtl/>
        </w:rPr>
        <w:t xml:space="preserve"> כנסה סתם, ונמצאו עליה נדרים - תצא שלא בכתובה. על מנת שאין בה מומין, ונמצאו בה מומין - אינה מקודשת</w:t>
      </w:r>
      <w:r>
        <w:rPr>
          <w:rFonts w:cs="Arial" w:hint="cs"/>
          <w:rtl/>
        </w:rPr>
        <w:t>.</w:t>
      </w:r>
      <w:r>
        <w:rPr>
          <w:rFonts w:cs="Arial"/>
          <w:rtl/>
        </w:rPr>
        <w:t xml:space="preserve"> כנסה סתם, ונמצאו בה מומין - תצא שלא בכתובה. כל המומין הפוסלין בכהנים - פוסלין בנשים</w:t>
      </w:r>
      <w:r>
        <w:rPr>
          <w:rFonts w:cs="Arial" w:hint="cs"/>
          <w:rtl/>
        </w:rPr>
        <w:t>.</w:t>
      </w:r>
    </w:p>
    <w:p w14:paraId="537A675D" w14:textId="77777777" w:rsidR="00392DBB" w:rsidRPr="00E1583F" w:rsidRDefault="00392DBB" w:rsidP="00392DBB">
      <w:pPr>
        <w:rPr>
          <w:u w:val="single"/>
          <w:rtl/>
        </w:rPr>
      </w:pPr>
      <w:r>
        <w:rPr>
          <w:rFonts w:hint="cs"/>
          <w:u w:val="single"/>
          <w:rtl/>
        </w:rPr>
        <w:t xml:space="preserve">אשה שבעלה </w:t>
      </w:r>
      <w:r w:rsidRPr="00E1583F">
        <w:rPr>
          <w:rFonts w:hint="cs"/>
          <w:u w:val="single"/>
          <w:rtl/>
        </w:rPr>
        <w:t>מצא עליה נדרים:</w:t>
      </w:r>
    </w:p>
    <w:p w14:paraId="19DC3D78" w14:textId="6533829A" w:rsidR="00392DBB" w:rsidRDefault="00392DBB" w:rsidP="009000E3">
      <w:pPr>
        <w:pStyle w:val="ab"/>
        <w:numPr>
          <w:ilvl w:val="0"/>
          <w:numId w:val="72"/>
        </w:numPr>
        <w:rPr>
          <w:rtl/>
        </w:rPr>
      </w:pPr>
      <w:r>
        <w:rPr>
          <w:rFonts w:cs="Arial" w:hint="cs"/>
          <w:rtl/>
        </w:rPr>
        <w:t xml:space="preserve">טור- </w:t>
      </w:r>
      <w:r w:rsidRPr="008E3200">
        <w:rPr>
          <w:rFonts w:cs="Arial"/>
          <w:rtl/>
        </w:rPr>
        <w:t xml:space="preserve">נמצאו עליה מומין או נדרים </w:t>
      </w:r>
      <w:r>
        <w:rPr>
          <w:rFonts w:cs="Arial" w:hint="cs"/>
          <w:rtl/>
        </w:rPr>
        <w:t xml:space="preserve">- </w:t>
      </w:r>
      <w:r w:rsidRPr="008E3200">
        <w:rPr>
          <w:rFonts w:cs="Arial"/>
          <w:rtl/>
        </w:rPr>
        <w:t>תצא בלא כתובה</w:t>
      </w:r>
      <w:r>
        <w:rPr>
          <w:rFonts w:cs="Arial" w:hint="cs"/>
          <w:rtl/>
        </w:rPr>
        <w:t>,</w:t>
      </w:r>
      <w:r w:rsidRPr="008E3200">
        <w:rPr>
          <w:rFonts w:cs="Arial"/>
          <w:rtl/>
        </w:rPr>
        <w:t xml:space="preserve"> אפילו נישאת סתם</w:t>
      </w:r>
      <w:r>
        <w:rPr>
          <w:rStyle w:val="a7"/>
          <w:rFonts w:cs="Arial"/>
          <w:rtl/>
        </w:rPr>
        <w:footnoteReference w:id="2950"/>
      </w:r>
      <w:r>
        <w:rPr>
          <w:rFonts w:cs="Arial" w:hint="cs"/>
          <w:rtl/>
        </w:rPr>
        <w:t>.</w:t>
      </w:r>
      <w:r w:rsidRPr="008E3200">
        <w:rPr>
          <w:rFonts w:cs="Arial"/>
          <w:rtl/>
        </w:rPr>
        <w:t xml:space="preserve"> ולמעלה בהלכות קידושין</w:t>
      </w:r>
      <w:r w:rsidR="009661ED">
        <w:rPr>
          <w:rFonts w:cs="Arial" w:hint="cs"/>
          <w:rtl/>
        </w:rPr>
        <w:t xml:space="preserve"> (סי' לט)</w:t>
      </w:r>
      <w:r w:rsidRPr="008E3200">
        <w:rPr>
          <w:rFonts w:cs="Arial"/>
          <w:rtl/>
        </w:rPr>
        <w:t xml:space="preserve"> פירשתי באיזה מומין ונדרים איירי</w:t>
      </w:r>
      <w:r>
        <w:rPr>
          <w:rStyle w:val="a7"/>
          <w:rFonts w:cs="Arial"/>
          <w:rtl/>
        </w:rPr>
        <w:footnoteReference w:id="2951"/>
      </w:r>
      <w:r w:rsidRPr="00551FED">
        <w:rPr>
          <w:rFonts w:cs="Arial" w:hint="cs"/>
          <w:rtl/>
        </w:rPr>
        <w:t>.</w:t>
      </w:r>
      <w:r>
        <w:rPr>
          <w:rFonts w:hint="cs"/>
          <w:color w:val="E36C0A" w:themeColor="accent6" w:themeShade="BF"/>
          <w:rtl/>
        </w:rPr>
        <w:t xml:space="preserve"> </w:t>
      </w:r>
      <w:r w:rsidRPr="00544E63">
        <w:rPr>
          <w:rFonts w:hint="cs"/>
          <w:color w:val="E36C0A" w:themeColor="accent6" w:themeShade="BF"/>
          <w:rtl/>
        </w:rPr>
        <w:t>(וכ"פ בשו"ע)</w:t>
      </w:r>
    </w:p>
    <w:p w14:paraId="312EE08A"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6E68CD98" w14:textId="77777777" w:rsidR="00392DBB" w:rsidRDefault="00392DBB" w:rsidP="00392DBB">
      <w:pPr>
        <w:rPr>
          <w:rtl/>
        </w:rPr>
      </w:pPr>
      <w:r>
        <w:rPr>
          <w:rFonts w:cs="Arial"/>
          <w:rtl/>
        </w:rPr>
        <w:t xml:space="preserve">הנושא אשה, סתם, ונמצאו עליה נדרים שנתבארו בסימן ל"ט, תצא בלא כתובה, לא עיקר ולא תוספת. </w:t>
      </w:r>
    </w:p>
    <w:p w14:paraId="45A43AA7" w14:textId="77777777" w:rsidR="00392DBB" w:rsidRDefault="00392DBB" w:rsidP="00392DBB">
      <w:pPr>
        <w:rPr>
          <w:rtl/>
        </w:rPr>
      </w:pPr>
    </w:p>
    <w:p w14:paraId="486AEB04" w14:textId="77777777" w:rsidR="00392DBB" w:rsidRDefault="00392DBB" w:rsidP="000F64D0">
      <w:pPr>
        <w:pStyle w:val="2"/>
        <w:rPr>
          <w:rtl/>
        </w:rPr>
      </w:pPr>
      <w:r>
        <w:rPr>
          <w:rtl/>
        </w:rPr>
        <w:t>סעיף ד</w:t>
      </w:r>
      <w:r>
        <w:rPr>
          <w:rFonts w:hint="cs"/>
          <w:rtl/>
        </w:rPr>
        <w:t>:</w:t>
      </w:r>
      <w:r w:rsidRPr="00420954">
        <w:rPr>
          <w:rFonts w:hint="cs"/>
          <w:rtl/>
        </w:rPr>
        <w:t xml:space="preserve"> </w:t>
      </w:r>
      <w:r>
        <w:rPr>
          <w:rFonts w:hint="cs"/>
          <w:rtl/>
        </w:rPr>
        <w:t>נמצאו עליה מומים.</w:t>
      </w:r>
    </w:p>
    <w:p w14:paraId="48C6C3D5" w14:textId="77777777" w:rsidR="00392DBB" w:rsidRPr="009B12C2" w:rsidRDefault="00392DBB" w:rsidP="00392DBB">
      <w:pPr>
        <w:rPr>
          <w:rtl/>
        </w:rPr>
      </w:pPr>
      <w:r>
        <w:rPr>
          <w:rFonts w:hint="cs"/>
          <w:rtl/>
        </w:rPr>
        <w:t>עיין במקורות בסעיף הקודם.</w:t>
      </w:r>
    </w:p>
    <w:p w14:paraId="0C5391E2"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D1033DC" w14:textId="77777777" w:rsidR="00392DBB" w:rsidRDefault="00392DBB" w:rsidP="00392DBB">
      <w:pPr>
        <w:rPr>
          <w:rtl/>
        </w:rPr>
      </w:pPr>
      <w:r>
        <w:rPr>
          <w:rFonts w:cs="Arial"/>
          <w:rtl/>
        </w:rPr>
        <w:t xml:space="preserve">וכן הכונס אשה, סתם, ונמצא בה מום ממומי הנשים שנתבארו בסי' ל"ט, ולא ידע הבעל במום זה, תצא בלא כתובה, לא עיקר ולא תוספת. </w:t>
      </w:r>
    </w:p>
    <w:p w14:paraId="71A277EE" w14:textId="77777777" w:rsidR="00392DBB" w:rsidRDefault="00392DBB" w:rsidP="00392DBB">
      <w:pPr>
        <w:rPr>
          <w:rtl/>
        </w:rPr>
      </w:pPr>
    </w:p>
    <w:p w14:paraId="00DFCCCB" w14:textId="77777777" w:rsidR="00392DBB" w:rsidRDefault="00392DBB" w:rsidP="000F64D0">
      <w:pPr>
        <w:pStyle w:val="2"/>
        <w:rPr>
          <w:rtl/>
        </w:rPr>
      </w:pPr>
      <w:r>
        <w:rPr>
          <w:rtl/>
        </w:rPr>
        <w:t>סעיף ה</w:t>
      </w:r>
      <w:r>
        <w:rPr>
          <w:rFonts w:hint="cs"/>
          <w:rtl/>
        </w:rPr>
        <w:t>: טענת מומים כשיש בעיר מרחץ.</w:t>
      </w:r>
    </w:p>
    <w:p w14:paraId="24C02771" w14:textId="268979C0" w:rsidR="00392DBB" w:rsidRPr="009B12C2" w:rsidRDefault="00830672" w:rsidP="00392DBB">
      <w:pPr>
        <w:rPr>
          <w:rtl/>
        </w:rPr>
      </w:pPr>
      <w:r>
        <w:rPr>
          <w:rFonts w:hint="cs"/>
          <w:rtl/>
        </w:rPr>
        <w:t>עיין במקורות בסימן לט</w:t>
      </w:r>
      <w:r w:rsidR="00A53636">
        <w:rPr>
          <w:rFonts w:hint="cs"/>
          <w:rtl/>
        </w:rPr>
        <w:t xml:space="preserve"> סעיף ג</w:t>
      </w:r>
      <w:r>
        <w:rPr>
          <w:rFonts w:hint="cs"/>
          <w:rtl/>
        </w:rPr>
        <w:t>.</w:t>
      </w:r>
    </w:p>
    <w:p w14:paraId="7AB5ED85"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065F9FF" w14:textId="77777777" w:rsidR="00392DBB" w:rsidRDefault="00392DBB" w:rsidP="00392DBB">
      <w:pPr>
        <w:rPr>
          <w:rtl/>
        </w:rPr>
      </w:pPr>
      <w:r>
        <w:rPr>
          <w:rFonts w:cs="Arial"/>
          <w:rtl/>
        </w:rPr>
        <w:t>אם יש מרחץ בעיר והיו לו קרובים שם, אינו יכול לומר: לא ידעתי מומין אלו, ואפילו מומין שבסתר, מפני שהוא בודק ע</w:t>
      </w:r>
      <w:r>
        <w:rPr>
          <w:rFonts w:cs="Arial" w:hint="cs"/>
          <w:rtl/>
        </w:rPr>
        <w:t>ל יד</w:t>
      </w:r>
      <w:r>
        <w:rPr>
          <w:rFonts w:cs="Arial"/>
          <w:rtl/>
        </w:rPr>
        <w:t xml:space="preserve">י קרובותיו וחזקתו ששמע ונתרצה. ואם אין שם מרחץ, או שלא היו לו שם קרובים, טוען במומין שבסתר. ונכפה לעתים ידועים, הרי הוא כמומי סתר. אבל במומין שבגלוי אינו יכול לטעון, שחזקתו ששמע ונתפייס. </w:t>
      </w:r>
      <w:r w:rsidRPr="004C57D8">
        <w:rPr>
          <w:rFonts w:cs="Arial" w:hint="cs"/>
          <w:sz w:val="18"/>
          <w:szCs w:val="18"/>
          <w:rtl/>
        </w:rPr>
        <w:t xml:space="preserve">[הגה] </w:t>
      </w:r>
      <w:r w:rsidRPr="004C57D8">
        <w:rPr>
          <w:rFonts w:cs="Arial"/>
          <w:sz w:val="18"/>
          <w:szCs w:val="18"/>
          <w:rtl/>
        </w:rPr>
        <w:t xml:space="preserve">המשתנת במטה תמיד, י"א דלא הוי מום (ב"י בשם הרשב"ץ). וי"א דהוי מום (ב"י), וכן נראה לי עיקר. טען על אשתו שהיא מצורעת, הוי מום (ב"י). </w:t>
      </w:r>
    </w:p>
    <w:p w14:paraId="53347271" w14:textId="77777777" w:rsidR="00392DBB" w:rsidRDefault="00392DBB" w:rsidP="00392DBB">
      <w:pPr>
        <w:rPr>
          <w:rtl/>
        </w:rPr>
      </w:pPr>
    </w:p>
    <w:p w14:paraId="1E174BD8" w14:textId="77777777" w:rsidR="00392DBB" w:rsidRDefault="00392DBB" w:rsidP="000F64D0">
      <w:pPr>
        <w:pStyle w:val="2"/>
        <w:rPr>
          <w:rtl/>
        </w:rPr>
      </w:pPr>
      <w:r>
        <w:rPr>
          <w:rtl/>
        </w:rPr>
        <w:t>סעיף ו</w:t>
      </w:r>
      <w:r>
        <w:rPr>
          <w:rFonts w:hint="cs"/>
          <w:rtl/>
        </w:rPr>
        <w:t>:</w:t>
      </w:r>
      <w:r w:rsidRPr="004C57D8">
        <w:rPr>
          <w:rFonts w:hint="cs"/>
          <w:rtl/>
        </w:rPr>
        <w:t xml:space="preserve"> </w:t>
      </w:r>
      <w:r>
        <w:rPr>
          <w:rFonts w:hint="cs"/>
          <w:rtl/>
        </w:rPr>
        <w:t>טענת מומים במקום שנוהגות לילך ופניהם מכוסות.</w:t>
      </w:r>
    </w:p>
    <w:p w14:paraId="7EC55B6E" w14:textId="6F216217" w:rsidR="00392DBB" w:rsidRPr="009B12C2" w:rsidRDefault="004A7797" w:rsidP="004A7797">
      <w:pPr>
        <w:rPr>
          <w:rtl/>
        </w:rPr>
      </w:pPr>
      <w:r>
        <w:rPr>
          <w:rFonts w:hint="cs"/>
          <w:rtl/>
        </w:rPr>
        <w:t>עיין במקורות בסימן לט סעיף ג.</w:t>
      </w:r>
    </w:p>
    <w:p w14:paraId="7451937A"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893ADB9" w14:textId="38CD1403" w:rsidR="00392DBB" w:rsidRDefault="00392DBB" w:rsidP="00392DBB">
      <w:pPr>
        <w:rPr>
          <w:rtl/>
        </w:rPr>
      </w:pPr>
      <w:r>
        <w:rPr>
          <w:rFonts w:cs="Arial"/>
          <w:rtl/>
        </w:rPr>
        <w:t>ב</w:t>
      </w:r>
      <w:r>
        <w:rPr>
          <w:rFonts w:cs="Arial" w:hint="cs"/>
          <w:rtl/>
        </w:rPr>
        <w:t>מה דברים אמורים</w:t>
      </w:r>
      <w:r>
        <w:rPr>
          <w:rFonts w:cs="Arial"/>
          <w:rtl/>
        </w:rPr>
        <w:t xml:space="preserve">, במקום שמנהג הנשים להלך בשוק ופניהן גלויות, אבל במקום שאין דרך הבנות לצאת לשוק כלל, ואם תצא למרחץ תצא מתנכרת, הרי זה טוען אפילו מומין שבגלוי. ואם יש שם מרחץ, אם יש לו קרובה אינו יכול לטעון, שבודאי הכל רואין אותה ערומה במרחץ. ואם דרכן להתחבא במרחץ, יכול לטעון אף מומין שבגלוי. </w:t>
      </w:r>
      <w:r w:rsidRPr="004C57D8">
        <w:rPr>
          <w:rFonts w:cs="Arial" w:hint="cs"/>
          <w:sz w:val="18"/>
          <w:szCs w:val="18"/>
          <w:rtl/>
        </w:rPr>
        <w:t xml:space="preserve">[הגה] </w:t>
      </w:r>
      <w:r w:rsidRPr="004C57D8">
        <w:rPr>
          <w:rFonts w:cs="Arial"/>
          <w:sz w:val="18"/>
          <w:szCs w:val="18"/>
          <w:rtl/>
        </w:rPr>
        <w:t>וי"א דאפילו אין לו קרובים בעיר, יש לו רעים ובודק על ידי נשותיהן (טור בשם הגאונים</w:t>
      </w:r>
      <w:r w:rsidR="00D018C0">
        <w:rPr>
          <w:rFonts w:cs="Arial" w:hint="cs"/>
          <w:sz w:val="18"/>
          <w:szCs w:val="18"/>
          <w:rtl/>
        </w:rPr>
        <w:t xml:space="preserve"> ורא"ש</w:t>
      </w:r>
      <w:r w:rsidRPr="004C57D8">
        <w:rPr>
          <w:rFonts w:cs="Arial"/>
          <w:sz w:val="18"/>
          <w:szCs w:val="18"/>
          <w:rtl/>
        </w:rPr>
        <w:t>).</w:t>
      </w:r>
      <w:r>
        <w:rPr>
          <w:rFonts w:cs="Arial"/>
          <w:rtl/>
        </w:rPr>
        <w:t xml:space="preserve"> </w:t>
      </w:r>
    </w:p>
    <w:p w14:paraId="547C7C88" w14:textId="77777777" w:rsidR="00392DBB" w:rsidRDefault="00392DBB" w:rsidP="00392DBB">
      <w:pPr>
        <w:rPr>
          <w:rtl/>
        </w:rPr>
      </w:pPr>
    </w:p>
    <w:p w14:paraId="46C23DA8" w14:textId="77777777" w:rsidR="00392DBB" w:rsidRDefault="00392DBB" w:rsidP="000F64D0">
      <w:pPr>
        <w:pStyle w:val="2"/>
        <w:rPr>
          <w:rtl/>
        </w:rPr>
      </w:pPr>
      <w:r>
        <w:rPr>
          <w:rtl/>
        </w:rPr>
        <w:t>סעיף ז</w:t>
      </w:r>
      <w:r>
        <w:rPr>
          <w:rFonts w:hint="cs"/>
          <w:rtl/>
        </w:rPr>
        <w:t>: טענת מומים כיצד.</w:t>
      </w:r>
    </w:p>
    <w:p w14:paraId="24C41E1D" w14:textId="2F874924" w:rsidR="00392DBB" w:rsidRPr="009B12C2" w:rsidRDefault="00D9433C" w:rsidP="00D9433C">
      <w:pPr>
        <w:rPr>
          <w:rtl/>
        </w:rPr>
      </w:pPr>
      <w:r>
        <w:rPr>
          <w:rFonts w:hint="cs"/>
          <w:rtl/>
        </w:rPr>
        <w:t>עיין במקורות בסימן לט סעיף ג.</w:t>
      </w:r>
    </w:p>
    <w:p w14:paraId="12C40E56"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666BDE1" w14:textId="77777777" w:rsidR="00392DBB" w:rsidRDefault="00392DBB" w:rsidP="00392DBB">
      <w:pPr>
        <w:rPr>
          <w:rtl/>
        </w:rPr>
      </w:pPr>
      <w:r>
        <w:rPr>
          <w:rFonts w:cs="Arial"/>
          <w:rtl/>
        </w:rPr>
        <w:t xml:space="preserve">כיצד היא טענת המומין, אם היו המומין שנמצאו בה מומין שודאי היה בה קודם שתתארס, כגון אצבע יתירה וכיוצא בו, על האב להביא ראיה שידע הבעל ונתרצה או שחזקתו שידע. ואם לא הביא ראיה, תצא בלא כתובה כלל. </w:t>
      </w:r>
    </w:p>
    <w:p w14:paraId="2E8F22E7" w14:textId="77777777" w:rsidR="00392DBB" w:rsidRDefault="00392DBB" w:rsidP="00392DBB">
      <w:pPr>
        <w:rPr>
          <w:rtl/>
        </w:rPr>
      </w:pPr>
    </w:p>
    <w:p w14:paraId="443ABA4E" w14:textId="77777777" w:rsidR="00392DBB" w:rsidRDefault="00392DBB" w:rsidP="000F64D0">
      <w:pPr>
        <w:pStyle w:val="2"/>
        <w:rPr>
          <w:rtl/>
        </w:rPr>
      </w:pPr>
      <w:r>
        <w:rPr>
          <w:rtl/>
        </w:rPr>
        <w:lastRenderedPageBreak/>
        <w:t>סעיף ח</w:t>
      </w:r>
      <w:r>
        <w:rPr>
          <w:rFonts w:hint="cs"/>
          <w:rtl/>
        </w:rPr>
        <w:t>: מומים שאפשר שנולדו לאחר האירוסין.</w:t>
      </w:r>
    </w:p>
    <w:p w14:paraId="1C0A19A1" w14:textId="38224E03" w:rsidR="00392DBB" w:rsidRPr="009B12C2" w:rsidRDefault="00D9433C" w:rsidP="00D9433C">
      <w:pPr>
        <w:rPr>
          <w:rtl/>
        </w:rPr>
      </w:pPr>
      <w:r>
        <w:rPr>
          <w:rFonts w:hint="cs"/>
          <w:rtl/>
        </w:rPr>
        <w:t>עיין במקורות בסימן לט סעיף ג.</w:t>
      </w:r>
    </w:p>
    <w:p w14:paraId="4A86006B"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1CAD4ED" w14:textId="3BD45C2D" w:rsidR="00392DBB" w:rsidRDefault="00392DBB" w:rsidP="00392DBB">
      <w:pPr>
        <w:rPr>
          <w:rtl/>
        </w:rPr>
      </w:pPr>
      <w:r>
        <w:rPr>
          <w:rFonts w:cs="Arial"/>
          <w:rtl/>
        </w:rPr>
        <w:t xml:space="preserve">היו בה מומין שאפשר שנולדו בה אחר האירוסין, אם נמצאו בה אחר שכנסה לבית הבעל, על הבעל להביא ראיה שעד שלא נתארסה היה בה והיה מקחו מקח טעות. ואם נמצאו בה והיא בבית אביה, על האב להביא ראיה שאחר האירוסין נולדו ונסתחפה שדהו. </w:t>
      </w:r>
      <w:r w:rsidRPr="009B12C2">
        <w:rPr>
          <w:rFonts w:cs="Arial"/>
          <w:sz w:val="18"/>
          <w:szCs w:val="18"/>
          <w:rtl/>
        </w:rPr>
        <w:t>הגה: וי"א דאם האב טוען ודאי, על הבעל להביא ראיה (ה</w:t>
      </w:r>
      <w:r w:rsidR="00A87BA2">
        <w:rPr>
          <w:rFonts w:cs="Arial" w:hint="cs"/>
          <w:sz w:val="18"/>
          <w:szCs w:val="18"/>
          <w:rtl/>
        </w:rPr>
        <w:t>ה</w:t>
      </w:r>
      <w:r w:rsidRPr="009B12C2">
        <w:rPr>
          <w:rFonts w:cs="Arial"/>
          <w:sz w:val="18"/>
          <w:szCs w:val="18"/>
          <w:rtl/>
        </w:rPr>
        <w:t>"מ בשם הרשב"א). וי"א דאם הגיע זמן לכנס, אע</w:t>
      </w:r>
      <w:r w:rsidR="000320A6">
        <w:rPr>
          <w:rFonts w:cs="Arial" w:hint="cs"/>
          <w:sz w:val="18"/>
          <w:szCs w:val="18"/>
          <w:rtl/>
        </w:rPr>
        <w:t>"</w:t>
      </w:r>
      <w:r w:rsidRPr="009B12C2">
        <w:rPr>
          <w:rFonts w:cs="Arial"/>
          <w:sz w:val="18"/>
          <w:szCs w:val="18"/>
          <w:rtl/>
        </w:rPr>
        <w:t>פ שלא כנסה, הוי כאילו היתה ברשות הבעל (רי</w:t>
      </w:r>
      <w:r w:rsidR="001100B0">
        <w:rPr>
          <w:rFonts w:cs="Arial" w:hint="cs"/>
          <w:sz w:val="18"/>
          <w:szCs w:val="18"/>
          <w:rtl/>
        </w:rPr>
        <w:t>"</w:t>
      </w:r>
      <w:r w:rsidRPr="009B12C2">
        <w:rPr>
          <w:rFonts w:cs="Arial"/>
          <w:sz w:val="18"/>
          <w:szCs w:val="18"/>
          <w:rtl/>
        </w:rPr>
        <w:t>ו).</w:t>
      </w:r>
      <w:r>
        <w:rPr>
          <w:rFonts w:cs="Arial"/>
          <w:rtl/>
        </w:rPr>
        <w:t xml:space="preserve"> </w:t>
      </w:r>
    </w:p>
    <w:p w14:paraId="2D574996" w14:textId="77777777" w:rsidR="00392DBB" w:rsidRDefault="00392DBB" w:rsidP="00392DBB">
      <w:pPr>
        <w:rPr>
          <w:rtl/>
        </w:rPr>
      </w:pPr>
    </w:p>
    <w:p w14:paraId="08AECFE5" w14:textId="77777777" w:rsidR="00392DBB" w:rsidRDefault="00392DBB" w:rsidP="000F64D0">
      <w:pPr>
        <w:pStyle w:val="2"/>
        <w:rPr>
          <w:rtl/>
        </w:rPr>
      </w:pPr>
      <w:r>
        <w:rPr>
          <w:rtl/>
        </w:rPr>
        <w:t>סעיף ט</w:t>
      </w:r>
      <w:r>
        <w:rPr>
          <w:rFonts w:hint="cs"/>
          <w:rtl/>
        </w:rPr>
        <w:t>: בעלה ואביה הביאו ראיה על המום.</w:t>
      </w:r>
    </w:p>
    <w:p w14:paraId="56CEE4D0" w14:textId="61AB241C" w:rsidR="00A87BA2" w:rsidRPr="009B12C2" w:rsidRDefault="00A87BA2" w:rsidP="00A87BA2">
      <w:pPr>
        <w:rPr>
          <w:rtl/>
        </w:rPr>
      </w:pPr>
      <w:r>
        <w:rPr>
          <w:rFonts w:hint="cs"/>
          <w:rtl/>
        </w:rPr>
        <w:t>עיין במקורות בסימן לט סעיף ג.</w:t>
      </w:r>
    </w:p>
    <w:p w14:paraId="4653D363"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8E168B7" w14:textId="77777777" w:rsidR="00392DBB" w:rsidRDefault="00392DBB" w:rsidP="00392DBB">
      <w:pPr>
        <w:rPr>
          <w:rtl/>
        </w:rPr>
      </w:pPr>
      <w:r>
        <w:rPr>
          <w:rFonts w:cs="Arial"/>
          <w:rtl/>
        </w:rPr>
        <w:t xml:space="preserve">הביא הבעל ראיה שעד שלא תתארס היו בה, או שהודית לו בכך, והביא האב ראיה שראה ושתק ונתפייס או שחזקתו שידע בהן ונתפייס, הרי זה חייב בכתובה. </w:t>
      </w:r>
    </w:p>
    <w:p w14:paraId="1A7AEF9A" w14:textId="77777777" w:rsidR="00392DBB" w:rsidRDefault="00392DBB" w:rsidP="00392DBB">
      <w:pPr>
        <w:rPr>
          <w:rtl/>
        </w:rPr>
      </w:pPr>
    </w:p>
    <w:p w14:paraId="7946A67B" w14:textId="77777777" w:rsidR="00392DBB" w:rsidRDefault="00392DBB" w:rsidP="000F64D0">
      <w:pPr>
        <w:pStyle w:val="2"/>
        <w:rPr>
          <w:rtl/>
        </w:rPr>
      </w:pPr>
      <w:r>
        <w:rPr>
          <w:rtl/>
        </w:rPr>
        <w:t>סעיף י</w:t>
      </w:r>
      <w:r>
        <w:rPr>
          <w:rFonts w:hint="cs"/>
          <w:rtl/>
        </w:rPr>
        <w:t>: טענת מומים לאחר זמן.</w:t>
      </w:r>
    </w:p>
    <w:p w14:paraId="266DBE16" w14:textId="664BD31B" w:rsidR="00392DBB" w:rsidRPr="009B12C2" w:rsidRDefault="00A87BA2" w:rsidP="00A87BA2">
      <w:pPr>
        <w:rPr>
          <w:rtl/>
        </w:rPr>
      </w:pPr>
      <w:r>
        <w:rPr>
          <w:rFonts w:hint="cs"/>
          <w:rtl/>
        </w:rPr>
        <w:t>עיין במקורות בסימן לט סעיף ג.</w:t>
      </w:r>
    </w:p>
    <w:p w14:paraId="5B222024"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737F03A" w14:textId="1A78902F" w:rsidR="00392DBB" w:rsidRDefault="00392DBB" w:rsidP="00392DBB">
      <w:pPr>
        <w:rPr>
          <w:rtl/>
        </w:rPr>
      </w:pPr>
      <w:r>
        <w:rPr>
          <w:rFonts w:cs="Arial"/>
          <w:rtl/>
        </w:rPr>
        <w:t>בא על אשתו, ושהה כמה ימים, וטען שמום זה לא נראה לו עד עתה, אפילו היה בתוך הקמטים או בכף הרגל, אין שומעין לו, חזקה אין אדם שותה בכוס א</w:t>
      </w:r>
      <w:r>
        <w:rPr>
          <w:rFonts w:cs="Arial" w:hint="cs"/>
          <w:rtl/>
        </w:rPr>
        <w:t xml:space="preserve">לא </w:t>
      </w:r>
      <w:r>
        <w:rPr>
          <w:rFonts w:cs="Arial"/>
          <w:rtl/>
        </w:rPr>
        <w:t>א</w:t>
      </w:r>
      <w:r>
        <w:rPr>
          <w:rFonts w:cs="Arial" w:hint="cs"/>
          <w:rtl/>
        </w:rPr>
        <w:t xml:space="preserve">ם </w:t>
      </w:r>
      <w:r>
        <w:rPr>
          <w:rFonts w:cs="Arial"/>
          <w:rtl/>
        </w:rPr>
        <w:t>כ</w:t>
      </w:r>
      <w:r>
        <w:rPr>
          <w:rFonts w:cs="Arial" w:hint="cs"/>
          <w:rtl/>
        </w:rPr>
        <w:t>ן</w:t>
      </w:r>
      <w:r>
        <w:rPr>
          <w:rFonts w:cs="Arial"/>
          <w:rtl/>
        </w:rPr>
        <w:t xml:space="preserve"> בודקו וידע ונתפייס. </w:t>
      </w:r>
      <w:r w:rsidRPr="009B12C2">
        <w:rPr>
          <w:rFonts w:cs="Arial"/>
          <w:sz w:val="18"/>
          <w:szCs w:val="18"/>
          <w:rtl/>
        </w:rPr>
        <w:t xml:space="preserve">הגה: ואם שהה עמה ל' יום, אינו נאמן לומר שלא בעל (מהרי"ק). </w:t>
      </w:r>
    </w:p>
    <w:p w14:paraId="4807B12B" w14:textId="77777777" w:rsidR="00392DBB" w:rsidRDefault="00392DBB" w:rsidP="00392DBB">
      <w:pPr>
        <w:rPr>
          <w:rtl/>
        </w:rPr>
      </w:pPr>
    </w:p>
    <w:p w14:paraId="6A249F20" w14:textId="77777777" w:rsidR="00392DBB" w:rsidRDefault="00392DBB" w:rsidP="000F64D0">
      <w:pPr>
        <w:pStyle w:val="2"/>
        <w:rPr>
          <w:rtl/>
        </w:rPr>
      </w:pPr>
      <w:r>
        <w:rPr>
          <w:rtl/>
        </w:rPr>
        <w:t>סעיף יא</w:t>
      </w:r>
      <w:r>
        <w:rPr>
          <w:rFonts w:hint="cs"/>
          <w:rtl/>
        </w:rPr>
        <w:t>: מי שרוצה לגרש אשתו משום מום, ואין לו לשלם כתובתה.</w:t>
      </w:r>
    </w:p>
    <w:p w14:paraId="19F98D08" w14:textId="313318A4" w:rsidR="00392DBB" w:rsidRPr="00551FED" w:rsidRDefault="00392DBB" w:rsidP="00392DBB">
      <w:pPr>
        <w:rPr>
          <w:u w:val="single"/>
          <w:rtl/>
        </w:rPr>
      </w:pPr>
      <w:r w:rsidRPr="00551FED">
        <w:rPr>
          <w:rFonts w:hint="cs"/>
          <w:u w:val="single"/>
          <w:rtl/>
        </w:rPr>
        <w:t>מי שרוצה לגרש אשתו משום מום</w:t>
      </w:r>
      <w:r w:rsidR="009B6D52">
        <w:rPr>
          <w:rFonts w:hint="cs"/>
          <w:u w:val="single"/>
          <w:rtl/>
        </w:rPr>
        <w:t>, ו</w:t>
      </w:r>
      <w:r w:rsidRPr="00551FED">
        <w:rPr>
          <w:rFonts w:hint="cs"/>
          <w:u w:val="single"/>
          <w:rtl/>
        </w:rPr>
        <w:t>אין לו לשלם כתובתה</w:t>
      </w:r>
      <w:r w:rsidR="009B6D52">
        <w:rPr>
          <w:rFonts w:hint="cs"/>
          <w:u w:val="single"/>
          <w:rtl/>
        </w:rPr>
        <w:t xml:space="preserve"> - האם יכול לגרשה בעל כרחה</w:t>
      </w:r>
      <w:r w:rsidRPr="00551FED">
        <w:rPr>
          <w:rFonts w:hint="cs"/>
          <w:u w:val="single"/>
          <w:rtl/>
        </w:rPr>
        <w:t>:</w:t>
      </w:r>
    </w:p>
    <w:p w14:paraId="15A42FCB" w14:textId="4CF1CBAC" w:rsidR="00392DBB" w:rsidRDefault="00392DBB" w:rsidP="009000E3">
      <w:pPr>
        <w:pStyle w:val="ab"/>
        <w:numPr>
          <w:ilvl w:val="0"/>
          <w:numId w:val="72"/>
        </w:numPr>
      </w:pPr>
      <w:r w:rsidRPr="00551FED">
        <w:rPr>
          <w:rFonts w:cs="Arial"/>
          <w:rtl/>
        </w:rPr>
        <w:t xml:space="preserve">רא"ש </w:t>
      </w:r>
      <w:r w:rsidRPr="00551FED">
        <w:rPr>
          <w:rFonts w:cs="Arial" w:hint="cs"/>
          <w:sz w:val="16"/>
          <w:szCs w:val="16"/>
          <w:rtl/>
        </w:rPr>
        <w:t>(</w:t>
      </w:r>
      <w:r w:rsidRPr="00551FED">
        <w:rPr>
          <w:rFonts w:cs="Arial"/>
          <w:sz w:val="16"/>
          <w:szCs w:val="16"/>
          <w:rtl/>
        </w:rPr>
        <w:t>כלל מב סי' א)</w:t>
      </w:r>
      <w:r w:rsidRPr="00551FED">
        <w:rPr>
          <w:rFonts w:cs="Arial" w:hint="cs"/>
          <w:rtl/>
        </w:rPr>
        <w:t>-</w:t>
      </w:r>
      <w:r w:rsidRPr="00551FED">
        <w:rPr>
          <w:rFonts w:cs="Arial"/>
          <w:rtl/>
        </w:rPr>
        <w:t xml:space="preserve"> </w:t>
      </w:r>
      <w:r w:rsidRPr="00046742">
        <w:rPr>
          <w:rFonts w:cs="Arial"/>
          <w:rtl/>
        </w:rPr>
        <w:t>על ראובן שנשא אשה ושהה עמה יותר משנתים ונודע לו שהיא נכפית והוציאה מביתו, והנה תובעת ממנו שאר כסות ועונה</w:t>
      </w:r>
      <w:r w:rsidR="003C53E4">
        <w:rPr>
          <w:rFonts w:cs="Arial" w:hint="cs"/>
          <w:rtl/>
        </w:rPr>
        <w:t>.</w:t>
      </w:r>
      <w:r w:rsidRPr="00046742">
        <w:rPr>
          <w:rFonts w:cs="Arial"/>
          <w:rtl/>
        </w:rPr>
        <w:t xml:space="preserve"> והוא משיב שהדבר ידוע שאין הדעת סובלתה להסתופף אצלה</w:t>
      </w:r>
      <w:r w:rsidR="003C53E4">
        <w:rPr>
          <w:rFonts w:cs="Arial" w:hint="cs"/>
          <w:rtl/>
        </w:rPr>
        <w:t>,</w:t>
      </w:r>
      <w:r w:rsidRPr="00046742">
        <w:rPr>
          <w:rFonts w:cs="Arial"/>
          <w:rtl/>
        </w:rPr>
        <w:t xml:space="preserve"> גם סכנה יש בדבר</w:t>
      </w:r>
      <w:r w:rsidR="003C53E4">
        <w:rPr>
          <w:rFonts w:cs="Arial" w:hint="cs"/>
          <w:rtl/>
        </w:rPr>
        <w:t>,</w:t>
      </w:r>
      <w:r w:rsidRPr="00046742">
        <w:rPr>
          <w:rFonts w:cs="Arial"/>
          <w:rtl/>
        </w:rPr>
        <w:t xml:space="preserve"> וחפץ לגרשה וליתן לה את כל אשר לו ועני הוא ואינו משיג לוטרין היילוייש. ומטיבותיכו נדין לפניכם כתלמיד לפני רבותיו. אמת הוא שחכמי הגמ' אמרו בין שנולדו בו מומין גדולים בין שנולדו מומין קטנים כופין אותו להוציא. ור"ג מאור הגולה ז"ל פי' בתשוב' אחת דנכפה הוי מום גדול. ובאשה אמרו חכמים אם נולדה בה מומין נסתחפה שדהו ואם בא לגרשה צריך שיתן לה כתובתה. ועתה בימי חכמי הגמרא אם אירע מום זה באשה בעלה היה מגרשה ומתחייב לה כתובה ויפרע מה שנמצא בידו והשאר באשר תשיג ידו. ועתה שתיקן הגאון רבינו גרשום ז"ל שאין לגרשה בעל כרחה איך יתכן שיתחייב לה שאר כסות ועונה</w:t>
      </w:r>
      <w:r w:rsidR="003C53E4">
        <w:rPr>
          <w:rFonts w:cs="Arial" w:hint="cs"/>
          <w:rtl/>
        </w:rPr>
        <w:t>,</w:t>
      </w:r>
      <w:r w:rsidRPr="00046742">
        <w:rPr>
          <w:rFonts w:cs="Arial"/>
          <w:rtl/>
        </w:rPr>
        <w:t xml:space="preserve"> אם כן יפה כח האשה הרבה מכח האיש. דאלו נולד מום זה באיש אין אנו אומרין יכפוה להיות אצלה</w:t>
      </w:r>
      <w:r w:rsidR="001C0572">
        <w:rPr>
          <w:rFonts w:cs="Arial" w:hint="cs"/>
          <w:rtl/>
        </w:rPr>
        <w:t>,</w:t>
      </w:r>
      <w:r w:rsidRPr="00046742">
        <w:rPr>
          <w:rFonts w:cs="Arial"/>
          <w:rtl/>
        </w:rPr>
        <w:t xml:space="preserve"> אלא כופין אותו להוציא ויתן כתובה</w:t>
      </w:r>
      <w:r w:rsidR="001C0572">
        <w:rPr>
          <w:rFonts w:cs="Arial" w:hint="cs"/>
          <w:rtl/>
        </w:rPr>
        <w:t>,</w:t>
      </w:r>
      <w:r w:rsidRPr="00046742">
        <w:rPr>
          <w:rFonts w:cs="Arial"/>
          <w:rtl/>
        </w:rPr>
        <w:t xml:space="preserve"> ואם נולד באשה יכפוהו להיות אצלה ולפרנסה</w:t>
      </w:r>
      <w:r w:rsidR="00AB5B2C">
        <w:rPr>
          <w:rFonts w:cs="Arial" w:hint="cs"/>
          <w:rtl/>
        </w:rPr>
        <w:t>?</w:t>
      </w:r>
      <w:r w:rsidRPr="00046742">
        <w:rPr>
          <w:rFonts w:cs="Arial"/>
          <w:rtl/>
        </w:rPr>
        <w:t xml:space="preserve"> השתא באיש שאינו מוציא אלא לרצונו כופין אותו להוציא ויתן כתובה</w:t>
      </w:r>
      <w:r w:rsidR="00AB5B2C">
        <w:rPr>
          <w:rFonts w:cs="Arial" w:hint="cs"/>
          <w:rtl/>
        </w:rPr>
        <w:t>,</w:t>
      </w:r>
      <w:r w:rsidRPr="00046742">
        <w:rPr>
          <w:rFonts w:cs="Arial"/>
          <w:rtl/>
        </w:rPr>
        <w:t xml:space="preserve"> אם נולדו בו מומין אשה שמתגרשת בעל כרחה לא כל שכן</w:t>
      </w:r>
      <w:r w:rsidR="00AB5B2C">
        <w:rPr>
          <w:rFonts w:cs="Arial" w:hint="cs"/>
          <w:rtl/>
        </w:rPr>
        <w:t>?</w:t>
      </w:r>
      <w:r w:rsidRPr="00046742">
        <w:rPr>
          <w:rFonts w:cs="Arial"/>
          <w:rtl/>
        </w:rPr>
        <w:t xml:space="preserve"> אלא שרבינו גרשום עשה גדר לדבר</w:t>
      </w:r>
      <w:r w:rsidR="00AB5B2C">
        <w:rPr>
          <w:rFonts w:cs="Arial" w:hint="cs"/>
          <w:rtl/>
        </w:rPr>
        <w:t>,</w:t>
      </w:r>
      <w:r w:rsidRPr="00046742">
        <w:rPr>
          <w:rFonts w:cs="Arial"/>
          <w:rtl/>
        </w:rPr>
        <w:t xml:space="preserve"> וכי לאו קל וחומר שלא עלתה על לבו על כיוצא בזה לעגן האיש לבטלו מפריה ורביה</w:t>
      </w:r>
      <w:r w:rsidR="00FB26B2">
        <w:rPr>
          <w:rFonts w:cs="Arial" w:hint="cs"/>
          <w:rtl/>
        </w:rPr>
        <w:t>.</w:t>
      </w:r>
      <w:r w:rsidRPr="00046742">
        <w:rPr>
          <w:rFonts w:cs="Arial"/>
          <w:rtl/>
        </w:rPr>
        <w:t xml:space="preserve"> אלא ודאי יגרשנה ויתן לה כתובתה</w:t>
      </w:r>
      <w:r w:rsidR="00FB26B2">
        <w:rPr>
          <w:rFonts w:cs="Arial" w:hint="cs"/>
          <w:rtl/>
        </w:rPr>
        <w:t>,</w:t>
      </w:r>
      <w:r w:rsidRPr="00046742">
        <w:rPr>
          <w:rFonts w:cs="Arial"/>
          <w:rtl/>
        </w:rPr>
        <w:t xml:space="preserve"> כי כולי האי לא ייפה בתקנתו כח האשה מכח האיש, אך כי ראה הדור פרוץ ומזלזלין בבנות ישראל בזריקת גט ותקן להשוות כח האשה לכח האיש כמו שהאיש אינו מוציא אלא לרצונו כך האשה אינה מתגרשת אלא לרצונה. אבל לא יתכן כלל לומר במקום שהאיש כופין להוציא לא יגרשנה בעל כרחה</w:t>
      </w:r>
      <w:r w:rsidR="00EB493C">
        <w:rPr>
          <w:rFonts w:cs="Arial" w:hint="cs"/>
          <w:rtl/>
        </w:rPr>
        <w:t>.</w:t>
      </w:r>
      <w:r w:rsidRPr="00046742">
        <w:rPr>
          <w:rFonts w:cs="Arial"/>
          <w:rtl/>
        </w:rPr>
        <w:t xml:space="preserve"> ואף אם תמצא לומר שהשוה מדותיו ששום אדם לא יגרש בעל כרחה</w:t>
      </w:r>
      <w:r w:rsidR="00EB493C">
        <w:rPr>
          <w:rFonts w:cs="Arial" w:hint="cs"/>
          <w:rtl/>
        </w:rPr>
        <w:t>,</w:t>
      </w:r>
      <w:r w:rsidRPr="00046742">
        <w:rPr>
          <w:rFonts w:cs="Arial"/>
          <w:rtl/>
        </w:rPr>
        <w:t xml:space="preserve"> מכל </w:t>
      </w:r>
      <w:r w:rsidRPr="00046742">
        <w:rPr>
          <w:rFonts w:cs="Arial"/>
          <w:rtl/>
        </w:rPr>
        <w:lastRenderedPageBreak/>
        <w:t>מקום במה שהאיש כופין אותו להוציא אף האשה כופין אותה לקבל גט. ואם תמאן לקבל ימנע ממנה שאר כסות ועונה ואינה יכולה לומר אין רצוני לקבל גט עד שיתן לי כתובתי דזו אינה טענה כיון דמן הדין היא חייבת לקבל גט כאשר הוכחתי. נמצא פריעת חוב כתובתה הוי כשאר חוב שהיה מחוייב לה, והנמצא אתו יתן והמותר כאשר תשיג ידו</w:t>
      </w:r>
      <w:r w:rsidRPr="00551FED">
        <w:rPr>
          <w:rFonts w:cs="Arial" w:hint="cs"/>
          <w:rtl/>
        </w:rPr>
        <w:t>.</w:t>
      </w:r>
      <w:r>
        <w:rPr>
          <w:rFonts w:hint="cs"/>
          <w:rtl/>
        </w:rPr>
        <w:t xml:space="preserve"> </w:t>
      </w:r>
      <w:r w:rsidRPr="00544E63">
        <w:rPr>
          <w:rFonts w:hint="cs"/>
          <w:color w:val="E36C0A" w:themeColor="accent6" w:themeShade="BF"/>
          <w:rtl/>
        </w:rPr>
        <w:t>(וכ"פ בשו"ע)</w:t>
      </w:r>
      <w:r>
        <w:rPr>
          <w:rFonts w:hint="cs"/>
          <w:rtl/>
        </w:rPr>
        <w:t xml:space="preserve"> </w:t>
      </w:r>
      <w:r w:rsidRPr="002666AC">
        <w:rPr>
          <w:rFonts w:hint="cs"/>
          <w:color w:val="00B0F0"/>
          <w:rtl/>
        </w:rPr>
        <w:t>(וכ"פ הרמ</w:t>
      </w:r>
      <w:r>
        <w:rPr>
          <w:rFonts w:hint="cs"/>
          <w:color w:val="00B0F0"/>
          <w:rtl/>
        </w:rPr>
        <w:t>"א</w:t>
      </w:r>
      <w:r>
        <w:rPr>
          <w:rFonts w:hint="cs"/>
          <w:color w:val="000000" w:themeColor="text1"/>
          <w:sz w:val="16"/>
          <w:szCs w:val="16"/>
          <w:rtl/>
        </w:rPr>
        <w:t xml:space="preserve"> </w:t>
      </w:r>
      <w:r w:rsidRPr="00EC11A0">
        <w:rPr>
          <w:rFonts w:hint="cs"/>
          <w:color w:val="000000" w:themeColor="text1"/>
          <w:sz w:val="16"/>
          <w:szCs w:val="16"/>
          <w:rtl/>
        </w:rPr>
        <w:t>[</w:t>
      </w:r>
      <w:r>
        <w:rPr>
          <w:rFonts w:hint="cs"/>
          <w:color w:val="000000" w:themeColor="text1"/>
          <w:sz w:val="16"/>
          <w:szCs w:val="16"/>
          <w:rtl/>
        </w:rPr>
        <w:t>כאן, ובסי' קיט ס"ו</w:t>
      </w:r>
      <w:r w:rsidRPr="00EC11A0">
        <w:rPr>
          <w:rFonts w:hint="cs"/>
          <w:color w:val="000000" w:themeColor="text1"/>
          <w:sz w:val="16"/>
          <w:szCs w:val="16"/>
          <w:rtl/>
        </w:rPr>
        <w:t>]</w:t>
      </w:r>
      <w:r w:rsidRPr="002666AC">
        <w:rPr>
          <w:rFonts w:hint="cs"/>
          <w:color w:val="00B0F0"/>
          <w:rtl/>
        </w:rPr>
        <w:t>)</w:t>
      </w:r>
    </w:p>
    <w:p w14:paraId="56CA47F3" w14:textId="22CAFB6F" w:rsidR="00392DBB" w:rsidRDefault="00392DBB" w:rsidP="009000E3">
      <w:pPr>
        <w:pStyle w:val="ab"/>
        <w:numPr>
          <w:ilvl w:val="0"/>
          <w:numId w:val="72"/>
        </w:numPr>
      </w:pPr>
      <w:r w:rsidRPr="0022210A">
        <w:rPr>
          <w:rFonts w:cs="Arial"/>
          <w:rtl/>
        </w:rPr>
        <w:t xml:space="preserve">רשב"א </w:t>
      </w:r>
      <w:r w:rsidRPr="0022210A">
        <w:rPr>
          <w:rFonts w:cs="Arial" w:hint="cs"/>
          <w:sz w:val="16"/>
          <w:szCs w:val="16"/>
          <w:rtl/>
        </w:rPr>
        <w:t>(</w:t>
      </w:r>
      <w:r w:rsidRPr="0022210A">
        <w:rPr>
          <w:rFonts w:cs="Arial"/>
          <w:sz w:val="16"/>
          <w:szCs w:val="16"/>
          <w:rtl/>
        </w:rPr>
        <w:t>ח"א סי</w:t>
      </w:r>
      <w:r w:rsidRPr="0022210A">
        <w:rPr>
          <w:rFonts w:cs="Arial" w:hint="cs"/>
          <w:sz w:val="16"/>
          <w:szCs w:val="16"/>
          <w:rtl/>
        </w:rPr>
        <w:t>'</w:t>
      </w:r>
      <w:r w:rsidRPr="0022210A">
        <w:rPr>
          <w:rFonts w:cs="Arial"/>
          <w:sz w:val="16"/>
          <w:szCs w:val="16"/>
          <w:rtl/>
        </w:rPr>
        <w:t xml:space="preserve"> אלף רנד</w:t>
      </w:r>
      <w:r w:rsidRPr="0022210A">
        <w:rPr>
          <w:rFonts w:cs="Arial" w:hint="cs"/>
          <w:sz w:val="16"/>
          <w:szCs w:val="16"/>
          <w:rtl/>
        </w:rPr>
        <w:t>)</w:t>
      </w:r>
      <w:r w:rsidRPr="0022210A">
        <w:rPr>
          <w:rFonts w:cs="Arial"/>
          <w:rtl/>
        </w:rPr>
        <w:t xml:space="preserve"> </w:t>
      </w:r>
      <w:r>
        <w:rPr>
          <w:rFonts w:cs="Arial" w:hint="cs"/>
          <w:rtl/>
        </w:rPr>
        <w:t>ו</w:t>
      </w:r>
      <w:r w:rsidRPr="0022210A">
        <w:rPr>
          <w:rFonts w:cs="Arial"/>
          <w:rtl/>
        </w:rPr>
        <w:t>תשב"ץ</w:t>
      </w:r>
      <w:r w:rsidRPr="00594D8E">
        <w:rPr>
          <w:rFonts w:cs="Arial"/>
          <w:sz w:val="16"/>
          <w:szCs w:val="16"/>
          <w:rtl/>
        </w:rPr>
        <w:t xml:space="preserve"> </w:t>
      </w:r>
      <w:r w:rsidRPr="00594D8E">
        <w:rPr>
          <w:rFonts w:cs="Arial" w:hint="cs"/>
          <w:sz w:val="16"/>
          <w:szCs w:val="16"/>
          <w:rtl/>
        </w:rPr>
        <w:t>(</w:t>
      </w:r>
      <w:r w:rsidRPr="00594D8E">
        <w:rPr>
          <w:rFonts w:cs="Arial"/>
          <w:sz w:val="16"/>
          <w:szCs w:val="16"/>
          <w:rtl/>
        </w:rPr>
        <w:t>ח"ג סי' רכג)</w:t>
      </w:r>
      <w:r>
        <w:rPr>
          <w:rFonts w:cs="Arial" w:hint="cs"/>
          <w:rtl/>
        </w:rPr>
        <w:t>-</w:t>
      </w:r>
      <w:r w:rsidRPr="0022210A">
        <w:rPr>
          <w:rFonts w:cs="Arial"/>
          <w:rtl/>
        </w:rPr>
        <w:t xml:space="preserve"> שמעתי משם הגאון שאין אדם רשאי לגרש את אשתו אם אין לו לפרוע כתובתה</w:t>
      </w:r>
      <w:r>
        <w:rPr>
          <w:rFonts w:cs="Arial" w:hint="cs"/>
          <w:rtl/>
        </w:rPr>
        <w:t>,</w:t>
      </w:r>
      <w:r w:rsidRPr="0022210A">
        <w:rPr>
          <w:rFonts w:cs="Arial"/>
          <w:rtl/>
        </w:rPr>
        <w:t xml:space="preserve"> כן מצאתי לרב אלפס בתשובה</w:t>
      </w:r>
      <w:r>
        <w:rPr>
          <w:rStyle w:val="a7"/>
          <w:rFonts w:cs="Arial"/>
          <w:rtl/>
        </w:rPr>
        <w:footnoteReference w:id="2952"/>
      </w:r>
      <w:r w:rsidRPr="0022210A">
        <w:rPr>
          <w:rFonts w:cs="Arial"/>
          <w:rtl/>
        </w:rPr>
        <w:t xml:space="preserve"> </w:t>
      </w:r>
      <w:r w:rsidRPr="0029088C">
        <w:rPr>
          <w:rFonts w:cs="Arial"/>
          <w:sz w:val="16"/>
          <w:szCs w:val="16"/>
          <w:rtl/>
        </w:rPr>
        <w:t>(סי' יד דפוס ליוורנו</w:t>
      </w:r>
      <w:r w:rsidRPr="0029088C">
        <w:rPr>
          <w:rFonts w:cs="Arial" w:hint="cs"/>
          <w:sz w:val="16"/>
          <w:szCs w:val="16"/>
          <w:rtl/>
        </w:rPr>
        <w:t>, וסי' קג בשו"ת הרי"ף</w:t>
      </w:r>
      <w:r w:rsidRPr="0029088C">
        <w:rPr>
          <w:rFonts w:cs="Arial"/>
          <w:sz w:val="16"/>
          <w:szCs w:val="16"/>
          <w:rtl/>
        </w:rPr>
        <w:t>)</w:t>
      </w:r>
      <w:r>
        <w:rPr>
          <w:rFonts w:cs="Arial" w:hint="cs"/>
          <w:rtl/>
        </w:rPr>
        <w:t>,</w:t>
      </w:r>
      <w:r w:rsidRPr="0022210A">
        <w:rPr>
          <w:rFonts w:cs="Arial"/>
          <w:rtl/>
        </w:rPr>
        <w:t xml:space="preserve"> והביא ראיה מדתנן </w:t>
      </w:r>
      <w:r w:rsidRPr="0029088C">
        <w:rPr>
          <w:rFonts w:cs="Arial"/>
          <w:sz w:val="16"/>
          <w:szCs w:val="16"/>
          <w:rtl/>
        </w:rPr>
        <w:t xml:space="preserve">(כתובות נא.) </w:t>
      </w:r>
      <w:r w:rsidRPr="0022210A">
        <w:rPr>
          <w:rFonts w:cs="Arial"/>
          <w:rtl/>
        </w:rPr>
        <w:t>לקתה חייב לרפאותה ואם אמר הרי גיטה וכתובתה ותרפא את עצמה רשאי</w:t>
      </w:r>
      <w:r>
        <w:rPr>
          <w:rFonts w:cs="Arial" w:hint="cs"/>
          <w:rtl/>
        </w:rPr>
        <w:t>,</w:t>
      </w:r>
      <w:r w:rsidRPr="0022210A">
        <w:rPr>
          <w:rFonts w:cs="Arial"/>
          <w:rtl/>
        </w:rPr>
        <w:t xml:space="preserve"> אבל שלא בכתובתה אינו רשאי</w:t>
      </w:r>
      <w:r>
        <w:rPr>
          <w:rFonts w:cs="Arial" w:hint="cs"/>
          <w:rtl/>
        </w:rPr>
        <w:t>.</w:t>
      </w:r>
      <w:r w:rsidRPr="0022210A">
        <w:rPr>
          <w:rFonts w:cs="Arial"/>
          <w:rtl/>
        </w:rPr>
        <w:t xml:space="preserve"> ואם לא קיבל עליו את הדין מנדין אותו</w:t>
      </w:r>
      <w:r w:rsidR="00DB52F1">
        <w:rPr>
          <w:rFonts w:hint="cs"/>
          <w:rtl/>
        </w:rPr>
        <w:t>.</w:t>
      </w:r>
      <w:r w:rsidRPr="00A054D1">
        <w:rPr>
          <w:rtl/>
        </w:rPr>
        <w:t xml:space="preserve"> </w:t>
      </w:r>
      <w:r w:rsidRPr="00A054D1">
        <w:rPr>
          <w:rFonts w:cs="Arial"/>
          <w:rtl/>
        </w:rPr>
        <w:t>זה לשון התשובה</w:t>
      </w:r>
      <w:r>
        <w:rPr>
          <w:rStyle w:val="a7"/>
          <w:rFonts w:cs="Arial"/>
          <w:rtl/>
        </w:rPr>
        <w:footnoteReference w:id="2953"/>
      </w:r>
      <w:r>
        <w:rPr>
          <w:rFonts w:cs="Arial" w:hint="cs"/>
          <w:sz w:val="16"/>
          <w:szCs w:val="16"/>
          <w:rtl/>
        </w:rPr>
        <w:t xml:space="preserve"> (ל' הרשב"א והתשב"ץ)</w:t>
      </w:r>
      <w:r>
        <w:rPr>
          <w:rFonts w:cs="Arial" w:hint="cs"/>
          <w:rtl/>
        </w:rPr>
        <w:t>.</w:t>
      </w:r>
    </w:p>
    <w:p w14:paraId="36F1AB1D" w14:textId="52BE460E" w:rsidR="005C4672" w:rsidRPr="005542FD" w:rsidRDefault="00C966D3" w:rsidP="005542FD">
      <w:pPr>
        <w:rPr>
          <w:u w:val="single"/>
        </w:rPr>
      </w:pPr>
      <w:r>
        <w:rPr>
          <w:rFonts w:hint="cs"/>
          <w:u w:val="single"/>
          <w:rtl/>
        </w:rPr>
        <w:t>גילה מום</w:t>
      </w:r>
      <w:r w:rsidR="005542FD" w:rsidRPr="005542FD">
        <w:rPr>
          <w:rFonts w:hint="cs"/>
          <w:u w:val="single"/>
          <w:rtl/>
        </w:rPr>
        <w:t xml:space="preserve"> </w:t>
      </w:r>
      <w:r w:rsidR="00E31EDC">
        <w:rPr>
          <w:rFonts w:hint="cs"/>
          <w:u w:val="single"/>
          <w:rtl/>
        </w:rPr>
        <w:t>ב</w:t>
      </w:r>
      <w:r w:rsidR="005542FD" w:rsidRPr="005542FD">
        <w:rPr>
          <w:rFonts w:hint="cs"/>
          <w:u w:val="single"/>
          <w:rtl/>
        </w:rPr>
        <w:t>אשתו</w:t>
      </w:r>
      <w:r>
        <w:rPr>
          <w:rFonts w:hint="cs"/>
          <w:u w:val="single"/>
          <w:rtl/>
        </w:rPr>
        <w:t xml:space="preserve"> ו</w:t>
      </w:r>
      <w:r w:rsidR="00187AD4">
        <w:rPr>
          <w:rFonts w:hint="cs"/>
          <w:u w:val="single"/>
          <w:rtl/>
        </w:rPr>
        <w:t xml:space="preserve">לאחר </w:t>
      </w:r>
      <w:r>
        <w:rPr>
          <w:rFonts w:hint="cs"/>
          <w:u w:val="single"/>
          <w:rtl/>
        </w:rPr>
        <w:t>ש</w:t>
      </w:r>
      <w:r w:rsidR="00187AD4">
        <w:rPr>
          <w:rFonts w:hint="cs"/>
          <w:u w:val="single"/>
          <w:rtl/>
        </w:rPr>
        <w:t>ש</w:t>
      </w:r>
      <w:r>
        <w:rPr>
          <w:rFonts w:hint="cs"/>
          <w:u w:val="single"/>
          <w:rtl/>
        </w:rPr>
        <w:t xml:space="preserve">הה עמה </w:t>
      </w:r>
      <w:r w:rsidR="003218FF">
        <w:rPr>
          <w:rFonts w:hint="cs"/>
          <w:u w:val="single"/>
          <w:rtl/>
        </w:rPr>
        <w:t>רוצה לגרשה</w:t>
      </w:r>
      <w:r w:rsidR="00F12274">
        <w:rPr>
          <w:rFonts w:hint="cs"/>
          <w:u w:val="single"/>
          <w:rtl/>
        </w:rPr>
        <w:t>,</w:t>
      </w:r>
      <w:r w:rsidR="005C4672" w:rsidRPr="005542FD">
        <w:rPr>
          <w:rFonts w:hint="cs"/>
          <w:u w:val="single"/>
          <w:rtl/>
        </w:rPr>
        <w:t xml:space="preserve"> ואינה רוצה לקבל גט - האם יכול למנוע ממנה שאר כסות ועונה: </w:t>
      </w:r>
    </w:p>
    <w:p w14:paraId="293720E0" w14:textId="0101625E" w:rsidR="00392DBB" w:rsidRDefault="00392DBB" w:rsidP="009000E3">
      <w:pPr>
        <w:pStyle w:val="ab"/>
        <w:numPr>
          <w:ilvl w:val="0"/>
          <w:numId w:val="72"/>
        </w:numPr>
        <w:rPr>
          <w:rtl/>
        </w:rPr>
      </w:pPr>
      <w:r w:rsidRPr="0039471B">
        <w:rPr>
          <w:rFonts w:cs="Arial"/>
          <w:rtl/>
        </w:rPr>
        <w:t xml:space="preserve">מהרי"ק </w:t>
      </w:r>
      <w:r w:rsidRPr="008A635F">
        <w:rPr>
          <w:rFonts w:cs="Arial" w:hint="cs"/>
          <w:sz w:val="16"/>
          <w:szCs w:val="16"/>
          <w:rtl/>
        </w:rPr>
        <w:t>(</w:t>
      </w:r>
      <w:r w:rsidRPr="008A635F">
        <w:rPr>
          <w:rFonts w:cs="Arial"/>
          <w:sz w:val="16"/>
          <w:szCs w:val="16"/>
          <w:rtl/>
        </w:rPr>
        <w:t>שורש קז</w:t>
      </w:r>
      <w:r w:rsidRPr="008A635F">
        <w:rPr>
          <w:rFonts w:cs="Arial" w:hint="cs"/>
          <w:sz w:val="16"/>
          <w:szCs w:val="16"/>
          <w:rtl/>
        </w:rPr>
        <w:t>)</w:t>
      </w:r>
      <w:r>
        <w:rPr>
          <w:rFonts w:cs="Arial" w:hint="cs"/>
          <w:rtl/>
        </w:rPr>
        <w:t xml:space="preserve">- </w:t>
      </w:r>
      <w:r w:rsidRPr="008A635F">
        <w:rPr>
          <w:rFonts w:cs="Arial"/>
          <w:rtl/>
        </w:rPr>
        <w:t>על אודות יעקב שטוען על אשתו לאה טענת מום</w:t>
      </w:r>
      <w:r w:rsidR="008D59B1">
        <w:rPr>
          <w:rFonts w:cs="Arial" w:hint="cs"/>
          <w:rtl/>
        </w:rPr>
        <w:t>,</w:t>
      </w:r>
      <w:r w:rsidRPr="008A635F">
        <w:rPr>
          <w:rFonts w:cs="Arial"/>
          <w:rtl/>
        </w:rPr>
        <w:t xml:space="preserve"> והיא אומרת דידע ומחיל שהרי שהה עמה כמה ימים ולא ערער</w:t>
      </w:r>
      <w:r>
        <w:rPr>
          <w:rFonts w:cs="Arial" w:hint="cs"/>
          <w:rtl/>
        </w:rPr>
        <w:t>.</w:t>
      </w:r>
      <w:r w:rsidRPr="008A635F">
        <w:rPr>
          <w:rFonts w:cs="Arial"/>
          <w:rtl/>
        </w:rPr>
        <w:t xml:space="preserve"> וכתב רבינו משה דבכה"ג לא מצי טוען</w:t>
      </w:r>
      <w:r>
        <w:rPr>
          <w:rFonts w:cs="Arial" w:hint="cs"/>
          <w:rtl/>
        </w:rPr>
        <w:t>.</w:t>
      </w:r>
      <w:r w:rsidRPr="008A635F">
        <w:rPr>
          <w:rFonts w:cs="Arial"/>
          <w:rtl/>
        </w:rPr>
        <w:t xml:space="preserve"> ועתה אומר הבעל שאם תרצה לקבל גט וכתובה מוטב</w:t>
      </w:r>
      <w:r w:rsidR="008D59B1">
        <w:rPr>
          <w:rFonts w:cs="Arial" w:hint="cs"/>
          <w:rtl/>
        </w:rPr>
        <w:t>,</w:t>
      </w:r>
      <w:r w:rsidRPr="008A635F">
        <w:rPr>
          <w:rFonts w:cs="Arial"/>
          <w:rtl/>
        </w:rPr>
        <w:t xml:space="preserve"> ואם לאו תשב עד שתלבין ראשה</w:t>
      </w:r>
      <w:r>
        <w:rPr>
          <w:rFonts w:cs="Arial" w:hint="cs"/>
          <w:rtl/>
        </w:rPr>
        <w:t>..</w:t>
      </w:r>
      <w:r w:rsidRPr="008A635F">
        <w:rPr>
          <w:rFonts w:cs="Arial"/>
          <w:rtl/>
        </w:rPr>
        <w:t>. ומכל מקום לע"ד נר</w:t>
      </w:r>
      <w:r w:rsidR="008D59B1">
        <w:rPr>
          <w:rFonts w:cs="Arial" w:hint="cs"/>
          <w:rtl/>
        </w:rPr>
        <w:t>אה</w:t>
      </w:r>
      <w:r w:rsidRPr="008A635F">
        <w:rPr>
          <w:rFonts w:cs="Arial"/>
          <w:rtl/>
        </w:rPr>
        <w:t xml:space="preserve"> דנהי שחייב בכתובתה בלי ספק ושלא יכול להוציאה בע"כ מכח תקנת הגאון דפשיטא דאין להקל בה בלא ראיה</w:t>
      </w:r>
      <w:r w:rsidR="00F34CB3">
        <w:rPr>
          <w:rFonts w:cs="Arial" w:hint="cs"/>
          <w:rtl/>
        </w:rPr>
        <w:t>,</w:t>
      </w:r>
      <w:r w:rsidRPr="008A635F">
        <w:rPr>
          <w:rFonts w:cs="Arial"/>
          <w:rtl/>
        </w:rPr>
        <w:t xml:space="preserve"> מ"מ אנו אין בידינו לכופו להיות עמה דאפשר לומר דבכה</w:t>
      </w:r>
      <w:r w:rsidR="00F34CB3">
        <w:rPr>
          <w:rFonts w:cs="Arial" w:hint="cs"/>
          <w:rtl/>
        </w:rPr>
        <w:t>"</w:t>
      </w:r>
      <w:r w:rsidRPr="008A635F">
        <w:rPr>
          <w:rFonts w:cs="Arial"/>
          <w:rtl/>
        </w:rPr>
        <w:t>ג לא תיקן הגאון כיון שהוא בא מחמת טענה ונמאסת בעיניו מחמת המום</w:t>
      </w:r>
      <w:r w:rsidR="00F34CB3">
        <w:rPr>
          <w:rFonts w:cs="Arial" w:hint="cs"/>
          <w:rtl/>
        </w:rPr>
        <w:t>,</w:t>
      </w:r>
      <w:r w:rsidRPr="008A635F">
        <w:rPr>
          <w:rFonts w:cs="Arial"/>
          <w:rtl/>
        </w:rPr>
        <w:t xml:space="preserve"> ומה יעשה זה שאין יכול להתרצו</w:t>
      </w:r>
      <w:r>
        <w:rPr>
          <w:rFonts w:cs="Arial" w:hint="cs"/>
          <w:rtl/>
        </w:rPr>
        <w:t>ת</w:t>
      </w:r>
      <w:r w:rsidRPr="008A635F">
        <w:rPr>
          <w:rFonts w:cs="Arial"/>
          <w:rtl/>
        </w:rPr>
        <w:t xml:space="preserve"> בה ולהתפייס במומה</w:t>
      </w:r>
      <w:r w:rsidR="00F34CB3">
        <w:rPr>
          <w:rFonts w:cs="Arial" w:hint="cs"/>
          <w:rtl/>
        </w:rPr>
        <w:t>,</w:t>
      </w:r>
      <w:r w:rsidRPr="008A635F">
        <w:rPr>
          <w:rFonts w:cs="Arial"/>
          <w:rtl/>
        </w:rPr>
        <w:t xml:space="preserve"> ואם יהיה בנים ממנה הרי הם בני שנואה וגרושת הלב</w:t>
      </w:r>
      <w:r>
        <w:rPr>
          <w:rFonts w:cs="Arial" w:hint="cs"/>
          <w:rtl/>
        </w:rPr>
        <w:t>...</w:t>
      </w:r>
      <w:r>
        <w:rPr>
          <w:rStyle w:val="a7"/>
          <w:rFonts w:cs="Arial"/>
          <w:rtl/>
        </w:rPr>
        <w:footnoteReference w:id="2954"/>
      </w:r>
      <w:r>
        <w:rPr>
          <w:rFonts w:cs="Arial" w:hint="cs"/>
          <w:rtl/>
        </w:rPr>
        <w:t>.</w:t>
      </w:r>
      <w:r w:rsidRPr="0039471B">
        <w:rPr>
          <w:rFonts w:cs="Arial"/>
          <w:rtl/>
        </w:rPr>
        <w:t xml:space="preserve"> </w:t>
      </w:r>
      <w:r w:rsidR="005C4672" w:rsidRPr="002666AC">
        <w:rPr>
          <w:rFonts w:hint="cs"/>
          <w:color w:val="00B0F0"/>
          <w:rtl/>
        </w:rPr>
        <w:t>(וכ"פ הרמ</w:t>
      </w:r>
      <w:r w:rsidR="005C4672">
        <w:rPr>
          <w:rFonts w:hint="cs"/>
          <w:color w:val="00B0F0"/>
          <w:rtl/>
        </w:rPr>
        <w:t>"א</w:t>
      </w:r>
      <w:r w:rsidR="005C4672" w:rsidRPr="002666AC">
        <w:rPr>
          <w:rFonts w:hint="cs"/>
          <w:color w:val="00B0F0"/>
          <w:rtl/>
        </w:rPr>
        <w:t>)</w:t>
      </w:r>
    </w:p>
    <w:p w14:paraId="42F504EC"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CCA9984" w14:textId="528627D8" w:rsidR="00392DBB" w:rsidRDefault="00392DBB" w:rsidP="00952D7A">
      <w:pPr>
        <w:rPr>
          <w:rFonts w:cs="Arial"/>
          <w:sz w:val="18"/>
          <w:szCs w:val="18"/>
          <w:rtl/>
        </w:rPr>
      </w:pPr>
      <w:r>
        <w:rPr>
          <w:rFonts w:cs="Arial"/>
          <w:rtl/>
        </w:rPr>
        <w:t>מי שנודע לו שאשתו נכפת</w:t>
      </w:r>
      <w:r>
        <w:rPr>
          <w:rStyle w:val="a7"/>
          <w:rFonts w:cs="Arial"/>
          <w:rtl/>
        </w:rPr>
        <w:footnoteReference w:id="2955"/>
      </w:r>
      <w:r>
        <w:rPr>
          <w:rFonts w:cs="Arial"/>
          <w:rtl/>
        </w:rPr>
        <w:t xml:space="preserve">, ורוצה לגרשה ואינו משיג כדי כתובתה, כופין אותה לקבל גט </w:t>
      </w:r>
      <w:r>
        <w:rPr>
          <w:rFonts w:cs="Arial" w:hint="cs"/>
          <w:sz w:val="18"/>
          <w:szCs w:val="18"/>
          <w:rtl/>
        </w:rPr>
        <w:t xml:space="preserve">[הגה] </w:t>
      </w:r>
      <w:r w:rsidRPr="00352B5A">
        <w:rPr>
          <w:rFonts w:cs="Arial"/>
          <w:sz w:val="18"/>
          <w:szCs w:val="18"/>
          <w:rtl/>
        </w:rPr>
        <w:t>ואין בזה משום תקנת ר"ג</w:t>
      </w:r>
      <w:r>
        <w:rPr>
          <w:rFonts w:cs="Arial" w:hint="cs"/>
          <w:sz w:val="18"/>
          <w:szCs w:val="18"/>
          <w:rtl/>
        </w:rPr>
        <w:t xml:space="preserve"> (רא"ש)</w:t>
      </w:r>
      <w:r>
        <w:rPr>
          <w:rFonts w:cs="Arial" w:hint="cs"/>
          <w:rtl/>
        </w:rPr>
        <w:t>.</w:t>
      </w:r>
      <w:r>
        <w:rPr>
          <w:rFonts w:cs="Arial"/>
          <w:rtl/>
        </w:rPr>
        <w:t xml:space="preserve"> ויתן הנמצא בידו לכתובתה, והמותר כשתשיג ידו</w:t>
      </w:r>
      <w:r>
        <w:rPr>
          <w:rStyle w:val="a7"/>
          <w:rFonts w:cs="Arial"/>
          <w:rtl/>
        </w:rPr>
        <w:footnoteReference w:id="2956"/>
      </w:r>
      <w:r>
        <w:rPr>
          <w:rFonts w:cs="Arial" w:hint="cs"/>
          <w:rtl/>
        </w:rPr>
        <w:t>.</w:t>
      </w:r>
      <w:r>
        <w:rPr>
          <w:rFonts w:cs="Arial"/>
          <w:rtl/>
        </w:rPr>
        <w:t xml:space="preserve"> ואם תמאן לקבל גט</w:t>
      </w:r>
      <w:r>
        <w:rPr>
          <w:rStyle w:val="a7"/>
          <w:rFonts w:cs="Arial"/>
          <w:rtl/>
        </w:rPr>
        <w:footnoteReference w:id="2957"/>
      </w:r>
      <w:r>
        <w:rPr>
          <w:rFonts w:cs="Arial"/>
          <w:rtl/>
        </w:rPr>
        <w:t>, ימנע ממנה שאר כסות ועונה</w:t>
      </w:r>
      <w:r>
        <w:rPr>
          <w:rStyle w:val="a7"/>
          <w:rFonts w:cs="Arial"/>
          <w:rtl/>
        </w:rPr>
        <w:footnoteReference w:id="2958"/>
      </w:r>
      <w:r>
        <w:rPr>
          <w:rFonts w:cs="Arial"/>
          <w:rtl/>
        </w:rPr>
        <w:t xml:space="preserve">. </w:t>
      </w:r>
      <w:r w:rsidRPr="00352B5A">
        <w:rPr>
          <w:rFonts w:cs="Arial"/>
          <w:sz w:val="18"/>
          <w:szCs w:val="18"/>
          <w:rtl/>
        </w:rPr>
        <w:lastRenderedPageBreak/>
        <w:t>הגה: ודוקא במום גדול כזה שאלו היה באיש היו כופין לגרש מדין התלמוד, ולא תקן ר"ג שתהא האשה עדיפא מאיש (</w:t>
      </w:r>
      <w:r w:rsidR="00B475F7">
        <w:rPr>
          <w:rFonts w:cs="Arial" w:hint="cs"/>
          <w:sz w:val="18"/>
          <w:szCs w:val="18"/>
          <w:rtl/>
        </w:rPr>
        <w:t>רא"ש</w:t>
      </w:r>
      <w:r w:rsidRPr="00352B5A">
        <w:rPr>
          <w:rFonts w:cs="Arial"/>
          <w:sz w:val="18"/>
          <w:szCs w:val="18"/>
          <w:rtl/>
        </w:rPr>
        <w:t>), אבל משום שאר מומין אינו יכול לגרשה בעל כרחה</w:t>
      </w:r>
      <w:r>
        <w:rPr>
          <w:rStyle w:val="a7"/>
          <w:rFonts w:cs="Arial"/>
          <w:sz w:val="18"/>
          <w:szCs w:val="18"/>
          <w:rtl/>
        </w:rPr>
        <w:footnoteReference w:id="2959"/>
      </w:r>
      <w:r w:rsidRPr="00352B5A">
        <w:rPr>
          <w:rFonts w:cs="Arial"/>
          <w:sz w:val="18"/>
          <w:szCs w:val="18"/>
          <w:rtl/>
        </w:rPr>
        <w:t>, אבל מכל מקום אין כופין אותו להיות עמה, מאחר דמאיסה עליו ורוצה לגרשה ולתת לה כתובתה</w:t>
      </w:r>
      <w:r>
        <w:rPr>
          <w:rStyle w:val="a7"/>
          <w:rFonts w:cs="Arial"/>
          <w:sz w:val="18"/>
          <w:szCs w:val="18"/>
          <w:rtl/>
        </w:rPr>
        <w:footnoteReference w:id="2960"/>
      </w:r>
      <w:r w:rsidRPr="00352B5A">
        <w:rPr>
          <w:rFonts w:cs="Arial"/>
          <w:sz w:val="18"/>
          <w:szCs w:val="18"/>
          <w:rtl/>
        </w:rPr>
        <w:t xml:space="preserve"> (מהרי"ק).</w:t>
      </w:r>
    </w:p>
    <w:p w14:paraId="1370373F" w14:textId="77777777" w:rsidR="00392DBB" w:rsidRDefault="00392DBB" w:rsidP="00392DBB">
      <w:pPr>
        <w:rPr>
          <w:rFonts w:cs="Arial"/>
          <w:rtl/>
        </w:rPr>
      </w:pPr>
      <w:r w:rsidRPr="00046742">
        <w:rPr>
          <w:rFonts w:cs="Arial" w:hint="cs"/>
          <w:u w:val="single"/>
          <w:rtl/>
        </w:rPr>
        <w:t>אשה חולה, ובעלה רוצה לדמות דינה לאשה נכפית:</w:t>
      </w:r>
      <w:r>
        <w:rPr>
          <w:rFonts w:cs="Arial"/>
          <w:rtl/>
        </w:rPr>
        <w:t xml:space="preserve"> </w:t>
      </w:r>
      <w:r w:rsidRPr="00046742">
        <w:rPr>
          <w:rFonts w:cs="Arial"/>
          <w:sz w:val="16"/>
          <w:szCs w:val="16"/>
          <w:rtl/>
        </w:rPr>
        <w:t>(</w:t>
      </w:r>
      <w:r w:rsidRPr="00046742">
        <w:rPr>
          <w:rFonts w:cs="Arial" w:hint="cs"/>
          <w:sz w:val="16"/>
          <w:szCs w:val="16"/>
          <w:rtl/>
        </w:rPr>
        <w:t>פת"ש סק"</w:t>
      </w:r>
      <w:r w:rsidRPr="00046742">
        <w:rPr>
          <w:rFonts w:cs="Arial"/>
          <w:sz w:val="16"/>
          <w:szCs w:val="16"/>
          <w:rtl/>
        </w:rPr>
        <w:t xml:space="preserve">ג) </w:t>
      </w:r>
    </w:p>
    <w:p w14:paraId="53041AA4" w14:textId="327B4373" w:rsidR="00392DBB" w:rsidRPr="007A3469" w:rsidRDefault="00392DBB" w:rsidP="009000E3">
      <w:pPr>
        <w:pStyle w:val="ab"/>
        <w:numPr>
          <w:ilvl w:val="0"/>
          <w:numId w:val="72"/>
        </w:numPr>
        <w:rPr>
          <w:rtl/>
        </w:rPr>
        <w:sectPr w:rsidR="00392DBB" w:rsidRPr="007A3469" w:rsidSect="00A347B3">
          <w:headerReference w:type="default" r:id="rId61"/>
          <w:footnotePr>
            <w:numRestart w:val="eachSect"/>
          </w:footnotePr>
          <w:pgSz w:w="11906" w:h="16838"/>
          <w:pgMar w:top="720" w:right="1134" w:bottom="720" w:left="1134" w:header="0" w:footer="0" w:gutter="0"/>
          <w:cols w:space="720"/>
          <w:bidi/>
          <w:rtlGutter/>
          <w:docGrid w:linePitch="360"/>
        </w:sectPr>
      </w:pPr>
      <w:r w:rsidRPr="00046742">
        <w:rPr>
          <w:rFonts w:cs="Arial"/>
          <w:rtl/>
        </w:rPr>
        <w:t>נו"ב</w:t>
      </w:r>
      <w:r w:rsidRPr="00046742">
        <w:rPr>
          <w:rFonts w:cs="Arial" w:hint="cs"/>
          <w:rtl/>
        </w:rPr>
        <w:t xml:space="preserve"> </w:t>
      </w:r>
      <w:r w:rsidRPr="00046742">
        <w:rPr>
          <w:rFonts w:cs="Arial" w:hint="cs"/>
          <w:sz w:val="16"/>
          <w:szCs w:val="16"/>
          <w:rtl/>
        </w:rPr>
        <w:t>(</w:t>
      </w:r>
      <w:r w:rsidRPr="00046742">
        <w:rPr>
          <w:rFonts w:cs="Arial"/>
          <w:sz w:val="16"/>
          <w:szCs w:val="16"/>
          <w:rtl/>
        </w:rPr>
        <w:t>תניינא סי</w:t>
      </w:r>
      <w:r w:rsidRPr="00046742">
        <w:rPr>
          <w:rFonts w:cs="Arial" w:hint="cs"/>
          <w:sz w:val="16"/>
          <w:szCs w:val="16"/>
          <w:rtl/>
        </w:rPr>
        <w:t>'</w:t>
      </w:r>
      <w:r w:rsidRPr="00046742">
        <w:rPr>
          <w:rFonts w:cs="Arial"/>
          <w:sz w:val="16"/>
          <w:szCs w:val="16"/>
          <w:rtl/>
        </w:rPr>
        <w:t xml:space="preserve"> קד</w:t>
      </w:r>
      <w:r w:rsidRPr="00046742">
        <w:rPr>
          <w:rFonts w:cs="Arial" w:hint="cs"/>
          <w:sz w:val="16"/>
          <w:szCs w:val="16"/>
          <w:rtl/>
        </w:rPr>
        <w:t>)</w:t>
      </w:r>
      <w:r w:rsidRPr="00046742">
        <w:rPr>
          <w:rFonts w:cs="Arial" w:hint="cs"/>
          <w:rtl/>
        </w:rPr>
        <w:t>-</w:t>
      </w:r>
      <w:r w:rsidRPr="00046742">
        <w:rPr>
          <w:rFonts w:cs="Arial"/>
          <w:rtl/>
        </w:rPr>
        <w:t xml:space="preserve"> אשה אחת שנשאת לאיש ולפי דברי האיש זה שנה שהוא עמה היא חולנית ועסקה ברפואות ולא הועיל והוא האיש אומר שהוא מבין חולשתה שנתקלקל מוחה ושהוא שופט בשכלו שאין לה רפואות תעלה</w:t>
      </w:r>
      <w:r w:rsidR="002765D4">
        <w:rPr>
          <w:rFonts w:cs="Arial" w:hint="cs"/>
          <w:rtl/>
        </w:rPr>
        <w:t>,</w:t>
      </w:r>
      <w:r w:rsidRPr="00046742">
        <w:rPr>
          <w:rFonts w:cs="Arial"/>
          <w:rtl/>
        </w:rPr>
        <w:t xml:space="preserve"> ומדמה אותה לנכפית ורוצה לגרשה בע"כ</w:t>
      </w:r>
      <w:r w:rsidR="002765D4">
        <w:rPr>
          <w:rFonts w:cs="Arial" w:hint="cs"/>
          <w:rtl/>
        </w:rPr>
        <w:t>,</w:t>
      </w:r>
      <w:r w:rsidRPr="00046742">
        <w:rPr>
          <w:rFonts w:cs="Arial"/>
          <w:rtl/>
        </w:rPr>
        <w:t xml:space="preserve"> ואף שאין בידו לסלק כתובתה תשאר הכתובה חוב עליו. הנה רמות רוחא יתירתא חזינא בי' כו' ומי יסמוך על הבנתו שהוא אומר שהבין חולי'</w:t>
      </w:r>
      <w:r w:rsidR="002765D4">
        <w:rPr>
          <w:rFonts w:cs="Arial" w:hint="cs"/>
          <w:rtl/>
        </w:rPr>
        <w:t>,</w:t>
      </w:r>
      <w:r w:rsidRPr="00046742">
        <w:rPr>
          <w:rFonts w:cs="Arial"/>
          <w:rtl/>
        </w:rPr>
        <w:t xml:space="preserve"> ואולי הוא שוטה כו' ומה בכך שמוחה כואב לה ואינה יכולה לילך בשוק רק בבית</w:t>
      </w:r>
      <w:r w:rsidR="002765D4">
        <w:rPr>
          <w:rFonts w:cs="Arial" w:hint="cs"/>
          <w:rtl/>
        </w:rPr>
        <w:t>,</w:t>
      </w:r>
      <w:r w:rsidRPr="00046742">
        <w:rPr>
          <w:rFonts w:cs="Arial"/>
          <w:rtl/>
        </w:rPr>
        <w:t xml:space="preserve"> וכי בשביל זה אינה ראוי' לתשמיש</w:t>
      </w:r>
      <w:r w:rsidR="002765D4">
        <w:rPr>
          <w:rFonts w:cs="Arial" w:hint="cs"/>
          <w:rtl/>
        </w:rPr>
        <w:t>?</w:t>
      </w:r>
      <w:r w:rsidRPr="00046742">
        <w:rPr>
          <w:rFonts w:cs="Arial"/>
          <w:rtl/>
        </w:rPr>
        <w:t xml:space="preserve"> ואם אין בכחה לסבול תשמיש כעונת הטייל בכל יום</w:t>
      </w:r>
      <w:r w:rsidR="002765D4">
        <w:rPr>
          <w:rFonts w:cs="Arial" w:hint="cs"/>
          <w:rtl/>
        </w:rPr>
        <w:t>,</w:t>
      </w:r>
      <w:r w:rsidRPr="00046742">
        <w:rPr>
          <w:rFonts w:cs="Arial"/>
          <w:rtl/>
        </w:rPr>
        <w:t xml:space="preserve"> ראויה היא לעתים בכל שבוע או בכל חודש</w:t>
      </w:r>
      <w:r w:rsidR="002765D4">
        <w:rPr>
          <w:rFonts w:cs="Arial" w:hint="cs"/>
          <w:rtl/>
        </w:rPr>
        <w:t>,</w:t>
      </w:r>
      <w:r w:rsidRPr="00046742">
        <w:rPr>
          <w:rFonts w:cs="Arial"/>
          <w:rtl/>
        </w:rPr>
        <w:t xml:space="preserve"> בשביל זה שימעט עונתו לא יוכל לגרש ע</w:t>
      </w:r>
      <w:r w:rsidRPr="00046742">
        <w:rPr>
          <w:rFonts w:cs="Arial" w:hint="cs"/>
          <w:rtl/>
        </w:rPr>
        <w:t xml:space="preserve">ל </w:t>
      </w:r>
      <w:r w:rsidRPr="00046742">
        <w:rPr>
          <w:rFonts w:cs="Arial"/>
          <w:rtl/>
        </w:rPr>
        <w:t>כ</w:t>
      </w:r>
      <w:r w:rsidRPr="00046742">
        <w:rPr>
          <w:rFonts w:cs="Arial" w:hint="cs"/>
          <w:rtl/>
        </w:rPr>
        <w:t>רחה.</w:t>
      </w:r>
      <w:r w:rsidRPr="00046742">
        <w:rPr>
          <w:rFonts w:cs="Arial"/>
          <w:rtl/>
        </w:rPr>
        <w:t xml:space="preserve"> ומה ענין זו לנכפית ששם יש סכנה לשמש עמה</w:t>
      </w:r>
      <w:r w:rsidRPr="00046742">
        <w:rPr>
          <w:rFonts w:cs="Arial" w:hint="cs"/>
          <w:rtl/>
        </w:rPr>
        <w:t>.</w:t>
      </w:r>
      <w:r w:rsidRPr="00046742">
        <w:rPr>
          <w:rFonts w:cs="Arial"/>
          <w:rtl/>
        </w:rPr>
        <w:t xml:space="preserve"> ולכן דברי הבעל הוא דברי שטות ומחוייב הוא להטפל באשתו בכל צרכיה</w:t>
      </w:r>
      <w:r w:rsidRPr="00046742">
        <w:rPr>
          <w:rFonts w:cs="Arial" w:hint="cs"/>
          <w:rtl/>
        </w:rPr>
        <w:t>.</w:t>
      </w:r>
    </w:p>
    <w:p w14:paraId="5F7EEC9A" w14:textId="77777777" w:rsidR="00392DBB" w:rsidRDefault="00392DBB" w:rsidP="00392DBB">
      <w:pPr>
        <w:pStyle w:val="1"/>
        <w:rPr>
          <w:rtl/>
        </w:rPr>
      </w:pPr>
      <w:r>
        <w:rPr>
          <w:rFonts w:hint="cs"/>
          <w:rtl/>
        </w:rPr>
        <w:lastRenderedPageBreak/>
        <w:t>סימן קיח:</w:t>
      </w:r>
      <w:r w:rsidRPr="00C12B74">
        <w:rPr>
          <w:rtl/>
        </w:rPr>
        <w:t xml:space="preserve"> </w:t>
      </w:r>
      <w:r>
        <w:rPr>
          <w:rFonts w:cs="Arial"/>
          <w:rtl/>
        </w:rPr>
        <w:t xml:space="preserve">תקנת נשואין של קהל טוליטולה, ודיני נדוניא, ובו י"ט סעיפים. </w:t>
      </w:r>
    </w:p>
    <w:p w14:paraId="2347C6C9" w14:textId="77777777" w:rsidR="00392DBB" w:rsidRDefault="00392DBB" w:rsidP="000F64D0">
      <w:pPr>
        <w:pStyle w:val="2"/>
        <w:rPr>
          <w:rtl/>
        </w:rPr>
      </w:pPr>
      <w:r>
        <w:rPr>
          <w:rtl/>
        </w:rPr>
        <w:t>סעיף א</w:t>
      </w:r>
      <w:r>
        <w:rPr>
          <w:rFonts w:hint="cs"/>
          <w:rtl/>
        </w:rPr>
        <w:t xml:space="preserve">: תקנת </w:t>
      </w:r>
      <w:r w:rsidRPr="005D0708">
        <w:rPr>
          <w:rFonts w:cs="Arial"/>
          <w:rtl/>
        </w:rPr>
        <w:t>הנישואין של קהל טוליטולה</w:t>
      </w:r>
      <w:r>
        <w:rPr>
          <w:rFonts w:hint="cs"/>
          <w:rtl/>
        </w:rPr>
        <w:t>. שומת בגדי החול שעל האלמנה.</w:t>
      </w:r>
    </w:p>
    <w:p w14:paraId="13A1C3A5" w14:textId="77777777" w:rsidR="00392DBB" w:rsidRPr="00213780" w:rsidRDefault="00392DBB" w:rsidP="00392DBB">
      <w:pPr>
        <w:rPr>
          <w:u w:val="single"/>
          <w:rtl/>
        </w:rPr>
      </w:pPr>
      <w:r w:rsidRPr="00213780">
        <w:rPr>
          <w:rFonts w:cs="Arial"/>
          <w:u w:val="single"/>
          <w:rtl/>
        </w:rPr>
        <w:t xml:space="preserve">תקנות </w:t>
      </w:r>
      <w:r w:rsidRPr="005D0708">
        <w:rPr>
          <w:rFonts w:cs="Arial"/>
          <w:u w:val="single"/>
          <w:rtl/>
        </w:rPr>
        <w:t>הנישואין של קהל טוליטולה</w:t>
      </w:r>
      <w:r w:rsidRPr="00213780">
        <w:rPr>
          <w:rFonts w:hint="cs"/>
          <w:u w:val="single"/>
          <w:rtl/>
        </w:rPr>
        <w:t>:</w:t>
      </w:r>
    </w:p>
    <w:p w14:paraId="3FDB5461" w14:textId="77777777" w:rsidR="00392DBB" w:rsidRPr="0066056C" w:rsidRDefault="00392DBB" w:rsidP="009000E3">
      <w:pPr>
        <w:pStyle w:val="ab"/>
        <w:numPr>
          <w:ilvl w:val="0"/>
          <w:numId w:val="72"/>
        </w:numPr>
      </w:pPr>
      <w:r>
        <w:rPr>
          <w:rFonts w:hint="cs"/>
          <w:rtl/>
        </w:rPr>
        <w:t>טור-</w:t>
      </w:r>
      <w:r w:rsidRPr="0040439D">
        <w:rPr>
          <w:rFonts w:cs="Arial"/>
          <w:rtl/>
        </w:rPr>
        <w:t xml:space="preserve"> כשתמות האשה תחת בעלה והניחה ממנו זרע של קיימא</w:t>
      </w:r>
      <w:r>
        <w:rPr>
          <w:rFonts w:cs="Arial" w:hint="cs"/>
          <w:rtl/>
        </w:rPr>
        <w:t>,</w:t>
      </w:r>
      <w:r w:rsidRPr="0040439D">
        <w:rPr>
          <w:rFonts w:cs="Arial"/>
          <w:rtl/>
        </w:rPr>
        <w:t xml:space="preserve"> בין שיהיה בן או בת</w:t>
      </w:r>
      <w:r>
        <w:rPr>
          <w:rFonts w:cs="Arial" w:hint="cs"/>
          <w:rtl/>
        </w:rPr>
        <w:t>,</w:t>
      </w:r>
      <w:r w:rsidRPr="0040439D">
        <w:rPr>
          <w:rFonts w:cs="Arial"/>
          <w:rtl/>
        </w:rPr>
        <w:t xml:space="preserve"> שכוונתנו בזרע של קיימא שיהיה אותו הזרע בחיי האם ואחר פטירתה ל' יום שלימים או יותר</w:t>
      </w:r>
      <w:r>
        <w:rPr>
          <w:rFonts w:cs="Arial" w:hint="cs"/>
          <w:rtl/>
        </w:rPr>
        <w:t>.</w:t>
      </w:r>
      <w:r w:rsidRPr="0040439D">
        <w:rPr>
          <w:rFonts w:cs="Arial"/>
          <w:rtl/>
        </w:rPr>
        <w:t xml:space="preserve"> מכל מה שימצא מעזבונה שהוא מבגדים שלה או קרקע נדוניתה או קרקע קנוי בשמה </w:t>
      </w:r>
      <w:r>
        <w:rPr>
          <w:rFonts w:cs="Arial" w:hint="cs"/>
          <w:rtl/>
        </w:rPr>
        <w:t xml:space="preserve">- </w:t>
      </w:r>
      <w:r w:rsidRPr="0040439D">
        <w:rPr>
          <w:rFonts w:cs="Arial"/>
          <w:rtl/>
        </w:rPr>
        <w:t>יחלוק אותו הבעל עם אותו הזרע לחצאין בשוה</w:t>
      </w:r>
      <w:r>
        <w:rPr>
          <w:rFonts w:cs="Arial" w:hint="cs"/>
          <w:rtl/>
        </w:rPr>
        <w:t>.</w:t>
      </w:r>
      <w:r w:rsidRPr="0040439D">
        <w:rPr>
          <w:rFonts w:cs="Arial"/>
          <w:rtl/>
        </w:rPr>
        <w:t xml:space="preserve"> ואם לא הניחה זרע של קיימא כמו שזכרנו </w:t>
      </w:r>
      <w:r>
        <w:rPr>
          <w:rFonts w:cs="Arial" w:hint="cs"/>
          <w:rtl/>
        </w:rPr>
        <w:t xml:space="preserve">- </w:t>
      </w:r>
      <w:r w:rsidRPr="0040439D">
        <w:rPr>
          <w:rFonts w:cs="Arial"/>
          <w:rtl/>
        </w:rPr>
        <w:t>יהיה כל מה שביארנו מעניני עזבונה הנמצאים בעין בין הבעל ובין הזוכים בירושתה זולתו</w:t>
      </w:r>
      <w:r>
        <w:rPr>
          <w:rFonts w:cs="Arial" w:hint="cs"/>
          <w:rtl/>
        </w:rPr>
        <w:t>,</w:t>
      </w:r>
      <w:r w:rsidRPr="0040439D">
        <w:rPr>
          <w:rFonts w:cs="Arial"/>
          <w:rtl/>
        </w:rPr>
        <w:t xml:space="preserve"> ויחזור החצי הנזכר ממנו שהיה לו ליורש מן הדין לאשר יהיה לו דין קדימה בירושתה משאר יורשים אם היה הוא נפטר בחייה</w:t>
      </w:r>
      <w:r>
        <w:rPr>
          <w:rFonts w:cs="Arial" w:hint="cs"/>
          <w:rtl/>
        </w:rPr>
        <w:t>.</w:t>
      </w:r>
      <w:r w:rsidRPr="0040439D">
        <w:rPr>
          <w:rFonts w:cs="Arial"/>
          <w:rtl/>
        </w:rPr>
        <w:t xml:space="preserve"> ונחשוב אז כאלו היה נפטר בחייה לענין שיזכה הזוכה בירושתה בחצי מה שמצא שנשאר מעזבונה</w:t>
      </w:r>
      <w:r>
        <w:rPr>
          <w:rFonts w:cs="Arial" w:hint="cs"/>
          <w:rtl/>
        </w:rPr>
        <w:t>,</w:t>
      </w:r>
      <w:r w:rsidRPr="0040439D">
        <w:rPr>
          <w:rFonts w:cs="Arial"/>
          <w:rtl/>
        </w:rPr>
        <w:t xml:space="preserve"> שהוא עיקר נדוניתה ומה שהכניסה לו בנישואיה קרקע או מטלטלי</w:t>
      </w:r>
      <w:r>
        <w:rPr>
          <w:rFonts w:cs="Arial" w:hint="cs"/>
          <w:rtl/>
        </w:rPr>
        <w:t>.</w:t>
      </w:r>
      <w:r w:rsidRPr="0040439D">
        <w:rPr>
          <w:rFonts w:cs="Arial"/>
          <w:rtl/>
        </w:rPr>
        <w:t xml:space="preserve"> וישאר לו החצי השני</w:t>
      </w:r>
      <w:r>
        <w:rPr>
          <w:rFonts w:cs="Arial" w:hint="cs"/>
          <w:rtl/>
        </w:rPr>
        <w:t>.</w:t>
      </w:r>
      <w:r w:rsidRPr="0040439D">
        <w:rPr>
          <w:rFonts w:cs="Arial"/>
          <w:rtl/>
        </w:rPr>
        <w:t xml:space="preserve"> ותכריכים וצרכי קבורתה עליו אם יש לו ממון מלבד זה</w:t>
      </w:r>
      <w:r>
        <w:rPr>
          <w:rFonts w:cs="Arial" w:hint="cs"/>
          <w:rtl/>
        </w:rPr>
        <w:t>.</w:t>
      </w:r>
      <w:r w:rsidRPr="0040439D">
        <w:rPr>
          <w:rFonts w:cs="Arial"/>
          <w:rtl/>
        </w:rPr>
        <w:t xml:space="preserve"> ואם אין לו ממון זולתו</w:t>
      </w:r>
      <w:r>
        <w:rPr>
          <w:rFonts w:cs="Arial" w:hint="cs"/>
          <w:rtl/>
        </w:rPr>
        <w:t>,</w:t>
      </w:r>
      <w:r w:rsidRPr="0040439D">
        <w:rPr>
          <w:rFonts w:cs="Arial"/>
          <w:rtl/>
        </w:rPr>
        <w:t xml:space="preserve"> יוציאו תחלה מכלל הממון התכריכים וצרכי הקבורה ותהיה החלוקה כשאר הממון כמו שזכרנו</w:t>
      </w:r>
      <w:r>
        <w:rPr>
          <w:rFonts w:cs="Arial" w:hint="cs"/>
          <w:rtl/>
        </w:rPr>
        <w:t>.</w:t>
      </w:r>
      <w:r w:rsidRPr="0040439D">
        <w:rPr>
          <w:rFonts w:cs="Arial"/>
          <w:rtl/>
        </w:rPr>
        <w:t xml:space="preserve"> ואם יש לה אז אם בחייה</w:t>
      </w:r>
      <w:r>
        <w:rPr>
          <w:rFonts w:cs="Arial" w:hint="cs"/>
          <w:rtl/>
        </w:rPr>
        <w:t>,</w:t>
      </w:r>
      <w:r w:rsidRPr="0040439D">
        <w:rPr>
          <w:rFonts w:cs="Arial"/>
          <w:rtl/>
        </w:rPr>
        <w:t xml:space="preserve"> ויתבאר באר היטב שאותו ממון שהניחה היא</w:t>
      </w:r>
      <w:r>
        <w:rPr>
          <w:rFonts w:cs="Arial" w:hint="cs"/>
          <w:rtl/>
        </w:rPr>
        <w:t>,</w:t>
      </w:r>
      <w:r w:rsidRPr="0040439D">
        <w:rPr>
          <w:rFonts w:cs="Arial"/>
          <w:rtl/>
        </w:rPr>
        <w:t xml:space="preserve"> ממה שהכניסה לה האם ומה שנתנה לה</w:t>
      </w:r>
      <w:r>
        <w:rPr>
          <w:rFonts w:cs="Arial" w:hint="cs"/>
          <w:rtl/>
        </w:rPr>
        <w:t>,</w:t>
      </w:r>
      <w:r w:rsidRPr="0040439D">
        <w:rPr>
          <w:rFonts w:cs="Arial"/>
          <w:rtl/>
        </w:rPr>
        <w:t xml:space="preserve"> כגון שתהיה אלמנה או גרושה</w:t>
      </w:r>
      <w:r>
        <w:rPr>
          <w:rFonts w:cs="Arial" w:hint="cs"/>
          <w:rtl/>
        </w:rPr>
        <w:t>,</w:t>
      </w:r>
      <w:r w:rsidRPr="0040439D">
        <w:rPr>
          <w:rFonts w:cs="Arial"/>
          <w:rtl/>
        </w:rPr>
        <w:t xml:space="preserve"> מלבד שהכניסה כבר לבתה בנישואיה קרקע שלה או בגדים שקנתה</w:t>
      </w:r>
      <w:r>
        <w:rPr>
          <w:rFonts w:cs="Arial" w:hint="cs"/>
          <w:rtl/>
        </w:rPr>
        <w:t>,</w:t>
      </w:r>
      <w:r w:rsidRPr="0040439D">
        <w:rPr>
          <w:rFonts w:cs="Arial"/>
          <w:rtl/>
        </w:rPr>
        <w:t xml:space="preserve"> ונכתב בכתובתה שנתחזקה לה ממה שנתנה לה פלוני</w:t>
      </w:r>
      <w:r>
        <w:rPr>
          <w:rFonts w:cs="Arial" w:hint="cs"/>
          <w:rtl/>
        </w:rPr>
        <w:t>ת</w:t>
      </w:r>
      <w:r w:rsidRPr="0040439D">
        <w:rPr>
          <w:rFonts w:cs="Arial"/>
          <w:rtl/>
        </w:rPr>
        <w:t xml:space="preserve"> אמה</w:t>
      </w:r>
      <w:r>
        <w:rPr>
          <w:rFonts w:cs="Arial" w:hint="cs"/>
          <w:rtl/>
        </w:rPr>
        <w:t>,</w:t>
      </w:r>
      <w:r w:rsidRPr="0040439D">
        <w:rPr>
          <w:rFonts w:cs="Arial"/>
          <w:rtl/>
        </w:rPr>
        <w:t xml:space="preserve"> או רמז זה הענין</w:t>
      </w:r>
      <w:r>
        <w:rPr>
          <w:rFonts w:cs="Arial" w:hint="cs"/>
          <w:rtl/>
        </w:rPr>
        <w:t>,</w:t>
      </w:r>
      <w:r w:rsidRPr="0040439D">
        <w:rPr>
          <w:rFonts w:cs="Arial"/>
          <w:rtl/>
        </w:rPr>
        <w:t xml:space="preserve"> בענין שיתברר בירור מספיק שאותו קרקע היה של האם או אותם חפצים נתנה משלה</w:t>
      </w:r>
      <w:r>
        <w:rPr>
          <w:rFonts w:cs="Arial" w:hint="cs"/>
          <w:rtl/>
        </w:rPr>
        <w:t>,</w:t>
      </w:r>
      <w:r w:rsidRPr="0040439D">
        <w:rPr>
          <w:rFonts w:cs="Arial"/>
          <w:rtl/>
        </w:rPr>
        <w:t xml:space="preserve"> ונפטרה אח"כ הבת תחת בעלה בלא זרע של קיימא כמו שביארנו </w:t>
      </w:r>
      <w:r>
        <w:rPr>
          <w:rFonts w:cs="Arial" w:hint="cs"/>
          <w:rtl/>
        </w:rPr>
        <w:t xml:space="preserve">- </w:t>
      </w:r>
      <w:r w:rsidRPr="0040439D">
        <w:rPr>
          <w:rFonts w:cs="Arial"/>
          <w:rtl/>
        </w:rPr>
        <w:t>יחזור חצי כל מה שימצא שנשאר מכל זה לרשות האם שנתנתה והכניסה לה</w:t>
      </w:r>
      <w:r>
        <w:rPr>
          <w:rFonts w:cs="Arial" w:hint="cs"/>
          <w:rtl/>
        </w:rPr>
        <w:t>,</w:t>
      </w:r>
      <w:r w:rsidRPr="0040439D">
        <w:rPr>
          <w:rFonts w:cs="Arial"/>
          <w:rtl/>
        </w:rPr>
        <w:t xml:space="preserve"> ולא יטרוף אותו מי שאין לו קורבה עם האם מיורשי הבת ותשאר היא זולתו ויתקיים בה דברי הנביא ע"ה שורך טבוח לעיניך ולא תאכל ממנו</w:t>
      </w:r>
      <w:r>
        <w:rPr>
          <w:rFonts w:cs="Arial" w:hint="cs"/>
          <w:rtl/>
        </w:rPr>
        <w:t>.</w:t>
      </w:r>
      <w:r w:rsidRPr="0040439D">
        <w:rPr>
          <w:rFonts w:cs="Arial"/>
          <w:rtl/>
        </w:rPr>
        <w:t xml:space="preserve"> אלא יחזיר לה החצי</w:t>
      </w:r>
      <w:r>
        <w:rPr>
          <w:rFonts w:cs="Arial" w:hint="cs"/>
          <w:rtl/>
        </w:rPr>
        <w:t>,</w:t>
      </w:r>
      <w:r w:rsidRPr="0040439D">
        <w:rPr>
          <w:rFonts w:cs="Arial"/>
          <w:rtl/>
        </w:rPr>
        <w:t xml:space="preserve"> וישאר החצי השני לבעל</w:t>
      </w:r>
      <w:r>
        <w:rPr>
          <w:rFonts w:cs="Arial" w:hint="cs"/>
          <w:rtl/>
        </w:rPr>
        <w:t>,</w:t>
      </w:r>
      <w:r w:rsidRPr="0040439D">
        <w:rPr>
          <w:rFonts w:cs="Arial"/>
          <w:rtl/>
        </w:rPr>
        <w:t xml:space="preserve"> והתכריכין וצרכי הקבורה מכלל הממון כמו שזכרנו</w:t>
      </w:r>
      <w:r>
        <w:rPr>
          <w:rFonts w:cs="Arial" w:hint="cs"/>
          <w:rtl/>
        </w:rPr>
        <w:t>.</w:t>
      </w:r>
      <w:r w:rsidRPr="0040439D">
        <w:rPr>
          <w:rFonts w:cs="Arial"/>
          <w:rtl/>
        </w:rPr>
        <w:t xml:space="preserve"> זהו ענין התיקון במה שימצא שנשאר בעין ממון האשה ברשות הבעל</w:t>
      </w:r>
      <w:r>
        <w:rPr>
          <w:rFonts w:cs="Arial" w:hint="cs"/>
          <w:rtl/>
        </w:rPr>
        <w:t>,</w:t>
      </w:r>
      <w:r w:rsidRPr="0040439D">
        <w:rPr>
          <w:rFonts w:cs="Arial"/>
          <w:rtl/>
        </w:rPr>
        <w:t xml:space="preserve"> בין קרקע בין טלטל</w:t>
      </w:r>
      <w:r>
        <w:rPr>
          <w:rFonts w:cs="Arial" w:hint="cs"/>
          <w:rtl/>
        </w:rPr>
        <w:t>.</w:t>
      </w:r>
      <w:r w:rsidRPr="0040439D">
        <w:rPr>
          <w:rFonts w:cs="Arial"/>
          <w:rtl/>
        </w:rPr>
        <w:t xml:space="preserve"> ואפי' אם כבר יצא אותו קרקע בשיעבוד או בהברחה ממנו שלא בקנין האשה אין לחוש לכל מה שעושה מזה אלא שיגמור בו זה התיקון</w:t>
      </w:r>
      <w:r>
        <w:rPr>
          <w:rFonts w:cs="Arial" w:hint="cs"/>
          <w:rtl/>
        </w:rPr>
        <w:t xml:space="preserve">. </w:t>
      </w:r>
      <w:r w:rsidRPr="00213780">
        <w:rPr>
          <w:rFonts w:cs="Arial"/>
          <w:rtl/>
        </w:rPr>
        <w:t>זהו בקרקע ובבגדים וחפצים שיהיו נראין בעין</w:t>
      </w:r>
      <w:r>
        <w:rPr>
          <w:rFonts w:cs="Arial" w:hint="cs"/>
          <w:rtl/>
        </w:rPr>
        <w:t>,</w:t>
      </w:r>
      <w:r w:rsidRPr="00213780">
        <w:rPr>
          <w:rFonts w:cs="Arial"/>
          <w:rtl/>
        </w:rPr>
        <w:t xml:space="preserve"> אבל מה שאינו נמצא מהבגדים והחפצים והתכשיטין והזהב ונעלם עינו</w:t>
      </w:r>
      <w:r>
        <w:rPr>
          <w:rFonts w:cs="Arial" w:hint="cs"/>
          <w:rtl/>
        </w:rPr>
        <w:t>,</w:t>
      </w:r>
      <w:r w:rsidRPr="00213780">
        <w:rPr>
          <w:rFonts w:cs="Arial"/>
          <w:rtl/>
        </w:rPr>
        <w:t xml:space="preserve"> ונחשד הבעל שהעלים</w:t>
      </w:r>
      <w:r>
        <w:rPr>
          <w:rFonts w:cs="Arial" w:hint="cs"/>
          <w:rtl/>
        </w:rPr>
        <w:t>,</w:t>
      </w:r>
      <w:r w:rsidRPr="00213780">
        <w:rPr>
          <w:rFonts w:cs="Arial"/>
          <w:rtl/>
        </w:rPr>
        <w:t xml:space="preserve"> דין זה הזוכה בחצי ע"פ זה התיקון ממנו שיביאנו לידי שבועה חמורה שישבע שלא הבריח שום דבר מהם לאחר פטירתה ולא בחייה אלא מה שהיתה במצותה ומרצונה</w:t>
      </w:r>
      <w:r>
        <w:rPr>
          <w:rFonts w:cs="Arial" w:hint="cs"/>
          <w:rtl/>
        </w:rPr>
        <w:t>.</w:t>
      </w:r>
      <w:r w:rsidRPr="00213780">
        <w:rPr>
          <w:rFonts w:cs="Arial"/>
          <w:rtl/>
        </w:rPr>
        <w:t xml:space="preserve"> ושלא החליף ממנו שום דבר שהוא נשאר ולא יתעולל בזה שום עלילה שיתכוון בה להפקיע זכות יורשים</w:t>
      </w:r>
      <w:r>
        <w:rPr>
          <w:rFonts w:cs="Arial" w:hint="cs"/>
          <w:rtl/>
        </w:rPr>
        <w:t xml:space="preserve">. </w:t>
      </w:r>
      <w:r w:rsidRPr="00213780">
        <w:rPr>
          <w:rFonts w:cs="Arial"/>
          <w:rtl/>
        </w:rPr>
        <w:t>והזוכה כמו שזכרנו מזה התיקון זהו במה שינתן בנישואי הבת או מה שתקנה לעצמה ובשמה מממונה אכל מה שיקנה הבעל מממונו בגדי מלבוש ומחלי ותכשיטין שלה הוא ראוי קודם לזכו' בה כשנפטרה ויקחנו כולו לבדו בין שהניחה זרע בין שלא הניחה בין שהיה לה אז אם או יורש או לא יהיה לה</w:t>
      </w:r>
      <w:r>
        <w:rPr>
          <w:rFonts w:cs="Arial" w:hint="cs"/>
          <w:rtl/>
        </w:rPr>
        <w:t xml:space="preserve">. </w:t>
      </w:r>
      <w:r w:rsidRPr="00213780">
        <w:rPr>
          <w:rFonts w:cs="Arial"/>
          <w:rtl/>
        </w:rPr>
        <w:t>ואין תובעין מהבעל לפרוע מה שיכתוב על עצמו לאשתו מנכסי נדוניא</w:t>
      </w:r>
      <w:r>
        <w:rPr>
          <w:rFonts w:cs="Arial" w:hint="cs"/>
          <w:rtl/>
        </w:rPr>
        <w:t>,</w:t>
      </w:r>
      <w:r w:rsidRPr="00213780">
        <w:rPr>
          <w:rFonts w:cs="Arial"/>
          <w:rtl/>
        </w:rPr>
        <w:t xml:space="preserve"> לפי שרוב בני אדם כותבין עליהן יותר ממה שהם נוטלים וכוונתם דרך כבוד ואין לו עיקר ואשר יהיה ממנו בודאי ויכתוב אותו על שטר ויזקוף לה בו ממון על עצמו בכתובה אינו חייב באחריותו כשנפטר בעודה תחתיו</w:t>
      </w:r>
      <w:r>
        <w:rPr>
          <w:rFonts w:cs="Arial" w:hint="cs"/>
          <w:rtl/>
        </w:rPr>
        <w:t>,</w:t>
      </w:r>
      <w:r w:rsidRPr="00213780">
        <w:rPr>
          <w:rFonts w:cs="Arial"/>
          <w:rtl/>
        </w:rPr>
        <w:t xml:space="preserve"> אלא יתבעו ממנו הנמצא מהנדוניא האמיתית קרקע יהיה או טלטל</w:t>
      </w:r>
      <w:r>
        <w:rPr>
          <w:rFonts w:cs="Arial" w:hint="cs"/>
          <w:rtl/>
        </w:rPr>
        <w:t>,</w:t>
      </w:r>
      <w:r w:rsidRPr="00213780">
        <w:rPr>
          <w:rFonts w:cs="Arial"/>
          <w:rtl/>
        </w:rPr>
        <w:t xml:space="preserve"> ואין לחוש למה שנכתב מזה בכתובה</w:t>
      </w:r>
      <w:r>
        <w:rPr>
          <w:rFonts w:cs="Arial" w:hint="cs"/>
          <w:rtl/>
        </w:rPr>
        <w:t>.</w:t>
      </w:r>
      <w:r w:rsidRPr="00213780">
        <w:rPr>
          <w:rFonts w:cs="Arial"/>
          <w:rtl/>
        </w:rPr>
        <w:t xml:space="preserve"> וכשיפטר הבעל בעודנו נשוי עם אשתו והוציאה שטר כתובה כדין כל אלמנה אין לה לגבו' מה שיתקיים לה מסכום כתובתה אלא ממחצית מה שהניח מנכסים קרקע או טלטל וישאר החצי משוחרר משועבד לזוכה בירוש' בעלה בין שהיה מצוי בין שאינו מצוי</w:t>
      </w:r>
      <w:r>
        <w:rPr>
          <w:rFonts w:cs="Arial" w:hint="cs"/>
          <w:rtl/>
        </w:rPr>
        <w:t>.</w:t>
      </w:r>
      <w:r w:rsidRPr="00213780">
        <w:rPr>
          <w:rFonts w:cs="Arial"/>
          <w:rtl/>
        </w:rPr>
        <w:t xml:space="preserve"> ואין לה רשות שתגבה יותר מסכום כתובתה מהחצי בלב בין שיספיק בין שלא יספיק זה בממונו ובקנינ</w:t>
      </w:r>
      <w:r>
        <w:rPr>
          <w:rFonts w:cs="Arial" w:hint="cs"/>
          <w:rtl/>
        </w:rPr>
        <w:t>.</w:t>
      </w:r>
      <w:r w:rsidRPr="00213780">
        <w:rPr>
          <w:rFonts w:cs="Arial"/>
          <w:rtl/>
        </w:rPr>
        <w:t>ו אבל ממון נדוניא ומה שהכניסה לו או מה שנפל לה בירושה מקרקע לאחר נישואיה או מה שקנתה ממנו בשמה ומת בעלה</w:t>
      </w:r>
      <w:r>
        <w:rPr>
          <w:rFonts w:cs="Arial" w:hint="cs"/>
          <w:rtl/>
        </w:rPr>
        <w:t xml:space="preserve"> -</w:t>
      </w:r>
      <w:r w:rsidRPr="00213780">
        <w:rPr>
          <w:rFonts w:cs="Arial"/>
          <w:rtl/>
        </w:rPr>
        <w:t xml:space="preserve"> יחזיר כולו בעינו לה לבדה</w:t>
      </w:r>
      <w:r>
        <w:rPr>
          <w:rFonts w:cs="Arial" w:hint="cs"/>
          <w:rtl/>
        </w:rPr>
        <w:t>,</w:t>
      </w:r>
      <w:r w:rsidRPr="00213780">
        <w:rPr>
          <w:rFonts w:cs="Arial"/>
          <w:rtl/>
        </w:rPr>
        <w:t xml:space="preserve"> כי אין זה התיקון אלא במה שידוע שיהיה מממון הבעל וקנינו והתכריכין וצרכי הקבורה יהיה מכלל ממונו</w:t>
      </w:r>
      <w:r>
        <w:rPr>
          <w:rFonts w:cs="Arial" w:hint="cs"/>
          <w:rtl/>
        </w:rPr>
        <w:t>,</w:t>
      </w:r>
      <w:r w:rsidRPr="00213780">
        <w:rPr>
          <w:rFonts w:cs="Arial"/>
          <w:rtl/>
        </w:rPr>
        <w:t xml:space="preserve"> ואז תקח האשה כתובה מחצי ממונו וישאר החצי השני ליורשיו</w:t>
      </w:r>
      <w:r>
        <w:rPr>
          <w:rFonts w:cs="Arial" w:hint="cs"/>
          <w:rtl/>
        </w:rPr>
        <w:t xml:space="preserve">. </w:t>
      </w:r>
      <w:r w:rsidRPr="00213780">
        <w:rPr>
          <w:rFonts w:cs="Arial"/>
          <w:rtl/>
        </w:rPr>
        <w:t>ואם יצא באותו החצי שיהיה ליורשיו שטר שיעבוד או הברחה בקנינו שלא בקנין אשתו</w:t>
      </w:r>
      <w:r>
        <w:rPr>
          <w:rFonts w:cs="Arial" w:hint="cs"/>
          <w:rtl/>
        </w:rPr>
        <w:t xml:space="preserve"> -</w:t>
      </w:r>
      <w:r w:rsidRPr="00213780">
        <w:rPr>
          <w:rFonts w:cs="Arial"/>
          <w:rtl/>
        </w:rPr>
        <w:t xml:space="preserve"> יגבה אותו בעל השיעבוד ויטול השאר היורש</w:t>
      </w:r>
      <w:r>
        <w:rPr>
          <w:rFonts w:cs="Arial" w:hint="cs"/>
          <w:rtl/>
        </w:rPr>
        <w:t>.</w:t>
      </w:r>
      <w:r w:rsidRPr="00213780">
        <w:rPr>
          <w:rFonts w:cs="Arial"/>
          <w:rtl/>
        </w:rPr>
        <w:t xml:space="preserve"> ואם תהיה אותו ההברחה מקודם לכן ויתקיים</w:t>
      </w:r>
      <w:r>
        <w:rPr>
          <w:rFonts w:cs="Arial" w:hint="cs"/>
          <w:rtl/>
        </w:rPr>
        <w:t xml:space="preserve"> -</w:t>
      </w:r>
      <w:r w:rsidRPr="00213780">
        <w:rPr>
          <w:rFonts w:cs="Arial"/>
          <w:rtl/>
        </w:rPr>
        <w:t xml:space="preserve"> יזכה ג"כ בו המוצא אותו שטר</w:t>
      </w:r>
      <w:r>
        <w:rPr>
          <w:rFonts w:cs="Arial" w:hint="cs"/>
          <w:rtl/>
        </w:rPr>
        <w:t>.</w:t>
      </w:r>
      <w:r w:rsidRPr="00213780">
        <w:rPr>
          <w:rFonts w:cs="Arial"/>
          <w:rtl/>
        </w:rPr>
        <w:t xml:space="preserve"> ואם תהיה אותו שיעבוד או הברחה שיצא בממונו בקנינו ובקנינה</w:t>
      </w:r>
      <w:r>
        <w:rPr>
          <w:rFonts w:cs="Arial" w:hint="cs"/>
          <w:rtl/>
        </w:rPr>
        <w:t xml:space="preserve"> -</w:t>
      </w:r>
      <w:r w:rsidRPr="00213780">
        <w:rPr>
          <w:rFonts w:cs="Arial"/>
          <w:rtl/>
        </w:rPr>
        <w:t xml:space="preserve"> יוציאו תחילה אותו שיעבוד מממונו ויפרישו אותו הקרקע המוברח מנכסיו לזוכה בו מה שישאר אחרי כן תטול הוא ממחציתו מה שיהיה לה מסכום כתובה וישאר החצי השני ליורשים</w:t>
      </w:r>
      <w:r>
        <w:rPr>
          <w:rFonts w:cs="Arial" w:hint="cs"/>
          <w:rtl/>
        </w:rPr>
        <w:t xml:space="preserve">. </w:t>
      </w:r>
    </w:p>
    <w:p w14:paraId="5C40D2FF" w14:textId="77777777" w:rsidR="00392DBB" w:rsidRPr="00236A20" w:rsidRDefault="00392DBB" w:rsidP="00392DBB">
      <w:pPr>
        <w:rPr>
          <w:u w:val="single"/>
          <w:rtl/>
        </w:rPr>
      </w:pPr>
      <w:r>
        <w:rPr>
          <w:rFonts w:hint="cs"/>
          <w:u w:val="single"/>
          <w:rtl/>
        </w:rPr>
        <w:t xml:space="preserve">האם </w:t>
      </w:r>
      <w:r w:rsidRPr="00236A20">
        <w:rPr>
          <w:rFonts w:hint="cs"/>
          <w:u w:val="single"/>
          <w:rtl/>
        </w:rPr>
        <w:t>שמ</w:t>
      </w:r>
      <w:r>
        <w:rPr>
          <w:rFonts w:hint="cs"/>
          <w:u w:val="single"/>
          <w:rtl/>
        </w:rPr>
        <w:t>ים את</w:t>
      </w:r>
      <w:r w:rsidRPr="00236A20">
        <w:rPr>
          <w:rFonts w:hint="cs"/>
          <w:u w:val="single"/>
          <w:rtl/>
        </w:rPr>
        <w:t xml:space="preserve"> בגדי החול שעל</w:t>
      </w:r>
      <w:r>
        <w:rPr>
          <w:rFonts w:hint="cs"/>
          <w:u w:val="single"/>
          <w:rtl/>
        </w:rPr>
        <w:t xml:space="preserve"> האלמנה כדי</w:t>
      </w:r>
      <w:r w:rsidRPr="00236A20">
        <w:rPr>
          <w:rFonts w:hint="cs"/>
          <w:u w:val="single"/>
          <w:rtl/>
        </w:rPr>
        <w:t xml:space="preserve"> לחלוק עם היורש:</w:t>
      </w:r>
    </w:p>
    <w:p w14:paraId="3DEB5E99" w14:textId="77777777" w:rsidR="00392DBB" w:rsidRDefault="00392DBB" w:rsidP="009000E3">
      <w:pPr>
        <w:pStyle w:val="ab"/>
        <w:numPr>
          <w:ilvl w:val="0"/>
          <w:numId w:val="72"/>
        </w:numPr>
      </w:pPr>
      <w:r w:rsidRPr="00213780">
        <w:rPr>
          <w:rFonts w:cs="Arial" w:hint="cs"/>
          <w:rtl/>
        </w:rPr>
        <w:t xml:space="preserve">רא"ש </w:t>
      </w:r>
      <w:r w:rsidRPr="00213780">
        <w:rPr>
          <w:rFonts w:cs="Arial" w:hint="cs"/>
          <w:sz w:val="16"/>
          <w:szCs w:val="16"/>
          <w:rtl/>
        </w:rPr>
        <w:t>(</w:t>
      </w:r>
      <w:r w:rsidRPr="00213780">
        <w:rPr>
          <w:rFonts w:cs="Arial"/>
          <w:sz w:val="16"/>
          <w:szCs w:val="16"/>
          <w:rtl/>
        </w:rPr>
        <w:t>כלל נ</w:t>
      </w:r>
      <w:r>
        <w:rPr>
          <w:rFonts w:cs="Arial" w:hint="cs"/>
          <w:sz w:val="16"/>
          <w:szCs w:val="16"/>
          <w:rtl/>
        </w:rPr>
        <w:t xml:space="preserve"> </w:t>
      </w:r>
      <w:r w:rsidRPr="00213780">
        <w:rPr>
          <w:rFonts w:cs="Arial"/>
          <w:sz w:val="16"/>
          <w:szCs w:val="16"/>
          <w:rtl/>
        </w:rPr>
        <w:t>סי' ה)</w:t>
      </w:r>
      <w:r>
        <w:rPr>
          <w:rFonts w:cs="Arial" w:hint="cs"/>
          <w:rtl/>
        </w:rPr>
        <w:t xml:space="preserve"> </w:t>
      </w:r>
      <w:r w:rsidRPr="00213780">
        <w:rPr>
          <w:rFonts w:cs="Arial" w:hint="cs"/>
          <w:rtl/>
        </w:rPr>
        <w:t>וטור</w:t>
      </w:r>
      <w:r>
        <w:rPr>
          <w:rFonts w:cs="Arial" w:hint="cs"/>
          <w:rtl/>
        </w:rPr>
        <w:t xml:space="preserve">- </w:t>
      </w:r>
      <w:r w:rsidRPr="00213780">
        <w:rPr>
          <w:rFonts w:cs="Arial"/>
          <w:rtl/>
        </w:rPr>
        <w:t>הדין עם האלמנה שאומרת שאין ליורש דין ודברים על בגדי חול שלה</w:t>
      </w:r>
      <w:r>
        <w:rPr>
          <w:rFonts w:cs="Arial" w:hint="cs"/>
          <w:rtl/>
        </w:rPr>
        <w:t>,</w:t>
      </w:r>
      <w:r w:rsidRPr="00213780">
        <w:rPr>
          <w:rFonts w:cs="Arial"/>
          <w:rtl/>
        </w:rPr>
        <w:t xml:space="preserve"> שכתוב בתקנה </w:t>
      </w:r>
      <w:r>
        <w:rPr>
          <w:rFonts w:cs="Arial" w:hint="cs"/>
          <w:rtl/>
        </w:rPr>
        <w:t>'</w:t>
      </w:r>
      <w:r w:rsidRPr="00213780">
        <w:rPr>
          <w:rFonts w:cs="Arial"/>
          <w:rtl/>
        </w:rPr>
        <w:t>כל אשר ימצא לו</w:t>
      </w:r>
      <w:r>
        <w:rPr>
          <w:rFonts w:cs="Arial" w:hint="cs"/>
          <w:rtl/>
        </w:rPr>
        <w:t>'</w:t>
      </w:r>
      <w:r w:rsidRPr="00213780">
        <w:rPr>
          <w:rFonts w:cs="Arial"/>
          <w:rtl/>
        </w:rPr>
        <w:t xml:space="preserve"> ובגדיה לא היו מצויים לו כי לא היה לבעלה בהם כלום</w:t>
      </w:r>
      <w:r>
        <w:rPr>
          <w:rFonts w:cs="Arial" w:hint="cs"/>
          <w:rtl/>
        </w:rPr>
        <w:t>.</w:t>
      </w:r>
      <w:r w:rsidRPr="00213780">
        <w:rPr>
          <w:rFonts w:cs="Arial"/>
          <w:rtl/>
        </w:rPr>
        <w:t xml:space="preserve"> ועוד דחלוקה זו במקום גביית כתובתה</w:t>
      </w:r>
      <w:r>
        <w:rPr>
          <w:rFonts w:cs="Arial" w:hint="cs"/>
          <w:rtl/>
        </w:rPr>
        <w:t>,</w:t>
      </w:r>
      <w:r w:rsidRPr="00213780">
        <w:rPr>
          <w:rFonts w:cs="Arial"/>
          <w:rtl/>
        </w:rPr>
        <w:t xml:space="preserve"> גם עתה לא יעלו לה בחשבון</w:t>
      </w:r>
      <w:r>
        <w:rPr>
          <w:rFonts w:hint="cs"/>
          <w:rtl/>
        </w:rPr>
        <w:t xml:space="preserve">. </w:t>
      </w:r>
      <w:r w:rsidRPr="00544E63">
        <w:rPr>
          <w:rFonts w:hint="cs"/>
          <w:color w:val="E36C0A" w:themeColor="accent6" w:themeShade="BF"/>
          <w:rtl/>
        </w:rPr>
        <w:t>(וכ"פ בשו"ע)</w:t>
      </w:r>
    </w:p>
    <w:p w14:paraId="0998E4E2"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499168A6" w14:textId="77777777" w:rsidR="00392DBB" w:rsidRDefault="00392DBB" w:rsidP="00392DBB">
      <w:pPr>
        <w:rPr>
          <w:rtl/>
        </w:rPr>
      </w:pPr>
      <w:r>
        <w:rPr>
          <w:rFonts w:cs="Arial"/>
          <w:rtl/>
        </w:rPr>
        <w:t xml:space="preserve">אלמנה שיש לה לחלוק עם יורשי בעלה בכח התקנה של טוליטולה, שמין בגדי שבת שעליה, אבל לא בגדי חול. </w:t>
      </w:r>
      <w:r w:rsidRPr="0040439D">
        <w:rPr>
          <w:rFonts w:cs="Arial" w:hint="cs"/>
          <w:sz w:val="18"/>
          <w:szCs w:val="18"/>
          <w:rtl/>
        </w:rPr>
        <w:t xml:space="preserve">[הגה] </w:t>
      </w:r>
      <w:r w:rsidRPr="0040439D">
        <w:rPr>
          <w:rFonts w:cs="Arial"/>
          <w:sz w:val="18"/>
          <w:szCs w:val="18"/>
          <w:rtl/>
        </w:rPr>
        <w:t>תנאי השיור אינו אלא אם תמות האשה בחיי בעלה, אבל לא אם תמות שומרת יבם (טור).</w:t>
      </w:r>
      <w:r>
        <w:rPr>
          <w:rFonts w:cs="Arial"/>
          <w:rtl/>
        </w:rPr>
        <w:t xml:space="preserve"> </w:t>
      </w:r>
    </w:p>
    <w:p w14:paraId="6A688B22" w14:textId="77777777" w:rsidR="00392DBB" w:rsidRDefault="00392DBB" w:rsidP="00392DBB">
      <w:pPr>
        <w:rPr>
          <w:rtl/>
        </w:rPr>
      </w:pPr>
    </w:p>
    <w:p w14:paraId="47AE8798" w14:textId="77777777" w:rsidR="00392DBB" w:rsidRDefault="00392DBB" w:rsidP="000F64D0">
      <w:pPr>
        <w:pStyle w:val="2"/>
        <w:rPr>
          <w:rtl/>
        </w:rPr>
      </w:pPr>
      <w:r>
        <w:rPr>
          <w:rtl/>
        </w:rPr>
        <w:t>סעיף ב</w:t>
      </w:r>
      <w:r>
        <w:rPr>
          <w:rFonts w:hint="cs"/>
          <w:rtl/>
        </w:rPr>
        <w:t>: מי שגירש את אשתו סמוך למיתתו.</w:t>
      </w:r>
    </w:p>
    <w:p w14:paraId="0D94AFCF" w14:textId="77777777" w:rsidR="00392DBB" w:rsidRPr="00CD7F91" w:rsidRDefault="00392DBB" w:rsidP="00392DBB">
      <w:pPr>
        <w:rPr>
          <w:u w:val="single"/>
          <w:rtl/>
        </w:rPr>
      </w:pPr>
      <w:r w:rsidRPr="00CD7F91">
        <w:rPr>
          <w:rFonts w:cs="Arial"/>
          <w:u w:val="single"/>
          <w:rtl/>
        </w:rPr>
        <w:t>מי שגירש את אשתו סמוך למיתתו</w:t>
      </w:r>
      <w:r w:rsidRPr="00CD7F91">
        <w:rPr>
          <w:rFonts w:hint="cs"/>
          <w:u w:val="single"/>
          <w:rtl/>
        </w:rPr>
        <w:t>:</w:t>
      </w:r>
    </w:p>
    <w:p w14:paraId="1C2946A8" w14:textId="4A79814A" w:rsidR="00392DBB" w:rsidRPr="00CD7F91" w:rsidRDefault="00392DBB" w:rsidP="009000E3">
      <w:pPr>
        <w:pStyle w:val="ab"/>
        <w:numPr>
          <w:ilvl w:val="0"/>
          <w:numId w:val="72"/>
        </w:numPr>
      </w:pPr>
      <w:r w:rsidRPr="00236A20">
        <w:rPr>
          <w:rFonts w:cs="Arial" w:hint="cs"/>
          <w:rtl/>
        </w:rPr>
        <w:t xml:space="preserve">רא"ש </w:t>
      </w:r>
      <w:r w:rsidRPr="00236A20">
        <w:rPr>
          <w:rFonts w:cs="Arial" w:hint="cs"/>
          <w:sz w:val="16"/>
          <w:szCs w:val="16"/>
          <w:rtl/>
        </w:rPr>
        <w:t xml:space="preserve">(כלל נ סי' י) </w:t>
      </w:r>
      <w:r w:rsidRPr="00236A20">
        <w:rPr>
          <w:rFonts w:cs="Arial" w:hint="cs"/>
          <w:rtl/>
        </w:rPr>
        <w:t xml:space="preserve">וטור- </w:t>
      </w:r>
      <w:r w:rsidRPr="00236A20">
        <w:rPr>
          <w:rFonts w:cs="Arial"/>
          <w:rtl/>
        </w:rPr>
        <w:t>וששאלת ראובן גירש את אשתו סמוך למיתתה ותובעת כתובתה ומתנתה כי אומרת גרושה אנכי</w:t>
      </w:r>
      <w:r w:rsidR="00FE66B0">
        <w:rPr>
          <w:rFonts w:cs="Arial" w:hint="cs"/>
          <w:rtl/>
        </w:rPr>
        <w:t>,</w:t>
      </w:r>
      <w:r w:rsidRPr="00236A20">
        <w:rPr>
          <w:rFonts w:cs="Arial"/>
          <w:rtl/>
        </w:rPr>
        <w:t xml:space="preserve"> והתקנה אינה מדברת אלא מאלמנה והיורשים אומרים כי לא נתן לה גט אלא שלא תזקק ליבם ולא שתגבה כתובתה</w:t>
      </w:r>
      <w:r>
        <w:rPr>
          <w:rStyle w:val="a7"/>
          <w:rFonts w:cs="Arial"/>
          <w:rtl/>
        </w:rPr>
        <w:footnoteReference w:id="2961"/>
      </w:r>
      <w:r>
        <w:rPr>
          <w:rFonts w:cs="Arial" w:hint="cs"/>
          <w:rtl/>
        </w:rPr>
        <w:t>.</w:t>
      </w:r>
      <w:r w:rsidRPr="00236A20">
        <w:rPr>
          <w:rFonts w:cs="Arial"/>
          <w:rtl/>
        </w:rPr>
        <w:t xml:space="preserve"> </w:t>
      </w:r>
      <w:r>
        <w:rPr>
          <w:rFonts w:cs="Arial" w:hint="cs"/>
          <w:rtl/>
        </w:rPr>
        <w:t xml:space="preserve">   </w:t>
      </w:r>
      <w:r w:rsidR="00FE210D">
        <w:rPr>
          <w:rFonts w:cs="Arial"/>
          <w:rtl/>
        </w:rPr>
        <w:t xml:space="preserve"> תשובה:</w:t>
      </w:r>
      <w:r w:rsidRPr="00236A20">
        <w:rPr>
          <w:rFonts w:cs="Arial"/>
          <w:rtl/>
        </w:rPr>
        <w:t xml:space="preserve"> אין בדברי היורשים כלום דכיון שנתן לה גט מאי זה טעם שיהיה מ"מ הרי היא מגורשת וזכתה בכתובתה שלא הטיל תנאי בגט על תנאי שלא תגבה כתובתה</w:t>
      </w:r>
      <w:r w:rsidR="00BE1688">
        <w:rPr>
          <w:rFonts w:cs="Arial" w:hint="cs"/>
          <w:sz w:val="16"/>
          <w:szCs w:val="16"/>
          <w:rtl/>
        </w:rPr>
        <w:t xml:space="preserve"> (ל' הטור בשם הרא"ש)</w:t>
      </w:r>
      <w:r>
        <w:rPr>
          <w:rFonts w:cs="Arial" w:hint="cs"/>
          <w:rtl/>
        </w:rPr>
        <w:t>.</w:t>
      </w:r>
      <w:r w:rsidRPr="00CD7F91">
        <w:rPr>
          <w:rFonts w:hint="cs"/>
          <w:color w:val="E36C0A" w:themeColor="accent6" w:themeShade="BF"/>
          <w:rtl/>
        </w:rPr>
        <w:t xml:space="preserve"> </w:t>
      </w:r>
      <w:r w:rsidRPr="00544E63">
        <w:rPr>
          <w:rFonts w:hint="cs"/>
          <w:color w:val="E36C0A" w:themeColor="accent6" w:themeShade="BF"/>
          <w:rtl/>
        </w:rPr>
        <w:t>(וכ"פ בשו"ע)</w:t>
      </w:r>
    </w:p>
    <w:p w14:paraId="7688662E" w14:textId="77777777" w:rsidR="00392DBB" w:rsidRPr="00CD7F91" w:rsidRDefault="00392DBB" w:rsidP="00392DBB">
      <w:pPr>
        <w:ind w:left="360"/>
        <w:rPr>
          <w:u w:val="dotted"/>
        </w:rPr>
      </w:pPr>
      <w:r w:rsidRPr="00CD7F91">
        <w:rPr>
          <w:rFonts w:hint="cs"/>
          <w:u w:val="dotted"/>
          <w:rtl/>
        </w:rPr>
        <w:t xml:space="preserve">ומה הדין אם </w:t>
      </w:r>
      <w:r w:rsidRPr="00CD7F91">
        <w:rPr>
          <w:u w:val="dotted"/>
          <w:rtl/>
        </w:rPr>
        <w:t xml:space="preserve">לא יצא עליה קול גרושה בחייו, רק </w:t>
      </w:r>
      <w:r>
        <w:rPr>
          <w:rFonts w:hint="cs"/>
          <w:u w:val="dotted"/>
          <w:rtl/>
        </w:rPr>
        <w:t>ש</w:t>
      </w:r>
      <w:r w:rsidRPr="00CD7F91">
        <w:rPr>
          <w:u w:val="dotted"/>
          <w:rtl/>
        </w:rPr>
        <w:t>היתה בחזקת אלמנה</w:t>
      </w:r>
      <w:r w:rsidRPr="00CD7F91">
        <w:rPr>
          <w:rFonts w:hint="cs"/>
          <w:u w:val="dotted"/>
          <w:rtl/>
        </w:rPr>
        <w:t>:</w:t>
      </w:r>
    </w:p>
    <w:p w14:paraId="69C4FA07" w14:textId="77777777" w:rsidR="00392DBB" w:rsidRPr="0040439D" w:rsidRDefault="00392DBB" w:rsidP="009000E3">
      <w:pPr>
        <w:pStyle w:val="ab"/>
        <w:numPr>
          <w:ilvl w:val="0"/>
          <w:numId w:val="72"/>
        </w:numPr>
        <w:rPr>
          <w:rtl/>
        </w:rPr>
      </w:pPr>
      <w:r w:rsidRPr="00236A20">
        <w:rPr>
          <w:rFonts w:cs="Arial"/>
          <w:rtl/>
        </w:rPr>
        <w:t xml:space="preserve">ה"ר יהודה </w:t>
      </w:r>
      <w:r w:rsidRPr="00236A20">
        <w:rPr>
          <w:rFonts w:cs="Arial"/>
          <w:sz w:val="16"/>
          <w:szCs w:val="16"/>
          <w:rtl/>
        </w:rPr>
        <w:t>(שו"ת זכרון יהודה סי' ס"ט)</w:t>
      </w:r>
      <w:r>
        <w:rPr>
          <w:rFonts w:cs="Arial" w:hint="cs"/>
          <w:rtl/>
        </w:rPr>
        <w:t>-</w:t>
      </w:r>
      <w:r w:rsidRPr="00236A20">
        <w:rPr>
          <w:rFonts w:cs="Arial"/>
          <w:rtl/>
        </w:rPr>
        <w:t xml:space="preserve"> ראובן מת והוציאה אשתו גטה וכתובתה לגבות בטענה שנתגרשה קודם מיתתו הרבה והם אומרים שלא תגבה אלא חצי הנכסים כיון שהיתה בחזקת נשואה במותו ונתאבלה עליו הרי היא כדין כל האלמנות. הדין עם הבעלי חובות שלא עשתה אלא להבריח הנכסים מהב"ח כי לעולם לא יצא עליה קול גירושין וישבה תחתיו כאשה עם בעלה ושמשתו בחייו ובמותו וגם נתאבלה עליו כדרך כל האלמנות ולא דמי לההוא עובדא דערכין (כג:) ההוא דזבין נכסיה וגירש אשתו וכו' דהתם היו הגירושין ידועים ואין לחוש שהיו הערמה אבל כאן שלא יצא עליה קול גירושין ודאי להברחה נעשה ועוד אפילו נאמן שנתגרשה בגט זה צריכה להביא ראיה מתי בא הגט לידה לפי פירוש רש"י (גיטין יז: ד"ה עד) גבי למה תקנו זמן בגיטין ואף על פי שהתוספות (ד"ה עד) חולקין עליו בגט כזה שיש כמה הוכחות ביום כתיבתו תביא ותביא [נ"א: והביא] והביא ראיה לדבר</w:t>
      </w:r>
      <w:r>
        <w:rPr>
          <w:rFonts w:cs="Arial" w:hint="cs"/>
          <w:rtl/>
        </w:rPr>
        <w:t>.</w:t>
      </w:r>
      <w:r>
        <w:rPr>
          <w:rFonts w:hint="cs"/>
          <w:rtl/>
        </w:rPr>
        <w:t xml:space="preserve"> </w:t>
      </w:r>
      <w:r w:rsidRPr="00CD7F91">
        <w:rPr>
          <w:rFonts w:hint="cs"/>
          <w:color w:val="00B0F0"/>
          <w:rtl/>
        </w:rPr>
        <w:t>(וכ"פ הרמ"א)</w:t>
      </w:r>
    </w:p>
    <w:p w14:paraId="44B8E08B"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38B13F5" w14:textId="77777777" w:rsidR="00392DBB" w:rsidRDefault="00392DBB" w:rsidP="00392DBB">
      <w:pPr>
        <w:rPr>
          <w:rtl/>
        </w:rPr>
      </w:pPr>
      <w:r>
        <w:rPr>
          <w:rFonts w:cs="Arial"/>
          <w:rtl/>
        </w:rPr>
        <w:t xml:space="preserve">מי שגירש את אשתו סמוך למיתתו, אף על פי שלא גירשה אלא כדי שלא תזקק ליבם, דינה לענין כתובתה בתקנת טוליטולה כדין גרושה. </w:t>
      </w:r>
      <w:r w:rsidRPr="0040439D">
        <w:rPr>
          <w:rFonts w:cs="Arial"/>
          <w:sz w:val="18"/>
          <w:szCs w:val="18"/>
          <w:rtl/>
        </w:rPr>
        <w:t>הגה: אבל אם לא גירשה ממש, כגון שלא יצא עליה קול גרושה בחייו, רק היתה בחזקת אלמנה, רק אחר מותו הוציאה גט ואומרת: נתגרשתי, אינה נאמנת וצריכה ראיה על הגירושין, דודאי לא נכתב הגט רק להברחה בעלמא (בב"י בשם הר"ר יודא בן הרא"ש).</w:t>
      </w:r>
      <w:r>
        <w:rPr>
          <w:rFonts w:cs="Arial"/>
          <w:rtl/>
        </w:rPr>
        <w:t xml:space="preserve"> </w:t>
      </w:r>
    </w:p>
    <w:p w14:paraId="09896138" w14:textId="77777777" w:rsidR="00392DBB" w:rsidRDefault="00392DBB" w:rsidP="00392DBB">
      <w:pPr>
        <w:rPr>
          <w:rtl/>
        </w:rPr>
      </w:pPr>
    </w:p>
    <w:p w14:paraId="76635232" w14:textId="77777777" w:rsidR="00392DBB" w:rsidRDefault="00392DBB" w:rsidP="000F64D0">
      <w:pPr>
        <w:pStyle w:val="2"/>
        <w:rPr>
          <w:rtl/>
        </w:rPr>
      </w:pPr>
      <w:r>
        <w:rPr>
          <w:rtl/>
        </w:rPr>
        <w:t>סעיף ג</w:t>
      </w:r>
      <w:r>
        <w:rPr>
          <w:rFonts w:hint="cs"/>
          <w:rtl/>
        </w:rPr>
        <w:t xml:space="preserve">: </w:t>
      </w:r>
      <w:r>
        <w:rPr>
          <w:rtl/>
        </w:rPr>
        <w:t>שהתה מלחלוק עם היתומים כפי התקנה</w:t>
      </w:r>
      <w:r>
        <w:rPr>
          <w:rFonts w:hint="cs"/>
          <w:rtl/>
        </w:rPr>
        <w:t>.</w:t>
      </w:r>
    </w:p>
    <w:p w14:paraId="5B55327C" w14:textId="6FE183D5" w:rsidR="00392DBB" w:rsidRPr="00CD7F91" w:rsidRDefault="00392DBB" w:rsidP="00392DBB">
      <w:pPr>
        <w:rPr>
          <w:u w:val="single"/>
          <w:rtl/>
        </w:rPr>
      </w:pPr>
      <w:r w:rsidRPr="00CD7F91">
        <w:rPr>
          <w:rFonts w:cs="Arial"/>
          <w:u w:val="single"/>
          <w:rtl/>
        </w:rPr>
        <w:t>שהתה מלחלוק עם היתומים כפי התקנה</w:t>
      </w:r>
      <w:r w:rsidRPr="00CD7F91">
        <w:rPr>
          <w:rFonts w:hint="cs"/>
          <w:u w:val="single"/>
          <w:rtl/>
        </w:rPr>
        <w:t xml:space="preserve"> </w:t>
      </w:r>
      <w:r w:rsidR="00F97626">
        <w:rPr>
          <w:u w:val="single"/>
          <w:rtl/>
        </w:rPr>
        <w:t>-</w:t>
      </w:r>
      <w:r w:rsidRPr="00CD7F91">
        <w:rPr>
          <w:rFonts w:hint="cs"/>
          <w:u w:val="single"/>
          <w:rtl/>
        </w:rPr>
        <w:t xml:space="preserve"> האם איבדה מזונות</w:t>
      </w:r>
      <w:r>
        <w:rPr>
          <w:rFonts w:hint="cs"/>
          <w:u w:val="single"/>
          <w:rtl/>
        </w:rPr>
        <w:t xml:space="preserve"> אותו הזמן</w:t>
      </w:r>
      <w:r w:rsidRPr="00CD7F91">
        <w:rPr>
          <w:rFonts w:hint="cs"/>
          <w:u w:val="single"/>
          <w:rtl/>
        </w:rPr>
        <w:t>:</w:t>
      </w:r>
    </w:p>
    <w:p w14:paraId="6E7EB5A8" w14:textId="77777777" w:rsidR="00392DBB" w:rsidRPr="00213780" w:rsidRDefault="00392DBB" w:rsidP="009000E3">
      <w:pPr>
        <w:pStyle w:val="ab"/>
        <w:numPr>
          <w:ilvl w:val="0"/>
          <w:numId w:val="72"/>
        </w:numPr>
        <w:rPr>
          <w:rtl/>
        </w:rPr>
      </w:pPr>
      <w:r w:rsidRPr="00236A20">
        <w:rPr>
          <w:rFonts w:cs="Arial" w:hint="cs"/>
          <w:rtl/>
        </w:rPr>
        <w:t xml:space="preserve">רא"ש </w:t>
      </w:r>
      <w:r w:rsidRPr="00236A20">
        <w:rPr>
          <w:rFonts w:cs="Arial" w:hint="cs"/>
          <w:sz w:val="16"/>
          <w:szCs w:val="16"/>
          <w:rtl/>
        </w:rPr>
        <w:t xml:space="preserve">(כלל נ סי' </w:t>
      </w:r>
      <w:r>
        <w:rPr>
          <w:rFonts w:cs="Arial" w:hint="cs"/>
          <w:sz w:val="16"/>
          <w:szCs w:val="16"/>
          <w:rtl/>
        </w:rPr>
        <w:t>ט</w:t>
      </w:r>
      <w:r w:rsidRPr="00236A20">
        <w:rPr>
          <w:rFonts w:cs="Arial" w:hint="cs"/>
          <w:sz w:val="16"/>
          <w:szCs w:val="16"/>
          <w:rtl/>
        </w:rPr>
        <w:t xml:space="preserve">) </w:t>
      </w:r>
      <w:r w:rsidRPr="00236A20">
        <w:rPr>
          <w:rFonts w:cs="Arial" w:hint="cs"/>
          <w:rtl/>
        </w:rPr>
        <w:t xml:space="preserve">וטור- </w:t>
      </w:r>
      <w:r w:rsidRPr="00CD7F91">
        <w:rPr>
          <w:rFonts w:cs="Arial"/>
          <w:rtl/>
        </w:rPr>
        <w:t>וששאלת בענין התקנה שכל אלמנה שתבא לחלוק עם יורשי המת שתהיה יד היתומים על העליונה או יתנו לה כתובתה או חצי הנכסים ומת ראובן והניח אלמנה ובת ושהתה האלמנה חצי השנה קודם שתבעה כתובתה ולא היתה ניזונת משל בעלה ועכשיו תובעת כתובתה ומזונותיה שכך התנה לי בעלי שאהיה ניזונת מהנכסים כל זמן שאתעכב בשבילו וקרובי המת טענו שכיון שביד היתומים לסלקה מכתובתה אבדה מזונותיה תשובה לא אבדה מזונותיה שהם תנאי כתובה שתקנת הקהל אינה יכולה להפסיד לאלמנה מזונותיה שהם תנאי כתובה אלא שתקנת הקהל הוא לתועלת היתומים לענין זה שאם כתובתה מרובה שיכולה לסלקם בחצי הנכסים ואותם חצי הנכסים היינו הכתובה וכל זמן שלא תבעה כתובתה יש לה מזונות</w:t>
      </w:r>
      <w:r>
        <w:rPr>
          <w:rFonts w:cs="Arial" w:hint="cs"/>
          <w:rtl/>
        </w:rPr>
        <w:t>.</w:t>
      </w:r>
      <w:r w:rsidRPr="00CD7F91">
        <w:rPr>
          <w:rFonts w:hint="cs"/>
          <w:color w:val="E36C0A" w:themeColor="accent6" w:themeShade="BF"/>
          <w:rtl/>
        </w:rPr>
        <w:t xml:space="preserve"> </w:t>
      </w:r>
      <w:r w:rsidRPr="00544E63">
        <w:rPr>
          <w:rFonts w:hint="cs"/>
          <w:color w:val="E36C0A" w:themeColor="accent6" w:themeShade="BF"/>
          <w:rtl/>
        </w:rPr>
        <w:t>(וכ"פ בשו"ע)</w:t>
      </w:r>
      <w:r w:rsidRPr="00CD7F91">
        <w:rPr>
          <w:rFonts w:hint="cs"/>
          <w:color w:val="00B0F0"/>
          <w:rtl/>
        </w:rPr>
        <w:t xml:space="preserve"> (וכ"פ הרמ"א)</w:t>
      </w:r>
    </w:p>
    <w:p w14:paraId="0E0BDC7B"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8160444" w14:textId="77777777" w:rsidR="00392DBB" w:rsidRDefault="00392DBB" w:rsidP="00392DBB">
      <w:pPr>
        <w:rPr>
          <w:rtl/>
        </w:rPr>
      </w:pPr>
      <w:r>
        <w:rPr>
          <w:rFonts w:cs="Arial"/>
          <w:rtl/>
        </w:rPr>
        <w:t>אם שהתה מלחלוק עם היתומים כפי התקנה, קצת זמן, לא איבדה מזונות אותו זמן</w:t>
      </w:r>
      <w:r>
        <w:rPr>
          <w:rFonts w:cs="Arial" w:hint="cs"/>
          <w:rtl/>
        </w:rPr>
        <w:t>.</w:t>
      </w:r>
      <w:r>
        <w:rPr>
          <w:rFonts w:cs="Arial"/>
          <w:rtl/>
        </w:rPr>
        <w:t xml:space="preserve"> </w:t>
      </w:r>
      <w:r>
        <w:rPr>
          <w:rFonts w:cs="Arial" w:hint="cs"/>
          <w:sz w:val="18"/>
          <w:szCs w:val="18"/>
          <w:rtl/>
        </w:rPr>
        <w:t xml:space="preserve">[הגה] </w:t>
      </w:r>
      <w:r w:rsidRPr="00213780">
        <w:rPr>
          <w:rFonts w:cs="Arial"/>
          <w:sz w:val="18"/>
          <w:szCs w:val="18"/>
          <w:rtl/>
        </w:rPr>
        <w:t xml:space="preserve">אף על פי שהכח ביד היתומים לסלק האלמנה בחצי הנכסים (טור בשם תשובת הרא"ש). </w:t>
      </w:r>
    </w:p>
    <w:p w14:paraId="7FAE9DA2" w14:textId="77777777" w:rsidR="00392DBB" w:rsidRDefault="00392DBB" w:rsidP="00392DBB">
      <w:pPr>
        <w:rPr>
          <w:rtl/>
        </w:rPr>
      </w:pPr>
    </w:p>
    <w:p w14:paraId="68E256A5" w14:textId="77777777" w:rsidR="00392DBB" w:rsidRPr="00CD7F91" w:rsidRDefault="00392DBB" w:rsidP="000F64D0">
      <w:pPr>
        <w:pStyle w:val="2"/>
        <w:rPr>
          <w:rtl/>
        </w:rPr>
      </w:pPr>
      <w:r>
        <w:rPr>
          <w:rtl/>
        </w:rPr>
        <w:t>סעיף ד</w:t>
      </w:r>
      <w:r>
        <w:rPr>
          <w:rFonts w:hint="cs"/>
          <w:rtl/>
        </w:rPr>
        <w:t>:</w:t>
      </w:r>
      <w:r w:rsidRPr="00CD7F91">
        <w:rPr>
          <w:rtl/>
        </w:rPr>
        <w:t xml:space="preserve"> </w:t>
      </w:r>
      <w:r>
        <w:rPr>
          <w:rtl/>
        </w:rPr>
        <w:t xml:space="preserve">אלמנה שפרעה שלא ע"פ ב"ד חובות </w:t>
      </w:r>
      <w:r>
        <w:rPr>
          <w:rFonts w:hint="cs"/>
          <w:rtl/>
        </w:rPr>
        <w:t>הגוים</w:t>
      </w:r>
      <w:r>
        <w:rPr>
          <w:rtl/>
        </w:rPr>
        <w:t xml:space="preserve"> מנכסי בעלה</w:t>
      </w:r>
      <w:r>
        <w:rPr>
          <w:rFonts w:hint="cs"/>
          <w:rtl/>
        </w:rPr>
        <w:t>.</w:t>
      </w:r>
    </w:p>
    <w:p w14:paraId="4E22EF74" w14:textId="77777777" w:rsidR="00392DBB" w:rsidRPr="00CD7F91" w:rsidRDefault="00392DBB" w:rsidP="00392DBB">
      <w:pPr>
        <w:rPr>
          <w:u w:val="single"/>
          <w:rtl/>
        </w:rPr>
      </w:pPr>
      <w:r w:rsidRPr="00CD7F91">
        <w:rPr>
          <w:rFonts w:cs="Arial"/>
          <w:u w:val="single"/>
          <w:rtl/>
        </w:rPr>
        <w:t xml:space="preserve">אלמנה שפרעה שלא ע"פ ב"ד חובות </w:t>
      </w:r>
      <w:r w:rsidRPr="00CD7F91">
        <w:rPr>
          <w:rFonts w:cs="Arial" w:hint="cs"/>
          <w:u w:val="single"/>
          <w:rtl/>
        </w:rPr>
        <w:t>הגוים</w:t>
      </w:r>
      <w:r w:rsidRPr="00CD7F91">
        <w:rPr>
          <w:rFonts w:cs="Arial"/>
          <w:u w:val="single"/>
          <w:rtl/>
        </w:rPr>
        <w:t xml:space="preserve"> מנכסי בעלה</w:t>
      </w:r>
      <w:r w:rsidRPr="00CD7F91">
        <w:rPr>
          <w:rFonts w:hint="cs"/>
          <w:u w:val="single"/>
          <w:rtl/>
        </w:rPr>
        <w:t>:</w:t>
      </w:r>
    </w:p>
    <w:p w14:paraId="2D49041E" w14:textId="559CA378" w:rsidR="00392DBB" w:rsidRPr="00213780" w:rsidRDefault="00392DBB" w:rsidP="009000E3">
      <w:pPr>
        <w:pStyle w:val="ab"/>
        <w:numPr>
          <w:ilvl w:val="0"/>
          <w:numId w:val="72"/>
        </w:numPr>
        <w:rPr>
          <w:rtl/>
        </w:rPr>
      </w:pPr>
      <w:r w:rsidRPr="00236A20">
        <w:rPr>
          <w:rFonts w:cs="Arial" w:hint="cs"/>
          <w:rtl/>
        </w:rPr>
        <w:t xml:space="preserve">רא"ש </w:t>
      </w:r>
      <w:r w:rsidRPr="00236A20">
        <w:rPr>
          <w:rFonts w:cs="Arial" w:hint="cs"/>
          <w:sz w:val="16"/>
          <w:szCs w:val="16"/>
          <w:rtl/>
        </w:rPr>
        <w:t xml:space="preserve">(כלל נ סי' </w:t>
      </w:r>
      <w:r>
        <w:rPr>
          <w:rFonts w:cs="Arial" w:hint="cs"/>
          <w:sz w:val="16"/>
          <w:szCs w:val="16"/>
          <w:rtl/>
        </w:rPr>
        <w:t>ט</w:t>
      </w:r>
      <w:r w:rsidRPr="00236A20">
        <w:rPr>
          <w:rFonts w:cs="Arial" w:hint="cs"/>
          <w:sz w:val="16"/>
          <w:szCs w:val="16"/>
          <w:rtl/>
        </w:rPr>
        <w:t xml:space="preserve">) </w:t>
      </w:r>
      <w:r w:rsidRPr="00236A20">
        <w:rPr>
          <w:rFonts w:cs="Arial" w:hint="cs"/>
          <w:rtl/>
        </w:rPr>
        <w:t xml:space="preserve">וטור- </w:t>
      </w:r>
      <w:r w:rsidRPr="00CD7F91">
        <w:rPr>
          <w:rFonts w:cs="Arial"/>
          <w:rtl/>
        </w:rPr>
        <w:t>וששאלת אשה שמת בעלה והיו עליו חובות לעכו"ם</w:t>
      </w:r>
      <w:r>
        <w:rPr>
          <w:rFonts w:cs="Arial" w:hint="cs"/>
          <w:rtl/>
        </w:rPr>
        <w:t>,</w:t>
      </w:r>
      <w:r w:rsidRPr="00CD7F91">
        <w:rPr>
          <w:rFonts w:cs="Arial"/>
          <w:rtl/>
        </w:rPr>
        <w:t xml:space="preserve"> ובאו לגבותה מקרקעיתו</w:t>
      </w:r>
      <w:r>
        <w:rPr>
          <w:rFonts w:cs="Arial" w:hint="cs"/>
          <w:rtl/>
        </w:rPr>
        <w:t>.</w:t>
      </w:r>
      <w:r w:rsidRPr="00CD7F91">
        <w:rPr>
          <w:rFonts w:cs="Arial"/>
          <w:rtl/>
        </w:rPr>
        <w:t xml:space="preserve"> והלכה האלמנה ופרעה אותם מנכסיו כדי שלא יזלזלו במכירת הקרקעות</w:t>
      </w:r>
      <w:r>
        <w:rPr>
          <w:rFonts w:cs="Arial" w:hint="cs"/>
          <w:rtl/>
        </w:rPr>
        <w:t>.</w:t>
      </w:r>
      <w:r w:rsidRPr="00CD7F91">
        <w:rPr>
          <w:rFonts w:cs="Arial"/>
          <w:rtl/>
        </w:rPr>
        <w:t xml:space="preserve"> ועכשיו תובעת לאפוטרופוס של היתומים כיון שאין עליה לפרוע חובות של בעלה</w:t>
      </w:r>
      <w:r>
        <w:rPr>
          <w:rFonts w:cs="Arial" w:hint="cs"/>
          <w:rtl/>
        </w:rPr>
        <w:t>,</w:t>
      </w:r>
      <w:r w:rsidRPr="00CD7F91">
        <w:rPr>
          <w:rFonts w:cs="Arial"/>
          <w:rtl/>
        </w:rPr>
        <w:t xml:space="preserve"> שיתן לה מחלק היתומים כדי חצי מה שפרעה בחובות הנזכרות</w:t>
      </w:r>
      <w:r>
        <w:rPr>
          <w:rFonts w:cs="Arial" w:hint="cs"/>
          <w:rtl/>
        </w:rPr>
        <w:t>.</w:t>
      </w:r>
      <w:r w:rsidRPr="00CD7F91">
        <w:rPr>
          <w:rFonts w:cs="Arial"/>
          <w:rtl/>
        </w:rPr>
        <w:t xml:space="preserve"> ואומרת שעשתה ע"פ אחד מזקני העיר</w:t>
      </w:r>
      <w:r>
        <w:rPr>
          <w:rFonts w:cs="Arial" w:hint="cs"/>
          <w:rtl/>
        </w:rPr>
        <w:t>,</w:t>
      </w:r>
      <w:r w:rsidRPr="00CD7F91">
        <w:rPr>
          <w:rFonts w:cs="Arial"/>
          <w:rtl/>
        </w:rPr>
        <w:t xml:space="preserve"> ויש לה מזה עדים וקיום</w:t>
      </w:r>
      <w:r>
        <w:rPr>
          <w:rFonts w:cs="Arial" w:hint="cs"/>
          <w:rtl/>
        </w:rPr>
        <w:t>.</w:t>
      </w:r>
      <w:r w:rsidRPr="00CD7F91">
        <w:rPr>
          <w:rFonts w:cs="Arial"/>
          <w:rtl/>
        </w:rPr>
        <w:t xml:space="preserve"> ואפוטרופוס אומר שאין לו לפרוע לה כלום כיון שלא אמר לה שום אדם לפרוע החובות</w:t>
      </w:r>
      <w:r>
        <w:rPr>
          <w:rFonts w:cs="Arial" w:hint="cs"/>
          <w:rtl/>
        </w:rPr>
        <w:t>.</w:t>
      </w:r>
      <w:r w:rsidRPr="00CD7F91">
        <w:rPr>
          <w:rFonts w:cs="Arial"/>
          <w:rtl/>
        </w:rPr>
        <w:t xml:space="preserve"> </w:t>
      </w:r>
      <w:r>
        <w:rPr>
          <w:rFonts w:cs="Arial" w:hint="cs"/>
          <w:rtl/>
        </w:rPr>
        <w:t xml:space="preserve">   </w:t>
      </w:r>
      <w:r w:rsidR="00FE210D">
        <w:rPr>
          <w:rFonts w:cs="Arial"/>
          <w:rtl/>
        </w:rPr>
        <w:t xml:space="preserve">      תשובה:</w:t>
      </w:r>
      <w:r w:rsidRPr="00CD7F91">
        <w:rPr>
          <w:rFonts w:cs="Arial"/>
          <w:rtl/>
        </w:rPr>
        <w:t xml:space="preserve"> אם הדבר ידוע שהיו לעכו"ם שטרות על בעלה ורצו למכור הקרקעות יפה עשתה האלמנה שפרעה החובות כדי שלא יזלזלו העכו"ם במכירת הקרקעות אע</w:t>
      </w:r>
      <w:r>
        <w:rPr>
          <w:rFonts w:cs="Arial" w:hint="cs"/>
          <w:rtl/>
        </w:rPr>
        <w:t>"</w:t>
      </w:r>
      <w:r w:rsidRPr="00CD7F91">
        <w:rPr>
          <w:rFonts w:cs="Arial"/>
          <w:rtl/>
        </w:rPr>
        <w:t>פ שלא עשתה ע"פ ב"ד</w:t>
      </w:r>
      <w:r>
        <w:rPr>
          <w:rFonts w:cs="Arial" w:hint="cs"/>
          <w:rtl/>
        </w:rPr>
        <w:t>,</w:t>
      </w:r>
      <w:r w:rsidRPr="00CD7F91">
        <w:rPr>
          <w:rFonts w:cs="Arial"/>
          <w:rtl/>
        </w:rPr>
        <w:t xml:space="preserve"> כיון שהיתומים היו סמוכים אצלה הויא כאילו נתמנית אפוטרופא עליהם ויש לה לעשות תועלת היתומים בלא ב"ד</w:t>
      </w:r>
      <w:r>
        <w:rPr>
          <w:rFonts w:cs="Arial" w:hint="cs"/>
          <w:rtl/>
        </w:rPr>
        <w:t>.</w:t>
      </w:r>
      <w:r w:rsidRPr="00CD7F91">
        <w:rPr>
          <w:rFonts w:hint="cs"/>
          <w:color w:val="E36C0A" w:themeColor="accent6" w:themeShade="BF"/>
          <w:rtl/>
        </w:rPr>
        <w:t xml:space="preserve"> </w:t>
      </w:r>
      <w:r w:rsidRPr="00544E63">
        <w:rPr>
          <w:rFonts w:hint="cs"/>
          <w:color w:val="E36C0A" w:themeColor="accent6" w:themeShade="BF"/>
          <w:rtl/>
        </w:rPr>
        <w:t>(וכ"פ בשו"ע)</w:t>
      </w:r>
      <w:r w:rsidRPr="00CD7F91">
        <w:rPr>
          <w:rFonts w:hint="cs"/>
          <w:color w:val="00B0F0"/>
          <w:rtl/>
        </w:rPr>
        <w:t xml:space="preserve"> </w:t>
      </w:r>
    </w:p>
    <w:p w14:paraId="652FB79B"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2A3A4CD" w14:textId="77777777" w:rsidR="00392DBB" w:rsidRDefault="00392DBB" w:rsidP="00392DBB">
      <w:pPr>
        <w:rPr>
          <w:rFonts w:cs="Arial"/>
          <w:rtl/>
        </w:rPr>
      </w:pPr>
      <w:r>
        <w:rPr>
          <w:rFonts w:cs="Arial"/>
          <w:rtl/>
        </w:rPr>
        <w:t>אלמנה שפרעה שלא ע</w:t>
      </w:r>
      <w:r>
        <w:rPr>
          <w:rFonts w:cs="Arial" w:hint="cs"/>
          <w:rtl/>
        </w:rPr>
        <w:t xml:space="preserve">ל </w:t>
      </w:r>
      <w:r>
        <w:rPr>
          <w:rFonts w:cs="Arial"/>
          <w:rtl/>
        </w:rPr>
        <w:t>פ</w:t>
      </w:r>
      <w:r>
        <w:rPr>
          <w:rFonts w:cs="Arial" w:hint="cs"/>
          <w:rtl/>
        </w:rPr>
        <w:t>י</w:t>
      </w:r>
      <w:r>
        <w:rPr>
          <w:rFonts w:cs="Arial"/>
          <w:rtl/>
        </w:rPr>
        <w:t xml:space="preserve"> ב</w:t>
      </w:r>
      <w:r>
        <w:rPr>
          <w:rFonts w:cs="Arial" w:hint="cs"/>
          <w:rtl/>
        </w:rPr>
        <w:t>ית דין</w:t>
      </w:r>
      <w:r>
        <w:rPr>
          <w:rFonts w:cs="Arial"/>
          <w:rtl/>
        </w:rPr>
        <w:t xml:space="preserve"> חובות </w:t>
      </w:r>
      <w:r>
        <w:rPr>
          <w:rFonts w:cs="Arial" w:hint="cs"/>
          <w:rtl/>
        </w:rPr>
        <w:t>הגוים</w:t>
      </w:r>
      <w:r>
        <w:rPr>
          <w:rFonts w:cs="Arial"/>
          <w:rtl/>
        </w:rPr>
        <w:t xml:space="preserve"> מנכסי בעלה כדי שלא יזלזלו במכירת קרקעותיו, יפה עשתה.</w:t>
      </w:r>
    </w:p>
    <w:p w14:paraId="0AF6311B" w14:textId="77777777" w:rsidR="00392DBB" w:rsidRDefault="00392DBB" w:rsidP="00392DBB">
      <w:pPr>
        <w:rPr>
          <w:rtl/>
        </w:rPr>
      </w:pPr>
      <w:r>
        <w:rPr>
          <w:rFonts w:cs="Arial"/>
          <w:rtl/>
        </w:rPr>
        <w:t xml:space="preserve"> </w:t>
      </w:r>
    </w:p>
    <w:p w14:paraId="21C68A30" w14:textId="77777777" w:rsidR="00392DBB" w:rsidRDefault="00392DBB" w:rsidP="000F64D0">
      <w:pPr>
        <w:pStyle w:val="2"/>
        <w:rPr>
          <w:rtl/>
        </w:rPr>
      </w:pPr>
      <w:r>
        <w:rPr>
          <w:rtl/>
        </w:rPr>
        <w:t>סעיף ה</w:t>
      </w:r>
      <w:r>
        <w:rPr>
          <w:rFonts w:hint="cs"/>
          <w:rtl/>
        </w:rPr>
        <w:t>: נטילה מקרקעות ממושכנים כשיש למת נכסים בני חורין.</w:t>
      </w:r>
    </w:p>
    <w:p w14:paraId="58B021D0" w14:textId="77777777" w:rsidR="00392DBB" w:rsidRPr="00CD7F91" w:rsidRDefault="00392DBB" w:rsidP="00392DBB">
      <w:pPr>
        <w:rPr>
          <w:u w:val="single"/>
          <w:rtl/>
        </w:rPr>
      </w:pPr>
      <w:r w:rsidRPr="00797BAD">
        <w:rPr>
          <w:rFonts w:cs="Arial" w:hint="cs"/>
          <w:u w:val="single"/>
          <w:rtl/>
        </w:rPr>
        <w:t>נטילה מקרקעות ממושכנים כשיש למת נכסים בני חורין</w:t>
      </w:r>
      <w:r w:rsidRPr="00CD7F91">
        <w:rPr>
          <w:rFonts w:hint="cs"/>
          <w:u w:val="single"/>
          <w:rtl/>
        </w:rPr>
        <w:t>:</w:t>
      </w:r>
    </w:p>
    <w:p w14:paraId="780E0240" w14:textId="77777777" w:rsidR="00392DBB" w:rsidRPr="00213780" w:rsidRDefault="00392DBB" w:rsidP="009000E3">
      <w:pPr>
        <w:pStyle w:val="ab"/>
        <w:numPr>
          <w:ilvl w:val="0"/>
          <w:numId w:val="72"/>
        </w:numPr>
        <w:rPr>
          <w:rtl/>
        </w:rPr>
      </w:pPr>
      <w:r w:rsidRPr="00236A20">
        <w:rPr>
          <w:rFonts w:cs="Arial" w:hint="cs"/>
          <w:rtl/>
        </w:rPr>
        <w:t xml:space="preserve">רא"ש </w:t>
      </w:r>
      <w:r w:rsidRPr="00236A20">
        <w:rPr>
          <w:rFonts w:cs="Arial" w:hint="cs"/>
          <w:sz w:val="16"/>
          <w:szCs w:val="16"/>
          <w:rtl/>
        </w:rPr>
        <w:t>(כלל נ</w:t>
      </w:r>
      <w:r>
        <w:rPr>
          <w:rFonts w:cs="Arial" w:hint="cs"/>
          <w:sz w:val="16"/>
          <w:szCs w:val="16"/>
          <w:rtl/>
        </w:rPr>
        <w:t>ה</w:t>
      </w:r>
      <w:r w:rsidRPr="00236A20">
        <w:rPr>
          <w:rFonts w:cs="Arial" w:hint="cs"/>
          <w:sz w:val="16"/>
          <w:szCs w:val="16"/>
          <w:rtl/>
        </w:rPr>
        <w:t xml:space="preserve"> סי' </w:t>
      </w:r>
      <w:r>
        <w:rPr>
          <w:rFonts w:cs="Arial" w:hint="cs"/>
          <w:sz w:val="16"/>
          <w:szCs w:val="16"/>
          <w:rtl/>
        </w:rPr>
        <w:t>ד</w:t>
      </w:r>
      <w:r w:rsidRPr="00236A20">
        <w:rPr>
          <w:rFonts w:cs="Arial" w:hint="cs"/>
          <w:sz w:val="16"/>
          <w:szCs w:val="16"/>
          <w:rtl/>
        </w:rPr>
        <w:t xml:space="preserve">) </w:t>
      </w:r>
      <w:r w:rsidRPr="00236A20">
        <w:rPr>
          <w:rFonts w:cs="Arial" w:hint="cs"/>
          <w:rtl/>
        </w:rPr>
        <w:t xml:space="preserve">וטור- </w:t>
      </w:r>
      <w:r w:rsidRPr="00797BAD">
        <w:rPr>
          <w:rFonts w:cs="Arial"/>
          <w:rtl/>
        </w:rPr>
        <w:t>וששאלת ראובן משכן בית לשמעון ומת ראובן והיה עליו כתובת אשה ותובעת כתובתה והורידוה ב"ד בחצי נכסי המת בכח התקנה ובאה להוציא את שמעון מחצי הבתים הממושכנים בידו בכח ההורדה שהורידוה ב"ד בחצי נכסי ראובן ושמעון אומר שאין זכות כתובתה חל בחצי הבתים כיון שהיו משועבדים בידו והמת הניח בתים אחרים בני חורין והזכייה שיש לה תגבה מבני חרי שאין לה לגבות מן המשועבדים כל זמן שיש בני חרי תשובה יראה שהדין עם שמעון כיון שנמצאו לראובן נכסים בני חורין לפרוע להם לאלמנה חצי נכסי המת שהוא פרעון הכתובה לפי התקנה שתקנו שלא תטול כל בכתובתה אלא חצי נכסי המת והוא פרעון כתובתה לא היה להן לב"ד להורידה לנכסים משועבדים כיון שהיו למת נכסים בני חורין שתגבה מהם אלמנתו חצי נכסיו כי אין התקנה כך שתגבה חצי כל הקרקע וחצי כל המטלטלים אלא שתגבה חצי נכסיו והוא תחת גביית כתובתה הילכך אין להגבות מנכסים משועבדים במקום שיש בני חורין הלכך ההורדה שהורידו בית דין לאלמנה לבית שמשכן ראובן לשמעון לא היתה כלום ותגבה האלמנה משאר נכסי המת כנגד סך הממון שהורידוה באותם הבתים והבתים ישארו ביד שמעון עד שיפרעו יורשי ראובן לשמעון דמי המשכנות כך יראה הדין מדין ההלכה אמנם באו לפני סופרי העיר ועדיה ואמרו שכך נהגו העולם ע"פ התקנה ליתן לאלמנה חצי הנכסים חלק כחלק בכל הנכסים קרקע וטלטל כל דבר ודבר חציו ואמרתי אם כן יעשו כמנהגם ויתנו לה גם חצי הקרקע המשועבד לשמעון</w:t>
      </w:r>
      <w:r>
        <w:rPr>
          <w:rFonts w:cs="Arial" w:hint="cs"/>
          <w:rtl/>
        </w:rPr>
        <w:t>.</w:t>
      </w:r>
      <w:r w:rsidRPr="00CD7F91">
        <w:rPr>
          <w:rFonts w:hint="cs"/>
          <w:color w:val="E36C0A" w:themeColor="accent6" w:themeShade="BF"/>
          <w:rtl/>
        </w:rPr>
        <w:t xml:space="preserve"> </w:t>
      </w:r>
      <w:r w:rsidRPr="00544E63">
        <w:rPr>
          <w:rFonts w:hint="cs"/>
          <w:color w:val="E36C0A" w:themeColor="accent6" w:themeShade="BF"/>
          <w:rtl/>
        </w:rPr>
        <w:t>(וכ"פ בשו"ע)</w:t>
      </w:r>
      <w:r w:rsidRPr="00CD7F91">
        <w:rPr>
          <w:rFonts w:hint="cs"/>
          <w:color w:val="00B0F0"/>
          <w:rtl/>
        </w:rPr>
        <w:t xml:space="preserve"> </w:t>
      </w:r>
    </w:p>
    <w:p w14:paraId="4C793B59"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1E6A6F6" w14:textId="77777777" w:rsidR="00392DBB" w:rsidRDefault="00392DBB" w:rsidP="00392DBB">
      <w:pPr>
        <w:rPr>
          <w:rtl/>
        </w:rPr>
      </w:pPr>
      <w:r>
        <w:rPr>
          <w:rFonts w:cs="Arial"/>
          <w:rtl/>
        </w:rPr>
        <w:t>אלמנה שהורידוה ב</w:t>
      </w:r>
      <w:r>
        <w:rPr>
          <w:rFonts w:cs="Arial" w:hint="cs"/>
          <w:rtl/>
        </w:rPr>
        <w:t>ית דין</w:t>
      </w:r>
      <w:r>
        <w:rPr>
          <w:rFonts w:cs="Arial"/>
          <w:rtl/>
        </w:rPr>
        <w:t xml:space="preserve"> בחצי נכסי המת בכח התקנה, ויש למת קרקעות ממושכנים ביד אחר, אף על פי שיש לו נכסים בני חורין, נוטלת חצי קרקעות הממושכנים, לפי מה שנהגו על פי התקנה, לחלוק בכל דבר ודבר חציו. </w:t>
      </w:r>
    </w:p>
    <w:p w14:paraId="68A01F34" w14:textId="77777777" w:rsidR="00392DBB" w:rsidRDefault="00392DBB" w:rsidP="00392DBB">
      <w:pPr>
        <w:rPr>
          <w:rtl/>
        </w:rPr>
      </w:pPr>
    </w:p>
    <w:p w14:paraId="61DA070C" w14:textId="77777777" w:rsidR="00392DBB" w:rsidRDefault="00392DBB" w:rsidP="000F64D0">
      <w:pPr>
        <w:pStyle w:val="2"/>
        <w:rPr>
          <w:rtl/>
        </w:rPr>
      </w:pPr>
      <w:r>
        <w:rPr>
          <w:rtl/>
        </w:rPr>
        <w:t>סעיף ו</w:t>
      </w:r>
      <w:r>
        <w:rPr>
          <w:rFonts w:hint="cs"/>
          <w:rtl/>
        </w:rPr>
        <w:t>: דבר שאינו מפורש בתקנה.</w:t>
      </w:r>
    </w:p>
    <w:p w14:paraId="044D4C8D" w14:textId="77777777" w:rsidR="00392DBB" w:rsidRPr="00CD7F91" w:rsidRDefault="00392DBB" w:rsidP="00392DBB">
      <w:pPr>
        <w:rPr>
          <w:u w:val="single"/>
          <w:rtl/>
        </w:rPr>
      </w:pPr>
      <w:r w:rsidRPr="00797BAD">
        <w:rPr>
          <w:rFonts w:cs="Arial" w:hint="cs"/>
          <w:u w:val="single"/>
          <w:rtl/>
        </w:rPr>
        <w:t>דבר שאינו מפורש בתקנה</w:t>
      </w:r>
      <w:r w:rsidRPr="00CD7F91">
        <w:rPr>
          <w:rFonts w:hint="cs"/>
          <w:u w:val="single"/>
          <w:rtl/>
        </w:rPr>
        <w:t>:</w:t>
      </w:r>
    </w:p>
    <w:p w14:paraId="247E73FF" w14:textId="1A1364A9" w:rsidR="00392DBB" w:rsidRPr="00797BAD" w:rsidRDefault="00392DBB" w:rsidP="009000E3">
      <w:pPr>
        <w:pStyle w:val="ab"/>
        <w:numPr>
          <w:ilvl w:val="0"/>
          <w:numId w:val="72"/>
        </w:numPr>
        <w:rPr>
          <w:rFonts w:cs="Arial"/>
          <w:rtl/>
        </w:rPr>
      </w:pPr>
      <w:r w:rsidRPr="00236A20">
        <w:rPr>
          <w:rFonts w:cs="Arial" w:hint="cs"/>
          <w:rtl/>
        </w:rPr>
        <w:t xml:space="preserve">רא"ש </w:t>
      </w:r>
      <w:r w:rsidRPr="00236A20">
        <w:rPr>
          <w:rFonts w:cs="Arial" w:hint="cs"/>
          <w:sz w:val="16"/>
          <w:szCs w:val="16"/>
          <w:rtl/>
        </w:rPr>
        <w:t>(כלל נ</w:t>
      </w:r>
      <w:r>
        <w:rPr>
          <w:rFonts w:cs="Arial" w:hint="cs"/>
          <w:sz w:val="16"/>
          <w:szCs w:val="16"/>
          <w:rtl/>
        </w:rPr>
        <w:t>ה</w:t>
      </w:r>
      <w:r w:rsidRPr="00236A20">
        <w:rPr>
          <w:rFonts w:cs="Arial" w:hint="cs"/>
          <w:sz w:val="16"/>
          <w:szCs w:val="16"/>
          <w:rtl/>
        </w:rPr>
        <w:t xml:space="preserve"> סי' </w:t>
      </w:r>
      <w:r>
        <w:rPr>
          <w:rFonts w:cs="Arial" w:hint="cs"/>
          <w:sz w:val="16"/>
          <w:szCs w:val="16"/>
          <w:rtl/>
        </w:rPr>
        <w:t>ז</w:t>
      </w:r>
      <w:r w:rsidRPr="00236A20">
        <w:rPr>
          <w:rFonts w:cs="Arial" w:hint="cs"/>
          <w:sz w:val="16"/>
          <w:szCs w:val="16"/>
          <w:rtl/>
        </w:rPr>
        <w:t xml:space="preserve">) </w:t>
      </w:r>
      <w:r w:rsidRPr="00236A20">
        <w:rPr>
          <w:rFonts w:cs="Arial" w:hint="cs"/>
          <w:rtl/>
        </w:rPr>
        <w:t xml:space="preserve">וטור- </w:t>
      </w:r>
      <w:r w:rsidRPr="00797BAD">
        <w:rPr>
          <w:rFonts w:cs="Arial"/>
          <w:rtl/>
        </w:rPr>
        <w:t xml:space="preserve">שאלה ילמדנו רבינו הסכימו קהל מולינא שכל אלמנה שתבא לחלוק עם בנים שיהיה יד היתומים על העליונה או יפרעו כתובת אמן ומתנתה או יחלקו עמה לעולם שתהיה יד היתומים על העליונה לתועלתם כגון שאם היו הנכסים מרובים יפרעו לה כתובתה ומתנתה ואם היתה כתובתה יתירה על הנכסים שיחלקו עמה עכשיו מת ראובן והניח בנים ובנות והיה עליו שטר חוב מאלף זהובים לשמעון ועמדה לאה אשת ראובן והשיאה הבנות ולא מיחו בה היתומים והיתומים לא גילו דעתם אם היו רוצים לפרוע כתובת אמן </w:t>
      </w:r>
      <w:r w:rsidRPr="00797BAD">
        <w:rPr>
          <w:rFonts w:cs="Arial"/>
          <w:rtl/>
        </w:rPr>
        <w:lastRenderedPageBreak/>
        <w:t>או אם היו רוצים לחלוק אבל אומדן דעת היה שקודם ירצו לחלק כיון שהכתובה יתירה על הנכסים עכשיו מתו היתומים ובא שמעון לתבוע שטר חובו שהיה לו על ראובן וטען שיפרעו לו חצי הנכסים עמדו היתומים ואמרו אין אנו רוצות לחלוק עם אמנו אלא היא תטול כתובתה ושמעון אומר כיון שהיתומים לא גילו דעתם אלא סמכו על התנאי אנן סהדי דניחא להו כדי שיפרעו חובות אביהן טענו היתומים אנו במקום אחינו קיימינן וכי היכי שהם היו יכולים לותר גם אנחנו יכולים לותר</w:t>
      </w:r>
      <w:r>
        <w:rPr>
          <w:rFonts w:cs="Arial" w:hint="cs"/>
          <w:rtl/>
        </w:rPr>
        <w:t xml:space="preserve">.    </w:t>
      </w:r>
      <w:r w:rsidR="00FE210D">
        <w:rPr>
          <w:rFonts w:cs="Arial"/>
          <w:rtl/>
        </w:rPr>
        <w:t xml:space="preserve">   תשובה:</w:t>
      </w:r>
      <w:r w:rsidRPr="00797BAD">
        <w:rPr>
          <w:rFonts w:cs="Arial"/>
          <w:rtl/>
        </w:rPr>
        <w:t xml:space="preserve"> מה שכתבת שהבריר' תלויה ביד היתומים אם ירצו יחלקו עם האלמנה ואם ירצו יעמידו הדבר על דין תורה שתטול האלמנ' כתובתה והם יטלו המותר דבר ידוע הוא שלא יעקר דין תורה ממקומו עד שיאמרו יורשים רוצים אנו לחלוק ולא שייך הכא אומדן דעת לפי שכך התקנה שלתועל' היתומים תקנו שיכולים לסלק האלמנ' בחצי הנכסים וכל זמן שלא סלקוה נעמידנה על דין תורה והרי מתו הבנים ולא סלקוה והבנות שעומדו' במקום אחיהן לירש אומרו' שאין רוצו' לסלק אמן ומי יסלקנה ועוד אדרבא אומדנא דדעתא הוא יותר שהבנים היו חפצים שתטול אמן הממון בכתובתה ממה שיטלם בעל חוב אחר וזהו לפי מה שכתבתם שהברירה תלויה ביד היורשים אם ירצו לחלוק עם האלמנה או אם ירצו יתנו לה כתובתה אבל בעיר הזאת אין התקנה כך אלא אם כתובתה מרובה מחצי הנכסים ממילא כל חצי עזבון של היורשים ובעל חוב גובה ממנו חובו ואם יאמרו היורשים תטול האלמנה כל כתובתה אין שומעין להם</w:t>
      </w:r>
      <w:r w:rsidRPr="00797BAD">
        <w:rPr>
          <w:rFonts w:cs="Arial" w:hint="cs"/>
          <w:rtl/>
        </w:rPr>
        <w:t>.</w:t>
      </w:r>
      <w:r w:rsidRPr="00797BAD">
        <w:rPr>
          <w:rFonts w:hint="cs"/>
          <w:color w:val="E36C0A" w:themeColor="accent6" w:themeShade="BF"/>
          <w:rtl/>
        </w:rPr>
        <w:t xml:space="preserve"> (וכ"פ בשו"ע)</w:t>
      </w:r>
      <w:r w:rsidRPr="00797BAD">
        <w:rPr>
          <w:rFonts w:hint="cs"/>
          <w:color w:val="00B0F0"/>
          <w:rtl/>
        </w:rPr>
        <w:t xml:space="preserve"> </w:t>
      </w:r>
    </w:p>
    <w:p w14:paraId="2234CF03"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EF6639B" w14:textId="77777777" w:rsidR="00392DBB" w:rsidRDefault="00392DBB" w:rsidP="00392DBB">
      <w:pPr>
        <w:rPr>
          <w:rFonts w:cs="Arial"/>
          <w:rtl/>
        </w:rPr>
      </w:pPr>
      <w:r>
        <w:rPr>
          <w:rFonts w:cs="Arial"/>
          <w:rtl/>
        </w:rPr>
        <w:t xml:space="preserve">דבר שאינו מפורש בתקנה, נעמידנו על דין תורה. </w:t>
      </w:r>
      <w:r w:rsidRPr="00213780">
        <w:rPr>
          <w:rFonts w:cs="Arial" w:hint="cs"/>
          <w:sz w:val="18"/>
          <w:szCs w:val="18"/>
          <w:rtl/>
        </w:rPr>
        <w:t xml:space="preserve">[הגה] </w:t>
      </w:r>
      <w:r w:rsidRPr="00213780">
        <w:rPr>
          <w:rFonts w:cs="Arial"/>
          <w:sz w:val="18"/>
          <w:szCs w:val="18"/>
          <w:rtl/>
        </w:rPr>
        <w:t>וכן כל ספק שיש בתקנה, על יורשי האשה להביא ראיה, דאין מוציאין ירושת הבעל מספיקא (ב"י בשם תשובת הר"ן).</w:t>
      </w:r>
    </w:p>
    <w:p w14:paraId="2D581005" w14:textId="77777777" w:rsidR="00392DBB" w:rsidRDefault="00392DBB" w:rsidP="00392DBB">
      <w:pPr>
        <w:rPr>
          <w:rtl/>
        </w:rPr>
      </w:pPr>
      <w:r>
        <w:rPr>
          <w:rFonts w:cs="Arial"/>
          <w:rtl/>
        </w:rPr>
        <w:t xml:space="preserve"> </w:t>
      </w:r>
    </w:p>
    <w:p w14:paraId="266B5A12" w14:textId="77777777" w:rsidR="00392DBB" w:rsidRDefault="00392DBB" w:rsidP="000F64D0">
      <w:pPr>
        <w:pStyle w:val="2"/>
        <w:rPr>
          <w:rtl/>
        </w:rPr>
      </w:pPr>
      <w:r>
        <w:rPr>
          <w:rtl/>
        </w:rPr>
        <w:t>סעיף ז</w:t>
      </w:r>
      <w:r>
        <w:rPr>
          <w:rFonts w:hint="cs"/>
          <w:rtl/>
        </w:rPr>
        <w:t>: כשיש לה דין לגבות כפי דין תורה, נוטלת בחצי הנכסים מכח התקנה.</w:t>
      </w:r>
    </w:p>
    <w:p w14:paraId="7F6B3E99" w14:textId="77777777" w:rsidR="00392DBB" w:rsidRPr="00797BAD" w:rsidRDefault="00392DBB" w:rsidP="00392DBB">
      <w:pPr>
        <w:rPr>
          <w:u w:val="single"/>
          <w:rtl/>
        </w:rPr>
      </w:pPr>
      <w:r w:rsidRPr="00797BAD">
        <w:rPr>
          <w:rFonts w:hint="cs"/>
          <w:u w:val="single"/>
          <w:rtl/>
        </w:rPr>
        <w:t>כשיש לה דין לגבות כפי דין תורה, נוטלת בחצי הנכסים מכח התקנה</w:t>
      </w:r>
      <w:r>
        <w:rPr>
          <w:rFonts w:hint="cs"/>
          <w:u w:val="single"/>
          <w:rtl/>
        </w:rPr>
        <w:t>:</w:t>
      </w:r>
    </w:p>
    <w:p w14:paraId="504D8085" w14:textId="77777777" w:rsidR="00392DBB" w:rsidRPr="00797BAD" w:rsidRDefault="00392DBB" w:rsidP="009000E3">
      <w:pPr>
        <w:pStyle w:val="ab"/>
        <w:numPr>
          <w:ilvl w:val="0"/>
          <w:numId w:val="72"/>
        </w:numPr>
        <w:rPr>
          <w:rFonts w:cs="Arial"/>
          <w:rtl/>
        </w:rPr>
      </w:pPr>
      <w:r w:rsidRPr="00236A20">
        <w:rPr>
          <w:rFonts w:cs="Arial" w:hint="cs"/>
          <w:rtl/>
        </w:rPr>
        <w:t xml:space="preserve">רא"ש </w:t>
      </w:r>
      <w:r w:rsidRPr="00236A20">
        <w:rPr>
          <w:rFonts w:cs="Arial" w:hint="cs"/>
          <w:sz w:val="16"/>
          <w:szCs w:val="16"/>
          <w:rtl/>
        </w:rPr>
        <w:t>(כלל נ</w:t>
      </w:r>
      <w:r>
        <w:rPr>
          <w:rFonts w:cs="Arial" w:hint="cs"/>
          <w:sz w:val="16"/>
          <w:szCs w:val="16"/>
          <w:rtl/>
        </w:rPr>
        <w:t>ה</w:t>
      </w:r>
      <w:r w:rsidRPr="00236A20">
        <w:rPr>
          <w:rFonts w:cs="Arial" w:hint="cs"/>
          <w:sz w:val="16"/>
          <w:szCs w:val="16"/>
          <w:rtl/>
        </w:rPr>
        <w:t xml:space="preserve"> סי' </w:t>
      </w:r>
      <w:r>
        <w:rPr>
          <w:rFonts w:cs="Arial" w:hint="cs"/>
          <w:sz w:val="16"/>
          <w:szCs w:val="16"/>
          <w:rtl/>
        </w:rPr>
        <w:t>ח-ט</w:t>
      </w:r>
      <w:r w:rsidRPr="00236A20">
        <w:rPr>
          <w:rFonts w:cs="Arial" w:hint="cs"/>
          <w:sz w:val="16"/>
          <w:szCs w:val="16"/>
          <w:rtl/>
        </w:rPr>
        <w:t xml:space="preserve">) </w:t>
      </w:r>
      <w:r w:rsidRPr="00236A20">
        <w:rPr>
          <w:rFonts w:cs="Arial" w:hint="cs"/>
          <w:rtl/>
        </w:rPr>
        <w:t xml:space="preserve">וטור- </w:t>
      </w:r>
      <w:r w:rsidRPr="00797BAD">
        <w:rPr>
          <w:rFonts w:cs="Arial"/>
          <w:rtl/>
        </w:rPr>
        <w:t>שאלה וששאלת בענין התקנה שהאלמנה והיורשים חולקים כל עזבון המת ויצא על המת שטר חוב מאוחר לכתובת אשה והאשה לא שיעבדה עצמה באותו שטר אם יפרעו אותו מתפוסת הבית קודם חלוקה או אם יתנו לאלמנה חצי כל עזבון המת ומחלק היורשים יפרעו החוב. תשובה אחר שאין דבר זה מפורש בנוסח התקנ' יד התקנ' על התחתונ' כי התקנה באה להוציא מד"ת שהדין נותן שתטול האלמנה כל כתובתה הלכך אמרינן מסתמא כך היתה התקנה שכל הנמצא ברשות המת בשעת מיתה דבר שהגוף שלו יחלקו ולא יפחתו חלק האלמנ' בשביל שיעבוד שהיה באותו הממון משועבד לאחר כי היכי שאם לא היתה התקנה לא היה השיעבוד מגרע כח כתובתה כיון שקדמה הכתובה לחוב וגם האלמנ' לא נשתעבדה בחוב ה"נ לא יגרע השיעבוד חלק הראוי לה מכח התקנה כי התקנה שתיטול חצי הנכסים היא במקום גביית כתובתה הלכך כל דין שיש לה מגביית כתובה יש לה ג"כ בחצי הנכסים שנוטלת מכח התקנה הלכך יחלקו כל עזבון המת כל דבר שהגוף היה שלו ומחלק היורשים יפרעו החוב וכן נ"ל שנוהגים פה בטוליטולא וששאלת עוד יש בתקנה אם לא הניח בנים ובנות ותבע האלמנה לחלוק עם יורשי המת תוציא הנדוניא שהביאה לבעל כמו שהיה בשעת חלוקה ושאר הנכסים תיטול האלמנה חציה וליורשי המת נשאר החצי ונוהגין שבשעת הנישואין כותב לאשתו שטר מתנה גמורה מלבד שטר הכתובה ועתה באו לחלוק האלמנה ויורשי המת כפי התקנה וטוענת האלמנה שיש לה לקחת שטר המתנה קודם חלוקת הנכסים והיורשים אומרים שאין לה ליטול שטר המתנה אלא יחלקו כל הנכסים חוץ מנדוניתה שתוציא תחילה תשובה הדין עם היורשים דכיון שכתוב בתקנה שתוציא נדוניא שהביאה לבעלה ושאר כל הנכסים תיטול האלמנה חציה ויורשי המת חצי האחר ומאחר שהוציא לשון התקנה כל הנדוניא מכלל שאר הנכסים ולא שטר המתנה מכלל דחלוקה קיימא על כל שאר הנכסים כך נראה מלשון התקנה ועוד דיד בעל השטר על התחתונה כיון שבאה להוציא מיד היתומים הלכך לא תיטול אלא חצי הנכסים אחר שתוציא מהם תחלה נדוניתא</w:t>
      </w:r>
      <w:r w:rsidRPr="00797BAD">
        <w:rPr>
          <w:rFonts w:cs="Arial" w:hint="cs"/>
          <w:rtl/>
        </w:rPr>
        <w:t>.</w:t>
      </w:r>
      <w:r w:rsidRPr="00797BAD">
        <w:rPr>
          <w:rFonts w:hint="cs"/>
          <w:color w:val="E36C0A" w:themeColor="accent6" w:themeShade="BF"/>
          <w:rtl/>
        </w:rPr>
        <w:t xml:space="preserve"> (וכ"פ בשו"ע)</w:t>
      </w:r>
      <w:r w:rsidRPr="00797BAD">
        <w:rPr>
          <w:rFonts w:hint="cs"/>
          <w:color w:val="00B0F0"/>
          <w:rtl/>
        </w:rPr>
        <w:t xml:space="preserve"> </w:t>
      </w:r>
    </w:p>
    <w:p w14:paraId="484861C8"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1BDC0BFA" w14:textId="77777777" w:rsidR="00392DBB" w:rsidRDefault="00392DBB" w:rsidP="00392DBB">
      <w:pPr>
        <w:rPr>
          <w:rtl/>
        </w:rPr>
      </w:pPr>
      <w:r>
        <w:rPr>
          <w:rFonts w:cs="Arial"/>
          <w:rtl/>
        </w:rPr>
        <w:t xml:space="preserve">כל דין שיש לה בגביית כתובתה כפי דין תורה, יש לה בחצי נכסים שנוטלת מכח התקנה. </w:t>
      </w:r>
    </w:p>
    <w:p w14:paraId="63C432E3" w14:textId="77777777" w:rsidR="00392DBB" w:rsidRDefault="00392DBB" w:rsidP="00392DBB">
      <w:pPr>
        <w:rPr>
          <w:rtl/>
        </w:rPr>
      </w:pPr>
    </w:p>
    <w:p w14:paraId="78E109B9" w14:textId="77777777" w:rsidR="00392DBB" w:rsidRDefault="00392DBB" w:rsidP="000F64D0">
      <w:pPr>
        <w:pStyle w:val="2"/>
        <w:rPr>
          <w:rtl/>
        </w:rPr>
      </w:pPr>
      <w:r>
        <w:rPr>
          <w:rtl/>
        </w:rPr>
        <w:t>סעיף ח</w:t>
      </w:r>
      <w:r>
        <w:rPr>
          <w:rFonts w:hint="cs"/>
          <w:rtl/>
        </w:rPr>
        <w:t xml:space="preserve">: </w:t>
      </w:r>
      <w:r w:rsidRPr="0013175A">
        <w:rPr>
          <w:rtl/>
        </w:rPr>
        <w:t xml:space="preserve">אשה </w:t>
      </w:r>
      <w:r w:rsidRPr="0013175A">
        <w:rPr>
          <w:rFonts w:hint="cs"/>
          <w:rtl/>
        </w:rPr>
        <w:t xml:space="preserve">שנתנה </w:t>
      </w:r>
      <w:r>
        <w:rPr>
          <w:rFonts w:hint="cs"/>
          <w:rtl/>
        </w:rPr>
        <w:t>למישהו</w:t>
      </w:r>
      <w:r w:rsidRPr="0013175A">
        <w:rPr>
          <w:rtl/>
        </w:rPr>
        <w:t xml:space="preserve"> שיזכה אחר מותה בחצי נדונייתא הראוים יורשיה לירש</w:t>
      </w:r>
      <w:r>
        <w:rPr>
          <w:rFonts w:hint="cs"/>
          <w:rtl/>
        </w:rPr>
        <w:t>.</w:t>
      </w:r>
    </w:p>
    <w:p w14:paraId="6C3F078C" w14:textId="77777777" w:rsidR="00392DBB" w:rsidRPr="0013175A" w:rsidRDefault="00392DBB" w:rsidP="00392DBB">
      <w:pPr>
        <w:rPr>
          <w:u w:val="single"/>
        </w:rPr>
      </w:pPr>
      <w:r w:rsidRPr="0013175A">
        <w:rPr>
          <w:rFonts w:cs="Arial"/>
          <w:u w:val="single"/>
          <w:rtl/>
        </w:rPr>
        <w:t xml:space="preserve">אשה </w:t>
      </w:r>
      <w:r w:rsidRPr="0013175A">
        <w:rPr>
          <w:rFonts w:cs="Arial" w:hint="cs"/>
          <w:u w:val="single"/>
          <w:rtl/>
        </w:rPr>
        <w:t xml:space="preserve">שנתנה </w:t>
      </w:r>
      <w:r w:rsidRPr="0013175A">
        <w:rPr>
          <w:rFonts w:cs="Arial"/>
          <w:u w:val="single"/>
          <w:rtl/>
        </w:rPr>
        <w:t>לבעלה או לאחר שיזכה אחר מותה בחצי נדונייתא הראוים יורשיה לירש כפי תקנת טוליטולה</w:t>
      </w:r>
      <w:r w:rsidRPr="0013175A">
        <w:rPr>
          <w:rFonts w:cs="Arial" w:hint="cs"/>
          <w:u w:val="single"/>
          <w:rtl/>
        </w:rPr>
        <w:t>:</w:t>
      </w:r>
    </w:p>
    <w:p w14:paraId="4911841D" w14:textId="77777777" w:rsidR="00392DBB" w:rsidRDefault="00392DBB" w:rsidP="009000E3">
      <w:pPr>
        <w:pStyle w:val="ab"/>
        <w:numPr>
          <w:ilvl w:val="0"/>
          <w:numId w:val="72"/>
        </w:numPr>
      </w:pPr>
      <w:r w:rsidRPr="00236A20">
        <w:rPr>
          <w:rFonts w:cs="Arial" w:hint="cs"/>
          <w:rtl/>
        </w:rPr>
        <w:lastRenderedPageBreak/>
        <w:t xml:space="preserve">רא"ש </w:t>
      </w:r>
      <w:r w:rsidRPr="00236A20">
        <w:rPr>
          <w:rFonts w:cs="Arial" w:hint="cs"/>
          <w:sz w:val="16"/>
          <w:szCs w:val="16"/>
          <w:rtl/>
        </w:rPr>
        <w:t>(כלל נ</w:t>
      </w:r>
      <w:r>
        <w:rPr>
          <w:rFonts w:cs="Arial" w:hint="cs"/>
          <w:sz w:val="16"/>
          <w:szCs w:val="16"/>
          <w:rtl/>
        </w:rPr>
        <w:t>ה</w:t>
      </w:r>
      <w:r w:rsidRPr="00236A20">
        <w:rPr>
          <w:rFonts w:cs="Arial" w:hint="cs"/>
          <w:sz w:val="16"/>
          <w:szCs w:val="16"/>
          <w:rtl/>
        </w:rPr>
        <w:t xml:space="preserve"> </w:t>
      </w:r>
      <w:r>
        <w:rPr>
          <w:rFonts w:cs="Arial" w:hint="cs"/>
          <w:sz w:val="16"/>
          <w:szCs w:val="16"/>
          <w:rtl/>
        </w:rPr>
        <w:t>סי' א ו</w:t>
      </w:r>
      <w:r w:rsidRPr="00236A20">
        <w:rPr>
          <w:rFonts w:cs="Arial" w:hint="cs"/>
          <w:sz w:val="16"/>
          <w:szCs w:val="16"/>
          <w:rtl/>
        </w:rPr>
        <w:t xml:space="preserve">סי' </w:t>
      </w:r>
      <w:r>
        <w:rPr>
          <w:rFonts w:cs="Arial" w:hint="cs"/>
          <w:sz w:val="16"/>
          <w:szCs w:val="16"/>
          <w:rtl/>
        </w:rPr>
        <w:t>ט</w:t>
      </w:r>
      <w:r w:rsidRPr="00236A20">
        <w:rPr>
          <w:rFonts w:cs="Arial" w:hint="cs"/>
          <w:sz w:val="16"/>
          <w:szCs w:val="16"/>
          <w:rtl/>
        </w:rPr>
        <w:t xml:space="preserve">) </w:t>
      </w:r>
      <w:r w:rsidRPr="00236A20">
        <w:rPr>
          <w:rFonts w:cs="Arial" w:hint="cs"/>
          <w:rtl/>
        </w:rPr>
        <w:t xml:space="preserve">וטור- </w:t>
      </w:r>
      <w:r w:rsidRPr="0013175A">
        <w:rPr>
          <w:rFonts w:cs="Arial"/>
          <w:rtl/>
        </w:rPr>
        <w:t>ששאלת אם האשה יכולה לתת בחייה לבעלה או לאחר מי שתרצה שיזכה אחרי מותה באותו החצי שראוי לירש זרעה או אחר הזוכה בירושתה</w:t>
      </w:r>
      <w:r>
        <w:rPr>
          <w:rFonts w:cs="Arial" w:hint="cs"/>
          <w:rtl/>
        </w:rPr>
        <w:t>...</w:t>
      </w:r>
      <w:r w:rsidRPr="0013175A">
        <w:rPr>
          <w:rFonts w:cs="Arial"/>
          <w:rtl/>
        </w:rPr>
        <w:t xml:space="preserve"> </w:t>
      </w:r>
      <w:r>
        <w:rPr>
          <w:rFonts w:cs="Arial" w:hint="cs"/>
          <w:rtl/>
        </w:rPr>
        <w:t xml:space="preserve">- </w:t>
      </w:r>
      <w:r w:rsidRPr="0013175A">
        <w:rPr>
          <w:rFonts w:cs="Arial"/>
          <w:rtl/>
        </w:rPr>
        <w:t>אין בידה לשנות כלל לתתו לא לבעלה ולא לאחר ואם נתנה אותו אין מתנתה כלום</w:t>
      </w:r>
      <w:r>
        <w:rPr>
          <w:rStyle w:val="a7"/>
          <w:rFonts w:cs="Arial"/>
          <w:rtl/>
        </w:rPr>
        <w:footnoteReference w:id="2962"/>
      </w:r>
      <w:r w:rsidRPr="0013175A">
        <w:rPr>
          <w:rFonts w:cs="Arial"/>
          <w:rtl/>
        </w:rPr>
        <w:t xml:space="preserve"> אלא הראוי לירש ירש</w:t>
      </w:r>
      <w:r>
        <w:rPr>
          <w:rFonts w:cs="Arial" w:hint="cs"/>
          <w:rtl/>
        </w:rPr>
        <w:t>.</w:t>
      </w:r>
      <w:r w:rsidRPr="0013175A">
        <w:rPr>
          <w:rFonts w:cs="Arial"/>
          <w:rtl/>
        </w:rPr>
        <w:t xml:space="preserve"> ודאי אם היתה נותנת מעכשיו נכסים לבעלה בענין שלא היתה יכולה לומר נחת רוח עשיתי לבעלי היתה המתנה קיימת אבל אם נתנה לו מעכשיו ולאחר מיתה אין מתנתה כלום</w:t>
      </w:r>
      <w:r>
        <w:rPr>
          <w:rStyle w:val="a7"/>
          <w:rFonts w:cs="Arial"/>
          <w:rtl/>
        </w:rPr>
        <w:footnoteReference w:id="2963"/>
      </w:r>
      <w:r>
        <w:rPr>
          <w:rFonts w:hint="cs"/>
          <w:rtl/>
        </w:rPr>
        <w:t xml:space="preserve">. </w:t>
      </w:r>
      <w:r w:rsidRPr="00797BAD">
        <w:rPr>
          <w:rFonts w:hint="cs"/>
          <w:color w:val="E36C0A" w:themeColor="accent6" w:themeShade="BF"/>
          <w:rtl/>
        </w:rPr>
        <w:t>(וכ"פ בשו"ע)</w:t>
      </w:r>
    </w:p>
    <w:p w14:paraId="400628EC" w14:textId="77777777" w:rsidR="00392DBB" w:rsidRPr="009132B5" w:rsidRDefault="00392DBB" w:rsidP="00392DBB">
      <w:pPr>
        <w:rPr>
          <w:u w:val="single"/>
        </w:rPr>
      </w:pPr>
      <w:r>
        <w:rPr>
          <w:rFonts w:hint="cs"/>
          <w:u w:val="single"/>
          <w:rtl/>
        </w:rPr>
        <w:t>אשה שציותה לפני מותה לחלק כפי התקנה</w:t>
      </w:r>
      <w:r w:rsidRPr="002727C2">
        <w:rPr>
          <w:rFonts w:hint="cs"/>
          <w:sz w:val="16"/>
          <w:szCs w:val="16"/>
          <w:u w:val="single"/>
          <w:rtl/>
        </w:rPr>
        <w:t xml:space="preserve"> (חצי לבעלה וחצי לבתה)</w:t>
      </w:r>
      <w:r>
        <w:rPr>
          <w:rFonts w:hint="cs"/>
          <w:u w:val="single"/>
          <w:rtl/>
        </w:rPr>
        <w:t>, ושאם תמות בתה לפני נישואין, תירש אחותה החצי</w:t>
      </w:r>
      <w:r w:rsidRPr="009132B5">
        <w:rPr>
          <w:rFonts w:hint="cs"/>
          <w:u w:val="single"/>
          <w:rtl/>
        </w:rPr>
        <w:t>:</w:t>
      </w:r>
    </w:p>
    <w:p w14:paraId="475CBE26" w14:textId="77777777" w:rsidR="00392DBB" w:rsidRDefault="00392DBB" w:rsidP="009000E3">
      <w:pPr>
        <w:pStyle w:val="ab"/>
        <w:numPr>
          <w:ilvl w:val="0"/>
          <w:numId w:val="72"/>
        </w:numPr>
      </w:pPr>
      <w:r w:rsidRPr="00236A20">
        <w:rPr>
          <w:rFonts w:cs="Arial" w:hint="cs"/>
          <w:rtl/>
        </w:rPr>
        <w:t xml:space="preserve">רא"ש </w:t>
      </w:r>
      <w:r w:rsidRPr="00236A20">
        <w:rPr>
          <w:rFonts w:cs="Arial" w:hint="cs"/>
          <w:sz w:val="16"/>
          <w:szCs w:val="16"/>
          <w:rtl/>
        </w:rPr>
        <w:t xml:space="preserve">(כלל </w:t>
      </w:r>
      <w:r>
        <w:rPr>
          <w:rFonts w:cs="Arial" w:hint="cs"/>
          <w:sz w:val="16"/>
          <w:szCs w:val="16"/>
          <w:rtl/>
        </w:rPr>
        <w:t>מ סי' ג</w:t>
      </w:r>
      <w:r w:rsidRPr="00236A20">
        <w:rPr>
          <w:rFonts w:cs="Arial" w:hint="cs"/>
          <w:sz w:val="16"/>
          <w:szCs w:val="16"/>
          <w:rtl/>
        </w:rPr>
        <w:t xml:space="preserve">) </w:t>
      </w:r>
      <w:r w:rsidRPr="00236A20">
        <w:rPr>
          <w:rFonts w:cs="Arial" w:hint="cs"/>
          <w:rtl/>
        </w:rPr>
        <w:t xml:space="preserve">וטור- </w:t>
      </w:r>
      <w:r w:rsidRPr="009132B5">
        <w:rPr>
          <w:rFonts w:cs="Arial"/>
          <w:rtl/>
        </w:rPr>
        <w:t>ששאלת רחל שהיתה נשואה</w:t>
      </w:r>
      <w:r>
        <w:rPr>
          <w:rFonts w:cs="Arial" w:hint="cs"/>
          <w:rtl/>
        </w:rPr>
        <w:t>,</w:t>
      </w:r>
      <w:r w:rsidRPr="009132B5">
        <w:rPr>
          <w:rFonts w:cs="Arial"/>
          <w:rtl/>
        </w:rPr>
        <w:t xml:space="preserve"> ולה בת אחת</w:t>
      </w:r>
      <w:r>
        <w:rPr>
          <w:rFonts w:cs="Arial" w:hint="cs"/>
          <w:rtl/>
        </w:rPr>
        <w:t>.</w:t>
      </w:r>
      <w:r w:rsidRPr="009132B5">
        <w:rPr>
          <w:rFonts w:cs="Arial"/>
          <w:rtl/>
        </w:rPr>
        <w:t xml:space="preserve"> ומתה</w:t>
      </w:r>
      <w:r>
        <w:rPr>
          <w:rFonts w:cs="Arial" w:hint="cs"/>
          <w:rtl/>
        </w:rPr>
        <w:t>,</w:t>
      </w:r>
      <w:r w:rsidRPr="009132B5">
        <w:rPr>
          <w:rFonts w:cs="Arial"/>
          <w:rtl/>
        </w:rPr>
        <w:t xml:space="preserve"> וצותה שיטול בעלה חצי נכסיה</w:t>
      </w:r>
      <w:r>
        <w:rPr>
          <w:rFonts w:cs="Arial" w:hint="cs"/>
          <w:rtl/>
        </w:rPr>
        <w:t>,</w:t>
      </w:r>
      <w:r w:rsidRPr="009132B5">
        <w:rPr>
          <w:rFonts w:cs="Arial"/>
          <w:rtl/>
        </w:rPr>
        <w:t xml:space="preserve"> ובתה חצי האחר</w:t>
      </w:r>
      <w:r>
        <w:rPr>
          <w:rFonts w:cs="Arial" w:hint="cs"/>
          <w:rtl/>
        </w:rPr>
        <w:t>,</w:t>
      </w:r>
      <w:r w:rsidRPr="009132B5">
        <w:rPr>
          <w:rFonts w:cs="Arial"/>
          <w:rtl/>
        </w:rPr>
        <w:t xml:space="preserve"> כפי התקנה</w:t>
      </w:r>
      <w:r>
        <w:rPr>
          <w:rFonts w:cs="Arial" w:hint="cs"/>
          <w:rtl/>
        </w:rPr>
        <w:t>.</w:t>
      </w:r>
      <w:r w:rsidRPr="009132B5">
        <w:rPr>
          <w:rFonts w:cs="Arial"/>
          <w:rtl/>
        </w:rPr>
        <w:t xml:space="preserve"> וצותה עוד שאם תמות בתה קודם שתינשא שיהיו נכסיה לאחות רחל</w:t>
      </w:r>
      <w:r>
        <w:rPr>
          <w:rFonts w:cs="Arial" w:hint="cs"/>
          <w:rtl/>
        </w:rPr>
        <w:t>.</w:t>
      </w:r>
      <w:r w:rsidRPr="009132B5">
        <w:rPr>
          <w:rFonts w:cs="Arial"/>
          <w:rtl/>
        </w:rPr>
        <w:t xml:space="preserve"> ומתה הבת</w:t>
      </w:r>
      <w:r>
        <w:rPr>
          <w:rFonts w:cs="Arial" w:hint="cs"/>
          <w:rtl/>
        </w:rPr>
        <w:t>,</w:t>
      </w:r>
      <w:r w:rsidRPr="009132B5">
        <w:rPr>
          <w:rFonts w:cs="Arial"/>
          <w:rtl/>
        </w:rPr>
        <w:t xml:space="preserve"> ורוצה אחות רחל לזכות בנכסים בחלק הבת בכח צוואת אחותה</w:t>
      </w:r>
      <w:r>
        <w:rPr>
          <w:rFonts w:cs="Arial" w:hint="cs"/>
          <w:rtl/>
        </w:rPr>
        <w:t>.</w:t>
      </w:r>
      <w:r w:rsidRPr="009132B5">
        <w:rPr>
          <w:rFonts w:cs="Arial"/>
          <w:rtl/>
        </w:rPr>
        <w:t xml:space="preserve"> ובעלה של רחל שהוא אבי הבת אומר שיש לו לירש את בתו </w:t>
      </w:r>
      <w:r>
        <w:rPr>
          <w:rFonts w:cs="Arial" w:hint="cs"/>
          <w:rtl/>
        </w:rPr>
        <w:t xml:space="preserve">- </w:t>
      </w:r>
      <w:r w:rsidRPr="009132B5">
        <w:rPr>
          <w:rFonts w:cs="Arial"/>
          <w:rtl/>
        </w:rPr>
        <w:t>הדין עמו כי הצוואה שצוותה אם הבת שאחרי מות הבת תירש אחותה הממון אין באותה צוואה כלום אלא האב יורש אותה</w:t>
      </w:r>
      <w:r>
        <w:rPr>
          <w:rFonts w:cs="Arial" w:hint="cs"/>
          <w:rtl/>
        </w:rPr>
        <w:t>.</w:t>
      </w:r>
      <w:r w:rsidRPr="009132B5">
        <w:rPr>
          <w:rFonts w:cs="Arial"/>
          <w:rtl/>
        </w:rPr>
        <w:t xml:space="preserve"> </w:t>
      </w:r>
    </w:p>
    <w:p w14:paraId="4BF79E88" w14:textId="77777777" w:rsidR="00392DBB" w:rsidRPr="00EE2023" w:rsidRDefault="00392DBB" w:rsidP="00392DBB">
      <w:pPr>
        <w:rPr>
          <w:u w:val="single"/>
        </w:rPr>
      </w:pPr>
      <w:r w:rsidRPr="00EE2023">
        <w:rPr>
          <w:rFonts w:hint="cs"/>
          <w:u w:val="single"/>
          <w:rtl/>
        </w:rPr>
        <w:t>האם בעל חוב של האב לגבות חובו מהחצי שקיבלה הבת מכח התקנה:</w:t>
      </w:r>
    </w:p>
    <w:p w14:paraId="7589A25E" w14:textId="75955BAD" w:rsidR="00392DBB" w:rsidRDefault="00392DBB" w:rsidP="009000E3">
      <w:pPr>
        <w:pStyle w:val="ab"/>
        <w:numPr>
          <w:ilvl w:val="0"/>
          <w:numId w:val="72"/>
        </w:numPr>
      </w:pPr>
      <w:r w:rsidRPr="00236A20">
        <w:rPr>
          <w:rFonts w:cs="Arial" w:hint="cs"/>
          <w:rtl/>
        </w:rPr>
        <w:t xml:space="preserve">רא"ש </w:t>
      </w:r>
      <w:r w:rsidRPr="00236A20">
        <w:rPr>
          <w:rFonts w:cs="Arial" w:hint="cs"/>
          <w:sz w:val="16"/>
          <w:szCs w:val="16"/>
          <w:rtl/>
        </w:rPr>
        <w:t xml:space="preserve">(כלל </w:t>
      </w:r>
      <w:r>
        <w:rPr>
          <w:rFonts w:cs="Arial" w:hint="cs"/>
          <w:sz w:val="16"/>
          <w:szCs w:val="16"/>
          <w:rtl/>
        </w:rPr>
        <w:t>נה סי' ב</w:t>
      </w:r>
      <w:r w:rsidRPr="00236A20">
        <w:rPr>
          <w:rFonts w:cs="Arial" w:hint="cs"/>
          <w:sz w:val="16"/>
          <w:szCs w:val="16"/>
          <w:rtl/>
        </w:rPr>
        <w:t xml:space="preserve">) </w:t>
      </w:r>
      <w:r w:rsidRPr="00236A20">
        <w:rPr>
          <w:rFonts w:cs="Arial" w:hint="cs"/>
          <w:rtl/>
        </w:rPr>
        <w:t xml:space="preserve">וטור- </w:t>
      </w:r>
      <w:r w:rsidRPr="009132B5">
        <w:rPr>
          <w:rFonts w:cs="Arial"/>
          <w:rtl/>
        </w:rPr>
        <w:t>וששאלת על תקנת טוליטולא שהבת יורשת חצי הנדוניא אם יכול ב"ח של אבי אם הבת ליקח מהבת מאחר שהיה יורשת החצי או נאמר מאחר שהבת אינה יורשת אלא מכח התקנה לא תפרע החוב של אבי אמה</w:t>
      </w:r>
      <w:r>
        <w:rPr>
          <w:rFonts w:cs="Arial" w:hint="cs"/>
          <w:rtl/>
        </w:rPr>
        <w:t xml:space="preserve">.   </w:t>
      </w:r>
      <w:r w:rsidRPr="009132B5">
        <w:rPr>
          <w:rFonts w:cs="Arial"/>
          <w:rtl/>
        </w:rPr>
        <w:t xml:space="preserve"> </w:t>
      </w:r>
      <w:r w:rsidR="00FE210D">
        <w:rPr>
          <w:rFonts w:cs="Arial"/>
          <w:rtl/>
        </w:rPr>
        <w:t xml:space="preserve">   תשובה:</w:t>
      </w:r>
      <w:r w:rsidRPr="009132B5">
        <w:rPr>
          <w:rFonts w:cs="Arial"/>
          <w:rtl/>
        </w:rPr>
        <w:t xml:space="preserve"> דבריך סתומים אם הנדוניא שנתן האב לבתו דבר מסויים כגון קרקע ש חל שיעבוד ב"ח עליו לא פקע שיעבודו וביד מי שימצא שיעבודו יטלנו ואין אנו חוששין היאך בא לידו ואם אין מסויים היאך יגבה ב"ח אינו גובה מטלטלים בין מלוקח בין ממקבל מתנה אי לא אקני ליה מטלטלי אגב מקרקעי ואי אקני ליה מטלטלי אגב מקרקעי יש למטלטלי דין מקרקעי</w:t>
      </w:r>
      <w:r>
        <w:rPr>
          <w:rFonts w:cs="Arial" w:hint="cs"/>
          <w:rtl/>
        </w:rPr>
        <w:t>.</w:t>
      </w:r>
      <w:r w:rsidRPr="009132B5">
        <w:rPr>
          <w:rFonts w:cs="Arial"/>
          <w:rtl/>
        </w:rPr>
        <w:t xml:space="preserve"> </w:t>
      </w:r>
    </w:p>
    <w:p w14:paraId="3C26DD9F" w14:textId="77777777" w:rsidR="00392DBB" w:rsidRPr="00C11087" w:rsidRDefault="00392DBB" w:rsidP="00392DBB">
      <w:pPr>
        <w:rPr>
          <w:u w:val="single"/>
        </w:rPr>
      </w:pPr>
      <w:r w:rsidRPr="00C11087">
        <w:rPr>
          <w:rFonts w:hint="cs"/>
          <w:u w:val="single"/>
          <w:rtl/>
        </w:rPr>
        <w:t xml:space="preserve">מי שכתב לאשתו </w:t>
      </w:r>
      <w:r>
        <w:rPr>
          <w:rFonts w:hint="cs"/>
          <w:u w:val="single"/>
          <w:rtl/>
        </w:rPr>
        <w:t xml:space="preserve">בלשון ירושה את </w:t>
      </w:r>
      <w:r w:rsidRPr="00C11087">
        <w:rPr>
          <w:rFonts w:hint="cs"/>
          <w:u w:val="single"/>
          <w:rtl/>
        </w:rPr>
        <w:t>כל נכסיו אם יפטר לפניה:</w:t>
      </w:r>
    </w:p>
    <w:p w14:paraId="3A10DEC6" w14:textId="00D74C9E" w:rsidR="00392DBB" w:rsidRPr="0040439D" w:rsidRDefault="00392DBB" w:rsidP="009000E3">
      <w:pPr>
        <w:pStyle w:val="ab"/>
        <w:numPr>
          <w:ilvl w:val="0"/>
          <w:numId w:val="72"/>
        </w:numPr>
        <w:rPr>
          <w:rtl/>
        </w:rPr>
      </w:pPr>
      <w:r w:rsidRPr="00236A20">
        <w:rPr>
          <w:rFonts w:cs="Arial" w:hint="cs"/>
          <w:rtl/>
        </w:rPr>
        <w:t xml:space="preserve">רא"ש </w:t>
      </w:r>
      <w:r w:rsidRPr="00236A20">
        <w:rPr>
          <w:rFonts w:cs="Arial" w:hint="cs"/>
          <w:sz w:val="16"/>
          <w:szCs w:val="16"/>
          <w:rtl/>
        </w:rPr>
        <w:t xml:space="preserve">(כלל </w:t>
      </w:r>
      <w:r>
        <w:rPr>
          <w:rFonts w:cs="Arial" w:hint="cs"/>
          <w:sz w:val="16"/>
          <w:szCs w:val="16"/>
          <w:rtl/>
        </w:rPr>
        <w:t>פד</w:t>
      </w:r>
      <w:r w:rsidRPr="00236A20">
        <w:rPr>
          <w:rFonts w:cs="Arial" w:hint="cs"/>
          <w:sz w:val="16"/>
          <w:szCs w:val="16"/>
          <w:rtl/>
        </w:rPr>
        <w:t xml:space="preserve"> </w:t>
      </w:r>
      <w:r>
        <w:rPr>
          <w:rFonts w:cs="Arial" w:hint="cs"/>
          <w:sz w:val="16"/>
          <w:szCs w:val="16"/>
          <w:rtl/>
        </w:rPr>
        <w:t>סי' ו</w:t>
      </w:r>
      <w:r w:rsidRPr="00236A20">
        <w:rPr>
          <w:rFonts w:cs="Arial" w:hint="cs"/>
          <w:sz w:val="16"/>
          <w:szCs w:val="16"/>
          <w:rtl/>
        </w:rPr>
        <w:t xml:space="preserve">) </w:t>
      </w:r>
      <w:r w:rsidRPr="00236A20">
        <w:rPr>
          <w:rFonts w:cs="Arial" w:hint="cs"/>
          <w:rtl/>
        </w:rPr>
        <w:t xml:space="preserve">וטור- </w:t>
      </w:r>
      <w:r w:rsidRPr="009132B5">
        <w:rPr>
          <w:rFonts w:cs="Arial"/>
          <w:rtl/>
        </w:rPr>
        <w:t>שאלה ילמדנו רבינו ראובן אמר לעדים הוו עלי עדים בקנין שלם מעכשיו וכתבו וחתמו עלי בכל לשון של זכות ותנו לאשתי להיות בידה לזכות ולראיה שרציתי ברצון נפשי ובגוף בריא ועשיתי אחוה עם אשתי שאם חס ושלום אפטר לבית עולמי קודם ממנה מהיום ולאחר מיתה עשיתי אותה יורשת בכל נכסי שקניתי ושאני עתיד לקנות</w:t>
      </w:r>
      <w:r>
        <w:rPr>
          <w:rFonts w:cs="Arial" w:hint="cs"/>
          <w:rtl/>
        </w:rPr>
        <w:t>,</w:t>
      </w:r>
      <w:r w:rsidRPr="009132B5">
        <w:rPr>
          <w:rFonts w:cs="Arial"/>
          <w:rtl/>
        </w:rPr>
        <w:t xml:space="preserve"> ומהיום תלך פלונית אשתי ותחזיק בכל מה שיש לי בעולם קרקע או מטלטל בגדים ושימוש ערש חוזק גמור מהיום ולעולם ומעכשיו תירש ותוריש ותנחיל ותחסין ותעשה חפצה ורצונה בכל מה שיש לי בעולם</w:t>
      </w:r>
      <w:r>
        <w:rPr>
          <w:rFonts w:cs="Arial" w:hint="cs"/>
          <w:rtl/>
        </w:rPr>
        <w:t>.</w:t>
      </w:r>
      <w:r w:rsidRPr="009132B5">
        <w:rPr>
          <w:rFonts w:cs="Arial"/>
          <w:rtl/>
        </w:rPr>
        <w:t xml:space="preserve"> ונפטר ראובן לבית עולמו</w:t>
      </w:r>
      <w:r>
        <w:rPr>
          <w:rFonts w:cs="Arial" w:hint="cs"/>
          <w:rtl/>
        </w:rPr>
        <w:t>,</w:t>
      </w:r>
      <w:r w:rsidRPr="009132B5">
        <w:rPr>
          <w:rFonts w:cs="Arial"/>
          <w:rtl/>
        </w:rPr>
        <w:t xml:space="preserve"> אם זכתה האשה בנכסיו ולפי שעשאה יורשת ואינה יורשת אלא ב"ח</w:t>
      </w:r>
      <w:r>
        <w:rPr>
          <w:rFonts w:cs="Arial" w:hint="cs"/>
          <w:rtl/>
        </w:rPr>
        <w:t>.</w:t>
      </w:r>
      <w:r w:rsidRPr="009132B5">
        <w:rPr>
          <w:rFonts w:cs="Arial"/>
          <w:rtl/>
        </w:rPr>
        <w:t xml:space="preserve"> </w:t>
      </w:r>
      <w:r>
        <w:rPr>
          <w:rFonts w:cs="Arial" w:hint="cs"/>
          <w:rtl/>
        </w:rPr>
        <w:t xml:space="preserve">   </w:t>
      </w:r>
      <w:r w:rsidR="00FE210D">
        <w:rPr>
          <w:rFonts w:cs="Arial"/>
          <w:rtl/>
        </w:rPr>
        <w:t xml:space="preserve">   תשובה:</w:t>
      </w:r>
      <w:r w:rsidRPr="009132B5">
        <w:rPr>
          <w:rFonts w:cs="Arial"/>
          <w:rtl/>
        </w:rPr>
        <w:t xml:space="preserve"> מה שנתן לאשתו בלשון ירושה אינו כלום כיון שאינה ראוייה לירש אמנם רואה אני לקיים שטר זה מתוך תיבה אחת שכתוב בה ותחזיק בכל מה שיש לי בעולם ומלת ותחזיק היא לשון מתנה ותנן בפרק י"נ (קל) כתב לשון מתנה בין בתחילה בין באמצע בין בסוף דבריו קיימין וקנתה בין מה שיש לו עכשיו בין מה שיש לו אחר המתנה כי כתב לה ושעתיד אני לקנות</w:t>
      </w:r>
      <w:r>
        <w:rPr>
          <w:rFonts w:hint="cs"/>
          <w:rtl/>
        </w:rPr>
        <w:t>.</w:t>
      </w:r>
    </w:p>
    <w:p w14:paraId="343F2CBE"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76A4548E" w14:textId="77777777" w:rsidR="00392DBB" w:rsidRDefault="00392DBB" w:rsidP="00392DBB">
      <w:pPr>
        <w:rPr>
          <w:rtl/>
        </w:rPr>
      </w:pPr>
      <w:r>
        <w:rPr>
          <w:rFonts w:cs="Arial"/>
          <w:rtl/>
        </w:rPr>
        <w:t xml:space="preserve">אם נתנה האשה לבעלה או לאחר שיזכה אחר מותה בחצי נדונייתא הראוים יורשיה לירש כפי תקנת טוליטולה, אינו כלום. אבל אם מחלה, מעכשיו, לבעלה כל שטרי חובות שיש לה עליו, מחילתה מחילה. </w:t>
      </w:r>
      <w:r w:rsidRPr="00213780">
        <w:rPr>
          <w:rFonts w:cs="Arial"/>
          <w:sz w:val="18"/>
          <w:szCs w:val="18"/>
          <w:rtl/>
        </w:rPr>
        <w:t xml:space="preserve">הגה: ויש לילך בזה אחר לשון התקנה, דאם משמע שם דאינה יכולה למחול בלא היורשין, או שעל מנת כן נתן הנותן, אין בידה לשנות. ואם היא בעצמה נותנת הנדוניא, יכולה למחול לבעלה או להתנות ליתן לאחר כפי מה שתחפוץ, ובלבד שתעשה בפני עדים, ובלא זה זוכים היורשים מכח המנהג (כל זה תמצא מבואר </w:t>
      </w:r>
      <w:r w:rsidRPr="00213780">
        <w:rPr>
          <w:rFonts w:cs="Arial"/>
          <w:sz w:val="18"/>
          <w:szCs w:val="18"/>
          <w:rtl/>
        </w:rPr>
        <w:lastRenderedPageBreak/>
        <w:t xml:space="preserve">בב"י בשם תשובת הרא"ש ורשב"ץ). במקום שיש תקנה שיורשי האשה יחלוקו עם הבעל כשמתה האשה תחלה, יפרעו תחלה כל החובות שהבעל חייב. ונאמן הבעל לומר כמה חייב, במגו דאי בעי היה כופר ואומר שלא הניח כל כך (תשובת הרא"ש כלל נ"ה). </w:t>
      </w:r>
    </w:p>
    <w:p w14:paraId="194CBC22" w14:textId="77777777" w:rsidR="00392DBB" w:rsidRDefault="00392DBB" w:rsidP="00392DBB">
      <w:pPr>
        <w:rPr>
          <w:rtl/>
        </w:rPr>
      </w:pPr>
    </w:p>
    <w:p w14:paraId="2FDA113C" w14:textId="77777777" w:rsidR="00392DBB" w:rsidRDefault="00392DBB" w:rsidP="000F64D0">
      <w:pPr>
        <w:pStyle w:val="2"/>
        <w:rPr>
          <w:rtl/>
        </w:rPr>
      </w:pPr>
      <w:r>
        <w:rPr>
          <w:rtl/>
        </w:rPr>
        <w:t>סעיף ט</w:t>
      </w:r>
      <w:r>
        <w:rPr>
          <w:rFonts w:hint="cs"/>
          <w:rtl/>
        </w:rPr>
        <w:t xml:space="preserve">: </w:t>
      </w:r>
      <w:r>
        <w:rPr>
          <w:rtl/>
        </w:rPr>
        <w:t>הכותב לאשתו בשעת נשואין שטר חוב בסכום ידוע</w:t>
      </w:r>
      <w:r>
        <w:rPr>
          <w:rFonts w:hint="cs"/>
          <w:rtl/>
        </w:rPr>
        <w:t xml:space="preserve"> שתוכל לגבותו בכל עת.</w:t>
      </w:r>
    </w:p>
    <w:p w14:paraId="5BD3FD11" w14:textId="77777777" w:rsidR="00392DBB" w:rsidRPr="0013175A" w:rsidRDefault="00392DBB" w:rsidP="00392DBB">
      <w:pPr>
        <w:rPr>
          <w:u w:val="single"/>
        </w:rPr>
      </w:pPr>
      <w:r w:rsidRPr="005D0708">
        <w:rPr>
          <w:rFonts w:cs="Arial"/>
          <w:u w:val="single"/>
          <w:rtl/>
        </w:rPr>
        <w:t>הכותב לאשתו בשעת נשואין שטר חוב בסכום ידוע</w:t>
      </w:r>
      <w:r w:rsidRPr="005D0708">
        <w:rPr>
          <w:rFonts w:cs="Arial" w:hint="cs"/>
          <w:u w:val="single"/>
          <w:rtl/>
        </w:rPr>
        <w:t xml:space="preserve"> שתוכל לגבותו בכל עת</w:t>
      </w:r>
      <w:r w:rsidRPr="0013175A">
        <w:rPr>
          <w:rFonts w:cs="Arial" w:hint="cs"/>
          <w:u w:val="single"/>
          <w:rtl/>
        </w:rPr>
        <w:t>:</w:t>
      </w:r>
    </w:p>
    <w:p w14:paraId="6EA05FF2" w14:textId="77777777" w:rsidR="00392DBB" w:rsidRPr="00213780" w:rsidRDefault="00392DBB" w:rsidP="009000E3">
      <w:pPr>
        <w:pStyle w:val="ab"/>
        <w:numPr>
          <w:ilvl w:val="0"/>
          <w:numId w:val="72"/>
        </w:numPr>
        <w:rPr>
          <w:rtl/>
        </w:rPr>
      </w:pPr>
      <w:r w:rsidRPr="00236A20">
        <w:rPr>
          <w:rFonts w:cs="Arial" w:hint="cs"/>
          <w:rtl/>
        </w:rPr>
        <w:t xml:space="preserve">טור- </w:t>
      </w:r>
      <w:r w:rsidRPr="005A54C2">
        <w:rPr>
          <w:rFonts w:cs="Arial"/>
          <w:rtl/>
        </w:rPr>
        <w:t>יש נוהגין לכתוב שט"ח לנשותיהן בשעת נישואין שמחייבים עצמם בסכום ידוע וקורין אותו נדוניא יכולה לגבותו בכל עת שתרצה</w:t>
      </w:r>
      <w:r>
        <w:rPr>
          <w:rFonts w:cs="Arial" w:hint="cs"/>
          <w:rtl/>
        </w:rPr>
        <w:t>.</w:t>
      </w:r>
      <w:r w:rsidRPr="005A54C2">
        <w:rPr>
          <w:rFonts w:cs="Arial"/>
          <w:rtl/>
        </w:rPr>
        <w:t xml:space="preserve"> וכתב א"א הרא"ש ז"ל </w:t>
      </w:r>
      <w:r w:rsidRPr="00236A20">
        <w:rPr>
          <w:rFonts w:cs="Arial" w:hint="cs"/>
          <w:sz w:val="16"/>
          <w:szCs w:val="16"/>
          <w:rtl/>
        </w:rPr>
        <w:t xml:space="preserve">(כלל </w:t>
      </w:r>
      <w:r>
        <w:rPr>
          <w:rFonts w:cs="Arial" w:hint="cs"/>
          <w:sz w:val="16"/>
          <w:szCs w:val="16"/>
          <w:rtl/>
        </w:rPr>
        <w:t>לט סי' ג</w:t>
      </w:r>
      <w:r w:rsidRPr="00236A20">
        <w:rPr>
          <w:rFonts w:cs="Arial" w:hint="cs"/>
          <w:sz w:val="16"/>
          <w:szCs w:val="16"/>
          <w:rtl/>
        </w:rPr>
        <w:t>)</w:t>
      </w:r>
      <w:r>
        <w:rPr>
          <w:rFonts w:cs="Arial" w:hint="cs"/>
          <w:sz w:val="16"/>
          <w:szCs w:val="16"/>
          <w:rtl/>
        </w:rPr>
        <w:t xml:space="preserve"> </w:t>
      </w:r>
      <w:r w:rsidRPr="005A54C2">
        <w:rPr>
          <w:rFonts w:cs="Arial"/>
          <w:rtl/>
        </w:rPr>
        <w:t>שיש לו דין נכסי מלוג שמנחת החוב ביד בעלה כ"ז שהיא רוצה וכשתרצה תגבנו</w:t>
      </w:r>
      <w:r>
        <w:rPr>
          <w:rFonts w:cs="Arial" w:hint="cs"/>
          <w:rtl/>
        </w:rPr>
        <w:t>,</w:t>
      </w:r>
      <w:r w:rsidRPr="005A54C2">
        <w:rPr>
          <w:rFonts w:cs="Arial"/>
          <w:rtl/>
        </w:rPr>
        <w:t xml:space="preserve"> וילקח בהן קרקע והוא אוכל פירות</w:t>
      </w:r>
      <w:r>
        <w:rPr>
          <w:rFonts w:cs="Arial" w:hint="cs"/>
          <w:rtl/>
        </w:rPr>
        <w:t>.</w:t>
      </w:r>
      <w:r w:rsidRPr="005A54C2">
        <w:rPr>
          <w:rFonts w:cs="Arial"/>
          <w:rtl/>
        </w:rPr>
        <w:t xml:space="preserve"> דכל הנכסים הנמצאים ביד האשה היאך שבאו לידה בין בירושה בין במתנה</w:t>
      </w:r>
      <w:r>
        <w:rPr>
          <w:rFonts w:cs="Arial" w:hint="cs"/>
          <w:rtl/>
        </w:rPr>
        <w:t>,</w:t>
      </w:r>
      <w:r w:rsidRPr="005A54C2">
        <w:rPr>
          <w:rFonts w:cs="Arial"/>
          <w:rtl/>
        </w:rPr>
        <w:t xml:space="preserve"> כולן זכה בהן הבעל בפירות</w:t>
      </w:r>
      <w:r>
        <w:rPr>
          <w:rFonts w:cs="Arial" w:hint="cs"/>
          <w:rtl/>
        </w:rPr>
        <w:t>.</w:t>
      </w:r>
      <w:r w:rsidRPr="005A54C2">
        <w:rPr>
          <w:rFonts w:cs="Arial"/>
          <w:rtl/>
        </w:rPr>
        <w:t xml:space="preserve"> ולא דמיא להא דאמרינן הנותן מתנה לאשה קנתה ואין הבעל אוכל פירות</w:t>
      </w:r>
      <w:r>
        <w:rPr>
          <w:rFonts w:cs="Arial" w:hint="cs"/>
          <w:rtl/>
        </w:rPr>
        <w:t>,</w:t>
      </w:r>
      <w:r w:rsidRPr="005A54C2">
        <w:rPr>
          <w:rFonts w:cs="Arial"/>
          <w:rtl/>
        </w:rPr>
        <w:t xml:space="preserve"> דהתם מיירי שנתן לה אחר שנשאה</w:t>
      </w:r>
      <w:r>
        <w:rPr>
          <w:rFonts w:cs="Arial" w:hint="cs"/>
          <w:rtl/>
        </w:rPr>
        <w:t>,</w:t>
      </w:r>
      <w:r w:rsidRPr="005A54C2">
        <w:rPr>
          <w:rFonts w:cs="Arial"/>
          <w:rtl/>
        </w:rPr>
        <w:t xml:space="preserve"> שבעין יפה נותנה לה ואינו משייר לעצמו כלום</w:t>
      </w:r>
      <w:r>
        <w:rPr>
          <w:rFonts w:cs="Arial" w:hint="cs"/>
          <w:rtl/>
        </w:rPr>
        <w:t>.</w:t>
      </w:r>
      <w:r w:rsidRPr="005A54C2">
        <w:rPr>
          <w:rFonts w:cs="Arial"/>
          <w:rtl/>
        </w:rPr>
        <w:t xml:space="preserve"> אבל מתנה שכותב לה קודם שישאנה היא כאחת משלשה שדות שהכניס לה שום משלו</w:t>
      </w:r>
      <w:r>
        <w:rPr>
          <w:rFonts w:cs="Arial" w:hint="cs"/>
          <w:rtl/>
        </w:rPr>
        <w:t>,</w:t>
      </w:r>
      <w:r w:rsidRPr="005A54C2">
        <w:rPr>
          <w:rFonts w:cs="Arial"/>
          <w:rtl/>
        </w:rPr>
        <w:t xml:space="preserve"> אלא שאותן נקראין שיעבוד כתובה</w:t>
      </w:r>
      <w:r>
        <w:rPr>
          <w:rFonts w:cs="Arial" w:hint="cs"/>
          <w:rtl/>
        </w:rPr>
        <w:t>.</w:t>
      </w:r>
      <w:r w:rsidRPr="005A54C2">
        <w:rPr>
          <w:rFonts w:cs="Arial"/>
          <w:rtl/>
        </w:rPr>
        <w:t xml:space="preserve"> ובחוב זה יש לה יפוי כח יותר שתוכל לגבות בכל עת שתרצה וכשתגבנו יחזיר נכסי מלוג</w:t>
      </w:r>
      <w:r>
        <w:rPr>
          <w:rFonts w:cs="Arial" w:hint="cs"/>
          <w:rtl/>
        </w:rPr>
        <w:t>.</w:t>
      </w:r>
      <w:r w:rsidRPr="005A54C2">
        <w:rPr>
          <w:rFonts w:cs="Arial"/>
          <w:rtl/>
        </w:rPr>
        <w:t xml:space="preserve"> </w:t>
      </w:r>
      <w:r>
        <w:rPr>
          <w:rStyle w:val="a7"/>
          <w:rFonts w:cs="Arial"/>
          <w:rtl/>
        </w:rPr>
        <w:footnoteReference w:id="2964"/>
      </w:r>
      <w:r w:rsidRPr="005A54C2">
        <w:rPr>
          <w:rFonts w:cs="Arial"/>
          <w:rtl/>
        </w:rPr>
        <w:t xml:space="preserve">לפיכך אם יש עליה חוב שלותה קודם שניסת </w:t>
      </w:r>
      <w:r>
        <w:rPr>
          <w:rFonts w:cs="Arial" w:hint="cs"/>
          <w:rtl/>
        </w:rPr>
        <w:t xml:space="preserve">- </w:t>
      </w:r>
      <w:r w:rsidRPr="005A54C2">
        <w:rPr>
          <w:rFonts w:cs="Arial"/>
          <w:rtl/>
        </w:rPr>
        <w:t>גוב</w:t>
      </w:r>
      <w:r>
        <w:rPr>
          <w:rFonts w:cs="Arial" w:hint="cs"/>
          <w:rtl/>
        </w:rPr>
        <w:t>ֵ</w:t>
      </w:r>
      <w:r w:rsidRPr="005A54C2">
        <w:rPr>
          <w:rFonts w:cs="Arial"/>
          <w:rtl/>
        </w:rPr>
        <w:t>ה ממנו</w:t>
      </w:r>
      <w:r>
        <w:rPr>
          <w:rFonts w:cs="Arial" w:hint="cs"/>
          <w:rtl/>
        </w:rPr>
        <w:t>.</w:t>
      </w:r>
      <w:r w:rsidRPr="005A54C2">
        <w:rPr>
          <w:rFonts w:cs="Arial"/>
          <w:rtl/>
        </w:rPr>
        <w:t xml:space="preserve"> אבל אם אין שטר הנדוניא עומד לגבות בכל שעה שתרצה אלא לכשתתאלמן או תתגרש </w:t>
      </w:r>
      <w:r>
        <w:rPr>
          <w:rFonts w:cs="Arial" w:hint="cs"/>
          <w:rtl/>
        </w:rPr>
        <w:t xml:space="preserve">- </w:t>
      </w:r>
      <w:r w:rsidRPr="005A54C2">
        <w:rPr>
          <w:rFonts w:cs="Arial"/>
          <w:rtl/>
        </w:rPr>
        <w:t>אין ב"ח גובה ממנו</w:t>
      </w:r>
      <w:r>
        <w:rPr>
          <w:rFonts w:cs="Arial" w:hint="cs"/>
          <w:rtl/>
        </w:rPr>
        <w:t>.</w:t>
      </w:r>
      <w:r w:rsidRPr="005A54C2">
        <w:rPr>
          <w:rFonts w:cs="Arial"/>
          <w:rtl/>
        </w:rPr>
        <w:t xml:space="preserve"> ולא אמרו שתמכור שטר נדוניתה בטובת הנאה שאם תתאלמן או תתגרש שיגבנו הלוקח וטובת הנאה זו יטול ב"ח בחובו או ימכרו ב"ד לב"ח הנדוניא בטובת הנאה ויעכב המעות בחובו</w:t>
      </w:r>
      <w:r>
        <w:rPr>
          <w:rFonts w:cs="Arial" w:hint="cs"/>
          <w:rtl/>
        </w:rPr>
        <w:t>,</w:t>
      </w:r>
      <w:r w:rsidRPr="005A54C2">
        <w:rPr>
          <w:rFonts w:cs="Arial"/>
          <w:rtl/>
        </w:rPr>
        <w:t xml:space="preserve"> דכל לגבי בעלה ודאי מחלה שאם היתה צריכה למוכרו היתה מוחלת אותו לבעל ואטרוחי בי דינא בכדי לא מטרחינן</w:t>
      </w:r>
      <w:r w:rsidRPr="00A67BB7">
        <w:rPr>
          <w:rFonts w:cs="Arial"/>
          <w:rtl/>
        </w:rPr>
        <w:t xml:space="preserve"> </w:t>
      </w:r>
      <w:r>
        <w:rPr>
          <w:rFonts w:cs="Arial"/>
          <w:rtl/>
        </w:rPr>
        <w:t>(ב"ק פט:)</w:t>
      </w:r>
      <w:r>
        <w:rPr>
          <w:rFonts w:cs="Arial" w:hint="cs"/>
          <w:rtl/>
        </w:rPr>
        <w:t>.</w:t>
      </w:r>
      <w:r w:rsidRPr="005A54C2">
        <w:rPr>
          <w:rFonts w:cs="Arial"/>
          <w:rtl/>
        </w:rPr>
        <w:t xml:space="preserve"> ואפילו אם שטר הנדוניא עומד לגבות בכל עת שתרצה</w:t>
      </w:r>
      <w:r>
        <w:rPr>
          <w:rFonts w:cs="Arial" w:hint="cs"/>
          <w:rtl/>
        </w:rPr>
        <w:t>,</w:t>
      </w:r>
      <w:r w:rsidRPr="005A54C2">
        <w:rPr>
          <w:rFonts w:cs="Arial"/>
          <w:rtl/>
        </w:rPr>
        <w:t xml:space="preserve"> אם יש עליה חוב שלותה אחר שניסת</w:t>
      </w:r>
      <w:r>
        <w:rPr>
          <w:rFonts w:cs="Arial" w:hint="cs"/>
          <w:rtl/>
        </w:rPr>
        <w:t xml:space="preserve"> -</w:t>
      </w:r>
      <w:r w:rsidRPr="005A54C2">
        <w:rPr>
          <w:rFonts w:cs="Arial"/>
          <w:rtl/>
        </w:rPr>
        <w:t xml:space="preserve"> אינו גובה ממנו</w:t>
      </w:r>
      <w:r>
        <w:rPr>
          <w:rStyle w:val="a7"/>
          <w:rFonts w:cs="Arial"/>
          <w:rtl/>
        </w:rPr>
        <w:footnoteReference w:id="2965"/>
      </w:r>
      <w:r w:rsidRPr="005A54C2">
        <w:rPr>
          <w:rFonts w:cs="Arial" w:hint="cs"/>
          <w:rtl/>
        </w:rPr>
        <w:t>.</w:t>
      </w:r>
      <w:r w:rsidRPr="005A54C2">
        <w:rPr>
          <w:rFonts w:cs="Arial"/>
          <w:rtl/>
        </w:rPr>
        <w:t xml:space="preserve"> </w:t>
      </w:r>
      <w:r w:rsidRPr="00797BAD">
        <w:rPr>
          <w:rFonts w:hint="cs"/>
          <w:color w:val="E36C0A" w:themeColor="accent6" w:themeShade="BF"/>
          <w:rtl/>
        </w:rPr>
        <w:t>(וכ"פ בשו"ע)</w:t>
      </w:r>
    </w:p>
    <w:p w14:paraId="198DC0E6"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E2E064D" w14:textId="77777777" w:rsidR="00392DBB" w:rsidRDefault="00392DBB" w:rsidP="00392DBB">
      <w:pPr>
        <w:rPr>
          <w:rtl/>
        </w:rPr>
      </w:pPr>
      <w:r>
        <w:rPr>
          <w:rFonts w:cs="Arial"/>
          <w:rtl/>
        </w:rPr>
        <w:t>הכותב לאשתו בשעת נשואין שטר חוב בסכום ידוע, ומתנה שתוכל לגבותו בכל עת שתרצה, אם תגבנו ילקח בו קרקע והוא אוכל פירות</w:t>
      </w:r>
      <w:r>
        <w:rPr>
          <w:rFonts w:cs="Arial" w:hint="cs"/>
          <w:rtl/>
        </w:rPr>
        <w:t>.</w:t>
      </w:r>
      <w:r>
        <w:rPr>
          <w:rFonts w:cs="Arial"/>
          <w:rtl/>
        </w:rPr>
        <w:t xml:space="preserve"> ואם יש עליה חוב שלותה אחר שנשאת, אינה גובה ממנו. אבל אם לותה קודם שנשאת, גובה ממנו. אבל אם אינו עומד לגבות אלא לכשתתאלמן או תתגרש, אינו יכול ב</w:t>
      </w:r>
      <w:r>
        <w:rPr>
          <w:rFonts w:cs="Arial" w:hint="cs"/>
          <w:rtl/>
        </w:rPr>
        <w:t xml:space="preserve">על </w:t>
      </w:r>
      <w:r>
        <w:rPr>
          <w:rFonts w:cs="Arial"/>
          <w:rtl/>
        </w:rPr>
        <w:t>ח</w:t>
      </w:r>
      <w:r>
        <w:rPr>
          <w:rFonts w:cs="Arial" w:hint="cs"/>
          <w:rtl/>
        </w:rPr>
        <w:t>וב</w:t>
      </w:r>
      <w:r>
        <w:rPr>
          <w:rFonts w:cs="Arial"/>
          <w:rtl/>
        </w:rPr>
        <w:t xml:space="preserve"> לגבות ממנו, אלא ימכרוהו ב</w:t>
      </w:r>
      <w:r>
        <w:rPr>
          <w:rFonts w:cs="Arial" w:hint="cs"/>
          <w:rtl/>
        </w:rPr>
        <w:t>ית דין</w:t>
      </w:r>
      <w:r>
        <w:rPr>
          <w:rFonts w:cs="Arial"/>
          <w:rtl/>
        </w:rPr>
        <w:t xml:space="preserve"> בטובת הנאה לו או לאחר, אבל לא לבעל</w:t>
      </w:r>
      <w:r>
        <w:rPr>
          <w:rFonts w:cs="Arial" w:hint="cs"/>
          <w:rtl/>
        </w:rPr>
        <w:t>.</w:t>
      </w:r>
      <w:r>
        <w:rPr>
          <w:rFonts w:cs="Arial"/>
          <w:rtl/>
        </w:rPr>
        <w:t xml:space="preserve"> </w:t>
      </w:r>
      <w:r w:rsidRPr="00213780">
        <w:rPr>
          <w:rFonts w:cs="Arial" w:hint="cs"/>
          <w:sz w:val="18"/>
          <w:szCs w:val="18"/>
          <w:rtl/>
        </w:rPr>
        <w:t xml:space="preserve">[הגה] </w:t>
      </w:r>
      <w:r w:rsidRPr="00213780">
        <w:rPr>
          <w:rFonts w:cs="Arial"/>
          <w:sz w:val="18"/>
          <w:szCs w:val="18"/>
          <w:rtl/>
        </w:rPr>
        <w:t xml:space="preserve">וזה אינו נכון, אלא לא ימכרו בית דין בטובת הנאה לא לו ולא לאחרים, דכל לגבי בעלה ודאי מחלה, ואטרוחי בי דינא בכדי לא מטרחינן (טור וב"י בשם גמרא החובל). </w:t>
      </w:r>
    </w:p>
    <w:p w14:paraId="76B4B480" w14:textId="77777777" w:rsidR="00392DBB" w:rsidRDefault="00392DBB" w:rsidP="00392DBB">
      <w:pPr>
        <w:rPr>
          <w:rtl/>
        </w:rPr>
      </w:pPr>
    </w:p>
    <w:p w14:paraId="0D7D8E82" w14:textId="77777777" w:rsidR="00392DBB" w:rsidRDefault="00392DBB" w:rsidP="000F64D0">
      <w:pPr>
        <w:pStyle w:val="2"/>
        <w:rPr>
          <w:rtl/>
        </w:rPr>
      </w:pPr>
      <w:r>
        <w:rPr>
          <w:rtl/>
        </w:rPr>
        <w:t>סעיף י</w:t>
      </w:r>
      <w:r>
        <w:rPr>
          <w:rFonts w:hint="cs"/>
          <w:rtl/>
        </w:rPr>
        <w:t>:</w:t>
      </w:r>
      <w:r w:rsidRPr="00A67BB7">
        <w:rPr>
          <w:rtl/>
        </w:rPr>
        <w:t xml:space="preserve"> </w:t>
      </w:r>
      <w:r>
        <w:rPr>
          <w:rFonts w:hint="cs"/>
          <w:rtl/>
        </w:rPr>
        <w:t>גביית חוב ממתנה שנתן ה</w:t>
      </w:r>
      <w:r>
        <w:rPr>
          <w:rtl/>
        </w:rPr>
        <w:t xml:space="preserve">בעל </w:t>
      </w:r>
      <w:r>
        <w:rPr>
          <w:rFonts w:hint="cs"/>
          <w:rtl/>
        </w:rPr>
        <w:t>לאשתו.</w:t>
      </w:r>
    </w:p>
    <w:p w14:paraId="24D0DC62" w14:textId="77777777" w:rsidR="00392DBB" w:rsidRPr="00A67BB7" w:rsidRDefault="00392DBB" w:rsidP="00392DBB">
      <w:pPr>
        <w:rPr>
          <w:u w:val="single"/>
          <w:rtl/>
        </w:rPr>
      </w:pPr>
      <w:r w:rsidRPr="007A3F1A">
        <w:rPr>
          <w:rFonts w:cs="Arial"/>
          <w:u w:val="single"/>
          <w:rtl/>
        </w:rPr>
        <w:t>סעיף י</w:t>
      </w:r>
      <w:r w:rsidRPr="007A3F1A">
        <w:rPr>
          <w:rFonts w:cs="Arial" w:hint="cs"/>
          <w:u w:val="single"/>
          <w:rtl/>
        </w:rPr>
        <w:t>:</w:t>
      </w:r>
      <w:r w:rsidRPr="007A3F1A">
        <w:rPr>
          <w:rFonts w:cs="Arial"/>
          <w:u w:val="single"/>
          <w:rtl/>
        </w:rPr>
        <w:t xml:space="preserve"> </w:t>
      </w:r>
      <w:r w:rsidRPr="007A3F1A">
        <w:rPr>
          <w:rFonts w:cs="Arial" w:hint="cs"/>
          <w:u w:val="single"/>
          <w:rtl/>
        </w:rPr>
        <w:t>גביית חוב ממתנה שנתן ה</w:t>
      </w:r>
      <w:r w:rsidRPr="007A3F1A">
        <w:rPr>
          <w:rFonts w:cs="Arial"/>
          <w:u w:val="single"/>
          <w:rtl/>
        </w:rPr>
        <w:t xml:space="preserve">בעל </w:t>
      </w:r>
      <w:r w:rsidRPr="007A3F1A">
        <w:rPr>
          <w:rFonts w:cs="Arial" w:hint="cs"/>
          <w:u w:val="single"/>
          <w:rtl/>
        </w:rPr>
        <w:t>לאשתו</w:t>
      </w:r>
      <w:r w:rsidRPr="00A67BB7">
        <w:rPr>
          <w:rFonts w:hint="cs"/>
          <w:u w:val="single"/>
          <w:rtl/>
        </w:rPr>
        <w:t>:</w:t>
      </w:r>
    </w:p>
    <w:p w14:paraId="7BA35631" w14:textId="77777777" w:rsidR="00392DBB" w:rsidRPr="005A54C2" w:rsidRDefault="00392DBB" w:rsidP="009000E3">
      <w:pPr>
        <w:pStyle w:val="ab"/>
        <w:numPr>
          <w:ilvl w:val="0"/>
          <w:numId w:val="72"/>
        </w:numPr>
      </w:pPr>
      <w:r w:rsidRPr="00236A20">
        <w:rPr>
          <w:rFonts w:cs="Arial" w:hint="cs"/>
          <w:rtl/>
        </w:rPr>
        <w:t xml:space="preserve">רא"ש </w:t>
      </w:r>
      <w:r w:rsidRPr="00236A20">
        <w:rPr>
          <w:rFonts w:cs="Arial" w:hint="cs"/>
          <w:sz w:val="16"/>
          <w:szCs w:val="16"/>
          <w:rtl/>
        </w:rPr>
        <w:t xml:space="preserve">(כלל </w:t>
      </w:r>
      <w:r>
        <w:rPr>
          <w:rFonts w:cs="Arial" w:hint="cs"/>
          <w:sz w:val="16"/>
          <w:szCs w:val="16"/>
          <w:rtl/>
        </w:rPr>
        <w:t>לט סי' ג</w:t>
      </w:r>
      <w:r w:rsidRPr="00236A20">
        <w:rPr>
          <w:rFonts w:cs="Arial" w:hint="cs"/>
          <w:sz w:val="16"/>
          <w:szCs w:val="16"/>
          <w:rtl/>
        </w:rPr>
        <w:t xml:space="preserve">) </w:t>
      </w:r>
      <w:r w:rsidRPr="00236A20">
        <w:rPr>
          <w:rFonts w:cs="Arial" w:hint="cs"/>
          <w:rtl/>
        </w:rPr>
        <w:t xml:space="preserve">וטור- </w:t>
      </w:r>
      <w:r>
        <w:rPr>
          <w:rFonts w:cs="Arial"/>
          <w:rtl/>
        </w:rPr>
        <w:t>ואם נתן הבעל לה מתנה</w:t>
      </w:r>
      <w:r>
        <w:rPr>
          <w:rFonts w:cs="Arial" w:hint="cs"/>
          <w:rtl/>
        </w:rPr>
        <w:t>,</w:t>
      </w:r>
      <w:r>
        <w:rPr>
          <w:rFonts w:cs="Arial"/>
          <w:rtl/>
        </w:rPr>
        <w:t xml:space="preserve"> אפי' ב"ח שהלוה לה אחר שניסת גובה ממנו</w:t>
      </w:r>
      <w:r>
        <w:rPr>
          <w:rStyle w:val="a7"/>
          <w:rFonts w:cs="Arial"/>
          <w:rtl/>
        </w:rPr>
        <w:footnoteReference w:id="2966"/>
      </w:r>
      <w:r>
        <w:rPr>
          <w:rFonts w:cs="Arial" w:hint="cs"/>
          <w:rtl/>
        </w:rPr>
        <w:t>.</w:t>
      </w:r>
      <w:r>
        <w:rPr>
          <w:rFonts w:cs="Arial"/>
          <w:rtl/>
        </w:rPr>
        <w:t xml:space="preserve"> </w:t>
      </w:r>
      <w:r w:rsidRPr="00797BAD">
        <w:rPr>
          <w:rFonts w:hint="cs"/>
          <w:color w:val="E36C0A" w:themeColor="accent6" w:themeShade="BF"/>
          <w:rtl/>
        </w:rPr>
        <w:t>(וכ"פ בשו"ע)</w:t>
      </w:r>
    </w:p>
    <w:p w14:paraId="442E97A7"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A7CB344" w14:textId="77777777" w:rsidR="00392DBB" w:rsidRDefault="00392DBB" w:rsidP="00392DBB">
      <w:pPr>
        <w:rPr>
          <w:rFonts w:cs="Arial"/>
          <w:rtl/>
        </w:rPr>
      </w:pPr>
      <w:r>
        <w:rPr>
          <w:rFonts w:cs="Arial"/>
          <w:rtl/>
        </w:rPr>
        <w:t xml:space="preserve">אם נתן לה הבעל מתנה, אפילו בעל חוב שהלוה לה אחר שנשאת, גובה ממנו. </w:t>
      </w:r>
    </w:p>
    <w:p w14:paraId="2CF60A20" w14:textId="77777777" w:rsidR="00392DBB" w:rsidRDefault="00392DBB" w:rsidP="00392DBB">
      <w:pPr>
        <w:rPr>
          <w:rtl/>
        </w:rPr>
      </w:pPr>
    </w:p>
    <w:p w14:paraId="75EF3FF8" w14:textId="77777777" w:rsidR="00392DBB" w:rsidRDefault="00392DBB" w:rsidP="000F64D0">
      <w:pPr>
        <w:pStyle w:val="2"/>
        <w:rPr>
          <w:rtl/>
        </w:rPr>
      </w:pPr>
      <w:r>
        <w:rPr>
          <w:rtl/>
        </w:rPr>
        <w:t>סעיף יא</w:t>
      </w:r>
      <w:r>
        <w:rPr>
          <w:rFonts w:hint="cs"/>
          <w:rtl/>
        </w:rPr>
        <w:t>:</w:t>
      </w:r>
      <w:r w:rsidRPr="0086416D">
        <w:rPr>
          <w:rFonts w:hint="cs"/>
          <w:rtl/>
        </w:rPr>
        <w:t xml:space="preserve"> </w:t>
      </w:r>
      <w:r>
        <w:rPr>
          <w:rFonts w:hint="cs"/>
          <w:rtl/>
        </w:rPr>
        <w:t>נוסח שטר מתנה שאינו מועיל.</w:t>
      </w:r>
    </w:p>
    <w:p w14:paraId="7675FED5" w14:textId="77777777" w:rsidR="00392DBB" w:rsidRPr="0086416D" w:rsidRDefault="00392DBB" w:rsidP="00392DBB">
      <w:pPr>
        <w:rPr>
          <w:u w:val="single"/>
          <w:rtl/>
        </w:rPr>
      </w:pPr>
      <w:r w:rsidRPr="0086416D">
        <w:rPr>
          <w:rFonts w:hint="cs"/>
          <w:u w:val="single"/>
          <w:rtl/>
        </w:rPr>
        <w:t>נוסח שטר מתנה שאינו מועיל:</w:t>
      </w:r>
    </w:p>
    <w:p w14:paraId="27BE2765" w14:textId="77777777" w:rsidR="00392DBB" w:rsidRPr="00A67BB7" w:rsidRDefault="00392DBB" w:rsidP="009000E3">
      <w:pPr>
        <w:pStyle w:val="ab"/>
        <w:numPr>
          <w:ilvl w:val="0"/>
          <w:numId w:val="72"/>
        </w:numPr>
      </w:pPr>
      <w:r w:rsidRPr="00236A20">
        <w:rPr>
          <w:rFonts w:cs="Arial" w:hint="cs"/>
          <w:rtl/>
        </w:rPr>
        <w:lastRenderedPageBreak/>
        <w:t xml:space="preserve">רא"ש </w:t>
      </w:r>
      <w:r w:rsidRPr="00236A20">
        <w:rPr>
          <w:rFonts w:cs="Arial" w:hint="cs"/>
          <w:sz w:val="16"/>
          <w:szCs w:val="16"/>
          <w:rtl/>
        </w:rPr>
        <w:t xml:space="preserve">(כלל </w:t>
      </w:r>
      <w:r>
        <w:rPr>
          <w:rFonts w:cs="Arial" w:hint="cs"/>
          <w:sz w:val="16"/>
          <w:szCs w:val="16"/>
          <w:rtl/>
        </w:rPr>
        <w:t>לט סי' ו</w:t>
      </w:r>
      <w:r w:rsidRPr="00236A20">
        <w:rPr>
          <w:rFonts w:cs="Arial" w:hint="cs"/>
          <w:sz w:val="16"/>
          <w:szCs w:val="16"/>
          <w:rtl/>
        </w:rPr>
        <w:t xml:space="preserve">) </w:t>
      </w:r>
      <w:r w:rsidRPr="00236A20">
        <w:rPr>
          <w:rFonts w:cs="Arial" w:hint="cs"/>
          <w:rtl/>
        </w:rPr>
        <w:t xml:space="preserve">וטור- </w:t>
      </w:r>
      <w:r>
        <w:rPr>
          <w:rFonts w:cs="Arial"/>
          <w:rtl/>
        </w:rPr>
        <w:t>ששאלת ראובן הלוה מעות ללאה ושואל מב"ד שיגבוה משטר מתנה שכתב לה בעלה שזה נוסחו הוו עלי עדים בקנין שלם מעכשיו וכתבו וחתמו עלי בכל לשון של זכות ותנו ללאה אשתי כך וכך בתים כך וכך פרדסים ועוד נתתי לה אלף זהובים במתנה גמורה וכו' תשובה אם שטר המתנה כתוב כהלכתו אז זכתה לאה בכל הקרקעות שנתן לה והן שלה ואף על פי שמנחת לבעל לאכול פירות זה תלוי בדעתה כל זמן שהיא רוצה וכשתרצה תוציא מיד בעלה קרקע ופירות הלכך אם היה השטר נכתב כהלכתו היה גובה ב"ח מן הקרקעות שנתן לה אבל מ"ש נתתי לה אלף זהובים בשביל מתנה לא נוכל להוציא מן הבעל כלום מדרבי נתן כי לא שיעבד עצמו להתחייב לה כלום אלא שכתב לה מתנה אלף זהובים ולפי לשון המתנה כבר היה בידה כל זה כתבתי לך אם השטר היה כתוב כהלכתו אבל תורף השטר היה נ"ל שאין בו ממש לפי שכתוב בו וכתבו עלי בכל לשון של זכות ותנו ללאה אשתי כך וכך בתים וכו' ואין ניכר בשטר שהוא נותן לה כלום ודאי אם היו מטלטלין ונתנו ליד העדים ואמר להם תנו ממון זה לאשתי זכתה האשה דתן כזכי דמי אבל כיון שלא נתן ליד העדים לא זכתה האשה כי הוא צוה לעדים אבל הוא לא נתן לה כלום וכן רגילים לכתוב בשטרות הוו עלי עדים וכתבו וחתמו עלי בכל לשון של זכות ותנו לפלונית להיות בידה לזכות ולראיה מחמת שרציתי ברצון נפשי ונתתי לה כך וכך אבל מהו שצוה לעדים ליתן אין זה כלום</w:t>
      </w:r>
      <w:r>
        <w:rPr>
          <w:rFonts w:cs="Arial" w:hint="cs"/>
          <w:rtl/>
        </w:rPr>
        <w:t>.</w:t>
      </w:r>
      <w:r>
        <w:rPr>
          <w:rFonts w:cs="Arial"/>
          <w:rtl/>
        </w:rPr>
        <w:t xml:space="preserve"> </w:t>
      </w:r>
      <w:r w:rsidRPr="00797BAD">
        <w:rPr>
          <w:rFonts w:hint="cs"/>
          <w:color w:val="E36C0A" w:themeColor="accent6" w:themeShade="BF"/>
          <w:rtl/>
        </w:rPr>
        <w:t>(וכ"פ בשו"ע)</w:t>
      </w:r>
    </w:p>
    <w:p w14:paraId="44FA0477" w14:textId="77777777" w:rsidR="00392DBB" w:rsidRPr="0086416D" w:rsidRDefault="00392DBB" w:rsidP="00392DBB">
      <w:pPr>
        <w:rPr>
          <w:u w:val="single"/>
        </w:rPr>
      </w:pPr>
      <w:r w:rsidRPr="0086416D">
        <w:rPr>
          <w:rFonts w:cs="Arial"/>
          <w:u w:val="single"/>
          <w:rtl/>
        </w:rPr>
        <w:t>ראובן נשא אשה ועליה שטר קודם שנשאת</w:t>
      </w:r>
      <w:r w:rsidRPr="0086416D">
        <w:rPr>
          <w:rFonts w:hint="cs"/>
          <w:u w:val="single"/>
          <w:rtl/>
        </w:rPr>
        <w:t>:</w:t>
      </w:r>
    </w:p>
    <w:p w14:paraId="468A1A9A" w14:textId="77777777" w:rsidR="00392DBB" w:rsidRPr="00213780" w:rsidRDefault="00392DBB" w:rsidP="009000E3">
      <w:pPr>
        <w:pStyle w:val="ab"/>
        <w:numPr>
          <w:ilvl w:val="0"/>
          <w:numId w:val="72"/>
        </w:numPr>
        <w:rPr>
          <w:rtl/>
        </w:rPr>
      </w:pPr>
      <w:r w:rsidRPr="00236A20">
        <w:rPr>
          <w:rFonts w:cs="Arial" w:hint="cs"/>
          <w:rtl/>
        </w:rPr>
        <w:t xml:space="preserve">רא"ש </w:t>
      </w:r>
      <w:r w:rsidRPr="00236A20">
        <w:rPr>
          <w:rFonts w:cs="Arial" w:hint="cs"/>
          <w:sz w:val="16"/>
          <w:szCs w:val="16"/>
          <w:rtl/>
        </w:rPr>
        <w:t xml:space="preserve">(כלל </w:t>
      </w:r>
      <w:r>
        <w:rPr>
          <w:rFonts w:cs="Arial" w:hint="cs"/>
          <w:sz w:val="16"/>
          <w:szCs w:val="16"/>
          <w:rtl/>
        </w:rPr>
        <w:t>לט סי' א</w:t>
      </w:r>
      <w:r w:rsidRPr="00236A20">
        <w:rPr>
          <w:rFonts w:cs="Arial" w:hint="cs"/>
          <w:sz w:val="16"/>
          <w:szCs w:val="16"/>
          <w:rtl/>
        </w:rPr>
        <w:t>)</w:t>
      </w:r>
      <w:r w:rsidRPr="00236A20">
        <w:rPr>
          <w:rFonts w:cs="Arial" w:hint="cs"/>
          <w:rtl/>
        </w:rPr>
        <w:t xml:space="preserve">- </w:t>
      </w:r>
      <w:r w:rsidRPr="00A67BB7">
        <w:rPr>
          <w:rFonts w:cs="Arial"/>
          <w:rtl/>
        </w:rPr>
        <w:t>ששאלת ראובן נשא אשה ועליה שטר קודם שנשאת ומתה ובא ב"ח לגבות חובו מנכסי' שירש הבעל מאשתו לא ידעתי במה נסתפקת פשיטא שגובה מנכסי' שירש מאשתו ולא עוד אלא אפילו לא מתה נמי גובה חובו מנכסים שהכניסה לבעלה דגרסינן בשילהי יש נוחלין (ב"ב קלט.) שלח ליה אבוה בר גניבא לרבא לותה ואכלה ועמדה ונישאת מהו בעל לוקח הוי ומלוה על פה אינה גובה מן הלקוחות או יורש הוי ומלוה על פה גובה מן היורשים אבל מלוה בשטר אפילו אי לוקח הוי גובה</w:t>
      </w:r>
      <w:r>
        <w:rPr>
          <w:rStyle w:val="a7"/>
          <w:rFonts w:cs="Arial"/>
          <w:rtl/>
        </w:rPr>
        <w:footnoteReference w:id="2967"/>
      </w:r>
      <w:r>
        <w:rPr>
          <w:rFonts w:cs="Arial" w:hint="cs"/>
          <w:rtl/>
        </w:rPr>
        <w:t>.</w:t>
      </w:r>
      <w:r w:rsidRPr="00A67BB7">
        <w:rPr>
          <w:rFonts w:cs="Arial"/>
          <w:rtl/>
        </w:rPr>
        <w:t xml:space="preserve"> </w:t>
      </w:r>
    </w:p>
    <w:p w14:paraId="3B2B69D3"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B87A25D" w14:textId="77777777" w:rsidR="00392DBB" w:rsidRDefault="00392DBB" w:rsidP="00392DBB">
      <w:pPr>
        <w:rPr>
          <w:rFonts w:cs="Arial"/>
          <w:rtl/>
        </w:rPr>
      </w:pPr>
      <w:r>
        <w:rPr>
          <w:rFonts w:cs="Arial"/>
          <w:rtl/>
        </w:rPr>
        <w:t xml:space="preserve">שטר שזה נסחו: הוו עלי עדים וכתבו וחתמו עלי בכל לשון של זכות ותנו ללאה אשתי כך וכך בתים במתנה גמורה, אינו כלום. </w:t>
      </w:r>
      <w:r w:rsidRPr="00213780">
        <w:rPr>
          <w:rFonts w:cs="Arial" w:hint="cs"/>
          <w:sz w:val="18"/>
          <w:szCs w:val="18"/>
          <w:rtl/>
        </w:rPr>
        <w:t xml:space="preserve">[הגה] </w:t>
      </w:r>
      <w:r w:rsidRPr="00213780">
        <w:rPr>
          <w:rFonts w:cs="Arial"/>
          <w:sz w:val="18"/>
          <w:szCs w:val="18"/>
          <w:rtl/>
        </w:rPr>
        <w:t xml:space="preserve">הואיל ולא כתב שהוא נותן לה, מה שאמר: תנו, לאו כלום הוא (טור בשם תשובת הרא"ש). </w:t>
      </w:r>
    </w:p>
    <w:p w14:paraId="6D6C9409" w14:textId="77777777" w:rsidR="00392DBB" w:rsidRDefault="00392DBB" w:rsidP="00392DBB">
      <w:pPr>
        <w:rPr>
          <w:rtl/>
        </w:rPr>
      </w:pPr>
    </w:p>
    <w:p w14:paraId="79781DB2" w14:textId="77777777" w:rsidR="00392DBB" w:rsidRDefault="00392DBB" w:rsidP="000F64D0">
      <w:pPr>
        <w:pStyle w:val="2"/>
        <w:rPr>
          <w:rtl/>
        </w:rPr>
      </w:pPr>
      <w:r>
        <w:rPr>
          <w:rtl/>
        </w:rPr>
        <w:t>סעיף יב</w:t>
      </w:r>
      <w:r>
        <w:rPr>
          <w:rFonts w:hint="cs"/>
          <w:rtl/>
        </w:rPr>
        <w:t xml:space="preserve">: מנהג </w:t>
      </w:r>
      <w:r>
        <w:rPr>
          <w:rtl/>
        </w:rPr>
        <w:t xml:space="preserve">שהאשה מכנסת קרקע לבעלה </w:t>
      </w:r>
      <w:r>
        <w:rPr>
          <w:rFonts w:hint="cs"/>
          <w:rtl/>
        </w:rPr>
        <w:t>ב</w:t>
      </w:r>
      <w:r>
        <w:rPr>
          <w:rtl/>
        </w:rPr>
        <w:t>מתנה והוא כותב לה שטר חוב</w:t>
      </w:r>
      <w:r>
        <w:rPr>
          <w:rFonts w:hint="cs"/>
          <w:rtl/>
        </w:rPr>
        <w:t>.</w:t>
      </w:r>
    </w:p>
    <w:p w14:paraId="10181C65" w14:textId="77777777" w:rsidR="00392DBB" w:rsidRPr="0086416D" w:rsidRDefault="00392DBB" w:rsidP="00392DBB">
      <w:pPr>
        <w:rPr>
          <w:rtl/>
        </w:rPr>
      </w:pPr>
      <w:r w:rsidRPr="0086416D">
        <w:rPr>
          <w:rFonts w:cs="Arial" w:hint="cs"/>
          <w:u w:val="single"/>
          <w:rtl/>
        </w:rPr>
        <w:t xml:space="preserve">מנהג </w:t>
      </w:r>
      <w:r w:rsidRPr="0086416D">
        <w:rPr>
          <w:rFonts w:cs="Arial"/>
          <w:u w:val="single"/>
          <w:rtl/>
        </w:rPr>
        <w:t xml:space="preserve">שהאשה מכנסת קרקע לבעלה </w:t>
      </w:r>
      <w:r w:rsidRPr="0086416D">
        <w:rPr>
          <w:rFonts w:cs="Arial" w:hint="cs"/>
          <w:u w:val="single"/>
          <w:rtl/>
        </w:rPr>
        <w:t>ו</w:t>
      </w:r>
      <w:r w:rsidRPr="0086416D">
        <w:rPr>
          <w:rFonts w:cs="Arial"/>
          <w:u w:val="single"/>
          <w:rtl/>
        </w:rPr>
        <w:t>כותבת לו שטר מתנה והוא כותב לה שטר חוב שתגבנו כל זמן שתרצה</w:t>
      </w:r>
      <w:r>
        <w:rPr>
          <w:rFonts w:cs="Arial" w:hint="cs"/>
          <w:u w:val="single"/>
          <w:rtl/>
        </w:rPr>
        <w:t>:</w:t>
      </w:r>
    </w:p>
    <w:p w14:paraId="0806035F" w14:textId="7B30504B" w:rsidR="00392DBB" w:rsidRDefault="00392DBB" w:rsidP="009000E3">
      <w:pPr>
        <w:pStyle w:val="ab"/>
        <w:numPr>
          <w:ilvl w:val="0"/>
          <w:numId w:val="72"/>
        </w:numPr>
      </w:pPr>
      <w:r w:rsidRPr="00236A20">
        <w:rPr>
          <w:rFonts w:cs="Arial" w:hint="cs"/>
          <w:rtl/>
        </w:rPr>
        <w:t xml:space="preserve">רא"ש </w:t>
      </w:r>
      <w:r w:rsidRPr="00236A20">
        <w:rPr>
          <w:rFonts w:cs="Arial" w:hint="cs"/>
          <w:sz w:val="16"/>
          <w:szCs w:val="16"/>
          <w:rtl/>
        </w:rPr>
        <w:t xml:space="preserve">(כלל </w:t>
      </w:r>
      <w:r>
        <w:rPr>
          <w:rFonts w:cs="Arial" w:hint="cs"/>
          <w:sz w:val="16"/>
          <w:szCs w:val="16"/>
          <w:rtl/>
        </w:rPr>
        <w:t>לח סי' ו</w:t>
      </w:r>
      <w:r w:rsidRPr="00236A20">
        <w:rPr>
          <w:rFonts w:cs="Arial" w:hint="cs"/>
          <w:sz w:val="16"/>
          <w:szCs w:val="16"/>
          <w:rtl/>
        </w:rPr>
        <w:t xml:space="preserve">) </w:t>
      </w:r>
      <w:r w:rsidRPr="00236A20">
        <w:rPr>
          <w:rFonts w:cs="Arial" w:hint="cs"/>
          <w:rtl/>
        </w:rPr>
        <w:t xml:space="preserve">וטור- </w:t>
      </w:r>
      <w:r>
        <w:rPr>
          <w:rFonts w:cs="Arial"/>
          <w:rtl/>
        </w:rPr>
        <w:t>וששאלתם שמנהג הוא כשהאשה מכנסת קרקע לבעלה היא כותבת לו שטר מתנה</w:t>
      </w:r>
      <w:r>
        <w:rPr>
          <w:rFonts w:cs="Arial" w:hint="cs"/>
          <w:rtl/>
        </w:rPr>
        <w:t>,</w:t>
      </w:r>
      <w:r>
        <w:rPr>
          <w:rFonts w:cs="Arial"/>
          <w:rtl/>
        </w:rPr>
        <w:t xml:space="preserve"> והוא כותב לה שט"ח על עצמו</w:t>
      </w:r>
      <w:r>
        <w:rPr>
          <w:rFonts w:cs="Arial" w:hint="cs"/>
          <w:rtl/>
        </w:rPr>
        <w:t>.</w:t>
      </w:r>
      <w:r>
        <w:rPr>
          <w:rFonts w:cs="Arial"/>
          <w:rtl/>
        </w:rPr>
        <w:t xml:space="preserve"> וקורין לו נדוניא</w:t>
      </w:r>
      <w:r>
        <w:rPr>
          <w:rFonts w:cs="Arial" w:hint="cs"/>
          <w:rtl/>
        </w:rPr>
        <w:t>,</w:t>
      </w:r>
      <w:r>
        <w:rPr>
          <w:rFonts w:cs="Arial"/>
          <w:rtl/>
        </w:rPr>
        <w:t xml:space="preserve"> ואין מזכירין באותו שטר הקרקע שנתנה לו אותו קרקע</w:t>
      </w:r>
      <w:r>
        <w:rPr>
          <w:rFonts w:cs="Arial" w:hint="cs"/>
          <w:rtl/>
        </w:rPr>
        <w:t>.</w:t>
      </w:r>
      <w:r>
        <w:rPr>
          <w:rFonts w:cs="Arial"/>
          <w:rtl/>
        </w:rPr>
        <w:t xml:space="preserve"> אם יש לו דין נכסי צאן ברזל</w:t>
      </w:r>
      <w:r>
        <w:rPr>
          <w:rFonts w:cs="Arial" w:hint="cs"/>
          <w:rtl/>
        </w:rPr>
        <w:t>,</w:t>
      </w:r>
      <w:r>
        <w:rPr>
          <w:rFonts w:cs="Arial"/>
          <w:rtl/>
        </w:rPr>
        <w:t xml:space="preserve"> או כדין שאר נכסיו</w:t>
      </w:r>
      <w:r>
        <w:rPr>
          <w:rFonts w:cs="Arial" w:hint="cs"/>
          <w:rtl/>
        </w:rPr>
        <w:t>.</w:t>
      </w:r>
      <w:r>
        <w:rPr>
          <w:rFonts w:cs="Arial"/>
          <w:rtl/>
        </w:rPr>
        <w:t xml:space="preserve"> </w:t>
      </w:r>
      <w:r>
        <w:rPr>
          <w:rFonts w:cs="Arial" w:hint="cs"/>
          <w:rtl/>
        </w:rPr>
        <w:t xml:space="preserve">   </w:t>
      </w:r>
      <w:r w:rsidR="00FE210D">
        <w:rPr>
          <w:rFonts w:cs="Arial"/>
          <w:rtl/>
        </w:rPr>
        <w:t xml:space="preserve">  תשובה:</w:t>
      </w:r>
      <w:r>
        <w:rPr>
          <w:rFonts w:cs="Arial"/>
          <w:rtl/>
        </w:rPr>
        <w:t xml:space="preserve"> יראה כיון שקורין לזה השטר נדוניא ויכולין לגבותה בכל עת שתרצה</w:t>
      </w:r>
      <w:r>
        <w:rPr>
          <w:rFonts w:cs="Arial" w:hint="cs"/>
          <w:rtl/>
        </w:rPr>
        <w:t>,</w:t>
      </w:r>
      <w:r>
        <w:rPr>
          <w:rFonts w:cs="Arial"/>
          <w:rtl/>
        </w:rPr>
        <w:t xml:space="preserve"> ודאי הקרקע שנתנה לו הרי הוא כשאר כל נכסיו</w:t>
      </w:r>
      <w:r>
        <w:rPr>
          <w:rFonts w:cs="Arial" w:hint="cs"/>
          <w:rtl/>
        </w:rPr>
        <w:t>.</w:t>
      </w:r>
      <w:r>
        <w:rPr>
          <w:rFonts w:cs="Arial"/>
          <w:rtl/>
        </w:rPr>
        <w:t xml:space="preserve"> דהיאך יתנו ביניהם שהיא תוציא ממנו החוב שהוא דמי הקרקע ויהיה הקרקע בחזקתה</w:t>
      </w:r>
      <w:r>
        <w:rPr>
          <w:rFonts w:cs="Arial" w:hint="cs"/>
          <w:rtl/>
        </w:rPr>
        <w:t>.</w:t>
      </w:r>
      <w:r>
        <w:rPr>
          <w:rFonts w:cs="Arial"/>
          <w:rtl/>
        </w:rPr>
        <w:t xml:space="preserve"> </w:t>
      </w:r>
      <w:r w:rsidRPr="00797BAD">
        <w:rPr>
          <w:rFonts w:hint="cs"/>
          <w:color w:val="E36C0A" w:themeColor="accent6" w:themeShade="BF"/>
          <w:rtl/>
        </w:rPr>
        <w:t>(וכ"פ בשו"ע)</w:t>
      </w:r>
    </w:p>
    <w:p w14:paraId="69BBFB39" w14:textId="77777777" w:rsidR="00392DBB" w:rsidRPr="0086416D" w:rsidRDefault="00392DBB" w:rsidP="00392DBB">
      <w:pPr>
        <w:rPr>
          <w:u w:val="single"/>
        </w:rPr>
      </w:pPr>
      <w:r>
        <w:rPr>
          <w:rFonts w:hint="cs"/>
          <w:u w:val="single"/>
          <w:rtl/>
        </w:rPr>
        <w:t>ראובן הוציא שטר על שמעון, ומצא לו מטלטלים לגבות מהם, אבל אשתו הוציאה שטר נדונייתא שמוקדם לו, וגבתה</w:t>
      </w:r>
      <w:r w:rsidRPr="0086416D">
        <w:rPr>
          <w:rFonts w:hint="cs"/>
          <w:u w:val="single"/>
          <w:rtl/>
        </w:rPr>
        <w:t>:</w:t>
      </w:r>
    </w:p>
    <w:p w14:paraId="6BA19DE2" w14:textId="77777777" w:rsidR="00392DBB" w:rsidRDefault="00392DBB" w:rsidP="009000E3">
      <w:pPr>
        <w:pStyle w:val="ab"/>
        <w:numPr>
          <w:ilvl w:val="0"/>
          <w:numId w:val="72"/>
        </w:numPr>
      </w:pPr>
      <w:r w:rsidRPr="00236A20">
        <w:rPr>
          <w:rFonts w:cs="Arial" w:hint="cs"/>
          <w:rtl/>
        </w:rPr>
        <w:t xml:space="preserve">רא"ש </w:t>
      </w:r>
      <w:r w:rsidRPr="00236A20">
        <w:rPr>
          <w:rFonts w:cs="Arial" w:hint="cs"/>
          <w:sz w:val="16"/>
          <w:szCs w:val="16"/>
          <w:rtl/>
        </w:rPr>
        <w:t xml:space="preserve">(כלל </w:t>
      </w:r>
      <w:r>
        <w:rPr>
          <w:rFonts w:cs="Arial" w:hint="cs"/>
          <w:sz w:val="16"/>
          <w:szCs w:val="16"/>
          <w:rtl/>
        </w:rPr>
        <w:t>לח סי' ד</w:t>
      </w:r>
      <w:r w:rsidRPr="00236A20">
        <w:rPr>
          <w:rFonts w:cs="Arial" w:hint="cs"/>
          <w:sz w:val="16"/>
          <w:szCs w:val="16"/>
          <w:rtl/>
        </w:rPr>
        <w:t xml:space="preserve">) </w:t>
      </w:r>
      <w:r w:rsidRPr="00236A20">
        <w:rPr>
          <w:rFonts w:cs="Arial" w:hint="cs"/>
          <w:rtl/>
        </w:rPr>
        <w:t xml:space="preserve">וטור- </w:t>
      </w:r>
      <w:r>
        <w:rPr>
          <w:rFonts w:cs="Arial"/>
          <w:rtl/>
        </w:rPr>
        <w:t>ששאלת ראובן הוציא שטר על שמעון</w:t>
      </w:r>
      <w:r>
        <w:rPr>
          <w:rFonts w:cs="Arial" w:hint="cs"/>
          <w:rtl/>
        </w:rPr>
        <w:t>,</w:t>
      </w:r>
      <w:r>
        <w:rPr>
          <w:rFonts w:cs="Arial"/>
          <w:rtl/>
        </w:rPr>
        <w:t xml:space="preserve"> ומצא לו מטלטלים ורוצה לגבותם</w:t>
      </w:r>
      <w:r>
        <w:rPr>
          <w:rFonts w:cs="Arial" w:hint="cs"/>
          <w:rtl/>
        </w:rPr>
        <w:t>.</w:t>
      </w:r>
      <w:r>
        <w:rPr>
          <w:rFonts w:cs="Arial"/>
          <w:rtl/>
        </w:rPr>
        <w:t xml:space="preserve"> והוציאה אשת שמעון נדוניתה מוקדם לשטרו של ראובן</w:t>
      </w:r>
      <w:r>
        <w:rPr>
          <w:rFonts w:cs="Arial" w:hint="cs"/>
          <w:rtl/>
        </w:rPr>
        <w:t>,</w:t>
      </w:r>
      <w:r>
        <w:rPr>
          <w:rFonts w:cs="Arial"/>
          <w:rtl/>
        </w:rPr>
        <w:t xml:space="preserve"> ומנעו מלגבות המטלטלים</w:t>
      </w:r>
      <w:r>
        <w:rPr>
          <w:rFonts w:cs="Arial" w:hint="cs"/>
          <w:rtl/>
        </w:rPr>
        <w:t>.</w:t>
      </w:r>
      <w:r>
        <w:rPr>
          <w:rFonts w:cs="Arial"/>
          <w:rtl/>
        </w:rPr>
        <w:t xml:space="preserve"> וטוען ראובן שכיון שתגבי מטלטלי אלו בנדוניתך תקרעי שטר נדוניתיך</w:t>
      </w:r>
      <w:r>
        <w:rPr>
          <w:rFonts w:cs="Arial" w:hint="cs"/>
          <w:rtl/>
        </w:rPr>
        <w:t>,</w:t>
      </w:r>
      <w:r>
        <w:rPr>
          <w:rFonts w:cs="Arial"/>
          <w:rtl/>
        </w:rPr>
        <w:t xml:space="preserve"> שאם ישאר היום או מחר בידך תוציאנו ותמנעני מלגבות מטלטלים אחרים </w:t>
      </w:r>
      <w:r>
        <w:rPr>
          <w:rFonts w:cs="Arial" w:hint="cs"/>
          <w:rtl/>
        </w:rPr>
        <w:t xml:space="preserve">- </w:t>
      </w:r>
      <w:r>
        <w:rPr>
          <w:rFonts w:cs="Arial"/>
          <w:rtl/>
        </w:rPr>
        <w:t>הדין עמו</w:t>
      </w:r>
      <w:r>
        <w:rPr>
          <w:rFonts w:cs="Arial" w:hint="cs"/>
          <w:rtl/>
        </w:rPr>
        <w:t>,</w:t>
      </w:r>
      <w:r>
        <w:rPr>
          <w:rFonts w:cs="Arial"/>
          <w:rtl/>
        </w:rPr>
        <w:t xml:space="preserve"> דכיון שבאה לגבות מכח נדוניתה יגבוה ואם יש במטלטלין כדי כל הנדוניא תגבה ותקרע ואם אין בהם כדי כל הנדוניא יגבוה הנמצא ויכתבו ביני שיטי כך וכך הגבנוה מחפץ פלוני ופלוני שאם יבא בעל חוב להגבותה היום או מחר שידע כמה הגבוה והמותר יקח בעל חוב</w:t>
      </w:r>
      <w:r>
        <w:rPr>
          <w:rStyle w:val="a7"/>
          <w:rFonts w:cs="Arial"/>
          <w:rtl/>
        </w:rPr>
        <w:footnoteReference w:id="2968"/>
      </w:r>
      <w:r>
        <w:rPr>
          <w:rFonts w:cs="Arial" w:hint="cs"/>
          <w:rtl/>
        </w:rPr>
        <w:t>.</w:t>
      </w:r>
    </w:p>
    <w:p w14:paraId="3232E1AF" w14:textId="77777777" w:rsidR="00392DBB" w:rsidRDefault="00392DBB" w:rsidP="00392DBB">
      <w:pPr>
        <w:rPr>
          <w:rtl/>
        </w:rPr>
      </w:pPr>
      <w:r>
        <w:rPr>
          <w:rFonts w:hint="cs"/>
          <w:u w:val="single"/>
          <w:rtl/>
        </w:rPr>
        <w:t>מתה האשה בחיי בעלה, והוא בע"ח לשמעון, ואז מת הבעל, ורוצה שמעון לגבות מקרקעותיו קודם היתומים</w:t>
      </w:r>
      <w:r w:rsidRPr="0086416D">
        <w:rPr>
          <w:rFonts w:hint="cs"/>
          <w:u w:val="single"/>
          <w:rtl/>
        </w:rPr>
        <w:t>:</w:t>
      </w:r>
    </w:p>
    <w:p w14:paraId="6508D6B5" w14:textId="3B829BF9" w:rsidR="00392DBB" w:rsidRDefault="00392DBB" w:rsidP="009000E3">
      <w:pPr>
        <w:pStyle w:val="ab"/>
        <w:numPr>
          <w:ilvl w:val="0"/>
          <w:numId w:val="72"/>
        </w:numPr>
      </w:pPr>
      <w:r w:rsidRPr="00236A20">
        <w:rPr>
          <w:rFonts w:cs="Arial" w:hint="cs"/>
          <w:rtl/>
        </w:rPr>
        <w:lastRenderedPageBreak/>
        <w:t xml:space="preserve">רא"ש </w:t>
      </w:r>
      <w:r w:rsidRPr="00236A20">
        <w:rPr>
          <w:rFonts w:cs="Arial" w:hint="cs"/>
          <w:sz w:val="16"/>
          <w:szCs w:val="16"/>
          <w:rtl/>
        </w:rPr>
        <w:t xml:space="preserve">(כלל </w:t>
      </w:r>
      <w:r>
        <w:rPr>
          <w:rFonts w:cs="Arial" w:hint="cs"/>
          <w:sz w:val="16"/>
          <w:szCs w:val="16"/>
          <w:rtl/>
        </w:rPr>
        <w:t>לח סי' ג</w:t>
      </w:r>
      <w:r w:rsidRPr="00236A20">
        <w:rPr>
          <w:rFonts w:cs="Arial" w:hint="cs"/>
          <w:sz w:val="16"/>
          <w:szCs w:val="16"/>
          <w:rtl/>
        </w:rPr>
        <w:t xml:space="preserve">) </w:t>
      </w:r>
      <w:r w:rsidRPr="00236A20">
        <w:rPr>
          <w:rFonts w:cs="Arial" w:hint="cs"/>
          <w:rtl/>
        </w:rPr>
        <w:t xml:space="preserve">וטור- </w:t>
      </w:r>
      <w:r>
        <w:rPr>
          <w:rFonts w:cs="Arial"/>
          <w:rtl/>
        </w:rPr>
        <w:t>ששאלת ראובן היה חייב לשמעון מנה</w:t>
      </w:r>
      <w:r>
        <w:rPr>
          <w:rFonts w:cs="Arial" w:hint="cs"/>
          <w:rtl/>
        </w:rPr>
        <w:t>,</w:t>
      </w:r>
      <w:r>
        <w:rPr>
          <w:rFonts w:cs="Arial"/>
          <w:rtl/>
        </w:rPr>
        <w:t xml:space="preserve"> ולא נטלה לאה לאשתו בקנין באותו החוב</w:t>
      </w:r>
      <w:r>
        <w:rPr>
          <w:rFonts w:cs="Arial" w:hint="cs"/>
          <w:rtl/>
        </w:rPr>
        <w:t>.</w:t>
      </w:r>
      <w:r>
        <w:rPr>
          <w:rFonts w:cs="Arial"/>
          <w:rtl/>
        </w:rPr>
        <w:t xml:space="preserve"> ומתה לאה בחיי ראובן והניח שטר נדוניא שנתחזק לה על בעלה</w:t>
      </w:r>
      <w:r>
        <w:rPr>
          <w:rFonts w:cs="Arial" w:hint="cs"/>
          <w:rtl/>
        </w:rPr>
        <w:t>,</w:t>
      </w:r>
      <w:r>
        <w:rPr>
          <w:rFonts w:cs="Arial"/>
          <w:rtl/>
        </w:rPr>
        <w:t xml:space="preserve"> ולפי התקנה נפטר ראובן מחצי הנדוניא לפי שמתה בחייו וחצי השני ירשו בניה</w:t>
      </w:r>
      <w:r>
        <w:rPr>
          <w:rFonts w:cs="Arial" w:hint="cs"/>
          <w:rtl/>
        </w:rPr>
        <w:t>.</w:t>
      </w:r>
      <w:r>
        <w:rPr>
          <w:rFonts w:cs="Arial"/>
          <w:rtl/>
        </w:rPr>
        <w:t xml:space="preserve"> ואח"כ מת ראובן והניח הרבה נכסים מעות וקרקעות ותובע שמעון שיגבהו חובו מקרקעות ראובן</w:t>
      </w:r>
      <w:r>
        <w:rPr>
          <w:rFonts w:cs="Arial" w:hint="cs"/>
          <w:rtl/>
        </w:rPr>
        <w:t>.</w:t>
      </w:r>
      <w:r>
        <w:rPr>
          <w:rFonts w:cs="Arial"/>
          <w:rtl/>
        </w:rPr>
        <w:t xml:space="preserve"> ואומרים בני ראובן שקודם יגבהו מקרקעות ראובן חצי נדונית אמם שירשו מכחה שהיא מוקדמת לשטרו של ראובן</w:t>
      </w:r>
      <w:r>
        <w:rPr>
          <w:rFonts w:cs="Arial" w:hint="cs"/>
          <w:rtl/>
        </w:rPr>
        <w:t>.</w:t>
      </w:r>
      <w:r>
        <w:rPr>
          <w:rFonts w:cs="Arial"/>
          <w:rtl/>
        </w:rPr>
        <w:t xml:space="preserve"> וטען שמעון שאין להם לגבות מקרקעות ראובן כיון שבא לידה ממון ראובן כפליים משטר הנדוניא</w:t>
      </w:r>
      <w:r>
        <w:rPr>
          <w:rFonts w:cs="Arial" w:hint="cs"/>
          <w:rtl/>
        </w:rPr>
        <w:t xml:space="preserve">.   </w:t>
      </w:r>
      <w:r>
        <w:rPr>
          <w:rFonts w:cs="Arial"/>
          <w:rtl/>
        </w:rPr>
        <w:t xml:space="preserve"> </w:t>
      </w:r>
      <w:r w:rsidR="00FE210D">
        <w:rPr>
          <w:rFonts w:cs="Arial"/>
          <w:rtl/>
        </w:rPr>
        <w:t xml:space="preserve">  תשובה:</w:t>
      </w:r>
      <w:r>
        <w:rPr>
          <w:rFonts w:cs="Arial"/>
          <w:rtl/>
        </w:rPr>
        <w:t xml:space="preserve"> כיון שבני ראובן ירשו והחזיקו בממון אביהם וירשו ג"כ ירושת אמם הרי שפרעו לעצמם מה שאביהם היה חייב לאמם כי הם עומדים במקום אמם לירש נדוניתה ומה שבא לידם כאילו בא ליד אמם ונחשוב אותו לפרעון ולא לירושה מצד אביהם ושמעון יגבה חובו</w:t>
      </w:r>
      <w:r>
        <w:rPr>
          <w:rStyle w:val="a7"/>
          <w:rFonts w:cs="Arial"/>
          <w:rtl/>
        </w:rPr>
        <w:footnoteReference w:id="2969"/>
      </w:r>
      <w:r>
        <w:rPr>
          <w:rFonts w:cs="Arial" w:hint="cs"/>
          <w:rtl/>
        </w:rPr>
        <w:t>.</w:t>
      </w:r>
    </w:p>
    <w:p w14:paraId="1F21B952"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BCF30EA" w14:textId="77777777" w:rsidR="00392DBB" w:rsidRDefault="00392DBB" w:rsidP="00392DBB">
      <w:pPr>
        <w:rPr>
          <w:rtl/>
        </w:rPr>
      </w:pPr>
      <w:r>
        <w:rPr>
          <w:rFonts w:cs="Arial"/>
          <w:rtl/>
        </w:rPr>
        <w:t xml:space="preserve">הנוהגים שהאשה המכנסת קרקע לבעלה כותבת לו שטר מתנה והוא כותב לה שטר חוב שתגבנו כל זמן שתרצה, ואין מזכירין באותו שטר הקרקע שנתנה לו, אין לאותה קרקע דין נכסי צאן ברזל, אלא הרי הוא כשאר נכסיו. </w:t>
      </w:r>
    </w:p>
    <w:p w14:paraId="06946EB5" w14:textId="77777777" w:rsidR="00392DBB" w:rsidRDefault="00392DBB" w:rsidP="00392DBB">
      <w:pPr>
        <w:rPr>
          <w:rtl/>
        </w:rPr>
      </w:pPr>
    </w:p>
    <w:p w14:paraId="0767C63C" w14:textId="77777777" w:rsidR="00392DBB" w:rsidRDefault="00392DBB" w:rsidP="000F64D0">
      <w:pPr>
        <w:pStyle w:val="2"/>
        <w:rPr>
          <w:rtl/>
        </w:rPr>
      </w:pPr>
      <w:r>
        <w:rPr>
          <w:rtl/>
        </w:rPr>
        <w:t>סעיף יג</w:t>
      </w:r>
      <w:r>
        <w:rPr>
          <w:rFonts w:hint="cs"/>
          <w:rtl/>
        </w:rPr>
        <w:t>:</w:t>
      </w:r>
      <w:r w:rsidRPr="00853275">
        <w:rPr>
          <w:rtl/>
        </w:rPr>
        <w:t xml:space="preserve"> </w:t>
      </w:r>
      <w:r>
        <w:rPr>
          <w:rtl/>
        </w:rPr>
        <w:t xml:space="preserve">הבעל אומר </w:t>
      </w:r>
      <w:r>
        <w:rPr>
          <w:rFonts w:hint="cs"/>
          <w:rtl/>
        </w:rPr>
        <w:t>ש</w:t>
      </w:r>
      <w:r>
        <w:rPr>
          <w:rtl/>
        </w:rPr>
        <w:t>היא מתה תחלה ואח</w:t>
      </w:r>
      <w:r>
        <w:rPr>
          <w:rFonts w:hint="cs"/>
          <w:rtl/>
        </w:rPr>
        <w:t>"כ</w:t>
      </w:r>
      <w:r>
        <w:rPr>
          <w:rtl/>
        </w:rPr>
        <w:t xml:space="preserve"> הבן, ויורשיה אומרים</w:t>
      </w:r>
      <w:r>
        <w:rPr>
          <w:rFonts w:hint="cs"/>
          <w:rtl/>
        </w:rPr>
        <w:t xml:space="preserve"> להפך.</w:t>
      </w:r>
    </w:p>
    <w:p w14:paraId="332CB348" w14:textId="77777777" w:rsidR="00392DBB" w:rsidRPr="00853275" w:rsidRDefault="00392DBB" w:rsidP="00392DBB">
      <w:pPr>
        <w:rPr>
          <w:u w:val="single"/>
          <w:rtl/>
        </w:rPr>
      </w:pPr>
      <w:r w:rsidRPr="00853275">
        <w:rPr>
          <w:rFonts w:cs="Arial"/>
          <w:u w:val="single"/>
          <w:rtl/>
        </w:rPr>
        <w:t xml:space="preserve">הבעל אומר </w:t>
      </w:r>
      <w:r w:rsidRPr="00853275">
        <w:rPr>
          <w:rFonts w:cs="Arial" w:hint="cs"/>
          <w:u w:val="single"/>
          <w:rtl/>
        </w:rPr>
        <w:t>ש</w:t>
      </w:r>
      <w:r w:rsidRPr="00853275">
        <w:rPr>
          <w:rFonts w:cs="Arial"/>
          <w:u w:val="single"/>
          <w:rtl/>
        </w:rPr>
        <w:t>היא מתה תחלה ואח</w:t>
      </w:r>
      <w:r w:rsidRPr="00853275">
        <w:rPr>
          <w:rFonts w:cs="Arial" w:hint="cs"/>
          <w:u w:val="single"/>
          <w:rtl/>
        </w:rPr>
        <w:t>"כ</w:t>
      </w:r>
      <w:r w:rsidRPr="00853275">
        <w:rPr>
          <w:rFonts w:cs="Arial"/>
          <w:u w:val="single"/>
          <w:rtl/>
        </w:rPr>
        <w:t xml:space="preserve"> הבן, ויורשיה</w:t>
      </w:r>
      <w:r w:rsidRPr="00DC5EB9">
        <w:rPr>
          <w:rFonts w:cs="Arial"/>
          <w:sz w:val="16"/>
          <w:szCs w:val="16"/>
          <w:u w:val="single"/>
          <w:rtl/>
        </w:rPr>
        <w:t xml:space="preserve"> </w:t>
      </w:r>
      <w:r w:rsidRPr="00DC5EB9">
        <w:rPr>
          <w:rFonts w:cs="Arial" w:hint="cs"/>
          <w:sz w:val="16"/>
          <w:szCs w:val="16"/>
          <w:u w:val="single"/>
          <w:rtl/>
        </w:rPr>
        <w:t>(מכח התקנה)</w:t>
      </w:r>
      <w:r>
        <w:rPr>
          <w:rFonts w:cs="Arial" w:hint="cs"/>
          <w:u w:val="single"/>
          <w:rtl/>
        </w:rPr>
        <w:t xml:space="preserve"> </w:t>
      </w:r>
      <w:r w:rsidRPr="00853275">
        <w:rPr>
          <w:rFonts w:cs="Arial"/>
          <w:u w:val="single"/>
          <w:rtl/>
        </w:rPr>
        <w:t>אומרים</w:t>
      </w:r>
      <w:r w:rsidRPr="00853275">
        <w:rPr>
          <w:rFonts w:cs="Arial" w:hint="cs"/>
          <w:u w:val="single"/>
          <w:rtl/>
        </w:rPr>
        <w:t xml:space="preserve"> להפך</w:t>
      </w:r>
      <w:r w:rsidRPr="00853275">
        <w:rPr>
          <w:rFonts w:hint="cs"/>
          <w:u w:val="single"/>
          <w:rtl/>
        </w:rPr>
        <w:t>:</w:t>
      </w:r>
    </w:p>
    <w:p w14:paraId="54E68F92" w14:textId="1B83CBE9" w:rsidR="00392DBB" w:rsidRPr="00853275" w:rsidRDefault="00392DBB" w:rsidP="009000E3">
      <w:pPr>
        <w:pStyle w:val="ab"/>
        <w:numPr>
          <w:ilvl w:val="0"/>
          <w:numId w:val="72"/>
        </w:numPr>
      </w:pPr>
      <w:r w:rsidRPr="00236A20">
        <w:rPr>
          <w:rFonts w:cs="Arial" w:hint="cs"/>
          <w:rtl/>
        </w:rPr>
        <w:t xml:space="preserve">רא"ש </w:t>
      </w:r>
      <w:r w:rsidRPr="00236A20">
        <w:rPr>
          <w:rFonts w:cs="Arial" w:hint="cs"/>
          <w:sz w:val="16"/>
          <w:szCs w:val="16"/>
          <w:rtl/>
        </w:rPr>
        <w:t xml:space="preserve">(כלל </w:t>
      </w:r>
      <w:r>
        <w:rPr>
          <w:rFonts w:cs="Arial" w:hint="cs"/>
          <w:sz w:val="16"/>
          <w:szCs w:val="16"/>
          <w:rtl/>
        </w:rPr>
        <w:t>נה סי' ה</w:t>
      </w:r>
      <w:r w:rsidRPr="00236A20">
        <w:rPr>
          <w:rFonts w:cs="Arial" w:hint="cs"/>
          <w:sz w:val="16"/>
          <w:szCs w:val="16"/>
          <w:rtl/>
        </w:rPr>
        <w:t xml:space="preserve">) </w:t>
      </w:r>
      <w:r w:rsidRPr="00236A20">
        <w:rPr>
          <w:rFonts w:cs="Arial" w:hint="cs"/>
          <w:rtl/>
        </w:rPr>
        <w:t xml:space="preserve">וטור- </w:t>
      </w:r>
      <w:r>
        <w:rPr>
          <w:rFonts w:cs="Arial"/>
          <w:rtl/>
        </w:rPr>
        <w:t>וששאלת ראובן הוציא שטר נדונית אחותו שהיתה אשת שמעון ומתה</w:t>
      </w:r>
      <w:r>
        <w:rPr>
          <w:rFonts w:cs="Arial" w:hint="cs"/>
          <w:rtl/>
        </w:rPr>
        <w:t>,</w:t>
      </w:r>
      <w:r>
        <w:rPr>
          <w:rFonts w:cs="Arial"/>
          <w:rtl/>
        </w:rPr>
        <w:t xml:space="preserve"> ותובע חציה לפי התקנה שהוא יורש אחותו</w:t>
      </w:r>
      <w:r>
        <w:rPr>
          <w:rFonts w:cs="Arial" w:hint="cs"/>
          <w:rtl/>
        </w:rPr>
        <w:t>.</w:t>
      </w:r>
      <w:r>
        <w:rPr>
          <w:rFonts w:cs="Arial"/>
          <w:rtl/>
        </w:rPr>
        <w:t xml:space="preserve"> ושמעון אומר הניחה בן וחיה אחריה ימים רבים והוא יורשה ואח"כ מת ואני יורש בני</w:t>
      </w:r>
      <w:r>
        <w:rPr>
          <w:rFonts w:cs="Arial" w:hint="cs"/>
          <w:rtl/>
        </w:rPr>
        <w:t>.</w:t>
      </w:r>
      <w:r>
        <w:rPr>
          <w:rFonts w:cs="Arial"/>
          <w:rtl/>
        </w:rPr>
        <w:t xml:space="preserve"> וראובן אומר הבן מת תחילה</w:t>
      </w:r>
      <w:r>
        <w:rPr>
          <w:rFonts w:cs="Arial" w:hint="cs"/>
          <w:rtl/>
        </w:rPr>
        <w:t xml:space="preserve">.  </w:t>
      </w:r>
      <w:r w:rsidR="00FE210D">
        <w:rPr>
          <w:rFonts w:cs="Arial"/>
          <w:rtl/>
        </w:rPr>
        <w:t xml:space="preserve">   תשובה:</w:t>
      </w:r>
      <w:r>
        <w:rPr>
          <w:rFonts w:cs="Arial"/>
          <w:rtl/>
        </w:rPr>
        <w:t xml:space="preserve"> עליו להביא ראיה</w:t>
      </w:r>
      <w:r>
        <w:rPr>
          <w:rFonts w:cs="Arial" w:hint="cs"/>
          <w:rtl/>
        </w:rPr>
        <w:t>.</w:t>
      </w:r>
      <w:r w:rsidRPr="00853275">
        <w:rPr>
          <w:rFonts w:hint="cs"/>
          <w:color w:val="E36C0A" w:themeColor="accent6" w:themeShade="BF"/>
          <w:rtl/>
        </w:rPr>
        <w:t xml:space="preserve"> </w:t>
      </w:r>
      <w:r w:rsidRPr="00797BAD">
        <w:rPr>
          <w:rFonts w:hint="cs"/>
          <w:color w:val="E36C0A" w:themeColor="accent6" w:themeShade="BF"/>
          <w:rtl/>
        </w:rPr>
        <w:t>(וכ"פ בשו"ע)</w:t>
      </w:r>
    </w:p>
    <w:p w14:paraId="2C1EB9A5" w14:textId="77777777" w:rsidR="00392DBB" w:rsidRPr="00853275" w:rsidRDefault="00392DBB" w:rsidP="00392DBB">
      <w:pPr>
        <w:rPr>
          <w:u w:val="single"/>
          <w:rtl/>
        </w:rPr>
      </w:pPr>
      <w:r>
        <w:rPr>
          <w:rFonts w:hint="cs"/>
          <w:u w:val="single"/>
          <w:rtl/>
        </w:rPr>
        <w:t>שמעון חייב לראובן, ונשא שמעון אשה, ופסקה להכניס לו נדוניא, ולא היה לה, אז עשה אחיה שטר משכונא על ביתו:</w:t>
      </w:r>
    </w:p>
    <w:p w14:paraId="31C4AE1B" w14:textId="22D9620F" w:rsidR="00392DBB" w:rsidRPr="005A54C2" w:rsidRDefault="00392DBB" w:rsidP="009000E3">
      <w:pPr>
        <w:pStyle w:val="ab"/>
        <w:numPr>
          <w:ilvl w:val="0"/>
          <w:numId w:val="72"/>
        </w:numPr>
      </w:pPr>
      <w:r w:rsidRPr="00236A20">
        <w:rPr>
          <w:rFonts w:cs="Arial" w:hint="cs"/>
          <w:rtl/>
        </w:rPr>
        <w:t xml:space="preserve">רא"ש </w:t>
      </w:r>
      <w:r w:rsidRPr="00236A20">
        <w:rPr>
          <w:rFonts w:cs="Arial" w:hint="cs"/>
          <w:sz w:val="16"/>
          <w:szCs w:val="16"/>
          <w:rtl/>
        </w:rPr>
        <w:t xml:space="preserve">(כלל </w:t>
      </w:r>
      <w:r>
        <w:rPr>
          <w:rFonts w:cs="Arial" w:hint="cs"/>
          <w:sz w:val="16"/>
          <w:szCs w:val="16"/>
          <w:rtl/>
        </w:rPr>
        <w:t>לח סי' ב</w:t>
      </w:r>
      <w:r w:rsidRPr="00236A20">
        <w:rPr>
          <w:rFonts w:cs="Arial" w:hint="cs"/>
          <w:sz w:val="16"/>
          <w:szCs w:val="16"/>
          <w:rtl/>
        </w:rPr>
        <w:t xml:space="preserve">) </w:t>
      </w:r>
      <w:r w:rsidRPr="00236A20">
        <w:rPr>
          <w:rFonts w:cs="Arial" w:hint="cs"/>
          <w:rtl/>
        </w:rPr>
        <w:t xml:space="preserve">וטור- </w:t>
      </w:r>
      <w:r w:rsidRPr="00677F4D">
        <w:rPr>
          <w:rFonts w:cs="Arial"/>
          <w:rtl/>
        </w:rPr>
        <w:t>שאלה ראובן שנתחזקו לו שטרי חובות על שמעון</w:t>
      </w:r>
      <w:r>
        <w:rPr>
          <w:rFonts w:cs="Arial" w:hint="cs"/>
          <w:rtl/>
        </w:rPr>
        <w:t>.</w:t>
      </w:r>
      <w:r w:rsidRPr="00677F4D">
        <w:rPr>
          <w:rFonts w:cs="Arial"/>
          <w:rtl/>
        </w:rPr>
        <w:t xml:space="preserve"> ואח</w:t>
      </w:r>
      <w:r>
        <w:rPr>
          <w:rFonts w:cs="Arial" w:hint="cs"/>
          <w:rtl/>
        </w:rPr>
        <w:t>"</w:t>
      </w:r>
      <w:r w:rsidRPr="00677F4D">
        <w:rPr>
          <w:rFonts w:cs="Arial"/>
          <w:rtl/>
        </w:rPr>
        <w:t>כ נשא שמעון אשה ונתחזקה עליו שטר נדוניא</w:t>
      </w:r>
      <w:r>
        <w:rPr>
          <w:rFonts w:cs="Arial" w:hint="cs"/>
          <w:rtl/>
        </w:rPr>
        <w:t>.</w:t>
      </w:r>
      <w:r w:rsidRPr="00677F4D">
        <w:rPr>
          <w:rFonts w:cs="Arial"/>
          <w:rtl/>
        </w:rPr>
        <w:t xml:space="preserve"> ובעת שנשא אשתו זאת עשה לו אחד מגיסיו שטר משכונה על ביתו בדמי הנדוניא שהיה לו לקבל ונשאר שטר המשכון ביד הסופר. לאחר ימים חלה שמעון ובעת חליו צוה לסופר שיתן השטר לאשתו לאחר פטירתו והוא נפטר מתוך חליו ולא נתרפא ממנו ואחר פטירתו נתן הסופר השטר לאלמנה כאשר צוהו. ועתה בא ראובן לתבוע לב"ד שיגבו לו ממשכונה זאת קצת החובות שיש לו על שמעון, והאלמנה טוענת כיון שהשטר בא לידי בצואתו קניתי המשכונה אע</w:t>
      </w:r>
      <w:r>
        <w:rPr>
          <w:rFonts w:cs="Arial" w:hint="cs"/>
          <w:rtl/>
        </w:rPr>
        <w:t>"</w:t>
      </w:r>
      <w:r w:rsidRPr="00677F4D">
        <w:rPr>
          <w:rFonts w:cs="Arial"/>
          <w:rtl/>
        </w:rPr>
        <w:t>פ שקדמו חובותיך</w:t>
      </w:r>
      <w:r>
        <w:rPr>
          <w:rFonts w:cs="Arial" w:hint="cs"/>
          <w:rtl/>
        </w:rPr>
        <w:t>.</w:t>
      </w:r>
      <w:r>
        <w:rPr>
          <w:rFonts w:cs="Arial"/>
          <w:rtl/>
        </w:rPr>
        <w:t xml:space="preserve"> </w:t>
      </w:r>
      <w:r>
        <w:rPr>
          <w:rFonts w:cs="Arial" w:hint="cs"/>
          <w:rtl/>
        </w:rPr>
        <w:t xml:space="preserve">   </w:t>
      </w:r>
      <w:r w:rsidR="00FE210D">
        <w:rPr>
          <w:rFonts w:cs="Arial"/>
          <w:rtl/>
        </w:rPr>
        <w:t xml:space="preserve">   תשובה:</w:t>
      </w:r>
      <w:r>
        <w:rPr>
          <w:rFonts w:cs="Arial"/>
          <w:rtl/>
        </w:rPr>
        <w:t xml:space="preserve"> אין מגבין לו ממנה דאי חשבינן להך קרקע שהיה ממושכן לשמעון בשביל מה שפסקה להכניס לו כאילו הכניסה לבעלה בנדוניתה</w:t>
      </w:r>
      <w:r>
        <w:rPr>
          <w:rFonts w:cs="Arial" w:hint="cs"/>
          <w:rtl/>
        </w:rPr>
        <w:t>,</w:t>
      </w:r>
      <w:r>
        <w:rPr>
          <w:rFonts w:cs="Arial"/>
          <w:rtl/>
        </w:rPr>
        <w:t xml:space="preserve"> הרי לא חל שיעבוד עליו כדרך שלא יוכל למוכרה</w:t>
      </w:r>
      <w:r>
        <w:rPr>
          <w:rFonts w:cs="Arial" w:hint="cs"/>
          <w:rtl/>
        </w:rPr>
        <w:t>.</w:t>
      </w:r>
      <w:r>
        <w:rPr>
          <w:rFonts w:cs="Arial"/>
          <w:rtl/>
        </w:rPr>
        <w:t xml:space="preserve"> ואי לא חשבינן ליה כאילו הכניסתו בנדוניתה כיון שאינו אלא משכון בעלה ולא שייך למימר שתיטול האשה הקרקע משום שבח בית אביה כי לא הכניסה לו הקרקע אלא משכון בעלמא בשביל נדוניתה הילכך ראובן שהיה חובו מוקדם יקח הקרקע בחובו</w:t>
      </w:r>
      <w:r>
        <w:rPr>
          <w:rFonts w:cs="Arial" w:hint="cs"/>
          <w:rtl/>
        </w:rPr>
        <w:t>,</w:t>
      </w:r>
      <w:r>
        <w:rPr>
          <w:rFonts w:cs="Arial"/>
          <w:rtl/>
        </w:rPr>
        <w:t xml:space="preserve"> הא ליתא</w:t>
      </w:r>
      <w:r>
        <w:rPr>
          <w:rFonts w:cs="Arial" w:hint="cs"/>
          <w:rtl/>
        </w:rPr>
        <w:t>,</w:t>
      </w:r>
      <w:r>
        <w:rPr>
          <w:rFonts w:cs="Arial"/>
          <w:rtl/>
        </w:rPr>
        <w:t xml:space="preserve"> שהקרקע אינו אלא שיעבוד בעלמא בשביל הנדוניא שהיא חייבת לו</w:t>
      </w:r>
      <w:r>
        <w:rPr>
          <w:rFonts w:cs="Arial" w:hint="cs"/>
          <w:rtl/>
        </w:rPr>
        <w:t>,</w:t>
      </w:r>
      <w:r>
        <w:rPr>
          <w:rFonts w:cs="Arial"/>
          <w:rtl/>
        </w:rPr>
        <w:t xml:space="preserve"> והבעל מחל לאשתו אותו החוב שהיתה חייבת לו כיון שצוה להחזיר לו השטר</w:t>
      </w:r>
      <w:r>
        <w:rPr>
          <w:rFonts w:cs="Arial" w:hint="cs"/>
          <w:rtl/>
        </w:rPr>
        <w:t>,</w:t>
      </w:r>
      <w:r>
        <w:rPr>
          <w:rFonts w:cs="Arial"/>
          <w:rtl/>
        </w:rPr>
        <w:t xml:space="preserve"> וכיון שמחל החוב ממילא פקע השיעבוד שהיה לו לבעל על הקרקע</w:t>
      </w:r>
      <w:r>
        <w:rPr>
          <w:rFonts w:cs="Arial" w:hint="cs"/>
          <w:rtl/>
        </w:rPr>
        <w:t>.</w:t>
      </w:r>
      <w:r>
        <w:rPr>
          <w:rFonts w:cs="Arial"/>
          <w:rtl/>
        </w:rPr>
        <w:t xml:space="preserve"> ועוד אפילו אם לא צוה להחזיר שטר המשכונא היה הדין עמו כמו שכתבתי שהרי האשה היתה חייבת לבעלה נדוניא שפסקה לו ומשכנה הקרקע בשביל אותו החוב וגם הבעל היה חייב לאשה נדוניתה אם יגרשנה או ימות וכשמת הבעל עוד הנדוניא ביד האשה הרי היא נפרעת החוב שהיה חייב הבעל ממעות שבידה שהיא חייבת אותם לבעל וכיון שהיא נפרעת מאותו החוב הרי פרעה לבעלה החוב שהיתה חייבת לו ונפטר המשכון ששעבדה לו בעבור החוב</w:t>
      </w:r>
      <w:r>
        <w:rPr>
          <w:rFonts w:cs="Arial" w:hint="cs"/>
          <w:rtl/>
        </w:rPr>
        <w:t>.</w:t>
      </w:r>
      <w:r>
        <w:rPr>
          <w:rFonts w:cs="Arial"/>
          <w:rtl/>
        </w:rPr>
        <w:t xml:space="preserve"> </w:t>
      </w:r>
    </w:p>
    <w:p w14:paraId="6158205E"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0CDE98D5" w14:textId="77777777" w:rsidR="00392DBB" w:rsidRDefault="00392DBB" w:rsidP="00392DBB">
      <w:pPr>
        <w:rPr>
          <w:rtl/>
        </w:rPr>
      </w:pPr>
      <w:r>
        <w:rPr>
          <w:rFonts w:cs="Arial"/>
          <w:rtl/>
        </w:rPr>
        <w:t xml:space="preserve">הבעל אומר: היא מתה תחלה ואחר כך הבן, ויורשיה אומרים: לא כי אלא הבן מת תחלה, עליהם להביא ראיה. </w:t>
      </w:r>
    </w:p>
    <w:p w14:paraId="5299DF52" w14:textId="77777777" w:rsidR="00392DBB" w:rsidRDefault="00392DBB" w:rsidP="00392DBB">
      <w:pPr>
        <w:rPr>
          <w:rtl/>
        </w:rPr>
      </w:pPr>
    </w:p>
    <w:p w14:paraId="7419329D" w14:textId="77777777" w:rsidR="00392DBB" w:rsidRDefault="00392DBB" w:rsidP="000F64D0">
      <w:pPr>
        <w:pStyle w:val="2"/>
        <w:rPr>
          <w:rtl/>
        </w:rPr>
      </w:pPr>
      <w:r>
        <w:rPr>
          <w:rtl/>
        </w:rPr>
        <w:lastRenderedPageBreak/>
        <w:t>סעיף יד</w:t>
      </w:r>
      <w:r>
        <w:rPr>
          <w:rFonts w:hint="cs"/>
          <w:rtl/>
        </w:rPr>
        <w:t>: מי ש</w:t>
      </w:r>
      <w:r>
        <w:rPr>
          <w:rtl/>
        </w:rPr>
        <w:t>מתנה בכתובה שלא ישא אשה אחרת עליה</w:t>
      </w:r>
      <w:r>
        <w:rPr>
          <w:rFonts w:hint="cs"/>
          <w:rtl/>
        </w:rPr>
        <w:t>.</w:t>
      </w:r>
    </w:p>
    <w:p w14:paraId="05B7AB79" w14:textId="33CD918A" w:rsidR="00392DBB" w:rsidRPr="00853275" w:rsidRDefault="00392DBB" w:rsidP="00392DBB">
      <w:pPr>
        <w:rPr>
          <w:u w:val="single"/>
          <w:rtl/>
        </w:rPr>
      </w:pPr>
      <w:r>
        <w:rPr>
          <w:rFonts w:cs="Arial" w:hint="cs"/>
          <w:u w:val="single"/>
          <w:rtl/>
        </w:rPr>
        <w:t>מי ש</w:t>
      </w:r>
      <w:r w:rsidRPr="00853275">
        <w:rPr>
          <w:rFonts w:cs="Arial"/>
          <w:u w:val="single"/>
          <w:rtl/>
        </w:rPr>
        <w:t>מתנה בכתובה שלא ישא אשה אחרת עליה</w:t>
      </w:r>
      <w:r>
        <w:rPr>
          <w:rFonts w:cs="Arial" w:hint="cs"/>
          <w:u w:val="single"/>
          <w:rtl/>
        </w:rPr>
        <w:t xml:space="preserve"> </w:t>
      </w:r>
      <w:r w:rsidR="00F97626">
        <w:rPr>
          <w:rFonts w:cs="Arial"/>
          <w:u w:val="single"/>
          <w:rtl/>
        </w:rPr>
        <w:t>-</w:t>
      </w:r>
      <w:r>
        <w:rPr>
          <w:rFonts w:cs="Arial" w:hint="cs"/>
          <w:u w:val="single"/>
          <w:rtl/>
        </w:rPr>
        <w:t xml:space="preserve"> האם הוי כמתנה על מה שכתוב בתורה</w:t>
      </w:r>
      <w:r w:rsidRPr="00853275">
        <w:rPr>
          <w:rFonts w:hint="cs"/>
          <w:u w:val="single"/>
          <w:rtl/>
        </w:rPr>
        <w:t>:</w:t>
      </w:r>
    </w:p>
    <w:p w14:paraId="7239ECF0" w14:textId="245B2F08" w:rsidR="00392DBB" w:rsidRDefault="00392DBB" w:rsidP="009000E3">
      <w:pPr>
        <w:pStyle w:val="ab"/>
        <w:numPr>
          <w:ilvl w:val="0"/>
          <w:numId w:val="72"/>
        </w:numPr>
      </w:pPr>
      <w:r w:rsidRPr="00236A20">
        <w:rPr>
          <w:rFonts w:cs="Arial" w:hint="cs"/>
          <w:rtl/>
        </w:rPr>
        <w:t xml:space="preserve">רא"ש </w:t>
      </w:r>
      <w:r w:rsidRPr="00236A20">
        <w:rPr>
          <w:rFonts w:cs="Arial" w:hint="cs"/>
          <w:sz w:val="16"/>
          <w:szCs w:val="16"/>
          <w:rtl/>
        </w:rPr>
        <w:t xml:space="preserve">(כלל </w:t>
      </w:r>
      <w:r>
        <w:rPr>
          <w:rFonts w:cs="Arial" w:hint="cs"/>
          <w:sz w:val="16"/>
          <w:szCs w:val="16"/>
          <w:rtl/>
        </w:rPr>
        <w:t>לג סי' א</w:t>
      </w:r>
      <w:r w:rsidRPr="00236A20">
        <w:rPr>
          <w:rFonts w:cs="Arial" w:hint="cs"/>
          <w:sz w:val="16"/>
          <w:szCs w:val="16"/>
          <w:rtl/>
        </w:rPr>
        <w:t xml:space="preserve">) </w:t>
      </w:r>
      <w:r w:rsidRPr="00236A20">
        <w:rPr>
          <w:rFonts w:cs="Arial" w:hint="cs"/>
          <w:rtl/>
        </w:rPr>
        <w:t>טור</w:t>
      </w:r>
      <w:r w:rsidR="00132C34">
        <w:rPr>
          <w:rFonts w:cs="Arial" w:hint="cs"/>
          <w:rtl/>
        </w:rPr>
        <w:t xml:space="preserve"> ו</w:t>
      </w:r>
      <w:r w:rsidR="00132C34" w:rsidRPr="00ED5A2B">
        <w:rPr>
          <w:rFonts w:cs="Arial"/>
          <w:rtl/>
        </w:rPr>
        <w:t>תשב"ץ</w:t>
      </w:r>
      <w:r w:rsidR="00132C34">
        <w:rPr>
          <w:rStyle w:val="a7"/>
          <w:rFonts w:cs="Arial"/>
          <w:rtl/>
        </w:rPr>
        <w:footnoteReference w:id="2970"/>
      </w:r>
      <w:r w:rsidR="00132C34" w:rsidRPr="00ED5A2B">
        <w:rPr>
          <w:rFonts w:cs="Arial"/>
          <w:rtl/>
        </w:rPr>
        <w:t xml:space="preserve"> </w:t>
      </w:r>
      <w:r w:rsidR="00132C34" w:rsidRPr="00C11087">
        <w:rPr>
          <w:rFonts w:cs="Arial" w:hint="cs"/>
          <w:sz w:val="16"/>
          <w:szCs w:val="16"/>
          <w:rtl/>
        </w:rPr>
        <w:t>(</w:t>
      </w:r>
      <w:r w:rsidR="00132C34" w:rsidRPr="00C11087">
        <w:rPr>
          <w:rFonts w:cs="Arial"/>
          <w:sz w:val="16"/>
          <w:szCs w:val="16"/>
          <w:rtl/>
        </w:rPr>
        <w:t>ח"א סי' צד)</w:t>
      </w:r>
      <w:r w:rsidRPr="00236A20">
        <w:rPr>
          <w:rFonts w:cs="Arial" w:hint="cs"/>
          <w:rtl/>
        </w:rPr>
        <w:t xml:space="preserve">- </w:t>
      </w:r>
      <w:r>
        <w:rPr>
          <w:rFonts w:cs="Arial"/>
          <w:rtl/>
        </w:rPr>
        <w:t xml:space="preserve">ששאלת מה שנוהגים לכתוב בכתובה </w:t>
      </w:r>
      <w:r>
        <w:rPr>
          <w:rFonts w:cs="Arial" w:hint="cs"/>
          <w:rtl/>
        </w:rPr>
        <w:t>'</w:t>
      </w:r>
      <w:r>
        <w:rPr>
          <w:rFonts w:cs="Arial"/>
          <w:rtl/>
        </w:rPr>
        <w:t>ע</w:t>
      </w:r>
      <w:r>
        <w:rPr>
          <w:rFonts w:cs="Arial" w:hint="cs"/>
          <w:rtl/>
        </w:rPr>
        <w:t xml:space="preserve">ל </w:t>
      </w:r>
      <w:r>
        <w:rPr>
          <w:rFonts w:cs="Arial"/>
          <w:rtl/>
        </w:rPr>
        <w:t>מ</w:t>
      </w:r>
      <w:r>
        <w:rPr>
          <w:rFonts w:cs="Arial" w:hint="cs"/>
          <w:rtl/>
        </w:rPr>
        <w:t>נת</w:t>
      </w:r>
      <w:r>
        <w:rPr>
          <w:rFonts w:cs="Arial"/>
          <w:rtl/>
        </w:rPr>
        <w:t xml:space="preserve"> שלא ישא אשה אחרת</w:t>
      </w:r>
      <w:r>
        <w:rPr>
          <w:rFonts w:cs="Arial" w:hint="cs"/>
          <w:rtl/>
        </w:rPr>
        <w:t>',</w:t>
      </w:r>
      <w:r>
        <w:rPr>
          <w:rFonts w:cs="Arial"/>
          <w:rtl/>
        </w:rPr>
        <w:t xml:space="preserve"> אי הוי כמתנה ע"מ שכתוב בתורה</w:t>
      </w:r>
      <w:r>
        <w:rPr>
          <w:rFonts w:cs="Arial" w:hint="cs"/>
          <w:rtl/>
        </w:rPr>
        <w:t>,</w:t>
      </w:r>
      <w:r>
        <w:rPr>
          <w:rFonts w:cs="Arial"/>
          <w:rtl/>
        </w:rPr>
        <w:t xml:space="preserve"> שמא תשהה עמו י' שנים ולא תלד ואז הוא מחויב לישא אחרת</w:t>
      </w:r>
      <w:r>
        <w:rPr>
          <w:rFonts w:cs="Arial" w:hint="cs"/>
          <w:rtl/>
        </w:rPr>
        <w:t>,</w:t>
      </w:r>
      <w:r>
        <w:rPr>
          <w:rFonts w:cs="Arial"/>
          <w:rtl/>
        </w:rPr>
        <w:t xml:space="preserve"> והרי היא כמתנה על מה שכתוב בתורה</w:t>
      </w:r>
      <w:r>
        <w:rPr>
          <w:rFonts w:cs="Arial" w:hint="cs"/>
          <w:rtl/>
        </w:rPr>
        <w:t xml:space="preserve">. </w:t>
      </w:r>
      <w:r w:rsidR="00FE210D">
        <w:rPr>
          <w:rFonts w:cs="Arial"/>
          <w:rtl/>
        </w:rPr>
        <w:t xml:space="preserve">     תשובה:</w:t>
      </w:r>
      <w:r>
        <w:rPr>
          <w:rFonts w:cs="Arial"/>
          <w:rtl/>
        </w:rPr>
        <w:t xml:space="preserve"> דע דלא הוי מתנה על מה שכתוב בתורה</w:t>
      </w:r>
      <w:r>
        <w:rPr>
          <w:rFonts w:cs="Arial" w:hint="cs"/>
          <w:rtl/>
        </w:rPr>
        <w:t>,</w:t>
      </w:r>
      <w:r>
        <w:rPr>
          <w:rFonts w:cs="Arial"/>
          <w:rtl/>
        </w:rPr>
        <w:t xml:space="preserve"> דאף אם שהתה עמו עשר שנים ולא ילדה ורוצה לישא אשה אחרת צריך לגרש הראשונה וליתן לה כתובה</w:t>
      </w:r>
      <w:r>
        <w:rPr>
          <w:rFonts w:cs="Arial" w:hint="cs"/>
          <w:rtl/>
        </w:rPr>
        <w:t>.</w:t>
      </w:r>
      <w:r>
        <w:rPr>
          <w:rFonts w:cs="Arial"/>
          <w:rtl/>
        </w:rPr>
        <w:t xml:space="preserve"> וכן נמי המנהג שנוהגין וכותבין בכתובה על מנת שלא לישא אשה אחרת</w:t>
      </w:r>
      <w:r>
        <w:rPr>
          <w:rFonts w:cs="Arial" w:hint="cs"/>
          <w:rtl/>
        </w:rPr>
        <w:t>,</w:t>
      </w:r>
      <w:r>
        <w:rPr>
          <w:rFonts w:cs="Arial"/>
          <w:rtl/>
        </w:rPr>
        <w:t xml:space="preserve"> ואם יעבור וישא אשה אחרת שיפטרנה בגט ויתן לה כתובה</w:t>
      </w:r>
      <w:r>
        <w:rPr>
          <w:rFonts w:cs="Arial" w:hint="cs"/>
          <w:rtl/>
        </w:rPr>
        <w:t>.</w:t>
      </w:r>
      <w:r>
        <w:rPr>
          <w:rFonts w:cs="Arial"/>
          <w:rtl/>
        </w:rPr>
        <w:t xml:space="preserve"> </w:t>
      </w:r>
      <w:r w:rsidRPr="00797BAD">
        <w:rPr>
          <w:rFonts w:hint="cs"/>
          <w:color w:val="E36C0A" w:themeColor="accent6" w:themeShade="BF"/>
          <w:rtl/>
        </w:rPr>
        <w:t>(וכ"פ בשו"ע)</w:t>
      </w:r>
    </w:p>
    <w:p w14:paraId="3343A4EE" w14:textId="77777777" w:rsidR="00392DBB" w:rsidRPr="00C11087" w:rsidRDefault="00392DBB" w:rsidP="00392DBB">
      <w:pPr>
        <w:ind w:left="360"/>
        <w:rPr>
          <w:u w:val="dotted"/>
        </w:rPr>
      </w:pPr>
      <w:r w:rsidRPr="00C11087">
        <w:rPr>
          <w:rFonts w:hint="cs"/>
          <w:u w:val="dotted"/>
          <w:rtl/>
        </w:rPr>
        <w:t>ומה הדין אם לא התנה כן בשעת נישואין אלא לאחר ששהתה עמו י' שנים ולא ילדה:</w:t>
      </w:r>
    </w:p>
    <w:p w14:paraId="451B0E1C" w14:textId="4B97C154" w:rsidR="00392DBB" w:rsidRDefault="00392DBB" w:rsidP="009000E3">
      <w:pPr>
        <w:pStyle w:val="ab"/>
        <w:numPr>
          <w:ilvl w:val="0"/>
          <w:numId w:val="72"/>
        </w:numPr>
      </w:pPr>
      <w:r w:rsidRPr="00236A20">
        <w:rPr>
          <w:rFonts w:cs="Arial" w:hint="cs"/>
          <w:rtl/>
        </w:rPr>
        <w:t xml:space="preserve">רא"ש </w:t>
      </w:r>
      <w:r w:rsidRPr="00236A20">
        <w:rPr>
          <w:rFonts w:cs="Arial" w:hint="cs"/>
          <w:sz w:val="16"/>
          <w:szCs w:val="16"/>
          <w:rtl/>
        </w:rPr>
        <w:t xml:space="preserve">(כלל </w:t>
      </w:r>
      <w:r>
        <w:rPr>
          <w:rFonts w:cs="Arial" w:hint="cs"/>
          <w:sz w:val="16"/>
          <w:szCs w:val="16"/>
          <w:rtl/>
        </w:rPr>
        <w:t>לג סי' א</w:t>
      </w:r>
      <w:r w:rsidRPr="00236A20">
        <w:rPr>
          <w:rFonts w:cs="Arial" w:hint="cs"/>
          <w:sz w:val="16"/>
          <w:szCs w:val="16"/>
          <w:rtl/>
        </w:rPr>
        <w:t xml:space="preserve">) </w:t>
      </w:r>
      <w:r w:rsidRPr="00236A20">
        <w:rPr>
          <w:rFonts w:cs="Arial" w:hint="cs"/>
          <w:rtl/>
        </w:rPr>
        <w:t xml:space="preserve">וטור- </w:t>
      </w:r>
      <w:r>
        <w:rPr>
          <w:rFonts w:cs="Arial"/>
          <w:rtl/>
        </w:rPr>
        <w:t>וששאלת אם שהתה עמו י' שנים ולא ילדה ולא התנה עמו בשעת נישואין</w:t>
      </w:r>
      <w:r w:rsidR="005B1029">
        <w:rPr>
          <w:rFonts w:cs="Arial" w:hint="cs"/>
          <w:rtl/>
        </w:rPr>
        <w:t>,</w:t>
      </w:r>
      <w:r>
        <w:rPr>
          <w:rFonts w:cs="Arial"/>
          <w:rtl/>
        </w:rPr>
        <w:t xml:space="preserve"> ועתה התנה בקנין שאם ישא אשה אחרת יתחייב לה סכום ידוע אי הוי כמתנה על מה שכתוב בתורה</w:t>
      </w:r>
      <w:r>
        <w:rPr>
          <w:rFonts w:cs="Arial" w:hint="cs"/>
          <w:rtl/>
        </w:rPr>
        <w:t>.</w:t>
      </w:r>
      <w:r>
        <w:rPr>
          <w:rFonts w:cs="Arial"/>
          <w:rtl/>
        </w:rPr>
        <w:t xml:space="preserve"> </w:t>
      </w:r>
      <w:r>
        <w:rPr>
          <w:rFonts w:cs="Arial" w:hint="cs"/>
          <w:rtl/>
        </w:rPr>
        <w:t xml:space="preserve"> </w:t>
      </w:r>
      <w:r w:rsidR="005B1029">
        <w:rPr>
          <w:rFonts w:cs="Arial" w:hint="cs"/>
          <w:rtl/>
        </w:rPr>
        <w:t xml:space="preserve">   </w:t>
      </w:r>
      <w:r>
        <w:rPr>
          <w:rFonts w:cs="Arial" w:hint="cs"/>
          <w:rtl/>
        </w:rPr>
        <w:t xml:space="preserve"> </w:t>
      </w:r>
      <w:r>
        <w:rPr>
          <w:rFonts w:cs="Arial"/>
          <w:rtl/>
        </w:rPr>
        <w:t>תשובה</w:t>
      </w:r>
      <w:r w:rsidR="005B1029">
        <w:rPr>
          <w:rFonts w:cs="Arial" w:hint="cs"/>
          <w:rtl/>
        </w:rPr>
        <w:t>:</w:t>
      </w:r>
      <w:r>
        <w:rPr>
          <w:rFonts w:cs="Arial"/>
          <w:rtl/>
        </w:rPr>
        <w:t xml:space="preserve"> לא הוי כמתנה ע"מ שכתוב בתורה</w:t>
      </w:r>
      <w:r>
        <w:rPr>
          <w:rFonts w:cs="Arial" w:hint="cs"/>
          <w:rtl/>
        </w:rPr>
        <w:t>,</w:t>
      </w:r>
      <w:r>
        <w:rPr>
          <w:rFonts w:cs="Arial"/>
          <w:rtl/>
        </w:rPr>
        <w:t xml:space="preserve"> הוא רוצה ליזוק בנכסיו ויקיים מצותו ויפרע מה שקבל על עצמו</w:t>
      </w:r>
      <w:r>
        <w:rPr>
          <w:rFonts w:cs="Arial" w:hint="cs"/>
          <w:rtl/>
        </w:rPr>
        <w:t>.</w:t>
      </w:r>
      <w:r>
        <w:rPr>
          <w:rFonts w:cs="Arial"/>
          <w:rtl/>
        </w:rPr>
        <w:t xml:space="preserve"> </w:t>
      </w:r>
    </w:p>
    <w:p w14:paraId="39F9253C" w14:textId="19083AE1" w:rsidR="00392DBB" w:rsidRPr="008B303A" w:rsidRDefault="00392DBB" w:rsidP="00392DBB">
      <w:pPr>
        <w:rPr>
          <w:u w:val="single"/>
        </w:rPr>
      </w:pPr>
      <w:r w:rsidRPr="008B303A">
        <w:rPr>
          <w:rFonts w:cs="Arial"/>
          <w:u w:val="single"/>
          <w:rtl/>
        </w:rPr>
        <w:t>כתובה</w:t>
      </w:r>
      <w:r w:rsidRPr="008B303A">
        <w:rPr>
          <w:rFonts w:cs="Arial" w:hint="cs"/>
          <w:u w:val="single"/>
          <w:rtl/>
        </w:rPr>
        <w:t xml:space="preserve"> שכתוב בה למטה</w:t>
      </w:r>
      <w:r w:rsidRPr="008B303A">
        <w:rPr>
          <w:rFonts w:cs="Arial"/>
          <w:u w:val="single"/>
          <w:rtl/>
        </w:rPr>
        <w:t xml:space="preserve"> </w:t>
      </w:r>
      <w:r w:rsidR="005B1029">
        <w:rPr>
          <w:rFonts w:cs="Arial" w:hint="cs"/>
          <w:u w:val="single"/>
          <w:rtl/>
        </w:rPr>
        <w:t>"</w:t>
      </w:r>
      <w:r w:rsidRPr="008B303A">
        <w:rPr>
          <w:rFonts w:cs="Arial"/>
          <w:u w:val="single"/>
          <w:rtl/>
        </w:rPr>
        <w:t>שטר שפלוני החתן נותן לפלונית ממון מנכסיו אגב ד"א קרקע באחריות עליו ועל כל נכסיו</w:t>
      </w:r>
      <w:r w:rsidR="005B1029">
        <w:rPr>
          <w:rFonts w:cs="Arial" w:hint="cs"/>
          <w:u w:val="single"/>
          <w:rtl/>
        </w:rPr>
        <w:t>"</w:t>
      </w:r>
      <w:r w:rsidRPr="008B303A">
        <w:rPr>
          <w:rFonts w:cs="Arial" w:hint="cs"/>
          <w:u w:val="single"/>
          <w:rtl/>
        </w:rPr>
        <w:t>:</w:t>
      </w:r>
    </w:p>
    <w:p w14:paraId="26163934" w14:textId="77777777" w:rsidR="00392DBB" w:rsidRPr="005A54C2" w:rsidRDefault="00392DBB" w:rsidP="009000E3">
      <w:pPr>
        <w:pStyle w:val="ab"/>
        <w:numPr>
          <w:ilvl w:val="0"/>
          <w:numId w:val="72"/>
        </w:numPr>
      </w:pPr>
      <w:r w:rsidRPr="00236A20">
        <w:rPr>
          <w:rFonts w:cs="Arial" w:hint="cs"/>
          <w:rtl/>
        </w:rPr>
        <w:t xml:space="preserve">רא"ש </w:t>
      </w:r>
      <w:r w:rsidRPr="00236A20">
        <w:rPr>
          <w:rFonts w:cs="Arial" w:hint="cs"/>
          <w:sz w:val="16"/>
          <w:szCs w:val="16"/>
          <w:rtl/>
        </w:rPr>
        <w:t xml:space="preserve">(כלל </w:t>
      </w:r>
      <w:r>
        <w:rPr>
          <w:rFonts w:cs="Arial" w:hint="cs"/>
          <w:sz w:val="16"/>
          <w:szCs w:val="16"/>
          <w:rtl/>
        </w:rPr>
        <w:t>לו סי' ח</w:t>
      </w:r>
      <w:r w:rsidRPr="00236A20">
        <w:rPr>
          <w:rFonts w:cs="Arial" w:hint="cs"/>
          <w:sz w:val="16"/>
          <w:szCs w:val="16"/>
          <w:rtl/>
        </w:rPr>
        <w:t xml:space="preserve">) </w:t>
      </w:r>
      <w:r w:rsidRPr="00236A20">
        <w:rPr>
          <w:rFonts w:cs="Arial" w:hint="cs"/>
          <w:rtl/>
        </w:rPr>
        <w:t xml:space="preserve">וטור- </w:t>
      </w:r>
      <w:r w:rsidRPr="00E87AAE">
        <w:rPr>
          <w:rFonts w:cs="Arial"/>
          <w:rtl/>
        </w:rPr>
        <w:t xml:space="preserve">ששאלת שנוהגין לכתוב למטה מן הכתובה </w:t>
      </w:r>
      <w:r>
        <w:rPr>
          <w:rFonts w:cs="Arial" w:hint="cs"/>
          <w:rtl/>
        </w:rPr>
        <w:t>'</w:t>
      </w:r>
      <w:r w:rsidRPr="00E87AAE">
        <w:rPr>
          <w:rFonts w:cs="Arial"/>
          <w:rtl/>
        </w:rPr>
        <w:t>שטר שפלוני החתן נותן לפלונית כך וכך ממון מנכסיו אגב ד"א קרקע באחריות עליו ועל כל נכסיו</w:t>
      </w:r>
      <w:r>
        <w:rPr>
          <w:rFonts w:cs="Arial" w:hint="cs"/>
          <w:rtl/>
        </w:rPr>
        <w:t>'</w:t>
      </w:r>
      <w:r w:rsidRPr="00E87AAE">
        <w:rPr>
          <w:rFonts w:cs="Arial"/>
          <w:rtl/>
        </w:rPr>
        <w:t>, אם נדונית מתנה זו כדין שטר חוב כיון דאית בה אחריות. לא ידעתי במה נסתפקת</w:t>
      </w:r>
      <w:r>
        <w:rPr>
          <w:rFonts w:cs="Arial" w:hint="cs"/>
          <w:rtl/>
        </w:rPr>
        <w:t>,</w:t>
      </w:r>
      <w:r w:rsidRPr="00E87AAE">
        <w:rPr>
          <w:rFonts w:cs="Arial"/>
          <w:rtl/>
        </w:rPr>
        <w:t xml:space="preserve"> למה לא יהא כשאר כל שטר חוב לגבות ממשעבדי, אמנם צריך לדקדק בלשון שרגילין לכתוב אם כותבין </w:t>
      </w:r>
      <w:r>
        <w:rPr>
          <w:rFonts w:cs="Arial" w:hint="cs"/>
          <w:rtl/>
        </w:rPr>
        <w:t>'</w:t>
      </w:r>
      <w:r w:rsidRPr="00E87AAE">
        <w:rPr>
          <w:rFonts w:cs="Arial"/>
          <w:rtl/>
        </w:rPr>
        <w:t>אני נותן לפלוני</w:t>
      </w:r>
      <w:r>
        <w:rPr>
          <w:rFonts w:cs="Arial" w:hint="cs"/>
          <w:rtl/>
        </w:rPr>
        <w:t>ת</w:t>
      </w:r>
      <w:r w:rsidRPr="00E87AAE">
        <w:rPr>
          <w:rFonts w:cs="Arial"/>
          <w:rtl/>
        </w:rPr>
        <w:t xml:space="preserve"> כך וכך מעות אגב קרקע</w:t>
      </w:r>
      <w:r>
        <w:rPr>
          <w:rFonts w:cs="Arial" w:hint="cs"/>
          <w:rtl/>
        </w:rPr>
        <w:t>'</w:t>
      </w:r>
      <w:r w:rsidRPr="00E87AAE">
        <w:rPr>
          <w:rFonts w:cs="Arial"/>
          <w:rtl/>
        </w:rPr>
        <w:t xml:space="preserve"> </w:t>
      </w:r>
      <w:r>
        <w:rPr>
          <w:rFonts w:cs="Arial" w:hint="cs"/>
          <w:rtl/>
        </w:rPr>
        <w:t xml:space="preserve">- </w:t>
      </w:r>
      <w:r w:rsidRPr="00E87AAE">
        <w:rPr>
          <w:rFonts w:cs="Arial"/>
          <w:rtl/>
        </w:rPr>
        <w:t>קונה. ואם בקנין חליפין בלא אגב</w:t>
      </w:r>
      <w:r>
        <w:rPr>
          <w:rFonts w:cs="Arial" w:hint="cs"/>
          <w:rtl/>
        </w:rPr>
        <w:t xml:space="preserve"> -</w:t>
      </w:r>
      <w:r w:rsidRPr="00E87AAE">
        <w:rPr>
          <w:rFonts w:cs="Arial"/>
          <w:rtl/>
        </w:rPr>
        <w:t xml:space="preserve"> מטבע אינו נקנה בחליפין. ואם כותבין חייב אני לה מנה בשטר </w:t>
      </w:r>
      <w:r>
        <w:rPr>
          <w:rFonts w:cs="Arial" w:hint="cs"/>
          <w:rtl/>
        </w:rPr>
        <w:t xml:space="preserve">- </w:t>
      </w:r>
      <w:r w:rsidRPr="00E87AAE">
        <w:rPr>
          <w:rFonts w:cs="Arial"/>
          <w:rtl/>
        </w:rPr>
        <w:t>קונה, כדאיתא בריש פרק הנושא (קא:). אבל רואה אני בשאלתך שנותן לה אגב ארבע אמות קרקע</w:t>
      </w:r>
      <w:r>
        <w:rPr>
          <w:rFonts w:cs="Arial" w:hint="cs"/>
          <w:rtl/>
        </w:rPr>
        <w:t>,</w:t>
      </w:r>
      <w:r w:rsidRPr="00E87AAE">
        <w:rPr>
          <w:rFonts w:cs="Arial"/>
          <w:rtl/>
        </w:rPr>
        <w:t xml:space="preserve"> ואם כן אז היא קונה אפי' לא היה לו המטבע באותה שעה</w:t>
      </w:r>
      <w:r>
        <w:rPr>
          <w:rFonts w:cs="Arial" w:hint="cs"/>
          <w:rtl/>
        </w:rPr>
        <w:t>,</w:t>
      </w:r>
      <w:r w:rsidRPr="00E87AAE">
        <w:rPr>
          <w:rFonts w:cs="Arial"/>
          <w:rtl/>
        </w:rPr>
        <w:t xml:space="preserve"> הרי הודה שהיה לו</w:t>
      </w:r>
      <w:r>
        <w:rPr>
          <w:rFonts w:cs="Arial" w:hint="cs"/>
          <w:rtl/>
        </w:rPr>
        <w:t>,</w:t>
      </w:r>
      <w:r w:rsidRPr="00E87AAE">
        <w:rPr>
          <w:rFonts w:cs="Arial"/>
          <w:rtl/>
        </w:rPr>
        <w:t xml:space="preserve"> והודאת בעל דין כמאה עדים</w:t>
      </w:r>
      <w:r>
        <w:rPr>
          <w:rFonts w:hint="cs"/>
          <w:sz w:val="16"/>
          <w:szCs w:val="16"/>
          <w:rtl/>
        </w:rPr>
        <w:t xml:space="preserve"> </w:t>
      </w:r>
      <w:r w:rsidRPr="00E87AAE">
        <w:rPr>
          <w:rFonts w:hint="cs"/>
          <w:sz w:val="16"/>
          <w:szCs w:val="16"/>
          <w:rtl/>
        </w:rPr>
        <w:t>(ל' הרא"ש)</w:t>
      </w:r>
      <w:r>
        <w:rPr>
          <w:rFonts w:hint="cs"/>
          <w:rtl/>
        </w:rPr>
        <w:t>.</w:t>
      </w:r>
    </w:p>
    <w:p w14:paraId="3D9D4187"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54E7B660" w14:textId="77777777" w:rsidR="00392DBB" w:rsidRDefault="00392DBB" w:rsidP="00392DBB">
      <w:pPr>
        <w:rPr>
          <w:rtl/>
        </w:rPr>
      </w:pPr>
      <w:r>
        <w:rPr>
          <w:rFonts w:cs="Arial"/>
          <w:rtl/>
        </w:rPr>
        <w:t xml:space="preserve">המתנה בכתובה שלא ישא אשה אחרת עליה, אינו מתנה על מה שכתוב בתורה. </w:t>
      </w:r>
    </w:p>
    <w:p w14:paraId="584C7503" w14:textId="77777777" w:rsidR="00392DBB" w:rsidRDefault="00392DBB" w:rsidP="00392DBB">
      <w:pPr>
        <w:rPr>
          <w:rtl/>
        </w:rPr>
      </w:pPr>
    </w:p>
    <w:p w14:paraId="0831E2C3" w14:textId="77777777" w:rsidR="00392DBB" w:rsidRDefault="00392DBB" w:rsidP="000F64D0">
      <w:pPr>
        <w:pStyle w:val="2"/>
        <w:rPr>
          <w:rtl/>
        </w:rPr>
      </w:pPr>
      <w:r>
        <w:rPr>
          <w:rtl/>
        </w:rPr>
        <w:t>סעיף טו</w:t>
      </w:r>
      <w:r>
        <w:rPr>
          <w:rFonts w:hint="cs"/>
          <w:rtl/>
        </w:rPr>
        <w:t xml:space="preserve">: </w:t>
      </w:r>
      <w:r>
        <w:rPr>
          <w:rtl/>
        </w:rPr>
        <w:t>הנושא אשה שפסקה מלדת, ונשבע שלא ישא אשה אחרת עליה שלא מרצונה</w:t>
      </w:r>
      <w:r>
        <w:rPr>
          <w:rFonts w:hint="cs"/>
          <w:rtl/>
        </w:rPr>
        <w:t>.</w:t>
      </w:r>
    </w:p>
    <w:p w14:paraId="7CD5112D" w14:textId="77777777" w:rsidR="00392DBB" w:rsidRPr="00ED5A2B" w:rsidRDefault="00392DBB" w:rsidP="00392DBB">
      <w:pPr>
        <w:rPr>
          <w:u w:val="single"/>
        </w:rPr>
      </w:pPr>
      <w:r w:rsidRPr="00ED5A2B">
        <w:rPr>
          <w:rFonts w:cs="Arial"/>
          <w:u w:val="single"/>
          <w:rtl/>
        </w:rPr>
        <w:t>הנושא אשה שפסקה מלדת, ונשבע שלא ישא אשה אחרת עליה שלא מרצונה</w:t>
      </w:r>
      <w:r>
        <w:rPr>
          <w:rFonts w:hint="cs"/>
          <w:u w:val="single"/>
          <w:rtl/>
        </w:rPr>
        <w:t>:</w:t>
      </w:r>
    </w:p>
    <w:p w14:paraId="1500F059" w14:textId="7C9E6106" w:rsidR="00392DBB" w:rsidRDefault="00392DBB" w:rsidP="009000E3">
      <w:pPr>
        <w:pStyle w:val="ab"/>
        <w:numPr>
          <w:ilvl w:val="0"/>
          <w:numId w:val="72"/>
        </w:numPr>
      </w:pPr>
      <w:r w:rsidRPr="00236A20">
        <w:rPr>
          <w:rFonts w:cs="Arial" w:hint="cs"/>
          <w:rtl/>
        </w:rPr>
        <w:t xml:space="preserve">רא"ש </w:t>
      </w:r>
      <w:r w:rsidRPr="00236A20">
        <w:rPr>
          <w:rFonts w:cs="Arial" w:hint="cs"/>
          <w:sz w:val="16"/>
          <w:szCs w:val="16"/>
          <w:rtl/>
        </w:rPr>
        <w:t xml:space="preserve">(כלל </w:t>
      </w:r>
      <w:r>
        <w:rPr>
          <w:rFonts w:cs="Arial" w:hint="cs"/>
          <w:sz w:val="16"/>
          <w:szCs w:val="16"/>
          <w:rtl/>
        </w:rPr>
        <w:t>ח סי' ח</w:t>
      </w:r>
      <w:r w:rsidRPr="00236A20">
        <w:rPr>
          <w:rFonts w:cs="Arial" w:hint="cs"/>
          <w:sz w:val="16"/>
          <w:szCs w:val="16"/>
          <w:rtl/>
        </w:rPr>
        <w:t xml:space="preserve">) </w:t>
      </w:r>
      <w:r w:rsidRPr="00236A20">
        <w:rPr>
          <w:rFonts w:cs="Arial" w:hint="cs"/>
          <w:rtl/>
        </w:rPr>
        <w:t>וטור</w:t>
      </w:r>
      <w:r>
        <w:rPr>
          <w:rFonts w:cs="Arial" w:hint="cs"/>
          <w:rtl/>
        </w:rPr>
        <w:t xml:space="preserve">- </w:t>
      </w:r>
      <w:r>
        <w:rPr>
          <w:rFonts w:cs="Arial"/>
          <w:rtl/>
        </w:rPr>
        <w:t>ששאלת אלמנה שהיתה אמודה בממון</w:t>
      </w:r>
      <w:r>
        <w:rPr>
          <w:rFonts w:cs="Arial" w:hint="cs"/>
          <w:rtl/>
        </w:rPr>
        <w:t>,</w:t>
      </w:r>
      <w:r>
        <w:rPr>
          <w:rFonts w:cs="Arial"/>
          <w:rtl/>
        </w:rPr>
        <w:t xml:space="preserve"> ומפני זה נתן בה שמעון עיניו</w:t>
      </w:r>
      <w:r>
        <w:rPr>
          <w:rFonts w:cs="Arial" w:hint="cs"/>
          <w:rtl/>
        </w:rPr>
        <w:t>,</w:t>
      </w:r>
      <w:r>
        <w:rPr>
          <w:rFonts w:cs="Arial"/>
          <w:rtl/>
        </w:rPr>
        <w:t xml:space="preserve"> ונשאה ונשבע שלא ישא אחרת</w:t>
      </w:r>
      <w:r>
        <w:rPr>
          <w:rFonts w:cs="Arial" w:hint="cs"/>
          <w:rtl/>
        </w:rPr>
        <w:t>.</w:t>
      </w:r>
      <w:r>
        <w:rPr>
          <w:rFonts w:cs="Arial"/>
          <w:rtl/>
        </w:rPr>
        <w:t xml:space="preserve"> וקודם שנשאה פסקה מלדת</w:t>
      </w:r>
      <w:r>
        <w:rPr>
          <w:rFonts w:cs="Arial" w:hint="cs"/>
          <w:rtl/>
        </w:rPr>
        <w:t>,</w:t>
      </w:r>
      <w:r>
        <w:rPr>
          <w:rFonts w:cs="Arial"/>
          <w:rtl/>
        </w:rPr>
        <w:t xml:space="preserve"> וזה ידע שמעון</w:t>
      </w:r>
      <w:r>
        <w:rPr>
          <w:rFonts w:cs="Arial" w:hint="cs"/>
          <w:rtl/>
        </w:rPr>
        <w:t>.</w:t>
      </w:r>
      <w:r>
        <w:rPr>
          <w:rFonts w:cs="Arial"/>
          <w:rtl/>
        </w:rPr>
        <w:t xml:space="preserve"> ואחר שנשאה ידע שלא היה לה ממון</w:t>
      </w:r>
      <w:r>
        <w:rPr>
          <w:rFonts w:cs="Arial" w:hint="cs"/>
          <w:rtl/>
        </w:rPr>
        <w:t>,</w:t>
      </w:r>
      <w:r>
        <w:rPr>
          <w:rFonts w:cs="Arial"/>
          <w:rtl/>
        </w:rPr>
        <w:t xml:space="preserve"> ורוצה לגרשה בטענה שרוצה לקיים פריה ורביה</w:t>
      </w:r>
      <w:r>
        <w:rPr>
          <w:rFonts w:cs="Arial" w:hint="cs"/>
          <w:rtl/>
        </w:rPr>
        <w:t>.</w:t>
      </w:r>
      <w:r>
        <w:rPr>
          <w:rFonts w:cs="Arial"/>
          <w:rtl/>
        </w:rPr>
        <w:t xml:space="preserve"> </w:t>
      </w:r>
      <w:r>
        <w:rPr>
          <w:rFonts w:cs="Arial" w:hint="cs"/>
          <w:rtl/>
        </w:rPr>
        <w:t xml:space="preserve">  </w:t>
      </w:r>
      <w:r w:rsidR="00FE210D">
        <w:rPr>
          <w:rFonts w:cs="Arial"/>
          <w:rtl/>
        </w:rPr>
        <w:t xml:space="preserve">   תשובה:</w:t>
      </w:r>
      <w:r>
        <w:rPr>
          <w:rFonts w:cs="Arial"/>
          <w:rtl/>
        </w:rPr>
        <w:t xml:space="preserve"> אין טענתו טענה</w:t>
      </w:r>
      <w:r>
        <w:rPr>
          <w:rFonts w:cs="Arial" w:hint="cs"/>
          <w:rtl/>
        </w:rPr>
        <w:t>,</w:t>
      </w:r>
      <w:r>
        <w:rPr>
          <w:rFonts w:cs="Arial"/>
          <w:rtl/>
        </w:rPr>
        <w:t xml:space="preserve"> ואין יכולין להתיר לו שבועתו שלא מדעתה</w:t>
      </w:r>
      <w:r>
        <w:rPr>
          <w:rFonts w:cs="Arial" w:hint="cs"/>
          <w:rtl/>
        </w:rPr>
        <w:t>.</w:t>
      </w:r>
      <w:r>
        <w:rPr>
          <w:rFonts w:cs="Arial"/>
          <w:rtl/>
        </w:rPr>
        <w:t xml:space="preserve"> </w:t>
      </w:r>
      <w:r w:rsidRPr="00797BAD">
        <w:rPr>
          <w:rFonts w:hint="cs"/>
          <w:color w:val="E36C0A" w:themeColor="accent6" w:themeShade="BF"/>
          <w:rtl/>
        </w:rPr>
        <w:t>(וכ"פ בשו"ע)</w:t>
      </w:r>
    </w:p>
    <w:p w14:paraId="79C97438"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07C7FA1" w14:textId="77777777" w:rsidR="00392DBB" w:rsidRDefault="00392DBB" w:rsidP="00392DBB">
      <w:pPr>
        <w:rPr>
          <w:rFonts w:cs="Arial"/>
          <w:rtl/>
        </w:rPr>
      </w:pPr>
      <w:r>
        <w:rPr>
          <w:rFonts w:cs="Arial"/>
          <w:rtl/>
        </w:rPr>
        <w:t xml:space="preserve">הנושא אשה שפסקה מלדת, ונשבע שלא ישא אשה אחרת עליה שלא מרצונה, אין יכולים להתיר לו שבועתו שלא מדעתה. </w:t>
      </w:r>
    </w:p>
    <w:p w14:paraId="033923ED" w14:textId="77777777" w:rsidR="00392DBB" w:rsidRDefault="00392DBB" w:rsidP="00392DBB">
      <w:pPr>
        <w:rPr>
          <w:rtl/>
        </w:rPr>
      </w:pPr>
    </w:p>
    <w:p w14:paraId="4223E5CF" w14:textId="77777777" w:rsidR="00392DBB" w:rsidRDefault="00392DBB" w:rsidP="000F64D0">
      <w:pPr>
        <w:pStyle w:val="2"/>
        <w:rPr>
          <w:rtl/>
        </w:rPr>
      </w:pPr>
      <w:r>
        <w:rPr>
          <w:rtl/>
        </w:rPr>
        <w:t>סעיף טז</w:t>
      </w:r>
      <w:r>
        <w:rPr>
          <w:rFonts w:hint="cs"/>
          <w:rtl/>
        </w:rPr>
        <w:t xml:space="preserve">: </w:t>
      </w:r>
      <w:r>
        <w:rPr>
          <w:rtl/>
        </w:rPr>
        <w:t>מי שנשבע לתת לחבירו חצי מה שירויח, ו</w:t>
      </w:r>
      <w:r>
        <w:rPr>
          <w:rFonts w:hint="cs"/>
          <w:rtl/>
        </w:rPr>
        <w:t>לא י</w:t>
      </w:r>
      <w:r>
        <w:rPr>
          <w:rtl/>
        </w:rPr>
        <w:t xml:space="preserve">ספיק לפרנסת אשתו אם </w:t>
      </w:r>
      <w:r>
        <w:rPr>
          <w:rFonts w:hint="cs"/>
          <w:rtl/>
        </w:rPr>
        <w:t>יעשה כן.</w:t>
      </w:r>
    </w:p>
    <w:p w14:paraId="7633FE34" w14:textId="77777777" w:rsidR="00392DBB" w:rsidRPr="00C17263" w:rsidRDefault="00392DBB" w:rsidP="00392DBB">
      <w:pPr>
        <w:rPr>
          <w:u w:val="single"/>
          <w:rtl/>
        </w:rPr>
      </w:pPr>
      <w:r w:rsidRPr="00C17263">
        <w:rPr>
          <w:rFonts w:cs="Arial"/>
          <w:u w:val="single"/>
          <w:rtl/>
        </w:rPr>
        <w:t>מי שנשבע לתת לחבירו חצי מה שירויח, ו</w:t>
      </w:r>
      <w:r>
        <w:rPr>
          <w:rFonts w:cs="Arial" w:hint="cs"/>
          <w:u w:val="single"/>
          <w:rtl/>
        </w:rPr>
        <w:t>הממון לא י</w:t>
      </w:r>
      <w:r w:rsidRPr="00C17263">
        <w:rPr>
          <w:rFonts w:cs="Arial"/>
          <w:u w:val="single"/>
          <w:rtl/>
        </w:rPr>
        <w:t>ספיק לפרנסת אשתו אם יתן לזה חצי מה שמרויח</w:t>
      </w:r>
      <w:r w:rsidRPr="00C17263">
        <w:rPr>
          <w:rFonts w:hint="cs"/>
          <w:u w:val="single"/>
          <w:rtl/>
        </w:rPr>
        <w:t>:</w:t>
      </w:r>
    </w:p>
    <w:p w14:paraId="43AC1716" w14:textId="74D3F466" w:rsidR="00392DBB" w:rsidRDefault="00392DBB" w:rsidP="009000E3">
      <w:pPr>
        <w:pStyle w:val="ab"/>
        <w:numPr>
          <w:ilvl w:val="0"/>
          <w:numId w:val="72"/>
        </w:numPr>
      </w:pPr>
      <w:r w:rsidRPr="00236A20">
        <w:rPr>
          <w:rFonts w:cs="Arial" w:hint="cs"/>
          <w:rtl/>
        </w:rPr>
        <w:lastRenderedPageBreak/>
        <w:t xml:space="preserve">רא"ש </w:t>
      </w:r>
      <w:r w:rsidRPr="00236A20">
        <w:rPr>
          <w:rFonts w:cs="Arial" w:hint="cs"/>
          <w:sz w:val="16"/>
          <w:szCs w:val="16"/>
          <w:rtl/>
        </w:rPr>
        <w:t xml:space="preserve">(כלל </w:t>
      </w:r>
      <w:r>
        <w:rPr>
          <w:rFonts w:cs="Arial" w:hint="cs"/>
          <w:sz w:val="16"/>
          <w:szCs w:val="16"/>
          <w:rtl/>
        </w:rPr>
        <w:t>ח סי' יח</w:t>
      </w:r>
      <w:r w:rsidRPr="00236A20">
        <w:rPr>
          <w:rFonts w:cs="Arial" w:hint="cs"/>
          <w:sz w:val="16"/>
          <w:szCs w:val="16"/>
          <w:rtl/>
        </w:rPr>
        <w:t xml:space="preserve">) </w:t>
      </w:r>
      <w:r w:rsidRPr="00236A20">
        <w:rPr>
          <w:rFonts w:cs="Arial" w:hint="cs"/>
          <w:rtl/>
        </w:rPr>
        <w:t>וטור</w:t>
      </w:r>
      <w:r>
        <w:rPr>
          <w:rFonts w:cs="Arial" w:hint="cs"/>
          <w:rtl/>
        </w:rPr>
        <w:t xml:space="preserve">- </w:t>
      </w:r>
      <w:r>
        <w:rPr>
          <w:rFonts w:cs="Arial"/>
          <w:rtl/>
        </w:rPr>
        <w:t>ששאלת</w:t>
      </w:r>
      <w:r w:rsidR="00C90652">
        <w:rPr>
          <w:rFonts w:cs="Arial" w:hint="cs"/>
          <w:rtl/>
        </w:rPr>
        <w:t>:</w:t>
      </w:r>
      <w:r>
        <w:rPr>
          <w:rFonts w:cs="Arial"/>
          <w:rtl/>
        </w:rPr>
        <w:t xml:space="preserve"> ראובן חייט נשבע ליתן לשמעון חצי מה שירויח</w:t>
      </w:r>
      <w:r w:rsidR="00C90652">
        <w:rPr>
          <w:rFonts w:cs="Arial" w:hint="cs"/>
          <w:rtl/>
        </w:rPr>
        <w:t>,</w:t>
      </w:r>
      <w:r>
        <w:rPr>
          <w:rFonts w:cs="Arial"/>
          <w:rtl/>
        </w:rPr>
        <w:t xml:space="preserve"> ועתה אין מספיק לראובן לפרנס אשתו באותו החצי שהרויח</w:t>
      </w:r>
      <w:r w:rsidR="00C90652">
        <w:rPr>
          <w:rFonts w:cs="Arial" w:hint="cs"/>
          <w:rtl/>
        </w:rPr>
        <w:t>,</w:t>
      </w:r>
      <w:r>
        <w:rPr>
          <w:rFonts w:cs="Arial"/>
          <w:rtl/>
        </w:rPr>
        <w:t xml:space="preserve"> ואשתו תובעת מזונות או שיכפו לגרשה</w:t>
      </w:r>
      <w:r w:rsidR="00C90652">
        <w:rPr>
          <w:rFonts w:cs="Arial" w:hint="cs"/>
          <w:rtl/>
        </w:rPr>
        <w:t>.</w:t>
      </w:r>
      <w:r>
        <w:rPr>
          <w:rFonts w:cs="Arial"/>
          <w:rtl/>
        </w:rPr>
        <w:t xml:space="preserve"> וכתבת שיש מי שאומר כיון שהוא משועבד לאשתו לזונה לא היה יכול לישבע ליתן חצי מה שירויח לאחר והוי שבועה לבטלה</w:t>
      </w:r>
      <w:r w:rsidR="003A1361">
        <w:rPr>
          <w:rFonts w:cs="Arial" w:hint="cs"/>
          <w:rtl/>
        </w:rPr>
        <w:t xml:space="preserve">.    </w:t>
      </w:r>
      <w:r>
        <w:rPr>
          <w:rFonts w:cs="Arial"/>
          <w:rtl/>
        </w:rPr>
        <w:t xml:space="preserve"> תשובה</w:t>
      </w:r>
      <w:r w:rsidR="003A1361">
        <w:rPr>
          <w:rFonts w:cs="Arial" w:hint="cs"/>
          <w:rtl/>
        </w:rPr>
        <w:t>:</w:t>
      </w:r>
      <w:r>
        <w:rPr>
          <w:rFonts w:cs="Arial"/>
          <w:rtl/>
        </w:rPr>
        <w:t xml:space="preserve"> אין בדבריה כלום</w:t>
      </w:r>
      <w:r w:rsidR="00C90652">
        <w:rPr>
          <w:rFonts w:cs="Arial" w:hint="cs"/>
          <w:rtl/>
        </w:rPr>
        <w:t>,</w:t>
      </w:r>
      <w:r>
        <w:rPr>
          <w:rFonts w:cs="Arial"/>
          <w:rtl/>
        </w:rPr>
        <w:t xml:space="preserve"> דאפי' אם מוכר אדם נכסיו אין מוציאין מהן למזון האשה והבנות</w:t>
      </w:r>
      <w:r w:rsidR="00B50233">
        <w:rPr>
          <w:rFonts w:cs="Arial" w:hint="cs"/>
          <w:rtl/>
        </w:rPr>
        <w:t>,</w:t>
      </w:r>
      <w:r>
        <w:rPr>
          <w:rFonts w:cs="Arial"/>
          <w:rtl/>
        </w:rPr>
        <w:t xml:space="preserve"> כ"ש אם שיעבד גופו דאין שיעבוד חל על גופו של אדם בשום ממון שהוא חייב</w:t>
      </w:r>
      <w:r w:rsidR="00C90652">
        <w:rPr>
          <w:rFonts w:cs="Arial" w:hint="cs"/>
          <w:rtl/>
        </w:rPr>
        <w:t>.</w:t>
      </w:r>
      <w:r>
        <w:rPr>
          <w:rFonts w:cs="Arial"/>
          <w:rtl/>
        </w:rPr>
        <w:t xml:space="preserve"> ואלמלא השבועה לא היתה המתנה כלום כי נתן לו דבר שלא בא לעולם</w:t>
      </w:r>
      <w:r w:rsidR="00B50233">
        <w:rPr>
          <w:rFonts w:cs="Arial" w:hint="cs"/>
          <w:rtl/>
        </w:rPr>
        <w:t>,</w:t>
      </w:r>
      <w:r>
        <w:rPr>
          <w:rFonts w:cs="Arial"/>
          <w:rtl/>
        </w:rPr>
        <w:t xml:space="preserve"> אבל בשביל השבועה שנשבע צריך לקיימה</w:t>
      </w:r>
      <w:r>
        <w:rPr>
          <w:rFonts w:cs="Arial" w:hint="cs"/>
          <w:rtl/>
        </w:rPr>
        <w:t>.</w:t>
      </w:r>
      <w:r>
        <w:rPr>
          <w:rFonts w:cs="Arial"/>
          <w:rtl/>
        </w:rPr>
        <w:t xml:space="preserve"> </w:t>
      </w:r>
      <w:r w:rsidRPr="00797BAD">
        <w:rPr>
          <w:rFonts w:hint="cs"/>
          <w:color w:val="E36C0A" w:themeColor="accent6" w:themeShade="BF"/>
          <w:rtl/>
        </w:rPr>
        <w:t>(וכ"פ בשו"ע)</w:t>
      </w:r>
    </w:p>
    <w:p w14:paraId="3BFE8D1F" w14:textId="77777777" w:rsidR="00392DBB" w:rsidRPr="000A6EB7" w:rsidRDefault="00392DBB" w:rsidP="00392DBB">
      <w:r>
        <w:rPr>
          <w:rFonts w:hint="cs"/>
          <w:u w:val="single"/>
          <w:rtl/>
        </w:rPr>
        <w:t>שתי תשובות על יהודים שנהרגו בדרך, כיצד אפשר להתיר נשותיהם</w:t>
      </w:r>
      <w:r w:rsidRPr="00C17263">
        <w:rPr>
          <w:rStyle w:val="a7"/>
          <w:rFonts w:cs="Arial"/>
          <w:u w:val="single"/>
          <w:rtl/>
        </w:rPr>
        <w:footnoteReference w:id="2971"/>
      </w:r>
      <w:r w:rsidRPr="000A6EB7">
        <w:rPr>
          <w:rFonts w:hint="cs"/>
          <w:u w:val="single"/>
          <w:rtl/>
        </w:rPr>
        <w:t>:</w:t>
      </w:r>
    </w:p>
    <w:p w14:paraId="2F78A7D8" w14:textId="77777777" w:rsidR="00392DBB" w:rsidRPr="00C17263" w:rsidRDefault="00392DBB" w:rsidP="009000E3">
      <w:pPr>
        <w:pStyle w:val="ab"/>
        <w:numPr>
          <w:ilvl w:val="0"/>
          <w:numId w:val="72"/>
        </w:numPr>
        <w:rPr>
          <w:rtl/>
        </w:rPr>
      </w:pPr>
      <w:r w:rsidRPr="00236A20">
        <w:rPr>
          <w:rFonts w:cs="Arial" w:hint="cs"/>
          <w:rtl/>
        </w:rPr>
        <w:t xml:space="preserve">רא"ש </w:t>
      </w:r>
      <w:r w:rsidRPr="00236A20">
        <w:rPr>
          <w:rFonts w:cs="Arial" w:hint="cs"/>
          <w:sz w:val="16"/>
          <w:szCs w:val="16"/>
          <w:rtl/>
        </w:rPr>
        <w:t xml:space="preserve">(כלל </w:t>
      </w:r>
      <w:r>
        <w:rPr>
          <w:rFonts w:cs="Arial" w:hint="cs"/>
          <w:sz w:val="16"/>
          <w:szCs w:val="16"/>
          <w:rtl/>
        </w:rPr>
        <w:t>נא סי' ז</w:t>
      </w:r>
      <w:r w:rsidRPr="00236A20">
        <w:rPr>
          <w:rFonts w:cs="Arial" w:hint="cs"/>
          <w:sz w:val="16"/>
          <w:szCs w:val="16"/>
          <w:rtl/>
        </w:rPr>
        <w:t xml:space="preserve">) </w:t>
      </w:r>
      <w:r w:rsidRPr="00236A20">
        <w:rPr>
          <w:rFonts w:cs="Arial" w:hint="cs"/>
          <w:rtl/>
        </w:rPr>
        <w:t>וטור</w:t>
      </w:r>
      <w:r>
        <w:rPr>
          <w:rFonts w:cs="Arial" w:hint="cs"/>
          <w:rtl/>
        </w:rPr>
        <w:t xml:space="preserve">- </w:t>
      </w:r>
      <w:r>
        <w:rPr>
          <w:rFonts w:cs="Arial"/>
          <w:rtl/>
        </w:rPr>
        <w:t>וששאלת על יהודים שנהרגו בדרך ולסוף ט"ו ימים מצאו והכירו ראשו של אחד מהם שהיה עדיין שלם בסימנים מובהקים ושאר הגוף אכלוהו חיות תשובה דע כי אינו עדות להתיר את אשתו דתנן בפרק האשה בתרא אין מעידין אלא על פרצוף פנים עם החוטם ואין מעידין אלא עד ג' ימים כי המת משתנה אחר ג' ימים ואותן שמצאו רגלו והכירו הבתי שוקים כי היו שלו סימן מלבושיו לא הוי סימן שפעמים משאיל אדם מלבושיו לאחרים ועכו"ם שאומר שהוא ועכו"ם אחרים הרגו ואומרים הסימנים שהיו בכל אחד ואחד ושמותם לא ידע הא תנן אין מעידין על סימני הגוף כגון ארוך או קטן או חיור או סומק לא הוי סימן אבל אם אמר סימן מובהק כגון שהיה חסר אחד מאיבריו או יותר ברגליו או בידיו או שום שינוי בא' מאיבריו סומכין עליו</w:t>
      </w:r>
      <w:r>
        <w:rPr>
          <w:rFonts w:cs="Arial" w:hint="cs"/>
          <w:rtl/>
        </w:rPr>
        <w:t>.</w:t>
      </w:r>
    </w:p>
    <w:p w14:paraId="42CBCB2E" w14:textId="77777777" w:rsidR="00392DBB" w:rsidRDefault="00392DBB" w:rsidP="009000E3">
      <w:pPr>
        <w:pStyle w:val="ab"/>
        <w:numPr>
          <w:ilvl w:val="0"/>
          <w:numId w:val="72"/>
        </w:numPr>
        <w:rPr>
          <w:rtl/>
        </w:rPr>
      </w:pPr>
      <w:r w:rsidRPr="00236A20">
        <w:rPr>
          <w:rFonts w:cs="Arial" w:hint="cs"/>
          <w:rtl/>
        </w:rPr>
        <w:t xml:space="preserve">רא"ש </w:t>
      </w:r>
      <w:r w:rsidRPr="00236A20">
        <w:rPr>
          <w:rFonts w:cs="Arial" w:hint="cs"/>
          <w:sz w:val="16"/>
          <w:szCs w:val="16"/>
          <w:rtl/>
        </w:rPr>
        <w:t xml:space="preserve">(כלל </w:t>
      </w:r>
      <w:r>
        <w:rPr>
          <w:rFonts w:cs="Arial" w:hint="cs"/>
          <w:sz w:val="16"/>
          <w:szCs w:val="16"/>
          <w:rtl/>
        </w:rPr>
        <w:t>נא סי' ב</w:t>
      </w:r>
      <w:r w:rsidRPr="00236A20">
        <w:rPr>
          <w:rFonts w:cs="Arial" w:hint="cs"/>
          <w:sz w:val="16"/>
          <w:szCs w:val="16"/>
          <w:rtl/>
        </w:rPr>
        <w:t xml:space="preserve">) </w:t>
      </w:r>
      <w:r w:rsidRPr="00236A20">
        <w:rPr>
          <w:rFonts w:cs="Arial" w:hint="cs"/>
          <w:rtl/>
        </w:rPr>
        <w:t>וטור</w:t>
      </w:r>
      <w:r>
        <w:rPr>
          <w:rFonts w:cs="Arial" w:hint="cs"/>
          <w:rtl/>
        </w:rPr>
        <w:t xml:space="preserve">- </w:t>
      </w:r>
      <w:r>
        <w:rPr>
          <w:rFonts w:cs="Arial"/>
          <w:rtl/>
        </w:rPr>
        <w:t>עדות על תלמיד אחד שמת והתיר א"א הרא"ש ז"ל את אשתו ואת גיסתו</w:t>
      </w:r>
      <w:r>
        <w:rPr>
          <w:rStyle w:val="a7"/>
          <w:rFonts w:cs="Arial"/>
          <w:rtl/>
        </w:rPr>
        <w:footnoteReference w:id="2972"/>
      </w:r>
      <w:r>
        <w:rPr>
          <w:rFonts w:cs="Arial"/>
          <w:rtl/>
        </w:rPr>
        <w:t xml:space="preserve"> בהיותי במיורקא ראיתי תלמיד אחד והראה לי אגרת חתומה בחתימת מורינו הרא"ש ז"ל והיה כתוב שמו של התלמיד אשר וסיפר לי שהוא בא מטוליטולא ושלמד לפני מורינו רבי אשר והראה לי תוספות מקצת מסכתות שחבר מורינו הרב הנזכר ולפי הדבר שהגיד ומצאתי אמת נתברר לי שבא מטוליטולא ויצא ממנו ללכת לארצו אח"כ בא תלמיד א' ושמו ר' שמואל ובמל"ת אמר תלמיד חשוב אשכנזי שפירש מכאן ושמו רבי אשר ולמד לפני הרב רבי אשר ז"ל בא בציציליא בעיר שהייתי ונתאכסן עמי והיה עמי יום או יומים ואח"כ נטל רשות ללכת ופטרתי אותו בלויה וראיתי שנפל בדרך ואמרתי לו תחזור כיון שאתה חולה ולא רצה לחזור אחר ימים מועטים בא אלי המגיד והגיד לי שאותו תלמיד היה חולה נוטה למות והלכתי שם לבקרו ואני החזקתיהו בדברים ובמה שיכולתי ולא הועיל ואחר זמן מועט נפטר לבית עולמו ועשיתי לו כבוד גדול במותו וקברו אותו</w:t>
      </w:r>
      <w:r>
        <w:rPr>
          <w:rFonts w:cs="Arial" w:hint="cs"/>
          <w:rtl/>
        </w:rPr>
        <w:t>.</w:t>
      </w:r>
      <w:r>
        <w:rPr>
          <w:rFonts w:cs="Arial"/>
          <w:rtl/>
        </w:rPr>
        <w:t xml:space="preserve"> יראה לי שאשתו של ר' אשר מותרת לינשא בעדות זו כדאיתא בהדיא בשילהי יבמות מעשה באדם אחד שבא להעיד עדות אשה לפני חכמים אמרו לו בני היאך אתה יודע בעדות זו אמר להם אני והוא מהלכים בדרך ורדפו אחרינו עכו"ם ונתלה ביחור של תאנה ופשחו והחזיר את העכו"ם לאחריו אמרתי לו יישר כחך אריה א"ל מנין אתה יודע שכך קורין אותי בעירי יוחנן בן יונתן ארי' דמכפר שיחיא לימים חלה ומת והשיאו חכמים את אשתו אלמא אף על פי שלא הכירו אלא ע"י שסיפר לו שמו ושם מקומו התירו את אשתו וכן בנדון זה שהגיד להם שמו ושלמד הנה אצלינו והראה להם תוספות שידוע לנו שהוליכם עמו מכאן הרי נתברר לנו שאותו ר' אשר שיצא מכאן ומת ואנו מעידים וידוע לכל בני חבורתינו שמיום בואו לכאן לא בא שום אדם ללמוד לכאן ששמו ר' אשר אלא אותו רבי אשר בר רב סיני והוא היה מארץ רוסיא ובא לכאן עם בחור אחד ששמו ר' יהונתן לפיכך כיון שידוע לנו שרבי אשר בא מארצו ולמד פה אצלנו והועד עליו שמת אשתו מותרת</w:t>
      </w:r>
      <w:r>
        <w:rPr>
          <w:rFonts w:cs="Arial" w:hint="cs"/>
          <w:rtl/>
        </w:rPr>
        <w:t>.</w:t>
      </w:r>
    </w:p>
    <w:p w14:paraId="1F3E8904"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3D1B281C" w14:textId="77777777" w:rsidR="00392DBB" w:rsidRDefault="00392DBB" w:rsidP="00392DBB">
      <w:pPr>
        <w:rPr>
          <w:rFonts w:cs="Arial"/>
          <w:rtl/>
        </w:rPr>
      </w:pPr>
      <w:r>
        <w:rPr>
          <w:rFonts w:cs="Arial"/>
          <w:rtl/>
        </w:rPr>
        <w:t>מי שנשבע לתת לחבירו חצי מה שירויח, ואינו מספיק לפרנסת אשתו אם יתן לזה חצי מה שמרויח, א</w:t>
      </w:r>
      <w:r>
        <w:rPr>
          <w:rFonts w:cs="Arial" w:hint="cs"/>
          <w:rtl/>
        </w:rPr>
        <w:t xml:space="preserve">ף על פי </w:t>
      </w:r>
      <w:r>
        <w:rPr>
          <w:rFonts w:cs="Arial"/>
          <w:rtl/>
        </w:rPr>
        <w:t>כ</w:t>
      </w:r>
      <w:r>
        <w:rPr>
          <w:rFonts w:cs="Arial" w:hint="cs"/>
          <w:rtl/>
        </w:rPr>
        <w:t>ן</w:t>
      </w:r>
      <w:r>
        <w:rPr>
          <w:rFonts w:cs="Arial"/>
          <w:rtl/>
        </w:rPr>
        <w:t xml:space="preserve"> צריך לקיים שבועתו. </w:t>
      </w:r>
    </w:p>
    <w:p w14:paraId="55DE82DA" w14:textId="77777777" w:rsidR="00392DBB" w:rsidRDefault="00392DBB" w:rsidP="00392DBB">
      <w:pPr>
        <w:rPr>
          <w:rtl/>
        </w:rPr>
      </w:pPr>
    </w:p>
    <w:p w14:paraId="544EC660" w14:textId="77777777" w:rsidR="00392DBB" w:rsidRDefault="00392DBB" w:rsidP="000F64D0">
      <w:pPr>
        <w:pStyle w:val="2"/>
        <w:rPr>
          <w:rtl/>
        </w:rPr>
      </w:pPr>
      <w:r>
        <w:rPr>
          <w:rtl/>
        </w:rPr>
        <w:t>סעיף יז</w:t>
      </w:r>
      <w:r>
        <w:rPr>
          <w:rFonts w:hint="cs"/>
          <w:rtl/>
        </w:rPr>
        <w:t xml:space="preserve">: </w:t>
      </w:r>
      <w:r>
        <w:rPr>
          <w:rtl/>
        </w:rPr>
        <w:t>אשה שמחלה כתובתה ונדוניתה לבעלה, ואחר כך טענה שבאונס מחלה</w:t>
      </w:r>
      <w:r>
        <w:rPr>
          <w:rFonts w:hint="cs"/>
          <w:rtl/>
        </w:rPr>
        <w:t>.</w:t>
      </w:r>
    </w:p>
    <w:p w14:paraId="6D1D4144" w14:textId="77777777" w:rsidR="00392DBB" w:rsidRPr="00C17263" w:rsidRDefault="00392DBB" w:rsidP="00392DBB">
      <w:pPr>
        <w:rPr>
          <w:u w:val="single"/>
          <w:rtl/>
        </w:rPr>
      </w:pPr>
      <w:r w:rsidRPr="00C17263">
        <w:rPr>
          <w:rFonts w:cs="Arial"/>
          <w:u w:val="single"/>
          <w:rtl/>
        </w:rPr>
        <w:t>אשה שמחלה כתובתה ונדוניתה לבעלה, ואחר כך טענה שבאונס מחלה</w:t>
      </w:r>
      <w:r w:rsidRPr="00C17263">
        <w:rPr>
          <w:rFonts w:hint="cs"/>
          <w:u w:val="single"/>
          <w:rtl/>
        </w:rPr>
        <w:t>:</w:t>
      </w:r>
    </w:p>
    <w:p w14:paraId="165DB93A" w14:textId="77777777" w:rsidR="00392DBB" w:rsidRPr="00213780" w:rsidRDefault="00392DBB" w:rsidP="009000E3">
      <w:pPr>
        <w:pStyle w:val="ab"/>
        <w:numPr>
          <w:ilvl w:val="0"/>
          <w:numId w:val="72"/>
        </w:numPr>
        <w:rPr>
          <w:rtl/>
        </w:rPr>
      </w:pPr>
      <w:r w:rsidRPr="00236A20">
        <w:rPr>
          <w:rFonts w:cs="Arial" w:hint="cs"/>
          <w:rtl/>
        </w:rPr>
        <w:t xml:space="preserve">רא"ש </w:t>
      </w:r>
      <w:r w:rsidRPr="00236A20">
        <w:rPr>
          <w:rFonts w:cs="Arial" w:hint="cs"/>
          <w:sz w:val="16"/>
          <w:szCs w:val="16"/>
          <w:rtl/>
        </w:rPr>
        <w:t xml:space="preserve">(כלל </w:t>
      </w:r>
      <w:r>
        <w:rPr>
          <w:rFonts w:cs="Arial" w:hint="cs"/>
          <w:sz w:val="16"/>
          <w:szCs w:val="16"/>
          <w:rtl/>
        </w:rPr>
        <w:t>לח סי' ז</w:t>
      </w:r>
      <w:r w:rsidRPr="00236A20">
        <w:rPr>
          <w:rFonts w:cs="Arial" w:hint="cs"/>
          <w:sz w:val="16"/>
          <w:szCs w:val="16"/>
          <w:rtl/>
        </w:rPr>
        <w:t xml:space="preserve">) </w:t>
      </w:r>
      <w:r w:rsidRPr="00236A20">
        <w:rPr>
          <w:rFonts w:cs="Arial" w:hint="cs"/>
          <w:rtl/>
        </w:rPr>
        <w:t>וטור</w:t>
      </w:r>
      <w:r>
        <w:rPr>
          <w:rFonts w:cs="Arial" w:hint="cs"/>
          <w:rtl/>
        </w:rPr>
        <w:t xml:space="preserve">- </w:t>
      </w:r>
      <w:r>
        <w:rPr>
          <w:rFonts w:cs="Arial"/>
          <w:rtl/>
        </w:rPr>
        <w:t>וששאלת אשה שמחלה כתובתה ונדוניתה לבעלה מחילה גמורה</w:t>
      </w:r>
      <w:r>
        <w:rPr>
          <w:rFonts w:cs="Arial" w:hint="cs"/>
          <w:rtl/>
        </w:rPr>
        <w:t>.</w:t>
      </w:r>
      <w:r>
        <w:rPr>
          <w:rFonts w:cs="Arial"/>
          <w:rtl/>
        </w:rPr>
        <w:t xml:space="preserve"> והיא טוענת שעשתה המחילה מפני שהיה מגזם לה לגרשה או לישא אחרת מפני שאינה יולדת</w:t>
      </w:r>
      <w:r>
        <w:rPr>
          <w:rFonts w:cs="Arial" w:hint="cs"/>
          <w:rtl/>
        </w:rPr>
        <w:t xml:space="preserve"> -</w:t>
      </w:r>
      <w:r>
        <w:rPr>
          <w:rFonts w:cs="Arial"/>
          <w:rtl/>
        </w:rPr>
        <w:t xml:space="preserve"> אין זה טענת אונס לבטל המחילה</w:t>
      </w:r>
      <w:r>
        <w:rPr>
          <w:rFonts w:cs="Arial" w:hint="cs"/>
          <w:rtl/>
        </w:rPr>
        <w:t>,</w:t>
      </w:r>
      <w:r>
        <w:rPr>
          <w:rFonts w:cs="Arial"/>
          <w:rtl/>
        </w:rPr>
        <w:t xml:space="preserve"> כי בדין היה עושה לישא אחרת כדי לקיים מצות פריה ורביה</w:t>
      </w:r>
      <w:r>
        <w:rPr>
          <w:rFonts w:cs="Arial" w:hint="cs"/>
          <w:rtl/>
        </w:rPr>
        <w:t>,</w:t>
      </w:r>
      <w:r>
        <w:rPr>
          <w:rFonts w:cs="Arial"/>
          <w:rtl/>
        </w:rPr>
        <w:t xml:space="preserve"> והיא שיחדתו בממונה מלישא אחרת</w:t>
      </w:r>
      <w:r>
        <w:rPr>
          <w:rFonts w:cs="Arial" w:hint="cs"/>
          <w:rtl/>
        </w:rPr>
        <w:t>.</w:t>
      </w:r>
      <w:r>
        <w:rPr>
          <w:rFonts w:cs="Arial"/>
          <w:rtl/>
        </w:rPr>
        <w:t xml:space="preserve"> ועוד שאין האונס ידוע ולא מסרה מודעה מעיקרא</w:t>
      </w:r>
      <w:r>
        <w:rPr>
          <w:rFonts w:cs="Arial" w:hint="cs"/>
          <w:rtl/>
        </w:rPr>
        <w:t>.</w:t>
      </w:r>
      <w:r w:rsidRPr="00C17263">
        <w:rPr>
          <w:rFonts w:hint="cs"/>
          <w:color w:val="E36C0A" w:themeColor="accent6" w:themeShade="BF"/>
          <w:rtl/>
        </w:rPr>
        <w:t xml:space="preserve"> </w:t>
      </w:r>
      <w:r w:rsidRPr="00797BAD">
        <w:rPr>
          <w:rFonts w:hint="cs"/>
          <w:color w:val="E36C0A" w:themeColor="accent6" w:themeShade="BF"/>
          <w:rtl/>
        </w:rPr>
        <w:t>(וכ"פ בשו"ע)</w:t>
      </w:r>
    </w:p>
    <w:p w14:paraId="2497B2B9"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lastRenderedPageBreak/>
        <w:t>שו"ע:</w:t>
      </w:r>
    </w:p>
    <w:p w14:paraId="6AB03613" w14:textId="77777777" w:rsidR="00392DBB" w:rsidRDefault="00392DBB" w:rsidP="00392DBB">
      <w:pPr>
        <w:rPr>
          <w:rFonts w:cs="Arial"/>
          <w:rtl/>
        </w:rPr>
      </w:pPr>
      <w:r>
        <w:rPr>
          <w:rFonts w:cs="Arial"/>
          <w:rtl/>
        </w:rPr>
        <w:t xml:space="preserve">אשה שמחלה כתובתה ונדוניתה לבעלה, ואחר כך טענה שבאונס מחלה מפני שהיה מגזם עליה לגרשה או לישא אחרת מפני שאינה יולדת, אין זה טענת אונס לבטל המחילה. </w:t>
      </w:r>
    </w:p>
    <w:p w14:paraId="05177310" w14:textId="77777777" w:rsidR="00392DBB" w:rsidRDefault="00392DBB" w:rsidP="00392DBB">
      <w:pPr>
        <w:rPr>
          <w:rtl/>
        </w:rPr>
      </w:pPr>
    </w:p>
    <w:p w14:paraId="6FA5DF76" w14:textId="77777777" w:rsidR="00392DBB" w:rsidRDefault="00392DBB" w:rsidP="000F64D0">
      <w:pPr>
        <w:pStyle w:val="2"/>
        <w:rPr>
          <w:rtl/>
        </w:rPr>
      </w:pPr>
      <w:r>
        <w:rPr>
          <w:rtl/>
        </w:rPr>
        <w:t>סעיף יח</w:t>
      </w:r>
      <w:r>
        <w:rPr>
          <w:rFonts w:hint="cs"/>
          <w:rtl/>
        </w:rPr>
        <w:t>:</w:t>
      </w:r>
      <w:r w:rsidRPr="00C17263">
        <w:rPr>
          <w:rtl/>
        </w:rPr>
        <w:t xml:space="preserve"> </w:t>
      </w:r>
      <w:r>
        <w:rPr>
          <w:rtl/>
        </w:rPr>
        <w:t xml:space="preserve">אלמנה שגבתה כל הנכסים בכתובתה, </w:t>
      </w:r>
      <w:r>
        <w:rPr>
          <w:rFonts w:hint="cs"/>
          <w:rtl/>
        </w:rPr>
        <w:t>האם</w:t>
      </w:r>
      <w:r>
        <w:rPr>
          <w:rtl/>
        </w:rPr>
        <w:t xml:space="preserve"> חייבת בקבורת בעלה</w:t>
      </w:r>
      <w:r>
        <w:rPr>
          <w:rFonts w:hint="cs"/>
          <w:rtl/>
        </w:rPr>
        <w:t>.</w:t>
      </w:r>
    </w:p>
    <w:p w14:paraId="497AA9FA" w14:textId="0C884C8B" w:rsidR="00392DBB" w:rsidRPr="00C17263" w:rsidRDefault="00392DBB" w:rsidP="00392DBB">
      <w:pPr>
        <w:rPr>
          <w:u w:val="single"/>
          <w:rtl/>
        </w:rPr>
      </w:pPr>
      <w:r w:rsidRPr="00C17263">
        <w:rPr>
          <w:rFonts w:cs="Arial"/>
          <w:u w:val="single"/>
          <w:rtl/>
        </w:rPr>
        <w:t>אלמנה שגבתה כל הנכסים בכתובתה</w:t>
      </w:r>
      <w:r>
        <w:rPr>
          <w:rFonts w:cs="Arial" w:hint="cs"/>
          <w:u w:val="single"/>
          <w:rtl/>
        </w:rPr>
        <w:t xml:space="preserve"> </w:t>
      </w:r>
      <w:r w:rsidR="00F97626">
        <w:rPr>
          <w:rFonts w:cs="Arial"/>
          <w:u w:val="single"/>
          <w:rtl/>
        </w:rPr>
        <w:t>-</w:t>
      </w:r>
      <w:r>
        <w:rPr>
          <w:rFonts w:cs="Arial" w:hint="cs"/>
          <w:u w:val="single"/>
          <w:rtl/>
        </w:rPr>
        <w:t xml:space="preserve"> האם </w:t>
      </w:r>
      <w:r w:rsidRPr="00C17263">
        <w:rPr>
          <w:rFonts w:cs="Arial"/>
          <w:u w:val="single"/>
          <w:rtl/>
        </w:rPr>
        <w:t>חייבת בקבורת בעלה</w:t>
      </w:r>
      <w:r w:rsidRPr="00C17263">
        <w:rPr>
          <w:rFonts w:hint="cs"/>
          <w:u w:val="single"/>
          <w:rtl/>
        </w:rPr>
        <w:t>:</w:t>
      </w:r>
    </w:p>
    <w:p w14:paraId="01D7BC42" w14:textId="77777777" w:rsidR="00392DBB" w:rsidRPr="00C17263" w:rsidRDefault="00392DBB" w:rsidP="009000E3">
      <w:pPr>
        <w:pStyle w:val="ab"/>
        <w:numPr>
          <w:ilvl w:val="0"/>
          <w:numId w:val="72"/>
        </w:numPr>
        <w:rPr>
          <w:color w:val="000000" w:themeColor="text1"/>
          <w:rtl/>
        </w:rPr>
      </w:pPr>
      <w:r w:rsidRPr="00C17263">
        <w:rPr>
          <w:rFonts w:cs="Arial"/>
          <w:color w:val="000000" w:themeColor="text1"/>
          <w:rtl/>
        </w:rPr>
        <w:t xml:space="preserve">רא"ש </w:t>
      </w:r>
      <w:r w:rsidRPr="00C17263">
        <w:rPr>
          <w:rFonts w:cs="Arial" w:hint="cs"/>
          <w:color w:val="000000" w:themeColor="text1"/>
          <w:sz w:val="16"/>
          <w:szCs w:val="16"/>
          <w:rtl/>
        </w:rPr>
        <w:t>(</w:t>
      </w:r>
      <w:r w:rsidRPr="00C17263">
        <w:rPr>
          <w:rFonts w:cs="Arial"/>
          <w:color w:val="000000" w:themeColor="text1"/>
          <w:sz w:val="16"/>
          <w:szCs w:val="16"/>
          <w:rtl/>
        </w:rPr>
        <w:t>כלל טו סי' ג</w:t>
      </w:r>
      <w:r w:rsidRPr="00C17263">
        <w:rPr>
          <w:rFonts w:cs="Arial" w:hint="cs"/>
          <w:color w:val="000000" w:themeColor="text1"/>
          <w:sz w:val="16"/>
          <w:szCs w:val="16"/>
          <w:rtl/>
        </w:rPr>
        <w:t>)</w:t>
      </w:r>
      <w:r w:rsidRPr="00C17263">
        <w:rPr>
          <w:rFonts w:cs="Arial" w:hint="cs"/>
          <w:color w:val="000000" w:themeColor="text1"/>
          <w:rtl/>
        </w:rPr>
        <w:t>-</w:t>
      </w:r>
      <w:r w:rsidRPr="00C17263">
        <w:rPr>
          <w:rFonts w:cs="Arial"/>
          <w:color w:val="000000" w:themeColor="text1"/>
          <w:rtl/>
        </w:rPr>
        <w:t xml:space="preserve"> פסק רבי מאיר הלוי דאלמנה שגבתה כל הנכסים בכתובתה אינה חייבת בקבורת בעלה</w:t>
      </w:r>
      <w:r w:rsidRPr="00C17263">
        <w:rPr>
          <w:rStyle w:val="a7"/>
          <w:rFonts w:cs="Arial"/>
          <w:color w:val="000000" w:themeColor="text1"/>
          <w:rtl/>
        </w:rPr>
        <w:footnoteReference w:id="2973"/>
      </w:r>
      <w:r w:rsidRPr="00C17263">
        <w:rPr>
          <w:rFonts w:cs="Arial" w:hint="cs"/>
          <w:color w:val="000000" w:themeColor="text1"/>
          <w:rtl/>
        </w:rPr>
        <w:t>.</w:t>
      </w:r>
      <w:r w:rsidRPr="00C17263">
        <w:rPr>
          <w:rFonts w:cs="Arial"/>
          <w:color w:val="000000" w:themeColor="text1"/>
          <w:rtl/>
        </w:rPr>
        <w:t xml:space="preserve"> </w:t>
      </w:r>
      <w:r w:rsidRPr="00C17263">
        <w:rPr>
          <w:rFonts w:hint="cs"/>
          <w:color w:val="E36C0A" w:themeColor="accent6" w:themeShade="BF"/>
          <w:rtl/>
        </w:rPr>
        <w:t>(וכ"פ בשו"ע)</w:t>
      </w:r>
    </w:p>
    <w:p w14:paraId="626ADD45" w14:textId="696AF7ED" w:rsidR="00DB7E99" w:rsidRPr="006A6FF0" w:rsidRDefault="00DB7E99" w:rsidP="00DB7E99">
      <w:pPr>
        <w:ind w:left="360"/>
        <w:rPr>
          <w:rtl/>
        </w:rPr>
      </w:pPr>
      <w:r w:rsidRPr="00DB7E99">
        <w:rPr>
          <w:rFonts w:hint="cs"/>
          <w:u w:val="dotted"/>
          <w:rtl/>
        </w:rPr>
        <w:t>ומה הדין אם יש שם נכסים רק בסך כתובתה:</w:t>
      </w:r>
      <w:r>
        <w:rPr>
          <w:rFonts w:hint="cs"/>
          <w:rtl/>
        </w:rPr>
        <w:t xml:space="preserve"> </w:t>
      </w:r>
      <w:r>
        <w:rPr>
          <w:rFonts w:cs="Arial" w:hint="cs"/>
          <w:sz w:val="16"/>
          <w:szCs w:val="16"/>
          <w:rtl/>
        </w:rPr>
        <w:t xml:space="preserve"> </w:t>
      </w:r>
      <w:r w:rsidRPr="006A6FF0">
        <w:rPr>
          <w:rFonts w:cs="Arial"/>
          <w:sz w:val="16"/>
          <w:szCs w:val="16"/>
          <w:rtl/>
        </w:rPr>
        <w:t>(</w:t>
      </w:r>
      <w:r w:rsidRPr="006A6FF0">
        <w:rPr>
          <w:rFonts w:cs="Arial" w:hint="cs"/>
          <w:sz w:val="16"/>
          <w:szCs w:val="16"/>
          <w:rtl/>
        </w:rPr>
        <w:t>דרכ"מ</w:t>
      </w:r>
      <w:r w:rsidR="00792E4A">
        <w:rPr>
          <w:rFonts w:cs="Arial" w:hint="cs"/>
          <w:sz w:val="16"/>
          <w:szCs w:val="16"/>
          <w:rtl/>
        </w:rPr>
        <w:t xml:space="preserve"> סי' ק</w:t>
      </w:r>
      <w:r w:rsidRPr="006A6FF0">
        <w:rPr>
          <w:rFonts w:cs="Arial" w:hint="cs"/>
          <w:sz w:val="16"/>
          <w:szCs w:val="16"/>
          <w:rtl/>
        </w:rPr>
        <w:t xml:space="preserve"> אות </w:t>
      </w:r>
      <w:r w:rsidRPr="006A6FF0">
        <w:rPr>
          <w:rFonts w:cs="Arial"/>
          <w:sz w:val="16"/>
          <w:szCs w:val="16"/>
          <w:rtl/>
        </w:rPr>
        <w:t>ב)</w:t>
      </w:r>
      <w:r w:rsidRPr="003D2914">
        <w:rPr>
          <w:rFonts w:cs="Arial"/>
          <w:rtl/>
        </w:rPr>
        <w:t xml:space="preserve"> </w:t>
      </w:r>
    </w:p>
    <w:p w14:paraId="38B78A3E" w14:textId="3D40D22F" w:rsidR="00DB7E99" w:rsidRPr="00A678C2" w:rsidRDefault="00DB7E99" w:rsidP="00DB7E99">
      <w:pPr>
        <w:pStyle w:val="ab"/>
        <w:numPr>
          <w:ilvl w:val="0"/>
          <w:numId w:val="62"/>
        </w:numPr>
      </w:pPr>
      <w:r w:rsidRPr="006A6FF0">
        <w:rPr>
          <w:rFonts w:cs="Arial"/>
          <w:rtl/>
        </w:rPr>
        <w:t>מהר"ם</w:t>
      </w:r>
      <w:r w:rsidRPr="00141CDB">
        <w:rPr>
          <w:rFonts w:cs="Arial"/>
          <w:sz w:val="16"/>
          <w:szCs w:val="16"/>
          <w:rtl/>
        </w:rPr>
        <w:t xml:space="preserve"> (ד"ק סי' קפד וסי' רמג</w:t>
      </w:r>
      <w:r w:rsidRPr="00141CDB">
        <w:rPr>
          <w:rFonts w:cs="Arial" w:hint="cs"/>
          <w:sz w:val="16"/>
          <w:szCs w:val="16"/>
          <w:rtl/>
        </w:rPr>
        <w:t>, כ"כ בשמו ה</w:t>
      </w:r>
      <w:r w:rsidRPr="00141CDB">
        <w:rPr>
          <w:rFonts w:cs="Arial"/>
          <w:sz w:val="16"/>
          <w:szCs w:val="16"/>
          <w:rtl/>
        </w:rPr>
        <w:t xml:space="preserve">מרדכי </w:t>
      </w:r>
      <w:r w:rsidRPr="00141CDB">
        <w:rPr>
          <w:rFonts w:cs="Arial" w:hint="cs"/>
          <w:sz w:val="16"/>
          <w:szCs w:val="16"/>
          <w:rtl/>
        </w:rPr>
        <w:t>[</w:t>
      </w:r>
      <w:r w:rsidRPr="00141CDB">
        <w:rPr>
          <w:rFonts w:cs="Arial"/>
          <w:sz w:val="16"/>
          <w:szCs w:val="16"/>
          <w:rtl/>
        </w:rPr>
        <w:t>פרק נערה סי' קנז-קנח</w:t>
      </w:r>
      <w:r w:rsidRPr="00141CDB">
        <w:rPr>
          <w:rFonts w:cs="Arial" w:hint="cs"/>
          <w:sz w:val="16"/>
          <w:szCs w:val="16"/>
          <w:rtl/>
        </w:rPr>
        <w:t>]</w:t>
      </w:r>
      <w:r w:rsidRPr="00141CDB">
        <w:rPr>
          <w:rFonts w:cs="Arial"/>
          <w:sz w:val="16"/>
          <w:szCs w:val="16"/>
          <w:rtl/>
        </w:rPr>
        <w:t>)</w:t>
      </w:r>
      <w:r>
        <w:rPr>
          <w:rFonts w:cs="Arial" w:hint="cs"/>
          <w:rtl/>
        </w:rPr>
        <w:t>-</w:t>
      </w:r>
      <w:r w:rsidRPr="006A6FF0">
        <w:rPr>
          <w:rFonts w:cs="Arial"/>
          <w:rtl/>
        </w:rPr>
        <w:t xml:space="preserve"> האשה אינה צריכה לקבור בעלה ולקנות תכריכין מכתובתה</w:t>
      </w:r>
      <w:r>
        <w:rPr>
          <w:rFonts w:cs="Arial" w:hint="cs"/>
          <w:rtl/>
        </w:rPr>
        <w:t>,</w:t>
      </w:r>
      <w:r w:rsidRPr="006A6FF0">
        <w:rPr>
          <w:rFonts w:cs="Arial"/>
          <w:rtl/>
        </w:rPr>
        <w:t xml:space="preserve"> אלא היא נוטלת כתובתה</w:t>
      </w:r>
      <w:r>
        <w:rPr>
          <w:rFonts w:cs="Arial" w:hint="cs"/>
          <w:rtl/>
        </w:rPr>
        <w:t>,</w:t>
      </w:r>
      <w:r w:rsidRPr="006A6FF0">
        <w:rPr>
          <w:rFonts w:cs="Arial"/>
          <w:rtl/>
        </w:rPr>
        <w:t xml:space="preserve"> ואם אין כאן כדי קבורה </w:t>
      </w:r>
      <w:r w:rsidR="00792E4A">
        <w:rPr>
          <w:rFonts w:cs="Arial" w:hint="cs"/>
          <w:rtl/>
        </w:rPr>
        <w:t xml:space="preserve">- </w:t>
      </w:r>
      <w:r w:rsidRPr="006A6FF0">
        <w:rPr>
          <w:rFonts w:cs="Arial"/>
          <w:rtl/>
        </w:rPr>
        <w:t>הוא נקבר מקופה של צדקה</w:t>
      </w:r>
      <w:r>
        <w:rPr>
          <w:rStyle w:val="a7"/>
          <w:rFonts w:cs="Arial"/>
          <w:rtl/>
        </w:rPr>
        <w:footnoteReference w:id="2974"/>
      </w:r>
      <w:r>
        <w:rPr>
          <w:rFonts w:cs="Arial" w:hint="cs"/>
          <w:rtl/>
        </w:rPr>
        <w:t>.</w:t>
      </w:r>
      <w:r w:rsidRPr="006A6FF0">
        <w:rPr>
          <w:rFonts w:cs="Arial"/>
          <w:rtl/>
        </w:rPr>
        <w:t xml:space="preserve"> </w:t>
      </w:r>
      <w:r w:rsidRPr="00AF388C">
        <w:rPr>
          <w:rFonts w:hint="cs"/>
          <w:color w:val="00B0F0"/>
          <w:rtl/>
        </w:rPr>
        <w:t>(וכ"פ הרמ"א)</w:t>
      </w:r>
    </w:p>
    <w:p w14:paraId="743F2EC2" w14:textId="18859AFE" w:rsidR="00DB7E99" w:rsidRPr="00A678C2" w:rsidRDefault="00DB7E99" w:rsidP="00DB7E99">
      <w:pPr>
        <w:ind w:left="360"/>
        <w:rPr>
          <w:u w:val="dotted"/>
        </w:rPr>
      </w:pPr>
      <w:r w:rsidRPr="00A678C2">
        <w:rPr>
          <w:rFonts w:hint="cs"/>
          <w:u w:val="dotted"/>
          <w:rtl/>
        </w:rPr>
        <w:t xml:space="preserve">ומה הדין אם היתומים </w:t>
      </w:r>
      <w:r w:rsidR="00792E4A">
        <w:rPr>
          <w:rFonts w:hint="cs"/>
          <w:u w:val="dotted"/>
          <w:rtl/>
        </w:rPr>
        <w:t>תפסו מטלטלין וקברו אותו בכסף מכירתם</w:t>
      </w:r>
      <w:r w:rsidRPr="00A678C2">
        <w:rPr>
          <w:rFonts w:hint="cs"/>
          <w:u w:val="dotted"/>
          <w:rtl/>
        </w:rPr>
        <w:t>:</w:t>
      </w:r>
      <w:r>
        <w:rPr>
          <w:rFonts w:hint="cs"/>
          <w:rtl/>
        </w:rPr>
        <w:t xml:space="preserve"> </w:t>
      </w:r>
      <w:r w:rsidRPr="006A6FF0">
        <w:rPr>
          <w:rFonts w:cs="Arial"/>
          <w:sz w:val="16"/>
          <w:szCs w:val="16"/>
          <w:rtl/>
        </w:rPr>
        <w:t>(</w:t>
      </w:r>
      <w:r w:rsidRPr="006A6FF0">
        <w:rPr>
          <w:rFonts w:cs="Arial" w:hint="cs"/>
          <w:sz w:val="16"/>
          <w:szCs w:val="16"/>
          <w:rtl/>
        </w:rPr>
        <w:t xml:space="preserve">דרכ"מ </w:t>
      </w:r>
      <w:r w:rsidR="00792E4A">
        <w:rPr>
          <w:rFonts w:cs="Arial" w:hint="cs"/>
          <w:sz w:val="16"/>
          <w:szCs w:val="16"/>
          <w:rtl/>
        </w:rPr>
        <w:t xml:space="preserve">סי' ק </w:t>
      </w:r>
      <w:r w:rsidRPr="006A6FF0">
        <w:rPr>
          <w:rFonts w:cs="Arial" w:hint="cs"/>
          <w:sz w:val="16"/>
          <w:szCs w:val="16"/>
          <w:rtl/>
        </w:rPr>
        <w:t xml:space="preserve">אות </w:t>
      </w:r>
      <w:r w:rsidRPr="006A6FF0">
        <w:rPr>
          <w:rFonts w:cs="Arial"/>
          <w:sz w:val="16"/>
          <w:szCs w:val="16"/>
          <w:rtl/>
        </w:rPr>
        <w:t>ב)</w:t>
      </w:r>
    </w:p>
    <w:p w14:paraId="36F1B832" w14:textId="12777BB3" w:rsidR="00DB7E99" w:rsidRPr="00141CDB" w:rsidRDefault="00DB7E99" w:rsidP="00DB7E99">
      <w:pPr>
        <w:pStyle w:val="ab"/>
        <w:numPr>
          <w:ilvl w:val="0"/>
          <w:numId w:val="62"/>
        </w:numPr>
      </w:pPr>
      <w:r w:rsidRPr="006A6FF0">
        <w:rPr>
          <w:rFonts w:cs="Arial"/>
          <w:rtl/>
        </w:rPr>
        <w:t xml:space="preserve">ריב"ש </w:t>
      </w:r>
      <w:r w:rsidRPr="00141CDB">
        <w:rPr>
          <w:rFonts w:cs="Arial" w:hint="cs"/>
          <w:sz w:val="16"/>
          <w:szCs w:val="16"/>
          <w:rtl/>
        </w:rPr>
        <w:t>(</w:t>
      </w:r>
      <w:r w:rsidRPr="00141CDB">
        <w:rPr>
          <w:rFonts w:cs="Arial"/>
          <w:sz w:val="16"/>
          <w:szCs w:val="16"/>
          <w:rtl/>
        </w:rPr>
        <w:t>סי</w:t>
      </w:r>
      <w:r w:rsidRPr="00141CDB">
        <w:rPr>
          <w:rFonts w:cs="Arial" w:hint="cs"/>
          <w:sz w:val="16"/>
          <w:szCs w:val="16"/>
          <w:rtl/>
        </w:rPr>
        <w:t>'</w:t>
      </w:r>
      <w:r w:rsidRPr="00141CDB">
        <w:rPr>
          <w:rFonts w:cs="Arial"/>
          <w:sz w:val="16"/>
          <w:szCs w:val="16"/>
          <w:rtl/>
        </w:rPr>
        <w:t xml:space="preserve"> קד</w:t>
      </w:r>
      <w:r w:rsidRPr="00141CDB">
        <w:rPr>
          <w:rFonts w:cs="Arial" w:hint="cs"/>
          <w:sz w:val="16"/>
          <w:szCs w:val="16"/>
          <w:rtl/>
        </w:rPr>
        <w:t>)</w:t>
      </w:r>
      <w:r>
        <w:rPr>
          <w:rFonts w:cs="Arial" w:hint="cs"/>
          <w:rtl/>
        </w:rPr>
        <w:t xml:space="preserve">- </w:t>
      </w:r>
      <w:r w:rsidRPr="006A6FF0">
        <w:rPr>
          <w:rFonts w:cs="Arial"/>
          <w:rtl/>
        </w:rPr>
        <w:t>ודאי אם תפסה האשה מטלטלין ודאי אין צריך לקברו</w:t>
      </w:r>
      <w:r w:rsidR="00792E4A">
        <w:rPr>
          <w:rFonts w:cs="Arial" w:hint="cs"/>
          <w:rtl/>
        </w:rPr>
        <w:t>.</w:t>
      </w:r>
      <w:r w:rsidRPr="006A6FF0">
        <w:rPr>
          <w:rFonts w:cs="Arial"/>
          <w:rtl/>
        </w:rPr>
        <w:t xml:space="preserve"> אבל אם קדמו היתומים ולקחו מטלטלין והוציאום </w:t>
      </w:r>
      <w:r>
        <w:rPr>
          <w:rFonts w:cs="Arial" w:hint="cs"/>
          <w:rtl/>
        </w:rPr>
        <w:t xml:space="preserve">- </w:t>
      </w:r>
      <w:r w:rsidRPr="006A6FF0">
        <w:rPr>
          <w:rFonts w:cs="Arial"/>
          <w:rtl/>
        </w:rPr>
        <w:t>א</w:t>
      </w:r>
      <w:r w:rsidR="00792E4A">
        <w:rPr>
          <w:rFonts w:cs="Arial" w:hint="cs"/>
          <w:rtl/>
        </w:rPr>
        <w:t>ינם צריכים</w:t>
      </w:r>
      <w:r w:rsidRPr="006A6FF0">
        <w:rPr>
          <w:rFonts w:cs="Arial"/>
          <w:rtl/>
        </w:rPr>
        <w:t xml:space="preserve"> לשלם. </w:t>
      </w:r>
      <w:r w:rsidRPr="00AF388C">
        <w:rPr>
          <w:rFonts w:hint="cs"/>
          <w:color w:val="00B0F0"/>
          <w:rtl/>
        </w:rPr>
        <w:t>(וכ"פ הרמ"</w:t>
      </w:r>
      <w:r>
        <w:rPr>
          <w:rFonts w:hint="cs"/>
          <w:color w:val="00B0F0"/>
          <w:rtl/>
        </w:rPr>
        <w:t>א</w:t>
      </w:r>
      <w:r w:rsidRPr="00AF388C">
        <w:rPr>
          <w:rFonts w:hint="cs"/>
          <w:color w:val="00B0F0"/>
          <w:rtl/>
        </w:rPr>
        <w:t>)</w:t>
      </w:r>
    </w:p>
    <w:p w14:paraId="4C5DDAAF"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479B59F2" w14:textId="72F7283C" w:rsidR="00392DBB" w:rsidRDefault="00392DBB" w:rsidP="00392DBB">
      <w:pPr>
        <w:rPr>
          <w:rFonts w:cs="Arial"/>
          <w:sz w:val="18"/>
          <w:szCs w:val="18"/>
          <w:rtl/>
        </w:rPr>
      </w:pPr>
      <w:r>
        <w:rPr>
          <w:rFonts w:cs="Arial"/>
          <w:rtl/>
        </w:rPr>
        <w:t xml:space="preserve">אלמנה שגבתה כל הנכסים בכתובתה, אינה חייבת בקבורת בעלה. </w:t>
      </w:r>
      <w:r w:rsidRPr="00213780">
        <w:rPr>
          <w:rFonts w:cs="Arial"/>
          <w:sz w:val="18"/>
          <w:szCs w:val="18"/>
          <w:rtl/>
        </w:rPr>
        <w:t>הגה: ואפילו אין כאן רק כדי קבורה, היא גובאת כתובתה והוא נקבר מקופה של צדקה (</w:t>
      </w:r>
      <w:r w:rsidR="00792E4A">
        <w:rPr>
          <w:rFonts w:cs="Arial" w:hint="cs"/>
          <w:sz w:val="18"/>
          <w:szCs w:val="18"/>
          <w:rtl/>
        </w:rPr>
        <w:t>מהר"ם</w:t>
      </w:r>
      <w:r w:rsidRPr="00213780">
        <w:rPr>
          <w:rFonts w:cs="Arial"/>
          <w:sz w:val="18"/>
          <w:szCs w:val="18"/>
          <w:rtl/>
        </w:rPr>
        <w:t xml:space="preserve">). אבל אם תפסו היתומים מטלטלי, וקברו אותו, אין צריכים לשלם (ריב"ש). </w:t>
      </w:r>
    </w:p>
    <w:p w14:paraId="2DD678C0" w14:textId="77777777" w:rsidR="00392DBB" w:rsidRDefault="00392DBB" w:rsidP="00392DBB">
      <w:pPr>
        <w:rPr>
          <w:rtl/>
        </w:rPr>
      </w:pPr>
    </w:p>
    <w:p w14:paraId="17E31D71" w14:textId="2DAF4E8E" w:rsidR="00392DBB" w:rsidRDefault="00392DBB" w:rsidP="000F64D0">
      <w:pPr>
        <w:pStyle w:val="2"/>
        <w:rPr>
          <w:rtl/>
        </w:rPr>
      </w:pPr>
      <w:r>
        <w:rPr>
          <w:rtl/>
        </w:rPr>
        <w:t>סעיף יט</w:t>
      </w:r>
      <w:r>
        <w:rPr>
          <w:rFonts w:hint="cs"/>
          <w:rtl/>
        </w:rPr>
        <w:t>:</w:t>
      </w:r>
      <w:r w:rsidRPr="00BC3109">
        <w:rPr>
          <w:rtl/>
        </w:rPr>
        <w:t xml:space="preserve"> </w:t>
      </w:r>
      <w:r w:rsidRPr="004638AD">
        <w:rPr>
          <w:rtl/>
        </w:rPr>
        <w:t>ה</w:t>
      </w:r>
      <w:r>
        <w:rPr>
          <w:rFonts w:hint="cs"/>
          <w:rtl/>
        </w:rPr>
        <w:t>תנ</w:t>
      </w:r>
      <w:r w:rsidR="004F0F96">
        <w:rPr>
          <w:rFonts w:hint="cs"/>
          <w:rtl/>
        </w:rPr>
        <w:t>ת</w:t>
      </w:r>
      <w:r w:rsidRPr="004638AD">
        <w:rPr>
          <w:rtl/>
        </w:rPr>
        <w:t xml:space="preserve">ה </w:t>
      </w:r>
      <w:r w:rsidR="00EF64D2">
        <w:rPr>
          <w:rFonts w:hint="cs"/>
          <w:rtl/>
        </w:rPr>
        <w:t>ע</w:t>
      </w:r>
      <w:r w:rsidR="004F0F96">
        <w:rPr>
          <w:rFonts w:hint="cs"/>
          <w:rtl/>
        </w:rPr>
        <w:t>ם בעלה</w:t>
      </w:r>
      <w:r w:rsidR="00EF64D2">
        <w:rPr>
          <w:rFonts w:hint="cs"/>
          <w:rtl/>
        </w:rPr>
        <w:t xml:space="preserve"> תנאי</w:t>
      </w:r>
      <w:r w:rsidR="004F0F96">
        <w:rPr>
          <w:rFonts w:hint="cs"/>
          <w:rtl/>
        </w:rPr>
        <w:t xml:space="preserve"> בשעת נישואין</w:t>
      </w:r>
      <w:r>
        <w:rPr>
          <w:rFonts w:hint="cs"/>
          <w:rtl/>
        </w:rPr>
        <w:t>, ו</w:t>
      </w:r>
      <w:r w:rsidRPr="004638AD">
        <w:rPr>
          <w:rtl/>
        </w:rPr>
        <w:t>גירשה והחזירה</w:t>
      </w:r>
      <w:r>
        <w:rPr>
          <w:rFonts w:hint="cs"/>
          <w:rtl/>
        </w:rPr>
        <w:t>.</w:t>
      </w:r>
    </w:p>
    <w:p w14:paraId="7EED3AA9" w14:textId="2182F642" w:rsidR="00392DBB" w:rsidRPr="003F7A28" w:rsidRDefault="00392DBB" w:rsidP="00392DBB">
      <w:pPr>
        <w:rPr>
          <w:u w:val="single"/>
        </w:rPr>
      </w:pPr>
      <w:r w:rsidRPr="003F7A28">
        <w:rPr>
          <w:rFonts w:cs="Arial"/>
          <w:u w:val="single"/>
          <w:rtl/>
        </w:rPr>
        <w:t>התנ</w:t>
      </w:r>
      <w:r w:rsidR="004F0F96">
        <w:rPr>
          <w:rFonts w:cs="Arial" w:hint="cs"/>
          <w:u w:val="single"/>
          <w:rtl/>
        </w:rPr>
        <w:t>ת</w:t>
      </w:r>
      <w:r w:rsidRPr="003F7A28">
        <w:rPr>
          <w:rFonts w:cs="Arial"/>
          <w:u w:val="single"/>
          <w:rtl/>
        </w:rPr>
        <w:t>ה עם בעלה בשעת נשואין שאם תמות תחתיו בלא ולד יהא שליש נדוניתא ליורשיה, וגירשה והחזירה סתם</w:t>
      </w:r>
      <w:r w:rsidRPr="003F7A28">
        <w:rPr>
          <w:rFonts w:hint="cs"/>
          <w:u w:val="single"/>
          <w:rtl/>
        </w:rPr>
        <w:t>:</w:t>
      </w:r>
    </w:p>
    <w:p w14:paraId="6DF05197" w14:textId="77777777" w:rsidR="00392DBB" w:rsidRPr="003F7A28" w:rsidRDefault="00392DBB" w:rsidP="009000E3">
      <w:pPr>
        <w:pStyle w:val="ab"/>
        <w:numPr>
          <w:ilvl w:val="0"/>
          <w:numId w:val="72"/>
        </w:numPr>
      </w:pPr>
      <w:r w:rsidRPr="004638AD">
        <w:rPr>
          <w:rFonts w:cs="Arial"/>
          <w:rtl/>
        </w:rPr>
        <w:t>רשב"א</w:t>
      </w:r>
      <w:r w:rsidRPr="003F7A28">
        <w:rPr>
          <w:rFonts w:cs="Arial"/>
          <w:sz w:val="16"/>
          <w:szCs w:val="16"/>
          <w:rtl/>
        </w:rPr>
        <w:t xml:space="preserve"> (ח"א סי' תתקסב)</w:t>
      </w:r>
      <w:r>
        <w:rPr>
          <w:rFonts w:cs="Arial" w:hint="cs"/>
          <w:rtl/>
        </w:rPr>
        <w:t>-</w:t>
      </w:r>
      <w:r w:rsidRPr="004638AD">
        <w:rPr>
          <w:rFonts w:cs="Arial"/>
          <w:rtl/>
        </w:rPr>
        <w:t xml:space="preserve"> המתנה עם בעלה בשעת נישואין שאם תמות תחתיו בלא ולד קיימא</w:t>
      </w:r>
      <w:r>
        <w:rPr>
          <w:rFonts w:cs="Arial" w:hint="cs"/>
          <w:rtl/>
        </w:rPr>
        <w:t>,</w:t>
      </w:r>
      <w:r w:rsidRPr="004638AD">
        <w:rPr>
          <w:rFonts w:cs="Arial"/>
          <w:rtl/>
        </w:rPr>
        <w:t xml:space="preserve"> שיהא שליש נדונייתה ליורשיה</w:t>
      </w:r>
      <w:r>
        <w:rPr>
          <w:rFonts w:cs="Arial" w:hint="cs"/>
          <w:rtl/>
        </w:rPr>
        <w:t>.</w:t>
      </w:r>
      <w:r w:rsidRPr="004638AD">
        <w:rPr>
          <w:rFonts w:cs="Arial"/>
          <w:rtl/>
        </w:rPr>
        <w:t xml:space="preserve"> וגירשה ואח"כ החזירה </w:t>
      </w:r>
      <w:r>
        <w:rPr>
          <w:rFonts w:cs="Arial" w:hint="cs"/>
          <w:rtl/>
        </w:rPr>
        <w:t xml:space="preserve">- </w:t>
      </w:r>
      <w:r w:rsidRPr="004638AD">
        <w:rPr>
          <w:rFonts w:cs="Arial"/>
          <w:rtl/>
        </w:rPr>
        <w:t>מסתברא שלדעת תנאים הראשונים החזירה</w:t>
      </w:r>
      <w:r>
        <w:rPr>
          <w:rFonts w:cs="Arial" w:hint="cs"/>
          <w:rtl/>
        </w:rPr>
        <w:t>.</w:t>
      </w:r>
      <w:r w:rsidRPr="004638AD">
        <w:rPr>
          <w:rFonts w:cs="Arial"/>
          <w:rtl/>
        </w:rPr>
        <w:t xml:space="preserve"> ולא מיבעיא במקום שנהגו לכתוב</w:t>
      </w:r>
      <w:r>
        <w:rPr>
          <w:rFonts w:cs="Arial" w:hint="cs"/>
          <w:rtl/>
        </w:rPr>
        <w:t>,</w:t>
      </w:r>
      <w:r w:rsidRPr="004638AD">
        <w:rPr>
          <w:rFonts w:cs="Arial"/>
          <w:rtl/>
        </w:rPr>
        <w:t xml:space="preserve"> דהתם אפילו לא כתב דינו כמי שכתב</w:t>
      </w:r>
      <w:r>
        <w:rPr>
          <w:rFonts w:cs="Arial" w:hint="cs"/>
          <w:rtl/>
        </w:rPr>
        <w:t>,</w:t>
      </w:r>
      <w:r w:rsidRPr="004638AD">
        <w:rPr>
          <w:rFonts w:cs="Arial"/>
          <w:rtl/>
        </w:rPr>
        <w:t xml:space="preserve"> שכל המכנסת נדוניא לבעלה על מנת כן היא מכנסת</w:t>
      </w:r>
      <w:r>
        <w:rPr>
          <w:rFonts w:cs="Arial" w:hint="cs"/>
          <w:rtl/>
        </w:rPr>
        <w:t>.</w:t>
      </w:r>
      <w:r w:rsidRPr="004638AD">
        <w:rPr>
          <w:rFonts w:cs="Arial"/>
          <w:rtl/>
        </w:rPr>
        <w:t xml:space="preserve"> וכדאמרינן בפרק המקבל (ב"מ קד.) דדורשים לשון הדיוט</w:t>
      </w:r>
      <w:r>
        <w:rPr>
          <w:rFonts w:cs="Arial" w:hint="cs"/>
          <w:rtl/>
        </w:rPr>
        <w:t>.</w:t>
      </w:r>
      <w:r w:rsidRPr="004638AD">
        <w:rPr>
          <w:rFonts w:cs="Arial"/>
          <w:rtl/>
        </w:rPr>
        <w:t xml:space="preserve"> אלא אפילו במקום שלא נהגו</w:t>
      </w:r>
      <w:r>
        <w:rPr>
          <w:rFonts w:cs="Arial" w:hint="cs"/>
          <w:rtl/>
        </w:rPr>
        <w:t>,</w:t>
      </w:r>
      <w:r w:rsidRPr="004638AD">
        <w:rPr>
          <w:rFonts w:cs="Arial"/>
          <w:rtl/>
        </w:rPr>
        <w:t xml:space="preserve"> כיון שהיה תנאי ביניהם בשעת הנישואין הראשונים</w:t>
      </w:r>
      <w:r>
        <w:rPr>
          <w:rFonts w:cs="Arial" w:hint="cs"/>
          <w:rtl/>
        </w:rPr>
        <w:t>,</w:t>
      </w:r>
      <w:r w:rsidRPr="004638AD">
        <w:rPr>
          <w:rFonts w:cs="Arial"/>
          <w:rtl/>
        </w:rPr>
        <w:t xml:space="preserve"> כשהוא מחזירה ע"ד אותם התנאים מחזירה</w:t>
      </w:r>
      <w:r>
        <w:rPr>
          <w:rFonts w:cs="Arial" w:hint="cs"/>
          <w:rtl/>
        </w:rPr>
        <w:t>.</w:t>
      </w:r>
      <w:r w:rsidRPr="004638AD">
        <w:rPr>
          <w:rFonts w:cs="Arial"/>
          <w:rtl/>
        </w:rPr>
        <w:t xml:space="preserve"> וכדתנן בסוף הכותב (כתובות פט:) שהמגרש את האשה והחזירה</w:t>
      </w:r>
      <w:r>
        <w:rPr>
          <w:rFonts w:cs="Arial" w:hint="cs"/>
          <w:rtl/>
        </w:rPr>
        <w:t>,</w:t>
      </w:r>
      <w:r w:rsidRPr="004638AD">
        <w:rPr>
          <w:rFonts w:cs="Arial"/>
          <w:rtl/>
        </w:rPr>
        <w:t xml:space="preserve"> ע"ד כתובתה הראשונה החזירה</w:t>
      </w:r>
      <w:r>
        <w:rPr>
          <w:rFonts w:cs="Arial" w:hint="cs"/>
          <w:rtl/>
        </w:rPr>
        <w:t>.</w:t>
      </w:r>
      <w:r w:rsidRPr="004638AD">
        <w:rPr>
          <w:rFonts w:cs="Arial"/>
          <w:rtl/>
        </w:rPr>
        <w:t xml:space="preserve"> ואע</w:t>
      </w:r>
      <w:r>
        <w:rPr>
          <w:rFonts w:cs="Arial" w:hint="cs"/>
          <w:rtl/>
        </w:rPr>
        <w:t>"</w:t>
      </w:r>
      <w:r w:rsidRPr="004638AD">
        <w:rPr>
          <w:rFonts w:cs="Arial"/>
          <w:rtl/>
        </w:rPr>
        <w:t>ג דאמר רב הונא (שם צ.) לא שנא אלא מנה ומאתים אבל תוספת אין לה</w:t>
      </w:r>
      <w:r>
        <w:rPr>
          <w:rFonts w:cs="Arial" w:hint="cs"/>
          <w:rtl/>
        </w:rPr>
        <w:t>,</w:t>
      </w:r>
      <w:r w:rsidRPr="004638AD">
        <w:rPr>
          <w:rFonts w:cs="Arial"/>
          <w:rtl/>
        </w:rPr>
        <w:t xml:space="preserve"> היינו דוקא מה שהוסיף לה משלו</w:t>
      </w:r>
      <w:r>
        <w:rPr>
          <w:rFonts w:cs="Arial" w:hint="cs"/>
          <w:rtl/>
        </w:rPr>
        <w:t>,</w:t>
      </w:r>
      <w:r w:rsidRPr="004638AD">
        <w:rPr>
          <w:rFonts w:cs="Arial"/>
          <w:rtl/>
        </w:rPr>
        <w:t xml:space="preserve"> שעל דעת נשואים הראשונים החזירה ולא ע"ד השניים</w:t>
      </w:r>
      <w:r>
        <w:rPr>
          <w:rFonts w:cs="Arial" w:hint="cs"/>
          <w:rtl/>
        </w:rPr>
        <w:t>.</w:t>
      </w:r>
      <w:r w:rsidRPr="004638AD">
        <w:rPr>
          <w:rFonts w:cs="Arial"/>
          <w:rtl/>
        </w:rPr>
        <w:t xml:space="preserve"> אבל במה ששיירה מנדונייתה ליורשיה הרי הוא כעיקר כתובתה שהמכנסת ע"ד כן מכנסת וכשקיבל ע"ד כן קיבל</w:t>
      </w:r>
      <w:r>
        <w:rPr>
          <w:rFonts w:cs="Arial" w:hint="cs"/>
          <w:rtl/>
        </w:rPr>
        <w:t>.</w:t>
      </w:r>
      <w:r w:rsidRPr="004638AD">
        <w:rPr>
          <w:rFonts w:cs="Arial"/>
          <w:rtl/>
        </w:rPr>
        <w:t xml:space="preserve"> ועוד שלא ע"ד קידושין הראשונים נעשה התנאי אלא כל זמן שתמות תחתיו בלא ולד קיימא. </w:t>
      </w:r>
      <w:r w:rsidRPr="00C17263">
        <w:rPr>
          <w:rFonts w:hint="cs"/>
          <w:color w:val="E36C0A" w:themeColor="accent6" w:themeShade="BF"/>
          <w:rtl/>
        </w:rPr>
        <w:t>(וכ"פ בשו"ע)</w:t>
      </w:r>
    </w:p>
    <w:p w14:paraId="3776F2C9" w14:textId="1AEEA01D" w:rsidR="00392DBB" w:rsidRPr="00DA7F60" w:rsidRDefault="00392DBB" w:rsidP="00392DBB">
      <w:pPr>
        <w:rPr>
          <w:u w:val="single"/>
        </w:rPr>
      </w:pPr>
      <w:r w:rsidRPr="00DA7F60">
        <w:rPr>
          <w:rFonts w:cs="Arial"/>
          <w:u w:val="single"/>
          <w:rtl/>
        </w:rPr>
        <w:t>מי שהיא תובע</w:t>
      </w:r>
      <w:r w:rsidRPr="00DA7F60">
        <w:rPr>
          <w:rFonts w:cs="Arial" w:hint="cs"/>
          <w:u w:val="single"/>
          <w:rtl/>
        </w:rPr>
        <w:t>ת</w:t>
      </w:r>
      <w:r w:rsidRPr="00DA7F60">
        <w:rPr>
          <w:rFonts w:cs="Arial"/>
          <w:u w:val="single"/>
          <w:rtl/>
        </w:rPr>
        <w:t xml:space="preserve"> לבעלה לגרשה ויצאו הגירושין ממנה</w:t>
      </w:r>
      <w:r w:rsidRPr="00DA7F60">
        <w:rPr>
          <w:rFonts w:hint="cs"/>
          <w:u w:val="single"/>
          <w:rtl/>
        </w:rPr>
        <w:t xml:space="preserve"> </w:t>
      </w:r>
      <w:r w:rsidR="00F97626">
        <w:rPr>
          <w:u w:val="single"/>
          <w:rtl/>
        </w:rPr>
        <w:t>-</w:t>
      </w:r>
      <w:r w:rsidRPr="00DA7F60">
        <w:rPr>
          <w:rFonts w:hint="cs"/>
          <w:u w:val="single"/>
          <w:rtl/>
        </w:rPr>
        <w:t xml:space="preserve"> האם גובה כל הסכום ש</w:t>
      </w:r>
      <w:r>
        <w:rPr>
          <w:rFonts w:hint="cs"/>
          <w:u w:val="single"/>
          <w:rtl/>
        </w:rPr>
        <w:t xml:space="preserve">ל </w:t>
      </w:r>
      <w:r w:rsidRPr="00DA7F60">
        <w:rPr>
          <w:rFonts w:hint="cs"/>
          <w:u w:val="single"/>
          <w:rtl/>
        </w:rPr>
        <w:t>נדונייתה</w:t>
      </w:r>
      <w:r>
        <w:rPr>
          <w:rFonts w:hint="cs"/>
          <w:u w:val="single"/>
          <w:rtl/>
        </w:rPr>
        <w:t xml:space="preserve"> שכתוב בכתובה</w:t>
      </w:r>
      <w:r w:rsidRPr="00DA7F60">
        <w:rPr>
          <w:rFonts w:hint="cs"/>
          <w:u w:val="single"/>
          <w:rtl/>
        </w:rPr>
        <w:t>:</w:t>
      </w:r>
    </w:p>
    <w:p w14:paraId="694CD645" w14:textId="77777777" w:rsidR="00392DBB" w:rsidRPr="008E3200" w:rsidRDefault="00392DBB" w:rsidP="009000E3">
      <w:pPr>
        <w:pStyle w:val="ab"/>
        <w:numPr>
          <w:ilvl w:val="0"/>
          <w:numId w:val="72"/>
        </w:numPr>
        <w:rPr>
          <w:rtl/>
        </w:rPr>
      </w:pPr>
      <w:r>
        <w:rPr>
          <w:rFonts w:cs="Arial" w:hint="cs"/>
          <w:rtl/>
        </w:rPr>
        <w:t xml:space="preserve">טור- </w:t>
      </w:r>
      <w:r w:rsidRPr="00213780">
        <w:rPr>
          <w:rFonts w:cs="Arial"/>
          <w:rtl/>
        </w:rPr>
        <w:t>מי שהיא תובע</w:t>
      </w:r>
      <w:r>
        <w:rPr>
          <w:rFonts w:cs="Arial" w:hint="cs"/>
          <w:rtl/>
        </w:rPr>
        <w:t>ת</w:t>
      </w:r>
      <w:r w:rsidRPr="00213780">
        <w:rPr>
          <w:rFonts w:cs="Arial"/>
          <w:rtl/>
        </w:rPr>
        <w:t xml:space="preserve"> לבעלה לגרשה</w:t>
      </w:r>
      <w:r>
        <w:rPr>
          <w:rFonts w:cs="Arial" w:hint="cs"/>
          <w:rtl/>
        </w:rPr>
        <w:t>,</w:t>
      </w:r>
      <w:r w:rsidRPr="00213780">
        <w:rPr>
          <w:rFonts w:cs="Arial"/>
          <w:rtl/>
        </w:rPr>
        <w:t xml:space="preserve"> ויצאו הגירושין ממנה</w:t>
      </w:r>
      <w:r>
        <w:rPr>
          <w:rFonts w:cs="Arial" w:hint="cs"/>
          <w:rtl/>
        </w:rPr>
        <w:t xml:space="preserve"> -</w:t>
      </w:r>
      <w:r w:rsidRPr="00213780">
        <w:rPr>
          <w:rFonts w:cs="Arial"/>
          <w:rtl/>
        </w:rPr>
        <w:t xml:space="preserve"> אין לה מן הדין לגבו</w:t>
      </w:r>
      <w:r>
        <w:rPr>
          <w:rFonts w:cs="Arial" w:hint="cs"/>
          <w:rtl/>
        </w:rPr>
        <w:t>ת</w:t>
      </w:r>
      <w:r w:rsidRPr="00213780">
        <w:rPr>
          <w:rFonts w:cs="Arial"/>
          <w:rtl/>
        </w:rPr>
        <w:t xml:space="preserve"> זולתו מה שהיא טוענת ויתברר מסכום נדוניתה</w:t>
      </w:r>
      <w:r>
        <w:rPr>
          <w:rFonts w:cs="Arial" w:hint="cs"/>
          <w:rtl/>
        </w:rPr>
        <w:t>.</w:t>
      </w:r>
      <w:r w:rsidRPr="00213780">
        <w:rPr>
          <w:rFonts w:cs="Arial"/>
          <w:rtl/>
        </w:rPr>
        <w:t xml:space="preserve"> ולא נחוש למה שימצא כתוב ממנה בכתובה</w:t>
      </w:r>
      <w:r>
        <w:rPr>
          <w:rFonts w:cs="Arial" w:hint="cs"/>
          <w:rtl/>
        </w:rPr>
        <w:t>.</w:t>
      </w:r>
      <w:r w:rsidRPr="00213780">
        <w:rPr>
          <w:rFonts w:cs="Arial"/>
          <w:rtl/>
        </w:rPr>
        <w:t xml:space="preserve"> כי רוב הכתובו</w:t>
      </w:r>
      <w:r>
        <w:rPr>
          <w:rFonts w:cs="Arial" w:hint="cs"/>
          <w:rtl/>
        </w:rPr>
        <w:t>ת</w:t>
      </w:r>
      <w:r w:rsidRPr="00213780">
        <w:rPr>
          <w:rFonts w:cs="Arial"/>
          <w:rtl/>
        </w:rPr>
        <w:t xml:space="preserve"> נוהגין בהן להוסיף על מה שיטול הבעל</w:t>
      </w:r>
      <w:r>
        <w:rPr>
          <w:rFonts w:cs="Arial" w:hint="cs"/>
          <w:rtl/>
        </w:rPr>
        <w:t>,</w:t>
      </w:r>
      <w:r w:rsidRPr="00213780">
        <w:rPr>
          <w:rFonts w:cs="Arial"/>
          <w:rtl/>
        </w:rPr>
        <w:t xml:space="preserve"> ולא יחוש הבעל לכתוב ולהוסיף על עצמו מה שלא קיבל לענין שתשאר נשואה עמו ולא תבקש גירושין</w:t>
      </w:r>
      <w:r>
        <w:rPr>
          <w:rFonts w:cs="Arial" w:hint="cs"/>
          <w:rtl/>
        </w:rPr>
        <w:t>.</w:t>
      </w:r>
      <w:r w:rsidRPr="00213780">
        <w:rPr>
          <w:rFonts w:cs="Arial"/>
          <w:rtl/>
        </w:rPr>
        <w:t xml:space="preserve"> בענין כזה אמרו חכמינו ז"ל (כתובות נד) כי כתב לה אדעתא למיקם קמיה</w:t>
      </w:r>
      <w:r>
        <w:rPr>
          <w:rFonts w:cs="Arial" w:hint="cs"/>
          <w:rtl/>
        </w:rPr>
        <w:t>,</w:t>
      </w:r>
      <w:r w:rsidRPr="00213780">
        <w:rPr>
          <w:rFonts w:cs="Arial"/>
          <w:rtl/>
        </w:rPr>
        <w:t xml:space="preserve"> אדעתא למיפק </w:t>
      </w:r>
      <w:r w:rsidRPr="00213780">
        <w:rPr>
          <w:rFonts w:cs="Arial"/>
          <w:rtl/>
        </w:rPr>
        <w:lastRenderedPageBreak/>
        <w:t>ולמיסב לא כתב לה</w:t>
      </w:r>
      <w:r>
        <w:rPr>
          <w:rFonts w:cs="Arial" w:hint="cs"/>
          <w:rtl/>
        </w:rPr>
        <w:t>.</w:t>
      </w:r>
      <w:r w:rsidRPr="00213780">
        <w:rPr>
          <w:rFonts w:cs="Arial"/>
          <w:rtl/>
        </w:rPr>
        <w:t xml:space="preserve"> ויחזור אז בזה להשביע</w:t>
      </w:r>
      <w:r>
        <w:rPr>
          <w:rFonts w:cs="Arial" w:hint="cs"/>
          <w:rtl/>
        </w:rPr>
        <w:t>ה</w:t>
      </w:r>
      <w:r w:rsidRPr="00213780">
        <w:rPr>
          <w:rFonts w:cs="Arial"/>
          <w:rtl/>
        </w:rPr>
        <w:t xml:space="preserve"> שבועה חמורה בענין זה על סכום מה שהכניס</w:t>
      </w:r>
      <w:r>
        <w:rPr>
          <w:rFonts w:cs="Arial" w:hint="cs"/>
          <w:rtl/>
        </w:rPr>
        <w:t>ה</w:t>
      </w:r>
      <w:r w:rsidRPr="00213780">
        <w:rPr>
          <w:rFonts w:cs="Arial"/>
          <w:rtl/>
        </w:rPr>
        <w:t xml:space="preserve"> לו בודאי</w:t>
      </w:r>
      <w:r>
        <w:rPr>
          <w:rFonts w:cs="Arial" w:hint="cs"/>
          <w:rtl/>
        </w:rPr>
        <w:t>,</w:t>
      </w:r>
      <w:r w:rsidRPr="00213780">
        <w:rPr>
          <w:rFonts w:cs="Arial"/>
          <w:rtl/>
        </w:rPr>
        <w:t xml:space="preserve"> ושלא נתנה רשות למכור ממנו שום דבר ולא אבד עינו במה שנלבש או נתקרע</w:t>
      </w:r>
      <w:r>
        <w:rPr>
          <w:rFonts w:cs="Arial" w:hint="cs"/>
          <w:rtl/>
        </w:rPr>
        <w:t xml:space="preserve"> -</w:t>
      </w:r>
      <w:r w:rsidRPr="00213780">
        <w:rPr>
          <w:rFonts w:cs="Arial"/>
          <w:rtl/>
        </w:rPr>
        <w:t xml:space="preserve"> אז יפרע</w:t>
      </w:r>
      <w:r>
        <w:rPr>
          <w:rFonts w:cs="Arial" w:hint="cs"/>
          <w:rtl/>
        </w:rPr>
        <w:t>,</w:t>
      </w:r>
      <w:r w:rsidRPr="00213780">
        <w:rPr>
          <w:rFonts w:cs="Arial"/>
          <w:rtl/>
        </w:rPr>
        <w:t xml:space="preserve"> וכל מה שאבד עינו בלובשה ובהשתמש בו אין על הבעל אחריותו כשתתבע היא הגירושין</w:t>
      </w:r>
      <w:r>
        <w:rPr>
          <w:rFonts w:cs="Arial" w:hint="cs"/>
          <w:rtl/>
        </w:rPr>
        <w:t>.</w:t>
      </w:r>
      <w:r w:rsidRPr="00213780">
        <w:rPr>
          <w:rFonts w:cs="Arial"/>
          <w:rtl/>
        </w:rPr>
        <w:t xml:space="preserve"> ואם תבע הוא הגירושין </w:t>
      </w:r>
      <w:r>
        <w:rPr>
          <w:rFonts w:cs="Arial" w:hint="cs"/>
          <w:rtl/>
        </w:rPr>
        <w:t xml:space="preserve">- </w:t>
      </w:r>
      <w:r w:rsidRPr="00213780">
        <w:rPr>
          <w:rFonts w:cs="Arial"/>
          <w:rtl/>
        </w:rPr>
        <w:t>אינו יכול לגרשה אלא לרצונה</w:t>
      </w:r>
      <w:r>
        <w:rPr>
          <w:rFonts w:cs="Arial" w:hint="cs"/>
          <w:rtl/>
        </w:rPr>
        <w:t>,</w:t>
      </w:r>
      <w:r w:rsidRPr="00213780">
        <w:rPr>
          <w:rFonts w:cs="Arial"/>
          <w:rtl/>
        </w:rPr>
        <w:t xml:space="preserve"> או לאחר שיפרע לה כל סכום כתובתה עיקר ונדוניא ותוספת ומתנת כתובתה</w:t>
      </w:r>
      <w:r>
        <w:rPr>
          <w:rFonts w:cs="Arial" w:hint="cs"/>
          <w:rtl/>
        </w:rPr>
        <w:t>,</w:t>
      </w:r>
      <w:r w:rsidRPr="00213780">
        <w:rPr>
          <w:rFonts w:cs="Arial"/>
          <w:rtl/>
        </w:rPr>
        <w:t xml:space="preserve"> בין שתהא הנדוניא אמיתית או לא</w:t>
      </w:r>
      <w:r>
        <w:rPr>
          <w:rFonts w:cs="Arial" w:hint="cs"/>
          <w:rtl/>
        </w:rPr>
        <w:t>.</w:t>
      </w:r>
      <w:r w:rsidRPr="00213780">
        <w:rPr>
          <w:rFonts w:cs="Arial"/>
          <w:rtl/>
        </w:rPr>
        <w:t xml:space="preserve"> והנמצא בכתובה זהב מטבע</w:t>
      </w:r>
      <w:r>
        <w:rPr>
          <w:rFonts w:cs="Arial" w:hint="cs"/>
          <w:rtl/>
        </w:rPr>
        <w:t>,</w:t>
      </w:r>
      <w:r w:rsidRPr="00213780">
        <w:rPr>
          <w:rFonts w:cs="Arial"/>
          <w:rtl/>
        </w:rPr>
        <w:t xml:space="preserve"> והיא תובעת הגירושין </w:t>
      </w:r>
      <w:r>
        <w:rPr>
          <w:rFonts w:cs="Arial" w:hint="cs"/>
          <w:rtl/>
        </w:rPr>
        <w:t xml:space="preserve">- </w:t>
      </w:r>
      <w:r w:rsidRPr="00213780">
        <w:rPr>
          <w:rFonts w:cs="Arial"/>
          <w:rtl/>
        </w:rPr>
        <w:t>תגבהו בשבועתה שהוא אמת ולא נכתב דרך כבוד</w:t>
      </w:r>
      <w:r w:rsidRPr="00213780">
        <w:rPr>
          <w:rFonts w:cs="Arial" w:hint="cs"/>
          <w:rtl/>
        </w:rPr>
        <w:t>.</w:t>
      </w:r>
    </w:p>
    <w:p w14:paraId="43C4F952" w14:textId="77777777" w:rsidR="00392DBB" w:rsidRPr="004F4C57" w:rsidRDefault="00392DBB" w:rsidP="00392DBB">
      <w:pPr>
        <w:rPr>
          <w:u w:val="single"/>
          <w:rtl/>
        </w:rPr>
      </w:pPr>
      <w:r w:rsidRPr="004F4C57">
        <w:rPr>
          <w:rFonts w:hint="cs"/>
          <w:u w:val="single"/>
          <w:rtl/>
        </w:rPr>
        <w:t>מי</w:t>
      </w:r>
      <w:r w:rsidRPr="004F4C57">
        <w:rPr>
          <w:rFonts w:cs="Arial"/>
          <w:u w:val="single"/>
          <w:rtl/>
        </w:rPr>
        <w:t xml:space="preserve"> </w:t>
      </w:r>
      <w:r w:rsidRPr="004F4C57">
        <w:rPr>
          <w:rFonts w:cs="Arial" w:hint="cs"/>
          <w:u w:val="single"/>
          <w:rtl/>
        </w:rPr>
        <w:t>שטוען</w:t>
      </w:r>
      <w:r w:rsidRPr="004F4C57">
        <w:rPr>
          <w:rFonts w:cs="Arial"/>
          <w:u w:val="single"/>
          <w:rtl/>
        </w:rPr>
        <w:t xml:space="preserve"> שאשתו חיתה אחר מורישה</w:t>
      </w:r>
      <w:r w:rsidRPr="004F4C57">
        <w:rPr>
          <w:rFonts w:cs="Arial" w:hint="cs"/>
          <w:u w:val="single"/>
          <w:rtl/>
        </w:rPr>
        <w:t>, ושאר היורשים טוענים שנפטרה ל</w:t>
      </w:r>
      <w:r>
        <w:rPr>
          <w:rFonts w:cs="Arial" w:hint="cs"/>
          <w:u w:val="single"/>
          <w:rtl/>
        </w:rPr>
        <w:t>פ</w:t>
      </w:r>
      <w:r w:rsidRPr="004F4C57">
        <w:rPr>
          <w:rFonts w:cs="Arial" w:hint="cs"/>
          <w:u w:val="single"/>
          <w:rtl/>
        </w:rPr>
        <w:t>ני שנפטר מורישה:</w:t>
      </w:r>
    </w:p>
    <w:p w14:paraId="769D99F9" w14:textId="77777777" w:rsidR="00392DBB" w:rsidRDefault="00392DBB" w:rsidP="009000E3">
      <w:pPr>
        <w:pStyle w:val="ab"/>
        <w:numPr>
          <w:ilvl w:val="0"/>
          <w:numId w:val="72"/>
        </w:numPr>
      </w:pPr>
      <w:r w:rsidRPr="004638AD">
        <w:rPr>
          <w:rFonts w:cs="Arial" w:hint="cs"/>
          <w:rtl/>
        </w:rPr>
        <w:t xml:space="preserve">רא"ש </w:t>
      </w:r>
      <w:r w:rsidRPr="004638AD">
        <w:rPr>
          <w:rFonts w:cs="Arial" w:hint="cs"/>
          <w:sz w:val="16"/>
          <w:szCs w:val="16"/>
          <w:rtl/>
        </w:rPr>
        <w:t>(</w:t>
      </w:r>
      <w:r w:rsidRPr="004638AD">
        <w:rPr>
          <w:rFonts w:cs="Arial"/>
          <w:sz w:val="16"/>
          <w:szCs w:val="16"/>
          <w:rtl/>
        </w:rPr>
        <w:t>כלל נד</w:t>
      </w:r>
      <w:r w:rsidRPr="004638AD">
        <w:rPr>
          <w:rFonts w:cs="Arial" w:hint="cs"/>
          <w:sz w:val="16"/>
          <w:szCs w:val="16"/>
          <w:rtl/>
        </w:rPr>
        <w:t xml:space="preserve"> </w:t>
      </w:r>
      <w:r w:rsidRPr="004638AD">
        <w:rPr>
          <w:rFonts w:cs="Arial"/>
          <w:sz w:val="16"/>
          <w:szCs w:val="16"/>
          <w:rtl/>
        </w:rPr>
        <w:t>סי' א)</w:t>
      </w:r>
      <w:r w:rsidRPr="004638AD">
        <w:rPr>
          <w:rFonts w:cs="Arial" w:hint="cs"/>
          <w:rtl/>
        </w:rPr>
        <w:t>-</w:t>
      </w:r>
      <w:r w:rsidRPr="004638AD">
        <w:rPr>
          <w:rFonts w:cs="Arial"/>
          <w:rtl/>
        </w:rPr>
        <w:t xml:space="preserve"> על ראובן שטען ללאה יש בידך משל אבי ומשל חמי ממון כי חיתה זוגתי אחר הרג שלשתן</w:t>
      </w:r>
      <w:r>
        <w:rPr>
          <w:rFonts w:cs="Arial" w:hint="cs"/>
          <w:rtl/>
        </w:rPr>
        <w:t>.</w:t>
      </w:r>
      <w:r w:rsidRPr="004638AD">
        <w:rPr>
          <w:rFonts w:cs="Arial"/>
          <w:rtl/>
        </w:rPr>
        <w:t xml:space="preserve"> והשיבה לאה אבי חמיך הניח בנים ולא שהית עם אשתך שנה ולא תירשנה ואף מה שהכניסה לך תחזיר ליורשיה</w:t>
      </w:r>
      <w:r>
        <w:rPr>
          <w:rFonts w:cs="Arial" w:hint="cs"/>
          <w:rtl/>
        </w:rPr>
        <w:t>.</w:t>
      </w:r>
      <w:r w:rsidRPr="004638AD">
        <w:rPr>
          <w:rFonts w:cs="Arial"/>
          <w:rtl/>
        </w:rPr>
        <w:t xml:space="preserve"> נראה לי אם יברר ראובן בעדות ברורה שאשתו חיתה אחר מורישה </w:t>
      </w:r>
      <w:r>
        <w:rPr>
          <w:rFonts w:cs="Arial" w:hint="cs"/>
          <w:rtl/>
        </w:rPr>
        <w:t xml:space="preserve">- </w:t>
      </w:r>
      <w:r w:rsidRPr="004638AD">
        <w:rPr>
          <w:rFonts w:cs="Arial"/>
          <w:rtl/>
        </w:rPr>
        <w:t>שזכה בירושתה אפילו אם לא שהתה עמו שנה אחת</w:t>
      </w:r>
      <w:r>
        <w:rPr>
          <w:rFonts w:cs="Arial" w:hint="cs"/>
          <w:rtl/>
        </w:rPr>
        <w:t xml:space="preserve">. </w:t>
      </w:r>
      <w:r w:rsidRPr="004638AD">
        <w:rPr>
          <w:rFonts w:cs="Arial"/>
          <w:rtl/>
        </w:rPr>
        <w:t>ולא דמי לנדוניית חתנים שלא גבו</w:t>
      </w:r>
      <w:r>
        <w:rPr>
          <w:rFonts w:cs="Arial" w:hint="cs"/>
          <w:rtl/>
        </w:rPr>
        <w:t>,</w:t>
      </w:r>
      <w:r w:rsidRPr="004638AD">
        <w:rPr>
          <w:rFonts w:cs="Arial"/>
          <w:rtl/>
        </w:rPr>
        <w:t xml:space="preserve"> דשאני התם דנדוניא שהאב פוסק בדעתו תליא ואנן סהדי שהאב לא היתה דעתו להקנות וליתן הנדוניא אלא על מנת שתהנה בתו כמו בעלה</w:t>
      </w:r>
      <w:r>
        <w:rPr>
          <w:rFonts w:cs="Arial" w:hint="cs"/>
          <w:rtl/>
        </w:rPr>
        <w:t>,</w:t>
      </w:r>
      <w:r w:rsidRPr="004638AD">
        <w:rPr>
          <w:rFonts w:cs="Arial"/>
          <w:rtl/>
        </w:rPr>
        <w:t xml:space="preserve"> אבל בנדון זה לא עלה על דעת חמיו גזירות הללו</w:t>
      </w:r>
      <w:r>
        <w:rPr>
          <w:rFonts w:cs="Arial" w:hint="cs"/>
          <w:rtl/>
        </w:rPr>
        <w:t>,</w:t>
      </w:r>
      <w:r w:rsidRPr="004638AD">
        <w:rPr>
          <w:rFonts w:cs="Arial"/>
          <w:rtl/>
        </w:rPr>
        <w:t xml:space="preserve"> ואף בדבר הרגיל</w:t>
      </w:r>
      <w:r>
        <w:rPr>
          <w:rFonts w:cs="Arial" w:hint="cs"/>
          <w:rtl/>
        </w:rPr>
        <w:t>,</w:t>
      </w:r>
      <w:r w:rsidRPr="004638AD">
        <w:rPr>
          <w:rFonts w:cs="Arial"/>
          <w:rtl/>
        </w:rPr>
        <w:t xml:space="preserve"> והווה כמו מיתה דאזלי בתר אומדנא</w:t>
      </w:r>
      <w:r>
        <w:rPr>
          <w:rFonts w:cs="Arial" w:hint="cs"/>
          <w:rtl/>
        </w:rPr>
        <w:t>.</w:t>
      </w:r>
      <w:r w:rsidRPr="004638AD">
        <w:rPr>
          <w:rFonts w:cs="Arial"/>
          <w:rtl/>
        </w:rPr>
        <w:t xml:space="preserve"> אבל כי האי לא אזלי בתר אומדנא אלא בממון שפסק האב ועודנו בידו</w:t>
      </w:r>
      <w:r>
        <w:rPr>
          <w:rFonts w:cs="Arial" w:hint="cs"/>
          <w:rtl/>
        </w:rPr>
        <w:t>,</w:t>
      </w:r>
      <w:r w:rsidRPr="004638AD">
        <w:rPr>
          <w:rFonts w:cs="Arial"/>
          <w:rtl/>
        </w:rPr>
        <w:t xml:space="preserve"> דלא מפקינן מיניה</w:t>
      </w:r>
      <w:r>
        <w:rPr>
          <w:rFonts w:cs="Arial" w:hint="cs"/>
          <w:rtl/>
        </w:rPr>
        <w:t>.</w:t>
      </w:r>
      <w:r w:rsidRPr="004638AD">
        <w:rPr>
          <w:rFonts w:cs="Arial"/>
          <w:rtl/>
        </w:rPr>
        <w:t xml:space="preserve"> וגם לא דמי לתקנת ר"ת (תוס' כתובות מז: דיבור ראשון) דהיכא שמתה בתוך שנת הנישואין שהבעל מחזיר נדוניא לאביה או ליורשי הנדוניא דוקא תיקן משום עגמת נפש ואסמכוה אקרא (ויקרא כו כ) ותם לריק כחכם</w:t>
      </w:r>
      <w:r>
        <w:rPr>
          <w:rFonts w:cs="Arial" w:hint="cs"/>
          <w:rtl/>
        </w:rPr>
        <w:t>.</w:t>
      </w:r>
      <w:r w:rsidRPr="004638AD">
        <w:rPr>
          <w:rFonts w:cs="Arial"/>
          <w:rtl/>
        </w:rPr>
        <w:t xml:space="preserve"> אבל ירושה שנפלה לה</w:t>
      </w:r>
      <w:r>
        <w:rPr>
          <w:rFonts w:cs="Arial" w:hint="cs"/>
          <w:rtl/>
        </w:rPr>
        <w:t>,</w:t>
      </w:r>
      <w:r w:rsidRPr="004638AD">
        <w:rPr>
          <w:rFonts w:cs="Arial"/>
          <w:rtl/>
        </w:rPr>
        <w:t xml:space="preserve"> דהיינו נכסי מלוג בהא לא תקון רבנן</w:t>
      </w:r>
      <w:r>
        <w:rPr>
          <w:rFonts w:cs="Arial" w:hint="cs"/>
          <w:rtl/>
        </w:rPr>
        <w:t>,</w:t>
      </w:r>
      <w:r w:rsidRPr="004638AD">
        <w:rPr>
          <w:rFonts w:cs="Arial"/>
          <w:rtl/>
        </w:rPr>
        <w:t xml:space="preserve"> והבו דלא לוסיף עלה. </w:t>
      </w:r>
      <w:r w:rsidRPr="00C06EE1">
        <w:rPr>
          <w:rFonts w:hint="cs"/>
          <w:color w:val="00B0F0"/>
          <w:rtl/>
        </w:rPr>
        <w:t>(וכ"</w:t>
      </w:r>
      <w:r>
        <w:rPr>
          <w:rFonts w:hint="cs"/>
          <w:color w:val="00B0F0"/>
          <w:rtl/>
        </w:rPr>
        <w:t>כ</w:t>
      </w:r>
      <w:r w:rsidRPr="00C06EE1">
        <w:rPr>
          <w:rFonts w:hint="cs"/>
          <w:color w:val="00B0F0"/>
          <w:rtl/>
        </w:rPr>
        <w:t xml:space="preserve"> הרמ"א)</w:t>
      </w:r>
    </w:p>
    <w:p w14:paraId="1728E7D6" w14:textId="2E0B8C84" w:rsidR="00392DBB" w:rsidRPr="004F4C57" w:rsidRDefault="00392DBB" w:rsidP="00392DBB">
      <w:pPr>
        <w:rPr>
          <w:u w:val="single"/>
        </w:rPr>
      </w:pPr>
      <w:r w:rsidRPr="004F4C57">
        <w:rPr>
          <w:rFonts w:hint="cs"/>
          <w:u w:val="single"/>
          <w:rtl/>
        </w:rPr>
        <w:t>תקנה</w:t>
      </w:r>
      <w:r w:rsidRPr="004F4C57">
        <w:rPr>
          <w:rFonts w:cs="Arial"/>
          <w:u w:val="single"/>
          <w:rtl/>
        </w:rPr>
        <w:t xml:space="preserve"> שאם תמות האשה בחיי בעלה</w:t>
      </w:r>
      <w:r w:rsidRPr="004F4C57">
        <w:rPr>
          <w:rFonts w:cs="Arial" w:hint="cs"/>
          <w:u w:val="single"/>
          <w:rtl/>
        </w:rPr>
        <w:t>,</w:t>
      </w:r>
      <w:r w:rsidRPr="004F4C57">
        <w:rPr>
          <w:rFonts w:cs="Arial"/>
          <w:u w:val="single"/>
          <w:rtl/>
        </w:rPr>
        <w:t xml:space="preserve"> שיחלקו הוא ויורשיה הממון</w:t>
      </w:r>
      <w:r w:rsidRPr="004F4C57">
        <w:rPr>
          <w:rFonts w:cs="Arial" w:hint="cs"/>
          <w:u w:val="single"/>
          <w:rtl/>
        </w:rPr>
        <w:t xml:space="preserve"> </w:t>
      </w:r>
      <w:r w:rsidR="00F97626">
        <w:rPr>
          <w:rFonts w:cs="Arial"/>
          <w:u w:val="single"/>
          <w:rtl/>
        </w:rPr>
        <w:t>-</w:t>
      </w:r>
      <w:r w:rsidRPr="004F4C57">
        <w:rPr>
          <w:rFonts w:cs="Arial" w:hint="cs"/>
          <w:u w:val="single"/>
          <w:rtl/>
        </w:rPr>
        <w:t xml:space="preserve"> האם הבעל מנקה מהנכסים את חובות האשה:</w:t>
      </w:r>
    </w:p>
    <w:p w14:paraId="1752B252" w14:textId="77777777" w:rsidR="00392DBB" w:rsidRPr="008F2232" w:rsidRDefault="00392DBB" w:rsidP="009000E3">
      <w:pPr>
        <w:pStyle w:val="ab"/>
        <w:numPr>
          <w:ilvl w:val="0"/>
          <w:numId w:val="72"/>
        </w:numPr>
      </w:pPr>
      <w:r w:rsidRPr="004638AD">
        <w:rPr>
          <w:rFonts w:cs="Arial" w:hint="cs"/>
          <w:rtl/>
        </w:rPr>
        <w:t xml:space="preserve">רא"ש </w:t>
      </w:r>
      <w:r w:rsidRPr="004638AD">
        <w:rPr>
          <w:rFonts w:cs="Arial" w:hint="cs"/>
          <w:sz w:val="16"/>
          <w:szCs w:val="16"/>
          <w:rtl/>
        </w:rPr>
        <w:t>(</w:t>
      </w:r>
      <w:r w:rsidRPr="004638AD">
        <w:rPr>
          <w:rFonts w:cs="Arial"/>
          <w:sz w:val="16"/>
          <w:szCs w:val="16"/>
          <w:rtl/>
        </w:rPr>
        <w:t>כלל נד</w:t>
      </w:r>
      <w:r w:rsidRPr="004638AD">
        <w:rPr>
          <w:rFonts w:cs="Arial" w:hint="cs"/>
          <w:sz w:val="16"/>
          <w:szCs w:val="16"/>
          <w:rtl/>
        </w:rPr>
        <w:t xml:space="preserve"> </w:t>
      </w:r>
      <w:r w:rsidRPr="004638AD">
        <w:rPr>
          <w:rFonts w:cs="Arial"/>
          <w:sz w:val="16"/>
          <w:szCs w:val="16"/>
          <w:rtl/>
        </w:rPr>
        <w:t xml:space="preserve">סי' </w:t>
      </w:r>
      <w:r>
        <w:rPr>
          <w:rFonts w:cs="Arial" w:hint="cs"/>
          <w:sz w:val="16"/>
          <w:szCs w:val="16"/>
          <w:rtl/>
        </w:rPr>
        <w:t>ו</w:t>
      </w:r>
      <w:r w:rsidRPr="004638AD">
        <w:rPr>
          <w:rFonts w:cs="Arial"/>
          <w:sz w:val="16"/>
          <w:szCs w:val="16"/>
          <w:rtl/>
        </w:rPr>
        <w:t>)</w:t>
      </w:r>
      <w:r w:rsidRPr="004638AD">
        <w:rPr>
          <w:rFonts w:cs="Arial" w:hint="cs"/>
          <w:rtl/>
        </w:rPr>
        <w:t>-</w:t>
      </w:r>
      <w:r w:rsidRPr="004638AD">
        <w:rPr>
          <w:rFonts w:cs="Arial"/>
          <w:rtl/>
        </w:rPr>
        <w:t xml:space="preserve"> על תקנה שזה נסחה</w:t>
      </w:r>
      <w:r>
        <w:rPr>
          <w:rFonts w:cs="Arial" w:hint="cs"/>
          <w:rtl/>
        </w:rPr>
        <w:t>,</w:t>
      </w:r>
      <w:r w:rsidRPr="004638AD">
        <w:rPr>
          <w:rFonts w:cs="Arial"/>
          <w:rtl/>
        </w:rPr>
        <w:t xml:space="preserve"> שאם תמות האשה בחיי בעלה</w:t>
      </w:r>
      <w:r>
        <w:rPr>
          <w:rFonts w:cs="Arial" w:hint="cs"/>
          <w:rtl/>
        </w:rPr>
        <w:t>,</w:t>
      </w:r>
      <w:r w:rsidRPr="004638AD">
        <w:rPr>
          <w:rFonts w:cs="Arial"/>
          <w:rtl/>
        </w:rPr>
        <w:t xml:space="preserve"> שיחלקו הוא ויורשיה הממון</w:t>
      </w:r>
      <w:r>
        <w:rPr>
          <w:rFonts w:cs="Arial" w:hint="cs"/>
          <w:rtl/>
        </w:rPr>
        <w:t>.</w:t>
      </w:r>
      <w:r w:rsidRPr="004638AD">
        <w:rPr>
          <w:rFonts w:cs="Arial"/>
          <w:rtl/>
        </w:rPr>
        <w:t xml:space="preserve"> יראה לי לפי התקנה שלא יחלוק הבעל עם יורשי האשה אלא ממון שימצא לבעל אחר שיפרע כל חובותיו שהוא חייב בין בשטר בין בעל פה כי ודאי כך היתה עיקר התקנה שעיקר חלוקת הממון יהיה תלוי בשבועת הבעל שישבע כמה יש לו וינכה באותה שבועה כמה הוא חייב במגו דאיבעי אמר אין לי אלא כך וכך ממון והשאר יחלוקו. </w:t>
      </w:r>
    </w:p>
    <w:p w14:paraId="5A8FA265" w14:textId="77777777" w:rsidR="00392DBB" w:rsidRPr="008F2232" w:rsidRDefault="00392DBB" w:rsidP="00392DBB">
      <w:pPr>
        <w:ind w:left="360"/>
        <w:rPr>
          <w:u w:val="dotted"/>
        </w:rPr>
      </w:pPr>
      <w:r>
        <w:rPr>
          <w:rFonts w:hint="cs"/>
          <w:u w:val="dotted"/>
          <w:rtl/>
        </w:rPr>
        <w:t xml:space="preserve">לתקנה זו - </w:t>
      </w:r>
      <w:r w:rsidRPr="008F2232">
        <w:rPr>
          <w:rFonts w:hint="cs"/>
          <w:u w:val="dotted"/>
          <w:rtl/>
        </w:rPr>
        <w:t>האם יכולה האשה לתת נכסיה לאחר מותה למי שתרצה:</w:t>
      </w:r>
    </w:p>
    <w:p w14:paraId="5355D5C8" w14:textId="77777777" w:rsidR="00392DBB" w:rsidRDefault="00392DBB" w:rsidP="009000E3">
      <w:pPr>
        <w:pStyle w:val="ab"/>
        <w:numPr>
          <w:ilvl w:val="0"/>
          <w:numId w:val="72"/>
        </w:numPr>
      </w:pPr>
      <w:r w:rsidRPr="004638AD">
        <w:rPr>
          <w:rFonts w:cs="Arial" w:hint="cs"/>
          <w:rtl/>
        </w:rPr>
        <w:t xml:space="preserve">רא"ש </w:t>
      </w:r>
      <w:r w:rsidRPr="004638AD">
        <w:rPr>
          <w:rFonts w:cs="Arial" w:hint="cs"/>
          <w:sz w:val="16"/>
          <w:szCs w:val="16"/>
          <w:rtl/>
        </w:rPr>
        <w:t>(</w:t>
      </w:r>
      <w:r w:rsidRPr="004638AD">
        <w:rPr>
          <w:rFonts w:cs="Arial"/>
          <w:sz w:val="16"/>
          <w:szCs w:val="16"/>
          <w:rtl/>
        </w:rPr>
        <w:t>כלל נד</w:t>
      </w:r>
      <w:r w:rsidRPr="004638AD">
        <w:rPr>
          <w:rFonts w:cs="Arial" w:hint="cs"/>
          <w:sz w:val="16"/>
          <w:szCs w:val="16"/>
          <w:rtl/>
        </w:rPr>
        <w:t xml:space="preserve"> </w:t>
      </w:r>
      <w:r w:rsidRPr="004638AD">
        <w:rPr>
          <w:rFonts w:cs="Arial"/>
          <w:sz w:val="16"/>
          <w:szCs w:val="16"/>
          <w:rtl/>
        </w:rPr>
        <w:t xml:space="preserve">סי' </w:t>
      </w:r>
      <w:r>
        <w:rPr>
          <w:rFonts w:cs="Arial" w:hint="cs"/>
          <w:sz w:val="16"/>
          <w:szCs w:val="16"/>
          <w:rtl/>
        </w:rPr>
        <w:t>י</w:t>
      </w:r>
      <w:r w:rsidRPr="004638AD">
        <w:rPr>
          <w:rFonts w:cs="Arial"/>
          <w:sz w:val="16"/>
          <w:szCs w:val="16"/>
          <w:rtl/>
        </w:rPr>
        <w:t>)</w:t>
      </w:r>
      <w:r w:rsidRPr="004638AD">
        <w:rPr>
          <w:rFonts w:cs="Arial" w:hint="cs"/>
          <w:rtl/>
        </w:rPr>
        <w:t>-</w:t>
      </w:r>
      <w:r w:rsidRPr="004638AD">
        <w:rPr>
          <w:rFonts w:cs="Arial"/>
          <w:rtl/>
        </w:rPr>
        <w:t xml:space="preserve"> דקדקתי בתקנה ולא מצאתי כתוב לא בפירוש ולא ברמז שהשליטו את האשה לתת נכסיה אחר מותה למי שתרצה אלא תקנו והעבירו חצי נכסיה מבעלה וכו' עד ולא תדחה התקנה מפני המנהג</w:t>
      </w:r>
      <w:r>
        <w:rPr>
          <w:rStyle w:val="a7"/>
          <w:rFonts w:cs="Arial"/>
          <w:rtl/>
        </w:rPr>
        <w:footnoteReference w:id="2975"/>
      </w:r>
      <w:r w:rsidRPr="004638AD">
        <w:rPr>
          <w:rFonts w:cs="Arial"/>
          <w:rtl/>
        </w:rPr>
        <w:t xml:space="preserve">. </w:t>
      </w:r>
    </w:p>
    <w:p w14:paraId="1EF73260" w14:textId="77777777" w:rsidR="00392DBB" w:rsidRPr="008F2232" w:rsidRDefault="00392DBB" w:rsidP="00392DBB">
      <w:pPr>
        <w:rPr>
          <w:u w:val="single"/>
        </w:rPr>
      </w:pPr>
      <w:r w:rsidRPr="008F2232">
        <w:rPr>
          <w:rFonts w:hint="cs"/>
          <w:u w:val="single"/>
          <w:rtl/>
        </w:rPr>
        <w:t xml:space="preserve">אב שהיו לו בתים, </w:t>
      </w:r>
      <w:r>
        <w:rPr>
          <w:rFonts w:hint="cs"/>
          <w:u w:val="single"/>
          <w:rtl/>
        </w:rPr>
        <w:t xml:space="preserve">ונפטר, </w:t>
      </w:r>
      <w:r w:rsidRPr="008F2232">
        <w:rPr>
          <w:rFonts w:hint="cs"/>
          <w:u w:val="single"/>
          <w:rtl/>
        </w:rPr>
        <w:t>ואחד הבנים טוען שהם בחזקתו בגלל שבנה וסתר והשכיר חלקם:</w:t>
      </w:r>
    </w:p>
    <w:p w14:paraId="0C5442C0" w14:textId="77777777" w:rsidR="00392DBB" w:rsidRPr="003F7A28" w:rsidRDefault="00392DBB" w:rsidP="009000E3">
      <w:pPr>
        <w:pStyle w:val="ab"/>
        <w:numPr>
          <w:ilvl w:val="0"/>
          <w:numId w:val="72"/>
        </w:numPr>
      </w:pPr>
      <w:r w:rsidRPr="004638AD">
        <w:rPr>
          <w:rFonts w:cs="Arial" w:hint="cs"/>
          <w:rtl/>
        </w:rPr>
        <w:t xml:space="preserve">רא"ש </w:t>
      </w:r>
      <w:r w:rsidRPr="004638AD">
        <w:rPr>
          <w:rFonts w:cs="Arial" w:hint="cs"/>
          <w:sz w:val="16"/>
          <w:szCs w:val="16"/>
          <w:rtl/>
        </w:rPr>
        <w:t>(</w:t>
      </w:r>
      <w:r w:rsidRPr="004638AD">
        <w:rPr>
          <w:rFonts w:cs="Arial"/>
          <w:sz w:val="16"/>
          <w:szCs w:val="16"/>
          <w:rtl/>
        </w:rPr>
        <w:t xml:space="preserve">כלל </w:t>
      </w:r>
      <w:r>
        <w:rPr>
          <w:rFonts w:cs="Arial" w:hint="cs"/>
          <w:sz w:val="16"/>
          <w:szCs w:val="16"/>
          <w:rtl/>
        </w:rPr>
        <w:t>צח</w:t>
      </w:r>
      <w:r w:rsidRPr="004638AD">
        <w:rPr>
          <w:rFonts w:cs="Arial" w:hint="cs"/>
          <w:sz w:val="16"/>
          <w:szCs w:val="16"/>
          <w:rtl/>
        </w:rPr>
        <w:t xml:space="preserve"> </w:t>
      </w:r>
      <w:r w:rsidRPr="004638AD">
        <w:rPr>
          <w:rFonts w:cs="Arial"/>
          <w:sz w:val="16"/>
          <w:szCs w:val="16"/>
          <w:rtl/>
        </w:rPr>
        <w:t xml:space="preserve">סי' </w:t>
      </w:r>
      <w:r>
        <w:rPr>
          <w:rFonts w:cs="Arial" w:hint="cs"/>
          <w:sz w:val="16"/>
          <w:szCs w:val="16"/>
          <w:rtl/>
        </w:rPr>
        <w:t>י</w:t>
      </w:r>
      <w:r w:rsidRPr="004638AD">
        <w:rPr>
          <w:rFonts w:cs="Arial"/>
          <w:sz w:val="16"/>
          <w:szCs w:val="16"/>
          <w:rtl/>
        </w:rPr>
        <w:t>)</w:t>
      </w:r>
      <w:r w:rsidRPr="004638AD">
        <w:rPr>
          <w:rFonts w:cs="Arial" w:hint="cs"/>
          <w:rtl/>
        </w:rPr>
        <w:t>-</w:t>
      </w:r>
      <w:r w:rsidRPr="004638AD">
        <w:rPr>
          <w:rFonts w:cs="Arial"/>
          <w:rtl/>
        </w:rPr>
        <w:t xml:space="preserve"> מה שטוען שמעון שהוא מוחזק בבתים וגם אמו מוחזקת בהם י' שנים וסתרו ובנו והשכירו קצתם ופרעו המס</w:t>
      </w:r>
      <w:r>
        <w:rPr>
          <w:rFonts w:cs="Arial" w:hint="cs"/>
          <w:rtl/>
        </w:rPr>
        <w:t xml:space="preserve"> -</w:t>
      </w:r>
      <w:r w:rsidRPr="004638AD">
        <w:rPr>
          <w:rFonts w:cs="Arial"/>
          <w:rtl/>
        </w:rPr>
        <w:t xml:space="preserve"> אינה חזקה</w:t>
      </w:r>
      <w:r>
        <w:rPr>
          <w:rFonts w:cs="Arial" w:hint="cs"/>
          <w:rtl/>
        </w:rPr>
        <w:t>,</w:t>
      </w:r>
      <w:r w:rsidRPr="004638AD">
        <w:rPr>
          <w:rFonts w:cs="Arial"/>
          <w:rtl/>
        </w:rPr>
        <w:t xml:space="preserve"> כיון שידוע שהבית היה של אביהם</w:t>
      </w:r>
      <w:r>
        <w:rPr>
          <w:rFonts w:cs="Arial" w:hint="cs"/>
          <w:rtl/>
        </w:rPr>
        <w:t>,</w:t>
      </w:r>
      <w:r w:rsidRPr="004638AD">
        <w:rPr>
          <w:rFonts w:cs="Arial"/>
          <w:rtl/>
        </w:rPr>
        <w:t xml:space="preserve"> ושמעון אינו טוען שאביו מכרם או נתנם לו או שקנאם מראובן אחיו</w:t>
      </w:r>
      <w:r>
        <w:rPr>
          <w:rFonts w:cs="Arial" w:hint="cs"/>
          <w:rtl/>
        </w:rPr>
        <w:t>,</w:t>
      </w:r>
      <w:r w:rsidRPr="004638AD">
        <w:rPr>
          <w:rFonts w:cs="Arial"/>
          <w:rtl/>
        </w:rPr>
        <w:t xml:space="preserve"> אלא שטוען שהחזיק בהם</w:t>
      </w:r>
      <w:r>
        <w:rPr>
          <w:rFonts w:cs="Arial" w:hint="cs"/>
          <w:rtl/>
        </w:rPr>
        <w:t>,</w:t>
      </w:r>
      <w:r w:rsidRPr="004638AD">
        <w:rPr>
          <w:rFonts w:cs="Arial"/>
          <w:rtl/>
        </w:rPr>
        <w:t xml:space="preserve"> זו היא חזקה שאין עמה טענה ואינה חזקה</w:t>
      </w:r>
      <w:r>
        <w:rPr>
          <w:rFonts w:cs="Arial" w:hint="cs"/>
          <w:rtl/>
        </w:rPr>
        <w:t>.</w:t>
      </w:r>
      <w:r w:rsidRPr="004638AD">
        <w:rPr>
          <w:rFonts w:cs="Arial"/>
          <w:rtl/>
        </w:rPr>
        <w:t xml:space="preserve"> אבל אם מתה האם</w:t>
      </w:r>
      <w:r>
        <w:rPr>
          <w:rFonts w:cs="Arial" w:hint="cs"/>
          <w:rtl/>
        </w:rPr>
        <w:t>,</w:t>
      </w:r>
      <w:r w:rsidRPr="004638AD">
        <w:rPr>
          <w:rFonts w:cs="Arial"/>
          <w:rtl/>
        </w:rPr>
        <w:t xml:space="preserve"> ויש לשמעון עדים שאמו החזיקה בבתים </w:t>
      </w:r>
      <w:r>
        <w:rPr>
          <w:rFonts w:cs="Arial" w:hint="cs"/>
          <w:rtl/>
        </w:rPr>
        <w:t xml:space="preserve">- </w:t>
      </w:r>
      <w:r w:rsidRPr="004638AD">
        <w:rPr>
          <w:rFonts w:cs="Arial"/>
          <w:rtl/>
        </w:rPr>
        <w:t>חזקתה חזקה</w:t>
      </w:r>
      <w:r>
        <w:rPr>
          <w:rFonts w:cs="Arial" w:hint="cs"/>
          <w:rtl/>
        </w:rPr>
        <w:t>,</w:t>
      </w:r>
      <w:r w:rsidRPr="004638AD">
        <w:rPr>
          <w:rFonts w:cs="Arial"/>
          <w:rtl/>
        </w:rPr>
        <w:t xml:space="preserve"> דכיון שטוענין לכל בא מכח</w:t>
      </w:r>
      <w:r>
        <w:rPr>
          <w:rFonts w:cs="Arial" w:hint="cs"/>
          <w:rtl/>
        </w:rPr>
        <w:t>ה</w:t>
      </w:r>
      <w:r w:rsidRPr="004638AD">
        <w:rPr>
          <w:rFonts w:cs="Arial"/>
          <w:rtl/>
        </w:rPr>
        <w:t xml:space="preserve"> או יורש או לוקח כל מה שהיתה היא טוענת אם היתה קיימת</w:t>
      </w:r>
      <w:r>
        <w:rPr>
          <w:rFonts w:cs="Arial" w:hint="cs"/>
          <w:rtl/>
        </w:rPr>
        <w:t>,</w:t>
      </w:r>
      <w:r w:rsidRPr="004638AD">
        <w:rPr>
          <w:rFonts w:cs="Arial"/>
          <w:rtl/>
        </w:rPr>
        <w:t xml:space="preserve"> והיא יכולה לטעון קניתי הבתים והחזקתי בהם שני חזקה</w:t>
      </w:r>
      <w:r>
        <w:rPr>
          <w:rFonts w:cs="Arial" w:hint="cs"/>
          <w:rtl/>
        </w:rPr>
        <w:t>,</w:t>
      </w:r>
      <w:r w:rsidRPr="004638AD">
        <w:rPr>
          <w:rFonts w:cs="Arial"/>
          <w:rtl/>
        </w:rPr>
        <w:t xml:space="preserve"> ב"ד הגבום לי בנדונייתי או בכתובתי</w:t>
      </w:r>
      <w:r>
        <w:rPr>
          <w:rFonts w:cs="Arial" w:hint="cs"/>
          <w:rtl/>
        </w:rPr>
        <w:t>.</w:t>
      </w:r>
      <w:r w:rsidRPr="004638AD">
        <w:rPr>
          <w:rFonts w:cs="Arial"/>
          <w:rtl/>
        </w:rPr>
        <w:t xml:space="preserve"> וחזקה</w:t>
      </w:r>
      <w:r>
        <w:rPr>
          <w:rFonts w:cs="Arial" w:hint="cs"/>
          <w:rtl/>
        </w:rPr>
        <w:t xml:space="preserve"> </w:t>
      </w:r>
      <w:r w:rsidRPr="004638AD">
        <w:rPr>
          <w:rFonts w:cs="Arial"/>
          <w:rtl/>
        </w:rPr>
        <w:t>מועלת לכל אדם</w:t>
      </w:r>
      <w:r>
        <w:rPr>
          <w:rFonts w:cs="Arial" w:hint="cs"/>
          <w:rtl/>
        </w:rPr>
        <w:t>,</w:t>
      </w:r>
      <w:r w:rsidRPr="004638AD">
        <w:rPr>
          <w:rFonts w:cs="Arial"/>
          <w:rtl/>
        </w:rPr>
        <w:t xml:space="preserve"> דאין אדם נזהר בשטרו</w:t>
      </w:r>
      <w:r>
        <w:rPr>
          <w:rFonts w:cs="Arial" w:hint="cs"/>
          <w:rtl/>
        </w:rPr>
        <w:t>.</w:t>
      </w:r>
      <w:r w:rsidRPr="004638AD">
        <w:rPr>
          <w:rFonts w:cs="Arial"/>
          <w:rtl/>
        </w:rPr>
        <w:t xml:space="preserve"> הילכך שמעון שיש לו שטר על אמו בת"ש זהובים ונשתעבדו לו כל נכסיה</w:t>
      </w:r>
      <w:r>
        <w:rPr>
          <w:rFonts w:cs="Arial" w:hint="cs"/>
          <w:rtl/>
        </w:rPr>
        <w:t>,</w:t>
      </w:r>
      <w:r w:rsidRPr="004638AD">
        <w:rPr>
          <w:rFonts w:cs="Arial"/>
          <w:rtl/>
        </w:rPr>
        <w:t xml:space="preserve"> טוענים לו מה שהיתה יכולה לטעון ויגבה ת"ש זהובים מנכסיה</w:t>
      </w:r>
      <w:r>
        <w:rPr>
          <w:rFonts w:cs="Arial" w:hint="cs"/>
          <w:rtl/>
        </w:rPr>
        <w:t>,</w:t>
      </w:r>
      <w:r w:rsidRPr="004638AD">
        <w:rPr>
          <w:rFonts w:cs="Arial"/>
          <w:rtl/>
        </w:rPr>
        <w:t xml:space="preserve"> דכמו שטוענין ליורש ולוקח כך טוענין לב"ח שנשתעבדו לו הנכסים בחייה</w:t>
      </w:r>
      <w:r>
        <w:rPr>
          <w:rFonts w:cs="Arial" w:hint="cs"/>
          <w:rtl/>
        </w:rPr>
        <w:t>.</w:t>
      </w:r>
      <w:r w:rsidRPr="004638AD">
        <w:rPr>
          <w:rFonts w:cs="Arial"/>
          <w:rtl/>
        </w:rPr>
        <w:t xml:space="preserve"> ואם הבתים שוים יותר מת"ש זהובים </w:t>
      </w:r>
      <w:r>
        <w:rPr>
          <w:rFonts w:cs="Arial" w:hint="cs"/>
          <w:rtl/>
        </w:rPr>
        <w:t xml:space="preserve">- </w:t>
      </w:r>
      <w:r w:rsidRPr="004638AD">
        <w:rPr>
          <w:rFonts w:cs="Arial"/>
          <w:rtl/>
        </w:rPr>
        <w:t xml:space="preserve">יחלקו ראובן ושמעון המותר. </w:t>
      </w:r>
    </w:p>
    <w:p w14:paraId="17918A3B" w14:textId="77777777" w:rsidR="00392DBB" w:rsidRPr="003F7A28" w:rsidRDefault="00392DBB" w:rsidP="00392DBB">
      <w:r w:rsidRPr="008A7E8C">
        <w:rPr>
          <w:rFonts w:cs="Arial" w:hint="cs"/>
          <w:u w:val="single"/>
          <w:rtl/>
        </w:rPr>
        <w:t>הורים</w:t>
      </w:r>
      <w:r w:rsidRPr="008A7E8C">
        <w:rPr>
          <w:rFonts w:cs="Arial"/>
          <w:u w:val="single"/>
          <w:rtl/>
        </w:rPr>
        <w:t xml:space="preserve"> נתחייבו לבנם ולמשודכתו רחל מאה מנה לכשיתבעום שניהם בהסכמה אחת</w:t>
      </w:r>
      <w:r w:rsidRPr="008A7E8C">
        <w:rPr>
          <w:rFonts w:cs="Arial" w:hint="cs"/>
          <w:u w:val="single"/>
          <w:rtl/>
        </w:rPr>
        <w:t>,</w:t>
      </w:r>
      <w:r w:rsidRPr="008A7E8C">
        <w:rPr>
          <w:rFonts w:cs="Arial"/>
          <w:u w:val="single"/>
          <w:rtl/>
        </w:rPr>
        <w:t xml:space="preserve"> </w:t>
      </w:r>
      <w:r w:rsidRPr="008A7E8C">
        <w:rPr>
          <w:rFonts w:cs="Arial" w:hint="cs"/>
          <w:u w:val="single"/>
          <w:rtl/>
        </w:rPr>
        <w:t>ומת בנם קודם שתבעום:</w:t>
      </w:r>
    </w:p>
    <w:p w14:paraId="11D0D3DA" w14:textId="4F1C9924" w:rsidR="00392DBB" w:rsidRDefault="00392DBB" w:rsidP="003A45C9">
      <w:pPr>
        <w:pStyle w:val="ab"/>
        <w:numPr>
          <w:ilvl w:val="0"/>
          <w:numId w:val="72"/>
        </w:numPr>
      </w:pPr>
      <w:r w:rsidRPr="004638AD">
        <w:rPr>
          <w:rFonts w:cs="Arial"/>
          <w:rtl/>
        </w:rPr>
        <w:t xml:space="preserve">ריב"ש </w:t>
      </w:r>
      <w:r w:rsidRPr="003F7A28">
        <w:rPr>
          <w:rFonts w:cs="Arial" w:hint="cs"/>
          <w:sz w:val="16"/>
          <w:szCs w:val="16"/>
          <w:rtl/>
        </w:rPr>
        <w:t>(</w:t>
      </w:r>
      <w:r w:rsidRPr="003F7A28">
        <w:rPr>
          <w:rFonts w:cs="Arial"/>
          <w:sz w:val="16"/>
          <w:szCs w:val="16"/>
          <w:rtl/>
        </w:rPr>
        <w:t>סי</w:t>
      </w:r>
      <w:r w:rsidRPr="003F7A28">
        <w:rPr>
          <w:rFonts w:cs="Arial" w:hint="cs"/>
          <w:sz w:val="16"/>
          <w:szCs w:val="16"/>
          <w:rtl/>
        </w:rPr>
        <w:t>'</w:t>
      </w:r>
      <w:r w:rsidRPr="003F7A28">
        <w:rPr>
          <w:rFonts w:cs="Arial"/>
          <w:sz w:val="16"/>
          <w:szCs w:val="16"/>
          <w:rtl/>
        </w:rPr>
        <w:t xml:space="preserve"> תפא</w:t>
      </w:r>
      <w:r w:rsidRPr="003F7A28">
        <w:rPr>
          <w:rFonts w:cs="Arial" w:hint="cs"/>
          <w:sz w:val="16"/>
          <w:szCs w:val="16"/>
          <w:rtl/>
        </w:rPr>
        <w:t>)</w:t>
      </w:r>
      <w:r>
        <w:rPr>
          <w:rFonts w:cs="Arial" w:hint="cs"/>
          <w:rtl/>
        </w:rPr>
        <w:t>-</w:t>
      </w:r>
      <w:r w:rsidRPr="004638AD">
        <w:rPr>
          <w:rFonts w:cs="Arial"/>
          <w:rtl/>
        </w:rPr>
        <w:t xml:space="preserve"> ראובן ואשתו נתחייבו לבנם יעקב ולמשודכתו רחל מאה מנה בכל תוקף לכשיתבעום שניהם בהסכמה אחת</w:t>
      </w:r>
      <w:r>
        <w:rPr>
          <w:rFonts w:cs="Arial" w:hint="cs"/>
          <w:rtl/>
        </w:rPr>
        <w:t>.</w:t>
      </w:r>
      <w:r w:rsidRPr="004638AD">
        <w:rPr>
          <w:rFonts w:cs="Arial"/>
          <w:rtl/>
        </w:rPr>
        <w:t xml:space="preserve"> והודו בשטר שהונחו בידם לאחריות הכתובה שיכתוב בנם לרחל הנזכרת בשעה שישאנה</w:t>
      </w:r>
      <w:r>
        <w:rPr>
          <w:rFonts w:cs="Arial" w:hint="cs"/>
          <w:rtl/>
        </w:rPr>
        <w:t>.</w:t>
      </w:r>
      <w:r w:rsidRPr="004638AD">
        <w:rPr>
          <w:rFonts w:cs="Arial"/>
          <w:rtl/>
        </w:rPr>
        <w:t xml:space="preserve"> אח"כ מת הבן ובאה אלמנתו בשטר כתובתה לגבות החוב ההוא</w:t>
      </w:r>
      <w:r>
        <w:rPr>
          <w:rFonts w:cs="Arial" w:hint="cs"/>
          <w:rtl/>
        </w:rPr>
        <w:t>.</w:t>
      </w:r>
      <w:r w:rsidRPr="004638AD">
        <w:rPr>
          <w:rFonts w:cs="Arial"/>
          <w:rtl/>
        </w:rPr>
        <w:t xml:space="preserve"> וראובן טוען שלא נתחייב אלא כשיתבעום שניהם בהסכמה אחת</w:t>
      </w:r>
      <w:r>
        <w:rPr>
          <w:rFonts w:cs="Arial" w:hint="cs"/>
          <w:rtl/>
        </w:rPr>
        <w:t>,</w:t>
      </w:r>
      <w:r w:rsidRPr="004638AD">
        <w:rPr>
          <w:rFonts w:cs="Arial"/>
          <w:rtl/>
        </w:rPr>
        <w:t xml:space="preserve"> וכיון שמת בנו ואינו שיסכים בתביעה ההיא הוא פטור</w:t>
      </w:r>
      <w:r>
        <w:rPr>
          <w:rFonts w:cs="Arial" w:hint="cs"/>
          <w:rtl/>
        </w:rPr>
        <w:t>.</w:t>
      </w:r>
      <w:r w:rsidRPr="004638AD">
        <w:rPr>
          <w:rFonts w:cs="Arial"/>
          <w:rtl/>
        </w:rPr>
        <w:t xml:space="preserve"> ועוד שכיון שהיה לאחריות הכתובה העתידה ליכתב</w:t>
      </w:r>
      <w:r>
        <w:rPr>
          <w:rFonts w:cs="Arial" w:hint="cs"/>
          <w:rtl/>
        </w:rPr>
        <w:t>,</w:t>
      </w:r>
      <w:r w:rsidRPr="004638AD">
        <w:rPr>
          <w:rFonts w:cs="Arial"/>
          <w:rtl/>
        </w:rPr>
        <w:t xml:space="preserve"> אין השעבוד כלום</w:t>
      </w:r>
      <w:r>
        <w:rPr>
          <w:rFonts w:cs="Arial" w:hint="cs"/>
          <w:rtl/>
        </w:rPr>
        <w:t>,</w:t>
      </w:r>
      <w:r w:rsidRPr="004638AD">
        <w:rPr>
          <w:rFonts w:cs="Arial"/>
          <w:rtl/>
        </w:rPr>
        <w:t xml:space="preserve"> דהוי כדבר שלא בא לעולם</w:t>
      </w:r>
      <w:r>
        <w:rPr>
          <w:rFonts w:cs="Arial" w:hint="cs"/>
          <w:rtl/>
        </w:rPr>
        <w:t>.</w:t>
      </w:r>
      <w:r w:rsidRPr="004638AD">
        <w:rPr>
          <w:rFonts w:cs="Arial"/>
          <w:rtl/>
        </w:rPr>
        <w:t xml:space="preserve"> ועוד שמלת הונחו הכתוב בשטר </w:t>
      </w:r>
      <w:r w:rsidRPr="004638AD">
        <w:rPr>
          <w:rFonts w:cs="Arial"/>
          <w:rtl/>
        </w:rPr>
        <w:lastRenderedPageBreak/>
        <w:t>נראה שהיו פקדון ולא מלוה</w:t>
      </w:r>
      <w:r>
        <w:rPr>
          <w:rFonts w:cs="Arial" w:hint="cs"/>
          <w:rtl/>
        </w:rPr>
        <w:t>.</w:t>
      </w:r>
      <w:r w:rsidRPr="004638AD">
        <w:rPr>
          <w:rFonts w:cs="Arial"/>
          <w:rtl/>
        </w:rPr>
        <w:t xml:space="preserve"> ועוד שאפילו היה חייב אותם הוא פרע לבנו שהוציא הוצאות הנישואין והמלבושים ופרנסת שניהם על שלחנו ורחל טוענת כנגדו על הכל</w:t>
      </w:r>
      <w:r>
        <w:rPr>
          <w:rFonts w:cs="Arial" w:hint="cs"/>
          <w:rtl/>
        </w:rPr>
        <w:t>... - ה</w:t>
      </w:r>
      <w:r w:rsidRPr="004638AD">
        <w:rPr>
          <w:rFonts w:cs="Arial"/>
          <w:rtl/>
        </w:rPr>
        <w:t xml:space="preserve">דין עם רחל. </w:t>
      </w:r>
    </w:p>
    <w:p w14:paraId="406661A9" w14:textId="30CFBF14" w:rsidR="003A45C9" w:rsidRPr="00823E62" w:rsidRDefault="00823E62" w:rsidP="003A45C9">
      <w:pPr>
        <w:rPr>
          <w:u w:val="single"/>
        </w:rPr>
      </w:pPr>
      <w:r w:rsidRPr="00823E62">
        <w:rPr>
          <w:rFonts w:hint="cs"/>
          <w:u w:val="single"/>
          <w:rtl/>
        </w:rPr>
        <w:t>אשה שנטלה קניין לקיים כל צוואת בעלה שמת, והוא חילק הרבה מתנות בצוואתו, וטוענת שלא קיבלה כן על חלקה:</w:t>
      </w:r>
    </w:p>
    <w:p w14:paraId="135BF9FC" w14:textId="3755CA85" w:rsidR="00392DBB" w:rsidRPr="003F7A28" w:rsidRDefault="00392DBB" w:rsidP="009000E3">
      <w:pPr>
        <w:pStyle w:val="ab"/>
        <w:numPr>
          <w:ilvl w:val="0"/>
          <w:numId w:val="72"/>
        </w:numPr>
      </w:pPr>
      <w:r w:rsidRPr="004638AD">
        <w:rPr>
          <w:rFonts w:cs="Arial"/>
          <w:rtl/>
        </w:rPr>
        <w:t xml:space="preserve">ריב"ש </w:t>
      </w:r>
      <w:r w:rsidRPr="003F7A28">
        <w:rPr>
          <w:rFonts w:cs="Arial" w:hint="cs"/>
          <w:sz w:val="16"/>
          <w:szCs w:val="16"/>
          <w:rtl/>
        </w:rPr>
        <w:t>(</w:t>
      </w:r>
      <w:r w:rsidRPr="003F7A28">
        <w:rPr>
          <w:rFonts w:cs="Arial"/>
          <w:sz w:val="16"/>
          <w:szCs w:val="16"/>
          <w:rtl/>
        </w:rPr>
        <w:t>סי</w:t>
      </w:r>
      <w:r w:rsidRPr="003F7A28">
        <w:rPr>
          <w:rFonts w:cs="Arial" w:hint="cs"/>
          <w:sz w:val="16"/>
          <w:szCs w:val="16"/>
          <w:rtl/>
        </w:rPr>
        <w:t>'</w:t>
      </w:r>
      <w:r w:rsidRPr="003F7A28">
        <w:rPr>
          <w:rFonts w:cs="Arial"/>
          <w:sz w:val="16"/>
          <w:szCs w:val="16"/>
          <w:rtl/>
        </w:rPr>
        <w:t xml:space="preserve"> </w:t>
      </w:r>
      <w:r>
        <w:rPr>
          <w:rFonts w:cs="Arial" w:hint="cs"/>
          <w:sz w:val="16"/>
          <w:szCs w:val="16"/>
          <w:rtl/>
        </w:rPr>
        <w:t>רמד</w:t>
      </w:r>
      <w:r w:rsidRPr="003F7A28">
        <w:rPr>
          <w:rFonts w:cs="Arial" w:hint="cs"/>
          <w:sz w:val="16"/>
          <w:szCs w:val="16"/>
          <w:rtl/>
        </w:rPr>
        <w:t>)</w:t>
      </w:r>
      <w:r>
        <w:rPr>
          <w:rFonts w:cs="Arial" w:hint="cs"/>
          <w:rtl/>
        </w:rPr>
        <w:t>-</w:t>
      </w:r>
      <w:r w:rsidRPr="004638AD">
        <w:rPr>
          <w:rFonts w:cs="Arial"/>
          <w:rtl/>
        </w:rPr>
        <w:t xml:space="preserve"> מעשה בראובן שצוה מחמת מיתה ונתן מתנות עודפות על חצי נכסיו</w:t>
      </w:r>
      <w:r w:rsidR="003A45C9">
        <w:rPr>
          <w:rFonts w:cs="Arial" w:hint="cs"/>
          <w:rtl/>
        </w:rPr>
        <w:t>,</w:t>
      </w:r>
      <w:r w:rsidRPr="004638AD">
        <w:rPr>
          <w:rFonts w:cs="Arial"/>
          <w:rtl/>
        </w:rPr>
        <w:t xml:space="preserve"> ואמרו לאשתו שתטול קנין להשלים כל צוואתו ונטלה קנין בזה הלשון </w:t>
      </w:r>
      <w:r w:rsidR="003A45C9">
        <w:rPr>
          <w:rFonts w:cs="Arial" w:hint="cs"/>
          <w:rtl/>
        </w:rPr>
        <w:t>"</w:t>
      </w:r>
      <w:r w:rsidRPr="004638AD">
        <w:rPr>
          <w:rFonts w:cs="Arial"/>
          <w:rtl/>
        </w:rPr>
        <w:t>אני משעבדת עצמי להשלים מנכסי המת כל צוואתו</w:t>
      </w:r>
      <w:r w:rsidR="003A45C9">
        <w:rPr>
          <w:rFonts w:cs="Arial" w:hint="cs"/>
          <w:rtl/>
        </w:rPr>
        <w:t>".</w:t>
      </w:r>
      <w:r w:rsidRPr="004638AD">
        <w:rPr>
          <w:rFonts w:cs="Arial"/>
          <w:rtl/>
        </w:rPr>
        <w:t xml:space="preserve"> ועתה טוענת האלמנה שהנכסים שהם שלה בכתובתה ולא שעבדה בדבר זה כי אם החלק של היורשים</w:t>
      </w:r>
      <w:r w:rsidR="003A45C9">
        <w:rPr>
          <w:rFonts w:cs="Arial" w:hint="cs"/>
          <w:rtl/>
        </w:rPr>
        <w:t>,</w:t>
      </w:r>
      <w:r w:rsidRPr="004638AD">
        <w:rPr>
          <w:rFonts w:cs="Arial"/>
          <w:rtl/>
        </w:rPr>
        <w:t xml:space="preserve"> ולא נטלה קנין אלא לפי שהיו כל הנכסים ברשותה </w:t>
      </w:r>
      <w:r w:rsidR="003A45C9">
        <w:rPr>
          <w:rFonts w:cs="Arial" w:hint="cs"/>
          <w:rtl/>
        </w:rPr>
        <w:t xml:space="preserve">- </w:t>
      </w:r>
      <w:r w:rsidRPr="004638AD">
        <w:rPr>
          <w:rFonts w:cs="Arial"/>
          <w:rtl/>
        </w:rPr>
        <w:t xml:space="preserve">הדין עם האלמנה. </w:t>
      </w:r>
    </w:p>
    <w:p w14:paraId="4A91FD55" w14:textId="77777777" w:rsidR="00392DBB" w:rsidRPr="004307E9" w:rsidRDefault="00392DBB" w:rsidP="00392DBB">
      <w:pPr>
        <w:rPr>
          <w:u w:val="single"/>
          <w:rtl/>
        </w:rPr>
      </w:pPr>
      <w:r w:rsidRPr="004307E9">
        <w:rPr>
          <w:rFonts w:hint="cs"/>
          <w:u w:val="single"/>
          <w:rtl/>
        </w:rPr>
        <w:t>תקנות שתקנו בתקופת הריב"ש לטובת היתומים:</w:t>
      </w:r>
    </w:p>
    <w:p w14:paraId="5DB075FA" w14:textId="77777777" w:rsidR="00392DBB" w:rsidRPr="003F7A28" w:rsidRDefault="00392DBB" w:rsidP="009000E3">
      <w:pPr>
        <w:pStyle w:val="ab"/>
        <w:numPr>
          <w:ilvl w:val="0"/>
          <w:numId w:val="72"/>
        </w:numPr>
      </w:pPr>
      <w:r w:rsidRPr="004638AD">
        <w:rPr>
          <w:rFonts w:cs="Arial"/>
          <w:rtl/>
        </w:rPr>
        <w:t xml:space="preserve">ריב"ש </w:t>
      </w:r>
      <w:r w:rsidRPr="003F7A28">
        <w:rPr>
          <w:rFonts w:cs="Arial" w:hint="cs"/>
          <w:sz w:val="16"/>
          <w:szCs w:val="16"/>
          <w:rtl/>
        </w:rPr>
        <w:t>(</w:t>
      </w:r>
      <w:r w:rsidRPr="003F7A28">
        <w:rPr>
          <w:rFonts w:cs="Arial"/>
          <w:sz w:val="16"/>
          <w:szCs w:val="16"/>
          <w:rtl/>
        </w:rPr>
        <w:t>סי</w:t>
      </w:r>
      <w:r w:rsidRPr="003F7A28">
        <w:rPr>
          <w:rFonts w:cs="Arial" w:hint="cs"/>
          <w:sz w:val="16"/>
          <w:szCs w:val="16"/>
          <w:rtl/>
        </w:rPr>
        <w:t>'</w:t>
      </w:r>
      <w:r w:rsidRPr="003F7A28">
        <w:rPr>
          <w:rFonts w:cs="Arial"/>
          <w:sz w:val="16"/>
          <w:szCs w:val="16"/>
          <w:rtl/>
        </w:rPr>
        <w:t xml:space="preserve"> </w:t>
      </w:r>
      <w:r>
        <w:rPr>
          <w:rFonts w:cs="Arial" w:hint="cs"/>
          <w:sz w:val="16"/>
          <w:szCs w:val="16"/>
          <w:rtl/>
        </w:rPr>
        <w:t>קז</w:t>
      </w:r>
      <w:r w:rsidRPr="003F7A28">
        <w:rPr>
          <w:rFonts w:cs="Arial" w:hint="cs"/>
          <w:sz w:val="16"/>
          <w:szCs w:val="16"/>
          <w:rtl/>
        </w:rPr>
        <w:t>)</w:t>
      </w:r>
      <w:r>
        <w:rPr>
          <w:rFonts w:cs="Arial" w:hint="cs"/>
          <w:rtl/>
        </w:rPr>
        <w:t>-</w:t>
      </w:r>
      <w:r w:rsidRPr="004638AD">
        <w:rPr>
          <w:rFonts w:cs="Arial"/>
          <w:rtl/>
        </w:rPr>
        <w:t xml:space="preserve"> נהגנו כאנשי גליל</w:t>
      </w:r>
      <w:r>
        <w:rPr>
          <w:rFonts w:cs="Arial" w:hint="cs"/>
          <w:rtl/>
        </w:rPr>
        <w:t>,</w:t>
      </w:r>
      <w:r w:rsidRPr="004638AD">
        <w:rPr>
          <w:rFonts w:cs="Arial"/>
          <w:rtl/>
        </w:rPr>
        <w:t xml:space="preserve"> וכשראו הקהל שנכסי היחידים מועטים</w:t>
      </w:r>
      <w:r>
        <w:rPr>
          <w:rFonts w:cs="Arial" w:hint="cs"/>
          <w:rtl/>
        </w:rPr>
        <w:t>,</w:t>
      </w:r>
      <w:r w:rsidRPr="004638AD">
        <w:rPr>
          <w:rFonts w:cs="Arial"/>
          <w:rtl/>
        </w:rPr>
        <w:t xml:space="preserve"> ואם האלמנה תהיה נזונת לעולם לא ישאר דבר ליתומים</w:t>
      </w:r>
      <w:r>
        <w:rPr>
          <w:rFonts w:cs="Arial" w:hint="cs"/>
          <w:rtl/>
        </w:rPr>
        <w:t>,</w:t>
      </w:r>
      <w:r w:rsidRPr="004638AD">
        <w:rPr>
          <w:rFonts w:cs="Arial"/>
          <w:rtl/>
        </w:rPr>
        <w:t xml:space="preserve"> עשו תקנות בענייני הנישואים הנעשים מהיום ההוא ואילך</w:t>
      </w:r>
      <w:r>
        <w:rPr>
          <w:rFonts w:cs="Arial" w:hint="cs"/>
          <w:rtl/>
        </w:rPr>
        <w:t>,</w:t>
      </w:r>
      <w:r w:rsidRPr="004638AD">
        <w:rPr>
          <w:rFonts w:cs="Arial"/>
          <w:rtl/>
        </w:rPr>
        <w:t xml:space="preserve"> כי לא ראו לגרוע זכות הנשים בנישואין שנעשו כבר אבל ישארו על דין התלמוד</w:t>
      </w:r>
      <w:r>
        <w:rPr>
          <w:rFonts w:cs="Arial" w:hint="cs"/>
          <w:rtl/>
        </w:rPr>
        <w:t>.</w:t>
      </w:r>
      <w:r w:rsidRPr="004638AD">
        <w:rPr>
          <w:rFonts w:cs="Arial"/>
          <w:rtl/>
        </w:rPr>
        <w:t xml:space="preserve"> וזה כמו שמנה שנים שנעשו התקנות ההם ומהם שכל זמן שירצו היורשים לפרוע לה כתובתה ולסלקה מזכות מזונותיה שיהא רשות בידם</w:t>
      </w:r>
      <w:r>
        <w:rPr>
          <w:rFonts w:cs="Arial" w:hint="cs"/>
          <w:rtl/>
        </w:rPr>
        <w:t>,</w:t>
      </w:r>
      <w:r w:rsidRPr="004638AD">
        <w:rPr>
          <w:rFonts w:cs="Arial"/>
          <w:rtl/>
        </w:rPr>
        <w:t xml:space="preserve"> זולתי בג' חדשים הראשונים</w:t>
      </w:r>
      <w:r>
        <w:rPr>
          <w:rFonts w:cs="Arial" w:hint="cs"/>
          <w:rtl/>
        </w:rPr>
        <w:t>.</w:t>
      </w:r>
      <w:r w:rsidRPr="004638AD">
        <w:rPr>
          <w:rFonts w:cs="Arial"/>
          <w:rtl/>
        </w:rPr>
        <w:t xml:space="preserve"> וכן תיקנו לתועלת היתומים שהתוספת הנהוג לכתוב לבתולות שלא תגבה ממנה כלום זולתי אם תתגרש שלא ברצונה</w:t>
      </w:r>
      <w:r>
        <w:rPr>
          <w:rFonts w:cs="Arial" w:hint="cs"/>
          <w:rtl/>
        </w:rPr>
        <w:t>,</w:t>
      </w:r>
      <w:r w:rsidRPr="004638AD">
        <w:rPr>
          <w:rFonts w:cs="Arial"/>
          <w:rtl/>
        </w:rPr>
        <w:t xml:space="preserve"> אבל במיתת הבעל לא תגבה מן התוספת כלום</w:t>
      </w:r>
      <w:r>
        <w:rPr>
          <w:rFonts w:cs="Arial" w:hint="cs"/>
          <w:rtl/>
        </w:rPr>
        <w:t>,</w:t>
      </w:r>
      <w:r w:rsidRPr="004638AD">
        <w:rPr>
          <w:rFonts w:cs="Arial"/>
          <w:rtl/>
        </w:rPr>
        <w:t xml:space="preserve"> ודי לה שתגבה עיקר כתובה</w:t>
      </w:r>
      <w:r>
        <w:rPr>
          <w:rFonts w:cs="Arial" w:hint="cs"/>
          <w:rtl/>
        </w:rPr>
        <w:t>.</w:t>
      </w:r>
      <w:r w:rsidRPr="004638AD">
        <w:rPr>
          <w:rFonts w:cs="Arial"/>
          <w:rtl/>
        </w:rPr>
        <w:t xml:space="preserve"> ונדוניא שהכניסה קצתה בבגדים יותר משיוויים והיא עצמה בלתה אותם</w:t>
      </w:r>
      <w:r>
        <w:rPr>
          <w:rFonts w:cs="Arial" w:hint="cs"/>
          <w:rtl/>
        </w:rPr>
        <w:t>,</w:t>
      </w:r>
      <w:r w:rsidRPr="004638AD">
        <w:rPr>
          <w:rFonts w:cs="Arial"/>
          <w:rtl/>
        </w:rPr>
        <w:t xml:space="preserve"> וגם המעות הנשארים מהנדוניא הוציא קצתם בצרכי הנישואין</w:t>
      </w:r>
      <w:r>
        <w:rPr>
          <w:rFonts w:cs="Arial" w:hint="cs"/>
          <w:rtl/>
        </w:rPr>
        <w:t>,</w:t>
      </w:r>
      <w:r w:rsidRPr="004638AD">
        <w:rPr>
          <w:rFonts w:cs="Arial"/>
          <w:rtl/>
        </w:rPr>
        <w:t xml:space="preserve"> ועתה תגבה האלמנה במעות משלם</w:t>
      </w:r>
      <w:r>
        <w:rPr>
          <w:rFonts w:cs="Arial" w:hint="cs"/>
          <w:rtl/>
        </w:rPr>
        <w:t>?</w:t>
      </w:r>
      <w:r w:rsidRPr="004638AD">
        <w:rPr>
          <w:rFonts w:cs="Arial"/>
          <w:rtl/>
        </w:rPr>
        <w:t xml:space="preserve"> </w:t>
      </w:r>
      <w:r>
        <w:rPr>
          <w:rFonts w:cs="Arial" w:hint="cs"/>
          <w:rtl/>
        </w:rPr>
        <w:t xml:space="preserve">- </w:t>
      </w:r>
      <w:r w:rsidRPr="004638AD">
        <w:rPr>
          <w:rFonts w:cs="Arial"/>
          <w:rtl/>
        </w:rPr>
        <w:t>אין ראוי שתגבה התוספת מן היתומים</w:t>
      </w:r>
      <w:r>
        <w:rPr>
          <w:rFonts w:cs="Arial" w:hint="cs"/>
          <w:rtl/>
        </w:rPr>
        <w:t>.</w:t>
      </w:r>
      <w:r w:rsidRPr="004638AD">
        <w:rPr>
          <w:rFonts w:cs="Arial"/>
          <w:rtl/>
        </w:rPr>
        <w:t xml:space="preserve"> ועוד תיקנו אז תקנות אחרות וכל הנושא מאז והנה ע"ד התקנות ההם הוא נושא</w:t>
      </w:r>
      <w:r>
        <w:rPr>
          <w:rFonts w:cs="Arial" w:hint="cs"/>
          <w:rtl/>
        </w:rPr>
        <w:t>.</w:t>
      </w:r>
      <w:r w:rsidRPr="004638AD">
        <w:rPr>
          <w:rFonts w:cs="Arial"/>
          <w:rtl/>
        </w:rPr>
        <w:t xml:space="preserve"> וכן כותבין בכתובה כהוגן וכתיקון חז"ל וע"פ התקנות שתיקנו קהל אלגזאי"ר. </w:t>
      </w:r>
    </w:p>
    <w:p w14:paraId="55AAD854" w14:textId="77777777" w:rsidR="00392DBB" w:rsidRPr="004307E9" w:rsidRDefault="00392DBB" w:rsidP="00392DBB">
      <w:pPr>
        <w:rPr>
          <w:u w:val="single"/>
        </w:rPr>
      </w:pPr>
      <w:r w:rsidRPr="004307E9">
        <w:rPr>
          <w:rFonts w:cs="Arial"/>
          <w:u w:val="single"/>
          <w:rtl/>
        </w:rPr>
        <w:t xml:space="preserve">כתובה שהתנו בה </w:t>
      </w:r>
      <w:r>
        <w:rPr>
          <w:rFonts w:cs="Arial" w:hint="cs"/>
          <w:u w:val="single"/>
          <w:rtl/>
        </w:rPr>
        <w:t xml:space="preserve">שיזכו </w:t>
      </w:r>
      <w:r w:rsidRPr="004307E9">
        <w:rPr>
          <w:rFonts w:cs="Arial"/>
          <w:u w:val="single"/>
          <w:rtl/>
        </w:rPr>
        <w:t>יורשיה</w:t>
      </w:r>
      <w:r>
        <w:rPr>
          <w:rFonts w:cs="Arial" w:hint="cs"/>
          <w:u w:val="single"/>
          <w:rtl/>
        </w:rPr>
        <w:t xml:space="preserve"> בשיור מנכסיה</w:t>
      </w:r>
      <w:r w:rsidRPr="004307E9">
        <w:rPr>
          <w:rFonts w:cs="Arial"/>
          <w:u w:val="single"/>
          <w:rtl/>
        </w:rPr>
        <w:t xml:space="preserve"> אם לא ישאר ממנה ולד של קיימא</w:t>
      </w:r>
      <w:r>
        <w:rPr>
          <w:rFonts w:cs="Arial" w:hint="cs"/>
          <w:u w:val="single"/>
          <w:rtl/>
        </w:rPr>
        <w:t>, והשאר לבעלה</w:t>
      </w:r>
      <w:r w:rsidRPr="004307E9">
        <w:rPr>
          <w:rFonts w:hint="cs"/>
          <w:u w:val="single"/>
          <w:rtl/>
        </w:rPr>
        <w:t>:</w:t>
      </w:r>
    </w:p>
    <w:p w14:paraId="1639E68F" w14:textId="77777777" w:rsidR="00392DBB" w:rsidRPr="004307E9" w:rsidRDefault="00392DBB" w:rsidP="009000E3">
      <w:pPr>
        <w:pStyle w:val="ab"/>
        <w:numPr>
          <w:ilvl w:val="0"/>
          <w:numId w:val="72"/>
        </w:numPr>
      </w:pPr>
      <w:r>
        <w:rPr>
          <w:rFonts w:cs="Arial" w:hint="cs"/>
          <w:rtl/>
        </w:rPr>
        <w:t>רשב"א</w:t>
      </w:r>
      <w:r w:rsidRPr="004638AD">
        <w:rPr>
          <w:rFonts w:cs="Arial"/>
          <w:rtl/>
        </w:rPr>
        <w:t xml:space="preserve"> </w:t>
      </w:r>
      <w:r w:rsidRPr="003F7A28">
        <w:rPr>
          <w:rFonts w:cs="Arial"/>
          <w:sz w:val="16"/>
          <w:szCs w:val="16"/>
          <w:rtl/>
        </w:rPr>
        <w:t>(במיוחסות סי</w:t>
      </w:r>
      <w:r w:rsidRPr="003F7A28">
        <w:rPr>
          <w:rFonts w:cs="Arial" w:hint="cs"/>
          <w:sz w:val="16"/>
          <w:szCs w:val="16"/>
          <w:rtl/>
        </w:rPr>
        <w:t>'</w:t>
      </w:r>
      <w:r w:rsidRPr="003F7A28">
        <w:rPr>
          <w:rFonts w:cs="Arial"/>
          <w:sz w:val="16"/>
          <w:szCs w:val="16"/>
          <w:rtl/>
        </w:rPr>
        <w:t xml:space="preserve"> י</w:t>
      </w:r>
      <w:r w:rsidRPr="003F7A28">
        <w:rPr>
          <w:rFonts w:cs="Arial" w:hint="cs"/>
          <w:sz w:val="16"/>
          <w:szCs w:val="16"/>
          <w:rtl/>
        </w:rPr>
        <w:t>)</w:t>
      </w:r>
      <w:r>
        <w:rPr>
          <w:rFonts w:cs="Arial" w:hint="cs"/>
          <w:rtl/>
        </w:rPr>
        <w:t>-</w:t>
      </w:r>
      <w:r w:rsidRPr="004638AD">
        <w:rPr>
          <w:rFonts w:cs="Arial"/>
          <w:rtl/>
        </w:rPr>
        <w:t xml:space="preserve"> כתובה שהתנו בה שיור ליורשיה אם לא ישאר ממנה ולד של קיימא</w:t>
      </w:r>
      <w:r>
        <w:rPr>
          <w:rFonts w:cs="Arial" w:hint="cs"/>
          <w:rtl/>
        </w:rPr>
        <w:t>.</w:t>
      </w:r>
      <w:r w:rsidRPr="004638AD">
        <w:rPr>
          <w:rFonts w:cs="Arial"/>
          <w:rtl/>
        </w:rPr>
        <w:t xml:space="preserve"> ומתה היא ואח"כ מת הולד תוך ל' יום והיורשים טוענים שכיון שמת תוך ל' יום הרי זה בכלל נפל והשיב שאין בדבריהם כלום משום דכל שלא שהה שלשים יום באדם אינו ודאי נפל אפילו לרבן שמעון בן גמליאל (שבת קלה:) ומספיקא לא מפקינן ממונא וכל שכן לרבנן (שם קלו.) דפליגי עליה וקיי"ל כוותייהו ואילו היה התנאי כל שישאר ממנה ולד של קיימא לא יחזיר כלום ליורשיה היה על הבעל להביא ראיה לפי שלא זכה באותו שיור אלא אם כן ישאר ממנה ולד של קיימא ועליו הראיה</w:t>
      </w:r>
      <w:r>
        <w:rPr>
          <w:rFonts w:cs="Arial" w:hint="cs"/>
          <w:rtl/>
        </w:rPr>
        <w:t>.</w:t>
      </w:r>
      <w:r w:rsidRPr="004638AD">
        <w:rPr>
          <w:rFonts w:cs="Arial"/>
          <w:rtl/>
        </w:rPr>
        <w:t xml:space="preserve"> אבל כאן כבר זכה בכל ממון הנדוניא אלא שהתנה שאם לא ישאר ממנה ולד של קיימא שיחזיר</w:t>
      </w:r>
      <w:r>
        <w:rPr>
          <w:rFonts w:cs="Arial" w:hint="cs"/>
          <w:rtl/>
        </w:rPr>
        <w:t>,</w:t>
      </w:r>
      <w:r w:rsidRPr="004638AD">
        <w:rPr>
          <w:rFonts w:cs="Arial"/>
          <w:rtl/>
        </w:rPr>
        <w:t xml:space="preserve"> אם כן מי שאמר שלא היה ולד של קיימא עליו הראיה.</w:t>
      </w:r>
    </w:p>
    <w:p w14:paraId="464EBFD6" w14:textId="77777777" w:rsidR="00392DBB" w:rsidRPr="000E3CF4" w:rsidRDefault="00392DBB" w:rsidP="00392DBB">
      <w:pPr>
        <w:rPr>
          <w:u w:val="single"/>
        </w:rPr>
      </w:pPr>
      <w:r w:rsidRPr="000E3CF4">
        <w:rPr>
          <w:rFonts w:cs="Arial"/>
          <w:u w:val="single"/>
          <w:rtl/>
        </w:rPr>
        <w:t>ראובן ואשתו עשו תנאי ביניהם בקנין שאם תפטר היא בחייו יחזיר כל מה שהביאה וק' זהובים יותר</w:t>
      </w:r>
      <w:r w:rsidRPr="000E3CF4">
        <w:rPr>
          <w:rFonts w:hint="cs"/>
          <w:u w:val="single"/>
          <w:rtl/>
        </w:rPr>
        <w:t>:</w:t>
      </w:r>
    </w:p>
    <w:p w14:paraId="56223DF2" w14:textId="7ECAB53E" w:rsidR="00392DBB" w:rsidRDefault="00392DBB" w:rsidP="009000E3">
      <w:pPr>
        <w:pStyle w:val="ab"/>
        <w:numPr>
          <w:ilvl w:val="0"/>
          <w:numId w:val="72"/>
        </w:numPr>
      </w:pPr>
      <w:r w:rsidRPr="004638AD">
        <w:rPr>
          <w:rFonts w:cs="Arial"/>
          <w:rtl/>
        </w:rPr>
        <w:t xml:space="preserve">רשב"א </w:t>
      </w:r>
      <w:r w:rsidRPr="00592052">
        <w:rPr>
          <w:rFonts w:cs="Arial"/>
          <w:sz w:val="16"/>
          <w:szCs w:val="16"/>
          <w:rtl/>
        </w:rPr>
        <w:t>(ח"א סי' אלף קמב)</w:t>
      </w:r>
      <w:r>
        <w:rPr>
          <w:rFonts w:cs="Arial" w:hint="cs"/>
          <w:rtl/>
        </w:rPr>
        <w:t xml:space="preserve">- </w:t>
      </w:r>
      <w:r w:rsidRPr="004638AD">
        <w:rPr>
          <w:rFonts w:cs="Arial"/>
          <w:rtl/>
        </w:rPr>
        <w:t>ראובן ואשתו עשו תנאי ביניהם בקנין שאם תפטר היא בחייו יחזיר כל מה שהביאה וק' זהובים יותר</w:t>
      </w:r>
      <w:r>
        <w:rPr>
          <w:rFonts w:cs="Arial" w:hint="cs"/>
          <w:rtl/>
        </w:rPr>
        <w:t xml:space="preserve">.   </w:t>
      </w:r>
      <w:r w:rsidR="00FE210D">
        <w:rPr>
          <w:rFonts w:cs="Arial" w:hint="cs"/>
          <w:rtl/>
        </w:rPr>
        <w:t xml:space="preserve">  תשובה:</w:t>
      </w:r>
      <w:r w:rsidRPr="004638AD">
        <w:rPr>
          <w:rFonts w:cs="Arial"/>
          <w:rtl/>
        </w:rPr>
        <w:t xml:space="preserve"> כל שאמר </w:t>
      </w:r>
      <w:r>
        <w:rPr>
          <w:rFonts w:cs="Arial" w:hint="cs"/>
          <w:rtl/>
        </w:rPr>
        <w:t>'</w:t>
      </w:r>
      <w:r w:rsidRPr="004638AD">
        <w:rPr>
          <w:rFonts w:cs="Arial"/>
          <w:rtl/>
        </w:rPr>
        <w:t>לכשירדו גשמים אתן לך כך וכך</w:t>
      </w:r>
      <w:r>
        <w:rPr>
          <w:rFonts w:cs="Arial" w:hint="cs"/>
          <w:rtl/>
        </w:rPr>
        <w:t>',</w:t>
      </w:r>
      <w:r w:rsidRPr="004638AD">
        <w:rPr>
          <w:rFonts w:cs="Arial"/>
          <w:rtl/>
        </w:rPr>
        <w:t xml:space="preserve"> וקנו מידו </w:t>
      </w:r>
      <w:r>
        <w:rPr>
          <w:rFonts w:cs="Arial" w:hint="cs"/>
          <w:rtl/>
        </w:rPr>
        <w:t xml:space="preserve">- </w:t>
      </w:r>
      <w:r w:rsidRPr="004638AD">
        <w:rPr>
          <w:rFonts w:cs="Arial"/>
          <w:rtl/>
        </w:rPr>
        <w:t>קנה אע</w:t>
      </w:r>
      <w:r w:rsidR="008B66B9">
        <w:rPr>
          <w:rFonts w:cs="Arial" w:hint="cs"/>
          <w:rtl/>
        </w:rPr>
        <w:t>"</w:t>
      </w:r>
      <w:r w:rsidRPr="004638AD">
        <w:rPr>
          <w:rFonts w:cs="Arial"/>
          <w:rtl/>
        </w:rPr>
        <w:t>פ שלא אמר בלשון חיוב</w:t>
      </w:r>
      <w:r>
        <w:rPr>
          <w:rFonts w:cs="Arial" w:hint="cs"/>
          <w:rtl/>
        </w:rPr>
        <w:t>,</w:t>
      </w:r>
      <w:r w:rsidRPr="004638AD">
        <w:rPr>
          <w:rFonts w:cs="Arial"/>
          <w:rtl/>
        </w:rPr>
        <w:t xml:space="preserve"> דקנין מילתא אלימתא הוא</w:t>
      </w:r>
      <w:r>
        <w:rPr>
          <w:rFonts w:cs="Arial" w:hint="cs"/>
          <w:rtl/>
        </w:rPr>
        <w:t>,</w:t>
      </w:r>
      <w:r w:rsidRPr="004638AD">
        <w:rPr>
          <w:rFonts w:cs="Arial"/>
          <w:rtl/>
        </w:rPr>
        <w:t xml:space="preserve"> ומתקן הענין כאילו מחייב עצמו באותו דבר שאמר ליתן</w:t>
      </w:r>
      <w:r>
        <w:rPr>
          <w:rFonts w:cs="Arial" w:hint="cs"/>
          <w:rtl/>
        </w:rPr>
        <w:t>.</w:t>
      </w:r>
      <w:r w:rsidRPr="004638AD">
        <w:rPr>
          <w:rFonts w:cs="Arial"/>
          <w:rtl/>
        </w:rPr>
        <w:t xml:space="preserve"> וראיה מר"פ הכותב (כתובות פג:) ופרק זה בורר (סנהדרין כד:) גבי נאמן עלי אבא</w:t>
      </w:r>
      <w:r>
        <w:rPr>
          <w:rFonts w:cs="Arial" w:hint="cs"/>
          <w:rtl/>
        </w:rPr>
        <w:t>.</w:t>
      </w:r>
      <w:r w:rsidRPr="004638AD">
        <w:rPr>
          <w:rFonts w:cs="Arial"/>
          <w:rtl/>
        </w:rPr>
        <w:t xml:space="preserve"> ומה שאמרו שאין אדם מתנה עם אשתו שלא יירשנה נדוניא שנתנה לו לחלוטין מתחלה</w:t>
      </w:r>
      <w:r>
        <w:rPr>
          <w:rFonts w:cs="Arial" w:hint="cs"/>
          <w:rtl/>
        </w:rPr>
        <w:t>,</w:t>
      </w:r>
      <w:r w:rsidRPr="004638AD">
        <w:rPr>
          <w:rFonts w:cs="Arial"/>
          <w:rtl/>
        </w:rPr>
        <w:t xml:space="preserve"> כמו שרגילין עכשיו להכניס לבעל שיהיה שלו אלא אם כן תתאלמן או תתגרש</w:t>
      </w:r>
      <w:r>
        <w:rPr>
          <w:rFonts w:cs="Arial" w:hint="cs"/>
          <w:rtl/>
        </w:rPr>
        <w:t>,</w:t>
      </w:r>
      <w:r w:rsidRPr="004638AD">
        <w:rPr>
          <w:rFonts w:cs="Arial"/>
          <w:rtl/>
        </w:rPr>
        <w:t xml:space="preserve"> ואח"כ עמד הוא וכתב ליורשים שאם תמות היא בחייו שיתן להם כל מה שהביאה לו </w:t>
      </w:r>
      <w:r>
        <w:rPr>
          <w:rFonts w:cs="Arial" w:hint="cs"/>
          <w:rtl/>
        </w:rPr>
        <w:t xml:space="preserve">- </w:t>
      </w:r>
      <w:r w:rsidRPr="004638AD">
        <w:rPr>
          <w:rFonts w:cs="Arial"/>
          <w:rtl/>
        </w:rPr>
        <w:t>אין זה אלא כמתחייב ליתן להם משלו כך וכך שאין זה תלוי בדין ירושה כלל</w:t>
      </w:r>
      <w:r>
        <w:rPr>
          <w:rFonts w:cs="Arial" w:hint="cs"/>
          <w:rtl/>
        </w:rPr>
        <w:t>.</w:t>
      </w:r>
      <w:r w:rsidRPr="004638AD">
        <w:rPr>
          <w:rFonts w:cs="Arial"/>
          <w:rtl/>
        </w:rPr>
        <w:t xml:space="preserve"> אבל מה שמספק עלי ענין השטר לפי שאני רואה שלא חייב עצמו הבעל ולא קנו מידו ליורשים אלא שקנו מידו ללאה אשתו</w:t>
      </w:r>
      <w:r>
        <w:rPr>
          <w:rFonts w:cs="Arial" w:hint="cs"/>
          <w:rtl/>
        </w:rPr>
        <w:t>.</w:t>
      </w:r>
      <w:r w:rsidRPr="004638AD">
        <w:rPr>
          <w:rFonts w:cs="Arial"/>
          <w:rtl/>
        </w:rPr>
        <w:t xml:space="preserve"> וגם ללאה לא חייב עצמו ולא קנו מידו ליתן לה</w:t>
      </w:r>
      <w:r>
        <w:rPr>
          <w:rFonts w:cs="Arial" w:hint="cs"/>
          <w:rtl/>
        </w:rPr>
        <w:t>,</w:t>
      </w:r>
      <w:r w:rsidRPr="004638AD">
        <w:rPr>
          <w:rFonts w:cs="Arial"/>
          <w:rtl/>
        </w:rPr>
        <w:t xml:space="preserve"> אלא אמר לה הריני לוקח לך בקנין שאתן לפלוני כך וכך</w:t>
      </w:r>
      <w:r>
        <w:rPr>
          <w:rFonts w:cs="Arial" w:hint="cs"/>
          <w:rtl/>
        </w:rPr>
        <w:t>.</w:t>
      </w:r>
      <w:r w:rsidRPr="004638AD">
        <w:rPr>
          <w:rFonts w:cs="Arial"/>
          <w:rtl/>
        </w:rPr>
        <w:t xml:space="preserve"> ואם כן במה נשתעבד ליורשים שהרי לא קנו מידו להם</w:t>
      </w:r>
      <w:r>
        <w:rPr>
          <w:rFonts w:cs="Arial" w:hint="cs"/>
          <w:rtl/>
        </w:rPr>
        <w:t>,</w:t>
      </w:r>
      <w:r w:rsidRPr="004638AD">
        <w:rPr>
          <w:rFonts w:cs="Arial"/>
          <w:rtl/>
        </w:rPr>
        <w:t xml:space="preserve"> וגם ללאה לא קנו ליתן לה ושיזכו הם מחמתה</w:t>
      </w:r>
      <w:r>
        <w:rPr>
          <w:rFonts w:cs="Arial" w:hint="cs"/>
          <w:rtl/>
        </w:rPr>
        <w:t>,</w:t>
      </w:r>
      <w:r w:rsidRPr="004638AD">
        <w:rPr>
          <w:rFonts w:cs="Arial"/>
          <w:rtl/>
        </w:rPr>
        <w:t xml:space="preserve"> וכל האומר קנו ממני לראובן שאתן לשמעון במה קנה שמעון</w:t>
      </w:r>
      <w:r>
        <w:rPr>
          <w:rFonts w:cs="Arial" w:hint="cs"/>
          <w:rtl/>
        </w:rPr>
        <w:t>.</w:t>
      </w:r>
      <w:r w:rsidRPr="004638AD">
        <w:rPr>
          <w:rFonts w:cs="Arial"/>
          <w:rtl/>
        </w:rPr>
        <w:t xml:space="preserve"> זהו שסיפק עלי הדין כנגד היורשים</w:t>
      </w:r>
      <w:r>
        <w:rPr>
          <w:rFonts w:cs="Arial" w:hint="cs"/>
          <w:rtl/>
        </w:rPr>
        <w:t>.</w:t>
      </w:r>
      <w:r w:rsidRPr="004638AD">
        <w:rPr>
          <w:rFonts w:cs="Arial"/>
          <w:rtl/>
        </w:rPr>
        <w:t xml:space="preserve"> ואותה שאמרו בירושלמי (כתובות פ"ט סוף ה"א) אי מיתת בלא בנים תהדר מדלה לבי נשא ההיא באמת קודם נישואין היא וכאילו מתנה עמה שכל מה שהביאה יחזור לבית אביה שעל מנת כן הכניסה לו נדונייתה ועל תנאי כן קיבל הוא אבל זה שכבר זכה בנדונייתה במה מתחייב להחזיר להם וכן במאה זהובים משלו הוא מוסיף ובחיובו לפיכך אין נראה לי שמתחייב ליורשים בכך. </w:t>
      </w:r>
    </w:p>
    <w:p w14:paraId="7AAF5882" w14:textId="6CFD0193" w:rsidR="00392DBB" w:rsidRPr="00FC6E08" w:rsidRDefault="00392DBB" w:rsidP="00392DBB">
      <w:pPr>
        <w:rPr>
          <w:u w:val="single"/>
        </w:rPr>
      </w:pPr>
      <w:r w:rsidRPr="00FC6E08">
        <w:rPr>
          <w:rFonts w:cs="Arial"/>
          <w:u w:val="single"/>
          <w:rtl/>
        </w:rPr>
        <w:t>אלמנה כתבה לראובן שטר שהיא חייבת לו מנה אם תנשא לבעל עד זמן פלוני</w:t>
      </w:r>
      <w:r w:rsidRPr="00FC6E08">
        <w:rPr>
          <w:rFonts w:cs="Arial" w:hint="cs"/>
          <w:u w:val="single"/>
          <w:rtl/>
        </w:rPr>
        <w:t>,</w:t>
      </w:r>
      <w:r w:rsidRPr="00FC6E08">
        <w:rPr>
          <w:rFonts w:cs="Arial"/>
          <w:u w:val="single"/>
          <w:rtl/>
        </w:rPr>
        <w:t xml:space="preserve"> ונישאת תוך הזמן</w:t>
      </w:r>
      <w:r w:rsidRPr="00FC6E08">
        <w:rPr>
          <w:rFonts w:cs="Arial" w:hint="cs"/>
          <w:u w:val="single"/>
          <w:rtl/>
        </w:rPr>
        <w:t xml:space="preserve"> </w:t>
      </w:r>
      <w:r w:rsidR="00F97626">
        <w:rPr>
          <w:rFonts w:cs="Arial"/>
          <w:u w:val="single"/>
          <w:rtl/>
        </w:rPr>
        <w:t>-</w:t>
      </w:r>
      <w:r w:rsidRPr="00FC6E08">
        <w:rPr>
          <w:rFonts w:cs="Arial" w:hint="cs"/>
          <w:u w:val="single"/>
          <w:rtl/>
        </w:rPr>
        <w:t xml:space="preserve"> והבעל טוען עליו:</w:t>
      </w:r>
    </w:p>
    <w:p w14:paraId="33E36D23" w14:textId="28357A68" w:rsidR="00392DBB" w:rsidRPr="003F7A28" w:rsidRDefault="00392DBB" w:rsidP="009000E3">
      <w:pPr>
        <w:pStyle w:val="ab"/>
        <w:numPr>
          <w:ilvl w:val="0"/>
          <w:numId w:val="72"/>
        </w:numPr>
      </w:pPr>
      <w:r w:rsidRPr="004638AD">
        <w:rPr>
          <w:rFonts w:cs="Arial"/>
          <w:rtl/>
        </w:rPr>
        <w:t xml:space="preserve">רשב"א </w:t>
      </w:r>
      <w:r w:rsidRPr="00592052">
        <w:rPr>
          <w:rFonts w:cs="Arial"/>
          <w:sz w:val="16"/>
          <w:szCs w:val="16"/>
          <w:rtl/>
        </w:rPr>
        <w:t>(</w:t>
      </w:r>
      <w:r>
        <w:rPr>
          <w:rFonts w:cs="Arial" w:hint="cs"/>
          <w:sz w:val="16"/>
          <w:szCs w:val="16"/>
          <w:rtl/>
        </w:rPr>
        <w:t>כ"כ הב"י בשמו</w:t>
      </w:r>
      <w:r w:rsidRPr="00592052">
        <w:rPr>
          <w:rFonts w:cs="Arial"/>
          <w:sz w:val="16"/>
          <w:szCs w:val="16"/>
          <w:rtl/>
        </w:rPr>
        <w:t>)</w:t>
      </w:r>
      <w:r>
        <w:rPr>
          <w:rFonts w:cs="Arial" w:hint="cs"/>
          <w:rtl/>
        </w:rPr>
        <w:t xml:space="preserve">- </w:t>
      </w:r>
      <w:r w:rsidRPr="004638AD">
        <w:rPr>
          <w:rFonts w:cs="Arial"/>
          <w:rtl/>
        </w:rPr>
        <w:t>אלמנה שכתבה לראובן שטר שהיא חייבת לו מנה אם תנשא לבעל עד זמן פלוני</w:t>
      </w:r>
      <w:r>
        <w:rPr>
          <w:rFonts w:cs="Arial" w:hint="cs"/>
          <w:rtl/>
        </w:rPr>
        <w:t>.</w:t>
      </w:r>
      <w:r w:rsidRPr="004638AD">
        <w:rPr>
          <w:rFonts w:cs="Arial"/>
          <w:rtl/>
        </w:rPr>
        <w:t xml:space="preserve"> והלכה ונישאת תוך הזמן</w:t>
      </w:r>
      <w:r>
        <w:rPr>
          <w:rFonts w:cs="Arial" w:hint="cs"/>
          <w:rtl/>
        </w:rPr>
        <w:t>.</w:t>
      </w:r>
      <w:r w:rsidRPr="004638AD">
        <w:rPr>
          <w:rFonts w:cs="Arial"/>
          <w:rtl/>
        </w:rPr>
        <w:t xml:space="preserve"> וראובן תובע המנה</w:t>
      </w:r>
      <w:r>
        <w:rPr>
          <w:rFonts w:cs="Arial" w:hint="cs"/>
          <w:rtl/>
        </w:rPr>
        <w:t>.</w:t>
      </w:r>
      <w:r w:rsidRPr="004638AD">
        <w:rPr>
          <w:rFonts w:cs="Arial"/>
          <w:rtl/>
        </w:rPr>
        <w:t xml:space="preserve"> והבעל טוען דכיון שלא נתחייבה עד שתנשא נמצא שחל </w:t>
      </w:r>
      <w:r w:rsidRPr="004638AD">
        <w:rPr>
          <w:rFonts w:cs="Arial"/>
          <w:rtl/>
        </w:rPr>
        <w:lastRenderedPageBreak/>
        <w:t xml:space="preserve">שעבודא דתקנת אושא קודם שיגיע זמן החוב והפרעון. </w:t>
      </w:r>
      <w:r>
        <w:rPr>
          <w:rFonts w:cs="Arial" w:hint="cs"/>
          <w:rtl/>
        </w:rPr>
        <w:t xml:space="preserve"> </w:t>
      </w:r>
      <w:r w:rsidR="00FE210D">
        <w:rPr>
          <w:rFonts w:cs="Arial" w:hint="cs"/>
          <w:rtl/>
        </w:rPr>
        <w:t xml:space="preserve">   תשובה:</w:t>
      </w:r>
      <w:r w:rsidRPr="004638AD">
        <w:rPr>
          <w:rFonts w:cs="Arial"/>
          <w:rtl/>
        </w:rPr>
        <w:t xml:space="preserve"> דבר פשוט הוא שאין הולכים אחר זמן הפרעון בשום מקום אלא אחר זמן התחלת החיוב</w:t>
      </w:r>
      <w:r>
        <w:rPr>
          <w:rFonts w:cs="Arial" w:hint="cs"/>
          <w:rtl/>
        </w:rPr>
        <w:t>,</w:t>
      </w:r>
      <w:r w:rsidRPr="004638AD">
        <w:rPr>
          <w:rFonts w:cs="Arial"/>
          <w:rtl/>
        </w:rPr>
        <w:t xml:space="preserve"> ולפיכך אין טענת הבעל כלום. </w:t>
      </w:r>
    </w:p>
    <w:p w14:paraId="36DE9F92" w14:textId="77777777" w:rsidR="00392DBB" w:rsidRPr="006278ED" w:rsidRDefault="00392DBB" w:rsidP="00392DBB">
      <w:pPr>
        <w:rPr>
          <w:u w:val="single"/>
        </w:rPr>
      </w:pPr>
      <w:r w:rsidRPr="006278ED">
        <w:rPr>
          <w:rFonts w:cs="Arial"/>
          <w:u w:val="single"/>
          <w:rtl/>
        </w:rPr>
        <w:t>התנ</w:t>
      </w:r>
      <w:r w:rsidRPr="006278ED">
        <w:rPr>
          <w:rFonts w:cs="Arial" w:hint="cs"/>
          <w:u w:val="single"/>
          <w:rtl/>
        </w:rPr>
        <w:t>ו</w:t>
      </w:r>
      <w:r w:rsidRPr="006278ED">
        <w:rPr>
          <w:rFonts w:cs="Arial"/>
          <w:u w:val="single"/>
          <w:rtl/>
        </w:rPr>
        <w:t xml:space="preserve"> שאם תפטר </w:t>
      </w:r>
      <w:r w:rsidRPr="006278ED">
        <w:rPr>
          <w:rFonts w:cs="Arial" w:hint="cs"/>
          <w:u w:val="single"/>
          <w:rtl/>
        </w:rPr>
        <w:t>ה</w:t>
      </w:r>
      <w:r w:rsidRPr="006278ED">
        <w:rPr>
          <w:rFonts w:cs="Arial"/>
          <w:u w:val="single"/>
          <w:rtl/>
        </w:rPr>
        <w:t>אש</w:t>
      </w:r>
      <w:r w:rsidRPr="006278ED">
        <w:rPr>
          <w:rFonts w:cs="Arial" w:hint="cs"/>
          <w:u w:val="single"/>
          <w:rtl/>
        </w:rPr>
        <w:t>ה</w:t>
      </w:r>
      <w:r w:rsidRPr="006278ED">
        <w:rPr>
          <w:rFonts w:cs="Arial"/>
          <w:u w:val="single"/>
          <w:rtl/>
        </w:rPr>
        <w:t xml:space="preserve"> בחייו ולא ישאר לו ממנה ולד של קיימא </w:t>
      </w:r>
      <w:r w:rsidRPr="006278ED">
        <w:rPr>
          <w:rFonts w:cs="Arial" w:hint="cs"/>
          <w:sz w:val="16"/>
          <w:szCs w:val="16"/>
          <w:u w:val="single"/>
          <w:rtl/>
        </w:rPr>
        <w:t>(ל' יום)</w:t>
      </w:r>
      <w:r w:rsidRPr="006278ED">
        <w:rPr>
          <w:rFonts w:cs="Arial" w:hint="cs"/>
          <w:u w:val="single"/>
          <w:rtl/>
        </w:rPr>
        <w:t xml:space="preserve"> </w:t>
      </w:r>
      <w:r w:rsidRPr="006278ED">
        <w:rPr>
          <w:rFonts w:cs="Arial"/>
          <w:u w:val="single"/>
          <w:rtl/>
        </w:rPr>
        <w:t>שיחזיר מממון הנדוניא סך כך וכך ליורשיה</w:t>
      </w:r>
      <w:r w:rsidRPr="006278ED">
        <w:rPr>
          <w:rFonts w:cs="Arial" w:hint="cs"/>
          <w:u w:val="single"/>
          <w:rtl/>
        </w:rPr>
        <w:t>:</w:t>
      </w:r>
    </w:p>
    <w:p w14:paraId="159C854D" w14:textId="00444E52" w:rsidR="00392DBB" w:rsidRPr="006278ED" w:rsidRDefault="00392DBB" w:rsidP="009000E3">
      <w:pPr>
        <w:pStyle w:val="ab"/>
        <w:numPr>
          <w:ilvl w:val="0"/>
          <w:numId w:val="72"/>
        </w:numPr>
      </w:pPr>
      <w:r w:rsidRPr="004638AD">
        <w:rPr>
          <w:rFonts w:cs="Arial"/>
          <w:rtl/>
        </w:rPr>
        <w:t xml:space="preserve">ר"ן </w:t>
      </w:r>
      <w:r w:rsidRPr="00D00CB3">
        <w:rPr>
          <w:rFonts w:cs="Arial"/>
          <w:sz w:val="16"/>
          <w:szCs w:val="16"/>
          <w:rtl/>
        </w:rPr>
        <w:t>(שו"ת סי' יד)</w:t>
      </w:r>
      <w:r>
        <w:rPr>
          <w:rFonts w:cs="Arial" w:hint="cs"/>
          <w:rtl/>
        </w:rPr>
        <w:t>-</w:t>
      </w:r>
      <w:r w:rsidRPr="004638AD">
        <w:rPr>
          <w:rFonts w:cs="Arial"/>
          <w:rtl/>
        </w:rPr>
        <w:t xml:space="preserve"> מי שהתנה שאם תפטר אשתו בחייו ולא ישאר לו ממנה ולד של קיימא שיחיה שלשים יום שיחזיר מממון הנדוניא סך כך וכך ליורשיה</w:t>
      </w:r>
      <w:r>
        <w:rPr>
          <w:rFonts w:cs="Arial" w:hint="cs"/>
          <w:rtl/>
        </w:rPr>
        <w:t>.</w:t>
      </w:r>
      <w:r w:rsidRPr="004638AD">
        <w:rPr>
          <w:rFonts w:cs="Arial"/>
          <w:rtl/>
        </w:rPr>
        <w:t xml:space="preserve"> ומתה היא בחייו ונשאר לו ממנה ולד בן חמש שנים שחיה אחריה ט"ו יום</w:t>
      </w:r>
      <w:r>
        <w:rPr>
          <w:rFonts w:cs="Arial" w:hint="cs"/>
          <w:rtl/>
        </w:rPr>
        <w:t>.</w:t>
      </w:r>
      <w:r w:rsidRPr="004638AD">
        <w:rPr>
          <w:rFonts w:cs="Arial"/>
          <w:rtl/>
        </w:rPr>
        <w:t xml:space="preserve"> ויורשיה תובעים שיחזיר להם אותו סך כיון שלא חיה הולד שלשים יום אחריה</w:t>
      </w:r>
      <w:r>
        <w:rPr>
          <w:rFonts w:cs="Arial" w:hint="cs"/>
          <w:rtl/>
        </w:rPr>
        <w:t>.</w:t>
      </w:r>
      <w:r w:rsidRPr="004638AD">
        <w:rPr>
          <w:rFonts w:cs="Arial"/>
          <w:rtl/>
        </w:rPr>
        <w:t xml:space="preserve"> והבעל טוען כיון שהולד חיה ל' יום ונשאר אחריה אפילו שעה אחת אינו חייב להחזיר</w:t>
      </w:r>
      <w:r>
        <w:rPr>
          <w:rFonts w:cs="Arial" w:hint="cs"/>
          <w:rtl/>
        </w:rPr>
        <w:t>.</w:t>
      </w:r>
      <w:r w:rsidRPr="004638AD">
        <w:rPr>
          <w:rFonts w:cs="Arial"/>
          <w:rtl/>
        </w:rPr>
        <w:t xml:space="preserve"> שמה שכתוב בתנאי שיחיה שלשים יום</w:t>
      </w:r>
      <w:r>
        <w:rPr>
          <w:rFonts w:cs="Arial" w:hint="cs"/>
          <w:rtl/>
        </w:rPr>
        <w:t>,</w:t>
      </w:r>
      <w:r w:rsidRPr="004638AD">
        <w:rPr>
          <w:rFonts w:cs="Arial"/>
          <w:rtl/>
        </w:rPr>
        <w:t xml:space="preserve"> לא שיחיה אחר אמו ל' יום קאמר</w:t>
      </w:r>
      <w:r>
        <w:rPr>
          <w:rFonts w:cs="Arial" w:hint="cs"/>
          <w:rtl/>
        </w:rPr>
        <w:t>,</w:t>
      </w:r>
      <w:r w:rsidRPr="004638AD">
        <w:rPr>
          <w:rFonts w:cs="Arial"/>
          <w:rtl/>
        </w:rPr>
        <w:t xml:space="preserve"> אלא הכי קאמר שישאר לו ממנה ולד קיימא דהיינו שיחיה שלשים יום</w:t>
      </w:r>
      <w:r>
        <w:rPr>
          <w:rFonts w:cs="Arial" w:hint="cs"/>
          <w:rtl/>
        </w:rPr>
        <w:t>.</w:t>
      </w:r>
      <w:r w:rsidRPr="004638AD">
        <w:rPr>
          <w:rFonts w:cs="Arial"/>
          <w:rtl/>
        </w:rPr>
        <w:t xml:space="preserve"> </w:t>
      </w:r>
      <w:r>
        <w:rPr>
          <w:rFonts w:cs="Arial" w:hint="cs"/>
          <w:rtl/>
        </w:rPr>
        <w:t xml:space="preserve">  </w:t>
      </w:r>
      <w:r w:rsidR="00FE210D">
        <w:rPr>
          <w:rFonts w:cs="Arial" w:hint="cs"/>
          <w:rtl/>
        </w:rPr>
        <w:t xml:space="preserve">      תשובה:</w:t>
      </w:r>
      <w:r w:rsidRPr="004638AD">
        <w:rPr>
          <w:rFonts w:cs="Arial"/>
          <w:rtl/>
        </w:rPr>
        <w:t xml:space="preserve"> הדין עם הבעל</w:t>
      </w:r>
      <w:r>
        <w:rPr>
          <w:rFonts w:cs="Arial" w:hint="cs"/>
          <w:rtl/>
        </w:rPr>
        <w:t>.</w:t>
      </w:r>
      <w:r w:rsidRPr="004638AD">
        <w:rPr>
          <w:rFonts w:cs="Arial"/>
          <w:rtl/>
        </w:rPr>
        <w:t xml:space="preserve"> ואפילו אם היה הלשון מסופק</w:t>
      </w:r>
      <w:r>
        <w:rPr>
          <w:rFonts w:cs="Arial" w:hint="cs"/>
          <w:rtl/>
        </w:rPr>
        <w:t>,</w:t>
      </w:r>
      <w:r w:rsidRPr="004638AD">
        <w:rPr>
          <w:rFonts w:cs="Arial"/>
          <w:rtl/>
        </w:rPr>
        <w:t xml:space="preserve"> ה"ל בעל ודאי</w:t>
      </w:r>
      <w:r>
        <w:rPr>
          <w:rFonts w:cs="Arial" w:hint="cs"/>
          <w:rtl/>
        </w:rPr>
        <w:t>,</w:t>
      </w:r>
      <w:r w:rsidRPr="004638AD">
        <w:rPr>
          <w:rFonts w:cs="Arial"/>
          <w:rtl/>
        </w:rPr>
        <w:t xml:space="preserve"> ויורשי האשה ספק</w:t>
      </w:r>
      <w:r>
        <w:rPr>
          <w:rFonts w:cs="Arial" w:hint="cs"/>
          <w:rtl/>
        </w:rPr>
        <w:t>,</w:t>
      </w:r>
      <w:r w:rsidRPr="004638AD">
        <w:rPr>
          <w:rFonts w:cs="Arial"/>
          <w:rtl/>
        </w:rPr>
        <w:t xml:space="preserve"> ואין ספק מוציא מידי ודאי. </w:t>
      </w:r>
    </w:p>
    <w:p w14:paraId="30B2859C" w14:textId="77777777" w:rsidR="00392DBB" w:rsidRPr="008A2B0E" w:rsidRDefault="00392DBB" w:rsidP="00392DBB">
      <w:pPr>
        <w:rPr>
          <w:u w:val="single"/>
        </w:rPr>
      </w:pPr>
      <w:r w:rsidRPr="008A2B0E">
        <w:rPr>
          <w:rFonts w:cs="Arial" w:hint="cs"/>
          <w:u w:val="single"/>
          <w:rtl/>
        </w:rPr>
        <w:t>כתב לאשתו</w:t>
      </w:r>
      <w:r w:rsidRPr="008A2B0E">
        <w:rPr>
          <w:rFonts w:cs="Arial"/>
          <w:u w:val="single"/>
          <w:rtl/>
        </w:rPr>
        <w:t xml:space="preserve"> שהוא פוטר אותה מעכשיו ולאחר מותו מכל שבוע</w:t>
      </w:r>
      <w:r w:rsidRPr="008A2B0E">
        <w:rPr>
          <w:rFonts w:cs="Arial" w:hint="cs"/>
          <w:u w:val="single"/>
          <w:rtl/>
        </w:rPr>
        <w:t>ה,</w:t>
      </w:r>
      <w:r w:rsidRPr="008A2B0E">
        <w:rPr>
          <w:rFonts w:cs="Arial"/>
          <w:u w:val="single"/>
          <w:rtl/>
        </w:rPr>
        <w:t xml:space="preserve"> ואחר פטירתו </w:t>
      </w:r>
      <w:r w:rsidRPr="008A2B0E">
        <w:rPr>
          <w:rFonts w:cs="Arial" w:hint="cs"/>
          <w:u w:val="single"/>
          <w:rtl/>
        </w:rPr>
        <w:t xml:space="preserve">נצרכה להשבע כדי להאמינה: </w:t>
      </w:r>
    </w:p>
    <w:p w14:paraId="4BBC72B6" w14:textId="77777777" w:rsidR="00392DBB" w:rsidRPr="003F7A28" w:rsidRDefault="00392DBB" w:rsidP="009000E3">
      <w:pPr>
        <w:pStyle w:val="ab"/>
        <w:numPr>
          <w:ilvl w:val="0"/>
          <w:numId w:val="72"/>
        </w:numPr>
      </w:pPr>
      <w:r>
        <w:rPr>
          <w:rFonts w:cs="Arial" w:hint="cs"/>
          <w:rtl/>
        </w:rPr>
        <w:t>ה"ר יוסף ב"ר אברהם</w:t>
      </w:r>
      <w:r w:rsidRPr="000C2E5C">
        <w:rPr>
          <w:rStyle w:val="a7"/>
          <w:rFonts w:cs="Arial"/>
          <w:rtl/>
        </w:rPr>
        <w:footnoteReference w:id="2976"/>
      </w:r>
      <w:r>
        <w:rPr>
          <w:rFonts w:cs="Arial" w:hint="cs"/>
          <w:rtl/>
        </w:rPr>
        <w:t xml:space="preserve"> </w:t>
      </w:r>
      <w:r w:rsidRPr="00BD0446">
        <w:rPr>
          <w:rFonts w:cs="Arial" w:hint="cs"/>
          <w:sz w:val="16"/>
          <w:szCs w:val="16"/>
          <w:rtl/>
        </w:rPr>
        <w:t xml:space="preserve">(כ"כ הב"י בשם </w:t>
      </w:r>
      <w:r w:rsidRPr="00BD0446">
        <w:rPr>
          <w:rFonts w:cs="Arial"/>
          <w:sz w:val="16"/>
          <w:szCs w:val="16"/>
          <w:rtl/>
        </w:rPr>
        <w:t>מצאתי כתוב</w:t>
      </w:r>
      <w:r w:rsidRPr="00BD0446">
        <w:rPr>
          <w:rFonts w:cs="Arial" w:hint="cs"/>
          <w:sz w:val="16"/>
          <w:szCs w:val="16"/>
          <w:rtl/>
        </w:rPr>
        <w:t>)</w:t>
      </w:r>
      <w:r>
        <w:rPr>
          <w:rFonts w:cs="Arial" w:hint="cs"/>
          <w:rtl/>
        </w:rPr>
        <w:t>-</w:t>
      </w:r>
      <w:r w:rsidRPr="004638AD">
        <w:rPr>
          <w:rFonts w:cs="Arial"/>
          <w:rtl/>
        </w:rPr>
        <w:t xml:space="preserve"> אשה שכתב לה בעלה שהוא פוטר אותה מעכשיו ולאחר מותו מכל שבוע</w:t>
      </w:r>
      <w:r>
        <w:rPr>
          <w:rFonts w:cs="Arial" w:hint="cs"/>
          <w:rtl/>
        </w:rPr>
        <w:t>ה</w:t>
      </w:r>
      <w:r w:rsidRPr="004638AD">
        <w:rPr>
          <w:rFonts w:cs="Arial"/>
          <w:rtl/>
        </w:rPr>
        <w:t xml:space="preserve"> ומכל חרם על העבר ועל העתיד</w:t>
      </w:r>
      <w:r>
        <w:rPr>
          <w:rFonts w:cs="Arial" w:hint="cs"/>
          <w:rtl/>
        </w:rPr>
        <w:t>,</w:t>
      </w:r>
      <w:r w:rsidRPr="004638AD">
        <w:rPr>
          <w:rFonts w:cs="Arial"/>
          <w:rtl/>
        </w:rPr>
        <w:t xml:space="preserve"> ולא יהיה רשות לשום אדם להשביעה אחר פטירתו כל ימי חייה</w:t>
      </w:r>
      <w:r>
        <w:rPr>
          <w:rFonts w:cs="Arial" w:hint="cs"/>
          <w:rtl/>
        </w:rPr>
        <w:t>.</w:t>
      </w:r>
      <w:r w:rsidRPr="004638AD">
        <w:rPr>
          <w:rFonts w:cs="Arial"/>
          <w:rtl/>
        </w:rPr>
        <w:t xml:space="preserve"> ואחר פטירתו כשהראת ליורשים נכסי בעלה אמרה על קצת שטרות </w:t>
      </w:r>
      <w:r>
        <w:rPr>
          <w:rFonts w:cs="Arial" w:hint="cs"/>
          <w:rtl/>
        </w:rPr>
        <w:t>'</w:t>
      </w:r>
      <w:r w:rsidRPr="004638AD">
        <w:rPr>
          <w:rFonts w:cs="Arial"/>
          <w:rtl/>
        </w:rPr>
        <w:t>אלו אמר לי בעלי לקרעם</w:t>
      </w:r>
      <w:r>
        <w:rPr>
          <w:rFonts w:cs="Arial" w:hint="cs"/>
          <w:rtl/>
        </w:rPr>
        <w:t>',</w:t>
      </w:r>
      <w:r w:rsidRPr="004638AD">
        <w:rPr>
          <w:rFonts w:cs="Arial"/>
          <w:rtl/>
        </w:rPr>
        <w:t xml:space="preserve"> ועל קצת ספרים אמרה </w:t>
      </w:r>
      <w:r>
        <w:rPr>
          <w:rFonts w:cs="Arial" w:hint="cs"/>
          <w:rtl/>
        </w:rPr>
        <w:t>'</w:t>
      </w:r>
      <w:r w:rsidRPr="004638AD">
        <w:rPr>
          <w:rFonts w:cs="Arial"/>
          <w:rtl/>
        </w:rPr>
        <w:t>אלו אמר לי בעלי להיותם הקדש</w:t>
      </w:r>
      <w:r>
        <w:rPr>
          <w:rFonts w:cs="Arial" w:hint="cs"/>
          <w:rtl/>
        </w:rPr>
        <w:t>'.</w:t>
      </w:r>
      <w:r w:rsidRPr="004638AD">
        <w:rPr>
          <w:rFonts w:cs="Arial"/>
          <w:rtl/>
        </w:rPr>
        <w:t xml:space="preserve"> והיורשים טוענים שלא האמינה בעלה בכך </w:t>
      </w:r>
      <w:r>
        <w:rPr>
          <w:rFonts w:cs="Arial" w:hint="cs"/>
          <w:rtl/>
        </w:rPr>
        <w:t xml:space="preserve">- </w:t>
      </w:r>
      <w:r w:rsidRPr="004638AD">
        <w:rPr>
          <w:rFonts w:cs="Arial"/>
          <w:rtl/>
        </w:rPr>
        <w:t>הדין עם היורשים</w:t>
      </w:r>
      <w:r>
        <w:rPr>
          <w:rFonts w:cs="Arial" w:hint="cs"/>
          <w:rtl/>
        </w:rPr>
        <w:t>.</w:t>
      </w:r>
      <w:r w:rsidRPr="004638AD">
        <w:rPr>
          <w:rFonts w:cs="Arial"/>
          <w:rtl/>
        </w:rPr>
        <w:t xml:space="preserve"> ואם קרעה השטרות או נתנה הספרים להקדש </w:t>
      </w:r>
      <w:r>
        <w:rPr>
          <w:rFonts w:cs="Arial" w:hint="cs"/>
          <w:rtl/>
        </w:rPr>
        <w:t xml:space="preserve">- </w:t>
      </w:r>
      <w:r w:rsidRPr="004638AD">
        <w:rPr>
          <w:rFonts w:cs="Arial"/>
          <w:rtl/>
        </w:rPr>
        <w:t>חייבת לשלמם</w:t>
      </w:r>
      <w:r>
        <w:rPr>
          <w:rFonts w:cs="Arial" w:hint="cs"/>
          <w:rtl/>
        </w:rPr>
        <w:t>,</w:t>
      </w:r>
      <w:r w:rsidRPr="004638AD">
        <w:rPr>
          <w:rFonts w:cs="Arial"/>
          <w:rtl/>
        </w:rPr>
        <w:t xml:space="preserve"> כיון שאין לה עכשיו מגו</w:t>
      </w:r>
      <w:r>
        <w:rPr>
          <w:rFonts w:cs="Arial" w:hint="cs"/>
          <w:rtl/>
        </w:rPr>
        <w:t>.</w:t>
      </w:r>
      <w:r w:rsidRPr="004638AD">
        <w:rPr>
          <w:rFonts w:cs="Arial"/>
          <w:rtl/>
        </w:rPr>
        <w:t xml:space="preserve"> אמנם אם בשטר הפיטור כתוב שעשאה כשני עדים כשרים</w:t>
      </w:r>
      <w:r>
        <w:rPr>
          <w:rFonts w:cs="Arial" w:hint="cs"/>
          <w:rtl/>
        </w:rPr>
        <w:t xml:space="preserve"> -</w:t>
      </w:r>
      <w:r w:rsidRPr="004638AD">
        <w:rPr>
          <w:rFonts w:cs="Arial"/>
          <w:rtl/>
        </w:rPr>
        <w:t xml:space="preserve"> נאמנת בכל מה שתאמר.</w:t>
      </w:r>
      <w:r>
        <w:rPr>
          <w:rFonts w:cs="Arial" w:hint="cs"/>
          <w:rtl/>
        </w:rPr>
        <w:t>..</w:t>
      </w:r>
      <w:r w:rsidRPr="004638AD">
        <w:rPr>
          <w:rFonts w:cs="Arial"/>
          <w:rtl/>
        </w:rPr>
        <w:t xml:space="preserve"> </w:t>
      </w:r>
      <w:r w:rsidRPr="000C2E5C">
        <w:rPr>
          <w:rFonts w:cs="Arial" w:hint="cs"/>
          <w:rtl/>
        </w:rPr>
        <w:t xml:space="preserve">ולענין </w:t>
      </w:r>
      <w:r w:rsidRPr="000C2E5C">
        <w:rPr>
          <w:rFonts w:cs="Arial"/>
          <w:rtl/>
        </w:rPr>
        <w:t>אם המלך תפס האלמנה והיורשים בעלילה על הנכסים</w:t>
      </w:r>
      <w:r w:rsidRPr="000C2E5C">
        <w:rPr>
          <w:rFonts w:cs="Arial" w:hint="cs"/>
          <w:rtl/>
        </w:rPr>
        <w:t>,</w:t>
      </w:r>
      <w:r w:rsidRPr="000C2E5C">
        <w:rPr>
          <w:rFonts w:cs="Arial"/>
          <w:rtl/>
        </w:rPr>
        <w:t xml:space="preserve"> ונתפשרו עמו</w:t>
      </w:r>
      <w:r w:rsidRPr="000C2E5C">
        <w:rPr>
          <w:rFonts w:cs="Arial" w:hint="cs"/>
          <w:rtl/>
        </w:rPr>
        <w:t>.</w:t>
      </w:r>
      <w:r w:rsidRPr="000C2E5C">
        <w:rPr>
          <w:rFonts w:cs="Arial"/>
          <w:rtl/>
        </w:rPr>
        <w:t xml:space="preserve"> ועתה האלמנה תובעת כתובתה משלם</w:t>
      </w:r>
      <w:r>
        <w:rPr>
          <w:rFonts w:cs="Arial" w:hint="cs"/>
          <w:rtl/>
        </w:rPr>
        <w:t xml:space="preserve"> </w:t>
      </w:r>
      <w:r w:rsidRPr="000C2E5C">
        <w:rPr>
          <w:rFonts w:cs="Arial" w:hint="cs"/>
          <w:rtl/>
        </w:rPr>
        <w:t xml:space="preserve">- </w:t>
      </w:r>
      <w:r w:rsidRPr="000C2E5C">
        <w:rPr>
          <w:rFonts w:cs="Arial"/>
          <w:rtl/>
        </w:rPr>
        <w:t>אילו לא נתפשרה גם היא עמהם</w:t>
      </w:r>
      <w:r w:rsidRPr="000C2E5C">
        <w:rPr>
          <w:rFonts w:cs="Arial" w:hint="cs"/>
          <w:rtl/>
        </w:rPr>
        <w:t>,</w:t>
      </w:r>
      <w:r w:rsidRPr="000C2E5C">
        <w:rPr>
          <w:rFonts w:cs="Arial"/>
          <w:rtl/>
        </w:rPr>
        <w:t xml:space="preserve"> לא היתה פורעת כלום לפי שאין לה חלק ידוע בממון אלא כתובתה</w:t>
      </w:r>
      <w:r w:rsidRPr="000C2E5C">
        <w:rPr>
          <w:rFonts w:cs="Arial" w:hint="cs"/>
          <w:rtl/>
        </w:rPr>
        <w:t>.</w:t>
      </w:r>
      <w:r w:rsidRPr="000C2E5C">
        <w:rPr>
          <w:rFonts w:cs="Arial"/>
          <w:rtl/>
        </w:rPr>
        <w:t xml:space="preserve"> ואילו לא נמצא בממון בעלה אלא כדי כתובתה היא היתה נוטלת</w:t>
      </w:r>
      <w:r w:rsidRPr="000C2E5C">
        <w:rPr>
          <w:rFonts w:cs="Arial" w:hint="cs"/>
          <w:rtl/>
        </w:rPr>
        <w:t>ה,</w:t>
      </w:r>
      <w:r w:rsidRPr="000C2E5C">
        <w:rPr>
          <w:rFonts w:cs="Arial"/>
          <w:rtl/>
        </w:rPr>
        <w:t xml:space="preserve"> כי לכך צוה שתטול כתובתה ליפות כחה</w:t>
      </w:r>
      <w:r w:rsidRPr="000C2E5C">
        <w:rPr>
          <w:rFonts w:cs="Arial" w:hint="cs"/>
          <w:rtl/>
        </w:rPr>
        <w:t>.</w:t>
      </w:r>
      <w:r w:rsidRPr="000C2E5C">
        <w:rPr>
          <w:rFonts w:cs="Arial"/>
          <w:rtl/>
        </w:rPr>
        <w:t xml:space="preserve"> אך עתה שגם היא פשרה חייב</w:t>
      </w:r>
      <w:r w:rsidRPr="000C2E5C">
        <w:rPr>
          <w:rFonts w:cs="Arial" w:hint="cs"/>
          <w:rtl/>
        </w:rPr>
        <w:t>ת</w:t>
      </w:r>
      <w:r w:rsidRPr="000C2E5C">
        <w:rPr>
          <w:rFonts w:cs="Arial"/>
          <w:rtl/>
        </w:rPr>
        <w:t xml:space="preserve"> לפרוע חלק</w:t>
      </w:r>
      <w:r w:rsidRPr="000C2E5C">
        <w:rPr>
          <w:rFonts w:cs="Arial" w:hint="cs"/>
          <w:rtl/>
        </w:rPr>
        <w:t>ה</w:t>
      </w:r>
      <w:r w:rsidRPr="000C2E5C">
        <w:rPr>
          <w:rFonts w:cs="Arial"/>
          <w:rtl/>
        </w:rPr>
        <w:t xml:space="preserve"> לפי חשבון</w:t>
      </w:r>
      <w:r w:rsidRPr="000C2E5C">
        <w:rPr>
          <w:rFonts w:cs="Arial" w:hint="cs"/>
          <w:rtl/>
        </w:rPr>
        <w:t>.</w:t>
      </w:r>
      <w:r w:rsidRPr="000C2E5C">
        <w:rPr>
          <w:rFonts w:cs="Arial"/>
          <w:rtl/>
        </w:rPr>
        <w:t xml:space="preserve"> דמי להא דאמרינן בפרק חזקת (ב"ב מא.) דאתא וסייע בגודא בהדאי דאי לא דהואי מחילה בטעות היה מפסיד ואם לפי שנתפסה נתפשרה אז הויא מציל עצמו בממון חבירו דחייב.</w:t>
      </w:r>
      <w:r w:rsidRPr="000C2E5C">
        <w:rPr>
          <w:rFonts w:cs="Arial" w:hint="cs"/>
          <w:rtl/>
        </w:rPr>
        <w:t xml:space="preserve">.. </w:t>
      </w:r>
      <w:r w:rsidRPr="000C2E5C">
        <w:rPr>
          <w:rFonts w:cs="Arial"/>
          <w:rtl/>
        </w:rPr>
        <w:t>ולענין מה שנעשית אפטרופא אחרי מות בעלה</w:t>
      </w:r>
      <w:r w:rsidRPr="000C2E5C">
        <w:rPr>
          <w:rFonts w:cs="Arial" w:hint="cs"/>
          <w:rtl/>
        </w:rPr>
        <w:t>,</w:t>
      </w:r>
      <w:r w:rsidRPr="000C2E5C">
        <w:rPr>
          <w:rFonts w:cs="Arial"/>
          <w:rtl/>
        </w:rPr>
        <w:t xml:space="preserve"> נ"ל שיכולים היורשים להשביעה. וכתוב ע"ש ולענין מה שנסתלקה מבתים מיוחדים</w:t>
      </w:r>
      <w:r w:rsidRPr="000C2E5C">
        <w:rPr>
          <w:rFonts w:cs="Arial" w:hint="cs"/>
          <w:rtl/>
        </w:rPr>
        <w:t>,</w:t>
      </w:r>
      <w:r w:rsidRPr="000C2E5C">
        <w:rPr>
          <w:rFonts w:cs="Arial"/>
          <w:rtl/>
        </w:rPr>
        <w:t xml:space="preserve"> כיון שאין השטר נראה לא נוכל לדונו על פי העדים</w:t>
      </w:r>
      <w:r w:rsidRPr="000C2E5C">
        <w:rPr>
          <w:rFonts w:cs="Arial" w:hint="cs"/>
          <w:rtl/>
        </w:rPr>
        <w:t>,</w:t>
      </w:r>
      <w:r w:rsidRPr="000C2E5C">
        <w:rPr>
          <w:rFonts w:cs="Arial"/>
          <w:rtl/>
        </w:rPr>
        <w:t xml:space="preserve"> שאני אומר שמא נסתלק הבעל אח"כ מאותו סילוק</w:t>
      </w:r>
      <w:r w:rsidRPr="000C2E5C">
        <w:rPr>
          <w:rFonts w:cs="Arial" w:hint="cs"/>
          <w:rtl/>
        </w:rPr>
        <w:t>.</w:t>
      </w:r>
      <w:r w:rsidRPr="000C2E5C">
        <w:rPr>
          <w:rFonts w:cs="Arial"/>
          <w:rtl/>
        </w:rPr>
        <w:t xml:space="preserve"> אא</w:t>
      </w:r>
      <w:r w:rsidRPr="000C2E5C">
        <w:rPr>
          <w:rFonts w:cs="Arial" w:hint="cs"/>
          <w:rtl/>
        </w:rPr>
        <w:t>"</w:t>
      </w:r>
      <w:r w:rsidRPr="000C2E5C">
        <w:rPr>
          <w:rFonts w:cs="Arial"/>
          <w:rtl/>
        </w:rPr>
        <w:t>כ מעידים כי סמוך למיתתו נסתלקה מהבתים ההם.</w:t>
      </w:r>
      <w:r w:rsidRPr="000C2E5C">
        <w:rPr>
          <w:rFonts w:cs="Arial" w:hint="cs"/>
          <w:rtl/>
        </w:rPr>
        <w:t>..</w:t>
      </w:r>
      <w:r w:rsidRPr="000C2E5C">
        <w:rPr>
          <w:rFonts w:cs="Arial"/>
          <w:rtl/>
        </w:rPr>
        <w:t xml:space="preserve"> ולענין מה שחושדים היורשים שלקחה כתב ביטול הפיטור יכולים להחרי' ולכלול אותה בכלל החרם סתם שלא פטרה בעלה משבועה וחרם אלא בכל מה שתאמר שהוא ממונו בשלו אבל זה אינו ממון ואינו בכלל הפיטור. </w:t>
      </w:r>
    </w:p>
    <w:p w14:paraId="17897D12" w14:textId="42AF7E0F" w:rsidR="00392DBB" w:rsidRPr="0089136D" w:rsidRDefault="00392DBB" w:rsidP="00392DBB">
      <w:pPr>
        <w:rPr>
          <w:u w:val="single"/>
        </w:rPr>
      </w:pPr>
      <w:r w:rsidRPr="0089136D">
        <w:rPr>
          <w:rFonts w:hint="cs"/>
          <w:u w:val="single"/>
          <w:rtl/>
        </w:rPr>
        <w:t xml:space="preserve">למנהג הקהילות שאם מתה האשה תוך זמן מסויים שמחזיר הבעל ממון הנדוניא </w:t>
      </w:r>
      <w:r w:rsidR="00F97626">
        <w:rPr>
          <w:u w:val="single"/>
          <w:rtl/>
        </w:rPr>
        <w:t>-</w:t>
      </w:r>
      <w:r w:rsidRPr="0089136D">
        <w:rPr>
          <w:rFonts w:hint="cs"/>
          <w:u w:val="single"/>
          <w:rtl/>
        </w:rPr>
        <w:t xml:space="preserve"> למי מחזיר:</w:t>
      </w:r>
    </w:p>
    <w:p w14:paraId="108FE3EC" w14:textId="77777777" w:rsidR="00392DBB" w:rsidRPr="0089136D" w:rsidRDefault="00392DBB" w:rsidP="009000E3">
      <w:pPr>
        <w:pStyle w:val="ab"/>
        <w:numPr>
          <w:ilvl w:val="0"/>
          <w:numId w:val="72"/>
        </w:numPr>
      </w:pPr>
      <w:r w:rsidRPr="004638AD">
        <w:rPr>
          <w:rFonts w:cs="Arial"/>
          <w:rtl/>
        </w:rPr>
        <w:t>תשובות מי</w:t>
      </w:r>
      <w:r>
        <w:rPr>
          <w:rFonts w:cs="Arial" w:hint="cs"/>
          <w:rtl/>
        </w:rPr>
        <w:t>י</w:t>
      </w:r>
      <w:r w:rsidRPr="004638AD">
        <w:rPr>
          <w:rFonts w:cs="Arial"/>
          <w:rtl/>
        </w:rPr>
        <w:t>מוני</w:t>
      </w:r>
      <w:r>
        <w:rPr>
          <w:rFonts w:cs="Arial" w:hint="cs"/>
          <w:rtl/>
        </w:rPr>
        <w:t xml:space="preserve">ות </w:t>
      </w:r>
      <w:r w:rsidRPr="0089136D">
        <w:rPr>
          <w:rFonts w:cs="Arial" w:hint="cs"/>
          <w:sz w:val="16"/>
          <w:szCs w:val="16"/>
          <w:rtl/>
        </w:rPr>
        <w:t>(</w:t>
      </w:r>
      <w:r w:rsidRPr="0089136D">
        <w:rPr>
          <w:rFonts w:cs="Arial"/>
          <w:sz w:val="16"/>
          <w:szCs w:val="16"/>
          <w:rtl/>
        </w:rPr>
        <w:t>ספר נשים סי' כו, לה)</w:t>
      </w:r>
      <w:r>
        <w:rPr>
          <w:rFonts w:cs="Arial" w:hint="cs"/>
          <w:rtl/>
        </w:rPr>
        <w:t>-</w:t>
      </w:r>
      <w:r w:rsidRPr="004638AD">
        <w:rPr>
          <w:rFonts w:cs="Arial"/>
          <w:rtl/>
        </w:rPr>
        <w:t xml:space="preserve"> מנהג הקהילות אם מתה תוך שנתים מחזיר ליורשיה</w:t>
      </w:r>
      <w:r>
        <w:rPr>
          <w:rFonts w:cs="Arial" w:hint="cs"/>
          <w:rtl/>
        </w:rPr>
        <w:t>.</w:t>
      </w:r>
      <w:r w:rsidRPr="004638AD">
        <w:rPr>
          <w:rFonts w:cs="Arial"/>
          <w:rtl/>
        </w:rPr>
        <w:t xml:space="preserve"> ומורי אומר שמחזירין למי שנתן הממון</w:t>
      </w:r>
      <w:r>
        <w:rPr>
          <w:rFonts w:cs="Arial" w:hint="cs"/>
          <w:rtl/>
        </w:rPr>
        <w:t>.</w:t>
      </w:r>
      <w:r w:rsidRPr="004638AD">
        <w:rPr>
          <w:rFonts w:cs="Arial"/>
          <w:rtl/>
        </w:rPr>
        <w:t xml:space="preserve"> וכן עשה מעשה כשנפטרה נינתו תוך שנתה</w:t>
      </w:r>
      <w:r>
        <w:rPr>
          <w:rFonts w:cs="Arial" w:hint="cs"/>
          <w:rtl/>
        </w:rPr>
        <w:t>,</w:t>
      </w:r>
      <w:r w:rsidRPr="004638AD">
        <w:rPr>
          <w:rFonts w:cs="Arial"/>
          <w:rtl/>
        </w:rPr>
        <w:t xml:space="preserve"> ומורי נתן הנדוניא</w:t>
      </w:r>
      <w:r>
        <w:rPr>
          <w:rFonts w:cs="Arial" w:hint="cs"/>
          <w:rtl/>
        </w:rPr>
        <w:t>,</w:t>
      </w:r>
      <w:r w:rsidRPr="004638AD">
        <w:rPr>
          <w:rFonts w:cs="Arial"/>
          <w:rtl/>
        </w:rPr>
        <w:t xml:space="preserve"> והוצרכו להחזיר לו מה שנתן ולא לאביה. </w:t>
      </w:r>
    </w:p>
    <w:p w14:paraId="7B279A0A" w14:textId="650CE4E9" w:rsidR="00392DBB" w:rsidRDefault="00392DBB" w:rsidP="00392DBB">
      <w:r w:rsidRPr="0089136D">
        <w:rPr>
          <w:rFonts w:cs="Arial" w:hint="cs"/>
          <w:b/>
          <w:bCs/>
          <w:rtl/>
        </w:rPr>
        <w:t>כתובות</w:t>
      </w:r>
      <w:r w:rsidRPr="0089136D">
        <w:rPr>
          <w:rFonts w:cs="Arial"/>
          <w:b/>
          <w:bCs/>
          <w:rtl/>
        </w:rPr>
        <w:t xml:space="preserve"> </w:t>
      </w:r>
      <w:r w:rsidRPr="0089136D">
        <w:rPr>
          <w:rFonts w:cs="Arial" w:hint="cs"/>
          <w:b/>
          <w:bCs/>
          <w:sz w:val="16"/>
          <w:szCs w:val="16"/>
          <w:rtl/>
        </w:rPr>
        <w:t>(</w:t>
      </w:r>
      <w:r w:rsidRPr="0089136D">
        <w:rPr>
          <w:rFonts w:cs="Arial"/>
          <w:b/>
          <w:bCs/>
          <w:sz w:val="16"/>
          <w:szCs w:val="16"/>
          <w:rtl/>
        </w:rPr>
        <w:t>ר"פ אף על פי</w:t>
      </w:r>
      <w:r w:rsidRPr="0089136D">
        <w:rPr>
          <w:rFonts w:cs="Arial" w:hint="cs"/>
          <w:b/>
          <w:bCs/>
          <w:sz w:val="16"/>
          <w:szCs w:val="16"/>
          <w:rtl/>
        </w:rPr>
        <w:t>)</w:t>
      </w:r>
      <w:r w:rsidRPr="0089136D">
        <w:rPr>
          <w:rFonts w:cs="Arial"/>
          <w:b/>
          <w:bCs/>
          <w:rtl/>
        </w:rPr>
        <w:t xml:space="preserve"> נד</w:t>
      </w:r>
      <w:r w:rsidR="00F7421F">
        <w:rPr>
          <w:rStyle w:val="a7"/>
          <w:rFonts w:cs="Arial"/>
          <w:b/>
          <w:bCs/>
          <w:rtl/>
        </w:rPr>
        <w:footnoteReference w:id="2977"/>
      </w:r>
      <w:r w:rsidRPr="0089136D">
        <w:rPr>
          <w:rFonts w:cs="Arial" w:hint="cs"/>
          <w:b/>
          <w:bCs/>
          <w:rtl/>
        </w:rPr>
        <w:t xml:space="preserve"> ע"ב</w:t>
      </w:r>
      <w:r w:rsidRPr="0089136D">
        <w:rPr>
          <w:rFonts w:cs="Arial"/>
          <w:b/>
          <w:bCs/>
          <w:rtl/>
        </w:rPr>
        <w:t>:</w:t>
      </w:r>
      <w:r w:rsidRPr="0089136D">
        <w:rPr>
          <w:rFonts w:cs="Arial"/>
          <w:rtl/>
        </w:rPr>
        <w:t xml:space="preserve"> תנאי כתובה ככתובה דמי</w:t>
      </w:r>
      <w:r>
        <w:rPr>
          <w:rFonts w:cs="Arial" w:hint="cs"/>
          <w:rtl/>
        </w:rPr>
        <w:t>.</w:t>
      </w:r>
      <w:r w:rsidRPr="0089136D">
        <w:rPr>
          <w:rFonts w:cs="Arial"/>
          <w:rtl/>
        </w:rPr>
        <w:t xml:space="preserve"> </w:t>
      </w:r>
      <w:r w:rsidRPr="0089136D">
        <w:rPr>
          <w:rFonts w:cs="Arial" w:hint="cs"/>
          <w:sz w:val="16"/>
          <w:szCs w:val="16"/>
          <w:rtl/>
        </w:rPr>
        <w:t>(</w:t>
      </w:r>
      <w:r w:rsidRPr="0089136D">
        <w:rPr>
          <w:rFonts w:cs="Arial"/>
          <w:sz w:val="16"/>
          <w:szCs w:val="16"/>
          <w:rtl/>
        </w:rPr>
        <w:t>ופירש רש"י תוספת שהוא נותן לה ומזונות וכל הנך שהם תנאי כתובה דינם ככתובה וכו'</w:t>
      </w:r>
      <w:r>
        <w:rPr>
          <w:rFonts w:cs="Arial" w:hint="cs"/>
          <w:sz w:val="16"/>
          <w:szCs w:val="16"/>
          <w:rtl/>
        </w:rPr>
        <w:t>, ב"י)</w:t>
      </w:r>
      <w:r w:rsidRPr="0089136D">
        <w:rPr>
          <w:rFonts w:cs="Arial"/>
          <w:rtl/>
        </w:rPr>
        <w:t xml:space="preserve"> </w:t>
      </w:r>
    </w:p>
    <w:p w14:paraId="394D7283" w14:textId="1BA1057B" w:rsidR="00392DBB" w:rsidRPr="0089136D" w:rsidRDefault="00392DBB" w:rsidP="00392DBB">
      <w:pPr>
        <w:rPr>
          <w:u w:val="single"/>
        </w:rPr>
      </w:pPr>
      <w:r w:rsidRPr="0089136D">
        <w:rPr>
          <w:rFonts w:hint="cs"/>
          <w:u w:val="single"/>
          <w:rtl/>
        </w:rPr>
        <w:t xml:space="preserve">מתנה שכותב בעל לאשתו </w:t>
      </w:r>
      <w:r w:rsidR="00F97626">
        <w:rPr>
          <w:u w:val="single"/>
          <w:rtl/>
        </w:rPr>
        <w:t>-</w:t>
      </w:r>
      <w:r w:rsidRPr="0089136D">
        <w:rPr>
          <w:rFonts w:hint="cs"/>
          <w:u w:val="single"/>
          <w:rtl/>
        </w:rPr>
        <w:t xml:space="preserve"> האם דינה ככתובה:</w:t>
      </w:r>
    </w:p>
    <w:p w14:paraId="6B2ECF3F" w14:textId="77777777" w:rsidR="00392DBB" w:rsidRPr="00213780" w:rsidRDefault="00392DBB" w:rsidP="009000E3">
      <w:pPr>
        <w:pStyle w:val="ab"/>
        <w:numPr>
          <w:ilvl w:val="0"/>
          <w:numId w:val="72"/>
        </w:numPr>
        <w:rPr>
          <w:rtl/>
        </w:rPr>
      </w:pPr>
      <w:r>
        <w:rPr>
          <w:rFonts w:cs="Arial" w:hint="cs"/>
          <w:rtl/>
        </w:rPr>
        <w:t xml:space="preserve">רי"ו </w:t>
      </w:r>
      <w:r w:rsidRPr="0089136D">
        <w:rPr>
          <w:rFonts w:cs="Arial" w:hint="cs"/>
          <w:sz w:val="16"/>
          <w:szCs w:val="16"/>
          <w:rtl/>
        </w:rPr>
        <w:t>(</w:t>
      </w:r>
      <w:r w:rsidRPr="0089136D">
        <w:rPr>
          <w:rFonts w:cs="Arial"/>
          <w:sz w:val="16"/>
          <w:szCs w:val="16"/>
          <w:rtl/>
        </w:rPr>
        <w:t>מישרים נכ"ג חי"א סה ע"ד)</w:t>
      </w:r>
      <w:r>
        <w:rPr>
          <w:rFonts w:cs="Arial" w:hint="cs"/>
          <w:rtl/>
        </w:rPr>
        <w:t>-</w:t>
      </w:r>
      <w:r w:rsidRPr="004638AD">
        <w:rPr>
          <w:rFonts w:cs="Arial"/>
          <w:rtl/>
        </w:rPr>
        <w:t xml:space="preserve"> כל זה בתוספת שכתב והוסיף לה או שכללו עם העיקר</w:t>
      </w:r>
      <w:r>
        <w:rPr>
          <w:rFonts w:cs="Arial" w:hint="cs"/>
          <w:rtl/>
        </w:rPr>
        <w:t>.</w:t>
      </w:r>
      <w:r w:rsidRPr="004638AD">
        <w:rPr>
          <w:rFonts w:cs="Arial"/>
          <w:rtl/>
        </w:rPr>
        <w:t xml:space="preserve"> אבל אם כתב ונתן לה מתנה כך וכך אין דינה ככתובה וכל שכן אם כתב לה מתנה בשטר בפני עצמו ולפיכך נהגו לכתוב מתנה לחוד להוציאו מדין תוספת דכתובה</w:t>
      </w:r>
      <w:r>
        <w:rPr>
          <w:rFonts w:cs="Arial" w:hint="cs"/>
          <w:rtl/>
        </w:rPr>
        <w:t>.</w:t>
      </w:r>
    </w:p>
    <w:p w14:paraId="7DD1A4E9" w14:textId="77777777" w:rsidR="00392DBB" w:rsidRPr="00351B7D" w:rsidRDefault="00392DBB" w:rsidP="00392DBB">
      <w:pPr>
        <w:rPr>
          <w:rFonts w:asciiTheme="minorBidi" w:hAnsiTheme="minorBidi"/>
          <w:b/>
          <w:bCs/>
          <w:color w:val="000000"/>
          <w:sz w:val="28"/>
          <w:szCs w:val="28"/>
          <w:u w:val="single"/>
          <w:rtl/>
        </w:rPr>
      </w:pPr>
      <w:r w:rsidRPr="00351B7D">
        <w:rPr>
          <w:rFonts w:asciiTheme="minorBidi" w:hAnsiTheme="minorBidi"/>
          <w:b/>
          <w:bCs/>
          <w:color w:val="000000"/>
          <w:sz w:val="28"/>
          <w:szCs w:val="28"/>
          <w:u w:val="single"/>
          <w:rtl/>
        </w:rPr>
        <w:t>שו"ע:</w:t>
      </w:r>
    </w:p>
    <w:p w14:paraId="6EB076C1" w14:textId="26A59EEE" w:rsidR="00392DBB" w:rsidRPr="007A3469" w:rsidRDefault="00392DBB" w:rsidP="00392DBB">
      <w:pPr>
        <w:rPr>
          <w:rtl/>
        </w:rPr>
      </w:pPr>
      <w:r>
        <w:rPr>
          <w:rFonts w:cs="Arial"/>
          <w:rtl/>
        </w:rPr>
        <w:t xml:space="preserve">המתנה עם בעלה בשעת נשואין שאם תמות תחתיו בלא ולד קיימא יהא שליש נדוניתא ליורשיה, וגירשה והחזירה סתם, על דעת תנאים ראשונים החזירה. </w:t>
      </w:r>
      <w:r w:rsidRPr="00213780">
        <w:rPr>
          <w:rFonts w:cs="Arial"/>
          <w:sz w:val="18"/>
          <w:szCs w:val="18"/>
          <w:rtl/>
        </w:rPr>
        <w:t>הגה: תקנת קהלות שו"ם שאנו נוהגין בזמן הזה בנדוניית חתנים כמו שנתבאר לעיל סוף סימן נ"ג</w:t>
      </w:r>
      <w:r w:rsidR="008B66B9">
        <w:rPr>
          <w:rFonts w:cs="Arial" w:hint="cs"/>
          <w:sz w:val="18"/>
          <w:szCs w:val="18"/>
          <w:rtl/>
        </w:rPr>
        <w:t>,</w:t>
      </w:r>
      <w:r w:rsidRPr="00213780">
        <w:rPr>
          <w:rFonts w:cs="Arial"/>
          <w:sz w:val="18"/>
          <w:szCs w:val="18"/>
          <w:rtl/>
        </w:rPr>
        <w:t xml:space="preserve"> י"א שהתקנה לא נתקנה רק בנדוניא, אבל לא בירושה שנפלה לאשה בעודה תחתיו (רא"ש כלל נד</w:t>
      </w:r>
      <w:r>
        <w:rPr>
          <w:rFonts w:cs="Arial" w:hint="cs"/>
          <w:sz w:val="18"/>
          <w:szCs w:val="18"/>
          <w:rtl/>
        </w:rPr>
        <w:t xml:space="preserve"> סי' א</w:t>
      </w:r>
      <w:r w:rsidRPr="00213780">
        <w:rPr>
          <w:rFonts w:cs="Arial"/>
          <w:sz w:val="18"/>
          <w:szCs w:val="18"/>
          <w:rtl/>
        </w:rPr>
        <w:t xml:space="preserve">). וכן במתנות שנתנו לחתן. ובזמן </w:t>
      </w:r>
      <w:r w:rsidRPr="00213780">
        <w:rPr>
          <w:rFonts w:cs="Arial"/>
          <w:sz w:val="18"/>
          <w:szCs w:val="18"/>
          <w:rtl/>
        </w:rPr>
        <w:lastRenderedPageBreak/>
        <w:t>שהנכסים חוזרין מכח התקנה, י"א שחוזרין לנותני הנדוניא, וי"א ליורשים (</w:t>
      </w:r>
      <w:r>
        <w:rPr>
          <w:rFonts w:cs="Arial" w:hint="cs"/>
          <w:sz w:val="18"/>
          <w:szCs w:val="18"/>
          <w:rtl/>
        </w:rPr>
        <w:t>שתי הדעות ב</w:t>
      </w:r>
      <w:r w:rsidRPr="00213780">
        <w:rPr>
          <w:rFonts w:cs="Arial"/>
          <w:sz w:val="18"/>
          <w:szCs w:val="18"/>
          <w:rtl/>
        </w:rPr>
        <w:t>תשו</w:t>
      </w:r>
      <w:r>
        <w:rPr>
          <w:rFonts w:cs="Arial" w:hint="cs"/>
          <w:sz w:val="18"/>
          <w:szCs w:val="18"/>
          <w:rtl/>
        </w:rPr>
        <w:t>'</w:t>
      </w:r>
      <w:r w:rsidRPr="00213780">
        <w:rPr>
          <w:rFonts w:cs="Arial"/>
          <w:sz w:val="18"/>
          <w:szCs w:val="18"/>
          <w:rtl/>
        </w:rPr>
        <w:t xml:space="preserve"> מיימוני), וכן מנהג הקהלות. ואין חילוק בין אם האב נותן הנדוניא או אחרים (ת</w:t>
      </w:r>
      <w:r>
        <w:rPr>
          <w:rFonts w:cs="Arial" w:hint="cs"/>
          <w:sz w:val="18"/>
          <w:szCs w:val="18"/>
          <w:rtl/>
        </w:rPr>
        <w:t>רוה"ד</w:t>
      </w:r>
      <w:r w:rsidRPr="00213780">
        <w:rPr>
          <w:rFonts w:cs="Arial"/>
          <w:sz w:val="18"/>
          <w:szCs w:val="18"/>
          <w:rtl/>
        </w:rPr>
        <w:t xml:space="preserve"> סי' שכא). אבל כשהן עצמן מכניסים נדוניה, לא תיקנו (מהרי"ו ס"ד). וכל מקום שיש מנהג, הולכין אחר המנהג</w:t>
      </w:r>
      <w:r>
        <w:rPr>
          <w:rFonts w:cs="Arial" w:hint="cs"/>
          <w:sz w:val="18"/>
          <w:szCs w:val="18"/>
          <w:rtl/>
        </w:rPr>
        <w:t>.</w:t>
      </w:r>
      <w:r w:rsidRPr="00213780">
        <w:rPr>
          <w:rFonts w:cs="Arial"/>
          <w:sz w:val="18"/>
          <w:szCs w:val="18"/>
          <w:rtl/>
        </w:rPr>
        <w:t xml:space="preserve"> ואפילו לא התנו בשעת נשואין, כאילו התנו, דכל הנושא על דעת המנהג הוא נושא (דעת עצמו ורשב"א סי' תתקסב ותשו</w:t>
      </w:r>
      <w:r>
        <w:rPr>
          <w:rFonts w:cs="Arial" w:hint="cs"/>
          <w:sz w:val="18"/>
          <w:szCs w:val="18"/>
          <w:rtl/>
        </w:rPr>
        <w:t>'</w:t>
      </w:r>
      <w:r w:rsidRPr="00213780">
        <w:rPr>
          <w:rFonts w:cs="Arial"/>
          <w:sz w:val="18"/>
          <w:szCs w:val="18"/>
          <w:rtl/>
        </w:rPr>
        <w:t xml:space="preserve"> מיימוני סוף אישות ל"ה</w:t>
      </w:r>
      <w:r w:rsidRPr="003F7A28">
        <w:rPr>
          <w:rFonts w:cs="Arial"/>
          <w:sz w:val="18"/>
          <w:szCs w:val="18"/>
          <w:rtl/>
        </w:rPr>
        <w:t>). ואפילו הלך למקום שאין נוהגים מנהג הקהילות, הולכין אחר מקום שנשאה שם (ריב"ש סי</w:t>
      </w:r>
      <w:r>
        <w:rPr>
          <w:rFonts w:cs="Arial" w:hint="cs"/>
          <w:sz w:val="18"/>
          <w:szCs w:val="18"/>
          <w:rtl/>
        </w:rPr>
        <w:t>'</w:t>
      </w:r>
      <w:r w:rsidRPr="003F7A28">
        <w:rPr>
          <w:rFonts w:cs="Arial"/>
          <w:sz w:val="18"/>
          <w:szCs w:val="18"/>
          <w:rtl/>
        </w:rPr>
        <w:t xml:space="preserve"> קה). ואם לא מתו הבת או הבן, רק נהרגו או נשתמדו, י"א דלא שייך בזה דין חתנים, ואפילו לא נתן האב צריך ליתן. אבל אם אין כאן זרע קיימא, שצריכין להחזיר מכח תקנה, אין חילוק בין נהרגו למתו</w:t>
      </w:r>
      <w:r>
        <w:rPr>
          <w:rFonts w:cs="Arial" w:hint="cs"/>
          <w:sz w:val="18"/>
          <w:szCs w:val="18"/>
          <w:rtl/>
        </w:rPr>
        <w:t>.</w:t>
      </w:r>
      <w:r w:rsidRPr="003F7A28">
        <w:rPr>
          <w:rFonts w:cs="Arial"/>
          <w:sz w:val="18"/>
          <w:szCs w:val="18"/>
          <w:rtl/>
        </w:rPr>
        <w:t xml:space="preserve"> אבל אם המירו דתם לע"ג, אין צריך להחזיר. ויש להתיישב בדבר.</w:t>
      </w:r>
    </w:p>
    <w:p w14:paraId="78A692DF" w14:textId="77777777" w:rsidR="00392DBB" w:rsidRDefault="00392DBB" w:rsidP="00392DBB">
      <w:pPr>
        <w:rPr>
          <w:rtl/>
        </w:rPr>
      </w:pPr>
    </w:p>
    <w:p w14:paraId="67EDC070" w14:textId="77777777" w:rsidR="00DA1E36" w:rsidRDefault="00DA1E36" w:rsidP="00F6012F">
      <w:pPr>
        <w:rPr>
          <w:rtl/>
        </w:rPr>
      </w:pPr>
    </w:p>
    <w:sectPr w:rsidR="00DA1E36" w:rsidSect="00A347B3">
      <w:headerReference w:type="default" r:id="rId62"/>
      <w:footnotePr>
        <w:numRestart w:val="eachSect"/>
      </w:footnotePr>
      <w:pgSz w:w="11906" w:h="16838"/>
      <w:pgMar w:top="720" w:right="1134" w:bottom="720" w:left="1134" w:header="0" w:footer="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42EC77" w14:textId="77777777" w:rsidR="002D4FB2" w:rsidRDefault="002D4FB2" w:rsidP="008A01C4">
      <w:pPr>
        <w:spacing w:after="0" w:line="240" w:lineRule="auto"/>
      </w:pPr>
      <w:r>
        <w:separator/>
      </w:r>
    </w:p>
  </w:endnote>
  <w:endnote w:type="continuationSeparator" w:id="0">
    <w:p w14:paraId="4FFE2946" w14:textId="77777777" w:rsidR="002D4FB2" w:rsidRDefault="002D4FB2" w:rsidP="008A0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284080382"/>
      <w:docPartObj>
        <w:docPartGallery w:val="Page Numbers (Bottom of Page)"/>
        <w:docPartUnique/>
      </w:docPartObj>
    </w:sdtPr>
    <w:sdtContent>
      <w:p w14:paraId="4EFEA8F8" w14:textId="4B12071D" w:rsidR="00DE2F5F" w:rsidRDefault="00DE2F5F">
        <w:pPr>
          <w:pStyle w:val="af1"/>
          <w:jc w:val="center"/>
        </w:pPr>
        <w:r>
          <w:fldChar w:fldCharType="begin"/>
        </w:r>
        <w:r>
          <w:instrText>PAGE   \* MERGEFORMAT</w:instrText>
        </w:r>
        <w:r>
          <w:fldChar w:fldCharType="separate"/>
        </w:r>
        <w:r>
          <w:rPr>
            <w:rtl/>
            <w:lang w:val="he-IL"/>
          </w:rPr>
          <w:t>2</w:t>
        </w:r>
        <w:r>
          <w:fldChar w:fldCharType="end"/>
        </w:r>
      </w:p>
    </w:sdtContent>
  </w:sdt>
  <w:p w14:paraId="14923744" w14:textId="77777777" w:rsidR="00DE2F5F" w:rsidRDefault="00DE2F5F">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788430904"/>
      <w:docPartObj>
        <w:docPartGallery w:val="Page Numbers (Bottom of Page)"/>
        <w:docPartUnique/>
      </w:docPartObj>
    </w:sdtPr>
    <w:sdtContent>
      <w:p w14:paraId="74391E8E" w14:textId="77777777" w:rsidR="00392DBB" w:rsidRDefault="00392DBB">
        <w:pPr>
          <w:pStyle w:val="af1"/>
          <w:jc w:val="center"/>
        </w:pPr>
        <w:r>
          <w:fldChar w:fldCharType="begin"/>
        </w:r>
        <w:r>
          <w:instrText>PAGE   \* MERGEFORMAT</w:instrText>
        </w:r>
        <w:r>
          <w:fldChar w:fldCharType="separate"/>
        </w:r>
        <w:r>
          <w:rPr>
            <w:rtl/>
            <w:lang w:val="he-IL"/>
          </w:rPr>
          <w:t>2</w:t>
        </w:r>
        <w:r>
          <w:fldChar w:fldCharType="end"/>
        </w:r>
      </w:p>
    </w:sdtContent>
  </w:sdt>
  <w:p w14:paraId="4E561B95" w14:textId="77777777" w:rsidR="00392DBB" w:rsidRDefault="00392DBB">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2CD14" w14:textId="77777777" w:rsidR="002D4FB2" w:rsidRDefault="002D4FB2" w:rsidP="008A01C4">
      <w:pPr>
        <w:spacing w:after="0" w:line="240" w:lineRule="auto"/>
      </w:pPr>
      <w:r>
        <w:separator/>
      </w:r>
    </w:p>
  </w:footnote>
  <w:footnote w:type="continuationSeparator" w:id="0">
    <w:p w14:paraId="0D577CF4" w14:textId="77777777" w:rsidR="002D4FB2" w:rsidRDefault="002D4FB2" w:rsidP="008A01C4">
      <w:pPr>
        <w:spacing w:after="0" w:line="240" w:lineRule="auto"/>
      </w:pPr>
      <w:r>
        <w:continuationSeparator/>
      </w:r>
    </w:p>
  </w:footnote>
  <w:footnote w:id="1">
    <w:p w14:paraId="4A1C5D0C" w14:textId="283537F3" w:rsidR="0031167B" w:rsidRDefault="0031167B">
      <w:pPr>
        <w:pStyle w:val="a5"/>
      </w:pPr>
      <w:r>
        <w:rPr>
          <w:rStyle w:val="a7"/>
        </w:rPr>
        <w:footnoteRef/>
      </w:r>
      <w:r>
        <w:rPr>
          <w:rtl/>
        </w:rPr>
        <w:t xml:space="preserve"> </w:t>
      </w:r>
      <w:r>
        <w:rPr>
          <w:rFonts w:hint="cs"/>
          <w:rtl/>
        </w:rPr>
        <w:t>סימן - זיוג בז' (שביעי - שבת).</w:t>
      </w:r>
    </w:p>
  </w:footnote>
  <w:footnote w:id="2">
    <w:p w14:paraId="1412202C"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תנו לה מטלטלין תחת ידה במשכון לשיעבוד כתובתה עד שיכתבו שטר כתובתה בשעבוד קרקעות, רש"י.</w:t>
      </w:r>
    </w:p>
  </w:footnote>
  <w:footnote w:id="3">
    <w:p w14:paraId="5EFF9420" w14:textId="77777777" w:rsidR="006D22F9" w:rsidRPr="00351B7D" w:rsidRDefault="006D22F9" w:rsidP="006D22F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אין מייחדין מטלטלין לכתובה, רש"י.</w:t>
      </w:r>
    </w:p>
  </w:footnote>
  <w:footnote w:id="4">
    <w:p w14:paraId="0DE28471" w14:textId="77777777" w:rsidR="006D22F9" w:rsidRPr="00351B7D" w:rsidRDefault="006D22F9" w:rsidP="006D22F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שמא יאבדו או יפחתו דמיהן, רש"י.</w:t>
      </w:r>
    </w:p>
  </w:footnote>
  <w:footnote w:id="5">
    <w:p w14:paraId="45FF9D58" w14:textId="77777777" w:rsidR="006D22F9" w:rsidRPr="00351B7D" w:rsidRDefault="006D22F9" w:rsidP="006D22F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הבעל אם יאבדו ופריש ליה תנא דלא חייש לזולא אלא לאונסא וקאמר ליה רבי יוסי וכי קביל עליו אחריות נמי מה נתקן העולם בכך והלא אף כשהן קיימין אין קצובין ופוחתין, רש"י.</w:t>
      </w:r>
    </w:p>
  </w:footnote>
  <w:footnote w:id="6">
    <w:p w14:paraId="7A441EF1" w14:textId="77777777" w:rsidR="006D22F9" w:rsidRPr="00351B7D" w:rsidRDefault="006D22F9" w:rsidP="006D22F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אין דמיהן קצובין עולמית דמוקרי ומוזלי הלכך פעמים שפוחתין מכדי מה ששמאום, רש"י.</w:t>
      </w:r>
    </w:p>
  </w:footnote>
  <w:footnote w:id="7">
    <w:p w14:paraId="288D5ED6" w14:textId="77777777" w:rsidR="00DF3F5C" w:rsidRDefault="00DF3F5C" w:rsidP="00DF3F5C">
      <w:pPr>
        <w:pStyle w:val="a5"/>
      </w:pPr>
      <w:r>
        <w:rPr>
          <w:rStyle w:val="a7"/>
        </w:rPr>
        <w:footnoteRef/>
      </w:r>
      <w:r>
        <w:rPr>
          <w:rtl/>
        </w:rPr>
        <w:t xml:space="preserve"> </w:t>
      </w:r>
      <w:r>
        <w:rPr>
          <w:rFonts w:hint="cs"/>
          <w:rtl/>
        </w:rPr>
        <w:t>וז"ל:</w:t>
      </w:r>
      <w:r w:rsidRPr="00D17E95">
        <w:rPr>
          <w:rtl/>
        </w:rPr>
        <w:t xml:space="preserve"> </w:t>
      </w:r>
      <w:r w:rsidRPr="00D17E95">
        <w:rPr>
          <w:rFonts w:cs="Arial"/>
          <w:rtl/>
        </w:rPr>
        <w:t>אע</w:t>
      </w:r>
      <w:r>
        <w:rPr>
          <w:rFonts w:cs="Arial" w:hint="cs"/>
          <w:rtl/>
        </w:rPr>
        <w:t>"</w:t>
      </w:r>
      <w:r w:rsidRPr="00D17E95">
        <w:rPr>
          <w:rFonts w:cs="Arial"/>
          <w:rtl/>
        </w:rPr>
        <w:t>פ שנכנסה לחופה אסור לבעול עד שיכתוב לה כתובה דקי"ל כר"מ דאמר אסור לשהות עם אשתו אפילו שעה אחת בלא כתובה</w:t>
      </w:r>
      <w:r>
        <w:rPr>
          <w:rFonts w:cs="Arial" w:hint="cs"/>
          <w:rtl/>
        </w:rPr>
        <w:t>...</w:t>
      </w:r>
      <w:r w:rsidRPr="00D17E95">
        <w:rPr>
          <w:rFonts w:cs="Arial"/>
          <w:rtl/>
        </w:rPr>
        <w:t xml:space="preserve"> ואותן שנהגו לברך ברכת נשואין שחרית קודם כתובה ומכניסין אותה בבית החתן </w:t>
      </w:r>
      <w:r>
        <w:rPr>
          <w:rFonts w:cs="Arial" w:hint="cs"/>
          <w:rtl/>
        </w:rPr>
        <w:t xml:space="preserve">- </w:t>
      </w:r>
      <w:r w:rsidRPr="00D17E95">
        <w:rPr>
          <w:rFonts w:cs="Arial"/>
          <w:rtl/>
        </w:rPr>
        <w:t>אינו מנהג</w:t>
      </w:r>
      <w:r>
        <w:rPr>
          <w:rFonts w:cs="Arial" w:hint="cs"/>
          <w:rtl/>
        </w:rPr>
        <w:t>,</w:t>
      </w:r>
      <w:r w:rsidRPr="00D17E95">
        <w:rPr>
          <w:rFonts w:cs="Arial"/>
          <w:rtl/>
        </w:rPr>
        <w:t xml:space="preserve"> שאסור להתייחד בלא כתובה</w:t>
      </w:r>
      <w:r>
        <w:rPr>
          <w:rFonts w:cs="Arial" w:hint="cs"/>
          <w:rtl/>
        </w:rPr>
        <w:t>.</w:t>
      </w:r>
      <w:r w:rsidRPr="00D17E95">
        <w:rPr>
          <w:rFonts w:cs="Arial"/>
          <w:rtl/>
        </w:rPr>
        <w:t xml:space="preserve"> ומנהג שלנו שלא לברך ברכת נשואין עד שעת כתיבה ונותנין כתובתה ואח"כ מברכין וכך מנהג ספרד ואין לשנות המנהג</w:t>
      </w:r>
      <w:r>
        <w:rPr>
          <w:rFonts w:cs="Arial" w:hint="cs"/>
          <w:rtl/>
        </w:rPr>
        <w:t>.</w:t>
      </w:r>
    </w:p>
  </w:footnote>
  <w:footnote w:id="8">
    <w:p w14:paraId="41F97ACE" w14:textId="40B287B6" w:rsidR="00F64EBE" w:rsidRDefault="00F64EBE">
      <w:pPr>
        <w:pStyle w:val="a5"/>
      </w:pPr>
      <w:r>
        <w:rPr>
          <w:rStyle w:val="a7"/>
        </w:rPr>
        <w:footnoteRef/>
      </w:r>
      <w:r w:rsidRPr="00F64EBE">
        <w:rPr>
          <w:rFonts w:cs="Arial"/>
          <w:rtl/>
        </w:rPr>
        <w:t xml:space="preserve"> וע"ל סימן קע"ז (עמ' תלא) דמשמע דבמקום דלא יוכל לגרש כי אם ברצון האשה אין לחוש כל כך בכתובה</w:t>
      </w:r>
      <w:r w:rsidR="00FF1FD1">
        <w:rPr>
          <w:rFonts w:cs="Arial" w:hint="cs"/>
          <w:rtl/>
        </w:rPr>
        <w:t>,</w:t>
      </w:r>
      <w:r w:rsidRPr="00F64EBE">
        <w:rPr>
          <w:rFonts w:cs="Arial"/>
          <w:rtl/>
        </w:rPr>
        <w:t xml:space="preserve"> ואם כן בזמן הזה דאין מגרשין בעל כרחה יש להקל בדבר ואולי יש לחלק ועיין לקמן</w:t>
      </w:r>
      <w:r>
        <w:rPr>
          <w:rFonts w:cs="Arial" w:hint="cs"/>
          <w:rtl/>
        </w:rPr>
        <w:t xml:space="preserve">, דרכ"מ (אות א). </w:t>
      </w:r>
      <w:r w:rsidRPr="00F64EBE">
        <w:rPr>
          <w:rFonts w:cs="Arial" w:hint="cs"/>
          <w:color w:val="00B0F0"/>
          <w:rtl/>
        </w:rPr>
        <w:t>(וכ"כ בהג"ה</w:t>
      </w:r>
      <w:r>
        <w:rPr>
          <w:rFonts w:cs="Arial" w:hint="cs"/>
          <w:color w:val="00B0F0"/>
          <w:sz w:val="16"/>
          <w:szCs w:val="16"/>
          <w:rtl/>
        </w:rPr>
        <w:t xml:space="preserve"> </w:t>
      </w:r>
      <w:r w:rsidRPr="00F64EBE">
        <w:rPr>
          <w:rFonts w:cs="Arial" w:hint="cs"/>
          <w:color w:val="000000" w:themeColor="text1"/>
          <w:sz w:val="16"/>
          <w:szCs w:val="16"/>
          <w:rtl/>
        </w:rPr>
        <w:t>[</w:t>
      </w:r>
      <w:r>
        <w:rPr>
          <w:rFonts w:cs="Arial" w:hint="cs"/>
          <w:color w:val="000000" w:themeColor="text1"/>
          <w:sz w:val="16"/>
          <w:szCs w:val="16"/>
          <w:rtl/>
        </w:rPr>
        <w:t>בסע' ג</w:t>
      </w:r>
      <w:r w:rsidRPr="00F64EBE">
        <w:rPr>
          <w:rFonts w:cs="Arial" w:hint="cs"/>
          <w:color w:val="000000" w:themeColor="text1"/>
          <w:sz w:val="16"/>
          <w:szCs w:val="16"/>
          <w:rtl/>
        </w:rPr>
        <w:t>]</w:t>
      </w:r>
      <w:r w:rsidRPr="00F64EBE">
        <w:rPr>
          <w:rFonts w:cs="Arial" w:hint="cs"/>
          <w:color w:val="00B0F0"/>
          <w:rtl/>
        </w:rPr>
        <w:t>)</w:t>
      </w:r>
    </w:p>
  </w:footnote>
  <w:footnote w:id="9">
    <w:p w14:paraId="57416416" w14:textId="77777777" w:rsidR="00122C13" w:rsidRDefault="00122C13" w:rsidP="00122C13">
      <w:pPr>
        <w:pStyle w:val="a5"/>
      </w:pPr>
      <w:r>
        <w:rPr>
          <w:rStyle w:val="a7"/>
        </w:rPr>
        <w:footnoteRef/>
      </w:r>
      <w:r>
        <w:rPr>
          <w:rtl/>
        </w:rPr>
        <w:t xml:space="preserve"> </w:t>
      </w:r>
      <w:r>
        <w:rPr>
          <w:rFonts w:asciiTheme="minorBidi" w:hAnsiTheme="minorBidi" w:cs="Arial" w:hint="cs"/>
          <w:rtl/>
        </w:rPr>
        <w:t xml:space="preserve">וכתב </w:t>
      </w:r>
      <w:r>
        <w:rPr>
          <w:rFonts w:asciiTheme="minorBidi" w:hAnsiTheme="minorBidi" w:hint="cs"/>
          <w:rtl/>
        </w:rPr>
        <w:t>הב"ח (</w:t>
      </w:r>
      <w:r w:rsidRPr="00351B7D">
        <w:rPr>
          <w:rFonts w:asciiTheme="minorBidi" w:hAnsiTheme="minorBidi"/>
          <w:rtl/>
        </w:rPr>
        <w:t>אות א</w:t>
      </w:r>
      <w:r>
        <w:rPr>
          <w:rFonts w:asciiTheme="minorBidi" w:hAnsiTheme="minorBidi" w:hint="cs"/>
          <w:rtl/>
        </w:rPr>
        <w:t>)</w:t>
      </w:r>
      <w:r w:rsidRPr="00351B7D">
        <w:rPr>
          <w:rFonts w:asciiTheme="minorBidi" w:hAnsiTheme="minorBidi"/>
          <w:rtl/>
        </w:rPr>
        <w:t xml:space="preserve"> </w:t>
      </w:r>
      <w:r>
        <w:rPr>
          <w:rFonts w:asciiTheme="minorBidi" w:hAnsiTheme="minorBidi" w:hint="cs"/>
          <w:rtl/>
        </w:rPr>
        <w:t xml:space="preserve">שהרמב"ם לא חושב שיש בזה איסור אלא שאין לעשות כן לכתחילה, ולכן </w:t>
      </w:r>
      <w:r w:rsidRPr="00351B7D">
        <w:rPr>
          <w:rFonts w:asciiTheme="minorBidi" w:hAnsiTheme="minorBidi"/>
          <w:rtl/>
        </w:rPr>
        <w:t>דקדק</w:t>
      </w:r>
      <w:r>
        <w:rPr>
          <w:rFonts w:asciiTheme="minorBidi" w:hAnsiTheme="minorBidi" w:hint="cs"/>
          <w:rtl/>
        </w:rPr>
        <w:t xml:space="preserve"> הרמב"ם</w:t>
      </w:r>
      <w:r w:rsidRPr="00351B7D">
        <w:rPr>
          <w:rFonts w:asciiTheme="minorBidi" w:hAnsiTheme="minorBidi"/>
          <w:rtl/>
        </w:rPr>
        <w:t xml:space="preserve"> בלשונו ולא כתב שיש איסור בדבר רק שכתב וצריך לכתוב כתובה קודם כניסתה לחופה ואח"כ יהיה מותר באשתו, משמע שלכתחלה צריך לעשות כך שלא יבוא לידי איסור אבל איסור ממש לא שמענו ביחוד.</w:t>
      </w:r>
      <w:r>
        <w:rPr>
          <w:rFonts w:asciiTheme="minorBidi" w:hAnsiTheme="minorBidi" w:hint="cs"/>
          <w:rtl/>
        </w:rPr>
        <w:t xml:space="preserve"> </w:t>
      </w:r>
      <w:r w:rsidRPr="00351B7D">
        <w:rPr>
          <w:rFonts w:asciiTheme="minorBidi" w:hAnsiTheme="minorBidi"/>
          <w:rtl/>
        </w:rPr>
        <w:t>וכן נראה דעת הח"מ (סק"א) והב"ש (סק"א) שהעתיקו את דברי הב"ח ללא חולק</w:t>
      </w:r>
      <w:r>
        <w:rPr>
          <w:rFonts w:hint="cs"/>
          <w:rtl/>
        </w:rPr>
        <w:t>.</w:t>
      </w:r>
    </w:p>
  </w:footnote>
  <w:footnote w:id="10">
    <w:p w14:paraId="02E1FC7F" w14:textId="77777777" w:rsidR="00122C13" w:rsidRPr="00351B7D" w:rsidRDefault="00122C13" w:rsidP="00122C13">
      <w:pPr>
        <w:pStyle w:val="a5"/>
        <w:rPr>
          <w:rFonts w:asciiTheme="minorBidi" w:hAnsiTheme="minorBidi"/>
        </w:rPr>
      </w:pPr>
      <w:r w:rsidRPr="00351B7D">
        <w:rPr>
          <w:rStyle w:val="a7"/>
          <w:rFonts w:asciiTheme="minorBidi" w:hAnsiTheme="minorBidi"/>
        </w:rPr>
        <w:footnoteRef/>
      </w:r>
      <w:r>
        <w:rPr>
          <w:rFonts w:asciiTheme="minorBidi" w:hAnsiTheme="minorBidi" w:hint="cs"/>
          <w:rtl/>
        </w:rPr>
        <w:t xml:space="preserve"> וכ"כ ה</w:t>
      </w:r>
      <w:r w:rsidRPr="00351B7D">
        <w:rPr>
          <w:rFonts w:asciiTheme="minorBidi" w:hAnsiTheme="minorBidi"/>
          <w:rtl/>
        </w:rPr>
        <w:t>ריב"א</w:t>
      </w:r>
      <w:r w:rsidRPr="00351B7D">
        <w:rPr>
          <w:rFonts w:asciiTheme="minorBidi" w:hAnsiTheme="minorBidi"/>
          <w:sz w:val="16"/>
          <w:szCs w:val="16"/>
          <w:rtl/>
        </w:rPr>
        <w:t xml:space="preserve"> (הובא במרדכי סי' קל)</w:t>
      </w:r>
      <w:r w:rsidRPr="00351B7D">
        <w:rPr>
          <w:rFonts w:asciiTheme="minorBidi" w:hAnsiTheme="minorBidi"/>
          <w:rtl/>
        </w:rPr>
        <w:t xml:space="preserve"> וז"ל</w:t>
      </w:r>
      <w:r>
        <w:rPr>
          <w:rFonts w:asciiTheme="minorBidi" w:hAnsiTheme="minorBidi"/>
        </w:rPr>
        <w:t>:</w:t>
      </w:r>
      <w:r w:rsidRPr="00351B7D">
        <w:rPr>
          <w:rFonts w:asciiTheme="minorBidi" w:hAnsiTheme="minorBidi"/>
          <w:rtl/>
        </w:rPr>
        <w:t xml:space="preserve"> היכא דאיכא עידי קנין שטר הכתובה הוא ראיה בעלמא ואי אירכסא</w:t>
      </w:r>
      <w:r w:rsidRPr="00351B7D">
        <w:rPr>
          <w:rFonts w:asciiTheme="minorBidi" w:hAnsiTheme="minorBidi"/>
          <w:sz w:val="16"/>
          <w:szCs w:val="16"/>
          <w:rtl/>
        </w:rPr>
        <w:t xml:space="preserve"> {אבדה}</w:t>
      </w:r>
      <w:r w:rsidRPr="00351B7D">
        <w:rPr>
          <w:rFonts w:asciiTheme="minorBidi" w:hAnsiTheme="minorBidi"/>
          <w:rtl/>
        </w:rPr>
        <w:t xml:space="preserve"> כתובתה אינה אסורה לו, והא דאמרינן אסור לאדם וכו' היינו היכא דליכא עידי קנין ולא הקנה לה כתובה.</w:t>
      </w:r>
    </w:p>
  </w:footnote>
  <w:footnote w:id="11">
    <w:p w14:paraId="12757B57" w14:textId="77777777" w:rsidR="00A91736" w:rsidRDefault="00A91736" w:rsidP="00A91736">
      <w:pPr>
        <w:pStyle w:val="a5"/>
      </w:pPr>
      <w:r>
        <w:rPr>
          <w:rStyle w:val="a7"/>
        </w:rPr>
        <w:footnoteRef/>
      </w:r>
      <w:r>
        <w:rPr>
          <w:rtl/>
        </w:rPr>
        <w:t xml:space="preserve"> </w:t>
      </w:r>
      <w:r w:rsidRPr="009D06FB">
        <w:rPr>
          <w:rFonts w:cs="Arial"/>
          <w:rtl/>
        </w:rPr>
        <w:t>שחכמים תיקנו שיהו כל נכסיו אחראין וערבאין לכתובה</w:t>
      </w:r>
      <w:r>
        <w:rPr>
          <w:rFonts w:cs="Arial" w:hint="cs"/>
          <w:rtl/>
        </w:rPr>
        <w:t>, הה"מ (שם).</w:t>
      </w:r>
    </w:p>
  </w:footnote>
  <w:footnote w:id="12">
    <w:p w14:paraId="32A0333C" w14:textId="77777777" w:rsidR="00122C13" w:rsidRDefault="00122C13" w:rsidP="00122C13">
      <w:pPr>
        <w:pStyle w:val="a5"/>
      </w:pPr>
      <w:r>
        <w:rPr>
          <w:rStyle w:val="a7"/>
        </w:rPr>
        <w:footnoteRef/>
      </w:r>
      <w:r>
        <w:rPr>
          <w:rtl/>
        </w:rPr>
        <w:t xml:space="preserve"> </w:t>
      </w:r>
      <w:r w:rsidRPr="00EA23EC">
        <w:rPr>
          <w:rFonts w:cs="Arial"/>
          <w:rtl/>
        </w:rPr>
        <w:t>וכתב ה</w:t>
      </w:r>
      <w:r>
        <w:rPr>
          <w:rFonts w:cs="Arial" w:hint="cs"/>
          <w:rtl/>
        </w:rPr>
        <w:t>ה"מ</w:t>
      </w:r>
      <w:r w:rsidRPr="00EA23EC">
        <w:rPr>
          <w:rFonts w:cs="Arial"/>
          <w:rtl/>
        </w:rPr>
        <w:t xml:space="preserve"> אחד הכותב וכו'</w:t>
      </w:r>
      <w:r>
        <w:rPr>
          <w:rFonts w:cs="Arial" w:hint="cs"/>
          <w:rtl/>
        </w:rPr>
        <w:t xml:space="preserve"> -</w:t>
      </w:r>
      <w:r w:rsidRPr="00EA23EC">
        <w:rPr>
          <w:rFonts w:cs="Arial"/>
          <w:rtl/>
        </w:rPr>
        <w:t xml:space="preserve"> פשוט הוא</w:t>
      </w:r>
      <w:r>
        <w:rPr>
          <w:rFonts w:cs="Arial" w:hint="cs"/>
          <w:rtl/>
        </w:rPr>
        <w:t>,</w:t>
      </w:r>
      <w:r w:rsidRPr="00EA23EC">
        <w:rPr>
          <w:rFonts w:cs="Arial"/>
          <w:rtl/>
        </w:rPr>
        <w:t xml:space="preserve"> שהקנין הרי הוא כאילו נכתב</w:t>
      </w:r>
      <w:r>
        <w:rPr>
          <w:rFonts w:cs="Arial" w:hint="cs"/>
          <w:rtl/>
        </w:rPr>
        <w:t>,</w:t>
      </w:r>
      <w:r w:rsidRPr="00EA23EC">
        <w:rPr>
          <w:rFonts w:cs="Arial"/>
          <w:rtl/>
        </w:rPr>
        <w:t xml:space="preserve"> וגם כן ידוע דסתם קנין לכתיבה עומד ע"כ</w:t>
      </w:r>
      <w:r>
        <w:rPr>
          <w:rFonts w:cs="Arial" w:hint="cs"/>
          <w:rtl/>
        </w:rPr>
        <w:t>.</w:t>
      </w:r>
      <w:r w:rsidRPr="00EA23EC">
        <w:rPr>
          <w:rFonts w:cs="Arial"/>
          <w:rtl/>
        </w:rPr>
        <w:t xml:space="preserve"> ודברי הרמב"ם מבוארים דבקנו מידו אע</w:t>
      </w:r>
      <w:r>
        <w:rPr>
          <w:rFonts w:cs="Arial" w:hint="cs"/>
          <w:rtl/>
        </w:rPr>
        <w:t>"</w:t>
      </w:r>
      <w:r w:rsidRPr="00EA23EC">
        <w:rPr>
          <w:rFonts w:cs="Arial"/>
          <w:rtl/>
        </w:rPr>
        <w:t>פ שיש לו פנאי לכתוב אם רצה שלא לכתוב עכשיו אלא שביק ליה למחר וליומא אחרא</w:t>
      </w:r>
      <w:r>
        <w:rPr>
          <w:rFonts w:cs="Arial" w:hint="cs"/>
          <w:rtl/>
        </w:rPr>
        <w:t xml:space="preserve"> -</w:t>
      </w:r>
      <w:r w:rsidRPr="00EA23EC">
        <w:rPr>
          <w:rFonts w:cs="Arial"/>
          <w:rtl/>
        </w:rPr>
        <w:t xml:space="preserve"> שרי</w:t>
      </w:r>
      <w:r>
        <w:rPr>
          <w:rFonts w:cs="Arial" w:hint="cs"/>
          <w:rtl/>
        </w:rPr>
        <w:t>,</w:t>
      </w:r>
      <w:r w:rsidRPr="00EA23EC">
        <w:rPr>
          <w:rFonts w:cs="Arial"/>
          <w:rtl/>
        </w:rPr>
        <w:t xml:space="preserve"> דכיון דסתם קנין לכתיבה עומד הוי כאילו נכתב</w:t>
      </w:r>
      <w:r>
        <w:rPr>
          <w:rFonts w:cs="Arial" w:hint="cs"/>
          <w:rtl/>
        </w:rPr>
        <w:t xml:space="preserve"> (ב"ב מ.).</w:t>
      </w:r>
      <w:r w:rsidRPr="00EA23EC">
        <w:rPr>
          <w:rFonts w:cs="Arial"/>
          <w:rtl/>
        </w:rPr>
        <w:t xml:space="preserve"> וזהו שכתב </w:t>
      </w:r>
      <w:r>
        <w:rPr>
          <w:rFonts w:cs="Arial" w:hint="cs"/>
          <w:rtl/>
        </w:rPr>
        <w:t>"</w:t>
      </w:r>
      <w:r w:rsidRPr="00EA23EC">
        <w:rPr>
          <w:rFonts w:cs="Arial"/>
          <w:rtl/>
        </w:rPr>
        <w:t>אחד הכותב כתובה בשטר ואחד שהעידו עליו עדים וקנו מידו ה"ז מותר</w:t>
      </w:r>
      <w:r>
        <w:rPr>
          <w:rFonts w:cs="Arial" w:hint="cs"/>
          <w:rtl/>
        </w:rPr>
        <w:t>",</w:t>
      </w:r>
      <w:r w:rsidRPr="00EA23EC">
        <w:rPr>
          <w:rFonts w:cs="Arial"/>
          <w:rtl/>
        </w:rPr>
        <w:t xml:space="preserve"> דמשמע בהדיא דסתם קנין אע</w:t>
      </w:r>
      <w:r>
        <w:rPr>
          <w:rFonts w:cs="Arial" w:hint="cs"/>
          <w:rtl/>
        </w:rPr>
        <w:t>"</w:t>
      </w:r>
      <w:r w:rsidRPr="00EA23EC">
        <w:rPr>
          <w:rFonts w:cs="Arial"/>
          <w:rtl/>
        </w:rPr>
        <w:t>פ שלא נכתב דינו שוה לכותב ממש ובשניהם מותר לגמרי</w:t>
      </w:r>
      <w:r>
        <w:rPr>
          <w:rFonts w:cs="Arial" w:hint="cs"/>
          <w:rtl/>
        </w:rPr>
        <w:t>.</w:t>
      </w:r>
      <w:r w:rsidRPr="00EA23EC">
        <w:rPr>
          <w:rFonts w:cs="Arial"/>
          <w:rtl/>
        </w:rPr>
        <w:t xml:space="preserve"> ולא כתב עד שיהיה לו פנאי לכתוב אלא בנתן לה מטלטלין כנגד כתובתה ומטעמא דפרישנא </w:t>
      </w:r>
      <w:r w:rsidRPr="00C24D84">
        <w:rPr>
          <w:rFonts w:cs="Arial" w:hint="cs"/>
          <w:sz w:val="16"/>
          <w:szCs w:val="16"/>
          <w:rtl/>
        </w:rPr>
        <w:t>(</w:t>
      </w:r>
      <w:r w:rsidRPr="00C24D84">
        <w:rPr>
          <w:rFonts w:cs="Arial"/>
          <w:sz w:val="16"/>
          <w:szCs w:val="16"/>
          <w:rtl/>
        </w:rPr>
        <w:t>וזה שלא כנראה מדברי רבינו שכתב בשם הרמב"ם על העידו עליו עדים וקנו מידו מותר עד שיהיה לו פנאי לכתוב לה ולא דק דעד שיהא לו פנאי לכתוב לא קאי אלא למתפיס מטלטלין אבל קנו מידו מותר אף על פי שיש לו פנאי וכמו שכתבתי ודבר פשוט הוא בעיני בדקדוק הבנת לשון הרמב"ם</w:t>
      </w:r>
      <w:r>
        <w:rPr>
          <w:rFonts w:cs="Arial" w:hint="cs"/>
          <w:sz w:val="16"/>
          <w:szCs w:val="16"/>
          <w:rtl/>
        </w:rPr>
        <w:t>)</w:t>
      </w:r>
      <w:r>
        <w:rPr>
          <w:rFonts w:cs="Arial" w:hint="cs"/>
          <w:rtl/>
        </w:rPr>
        <w:t>, ב"י.</w:t>
      </w:r>
    </w:p>
  </w:footnote>
  <w:footnote w:id="13">
    <w:p w14:paraId="3A57E4B6" w14:textId="633BDE53" w:rsidR="00311215" w:rsidRDefault="00311215">
      <w:pPr>
        <w:pStyle w:val="a5"/>
      </w:pPr>
      <w:r>
        <w:rPr>
          <w:rStyle w:val="a7"/>
        </w:rPr>
        <w:footnoteRef/>
      </w:r>
      <w:r>
        <w:rPr>
          <w:rtl/>
        </w:rPr>
        <w:t xml:space="preserve"> </w:t>
      </w:r>
      <w:r>
        <w:rPr>
          <w:rFonts w:hint="cs"/>
          <w:rtl/>
        </w:rPr>
        <w:t>צל"ע דהרי הרמב"ם לא כתב שאסור, אדרבה כתב שמותר להתפיס וכדו'.</w:t>
      </w:r>
    </w:p>
  </w:footnote>
  <w:footnote w:id="14">
    <w:p w14:paraId="04B69A60" w14:textId="77777777" w:rsidR="00D52B9F" w:rsidRPr="00351B7D" w:rsidRDefault="00D52B9F" w:rsidP="00D52B9F">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ועל כן סגי בעידי קנין, אבל במקום שכותבין אף דקנו מידו לא סמכה דעתה כי לא עליה מוטל הטורח וליתן שכר הסופר, גם שמא ימות בעלה פתאום ויטענו היורשים פרענו הכתובה וקרענוה, ח"מ (סק"ה).</w:t>
      </w:r>
      <w:r w:rsidRPr="00C26EDF">
        <w:rPr>
          <w:rFonts w:asciiTheme="minorBidi" w:hAnsiTheme="minorBidi"/>
          <w:rtl/>
        </w:rPr>
        <w:t xml:space="preserve"> </w:t>
      </w:r>
      <w:r w:rsidRPr="00351B7D">
        <w:rPr>
          <w:rFonts w:asciiTheme="minorBidi" w:hAnsiTheme="minorBidi"/>
          <w:rtl/>
        </w:rPr>
        <w:t>ו</w:t>
      </w:r>
      <w:r>
        <w:rPr>
          <w:rFonts w:asciiTheme="minorBidi" w:hAnsiTheme="minorBidi" w:hint="cs"/>
          <w:rtl/>
        </w:rPr>
        <w:t xml:space="preserve">גם </w:t>
      </w:r>
      <w:r w:rsidRPr="00351B7D">
        <w:rPr>
          <w:rFonts w:asciiTheme="minorBidi" w:hAnsiTheme="minorBidi"/>
          <w:rtl/>
        </w:rPr>
        <w:t xml:space="preserve">הגר"א (סק"ד) כ' </w:t>
      </w:r>
      <w:r>
        <w:rPr>
          <w:rFonts w:asciiTheme="minorBidi" w:hAnsiTheme="minorBidi" w:hint="cs"/>
          <w:rtl/>
        </w:rPr>
        <w:t>ש</w:t>
      </w:r>
      <w:r w:rsidRPr="00351B7D">
        <w:rPr>
          <w:rFonts w:asciiTheme="minorBidi" w:hAnsiTheme="minorBidi"/>
          <w:rtl/>
        </w:rPr>
        <w:t xml:space="preserve">הסמ"ג מפרש </w:t>
      </w:r>
      <w:r>
        <w:rPr>
          <w:rFonts w:asciiTheme="minorBidi" w:hAnsiTheme="minorBidi" w:hint="cs"/>
          <w:rtl/>
        </w:rPr>
        <w:t xml:space="preserve">את דברי </w:t>
      </w:r>
      <w:r w:rsidRPr="00443E38">
        <w:rPr>
          <w:rFonts w:asciiTheme="minorBidi" w:hAnsiTheme="minorBidi" w:cs="Arial"/>
          <w:rtl/>
        </w:rPr>
        <w:t>הרמב"ם דוקא במקום שאין כותבין כתובה</w:t>
      </w:r>
      <w:r>
        <w:rPr>
          <w:rFonts w:asciiTheme="minorBidi" w:hAnsiTheme="minorBidi" w:cs="Arial" w:hint="cs"/>
          <w:rtl/>
        </w:rPr>
        <w:t>.</w:t>
      </w:r>
    </w:p>
  </w:footnote>
  <w:footnote w:id="15">
    <w:p w14:paraId="6C4D0128" w14:textId="77777777" w:rsidR="00D52B9F" w:rsidRPr="00351B7D" w:rsidRDefault="00D52B9F" w:rsidP="00D52B9F">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סוף אות ד. וז"ל</w:t>
      </w:r>
      <w:r>
        <w:rPr>
          <w:rFonts w:asciiTheme="minorBidi" w:hAnsiTheme="minorBidi" w:hint="cs"/>
          <w:rtl/>
        </w:rPr>
        <w:t>:</w:t>
      </w:r>
      <w:r w:rsidRPr="00351B7D">
        <w:rPr>
          <w:rFonts w:asciiTheme="minorBidi" w:hAnsiTheme="minorBidi"/>
          <w:rtl/>
        </w:rPr>
        <w:t xml:space="preserve"> עכשיו שכותבין כתובה, עידי קנין אינן מועילין אפילו ליום או יומים, אבל התפסת מטלטלין מועיל ליום או יומים וכך נוהגין אפילו בשעת הדחק דאין סומכין אעידי קנין אלא בהתפסת מטלטלין, וכן כשנמצא הכתובה פסולה בעינן התפסת מטלטלין דוקא, וכך ראיתי מרבותי והכי נהוג.</w:t>
      </w:r>
    </w:p>
  </w:footnote>
  <w:footnote w:id="16">
    <w:p w14:paraId="28418F1D" w14:textId="77777777" w:rsidR="00313AB2" w:rsidRDefault="00313AB2" w:rsidP="00313AB2">
      <w:pPr>
        <w:pStyle w:val="a5"/>
        <w:rPr>
          <w:rtl/>
        </w:rPr>
      </w:pPr>
      <w:r>
        <w:rPr>
          <w:rStyle w:val="a7"/>
        </w:rPr>
        <w:footnoteRef/>
      </w:r>
      <w:r>
        <w:rPr>
          <w:rtl/>
        </w:rPr>
        <w:t xml:space="preserve"> </w:t>
      </w:r>
      <w:r w:rsidRPr="00A35E80">
        <w:rPr>
          <w:rFonts w:asciiTheme="minorBidi" w:hAnsiTheme="minorBidi" w:cs="Arial"/>
          <w:rtl/>
        </w:rPr>
        <w:t>ואע</w:t>
      </w:r>
      <w:r>
        <w:rPr>
          <w:rFonts w:asciiTheme="minorBidi" w:hAnsiTheme="minorBidi" w:cs="Arial" w:hint="cs"/>
          <w:rtl/>
        </w:rPr>
        <w:t>"</w:t>
      </w:r>
      <w:r w:rsidRPr="00A35E80">
        <w:rPr>
          <w:rFonts w:asciiTheme="minorBidi" w:hAnsiTheme="minorBidi" w:cs="Arial"/>
          <w:rtl/>
        </w:rPr>
        <w:t>ג שכתב המרדכי בריש כתובות (סי' קל) שסמך ריב"א על עידי הקנין ומשמע אפילו כשיש פנאי לכתוב</w:t>
      </w:r>
      <w:r>
        <w:rPr>
          <w:rFonts w:asciiTheme="minorBidi" w:hAnsiTheme="minorBidi" w:cs="Arial" w:hint="cs"/>
          <w:rtl/>
        </w:rPr>
        <w:t>,</w:t>
      </w:r>
      <w:r w:rsidRPr="00A35E80">
        <w:rPr>
          <w:rFonts w:asciiTheme="minorBidi" w:hAnsiTheme="minorBidi" w:cs="Arial"/>
          <w:rtl/>
        </w:rPr>
        <w:t xml:space="preserve"> גם הוא כתב בשם </w:t>
      </w:r>
      <w:r w:rsidRPr="00DE380C">
        <w:rPr>
          <w:rFonts w:asciiTheme="minorBidi" w:hAnsiTheme="minorBidi" w:cs="Arial"/>
          <w:rtl/>
        </w:rPr>
        <w:t>אביאסף והסמ"ג (שם</w:t>
      </w:r>
      <w:r w:rsidRPr="00DE380C">
        <w:rPr>
          <w:rFonts w:asciiTheme="minorBidi" w:hAnsiTheme="minorBidi" w:cs="Arial" w:hint="cs"/>
          <w:rtl/>
        </w:rPr>
        <w:t>,</w:t>
      </w:r>
      <w:r w:rsidRPr="00DE380C">
        <w:rPr>
          <w:rFonts w:asciiTheme="minorBidi" w:hAnsiTheme="minorBidi"/>
          <w:rtl/>
        </w:rPr>
        <w:t xml:space="preserve"> </w:t>
      </w:r>
      <w:r w:rsidRPr="00DE380C">
        <w:rPr>
          <w:rFonts w:asciiTheme="minorBidi" w:hAnsiTheme="minorBidi" w:hint="cs"/>
          <w:rtl/>
        </w:rPr>
        <w:t>ועי' בב"ח [אות ד] ד</w:t>
      </w:r>
      <w:r w:rsidRPr="00DE380C">
        <w:rPr>
          <w:rFonts w:asciiTheme="minorBidi" w:hAnsiTheme="minorBidi"/>
          <w:rtl/>
        </w:rPr>
        <w:t>ח</w:t>
      </w:r>
      <w:r w:rsidRPr="00DE380C">
        <w:rPr>
          <w:rFonts w:asciiTheme="minorBidi" w:hAnsiTheme="minorBidi" w:hint="cs"/>
          <w:rtl/>
        </w:rPr>
        <w:t>ו</w:t>
      </w:r>
      <w:r w:rsidRPr="00DE380C">
        <w:rPr>
          <w:rFonts w:asciiTheme="minorBidi" w:hAnsiTheme="minorBidi"/>
          <w:rtl/>
        </w:rPr>
        <w:t>לק בהבנת דברי המרדכי והאביאסף</w:t>
      </w:r>
      <w:r w:rsidRPr="00DE380C">
        <w:rPr>
          <w:rFonts w:asciiTheme="minorBidi" w:hAnsiTheme="minorBidi" w:cs="Arial"/>
          <w:rtl/>
        </w:rPr>
        <w:t>)</w:t>
      </w:r>
      <w:r w:rsidRPr="00A35E80">
        <w:rPr>
          <w:rFonts w:asciiTheme="minorBidi" w:hAnsiTheme="minorBidi" w:cs="Arial"/>
          <w:rtl/>
        </w:rPr>
        <w:t xml:space="preserve"> שאין לעשות כן אלא ע"י הדחק וכדפיר</w:t>
      </w:r>
      <w:r>
        <w:rPr>
          <w:rFonts w:asciiTheme="minorBidi" w:hAnsiTheme="minorBidi" w:cs="Arial" w:hint="cs"/>
          <w:rtl/>
        </w:rPr>
        <w:t>',</w:t>
      </w:r>
      <w:r w:rsidRPr="00A35E80">
        <w:rPr>
          <w:rFonts w:asciiTheme="minorBidi" w:hAnsiTheme="minorBidi" w:cs="Arial"/>
          <w:rtl/>
        </w:rPr>
        <w:t xml:space="preserve"> וכ"כ גם הרמב"ם וכ"כ הטור דבתראה הוא</w:t>
      </w:r>
      <w:r>
        <w:rPr>
          <w:rFonts w:asciiTheme="minorBidi" w:hAnsiTheme="minorBidi" w:cs="Arial" w:hint="cs"/>
          <w:rtl/>
        </w:rPr>
        <w:t>,</w:t>
      </w:r>
      <w:r w:rsidRPr="00A35E80">
        <w:rPr>
          <w:rFonts w:asciiTheme="minorBidi" w:hAnsiTheme="minorBidi" w:cs="Arial"/>
          <w:rtl/>
        </w:rPr>
        <w:t xml:space="preserve"> וכן ראוי לנהוג מאחר שרבים ואחרונים הסכימו לזה עכ"ל. ותמיהני עליו שכתב שדעת הרמב"ם היא שאין לסמוך על הקנין אלא ע"י הדחק וכשיהיה לו פנאי יכתוב</w:t>
      </w:r>
      <w:r>
        <w:rPr>
          <w:rFonts w:asciiTheme="minorBidi" w:hAnsiTheme="minorBidi" w:cs="Arial" w:hint="cs"/>
          <w:rtl/>
        </w:rPr>
        <w:t>,</w:t>
      </w:r>
      <w:r w:rsidRPr="00A35E80">
        <w:rPr>
          <w:rFonts w:asciiTheme="minorBidi" w:hAnsiTheme="minorBidi" w:cs="Arial"/>
          <w:rtl/>
        </w:rPr>
        <w:t xml:space="preserve"> והרי לשונו מוכיח בהדיא דכשקנו מידו דינו שוה לכתוב כתובה ממש וכמו שהוכחתי</w:t>
      </w:r>
      <w:r>
        <w:rPr>
          <w:rFonts w:asciiTheme="minorBidi" w:hAnsiTheme="minorBidi" w:cs="Arial" w:hint="cs"/>
          <w:rtl/>
        </w:rPr>
        <w:t>,</w:t>
      </w:r>
      <w:r w:rsidRPr="00A35E80">
        <w:rPr>
          <w:rFonts w:asciiTheme="minorBidi" w:hAnsiTheme="minorBidi" w:cs="Arial"/>
          <w:rtl/>
        </w:rPr>
        <w:t xml:space="preserve"> ואיפשר שנמשך אחר דעת רבינו בהבנת דברי הרמב"ם ולא דק</w:t>
      </w:r>
      <w:r>
        <w:rPr>
          <w:rFonts w:asciiTheme="minorBidi" w:hAnsiTheme="minorBidi" w:hint="cs"/>
          <w:rtl/>
        </w:rPr>
        <w:t xml:space="preserve">, </w:t>
      </w:r>
      <w:r w:rsidRPr="00F004CA">
        <w:rPr>
          <w:rFonts w:asciiTheme="minorBidi" w:hAnsiTheme="minorBidi" w:hint="cs"/>
          <w:b/>
          <w:bCs/>
          <w:rtl/>
        </w:rPr>
        <w:t>ב"י</w:t>
      </w:r>
      <w:r>
        <w:rPr>
          <w:rFonts w:asciiTheme="minorBidi" w:hAnsiTheme="minorBidi" w:hint="cs"/>
          <w:rtl/>
        </w:rPr>
        <w:t>.</w:t>
      </w:r>
      <w:r>
        <w:rPr>
          <w:rFonts w:hint="cs"/>
          <w:rtl/>
        </w:rPr>
        <w:t xml:space="preserve">     </w:t>
      </w:r>
      <w:r w:rsidRPr="00F004CA">
        <w:rPr>
          <w:rFonts w:cs="Arial"/>
          <w:rtl/>
        </w:rPr>
        <w:t>ו</w:t>
      </w:r>
      <w:r>
        <w:rPr>
          <w:rFonts w:cs="Arial" w:hint="cs"/>
          <w:rtl/>
        </w:rPr>
        <w:t xml:space="preserve">כתב </w:t>
      </w:r>
      <w:r w:rsidRPr="00F004CA">
        <w:rPr>
          <w:rFonts w:cs="Arial" w:hint="cs"/>
          <w:b/>
          <w:bCs/>
          <w:rtl/>
        </w:rPr>
        <w:t>הדרכ"מ</w:t>
      </w:r>
      <w:r>
        <w:rPr>
          <w:rFonts w:cs="Arial" w:hint="cs"/>
          <w:rtl/>
        </w:rPr>
        <w:t xml:space="preserve"> (אות ז*) ד</w:t>
      </w:r>
      <w:r w:rsidRPr="00F004CA">
        <w:rPr>
          <w:rFonts w:cs="Arial"/>
          <w:rtl/>
        </w:rPr>
        <w:t>אין דברי</w:t>
      </w:r>
      <w:r>
        <w:rPr>
          <w:rFonts w:cs="Arial" w:hint="cs"/>
          <w:rtl/>
        </w:rPr>
        <w:t xml:space="preserve"> הב"י</w:t>
      </w:r>
      <w:r w:rsidRPr="00F004CA">
        <w:rPr>
          <w:rFonts w:cs="Arial"/>
          <w:rtl/>
        </w:rPr>
        <w:t xml:space="preserve"> מוכרחין כלל</w:t>
      </w:r>
      <w:r>
        <w:rPr>
          <w:rFonts w:cs="Arial" w:hint="cs"/>
          <w:rtl/>
        </w:rPr>
        <w:t>.</w:t>
      </w:r>
    </w:p>
  </w:footnote>
  <w:footnote w:id="17">
    <w:p w14:paraId="41584ED5" w14:textId="77777777" w:rsidR="006D22F9" w:rsidRPr="00351B7D" w:rsidRDefault="006D22F9" w:rsidP="006D22F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כר' יוסי דחייש דלמא פחתי</w:t>
      </w:r>
      <w:r>
        <w:rPr>
          <w:rFonts w:asciiTheme="minorBidi" w:hAnsiTheme="minorBidi" w:hint="cs"/>
          <w:rtl/>
        </w:rPr>
        <w:t>,</w:t>
      </w:r>
      <w:r w:rsidRPr="00351B7D">
        <w:rPr>
          <w:rFonts w:asciiTheme="minorBidi" w:hAnsiTheme="minorBidi"/>
          <w:rtl/>
        </w:rPr>
        <w:t xml:space="preserve"> גר"א (סקי"ב).</w:t>
      </w:r>
    </w:p>
  </w:footnote>
  <w:footnote w:id="18">
    <w:p w14:paraId="73D51838" w14:textId="77777777" w:rsidR="006D22F9" w:rsidRPr="00351B7D" w:rsidRDefault="006D22F9" w:rsidP="006D22F9">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כן כתבו </w:t>
      </w:r>
      <w:r>
        <w:rPr>
          <w:rFonts w:asciiTheme="minorBidi" w:hAnsiTheme="minorBidi" w:hint="cs"/>
          <w:rtl/>
        </w:rPr>
        <w:t>ה</w:t>
      </w:r>
      <w:r w:rsidRPr="00351B7D">
        <w:rPr>
          <w:rFonts w:asciiTheme="minorBidi" w:hAnsiTheme="minorBidi"/>
          <w:rtl/>
        </w:rPr>
        <w:t xml:space="preserve">ח"מ (סקי"ב) </w:t>
      </w:r>
      <w:r>
        <w:rPr>
          <w:rFonts w:asciiTheme="minorBidi" w:hAnsiTheme="minorBidi" w:hint="cs"/>
          <w:rtl/>
        </w:rPr>
        <w:t>ה</w:t>
      </w:r>
      <w:r w:rsidRPr="00351B7D">
        <w:rPr>
          <w:rFonts w:asciiTheme="minorBidi" w:hAnsiTheme="minorBidi"/>
          <w:rtl/>
        </w:rPr>
        <w:t>ב"ש (סק"ח) והגר"א (סקי"ב) בהבנת דבריהם.</w:t>
      </w:r>
    </w:p>
  </w:footnote>
  <w:footnote w:id="19">
    <w:p w14:paraId="510F0A30" w14:textId="77777777" w:rsidR="006D22F9" w:rsidRPr="00351B7D" w:rsidRDefault="006D22F9" w:rsidP="006D22F9">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Pr>
          <w:rFonts w:asciiTheme="minorBidi" w:hAnsiTheme="minorBidi" w:hint="cs"/>
          <w:rtl/>
        </w:rPr>
        <w:t>נראה לי דוקא אם יזולו, אבל אם יפחתו כו"ע מודי דצריך לקבל עליו, וכת"ק בבריתא, רק מה שלא כתב כן הרמב"ם בפירוש הוא משום שכל ננכסיו בלא"ה אחראין וערבאין לכתובתה, וכמש"כ הה"מ שם. אבל לקבל עליו אחריות שמא יזולו, לזה לא חיישינן. אמנם</w:t>
      </w:r>
      <w:r w:rsidRPr="00351B7D">
        <w:rPr>
          <w:rFonts w:asciiTheme="minorBidi" w:hAnsiTheme="minorBidi"/>
          <w:rtl/>
        </w:rPr>
        <w:t xml:space="preserve"> הח"מ (סקי"ב) </w:t>
      </w:r>
      <w:r>
        <w:rPr>
          <w:rFonts w:asciiTheme="minorBidi" w:hAnsiTheme="minorBidi" w:hint="cs"/>
          <w:rtl/>
        </w:rPr>
        <w:t xml:space="preserve">כתב </w:t>
      </w:r>
      <w:r w:rsidRPr="00351B7D">
        <w:rPr>
          <w:rFonts w:asciiTheme="minorBidi" w:hAnsiTheme="minorBidi"/>
          <w:rtl/>
        </w:rPr>
        <w:t>דאע"ג דבכל אשה קי"ל דאם התפיסה צררי ונאבדו נאבדו לו כדאיתא ר"פ אעפ"י (כתובות נו:), יש לחלק בין התפסה זו שהיא רק לשעה להתפסה צררי דעלמא, דהתם יש לחוש שמא יאמר טלי כתובתך וצאי אם יהיו על אחריות שלה אבל בהתפסה זו שהיא רק לשעה לא חיישינן אפילו באחריות שלה.</w:t>
      </w:r>
      <w:r>
        <w:rPr>
          <w:rFonts w:asciiTheme="minorBidi" w:hAnsiTheme="minorBidi" w:hint="cs"/>
          <w:rtl/>
        </w:rPr>
        <w:t xml:space="preserve"> עכ"ל. משמע מדבריו דגם אחריות שמא יאבדו אין עליו. וצל"ע.</w:t>
      </w:r>
    </w:p>
  </w:footnote>
  <w:footnote w:id="20">
    <w:p w14:paraId="5E3C31A4" w14:textId="1547768D"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w:t>
      </w:r>
      <w:r w:rsidR="0017185B">
        <w:rPr>
          <w:rFonts w:asciiTheme="minorBidi" w:hAnsiTheme="minorBidi" w:hint="cs"/>
          <w:rtl/>
        </w:rPr>
        <w:t>תב</w:t>
      </w:r>
      <w:r w:rsidRPr="00351B7D">
        <w:rPr>
          <w:rFonts w:asciiTheme="minorBidi" w:hAnsiTheme="minorBidi"/>
          <w:rtl/>
        </w:rPr>
        <w:t xml:space="preserve"> הרשב"ש </w:t>
      </w:r>
      <w:r w:rsidR="004A6311">
        <w:rPr>
          <w:rFonts w:asciiTheme="minorBidi" w:hAnsiTheme="minorBidi" w:hint="cs"/>
          <w:rtl/>
        </w:rPr>
        <w:t xml:space="preserve">בר צמח </w:t>
      </w:r>
      <w:r w:rsidRPr="00351B7D">
        <w:rPr>
          <w:rFonts w:asciiTheme="minorBidi" w:hAnsiTheme="minorBidi"/>
          <w:rtl/>
        </w:rPr>
        <w:t>אפילו לדברי הרשב"א שמכשיר כתובה שנכתבה ביום ונחתמה בלילה היינו דוקא במנה ומאתים ולא בתוספת ולא בנדוניא</w:t>
      </w:r>
      <w:r w:rsidR="004A6311">
        <w:rPr>
          <w:rFonts w:asciiTheme="minorBidi" w:hAnsiTheme="minorBidi" w:hint="cs"/>
          <w:rtl/>
        </w:rPr>
        <w:t>, ב"י</w:t>
      </w:r>
      <w:r w:rsidRPr="00351B7D">
        <w:rPr>
          <w:rFonts w:asciiTheme="minorBidi" w:hAnsiTheme="minorBidi"/>
          <w:rtl/>
        </w:rPr>
        <w:t xml:space="preserve">. </w:t>
      </w:r>
      <w:r w:rsidRPr="004A6311">
        <w:rPr>
          <w:rFonts w:asciiTheme="minorBidi" w:hAnsiTheme="minorBidi"/>
          <w:rtl/>
        </w:rPr>
        <w:t>וכן מפורש בדברי הרשב"א שם</w:t>
      </w:r>
      <w:r w:rsidRPr="00351B7D">
        <w:rPr>
          <w:rFonts w:asciiTheme="minorBidi" w:hAnsiTheme="minorBidi"/>
          <w:rtl/>
        </w:rPr>
        <w:t xml:space="preserve">. וכ' הדרכ"מ </w:t>
      </w:r>
      <w:r w:rsidRPr="00351B7D">
        <w:rPr>
          <w:rFonts w:asciiTheme="minorBidi" w:hAnsiTheme="minorBidi"/>
          <w:sz w:val="16"/>
          <w:szCs w:val="16"/>
          <w:rtl/>
        </w:rPr>
        <w:t xml:space="preserve">(אות ג) </w:t>
      </w:r>
      <w:r w:rsidRPr="00351B7D">
        <w:rPr>
          <w:rFonts w:asciiTheme="minorBidi" w:hAnsiTheme="minorBidi"/>
          <w:rtl/>
        </w:rPr>
        <w:t>שכ"כ הוהג"א</w:t>
      </w:r>
      <w:r w:rsidRPr="00351B7D">
        <w:rPr>
          <w:rFonts w:asciiTheme="minorBidi" w:hAnsiTheme="minorBidi"/>
          <w:sz w:val="16"/>
          <w:szCs w:val="16"/>
          <w:rtl/>
        </w:rPr>
        <w:t xml:space="preserve"> (סי' ז)</w:t>
      </w:r>
      <w:r w:rsidRPr="00351B7D">
        <w:rPr>
          <w:rFonts w:asciiTheme="minorBidi" w:hAnsiTheme="minorBidi"/>
          <w:rtl/>
        </w:rPr>
        <w:t>.</w:t>
      </w:r>
    </w:p>
  </w:footnote>
  <w:footnote w:id="21">
    <w:p w14:paraId="261E5B49" w14:textId="79CF806F" w:rsidR="008A77C8" w:rsidRDefault="008A77C8">
      <w:pPr>
        <w:pStyle w:val="a5"/>
      </w:pPr>
      <w:r>
        <w:rPr>
          <w:rStyle w:val="a7"/>
        </w:rPr>
        <w:footnoteRef/>
      </w:r>
      <w:r>
        <w:rPr>
          <w:rtl/>
        </w:rPr>
        <w:t xml:space="preserve"> </w:t>
      </w:r>
      <w:r>
        <w:rPr>
          <w:rFonts w:hint="cs"/>
          <w:rtl/>
        </w:rPr>
        <w:t>וז"ל:</w:t>
      </w:r>
      <w:r w:rsidRPr="008A77C8">
        <w:rPr>
          <w:rtl/>
        </w:rPr>
        <w:t xml:space="preserve"> </w:t>
      </w:r>
      <w:r w:rsidRPr="008A77C8">
        <w:rPr>
          <w:rFonts w:cs="Arial"/>
          <w:rtl/>
        </w:rPr>
        <w:t>כתובה נכתבת ביום ונחתמת בלילה דכתובה כמעשה ב"ד דמיא ומשום איחתוני הוא וכיון דאיחתני להו גמר ומשעבד נפשיה, ומיהו דוקא עיקר כתובה הוא דאמרי' דהוי כמעשה ב"ד ונכתבת ביום ונחתמת בלילה אבל תוספת לא, ותדע דהתם בפ' אף על פי לא מני להא בהדי אינך כולהו, והדין נותן דמנה מאתים כיון שהקול יוצא שנכתבה כתובה הכל יודעין אם בתולה היא שכתובתה מאתים ואם אלמנה היא שכתובתה מנה אבל תוספת עדים הוא דמפקי קלא בסך הכתובה דיש כתובתה מרובה ויש כתובתה מועטת, ומיהו אם קנו ממנו בשעת כתיבה שפיר דמי דמשעת קנין שיעבד נפשיה</w:t>
      </w:r>
      <w:r>
        <w:rPr>
          <w:rFonts w:cs="Arial" w:hint="cs"/>
          <w:rtl/>
        </w:rPr>
        <w:t>.</w:t>
      </w:r>
    </w:p>
  </w:footnote>
  <w:footnote w:id="22">
    <w:p w14:paraId="696B7AAD" w14:textId="4A3F0A72" w:rsidR="00AA75D8" w:rsidRDefault="00AA75D8">
      <w:pPr>
        <w:pStyle w:val="a5"/>
      </w:pPr>
      <w:r>
        <w:rPr>
          <w:rStyle w:val="a7"/>
        </w:rPr>
        <w:footnoteRef/>
      </w:r>
      <w:r>
        <w:rPr>
          <w:rtl/>
        </w:rPr>
        <w:t xml:space="preserve"> </w:t>
      </w:r>
      <w:r>
        <w:rPr>
          <w:rFonts w:hint="cs"/>
          <w:rtl/>
        </w:rPr>
        <w:t>וז"ל:</w:t>
      </w:r>
      <w:r w:rsidRPr="00AA75D8">
        <w:rPr>
          <w:rFonts w:asciiTheme="minorBidi" w:hAnsiTheme="minorBidi" w:cs="Arial"/>
          <w:rtl/>
        </w:rPr>
        <w:t xml:space="preserve"> </w:t>
      </w:r>
      <w:r w:rsidRPr="008B08C5">
        <w:rPr>
          <w:rFonts w:asciiTheme="minorBidi" w:hAnsiTheme="minorBidi" w:cs="Arial"/>
          <w:rtl/>
        </w:rPr>
        <w:t>נהגו החזנים שכותבין הכתובות וכותבים מקום שילכו בהן שם למחר לעשות החופה שיחתמו שם העדים</w:t>
      </w:r>
      <w:r>
        <w:rPr>
          <w:rFonts w:asciiTheme="minorBidi" w:hAnsiTheme="minorBidi" w:cs="Arial" w:hint="cs"/>
          <w:rtl/>
        </w:rPr>
        <w:t>,</w:t>
      </w:r>
      <w:r w:rsidRPr="008B08C5">
        <w:rPr>
          <w:rFonts w:asciiTheme="minorBidi" w:hAnsiTheme="minorBidi" w:cs="Arial"/>
          <w:rtl/>
        </w:rPr>
        <w:t xml:space="preserve"> וקשה לרבינו יצחק לעשות כן לכתחילה מדאמר להו רב לספריה </w:t>
      </w:r>
      <w:r w:rsidRPr="00D22414">
        <w:rPr>
          <w:rFonts w:asciiTheme="minorBidi" w:hAnsiTheme="minorBidi" w:cs="Arial"/>
          <w:rtl/>
        </w:rPr>
        <w:t>(גיטין פ., ב</w:t>
      </w:r>
      <w:r>
        <w:rPr>
          <w:rFonts w:asciiTheme="minorBidi" w:hAnsiTheme="minorBidi" w:cs="Arial" w:hint="cs"/>
          <w:rtl/>
        </w:rPr>
        <w:t>"</w:t>
      </w:r>
      <w:r w:rsidRPr="00D22414">
        <w:rPr>
          <w:rFonts w:asciiTheme="minorBidi" w:hAnsiTheme="minorBidi" w:cs="Arial"/>
          <w:rtl/>
        </w:rPr>
        <w:t>ב קעב.)</w:t>
      </w:r>
      <w:r>
        <w:rPr>
          <w:rFonts w:asciiTheme="minorBidi" w:hAnsiTheme="minorBidi" w:cs="Arial" w:hint="cs"/>
          <w:rtl/>
        </w:rPr>
        <w:t xml:space="preserve"> </w:t>
      </w:r>
      <w:r w:rsidRPr="008B08C5">
        <w:rPr>
          <w:rFonts w:asciiTheme="minorBidi" w:hAnsiTheme="minorBidi" w:cs="Arial"/>
          <w:rtl/>
        </w:rPr>
        <w:t>כי יתביתו בשילי כתובו בשילי ו</w:t>
      </w:r>
      <w:r>
        <w:rPr>
          <w:rFonts w:asciiTheme="minorBidi" w:hAnsiTheme="minorBidi" w:cs="Arial" w:hint="cs"/>
          <w:rtl/>
        </w:rPr>
        <w:t>א</w:t>
      </w:r>
      <w:r w:rsidRPr="008B08C5">
        <w:rPr>
          <w:rFonts w:asciiTheme="minorBidi" w:hAnsiTheme="minorBidi" w:cs="Arial"/>
          <w:rtl/>
        </w:rPr>
        <w:t>ע</w:t>
      </w:r>
      <w:r>
        <w:rPr>
          <w:rFonts w:asciiTheme="minorBidi" w:hAnsiTheme="minorBidi" w:cs="Arial" w:hint="cs"/>
          <w:rtl/>
        </w:rPr>
        <w:t>"</w:t>
      </w:r>
      <w:r w:rsidRPr="008B08C5">
        <w:rPr>
          <w:rFonts w:asciiTheme="minorBidi" w:hAnsiTheme="minorBidi" w:cs="Arial"/>
          <w:rtl/>
        </w:rPr>
        <w:t>ג דמימסרי לכו מילי בהיני (ת</w:t>
      </w:r>
      <w:r>
        <w:rPr>
          <w:rFonts w:asciiTheme="minorBidi" w:hAnsiTheme="minorBidi" w:cs="Arial" w:hint="cs"/>
          <w:rtl/>
        </w:rPr>
        <w:t>ו</w:t>
      </w:r>
      <w:r w:rsidRPr="008B08C5">
        <w:rPr>
          <w:rFonts w:asciiTheme="minorBidi" w:hAnsiTheme="minorBidi" w:cs="Arial"/>
          <w:rtl/>
        </w:rPr>
        <w:t>ד"ה כי)</w:t>
      </w:r>
      <w:r>
        <w:rPr>
          <w:rFonts w:asciiTheme="minorBidi" w:hAnsiTheme="minorBidi" w:cs="Arial" w:hint="cs"/>
          <w:rtl/>
        </w:rPr>
        <w:t>.</w:t>
      </w:r>
    </w:p>
  </w:footnote>
  <w:footnote w:id="23">
    <w:p w14:paraId="46E8AABC"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פשיטא מי גריעה אשתו מיבמתו, רש"י.</w:t>
      </w:r>
    </w:p>
  </w:footnote>
  <w:footnote w:id="24">
    <w:p w14:paraId="66EAC297"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גבי יבמתו קאמרינן שלא ייחד לה מעות לפני שולחנו, רש"י.</w:t>
      </w:r>
    </w:p>
  </w:footnote>
  <w:footnote w:id="25">
    <w:p w14:paraId="573801F5"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כתובה האי יבם דליכתוב בה נכסים, רש"י.</w:t>
      </w:r>
    </w:p>
  </w:footnote>
  <w:footnote w:id="26">
    <w:p w14:paraId="1AAFEB73"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כבר, רש"י.</w:t>
      </w:r>
    </w:p>
  </w:footnote>
  <w:footnote w:id="27">
    <w:p w14:paraId="69E84D47"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שאני עתיד לקנות הלכך איכא איבה דלא סמכה דעתה שלא יאבדו המעות, רש"י.</w:t>
      </w:r>
    </w:p>
  </w:footnote>
  <w:footnote w:id="28">
    <w:p w14:paraId="13A8CA64" w14:textId="77777777" w:rsidR="000F16EB" w:rsidRPr="00351B7D" w:rsidRDefault="000F16EB" w:rsidP="000F16EB">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והמרדכי הזה קשה להולמו, ומצאתי במרדכי מוגה וז"ל</w:t>
      </w:r>
      <w:r>
        <w:rPr>
          <w:rFonts w:asciiTheme="minorBidi" w:hAnsiTheme="minorBidi" w:hint="cs"/>
          <w:rtl/>
        </w:rPr>
        <w:t>:</w:t>
      </w:r>
      <w:r w:rsidRPr="00351B7D">
        <w:rPr>
          <w:rFonts w:asciiTheme="minorBidi" w:hAnsiTheme="minorBidi"/>
          <w:rtl/>
        </w:rPr>
        <w:t xml:space="preserve"> ע"ז סמכו חכמים שמניחין לחתום הכתובה בני אדם שאינם יודעים לקרותה</w:t>
      </w:r>
      <w:r>
        <w:rPr>
          <w:rFonts w:asciiTheme="minorBidi" w:hAnsiTheme="minorBidi" w:hint="cs"/>
          <w:rtl/>
        </w:rPr>
        <w:t>,</w:t>
      </w:r>
      <w:r w:rsidRPr="00351B7D">
        <w:rPr>
          <w:rFonts w:asciiTheme="minorBidi" w:hAnsiTheme="minorBidi"/>
          <w:rtl/>
        </w:rPr>
        <w:t xml:space="preserve"> וטעמא משום שקראוהו חכמי הקהל ואיכא אימתא דציבורא לשקר וגם העדים כו'. וכן הוא בהג"א שם ד"ה ובכתובות שלנו כו'</w:t>
      </w:r>
      <w:r>
        <w:rPr>
          <w:rFonts w:asciiTheme="minorBidi" w:hAnsiTheme="minorBidi" w:hint="cs"/>
          <w:rtl/>
        </w:rPr>
        <w:t>.</w:t>
      </w:r>
      <w:r w:rsidRPr="00351B7D">
        <w:rPr>
          <w:rFonts w:asciiTheme="minorBidi" w:hAnsiTheme="minorBidi"/>
          <w:rtl/>
        </w:rPr>
        <w:t xml:space="preserve"> ומ"מ סוף דברי המרדכי איני יכול להולמו מאי מיחזי כשיקרא איכא</w:t>
      </w:r>
      <w:r>
        <w:rPr>
          <w:rFonts w:asciiTheme="minorBidi" w:hAnsiTheme="minorBidi" w:hint="cs"/>
          <w:rtl/>
        </w:rPr>
        <w:t>,</w:t>
      </w:r>
      <w:r w:rsidRPr="00351B7D">
        <w:rPr>
          <w:rFonts w:asciiTheme="minorBidi" w:hAnsiTheme="minorBidi"/>
          <w:rtl/>
        </w:rPr>
        <w:t xml:space="preserve"> וכי בלא קנין אינם יכולים לחתום</w:t>
      </w:r>
      <w:r>
        <w:rPr>
          <w:rFonts w:asciiTheme="minorBidi" w:hAnsiTheme="minorBidi" w:hint="cs"/>
          <w:rtl/>
        </w:rPr>
        <w:t>.</w:t>
      </w:r>
      <w:r w:rsidRPr="00351B7D">
        <w:rPr>
          <w:rFonts w:asciiTheme="minorBidi" w:hAnsiTheme="minorBidi"/>
          <w:rtl/>
        </w:rPr>
        <w:t xml:space="preserve"> לא מיבעיא לדעת רב האי בסע' ח' דא"צ קניין</w:t>
      </w:r>
      <w:r>
        <w:rPr>
          <w:rFonts w:asciiTheme="minorBidi" w:hAnsiTheme="minorBidi" w:hint="cs"/>
          <w:rtl/>
        </w:rPr>
        <w:t>,</w:t>
      </w:r>
      <w:r w:rsidRPr="00351B7D">
        <w:rPr>
          <w:rFonts w:asciiTheme="minorBidi" w:hAnsiTheme="minorBidi"/>
          <w:rtl/>
        </w:rPr>
        <w:t xml:space="preserve"> אלא אפילו לדעת החולקים מ"מ כיון שאמר להם כתובו וחתומו ודאי א"צ דלא גרע משאר מתנה, וכמ"ש בר"פ אף על פי ושאר מקומות, ואפשר לדחוק דלא אמר להם כתובו וחתומו וצ"ל דקנין לאו דוקא, וצ"ע</w:t>
      </w:r>
      <w:r>
        <w:rPr>
          <w:rFonts w:asciiTheme="minorBidi" w:hAnsiTheme="minorBidi" w:hint="cs"/>
          <w:rtl/>
        </w:rPr>
        <w:t>,</w:t>
      </w:r>
      <w:r w:rsidRPr="0055726C">
        <w:rPr>
          <w:rFonts w:asciiTheme="minorBidi" w:hAnsiTheme="minorBidi"/>
          <w:rtl/>
        </w:rPr>
        <w:t xml:space="preserve"> </w:t>
      </w:r>
      <w:r w:rsidRPr="00351B7D">
        <w:rPr>
          <w:rFonts w:asciiTheme="minorBidi" w:hAnsiTheme="minorBidi"/>
          <w:rtl/>
        </w:rPr>
        <w:t>גר"א</w:t>
      </w:r>
      <w:r w:rsidRPr="00351B7D">
        <w:rPr>
          <w:rFonts w:asciiTheme="minorBidi" w:hAnsiTheme="minorBidi"/>
          <w:sz w:val="16"/>
          <w:szCs w:val="16"/>
          <w:rtl/>
        </w:rPr>
        <w:t xml:space="preserve"> </w:t>
      </w:r>
      <w:r w:rsidRPr="0055726C">
        <w:rPr>
          <w:rFonts w:asciiTheme="minorBidi" w:hAnsiTheme="minorBidi"/>
          <w:rtl/>
        </w:rPr>
        <w:t>(סק"ט)</w:t>
      </w:r>
      <w:r w:rsidRPr="00351B7D">
        <w:rPr>
          <w:rFonts w:asciiTheme="minorBidi" w:hAnsiTheme="minorBidi"/>
          <w:rtl/>
        </w:rPr>
        <w:t>.</w:t>
      </w:r>
    </w:p>
  </w:footnote>
  <w:footnote w:id="29">
    <w:p w14:paraId="4D690969" w14:textId="77777777" w:rsidR="000F16EB" w:rsidRPr="00351B7D" w:rsidRDefault="000F16EB" w:rsidP="000F16EB">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ולאו שפיר עבדי, מ"מ כיון דנהגו נהגו ואין למחות בידם שלא להוציא לעז על כתובות הראשונות</w:t>
      </w:r>
      <w:r>
        <w:rPr>
          <w:rFonts w:asciiTheme="minorBidi" w:hAnsiTheme="minorBidi" w:hint="cs"/>
          <w:rtl/>
        </w:rPr>
        <w:t>,</w:t>
      </w:r>
      <w:r w:rsidRPr="00A87ADA">
        <w:rPr>
          <w:rFonts w:asciiTheme="minorBidi" w:hAnsiTheme="minorBidi"/>
          <w:rtl/>
        </w:rPr>
        <w:t xml:space="preserve"> </w:t>
      </w:r>
      <w:r w:rsidRPr="00351B7D">
        <w:rPr>
          <w:rFonts w:asciiTheme="minorBidi" w:hAnsiTheme="minorBidi"/>
          <w:rtl/>
        </w:rPr>
        <w:t>דרכ"מ (אות ג)</w:t>
      </w:r>
      <w:r>
        <w:rPr>
          <w:rFonts w:asciiTheme="minorBidi" w:hAnsiTheme="minorBidi" w:hint="cs"/>
          <w:rtl/>
        </w:rPr>
        <w:t>.</w:t>
      </w:r>
    </w:p>
  </w:footnote>
  <w:footnote w:id="30">
    <w:p w14:paraId="107D3EB8"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 מן הטעמים שכתב הר"ן שהיא לא תשמע לו מפני שהיא יודעת שהיא קלה בעיניו להוציאה, ע"כ טוב להודיע לה זה אם מתייחד עמה בלא כתובה, ח"מ (סק"ב).</w:t>
      </w:r>
    </w:p>
  </w:footnote>
  <w:footnote w:id="31">
    <w:p w14:paraId="2FDBC581" w14:textId="1ADD1165"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הנה לרמב"ם נמי בדיעבד הוי חופה אם לא כ' כתובה, כמ"ש המגיד פ"י</w:t>
      </w:r>
      <w:r w:rsidR="00454CA6">
        <w:rPr>
          <w:rFonts w:asciiTheme="minorBidi" w:hAnsiTheme="minorBidi" w:hint="cs"/>
          <w:rtl/>
        </w:rPr>
        <w:t>,</w:t>
      </w:r>
      <w:r w:rsidRPr="00351B7D">
        <w:rPr>
          <w:rFonts w:asciiTheme="minorBidi" w:hAnsiTheme="minorBidi"/>
          <w:rtl/>
        </w:rPr>
        <w:t xml:space="preserve"> ול</w:t>
      </w:r>
      <w:r w:rsidR="00454CA6">
        <w:rPr>
          <w:rFonts w:asciiTheme="minorBidi" w:hAnsiTheme="minorBidi" w:hint="cs"/>
          <w:rtl/>
        </w:rPr>
        <w:t>א דמי</w:t>
      </w:r>
      <w:r w:rsidRPr="00351B7D">
        <w:rPr>
          <w:rFonts w:asciiTheme="minorBidi" w:hAnsiTheme="minorBidi"/>
          <w:rtl/>
        </w:rPr>
        <w:t xml:space="preserve"> לנדה, כמ"ש הר"ן ריש כתובות, אלא להרמב"ם צריך לכתוב כתובה קודם החופה כדי שאל יחסר שום דבר אפילו דבר שהוא מדרבנן, אבל להר"</w:t>
      </w:r>
      <w:r w:rsidR="001F5696">
        <w:rPr>
          <w:rFonts w:asciiTheme="minorBidi" w:hAnsiTheme="minorBidi" w:hint="cs"/>
          <w:rtl/>
        </w:rPr>
        <w:t>ן</w:t>
      </w:r>
      <w:r w:rsidRPr="00351B7D">
        <w:rPr>
          <w:rFonts w:asciiTheme="minorBidi" w:hAnsiTheme="minorBidi"/>
          <w:rtl/>
        </w:rPr>
        <w:t xml:space="preserve"> עושין חופה אפילו לכתחלה בלא כתובה, ב"ש (סי' סא סק"ג).</w:t>
      </w:r>
    </w:p>
  </w:footnote>
  <w:footnote w:id="32">
    <w:p w14:paraId="1D34A33B"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מפני שהוא טובה שלו שע"י הכתובה מותר לו לבא עליה, ובגמרא</w:t>
      </w:r>
      <w:r w:rsidRPr="00351B7D">
        <w:rPr>
          <w:rFonts w:asciiTheme="minorBidi" w:hAnsiTheme="minorBidi"/>
          <w:sz w:val="16"/>
          <w:szCs w:val="16"/>
          <w:rtl/>
        </w:rPr>
        <w:t xml:space="preserve"> (ב"ב קסח.)</w:t>
      </w:r>
      <w:r w:rsidRPr="00351B7D">
        <w:rPr>
          <w:rFonts w:asciiTheme="minorBidi" w:hAnsiTheme="minorBidi"/>
          <w:rtl/>
        </w:rPr>
        <w:t xml:space="preserve"> אמרו אפי' הבעל ת"ח, ח"מ (סק"ג).</w:t>
      </w:r>
    </w:p>
  </w:footnote>
  <w:footnote w:id="33">
    <w:p w14:paraId="0766DF36"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כלומר בין שיתן לה המעות לידה שתצניע בבית אביה או בבית חמיה כדאיתא בגמרא שתקנו' שמעון בן שטח שיהא כותב לה כל נכסי אחראין לכתובתך כדי שלא יאמר לה בכעסו טלי כתובתך וצאי, ח"מ (סק"ד).</w:t>
      </w:r>
    </w:p>
  </w:footnote>
  <w:footnote w:id="34">
    <w:p w14:paraId="108DC6C1" w14:textId="2DF1087D"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אבל אם מיחד לה קרקע מותר, רמ"א (בשו"ת סי' צג, הביאו הבאה"ט סק"ד).</w:t>
      </w:r>
    </w:p>
  </w:footnote>
  <w:footnote w:id="35">
    <w:p w14:paraId="2A0E8D11" w14:textId="1883B8BC"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וכ' ישועות יעקב</w:t>
      </w:r>
      <w:r w:rsidRPr="00351B7D">
        <w:rPr>
          <w:rFonts w:asciiTheme="minorBidi" w:hAnsiTheme="minorBidi"/>
          <w:sz w:val="16"/>
          <w:szCs w:val="16"/>
          <w:rtl/>
        </w:rPr>
        <w:t xml:space="preserve"> (סק"ב, הביאו הפת"ש סק"א)</w:t>
      </w:r>
      <w:r w:rsidRPr="00351B7D">
        <w:rPr>
          <w:rFonts w:asciiTheme="minorBidi" w:hAnsiTheme="minorBidi"/>
          <w:rtl/>
        </w:rPr>
        <w:t xml:space="preserve"> דאם בשעה שקיבל בקנין היה פנאי לכתוב והיה בכח האשה לבקש מהעדים שיכתבו לה דהא קיי"ל קנו מיניה לא צריך אימלוכי ביה</w:t>
      </w:r>
      <w:r w:rsidR="00BD49B6">
        <w:rPr>
          <w:rFonts w:asciiTheme="minorBidi" w:hAnsiTheme="minorBidi" w:hint="cs"/>
          <w:rtl/>
        </w:rPr>
        <w:t xml:space="preserve"> </w:t>
      </w:r>
      <w:r w:rsidRPr="00351B7D">
        <w:rPr>
          <w:rFonts w:asciiTheme="minorBidi" w:hAnsiTheme="minorBidi"/>
          <w:rtl/>
        </w:rPr>
        <w:t>- מהני הקנין ואף שלא הלכה האשה לבקש מהעדים, היא גופא ראיה דסמכא דעתה, ולכן מהני הקנין כמו כתיבה אף בלא שעת הדחק, וכדעת הב"י, משא"כ אם באותו עת שקיבל בקנין לא היה אפשר לכתוב כגון בשבת או שאין פנאי לכתוב בזה אמרינן דלא סמכה דעתה בקנין ולא מהני רק כמו התפסת מטלטלין דלא מהני רק בשעה"ד.</w:t>
      </w:r>
    </w:p>
  </w:footnote>
  <w:footnote w:id="36">
    <w:p w14:paraId="0B468C70"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נראה דאף אם יש להערב קבלן פיצוי מן הבעל ונמצא דלא תהא קלה בעיניו להוציאה דהא מיד כשיוציאה תתבע האשה את הקבלן והקבלן יתבע אותו שיפצה אותו, והיה ראוי לדמות זה למכרה כתובתה לאחר שיתבאר בסמוך סעיף ה', מ"מ יש לחלק דהכא גרע טפי דהא מעולם לא היה לה שעבוד על בעלה, דומה לזה כתבו הפוסקים ובתוכם הרא"ש (ב"ק) פ' החובל ס"ק ט' דאם יכתוב הכתובה בשם הקונה הוי כמשהה אשתו בלא כתובה אף שאינה קלה בעיניו להוציאה, ח"מ</w:t>
      </w:r>
      <w:r w:rsidRPr="00351B7D">
        <w:rPr>
          <w:rFonts w:asciiTheme="minorBidi" w:hAnsiTheme="minorBidi"/>
          <w:sz w:val="16"/>
          <w:szCs w:val="16"/>
          <w:rtl/>
        </w:rPr>
        <w:t xml:space="preserve"> (סק"ז) </w:t>
      </w:r>
      <w:r w:rsidRPr="00351B7D">
        <w:rPr>
          <w:rFonts w:asciiTheme="minorBidi" w:hAnsiTheme="minorBidi"/>
          <w:rtl/>
        </w:rPr>
        <w:t>ב"ש</w:t>
      </w:r>
      <w:r w:rsidRPr="00351B7D">
        <w:rPr>
          <w:rFonts w:asciiTheme="minorBidi" w:hAnsiTheme="minorBidi"/>
          <w:sz w:val="16"/>
          <w:szCs w:val="16"/>
          <w:rtl/>
        </w:rPr>
        <w:t xml:space="preserve"> (סק"ה) </w:t>
      </w:r>
      <w:r w:rsidRPr="00351B7D">
        <w:rPr>
          <w:rFonts w:asciiTheme="minorBidi" w:hAnsiTheme="minorBidi"/>
          <w:rtl/>
        </w:rPr>
        <w:t>ובאה"ט</w:t>
      </w:r>
      <w:r w:rsidRPr="00351B7D">
        <w:rPr>
          <w:rFonts w:asciiTheme="minorBidi" w:hAnsiTheme="minorBidi"/>
          <w:sz w:val="16"/>
          <w:szCs w:val="16"/>
          <w:rtl/>
        </w:rPr>
        <w:t xml:space="preserve"> (סק"ו)</w:t>
      </w:r>
      <w:r w:rsidRPr="00351B7D">
        <w:rPr>
          <w:rFonts w:asciiTheme="minorBidi" w:hAnsiTheme="minorBidi"/>
          <w:rtl/>
        </w:rPr>
        <w:t>.</w:t>
      </w:r>
    </w:p>
  </w:footnote>
  <w:footnote w:id="37">
    <w:p w14:paraId="2867E076"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כלומר אפילו בחול אם שכח לכותבה ונזכר לאחר שנתייחד עמה בלילה וקשה לשלוח אחר סופר ועדים בלילה, ח"מ (סק"י).</w:t>
      </w:r>
    </w:p>
  </w:footnote>
  <w:footnote w:id="38">
    <w:p w14:paraId="341AD97F" w14:textId="675895AE"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כלומר כפי סך כתובתה מדאורייתא כאשר יתבאר בסמוך סע' ו'. והר"ן הקשה הא אסור למיכנס אלמנה בשבת כדי שלא יהא נראה כקונה קנין בשבת וא"כ איך צוה להתפיסה מטלטלין בשבת הא הוי כקונה קנין בשבת</w:t>
      </w:r>
      <w:r w:rsidR="00C1468F">
        <w:rPr>
          <w:rFonts w:asciiTheme="minorBidi" w:hAnsiTheme="minorBidi" w:hint="cs"/>
          <w:rtl/>
        </w:rPr>
        <w:t>.</w:t>
      </w:r>
      <w:r w:rsidRPr="00351B7D">
        <w:rPr>
          <w:rFonts w:asciiTheme="minorBidi" w:hAnsiTheme="minorBidi"/>
          <w:rtl/>
        </w:rPr>
        <w:t xml:space="preserve"> ויש לחלק בין נשואין דהוי מילי דפרהסיא להתפסת מטלטלין דלא הוי בפרהסיא</w:t>
      </w:r>
      <w:r w:rsidR="00C1468F">
        <w:rPr>
          <w:rFonts w:asciiTheme="minorBidi" w:hAnsiTheme="minorBidi" w:hint="cs"/>
          <w:rtl/>
        </w:rPr>
        <w:t>.</w:t>
      </w:r>
      <w:r w:rsidRPr="00351B7D">
        <w:rPr>
          <w:rFonts w:asciiTheme="minorBidi" w:hAnsiTheme="minorBidi"/>
          <w:rtl/>
        </w:rPr>
        <w:t xml:space="preserve"> א"נ מבע"י מיירי והיה שהות ביום לה להתפיסה מטלטלין ולא לכתוב לה כתובה עכ"ל הר"ן, ח"מ (סקי"א).</w:t>
      </w:r>
    </w:p>
  </w:footnote>
  <w:footnote w:id="39">
    <w:p w14:paraId="2253E8B9" w14:textId="227440EE" w:rsidR="005917A4" w:rsidRDefault="005917A4">
      <w:pPr>
        <w:pStyle w:val="a5"/>
        <w:rPr>
          <w:rtl/>
        </w:rPr>
      </w:pPr>
      <w:r>
        <w:rPr>
          <w:rStyle w:val="a7"/>
        </w:rPr>
        <w:footnoteRef/>
      </w:r>
      <w:r>
        <w:rPr>
          <w:rtl/>
        </w:rPr>
        <w:t xml:space="preserve"> </w:t>
      </w:r>
      <w:r>
        <w:rPr>
          <w:rFonts w:hint="cs"/>
          <w:rtl/>
        </w:rPr>
        <w:t>סימן - נאבד דף, נכתוב נוספת.</w:t>
      </w:r>
    </w:p>
  </w:footnote>
  <w:footnote w:id="40">
    <w:p w14:paraId="0516B3AF"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אף על פי שלא נתקבלה מוחלת וכותבת בלשון שובר, רש"י.</w:t>
      </w:r>
    </w:p>
  </w:footnote>
  <w:footnote w:id="41">
    <w:p w14:paraId="52F7EC2F"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אבד שטר כתובתה.</w:t>
      </w:r>
    </w:p>
  </w:footnote>
  <w:footnote w:id="42">
    <w:p w14:paraId="0C2C95FA"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דאמר לעיל כל הפוחת לבתולה ממאתים, ואפי' בתנאה והתנאי בטל, קרי לה בעילת זנות משום דלא סמכא דעתה, והכא נמי לר"מ הוא דאסור לשהות אשה שאבדה שטר כתובתה ואפי' אית לה דלא מפסדא בהכי דגביא בתנאי ב"ד מיהא לא סמכא דעתה דאמרה כי תבענא ליה אמר פרעתיך הלכך בעילת זנות היא, רש"י. </w:t>
      </w:r>
    </w:p>
  </w:footnote>
  <w:footnote w:id="43">
    <w:p w14:paraId="25825590"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דלית לן למיחש משום מסמך דעתא דתיהוי בעילת זנות, רש"י.</w:t>
      </w:r>
    </w:p>
  </w:footnote>
  <w:footnote w:id="44">
    <w:p w14:paraId="14194291"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בדבר שהוא מחמיר על דבר תורה באיסור והיתר על ידי גזירת דבריהם, רש"י.</w:t>
      </w:r>
    </w:p>
  </w:footnote>
  <w:footnote w:id="45">
    <w:p w14:paraId="281B7291" w14:textId="51B8D0B4"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כתובה אחריתי</w:t>
      </w:r>
      <w:r w:rsidR="00B644C5">
        <w:rPr>
          <w:rFonts w:asciiTheme="minorBidi" w:hAnsiTheme="minorBidi" w:hint="cs"/>
          <w:rtl/>
        </w:rPr>
        <w:t>.</w:t>
      </w:r>
      <w:r w:rsidRPr="00351B7D">
        <w:rPr>
          <w:rFonts w:asciiTheme="minorBidi" w:hAnsiTheme="minorBidi"/>
          <w:rtl/>
        </w:rPr>
        <w:t xml:space="preserve"> והא דאמרינן לעיל (נא</w:t>
      </w:r>
      <w:r w:rsidR="00B644C5">
        <w:rPr>
          <w:rFonts w:asciiTheme="minorBidi" w:hAnsiTheme="minorBidi" w:hint="cs"/>
          <w:rtl/>
        </w:rPr>
        <w:t>.</w:t>
      </w:r>
      <w:r w:rsidRPr="00351B7D">
        <w:rPr>
          <w:rFonts w:asciiTheme="minorBidi" w:hAnsiTheme="minorBidi"/>
          <w:rtl/>
        </w:rPr>
        <w:t>) לא כתב לה כתובה בתולה גובה מאתים</w:t>
      </w:r>
      <w:r w:rsidR="00B644C5">
        <w:rPr>
          <w:rFonts w:asciiTheme="minorBidi" w:hAnsiTheme="minorBidi" w:hint="cs"/>
          <w:rtl/>
        </w:rPr>
        <w:t>,</w:t>
      </w:r>
      <w:r w:rsidRPr="00351B7D">
        <w:rPr>
          <w:rFonts w:asciiTheme="minorBidi" w:hAnsiTheme="minorBidi"/>
          <w:rtl/>
        </w:rPr>
        <w:t xml:space="preserve"> ואוקמינן כר"מ</w:t>
      </w:r>
      <w:r w:rsidR="00B644C5">
        <w:rPr>
          <w:rFonts w:asciiTheme="minorBidi" w:hAnsiTheme="minorBidi" w:hint="cs"/>
          <w:rtl/>
        </w:rPr>
        <w:t>,</w:t>
      </w:r>
      <w:r w:rsidRPr="00351B7D">
        <w:rPr>
          <w:rFonts w:asciiTheme="minorBidi" w:hAnsiTheme="minorBidi"/>
          <w:rtl/>
        </w:rPr>
        <w:t xml:space="preserve"> התם במקום שאין כותבין כתובה</w:t>
      </w:r>
      <w:r w:rsidR="00B644C5">
        <w:rPr>
          <w:rFonts w:asciiTheme="minorBidi" w:hAnsiTheme="minorBidi" w:hint="cs"/>
          <w:rtl/>
        </w:rPr>
        <w:t>,</w:t>
      </w:r>
      <w:r w:rsidRPr="00351B7D">
        <w:rPr>
          <w:rFonts w:asciiTheme="minorBidi" w:hAnsiTheme="minorBidi"/>
          <w:rtl/>
        </w:rPr>
        <w:t xml:space="preserve"> דכולהו אתנאי קא סמכי</w:t>
      </w:r>
      <w:r w:rsidR="00B644C5">
        <w:rPr>
          <w:rFonts w:asciiTheme="minorBidi" w:hAnsiTheme="minorBidi" w:hint="cs"/>
          <w:rtl/>
        </w:rPr>
        <w:t>.</w:t>
      </w:r>
      <w:r w:rsidRPr="00351B7D">
        <w:rPr>
          <w:rFonts w:asciiTheme="minorBidi" w:hAnsiTheme="minorBidi"/>
          <w:rtl/>
        </w:rPr>
        <w:t xml:space="preserve"> אי נמי במקום שכותבין וגובה לר"מ</w:t>
      </w:r>
      <w:r w:rsidR="00A72A70">
        <w:rPr>
          <w:rFonts w:asciiTheme="minorBidi" w:hAnsiTheme="minorBidi" w:hint="cs"/>
          <w:rtl/>
        </w:rPr>
        <w:t>,</w:t>
      </w:r>
      <w:r w:rsidRPr="00351B7D">
        <w:rPr>
          <w:rFonts w:asciiTheme="minorBidi" w:hAnsiTheme="minorBidi"/>
          <w:rtl/>
        </w:rPr>
        <w:t xml:space="preserve"> מיהו בעילת זנות באיסור היא, רש"י.</w:t>
      </w:r>
    </w:p>
  </w:footnote>
  <w:footnote w:id="46">
    <w:p w14:paraId="1F804227" w14:textId="7C5C6E3B" w:rsidR="00723C6E" w:rsidRDefault="00723C6E">
      <w:pPr>
        <w:pStyle w:val="a5"/>
      </w:pPr>
      <w:r>
        <w:rPr>
          <w:rStyle w:val="a7"/>
        </w:rPr>
        <w:footnoteRef/>
      </w:r>
      <w:r>
        <w:rPr>
          <w:rtl/>
        </w:rPr>
        <w:t xml:space="preserve"> </w:t>
      </w:r>
      <w:r>
        <w:rPr>
          <w:rFonts w:hint="cs"/>
          <w:rtl/>
        </w:rPr>
        <w:t xml:space="preserve">סימן - פגיעתן </w:t>
      </w:r>
      <w:r w:rsidR="00BB5613">
        <w:rPr>
          <w:rFonts w:hint="cs"/>
          <w:rtl/>
        </w:rPr>
        <w:t>ט</w:t>
      </w:r>
      <w:r w:rsidR="00FE530F">
        <w:rPr>
          <w:rFonts w:hint="cs"/>
          <w:rtl/>
        </w:rPr>
        <w:t>ובה</w:t>
      </w:r>
      <w:r w:rsidR="005917A4">
        <w:rPr>
          <w:rFonts w:hint="cs"/>
          <w:rtl/>
        </w:rPr>
        <w:t xml:space="preserve"> (להם).</w:t>
      </w:r>
    </w:p>
  </w:footnote>
  <w:footnote w:id="47">
    <w:p w14:paraId="6F119FC2" w14:textId="77777777" w:rsidR="00ED63F8" w:rsidRPr="00351B7D" w:rsidRDefault="00ED63F8" w:rsidP="00ED63F8">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אשה המוכרת כתובתה לאחרים בטובת הנאה והדמים שלה הן ואין לבעל בהן כלום, רש"י.</w:t>
      </w:r>
    </w:p>
  </w:footnote>
  <w:footnote w:id="48">
    <w:p w14:paraId="6FF76D6F" w14:textId="254596A3" w:rsidR="00A2527D" w:rsidRPr="00A2527D" w:rsidRDefault="00A2527D">
      <w:pPr>
        <w:pStyle w:val="a5"/>
      </w:pPr>
      <w:r w:rsidRPr="00A2527D">
        <w:rPr>
          <w:rStyle w:val="a7"/>
        </w:rPr>
        <w:footnoteRef/>
      </w:r>
      <w:r w:rsidRPr="00A2527D">
        <w:rPr>
          <w:rtl/>
        </w:rPr>
        <w:t xml:space="preserve"> </w:t>
      </w:r>
      <w:r w:rsidRPr="00A2527D">
        <w:rPr>
          <w:rFonts w:asciiTheme="minorBidi" w:hAnsiTheme="minorBidi" w:hint="cs"/>
          <w:rtl/>
        </w:rPr>
        <w:t>ועיין ב</w:t>
      </w:r>
      <w:r w:rsidRPr="00A2527D">
        <w:rPr>
          <w:rFonts w:asciiTheme="minorBidi" w:hAnsiTheme="minorBidi"/>
          <w:rtl/>
        </w:rPr>
        <w:t>רשב"א (ח"א סי' תשח</w:t>
      </w:r>
      <w:r w:rsidRPr="00A2527D">
        <w:rPr>
          <w:rFonts w:asciiTheme="minorBidi" w:hAnsiTheme="minorBidi" w:hint="cs"/>
          <w:rtl/>
        </w:rPr>
        <w:t>) דגם כן משמע מינה הכי. אך עיין בדרכ"מ (אות יט</w:t>
      </w:r>
      <w:r w:rsidRPr="00A2527D">
        <w:rPr>
          <w:rFonts w:asciiTheme="minorBidi" w:hAnsiTheme="minorBidi"/>
          <w:rtl/>
        </w:rPr>
        <w:t>)</w:t>
      </w:r>
      <w:r w:rsidRPr="00A2527D">
        <w:rPr>
          <w:rFonts w:asciiTheme="minorBidi" w:hAnsiTheme="minorBidi" w:hint="cs"/>
          <w:rtl/>
        </w:rPr>
        <w:t xml:space="preserve"> דנראה מדבריו שהבין אחרת בדברי הרשב"א.</w:t>
      </w:r>
    </w:p>
  </w:footnote>
  <w:footnote w:id="49">
    <w:p w14:paraId="4C25AA8C" w14:textId="64DD88A4" w:rsidR="0010757A" w:rsidRPr="00351B7D" w:rsidRDefault="0010757A" w:rsidP="0010757A">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וז"ל</w:t>
      </w:r>
      <w:r>
        <w:rPr>
          <w:rFonts w:asciiTheme="minorBidi" w:hAnsiTheme="minorBidi" w:hint="cs"/>
          <w:rtl/>
        </w:rPr>
        <w:t xml:space="preserve">: </w:t>
      </w:r>
      <w:r w:rsidRPr="00351B7D">
        <w:rPr>
          <w:rFonts w:asciiTheme="minorBidi" w:hAnsiTheme="minorBidi"/>
          <w:rtl/>
        </w:rPr>
        <w:t xml:space="preserve">כל לגבי בעלה ודאי מחלה </w:t>
      </w:r>
      <w:r w:rsidRPr="0010757A">
        <w:rPr>
          <w:rFonts w:asciiTheme="minorBidi" w:hAnsiTheme="minorBidi"/>
          <w:rtl/>
        </w:rPr>
        <w:t>ודוקא ע"י שכותבת</w:t>
      </w:r>
      <w:r w:rsidRPr="00351B7D">
        <w:rPr>
          <w:rFonts w:asciiTheme="minorBidi" w:hAnsiTheme="minorBidi"/>
          <w:rtl/>
        </w:rPr>
        <w:t xml:space="preserve"> התקבלתי, אבל במחילה בעלמא לא הויא מחילה כשכבר נשואה. </w:t>
      </w:r>
      <w:r>
        <w:rPr>
          <w:rFonts w:asciiTheme="minorBidi" w:hAnsiTheme="minorBidi" w:hint="cs"/>
          <w:rtl/>
        </w:rPr>
        <w:t xml:space="preserve">עכ"ל. </w:t>
      </w:r>
      <w:r w:rsidRPr="00351B7D">
        <w:rPr>
          <w:rFonts w:asciiTheme="minorBidi" w:hAnsiTheme="minorBidi"/>
          <w:rtl/>
        </w:rPr>
        <w:t>ו</w:t>
      </w:r>
      <w:r>
        <w:rPr>
          <w:rFonts w:asciiTheme="minorBidi" w:hAnsiTheme="minorBidi" w:hint="cs"/>
          <w:rtl/>
        </w:rPr>
        <w:t xml:space="preserve">כתב </w:t>
      </w:r>
      <w:r w:rsidRPr="00351B7D">
        <w:rPr>
          <w:rFonts w:asciiTheme="minorBidi" w:hAnsiTheme="minorBidi"/>
          <w:rtl/>
        </w:rPr>
        <w:t xml:space="preserve">הגר"א </w:t>
      </w:r>
      <w:r w:rsidRPr="00351B7D">
        <w:rPr>
          <w:rFonts w:asciiTheme="minorBidi" w:hAnsiTheme="minorBidi"/>
          <w:sz w:val="16"/>
          <w:szCs w:val="16"/>
          <w:rtl/>
        </w:rPr>
        <w:t>(סקי"ד)</w:t>
      </w:r>
      <w:r w:rsidRPr="00351B7D">
        <w:rPr>
          <w:rFonts w:asciiTheme="minorBidi" w:hAnsiTheme="minorBidi"/>
          <w:rtl/>
        </w:rPr>
        <w:t xml:space="preserve"> דהמרדכי ס"ל כרבין </w:t>
      </w:r>
      <w:r w:rsidRPr="00351B7D">
        <w:rPr>
          <w:rFonts w:asciiTheme="minorBidi" w:hAnsiTheme="minorBidi"/>
          <w:sz w:val="16"/>
          <w:szCs w:val="16"/>
          <w:rtl/>
        </w:rPr>
        <w:t xml:space="preserve">(נז.) </w:t>
      </w:r>
      <w:r w:rsidRPr="00351B7D">
        <w:rPr>
          <w:rFonts w:asciiTheme="minorBidi" w:hAnsiTheme="minorBidi"/>
          <w:rtl/>
        </w:rPr>
        <w:t>דבתחילת חופה לכו"ע מוחלת, וזהו שכתב המרדכי "בשכבר נשואה".</w:t>
      </w:r>
    </w:p>
  </w:footnote>
  <w:footnote w:id="50">
    <w:p w14:paraId="2E0816D4" w14:textId="3FFE5BBB" w:rsidR="001475D2" w:rsidRPr="00351B7D" w:rsidRDefault="001475D2" w:rsidP="001475D2">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 הב"ש </w:t>
      </w:r>
      <w:r w:rsidRPr="00351B7D">
        <w:rPr>
          <w:rFonts w:asciiTheme="minorBidi" w:hAnsiTheme="minorBidi"/>
          <w:sz w:val="16"/>
          <w:szCs w:val="16"/>
          <w:rtl/>
        </w:rPr>
        <w:t xml:space="preserve">(סק"ט) </w:t>
      </w:r>
      <w:r w:rsidRPr="00351B7D">
        <w:rPr>
          <w:rFonts w:asciiTheme="minorBidi" w:hAnsiTheme="minorBidi"/>
          <w:rtl/>
        </w:rPr>
        <w:t xml:space="preserve">דדוקא כשמוחלת לו ואינו מגרש אותה אז לא מהני מחילה בע"פ, משא"כ כשמגרש אותה או אלמנה שמחלה </w:t>
      </w:r>
      <w:r w:rsidRPr="00351B7D">
        <w:rPr>
          <w:rFonts w:asciiTheme="minorBidi" w:hAnsiTheme="minorBidi"/>
          <w:sz w:val="16"/>
          <w:szCs w:val="16"/>
          <w:rtl/>
        </w:rPr>
        <w:t>{בעבר לבעלה המנוח}</w:t>
      </w:r>
      <w:r w:rsidRPr="00351B7D">
        <w:rPr>
          <w:rFonts w:asciiTheme="minorBidi" w:hAnsiTheme="minorBidi"/>
          <w:rtl/>
        </w:rPr>
        <w:t xml:space="preserve"> שכן מועיל אפי' מחלה לו בע"פ </w:t>
      </w:r>
      <w:r w:rsidRPr="00351B7D">
        <w:rPr>
          <w:rFonts w:asciiTheme="minorBidi" w:hAnsiTheme="minorBidi"/>
          <w:sz w:val="16"/>
          <w:szCs w:val="16"/>
          <w:rtl/>
        </w:rPr>
        <w:t xml:space="preserve">(וכ"כ הר"ן </w:t>
      </w:r>
      <w:r w:rsidRPr="00351B7D">
        <w:rPr>
          <w:rFonts w:asciiTheme="minorBidi" w:hAnsiTheme="minorBidi"/>
          <w:sz w:val="14"/>
          <w:szCs w:val="14"/>
          <w:rtl/>
        </w:rPr>
        <w:t>[כג. דיבור ראשון]</w:t>
      </w:r>
      <w:r w:rsidRPr="00351B7D">
        <w:rPr>
          <w:rFonts w:asciiTheme="minorBidi" w:hAnsiTheme="minorBidi"/>
          <w:sz w:val="16"/>
          <w:szCs w:val="16"/>
          <w:rtl/>
        </w:rPr>
        <w:t xml:space="preserve"> והה"מ בדעת הרמב"ם)</w:t>
      </w:r>
      <w:r w:rsidRPr="00351B7D">
        <w:rPr>
          <w:rFonts w:asciiTheme="minorBidi" w:hAnsiTheme="minorBidi"/>
          <w:rtl/>
        </w:rPr>
        <w:t>.</w:t>
      </w:r>
    </w:p>
  </w:footnote>
  <w:footnote w:id="51">
    <w:p w14:paraId="39E38FB0" w14:textId="77777777" w:rsidR="00567F4A" w:rsidRDefault="00567F4A" w:rsidP="00567F4A">
      <w:pPr>
        <w:pStyle w:val="a5"/>
        <w:rPr>
          <w:rtl/>
        </w:rPr>
      </w:pPr>
      <w:r>
        <w:rPr>
          <w:rStyle w:val="a7"/>
        </w:rPr>
        <w:footnoteRef/>
      </w:r>
      <w:r>
        <w:rPr>
          <w:rtl/>
        </w:rPr>
        <w:t xml:space="preserve"> </w:t>
      </w:r>
      <w:r>
        <w:rPr>
          <w:rFonts w:hint="cs"/>
          <w:rtl/>
        </w:rPr>
        <w:t xml:space="preserve">ועיין שם עוד </w:t>
      </w:r>
      <w:r w:rsidRPr="0002149D">
        <w:rPr>
          <w:rFonts w:cs="Arial"/>
          <w:rtl/>
        </w:rPr>
        <w:t>על אשה שאבדה כתובתה ואין הבעל רוצה לכתוב לה כתובה גדולה כבראשונה רק מאתים שלא יהא בעילתו בעילת זנות ופסק דצריך לכתוב לה כתובה גדולה כבראשונה</w:t>
      </w:r>
      <w:r>
        <w:rPr>
          <w:rFonts w:cs="Arial" w:hint="cs"/>
          <w:rtl/>
        </w:rPr>
        <w:t xml:space="preserve">, דרכ"מ (אות יז). </w:t>
      </w:r>
      <w:r w:rsidRPr="0002149D">
        <w:rPr>
          <w:rFonts w:cs="Arial" w:hint="cs"/>
          <w:color w:val="00B0F0"/>
          <w:rtl/>
        </w:rPr>
        <w:t>(וכ"פ בהג"ה)</w:t>
      </w:r>
    </w:p>
  </w:footnote>
  <w:footnote w:id="52">
    <w:p w14:paraId="09E379B4" w14:textId="67AB310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זה דוקא במוחלת על כתובתה, דמה שמחלה יותר על כתובה דאו' מחילתה קיימת </w:t>
      </w:r>
      <w:r w:rsidRPr="00351B7D">
        <w:rPr>
          <w:rFonts w:asciiTheme="minorBidi" w:hAnsiTheme="minorBidi"/>
          <w:sz w:val="16"/>
          <w:szCs w:val="16"/>
          <w:rtl/>
        </w:rPr>
        <w:t>(ע"פ ח"מ סקי"ד)</w:t>
      </w:r>
      <w:r w:rsidR="00815327">
        <w:rPr>
          <w:rFonts w:asciiTheme="minorBidi" w:hAnsiTheme="minorBidi" w:hint="cs"/>
          <w:rtl/>
        </w:rPr>
        <w:t>.</w:t>
      </w:r>
      <w:r w:rsidRPr="00351B7D">
        <w:rPr>
          <w:rFonts w:asciiTheme="minorBidi" w:hAnsiTheme="minorBidi"/>
          <w:rtl/>
        </w:rPr>
        <w:t xml:space="preserve"> אבל בנאבדה כתובתה צריך לכתוב לה כתובה אחרת כסך כתובה הראשונה ולא מספיק עיקר כתובה </w:t>
      </w:r>
      <w:r w:rsidRPr="00351B7D">
        <w:rPr>
          <w:rFonts w:asciiTheme="minorBidi" w:hAnsiTheme="minorBidi"/>
          <w:sz w:val="16"/>
          <w:szCs w:val="16"/>
          <w:rtl/>
        </w:rPr>
        <w:t>(ח"מ וב"ש סק"י)</w:t>
      </w:r>
      <w:r w:rsidRPr="00351B7D">
        <w:rPr>
          <w:rFonts w:asciiTheme="minorBidi" w:hAnsiTheme="minorBidi"/>
          <w:rtl/>
        </w:rPr>
        <w:t>, ומחייבים אותו לכתוב כן גם אם אינו רוצה ליתן לה אלא עיקר כתובה</w:t>
      </w:r>
      <w:r w:rsidR="00815327">
        <w:rPr>
          <w:rFonts w:asciiTheme="minorBidi" w:hAnsiTheme="minorBidi" w:hint="cs"/>
          <w:rtl/>
        </w:rPr>
        <w:t>.</w:t>
      </w:r>
      <w:r w:rsidRPr="00351B7D">
        <w:rPr>
          <w:rFonts w:asciiTheme="minorBidi" w:hAnsiTheme="minorBidi"/>
          <w:rtl/>
        </w:rPr>
        <w:t xml:space="preserve"> אבל אם היא מסכימה שיכתוב לה רק עיקר כתובה</w:t>
      </w:r>
      <w:r w:rsidR="00815327">
        <w:rPr>
          <w:rFonts w:asciiTheme="minorBidi" w:hAnsiTheme="minorBidi" w:hint="cs"/>
          <w:rtl/>
        </w:rPr>
        <w:t xml:space="preserve"> </w:t>
      </w:r>
      <w:r w:rsidRPr="00351B7D">
        <w:rPr>
          <w:rFonts w:asciiTheme="minorBidi" w:hAnsiTheme="minorBidi"/>
          <w:rtl/>
        </w:rPr>
        <w:t>- אינו צריך לכתוב כסך הראשון</w:t>
      </w:r>
      <w:r w:rsidR="00815327">
        <w:rPr>
          <w:rFonts w:asciiTheme="minorBidi" w:hAnsiTheme="minorBidi" w:hint="cs"/>
          <w:rtl/>
        </w:rPr>
        <w:t>.</w:t>
      </w:r>
      <w:r w:rsidRPr="00351B7D">
        <w:rPr>
          <w:rFonts w:asciiTheme="minorBidi" w:hAnsiTheme="minorBidi"/>
          <w:rtl/>
        </w:rPr>
        <w:t xml:space="preserve"> ואם לא הסכימה ולא כתב לה כסך הראשון מ"מ אין בעילתו בעילת זנות</w:t>
      </w:r>
      <w:r w:rsidR="00815327">
        <w:rPr>
          <w:rFonts w:asciiTheme="minorBidi" w:hAnsiTheme="minorBidi" w:hint="cs"/>
          <w:rtl/>
        </w:rPr>
        <w:t>,</w:t>
      </w:r>
      <w:r w:rsidRPr="00351B7D">
        <w:rPr>
          <w:rFonts w:asciiTheme="minorBidi" w:hAnsiTheme="minorBidi"/>
          <w:rtl/>
        </w:rPr>
        <w:t xml:space="preserve"> דלא אמר כן ר' מאיר אלא אעיקר כתובה </w:t>
      </w:r>
      <w:r w:rsidRPr="00351B7D">
        <w:rPr>
          <w:rFonts w:asciiTheme="minorBidi" w:hAnsiTheme="minorBidi"/>
          <w:sz w:val="16"/>
          <w:szCs w:val="16"/>
          <w:rtl/>
        </w:rPr>
        <w:t>(גר"א סקי"ז)</w:t>
      </w:r>
      <w:r w:rsidRPr="00351B7D">
        <w:rPr>
          <w:rFonts w:asciiTheme="minorBidi" w:hAnsiTheme="minorBidi"/>
          <w:rtl/>
        </w:rPr>
        <w:t xml:space="preserve">. </w:t>
      </w:r>
    </w:p>
  </w:footnote>
  <w:footnote w:id="53">
    <w:p w14:paraId="76C09341" w14:textId="2D84CDC2"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כלומר ואם הוא מודה כמה היה סך כתובה ראשונה צריך לכתוב מחדש כתובה אחרת כפי סך הראשון. ולא יכול לטעון שמא תמצא כתובה הראשונה ויהיו לך שני כתובות</w:t>
      </w:r>
      <w:r w:rsidR="00815327">
        <w:rPr>
          <w:rFonts w:asciiTheme="minorBidi" w:hAnsiTheme="minorBidi" w:hint="cs"/>
          <w:rtl/>
        </w:rPr>
        <w:t>,</w:t>
      </w:r>
      <w:r w:rsidRPr="00351B7D">
        <w:rPr>
          <w:rFonts w:asciiTheme="minorBidi" w:hAnsiTheme="minorBidi"/>
          <w:rtl/>
        </w:rPr>
        <w:t xml:space="preserve"> שסתם מצור וכרכום הכל בחזקת אבוד, ועיין בתשו' מהרי"ק סי' קי"ז, ח"מ (סקט"ז).</w:t>
      </w:r>
    </w:p>
  </w:footnote>
  <w:footnote w:id="54">
    <w:p w14:paraId="54DE0C8A"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פירוש, כפי מה שהיה עשיר בשעת נישואין, ט"ז (ג</w:t>
      </w:r>
      <w:r w:rsidRPr="00351B7D">
        <w:rPr>
          <w:rStyle w:val="a7"/>
          <w:rFonts w:asciiTheme="minorBidi" w:hAnsiTheme="minorBidi"/>
          <w:rtl/>
        </w:rPr>
        <w:t>2</w:t>
      </w:r>
      <w:r w:rsidRPr="00351B7D">
        <w:rPr>
          <w:rFonts w:asciiTheme="minorBidi" w:hAnsiTheme="minorBidi"/>
          <w:rtl/>
        </w:rPr>
        <w:t>, מכת"י).</w:t>
      </w:r>
    </w:p>
  </w:footnote>
  <w:footnote w:id="55">
    <w:p w14:paraId="6593E192" w14:textId="79EE6F54"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שם איירי במאנס את הבתולה דכתיב לא יוכל לשלחה כל ימיו, אין צריך לכתוב לה כתובה, ומדמה הרב דה"ה לפי חדר"ג דאינו יכול לגרשה בעל כרחה אין צריך לכתוב לה כתובה. ובקל יש לחלק בין איסור דאו' לגרש ובין חדר"ג, ח"מ</w:t>
      </w:r>
      <w:r w:rsidRPr="00351B7D">
        <w:rPr>
          <w:rFonts w:asciiTheme="minorBidi" w:hAnsiTheme="minorBidi"/>
          <w:sz w:val="16"/>
          <w:szCs w:val="16"/>
          <w:rtl/>
        </w:rPr>
        <w:t xml:space="preserve"> (סקי"ז-י"ח)</w:t>
      </w:r>
      <w:r w:rsidR="00407B2A">
        <w:rPr>
          <w:rFonts w:asciiTheme="minorBidi" w:hAnsiTheme="minorBidi" w:hint="cs"/>
          <w:rtl/>
        </w:rPr>
        <w:t>. וכ"כ ה</w:t>
      </w:r>
      <w:r w:rsidRPr="00351B7D">
        <w:rPr>
          <w:rFonts w:asciiTheme="minorBidi" w:hAnsiTheme="minorBidi"/>
          <w:rtl/>
        </w:rPr>
        <w:t xml:space="preserve">ב"ש </w:t>
      </w:r>
      <w:r w:rsidRPr="00351B7D">
        <w:rPr>
          <w:rFonts w:asciiTheme="minorBidi" w:hAnsiTheme="minorBidi"/>
          <w:sz w:val="16"/>
          <w:szCs w:val="16"/>
          <w:rtl/>
        </w:rPr>
        <w:t>(סקי"א)</w:t>
      </w:r>
      <w:r w:rsidRPr="00351B7D">
        <w:rPr>
          <w:rFonts w:asciiTheme="minorBidi" w:hAnsiTheme="minorBidi"/>
          <w:rtl/>
        </w:rPr>
        <w:t>.</w:t>
      </w:r>
    </w:p>
  </w:footnote>
  <w:footnote w:id="56">
    <w:p w14:paraId="75419D44"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דכיון דמחלה אזדא ליה שעבודא קמא, ב"י.</w:t>
      </w:r>
    </w:p>
  </w:footnote>
  <w:footnote w:id="57">
    <w:p w14:paraId="04DC310E"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עיין בחו"מ סי' תכ"ד (סע' י' בהג"ה) באשה שחבלה בבעלה ואין הכתובה מרובה מן החבלה מוכרה הכתובה לבעלה דהא אף אם לא תמכור לו לא ישלם לה כתובה כשמוציאה כיון שחייבת לו בעד החבלה, ח"מ (סקי"ט).</w:t>
      </w:r>
    </w:p>
  </w:footnote>
  <w:footnote w:id="58">
    <w:p w14:paraId="0E529020"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ועכ"פ אסור לכתוב הכתובה בשם הקונה דכל שאין הכתובה כתיבה בשמה הוי כמשהה אשתו בלא כתובה, נמוק"י </w:t>
      </w:r>
      <w:r w:rsidRPr="00351B7D">
        <w:rPr>
          <w:rFonts w:asciiTheme="minorBidi" w:hAnsiTheme="minorBidi"/>
          <w:sz w:val="16"/>
          <w:szCs w:val="16"/>
          <w:rtl/>
        </w:rPr>
        <w:t>(ב"ק לב. מדפה"ר)</w:t>
      </w:r>
      <w:r w:rsidRPr="00351B7D">
        <w:rPr>
          <w:rFonts w:asciiTheme="minorBidi" w:hAnsiTheme="minorBidi"/>
          <w:rtl/>
        </w:rPr>
        <w:t xml:space="preserve"> דרכ"מ </w:t>
      </w:r>
      <w:r w:rsidRPr="00351B7D">
        <w:rPr>
          <w:rFonts w:asciiTheme="minorBidi" w:hAnsiTheme="minorBidi"/>
          <w:sz w:val="16"/>
          <w:szCs w:val="16"/>
          <w:rtl/>
        </w:rPr>
        <w:t>(אות ו)</w:t>
      </w:r>
      <w:r w:rsidRPr="00351B7D">
        <w:rPr>
          <w:rFonts w:asciiTheme="minorBidi" w:hAnsiTheme="minorBidi"/>
          <w:rtl/>
        </w:rPr>
        <w:t xml:space="preserve"> ט"ז </w:t>
      </w:r>
      <w:r w:rsidRPr="00351B7D">
        <w:rPr>
          <w:rFonts w:asciiTheme="minorBidi" w:hAnsiTheme="minorBidi"/>
          <w:sz w:val="16"/>
          <w:szCs w:val="16"/>
          <w:rtl/>
        </w:rPr>
        <w:t xml:space="preserve">(סק"ג מכת"י) </w:t>
      </w:r>
      <w:r w:rsidRPr="00351B7D">
        <w:rPr>
          <w:rFonts w:asciiTheme="minorBidi" w:hAnsiTheme="minorBidi"/>
          <w:rtl/>
        </w:rPr>
        <w:t xml:space="preserve">וח"מ </w:t>
      </w:r>
      <w:r w:rsidRPr="00351B7D">
        <w:rPr>
          <w:rFonts w:asciiTheme="minorBidi" w:hAnsiTheme="minorBidi"/>
          <w:sz w:val="16"/>
          <w:szCs w:val="16"/>
          <w:rtl/>
        </w:rPr>
        <w:t>(סק"כ)</w:t>
      </w:r>
      <w:r w:rsidRPr="00351B7D">
        <w:rPr>
          <w:rFonts w:asciiTheme="minorBidi" w:hAnsiTheme="minorBidi"/>
          <w:rtl/>
        </w:rPr>
        <w:t>.</w:t>
      </w:r>
    </w:p>
  </w:footnote>
  <w:footnote w:id="59">
    <w:p w14:paraId="106FCB48"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דכתובת אלמנה לכו"ע דרבנן, כך פשוט בגמ' </w:t>
      </w:r>
      <w:r w:rsidRPr="00351B7D">
        <w:rPr>
          <w:rFonts w:asciiTheme="minorBidi" w:hAnsiTheme="minorBidi"/>
          <w:sz w:val="16"/>
          <w:szCs w:val="16"/>
          <w:rtl/>
        </w:rPr>
        <w:t>(כתובות י.)</w:t>
      </w:r>
      <w:r w:rsidRPr="00351B7D">
        <w:rPr>
          <w:rFonts w:asciiTheme="minorBidi" w:hAnsiTheme="minorBidi"/>
          <w:rtl/>
        </w:rPr>
        <w:t>, וכ"כ התוס'</w:t>
      </w:r>
      <w:r w:rsidRPr="00351B7D">
        <w:rPr>
          <w:rFonts w:asciiTheme="minorBidi" w:hAnsiTheme="minorBidi"/>
          <w:sz w:val="16"/>
          <w:szCs w:val="16"/>
          <w:rtl/>
        </w:rPr>
        <w:t xml:space="preserve"> (בכורות נא. דיבור ראשון, ובעוד הרבה מקומות)</w:t>
      </w:r>
      <w:r w:rsidRPr="00351B7D">
        <w:rPr>
          <w:rFonts w:asciiTheme="minorBidi" w:hAnsiTheme="minorBidi"/>
          <w:rtl/>
        </w:rPr>
        <w:t xml:space="preserve">. </w:t>
      </w:r>
    </w:p>
  </w:footnote>
  <w:footnote w:id="60">
    <w:p w14:paraId="3CDE0ED7" w14:textId="41BE57D2" w:rsidR="00A338DD" w:rsidRDefault="00A338DD">
      <w:pPr>
        <w:pStyle w:val="a5"/>
      </w:pPr>
      <w:r>
        <w:rPr>
          <w:rStyle w:val="a7"/>
        </w:rPr>
        <w:footnoteRef/>
      </w:r>
      <w:r>
        <w:rPr>
          <w:rtl/>
        </w:rPr>
        <w:t xml:space="preserve"> </w:t>
      </w:r>
      <w:r>
        <w:rPr>
          <w:rFonts w:asciiTheme="minorBidi" w:hAnsiTheme="minorBidi" w:hint="cs"/>
          <w:rtl/>
        </w:rPr>
        <w:t xml:space="preserve">וז"ל התוס': </w:t>
      </w:r>
      <w:r w:rsidRPr="00351B7D">
        <w:rPr>
          <w:rFonts w:asciiTheme="minorBidi" w:hAnsiTheme="minorBidi"/>
          <w:rtl/>
        </w:rPr>
        <w:t>סתמא דתלמודא דכתובה דרבנן, וקשה דנהגו לכתוב בכתובה כסף זוזי מאתן דחזו ליכי מדאורייתא, ואומר ר"ת דסמכינן ארשב"ג דקסבר כתובה דאורייתא וקיי"ל כל מקום ששנה רשב"ג במשנתינו הלכה כמותו, והא דאמרינן בהאשה רבה</w:t>
      </w:r>
      <w:r w:rsidRPr="00351B7D">
        <w:rPr>
          <w:rFonts w:asciiTheme="minorBidi" w:hAnsiTheme="minorBidi"/>
          <w:sz w:val="16"/>
          <w:szCs w:val="16"/>
          <w:rtl/>
        </w:rPr>
        <w:t xml:space="preserve"> (יבמות פט.)</w:t>
      </w:r>
      <w:r w:rsidRPr="00351B7D">
        <w:rPr>
          <w:rFonts w:asciiTheme="minorBidi" w:hAnsiTheme="minorBidi"/>
          <w:rtl/>
        </w:rPr>
        <w:t xml:space="preserve"> מאי טעמא תקינו רבנן כתובה</w:t>
      </w:r>
      <w:r>
        <w:rPr>
          <w:rFonts w:asciiTheme="minorBidi" w:hAnsiTheme="minorBidi" w:hint="cs"/>
          <w:rtl/>
        </w:rPr>
        <w:t xml:space="preserve"> </w:t>
      </w:r>
      <w:r w:rsidRPr="00351B7D">
        <w:rPr>
          <w:rFonts w:asciiTheme="minorBidi" w:hAnsiTheme="minorBidi"/>
          <w:rtl/>
        </w:rPr>
        <w:t>- היכא דתקינו, כגון באלמנה שלא תהא קלה בעיניו להוציאה</w:t>
      </w:r>
      <w:r>
        <w:rPr>
          <w:rFonts w:asciiTheme="minorBidi" w:hAnsiTheme="minorBidi" w:hint="cs"/>
          <w:rtl/>
        </w:rPr>
        <w:t>.</w:t>
      </w:r>
    </w:p>
  </w:footnote>
  <w:footnote w:id="61">
    <w:p w14:paraId="57E341DD" w14:textId="5F41399F"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ונפ"מ מפסק זה שאין אדם נאמן עכשיו להפסיד את אשתו כתובתה לא בטענת פתח פתוח ולא בטענת דמים</w:t>
      </w:r>
      <w:r w:rsidR="000236CE">
        <w:rPr>
          <w:rFonts w:asciiTheme="minorBidi" w:hAnsiTheme="minorBidi" w:hint="cs"/>
          <w:rtl/>
        </w:rPr>
        <w:t>,</w:t>
      </w:r>
      <w:r w:rsidR="000236CE" w:rsidRPr="000236CE">
        <w:rPr>
          <w:rFonts w:asciiTheme="minorBidi" w:hAnsiTheme="minorBidi"/>
          <w:rtl/>
        </w:rPr>
        <w:t xml:space="preserve"> </w:t>
      </w:r>
      <w:r w:rsidR="000236CE" w:rsidRPr="00351B7D">
        <w:rPr>
          <w:rFonts w:asciiTheme="minorBidi" w:hAnsiTheme="minorBidi"/>
          <w:rtl/>
        </w:rPr>
        <w:t>מרדכי</w:t>
      </w:r>
      <w:r w:rsidR="000236CE" w:rsidRPr="00351B7D">
        <w:rPr>
          <w:rFonts w:asciiTheme="minorBidi" w:hAnsiTheme="minorBidi"/>
          <w:sz w:val="16"/>
          <w:szCs w:val="16"/>
          <w:rtl/>
        </w:rPr>
        <w:t xml:space="preserve"> (כתובות סי' קלו)</w:t>
      </w:r>
      <w:r w:rsidRPr="00351B7D">
        <w:rPr>
          <w:rFonts w:asciiTheme="minorBidi" w:hAnsiTheme="minorBidi"/>
          <w:rtl/>
        </w:rPr>
        <w:t>.</w:t>
      </w:r>
    </w:p>
  </w:footnote>
  <w:footnote w:id="62">
    <w:p w14:paraId="44629CC4" w14:textId="1B8F5D4D"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כך איתא ברא"ש ובהגה"מ ועוד ראשונים, אך בטור</w:t>
      </w:r>
      <w:r w:rsidRPr="00351B7D">
        <w:rPr>
          <w:rFonts w:asciiTheme="minorBidi" w:hAnsiTheme="minorBidi"/>
          <w:sz w:val="16"/>
          <w:szCs w:val="16"/>
          <w:rtl/>
        </w:rPr>
        <w:t xml:space="preserve"> (ברוב הדפוסים)</w:t>
      </w:r>
      <w:r w:rsidRPr="00351B7D">
        <w:rPr>
          <w:rFonts w:asciiTheme="minorBidi" w:hAnsiTheme="minorBidi"/>
          <w:rtl/>
        </w:rPr>
        <w:t xml:space="preserve"> כשהעתיק את דברי הרא"ש איתא</w:t>
      </w:r>
      <w:r w:rsidR="000236CE">
        <w:rPr>
          <w:rFonts w:asciiTheme="minorBidi" w:hAnsiTheme="minorBidi" w:hint="cs"/>
          <w:rtl/>
        </w:rPr>
        <w:t xml:space="preserve"> </w:t>
      </w:r>
      <w:r w:rsidRPr="00351B7D">
        <w:rPr>
          <w:rFonts w:asciiTheme="minorBidi" w:hAnsiTheme="minorBidi"/>
          <w:rtl/>
        </w:rPr>
        <w:t xml:space="preserve">ר"מ במקום ר"ח, וכן היא גירסת הב"י בטור, אך גם אם נאמר שזו הגי' הנכונה מ"מ </w:t>
      </w:r>
      <w:r w:rsidR="00D10F5B">
        <w:rPr>
          <w:rFonts w:asciiTheme="minorBidi" w:hAnsiTheme="minorBidi" w:hint="cs"/>
          <w:rtl/>
        </w:rPr>
        <w:t>נראה ד</w:t>
      </w:r>
      <w:r w:rsidRPr="00351B7D">
        <w:rPr>
          <w:rFonts w:asciiTheme="minorBidi" w:hAnsiTheme="minorBidi"/>
          <w:rtl/>
        </w:rPr>
        <w:t>אין הכוונה למהר"ם מרוטנבורג</w:t>
      </w:r>
      <w:r w:rsidR="00D10F5B">
        <w:rPr>
          <w:rFonts w:asciiTheme="minorBidi" w:hAnsiTheme="minorBidi" w:hint="cs"/>
          <w:rtl/>
        </w:rPr>
        <w:t>.</w:t>
      </w:r>
      <w:r w:rsidRPr="00351B7D">
        <w:rPr>
          <w:rFonts w:asciiTheme="minorBidi" w:hAnsiTheme="minorBidi"/>
          <w:rtl/>
        </w:rPr>
        <w:t xml:space="preserve"> שהרי ההגה"מ כ' בשם מהר"ם בהיפך.</w:t>
      </w:r>
    </w:p>
  </w:footnote>
  <w:footnote w:id="63">
    <w:p w14:paraId="7D3775DB" w14:textId="0EC570DE" w:rsidR="007231D7" w:rsidRDefault="007231D7">
      <w:pPr>
        <w:pStyle w:val="a5"/>
        <w:rPr>
          <w:rtl/>
        </w:rPr>
      </w:pPr>
      <w:r>
        <w:rPr>
          <w:rStyle w:val="a7"/>
        </w:rPr>
        <w:footnoteRef/>
      </w:r>
      <w:r>
        <w:rPr>
          <w:rtl/>
        </w:rPr>
        <w:t xml:space="preserve"> </w:t>
      </w:r>
      <w:r>
        <w:rPr>
          <w:rFonts w:asciiTheme="minorBidi" w:hAnsiTheme="minorBidi" w:hint="cs"/>
          <w:rtl/>
        </w:rPr>
        <w:t xml:space="preserve">וז"ל: </w:t>
      </w:r>
      <w:r w:rsidRPr="00351B7D">
        <w:rPr>
          <w:rFonts w:asciiTheme="minorBidi" w:hAnsiTheme="minorBidi"/>
          <w:rtl/>
        </w:rPr>
        <w:t>ואפי' לרשב"ג אסמכתא דרבנן היא</w:t>
      </w:r>
      <w:r>
        <w:rPr>
          <w:rFonts w:asciiTheme="minorBidi" w:hAnsiTheme="minorBidi" w:hint="cs"/>
          <w:rtl/>
        </w:rPr>
        <w:t>,</w:t>
      </w:r>
      <w:r w:rsidRPr="00351B7D">
        <w:rPr>
          <w:rFonts w:asciiTheme="minorBidi" w:hAnsiTheme="minorBidi"/>
          <w:rtl/>
        </w:rPr>
        <w:t xml:space="preserve"> דהא סמכו קתני, ואע"ג דכתובת אשה מן התורה קאמר הלכה למשה מסיני כמו שאר תורה שבע"פ קאמר... ואנן קי"ל כרבנן ובכוליה תלמודא אמרינן כתובה מ"ט תקינו רבנן... ואי קשיא לך האמר ר' יוחנן כל מקום ששנה רשב"ג במשנתינו הלכה כמותו, לא תקשי לך חדא דאין סומכין על הכללות וסוגיין כרבנן הוי, ועוד דליתא לההוא כללא ואמוראי פליגי בה אליבא דר' יוחנן</w:t>
      </w:r>
      <w:r>
        <w:rPr>
          <w:rFonts w:asciiTheme="minorBidi" w:hAnsiTheme="minorBidi" w:hint="cs"/>
          <w:rtl/>
        </w:rPr>
        <w:t>,</w:t>
      </w:r>
      <w:r w:rsidRPr="00351B7D">
        <w:rPr>
          <w:rFonts w:asciiTheme="minorBidi" w:hAnsiTheme="minorBidi"/>
          <w:rtl/>
        </w:rPr>
        <w:t xml:space="preserve"> ולית הלכתא כמאן דכייל לההוא כללא בפ' המדיר (עז.) ובפ' המפקיד (לח:)</w:t>
      </w:r>
      <w:r>
        <w:rPr>
          <w:rFonts w:asciiTheme="minorBidi" w:hAnsiTheme="minorBidi" w:hint="cs"/>
          <w:rtl/>
        </w:rPr>
        <w:t>,</w:t>
      </w:r>
      <w:r w:rsidRPr="00351B7D">
        <w:rPr>
          <w:rFonts w:asciiTheme="minorBidi" w:hAnsiTheme="minorBidi"/>
          <w:rtl/>
        </w:rPr>
        <w:t xml:space="preserve"> וכדכתב רבינו הגדול ז"ל בפ' גט פשוט דהאי כללא לאו דוקא ולא סמכינן עליה</w:t>
      </w:r>
      <w:r>
        <w:rPr>
          <w:rFonts w:hint="cs"/>
          <w:rtl/>
        </w:rPr>
        <w:t>.</w:t>
      </w:r>
    </w:p>
  </w:footnote>
  <w:footnote w:id="64">
    <w:p w14:paraId="1624F11C" w14:textId="656F8E20"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גאונים ר"ח</w:t>
      </w:r>
      <w:r w:rsidRPr="00351B7D">
        <w:rPr>
          <w:rFonts w:asciiTheme="minorBidi" w:hAnsiTheme="minorBidi"/>
          <w:sz w:val="16"/>
          <w:szCs w:val="16"/>
          <w:rtl/>
        </w:rPr>
        <w:t xml:space="preserve"> (</w:t>
      </w:r>
      <w:r w:rsidR="00581D3D">
        <w:rPr>
          <w:rFonts w:asciiTheme="minorBidi" w:hAnsiTheme="minorBidi" w:hint="cs"/>
          <w:sz w:val="16"/>
          <w:szCs w:val="16"/>
          <w:rtl/>
        </w:rPr>
        <w:t xml:space="preserve">כ"כ </w:t>
      </w:r>
      <w:r w:rsidRPr="00351B7D">
        <w:rPr>
          <w:rFonts w:asciiTheme="minorBidi" w:hAnsiTheme="minorBidi"/>
          <w:sz w:val="16"/>
          <w:szCs w:val="16"/>
          <w:rtl/>
        </w:rPr>
        <w:t>הרא"ש</w:t>
      </w:r>
      <w:r w:rsidR="00581D3D">
        <w:rPr>
          <w:rFonts w:asciiTheme="minorBidi" w:hAnsiTheme="minorBidi" w:hint="cs"/>
          <w:sz w:val="16"/>
          <w:szCs w:val="16"/>
          <w:rtl/>
        </w:rPr>
        <w:t xml:space="preserve"> בשמו</w:t>
      </w:r>
      <w:r w:rsidRPr="00351B7D">
        <w:rPr>
          <w:rFonts w:asciiTheme="minorBidi" w:hAnsiTheme="minorBidi"/>
          <w:sz w:val="16"/>
          <w:szCs w:val="16"/>
          <w:rtl/>
        </w:rPr>
        <w:t>)</w:t>
      </w:r>
      <w:r w:rsidRPr="00351B7D">
        <w:rPr>
          <w:rFonts w:asciiTheme="minorBidi" w:hAnsiTheme="minorBidi"/>
          <w:rtl/>
        </w:rPr>
        <w:t xml:space="preserve"> רי"ף </w:t>
      </w:r>
      <w:r w:rsidRPr="00351B7D">
        <w:rPr>
          <w:rFonts w:asciiTheme="minorBidi" w:hAnsiTheme="minorBidi"/>
          <w:sz w:val="16"/>
          <w:szCs w:val="16"/>
          <w:rtl/>
        </w:rPr>
        <w:t xml:space="preserve">(כתובות סה:) </w:t>
      </w:r>
      <w:r w:rsidRPr="00351B7D">
        <w:rPr>
          <w:rFonts w:asciiTheme="minorBidi" w:hAnsiTheme="minorBidi"/>
          <w:rtl/>
        </w:rPr>
        <w:t xml:space="preserve">רמב"ם </w:t>
      </w:r>
      <w:r w:rsidRPr="00351B7D">
        <w:rPr>
          <w:rFonts w:asciiTheme="minorBidi" w:hAnsiTheme="minorBidi"/>
          <w:sz w:val="16"/>
          <w:szCs w:val="16"/>
          <w:rtl/>
        </w:rPr>
        <w:t>(פ"י מה"א ה"ז)</w:t>
      </w:r>
      <w:r w:rsidRPr="00351B7D">
        <w:rPr>
          <w:rFonts w:asciiTheme="minorBidi" w:hAnsiTheme="minorBidi"/>
          <w:rtl/>
        </w:rPr>
        <w:t xml:space="preserve"> רמב"ן</w:t>
      </w:r>
      <w:r w:rsidRPr="00351B7D">
        <w:rPr>
          <w:rFonts w:asciiTheme="minorBidi" w:hAnsiTheme="minorBidi"/>
          <w:sz w:val="16"/>
          <w:szCs w:val="16"/>
          <w:rtl/>
        </w:rPr>
        <w:t xml:space="preserve"> (כתובות קי: ד"ה נשא, וצ"ע על מש"כ הח"מ [סקכ"ד] על דעת הרמב"ן שהרי בהדיא לא משמע כן)</w:t>
      </w:r>
      <w:r w:rsidRPr="00351B7D">
        <w:rPr>
          <w:rFonts w:asciiTheme="minorBidi" w:hAnsiTheme="minorBidi"/>
          <w:rtl/>
        </w:rPr>
        <w:t xml:space="preserve"> רא"ש </w:t>
      </w:r>
      <w:r w:rsidRPr="00351B7D">
        <w:rPr>
          <w:rFonts w:asciiTheme="minorBidi" w:hAnsiTheme="minorBidi"/>
          <w:sz w:val="16"/>
          <w:szCs w:val="16"/>
          <w:rtl/>
        </w:rPr>
        <w:t>(כתובות פ"א סי' יט, וכ"כ בשמו הט"ז [ס"ק ג</w:t>
      </w:r>
      <w:r w:rsidRPr="00351B7D">
        <w:rPr>
          <w:rFonts w:asciiTheme="minorBidi" w:hAnsiTheme="minorBidi"/>
          <w:sz w:val="16"/>
          <w:szCs w:val="16"/>
          <w:vertAlign w:val="superscript"/>
          <w:rtl/>
        </w:rPr>
        <w:t xml:space="preserve">4 </w:t>
      </w:r>
      <w:r w:rsidRPr="00351B7D">
        <w:rPr>
          <w:rFonts w:asciiTheme="minorBidi" w:hAnsiTheme="minorBidi"/>
          <w:sz w:val="16"/>
          <w:szCs w:val="16"/>
          <w:rtl/>
        </w:rPr>
        <w:t xml:space="preserve">מכת"י] וח"מ [סקכ"ד]) </w:t>
      </w:r>
      <w:r w:rsidRPr="00351B7D">
        <w:rPr>
          <w:rFonts w:asciiTheme="minorBidi" w:hAnsiTheme="minorBidi"/>
          <w:rtl/>
        </w:rPr>
        <w:t>ור"ן</w:t>
      </w:r>
      <w:r w:rsidRPr="00351B7D">
        <w:rPr>
          <w:rFonts w:asciiTheme="minorBidi" w:hAnsiTheme="minorBidi"/>
          <w:sz w:val="16"/>
          <w:szCs w:val="16"/>
          <w:rtl/>
        </w:rPr>
        <w:t xml:space="preserve"> (כתובות סה: ד"ה ולענין)</w:t>
      </w:r>
      <w:r w:rsidRPr="00351B7D">
        <w:rPr>
          <w:rFonts w:asciiTheme="minorBidi" w:hAnsiTheme="minorBidi"/>
          <w:rtl/>
        </w:rPr>
        <w:t>.</w:t>
      </w:r>
    </w:p>
  </w:footnote>
  <w:footnote w:id="65">
    <w:p w14:paraId="2CB39A40" w14:textId="785B95B4" w:rsidR="008A1E90" w:rsidRDefault="008A1E90">
      <w:pPr>
        <w:pStyle w:val="a5"/>
      </w:pPr>
      <w:r>
        <w:rPr>
          <w:rStyle w:val="a7"/>
        </w:rPr>
        <w:footnoteRef/>
      </w:r>
      <w:r>
        <w:rPr>
          <w:rtl/>
        </w:rPr>
        <w:t xml:space="preserve"> </w:t>
      </w:r>
      <w:r>
        <w:rPr>
          <w:rFonts w:cs="Arial" w:hint="cs"/>
          <w:rtl/>
        </w:rPr>
        <w:t xml:space="preserve">וז"ל: </w:t>
      </w:r>
      <w:r w:rsidRPr="008A1E90">
        <w:rPr>
          <w:rFonts w:cs="Arial"/>
          <w:rtl/>
        </w:rPr>
        <w:t>דינרים אלו לא תקנו אותם מן הכסף הטהור אלא ממטבע שהיה באותן הימים שהיה שבעה חלקים נחשת וחלק אחד כסף עד שיהיה בסלע חצי זוז כסף, ונמצאו מאתים דינרים של בתולה חמשה ועשרים דינר של כסף ומאה של בעולה שנים עשר דינר ומחצה, ומשקל כל דינר שש ותשעים שעורות כמו שביארנו בתחלת עירובין, והדינר הוא הנקרא זוז בכל מקום בין שהיה מן הכסף הטהור בין שהיה ממטבע אותן הימים</w:t>
      </w:r>
      <w:r>
        <w:rPr>
          <w:rFonts w:cs="Arial" w:hint="cs"/>
          <w:rtl/>
        </w:rPr>
        <w:t>.</w:t>
      </w:r>
    </w:p>
  </w:footnote>
  <w:footnote w:id="66">
    <w:p w14:paraId="6A6319E8" w14:textId="2CF12221"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נמצא שק"ק זוז של בתולה הם כ"ה זוזים מכסף טהור, וק' של אלמנה י"ב וחצי, והזוז הוא ו' מעין, והמעה היא משקל י"ו שעורות, נמצא הזוז משקלו מיתקא"ל א' שהוא דרה"ם וחצי, נמצא שכתובת הבתולה ל"ז דרמא"ש וחצי כסף טהור</w:t>
      </w:r>
      <w:r w:rsidR="008A1E90">
        <w:rPr>
          <w:rFonts w:asciiTheme="minorBidi" w:hAnsiTheme="minorBidi" w:hint="cs"/>
          <w:rtl/>
        </w:rPr>
        <w:t>,</w:t>
      </w:r>
      <w:r w:rsidRPr="00351B7D">
        <w:rPr>
          <w:rFonts w:asciiTheme="minorBidi" w:hAnsiTheme="minorBidi"/>
          <w:rtl/>
        </w:rPr>
        <w:t xml:space="preserve"> ושל אלמנה חציים שהוא י"ט דרה"ם פחות רביע, ב"י.</w:t>
      </w:r>
    </w:p>
  </w:footnote>
  <w:footnote w:id="67">
    <w:p w14:paraId="66A22C16" w14:textId="1212C836"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דנפקא לן מכמוהר הבתולות, דלא פליגי רשב"ג ורבנן בפרק בתרא דכתובות (קי:) אלא אם נותן לה ממעות ארץ ישראל או ממעות קפוטקיא</w:t>
      </w:r>
      <w:r w:rsidR="00B71A2D">
        <w:rPr>
          <w:rFonts w:asciiTheme="minorBidi" w:hAnsiTheme="minorBidi" w:hint="cs"/>
          <w:rtl/>
        </w:rPr>
        <w:t>,</w:t>
      </w:r>
      <w:r w:rsidRPr="00351B7D">
        <w:rPr>
          <w:rFonts w:asciiTheme="minorBidi" w:hAnsiTheme="minorBidi"/>
          <w:rtl/>
        </w:rPr>
        <w:t xml:space="preserve"> אבל לכ"ע נותן לה שוה מאתים זוז ממעות צורי, תוס'</w:t>
      </w:r>
      <w:r w:rsidR="00B71A2D">
        <w:rPr>
          <w:rFonts w:asciiTheme="minorBidi" w:hAnsiTheme="minorBidi" w:hint="cs"/>
          <w:rtl/>
        </w:rPr>
        <w:t xml:space="preserve"> (שם)</w:t>
      </w:r>
      <w:r w:rsidRPr="00351B7D">
        <w:rPr>
          <w:rFonts w:asciiTheme="minorBidi" w:hAnsiTheme="minorBidi"/>
          <w:rtl/>
        </w:rPr>
        <w:t>.</w:t>
      </w:r>
    </w:p>
  </w:footnote>
  <w:footnote w:id="68">
    <w:p w14:paraId="3C0D6980" w14:textId="7C375A93" w:rsidR="00166C02" w:rsidRDefault="00166C02">
      <w:pPr>
        <w:pStyle w:val="a5"/>
        <w:rPr>
          <w:rtl/>
        </w:rPr>
      </w:pPr>
      <w:r>
        <w:rPr>
          <w:rStyle w:val="a7"/>
        </w:rPr>
        <w:footnoteRef/>
      </w:r>
      <w:r>
        <w:rPr>
          <w:rtl/>
        </w:rPr>
        <w:t xml:space="preserve"> </w:t>
      </w:r>
      <w:r w:rsidRPr="00166C02">
        <w:rPr>
          <w:rFonts w:asciiTheme="minorBidi" w:hAnsiTheme="minorBidi"/>
          <w:rtl/>
        </w:rPr>
        <w:t xml:space="preserve">ההגמ"ר כ' שבין כתובת בתולה ובין כתובת אלמנה של כסף צורי. והב"ש </w:t>
      </w:r>
      <w:r>
        <w:rPr>
          <w:rFonts w:asciiTheme="minorBidi" w:hAnsiTheme="minorBidi" w:hint="cs"/>
          <w:rtl/>
        </w:rPr>
        <w:t>(</w:t>
      </w:r>
      <w:r w:rsidRPr="00166C02">
        <w:rPr>
          <w:rFonts w:asciiTheme="minorBidi" w:hAnsiTheme="minorBidi"/>
          <w:rtl/>
        </w:rPr>
        <w:t>סקי"ד</w:t>
      </w:r>
      <w:r>
        <w:rPr>
          <w:rFonts w:asciiTheme="minorBidi" w:hAnsiTheme="minorBidi" w:hint="cs"/>
          <w:rtl/>
        </w:rPr>
        <w:t>)</w:t>
      </w:r>
      <w:r w:rsidRPr="00166C02">
        <w:rPr>
          <w:rFonts w:asciiTheme="minorBidi" w:hAnsiTheme="minorBidi"/>
          <w:rtl/>
        </w:rPr>
        <w:t xml:space="preserve"> כ' שדעת ה</w:t>
      </w:r>
      <w:r w:rsidRPr="00166C02">
        <w:rPr>
          <w:rFonts w:asciiTheme="minorBidi" w:hAnsiTheme="minorBidi" w:hint="cs"/>
          <w:rtl/>
        </w:rPr>
        <w:t>ג</w:t>
      </w:r>
      <w:r w:rsidRPr="00166C02">
        <w:rPr>
          <w:rFonts w:asciiTheme="minorBidi" w:hAnsiTheme="minorBidi"/>
          <w:rtl/>
        </w:rPr>
        <w:t>מ</w:t>
      </w:r>
      <w:r w:rsidRPr="00166C02">
        <w:rPr>
          <w:rFonts w:asciiTheme="minorBidi" w:hAnsiTheme="minorBidi" w:hint="cs"/>
          <w:rtl/>
        </w:rPr>
        <w:t>"</w:t>
      </w:r>
      <w:r w:rsidRPr="00166C02">
        <w:rPr>
          <w:rFonts w:asciiTheme="minorBidi" w:hAnsiTheme="minorBidi"/>
          <w:rtl/>
        </w:rPr>
        <w:t>ר היא דעת יחידאי, אך כנראה לא ראה את התוס' הנ"ל</w:t>
      </w:r>
      <w:r>
        <w:rPr>
          <w:rFonts w:hint="cs"/>
          <w:rtl/>
        </w:rPr>
        <w:t>.</w:t>
      </w:r>
    </w:p>
  </w:footnote>
  <w:footnote w:id="69">
    <w:p w14:paraId="7682281F" w14:textId="184C07AA"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7D4BE6">
        <w:rPr>
          <w:rFonts w:asciiTheme="minorBidi" w:hAnsiTheme="minorBidi" w:hint="cs"/>
          <w:rtl/>
        </w:rPr>
        <w:t>הרא"ש כתב</w:t>
      </w:r>
      <w:r w:rsidRPr="00351B7D">
        <w:rPr>
          <w:rFonts w:asciiTheme="minorBidi" w:hAnsiTheme="minorBidi"/>
          <w:rtl/>
        </w:rPr>
        <w:t xml:space="preserve"> </w:t>
      </w:r>
      <w:r w:rsidR="006E211C" w:rsidRPr="006E211C">
        <w:rPr>
          <w:rFonts w:asciiTheme="minorBidi" w:hAnsiTheme="minorBidi" w:cs="Arial"/>
          <w:rtl/>
        </w:rPr>
        <w:t xml:space="preserve">סברת ר"ת ואח"כ כתב </w:t>
      </w:r>
      <w:r w:rsidR="006E211C">
        <w:rPr>
          <w:rFonts w:asciiTheme="minorBidi" w:hAnsiTheme="minorBidi" w:cs="Arial" w:hint="cs"/>
          <w:rtl/>
        </w:rPr>
        <w:t>ור"ח פירש-...</w:t>
      </w:r>
      <w:r w:rsidRPr="00351B7D">
        <w:rPr>
          <w:rFonts w:asciiTheme="minorBidi" w:hAnsiTheme="minorBidi"/>
          <w:rtl/>
        </w:rPr>
        <w:t xml:space="preserve"> </w:t>
      </w:r>
    </w:p>
  </w:footnote>
  <w:footnote w:id="70">
    <w:p w14:paraId="7A4A2F2F"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פירוש, דגבי מפותה כתיב </w:t>
      </w:r>
      <w:r w:rsidRPr="00351B7D">
        <w:rPr>
          <w:rFonts w:asciiTheme="minorBidi" w:hAnsiTheme="minorBidi"/>
          <w:sz w:val="16"/>
          <w:szCs w:val="16"/>
          <w:rtl/>
        </w:rPr>
        <w:t xml:space="preserve">(שמות כב טז) </w:t>
      </w:r>
      <w:r w:rsidRPr="00351B7D">
        <w:rPr>
          <w:rFonts w:asciiTheme="minorBidi" w:hAnsiTheme="minorBidi"/>
          <w:rtl/>
        </w:rPr>
        <w:t xml:space="preserve">ישקול כמוהר הבתולות, וגבי מאנס כתיב </w:t>
      </w:r>
      <w:r w:rsidRPr="00351B7D">
        <w:rPr>
          <w:rFonts w:asciiTheme="minorBidi" w:hAnsiTheme="minorBidi"/>
          <w:sz w:val="16"/>
          <w:szCs w:val="16"/>
          <w:rtl/>
        </w:rPr>
        <w:t xml:space="preserve">(דברים כב כט) </w:t>
      </w:r>
      <w:r w:rsidRPr="00351B7D">
        <w:rPr>
          <w:rFonts w:asciiTheme="minorBidi" w:hAnsiTheme="minorBidi"/>
          <w:rtl/>
        </w:rPr>
        <w:t xml:space="preserve">חמשים כסף, ובכתובות </w:t>
      </w:r>
      <w:r w:rsidRPr="00351B7D">
        <w:rPr>
          <w:rFonts w:asciiTheme="minorBidi" w:hAnsiTheme="minorBidi"/>
          <w:sz w:val="16"/>
          <w:szCs w:val="16"/>
          <w:rtl/>
        </w:rPr>
        <w:t xml:space="preserve">(י.) </w:t>
      </w:r>
      <w:r w:rsidRPr="00351B7D">
        <w:rPr>
          <w:rFonts w:asciiTheme="minorBidi" w:hAnsiTheme="minorBidi"/>
          <w:rtl/>
        </w:rPr>
        <w:t>ילפינן מג"ש מה כאן שקלים אף להלן שקלים, ומה להלן נ' אף כאן נ', ושקל של קודש כפול היה דהיינו סלע שלנו שלם דהיינו ד' דינרים, פרישה (אות ט"ז).</w:t>
      </w:r>
    </w:p>
  </w:footnote>
  <w:footnote w:id="71">
    <w:p w14:paraId="6200AB1C" w14:textId="46FB2E73" w:rsidR="004B10CE" w:rsidRDefault="004B10CE">
      <w:pPr>
        <w:pStyle w:val="a5"/>
      </w:pPr>
      <w:r>
        <w:rPr>
          <w:rStyle w:val="a7"/>
        </w:rPr>
        <w:footnoteRef/>
      </w:r>
      <w:r>
        <w:rPr>
          <w:rtl/>
        </w:rPr>
        <w:t xml:space="preserve"> </w:t>
      </w:r>
      <w:r>
        <w:rPr>
          <w:rFonts w:asciiTheme="minorBidi" w:hAnsiTheme="minorBidi" w:hint="cs"/>
          <w:rtl/>
        </w:rPr>
        <w:t>וכ"כ ה</w:t>
      </w:r>
      <w:r w:rsidRPr="00351B7D">
        <w:rPr>
          <w:rFonts w:asciiTheme="minorBidi" w:hAnsiTheme="minorBidi"/>
          <w:rtl/>
        </w:rPr>
        <w:t>ר"ן</w:t>
      </w:r>
      <w:r w:rsidRPr="00351B7D">
        <w:rPr>
          <w:rFonts w:asciiTheme="minorBidi" w:hAnsiTheme="minorBidi"/>
          <w:sz w:val="16"/>
          <w:szCs w:val="16"/>
          <w:rtl/>
        </w:rPr>
        <w:t xml:space="preserve"> (כתובות סה: ד"ה ולענין)</w:t>
      </w:r>
      <w:r w:rsidRPr="00351B7D">
        <w:rPr>
          <w:rFonts w:asciiTheme="minorBidi" w:hAnsiTheme="minorBidi"/>
          <w:rtl/>
        </w:rPr>
        <w:t xml:space="preserve"> </w:t>
      </w:r>
      <w:r>
        <w:rPr>
          <w:rFonts w:asciiTheme="minorBidi" w:hAnsiTheme="minorBidi" w:hint="cs"/>
          <w:rtl/>
        </w:rPr>
        <w:t>ד</w:t>
      </w:r>
      <w:r w:rsidRPr="00351B7D">
        <w:rPr>
          <w:rFonts w:asciiTheme="minorBidi" w:hAnsiTheme="minorBidi"/>
          <w:rtl/>
        </w:rPr>
        <w:t>טעותא הוא</w:t>
      </w:r>
      <w:r>
        <w:rPr>
          <w:rFonts w:asciiTheme="minorBidi" w:hAnsiTheme="minorBidi" w:hint="cs"/>
          <w:rtl/>
        </w:rPr>
        <w:t>,</w:t>
      </w:r>
      <w:r w:rsidRPr="00351B7D">
        <w:rPr>
          <w:rFonts w:asciiTheme="minorBidi" w:hAnsiTheme="minorBidi"/>
          <w:rtl/>
        </w:rPr>
        <w:t xml:space="preserve"> דמדאורייתא לא חזו לה מידי אלא מדרבנן, הילכך אינה גובה כלום מכח הכתובה</w:t>
      </w:r>
      <w:r>
        <w:rPr>
          <w:rFonts w:asciiTheme="minorBidi" w:hAnsiTheme="minorBidi" w:hint="cs"/>
          <w:rtl/>
        </w:rPr>
        <w:t>,</w:t>
      </w:r>
      <w:r w:rsidRPr="00351B7D">
        <w:rPr>
          <w:rFonts w:asciiTheme="minorBidi" w:hAnsiTheme="minorBidi"/>
          <w:rtl/>
        </w:rPr>
        <w:t xml:space="preserve"> אלא מתקנת חכמים גובה ק"ק של מדינה כמקום שאין כותבין.</w:t>
      </w:r>
    </w:p>
  </w:footnote>
  <w:footnote w:id="72">
    <w:p w14:paraId="1EE2ED51" w14:textId="708CA03E" w:rsidR="001C17FA" w:rsidRDefault="001C17FA">
      <w:pPr>
        <w:pStyle w:val="a5"/>
      </w:pPr>
      <w:r>
        <w:rPr>
          <w:rStyle w:val="a7"/>
        </w:rPr>
        <w:footnoteRef/>
      </w:r>
      <w:r>
        <w:rPr>
          <w:rtl/>
        </w:rPr>
        <w:t xml:space="preserve"> </w:t>
      </w:r>
      <w:r>
        <w:rPr>
          <w:rFonts w:asciiTheme="minorBidi" w:hAnsiTheme="minorBidi" w:hint="cs"/>
          <w:rtl/>
        </w:rPr>
        <w:t xml:space="preserve">אך הקו"נ </w:t>
      </w:r>
      <w:r w:rsidRPr="004B10CE">
        <w:rPr>
          <w:rFonts w:asciiTheme="minorBidi" w:hAnsiTheme="minorBidi" w:hint="cs"/>
          <w:sz w:val="16"/>
          <w:szCs w:val="16"/>
          <w:rtl/>
        </w:rPr>
        <w:t>(כתובות פ"א סי' יט אות ר)</w:t>
      </w:r>
      <w:r>
        <w:rPr>
          <w:rFonts w:asciiTheme="minorBidi" w:hAnsiTheme="minorBidi" w:cs="Arial" w:hint="cs"/>
          <w:rtl/>
        </w:rPr>
        <w:t xml:space="preserve"> כתב בשם הב"ח דל</w:t>
      </w:r>
      <w:r w:rsidRPr="00522C4A">
        <w:rPr>
          <w:rFonts w:asciiTheme="minorBidi" w:hAnsiTheme="minorBidi" w:cs="Arial"/>
          <w:rtl/>
        </w:rPr>
        <w:t>ר"ת כיון דכתובת אשה מדאורייתא אם לא כתב דחזי ליכי מדאורייתא פסול הכתובה</w:t>
      </w:r>
      <w:r>
        <w:rPr>
          <w:rFonts w:asciiTheme="minorBidi" w:hAnsiTheme="minorBidi" w:cs="Arial" w:hint="cs"/>
          <w:rtl/>
        </w:rPr>
        <w:t xml:space="preserve">. </w:t>
      </w:r>
    </w:p>
  </w:footnote>
  <w:footnote w:id="73">
    <w:p w14:paraId="23E6F908" w14:textId="3CD85068" w:rsidR="001814D5" w:rsidRDefault="001814D5">
      <w:pPr>
        <w:pStyle w:val="a5"/>
      </w:pPr>
      <w:r>
        <w:rPr>
          <w:rStyle w:val="a7"/>
        </w:rPr>
        <w:footnoteRef/>
      </w:r>
      <w:r>
        <w:rPr>
          <w:rtl/>
        </w:rPr>
        <w:t xml:space="preserve"> </w:t>
      </w:r>
      <w:r>
        <w:rPr>
          <w:rFonts w:asciiTheme="minorBidi" w:hAnsiTheme="minorBidi" w:cs="Arial" w:hint="cs"/>
          <w:rtl/>
        </w:rPr>
        <w:t>וכ"כ ה</w:t>
      </w:r>
      <w:r w:rsidRPr="00316065">
        <w:rPr>
          <w:rFonts w:asciiTheme="minorBidi" w:hAnsiTheme="minorBidi" w:cs="Arial"/>
          <w:rtl/>
        </w:rPr>
        <w:t xml:space="preserve">ריב"ש </w:t>
      </w:r>
      <w:r w:rsidRPr="00E11903">
        <w:rPr>
          <w:rFonts w:asciiTheme="minorBidi" w:hAnsiTheme="minorBidi" w:cs="Arial" w:hint="cs"/>
          <w:sz w:val="16"/>
          <w:szCs w:val="16"/>
          <w:rtl/>
        </w:rPr>
        <w:t xml:space="preserve">(סי' </w:t>
      </w:r>
      <w:r w:rsidRPr="00E11903">
        <w:rPr>
          <w:rFonts w:asciiTheme="minorBidi" w:hAnsiTheme="minorBidi" w:cs="Arial"/>
          <w:sz w:val="16"/>
          <w:szCs w:val="16"/>
          <w:rtl/>
        </w:rPr>
        <w:t>סה</w:t>
      </w:r>
      <w:r w:rsidRPr="00E11903">
        <w:rPr>
          <w:rFonts w:asciiTheme="minorBidi" w:hAnsiTheme="minorBidi" w:cs="Arial" w:hint="cs"/>
          <w:sz w:val="16"/>
          <w:szCs w:val="16"/>
          <w:rtl/>
        </w:rPr>
        <w:t>)</w:t>
      </w:r>
      <w:r>
        <w:rPr>
          <w:rFonts w:asciiTheme="minorBidi" w:hAnsiTheme="minorBidi" w:cs="Arial" w:hint="cs"/>
          <w:rtl/>
        </w:rPr>
        <w:t xml:space="preserve"> וז"ל:</w:t>
      </w:r>
      <w:r w:rsidRPr="00316065">
        <w:rPr>
          <w:rFonts w:asciiTheme="minorBidi" w:hAnsiTheme="minorBidi" w:cs="Arial"/>
          <w:rtl/>
        </w:rPr>
        <w:t xml:space="preserve"> דבר ברור שאין עיקר הכתובה שהוא מנה ומאתים בכלל התוספת</w:t>
      </w:r>
      <w:r>
        <w:rPr>
          <w:rFonts w:asciiTheme="minorBidi" w:hAnsiTheme="minorBidi" w:cs="Arial" w:hint="cs"/>
          <w:rtl/>
        </w:rPr>
        <w:t>,</w:t>
      </w:r>
      <w:r w:rsidRPr="00316065">
        <w:rPr>
          <w:rFonts w:asciiTheme="minorBidi" w:hAnsiTheme="minorBidi" w:cs="Arial"/>
          <w:rtl/>
        </w:rPr>
        <w:t xml:space="preserve"> אא</w:t>
      </w:r>
      <w:r>
        <w:rPr>
          <w:rFonts w:asciiTheme="minorBidi" w:hAnsiTheme="minorBidi" w:cs="Arial" w:hint="cs"/>
          <w:rtl/>
        </w:rPr>
        <w:t>"</w:t>
      </w:r>
      <w:r w:rsidRPr="00316065">
        <w:rPr>
          <w:rFonts w:asciiTheme="minorBidi" w:hAnsiTheme="minorBidi" w:cs="Arial"/>
          <w:rtl/>
        </w:rPr>
        <w:t>כ כלל התוספת עם עיקר הכתובה</w:t>
      </w:r>
      <w:r>
        <w:rPr>
          <w:rFonts w:asciiTheme="minorBidi" w:hAnsiTheme="minorBidi" w:cs="Arial" w:hint="cs"/>
          <w:rtl/>
        </w:rPr>
        <w:t>...</w:t>
      </w:r>
      <w:r w:rsidRPr="00316065">
        <w:rPr>
          <w:rFonts w:asciiTheme="minorBidi" w:hAnsiTheme="minorBidi" w:cs="Arial"/>
          <w:rtl/>
        </w:rPr>
        <w:t xml:space="preserve"> ואם יש ב"ד שאין מגבין עיקר כתובה בכיוצא בזה</w:t>
      </w:r>
      <w:r>
        <w:rPr>
          <w:rFonts w:asciiTheme="minorBidi" w:hAnsiTheme="minorBidi" w:cs="Arial" w:hint="cs"/>
          <w:rtl/>
        </w:rPr>
        <w:t xml:space="preserve"> -</w:t>
      </w:r>
      <w:r w:rsidRPr="00316065">
        <w:rPr>
          <w:rFonts w:asciiTheme="minorBidi" w:hAnsiTheme="minorBidi" w:cs="Arial"/>
          <w:rtl/>
        </w:rPr>
        <w:t xml:space="preserve"> טעות הוא בידם</w:t>
      </w:r>
      <w:r>
        <w:rPr>
          <w:rFonts w:asciiTheme="minorBidi" w:hAnsiTheme="minorBidi" w:cs="Arial" w:hint="cs"/>
          <w:rtl/>
        </w:rPr>
        <w:t>.</w:t>
      </w:r>
      <w:r w:rsidRPr="00316065">
        <w:rPr>
          <w:rFonts w:asciiTheme="minorBidi" w:hAnsiTheme="minorBidi" w:cs="Arial"/>
          <w:rtl/>
        </w:rPr>
        <w:t xml:space="preserve"> ואע</w:t>
      </w:r>
      <w:r>
        <w:rPr>
          <w:rFonts w:asciiTheme="minorBidi" w:hAnsiTheme="minorBidi" w:cs="Arial" w:hint="cs"/>
          <w:rtl/>
        </w:rPr>
        <w:t>"</w:t>
      </w:r>
      <w:r w:rsidRPr="00316065">
        <w:rPr>
          <w:rFonts w:asciiTheme="minorBidi" w:hAnsiTheme="minorBidi" w:cs="Arial"/>
          <w:rtl/>
        </w:rPr>
        <w:t>פ שלפעמים בהיות הנדוניא גדולה אין האשה חוששת בגביית העיקר למיעוטו</w:t>
      </w:r>
      <w:r>
        <w:rPr>
          <w:rFonts w:asciiTheme="minorBidi" w:hAnsiTheme="minorBidi" w:cs="Arial" w:hint="cs"/>
          <w:rtl/>
        </w:rPr>
        <w:t>,</w:t>
      </w:r>
      <w:r w:rsidRPr="00316065">
        <w:rPr>
          <w:rFonts w:asciiTheme="minorBidi" w:hAnsiTheme="minorBidi" w:cs="Arial"/>
          <w:rtl/>
        </w:rPr>
        <w:t xml:space="preserve"> אם תקפיד עליו מגבין לה</w:t>
      </w:r>
      <w:r>
        <w:rPr>
          <w:rFonts w:asciiTheme="minorBidi" w:hAnsiTheme="minorBidi" w:cs="Arial" w:hint="cs"/>
          <w:rtl/>
        </w:rPr>
        <w:t>.</w:t>
      </w:r>
    </w:p>
  </w:footnote>
  <w:footnote w:id="74">
    <w:p w14:paraId="62A4FF3D"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חשבון עשרה זהובים שכתב הוא על פי דעת ר"ת ששני זקוקים כסף הוא מאתיים דאורייתא והיה שוה בזמנם עשרה זהובים ויוצא בזה, ולמאן דס"ל כתובה מדרבנן</w:t>
      </w:r>
      <w:r w:rsidRPr="00351B7D">
        <w:rPr>
          <w:rFonts w:asciiTheme="minorBidi" w:hAnsiTheme="minorBidi"/>
          <w:sz w:val="16"/>
          <w:szCs w:val="16"/>
          <w:rtl/>
        </w:rPr>
        <w:t xml:space="preserve"> (ח"מ סקכ"ה)</w:t>
      </w:r>
      <w:r w:rsidRPr="00351B7D">
        <w:rPr>
          <w:rFonts w:asciiTheme="minorBidi" w:hAnsiTheme="minorBidi"/>
          <w:rtl/>
        </w:rPr>
        <w:t xml:space="preserve">, לכן י"ל דהרמ"א לא הביא דעה זו אלא לשיטת הפוסקים דסבירא להו כתובה דרבנן אז הביאה דעה זו להקל אבל למ"ד כתובה דאורייתא לא סמכינן ע"ז </w:t>
      </w:r>
      <w:r w:rsidRPr="00351B7D">
        <w:rPr>
          <w:rFonts w:asciiTheme="minorBidi" w:hAnsiTheme="minorBidi"/>
          <w:sz w:val="16"/>
          <w:szCs w:val="16"/>
          <w:rtl/>
        </w:rPr>
        <w:t>(ב"ש סקי"ג)</w:t>
      </w:r>
      <w:r w:rsidRPr="00351B7D">
        <w:rPr>
          <w:rFonts w:asciiTheme="minorBidi" w:hAnsiTheme="minorBidi"/>
          <w:rtl/>
        </w:rPr>
        <w:t xml:space="preserve">. </w:t>
      </w:r>
    </w:p>
  </w:footnote>
  <w:footnote w:id="75">
    <w:p w14:paraId="6EE0B1A1"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משמע דהכתובה דרבנן אלא משערים בזוזי דאורייתא, ב"ש (סקי"ד).</w:t>
      </w:r>
    </w:p>
  </w:footnote>
  <w:footnote w:id="76">
    <w:p w14:paraId="3D0B71F6" w14:textId="091C1829"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sidR="001B5455">
        <w:rPr>
          <w:rFonts w:asciiTheme="minorBidi" w:hAnsiTheme="minorBidi" w:hint="cs"/>
          <w:rtl/>
        </w:rPr>
        <w:t xml:space="preserve">בציוני הרמ"א כתוב כאן -ר"ת-. </w:t>
      </w:r>
      <w:r w:rsidR="00EC63C8">
        <w:rPr>
          <w:rFonts w:asciiTheme="minorBidi" w:hAnsiTheme="minorBidi" w:hint="cs"/>
          <w:rtl/>
        </w:rPr>
        <w:t>ו</w:t>
      </w:r>
      <w:r w:rsidRPr="00351B7D">
        <w:rPr>
          <w:rFonts w:asciiTheme="minorBidi" w:hAnsiTheme="minorBidi"/>
          <w:rtl/>
        </w:rPr>
        <w:t>נראה שציון זה הוא טעות וצ"ל</w:t>
      </w:r>
      <w:r w:rsidR="00EC63C8">
        <w:rPr>
          <w:rFonts w:asciiTheme="minorBidi" w:hAnsiTheme="minorBidi" w:hint="cs"/>
          <w:rtl/>
        </w:rPr>
        <w:t xml:space="preserve"> </w:t>
      </w:r>
      <w:r w:rsidRPr="00351B7D">
        <w:rPr>
          <w:rFonts w:asciiTheme="minorBidi" w:hAnsiTheme="minorBidi"/>
          <w:rtl/>
        </w:rPr>
        <w:t xml:space="preserve">רא"ש. שהרי מלשון הרמ"א משמע שרק משערין בכסף צורי אבל סכום הכתובה היא תקנת חז"ל, וזוהי דעת הרא"ש, וכ"כ נחלת שבעה </w:t>
      </w:r>
      <w:r w:rsidRPr="00351B7D">
        <w:rPr>
          <w:rFonts w:asciiTheme="minorBidi" w:hAnsiTheme="minorBidi"/>
          <w:sz w:val="16"/>
          <w:szCs w:val="16"/>
          <w:rtl/>
        </w:rPr>
        <w:t>(סי' יב סע' לב אות ב)</w:t>
      </w:r>
      <w:r w:rsidRPr="00351B7D">
        <w:rPr>
          <w:rFonts w:asciiTheme="minorBidi" w:hAnsiTheme="minorBidi"/>
          <w:rtl/>
        </w:rPr>
        <w:t xml:space="preserve">, וכן צריך לומר לפי דברי באה"ג </w:t>
      </w:r>
      <w:r w:rsidRPr="00351B7D">
        <w:rPr>
          <w:rFonts w:asciiTheme="minorBidi" w:hAnsiTheme="minorBidi"/>
          <w:sz w:val="16"/>
          <w:szCs w:val="16"/>
          <w:rtl/>
        </w:rPr>
        <w:t xml:space="preserve">(אות ל) </w:t>
      </w:r>
      <w:r w:rsidRPr="00351B7D">
        <w:rPr>
          <w:rFonts w:asciiTheme="minorBidi" w:hAnsiTheme="minorBidi"/>
          <w:rtl/>
        </w:rPr>
        <w:t xml:space="preserve">והגר"א </w:t>
      </w:r>
      <w:r w:rsidRPr="00351B7D">
        <w:rPr>
          <w:rFonts w:asciiTheme="minorBidi" w:hAnsiTheme="minorBidi"/>
          <w:sz w:val="16"/>
          <w:szCs w:val="16"/>
          <w:rtl/>
        </w:rPr>
        <w:t>(סקכ"ג)</w:t>
      </w:r>
      <w:r w:rsidRPr="00351B7D">
        <w:rPr>
          <w:rFonts w:asciiTheme="minorBidi" w:hAnsiTheme="minorBidi"/>
          <w:rtl/>
        </w:rPr>
        <w:t xml:space="preserve">. </w:t>
      </w:r>
    </w:p>
  </w:footnote>
  <w:footnote w:id="77">
    <w:p w14:paraId="7B1FC999"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הכוונה היא כמ"ש הרא"ש שיתן לה מאתים דינר כסף צורי, ואף דלהלכה קיי"ל כמ"ד כתובה דרבנן </w:t>
      </w:r>
      <w:r w:rsidRPr="00351B7D">
        <w:rPr>
          <w:rFonts w:asciiTheme="minorBidi" w:hAnsiTheme="minorBidi"/>
          <w:sz w:val="16"/>
          <w:szCs w:val="16"/>
          <w:rtl/>
        </w:rPr>
        <w:t>(דהא רוב הפוסקים ס"ל הכי ובפרט שהבעל מוחזק וכמו שפסק הב"י)</w:t>
      </w:r>
      <w:r w:rsidRPr="00351B7D">
        <w:rPr>
          <w:rFonts w:asciiTheme="minorBidi" w:hAnsiTheme="minorBidi"/>
          <w:rtl/>
        </w:rPr>
        <w:t xml:space="preserve"> מ"מ מאחר שהמנהג לכתוב לבתול מדאו', יתן לה מכסף צורי וכל תנאי שבממון קיים, ע"פ ח"מ</w:t>
      </w:r>
      <w:r w:rsidRPr="00351B7D">
        <w:rPr>
          <w:rFonts w:asciiTheme="minorBidi" w:hAnsiTheme="minorBidi"/>
          <w:sz w:val="16"/>
          <w:szCs w:val="16"/>
          <w:rtl/>
        </w:rPr>
        <w:t xml:space="preserve"> (סקכ"ו)</w:t>
      </w:r>
      <w:r w:rsidRPr="00351B7D">
        <w:rPr>
          <w:rFonts w:asciiTheme="minorBidi" w:hAnsiTheme="minorBidi"/>
          <w:rtl/>
        </w:rPr>
        <w:t xml:space="preserve">. </w:t>
      </w:r>
    </w:p>
  </w:footnote>
  <w:footnote w:id="78">
    <w:p w14:paraId="03757DB6" w14:textId="06961ED2" w:rsidR="003D7B2E" w:rsidRDefault="003D7B2E">
      <w:pPr>
        <w:pStyle w:val="a5"/>
      </w:pPr>
      <w:r>
        <w:rPr>
          <w:rStyle w:val="a7"/>
        </w:rPr>
        <w:footnoteRef/>
      </w:r>
      <w:r>
        <w:rPr>
          <w:rtl/>
        </w:rPr>
        <w:t xml:space="preserve"> </w:t>
      </w:r>
      <w:r w:rsidRPr="003D7B2E">
        <w:rPr>
          <w:rFonts w:asciiTheme="minorBidi" w:hAnsiTheme="minorBidi"/>
          <w:rtl/>
        </w:rPr>
        <w:t>וצ"ע, שהרי השו"ע בסי' קע"ז סע' ג פסק דהואיל</w:t>
      </w:r>
      <w:r w:rsidRPr="003D7B2E">
        <w:rPr>
          <w:rFonts w:asciiTheme="minorBidi" w:hAnsiTheme="minorBidi"/>
          <w:sz w:val="26"/>
          <w:szCs w:val="26"/>
          <w:rtl/>
        </w:rPr>
        <w:t xml:space="preserve"> </w:t>
      </w:r>
      <w:r w:rsidRPr="003D7B2E">
        <w:rPr>
          <w:rFonts w:asciiTheme="minorBidi" w:hAnsiTheme="minorBidi"/>
          <w:rtl/>
        </w:rPr>
        <w:t>ואינו רשאי להוציאה לעולם אלא לרצונה אין צריך לכתוב לה כתובה. ועיין בפת"ש סק"ו ביאור דברי הר"ם מינץ בזה</w:t>
      </w:r>
      <w:r>
        <w:rPr>
          <w:rFonts w:asciiTheme="minorBidi" w:hAnsiTheme="minorBidi" w:hint="cs"/>
          <w:rtl/>
        </w:rPr>
        <w:t>.</w:t>
      </w:r>
    </w:p>
  </w:footnote>
  <w:footnote w:id="79">
    <w:p w14:paraId="65F983C3"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קיצבה.</w:t>
      </w:r>
    </w:p>
  </w:footnote>
  <w:footnote w:id="80">
    <w:p w14:paraId="7B3DEBB3" w14:textId="134A0EEE" w:rsidR="008A45CE" w:rsidRDefault="008A45CE">
      <w:pPr>
        <w:pStyle w:val="a5"/>
      </w:pPr>
      <w:r>
        <w:rPr>
          <w:rStyle w:val="a7"/>
        </w:rPr>
        <w:footnoteRef/>
      </w:r>
      <w:r>
        <w:rPr>
          <w:rtl/>
        </w:rPr>
        <w:t xml:space="preserve"> </w:t>
      </w:r>
      <w:r>
        <w:rPr>
          <w:rFonts w:hint="cs"/>
          <w:rtl/>
        </w:rPr>
        <w:t>סימן - ב' יחד</w:t>
      </w:r>
      <w:r>
        <w:rPr>
          <w:rFonts w:hint="cs"/>
          <w:sz w:val="16"/>
          <w:szCs w:val="16"/>
          <w:rtl/>
        </w:rPr>
        <w:t xml:space="preserve"> (עיקר ותוספת)</w:t>
      </w:r>
      <w:r>
        <w:rPr>
          <w:rFonts w:hint="cs"/>
          <w:rtl/>
        </w:rPr>
        <w:t>.</w:t>
      </w:r>
    </w:p>
  </w:footnote>
  <w:footnote w:id="81">
    <w:p w14:paraId="3040C6FA"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בת כהן כשנישאת לכהן וכ"ש כשנישאת לישראל, רש"י.</w:t>
      </w:r>
    </w:p>
  </w:footnote>
  <w:footnote w:id="82">
    <w:p w14:paraId="5BD17C9C" w14:textId="352E189E" w:rsidR="003C0530" w:rsidRPr="00351B7D" w:rsidRDefault="003C0530" w:rsidP="003C0530">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w:t>
      </w:r>
      <w:r w:rsidR="00FB701D">
        <w:rPr>
          <w:rFonts w:asciiTheme="minorBidi" w:hAnsiTheme="minorBidi" w:hint="cs"/>
          <w:rtl/>
        </w:rPr>
        <w:t xml:space="preserve">וז"ל: </w:t>
      </w:r>
      <w:r w:rsidR="00FB701D" w:rsidRPr="00FB701D">
        <w:rPr>
          <w:rFonts w:asciiTheme="minorBidi" w:hAnsiTheme="minorBidi" w:cs="Arial"/>
          <w:rtl/>
        </w:rPr>
        <w:t>ב"ד של כהנים היו נוהגין לכתוב כו' תימה דהכא משמע דוקא משפחות המיוחסות וכהנים ולקמן תנן אם רצה להוסיף יוסיף אפילו ק' מנה משמע בכל אדם י"ל דהתם כשכותב תחלה מנה מאתים ואח"כ תוספת אבל הכא היו כותבים ביחד ד' מאות דחזו ליכי פי' ר"ת</w:t>
      </w:r>
      <w:r w:rsidR="00FB701D">
        <w:rPr>
          <w:rFonts w:asciiTheme="minorBidi" w:hAnsiTheme="minorBidi" w:cs="Arial" w:hint="cs"/>
          <w:rtl/>
        </w:rPr>
        <w:t>.</w:t>
      </w:r>
      <w:r w:rsidR="00FB701D" w:rsidRPr="00FB701D">
        <w:rPr>
          <w:rFonts w:asciiTheme="minorBidi" w:hAnsiTheme="minorBidi" w:cs="Arial"/>
          <w:rtl/>
        </w:rPr>
        <w:t xml:space="preserve"> </w:t>
      </w:r>
      <w:r w:rsidR="00FB701D">
        <w:rPr>
          <w:rFonts w:asciiTheme="minorBidi" w:hAnsiTheme="minorBidi" w:cs="Arial" w:hint="cs"/>
          <w:rtl/>
        </w:rPr>
        <w:t xml:space="preserve">עכ"ל.    </w:t>
      </w:r>
      <w:r w:rsidRPr="00351B7D">
        <w:rPr>
          <w:rFonts w:asciiTheme="minorBidi" w:hAnsiTheme="minorBidi"/>
          <w:rtl/>
        </w:rPr>
        <w:t>מדברי הח"מ (סק"ל) משמע שהבין שהתוס' חולקים על המרדכי, אך צל"ע כי לא הבנתי במה הם חלוקים</w:t>
      </w:r>
      <w:r w:rsidR="00FB701D">
        <w:rPr>
          <w:rFonts w:asciiTheme="minorBidi" w:hAnsiTheme="minorBidi" w:hint="cs"/>
          <w:rtl/>
        </w:rPr>
        <w:t>,</w:t>
      </w:r>
      <w:r w:rsidRPr="00351B7D">
        <w:rPr>
          <w:rFonts w:asciiTheme="minorBidi" w:hAnsiTheme="minorBidi"/>
          <w:rtl/>
        </w:rPr>
        <w:t xml:space="preserve"> והרי אפ"ל דגם המרדכי יודה שגובים לה בתנאי ב"ד. וגם הגר"א (סק"ל) כ' שדברי המרדכי הם מהתוס'.</w:t>
      </w:r>
    </w:p>
  </w:footnote>
  <w:footnote w:id="83">
    <w:p w14:paraId="31C6635B" w14:textId="77777777" w:rsidR="004D43EB" w:rsidRDefault="004D43EB" w:rsidP="004D43EB">
      <w:pPr>
        <w:pStyle w:val="a5"/>
      </w:pPr>
      <w:r>
        <w:rPr>
          <w:rStyle w:val="a7"/>
        </w:rPr>
        <w:footnoteRef/>
      </w:r>
      <w:r>
        <w:rPr>
          <w:rtl/>
        </w:rPr>
        <w:t xml:space="preserve"> </w:t>
      </w:r>
      <w:r w:rsidRPr="00F07AF1">
        <w:rPr>
          <w:rFonts w:asciiTheme="minorBidi" w:hAnsiTheme="minorBidi" w:cs="Arial"/>
          <w:rtl/>
        </w:rPr>
        <w:t>וכן נוהגין בזמן הזה דכותבין כל הכתובות בשוה לבתולות בשוה ולאלמנות בשוה וקורין זו הכתובה תחת החופה ואחר כך מוסיף כל אחד מה שירצה</w:t>
      </w:r>
      <w:r>
        <w:rPr>
          <w:rFonts w:asciiTheme="minorBidi" w:hAnsiTheme="minorBidi" w:cs="Arial" w:hint="cs"/>
          <w:rtl/>
        </w:rPr>
        <w:t>, דרכ"מ (אות ט).</w:t>
      </w:r>
    </w:p>
  </w:footnote>
  <w:footnote w:id="84">
    <w:p w14:paraId="623CF7BD"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גאונים </w:t>
      </w:r>
      <w:r w:rsidRPr="00351B7D">
        <w:rPr>
          <w:rFonts w:asciiTheme="minorBidi" w:hAnsiTheme="minorBidi"/>
          <w:sz w:val="16"/>
          <w:szCs w:val="16"/>
          <w:rtl/>
        </w:rPr>
        <w:t xml:space="preserve">(הביאם הריטב"א) </w:t>
      </w:r>
      <w:r w:rsidRPr="00351B7D">
        <w:rPr>
          <w:rFonts w:asciiTheme="minorBidi" w:hAnsiTheme="minorBidi"/>
          <w:rtl/>
        </w:rPr>
        <w:t xml:space="preserve">רמב"ן </w:t>
      </w:r>
      <w:r w:rsidRPr="00351B7D">
        <w:rPr>
          <w:rFonts w:asciiTheme="minorBidi" w:hAnsiTheme="minorBidi"/>
          <w:sz w:val="16"/>
          <w:szCs w:val="16"/>
          <w:rtl/>
        </w:rPr>
        <w:t xml:space="preserve">(כתובות נד: ד"ה מהו, הביאו הה"מ (פ"י מה"א ה"ז)) </w:t>
      </w:r>
      <w:r w:rsidRPr="00351B7D">
        <w:rPr>
          <w:rFonts w:asciiTheme="minorBidi" w:hAnsiTheme="minorBidi"/>
          <w:rtl/>
        </w:rPr>
        <w:t xml:space="preserve">ריטב"א </w:t>
      </w:r>
      <w:r w:rsidRPr="00351B7D">
        <w:rPr>
          <w:rFonts w:asciiTheme="minorBidi" w:hAnsiTheme="minorBidi"/>
          <w:sz w:val="16"/>
          <w:szCs w:val="16"/>
          <w:rtl/>
        </w:rPr>
        <w:t>(כתובות נד: ד"ה מהו דתימא)</w:t>
      </w:r>
      <w:r w:rsidRPr="00351B7D">
        <w:rPr>
          <w:rFonts w:asciiTheme="minorBidi" w:hAnsiTheme="minorBidi"/>
          <w:rtl/>
        </w:rPr>
        <w:t xml:space="preserve"> ר"ן</w:t>
      </w:r>
      <w:r w:rsidRPr="00351B7D">
        <w:rPr>
          <w:rFonts w:asciiTheme="minorBidi" w:hAnsiTheme="minorBidi"/>
          <w:sz w:val="16"/>
          <w:szCs w:val="16"/>
          <w:rtl/>
        </w:rPr>
        <w:t xml:space="preserve"> (כא. ד"ה אף)</w:t>
      </w:r>
      <w:r w:rsidRPr="00351B7D">
        <w:rPr>
          <w:rFonts w:asciiTheme="minorBidi" w:hAnsiTheme="minorBidi"/>
          <w:rtl/>
        </w:rPr>
        <w:t xml:space="preserve"> וריב"ש</w:t>
      </w:r>
      <w:r w:rsidRPr="00351B7D">
        <w:rPr>
          <w:rFonts w:asciiTheme="minorBidi" w:hAnsiTheme="minorBidi"/>
          <w:sz w:val="16"/>
          <w:szCs w:val="16"/>
          <w:rtl/>
        </w:rPr>
        <w:t xml:space="preserve"> (סי' ס"ה)</w:t>
      </w:r>
      <w:r w:rsidRPr="00351B7D">
        <w:rPr>
          <w:rFonts w:asciiTheme="minorBidi" w:hAnsiTheme="minorBidi"/>
          <w:rtl/>
        </w:rPr>
        <w:t>.</w:t>
      </w:r>
    </w:p>
  </w:footnote>
  <w:footnote w:id="85">
    <w:p w14:paraId="05CCC909"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מלשון זה משמע אף שלא נזכר עיקר בכתובה כלל רק כתב לה הנדוניא דהנעלת ליה והתוספת שהוסיף לה אזי מתנאי ב"ד צריך ליתן לה הכתובה, ומכ"ש בכתובה שלנו שכותב בתחלה ויהיבנא ליכי מוהר בתוליכי כסף זוזי מאתן דחזי ליכי מדאו' ואח"כ כותב מאה זקוקים נדוניא ומאה זקוקים תוספות, נמצא צריך ליתן לה מאתים זקוקים כסף ומאתים דינר כסף, וכן לבסוף בכתובה מזכיר שלשתן יחד ואחריות שטר כתובתא דא ונדוניא דין ותוספתא דא, נמצא דג' דברים הם, וכ"פ מהרש"ל ביש"ש, ח"מ</w:t>
      </w:r>
      <w:r w:rsidRPr="00351B7D">
        <w:rPr>
          <w:rFonts w:asciiTheme="minorBidi" w:hAnsiTheme="minorBidi"/>
          <w:sz w:val="16"/>
          <w:szCs w:val="16"/>
          <w:rtl/>
        </w:rPr>
        <w:t xml:space="preserve"> (סקל"א)</w:t>
      </w:r>
      <w:r w:rsidRPr="00351B7D">
        <w:rPr>
          <w:rFonts w:asciiTheme="minorBidi" w:hAnsiTheme="minorBidi"/>
          <w:rtl/>
        </w:rPr>
        <w:t>.</w:t>
      </w:r>
    </w:p>
  </w:footnote>
  <w:footnote w:id="86">
    <w:p w14:paraId="1C490383"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היינו היכא שכוללים הכל ביחד ואין כותבים בלשון הוספה, ב"ש (סקי"ז).</w:t>
      </w:r>
    </w:p>
  </w:footnote>
  <w:footnote w:id="87">
    <w:p w14:paraId="5A4FD01D" w14:textId="37B9A5EF" w:rsidR="00DA7DB6" w:rsidRDefault="00DA7DB6">
      <w:pPr>
        <w:pStyle w:val="a5"/>
      </w:pPr>
      <w:r>
        <w:rPr>
          <w:rStyle w:val="a7"/>
        </w:rPr>
        <w:footnoteRef/>
      </w:r>
      <w:r>
        <w:rPr>
          <w:rtl/>
        </w:rPr>
        <w:t xml:space="preserve"> </w:t>
      </w:r>
      <w:r>
        <w:rPr>
          <w:rFonts w:hint="cs"/>
          <w:rtl/>
        </w:rPr>
        <w:t>סימן - קנין באמירה.</w:t>
      </w:r>
    </w:p>
  </w:footnote>
  <w:footnote w:id="88">
    <w:p w14:paraId="1D8BE79D"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 הר"א הלוי ז"ל דהינו דוקא כשעמדו וקדשו תוך אותו מעמד אבל לאחר אותו מעמד לא קנו. והכי משמע בירושלמי דגרסי' התם דברים הנקנין באמירה אינו אלא מן הנישואין הראשונים, וסמך על הירושלמי, ר"ן (בחיד' כתובות קב.).</w:t>
      </w:r>
    </w:p>
  </w:footnote>
  <w:footnote w:id="89">
    <w:p w14:paraId="135D79B5" w14:textId="77777777" w:rsidR="000D1C6C" w:rsidRPr="00351B7D" w:rsidRDefault="000D1C6C" w:rsidP="000D1C6C">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וז"ל</w:t>
      </w:r>
      <w:r>
        <w:rPr>
          <w:rFonts w:asciiTheme="minorBidi" w:hAnsiTheme="minorBidi" w:hint="cs"/>
          <w:rtl/>
        </w:rPr>
        <w:t>:</w:t>
      </w:r>
      <w:r w:rsidRPr="00351B7D">
        <w:rPr>
          <w:rFonts w:asciiTheme="minorBidi" w:hAnsiTheme="minorBidi"/>
          <w:rtl/>
        </w:rPr>
        <w:t xml:space="preserve"> ומפני מה הפוסק עם אשתו שיהיה זן את בתה חייב לזונה</w:t>
      </w:r>
      <w:r w:rsidRPr="00351B7D">
        <w:rPr>
          <w:rFonts w:asciiTheme="minorBidi" w:hAnsiTheme="minorBidi"/>
          <w:sz w:val="16"/>
          <w:szCs w:val="16"/>
          <w:rtl/>
        </w:rPr>
        <w:t xml:space="preserve"> </w:t>
      </w:r>
      <w:r w:rsidRPr="00351B7D">
        <w:rPr>
          <w:rFonts w:asciiTheme="minorBidi" w:hAnsiTheme="minorBidi"/>
          <w:rtl/>
        </w:rPr>
        <w:t>מפני</w:t>
      </w:r>
      <w:r w:rsidRPr="00351B7D">
        <w:rPr>
          <w:rFonts w:asciiTheme="minorBidi" w:hAnsiTheme="minorBidi"/>
          <w:sz w:val="16"/>
          <w:szCs w:val="16"/>
          <w:rtl/>
        </w:rPr>
        <w:t xml:space="preserve"> </w:t>
      </w:r>
      <w:r w:rsidRPr="00351B7D">
        <w:rPr>
          <w:rFonts w:asciiTheme="minorBidi" w:hAnsiTheme="minorBidi"/>
          <w:rtl/>
        </w:rPr>
        <w:t>שפסק</w:t>
      </w:r>
      <w:r w:rsidRPr="00351B7D">
        <w:rPr>
          <w:rFonts w:asciiTheme="minorBidi" w:hAnsiTheme="minorBidi"/>
          <w:sz w:val="16"/>
          <w:szCs w:val="16"/>
          <w:rtl/>
        </w:rPr>
        <w:t xml:space="preserve"> </w:t>
      </w:r>
      <w:r w:rsidRPr="00351B7D">
        <w:rPr>
          <w:rFonts w:asciiTheme="minorBidi" w:hAnsiTheme="minorBidi"/>
          <w:rtl/>
        </w:rPr>
        <w:t>בשעת</w:t>
      </w:r>
      <w:r w:rsidRPr="00351B7D">
        <w:rPr>
          <w:rFonts w:asciiTheme="minorBidi" w:hAnsiTheme="minorBidi"/>
          <w:sz w:val="16"/>
          <w:szCs w:val="16"/>
          <w:rtl/>
        </w:rPr>
        <w:t xml:space="preserve"> </w:t>
      </w:r>
      <w:r w:rsidRPr="00351B7D">
        <w:rPr>
          <w:rFonts w:asciiTheme="minorBidi" w:hAnsiTheme="minorBidi"/>
          <w:rtl/>
        </w:rPr>
        <w:t>נשואין</w:t>
      </w:r>
      <w:r w:rsidRPr="00351B7D">
        <w:rPr>
          <w:rFonts w:asciiTheme="minorBidi" w:hAnsiTheme="minorBidi"/>
          <w:sz w:val="16"/>
          <w:szCs w:val="16"/>
          <w:rtl/>
        </w:rPr>
        <w:t xml:space="preserve"> </w:t>
      </w:r>
      <w:r w:rsidRPr="00351B7D">
        <w:rPr>
          <w:rFonts w:asciiTheme="minorBidi" w:hAnsiTheme="minorBidi"/>
          <w:rtl/>
        </w:rPr>
        <w:t>והדבר</w:t>
      </w:r>
      <w:r w:rsidRPr="00351B7D">
        <w:rPr>
          <w:rFonts w:asciiTheme="minorBidi" w:hAnsiTheme="minorBidi"/>
          <w:sz w:val="16"/>
          <w:szCs w:val="16"/>
          <w:rtl/>
        </w:rPr>
        <w:t xml:space="preserve"> </w:t>
      </w:r>
      <w:r w:rsidRPr="00351B7D">
        <w:rPr>
          <w:rFonts w:asciiTheme="minorBidi" w:hAnsiTheme="minorBidi"/>
          <w:rtl/>
        </w:rPr>
        <w:t>דומה</w:t>
      </w:r>
      <w:r w:rsidRPr="00351B7D">
        <w:rPr>
          <w:rFonts w:asciiTheme="minorBidi" w:hAnsiTheme="minorBidi"/>
          <w:sz w:val="16"/>
          <w:szCs w:val="16"/>
          <w:rtl/>
        </w:rPr>
        <w:t xml:space="preserve"> </w:t>
      </w:r>
      <w:r w:rsidRPr="00351B7D">
        <w:rPr>
          <w:rFonts w:asciiTheme="minorBidi" w:hAnsiTheme="minorBidi"/>
          <w:rtl/>
        </w:rPr>
        <w:t>לדברים</w:t>
      </w:r>
      <w:r w:rsidRPr="00351B7D">
        <w:rPr>
          <w:rFonts w:asciiTheme="minorBidi" w:hAnsiTheme="minorBidi"/>
          <w:sz w:val="16"/>
          <w:szCs w:val="16"/>
          <w:rtl/>
        </w:rPr>
        <w:t xml:space="preserve"> </w:t>
      </w:r>
      <w:r w:rsidRPr="00351B7D">
        <w:rPr>
          <w:rFonts w:asciiTheme="minorBidi" w:hAnsiTheme="minorBidi"/>
          <w:rtl/>
        </w:rPr>
        <w:t>הנקנין באמירה.</w:t>
      </w:r>
    </w:p>
  </w:footnote>
  <w:footnote w:id="90">
    <w:p w14:paraId="510A21F5" w14:textId="7F49C9AD" w:rsidR="00DC1965" w:rsidRPr="00301048" w:rsidRDefault="00DC1965" w:rsidP="00DC1965">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דוקא קאמר גרושה ולא אלמנה, </w:t>
      </w:r>
      <w:r w:rsidRPr="001F24C4">
        <w:rPr>
          <w:rFonts w:asciiTheme="minorBidi" w:hAnsiTheme="minorBidi"/>
          <w:rtl/>
        </w:rPr>
        <w:t xml:space="preserve">דאלמנה מן האירוסין אינה גובה, </w:t>
      </w:r>
      <w:r w:rsidRPr="00DB6747">
        <w:rPr>
          <w:rFonts w:asciiTheme="minorBidi" w:hAnsiTheme="minorBidi"/>
          <w:b/>
          <w:bCs/>
          <w:rtl/>
        </w:rPr>
        <w:t>רש"ל</w:t>
      </w:r>
      <w:r w:rsidRPr="001F24C4">
        <w:rPr>
          <w:rFonts w:asciiTheme="minorBidi" w:hAnsiTheme="minorBidi"/>
          <w:rtl/>
        </w:rPr>
        <w:t xml:space="preserve"> (בהגה' לטור ד"ה וכתב, הביאו הדרישה). דכיון שגירשה מדעתו גביא ונתייפה כחה יותר מאלמנה, </w:t>
      </w:r>
      <w:r w:rsidRPr="00DB6747">
        <w:rPr>
          <w:rFonts w:asciiTheme="minorBidi" w:hAnsiTheme="minorBidi"/>
          <w:b/>
          <w:bCs/>
          <w:rtl/>
        </w:rPr>
        <w:t>דרישה</w:t>
      </w:r>
      <w:r w:rsidRPr="001F24C4">
        <w:rPr>
          <w:rFonts w:asciiTheme="minorBidi" w:hAnsiTheme="minorBidi"/>
          <w:rtl/>
        </w:rPr>
        <w:t xml:space="preserve"> (אות יג). לכן נראה דאם סרחה ג"כ אינה גובה, כאלמנה,</w:t>
      </w:r>
      <w:r w:rsidR="007C06CE">
        <w:rPr>
          <w:rFonts w:asciiTheme="minorBidi" w:hAnsiTheme="minorBidi" w:hint="cs"/>
          <w:rtl/>
        </w:rPr>
        <w:t xml:space="preserve"> אלא מיירי בגרשה כשמצא אחרת טובה הימנה,</w:t>
      </w:r>
      <w:r w:rsidRPr="001F24C4">
        <w:rPr>
          <w:rFonts w:asciiTheme="minorBidi" w:hAnsiTheme="minorBidi"/>
          <w:rtl/>
        </w:rPr>
        <w:t xml:space="preserve"> </w:t>
      </w:r>
      <w:r w:rsidRPr="00DB6747">
        <w:rPr>
          <w:rFonts w:asciiTheme="minorBidi" w:hAnsiTheme="minorBidi"/>
          <w:b/>
          <w:bCs/>
          <w:rtl/>
        </w:rPr>
        <w:t>דברי שלום</w:t>
      </w:r>
      <w:r w:rsidRPr="001F24C4">
        <w:rPr>
          <w:rFonts w:asciiTheme="minorBidi" w:hAnsiTheme="minorBidi"/>
          <w:rtl/>
        </w:rPr>
        <w:t xml:space="preserve"> (אהע"ז ח"ב סי' כד).</w:t>
      </w:r>
      <w:r w:rsidR="007C06CE">
        <w:rPr>
          <w:rFonts w:asciiTheme="minorBidi" w:hAnsiTheme="minorBidi" w:hint="cs"/>
          <w:rtl/>
        </w:rPr>
        <w:t xml:space="preserve"> וחילוק זה </w:t>
      </w:r>
      <w:r w:rsidR="007C06CE" w:rsidRPr="00301048">
        <w:rPr>
          <w:rFonts w:asciiTheme="minorBidi" w:hAnsiTheme="minorBidi" w:hint="cs"/>
          <w:rtl/>
        </w:rPr>
        <w:t xml:space="preserve">שכתב הדברי שלום </w:t>
      </w:r>
      <w:r w:rsidR="00301048">
        <w:rPr>
          <w:rFonts w:asciiTheme="minorBidi" w:hAnsiTheme="minorBidi" w:hint="cs"/>
          <w:rtl/>
        </w:rPr>
        <w:t>מוזכר גם ב</w:t>
      </w:r>
      <w:r w:rsidR="00301048" w:rsidRPr="00301048">
        <w:rPr>
          <w:rFonts w:asciiTheme="minorBidi" w:hAnsiTheme="minorBidi"/>
          <w:rtl/>
        </w:rPr>
        <w:t>עיטור</w:t>
      </w:r>
      <w:r w:rsidR="00301048">
        <w:rPr>
          <w:rFonts w:asciiTheme="minorBidi" w:hAnsiTheme="minorBidi" w:hint="cs"/>
          <w:rtl/>
        </w:rPr>
        <w:t xml:space="preserve"> (שם) שחילק כך</w:t>
      </w:r>
      <w:r w:rsidR="00301048" w:rsidRPr="00301048">
        <w:rPr>
          <w:rFonts w:asciiTheme="minorBidi" w:hAnsiTheme="minorBidi"/>
          <w:rtl/>
        </w:rPr>
        <w:t xml:space="preserve"> בד' הרי"ף ז"ל יעו"ש, והובא בטור סי' צט ע"ש</w:t>
      </w:r>
      <w:r w:rsidR="00301048">
        <w:rPr>
          <w:rFonts w:asciiTheme="minorBidi" w:hAnsiTheme="minorBidi" w:hint="cs"/>
          <w:rtl/>
        </w:rPr>
        <w:t>.</w:t>
      </w:r>
    </w:p>
  </w:footnote>
  <w:footnote w:id="91">
    <w:p w14:paraId="1708FB1C" w14:textId="4DED7076" w:rsidR="00866757" w:rsidRPr="00781969" w:rsidRDefault="00866757" w:rsidP="00781969">
      <w:pPr>
        <w:pStyle w:val="a5"/>
        <w:rPr>
          <w:rFonts w:asciiTheme="minorBidi" w:hAnsiTheme="minorBidi"/>
          <w:rtl/>
        </w:rPr>
      </w:pPr>
      <w:r w:rsidRPr="00301048">
        <w:rPr>
          <w:rStyle w:val="a7"/>
        </w:rPr>
        <w:footnoteRef/>
      </w:r>
      <w:r w:rsidRPr="00301048">
        <w:rPr>
          <w:rtl/>
        </w:rPr>
        <w:t xml:space="preserve"> </w:t>
      </w:r>
      <w:r w:rsidRPr="00301048">
        <w:rPr>
          <w:rFonts w:asciiTheme="minorBidi" w:hAnsiTheme="minorBidi" w:cs="Arial"/>
          <w:rtl/>
        </w:rPr>
        <w:t>זה נראה שחולק על מה שכתב רבינו בסימן נ"ה (</w:t>
      </w:r>
      <w:r w:rsidRPr="00301048">
        <w:rPr>
          <w:rFonts w:asciiTheme="minorBidi" w:hAnsiTheme="minorBidi" w:cs="Arial" w:hint="cs"/>
          <w:rtl/>
        </w:rPr>
        <w:t>סע' ו</w:t>
      </w:r>
      <w:r w:rsidRPr="00301048">
        <w:rPr>
          <w:rFonts w:asciiTheme="minorBidi" w:hAnsiTheme="minorBidi" w:cs="Arial"/>
          <w:rtl/>
        </w:rPr>
        <w:t>)</w:t>
      </w:r>
      <w:r w:rsidRPr="00301048">
        <w:rPr>
          <w:rFonts w:asciiTheme="minorBidi" w:hAnsiTheme="minorBidi" w:cs="Arial" w:hint="cs"/>
          <w:rtl/>
        </w:rPr>
        <w:t>, ב"י</w:t>
      </w:r>
      <w:r w:rsidRPr="00301048">
        <w:rPr>
          <w:rFonts w:asciiTheme="minorBidi" w:hAnsiTheme="minorBidi" w:cs="Arial"/>
          <w:rtl/>
        </w:rPr>
        <w:t>.</w:t>
      </w:r>
      <w:r w:rsidRPr="00301048">
        <w:rPr>
          <w:rFonts w:asciiTheme="minorBidi" w:hAnsiTheme="minorBidi" w:cs="Arial" w:hint="cs"/>
          <w:rtl/>
        </w:rPr>
        <w:t xml:space="preserve">     וז"ל הטור שם:</w:t>
      </w:r>
      <w:r w:rsidRPr="00301048">
        <w:rPr>
          <w:rFonts w:cs="Arial" w:hint="cs"/>
          <w:rtl/>
        </w:rPr>
        <w:t xml:space="preserve"> </w:t>
      </w:r>
      <w:r w:rsidRPr="00301048">
        <w:rPr>
          <w:rFonts w:cs="Arial"/>
          <w:rtl/>
        </w:rPr>
        <w:t>מת</w:t>
      </w:r>
      <w:r>
        <w:rPr>
          <w:rFonts w:cs="Arial"/>
          <w:rtl/>
        </w:rPr>
        <w:t xml:space="preserve"> הוא או גירשה מן האירוסין </w:t>
      </w:r>
      <w:r>
        <w:rPr>
          <w:rFonts w:cs="Arial" w:hint="cs"/>
          <w:rtl/>
        </w:rPr>
        <w:t xml:space="preserve">- </w:t>
      </w:r>
      <w:r>
        <w:rPr>
          <w:rFonts w:cs="Arial"/>
          <w:rtl/>
        </w:rPr>
        <w:t>יש לה מנה מאתים מתנאי ב"ד אפי' לא כתב לה כתובה</w:t>
      </w:r>
      <w:r>
        <w:rPr>
          <w:rFonts w:cs="Arial" w:hint="cs"/>
          <w:rtl/>
        </w:rPr>
        <w:t>,</w:t>
      </w:r>
      <w:r>
        <w:rPr>
          <w:rFonts w:cs="Arial"/>
          <w:rtl/>
        </w:rPr>
        <w:t xml:space="preserve"> ואפי' ממשעבדי טרפה אע</w:t>
      </w:r>
      <w:r>
        <w:rPr>
          <w:rFonts w:cs="Arial" w:hint="cs"/>
          <w:rtl/>
        </w:rPr>
        <w:t>"</w:t>
      </w:r>
      <w:r>
        <w:rPr>
          <w:rFonts w:cs="Arial"/>
          <w:rtl/>
        </w:rPr>
        <w:t>ג שלא כתב לה</w:t>
      </w:r>
      <w:r>
        <w:rPr>
          <w:rFonts w:cs="Arial" w:hint="cs"/>
          <w:rtl/>
        </w:rPr>
        <w:t>.</w:t>
      </w:r>
      <w:r>
        <w:rPr>
          <w:rFonts w:cs="Arial"/>
          <w:rtl/>
        </w:rPr>
        <w:t xml:space="preserve"> ותוספת שהוסיף לה אינה גובה אפי' אם כתב לה</w:t>
      </w:r>
      <w:r>
        <w:rPr>
          <w:rFonts w:cs="Arial" w:hint="cs"/>
          <w:rtl/>
        </w:rPr>
        <w:t>.</w:t>
      </w:r>
      <w:r w:rsidRPr="002F0840">
        <w:rPr>
          <w:rFonts w:asciiTheme="minorBidi" w:hAnsiTheme="minorBidi" w:cs="Arial"/>
          <w:rtl/>
        </w:rPr>
        <w:t xml:space="preserve"> </w:t>
      </w:r>
      <w:r>
        <w:rPr>
          <w:rFonts w:asciiTheme="minorBidi" w:hAnsiTheme="minorBidi" w:cs="Arial" w:hint="cs"/>
          <w:rtl/>
        </w:rPr>
        <w:t xml:space="preserve">עכ"ל. </w:t>
      </w:r>
      <w:r w:rsidR="004540B7" w:rsidRPr="00351B7D">
        <w:rPr>
          <w:rFonts w:asciiTheme="minorBidi" w:hAnsiTheme="minorBidi"/>
          <w:rtl/>
        </w:rPr>
        <w:t>וכ</w:t>
      </w:r>
      <w:r w:rsidR="004540B7">
        <w:rPr>
          <w:rFonts w:asciiTheme="minorBidi" w:hAnsiTheme="minorBidi" w:hint="cs"/>
          <w:rtl/>
        </w:rPr>
        <w:t>תב הטור</w:t>
      </w:r>
      <w:r w:rsidR="004540B7" w:rsidRPr="00351B7D">
        <w:rPr>
          <w:rFonts w:asciiTheme="minorBidi" w:hAnsiTheme="minorBidi"/>
          <w:rtl/>
        </w:rPr>
        <w:t xml:space="preserve"> שם שכן דעת אביו הרא"ש</w:t>
      </w:r>
      <w:r w:rsidR="004540B7">
        <w:rPr>
          <w:rFonts w:asciiTheme="minorBidi" w:hAnsiTheme="minorBidi" w:cs="Arial" w:hint="cs"/>
          <w:rtl/>
        </w:rPr>
        <w:t>.</w:t>
      </w:r>
      <w:r w:rsidR="005C7651">
        <w:rPr>
          <w:rFonts w:asciiTheme="minorBidi" w:hAnsiTheme="minorBidi" w:cs="Arial" w:hint="cs"/>
          <w:rtl/>
        </w:rPr>
        <w:t xml:space="preserve">     </w:t>
      </w:r>
      <w:r w:rsidR="004540B7">
        <w:rPr>
          <w:rFonts w:asciiTheme="minorBidi" w:hAnsiTheme="minorBidi" w:cs="Arial" w:hint="cs"/>
          <w:rtl/>
        </w:rPr>
        <w:t xml:space="preserve"> </w:t>
      </w:r>
      <w:r>
        <w:rPr>
          <w:rFonts w:asciiTheme="minorBidi" w:hAnsiTheme="minorBidi" w:cs="Arial" w:hint="cs"/>
          <w:rtl/>
        </w:rPr>
        <w:t>וקשה אם כן מה שכתב כאן בשם בהעי"ט ללא שום חולק.</w:t>
      </w:r>
      <w:r w:rsidR="00435BD2">
        <w:rPr>
          <w:rFonts w:hint="cs"/>
          <w:rtl/>
        </w:rPr>
        <w:t xml:space="preserve"> </w:t>
      </w:r>
      <w:r w:rsidR="004540B7" w:rsidRPr="00351B7D">
        <w:rPr>
          <w:rFonts w:asciiTheme="minorBidi" w:hAnsiTheme="minorBidi"/>
          <w:rtl/>
        </w:rPr>
        <w:t>ויש להעיר שלא מצאתי את מש"כ הטור בשם בהעי"ט ב</w:t>
      </w:r>
      <w:r w:rsidR="004C4C3F">
        <w:rPr>
          <w:rFonts w:asciiTheme="minorBidi" w:hAnsiTheme="minorBidi" w:hint="cs"/>
          <w:rtl/>
        </w:rPr>
        <w:t>ספר</w:t>
      </w:r>
      <w:r w:rsidR="004540B7" w:rsidRPr="00351B7D">
        <w:rPr>
          <w:rFonts w:asciiTheme="minorBidi" w:hAnsiTheme="minorBidi"/>
          <w:rtl/>
        </w:rPr>
        <w:t xml:space="preserve"> העיטור</w:t>
      </w:r>
      <w:r w:rsidR="004C4C3F">
        <w:rPr>
          <w:rFonts w:asciiTheme="minorBidi" w:hAnsiTheme="minorBidi" w:hint="cs"/>
          <w:rtl/>
        </w:rPr>
        <w:t>,</w:t>
      </w:r>
      <w:r w:rsidR="004540B7" w:rsidRPr="00351B7D">
        <w:rPr>
          <w:rFonts w:asciiTheme="minorBidi" w:hAnsiTheme="minorBidi"/>
          <w:rtl/>
        </w:rPr>
        <w:t xml:space="preserve"> א</w:t>
      </w:r>
      <w:r w:rsidR="004C4C3F">
        <w:rPr>
          <w:rFonts w:asciiTheme="minorBidi" w:hAnsiTheme="minorBidi" w:hint="cs"/>
          <w:rtl/>
        </w:rPr>
        <w:t>מנם</w:t>
      </w:r>
      <w:r w:rsidR="004540B7" w:rsidRPr="00351B7D">
        <w:rPr>
          <w:rFonts w:asciiTheme="minorBidi" w:hAnsiTheme="minorBidi"/>
          <w:rtl/>
        </w:rPr>
        <w:t xml:space="preserve"> מפורש שם ל</w:t>
      </w:r>
      <w:r w:rsidR="004C4C3F">
        <w:rPr>
          <w:rFonts w:asciiTheme="minorBidi" w:hAnsiTheme="minorBidi" w:hint="cs"/>
          <w:rtl/>
        </w:rPr>
        <w:t>שון מאוד דומה א</w:t>
      </w:r>
      <w:r w:rsidR="005C7651">
        <w:rPr>
          <w:rFonts w:asciiTheme="minorBidi" w:hAnsiTheme="minorBidi" w:hint="cs"/>
          <w:rtl/>
        </w:rPr>
        <w:t>ך שם מיירי</w:t>
      </w:r>
      <w:r w:rsidR="004C4C3F">
        <w:rPr>
          <w:rFonts w:asciiTheme="minorBidi" w:hAnsiTheme="minorBidi" w:hint="cs"/>
          <w:rtl/>
        </w:rPr>
        <w:t xml:space="preserve"> </w:t>
      </w:r>
      <w:r w:rsidR="005C7651">
        <w:rPr>
          <w:rFonts w:asciiTheme="minorBidi" w:hAnsiTheme="minorBidi" w:hint="cs"/>
          <w:rtl/>
        </w:rPr>
        <w:t>כש</w:t>
      </w:r>
      <w:r w:rsidR="004C4C3F">
        <w:rPr>
          <w:rFonts w:asciiTheme="minorBidi" w:hAnsiTheme="minorBidi" w:hint="cs"/>
          <w:rtl/>
        </w:rPr>
        <w:t>מתחייב לאשתו מ</w:t>
      </w:r>
      <w:r w:rsidR="004B35EC">
        <w:rPr>
          <w:rFonts w:asciiTheme="minorBidi" w:hAnsiTheme="minorBidi" w:hint="cs"/>
          <w:rtl/>
        </w:rPr>
        <w:t>זמן ה</w:t>
      </w:r>
      <w:r w:rsidR="004C4C3F">
        <w:rPr>
          <w:rFonts w:asciiTheme="minorBidi" w:hAnsiTheme="minorBidi" w:hint="cs"/>
          <w:rtl/>
        </w:rPr>
        <w:t>נישואין ולא</w:t>
      </w:r>
      <w:r w:rsidR="004B35EC">
        <w:rPr>
          <w:rFonts w:asciiTheme="minorBidi" w:hAnsiTheme="minorBidi" w:hint="cs"/>
          <w:rtl/>
        </w:rPr>
        <w:t xml:space="preserve"> מזמן הקידושין</w:t>
      </w:r>
      <w:r w:rsidR="004C4C3F">
        <w:rPr>
          <w:rFonts w:asciiTheme="minorBidi" w:hAnsiTheme="minorBidi" w:hint="cs"/>
          <w:rtl/>
        </w:rPr>
        <w:t xml:space="preserve"> </w:t>
      </w:r>
      <w:r w:rsidR="004540B7" w:rsidRPr="00351B7D">
        <w:rPr>
          <w:rFonts w:asciiTheme="minorBidi" w:hAnsiTheme="minorBidi"/>
          <w:sz w:val="16"/>
          <w:szCs w:val="16"/>
          <w:rtl/>
        </w:rPr>
        <w:t>(וכ"כ בשו"ת דברי שלום</w:t>
      </w:r>
      <w:r w:rsidR="004540B7" w:rsidRPr="00351B7D">
        <w:rPr>
          <w:rFonts w:asciiTheme="minorBidi" w:hAnsiTheme="minorBidi"/>
          <w:rtl/>
        </w:rPr>
        <w:t xml:space="preserve"> </w:t>
      </w:r>
      <w:r w:rsidR="004540B7" w:rsidRPr="00351B7D">
        <w:rPr>
          <w:rFonts w:asciiTheme="minorBidi" w:hAnsiTheme="minorBidi"/>
          <w:sz w:val="16"/>
          <w:szCs w:val="16"/>
          <w:rtl/>
        </w:rPr>
        <w:t>[אהע"ז ח"ב סי' כד])</w:t>
      </w:r>
      <w:r w:rsidR="004540B7" w:rsidRPr="00351B7D">
        <w:rPr>
          <w:rFonts w:asciiTheme="minorBidi" w:hAnsiTheme="minorBidi"/>
          <w:rtl/>
        </w:rPr>
        <w:t xml:space="preserve">, וז"ל בהעי"ט </w:t>
      </w:r>
      <w:r w:rsidR="004540B7" w:rsidRPr="00351B7D">
        <w:rPr>
          <w:rFonts w:asciiTheme="minorBidi" w:hAnsiTheme="minorBidi"/>
          <w:sz w:val="16"/>
          <w:szCs w:val="16"/>
          <w:rtl/>
        </w:rPr>
        <w:t>(אות כ כתובות דף לד טור ד)</w:t>
      </w:r>
      <w:r w:rsidR="004B35EC">
        <w:rPr>
          <w:rFonts w:asciiTheme="minorBidi" w:hAnsiTheme="minorBidi" w:hint="cs"/>
          <w:rtl/>
        </w:rPr>
        <w:t>:</w:t>
      </w:r>
      <w:r w:rsidR="004540B7" w:rsidRPr="00351B7D">
        <w:rPr>
          <w:rFonts w:asciiTheme="minorBidi" w:hAnsiTheme="minorBidi"/>
          <w:rtl/>
        </w:rPr>
        <w:t xml:space="preserve"> </w:t>
      </w:r>
      <w:r w:rsidR="00781969" w:rsidRPr="00A546DB">
        <w:rPr>
          <w:rFonts w:cs="Arial"/>
          <w:rtl/>
        </w:rPr>
        <w:t>שד</w:t>
      </w:r>
      <w:r w:rsidR="00781969">
        <w:rPr>
          <w:rFonts w:cs="Arial" w:hint="cs"/>
          <w:rtl/>
        </w:rPr>
        <w:t>ר</w:t>
      </w:r>
      <w:r w:rsidR="00781969" w:rsidRPr="00A546DB">
        <w:rPr>
          <w:rFonts w:cs="Arial"/>
          <w:rtl/>
        </w:rPr>
        <w:t>ו ממתיבתא</w:t>
      </w:r>
      <w:r w:rsidR="00781969">
        <w:rPr>
          <w:rFonts w:cs="Arial" w:hint="cs"/>
          <w:rtl/>
        </w:rPr>
        <w:t>,</w:t>
      </w:r>
      <w:r w:rsidR="00781969" w:rsidRPr="00A546DB">
        <w:rPr>
          <w:rFonts w:cs="Arial"/>
          <w:rtl/>
        </w:rPr>
        <w:t xml:space="preserve"> מאן דכתב לאשתו בשעת נישואין ומגרש לה</w:t>
      </w:r>
      <w:r w:rsidR="00781969">
        <w:rPr>
          <w:rFonts w:cs="Arial" w:hint="cs"/>
          <w:rtl/>
        </w:rPr>
        <w:t>,</w:t>
      </w:r>
      <w:r w:rsidR="00781969" w:rsidRPr="00A546DB">
        <w:rPr>
          <w:rFonts w:cs="Arial"/>
          <w:rtl/>
        </w:rPr>
        <w:t xml:space="preserve"> אומרין אקני לה אדעתא למיקם קמיה אדעתא למישקל ולמיפק לא אקני לה</w:t>
      </w:r>
      <w:r w:rsidR="00781969">
        <w:rPr>
          <w:rFonts w:cs="Arial" w:hint="cs"/>
          <w:rtl/>
        </w:rPr>
        <w:t>?</w:t>
      </w:r>
      <w:r w:rsidR="00781969" w:rsidRPr="00A546DB">
        <w:rPr>
          <w:rFonts w:cs="Arial"/>
          <w:rtl/>
        </w:rPr>
        <w:t xml:space="preserve"> אלא מעתה מאן דיהיב מתנה לאיניש דרחים ליה ערביך ערבא בעי למישקל מיניה דרחים ליה לעולם</w:t>
      </w:r>
      <w:r w:rsidR="00781969">
        <w:rPr>
          <w:rFonts w:cs="Arial" w:hint="cs"/>
          <w:rtl/>
        </w:rPr>
        <w:t>,</w:t>
      </w:r>
      <w:r w:rsidR="00781969" w:rsidRPr="00A546DB">
        <w:rPr>
          <w:rFonts w:cs="Arial"/>
          <w:rtl/>
        </w:rPr>
        <w:t xml:space="preserve"> דכי יהיב ליה מתנה לרחמיה ונפל איבה ביניהון דנימא הדרא מתנה</w:t>
      </w:r>
      <w:r w:rsidR="00781969">
        <w:rPr>
          <w:rFonts w:cs="Arial" w:hint="cs"/>
          <w:rtl/>
        </w:rPr>
        <w:t>?</w:t>
      </w:r>
      <w:r w:rsidR="00781969" w:rsidRPr="00A546DB">
        <w:rPr>
          <w:rFonts w:cs="Arial"/>
          <w:rtl/>
        </w:rPr>
        <w:t xml:space="preserve"> האי לאו מתנה היא</w:t>
      </w:r>
      <w:r w:rsidR="00781969">
        <w:rPr>
          <w:rFonts w:cs="Arial" w:hint="cs"/>
          <w:rtl/>
        </w:rPr>
        <w:t>!</w:t>
      </w:r>
      <w:r w:rsidR="00781969" w:rsidRPr="00A546DB">
        <w:rPr>
          <w:rFonts w:cs="Arial"/>
          <w:rtl/>
        </w:rPr>
        <w:t xml:space="preserve"> ועוד כך עושין רבותינו הראשונים וכל דייני דמתיבתא ואבות ב"ד הראשונים כך היו דנים</w:t>
      </w:r>
      <w:r w:rsidR="00781969">
        <w:rPr>
          <w:rFonts w:cs="Arial" w:hint="cs"/>
          <w:rtl/>
        </w:rPr>
        <w:t>. עכ"ל.</w:t>
      </w:r>
      <w:r w:rsidR="004B6298">
        <w:rPr>
          <w:rFonts w:cs="Arial" w:hint="cs"/>
          <w:rtl/>
        </w:rPr>
        <w:t xml:space="preserve">      </w:t>
      </w:r>
      <w:r w:rsidR="00781969">
        <w:rPr>
          <w:rFonts w:asciiTheme="minorBidi" w:hAnsiTheme="minorBidi" w:hint="cs"/>
          <w:rtl/>
        </w:rPr>
        <w:t xml:space="preserve"> </w:t>
      </w:r>
      <w:r w:rsidR="00835158">
        <w:rPr>
          <w:rFonts w:hint="cs"/>
          <w:rtl/>
        </w:rPr>
        <w:t>ואולי אפשר שטעות סופר היא בדברי הטור וצריך לגרוס "בשעת נישואין", ואז מובן למה הביא את דבריו לאחר דברי רב האי</w:t>
      </w:r>
      <w:r w:rsidR="004B6298">
        <w:rPr>
          <w:rFonts w:hint="cs"/>
          <w:rtl/>
        </w:rPr>
        <w:t>, אבל קשה לומר כן משום שכתב מיד אח"כ דלא כתב לה "אדעתא למשקל ומיפק" ואת זה אומרים רק כשעדיין לא נשא</w:t>
      </w:r>
      <w:r w:rsidR="00835158">
        <w:rPr>
          <w:rFonts w:hint="cs"/>
          <w:rtl/>
        </w:rPr>
        <w:t>.</w:t>
      </w:r>
      <w:r w:rsidR="00781969">
        <w:rPr>
          <w:rFonts w:asciiTheme="minorBidi" w:hAnsiTheme="minorBidi" w:hint="cs"/>
          <w:rtl/>
        </w:rPr>
        <w:t xml:space="preserve"> </w:t>
      </w:r>
      <w:r w:rsidR="004540B7" w:rsidRPr="00351B7D">
        <w:rPr>
          <w:rFonts w:asciiTheme="minorBidi" w:hAnsiTheme="minorBidi"/>
          <w:sz w:val="16"/>
          <w:szCs w:val="16"/>
          <w:rtl/>
        </w:rPr>
        <w:t xml:space="preserve">(וכ' הדברי שלום </w:t>
      </w:r>
      <w:r w:rsidR="004540B7" w:rsidRPr="00351B7D">
        <w:rPr>
          <w:rFonts w:asciiTheme="minorBidi" w:hAnsiTheme="minorBidi"/>
          <w:sz w:val="12"/>
          <w:szCs w:val="12"/>
          <w:rtl/>
        </w:rPr>
        <w:t xml:space="preserve">[שם] </w:t>
      </w:r>
      <w:r w:rsidR="004540B7" w:rsidRPr="00351B7D">
        <w:rPr>
          <w:rFonts w:asciiTheme="minorBidi" w:hAnsiTheme="minorBidi"/>
          <w:sz w:val="16"/>
          <w:szCs w:val="16"/>
          <w:rtl/>
        </w:rPr>
        <w:t>וז"ל</w:t>
      </w:r>
      <w:r w:rsidR="005C7651">
        <w:rPr>
          <w:rFonts w:asciiTheme="minorBidi" w:hAnsiTheme="minorBidi" w:hint="cs"/>
          <w:sz w:val="16"/>
          <w:szCs w:val="16"/>
          <w:rtl/>
        </w:rPr>
        <w:t xml:space="preserve">: </w:t>
      </w:r>
      <w:r w:rsidR="004540B7" w:rsidRPr="00351B7D">
        <w:rPr>
          <w:rFonts w:asciiTheme="minorBidi" w:hAnsiTheme="minorBidi"/>
          <w:sz w:val="16"/>
          <w:szCs w:val="16"/>
          <w:rtl/>
        </w:rPr>
        <w:t>אבל מ"מ קשה ממה שהבאנו לעיל מדברי העיטור בשם מתיבתא היפך מ"ש הטור בשמו ובשם רב שר שלום והסכמת כל בני מתיבתא, ונראה לי ליישב דמ"ש בעיטור דלא גביא היינו בהיכא שמגרשה מחמת שסרחה עליו, ומ"ש הטור בשמו דגביא היינו כשמגרשה מרצונו בלא שום סיבה כגון שמצא נאה הימנה וכיוצא וכמו שחילק שם העיטור חילוק זה בד' הרי"ף ז"ל יעו"ש, והובא בטור סי' צט ע"ש, ובזה אתי שפיר דלא תקשי דברי הגאונים והמתיבתא אהדדי ודוק)</w:t>
      </w:r>
      <w:r w:rsidR="005C7651">
        <w:rPr>
          <w:rFonts w:asciiTheme="minorBidi" w:hAnsiTheme="minorBidi" w:hint="cs"/>
          <w:sz w:val="16"/>
          <w:szCs w:val="16"/>
          <w:rtl/>
        </w:rPr>
        <w:t>.</w:t>
      </w:r>
    </w:p>
  </w:footnote>
  <w:footnote w:id="92">
    <w:p w14:paraId="4CC2AFE1"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ונראה טעמם, דדוקא בקדושין אמרינן כן דעל דעת כן נעשו הקדושין ואילו לא הייתה אותה הפסיקה לא הסכימו לקדשה, משא"כ בנישואין שהוכרחו לזה כיון שכבר נתקדשה, ט"ז (סק"ג</w:t>
      </w:r>
      <w:r w:rsidRPr="00351B7D">
        <w:rPr>
          <w:rFonts w:asciiTheme="minorBidi" w:hAnsiTheme="minorBidi"/>
          <w:vertAlign w:val="superscript"/>
          <w:rtl/>
        </w:rPr>
        <w:t>8</w:t>
      </w:r>
      <w:r w:rsidRPr="00351B7D">
        <w:rPr>
          <w:rFonts w:asciiTheme="minorBidi" w:hAnsiTheme="minorBidi"/>
          <w:rtl/>
        </w:rPr>
        <w:t xml:space="preserve"> מכת"י).</w:t>
      </w:r>
    </w:p>
  </w:footnote>
  <w:footnote w:id="93">
    <w:p w14:paraId="63E23090" w14:textId="01924014"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 הערך לחם וז"ל</w:t>
      </w:r>
      <w:r w:rsidR="00DB6747">
        <w:rPr>
          <w:rFonts w:asciiTheme="minorBidi" w:hAnsiTheme="minorBidi" w:hint="cs"/>
          <w:rtl/>
        </w:rPr>
        <w:t>:</w:t>
      </w:r>
      <w:r w:rsidRPr="00351B7D">
        <w:rPr>
          <w:rFonts w:asciiTheme="minorBidi" w:hAnsiTheme="minorBidi"/>
          <w:rtl/>
        </w:rPr>
        <w:t xml:space="preserve"> וצ"ע כשנשבע או נדר בשטר השידוכין על דבר מה איך יו</w:t>
      </w:r>
      <w:r w:rsidR="00E354DE">
        <w:rPr>
          <w:rFonts w:asciiTheme="minorBidi" w:hAnsiTheme="minorBidi" w:hint="cs"/>
          <w:rtl/>
        </w:rPr>
        <w:t>ּ</w:t>
      </w:r>
      <w:r w:rsidRPr="00351B7D">
        <w:rPr>
          <w:rFonts w:asciiTheme="minorBidi" w:hAnsiTheme="minorBidi"/>
          <w:rtl/>
        </w:rPr>
        <w:t>ת</w:t>
      </w:r>
      <w:r w:rsidR="00E354DE">
        <w:rPr>
          <w:rFonts w:asciiTheme="minorBidi" w:hAnsiTheme="minorBidi" w:hint="cs"/>
          <w:rtl/>
        </w:rPr>
        <w:t>ַ</w:t>
      </w:r>
      <w:r w:rsidRPr="00351B7D">
        <w:rPr>
          <w:rFonts w:asciiTheme="minorBidi" w:hAnsiTheme="minorBidi"/>
          <w:rtl/>
        </w:rPr>
        <w:t>ר בשטר הכתובה, ונראה דאמרינן דאדעתא דהכי עבדי מעיקרא שיהא שטר כתובה עיקר, ועי' סי' ק סוף דין י"ד.</w:t>
      </w:r>
    </w:p>
  </w:footnote>
  <w:footnote w:id="94">
    <w:p w14:paraId="776DFEBE"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אף על פי שלא נתקבלה מוחלת וכותבת בלשון שובר, רש"י.</w:t>
      </w:r>
    </w:p>
  </w:footnote>
  <w:footnote w:id="95">
    <w:p w14:paraId="51D2B795"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דהוה ליה תנאה בעלמא לא הוי תנאה דמתנה על מה שכתוב בתורה הוא, רש"י.</w:t>
      </w:r>
    </w:p>
  </w:footnote>
  <w:footnote w:id="96">
    <w:p w14:paraId="1BD9B303"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שאר וכסות, רש"י.</w:t>
      </w:r>
    </w:p>
  </w:footnote>
  <w:footnote w:id="97">
    <w:p w14:paraId="09B53271"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ועי' לקמן </w:t>
      </w:r>
      <w:r w:rsidRPr="00351B7D">
        <w:rPr>
          <w:rFonts w:asciiTheme="minorBidi" w:hAnsiTheme="minorBidi"/>
          <w:sz w:val="16"/>
          <w:szCs w:val="16"/>
          <w:rtl/>
        </w:rPr>
        <w:t xml:space="preserve">(בדברי הר"ן) </w:t>
      </w:r>
      <w:r w:rsidRPr="00351B7D">
        <w:rPr>
          <w:rFonts w:asciiTheme="minorBidi" w:hAnsiTheme="minorBidi"/>
          <w:rtl/>
        </w:rPr>
        <w:t>דר' יוסי פליג על ר' יהודה וסבר דתנאו קיים ואע"ג דעשו חכמים חיזוק לדברים יותר משל תורה.</w:t>
      </w:r>
    </w:p>
  </w:footnote>
  <w:footnote w:id="98">
    <w:p w14:paraId="075CBCF2"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מדלא תנא כל בתולה שאין לה מאתים ואלמנה שאין לה מנה הרי זו בעילת זנות ש"מ דהכי אשמועינן שאע"פ שהיא גובה לבסוף דאין תנאו קיים אפ"ה כיון דמעיקרא אתני קרי לה בעילת זנות משום דמשעת ביאה לא הוה סמכא דעתה אכתובה, רש"י. </w:t>
      </w:r>
    </w:p>
    <w:p w14:paraId="0BC9439E" w14:textId="77777777" w:rsidR="00DE2F5F" w:rsidRPr="00351B7D" w:rsidRDefault="00DE2F5F" w:rsidP="00973C57">
      <w:pPr>
        <w:pStyle w:val="a5"/>
        <w:rPr>
          <w:rFonts w:asciiTheme="minorBidi" w:hAnsiTheme="minorBidi"/>
        </w:rPr>
      </w:pPr>
      <w:r w:rsidRPr="00351B7D">
        <w:rPr>
          <w:rFonts w:asciiTheme="minorBidi" w:hAnsiTheme="minorBidi"/>
          <w:rtl/>
        </w:rPr>
        <w:t>משמע אפילו שלא פחת לה אלא באופן של תנאה וכגון שלא כתבה לו "התקבלתי" אלא אמרה בעל פה שהוא תנאי בעלמא שאינו חל ובסופו של דבר תוכל לגבות את כתובתה כולה, אפילו הכי בעילתו בעילת זנות, חברותא (וכ"כ הרא"ש, עי' לקמן).</w:t>
      </w:r>
    </w:p>
  </w:footnote>
  <w:footnote w:id="99">
    <w:p w14:paraId="4333C49D"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דבלאו הכי לאו רבותא היא דנקט כל הפוחת, רש"י.</w:t>
      </w:r>
    </w:p>
  </w:footnote>
  <w:footnote w:id="100">
    <w:p w14:paraId="340A8810"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אין האשה סומכת דעתה שתקבל את כתובתה, חברותא.</w:t>
      </w:r>
    </w:p>
  </w:footnote>
  <w:footnote w:id="101">
    <w:p w14:paraId="0AC802AE" w14:textId="4A82F3F2" w:rsidR="003B6AC2" w:rsidRDefault="003B6AC2">
      <w:pPr>
        <w:pStyle w:val="a5"/>
      </w:pPr>
      <w:r>
        <w:rPr>
          <w:rStyle w:val="a7"/>
        </w:rPr>
        <w:footnoteRef/>
      </w:r>
      <w:r>
        <w:rPr>
          <w:rtl/>
        </w:rPr>
        <w:t xml:space="preserve"> </w:t>
      </w:r>
      <w:r>
        <w:rPr>
          <w:rFonts w:hint="cs"/>
          <w:rtl/>
        </w:rPr>
        <w:t>וז"ל:</w:t>
      </w:r>
      <w:r w:rsidRPr="003B6AC2">
        <w:rPr>
          <w:rtl/>
        </w:rPr>
        <w:t xml:space="preserve"> </w:t>
      </w:r>
      <w:r w:rsidRPr="003B6AC2">
        <w:rPr>
          <w:rFonts w:cs="Arial"/>
          <w:rtl/>
        </w:rPr>
        <w:t>הכי קאמר רבי מאיר לרבי יהודה לא מיבעיא אם כתבה לו התקבלתי דאז אין לה כתובה כיון דמחלה דהוי בעילת זנות אלא אפילו הפוחת בתנאה בשעת הקדושין דתנאו בטל הוי בעילת זנות דכיון דאמר לה לית ליך אלא מנה לא סמכה דעתה והויא לה בעילת זנות</w:t>
      </w:r>
      <w:r>
        <w:rPr>
          <w:rFonts w:cs="Arial" w:hint="cs"/>
          <w:rtl/>
        </w:rPr>
        <w:t>.</w:t>
      </w:r>
    </w:p>
  </w:footnote>
  <w:footnote w:id="102">
    <w:p w14:paraId="7E1D52C1" w14:textId="7DDDEDC4" w:rsidR="00403F76" w:rsidRDefault="00403F76">
      <w:pPr>
        <w:pStyle w:val="a5"/>
      </w:pPr>
      <w:r>
        <w:rPr>
          <w:rStyle w:val="a7"/>
        </w:rPr>
        <w:footnoteRef/>
      </w:r>
      <w:r>
        <w:rPr>
          <w:rtl/>
        </w:rPr>
        <w:t xml:space="preserve"> </w:t>
      </w:r>
      <w:r>
        <w:rPr>
          <w:rFonts w:hint="cs"/>
          <w:rtl/>
        </w:rPr>
        <w:t>השו"ע לא נחית לבאר כאן אם התנאי בטל או לא</w:t>
      </w:r>
      <w:r w:rsidR="00FB7C5C">
        <w:rPr>
          <w:rFonts w:hint="cs"/>
          <w:rtl/>
        </w:rPr>
        <w:t xml:space="preserve"> (ונפק"מ אם יכולה לגבות בבית דין מה שמחלה בכתב)</w:t>
      </w:r>
      <w:r>
        <w:rPr>
          <w:rFonts w:hint="cs"/>
          <w:rtl/>
        </w:rPr>
        <w:t xml:space="preserve">, אלא לומר דכך או כך </w:t>
      </w:r>
      <w:r w:rsidR="00FB7C5C">
        <w:rPr>
          <w:rFonts w:hint="cs"/>
          <w:rtl/>
        </w:rPr>
        <w:t>הרי זו בעילת זנות.</w:t>
      </w:r>
    </w:p>
  </w:footnote>
  <w:footnote w:id="103">
    <w:p w14:paraId="30303F31" w14:textId="19544C89" w:rsidR="00097AD6" w:rsidRDefault="00097AD6">
      <w:pPr>
        <w:pStyle w:val="a5"/>
        <w:rPr>
          <w:rtl/>
        </w:rPr>
      </w:pPr>
      <w:r>
        <w:rPr>
          <w:rStyle w:val="a7"/>
        </w:rPr>
        <w:footnoteRef/>
      </w:r>
      <w:r>
        <w:rPr>
          <w:rtl/>
        </w:rPr>
        <w:t xml:space="preserve"> </w:t>
      </w:r>
      <w:r>
        <w:rPr>
          <w:rFonts w:hint="cs"/>
          <w:rtl/>
        </w:rPr>
        <w:t>סימן - יתן/יכתוב ב' (פעמיים).</w:t>
      </w:r>
    </w:p>
  </w:footnote>
  <w:footnote w:id="104">
    <w:p w14:paraId="180E996D" w14:textId="77777777" w:rsidR="002A1F66" w:rsidRPr="00351B7D" w:rsidRDefault="002A1F66" w:rsidP="002A1F66">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בת כהן כשנישאת לכהן וכ"ש כשנישאת לישראל, רש"י.</w:t>
      </w:r>
    </w:p>
  </w:footnote>
  <w:footnote w:id="105">
    <w:p w14:paraId="1D5B79E8" w14:textId="77777777" w:rsidR="00E01167" w:rsidRPr="00351B7D" w:rsidRDefault="00E01167" w:rsidP="00E0116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וע"ל סוף סימן קי"ח (עמ' צא - צג) איזו מתנה שמוסיף לאשתו יש לה דין מתנה ואיזו יש לה דין תוספת, דרכ"מ (אות י"ג).</w:t>
      </w:r>
    </w:p>
  </w:footnote>
  <w:footnote w:id="106">
    <w:p w14:paraId="792C31CF"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ואע"ג דבגמרא אמרו זה במשפחות מיוחסות, לאו דוקא, אורחא דמילתא הוא, דבשאר משפחות אין שומעין להם, ח"מ (סקל"ו).</w:t>
      </w:r>
    </w:p>
  </w:footnote>
  <w:footnote w:id="107">
    <w:p w14:paraId="73BE3951" w14:textId="0A4A30D8" w:rsidR="00DE2F5F" w:rsidRPr="00351B7D" w:rsidRDefault="00DE2F5F" w:rsidP="00973C57">
      <w:pPr>
        <w:pStyle w:val="a5"/>
        <w:rPr>
          <w:rFonts w:asciiTheme="minorBidi" w:hAnsiTheme="minorBidi"/>
          <w:sz w:val="14"/>
          <w:szCs w:val="14"/>
          <w:rtl/>
        </w:rPr>
      </w:pPr>
      <w:r w:rsidRPr="00351B7D">
        <w:rPr>
          <w:rStyle w:val="a7"/>
          <w:rFonts w:asciiTheme="minorBidi" w:hAnsiTheme="minorBidi"/>
        </w:rPr>
        <w:footnoteRef/>
      </w:r>
      <w:r w:rsidRPr="00351B7D">
        <w:rPr>
          <w:rFonts w:asciiTheme="minorBidi" w:hAnsiTheme="minorBidi"/>
          <w:rtl/>
        </w:rPr>
        <w:t xml:space="preserve"> אשה שמכניסה לבעלה מעות בנדוניה</w:t>
      </w:r>
      <w:r w:rsidR="00F37BD0">
        <w:rPr>
          <w:rFonts w:asciiTheme="minorBidi" w:hAnsiTheme="minorBidi" w:hint="cs"/>
          <w:rtl/>
        </w:rPr>
        <w:t>,</w:t>
      </w:r>
      <w:r w:rsidRPr="00351B7D">
        <w:rPr>
          <w:rFonts w:asciiTheme="minorBidi" w:hAnsiTheme="minorBidi"/>
          <w:rtl/>
        </w:rPr>
        <w:t xml:space="preserve"> הוא מוסיף מחצה (היינו שרושם בכתובה את הסכום שהכניסה פי אחד וחצי)</w:t>
      </w:r>
      <w:r w:rsidR="00F37BD0">
        <w:rPr>
          <w:rFonts w:asciiTheme="minorBidi" w:hAnsiTheme="minorBidi" w:hint="cs"/>
          <w:rtl/>
        </w:rPr>
        <w:t>.</w:t>
      </w:r>
      <w:r w:rsidRPr="00351B7D">
        <w:rPr>
          <w:rFonts w:asciiTheme="minorBidi" w:hAnsiTheme="minorBidi"/>
          <w:rtl/>
        </w:rPr>
        <w:t xml:space="preserve"> אבל אם הכניסה לו מיטלטלים (כגון בגדים ותכשיטים)</w:t>
      </w:r>
      <w:r w:rsidR="00F37BD0">
        <w:rPr>
          <w:rFonts w:asciiTheme="minorBidi" w:hAnsiTheme="minorBidi" w:hint="cs"/>
          <w:rtl/>
        </w:rPr>
        <w:t>,</w:t>
      </w:r>
      <w:r w:rsidRPr="00351B7D">
        <w:rPr>
          <w:rFonts w:asciiTheme="minorBidi" w:hAnsiTheme="minorBidi"/>
          <w:rtl/>
        </w:rPr>
        <w:t xml:space="preserve"> הוא רושם את שווים פחות חומש.  </w:t>
      </w:r>
    </w:p>
  </w:footnote>
  <w:footnote w:id="108">
    <w:p w14:paraId="63A9C84B"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היינו עשרה מנה (מזומן).</w:t>
      </w:r>
    </w:p>
  </w:footnote>
  <w:footnote w:id="109">
    <w:p w14:paraId="0375C66F"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הוא כותב בכתובה פי אחד וחצי (היינו מחצית מה שהכניסה והיינו שליש מלבר), ועושה כן לפי שמשתכר בהן.</w:t>
      </w:r>
    </w:p>
  </w:footnote>
  <w:footnote w:id="110">
    <w:p w14:paraId="584A33FD"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היינו אם הכניסה לו דברים הצריכים שומה, היינו מיטלטלים </w:t>
      </w:r>
      <w:r w:rsidRPr="00351B7D">
        <w:rPr>
          <w:rFonts w:asciiTheme="minorBidi" w:hAnsiTheme="minorBidi"/>
          <w:sz w:val="16"/>
          <w:szCs w:val="16"/>
          <w:rtl/>
        </w:rPr>
        <w:t>(כגון בגדים תכשיטים וכלים)</w:t>
      </w:r>
      <w:r w:rsidRPr="00351B7D">
        <w:rPr>
          <w:rFonts w:asciiTheme="minorBidi" w:hAnsiTheme="minorBidi"/>
          <w:rtl/>
        </w:rPr>
        <w:t>, וקרוביה שמים את שווים בביתה לפני החתונה.</w:t>
      </w:r>
    </w:p>
  </w:footnote>
  <w:footnote w:id="111">
    <w:p w14:paraId="31B95C6F"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משום שמשתמשין במיטלטלים והן פוחתין, ואם הכניסה פרקמטיא (שאינה פוחתת) מ"מ פוחת חומש משום שדרך קרוביה להוסיף חומש על שומת שווים לכבוד הכלה ולחבבה על בעלה. </w:t>
      </w:r>
    </w:p>
  </w:footnote>
  <w:footnote w:id="112">
    <w:p w14:paraId="2F1BDAE7"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הכניסה לו מיטלטלים בשווי מנה אבל הם באמת שווים מנה ולא הוסיפו קרוביה חומש על ערכם בשעת השומה.</w:t>
      </w:r>
    </w:p>
  </w:footnote>
  <w:footnote w:id="113">
    <w:p w14:paraId="5AA99BD2"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חייב לכתוב בכתובה שהכניסה לו מנה, ולא להפחית חומש בטענה שקרוביה שמו והוסיפו חומש.</w:t>
      </w:r>
    </w:p>
  </w:footnote>
  <w:footnote w:id="114">
    <w:p w14:paraId="37CBA134"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כדי שיהיה כתוב בכתובה שהיא הכניסה לו מיטלטלים בשווי מנה היא נותנת...</w:t>
      </w:r>
    </w:p>
  </w:footnote>
  <w:footnote w:id="115">
    <w:p w14:paraId="19F42089"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דהיינו מנה וחומשו.</w:t>
      </w:r>
    </w:p>
  </w:footnote>
  <w:footnote w:id="116">
    <w:p w14:paraId="4590D6AD"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שום שיקבל עליו לכתוב ארבע מאות, רש"י. </w:t>
      </w:r>
    </w:p>
  </w:footnote>
  <w:footnote w:id="117">
    <w:p w14:paraId="60887972"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ואם שמו הם תחלה והכניסה לו בין שום קטן בין שום גדול הוא כותב בשטר פחות חומש ובגמרא מפרש לה ל"ל כל הני, רש"י.</w:t>
      </w:r>
    </w:p>
  </w:footnote>
  <w:footnote w:id="118">
    <w:p w14:paraId="15D06C94" w14:textId="77777777" w:rsidR="007B6E86" w:rsidRPr="00351B7D" w:rsidRDefault="007B6E86" w:rsidP="007B6E86">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שהן מוכנים לשכר מיד, רש"י.</w:t>
      </w:r>
    </w:p>
  </w:footnote>
  <w:footnote w:id="119">
    <w:p w14:paraId="0234CCC5" w14:textId="6D7CBE97" w:rsidR="000E7E98" w:rsidRDefault="000E7E98">
      <w:pPr>
        <w:pStyle w:val="a5"/>
        <w:rPr>
          <w:rtl/>
        </w:rPr>
      </w:pPr>
      <w:r>
        <w:rPr>
          <w:rStyle w:val="a7"/>
        </w:rPr>
        <w:footnoteRef/>
      </w:r>
      <w:r>
        <w:rPr>
          <w:rtl/>
        </w:rPr>
        <w:t xml:space="preserve"> </w:t>
      </w:r>
      <w:r w:rsidRPr="000E7E98">
        <w:rPr>
          <w:rFonts w:cs="Arial"/>
          <w:rtl/>
        </w:rPr>
        <w:t>לכתוב בשטר הכתובה בששה דינר יותר שליש כדתנן לעיל ובגמרא מפרש הא תו למה לי</w:t>
      </w:r>
      <w:r>
        <w:rPr>
          <w:rFonts w:hint="cs"/>
          <w:rtl/>
        </w:rPr>
        <w:t>, רש"י.</w:t>
      </w:r>
    </w:p>
  </w:footnote>
  <w:footnote w:id="120">
    <w:p w14:paraId="4402E4A6" w14:textId="7E286D56" w:rsidR="00315209" w:rsidRDefault="00315209">
      <w:pPr>
        <w:pStyle w:val="a5"/>
      </w:pPr>
      <w:r>
        <w:rPr>
          <w:rStyle w:val="a7"/>
        </w:rPr>
        <w:footnoteRef/>
      </w:r>
      <w:r>
        <w:rPr>
          <w:rtl/>
        </w:rPr>
        <w:t xml:space="preserve"> </w:t>
      </w:r>
      <w:r w:rsidR="000E7E98" w:rsidRPr="000E7E98">
        <w:rPr>
          <w:rFonts w:cs="Arial"/>
          <w:rtl/>
        </w:rPr>
        <w:t>בגמרא מפרש שיתן לה עשרה זוז לכל מנה ומנה שהיא מביאה לו ויקנו לה מהם בשמים לרחוץ בהם בתמרוקי הנשים שכך שיערו שהאשה המביאה לבעלה מנה ראויה היא לבשמים של עשרה זוז ולא פירשו במשנה אם לכל יום אם לכל שבת אם לכל חדש אם לכל שנה</w:t>
      </w:r>
      <w:r w:rsidR="000E7E98">
        <w:rPr>
          <w:rFonts w:cs="Arial" w:hint="cs"/>
          <w:rtl/>
        </w:rPr>
        <w:t>, רש"י.</w:t>
      </w:r>
    </w:p>
  </w:footnote>
  <w:footnote w:id="121">
    <w:p w14:paraId="6C2E479F" w14:textId="27210C67" w:rsidR="004807FF" w:rsidRDefault="004807FF">
      <w:pPr>
        <w:pStyle w:val="a5"/>
      </w:pPr>
      <w:r>
        <w:rPr>
          <w:rStyle w:val="a7"/>
        </w:rPr>
        <w:footnoteRef/>
      </w:r>
      <w:r>
        <w:rPr>
          <w:rtl/>
        </w:rPr>
        <w:t xml:space="preserve"> </w:t>
      </w:r>
      <w:r w:rsidRPr="004807FF">
        <w:rPr>
          <w:rFonts w:asciiTheme="minorBidi" w:hAnsiTheme="minorBidi"/>
          <w:color w:val="000000"/>
          <w:rtl/>
        </w:rPr>
        <w:t>ופסק הרמב"ם (פכ"ג מה"א הי"ב) כרשב"ג, ופירש דרשב"ג קאי אכולא מתני'. וכ"פ הגאונים והרי"ף ושא"פ</w:t>
      </w:r>
      <w:r>
        <w:rPr>
          <w:rFonts w:asciiTheme="minorBidi" w:hAnsiTheme="minorBidi" w:hint="cs"/>
          <w:color w:val="000000"/>
          <w:rtl/>
        </w:rPr>
        <w:t>.</w:t>
      </w:r>
    </w:p>
  </w:footnote>
  <w:footnote w:id="122">
    <w:p w14:paraId="189B6E2B" w14:textId="77777777" w:rsidR="009E51CE" w:rsidRPr="00351B7D" w:rsidRDefault="009E51CE" w:rsidP="009E51CE">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שכל מה שכתוב בשטר כתובתה: ודין נדוניא דהנעלת ליה מבי נשא לבית בעלה וכו' - נפרעת ממנו כשנתארמלה או נתגרשה, כדרך שבעל חוב נפרע, ככל הכתוב בשטר מלוה, כגון שכותבין בה כמו שאנו כותבין אחריות דנא קבילת עלאי, רש"י.</w:t>
      </w:r>
    </w:p>
  </w:footnote>
  <w:footnote w:id="123">
    <w:p w14:paraId="1DDE1D59" w14:textId="77777777" w:rsidR="009E51CE" w:rsidRPr="00351B7D" w:rsidRDefault="009E51CE" w:rsidP="009E51CE">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בעל גובה מאבי הבת כל מה שכתוב בכתובתה, כאילו הלוהו, רש"י.</w:t>
      </w:r>
    </w:p>
  </w:footnote>
  <w:footnote w:id="124">
    <w:p w14:paraId="6D189BDF" w14:textId="77777777" w:rsidR="009E51CE" w:rsidRPr="00351B7D" w:rsidRDefault="009E51CE" w:rsidP="009E51CE">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לשום את מה שמכנסת לו כפליים בדמיו בשביל כבוד, ולכתוב כפליים בכתובתה, וכשהיא יוצאת אינה נפרעת אלא החצי, רש"י.</w:t>
      </w:r>
    </w:p>
  </w:footnote>
  <w:footnote w:id="125">
    <w:p w14:paraId="6420B139" w14:textId="77777777" w:rsidR="009E51CE" w:rsidRPr="00351B7D" w:rsidRDefault="009E51CE" w:rsidP="009E51CE">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החתן מחמיו מחצה, רש"י.</w:t>
      </w:r>
    </w:p>
  </w:footnote>
  <w:footnote w:id="126">
    <w:p w14:paraId="4B1E6453" w14:textId="7BDA47C5" w:rsidR="00814BDB" w:rsidRDefault="00814BDB">
      <w:pPr>
        <w:pStyle w:val="a5"/>
      </w:pPr>
      <w:r>
        <w:rPr>
          <w:rStyle w:val="a7"/>
        </w:rPr>
        <w:footnoteRef/>
      </w:r>
      <w:r>
        <w:rPr>
          <w:rtl/>
        </w:rPr>
        <w:t xml:space="preserve"> </w:t>
      </w:r>
      <w:r w:rsidRPr="00814BDB">
        <w:rPr>
          <w:rFonts w:cs="Arial"/>
          <w:rtl/>
        </w:rPr>
        <w:t>מה שכתב רבינו שדינן כשאר הכתובה היינו דוקא לענין מ"ש ונגבית עמה כלומר דכשם שכתובה לא ניתנה לגבות אלא לאחר מיתה או גירושין ולא קודם לכן נדוניא נמי אינה נגבית קודם לכן אבל יש כמה דברים שהנדוניא מוחלקת בהם מהכתובה כמו שיתבאר בסימן</w:t>
      </w:r>
      <w:r>
        <w:rPr>
          <w:rFonts w:cs="Arial" w:hint="cs"/>
          <w:rtl/>
        </w:rPr>
        <w:t>, ב"י.</w:t>
      </w:r>
    </w:p>
  </w:footnote>
  <w:footnote w:id="127">
    <w:p w14:paraId="0BDB77EE" w14:textId="541820AB" w:rsidR="00740ED5" w:rsidRDefault="00740ED5">
      <w:pPr>
        <w:pStyle w:val="a5"/>
        <w:rPr>
          <w:rtl/>
        </w:rPr>
      </w:pPr>
      <w:r>
        <w:rPr>
          <w:rStyle w:val="a7"/>
        </w:rPr>
        <w:footnoteRef/>
      </w:r>
      <w:r>
        <w:rPr>
          <w:rtl/>
        </w:rPr>
        <w:t xml:space="preserve"> </w:t>
      </w:r>
      <w:r w:rsidRPr="00740ED5">
        <w:rPr>
          <w:rFonts w:cs="Arial"/>
          <w:rtl/>
        </w:rPr>
        <w:t>עיין בפרק המקבל (ב"מ קד:) ועיין ברבינו ירוחם (מישרים נכ"ג ח"א נה ע"ב)</w:t>
      </w:r>
      <w:r>
        <w:rPr>
          <w:rFonts w:cs="Arial" w:hint="cs"/>
          <w:rtl/>
        </w:rPr>
        <w:t>, ב"י.</w:t>
      </w:r>
    </w:p>
  </w:footnote>
  <w:footnote w:id="128">
    <w:p w14:paraId="1A4EBFBA" w14:textId="2A66827F" w:rsidR="005A66B8" w:rsidRDefault="005A66B8">
      <w:pPr>
        <w:pStyle w:val="a5"/>
      </w:pPr>
      <w:r>
        <w:rPr>
          <w:rStyle w:val="a7"/>
        </w:rPr>
        <w:footnoteRef/>
      </w:r>
      <w:r>
        <w:rPr>
          <w:rtl/>
        </w:rPr>
        <w:t xml:space="preserve"> </w:t>
      </w:r>
      <w:r w:rsidRPr="005A66B8">
        <w:rPr>
          <w:rFonts w:cs="Arial"/>
          <w:rtl/>
        </w:rPr>
        <w:t>זה היה מנהג מקומו וכן נוהגין האשכנזים לכתוב בכתובה ת' פרחים בין לא הכניסה לו כלום בין הכניסה לו יותר</w:t>
      </w:r>
      <w:r w:rsidR="00022D68">
        <w:rPr>
          <w:rFonts w:cs="Arial" w:hint="cs"/>
          <w:rtl/>
        </w:rPr>
        <w:t>,</w:t>
      </w:r>
      <w:r w:rsidRPr="005A66B8">
        <w:rPr>
          <w:rFonts w:cs="Arial"/>
          <w:rtl/>
        </w:rPr>
        <w:t xml:space="preserve"> אבל אין כן מנהג מקומותינו אלא לפי מה שמכנסת כל אחת כך כותבין לה</w:t>
      </w:r>
      <w:r w:rsidR="003C5F25">
        <w:rPr>
          <w:rFonts w:cs="Arial" w:hint="cs"/>
          <w:rtl/>
        </w:rPr>
        <w:t xml:space="preserve"> </w:t>
      </w:r>
      <w:r w:rsidR="003C5F25" w:rsidRPr="003C5F25">
        <w:rPr>
          <w:rFonts w:cs="Arial" w:hint="cs"/>
          <w:sz w:val="16"/>
          <w:szCs w:val="16"/>
          <w:rtl/>
        </w:rPr>
        <w:t>(</w:t>
      </w:r>
      <w:r w:rsidR="003C5F25" w:rsidRPr="003C5F25">
        <w:rPr>
          <w:rFonts w:cs="Arial"/>
          <w:sz w:val="16"/>
          <w:szCs w:val="16"/>
          <w:rtl/>
        </w:rPr>
        <w:t>במקום שנהגו לכתוב בכל הכתובות בשוה אם אשה אחת מוציאה שטר כתובתה וכתוב בו יותר מהמנהג ואין חתום בה אלא עד אחד כשר והשני פסול ושטר התנאים שביניהם עדיין קיים ואין בו קנין רק שקיבל עליו בקנס גדול לכתוב לה סך כך וכך עיין בכתבי מה"ר איסרלן (תרומת הדשן ח"ב) סימן פ"ט וסוף דבריו אני מגמגם בהם: ולענין היכא דרגילי לכתוב הכתובות בשוה אלא שאינו מנהג קבוע כל כך ואין כתובתה בידה וכן אם כתובתה בידה אלא שאינה מקויימת עיין בכתבי מה"ר איסרלן סימן רכ"ט ורל"ב</w:t>
      </w:r>
      <w:r w:rsidR="003C5F25" w:rsidRPr="003C5F25">
        <w:rPr>
          <w:rFonts w:cs="Arial" w:hint="cs"/>
          <w:sz w:val="16"/>
          <w:szCs w:val="16"/>
          <w:rtl/>
        </w:rPr>
        <w:t>)</w:t>
      </w:r>
      <w:r w:rsidR="003C5F25">
        <w:rPr>
          <w:rFonts w:cs="Arial" w:hint="cs"/>
          <w:rtl/>
        </w:rPr>
        <w:t>,</w:t>
      </w:r>
      <w:r>
        <w:rPr>
          <w:rFonts w:cs="Arial" w:hint="cs"/>
          <w:rtl/>
        </w:rPr>
        <w:t xml:space="preserve"> ב"י.</w:t>
      </w:r>
    </w:p>
  </w:footnote>
  <w:footnote w:id="129">
    <w:p w14:paraId="6EA7F901" w14:textId="656E62FE"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נכסים שהאשה מביאה לבעלה עם נישואיה ואינם נרשמים בכתובה, או נכסים שבאים לה בירושה או במתנה לאחר נישואיה. נכסי מלוג אינם עוברים לרשות הבעל אלא הם שייכים לאשה בלבד, אך הבעל זכאי להנות מן הפירות (הרווחים) שמפיקים נכסים אלו. על הבעל לטפל בנכסים, אך אין הוא חייב בשמירת ערכם ("אינו חייב באחריותם") אם אינו מפסידם בכוונה. עם פקיעת הנישואין, כתוצאה מגירושין או ממיתת הבעל, האשה מקבלת נכסים אלו כפי שהם, כך שאם עלה ערכם - הרוויחה; ואם ירד ערכם, או שאבדו מן העולם </w:t>
      </w:r>
      <w:r w:rsidR="003B7E44">
        <w:rPr>
          <w:rFonts w:asciiTheme="minorBidi" w:hAnsiTheme="minorBidi" w:hint="cs"/>
          <w:rtl/>
        </w:rPr>
        <w:t>-</w:t>
      </w:r>
      <w:r w:rsidRPr="00351B7D">
        <w:rPr>
          <w:rFonts w:asciiTheme="minorBidi" w:hAnsiTheme="minorBidi"/>
          <w:rtl/>
        </w:rPr>
        <w:t xml:space="preserve"> הפסידה </w:t>
      </w:r>
      <w:r w:rsidRPr="00351B7D">
        <w:rPr>
          <w:rFonts w:asciiTheme="minorBidi" w:hAnsiTheme="minorBidi"/>
          <w:sz w:val="14"/>
          <w:szCs w:val="14"/>
          <w:rtl/>
        </w:rPr>
        <w:t>(מושגים תלמודיים פרויה"ש)</w:t>
      </w:r>
      <w:r w:rsidRPr="00351B7D">
        <w:rPr>
          <w:rFonts w:asciiTheme="minorBidi" w:hAnsiTheme="minorBidi"/>
          <w:rtl/>
        </w:rPr>
        <w:t>.</w:t>
      </w:r>
    </w:p>
  </w:footnote>
  <w:footnote w:id="130">
    <w:p w14:paraId="3F6A8F9B" w14:textId="1399267C"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w:t>
      </w:r>
      <w:r w:rsidR="007B6E86">
        <w:rPr>
          <w:rFonts w:asciiTheme="minorBidi" w:hAnsiTheme="minorBidi" w:hint="cs"/>
          <w:rtl/>
        </w:rPr>
        <w:t>ועיין שם,</w:t>
      </w:r>
      <w:r w:rsidRPr="00351B7D">
        <w:rPr>
          <w:rFonts w:asciiTheme="minorBidi" w:hAnsiTheme="minorBidi"/>
          <w:rtl/>
        </w:rPr>
        <w:t xml:space="preserve"> ונראה לי דוקא שהתנה כן תחלה קודם השידוכין והקנסות שקבל עליו, אבל אם שעבד עצמו סתם בקנס לישא אותה וכשבא לנישואין רוצה לפחות לה כתובה אין הרשות בידו, כי כל הנושא ומשעבד עצמו בסתם דעתו על פי המנהג, וכמו שכתב הרמב"ם, כן נראה לי, וכן משמע בדברי מהרי"ל עצמו שצריך להתנות כן בתנאים מתחלה</w:t>
      </w:r>
      <w:r w:rsidR="007B6E86">
        <w:rPr>
          <w:rFonts w:asciiTheme="minorBidi" w:hAnsiTheme="minorBidi" w:hint="cs"/>
          <w:rtl/>
        </w:rPr>
        <w:t>,</w:t>
      </w:r>
      <w:r w:rsidR="007B6E86" w:rsidRPr="007B6E86">
        <w:rPr>
          <w:rFonts w:asciiTheme="minorBidi" w:hAnsiTheme="minorBidi"/>
          <w:rtl/>
        </w:rPr>
        <w:t xml:space="preserve"> </w:t>
      </w:r>
      <w:r w:rsidR="007B6E86" w:rsidRPr="00351B7D">
        <w:rPr>
          <w:rFonts w:asciiTheme="minorBidi" w:hAnsiTheme="minorBidi"/>
          <w:rtl/>
        </w:rPr>
        <w:t xml:space="preserve">דרכ"מ </w:t>
      </w:r>
      <w:r w:rsidR="007B6E86" w:rsidRPr="007B6E86">
        <w:rPr>
          <w:rFonts w:asciiTheme="minorBidi" w:hAnsiTheme="minorBidi"/>
          <w:rtl/>
        </w:rPr>
        <w:t>(אות טו)</w:t>
      </w:r>
      <w:r w:rsidRPr="00351B7D">
        <w:rPr>
          <w:rFonts w:asciiTheme="minorBidi" w:hAnsiTheme="minorBidi"/>
          <w:rtl/>
        </w:rPr>
        <w:t>.</w:t>
      </w:r>
      <w:r w:rsidR="00785934" w:rsidRPr="00785934">
        <w:rPr>
          <w:rFonts w:asciiTheme="minorBidi" w:hAnsiTheme="minorBidi" w:hint="cs"/>
          <w:color w:val="00B0F0"/>
          <w:rtl/>
        </w:rPr>
        <w:t xml:space="preserve"> (וכ"פ </w:t>
      </w:r>
      <w:r w:rsidR="00785934">
        <w:rPr>
          <w:rFonts w:asciiTheme="minorBidi" w:hAnsiTheme="minorBidi" w:hint="cs"/>
          <w:color w:val="00B0F0"/>
          <w:rtl/>
        </w:rPr>
        <w:t>בהג"ה</w:t>
      </w:r>
      <w:r w:rsidR="00785934" w:rsidRPr="00785934">
        <w:rPr>
          <w:rFonts w:asciiTheme="minorBidi" w:hAnsiTheme="minorBidi" w:hint="cs"/>
          <w:color w:val="00B0F0"/>
          <w:rtl/>
        </w:rPr>
        <w:t>)</w:t>
      </w:r>
    </w:p>
  </w:footnote>
  <w:footnote w:id="131">
    <w:p w14:paraId="7A3AA4C6"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כמו שהוא בשאר כתובות. (הטור הביא ג"כ נוסח לכתובא דאירכסא אך הב"י כ' שהנוסח של רי"ו יותר יפה מהנוסח שכ' הטור)</w:t>
      </w:r>
    </w:p>
  </w:footnote>
  <w:footnote w:id="132">
    <w:p w14:paraId="6DD76E7E"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כלומר ששמין לו הבגדים בנדן והוא מקבלן בסך מסוים וזה הוא נדוניא ונכסי צאן ברזל, אבל בגדי הכלה שאין שמין לו הם נקראים נכסי מלוג כמבואר לקמן סי' ע"ז, ח"מ (סקל"ז) וב"ש (סקכ"א).</w:t>
      </w:r>
    </w:p>
  </w:footnote>
  <w:footnote w:id="133">
    <w:p w14:paraId="7CB6D127"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והיכא שאין מנהג אז דנין ע"פ דין כמש"כ בש"ס דבכספים ובסחורה מוסיפים שליש הואיל ויכול להרויח בהם... ואם בא אחד מעיר אחרת ואין רוצה להוסיף אינו רשאי לשנות דכל הנושא ומשתעבד את עצמו בסתם דעתו על פי המנהג, מיהו משמע בב"ח דבמלבושים יכול לעכב. ועיין תשובות שאר"י סימן מ"ה. ובזה אין חילוק בין אלמנה לבתולה. ונדוניא הוא חוב גמור, ב"ש (סקכ"ג).</w:t>
      </w:r>
    </w:p>
  </w:footnote>
  <w:footnote w:id="134">
    <w:p w14:paraId="0C82CF44"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נראה להגיה והן נכסי צאן ברזל, וכמ"ש לקמן סי' פ"ה סעי' ב' נכסי צאן ברזל הם הנדוניא דהנעלת ליה, ח"מ (סקל"ט).</w:t>
      </w:r>
    </w:p>
  </w:footnote>
  <w:footnote w:id="135">
    <w:p w14:paraId="11560E31"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כלומר שיניח אותם ברשותה כדין נכסי מלוג שיאכל פירות ויהיה הכל באחריות שלה השבח וההפסד</w:t>
      </w:r>
      <w:r w:rsidRPr="00351B7D">
        <w:rPr>
          <w:rFonts w:asciiTheme="minorBidi" w:hAnsiTheme="minorBidi"/>
          <w:sz w:val="16"/>
          <w:szCs w:val="16"/>
          <w:rtl/>
        </w:rPr>
        <w:t xml:space="preserve"> (ריב"ש סי' קנ)</w:t>
      </w:r>
      <w:r w:rsidRPr="00351B7D">
        <w:rPr>
          <w:rFonts w:asciiTheme="minorBidi" w:hAnsiTheme="minorBidi"/>
          <w:rtl/>
        </w:rPr>
        <w:t>, ח"מ</w:t>
      </w:r>
      <w:r w:rsidRPr="00351B7D">
        <w:rPr>
          <w:rFonts w:asciiTheme="minorBidi" w:hAnsiTheme="minorBidi"/>
          <w:sz w:val="16"/>
          <w:szCs w:val="16"/>
          <w:rtl/>
        </w:rPr>
        <w:t xml:space="preserve"> (סק"מ)</w:t>
      </w:r>
      <w:r w:rsidRPr="00351B7D">
        <w:rPr>
          <w:rFonts w:asciiTheme="minorBidi" w:hAnsiTheme="minorBidi"/>
          <w:rtl/>
        </w:rPr>
        <w:t>.</w:t>
      </w:r>
    </w:p>
  </w:footnote>
  <w:footnote w:id="136">
    <w:p w14:paraId="2D6B20E7"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בכתבי מהרא"י סי' צ"ו, ושם כתב, נראה קצת אפילו היא גרושה מן הראשון ומן השני אלמנה אין כותבין רק מתרכתא מפני תקנת הכהנים וארמלתא למאי אתיא, וכן אם היתה שבויה ומכ"ש בעולה צריך לכתוב בשביל כהנים, ואם היה מחזיר גרושתו ראיתי בספר יש"ש שיכתוב מתרכתא הדרי לגבאי, וכ' הטעם בשם ראבי"ה שלא תגבה שתי כתובות שעל דעת כתובה ראשונה החזירה, ח"מ</w:t>
      </w:r>
      <w:r w:rsidRPr="00351B7D">
        <w:rPr>
          <w:rFonts w:asciiTheme="minorBidi" w:hAnsiTheme="minorBidi"/>
          <w:sz w:val="16"/>
          <w:szCs w:val="16"/>
          <w:rtl/>
        </w:rPr>
        <w:t xml:space="preserve"> (סקמ"א)</w:t>
      </w:r>
      <w:r w:rsidRPr="00351B7D">
        <w:rPr>
          <w:rFonts w:asciiTheme="minorBidi" w:hAnsiTheme="minorBidi"/>
          <w:rtl/>
        </w:rPr>
        <w:t>. ועי' במהר"ם מינץ</w:t>
      </w:r>
      <w:r w:rsidRPr="00351B7D">
        <w:rPr>
          <w:rFonts w:asciiTheme="minorBidi" w:hAnsiTheme="minorBidi"/>
          <w:sz w:val="16"/>
          <w:szCs w:val="16"/>
          <w:rtl/>
        </w:rPr>
        <w:t xml:space="preserve"> (סי' ק"ט) </w:t>
      </w:r>
      <w:r w:rsidRPr="00351B7D">
        <w:rPr>
          <w:rFonts w:asciiTheme="minorBidi" w:hAnsiTheme="minorBidi"/>
          <w:rtl/>
        </w:rPr>
        <w:t>אם היא נתגרשה ואח"כ נתאלמנה כותבין מתרכתא מקדמת דנא, ב"ש</w:t>
      </w:r>
      <w:r w:rsidRPr="00351B7D">
        <w:rPr>
          <w:rFonts w:asciiTheme="minorBidi" w:hAnsiTheme="minorBidi"/>
          <w:sz w:val="16"/>
          <w:szCs w:val="16"/>
          <w:rtl/>
        </w:rPr>
        <w:t xml:space="preserve"> (סקכ"ה)</w:t>
      </w:r>
      <w:r w:rsidRPr="00351B7D">
        <w:rPr>
          <w:rFonts w:asciiTheme="minorBidi" w:hAnsiTheme="minorBidi"/>
          <w:rtl/>
        </w:rPr>
        <w:t>.</w:t>
      </w:r>
    </w:p>
  </w:footnote>
  <w:footnote w:id="137">
    <w:p w14:paraId="01DA131E"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דקי"ל</w:t>
      </w:r>
      <w:r w:rsidRPr="00351B7D">
        <w:rPr>
          <w:rFonts w:asciiTheme="minorBidi" w:hAnsiTheme="minorBidi"/>
          <w:sz w:val="16"/>
          <w:szCs w:val="16"/>
          <w:rtl/>
        </w:rPr>
        <w:t xml:space="preserve"> (חו"מ סי' רמ"ה סע' ב' בהג"ה)</w:t>
      </w:r>
      <w:r w:rsidRPr="00351B7D">
        <w:rPr>
          <w:rFonts w:asciiTheme="minorBidi" w:hAnsiTheme="minorBidi"/>
          <w:rtl/>
        </w:rPr>
        <w:t xml:space="preserve"> קנין אתן לא מהני לכן אפילו אם היה קנין בתנאים לא מהני, ח"מ (סקמ"ב) וב"ש (סקכ"ו).</w:t>
      </w:r>
    </w:p>
  </w:footnote>
  <w:footnote w:id="138">
    <w:p w14:paraId="261C072B"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כלומר כותב לה תוספות כתובה בפני עצמה בשטר אחר ואם ירצה לפחות היא נותנת לו שובר עד שיעור כתובתה כפי תקנת חכמים, ח"מ (סקמ"ה).</w:t>
      </w:r>
    </w:p>
  </w:footnote>
  <w:footnote w:id="139">
    <w:p w14:paraId="1C4BC8FA"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 עוד שם דכתובה</w:t>
      </w:r>
      <w:r w:rsidRPr="00351B7D">
        <w:rPr>
          <w:rFonts w:asciiTheme="minorBidi" w:hAnsiTheme="minorBidi"/>
          <w:color w:val="000000"/>
          <w:rtl/>
        </w:rPr>
        <w:t xml:space="preserve"> של אשה גרושה שנכתב בה "אלמנה" אינה פסולה </w:t>
      </w:r>
      <w:r w:rsidRPr="00351B7D">
        <w:rPr>
          <w:rFonts w:asciiTheme="minorBidi" w:hAnsiTheme="minorBidi"/>
          <w:color w:val="000000"/>
          <w:sz w:val="16"/>
          <w:szCs w:val="16"/>
          <w:rtl/>
        </w:rPr>
        <w:t>(וכ"כ מהר"ם מינץ סי' קט אות ג)</w:t>
      </w:r>
      <w:r w:rsidRPr="00351B7D">
        <w:rPr>
          <w:rFonts w:asciiTheme="minorBidi" w:hAnsiTheme="minorBidi"/>
          <w:rtl/>
        </w:rPr>
        <w:t>, דגרושה נמי נקראת אלמנה לפי שאחז"ל אלמנה על שם מנה א"כ כל שגובה מנה יצדק שם אלמנה אי לא דכתב ארמלתא.</w:t>
      </w:r>
    </w:p>
  </w:footnote>
  <w:footnote w:id="140">
    <w:p w14:paraId="2269ECD3"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והוסיף הבית מאיר דמספיק לכתוב</w:t>
      </w:r>
      <w:r w:rsidRPr="00351B7D">
        <w:rPr>
          <w:rFonts w:asciiTheme="minorBidi" w:hAnsiTheme="minorBidi"/>
          <w:color w:val="000000"/>
          <w:rtl/>
        </w:rPr>
        <w:t xml:space="preserve"> "פלונית ארוסה".</w:t>
      </w:r>
      <w:r w:rsidRPr="00351B7D">
        <w:rPr>
          <w:rFonts w:asciiTheme="minorBidi" w:hAnsiTheme="minorBidi"/>
          <w:rtl/>
        </w:rPr>
        <w:t xml:space="preserve"> </w:t>
      </w:r>
    </w:p>
  </w:footnote>
  <w:footnote w:id="141">
    <w:p w14:paraId="54AF1180" w14:textId="740351DD"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ואין חילוק בין אם התנאי שתלך מיד אחר ז' ימי המשתה עמו או שתלך אחר ב' או ג' שנים, מיהו נראה אם מת שם קודם שהוליכה למדינתו שנותן לה כפי מנהג המקום שנושאה שם וצ"ע למעשה, </w:t>
      </w:r>
      <w:r w:rsidRPr="00517828">
        <w:rPr>
          <w:rFonts w:asciiTheme="minorBidi" w:hAnsiTheme="minorBidi"/>
          <w:b/>
          <w:bCs/>
          <w:rtl/>
        </w:rPr>
        <w:t>ח"מ</w:t>
      </w:r>
      <w:r w:rsidRPr="00351B7D">
        <w:rPr>
          <w:rFonts w:asciiTheme="minorBidi" w:hAnsiTheme="minorBidi"/>
          <w:rtl/>
        </w:rPr>
        <w:t xml:space="preserve"> (סקמ"ו).</w:t>
      </w:r>
      <w:r w:rsidR="00517828">
        <w:rPr>
          <w:rFonts w:asciiTheme="minorBidi" w:hAnsiTheme="minorBidi" w:hint="cs"/>
          <w:rtl/>
        </w:rPr>
        <w:t xml:space="preserve"> </w:t>
      </w:r>
      <w:r w:rsidRPr="00351B7D">
        <w:rPr>
          <w:rFonts w:asciiTheme="minorBidi" w:hAnsiTheme="minorBidi"/>
          <w:rtl/>
        </w:rPr>
        <w:t xml:space="preserve"> </w:t>
      </w:r>
      <w:r w:rsidR="00464A10">
        <w:rPr>
          <w:rFonts w:asciiTheme="minorBidi" w:hAnsiTheme="minorBidi" w:hint="cs"/>
          <w:rtl/>
        </w:rPr>
        <w:t xml:space="preserve">    </w:t>
      </w:r>
      <w:r w:rsidR="00517828">
        <w:rPr>
          <w:rFonts w:asciiTheme="minorBidi" w:hAnsiTheme="minorBidi" w:hint="cs"/>
          <w:rtl/>
        </w:rPr>
        <w:t>אך</w:t>
      </w:r>
      <w:r w:rsidRPr="00351B7D">
        <w:rPr>
          <w:rFonts w:asciiTheme="minorBidi" w:hAnsiTheme="minorBidi"/>
          <w:rtl/>
        </w:rPr>
        <w:t xml:space="preserve"> </w:t>
      </w:r>
      <w:r w:rsidRPr="00517828">
        <w:rPr>
          <w:rFonts w:asciiTheme="minorBidi" w:hAnsiTheme="minorBidi"/>
          <w:b/>
          <w:bCs/>
          <w:rtl/>
        </w:rPr>
        <w:t>הב"ש</w:t>
      </w:r>
      <w:r w:rsidRPr="00351B7D">
        <w:rPr>
          <w:rFonts w:asciiTheme="minorBidi" w:hAnsiTheme="minorBidi"/>
          <w:rtl/>
        </w:rPr>
        <w:t xml:space="preserve"> (סקכ"ז) דלכאורה נראה דהולכין אחר אותו מקום שהיו דעתם לדור ועל מנהג אותו מקום התחייב את עצמו.</w:t>
      </w:r>
    </w:p>
  </w:footnote>
  <w:footnote w:id="142">
    <w:p w14:paraId="0660C754" w14:textId="01149602" w:rsidR="006528D0" w:rsidRDefault="006528D0">
      <w:pPr>
        <w:pStyle w:val="a5"/>
      </w:pPr>
      <w:r>
        <w:rPr>
          <w:rStyle w:val="a7"/>
        </w:rPr>
        <w:footnoteRef/>
      </w:r>
      <w:r>
        <w:rPr>
          <w:rtl/>
        </w:rPr>
        <w:t xml:space="preserve"> </w:t>
      </w:r>
      <w:r>
        <w:rPr>
          <w:rFonts w:hint="cs"/>
          <w:rtl/>
        </w:rPr>
        <w:t>סימן - טיפשים.</w:t>
      </w:r>
    </w:p>
  </w:footnote>
  <w:footnote w:id="143">
    <w:p w14:paraId="02F99C27" w14:textId="4F81BF06" w:rsidR="00280527" w:rsidRDefault="00280527">
      <w:pPr>
        <w:pStyle w:val="a5"/>
        <w:rPr>
          <w:rtl/>
        </w:rPr>
      </w:pPr>
      <w:r>
        <w:rPr>
          <w:rStyle w:val="a7"/>
        </w:rPr>
        <w:footnoteRef/>
      </w:r>
      <w:r>
        <w:rPr>
          <w:rtl/>
        </w:rPr>
        <w:t xml:space="preserve"> </w:t>
      </w:r>
      <w:r w:rsidRPr="00280527">
        <w:rPr>
          <w:rFonts w:asciiTheme="minorBidi" w:hAnsiTheme="minorBidi"/>
          <w:rtl/>
        </w:rPr>
        <w:t>קורעים להם צורת שמם בגליון נייר אחר, ומניחים אותו על קלף הגט, והם ממלאים את חלל מקום הקרעים בדיו, כך פירש ר"ח, ועיין ברש"י שביאר בדרך אחרת</w:t>
      </w:r>
      <w:r>
        <w:rPr>
          <w:rFonts w:hint="cs"/>
          <w:rtl/>
        </w:rPr>
        <w:t>.</w:t>
      </w:r>
    </w:p>
  </w:footnote>
  <w:footnote w:id="144">
    <w:p w14:paraId="45E47917" w14:textId="0DCB731E" w:rsidR="006528D0" w:rsidRDefault="006528D0">
      <w:pPr>
        <w:pStyle w:val="a5"/>
        <w:rPr>
          <w:rtl/>
        </w:rPr>
      </w:pPr>
      <w:r>
        <w:rPr>
          <w:rStyle w:val="a7"/>
        </w:rPr>
        <w:footnoteRef/>
      </w:r>
      <w:r>
        <w:rPr>
          <w:rtl/>
        </w:rPr>
        <w:t xml:space="preserve"> </w:t>
      </w:r>
      <w:r>
        <w:rPr>
          <w:rFonts w:hint="cs"/>
          <w:rtl/>
        </w:rPr>
        <w:t>סימן - טיפשים יודעים.</w:t>
      </w:r>
    </w:p>
  </w:footnote>
  <w:footnote w:id="145">
    <w:p w14:paraId="22B49EDE" w14:textId="5F9BD60C"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ואיני יודע למה נחבא אל הכלים משום דחזא גברא כיון דתיובתא לא חזא</w:t>
      </w:r>
      <w:r w:rsidR="009D2132">
        <w:rPr>
          <w:rFonts w:asciiTheme="minorBidi" w:hAnsiTheme="minorBidi" w:hint="cs"/>
          <w:rtl/>
        </w:rPr>
        <w:t>,</w:t>
      </w:r>
      <w:r w:rsidRPr="00351B7D">
        <w:rPr>
          <w:rFonts w:asciiTheme="minorBidi" w:hAnsiTheme="minorBidi"/>
          <w:rtl/>
        </w:rPr>
        <w:t xml:space="preserve"> ולענין הלכה נראה לי כדברי הרשב"א משום דאם לא כן לא שבקת חיי דכל עמי הארץ יאמרו כן</w:t>
      </w:r>
      <w:r w:rsidR="009D2132">
        <w:rPr>
          <w:rFonts w:asciiTheme="minorBidi" w:hAnsiTheme="minorBidi" w:hint="cs"/>
          <w:rtl/>
        </w:rPr>
        <w:t>, ב"י</w:t>
      </w:r>
      <w:r w:rsidRPr="00351B7D">
        <w:rPr>
          <w:rFonts w:asciiTheme="minorBidi" w:hAnsiTheme="minorBidi"/>
          <w:rtl/>
        </w:rPr>
        <w:t>.</w:t>
      </w:r>
    </w:p>
  </w:footnote>
  <w:footnote w:id="146">
    <w:p w14:paraId="48D3FA3E" w14:textId="74040F54"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לאו דוקא שאילת שלום</w:t>
      </w:r>
      <w:r w:rsidR="000B4F8A">
        <w:rPr>
          <w:rFonts w:asciiTheme="minorBidi" w:hAnsiTheme="minorBidi" w:hint="cs"/>
          <w:rtl/>
        </w:rPr>
        <w:t>,</w:t>
      </w:r>
      <w:r w:rsidRPr="00351B7D">
        <w:rPr>
          <w:rFonts w:asciiTheme="minorBidi" w:hAnsiTheme="minorBidi"/>
          <w:rtl/>
        </w:rPr>
        <w:t xml:space="preserve"> אלא כל דבר שאינו מענין הגט אסור שיהיה בין הגט לחתימת העדים</w:t>
      </w:r>
      <w:r w:rsidR="000B4F8A">
        <w:rPr>
          <w:rFonts w:asciiTheme="minorBidi" w:hAnsiTheme="minorBidi" w:hint="cs"/>
          <w:rtl/>
        </w:rPr>
        <w:t>.</w:t>
      </w:r>
      <w:r w:rsidRPr="00351B7D">
        <w:rPr>
          <w:rFonts w:asciiTheme="minorBidi" w:hAnsiTheme="minorBidi"/>
          <w:rtl/>
        </w:rPr>
        <w:t xml:space="preserve"> ואם כתב כן, כגון שכתוב: שאלו בשלומה</w:t>
      </w:r>
      <w:r w:rsidR="000B4F8A">
        <w:rPr>
          <w:rFonts w:asciiTheme="minorBidi" w:hAnsiTheme="minorBidi" w:hint="cs"/>
          <w:rtl/>
        </w:rPr>
        <w:t xml:space="preserve"> -</w:t>
      </w:r>
      <w:r w:rsidRPr="00351B7D">
        <w:rPr>
          <w:rFonts w:asciiTheme="minorBidi" w:hAnsiTheme="minorBidi"/>
          <w:rtl/>
        </w:rPr>
        <w:t xml:space="preserve"> פסול, שמא לא חתמו אלא על שאלת שלום. אבל אם כתב: ושאלו בשלומה</w:t>
      </w:r>
      <w:r w:rsidR="006E49C8">
        <w:rPr>
          <w:rFonts w:asciiTheme="minorBidi" w:hAnsiTheme="minorBidi" w:hint="cs"/>
          <w:rtl/>
        </w:rPr>
        <w:t xml:space="preserve"> -</w:t>
      </w:r>
      <w:r w:rsidRPr="00351B7D">
        <w:rPr>
          <w:rFonts w:asciiTheme="minorBidi" w:hAnsiTheme="minorBidi"/>
          <w:rtl/>
        </w:rPr>
        <w:t xml:space="preserve"> כשר, שהיא מדובק עם של מעלה ועל הכל חתמו</w:t>
      </w:r>
      <w:r w:rsidRPr="00351B7D">
        <w:rPr>
          <w:rFonts w:asciiTheme="minorBidi" w:hAnsiTheme="minorBidi"/>
          <w:sz w:val="16"/>
          <w:szCs w:val="16"/>
          <w:rtl/>
        </w:rPr>
        <w:t xml:space="preserve"> (ע"פ שו"ע אהע"ז סי' ק"ל סע' ג)</w:t>
      </w:r>
      <w:r w:rsidRPr="00351B7D">
        <w:rPr>
          <w:rFonts w:asciiTheme="minorBidi" w:hAnsiTheme="minorBidi"/>
          <w:rtl/>
        </w:rPr>
        <w:t>.</w:t>
      </w:r>
    </w:p>
  </w:footnote>
  <w:footnote w:id="147">
    <w:p w14:paraId="07340859"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אבל יש מקומות שנוהגין שפסולין חותמין לכבוד ושני עדים חותמין בראש שיטה וע"פ מקיימים הכתובה ובאותן מקומות יכולין לחתום אף על פי שאין יודעים לקרות דלא גרע משאר פסולין כל זמן ששני עדים כשרים חותמין בתחילה, ח"מ (סקמ"ז).</w:t>
      </w:r>
    </w:p>
  </w:footnote>
  <w:footnote w:id="148">
    <w:p w14:paraId="7231006B" w14:textId="77777777" w:rsidR="00DE2F5F" w:rsidRPr="00351B7D" w:rsidRDefault="00DE2F5F" w:rsidP="00973C57">
      <w:pPr>
        <w:pStyle w:val="a5"/>
        <w:rPr>
          <w:rFonts w:asciiTheme="minorBidi" w:hAnsiTheme="minorBidi"/>
        </w:rPr>
      </w:pPr>
      <w:r w:rsidRPr="00351B7D">
        <w:rPr>
          <w:rStyle w:val="a7"/>
          <w:rFonts w:asciiTheme="minorBidi" w:hAnsiTheme="minorBidi"/>
        </w:rPr>
        <w:footnoteRef/>
      </w:r>
      <w:r w:rsidRPr="00351B7D">
        <w:rPr>
          <w:rFonts w:asciiTheme="minorBidi" w:hAnsiTheme="minorBidi"/>
          <w:rtl/>
        </w:rPr>
        <w:t xml:space="preserve"> כלומר מאחר שמי שאינו יודע לקרות פסול מקרי, א"כ בודאי לא חתמו עד שקראו תחלה בפני החתן והגידו לו מה שכתוב, ו[אי עסקינן] במקום שרגילין לחתום פסולין מ"מ חזקה על העדים הראשונים שבהם מתקיימת העדות שעשו כהוגן, ח"מ </w:t>
      </w:r>
      <w:r w:rsidRPr="00351B7D">
        <w:rPr>
          <w:rFonts w:asciiTheme="minorBidi" w:hAnsiTheme="minorBidi"/>
          <w:sz w:val="16"/>
          <w:szCs w:val="16"/>
          <w:rtl/>
        </w:rPr>
        <w:t>(סקמ"ח)</w:t>
      </w:r>
      <w:r w:rsidRPr="00351B7D">
        <w:rPr>
          <w:rFonts w:asciiTheme="minorBidi" w:hAnsiTheme="minorBidi"/>
          <w:rtl/>
        </w:rPr>
        <w:t>.</w:t>
      </w:r>
    </w:p>
  </w:footnote>
  <w:footnote w:id="149">
    <w:p w14:paraId="5CE9EAA7" w14:textId="77777777" w:rsidR="00DE2F5F" w:rsidRPr="00351B7D" w:rsidRDefault="00DE2F5F" w:rsidP="00973C57">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וצריך לומר שהיה כתוב יותר מתיקון חז"ל דאל"כ הא קיי"ל דיש לה כתובה אפי' לא כתב לה, ב"ש (סקכ"ט).</w:t>
      </w:r>
    </w:p>
  </w:footnote>
  <w:footnote w:id="150">
    <w:p w14:paraId="2EF603FE" w14:textId="77777777" w:rsidR="009E10BF" w:rsidRDefault="009E10BF" w:rsidP="009E10BF">
      <w:pPr>
        <w:pStyle w:val="a5"/>
        <w:rPr>
          <w:rtl/>
        </w:rPr>
      </w:pPr>
      <w:r>
        <w:rPr>
          <w:rStyle w:val="a7"/>
        </w:rPr>
        <w:footnoteRef/>
      </w:r>
      <w:r>
        <w:rPr>
          <w:rtl/>
        </w:rPr>
        <w:t xml:space="preserve"> </w:t>
      </w:r>
      <w:r w:rsidRPr="008E68BA">
        <w:rPr>
          <w:rFonts w:cs="Arial"/>
          <w:rtl/>
        </w:rPr>
        <w:t>נהי דאין ביאתו ביאה מיהו לא גרע מעץ הנתקע</w:t>
      </w:r>
      <w:r>
        <w:rPr>
          <w:rFonts w:cs="Arial" w:hint="cs"/>
          <w:rtl/>
        </w:rPr>
        <w:t>.</w:t>
      </w:r>
      <w:r w:rsidRPr="008E68BA">
        <w:rPr>
          <w:rFonts w:cs="Arial"/>
          <w:rtl/>
        </w:rPr>
        <w:t xml:space="preserve"> ולרבנן דפליגי אמוכת עץ </w:t>
      </w:r>
      <w:r>
        <w:rPr>
          <w:rFonts w:cs="Arial" w:hint="cs"/>
          <w:rtl/>
        </w:rPr>
        <w:t xml:space="preserve">- </w:t>
      </w:r>
      <w:r w:rsidRPr="008E68BA">
        <w:rPr>
          <w:rFonts w:cs="Arial"/>
          <w:rtl/>
        </w:rPr>
        <w:t>כתובתה מנה</w:t>
      </w:r>
      <w:r>
        <w:rPr>
          <w:rFonts w:cs="Arial" w:hint="cs"/>
          <w:rtl/>
        </w:rPr>
        <w:t>.</w:t>
      </w:r>
      <w:r w:rsidRPr="008E68BA">
        <w:rPr>
          <w:rFonts w:cs="Arial"/>
          <w:rtl/>
        </w:rPr>
        <w:t xml:space="preserve"> וכן לענין כהן גדול דתנן (יבמות נט</w:t>
      </w:r>
      <w:r>
        <w:rPr>
          <w:rFonts w:cs="Arial" w:hint="cs"/>
          <w:rtl/>
        </w:rPr>
        <w:t>.</w:t>
      </w:r>
      <w:r w:rsidRPr="008E68BA">
        <w:rPr>
          <w:rFonts w:cs="Arial"/>
          <w:rtl/>
        </w:rPr>
        <w:t xml:space="preserve">) לא ישא את מוכת עץ </w:t>
      </w:r>
      <w:r>
        <w:rPr>
          <w:rFonts w:cs="Arial" w:hint="cs"/>
          <w:rtl/>
        </w:rPr>
        <w:t xml:space="preserve">- </w:t>
      </w:r>
      <w:r w:rsidRPr="008E68BA">
        <w:rPr>
          <w:rFonts w:cs="Arial"/>
          <w:rtl/>
        </w:rPr>
        <w:t>הא נמי אסירא ליה</w:t>
      </w:r>
      <w:r>
        <w:rPr>
          <w:rFonts w:hint="cs"/>
          <w:rtl/>
        </w:rPr>
        <w:t>, רש"י.</w:t>
      </w:r>
    </w:p>
  </w:footnote>
  <w:footnote w:id="151">
    <w:p w14:paraId="2F03FFD7" w14:textId="77777777" w:rsidR="009E10BF" w:rsidRDefault="009E10BF" w:rsidP="009E10BF">
      <w:pPr>
        <w:pStyle w:val="a5"/>
      </w:pPr>
      <w:r>
        <w:rPr>
          <w:rStyle w:val="a7"/>
        </w:rPr>
        <w:footnoteRef/>
      </w:r>
      <w:r>
        <w:rPr>
          <w:rtl/>
        </w:rPr>
        <w:t xml:space="preserve"> </w:t>
      </w:r>
      <w:r w:rsidRPr="0057679A">
        <w:rPr>
          <w:rFonts w:cs="Arial"/>
          <w:rtl/>
        </w:rPr>
        <w:t>אין מוכת עץ בבשר אדם - ואי בעולה לא הויא מוכת עץ נמי ליתא</w:t>
      </w:r>
      <w:r>
        <w:rPr>
          <w:rFonts w:cs="Arial" w:hint="cs"/>
          <w:rtl/>
        </w:rPr>
        <w:t>, רש"י.</w:t>
      </w:r>
    </w:p>
  </w:footnote>
  <w:footnote w:id="152">
    <w:p w14:paraId="2A88EC68" w14:textId="6D26F997" w:rsidR="00B2734D" w:rsidRDefault="00B2734D">
      <w:pPr>
        <w:pStyle w:val="a5"/>
        <w:rPr>
          <w:rtl/>
        </w:rPr>
      </w:pPr>
      <w:r>
        <w:rPr>
          <w:rStyle w:val="a7"/>
        </w:rPr>
        <w:footnoteRef/>
      </w:r>
      <w:r>
        <w:rPr>
          <w:rtl/>
        </w:rPr>
        <w:t xml:space="preserve"> </w:t>
      </w:r>
      <w:r>
        <w:rPr>
          <w:rFonts w:cs="Arial"/>
          <w:rtl/>
        </w:rPr>
        <w:t>וידוע דהלכה כחכמים</w:t>
      </w:r>
      <w:r>
        <w:rPr>
          <w:rFonts w:hint="cs"/>
          <w:rtl/>
        </w:rPr>
        <w:t>, ב"י.</w:t>
      </w:r>
    </w:p>
  </w:footnote>
  <w:footnote w:id="153">
    <w:p w14:paraId="2E367339" w14:textId="7272DB55" w:rsidR="00427EA2" w:rsidRDefault="00427EA2">
      <w:pPr>
        <w:pStyle w:val="a5"/>
        <w:rPr>
          <w:rtl/>
        </w:rPr>
      </w:pPr>
      <w:r>
        <w:rPr>
          <w:rStyle w:val="a7"/>
        </w:rPr>
        <w:footnoteRef/>
      </w:r>
      <w:r>
        <w:rPr>
          <w:rtl/>
        </w:rPr>
        <w:t xml:space="preserve"> </w:t>
      </w:r>
      <w:r w:rsidRPr="00427EA2">
        <w:rPr>
          <w:rFonts w:cs="Arial"/>
          <w:rtl/>
        </w:rPr>
        <w:t>והדר ביה רבא ממאי דאמר לרבנן לא הכיר בה ולא כלום</w:t>
      </w:r>
      <w:r>
        <w:rPr>
          <w:rFonts w:cs="Arial" w:hint="cs"/>
          <w:rtl/>
        </w:rPr>
        <w:t>,</w:t>
      </w:r>
      <w:r w:rsidRPr="00427EA2">
        <w:rPr>
          <w:rFonts w:cs="Arial"/>
          <w:rtl/>
        </w:rPr>
        <w:t xml:space="preserve"> אלא בין הכיר בין לא הכיר יש לה מנה לרבנן</w:t>
      </w:r>
      <w:r>
        <w:rPr>
          <w:rFonts w:cs="Arial" w:hint="cs"/>
          <w:rtl/>
        </w:rPr>
        <w:t>,</w:t>
      </w:r>
      <w:r w:rsidRPr="00427EA2">
        <w:rPr>
          <w:rFonts w:cs="Arial"/>
          <w:rtl/>
        </w:rPr>
        <w:t xml:space="preserve"> ומאתים לר"מ</w:t>
      </w:r>
      <w:r>
        <w:rPr>
          <w:rFonts w:cs="Arial" w:hint="cs"/>
          <w:rtl/>
        </w:rPr>
        <w:t>,</w:t>
      </w:r>
      <w:r w:rsidRPr="00427EA2">
        <w:rPr>
          <w:rFonts w:cs="Arial"/>
          <w:rtl/>
        </w:rPr>
        <w:t xml:space="preserve"> ומתני' דהתם דברי הכל</w:t>
      </w:r>
      <w:r>
        <w:rPr>
          <w:rFonts w:hint="cs"/>
          <w:rtl/>
        </w:rPr>
        <w:t>, רש"י.</w:t>
      </w:r>
    </w:p>
  </w:footnote>
  <w:footnote w:id="154">
    <w:p w14:paraId="77675C86" w14:textId="77777777" w:rsidR="00F34EFA" w:rsidRDefault="00F34EFA" w:rsidP="00F34EFA">
      <w:pPr>
        <w:pStyle w:val="a5"/>
        <w:rPr>
          <w:rtl/>
        </w:rPr>
      </w:pPr>
      <w:r>
        <w:rPr>
          <w:rStyle w:val="a7"/>
        </w:rPr>
        <w:footnoteRef/>
      </w:r>
      <w:r>
        <w:rPr>
          <w:rtl/>
        </w:rPr>
        <w:t xml:space="preserve"> </w:t>
      </w:r>
      <w:r w:rsidRPr="009517D0">
        <w:rPr>
          <w:rFonts w:cs="Arial"/>
          <w:rtl/>
        </w:rPr>
        <w:t>וכל שכן שאין לה התוספת שכתב לה וכן הוא בהגהות אלפסי (שלט</w:t>
      </w:r>
      <w:r>
        <w:rPr>
          <w:rFonts w:cs="Arial" w:hint="cs"/>
          <w:rtl/>
        </w:rPr>
        <w:t>"ג</w:t>
      </w:r>
      <w:r w:rsidRPr="009517D0">
        <w:rPr>
          <w:rFonts w:cs="Arial"/>
          <w:rtl/>
        </w:rPr>
        <w:t xml:space="preserve"> ד. אות ד)</w:t>
      </w:r>
      <w:r>
        <w:rPr>
          <w:rFonts w:cs="Arial" w:hint="cs"/>
          <w:rtl/>
        </w:rPr>
        <w:t>,</w:t>
      </w:r>
      <w:r w:rsidRPr="009517D0">
        <w:rPr>
          <w:rFonts w:cs="Arial"/>
          <w:rtl/>
        </w:rPr>
        <w:t xml:space="preserve"> ופשוט הוא</w:t>
      </w:r>
      <w:r>
        <w:rPr>
          <w:rFonts w:cs="Arial" w:hint="cs"/>
          <w:rtl/>
        </w:rPr>
        <w:t>, דרכ"מ (אות א).</w:t>
      </w:r>
    </w:p>
  </w:footnote>
  <w:footnote w:id="155">
    <w:p w14:paraId="393712F9" w14:textId="77777777" w:rsidR="00A74A47" w:rsidRDefault="00A74A47" w:rsidP="00A74A47">
      <w:pPr>
        <w:pStyle w:val="a5"/>
        <w:rPr>
          <w:rtl/>
        </w:rPr>
      </w:pPr>
      <w:r>
        <w:rPr>
          <w:rStyle w:val="a7"/>
        </w:rPr>
        <w:footnoteRef/>
      </w:r>
      <w:r>
        <w:rPr>
          <w:rtl/>
        </w:rPr>
        <w:t xml:space="preserve"> </w:t>
      </w:r>
      <w:r>
        <w:rPr>
          <w:rFonts w:cs="Arial"/>
          <w:rtl/>
        </w:rPr>
        <w:t>וידוע דהלכה כחכמים</w:t>
      </w:r>
      <w:r>
        <w:rPr>
          <w:rFonts w:hint="cs"/>
          <w:rtl/>
        </w:rPr>
        <w:t>, ב"י.</w:t>
      </w:r>
    </w:p>
  </w:footnote>
  <w:footnote w:id="156">
    <w:p w14:paraId="6C225211" w14:textId="5ADE71BD" w:rsidR="006C1EDE" w:rsidRDefault="006C1EDE">
      <w:pPr>
        <w:pStyle w:val="a5"/>
      </w:pPr>
      <w:r>
        <w:rPr>
          <w:rStyle w:val="a7"/>
        </w:rPr>
        <w:footnoteRef/>
      </w:r>
      <w:r>
        <w:rPr>
          <w:rtl/>
        </w:rPr>
        <w:t xml:space="preserve"> </w:t>
      </w:r>
      <w:r>
        <w:rPr>
          <w:rFonts w:hint="cs"/>
          <w:rtl/>
        </w:rPr>
        <w:t>סימן - קטנים יבנו בית?</w:t>
      </w:r>
    </w:p>
  </w:footnote>
  <w:footnote w:id="157">
    <w:p w14:paraId="74D41D8E" w14:textId="2ABF2235" w:rsidR="00E63CE2" w:rsidRDefault="00E63CE2" w:rsidP="00E63CE2">
      <w:pPr>
        <w:pStyle w:val="a5"/>
      </w:pPr>
      <w:r>
        <w:rPr>
          <w:rStyle w:val="a7"/>
        </w:rPr>
        <w:footnoteRef/>
      </w:r>
      <w:r>
        <w:rPr>
          <w:rtl/>
        </w:rPr>
        <w:t xml:space="preserve"> </w:t>
      </w:r>
      <w:r>
        <w:rPr>
          <w:rFonts w:cs="Arial"/>
          <w:rtl/>
        </w:rPr>
        <w:t>ו</w:t>
      </w:r>
      <w:r>
        <w:rPr>
          <w:rFonts w:cs="Arial" w:hint="cs"/>
          <w:rtl/>
        </w:rPr>
        <w:t xml:space="preserve">כן אם </w:t>
      </w:r>
      <w:r>
        <w:rPr>
          <w:rFonts w:cs="Arial"/>
          <w:rtl/>
        </w:rPr>
        <w:t>נשתפית השוטה וקיימה אח"כ</w:t>
      </w:r>
      <w:r>
        <w:rPr>
          <w:rFonts w:cs="Arial" w:hint="cs"/>
          <w:rtl/>
        </w:rPr>
        <w:t>, טור.</w:t>
      </w:r>
      <w:r w:rsidR="004A2493">
        <w:rPr>
          <w:rFonts w:cs="Arial" w:hint="cs"/>
          <w:rtl/>
        </w:rPr>
        <w:t xml:space="preserve">     </w:t>
      </w:r>
      <w:r>
        <w:rPr>
          <w:rFonts w:cs="Arial"/>
          <w:rtl/>
        </w:rPr>
        <w:t xml:space="preserve"> ולא הזכיר רבינו דין פיקח שנשא שוטה ונשתפית לפי שהשוטה אין לה נישואין כלל</w:t>
      </w:r>
      <w:r>
        <w:rPr>
          <w:rFonts w:cs="Arial" w:hint="cs"/>
          <w:rtl/>
        </w:rPr>
        <w:t>,</w:t>
      </w:r>
      <w:r>
        <w:rPr>
          <w:rFonts w:cs="Arial"/>
          <w:rtl/>
        </w:rPr>
        <w:t xml:space="preserve"> ופשוט הוא שאם רוצה לקיימה אחר שנשתפית שצריך לקדשה ולכתוב לה כתובה</w:t>
      </w:r>
      <w:r>
        <w:rPr>
          <w:rFonts w:cs="Arial" w:hint="cs"/>
          <w:rtl/>
        </w:rPr>
        <w:t>, הה"מ (שם).</w:t>
      </w:r>
      <w:r>
        <w:rPr>
          <w:rFonts w:cs="Arial"/>
          <w:rtl/>
        </w:rPr>
        <w:t xml:space="preserve"> </w:t>
      </w:r>
    </w:p>
  </w:footnote>
  <w:footnote w:id="158">
    <w:p w14:paraId="4AC4819A" w14:textId="2E14FA92" w:rsidR="00E63CE2" w:rsidRDefault="00E63CE2">
      <w:pPr>
        <w:pStyle w:val="a5"/>
      </w:pPr>
      <w:r>
        <w:rPr>
          <w:rStyle w:val="a7"/>
        </w:rPr>
        <w:footnoteRef/>
      </w:r>
      <w:r>
        <w:rPr>
          <w:rtl/>
        </w:rPr>
        <w:t xml:space="preserve"> </w:t>
      </w:r>
      <w:r>
        <w:rPr>
          <w:rFonts w:cs="Arial"/>
          <w:rtl/>
        </w:rPr>
        <w:t>והטעם משום דכיון שנתרפאו ה"ל כנושא פיקחת דאע</w:t>
      </w:r>
      <w:r>
        <w:rPr>
          <w:rFonts w:cs="Arial" w:hint="cs"/>
          <w:rtl/>
        </w:rPr>
        <w:t>"</w:t>
      </w:r>
      <w:r>
        <w:rPr>
          <w:rFonts w:cs="Arial"/>
          <w:rtl/>
        </w:rPr>
        <w:t>ג דלא כתב לה כתובה גובה מתנאי ב"ד</w:t>
      </w:r>
      <w:r>
        <w:rPr>
          <w:rFonts w:cs="Arial" w:hint="cs"/>
          <w:rtl/>
        </w:rPr>
        <w:t>.</w:t>
      </w:r>
      <w:r w:rsidRPr="00E63CE2">
        <w:rPr>
          <w:rFonts w:cs="Arial"/>
          <w:rtl/>
        </w:rPr>
        <w:t xml:space="preserve"> </w:t>
      </w:r>
      <w:r>
        <w:rPr>
          <w:rFonts w:cs="Arial"/>
          <w:rtl/>
        </w:rPr>
        <w:t>ומ"ש שכתובתה ק'. נראה שהטעם משום דחזינן כאילו השתא שנתפקחה או נשתפית נישאו</w:t>
      </w:r>
      <w:r>
        <w:rPr>
          <w:rFonts w:cs="Arial" w:hint="cs"/>
          <w:rtl/>
        </w:rPr>
        <w:t>,</w:t>
      </w:r>
      <w:r>
        <w:rPr>
          <w:rFonts w:cs="Arial"/>
          <w:rtl/>
        </w:rPr>
        <w:t xml:space="preserve"> והשתא בעולות הן. והה</w:t>
      </w:r>
      <w:r>
        <w:rPr>
          <w:rFonts w:cs="Arial" w:hint="cs"/>
          <w:rtl/>
        </w:rPr>
        <w:t>"</w:t>
      </w:r>
      <w:r>
        <w:rPr>
          <w:rFonts w:cs="Arial"/>
          <w:rtl/>
        </w:rPr>
        <w:t>מ כתב בפרק הנזכר שלמד הרמב"ם דין זה מדין חרש ושוטה שנשאו נשים פיקחות דאיתא בסמוך</w:t>
      </w:r>
      <w:r>
        <w:rPr>
          <w:rFonts w:cs="Arial" w:hint="cs"/>
          <w:rtl/>
        </w:rPr>
        <w:t>, ב"י.</w:t>
      </w:r>
    </w:p>
  </w:footnote>
  <w:footnote w:id="159">
    <w:p w14:paraId="38C06DAE" w14:textId="7C3F8E56" w:rsidR="001910BD" w:rsidRDefault="001910BD">
      <w:pPr>
        <w:pStyle w:val="a5"/>
      </w:pPr>
      <w:r>
        <w:rPr>
          <w:rStyle w:val="a7"/>
        </w:rPr>
        <w:footnoteRef/>
      </w:r>
      <w:r>
        <w:rPr>
          <w:rtl/>
        </w:rPr>
        <w:t xml:space="preserve"> </w:t>
      </w:r>
      <w:r w:rsidRPr="002766C5">
        <w:rPr>
          <w:rFonts w:cs="Arial"/>
          <w:rtl/>
        </w:rPr>
        <w:t>עב"ש סק"ז</w:t>
      </w:r>
      <w:r>
        <w:rPr>
          <w:rFonts w:cs="Arial" w:hint="cs"/>
          <w:rtl/>
        </w:rPr>
        <w:t>,</w:t>
      </w:r>
      <w:r w:rsidRPr="002766C5">
        <w:rPr>
          <w:rFonts w:cs="Arial"/>
          <w:rtl/>
        </w:rPr>
        <w:t xml:space="preserve"> ועי' בס' אמתחת בנימין </w:t>
      </w:r>
      <w:r>
        <w:rPr>
          <w:rFonts w:cs="Arial" w:hint="cs"/>
          <w:rtl/>
        </w:rPr>
        <w:t>(</w:t>
      </w:r>
      <w:r w:rsidRPr="002766C5">
        <w:rPr>
          <w:rFonts w:cs="Arial"/>
          <w:rtl/>
        </w:rPr>
        <w:t>פי"ד דיבמות מ"א</w:t>
      </w:r>
      <w:r>
        <w:rPr>
          <w:rFonts w:cs="Arial" w:hint="cs"/>
          <w:rtl/>
        </w:rPr>
        <w:t>)</w:t>
      </w:r>
      <w:r w:rsidRPr="002766C5">
        <w:rPr>
          <w:rFonts w:cs="Arial"/>
          <w:rtl/>
        </w:rPr>
        <w:t xml:space="preserve"> שכ' וז"ל</w:t>
      </w:r>
      <w:r>
        <w:rPr>
          <w:rFonts w:cs="Arial" w:hint="cs"/>
          <w:rtl/>
        </w:rPr>
        <w:t>:</w:t>
      </w:r>
      <w:r w:rsidRPr="002766C5">
        <w:rPr>
          <w:rFonts w:cs="Arial"/>
          <w:rtl/>
        </w:rPr>
        <w:t xml:space="preserve"> ופשוט הוא אצלי דהיינו דוקא היכא שנשא' כשהיא גדולה דאין נשואיה אלא מדרבנן</w:t>
      </w:r>
      <w:r>
        <w:rPr>
          <w:rFonts w:cs="Arial" w:hint="cs"/>
          <w:rtl/>
        </w:rPr>
        <w:t>,</w:t>
      </w:r>
      <w:r w:rsidRPr="002766C5">
        <w:rPr>
          <w:rFonts w:cs="Arial"/>
          <w:rtl/>
        </w:rPr>
        <w:t xml:space="preserve"> אבל היכא דקיבל אבי' קדושין בעודה קטנה דקידושי' דאורייתא בודאי יש לה כתובה</w:t>
      </w:r>
      <w:r>
        <w:rPr>
          <w:rFonts w:cs="Arial" w:hint="cs"/>
          <w:rtl/>
        </w:rPr>
        <w:t>.</w:t>
      </w:r>
      <w:r w:rsidRPr="002766C5">
        <w:rPr>
          <w:rFonts w:cs="Arial"/>
          <w:rtl/>
        </w:rPr>
        <w:t xml:space="preserve"> ולזה אמרו בגמ' פ' אלו נערות </w:t>
      </w:r>
      <w:r>
        <w:rPr>
          <w:rFonts w:cs="Arial" w:hint="cs"/>
          <w:rtl/>
        </w:rPr>
        <w:t>(</w:t>
      </w:r>
      <w:r w:rsidRPr="002766C5">
        <w:rPr>
          <w:rFonts w:cs="Arial"/>
          <w:rtl/>
        </w:rPr>
        <w:t>לז</w:t>
      </w:r>
      <w:r>
        <w:rPr>
          <w:rFonts w:cs="Arial" w:hint="cs"/>
          <w:rtl/>
        </w:rPr>
        <w:t>.)</w:t>
      </w:r>
      <w:r w:rsidRPr="002766C5">
        <w:rPr>
          <w:rFonts w:cs="Arial"/>
          <w:rtl/>
        </w:rPr>
        <w:t xml:space="preserve"> חרשת יש לה טענות בתולים</w:t>
      </w:r>
      <w:r>
        <w:rPr>
          <w:rFonts w:cs="Arial" w:hint="cs"/>
          <w:rtl/>
        </w:rPr>
        <w:t>,</w:t>
      </w:r>
      <w:r w:rsidRPr="002766C5">
        <w:rPr>
          <w:rFonts w:cs="Arial"/>
          <w:rtl/>
        </w:rPr>
        <w:t xml:space="preserve"> דהיינו שנשאת ע"י אביה בעודה קטנה</w:t>
      </w:r>
      <w:r>
        <w:rPr>
          <w:rFonts w:cs="Arial" w:hint="cs"/>
          <w:rtl/>
        </w:rPr>
        <w:t>,</w:t>
      </w:r>
      <w:r w:rsidRPr="002766C5">
        <w:rPr>
          <w:rFonts w:cs="Arial"/>
          <w:rtl/>
        </w:rPr>
        <w:t xml:space="preserve"> והרב ב"ש בסי' ס"ז סק"ז והלח"מ פי"א מה"א שגגו בזה עכ"ל</w:t>
      </w:r>
      <w:r>
        <w:rPr>
          <w:rFonts w:cs="Arial" w:hint="cs"/>
          <w:rtl/>
        </w:rPr>
        <w:t>.</w:t>
      </w:r>
      <w:r w:rsidRPr="002766C5">
        <w:rPr>
          <w:rFonts w:cs="Arial"/>
          <w:rtl/>
        </w:rPr>
        <w:t xml:space="preserve"> וע' בזה במל"מ שם ובס' בית מאיר כאן</w:t>
      </w:r>
      <w:r>
        <w:rPr>
          <w:rFonts w:cs="Arial" w:hint="cs"/>
          <w:rtl/>
        </w:rPr>
        <w:t xml:space="preserve">, פת"ש (סק"א). </w:t>
      </w:r>
    </w:p>
  </w:footnote>
  <w:footnote w:id="160">
    <w:p w14:paraId="2C8A8628" w14:textId="0FC7764B" w:rsidR="009B5359" w:rsidRDefault="009B5359">
      <w:pPr>
        <w:pStyle w:val="a5"/>
      </w:pPr>
      <w:r>
        <w:rPr>
          <w:rStyle w:val="a7"/>
        </w:rPr>
        <w:footnoteRef/>
      </w:r>
      <w:r>
        <w:rPr>
          <w:rtl/>
        </w:rPr>
        <w:t xml:space="preserve"> </w:t>
      </w:r>
      <w:r>
        <w:rPr>
          <w:rFonts w:cs="Arial"/>
          <w:rtl/>
        </w:rPr>
        <w:t>וכתב נמוק</w:t>
      </w:r>
      <w:r>
        <w:rPr>
          <w:rFonts w:cs="Arial" w:hint="cs"/>
          <w:rtl/>
        </w:rPr>
        <w:t>"</w:t>
      </w:r>
      <w:r>
        <w:rPr>
          <w:rFonts w:cs="Arial"/>
          <w:rtl/>
        </w:rPr>
        <w:t>י (יבמות מא: דיבור ראשון) ואם תאמר והא אמרינן (ב"ק פט.) אסור לאדם לשהות עם אשתו שעה אחת בלא כתובה</w:t>
      </w:r>
      <w:r>
        <w:rPr>
          <w:rFonts w:cs="Arial" w:hint="cs"/>
          <w:rtl/>
        </w:rPr>
        <w:t>.</w:t>
      </w:r>
      <w:r>
        <w:rPr>
          <w:rFonts w:cs="Arial"/>
          <w:rtl/>
        </w:rPr>
        <w:t xml:space="preserve"> יש לומר דהתם בפיקחים דהוו בני כתובה</w:t>
      </w:r>
      <w:r>
        <w:rPr>
          <w:rFonts w:cs="Arial" w:hint="cs"/>
          <w:rtl/>
        </w:rPr>
        <w:t>,</w:t>
      </w:r>
      <w:r>
        <w:rPr>
          <w:rFonts w:cs="Arial"/>
          <w:rtl/>
        </w:rPr>
        <w:t xml:space="preserve"> וכי לא כתביה נראה להם כבעילת זנות</w:t>
      </w:r>
      <w:r>
        <w:rPr>
          <w:rFonts w:cs="Arial" w:hint="cs"/>
          <w:rtl/>
        </w:rPr>
        <w:t>,</w:t>
      </w:r>
      <w:r>
        <w:rPr>
          <w:rFonts w:cs="Arial"/>
          <w:rtl/>
        </w:rPr>
        <w:t xml:space="preserve"> אבל בחרשים דלאו בני מיכתב נינהו לא קפדא עליה ואע</w:t>
      </w:r>
      <w:r>
        <w:rPr>
          <w:rFonts w:cs="Arial" w:hint="cs"/>
          <w:rtl/>
        </w:rPr>
        <w:t>"</w:t>
      </w:r>
      <w:r>
        <w:rPr>
          <w:rFonts w:cs="Arial"/>
          <w:rtl/>
        </w:rPr>
        <w:t>ג דאיהי פיקחת</w:t>
      </w:r>
      <w:r>
        <w:rPr>
          <w:rFonts w:cs="Arial" w:hint="cs"/>
          <w:rtl/>
        </w:rPr>
        <w:t>.</w:t>
      </w:r>
      <w:r>
        <w:rPr>
          <w:rFonts w:cs="Arial"/>
          <w:rtl/>
        </w:rPr>
        <w:t xml:space="preserve"> ומיהו הני מילי כשנישאת מעצמה לחרש</w:t>
      </w:r>
      <w:r>
        <w:rPr>
          <w:rFonts w:cs="Arial" w:hint="cs"/>
          <w:rtl/>
        </w:rPr>
        <w:t>,</w:t>
      </w:r>
      <w:r>
        <w:rPr>
          <w:rFonts w:cs="Arial"/>
          <w:rtl/>
        </w:rPr>
        <w:t xml:space="preserve"> אבל אי אנסבוה ליה בית דין וכתבו לה כתובה </w:t>
      </w:r>
      <w:r>
        <w:rPr>
          <w:rFonts w:cs="Arial" w:hint="cs"/>
          <w:rtl/>
        </w:rPr>
        <w:t xml:space="preserve">- </w:t>
      </w:r>
      <w:r>
        <w:rPr>
          <w:rFonts w:cs="Arial"/>
          <w:rtl/>
        </w:rPr>
        <w:t>אית לה וכדאמרינן בסמוך</w:t>
      </w:r>
      <w:r>
        <w:rPr>
          <w:rFonts w:cs="Arial" w:hint="cs"/>
          <w:rtl/>
        </w:rPr>
        <w:t>, ב"י.</w:t>
      </w:r>
    </w:p>
  </w:footnote>
  <w:footnote w:id="161">
    <w:p w14:paraId="63256608" w14:textId="79D2472B" w:rsidR="009B5359" w:rsidRDefault="009B5359">
      <w:pPr>
        <w:pStyle w:val="a5"/>
      </w:pPr>
      <w:r>
        <w:rPr>
          <w:rStyle w:val="a7"/>
        </w:rPr>
        <w:footnoteRef/>
      </w:r>
      <w:r>
        <w:rPr>
          <w:rtl/>
        </w:rPr>
        <w:t xml:space="preserve"> </w:t>
      </w:r>
      <w:r>
        <w:rPr>
          <w:rFonts w:hint="cs"/>
          <w:rtl/>
        </w:rPr>
        <w:t xml:space="preserve">הטור לא הזכיר בית דין, אלא כתב וז"ל: </w:t>
      </w:r>
      <w:r w:rsidRPr="005B7F07">
        <w:rPr>
          <w:rFonts w:cs="Arial"/>
          <w:rtl/>
        </w:rPr>
        <w:t>השיאו פקחת לחרש וכתבו לה כתובה על נכסיו נוטלת כל מה שכתבו לה</w:t>
      </w:r>
      <w:r>
        <w:rPr>
          <w:rFonts w:cs="Arial" w:hint="cs"/>
          <w:rtl/>
        </w:rPr>
        <w:t>... עכ"ל. וכתב הב"י ד</w:t>
      </w:r>
      <w:r>
        <w:rPr>
          <w:rFonts w:cs="Arial"/>
          <w:rtl/>
        </w:rPr>
        <w:t>נראה מדברי הרמב"ם בפי"א מהל</w:t>
      </w:r>
      <w:r>
        <w:rPr>
          <w:rFonts w:cs="Arial" w:hint="cs"/>
          <w:rtl/>
        </w:rPr>
        <w:t>'</w:t>
      </w:r>
      <w:r>
        <w:rPr>
          <w:rFonts w:cs="Arial"/>
          <w:rtl/>
        </w:rPr>
        <w:t xml:space="preserve"> אישות (ה"ו) דדוקא בשבית דין השיאוהו וכתבו לה הוא דנוטלת כל מה שכתבו לה</w:t>
      </w:r>
      <w:r>
        <w:rPr>
          <w:rFonts w:cs="Arial" w:hint="cs"/>
          <w:rtl/>
        </w:rPr>
        <w:t>.</w:t>
      </w:r>
      <w:r>
        <w:rPr>
          <w:rFonts w:cs="Arial"/>
          <w:rtl/>
        </w:rPr>
        <w:t xml:space="preserve"> הא אחרים דלאו בית דין</w:t>
      </w:r>
      <w:r>
        <w:rPr>
          <w:rFonts w:cs="Arial" w:hint="cs"/>
          <w:rtl/>
        </w:rPr>
        <w:t xml:space="preserve"> -</w:t>
      </w:r>
      <w:r>
        <w:rPr>
          <w:rFonts w:cs="Arial"/>
          <w:rtl/>
        </w:rPr>
        <w:t xml:space="preserve"> לאו</w:t>
      </w:r>
      <w:r>
        <w:rPr>
          <w:rFonts w:cs="Arial" w:hint="cs"/>
          <w:rtl/>
        </w:rPr>
        <w:t>.</w:t>
      </w:r>
      <w:r>
        <w:rPr>
          <w:rFonts w:cs="Arial"/>
          <w:rtl/>
        </w:rPr>
        <w:t xml:space="preserve"> וכן נראה מדברי נמוק</w:t>
      </w:r>
      <w:r>
        <w:rPr>
          <w:rFonts w:cs="Arial" w:hint="cs"/>
          <w:rtl/>
        </w:rPr>
        <w:t>"</w:t>
      </w:r>
      <w:r>
        <w:rPr>
          <w:rFonts w:cs="Arial"/>
          <w:rtl/>
        </w:rPr>
        <w:t>י (יבמות מא: דיבור ראשון) שכתב דאע"ג דרבנן לא תקינו כתובה</w:t>
      </w:r>
      <w:r>
        <w:rPr>
          <w:rFonts w:cs="Arial" w:hint="cs"/>
          <w:rtl/>
        </w:rPr>
        <w:t>,</w:t>
      </w:r>
      <w:r>
        <w:rPr>
          <w:rFonts w:cs="Arial"/>
          <w:rtl/>
        </w:rPr>
        <w:t xml:space="preserve"> מכל מקום בית דין אביהם של חרשים והם רשאים לכתוב כתובה לאשתו על נכסיו אם רואים שאינו מוצא אשה אלא בכך</w:t>
      </w:r>
      <w:r>
        <w:rPr>
          <w:rFonts w:cs="Arial" w:hint="cs"/>
          <w:rtl/>
        </w:rPr>
        <w:t>,</w:t>
      </w:r>
      <w:r>
        <w:rPr>
          <w:rFonts w:cs="Arial"/>
          <w:rtl/>
        </w:rPr>
        <w:t xml:space="preserve"> כשם שמפקחים בשאר ענייניו.</w:t>
      </w:r>
    </w:p>
  </w:footnote>
  <w:footnote w:id="162">
    <w:p w14:paraId="7340E635" w14:textId="162987EE" w:rsidR="00C553DF" w:rsidRDefault="00C553DF">
      <w:pPr>
        <w:pStyle w:val="a5"/>
        <w:rPr>
          <w:rtl/>
        </w:rPr>
      </w:pPr>
      <w:r>
        <w:rPr>
          <w:rStyle w:val="a7"/>
        </w:rPr>
        <w:footnoteRef/>
      </w:r>
      <w:r>
        <w:rPr>
          <w:rtl/>
        </w:rPr>
        <w:t xml:space="preserve"> </w:t>
      </w:r>
      <w:r>
        <w:rPr>
          <w:rFonts w:hint="cs"/>
          <w:rtl/>
        </w:rPr>
        <w:t>היינו מזה שבית דין יכולים לפסוק כתובה מנכסי החרש כדי להשיאו אשה פקחת הראויה לו.</w:t>
      </w:r>
    </w:p>
  </w:footnote>
  <w:footnote w:id="163">
    <w:p w14:paraId="46E78D20" w14:textId="64825169" w:rsidR="00C46C18" w:rsidRDefault="00C46C18">
      <w:pPr>
        <w:pStyle w:val="a5"/>
      </w:pPr>
      <w:r>
        <w:rPr>
          <w:rStyle w:val="a7"/>
        </w:rPr>
        <w:footnoteRef/>
      </w:r>
      <w:r>
        <w:rPr>
          <w:rtl/>
        </w:rPr>
        <w:t xml:space="preserve"> </w:t>
      </w:r>
      <w:r w:rsidRPr="00C46C18">
        <w:rPr>
          <w:rFonts w:cs="Arial"/>
          <w:rtl/>
        </w:rPr>
        <w:t>שכתב לה כשהוא קטן</w:t>
      </w:r>
      <w:r w:rsidR="002A6BA8">
        <w:rPr>
          <w:rFonts w:cs="Arial" w:hint="cs"/>
          <w:rtl/>
        </w:rPr>
        <w:t>.</w:t>
      </w:r>
      <w:r w:rsidRPr="00C46C18">
        <w:rPr>
          <w:rFonts w:cs="Arial"/>
          <w:rtl/>
        </w:rPr>
        <w:t xml:space="preserve"> ולגבי גר כתובה שכתב לה בהיותו ע</w:t>
      </w:r>
      <w:r w:rsidR="002A6BA8">
        <w:rPr>
          <w:rFonts w:cs="Arial" w:hint="cs"/>
          <w:rtl/>
        </w:rPr>
        <w:t>ובד כוכבים</w:t>
      </w:r>
      <w:r>
        <w:rPr>
          <w:rFonts w:cs="Arial" w:hint="cs"/>
          <w:rtl/>
        </w:rPr>
        <w:t>, רש"י.</w:t>
      </w:r>
    </w:p>
  </w:footnote>
  <w:footnote w:id="164">
    <w:p w14:paraId="547DDE7C" w14:textId="718AD647" w:rsidR="00282945" w:rsidRDefault="00282945">
      <w:pPr>
        <w:pStyle w:val="a5"/>
        <w:rPr>
          <w:rtl/>
        </w:rPr>
      </w:pPr>
      <w:r>
        <w:rPr>
          <w:rStyle w:val="a7"/>
        </w:rPr>
        <w:footnoteRef/>
      </w:r>
      <w:r>
        <w:rPr>
          <w:rtl/>
        </w:rPr>
        <w:t xml:space="preserve"> </w:t>
      </w:r>
      <w:r w:rsidRPr="00282945">
        <w:rPr>
          <w:rFonts w:cs="Arial"/>
          <w:rtl/>
        </w:rPr>
        <w:t>שהן תנאי ב"ד דאילו בשטר לא גביא דחספא בעלמא הוא</w:t>
      </w:r>
      <w:r>
        <w:rPr>
          <w:rFonts w:hint="cs"/>
          <w:rtl/>
        </w:rPr>
        <w:t>, רש"י.</w:t>
      </w:r>
    </w:p>
  </w:footnote>
  <w:footnote w:id="165">
    <w:p w14:paraId="43157B51" w14:textId="6750A1EE" w:rsidR="00282945" w:rsidRDefault="00282945">
      <w:pPr>
        <w:pStyle w:val="a5"/>
      </w:pPr>
      <w:r>
        <w:rPr>
          <w:rStyle w:val="a7"/>
        </w:rPr>
        <w:footnoteRef/>
      </w:r>
      <w:r>
        <w:rPr>
          <w:rtl/>
        </w:rPr>
        <w:t xml:space="preserve"> </w:t>
      </w:r>
      <w:r w:rsidRPr="00282945">
        <w:rPr>
          <w:rFonts w:cs="Arial"/>
          <w:rtl/>
        </w:rPr>
        <w:t>קטן משהגדיל וגר משנתגייר אם הוסיפו כלום על כתובה ראשונה</w:t>
      </w:r>
      <w:r>
        <w:rPr>
          <w:rFonts w:cs="Arial" w:hint="cs"/>
          <w:rtl/>
        </w:rPr>
        <w:t>, רש"י.</w:t>
      </w:r>
    </w:p>
  </w:footnote>
  <w:footnote w:id="166">
    <w:p w14:paraId="6DE44290" w14:textId="4664CAD5" w:rsidR="00C45F5F" w:rsidRDefault="00C45F5F" w:rsidP="00C45F5F">
      <w:pPr>
        <w:pStyle w:val="a5"/>
      </w:pPr>
      <w:r>
        <w:rPr>
          <w:rStyle w:val="a7"/>
        </w:rPr>
        <w:footnoteRef/>
      </w:r>
      <w:r>
        <w:rPr>
          <w:rtl/>
        </w:rPr>
        <w:t xml:space="preserve"> </w:t>
      </w:r>
      <w:r w:rsidRPr="00893577">
        <w:rPr>
          <w:rFonts w:cs="Arial"/>
          <w:rtl/>
        </w:rPr>
        <w:t>וכתב הה</w:t>
      </w:r>
      <w:r>
        <w:rPr>
          <w:rFonts w:cs="Arial" w:hint="cs"/>
          <w:rtl/>
        </w:rPr>
        <w:t>"</w:t>
      </w:r>
      <w:r w:rsidRPr="00893577">
        <w:rPr>
          <w:rFonts w:cs="Arial"/>
          <w:rtl/>
        </w:rPr>
        <w:t xml:space="preserve">מ </w:t>
      </w:r>
      <w:r w:rsidR="00810FF8">
        <w:rPr>
          <w:rFonts w:cs="Arial" w:hint="cs"/>
          <w:rtl/>
        </w:rPr>
        <w:t>(</w:t>
      </w:r>
      <w:r w:rsidRPr="00893577">
        <w:rPr>
          <w:rFonts w:cs="Arial"/>
          <w:rtl/>
        </w:rPr>
        <w:t>פי"א מהל</w:t>
      </w:r>
      <w:r>
        <w:rPr>
          <w:rFonts w:cs="Arial" w:hint="cs"/>
          <w:rtl/>
        </w:rPr>
        <w:t>'</w:t>
      </w:r>
      <w:r w:rsidRPr="00893577">
        <w:rPr>
          <w:rFonts w:cs="Arial"/>
          <w:rtl/>
        </w:rPr>
        <w:t xml:space="preserve"> אישות ה"ז) והא דכתובתה קיימת כתב הרשב"א והוא שבעל לאחר שהגדיל לפי שאין אדם עושה בעילתו בעילת זנות</w:t>
      </w:r>
      <w:r w:rsidR="00810FF8">
        <w:rPr>
          <w:rFonts w:cs="Arial" w:hint="cs"/>
          <w:rtl/>
        </w:rPr>
        <w:t>,</w:t>
      </w:r>
      <w:r w:rsidRPr="00893577">
        <w:rPr>
          <w:rFonts w:cs="Arial"/>
          <w:rtl/>
        </w:rPr>
        <w:t xml:space="preserve"> וכן מפורש בירושלמי (כתובות פ"ט סוף ה"י) עכ"ל</w:t>
      </w:r>
      <w:r>
        <w:rPr>
          <w:rFonts w:cs="Arial" w:hint="cs"/>
          <w:rtl/>
        </w:rPr>
        <w:t xml:space="preserve">, ב"י. </w:t>
      </w:r>
      <w:r w:rsidRPr="00911C29">
        <w:rPr>
          <w:rFonts w:cs="Arial"/>
          <w:rtl/>
        </w:rPr>
        <w:t>וכ"כ הר"ן סוף הכותב (מח: ד"ה כתובתה קיימת) בשם הירושלמי (כתובות פ"ט ה"י)</w:t>
      </w:r>
      <w:r>
        <w:rPr>
          <w:rFonts w:cs="Arial" w:hint="cs"/>
          <w:rtl/>
        </w:rPr>
        <w:t>, דרכ"מ (אות ג).</w:t>
      </w:r>
    </w:p>
  </w:footnote>
  <w:footnote w:id="167">
    <w:p w14:paraId="75B4092B" w14:textId="0C43984A" w:rsidR="00911C29" w:rsidRDefault="00911C29" w:rsidP="00911C29">
      <w:pPr>
        <w:pStyle w:val="a5"/>
      </w:pPr>
      <w:r>
        <w:rPr>
          <w:rStyle w:val="a7"/>
        </w:rPr>
        <w:footnoteRef/>
      </w:r>
      <w:r>
        <w:rPr>
          <w:rtl/>
        </w:rPr>
        <w:t xml:space="preserve"> </w:t>
      </w:r>
      <w:r w:rsidRPr="001D12E7">
        <w:rPr>
          <w:rFonts w:cs="Arial"/>
          <w:rtl/>
        </w:rPr>
        <w:t>אבל מדברי הרמב"ם פי"א דאישות (ה"ז) נראה דאין לה רק מנה</w:t>
      </w:r>
      <w:r w:rsidR="00857671">
        <w:rPr>
          <w:rFonts w:cs="Arial" w:hint="cs"/>
          <w:rtl/>
        </w:rPr>
        <w:t>, דרכ"מ (אות ב).</w:t>
      </w:r>
      <w:r w:rsidR="00857671">
        <w:rPr>
          <w:rFonts w:hint="cs"/>
          <w:rtl/>
        </w:rPr>
        <w:t xml:space="preserve"> ועיין לקמן דמבואר דהרמב"ם סובר דרק ל</w:t>
      </w:r>
      <w:r w:rsidR="001941C2">
        <w:rPr>
          <w:rFonts w:hint="cs"/>
          <w:rtl/>
        </w:rPr>
        <w:t>גר שנתגייר הוא ואשתו יש לה מנה, אבל בתולה יש לה עיקר כתובה והיינו מאתים. וכן מדוייק מלשון הב"י והשו"ע. וצל"ע על הבנת הדרכ"מ.</w:t>
      </w:r>
    </w:p>
  </w:footnote>
  <w:footnote w:id="168">
    <w:p w14:paraId="4331A750" w14:textId="25BEF269" w:rsidR="00857671" w:rsidRDefault="00857671" w:rsidP="00857671">
      <w:pPr>
        <w:pStyle w:val="a5"/>
      </w:pPr>
      <w:r>
        <w:rPr>
          <w:rStyle w:val="a7"/>
        </w:rPr>
        <w:footnoteRef/>
      </w:r>
      <w:r>
        <w:rPr>
          <w:rtl/>
        </w:rPr>
        <w:t xml:space="preserve"> </w:t>
      </w:r>
      <w:r w:rsidRPr="00893577">
        <w:rPr>
          <w:rFonts w:cs="Arial"/>
          <w:rtl/>
        </w:rPr>
        <w:t>וכתב הה</w:t>
      </w:r>
      <w:r>
        <w:rPr>
          <w:rFonts w:cs="Arial" w:hint="cs"/>
          <w:rtl/>
        </w:rPr>
        <w:t>"מ</w:t>
      </w:r>
      <w:r w:rsidRPr="00893577">
        <w:rPr>
          <w:rFonts w:cs="Arial"/>
          <w:rtl/>
        </w:rPr>
        <w:t xml:space="preserve"> הטעם שכתב רבינו מנה לפי שכבר נתבאר (ה"א) שנתגיירה יתירה על בת ג' ויום אחד ונישאת אח"כ אין לה אלא מנה וכל שכן זו</w:t>
      </w:r>
      <w:r>
        <w:rPr>
          <w:rFonts w:cs="Arial" w:hint="cs"/>
          <w:rtl/>
        </w:rPr>
        <w:t>.</w:t>
      </w:r>
      <w:r w:rsidRPr="00893577">
        <w:rPr>
          <w:rFonts w:cs="Arial"/>
          <w:rtl/>
        </w:rPr>
        <w:t xml:space="preserve"> ע"כ</w:t>
      </w:r>
      <w:r>
        <w:rPr>
          <w:rFonts w:cs="Arial" w:hint="cs"/>
          <w:rtl/>
        </w:rPr>
        <w:t>.</w:t>
      </w:r>
      <w:r w:rsidRPr="00893577">
        <w:rPr>
          <w:rFonts w:cs="Arial"/>
          <w:rtl/>
        </w:rPr>
        <w:t xml:space="preserve"> ולפי זו הא דקתני בברייתא לא חידשו בתולה גובה ק"ק</w:t>
      </w:r>
      <w:r>
        <w:rPr>
          <w:rFonts w:cs="Arial" w:hint="cs"/>
          <w:rtl/>
        </w:rPr>
        <w:t>,</w:t>
      </w:r>
      <w:r w:rsidRPr="00893577">
        <w:rPr>
          <w:rFonts w:cs="Arial"/>
          <w:rtl/>
        </w:rPr>
        <w:t xml:space="preserve"> צריך לומר דאקטן דוקא קאי</w:t>
      </w:r>
      <w:r>
        <w:rPr>
          <w:rFonts w:cs="Arial" w:hint="cs"/>
          <w:rtl/>
        </w:rPr>
        <w:t>,</w:t>
      </w:r>
      <w:r w:rsidRPr="00893577">
        <w:rPr>
          <w:rFonts w:cs="Arial"/>
          <w:rtl/>
        </w:rPr>
        <w:t xml:space="preserve"> ולא אגר</w:t>
      </w:r>
      <w:r>
        <w:rPr>
          <w:rFonts w:cs="Arial" w:hint="cs"/>
          <w:rtl/>
        </w:rPr>
        <w:t>, ב"י.</w:t>
      </w:r>
    </w:p>
  </w:footnote>
  <w:footnote w:id="169">
    <w:p w14:paraId="39A9D365" w14:textId="74A35039" w:rsidR="009F595E" w:rsidRDefault="009F595E">
      <w:pPr>
        <w:pStyle w:val="a5"/>
      </w:pPr>
      <w:r>
        <w:rPr>
          <w:rStyle w:val="a7"/>
        </w:rPr>
        <w:footnoteRef/>
      </w:r>
      <w:r>
        <w:rPr>
          <w:rtl/>
        </w:rPr>
        <w:t xml:space="preserve"> </w:t>
      </w:r>
      <w:r w:rsidRPr="002766C5">
        <w:rPr>
          <w:rFonts w:cs="Arial"/>
          <w:rtl/>
        </w:rPr>
        <w:t>עבה"ט מ"ש וא"צ קדושין אחרים</w:t>
      </w:r>
      <w:r>
        <w:rPr>
          <w:rFonts w:cs="Arial" w:hint="cs"/>
          <w:rtl/>
        </w:rPr>
        <w:t>.</w:t>
      </w:r>
      <w:r w:rsidRPr="002766C5">
        <w:rPr>
          <w:rFonts w:cs="Arial"/>
          <w:rtl/>
        </w:rPr>
        <w:t xml:space="preserve"> ועי' בס' בית מאיר שחולק ודעתו דצריך קדושין אחרים</w:t>
      </w:r>
      <w:r>
        <w:rPr>
          <w:rFonts w:cs="Arial" w:hint="cs"/>
          <w:rtl/>
        </w:rPr>
        <w:t>,</w:t>
      </w:r>
      <w:r w:rsidRPr="002766C5">
        <w:rPr>
          <w:rFonts w:cs="Arial"/>
          <w:rtl/>
        </w:rPr>
        <w:t xml:space="preserve"> וכתב נהי דבדיעבד אם בא עלי' אחר שהגדיל בפ"ע או ע"י יחוד בפני עדים א"צ קדושין אחרים ואמרינן אין אדם עובב"ז כמבואר סי' ל"א סעיף ט'</w:t>
      </w:r>
      <w:r>
        <w:rPr>
          <w:rFonts w:cs="Arial" w:hint="cs"/>
          <w:rtl/>
        </w:rPr>
        <w:t>,</w:t>
      </w:r>
      <w:r w:rsidRPr="002766C5">
        <w:rPr>
          <w:rFonts w:cs="Arial"/>
          <w:rtl/>
        </w:rPr>
        <w:t xml:space="preserve"> מ"מ כשבא לשאול טרם שבא עליה אין ספק אצלי דמורינן לי' לקדש בקידושי כסף ולא בק"ב דרב מנגיד כו' ע"ש</w:t>
      </w:r>
      <w:r>
        <w:rPr>
          <w:rFonts w:cs="Arial" w:hint="cs"/>
          <w:rtl/>
        </w:rPr>
        <w:t>.</w:t>
      </w:r>
      <w:r w:rsidRPr="002766C5">
        <w:rPr>
          <w:rFonts w:cs="Arial"/>
          <w:rtl/>
        </w:rPr>
        <w:t xml:space="preserve"> ועיין בזה בנו"ב תניינא סי' נ"ב הובא קצת לעיל סי' מ"ג סק"א</w:t>
      </w:r>
      <w:r>
        <w:rPr>
          <w:rFonts w:cs="Arial" w:hint="cs"/>
          <w:rtl/>
        </w:rPr>
        <w:t>, פת"ש (סק"ג).</w:t>
      </w:r>
    </w:p>
  </w:footnote>
  <w:footnote w:id="170">
    <w:p w14:paraId="4004E3D5" w14:textId="4A0FCCB6" w:rsidR="00F83BD5" w:rsidRDefault="00F83BD5">
      <w:pPr>
        <w:pStyle w:val="a5"/>
      </w:pPr>
      <w:r>
        <w:rPr>
          <w:rStyle w:val="a7"/>
        </w:rPr>
        <w:footnoteRef/>
      </w:r>
      <w:r>
        <w:rPr>
          <w:rtl/>
        </w:rPr>
        <w:t xml:space="preserve"> </w:t>
      </w:r>
      <w:r w:rsidRPr="00F83BD5">
        <w:rPr>
          <w:rFonts w:cs="Arial"/>
          <w:rtl/>
        </w:rPr>
        <w:t>וכמ"ש הרב המגיד שם דהגיורת שנתגיירה יתירה על בת ג' שנים ונשאת אח"כ אין לה אלא מנה וכל שכן זו</w:t>
      </w:r>
      <w:r>
        <w:rPr>
          <w:rFonts w:cs="Arial" w:hint="cs"/>
          <w:rtl/>
        </w:rPr>
        <w:t xml:space="preserve">, </w:t>
      </w:r>
      <w:r w:rsidRPr="007625BC">
        <w:rPr>
          <w:rFonts w:cs="Arial" w:hint="cs"/>
          <w:b/>
          <w:bCs/>
          <w:rtl/>
        </w:rPr>
        <w:t>באה"ג</w:t>
      </w:r>
      <w:r>
        <w:rPr>
          <w:rFonts w:cs="Arial" w:hint="cs"/>
          <w:rtl/>
        </w:rPr>
        <w:t xml:space="preserve"> (אות ת).</w:t>
      </w:r>
      <w:r w:rsidR="007625BC">
        <w:rPr>
          <w:rFonts w:cs="Arial" w:hint="cs"/>
          <w:rtl/>
        </w:rPr>
        <w:t xml:space="preserve">    </w:t>
      </w:r>
      <w:r>
        <w:rPr>
          <w:rFonts w:cs="Arial" w:hint="cs"/>
          <w:rtl/>
        </w:rPr>
        <w:t xml:space="preserve"> </w:t>
      </w:r>
      <w:r w:rsidR="007625BC" w:rsidRPr="007625BC">
        <w:rPr>
          <w:rFonts w:cs="Arial"/>
          <w:rtl/>
        </w:rPr>
        <w:t>עבה"ג אבל כל הפוסקים חולקין עליו</w:t>
      </w:r>
      <w:r w:rsidR="007625BC">
        <w:rPr>
          <w:rFonts w:cs="Arial" w:hint="cs"/>
          <w:rtl/>
        </w:rPr>
        <w:t>,</w:t>
      </w:r>
      <w:r w:rsidR="007625BC" w:rsidRPr="007625BC">
        <w:rPr>
          <w:rFonts w:cs="Arial"/>
          <w:rtl/>
        </w:rPr>
        <w:t xml:space="preserve"> וערש"י שם ד"ה חידשו כו' ותוס' ד"ה הנ"ל</w:t>
      </w:r>
      <w:r w:rsidR="007625BC">
        <w:rPr>
          <w:rFonts w:cs="Arial" w:hint="cs"/>
          <w:rtl/>
        </w:rPr>
        <w:t>,</w:t>
      </w:r>
      <w:r w:rsidR="007625BC" w:rsidRPr="007625BC">
        <w:rPr>
          <w:rFonts w:cs="Arial"/>
          <w:rtl/>
        </w:rPr>
        <w:t xml:space="preserve"> וכ"מ פשטא דמתני' דתני להו בחדא</w:t>
      </w:r>
      <w:r w:rsidR="007625BC">
        <w:rPr>
          <w:rFonts w:cs="Arial" w:hint="cs"/>
          <w:rtl/>
        </w:rPr>
        <w:t>,</w:t>
      </w:r>
      <w:r w:rsidR="007625BC" w:rsidRPr="007625BC">
        <w:rPr>
          <w:rFonts w:cs="Arial"/>
          <w:rtl/>
        </w:rPr>
        <w:t xml:space="preserve"> ודברי הרמב"ם צ"ע</w:t>
      </w:r>
      <w:r w:rsidR="007625BC">
        <w:rPr>
          <w:rFonts w:cs="Arial" w:hint="cs"/>
          <w:rtl/>
        </w:rPr>
        <w:t>,</w:t>
      </w:r>
      <w:r w:rsidR="007625BC" w:rsidRPr="007625BC">
        <w:rPr>
          <w:rFonts w:cs="Arial"/>
          <w:rtl/>
        </w:rPr>
        <w:t xml:space="preserve"> ועלח"מ ומש"ל</w:t>
      </w:r>
      <w:r w:rsidR="007625BC">
        <w:rPr>
          <w:rFonts w:cs="Arial" w:hint="cs"/>
          <w:rtl/>
        </w:rPr>
        <w:t xml:space="preserve">, </w:t>
      </w:r>
      <w:r w:rsidR="007625BC" w:rsidRPr="007625BC">
        <w:rPr>
          <w:rFonts w:cs="Arial" w:hint="cs"/>
          <w:b/>
          <w:bCs/>
          <w:rtl/>
        </w:rPr>
        <w:t>גר"א</w:t>
      </w:r>
      <w:r w:rsidR="007625BC">
        <w:rPr>
          <w:rFonts w:cs="Arial" w:hint="cs"/>
          <w:rtl/>
        </w:rPr>
        <w:t xml:space="preserve"> (סקט"ז).</w:t>
      </w:r>
    </w:p>
  </w:footnote>
  <w:footnote w:id="171">
    <w:p w14:paraId="7A6BDECD" w14:textId="23090475" w:rsidR="0045340D" w:rsidRDefault="0045340D">
      <w:pPr>
        <w:pStyle w:val="a5"/>
        <w:rPr>
          <w:rtl/>
        </w:rPr>
      </w:pPr>
      <w:r>
        <w:rPr>
          <w:rStyle w:val="a7"/>
        </w:rPr>
        <w:footnoteRef/>
      </w:r>
      <w:r>
        <w:rPr>
          <w:rtl/>
        </w:rPr>
        <w:t xml:space="preserve"> </w:t>
      </w:r>
      <w:r w:rsidRPr="0045340D">
        <w:rPr>
          <w:rFonts w:cs="Arial"/>
          <w:rtl/>
        </w:rPr>
        <w:t>שחלוקין במנהגם ונפקא מינה דהיכא דלא נהיגי לייחד יכול לטעון</w:t>
      </w:r>
      <w:r>
        <w:rPr>
          <w:rFonts w:hint="cs"/>
          <w:rtl/>
        </w:rPr>
        <w:t>, רש"י.</w:t>
      </w:r>
    </w:p>
  </w:footnote>
  <w:footnote w:id="172">
    <w:p w14:paraId="1A95C3BA" w14:textId="71F611D8" w:rsidR="0045340D" w:rsidRDefault="0045340D">
      <w:pPr>
        <w:pStyle w:val="a5"/>
      </w:pPr>
      <w:r>
        <w:rPr>
          <w:rStyle w:val="a7"/>
        </w:rPr>
        <w:footnoteRef/>
      </w:r>
      <w:r>
        <w:rPr>
          <w:rtl/>
        </w:rPr>
        <w:t xml:space="preserve"> </w:t>
      </w:r>
      <w:r w:rsidRPr="0045340D">
        <w:rPr>
          <w:rFonts w:cs="Arial"/>
          <w:rtl/>
        </w:rPr>
        <w:t>דמקומות מקומות יש</w:t>
      </w:r>
      <w:r>
        <w:rPr>
          <w:rFonts w:cs="Arial" w:hint="cs"/>
          <w:rtl/>
        </w:rPr>
        <w:t>, רש"י.</w:t>
      </w:r>
    </w:p>
  </w:footnote>
  <w:footnote w:id="173">
    <w:p w14:paraId="072E5BA7" w14:textId="18F884FF" w:rsidR="0045340D" w:rsidRDefault="0045340D">
      <w:pPr>
        <w:pStyle w:val="a5"/>
      </w:pPr>
      <w:r>
        <w:rPr>
          <w:rStyle w:val="a7"/>
        </w:rPr>
        <w:footnoteRef/>
      </w:r>
      <w:r>
        <w:rPr>
          <w:rtl/>
        </w:rPr>
        <w:t xml:space="preserve"> </w:t>
      </w:r>
      <w:r w:rsidRPr="0045340D">
        <w:rPr>
          <w:rFonts w:cs="Arial"/>
          <w:rtl/>
        </w:rPr>
        <w:t>לפשפש ולמשמש במעשיהן באותו הלילה</w:t>
      </w:r>
      <w:r w:rsidR="00F42196">
        <w:rPr>
          <w:rFonts w:cs="Arial" w:hint="cs"/>
          <w:rtl/>
        </w:rPr>
        <w:t>,</w:t>
      </w:r>
      <w:r w:rsidRPr="0045340D">
        <w:rPr>
          <w:rFonts w:cs="Arial"/>
          <w:rtl/>
        </w:rPr>
        <w:t xml:space="preserve"> שלא יקלקלו זה את זה במעשיהם בתרמית</w:t>
      </w:r>
      <w:r w:rsidR="00F42196">
        <w:rPr>
          <w:rFonts w:cs="Arial" w:hint="cs"/>
          <w:rtl/>
        </w:rPr>
        <w:t>,</w:t>
      </w:r>
      <w:r w:rsidRPr="0045340D">
        <w:rPr>
          <w:rFonts w:cs="Arial"/>
          <w:rtl/>
        </w:rPr>
        <w:t xml:space="preserve"> שלא יראה זה דם בתולים ויאבד</w:t>
      </w:r>
      <w:r w:rsidR="00F42196">
        <w:rPr>
          <w:rFonts w:cs="Arial" w:hint="cs"/>
          <w:rtl/>
        </w:rPr>
        <w:t>,</w:t>
      </w:r>
      <w:r w:rsidRPr="0045340D">
        <w:rPr>
          <w:rFonts w:cs="Arial"/>
          <w:rtl/>
        </w:rPr>
        <w:t xml:space="preserve"> וזו לא תביא מפה שיש עליה טיפי דמים</w:t>
      </w:r>
      <w:r w:rsidR="00F42196">
        <w:rPr>
          <w:rFonts w:cs="Arial" w:hint="cs"/>
          <w:rtl/>
        </w:rPr>
        <w:t>.</w:t>
      </w:r>
      <w:r w:rsidRPr="0045340D">
        <w:rPr>
          <w:rFonts w:cs="Arial"/>
          <w:rtl/>
        </w:rPr>
        <w:t xml:space="preserve"> ובמקום שנהגו למשמש לא נהגו לייחד</w:t>
      </w:r>
      <w:r w:rsidR="00A84D2A">
        <w:rPr>
          <w:rFonts w:cs="Arial" w:hint="cs"/>
          <w:rtl/>
        </w:rPr>
        <w:t>,</w:t>
      </w:r>
      <w:r w:rsidRPr="0045340D">
        <w:rPr>
          <w:rFonts w:cs="Arial"/>
          <w:rtl/>
        </w:rPr>
        <w:t xml:space="preserve"> דאילו במקום שנהגו לייחד מאי מישמוש בעי הרי אין שם טענת בתולים</w:t>
      </w:r>
      <w:r w:rsidR="00A84D2A">
        <w:rPr>
          <w:rFonts w:cs="Arial" w:hint="cs"/>
          <w:rtl/>
        </w:rPr>
        <w:t>,</w:t>
      </w:r>
      <w:r w:rsidRPr="0045340D">
        <w:rPr>
          <w:rFonts w:cs="Arial"/>
          <w:rtl/>
        </w:rPr>
        <w:t xml:space="preserve"> אלמא ביהודה מקומות מקומות יש</w:t>
      </w:r>
      <w:r>
        <w:rPr>
          <w:rFonts w:cs="Arial" w:hint="cs"/>
          <w:rtl/>
        </w:rPr>
        <w:t>, רש"י.</w:t>
      </w:r>
    </w:p>
  </w:footnote>
  <w:footnote w:id="174">
    <w:p w14:paraId="1CC5C5DD" w14:textId="399786DF" w:rsidR="00A84D2A" w:rsidRDefault="00A84D2A">
      <w:pPr>
        <w:pStyle w:val="a5"/>
      </w:pPr>
      <w:r>
        <w:rPr>
          <w:rStyle w:val="a7"/>
        </w:rPr>
        <w:footnoteRef/>
      </w:r>
      <w:r>
        <w:rPr>
          <w:rtl/>
        </w:rPr>
        <w:t xml:space="preserve"> </w:t>
      </w:r>
      <w:r w:rsidRPr="00A84D2A">
        <w:rPr>
          <w:rFonts w:cs="Arial"/>
          <w:rtl/>
        </w:rPr>
        <w:t>אמנהג דמייחדין</w:t>
      </w:r>
      <w:r>
        <w:rPr>
          <w:rFonts w:cs="Arial" w:hint="cs"/>
          <w:rtl/>
        </w:rPr>
        <w:t>, רש"י.</w:t>
      </w:r>
    </w:p>
  </w:footnote>
  <w:footnote w:id="175">
    <w:p w14:paraId="06387332" w14:textId="07E38136" w:rsidR="00E86AA7" w:rsidRDefault="00E86AA7">
      <w:pPr>
        <w:pStyle w:val="a5"/>
      </w:pPr>
      <w:r>
        <w:rPr>
          <w:rStyle w:val="a7"/>
        </w:rPr>
        <w:footnoteRef/>
      </w:r>
      <w:r>
        <w:rPr>
          <w:rtl/>
        </w:rPr>
        <w:t xml:space="preserve"> </w:t>
      </w:r>
      <w:r w:rsidRPr="00E86AA7">
        <w:rPr>
          <w:rFonts w:cs="Arial"/>
          <w:rtl/>
        </w:rPr>
        <w:t>דאין יכול לטעון</w:t>
      </w:r>
      <w:r>
        <w:rPr>
          <w:rFonts w:cs="Arial" w:hint="cs"/>
          <w:rtl/>
        </w:rPr>
        <w:t>, רש"י.</w:t>
      </w:r>
    </w:p>
  </w:footnote>
  <w:footnote w:id="176">
    <w:p w14:paraId="6DEE1A47" w14:textId="5B951E56" w:rsidR="00E86AA7" w:rsidRDefault="00E86AA7">
      <w:pPr>
        <w:pStyle w:val="a5"/>
      </w:pPr>
      <w:r>
        <w:rPr>
          <w:rStyle w:val="a7"/>
        </w:rPr>
        <w:footnoteRef/>
      </w:r>
      <w:r>
        <w:rPr>
          <w:rtl/>
        </w:rPr>
        <w:t xml:space="preserve"> </w:t>
      </w:r>
      <w:r w:rsidRPr="00E86AA7">
        <w:rPr>
          <w:rFonts w:cs="Arial"/>
          <w:rtl/>
        </w:rPr>
        <w:t>אמנהג דמשמוש שושבינין</w:t>
      </w:r>
      <w:r>
        <w:rPr>
          <w:rFonts w:cs="Arial" w:hint="cs"/>
          <w:rtl/>
        </w:rPr>
        <w:t>, רש"י.</w:t>
      </w:r>
    </w:p>
  </w:footnote>
  <w:footnote w:id="177">
    <w:p w14:paraId="2880F97B" w14:textId="0C7C43FC" w:rsidR="00E86AA7" w:rsidRDefault="00E86AA7">
      <w:pPr>
        <w:pStyle w:val="a5"/>
        <w:rPr>
          <w:rtl/>
        </w:rPr>
      </w:pPr>
      <w:r>
        <w:rPr>
          <w:rStyle w:val="a7"/>
        </w:rPr>
        <w:footnoteRef/>
      </w:r>
      <w:r>
        <w:rPr>
          <w:rtl/>
        </w:rPr>
        <w:t xml:space="preserve"> </w:t>
      </w:r>
      <w:r w:rsidRPr="00E86AA7">
        <w:rPr>
          <w:rFonts w:cs="Arial"/>
          <w:rtl/>
        </w:rPr>
        <w:t>דהטוען טענת בתולים הוא הבעל</w:t>
      </w:r>
      <w:r w:rsidR="00507AD2">
        <w:rPr>
          <w:rFonts w:cs="Arial" w:hint="cs"/>
          <w:rtl/>
        </w:rPr>
        <w:t>,</w:t>
      </w:r>
      <w:r w:rsidRPr="00E86AA7">
        <w:rPr>
          <w:rFonts w:cs="Arial"/>
          <w:rtl/>
        </w:rPr>
        <w:t xml:space="preserve"> והוא אינו נוהג מישמוש שבו</w:t>
      </w:r>
      <w:r w:rsidR="00507AD2">
        <w:rPr>
          <w:rFonts w:cs="Arial" w:hint="cs"/>
          <w:rtl/>
        </w:rPr>
        <w:t xml:space="preserve">, </w:t>
      </w:r>
      <w:r w:rsidRPr="00E86AA7">
        <w:rPr>
          <w:rFonts w:cs="Arial"/>
          <w:rtl/>
        </w:rPr>
        <w:t>שאינו תלוי בבעל אלא על אבי הכלה למשמשו שלא יאבד את בתוליה</w:t>
      </w:r>
      <w:r w:rsidR="00507AD2">
        <w:rPr>
          <w:rFonts w:cs="Arial" w:hint="cs"/>
          <w:rtl/>
        </w:rPr>
        <w:t>.</w:t>
      </w:r>
      <w:r w:rsidRPr="00E86AA7">
        <w:rPr>
          <w:rFonts w:cs="Arial"/>
          <w:rtl/>
        </w:rPr>
        <w:t xml:space="preserve"> ומשמוש בכלה שלא תביא דם מן החוץ תלוי בבעל</w:t>
      </w:r>
      <w:r w:rsidR="00507AD2">
        <w:rPr>
          <w:rFonts w:cs="Arial" w:hint="cs"/>
          <w:rtl/>
        </w:rPr>
        <w:t>,</w:t>
      </w:r>
      <w:r w:rsidRPr="00E86AA7">
        <w:rPr>
          <w:rFonts w:cs="Arial"/>
          <w:rtl/>
        </w:rPr>
        <w:t xml:space="preserve"> והיכי תני כל בעל שלא נהג מישמוש אינו יכול לטעון טענת בתולים</w:t>
      </w:r>
      <w:r w:rsidR="00580297">
        <w:rPr>
          <w:rFonts w:cs="Arial" w:hint="cs"/>
          <w:rtl/>
        </w:rPr>
        <w:t>,</w:t>
      </w:r>
      <w:r w:rsidRPr="00E86AA7">
        <w:rPr>
          <w:rFonts w:cs="Arial"/>
          <w:rtl/>
        </w:rPr>
        <w:t xml:space="preserve"> כ"ש דאם לא נהג למשמש והם מישמשו אותו דיכול לטעון</w:t>
      </w:r>
      <w:r w:rsidR="00580297">
        <w:rPr>
          <w:rFonts w:cs="Arial" w:hint="cs"/>
          <w:rtl/>
        </w:rPr>
        <w:t>,</w:t>
      </w:r>
      <w:r w:rsidRPr="00E86AA7">
        <w:rPr>
          <w:rFonts w:cs="Arial"/>
          <w:rtl/>
        </w:rPr>
        <w:t xml:space="preserve"> הכי איבעי ליה למתני כל שלא מושמש אינו יכול לטעון דשמא ראה ואבד</w:t>
      </w:r>
      <w:r>
        <w:rPr>
          <w:rFonts w:hint="cs"/>
          <w:rtl/>
        </w:rPr>
        <w:t>, רש"י.</w:t>
      </w:r>
    </w:p>
  </w:footnote>
  <w:footnote w:id="178">
    <w:p w14:paraId="1D9A06D8" w14:textId="0579799C" w:rsidR="00580297" w:rsidRDefault="00580297">
      <w:pPr>
        <w:pStyle w:val="a5"/>
        <w:rPr>
          <w:rtl/>
        </w:rPr>
      </w:pPr>
      <w:r>
        <w:rPr>
          <w:rStyle w:val="a7"/>
        </w:rPr>
        <w:footnoteRef/>
      </w:r>
      <w:r>
        <w:rPr>
          <w:rtl/>
        </w:rPr>
        <w:t xml:space="preserve"> </w:t>
      </w:r>
      <w:r w:rsidRPr="00580297">
        <w:rPr>
          <w:rFonts w:cs="Arial"/>
          <w:rtl/>
        </w:rPr>
        <w:t>האי כל שלא נהג אמנהג דגליל קאי דתנא בברייתא ובגליל לא היו עושין כן</w:t>
      </w:r>
      <w:r>
        <w:rPr>
          <w:rFonts w:cs="Arial" w:hint="cs"/>
          <w:rtl/>
        </w:rPr>
        <w:t>,</w:t>
      </w:r>
      <w:r w:rsidRPr="00580297">
        <w:rPr>
          <w:rFonts w:cs="Arial"/>
          <w:rtl/>
        </w:rPr>
        <w:t xml:space="preserve"> ועלה קאי כל שלא נהג כמנהג הזה בגליל אלא נתייחד כמנהג שביהודה אינו יכול לטעון</w:t>
      </w:r>
      <w:r>
        <w:rPr>
          <w:rFonts w:hint="cs"/>
          <w:rtl/>
        </w:rPr>
        <w:t>, רש"י.</w:t>
      </w:r>
    </w:p>
  </w:footnote>
  <w:footnote w:id="179">
    <w:p w14:paraId="281719D0" w14:textId="55E003FD" w:rsidR="00580297" w:rsidRDefault="00580297">
      <w:pPr>
        <w:pStyle w:val="a5"/>
        <w:rPr>
          <w:rtl/>
        </w:rPr>
      </w:pPr>
      <w:r>
        <w:rPr>
          <w:rStyle w:val="a7"/>
        </w:rPr>
        <w:footnoteRef/>
      </w:r>
      <w:r>
        <w:rPr>
          <w:rtl/>
        </w:rPr>
        <w:t xml:space="preserve"> </w:t>
      </w:r>
      <w:r>
        <w:rPr>
          <w:rFonts w:cs="Arial"/>
          <w:rtl/>
        </w:rPr>
        <w:t>וכתב הרא"ש (סי' כה) פירש הריב"מ דלית ליה חזקה אין אדם טורח בסעודה ומפסידה (שם י.) ור"ת פירש שאני הכא כיון שנהגו למשמש ונשתנה המנהג אנו תולים שבגרמתו נשתנה המנהג ורמאי הוא ואין לסמוך אחזקה</w:t>
      </w:r>
      <w:r>
        <w:rPr>
          <w:rFonts w:hint="cs"/>
          <w:rtl/>
        </w:rPr>
        <w:t>, ב"י.</w:t>
      </w:r>
    </w:p>
  </w:footnote>
  <w:footnote w:id="180">
    <w:p w14:paraId="38E2686C" w14:textId="77777777" w:rsidR="00A05F63" w:rsidRDefault="00A05F63" w:rsidP="00A05F63">
      <w:pPr>
        <w:pStyle w:val="a5"/>
        <w:rPr>
          <w:rtl/>
        </w:rPr>
      </w:pPr>
      <w:r>
        <w:rPr>
          <w:rStyle w:val="a7"/>
        </w:rPr>
        <w:footnoteRef/>
      </w:r>
      <w:r>
        <w:rPr>
          <w:rtl/>
        </w:rPr>
        <w:t xml:space="preserve"> </w:t>
      </w:r>
      <w:r w:rsidRPr="009545A8">
        <w:rPr>
          <w:rFonts w:cs="Arial"/>
          <w:rtl/>
        </w:rPr>
        <w:t>ובועל כמה בעילות ותלינן כל דמים של אותו הלילה בדם בתולים</w:t>
      </w:r>
      <w:r>
        <w:rPr>
          <w:rFonts w:cs="Arial" w:hint="cs"/>
          <w:rtl/>
        </w:rPr>
        <w:t>,</w:t>
      </w:r>
      <w:r w:rsidRPr="009545A8">
        <w:rPr>
          <w:rFonts w:cs="Arial"/>
          <w:rtl/>
        </w:rPr>
        <w:t xml:space="preserve"> אלמא אית לה דם בתולים לבוגרת</w:t>
      </w:r>
      <w:r>
        <w:rPr>
          <w:rFonts w:cs="Arial" w:hint="cs"/>
          <w:rtl/>
        </w:rPr>
        <w:t>,</w:t>
      </w:r>
      <w:r w:rsidRPr="009545A8">
        <w:rPr>
          <w:rFonts w:cs="Arial"/>
          <w:rtl/>
        </w:rPr>
        <w:t xml:space="preserve"> דאי לא לא הוה בעי למיתב לה אלא בעילת מצוה</w:t>
      </w:r>
      <w:r>
        <w:rPr>
          <w:rFonts w:cs="Arial" w:hint="cs"/>
          <w:rtl/>
        </w:rPr>
        <w:t>.</w:t>
      </w:r>
      <w:r w:rsidRPr="009545A8">
        <w:rPr>
          <w:rFonts w:cs="Arial"/>
          <w:rtl/>
        </w:rPr>
        <w:t xml:space="preserve"> וכיון דאית לה בתולים היכא דבעל ולא מצא דם תפסיד כתובתה</w:t>
      </w:r>
      <w:r>
        <w:rPr>
          <w:rFonts w:cs="Arial" w:hint="cs"/>
          <w:rtl/>
        </w:rPr>
        <w:t>,</w:t>
      </w:r>
      <w:r w:rsidRPr="009545A8">
        <w:rPr>
          <w:rFonts w:cs="Arial"/>
          <w:rtl/>
        </w:rPr>
        <w:t xml:space="preserve"> דהא כנסה בחזקת בתולה ומצאה בעולה</w:t>
      </w:r>
      <w:r>
        <w:rPr>
          <w:rFonts w:hint="cs"/>
          <w:rtl/>
        </w:rPr>
        <w:t>, רש"י.</w:t>
      </w:r>
    </w:p>
  </w:footnote>
  <w:footnote w:id="181">
    <w:p w14:paraId="60CCDABD" w14:textId="77777777" w:rsidR="00A05F63" w:rsidRDefault="00A05F63" w:rsidP="00A05F63">
      <w:pPr>
        <w:pStyle w:val="a5"/>
        <w:rPr>
          <w:rtl/>
        </w:rPr>
      </w:pPr>
      <w:r>
        <w:rPr>
          <w:rStyle w:val="a7"/>
        </w:rPr>
        <w:footnoteRef/>
      </w:r>
      <w:r>
        <w:rPr>
          <w:rtl/>
        </w:rPr>
        <w:t xml:space="preserve"> </w:t>
      </w:r>
      <w:r w:rsidRPr="0085241A">
        <w:rPr>
          <w:rFonts w:cs="Arial"/>
          <w:rtl/>
        </w:rPr>
        <w:t>אי דקאמר בעלתי ולא מצאתי דם ודאי טענה מעלייתא היא</w:t>
      </w:r>
      <w:r>
        <w:rPr>
          <w:rFonts w:cs="Arial" w:hint="cs"/>
          <w:rtl/>
        </w:rPr>
        <w:t>,</w:t>
      </w:r>
      <w:r w:rsidRPr="0085241A">
        <w:rPr>
          <w:rFonts w:cs="Arial"/>
          <w:rtl/>
        </w:rPr>
        <w:t xml:space="preserve"> והכא דקתני אין לה טענת בתולים דקטעין ואמר פתח פתוח מצאתי ודם לא בדקתי אם נמצא בה אם לאו בנערה וקטנה טענה היא כדאמרינן בפ"ק </w:t>
      </w:r>
      <w:r>
        <w:rPr>
          <w:rFonts w:cs="Arial" w:hint="cs"/>
          <w:rtl/>
        </w:rPr>
        <w:t xml:space="preserve">(י.), </w:t>
      </w:r>
      <w:r w:rsidRPr="0085241A">
        <w:rPr>
          <w:rFonts w:cs="Arial"/>
          <w:rtl/>
        </w:rPr>
        <w:t>ואע</w:t>
      </w:r>
      <w:r>
        <w:rPr>
          <w:rFonts w:cs="Arial" w:hint="cs"/>
          <w:rtl/>
        </w:rPr>
        <w:t>"</w:t>
      </w:r>
      <w:r w:rsidRPr="0085241A">
        <w:rPr>
          <w:rFonts w:cs="Arial"/>
          <w:rtl/>
        </w:rPr>
        <w:t>פ שאין יכול לברר דבריו בפנינו אמרינן חזקה אין אדם טורח בסעודה ומפסידה</w:t>
      </w:r>
      <w:r>
        <w:rPr>
          <w:rFonts w:cs="Arial" w:hint="cs"/>
          <w:rtl/>
        </w:rPr>
        <w:t>,</w:t>
      </w:r>
      <w:r w:rsidRPr="0085241A">
        <w:rPr>
          <w:rFonts w:cs="Arial"/>
          <w:rtl/>
        </w:rPr>
        <w:t xml:space="preserve"> אבל משבגרה אין רחמה צר כבתחילה ודומה לו כאילו פתח פתוח</w:t>
      </w:r>
      <w:r>
        <w:rPr>
          <w:rFonts w:hint="cs"/>
          <w:rtl/>
        </w:rPr>
        <w:t>, רש"י.</w:t>
      </w:r>
    </w:p>
  </w:footnote>
  <w:footnote w:id="182">
    <w:p w14:paraId="1E3B487B" w14:textId="2C899903" w:rsidR="00D158F8" w:rsidRDefault="00D158F8">
      <w:pPr>
        <w:pStyle w:val="a5"/>
        <w:rPr>
          <w:rtl/>
        </w:rPr>
      </w:pPr>
      <w:r>
        <w:rPr>
          <w:rStyle w:val="a7"/>
        </w:rPr>
        <w:footnoteRef/>
      </w:r>
      <w:r>
        <w:rPr>
          <w:rtl/>
        </w:rPr>
        <w:t xml:space="preserve"> </w:t>
      </w:r>
      <w:r w:rsidRPr="00D158F8">
        <w:rPr>
          <w:rFonts w:cs="Arial"/>
          <w:rtl/>
        </w:rPr>
        <w:t>מפיה מריחין ריח היין שנכנס לה דרך פתח הפתוח</w:t>
      </w:r>
      <w:r>
        <w:rPr>
          <w:rFonts w:cs="Arial" w:hint="cs"/>
          <w:rtl/>
        </w:rPr>
        <w:t>, רש"י.</w:t>
      </w:r>
    </w:p>
  </w:footnote>
  <w:footnote w:id="183">
    <w:p w14:paraId="1A8E400C" w14:textId="60E79243" w:rsidR="0081243F" w:rsidRDefault="0081243F">
      <w:pPr>
        <w:pStyle w:val="a5"/>
        <w:rPr>
          <w:rtl/>
        </w:rPr>
      </w:pPr>
      <w:r>
        <w:rPr>
          <w:rStyle w:val="a7"/>
        </w:rPr>
        <w:footnoteRef/>
      </w:r>
      <w:r>
        <w:rPr>
          <w:rtl/>
        </w:rPr>
        <w:t xml:space="preserve"> </w:t>
      </w:r>
      <w:r w:rsidRPr="0081243F">
        <w:rPr>
          <w:rFonts w:cs="Arial"/>
          <w:rtl/>
        </w:rPr>
        <w:t>שעשו כן לבנות יבש גלעד במסכת יבמות (ס:)</w:t>
      </w:r>
      <w:r>
        <w:rPr>
          <w:rFonts w:hint="cs"/>
          <w:rtl/>
        </w:rPr>
        <w:t>, רש"י.</w:t>
      </w:r>
    </w:p>
  </w:footnote>
  <w:footnote w:id="184">
    <w:p w14:paraId="7B8C618D" w14:textId="0B9C1901" w:rsidR="0033521B" w:rsidRDefault="0033521B" w:rsidP="0033521B">
      <w:pPr>
        <w:pStyle w:val="a5"/>
      </w:pPr>
      <w:r>
        <w:rPr>
          <w:rStyle w:val="a7"/>
        </w:rPr>
        <w:footnoteRef/>
      </w:r>
      <w:r>
        <w:rPr>
          <w:rtl/>
        </w:rPr>
        <w:t xml:space="preserve"> </w:t>
      </w:r>
      <w:r w:rsidRPr="0033521B">
        <w:rPr>
          <w:rFonts w:cs="Arial"/>
          <w:rtl/>
        </w:rPr>
        <w:t>ושם ביארו כיצד בדקה</w:t>
      </w:r>
      <w:r>
        <w:rPr>
          <w:rFonts w:cs="Arial" w:hint="cs"/>
          <w:rtl/>
        </w:rPr>
        <w:t>...</w:t>
      </w:r>
      <w:r w:rsidRPr="0033521B">
        <w:rPr>
          <w:rFonts w:cs="Arial"/>
          <w:rtl/>
        </w:rPr>
        <w:t xml:space="preserve"> ורבינו לא כתב בדיקה זו בביאור משום דלאו דוקא זו דהוא הדין לאחרת</w:t>
      </w:r>
      <w:r>
        <w:rPr>
          <w:rFonts w:cs="Arial" w:hint="cs"/>
          <w:rtl/>
        </w:rPr>
        <w:t>, הה"מ (שם)</w:t>
      </w:r>
      <w:r w:rsidRPr="0033521B">
        <w:rPr>
          <w:rFonts w:cs="Arial"/>
          <w:rtl/>
        </w:rPr>
        <w:t xml:space="preserve">. </w:t>
      </w:r>
    </w:p>
  </w:footnote>
  <w:footnote w:id="185">
    <w:p w14:paraId="5B405232" w14:textId="423EF466" w:rsidR="0033521B" w:rsidRDefault="0033521B">
      <w:pPr>
        <w:pStyle w:val="a5"/>
        <w:rPr>
          <w:rtl/>
        </w:rPr>
      </w:pPr>
      <w:r>
        <w:rPr>
          <w:rStyle w:val="a7"/>
        </w:rPr>
        <w:footnoteRef/>
      </w:r>
      <w:r>
        <w:rPr>
          <w:rtl/>
        </w:rPr>
        <w:t xml:space="preserve"> </w:t>
      </w:r>
      <w:r w:rsidRPr="0033521B">
        <w:rPr>
          <w:rFonts w:cs="Arial"/>
          <w:rtl/>
        </w:rPr>
        <w:t>רוצה לומר שמכינין הסודר בפני עדים ומתיחד עמה בפניהם</w:t>
      </w:r>
      <w:r w:rsidR="00D63C4C">
        <w:rPr>
          <w:rFonts w:cs="Arial" w:hint="cs"/>
          <w:rtl/>
        </w:rPr>
        <w:t>,</w:t>
      </w:r>
      <w:r w:rsidRPr="0033521B">
        <w:rPr>
          <w:rFonts w:cs="Arial"/>
          <w:rtl/>
        </w:rPr>
        <w:t xml:space="preserve"> אבל לבעול ממש בפניהם אסור</w:t>
      </w:r>
      <w:r w:rsidR="00D63C4C">
        <w:rPr>
          <w:rFonts w:cs="Arial" w:hint="cs"/>
          <w:rtl/>
        </w:rPr>
        <w:t>,</w:t>
      </w:r>
      <w:r w:rsidRPr="0033521B">
        <w:rPr>
          <w:rFonts w:cs="Arial"/>
          <w:rtl/>
        </w:rPr>
        <w:t xml:space="preserve"> שאסור לבעול בפני כל בריה כנזכר פי"ד</w:t>
      </w:r>
      <w:r w:rsidR="00D63C4C">
        <w:rPr>
          <w:rFonts w:cs="Arial" w:hint="cs"/>
          <w:rtl/>
        </w:rPr>
        <w:t xml:space="preserve"> (הט"ז)</w:t>
      </w:r>
      <w:r>
        <w:rPr>
          <w:rFonts w:hint="cs"/>
          <w:rtl/>
        </w:rPr>
        <w:t>, הה"מ (שם).</w:t>
      </w:r>
    </w:p>
  </w:footnote>
  <w:footnote w:id="186">
    <w:p w14:paraId="46CDFFB5" w14:textId="2B9C6E15" w:rsidR="00F53530" w:rsidRDefault="00F53530">
      <w:pPr>
        <w:pStyle w:val="a5"/>
      </w:pPr>
      <w:r>
        <w:rPr>
          <w:rStyle w:val="a7"/>
        </w:rPr>
        <w:footnoteRef/>
      </w:r>
      <w:r>
        <w:rPr>
          <w:rtl/>
        </w:rPr>
        <w:t xml:space="preserve"> </w:t>
      </w:r>
      <w:r w:rsidRPr="00E02C7F">
        <w:rPr>
          <w:rFonts w:cs="Arial"/>
          <w:rtl/>
        </w:rPr>
        <w:t>אפי' סומא או אילונית</w:t>
      </w:r>
      <w:r>
        <w:rPr>
          <w:rFonts w:cs="Arial" w:hint="cs"/>
          <w:rtl/>
        </w:rPr>
        <w:t xml:space="preserve">, </w:t>
      </w:r>
      <w:r w:rsidRPr="00F53530">
        <w:rPr>
          <w:rFonts w:cs="Arial" w:hint="cs"/>
          <w:b/>
          <w:bCs/>
          <w:rtl/>
        </w:rPr>
        <w:t>טור</w:t>
      </w:r>
      <w:r>
        <w:rPr>
          <w:rFonts w:cs="Arial" w:hint="cs"/>
          <w:rtl/>
        </w:rPr>
        <w:t>.</w:t>
      </w:r>
      <w:r>
        <w:rPr>
          <w:rFonts w:hint="cs"/>
          <w:rtl/>
        </w:rPr>
        <w:t xml:space="preserve"> </w:t>
      </w:r>
      <w:r>
        <w:rPr>
          <w:rFonts w:cs="Arial"/>
          <w:rtl/>
        </w:rPr>
        <w:t>הכי אמרינן בפרק אלו נערות (לו.)</w:t>
      </w:r>
      <w:r>
        <w:rPr>
          <w:rFonts w:cs="Arial" w:hint="cs"/>
          <w:rtl/>
        </w:rPr>
        <w:t>,</w:t>
      </w:r>
      <w:r>
        <w:rPr>
          <w:rFonts w:cs="Arial"/>
          <w:rtl/>
        </w:rPr>
        <w:t xml:space="preserve"> ורבי מאיר פליג ואמר סומא אין לה טענת בתולים מפני שכשהיא נחבטת ע"ג קרקע אינה רואה אם נשרו בתוליה כדי שתגיד לאמה</w:t>
      </w:r>
      <w:r>
        <w:rPr>
          <w:rFonts w:cs="Arial" w:hint="cs"/>
          <w:rtl/>
        </w:rPr>
        <w:t>,</w:t>
      </w:r>
      <w:r>
        <w:rPr>
          <w:rFonts w:cs="Arial"/>
          <w:rtl/>
        </w:rPr>
        <w:t xml:space="preserve"> וקיי"ל כת"ק</w:t>
      </w:r>
      <w:r>
        <w:rPr>
          <w:rFonts w:cs="Arial" w:hint="cs"/>
          <w:rtl/>
        </w:rPr>
        <w:t>,</w:t>
      </w:r>
      <w:r w:rsidRPr="00F53530">
        <w:rPr>
          <w:rFonts w:cs="Arial" w:hint="cs"/>
          <w:b/>
          <w:bCs/>
          <w:rtl/>
        </w:rPr>
        <w:t xml:space="preserve"> ב"י</w:t>
      </w:r>
      <w:r>
        <w:rPr>
          <w:rFonts w:cs="Arial" w:hint="cs"/>
          <w:rtl/>
        </w:rPr>
        <w:t>.</w:t>
      </w:r>
    </w:p>
  </w:footnote>
  <w:footnote w:id="187">
    <w:p w14:paraId="11DF326F" w14:textId="77777777" w:rsidR="00865257" w:rsidRDefault="00865257" w:rsidP="00865257">
      <w:pPr>
        <w:pStyle w:val="a5"/>
      </w:pPr>
      <w:r>
        <w:rPr>
          <w:rStyle w:val="a7"/>
        </w:rPr>
        <w:footnoteRef/>
      </w:r>
      <w:r>
        <w:rPr>
          <w:rtl/>
        </w:rPr>
        <w:t xml:space="preserve"> </w:t>
      </w:r>
      <w:r w:rsidRPr="002B33CC">
        <w:rPr>
          <w:rFonts w:cs="Arial"/>
          <w:rtl/>
        </w:rPr>
        <w:t>כשהגיע לפתח ביתו הסגור ויש בו דבר מעכבו מלפתוח וכשמטין אותו לצדדין נפתח</w:t>
      </w:r>
      <w:r>
        <w:rPr>
          <w:rFonts w:cs="Arial" w:hint="cs"/>
          <w:rtl/>
        </w:rPr>
        <w:t>, רש"י.</w:t>
      </w:r>
    </w:p>
  </w:footnote>
  <w:footnote w:id="188">
    <w:p w14:paraId="3A9E8AF7" w14:textId="77777777" w:rsidR="00865257" w:rsidRDefault="00865257" w:rsidP="00865257">
      <w:pPr>
        <w:pStyle w:val="a5"/>
      </w:pPr>
      <w:r>
        <w:rPr>
          <w:rStyle w:val="a7"/>
        </w:rPr>
        <w:footnoteRef/>
      </w:r>
      <w:r>
        <w:rPr>
          <w:rtl/>
        </w:rPr>
        <w:t xml:space="preserve"> </w:t>
      </w:r>
      <w:r w:rsidRPr="00AB5109">
        <w:rPr>
          <w:rFonts w:cs="Arial"/>
          <w:rtl/>
        </w:rPr>
        <w:t>בלא מתכוין לא שכיח הטיה ולא אמרי' שמא הטה אלא כך בדקו שמא במזיד הטית ועקרת לדשא ועברא עקרת הדלת והבריח</w:t>
      </w:r>
      <w:r>
        <w:rPr>
          <w:rFonts w:cs="Arial" w:hint="cs"/>
          <w:rtl/>
        </w:rPr>
        <w:t>, רש"י.</w:t>
      </w:r>
    </w:p>
  </w:footnote>
  <w:footnote w:id="189">
    <w:p w14:paraId="6F45F9DF" w14:textId="77777777" w:rsidR="00865257" w:rsidRDefault="00865257" w:rsidP="00865257">
      <w:pPr>
        <w:pStyle w:val="a5"/>
      </w:pPr>
      <w:r>
        <w:rPr>
          <w:rStyle w:val="a7"/>
        </w:rPr>
        <w:footnoteRef/>
      </w:r>
      <w:r>
        <w:rPr>
          <w:rtl/>
        </w:rPr>
        <w:t xml:space="preserve"> </w:t>
      </w:r>
      <w:r w:rsidRPr="00AB5109">
        <w:rPr>
          <w:rFonts w:cs="Arial"/>
          <w:rtl/>
        </w:rPr>
        <w:t>במתכוין ובכח</w:t>
      </w:r>
      <w:r>
        <w:rPr>
          <w:rFonts w:cs="Arial" w:hint="cs"/>
          <w:rtl/>
        </w:rPr>
        <w:t>, רש"י.</w:t>
      </w:r>
    </w:p>
  </w:footnote>
  <w:footnote w:id="190">
    <w:p w14:paraId="5C821420" w14:textId="28B6F763" w:rsidR="00B42497" w:rsidRDefault="00B42497">
      <w:pPr>
        <w:pStyle w:val="a5"/>
      </w:pPr>
      <w:r>
        <w:rPr>
          <w:rStyle w:val="a7"/>
        </w:rPr>
        <w:footnoteRef/>
      </w:r>
      <w:r>
        <w:rPr>
          <w:rtl/>
        </w:rPr>
        <w:t xml:space="preserve"> </w:t>
      </w:r>
      <w:r>
        <w:rPr>
          <w:rFonts w:cs="Arial"/>
          <w:rtl/>
        </w:rPr>
        <w:t xml:space="preserve">וכתב </w:t>
      </w:r>
      <w:r>
        <w:rPr>
          <w:rFonts w:cs="Arial" w:hint="cs"/>
          <w:rtl/>
        </w:rPr>
        <w:t xml:space="preserve">הה"מ </w:t>
      </w:r>
      <w:r>
        <w:rPr>
          <w:rFonts w:cs="Arial"/>
          <w:rtl/>
        </w:rPr>
        <w:t>אין כן דעת הרבה מן המפרשים</w:t>
      </w:r>
      <w:r>
        <w:rPr>
          <w:rFonts w:cs="Arial" w:hint="cs"/>
          <w:rtl/>
        </w:rPr>
        <w:t>,</w:t>
      </w:r>
      <w:r>
        <w:rPr>
          <w:rFonts w:cs="Arial"/>
          <w:rtl/>
        </w:rPr>
        <w:t xml:space="preserve"> אלא כל שמצא דם אינו יכול לטעון טענת פתח פתוח</w:t>
      </w:r>
      <w:r>
        <w:rPr>
          <w:rFonts w:cs="Arial" w:hint="cs"/>
          <w:rtl/>
        </w:rPr>
        <w:t>.</w:t>
      </w:r>
      <w:r>
        <w:rPr>
          <w:rFonts w:cs="Arial"/>
          <w:rtl/>
        </w:rPr>
        <w:t xml:space="preserve"> ומה שאמרו בגמרא (ט:</w:t>
      </w:r>
      <w:r>
        <w:rPr>
          <w:rFonts w:cs="Arial" w:hint="cs"/>
          <w:rtl/>
        </w:rPr>
        <w:t xml:space="preserve"> -</w:t>
      </w:r>
      <w:r>
        <w:rPr>
          <w:rFonts w:cs="Arial"/>
          <w:rtl/>
        </w:rPr>
        <w:t xml:space="preserve"> י.) בפתח פתוח שנאמן להפסידה כתובתה </w:t>
      </w:r>
      <w:r>
        <w:rPr>
          <w:rFonts w:cs="Arial" w:hint="cs"/>
          <w:rtl/>
        </w:rPr>
        <w:t xml:space="preserve">- </w:t>
      </w:r>
      <w:r>
        <w:rPr>
          <w:rFonts w:cs="Arial"/>
          <w:rtl/>
        </w:rPr>
        <w:t>דוקא בשנאבדה המפה או כיוצא בזה</w:t>
      </w:r>
      <w:r>
        <w:rPr>
          <w:rFonts w:cs="Arial" w:hint="cs"/>
          <w:rtl/>
        </w:rPr>
        <w:t>,</w:t>
      </w:r>
      <w:r>
        <w:rPr>
          <w:rFonts w:cs="Arial"/>
          <w:rtl/>
        </w:rPr>
        <w:t xml:space="preserve"> אבל בידוע שיצא דם לא</w:t>
      </w:r>
      <w:r>
        <w:rPr>
          <w:rFonts w:cs="Arial" w:hint="cs"/>
          <w:rtl/>
        </w:rPr>
        <w:t>,</w:t>
      </w:r>
      <w:r>
        <w:rPr>
          <w:rFonts w:cs="Arial"/>
          <w:rtl/>
        </w:rPr>
        <w:t xml:space="preserve"> וזה נראה דעת הרמב"ן (ט. ד"ה וכן) והרשב"א (ט. ד"ה והא) ז"ל עכ"ל</w:t>
      </w:r>
      <w:r>
        <w:rPr>
          <w:rFonts w:hint="cs"/>
          <w:rtl/>
        </w:rPr>
        <w:t>, ב"י.</w:t>
      </w:r>
    </w:p>
  </w:footnote>
  <w:footnote w:id="191">
    <w:p w14:paraId="42094DE2" w14:textId="77777777" w:rsidR="007B69C7" w:rsidRDefault="007B69C7" w:rsidP="007B69C7">
      <w:pPr>
        <w:pStyle w:val="a5"/>
      </w:pPr>
      <w:r>
        <w:rPr>
          <w:rStyle w:val="a7"/>
        </w:rPr>
        <w:footnoteRef/>
      </w:r>
      <w:r>
        <w:rPr>
          <w:rtl/>
        </w:rPr>
        <w:t xml:space="preserve"> </w:t>
      </w:r>
      <w:r w:rsidRPr="00661977">
        <w:rPr>
          <w:rFonts w:cs="Arial"/>
          <w:rtl/>
        </w:rPr>
        <w:t>הלקוהו מלקיות במקלות חריות של דקל שיש בהן עוקצין כמין קוצין</w:t>
      </w:r>
      <w:r>
        <w:rPr>
          <w:rFonts w:cs="Arial" w:hint="cs"/>
          <w:rtl/>
        </w:rPr>
        <w:t>..., רש"י.</w:t>
      </w:r>
    </w:p>
  </w:footnote>
  <w:footnote w:id="192">
    <w:p w14:paraId="79FDA15A" w14:textId="77777777" w:rsidR="007B69C7" w:rsidRDefault="007B69C7" w:rsidP="007B69C7">
      <w:pPr>
        <w:pStyle w:val="a5"/>
      </w:pPr>
      <w:r>
        <w:rPr>
          <w:rStyle w:val="a7"/>
        </w:rPr>
        <w:footnoteRef/>
      </w:r>
      <w:r>
        <w:rPr>
          <w:rtl/>
        </w:rPr>
        <w:t xml:space="preserve"> </w:t>
      </w:r>
      <w:r w:rsidRPr="00661977">
        <w:rPr>
          <w:rFonts w:cs="Arial"/>
          <w:rtl/>
        </w:rPr>
        <w:t>זונות העיר הזאת ששמה מברכתא חבוטות ושוכבות תמיד לפניו לזנות מאחר שהוא בקי בפתח פתוח</w:t>
      </w:r>
      <w:r>
        <w:rPr>
          <w:rFonts w:cs="Arial" w:hint="cs"/>
          <w:rtl/>
        </w:rPr>
        <w:t>, רש"י.</w:t>
      </w:r>
    </w:p>
  </w:footnote>
  <w:footnote w:id="193">
    <w:p w14:paraId="1223FA20" w14:textId="77777777" w:rsidR="007B69C7" w:rsidRDefault="007B69C7" w:rsidP="007B69C7">
      <w:pPr>
        <w:pStyle w:val="a5"/>
      </w:pPr>
      <w:r>
        <w:rPr>
          <w:rStyle w:val="a7"/>
        </w:rPr>
        <w:footnoteRef/>
      </w:r>
      <w:r>
        <w:rPr>
          <w:rtl/>
        </w:rPr>
        <w:t xml:space="preserve"> </w:t>
      </w:r>
      <w:r w:rsidRPr="002B33CC">
        <w:rPr>
          <w:rFonts w:cs="Arial"/>
          <w:rtl/>
        </w:rPr>
        <w:t>בחור לא מהימן - ומסבינן ליה כופרי על שמעיז פניו נשוי מהימן ולא מסבינן ליה כופרי</w:t>
      </w:r>
      <w:r>
        <w:rPr>
          <w:rFonts w:cs="Arial" w:hint="cs"/>
          <w:rtl/>
        </w:rPr>
        <w:t>, רש"י.</w:t>
      </w:r>
    </w:p>
  </w:footnote>
  <w:footnote w:id="194">
    <w:p w14:paraId="11FE7F1E" w14:textId="77777777" w:rsidR="000B5B00" w:rsidRDefault="000B5B00" w:rsidP="000B5B00">
      <w:pPr>
        <w:pStyle w:val="a5"/>
      </w:pPr>
      <w:r>
        <w:rPr>
          <w:rStyle w:val="a7"/>
        </w:rPr>
        <w:footnoteRef/>
      </w:r>
      <w:r>
        <w:rPr>
          <w:rtl/>
        </w:rPr>
        <w:t xml:space="preserve"> </w:t>
      </w:r>
      <w:r>
        <w:rPr>
          <w:rFonts w:cs="Arial" w:hint="cs"/>
          <w:rtl/>
        </w:rPr>
        <w:t xml:space="preserve">וז"ל: </w:t>
      </w:r>
      <w:r w:rsidRPr="00BF55D2">
        <w:rPr>
          <w:rFonts w:cs="Arial"/>
          <w:rtl/>
        </w:rPr>
        <w:t>אין טענת פתח פתוח אלא בנשוי שהוא בקי</w:t>
      </w:r>
      <w:r>
        <w:rPr>
          <w:rFonts w:cs="Arial" w:hint="cs"/>
          <w:rtl/>
        </w:rPr>
        <w:t>,</w:t>
      </w:r>
      <w:r w:rsidRPr="00BF55D2">
        <w:rPr>
          <w:rFonts w:cs="Arial"/>
          <w:rtl/>
        </w:rPr>
        <w:t xml:space="preserve"> אבל בבחור לא מיבעיא שאינו נאמן אלא שמלקין אותו אם טוען טענת פתח פתוח מצאתי</w:t>
      </w:r>
      <w:r w:rsidRPr="00BF55D2">
        <w:rPr>
          <w:rFonts w:cs="Arial" w:hint="cs"/>
          <w:rtl/>
        </w:rPr>
        <w:t>.</w:t>
      </w:r>
    </w:p>
  </w:footnote>
  <w:footnote w:id="195">
    <w:p w14:paraId="0AE8E549" w14:textId="77777777" w:rsidR="00171142" w:rsidRDefault="00171142" w:rsidP="00171142">
      <w:pPr>
        <w:pStyle w:val="a5"/>
        <w:rPr>
          <w:rtl/>
        </w:rPr>
      </w:pPr>
      <w:r>
        <w:rPr>
          <w:rStyle w:val="a7"/>
        </w:rPr>
        <w:footnoteRef/>
      </w:r>
      <w:r>
        <w:rPr>
          <w:rtl/>
        </w:rPr>
        <w:t xml:space="preserve"> </w:t>
      </w:r>
      <w:r w:rsidRPr="001E7D50">
        <w:rPr>
          <w:rFonts w:cs="Arial"/>
          <w:rtl/>
        </w:rPr>
        <w:t>וטענת דמים אין לו כגון שהיא ממשפחת דורקטי שאין להם דם בתולים כדלקמן (י:)</w:t>
      </w:r>
      <w:r>
        <w:rPr>
          <w:rFonts w:cs="Arial" w:hint="cs"/>
          <w:rtl/>
        </w:rPr>
        <w:t>,</w:t>
      </w:r>
      <w:r w:rsidRPr="001E7D50">
        <w:rPr>
          <w:rFonts w:cs="Arial"/>
          <w:rtl/>
        </w:rPr>
        <w:t xml:space="preserve"> או שנאבדה ממנו מפה ולא ידע אם היה דם אם לאו</w:t>
      </w:r>
      <w:r>
        <w:rPr>
          <w:rFonts w:cs="Arial" w:hint="cs"/>
          <w:rtl/>
        </w:rPr>
        <w:t>,</w:t>
      </w:r>
      <w:r w:rsidRPr="001E7D50">
        <w:rPr>
          <w:rFonts w:cs="Arial"/>
          <w:rtl/>
        </w:rPr>
        <w:t xml:space="preserve"> אבל זאת ברורה לו שפתח פתוח מצא</w:t>
      </w:r>
      <w:r>
        <w:rPr>
          <w:rFonts w:hint="cs"/>
          <w:rtl/>
        </w:rPr>
        <w:t>, רש"י.</w:t>
      </w:r>
    </w:p>
  </w:footnote>
  <w:footnote w:id="196">
    <w:p w14:paraId="23B0D466" w14:textId="77777777" w:rsidR="00171142" w:rsidRDefault="00171142" w:rsidP="00171142">
      <w:pPr>
        <w:pStyle w:val="a5"/>
        <w:rPr>
          <w:rtl/>
        </w:rPr>
      </w:pPr>
      <w:r>
        <w:rPr>
          <w:rStyle w:val="a7"/>
        </w:rPr>
        <w:footnoteRef/>
      </w:r>
      <w:r>
        <w:rPr>
          <w:rtl/>
        </w:rPr>
        <w:t xml:space="preserve"> </w:t>
      </w:r>
      <w:r w:rsidRPr="00E93E17">
        <w:rPr>
          <w:rFonts w:cs="Arial"/>
          <w:rtl/>
        </w:rPr>
        <w:t>ואע</w:t>
      </w:r>
      <w:r>
        <w:rPr>
          <w:rFonts w:cs="Arial" w:hint="cs"/>
          <w:rtl/>
        </w:rPr>
        <w:t>"</w:t>
      </w:r>
      <w:r w:rsidRPr="00E93E17">
        <w:rPr>
          <w:rFonts w:cs="Arial"/>
          <w:rtl/>
        </w:rPr>
        <w:t>פ שאין הדבר הזה יכול להתברר אלא על פיו</w:t>
      </w:r>
      <w:r>
        <w:rPr>
          <w:rFonts w:cs="Arial" w:hint="cs"/>
          <w:rtl/>
        </w:rPr>
        <w:t>,</w:t>
      </w:r>
      <w:r w:rsidRPr="00E93E17">
        <w:rPr>
          <w:rFonts w:cs="Arial"/>
          <w:rtl/>
        </w:rPr>
        <w:t xml:space="preserve"> לגבי נפשיה הוי מהימן לשוייה עליה חתיכה דאיסורא</w:t>
      </w:r>
      <w:r>
        <w:rPr>
          <w:rFonts w:cs="Arial" w:hint="cs"/>
          <w:rtl/>
        </w:rPr>
        <w:t>,</w:t>
      </w:r>
      <w:r w:rsidRPr="00E93E17">
        <w:rPr>
          <w:rFonts w:cs="Arial"/>
          <w:rtl/>
        </w:rPr>
        <w:t xml:space="preserve"> אבל להפסידה כתובתה לא מהימן</w:t>
      </w:r>
      <w:r>
        <w:rPr>
          <w:rFonts w:hint="cs"/>
          <w:rtl/>
        </w:rPr>
        <w:t>, רש"י.</w:t>
      </w:r>
    </w:p>
  </w:footnote>
  <w:footnote w:id="197">
    <w:p w14:paraId="51D10D58" w14:textId="77777777" w:rsidR="00171142" w:rsidRDefault="00171142" w:rsidP="00171142">
      <w:pPr>
        <w:pStyle w:val="a5"/>
        <w:rPr>
          <w:rtl/>
        </w:rPr>
      </w:pPr>
      <w:r>
        <w:rPr>
          <w:rStyle w:val="a7"/>
        </w:rPr>
        <w:footnoteRef/>
      </w:r>
      <w:r>
        <w:rPr>
          <w:rtl/>
        </w:rPr>
        <w:t xml:space="preserve"> </w:t>
      </w:r>
      <w:r w:rsidRPr="00E93E17">
        <w:rPr>
          <w:rFonts w:cs="Arial"/>
          <w:rtl/>
        </w:rPr>
        <w:t>מיתסרא עליה אפי' אי מהימנת ליה דנבעלה</w:t>
      </w:r>
      <w:r>
        <w:rPr>
          <w:rFonts w:hint="cs"/>
          <w:rtl/>
        </w:rPr>
        <w:t>, רש"י.</w:t>
      </w:r>
    </w:p>
  </w:footnote>
  <w:footnote w:id="198">
    <w:p w14:paraId="5BF9BCF6" w14:textId="77777777" w:rsidR="00171142" w:rsidRDefault="00171142" w:rsidP="00171142">
      <w:pPr>
        <w:pStyle w:val="a5"/>
        <w:rPr>
          <w:rtl/>
        </w:rPr>
      </w:pPr>
      <w:r>
        <w:rPr>
          <w:rStyle w:val="a7"/>
        </w:rPr>
        <w:footnoteRef/>
      </w:r>
      <w:r>
        <w:rPr>
          <w:rtl/>
        </w:rPr>
        <w:t xml:space="preserve"> </w:t>
      </w:r>
      <w:r w:rsidRPr="00E93E17">
        <w:rPr>
          <w:rFonts w:cs="Arial"/>
          <w:rtl/>
        </w:rPr>
        <w:t>משנתארסה זינתה</w:t>
      </w:r>
      <w:r>
        <w:rPr>
          <w:rFonts w:hint="cs"/>
          <w:rtl/>
        </w:rPr>
        <w:t>, רש"י.</w:t>
      </w:r>
    </w:p>
  </w:footnote>
  <w:footnote w:id="199">
    <w:p w14:paraId="16D31AF6" w14:textId="77777777" w:rsidR="00171142" w:rsidRDefault="00171142" w:rsidP="00171142">
      <w:pPr>
        <w:pStyle w:val="a5"/>
      </w:pPr>
      <w:r>
        <w:rPr>
          <w:rStyle w:val="a7"/>
        </w:rPr>
        <w:footnoteRef/>
      </w:r>
      <w:r>
        <w:rPr>
          <w:rtl/>
        </w:rPr>
        <w:t xml:space="preserve"> </w:t>
      </w:r>
      <w:r w:rsidRPr="00A71437">
        <w:rPr>
          <w:rFonts w:cs="Arial"/>
          <w:rtl/>
        </w:rPr>
        <w:t>אלא קודם שנתארסה זינתה</w:t>
      </w:r>
      <w:r>
        <w:rPr>
          <w:rFonts w:cs="Arial" w:hint="cs"/>
          <w:rtl/>
        </w:rPr>
        <w:t>, רש"י.</w:t>
      </w:r>
    </w:p>
  </w:footnote>
  <w:footnote w:id="200">
    <w:p w14:paraId="3BBE10EE" w14:textId="77777777" w:rsidR="00171142" w:rsidRDefault="00171142" w:rsidP="00171142">
      <w:pPr>
        <w:pStyle w:val="a5"/>
      </w:pPr>
      <w:r>
        <w:rPr>
          <w:rStyle w:val="a7"/>
        </w:rPr>
        <w:footnoteRef/>
      </w:r>
      <w:r>
        <w:rPr>
          <w:rtl/>
        </w:rPr>
        <w:t xml:space="preserve"> </w:t>
      </w:r>
      <w:r w:rsidRPr="00A71437">
        <w:rPr>
          <w:rFonts w:cs="Arial"/>
          <w:rtl/>
        </w:rPr>
        <w:t>ואנוסה שריא באשת ישראל כדלקמן (נא:) מוהיא לא נתפשה</w:t>
      </w:r>
      <w:r>
        <w:rPr>
          <w:rFonts w:cs="Arial" w:hint="cs"/>
          <w:rtl/>
        </w:rPr>
        <w:t>, רש"י.</w:t>
      </w:r>
    </w:p>
  </w:footnote>
  <w:footnote w:id="201">
    <w:p w14:paraId="059C51D5" w14:textId="77777777" w:rsidR="00171142" w:rsidRDefault="00171142" w:rsidP="00171142">
      <w:pPr>
        <w:pStyle w:val="a5"/>
        <w:rPr>
          <w:rtl/>
        </w:rPr>
      </w:pPr>
      <w:r>
        <w:rPr>
          <w:rStyle w:val="a7"/>
        </w:rPr>
        <w:footnoteRef/>
      </w:r>
      <w:r>
        <w:rPr>
          <w:rtl/>
        </w:rPr>
        <w:t xml:space="preserve"> </w:t>
      </w:r>
      <w:r w:rsidRPr="00837BB9">
        <w:rPr>
          <w:rFonts w:cs="Arial"/>
          <w:rtl/>
        </w:rPr>
        <w:t>שהאונס אסור בה הלכך חד ספק הוא</w:t>
      </w:r>
      <w:r>
        <w:rPr>
          <w:rFonts w:hint="cs"/>
          <w:rtl/>
        </w:rPr>
        <w:t>, רש"י.</w:t>
      </w:r>
    </w:p>
  </w:footnote>
  <w:footnote w:id="202">
    <w:p w14:paraId="58FC03E9" w14:textId="77777777" w:rsidR="00171142" w:rsidRDefault="00171142" w:rsidP="00171142">
      <w:pPr>
        <w:pStyle w:val="a5"/>
      </w:pPr>
      <w:r>
        <w:rPr>
          <w:rStyle w:val="a7"/>
        </w:rPr>
        <w:footnoteRef/>
      </w:r>
      <w:r>
        <w:rPr>
          <w:rtl/>
        </w:rPr>
        <w:t xml:space="preserve"> </w:t>
      </w:r>
      <w:r w:rsidRPr="00837BB9">
        <w:rPr>
          <w:rFonts w:cs="Arial"/>
          <w:rtl/>
        </w:rPr>
        <w:t>ועכשיו היא גדולה ופיתויה פיתוי ואינו אונס</w:t>
      </w:r>
      <w:r>
        <w:rPr>
          <w:rFonts w:cs="Arial" w:hint="cs"/>
          <w:rtl/>
        </w:rPr>
        <w:t>,</w:t>
      </w:r>
      <w:r w:rsidRPr="00837BB9">
        <w:rPr>
          <w:rFonts w:cs="Arial"/>
          <w:rtl/>
        </w:rPr>
        <w:t xml:space="preserve"> הלכך חד ספק איכא</w:t>
      </w:r>
      <w:r>
        <w:rPr>
          <w:rFonts w:cs="Arial" w:hint="cs"/>
          <w:rtl/>
        </w:rPr>
        <w:t>,</w:t>
      </w:r>
      <w:r w:rsidRPr="00837BB9">
        <w:rPr>
          <w:rFonts w:cs="Arial"/>
          <w:rtl/>
        </w:rPr>
        <w:t xml:space="preserve"> ספק אונס ספק רצון</w:t>
      </w:r>
      <w:r>
        <w:rPr>
          <w:rFonts w:cs="Arial" w:hint="cs"/>
          <w:rtl/>
        </w:rPr>
        <w:t>,</w:t>
      </w:r>
      <w:r w:rsidRPr="00837BB9">
        <w:rPr>
          <w:rFonts w:cs="Arial"/>
          <w:rtl/>
        </w:rPr>
        <w:t xml:space="preserve"> אבל ספק תחתיו ספק אין תחתיו ליכא</w:t>
      </w:r>
      <w:r>
        <w:rPr>
          <w:rFonts w:cs="Arial" w:hint="cs"/>
          <w:rtl/>
        </w:rPr>
        <w:t>,</w:t>
      </w:r>
      <w:r w:rsidRPr="00837BB9">
        <w:rPr>
          <w:rFonts w:cs="Arial"/>
          <w:rtl/>
        </w:rPr>
        <w:t xml:space="preserve"> שאילו נבעלה קודם לכן היו בתוליה חוזרים</w:t>
      </w:r>
      <w:r>
        <w:rPr>
          <w:rFonts w:cs="Arial" w:hint="cs"/>
          <w:rtl/>
        </w:rPr>
        <w:t>,</w:t>
      </w:r>
      <w:r w:rsidRPr="00837BB9">
        <w:rPr>
          <w:rFonts w:cs="Arial"/>
          <w:rtl/>
        </w:rPr>
        <w:t xml:space="preserve"> כדתנן במסכת נדה (מד:) פחות מכאן כנותן אצבע בעין שהדמעה יוצאת וחוזרת</w:t>
      </w:r>
      <w:r>
        <w:rPr>
          <w:rFonts w:cs="Arial" w:hint="cs"/>
          <w:rtl/>
        </w:rPr>
        <w:t>, רש"י.</w:t>
      </w:r>
    </w:p>
  </w:footnote>
  <w:footnote w:id="203">
    <w:p w14:paraId="7C11C730" w14:textId="5B34CE03" w:rsidR="007F446C" w:rsidRDefault="007F446C">
      <w:pPr>
        <w:pStyle w:val="a5"/>
      </w:pPr>
      <w:r>
        <w:rPr>
          <w:rStyle w:val="a7"/>
        </w:rPr>
        <w:footnoteRef/>
      </w:r>
      <w:r>
        <w:rPr>
          <w:rtl/>
        </w:rPr>
        <w:t xml:space="preserve"> </w:t>
      </w:r>
      <w:r w:rsidRPr="007F446C">
        <w:rPr>
          <w:rFonts w:cs="Arial"/>
          <w:rtl/>
        </w:rPr>
        <w:t>וכתב רש"י ז"ל דמיירי כגון שהיא עכשיו גדולה ופתויה פתוי ואינו אונס</w:t>
      </w:r>
      <w:r w:rsidR="00A03EC6">
        <w:rPr>
          <w:rFonts w:cs="Arial" w:hint="cs"/>
          <w:rtl/>
        </w:rPr>
        <w:t xml:space="preserve"> </w:t>
      </w:r>
      <w:r w:rsidR="00A03EC6" w:rsidRPr="00A03EC6">
        <w:rPr>
          <w:rFonts w:cs="Arial" w:hint="cs"/>
          <w:sz w:val="16"/>
          <w:szCs w:val="16"/>
          <w:rtl/>
        </w:rPr>
        <w:t>{ועיין לקמן בהרחבה, ומבואר שם שהרמב"ם חולק ואומר שגם אם היא קטנה עכשיו אסורה על בעלה, ודחו הראשונים את דבריו</w:t>
      </w:r>
      <w:r w:rsidR="00A03EC6">
        <w:rPr>
          <w:rFonts w:cs="Arial" w:hint="cs"/>
          <w:sz w:val="16"/>
          <w:szCs w:val="16"/>
          <w:rtl/>
        </w:rPr>
        <w:t>}</w:t>
      </w:r>
      <w:r w:rsidR="00A03EC6">
        <w:rPr>
          <w:rFonts w:cs="Arial" w:hint="cs"/>
          <w:rtl/>
        </w:rPr>
        <w:t xml:space="preserve">... </w:t>
      </w:r>
      <w:r w:rsidR="002B6C2D" w:rsidRPr="00D01491">
        <w:rPr>
          <w:rFonts w:cs="Arial"/>
          <w:rtl/>
        </w:rPr>
        <w:t>ומיהו אפילו בכה"ג דוקא באומר בריא לי שלא הטיתי</w:t>
      </w:r>
      <w:r w:rsidR="002B6C2D">
        <w:rPr>
          <w:rFonts w:cs="Arial" w:hint="cs"/>
          <w:rtl/>
        </w:rPr>
        <w:t>,</w:t>
      </w:r>
      <w:r w:rsidR="002B6C2D" w:rsidRPr="00D01491">
        <w:rPr>
          <w:rFonts w:cs="Arial"/>
          <w:rtl/>
        </w:rPr>
        <w:t xml:space="preserve"> הא לאו הכי לא מיתסרא</w:t>
      </w:r>
      <w:r w:rsidR="002B6C2D">
        <w:rPr>
          <w:rFonts w:cs="Arial" w:hint="cs"/>
          <w:rtl/>
        </w:rPr>
        <w:t>,</w:t>
      </w:r>
      <w:r w:rsidR="002B6C2D" w:rsidRPr="00D01491">
        <w:rPr>
          <w:rFonts w:cs="Arial"/>
          <w:rtl/>
        </w:rPr>
        <w:t xml:space="preserve"> דשמא הטה ולאו אדעתיה</w:t>
      </w:r>
      <w:r w:rsidR="00A03EC6">
        <w:rPr>
          <w:rFonts w:cs="Arial" w:hint="cs"/>
          <w:rtl/>
        </w:rPr>
        <w:t xml:space="preserve"> </w:t>
      </w:r>
      <w:r w:rsidR="00A03EC6" w:rsidRPr="00A03EC6">
        <w:rPr>
          <w:rFonts w:cs="Arial" w:hint="cs"/>
          <w:sz w:val="16"/>
          <w:szCs w:val="16"/>
          <w:rtl/>
        </w:rPr>
        <w:t>(</w:t>
      </w:r>
      <w:r w:rsidR="002B6C2D" w:rsidRPr="00A03EC6">
        <w:rPr>
          <w:rFonts w:cs="Arial"/>
          <w:sz w:val="16"/>
          <w:szCs w:val="16"/>
          <w:rtl/>
        </w:rPr>
        <w:t>והכי מוכח לקמן (י.) מעובדא דרבן גמליאל דההוא דאתא לקמיה ואמר ליה שמא הטיתה</w:t>
      </w:r>
      <w:r w:rsidR="002B6C2D" w:rsidRPr="00A03EC6">
        <w:rPr>
          <w:rFonts w:cs="Arial" w:hint="cs"/>
          <w:sz w:val="16"/>
          <w:szCs w:val="16"/>
          <w:rtl/>
        </w:rPr>
        <w:t>,</w:t>
      </w:r>
      <w:r w:rsidR="002B6C2D" w:rsidRPr="00A03EC6">
        <w:rPr>
          <w:rFonts w:cs="Arial"/>
          <w:sz w:val="16"/>
          <w:szCs w:val="16"/>
          <w:rtl/>
        </w:rPr>
        <w:t xml:space="preserve"> ולא אשכחן דאהדר ליה ההוא גברא מידי</w:t>
      </w:r>
      <w:r w:rsidR="002B6C2D" w:rsidRPr="00A03EC6">
        <w:rPr>
          <w:rFonts w:cs="Arial" w:hint="cs"/>
          <w:sz w:val="16"/>
          <w:szCs w:val="16"/>
          <w:rtl/>
        </w:rPr>
        <w:t>,</w:t>
      </w:r>
      <w:r w:rsidR="002B6C2D" w:rsidRPr="00A03EC6">
        <w:rPr>
          <w:rFonts w:cs="Arial"/>
          <w:sz w:val="16"/>
          <w:szCs w:val="16"/>
          <w:rtl/>
        </w:rPr>
        <w:t xml:space="preserve"> ולא אשכחן נמי שאסרוה עליו</w:t>
      </w:r>
      <w:r w:rsidR="002B6C2D" w:rsidRPr="00A03EC6">
        <w:rPr>
          <w:rFonts w:cs="Arial" w:hint="cs"/>
          <w:sz w:val="16"/>
          <w:szCs w:val="16"/>
          <w:rtl/>
        </w:rPr>
        <w:t>,</w:t>
      </w:r>
      <w:r w:rsidR="002B6C2D" w:rsidRPr="00A03EC6">
        <w:rPr>
          <w:rFonts w:cs="Arial"/>
          <w:sz w:val="16"/>
          <w:szCs w:val="16"/>
          <w:rtl/>
        </w:rPr>
        <w:t xml:space="preserve"> דמשום דההוא גברא חש למילתא לא איתסרא עליה</w:t>
      </w:r>
      <w:r w:rsidR="002B6C2D" w:rsidRPr="00A03EC6">
        <w:rPr>
          <w:rFonts w:cs="Arial" w:hint="cs"/>
          <w:sz w:val="16"/>
          <w:szCs w:val="16"/>
          <w:rtl/>
        </w:rPr>
        <w:t>.</w:t>
      </w:r>
      <w:r w:rsidR="002B6C2D" w:rsidRPr="00A03EC6">
        <w:rPr>
          <w:rFonts w:cs="Arial"/>
          <w:sz w:val="16"/>
          <w:szCs w:val="16"/>
          <w:rtl/>
        </w:rPr>
        <w:t xml:space="preserve"> ומיהו ללישנא בתרא דאיתמר בגמרא שמא הטיתה במזיד כל היכא דאמר שלא הטה במזיד מיתסרא</w:t>
      </w:r>
      <w:r w:rsidR="002B6C2D" w:rsidRPr="00A03EC6">
        <w:rPr>
          <w:rFonts w:cs="Arial" w:hint="cs"/>
          <w:sz w:val="16"/>
          <w:szCs w:val="16"/>
          <w:rtl/>
        </w:rPr>
        <w:t>,</w:t>
      </w:r>
      <w:r w:rsidR="002B6C2D" w:rsidRPr="00A03EC6">
        <w:rPr>
          <w:rFonts w:cs="Arial"/>
          <w:sz w:val="16"/>
          <w:szCs w:val="16"/>
          <w:rtl/>
        </w:rPr>
        <w:t xml:space="preserve"> אלא שהרי"ף לא כתבו לההוא לשון בהלכות</w:t>
      </w:r>
      <w:r w:rsidR="00A03EC6">
        <w:rPr>
          <w:rFonts w:cs="Arial" w:hint="cs"/>
          <w:sz w:val="16"/>
          <w:szCs w:val="16"/>
          <w:rtl/>
        </w:rPr>
        <w:t>)</w:t>
      </w:r>
      <w:r w:rsidR="002B6C2D">
        <w:rPr>
          <w:rFonts w:cs="Arial" w:hint="cs"/>
          <w:rtl/>
        </w:rPr>
        <w:t>,</w:t>
      </w:r>
      <w:r w:rsidR="002B6C2D" w:rsidRPr="008B2A5B">
        <w:rPr>
          <w:rFonts w:cs="Arial"/>
          <w:rtl/>
        </w:rPr>
        <w:t xml:space="preserve"> </w:t>
      </w:r>
      <w:r w:rsidR="002B6C2D" w:rsidRPr="00D01491">
        <w:rPr>
          <w:rFonts w:cs="Arial"/>
          <w:rtl/>
        </w:rPr>
        <w:t>ר"ן (ג.</w:t>
      </w:r>
      <w:r w:rsidR="00A03EC6">
        <w:rPr>
          <w:rFonts w:cs="Arial" w:hint="cs"/>
          <w:rtl/>
        </w:rPr>
        <w:t xml:space="preserve"> - ג:</w:t>
      </w:r>
      <w:r w:rsidR="002B6C2D" w:rsidRPr="00D01491">
        <w:rPr>
          <w:rFonts w:cs="Arial"/>
          <w:rtl/>
        </w:rPr>
        <w:t>).</w:t>
      </w:r>
    </w:p>
  </w:footnote>
  <w:footnote w:id="204">
    <w:p w14:paraId="6FCFC6B0" w14:textId="77777777" w:rsidR="00940CE3" w:rsidRDefault="00940CE3" w:rsidP="00940CE3">
      <w:pPr>
        <w:pStyle w:val="a5"/>
      </w:pPr>
      <w:r>
        <w:rPr>
          <w:rStyle w:val="a7"/>
        </w:rPr>
        <w:footnoteRef/>
      </w:r>
      <w:r>
        <w:rPr>
          <w:rtl/>
        </w:rPr>
        <w:t xml:space="preserve"> </w:t>
      </w:r>
      <w:r>
        <w:rPr>
          <w:rFonts w:cs="Arial"/>
          <w:rtl/>
        </w:rPr>
        <w:t xml:space="preserve">וכתב </w:t>
      </w:r>
      <w:r>
        <w:rPr>
          <w:rFonts w:cs="Arial" w:hint="cs"/>
          <w:rtl/>
        </w:rPr>
        <w:t xml:space="preserve">הה"מ </w:t>
      </w:r>
      <w:r>
        <w:rPr>
          <w:rFonts w:cs="Arial"/>
          <w:rtl/>
        </w:rPr>
        <w:t>אין כן דעת הרבה מן המפרשים</w:t>
      </w:r>
      <w:r>
        <w:rPr>
          <w:rFonts w:cs="Arial" w:hint="cs"/>
          <w:rtl/>
        </w:rPr>
        <w:t>,</w:t>
      </w:r>
      <w:r>
        <w:rPr>
          <w:rFonts w:cs="Arial"/>
          <w:rtl/>
        </w:rPr>
        <w:t xml:space="preserve"> אלא כל שמצא דם אינו יכול לטעון טענת פתח פתוח</w:t>
      </w:r>
      <w:r>
        <w:rPr>
          <w:rFonts w:cs="Arial" w:hint="cs"/>
          <w:rtl/>
        </w:rPr>
        <w:t>.</w:t>
      </w:r>
      <w:r>
        <w:rPr>
          <w:rFonts w:cs="Arial"/>
          <w:rtl/>
        </w:rPr>
        <w:t xml:space="preserve"> ומה שאמרו בגמרא (ט:</w:t>
      </w:r>
      <w:r>
        <w:rPr>
          <w:rFonts w:cs="Arial" w:hint="cs"/>
          <w:rtl/>
        </w:rPr>
        <w:t xml:space="preserve"> -</w:t>
      </w:r>
      <w:r>
        <w:rPr>
          <w:rFonts w:cs="Arial"/>
          <w:rtl/>
        </w:rPr>
        <w:t xml:space="preserve"> י.) בפתח פתוח שנאמן להפסידה כתובתה </w:t>
      </w:r>
      <w:r>
        <w:rPr>
          <w:rFonts w:cs="Arial" w:hint="cs"/>
          <w:rtl/>
        </w:rPr>
        <w:t xml:space="preserve">- </w:t>
      </w:r>
      <w:r>
        <w:rPr>
          <w:rFonts w:cs="Arial"/>
          <w:rtl/>
        </w:rPr>
        <w:t>דוקא בשנאבדה המפה או כיוצא בזה</w:t>
      </w:r>
      <w:r>
        <w:rPr>
          <w:rFonts w:cs="Arial" w:hint="cs"/>
          <w:rtl/>
        </w:rPr>
        <w:t>,</w:t>
      </w:r>
      <w:r>
        <w:rPr>
          <w:rFonts w:cs="Arial"/>
          <w:rtl/>
        </w:rPr>
        <w:t xml:space="preserve"> אבל בידוע שיצא דם לא</w:t>
      </w:r>
      <w:r>
        <w:rPr>
          <w:rFonts w:cs="Arial" w:hint="cs"/>
          <w:rtl/>
        </w:rPr>
        <w:t>,</w:t>
      </w:r>
      <w:r>
        <w:rPr>
          <w:rFonts w:cs="Arial"/>
          <w:rtl/>
        </w:rPr>
        <w:t xml:space="preserve"> וזה נראה דעת הרמב"ן (ט. ד"ה וכן) והרשב"א (ט. ד"ה והא) ז"ל עכ"ל</w:t>
      </w:r>
      <w:r>
        <w:rPr>
          <w:rFonts w:hint="cs"/>
          <w:rtl/>
        </w:rPr>
        <w:t>, ב"י.</w:t>
      </w:r>
    </w:p>
  </w:footnote>
  <w:footnote w:id="205">
    <w:p w14:paraId="737FC9C9" w14:textId="4A735697" w:rsidR="00444F62" w:rsidRDefault="00444F62">
      <w:pPr>
        <w:pStyle w:val="a5"/>
      </w:pPr>
      <w:r>
        <w:rPr>
          <w:rStyle w:val="a7"/>
        </w:rPr>
        <w:footnoteRef/>
      </w:r>
      <w:r>
        <w:rPr>
          <w:rtl/>
        </w:rPr>
        <w:t xml:space="preserve"> </w:t>
      </w:r>
      <w:r w:rsidRPr="00AA272D">
        <w:rPr>
          <w:rFonts w:cs="Arial"/>
          <w:rtl/>
        </w:rPr>
        <w:t>רש"י</w:t>
      </w:r>
      <w:r>
        <w:rPr>
          <w:rFonts w:cs="Arial" w:hint="cs"/>
          <w:rtl/>
        </w:rPr>
        <w:t xml:space="preserve"> פירש:</w:t>
      </w:r>
      <w:r w:rsidRPr="00AA272D">
        <w:rPr>
          <w:rFonts w:cs="Arial"/>
          <w:rtl/>
        </w:rPr>
        <w:t xml:space="preserve"> האומר פתח פתוח מצאתי וטענת דמים אין לו</w:t>
      </w:r>
      <w:r>
        <w:rPr>
          <w:rFonts w:cs="Arial" w:hint="cs"/>
          <w:rtl/>
        </w:rPr>
        <w:t>..</w:t>
      </w:r>
      <w:r w:rsidRPr="00AA272D">
        <w:rPr>
          <w:rFonts w:cs="Arial"/>
          <w:rtl/>
        </w:rPr>
        <w:t>.</w:t>
      </w:r>
      <w:r>
        <w:rPr>
          <w:rFonts w:cs="Arial" w:hint="cs"/>
          <w:rtl/>
        </w:rPr>
        <w:t xml:space="preserve"> עכ"ל.</w:t>
      </w:r>
      <w:r w:rsidRPr="00AA272D">
        <w:rPr>
          <w:rFonts w:cs="Arial"/>
          <w:rtl/>
        </w:rPr>
        <w:t xml:space="preserve"> וכתב הר"ן (ג. ד"ה האומר) נראה מדבריו דאי איכא דמים לא מיתסרא</w:t>
      </w:r>
      <w:r w:rsidRPr="00AA272D">
        <w:rPr>
          <w:rFonts w:cs="Arial" w:hint="cs"/>
          <w:rtl/>
        </w:rPr>
        <w:t>.</w:t>
      </w:r>
      <w:r w:rsidRPr="00AA272D">
        <w:rPr>
          <w:rFonts w:cs="Arial"/>
          <w:rtl/>
        </w:rPr>
        <w:t xml:space="preserve"> ואחרים כתבו שאין הדמים ראיה</w:t>
      </w:r>
      <w:r w:rsidRPr="00AA272D">
        <w:rPr>
          <w:rFonts w:cs="Arial" w:hint="cs"/>
          <w:rtl/>
        </w:rPr>
        <w:t>,</w:t>
      </w:r>
      <w:r w:rsidRPr="00AA272D">
        <w:rPr>
          <w:rFonts w:cs="Arial"/>
          <w:rtl/>
        </w:rPr>
        <w:t xml:space="preserve"> דהא איפשר שדם צפור הכניסה</w:t>
      </w:r>
      <w:r w:rsidRPr="00AA272D">
        <w:rPr>
          <w:rFonts w:cs="Arial" w:hint="cs"/>
          <w:rtl/>
        </w:rPr>
        <w:t>,</w:t>
      </w:r>
      <w:r w:rsidRPr="00AA272D">
        <w:rPr>
          <w:rFonts w:cs="Arial"/>
          <w:rtl/>
        </w:rPr>
        <w:t xml:space="preserve"> ואפילו במשמש נמי איפשר דדם הצדדים הוא</w:t>
      </w:r>
      <w:r w:rsidRPr="00AA272D">
        <w:rPr>
          <w:rFonts w:cs="Arial" w:hint="cs"/>
          <w:rtl/>
        </w:rPr>
        <w:t>,</w:t>
      </w:r>
      <w:r w:rsidRPr="00AA272D">
        <w:rPr>
          <w:rFonts w:cs="Arial"/>
          <w:rtl/>
        </w:rPr>
        <w:t xml:space="preserve"> דמכל מקום איהו קים ליה דפתח פתוח מצא והכי מוכח בירושלמי ע"כ</w:t>
      </w:r>
      <w:r>
        <w:rPr>
          <w:rFonts w:cs="Arial" w:hint="cs"/>
          <w:rtl/>
        </w:rPr>
        <w:t>, ב"י</w:t>
      </w:r>
      <w:r w:rsidRPr="00AA272D">
        <w:rPr>
          <w:rFonts w:cs="Arial"/>
          <w:rtl/>
        </w:rPr>
        <w:t>.</w:t>
      </w:r>
    </w:p>
  </w:footnote>
  <w:footnote w:id="206">
    <w:p w14:paraId="5F77E8F7" w14:textId="78D0DECC" w:rsidR="00F86C7E" w:rsidRDefault="00F86C7E">
      <w:pPr>
        <w:pStyle w:val="a5"/>
        <w:rPr>
          <w:rtl/>
        </w:rPr>
      </w:pPr>
      <w:r>
        <w:rPr>
          <w:rStyle w:val="a7"/>
        </w:rPr>
        <w:footnoteRef/>
      </w:r>
      <w:r>
        <w:rPr>
          <w:rtl/>
        </w:rPr>
        <w:t xml:space="preserve"> </w:t>
      </w:r>
      <w:r>
        <w:rPr>
          <w:rFonts w:hint="cs"/>
          <w:rtl/>
        </w:rPr>
        <w:t>סימן - יש בתולים?</w:t>
      </w:r>
    </w:p>
  </w:footnote>
  <w:footnote w:id="207">
    <w:p w14:paraId="2C92FF74" w14:textId="771E7493" w:rsidR="00C71BC5" w:rsidRDefault="00C71BC5">
      <w:pPr>
        <w:pStyle w:val="a5"/>
        <w:rPr>
          <w:rtl/>
        </w:rPr>
      </w:pPr>
      <w:r>
        <w:rPr>
          <w:rStyle w:val="a7"/>
        </w:rPr>
        <w:footnoteRef/>
      </w:r>
      <w:r>
        <w:rPr>
          <w:rtl/>
        </w:rPr>
        <w:t xml:space="preserve"> </w:t>
      </w:r>
      <w:r w:rsidRPr="00D01491">
        <w:rPr>
          <w:rFonts w:cs="Arial"/>
          <w:rtl/>
        </w:rPr>
        <w:t xml:space="preserve">מצאתי כתוב </w:t>
      </w:r>
      <w:r>
        <w:rPr>
          <w:rFonts w:cs="Arial" w:hint="cs"/>
          <w:rtl/>
        </w:rPr>
        <w:t xml:space="preserve">זה </w:t>
      </w:r>
      <w:r w:rsidRPr="00D01491">
        <w:rPr>
          <w:rFonts w:cs="Arial"/>
          <w:rtl/>
        </w:rPr>
        <w:t>בשם ה"ר יונה</w:t>
      </w:r>
      <w:r>
        <w:rPr>
          <w:rFonts w:cs="Arial" w:hint="cs"/>
          <w:rtl/>
        </w:rPr>
        <w:t>,</w:t>
      </w:r>
      <w:r w:rsidRPr="00D01491">
        <w:rPr>
          <w:rFonts w:cs="Arial"/>
          <w:rtl/>
        </w:rPr>
        <w:t xml:space="preserve"> וטעו תלמידיו לכותבו בשמו כי לא אמרה מעולם</w:t>
      </w:r>
      <w:r>
        <w:rPr>
          <w:rFonts w:cs="Arial" w:hint="cs"/>
          <w:rtl/>
        </w:rPr>
        <w:t>,</w:t>
      </w:r>
      <w:r w:rsidRPr="00D01491">
        <w:rPr>
          <w:rFonts w:cs="Arial"/>
          <w:rtl/>
        </w:rPr>
        <w:t xml:space="preserve"> דכיון דליכא אלא חד ספיקא אזלינן לחומרא</w:t>
      </w:r>
      <w:r>
        <w:rPr>
          <w:rFonts w:cs="Arial" w:hint="cs"/>
          <w:rtl/>
        </w:rPr>
        <w:t>,</w:t>
      </w:r>
      <w:r w:rsidRPr="00D01491">
        <w:rPr>
          <w:rFonts w:cs="Arial"/>
          <w:rtl/>
        </w:rPr>
        <w:t xml:space="preserve"> ובדיבורה לא מהימנא דהא אמרינן לקמן (יג.) דקיי"ל כרב נחמן דלא אמרינן בריא עדיף אפילו היכא שהבריא הוא טוב והשמא גרוע</w:t>
      </w:r>
      <w:r>
        <w:rPr>
          <w:rFonts w:cs="Arial" w:hint="cs"/>
          <w:rtl/>
        </w:rPr>
        <w:t>,</w:t>
      </w:r>
      <w:r w:rsidRPr="00D01491">
        <w:rPr>
          <w:rFonts w:cs="Arial"/>
          <w:rtl/>
        </w:rPr>
        <w:t xml:space="preserve"> כל שכן היכא שהבריא גרוע שיודעת שאינו יכול להכחישה</w:t>
      </w:r>
      <w:r>
        <w:rPr>
          <w:rFonts w:cs="Arial" w:hint="cs"/>
          <w:rtl/>
        </w:rPr>
        <w:t>.</w:t>
      </w:r>
      <w:r w:rsidRPr="00D01491">
        <w:rPr>
          <w:rFonts w:cs="Arial"/>
          <w:rtl/>
        </w:rPr>
        <w:t xml:space="preserve"> והא דקיי"ל (יב:) כרבן גמליאל דאמר בריא עדיף היינו דוקא היכא דאיכא מגו כדמפ' לקמן והכא ליכא מגו</w:t>
      </w:r>
      <w:r w:rsidR="006967C6">
        <w:rPr>
          <w:rFonts w:cs="Arial" w:hint="cs"/>
          <w:rtl/>
        </w:rPr>
        <w:t>.</w:t>
      </w:r>
      <w:r w:rsidRPr="00D01491">
        <w:rPr>
          <w:rFonts w:cs="Arial"/>
          <w:rtl/>
        </w:rPr>
        <w:t xml:space="preserve"> אי נמי היכא דאיכא חזקה כדלקמן שהיתה בחזקת בתולה ואוקמה אחזקתה</w:t>
      </w:r>
      <w:r>
        <w:rPr>
          <w:rFonts w:cs="Arial" w:hint="cs"/>
          <w:rtl/>
        </w:rPr>
        <w:t>,</w:t>
      </w:r>
      <w:r w:rsidRPr="00D01491">
        <w:rPr>
          <w:rFonts w:cs="Arial"/>
          <w:rtl/>
        </w:rPr>
        <w:t xml:space="preserve"> אבל הכא ליכא חזקה דתחתיו נבעלה שהרי קיבל אביה קידושין פחות מג' שנים ויום אחד</w:t>
      </w:r>
      <w:r>
        <w:rPr>
          <w:rFonts w:cs="Arial" w:hint="cs"/>
          <w:rtl/>
        </w:rPr>
        <w:t>.</w:t>
      </w:r>
      <w:r w:rsidRPr="00D01491">
        <w:rPr>
          <w:rFonts w:cs="Arial"/>
          <w:rtl/>
        </w:rPr>
        <w:t xml:space="preserve"> ואין לומר הא דלא אמרינן בריא עדיף היינו כנגד חזקה לאפוקי ממונא מחזקתיה אבל היכא דליכא חזקה לא גרע כח הבריא אלא אדרבה יש חזקה עם הבריא דאוקי אתתא בחזקת היתר וצדקת ונאנסה ואמרינן בריא עדיף</w:t>
      </w:r>
      <w:r>
        <w:rPr>
          <w:rFonts w:cs="Arial" w:hint="cs"/>
          <w:rtl/>
        </w:rPr>
        <w:t>,</w:t>
      </w:r>
      <w:r w:rsidRPr="00D01491">
        <w:rPr>
          <w:rFonts w:cs="Arial"/>
          <w:rtl/>
        </w:rPr>
        <w:t xml:space="preserve"> ולא היא</w:t>
      </w:r>
      <w:r>
        <w:rPr>
          <w:rFonts w:cs="Arial" w:hint="cs"/>
          <w:rtl/>
        </w:rPr>
        <w:t>,</w:t>
      </w:r>
      <w:r w:rsidRPr="00D01491">
        <w:rPr>
          <w:rFonts w:cs="Arial"/>
          <w:rtl/>
        </w:rPr>
        <w:t xml:space="preserve"> דאיכא הכא כנגד הבריא רוב דרצון</w:t>
      </w:r>
      <w:r>
        <w:rPr>
          <w:rFonts w:cs="Arial" w:hint="cs"/>
          <w:rtl/>
        </w:rPr>
        <w:t>,</w:t>
      </w:r>
      <w:r w:rsidRPr="00D01491">
        <w:rPr>
          <w:rFonts w:cs="Arial"/>
          <w:rtl/>
        </w:rPr>
        <w:t xml:space="preserve"> דאונס לא שכיח ויש קול לאונס (ירושלמי כתובות פ"א ה"א)</w:t>
      </w:r>
      <w:r>
        <w:rPr>
          <w:rFonts w:cs="Arial" w:hint="cs"/>
          <w:rtl/>
        </w:rPr>
        <w:t>,</w:t>
      </w:r>
      <w:r w:rsidRPr="00D01491">
        <w:rPr>
          <w:rFonts w:cs="Arial"/>
          <w:rtl/>
        </w:rPr>
        <w:t xml:space="preserve"> ורובא עדיף מחזקה (קידושין פ.)</w:t>
      </w:r>
      <w:r>
        <w:rPr>
          <w:rFonts w:cs="Arial" w:hint="cs"/>
          <w:rtl/>
        </w:rPr>
        <w:t>,</w:t>
      </w:r>
      <w:r w:rsidRPr="00D01491">
        <w:rPr>
          <w:rFonts w:cs="Arial"/>
          <w:rtl/>
        </w:rPr>
        <w:t xml:space="preserve"> הילכך לא סמכינן אבריא דידה ואסורה</w:t>
      </w:r>
      <w:r>
        <w:rPr>
          <w:rFonts w:cs="Arial" w:hint="cs"/>
          <w:rtl/>
        </w:rPr>
        <w:t>.</w:t>
      </w:r>
      <w:r w:rsidRPr="00D01491">
        <w:rPr>
          <w:rFonts w:cs="Arial"/>
          <w:rtl/>
        </w:rPr>
        <w:t xml:space="preserve"> ומיהו נראה לי לקיים דבריהם מההיא (כתובות יג.) דהיתה מעוברת דאלים ליה לרבן גמליאל בריא ומכשיר העובר ואע</w:t>
      </w:r>
      <w:r>
        <w:rPr>
          <w:rFonts w:cs="Arial" w:hint="cs"/>
          <w:rtl/>
        </w:rPr>
        <w:t>"</w:t>
      </w:r>
      <w:r w:rsidRPr="00D01491">
        <w:rPr>
          <w:rFonts w:cs="Arial"/>
          <w:rtl/>
        </w:rPr>
        <w:t>ג דלית ליה חזקת כשרות ואפילו ברוב פסולין</w:t>
      </w:r>
      <w:r>
        <w:rPr>
          <w:rFonts w:cs="Arial" w:hint="cs"/>
          <w:rtl/>
        </w:rPr>
        <w:t>,</w:t>
      </w:r>
      <w:r w:rsidRPr="00D01491">
        <w:rPr>
          <w:rFonts w:cs="Arial"/>
          <w:rtl/>
        </w:rPr>
        <w:t xml:space="preserve"> וכן בההיא (שם יב:) דמשאירסתני נאנסתי </w:t>
      </w:r>
      <w:r>
        <w:rPr>
          <w:rFonts w:cs="Arial" w:hint="cs"/>
          <w:rtl/>
        </w:rPr>
        <w:t>אע"</w:t>
      </w:r>
      <w:r w:rsidRPr="00D01491">
        <w:rPr>
          <w:rFonts w:cs="Arial"/>
          <w:rtl/>
        </w:rPr>
        <w:t>ג דחזקת ממון מסייעת לרוב דרצון אפילו הכי אלים ליה בריא ומהימנא</w:t>
      </w:r>
      <w:r>
        <w:rPr>
          <w:rFonts w:cs="Arial" w:hint="cs"/>
          <w:rtl/>
        </w:rPr>
        <w:t>, רא"ש (שם)</w:t>
      </w:r>
      <w:r w:rsidRPr="00D01491">
        <w:rPr>
          <w:rFonts w:cs="Arial"/>
          <w:rtl/>
        </w:rPr>
        <w:t>.</w:t>
      </w:r>
    </w:p>
  </w:footnote>
  <w:footnote w:id="208">
    <w:p w14:paraId="4819BE16" w14:textId="6E76C842" w:rsidR="005D5AA7" w:rsidRDefault="005D5AA7">
      <w:pPr>
        <w:pStyle w:val="a5"/>
      </w:pPr>
      <w:r>
        <w:rPr>
          <w:rStyle w:val="a7"/>
        </w:rPr>
        <w:footnoteRef/>
      </w:r>
      <w:r>
        <w:rPr>
          <w:rtl/>
        </w:rPr>
        <w:t xml:space="preserve"> </w:t>
      </w:r>
      <w:r>
        <w:rPr>
          <w:rFonts w:cs="Arial" w:hint="cs"/>
          <w:rtl/>
        </w:rPr>
        <w:t>וז"ל:</w:t>
      </w:r>
      <w:r w:rsidRPr="00D01491">
        <w:rPr>
          <w:rFonts w:cs="Arial"/>
          <w:rtl/>
        </w:rPr>
        <w:t xml:space="preserve"> דע ששם בפרק י"א מהלכות אישות (הל' י - יא) נתבאר שהאשה נאמנת לומר מוכת עץ אני או משאירסתני נאנסתי לענין ממון הכתובה</w:t>
      </w:r>
      <w:r>
        <w:rPr>
          <w:rFonts w:cs="Arial" w:hint="cs"/>
          <w:rtl/>
        </w:rPr>
        <w:t>,</w:t>
      </w:r>
      <w:r w:rsidRPr="00D01491">
        <w:rPr>
          <w:rFonts w:cs="Arial"/>
          <w:rtl/>
        </w:rPr>
        <w:t xml:space="preserve"> ויש מן המפרשים סבורים שהוא הדין להיותה נאסרת עליו שאם טענה בבריא דבר המתירה שהיא מותרת ולא אמרו נאמן לאסרה עליו אלא במכחשת וטוענת בתולה שלימה נבעלתי</w:t>
      </w:r>
      <w:r>
        <w:rPr>
          <w:rFonts w:cs="Arial" w:hint="cs"/>
          <w:rtl/>
        </w:rPr>
        <w:t>,</w:t>
      </w:r>
      <w:r w:rsidRPr="00D01491">
        <w:rPr>
          <w:rFonts w:cs="Arial"/>
          <w:rtl/>
        </w:rPr>
        <w:t xml:space="preserve"> אי נמי בשותקת</w:t>
      </w:r>
      <w:r>
        <w:rPr>
          <w:rFonts w:cs="Arial" w:hint="cs"/>
          <w:rtl/>
        </w:rPr>
        <w:t>,</w:t>
      </w:r>
      <w:r w:rsidRPr="00D01491">
        <w:rPr>
          <w:rFonts w:cs="Arial"/>
          <w:rtl/>
        </w:rPr>
        <w:t xml:space="preserve"> אבל במודה וטוענת שנאנסה קודם שנתארסה באשת כהן אי נמי שנאנסה אח"כ באשת ישראל או שטוענת בשתיהן מוכת עץ </w:t>
      </w:r>
      <w:r>
        <w:rPr>
          <w:rFonts w:cs="Arial" w:hint="cs"/>
          <w:rtl/>
        </w:rPr>
        <w:t xml:space="preserve">- </w:t>
      </w:r>
      <w:r w:rsidRPr="00D01491">
        <w:rPr>
          <w:rFonts w:cs="Arial"/>
          <w:rtl/>
        </w:rPr>
        <w:t>לא</w:t>
      </w:r>
      <w:r>
        <w:rPr>
          <w:rFonts w:cs="Arial" w:hint="cs"/>
          <w:rtl/>
        </w:rPr>
        <w:t>.</w:t>
      </w:r>
      <w:r w:rsidRPr="00D01491">
        <w:rPr>
          <w:rFonts w:cs="Arial"/>
          <w:rtl/>
        </w:rPr>
        <w:t xml:space="preserve"> ויש מן המפרשים חלוקים בזה ואומרים דלענין איסורא בכה"ג דליכא אלא חד ספיקא אסורה היא ואין משגיחין על דבריה</w:t>
      </w:r>
      <w:r>
        <w:rPr>
          <w:rFonts w:cs="Arial" w:hint="cs"/>
          <w:rtl/>
        </w:rPr>
        <w:t>,</w:t>
      </w:r>
      <w:r w:rsidRPr="00D01491">
        <w:rPr>
          <w:rFonts w:cs="Arial"/>
          <w:rtl/>
        </w:rPr>
        <w:t xml:space="preserve"> וזה נראה דעת רבינו</w:t>
      </w:r>
      <w:r>
        <w:rPr>
          <w:rFonts w:cs="Arial" w:hint="cs"/>
          <w:rtl/>
        </w:rPr>
        <w:t>.</w:t>
      </w:r>
      <w:r w:rsidRPr="00D01491">
        <w:rPr>
          <w:rFonts w:cs="Arial"/>
          <w:rtl/>
        </w:rPr>
        <w:t xml:space="preserve"> והראשון דעת הרמב"ן (ט: ד"ה ואיכא דקשיא) והרשב"א (ט. ד"ה והא דר' אלעזר) ז"ל</w:t>
      </w:r>
      <w:r>
        <w:rPr>
          <w:rFonts w:cs="Arial" w:hint="cs"/>
          <w:rtl/>
        </w:rPr>
        <w:t>.</w:t>
      </w:r>
    </w:p>
  </w:footnote>
  <w:footnote w:id="209">
    <w:p w14:paraId="570FC4D0" w14:textId="474728E3" w:rsidR="008363C4" w:rsidRDefault="008363C4" w:rsidP="008363C4">
      <w:pPr>
        <w:pStyle w:val="a5"/>
        <w:rPr>
          <w:rtl/>
        </w:rPr>
      </w:pPr>
      <w:r>
        <w:rPr>
          <w:rStyle w:val="a7"/>
        </w:rPr>
        <w:footnoteRef/>
      </w:r>
      <w:r>
        <w:rPr>
          <w:rtl/>
        </w:rPr>
        <w:t xml:space="preserve"> </w:t>
      </w:r>
      <w:r w:rsidRPr="008E7E93">
        <w:rPr>
          <w:rFonts w:cs="Arial"/>
          <w:rtl/>
        </w:rPr>
        <w:t>והה</w:t>
      </w:r>
      <w:r>
        <w:rPr>
          <w:rFonts w:cs="Arial" w:hint="cs"/>
          <w:rtl/>
        </w:rPr>
        <w:t>"</w:t>
      </w:r>
      <w:r w:rsidRPr="008E7E93">
        <w:rPr>
          <w:rFonts w:cs="Arial"/>
          <w:rtl/>
        </w:rPr>
        <w:t xml:space="preserve">מ </w:t>
      </w:r>
      <w:r>
        <w:rPr>
          <w:rFonts w:cs="Arial" w:hint="cs"/>
          <w:rtl/>
        </w:rPr>
        <w:t>(</w:t>
      </w:r>
      <w:r w:rsidRPr="008E7E93">
        <w:rPr>
          <w:rFonts w:cs="Arial"/>
          <w:rtl/>
        </w:rPr>
        <w:t>פ"ג מהל</w:t>
      </w:r>
      <w:r w:rsidRPr="008E7E93">
        <w:rPr>
          <w:rFonts w:cs="Arial" w:hint="cs"/>
          <w:rtl/>
        </w:rPr>
        <w:t>'</w:t>
      </w:r>
      <w:r w:rsidRPr="008E7E93">
        <w:rPr>
          <w:rFonts w:cs="Arial"/>
          <w:rtl/>
        </w:rPr>
        <w:t xml:space="preserve"> אי</w:t>
      </w:r>
      <w:r w:rsidRPr="008E7E93">
        <w:rPr>
          <w:rFonts w:cs="Arial" w:hint="cs"/>
          <w:rtl/>
        </w:rPr>
        <w:t>"</w:t>
      </w:r>
      <w:r w:rsidRPr="008E7E93">
        <w:rPr>
          <w:rFonts w:cs="Arial"/>
          <w:rtl/>
        </w:rPr>
        <w:t>ב</w:t>
      </w:r>
      <w:r>
        <w:rPr>
          <w:rFonts w:cs="Arial" w:hint="cs"/>
          <w:rtl/>
        </w:rPr>
        <w:t>)</w:t>
      </w:r>
      <w:r w:rsidRPr="008E7E93">
        <w:rPr>
          <w:rFonts w:cs="Arial"/>
          <w:rtl/>
        </w:rPr>
        <w:t xml:space="preserve"> יגע ליישב דעת הרמב"ם ולא הונח לו</w:t>
      </w:r>
      <w:r w:rsidRPr="008E7E93">
        <w:rPr>
          <w:rFonts w:cs="Arial" w:hint="cs"/>
          <w:rtl/>
        </w:rPr>
        <w:t>,</w:t>
      </w:r>
      <w:r>
        <w:rPr>
          <w:rFonts w:cs="Arial" w:hint="cs"/>
          <w:rtl/>
        </w:rPr>
        <w:t xml:space="preserve"> ב"י.</w:t>
      </w:r>
      <w:r w:rsidR="00D01491">
        <w:rPr>
          <w:rFonts w:cs="Arial" w:hint="cs"/>
          <w:rtl/>
        </w:rPr>
        <w:t xml:space="preserve"> </w:t>
      </w:r>
      <w:r w:rsidR="007F446C">
        <w:rPr>
          <w:rFonts w:hint="cs"/>
          <w:rtl/>
        </w:rPr>
        <w:t>ו</w:t>
      </w:r>
      <w:r w:rsidR="00D01491">
        <w:rPr>
          <w:rFonts w:hint="cs"/>
          <w:rtl/>
        </w:rPr>
        <w:t xml:space="preserve">גם </w:t>
      </w:r>
      <w:r w:rsidR="007F446C">
        <w:rPr>
          <w:rFonts w:hint="cs"/>
          <w:rtl/>
        </w:rPr>
        <w:t xml:space="preserve">הראב"ד (שם ושם) והר"ן </w:t>
      </w:r>
      <w:r w:rsidR="00D01491">
        <w:rPr>
          <w:rFonts w:hint="cs"/>
          <w:rtl/>
        </w:rPr>
        <w:t xml:space="preserve">דחו </w:t>
      </w:r>
      <w:r w:rsidR="007F446C">
        <w:rPr>
          <w:rFonts w:hint="cs"/>
          <w:rtl/>
        </w:rPr>
        <w:t>את דברי</w:t>
      </w:r>
      <w:r w:rsidR="00D01491">
        <w:rPr>
          <w:rFonts w:hint="cs"/>
          <w:rtl/>
        </w:rPr>
        <w:t xml:space="preserve"> הרמב"ם.</w:t>
      </w:r>
    </w:p>
  </w:footnote>
  <w:footnote w:id="210">
    <w:p w14:paraId="0483E2F9" w14:textId="22A7F253" w:rsidR="008E7E66" w:rsidRDefault="008E7E66">
      <w:pPr>
        <w:pStyle w:val="a5"/>
        <w:rPr>
          <w:rtl/>
        </w:rPr>
      </w:pPr>
      <w:r>
        <w:rPr>
          <w:rStyle w:val="a7"/>
        </w:rPr>
        <w:footnoteRef/>
      </w:r>
      <w:r>
        <w:rPr>
          <w:rtl/>
        </w:rPr>
        <w:t xml:space="preserve"> </w:t>
      </w:r>
      <w:r w:rsidRPr="008E7E66">
        <w:rPr>
          <w:rFonts w:cs="Arial"/>
          <w:rtl/>
        </w:rPr>
        <w:t>וכתב בח"מ בזה"ז מקדשים תחת החופה ואין מייחדים שום אדם עם הכלה</w:t>
      </w:r>
      <w:r>
        <w:rPr>
          <w:rFonts w:cs="Arial" w:hint="cs"/>
          <w:rtl/>
        </w:rPr>
        <w:t>,</w:t>
      </w:r>
      <w:r w:rsidRPr="008E7E66">
        <w:rPr>
          <w:rFonts w:cs="Arial"/>
          <w:rtl/>
        </w:rPr>
        <w:t xml:space="preserve"> אז אם נמצא שאינה בתולה</w:t>
      </w:r>
      <w:r>
        <w:rPr>
          <w:rFonts w:cs="Arial" w:hint="cs"/>
          <w:rtl/>
        </w:rPr>
        <w:t xml:space="preserve"> -</w:t>
      </w:r>
      <w:r w:rsidRPr="008E7E66">
        <w:rPr>
          <w:rFonts w:cs="Arial"/>
          <w:rtl/>
        </w:rPr>
        <w:t xml:space="preserve"> מותרת לבעלה</w:t>
      </w:r>
      <w:r w:rsidR="006A60FC">
        <w:rPr>
          <w:rFonts w:cs="Arial" w:hint="cs"/>
          <w:rtl/>
        </w:rPr>
        <w:t>,</w:t>
      </w:r>
      <w:r w:rsidRPr="008E7E66">
        <w:rPr>
          <w:rFonts w:cs="Arial"/>
          <w:rtl/>
        </w:rPr>
        <w:t xml:space="preserve"> כי בודאי זינתה קודם החופה</w:t>
      </w:r>
      <w:r>
        <w:rPr>
          <w:rFonts w:hint="cs"/>
          <w:rtl/>
        </w:rPr>
        <w:t xml:space="preserve">, </w:t>
      </w:r>
      <w:r w:rsidRPr="006A60FC">
        <w:rPr>
          <w:rFonts w:hint="cs"/>
          <w:b/>
          <w:bCs/>
          <w:rtl/>
        </w:rPr>
        <w:t>ב"ש</w:t>
      </w:r>
      <w:r>
        <w:rPr>
          <w:rFonts w:hint="cs"/>
          <w:rtl/>
        </w:rPr>
        <w:t xml:space="preserve"> (סקי"ג).</w:t>
      </w:r>
      <w:r w:rsidR="006A60FC">
        <w:rPr>
          <w:rFonts w:hint="cs"/>
          <w:rtl/>
        </w:rPr>
        <w:t xml:space="preserve">      </w:t>
      </w:r>
      <w:r w:rsidR="006A60FC">
        <w:rPr>
          <w:rFonts w:cs="Arial"/>
          <w:rtl/>
        </w:rPr>
        <w:t>עיין בס' מאיר שכ' דקיצרו במקום שהיה להם להאריך כי לא מהני זה כ"א בעיר שכולה ישראלים כשרים ואין לה שום קרוב הפוסלה בביאתו לכהונה</w:t>
      </w:r>
      <w:r w:rsidR="006A60FC">
        <w:rPr>
          <w:rFonts w:cs="Arial" w:hint="cs"/>
          <w:rtl/>
        </w:rPr>
        <w:t>,</w:t>
      </w:r>
      <w:r w:rsidR="006A60FC">
        <w:rPr>
          <w:rFonts w:cs="Arial"/>
          <w:rtl/>
        </w:rPr>
        <w:t xml:space="preserve"> אבל בעיר שערבי או פסול או קרוב שוכן בה הא דינא חרוץ בס"ס ו' באלמת ודומא דהרי הכא במכחשת ואינה טוענת לכשר נבעלתי דתצא אם לא בשני רובים להכשיר עכ"ל ועמ"ש בסי' ו' שם</w:t>
      </w:r>
      <w:r w:rsidR="006A60FC">
        <w:rPr>
          <w:rFonts w:cs="Arial" w:hint="cs"/>
          <w:rtl/>
        </w:rPr>
        <w:t xml:space="preserve">, </w:t>
      </w:r>
      <w:r w:rsidR="006A60FC" w:rsidRPr="006A60FC">
        <w:rPr>
          <w:rFonts w:cs="Arial" w:hint="cs"/>
          <w:b/>
          <w:bCs/>
          <w:rtl/>
        </w:rPr>
        <w:t>פת"ש</w:t>
      </w:r>
      <w:r w:rsidR="006A60FC">
        <w:rPr>
          <w:rFonts w:cs="Arial" w:hint="cs"/>
          <w:rtl/>
        </w:rPr>
        <w:t xml:space="preserve"> (סק"ג).</w:t>
      </w:r>
    </w:p>
  </w:footnote>
  <w:footnote w:id="211">
    <w:p w14:paraId="42BCFDD2" w14:textId="77777777" w:rsidR="00115F49" w:rsidRDefault="00115F49" w:rsidP="00115F49">
      <w:pPr>
        <w:pStyle w:val="a5"/>
        <w:rPr>
          <w:rtl/>
        </w:rPr>
      </w:pPr>
      <w:r>
        <w:rPr>
          <w:rStyle w:val="a7"/>
        </w:rPr>
        <w:footnoteRef/>
      </w:r>
      <w:r>
        <w:rPr>
          <w:rtl/>
        </w:rPr>
        <w:t xml:space="preserve"> </w:t>
      </w:r>
      <w:r w:rsidRPr="00960243">
        <w:rPr>
          <w:rFonts w:cs="Arial"/>
          <w:rtl/>
        </w:rPr>
        <w:t>על פי עצמו וטעמא לקמן מפרש חזקה אין אדם טורח בסעודה ומפסידה</w:t>
      </w:r>
      <w:r>
        <w:rPr>
          <w:rFonts w:cs="Arial" w:hint="cs"/>
          <w:rtl/>
        </w:rPr>
        <w:t>, רש"י.</w:t>
      </w:r>
    </w:p>
  </w:footnote>
  <w:footnote w:id="212">
    <w:p w14:paraId="67624757" w14:textId="77777777" w:rsidR="00115F49" w:rsidRDefault="00115F49" w:rsidP="00115F49">
      <w:pPr>
        <w:pStyle w:val="a5"/>
        <w:rPr>
          <w:rtl/>
        </w:rPr>
      </w:pPr>
      <w:r>
        <w:rPr>
          <w:rStyle w:val="a7"/>
        </w:rPr>
        <w:footnoteRef/>
      </w:r>
      <w:r>
        <w:rPr>
          <w:rtl/>
        </w:rPr>
        <w:t xml:space="preserve"> </w:t>
      </w:r>
      <w:r w:rsidRPr="007D7F58">
        <w:rPr>
          <w:rFonts w:cs="Arial"/>
          <w:rtl/>
        </w:rPr>
        <w:t>כלומר אי הואי כתובתה דאורייתא לא הוי נאמן להפקיעה אלא בעדות ידועה אבל כתובתה חכמים תיקנוה הם אמרו והם אמרו הם שתיקנוה אמרו שהוא נאמן להפסידה אף בטענת פתח פתוח</w:t>
      </w:r>
      <w:r>
        <w:rPr>
          <w:rFonts w:hint="cs"/>
          <w:rtl/>
        </w:rPr>
        <w:t>, רש"י.</w:t>
      </w:r>
    </w:p>
  </w:footnote>
  <w:footnote w:id="213">
    <w:p w14:paraId="4057BD95" w14:textId="77777777" w:rsidR="00115F49" w:rsidRDefault="00115F49" w:rsidP="00115F49">
      <w:pPr>
        <w:pStyle w:val="a5"/>
      </w:pPr>
      <w:r>
        <w:rPr>
          <w:rStyle w:val="a7"/>
        </w:rPr>
        <w:footnoteRef/>
      </w:r>
      <w:r>
        <w:rPr>
          <w:rtl/>
        </w:rPr>
        <w:t xml:space="preserve"> </w:t>
      </w:r>
      <w:r w:rsidRPr="007D7F58">
        <w:rPr>
          <w:rFonts w:cs="Arial"/>
          <w:rtl/>
        </w:rPr>
        <w:t>שבידו להפקיעה</w:t>
      </w:r>
      <w:r>
        <w:rPr>
          <w:rFonts w:cs="Arial" w:hint="cs"/>
          <w:rtl/>
        </w:rPr>
        <w:t>, רש"י.</w:t>
      </w:r>
    </w:p>
  </w:footnote>
  <w:footnote w:id="214">
    <w:p w14:paraId="0110C2F7" w14:textId="77777777" w:rsidR="00115F49" w:rsidRDefault="00115F49" w:rsidP="00115F49">
      <w:pPr>
        <w:pStyle w:val="a5"/>
        <w:rPr>
          <w:rtl/>
        </w:rPr>
      </w:pPr>
      <w:r>
        <w:rPr>
          <w:rStyle w:val="a7"/>
        </w:rPr>
        <w:footnoteRef/>
      </w:r>
      <w:r>
        <w:rPr>
          <w:rtl/>
        </w:rPr>
        <w:t xml:space="preserve"> </w:t>
      </w:r>
      <w:r w:rsidRPr="007D7F58">
        <w:rPr>
          <w:rFonts w:cs="Arial"/>
          <w:rtl/>
        </w:rPr>
        <w:t>שתקנו לה כתובה</w:t>
      </w:r>
      <w:r>
        <w:rPr>
          <w:rFonts w:hint="cs"/>
          <w:rtl/>
        </w:rPr>
        <w:t>, רש"י.</w:t>
      </w:r>
    </w:p>
  </w:footnote>
  <w:footnote w:id="215">
    <w:p w14:paraId="7B143C4B" w14:textId="77777777" w:rsidR="00115F49" w:rsidRDefault="00115F49" w:rsidP="00115F49">
      <w:pPr>
        <w:pStyle w:val="a5"/>
      </w:pPr>
      <w:r>
        <w:rPr>
          <w:rStyle w:val="a7"/>
        </w:rPr>
        <w:footnoteRef/>
      </w:r>
      <w:r>
        <w:rPr>
          <w:rtl/>
        </w:rPr>
        <w:t xml:space="preserve"> </w:t>
      </w:r>
      <w:r w:rsidRPr="00115F49">
        <w:rPr>
          <w:rFonts w:cs="Arial"/>
          <w:rtl/>
        </w:rPr>
        <w:t>אין לחוש שיטעון אדם כך אלא באמת שאם היה שונא אותה מתחילה לא היה טורח בסעודה וכונסה ומפסיד סעודתו חנם אלא היה מגרשה מתחילה</w:t>
      </w:r>
      <w:r>
        <w:rPr>
          <w:rFonts w:cs="Arial" w:hint="cs"/>
          <w:rtl/>
        </w:rPr>
        <w:t>, רש"י.</w:t>
      </w:r>
    </w:p>
  </w:footnote>
  <w:footnote w:id="216">
    <w:p w14:paraId="0F7016C9" w14:textId="452A1F65" w:rsidR="003571EC" w:rsidRDefault="003571EC" w:rsidP="003571EC">
      <w:pPr>
        <w:pStyle w:val="a5"/>
      </w:pPr>
      <w:r w:rsidRPr="003571EC">
        <w:rPr>
          <w:rStyle w:val="a7"/>
        </w:rPr>
        <w:footnoteRef/>
      </w:r>
      <w:r w:rsidRPr="003571EC">
        <w:rPr>
          <w:rtl/>
        </w:rPr>
        <w:t xml:space="preserve"> </w:t>
      </w:r>
      <w:r w:rsidRPr="003571EC">
        <w:rPr>
          <w:rFonts w:cs="Arial"/>
          <w:rtl/>
        </w:rPr>
        <w:t>וכתב הרשב"א ז"ל (י. ד"ה ומהא</w:t>
      </w:r>
      <w:r w:rsidRPr="003571EC">
        <w:rPr>
          <w:rFonts w:cs="Arial" w:hint="cs"/>
          <w:rtl/>
        </w:rPr>
        <w:t xml:space="preserve">) </w:t>
      </w:r>
      <w:r w:rsidRPr="00EC064C">
        <w:rPr>
          <w:rFonts w:cs="Arial"/>
          <w:rtl/>
        </w:rPr>
        <w:t>משמע דאי לא טרח בסעודה שאינו נאמן דהא ליכא חזקה וחזקה דגופא עדיפא מחזקת ממון ואפילו בברי וברי דהולכין אחר הרוב דבתולות נשאות וחזקה דגופה עדיף עכ"ל</w:t>
      </w:r>
      <w:r>
        <w:rPr>
          <w:rFonts w:cs="Arial" w:hint="cs"/>
          <w:rtl/>
        </w:rPr>
        <w:t>, הה"מ (שם).</w:t>
      </w:r>
      <w:r w:rsidR="00FA54A7" w:rsidRPr="00FA54A7">
        <w:rPr>
          <w:rFonts w:cs="Arial" w:hint="cs"/>
          <w:rtl/>
        </w:rPr>
        <w:t xml:space="preserve"> </w:t>
      </w:r>
      <w:r w:rsidR="00FA54A7" w:rsidRPr="003571EC">
        <w:rPr>
          <w:rFonts w:cs="Arial" w:hint="cs"/>
          <w:rtl/>
        </w:rPr>
        <w:t xml:space="preserve">וכ"כ </w:t>
      </w:r>
      <w:r w:rsidR="00FA54A7" w:rsidRPr="003571EC">
        <w:rPr>
          <w:rFonts w:cs="Arial"/>
          <w:rtl/>
        </w:rPr>
        <w:t xml:space="preserve">הר"ן </w:t>
      </w:r>
      <w:r w:rsidR="00FA54A7" w:rsidRPr="003571EC">
        <w:rPr>
          <w:rFonts w:cs="Arial" w:hint="cs"/>
          <w:rtl/>
        </w:rPr>
        <w:t>(</w:t>
      </w:r>
      <w:r w:rsidR="00FA54A7" w:rsidRPr="003571EC">
        <w:rPr>
          <w:rFonts w:cs="Arial"/>
          <w:rtl/>
        </w:rPr>
        <w:t>ג: ד"ה נאמן)</w:t>
      </w:r>
      <w:r w:rsidR="00FA54A7" w:rsidRPr="003571EC">
        <w:rPr>
          <w:rFonts w:cs="Arial" w:hint="cs"/>
          <w:rtl/>
        </w:rPr>
        <w:t xml:space="preserve"> בשם הרשב"א</w:t>
      </w:r>
      <w:r w:rsidR="008D7A76">
        <w:rPr>
          <w:rFonts w:cs="Arial" w:hint="cs"/>
          <w:rtl/>
        </w:rPr>
        <w:t>.</w:t>
      </w:r>
    </w:p>
  </w:footnote>
  <w:footnote w:id="217">
    <w:p w14:paraId="1034D59D" w14:textId="6683F995" w:rsidR="00872842" w:rsidRDefault="00872842">
      <w:pPr>
        <w:pStyle w:val="a5"/>
      </w:pPr>
      <w:r>
        <w:rPr>
          <w:rStyle w:val="a7"/>
        </w:rPr>
        <w:footnoteRef/>
      </w:r>
      <w:r>
        <w:rPr>
          <w:rtl/>
        </w:rPr>
        <w:t xml:space="preserve"> </w:t>
      </w:r>
      <w:r>
        <w:rPr>
          <w:rFonts w:cs="Arial" w:hint="cs"/>
          <w:rtl/>
        </w:rPr>
        <w:t>ו</w:t>
      </w:r>
      <w:r w:rsidRPr="000A162A">
        <w:rPr>
          <w:rFonts w:cs="Arial"/>
          <w:rtl/>
        </w:rPr>
        <w:t>איני כחולק על דברי גאון אבל מתוך הסברא נראה דמהימן גם לענין תוספת</w:t>
      </w:r>
      <w:r>
        <w:rPr>
          <w:rFonts w:cs="Arial" w:hint="cs"/>
          <w:rtl/>
        </w:rPr>
        <w:t>,</w:t>
      </w:r>
      <w:r w:rsidRPr="000A162A">
        <w:rPr>
          <w:rFonts w:cs="Arial"/>
          <w:rtl/>
        </w:rPr>
        <w:t xml:space="preserve"> דדבר ידוע דלשם חיבת חופה וביאה הוסיף לה</w:t>
      </w:r>
      <w:r>
        <w:rPr>
          <w:rFonts w:cs="Arial" w:hint="cs"/>
          <w:rtl/>
        </w:rPr>
        <w:t>,</w:t>
      </w:r>
      <w:r w:rsidRPr="000A162A">
        <w:rPr>
          <w:rFonts w:cs="Arial"/>
          <w:rtl/>
        </w:rPr>
        <w:t xml:space="preserve"> וכי היכי דאמרינן לענין מנה ומאתים חזקה אין אדם טורח בסעודה ומפסידה ואם היה שונאה היה מגרשה ולא היה טורח בסעודה אע</w:t>
      </w:r>
      <w:r>
        <w:rPr>
          <w:rFonts w:cs="Arial" w:hint="cs"/>
          <w:rtl/>
        </w:rPr>
        <w:t>"</w:t>
      </w:r>
      <w:r w:rsidRPr="000A162A">
        <w:rPr>
          <w:rFonts w:cs="Arial"/>
          <w:rtl/>
        </w:rPr>
        <w:t>פ שמרויח בטורח הסעודה פטור ממאתים של כתובה</w:t>
      </w:r>
      <w:r>
        <w:rPr>
          <w:rFonts w:cs="Arial" w:hint="cs"/>
          <w:rtl/>
        </w:rPr>
        <w:t>,</w:t>
      </w:r>
      <w:r w:rsidRPr="000A162A">
        <w:rPr>
          <w:rFonts w:cs="Arial"/>
          <w:rtl/>
        </w:rPr>
        <w:t xml:space="preserve"> גם לענין תוספת שאינו מוסיף לה אלא בשעת חופה היאך נאמר שבשעת חופה כתב לה ולמחר בבוקר נתחרט ומגרשה</w:t>
      </w:r>
      <w:r>
        <w:rPr>
          <w:rFonts w:cs="Arial" w:hint="cs"/>
          <w:rtl/>
        </w:rPr>
        <w:t>,</w:t>
      </w:r>
      <w:r w:rsidRPr="000A162A">
        <w:rPr>
          <w:rFonts w:cs="Arial"/>
          <w:rtl/>
        </w:rPr>
        <w:t xml:space="preserve"> אלא ודאי טענתו אמת ולהכי מגרשה ואדעתא דהכי לא הוסיף לה</w:t>
      </w:r>
      <w:r>
        <w:rPr>
          <w:rFonts w:cs="Arial" w:hint="cs"/>
          <w:rtl/>
        </w:rPr>
        <w:t>,</w:t>
      </w:r>
      <w:r w:rsidRPr="000A162A">
        <w:rPr>
          <w:rFonts w:cs="Arial"/>
          <w:rtl/>
        </w:rPr>
        <w:t xml:space="preserve"> </w:t>
      </w:r>
      <w:r w:rsidRPr="000A162A">
        <w:rPr>
          <w:rFonts w:cs="Arial"/>
          <w:b/>
          <w:bCs/>
          <w:rtl/>
        </w:rPr>
        <w:t>רא"ש</w:t>
      </w:r>
      <w:r>
        <w:rPr>
          <w:rFonts w:cs="Arial"/>
          <w:rtl/>
        </w:rPr>
        <w:t xml:space="preserve"> (שם)</w:t>
      </w:r>
      <w:r>
        <w:rPr>
          <w:rFonts w:cs="Arial" w:hint="cs"/>
          <w:rtl/>
        </w:rPr>
        <w:t xml:space="preserve">.   </w:t>
      </w:r>
      <w:r>
        <w:rPr>
          <w:rFonts w:cs="Arial"/>
          <w:rtl/>
        </w:rPr>
        <w:t xml:space="preserve"> ואע</w:t>
      </w:r>
      <w:r>
        <w:rPr>
          <w:rFonts w:cs="Arial" w:hint="cs"/>
          <w:rtl/>
        </w:rPr>
        <w:t>"</w:t>
      </w:r>
      <w:r>
        <w:rPr>
          <w:rFonts w:cs="Arial"/>
          <w:rtl/>
        </w:rPr>
        <w:t>פ שכתב הרא"ש דמתוך הסברא נראה דמהימן גם לענין התוספת</w:t>
      </w:r>
      <w:r>
        <w:rPr>
          <w:rFonts w:cs="Arial" w:hint="cs"/>
          <w:rtl/>
        </w:rPr>
        <w:t>,</w:t>
      </w:r>
      <w:r>
        <w:rPr>
          <w:rFonts w:cs="Arial"/>
          <w:rtl/>
        </w:rPr>
        <w:t xml:space="preserve"> מאחר שכתב איני כחולק על דברי הגאון סתם רבינו דבריו כדעת הגאון. ולענין מה שהוקשה להרא"ש פסק הגאון נראה לי דלא קשיא</w:t>
      </w:r>
      <w:r>
        <w:rPr>
          <w:rFonts w:cs="Arial" w:hint="cs"/>
          <w:rtl/>
        </w:rPr>
        <w:t>,</w:t>
      </w:r>
      <w:r>
        <w:rPr>
          <w:rFonts w:cs="Arial"/>
          <w:rtl/>
        </w:rPr>
        <w:t xml:space="preserve"> דהא בגמרא (י.) אמרינן חכמים תקנו לבנות ישראל לבתולה ק"ק ולאלמנה ק'</w:t>
      </w:r>
      <w:r>
        <w:rPr>
          <w:rFonts w:cs="Arial" w:hint="cs"/>
          <w:rtl/>
        </w:rPr>
        <w:t>,</w:t>
      </w:r>
      <w:r>
        <w:rPr>
          <w:rFonts w:cs="Arial"/>
          <w:rtl/>
        </w:rPr>
        <w:t xml:space="preserve"> והם האמינוהו שאם אמר פתח פתוח מצאתי מהימן</w:t>
      </w:r>
      <w:r>
        <w:rPr>
          <w:rFonts w:cs="Arial" w:hint="cs"/>
          <w:rtl/>
        </w:rPr>
        <w:t>,</w:t>
      </w:r>
      <w:r>
        <w:rPr>
          <w:rFonts w:cs="Arial"/>
          <w:rtl/>
        </w:rPr>
        <w:t xml:space="preserve"> משמע בהדיא דלא האמינוהו חכמים לומר פתח פתוח מצאתי אלא משום דהם תקנו לה כתובה והם אמרו והם אמרו</w:t>
      </w:r>
      <w:r>
        <w:rPr>
          <w:rFonts w:cs="Arial" w:hint="cs"/>
          <w:rtl/>
        </w:rPr>
        <w:t>,</w:t>
      </w:r>
      <w:r>
        <w:rPr>
          <w:rFonts w:cs="Arial"/>
          <w:rtl/>
        </w:rPr>
        <w:t xml:space="preserve"> ואם כן בתוספת שאינו מתקנת חכמים לא האמינוהו</w:t>
      </w:r>
      <w:r>
        <w:rPr>
          <w:rFonts w:cs="Arial" w:hint="cs"/>
          <w:rtl/>
        </w:rPr>
        <w:t xml:space="preserve">, </w:t>
      </w:r>
      <w:r w:rsidRPr="000A162A">
        <w:rPr>
          <w:rFonts w:cs="Arial" w:hint="cs"/>
          <w:b/>
          <w:bCs/>
          <w:rtl/>
        </w:rPr>
        <w:t>ב"י</w:t>
      </w:r>
      <w:r>
        <w:rPr>
          <w:rFonts w:cs="Arial"/>
          <w:rtl/>
        </w:rPr>
        <w:t>.</w:t>
      </w:r>
    </w:p>
  </w:footnote>
  <w:footnote w:id="218">
    <w:p w14:paraId="27482D17" w14:textId="13C25592" w:rsidR="00D5536F" w:rsidRDefault="00D5536F">
      <w:pPr>
        <w:pStyle w:val="a5"/>
      </w:pPr>
      <w:r>
        <w:rPr>
          <w:rStyle w:val="a7"/>
        </w:rPr>
        <w:footnoteRef/>
      </w:r>
      <w:r>
        <w:rPr>
          <w:rtl/>
        </w:rPr>
        <w:t xml:space="preserve"> </w:t>
      </w:r>
      <w:r w:rsidRPr="00D5536F">
        <w:rPr>
          <w:rFonts w:cs="Arial"/>
          <w:rtl/>
        </w:rPr>
        <w:t>ואין כן דעת רבינו אלא אינה מפסדת תוספת אלא בראיה ברורה וכן נראה</w:t>
      </w:r>
      <w:r>
        <w:rPr>
          <w:rFonts w:cs="Arial" w:hint="cs"/>
          <w:rtl/>
        </w:rPr>
        <w:t xml:space="preserve">, </w:t>
      </w:r>
      <w:r w:rsidRPr="00D5536F">
        <w:rPr>
          <w:rFonts w:cs="Arial" w:hint="cs"/>
          <w:b/>
          <w:bCs/>
          <w:rtl/>
        </w:rPr>
        <w:t>הה"מ</w:t>
      </w:r>
      <w:r>
        <w:rPr>
          <w:rFonts w:cs="Arial" w:hint="cs"/>
          <w:rtl/>
        </w:rPr>
        <w:t xml:space="preserve"> (שם)</w:t>
      </w:r>
      <w:r w:rsidRPr="00D5536F">
        <w:rPr>
          <w:rFonts w:cs="Arial"/>
          <w:rtl/>
        </w:rPr>
        <w:t>. והר"ן (שם) הסכים לדעת הרמב"ם דתוספת יש לה אלא אם כן נודע בראיה ברורה שהיתה בעולה או שהודית לו</w:t>
      </w:r>
      <w:r>
        <w:rPr>
          <w:rFonts w:hint="cs"/>
          <w:rtl/>
        </w:rPr>
        <w:t xml:space="preserve">, </w:t>
      </w:r>
      <w:r w:rsidRPr="00D5536F">
        <w:rPr>
          <w:rFonts w:hint="cs"/>
          <w:b/>
          <w:bCs/>
          <w:rtl/>
        </w:rPr>
        <w:t>ב"י</w:t>
      </w:r>
      <w:r>
        <w:rPr>
          <w:rFonts w:hint="cs"/>
          <w:rtl/>
        </w:rPr>
        <w:t>.</w:t>
      </w:r>
    </w:p>
  </w:footnote>
  <w:footnote w:id="219">
    <w:p w14:paraId="666E0013" w14:textId="77777777" w:rsidR="00C41C83" w:rsidRDefault="00C41C83" w:rsidP="00C41C83">
      <w:pPr>
        <w:pStyle w:val="a5"/>
      </w:pPr>
      <w:r>
        <w:rPr>
          <w:rStyle w:val="a7"/>
        </w:rPr>
        <w:footnoteRef/>
      </w:r>
      <w:r>
        <w:rPr>
          <w:rtl/>
        </w:rPr>
        <w:t xml:space="preserve"> </w:t>
      </w:r>
      <w:r>
        <w:rPr>
          <w:rFonts w:cs="Arial"/>
          <w:rtl/>
        </w:rPr>
        <w:t>וכתב הה</w:t>
      </w:r>
      <w:r>
        <w:rPr>
          <w:rFonts w:cs="Arial" w:hint="cs"/>
          <w:rtl/>
        </w:rPr>
        <w:t>"</w:t>
      </w:r>
      <w:r>
        <w:rPr>
          <w:rFonts w:cs="Arial"/>
          <w:rtl/>
        </w:rPr>
        <w:t>מ מה שאמר רבינו שיש לו להשביעה בנקיטת חפץ כן כתבו הגאונים</w:t>
      </w:r>
      <w:r>
        <w:rPr>
          <w:rFonts w:cs="Arial" w:hint="cs"/>
          <w:rtl/>
        </w:rPr>
        <w:t>,</w:t>
      </w:r>
      <w:r>
        <w:rPr>
          <w:rFonts w:cs="Arial"/>
          <w:rtl/>
        </w:rPr>
        <w:t xml:space="preserve"> וכבר נתבאר בהלכות מלוה ולוה פי"ד (ה"ב) שהלוה שטען פרעתיך שטר זה</w:t>
      </w:r>
      <w:r>
        <w:rPr>
          <w:rFonts w:cs="Arial" w:hint="cs"/>
          <w:rtl/>
        </w:rPr>
        <w:t>,</w:t>
      </w:r>
      <w:r>
        <w:rPr>
          <w:rFonts w:cs="Arial"/>
          <w:rtl/>
        </w:rPr>
        <w:t xml:space="preserve"> ואמר למלוה השבע לי שלא פרעתיך</w:t>
      </w:r>
      <w:r>
        <w:rPr>
          <w:rFonts w:cs="Arial" w:hint="cs"/>
          <w:rtl/>
        </w:rPr>
        <w:t>,</w:t>
      </w:r>
      <w:r>
        <w:rPr>
          <w:rFonts w:cs="Arial"/>
          <w:rtl/>
        </w:rPr>
        <w:t xml:space="preserve"> שאינו גובה אלא בשבועה</w:t>
      </w:r>
      <w:r>
        <w:rPr>
          <w:rFonts w:cs="Arial" w:hint="cs"/>
          <w:rtl/>
        </w:rPr>
        <w:t>.</w:t>
      </w:r>
      <w:r>
        <w:rPr>
          <w:rFonts w:cs="Arial"/>
          <w:rtl/>
        </w:rPr>
        <w:t xml:space="preserve"> אלא שאין זה דומה לטענת פרעון משום דשטרא לפרעון קיימא. ומה שאמר שהיא אין לה להשביעו כן כתבו הגאונים ז"ל עכ"ל. וגם הר"ן (שם) כתב שאין זה דומה לגמרי לשטר משום דשטר לפרעון קאי</w:t>
      </w:r>
      <w:r>
        <w:rPr>
          <w:rFonts w:cs="Arial" w:hint="cs"/>
          <w:rtl/>
        </w:rPr>
        <w:t>, ב"י.</w:t>
      </w:r>
    </w:p>
  </w:footnote>
  <w:footnote w:id="220">
    <w:p w14:paraId="7FBF5581" w14:textId="324A16D0" w:rsidR="00806789" w:rsidRDefault="00806789">
      <w:pPr>
        <w:pStyle w:val="a5"/>
      </w:pPr>
      <w:r>
        <w:rPr>
          <w:rStyle w:val="a7"/>
        </w:rPr>
        <w:footnoteRef/>
      </w:r>
      <w:r>
        <w:rPr>
          <w:rtl/>
        </w:rPr>
        <w:t xml:space="preserve"> </w:t>
      </w:r>
      <w:r>
        <w:rPr>
          <w:rFonts w:cs="Arial" w:hint="cs"/>
          <w:rtl/>
        </w:rPr>
        <w:t>ד</w:t>
      </w:r>
      <w:r w:rsidRPr="00806789">
        <w:rPr>
          <w:rFonts w:cs="Arial"/>
          <w:rtl/>
        </w:rPr>
        <w:t>הא דנאמן להפסידה כתובתה הכא ודאי מיירי במכחישתו או בשותקת אבל אם אמרה ודאי פתח היה פתוח ונאנסה תחתיו בהא מהימנא כרבן גמליאל לקמן (יב:) ואין להאמין בתולה הייתי במגו דנאנסתי דלא בעיא למיפסל נפשה לכהונה ואין להאמין במגו דמוכת עץ לא שכיח אי נמי לא אמרינן מגו לאפוקי ממונא</w:t>
      </w:r>
      <w:r>
        <w:rPr>
          <w:rFonts w:cs="Arial" w:hint="cs"/>
          <w:rtl/>
        </w:rPr>
        <w:t xml:space="preserve">, ב"י בשם </w:t>
      </w:r>
      <w:r w:rsidRPr="00806789">
        <w:rPr>
          <w:rFonts w:cs="Arial"/>
          <w:rtl/>
        </w:rPr>
        <w:t>הרא"ש (סי' יח) והר"ן (שם)</w:t>
      </w:r>
      <w:r>
        <w:rPr>
          <w:rFonts w:cs="Arial" w:hint="cs"/>
          <w:rtl/>
        </w:rPr>
        <w:t>.</w:t>
      </w:r>
    </w:p>
  </w:footnote>
  <w:footnote w:id="221">
    <w:p w14:paraId="6D8B2543" w14:textId="5874C9F7" w:rsidR="00B359A0" w:rsidRDefault="00B359A0">
      <w:pPr>
        <w:pStyle w:val="a5"/>
      </w:pPr>
      <w:r>
        <w:rPr>
          <w:rStyle w:val="a7"/>
        </w:rPr>
        <w:footnoteRef/>
      </w:r>
      <w:r>
        <w:rPr>
          <w:rtl/>
        </w:rPr>
        <w:t xml:space="preserve"> </w:t>
      </w:r>
      <w:r>
        <w:rPr>
          <w:rFonts w:cs="Arial"/>
          <w:rtl/>
        </w:rPr>
        <w:t>שאין כאן חיוב שבועה לה כיון שהוא אינו טוען טענת בריא אבל מחרים סתם מתקנת הגאונים ז"ל</w:t>
      </w:r>
      <w:r>
        <w:rPr>
          <w:rFonts w:cs="Arial" w:hint="cs"/>
          <w:rtl/>
        </w:rPr>
        <w:t>, הה"מ</w:t>
      </w:r>
      <w:r>
        <w:rPr>
          <w:rFonts w:cs="Arial" w:hint="cs"/>
        </w:rPr>
        <w:t xml:space="preserve"> </w:t>
      </w:r>
      <w:r>
        <w:rPr>
          <w:rFonts w:cs="Arial" w:hint="cs"/>
          <w:rtl/>
        </w:rPr>
        <w:t>(שם).</w:t>
      </w:r>
    </w:p>
  </w:footnote>
  <w:footnote w:id="222">
    <w:p w14:paraId="790847A2" w14:textId="67DD007B" w:rsidR="005D646B" w:rsidRDefault="005D646B">
      <w:pPr>
        <w:pStyle w:val="a5"/>
      </w:pPr>
      <w:r>
        <w:rPr>
          <w:rStyle w:val="a7"/>
        </w:rPr>
        <w:footnoteRef/>
      </w:r>
      <w:r>
        <w:rPr>
          <w:rtl/>
        </w:rPr>
        <w:t xml:space="preserve"> </w:t>
      </w:r>
      <w:r>
        <w:rPr>
          <w:rFonts w:cs="Arial" w:hint="cs"/>
          <w:rtl/>
        </w:rPr>
        <w:t>ו</w:t>
      </w:r>
      <w:r w:rsidRPr="005D646B">
        <w:rPr>
          <w:rFonts w:cs="Arial"/>
          <w:rtl/>
        </w:rPr>
        <w:t>יש צד שאסורה עליו ויתבאר בדברי רבינו בפי"ח מהל</w:t>
      </w:r>
      <w:r>
        <w:rPr>
          <w:rFonts w:cs="Arial" w:hint="cs"/>
          <w:rtl/>
        </w:rPr>
        <w:t>'</w:t>
      </w:r>
      <w:r w:rsidRPr="005D646B">
        <w:rPr>
          <w:rFonts w:cs="Arial"/>
          <w:rtl/>
        </w:rPr>
        <w:t xml:space="preserve"> אי</w:t>
      </w:r>
      <w:r>
        <w:rPr>
          <w:rFonts w:cs="Arial" w:hint="cs"/>
          <w:rtl/>
        </w:rPr>
        <w:t>"</w:t>
      </w:r>
      <w:r w:rsidRPr="005D646B">
        <w:rPr>
          <w:rFonts w:cs="Arial"/>
          <w:rtl/>
        </w:rPr>
        <w:t>ב (הל' י - יא)</w:t>
      </w:r>
      <w:r>
        <w:rPr>
          <w:rFonts w:cs="Arial" w:hint="cs"/>
          <w:rtl/>
        </w:rPr>
        <w:t>, הה"מ (שם)</w:t>
      </w:r>
      <w:r w:rsidRPr="005D646B">
        <w:rPr>
          <w:rFonts w:cs="Arial"/>
          <w:rtl/>
        </w:rPr>
        <w:t>. והצד הזה היינו אם היא אשת כהן או אם היא אשת ישראל שקיבל בה אביה קידושין פחות מג' שנים ויום אחד וכמו שנתבאר בסימן זה (קב:)</w:t>
      </w:r>
      <w:r>
        <w:rPr>
          <w:rFonts w:cs="Arial" w:hint="cs"/>
          <w:rtl/>
        </w:rPr>
        <w:t>, ב"י.</w:t>
      </w:r>
    </w:p>
  </w:footnote>
  <w:footnote w:id="223">
    <w:p w14:paraId="42AB1685" w14:textId="3F2553FF" w:rsidR="002D3245" w:rsidRDefault="002D3245">
      <w:pPr>
        <w:pStyle w:val="a5"/>
      </w:pPr>
      <w:r>
        <w:rPr>
          <w:rStyle w:val="a7"/>
        </w:rPr>
        <w:footnoteRef/>
      </w:r>
      <w:r>
        <w:rPr>
          <w:rtl/>
        </w:rPr>
        <w:t xml:space="preserve"> </w:t>
      </w:r>
      <w:r>
        <w:rPr>
          <w:rFonts w:cs="Arial"/>
          <w:rtl/>
        </w:rPr>
        <w:t>או אם אמר בבוקר בפני עדים לא מצאתי בתולים אפילו לא בא לבית דין מיד נאמן לטעון לפני ב"ד לאחר זמן</w:t>
      </w:r>
      <w:r>
        <w:rPr>
          <w:rFonts w:cs="Arial" w:hint="cs"/>
          <w:rtl/>
        </w:rPr>
        <w:t>, רא"ש (כלל לז סי' ב).</w:t>
      </w:r>
    </w:p>
  </w:footnote>
  <w:footnote w:id="224">
    <w:p w14:paraId="64BA84D8" w14:textId="0D0D0FFD" w:rsidR="00DE2F5F" w:rsidRDefault="00DE2F5F">
      <w:pPr>
        <w:pStyle w:val="a5"/>
      </w:pPr>
      <w:r>
        <w:rPr>
          <w:rStyle w:val="a7"/>
        </w:rPr>
        <w:footnoteRef/>
      </w:r>
      <w:r>
        <w:rPr>
          <w:rtl/>
        </w:rPr>
        <w:t xml:space="preserve"> </w:t>
      </w:r>
      <w:r>
        <w:rPr>
          <w:rFonts w:cs="Arial"/>
          <w:rtl/>
        </w:rPr>
        <w:t>פסק רבינו כדברי האומר שארה אלו מזונות וכן תרגם אונקלוס וכן פירש רש"י בפירוש התורה</w:t>
      </w:r>
      <w:r>
        <w:rPr>
          <w:rFonts w:cs="Arial" w:hint="cs"/>
          <w:rtl/>
        </w:rPr>
        <w:t>, הה"מ (שם).</w:t>
      </w:r>
    </w:p>
  </w:footnote>
  <w:footnote w:id="225">
    <w:p w14:paraId="32DAA2B5" w14:textId="7D2F9978" w:rsidR="00DE2F5F" w:rsidRDefault="00DE2F5F">
      <w:pPr>
        <w:pStyle w:val="a5"/>
        <w:rPr>
          <w:rtl/>
        </w:rPr>
      </w:pPr>
      <w:r>
        <w:rPr>
          <w:rStyle w:val="a7"/>
        </w:rPr>
        <w:footnoteRef/>
      </w:r>
      <w:r>
        <w:rPr>
          <w:rtl/>
        </w:rPr>
        <w:t xml:space="preserve"> </w:t>
      </w:r>
      <w:r>
        <w:rPr>
          <w:rFonts w:cs="Arial"/>
          <w:rtl/>
        </w:rPr>
        <w:t>ואני תמה בדבריו בענין המלבושים דהא כולהו תנאי דברייתא שוין שכסותה הוא כמשמעו וכן נ"ל לפי שלא מצאתי שהוזכר בכסות תקנת חכמים</w:t>
      </w:r>
      <w:r>
        <w:rPr>
          <w:rFonts w:cs="Arial" w:hint="cs"/>
          <w:rtl/>
        </w:rPr>
        <w:t>, הה"מ (שם)</w:t>
      </w:r>
      <w:r>
        <w:rPr>
          <w:rFonts w:cs="Arial"/>
          <w:rtl/>
        </w:rPr>
        <w:t>.</w:t>
      </w:r>
    </w:p>
  </w:footnote>
  <w:footnote w:id="226">
    <w:p w14:paraId="5C0AC123" w14:textId="61A3D0F7" w:rsidR="00DE2F5F" w:rsidRDefault="00DE2F5F">
      <w:pPr>
        <w:pStyle w:val="a5"/>
        <w:rPr>
          <w:rtl/>
        </w:rPr>
      </w:pPr>
      <w:r>
        <w:rPr>
          <w:rStyle w:val="a7"/>
        </w:rPr>
        <w:footnoteRef/>
      </w:r>
      <w:r>
        <w:rPr>
          <w:rtl/>
        </w:rPr>
        <w:t xml:space="preserve"> </w:t>
      </w:r>
      <w:r>
        <w:rPr>
          <w:rFonts w:cs="Arial" w:hint="cs"/>
          <w:rtl/>
        </w:rPr>
        <w:t>וגם</w:t>
      </w:r>
      <w:r>
        <w:rPr>
          <w:rFonts w:cs="Arial"/>
          <w:rtl/>
        </w:rPr>
        <w:t xml:space="preserve"> הרב המגיד </w:t>
      </w:r>
      <w:r w:rsidR="00E61902">
        <w:rPr>
          <w:rFonts w:cs="Arial" w:hint="cs"/>
          <w:rtl/>
        </w:rPr>
        <w:t>כ</w:t>
      </w:r>
      <w:r>
        <w:rPr>
          <w:rFonts w:cs="Arial" w:hint="cs"/>
          <w:rtl/>
        </w:rPr>
        <w:t xml:space="preserve">תב </w:t>
      </w:r>
      <w:r>
        <w:rPr>
          <w:rFonts w:cs="Arial"/>
          <w:rtl/>
        </w:rPr>
        <w:t>(שם) שנ"ל שהמזונות הם מדבריהם ונתן טעם לדב</w:t>
      </w:r>
      <w:r>
        <w:rPr>
          <w:rFonts w:cs="Arial" w:hint="cs"/>
          <w:rtl/>
        </w:rPr>
        <w:t>ר.</w:t>
      </w:r>
      <w:r>
        <w:rPr>
          <w:rFonts w:cs="Arial"/>
          <w:rtl/>
        </w:rPr>
        <w:t xml:space="preserve"> ואח"כ כתב</w:t>
      </w:r>
      <w:r w:rsidR="00E61902">
        <w:rPr>
          <w:rFonts w:cs="Arial" w:hint="cs"/>
          <w:rtl/>
        </w:rPr>
        <w:t xml:space="preserve">: </w:t>
      </w:r>
      <w:r>
        <w:rPr>
          <w:rFonts w:cs="Arial"/>
          <w:rtl/>
        </w:rPr>
        <w:t>אבל הרשב"א וקצת מפרשים הסכימו לדעת רבינו שהם כולם מן התורה עכ"ל</w:t>
      </w:r>
      <w:r>
        <w:rPr>
          <w:rFonts w:hint="cs"/>
          <w:rtl/>
        </w:rPr>
        <w:t>.</w:t>
      </w:r>
    </w:p>
  </w:footnote>
  <w:footnote w:id="227">
    <w:p w14:paraId="448B806B" w14:textId="77777777" w:rsidR="00DE2F5F" w:rsidRDefault="00DE2F5F" w:rsidP="00284CDB">
      <w:pPr>
        <w:pStyle w:val="a5"/>
      </w:pPr>
      <w:r>
        <w:rPr>
          <w:rStyle w:val="a7"/>
        </w:rPr>
        <w:footnoteRef/>
      </w:r>
      <w:r>
        <w:rPr>
          <w:rtl/>
        </w:rPr>
        <w:t xml:space="preserve"> </w:t>
      </w:r>
      <w:r>
        <w:rPr>
          <w:rFonts w:cs="Arial" w:hint="cs"/>
          <w:rtl/>
        </w:rPr>
        <w:t>עיין לקמן</w:t>
      </w:r>
      <w:r w:rsidRPr="00A931CA">
        <w:rPr>
          <w:rFonts w:cs="Arial"/>
          <w:rtl/>
        </w:rPr>
        <w:t xml:space="preserve"> סוף סימן פ'</w:t>
      </w:r>
      <w:r>
        <w:rPr>
          <w:rFonts w:cs="Arial" w:hint="cs"/>
          <w:rtl/>
        </w:rPr>
        <w:t xml:space="preserve"> (סע' טו) דשם נתבאר דעת האומרים כן ודעת החולקים עליהם.</w:t>
      </w:r>
    </w:p>
  </w:footnote>
  <w:footnote w:id="228">
    <w:p w14:paraId="51BF7D7E" w14:textId="77777777" w:rsidR="00DE2F5F" w:rsidRDefault="00DE2F5F" w:rsidP="006E6202">
      <w:pPr>
        <w:pStyle w:val="a5"/>
        <w:rPr>
          <w:rtl/>
        </w:rPr>
      </w:pPr>
      <w:r>
        <w:rPr>
          <w:rStyle w:val="a7"/>
        </w:rPr>
        <w:footnoteRef/>
      </w:r>
      <w:r>
        <w:rPr>
          <w:rtl/>
        </w:rPr>
        <w:t xml:space="preserve"> </w:t>
      </w:r>
      <w:r w:rsidRPr="00577A45">
        <w:rPr>
          <w:rFonts w:cs="Arial"/>
          <w:rtl/>
        </w:rPr>
        <w:t>שהוא אוכל מנכסי מלוג שלה כגון נכסים שנפלו לה משניסת או שהיו לה קודם לכן שלא שמאתן לו בנדוניית כתובתה</w:t>
      </w:r>
      <w:r>
        <w:rPr>
          <w:rFonts w:hint="cs"/>
          <w:rtl/>
        </w:rPr>
        <w:t>, רש"י.</w:t>
      </w:r>
    </w:p>
  </w:footnote>
  <w:footnote w:id="229">
    <w:p w14:paraId="3A3E2F2E" w14:textId="77777777" w:rsidR="00DE2F5F" w:rsidRDefault="00DE2F5F" w:rsidP="006E6202">
      <w:pPr>
        <w:pStyle w:val="a5"/>
        <w:rPr>
          <w:rtl/>
        </w:rPr>
      </w:pPr>
      <w:r>
        <w:rPr>
          <w:rStyle w:val="a7"/>
        </w:rPr>
        <w:footnoteRef/>
      </w:r>
      <w:r>
        <w:rPr>
          <w:rtl/>
        </w:rPr>
        <w:t xml:space="preserve"> </w:t>
      </w:r>
      <w:r w:rsidRPr="00E47C0B">
        <w:rPr>
          <w:rFonts w:cs="Arial"/>
          <w:rtl/>
        </w:rPr>
        <w:t>תחת הנדוניא שהכניסה לו והיא כתובה בשטר הכתובה והוא יורש</w:t>
      </w:r>
      <w:r>
        <w:rPr>
          <w:rFonts w:hint="cs"/>
          <w:rtl/>
        </w:rPr>
        <w:t>, רש"י.</w:t>
      </w:r>
    </w:p>
  </w:footnote>
  <w:footnote w:id="230">
    <w:p w14:paraId="7EA4BA78" w14:textId="77777777" w:rsidR="00DE2F5F" w:rsidRDefault="00DE2F5F" w:rsidP="006E6202">
      <w:pPr>
        <w:pStyle w:val="a5"/>
        <w:rPr>
          <w:rtl/>
        </w:rPr>
      </w:pPr>
      <w:r>
        <w:rPr>
          <w:rStyle w:val="a7"/>
        </w:rPr>
        <w:footnoteRef/>
      </w:r>
      <w:r>
        <w:rPr>
          <w:rtl/>
        </w:rPr>
        <w:t xml:space="preserve"> </w:t>
      </w:r>
      <w:r w:rsidRPr="00577A45">
        <w:rPr>
          <w:rFonts w:cs="Arial"/>
          <w:rtl/>
        </w:rPr>
        <w:t>לא יהא בפירות כדי פרקונה והשתא כי אכלינהו ולא ידיע כמה הוה פריק לה מדיליה דהכי תיקון דאיהו אכיל בין רב בין מעט והוא פריק כל כמה דהוי</w:t>
      </w:r>
      <w:r>
        <w:rPr>
          <w:rFonts w:hint="cs"/>
          <w:rtl/>
        </w:rPr>
        <w:t>, רש"י.</w:t>
      </w:r>
    </w:p>
  </w:footnote>
  <w:footnote w:id="231">
    <w:p w14:paraId="109287BB" w14:textId="77777777" w:rsidR="00DE2F5F" w:rsidRDefault="00DE2F5F" w:rsidP="006E6202">
      <w:pPr>
        <w:pStyle w:val="a5"/>
      </w:pPr>
      <w:r>
        <w:rPr>
          <w:rStyle w:val="a7"/>
        </w:rPr>
        <w:footnoteRef/>
      </w:r>
      <w:r>
        <w:rPr>
          <w:rtl/>
        </w:rPr>
        <w:t xml:space="preserve"> </w:t>
      </w:r>
      <w:r w:rsidRPr="00577A45">
        <w:rPr>
          <w:rFonts w:cs="Arial"/>
          <w:rtl/>
        </w:rPr>
        <w:t>מזונות תחת פירות ופרקונה תחת מעשה ידיה ונפקא מינה דאי אמרה איני ניזונית ואיני עושה לא כלום קאמרה</w:t>
      </w:r>
      <w:r>
        <w:rPr>
          <w:rFonts w:cs="Arial" w:hint="cs"/>
          <w:rtl/>
        </w:rPr>
        <w:t>, רש"י.</w:t>
      </w:r>
    </w:p>
  </w:footnote>
  <w:footnote w:id="232">
    <w:p w14:paraId="606DC768" w14:textId="77777777" w:rsidR="00DE2F5F" w:rsidRDefault="00DE2F5F" w:rsidP="006E6202">
      <w:pPr>
        <w:pStyle w:val="a5"/>
      </w:pPr>
      <w:r>
        <w:rPr>
          <w:rStyle w:val="a7"/>
        </w:rPr>
        <w:footnoteRef/>
      </w:r>
      <w:r>
        <w:rPr>
          <w:rtl/>
        </w:rPr>
        <w:t xml:space="preserve"> </w:t>
      </w:r>
      <w:r w:rsidRPr="00577A45">
        <w:rPr>
          <w:rFonts w:cs="Arial"/>
          <w:rtl/>
        </w:rPr>
        <w:t>מזונות ומעשה ידיה מצוין</w:t>
      </w:r>
      <w:r>
        <w:rPr>
          <w:rFonts w:cs="Arial" w:hint="cs"/>
          <w:rtl/>
        </w:rPr>
        <w:t xml:space="preserve"> -</w:t>
      </w:r>
      <w:r w:rsidRPr="00577A45">
        <w:rPr>
          <w:rFonts w:cs="Arial"/>
          <w:rtl/>
        </w:rPr>
        <w:t xml:space="preserve"> שבויה ואשה שיש לה נכסי מלוג לא שכיחי</w:t>
      </w:r>
      <w:r>
        <w:rPr>
          <w:rFonts w:cs="Arial" w:hint="cs"/>
          <w:rtl/>
        </w:rPr>
        <w:t>, רש"י.</w:t>
      </w:r>
    </w:p>
  </w:footnote>
  <w:footnote w:id="233">
    <w:p w14:paraId="2D7E68BD" w14:textId="1C87B6DF" w:rsidR="00E61902" w:rsidRDefault="00E61902">
      <w:pPr>
        <w:pStyle w:val="a5"/>
      </w:pPr>
      <w:r>
        <w:rPr>
          <w:rStyle w:val="a7"/>
        </w:rPr>
        <w:footnoteRef/>
      </w:r>
      <w:r>
        <w:rPr>
          <w:rtl/>
        </w:rPr>
        <w:t xml:space="preserve"> </w:t>
      </w:r>
      <w:r w:rsidR="006425D9">
        <w:rPr>
          <w:rFonts w:hint="cs"/>
          <w:rtl/>
        </w:rPr>
        <w:t>סימן - נחה.</w:t>
      </w:r>
    </w:p>
  </w:footnote>
  <w:footnote w:id="234">
    <w:p w14:paraId="6E87BCA4" w14:textId="7E6A08FC" w:rsidR="00DE2F5F" w:rsidRDefault="00DE2F5F" w:rsidP="006E6202">
      <w:pPr>
        <w:pStyle w:val="a5"/>
        <w:rPr>
          <w:rtl/>
        </w:rPr>
      </w:pPr>
      <w:r>
        <w:rPr>
          <w:rStyle w:val="a7"/>
        </w:rPr>
        <w:footnoteRef/>
      </w:r>
      <w:r w:rsidRPr="00A931CA">
        <w:rPr>
          <w:rFonts w:cs="Arial"/>
          <w:rtl/>
        </w:rPr>
        <w:t xml:space="preserve"> מיהו כתב הר"ן ריש המדיר (כתובות לא: ד"ה באומר) דיוכל לומר צאי מעשה ידיך במזונותיך וישלים לה מה שאינו מספיק לה ממעשה ידיה</w:t>
      </w:r>
      <w:r>
        <w:rPr>
          <w:rFonts w:cs="Arial" w:hint="cs"/>
          <w:rtl/>
        </w:rPr>
        <w:t>.</w:t>
      </w:r>
      <w:r w:rsidRPr="00A931CA">
        <w:rPr>
          <w:rFonts w:cs="Arial"/>
          <w:rtl/>
        </w:rPr>
        <w:t xml:space="preserve"> וכן הוא בהגה</w:t>
      </w:r>
      <w:r>
        <w:rPr>
          <w:rFonts w:cs="Arial" w:hint="cs"/>
          <w:rtl/>
        </w:rPr>
        <w:t>"מ</w:t>
      </w:r>
      <w:r w:rsidRPr="00A931CA">
        <w:rPr>
          <w:rFonts w:cs="Arial"/>
          <w:rtl/>
        </w:rPr>
        <w:t xml:space="preserve"> פי"ב (אות ד) דאם מספיק לה מעשה ידיה יכול לומר לה צאי מעשה ידיך במזונותיך</w:t>
      </w:r>
      <w:r>
        <w:rPr>
          <w:rFonts w:cs="Arial" w:hint="cs"/>
          <w:rtl/>
        </w:rPr>
        <w:t>.</w:t>
      </w:r>
      <w:r w:rsidRPr="00A931CA">
        <w:rPr>
          <w:rFonts w:cs="Arial"/>
          <w:rtl/>
        </w:rPr>
        <w:t xml:space="preserve"> וכן הוא לקמן סימן פ"ד</w:t>
      </w:r>
      <w:r>
        <w:rPr>
          <w:rFonts w:cs="Arial" w:hint="cs"/>
          <w:rtl/>
        </w:rPr>
        <w:t>.</w:t>
      </w:r>
      <w:r w:rsidRPr="00A931CA">
        <w:rPr>
          <w:rFonts w:cs="Arial"/>
          <w:rtl/>
        </w:rPr>
        <w:t xml:space="preserve"> וע"ל סימן פ' מאלו הדינים</w:t>
      </w:r>
      <w:r>
        <w:rPr>
          <w:rFonts w:cs="Arial" w:hint="cs"/>
          <w:rtl/>
        </w:rPr>
        <w:t>, דרכ"מ (אות ב).</w:t>
      </w:r>
      <w:r>
        <w:rPr>
          <w:rFonts w:hint="cs"/>
          <w:rtl/>
        </w:rPr>
        <w:t xml:space="preserve"> </w:t>
      </w:r>
      <w:r w:rsidRPr="006E6202">
        <w:rPr>
          <w:rFonts w:hint="cs"/>
          <w:color w:val="00B0F0"/>
          <w:rtl/>
        </w:rPr>
        <w:t>(וכ"פ בהגה)</w:t>
      </w:r>
    </w:p>
  </w:footnote>
  <w:footnote w:id="235">
    <w:p w14:paraId="685CD3F1" w14:textId="77777777" w:rsidR="00DE2F5F" w:rsidRPr="00F4442D" w:rsidRDefault="00DE2F5F" w:rsidP="006E6202">
      <w:pPr>
        <w:pStyle w:val="a5"/>
      </w:pPr>
      <w:r>
        <w:rPr>
          <w:rStyle w:val="a7"/>
        </w:rPr>
        <w:footnoteRef/>
      </w:r>
      <w:r>
        <w:rPr>
          <w:rtl/>
        </w:rPr>
        <w:t xml:space="preserve"> </w:t>
      </w:r>
      <w:r>
        <w:rPr>
          <w:rFonts w:cs="Arial"/>
          <w:rtl/>
        </w:rPr>
        <w:t>תוס</w:t>
      </w:r>
      <w:r>
        <w:rPr>
          <w:rFonts w:cs="Arial" w:hint="cs"/>
          <w:rtl/>
        </w:rPr>
        <w:t>'</w:t>
      </w:r>
      <w:r>
        <w:rPr>
          <w:rFonts w:cs="Arial"/>
          <w:rtl/>
        </w:rPr>
        <w:t xml:space="preserve"> </w:t>
      </w:r>
      <w:r w:rsidRPr="0001322A">
        <w:rPr>
          <w:rFonts w:cs="Arial"/>
          <w:sz w:val="16"/>
          <w:szCs w:val="16"/>
          <w:rtl/>
        </w:rPr>
        <w:t>(שם ד"ה זימנין</w:t>
      </w:r>
      <w:r>
        <w:rPr>
          <w:rFonts w:cs="Arial" w:hint="cs"/>
          <w:sz w:val="16"/>
          <w:szCs w:val="16"/>
          <w:rtl/>
        </w:rPr>
        <w:t>, כ"כ הה"מ בשמם</w:t>
      </w:r>
      <w:r w:rsidRPr="0001322A">
        <w:rPr>
          <w:rFonts w:cs="Arial"/>
          <w:sz w:val="16"/>
          <w:szCs w:val="16"/>
          <w:rtl/>
        </w:rPr>
        <w:t xml:space="preserve">) </w:t>
      </w:r>
      <w:r>
        <w:rPr>
          <w:rFonts w:cs="Arial"/>
          <w:rtl/>
        </w:rPr>
        <w:t xml:space="preserve">רמב"ן </w:t>
      </w:r>
      <w:r w:rsidRPr="0001322A">
        <w:rPr>
          <w:rFonts w:cs="Arial"/>
          <w:sz w:val="16"/>
          <w:szCs w:val="16"/>
          <w:rtl/>
        </w:rPr>
        <w:t>(שם ד"ה הא</w:t>
      </w:r>
      <w:r>
        <w:rPr>
          <w:rFonts w:cs="Arial" w:hint="cs"/>
          <w:sz w:val="16"/>
          <w:szCs w:val="16"/>
          <w:rtl/>
        </w:rPr>
        <w:t>, כ"כ הה"מ בשמו</w:t>
      </w:r>
      <w:r w:rsidRPr="0001322A">
        <w:rPr>
          <w:rFonts w:cs="Arial"/>
          <w:sz w:val="16"/>
          <w:szCs w:val="16"/>
          <w:rtl/>
        </w:rPr>
        <w:t xml:space="preserve">) </w:t>
      </w:r>
      <w:r>
        <w:rPr>
          <w:rFonts w:cs="Arial"/>
          <w:rtl/>
        </w:rPr>
        <w:t xml:space="preserve">רשב"א </w:t>
      </w:r>
      <w:r w:rsidRPr="0001322A">
        <w:rPr>
          <w:rFonts w:cs="Arial"/>
          <w:sz w:val="16"/>
          <w:szCs w:val="16"/>
          <w:rtl/>
        </w:rPr>
        <w:t>(שם ד"ה תקנו</w:t>
      </w:r>
      <w:r>
        <w:rPr>
          <w:rFonts w:cs="Arial" w:hint="cs"/>
          <w:sz w:val="16"/>
          <w:szCs w:val="16"/>
          <w:rtl/>
        </w:rPr>
        <w:t>, כ"כ הה"מ בשמו</w:t>
      </w:r>
      <w:r w:rsidRPr="0001322A">
        <w:rPr>
          <w:rFonts w:cs="Arial"/>
          <w:sz w:val="16"/>
          <w:szCs w:val="16"/>
          <w:rtl/>
        </w:rPr>
        <w:t>)</w:t>
      </w:r>
      <w:r>
        <w:rPr>
          <w:rFonts w:cs="Arial" w:hint="cs"/>
          <w:rtl/>
        </w:rPr>
        <w:t xml:space="preserve"> הה"מ </w:t>
      </w:r>
      <w:r w:rsidRPr="00B52903">
        <w:rPr>
          <w:rFonts w:cs="Arial" w:hint="cs"/>
          <w:sz w:val="16"/>
          <w:szCs w:val="16"/>
          <w:rtl/>
        </w:rPr>
        <w:t>(</w:t>
      </w:r>
      <w:r w:rsidRPr="00B52903">
        <w:rPr>
          <w:rFonts w:cs="Arial"/>
          <w:sz w:val="16"/>
          <w:szCs w:val="16"/>
          <w:rtl/>
        </w:rPr>
        <w:t>פי"ב מאישות ה</w:t>
      </w:r>
      <w:r>
        <w:rPr>
          <w:rFonts w:cs="Arial" w:hint="cs"/>
          <w:sz w:val="16"/>
          <w:szCs w:val="16"/>
          <w:rtl/>
        </w:rPr>
        <w:t>"ד</w:t>
      </w:r>
      <w:r w:rsidRPr="00B52903">
        <w:rPr>
          <w:rFonts w:cs="Arial"/>
          <w:sz w:val="16"/>
          <w:szCs w:val="16"/>
          <w:rtl/>
        </w:rPr>
        <w:t>)</w:t>
      </w:r>
      <w:r>
        <w:rPr>
          <w:rFonts w:cs="Arial" w:hint="cs"/>
          <w:rtl/>
        </w:rPr>
        <w:t xml:space="preserve"> ור"ן</w:t>
      </w:r>
      <w:r w:rsidRPr="0001322A">
        <w:rPr>
          <w:rFonts w:cs="Arial" w:hint="cs"/>
          <w:sz w:val="16"/>
          <w:szCs w:val="16"/>
          <w:rtl/>
        </w:rPr>
        <w:t xml:space="preserve"> (יז. מדפה"ר סד"ה תחת פירות)</w:t>
      </w:r>
      <w:r>
        <w:rPr>
          <w:rFonts w:cs="Arial" w:hint="cs"/>
          <w:rtl/>
        </w:rPr>
        <w:t xml:space="preserve"> וכתב עוד הה"מ שכן נראה מדברי הרמב"ם.</w:t>
      </w:r>
    </w:p>
  </w:footnote>
  <w:footnote w:id="236">
    <w:p w14:paraId="111D7E02" w14:textId="77777777" w:rsidR="00DE2F5F" w:rsidRDefault="00DE2F5F" w:rsidP="0024756B">
      <w:pPr>
        <w:pStyle w:val="a5"/>
      </w:pPr>
      <w:r>
        <w:rPr>
          <w:rStyle w:val="a7"/>
        </w:rPr>
        <w:footnoteRef/>
      </w:r>
      <w:r>
        <w:rPr>
          <w:rtl/>
        </w:rPr>
        <w:t xml:space="preserve"> </w:t>
      </w:r>
      <w:r>
        <w:rPr>
          <w:rFonts w:cs="Arial"/>
          <w:rtl/>
        </w:rPr>
        <w:t>אפילו בשאר וכסות הוא כדעת רבי יהודה שאמר בדבר שבממון תנאו קיים כנזכר בברייתא שבפרק אף על פי (נו.)</w:t>
      </w:r>
      <w:r>
        <w:rPr>
          <w:rFonts w:cs="Arial" w:hint="cs"/>
          <w:rtl/>
        </w:rPr>
        <w:t>,</w:t>
      </w:r>
      <w:r>
        <w:rPr>
          <w:rFonts w:cs="Arial"/>
          <w:rtl/>
        </w:rPr>
        <w:t xml:space="preserve"> ואין צריך לומר בשאר דברים שהם מדבריהם</w:t>
      </w:r>
      <w:r>
        <w:rPr>
          <w:rFonts w:cs="Arial" w:hint="cs"/>
          <w:rtl/>
        </w:rPr>
        <w:t>, הה"מ (שם).</w:t>
      </w:r>
    </w:p>
  </w:footnote>
  <w:footnote w:id="237">
    <w:p w14:paraId="3377D14B" w14:textId="77777777" w:rsidR="00DE2F5F" w:rsidRDefault="00DE2F5F" w:rsidP="0024756B">
      <w:pPr>
        <w:pStyle w:val="a5"/>
      </w:pPr>
      <w:r>
        <w:rPr>
          <w:rStyle w:val="a7"/>
        </w:rPr>
        <w:footnoteRef/>
      </w:r>
      <w:r>
        <w:rPr>
          <w:rtl/>
        </w:rPr>
        <w:t xml:space="preserve"> </w:t>
      </w:r>
      <w:r>
        <w:rPr>
          <w:rFonts w:cs="Arial"/>
          <w:rtl/>
        </w:rPr>
        <w:t>ואפילו רבי יהודה מודה בו</w:t>
      </w:r>
      <w:r>
        <w:rPr>
          <w:rFonts w:cs="Arial" w:hint="cs"/>
          <w:rtl/>
        </w:rPr>
        <w:t>, הה"מ (שם).</w:t>
      </w:r>
      <w:r w:rsidRPr="009E49FF">
        <w:rPr>
          <w:rFonts w:cs="Arial"/>
          <w:rtl/>
        </w:rPr>
        <w:t xml:space="preserve"> </w:t>
      </w:r>
      <w:r>
        <w:rPr>
          <w:rFonts w:cs="Arial"/>
          <w:rtl/>
        </w:rPr>
        <w:t xml:space="preserve">וכתב מהרי"ק </w:t>
      </w:r>
      <w:r>
        <w:rPr>
          <w:rFonts w:cs="Arial" w:hint="cs"/>
          <w:rtl/>
        </w:rPr>
        <w:t>(</w:t>
      </w:r>
      <w:r>
        <w:rPr>
          <w:rFonts w:cs="Arial"/>
          <w:rtl/>
        </w:rPr>
        <w:t>שורש י' ענף ב</w:t>
      </w:r>
      <w:r>
        <w:rPr>
          <w:rFonts w:cs="Arial" w:hint="cs"/>
          <w:rtl/>
        </w:rPr>
        <w:t>-</w:t>
      </w:r>
      <w:r>
        <w:rPr>
          <w:rFonts w:cs="Arial"/>
          <w:rtl/>
        </w:rPr>
        <w:t>ג) דלדעת רש"י (ב"מ נא</w:t>
      </w:r>
      <w:r>
        <w:rPr>
          <w:rFonts w:cs="Arial" w:hint="cs"/>
          <w:rtl/>
        </w:rPr>
        <w:t xml:space="preserve"> סוע"א</w:t>
      </w:r>
      <w:r>
        <w:rPr>
          <w:rFonts w:cs="Arial"/>
          <w:rtl/>
        </w:rPr>
        <w:t>) והתוספות (כתובות נו: ד"ה ושמעינן) עונה לא ניתן למחילה ולדעת ר"ת אם מחלה מחול</w:t>
      </w:r>
      <w:r>
        <w:rPr>
          <w:rFonts w:cs="Arial" w:hint="cs"/>
          <w:rtl/>
        </w:rPr>
        <w:t>.</w:t>
      </w:r>
    </w:p>
  </w:footnote>
  <w:footnote w:id="238">
    <w:p w14:paraId="16A4F76D" w14:textId="77777777" w:rsidR="00DE2F5F" w:rsidRDefault="00DE2F5F" w:rsidP="0024756B">
      <w:pPr>
        <w:pStyle w:val="a5"/>
      </w:pPr>
      <w:r>
        <w:rPr>
          <w:rStyle w:val="a7"/>
        </w:rPr>
        <w:footnoteRef/>
      </w:r>
      <w:r>
        <w:rPr>
          <w:rtl/>
        </w:rPr>
        <w:t xml:space="preserve"> </w:t>
      </w:r>
      <w:r>
        <w:rPr>
          <w:rFonts w:cs="Arial"/>
          <w:rtl/>
        </w:rPr>
        <w:t>יצא לו לרבינו ממה ששנינו בפ</w:t>
      </w:r>
      <w:r>
        <w:rPr>
          <w:rFonts w:cs="Arial" w:hint="cs"/>
          <w:rtl/>
        </w:rPr>
        <w:t>'</w:t>
      </w:r>
      <w:r>
        <w:rPr>
          <w:rFonts w:cs="Arial"/>
          <w:rtl/>
        </w:rPr>
        <w:t xml:space="preserve"> אף על פי (נד:) ר</w:t>
      </w:r>
      <w:r>
        <w:rPr>
          <w:rFonts w:cs="Arial" w:hint="cs"/>
          <w:rtl/>
        </w:rPr>
        <w:t>"</w:t>
      </w:r>
      <w:r>
        <w:rPr>
          <w:rFonts w:cs="Arial"/>
          <w:rtl/>
        </w:rPr>
        <w:t xml:space="preserve">מ אומר כל הפוחת לבתולה מק"ק ולאלמנה </w:t>
      </w:r>
      <w:r>
        <w:rPr>
          <w:rFonts w:cs="Arial" w:hint="cs"/>
          <w:rtl/>
        </w:rPr>
        <w:t>ממנה</w:t>
      </w:r>
      <w:r>
        <w:rPr>
          <w:rFonts w:cs="Arial"/>
          <w:rtl/>
        </w:rPr>
        <w:t xml:space="preserve"> הרי זו בעילת זנות ואמרו בגמרא (נו:) כל הפוחת אפילו בתנאה אלמא קסבר תנאו בטל ואית לה ק"ק וכיון דאמר לה לא אית לך אלא ק' לא סמכה דעתה והויא לה בעילת זנות</w:t>
      </w:r>
      <w:r>
        <w:rPr>
          <w:rFonts w:cs="Arial" w:hint="cs"/>
          <w:rtl/>
        </w:rPr>
        <w:t>,</w:t>
      </w:r>
      <w:r>
        <w:rPr>
          <w:rFonts w:cs="Arial"/>
          <w:rtl/>
        </w:rPr>
        <w:t xml:space="preserve"> וסובר רבינו דכיון דקיי</w:t>
      </w:r>
      <w:r>
        <w:rPr>
          <w:rFonts w:cs="Arial" w:hint="cs"/>
          <w:rtl/>
        </w:rPr>
        <w:t>"</w:t>
      </w:r>
      <w:r>
        <w:rPr>
          <w:rFonts w:cs="Arial"/>
          <w:rtl/>
        </w:rPr>
        <w:t>ל (נז.) הלכה כרבי מאיר בגזירותיו אע</w:t>
      </w:r>
      <w:r>
        <w:rPr>
          <w:rFonts w:cs="Arial" w:hint="cs"/>
          <w:rtl/>
        </w:rPr>
        <w:t>"</w:t>
      </w:r>
      <w:r>
        <w:rPr>
          <w:rFonts w:cs="Arial"/>
          <w:rtl/>
        </w:rPr>
        <w:t xml:space="preserve">ג דר"מ אמר דטעמא דתנאו בטל משום דכתובה דאורייתא כדאיתא התם ואנן קיי"ל דכתובה דרבנן </w:t>
      </w:r>
      <w:r>
        <w:rPr>
          <w:rFonts w:cs="Arial" w:hint="cs"/>
          <w:rtl/>
        </w:rPr>
        <w:t xml:space="preserve">- </w:t>
      </w:r>
      <w:r>
        <w:rPr>
          <w:rFonts w:cs="Arial"/>
          <w:rtl/>
        </w:rPr>
        <w:t>מכל מקום הלכתא כוותיה ולא מטעמיה</w:t>
      </w:r>
      <w:r>
        <w:rPr>
          <w:rFonts w:cs="Arial" w:hint="cs"/>
          <w:rtl/>
        </w:rPr>
        <w:t>,</w:t>
      </w:r>
      <w:r>
        <w:rPr>
          <w:rFonts w:cs="Arial"/>
          <w:rtl/>
        </w:rPr>
        <w:t xml:space="preserve"> אלא אע</w:t>
      </w:r>
      <w:r>
        <w:rPr>
          <w:rFonts w:cs="Arial" w:hint="cs"/>
          <w:rtl/>
        </w:rPr>
        <w:t>"</w:t>
      </w:r>
      <w:r>
        <w:rPr>
          <w:rFonts w:cs="Arial"/>
          <w:rtl/>
        </w:rPr>
        <w:t>ג דכתובה דרבנן עשו חיזוק לדבריהם כשל תורה ותנאו בטל כל זמן שרוצה לקיימה</w:t>
      </w:r>
      <w:r>
        <w:rPr>
          <w:rFonts w:cs="Arial" w:hint="cs"/>
          <w:rtl/>
        </w:rPr>
        <w:t>,</w:t>
      </w:r>
      <w:r>
        <w:rPr>
          <w:rFonts w:cs="Arial"/>
          <w:rtl/>
        </w:rPr>
        <w:t xml:space="preserve"> ואפ"ה בעילתו בעילת זנות משום דלא סמכה דעתה</w:t>
      </w:r>
      <w:r>
        <w:rPr>
          <w:rFonts w:cs="Arial" w:hint="cs"/>
          <w:rtl/>
        </w:rPr>
        <w:t>.</w:t>
      </w:r>
      <w:r>
        <w:rPr>
          <w:rFonts w:cs="Arial"/>
          <w:rtl/>
        </w:rPr>
        <w:t xml:space="preserve"> אבל אם לא רצה לקיימה </w:t>
      </w:r>
      <w:r>
        <w:rPr>
          <w:rFonts w:cs="Arial" w:hint="cs"/>
          <w:rtl/>
        </w:rPr>
        <w:t xml:space="preserve">- </w:t>
      </w:r>
      <w:r>
        <w:rPr>
          <w:rFonts w:cs="Arial"/>
          <w:rtl/>
        </w:rPr>
        <w:t>תנאו קיים כמו שיתבאר בכמה מקומות שאם מחלה האשה כתובתה שמחילתה מחילה</w:t>
      </w:r>
      <w:r>
        <w:rPr>
          <w:rFonts w:cs="Arial" w:hint="cs"/>
          <w:rtl/>
        </w:rPr>
        <w:t>.</w:t>
      </w:r>
      <w:r>
        <w:rPr>
          <w:rFonts w:cs="Arial"/>
          <w:rtl/>
        </w:rPr>
        <w:t xml:space="preserve"> וכ</w:t>
      </w:r>
      <w:r>
        <w:rPr>
          <w:rFonts w:cs="Arial" w:hint="cs"/>
          <w:rtl/>
        </w:rPr>
        <w:t>"</w:t>
      </w:r>
      <w:r>
        <w:rPr>
          <w:rFonts w:cs="Arial"/>
          <w:rtl/>
        </w:rPr>
        <w:t>כ הרמב"ן (נז. ד"ה הא) לדעת רבינו</w:t>
      </w:r>
      <w:r>
        <w:rPr>
          <w:rFonts w:cs="Arial" w:hint="cs"/>
          <w:rtl/>
        </w:rPr>
        <w:t>.</w:t>
      </w:r>
      <w:r>
        <w:rPr>
          <w:rFonts w:cs="Arial"/>
          <w:rtl/>
        </w:rPr>
        <w:t xml:space="preserve"> ויש מי שסובר דלא קיי"ל כר' מאיר אלא שבעילתו בעילת זנות כשנפחת עיקר כתובה וכל שכן בשאין לה כלל</w:t>
      </w:r>
      <w:r>
        <w:rPr>
          <w:rFonts w:cs="Arial" w:hint="cs"/>
          <w:rtl/>
        </w:rPr>
        <w:t>,</w:t>
      </w:r>
      <w:r>
        <w:rPr>
          <w:rFonts w:cs="Arial"/>
          <w:rtl/>
        </w:rPr>
        <w:t xml:space="preserve"> אבל מכל מקום תנאו קיים ואפילו אם רצה לקיימה אע</w:t>
      </w:r>
      <w:r>
        <w:rPr>
          <w:rFonts w:cs="Arial" w:hint="cs"/>
          <w:rtl/>
        </w:rPr>
        <w:t>"</w:t>
      </w:r>
      <w:r>
        <w:rPr>
          <w:rFonts w:cs="Arial"/>
          <w:rtl/>
        </w:rPr>
        <w:t>פ שאינו רשאי לשהותה בלא כתובה כיון שרוצה לקיימה</w:t>
      </w:r>
      <w:r>
        <w:rPr>
          <w:rFonts w:cs="Arial" w:hint="cs"/>
          <w:rtl/>
        </w:rPr>
        <w:t>, הה"מ</w:t>
      </w:r>
      <w:r w:rsidRPr="00284CDB">
        <w:rPr>
          <w:rFonts w:cs="Arial" w:hint="cs"/>
          <w:sz w:val="16"/>
          <w:szCs w:val="16"/>
          <w:rtl/>
        </w:rPr>
        <w:t xml:space="preserve"> (שם)</w:t>
      </w:r>
      <w:r>
        <w:rPr>
          <w:rFonts w:cs="Arial" w:hint="cs"/>
          <w:rtl/>
        </w:rPr>
        <w:t>.</w:t>
      </w:r>
    </w:p>
  </w:footnote>
  <w:footnote w:id="239">
    <w:p w14:paraId="7CACB8A1" w14:textId="08157A46" w:rsidR="00C24AFC" w:rsidRDefault="00C24AFC">
      <w:pPr>
        <w:pStyle w:val="a5"/>
      </w:pPr>
      <w:r>
        <w:rPr>
          <w:rStyle w:val="a7"/>
        </w:rPr>
        <w:footnoteRef/>
      </w:r>
      <w:r>
        <w:rPr>
          <w:rtl/>
        </w:rPr>
        <w:t xml:space="preserve"> </w:t>
      </w:r>
      <w:r w:rsidRPr="00F65A00">
        <w:rPr>
          <w:rFonts w:cs="Arial"/>
          <w:rtl/>
        </w:rPr>
        <w:t>א</w:t>
      </w:r>
      <w:r>
        <w:rPr>
          <w:rFonts w:cs="Arial" w:hint="cs"/>
          <w:rtl/>
        </w:rPr>
        <w:t>מר אברהם</w:t>
      </w:r>
      <w:r w:rsidRPr="00F65A00">
        <w:rPr>
          <w:rFonts w:cs="Arial"/>
          <w:rtl/>
        </w:rPr>
        <w:t xml:space="preserve"> חסרון דעת אני רואה בכאן ומה צורך לחקת משפט והיאך אדם יכול להתנות על דבר שלא בא לעולם ואיך יאמר לאביו או לאחד ממורישיו דין ודברים אין לי בנכסים אחר מיתתכם ואין אדם מקנה מה שאין לו בו שום זכות</w:t>
      </w:r>
      <w:r>
        <w:rPr>
          <w:rFonts w:cs="Arial" w:hint="cs"/>
          <w:rtl/>
        </w:rPr>
        <w:t xml:space="preserve">, </w:t>
      </w:r>
      <w:r w:rsidRPr="00F91D4F">
        <w:rPr>
          <w:rFonts w:cs="Arial" w:hint="cs"/>
          <w:b/>
          <w:bCs/>
          <w:rtl/>
        </w:rPr>
        <w:t>ראב"ד</w:t>
      </w:r>
      <w:r>
        <w:rPr>
          <w:rFonts w:cs="Arial" w:hint="cs"/>
          <w:rtl/>
        </w:rPr>
        <w:t xml:space="preserve"> (שם)</w:t>
      </w:r>
      <w:r w:rsidRPr="00F65A00">
        <w:rPr>
          <w:rFonts w:cs="Arial"/>
          <w:rtl/>
        </w:rPr>
        <w:t>.</w:t>
      </w:r>
      <w:r>
        <w:rPr>
          <w:rFonts w:cs="Arial" w:hint="cs"/>
          <w:rtl/>
        </w:rPr>
        <w:t xml:space="preserve"> </w:t>
      </w:r>
      <w:r w:rsidR="0066002F">
        <w:rPr>
          <w:rFonts w:cs="Arial" w:hint="cs"/>
          <w:rtl/>
        </w:rPr>
        <w:t xml:space="preserve">    </w:t>
      </w:r>
      <w:r w:rsidR="00344BC0" w:rsidRPr="00344BC0">
        <w:rPr>
          <w:rFonts w:cs="Arial"/>
          <w:rtl/>
        </w:rPr>
        <w:t>ואני סבור שרבינו הוצרך לזה מפני שהאשה שהיא מורישה אותו התנית עמו כן שלא יירשנה והיא תוריש אחר ואילו היתה הירושה כשאר הדברים שבממון היה התנאי קיים שיזכה בירושה מי שתורישנו היא וכן היה בדין בשאר ירושות אילו היו כשאר תנאי ממון אבל מתוך שענין ירושה הוא חקת משפט אי אפשר להפקיעו ולומר איש פלוני יירשני במקום שיש בן, וירושת הבעל אף על פי שהיא מדבריהם לדעתו ז"ל חכמים עשו חיזוק לדבריהם כשל תורה והוא שנשאת כמו שיתבאר פרק כ"ג ולפי שכל המורישין חוץ מן האשה יכולין לתת נכסיהם במתנה לכל מי שירצו שלא ברצון היורש ואינן יכולין להנחיל בתורת ירושה איש נכרי אפילו ברצון יורש כתב רבינו שהוא מפני שענין הירושה הוא חקת משפט. ואל יקשה עליך מה שאמרו פרק יש נוחלין (ב"ב דף ק"ל) גבי האומר איש פלוני יירשני וכו' שהטעם (שם קכ"ו) משום דלא ידע יורש דניחול דודאי אפילו ידע ומחיל אין בדבריו כלום וכן כתבו קצת המפרשים ז"ל</w:t>
      </w:r>
      <w:r w:rsidR="00344BC0">
        <w:rPr>
          <w:rFonts w:cs="Arial" w:hint="cs"/>
          <w:rtl/>
        </w:rPr>
        <w:t xml:space="preserve">, </w:t>
      </w:r>
      <w:r w:rsidR="00344BC0" w:rsidRPr="00344BC0">
        <w:rPr>
          <w:rFonts w:cs="Arial" w:hint="cs"/>
          <w:b/>
          <w:bCs/>
          <w:rtl/>
        </w:rPr>
        <w:t>הה"מ</w:t>
      </w:r>
      <w:r w:rsidR="00344BC0">
        <w:rPr>
          <w:rFonts w:cs="Arial" w:hint="cs"/>
          <w:rtl/>
        </w:rPr>
        <w:t xml:space="preserve"> (שם ה"ו).</w:t>
      </w:r>
      <w:r>
        <w:rPr>
          <w:rFonts w:cs="Arial" w:hint="cs"/>
          <w:rtl/>
        </w:rPr>
        <w:t xml:space="preserve"> ויתבאר עוד עניין זה בסעיף הבא.</w:t>
      </w:r>
    </w:p>
  </w:footnote>
  <w:footnote w:id="240">
    <w:p w14:paraId="32BBD8C5" w14:textId="77777777" w:rsidR="00DE2F5F" w:rsidRDefault="00DE2F5F" w:rsidP="0024756B">
      <w:pPr>
        <w:pStyle w:val="a5"/>
      </w:pPr>
      <w:r>
        <w:rPr>
          <w:rStyle w:val="a7"/>
        </w:rPr>
        <w:footnoteRef/>
      </w:r>
      <w:r>
        <w:rPr>
          <w:rtl/>
        </w:rPr>
        <w:t xml:space="preserve"> </w:t>
      </w:r>
      <w:r w:rsidRPr="00133B53">
        <w:rPr>
          <w:rFonts w:cs="Arial"/>
          <w:rtl/>
        </w:rPr>
        <w:t>ולא תני כותב דאשמועינן דבאמירה בעלמא נמי סליק נפשיה בלא שום קנין וכתיבה</w:t>
      </w:r>
      <w:r>
        <w:rPr>
          <w:rFonts w:cs="Arial" w:hint="cs"/>
          <w:rtl/>
        </w:rPr>
        <w:t>, רש"י.</w:t>
      </w:r>
    </w:p>
  </w:footnote>
  <w:footnote w:id="241">
    <w:p w14:paraId="6B77DD19" w14:textId="77777777" w:rsidR="00DE2F5F" w:rsidRDefault="00DE2F5F" w:rsidP="0024756B">
      <w:pPr>
        <w:pStyle w:val="a5"/>
        <w:rPr>
          <w:rtl/>
        </w:rPr>
      </w:pPr>
      <w:r>
        <w:rPr>
          <w:rStyle w:val="a7"/>
        </w:rPr>
        <w:footnoteRef/>
      </w:r>
      <w:r>
        <w:rPr>
          <w:rtl/>
        </w:rPr>
        <w:t xml:space="preserve"> </w:t>
      </w:r>
      <w:r w:rsidRPr="00133B53">
        <w:rPr>
          <w:rFonts w:cs="Arial"/>
          <w:rtl/>
        </w:rPr>
        <w:t>וכל שכן אמירה</w:t>
      </w:r>
      <w:r>
        <w:rPr>
          <w:rFonts w:hint="cs"/>
          <w:rtl/>
        </w:rPr>
        <w:t>, רש"י.</w:t>
      </w:r>
    </w:p>
  </w:footnote>
  <w:footnote w:id="242">
    <w:p w14:paraId="7069F89F" w14:textId="77777777" w:rsidR="00DE2F5F" w:rsidRDefault="00DE2F5F" w:rsidP="0024756B">
      <w:pPr>
        <w:pStyle w:val="a5"/>
      </w:pPr>
      <w:r>
        <w:rPr>
          <w:rStyle w:val="a7"/>
        </w:rPr>
        <w:footnoteRef/>
      </w:r>
      <w:r>
        <w:rPr>
          <w:rtl/>
        </w:rPr>
        <w:t xml:space="preserve"> </w:t>
      </w:r>
      <w:r w:rsidRPr="00133B53">
        <w:rPr>
          <w:rFonts w:cs="Arial"/>
          <w:rtl/>
        </w:rPr>
        <w:t>כגון שדה של שותפין ואמר האחד לחברו אחד מן הלשונות הללו בין בכתיבה בין באמירה</w:t>
      </w:r>
      <w:r>
        <w:rPr>
          <w:rFonts w:cs="Arial" w:hint="cs"/>
          <w:rtl/>
        </w:rPr>
        <w:t>, רש"י.</w:t>
      </w:r>
    </w:p>
  </w:footnote>
  <w:footnote w:id="243">
    <w:p w14:paraId="2C73E55F" w14:textId="77777777" w:rsidR="00DE2F5F" w:rsidRDefault="00DE2F5F" w:rsidP="0024756B">
      <w:pPr>
        <w:pStyle w:val="a5"/>
      </w:pPr>
      <w:r>
        <w:rPr>
          <w:rStyle w:val="a7"/>
        </w:rPr>
        <w:footnoteRef/>
      </w:r>
      <w:r>
        <w:rPr>
          <w:rtl/>
        </w:rPr>
        <w:t xml:space="preserve"> </w:t>
      </w:r>
      <w:r w:rsidRPr="00133B53">
        <w:rPr>
          <w:rFonts w:cs="Arial"/>
          <w:rtl/>
        </w:rPr>
        <w:t>דאין כאן לשון מתנה</w:t>
      </w:r>
      <w:r>
        <w:rPr>
          <w:rFonts w:cs="Arial" w:hint="cs"/>
          <w:rtl/>
        </w:rPr>
        <w:t>, רש"י.</w:t>
      </w:r>
    </w:p>
  </w:footnote>
  <w:footnote w:id="244">
    <w:p w14:paraId="75333FDB" w14:textId="77777777" w:rsidR="00DE2F5F" w:rsidRDefault="00DE2F5F" w:rsidP="0024756B">
      <w:pPr>
        <w:pStyle w:val="a5"/>
        <w:rPr>
          <w:rtl/>
        </w:rPr>
      </w:pPr>
      <w:r>
        <w:rPr>
          <w:rStyle w:val="a7"/>
        </w:rPr>
        <w:footnoteRef/>
      </w:r>
      <w:r>
        <w:rPr>
          <w:rtl/>
        </w:rPr>
        <w:t xml:space="preserve"> </w:t>
      </w:r>
      <w:r w:rsidRPr="00133B53">
        <w:rPr>
          <w:rFonts w:cs="Arial"/>
          <w:rtl/>
        </w:rPr>
        <w:t>ודאי מי שהקרקע שלו ובא ליתנו לחבירו צריך לשון מתנה ומתניתין בכותב לה עד שלא זכה בנכסים ומתנה עמה שלא יזכה בהן לכשישאנה ואין צריך לשון מתנה שהרי אין לו עכשיו רשות בהן</w:t>
      </w:r>
      <w:r>
        <w:rPr>
          <w:rFonts w:hint="cs"/>
          <w:rtl/>
        </w:rPr>
        <w:t>, רש"י.</w:t>
      </w:r>
    </w:p>
  </w:footnote>
  <w:footnote w:id="245">
    <w:p w14:paraId="4A25A64D" w14:textId="77777777" w:rsidR="00DE2F5F" w:rsidRDefault="00DE2F5F" w:rsidP="0024756B">
      <w:pPr>
        <w:pStyle w:val="a5"/>
      </w:pPr>
      <w:r>
        <w:rPr>
          <w:rStyle w:val="a7"/>
        </w:rPr>
        <w:footnoteRef/>
      </w:r>
      <w:r>
        <w:rPr>
          <w:rtl/>
        </w:rPr>
        <w:t xml:space="preserve"> </w:t>
      </w:r>
      <w:r w:rsidRPr="00133B53">
        <w:rPr>
          <w:rFonts w:cs="Arial"/>
          <w:rtl/>
        </w:rPr>
        <w:t xml:space="preserve">שאינה ירושת אבותיו אלא ע"י מעשיו תבא לו כגון נחלת אשתו הבאה לו ע"י נשואין שלו דהואיל ומשום תקנתא דידיה תקון רבנן והוא בא למחול עליה </w:t>
      </w:r>
      <w:r>
        <w:rPr>
          <w:rFonts w:cs="Arial" w:hint="cs"/>
          <w:rtl/>
        </w:rPr>
        <w:t xml:space="preserve">- </w:t>
      </w:r>
      <w:r w:rsidRPr="00133B53">
        <w:rPr>
          <w:rFonts w:cs="Arial"/>
          <w:rtl/>
        </w:rPr>
        <w:t>מוחל</w:t>
      </w:r>
      <w:r>
        <w:rPr>
          <w:rFonts w:cs="Arial" w:hint="cs"/>
          <w:rtl/>
        </w:rPr>
        <w:t>,</w:t>
      </w:r>
      <w:r w:rsidRPr="00133B53">
        <w:rPr>
          <w:rFonts w:cs="Arial"/>
          <w:rtl/>
        </w:rPr>
        <w:t xml:space="preserve"> וכדרב הונא</w:t>
      </w:r>
      <w:r>
        <w:rPr>
          <w:rFonts w:cs="Arial" w:hint="cs"/>
          <w:rtl/>
        </w:rPr>
        <w:t>, רש"י.</w:t>
      </w:r>
      <w:r w:rsidRPr="00DA7271">
        <w:rPr>
          <w:rFonts w:cs="Arial"/>
          <w:rtl/>
        </w:rPr>
        <w:t xml:space="preserve"> </w:t>
      </w:r>
      <w:r>
        <w:rPr>
          <w:rFonts w:cs="Arial"/>
          <w:rtl/>
        </w:rPr>
        <w:t>וכ</w:t>
      </w:r>
      <w:r>
        <w:rPr>
          <w:rFonts w:cs="Arial" w:hint="cs"/>
          <w:rtl/>
        </w:rPr>
        <w:t>'</w:t>
      </w:r>
      <w:r>
        <w:rPr>
          <w:rFonts w:cs="Arial"/>
          <w:rtl/>
        </w:rPr>
        <w:t xml:space="preserve"> הר"ן </w:t>
      </w:r>
      <w:r w:rsidRPr="00DA7271">
        <w:rPr>
          <w:rFonts w:cs="Arial"/>
          <w:sz w:val="16"/>
          <w:szCs w:val="16"/>
          <w:rtl/>
        </w:rPr>
        <w:t xml:space="preserve">(מא. ד"ה בכותב) </w:t>
      </w:r>
      <w:r>
        <w:rPr>
          <w:rFonts w:cs="Arial"/>
          <w:rtl/>
        </w:rPr>
        <w:t>הבאה לו ממקום אחר</w:t>
      </w:r>
      <w:r>
        <w:rPr>
          <w:rFonts w:cs="Arial" w:hint="cs"/>
          <w:rtl/>
        </w:rPr>
        <w:t>,</w:t>
      </w:r>
      <w:r>
        <w:rPr>
          <w:rFonts w:cs="Arial"/>
          <w:rtl/>
        </w:rPr>
        <w:t xml:space="preserve"> כלומר שעכשיו בשעה שמסתלק ממנה אינו ראוי ליורשה</w:t>
      </w:r>
      <w:r>
        <w:rPr>
          <w:rFonts w:cs="Arial" w:hint="cs"/>
          <w:rtl/>
        </w:rPr>
        <w:t>.</w:t>
      </w:r>
      <w:r>
        <w:rPr>
          <w:rFonts w:cs="Arial"/>
          <w:rtl/>
        </w:rPr>
        <w:t xml:space="preserve"> בירושת הבעל קודם נישואין אדם מתנה עליה שלא יירשנה</w:t>
      </w:r>
      <w:r>
        <w:rPr>
          <w:rFonts w:cs="Arial" w:hint="cs"/>
          <w:rtl/>
        </w:rPr>
        <w:t>,</w:t>
      </w:r>
      <w:r>
        <w:rPr>
          <w:rFonts w:cs="Arial"/>
          <w:rtl/>
        </w:rPr>
        <w:t xml:space="preserve"> ולאפוקי ירושת אביו דכיון שראוי ליורשו בכל שעה הרי הוא כאילו זכה בה לענין דלא סגי בסילוק אלא או במכר או במתנה</w:t>
      </w:r>
      <w:r>
        <w:rPr>
          <w:rFonts w:cs="Arial" w:hint="cs"/>
          <w:rtl/>
        </w:rPr>
        <w:t>,</w:t>
      </w:r>
      <w:r>
        <w:rPr>
          <w:rFonts w:cs="Arial"/>
          <w:rtl/>
        </w:rPr>
        <w:t xml:space="preserve"> ואי אפשר שהרי לא זכה בה לגמרי ולא באה ברשותו שיוכל להקנותה</w:t>
      </w:r>
      <w:r>
        <w:rPr>
          <w:rFonts w:cs="Arial" w:hint="cs"/>
          <w:rtl/>
        </w:rPr>
        <w:t>.</w:t>
      </w:r>
      <w:r>
        <w:rPr>
          <w:rFonts w:cs="Arial"/>
          <w:rtl/>
        </w:rPr>
        <w:t xml:space="preserve"> וירושת אשתו נמי לאחר שנישאת</w:t>
      </w:r>
      <w:r>
        <w:rPr>
          <w:rFonts w:cs="Arial" w:hint="cs"/>
          <w:rtl/>
        </w:rPr>
        <w:t xml:space="preserve"> -</w:t>
      </w:r>
      <w:r>
        <w:rPr>
          <w:rFonts w:cs="Arial"/>
          <w:rtl/>
        </w:rPr>
        <w:t xml:space="preserve"> לירושת אביו דמיא</w:t>
      </w:r>
      <w:r>
        <w:rPr>
          <w:rFonts w:cs="Arial" w:hint="cs"/>
          <w:rtl/>
        </w:rPr>
        <w:t>,</w:t>
      </w:r>
      <w:r>
        <w:rPr>
          <w:rFonts w:cs="Arial"/>
          <w:rtl/>
        </w:rPr>
        <w:t xml:space="preserve"> הילכך לא משכחת לה אלא בכותב לה ועודה ארוסה</w:t>
      </w:r>
      <w:r>
        <w:rPr>
          <w:rFonts w:cs="Arial" w:hint="cs"/>
          <w:rtl/>
        </w:rPr>
        <w:t>.</w:t>
      </w:r>
      <w:r>
        <w:rPr>
          <w:rFonts w:cs="Arial"/>
          <w:rtl/>
        </w:rPr>
        <w:t xml:space="preserve"> ודוקא בכותב לה ועודה ארוסה דשייך בה קצת</w:t>
      </w:r>
      <w:r>
        <w:rPr>
          <w:rFonts w:cs="Arial" w:hint="cs"/>
          <w:rtl/>
        </w:rPr>
        <w:t>,</w:t>
      </w:r>
      <w:r>
        <w:rPr>
          <w:rFonts w:cs="Arial"/>
          <w:rtl/>
        </w:rPr>
        <w:t xml:space="preserve"> אבל קודם לכן כיון שאין לו שייכות בנכסים כלל סילוקו לאו כלום הוא.</w:t>
      </w:r>
    </w:p>
  </w:footnote>
  <w:footnote w:id="246">
    <w:p w14:paraId="2169A7A0" w14:textId="77777777" w:rsidR="00DE2F5F" w:rsidRDefault="00DE2F5F" w:rsidP="0024756B">
      <w:pPr>
        <w:pStyle w:val="a5"/>
      </w:pPr>
      <w:r>
        <w:rPr>
          <w:rStyle w:val="a7"/>
        </w:rPr>
        <w:footnoteRef/>
      </w:r>
      <w:r>
        <w:rPr>
          <w:rtl/>
        </w:rPr>
        <w:t xml:space="preserve"> </w:t>
      </w:r>
      <w:r w:rsidRPr="00F93A12">
        <w:rPr>
          <w:rFonts w:cs="Arial"/>
          <w:rtl/>
        </w:rPr>
        <w:t>כלומר דלאחר מיתתה הוא יורשה וזהו כמי שסילק ידו מנכסי אביו שאם מת אביו בנו יורשו מפני שבחיי אביו לא היה לו כלום בנכסים כך הבעל אין לו בגוף נכסי אשתו בחייה כלום ודבר שלא בא לידו הוא לפיכך התנאי בטל ויורשה לאחר מיתה</w:t>
      </w:r>
      <w:r>
        <w:rPr>
          <w:rFonts w:cs="Arial" w:hint="cs"/>
          <w:rtl/>
        </w:rPr>
        <w:t>, רא"ש</w:t>
      </w:r>
      <w:r w:rsidRPr="00DB4558">
        <w:rPr>
          <w:rFonts w:cs="Arial" w:hint="cs"/>
          <w:rtl/>
        </w:rPr>
        <w:t xml:space="preserve"> (סי' א)</w:t>
      </w:r>
      <w:r>
        <w:rPr>
          <w:rFonts w:cs="Arial" w:hint="cs"/>
          <w:rtl/>
        </w:rPr>
        <w:t>.</w:t>
      </w:r>
    </w:p>
  </w:footnote>
  <w:footnote w:id="247">
    <w:p w14:paraId="6D505BD2" w14:textId="77777777" w:rsidR="00DE2F5F" w:rsidRDefault="00DE2F5F" w:rsidP="0024756B">
      <w:pPr>
        <w:pStyle w:val="a5"/>
        <w:rPr>
          <w:rtl/>
        </w:rPr>
      </w:pPr>
      <w:r>
        <w:rPr>
          <w:rStyle w:val="a7"/>
        </w:rPr>
        <w:footnoteRef/>
      </w:r>
      <w:r>
        <w:rPr>
          <w:rtl/>
        </w:rPr>
        <w:t xml:space="preserve"> </w:t>
      </w:r>
      <w:r>
        <w:rPr>
          <w:rFonts w:cs="Arial" w:hint="cs"/>
          <w:rtl/>
        </w:rPr>
        <w:t xml:space="preserve">רי"ף </w:t>
      </w:r>
      <w:r w:rsidRPr="0067455C">
        <w:rPr>
          <w:rFonts w:cs="Arial"/>
          <w:sz w:val="16"/>
          <w:szCs w:val="16"/>
          <w:rtl/>
        </w:rPr>
        <w:t>(מב.)</w:t>
      </w:r>
      <w:r>
        <w:rPr>
          <w:rFonts w:cs="Arial" w:hint="cs"/>
          <w:rtl/>
        </w:rPr>
        <w:t xml:space="preserve"> </w:t>
      </w:r>
      <w:r w:rsidRPr="00F93A12">
        <w:rPr>
          <w:rFonts w:cs="Arial"/>
          <w:rtl/>
        </w:rPr>
        <w:t xml:space="preserve">רמב"ם </w:t>
      </w:r>
      <w:r w:rsidRPr="00AD30D1">
        <w:rPr>
          <w:rFonts w:cs="Arial" w:hint="cs"/>
          <w:sz w:val="16"/>
          <w:szCs w:val="16"/>
          <w:rtl/>
        </w:rPr>
        <w:t>(פכ"ג מאישות ה"ה-ז)</w:t>
      </w:r>
      <w:r w:rsidRPr="0067455C">
        <w:rPr>
          <w:rFonts w:cs="Arial"/>
          <w:rtl/>
        </w:rPr>
        <w:t xml:space="preserve"> </w:t>
      </w:r>
      <w:r w:rsidRPr="00F93A12">
        <w:rPr>
          <w:rFonts w:cs="Arial"/>
          <w:rtl/>
        </w:rPr>
        <w:t xml:space="preserve">רמב"ן </w:t>
      </w:r>
      <w:r w:rsidRPr="0067455C">
        <w:rPr>
          <w:rFonts w:cs="Arial"/>
          <w:sz w:val="16"/>
          <w:szCs w:val="16"/>
          <w:rtl/>
        </w:rPr>
        <w:t xml:space="preserve">(פג: ד"ה הלכה) </w:t>
      </w:r>
      <w:r w:rsidRPr="00F93A12">
        <w:rPr>
          <w:rFonts w:cs="Arial"/>
          <w:rtl/>
        </w:rPr>
        <w:t xml:space="preserve">רשב"א </w:t>
      </w:r>
      <w:r w:rsidRPr="0067455C">
        <w:rPr>
          <w:rFonts w:cs="Arial"/>
          <w:sz w:val="16"/>
          <w:szCs w:val="16"/>
          <w:rtl/>
        </w:rPr>
        <w:t>(פג. ד"ה אמרי)</w:t>
      </w:r>
      <w:r w:rsidRPr="00FB2DB8">
        <w:rPr>
          <w:rFonts w:cs="Arial"/>
          <w:rtl/>
        </w:rPr>
        <w:t xml:space="preserve"> </w:t>
      </w:r>
      <w:r w:rsidRPr="00F93A12">
        <w:rPr>
          <w:rFonts w:cs="Arial"/>
          <w:rtl/>
        </w:rPr>
        <w:t xml:space="preserve">רא"ש </w:t>
      </w:r>
      <w:r w:rsidRPr="00874772">
        <w:rPr>
          <w:rFonts w:cs="Arial"/>
          <w:sz w:val="16"/>
          <w:szCs w:val="16"/>
          <w:rtl/>
        </w:rPr>
        <w:t>(סי' א)</w:t>
      </w:r>
      <w:r>
        <w:rPr>
          <w:rFonts w:cs="Arial" w:hint="cs"/>
          <w:rtl/>
        </w:rPr>
        <w:t xml:space="preserve"> ו</w:t>
      </w:r>
      <w:r w:rsidRPr="00F93A12">
        <w:rPr>
          <w:rFonts w:cs="Arial"/>
          <w:rtl/>
        </w:rPr>
        <w:t xml:space="preserve">ר"ן </w:t>
      </w:r>
      <w:r w:rsidRPr="00FB2DB8">
        <w:rPr>
          <w:rFonts w:cs="Arial"/>
          <w:sz w:val="16"/>
          <w:szCs w:val="16"/>
          <w:rtl/>
        </w:rPr>
        <w:t>(מב. דיבור ראשון)</w:t>
      </w:r>
      <w:r>
        <w:rPr>
          <w:rFonts w:hint="cs"/>
          <w:rtl/>
        </w:rPr>
        <w:t>.</w:t>
      </w:r>
    </w:p>
  </w:footnote>
  <w:footnote w:id="248">
    <w:p w14:paraId="3EDF780E" w14:textId="77777777" w:rsidR="00DE2F5F" w:rsidRDefault="00DE2F5F" w:rsidP="0024756B">
      <w:pPr>
        <w:pStyle w:val="a5"/>
      </w:pPr>
      <w:r>
        <w:rPr>
          <w:rStyle w:val="a7"/>
        </w:rPr>
        <w:footnoteRef/>
      </w:r>
      <w:r>
        <w:rPr>
          <w:rtl/>
        </w:rPr>
        <w:t xml:space="preserve"> </w:t>
      </w:r>
      <w:r w:rsidRPr="00F93A12">
        <w:rPr>
          <w:rFonts w:cs="Arial"/>
          <w:rtl/>
        </w:rPr>
        <w:t>וכתב הרב המגיד (הל' ה - ו) בהלכות לית הלכתא כרשב"ג</w:t>
      </w:r>
      <w:r>
        <w:rPr>
          <w:rFonts w:cs="Arial" w:hint="cs"/>
          <w:rtl/>
        </w:rPr>
        <w:t>.</w:t>
      </w:r>
      <w:r w:rsidRPr="00F93A12">
        <w:rPr>
          <w:rFonts w:cs="Arial"/>
          <w:rtl/>
        </w:rPr>
        <w:t xml:space="preserve"> וכן הכריעו הרמב"ן (פג: ד"ה הלכה) והרשב"א (פג. ד"ה אמרי) ז"ל</w:t>
      </w:r>
      <w:r>
        <w:rPr>
          <w:rFonts w:cs="Arial" w:hint="cs"/>
          <w:rtl/>
        </w:rPr>
        <w:t>.</w:t>
      </w:r>
      <w:r w:rsidRPr="00F93A12">
        <w:rPr>
          <w:rFonts w:cs="Arial"/>
          <w:rtl/>
        </w:rPr>
        <w:t xml:space="preserve"> ודוקא במתנה ועודה ארוסה וכההיא דרב כהנא</w:t>
      </w:r>
      <w:r>
        <w:rPr>
          <w:rFonts w:cs="Arial" w:hint="cs"/>
          <w:rtl/>
        </w:rPr>
        <w:t>,</w:t>
      </w:r>
      <w:r w:rsidRPr="00F93A12">
        <w:rPr>
          <w:rFonts w:cs="Arial"/>
          <w:rtl/>
        </w:rPr>
        <w:t xml:space="preserve"> אבל משנישאת אין תנאו בירושה כלום</w:t>
      </w:r>
      <w:r>
        <w:rPr>
          <w:rFonts w:cs="Arial" w:hint="cs"/>
          <w:rtl/>
        </w:rPr>
        <w:t>,</w:t>
      </w:r>
      <w:r w:rsidRPr="00F93A12">
        <w:rPr>
          <w:rFonts w:cs="Arial"/>
          <w:rtl/>
        </w:rPr>
        <w:t xml:space="preserve"> דכיון שהירושה ראויה לו אם תמות עתה ה"ל כאומר לא אירש את אבא שלא אמר כלום ואפילו קנו מידו</w:t>
      </w:r>
      <w:r>
        <w:rPr>
          <w:rFonts w:cs="Arial" w:hint="cs"/>
          <w:rtl/>
        </w:rPr>
        <w:t>.</w:t>
      </w:r>
      <w:r w:rsidRPr="00F93A12">
        <w:rPr>
          <w:rFonts w:cs="Arial"/>
          <w:rtl/>
        </w:rPr>
        <w:t xml:space="preserve"> וכ</w:t>
      </w:r>
      <w:r>
        <w:rPr>
          <w:rFonts w:cs="Arial" w:hint="cs"/>
          <w:rtl/>
        </w:rPr>
        <w:t>"כ</w:t>
      </w:r>
      <w:r w:rsidRPr="00F93A12">
        <w:rPr>
          <w:rFonts w:cs="Arial"/>
          <w:rtl/>
        </w:rPr>
        <w:t xml:space="preserve"> הרמב"ן (שם) והרשב"א (שם) ז"ל וכדעת רבינו</w:t>
      </w:r>
      <w:r>
        <w:rPr>
          <w:rFonts w:cs="Arial" w:hint="cs"/>
          <w:rtl/>
        </w:rPr>
        <w:t>.</w:t>
      </w:r>
      <w:r w:rsidRPr="00F93A12">
        <w:rPr>
          <w:rFonts w:cs="Arial"/>
          <w:rtl/>
        </w:rPr>
        <w:t xml:space="preserve"> והירושלמי הנזכר בהלכות הוא בכותב לה ועודה ארוסה</w:t>
      </w:r>
      <w:r>
        <w:rPr>
          <w:rFonts w:cs="Arial" w:hint="cs"/>
          <w:rtl/>
        </w:rPr>
        <w:t>,</w:t>
      </w:r>
      <w:r w:rsidRPr="00F93A12">
        <w:rPr>
          <w:rFonts w:cs="Arial"/>
          <w:rtl/>
        </w:rPr>
        <w:t xml:space="preserve"> אי נמי בכותב לה בכתובתה בשעת כניסה אבל אחר נישואין לא אמר כלום</w:t>
      </w:r>
      <w:r>
        <w:rPr>
          <w:rFonts w:cs="Arial" w:hint="cs"/>
          <w:rtl/>
        </w:rPr>
        <w:t>.</w:t>
      </w:r>
      <w:r w:rsidRPr="00F93A12">
        <w:rPr>
          <w:rFonts w:cs="Arial"/>
          <w:rtl/>
        </w:rPr>
        <w:t xml:space="preserve"> אלו דבריהם מסכימים לדעת רבינו עכ"ל. ודברי ריב"ש בזה בס</w:t>
      </w:r>
      <w:r>
        <w:rPr>
          <w:rFonts w:cs="Arial" w:hint="cs"/>
          <w:rtl/>
        </w:rPr>
        <w:t>י'</w:t>
      </w:r>
      <w:r w:rsidRPr="00F93A12">
        <w:rPr>
          <w:rFonts w:cs="Arial"/>
          <w:rtl/>
        </w:rPr>
        <w:t xml:space="preserve"> ס"ד וסי</w:t>
      </w:r>
      <w:r>
        <w:rPr>
          <w:rFonts w:cs="Arial" w:hint="cs"/>
          <w:rtl/>
        </w:rPr>
        <w:t>'</w:t>
      </w:r>
      <w:r w:rsidRPr="00F93A12">
        <w:rPr>
          <w:rFonts w:cs="Arial"/>
          <w:rtl/>
        </w:rPr>
        <w:t xml:space="preserve"> ק"ב</w:t>
      </w:r>
      <w:r>
        <w:rPr>
          <w:rFonts w:cs="Arial" w:hint="cs"/>
          <w:rtl/>
        </w:rPr>
        <w:t>...</w:t>
      </w:r>
      <w:r w:rsidRPr="00D06DCA">
        <w:rPr>
          <w:rFonts w:cs="Arial"/>
          <w:rtl/>
        </w:rPr>
        <w:t xml:space="preserve"> </w:t>
      </w:r>
      <w:r>
        <w:rPr>
          <w:rFonts w:cs="Arial"/>
          <w:rtl/>
        </w:rPr>
        <w:t>וכתב עוד בזה רבינו בסוף סימן צ"ב (קלו.)</w:t>
      </w:r>
      <w:r>
        <w:rPr>
          <w:rFonts w:cs="Arial" w:hint="cs"/>
          <w:rtl/>
        </w:rPr>
        <w:t>, ב"י.</w:t>
      </w:r>
      <w:r w:rsidRPr="00A931CA">
        <w:rPr>
          <w:rFonts w:cs="Arial"/>
          <w:rtl/>
        </w:rPr>
        <w:t xml:space="preserve"> </w:t>
      </w:r>
    </w:p>
  </w:footnote>
  <w:footnote w:id="249">
    <w:p w14:paraId="1E0D992A" w14:textId="28397CD8" w:rsidR="00DE2F5F" w:rsidRDefault="00DE2F5F" w:rsidP="0024756B">
      <w:pPr>
        <w:pStyle w:val="a5"/>
        <w:rPr>
          <w:rtl/>
        </w:rPr>
      </w:pPr>
      <w:r>
        <w:rPr>
          <w:rStyle w:val="a7"/>
        </w:rPr>
        <w:footnoteRef/>
      </w:r>
      <w:r>
        <w:rPr>
          <w:rtl/>
        </w:rPr>
        <w:t xml:space="preserve"> </w:t>
      </w:r>
      <w:r w:rsidRPr="00AD30D1">
        <w:rPr>
          <w:rFonts w:cs="Arial" w:hint="cs"/>
          <w:rtl/>
        </w:rPr>
        <w:t>ו</w:t>
      </w:r>
      <w:r w:rsidRPr="00AD30D1">
        <w:rPr>
          <w:rFonts w:cs="Arial"/>
          <w:rtl/>
        </w:rPr>
        <w:t>ראיה מדגרסינן בירושלמי (כתובות פ"ט ה"א) רבי ירמיה בשם רב הלכה כרשב"ג שאם מתה יירשנה אבל לא לענין</w:t>
      </w:r>
      <w:r w:rsidRPr="00AD30D1">
        <w:rPr>
          <w:rFonts w:cs="Arial" w:hint="cs"/>
          <w:rtl/>
        </w:rPr>
        <w:t xml:space="preserve"> דבריו...</w:t>
      </w:r>
      <w:r w:rsidRPr="00AD30D1">
        <w:rPr>
          <w:rFonts w:cs="Arial"/>
          <w:rtl/>
        </w:rPr>
        <w:t xml:space="preserve"> ובירושלמי אי מיתה בלא בני וכו' </w:t>
      </w:r>
      <w:r w:rsidRPr="00AD30D1">
        <w:rPr>
          <w:rFonts w:cs="Arial" w:hint="cs"/>
          <w:rtl/>
        </w:rPr>
        <w:t xml:space="preserve">- </w:t>
      </w:r>
      <w:r w:rsidRPr="00AD30D1">
        <w:rPr>
          <w:rFonts w:cs="Arial"/>
          <w:rtl/>
        </w:rPr>
        <w:t>לא בתנאי הבעל מיירי אלא האב כשפוסק נדוניא לבתו והוי כמתנה על מנת להחזיר</w:t>
      </w:r>
      <w:r w:rsidRPr="00AD30D1">
        <w:rPr>
          <w:rFonts w:cs="Arial" w:hint="cs"/>
          <w:rtl/>
        </w:rPr>
        <w:t>.</w:t>
      </w:r>
      <w:r w:rsidRPr="00AD30D1">
        <w:rPr>
          <w:rFonts w:cs="Arial"/>
          <w:rtl/>
        </w:rPr>
        <w:t xml:space="preserve"> והרמב"ן ז"ל דחה ראיה של הירושלמי</w:t>
      </w:r>
      <w:r w:rsidRPr="00AD30D1">
        <w:rPr>
          <w:rFonts w:cs="Arial" w:hint="cs"/>
          <w:rtl/>
        </w:rPr>
        <w:t>,</w:t>
      </w:r>
      <w:r w:rsidRPr="00AD30D1">
        <w:rPr>
          <w:rFonts w:cs="Arial"/>
          <w:rtl/>
        </w:rPr>
        <w:t xml:space="preserve"> דודאי אם היה כותב לה לאחר שנישאת אז דמי לבן שסילק עצמו מירושת אביו</w:t>
      </w:r>
      <w:r w:rsidRPr="00AD30D1">
        <w:rPr>
          <w:rFonts w:cs="Arial" w:hint="cs"/>
          <w:rtl/>
        </w:rPr>
        <w:t>,</w:t>
      </w:r>
      <w:r w:rsidRPr="00AD30D1">
        <w:rPr>
          <w:rFonts w:cs="Arial"/>
          <w:rtl/>
        </w:rPr>
        <w:t xml:space="preserve"> אבל גמרא דידן מוקי למתניתין בכותב לה ועודה ארוסה</w:t>
      </w:r>
      <w:r w:rsidRPr="00AD30D1">
        <w:rPr>
          <w:rFonts w:cs="Arial" w:hint="cs"/>
          <w:rtl/>
        </w:rPr>
        <w:t>,</w:t>
      </w:r>
      <w:r w:rsidRPr="00AD30D1">
        <w:rPr>
          <w:rFonts w:cs="Arial"/>
          <w:rtl/>
        </w:rPr>
        <w:t xml:space="preserve"> ומייתי עלה דרב כהנא נחלה הבאה לו ממקום אחר שלא ממשפחתו ושלא מאשתו נשואה שהוא ראוי ליירשה לה מכבר</w:t>
      </w:r>
      <w:r w:rsidRPr="00AD30D1">
        <w:rPr>
          <w:rFonts w:cs="Arial" w:hint="cs"/>
          <w:rtl/>
        </w:rPr>
        <w:t>,</w:t>
      </w:r>
      <w:r w:rsidRPr="00AD30D1">
        <w:rPr>
          <w:rFonts w:cs="Arial"/>
          <w:rtl/>
        </w:rPr>
        <w:t xml:space="preserve"> אלא כגון ארוסה שהיא עתידה להיות לו כשישאנה </w:t>
      </w:r>
      <w:r w:rsidRPr="00AD30D1">
        <w:rPr>
          <w:rFonts w:cs="Arial" w:hint="cs"/>
          <w:rtl/>
        </w:rPr>
        <w:t xml:space="preserve">- </w:t>
      </w:r>
      <w:r w:rsidRPr="00AD30D1">
        <w:rPr>
          <w:rFonts w:cs="Arial"/>
          <w:rtl/>
        </w:rPr>
        <w:t>אדם מתנה עליה שלא יירשנה</w:t>
      </w:r>
      <w:r w:rsidRPr="00AD30D1">
        <w:rPr>
          <w:rFonts w:cs="Arial" w:hint="cs"/>
          <w:rtl/>
        </w:rPr>
        <w:t>,</w:t>
      </w:r>
      <w:r w:rsidRPr="00AD30D1">
        <w:rPr>
          <w:rFonts w:cs="Arial"/>
          <w:rtl/>
        </w:rPr>
        <w:t xml:space="preserve"> אבל באשתו נשואה אפילו ת"ק מודה דאם מתה יירשנה</w:t>
      </w:r>
      <w:r w:rsidRPr="00AD30D1">
        <w:rPr>
          <w:rFonts w:cs="Arial" w:hint="cs"/>
          <w:rtl/>
        </w:rPr>
        <w:t>,</w:t>
      </w:r>
      <w:r w:rsidRPr="00AD30D1">
        <w:rPr>
          <w:rFonts w:cs="Arial"/>
          <w:rtl/>
        </w:rPr>
        <w:t xml:space="preserve"> דהוי כבן שסילק עצמו מנכסי אביו</w:t>
      </w:r>
      <w:r w:rsidRPr="00AD30D1">
        <w:rPr>
          <w:rFonts w:cs="Arial" w:hint="cs"/>
          <w:rtl/>
        </w:rPr>
        <w:t>,</w:t>
      </w:r>
      <w:r w:rsidRPr="00AD30D1">
        <w:rPr>
          <w:rFonts w:cs="Arial"/>
          <w:rtl/>
        </w:rPr>
        <w:t xml:space="preserve"> לפי שכבר הוא ראוי ליירש</w:t>
      </w:r>
      <w:r w:rsidRPr="00AD30D1">
        <w:rPr>
          <w:rFonts w:cs="Arial" w:hint="cs"/>
          <w:rtl/>
        </w:rPr>
        <w:t>.</w:t>
      </w:r>
      <w:r w:rsidRPr="00AD30D1">
        <w:rPr>
          <w:rFonts w:cs="Arial"/>
          <w:rtl/>
        </w:rPr>
        <w:t xml:space="preserve"> ובירושלמי מוקי רב למתניתין בכותב לה משנישאת</w:t>
      </w:r>
      <w:r w:rsidRPr="00AD30D1">
        <w:rPr>
          <w:rFonts w:cs="Arial" w:hint="cs"/>
          <w:rtl/>
        </w:rPr>
        <w:t>,</w:t>
      </w:r>
      <w:r w:rsidRPr="00AD30D1">
        <w:rPr>
          <w:rFonts w:cs="Arial"/>
          <w:rtl/>
        </w:rPr>
        <w:t xml:space="preserve"> ופליג אגמרא דידן</w:t>
      </w:r>
      <w:r w:rsidRPr="00AD30D1">
        <w:rPr>
          <w:rFonts w:cs="Arial" w:hint="cs"/>
          <w:rtl/>
        </w:rPr>
        <w:t>.</w:t>
      </w:r>
      <w:r w:rsidRPr="00AD30D1">
        <w:rPr>
          <w:rFonts w:cs="Arial"/>
          <w:rtl/>
        </w:rPr>
        <w:t xml:space="preserve"> ועוד מילתא דרב כהנא אזלא כת"ק אדם מתנה עליה שלא יירשנה וכיון דליכא ראיה ברורה אית לן למימר כל תנאי שבממון קיים</w:t>
      </w:r>
      <w:r>
        <w:rPr>
          <w:rFonts w:hint="cs"/>
          <w:rtl/>
        </w:rPr>
        <w:t xml:space="preserve">, רא"ש (שם). וגם </w:t>
      </w:r>
      <w:r w:rsidRPr="00F93A12">
        <w:rPr>
          <w:rFonts w:cs="Arial"/>
          <w:rtl/>
        </w:rPr>
        <w:t>הר"ן (מב. דיבור ראשון) כתב על דברי ר"ח</w:t>
      </w:r>
      <w:r>
        <w:rPr>
          <w:rFonts w:cs="Arial" w:hint="cs"/>
          <w:rtl/>
        </w:rPr>
        <w:t xml:space="preserve">- </w:t>
      </w:r>
      <w:r w:rsidRPr="00F93A12">
        <w:rPr>
          <w:rFonts w:cs="Arial"/>
          <w:rtl/>
        </w:rPr>
        <w:t>אין פסק זה מחוור דכיון דאוקימנא למתניתין בגמרא בכותב לה ועודה ארוסה לא דמי לאומר לא אירש את אבא דלא אמר כלום דהתם שאני לפי שאין אדם יכול להסתלק ממה שהוא ראוי ליירש מעכשיו אבל זו כיון שעכשיו אינו ראוי ליורשה יכול לסלק עצמו מנכסיה ולכנסה על תנאי שלא יירשנה ורבי ירמיה בשם רב דירושלמי איפשר דמוקי מתניתין בכותב לה משנישאת ונשואה ודאי שירושתה ראויה לו דמיא לירושת האב שאינו יכול להסתלק ממנה</w:t>
      </w:r>
      <w:r>
        <w:rPr>
          <w:rFonts w:cs="Arial" w:hint="cs"/>
          <w:rtl/>
        </w:rPr>
        <w:t>.</w:t>
      </w:r>
      <w:r w:rsidRPr="00F93A12">
        <w:rPr>
          <w:rFonts w:cs="Arial"/>
          <w:rtl/>
        </w:rPr>
        <w:t xml:space="preserve"> ולפיכך עיקר הפסק כדברי הרי"ף ז"ל דלא קיי"ל כרשב"ג אלא כרבנן והא דאמרינן בירושלמי אין מיתה בלא בני וכו' משכחת לה בכותב לה ועודה ארוסה אבל לאחר שנישאת לא</w:t>
      </w:r>
      <w:r>
        <w:rPr>
          <w:rFonts w:cs="Arial" w:hint="cs"/>
          <w:rtl/>
        </w:rPr>
        <w:t>,</w:t>
      </w:r>
      <w:r w:rsidRPr="00F93A12">
        <w:rPr>
          <w:rFonts w:cs="Arial"/>
          <w:rtl/>
        </w:rPr>
        <w:t xml:space="preserve"> אא</w:t>
      </w:r>
      <w:r>
        <w:rPr>
          <w:rFonts w:cs="Arial" w:hint="cs"/>
          <w:rtl/>
        </w:rPr>
        <w:t>"</w:t>
      </w:r>
      <w:r w:rsidRPr="00F93A12">
        <w:rPr>
          <w:rFonts w:cs="Arial"/>
          <w:rtl/>
        </w:rPr>
        <w:t>כ מחייב עצמו להחזיר ליורשיה מה שיירש ממנה בכה"ג ודאי מהני עכ"ל.</w:t>
      </w:r>
      <w:r w:rsidRPr="00C82F92">
        <w:rPr>
          <w:rFonts w:hint="cs"/>
          <w:color w:val="00B0F0"/>
          <w:rtl/>
        </w:rPr>
        <w:t xml:space="preserve"> </w:t>
      </w:r>
    </w:p>
  </w:footnote>
  <w:footnote w:id="250">
    <w:p w14:paraId="0AB99F33" w14:textId="77777777" w:rsidR="00DE2F5F" w:rsidRDefault="00DE2F5F" w:rsidP="0024756B">
      <w:pPr>
        <w:pStyle w:val="a5"/>
        <w:rPr>
          <w:rtl/>
        </w:rPr>
      </w:pPr>
      <w:r>
        <w:rPr>
          <w:rStyle w:val="a7"/>
        </w:rPr>
        <w:footnoteRef/>
      </w:r>
      <w:r>
        <w:rPr>
          <w:rtl/>
        </w:rPr>
        <w:t xml:space="preserve"> </w:t>
      </w:r>
      <w:r w:rsidRPr="00F93A12">
        <w:rPr>
          <w:rFonts w:cs="Arial"/>
          <w:rtl/>
        </w:rPr>
        <w:t xml:space="preserve">ודברי רבינו באו בכאן בקיצור שכך הוה ליה לכתוב </w:t>
      </w:r>
      <w:r>
        <w:rPr>
          <w:rFonts w:cs="Arial" w:hint="cs"/>
          <w:rtl/>
        </w:rPr>
        <w:t>'</w:t>
      </w:r>
      <w:r w:rsidRPr="00F93A12">
        <w:rPr>
          <w:rFonts w:cs="Arial"/>
          <w:rtl/>
        </w:rPr>
        <w:t>וכן אם התנה עמה אחר שנשאה או קודם שאירסה שלא יירשנה תנאו בטל ואם התנה עמה כן בעודה ארוסה לרבינו חננאל ור"י גם בזה תנאו בטל ולהרי"ף תנאו קיים ולזה הסכים א"א ז"ל</w:t>
      </w:r>
      <w:r>
        <w:rPr>
          <w:rFonts w:cs="Arial" w:hint="cs"/>
          <w:rtl/>
        </w:rPr>
        <w:t>'</w:t>
      </w:r>
      <w:r>
        <w:rPr>
          <w:rFonts w:hint="cs"/>
          <w:rtl/>
        </w:rPr>
        <w:t xml:space="preserve">, ב"י (בבדה"ב). וכתב עוד הב"י </w:t>
      </w:r>
      <w:r>
        <w:rPr>
          <w:rFonts w:cs="Arial" w:hint="cs"/>
          <w:rtl/>
        </w:rPr>
        <w:t>ש</w:t>
      </w:r>
      <w:r>
        <w:rPr>
          <w:rFonts w:cs="Arial"/>
          <w:rtl/>
        </w:rPr>
        <w:t>פרטי דברים אלו כולם מתבארים והולכים בדברי רבינו בסימנים הבאים.</w:t>
      </w:r>
    </w:p>
  </w:footnote>
  <w:footnote w:id="251">
    <w:p w14:paraId="3A234FF0" w14:textId="109CA937" w:rsidR="00813202" w:rsidRDefault="00813202">
      <w:pPr>
        <w:pStyle w:val="a5"/>
        <w:rPr>
          <w:rtl/>
        </w:rPr>
      </w:pPr>
      <w:r>
        <w:rPr>
          <w:rStyle w:val="a7"/>
        </w:rPr>
        <w:footnoteRef/>
      </w:r>
      <w:r>
        <w:rPr>
          <w:rtl/>
        </w:rPr>
        <w:t xml:space="preserve"> </w:t>
      </w:r>
      <w:r>
        <w:rPr>
          <w:rFonts w:hint="cs"/>
          <w:rtl/>
        </w:rPr>
        <w:t>סימן - סעודת/סל דחויה.</w:t>
      </w:r>
    </w:p>
  </w:footnote>
  <w:footnote w:id="252">
    <w:p w14:paraId="42F67EDA" w14:textId="14E03058" w:rsidR="00DE2F5F" w:rsidRDefault="00DE2F5F">
      <w:pPr>
        <w:pStyle w:val="a5"/>
      </w:pPr>
      <w:r>
        <w:rPr>
          <w:rStyle w:val="a7"/>
        </w:rPr>
        <w:footnoteRef/>
      </w:r>
      <w:r>
        <w:rPr>
          <w:rtl/>
        </w:rPr>
        <w:t xml:space="preserve"> </w:t>
      </w:r>
      <w:r>
        <w:rPr>
          <w:rFonts w:cs="Arial"/>
          <w:rtl/>
        </w:rPr>
        <w:t>נותן לה מעה כסף לכל שבת לדברים קטנים</w:t>
      </w:r>
      <w:r>
        <w:rPr>
          <w:rFonts w:cs="Arial" w:hint="cs"/>
          <w:rtl/>
        </w:rPr>
        <w:t>,</w:t>
      </w:r>
      <w:r w:rsidRPr="00E36B8D">
        <w:rPr>
          <w:rFonts w:cs="Arial"/>
          <w:rtl/>
        </w:rPr>
        <w:t xml:space="preserve"> </w:t>
      </w:r>
      <w:r>
        <w:rPr>
          <w:rFonts w:cs="Arial"/>
          <w:rtl/>
        </w:rPr>
        <w:t>רש"י</w:t>
      </w:r>
      <w:r>
        <w:rPr>
          <w:rFonts w:cs="Arial" w:hint="cs"/>
          <w:rtl/>
        </w:rPr>
        <w:t>.</w:t>
      </w:r>
    </w:p>
  </w:footnote>
  <w:footnote w:id="253">
    <w:p w14:paraId="109D1146" w14:textId="74AC665F" w:rsidR="00DE2F5F" w:rsidRDefault="00DE2F5F" w:rsidP="00E36B8D">
      <w:pPr>
        <w:pStyle w:val="a5"/>
      </w:pPr>
      <w:r>
        <w:rPr>
          <w:rStyle w:val="a7"/>
        </w:rPr>
        <w:footnoteRef/>
      </w:r>
      <w:r>
        <w:rPr>
          <w:rtl/>
        </w:rPr>
        <w:t xml:space="preserve"> </w:t>
      </w:r>
      <w:r>
        <w:rPr>
          <w:rFonts w:cs="Arial"/>
          <w:rtl/>
        </w:rPr>
        <w:t>אוכלת עמו ליל שבת שהוא ליל עונה</w:t>
      </w:r>
      <w:r>
        <w:rPr>
          <w:rFonts w:cs="Arial" w:hint="cs"/>
          <w:rtl/>
        </w:rPr>
        <w:t xml:space="preserve">, </w:t>
      </w:r>
      <w:r>
        <w:rPr>
          <w:rFonts w:cs="Arial"/>
          <w:rtl/>
        </w:rPr>
        <w:t>רש"י</w:t>
      </w:r>
      <w:r>
        <w:rPr>
          <w:rFonts w:cs="Arial" w:hint="cs"/>
          <w:rtl/>
        </w:rPr>
        <w:t>.</w:t>
      </w:r>
    </w:p>
  </w:footnote>
  <w:footnote w:id="254">
    <w:p w14:paraId="3491294C" w14:textId="5D041256" w:rsidR="00DE2F5F" w:rsidRDefault="00DE2F5F">
      <w:pPr>
        <w:pStyle w:val="a5"/>
      </w:pPr>
      <w:r>
        <w:rPr>
          <w:rStyle w:val="a7"/>
        </w:rPr>
        <w:footnoteRef/>
      </w:r>
      <w:r>
        <w:rPr>
          <w:rtl/>
        </w:rPr>
        <w:t xml:space="preserve"> </w:t>
      </w:r>
      <w:r>
        <w:rPr>
          <w:rFonts w:cs="Arial"/>
          <w:rtl/>
        </w:rPr>
        <w:t>כגון אשה שמזונות האמורים במשנתינו עודפים לה</w:t>
      </w:r>
      <w:r>
        <w:rPr>
          <w:rFonts w:cs="Arial" w:hint="cs"/>
          <w:rtl/>
        </w:rPr>
        <w:t>, רש"י.</w:t>
      </w:r>
    </w:p>
  </w:footnote>
  <w:footnote w:id="255">
    <w:p w14:paraId="6455B18C" w14:textId="77777777" w:rsidR="00DE2F5F" w:rsidRDefault="00DE2F5F" w:rsidP="00A6347B">
      <w:pPr>
        <w:pStyle w:val="a5"/>
      </w:pPr>
      <w:r>
        <w:rPr>
          <w:rStyle w:val="a7"/>
        </w:rPr>
        <w:footnoteRef/>
      </w:r>
      <w:r>
        <w:rPr>
          <w:rtl/>
        </w:rPr>
        <w:t xml:space="preserve"> </w:t>
      </w:r>
      <w:r w:rsidRPr="00A6347B">
        <w:rPr>
          <w:rFonts w:cs="Arial"/>
          <w:rtl/>
        </w:rPr>
        <w:t>ופסקו הרי"ף (כח:) והרא"ש (פ"ה סי' לח) כרב נחמן</w:t>
      </w:r>
      <w:r w:rsidRPr="00A6347B">
        <w:rPr>
          <w:rFonts w:cs="Arial" w:hint="cs"/>
          <w:rtl/>
        </w:rPr>
        <w:t>.</w:t>
      </w:r>
      <w:r w:rsidRPr="00A6347B">
        <w:rPr>
          <w:rFonts w:cs="Arial"/>
          <w:rtl/>
        </w:rPr>
        <w:t xml:space="preserve"> וכ</w:t>
      </w:r>
      <w:r w:rsidRPr="00A6347B">
        <w:rPr>
          <w:rFonts w:cs="Arial" w:hint="cs"/>
          <w:rtl/>
        </w:rPr>
        <w:t>"</w:t>
      </w:r>
      <w:r w:rsidRPr="00A6347B">
        <w:rPr>
          <w:rFonts w:cs="Arial"/>
          <w:rtl/>
        </w:rPr>
        <w:t>פ הרמב"ם בפי"ב מהלכות אישות (הי"ב)</w:t>
      </w:r>
      <w:r w:rsidRPr="00A6347B">
        <w:rPr>
          <w:rFonts w:cs="Arial" w:hint="cs"/>
          <w:rtl/>
        </w:rPr>
        <w:t>.</w:t>
      </w:r>
      <w:r w:rsidRPr="00A6347B">
        <w:rPr>
          <w:rFonts w:cs="Arial"/>
          <w:rtl/>
        </w:rPr>
        <w:t xml:space="preserve"> ולזה נתכוון רבינו שכתב אוכלת על שלחנו</w:t>
      </w:r>
      <w:r w:rsidRPr="00A6347B">
        <w:rPr>
          <w:rFonts w:cs="Arial" w:hint="cs"/>
          <w:rtl/>
        </w:rPr>
        <w:t>, ב"י</w:t>
      </w:r>
      <w:r>
        <w:rPr>
          <w:rFonts w:cs="Arial" w:hint="cs"/>
          <w:rtl/>
        </w:rPr>
        <w:t>.</w:t>
      </w:r>
    </w:p>
  </w:footnote>
  <w:footnote w:id="256">
    <w:p w14:paraId="49D03738" w14:textId="10035AF1" w:rsidR="00043F10" w:rsidRDefault="00043F10">
      <w:pPr>
        <w:pStyle w:val="a5"/>
        <w:rPr>
          <w:rtl/>
        </w:rPr>
      </w:pPr>
      <w:r>
        <w:rPr>
          <w:rStyle w:val="a7"/>
        </w:rPr>
        <w:footnoteRef/>
      </w:r>
      <w:r>
        <w:rPr>
          <w:rtl/>
        </w:rPr>
        <w:t xml:space="preserve"> </w:t>
      </w:r>
      <w:r>
        <w:rPr>
          <w:rFonts w:hint="cs"/>
          <w:rtl/>
        </w:rPr>
        <w:t>כ"כ הפרישה (אות ב) והט"ז (</w:t>
      </w:r>
      <w:r w:rsidR="008B1DC9">
        <w:rPr>
          <w:rFonts w:hint="cs"/>
          <w:rtl/>
        </w:rPr>
        <w:t>סק"ב</w:t>
      </w:r>
      <w:r>
        <w:rPr>
          <w:rFonts w:hint="cs"/>
          <w:rtl/>
        </w:rPr>
        <w:t>) שצריך לגרוס.</w:t>
      </w:r>
    </w:p>
  </w:footnote>
  <w:footnote w:id="257">
    <w:p w14:paraId="28493815" w14:textId="77777777" w:rsidR="00DE2F5F" w:rsidRDefault="00DE2F5F" w:rsidP="00BC010C">
      <w:pPr>
        <w:pStyle w:val="a5"/>
      </w:pPr>
      <w:r>
        <w:rPr>
          <w:rStyle w:val="a7"/>
        </w:rPr>
        <w:footnoteRef/>
      </w:r>
      <w:r>
        <w:rPr>
          <w:rtl/>
        </w:rPr>
        <w:t xml:space="preserve"> </w:t>
      </w:r>
      <w:r>
        <w:rPr>
          <w:rFonts w:cs="Arial"/>
          <w:rtl/>
        </w:rPr>
        <w:t>וכתב הר"ן בסוף פירקין (כח: ד"ה מתני') דלאו למימרא שיכול הבעל לומר איני נותן מעה ויהא המותר שלה דהא קיי"ל (נח:) יכולה אשה שתאמר איני נזונת ואיני עושה ובודאי שיכולה ג"כ לומר איני נוטלת מעה כסף ואיני נותנת מותר דאי הוא נמי יכול לומר איני נותן מעה כסף מה הועילו חכמים בתקנתם הרי כל אחד מהם יכול לעכב אלא ודאי הכי קאמר שאם שתקה היא ולא תבעה מעה כסף לצרכיה ועשתה מותר הרי הוא לעצמה ואין הבעל יכול לומר ויתרה וכתב הרמב"ן ז"ל (סד: ד"ה הא) דהוא הדין למזונות ולמעשה ידיה אלא רבותא קמ"ל שאפילו במעה כסף שאינה צריכה לו כל כך לא אמרינן ויתרה עכ"ל</w:t>
      </w:r>
      <w:r>
        <w:rPr>
          <w:rFonts w:cs="Arial" w:hint="cs"/>
          <w:rtl/>
        </w:rPr>
        <w:t>, ב"י.</w:t>
      </w:r>
    </w:p>
  </w:footnote>
  <w:footnote w:id="258">
    <w:p w14:paraId="1BF94BEE" w14:textId="77777777" w:rsidR="00DE2F5F" w:rsidRDefault="00DE2F5F" w:rsidP="00BC010C">
      <w:pPr>
        <w:pStyle w:val="a5"/>
      </w:pPr>
      <w:r>
        <w:rPr>
          <w:rStyle w:val="a7"/>
        </w:rPr>
        <w:footnoteRef/>
      </w:r>
      <w:r>
        <w:rPr>
          <w:rtl/>
        </w:rPr>
        <w:t xml:space="preserve"> </w:t>
      </w:r>
      <w:r>
        <w:rPr>
          <w:rFonts w:cs="Arial"/>
          <w:rtl/>
        </w:rPr>
        <w:t xml:space="preserve">בסוף מתניתין דהמשרה את אשתו ע"י שליש תנן </w:t>
      </w:r>
      <w:r>
        <w:rPr>
          <w:rFonts w:cs="Arial" w:hint="cs"/>
          <w:rtl/>
        </w:rPr>
        <w:t>'</w:t>
      </w:r>
      <w:r>
        <w:rPr>
          <w:rFonts w:cs="Arial"/>
          <w:rtl/>
        </w:rPr>
        <w:t>במה דברים אמורים בעני שבישראל אבל במכובד הכל לפי כבודו</w:t>
      </w:r>
      <w:r>
        <w:rPr>
          <w:rFonts w:cs="Arial" w:hint="cs"/>
          <w:rtl/>
        </w:rPr>
        <w:t>',</w:t>
      </w:r>
      <w:r>
        <w:rPr>
          <w:rFonts w:cs="Arial"/>
          <w:rtl/>
        </w:rPr>
        <w:t xml:space="preserve"> ושינה רבינו לכתוב </w:t>
      </w:r>
      <w:r>
        <w:rPr>
          <w:rFonts w:cs="Arial" w:hint="cs"/>
          <w:rtl/>
        </w:rPr>
        <w:t>'</w:t>
      </w:r>
      <w:r>
        <w:rPr>
          <w:rFonts w:cs="Arial"/>
          <w:rtl/>
        </w:rPr>
        <w:t>אבל בעשירים הכל לפי כבודם</w:t>
      </w:r>
      <w:r>
        <w:rPr>
          <w:rFonts w:cs="Arial" w:hint="cs"/>
          <w:rtl/>
        </w:rPr>
        <w:t>',</w:t>
      </w:r>
      <w:r>
        <w:rPr>
          <w:rFonts w:cs="Arial"/>
          <w:rtl/>
        </w:rPr>
        <w:t xml:space="preserve"> לומר שאע"פ שהוא אינו עשיר ולא מכובד</w:t>
      </w:r>
      <w:r>
        <w:rPr>
          <w:rFonts w:cs="Arial" w:hint="cs"/>
          <w:rtl/>
        </w:rPr>
        <w:t>,</w:t>
      </w:r>
      <w:r>
        <w:rPr>
          <w:rFonts w:cs="Arial"/>
          <w:rtl/>
        </w:rPr>
        <w:t xml:space="preserve"> אם בני משפחתה רגילין במזונות מרווחים יותר</w:t>
      </w:r>
      <w:r>
        <w:rPr>
          <w:rFonts w:cs="Arial" w:hint="cs"/>
          <w:rtl/>
        </w:rPr>
        <w:t xml:space="preserve"> -</w:t>
      </w:r>
      <w:r>
        <w:rPr>
          <w:rFonts w:cs="Arial"/>
          <w:rtl/>
        </w:rPr>
        <w:t xml:space="preserve"> חייב ליתן לה</w:t>
      </w:r>
      <w:r>
        <w:rPr>
          <w:rFonts w:cs="Arial" w:hint="cs"/>
          <w:rtl/>
        </w:rPr>
        <w:t>,</w:t>
      </w:r>
      <w:r>
        <w:rPr>
          <w:rFonts w:cs="Arial"/>
          <w:rtl/>
        </w:rPr>
        <w:t xml:space="preserve"> דעולה עמו ואינה יורדת</w:t>
      </w:r>
      <w:r>
        <w:rPr>
          <w:rFonts w:cs="Arial" w:hint="cs"/>
          <w:rtl/>
        </w:rPr>
        <w:t>, ב"י.</w:t>
      </w:r>
    </w:p>
  </w:footnote>
  <w:footnote w:id="259">
    <w:p w14:paraId="0344B974" w14:textId="77777777" w:rsidR="00DE2F5F" w:rsidRDefault="00DE2F5F" w:rsidP="00BC010C">
      <w:pPr>
        <w:pStyle w:val="a5"/>
        <w:rPr>
          <w:rtl/>
        </w:rPr>
      </w:pPr>
      <w:r>
        <w:rPr>
          <w:rStyle w:val="a7"/>
        </w:rPr>
        <w:footnoteRef/>
      </w:r>
      <w:r>
        <w:rPr>
          <w:rtl/>
        </w:rPr>
        <w:t xml:space="preserve"> </w:t>
      </w:r>
      <w:r w:rsidRPr="00285F32">
        <w:rPr>
          <w:rFonts w:cs="Arial"/>
          <w:rtl/>
        </w:rPr>
        <w:t xml:space="preserve">והר"ן כתב </w:t>
      </w:r>
      <w:r>
        <w:rPr>
          <w:rFonts w:cs="Arial" w:hint="cs"/>
          <w:rtl/>
        </w:rPr>
        <w:t>(</w:t>
      </w:r>
      <w:r w:rsidRPr="00285F32">
        <w:rPr>
          <w:rFonts w:cs="Arial"/>
          <w:rtl/>
        </w:rPr>
        <w:t>ס</w:t>
      </w:r>
      <w:r>
        <w:rPr>
          <w:rFonts w:cs="Arial" w:hint="cs"/>
          <w:rtl/>
        </w:rPr>
        <w:t>"פ</w:t>
      </w:r>
      <w:r w:rsidRPr="00285F32">
        <w:rPr>
          <w:rFonts w:cs="Arial"/>
          <w:rtl/>
        </w:rPr>
        <w:t xml:space="preserve"> אף על פי כח. ד"ה גמ') דאם היא רגילה לשתות בפני בעלה ב' כוסות נותנין לה כוס אחד ואם אינה רגילה בפני בעלה רק בכוס אחד אין נותנין לה כל עיקר והוכיח כן מדברי הגמרא (סה א) ותמה על הרי"ף שלא כתבו</w:t>
      </w:r>
      <w:r>
        <w:rPr>
          <w:rFonts w:cs="Arial" w:hint="cs"/>
          <w:rtl/>
        </w:rPr>
        <w:t>, דרכ"מ (אות א).</w:t>
      </w:r>
    </w:p>
  </w:footnote>
  <w:footnote w:id="260">
    <w:p w14:paraId="7F92375C" w14:textId="78485A49" w:rsidR="00DE2F5F" w:rsidRDefault="00DE2F5F">
      <w:pPr>
        <w:pStyle w:val="a5"/>
      </w:pPr>
      <w:r>
        <w:rPr>
          <w:rStyle w:val="a7"/>
        </w:rPr>
        <w:footnoteRef/>
      </w:r>
      <w:r>
        <w:rPr>
          <w:rtl/>
        </w:rPr>
        <w:t xml:space="preserve"> </w:t>
      </w:r>
      <w:r w:rsidRPr="00C35DBB">
        <w:rPr>
          <w:rFonts w:cs="Arial"/>
          <w:rtl/>
        </w:rPr>
        <w:t>דין זה כתב הטור אליבא דהרמב"ם דס"ל דיכול הבעל לומר לה לא תאכל עמי רק בליל שבת אף שהיא אינה מרוצה לזה וכמבואר בסעי' שאחר זה</w:t>
      </w:r>
      <w:r w:rsidR="00235FB8">
        <w:rPr>
          <w:rFonts w:cs="Arial" w:hint="cs"/>
          <w:rtl/>
        </w:rPr>
        <w:t>,</w:t>
      </w:r>
      <w:r w:rsidRPr="00C35DBB">
        <w:rPr>
          <w:rFonts w:cs="Arial"/>
          <w:rtl/>
        </w:rPr>
        <w:t xml:space="preserve"> אבל לפי דעת הירושלמי וכמו שהכריע הרב מהרמ"א בהג"ה דאין ביד הבעל להכריחה שתאכל לבדה אא"כ קבלה עלי</w:t>
      </w:r>
      <w:r w:rsidR="00235FB8">
        <w:rPr>
          <w:rFonts w:cs="Arial" w:hint="cs"/>
          <w:rtl/>
        </w:rPr>
        <w:t>ה</w:t>
      </w:r>
      <w:r w:rsidRPr="00C35DBB">
        <w:rPr>
          <w:rFonts w:cs="Arial"/>
          <w:rtl/>
        </w:rPr>
        <w:t xml:space="preserve"> א"כ אין צורך לדין זה</w:t>
      </w:r>
      <w:r w:rsidR="00F529C7">
        <w:rPr>
          <w:rFonts w:cs="Arial" w:hint="cs"/>
          <w:rtl/>
        </w:rPr>
        <w:t>.</w:t>
      </w:r>
      <w:r w:rsidRPr="00C35DBB">
        <w:rPr>
          <w:rFonts w:cs="Arial"/>
          <w:rtl/>
        </w:rPr>
        <w:t xml:space="preserve"> </w:t>
      </w:r>
      <w:r w:rsidR="00F529C7">
        <w:rPr>
          <w:rFonts w:cs="Arial" w:hint="cs"/>
          <w:rtl/>
        </w:rPr>
        <w:t>ו</w:t>
      </w:r>
      <w:r w:rsidRPr="00C35DBB">
        <w:rPr>
          <w:rFonts w:cs="Arial"/>
          <w:rtl/>
        </w:rPr>
        <w:t>צריך לומר דהרב הגיה דין זה ע"פ הנוהגין כהרמב"ם</w:t>
      </w:r>
      <w:r>
        <w:rPr>
          <w:rFonts w:cs="Arial" w:hint="cs"/>
          <w:rtl/>
        </w:rPr>
        <w:t xml:space="preserve">, </w:t>
      </w:r>
      <w:r w:rsidRPr="00860AD2">
        <w:rPr>
          <w:rFonts w:cs="Arial" w:hint="cs"/>
          <w:b/>
          <w:bCs/>
          <w:rtl/>
        </w:rPr>
        <w:t>ח"מ</w:t>
      </w:r>
      <w:r>
        <w:rPr>
          <w:rFonts w:cs="Arial" w:hint="cs"/>
          <w:rtl/>
        </w:rPr>
        <w:t xml:space="preserve"> (סק"ב).</w:t>
      </w:r>
      <w:r>
        <w:rPr>
          <w:rFonts w:hint="cs"/>
          <w:rtl/>
        </w:rPr>
        <w:t xml:space="preserve"> </w:t>
      </w:r>
      <w:r w:rsidR="00860AD2">
        <w:rPr>
          <w:rFonts w:hint="cs"/>
          <w:rtl/>
        </w:rPr>
        <w:t xml:space="preserve">    </w:t>
      </w:r>
      <w:r>
        <w:rPr>
          <w:rFonts w:hint="cs"/>
          <w:rtl/>
        </w:rPr>
        <w:t xml:space="preserve">אך </w:t>
      </w:r>
      <w:r w:rsidRPr="00860AD2">
        <w:rPr>
          <w:rFonts w:hint="cs"/>
          <w:b/>
          <w:bCs/>
          <w:rtl/>
        </w:rPr>
        <w:t>הב"ש</w:t>
      </w:r>
      <w:r>
        <w:rPr>
          <w:rFonts w:hint="cs"/>
          <w:rtl/>
        </w:rPr>
        <w:t xml:space="preserve"> (סק"א) כתב </w:t>
      </w:r>
      <w:r>
        <w:rPr>
          <w:rFonts w:cs="Arial" w:hint="cs"/>
          <w:rtl/>
        </w:rPr>
        <w:t>דהיינו כד'</w:t>
      </w:r>
      <w:r w:rsidRPr="00C35DBB">
        <w:rPr>
          <w:rFonts w:cs="Arial"/>
          <w:rtl/>
        </w:rPr>
        <w:t xml:space="preserve"> </w:t>
      </w:r>
      <w:r>
        <w:rPr>
          <w:rFonts w:cs="Arial" w:hint="cs"/>
          <w:rtl/>
        </w:rPr>
        <w:t>ה</w:t>
      </w:r>
      <w:r w:rsidRPr="00C35DBB">
        <w:rPr>
          <w:rFonts w:cs="Arial"/>
          <w:rtl/>
        </w:rPr>
        <w:t xml:space="preserve">רמ"א בסמוך </w:t>
      </w:r>
      <w:r>
        <w:rPr>
          <w:rFonts w:cs="Arial" w:hint="cs"/>
          <w:rtl/>
        </w:rPr>
        <w:t>ו</w:t>
      </w:r>
      <w:r w:rsidRPr="00C35DBB">
        <w:rPr>
          <w:rFonts w:cs="Arial"/>
          <w:rtl/>
        </w:rPr>
        <w:t>צ"ל דאינה אוכל</w:t>
      </w:r>
      <w:r w:rsidR="00F529C7">
        <w:rPr>
          <w:rFonts w:cs="Arial" w:hint="cs"/>
          <w:rtl/>
        </w:rPr>
        <w:t>ת</w:t>
      </w:r>
      <w:r w:rsidRPr="00C35DBB">
        <w:rPr>
          <w:rFonts w:cs="Arial"/>
          <w:rtl/>
        </w:rPr>
        <w:t xml:space="preserve"> עמו היינו דהיא מרוצה</w:t>
      </w:r>
      <w:r w:rsidR="00F529C7">
        <w:rPr>
          <w:rFonts w:cs="Arial" w:hint="cs"/>
          <w:rtl/>
        </w:rPr>
        <w:t>,</w:t>
      </w:r>
      <w:r w:rsidRPr="00C35DBB">
        <w:rPr>
          <w:rFonts w:cs="Arial"/>
          <w:rtl/>
        </w:rPr>
        <w:t xml:space="preserve"> ומ"מ י"ל לא נתרצתי אא"כ שיתן לי כמנהג בית אבי</w:t>
      </w:r>
      <w:r>
        <w:rPr>
          <w:rFonts w:cs="Arial" w:hint="cs"/>
          <w:rtl/>
        </w:rPr>
        <w:t>,</w:t>
      </w:r>
      <w:r w:rsidRPr="00C35DBB">
        <w:rPr>
          <w:rFonts w:cs="Arial"/>
          <w:rtl/>
        </w:rPr>
        <w:t xml:space="preserve"> אפי' אם עשירי</w:t>
      </w:r>
      <w:r>
        <w:rPr>
          <w:rFonts w:cs="Arial" w:hint="cs"/>
          <w:rtl/>
        </w:rPr>
        <w:t>ם</w:t>
      </w:r>
      <w:r w:rsidRPr="00C35DBB">
        <w:rPr>
          <w:rFonts w:cs="Arial"/>
          <w:rtl/>
        </w:rPr>
        <w:t xml:space="preserve"> כבעלה שבמשפחתה אין נוהגים כן י"ל לא נתרצתי</w:t>
      </w:r>
      <w:r>
        <w:rPr>
          <w:rFonts w:cs="Arial" w:hint="cs"/>
          <w:rtl/>
        </w:rPr>
        <w:t>.</w:t>
      </w:r>
      <w:r w:rsidRPr="00C35DBB">
        <w:rPr>
          <w:rFonts w:cs="Arial"/>
          <w:rtl/>
        </w:rPr>
        <w:t xml:space="preserve"> וכ"כ ב"ח</w:t>
      </w:r>
      <w:r>
        <w:rPr>
          <w:rFonts w:cs="Arial" w:hint="cs"/>
          <w:rtl/>
        </w:rPr>
        <w:t>.</w:t>
      </w:r>
      <w:r w:rsidRPr="00C35DBB">
        <w:rPr>
          <w:rFonts w:cs="Arial"/>
          <w:rtl/>
        </w:rPr>
        <w:t xml:space="preserve"> מיהו בטור כ' צריך להנהיגה בדרך שהיתה נוהג' בבי</w:t>
      </w:r>
      <w:r w:rsidR="00F529C7">
        <w:rPr>
          <w:rFonts w:cs="Arial" w:hint="cs"/>
          <w:rtl/>
        </w:rPr>
        <w:t>ת</w:t>
      </w:r>
      <w:r w:rsidRPr="00C35DBB">
        <w:rPr>
          <w:rFonts w:cs="Arial"/>
          <w:rtl/>
        </w:rPr>
        <w:t xml:space="preserve"> אביה שהרי ברשותו הוא ליתן לה מזונו</w:t>
      </w:r>
      <w:r w:rsidR="00F529C7">
        <w:rPr>
          <w:rFonts w:cs="Arial" w:hint="cs"/>
          <w:rtl/>
        </w:rPr>
        <w:t>ת</w:t>
      </w:r>
      <w:r w:rsidRPr="00C35DBB">
        <w:rPr>
          <w:rFonts w:cs="Arial"/>
          <w:rtl/>
        </w:rPr>
        <w:t xml:space="preserve"> והיא תאכל לבדה</w:t>
      </w:r>
      <w:r>
        <w:rPr>
          <w:rFonts w:cs="Arial" w:hint="cs"/>
          <w:rtl/>
        </w:rPr>
        <w:t>,</w:t>
      </w:r>
      <w:r w:rsidRPr="00C35DBB">
        <w:rPr>
          <w:rFonts w:cs="Arial"/>
          <w:rtl/>
        </w:rPr>
        <w:t xml:space="preserve"> משמע אם לא היה ברשותו אלא היא נתרצה לזה תו א"י לו</w:t>
      </w:r>
      <w:r w:rsidR="00F529C7">
        <w:rPr>
          <w:rFonts w:cs="Arial" w:hint="cs"/>
          <w:rtl/>
        </w:rPr>
        <w:t>מר</w:t>
      </w:r>
      <w:r w:rsidRPr="00C35DBB">
        <w:rPr>
          <w:rFonts w:cs="Arial"/>
          <w:rtl/>
        </w:rPr>
        <w:t xml:space="preserve"> לא נתרצתי אא"כ שיתן לי כמנהג בית אבי</w:t>
      </w:r>
      <w:r>
        <w:rPr>
          <w:rFonts w:cs="Arial" w:hint="cs"/>
          <w:rtl/>
        </w:rPr>
        <w:t>.</w:t>
      </w:r>
      <w:r w:rsidRPr="00C35DBB">
        <w:rPr>
          <w:rFonts w:cs="Arial"/>
          <w:rtl/>
        </w:rPr>
        <w:t xml:space="preserve"> וע' בתו</w:t>
      </w:r>
      <w:r w:rsidR="00F529C7">
        <w:rPr>
          <w:rFonts w:cs="Arial" w:hint="cs"/>
          <w:rtl/>
        </w:rPr>
        <w:t>ס</w:t>
      </w:r>
      <w:r w:rsidRPr="00C35DBB">
        <w:rPr>
          <w:rFonts w:cs="Arial"/>
          <w:rtl/>
        </w:rPr>
        <w:t>' שם ובהר"ן לתירץ הראשון כתבו אפילו דברים שכל בני משפחתה רגילים בהם והיא גלגלה עמו לא הוי מחילה וכשהיא תאכל לבדה צריך ליתן לה</w:t>
      </w:r>
      <w:r>
        <w:rPr>
          <w:rFonts w:cs="Arial" w:hint="cs"/>
          <w:rtl/>
        </w:rPr>
        <w:t>.</w:t>
      </w:r>
      <w:r w:rsidRPr="00C35DBB">
        <w:rPr>
          <w:rFonts w:cs="Arial"/>
          <w:rtl/>
        </w:rPr>
        <w:t xml:space="preserve"> וי"ל אף לתירוץ הב' שכתבו לא נדחה סברא זו</w:t>
      </w:r>
      <w:r>
        <w:rPr>
          <w:rFonts w:cs="Arial" w:hint="cs"/>
          <w:rtl/>
        </w:rPr>
        <w:t>.</w:t>
      </w:r>
    </w:p>
  </w:footnote>
  <w:footnote w:id="261">
    <w:p w14:paraId="621E5264" w14:textId="77777777" w:rsidR="00DE2F5F" w:rsidRDefault="00DE2F5F" w:rsidP="00F32736">
      <w:pPr>
        <w:pStyle w:val="a5"/>
        <w:rPr>
          <w:rtl/>
        </w:rPr>
      </w:pPr>
      <w:r>
        <w:rPr>
          <w:rStyle w:val="a7"/>
        </w:rPr>
        <w:footnoteRef/>
      </w:r>
      <w:r>
        <w:rPr>
          <w:rtl/>
        </w:rPr>
        <w:t xml:space="preserve"> </w:t>
      </w:r>
      <w:r>
        <w:rPr>
          <w:rFonts w:cs="Arial" w:hint="cs"/>
          <w:rtl/>
        </w:rPr>
        <w:t xml:space="preserve">ראב"ד </w:t>
      </w:r>
      <w:r>
        <w:rPr>
          <w:rFonts w:cs="Arial" w:hint="cs"/>
          <w:sz w:val="16"/>
          <w:szCs w:val="16"/>
          <w:rtl/>
        </w:rPr>
        <w:t>(כ"כ הרשב"א בשמו [סד: ד"ה מתני'])</w:t>
      </w:r>
      <w:r>
        <w:rPr>
          <w:rFonts w:cs="Arial" w:hint="cs"/>
          <w:rtl/>
        </w:rPr>
        <w:t xml:space="preserve"> רמב"ן </w:t>
      </w:r>
      <w:r>
        <w:rPr>
          <w:rFonts w:cs="Arial" w:hint="cs"/>
          <w:sz w:val="16"/>
          <w:szCs w:val="16"/>
          <w:rtl/>
        </w:rPr>
        <w:t>(ר"פ המדיר ע: ד"ה טפי)</w:t>
      </w:r>
      <w:r>
        <w:rPr>
          <w:rFonts w:cs="Arial" w:hint="cs"/>
          <w:rtl/>
        </w:rPr>
        <w:t xml:space="preserve"> רשב"א </w:t>
      </w:r>
      <w:r>
        <w:rPr>
          <w:rFonts w:cs="Arial" w:hint="cs"/>
          <w:sz w:val="16"/>
          <w:szCs w:val="16"/>
          <w:rtl/>
        </w:rPr>
        <w:t>(סד: ד"ה מתני', ובמיוחסות סי' קד)</w:t>
      </w:r>
      <w:r>
        <w:rPr>
          <w:rFonts w:cs="Arial" w:hint="cs"/>
          <w:rtl/>
        </w:rPr>
        <w:t xml:space="preserve"> רא"ש </w:t>
      </w:r>
      <w:r>
        <w:rPr>
          <w:rFonts w:cs="Arial" w:hint="cs"/>
          <w:sz w:val="16"/>
          <w:szCs w:val="16"/>
          <w:rtl/>
        </w:rPr>
        <w:t>(כ"כ הטור בשמו)</w:t>
      </w:r>
      <w:r>
        <w:rPr>
          <w:rFonts w:cs="Arial" w:hint="cs"/>
          <w:rtl/>
        </w:rPr>
        <w:t xml:space="preserve"> טור</w:t>
      </w:r>
      <w:r w:rsidRPr="001D4400">
        <w:rPr>
          <w:rFonts w:cs="Arial" w:hint="cs"/>
          <w:rtl/>
        </w:rPr>
        <w:t xml:space="preserve"> </w:t>
      </w:r>
      <w:r>
        <w:rPr>
          <w:rFonts w:cs="Arial" w:hint="cs"/>
          <w:rtl/>
        </w:rPr>
        <w:t xml:space="preserve">ורשב"ש </w:t>
      </w:r>
      <w:r>
        <w:rPr>
          <w:rFonts w:cs="Arial" w:hint="cs"/>
          <w:sz w:val="16"/>
          <w:szCs w:val="16"/>
          <w:rtl/>
        </w:rPr>
        <w:t>(כ"כ הב"י בשמו)</w:t>
      </w:r>
      <w:r>
        <w:rPr>
          <w:rFonts w:hint="cs"/>
          <w:rtl/>
        </w:rPr>
        <w:t>.</w:t>
      </w:r>
    </w:p>
  </w:footnote>
  <w:footnote w:id="262">
    <w:p w14:paraId="404BB6A5" w14:textId="57688AF1" w:rsidR="00DE2F5F" w:rsidRDefault="00DE2F5F" w:rsidP="00F32736">
      <w:pPr>
        <w:pStyle w:val="a5"/>
        <w:rPr>
          <w:rtl/>
        </w:rPr>
      </w:pPr>
      <w:r>
        <w:rPr>
          <w:rStyle w:val="a7"/>
        </w:rPr>
        <w:footnoteRef/>
      </w:r>
      <w:r>
        <w:rPr>
          <w:rtl/>
        </w:rPr>
        <w:t xml:space="preserve"> </w:t>
      </w:r>
      <w:r>
        <w:rPr>
          <w:rFonts w:cs="Arial" w:hint="cs"/>
          <w:rtl/>
        </w:rPr>
        <w:t>ו</w:t>
      </w:r>
      <w:r w:rsidRPr="002D671F">
        <w:rPr>
          <w:rFonts w:cs="Arial"/>
          <w:rtl/>
        </w:rPr>
        <w:t>כתב ה</w:t>
      </w:r>
      <w:r>
        <w:rPr>
          <w:rFonts w:cs="Arial" w:hint="cs"/>
          <w:rtl/>
        </w:rPr>
        <w:t>ה"מ</w:t>
      </w:r>
      <w:r w:rsidRPr="002D671F">
        <w:rPr>
          <w:rFonts w:cs="Arial"/>
          <w:rtl/>
        </w:rPr>
        <w:t xml:space="preserve"> (הי"ב)</w:t>
      </w:r>
      <w:r w:rsidR="001418E1">
        <w:rPr>
          <w:rFonts w:cs="Arial" w:hint="cs"/>
          <w:rtl/>
        </w:rPr>
        <w:t xml:space="preserve">: </w:t>
      </w:r>
      <w:r w:rsidRPr="002D671F">
        <w:rPr>
          <w:rFonts w:cs="Arial"/>
          <w:rtl/>
        </w:rPr>
        <w:t>כך הוא פשטה של משנתינו</w:t>
      </w:r>
      <w:r>
        <w:rPr>
          <w:rFonts w:cs="Arial" w:hint="cs"/>
          <w:rtl/>
        </w:rPr>
        <w:t>,</w:t>
      </w:r>
      <w:r w:rsidRPr="002D671F">
        <w:rPr>
          <w:rFonts w:cs="Arial"/>
          <w:rtl/>
        </w:rPr>
        <w:t xml:space="preserve"> אבל הרשב"א (סד: ד"ה מתני') כתב שהראב"ד פירש כגון שהוא עושה מלאכה או שלומד בעיר אחרת שעונתו מערב שבת לערב שבת</w:t>
      </w:r>
      <w:r>
        <w:rPr>
          <w:rFonts w:cs="Arial" w:hint="cs"/>
          <w:rtl/>
        </w:rPr>
        <w:t>.</w:t>
      </w:r>
      <w:r w:rsidRPr="002D671F">
        <w:rPr>
          <w:rFonts w:cs="Arial"/>
          <w:rtl/>
        </w:rPr>
        <w:t xml:space="preserve"> והזקיקו לפרש כן</w:t>
      </w:r>
      <w:r>
        <w:rPr>
          <w:rFonts w:cs="Arial" w:hint="cs"/>
          <w:rtl/>
        </w:rPr>
        <w:t>,</w:t>
      </w:r>
      <w:r w:rsidRPr="002D671F">
        <w:rPr>
          <w:rFonts w:cs="Arial"/>
          <w:rtl/>
        </w:rPr>
        <w:t xml:space="preserve"> שאילו בעושה מלאכה בעירו אי אפשר להשרותה ע"י שליש</w:t>
      </w:r>
      <w:r>
        <w:rPr>
          <w:rFonts w:cs="Arial" w:hint="cs"/>
          <w:rtl/>
        </w:rPr>
        <w:t>,</w:t>
      </w:r>
      <w:r w:rsidRPr="002D671F">
        <w:rPr>
          <w:rFonts w:cs="Arial"/>
          <w:rtl/>
        </w:rPr>
        <w:t xml:space="preserve"> אלא אוכלת עמו על השלחן</w:t>
      </w:r>
      <w:r>
        <w:rPr>
          <w:rFonts w:cs="Arial" w:hint="cs"/>
          <w:rtl/>
        </w:rPr>
        <w:t>,</w:t>
      </w:r>
      <w:r w:rsidRPr="002D671F">
        <w:rPr>
          <w:rFonts w:cs="Arial"/>
          <w:rtl/>
        </w:rPr>
        <w:t xml:space="preserve"> ואם לאו יוציא ויתן כתובה</w:t>
      </w:r>
      <w:r>
        <w:rPr>
          <w:rFonts w:cs="Arial" w:hint="cs"/>
          <w:rtl/>
        </w:rPr>
        <w:t>,</w:t>
      </w:r>
      <w:r w:rsidRPr="002D671F">
        <w:rPr>
          <w:rFonts w:cs="Arial"/>
          <w:rtl/>
        </w:rPr>
        <w:t xml:space="preserve"> משום דשמעי בה אינשי וזילא בה מילתא</w:t>
      </w:r>
      <w:r>
        <w:rPr>
          <w:rFonts w:cs="Arial" w:hint="cs"/>
          <w:rtl/>
        </w:rPr>
        <w:t>,</w:t>
      </w:r>
      <w:r w:rsidRPr="002D671F">
        <w:rPr>
          <w:rFonts w:cs="Arial"/>
          <w:rtl/>
        </w:rPr>
        <w:t xml:space="preserve"> דיאמרו הבריות מה ראתה זו להתרחק משלחן בעלה</w:t>
      </w:r>
      <w:r>
        <w:rPr>
          <w:rFonts w:cs="Arial" w:hint="cs"/>
          <w:rtl/>
        </w:rPr>
        <w:t>,</w:t>
      </w:r>
      <w:r w:rsidRPr="002D671F">
        <w:rPr>
          <w:rFonts w:cs="Arial"/>
          <w:rtl/>
        </w:rPr>
        <w:t xml:space="preserve"> וכדאמרינן (ע:) גבי מדיר את אשתו מליהנות לה</w:t>
      </w:r>
      <w:r>
        <w:rPr>
          <w:rFonts w:cs="Arial" w:hint="cs"/>
          <w:rtl/>
        </w:rPr>
        <w:t>.</w:t>
      </w:r>
      <w:r w:rsidRPr="002D671F">
        <w:rPr>
          <w:rFonts w:cs="Arial"/>
          <w:rtl/>
        </w:rPr>
        <w:t xml:space="preserve"> אי נמי מתניתין בשקיבלה עליה</w:t>
      </w:r>
      <w:r>
        <w:rPr>
          <w:rFonts w:cs="Arial" w:hint="cs"/>
          <w:rtl/>
        </w:rPr>
        <w:t>,</w:t>
      </w:r>
      <w:r w:rsidRPr="002D671F">
        <w:rPr>
          <w:rFonts w:cs="Arial"/>
          <w:rtl/>
        </w:rPr>
        <w:t xml:space="preserve"> והכי מוקי לה בירושלמי (פ"ז ה"א) עכ"ל. וכ"כ בתשובות להרמב"ן (המיוחסות) סימן ק"ד. ורבינו </w:t>
      </w:r>
      <w:r w:rsidR="001418E1">
        <w:rPr>
          <w:rFonts w:cs="Arial" w:hint="cs"/>
          <w:sz w:val="16"/>
          <w:szCs w:val="16"/>
          <w:rtl/>
        </w:rPr>
        <w:t>{הרמב"ם</w:t>
      </w:r>
      <w:r w:rsidR="00EB1EE9">
        <w:rPr>
          <w:rFonts w:cs="Arial" w:hint="cs"/>
          <w:sz w:val="16"/>
          <w:szCs w:val="16"/>
          <w:rtl/>
        </w:rPr>
        <w:t xml:space="preserve">} </w:t>
      </w:r>
      <w:r w:rsidRPr="002D671F">
        <w:rPr>
          <w:rFonts w:cs="Arial"/>
          <w:rtl/>
        </w:rPr>
        <w:t>כתב שהוא רשאי ומשמע מדבריו שכל אדם רשאי</w:t>
      </w:r>
      <w:r>
        <w:rPr>
          <w:rFonts w:cs="Arial" w:hint="cs"/>
          <w:rtl/>
        </w:rPr>
        <w:t>,</w:t>
      </w:r>
      <w:r w:rsidRPr="002D671F">
        <w:rPr>
          <w:rFonts w:cs="Arial"/>
          <w:rtl/>
        </w:rPr>
        <w:t xml:space="preserve"> והטעם שאינו דומה למדיר את אשתו מליהנות לה</w:t>
      </w:r>
      <w:r>
        <w:rPr>
          <w:rFonts w:cs="Arial" w:hint="cs"/>
          <w:rtl/>
        </w:rPr>
        <w:t>,</w:t>
      </w:r>
      <w:r w:rsidRPr="002D671F">
        <w:rPr>
          <w:rFonts w:cs="Arial"/>
          <w:rtl/>
        </w:rPr>
        <w:t xml:space="preserve"> דהתם יש שם איסור הנאה ואינה אוכלת עמו אפילו בליל שבת</w:t>
      </w:r>
      <w:r>
        <w:rPr>
          <w:rFonts w:cs="Arial" w:hint="cs"/>
          <w:rtl/>
        </w:rPr>
        <w:t>,</w:t>
      </w:r>
      <w:r w:rsidRPr="002D671F">
        <w:rPr>
          <w:rFonts w:cs="Arial"/>
          <w:rtl/>
        </w:rPr>
        <w:t xml:space="preserve"> אבל כאן שאין איסור הנאה ועוד שהוא אוכל עמה בכל לילי שבת </w:t>
      </w:r>
      <w:r>
        <w:rPr>
          <w:rFonts w:cs="Arial" w:hint="cs"/>
          <w:rtl/>
        </w:rPr>
        <w:t xml:space="preserve">- </w:t>
      </w:r>
      <w:r w:rsidRPr="002D671F">
        <w:rPr>
          <w:rFonts w:cs="Arial"/>
          <w:rtl/>
        </w:rPr>
        <w:t>רשאי</w:t>
      </w:r>
      <w:r>
        <w:rPr>
          <w:rFonts w:cs="Arial" w:hint="cs"/>
          <w:rtl/>
        </w:rPr>
        <w:t>.</w:t>
      </w:r>
      <w:r w:rsidRPr="002D671F">
        <w:rPr>
          <w:rFonts w:cs="Arial"/>
          <w:rtl/>
        </w:rPr>
        <w:t xml:space="preserve"> עכ"ל הרב המגיד ז"ל. וגם הר"ן (כח. ד"ה מתני') כתב דאע</w:t>
      </w:r>
      <w:r w:rsidR="00EB1EE9">
        <w:rPr>
          <w:rFonts w:cs="Arial" w:hint="cs"/>
          <w:rtl/>
        </w:rPr>
        <w:t>"</w:t>
      </w:r>
      <w:r w:rsidRPr="002D671F">
        <w:rPr>
          <w:rFonts w:cs="Arial"/>
          <w:rtl/>
        </w:rPr>
        <w:t>ג דבירושלמי מוקי מתניתין בשקיבלה עליה דוקא</w:t>
      </w:r>
      <w:r>
        <w:rPr>
          <w:rFonts w:cs="Arial" w:hint="cs"/>
          <w:rtl/>
        </w:rPr>
        <w:t>,</w:t>
      </w:r>
      <w:r w:rsidRPr="002D671F">
        <w:rPr>
          <w:rFonts w:cs="Arial"/>
          <w:rtl/>
        </w:rPr>
        <w:t xml:space="preserve"> מדברי הרמב"ם נראה דדוקא ע"י נדר הוא דמציא אמרה דזילא בה מילתא</w:t>
      </w:r>
      <w:r>
        <w:rPr>
          <w:rFonts w:cs="Arial" w:hint="cs"/>
          <w:rtl/>
        </w:rPr>
        <w:t>,</w:t>
      </w:r>
      <w:r w:rsidRPr="002D671F">
        <w:rPr>
          <w:rFonts w:cs="Arial"/>
          <w:rtl/>
        </w:rPr>
        <w:t xml:space="preserve"> אבל שלא ע"י נדר לא</w:t>
      </w:r>
      <w:r>
        <w:rPr>
          <w:rFonts w:cs="Arial" w:hint="cs"/>
          <w:rtl/>
        </w:rPr>
        <w:t>,</w:t>
      </w:r>
      <w:r w:rsidRPr="002D671F">
        <w:rPr>
          <w:rFonts w:cs="Arial"/>
          <w:rtl/>
        </w:rPr>
        <w:t xml:space="preserve"> וכפשטה דמתניתין</w:t>
      </w:r>
      <w:r w:rsidR="001418E1">
        <w:rPr>
          <w:rFonts w:cs="Arial" w:hint="cs"/>
          <w:rtl/>
        </w:rPr>
        <w:t>, ב"י</w:t>
      </w:r>
      <w:r w:rsidRPr="002D671F">
        <w:rPr>
          <w:rFonts w:cs="Arial"/>
          <w:rtl/>
        </w:rPr>
        <w:t>.</w:t>
      </w:r>
    </w:p>
  </w:footnote>
  <w:footnote w:id="263">
    <w:p w14:paraId="3EAAD0EB" w14:textId="77777777" w:rsidR="00DE2F5F" w:rsidRDefault="00DE2F5F" w:rsidP="00D62B0F">
      <w:pPr>
        <w:pStyle w:val="a5"/>
      </w:pPr>
      <w:r>
        <w:rPr>
          <w:rStyle w:val="a7"/>
        </w:rPr>
        <w:footnoteRef/>
      </w:r>
      <w:r>
        <w:rPr>
          <w:rtl/>
        </w:rPr>
        <w:t xml:space="preserve"> </w:t>
      </w:r>
      <w:r w:rsidRPr="00380340">
        <w:rPr>
          <w:rFonts w:cs="Arial"/>
          <w:rtl/>
        </w:rPr>
        <w:t>האכילוהו שעורים כבהמה כל הנאכל שלא כדרכו קרי ליה כוסס</w:t>
      </w:r>
      <w:r>
        <w:rPr>
          <w:rFonts w:cs="Arial" w:hint="cs"/>
          <w:rtl/>
        </w:rPr>
        <w:t>, רש"י.</w:t>
      </w:r>
    </w:p>
  </w:footnote>
  <w:footnote w:id="264">
    <w:p w14:paraId="3A1DA495" w14:textId="77777777" w:rsidR="00DE2F5F" w:rsidRDefault="00DE2F5F" w:rsidP="00D62B0F">
      <w:pPr>
        <w:pStyle w:val="a5"/>
        <w:rPr>
          <w:rtl/>
        </w:rPr>
      </w:pPr>
      <w:r>
        <w:rPr>
          <w:rStyle w:val="a7"/>
        </w:rPr>
        <w:footnoteRef/>
      </w:r>
      <w:r>
        <w:rPr>
          <w:rtl/>
        </w:rPr>
        <w:t xml:space="preserve"> </w:t>
      </w:r>
      <w:r w:rsidRPr="00380340">
        <w:rPr>
          <w:rFonts w:cs="Arial"/>
          <w:rtl/>
        </w:rPr>
        <w:t>להא מילתא דרב</w:t>
      </w:r>
      <w:r>
        <w:rPr>
          <w:rFonts w:hint="cs"/>
          <w:rtl/>
        </w:rPr>
        <w:t>, רש"י.</w:t>
      </w:r>
    </w:p>
  </w:footnote>
  <w:footnote w:id="265">
    <w:p w14:paraId="1E3FC079" w14:textId="77777777" w:rsidR="00DE2F5F" w:rsidRDefault="00DE2F5F" w:rsidP="00D62B0F">
      <w:pPr>
        <w:pStyle w:val="a5"/>
        <w:rPr>
          <w:rtl/>
        </w:rPr>
      </w:pPr>
      <w:r>
        <w:rPr>
          <w:rStyle w:val="a7"/>
        </w:rPr>
        <w:footnoteRef/>
      </w:r>
      <w:r>
        <w:rPr>
          <w:rtl/>
        </w:rPr>
        <w:t xml:space="preserve"> </w:t>
      </w:r>
      <w:r w:rsidRPr="00380340">
        <w:rPr>
          <w:rFonts w:cs="Arial"/>
          <w:rtl/>
        </w:rPr>
        <w:t>דאיהו נמי כרב סבירא ליה</w:t>
      </w:r>
      <w:r>
        <w:rPr>
          <w:rFonts w:hint="cs"/>
          <w:rtl/>
        </w:rPr>
        <w:t>, רש"י.</w:t>
      </w:r>
    </w:p>
  </w:footnote>
  <w:footnote w:id="266">
    <w:p w14:paraId="2ADB55BF" w14:textId="77777777" w:rsidR="00B33310" w:rsidRDefault="00B33310" w:rsidP="00B33310">
      <w:pPr>
        <w:pStyle w:val="a5"/>
        <w:rPr>
          <w:rtl/>
        </w:rPr>
      </w:pPr>
      <w:r>
        <w:rPr>
          <w:rStyle w:val="a7"/>
        </w:rPr>
        <w:footnoteRef/>
      </w:r>
      <w:r>
        <w:rPr>
          <w:rtl/>
        </w:rPr>
        <w:t xml:space="preserve"> </w:t>
      </w:r>
      <w:r>
        <w:rPr>
          <w:rFonts w:cs="Arial" w:hint="cs"/>
          <w:rtl/>
        </w:rPr>
        <w:t xml:space="preserve">וז"ל: </w:t>
      </w:r>
      <w:r w:rsidRPr="00486216">
        <w:rPr>
          <w:rFonts w:cs="Arial"/>
          <w:rtl/>
        </w:rPr>
        <w:t>אפילו לדברי ר"ח והרי"ף איפשר לומר שאם אין ב"ד יכולין לכופו</w:t>
      </w:r>
      <w:r>
        <w:rPr>
          <w:rFonts w:cs="Arial" w:hint="cs"/>
          <w:rtl/>
        </w:rPr>
        <w:t>,</w:t>
      </w:r>
      <w:r w:rsidRPr="00486216">
        <w:rPr>
          <w:rFonts w:cs="Arial"/>
          <w:rtl/>
        </w:rPr>
        <w:t xml:space="preserve"> כגון שאין לו במה לפרנס</w:t>
      </w:r>
      <w:r>
        <w:rPr>
          <w:rFonts w:cs="Arial" w:hint="cs"/>
          <w:rtl/>
        </w:rPr>
        <w:t>,</w:t>
      </w:r>
      <w:r w:rsidRPr="00486216">
        <w:rPr>
          <w:rFonts w:cs="Arial"/>
          <w:rtl/>
        </w:rPr>
        <w:t xml:space="preserve"> אי נמי שאינו רוצה להשתכר להרויח ולזון </w:t>
      </w:r>
      <w:r>
        <w:rPr>
          <w:rFonts w:cs="Arial" w:hint="cs"/>
          <w:rtl/>
        </w:rPr>
        <w:t xml:space="preserve">- </w:t>
      </w:r>
      <w:r w:rsidRPr="00486216">
        <w:rPr>
          <w:rFonts w:cs="Arial"/>
          <w:rtl/>
        </w:rPr>
        <w:t>שכופין אותו להוציא</w:t>
      </w:r>
      <w:r>
        <w:rPr>
          <w:rFonts w:cs="Arial" w:hint="cs"/>
          <w:rtl/>
        </w:rPr>
        <w:t>.</w:t>
      </w:r>
      <w:r w:rsidRPr="00486216">
        <w:rPr>
          <w:rFonts w:cs="Arial"/>
          <w:rtl/>
        </w:rPr>
        <w:t xml:space="preserve"> דהא שמואל לא דחי להא דרב אלא מהאי טעמא דעד שכופין אותו להוציא יכפוהו לזון</w:t>
      </w:r>
      <w:r>
        <w:rPr>
          <w:rFonts w:cs="Arial" w:hint="cs"/>
          <w:rtl/>
        </w:rPr>
        <w:t>,</w:t>
      </w:r>
      <w:r w:rsidRPr="00486216">
        <w:rPr>
          <w:rFonts w:cs="Arial"/>
          <w:rtl/>
        </w:rPr>
        <w:t xml:space="preserve"> הא אין יכולין לכופו לזון יכפוהו להוציא</w:t>
      </w:r>
      <w:r>
        <w:rPr>
          <w:rFonts w:hint="cs"/>
          <w:rtl/>
        </w:rPr>
        <w:t>. עכ"ל.       וכתב הה"מ שהן הן דברי הרמב"ם.</w:t>
      </w:r>
    </w:p>
  </w:footnote>
  <w:footnote w:id="267">
    <w:p w14:paraId="0EC79B5B" w14:textId="77777777" w:rsidR="00DE2F5F" w:rsidRDefault="00DE2F5F" w:rsidP="00D62B0F">
      <w:pPr>
        <w:pStyle w:val="a5"/>
        <w:rPr>
          <w:rtl/>
        </w:rPr>
      </w:pPr>
      <w:r>
        <w:rPr>
          <w:rStyle w:val="a7"/>
        </w:rPr>
        <w:footnoteRef/>
      </w:r>
      <w:r>
        <w:rPr>
          <w:rtl/>
        </w:rPr>
        <w:t xml:space="preserve"> </w:t>
      </w:r>
      <w:r w:rsidRPr="00486216">
        <w:rPr>
          <w:rFonts w:cs="Arial"/>
          <w:rtl/>
        </w:rPr>
        <w:t>ור</w:t>
      </w:r>
      <w:r>
        <w:rPr>
          <w:rFonts w:cs="Arial" w:hint="cs"/>
          <w:rtl/>
        </w:rPr>
        <w:t>י"ו</w:t>
      </w:r>
      <w:r w:rsidRPr="00486216">
        <w:rPr>
          <w:rFonts w:cs="Arial"/>
          <w:rtl/>
        </w:rPr>
        <w:t xml:space="preserve"> </w:t>
      </w:r>
      <w:r w:rsidRPr="00130AAC">
        <w:rPr>
          <w:rFonts w:cs="Arial"/>
          <w:sz w:val="16"/>
          <w:szCs w:val="16"/>
          <w:rtl/>
        </w:rPr>
        <w:t xml:space="preserve">(מישרים נכ"ג ח"ה נז ע"ד) </w:t>
      </w:r>
      <w:r w:rsidRPr="00486216">
        <w:rPr>
          <w:rFonts w:cs="Arial"/>
          <w:rtl/>
        </w:rPr>
        <w:t>כתב שתמהו על הרמב"ם למה כופין אותו להוציא מאחר שאין לו ממה לזונה</w:t>
      </w:r>
      <w:r>
        <w:rPr>
          <w:rFonts w:cs="Arial" w:hint="cs"/>
          <w:rtl/>
        </w:rPr>
        <w:t>,</w:t>
      </w:r>
      <w:r w:rsidRPr="00486216">
        <w:rPr>
          <w:rFonts w:cs="Arial"/>
          <w:rtl/>
        </w:rPr>
        <w:t xml:space="preserve"> דאם אין לו</w:t>
      </w:r>
      <w:r>
        <w:rPr>
          <w:rFonts w:cs="Arial" w:hint="cs"/>
          <w:rtl/>
        </w:rPr>
        <w:t xml:space="preserve"> -</w:t>
      </w:r>
      <w:r w:rsidRPr="00486216">
        <w:rPr>
          <w:rFonts w:cs="Arial"/>
          <w:rtl/>
        </w:rPr>
        <w:t xml:space="preserve"> אין כופין</w:t>
      </w:r>
      <w:r>
        <w:rPr>
          <w:rFonts w:hint="cs"/>
          <w:rtl/>
        </w:rPr>
        <w:t>.</w:t>
      </w:r>
    </w:p>
  </w:footnote>
  <w:footnote w:id="268">
    <w:p w14:paraId="7A678163" w14:textId="77777777" w:rsidR="00DE2F5F" w:rsidRDefault="00DE2F5F" w:rsidP="00D62B0F">
      <w:pPr>
        <w:pStyle w:val="a5"/>
      </w:pPr>
      <w:r>
        <w:rPr>
          <w:rStyle w:val="a7"/>
        </w:rPr>
        <w:footnoteRef/>
      </w:r>
      <w:r>
        <w:rPr>
          <w:rtl/>
        </w:rPr>
        <w:t xml:space="preserve"> </w:t>
      </w:r>
      <w:r>
        <w:rPr>
          <w:rFonts w:cs="Arial"/>
          <w:rtl/>
        </w:rPr>
        <w:t>כי היכי דאיהי משעבדא ליה איהו נמי משעבד לה</w:t>
      </w:r>
      <w:r>
        <w:rPr>
          <w:rFonts w:cs="Arial" w:hint="cs"/>
          <w:rtl/>
        </w:rPr>
        <w:t>, ב"י.</w:t>
      </w:r>
    </w:p>
  </w:footnote>
  <w:footnote w:id="269">
    <w:p w14:paraId="6FDB9EC9" w14:textId="77777777" w:rsidR="00DE2F5F" w:rsidRDefault="00DE2F5F" w:rsidP="00D62B0F">
      <w:pPr>
        <w:pStyle w:val="a5"/>
        <w:rPr>
          <w:rtl/>
        </w:rPr>
      </w:pPr>
      <w:r>
        <w:rPr>
          <w:rStyle w:val="a7"/>
        </w:rPr>
        <w:footnoteRef/>
      </w:r>
      <w:r>
        <w:rPr>
          <w:rtl/>
        </w:rPr>
        <w:t xml:space="preserve"> </w:t>
      </w:r>
      <w:r>
        <w:rPr>
          <w:rFonts w:cs="Arial"/>
          <w:rtl/>
        </w:rPr>
        <w:t>כ</w:t>
      </w:r>
      <w:r>
        <w:rPr>
          <w:rFonts w:cs="Arial" w:hint="cs"/>
          <w:rtl/>
        </w:rPr>
        <w:t>תבו</w:t>
      </w:r>
      <w:r>
        <w:rPr>
          <w:rFonts w:cs="Arial"/>
          <w:rtl/>
        </w:rPr>
        <w:t xml:space="preserve"> התוס</w:t>
      </w:r>
      <w:r>
        <w:rPr>
          <w:rFonts w:cs="Arial" w:hint="cs"/>
          <w:rtl/>
        </w:rPr>
        <w:t xml:space="preserve">' </w:t>
      </w:r>
      <w:r w:rsidRPr="00771687">
        <w:rPr>
          <w:rFonts w:cs="Arial" w:hint="cs"/>
          <w:sz w:val="16"/>
          <w:szCs w:val="16"/>
          <w:rtl/>
        </w:rPr>
        <w:t>(</w:t>
      </w:r>
      <w:r w:rsidRPr="00771687">
        <w:rPr>
          <w:rFonts w:cs="Arial"/>
          <w:sz w:val="16"/>
          <w:szCs w:val="16"/>
          <w:rtl/>
        </w:rPr>
        <w:t>פ</w:t>
      </w:r>
      <w:r w:rsidRPr="00771687">
        <w:rPr>
          <w:rFonts w:cs="Arial" w:hint="cs"/>
          <w:sz w:val="16"/>
          <w:szCs w:val="16"/>
          <w:rtl/>
        </w:rPr>
        <w:t>'</w:t>
      </w:r>
      <w:r w:rsidRPr="00771687">
        <w:rPr>
          <w:rFonts w:cs="Arial"/>
          <w:sz w:val="16"/>
          <w:szCs w:val="16"/>
          <w:rtl/>
        </w:rPr>
        <w:t xml:space="preserve"> אף על פי סג. תוד"ה באומר</w:t>
      </w:r>
      <w:r>
        <w:rPr>
          <w:rFonts w:cs="Arial" w:hint="cs"/>
          <w:sz w:val="16"/>
          <w:szCs w:val="16"/>
          <w:rtl/>
        </w:rPr>
        <w:t>)</w:t>
      </w:r>
      <w:r>
        <w:rPr>
          <w:rFonts w:cs="Arial"/>
          <w:rtl/>
        </w:rPr>
        <w:t xml:space="preserve"> ו</w:t>
      </w:r>
      <w:r>
        <w:rPr>
          <w:rFonts w:cs="Arial" w:hint="cs"/>
          <w:rtl/>
        </w:rPr>
        <w:t>ה</w:t>
      </w:r>
      <w:r>
        <w:rPr>
          <w:rFonts w:cs="Arial"/>
          <w:rtl/>
        </w:rPr>
        <w:t>רא"ש</w:t>
      </w:r>
      <w:r w:rsidRPr="00771687">
        <w:rPr>
          <w:rFonts w:cs="Arial"/>
          <w:sz w:val="16"/>
          <w:szCs w:val="16"/>
          <w:rtl/>
        </w:rPr>
        <w:t xml:space="preserve"> </w:t>
      </w:r>
      <w:r>
        <w:rPr>
          <w:rFonts w:cs="Arial" w:hint="cs"/>
          <w:sz w:val="16"/>
          <w:szCs w:val="16"/>
          <w:rtl/>
        </w:rPr>
        <w:t>(</w:t>
      </w:r>
      <w:r w:rsidRPr="00771687">
        <w:rPr>
          <w:rFonts w:cs="Arial"/>
          <w:sz w:val="16"/>
          <w:szCs w:val="16"/>
          <w:rtl/>
        </w:rPr>
        <w:t>סי' לב)</w:t>
      </w:r>
      <w:r>
        <w:rPr>
          <w:rFonts w:cs="Arial"/>
          <w:rtl/>
        </w:rPr>
        <w:t xml:space="preserve"> </w:t>
      </w:r>
      <w:r>
        <w:rPr>
          <w:rFonts w:cs="Arial" w:hint="cs"/>
          <w:rtl/>
        </w:rPr>
        <w:t>ד</w:t>
      </w:r>
      <w:r>
        <w:rPr>
          <w:rFonts w:cs="Arial"/>
          <w:rtl/>
        </w:rPr>
        <w:t>מכאן</w:t>
      </w:r>
      <w:r>
        <w:rPr>
          <w:rFonts w:cs="Arial" w:hint="cs"/>
          <w:sz w:val="16"/>
          <w:szCs w:val="16"/>
          <w:rtl/>
        </w:rPr>
        <w:t xml:space="preserve"> {מגמ' זו דלעיל}</w:t>
      </w:r>
      <w:r>
        <w:rPr>
          <w:rFonts w:cs="Arial"/>
          <w:rtl/>
        </w:rPr>
        <w:t xml:space="preserve"> היה רוצה להוכיח רבינו אליהו ש</w:t>
      </w:r>
      <w:r>
        <w:rPr>
          <w:rFonts w:cs="Arial" w:hint="cs"/>
          <w:rtl/>
        </w:rPr>
        <w:t>-...</w:t>
      </w:r>
    </w:p>
  </w:footnote>
  <w:footnote w:id="270">
    <w:p w14:paraId="6BDD7777" w14:textId="50D5F4B1" w:rsidR="00DE2F5F" w:rsidRDefault="00DE2F5F">
      <w:pPr>
        <w:pStyle w:val="a5"/>
      </w:pPr>
      <w:r>
        <w:rPr>
          <w:rStyle w:val="a7"/>
        </w:rPr>
        <w:footnoteRef/>
      </w:r>
      <w:r>
        <w:rPr>
          <w:rtl/>
        </w:rPr>
        <w:t xml:space="preserve"> </w:t>
      </w:r>
      <w:r>
        <w:rPr>
          <w:rFonts w:hint="cs"/>
          <w:rtl/>
        </w:rPr>
        <w:t>ור"ת אומר ד</w:t>
      </w:r>
      <w:r>
        <w:rPr>
          <w:rFonts w:cs="Arial"/>
          <w:rtl/>
        </w:rPr>
        <w:t>מהכ</w:t>
      </w:r>
      <w:r>
        <w:rPr>
          <w:rFonts w:cs="Arial" w:hint="cs"/>
          <w:rtl/>
        </w:rPr>
        <w:t>א</w:t>
      </w:r>
      <w:r>
        <w:rPr>
          <w:rFonts w:cs="Arial" w:hint="cs"/>
          <w:sz w:val="16"/>
          <w:szCs w:val="16"/>
          <w:rtl/>
        </w:rPr>
        <w:t xml:space="preserve"> </w:t>
      </w:r>
      <w:r>
        <w:rPr>
          <w:rFonts w:cs="Arial"/>
          <w:rtl/>
        </w:rPr>
        <w:t>אין ראיה</w:t>
      </w:r>
      <w:r>
        <w:rPr>
          <w:rFonts w:cs="Arial" w:hint="cs"/>
          <w:rtl/>
        </w:rPr>
        <w:t>,</w:t>
      </w:r>
      <w:r>
        <w:rPr>
          <w:rFonts w:cs="Arial"/>
          <w:rtl/>
        </w:rPr>
        <w:t xml:space="preserve"> דהכי פירושא באומר איני זן ואיני מפרנס דהיינו מרד האיש כנגד מרד האשה</w:t>
      </w:r>
      <w:r>
        <w:rPr>
          <w:rFonts w:cs="Arial" w:hint="cs"/>
          <w:rtl/>
        </w:rPr>
        <w:t>,</w:t>
      </w:r>
      <w:r>
        <w:rPr>
          <w:rFonts w:cs="Arial"/>
          <w:rtl/>
        </w:rPr>
        <w:t xml:space="preserve"> דמרד האשה היינו במלאכה שתחת מזונותיה</w:t>
      </w:r>
      <w:r>
        <w:rPr>
          <w:rFonts w:cs="Arial" w:hint="cs"/>
          <w:rtl/>
        </w:rPr>
        <w:t>,</w:t>
      </w:r>
      <w:r>
        <w:rPr>
          <w:rFonts w:cs="Arial"/>
          <w:rtl/>
        </w:rPr>
        <w:t xml:space="preserve"> ומרד האיש הוי ממזונות שהן כנגד מעשה ידיה</w:t>
      </w:r>
      <w:r>
        <w:rPr>
          <w:rFonts w:cs="Arial" w:hint="cs"/>
          <w:rtl/>
        </w:rPr>
        <w:t>.</w:t>
      </w:r>
      <w:r>
        <w:rPr>
          <w:rFonts w:cs="Arial"/>
          <w:rtl/>
        </w:rPr>
        <w:t xml:space="preserve"> ומכתובה אין להוכיח</w:t>
      </w:r>
      <w:r>
        <w:rPr>
          <w:rFonts w:cs="Arial" w:hint="cs"/>
          <w:rtl/>
        </w:rPr>
        <w:t>,</w:t>
      </w:r>
      <w:r>
        <w:rPr>
          <w:rFonts w:cs="Arial"/>
          <w:rtl/>
        </w:rPr>
        <w:t xml:space="preserve"> דאפלח אינו רוצה לומר שכירות אלא עבודה שדרך האיש לעבוד בביתו כגון לחרוש ולזרוע</w:t>
      </w:r>
      <w:r>
        <w:rPr>
          <w:rFonts w:cs="Arial" w:hint="cs"/>
          <w:rtl/>
        </w:rPr>
        <w:t>, תוס' (שם) ורא"ש (שם).</w:t>
      </w:r>
    </w:p>
  </w:footnote>
  <w:footnote w:id="271">
    <w:p w14:paraId="57676D8B" w14:textId="77777777" w:rsidR="00DE2F5F" w:rsidRDefault="00DE2F5F" w:rsidP="00D62B0F">
      <w:pPr>
        <w:pStyle w:val="a5"/>
        <w:rPr>
          <w:rtl/>
        </w:rPr>
      </w:pPr>
      <w:r>
        <w:rPr>
          <w:rStyle w:val="a7"/>
        </w:rPr>
        <w:footnoteRef/>
      </w:r>
      <w:r>
        <w:rPr>
          <w:rtl/>
        </w:rPr>
        <w:t xml:space="preserve"> </w:t>
      </w:r>
      <w:r>
        <w:rPr>
          <w:rFonts w:cs="Arial"/>
          <w:rtl/>
        </w:rPr>
        <w:t>ובתשובות מיימוניות דשייכי לספר נשים (סי' לא) כתוב שרבותינו שבצרפת נוהגים כפסק רבינו אליהו ועיין במרדכי פרק המדיר (סי' רה)</w:t>
      </w:r>
      <w:r>
        <w:rPr>
          <w:rFonts w:hint="cs"/>
          <w:rtl/>
        </w:rPr>
        <w:t>, ב"י.</w:t>
      </w:r>
    </w:p>
  </w:footnote>
  <w:footnote w:id="272">
    <w:p w14:paraId="41108884" w14:textId="6A7B71C5" w:rsidR="00DE2F5F" w:rsidRDefault="00DE2F5F">
      <w:pPr>
        <w:pStyle w:val="a5"/>
        <w:rPr>
          <w:rtl/>
        </w:rPr>
      </w:pPr>
      <w:r>
        <w:rPr>
          <w:rStyle w:val="a7"/>
        </w:rPr>
        <w:footnoteRef/>
      </w:r>
      <w:r>
        <w:rPr>
          <w:rtl/>
        </w:rPr>
        <w:t xml:space="preserve"> </w:t>
      </w:r>
      <w:r>
        <w:rPr>
          <w:rFonts w:cs="Arial" w:hint="cs"/>
          <w:rtl/>
        </w:rPr>
        <w:t>ר"ת</w:t>
      </w:r>
      <w:r>
        <w:rPr>
          <w:rFonts w:cs="Arial" w:hint="cs"/>
          <w:sz w:val="16"/>
          <w:szCs w:val="16"/>
          <w:rtl/>
        </w:rPr>
        <w:t xml:space="preserve"> (כ"כ התוס' [שם] הרא"ש [שם] והטור בשמו)</w:t>
      </w:r>
      <w:r w:rsidRPr="00E21D0B">
        <w:rPr>
          <w:rFonts w:cs="Arial"/>
          <w:sz w:val="16"/>
          <w:szCs w:val="16"/>
          <w:rtl/>
        </w:rPr>
        <w:t xml:space="preserve"> </w:t>
      </w:r>
      <w:r w:rsidRPr="00B3180C">
        <w:rPr>
          <w:rFonts w:cs="Arial"/>
          <w:rtl/>
        </w:rPr>
        <w:t>רמ"ה</w:t>
      </w:r>
      <w:r>
        <w:rPr>
          <w:rFonts w:cs="Arial" w:hint="cs"/>
          <w:sz w:val="16"/>
          <w:szCs w:val="16"/>
          <w:rtl/>
        </w:rPr>
        <w:t xml:space="preserve"> (כ"כ הטור בשמו)</w:t>
      </w:r>
      <w:r>
        <w:rPr>
          <w:rFonts w:cs="Arial" w:hint="cs"/>
          <w:rtl/>
        </w:rPr>
        <w:t xml:space="preserve"> ור"ן </w:t>
      </w:r>
      <w:r w:rsidRPr="00E21D0B">
        <w:rPr>
          <w:rFonts w:cs="Arial"/>
          <w:sz w:val="16"/>
          <w:szCs w:val="16"/>
          <w:rtl/>
        </w:rPr>
        <w:t xml:space="preserve">(לו. </w:t>
      </w:r>
      <w:r>
        <w:rPr>
          <w:rFonts w:cs="Arial" w:hint="cs"/>
          <w:sz w:val="16"/>
          <w:szCs w:val="16"/>
          <w:rtl/>
        </w:rPr>
        <w:t xml:space="preserve">מדפה"ר </w:t>
      </w:r>
      <w:r w:rsidRPr="00E21D0B">
        <w:rPr>
          <w:rFonts w:cs="Arial"/>
          <w:sz w:val="16"/>
          <w:szCs w:val="16"/>
          <w:rtl/>
        </w:rPr>
        <w:t>ד"ה אכסוהו שערי</w:t>
      </w:r>
      <w:r>
        <w:rPr>
          <w:rFonts w:cs="Arial" w:hint="cs"/>
          <w:sz w:val="16"/>
          <w:szCs w:val="16"/>
          <w:rtl/>
        </w:rPr>
        <w:t>, כ"כ הדרכ"מ [אות ב*] בשמו</w:t>
      </w:r>
      <w:r w:rsidRPr="00E21D0B">
        <w:rPr>
          <w:rFonts w:cs="Arial"/>
          <w:sz w:val="16"/>
          <w:szCs w:val="16"/>
          <w:rtl/>
        </w:rPr>
        <w:t>)</w:t>
      </w:r>
      <w:r>
        <w:rPr>
          <w:rFonts w:hint="cs"/>
          <w:rtl/>
        </w:rPr>
        <w:t>.</w:t>
      </w:r>
    </w:p>
  </w:footnote>
  <w:footnote w:id="273">
    <w:p w14:paraId="4155C788" w14:textId="77777777" w:rsidR="00DE2F5F" w:rsidRDefault="00DE2F5F" w:rsidP="00D62B0F">
      <w:pPr>
        <w:pStyle w:val="a5"/>
      </w:pPr>
      <w:r>
        <w:rPr>
          <w:rStyle w:val="a7"/>
        </w:rPr>
        <w:footnoteRef/>
      </w:r>
      <w:r>
        <w:rPr>
          <w:rtl/>
        </w:rPr>
        <w:t xml:space="preserve"> </w:t>
      </w:r>
      <w:r w:rsidRPr="002D671F">
        <w:rPr>
          <w:rFonts w:cs="Arial"/>
          <w:rtl/>
        </w:rPr>
        <w:t>ועיין בתשובות המיימוני דשייכי לספר נשים סימן ל"א</w:t>
      </w:r>
      <w:r>
        <w:rPr>
          <w:rFonts w:cs="Arial" w:hint="cs"/>
          <w:rtl/>
        </w:rPr>
        <w:t>, ב"י.</w:t>
      </w:r>
      <w:r w:rsidRPr="008A6B20">
        <w:rPr>
          <w:rFonts w:cs="Arial"/>
          <w:rtl/>
        </w:rPr>
        <w:t xml:space="preserve"> </w:t>
      </w:r>
      <w:r>
        <w:rPr>
          <w:rFonts w:cs="Arial" w:hint="cs"/>
          <w:rtl/>
        </w:rPr>
        <w:t xml:space="preserve">וכתב הדרכ"מ </w:t>
      </w:r>
      <w:r w:rsidRPr="008A6B20">
        <w:rPr>
          <w:rFonts w:cs="Arial"/>
          <w:rtl/>
        </w:rPr>
        <w:t>(</w:t>
      </w:r>
      <w:r>
        <w:rPr>
          <w:rFonts w:cs="Arial" w:hint="cs"/>
          <w:rtl/>
        </w:rPr>
        <w:t xml:space="preserve">אות </w:t>
      </w:r>
      <w:r w:rsidRPr="008A6B20">
        <w:rPr>
          <w:rFonts w:cs="Arial"/>
          <w:rtl/>
        </w:rPr>
        <w:t xml:space="preserve">ג) </w:t>
      </w:r>
      <w:r>
        <w:rPr>
          <w:rFonts w:cs="Arial" w:hint="cs"/>
          <w:rtl/>
        </w:rPr>
        <w:t xml:space="preserve">דכמו שפסק הרשב"א - </w:t>
      </w:r>
      <w:r w:rsidRPr="008A6B20">
        <w:rPr>
          <w:rFonts w:cs="Arial"/>
          <w:rtl/>
        </w:rPr>
        <w:t>כן משמע בגמרא פרק אלמנה נזונת (צז</w:t>
      </w:r>
      <w:r>
        <w:rPr>
          <w:rFonts w:cs="Arial" w:hint="cs"/>
          <w:rtl/>
        </w:rPr>
        <w:t>.</w:t>
      </w:r>
      <w:r w:rsidRPr="008A6B20">
        <w:rPr>
          <w:rFonts w:cs="Arial"/>
          <w:rtl/>
        </w:rPr>
        <w:t>)</w:t>
      </w:r>
      <w:r>
        <w:rPr>
          <w:rFonts w:cs="Arial" w:hint="cs"/>
          <w:rtl/>
        </w:rPr>
        <w:t>.</w:t>
      </w:r>
      <w:r w:rsidRPr="008A6B20">
        <w:rPr>
          <w:rFonts w:cs="Arial"/>
          <w:rtl/>
        </w:rPr>
        <w:t xml:space="preserve"> וע"ל סימן קי"ט (עמ' צט - ק) אי חייב לזון אשתו שנשתטית וע"ל סימן קי"ח (עמ' צד) מי שנשבע לחלק כל ריוח שלו עם שותפו ועתה טוען שאין השבועה חלה שאין מזונות לאשתו</w:t>
      </w:r>
      <w:r>
        <w:rPr>
          <w:rFonts w:cs="Arial" w:hint="cs"/>
          <w:rtl/>
        </w:rPr>
        <w:t>.</w:t>
      </w:r>
    </w:p>
  </w:footnote>
  <w:footnote w:id="274">
    <w:p w14:paraId="41D1802C" w14:textId="62516494" w:rsidR="00DE2F5F" w:rsidRDefault="00DE2F5F">
      <w:pPr>
        <w:pStyle w:val="a5"/>
      </w:pPr>
      <w:r>
        <w:rPr>
          <w:rStyle w:val="a7"/>
        </w:rPr>
        <w:footnoteRef/>
      </w:r>
      <w:r>
        <w:rPr>
          <w:rtl/>
        </w:rPr>
        <w:t xml:space="preserve"> </w:t>
      </w:r>
      <w:r w:rsidRPr="00571D74">
        <w:rPr>
          <w:rFonts w:cs="Arial"/>
          <w:rtl/>
        </w:rPr>
        <w:t>מפשט הל' משמע ומסידור בעל המחבר דקאי אסעי' שקודם לו באשה האוכלת לעצמה</w:t>
      </w:r>
      <w:r w:rsidR="005661E6">
        <w:rPr>
          <w:rFonts w:cs="Arial" w:hint="cs"/>
          <w:rtl/>
        </w:rPr>
        <w:t>,</w:t>
      </w:r>
      <w:r w:rsidRPr="00571D74">
        <w:rPr>
          <w:rFonts w:cs="Arial"/>
          <w:rtl/>
        </w:rPr>
        <w:t xml:space="preserve"> אבל אם אוכלת עמו והוא עני ואין לו שום לפתן רק פת חריבה היינו דקאמר ברישא אוכלת ושותה ממה שהוא אוכל ושותה</w:t>
      </w:r>
      <w:r w:rsidR="005661E6">
        <w:rPr>
          <w:rFonts w:cs="Arial" w:hint="cs"/>
          <w:rtl/>
        </w:rPr>
        <w:t>.</w:t>
      </w:r>
      <w:r w:rsidRPr="00571D74">
        <w:rPr>
          <w:rFonts w:cs="Arial"/>
          <w:rtl/>
        </w:rPr>
        <w:t xml:space="preserve"> אבל מסידור לשון הרמב"ם לא משמע כן אלא מיירי באוכלת עמו דאף שהוא אוכל פת חריבה יכבד אשתו יותר מגופו וצריך ליתן לה ליפתן ושמן ושאר דברים ע"ש</w:t>
      </w:r>
      <w:r>
        <w:rPr>
          <w:rFonts w:cs="Arial" w:hint="cs"/>
          <w:rtl/>
        </w:rPr>
        <w:t>, ח"מ (סק"ג).</w:t>
      </w:r>
    </w:p>
  </w:footnote>
  <w:footnote w:id="275">
    <w:p w14:paraId="3B873F6E" w14:textId="3CB184A1" w:rsidR="00DE2F5F" w:rsidRDefault="00DE2F5F">
      <w:pPr>
        <w:pStyle w:val="a5"/>
        <w:rPr>
          <w:rtl/>
        </w:rPr>
      </w:pPr>
      <w:r>
        <w:rPr>
          <w:rStyle w:val="a7"/>
        </w:rPr>
        <w:footnoteRef/>
      </w:r>
      <w:r>
        <w:rPr>
          <w:rtl/>
        </w:rPr>
        <w:t xml:space="preserve"> </w:t>
      </w:r>
      <w:r w:rsidRPr="00571D74">
        <w:rPr>
          <w:rFonts w:cs="Arial"/>
          <w:rtl/>
        </w:rPr>
        <w:t>ע' בר"ן שתמה על הרי"ף למה השמיט הא דאמרו בגמ' רגילה לשתות ב' כוסות בפני בעלה פוסקין לה שלא בפני בעלה כוס אחד ואם רגילה בפני בעלה בכוס א' אז שלא בפני בעלה אין נותנין לה כל עיקר כי היין מרגיל לתאוה וע"כ כ' הרמב"ם נותנין לה מעט יין ומזה משמע קצת דגם הרמב"ם מיירי באשה האוכלת בפני עצמה</w:t>
      </w:r>
      <w:r>
        <w:rPr>
          <w:rFonts w:hint="cs"/>
          <w:rtl/>
        </w:rPr>
        <w:t xml:space="preserve">, </w:t>
      </w:r>
      <w:r w:rsidRPr="00235FB8">
        <w:rPr>
          <w:rFonts w:hint="cs"/>
          <w:b/>
          <w:bCs/>
          <w:rtl/>
        </w:rPr>
        <w:t>ח"מ</w:t>
      </w:r>
      <w:r>
        <w:rPr>
          <w:rFonts w:hint="cs"/>
          <w:rtl/>
        </w:rPr>
        <w:t xml:space="preserve"> (סק"ד).</w:t>
      </w:r>
      <w:r w:rsidR="00235FB8">
        <w:rPr>
          <w:rFonts w:hint="cs"/>
          <w:rtl/>
        </w:rPr>
        <w:t xml:space="preserve">     </w:t>
      </w:r>
      <w:r>
        <w:rPr>
          <w:rFonts w:hint="cs"/>
          <w:rtl/>
        </w:rPr>
        <w:t xml:space="preserve"> </w:t>
      </w:r>
      <w:r w:rsidRPr="00235FB8">
        <w:rPr>
          <w:rFonts w:hint="cs"/>
          <w:b/>
          <w:bCs/>
          <w:rtl/>
        </w:rPr>
        <w:t>והב"ש</w:t>
      </w:r>
      <w:r>
        <w:rPr>
          <w:rFonts w:hint="cs"/>
          <w:rtl/>
        </w:rPr>
        <w:t xml:space="preserve"> (סק"ב) כתב ד</w:t>
      </w:r>
      <w:r w:rsidRPr="00FE1684">
        <w:rPr>
          <w:rFonts w:cs="Arial"/>
          <w:rtl/>
        </w:rPr>
        <w:t>כאן אינו מחלק אם בני משפחתה רגילים בהם לבין אם אין רגילים בהם משום בסעיף א' איירי ביש לו אז יש לחלק כהנ"ל אבל כאן איירי כשהוא עני אין מחלקים בזה ומ"מ חייב ליתן לה לחם ב' סעודו' וכו' דין זה נלמד ממתני' המשר' את אשתו ע"י שליש נשמע דאיירי כשאינה אוכל' עמו ואפשר אם היא אוכל' עמו מתגלגל' עמו אף בפחות משיעור זה ובלבד שיתן לה לחם וכן משמע בסמוך דאיירי דהיא אינה אוכלת עמו דהא כ' דנותן לה מעט יין לשתו' והיינו כשהוא אינו עמה וכן משמע מהרא"ש</w:t>
      </w:r>
      <w:r>
        <w:rPr>
          <w:rFonts w:hint="cs"/>
          <w:rtl/>
        </w:rPr>
        <w:t>.</w:t>
      </w:r>
    </w:p>
  </w:footnote>
  <w:footnote w:id="276">
    <w:p w14:paraId="26A95D1A" w14:textId="3FB2D2CC" w:rsidR="00DE2F5F" w:rsidRDefault="00DE2F5F">
      <w:pPr>
        <w:pStyle w:val="a5"/>
        <w:rPr>
          <w:rtl/>
        </w:rPr>
      </w:pPr>
      <w:r>
        <w:rPr>
          <w:rStyle w:val="a7"/>
        </w:rPr>
        <w:footnoteRef/>
      </w:r>
      <w:r>
        <w:rPr>
          <w:rtl/>
        </w:rPr>
        <w:t xml:space="preserve"> </w:t>
      </w:r>
      <w:r w:rsidRPr="00571D74">
        <w:rPr>
          <w:rFonts w:cs="Arial"/>
          <w:rtl/>
        </w:rPr>
        <w:t>כלומר נותנין לה מעט יין בכל מקום שהיין יפה לחלב אבל יותר מכוס אחד אין נותנין דהא אמרינן בכתובות (דס"ה ע"א) ששני כוסות הם ניוול לאשה</w:t>
      </w:r>
      <w:r>
        <w:rPr>
          <w:rFonts w:hint="cs"/>
          <w:rtl/>
        </w:rPr>
        <w:t xml:space="preserve">, </w:t>
      </w:r>
      <w:r w:rsidRPr="00235FB8">
        <w:rPr>
          <w:rFonts w:hint="cs"/>
          <w:b/>
          <w:bCs/>
          <w:rtl/>
        </w:rPr>
        <w:t>ח"מ</w:t>
      </w:r>
      <w:r>
        <w:rPr>
          <w:rFonts w:hint="cs"/>
          <w:rtl/>
        </w:rPr>
        <w:t xml:space="preserve"> (סק"ה).</w:t>
      </w:r>
      <w:r w:rsidR="00235FB8">
        <w:rPr>
          <w:rFonts w:hint="cs"/>
          <w:rtl/>
        </w:rPr>
        <w:t xml:space="preserve">    </w:t>
      </w:r>
      <w:r>
        <w:rPr>
          <w:rFonts w:hint="cs"/>
          <w:rtl/>
        </w:rPr>
        <w:t xml:space="preserve"> </w:t>
      </w:r>
      <w:r w:rsidRPr="00235FB8">
        <w:rPr>
          <w:rFonts w:hint="cs"/>
          <w:b/>
          <w:bCs/>
          <w:rtl/>
        </w:rPr>
        <w:t>והב"ש</w:t>
      </w:r>
      <w:r>
        <w:rPr>
          <w:rFonts w:hint="cs"/>
          <w:rtl/>
        </w:rPr>
        <w:t xml:space="preserve"> (סק"ד) כתב </w:t>
      </w:r>
      <w:r>
        <w:rPr>
          <w:rFonts w:cs="Arial" w:hint="cs"/>
          <w:rtl/>
        </w:rPr>
        <w:t>ד</w:t>
      </w:r>
      <w:r w:rsidRPr="00FE1684">
        <w:rPr>
          <w:rFonts w:cs="Arial"/>
          <w:rtl/>
        </w:rPr>
        <w:t>היינו כדאוקימת' דשמואל דאמר אם רגילה ביין הרבה מ"מ כשהוא אינו עמה נותנים לה מעט יין ואם היא רגילה בפני בעלה לשתו' מעט יין אין נותנים לה כלל כשהוא אינו עמה מיהו הרי"ף והרא"ש והטור יש להם שיטה אחר' בזה וס"ל רגילה נותנים לה אפילו שלא בפני בעלה כל מה שרגילה</w:t>
      </w:r>
      <w:r>
        <w:rPr>
          <w:rFonts w:hint="cs"/>
          <w:rtl/>
        </w:rPr>
        <w:t>.</w:t>
      </w:r>
      <w:r w:rsidRPr="00FE1684">
        <w:rPr>
          <w:rtl/>
        </w:rPr>
        <w:t xml:space="preserve"> </w:t>
      </w:r>
      <w:r>
        <w:rPr>
          <w:rFonts w:cs="Arial" w:hint="cs"/>
          <w:rtl/>
        </w:rPr>
        <w:t xml:space="preserve">(ובסק"ה כתב) </w:t>
      </w:r>
      <w:r w:rsidRPr="00FE1684">
        <w:rPr>
          <w:rFonts w:cs="Arial"/>
          <w:rtl/>
        </w:rPr>
        <w:t>בש"ס ס"פ אף על פי אית' מניקה מוסיפים לה יין וקאי על מתני' דלא תנא דנותנין לה יין וצ"ל מתני' איירי ברגילה בפני בעלה מעט אז אין נותנים לה יין כלל שלא בפני בעלה ומ"מ אם היא מניקה לא חיישי' לתאו' תשמיש כיון דצריכה ליין ובח"מ כ' דאין נותנים לה יותר מכוס א' דהא אמרי' בש"ס שני כוסו' ניול לאשה ולמ"ש אין ראיה משם דשם איירי בשאר אשה ומניקה שאני כיון דצריכה ליין אין חוששים לתאו' זנות</w:t>
      </w:r>
      <w:r>
        <w:rPr>
          <w:rFonts w:hint="cs"/>
          <w:rtl/>
        </w:rPr>
        <w:t>.</w:t>
      </w:r>
    </w:p>
  </w:footnote>
  <w:footnote w:id="277">
    <w:p w14:paraId="327EC244" w14:textId="15FA5E23" w:rsidR="00D64F15" w:rsidRDefault="00D64F15">
      <w:pPr>
        <w:pStyle w:val="a5"/>
      </w:pPr>
      <w:r>
        <w:rPr>
          <w:rStyle w:val="a7"/>
        </w:rPr>
        <w:footnoteRef/>
      </w:r>
      <w:r>
        <w:rPr>
          <w:rtl/>
        </w:rPr>
        <w:t xml:space="preserve"> </w:t>
      </w:r>
      <w:r w:rsidRPr="00D64F15">
        <w:rPr>
          <w:rFonts w:cs="Arial"/>
          <w:rtl/>
        </w:rPr>
        <w:t>עיין בשו"ת תשובה מאהב</w:t>
      </w:r>
      <w:r>
        <w:rPr>
          <w:rFonts w:cs="Arial" w:hint="cs"/>
          <w:rtl/>
        </w:rPr>
        <w:t>ה (</w:t>
      </w:r>
      <w:r w:rsidRPr="00D64F15">
        <w:rPr>
          <w:rFonts w:cs="Arial"/>
          <w:rtl/>
        </w:rPr>
        <w:t>ח"א סי' עח</w:t>
      </w:r>
      <w:r>
        <w:rPr>
          <w:rFonts w:cs="Arial" w:hint="cs"/>
          <w:rtl/>
        </w:rPr>
        <w:t>,</w:t>
      </w:r>
      <w:r w:rsidRPr="00D64F15">
        <w:rPr>
          <w:rFonts w:cs="Arial"/>
          <w:rtl/>
        </w:rPr>
        <w:t xml:space="preserve"> וסי' פ</w:t>
      </w:r>
      <w:r>
        <w:rPr>
          <w:rFonts w:cs="Arial" w:hint="cs"/>
          <w:rtl/>
        </w:rPr>
        <w:t>)</w:t>
      </w:r>
      <w:r w:rsidRPr="00D64F15">
        <w:rPr>
          <w:rFonts w:cs="Arial"/>
          <w:rtl/>
        </w:rPr>
        <w:t xml:space="preserve"> שכ' דאין זה מוסכם להלכ</w:t>
      </w:r>
      <w:r>
        <w:rPr>
          <w:rFonts w:cs="Arial" w:hint="cs"/>
          <w:rtl/>
        </w:rPr>
        <w:t>ה,</w:t>
      </w:r>
      <w:r w:rsidRPr="00D64F15">
        <w:rPr>
          <w:rFonts w:cs="Arial"/>
          <w:rtl/>
        </w:rPr>
        <w:t xml:space="preserve"> דממה שאמרו בס"פ אף ע</w:t>
      </w:r>
      <w:r>
        <w:rPr>
          <w:rFonts w:cs="Arial" w:hint="cs"/>
          <w:rtl/>
        </w:rPr>
        <w:t xml:space="preserve">ל </w:t>
      </w:r>
      <w:r w:rsidRPr="00D64F15">
        <w:rPr>
          <w:rFonts w:cs="Arial"/>
          <w:rtl/>
        </w:rPr>
        <w:t>פ</w:t>
      </w:r>
      <w:r>
        <w:rPr>
          <w:rFonts w:cs="Arial" w:hint="cs"/>
          <w:rtl/>
        </w:rPr>
        <w:t>י</w:t>
      </w:r>
      <w:r w:rsidRPr="00D64F15">
        <w:rPr>
          <w:rFonts w:cs="Arial"/>
          <w:rtl/>
        </w:rPr>
        <w:t xml:space="preserve"> מותר מזונות לבעל אין ראיה</w:t>
      </w:r>
      <w:r>
        <w:rPr>
          <w:rFonts w:cs="Arial" w:hint="cs"/>
          <w:rtl/>
        </w:rPr>
        <w:t>,</w:t>
      </w:r>
      <w:r w:rsidRPr="00D64F15">
        <w:rPr>
          <w:rFonts w:cs="Arial"/>
          <w:rtl/>
        </w:rPr>
        <w:t xml:space="preserve"> כי שם לא מיירי בצמצמה אלא שניתותרו ממילא</w:t>
      </w:r>
      <w:r>
        <w:rPr>
          <w:rFonts w:cs="Arial" w:hint="cs"/>
          <w:rtl/>
        </w:rPr>
        <w:t>,</w:t>
      </w:r>
      <w:r w:rsidRPr="00D64F15">
        <w:rPr>
          <w:rFonts w:cs="Arial"/>
          <w:rtl/>
        </w:rPr>
        <w:t xml:space="preserve"> כגון שהיא בטבעה אינה אוכלת כ"כ כשיעור שקצבו חכמים לסתם נשים וכמו שפירש"י שם בהדיא</w:t>
      </w:r>
      <w:r>
        <w:rPr>
          <w:rFonts w:cs="Arial" w:hint="cs"/>
          <w:rtl/>
        </w:rPr>
        <w:t>,</w:t>
      </w:r>
      <w:r w:rsidRPr="00D64F15">
        <w:rPr>
          <w:rFonts w:cs="Arial"/>
          <w:rtl/>
        </w:rPr>
        <w:t xml:space="preserve"> ובזה הדבר פשוט שהוא לבעל שהרי אין הבעל חייב ליתן לה יותר ממה שצריכה היא</w:t>
      </w:r>
      <w:r>
        <w:rPr>
          <w:rFonts w:cs="Arial" w:hint="cs"/>
          <w:rtl/>
        </w:rPr>
        <w:t>.</w:t>
      </w:r>
      <w:r w:rsidRPr="00D64F15">
        <w:rPr>
          <w:rFonts w:cs="Arial"/>
          <w:rtl/>
        </w:rPr>
        <w:t xml:space="preserve"> אבל בצמצמה וסבל</w:t>
      </w:r>
      <w:r>
        <w:rPr>
          <w:rFonts w:cs="Arial" w:hint="cs"/>
          <w:rtl/>
        </w:rPr>
        <w:t>ה</w:t>
      </w:r>
      <w:r w:rsidRPr="00D64F15">
        <w:rPr>
          <w:rFonts w:cs="Arial"/>
          <w:rtl/>
        </w:rPr>
        <w:t xml:space="preserve"> רעבון ודוחק יכול</w:t>
      </w:r>
      <w:r>
        <w:rPr>
          <w:rFonts w:cs="Arial" w:hint="cs"/>
          <w:rtl/>
        </w:rPr>
        <w:t>ה</w:t>
      </w:r>
      <w:r w:rsidRPr="00D64F15">
        <w:rPr>
          <w:rFonts w:cs="Arial"/>
          <w:rtl/>
        </w:rPr>
        <w:t xml:space="preserve"> לומר שבשביל עצמה עשתה כן ולא שיזכה בה בעלה</w:t>
      </w:r>
      <w:r>
        <w:rPr>
          <w:rFonts w:cs="Arial" w:hint="cs"/>
          <w:rtl/>
        </w:rPr>
        <w:t>,</w:t>
      </w:r>
      <w:r w:rsidRPr="00D64F15">
        <w:rPr>
          <w:rFonts w:cs="Arial"/>
          <w:rtl/>
        </w:rPr>
        <w:t xml:space="preserve"> וכן מפורש בתוס' </w:t>
      </w:r>
      <w:r>
        <w:rPr>
          <w:rFonts w:cs="Arial" w:hint="cs"/>
          <w:rtl/>
        </w:rPr>
        <w:t>(</w:t>
      </w:r>
      <w:r w:rsidRPr="00D64F15">
        <w:rPr>
          <w:rFonts w:cs="Arial"/>
          <w:rtl/>
        </w:rPr>
        <w:t>נזיר כד</w:t>
      </w:r>
      <w:r>
        <w:rPr>
          <w:rFonts w:cs="Arial" w:hint="cs"/>
          <w:rtl/>
        </w:rPr>
        <w:t>:</w:t>
      </w:r>
      <w:r w:rsidRPr="00D64F15">
        <w:rPr>
          <w:rFonts w:cs="Arial"/>
          <w:rtl/>
        </w:rPr>
        <w:t xml:space="preserve"> ד"ה שקימצ</w:t>
      </w:r>
      <w:r>
        <w:rPr>
          <w:rFonts w:cs="Arial" w:hint="cs"/>
          <w:rtl/>
        </w:rPr>
        <w:t>ה)</w:t>
      </w:r>
      <w:r w:rsidRPr="00D64F15">
        <w:rPr>
          <w:rFonts w:cs="Arial"/>
          <w:rtl/>
        </w:rPr>
        <w:t xml:space="preserve"> דאם צמצמה מפיה ולא אכלה כדי שובע הוא דידה אלא דאם יש מותר מחמת שהוזלו המזונות הוא לבעל</w:t>
      </w:r>
      <w:r w:rsidR="00C421B0">
        <w:rPr>
          <w:rFonts w:cs="Arial" w:hint="cs"/>
          <w:rtl/>
        </w:rPr>
        <w:t>,</w:t>
      </w:r>
      <w:r w:rsidRPr="00D64F15">
        <w:rPr>
          <w:rFonts w:cs="Arial"/>
          <w:rtl/>
        </w:rPr>
        <w:t xml:space="preserve"> וכן מפורש בר"ן </w:t>
      </w:r>
      <w:r w:rsidR="00C421B0">
        <w:rPr>
          <w:rFonts w:cs="Arial" w:hint="cs"/>
          <w:rtl/>
        </w:rPr>
        <w:t>(</w:t>
      </w:r>
      <w:r w:rsidRPr="00D64F15">
        <w:rPr>
          <w:rFonts w:cs="Arial"/>
          <w:rtl/>
        </w:rPr>
        <w:t>נדרים פח</w:t>
      </w:r>
      <w:r w:rsidR="00C421B0">
        <w:rPr>
          <w:rFonts w:cs="Arial" w:hint="cs"/>
          <w:rtl/>
        </w:rPr>
        <w:t>.)</w:t>
      </w:r>
      <w:r w:rsidRPr="00D64F15">
        <w:rPr>
          <w:rFonts w:cs="Arial"/>
          <w:rtl/>
        </w:rPr>
        <w:t xml:space="preserve"> ע"ש. ולכן פסק הלכה למעשה שאין להוציא מיד האשה</w:t>
      </w:r>
      <w:r w:rsidR="00C421B0">
        <w:rPr>
          <w:rFonts w:cs="Arial" w:hint="cs"/>
          <w:rtl/>
        </w:rPr>
        <w:t>.</w:t>
      </w:r>
      <w:r w:rsidRPr="00D64F15">
        <w:rPr>
          <w:rFonts w:cs="Arial"/>
          <w:rtl/>
        </w:rPr>
        <w:t xml:space="preserve"> והסכים עמו רבו הגאון בעל נו"ב ז"ל וכתב דלא משום דהאשה יכולה לומר קים לי אתינן עלה</w:t>
      </w:r>
      <w:r w:rsidR="00C421B0">
        <w:rPr>
          <w:rFonts w:cs="Arial" w:hint="cs"/>
          <w:rtl/>
        </w:rPr>
        <w:t>,</w:t>
      </w:r>
      <w:r w:rsidRPr="00D64F15">
        <w:rPr>
          <w:rFonts w:cs="Arial"/>
          <w:rtl/>
        </w:rPr>
        <w:t xml:space="preserve"> דא"כ באם גם עתה היא רוצה מזונות הרי הבעל מוחזק ויכול לומר להיפך קים לי וצא והתפרנס ממותר המעות שבידך</w:t>
      </w:r>
      <w:r w:rsidR="00C421B0">
        <w:rPr>
          <w:rFonts w:cs="Arial" w:hint="cs"/>
          <w:rtl/>
        </w:rPr>
        <w:t>,</w:t>
      </w:r>
      <w:r w:rsidRPr="00D64F15">
        <w:rPr>
          <w:rFonts w:cs="Arial"/>
          <w:rtl/>
        </w:rPr>
        <w:t xml:space="preserve"> אלא דבאמת דין זה ברור ולית ביה ספיקא כלל ע"ש באריכות</w:t>
      </w:r>
      <w:r w:rsidR="00C421B0">
        <w:rPr>
          <w:rFonts w:cs="Arial" w:hint="cs"/>
          <w:rtl/>
        </w:rPr>
        <w:t>.</w:t>
      </w:r>
      <w:r w:rsidRPr="00D64F15">
        <w:rPr>
          <w:rFonts w:cs="Arial"/>
          <w:rtl/>
        </w:rPr>
        <w:t xml:space="preserve"> וכ"כ בספרו דגול מרבבה בסי' זה</w:t>
      </w:r>
      <w:r w:rsidR="00C421B0">
        <w:rPr>
          <w:rFonts w:cs="Arial" w:hint="cs"/>
          <w:rtl/>
        </w:rPr>
        <w:t>...</w:t>
      </w:r>
      <w:r>
        <w:rPr>
          <w:rFonts w:cs="Arial" w:hint="cs"/>
          <w:rtl/>
        </w:rPr>
        <w:t>, פת"ש (סק"א).</w:t>
      </w:r>
    </w:p>
  </w:footnote>
  <w:footnote w:id="278">
    <w:p w14:paraId="50506A95" w14:textId="682A68D6" w:rsidR="00F27D97" w:rsidRDefault="00F27D97">
      <w:pPr>
        <w:pStyle w:val="a5"/>
      </w:pPr>
      <w:r>
        <w:rPr>
          <w:rStyle w:val="a7"/>
        </w:rPr>
        <w:footnoteRef/>
      </w:r>
      <w:r>
        <w:rPr>
          <w:rtl/>
        </w:rPr>
        <w:t xml:space="preserve"> </w:t>
      </w:r>
      <w:r w:rsidRPr="00F27D97">
        <w:rPr>
          <w:rFonts w:cs="Arial"/>
          <w:rtl/>
        </w:rPr>
        <w:t xml:space="preserve">זהו לשון רמב"ם </w:t>
      </w:r>
      <w:r>
        <w:rPr>
          <w:rFonts w:cs="Arial" w:hint="cs"/>
          <w:rtl/>
        </w:rPr>
        <w:t>(</w:t>
      </w:r>
      <w:r w:rsidRPr="00F27D97">
        <w:rPr>
          <w:rFonts w:cs="Arial"/>
          <w:rtl/>
        </w:rPr>
        <w:t xml:space="preserve">פי"ב מה"א </w:t>
      </w:r>
      <w:r>
        <w:rPr>
          <w:rFonts w:cs="Arial" w:hint="cs"/>
          <w:rtl/>
        </w:rPr>
        <w:t>ה</w:t>
      </w:r>
      <w:r w:rsidRPr="00F27D97">
        <w:rPr>
          <w:rFonts w:cs="Arial"/>
          <w:rtl/>
        </w:rPr>
        <w:t>י"א</w:t>
      </w:r>
      <w:r>
        <w:rPr>
          <w:rFonts w:cs="Arial" w:hint="cs"/>
          <w:rtl/>
        </w:rPr>
        <w:t>),</w:t>
      </w:r>
      <w:r w:rsidRPr="00F27D97">
        <w:rPr>
          <w:rFonts w:cs="Arial"/>
          <w:rtl/>
        </w:rPr>
        <w:t xml:space="preserve"> ופשט הלשון משמע שהוא עני וגם א</w:t>
      </w:r>
      <w:r>
        <w:rPr>
          <w:rFonts w:cs="Arial" w:hint="cs"/>
          <w:rtl/>
        </w:rPr>
        <w:t>ינו יכול</w:t>
      </w:r>
      <w:r w:rsidRPr="00F27D97">
        <w:rPr>
          <w:rFonts w:cs="Arial"/>
          <w:rtl/>
        </w:rPr>
        <w:t xml:space="preserve"> להשתכר</w:t>
      </w:r>
      <w:r>
        <w:rPr>
          <w:rFonts w:cs="Arial" w:hint="cs"/>
          <w:rtl/>
        </w:rPr>
        <w:t>,</w:t>
      </w:r>
      <w:r w:rsidRPr="00F27D97">
        <w:rPr>
          <w:rFonts w:cs="Arial"/>
          <w:rtl/>
        </w:rPr>
        <w:t xml:space="preserve"> כגון שהוא חולה או אנוס</w:t>
      </w:r>
      <w:r>
        <w:rPr>
          <w:rFonts w:cs="Arial" w:hint="cs"/>
          <w:rtl/>
        </w:rPr>
        <w:t>,</w:t>
      </w:r>
      <w:r w:rsidRPr="00F27D97">
        <w:rPr>
          <w:rFonts w:cs="Arial"/>
          <w:rtl/>
        </w:rPr>
        <w:t xml:space="preserve"> ואפ"ה כופין להוציא</w:t>
      </w:r>
      <w:r>
        <w:rPr>
          <w:rFonts w:cs="Arial" w:hint="cs"/>
          <w:rtl/>
        </w:rPr>
        <w:t>.</w:t>
      </w:r>
      <w:r w:rsidRPr="00F27D97">
        <w:rPr>
          <w:rFonts w:cs="Arial"/>
          <w:rtl/>
        </w:rPr>
        <w:t xml:space="preserve"> אך בש"ע לקמן סי' קנ"ד ס"ג איתא שאין לו במה לפרנס ואינו רוצה להשתכר כו'</w:t>
      </w:r>
      <w:r>
        <w:rPr>
          <w:rFonts w:cs="Arial" w:hint="cs"/>
          <w:rtl/>
        </w:rPr>
        <w:t>,</w:t>
      </w:r>
      <w:r w:rsidRPr="00F27D97">
        <w:rPr>
          <w:rFonts w:cs="Arial"/>
          <w:rtl/>
        </w:rPr>
        <w:t xml:space="preserve"> והוא לשון הר"ן בשם הרשב"א ס"פ המדיר</w:t>
      </w:r>
      <w:r>
        <w:rPr>
          <w:rFonts w:cs="Arial" w:hint="cs"/>
          <w:rtl/>
        </w:rPr>
        <w:t>,</w:t>
      </w:r>
      <w:r w:rsidRPr="00F27D97">
        <w:rPr>
          <w:rFonts w:cs="Arial"/>
          <w:rtl/>
        </w:rPr>
        <w:t xml:space="preserve"> ולשון זה משמע שאפשר לו להשתכר אלא שאינו רוצה בזה הוא דכופין</w:t>
      </w:r>
      <w:r>
        <w:rPr>
          <w:rFonts w:cs="Arial" w:hint="cs"/>
          <w:rtl/>
        </w:rPr>
        <w:t>,</w:t>
      </w:r>
      <w:r w:rsidRPr="00F27D97">
        <w:rPr>
          <w:rFonts w:cs="Arial"/>
          <w:rtl/>
        </w:rPr>
        <w:t xml:space="preserve"> אבל בלא אפשר לו להשתכר שהוא אנוס אין כופין</w:t>
      </w:r>
      <w:r w:rsidR="00AC7D2D">
        <w:rPr>
          <w:rFonts w:cs="Arial" w:hint="cs"/>
          <w:rtl/>
        </w:rPr>
        <w:t>,</w:t>
      </w:r>
      <w:r w:rsidRPr="00F27D97">
        <w:rPr>
          <w:rFonts w:cs="Arial"/>
          <w:rtl/>
        </w:rPr>
        <w:t xml:space="preserve"> והיינו כדעת הי"א שהביא הרמ"א כאן</w:t>
      </w:r>
      <w:r w:rsidR="00AC7D2D">
        <w:rPr>
          <w:rFonts w:cs="Arial" w:hint="cs"/>
          <w:rtl/>
        </w:rPr>
        <w:t>,</w:t>
      </w:r>
      <w:r w:rsidRPr="00F27D97">
        <w:rPr>
          <w:rFonts w:cs="Arial"/>
          <w:rtl/>
        </w:rPr>
        <w:t xml:space="preserve"> ומש"ה לא הגיה הרמ"א שם כלום</w:t>
      </w:r>
      <w:r w:rsidR="00AC7D2D">
        <w:rPr>
          <w:rFonts w:cs="Arial" w:hint="cs"/>
          <w:rtl/>
        </w:rPr>
        <w:t>,</w:t>
      </w:r>
      <w:r w:rsidRPr="00F27D97">
        <w:rPr>
          <w:rFonts w:cs="Arial"/>
          <w:rtl/>
        </w:rPr>
        <w:t xml:space="preserve"> וכן מבואר בס' בית מאיר בסי' קנ"ד שם</w:t>
      </w:r>
      <w:r w:rsidR="00AC7D2D">
        <w:rPr>
          <w:rFonts w:cs="Arial" w:hint="cs"/>
          <w:rtl/>
        </w:rPr>
        <w:t>,</w:t>
      </w:r>
      <w:r w:rsidRPr="00F27D97">
        <w:rPr>
          <w:rFonts w:cs="Arial"/>
          <w:rtl/>
        </w:rPr>
        <w:t xml:space="preserve"> ומסיים דקצת קשה על הש"ע דבסי' ע' סתם כרמב"ם וכאן בסי' קנ"ד כלשון הרשב"א ע"ש</w:t>
      </w:r>
      <w:r w:rsidR="00AC7D2D">
        <w:rPr>
          <w:rFonts w:cs="Arial" w:hint="cs"/>
          <w:rtl/>
        </w:rPr>
        <w:t>.</w:t>
      </w:r>
      <w:r w:rsidRPr="00F27D97">
        <w:rPr>
          <w:rFonts w:cs="Arial"/>
          <w:rtl/>
        </w:rPr>
        <w:t xml:space="preserve"> ועיין בתשו' חת</w:t>
      </w:r>
      <w:r w:rsidR="00AC7D2D">
        <w:rPr>
          <w:rFonts w:cs="Arial" w:hint="cs"/>
          <w:rtl/>
        </w:rPr>
        <w:t>"</w:t>
      </w:r>
      <w:r w:rsidRPr="00F27D97">
        <w:rPr>
          <w:rFonts w:cs="Arial"/>
          <w:rtl/>
        </w:rPr>
        <w:t xml:space="preserve">ס </w:t>
      </w:r>
      <w:r w:rsidR="00AC7D2D">
        <w:rPr>
          <w:rFonts w:cs="Arial" w:hint="cs"/>
          <w:rtl/>
        </w:rPr>
        <w:t>(</w:t>
      </w:r>
      <w:r w:rsidRPr="00F27D97">
        <w:rPr>
          <w:rFonts w:cs="Arial"/>
          <w:rtl/>
        </w:rPr>
        <w:t>סי' קלא</w:t>
      </w:r>
      <w:r w:rsidR="00AC7D2D">
        <w:rPr>
          <w:rFonts w:cs="Arial" w:hint="cs"/>
          <w:rtl/>
        </w:rPr>
        <w:t>)</w:t>
      </w:r>
      <w:r w:rsidRPr="00F27D97">
        <w:rPr>
          <w:rFonts w:cs="Arial"/>
          <w:rtl/>
        </w:rPr>
        <w:t xml:space="preserve"> שכתב גם כן דבאופן דנקט בש"ע סי' קנ"ד ס"ג שאינו רוצה להשתכר גם הי"א דכאן מודים שכופין להוציא</w:t>
      </w:r>
      <w:r w:rsidR="0088378A">
        <w:rPr>
          <w:rFonts w:cs="Arial" w:hint="cs"/>
          <w:rtl/>
        </w:rPr>
        <w:t>,</w:t>
      </w:r>
      <w:r w:rsidRPr="00F27D97">
        <w:rPr>
          <w:rFonts w:cs="Arial"/>
          <w:rtl/>
        </w:rPr>
        <w:t xml:space="preserve"> דטעם הי"א הוא דלא גרע משאר בע"ח שאפי' המלוה מת ברעב אם אין לו להלוה פטור</w:t>
      </w:r>
      <w:r w:rsidR="0088378A">
        <w:rPr>
          <w:rFonts w:cs="Arial" w:hint="cs"/>
          <w:rtl/>
        </w:rPr>
        <w:t>,</w:t>
      </w:r>
      <w:r w:rsidRPr="00F27D97">
        <w:rPr>
          <w:rFonts w:cs="Arial"/>
          <w:rtl/>
        </w:rPr>
        <w:t xml:space="preserve"> אך כשיכול להשכיר עצמו ולהרויח ואינו רוצה וקשה לכופו שיעשה מלאכה וירויח והוא אינו רוצה והוי חיי נפש והוא פושע ולכן כופין לכ"ע</w:t>
      </w:r>
      <w:r w:rsidR="0088378A">
        <w:rPr>
          <w:rFonts w:cs="Arial" w:hint="cs"/>
          <w:rtl/>
        </w:rPr>
        <w:t>,</w:t>
      </w:r>
      <w:r w:rsidRPr="00F27D97">
        <w:rPr>
          <w:rFonts w:cs="Arial"/>
          <w:rtl/>
        </w:rPr>
        <w:t xml:space="preserve"> ומש"ה בסי' קנ"ד ס"ג לא הגיה הרמ"א כלום</w:t>
      </w:r>
      <w:r w:rsidR="0088378A">
        <w:rPr>
          <w:rFonts w:cs="Arial" w:hint="cs"/>
          <w:rtl/>
        </w:rPr>
        <w:t>..</w:t>
      </w:r>
      <w:r w:rsidRPr="00F27D97">
        <w:rPr>
          <w:rFonts w:cs="Arial"/>
          <w:rtl/>
        </w:rPr>
        <w:t xml:space="preserve">. וכתב עוד דמ"ש הרמב"ם והש"ע ואינו יכול ליתן לה כו' היינו אפי' יש לה משלה ותוכל לחיות בממון עצמה מכל מקום כיון שאין לו ליתן התחייבות שלו ה"ל גבי דידה חיי נפש כו' ע"ש. ועיין בתשו' נו"ב תניינא </w:t>
      </w:r>
      <w:r w:rsidR="0088378A">
        <w:rPr>
          <w:rFonts w:cs="Arial" w:hint="cs"/>
          <w:rtl/>
        </w:rPr>
        <w:t>(</w:t>
      </w:r>
      <w:r w:rsidRPr="00F27D97">
        <w:rPr>
          <w:rFonts w:cs="Arial"/>
          <w:rtl/>
        </w:rPr>
        <w:t>סי' צ' בד"ה והנה</w:t>
      </w:r>
      <w:r w:rsidR="0088378A">
        <w:rPr>
          <w:rFonts w:cs="Arial" w:hint="cs"/>
          <w:rtl/>
        </w:rPr>
        <w:t>)</w:t>
      </w:r>
      <w:r w:rsidRPr="00F27D97">
        <w:rPr>
          <w:rFonts w:cs="Arial"/>
          <w:rtl/>
        </w:rPr>
        <w:t xml:space="preserve"> מ"ש בזה</w:t>
      </w:r>
      <w:r w:rsidR="0088378A">
        <w:rPr>
          <w:rFonts w:cs="Arial" w:hint="cs"/>
          <w:rtl/>
        </w:rPr>
        <w:t>,</w:t>
      </w:r>
      <w:r w:rsidRPr="00F27D97">
        <w:rPr>
          <w:rFonts w:cs="Arial"/>
          <w:rtl/>
        </w:rPr>
        <w:t xml:space="preserve"> וע"ל סי' קנ"ד סק"ה</w:t>
      </w:r>
      <w:r w:rsidR="0088378A">
        <w:rPr>
          <w:rFonts w:cs="Arial" w:hint="cs"/>
          <w:rtl/>
        </w:rPr>
        <w:t>, פת"ש (סק"ב).</w:t>
      </w:r>
    </w:p>
  </w:footnote>
  <w:footnote w:id="279">
    <w:p w14:paraId="6DED2C4D" w14:textId="77777777" w:rsidR="00F27D97" w:rsidRDefault="00F27D97" w:rsidP="00F27D97">
      <w:pPr>
        <w:pStyle w:val="a5"/>
      </w:pPr>
      <w:r>
        <w:rPr>
          <w:rStyle w:val="a7"/>
        </w:rPr>
        <w:footnoteRef/>
      </w:r>
      <w:r>
        <w:rPr>
          <w:rtl/>
        </w:rPr>
        <w:t xml:space="preserve"> </w:t>
      </w:r>
      <w:r w:rsidRPr="00870831">
        <w:rPr>
          <w:rFonts w:cs="Arial"/>
          <w:rtl/>
        </w:rPr>
        <w:t>משמע אבל אם יכול ליתן לה לחם אף שאין יכול ליתן לה ליפתן ושמן ושאר דברים מ"מ אין כופין להוציא בשבילם</w:t>
      </w:r>
      <w:r>
        <w:rPr>
          <w:rFonts w:cs="Arial" w:hint="cs"/>
          <w:rtl/>
        </w:rPr>
        <w:t>, ח"מ (סק"ט).</w:t>
      </w:r>
      <w:r>
        <w:rPr>
          <w:rFonts w:hint="cs"/>
          <w:rtl/>
        </w:rPr>
        <w:t xml:space="preserve"> וכ"כ ב"ש (סק"ז).</w:t>
      </w:r>
    </w:p>
  </w:footnote>
  <w:footnote w:id="280">
    <w:p w14:paraId="45B1AEE4" w14:textId="21106375" w:rsidR="00DE2F5F" w:rsidRDefault="00DE2F5F">
      <w:pPr>
        <w:pStyle w:val="a5"/>
      </w:pPr>
      <w:r>
        <w:rPr>
          <w:rStyle w:val="a7"/>
        </w:rPr>
        <w:footnoteRef/>
      </w:r>
      <w:r>
        <w:rPr>
          <w:rtl/>
        </w:rPr>
        <w:t xml:space="preserve"> </w:t>
      </w:r>
      <w:r w:rsidRPr="00870831">
        <w:rPr>
          <w:rFonts w:cs="Arial"/>
          <w:rtl/>
        </w:rPr>
        <w:t>והא דאמרינן בגמרא האומר איני זן ואיני מפרנס יוציא דמשמע דמיירי ביש לו ולא נקט רבותא דאפי' אין לו יוציא י"ל דנקט יש לו לאפוקי מדשמואל דס"ל ביש לו דכופין לזון ולא להוציא</w:t>
      </w:r>
      <w:r>
        <w:rPr>
          <w:rFonts w:cs="Arial" w:hint="cs"/>
          <w:rtl/>
        </w:rPr>
        <w:t xml:space="preserve">, ח"מ (סק"י). </w:t>
      </w:r>
    </w:p>
  </w:footnote>
  <w:footnote w:id="281">
    <w:p w14:paraId="0E1A16BF" w14:textId="354077E3" w:rsidR="007C603A" w:rsidRDefault="007C603A">
      <w:pPr>
        <w:pStyle w:val="a5"/>
        <w:rPr>
          <w:rtl/>
        </w:rPr>
      </w:pPr>
      <w:r>
        <w:rPr>
          <w:rStyle w:val="a7"/>
        </w:rPr>
        <w:footnoteRef/>
      </w:r>
      <w:r>
        <w:rPr>
          <w:rtl/>
        </w:rPr>
        <w:t xml:space="preserve"> </w:t>
      </w:r>
      <w:r w:rsidRPr="007C603A">
        <w:rPr>
          <w:rFonts w:cs="Arial"/>
          <w:rtl/>
        </w:rPr>
        <w:t>כתב בספר בית מאיר וז"ל</w:t>
      </w:r>
      <w:r>
        <w:rPr>
          <w:rFonts w:cs="Arial" w:hint="cs"/>
          <w:rtl/>
        </w:rPr>
        <w:t>:</w:t>
      </w:r>
      <w:r w:rsidRPr="007C603A">
        <w:rPr>
          <w:rFonts w:cs="Arial"/>
          <w:rtl/>
        </w:rPr>
        <w:t xml:space="preserve"> לולא שאיני כדאי להכריע היה נלע"ד כדעת הש"ע שטעם הי"א הוא שמדמו לבע"ח הטוען אין לי לשלם ולע"ד לא דמי דש"ה דאגידא ביה וכשיגרשנה תנשא לאחר שיזונה וזה בידו והוי כבידו לשלם ותו דזה דמי לסימן קנ"ד ס"ז שמחוייב לגרש אף שנמי אינו יכול ובפרט להרמב"ם שמזונות דאורייתא כעונה עכ"ל</w:t>
      </w:r>
      <w:r>
        <w:rPr>
          <w:rFonts w:cs="Arial" w:hint="cs"/>
          <w:rtl/>
        </w:rPr>
        <w:t>.</w:t>
      </w:r>
      <w:r w:rsidRPr="007C603A">
        <w:rPr>
          <w:rFonts w:cs="Arial"/>
          <w:rtl/>
        </w:rPr>
        <w:t xml:space="preserve"> ומשמע דרצונו להכריע כהרמב"ם דכופין להוציא אף באינו יכול להשתכר והוא אנוס. ועיין בתשו' ח</w:t>
      </w:r>
      <w:r>
        <w:rPr>
          <w:rFonts w:cs="Arial" w:hint="cs"/>
          <w:rtl/>
        </w:rPr>
        <w:t>ת</w:t>
      </w:r>
      <w:r w:rsidRPr="007C603A">
        <w:rPr>
          <w:rFonts w:cs="Arial"/>
          <w:rtl/>
        </w:rPr>
        <w:t>"ס שם שהזכיר דברי הב"מ הנ"ל שמכריע להלכה כהרמב"ם והמחבר גם הביא שכ"כ בס' ישועות יעקב. והוא ז"ל כתב בזה דמ"ש הב"מ מסברא דנפשיה לחלק בין בע"ח לכאן כבר קדמו הכסף משנה שם. אלא דמ"מ י"ל דטעם הי"א</w:t>
      </w:r>
      <w:r w:rsidR="00056416">
        <w:rPr>
          <w:rFonts w:cs="Arial" w:hint="cs"/>
          <w:rtl/>
        </w:rPr>
        <w:t xml:space="preserve">... </w:t>
      </w:r>
      <w:r w:rsidR="00056416">
        <w:rPr>
          <w:rFonts w:cs="Arial" w:hint="cs"/>
          <w:sz w:val="16"/>
          <w:szCs w:val="16"/>
          <w:rtl/>
        </w:rPr>
        <w:t xml:space="preserve">{ונתן טעם שם </w:t>
      </w:r>
      <w:r w:rsidR="005E1DF9">
        <w:rPr>
          <w:rFonts w:cs="Arial" w:hint="cs"/>
          <w:sz w:val="16"/>
          <w:szCs w:val="16"/>
          <w:rtl/>
        </w:rPr>
        <w:t xml:space="preserve">ששייך רק </w:t>
      </w:r>
      <w:r w:rsidR="00056416">
        <w:rPr>
          <w:rFonts w:cs="Arial" w:hint="cs"/>
          <w:sz w:val="16"/>
          <w:szCs w:val="16"/>
          <w:rtl/>
        </w:rPr>
        <w:t>אליבא מ"ד מזונות דאו'}</w:t>
      </w:r>
      <w:r w:rsidRPr="007C603A">
        <w:rPr>
          <w:rFonts w:cs="Arial"/>
          <w:rtl/>
        </w:rPr>
        <w:t xml:space="preserve"> והאריך קצת ומסיים לדינא דמי שיש לו ואינו רוצה לזונה </w:t>
      </w:r>
      <w:r w:rsidR="005E1DF9">
        <w:rPr>
          <w:rFonts w:cs="Arial" w:hint="cs"/>
          <w:rtl/>
        </w:rPr>
        <w:t xml:space="preserve">- </w:t>
      </w:r>
      <w:r w:rsidRPr="007C603A">
        <w:rPr>
          <w:rFonts w:cs="Arial"/>
          <w:rtl/>
        </w:rPr>
        <w:t>אין כופין להוציא (רק לזון)</w:t>
      </w:r>
      <w:r w:rsidR="005E1DF9">
        <w:rPr>
          <w:rFonts w:cs="Arial" w:hint="cs"/>
          <w:rtl/>
        </w:rPr>
        <w:t>.</w:t>
      </w:r>
      <w:r w:rsidRPr="007C603A">
        <w:rPr>
          <w:rFonts w:cs="Arial"/>
          <w:rtl/>
        </w:rPr>
        <w:t xml:space="preserve"> ומי שאין לו ואינו רוצה להרויח </w:t>
      </w:r>
      <w:r w:rsidR="005E1DF9">
        <w:rPr>
          <w:rFonts w:cs="Arial" w:hint="cs"/>
          <w:rtl/>
        </w:rPr>
        <w:t xml:space="preserve">- </w:t>
      </w:r>
      <w:r w:rsidRPr="007C603A">
        <w:rPr>
          <w:rFonts w:cs="Arial"/>
          <w:rtl/>
        </w:rPr>
        <w:t>כופין בשוטים להוציא (כבסי' קנ"ד ס"ג)</w:t>
      </w:r>
      <w:r w:rsidR="005E1DF9">
        <w:rPr>
          <w:rFonts w:cs="Arial" w:hint="cs"/>
          <w:rtl/>
        </w:rPr>
        <w:t>.</w:t>
      </w:r>
      <w:r w:rsidRPr="007C603A">
        <w:rPr>
          <w:rFonts w:cs="Arial"/>
          <w:rtl/>
        </w:rPr>
        <w:t xml:space="preserve"> ומי שאינו יכול להרויח שהוא חולה ואינו פושע</w:t>
      </w:r>
      <w:r w:rsidR="005E1DF9">
        <w:rPr>
          <w:rFonts w:cs="Arial" w:hint="cs"/>
          <w:rtl/>
        </w:rPr>
        <w:t>,</w:t>
      </w:r>
      <w:r w:rsidRPr="007C603A">
        <w:rPr>
          <w:rFonts w:cs="Arial"/>
          <w:rtl/>
        </w:rPr>
        <w:t xml:space="preserve"> תליא</w:t>
      </w:r>
      <w:r w:rsidR="005E1DF9">
        <w:rPr>
          <w:rFonts w:cs="Arial" w:hint="cs"/>
          <w:rtl/>
        </w:rPr>
        <w:t>,</w:t>
      </w:r>
      <w:r w:rsidRPr="007C603A">
        <w:rPr>
          <w:rFonts w:cs="Arial"/>
          <w:rtl/>
        </w:rPr>
        <w:t xml:space="preserve"> למ"ד מזונות דאורייתא </w:t>
      </w:r>
      <w:r w:rsidR="005E1DF9">
        <w:rPr>
          <w:rFonts w:cs="Arial" w:hint="cs"/>
          <w:rtl/>
        </w:rPr>
        <w:t xml:space="preserve">- </w:t>
      </w:r>
      <w:r w:rsidRPr="007C603A">
        <w:rPr>
          <w:rFonts w:cs="Arial"/>
          <w:rtl/>
        </w:rPr>
        <w:t>כופין בשוטים</w:t>
      </w:r>
      <w:r w:rsidR="005E1DF9">
        <w:rPr>
          <w:rFonts w:cs="Arial" w:hint="cs"/>
          <w:rtl/>
        </w:rPr>
        <w:t>,</w:t>
      </w:r>
      <w:r w:rsidRPr="007C603A">
        <w:rPr>
          <w:rFonts w:cs="Arial"/>
          <w:rtl/>
        </w:rPr>
        <w:t xml:space="preserve"> ולמ"ד לאו דאורייתא </w:t>
      </w:r>
      <w:r w:rsidR="005E1DF9">
        <w:rPr>
          <w:rFonts w:cs="Arial" w:hint="cs"/>
          <w:rtl/>
        </w:rPr>
        <w:t xml:space="preserve">- </w:t>
      </w:r>
      <w:r w:rsidRPr="007C603A">
        <w:rPr>
          <w:rFonts w:cs="Arial"/>
          <w:rtl/>
        </w:rPr>
        <w:t>אין לכוף בשוטים ואמנם במילי כופין. ובזה מיושב סתירת המחבר (שעמד הב"מ הנזכר בס"ק הקודם)</w:t>
      </w:r>
      <w:r w:rsidR="005E1DF9">
        <w:rPr>
          <w:rFonts w:cs="Arial" w:hint="cs"/>
          <w:rtl/>
        </w:rPr>
        <w:t>,</w:t>
      </w:r>
      <w:r w:rsidRPr="007C603A">
        <w:rPr>
          <w:rFonts w:cs="Arial"/>
          <w:rtl/>
        </w:rPr>
        <w:t xml:space="preserve"> דבסי' ע' מיירי מכפי' בעלמא ע"כ סתם כרמב"ם</w:t>
      </w:r>
      <w:r w:rsidR="005E1DF9">
        <w:rPr>
          <w:rFonts w:cs="Arial" w:hint="cs"/>
          <w:rtl/>
        </w:rPr>
        <w:t>,</w:t>
      </w:r>
      <w:r w:rsidRPr="007C603A">
        <w:rPr>
          <w:rFonts w:cs="Arial"/>
          <w:rtl/>
        </w:rPr>
        <w:t xml:space="preserve"> ובסי' קנ"ד מיירי מכפי' בשוטים דומיא דאינך התם ע"כ כתב כל' הרשב"א עכ"ד. וע"ש עוד שכ' דאם עברו וכפוהו על הגט כיון דע"י ישראל אפילו שלא כדין כשר מה"ת להרמב"ם פ"ב מה"ג דין כ' א"כ הכא באינו יכול להרויח מפני חולי דלרמב"ם אפילו לכתחילה כופין וא"כ לשאר הפוסקים נמי אם עברו וכפוהו אפשר אפילו מדרבנן כשר כו' ע"ש</w:t>
      </w:r>
      <w:r>
        <w:rPr>
          <w:rFonts w:hint="cs"/>
          <w:rtl/>
        </w:rPr>
        <w:t>, פת"ש (סק"ג).</w:t>
      </w:r>
    </w:p>
  </w:footnote>
  <w:footnote w:id="282">
    <w:p w14:paraId="5F68A765" w14:textId="322AF18C" w:rsidR="00DE2F5F" w:rsidRDefault="00DE2F5F">
      <w:pPr>
        <w:pStyle w:val="a5"/>
      </w:pPr>
      <w:r>
        <w:rPr>
          <w:rStyle w:val="a7"/>
        </w:rPr>
        <w:footnoteRef/>
      </w:r>
      <w:r>
        <w:rPr>
          <w:rtl/>
        </w:rPr>
        <w:t xml:space="preserve"> </w:t>
      </w:r>
      <w:r w:rsidRPr="00870831">
        <w:rPr>
          <w:rFonts w:cs="Arial"/>
          <w:rtl/>
        </w:rPr>
        <w:t>נראה דמאחר דמספר כתובה נלמד שכ' ואנא אפלח ואוקיר א"כ אף שיש לו ליתן לה מזונות בצמצום חייב להשכיר עצמו ליתן לה מזונות לפי כבודה דהא כתב אנא אפלח ואוקיר</w:t>
      </w:r>
      <w:r>
        <w:rPr>
          <w:rFonts w:cs="Arial" w:hint="cs"/>
          <w:rtl/>
        </w:rPr>
        <w:t>, ח"מ (סקי"ב).</w:t>
      </w:r>
      <w:r>
        <w:rPr>
          <w:rFonts w:hint="cs"/>
          <w:rtl/>
        </w:rPr>
        <w:t xml:space="preserve"> וכ"כ ב"ש (סק"ח).</w:t>
      </w:r>
    </w:p>
  </w:footnote>
  <w:footnote w:id="283">
    <w:p w14:paraId="362BFF36" w14:textId="6088F4E8" w:rsidR="00DE2F5F" w:rsidRDefault="00DE2F5F">
      <w:pPr>
        <w:pStyle w:val="a5"/>
      </w:pPr>
      <w:r>
        <w:rPr>
          <w:rStyle w:val="a7"/>
        </w:rPr>
        <w:footnoteRef/>
      </w:r>
      <w:r>
        <w:rPr>
          <w:rtl/>
        </w:rPr>
        <w:t xml:space="preserve"> </w:t>
      </w:r>
      <w:r w:rsidRPr="00870831">
        <w:rPr>
          <w:rFonts w:cs="Arial"/>
          <w:rtl/>
        </w:rPr>
        <w:t>אין הלשון מדוקדק דאין הברירה ביד האשה וזה לשון הרשב"א אם יספיקו הפירות לשניהם תזון אשתו עמו מן הפירות ואם לא יספיקו צריכין ב"ד לכוף הבעל למכור למזון או יגבה לה ב"ד מזונות מאותן קרקעות אף על פי שאין מספיקין לכדי כתובה</w:t>
      </w:r>
      <w:r>
        <w:rPr>
          <w:rFonts w:cs="Arial" w:hint="cs"/>
          <w:rtl/>
        </w:rPr>
        <w:t>, ח"מ (סקי"ג).</w:t>
      </w:r>
    </w:p>
  </w:footnote>
  <w:footnote w:id="284">
    <w:p w14:paraId="7BF05B92" w14:textId="6FE55251" w:rsidR="00C25238" w:rsidRDefault="00C25238">
      <w:pPr>
        <w:pStyle w:val="a5"/>
      </w:pPr>
      <w:r>
        <w:rPr>
          <w:rStyle w:val="a7"/>
        </w:rPr>
        <w:footnoteRef/>
      </w:r>
      <w:r>
        <w:rPr>
          <w:rtl/>
        </w:rPr>
        <w:t xml:space="preserve"> </w:t>
      </w:r>
      <w:r w:rsidRPr="00C25238">
        <w:rPr>
          <w:rFonts w:hint="cs"/>
          <w:rtl/>
        </w:rPr>
        <w:t>שכאן פוסק כהרשב"א שחייב ברפואתה</w:t>
      </w:r>
      <w:r>
        <w:rPr>
          <w:rFonts w:hint="cs"/>
          <w:rtl/>
        </w:rPr>
        <w:t>, ו</w:t>
      </w:r>
      <w:r w:rsidRPr="00C25238">
        <w:rPr>
          <w:rFonts w:hint="cs"/>
          <w:rtl/>
        </w:rPr>
        <w:t>בסי' קי"ט כהרמב"ם שאינו חייב</w:t>
      </w:r>
      <w:r w:rsidR="00533ACC">
        <w:rPr>
          <w:rFonts w:hint="cs"/>
          <w:rtl/>
        </w:rPr>
        <w:t xml:space="preserve"> ברפואתה</w:t>
      </w:r>
      <w:r>
        <w:rPr>
          <w:rFonts w:hint="cs"/>
          <w:rtl/>
        </w:rPr>
        <w:t>.</w:t>
      </w:r>
    </w:p>
  </w:footnote>
  <w:footnote w:id="285">
    <w:p w14:paraId="48289475" w14:textId="01535516" w:rsidR="008121F7" w:rsidRDefault="008121F7">
      <w:pPr>
        <w:pStyle w:val="a5"/>
        <w:rPr>
          <w:rtl/>
        </w:rPr>
      </w:pPr>
      <w:r>
        <w:rPr>
          <w:rStyle w:val="a7"/>
        </w:rPr>
        <w:footnoteRef/>
      </w:r>
      <w:r>
        <w:rPr>
          <w:rtl/>
        </w:rPr>
        <w:t xml:space="preserve"> </w:t>
      </w:r>
      <w:r w:rsidRPr="008121F7">
        <w:rPr>
          <w:rFonts w:cs="Arial"/>
          <w:rtl/>
        </w:rPr>
        <w:t>ועיין בהגהות יד אפרים שכ' ע"ז דמלשון תשובת הרשב"א שהביא בד"מ מבואר דאף באומר הרי גיטה וכתובת</w:t>
      </w:r>
      <w:r w:rsidR="00E60691">
        <w:rPr>
          <w:rFonts w:cs="Arial" w:hint="cs"/>
          <w:rtl/>
        </w:rPr>
        <w:t>ה</w:t>
      </w:r>
      <w:r w:rsidRPr="008121F7">
        <w:rPr>
          <w:rFonts w:cs="Arial"/>
          <w:rtl/>
        </w:rPr>
        <w:t xml:space="preserve"> לא מהני כיון שאינו יכול לגרשה ע"ש. ועיין בתשו' חוט השני </w:t>
      </w:r>
      <w:r w:rsidR="008E1882">
        <w:rPr>
          <w:rFonts w:cs="Arial" w:hint="cs"/>
          <w:rtl/>
        </w:rPr>
        <w:t>(</w:t>
      </w:r>
      <w:r w:rsidRPr="008121F7">
        <w:rPr>
          <w:rFonts w:cs="Arial"/>
          <w:rtl/>
        </w:rPr>
        <w:t>סי' לב</w:t>
      </w:r>
      <w:r w:rsidR="008E1882">
        <w:rPr>
          <w:rFonts w:cs="Arial" w:hint="cs"/>
          <w:rtl/>
        </w:rPr>
        <w:t>)</w:t>
      </w:r>
      <w:r w:rsidRPr="008121F7">
        <w:rPr>
          <w:rFonts w:cs="Arial"/>
          <w:rtl/>
        </w:rPr>
        <w:t xml:space="preserve"> שכ' על נדון דידי' וז"ל</w:t>
      </w:r>
      <w:r w:rsidR="008E1882">
        <w:rPr>
          <w:rFonts w:cs="Arial" w:hint="cs"/>
          <w:rtl/>
        </w:rPr>
        <w:t>:</w:t>
      </w:r>
      <w:r w:rsidRPr="008121F7">
        <w:rPr>
          <w:rFonts w:cs="Arial"/>
          <w:rtl/>
        </w:rPr>
        <w:t xml:space="preserve"> ואין לפטור אותו מטעם שנשטית שכ' הרמב"ם פ"י מה"א שאין חייב לה בשכ"ו כבר נפסקה ההלכה מפי גדול האחרונים כהראב"ד שהשיג עליו וכן דעת הרשב"א בתשו' שחייב לה בכל. ועוד אפשר שבזה גם הר"מ מודה כי שגעון כזה הבא מחמת חולי ועודנה בחליה מוחזקים הם להתרפאות ואין אחד מני אלף אשר לא יכול להרפא</w:t>
      </w:r>
      <w:r w:rsidR="00EA159C">
        <w:rPr>
          <w:rFonts w:cs="Arial" w:hint="cs"/>
          <w:rtl/>
        </w:rPr>
        <w:t>,</w:t>
      </w:r>
      <w:r w:rsidRPr="008121F7">
        <w:rPr>
          <w:rFonts w:cs="Arial"/>
          <w:rtl/>
        </w:rPr>
        <w:t xml:space="preserve"> והר"מ לא פליג אלא היכא שהיא בריאה ומשתגעת שהשגעון ההוא ברוב פעמים הוא נצחי ואינו מוחזק להתרפאות עכ"ל</w:t>
      </w:r>
      <w:r>
        <w:rPr>
          <w:rFonts w:hint="cs"/>
          <w:rtl/>
        </w:rPr>
        <w:t>, פת"ש (סק"ז).</w:t>
      </w:r>
    </w:p>
  </w:footnote>
  <w:footnote w:id="286">
    <w:p w14:paraId="150E9B48" w14:textId="76DE4FBC" w:rsidR="005D2022" w:rsidRDefault="005D2022">
      <w:pPr>
        <w:pStyle w:val="a5"/>
      </w:pPr>
      <w:r>
        <w:rPr>
          <w:rStyle w:val="a7"/>
        </w:rPr>
        <w:footnoteRef/>
      </w:r>
      <w:r>
        <w:rPr>
          <w:rtl/>
        </w:rPr>
        <w:t xml:space="preserve"> </w:t>
      </w:r>
      <w:r w:rsidRPr="005D2022">
        <w:rPr>
          <w:rFonts w:cs="Arial"/>
          <w:rtl/>
        </w:rPr>
        <w:t>אבל אם היתה שוטה בשעת הנישואין לא תקנו חז"ל נשואין לשוטה</w:t>
      </w:r>
      <w:r>
        <w:rPr>
          <w:rFonts w:cs="Arial" w:hint="cs"/>
          <w:rtl/>
        </w:rPr>
        <w:t>...</w:t>
      </w:r>
      <w:r w:rsidRPr="005D2022">
        <w:rPr>
          <w:rFonts w:cs="Arial"/>
          <w:rtl/>
        </w:rPr>
        <w:t xml:space="preserve"> ואם היה שוטה בשעת הנישואין וכתב לה כתובה נראה דחייב לה כל תנאי כתובה ועיין סי' ס"ו</w:t>
      </w:r>
      <w:r>
        <w:rPr>
          <w:rFonts w:cs="Arial" w:hint="cs"/>
          <w:rtl/>
        </w:rPr>
        <w:t xml:space="preserve">, </w:t>
      </w:r>
      <w:r w:rsidRPr="00533ACC">
        <w:rPr>
          <w:rFonts w:cs="Arial" w:hint="cs"/>
          <w:b/>
          <w:bCs/>
          <w:rtl/>
        </w:rPr>
        <w:t>ב"ש</w:t>
      </w:r>
      <w:r>
        <w:rPr>
          <w:rFonts w:cs="Arial" w:hint="cs"/>
          <w:rtl/>
        </w:rPr>
        <w:t xml:space="preserve"> (סק"ט).</w:t>
      </w:r>
      <w:r w:rsidR="008121F7" w:rsidRPr="008121F7">
        <w:rPr>
          <w:rtl/>
        </w:rPr>
        <w:t xml:space="preserve"> </w:t>
      </w:r>
      <w:r w:rsidR="00533ACC">
        <w:rPr>
          <w:rFonts w:cs="Arial" w:hint="cs"/>
          <w:rtl/>
        </w:rPr>
        <w:t xml:space="preserve">     </w:t>
      </w:r>
      <w:r w:rsidR="008121F7" w:rsidRPr="008121F7">
        <w:rPr>
          <w:rFonts w:cs="Arial"/>
          <w:rtl/>
        </w:rPr>
        <w:t>ובס' ב"מ כתב עליו אינו יודע מהיכן נראה לו כן שיתחייב במה שלא כ' לה כו' ע"ש</w:t>
      </w:r>
      <w:r w:rsidR="008121F7">
        <w:rPr>
          <w:rFonts w:cs="Arial" w:hint="cs"/>
          <w:rtl/>
        </w:rPr>
        <w:t xml:space="preserve">, </w:t>
      </w:r>
      <w:r w:rsidR="008121F7" w:rsidRPr="00533ACC">
        <w:rPr>
          <w:rFonts w:cs="Arial" w:hint="cs"/>
          <w:b/>
          <w:bCs/>
          <w:rtl/>
        </w:rPr>
        <w:t>פת"ש</w:t>
      </w:r>
      <w:r w:rsidR="008121F7">
        <w:rPr>
          <w:rFonts w:cs="Arial" w:hint="cs"/>
          <w:rtl/>
        </w:rPr>
        <w:t xml:space="preserve"> (סק"ו).</w:t>
      </w:r>
    </w:p>
  </w:footnote>
  <w:footnote w:id="287">
    <w:p w14:paraId="492A45EA" w14:textId="064B2877" w:rsidR="00DE2F5F" w:rsidRDefault="00DE2F5F">
      <w:pPr>
        <w:pStyle w:val="a5"/>
      </w:pPr>
      <w:r>
        <w:rPr>
          <w:rStyle w:val="a7"/>
        </w:rPr>
        <w:footnoteRef/>
      </w:r>
      <w:r>
        <w:rPr>
          <w:rtl/>
        </w:rPr>
        <w:t xml:space="preserve"> </w:t>
      </w:r>
      <w:r>
        <w:rPr>
          <w:rFonts w:cs="Arial"/>
          <w:rtl/>
        </w:rPr>
        <w:t>כלומר כשישמעו שמת ותבוא לגבות כתובתה תשבע שלא עיכבה משל בעלה כלום ולא תשבע בתחלה בשעת גיבוי מזונות</w:t>
      </w:r>
      <w:r>
        <w:rPr>
          <w:rFonts w:cs="Arial" w:hint="cs"/>
          <w:rtl/>
        </w:rPr>
        <w:t>, ב"י.</w:t>
      </w:r>
    </w:p>
  </w:footnote>
  <w:footnote w:id="288">
    <w:p w14:paraId="58E0D7AC" w14:textId="5A1AD0FD" w:rsidR="00DE2F5F" w:rsidRDefault="00DE2F5F">
      <w:pPr>
        <w:pStyle w:val="a5"/>
      </w:pPr>
      <w:r>
        <w:rPr>
          <w:rStyle w:val="a7"/>
        </w:rPr>
        <w:footnoteRef/>
      </w:r>
      <w:r>
        <w:rPr>
          <w:rtl/>
        </w:rPr>
        <w:t xml:space="preserve"> </w:t>
      </w:r>
      <w:r>
        <w:rPr>
          <w:rFonts w:hint="cs"/>
          <w:rtl/>
        </w:rPr>
        <w:t xml:space="preserve">משמע דרב סבר דפוסקים לה לאחר ג' אפילו לא שמעו מת. וכ"כ הטור. </w:t>
      </w:r>
      <w:r>
        <w:rPr>
          <w:rFonts w:hint="cs"/>
          <w:color w:val="E36C0A" w:themeColor="accent6" w:themeShade="BF"/>
          <w:rtl/>
        </w:rPr>
        <w:t>(</w:t>
      </w:r>
      <w:r w:rsidRPr="004A6085">
        <w:rPr>
          <w:rFonts w:hint="cs"/>
          <w:color w:val="E36C0A" w:themeColor="accent6" w:themeShade="BF"/>
          <w:rtl/>
        </w:rPr>
        <w:t>וכ"פ בשו"ע)</w:t>
      </w:r>
    </w:p>
  </w:footnote>
  <w:footnote w:id="289">
    <w:p w14:paraId="6C3C5E5D" w14:textId="63B0935E" w:rsidR="00DE2F5F" w:rsidRDefault="00DE2F5F">
      <w:pPr>
        <w:pStyle w:val="a5"/>
      </w:pPr>
      <w:r>
        <w:rPr>
          <w:rStyle w:val="a7"/>
        </w:rPr>
        <w:footnoteRef/>
      </w:r>
      <w:r>
        <w:rPr>
          <w:rtl/>
        </w:rPr>
        <w:t xml:space="preserve"> </w:t>
      </w:r>
      <w:r>
        <w:rPr>
          <w:rFonts w:cs="Arial"/>
          <w:rtl/>
        </w:rPr>
        <w:t>בשמים של אבקת רוכל שהנשים מתקשטות</w:t>
      </w:r>
      <w:r>
        <w:rPr>
          <w:rFonts w:cs="Arial" w:hint="cs"/>
          <w:rtl/>
        </w:rPr>
        <w:t>, רש"י.</w:t>
      </w:r>
      <w:r w:rsidRPr="00B7794F">
        <w:rPr>
          <w:rFonts w:cs="Arial"/>
          <w:rtl/>
        </w:rPr>
        <w:t xml:space="preserve"> </w:t>
      </w:r>
      <w:r>
        <w:rPr>
          <w:rFonts w:cs="Arial"/>
          <w:rtl/>
        </w:rPr>
        <w:t>ופסק הרמב"ם בפי"ג מהלכות אישות (ה"ז) כמ"ד דאין פוסקין לה תכשיט</w:t>
      </w:r>
      <w:r>
        <w:rPr>
          <w:rFonts w:hint="cs"/>
          <w:rtl/>
        </w:rPr>
        <w:t>.</w:t>
      </w:r>
    </w:p>
  </w:footnote>
  <w:footnote w:id="290">
    <w:p w14:paraId="6FC79ADE" w14:textId="40557CCA" w:rsidR="00DE2F5F" w:rsidRDefault="00DE2F5F" w:rsidP="00B7794F">
      <w:pPr>
        <w:pStyle w:val="a5"/>
        <w:rPr>
          <w:rtl/>
        </w:rPr>
      </w:pPr>
      <w:r>
        <w:rPr>
          <w:rStyle w:val="a7"/>
        </w:rPr>
        <w:footnoteRef/>
      </w:r>
      <w:r>
        <w:rPr>
          <w:rtl/>
        </w:rPr>
        <w:t xml:space="preserve"> </w:t>
      </w:r>
      <w:r w:rsidRPr="00B3180C">
        <w:rPr>
          <w:rFonts w:cs="Arial"/>
          <w:rtl/>
        </w:rPr>
        <w:t>וכן אמר א"א הרא"ש ז"ל</w:t>
      </w:r>
      <w:r>
        <w:rPr>
          <w:rFonts w:hint="cs"/>
          <w:rtl/>
        </w:rPr>
        <w:t>, טור.</w:t>
      </w:r>
      <w:r w:rsidR="00103AB8">
        <w:rPr>
          <w:rFonts w:hint="cs"/>
          <w:rtl/>
        </w:rPr>
        <w:t xml:space="preserve">    </w:t>
      </w:r>
      <w:r w:rsidRPr="00B7794F">
        <w:rPr>
          <w:rFonts w:cs="Arial"/>
          <w:rtl/>
        </w:rPr>
        <w:t xml:space="preserve"> </w:t>
      </w:r>
      <w:r>
        <w:rPr>
          <w:rFonts w:cs="Arial" w:hint="cs"/>
          <w:rtl/>
        </w:rPr>
        <w:t>וכתב הב"י על דברי הטור</w:t>
      </w:r>
      <w:r w:rsidR="00CA6F01">
        <w:rPr>
          <w:rFonts w:cs="Arial" w:hint="cs"/>
          <w:rtl/>
        </w:rPr>
        <w:t xml:space="preserve">: </w:t>
      </w:r>
      <w:r w:rsidRPr="00B7794F">
        <w:rPr>
          <w:rFonts w:cs="Arial"/>
          <w:rtl/>
        </w:rPr>
        <w:t>תמהני עליו</w:t>
      </w:r>
      <w:r>
        <w:rPr>
          <w:rFonts w:cs="Arial" w:hint="cs"/>
          <w:rtl/>
        </w:rPr>
        <w:t>,</w:t>
      </w:r>
      <w:r w:rsidRPr="00B7794F">
        <w:rPr>
          <w:rFonts w:cs="Arial"/>
          <w:rtl/>
        </w:rPr>
        <w:t xml:space="preserve"> שהרי הרא"ש בפרק שני דייני גזילות (סי' ו) תמה על דברי הרמב"ם</w:t>
      </w:r>
      <w:r>
        <w:rPr>
          <w:rFonts w:cs="Arial" w:hint="cs"/>
          <w:rtl/>
        </w:rPr>
        <w:t>.</w:t>
      </w:r>
      <w:r w:rsidRPr="00B7794F">
        <w:rPr>
          <w:rFonts w:cs="Arial"/>
          <w:rtl/>
        </w:rPr>
        <w:t xml:space="preserve"> ונראה שרבינו סובר שלא תמה על דבריו אלא מפני שכתב שמי שהלך למדינת הים אשתו נזונת בלא שטר כתובה ואלמנה אינה נזונת אא</w:t>
      </w:r>
      <w:r>
        <w:rPr>
          <w:rFonts w:cs="Arial" w:hint="cs"/>
          <w:rtl/>
        </w:rPr>
        <w:t>"</w:t>
      </w:r>
      <w:r w:rsidRPr="00B7794F">
        <w:rPr>
          <w:rFonts w:cs="Arial"/>
          <w:rtl/>
        </w:rPr>
        <w:t>כ שטר כתובתה בידה</w:t>
      </w:r>
      <w:r>
        <w:rPr>
          <w:rFonts w:cs="Arial" w:hint="cs"/>
          <w:rtl/>
        </w:rPr>
        <w:t>,</w:t>
      </w:r>
      <w:r w:rsidRPr="00B7794F">
        <w:rPr>
          <w:rFonts w:cs="Arial"/>
          <w:rtl/>
        </w:rPr>
        <w:t xml:space="preserve"> והרא"ש תמה עליו משום דיותר יש להחמיר על אשה שהלך בעלה למדינת הים מבאלמנה</w:t>
      </w:r>
      <w:r>
        <w:rPr>
          <w:rFonts w:cs="Arial" w:hint="cs"/>
          <w:rtl/>
        </w:rPr>
        <w:t>.</w:t>
      </w:r>
      <w:r w:rsidRPr="00B7794F">
        <w:rPr>
          <w:rFonts w:cs="Arial"/>
          <w:rtl/>
        </w:rPr>
        <w:t xml:space="preserve"> ומכל מקום כיון שהעלה</w:t>
      </w:r>
      <w:r>
        <w:rPr>
          <w:rFonts w:cs="Arial" w:hint="cs"/>
          <w:sz w:val="16"/>
          <w:szCs w:val="16"/>
          <w:rtl/>
        </w:rPr>
        <w:t xml:space="preserve"> {הרא"ש}</w:t>
      </w:r>
      <w:r w:rsidRPr="00B7794F">
        <w:rPr>
          <w:rFonts w:cs="Arial"/>
          <w:rtl/>
        </w:rPr>
        <w:t xml:space="preserve"> דאלמנה נזונת אפילו אין שטר כתובה בידה איכא למימר דסבר דהוא הדין למי שהלך בעלה למדינת הים</w:t>
      </w:r>
      <w:r>
        <w:rPr>
          <w:rFonts w:cs="Arial" w:hint="cs"/>
          <w:rtl/>
        </w:rPr>
        <w:t>.</w:t>
      </w:r>
      <w:r w:rsidRPr="00B7794F">
        <w:rPr>
          <w:rFonts w:cs="Arial"/>
          <w:rtl/>
        </w:rPr>
        <w:t xml:space="preserve"> ולפי שאין דבר ברור בדברי הרא"ש שכתב שם</w:t>
      </w:r>
      <w:r>
        <w:rPr>
          <w:rFonts w:cs="Arial" w:hint="cs"/>
          <w:rtl/>
        </w:rPr>
        <w:t>,</w:t>
      </w:r>
      <w:r w:rsidRPr="00B7794F">
        <w:rPr>
          <w:rFonts w:cs="Arial"/>
          <w:rtl/>
        </w:rPr>
        <w:t xml:space="preserve"> איפשר שמפני כך לא כתב רבינו </w:t>
      </w:r>
      <w:r>
        <w:rPr>
          <w:rFonts w:cs="Arial" w:hint="cs"/>
          <w:rtl/>
        </w:rPr>
        <w:t>'</w:t>
      </w:r>
      <w:r w:rsidRPr="00B7794F">
        <w:rPr>
          <w:rFonts w:cs="Arial"/>
          <w:rtl/>
        </w:rPr>
        <w:t>וכן כתב הרא"ש</w:t>
      </w:r>
      <w:r>
        <w:rPr>
          <w:rFonts w:cs="Arial" w:hint="cs"/>
          <w:rtl/>
        </w:rPr>
        <w:t>'</w:t>
      </w:r>
      <w:r w:rsidRPr="00B7794F">
        <w:rPr>
          <w:rFonts w:cs="Arial"/>
          <w:rtl/>
        </w:rPr>
        <w:t xml:space="preserve"> אלא </w:t>
      </w:r>
      <w:r>
        <w:rPr>
          <w:rFonts w:cs="Arial" w:hint="cs"/>
          <w:rtl/>
        </w:rPr>
        <w:t>'</w:t>
      </w:r>
      <w:r w:rsidRPr="00B7794F">
        <w:rPr>
          <w:rFonts w:cs="Arial"/>
          <w:rtl/>
        </w:rPr>
        <w:t>וכן אמר הרא"ש</w:t>
      </w:r>
      <w:r>
        <w:rPr>
          <w:rFonts w:cs="Arial" w:hint="cs"/>
          <w:rtl/>
        </w:rPr>
        <w:t>',</w:t>
      </w:r>
      <w:r w:rsidRPr="00B7794F">
        <w:rPr>
          <w:rFonts w:cs="Arial"/>
          <w:rtl/>
        </w:rPr>
        <w:t xml:space="preserve"> כלומר אע</w:t>
      </w:r>
      <w:r w:rsidR="00CA6F01">
        <w:rPr>
          <w:rFonts w:cs="Arial" w:hint="cs"/>
          <w:rtl/>
        </w:rPr>
        <w:t>"</w:t>
      </w:r>
      <w:r w:rsidRPr="00B7794F">
        <w:rPr>
          <w:rFonts w:cs="Arial"/>
          <w:rtl/>
        </w:rPr>
        <w:t>פ שלא כתב כן בפירוש מכל מקום כך אמר לנו בע"פ שזה היה דעתו</w:t>
      </w:r>
      <w:r>
        <w:rPr>
          <w:rFonts w:cs="Arial" w:hint="cs"/>
          <w:rtl/>
        </w:rPr>
        <w:t>.</w:t>
      </w:r>
    </w:p>
  </w:footnote>
  <w:footnote w:id="291">
    <w:p w14:paraId="506DC249" w14:textId="2FC0C76C" w:rsidR="00DE2F5F" w:rsidRDefault="00DE2F5F">
      <w:pPr>
        <w:pStyle w:val="a5"/>
      </w:pPr>
      <w:r>
        <w:rPr>
          <w:rStyle w:val="a7"/>
        </w:rPr>
        <w:footnoteRef/>
      </w:r>
      <w:r>
        <w:rPr>
          <w:rtl/>
        </w:rPr>
        <w:t xml:space="preserve"> </w:t>
      </w:r>
      <w:r>
        <w:rPr>
          <w:rFonts w:cs="Arial"/>
          <w:rtl/>
        </w:rPr>
        <w:t>וכתב הה</w:t>
      </w:r>
      <w:r w:rsidR="0097718F">
        <w:rPr>
          <w:rFonts w:cs="Arial" w:hint="cs"/>
          <w:rtl/>
        </w:rPr>
        <w:t>"</w:t>
      </w:r>
      <w:r>
        <w:rPr>
          <w:rFonts w:cs="Arial"/>
          <w:rtl/>
        </w:rPr>
        <w:t>מ</w:t>
      </w:r>
      <w:r w:rsidR="0097718F">
        <w:rPr>
          <w:rFonts w:cs="Arial" w:hint="cs"/>
          <w:rtl/>
        </w:rPr>
        <w:t>:</w:t>
      </w:r>
      <w:r>
        <w:rPr>
          <w:rFonts w:cs="Arial"/>
          <w:rtl/>
        </w:rPr>
        <w:t xml:space="preserve"> כן נראה מן הסוגיא שבפרק שני דייני גזילות (קז.) דלרב אפילו בדספקי מעשה ידיה פוסקין לה מזונות</w:t>
      </w:r>
      <w:r>
        <w:rPr>
          <w:rFonts w:cs="Arial" w:hint="cs"/>
          <w:rtl/>
        </w:rPr>
        <w:t>.</w:t>
      </w:r>
      <w:r>
        <w:rPr>
          <w:rFonts w:cs="Arial"/>
          <w:rtl/>
        </w:rPr>
        <w:t xml:space="preserve"> וגם הר"ן כתב כן בשם</w:t>
      </w:r>
      <w:r>
        <w:rPr>
          <w:rFonts w:cs="Arial" w:hint="cs"/>
          <w:rtl/>
        </w:rPr>
        <w:t xml:space="preserve"> הרמב"ן והרשב"א</w:t>
      </w:r>
      <w:r>
        <w:rPr>
          <w:rFonts w:cs="Arial"/>
          <w:rtl/>
        </w:rPr>
        <w:t xml:space="preserve"> בפרק הנזכר (סב: ד"ה גמ')</w:t>
      </w:r>
      <w:r w:rsidR="00744EF4">
        <w:rPr>
          <w:rFonts w:cs="Arial" w:hint="cs"/>
          <w:rtl/>
        </w:rPr>
        <w:t>.</w:t>
      </w:r>
      <w:r>
        <w:rPr>
          <w:rFonts w:cs="Arial"/>
          <w:rtl/>
        </w:rPr>
        <w:t xml:space="preserve"> וכתב עוד (שם ד"ה והוי) שכן נמצא להרי"ף בתשובה</w:t>
      </w:r>
      <w:r w:rsidR="004867F1">
        <w:rPr>
          <w:rFonts w:cs="Arial" w:hint="cs"/>
          <w:rtl/>
        </w:rPr>
        <w:t>.</w:t>
      </w:r>
      <w:r>
        <w:rPr>
          <w:rFonts w:cs="Arial"/>
          <w:rtl/>
        </w:rPr>
        <w:t xml:space="preserve"> והוא ז"ל תמה על דבריהם וכתב</w:t>
      </w:r>
      <w:r w:rsidR="004867F1">
        <w:rPr>
          <w:rFonts w:cs="Arial" w:hint="cs"/>
          <w:rtl/>
        </w:rPr>
        <w:t>:</w:t>
      </w:r>
      <w:r>
        <w:rPr>
          <w:rFonts w:cs="Arial"/>
          <w:rtl/>
        </w:rPr>
        <w:t xml:space="preserve"> אע</w:t>
      </w:r>
      <w:r w:rsidR="004867F1">
        <w:rPr>
          <w:rFonts w:cs="Arial" w:hint="cs"/>
          <w:rtl/>
        </w:rPr>
        <w:t>"</w:t>
      </w:r>
      <w:r>
        <w:rPr>
          <w:rFonts w:cs="Arial"/>
          <w:rtl/>
        </w:rPr>
        <w:t>פ שדעת אבות העולם כך דברי תימה הם שכיון שהיא חייבת במעשה ידיה לבעל למה לא יחשבו ב"ד עליו כשיחשבו לה מזונות</w:t>
      </w:r>
      <w:r w:rsidR="004867F1">
        <w:rPr>
          <w:rFonts w:cs="Arial" w:hint="cs"/>
          <w:rtl/>
        </w:rPr>
        <w:t>.</w:t>
      </w:r>
      <w:r>
        <w:rPr>
          <w:rFonts w:cs="Arial"/>
          <w:rtl/>
        </w:rPr>
        <w:t xml:space="preserve"> והראיה שהביאו מדאמרינן א"נ קטנה וספקא</w:t>
      </w:r>
      <w:r w:rsidR="004867F1">
        <w:rPr>
          <w:rFonts w:cs="Arial" w:hint="cs"/>
          <w:rtl/>
        </w:rPr>
        <w:t>,</w:t>
      </w:r>
      <w:r>
        <w:rPr>
          <w:rFonts w:cs="Arial"/>
          <w:rtl/>
        </w:rPr>
        <w:t xml:space="preserve"> אינה מכרעת כלל וכו'</w:t>
      </w:r>
      <w:r w:rsidR="0097718F">
        <w:rPr>
          <w:rFonts w:cs="Arial" w:hint="cs"/>
          <w:rtl/>
        </w:rPr>
        <w:t>,</w:t>
      </w:r>
      <w:r>
        <w:rPr>
          <w:rFonts w:cs="Arial"/>
          <w:rtl/>
        </w:rPr>
        <w:t xml:space="preserve"> וכך נ"ל מדברי רש"י וכו'</w:t>
      </w:r>
      <w:r w:rsidR="0097718F">
        <w:rPr>
          <w:rFonts w:cs="Arial" w:hint="cs"/>
          <w:rtl/>
        </w:rPr>
        <w:t>.</w:t>
      </w:r>
      <w:r>
        <w:rPr>
          <w:rFonts w:cs="Arial"/>
          <w:rtl/>
        </w:rPr>
        <w:t xml:space="preserve"> ובסוף דבריו כתב אע</w:t>
      </w:r>
      <w:r w:rsidR="0097718F">
        <w:rPr>
          <w:rFonts w:cs="Arial" w:hint="cs"/>
          <w:rtl/>
        </w:rPr>
        <w:t>"</w:t>
      </w:r>
      <w:r>
        <w:rPr>
          <w:rFonts w:cs="Arial"/>
          <w:rtl/>
        </w:rPr>
        <w:t>פ שהדברים מראים כן אין לנו כח לחלוק על אבות העולם עכ"</w:t>
      </w:r>
      <w:r>
        <w:rPr>
          <w:rFonts w:cs="Arial" w:hint="cs"/>
          <w:rtl/>
        </w:rPr>
        <w:t>ל, ב"י.</w:t>
      </w:r>
    </w:p>
  </w:footnote>
  <w:footnote w:id="292">
    <w:p w14:paraId="18DF0B71" w14:textId="0B22EF3A" w:rsidR="00DE2F5F" w:rsidRDefault="00DE2F5F">
      <w:pPr>
        <w:pStyle w:val="a5"/>
        <w:rPr>
          <w:rtl/>
        </w:rPr>
      </w:pPr>
      <w:r>
        <w:rPr>
          <w:rStyle w:val="a7"/>
        </w:rPr>
        <w:footnoteRef/>
      </w:r>
      <w:r>
        <w:rPr>
          <w:rtl/>
        </w:rPr>
        <w:t xml:space="preserve"> </w:t>
      </w:r>
      <w:r>
        <w:rPr>
          <w:rFonts w:cs="Arial"/>
          <w:rtl/>
        </w:rPr>
        <w:t>דעת רבינו שמזונות אלו שוים למזונות האלמנה וכשם שהאלמנה מוכרת למזונותיה שלא בב"ד ואפילו בלא טענת חינא כדאיתא בפרק אלמנה נזונת (צז:) כך זו מוכרת שלא בב"ד</w:t>
      </w:r>
      <w:r>
        <w:rPr>
          <w:rFonts w:cs="Arial" w:hint="cs"/>
          <w:rtl/>
        </w:rPr>
        <w:t>.</w:t>
      </w:r>
      <w:r>
        <w:rPr>
          <w:rFonts w:cs="Arial"/>
          <w:rtl/>
        </w:rPr>
        <w:t xml:space="preserve"> וכן משמע בסוגיא דלא שמעו בו שמת הוא לרב כמו שמעו בו שמת לשמואל</w:t>
      </w:r>
      <w:r>
        <w:rPr>
          <w:rFonts w:cs="Arial" w:hint="cs"/>
          <w:rtl/>
        </w:rPr>
        <w:t>,</w:t>
      </w:r>
      <w:r>
        <w:rPr>
          <w:rFonts w:cs="Arial"/>
          <w:rtl/>
        </w:rPr>
        <w:t xml:space="preserve"> ולא ראיתי מי שיחלוק בזה</w:t>
      </w:r>
      <w:r>
        <w:rPr>
          <w:rFonts w:hint="cs"/>
          <w:rtl/>
        </w:rPr>
        <w:t>, הה"מ (שם).</w:t>
      </w:r>
    </w:p>
  </w:footnote>
  <w:footnote w:id="293">
    <w:p w14:paraId="1C7ADBD2" w14:textId="5AFC3E51" w:rsidR="00DE2F5F" w:rsidRDefault="00DE2F5F" w:rsidP="004A6085">
      <w:pPr>
        <w:pStyle w:val="a5"/>
      </w:pPr>
      <w:r>
        <w:rPr>
          <w:rStyle w:val="a7"/>
        </w:rPr>
        <w:footnoteRef/>
      </w:r>
      <w:r>
        <w:rPr>
          <w:rtl/>
        </w:rPr>
        <w:t xml:space="preserve"> </w:t>
      </w:r>
      <w:r>
        <w:rPr>
          <w:rFonts w:cs="Arial" w:hint="cs"/>
          <w:rtl/>
        </w:rPr>
        <w:t>ו</w:t>
      </w:r>
      <w:r w:rsidRPr="00CA604D">
        <w:rPr>
          <w:rFonts w:cs="Arial"/>
          <w:rtl/>
        </w:rPr>
        <w:t>עיין בהר"ן ריש דייני גזירות (סד: ד"ה גמ') שהאריך בדינים אלו</w:t>
      </w:r>
      <w:r>
        <w:rPr>
          <w:rFonts w:cs="Arial" w:hint="cs"/>
          <w:rtl/>
        </w:rPr>
        <w:t>..., דרכ"מ (אות ו).</w:t>
      </w:r>
    </w:p>
  </w:footnote>
  <w:footnote w:id="294">
    <w:p w14:paraId="6BCEFA08" w14:textId="3F2B9CBD" w:rsidR="00DE2F5F" w:rsidRDefault="00DE2F5F">
      <w:pPr>
        <w:pStyle w:val="a5"/>
        <w:rPr>
          <w:rtl/>
        </w:rPr>
      </w:pPr>
      <w:r>
        <w:rPr>
          <w:rStyle w:val="a7"/>
        </w:rPr>
        <w:footnoteRef/>
      </w:r>
      <w:r>
        <w:rPr>
          <w:rtl/>
        </w:rPr>
        <w:t xml:space="preserve"> </w:t>
      </w:r>
      <w:r>
        <w:rPr>
          <w:rFonts w:hint="cs"/>
          <w:rtl/>
        </w:rPr>
        <w:t xml:space="preserve">הביאו הדרכ"מ (אות ד), ומשמע מדבריו שחולק על הריטב"א. וצל"ע למה הכריח בדבריו כן. </w:t>
      </w:r>
    </w:p>
  </w:footnote>
  <w:footnote w:id="295">
    <w:p w14:paraId="58E69058" w14:textId="011B4D6C" w:rsidR="00E531BA" w:rsidRDefault="00E531BA">
      <w:pPr>
        <w:pStyle w:val="a5"/>
      </w:pPr>
      <w:r>
        <w:rPr>
          <w:rStyle w:val="a7"/>
        </w:rPr>
        <w:footnoteRef/>
      </w:r>
      <w:r>
        <w:rPr>
          <w:rtl/>
        </w:rPr>
        <w:t xml:space="preserve"> </w:t>
      </w:r>
      <w:r>
        <w:rPr>
          <w:rFonts w:hint="cs"/>
          <w:rtl/>
        </w:rPr>
        <w:t>סימן - חרש מקשט.</w:t>
      </w:r>
    </w:p>
  </w:footnote>
  <w:footnote w:id="296">
    <w:p w14:paraId="430A5A81" w14:textId="6870E342" w:rsidR="00DE2F5F" w:rsidRDefault="00DE2F5F">
      <w:pPr>
        <w:pStyle w:val="a5"/>
        <w:rPr>
          <w:rtl/>
        </w:rPr>
      </w:pPr>
      <w:r>
        <w:rPr>
          <w:rStyle w:val="a7"/>
        </w:rPr>
        <w:footnoteRef/>
      </w:r>
      <w:r>
        <w:rPr>
          <w:rtl/>
        </w:rPr>
        <w:t xml:space="preserve"> </w:t>
      </w:r>
      <w:r w:rsidRPr="00225601">
        <w:rPr>
          <w:rFonts w:cs="Arial"/>
          <w:rtl/>
        </w:rPr>
        <w:t>מזונות</w:t>
      </w:r>
      <w:r>
        <w:rPr>
          <w:rFonts w:hint="cs"/>
          <w:rtl/>
        </w:rPr>
        <w:t>, רש"י.</w:t>
      </w:r>
    </w:p>
  </w:footnote>
  <w:footnote w:id="297">
    <w:p w14:paraId="0A22EBAB" w14:textId="6A31F574" w:rsidR="00DE2F5F" w:rsidRDefault="00DE2F5F">
      <w:pPr>
        <w:pStyle w:val="a5"/>
      </w:pPr>
      <w:r>
        <w:rPr>
          <w:rStyle w:val="a7"/>
        </w:rPr>
        <w:footnoteRef/>
      </w:r>
      <w:r>
        <w:rPr>
          <w:rtl/>
        </w:rPr>
        <w:t xml:space="preserve"> </w:t>
      </w:r>
      <w:r w:rsidRPr="00225601">
        <w:rPr>
          <w:rFonts w:cs="Arial"/>
          <w:rtl/>
        </w:rPr>
        <w:t>לבוש וכסות</w:t>
      </w:r>
      <w:r>
        <w:rPr>
          <w:rFonts w:cs="Arial" w:hint="cs"/>
          <w:rtl/>
        </w:rPr>
        <w:t>, רש"י.</w:t>
      </w:r>
    </w:p>
  </w:footnote>
  <w:footnote w:id="298">
    <w:p w14:paraId="0085D54C" w14:textId="233C7ACE" w:rsidR="00DE2F5F" w:rsidRDefault="00DE2F5F">
      <w:pPr>
        <w:pStyle w:val="a5"/>
      </w:pPr>
      <w:r>
        <w:rPr>
          <w:rStyle w:val="a7"/>
        </w:rPr>
        <w:footnoteRef/>
      </w:r>
      <w:r>
        <w:rPr>
          <w:rtl/>
        </w:rPr>
        <w:t xml:space="preserve"> </w:t>
      </w:r>
      <w:r w:rsidRPr="00225601">
        <w:rPr>
          <w:rFonts w:cs="Arial"/>
          <w:rtl/>
        </w:rPr>
        <w:t>יוצא מן המקום לדעת</w:t>
      </w:r>
      <w:r>
        <w:rPr>
          <w:rFonts w:cs="Arial" w:hint="cs"/>
          <w:rtl/>
        </w:rPr>
        <w:t xml:space="preserve"> -</w:t>
      </w:r>
      <w:r w:rsidRPr="00225601">
        <w:rPr>
          <w:rFonts w:cs="Arial"/>
          <w:rtl/>
        </w:rPr>
        <w:t xml:space="preserve"> היה בידו לצוות על מזונות בניו ובנותיו ואשתו</w:t>
      </w:r>
      <w:r>
        <w:rPr>
          <w:rFonts w:cs="Arial" w:hint="cs"/>
          <w:rtl/>
        </w:rPr>
        <w:t>,</w:t>
      </w:r>
      <w:r w:rsidRPr="00225601">
        <w:rPr>
          <w:rFonts w:cs="Arial"/>
          <w:rtl/>
        </w:rPr>
        <w:t xml:space="preserve"> ולא צוה</w:t>
      </w:r>
      <w:r>
        <w:rPr>
          <w:rFonts w:cs="Arial" w:hint="cs"/>
          <w:rtl/>
        </w:rPr>
        <w:t>,</w:t>
      </w:r>
      <w:r w:rsidRPr="00225601">
        <w:rPr>
          <w:rFonts w:cs="Arial"/>
          <w:rtl/>
        </w:rPr>
        <w:t xml:space="preserve"> גילה דעתו שאינו רוצה לזונן</w:t>
      </w:r>
      <w:r>
        <w:rPr>
          <w:rFonts w:cs="Arial" w:hint="cs"/>
          <w:rtl/>
        </w:rPr>
        <w:t>,</w:t>
      </w:r>
      <w:r w:rsidRPr="00225601">
        <w:rPr>
          <w:rFonts w:cs="Arial"/>
          <w:rtl/>
        </w:rPr>
        <w:t xml:space="preserve"> הילכך אשתו דמיחייב לה בתנאי כתובה אשתעבוד ניכסיה</w:t>
      </w:r>
      <w:r>
        <w:rPr>
          <w:rFonts w:cs="Arial" w:hint="cs"/>
          <w:rtl/>
        </w:rPr>
        <w:t>,</w:t>
      </w:r>
      <w:r w:rsidRPr="00225601">
        <w:rPr>
          <w:rFonts w:cs="Arial"/>
          <w:rtl/>
        </w:rPr>
        <w:t xml:space="preserve"> בניו ובנותיו לא</w:t>
      </w:r>
      <w:r>
        <w:rPr>
          <w:rFonts w:cs="Arial" w:hint="cs"/>
          <w:rtl/>
        </w:rPr>
        <w:t>.</w:t>
      </w:r>
      <w:r w:rsidRPr="00225601">
        <w:rPr>
          <w:rFonts w:cs="Arial"/>
          <w:rtl/>
        </w:rPr>
        <w:t xml:space="preserve"> אבל נשתטה</w:t>
      </w:r>
      <w:r>
        <w:rPr>
          <w:rFonts w:cs="Arial" w:hint="cs"/>
          <w:rtl/>
        </w:rPr>
        <w:t>,</w:t>
      </w:r>
      <w:r w:rsidRPr="00225601">
        <w:rPr>
          <w:rFonts w:cs="Arial"/>
          <w:rtl/>
        </w:rPr>
        <w:t xml:space="preserve"> דיצא מן העולם שלא לדעת</w:t>
      </w:r>
      <w:r>
        <w:rPr>
          <w:rFonts w:cs="Arial" w:hint="cs"/>
          <w:rtl/>
        </w:rPr>
        <w:t>,</w:t>
      </w:r>
      <w:r w:rsidRPr="00225601">
        <w:rPr>
          <w:rFonts w:cs="Arial"/>
          <w:rtl/>
        </w:rPr>
        <w:t xml:space="preserve"> מסתמא ניחא ליה שיזונו בניו ובנותיו משלו</w:t>
      </w:r>
      <w:r>
        <w:rPr>
          <w:rFonts w:cs="Arial" w:hint="cs"/>
          <w:rtl/>
        </w:rPr>
        <w:t>, רש"י.</w:t>
      </w:r>
    </w:p>
  </w:footnote>
  <w:footnote w:id="299">
    <w:p w14:paraId="4BB2F9DE" w14:textId="57F2F80E" w:rsidR="00DE2F5F" w:rsidRDefault="00DE2F5F">
      <w:pPr>
        <w:pStyle w:val="a5"/>
      </w:pPr>
      <w:r>
        <w:rPr>
          <w:rStyle w:val="a7"/>
        </w:rPr>
        <w:footnoteRef/>
      </w:r>
      <w:r>
        <w:rPr>
          <w:rtl/>
        </w:rPr>
        <w:t xml:space="preserve"> </w:t>
      </w:r>
      <w:r w:rsidRPr="00225601">
        <w:rPr>
          <w:rFonts w:cs="Arial"/>
          <w:rtl/>
        </w:rPr>
        <w:t>בשמים של אבקת רוכל שהנשים מתקשטות בהם</w:t>
      </w:r>
      <w:r>
        <w:rPr>
          <w:rFonts w:cs="Arial" w:hint="cs"/>
          <w:rtl/>
        </w:rPr>
        <w:t>, רש"י.</w:t>
      </w:r>
    </w:p>
  </w:footnote>
  <w:footnote w:id="300">
    <w:p w14:paraId="2072203C" w14:textId="518D3ACA" w:rsidR="00DE2F5F" w:rsidRDefault="00DE2F5F">
      <w:pPr>
        <w:pStyle w:val="a5"/>
      </w:pPr>
      <w:r>
        <w:rPr>
          <w:rStyle w:val="a7"/>
        </w:rPr>
        <w:footnoteRef/>
      </w:r>
      <w:r>
        <w:rPr>
          <w:rtl/>
        </w:rPr>
        <w:t xml:space="preserve"> </w:t>
      </w:r>
      <w:r w:rsidRPr="00225601">
        <w:rPr>
          <w:rFonts w:cs="Arial"/>
          <w:rtl/>
        </w:rPr>
        <w:t>לא יהבינן לאשתו כ"ש שאין עלינו לעשות צדקה מנכסיו ואמתניתא קיימי</w:t>
      </w:r>
      <w:r>
        <w:rPr>
          <w:rFonts w:cs="Arial" w:hint="cs"/>
          <w:rtl/>
        </w:rPr>
        <w:t>, רש"י.</w:t>
      </w:r>
    </w:p>
  </w:footnote>
  <w:footnote w:id="301">
    <w:p w14:paraId="716A50BF" w14:textId="6B0C3580" w:rsidR="00DE2F5F" w:rsidRDefault="00DE2F5F">
      <w:pPr>
        <w:pStyle w:val="a5"/>
      </w:pPr>
      <w:r>
        <w:rPr>
          <w:rStyle w:val="a7"/>
        </w:rPr>
        <w:footnoteRef/>
      </w:r>
      <w:r>
        <w:rPr>
          <w:rtl/>
        </w:rPr>
        <w:t xml:space="preserve"> </w:t>
      </w:r>
      <w:r w:rsidRPr="00225601">
        <w:rPr>
          <w:rFonts w:cs="Arial"/>
          <w:rtl/>
        </w:rPr>
        <w:t>אף על פי שלא צוה בלכתו עבדינן ולי נראה דאדמר עוקבא קיימי דאמר מי שנשתטה יורדין לנכסיו וזנין כו' וד"א</w:t>
      </w:r>
      <w:r>
        <w:rPr>
          <w:rFonts w:cs="Arial" w:hint="cs"/>
          <w:rtl/>
        </w:rPr>
        <w:t>.</w:t>
      </w:r>
      <w:r w:rsidRPr="00225601">
        <w:rPr>
          <w:rFonts w:cs="Arial"/>
          <w:rtl/>
        </w:rPr>
        <w:t xml:space="preserve"> ואיפכא גרסינן</w:t>
      </w:r>
      <w:r>
        <w:rPr>
          <w:rFonts w:cs="Arial" w:hint="cs"/>
          <w:rtl/>
        </w:rPr>
        <w:t>,</w:t>
      </w:r>
      <w:r w:rsidRPr="00225601">
        <w:rPr>
          <w:rFonts w:cs="Arial"/>
          <w:rtl/>
        </w:rPr>
        <w:t xml:space="preserve"> מ"ד צדקה </w:t>
      </w:r>
      <w:r>
        <w:rPr>
          <w:rFonts w:cs="Arial" w:hint="cs"/>
          <w:rtl/>
        </w:rPr>
        <w:t xml:space="preserve">- </w:t>
      </w:r>
      <w:r w:rsidRPr="00225601">
        <w:rPr>
          <w:rFonts w:cs="Arial"/>
          <w:rtl/>
        </w:rPr>
        <w:t>כ"ש תכשיט</w:t>
      </w:r>
      <w:r>
        <w:rPr>
          <w:rFonts w:cs="Arial" w:hint="cs"/>
          <w:rtl/>
        </w:rPr>
        <w:t>,</w:t>
      </w:r>
      <w:r w:rsidRPr="00225601">
        <w:rPr>
          <w:rFonts w:cs="Arial"/>
          <w:rtl/>
        </w:rPr>
        <w:t xml:space="preserve"> ומ"ד תכשיט </w:t>
      </w:r>
      <w:r>
        <w:rPr>
          <w:rFonts w:cs="Arial" w:hint="cs"/>
          <w:rtl/>
        </w:rPr>
        <w:t xml:space="preserve">- </w:t>
      </w:r>
      <w:r w:rsidRPr="00225601">
        <w:rPr>
          <w:rFonts w:cs="Arial"/>
          <w:rtl/>
        </w:rPr>
        <w:t>אבל צדקה לא</w:t>
      </w:r>
      <w:r>
        <w:rPr>
          <w:rFonts w:cs="Arial" w:hint="cs"/>
          <w:rtl/>
        </w:rPr>
        <w:t>,</w:t>
      </w:r>
      <w:r w:rsidRPr="00225601">
        <w:rPr>
          <w:rFonts w:cs="Arial"/>
          <w:rtl/>
        </w:rPr>
        <w:t xml:space="preserve"> התם היינו טעמא דלא ניחא ליה דתינוול</w:t>
      </w:r>
      <w:r>
        <w:rPr>
          <w:rFonts w:cs="Arial" w:hint="cs"/>
          <w:rtl/>
        </w:rPr>
        <w:t>, רש"י.</w:t>
      </w:r>
    </w:p>
  </w:footnote>
  <w:footnote w:id="302">
    <w:p w14:paraId="23B8B380" w14:textId="1A5C0D8D" w:rsidR="00DE2F5F" w:rsidRDefault="00DE2F5F">
      <w:pPr>
        <w:pStyle w:val="a5"/>
      </w:pPr>
      <w:r>
        <w:rPr>
          <w:rStyle w:val="a7"/>
        </w:rPr>
        <w:footnoteRef/>
      </w:r>
      <w:r>
        <w:rPr>
          <w:rtl/>
        </w:rPr>
        <w:t xml:space="preserve"> </w:t>
      </w:r>
      <w:r w:rsidRPr="00C56D1D">
        <w:rPr>
          <w:rFonts w:cs="Arial"/>
          <w:rtl/>
        </w:rPr>
        <w:t>וכתב הר"ן ריש דייני גזירות (שם) אי תבעה מזונות לפני ב"ד</w:t>
      </w:r>
      <w:r w:rsidR="00F548F5">
        <w:rPr>
          <w:rFonts w:cs="Arial" w:hint="cs"/>
          <w:rtl/>
        </w:rPr>
        <w:t>,</w:t>
      </w:r>
      <w:r w:rsidRPr="00C56D1D">
        <w:rPr>
          <w:rFonts w:cs="Arial"/>
          <w:rtl/>
        </w:rPr>
        <w:t xml:space="preserve"> והב"ד החמיצו הדין נותנין לה משעת התביעה</w:t>
      </w:r>
      <w:r>
        <w:rPr>
          <w:rFonts w:cs="Arial" w:hint="cs"/>
          <w:rtl/>
        </w:rPr>
        <w:t>, דרכ"מ (אות ז).</w:t>
      </w:r>
    </w:p>
  </w:footnote>
  <w:footnote w:id="303">
    <w:p w14:paraId="33C3F8FC" w14:textId="7AAACD2D" w:rsidR="009149AB" w:rsidRDefault="009149AB">
      <w:pPr>
        <w:pStyle w:val="a5"/>
        <w:rPr>
          <w:rtl/>
        </w:rPr>
      </w:pPr>
      <w:r>
        <w:rPr>
          <w:rStyle w:val="a7"/>
        </w:rPr>
        <w:footnoteRef/>
      </w:r>
      <w:r>
        <w:rPr>
          <w:rtl/>
        </w:rPr>
        <w:t xml:space="preserve"> </w:t>
      </w:r>
      <w:r>
        <w:rPr>
          <w:rFonts w:hint="cs"/>
          <w:rtl/>
        </w:rPr>
        <w:t xml:space="preserve">סימן - קופה ז"ל. וכן - </w:t>
      </w:r>
      <w:r w:rsidR="00234480">
        <w:rPr>
          <w:rFonts w:hint="cs"/>
          <w:rtl/>
        </w:rPr>
        <w:t>קציצת זר.</w:t>
      </w:r>
      <w:r w:rsidR="009B5740">
        <w:rPr>
          <w:rFonts w:hint="cs"/>
          <w:rtl/>
        </w:rPr>
        <w:t xml:space="preserve"> וכן קיבלה מזר.</w:t>
      </w:r>
    </w:p>
  </w:footnote>
  <w:footnote w:id="304">
    <w:p w14:paraId="083DAE0B" w14:textId="24CCBA61" w:rsidR="00DE2F5F" w:rsidRDefault="00DE2F5F">
      <w:pPr>
        <w:pStyle w:val="a5"/>
        <w:rPr>
          <w:rtl/>
        </w:rPr>
      </w:pPr>
      <w:r>
        <w:rPr>
          <w:rStyle w:val="a7"/>
        </w:rPr>
        <w:footnoteRef/>
      </w:r>
      <w:r>
        <w:rPr>
          <w:rtl/>
        </w:rPr>
        <w:t xml:space="preserve"> </w:t>
      </w:r>
      <w:r w:rsidRPr="0025586C">
        <w:rPr>
          <w:rFonts w:cs="Arial"/>
          <w:rtl/>
        </w:rPr>
        <w:t>היינו לומר שמשתלם מן הבעל</w:t>
      </w:r>
      <w:r>
        <w:rPr>
          <w:rFonts w:cs="Arial" w:hint="cs"/>
          <w:rtl/>
        </w:rPr>
        <w:t>,</w:t>
      </w:r>
      <w:r w:rsidRPr="0025586C">
        <w:rPr>
          <w:rFonts w:cs="Arial"/>
          <w:rtl/>
        </w:rPr>
        <w:t xml:space="preserve"> דומה ליורד לתוך שדה של חברו ונטעה שלא ברשות. אבל להשתלם מן האשה דבר פשוט הוא שאינה חייבת לו כלום, אלא אם כן לותה ממנו בפירוש. וכן הורה הרשב"א ז"ל עצמו, שכן כתב בתשובה אף במי שהיה חייב מעות לאשה, ודן שלא תקבל לו בחשבון חובה מה שהוציא לה למזונותיה</w:t>
      </w:r>
      <w:r>
        <w:rPr>
          <w:rFonts w:cs="Arial" w:hint="cs"/>
          <w:rtl/>
        </w:rPr>
        <w:t>, ריב"ש (סי' תפא, הביאו הב"י)</w:t>
      </w:r>
      <w:r w:rsidRPr="0025586C">
        <w:rPr>
          <w:rFonts w:cs="Arial"/>
          <w:rtl/>
        </w:rPr>
        <w:t>.</w:t>
      </w:r>
    </w:p>
  </w:footnote>
  <w:footnote w:id="305">
    <w:p w14:paraId="1392BA6E" w14:textId="2A06E8CC" w:rsidR="00DE2F5F" w:rsidRDefault="00DE2F5F">
      <w:pPr>
        <w:pStyle w:val="a5"/>
        <w:rPr>
          <w:rtl/>
        </w:rPr>
      </w:pPr>
      <w:r>
        <w:rPr>
          <w:rStyle w:val="a7"/>
        </w:rPr>
        <w:footnoteRef/>
      </w:r>
      <w:r>
        <w:rPr>
          <w:rtl/>
        </w:rPr>
        <w:t xml:space="preserve"> </w:t>
      </w:r>
      <w:r w:rsidRPr="00F86A82">
        <w:rPr>
          <w:rFonts w:cs="Arial"/>
          <w:rtl/>
        </w:rPr>
        <w:t>והביא ראיה לדבר והר"ן ז"ל דחה ראייתו וגם הרב המגיד בפי"ב מהלכות אישות (הי"ט) הביא דברי הרשב"א וכתב עליהם ואין נראה כן דעת הגאונים אלא אפילו במפרנס סתם איבד מעותיו ונתן טעם לדבריהם</w:t>
      </w:r>
      <w:r>
        <w:rPr>
          <w:rFonts w:cs="Arial" w:hint="cs"/>
          <w:rtl/>
        </w:rPr>
        <w:t>, ב"י</w:t>
      </w:r>
      <w:r w:rsidRPr="00F86A82">
        <w:rPr>
          <w:rFonts w:cs="Arial"/>
          <w:rtl/>
        </w:rPr>
        <w:t>.</w:t>
      </w:r>
    </w:p>
  </w:footnote>
  <w:footnote w:id="306">
    <w:p w14:paraId="0BE73A2F" w14:textId="32231AB4" w:rsidR="00477155" w:rsidRDefault="00477155" w:rsidP="00477155">
      <w:pPr>
        <w:pStyle w:val="a5"/>
      </w:pPr>
      <w:r>
        <w:rPr>
          <w:rStyle w:val="a7"/>
        </w:rPr>
        <w:footnoteRef/>
      </w:r>
      <w:r>
        <w:rPr>
          <w:rtl/>
        </w:rPr>
        <w:t xml:space="preserve"> </w:t>
      </w:r>
      <w:r>
        <w:rPr>
          <w:rFonts w:hint="cs"/>
          <w:rtl/>
        </w:rPr>
        <w:t>סימן - זרם לקווקז, קיבלה זוזים.</w:t>
      </w:r>
      <w:r w:rsidR="00EA7E68">
        <w:rPr>
          <w:rFonts w:hint="cs"/>
          <w:rtl/>
        </w:rPr>
        <w:t xml:space="preserve"> וכן - זר קיבל זוזיו.</w:t>
      </w:r>
    </w:p>
  </w:footnote>
  <w:footnote w:id="307">
    <w:p w14:paraId="6845995D" w14:textId="77777777" w:rsidR="00DE2F5F" w:rsidRDefault="00DE2F5F" w:rsidP="000E0921">
      <w:pPr>
        <w:pStyle w:val="a5"/>
        <w:rPr>
          <w:rtl/>
        </w:rPr>
      </w:pPr>
      <w:r>
        <w:rPr>
          <w:rStyle w:val="a7"/>
        </w:rPr>
        <w:footnoteRef/>
      </w:r>
      <w:r>
        <w:rPr>
          <w:rtl/>
        </w:rPr>
        <w:t xml:space="preserve"> </w:t>
      </w:r>
      <w:r w:rsidRPr="00821590">
        <w:rPr>
          <w:rFonts w:cs="Arial"/>
          <w:rtl/>
        </w:rPr>
        <w:t>ומפרשי' דמתניתין דחנן דאמר איבד מעותיו משום דפרנס מעצמו הא אם לוותה משלם מיירי כשפסקו לה ב"ד תחלה</w:t>
      </w:r>
      <w:r>
        <w:rPr>
          <w:rFonts w:hint="cs"/>
          <w:rtl/>
        </w:rPr>
        <w:t xml:space="preserve">, רא"ש </w:t>
      </w:r>
      <w:r w:rsidRPr="000E0921">
        <w:rPr>
          <w:rFonts w:hint="cs"/>
          <w:sz w:val="16"/>
          <w:szCs w:val="16"/>
          <w:rtl/>
        </w:rPr>
        <w:t>(שם)</w:t>
      </w:r>
      <w:r>
        <w:rPr>
          <w:rFonts w:hint="cs"/>
          <w:rtl/>
        </w:rPr>
        <w:t>.</w:t>
      </w:r>
    </w:p>
  </w:footnote>
  <w:footnote w:id="308">
    <w:p w14:paraId="037BC3F0" w14:textId="13CFA512" w:rsidR="00DE2F5F" w:rsidRDefault="00DE2F5F">
      <w:pPr>
        <w:pStyle w:val="a5"/>
      </w:pPr>
      <w:r>
        <w:rPr>
          <w:rStyle w:val="a7"/>
        </w:rPr>
        <w:footnoteRef/>
      </w:r>
      <w:r>
        <w:rPr>
          <w:rtl/>
        </w:rPr>
        <w:t xml:space="preserve"> </w:t>
      </w:r>
      <w:r>
        <w:rPr>
          <w:rFonts w:cs="Arial" w:hint="cs"/>
          <w:rtl/>
        </w:rPr>
        <w:t xml:space="preserve">הרא"ש (שם) הביא את דברי התוס' וכתב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821590">
        <w:rPr>
          <w:rFonts w:cs="Arial"/>
          <w:rtl/>
        </w:rPr>
        <w:t>ופשטא דמתניתין לא משמע הכי דאיירי דוקא בשפסקו לה בית דין</w:t>
      </w:r>
      <w:r>
        <w:rPr>
          <w:rFonts w:cs="Arial" w:hint="cs"/>
          <w:rtl/>
        </w:rPr>
        <w:t>.</w:t>
      </w:r>
      <w:r w:rsidRPr="00821590">
        <w:rPr>
          <w:rFonts w:cs="Arial"/>
          <w:rtl/>
        </w:rPr>
        <w:t xml:space="preserve"> ועוד דההיא דיש מותרות דאיירי בלוותה בלא פסקו בית דין</w:t>
      </w:r>
      <w:r>
        <w:rPr>
          <w:rFonts w:cs="Arial" w:hint="cs"/>
          <w:rtl/>
        </w:rPr>
        <w:t>,</w:t>
      </w:r>
      <w:r w:rsidRPr="00821590">
        <w:rPr>
          <w:rFonts w:cs="Arial"/>
          <w:rtl/>
        </w:rPr>
        <w:t xml:space="preserve"> דמסתמא אין פוסקין לה בית דין מזונות כל זמן שהיא יושבת תחתיו משום דבעמוד והוצא קאי</w:t>
      </w:r>
      <w:r>
        <w:rPr>
          <w:rFonts w:cs="Arial" w:hint="cs"/>
          <w:rtl/>
        </w:rPr>
        <w:t>.</w:t>
      </w:r>
      <w:r w:rsidRPr="00821590">
        <w:rPr>
          <w:rFonts w:cs="Arial"/>
          <w:rtl/>
        </w:rPr>
        <w:t xml:space="preserve"> הילכך נראה ד</w:t>
      </w:r>
      <w:r>
        <w:rPr>
          <w:rFonts w:cs="Arial" w:hint="cs"/>
          <w:rtl/>
        </w:rPr>
        <w:t>-...</w:t>
      </w:r>
    </w:p>
  </w:footnote>
  <w:footnote w:id="309">
    <w:p w14:paraId="29C4CA3A" w14:textId="1F3E4A03" w:rsidR="00DE2F5F" w:rsidRPr="004C175D" w:rsidRDefault="00DE2F5F" w:rsidP="004C175D">
      <w:pPr>
        <w:pStyle w:val="a5"/>
        <w:rPr>
          <w:rFonts w:cs="Arial"/>
          <w:rtl/>
        </w:rPr>
      </w:pPr>
      <w:r>
        <w:rPr>
          <w:rStyle w:val="a7"/>
        </w:rPr>
        <w:footnoteRef/>
      </w:r>
      <w:r>
        <w:rPr>
          <w:rtl/>
        </w:rPr>
        <w:t xml:space="preserve"> </w:t>
      </w:r>
      <w:r w:rsidRPr="009D210E">
        <w:rPr>
          <w:rFonts w:cs="Arial"/>
          <w:rtl/>
        </w:rPr>
        <w:t>אלו דבריו וכיון שהוא ז"ל מודה בכך</w:t>
      </w:r>
      <w:r>
        <w:rPr>
          <w:rFonts w:cs="Arial" w:hint="cs"/>
          <w:rtl/>
        </w:rPr>
        <w:t>,</w:t>
      </w:r>
      <w:r w:rsidRPr="009D210E">
        <w:rPr>
          <w:rFonts w:cs="Arial"/>
          <w:rtl/>
        </w:rPr>
        <w:t xml:space="preserve"> אף כשיש לו לבעל אין לנו שיהא שעבודו של מלוה על הבעל</w:t>
      </w:r>
      <w:r>
        <w:rPr>
          <w:rFonts w:cs="Arial" w:hint="cs"/>
          <w:rtl/>
        </w:rPr>
        <w:t>,</w:t>
      </w:r>
      <w:r w:rsidRPr="009D210E">
        <w:rPr>
          <w:rFonts w:cs="Arial"/>
          <w:rtl/>
        </w:rPr>
        <w:t xml:space="preserve"> אלא על האשה הוא והיא תובעת לבעל כדברי רש"י</w:t>
      </w:r>
      <w:r>
        <w:rPr>
          <w:rFonts w:cs="Arial" w:hint="cs"/>
          <w:rtl/>
        </w:rPr>
        <w:t>.</w:t>
      </w:r>
      <w:r w:rsidRPr="009D210E">
        <w:rPr>
          <w:rFonts w:cs="Arial"/>
          <w:rtl/>
        </w:rPr>
        <w:t xml:space="preserve"> אי נמי כשאין נכסים לאשה יכול הבעל חוב לתבוע לבעל מדר' נתן</w:t>
      </w:r>
      <w:r>
        <w:rPr>
          <w:rFonts w:cs="Arial" w:hint="cs"/>
          <w:rtl/>
        </w:rPr>
        <w:t>, ר"ן (שם).</w:t>
      </w:r>
      <w:r w:rsidRPr="00B12054">
        <w:rPr>
          <w:rFonts w:cs="Arial"/>
          <w:rtl/>
        </w:rPr>
        <w:t xml:space="preserve"> </w:t>
      </w:r>
      <w:r>
        <w:rPr>
          <w:rFonts w:cs="Arial" w:hint="cs"/>
          <w:rtl/>
        </w:rPr>
        <w:t xml:space="preserve">וכתב הדרכ"מ </w:t>
      </w:r>
      <w:r w:rsidRPr="00B12054">
        <w:rPr>
          <w:rFonts w:cs="Arial"/>
          <w:rtl/>
        </w:rPr>
        <w:t>(</w:t>
      </w:r>
      <w:r>
        <w:rPr>
          <w:rFonts w:cs="Arial" w:hint="cs"/>
          <w:rtl/>
        </w:rPr>
        <w:t xml:space="preserve">אות </w:t>
      </w:r>
      <w:r w:rsidRPr="00B12054">
        <w:rPr>
          <w:rFonts w:cs="Arial"/>
          <w:rtl/>
        </w:rPr>
        <w:t xml:space="preserve">ט) </w:t>
      </w:r>
      <w:r>
        <w:rPr>
          <w:rFonts w:cs="Arial" w:hint="cs"/>
          <w:rtl/>
        </w:rPr>
        <w:t>ד</w:t>
      </w:r>
      <w:r w:rsidRPr="00B12054">
        <w:rPr>
          <w:rFonts w:cs="Arial"/>
          <w:rtl/>
        </w:rPr>
        <w:t>כ</w:t>
      </w:r>
      <w:r>
        <w:rPr>
          <w:rFonts w:cs="Arial" w:hint="cs"/>
          <w:rtl/>
        </w:rPr>
        <w:t>"פ בנמוק"י</w:t>
      </w:r>
      <w:r w:rsidRPr="00B12054">
        <w:rPr>
          <w:rFonts w:cs="Arial"/>
          <w:rtl/>
        </w:rPr>
        <w:t xml:space="preserve"> פרק יש מותרות (יבמות כז. ד"ה בעא) דאין לבעל חוב על הבעל כלום</w:t>
      </w:r>
      <w:r>
        <w:rPr>
          <w:rFonts w:cs="Arial" w:hint="cs"/>
          <w:rtl/>
        </w:rPr>
        <w:t>.</w:t>
      </w:r>
      <w:r w:rsidRPr="00B12054">
        <w:rPr>
          <w:rFonts w:cs="Arial"/>
          <w:rtl/>
        </w:rPr>
        <w:t xml:space="preserve"> וכ</w:t>
      </w:r>
      <w:r>
        <w:rPr>
          <w:rFonts w:cs="Arial" w:hint="cs"/>
          <w:rtl/>
        </w:rPr>
        <w:t>"כ</w:t>
      </w:r>
      <w:r w:rsidRPr="00B12054">
        <w:rPr>
          <w:rFonts w:cs="Arial"/>
          <w:rtl/>
        </w:rPr>
        <w:t xml:space="preserve"> המרדכי ריש דייני גזירות (סי' רעא) דשעבוד בעל חוב על האשה</w:t>
      </w:r>
      <w:r>
        <w:rPr>
          <w:rFonts w:cs="Arial" w:hint="cs"/>
          <w:rtl/>
        </w:rPr>
        <w:t>,</w:t>
      </w:r>
      <w:r w:rsidRPr="00B12054">
        <w:rPr>
          <w:rFonts w:cs="Arial"/>
          <w:rtl/>
        </w:rPr>
        <w:t xml:space="preserve"> ואם מתה האשה מוציאין מבעל מדרבי נתן. </w:t>
      </w:r>
      <w:r w:rsidRPr="00DB7826">
        <w:rPr>
          <w:rFonts w:hint="cs"/>
          <w:color w:val="00B0F0"/>
          <w:rtl/>
        </w:rPr>
        <w:t xml:space="preserve">(וכ"פ </w:t>
      </w:r>
      <w:r>
        <w:rPr>
          <w:rFonts w:hint="cs"/>
          <w:color w:val="00B0F0"/>
          <w:rtl/>
        </w:rPr>
        <w:t>בהגה</w:t>
      </w:r>
      <w:r w:rsidRPr="00DB7826">
        <w:rPr>
          <w:rFonts w:hint="cs"/>
          <w:color w:val="00B0F0"/>
          <w:rtl/>
        </w:rPr>
        <w:t>)</w:t>
      </w:r>
    </w:p>
  </w:footnote>
  <w:footnote w:id="310">
    <w:p w14:paraId="75A31F2C" w14:textId="0DEFDFD6" w:rsidR="00DE2F5F" w:rsidRDefault="00DE2F5F" w:rsidP="005B6722">
      <w:pPr>
        <w:pStyle w:val="a5"/>
      </w:pPr>
      <w:r>
        <w:rPr>
          <w:rStyle w:val="a7"/>
        </w:rPr>
        <w:footnoteRef/>
      </w:r>
      <w:r w:rsidRPr="00B12054">
        <w:rPr>
          <w:rFonts w:cs="Arial"/>
          <w:rtl/>
        </w:rPr>
        <w:t xml:space="preserve"> מה שכתב דאם לא היה חמיו חייב לו אין צריך לשלם משום דאין חילוק בין אב שפירנס בתו לאחר כ"כ גם הר"ן פרק נערה שנתפתתה (יז. ד"ה וזנין)</w:t>
      </w:r>
      <w:r>
        <w:rPr>
          <w:rFonts w:cs="Arial" w:hint="cs"/>
          <w:rtl/>
        </w:rPr>
        <w:t>.</w:t>
      </w:r>
      <w:r w:rsidRPr="00B12054">
        <w:rPr>
          <w:rFonts w:cs="Arial"/>
          <w:rtl/>
        </w:rPr>
        <w:t xml:space="preserve"> וכ"כ המרדכי פרק ב' דייני גזירות (סי' רעג)</w:t>
      </w:r>
      <w:r>
        <w:rPr>
          <w:rFonts w:cs="Arial" w:hint="cs"/>
          <w:rtl/>
        </w:rPr>
        <w:t>,</w:t>
      </w:r>
      <w:r w:rsidRPr="00B12054">
        <w:rPr>
          <w:rFonts w:cs="Arial"/>
          <w:rtl/>
        </w:rPr>
        <w:t xml:space="preserve"> ומיהו כתב דאם לותה מאביה צריך לשלם לו אע</w:t>
      </w:r>
      <w:r>
        <w:rPr>
          <w:rFonts w:cs="Arial" w:hint="cs"/>
          <w:rtl/>
        </w:rPr>
        <w:t>"</w:t>
      </w:r>
      <w:r w:rsidRPr="00B12054">
        <w:rPr>
          <w:rFonts w:cs="Arial"/>
          <w:rtl/>
        </w:rPr>
        <w:t>ג דבעלה בעיר</w:t>
      </w:r>
      <w:r>
        <w:rPr>
          <w:rFonts w:cs="Arial" w:hint="cs"/>
          <w:rtl/>
        </w:rPr>
        <w:t>.</w:t>
      </w:r>
      <w:r w:rsidRPr="00B12054">
        <w:rPr>
          <w:rFonts w:cs="Arial"/>
          <w:rtl/>
        </w:rPr>
        <w:t xml:space="preserve"> ודוקא דאיכא סהדי דלא הוה מיתדר לה בהדי בעלה שהיה לה קטטה וכעס עמו או מבני ביתו דארגילו קטטה בהדה</w:t>
      </w:r>
      <w:r>
        <w:rPr>
          <w:rFonts w:cs="Arial" w:hint="cs"/>
          <w:rtl/>
        </w:rPr>
        <w:t>,</w:t>
      </w:r>
      <w:r w:rsidRPr="00B12054">
        <w:rPr>
          <w:rFonts w:cs="Arial"/>
          <w:rtl/>
        </w:rPr>
        <w:t xml:space="preserve"> ולכן חייב לה מזונות באשר היא שם</w:t>
      </w:r>
      <w:r>
        <w:rPr>
          <w:rFonts w:cs="Arial" w:hint="cs"/>
          <w:rtl/>
        </w:rPr>
        <w:t>.</w:t>
      </w:r>
      <w:r w:rsidRPr="00B12054">
        <w:rPr>
          <w:rFonts w:cs="Arial"/>
          <w:rtl/>
        </w:rPr>
        <w:t xml:space="preserve"> אבל ארגילה איהי קטטה הוי מורדת</w:t>
      </w:r>
      <w:r>
        <w:rPr>
          <w:rFonts w:cs="Arial" w:hint="cs"/>
          <w:rtl/>
        </w:rPr>
        <w:t>.</w:t>
      </w:r>
      <w:r w:rsidRPr="00B12054">
        <w:rPr>
          <w:rFonts w:cs="Arial"/>
          <w:rtl/>
        </w:rPr>
        <w:t xml:space="preserve"> ועיין שם תשובת מוהר"ם בזה וכ"כ בית יוסף בשם הריטב"א לקמן סוף סימן זה</w:t>
      </w:r>
      <w:r>
        <w:rPr>
          <w:rFonts w:cs="Arial" w:hint="cs"/>
          <w:rtl/>
        </w:rPr>
        <w:t>, דרכ"מ (אות ח).</w:t>
      </w:r>
    </w:p>
  </w:footnote>
  <w:footnote w:id="311">
    <w:p w14:paraId="483F77CE" w14:textId="768E4048" w:rsidR="00DE2F5F" w:rsidRDefault="00DE2F5F">
      <w:pPr>
        <w:pStyle w:val="a5"/>
        <w:rPr>
          <w:rtl/>
        </w:rPr>
      </w:pPr>
      <w:r>
        <w:rPr>
          <w:rStyle w:val="a7"/>
        </w:rPr>
        <w:footnoteRef/>
      </w:r>
      <w:r>
        <w:rPr>
          <w:rtl/>
        </w:rPr>
        <w:t xml:space="preserve"> </w:t>
      </w:r>
      <w:r w:rsidRPr="00B12054">
        <w:rPr>
          <w:rFonts w:cs="Arial"/>
          <w:rtl/>
        </w:rPr>
        <w:t>וכ"כ ב</w:t>
      </w:r>
      <w:r>
        <w:rPr>
          <w:rFonts w:cs="Arial" w:hint="cs"/>
          <w:rtl/>
        </w:rPr>
        <w:t>"</w:t>
      </w:r>
      <w:r w:rsidRPr="00B12054">
        <w:rPr>
          <w:rFonts w:cs="Arial"/>
          <w:rtl/>
        </w:rPr>
        <w:t>י לקמן סי</w:t>
      </w:r>
      <w:r>
        <w:rPr>
          <w:rFonts w:cs="Arial" w:hint="cs"/>
          <w:rtl/>
        </w:rPr>
        <w:t>'</w:t>
      </w:r>
      <w:r w:rsidRPr="00B12054">
        <w:rPr>
          <w:rFonts w:cs="Arial"/>
          <w:rtl/>
        </w:rPr>
        <w:t xml:space="preserve"> צ"ג (שם ד"ה וז"ל הריטב"א) בשם הריטב"א שכתב כן בשם רבינו בשם רבו ז"ל וכתב עוד דאפילו יצאה מביתו על ידי קטטה ושתקה ולא תבעה מזונות אמרינן דמחלה לו</w:t>
      </w:r>
      <w:r>
        <w:rPr>
          <w:rFonts w:cs="Arial" w:hint="cs"/>
          <w:rtl/>
        </w:rPr>
        <w:t>.</w:t>
      </w:r>
      <w:r w:rsidRPr="00B12054">
        <w:rPr>
          <w:rFonts w:cs="Arial"/>
          <w:rtl/>
        </w:rPr>
        <w:t xml:space="preserve"> וכתב עוד ומסתברא שדין רפואה כדין מזונות עכ"ל</w:t>
      </w:r>
      <w:r>
        <w:rPr>
          <w:rFonts w:cs="Arial" w:hint="cs"/>
          <w:rtl/>
        </w:rPr>
        <w:t>.</w:t>
      </w:r>
      <w:r w:rsidRPr="00B12054">
        <w:rPr>
          <w:rFonts w:cs="Arial"/>
          <w:rtl/>
        </w:rPr>
        <w:t xml:space="preserve"> וכתבו ה</w:t>
      </w:r>
      <w:r>
        <w:rPr>
          <w:rFonts w:cs="Arial" w:hint="cs"/>
          <w:rtl/>
        </w:rPr>
        <w:t>ה"</w:t>
      </w:r>
      <w:r w:rsidRPr="00B12054">
        <w:rPr>
          <w:rFonts w:cs="Arial"/>
          <w:rtl/>
        </w:rPr>
        <w:t>מ והאריך עוד דאפילו מכרה נכסי מלוג שלה בטובת הנאה ולא תבעה מזונות הפסידה לפי שדרכן של נשים לגלגל עם בעליהן ולסייען</w:t>
      </w:r>
      <w:r>
        <w:rPr>
          <w:rFonts w:cs="Arial" w:hint="cs"/>
          <w:rtl/>
        </w:rPr>
        <w:t>,</w:t>
      </w:r>
      <w:r w:rsidRPr="00B12054">
        <w:rPr>
          <w:rFonts w:cs="Arial"/>
          <w:rtl/>
        </w:rPr>
        <w:t xml:space="preserve"> והני מילי לאפוקי מבעלה אבל מה שעשתה הרי הוא שלה מאחר שלא זנה עכ"ל, וכן משמע מדברי הר"ן שכתבתי למעלה </w:t>
      </w:r>
      <w:r w:rsidRPr="00A77238">
        <w:rPr>
          <w:rFonts w:cs="Arial"/>
          <w:sz w:val="16"/>
          <w:szCs w:val="16"/>
          <w:rtl/>
        </w:rPr>
        <w:t>(אות ו</w:t>
      </w:r>
      <w:r w:rsidRPr="00A77238">
        <w:rPr>
          <w:rFonts w:cs="Arial" w:hint="cs"/>
          <w:sz w:val="16"/>
          <w:szCs w:val="16"/>
          <w:rtl/>
        </w:rPr>
        <w:t>, צל"ע משום שבסימן פ אות ז כתב הדרכ"מ דהר"ן פליג על הרמב"ן והה"מ דאם מכרה מנכסי מלוג לא הפסידתן</w:t>
      </w:r>
      <w:r w:rsidRPr="00A77238">
        <w:rPr>
          <w:rFonts w:cs="Arial"/>
          <w:sz w:val="16"/>
          <w:szCs w:val="16"/>
          <w:rtl/>
        </w:rPr>
        <w:t>)</w:t>
      </w:r>
      <w:r>
        <w:rPr>
          <w:rFonts w:cs="Arial" w:hint="cs"/>
          <w:rtl/>
        </w:rPr>
        <w:t>, דרכ"מ (אות ט)</w:t>
      </w:r>
      <w:r>
        <w:rPr>
          <w:rFonts w:hint="cs"/>
          <w:rtl/>
        </w:rPr>
        <w:t>.</w:t>
      </w:r>
      <w:r w:rsidRPr="00C71DE1">
        <w:rPr>
          <w:rFonts w:hint="cs"/>
          <w:color w:val="00B0F0"/>
          <w:rtl/>
        </w:rPr>
        <w:t xml:space="preserve"> </w:t>
      </w:r>
      <w:r w:rsidRPr="00DB7826">
        <w:rPr>
          <w:rFonts w:hint="cs"/>
          <w:color w:val="00B0F0"/>
          <w:rtl/>
        </w:rPr>
        <w:t xml:space="preserve">(וכ"פ </w:t>
      </w:r>
      <w:r>
        <w:rPr>
          <w:rFonts w:hint="cs"/>
          <w:color w:val="00B0F0"/>
          <w:rtl/>
        </w:rPr>
        <w:t>בהגה</w:t>
      </w:r>
      <w:r w:rsidRPr="00DB7826">
        <w:rPr>
          <w:rFonts w:hint="cs"/>
          <w:color w:val="00B0F0"/>
          <w:rtl/>
        </w:rPr>
        <w:t>)</w:t>
      </w:r>
      <w:r w:rsidRPr="001362AA">
        <w:rPr>
          <w:rFonts w:cs="Arial"/>
          <w:rtl/>
        </w:rPr>
        <w:t xml:space="preserve"> </w:t>
      </w:r>
    </w:p>
  </w:footnote>
  <w:footnote w:id="312">
    <w:p w14:paraId="728DEA5B" w14:textId="1E83A2E8" w:rsidR="007A1AD5" w:rsidRDefault="007A1AD5">
      <w:pPr>
        <w:pStyle w:val="a5"/>
      </w:pPr>
      <w:r>
        <w:rPr>
          <w:rStyle w:val="a7"/>
        </w:rPr>
        <w:footnoteRef/>
      </w:r>
      <w:r>
        <w:rPr>
          <w:rtl/>
        </w:rPr>
        <w:t xml:space="preserve"> </w:t>
      </w:r>
      <w:r w:rsidRPr="007A1AD5">
        <w:rPr>
          <w:rFonts w:cs="Arial"/>
          <w:rtl/>
        </w:rPr>
        <w:t xml:space="preserve">ועיין בתשו' חוט השני </w:t>
      </w:r>
      <w:r>
        <w:rPr>
          <w:rFonts w:cs="Arial" w:hint="cs"/>
          <w:rtl/>
        </w:rPr>
        <w:t>(</w:t>
      </w:r>
      <w:r w:rsidRPr="007A1AD5">
        <w:rPr>
          <w:rFonts w:cs="Arial"/>
          <w:rtl/>
        </w:rPr>
        <w:t>סי' לב</w:t>
      </w:r>
      <w:r>
        <w:rPr>
          <w:rFonts w:cs="Arial" w:hint="cs"/>
          <w:rtl/>
        </w:rPr>
        <w:t>)</w:t>
      </w:r>
      <w:r w:rsidRPr="007A1AD5">
        <w:rPr>
          <w:rFonts w:cs="Arial"/>
          <w:rtl/>
        </w:rPr>
        <w:t xml:space="preserve"> דה"ה אם עמד א' ופדה אשת חבירו מן השבים אין הבעל חייב לשלם ע"ש</w:t>
      </w:r>
      <w:r>
        <w:rPr>
          <w:rFonts w:cs="Arial" w:hint="cs"/>
          <w:rtl/>
        </w:rPr>
        <w:t>, פת"ש (סק"ט).</w:t>
      </w:r>
    </w:p>
  </w:footnote>
  <w:footnote w:id="313">
    <w:p w14:paraId="416B6FCA" w14:textId="64E04692" w:rsidR="008E2836" w:rsidRDefault="008E2836">
      <w:pPr>
        <w:pStyle w:val="a5"/>
        <w:rPr>
          <w:rtl/>
        </w:rPr>
      </w:pPr>
      <w:r>
        <w:rPr>
          <w:rStyle w:val="a7"/>
        </w:rPr>
        <w:footnoteRef/>
      </w:r>
      <w:r>
        <w:rPr>
          <w:rtl/>
        </w:rPr>
        <w:t xml:space="preserve"> </w:t>
      </w:r>
      <w:r w:rsidRPr="008E2836">
        <w:rPr>
          <w:rFonts w:cs="Arial"/>
          <w:rtl/>
        </w:rPr>
        <w:t>מסתימת הפוסקים משמע דאפי' אם החוב לא הגיע עדיין זמן פרעון וצ"ע</w:t>
      </w:r>
      <w:r>
        <w:rPr>
          <w:rFonts w:hint="cs"/>
          <w:rtl/>
        </w:rPr>
        <w:t>, פת"ש (סק"י).</w:t>
      </w:r>
    </w:p>
  </w:footnote>
  <w:footnote w:id="314">
    <w:p w14:paraId="0B0E5C6E" w14:textId="156A6AC3" w:rsidR="00DE2F5F" w:rsidRDefault="00DE2F5F" w:rsidP="00765055">
      <w:pPr>
        <w:pStyle w:val="a5"/>
      </w:pPr>
      <w:r>
        <w:rPr>
          <w:rStyle w:val="a7"/>
        </w:rPr>
        <w:footnoteRef/>
      </w:r>
      <w:r>
        <w:rPr>
          <w:rtl/>
        </w:rPr>
        <w:t xml:space="preserve"> </w:t>
      </w:r>
      <w:r w:rsidRPr="00D14ADC">
        <w:rPr>
          <w:rFonts w:cs="Arial"/>
          <w:rtl/>
        </w:rPr>
        <w:t>זה לא מצאתי מבואר אבל נלמד הוא מדין בא ואמר הנחתי לה מזונות כשיצאתי שנתבאר בסמוך</w:t>
      </w:r>
      <w:r w:rsidR="00A74DF4">
        <w:rPr>
          <w:rFonts w:cs="Arial" w:hint="cs"/>
          <w:rtl/>
        </w:rPr>
        <w:t xml:space="preserve"> (סע' י)</w:t>
      </w:r>
      <w:r w:rsidRPr="00D14ADC">
        <w:rPr>
          <w:rFonts w:cs="Arial"/>
          <w:rtl/>
        </w:rPr>
        <w:t xml:space="preserve"> שנאמן בשבועה</w:t>
      </w:r>
      <w:r>
        <w:rPr>
          <w:rFonts w:cs="Arial" w:hint="cs"/>
          <w:rtl/>
        </w:rPr>
        <w:t>, ב"י.</w:t>
      </w:r>
    </w:p>
  </w:footnote>
  <w:footnote w:id="315">
    <w:p w14:paraId="40FC94FE" w14:textId="77777777" w:rsidR="00DE2F5F" w:rsidRDefault="00DE2F5F" w:rsidP="00765055">
      <w:pPr>
        <w:pStyle w:val="a5"/>
        <w:rPr>
          <w:rtl/>
        </w:rPr>
      </w:pPr>
      <w:r>
        <w:rPr>
          <w:rStyle w:val="a7"/>
        </w:rPr>
        <w:footnoteRef/>
      </w:r>
      <w:r>
        <w:rPr>
          <w:rtl/>
        </w:rPr>
        <w:t xml:space="preserve"> </w:t>
      </w:r>
      <w:r w:rsidRPr="00D14ADC">
        <w:rPr>
          <w:rFonts w:cs="Arial"/>
          <w:rtl/>
        </w:rPr>
        <w:t>מתבאר בסוגיא שאם אמר לה צאי מעשה ידיך במזונותיך שאין לה מזונות וכתב רבינו שאילו לא רצתה בדבר זה וכו' לומר דדוקא כששתקה אבל אם מיחתה ואמרה איני רוצה לאו כל כמיניה דמזוני עיקר כמו שנזכר למעלה (ה"ד)</w:t>
      </w:r>
      <w:r>
        <w:rPr>
          <w:rFonts w:cs="Arial" w:hint="cs"/>
          <w:rtl/>
        </w:rPr>
        <w:t>,</w:t>
      </w:r>
      <w:r w:rsidRPr="00D14ADC">
        <w:rPr>
          <w:rFonts w:cs="Arial"/>
          <w:rtl/>
        </w:rPr>
        <w:t xml:space="preserve"> ופשוט הוא</w:t>
      </w:r>
      <w:r>
        <w:rPr>
          <w:rFonts w:cs="Arial" w:hint="cs"/>
          <w:rtl/>
        </w:rPr>
        <w:t>,</w:t>
      </w:r>
      <w:r w:rsidRPr="00D14ADC">
        <w:rPr>
          <w:rFonts w:cs="Arial"/>
          <w:rtl/>
        </w:rPr>
        <w:t xml:space="preserve"> וכן כתבו המפרשים ז"ל</w:t>
      </w:r>
      <w:r>
        <w:rPr>
          <w:rFonts w:cs="Arial" w:hint="cs"/>
          <w:rtl/>
        </w:rPr>
        <w:t>.</w:t>
      </w:r>
      <w:r w:rsidRPr="00D14ADC">
        <w:rPr>
          <w:rFonts w:cs="Arial"/>
          <w:rtl/>
        </w:rPr>
        <w:t xml:space="preserve"> ורש"י פירש וקיבלה עליה</w:t>
      </w:r>
      <w:r>
        <w:rPr>
          <w:rFonts w:cs="Arial" w:hint="cs"/>
          <w:rtl/>
        </w:rPr>
        <w:t>.</w:t>
      </w:r>
      <w:r w:rsidRPr="00D14ADC">
        <w:rPr>
          <w:rFonts w:cs="Arial"/>
          <w:rtl/>
        </w:rPr>
        <w:t xml:space="preserve"> ואיפשר שהוא ז"ל יודה ששתיקתה היא קבלה</w:t>
      </w:r>
      <w:r>
        <w:rPr>
          <w:rFonts w:cs="Arial" w:hint="cs"/>
          <w:rtl/>
        </w:rPr>
        <w:t>, הה"מ (שם).</w:t>
      </w:r>
    </w:p>
  </w:footnote>
  <w:footnote w:id="316">
    <w:p w14:paraId="4510E75F" w14:textId="3199E3FC" w:rsidR="00DE2F5F" w:rsidRPr="00D14ADC" w:rsidRDefault="00DE2F5F" w:rsidP="00C57942">
      <w:pPr>
        <w:pStyle w:val="a5"/>
        <w:rPr>
          <w:rFonts w:cs="Arial"/>
        </w:rPr>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D14ADC">
        <w:rPr>
          <w:rFonts w:cs="Arial"/>
          <w:rtl/>
        </w:rPr>
        <w:t>ראובן הלך ממדינתו למקום אחר והניח אשתו ונתעכב זמן הרבה לשם והיה שולח לה זמן אחר זמן כדי מזונותיה, ובחזרתו הוציאו עליו אחיה חשבון הוצאה מרובה שהוציאו עליה משלהן ותבעוהו באותו חשבון, והשיב ואמר להם נכסי אינן מגיעין להוצאה מרובה כזאת שאתם תובעין ממני, ועוד מי צוה אתכם להוציא שלא ברשותי, ועוד שהנחתי לה כשיעור מזונותיה. תשובה, עמדנו עם שאלתכם והדין על ראובן שיהיה כולל כל מה שהיה משגר לאשתו כשהיה חוץ לביתו עם כל מה שהניח לה ויעשה חשבון אחד מן הכל ויחשוב ימי הזמן שנתאחר בהליכתו, ואם יש באותו חשבון כדי הוצאה לאותן ימים לאותו שיעור שפסקו לה חכמים על דרך עולה עמו ואינה יורדת עמו שמתחייבת היא כמו כן במעשה ידיה, ולא נתחייב בכל מה שלותה ואפילו בכלום. ואם אינו מגיע החשבון להוצאתה על הדרך הזה יפרע ראובן כנגד השאר שנשאר מן החשבון.</w:t>
      </w:r>
      <w:r>
        <w:rPr>
          <w:rFonts w:cs="Arial" w:hint="cs"/>
          <w:rtl/>
        </w:rPr>
        <w:t xml:space="preserve"> </w:t>
      </w:r>
      <w:r w:rsidRPr="00D14ADC">
        <w:rPr>
          <w:rFonts w:cs="Arial"/>
          <w:rtl/>
        </w:rPr>
        <w:t>ואם האשה אינה מודה באותו חשבון שאמר בעלה ששגר או שהניח לה ישבע הבעל שבועת היסת שכך שגר לה או שהניח לה ויפטר, כדאמרינן מנה לי בידך אין לך בידי כלום משביעין אותו שבועת היסת. ואם האשה לא לותה כלום אלא אביה או אחיה הוסיפו לה פירות או ליפתן לענין כבוד או מרחמין עליה שלא לשום הלואה אין הבעל חייב באותן דברים כלל, ועלה אמרינן מי שהלך למדינת הים ועמד ופרנס את אשתו אחר אבד מעותיו, ומה שנתן לה אימר שנתנו לה לשום כבוד כגון ששלחו אליה מה שלא אמרה להם הלוני כך וכך שלחו לי כך וכך, אבל מה שקבלה מהם לשום הלואה חייב כדמפורש דינו, ואיני צריך להאריך בזה. ואם טוענים שהוא צוה אותם להוצאה על מנת שישלים הוא ואמר דלא היו דברים מעולם ישבע שלא צוה אותם בשבועת היסת ויהיה פטור.</w:t>
      </w:r>
    </w:p>
  </w:footnote>
  <w:footnote w:id="317">
    <w:p w14:paraId="3488F48A" w14:textId="77777777" w:rsidR="00DE2F5F" w:rsidRDefault="00DE2F5F" w:rsidP="00C57942">
      <w:pPr>
        <w:pStyle w:val="a5"/>
      </w:pPr>
      <w:r>
        <w:rPr>
          <w:rStyle w:val="a7"/>
        </w:rPr>
        <w:footnoteRef/>
      </w:r>
      <w:r>
        <w:rPr>
          <w:rtl/>
        </w:rPr>
        <w:t xml:space="preserve"> </w:t>
      </w:r>
      <w:r w:rsidRPr="00EB5667">
        <w:rPr>
          <w:rFonts w:cs="Arial"/>
          <w:rtl/>
        </w:rPr>
        <w:t>והיינו טעם דסתמא דמילתא מתפיס לה צררי הלכך מוציאין מידה בשבועה</w:t>
      </w:r>
      <w:r>
        <w:rPr>
          <w:rFonts w:cs="Arial" w:hint="cs"/>
          <w:rtl/>
        </w:rPr>
        <w:t>, תוס' (שם ד"ה ואם בא).</w:t>
      </w:r>
      <w:r w:rsidRPr="00EF0181">
        <w:rPr>
          <w:rFonts w:cs="Arial"/>
          <w:rtl/>
        </w:rPr>
        <w:t xml:space="preserve"> </w:t>
      </w:r>
      <w:r>
        <w:rPr>
          <w:rFonts w:cs="Arial" w:hint="cs"/>
          <w:rtl/>
        </w:rPr>
        <w:t xml:space="preserve">וכן </w:t>
      </w:r>
      <w:r w:rsidRPr="00C6165E">
        <w:rPr>
          <w:rFonts w:cs="Arial"/>
          <w:rtl/>
        </w:rPr>
        <w:t>כיון שהוא מוחזק וטוען ברי לי אין מוציאין מידו</w:t>
      </w:r>
      <w:r>
        <w:rPr>
          <w:rFonts w:hint="cs"/>
          <w:rtl/>
        </w:rPr>
        <w:t>, טור בשם הרא"ש.</w:t>
      </w:r>
    </w:p>
  </w:footnote>
  <w:footnote w:id="318">
    <w:p w14:paraId="051A217C" w14:textId="77777777" w:rsidR="00DE2F5F" w:rsidRDefault="00DE2F5F" w:rsidP="00C57942">
      <w:pPr>
        <w:pStyle w:val="a5"/>
        <w:rPr>
          <w:rtl/>
        </w:rPr>
      </w:pPr>
      <w:r>
        <w:rPr>
          <w:rStyle w:val="a7"/>
        </w:rPr>
        <w:footnoteRef/>
      </w:r>
      <w:r>
        <w:rPr>
          <w:rtl/>
        </w:rPr>
        <w:t xml:space="preserve"> </w:t>
      </w:r>
      <w:r w:rsidRPr="00235C1E">
        <w:rPr>
          <w:rFonts w:cs="Arial"/>
          <w:rtl/>
        </w:rPr>
        <w:t>וכתב הרא"ש (סי' א) לא נהירא לי האי פירושא דמילתא דפשיטא הוא מאחר שהוא מוחזק וטוען בריא שתהא צריכה שבועה ומאי קא משמע לן ועוד לישנא דנאמן לא משמע הכי ועוד מאחר שהוא מוחזק וטוען בריא למה מוציאין ממנו ממון וכי משום תקנתא דידה שתמצא ללוות נוציא ממון מחזקתו הילכך נראה כפירוש רש"י וכן פירש הרי"ף ז"ל (סב:) נאמן ובשבועה עכ"ל</w:t>
      </w:r>
      <w:r>
        <w:rPr>
          <w:rFonts w:hint="cs"/>
          <w:rtl/>
        </w:rPr>
        <w:t>, ב"י.</w:t>
      </w:r>
    </w:p>
  </w:footnote>
  <w:footnote w:id="319">
    <w:p w14:paraId="5683533C" w14:textId="6914C435" w:rsidR="00DE2F5F" w:rsidRDefault="00DE2F5F" w:rsidP="00C57942">
      <w:pPr>
        <w:pStyle w:val="a5"/>
      </w:pPr>
      <w:r>
        <w:rPr>
          <w:rStyle w:val="a7"/>
        </w:rPr>
        <w:footnoteRef/>
      </w:r>
      <w:r>
        <w:rPr>
          <w:rtl/>
        </w:rPr>
        <w:t xml:space="preserve"> </w:t>
      </w:r>
      <w:r w:rsidRPr="00235C1E">
        <w:rPr>
          <w:rFonts w:cs="Arial"/>
          <w:rtl/>
        </w:rPr>
        <w:t>כתב רבינו שהיא נשבעת בנקיטת חפץ כשמכרה קרקע ונראה שהוא פירוש למה שאמרו במשנה תשבע בסוף ולא תשבע בתחלה כלומר תשבע בסוף כשיבוא הבעל אם יטעון דבר כנגדה כמו שיתבאר ושבועת המשנה ידוע שהוא בנקיטת חפץ</w:t>
      </w:r>
      <w:r>
        <w:rPr>
          <w:rFonts w:cs="Arial" w:hint="cs"/>
          <w:rtl/>
        </w:rPr>
        <w:t>, הה"מ</w:t>
      </w:r>
      <w:r w:rsidRPr="00A6324C">
        <w:rPr>
          <w:rFonts w:cs="Arial" w:hint="cs"/>
          <w:sz w:val="16"/>
          <w:szCs w:val="16"/>
          <w:rtl/>
        </w:rPr>
        <w:t xml:space="preserve"> (שם)</w:t>
      </w:r>
      <w:r>
        <w:rPr>
          <w:rFonts w:cs="Arial" w:hint="cs"/>
          <w:rtl/>
        </w:rPr>
        <w:t>.</w:t>
      </w:r>
      <w:r w:rsidRPr="00C94B7E">
        <w:rPr>
          <w:rFonts w:cs="Arial" w:hint="cs"/>
          <w:rtl/>
        </w:rPr>
        <w:t xml:space="preserve"> </w:t>
      </w:r>
      <w:r>
        <w:rPr>
          <w:rFonts w:cs="Arial" w:hint="cs"/>
          <w:rtl/>
        </w:rPr>
        <w:t xml:space="preserve">ועיין בב"י (לעיל על סע' ה) שפירש אחרת את דברי המשנה </w:t>
      </w:r>
      <w:r w:rsidR="0061020A">
        <w:rPr>
          <w:rFonts w:cs="Arial" w:hint="cs"/>
          <w:rtl/>
        </w:rPr>
        <w:t>וז</w:t>
      </w:r>
      <w:r w:rsidR="0061020A">
        <w:rPr>
          <w:rFonts w:cs="Arial"/>
          <w:rtl/>
        </w:rPr>
        <w:t>"</w:t>
      </w:r>
      <w:r w:rsidR="0061020A">
        <w:rPr>
          <w:rFonts w:cs="Arial" w:hint="cs"/>
          <w:rtl/>
        </w:rPr>
        <w:t>ל:</w:t>
      </w:r>
      <w:r>
        <w:rPr>
          <w:rFonts w:cs="Arial" w:hint="cs"/>
          <w:rtl/>
        </w:rPr>
        <w:t xml:space="preserve"> כלומר</w:t>
      </w:r>
      <w:r>
        <w:rPr>
          <w:rFonts w:cs="Arial"/>
          <w:rtl/>
        </w:rPr>
        <w:t xml:space="preserve"> כשישמעו שמת ותבוא לגבות כתובתה תשבע שלא עיכבה משל בעלה כלום ולא תשבע בתחלה בשעת גיבוי מזונות</w:t>
      </w:r>
      <w:r>
        <w:rPr>
          <w:rFonts w:hint="cs"/>
          <w:rtl/>
        </w:rPr>
        <w:t>.</w:t>
      </w:r>
    </w:p>
  </w:footnote>
  <w:footnote w:id="320">
    <w:p w14:paraId="071CFFB0" w14:textId="77777777" w:rsidR="00DE2F5F" w:rsidRDefault="00DE2F5F" w:rsidP="00C57942">
      <w:pPr>
        <w:pStyle w:val="a5"/>
      </w:pPr>
      <w:r>
        <w:rPr>
          <w:rStyle w:val="a7"/>
        </w:rPr>
        <w:footnoteRef/>
      </w:r>
      <w:r>
        <w:rPr>
          <w:rtl/>
        </w:rPr>
        <w:t xml:space="preserve"> </w:t>
      </w:r>
      <w:r w:rsidRPr="00A6324C">
        <w:rPr>
          <w:rFonts w:cs="Arial"/>
          <w:rtl/>
        </w:rPr>
        <w:t>דעת רבינו שכיון שלא מכרה קרקע אלא מטלטלין שהיתה יכולה לכפור בהן ולומר אין לך בידי כלום ולא היתה נשבעת אלא היסת אף כאן אינה נשבעת אלא היסת</w:t>
      </w:r>
      <w:r>
        <w:rPr>
          <w:rFonts w:cs="Arial" w:hint="cs"/>
          <w:rtl/>
        </w:rPr>
        <w:t>, הה"מ (שם).</w:t>
      </w:r>
    </w:p>
  </w:footnote>
  <w:footnote w:id="321">
    <w:p w14:paraId="7E89C313" w14:textId="77777777" w:rsidR="00DE2F5F" w:rsidRDefault="00DE2F5F" w:rsidP="00C57942">
      <w:pPr>
        <w:pStyle w:val="a5"/>
        <w:rPr>
          <w:rtl/>
        </w:rPr>
      </w:pPr>
      <w:r>
        <w:rPr>
          <w:rStyle w:val="a7"/>
        </w:rPr>
        <w:footnoteRef/>
      </w:r>
      <w:r>
        <w:rPr>
          <w:rtl/>
        </w:rPr>
        <w:t xml:space="preserve"> </w:t>
      </w:r>
      <w:r w:rsidRPr="0097582A">
        <w:rPr>
          <w:rFonts w:cs="Arial"/>
          <w:rtl/>
        </w:rPr>
        <w:t>ונראה לי שזהו כסברת ר"י שכתב דאין הבעל נאמן עליה רק להשביע אותה דאל</w:t>
      </w:r>
      <w:r>
        <w:rPr>
          <w:rFonts w:cs="Arial" w:hint="cs"/>
          <w:rtl/>
        </w:rPr>
        <w:t>"</w:t>
      </w:r>
      <w:r w:rsidRPr="0097582A">
        <w:rPr>
          <w:rFonts w:cs="Arial"/>
          <w:rtl/>
        </w:rPr>
        <w:t>כ אין אדם רוצה ללות לה</w:t>
      </w:r>
      <w:r>
        <w:rPr>
          <w:rFonts w:cs="Arial" w:hint="cs"/>
          <w:rtl/>
        </w:rPr>
        <w:t>,</w:t>
      </w:r>
      <w:r w:rsidRPr="0097582A">
        <w:rPr>
          <w:rFonts w:cs="Arial"/>
          <w:rtl/>
        </w:rPr>
        <w:t xml:space="preserve"> כדאיתא בתוספתא ובאשיר"י</w:t>
      </w:r>
      <w:r>
        <w:rPr>
          <w:rFonts w:cs="Arial" w:hint="cs"/>
          <w:rtl/>
        </w:rPr>
        <w:t>.</w:t>
      </w:r>
      <w:r w:rsidRPr="0097582A">
        <w:rPr>
          <w:rFonts w:cs="Arial"/>
          <w:rtl/>
        </w:rPr>
        <w:t xml:space="preserve"> אבל לפי דעת החולקים עליו דס"ל דהבעל נאמן בשבועה ואין חוששין לסברא זו אם כן הוא הדין כאן דאין לחלק</w:t>
      </w:r>
      <w:r>
        <w:rPr>
          <w:rFonts w:hint="cs"/>
          <w:rtl/>
        </w:rPr>
        <w:t>, דרכ"מ (אות יא).</w:t>
      </w:r>
    </w:p>
  </w:footnote>
  <w:footnote w:id="322">
    <w:p w14:paraId="719B99CC" w14:textId="533421FE" w:rsidR="00DE2F5F" w:rsidRDefault="00DE2F5F" w:rsidP="00C57942">
      <w:pPr>
        <w:pStyle w:val="a5"/>
      </w:pPr>
      <w:r>
        <w:rPr>
          <w:rStyle w:val="a7"/>
        </w:rPr>
        <w:footnoteRef/>
      </w:r>
      <w:r>
        <w:rPr>
          <w:rtl/>
        </w:rPr>
        <w:t xml:space="preserve"> </w:t>
      </w:r>
      <w:r w:rsidRPr="009E3C46">
        <w:rPr>
          <w:rFonts w:cs="Arial"/>
          <w:rtl/>
        </w:rPr>
        <w:t xml:space="preserve">ודלא כהרמב"ם ז"ל שכתב (פי"ב </w:t>
      </w:r>
      <w:r>
        <w:rPr>
          <w:rFonts w:cs="Arial" w:hint="cs"/>
          <w:rtl/>
        </w:rPr>
        <w:t>מ</w:t>
      </w:r>
      <w:r w:rsidRPr="009E3C46">
        <w:rPr>
          <w:rFonts w:cs="Arial"/>
          <w:rtl/>
        </w:rPr>
        <w:t>אישות הט"ז) שמי שהלך למדינת הים ואשתו תובעת מזונות שאין ב"ד אומרים לה שתעשה ותאכל אלא פוסקין לה מזונות</w:t>
      </w:r>
      <w:r w:rsidR="00095E98">
        <w:rPr>
          <w:rFonts w:cs="Arial" w:hint="cs"/>
          <w:rtl/>
        </w:rPr>
        <w:t xml:space="preserve"> -</w:t>
      </w:r>
      <w:r w:rsidRPr="009E3C46">
        <w:rPr>
          <w:rFonts w:cs="Arial"/>
          <w:rtl/>
        </w:rPr>
        <w:t xml:space="preserve"> דלא מסתבר כלל</w:t>
      </w:r>
      <w:r w:rsidR="00095E98">
        <w:rPr>
          <w:rFonts w:cs="Arial" w:hint="cs"/>
          <w:rtl/>
        </w:rPr>
        <w:t>,</w:t>
      </w:r>
      <w:r w:rsidRPr="009E3C46">
        <w:rPr>
          <w:rFonts w:cs="Arial"/>
          <w:rtl/>
        </w:rPr>
        <w:t xml:space="preserve"> שהדבר ראוי כשנפרעים מנכסי אדם שלא בפניו שיש להפך בזכותו הואיל ובגרמא דידיה מפסידו</w:t>
      </w:r>
      <w:r>
        <w:rPr>
          <w:rFonts w:cs="Arial" w:hint="cs"/>
          <w:rtl/>
        </w:rPr>
        <w:t xml:space="preserve">, רא"ש (שם). </w:t>
      </w:r>
    </w:p>
  </w:footnote>
  <w:footnote w:id="323">
    <w:p w14:paraId="7968279C" w14:textId="77777777" w:rsidR="00DE2F5F" w:rsidRDefault="00DE2F5F" w:rsidP="00C57942">
      <w:pPr>
        <w:pStyle w:val="a5"/>
      </w:pPr>
      <w:r>
        <w:rPr>
          <w:rStyle w:val="a7"/>
        </w:rPr>
        <w:footnoteRef/>
      </w:r>
      <w:r>
        <w:rPr>
          <w:rtl/>
        </w:rPr>
        <w:t xml:space="preserve"> </w:t>
      </w:r>
      <w:r w:rsidRPr="009E3C46">
        <w:rPr>
          <w:rFonts w:cs="Arial"/>
          <w:rtl/>
        </w:rPr>
        <w:t>וכתב הרב המגיד בפי"ב מהלכות אישות (הי"ט) נראה מדברי רבינו שאפילו בלותה אין מחשבין עמה על מעשה ידיה אלא פורע הקפותיה</w:t>
      </w:r>
      <w:r>
        <w:rPr>
          <w:rFonts w:cs="Arial" w:hint="cs"/>
          <w:rtl/>
        </w:rPr>
        <w:t>,</w:t>
      </w:r>
      <w:r w:rsidRPr="009E3C46">
        <w:rPr>
          <w:rFonts w:cs="Arial"/>
          <w:rtl/>
        </w:rPr>
        <w:t xml:space="preserve"> וכן הסכים הרמב"ן ז"ל (קז. ד"ה ומדאמרינן) עכ"ל. ועיין במרדכי</w:t>
      </w:r>
      <w:r>
        <w:rPr>
          <w:rFonts w:cs="Arial" w:hint="cs"/>
          <w:rtl/>
        </w:rPr>
        <w:t>, ב"י.</w:t>
      </w:r>
    </w:p>
  </w:footnote>
  <w:footnote w:id="324">
    <w:p w14:paraId="4A87A84A" w14:textId="627CED8E" w:rsidR="00DE2F5F" w:rsidRDefault="00DE2F5F" w:rsidP="00C57942">
      <w:pPr>
        <w:pStyle w:val="a5"/>
      </w:pPr>
      <w:r>
        <w:rPr>
          <w:rStyle w:val="a7"/>
        </w:rPr>
        <w:footnoteRef/>
      </w:r>
      <w:r>
        <w:rPr>
          <w:rtl/>
        </w:rPr>
        <w:t xml:space="preserve"> </w:t>
      </w:r>
      <w:r w:rsidRPr="00A6324C">
        <w:rPr>
          <w:rFonts w:cs="Arial"/>
          <w:rtl/>
        </w:rPr>
        <w:t xml:space="preserve">פשוט הוא לפי הגירסא </w:t>
      </w:r>
      <w:r>
        <w:rPr>
          <w:rFonts w:cs="Arial" w:hint="cs"/>
          <w:sz w:val="16"/>
          <w:szCs w:val="16"/>
          <w:rtl/>
        </w:rPr>
        <w:t xml:space="preserve">{השניה} </w:t>
      </w:r>
      <w:r w:rsidRPr="00A6324C">
        <w:rPr>
          <w:rFonts w:cs="Arial"/>
          <w:rtl/>
        </w:rPr>
        <w:t>שהזכרתי בברייתא ואמר צאי מעשה ידיך במזונותיך</w:t>
      </w:r>
      <w:r>
        <w:rPr>
          <w:rFonts w:cs="Arial" w:hint="cs"/>
          <w:rtl/>
        </w:rPr>
        <w:t>.</w:t>
      </w:r>
      <w:r w:rsidRPr="00A6324C">
        <w:rPr>
          <w:rFonts w:cs="Arial"/>
          <w:rtl/>
        </w:rPr>
        <w:t xml:space="preserve"> ואפילו לגירסא האחרת דין זה אמת</w:t>
      </w:r>
      <w:r>
        <w:rPr>
          <w:rFonts w:cs="Arial" w:hint="cs"/>
          <w:rtl/>
        </w:rPr>
        <w:t xml:space="preserve">, </w:t>
      </w:r>
      <w:r w:rsidRPr="00A6324C">
        <w:rPr>
          <w:rFonts w:cs="Arial"/>
          <w:rtl/>
        </w:rPr>
        <w:t xml:space="preserve">וכתב הרמב"ן ז"ל </w:t>
      </w:r>
      <w:r w:rsidRPr="00EF0181">
        <w:rPr>
          <w:rFonts w:cs="Arial"/>
          <w:sz w:val="16"/>
          <w:szCs w:val="16"/>
          <w:rtl/>
        </w:rPr>
        <w:t>(</w:t>
      </w:r>
      <w:r>
        <w:rPr>
          <w:rFonts w:cs="Arial" w:hint="cs"/>
          <w:sz w:val="16"/>
          <w:szCs w:val="16"/>
          <w:rtl/>
        </w:rPr>
        <w:t xml:space="preserve">כתובות </w:t>
      </w:r>
      <w:r w:rsidRPr="00EF0181">
        <w:rPr>
          <w:rFonts w:cs="Arial"/>
          <w:sz w:val="16"/>
          <w:szCs w:val="16"/>
          <w:rtl/>
        </w:rPr>
        <w:t xml:space="preserve">צו. ד"ה אלמנה) </w:t>
      </w:r>
      <w:r w:rsidRPr="00A6324C">
        <w:rPr>
          <w:rFonts w:cs="Arial"/>
          <w:rtl/>
        </w:rPr>
        <w:t>והוכיח כן וכתב הוא ז"ל וה"מ דלא מפקא מבעל כלום אבל אם עשתה והותירה הכל שלה שכל שאינו נותן לה מזונות זכתה היא במעשה ידיה ואפילו דרך שתיקה וכן דעת הרשב"א ז"ל עכ"ל</w:t>
      </w:r>
      <w:r>
        <w:rPr>
          <w:rFonts w:cs="Arial" w:hint="cs"/>
          <w:rtl/>
        </w:rPr>
        <w:t>, הה"מ (שם).</w:t>
      </w:r>
      <w:r>
        <w:rPr>
          <w:rFonts w:hint="cs"/>
          <w:rtl/>
        </w:rPr>
        <w:t xml:space="preserve"> </w:t>
      </w:r>
      <w:r w:rsidRPr="00765055">
        <w:rPr>
          <w:rFonts w:hint="cs"/>
          <w:color w:val="E36C0A" w:themeColor="accent6" w:themeShade="BF"/>
          <w:rtl/>
        </w:rPr>
        <w:t>(וכ"פ בשו"ע)</w:t>
      </w:r>
    </w:p>
  </w:footnote>
  <w:footnote w:id="325">
    <w:p w14:paraId="4D1B4BA5" w14:textId="5FD75AEE" w:rsidR="00DE2F5F" w:rsidRDefault="00DE2F5F">
      <w:pPr>
        <w:pStyle w:val="a5"/>
        <w:rPr>
          <w:rtl/>
        </w:rPr>
      </w:pPr>
      <w:r>
        <w:rPr>
          <w:rStyle w:val="a7"/>
        </w:rPr>
        <w:footnoteRef/>
      </w:r>
      <w:r>
        <w:rPr>
          <w:rtl/>
        </w:rPr>
        <w:t xml:space="preserve"> </w:t>
      </w:r>
      <w:r w:rsidRPr="00765055">
        <w:rPr>
          <w:rFonts w:cs="Arial"/>
          <w:rtl/>
        </w:rPr>
        <w:t>ועיין בתשובת הרשב"א שכתבתי בסימן ע"ז (קיז. ד"ה כתב) ובדברי הרמב"ן שכתבתי בסימן צד (שם)</w:t>
      </w:r>
      <w:r>
        <w:rPr>
          <w:rFonts w:hint="cs"/>
          <w:rtl/>
        </w:rPr>
        <w:t>, ב"י (בבדה"ב).</w:t>
      </w:r>
    </w:p>
  </w:footnote>
  <w:footnote w:id="326">
    <w:p w14:paraId="1206DFE6" w14:textId="021C8DC2" w:rsidR="00E4310B" w:rsidRDefault="00E4310B">
      <w:pPr>
        <w:pStyle w:val="a5"/>
        <w:rPr>
          <w:rtl/>
        </w:rPr>
      </w:pPr>
      <w:r>
        <w:rPr>
          <w:rStyle w:val="a7"/>
        </w:rPr>
        <w:footnoteRef/>
      </w:r>
      <w:r>
        <w:rPr>
          <w:rtl/>
        </w:rPr>
        <w:t xml:space="preserve"> </w:t>
      </w:r>
      <w:r>
        <w:rPr>
          <w:rFonts w:hint="cs"/>
          <w:rtl/>
        </w:rPr>
        <w:t>סימן - מזונות טף.</w:t>
      </w:r>
    </w:p>
  </w:footnote>
  <w:footnote w:id="327">
    <w:p w14:paraId="00445477" w14:textId="33FBB8F4" w:rsidR="00DE2F5F" w:rsidRDefault="00DE2F5F">
      <w:pPr>
        <w:pStyle w:val="a5"/>
      </w:pPr>
      <w:r>
        <w:rPr>
          <w:rStyle w:val="a7"/>
        </w:rPr>
        <w:footnoteRef/>
      </w:r>
      <w:r>
        <w:rPr>
          <w:rtl/>
        </w:rPr>
        <w:t xml:space="preserve"> </w:t>
      </w:r>
      <w:r w:rsidRPr="00AB592A">
        <w:rPr>
          <w:rFonts w:cs="Arial"/>
          <w:rtl/>
        </w:rPr>
        <w:t>כשישבו סנהדרי גזית באושא שהיא אחת מעשר גליות שגלתה סנהדרין כדאמר בר"ה (לא</w:t>
      </w:r>
      <w:r>
        <w:rPr>
          <w:rFonts w:cs="Arial" w:hint="cs"/>
          <w:rtl/>
        </w:rPr>
        <w:t>.</w:t>
      </w:r>
      <w:r w:rsidRPr="00AB592A">
        <w:rPr>
          <w:rFonts w:cs="Arial"/>
          <w:rtl/>
        </w:rPr>
        <w:t>)</w:t>
      </w:r>
      <w:r>
        <w:rPr>
          <w:rFonts w:cs="Arial" w:hint="cs"/>
          <w:rtl/>
        </w:rPr>
        <w:t>, רש"י.</w:t>
      </w:r>
    </w:p>
  </w:footnote>
  <w:footnote w:id="328">
    <w:p w14:paraId="082BAED9" w14:textId="1376B8C0" w:rsidR="00DE2F5F" w:rsidRDefault="00DE2F5F">
      <w:pPr>
        <w:pStyle w:val="a5"/>
      </w:pPr>
      <w:r>
        <w:rPr>
          <w:rStyle w:val="a7"/>
        </w:rPr>
        <w:footnoteRef/>
      </w:r>
      <w:r>
        <w:rPr>
          <w:rtl/>
        </w:rPr>
        <w:t xml:space="preserve"> </w:t>
      </w:r>
      <w:r w:rsidRPr="00AB592A">
        <w:rPr>
          <w:rFonts w:cs="Arial"/>
          <w:rtl/>
        </w:rPr>
        <w:t>עד שיביאו שערות</w:t>
      </w:r>
      <w:r>
        <w:rPr>
          <w:rFonts w:hint="cs"/>
          <w:rtl/>
        </w:rPr>
        <w:t>, רש"י.</w:t>
      </w:r>
    </w:p>
  </w:footnote>
  <w:footnote w:id="329">
    <w:p w14:paraId="4FDFA70C" w14:textId="1BCE25E4" w:rsidR="00DE2F5F" w:rsidRDefault="00DE2F5F">
      <w:pPr>
        <w:pStyle w:val="a5"/>
        <w:rPr>
          <w:rtl/>
        </w:rPr>
      </w:pPr>
      <w:r>
        <w:rPr>
          <w:rStyle w:val="a7"/>
        </w:rPr>
        <w:footnoteRef/>
      </w:r>
      <w:r>
        <w:rPr>
          <w:rtl/>
        </w:rPr>
        <w:t xml:space="preserve"> </w:t>
      </w:r>
      <w:r w:rsidRPr="00AB592A">
        <w:rPr>
          <w:rFonts w:cs="Arial"/>
          <w:rtl/>
        </w:rPr>
        <w:t>דלית הלכתא כוותיה אלא מימר אמרינן ליה ואולי יכלכלם ויזון אבל מיכף לא כייפינן</w:t>
      </w:r>
      <w:r>
        <w:rPr>
          <w:rFonts w:cs="Arial" w:hint="cs"/>
          <w:rtl/>
        </w:rPr>
        <w:t>, רש"י.</w:t>
      </w:r>
    </w:p>
  </w:footnote>
  <w:footnote w:id="330">
    <w:p w14:paraId="3B29544E" w14:textId="5D03C433" w:rsidR="00DE2F5F" w:rsidRDefault="00DE2F5F">
      <w:pPr>
        <w:pStyle w:val="a5"/>
        <w:rPr>
          <w:rtl/>
        </w:rPr>
      </w:pPr>
      <w:r>
        <w:rPr>
          <w:rStyle w:val="a7"/>
        </w:rPr>
        <w:footnoteRef/>
      </w:r>
      <w:r>
        <w:rPr>
          <w:rtl/>
        </w:rPr>
        <w:t xml:space="preserve"> </w:t>
      </w:r>
      <w:r w:rsidRPr="00AB592A">
        <w:rPr>
          <w:rFonts w:cs="Arial"/>
          <w:rtl/>
        </w:rPr>
        <w:t>התנין הוליד תולדותיו והטיל פרנסתן על בני העיר</w:t>
      </w:r>
      <w:r>
        <w:rPr>
          <w:rFonts w:hint="cs"/>
          <w:rtl/>
        </w:rPr>
        <w:t>, רש"י.</w:t>
      </w:r>
    </w:p>
  </w:footnote>
  <w:footnote w:id="331">
    <w:p w14:paraId="415E7074" w14:textId="11103CD0" w:rsidR="00DE2F5F" w:rsidRDefault="00DE2F5F">
      <w:pPr>
        <w:pStyle w:val="a5"/>
      </w:pPr>
      <w:r>
        <w:rPr>
          <w:rStyle w:val="a7"/>
        </w:rPr>
        <w:footnoteRef/>
      </w:r>
      <w:r>
        <w:rPr>
          <w:rtl/>
        </w:rPr>
        <w:t xml:space="preserve"> </w:t>
      </w:r>
      <w:r w:rsidRPr="00AB592A">
        <w:rPr>
          <w:rFonts w:cs="Arial"/>
          <w:rtl/>
        </w:rPr>
        <w:t>כפו מכתשת על פיה ויעמוד זה על גב שוליה בגובה שישמעו קולו ויכריז על עצמו שהוא רע מן העורבים דעורבא בעי בני וההוא גברא לא בעי בני ואית דמפרשי שליח צבור יעמוד עליה ויאמר כן על אותו האיש</w:t>
      </w:r>
      <w:r>
        <w:rPr>
          <w:rFonts w:cs="Arial" w:hint="cs"/>
          <w:rtl/>
        </w:rPr>
        <w:t>, רש"י.</w:t>
      </w:r>
    </w:p>
  </w:footnote>
  <w:footnote w:id="332">
    <w:p w14:paraId="66703580" w14:textId="51D7C98C" w:rsidR="00DE2F5F" w:rsidRDefault="00DE2F5F">
      <w:pPr>
        <w:pStyle w:val="a5"/>
      </w:pPr>
      <w:r>
        <w:rPr>
          <w:rStyle w:val="a7"/>
        </w:rPr>
        <w:footnoteRef/>
      </w:r>
      <w:r>
        <w:rPr>
          <w:rtl/>
        </w:rPr>
        <w:t xml:space="preserve"> </w:t>
      </w:r>
      <w:r w:rsidRPr="005B4B44">
        <w:rPr>
          <w:rFonts w:cs="Arial"/>
          <w:rtl/>
        </w:rPr>
        <w:t>שתמיד יום ולילה הן עליו והיא צדקה שאינו חיוב עליו בהם</w:t>
      </w:r>
      <w:r>
        <w:rPr>
          <w:rFonts w:cs="Arial" w:hint="cs"/>
          <w:rtl/>
        </w:rPr>
        <w:t>, רש"י.</w:t>
      </w:r>
    </w:p>
  </w:footnote>
  <w:footnote w:id="333">
    <w:p w14:paraId="116A4858" w14:textId="0A7C6CBA" w:rsidR="00DE2F5F" w:rsidRDefault="00DE2F5F" w:rsidP="001B4F2E">
      <w:pPr>
        <w:pStyle w:val="a5"/>
        <w:rPr>
          <w:rtl/>
        </w:rPr>
      </w:pPr>
      <w:r>
        <w:rPr>
          <w:rStyle w:val="a7"/>
        </w:rPr>
        <w:footnoteRef/>
      </w:r>
      <w:r>
        <w:rPr>
          <w:rtl/>
        </w:rPr>
        <w:t xml:space="preserve"> </w:t>
      </w:r>
      <w:r w:rsidRPr="00F350E1">
        <w:rPr>
          <w:rFonts w:cs="Arial"/>
          <w:rtl/>
        </w:rPr>
        <w:t>ועיין לקמן סוף סימן זה (</w:t>
      </w:r>
      <w:r>
        <w:rPr>
          <w:rFonts w:cs="Arial" w:hint="cs"/>
          <w:rtl/>
        </w:rPr>
        <w:t>סע' ה</w:t>
      </w:r>
      <w:r w:rsidRPr="00F350E1">
        <w:rPr>
          <w:rFonts w:cs="Arial"/>
          <w:rtl/>
        </w:rPr>
        <w:t xml:space="preserve">) </w:t>
      </w:r>
      <w:r>
        <w:rPr>
          <w:rFonts w:cs="Arial" w:hint="cs"/>
          <w:rtl/>
        </w:rPr>
        <w:t>מ</w:t>
      </w:r>
      <w:r w:rsidRPr="00F350E1">
        <w:rPr>
          <w:rFonts w:cs="Arial"/>
          <w:rtl/>
        </w:rPr>
        <w:t>תשובת רא"ש וריב"ש דמשמע דלא סבירי להו כדעת הר"ן</w:t>
      </w:r>
      <w:r>
        <w:rPr>
          <w:rFonts w:cs="Arial" w:hint="cs"/>
          <w:rtl/>
        </w:rPr>
        <w:t>, דרכ"מ (אות א).</w:t>
      </w:r>
      <w:r w:rsidR="006018EB">
        <w:rPr>
          <w:rFonts w:hint="cs"/>
          <w:rtl/>
        </w:rPr>
        <w:t xml:space="preserve">    דשם מיירי באיש שבא על הפנויה </w:t>
      </w:r>
      <w:r w:rsidR="00536B1A">
        <w:rPr>
          <w:rFonts w:hint="cs"/>
          <w:rtl/>
        </w:rPr>
        <w:t>בזנות וילדה בן או בת, וכתבו הרא"ש והריב"ש דחייב לזונם.</w:t>
      </w:r>
    </w:p>
  </w:footnote>
  <w:footnote w:id="334">
    <w:p w14:paraId="3F437611" w14:textId="77777777" w:rsidR="000C244F" w:rsidRDefault="000C244F" w:rsidP="000C244F">
      <w:pPr>
        <w:pStyle w:val="a5"/>
        <w:rPr>
          <w:rtl/>
        </w:rPr>
      </w:pPr>
      <w:r>
        <w:rPr>
          <w:rStyle w:val="a7"/>
        </w:rPr>
        <w:footnoteRef/>
      </w:r>
      <w:r>
        <w:rPr>
          <w:rtl/>
        </w:rPr>
        <w:t xml:space="preserve"> </w:t>
      </w:r>
      <w:r w:rsidRPr="00F350E1">
        <w:rPr>
          <w:rFonts w:cs="Arial"/>
          <w:rtl/>
        </w:rPr>
        <w:t>וכן כתב בתולדות אדם וחוה נתיב כ"ב ח"ה (קפט ע"ג)</w:t>
      </w:r>
      <w:r>
        <w:rPr>
          <w:rFonts w:cs="Arial" w:hint="cs"/>
          <w:rtl/>
        </w:rPr>
        <w:t>, דרכ"מ (אות ג).</w:t>
      </w:r>
    </w:p>
  </w:footnote>
  <w:footnote w:id="335">
    <w:p w14:paraId="49FDC6E3" w14:textId="78F2D80F" w:rsidR="00B97452" w:rsidRDefault="00B97452">
      <w:pPr>
        <w:pStyle w:val="a5"/>
      </w:pPr>
      <w:r>
        <w:rPr>
          <w:rStyle w:val="a7"/>
        </w:rPr>
        <w:footnoteRef/>
      </w:r>
      <w:r>
        <w:rPr>
          <w:rtl/>
        </w:rPr>
        <w:t xml:space="preserve"> </w:t>
      </w:r>
      <w:r w:rsidRPr="00B97452">
        <w:rPr>
          <w:rFonts w:cs="Arial"/>
          <w:rtl/>
        </w:rPr>
        <w:t xml:space="preserve">עיין בתשו' חוט השני </w:t>
      </w:r>
      <w:r>
        <w:rPr>
          <w:rFonts w:cs="Arial" w:hint="cs"/>
          <w:rtl/>
        </w:rPr>
        <w:t>(</w:t>
      </w:r>
      <w:r w:rsidRPr="00B97452">
        <w:rPr>
          <w:rFonts w:cs="Arial"/>
          <w:rtl/>
        </w:rPr>
        <w:t>סי' ח</w:t>
      </w:r>
      <w:r>
        <w:rPr>
          <w:rFonts w:cs="Arial" w:hint="cs"/>
          <w:rtl/>
        </w:rPr>
        <w:t>)</w:t>
      </w:r>
      <w:r w:rsidRPr="00B97452">
        <w:rPr>
          <w:rFonts w:cs="Arial"/>
          <w:rtl/>
        </w:rPr>
        <w:t xml:space="preserve"> שכ' דבני בנים אינם כבנים לענין זה</w:t>
      </w:r>
      <w:r>
        <w:rPr>
          <w:rFonts w:cs="Arial" w:hint="cs"/>
          <w:rtl/>
        </w:rPr>
        <w:t>,</w:t>
      </w:r>
      <w:r w:rsidRPr="00B97452">
        <w:rPr>
          <w:rFonts w:cs="Arial"/>
          <w:rtl/>
        </w:rPr>
        <w:t xml:space="preserve"> וכ"ש בני בנות</w:t>
      </w:r>
      <w:r>
        <w:rPr>
          <w:rFonts w:cs="Arial" w:hint="cs"/>
          <w:rtl/>
        </w:rPr>
        <w:t>,</w:t>
      </w:r>
      <w:r w:rsidRPr="00B97452">
        <w:rPr>
          <w:rFonts w:cs="Arial"/>
          <w:rtl/>
        </w:rPr>
        <w:t xml:space="preserve"> רק מדין צדקה מחוייב ליתן להם (עי' ביו"ד סי' רנא)</w:t>
      </w:r>
      <w:r>
        <w:rPr>
          <w:rFonts w:cs="Arial" w:hint="cs"/>
          <w:rtl/>
        </w:rPr>
        <w:t>.</w:t>
      </w:r>
      <w:r w:rsidRPr="00B97452">
        <w:rPr>
          <w:rFonts w:cs="Arial"/>
          <w:rtl/>
        </w:rPr>
        <w:t xml:space="preserve"> ואם יש כאן אבי האם ואחי האב</w:t>
      </w:r>
      <w:r>
        <w:rPr>
          <w:rFonts w:cs="Arial" w:hint="cs"/>
          <w:rtl/>
        </w:rPr>
        <w:t xml:space="preserve"> -</w:t>
      </w:r>
      <w:r w:rsidRPr="00B97452">
        <w:rPr>
          <w:rFonts w:cs="Arial"/>
          <w:rtl/>
        </w:rPr>
        <w:t xml:space="preserve"> החיוב מוטל יותר על אחי האב</w:t>
      </w:r>
      <w:r>
        <w:rPr>
          <w:rFonts w:cs="Arial" w:hint="cs"/>
          <w:rtl/>
        </w:rPr>
        <w:t>,</w:t>
      </w:r>
      <w:r w:rsidRPr="00B97452">
        <w:rPr>
          <w:rFonts w:cs="Arial"/>
          <w:rtl/>
        </w:rPr>
        <w:t xml:space="preserve"> שענין המזונות תולים יותר בירושה</w:t>
      </w:r>
      <w:r>
        <w:rPr>
          <w:rFonts w:cs="Arial" w:hint="cs"/>
          <w:rtl/>
        </w:rPr>
        <w:t>,</w:t>
      </w:r>
      <w:r w:rsidRPr="00B97452">
        <w:rPr>
          <w:rFonts w:cs="Arial"/>
          <w:rtl/>
        </w:rPr>
        <w:t xml:space="preserve"> וראיה מדאמרינן פ' החולץ וליתבעיניה ליורשים ולא קאמר לקרובים ע"ש</w:t>
      </w:r>
      <w:r>
        <w:rPr>
          <w:rFonts w:cs="Arial" w:hint="cs"/>
          <w:rtl/>
        </w:rPr>
        <w:t>, פת"ש (סק"א).</w:t>
      </w:r>
    </w:p>
  </w:footnote>
  <w:footnote w:id="336">
    <w:p w14:paraId="5470D158" w14:textId="025DF292" w:rsidR="00DE2F5F" w:rsidRDefault="00DE2F5F">
      <w:pPr>
        <w:pStyle w:val="a5"/>
      </w:pPr>
      <w:r>
        <w:rPr>
          <w:rStyle w:val="a7"/>
        </w:rPr>
        <w:footnoteRef/>
      </w:r>
      <w:r>
        <w:rPr>
          <w:rtl/>
        </w:rPr>
        <w:t xml:space="preserve"> </w:t>
      </w:r>
      <w:r w:rsidRPr="00AA5A7B">
        <w:rPr>
          <w:rFonts w:cs="Arial"/>
          <w:rtl/>
        </w:rPr>
        <w:t>שאינו חייב במזונותיהן בחייו</w:t>
      </w:r>
      <w:r>
        <w:rPr>
          <w:rFonts w:cs="Arial" w:hint="cs"/>
          <w:rtl/>
        </w:rPr>
        <w:t>, רש"י.</w:t>
      </w:r>
    </w:p>
  </w:footnote>
  <w:footnote w:id="337">
    <w:p w14:paraId="606B44BA" w14:textId="781CD32F" w:rsidR="00DE2F5F" w:rsidRDefault="00DE2F5F">
      <w:pPr>
        <w:pStyle w:val="a5"/>
      </w:pPr>
      <w:r>
        <w:rPr>
          <w:rStyle w:val="a7"/>
        </w:rPr>
        <w:footnoteRef/>
      </w:r>
      <w:r>
        <w:rPr>
          <w:rtl/>
        </w:rPr>
        <w:t xml:space="preserve"> </w:t>
      </w:r>
      <w:r w:rsidRPr="00AA5A7B">
        <w:rPr>
          <w:rFonts w:cs="Arial"/>
          <w:rtl/>
        </w:rPr>
        <w:t>יוצא מן המקום לדעת היה בידו לצוות על מזונות בניו ובנותיו ואשתו ולא צוה גילה דעתו שאינו רוצה לזונן הילכך אשתו דמיחייב לה בתנאי כתובה אשתעבוד ניכסיה בניו ובנותיו לא אבל נשתטה דיצא מן העולם שלא לדעת מסתמא ניחא ליה שיזונו בניו ובנותיו משלו</w:t>
      </w:r>
      <w:r>
        <w:rPr>
          <w:rFonts w:cs="Arial" w:hint="cs"/>
          <w:rtl/>
        </w:rPr>
        <w:t>, רש"י.</w:t>
      </w:r>
    </w:p>
  </w:footnote>
  <w:footnote w:id="338">
    <w:p w14:paraId="09D73E64" w14:textId="7B5BB528" w:rsidR="00DE2F5F" w:rsidRDefault="00DE2F5F">
      <w:pPr>
        <w:pStyle w:val="a5"/>
      </w:pPr>
      <w:r>
        <w:rPr>
          <w:rStyle w:val="a7"/>
        </w:rPr>
        <w:footnoteRef/>
      </w:r>
      <w:r>
        <w:rPr>
          <w:rtl/>
        </w:rPr>
        <w:t xml:space="preserve"> </w:t>
      </w:r>
      <w:r w:rsidRPr="00DD1356">
        <w:rPr>
          <w:rFonts w:cs="Arial"/>
          <w:rtl/>
        </w:rPr>
        <w:t>בשמים של אבקת רוכל שהנשים מתקשטות בהם</w:t>
      </w:r>
      <w:r>
        <w:rPr>
          <w:rFonts w:cs="Arial" w:hint="cs"/>
          <w:rtl/>
        </w:rPr>
        <w:t>, רש"י.</w:t>
      </w:r>
    </w:p>
  </w:footnote>
  <w:footnote w:id="339">
    <w:p w14:paraId="5019E4B4" w14:textId="2F4CA58B" w:rsidR="00DE2F5F" w:rsidRDefault="00DE2F5F" w:rsidP="00E75874">
      <w:pPr>
        <w:pStyle w:val="a5"/>
        <w:rPr>
          <w:rtl/>
        </w:rPr>
      </w:pPr>
      <w:r>
        <w:rPr>
          <w:rStyle w:val="a7"/>
        </w:rPr>
        <w:footnoteRef/>
      </w:r>
      <w:r>
        <w:rPr>
          <w:rtl/>
        </w:rPr>
        <w:t xml:space="preserve"> </w:t>
      </w:r>
      <w:r>
        <w:rPr>
          <w:rFonts w:cs="Arial" w:hint="cs"/>
          <w:rtl/>
        </w:rPr>
        <w:t xml:space="preserve">והטור כתב שאין נראים לו דברי הרמב"ם בזה. </w:t>
      </w:r>
      <w:r w:rsidRPr="00F350E1">
        <w:rPr>
          <w:rFonts w:cs="Arial"/>
          <w:rtl/>
        </w:rPr>
        <w:t>ו</w:t>
      </w:r>
      <w:r>
        <w:rPr>
          <w:rFonts w:cs="Arial" w:hint="cs"/>
          <w:rtl/>
        </w:rPr>
        <w:t>כתב הב"י ד</w:t>
      </w:r>
      <w:r w:rsidRPr="00F350E1">
        <w:rPr>
          <w:rFonts w:cs="Arial"/>
          <w:rtl/>
        </w:rPr>
        <w:t>מה שהוקשה לרבינו בדבריו</w:t>
      </w:r>
      <w:r>
        <w:rPr>
          <w:rFonts w:cs="Arial" w:hint="cs"/>
          <w:rtl/>
        </w:rPr>
        <w:t>,</w:t>
      </w:r>
      <w:r w:rsidRPr="00F350E1">
        <w:rPr>
          <w:rFonts w:cs="Arial"/>
          <w:rtl/>
        </w:rPr>
        <w:t xml:space="preserve"> כבר הרגיש בו הרב המגיד וישבו שכתב וז"ל</w:t>
      </w:r>
      <w:r w:rsidR="009C4EDB">
        <w:rPr>
          <w:rFonts w:cs="Arial" w:hint="cs"/>
          <w:rtl/>
        </w:rPr>
        <w:t>:</w:t>
      </w:r>
      <w:r w:rsidRPr="00F350E1">
        <w:rPr>
          <w:rFonts w:cs="Arial"/>
          <w:rtl/>
        </w:rPr>
        <w:t xml:space="preserve"> ויש לשאול</w:t>
      </w:r>
      <w:r w:rsidR="009C4EDB">
        <w:rPr>
          <w:rFonts w:cs="Arial" w:hint="cs"/>
          <w:rtl/>
        </w:rPr>
        <w:t>,</w:t>
      </w:r>
      <w:r w:rsidRPr="00F350E1">
        <w:rPr>
          <w:rFonts w:cs="Arial"/>
          <w:rtl/>
        </w:rPr>
        <w:t xml:space="preserve"> שנראה מדבריו שהבנים שהם יותר על שש אין זנין אותם מנכסי מי שנשתטה ודינו שוה למי שהלך למדינת הים</w:t>
      </w:r>
      <w:r>
        <w:rPr>
          <w:rFonts w:cs="Arial" w:hint="cs"/>
          <w:rtl/>
        </w:rPr>
        <w:t>.</w:t>
      </w:r>
      <w:r w:rsidRPr="00F350E1">
        <w:rPr>
          <w:rFonts w:cs="Arial"/>
          <w:rtl/>
        </w:rPr>
        <w:t xml:space="preserve"> ובגמרא חלקו בהם בפירוש</w:t>
      </w:r>
      <w:r>
        <w:rPr>
          <w:rFonts w:cs="Arial" w:hint="cs"/>
          <w:rtl/>
        </w:rPr>
        <w:t>,</w:t>
      </w:r>
      <w:r w:rsidRPr="00F350E1">
        <w:rPr>
          <w:rFonts w:cs="Arial"/>
          <w:rtl/>
        </w:rPr>
        <w:t xml:space="preserve"> ואין שם בזה שום מחלוקת</w:t>
      </w:r>
      <w:r>
        <w:rPr>
          <w:rFonts w:cs="Arial" w:hint="cs"/>
          <w:rtl/>
        </w:rPr>
        <w:t>.</w:t>
      </w:r>
      <w:r w:rsidRPr="00F350E1">
        <w:rPr>
          <w:rFonts w:cs="Arial"/>
          <w:rtl/>
        </w:rPr>
        <w:t xml:space="preserve"> והתשובה</w:t>
      </w:r>
      <w:r>
        <w:rPr>
          <w:rFonts w:cs="Arial" w:hint="cs"/>
          <w:rtl/>
        </w:rPr>
        <w:t>,</w:t>
      </w:r>
      <w:r w:rsidRPr="00F350E1">
        <w:rPr>
          <w:rFonts w:cs="Arial"/>
          <w:rtl/>
        </w:rPr>
        <w:t xml:space="preserve"> שרבינו לא כתב במי שנשתטה אלא מי שמוציאין מנכסיו בין שהוא אמיד בין שאינו אמיד והוא בקטנים עד שש</w:t>
      </w:r>
      <w:r>
        <w:rPr>
          <w:rFonts w:cs="Arial" w:hint="cs"/>
          <w:rtl/>
        </w:rPr>
        <w:t>,</w:t>
      </w:r>
      <w:r w:rsidRPr="00F350E1">
        <w:rPr>
          <w:rFonts w:cs="Arial"/>
          <w:rtl/>
        </w:rPr>
        <w:t xml:space="preserve"> ובזה הושוו מי שנשתטה ומי שהלך למדינת הים</w:t>
      </w:r>
      <w:r>
        <w:rPr>
          <w:rFonts w:cs="Arial" w:hint="cs"/>
          <w:rtl/>
        </w:rPr>
        <w:t>.</w:t>
      </w:r>
      <w:r w:rsidRPr="00F350E1">
        <w:rPr>
          <w:rFonts w:cs="Arial"/>
          <w:rtl/>
        </w:rPr>
        <w:t xml:space="preserve"> אבל בגדולים מבן שש והוא אמיד לא דיבר רבינו בכאן</w:t>
      </w:r>
      <w:r>
        <w:rPr>
          <w:rFonts w:cs="Arial" w:hint="cs"/>
          <w:rtl/>
        </w:rPr>
        <w:t>,</w:t>
      </w:r>
      <w:r w:rsidRPr="00F350E1">
        <w:rPr>
          <w:rFonts w:cs="Arial"/>
          <w:rtl/>
        </w:rPr>
        <w:t xml:space="preserve"> ובזה חלוק מי שנשתטה ומי שהלך למדינת הים</w:t>
      </w:r>
      <w:r>
        <w:rPr>
          <w:rFonts w:cs="Arial" w:hint="cs"/>
          <w:rtl/>
        </w:rPr>
        <w:t>.</w:t>
      </w:r>
      <w:r w:rsidRPr="00F350E1">
        <w:rPr>
          <w:rFonts w:cs="Arial"/>
          <w:rtl/>
        </w:rPr>
        <w:t xml:space="preserve"> וסמך לו רבינו על מה שכתב בסוף הלכות נחלות (פי"א הי"א) שמי שנשתטה שפוסקין צדקה על ממונו ולא יהיו בניו הגדולים על שש פחותים מאחר</w:t>
      </w:r>
      <w:r>
        <w:rPr>
          <w:rFonts w:cs="Arial" w:hint="cs"/>
          <w:rtl/>
        </w:rPr>
        <w:t>,</w:t>
      </w:r>
      <w:r w:rsidRPr="00F350E1">
        <w:rPr>
          <w:rFonts w:cs="Arial"/>
          <w:rtl/>
        </w:rPr>
        <w:t xml:space="preserve"> וכבר ביאר רבינו למעלה (הט"ו) שהן נזונין משום צדקה</w:t>
      </w:r>
      <w:r>
        <w:rPr>
          <w:rFonts w:cs="Arial" w:hint="cs"/>
          <w:rtl/>
        </w:rPr>
        <w:t>,</w:t>
      </w:r>
      <w:r w:rsidRPr="00F350E1">
        <w:rPr>
          <w:rFonts w:cs="Arial"/>
          <w:rtl/>
        </w:rPr>
        <w:t xml:space="preserve"> וכל שכן שמוציאין ממנו צדקה וזנין בניו וזה ברור כנ"ל עכ"</w:t>
      </w:r>
      <w:r>
        <w:rPr>
          <w:rFonts w:cs="Arial" w:hint="cs"/>
          <w:rtl/>
        </w:rPr>
        <w:t>ל</w:t>
      </w:r>
      <w:r w:rsidRPr="00F350E1">
        <w:rPr>
          <w:rFonts w:cs="Arial"/>
          <w:rtl/>
        </w:rPr>
        <w:t>.</w:t>
      </w:r>
    </w:p>
  </w:footnote>
  <w:footnote w:id="340">
    <w:p w14:paraId="59F74543" w14:textId="281FE877" w:rsidR="00DE2F5F" w:rsidRPr="008B045F" w:rsidRDefault="00DE2F5F">
      <w:pPr>
        <w:pStyle w:val="a5"/>
        <w:rPr>
          <w:rtl/>
        </w:rPr>
      </w:pPr>
      <w:r>
        <w:rPr>
          <w:rStyle w:val="a7"/>
        </w:rPr>
        <w:footnoteRef/>
      </w:r>
      <w:r>
        <w:rPr>
          <w:rtl/>
        </w:rPr>
        <w:t xml:space="preserve"> </w:t>
      </w:r>
      <w:r>
        <w:rPr>
          <w:rFonts w:hint="cs"/>
          <w:rtl/>
        </w:rPr>
        <w:t xml:space="preserve">והביא </w:t>
      </w:r>
      <w:r>
        <w:rPr>
          <w:rFonts w:cs="Arial" w:hint="cs"/>
          <w:rtl/>
        </w:rPr>
        <w:t xml:space="preserve">מרדכי </w:t>
      </w:r>
      <w:r>
        <w:rPr>
          <w:rFonts w:cs="Arial" w:hint="cs"/>
          <w:sz w:val="16"/>
          <w:szCs w:val="16"/>
          <w:rtl/>
        </w:rPr>
        <w:t xml:space="preserve">(כתובות סי' קסה) </w:t>
      </w:r>
      <w:r>
        <w:rPr>
          <w:rFonts w:cs="Arial" w:hint="cs"/>
          <w:rtl/>
        </w:rPr>
        <w:t>את דברי התוס' הנ"ל, ומדבריו משמע שתוס' ור"י חלוקים (היינו שהתוס' לא אמרו כן בהוה אמינא אלא כך דעתם אע"פ שר"י אומר אחרת).</w:t>
      </w:r>
    </w:p>
  </w:footnote>
  <w:footnote w:id="341">
    <w:p w14:paraId="327C453B" w14:textId="38E07E54" w:rsidR="00DE2F5F" w:rsidRDefault="00DE2F5F">
      <w:pPr>
        <w:pStyle w:val="a5"/>
      </w:pPr>
      <w:r>
        <w:rPr>
          <w:rStyle w:val="a7"/>
        </w:rPr>
        <w:footnoteRef/>
      </w:r>
      <w:r>
        <w:rPr>
          <w:rtl/>
        </w:rPr>
        <w:t xml:space="preserve"> </w:t>
      </w:r>
      <w:r w:rsidRPr="007918A9">
        <w:rPr>
          <w:rFonts w:cs="Arial"/>
          <w:rtl/>
        </w:rPr>
        <w:t>לא ביאר בדבריו אם דוקא במי שאינו אמוד</w:t>
      </w:r>
      <w:r w:rsidR="004D1278">
        <w:rPr>
          <w:rFonts w:cs="Arial" w:hint="cs"/>
          <w:rtl/>
        </w:rPr>
        <w:t>,</w:t>
      </w:r>
      <w:r w:rsidRPr="007918A9">
        <w:rPr>
          <w:rFonts w:cs="Arial"/>
          <w:rtl/>
        </w:rPr>
        <w:t xml:space="preserve"> ואע</w:t>
      </w:r>
      <w:r w:rsidR="00F90968">
        <w:rPr>
          <w:rFonts w:cs="Arial" w:hint="cs"/>
          <w:rtl/>
        </w:rPr>
        <w:t>"</w:t>
      </w:r>
      <w:r w:rsidRPr="007918A9">
        <w:rPr>
          <w:rFonts w:cs="Arial"/>
          <w:rtl/>
        </w:rPr>
        <w:t>ג דגם בפניו אין יורדין לנכסיו רק מכלימין ומכריזין עליו ה</w:t>
      </w:r>
      <w:r w:rsidR="004D1278">
        <w:rPr>
          <w:rFonts w:cs="Arial" w:hint="cs"/>
          <w:rtl/>
        </w:rPr>
        <w:t>ו</w:t>
      </w:r>
      <w:r w:rsidRPr="007918A9">
        <w:rPr>
          <w:rFonts w:cs="Arial"/>
          <w:rtl/>
        </w:rPr>
        <w:t>"א דשלא בפניו עדיף טפי דמסתמא אמרי' אם הי' כאן לא הוי גרע מעוף טמא וכל זמן שלא נשמע בפי' שאינו רוצה לזון מחזקינן ליה בחזקת רחמן קמ"ל דלא יורדין לנכסיו אבל באמוד יורדין לנכסיו בתורת צדקה אף שלא בפניו</w:t>
      </w:r>
      <w:r w:rsidR="004D1278">
        <w:rPr>
          <w:rFonts w:cs="Arial" w:hint="cs"/>
          <w:rtl/>
        </w:rPr>
        <w:t>,</w:t>
      </w:r>
      <w:r w:rsidRPr="007918A9">
        <w:rPr>
          <w:rFonts w:cs="Arial"/>
          <w:rtl/>
        </w:rPr>
        <w:t xml:space="preserve"> אבל הרמב"ם כתב להדיא </w:t>
      </w:r>
      <w:r w:rsidR="004D1278">
        <w:rPr>
          <w:rFonts w:cs="Arial" w:hint="cs"/>
          <w:rtl/>
        </w:rPr>
        <w:t>(</w:t>
      </w:r>
      <w:r w:rsidRPr="007918A9">
        <w:rPr>
          <w:rFonts w:cs="Arial"/>
          <w:rtl/>
        </w:rPr>
        <w:t>פי"ב מה"א</w:t>
      </w:r>
      <w:r w:rsidR="004D1278">
        <w:rPr>
          <w:rFonts w:cs="Arial" w:hint="cs"/>
          <w:rtl/>
        </w:rPr>
        <w:t>)</w:t>
      </w:r>
      <w:r w:rsidRPr="007918A9">
        <w:rPr>
          <w:rFonts w:cs="Arial"/>
          <w:rtl/>
        </w:rPr>
        <w:t xml:space="preserve"> אע</w:t>
      </w:r>
      <w:r w:rsidR="004D1278">
        <w:rPr>
          <w:rFonts w:cs="Arial" w:hint="cs"/>
          <w:rtl/>
        </w:rPr>
        <w:t>"</w:t>
      </w:r>
      <w:r w:rsidRPr="007918A9">
        <w:rPr>
          <w:rFonts w:cs="Arial"/>
          <w:rtl/>
        </w:rPr>
        <w:t xml:space="preserve">פ שהוא אמוד משום דבגמ' בכתובות </w:t>
      </w:r>
      <w:r w:rsidR="004D1278">
        <w:rPr>
          <w:rFonts w:cs="Arial" w:hint="cs"/>
          <w:rtl/>
        </w:rPr>
        <w:t>(</w:t>
      </w:r>
      <w:r w:rsidRPr="007918A9">
        <w:rPr>
          <w:rFonts w:cs="Arial"/>
          <w:rtl/>
        </w:rPr>
        <w:t>ק</w:t>
      </w:r>
      <w:r w:rsidR="004D1278">
        <w:rPr>
          <w:rFonts w:cs="Arial" w:hint="cs"/>
          <w:rtl/>
        </w:rPr>
        <w:t>ז.)</w:t>
      </w:r>
      <w:r w:rsidRPr="007918A9">
        <w:rPr>
          <w:rFonts w:cs="Arial"/>
          <w:rtl/>
        </w:rPr>
        <w:t xml:space="preserve"> אמרו מי שהלך למד"ה ב"ד יורדין לנכסיו וזנין לאשתו אבל לא בניו ובנותיו ולא דבר אחר מאי ד"א רב חסדא אמר תכשיט רב יוסף אמר צדקה ולכ"ע צדקה לא ובתכשיט פליגי וכבר כתב הרמב"ם דאין נותנין לה תכשיט וכ"ש צדקה</w:t>
      </w:r>
      <w:r>
        <w:rPr>
          <w:rFonts w:cs="Arial" w:hint="cs"/>
          <w:rtl/>
        </w:rPr>
        <w:t>, ח"מ (סק"ג).</w:t>
      </w:r>
    </w:p>
  </w:footnote>
  <w:footnote w:id="342">
    <w:p w14:paraId="10E581F1" w14:textId="6185D2BF" w:rsidR="00DE2F5F" w:rsidRDefault="00DE2F5F">
      <w:pPr>
        <w:pStyle w:val="a5"/>
      </w:pPr>
      <w:r>
        <w:rPr>
          <w:rStyle w:val="a7"/>
        </w:rPr>
        <w:footnoteRef/>
      </w:r>
      <w:r>
        <w:rPr>
          <w:rtl/>
        </w:rPr>
        <w:t xml:space="preserve"> </w:t>
      </w:r>
      <w:r w:rsidRPr="0042316B">
        <w:rPr>
          <w:rFonts w:cs="Arial"/>
          <w:rtl/>
        </w:rPr>
        <w:t>זה הוא דעת הר"ן אך הרב לא החליט דעתו ועיין שם בדף תפ"ו ובדף תפ"ז ועיין בכ"מ סוף הלכות נחלות</w:t>
      </w:r>
      <w:r>
        <w:rPr>
          <w:rFonts w:cs="Arial" w:hint="cs"/>
          <w:rtl/>
        </w:rPr>
        <w:t>, ח"מ (סק"ה).</w:t>
      </w:r>
    </w:p>
  </w:footnote>
  <w:footnote w:id="343">
    <w:p w14:paraId="398FB8AC" w14:textId="74F26F38" w:rsidR="00DE2F5F" w:rsidRDefault="00DE2F5F">
      <w:pPr>
        <w:pStyle w:val="a5"/>
      </w:pPr>
      <w:r>
        <w:rPr>
          <w:rStyle w:val="a7"/>
        </w:rPr>
        <w:footnoteRef/>
      </w:r>
      <w:r>
        <w:rPr>
          <w:rtl/>
        </w:rPr>
        <w:t xml:space="preserve"> </w:t>
      </w:r>
      <w:r w:rsidRPr="00F35B81">
        <w:rPr>
          <w:rFonts w:cs="Arial"/>
          <w:rtl/>
        </w:rPr>
        <w:t>מדסתם וכתב ולא התנה והוא שיהיה אמוד משמע שדעתו לפסוק דלא כהרמב"ם רק כהטור והר"ן שהסכימו בנשתטה שזנין אותם אף בלא אמוד דמסתמא ניחא ליה שיזונו אותם דהא מי שאינו זן אותם מגונה ביותר ודוקא בהלך למד"ה אין זנין אותם מפני שהיה לו לצוות</w:t>
      </w:r>
      <w:r>
        <w:rPr>
          <w:rFonts w:cs="Arial" w:hint="cs"/>
          <w:rtl/>
        </w:rPr>
        <w:t>, ח"מ (סק"ו).</w:t>
      </w:r>
    </w:p>
  </w:footnote>
  <w:footnote w:id="344">
    <w:p w14:paraId="57066BBB" w14:textId="53AAA068" w:rsidR="002F42A7" w:rsidRDefault="002F42A7" w:rsidP="002F42A7">
      <w:pPr>
        <w:pStyle w:val="a5"/>
        <w:rPr>
          <w:rtl/>
        </w:rPr>
      </w:pPr>
      <w:r>
        <w:rPr>
          <w:rStyle w:val="a7"/>
        </w:rPr>
        <w:footnoteRef/>
      </w:r>
      <w:r>
        <w:rPr>
          <w:rtl/>
        </w:rPr>
        <w:t xml:space="preserve"> </w:t>
      </w:r>
      <w:r>
        <w:rPr>
          <w:rFonts w:cs="Arial" w:hint="cs"/>
          <w:rtl/>
        </w:rPr>
        <w:t xml:space="preserve">הביאו הדרכ"מ (אות ה) </w:t>
      </w:r>
      <w:r w:rsidRPr="00F350E1">
        <w:rPr>
          <w:rFonts w:cs="Arial"/>
          <w:rtl/>
        </w:rPr>
        <w:t>ו</w:t>
      </w:r>
      <w:r>
        <w:rPr>
          <w:rFonts w:cs="Arial" w:hint="cs"/>
          <w:rtl/>
        </w:rPr>
        <w:t>כתב ש</w:t>
      </w:r>
      <w:r w:rsidRPr="00F350E1">
        <w:rPr>
          <w:rFonts w:cs="Arial"/>
          <w:rtl/>
        </w:rPr>
        <w:t>מדברי הר"ן</w:t>
      </w:r>
      <w:r>
        <w:rPr>
          <w:rFonts w:cs="Arial" w:hint="cs"/>
          <w:rtl/>
        </w:rPr>
        <w:t xml:space="preserve"> הללו</w:t>
      </w:r>
      <w:r w:rsidR="009072AB">
        <w:rPr>
          <w:rFonts w:cs="Arial" w:hint="cs"/>
          <w:sz w:val="16"/>
          <w:szCs w:val="16"/>
          <w:rtl/>
        </w:rPr>
        <w:t xml:space="preserve"> </w:t>
      </w:r>
      <w:r w:rsidRPr="00F350E1">
        <w:rPr>
          <w:rFonts w:cs="Arial"/>
          <w:rtl/>
        </w:rPr>
        <w:t>משמע דאינו חייב לזונן אלא אגב אמן שהיא אשת</w:t>
      </w:r>
      <w:r w:rsidR="009072AB">
        <w:rPr>
          <w:rFonts w:cs="Arial" w:hint="cs"/>
          <w:rtl/>
        </w:rPr>
        <w:t>ו</w:t>
      </w:r>
      <w:r>
        <w:rPr>
          <w:rFonts w:cs="Arial" w:hint="cs"/>
          <w:rtl/>
        </w:rPr>
        <w:t>.</w:t>
      </w:r>
    </w:p>
  </w:footnote>
  <w:footnote w:id="345">
    <w:p w14:paraId="199BE6BF" w14:textId="5C73C689" w:rsidR="00DE2F5F" w:rsidRDefault="00DE2F5F" w:rsidP="004720D1">
      <w:pPr>
        <w:pStyle w:val="a5"/>
      </w:pPr>
      <w:r>
        <w:rPr>
          <w:rStyle w:val="a7"/>
        </w:rPr>
        <w:footnoteRef/>
      </w:r>
      <w:r>
        <w:rPr>
          <w:rtl/>
        </w:rPr>
        <w:t xml:space="preserve"> </w:t>
      </w:r>
      <w:r>
        <w:rPr>
          <w:rFonts w:cs="Arial"/>
          <w:rtl/>
        </w:rPr>
        <w:t>ואע</w:t>
      </w:r>
      <w:r w:rsidR="002941A0">
        <w:rPr>
          <w:rFonts w:cs="Arial" w:hint="cs"/>
          <w:rtl/>
        </w:rPr>
        <w:t>"</w:t>
      </w:r>
      <w:r>
        <w:rPr>
          <w:rFonts w:cs="Arial"/>
          <w:rtl/>
        </w:rPr>
        <w:t>ג דאינה יורדת עמו ואם כן הרי משועבד לה לדברים שהיתה רגילה בהו בבי נשא והיאך חל הנדר</w:t>
      </w:r>
      <w:r w:rsidR="00C34D23">
        <w:rPr>
          <w:rFonts w:cs="Arial" w:hint="cs"/>
          <w:rtl/>
        </w:rPr>
        <w:t>,</w:t>
      </w:r>
      <w:r>
        <w:rPr>
          <w:rFonts w:cs="Arial"/>
          <w:rtl/>
        </w:rPr>
        <w:t xml:space="preserve"> וי"ל דהא דאינה יורדת עמו בדברים של בני משפחה שיש להם עושר ושאין להם עושר שוין בו</w:t>
      </w:r>
      <w:r w:rsidR="003E6B12">
        <w:rPr>
          <w:rFonts w:cs="Arial" w:hint="cs"/>
          <w:rtl/>
        </w:rPr>
        <w:t>,</w:t>
      </w:r>
      <w:r>
        <w:rPr>
          <w:rFonts w:cs="Arial"/>
          <w:rtl/>
        </w:rPr>
        <w:t xml:space="preserve"> אבל הנך דברים קטנים דרגילה בהו בבי נשא לפי שהיה עשיר אבל בני משפחה שאין להם עושר אלא כמו שהיה לבעלה אינם רגילים באותם דברים קטנים</w:t>
      </w:r>
      <w:r w:rsidR="00B17E16">
        <w:rPr>
          <w:rFonts w:cs="Arial" w:hint="cs"/>
          <w:rtl/>
        </w:rPr>
        <w:t xml:space="preserve"> -</w:t>
      </w:r>
      <w:r>
        <w:rPr>
          <w:rFonts w:cs="Arial"/>
          <w:rtl/>
        </w:rPr>
        <w:t xml:space="preserve"> יש לה לגלגל עמו כל זמן שהיא אצלו הילכך חל הנדר</w:t>
      </w:r>
      <w:r w:rsidR="00FD10C6">
        <w:rPr>
          <w:rFonts w:cs="Arial" w:hint="cs"/>
          <w:rtl/>
        </w:rPr>
        <w:t>.</w:t>
      </w:r>
      <w:r>
        <w:rPr>
          <w:rFonts w:cs="Arial"/>
          <w:rtl/>
        </w:rPr>
        <w:t xml:space="preserve"> אבל כשהדירה ואינה עוד אצלו חייב להנהיגה בכבוד בית אביה</w:t>
      </w:r>
      <w:r w:rsidR="003D184F">
        <w:rPr>
          <w:rFonts w:cs="Arial" w:hint="cs"/>
          <w:rtl/>
        </w:rPr>
        <w:t>,</w:t>
      </w:r>
      <w:r>
        <w:rPr>
          <w:rFonts w:cs="Arial"/>
          <w:rtl/>
        </w:rPr>
        <w:t xml:space="preserve"> הילכך אמרה ליה השתא דאדרתן לא מגלגלנא בהדך</w:t>
      </w:r>
      <w:r>
        <w:rPr>
          <w:rFonts w:cs="Arial" w:hint="cs"/>
          <w:rtl/>
        </w:rPr>
        <w:t>,</w:t>
      </w:r>
      <w:r w:rsidRPr="00C1165B">
        <w:rPr>
          <w:rFonts w:cs="Arial"/>
          <w:rtl/>
        </w:rPr>
        <w:t xml:space="preserve"> </w:t>
      </w:r>
      <w:r w:rsidRPr="003D184F">
        <w:rPr>
          <w:rFonts w:cs="Arial"/>
          <w:b/>
          <w:bCs/>
          <w:rtl/>
        </w:rPr>
        <w:t>רא"ש</w:t>
      </w:r>
      <w:r>
        <w:rPr>
          <w:rFonts w:cs="Arial"/>
          <w:rtl/>
        </w:rPr>
        <w:t xml:space="preserve"> (סי' ג)</w:t>
      </w:r>
      <w:r>
        <w:rPr>
          <w:rFonts w:cs="Arial" w:hint="cs"/>
          <w:rtl/>
        </w:rPr>
        <w:t>.</w:t>
      </w:r>
      <w:r>
        <w:rPr>
          <w:rFonts w:cs="Arial"/>
          <w:rtl/>
        </w:rPr>
        <w:t xml:space="preserve"> ו</w:t>
      </w:r>
      <w:r w:rsidR="003D184F">
        <w:rPr>
          <w:rFonts w:cs="Arial" w:hint="cs"/>
          <w:rtl/>
        </w:rPr>
        <w:t>כתב הב"י דה</w:t>
      </w:r>
      <w:r w:rsidR="00C34D23">
        <w:rPr>
          <w:rFonts w:cs="Arial" w:hint="cs"/>
          <w:rtl/>
        </w:rPr>
        <w:t>וא</w:t>
      </w:r>
      <w:r>
        <w:rPr>
          <w:rFonts w:cs="Arial"/>
          <w:rtl/>
        </w:rPr>
        <w:t xml:space="preserve"> מדברי התוספות (ע: ד"ה והאידנא).</w:t>
      </w:r>
    </w:p>
  </w:footnote>
  <w:footnote w:id="346">
    <w:p w14:paraId="0CEFFA44" w14:textId="79E90150" w:rsidR="00DE2F5F" w:rsidRDefault="00DE2F5F" w:rsidP="004720D1">
      <w:pPr>
        <w:pStyle w:val="a5"/>
      </w:pPr>
      <w:r>
        <w:rPr>
          <w:rStyle w:val="a7"/>
        </w:rPr>
        <w:footnoteRef/>
      </w:r>
      <w:r>
        <w:rPr>
          <w:rtl/>
        </w:rPr>
        <w:t xml:space="preserve"> </w:t>
      </w:r>
      <w:r>
        <w:rPr>
          <w:rFonts w:cs="Arial"/>
          <w:rtl/>
        </w:rPr>
        <w:t>וכתבו התוספות (ד"ה באומר) והרא"ש (סי' ד) והר"ן (לב. דיבור ראשון) בשם רשב"ם שדקדק מסוגיא דגמרא דדוקא כה"ג דקאמר כל הזן אינו מפסיד בלשון רבים הוא דשרי במודר הנאה אבל למימר ליחידאה אם תזון לא תפסיד הוא דמחזי כשלוחו ע"כ</w:t>
      </w:r>
      <w:r w:rsidRPr="005A5F73">
        <w:rPr>
          <w:rFonts w:cs="Arial" w:hint="cs"/>
          <w:sz w:val="16"/>
          <w:szCs w:val="16"/>
          <w:rtl/>
        </w:rPr>
        <w:t xml:space="preserve"> (</w:t>
      </w:r>
      <w:r w:rsidRPr="005A5F73">
        <w:rPr>
          <w:rFonts w:cs="Arial"/>
          <w:sz w:val="16"/>
          <w:szCs w:val="16"/>
          <w:rtl/>
        </w:rPr>
        <w:t>וכן הוא ביו</w:t>
      </w:r>
      <w:r w:rsidR="00E57201">
        <w:rPr>
          <w:rFonts w:cs="Arial" w:hint="cs"/>
          <w:sz w:val="16"/>
          <w:szCs w:val="16"/>
          <w:rtl/>
        </w:rPr>
        <w:t>"</w:t>
      </w:r>
      <w:r w:rsidRPr="005A5F73">
        <w:rPr>
          <w:rFonts w:cs="Arial"/>
          <w:sz w:val="16"/>
          <w:szCs w:val="16"/>
          <w:rtl/>
        </w:rPr>
        <w:t>ד סי</w:t>
      </w:r>
      <w:r w:rsidR="00E57201">
        <w:rPr>
          <w:rFonts w:cs="Arial" w:hint="cs"/>
          <w:sz w:val="16"/>
          <w:szCs w:val="16"/>
          <w:rtl/>
        </w:rPr>
        <w:t>'</w:t>
      </w:r>
      <w:r w:rsidRPr="005A5F73">
        <w:rPr>
          <w:rFonts w:cs="Arial"/>
          <w:sz w:val="16"/>
          <w:szCs w:val="16"/>
          <w:rtl/>
        </w:rPr>
        <w:t xml:space="preserve"> רכ"א (עמ' תע)</w:t>
      </w:r>
      <w:r w:rsidRPr="005A5F73">
        <w:rPr>
          <w:rFonts w:cs="Arial" w:hint="cs"/>
          <w:sz w:val="16"/>
          <w:szCs w:val="16"/>
          <w:rtl/>
        </w:rPr>
        <w:t>, דרכ"מ [אות א])</w:t>
      </w:r>
      <w:r>
        <w:rPr>
          <w:rFonts w:cs="Arial" w:hint="cs"/>
          <w:rtl/>
        </w:rPr>
        <w:t xml:space="preserve">. </w:t>
      </w:r>
      <w:r>
        <w:rPr>
          <w:rFonts w:cs="Arial"/>
          <w:rtl/>
        </w:rPr>
        <w:t xml:space="preserve">ומשמע לרבינו דדוקא לומר ליחידאה </w:t>
      </w:r>
      <w:r>
        <w:rPr>
          <w:rFonts w:cs="Arial" w:hint="cs"/>
          <w:rtl/>
        </w:rPr>
        <w:t>'</w:t>
      </w:r>
      <w:r>
        <w:rPr>
          <w:rFonts w:cs="Arial"/>
          <w:rtl/>
        </w:rPr>
        <w:t>אם תזון לא תפסיד</w:t>
      </w:r>
      <w:r>
        <w:rPr>
          <w:rFonts w:cs="Arial" w:hint="cs"/>
          <w:rtl/>
        </w:rPr>
        <w:t>'</w:t>
      </w:r>
      <w:r>
        <w:rPr>
          <w:rFonts w:cs="Arial"/>
          <w:rtl/>
        </w:rPr>
        <w:t xml:space="preserve"> הוא דמיחזי כשלוחו</w:t>
      </w:r>
      <w:r>
        <w:rPr>
          <w:rFonts w:cs="Arial" w:hint="cs"/>
          <w:rtl/>
        </w:rPr>
        <w:t>,</w:t>
      </w:r>
      <w:r>
        <w:rPr>
          <w:rFonts w:cs="Arial"/>
          <w:rtl/>
        </w:rPr>
        <w:t xml:space="preserve"> אבל כשאומר </w:t>
      </w:r>
      <w:r>
        <w:rPr>
          <w:rFonts w:cs="Arial" w:hint="cs"/>
          <w:rtl/>
        </w:rPr>
        <w:t>'</w:t>
      </w:r>
      <w:r>
        <w:rPr>
          <w:rFonts w:cs="Arial"/>
          <w:rtl/>
        </w:rPr>
        <w:t>כל הזן אינו מפסיד</w:t>
      </w:r>
      <w:r>
        <w:rPr>
          <w:rFonts w:cs="Arial" w:hint="cs"/>
          <w:rtl/>
        </w:rPr>
        <w:t>'</w:t>
      </w:r>
      <w:r>
        <w:rPr>
          <w:rFonts w:cs="Arial"/>
          <w:rtl/>
        </w:rPr>
        <w:t xml:space="preserve"> אע</w:t>
      </w:r>
      <w:r w:rsidR="00E57201">
        <w:rPr>
          <w:rFonts w:cs="Arial" w:hint="cs"/>
          <w:rtl/>
        </w:rPr>
        <w:t>"</w:t>
      </w:r>
      <w:r>
        <w:rPr>
          <w:rFonts w:cs="Arial"/>
          <w:rtl/>
        </w:rPr>
        <w:t xml:space="preserve">פ שאומר כן ליחידאה </w:t>
      </w:r>
      <w:r>
        <w:rPr>
          <w:rFonts w:cs="Arial" w:hint="cs"/>
          <w:rtl/>
        </w:rPr>
        <w:t xml:space="preserve">- </w:t>
      </w:r>
      <w:r>
        <w:rPr>
          <w:rFonts w:cs="Arial"/>
          <w:rtl/>
        </w:rPr>
        <w:t>לא מיחזי כשלוחו כיון שבלשון רבים הוא אומר</w:t>
      </w:r>
      <w:r>
        <w:rPr>
          <w:rFonts w:cs="Arial" w:hint="cs"/>
          <w:rtl/>
        </w:rPr>
        <w:t>,</w:t>
      </w:r>
      <w:r>
        <w:rPr>
          <w:rFonts w:cs="Arial"/>
          <w:rtl/>
        </w:rPr>
        <w:t xml:space="preserve"> לפיכך כתב להתיר על ידי פרנס שיאמר לו כל הזן אינו מפסיד</w:t>
      </w:r>
      <w:r>
        <w:rPr>
          <w:rFonts w:cs="Arial" w:hint="cs"/>
          <w:rtl/>
        </w:rPr>
        <w:t>, ב"י.</w:t>
      </w:r>
    </w:p>
  </w:footnote>
  <w:footnote w:id="347">
    <w:p w14:paraId="6D60C41D" w14:textId="77777777" w:rsidR="00DE2F5F" w:rsidRDefault="00DE2F5F" w:rsidP="004720D1">
      <w:pPr>
        <w:pStyle w:val="a5"/>
      </w:pPr>
      <w:r>
        <w:rPr>
          <w:rStyle w:val="a7"/>
        </w:rPr>
        <w:footnoteRef/>
      </w:r>
      <w:r>
        <w:rPr>
          <w:rtl/>
        </w:rPr>
        <w:t xml:space="preserve"> </w:t>
      </w:r>
      <w:r w:rsidRPr="00650052">
        <w:rPr>
          <w:rFonts w:cs="Arial"/>
          <w:rtl/>
        </w:rPr>
        <w:t>שפירש שלשים יום הוא דלא כפינן ליה להוציא אלא יעמיד פרנס</w:t>
      </w:r>
      <w:r>
        <w:rPr>
          <w:rFonts w:cs="Arial" w:hint="cs"/>
          <w:rtl/>
        </w:rPr>
        <w:t>, רש"י.</w:t>
      </w:r>
    </w:p>
  </w:footnote>
  <w:footnote w:id="348">
    <w:p w14:paraId="34507C54" w14:textId="77777777" w:rsidR="00DE2F5F" w:rsidRDefault="00DE2F5F" w:rsidP="004720D1">
      <w:pPr>
        <w:pStyle w:val="a5"/>
        <w:rPr>
          <w:rtl/>
        </w:rPr>
      </w:pPr>
      <w:r>
        <w:rPr>
          <w:rStyle w:val="a7"/>
        </w:rPr>
        <w:footnoteRef/>
      </w:r>
      <w:r>
        <w:rPr>
          <w:rtl/>
        </w:rPr>
        <w:t xml:space="preserve"> </w:t>
      </w:r>
      <w:r>
        <w:rPr>
          <w:rFonts w:cs="Arial"/>
          <w:rtl/>
        </w:rPr>
        <w:t>ופסקו הפוסקים כשמואל דהלכתא כוותיה בדיני</w:t>
      </w:r>
      <w:r>
        <w:rPr>
          <w:rFonts w:hint="cs"/>
          <w:rtl/>
        </w:rPr>
        <w:t>, ב"י.</w:t>
      </w:r>
    </w:p>
  </w:footnote>
  <w:footnote w:id="349">
    <w:p w14:paraId="3A0CCB93" w14:textId="6669FE56" w:rsidR="00DE2F5F" w:rsidRDefault="00DE2F5F" w:rsidP="00253F29">
      <w:pPr>
        <w:pStyle w:val="a5"/>
      </w:pPr>
      <w:r>
        <w:rPr>
          <w:rStyle w:val="a7"/>
        </w:rPr>
        <w:footnoteRef/>
      </w:r>
      <w:r>
        <w:rPr>
          <w:rtl/>
        </w:rPr>
        <w:t xml:space="preserve"> </w:t>
      </w:r>
      <w:r w:rsidRPr="004720D1">
        <w:rPr>
          <w:rFonts w:cs="Arial"/>
          <w:rtl/>
        </w:rPr>
        <w:t>וכתב הר"ן (לא: ד"ה באומר) על זה</w:t>
      </w:r>
      <w:r w:rsidR="002D5EB4">
        <w:rPr>
          <w:rFonts w:cs="Arial" w:hint="cs"/>
          <w:rtl/>
        </w:rPr>
        <w:t>:</w:t>
      </w:r>
      <w:r w:rsidRPr="004720D1">
        <w:rPr>
          <w:rFonts w:cs="Arial"/>
          <w:rtl/>
        </w:rPr>
        <w:t xml:space="preserve"> ודבריו תמיהי' בעיני הרבה</w:t>
      </w:r>
      <w:r>
        <w:rPr>
          <w:rFonts w:cs="Arial" w:hint="cs"/>
          <w:rtl/>
        </w:rPr>
        <w:t>,</w:t>
      </w:r>
      <w:r w:rsidRPr="004720D1">
        <w:rPr>
          <w:rFonts w:cs="Arial"/>
          <w:rtl/>
        </w:rPr>
        <w:t xml:space="preserve"> דהא בגמרא אמרינן בהדיא דלא מצי מדיר לה אלא באומר לה צאי מעשה ידיך במזונותיך</w:t>
      </w:r>
      <w:r>
        <w:rPr>
          <w:rFonts w:cs="Arial" w:hint="cs"/>
          <w:rtl/>
        </w:rPr>
        <w:t>,</w:t>
      </w:r>
      <w:r w:rsidRPr="004720D1">
        <w:rPr>
          <w:rFonts w:cs="Arial"/>
          <w:rtl/>
        </w:rPr>
        <w:t xml:space="preserve"> אבל סתמא לא אמרינן נעשה כמי שאומר לה</w:t>
      </w:r>
      <w:r>
        <w:rPr>
          <w:rFonts w:cs="Arial" w:hint="cs"/>
          <w:rtl/>
        </w:rPr>
        <w:t>,</w:t>
      </w:r>
      <w:r w:rsidRPr="004720D1">
        <w:rPr>
          <w:rFonts w:cs="Arial"/>
          <w:rtl/>
        </w:rPr>
        <w:t xml:space="preserve"> משום הכי מסקינן לה דוקא באומר לה ובמספקת לדברים גדולים ובמגלגלת בהדיה לדברים קטנים</w:t>
      </w:r>
      <w:r>
        <w:rPr>
          <w:rFonts w:cs="Arial" w:hint="cs"/>
          <w:rtl/>
        </w:rPr>
        <w:t>.</w:t>
      </w:r>
      <w:r w:rsidRPr="004720D1">
        <w:rPr>
          <w:rFonts w:cs="Arial"/>
          <w:rtl/>
        </w:rPr>
        <w:t xml:space="preserve"> ומדבריו נראה דאפילו בשאין מעשה ידיה מספיקין ולא איתגלגלא בהדיה חייל נדרא</w:t>
      </w:r>
      <w:r>
        <w:rPr>
          <w:rFonts w:cs="Arial" w:hint="cs"/>
          <w:rtl/>
        </w:rPr>
        <w:t>,</w:t>
      </w:r>
      <w:r w:rsidRPr="004720D1">
        <w:rPr>
          <w:rFonts w:cs="Arial"/>
          <w:rtl/>
        </w:rPr>
        <w:t xml:space="preserve"> וכל שמעשה ידיה מספיקין אפילו לא אמר לה צאי וכו' מצי מדיר לה</w:t>
      </w:r>
      <w:r w:rsidR="00A46C49">
        <w:rPr>
          <w:rFonts w:cs="Arial" w:hint="cs"/>
          <w:rtl/>
        </w:rPr>
        <w:t>.</w:t>
      </w:r>
      <w:r w:rsidRPr="004720D1">
        <w:rPr>
          <w:rFonts w:cs="Arial"/>
          <w:rtl/>
        </w:rPr>
        <w:t xml:space="preserve"> ואילו בגמרא אמרינן דנהי דבאומר מהני</w:t>
      </w:r>
      <w:r w:rsidR="00D04DD7">
        <w:rPr>
          <w:rFonts w:cs="Arial" w:hint="cs"/>
          <w:rtl/>
        </w:rPr>
        <w:t>,</w:t>
      </w:r>
      <w:r w:rsidRPr="004720D1">
        <w:rPr>
          <w:rFonts w:cs="Arial"/>
          <w:rtl/>
        </w:rPr>
        <w:t xml:space="preserve"> כי לא אמר מישעבד לה</w:t>
      </w:r>
      <w:r w:rsidR="00D04DD7">
        <w:rPr>
          <w:rFonts w:cs="Arial" w:hint="cs"/>
          <w:rtl/>
        </w:rPr>
        <w:t>,</w:t>
      </w:r>
      <w:r w:rsidRPr="004720D1">
        <w:rPr>
          <w:rFonts w:cs="Arial"/>
          <w:rtl/>
        </w:rPr>
        <w:t xml:space="preserve"> ולאו כל כמיניה למימר איני נותן מזונות ושהיא עצמה תעכב מעשה ידיה</w:t>
      </w:r>
      <w:r w:rsidR="00D04DD7">
        <w:rPr>
          <w:rFonts w:cs="Arial" w:hint="cs"/>
          <w:rtl/>
        </w:rPr>
        <w:t>.</w:t>
      </w:r>
      <w:r w:rsidRPr="004720D1">
        <w:rPr>
          <w:rFonts w:cs="Arial"/>
          <w:rtl/>
        </w:rPr>
        <w:t xml:space="preserve"> ודכוותה גבי אשה אע</w:t>
      </w:r>
      <w:r w:rsidR="000968E8">
        <w:rPr>
          <w:rFonts w:cs="Arial" w:hint="cs"/>
          <w:rtl/>
        </w:rPr>
        <w:t>"</w:t>
      </w:r>
      <w:r w:rsidRPr="004720D1">
        <w:rPr>
          <w:rFonts w:cs="Arial"/>
          <w:rtl/>
        </w:rPr>
        <w:t>פ שהיא יכולה לומר איני נזונת ואיני עושה</w:t>
      </w:r>
      <w:r w:rsidR="00D04DD7">
        <w:rPr>
          <w:rFonts w:cs="Arial" w:hint="cs"/>
          <w:rtl/>
        </w:rPr>
        <w:t>,</w:t>
      </w:r>
      <w:r w:rsidRPr="004720D1">
        <w:rPr>
          <w:rFonts w:cs="Arial"/>
          <w:rtl/>
        </w:rPr>
        <w:t xml:space="preserve"> אינה יכולה לומר איני עושה בלבד ושהוא מעצמו יעכב מזונות</w:t>
      </w:r>
      <w:r w:rsidR="00363D4E">
        <w:rPr>
          <w:rFonts w:cs="Arial" w:hint="cs"/>
          <w:rtl/>
        </w:rPr>
        <w:t>,</w:t>
      </w:r>
      <w:r w:rsidRPr="004720D1">
        <w:rPr>
          <w:rFonts w:cs="Arial"/>
          <w:rtl/>
        </w:rPr>
        <w:t xml:space="preserve"> דהא תנן קונם שאני עוש</w:t>
      </w:r>
      <w:r w:rsidR="007C4586">
        <w:rPr>
          <w:rFonts w:cs="Arial" w:hint="cs"/>
          <w:rtl/>
        </w:rPr>
        <w:t>ָ</w:t>
      </w:r>
      <w:r w:rsidRPr="004720D1">
        <w:rPr>
          <w:rFonts w:cs="Arial"/>
          <w:rtl/>
        </w:rPr>
        <w:t>ה ל</w:t>
      </w:r>
      <w:r w:rsidR="007C4586">
        <w:rPr>
          <w:rFonts w:cs="Arial" w:hint="cs"/>
          <w:rtl/>
        </w:rPr>
        <w:t>ְ</w:t>
      </w:r>
      <w:r w:rsidRPr="004720D1">
        <w:rPr>
          <w:rFonts w:cs="Arial"/>
          <w:rtl/>
        </w:rPr>
        <w:t>פ</w:t>
      </w:r>
      <w:r w:rsidR="007C4586">
        <w:rPr>
          <w:rFonts w:cs="Arial" w:hint="cs"/>
          <w:rtl/>
        </w:rPr>
        <w:t>ִּ</w:t>
      </w:r>
      <w:r w:rsidRPr="004720D1">
        <w:rPr>
          <w:rFonts w:cs="Arial"/>
          <w:rtl/>
        </w:rPr>
        <w:t>יך</w:t>
      </w:r>
      <w:r w:rsidR="007C4586">
        <w:rPr>
          <w:rFonts w:cs="Arial" w:hint="cs"/>
          <w:rtl/>
        </w:rPr>
        <w:t>ָ</w:t>
      </w:r>
      <w:r w:rsidRPr="004720D1">
        <w:rPr>
          <w:rFonts w:cs="Arial"/>
          <w:rtl/>
        </w:rPr>
        <w:t xml:space="preserve"> אינו צריך להתיר</w:t>
      </w:r>
      <w:r w:rsidR="002F546A">
        <w:rPr>
          <w:rFonts w:cs="Arial" w:hint="cs"/>
          <w:rtl/>
        </w:rPr>
        <w:t>,</w:t>
      </w:r>
      <w:r w:rsidRPr="004720D1">
        <w:rPr>
          <w:rFonts w:cs="Arial"/>
          <w:rtl/>
        </w:rPr>
        <w:t xml:space="preserve"> ואין לך אומרת איני עושה גדול מזה</w:t>
      </w:r>
      <w:r>
        <w:rPr>
          <w:rFonts w:cs="Arial" w:hint="cs"/>
          <w:rtl/>
        </w:rPr>
        <w:t>.</w:t>
      </w:r>
      <w:r w:rsidRPr="004720D1">
        <w:rPr>
          <w:rFonts w:cs="Arial"/>
          <w:rtl/>
        </w:rPr>
        <w:t xml:space="preserve"> ונ"ל שהביאו לומר כך משום דלא אשכחן דאלמוה רבנן לשעבודא דידה</w:t>
      </w:r>
      <w:r w:rsidR="006C3328">
        <w:rPr>
          <w:rFonts w:cs="Arial" w:hint="cs"/>
          <w:rtl/>
        </w:rPr>
        <w:t>,</w:t>
      </w:r>
      <w:r w:rsidRPr="004720D1">
        <w:rPr>
          <w:rFonts w:cs="Arial"/>
          <w:rtl/>
        </w:rPr>
        <w:t xml:space="preserve"> והיינו טעמא משום דלא צריך לאלומיה דע"כ או יתיר נדרו או יוציא ויתן כתובה</w:t>
      </w:r>
      <w:r w:rsidR="003468B2">
        <w:rPr>
          <w:rFonts w:cs="Arial" w:hint="cs"/>
          <w:rtl/>
        </w:rPr>
        <w:t>,</w:t>
      </w:r>
      <w:r w:rsidRPr="004720D1">
        <w:rPr>
          <w:rFonts w:cs="Arial"/>
          <w:rtl/>
        </w:rPr>
        <w:t xml:space="preserve"> ומשום הכי סבירא ליה ז"ל דתנא דקונם שאני </w:t>
      </w:r>
      <w:r w:rsidR="006C2AC8" w:rsidRPr="004720D1">
        <w:rPr>
          <w:rFonts w:cs="Arial"/>
          <w:rtl/>
        </w:rPr>
        <w:t>עוש</w:t>
      </w:r>
      <w:r w:rsidR="006C2AC8">
        <w:rPr>
          <w:rFonts w:cs="Arial" w:hint="cs"/>
          <w:rtl/>
        </w:rPr>
        <w:t>ָ</w:t>
      </w:r>
      <w:r w:rsidR="006C2AC8" w:rsidRPr="004720D1">
        <w:rPr>
          <w:rFonts w:cs="Arial"/>
          <w:rtl/>
        </w:rPr>
        <w:t>ה ל</w:t>
      </w:r>
      <w:r w:rsidR="006C2AC8">
        <w:rPr>
          <w:rFonts w:cs="Arial" w:hint="cs"/>
          <w:rtl/>
        </w:rPr>
        <w:t>ְ</w:t>
      </w:r>
      <w:r w:rsidR="006C2AC8" w:rsidRPr="004720D1">
        <w:rPr>
          <w:rFonts w:cs="Arial"/>
          <w:rtl/>
        </w:rPr>
        <w:t>פ</w:t>
      </w:r>
      <w:r w:rsidR="006C2AC8">
        <w:rPr>
          <w:rFonts w:cs="Arial" w:hint="cs"/>
          <w:rtl/>
        </w:rPr>
        <w:t>ִּ</w:t>
      </w:r>
      <w:r w:rsidR="006C2AC8" w:rsidRPr="004720D1">
        <w:rPr>
          <w:rFonts w:cs="Arial"/>
          <w:rtl/>
        </w:rPr>
        <w:t>יך</w:t>
      </w:r>
      <w:r w:rsidR="006C2AC8">
        <w:rPr>
          <w:rFonts w:cs="Arial" w:hint="cs"/>
          <w:rtl/>
        </w:rPr>
        <w:t xml:space="preserve"> </w:t>
      </w:r>
      <w:r w:rsidRPr="004720D1">
        <w:rPr>
          <w:rFonts w:cs="Arial"/>
          <w:rtl/>
        </w:rPr>
        <w:t>אינו צריך להפר היינו משום דס"ל דקונמות אין מפקיעין מידי שעבוד ולא צריך כלל לטעמא דאלמוה</w:t>
      </w:r>
      <w:r w:rsidR="003468B2">
        <w:rPr>
          <w:rFonts w:cs="Arial" w:hint="cs"/>
          <w:rtl/>
        </w:rPr>
        <w:t>.</w:t>
      </w:r>
      <w:r w:rsidRPr="004720D1">
        <w:rPr>
          <w:rFonts w:cs="Arial"/>
          <w:rtl/>
        </w:rPr>
        <w:t xml:space="preserve"> וכי אמרינן הכי לעיל בפרק אף על פי (נט:) היינו כרבי יוחנן בן נורי</w:t>
      </w:r>
      <w:r w:rsidR="006C2AC8">
        <w:rPr>
          <w:rFonts w:cs="Arial" w:hint="cs"/>
          <w:rtl/>
        </w:rPr>
        <w:t>,</w:t>
      </w:r>
      <w:r w:rsidRPr="004720D1">
        <w:rPr>
          <w:rFonts w:cs="Arial"/>
          <w:rtl/>
        </w:rPr>
        <w:t xml:space="preserve"> דס"ל דהשתא לא חייל נדרא ולבתר הכי חייל</w:t>
      </w:r>
      <w:r w:rsidR="000E314F">
        <w:rPr>
          <w:rFonts w:cs="Arial" w:hint="cs"/>
          <w:rtl/>
        </w:rPr>
        <w:t>,</w:t>
      </w:r>
      <w:r w:rsidRPr="004720D1">
        <w:rPr>
          <w:rFonts w:cs="Arial"/>
          <w:rtl/>
        </w:rPr>
        <w:t xml:space="preserve"> ומשום הכי ע"כ איצטריכינן לאסוקי דקונמות כקדושת הגוף דמו ואלמוה לשעבודיה דבעל כדאיתא בסוגיין דאע"פ</w:t>
      </w:r>
      <w:r w:rsidR="003468B2">
        <w:rPr>
          <w:rFonts w:cs="Arial" w:hint="cs"/>
          <w:rtl/>
        </w:rPr>
        <w:t>,</w:t>
      </w:r>
      <w:r w:rsidRPr="004720D1">
        <w:rPr>
          <w:rFonts w:cs="Arial"/>
          <w:rtl/>
        </w:rPr>
        <w:t xml:space="preserve"> דוק ותשכח</w:t>
      </w:r>
      <w:r w:rsidR="003468B2">
        <w:rPr>
          <w:rFonts w:cs="Arial" w:hint="cs"/>
          <w:rtl/>
        </w:rPr>
        <w:t>.</w:t>
      </w:r>
      <w:r w:rsidRPr="004720D1">
        <w:rPr>
          <w:rFonts w:cs="Arial"/>
          <w:rtl/>
        </w:rPr>
        <w:t xml:space="preserve"> אבל לת"ק דאמר אינו צריך להפר נקטינן מילתא כפשטה דס"ל דקונמות אין מפקיעין מידי שעבוד</w:t>
      </w:r>
      <w:r w:rsidR="009969B2">
        <w:rPr>
          <w:rFonts w:cs="Arial" w:hint="cs"/>
          <w:rtl/>
        </w:rPr>
        <w:t>.</w:t>
      </w:r>
      <w:r w:rsidRPr="004720D1">
        <w:rPr>
          <w:rFonts w:cs="Arial"/>
          <w:rtl/>
        </w:rPr>
        <w:t xml:space="preserve"> וכי פרכינן והתנן קונם וכו' הכי פרכינן</w:t>
      </w:r>
      <w:r w:rsidR="00911886">
        <w:rPr>
          <w:rFonts w:cs="Arial" w:hint="cs"/>
          <w:rtl/>
        </w:rPr>
        <w:t>,</w:t>
      </w:r>
      <w:r w:rsidRPr="004720D1">
        <w:rPr>
          <w:rFonts w:cs="Arial"/>
          <w:rtl/>
        </w:rPr>
        <w:t xml:space="preserve"> לימא מתניתין דלא כת"ק</w:t>
      </w:r>
      <w:r w:rsidR="00911886">
        <w:rPr>
          <w:rFonts w:cs="Arial" w:hint="cs"/>
          <w:rtl/>
        </w:rPr>
        <w:t>,</w:t>
      </w:r>
      <w:r w:rsidRPr="004720D1">
        <w:rPr>
          <w:rFonts w:cs="Arial"/>
          <w:rtl/>
        </w:rPr>
        <w:t xml:space="preserve"> דהתם וכל הך סוגיא לפרוקי ת"ק דהתם אמתניתין איתאמרא</w:t>
      </w:r>
      <w:r w:rsidR="009969B2">
        <w:rPr>
          <w:rFonts w:cs="Arial" w:hint="cs"/>
          <w:rtl/>
        </w:rPr>
        <w:t>.</w:t>
      </w:r>
      <w:r w:rsidRPr="004720D1">
        <w:rPr>
          <w:rFonts w:cs="Arial"/>
          <w:rtl/>
        </w:rPr>
        <w:t xml:space="preserve"> אבל לדידן דקיי"ל כרבי יוחנן בן נורי דקונמות מפקיעין מידי שעבוד לא צריכין לכל הני הוויי</w:t>
      </w:r>
      <w:r w:rsidR="00E97E7C">
        <w:rPr>
          <w:rFonts w:cs="Arial" w:hint="cs"/>
          <w:rtl/>
        </w:rPr>
        <w:t>,</w:t>
      </w:r>
      <w:r w:rsidRPr="004720D1">
        <w:rPr>
          <w:rFonts w:cs="Arial"/>
          <w:rtl/>
        </w:rPr>
        <w:t xml:space="preserve"> ולא קשיא לן מידי משום דשעבודא דידיה הוא דאלמוה</w:t>
      </w:r>
      <w:r w:rsidR="009969B2">
        <w:rPr>
          <w:rFonts w:cs="Arial" w:hint="cs"/>
          <w:rtl/>
        </w:rPr>
        <w:t>,</w:t>
      </w:r>
      <w:r w:rsidRPr="004720D1">
        <w:rPr>
          <w:rFonts w:cs="Arial"/>
          <w:rtl/>
        </w:rPr>
        <w:t xml:space="preserve"> דאל</w:t>
      </w:r>
      <w:r w:rsidR="009969B2">
        <w:rPr>
          <w:rFonts w:cs="Arial" w:hint="cs"/>
          <w:rtl/>
        </w:rPr>
        <w:t>"</w:t>
      </w:r>
      <w:r w:rsidRPr="004720D1">
        <w:rPr>
          <w:rFonts w:cs="Arial"/>
          <w:rtl/>
        </w:rPr>
        <w:t>כ יצטרך לגרש בע"כ והאיש אינו מוציא אלא ברצונו</w:t>
      </w:r>
      <w:r w:rsidR="009969B2">
        <w:rPr>
          <w:rFonts w:cs="Arial" w:hint="cs"/>
          <w:rtl/>
        </w:rPr>
        <w:t>.</w:t>
      </w:r>
      <w:r w:rsidRPr="004720D1">
        <w:rPr>
          <w:rFonts w:cs="Arial"/>
          <w:rtl/>
        </w:rPr>
        <w:t xml:space="preserve"> אבל שעבודא דידה אמאי צריכים לאלומיה הא ביפר או יוציא ויתן כתובה סגי</w:t>
      </w:r>
      <w:r w:rsidR="00E97E7C">
        <w:rPr>
          <w:rFonts w:cs="Arial" w:hint="cs"/>
          <w:rtl/>
        </w:rPr>
        <w:t>,</w:t>
      </w:r>
      <w:r w:rsidRPr="004720D1">
        <w:rPr>
          <w:rFonts w:cs="Arial"/>
          <w:rtl/>
        </w:rPr>
        <w:t xml:space="preserve"> שהאשה יוצאה לרצונה ושלא לרצונה (שם)</w:t>
      </w:r>
      <w:r w:rsidR="00DE0034">
        <w:rPr>
          <w:rFonts w:cs="Arial" w:hint="cs"/>
          <w:rtl/>
        </w:rPr>
        <w:t>.</w:t>
      </w:r>
      <w:r w:rsidRPr="004720D1">
        <w:rPr>
          <w:rFonts w:cs="Arial"/>
          <w:rtl/>
        </w:rPr>
        <w:t xml:space="preserve"> ובכך עלו דברי הרמב"ם ז"ל כהוגן עכ"ל</w:t>
      </w:r>
      <w:r>
        <w:rPr>
          <w:rFonts w:cs="Arial" w:hint="cs"/>
          <w:rtl/>
        </w:rPr>
        <w:t xml:space="preserve">, </w:t>
      </w:r>
      <w:r w:rsidRPr="00DE0034">
        <w:rPr>
          <w:rFonts w:cs="Arial" w:hint="cs"/>
          <w:b/>
          <w:bCs/>
          <w:rtl/>
        </w:rPr>
        <w:t>ב"י</w:t>
      </w:r>
      <w:r>
        <w:rPr>
          <w:rFonts w:cs="Arial" w:hint="cs"/>
          <w:rtl/>
        </w:rPr>
        <w:t>.</w:t>
      </w:r>
      <w:r w:rsidR="00DE0034">
        <w:rPr>
          <w:rFonts w:cs="Arial" w:hint="cs"/>
          <w:rtl/>
        </w:rPr>
        <w:t xml:space="preserve">    </w:t>
      </w:r>
      <w:r w:rsidRPr="00474B1B">
        <w:rPr>
          <w:rFonts w:cs="Arial"/>
          <w:rtl/>
        </w:rPr>
        <w:t xml:space="preserve"> ועיין שם בדברי הר"ן שהאריך בזה ריש המדיר</w:t>
      </w:r>
      <w:r w:rsidR="00DE0034">
        <w:rPr>
          <w:rFonts w:cs="Arial" w:hint="cs"/>
          <w:rtl/>
        </w:rPr>
        <w:t>,</w:t>
      </w:r>
      <w:r w:rsidRPr="00474B1B">
        <w:rPr>
          <w:rFonts w:cs="Arial"/>
          <w:rtl/>
        </w:rPr>
        <w:t xml:space="preserve"> ומשמע שם (לא: ד"ה גמ') דדוקא מדיר אבל הקדיש נכסיו אין אשתו נזונת</w:t>
      </w:r>
      <w:r>
        <w:rPr>
          <w:rFonts w:cs="Arial" w:hint="cs"/>
          <w:rtl/>
        </w:rPr>
        <w:t xml:space="preserve">, </w:t>
      </w:r>
      <w:r w:rsidRPr="00DE0034">
        <w:rPr>
          <w:rFonts w:cs="Arial" w:hint="cs"/>
          <w:b/>
          <w:bCs/>
          <w:rtl/>
        </w:rPr>
        <w:t>דרכ"מ</w:t>
      </w:r>
      <w:r>
        <w:rPr>
          <w:rFonts w:cs="Arial" w:hint="cs"/>
          <w:rtl/>
        </w:rPr>
        <w:t xml:space="preserve"> (אות ב).</w:t>
      </w:r>
    </w:p>
  </w:footnote>
  <w:footnote w:id="350">
    <w:p w14:paraId="1A670623" w14:textId="540A412A" w:rsidR="00DE2F5F" w:rsidRDefault="00DE2F5F">
      <w:pPr>
        <w:pStyle w:val="a5"/>
        <w:rPr>
          <w:rtl/>
        </w:rPr>
      </w:pPr>
      <w:r>
        <w:rPr>
          <w:rStyle w:val="a7"/>
        </w:rPr>
        <w:footnoteRef/>
      </w:r>
      <w:r>
        <w:rPr>
          <w:rtl/>
        </w:rPr>
        <w:t xml:space="preserve"> </w:t>
      </w:r>
      <w:r w:rsidRPr="00D213E4">
        <w:rPr>
          <w:rFonts w:cs="Arial"/>
          <w:rtl/>
        </w:rPr>
        <w:t>כדאשכחן בהחולץ (יבמות לט.) דתנן לא רצו חוזרין אצל גדול ומפרש בגמרא חוזרין אצל גדול למיכפייה הואיל ועליה מצוה רמיא</w:t>
      </w:r>
      <w:r w:rsidR="00FE63E4">
        <w:rPr>
          <w:rFonts w:cs="Arial" w:hint="cs"/>
          <w:rtl/>
        </w:rPr>
        <w:t>.</w:t>
      </w:r>
      <w:r w:rsidRPr="00D213E4">
        <w:rPr>
          <w:rFonts w:cs="Arial"/>
          <w:rtl/>
        </w:rPr>
        <w:t xml:space="preserve"> ועוד אמרי' לקמן (עז.) אמר רב האומר איני זן ואיני מפרנס יוציא ויתן כתובה</w:t>
      </w:r>
      <w:r w:rsidR="00FE63E4">
        <w:rPr>
          <w:rFonts w:cs="Arial" w:hint="cs"/>
          <w:rtl/>
        </w:rPr>
        <w:t>,</w:t>
      </w:r>
      <w:r w:rsidRPr="00D213E4">
        <w:rPr>
          <w:rFonts w:cs="Arial"/>
          <w:rtl/>
        </w:rPr>
        <w:t xml:space="preserve"> ומסיק עד שכופין אותו להוציא יכפוהו לזון</w:t>
      </w:r>
      <w:r w:rsidR="00FE63E4">
        <w:rPr>
          <w:rFonts w:cs="Arial" w:hint="cs"/>
          <w:rtl/>
        </w:rPr>
        <w:t>,</w:t>
      </w:r>
      <w:r w:rsidRPr="00D213E4">
        <w:rPr>
          <w:rFonts w:cs="Arial"/>
          <w:rtl/>
        </w:rPr>
        <w:t xml:space="preserve"> משמע דלשון יוציא שכופין אותו להוציא</w:t>
      </w:r>
      <w:r>
        <w:rPr>
          <w:rFonts w:hint="cs"/>
          <w:rtl/>
        </w:rPr>
        <w:t>, ר"י (שם).</w:t>
      </w:r>
    </w:p>
  </w:footnote>
  <w:footnote w:id="351">
    <w:p w14:paraId="2671EFD9" w14:textId="0D7F00EF" w:rsidR="00DE2F5F" w:rsidRDefault="00DE2F5F" w:rsidP="00F000DB">
      <w:pPr>
        <w:pStyle w:val="a5"/>
      </w:pPr>
      <w:r>
        <w:rPr>
          <w:rStyle w:val="a7"/>
        </w:rPr>
        <w:footnoteRef/>
      </w:r>
      <w:r>
        <w:rPr>
          <w:rtl/>
        </w:rPr>
        <w:t xml:space="preserve"> </w:t>
      </w:r>
      <w:r w:rsidRPr="00B53B7A">
        <w:rPr>
          <w:rFonts w:hint="cs"/>
          <w:b/>
          <w:bCs/>
          <w:rtl/>
        </w:rPr>
        <w:t>ירושלמי</w:t>
      </w:r>
      <w:r w:rsidR="00B53B7A" w:rsidRPr="00B53B7A">
        <w:rPr>
          <w:rFonts w:hint="cs"/>
          <w:b/>
          <w:bCs/>
          <w:rtl/>
        </w:rPr>
        <w:t xml:space="preserve"> </w:t>
      </w:r>
      <w:r w:rsidR="00B53B7A" w:rsidRPr="00B53B7A">
        <w:rPr>
          <w:rFonts w:cs="Arial" w:hint="cs"/>
          <w:b/>
          <w:bCs/>
          <w:rtl/>
        </w:rPr>
        <w:t>כתובות פי"א ה"ז</w:t>
      </w:r>
      <w:r w:rsidR="00FE63E4" w:rsidRPr="00B53B7A">
        <w:rPr>
          <w:rFonts w:hint="cs"/>
          <w:b/>
          <w:bCs/>
          <w:rtl/>
        </w:rPr>
        <w:t>:</w:t>
      </w:r>
      <w:r>
        <w:rPr>
          <w:rFonts w:hint="cs"/>
          <w:rtl/>
        </w:rPr>
        <w:t xml:space="preserve"> </w:t>
      </w:r>
      <w:r w:rsidRPr="00F000DB">
        <w:rPr>
          <w:rFonts w:cs="Arial"/>
          <w:rtl/>
        </w:rPr>
        <w:t>תמן תנינן</w:t>
      </w:r>
      <w:r w:rsidR="00FE63E4">
        <w:rPr>
          <w:rFonts w:cs="Arial" w:hint="cs"/>
          <w:rtl/>
        </w:rPr>
        <w:t>:</w:t>
      </w:r>
      <w:r w:rsidRPr="00F000DB">
        <w:rPr>
          <w:rFonts w:cs="Arial"/>
          <w:rtl/>
        </w:rPr>
        <w:t xml:space="preserve"> גט המעושה בישראל כשר</w:t>
      </w:r>
      <w:r w:rsidR="00FE63E4">
        <w:rPr>
          <w:rFonts w:cs="Arial" w:hint="cs"/>
          <w:rtl/>
        </w:rPr>
        <w:t>,</w:t>
      </w:r>
      <w:r w:rsidRPr="00F000DB">
        <w:rPr>
          <w:rFonts w:cs="Arial"/>
          <w:rtl/>
        </w:rPr>
        <w:t xml:space="preserve"> ובגויים פסול</w:t>
      </w:r>
      <w:r w:rsidR="00FE63E4">
        <w:rPr>
          <w:rFonts w:cs="Arial" w:hint="cs"/>
          <w:rtl/>
        </w:rPr>
        <w:t>.</w:t>
      </w:r>
      <w:r w:rsidRPr="00F000DB">
        <w:rPr>
          <w:rFonts w:cs="Arial"/>
          <w:rtl/>
        </w:rPr>
        <w:t xml:space="preserve"> שמואל אמר</w:t>
      </w:r>
      <w:r w:rsidR="00FE63E4">
        <w:rPr>
          <w:rFonts w:cs="Arial" w:hint="cs"/>
          <w:rtl/>
        </w:rPr>
        <w:t>:</w:t>
      </w:r>
      <w:r w:rsidRPr="00F000DB">
        <w:rPr>
          <w:rFonts w:cs="Arial"/>
          <w:rtl/>
        </w:rPr>
        <w:t xml:space="preserve"> פסול ופוסל בכהונה</w:t>
      </w:r>
      <w:r w:rsidR="00FE63E4">
        <w:rPr>
          <w:rFonts w:cs="Arial" w:hint="cs"/>
          <w:rtl/>
        </w:rPr>
        <w:t>.</w:t>
      </w:r>
      <w:r w:rsidRPr="00F000DB">
        <w:rPr>
          <w:rFonts w:cs="Arial"/>
          <w:rtl/>
        </w:rPr>
        <w:t xml:space="preserve"> שמואל אמר</w:t>
      </w:r>
      <w:r w:rsidR="00FE63E4">
        <w:rPr>
          <w:rFonts w:cs="Arial" w:hint="cs"/>
          <w:rtl/>
        </w:rPr>
        <w:t>:</w:t>
      </w:r>
      <w:r w:rsidRPr="00F000DB">
        <w:rPr>
          <w:rFonts w:cs="Arial"/>
          <w:rtl/>
        </w:rPr>
        <w:t xml:space="preserve"> אין מעשין אלא כגון אלמנה לכהן גדול</w:t>
      </w:r>
      <w:r w:rsidR="00FE63E4">
        <w:rPr>
          <w:rFonts w:cs="Arial" w:hint="cs"/>
          <w:rtl/>
        </w:rPr>
        <w:t>,</w:t>
      </w:r>
      <w:r w:rsidRPr="00F000DB">
        <w:rPr>
          <w:rFonts w:cs="Arial"/>
          <w:rtl/>
        </w:rPr>
        <w:t xml:space="preserve"> גרושה וחלוצה לכהן הדיוט</w:t>
      </w:r>
      <w:r w:rsidR="00FE63E4">
        <w:rPr>
          <w:rFonts w:cs="Arial" w:hint="cs"/>
          <w:rtl/>
        </w:rPr>
        <w:t>.</w:t>
      </w:r>
      <w:r w:rsidRPr="00F000DB">
        <w:rPr>
          <w:rFonts w:cs="Arial"/>
          <w:rtl/>
        </w:rPr>
        <w:t xml:space="preserve"> והא תנינן שניות</w:t>
      </w:r>
      <w:r w:rsidR="009B1034">
        <w:rPr>
          <w:rFonts w:cs="Arial" w:hint="cs"/>
          <w:rtl/>
        </w:rPr>
        <w:t>,</w:t>
      </w:r>
      <w:r w:rsidRPr="00F000DB">
        <w:rPr>
          <w:rFonts w:cs="Arial"/>
          <w:rtl/>
        </w:rPr>
        <w:t xml:space="preserve"> לא בגין דא אמר שמואל</w:t>
      </w:r>
      <w:r w:rsidR="009B1034">
        <w:rPr>
          <w:rFonts w:cs="Arial" w:hint="cs"/>
          <w:rtl/>
        </w:rPr>
        <w:t>?</w:t>
      </w:r>
      <w:r w:rsidRPr="00F000DB">
        <w:rPr>
          <w:rFonts w:cs="Arial"/>
          <w:rtl/>
        </w:rPr>
        <w:t xml:space="preserve"> והא תנינן המדיר את אשתו מליהנות לו עד שלשים יום יעמיד פרנס יותר מיכן יוציא ויתן כתובה</w:t>
      </w:r>
      <w:r w:rsidR="009B1034">
        <w:rPr>
          <w:rFonts w:cs="Arial" w:hint="cs"/>
          <w:rtl/>
        </w:rPr>
        <w:t>!</w:t>
      </w:r>
      <w:r w:rsidRPr="00F000DB">
        <w:rPr>
          <w:rFonts w:cs="Arial"/>
          <w:rtl/>
        </w:rPr>
        <w:t xml:space="preserve"> שמענו שהוא מוציא שמענו שכופין</w:t>
      </w:r>
      <w:r>
        <w:rPr>
          <w:rFonts w:cs="Arial" w:hint="cs"/>
          <w:rtl/>
        </w:rPr>
        <w:t>.</w:t>
      </w:r>
    </w:p>
  </w:footnote>
  <w:footnote w:id="352">
    <w:p w14:paraId="489B2770" w14:textId="557EE821" w:rsidR="00DE2F5F" w:rsidRDefault="00DE2F5F">
      <w:pPr>
        <w:pStyle w:val="a5"/>
        <w:rPr>
          <w:rtl/>
        </w:rPr>
      </w:pPr>
      <w:r>
        <w:rPr>
          <w:rStyle w:val="a7"/>
        </w:rPr>
        <w:footnoteRef/>
      </w:r>
      <w:r>
        <w:rPr>
          <w:rtl/>
        </w:rPr>
        <w:t xml:space="preserve"> </w:t>
      </w:r>
      <w:r>
        <w:rPr>
          <w:rFonts w:cs="Arial"/>
          <w:rtl/>
        </w:rPr>
        <w:t>ובסימן קנ"ד (עה.) כתב רבינו דברים אלו בארוכה ושם אכתוב דעות הפוסקים בדין זה</w:t>
      </w:r>
      <w:r>
        <w:rPr>
          <w:rFonts w:cs="Arial" w:hint="cs"/>
          <w:rtl/>
        </w:rPr>
        <w:t>, ב"י</w:t>
      </w:r>
      <w:r>
        <w:rPr>
          <w:rFonts w:cs="Arial"/>
          <w:rtl/>
        </w:rPr>
        <w:t>.</w:t>
      </w:r>
    </w:p>
  </w:footnote>
  <w:footnote w:id="353">
    <w:p w14:paraId="761005FC" w14:textId="412A58E0" w:rsidR="00DE2F5F" w:rsidRDefault="00DE2F5F">
      <w:pPr>
        <w:pStyle w:val="a5"/>
      </w:pPr>
      <w:r>
        <w:rPr>
          <w:rStyle w:val="a7"/>
        </w:rPr>
        <w:footnoteRef/>
      </w:r>
      <w:r>
        <w:rPr>
          <w:rtl/>
        </w:rPr>
        <w:t xml:space="preserve"> </w:t>
      </w:r>
      <w:r w:rsidRPr="007E6D8B">
        <w:rPr>
          <w:rFonts w:cs="Arial"/>
          <w:rtl/>
        </w:rPr>
        <w:t>באשה עניה אם לא נתן קצבה לדבר עד מתי אסרו עליה הוא דיוציא ויתן כתובה</w:t>
      </w:r>
      <w:r w:rsidR="009B1963">
        <w:rPr>
          <w:rFonts w:cs="Arial" w:hint="cs"/>
          <w:rtl/>
        </w:rPr>
        <w:t>,</w:t>
      </w:r>
      <w:r w:rsidRPr="007E6D8B">
        <w:rPr>
          <w:rFonts w:cs="Arial"/>
          <w:rtl/>
        </w:rPr>
        <w:t xml:space="preserve"> אבל אם נתן קצבה תמתין עד אותו זמן</w:t>
      </w:r>
      <w:r w:rsidR="009B1963">
        <w:rPr>
          <w:rFonts w:cs="Arial" w:hint="cs"/>
          <w:rtl/>
        </w:rPr>
        <w:t>.</w:t>
      </w:r>
      <w:r w:rsidRPr="007E6D8B">
        <w:rPr>
          <w:rFonts w:cs="Arial"/>
          <w:rtl/>
        </w:rPr>
        <w:t xml:space="preserve"> ובגמרא מפרש עד כמה היא קצבתה</w:t>
      </w:r>
      <w:r>
        <w:rPr>
          <w:rFonts w:cs="Arial" w:hint="cs"/>
          <w:rtl/>
        </w:rPr>
        <w:t>, רש"י.</w:t>
      </w:r>
    </w:p>
  </w:footnote>
  <w:footnote w:id="354">
    <w:p w14:paraId="01F67855" w14:textId="4F22996A" w:rsidR="00DE2F5F" w:rsidRDefault="00DE2F5F">
      <w:pPr>
        <w:pStyle w:val="a5"/>
      </w:pPr>
      <w:r>
        <w:rPr>
          <w:rStyle w:val="a7"/>
        </w:rPr>
        <w:footnoteRef/>
      </w:r>
      <w:r>
        <w:rPr>
          <w:rtl/>
        </w:rPr>
        <w:t xml:space="preserve"> </w:t>
      </w:r>
      <w:r>
        <w:rPr>
          <w:rFonts w:hint="cs"/>
          <w:rtl/>
        </w:rPr>
        <w:t>לאלתר, רש"י.</w:t>
      </w:r>
    </w:p>
  </w:footnote>
  <w:footnote w:id="355">
    <w:p w14:paraId="5C0BF265" w14:textId="11E6CA1E" w:rsidR="00DE2F5F" w:rsidRDefault="00DE2F5F">
      <w:pPr>
        <w:pStyle w:val="a5"/>
      </w:pPr>
      <w:r>
        <w:rPr>
          <w:rStyle w:val="a7"/>
        </w:rPr>
        <w:footnoteRef/>
      </w:r>
      <w:r>
        <w:rPr>
          <w:rtl/>
        </w:rPr>
        <w:t xml:space="preserve"> </w:t>
      </w:r>
      <w:r w:rsidRPr="00B83A11">
        <w:rPr>
          <w:rFonts w:cs="Arial"/>
          <w:rtl/>
        </w:rPr>
        <w:t>ומה יש לו עוד להמתין</w:t>
      </w:r>
      <w:r>
        <w:rPr>
          <w:rFonts w:cs="Arial" w:hint="cs"/>
          <w:rtl/>
        </w:rPr>
        <w:t>,</w:t>
      </w:r>
      <w:r w:rsidRPr="00B83A11">
        <w:rPr>
          <w:rFonts w:cs="Arial"/>
          <w:rtl/>
        </w:rPr>
        <w:t xml:space="preserve"> אי ניחא לה לדידה למישקל כתובתה ומיפק לא תבקש פתח לנדרה</w:t>
      </w:r>
      <w:r>
        <w:rPr>
          <w:rFonts w:cs="Arial" w:hint="cs"/>
          <w:rtl/>
        </w:rPr>
        <w:t>,</w:t>
      </w:r>
      <w:r w:rsidRPr="00B83A11">
        <w:rPr>
          <w:rFonts w:cs="Arial"/>
          <w:rtl/>
        </w:rPr>
        <w:t xml:space="preserve"> אבל היכא דאדרה איהו כגון מליהנות לו ימתין שמא ימצא פתח לנדרו</w:t>
      </w:r>
      <w:r>
        <w:rPr>
          <w:rFonts w:cs="Arial" w:hint="cs"/>
          <w:rtl/>
        </w:rPr>
        <w:t xml:space="preserve">, </w:t>
      </w:r>
      <w:r w:rsidRPr="001A2DD1">
        <w:rPr>
          <w:rFonts w:cs="Arial" w:hint="cs"/>
          <w:b/>
          <w:bCs/>
          <w:rtl/>
        </w:rPr>
        <w:t>רש"י</w:t>
      </w:r>
      <w:r>
        <w:rPr>
          <w:rFonts w:cs="Arial" w:hint="cs"/>
          <w:rtl/>
        </w:rPr>
        <w:t>.</w:t>
      </w:r>
      <w:r w:rsidR="001A2DD1">
        <w:rPr>
          <w:rFonts w:cs="Arial" w:hint="cs"/>
          <w:rtl/>
        </w:rPr>
        <w:t xml:space="preserve">     </w:t>
      </w:r>
      <w:r w:rsidRPr="003B770D">
        <w:rPr>
          <w:rFonts w:cs="Arial"/>
          <w:rtl/>
        </w:rPr>
        <w:t xml:space="preserve"> </w:t>
      </w:r>
      <w:r>
        <w:rPr>
          <w:rFonts w:cs="Arial"/>
          <w:rtl/>
        </w:rPr>
        <w:t>ו</w:t>
      </w:r>
      <w:r>
        <w:rPr>
          <w:rFonts w:cs="Arial" w:hint="cs"/>
          <w:rtl/>
        </w:rPr>
        <w:t xml:space="preserve">כתבו </w:t>
      </w:r>
      <w:r>
        <w:rPr>
          <w:rFonts w:cs="Arial"/>
          <w:rtl/>
        </w:rPr>
        <w:t>התוספות (ד"ה שנדרה) דמיירי בנדרה מן הפירות כל זמן שהיא תחתיו ואם נדרה לעולם מה תרויח במה שיוציא ואף על גב דבנדר של תשמיש ממתנת</w:t>
      </w:r>
      <w:r>
        <w:rPr>
          <w:rFonts w:cs="Arial" w:hint="cs"/>
          <w:rtl/>
        </w:rPr>
        <w:t>,</w:t>
      </w:r>
      <w:r>
        <w:rPr>
          <w:rFonts w:cs="Arial"/>
          <w:rtl/>
        </w:rPr>
        <w:t xml:space="preserve"> בנדר של פירות אינה יכולה לסבול אפילו יום אחד</w:t>
      </w:r>
      <w:r>
        <w:rPr>
          <w:rFonts w:cs="Arial" w:hint="cs"/>
          <w:rtl/>
        </w:rPr>
        <w:t xml:space="preserve">, ע"כ, </w:t>
      </w:r>
      <w:r w:rsidRPr="001A2DD1">
        <w:rPr>
          <w:rFonts w:cs="Arial" w:hint="cs"/>
          <w:b/>
          <w:bCs/>
          <w:rtl/>
        </w:rPr>
        <w:t>ב"י</w:t>
      </w:r>
      <w:r>
        <w:rPr>
          <w:rFonts w:cs="Arial" w:hint="cs"/>
          <w:rtl/>
        </w:rPr>
        <w:t>.</w:t>
      </w:r>
    </w:p>
  </w:footnote>
  <w:footnote w:id="356">
    <w:p w14:paraId="0B4AA9E1" w14:textId="295DBEF9" w:rsidR="00DE2F5F" w:rsidRDefault="00DE2F5F">
      <w:pPr>
        <w:pStyle w:val="a5"/>
        <w:rPr>
          <w:rtl/>
        </w:rPr>
      </w:pPr>
      <w:r>
        <w:rPr>
          <w:rStyle w:val="a7"/>
        </w:rPr>
        <w:footnoteRef/>
      </w:r>
      <w:r>
        <w:rPr>
          <w:rtl/>
        </w:rPr>
        <w:t xml:space="preserve"> </w:t>
      </w:r>
      <w:r w:rsidRPr="00B83A11">
        <w:rPr>
          <w:rFonts w:cs="Arial"/>
          <w:rtl/>
        </w:rPr>
        <w:t>שקיים נתן אצבע בין שיניה והשיכה לפיכך יתן כתובה</w:t>
      </w:r>
      <w:r>
        <w:rPr>
          <w:rFonts w:cs="Arial" w:hint="cs"/>
          <w:rtl/>
        </w:rPr>
        <w:t>...</w:t>
      </w:r>
      <w:r>
        <w:rPr>
          <w:rFonts w:hint="cs"/>
          <w:rtl/>
        </w:rPr>
        <w:t>, רש"י.</w:t>
      </w:r>
    </w:p>
  </w:footnote>
  <w:footnote w:id="357">
    <w:p w14:paraId="2ABA3A28" w14:textId="5A5FC12C" w:rsidR="00DE2F5F" w:rsidRDefault="00DE2F5F">
      <w:pPr>
        <w:pStyle w:val="a5"/>
      </w:pPr>
      <w:r>
        <w:rPr>
          <w:rStyle w:val="a7"/>
        </w:rPr>
        <w:footnoteRef/>
      </w:r>
      <w:r>
        <w:rPr>
          <w:rtl/>
        </w:rPr>
        <w:t xml:space="preserve"> </w:t>
      </w:r>
      <w:r w:rsidRPr="00560D36">
        <w:rPr>
          <w:rFonts w:cs="Arial"/>
          <w:rtl/>
        </w:rPr>
        <w:t>יוציא ויתן כתובה אלמא הוא נותן דהא בנדרה היא וקיים הוא אוקימתא למתניתין</w:t>
      </w:r>
      <w:r>
        <w:rPr>
          <w:rFonts w:cs="Arial" w:hint="cs"/>
          <w:rtl/>
        </w:rPr>
        <w:t>, רש"י.</w:t>
      </w:r>
    </w:p>
  </w:footnote>
  <w:footnote w:id="358">
    <w:p w14:paraId="03400A77" w14:textId="07E5A808" w:rsidR="00DE2F5F" w:rsidRDefault="00DE2F5F">
      <w:pPr>
        <w:pStyle w:val="a5"/>
      </w:pPr>
      <w:r>
        <w:rPr>
          <w:rStyle w:val="a7"/>
        </w:rPr>
        <w:footnoteRef/>
      </w:r>
      <w:r>
        <w:rPr>
          <w:rtl/>
        </w:rPr>
        <w:t xml:space="preserve"> </w:t>
      </w:r>
      <w:r w:rsidRPr="00560D36">
        <w:rPr>
          <w:rFonts w:cs="Arial"/>
          <w:rtl/>
        </w:rPr>
        <w:t>נדרי קישוט מדקניס ליה כתובה על שקיימו</w:t>
      </w:r>
      <w:r>
        <w:rPr>
          <w:rFonts w:cs="Arial" w:hint="cs"/>
          <w:rtl/>
        </w:rPr>
        <w:t>, רש"י.</w:t>
      </w:r>
    </w:p>
  </w:footnote>
  <w:footnote w:id="359">
    <w:p w14:paraId="58A31DAB" w14:textId="6836C0AB" w:rsidR="00DE2F5F" w:rsidRDefault="00DE2F5F">
      <w:pPr>
        <w:pStyle w:val="a5"/>
        <w:rPr>
          <w:rtl/>
        </w:rPr>
      </w:pPr>
      <w:r>
        <w:rPr>
          <w:rStyle w:val="a7"/>
        </w:rPr>
        <w:footnoteRef/>
      </w:r>
      <w:r>
        <w:rPr>
          <w:rtl/>
        </w:rPr>
        <w:t xml:space="preserve"> </w:t>
      </w:r>
      <w:r>
        <w:rPr>
          <w:rFonts w:cs="Arial"/>
          <w:rtl/>
        </w:rPr>
        <w:t>כלומר וכיון שאינה סבורה שיתפייס עוד לא תקנו חכמים שתמתין הואיל וקשה לה</w:t>
      </w:r>
      <w:r>
        <w:rPr>
          <w:rFonts w:cs="Arial" w:hint="cs"/>
          <w:rtl/>
        </w:rPr>
        <w:t>, ב"י</w:t>
      </w:r>
      <w:r>
        <w:rPr>
          <w:rFonts w:cs="Arial"/>
          <w:rtl/>
        </w:rPr>
        <w:t>.</w:t>
      </w:r>
    </w:p>
  </w:footnote>
  <w:footnote w:id="360">
    <w:p w14:paraId="162DA12E" w14:textId="6179CEC1" w:rsidR="00DE2F5F" w:rsidRDefault="00DE2F5F">
      <w:pPr>
        <w:pStyle w:val="a5"/>
      </w:pPr>
      <w:r>
        <w:rPr>
          <w:rStyle w:val="a7"/>
        </w:rPr>
        <w:footnoteRef/>
      </w:r>
      <w:r>
        <w:rPr>
          <w:rtl/>
        </w:rPr>
        <w:t xml:space="preserve"> </w:t>
      </w:r>
      <w:r>
        <w:rPr>
          <w:rFonts w:cs="Arial"/>
          <w:rtl/>
        </w:rPr>
        <w:t>דע שכל מקום שתראה המדיר את אשתו מכך וכך ר"ל שהוא אוסר הנאתו עליה אם תעשה כך</w:t>
      </w:r>
      <w:r>
        <w:rPr>
          <w:rFonts w:cs="Arial" w:hint="cs"/>
          <w:rtl/>
        </w:rPr>
        <w:t>,</w:t>
      </w:r>
      <w:r>
        <w:rPr>
          <w:rFonts w:cs="Arial"/>
          <w:rtl/>
        </w:rPr>
        <w:t xml:space="preserve"> אבל האוסר על אשתו ואומר הריני אוסר עליך שלא תעשי כך </w:t>
      </w:r>
      <w:r>
        <w:rPr>
          <w:rFonts w:cs="Arial" w:hint="cs"/>
          <w:rtl/>
        </w:rPr>
        <w:t xml:space="preserve">- </w:t>
      </w:r>
      <w:r>
        <w:rPr>
          <w:rFonts w:cs="Arial"/>
          <w:rtl/>
        </w:rPr>
        <w:t>אין בדבריו כלום</w:t>
      </w:r>
      <w:r>
        <w:rPr>
          <w:rFonts w:cs="Arial" w:hint="cs"/>
          <w:rtl/>
        </w:rPr>
        <w:t>,</w:t>
      </w:r>
      <w:r>
        <w:rPr>
          <w:rFonts w:cs="Arial"/>
          <w:rtl/>
        </w:rPr>
        <w:t xml:space="preserve"> וזה פשוט</w:t>
      </w:r>
      <w:r>
        <w:rPr>
          <w:rFonts w:cs="Arial" w:hint="cs"/>
          <w:rtl/>
        </w:rPr>
        <w:t>, הה"מ (</w:t>
      </w:r>
      <w:r>
        <w:rPr>
          <w:rFonts w:cs="Arial"/>
          <w:rtl/>
        </w:rPr>
        <w:t>פי"ב שם</w:t>
      </w:r>
      <w:r>
        <w:rPr>
          <w:rFonts w:cs="Arial" w:hint="cs"/>
          <w:rtl/>
        </w:rPr>
        <w:t>, הביאו הב"י</w:t>
      </w:r>
      <w:r>
        <w:rPr>
          <w:rFonts w:cs="Arial"/>
          <w:rtl/>
        </w:rPr>
        <w:t>)</w:t>
      </w:r>
      <w:r>
        <w:rPr>
          <w:rFonts w:cs="Arial" w:hint="cs"/>
          <w:rtl/>
        </w:rPr>
        <w:t>.</w:t>
      </w:r>
    </w:p>
  </w:footnote>
  <w:footnote w:id="361">
    <w:p w14:paraId="2D9FA3D2" w14:textId="5DD64154" w:rsidR="00DE2F5F" w:rsidRDefault="00DE2F5F">
      <w:pPr>
        <w:pStyle w:val="a5"/>
      </w:pPr>
      <w:r>
        <w:rPr>
          <w:rStyle w:val="a7"/>
        </w:rPr>
        <w:footnoteRef/>
      </w:r>
      <w:r>
        <w:rPr>
          <w:rtl/>
        </w:rPr>
        <w:t xml:space="preserve"> </w:t>
      </w:r>
      <w:r>
        <w:rPr>
          <w:rFonts w:cs="Arial"/>
          <w:rtl/>
        </w:rPr>
        <w:t>כן כתב הרמב"ם בפי"ב מהלכות אישות (הכ"ד)</w:t>
      </w:r>
      <w:r>
        <w:rPr>
          <w:rFonts w:cs="Arial" w:hint="cs"/>
          <w:rtl/>
        </w:rPr>
        <w:t>.</w:t>
      </w:r>
      <w:r>
        <w:rPr>
          <w:rFonts w:cs="Arial"/>
          <w:rtl/>
        </w:rPr>
        <w:t xml:space="preserve"> וכתב ה</w:t>
      </w:r>
      <w:r>
        <w:rPr>
          <w:rFonts w:cs="Arial" w:hint="cs"/>
          <w:rtl/>
        </w:rPr>
        <w:t>ה"מ</w:t>
      </w:r>
      <w:r>
        <w:rPr>
          <w:rFonts w:cs="Arial"/>
          <w:rtl/>
        </w:rPr>
        <w:t xml:space="preserve"> דהכי איתא בתוספתא (כתובות פ"ז ה"ב) ובירושלמי וגם הרא"ש (סי' ב) כתב תוספתא זו</w:t>
      </w:r>
      <w:r>
        <w:rPr>
          <w:rFonts w:cs="Arial" w:hint="cs"/>
          <w:rtl/>
        </w:rPr>
        <w:t>, ב"י.</w:t>
      </w:r>
    </w:p>
  </w:footnote>
  <w:footnote w:id="362">
    <w:p w14:paraId="20EA28CD" w14:textId="77777777" w:rsidR="00DE2F5F" w:rsidRDefault="00DE2F5F" w:rsidP="00603384">
      <w:pPr>
        <w:pStyle w:val="a5"/>
      </w:pPr>
      <w:r>
        <w:rPr>
          <w:rStyle w:val="a7"/>
        </w:rPr>
        <w:footnoteRef/>
      </w:r>
      <w:r>
        <w:rPr>
          <w:rtl/>
        </w:rPr>
        <w:t xml:space="preserve"> </w:t>
      </w:r>
      <w:r w:rsidRPr="00474B1B">
        <w:rPr>
          <w:rFonts w:cs="Arial"/>
          <w:rtl/>
        </w:rPr>
        <w:t>ובהר"ן ריש המדיר (לב. ד"ה והאי) דהוא הדין בכל מקום שאמרו יוציא משום נדר</w:t>
      </w:r>
      <w:r>
        <w:rPr>
          <w:rFonts w:cs="Arial" w:hint="cs"/>
          <w:rtl/>
        </w:rPr>
        <w:t>, דרכ"מ (אות ג).</w:t>
      </w:r>
    </w:p>
  </w:footnote>
  <w:footnote w:id="363">
    <w:p w14:paraId="09369F77" w14:textId="0201C247" w:rsidR="00DE2F5F" w:rsidRDefault="00DE2F5F">
      <w:pPr>
        <w:pStyle w:val="a5"/>
        <w:rPr>
          <w:rtl/>
        </w:rPr>
      </w:pPr>
      <w:r>
        <w:rPr>
          <w:rStyle w:val="a7"/>
        </w:rPr>
        <w:footnoteRef/>
      </w:r>
      <w:r>
        <w:rPr>
          <w:rtl/>
        </w:rPr>
        <w:t xml:space="preserve"> </w:t>
      </w:r>
      <w:r w:rsidRPr="007E6D8B">
        <w:rPr>
          <w:rFonts w:cs="Arial"/>
          <w:rtl/>
        </w:rPr>
        <w:t xml:space="preserve">אלא שראיתי לרמב"ם ז"ל שכתב בפי"ב מהלכות אישות (הכ"ד) נדרה היא שלא תאכל אחד מכל הפירות וכו' אם רצה שתשב תחתיו ולא תאכל הפירות תשב ואם אמר איני רוצה באשה נדרנית יוציא ויתן כתובה שהרי היה בידו להפר והוא קיים לה ברצונו ע"כ ודקדק כן מדאמרינן גבי האשה שנדרה בנזיר </w:t>
      </w:r>
      <w:r w:rsidRPr="007E6D8B">
        <w:rPr>
          <w:rFonts w:cs="Arial" w:hint="cs"/>
          <w:rtl/>
        </w:rPr>
        <w:t>'</w:t>
      </w:r>
      <w:r w:rsidRPr="007E6D8B">
        <w:rPr>
          <w:rFonts w:cs="Arial"/>
          <w:rtl/>
        </w:rPr>
        <w:t>ואם אמר אי איפשי באשה נדרנית יוציא ויתן כתובה</w:t>
      </w:r>
      <w:r w:rsidRPr="007E6D8B">
        <w:rPr>
          <w:rFonts w:cs="Arial" w:hint="cs"/>
          <w:rtl/>
        </w:rPr>
        <w:t>'.</w:t>
      </w:r>
      <w:r w:rsidRPr="007E6D8B">
        <w:rPr>
          <w:rFonts w:cs="Arial"/>
          <w:rtl/>
        </w:rPr>
        <w:t xml:space="preserve"> וכבר כתבו דלאו דוקא</w:t>
      </w:r>
      <w:r w:rsidRPr="007E6D8B">
        <w:rPr>
          <w:rFonts w:cs="Arial" w:hint="cs"/>
          <w:rtl/>
        </w:rPr>
        <w:t>,</w:t>
      </w:r>
      <w:r w:rsidRPr="007E6D8B">
        <w:rPr>
          <w:rFonts w:cs="Arial"/>
          <w:rtl/>
        </w:rPr>
        <w:t xml:space="preserve"> אלא ה"ק</w:t>
      </w:r>
      <w:r w:rsidRPr="007E6D8B">
        <w:rPr>
          <w:rFonts w:cs="Arial" w:hint="cs"/>
          <w:rtl/>
        </w:rPr>
        <w:t>- '</w:t>
      </w:r>
      <w:r w:rsidRPr="007E6D8B">
        <w:rPr>
          <w:rFonts w:cs="Arial"/>
          <w:rtl/>
        </w:rPr>
        <w:t>ואם אמר הבעל אי איפשי באשה נדרנית ומשום הכי לא הפר יוציא ויתן כתובה</w:t>
      </w:r>
      <w:r w:rsidRPr="007E6D8B">
        <w:rPr>
          <w:rFonts w:cs="Arial" w:hint="cs"/>
          <w:rtl/>
        </w:rPr>
        <w:t>'</w:t>
      </w:r>
      <w:r>
        <w:rPr>
          <w:rFonts w:cs="Arial" w:hint="cs"/>
          <w:rtl/>
        </w:rPr>
        <w:t>, ר"ן (שם).</w:t>
      </w:r>
      <w:r w:rsidRPr="007E6D8B">
        <w:rPr>
          <w:rFonts w:cs="Arial"/>
          <w:rtl/>
        </w:rPr>
        <w:t xml:space="preserve"> ורבינו הביא דברי הרמב"ם בלא חולק</w:t>
      </w:r>
      <w:r>
        <w:rPr>
          <w:rFonts w:hint="cs"/>
          <w:rtl/>
        </w:rPr>
        <w:t>, ב"י.</w:t>
      </w:r>
    </w:p>
  </w:footnote>
  <w:footnote w:id="364">
    <w:p w14:paraId="767F231C" w14:textId="6687E781" w:rsidR="00DE2F5F" w:rsidRDefault="00DE2F5F">
      <w:pPr>
        <w:pStyle w:val="a5"/>
      </w:pPr>
      <w:r>
        <w:rPr>
          <w:rStyle w:val="a7"/>
        </w:rPr>
        <w:footnoteRef/>
      </w:r>
      <w:r>
        <w:rPr>
          <w:rtl/>
        </w:rPr>
        <w:t xml:space="preserve"> </w:t>
      </w:r>
      <w:r w:rsidRPr="009F349A">
        <w:rPr>
          <w:rFonts w:cs="Arial"/>
          <w:rtl/>
        </w:rPr>
        <w:t>הרי עור שטוח על מטה טוב מן המפץ ומשני באתרא דמלו פוריא בחבלי במקום שאין רגילין לעשות שטיח עור למטה אלא סירוגי חבלים</w:t>
      </w:r>
      <w:r>
        <w:rPr>
          <w:rFonts w:cs="Arial" w:hint="cs"/>
          <w:rtl/>
        </w:rPr>
        <w:t>, רש"י.</w:t>
      </w:r>
    </w:p>
  </w:footnote>
  <w:footnote w:id="365">
    <w:p w14:paraId="6E8C81CC" w14:textId="78310ECE" w:rsidR="00DE2F5F" w:rsidRDefault="00DE2F5F">
      <w:pPr>
        <w:pStyle w:val="a5"/>
      </w:pPr>
      <w:r>
        <w:rPr>
          <w:rStyle w:val="a7"/>
        </w:rPr>
        <w:footnoteRef/>
      </w:r>
      <w:r>
        <w:rPr>
          <w:rtl/>
        </w:rPr>
        <w:t xml:space="preserve"> </w:t>
      </w:r>
      <w:r w:rsidRPr="009F349A">
        <w:rPr>
          <w:rFonts w:cs="Arial"/>
          <w:rtl/>
        </w:rPr>
        <w:t>מצערי לה ומזקינין אותה לשון בוגרת</w:t>
      </w:r>
      <w:r>
        <w:rPr>
          <w:rFonts w:cs="Arial" w:hint="cs"/>
          <w:rtl/>
        </w:rPr>
        <w:t>, רש"י.</w:t>
      </w:r>
    </w:p>
  </w:footnote>
  <w:footnote w:id="366">
    <w:p w14:paraId="3BEC3864" w14:textId="248489E0" w:rsidR="00DE2F5F" w:rsidRDefault="00DE2F5F">
      <w:pPr>
        <w:pStyle w:val="a5"/>
      </w:pPr>
      <w:r>
        <w:rPr>
          <w:rStyle w:val="a7"/>
        </w:rPr>
        <w:footnoteRef/>
      </w:r>
      <w:r>
        <w:rPr>
          <w:rtl/>
        </w:rPr>
        <w:t xml:space="preserve"> </w:t>
      </w:r>
      <w:r w:rsidRPr="009F349A">
        <w:rPr>
          <w:rFonts w:cs="Arial"/>
          <w:rtl/>
        </w:rPr>
        <w:t>מופשט וערום שאין לו חליפות בגדים אלא משנה לשנה</w:t>
      </w:r>
      <w:r>
        <w:rPr>
          <w:rFonts w:cs="Arial" w:hint="cs"/>
          <w:rtl/>
        </w:rPr>
        <w:t>.</w:t>
      </w:r>
      <w:r w:rsidRPr="009F349A">
        <w:rPr>
          <w:rFonts w:cs="Arial"/>
          <w:rtl/>
        </w:rPr>
        <w:t xml:space="preserve"> ומנעלים קאמר ממועד למועד</w:t>
      </w:r>
      <w:r>
        <w:rPr>
          <w:rFonts w:cs="Arial" w:hint="cs"/>
          <w:rtl/>
        </w:rPr>
        <w:t>,</w:t>
      </w:r>
      <w:r w:rsidRPr="009F349A">
        <w:rPr>
          <w:rFonts w:cs="Arial"/>
          <w:rtl/>
        </w:rPr>
        <w:t xml:space="preserve"> ושאר בגדים לא תחליף במועד</w:t>
      </w:r>
      <w:r>
        <w:rPr>
          <w:rFonts w:cs="Arial" w:hint="cs"/>
          <w:rtl/>
        </w:rPr>
        <w:t>.</w:t>
      </w:r>
      <w:r w:rsidRPr="009F349A">
        <w:rPr>
          <w:rFonts w:cs="Arial"/>
          <w:rtl/>
        </w:rPr>
        <w:t xml:space="preserve"> והפשיט מתרגמינן וישלח (ויקרא א)</w:t>
      </w:r>
      <w:r>
        <w:rPr>
          <w:rFonts w:cs="Arial" w:hint="cs"/>
          <w:rtl/>
        </w:rPr>
        <w:t>, רש"י</w:t>
      </w:r>
      <w:r w:rsidRPr="009F349A">
        <w:rPr>
          <w:rFonts w:cs="Arial"/>
          <w:rtl/>
        </w:rPr>
        <w:t>.</w:t>
      </w:r>
    </w:p>
  </w:footnote>
  <w:footnote w:id="367">
    <w:p w14:paraId="3E9E2B2C" w14:textId="77777777" w:rsidR="00DE2F5F" w:rsidRDefault="00DE2F5F" w:rsidP="00C479CF">
      <w:pPr>
        <w:pStyle w:val="a5"/>
      </w:pPr>
      <w:r>
        <w:rPr>
          <w:rStyle w:val="a7"/>
        </w:rPr>
        <w:footnoteRef/>
      </w:r>
      <w:r>
        <w:rPr>
          <w:rtl/>
        </w:rPr>
        <w:t xml:space="preserve"> </w:t>
      </w:r>
      <w:r>
        <w:rPr>
          <w:rFonts w:cs="Arial" w:hint="cs"/>
          <w:rtl/>
        </w:rPr>
        <w:t>וכעין זה איתא ב</w:t>
      </w:r>
      <w:r w:rsidRPr="005A0C38">
        <w:rPr>
          <w:rFonts w:cs="Arial"/>
          <w:rtl/>
        </w:rPr>
        <w:t xml:space="preserve">ירושלמי </w:t>
      </w:r>
      <w:r>
        <w:rPr>
          <w:rFonts w:cs="Arial" w:hint="cs"/>
          <w:rtl/>
        </w:rPr>
        <w:t xml:space="preserve">כתובות </w:t>
      </w:r>
      <w:r w:rsidRPr="005A0C38">
        <w:rPr>
          <w:rFonts w:cs="Arial"/>
          <w:rtl/>
        </w:rPr>
        <w:t>פ"ה ה"י</w:t>
      </w:r>
      <w:r>
        <w:rPr>
          <w:rFonts w:hint="cs"/>
          <w:rtl/>
        </w:rPr>
        <w:t>.</w:t>
      </w:r>
    </w:p>
  </w:footnote>
  <w:footnote w:id="368">
    <w:p w14:paraId="334E4E14" w14:textId="42B5B560" w:rsidR="00DE2F5F" w:rsidRDefault="00DE2F5F">
      <w:pPr>
        <w:pStyle w:val="a5"/>
      </w:pPr>
      <w:r>
        <w:rPr>
          <w:rStyle w:val="a7"/>
        </w:rPr>
        <w:footnoteRef/>
      </w:r>
      <w:r>
        <w:rPr>
          <w:rtl/>
        </w:rPr>
        <w:t xml:space="preserve"> </w:t>
      </w:r>
      <w:r w:rsidRPr="005A0C38">
        <w:rPr>
          <w:rFonts w:cs="Arial"/>
          <w:rtl/>
        </w:rPr>
        <w:t>מדבר באשת עני</w:t>
      </w:r>
      <w:r>
        <w:rPr>
          <w:rFonts w:cs="Arial" w:hint="cs"/>
          <w:rtl/>
        </w:rPr>
        <w:t>, הה"מ (שם).</w:t>
      </w:r>
    </w:p>
  </w:footnote>
  <w:footnote w:id="369">
    <w:p w14:paraId="1D96958D" w14:textId="7D1B7853" w:rsidR="00DE2F5F" w:rsidRDefault="00DE2F5F" w:rsidP="00794F86">
      <w:pPr>
        <w:pStyle w:val="a5"/>
      </w:pPr>
      <w:r>
        <w:rPr>
          <w:rStyle w:val="a7"/>
        </w:rPr>
        <w:footnoteRef/>
      </w:r>
      <w:r w:rsidRPr="005A0C38">
        <w:rPr>
          <w:rFonts w:cs="Arial"/>
          <w:rtl/>
        </w:rPr>
        <w:t xml:space="preserve"> וע"ל סימן ע' כתבתי דנותנין לה עץ לבשל מאכלה ונר להדלקה</w:t>
      </w:r>
      <w:r>
        <w:rPr>
          <w:rFonts w:cs="Arial" w:hint="cs"/>
          <w:rtl/>
        </w:rPr>
        <w:t>, דרכ"מ (אות א).</w:t>
      </w:r>
    </w:p>
  </w:footnote>
  <w:footnote w:id="370">
    <w:p w14:paraId="2A55B68C" w14:textId="77777777" w:rsidR="00DE2F5F" w:rsidRDefault="00DE2F5F" w:rsidP="00717619">
      <w:pPr>
        <w:pStyle w:val="a5"/>
      </w:pPr>
      <w:r>
        <w:rPr>
          <w:rStyle w:val="a7"/>
        </w:rPr>
        <w:footnoteRef/>
      </w:r>
      <w:r>
        <w:rPr>
          <w:rtl/>
        </w:rPr>
        <w:t xml:space="preserve"> </w:t>
      </w:r>
      <w:r>
        <w:rPr>
          <w:rFonts w:hint="cs"/>
          <w:rtl/>
        </w:rPr>
        <w:t>וכן הוא בתולדות פרשה סה סימן ד.</w:t>
      </w:r>
    </w:p>
  </w:footnote>
  <w:footnote w:id="371">
    <w:p w14:paraId="38DB60E0" w14:textId="34FF75CA" w:rsidR="00E57E15" w:rsidRDefault="00E57E15">
      <w:pPr>
        <w:pStyle w:val="a5"/>
      </w:pPr>
      <w:r>
        <w:rPr>
          <w:rStyle w:val="a7"/>
        </w:rPr>
        <w:footnoteRef/>
      </w:r>
      <w:r>
        <w:rPr>
          <w:rtl/>
        </w:rPr>
        <w:t xml:space="preserve"> </w:t>
      </w:r>
      <w:r w:rsidRPr="00E57E15">
        <w:rPr>
          <w:rFonts w:cs="Arial"/>
          <w:rtl/>
        </w:rPr>
        <w:t xml:space="preserve">שורש "סקף" </w:t>
      </w:r>
      <w:r>
        <w:rPr>
          <w:rFonts w:cs="Arial" w:hint="cs"/>
          <w:rtl/>
        </w:rPr>
        <w:t xml:space="preserve">- </w:t>
      </w:r>
      <w:r w:rsidRPr="00E57E15">
        <w:rPr>
          <w:rFonts w:cs="Arial"/>
          <w:rtl/>
        </w:rPr>
        <w:t>להעליל</w:t>
      </w:r>
      <w:r>
        <w:rPr>
          <w:rFonts w:cs="Arial" w:hint="cs"/>
          <w:rtl/>
        </w:rPr>
        <w:t>.</w:t>
      </w:r>
      <w:r w:rsidRPr="00E57E15">
        <w:rPr>
          <w:rFonts w:cs="Arial"/>
          <w:rtl/>
        </w:rPr>
        <w:t xml:space="preserve"> </w:t>
      </w:r>
      <w:r>
        <w:rPr>
          <w:rFonts w:cs="Arial" w:hint="cs"/>
          <w:rtl/>
        </w:rPr>
        <w:t xml:space="preserve">כמו </w:t>
      </w:r>
      <w:r w:rsidR="008E161F">
        <w:rPr>
          <w:rFonts w:cs="Arial" w:hint="cs"/>
          <w:rtl/>
        </w:rPr>
        <w:t>(</w:t>
      </w:r>
      <w:r w:rsidR="00176630">
        <w:rPr>
          <w:rFonts w:cs="Arial" w:hint="cs"/>
          <w:rtl/>
        </w:rPr>
        <w:t>דברים כב יד): "</w:t>
      </w:r>
      <w:r w:rsidR="00FB1055">
        <w:rPr>
          <w:rFonts w:cs="Arial" w:hint="cs"/>
          <w:rtl/>
        </w:rPr>
        <w:t xml:space="preserve">ושם לה </w:t>
      </w:r>
      <w:r w:rsidRPr="00E57E15">
        <w:rPr>
          <w:rFonts w:cs="Arial"/>
          <w:rtl/>
        </w:rPr>
        <w:t>עליל</w:t>
      </w:r>
      <w:r w:rsidR="008E161F">
        <w:rPr>
          <w:rFonts w:cs="Arial" w:hint="cs"/>
          <w:rtl/>
        </w:rPr>
        <w:t>ו</w:t>
      </w:r>
      <w:r w:rsidRPr="00E57E15">
        <w:rPr>
          <w:rFonts w:cs="Arial"/>
          <w:rtl/>
        </w:rPr>
        <w:t>ת דברים</w:t>
      </w:r>
      <w:r w:rsidR="00176630">
        <w:rPr>
          <w:rFonts w:cs="Arial" w:hint="cs"/>
          <w:rtl/>
        </w:rPr>
        <w:t>", ותרגם אונקלוס:</w:t>
      </w:r>
      <w:r w:rsidR="00FB1055">
        <w:rPr>
          <w:rFonts w:cs="Arial" w:hint="cs"/>
          <w:rtl/>
        </w:rPr>
        <w:t xml:space="preserve"> </w:t>
      </w:r>
      <w:r w:rsidR="00176630">
        <w:rPr>
          <w:rFonts w:cs="Arial" w:hint="cs"/>
          <w:rtl/>
        </w:rPr>
        <w:t>"</w:t>
      </w:r>
      <w:r w:rsidR="00176630" w:rsidRPr="00176630">
        <w:rPr>
          <w:rFonts w:cs="Arial"/>
          <w:rtl/>
        </w:rPr>
        <w:t>וישוי לה תסקופי מלין</w:t>
      </w:r>
      <w:r w:rsidR="00176630">
        <w:rPr>
          <w:rFonts w:cs="Arial" w:hint="cs"/>
          <w:rtl/>
        </w:rPr>
        <w:t>"</w:t>
      </w:r>
      <w:r w:rsidR="00FB1055">
        <w:rPr>
          <w:rFonts w:cs="Arial" w:hint="cs"/>
          <w:rtl/>
        </w:rPr>
        <w:t>.</w:t>
      </w:r>
      <w:r>
        <w:rPr>
          <w:rFonts w:hint="cs"/>
          <w:rtl/>
        </w:rPr>
        <w:t xml:space="preserve"> </w:t>
      </w:r>
    </w:p>
  </w:footnote>
  <w:footnote w:id="372">
    <w:p w14:paraId="70CC249E" w14:textId="1EDC1B16" w:rsidR="00DE2F5F" w:rsidRDefault="00DE2F5F">
      <w:pPr>
        <w:pStyle w:val="a5"/>
      </w:pPr>
      <w:r>
        <w:rPr>
          <w:rStyle w:val="a7"/>
        </w:rPr>
        <w:footnoteRef/>
      </w:r>
      <w:r>
        <w:rPr>
          <w:rtl/>
        </w:rPr>
        <w:t xml:space="preserve"> </w:t>
      </w:r>
      <w:r w:rsidRPr="005A0C38">
        <w:rPr>
          <w:rFonts w:cs="Arial"/>
          <w:rtl/>
        </w:rPr>
        <w:t>כבר נתבאר למעלה שהכל לפי מנהג המקום כמו שמוכיח בפרק אף על פי ולא הוצרך רבינו לפרוט בזה אלא לומר אף על פי שהן עומדות בבית שאין יוצאות לשוק חייב ליתן לה שהרי צריכה היא לילך לבית האבל וכיוצא בה</w:t>
      </w:r>
      <w:r>
        <w:rPr>
          <w:rFonts w:cs="Arial" w:hint="cs"/>
          <w:rtl/>
        </w:rPr>
        <w:t>, הה"מ (שם).</w:t>
      </w:r>
    </w:p>
  </w:footnote>
  <w:footnote w:id="373">
    <w:p w14:paraId="50D8D920" w14:textId="6911646E" w:rsidR="00494DED" w:rsidRDefault="00494DED">
      <w:pPr>
        <w:pStyle w:val="a5"/>
      </w:pPr>
      <w:r>
        <w:rPr>
          <w:rStyle w:val="a7"/>
        </w:rPr>
        <w:footnoteRef/>
      </w:r>
      <w:r>
        <w:rPr>
          <w:rtl/>
        </w:rPr>
        <w:t xml:space="preserve"> </w:t>
      </w:r>
      <w:r>
        <w:rPr>
          <w:rFonts w:hint="cs"/>
          <w:rtl/>
        </w:rPr>
        <w:t>סימן - קורת גג.</w:t>
      </w:r>
    </w:p>
  </w:footnote>
  <w:footnote w:id="374">
    <w:p w14:paraId="416ED8FF" w14:textId="4B6607F1" w:rsidR="00D408B2" w:rsidRDefault="00D408B2">
      <w:pPr>
        <w:pStyle w:val="a5"/>
      </w:pPr>
      <w:r>
        <w:rPr>
          <w:rStyle w:val="a7"/>
        </w:rPr>
        <w:footnoteRef/>
      </w:r>
      <w:r>
        <w:rPr>
          <w:rtl/>
        </w:rPr>
        <w:t xml:space="preserve"> </w:t>
      </w:r>
      <w:r w:rsidRPr="00D408B2">
        <w:rPr>
          <w:rFonts w:cs="Arial"/>
          <w:rtl/>
        </w:rPr>
        <w:t>ידוע שאין בית פחות מד' על ד'</w:t>
      </w:r>
      <w:r w:rsidRPr="00D408B2">
        <w:rPr>
          <w:rFonts w:cs="Arial" w:hint="cs"/>
          <w:rtl/>
        </w:rPr>
        <w:t>, הה"מ</w:t>
      </w:r>
      <w:r>
        <w:rPr>
          <w:rFonts w:cs="Arial" w:hint="cs"/>
          <w:rtl/>
        </w:rPr>
        <w:t xml:space="preserve"> (שם).</w:t>
      </w:r>
    </w:p>
  </w:footnote>
  <w:footnote w:id="375">
    <w:p w14:paraId="220CC458" w14:textId="77777777" w:rsidR="00DE2F5F" w:rsidRDefault="00DE2F5F" w:rsidP="007226C0">
      <w:pPr>
        <w:pStyle w:val="a5"/>
      </w:pPr>
      <w:r>
        <w:rPr>
          <w:rStyle w:val="a7"/>
        </w:rPr>
        <w:footnoteRef/>
      </w:r>
      <w:r>
        <w:rPr>
          <w:rtl/>
        </w:rPr>
        <w:t xml:space="preserve"> </w:t>
      </w:r>
      <w:r w:rsidRPr="00380340">
        <w:rPr>
          <w:rFonts w:cs="Arial"/>
          <w:rtl/>
        </w:rPr>
        <w:t>האכילוהו שעורים כבהמה כל הנאכל שלא כדרכו קרי ליה כוסס</w:t>
      </w:r>
      <w:r>
        <w:rPr>
          <w:rFonts w:cs="Arial" w:hint="cs"/>
          <w:rtl/>
        </w:rPr>
        <w:t>, רש"י.</w:t>
      </w:r>
    </w:p>
  </w:footnote>
  <w:footnote w:id="376">
    <w:p w14:paraId="5ED52215" w14:textId="77777777" w:rsidR="00DE2F5F" w:rsidRDefault="00DE2F5F" w:rsidP="007226C0">
      <w:pPr>
        <w:pStyle w:val="a5"/>
        <w:rPr>
          <w:rtl/>
        </w:rPr>
      </w:pPr>
      <w:r>
        <w:rPr>
          <w:rStyle w:val="a7"/>
        </w:rPr>
        <w:footnoteRef/>
      </w:r>
      <w:r>
        <w:rPr>
          <w:rtl/>
        </w:rPr>
        <w:t xml:space="preserve"> </w:t>
      </w:r>
      <w:r w:rsidRPr="00380340">
        <w:rPr>
          <w:rFonts w:cs="Arial"/>
          <w:rtl/>
        </w:rPr>
        <w:t>להא מילתא דרב</w:t>
      </w:r>
      <w:r>
        <w:rPr>
          <w:rFonts w:hint="cs"/>
          <w:rtl/>
        </w:rPr>
        <w:t>, רש"י.</w:t>
      </w:r>
    </w:p>
  </w:footnote>
  <w:footnote w:id="377">
    <w:p w14:paraId="31896FB9" w14:textId="77777777" w:rsidR="00DE2F5F" w:rsidRDefault="00DE2F5F" w:rsidP="007226C0">
      <w:pPr>
        <w:pStyle w:val="a5"/>
        <w:rPr>
          <w:rtl/>
        </w:rPr>
      </w:pPr>
      <w:r>
        <w:rPr>
          <w:rStyle w:val="a7"/>
        </w:rPr>
        <w:footnoteRef/>
      </w:r>
      <w:r>
        <w:rPr>
          <w:rtl/>
        </w:rPr>
        <w:t xml:space="preserve"> </w:t>
      </w:r>
      <w:r w:rsidRPr="00380340">
        <w:rPr>
          <w:rFonts w:cs="Arial"/>
          <w:rtl/>
        </w:rPr>
        <w:t>דאיהו נמי כרב סבירא ליה</w:t>
      </w:r>
      <w:r>
        <w:rPr>
          <w:rFonts w:hint="cs"/>
          <w:rtl/>
        </w:rPr>
        <w:t>, רש"י.</w:t>
      </w:r>
    </w:p>
  </w:footnote>
  <w:footnote w:id="378">
    <w:p w14:paraId="008FDBDC" w14:textId="453B5FF6" w:rsidR="00DE2F5F" w:rsidRDefault="00DE2F5F" w:rsidP="007226C0">
      <w:pPr>
        <w:pStyle w:val="a5"/>
        <w:rPr>
          <w:rtl/>
        </w:rPr>
      </w:pPr>
      <w:r>
        <w:rPr>
          <w:rStyle w:val="a7"/>
        </w:rPr>
        <w:footnoteRef/>
      </w:r>
      <w:r>
        <w:rPr>
          <w:rtl/>
        </w:rPr>
        <w:t xml:space="preserve"> </w:t>
      </w:r>
      <w:r w:rsidRPr="00486216">
        <w:rPr>
          <w:rFonts w:cs="Arial"/>
          <w:rtl/>
        </w:rPr>
        <w:t>ור</w:t>
      </w:r>
      <w:r>
        <w:rPr>
          <w:rFonts w:cs="Arial" w:hint="cs"/>
          <w:rtl/>
        </w:rPr>
        <w:t>י"ו</w:t>
      </w:r>
      <w:r w:rsidRPr="00486216">
        <w:rPr>
          <w:rFonts w:cs="Arial"/>
          <w:rtl/>
        </w:rPr>
        <w:t xml:space="preserve"> </w:t>
      </w:r>
      <w:r w:rsidRPr="00130AAC">
        <w:rPr>
          <w:rFonts w:cs="Arial"/>
          <w:sz w:val="16"/>
          <w:szCs w:val="16"/>
          <w:rtl/>
        </w:rPr>
        <w:t xml:space="preserve">(מישרים נכ"ג ח"ה נז ע"ד) </w:t>
      </w:r>
      <w:r w:rsidRPr="00486216">
        <w:rPr>
          <w:rFonts w:cs="Arial"/>
          <w:rtl/>
        </w:rPr>
        <w:t>כתב שתמהו על הרמב"ם למה כופין אותו להוציא מאחר שאין לו ממה לזונה</w:t>
      </w:r>
      <w:r>
        <w:rPr>
          <w:rFonts w:cs="Arial" w:hint="cs"/>
          <w:rtl/>
        </w:rPr>
        <w:t>,</w:t>
      </w:r>
      <w:r w:rsidRPr="00486216">
        <w:rPr>
          <w:rFonts w:cs="Arial"/>
          <w:rtl/>
        </w:rPr>
        <w:t xml:space="preserve"> דאם אין לו</w:t>
      </w:r>
      <w:r>
        <w:rPr>
          <w:rFonts w:cs="Arial" w:hint="cs"/>
          <w:rtl/>
        </w:rPr>
        <w:t xml:space="preserve"> -</w:t>
      </w:r>
      <w:r w:rsidRPr="00486216">
        <w:rPr>
          <w:rFonts w:cs="Arial"/>
          <w:rtl/>
        </w:rPr>
        <w:t xml:space="preserve"> אין כופין</w:t>
      </w:r>
      <w:r w:rsidR="00C8166B" w:rsidRPr="00C8166B">
        <w:rPr>
          <w:rtl/>
        </w:rPr>
        <w:t xml:space="preserve"> </w:t>
      </w:r>
      <w:r w:rsidR="00C8166B" w:rsidRPr="00C8166B">
        <w:rPr>
          <w:rFonts w:cs="Arial"/>
          <w:rtl/>
        </w:rPr>
        <w:t>כמו בעל חוב שאין לו</w:t>
      </w:r>
      <w:r w:rsidR="00C8166B">
        <w:rPr>
          <w:rFonts w:cs="Arial" w:hint="cs"/>
          <w:rtl/>
        </w:rPr>
        <w:t>,</w:t>
      </w:r>
      <w:r w:rsidR="00C8166B" w:rsidRPr="00C8166B">
        <w:rPr>
          <w:rFonts w:cs="Arial"/>
          <w:rtl/>
        </w:rPr>
        <w:t xml:space="preserve"> וכן כתב רבינו תם בתשובה</w:t>
      </w:r>
      <w:r w:rsidR="000A7B1B">
        <w:rPr>
          <w:rFonts w:hint="cs"/>
          <w:rtl/>
        </w:rPr>
        <w:t>, ב"י (סי' ע ס"ג)</w:t>
      </w:r>
      <w:r>
        <w:rPr>
          <w:rFonts w:hint="cs"/>
          <w:rtl/>
        </w:rPr>
        <w:t>.</w:t>
      </w:r>
    </w:p>
  </w:footnote>
  <w:footnote w:id="379">
    <w:p w14:paraId="3CB5FA46" w14:textId="12A01912" w:rsidR="0026645E" w:rsidRDefault="0026645E">
      <w:pPr>
        <w:pStyle w:val="a5"/>
      </w:pPr>
      <w:r>
        <w:rPr>
          <w:rStyle w:val="a7"/>
        </w:rPr>
        <w:footnoteRef/>
      </w:r>
      <w:r>
        <w:rPr>
          <w:rtl/>
        </w:rPr>
        <w:t xml:space="preserve"> </w:t>
      </w:r>
      <w:r w:rsidRPr="0026645E">
        <w:rPr>
          <w:rFonts w:cs="Arial"/>
          <w:rtl/>
        </w:rPr>
        <w:t>נדוניא של נשואין</w:t>
      </w:r>
      <w:r>
        <w:rPr>
          <w:rFonts w:cs="Arial" w:hint="cs"/>
          <w:rtl/>
        </w:rPr>
        <w:t>, רש"י.</w:t>
      </w:r>
    </w:p>
  </w:footnote>
  <w:footnote w:id="380">
    <w:p w14:paraId="6EAB5C77" w14:textId="023C989F" w:rsidR="000920F4" w:rsidRDefault="000920F4">
      <w:pPr>
        <w:pStyle w:val="a5"/>
      </w:pPr>
      <w:r>
        <w:rPr>
          <w:rStyle w:val="a7"/>
        </w:rPr>
        <w:footnoteRef/>
      </w:r>
      <w:r>
        <w:rPr>
          <w:rtl/>
        </w:rPr>
        <w:t xml:space="preserve"> </w:t>
      </w:r>
      <w:r w:rsidRPr="000920F4">
        <w:rPr>
          <w:rFonts w:cs="Arial"/>
          <w:rtl/>
        </w:rPr>
        <w:t>מזונות בעודה אצל אחין</w:t>
      </w:r>
      <w:r>
        <w:rPr>
          <w:rFonts w:cs="Arial" w:hint="cs"/>
          <w:rtl/>
        </w:rPr>
        <w:t>, רש"י.</w:t>
      </w:r>
    </w:p>
  </w:footnote>
  <w:footnote w:id="381">
    <w:p w14:paraId="42EE06DF" w14:textId="443A0DD0" w:rsidR="004A5C2D" w:rsidRDefault="004A5C2D">
      <w:pPr>
        <w:pStyle w:val="a5"/>
      </w:pPr>
      <w:r>
        <w:rPr>
          <w:rStyle w:val="a7"/>
        </w:rPr>
        <w:footnoteRef/>
      </w:r>
      <w:r>
        <w:rPr>
          <w:rtl/>
        </w:rPr>
        <w:t xml:space="preserve"> </w:t>
      </w:r>
      <w:r w:rsidRPr="004A5C2D">
        <w:rPr>
          <w:rFonts w:cs="Arial"/>
          <w:rtl/>
        </w:rPr>
        <w:t>שמין הנכסים אם עני הוא נותנין לה כפי מה ששנינו באע"פ (לעיל סד:) במשרה את אשתו על ידי שליש</w:t>
      </w:r>
      <w:r>
        <w:rPr>
          <w:rFonts w:cs="Arial" w:hint="cs"/>
          <w:rtl/>
        </w:rPr>
        <w:t>,</w:t>
      </w:r>
      <w:r w:rsidRPr="004A5C2D">
        <w:rPr>
          <w:rFonts w:cs="Arial"/>
          <w:rtl/>
        </w:rPr>
        <w:t xml:space="preserve"> ואם הנכסים מרובים הכל לפי הכבוד</w:t>
      </w:r>
      <w:r>
        <w:rPr>
          <w:rFonts w:cs="Arial" w:hint="cs"/>
          <w:rtl/>
        </w:rPr>
        <w:t>, רש"י.</w:t>
      </w:r>
    </w:p>
  </w:footnote>
  <w:footnote w:id="382">
    <w:p w14:paraId="2108BD22" w14:textId="77777777" w:rsidR="00DE2F5F" w:rsidRDefault="00DE2F5F" w:rsidP="00E47343">
      <w:pPr>
        <w:pStyle w:val="a5"/>
      </w:pPr>
      <w:r>
        <w:rPr>
          <w:rStyle w:val="a7"/>
        </w:rPr>
        <w:footnoteRef/>
      </w:r>
      <w:r>
        <w:rPr>
          <w:rtl/>
        </w:rPr>
        <w:t xml:space="preserve"> </w:t>
      </w:r>
      <w:r w:rsidRPr="005A0C38">
        <w:rPr>
          <w:rFonts w:cs="Arial"/>
          <w:rtl/>
        </w:rPr>
        <w:t>זה פשוט שהפרנסה והכסות הרי הן כמזונות</w:t>
      </w:r>
      <w:r>
        <w:rPr>
          <w:rFonts w:cs="Arial" w:hint="cs"/>
          <w:rtl/>
        </w:rPr>
        <w:t>,</w:t>
      </w:r>
      <w:r w:rsidRPr="005A0C38">
        <w:rPr>
          <w:rFonts w:cs="Arial"/>
          <w:rtl/>
        </w:rPr>
        <w:t xml:space="preserve"> וכן הזכירו בהרבה מקומות בגמרא פרנסה בכלל מזונות</w:t>
      </w:r>
      <w:r>
        <w:rPr>
          <w:rFonts w:cs="Arial" w:hint="cs"/>
          <w:rtl/>
        </w:rPr>
        <w:t>, הה"מ (שם).</w:t>
      </w:r>
    </w:p>
  </w:footnote>
  <w:footnote w:id="383">
    <w:p w14:paraId="674C76A0" w14:textId="77777777" w:rsidR="00DE2F5F" w:rsidRDefault="00DE2F5F" w:rsidP="00E47343">
      <w:pPr>
        <w:pStyle w:val="a5"/>
        <w:rPr>
          <w:rtl/>
        </w:rPr>
      </w:pPr>
      <w:r>
        <w:rPr>
          <w:rStyle w:val="a7"/>
        </w:rPr>
        <w:footnoteRef/>
      </w:r>
      <w:r>
        <w:rPr>
          <w:rtl/>
        </w:rPr>
        <w:t xml:space="preserve"> </w:t>
      </w:r>
      <w:r w:rsidRPr="005A0C38">
        <w:rPr>
          <w:rFonts w:cs="Arial"/>
          <w:rtl/>
        </w:rPr>
        <w:t>לפי שלא הוזכר חילוק בין העשיר לעני אלא באשה ופשוט הוא</w:t>
      </w:r>
      <w:r>
        <w:rPr>
          <w:rFonts w:hint="cs"/>
          <w:rtl/>
        </w:rPr>
        <w:t>, הה"מ (שם).</w:t>
      </w:r>
    </w:p>
  </w:footnote>
  <w:footnote w:id="384">
    <w:p w14:paraId="293910CA" w14:textId="1C0C7303" w:rsidR="00DE2F5F" w:rsidRDefault="00DE2F5F" w:rsidP="00132500">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461B0D">
        <w:rPr>
          <w:rFonts w:cs="Arial"/>
          <w:rtl/>
        </w:rPr>
        <w:t>על ראובן שלוה מעות משמעון על בגדי אשתו וחזר והשאילו לו עד לאחר המועד ומת במועד ומחמת יראת המושל מכרה את אשר לה לשמעון וגם מלבושיה שהיו ממושכנין בידו והחזיר לה שמעון הכל חוץ מן המלבושים ופסק ר"י שהדין עמו דאע"ג דאין אדם רשאי</w:t>
      </w:r>
      <w:r>
        <w:rPr>
          <w:rFonts w:cs="Arial" w:hint="cs"/>
          <w:rtl/>
        </w:rPr>
        <w:t xml:space="preserve"> </w:t>
      </w:r>
      <w:r w:rsidRPr="00461B0D">
        <w:rPr>
          <w:rFonts w:cs="Arial"/>
          <w:rtl/>
        </w:rPr>
        <w:t>למשכן את בגדי אשתו מ"מ אחזוקי אינשי בגנבי לא מחזקינן ומסתמא ברשותה משכנם בעלה וכיון שהשאיל לו שמעון עד לאחר המועד עדיין הם ברשות שמעון כיון שבתורת שאלה בא לידי ולא בתורת חזרה כדפרישית לעיל ואין האשה יכולה לטעון תפשתים עבור כתובתי ואני הייתי מוחזקת בהם כשמסרתי לך מלבושי דכיון שהחזירם לו לא היו יותר ברשותה ויש חולקים על דין זה דיש לה לומר נחת רוח עשיתי לבעלי מה שמסרתי לו מלבושי</w:t>
      </w:r>
      <w:r>
        <w:rPr>
          <w:rFonts w:cs="Arial" w:hint="cs"/>
          <w:rtl/>
        </w:rPr>
        <w:t>.</w:t>
      </w:r>
    </w:p>
  </w:footnote>
  <w:footnote w:id="385">
    <w:p w14:paraId="0D45E70F" w14:textId="32948377" w:rsidR="00DE2F5F" w:rsidRDefault="00DE2F5F" w:rsidP="00132500">
      <w:pPr>
        <w:pStyle w:val="a5"/>
      </w:pPr>
      <w:r>
        <w:rPr>
          <w:rStyle w:val="a7"/>
        </w:rPr>
        <w:footnoteRef/>
      </w:r>
      <w:r>
        <w:rPr>
          <w:rtl/>
        </w:rPr>
        <w:t xml:space="preserve"> </w:t>
      </w:r>
      <w:r>
        <w:rPr>
          <w:rFonts w:cs="Arial" w:hint="cs"/>
          <w:rtl/>
        </w:rPr>
        <w:t>וז"ל הב"י (בסי' צ) בשם מצאתי כתוב</w:t>
      </w:r>
      <w:r w:rsidR="008C4711">
        <w:rPr>
          <w:rFonts w:cs="Arial" w:hint="cs"/>
          <w:rtl/>
        </w:rPr>
        <w:t>:</w:t>
      </w:r>
      <w:r>
        <w:rPr>
          <w:rFonts w:cs="Arial" w:hint="cs"/>
          <w:rtl/>
        </w:rPr>
        <w:t xml:space="preserve"> </w:t>
      </w:r>
      <w:r w:rsidRPr="000C4173">
        <w:rPr>
          <w:rFonts w:cs="Arial"/>
          <w:rtl/>
        </w:rPr>
        <w:t>דן הר"ח על אשה שלותה על בגדיה או על תכשיטיה ואח"כ הלך בעלה והוסיף ולוה עליהם יותר</w:t>
      </w:r>
      <w:r>
        <w:rPr>
          <w:rFonts w:cs="Arial" w:hint="cs"/>
          <w:rtl/>
        </w:rPr>
        <w:t>,</w:t>
      </w:r>
      <w:r w:rsidRPr="000C4173">
        <w:rPr>
          <w:rFonts w:cs="Arial"/>
          <w:rtl/>
        </w:rPr>
        <w:t xml:space="preserve"> אם מידיעתה עשה הבעל </w:t>
      </w:r>
      <w:r>
        <w:rPr>
          <w:rFonts w:cs="Arial" w:hint="cs"/>
          <w:rtl/>
        </w:rPr>
        <w:t xml:space="preserve">- </w:t>
      </w:r>
      <w:r w:rsidRPr="000C4173">
        <w:rPr>
          <w:rFonts w:cs="Arial"/>
          <w:rtl/>
        </w:rPr>
        <w:t>אז המלוה יכול לתפסם בשביל כל ההלואה</w:t>
      </w:r>
      <w:r>
        <w:rPr>
          <w:rFonts w:cs="Arial" w:hint="cs"/>
          <w:rtl/>
        </w:rPr>
        <w:t>.</w:t>
      </w:r>
      <w:r w:rsidRPr="000C4173">
        <w:rPr>
          <w:rFonts w:cs="Arial"/>
          <w:rtl/>
        </w:rPr>
        <w:t xml:space="preserve"> אבל אם שלא מדעתה לוה </w:t>
      </w:r>
      <w:r>
        <w:rPr>
          <w:rFonts w:cs="Arial" w:hint="cs"/>
          <w:rtl/>
        </w:rPr>
        <w:t xml:space="preserve">- </w:t>
      </w:r>
      <w:r w:rsidRPr="000C4173">
        <w:rPr>
          <w:rFonts w:cs="Arial"/>
          <w:rtl/>
        </w:rPr>
        <w:t>היא יכולה להוציא מן המלוה באותם מעות שלותה היא</w:t>
      </w:r>
      <w:r>
        <w:rPr>
          <w:rFonts w:cs="Arial" w:hint="cs"/>
          <w:rtl/>
        </w:rPr>
        <w:t>,</w:t>
      </w:r>
      <w:r w:rsidRPr="000C4173">
        <w:rPr>
          <w:rFonts w:cs="Arial"/>
          <w:rtl/>
        </w:rPr>
        <w:t xml:space="preserve"> כי כך שנינו אין לבעל בבגדי אשתו כלום</w:t>
      </w:r>
      <w:r>
        <w:rPr>
          <w:rFonts w:cs="Arial" w:hint="cs"/>
          <w:rtl/>
        </w:rPr>
        <w:t>,</w:t>
      </w:r>
      <w:r w:rsidRPr="000C4173">
        <w:rPr>
          <w:rFonts w:cs="Arial"/>
          <w:rtl/>
        </w:rPr>
        <w:t xml:space="preserve"> ולא בתכשיטיה</w:t>
      </w:r>
      <w:r>
        <w:rPr>
          <w:rFonts w:cs="Arial" w:hint="cs"/>
          <w:rtl/>
        </w:rPr>
        <w:t>.</w:t>
      </w:r>
      <w:r w:rsidRPr="000C4173">
        <w:rPr>
          <w:rFonts w:cs="Arial"/>
          <w:rtl/>
        </w:rPr>
        <w:t xml:space="preserve"> ואפילו אם לוה הבעל מתחלה עליהם והיא אומרת שעשה בלא ידיעתה </w:t>
      </w:r>
      <w:r>
        <w:rPr>
          <w:rFonts w:cs="Arial" w:hint="cs"/>
          <w:rtl/>
        </w:rPr>
        <w:t xml:space="preserve">- </w:t>
      </w:r>
      <w:r w:rsidRPr="000C4173">
        <w:rPr>
          <w:rFonts w:cs="Arial"/>
          <w:rtl/>
        </w:rPr>
        <w:t>דין הוא שיחזיר לה אם תשבע דשלא מדעתה לוה בעלה עליהם</w:t>
      </w:r>
      <w:r>
        <w:rPr>
          <w:rFonts w:cs="Arial" w:hint="cs"/>
          <w:rtl/>
        </w:rPr>
        <w:t>.</w:t>
      </w:r>
    </w:p>
  </w:footnote>
  <w:footnote w:id="386">
    <w:p w14:paraId="4DBDDD7A" w14:textId="0174B154" w:rsidR="00DE2F5F" w:rsidRDefault="00DE2F5F" w:rsidP="00132500">
      <w:pPr>
        <w:pStyle w:val="a5"/>
      </w:pPr>
      <w:r>
        <w:rPr>
          <w:rStyle w:val="a7"/>
        </w:rPr>
        <w:footnoteRef/>
      </w:r>
      <w:r>
        <w:rPr>
          <w:rtl/>
        </w:rPr>
        <w:t xml:space="preserve"> </w:t>
      </w:r>
      <w:r w:rsidRPr="00C726C5">
        <w:rPr>
          <w:rFonts w:cs="Arial"/>
          <w:rtl/>
        </w:rPr>
        <w:t>ו</w:t>
      </w:r>
      <w:r>
        <w:rPr>
          <w:rFonts w:cs="Arial" w:hint="cs"/>
          <w:rtl/>
        </w:rPr>
        <w:t xml:space="preserve">מה שכתב הרשב"א </w:t>
      </w:r>
      <w:r w:rsidRPr="00C726C5">
        <w:rPr>
          <w:rFonts w:cs="Arial"/>
          <w:rtl/>
        </w:rPr>
        <w:t xml:space="preserve">בתשובה </w:t>
      </w:r>
      <w:r w:rsidR="006A7A0B">
        <w:rPr>
          <w:rFonts w:cs="Arial" w:hint="cs"/>
          <w:rtl/>
        </w:rPr>
        <w:t>(</w:t>
      </w:r>
      <w:r>
        <w:rPr>
          <w:rFonts w:cs="Arial" w:hint="cs"/>
          <w:rtl/>
        </w:rPr>
        <w:t xml:space="preserve">סי' </w:t>
      </w:r>
      <w:r w:rsidRPr="00C726C5">
        <w:rPr>
          <w:rFonts w:cs="Arial"/>
          <w:rtl/>
        </w:rPr>
        <w:t>תתקלו</w:t>
      </w:r>
      <w:r w:rsidR="006A7A0B">
        <w:rPr>
          <w:rFonts w:cs="Arial" w:hint="cs"/>
          <w:rtl/>
        </w:rPr>
        <w:t>)</w:t>
      </w:r>
      <w:r w:rsidRPr="00C726C5">
        <w:rPr>
          <w:rFonts w:cs="Arial"/>
          <w:rtl/>
        </w:rPr>
        <w:t xml:space="preserve"> דאינו יכול למשכן</w:t>
      </w:r>
      <w:r>
        <w:rPr>
          <w:rFonts w:cs="Arial" w:hint="cs"/>
          <w:rtl/>
        </w:rPr>
        <w:t>,</w:t>
      </w:r>
      <w:r w:rsidRPr="00C726C5">
        <w:rPr>
          <w:rFonts w:cs="Arial"/>
          <w:rtl/>
        </w:rPr>
        <w:t xml:space="preserve"> י</w:t>
      </w:r>
      <w:r>
        <w:rPr>
          <w:rFonts w:cs="Arial" w:hint="cs"/>
          <w:rtl/>
        </w:rPr>
        <w:t>ש לומר</w:t>
      </w:r>
      <w:r w:rsidRPr="00C726C5">
        <w:rPr>
          <w:rFonts w:cs="Arial"/>
          <w:rtl/>
        </w:rPr>
        <w:t xml:space="preserve"> </w:t>
      </w:r>
      <w:r>
        <w:rPr>
          <w:rFonts w:cs="Arial" w:hint="cs"/>
          <w:rtl/>
        </w:rPr>
        <w:t>ד</w:t>
      </w:r>
      <w:r w:rsidRPr="00C726C5">
        <w:rPr>
          <w:rFonts w:cs="Arial"/>
          <w:rtl/>
        </w:rPr>
        <w:t xml:space="preserve">שם איירי </w:t>
      </w:r>
      <w:r>
        <w:rPr>
          <w:rFonts w:cs="Arial" w:hint="cs"/>
          <w:rtl/>
        </w:rPr>
        <w:t>ב</w:t>
      </w:r>
      <w:r w:rsidRPr="00C726C5">
        <w:rPr>
          <w:rFonts w:cs="Arial"/>
          <w:rtl/>
        </w:rPr>
        <w:t>בגדים שעשה לה חמיה מחמת החיוב שהתחייב בעת השידוך</w:t>
      </w:r>
      <w:r>
        <w:rPr>
          <w:rFonts w:cs="Arial" w:hint="cs"/>
          <w:rtl/>
        </w:rPr>
        <w:t>,</w:t>
      </w:r>
      <w:r w:rsidRPr="00C726C5">
        <w:rPr>
          <w:rFonts w:cs="Arial"/>
          <w:rtl/>
        </w:rPr>
        <w:t xml:space="preserve"> אבל מה שעשה לה בעלה מרצון הטוב ס"ל אפש</w:t>
      </w:r>
      <w:r>
        <w:rPr>
          <w:rFonts w:cs="Arial" w:hint="cs"/>
          <w:rtl/>
        </w:rPr>
        <w:t>ר</w:t>
      </w:r>
      <w:r w:rsidRPr="00C726C5">
        <w:rPr>
          <w:rFonts w:cs="Arial"/>
          <w:rtl/>
        </w:rPr>
        <w:t xml:space="preserve"> ד</w:t>
      </w:r>
      <w:r>
        <w:rPr>
          <w:rFonts w:cs="Arial" w:hint="cs"/>
          <w:rtl/>
        </w:rPr>
        <w:t>ממו</w:t>
      </w:r>
      <w:r w:rsidRPr="00C726C5">
        <w:rPr>
          <w:rFonts w:cs="Arial"/>
          <w:rtl/>
        </w:rPr>
        <w:t>שכן</w:t>
      </w:r>
      <w:r>
        <w:rPr>
          <w:rFonts w:cs="Arial" w:hint="cs"/>
          <w:rtl/>
        </w:rPr>
        <w:t xml:space="preserve"> בדיעבד.</w:t>
      </w:r>
      <w:r w:rsidRPr="00C726C5">
        <w:rPr>
          <w:rFonts w:cs="Arial"/>
          <w:rtl/>
        </w:rPr>
        <w:t xml:space="preserve"> מיהו מהרי"ק </w:t>
      </w:r>
      <w:r>
        <w:rPr>
          <w:rFonts w:cs="Arial" w:hint="cs"/>
          <w:rtl/>
        </w:rPr>
        <w:t>(</w:t>
      </w:r>
      <w:r w:rsidRPr="00C726C5">
        <w:rPr>
          <w:rFonts w:cs="Arial"/>
          <w:rtl/>
        </w:rPr>
        <w:t>שורש י</w:t>
      </w:r>
      <w:r>
        <w:rPr>
          <w:rFonts w:cs="Arial" w:hint="cs"/>
          <w:rtl/>
        </w:rPr>
        <w:t>)</w:t>
      </w:r>
      <w:r w:rsidRPr="00C726C5">
        <w:rPr>
          <w:rFonts w:cs="Arial"/>
          <w:rtl/>
        </w:rPr>
        <w:t xml:space="preserve"> כתב הרשב"א לא החליט זאת ד</w:t>
      </w:r>
      <w:r>
        <w:rPr>
          <w:rFonts w:cs="Arial" w:hint="cs"/>
          <w:rtl/>
        </w:rPr>
        <w:t>ממו</w:t>
      </w:r>
      <w:r w:rsidRPr="00C726C5">
        <w:rPr>
          <w:rFonts w:cs="Arial"/>
          <w:rtl/>
        </w:rPr>
        <w:t>שכן</w:t>
      </w:r>
      <w:r>
        <w:rPr>
          <w:rFonts w:cs="Arial" w:hint="cs"/>
          <w:rtl/>
        </w:rPr>
        <w:t xml:space="preserve"> בדיעבד.</w:t>
      </w:r>
      <w:r w:rsidRPr="00C726C5">
        <w:rPr>
          <w:rFonts w:cs="Arial"/>
          <w:rtl/>
        </w:rPr>
        <w:t xml:space="preserve"> והב"י </w:t>
      </w:r>
      <w:r>
        <w:rPr>
          <w:rFonts w:cs="Arial" w:hint="cs"/>
          <w:rtl/>
        </w:rPr>
        <w:t>(בסי' צ)</w:t>
      </w:r>
      <w:r w:rsidRPr="00C726C5">
        <w:rPr>
          <w:rFonts w:cs="Arial"/>
          <w:rtl/>
        </w:rPr>
        <w:t xml:space="preserve"> הביא תשובת מ</w:t>
      </w:r>
      <w:r>
        <w:rPr>
          <w:rFonts w:cs="Arial" w:hint="cs"/>
          <w:rtl/>
        </w:rPr>
        <w:t>צאתי כתוב</w:t>
      </w:r>
      <w:r w:rsidRPr="00C726C5">
        <w:rPr>
          <w:rFonts w:cs="Arial"/>
          <w:rtl/>
        </w:rPr>
        <w:t xml:space="preserve"> ושם כתב דאי</w:t>
      </w:r>
      <w:r>
        <w:rPr>
          <w:rFonts w:cs="Arial" w:hint="cs"/>
          <w:rtl/>
        </w:rPr>
        <w:t>נו</w:t>
      </w:r>
      <w:r w:rsidRPr="00C726C5">
        <w:rPr>
          <w:rFonts w:cs="Arial"/>
          <w:rtl/>
        </w:rPr>
        <w:t xml:space="preserve"> </w:t>
      </w:r>
      <w:r>
        <w:rPr>
          <w:rFonts w:cs="Arial" w:hint="cs"/>
          <w:rtl/>
        </w:rPr>
        <w:t xml:space="preserve">יכול </w:t>
      </w:r>
      <w:r w:rsidRPr="00C726C5">
        <w:rPr>
          <w:rFonts w:cs="Arial"/>
          <w:rtl/>
        </w:rPr>
        <w:t>משכן</w:t>
      </w:r>
      <w:r>
        <w:rPr>
          <w:rFonts w:cs="Arial" w:hint="cs"/>
          <w:rtl/>
        </w:rPr>
        <w:t>,</w:t>
      </w:r>
      <w:r w:rsidRPr="00C726C5">
        <w:rPr>
          <w:rFonts w:cs="Arial"/>
          <w:rtl/>
        </w:rPr>
        <w:t xml:space="preserve"> וכ"כ המרדכי </w:t>
      </w:r>
      <w:r>
        <w:rPr>
          <w:rFonts w:cs="Arial" w:hint="cs"/>
          <w:rtl/>
        </w:rPr>
        <w:t>(</w:t>
      </w:r>
      <w:r w:rsidRPr="00C726C5">
        <w:rPr>
          <w:rFonts w:cs="Arial"/>
          <w:rtl/>
        </w:rPr>
        <w:t xml:space="preserve">ס"פ האומנין </w:t>
      </w:r>
      <w:r>
        <w:rPr>
          <w:rFonts w:cs="Arial" w:hint="cs"/>
          <w:rtl/>
        </w:rPr>
        <w:t xml:space="preserve">סי' שסד) </w:t>
      </w:r>
      <w:r w:rsidRPr="00C726C5">
        <w:rPr>
          <w:rFonts w:cs="Arial"/>
          <w:rtl/>
        </w:rPr>
        <w:t>ומשמע שם דאיירי אפילו אם עשה הוא לה בגדים</w:t>
      </w:r>
      <w:r>
        <w:rPr>
          <w:rFonts w:cs="Arial" w:hint="cs"/>
          <w:rtl/>
        </w:rPr>
        <w:t>.</w:t>
      </w:r>
      <w:r w:rsidRPr="00C726C5">
        <w:rPr>
          <w:rFonts w:cs="Arial"/>
          <w:rtl/>
        </w:rPr>
        <w:t xml:space="preserve"> והש"ך </w:t>
      </w:r>
      <w:r>
        <w:rPr>
          <w:rFonts w:cs="Arial" w:hint="cs"/>
          <w:rtl/>
        </w:rPr>
        <w:t>(</w:t>
      </w:r>
      <w:r w:rsidRPr="00C726C5">
        <w:rPr>
          <w:rFonts w:cs="Arial"/>
          <w:rtl/>
        </w:rPr>
        <w:t>ח</w:t>
      </w:r>
      <w:r>
        <w:rPr>
          <w:rFonts w:cs="Arial" w:hint="cs"/>
          <w:rtl/>
        </w:rPr>
        <w:t xml:space="preserve">ו"מ </w:t>
      </w:r>
      <w:r w:rsidRPr="00C726C5">
        <w:rPr>
          <w:rFonts w:cs="Arial"/>
          <w:rtl/>
        </w:rPr>
        <w:t>סי' עב</w:t>
      </w:r>
      <w:r>
        <w:rPr>
          <w:rFonts w:cs="Arial" w:hint="cs"/>
          <w:rtl/>
        </w:rPr>
        <w:t xml:space="preserve"> סקכ"ד)</w:t>
      </w:r>
      <w:r w:rsidRPr="00C726C5">
        <w:rPr>
          <w:rFonts w:cs="Arial"/>
          <w:rtl/>
        </w:rPr>
        <w:t xml:space="preserve"> כתב בפשיטות דיכול למשכן וכתב כן ע"פ תשוב' הרשב"א הנ"ל</w:t>
      </w:r>
      <w:r>
        <w:rPr>
          <w:rFonts w:hint="cs"/>
          <w:rtl/>
        </w:rPr>
        <w:t xml:space="preserve">. וכן נראה לי דעת הב"י (בסי' צ), שהרי לאחר שהביא את דברי המרדכי (ב"מ סי' שסד) ותשו' </w:t>
      </w:r>
      <w:r w:rsidR="00476325">
        <w:rPr>
          <w:rFonts w:hint="cs"/>
          <w:rtl/>
        </w:rPr>
        <w:t>ש</w:t>
      </w:r>
      <w:r>
        <w:rPr>
          <w:rFonts w:hint="cs"/>
          <w:rtl/>
        </w:rPr>
        <w:t>מצא כתוב, כתב בבדה"ב וז"ל</w:t>
      </w:r>
      <w:r w:rsidR="00476325">
        <w:rPr>
          <w:rFonts w:hint="cs"/>
          <w:rtl/>
        </w:rPr>
        <w:t>:</w:t>
      </w:r>
      <w:r>
        <w:rPr>
          <w:rFonts w:hint="cs"/>
          <w:rtl/>
        </w:rPr>
        <w:t xml:space="preserve"> </w:t>
      </w:r>
      <w:r w:rsidRPr="003509BC">
        <w:rPr>
          <w:rFonts w:cs="Arial"/>
          <w:rtl/>
        </w:rPr>
        <w:t>דין הממשכן כסות אשתו כתבתי בסוף סימן ע"ג</w:t>
      </w:r>
      <w:r>
        <w:rPr>
          <w:rFonts w:cs="Arial" w:hint="cs"/>
          <w:rtl/>
        </w:rPr>
        <w:t xml:space="preserve">. עכ"ל. ושם בסוף סימן עג הביא רק את דברי הרשב"א </w:t>
      </w:r>
      <w:r>
        <w:rPr>
          <w:rFonts w:hint="cs"/>
          <w:rtl/>
        </w:rPr>
        <w:t xml:space="preserve">(ח"ב סי' רפו) הנ"ל. וכתב שם לעיין במרדכי. נראה שדעתו ברור שאם משכן </w:t>
      </w:r>
      <w:r w:rsidR="00476325">
        <w:rPr>
          <w:rFonts w:hint="cs"/>
          <w:rtl/>
        </w:rPr>
        <w:t>-</w:t>
      </w:r>
      <w:r>
        <w:rPr>
          <w:rFonts w:hint="cs"/>
          <w:rtl/>
        </w:rPr>
        <w:t xml:space="preserve"> הרי הם ממושכנים. וכמו שפסק כאן בשו"ע.</w:t>
      </w:r>
    </w:p>
  </w:footnote>
  <w:footnote w:id="387">
    <w:p w14:paraId="2F435379" w14:textId="61D5BA11" w:rsidR="007A7E6D" w:rsidRDefault="007A7E6D">
      <w:pPr>
        <w:pStyle w:val="a5"/>
      </w:pPr>
      <w:r>
        <w:rPr>
          <w:rStyle w:val="a7"/>
        </w:rPr>
        <w:footnoteRef/>
      </w:r>
      <w:r>
        <w:rPr>
          <w:rtl/>
        </w:rPr>
        <w:t xml:space="preserve"> </w:t>
      </w:r>
      <w:r>
        <w:rPr>
          <w:rFonts w:hint="cs"/>
          <w:rtl/>
        </w:rPr>
        <w:t>היינו שאינה יכולה להוציא את בגדיה מיד המלוה בלי להחזיר לו את מה שלוה בעלה.</w:t>
      </w:r>
      <w:r w:rsidR="004737A9">
        <w:rPr>
          <w:rFonts w:hint="cs"/>
          <w:rtl/>
        </w:rPr>
        <w:t xml:space="preserve"> </w:t>
      </w:r>
    </w:p>
  </w:footnote>
  <w:footnote w:id="388">
    <w:p w14:paraId="6196CAD9" w14:textId="77777777" w:rsidR="00DE2F5F" w:rsidRDefault="00DE2F5F" w:rsidP="004A1CD6">
      <w:pPr>
        <w:pStyle w:val="a5"/>
      </w:pPr>
      <w:r>
        <w:rPr>
          <w:rStyle w:val="a7"/>
        </w:rPr>
        <w:footnoteRef/>
      </w:r>
      <w:r>
        <w:rPr>
          <w:rtl/>
        </w:rPr>
        <w:t xml:space="preserve"> </w:t>
      </w:r>
      <w:r w:rsidRPr="007E6D8B">
        <w:rPr>
          <w:rFonts w:cs="Arial"/>
          <w:rtl/>
        </w:rPr>
        <w:t>באשה עניה אם לא נתן קצבה לדבר עד מתי אסרו עליה הוא דיוציא ויתן כתובה אבל אם נתן קצבה תמתין עד אותו זמן ובגמרא מפרש עד כמה היא קצבתה</w:t>
      </w:r>
      <w:r>
        <w:rPr>
          <w:rFonts w:cs="Arial" w:hint="cs"/>
          <w:rtl/>
        </w:rPr>
        <w:t>, רש"י.</w:t>
      </w:r>
    </w:p>
  </w:footnote>
  <w:footnote w:id="389">
    <w:p w14:paraId="7C59CDBD" w14:textId="77777777" w:rsidR="00DE2F5F" w:rsidRDefault="00DE2F5F" w:rsidP="004A1CD6">
      <w:pPr>
        <w:pStyle w:val="a5"/>
      </w:pPr>
      <w:r>
        <w:rPr>
          <w:rStyle w:val="a7"/>
        </w:rPr>
        <w:footnoteRef/>
      </w:r>
      <w:r>
        <w:rPr>
          <w:rtl/>
        </w:rPr>
        <w:t xml:space="preserve"> </w:t>
      </w:r>
      <w:r w:rsidRPr="00560D36">
        <w:rPr>
          <w:rFonts w:cs="Arial"/>
          <w:rtl/>
        </w:rPr>
        <w:t>יוציא ויתן כתובה אלמא הוא נותן דהא בנדרה היא וקיים הוא אוקימתא למתניתין</w:t>
      </w:r>
      <w:r>
        <w:rPr>
          <w:rFonts w:cs="Arial" w:hint="cs"/>
          <w:rtl/>
        </w:rPr>
        <w:t>, רש"י.</w:t>
      </w:r>
    </w:p>
  </w:footnote>
  <w:footnote w:id="390">
    <w:p w14:paraId="1C36D083" w14:textId="77777777" w:rsidR="00DE2F5F" w:rsidRDefault="00DE2F5F" w:rsidP="004A1CD6">
      <w:pPr>
        <w:pStyle w:val="a5"/>
      </w:pPr>
      <w:r>
        <w:rPr>
          <w:rStyle w:val="a7"/>
        </w:rPr>
        <w:footnoteRef/>
      </w:r>
      <w:r>
        <w:rPr>
          <w:rtl/>
        </w:rPr>
        <w:t xml:space="preserve"> </w:t>
      </w:r>
      <w:r w:rsidRPr="00560D36">
        <w:rPr>
          <w:rFonts w:cs="Arial"/>
          <w:rtl/>
        </w:rPr>
        <w:t>נדרי קישוט מדקניס ליה כתובה על שקיימו</w:t>
      </w:r>
      <w:r>
        <w:rPr>
          <w:rFonts w:cs="Arial" w:hint="cs"/>
          <w:rtl/>
        </w:rPr>
        <w:t>, רש"י.</w:t>
      </w:r>
    </w:p>
  </w:footnote>
  <w:footnote w:id="391">
    <w:p w14:paraId="3427DCC1" w14:textId="3BBBA995" w:rsidR="00DE2F5F" w:rsidRDefault="00DE2F5F">
      <w:pPr>
        <w:pStyle w:val="a5"/>
      </w:pPr>
      <w:r>
        <w:rPr>
          <w:rStyle w:val="a7"/>
        </w:rPr>
        <w:footnoteRef/>
      </w:r>
      <w:r>
        <w:rPr>
          <w:rtl/>
        </w:rPr>
        <w:t xml:space="preserve"> </w:t>
      </w:r>
      <w:r w:rsidRPr="00087AB3">
        <w:rPr>
          <w:rFonts w:cs="Arial"/>
          <w:rtl/>
        </w:rPr>
        <w:t>סם המשיר את השער</w:t>
      </w:r>
      <w:r>
        <w:rPr>
          <w:rFonts w:cs="Arial" w:hint="cs"/>
          <w:rtl/>
        </w:rPr>
        <w:t>, רש"י.</w:t>
      </w:r>
    </w:p>
  </w:footnote>
  <w:footnote w:id="392">
    <w:p w14:paraId="37F50F14" w14:textId="38770183" w:rsidR="00DE2F5F" w:rsidRDefault="00DE2F5F">
      <w:pPr>
        <w:pStyle w:val="a5"/>
      </w:pPr>
      <w:r>
        <w:rPr>
          <w:rStyle w:val="a7"/>
        </w:rPr>
        <w:footnoteRef/>
      </w:r>
      <w:r>
        <w:rPr>
          <w:rtl/>
        </w:rPr>
        <w:t xml:space="preserve"> </w:t>
      </w:r>
      <w:r w:rsidRPr="00087AB3">
        <w:rPr>
          <w:rFonts w:cs="Arial"/>
          <w:rtl/>
        </w:rPr>
        <w:t>בעפר חור שהוא גדל שם כלומר בדבר שהוא רגיל בו בקי הוא להשמר שאינו מזיקו</w:t>
      </w:r>
      <w:r>
        <w:rPr>
          <w:rFonts w:cs="Arial" w:hint="cs"/>
          <w:rtl/>
        </w:rPr>
        <w:t>, רש"י.</w:t>
      </w:r>
      <w:r w:rsidRPr="00087AB3">
        <w:rPr>
          <w:rtl/>
        </w:rPr>
        <w:t xml:space="preserve"> </w:t>
      </w:r>
      <w:r w:rsidRPr="00087AB3">
        <w:rPr>
          <w:rFonts w:cs="Arial"/>
          <w:rtl/>
        </w:rPr>
        <w:t>ואינו נפגע מכך שאינה משירה את שערה שבאותו מקום, ואין סיבה שנאפשר לו להפר לה את הנדר</w:t>
      </w:r>
      <w:r>
        <w:rPr>
          <w:rFonts w:hint="cs"/>
          <w:rtl/>
        </w:rPr>
        <w:t xml:space="preserve"> (חברותא).</w:t>
      </w:r>
    </w:p>
  </w:footnote>
  <w:footnote w:id="393">
    <w:p w14:paraId="6816E022" w14:textId="6DBDF40F" w:rsidR="00DE2F5F" w:rsidRDefault="00DE2F5F">
      <w:pPr>
        <w:pStyle w:val="a5"/>
      </w:pPr>
      <w:r>
        <w:rPr>
          <w:rStyle w:val="a7"/>
        </w:rPr>
        <w:footnoteRef/>
      </w:r>
      <w:r>
        <w:rPr>
          <w:rtl/>
        </w:rPr>
        <w:t xml:space="preserve"> </w:t>
      </w:r>
      <w:r w:rsidRPr="00EF65A2">
        <w:rPr>
          <w:rFonts w:cs="Arial"/>
          <w:rtl/>
        </w:rPr>
        <w:t>אמאי יוציא לאלתר ויתן כתובה ותתקשט ותאסר והות ליה כמדיר את אשתו מתשמיש המטה ותנן בפרק אף על פי לבית שמאי שתי שבתות ולבית הלל שבת אחת</w:t>
      </w:r>
      <w:r>
        <w:rPr>
          <w:rFonts w:cs="Arial" w:hint="cs"/>
          <w:rtl/>
        </w:rPr>
        <w:t>, רש"י.</w:t>
      </w:r>
    </w:p>
  </w:footnote>
  <w:footnote w:id="394">
    <w:p w14:paraId="7DE9E703" w14:textId="77777777" w:rsidR="00DE2F5F" w:rsidRDefault="00DE2F5F" w:rsidP="004A1CD6">
      <w:pPr>
        <w:pStyle w:val="a5"/>
        <w:rPr>
          <w:rtl/>
        </w:rPr>
      </w:pPr>
      <w:r>
        <w:rPr>
          <w:rStyle w:val="a7"/>
        </w:rPr>
        <w:footnoteRef/>
      </w:r>
      <w:r>
        <w:rPr>
          <w:rtl/>
        </w:rPr>
        <w:t xml:space="preserve"> </w:t>
      </w:r>
      <w:r>
        <w:rPr>
          <w:rFonts w:cs="Arial"/>
          <w:rtl/>
        </w:rPr>
        <w:t>כלומר וכיון שאינה סבורה שיתפייס עוד לא תקנו חכמים שתמתין הואיל וקשה לה</w:t>
      </w:r>
      <w:r>
        <w:rPr>
          <w:rFonts w:cs="Arial" w:hint="cs"/>
          <w:rtl/>
        </w:rPr>
        <w:t>, ב"י</w:t>
      </w:r>
      <w:r>
        <w:rPr>
          <w:rFonts w:cs="Arial"/>
          <w:rtl/>
        </w:rPr>
        <w:t>.</w:t>
      </w:r>
    </w:p>
  </w:footnote>
  <w:footnote w:id="395">
    <w:p w14:paraId="78DFDB56" w14:textId="65557627" w:rsidR="00DE2F5F" w:rsidRDefault="00DE2F5F">
      <w:pPr>
        <w:pStyle w:val="a5"/>
      </w:pPr>
      <w:r>
        <w:rPr>
          <w:rStyle w:val="a7"/>
        </w:rPr>
        <w:footnoteRef/>
      </w:r>
      <w:r>
        <w:rPr>
          <w:rtl/>
        </w:rPr>
        <w:t xml:space="preserve"> </w:t>
      </w:r>
      <w:r w:rsidRPr="00DD037B">
        <w:rPr>
          <w:rFonts w:cs="Arial"/>
          <w:rtl/>
        </w:rPr>
        <w:t>כלומר אם נתן קצבה עד כמה לא כייפינן ליה להוציא</w:t>
      </w:r>
      <w:r>
        <w:rPr>
          <w:rFonts w:cs="Arial" w:hint="cs"/>
          <w:rtl/>
        </w:rPr>
        <w:t>, רש"י.</w:t>
      </w:r>
    </w:p>
  </w:footnote>
  <w:footnote w:id="396">
    <w:p w14:paraId="23792F7C" w14:textId="19E9F4FB" w:rsidR="00DE2F5F" w:rsidRDefault="00DE2F5F" w:rsidP="005F6ABE">
      <w:pPr>
        <w:pStyle w:val="a5"/>
      </w:pPr>
      <w:r>
        <w:rPr>
          <w:rStyle w:val="a7"/>
        </w:rPr>
        <w:footnoteRef/>
      </w:r>
      <w:r>
        <w:rPr>
          <w:rtl/>
        </w:rPr>
        <w:t xml:space="preserve"> </w:t>
      </w:r>
      <w:r>
        <w:rPr>
          <w:rFonts w:cs="Arial"/>
          <w:rtl/>
        </w:rPr>
        <w:t>דע שכל מקום שתראה המדיר את אשתו מכך וכך ר"ל שהוא אוסר הנאתו עליה אם תעשה כך</w:t>
      </w:r>
      <w:r>
        <w:rPr>
          <w:rFonts w:cs="Arial" w:hint="cs"/>
          <w:rtl/>
        </w:rPr>
        <w:t>,</w:t>
      </w:r>
      <w:r>
        <w:rPr>
          <w:rFonts w:cs="Arial"/>
          <w:rtl/>
        </w:rPr>
        <w:t xml:space="preserve"> אבל האוסר על אשתו ואומר הריני אוסר עליך שלא תעשי כך </w:t>
      </w:r>
      <w:r>
        <w:rPr>
          <w:rFonts w:cs="Arial" w:hint="cs"/>
          <w:rtl/>
        </w:rPr>
        <w:t xml:space="preserve">- </w:t>
      </w:r>
      <w:r>
        <w:rPr>
          <w:rFonts w:cs="Arial"/>
          <w:rtl/>
        </w:rPr>
        <w:t>אין בדבריו כלום</w:t>
      </w:r>
      <w:r>
        <w:rPr>
          <w:rFonts w:cs="Arial" w:hint="cs"/>
          <w:rtl/>
        </w:rPr>
        <w:t>,</w:t>
      </w:r>
      <w:r>
        <w:rPr>
          <w:rFonts w:cs="Arial"/>
          <w:rtl/>
        </w:rPr>
        <w:t xml:space="preserve"> וזה פשוט</w:t>
      </w:r>
      <w:r>
        <w:rPr>
          <w:rFonts w:cs="Arial" w:hint="cs"/>
          <w:rtl/>
        </w:rPr>
        <w:t>, הה"מ (</w:t>
      </w:r>
      <w:r>
        <w:rPr>
          <w:rFonts w:cs="Arial"/>
          <w:rtl/>
        </w:rPr>
        <w:t>פי"ב שם</w:t>
      </w:r>
      <w:r>
        <w:rPr>
          <w:rFonts w:cs="Arial" w:hint="cs"/>
          <w:rtl/>
        </w:rPr>
        <w:t>, הביאו הב"י בסוף סי' עב</w:t>
      </w:r>
      <w:r>
        <w:rPr>
          <w:rFonts w:cs="Arial"/>
          <w:rtl/>
        </w:rPr>
        <w:t>)</w:t>
      </w:r>
      <w:r>
        <w:rPr>
          <w:rFonts w:cs="Arial" w:hint="cs"/>
          <w:rtl/>
        </w:rPr>
        <w:t>.</w:t>
      </w:r>
    </w:p>
  </w:footnote>
  <w:footnote w:id="397">
    <w:p w14:paraId="081838C7" w14:textId="77777777" w:rsidR="00C65F99" w:rsidRDefault="00C65F99" w:rsidP="00C65F99">
      <w:pPr>
        <w:pStyle w:val="a5"/>
      </w:pPr>
      <w:r>
        <w:rPr>
          <w:rStyle w:val="a7"/>
        </w:rPr>
        <w:footnoteRef/>
      </w:r>
      <w:r>
        <w:rPr>
          <w:rtl/>
        </w:rPr>
        <w:t xml:space="preserve"> </w:t>
      </w:r>
      <w:r>
        <w:rPr>
          <w:rFonts w:cs="Arial"/>
          <w:rtl/>
        </w:rPr>
        <w:t xml:space="preserve">וטעמו מפני שהוא פוסק כרבי יוסי משום דשקלו וטרו אמוראי אליביה </w:t>
      </w:r>
      <w:r>
        <w:rPr>
          <w:rFonts w:cs="Arial" w:hint="cs"/>
          <w:rtl/>
        </w:rPr>
        <w:t>(</w:t>
      </w:r>
      <w:r>
        <w:rPr>
          <w:rFonts w:cs="Arial"/>
          <w:rtl/>
        </w:rPr>
        <w:t>בגמרא עא:)</w:t>
      </w:r>
      <w:r>
        <w:rPr>
          <w:rFonts w:cs="Arial" w:hint="cs"/>
          <w:rtl/>
        </w:rPr>
        <w:t>...</w:t>
      </w:r>
      <w:r w:rsidRPr="00DD037B">
        <w:rPr>
          <w:rFonts w:cs="Arial"/>
          <w:rtl/>
        </w:rPr>
        <w:t xml:space="preserve"> </w:t>
      </w:r>
      <w:r>
        <w:rPr>
          <w:rFonts w:cs="Arial"/>
          <w:rtl/>
        </w:rPr>
        <w:t>וכתב הר"ן (לב. ד"ה גרסי') הרי"ף השמיט כל זה משום דאליבא דרבי יוסי איתמר וכתב משנתינו בצורתה</w:t>
      </w:r>
      <w:r>
        <w:rPr>
          <w:rFonts w:cs="Arial" w:hint="cs"/>
          <w:rtl/>
        </w:rPr>
        <w:t>,</w:t>
      </w:r>
      <w:r>
        <w:rPr>
          <w:rFonts w:cs="Arial"/>
          <w:rtl/>
        </w:rPr>
        <w:t xml:space="preserve"> ומשמע דס"ל דלא קיי"ל כרבי יוסי אלא כת"ק דפליג עליה</w:t>
      </w:r>
      <w:r>
        <w:rPr>
          <w:rFonts w:cs="Arial" w:hint="cs"/>
          <w:rtl/>
        </w:rPr>
        <w:t>,</w:t>
      </w:r>
      <w:r>
        <w:rPr>
          <w:rFonts w:cs="Arial"/>
          <w:rtl/>
        </w:rPr>
        <w:t xml:space="preserve"> ואע</w:t>
      </w:r>
      <w:r>
        <w:rPr>
          <w:rFonts w:cs="Arial" w:hint="cs"/>
          <w:rtl/>
        </w:rPr>
        <w:t>"</w:t>
      </w:r>
      <w:r>
        <w:rPr>
          <w:rFonts w:cs="Arial"/>
          <w:rtl/>
        </w:rPr>
        <w:t>ג דהני אמוראי שקלי וטרו אליבא דרבי יוסי לאו משום דס"ל כותיה אלא משום דצריכי לפרושי מילתיה לתת קצבה כמה</w:t>
      </w:r>
      <w:r>
        <w:rPr>
          <w:rFonts w:cs="Arial" w:hint="cs"/>
          <w:rtl/>
        </w:rPr>
        <w:t>.</w:t>
      </w:r>
      <w:r>
        <w:rPr>
          <w:rFonts w:cs="Arial"/>
          <w:rtl/>
        </w:rPr>
        <w:t xml:space="preserve"> אבל ר"ח פסק כרבי יוסי וכרבי יוחנן דאמר י' שנים</w:t>
      </w:r>
      <w:r>
        <w:rPr>
          <w:rFonts w:cs="Arial" w:hint="cs"/>
          <w:rtl/>
        </w:rPr>
        <w:t>,</w:t>
      </w:r>
      <w:r>
        <w:rPr>
          <w:rFonts w:cs="Arial"/>
          <w:rtl/>
        </w:rPr>
        <w:t xml:space="preserve"> ומשמע דטעמיה משום דשמואל ורבי יוחנן הלכה כרבי יוחנן</w:t>
      </w:r>
      <w:r>
        <w:rPr>
          <w:rFonts w:cs="Arial" w:hint="cs"/>
          <w:rtl/>
        </w:rPr>
        <w:t>.</w:t>
      </w:r>
      <w:r>
        <w:rPr>
          <w:rFonts w:cs="Arial"/>
          <w:rtl/>
        </w:rPr>
        <w:t xml:space="preserve"> ואיכא מ"ד דהלכתא כרב חסדא</w:t>
      </w:r>
      <w:r>
        <w:rPr>
          <w:rFonts w:cs="Arial" w:hint="cs"/>
          <w:rtl/>
        </w:rPr>
        <w:t>.</w:t>
      </w:r>
      <w:r>
        <w:rPr>
          <w:rFonts w:cs="Arial"/>
          <w:rtl/>
        </w:rPr>
        <w:t xml:space="preserve"> והרמב"ם ז"ל פסק כרב יהודה אמר שמואל</w:t>
      </w:r>
      <w:r>
        <w:rPr>
          <w:rFonts w:cs="Arial" w:hint="cs"/>
          <w:rtl/>
        </w:rPr>
        <w:t>,</w:t>
      </w:r>
      <w:r>
        <w:rPr>
          <w:rFonts w:cs="Arial"/>
          <w:rtl/>
        </w:rPr>
        <w:t xml:space="preserve"> ומשמע דטעמיה משום דאמר מילתא מציעתא</w:t>
      </w:r>
      <w:r>
        <w:rPr>
          <w:rFonts w:cs="Arial" w:hint="cs"/>
          <w:rtl/>
        </w:rPr>
        <w:t>,</w:t>
      </w:r>
      <w:r>
        <w:rPr>
          <w:rFonts w:cs="Arial"/>
          <w:rtl/>
        </w:rPr>
        <w:t xml:space="preserve"> דרבי יוחנן קאי כותיה דלא אמרינן זמן מועט מזה ורב חסדא קאי כותיה דלא אמרינן זמן מרובה מזה עכ"ל. וגם הה</w:t>
      </w:r>
      <w:r>
        <w:rPr>
          <w:rFonts w:cs="Arial" w:hint="cs"/>
          <w:rtl/>
        </w:rPr>
        <w:t>"</w:t>
      </w:r>
      <w:r>
        <w:rPr>
          <w:rFonts w:cs="Arial"/>
          <w:rtl/>
        </w:rPr>
        <w:t>מ נתן טעם זה לדברי הרמב"ם ז"ל</w:t>
      </w:r>
      <w:r>
        <w:rPr>
          <w:rFonts w:cs="Arial" w:hint="cs"/>
          <w:rtl/>
        </w:rPr>
        <w:t>, ב"י.</w:t>
      </w:r>
    </w:p>
  </w:footnote>
  <w:footnote w:id="398">
    <w:p w14:paraId="76BAE1D5" w14:textId="77777777" w:rsidR="00DE2F5F" w:rsidRDefault="00DE2F5F" w:rsidP="00233CC5">
      <w:pPr>
        <w:pStyle w:val="a5"/>
        <w:rPr>
          <w:rtl/>
        </w:rPr>
      </w:pPr>
      <w:r>
        <w:rPr>
          <w:rStyle w:val="a7"/>
        </w:rPr>
        <w:footnoteRef/>
      </w:r>
      <w:r>
        <w:rPr>
          <w:rtl/>
        </w:rPr>
        <w:t xml:space="preserve"> </w:t>
      </w:r>
      <w:r>
        <w:rPr>
          <w:rFonts w:cs="Arial"/>
          <w:rtl/>
        </w:rPr>
        <w:t>הדבר פשוט שהוא פוסק כרבי יוסי וכרב חסדא דהוא בתרא</w:t>
      </w:r>
      <w:r>
        <w:rPr>
          <w:rFonts w:hint="cs"/>
          <w:rtl/>
        </w:rPr>
        <w:t>, ב"י.</w:t>
      </w:r>
    </w:p>
  </w:footnote>
  <w:footnote w:id="399">
    <w:p w14:paraId="3145A69C" w14:textId="768775E5" w:rsidR="00DE2F5F" w:rsidRDefault="00DE2F5F">
      <w:pPr>
        <w:pStyle w:val="a5"/>
      </w:pPr>
      <w:r>
        <w:rPr>
          <w:rStyle w:val="a7"/>
        </w:rPr>
        <w:footnoteRef/>
      </w:r>
      <w:r>
        <w:rPr>
          <w:rtl/>
        </w:rPr>
        <w:t xml:space="preserve"> </w:t>
      </w:r>
      <w:r w:rsidRPr="00233CC5">
        <w:rPr>
          <w:rFonts w:cs="Arial"/>
          <w:rtl/>
        </w:rPr>
        <w:t>הרא"ש (סי' ב) השמיט כל מחלקות האמוראים ולא כתב אלא משנתינו כצורתה</w:t>
      </w:r>
      <w:r w:rsidR="00491AA8">
        <w:rPr>
          <w:rFonts w:cs="Arial" w:hint="cs"/>
          <w:rtl/>
        </w:rPr>
        <w:t>,</w:t>
      </w:r>
      <w:r w:rsidRPr="00233CC5">
        <w:rPr>
          <w:rFonts w:cs="Arial"/>
          <w:rtl/>
        </w:rPr>
        <w:t xml:space="preserve"> משמע דס"ל דהלכה כת"ק וכדעת הרי"ף ז"ל וזהו שכתב רבינו </w:t>
      </w:r>
      <w:r w:rsidR="00491AA8">
        <w:rPr>
          <w:rFonts w:cs="Arial" w:hint="cs"/>
          <w:rtl/>
        </w:rPr>
        <w:t>"</w:t>
      </w:r>
      <w:r w:rsidRPr="00233CC5">
        <w:rPr>
          <w:rFonts w:cs="Arial"/>
          <w:rtl/>
        </w:rPr>
        <w:t>וכאשר כתבתי כן נראה לאדוני אבי הרא"ש ז"ל</w:t>
      </w:r>
      <w:r w:rsidR="00491AA8">
        <w:rPr>
          <w:rFonts w:cs="Arial" w:hint="cs"/>
          <w:rtl/>
        </w:rPr>
        <w:t>"</w:t>
      </w:r>
      <w:r>
        <w:rPr>
          <w:rFonts w:cs="Arial" w:hint="cs"/>
          <w:rtl/>
        </w:rPr>
        <w:t>, ב"י.</w:t>
      </w:r>
    </w:p>
  </w:footnote>
  <w:footnote w:id="400">
    <w:p w14:paraId="7A7F2239" w14:textId="2FB5520B" w:rsidR="00DE2F5F" w:rsidRDefault="00DE2F5F">
      <w:pPr>
        <w:pStyle w:val="a5"/>
      </w:pPr>
      <w:r>
        <w:rPr>
          <w:rStyle w:val="a7"/>
        </w:rPr>
        <w:footnoteRef/>
      </w:r>
      <w:r>
        <w:rPr>
          <w:rtl/>
        </w:rPr>
        <w:t xml:space="preserve"> </w:t>
      </w:r>
      <w:r>
        <w:rPr>
          <w:rFonts w:cs="Arial"/>
          <w:rtl/>
        </w:rPr>
        <w:t>ועיין עוד חילוקי דינים אלו ביורה דעה סימן רל"ה</w:t>
      </w:r>
      <w:r>
        <w:rPr>
          <w:rFonts w:cs="Arial" w:hint="cs"/>
          <w:rtl/>
        </w:rPr>
        <w:t>.</w:t>
      </w:r>
    </w:p>
  </w:footnote>
  <w:footnote w:id="401">
    <w:p w14:paraId="745B82B5" w14:textId="09C46AD4" w:rsidR="00DE2F5F" w:rsidRDefault="00DE2F5F">
      <w:pPr>
        <w:pStyle w:val="a5"/>
      </w:pPr>
      <w:r>
        <w:rPr>
          <w:rStyle w:val="a7"/>
        </w:rPr>
        <w:footnoteRef/>
      </w:r>
      <w:r>
        <w:rPr>
          <w:rtl/>
        </w:rPr>
        <w:t xml:space="preserve"> </w:t>
      </w:r>
      <w:r w:rsidRPr="003C29C7">
        <w:rPr>
          <w:rFonts w:cs="Arial"/>
          <w:rtl/>
        </w:rPr>
        <w:t>תימה</w:t>
      </w:r>
      <w:r>
        <w:rPr>
          <w:rFonts w:cs="Arial" w:hint="cs"/>
          <w:rtl/>
        </w:rPr>
        <w:t>,</w:t>
      </w:r>
      <w:r w:rsidRPr="003C29C7">
        <w:rPr>
          <w:rFonts w:cs="Arial"/>
          <w:rtl/>
        </w:rPr>
        <w:t xml:space="preserve"> דעל כרחך לא מיירי הכא בנדרה היא וקיים לה הוא</w:t>
      </w:r>
      <w:r>
        <w:rPr>
          <w:rFonts w:cs="Arial" w:hint="cs"/>
          <w:rtl/>
        </w:rPr>
        <w:t>,</w:t>
      </w:r>
      <w:r w:rsidRPr="003C29C7">
        <w:rPr>
          <w:rFonts w:cs="Arial"/>
          <w:rtl/>
        </w:rPr>
        <w:t xml:space="preserve"> דהא קתני סיפא </w:t>
      </w:r>
      <w:r w:rsidR="00491AA8">
        <w:rPr>
          <w:rFonts w:cs="Arial" w:hint="cs"/>
          <w:rtl/>
        </w:rPr>
        <w:t>"</w:t>
      </w:r>
      <w:r w:rsidRPr="003C29C7">
        <w:rPr>
          <w:rFonts w:cs="Arial"/>
          <w:rtl/>
        </w:rPr>
        <w:t>וכן היא שנדרה</w:t>
      </w:r>
      <w:r w:rsidR="00491AA8">
        <w:rPr>
          <w:rFonts w:cs="Arial" w:hint="cs"/>
          <w:rtl/>
        </w:rPr>
        <w:t>"</w:t>
      </w:r>
      <w:r>
        <w:rPr>
          <w:rFonts w:cs="Arial" w:hint="cs"/>
          <w:rtl/>
        </w:rPr>
        <w:t>,</w:t>
      </w:r>
      <w:r w:rsidRPr="003C29C7">
        <w:rPr>
          <w:rFonts w:cs="Arial"/>
          <w:rtl/>
        </w:rPr>
        <w:t xml:space="preserve"> ואיהו לא מצי לאדורה אא"כ תלה בתשמיש</w:t>
      </w:r>
      <w:r>
        <w:rPr>
          <w:rFonts w:cs="Arial" w:hint="cs"/>
          <w:rtl/>
        </w:rPr>
        <w:t>,</w:t>
      </w:r>
      <w:r w:rsidRPr="003C29C7">
        <w:rPr>
          <w:rFonts w:cs="Arial"/>
          <w:rtl/>
        </w:rPr>
        <w:t xml:space="preserve"> וא"כ לשמואל למה יוציא לאלתר</w:t>
      </w:r>
      <w:r>
        <w:rPr>
          <w:rFonts w:cs="Arial" w:hint="cs"/>
          <w:rtl/>
        </w:rPr>
        <w:t>,</w:t>
      </w:r>
      <w:r w:rsidRPr="003C29C7">
        <w:rPr>
          <w:rFonts w:cs="Arial"/>
          <w:rtl/>
        </w:rPr>
        <w:t xml:space="preserve"> ותשאל ותיאסר לב"ה שבת אחת</w:t>
      </w:r>
      <w:r>
        <w:rPr>
          <w:rFonts w:cs="Arial" w:hint="cs"/>
          <w:rtl/>
        </w:rPr>
        <w:t>.</w:t>
      </w:r>
      <w:r w:rsidRPr="003C29C7">
        <w:rPr>
          <w:rFonts w:cs="Arial"/>
          <w:rtl/>
        </w:rPr>
        <w:t xml:space="preserve"> וי"ל דלעולם שלא תלה בתשמיש אלא כגון שאסר על עצמו הנאת שאילתה</w:t>
      </w:r>
      <w:r>
        <w:rPr>
          <w:rFonts w:cs="Arial" w:hint="cs"/>
          <w:rtl/>
        </w:rPr>
        <w:t>,</w:t>
      </w:r>
      <w:r w:rsidRPr="003C29C7">
        <w:rPr>
          <w:rFonts w:cs="Arial"/>
          <w:rtl/>
        </w:rPr>
        <w:t xml:space="preserve"> ואינה יכולה בשביל זה לשאל</w:t>
      </w:r>
      <w:r>
        <w:rPr>
          <w:rFonts w:cs="Arial" w:hint="cs"/>
          <w:rtl/>
        </w:rPr>
        <w:t>,</w:t>
      </w:r>
      <w:r w:rsidRPr="003C29C7">
        <w:rPr>
          <w:rFonts w:cs="Arial"/>
          <w:rtl/>
        </w:rPr>
        <w:t xml:space="preserve"> ולא תשאיל שאסר הנאת כליו שלא תוכל להשאילם</w:t>
      </w:r>
      <w:r>
        <w:rPr>
          <w:rFonts w:cs="Arial" w:hint="cs"/>
          <w:rtl/>
        </w:rPr>
        <w:t>, תוס' (שם ד"ה המדיר את אשתו)</w:t>
      </w:r>
      <w:r>
        <w:rPr>
          <w:rFonts w:cs="Arial"/>
          <w:rtl/>
        </w:rPr>
        <w:t>. ועל פי זה כתב רבינו אסר הבעל כלי שכניו עליו או כליו על שכניו</w:t>
      </w:r>
      <w:r>
        <w:rPr>
          <w:rFonts w:cs="Arial" w:hint="cs"/>
          <w:rtl/>
        </w:rPr>
        <w:t>, ב"י.</w:t>
      </w:r>
      <w:r w:rsidR="00491AA8">
        <w:rPr>
          <w:rFonts w:cs="Arial" w:hint="cs"/>
          <w:rtl/>
        </w:rPr>
        <w:t xml:space="preserve"> </w:t>
      </w:r>
    </w:p>
  </w:footnote>
  <w:footnote w:id="402">
    <w:p w14:paraId="768A3139" w14:textId="16D2FC76" w:rsidR="00DE2F5F" w:rsidRDefault="00DE2F5F">
      <w:pPr>
        <w:pStyle w:val="a5"/>
      </w:pPr>
      <w:r>
        <w:rPr>
          <w:rStyle w:val="a7"/>
        </w:rPr>
        <w:footnoteRef/>
      </w:r>
      <w:r>
        <w:rPr>
          <w:rtl/>
        </w:rPr>
        <w:t xml:space="preserve"> </w:t>
      </w:r>
      <w:r>
        <w:rPr>
          <w:rFonts w:hint="cs"/>
          <w:rtl/>
        </w:rPr>
        <w:t>ושמע וקיים לה, כדמפרש. וכתב הב"י ד</w:t>
      </w:r>
      <w:r>
        <w:rPr>
          <w:rFonts w:cs="Arial"/>
          <w:rtl/>
        </w:rPr>
        <w:t xml:space="preserve">כבר נתבאר </w:t>
      </w:r>
      <w:r>
        <w:rPr>
          <w:rFonts w:cs="Arial" w:hint="cs"/>
          <w:rtl/>
        </w:rPr>
        <w:t xml:space="preserve">הטעם </w:t>
      </w:r>
      <w:r>
        <w:rPr>
          <w:rFonts w:cs="Arial"/>
          <w:rtl/>
        </w:rPr>
        <w:t>בתחלת סימן זה דכל שנדרה היא וקיים לה איהו סברא מיסנא הוא דסני לי ומשום הכי יוציא מיד ויתן כתובה</w:t>
      </w:r>
      <w:r>
        <w:rPr>
          <w:rFonts w:hint="cs"/>
          <w:rtl/>
        </w:rPr>
        <w:t xml:space="preserve">. </w:t>
      </w:r>
    </w:p>
  </w:footnote>
  <w:footnote w:id="403">
    <w:p w14:paraId="72021D49" w14:textId="39CE4D56" w:rsidR="00DE2F5F" w:rsidRDefault="00DE2F5F" w:rsidP="000755D8">
      <w:pPr>
        <w:pStyle w:val="a5"/>
        <w:rPr>
          <w:rtl/>
        </w:rPr>
      </w:pPr>
      <w:r>
        <w:rPr>
          <w:rStyle w:val="a7"/>
        </w:rPr>
        <w:footnoteRef/>
      </w:r>
      <w:r>
        <w:rPr>
          <w:rtl/>
        </w:rPr>
        <w:t xml:space="preserve"> </w:t>
      </w:r>
      <w:r>
        <w:rPr>
          <w:rFonts w:cs="Arial"/>
          <w:rtl/>
        </w:rPr>
        <w:t xml:space="preserve">וכתב </w:t>
      </w:r>
      <w:r>
        <w:rPr>
          <w:rFonts w:cs="Arial" w:hint="cs"/>
          <w:rtl/>
        </w:rPr>
        <w:t>הה"מ</w:t>
      </w:r>
      <w:r w:rsidR="003E3811">
        <w:rPr>
          <w:rFonts w:cs="Arial" w:hint="cs"/>
          <w:rtl/>
        </w:rPr>
        <w:t>:</w:t>
      </w:r>
      <w:r>
        <w:rPr>
          <w:rFonts w:cs="Arial"/>
          <w:rtl/>
        </w:rPr>
        <w:t xml:space="preserve"> כתב רבינו </w:t>
      </w:r>
      <w:r>
        <w:rPr>
          <w:rFonts w:cs="Arial" w:hint="cs"/>
          <w:rtl/>
        </w:rPr>
        <w:t>'</w:t>
      </w:r>
      <w:r>
        <w:rPr>
          <w:rFonts w:cs="Arial"/>
          <w:rtl/>
        </w:rPr>
        <w:t>יתיר את נדרו</w:t>
      </w:r>
      <w:r>
        <w:rPr>
          <w:rFonts w:cs="Arial" w:hint="cs"/>
          <w:rtl/>
        </w:rPr>
        <w:t>'</w:t>
      </w:r>
      <w:r>
        <w:rPr>
          <w:rFonts w:cs="Arial"/>
          <w:rtl/>
        </w:rPr>
        <w:t xml:space="preserve"> פירוש שממתינים לו שלשים יום כנזכר פי"ב (הכ"ג)</w:t>
      </w:r>
      <w:r>
        <w:rPr>
          <w:rFonts w:cs="Arial" w:hint="cs"/>
          <w:rtl/>
        </w:rPr>
        <w:t>.</w:t>
      </w:r>
      <w:r>
        <w:rPr>
          <w:rFonts w:cs="Arial"/>
          <w:rtl/>
        </w:rPr>
        <w:t xml:space="preserve"> ואע</w:t>
      </w:r>
      <w:r>
        <w:rPr>
          <w:rFonts w:cs="Arial" w:hint="cs"/>
          <w:rtl/>
        </w:rPr>
        <w:t>"</w:t>
      </w:r>
      <w:r>
        <w:rPr>
          <w:rFonts w:cs="Arial"/>
          <w:rtl/>
        </w:rPr>
        <w:t>פ שבגמרא לא אמרו אלא יוציא ויתן כתובה</w:t>
      </w:r>
      <w:r>
        <w:rPr>
          <w:rFonts w:cs="Arial" w:hint="cs"/>
          <w:rtl/>
        </w:rPr>
        <w:t>,</w:t>
      </w:r>
      <w:r>
        <w:rPr>
          <w:rFonts w:cs="Arial"/>
          <w:rtl/>
        </w:rPr>
        <w:t xml:space="preserve"> לא אמרו לאלתר</w:t>
      </w:r>
      <w:r>
        <w:rPr>
          <w:rFonts w:cs="Arial" w:hint="cs"/>
          <w:rtl/>
        </w:rPr>
        <w:t>,</w:t>
      </w:r>
      <w:r>
        <w:rPr>
          <w:rFonts w:cs="Arial"/>
          <w:rtl/>
        </w:rPr>
        <w:t xml:space="preserve"> שלא הוצרכו אלא ללמד שעיקר הנדר קשה לה</w:t>
      </w:r>
      <w:r>
        <w:rPr>
          <w:rFonts w:cs="Arial" w:hint="cs"/>
          <w:rtl/>
        </w:rPr>
        <w:t>,</w:t>
      </w:r>
      <w:r>
        <w:rPr>
          <w:rFonts w:cs="Arial"/>
          <w:rtl/>
        </w:rPr>
        <w:t xml:space="preserve"> או ישאל על נדרו או יוציא ויתן כתובה</w:t>
      </w:r>
      <w:r>
        <w:rPr>
          <w:rFonts w:cs="Arial" w:hint="cs"/>
          <w:rtl/>
        </w:rPr>
        <w:t>.</w:t>
      </w:r>
      <w:r>
        <w:rPr>
          <w:rFonts w:cs="Arial"/>
          <w:rtl/>
        </w:rPr>
        <w:t xml:space="preserve"> וכן פירשו קצת מפרשים ז"ל</w:t>
      </w:r>
      <w:r>
        <w:rPr>
          <w:rFonts w:cs="Arial" w:hint="cs"/>
          <w:rtl/>
        </w:rPr>
        <w:t>.</w:t>
      </w:r>
      <w:r>
        <w:rPr>
          <w:rFonts w:cs="Arial"/>
          <w:rtl/>
        </w:rPr>
        <w:t xml:space="preserve"> וכבר כתבתי פי"ב (הכ"ד) שכל מקום שנזכר הדירה ר"ל שהדירה מהנאתו אם תעשה כך עכ"ל</w:t>
      </w:r>
      <w:r>
        <w:rPr>
          <w:rFonts w:hint="cs"/>
          <w:rtl/>
        </w:rPr>
        <w:t>, ב"י.</w:t>
      </w:r>
    </w:p>
  </w:footnote>
  <w:footnote w:id="404">
    <w:p w14:paraId="4ADB174B" w14:textId="2B7246E5" w:rsidR="00DE2F5F" w:rsidRDefault="00DE2F5F">
      <w:pPr>
        <w:pStyle w:val="a5"/>
      </w:pPr>
      <w:r>
        <w:rPr>
          <w:rStyle w:val="a7"/>
        </w:rPr>
        <w:footnoteRef/>
      </w:r>
      <w:r>
        <w:rPr>
          <w:rtl/>
        </w:rPr>
        <w:t xml:space="preserve"> </w:t>
      </w:r>
      <w:r>
        <w:rPr>
          <w:rFonts w:cs="Arial"/>
          <w:rtl/>
        </w:rPr>
        <w:t>מבואר בדברי התוספות דבתלה בתשמיש לא יוציא עד שיעבור שבת</w:t>
      </w:r>
      <w:r>
        <w:rPr>
          <w:rFonts w:cs="Arial" w:hint="cs"/>
          <w:rtl/>
        </w:rPr>
        <w:t>,</w:t>
      </w:r>
      <w:r>
        <w:rPr>
          <w:rFonts w:cs="Arial"/>
          <w:rtl/>
        </w:rPr>
        <w:t xml:space="preserve"> דהוי כמדירה מתשמיש</w:t>
      </w:r>
      <w:r>
        <w:rPr>
          <w:rFonts w:cs="Arial" w:hint="cs"/>
          <w:rtl/>
        </w:rPr>
        <w:t>,</w:t>
      </w:r>
      <w:r>
        <w:rPr>
          <w:rFonts w:cs="Arial"/>
          <w:rtl/>
        </w:rPr>
        <w:t xml:space="preserve"> והכי אמרינן בהדיא בגמרא וכמו שכתבתי בתחלת סימן זה</w:t>
      </w:r>
      <w:r>
        <w:rPr>
          <w:rFonts w:cs="Arial" w:hint="cs"/>
          <w:rtl/>
        </w:rPr>
        <w:t>, ב"י.</w:t>
      </w:r>
    </w:p>
  </w:footnote>
  <w:footnote w:id="405">
    <w:p w14:paraId="000353BB" w14:textId="087D2CFD" w:rsidR="00DE2F5F" w:rsidRDefault="00DE2F5F">
      <w:pPr>
        <w:pStyle w:val="a5"/>
      </w:pPr>
      <w:r>
        <w:rPr>
          <w:rStyle w:val="a7"/>
        </w:rPr>
        <w:footnoteRef/>
      </w:r>
      <w:r>
        <w:rPr>
          <w:rtl/>
        </w:rPr>
        <w:t xml:space="preserve"> </w:t>
      </w:r>
      <w:r>
        <w:rPr>
          <w:rFonts w:cs="Arial"/>
          <w:rtl/>
        </w:rPr>
        <w:t>היינו משום דאם לא כן אמאי תצא שלא בכתובה הא נדרה היא וקיים לה איהו יוציא ויתן כתובה שהוא נתן אצבע בין שיניה וכמבואר במה שכתבתי בסימן ע"ב (קח. ד"ה נדרה)</w:t>
      </w:r>
      <w:r>
        <w:rPr>
          <w:rFonts w:cs="Arial" w:hint="cs"/>
          <w:rtl/>
        </w:rPr>
        <w:t>,</w:t>
      </w:r>
      <w:r>
        <w:rPr>
          <w:rFonts w:cs="Arial"/>
          <w:rtl/>
        </w:rPr>
        <w:t xml:space="preserve"> ומשום הכי מפרש לה בנדרה בדבר שאינו יכול להפר</w:t>
      </w:r>
      <w:r>
        <w:rPr>
          <w:rFonts w:cs="Arial" w:hint="cs"/>
          <w:rtl/>
        </w:rPr>
        <w:t>, ב"י</w:t>
      </w:r>
      <w:r>
        <w:rPr>
          <w:rFonts w:cs="Arial"/>
          <w:rtl/>
        </w:rPr>
        <w:t>.</w:t>
      </w:r>
    </w:p>
  </w:footnote>
  <w:footnote w:id="406">
    <w:p w14:paraId="337D0C21" w14:textId="18033C9F" w:rsidR="00670CE3" w:rsidRDefault="00670CE3">
      <w:pPr>
        <w:pStyle w:val="a5"/>
        <w:rPr>
          <w:rtl/>
        </w:rPr>
      </w:pPr>
      <w:r>
        <w:rPr>
          <w:rStyle w:val="a7"/>
        </w:rPr>
        <w:footnoteRef/>
      </w:r>
      <w:r>
        <w:rPr>
          <w:rtl/>
        </w:rPr>
        <w:t xml:space="preserve"> </w:t>
      </w:r>
      <w:r w:rsidRPr="00670CE3">
        <w:rPr>
          <w:rFonts w:cs="Arial"/>
          <w:rtl/>
        </w:rPr>
        <w:t>שאם יגרשנה לא יוכל להחזירה ושמא סופו יתחרט יהבו ליה רבנן זימנא טפי</w:t>
      </w:r>
      <w:r>
        <w:rPr>
          <w:rFonts w:hint="cs"/>
          <w:rtl/>
        </w:rPr>
        <w:t>, רש"י.</w:t>
      </w:r>
    </w:p>
  </w:footnote>
  <w:footnote w:id="407">
    <w:p w14:paraId="3A1544E1" w14:textId="3FB2E15A" w:rsidR="00DE2F5F" w:rsidRDefault="00DE2F5F">
      <w:pPr>
        <w:pStyle w:val="a5"/>
      </w:pPr>
      <w:r>
        <w:rPr>
          <w:rStyle w:val="a7"/>
        </w:rPr>
        <w:footnoteRef/>
      </w:r>
      <w:r>
        <w:rPr>
          <w:rtl/>
        </w:rPr>
        <w:t xml:space="preserve"> </w:t>
      </w:r>
      <w:r w:rsidRPr="009C2D0A">
        <w:rPr>
          <w:rFonts w:cs="Arial"/>
          <w:rtl/>
        </w:rPr>
        <w:t>דרך בתם ללכת אצלם ברגלים</w:t>
      </w:r>
      <w:r>
        <w:rPr>
          <w:rFonts w:cs="Arial" w:hint="cs"/>
          <w:rtl/>
        </w:rPr>
        <w:t>, רש"י.</w:t>
      </w:r>
    </w:p>
  </w:footnote>
  <w:footnote w:id="408">
    <w:p w14:paraId="5B634E41" w14:textId="4895B56A" w:rsidR="00DE2F5F" w:rsidRDefault="00DE2F5F">
      <w:pPr>
        <w:pStyle w:val="a5"/>
      </w:pPr>
      <w:r>
        <w:rPr>
          <w:rStyle w:val="a7"/>
        </w:rPr>
        <w:footnoteRef/>
      </w:r>
      <w:r>
        <w:rPr>
          <w:rtl/>
        </w:rPr>
        <w:t xml:space="preserve"> </w:t>
      </w:r>
      <w:r w:rsidRPr="009C2D0A">
        <w:rPr>
          <w:rFonts w:cs="Arial"/>
          <w:rtl/>
        </w:rPr>
        <w:t>מציא מוקמא אנפשה</w:t>
      </w:r>
      <w:r>
        <w:rPr>
          <w:rFonts w:cs="Arial" w:hint="cs"/>
          <w:rtl/>
        </w:rPr>
        <w:t>,</w:t>
      </w:r>
      <w:r w:rsidRPr="009C2D0A">
        <w:rPr>
          <w:rFonts w:cs="Arial"/>
          <w:rtl/>
        </w:rPr>
        <w:t xml:space="preserve"> שלשה לא מציא מוקמא</w:t>
      </w:r>
      <w:r>
        <w:rPr>
          <w:rFonts w:cs="Arial" w:hint="cs"/>
          <w:rtl/>
        </w:rPr>
        <w:t>.</w:t>
      </w:r>
      <w:r w:rsidRPr="009C2D0A">
        <w:rPr>
          <w:rFonts w:cs="Arial"/>
          <w:rtl/>
        </w:rPr>
        <w:t xml:space="preserve"> ובגמרא פריך הא שנים מאי</w:t>
      </w:r>
      <w:r>
        <w:rPr>
          <w:rFonts w:cs="Arial" w:hint="cs"/>
          <w:rtl/>
        </w:rPr>
        <w:t>, רש"י.</w:t>
      </w:r>
    </w:p>
  </w:footnote>
  <w:footnote w:id="409">
    <w:p w14:paraId="37E683AF" w14:textId="00C7B3D7" w:rsidR="00DE2F5F" w:rsidRDefault="00DE2F5F">
      <w:pPr>
        <w:pStyle w:val="a5"/>
      </w:pPr>
      <w:r>
        <w:rPr>
          <w:rStyle w:val="a7"/>
        </w:rPr>
        <w:footnoteRef/>
      </w:r>
      <w:r>
        <w:rPr>
          <w:rtl/>
        </w:rPr>
        <w:t xml:space="preserve"> </w:t>
      </w:r>
      <w:r w:rsidRPr="00E97073">
        <w:rPr>
          <w:rFonts w:cs="Arial"/>
          <w:rtl/>
        </w:rPr>
        <w:t>לילך לבית אביה תמיד</w:t>
      </w:r>
      <w:r>
        <w:rPr>
          <w:rFonts w:cs="Arial" w:hint="cs"/>
          <w:rtl/>
        </w:rPr>
        <w:t xml:space="preserve"> -</w:t>
      </w:r>
      <w:r w:rsidRPr="00E97073">
        <w:rPr>
          <w:rFonts w:cs="Arial"/>
          <w:rtl/>
        </w:rPr>
        <w:t xml:space="preserve"> שנים יוציא</w:t>
      </w:r>
      <w:r>
        <w:rPr>
          <w:rFonts w:cs="Arial" w:hint="cs"/>
          <w:rtl/>
        </w:rPr>
        <w:t>,</w:t>
      </w:r>
      <w:r w:rsidRPr="00E97073">
        <w:rPr>
          <w:rFonts w:cs="Arial"/>
          <w:rtl/>
        </w:rPr>
        <w:t xml:space="preserve"> שאינה רדופה</w:t>
      </w:r>
      <w:r>
        <w:rPr>
          <w:rFonts w:cs="Arial" w:hint="cs"/>
          <w:rtl/>
        </w:rPr>
        <w:t xml:space="preserve"> -</w:t>
      </w:r>
      <w:r w:rsidRPr="00E97073">
        <w:rPr>
          <w:rFonts w:cs="Arial"/>
          <w:rtl/>
        </w:rPr>
        <w:t xml:space="preserve"> שנים יקיים</w:t>
      </w:r>
      <w:r>
        <w:rPr>
          <w:rFonts w:cs="Arial" w:hint="cs"/>
          <w:rtl/>
        </w:rPr>
        <w:t>, רש"י.</w:t>
      </w:r>
    </w:p>
  </w:footnote>
  <w:footnote w:id="410">
    <w:p w14:paraId="55CDF6A2" w14:textId="7485E95A" w:rsidR="00DE2F5F" w:rsidRDefault="00DE2F5F">
      <w:pPr>
        <w:pStyle w:val="a5"/>
      </w:pPr>
      <w:r>
        <w:rPr>
          <w:rStyle w:val="a7"/>
        </w:rPr>
        <w:footnoteRef/>
      </w:r>
      <w:r>
        <w:rPr>
          <w:rtl/>
        </w:rPr>
        <w:t xml:space="preserve"> </w:t>
      </w:r>
      <w:r>
        <w:rPr>
          <w:rFonts w:cs="Arial"/>
          <w:rtl/>
        </w:rPr>
        <w:t>כבר נתבאר הטעם בדבריו משום דאם לא כן אמאי יוציא ויתן כתובה אפילו לאחר כמה רגלים הרי לא נתן אצבע בין שיניה כיון דאינו יכול להפר הילכך על כרחך בתלאו בתשמיש עסקינן דכיון שהיה יכול להפר ולא הפר הוא נתן אצבע בין שיניה הילכך אם הוא בעיר לשני חדשים יוציא ויתן כתובה ואם הוא בעיר אחרת לשני רגלים או שלשה יוציא ויתן כתובה</w:t>
      </w:r>
      <w:r>
        <w:rPr>
          <w:rFonts w:cs="Arial" w:hint="cs"/>
          <w:rtl/>
        </w:rPr>
        <w:t>, ב"י.</w:t>
      </w:r>
    </w:p>
  </w:footnote>
  <w:footnote w:id="411">
    <w:p w14:paraId="3C058804" w14:textId="0703B0C9" w:rsidR="00DE2F5F" w:rsidRDefault="00DE2F5F">
      <w:pPr>
        <w:pStyle w:val="a5"/>
      </w:pPr>
      <w:r>
        <w:rPr>
          <w:rStyle w:val="a7"/>
        </w:rPr>
        <w:footnoteRef/>
      </w:r>
      <w:r>
        <w:rPr>
          <w:rtl/>
        </w:rPr>
        <w:t xml:space="preserve"> </w:t>
      </w:r>
      <w:r>
        <w:rPr>
          <w:rFonts w:cs="Arial"/>
          <w:rtl/>
        </w:rPr>
        <w:t>הוא ממה שנתבאר בסימן ע"ב דבנדרה היא וקיים לה יוציא מיד ויתן כתובה</w:t>
      </w:r>
      <w:r w:rsidR="00F521CF">
        <w:rPr>
          <w:rFonts w:cs="Arial" w:hint="cs"/>
          <w:rtl/>
        </w:rPr>
        <w:t>,</w:t>
      </w:r>
      <w:r>
        <w:rPr>
          <w:rFonts w:cs="Arial"/>
          <w:rtl/>
        </w:rPr>
        <w:t xml:space="preserve"> והילכך ע"כ הא דתנן חדש אחד או רגל אחד יקיים </w:t>
      </w:r>
      <w:r w:rsidR="00F521CF">
        <w:rPr>
          <w:rFonts w:cs="Arial" w:hint="cs"/>
          <w:rtl/>
        </w:rPr>
        <w:t xml:space="preserve">- </w:t>
      </w:r>
      <w:r>
        <w:rPr>
          <w:rFonts w:cs="Arial"/>
          <w:rtl/>
        </w:rPr>
        <w:t>במפרשת בשעת נדרה עד חודש אחד או עד רגל אחד מיתוקמא</w:t>
      </w:r>
      <w:r w:rsidR="00F521CF">
        <w:rPr>
          <w:rFonts w:cs="Arial" w:hint="cs"/>
          <w:rtl/>
        </w:rPr>
        <w:t>,</w:t>
      </w:r>
      <w:r>
        <w:rPr>
          <w:rFonts w:cs="Arial"/>
          <w:rtl/>
        </w:rPr>
        <w:t xml:space="preserve"> דאילו בנודרת סתם וקיים לה איהו יוציא מיד ויתן כתובה</w:t>
      </w:r>
      <w:r>
        <w:rPr>
          <w:rFonts w:cs="Arial" w:hint="cs"/>
          <w:rtl/>
        </w:rPr>
        <w:t>, ב"י.</w:t>
      </w:r>
    </w:p>
  </w:footnote>
  <w:footnote w:id="412">
    <w:p w14:paraId="45867E62" w14:textId="465B8EC3" w:rsidR="00DE2F5F" w:rsidRDefault="00DE2F5F">
      <w:pPr>
        <w:pStyle w:val="a5"/>
      </w:pPr>
      <w:r>
        <w:rPr>
          <w:rStyle w:val="a7"/>
        </w:rPr>
        <w:footnoteRef/>
      </w:r>
      <w:r>
        <w:rPr>
          <w:rtl/>
        </w:rPr>
        <w:t xml:space="preserve"> </w:t>
      </w:r>
      <w:r>
        <w:rPr>
          <w:rFonts w:hint="cs"/>
          <w:rtl/>
        </w:rPr>
        <w:t xml:space="preserve">הטור </w:t>
      </w:r>
      <w:r>
        <w:rPr>
          <w:rFonts w:cs="Arial" w:hint="cs"/>
          <w:rtl/>
        </w:rPr>
        <w:t>פסק כרבה בר עולא. וכתב הב"י ד</w:t>
      </w:r>
      <w:r w:rsidRPr="00E97073">
        <w:rPr>
          <w:rFonts w:cs="Arial"/>
          <w:rtl/>
        </w:rPr>
        <w:t>משמע לרבינו דכיון דלא קיי"ל כאוקמתא דאביי משום דמוקים לה דלא כהלכתא</w:t>
      </w:r>
      <w:r w:rsidRPr="00E97073">
        <w:rPr>
          <w:rFonts w:cs="Arial" w:hint="cs"/>
          <w:rtl/>
        </w:rPr>
        <w:t>,</w:t>
      </w:r>
      <w:r w:rsidRPr="00E97073">
        <w:rPr>
          <w:rFonts w:cs="Arial"/>
          <w:rtl/>
        </w:rPr>
        <w:t xml:space="preserve"> דהא מוקים לה כרבי יהודה דמפליג במדיר את אשתו בין ישראל לכהן ולא קיי"ל כותיה</w:t>
      </w:r>
      <w:r w:rsidRPr="00E97073">
        <w:rPr>
          <w:rFonts w:cs="Arial" w:hint="cs"/>
          <w:rtl/>
        </w:rPr>
        <w:t>,</w:t>
      </w:r>
      <w:r w:rsidRPr="00E97073">
        <w:rPr>
          <w:rFonts w:cs="Arial"/>
          <w:rtl/>
        </w:rPr>
        <w:t xml:space="preserve"> הילכך נקטינן כאוקמתא דרבה בר עולא דמפליג בין רדופה לשאינה רדופה</w:t>
      </w:r>
      <w:r>
        <w:rPr>
          <w:rFonts w:cs="Arial" w:hint="cs"/>
          <w:rtl/>
        </w:rPr>
        <w:t>.</w:t>
      </w:r>
    </w:p>
  </w:footnote>
  <w:footnote w:id="413">
    <w:p w14:paraId="5823BFC6" w14:textId="0E2C9B5C" w:rsidR="00DE2F5F" w:rsidRDefault="00DE2F5F">
      <w:pPr>
        <w:pStyle w:val="a5"/>
      </w:pPr>
      <w:r>
        <w:rPr>
          <w:rStyle w:val="a7"/>
        </w:rPr>
        <w:footnoteRef/>
      </w:r>
      <w:r>
        <w:rPr>
          <w:rtl/>
        </w:rPr>
        <w:t xml:space="preserve"> </w:t>
      </w:r>
      <w:r>
        <w:rPr>
          <w:rFonts w:cs="Arial"/>
          <w:rtl/>
        </w:rPr>
        <w:t xml:space="preserve">היינו בין במפרש בין שנדר סתם </w:t>
      </w:r>
      <w:r w:rsidRPr="000C6D9C">
        <w:rPr>
          <w:rFonts w:cs="Arial" w:hint="cs"/>
          <w:sz w:val="16"/>
          <w:szCs w:val="16"/>
          <w:rtl/>
        </w:rPr>
        <w:t>(</w:t>
      </w:r>
      <w:r w:rsidRPr="000C6D9C">
        <w:rPr>
          <w:rFonts w:cs="Arial"/>
          <w:sz w:val="16"/>
          <w:szCs w:val="16"/>
          <w:rtl/>
        </w:rPr>
        <w:t>ולא הוצרך רבינו לכתבו לפי שסמך על מה שכתב בסמוך דנודר סתם דינו שוה למפרש שנודרת ליותר מחדש או יותר מרגל</w:t>
      </w:r>
      <w:r>
        <w:rPr>
          <w:rFonts w:cs="Arial" w:hint="cs"/>
          <w:sz w:val="16"/>
          <w:szCs w:val="16"/>
          <w:rtl/>
        </w:rPr>
        <w:t>)</w:t>
      </w:r>
      <w:r>
        <w:rPr>
          <w:rFonts w:cs="Arial" w:hint="cs"/>
          <w:rtl/>
        </w:rPr>
        <w:t>, ב"י.</w:t>
      </w:r>
    </w:p>
  </w:footnote>
  <w:footnote w:id="414">
    <w:p w14:paraId="7A2E3305" w14:textId="3917B980" w:rsidR="00DE2F5F" w:rsidRDefault="00DE2F5F">
      <w:pPr>
        <w:pStyle w:val="a5"/>
      </w:pPr>
      <w:r>
        <w:rPr>
          <w:rStyle w:val="a7"/>
        </w:rPr>
        <w:footnoteRef/>
      </w:r>
      <w:r>
        <w:rPr>
          <w:rtl/>
        </w:rPr>
        <w:t xml:space="preserve"> </w:t>
      </w:r>
      <w:r>
        <w:rPr>
          <w:rFonts w:cs="Arial"/>
          <w:rtl/>
        </w:rPr>
        <w:t>כבר נתבאר בסימן זה דכל שהוא המדיר ותולה נדרו בתשמיש דינו כנודר מתשמיש ולא יקיים יותר מז' ימים וכבית הלל דאמרי המדיר את אשתו מתשמיש המטה שבת אחד</w:t>
      </w:r>
      <w:r>
        <w:rPr>
          <w:rFonts w:cs="Arial" w:hint="cs"/>
          <w:rtl/>
        </w:rPr>
        <w:t>, ב"י.</w:t>
      </w:r>
    </w:p>
  </w:footnote>
  <w:footnote w:id="415">
    <w:p w14:paraId="60A82C59" w14:textId="4A5C3B06" w:rsidR="00DE2F5F" w:rsidRDefault="00DE2F5F">
      <w:pPr>
        <w:pStyle w:val="a5"/>
        <w:rPr>
          <w:rtl/>
        </w:rPr>
      </w:pPr>
      <w:r>
        <w:rPr>
          <w:rStyle w:val="a7"/>
        </w:rPr>
        <w:footnoteRef/>
      </w:r>
      <w:r>
        <w:rPr>
          <w:rtl/>
        </w:rPr>
        <w:t xml:space="preserve"> </w:t>
      </w:r>
      <w:r>
        <w:rPr>
          <w:rFonts w:cs="Arial"/>
          <w:rtl/>
        </w:rPr>
        <w:t>וכתב ה</w:t>
      </w:r>
      <w:r>
        <w:rPr>
          <w:rFonts w:cs="Arial" w:hint="cs"/>
          <w:rtl/>
        </w:rPr>
        <w:t>ה"</w:t>
      </w:r>
      <w:r>
        <w:rPr>
          <w:rFonts w:cs="Arial"/>
          <w:rtl/>
        </w:rPr>
        <w:t>מ שטעמו משום דאביי אוקי מתני' כרבי יהודה ולא קיי"ל כרבי יהודה אלא כסתם מתניתין בריש פירקין דלא מפליג בין כהן לישראל</w:t>
      </w:r>
      <w:r>
        <w:rPr>
          <w:rFonts w:cs="Arial" w:hint="cs"/>
          <w:rtl/>
        </w:rPr>
        <w:t>,</w:t>
      </w:r>
      <w:r>
        <w:rPr>
          <w:rFonts w:cs="Arial"/>
          <w:rtl/>
        </w:rPr>
        <w:t xml:space="preserve"> הילכך כאן אף באשת כהן בשנים יוציא ויתן כתובה</w:t>
      </w:r>
      <w:r>
        <w:rPr>
          <w:rFonts w:cs="Arial" w:hint="cs"/>
          <w:rtl/>
        </w:rPr>
        <w:t>,</w:t>
      </w:r>
      <w:r>
        <w:rPr>
          <w:rFonts w:cs="Arial"/>
          <w:rtl/>
        </w:rPr>
        <w:t xml:space="preserve"> וא</w:t>
      </w:r>
      <w:r>
        <w:rPr>
          <w:rFonts w:cs="Arial" w:hint="cs"/>
          <w:rtl/>
        </w:rPr>
        <w:t>ע"</w:t>
      </w:r>
      <w:r>
        <w:rPr>
          <w:rFonts w:cs="Arial"/>
          <w:rtl/>
        </w:rPr>
        <w:t>פ שיש שם אוקמתא אחרת זו עיקר</w:t>
      </w:r>
      <w:r>
        <w:rPr>
          <w:rFonts w:cs="Arial" w:hint="cs"/>
          <w:rtl/>
        </w:rPr>
        <w:t>.</w:t>
      </w:r>
      <w:r>
        <w:rPr>
          <w:rFonts w:cs="Arial"/>
          <w:rtl/>
        </w:rPr>
        <w:t xml:space="preserve"> וכן פסקו בהלכות עכ"ל</w:t>
      </w:r>
      <w:r>
        <w:rPr>
          <w:rFonts w:cs="Arial" w:hint="cs"/>
          <w:rtl/>
        </w:rPr>
        <w:t>.</w:t>
      </w:r>
      <w:r>
        <w:rPr>
          <w:rFonts w:cs="Arial"/>
          <w:rtl/>
        </w:rPr>
        <w:t xml:space="preserve"> וגם הר"ן (לב. ד"ה מתני') כתב שזהו טעמו של הרמב"ם</w:t>
      </w:r>
      <w:r>
        <w:rPr>
          <w:rFonts w:cs="Arial" w:hint="cs"/>
          <w:rtl/>
        </w:rPr>
        <w:t>.</w:t>
      </w:r>
      <w:r>
        <w:rPr>
          <w:rFonts w:cs="Arial"/>
          <w:rtl/>
        </w:rPr>
        <w:t xml:space="preserve"> ובנוסחת הרי"ף שבידנו כתוב במשנה רגל אחד יקיים שנים יוציא ויתן כתובה</w:t>
      </w:r>
      <w:r>
        <w:rPr>
          <w:rFonts w:cs="Arial" w:hint="cs"/>
          <w:rtl/>
        </w:rPr>
        <w:t>.</w:t>
      </w:r>
      <w:r>
        <w:rPr>
          <w:rFonts w:cs="Arial"/>
          <w:rtl/>
        </w:rPr>
        <w:t xml:space="preserve"> והיה איפשר לומר שמפני שהיה סבור הרי"ף כדעתו של הרמב"ם הגיה המשנה</w:t>
      </w:r>
      <w:r>
        <w:rPr>
          <w:rFonts w:cs="Arial" w:hint="cs"/>
          <w:rtl/>
        </w:rPr>
        <w:t>,</w:t>
      </w:r>
      <w:r>
        <w:rPr>
          <w:rFonts w:cs="Arial"/>
          <w:rtl/>
        </w:rPr>
        <w:t xml:space="preserve"> כי היכי דתיתי כת"ק דלא מפליג בין כהן לישראל</w:t>
      </w:r>
      <w:r>
        <w:rPr>
          <w:rFonts w:cs="Arial" w:hint="cs"/>
          <w:rtl/>
        </w:rPr>
        <w:t>.</w:t>
      </w:r>
      <w:r>
        <w:rPr>
          <w:rFonts w:cs="Arial"/>
          <w:rtl/>
        </w:rPr>
        <w:t xml:space="preserve"> אלא שמצאתי בירושלמי (פ"ז ה"ד) כתוב בנסחת המשנה כגרסת הרי"ף ז"ל. ולפיכך נראה לומר שכך היה כתוב בגירסת המשנה שלו</w:t>
      </w:r>
      <w:r>
        <w:rPr>
          <w:rFonts w:hint="cs"/>
          <w:rtl/>
        </w:rPr>
        <w:t>, ב"י.</w:t>
      </w:r>
    </w:p>
  </w:footnote>
  <w:footnote w:id="416">
    <w:p w14:paraId="2C6421FD" w14:textId="2548C60F" w:rsidR="00DE2F5F" w:rsidRDefault="00DE2F5F">
      <w:pPr>
        <w:pStyle w:val="a5"/>
      </w:pPr>
      <w:r>
        <w:rPr>
          <w:rStyle w:val="a7"/>
        </w:rPr>
        <w:footnoteRef/>
      </w:r>
      <w:r>
        <w:rPr>
          <w:rtl/>
        </w:rPr>
        <w:t xml:space="preserve"> </w:t>
      </w:r>
      <w:r w:rsidRPr="0006721F">
        <w:rPr>
          <w:rFonts w:cs="Arial"/>
          <w:rtl/>
        </w:rPr>
        <w:t>דלת של שמחה ופיקוח צער</w:t>
      </w:r>
      <w:r>
        <w:rPr>
          <w:rFonts w:cs="Arial" w:hint="cs"/>
          <w:rtl/>
        </w:rPr>
        <w:t>, רש"י.</w:t>
      </w:r>
    </w:p>
  </w:footnote>
  <w:footnote w:id="417">
    <w:p w14:paraId="635164F5" w14:textId="7A91E27F" w:rsidR="00DE2F5F" w:rsidRDefault="00DE2F5F">
      <w:pPr>
        <w:pStyle w:val="a5"/>
      </w:pPr>
      <w:r>
        <w:rPr>
          <w:rStyle w:val="a7"/>
        </w:rPr>
        <w:footnoteRef/>
      </w:r>
      <w:r>
        <w:rPr>
          <w:rtl/>
        </w:rPr>
        <w:t xml:space="preserve"> </w:t>
      </w:r>
      <w:r w:rsidRPr="00BF344F">
        <w:rPr>
          <w:rFonts w:cs="Arial"/>
          <w:rtl/>
        </w:rPr>
        <w:t>קוברה כשם שלא גמלה חסד כך לא יגמלו עמה</w:t>
      </w:r>
      <w:r>
        <w:rPr>
          <w:rFonts w:cs="Arial" w:hint="cs"/>
          <w:rtl/>
        </w:rPr>
        <w:t>, רש"י.</w:t>
      </w:r>
    </w:p>
  </w:footnote>
  <w:footnote w:id="418">
    <w:p w14:paraId="5A032A4C" w14:textId="5FED8B6B" w:rsidR="00DE2F5F" w:rsidRDefault="00DE2F5F">
      <w:pPr>
        <w:pStyle w:val="a5"/>
        <w:rPr>
          <w:rtl/>
        </w:rPr>
      </w:pPr>
      <w:r>
        <w:rPr>
          <w:rStyle w:val="a7"/>
        </w:rPr>
        <w:footnoteRef/>
      </w:r>
      <w:r>
        <w:rPr>
          <w:rtl/>
        </w:rPr>
        <w:t xml:space="preserve"> </w:t>
      </w:r>
      <w:r>
        <w:rPr>
          <w:rFonts w:cs="Arial"/>
          <w:rtl/>
        </w:rPr>
        <w:t>הוא ע"פ מה שנתבאר בסימן ע"ב ובסימן זה דכשנדרה היא וקיים לה הוא מיד יוציא ויתן לה כתובה</w:t>
      </w:r>
      <w:r>
        <w:rPr>
          <w:rFonts w:hint="cs"/>
          <w:rtl/>
        </w:rPr>
        <w:t>, ב"י.</w:t>
      </w:r>
    </w:p>
  </w:footnote>
  <w:footnote w:id="419">
    <w:p w14:paraId="5B674E2E" w14:textId="53036B78" w:rsidR="00DE2F5F" w:rsidRDefault="00DE2F5F">
      <w:pPr>
        <w:pStyle w:val="a5"/>
      </w:pPr>
      <w:r>
        <w:rPr>
          <w:rStyle w:val="a7"/>
        </w:rPr>
        <w:footnoteRef/>
      </w:r>
      <w:r>
        <w:rPr>
          <w:rtl/>
        </w:rPr>
        <w:t xml:space="preserve"> </w:t>
      </w:r>
      <w:r>
        <w:rPr>
          <w:rFonts w:cs="Arial"/>
          <w:rtl/>
        </w:rPr>
        <w:t>הוא על פי מה שנתבאר בסימנים הנזכרים דכשהוא מדירה בשום דבר ותלאו בתשמיש דינו כמדירה מתשמיש דיקיים שבת אחד כבית הלל דסברי הכי</w:t>
      </w:r>
      <w:r>
        <w:rPr>
          <w:rFonts w:cs="Arial" w:hint="cs"/>
          <w:rtl/>
        </w:rPr>
        <w:t>, ב"י.</w:t>
      </w:r>
    </w:p>
  </w:footnote>
  <w:footnote w:id="420">
    <w:p w14:paraId="6C58FEB2" w14:textId="621E5CDA" w:rsidR="00DE2F5F" w:rsidRDefault="00DE2F5F">
      <w:pPr>
        <w:pStyle w:val="a5"/>
        <w:rPr>
          <w:rtl/>
        </w:rPr>
      </w:pPr>
      <w:r>
        <w:rPr>
          <w:rStyle w:val="a7"/>
        </w:rPr>
        <w:footnoteRef/>
      </w:r>
      <w:r>
        <w:rPr>
          <w:rtl/>
        </w:rPr>
        <w:t xml:space="preserve"> </w:t>
      </w:r>
      <w:r>
        <w:rPr>
          <w:rFonts w:cs="Arial"/>
          <w:rtl/>
        </w:rPr>
        <w:t>וכתב הרב המגיד המדיר את אשתו שלא תלך וכו' כגון שנדרה היא ואמרה יאסר הנאת תשמישך עלי אם אלך לבית אבא או לבית האבל</w:t>
      </w:r>
      <w:r>
        <w:rPr>
          <w:rFonts w:cs="Arial" w:hint="cs"/>
          <w:rtl/>
        </w:rPr>
        <w:t>,</w:t>
      </w:r>
      <w:r>
        <w:rPr>
          <w:rFonts w:cs="Arial"/>
          <w:rtl/>
        </w:rPr>
        <w:t xml:space="preserve"> ושמע בעלה ולא הפר לה</w:t>
      </w:r>
      <w:r>
        <w:rPr>
          <w:rFonts w:cs="Arial" w:hint="cs"/>
          <w:rtl/>
        </w:rPr>
        <w:t>,</w:t>
      </w:r>
      <w:r>
        <w:rPr>
          <w:rFonts w:cs="Arial"/>
          <w:rtl/>
        </w:rPr>
        <w:t xml:space="preserve"> שאם במדירה הבעל ואומר לה תאסר הנאתי עליך אם תלכי</w:t>
      </w:r>
      <w:r>
        <w:rPr>
          <w:rFonts w:cs="Arial" w:hint="cs"/>
          <w:rtl/>
        </w:rPr>
        <w:t>,</w:t>
      </w:r>
      <w:r>
        <w:rPr>
          <w:rFonts w:cs="Arial"/>
          <w:rtl/>
        </w:rPr>
        <w:t xml:space="preserve"> כבר נתבאר בפי"ב (הל' כג - כד) בכיוצא בזה להוציא לאלתר ולא עד שלשים יום</w:t>
      </w:r>
      <w:r>
        <w:rPr>
          <w:rFonts w:cs="Arial" w:hint="cs"/>
          <w:rtl/>
        </w:rPr>
        <w:t>,</w:t>
      </w:r>
      <w:r>
        <w:rPr>
          <w:rFonts w:cs="Arial"/>
          <w:rtl/>
        </w:rPr>
        <w:t xml:space="preserve"> אלו דבריהם</w:t>
      </w:r>
      <w:r>
        <w:rPr>
          <w:rFonts w:cs="Arial" w:hint="cs"/>
          <w:rtl/>
        </w:rPr>
        <w:t>.</w:t>
      </w:r>
      <w:r>
        <w:rPr>
          <w:rFonts w:cs="Arial"/>
          <w:rtl/>
        </w:rPr>
        <w:t xml:space="preserve"> ומדברי רבינו נראה שהוא מפרשה במדירה הבעל מהנאתו אם תלך וזהו שכתב יתיר נדרו ר"ל תוך זמן הל' יום הידוע למעלה בפי"ב</w:t>
      </w:r>
      <w:r>
        <w:rPr>
          <w:rFonts w:cs="Arial" w:hint="cs"/>
          <w:rtl/>
        </w:rPr>
        <w:t xml:space="preserve"> (הכ"ג) </w:t>
      </w:r>
      <w:r>
        <w:rPr>
          <w:rFonts w:cs="Arial"/>
          <w:rtl/>
        </w:rPr>
        <w:t>שממתינין לבעל</w:t>
      </w:r>
      <w:r>
        <w:rPr>
          <w:rFonts w:cs="Arial" w:hint="cs"/>
          <w:rtl/>
        </w:rPr>
        <w:t>,</w:t>
      </w:r>
      <w:r>
        <w:rPr>
          <w:rFonts w:cs="Arial"/>
          <w:rtl/>
        </w:rPr>
        <w:t xml:space="preserve"> וכבר כתבתי בפי"ב שאין אדם יכול לאסור לאשתו דבר אלא בדרך שיאסור הנאתו עליה אם תעשה כך עכ"ל</w:t>
      </w:r>
      <w:r>
        <w:rPr>
          <w:rFonts w:hint="cs"/>
          <w:rtl/>
        </w:rPr>
        <w:t>, ב"י.</w:t>
      </w:r>
    </w:p>
  </w:footnote>
  <w:footnote w:id="421">
    <w:p w14:paraId="2EC673CA" w14:textId="66ACE911" w:rsidR="00DE2F5F" w:rsidRDefault="00DE2F5F">
      <w:pPr>
        <w:pStyle w:val="a5"/>
        <w:rPr>
          <w:rtl/>
        </w:rPr>
      </w:pPr>
      <w:r>
        <w:rPr>
          <w:rStyle w:val="a7"/>
        </w:rPr>
        <w:footnoteRef/>
      </w:r>
      <w:r>
        <w:rPr>
          <w:rtl/>
        </w:rPr>
        <w:t xml:space="preserve"> </w:t>
      </w:r>
      <w:r>
        <w:rPr>
          <w:rFonts w:hint="cs"/>
          <w:rtl/>
        </w:rPr>
        <w:t>בירושלמי לפנינו כתוב 'שלשה חדשים', אך הגירסא ברמב"ם (פי"ג ה"ט) במאירי במגיד משנה (שם) בר"ן (כתובות לא: מדפה"ר) ועוד ראשונים היא 'שלשה ימים'.</w:t>
      </w:r>
    </w:p>
  </w:footnote>
  <w:footnote w:id="422">
    <w:p w14:paraId="6F1A92A0" w14:textId="77777777" w:rsidR="00162951" w:rsidRDefault="00162951" w:rsidP="00162951">
      <w:pPr>
        <w:pStyle w:val="a5"/>
        <w:rPr>
          <w:rtl/>
        </w:rPr>
      </w:pPr>
      <w:r>
        <w:rPr>
          <w:rStyle w:val="a7"/>
        </w:rPr>
        <w:footnoteRef/>
      </w:r>
      <w:r>
        <w:rPr>
          <w:rtl/>
        </w:rPr>
        <w:t xml:space="preserve"> </w:t>
      </w:r>
      <w:r>
        <w:rPr>
          <w:rFonts w:hint="cs"/>
          <w:rtl/>
        </w:rPr>
        <w:t>הטור שינה מלשון הרמב"ם, והוא כפי שיטתו, דתלה הנדר בהנאת תשמיש,</w:t>
      </w:r>
      <w:r>
        <w:rPr>
          <w:rFonts w:cs="Arial" w:hint="cs"/>
          <w:rtl/>
        </w:rPr>
        <w:t xml:space="preserve"> ולכן פירש הב"י את דברי הטור שימתין ז' ימים שמא ימצא פתח להתיר נדרו ואם לא ימצא יוציא. </w:t>
      </w:r>
    </w:p>
  </w:footnote>
  <w:footnote w:id="423">
    <w:p w14:paraId="5CE4B52D" w14:textId="2C6395F5" w:rsidR="00DE2F5F" w:rsidRDefault="00DE2F5F">
      <w:pPr>
        <w:pStyle w:val="a5"/>
      </w:pPr>
      <w:r>
        <w:rPr>
          <w:rStyle w:val="a7"/>
        </w:rPr>
        <w:footnoteRef/>
      </w:r>
      <w:r>
        <w:rPr>
          <w:rtl/>
        </w:rPr>
        <w:t xml:space="preserve"> </w:t>
      </w:r>
      <w:r>
        <w:rPr>
          <w:rFonts w:hint="cs"/>
          <w:rtl/>
        </w:rPr>
        <w:t>ו</w:t>
      </w:r>
      <w:r w:rsidRPr="001B5E5A">
        <w:rPr>
          <w:rFonts w:cs="Arial"/>
          <w:rtl/>
        </w:rPr>
        <w:t>רבינו</w:t>
      </w:r>
      <w:r w:rsidRPr="001B5E5A">
        <w:rPr>
          <w:rFonts w:cs="Arial" w:hint="cs"/>
          <w:rtl/>
        </w:rPr>
        <w:t xml:space="preserve"> {הטור}</w:t>
      </w:r>
      <w:r w:rsidRPr="001B5E5A">
        <w:rPr>
          <w:rFonts w:cs="Arial"/>
          <w:rtl/>
        </w:rPr>
        <w:t xml:space="preserve"> קיצר במובן</w:t>
      </w:r>
      <w:r w:rsidRPr="001B5E5A">
        <w:rPr>
          <w:rFonts w:cs="Arial" w:hint="cs"/>
          <w:rtl/>
        </w:rPr>
        <w:t xml:space="preserve">, ב"י </w:t>
      </w:r>
      <w:r>
        <w:rPr>
          <w:rFonts w:cs="Arial" w:hint="cs"/>
          <w:rtl/>
        </w:rPr>
        <w:t>(</w:t>
      </w:r>
      <w:r w:rsidRPr="001B5E5A">
        <w:rPr>
          <w:rFonts w:cs="Arial" w:hint="cs"/>
          <w:rtl/>
        </w:rPr>
        <w:t>בבדה"ב)</w:t>
      </w:r>
      <w:r>
        <w:rPr>
          <w:rFonts w:cs="Arial" w:hint="cs"/>
          <w:rtl/>
        </w:rPr>
        <w:t>.</w:t>
      </w:r>
    </w:p>
  </w:footnote>
  <w:footnote w:id="424">
    <w:p w14:paraId="4D1AB4E3" w14:textId="7862390C" w:rsidR="00DE2F5F" w:rsidRPr="00790CAA" w:rsidRDefault="00DE2F5F">
      <w:pPr>
        <w:pStyle w:val="a5"/>
        <w:rPr>
          <w:color w:val="000000" w:themeColor="text1"/>
        </w:rPr>
      </w:pPr>
      <w:r>
        <w:rPr>
          <w:rStyle w:val="a7"/>
        </w:rPr>
        <w:footnoteRef/>
      </w:r>
      <w:r>
        <w:rPr>
          <w:rtl/>
        </w:rPr>
        <w:t xml:space="preserve"> </w:t>
      </w:r>
      <w:r w:rsidRPr="00FB05F5">
        <w:rPr>
          <w:rFonts w:cs="Arial"/>
          <w:rtl/>
        </w:rPr>
        <w:t>ועל מה שכתב שאין בית דין יכולים להשביעו אני תמה</w:t>
      </w:r>
      <w:r>
        <w:rPr>
          <w:rFonts w:cs="Arial" w:hint="cs"/>
          <w:rtl/>
        </w:rPr>
        <w:t>,</w:t>
      </w:r>
      <w:r w:rsidRPr="00FB05F5">
        <w:rPr>
          <w:rFonts w:cs="Arial"/>
          <w:rtl/>
        </w:rPr>
        <w:t xml:space="preserve"> דכיון דעבירה קא עביד</w:t>
      </w:r>
      <w:r>
        <w:rPr>
          <w:rFonts w:cs="Arial" w:hint="cs"/>
          <w:rtl/>
        </w:rPr>
        <w:t>,</w:t>
      </w:r>
      <w:r w:rsidRPr="00FB05F5">
        <w:rPr>
          <w:rFonts w:cs="Arial"/>
          <w:rtl/>
        </w:rPr>
        <w:t xml:space="preserve"> שהרי המכה את אשתו</w:t>
      </w:r>
      <w:r>
        <w:rPr>
          <w:rFonts w:cs="Arial" w:hint="cs"/>
          <w:rtl/>
        </w:rPr>
        <w:t>,</w:t>
      </w:r>
      <w:r w:rsidRPr="00FB05F5">
        <w:rPr>
          <w:rFonts w:cs="Arial"/>
          <w:rtl/>
        </w:rPr>
        <w:t xml:space="preserve"> עובר בשני לאוין כשם שעובר המכה את חבירו</w:t>
      </w:r>
      <w:r>
        <w:rPr>
          <w:rFonts w:cs="Arial" w:hint="cs"/>
          <w:rtl/>
        </w:rPr>
        <w:t>,</w:t>
      </w:r>
      <w:r w:rsidRPr="00FB05F5">
        <w:rPr>
          <w:rFonts w:cs="Arial"/>
          <w:rtl/>
        </w:rPr>
        <w:t xml:space="preserve"> וכמו שכתב רבינו יונה בשערי תשובה (שער ג אות עז)</w:t>
      </w:r>
      <w:r>
        <w:rPr>
          <w:rFonts w:cs="Arial" w:hint="cs"/>
          <w:rtl/>
        </w:rPr>
        <w:t>,</w:t>
      </w:r>
      <w:r w:rsidRPr="00FB05F5">
        <w:rPr>
          <w:rFonts w:cs="Arial"/>
          <w:rtl/>
        </w:rPr>
        <w:t xml:space="preserve"> למה לא ינדו אותו שלא יעבור על דברי תורה</w:t>
      </w:r>
      <w:r>
        <w:rPr>
          <w:rFonts w:cs="Arial" w:hint="cs"/>
          <w:rtl/>
        </w:rPr>
        <w:t>.</w:t>
      </w:r>
      <w:r w:rsidRPr="00FB05F5">
        <w:rPr>
          <w:rFonts w:cs="Arial"/>
          <w:rtl/>
        </w:rPr>
        <w:t xml:space="preserve"> ומעשים אצלינו בכל יום</w:t>
      </w:r>
      <w:r>
        <w:rPr>
          <w:rFonts w:cs="Arial" w:hint="cs"/>
          <w:rtl/>
        </w:rPr>
        <w:t>,</w:t>
      </w:r>
      <w:r w:rsidRPr="00FB05F5">
        <w:rPr>
          <w:rFonts w:cs="Arial"/>
          <w:rtl/>
        </w:rPr>
        <w:t xml:space="preserve"> וגערה ונזיפה לא מהניא בהו</w:t>
      </w:r>
      <w:r>
        <w:rPr>
          <w:rFonts w:cs="Arial" w:hint="cs"/>
          <w:rtl/>
        </w:rPr>
        <w:t>,</w:t>
      </w:r>
      <w:r w:rsidRPr="00FB05F5">
        <w:rPr>
          <w:rFonts w:cs="Arial"/>
          <w:rtl/>
        </w:rPr>
        <w:t xml:space="preserve"> וע"פ הנידוי הם נמנעים. וסעד לדבר מצאתי בתשובת רבינו שמחה שכתבתי בסימן קנ"ד (עו. ד"ה מצאתי כתוב)</w:t>
      </w:r>
      <w:r>
        <w:rPr>
          <w:rFonts w:cs="Arial" w:hint="cs"/>
          <w:rtl/>
        </w:rPr>
        <w:t>.</w:t>
      </w:r>
      <w:r w:rsidRPr="00FB05F5">
        <w:rPr>
          <w:rFonts w:cs="Arial"/>
          <w:rtl/>
        </w:rPr>
        <w:t xml:space="preserve"> אח"כ מצאתי כדברי בספר מישרים נכ"ג ח"ה (נח ע"ב) בשם הרמ"ה אם חבל בה הבעל יש יכולת לב"ד ליסרו ולהחרימו ולנדותו ולהלקותו ולרדותו בכל מיני רידוי ולקוץ ידו אם רגיל בכך</w:t>
      </w:r>
      <w:r>
        <w:rPr>
          <w:rFonts w:cs="Arial" w:hint="cs"/>
          <w:rtl/>
        </w:rPr>
        <w:t>,</w:t>
      </w:r>
      <w:r w:rsidRPr="00FB05F5">
        <w:rPr>
          <w:rFonts w:cs="Arial"/>
          <w:rtl/>
        </w:rPr>
        <w:t xml:space="preserve"> כי הא דרב פפא קץ ידא</w:t>
      </w:r>
      <w:r>
        <w:rPr>
          <w:rFonts w:cs="Arial" w:hint="cs"/>
          <w:rtl/>
        </w:rPr>
        <w:t>,</w:t>
      </w:r>
      <w:r w:rsidRPr="00FB05F5">
        <w:rPr>
          <w:rFonts w:cs="Arial"/>
          <w:rtl/>
        </w:rPr>
        <w:t xml:space="preserve"> </w:t>
      </w:r>
      <w:r w:rsidRPr="00790CAA">
        <w:rPr>
          <w:rFonts w:cs="Arial"/>
          <w:color w:val="000000" w:themeColor="text1"/>
          <w:rtl/>
        </w:rPr>
        <w:t>כי חייב לכבדה יותר מעצמו</w:t>
      </w:r>
      <w:r w:rsidRPr="00790CAA">
        <w:rPr>
          <w:rFonts w:cs="Arial" w:hint="cs"/>
          <w:color w:val="000000" w:themeColor="text1"/>
          <w:rtl/>
        </w:rPr>
        <w:t>,</w:t>
      </w:r>
      <w:r w:rsidRPr="00790CAA">
        <w:rPr>
          <w:rFonts w:cs="Arial"/>
          <w:color w:val="000000" w:themeColor="text1"/>
          <w:rtl/>
        </w:rPr>
        <w:t xml:space="preserve"> או יוציא ויתן כתובה ע"כ</w:t>
      </w:r>
      <w:r w:rsidRPr="00790CAA">
        <w:rPr>
          <w:rFonts w:cs="Arial" w:hint="cs"/>
          <w:color w:val="000000" w:themeColor="text1"/>
          <w:rtl/>
        </w:rPr>
        <w:t>, ב"י.</w:t>
      </w:r>
    </w:p>
  </w:footnote>
  <w:footnote w:id="425">
    <w:p w14:paraId="4F28A9C7" w14:textId="6BE936AE" w:rsidR="00DE2F5F" w:rsidRDefault="00DE2F5F">
      <w:pPr>
        <w:pStyle w:val="a5"/>
      </w:pPr>
      <w:r w:rsidRPr="00790CAA">
        <w:rPr>
          <w:rStyle w:val="a7"/>
          <w:color w:val="000000" w:themeColor="text1"/>
        </w:rPr>
        <w:footnoteRef/>
      </w:r>
      <w:r w:rsidRPr="00790CAA">
        <w:rPr>
          <w:color w:val="000000" w:themeColor="text1"/>
          <w:rtl/>
        </w:rPr>
        <w:t xml:space="preserve"> </w:t>
      </w:r>
      <w:r w:rsidRPr="00790CAA">
        <w:rPr>
          <w:rFonts w:hint="cs"/>
          <w:color w:val="000000" w:themeColor="text1"/>
          <w:rtl/>
        </w:rPr>
        <w:t xml:space="preserve">נראה לכאורה שסוגריים אלו הם הגירסא הנכונה, וכמו שכתב הב"ש (סקי"ב), ופסק השו"ע כאן כהרמב"ם שממתין חודש כיון שאסרה בהנאה ממנו. אבל צל"ע משום שהשו"ע עד כה </w:t>
      </w:r>
      <w:r w:rsidR="00615062">
        <w:rPr>
          <w:rFonts w:hint="cs"/>
          <w:color w:val="000000" w:themeColor="text1"/>
          <w:rtl/>
        </w:rPr>
        <w:t xml:space="preserve">העתיק את לשון </w:t>
      </w:r>
      <w:r w:rsidRPr="00790CAA">
        <w:rPr>
          <w:rFonts w:hint="cs"/>
          <w:color w:val="000000" w:themeColor="text1"/>
          <w:rtl/>
        </w:rPr>
        <w:t xml:space="preserve">הטור, שימתין ז' ימים. אבל אולי צ"ל שהשו"ע באמת פסק כשניהם, רק שתלוי מה אמר, אם אמר בסתם (כמו בסעיף זה) </w:t>
      </w:r>
      <w:r w:rsidR="00F97626">
        <w:rPr>
          <w:color w:val="000000" w:themeColor="text1"/>
          <w:rtl/>
        </w:rPr>
        <w:t>-</w:t>
      </w:r>
      <w:r w:rsidRPr="00790CAA">
        <w:rPr>
          <w:rFonts w:hint="cs"/>
          <w:color w:val="000000" w:themeColor="text1"/>
          <w:rtl/>
        </w:rPr>
        <w:t xml:space="preserve"> ממתין ל' יום כיון שהדירה מהנאתו, כהרמב"ם. ואם אמר קונם תשמישך וכו' </w:t>
      </w:r>
      <w:r>
        <w:rPr>
          <w:rFonts w:hint="cs"/>
          <w:color w:val="000000" w:themeColor="text1"/>
          <w:rtl/>
        </w:rPr>
        <w:t xml:space="preserve">(כמו בסעיף הבא) </w:t>
      </w:r>
      <w:r w:rsidR="00F97626">
        <w:rPr>
          <w:color w:val="000000" w:themeColor="text1"/>
          <w:rtl/>
        </w:rPr>
        <w:t>-</w:t>
      </w:r>
      <w:r>
        <w:rPr>
          <w:rFonts w:hint="cs"/>
          <w:color w:val="000000" w:themeColor="text1"/>
          <w:rtl/>
        </w:rPr>
        <w:t xml:space="preserve"> </w:t>
      </w:r>
      <w:r w:rsidRPr="00790CAA">
        <w:rPr>
          <w:rFonts w:hint="cs"/>
          <w:color w:val="000000" w:themeColor="text1"/>
          <w:rtl/>
        </w:rPr>
        <w:t>ממתין ז' כיון שהדירה מתשמיש, כהטור.</w:t>
      </w:r>
    </w:p>
  </w:footnote>
  <w:footnote w:id="426">
    <w:p w14:paraId="3EB332CF" w14:textId="77777777" w:rsidR="00DE2F5F" w:rsidRDefault="00DE2F5F" w:rsidP="00304916">
      <w:pPr>
        <w:pStyle w:val="a5"/>
        <w:rPr>
          <w:rtl/>
        </w:rPr>
      </w:pPr>
      <w:r>
        <w:rPr>
          <w:rStyle w:val="a7"/>
        </w:rPr>
        <w:footnoteRef/>
      </w:r>
      <w:r>
        <w:rPr>
          <w:rtl/>
        </w:rPr>
        <w:t xml:space="preserve"> </w:t>
      </w:r>
      <w:r w:rsidRPr="00830C5A">
        <w:rPr>
          <w:rFonts w:cs="Arial"/>
          <w:rtl/>
        </w:rPr>
        <w:t>דברים פשוטים הם וכ"כ מן הגאונים ז"ל</w:t>
      </w:r>
      <w:r>
        <w:rPr>
          <w:rFonts w:hint="cs"/>
          <w:rtl/>
        </w:rPr>
        <w:t>, הה"מ (שם).</w:t>
      </w:r>
    </w:p>
  </w:footnote>
  <w:footnote w:id="427">
    <w:p w14:paraId="7BB0FE05" w14:textId="77777777" w:rsidR="00DE2F5F" w:rsidRDefault="00DE2F5F" w:rsidP="00304916">
      <w:pPr>
        <w:pStyle w:val="a5"/>
        <w:rPr>
          <w:rtl/>
        </w:rPr>
      </w:pPr>
      <w:r>
        <w:rPr>
          <w:rStyle w:val="a7"/>
        </w:rPr>
        <w:footnoteRef/>
      </w:r>
      <w:r w:rsidRPr="00B6583F">
        <w:rPr>
          <w:rFonts w:cs="Arial"/>
          <w:rtl/>
        </w:rPr>
        <w:t>וכתב גאון בתשובה כי שומעין לה ואם לאו יוציא ויתן כתובתה</w:t>
      </w:r>
      <w:r>
        <w:rPr>
          <w:rFonts w:cs="Arial" w:hint="cs"/>
          <w:rtl/>
        </w:rPr>
        <w:t>, רי"ו</w:t>
      </w:r>
      <w:r w:rsidRPr="00830C5A">
        <w:rPr>
          <w:rFonts w:cs="Arial"/>
          <w:rtl/>
        </w:rPr>
        <w:t xml:space="preserve"> </w:t>
      </w:r>
      <w:r>
        <w:rPr>
          <w:rFonts w:cs="Arial" w:hint="cs"/>
          <w:rtl/>
        </w:rPr>
        <w:t>(</w:t>
      </w:r>
      <w:r w:rsidRPr="00830C5A">
        <w:rPr>
          <w:rFonts w:cs="Arial"/>
          <w:rtl/>
        </w:rPr>
        <w:t>מישרים נכ"ג ח"ה נח ע"ג</w:t>
      </w:r>
      <w:r>
        <w:rPr>
          <w:rFonts w:cs="Arial" w:hint="cs"/>
          <w:rtl/>
        </w:rPr>
        <w:t>, הביאו הב"י</w:t>
      </w:r>
      <w:r w:rsidRPr="00830C5A">
        <w:rPr>
          <w:rFonts w:cs="Arial"/>
          <w:rtl/>
        </w:rPr>
        <w:t>) בשם גאון</w:t>
      </w:r>
      <w:r>
        <w:rPr>
          <w:rFonts w:cs="Arial" w:hint="cs"/>
          <w:rtl/>
        </w:rPr>
        <w:t>.</w:t>
      </w:r>
    </w:p>
  </w:footnote>
  <w:footnote w:id="428">
    <w:p w14:paraId="500E0951" w14:textId="2C84F190" w:rsidR="00DE2F5F" w:rsidRDefault="00DE2F5F" w:rsidP="00304916">
      <w:pPr>
        <w:pStyle w:val="a5"/>
        <w:rPr>
          <w:rtl/>
        </w:rPr>
      </w:pPr>
      <w:r>
        <w:rPr>
          <w:rStyle w:val="a7"/>
        </w:rPr>
        <w:footnoteRef/>
      </w:r>
      <w:r>
        <w:rPr>
          <w:rtl/>
        </w:rPr>
        <w:t xml:space="preserve"> </w:t>
      </w:r>
      <w:r w:rsidRPr="00830C5A">
        <w:rPr>
          <w:rFonts w:cs="Arial"/>
          <w:rtl/>
        </w:rPr>
        <w:t>ואני אומר אין אדם דר עם נחש בכפיפה</w:t>
      </w:r>
      <w:r>
        <w:rPr>
          <w:rFonts w:cs="Arial" w:hint="cs"/>
          <w:rtl/>
        </w:rPr>
        <w:t>.</w:t>
      </w:r>
      <w:r w:rsidRPr="00830C5A">
        <w:rPr>
          <w:rFonts w:cs="Arial"/>
          <w:rtl/>
        </w:rPr>
        <w:t xml:space="preserve"> אלא כך הוא עיקר הדבר</w:t>
      </w:r>
      <w:r>
        <w:rPr>
          <w:rFonts w:cs="Arial" w:hint="cs"/>
          <w:rtl/>
        </w:rPr>
        <w:t>,</w:t>
      </w:r>
      <w:r w:rsidRPr="00830C5A">
        <w:rPr>
          <w:rFonts w:cs="Arial"/>
          <w:rtl/>
        </w:rPr>
        <w:t xml:space="preserve"> שאם נראה לב"ד שהם מריעים ומצירים לה וגורמין לה קטטה עם בעלה </w:t>
      </w:r>
      <w:r>
        <w:rPr>
          <w:rFonts w:cs="Arial" w:hint="cs"/>
          <w:rtl/>
        </w:rPr>
        <w:t xml:space="preserve">- </w:t>
      </w:r>
      <w:r w:rsidRPr="00830C5A">
        <w:rPr>
          <w:rFonts w:cs="Arial"/>
          <w:rtl/>
        </w:rPr>
        <w:t>הדין עמה</w:t>
      </w:r>
      <w:r>
        <w:rPr>
          <w:rFonts w:cs="Arial" w:hint="cs"/>
          <w:rtl/>
        </w:rPr>
        <w:t>.</w:t>
      </w:r>
      <w:r w:rsidRPr="00830C5A">
        <w:rPr>
          <w:rFonts w:cs="Arial"/>
          <w:rtl/>
        </w:rPr>
        <w:t xml:space="preserve"> ואם לאו </w:t>
      </w:r>
      <w:r>
        <w:rPr>
          <w:rFonts w:cs="Arial" w:hint="cs"/>
          <w:rtl/>
        </w:rPr>
        <w:t xml:space="preserve">- </w:t>
      </w:r>
      <w:r w:rsidRPr="00830C5A">
        <w:rPr>
          <w:rFonts w:cs="Arial"/>
          <w:rtl/>
        </w:rPr>
        <w:t>לאו כל המינה</w:t>
      </w:r>
      <w:r>
        <w:rPr>
          <w:rFonts w:cs="Arial" w:hint="cs"/>
          <w:rtl/>
        </w:rPr>
        <w:t>.</w:t>
      </w:r>
      <w:r w:rsidRPr="00830C5A">
        <w:rPr>
          <w:rFonts w:cs="Arial"/>
          <w:rtl/>
        </w:rPr>
        <w:t xml:space="preserve"> ובזה יפה כח הבעל מכחה לפי שהמדור הוא של בעל ואינו שלה ולפיכך אינה יכולה למחות על ידן אלא בטענה</w:t>
      </w:r>
      <w:r>
        <w:rPr>
          <w:rFonts w:cs="Arial" w:hint="cs"/>
          <w:rtl/>
        </w:rPr>
        <w:t>.</w:t>
      </w:r>
      <w:r w:rsidRPr="00830C5A">
        <w:rPr>
          <w:rFonts w:cs="Arial"/>
          <w:rtl/>
        </w:rPr>
        <w:t xml:space="preserve"> זהו דעתי</w:t>
      </w:r>
      <w:r>
        <w:rPr>
          <w:rFonts w:cs="Arial" w:hint="cs"/>
          <w:rtl/>
        </w:rPr>
        <w:t>, הה"מ (שם).</w:t>
      </w:r>
      <w:r w:rsidRPr="00830C5A">
        <w:rPr>
          <w:rFonts w:cs="Arial"/>
          <w:rtl/>
        </w:rPr>
        <w:t xml:space="preserve"> </w:t>
      </w:r>
      <w:r w:rsidRPr="001B3101">
        <w:rPr>
          <w:rFonts w:cs="Arial" w:hint="cs"/>
          <w:color w:val="00B0F0"/>
          <w:rtl/>
        </w:rPr>
        <w:t>(וכ"פ הרמ"א</w:t>
      </w:r>
      <w:r w:rsidR="00DD31B3">
        <w:rPr>
          <w:rFonts w:cs="Arial" w:hint="cs"/>
          <w:color w:val="000000" w:themeColor="text1"/>
          <w:sz w:val="16"/>
          <w:szCs w:val="16"/>
          <w:rtl/>
        </w:rPr>
        <w:t xml:space="preserve"> </w:t>
      </w:r>
      <w:r w:rsidR="00DD31B3" w:rsidRPr="008A18FF">
        <w:rPr>
          <w:rFonts w:cs="Arial" w:hint="cs"/>
          <w:color w:val="000000" w:themeColor="text1"/>
          <w:sz w:val="16"/>
          <w:szCs w:val="16"/>
          <w:rtl/>
        </w:rPr>
        <w:t>[</w:t>
      </w:r>
      <w:r w:rsidR="00DD31B3">
        <w:rPr>
          <w:rFonts w:cs="Arial" w:hint="cs"/>
          <w:color w:val="000000" w:themeColor="text1"/>
          <w:sz w:val="16"/>
          <w:szCs w:val="16"/>
          <w:rtl/>
        </w:rPr>
        <w:t>בסע' י]</w:t>
      </w:r>
      <w:r w:rsidRPr="001B3101">
        <w:rPr>
          <w:rFonts w:cs="Arial" w:hint="cs"/>
          <w:color w:val="00B0F0"/>
          <w:rtl/>
        </w:rPr>
        <w:t>)</w:t>
      </w:r>
    </w:p>
  </w:footnote>
  <w:footnote w:id="429">
    <w:p w14:paraId="30BA16EB" w14:textId="4C9C4C27" w:rsidR="00DE2F5F" w:rsidRDefault="00DE2F5F">
      <w:pPr>
        <w:pStyle w:val="a5"/>
      </w:pPr>
      <w:r>
        <w:rPr>
          <w:rStyle w:val="a7"/>
        </w:rPr>
        <w:footnoteRef/>
      </w:r>
      <w:r>
        <w:rPr>
          <w:rtl/>
        </w:rPr>
        <w:t xml:space="preserve"> </w:t>
      </w:r>
      <w:r w:rsidRPr="002D224A">
        <w:rPr>
          <w:rFonts w:cs="Arial" w:hint="cs"/>
          <w:rtl/>
        </w:rPr>
        <w:t>והביא הרי"ף (סה:) את מה שכתוב בתוספתא עד כאן, וגם הרמב"ם (פי"ג מאישות הי"ז) כתב את דברי התוספתא עד כאן</w:t>
      </w:r>
      <w:r>
        <w:rPr>
          <w:rFonts w:cs="Arial" w:hint="cs"/>
          <w:rtl/>
        </w:rPr>
        <w:t>.</w:t>
      </w:r>
    </w:p>
  </w:footnote>
  <w:footnote w:id="430">
    <w:p w14:paraId="1C506F69" w14:textId="59922292" w:rsidR="00DE2F5F" w:rsidRDefault="00DE2F5F">
      <w:pPr>
        <w:pStyle w:val="a5"/>
      </w:pPr>
      <w:r>
        <w:rPr>
          <w:rStyle w:val="a7"/>
        </w:rPr>
        <w:footnoteRef/>
      </w:r>
      <w:r>
        <w:rPr>
          <w:rtl/>
        </w:rPr>
        <w:t xml:space="preserve"> </w:t>
      </w:r>
      <w:r w:rsidRPr="00A806B1">
        <w:rPr>
          <w:rFonts w:cs="Arial"/>
          <w:rtl/>
        </w:rPr>
        <w:t>כלומר אע</w:t>
      </w:r>
      <w:r>
        <w:rPr>
          <w:rFonts w:cs="Arial" w:hint="cs"/>
          <w:rtl/>
        </w:rPr>
        <w:t>"</w:t>
      </w:r>
      <w:r w:rsidRPr="00A806B1">
        <w:rPr>
          <w:rFonts w:cs="Arial"/>
          <w:rtl/>
        </w:rPr>
        <w:t>פ שהוא מיהודה יכול להוציאה מכרך שבגליל לעיר שביהודה</w:t>
      </w:r>
      <w:r>
        <w:rPr>
          <w:rFonts w:cs="Arial" w:hint="cs"/>
          <w:rtl/>
        </w:rPr>
        <w:t xml:space="preserve">, </w:t>
      </w:r>
      <w:r w:rsidRPr="00A806B1">
        <w:rPr>
          <w:rFonts w:cs="Arial"/>
          <w:rtl/>
        </w:rPr>
        <w:t xml:space="preserve">ר"ן (סה: ד"ה אבל) </w:t>
      </w:r>
      <w:r w:rsidRPr="00F41CEC">
        <w:rPr>
          <w:rFonts w:cs="Arial" w:hint="cs"/>
          <w:sz w:val="16"/>
          <w:szCs w:val="16"/>
          <w:rtl/>
        </w:rPr>
        <w:t>{רק הר"ן הביא את סיום דברי התוספתא, צל"ע למה}</w:t>
      </w:r>
      <w:r>
        <w:rPr>
          <w:rFonts w:cs="Arial" w:hint="cs"/>
          <w:rtl/>
        </w:rPr>
        <w:t>. וכתב עוד הר"ן (שם)</w:t>
      </w:r>
      <w:r w:rsidR="008D655B">
        <w:rPr>
          <w:rFonts w:cs="Arial" w:hint="cs"/>
          <w:rtl/>
        </w:rPr>
        <w:t>:</w:t>
      </w:r>
      <w:r>
        <w:rPr>
          <w:rFonts w:cs="Arial" w:hint="cs"/>
          <w:rtl/>
        </w:rPr>
        <w:t xml:space="preserve"> </w:t>
      </w:r>
      <w:r w:rsidRPr="00A806B1">
        <w:rPr>
          <w:rFonts w:cs="Arial"/>
          <w:rtl/>
        </w:rPr>
        <w:t>אם היה מושבו ביהודה בעיר</w:t>
      </w:r>
      <w:r>
        <w:rPr>
          <w:rFonts w:cs="Arial" w:hint="cs"/>
          <w:rtl/>
        </w:rPr>
        <w:t>,</w:t>
      </w:r>
      <w:r w:rsidRPr="00A806B1">
        <w:rPr>
          <w:rFonts w:cs="Arial"/>
          <w:rtl/>
        </w:rPr>
        <w:t xml:space="preserve"> לאו כל הימינו שיאמר לה כיון שאני יכול להוציאך מכרך שבגליל לעיר שביהודה כל שכן שאני יכול לכופך להוציאך מכרך שבגליל</w:t>
      </w:r>
      <w:r>
        <w:rPr>
          <w:rFonts w:cs="Arial" w:hint="cs"/>
          <w:rtl/>
        </w:rPr>
        <w:t>,</w:t>
      </w:r>
      <w:r w:rsidRPr="00A806B1">
        <w:rPr>
          <w:rFonts w:cs="Arial"/>
          <w:rtl/>
        </w:rPr>
        <w:t xml:space="preserve"> דליתיה</w:t>
      </w:r>
      <w:r>
        <w:rPr>
          <w:rFonts w:cs="Arial" w:hint="cs"/>
          <w:rtl/>
        </w:rPr>
        <w:t>,</w:t>
      </w:r>
      <w:r w:rsidRPr="00A806B1">
        <w:rPr>
          <w:rFonts w:cs="Arial"/>
          <w:rtl/>
        </w:rPr>
        <w:t xml:space="preserve"> אלא למה שנתרצית בלבד נתרצית</w:t>
      </w:r>
      <w:r>
        <w:rPr>
          <w:rFonts w:cs="Arial" w:hint="cs"/>
          <w:rtl/>
        </w:rPr>
        <w:t>.</w:t>
      </w:r>
      <w:r w:rsidRPr="00000F75">
        <w:rPr>
          <w:rFonts w:cs="Arial" w:hint="cs"/>
          <w:color w:val="00B0F0"/>
          <w:rtl/>
        </w:rPr>
        <w:t xml:space="preserve"> </w:t>
      </w:r>
      <w:r w:rsidRPr="00E459DE">
        <w:rPr>
          <w:rFonts w:cs="Arial" w:hint="cs"/>
          <w:color w:val="00B0F0"/>
          <w:rtl/>
        </w:rPr>
        <w:t>(וכ"פ הרמ"א)</w:t>
      </w:r>
    </w:p>
  </w:footnote>
  <w:footnote w:id="431">
    <w:p w14:paraId="76D1434C" w14:textId="03BA9089" w:rsidR="00DE2F5F" w:rsidRPr="00AA7730" w:rsidRDefault="00DE2F5F">
      <w:pPr>
        <w:pStyle w:val="a5"/>
      </w:pPr>
      <w:r w:rsidRPr="00AA7730">
        <w:rPr>
          <w:rStyle w:val="a7"/>
        </w:rPr>
        <w:footnoteRef/>
      </w:r>
      <w:r w:rsidRPr="00AA7730">
        <w:rPr>
          <w:rtl/>
        </w:rPr>
        <w:t xml:space="preserve"> </w:t>
      </w:r>
      <w:r w:rsidRPr="00AA7730">
        <w:rPr>
          <w:rFonts w:cs="Arial"/>
          <w:rtl/>
        </w:rPr>
        <w:t>ועיין בתשובות המימוני דשייכי לספר נשים (סי' כח) כי שם האריך בדינים אלו. והג</w:t>
      </w:r>
      <w:r>
        <w:rPr>
          <w:rFonts w:cs="Arial" w:hint="cs"/>
          <w:rtl/>
        </w:rPr>
        <w:t>ה"מ</w:t>
      </w:r>
      <w:r w:rsidRPr="00AA7730">
        <w:rPr>
          <w:rFonts w:cs="Arial"/>
          <w:rtl/>
        </w:rPr>
        <w:t xml:space="preserve"> בפי"ג מהל</w:t>
      </w:r>
      <w:r>
        <w:rPr>
          <w:rFonts w:cs="Arial" w:hint="cs"/>
          <w:rtl/>
        </w:rPr>
        <w:t>'</w:t>
      </w:r>
      <w:r w:rsidRPr="00AA7730">
        <w:rPr>
          <w:rFonts w:cs="Arial"/>
          <w:rtl/>
        </w:rPr>
        <w:t xml:space="preserve"> אישות (אות ד) כתבו פירוש זה דמהר"מ.</w:t>
      </w:r>
      <w:r>
        <w:rPr>
          <w:rFonts w:cs="Arial" w:hint="cs"/>
          <w:rtl/>
        </w:rPr>
        <w:t>..</w:t>
      </w:r>
      <w:r w:rsidRPr="001742A8">
        <w:rPr>
          <w:rFonts w:cs="Arial"/>
          <w:rtl/>
        </w:rPr>
        <w:t xml:space="preserve"> </w:t>
      </w:r>
      <w:r>
        <w:rPr>
          <w:rFonts w:cs="Arial" w:hint="cs"/>
          <w:rtl/>
        </w:rPr>
        <w:t>ו</w:t>
      </w:r>
      <w:r w:rsidRPr="00FF3C43">
        <w:rPr>
          <w:rFonts w:cs="Arial"/>
          <w:rtl/>
        </w:rPr>
        <w:t>על מה שכתבתי בסמוך שהתוספתא והירושלמי סותרין זה את זה כתבו הרא"ש (פי"ג סי' יז) והמרדכי (סי' רפ) והגה</w:t>
      </w:r>
      <w:r>
        <w:rPr>
          <w:rFonts w:cs="Arial" w:hint="cs"/>
          <w:rtl/>
        </w:rPr>
        <w:t>"</w:t>
      </w:r>
      <w:r w:rsidRPr="00FF3C43">
        <w:rPr>
          <w:rFonts w:cs="Arial"/>
          <w:rtl/>
        </w:rPr>
        <w:t xml:space="preserve">מ </w:t>
      </w:r>
      <w:r>
        <w:rPr>
          <w:rFonts w:cs="Arial" w:hint="cs"/>
          <w:rtl/>
        </w:rPr>
        <w:t>(</w:t>
      </w:r>
      <w:r w:rsidRPr="00FF3C43">
        <w:rPr>
          <w:rFonts w:cs="Arial"/>
          <w:rtl/>
        </w:rPr>
        <w:t>ספר נשים סי' כח) שר"ת פירש דמתני' דג' ארצות לנשואין מיירי בכפיית האשה</w:t>
      </w:r>
      <w:r>
        <w:rPr>
          <w:rFonts w:cs="Arial" w:hint="cs"/>
          <w:rtl/>
        </w:rPr>
        <w:t>,</w:t>
      </w:r>
      <w:r w:rsidRPr="00FF3C43">
        <w:rPr>
          <w:rFonts w:cs="Arial"/>
          <w:rtl/>
        </w:rPr>
        <w:t xml:space="preserve"> שאם נשאה באחד מארצות האלה והוא מקום מולדתו ודירתו </w:t>
      </w:r>
      <w:r>
        <w:rPr>
          <w:rFonts w:cs="Arial" w:hint="cs"/>
          <w:rtl/>
        </w:rPr>
        <w:t xml:space="preserve">- </w:t>
      </w:r>
      <w:r w:rsidRPr="00FF3C43">
        <w:rPr>
          <w:rFonts w:cs="Arial"/>
          <w:rtl/>
        </w:rPr>
        <w:t>אין כופין אותה לצאת משם</w:t>
      </w:r>
      <w:r>
        <w:rPr>
          <w:rFonts w:cs="Arial" w:hint="cs"/>
          <w:rtl/>
        </w:rPr>
        <w:t>,</w:t>
      </w:r>
      <w:r w:rsidRPr="00FF3C43">
        <w:rPr>
          <w:rFonts w:cs="Arial"/>
          <w:rtl/>
        </w:rPr>
        <w:t xml:space="preserve"> וכל שכן אם נשאה באחת מהארצות האלה במקום מולדתה ודירתה</w:t>
      </w:r>
      <w:r>
        <w:rPr>
          <w:rFonts w:cs="Arial" w:hint="cs"/>
          <w:rtl/>
        </w:rPr>
        <w:t>,</w:t>
      </w:r>
      <w:r w:rsidRPr="00FF3C43">
        <w:rPr>
          <w:rFonts w:cs="Arial"/>
          <w:rtl/>
        </w:rPr>
        <w:t xml:space="preserve"> שיפה כח האשה יותר ואין יכול להוציאה משם</w:t>
      </w:r>
      <w:r>
        <w:rPr>
          <w:rFonts w:cs="Arial" w:hint="cs"/>
          <w:rtl/>
        </w:rPr>
        <w:t>.</w:t>
      </w:r>
      <w:r w:rsidRPr="00FF3C43">
        <w:rPr>
          <w:rFonts w:cs="Arial"/>
          <w:rtl/>
        </w:rPr>
        <w:t xml:space="preserve"> ומפ</w:t>
      </w:r>
      <w:r>
        <w:rPr>
          <w:rFonts w:cs="Arial" w:hint="cs"/>
          <w:rtl/>
        </w:rPr>
        <w:t>רש</w:t>
      </w:r>
      <w:r w:rsidRPr="00FF3C43">
        <w:rPr>
          <w:rFonts w:cs="Arial"/>
          <w:rtl/>
        </w:rPr>
        <w:t xml:space="preserve"> מתני</w:t>
      </w:r>
      <w:r>
        <w:rPr>
          <w:rFonts w:cs="Arial" w:hint="cs"/>
          <w:rtl/>
        </w:rPr>
        <w:t>תין</w:t>
      </w:r>
      <w:r w:rsidRPr="00FF3C43">
        <w:rPr>
          <w:rFonts w:cs="Arial"/>
          <w:rtl/>
        </w:rPr>
        <w:t xml:space="preserve"> ותוספתא הכי</w:t>
      </w:r>
      <w:r>
        <w:rPr>
          <w:rFonts w:cs="Arial" w:hint="cs"/>
          <w:rtl/>
        </w:rPr>
        <w:t>,</w:t>
      </w:r>
      <w:r w:rsidRPr="00FF3C43">
        <w:rPr>
          <w:rFonts w:cs="Arial"/>
          <w:rtl/>
        </w:rPr>
        <w:t xml:space="preserve"> ג' ארצות לנשואין וכו' אם האיש מיהודה והאשה מגליל</w:t>
      </w:r>
      <w:r>
        <w:rPr>
          <w:rFonts w:cs="Arial" w:hint="cs"/>
          <w:rtl/>
        </w:rPr>
        <w:t>,</w:t>
      </w:r>
      <w:r w:rsidRPr="00FF3C43">
        <w:rPr>
          <w:rFonts w:cs="Arial"/>
          <w:rtl/>
        </w:rPr>
        <w:t xml:space="preserve"> ונשאה ביהודה שהוא מקומו </w:t>
      </w:r>
      <w:r>
        <w:rPr>
          <w:rFonts w:cs="Arial" w:hint="cs"/>
          <w:rtl/>
        </w:rPr>
        <w:t xml:space="preserve">- </w:t>
      </w:r>
      <w:r w:rsidRPr="00FF3C43">
        <w:rPr>
          <w:rFonts w:cs="Arial"/>
          <w:rtl/>
        </w:rPr>
        <w:t>אין מוציאין האיש ממקומו לילך אחריה לגליל</w:t>
      </w:r>
      <w:r>
        <w:rPr>
          <w:rFonts w:cs="Arial" w:hint="cs"/>
          <w:rtl/>
        </w:rPr>
        <w:t>,</w:t>
      </w:r>
      <w:r w:rsidRPr="00FF3C43">
        <w:rPr>
          <w:rFonts w:cs="Arial"/>
          <w:rtl/>
        </w:rPr>
        <w:t xml:space="preserve"> כיון דיהודה וגליל הן ב' מקומות ואין שיירות מצויות מזו לזו ואין יכול לחקור ולידע תמיד מנהג אנשי מולדתו אין כופין אותו להניח מקומו</w:t>
      </w:r>
      <w:r>
        <w:rPr>
          <w:rFonts w:cs="Arial" w:hint="cs"/>
          <w:rtl/>
        </w:rPr>
        <w:t>,</w:t>
      </w:r>
      <w:r w:rsidRPr="00FF3C43">
        <w:rPr>
          <w:rFonts w:cs="Arial"/>
          <w:rtl/>
        </w:rPr>
        <w:t xml:space="preserve"> כיון דשם נשאה</w:t>
      </w:r>
      <w:r>
        <w:rPr>
          <w:rFonts w:cs="Arial" w:hint="cs"/>
          <w:rtl/>
        </w:rPr>
        <w:t>.</w:t>
      </w:r>
      <w:r w:rsidRPr="00FF3C43">
        <w:rPr>
          <w:rFonts w:cs="Arial"/>
          <w:rtl/>
        </w:rPr>
        <w:t xml:space="preserve"> אבל נשאה בגליל </w:t>
      </w:r>
      <w:r>
        <w:rPr>
          <w:rFonts w:cs="Arial" w:hint="cs"/>
          <w:rtl/>
        </w:rPr>
        <w:t xml:space="preserve">- </w:t>
      </w:r>
      <w:r w:rsidRPr="00FF3C43">
        <w:rPr>
          <w:rFonts w:cs="Arial"/>
          <w:rtl/>
        </w:rPr>
        <w:t>כופין אותו לצאת</w:t>
      </w:r>
      <w:r>
        <w:rPr>
          <w:rFonts w:cs="Arial" w:hint="cs"/>
          <w:rtl/>
        </w:rPr>
        <w:t>,</w:t>
      </w:r>
      <w:r w:rsidRPr="00FF3C43">
        <w:rPr>
          <w:rFonts w:cs="Arial"/>
          <w:rtl/>
        </w:rPr>
        <w:t xml:space="preserve"> וגרסינן בתוספתא </w:t>
      </w:r>
      <w:r>
        <w:rPr>
          <w:rFonts w:cs="Arial" w:hint="cs"/>
          <w:rtl/>
        </w:rPr>
        <w:t>'</w:t>
      </w:r>
      <w:r w:rsidRPr="00FF3C43">
        <w:rPr>
          <w:rFonts w:cs="Arial"/>
          <w:rtl/>
        </w:rPr>
        <w:t xml:space="preserve">כופין </w:t>
      </w:r>
      <w:r w:rsidRPr="00343C7E">
        <w:rPr>
          <w:rFonts w:cs="Arial"/>
          <w:b/>
          <w:bCs/>
          <w:rtl/>
        </w:rPr>
        <w:t>אותו</w:t>
      </w:r>
      <w:r w:rsidRPr="00FF3C43">
        <w:rPr>
          <w:rFonts w:cs="Arial"/>
          <w:rtl/>
        </w:rPr>
        <w:t xml:space="preserve"> לצאת שעל מנת כן נשאה</w:t>
      </w:r>
      <w:r>
        <w:rPr>
          <w:rFonts w:cs="Arial" w:hint="cs"/>
          <w:rtl/>
        </w:rPr>
        <w:t>'.</w:t>
      </w:r>
      <w:r w:rsidRPr="00FF3C43">
        <w:rPr>
          <w:rFonts w:cs="Arial"/>
          <w:rtl/>
        </w:rPr>
        <w:t xml:space="preserve"> ואם האיש והאשה ממקום אחד ביהודה</w:t>
      </w:r>
      <w:r>
        <w:rPr>
          <w:rFonts w:cs="Arial" w:hint="cs"/>
          <w:rtl/>
        </w:rPr>
        <w:t>,</w:t>
      </w:r>
      <w:r w:rsidRPr="00FF3C43">
        <w:rPr>
          <w:rFonts w:cs="Arial"/>
          <w:rtl/>
        </w:rPr>
        <w:t xml:space="preserve"> אע</w:t>
      </w:r>
      <w:r>
        <w:rPr>
          <w:rFonts w:cs="Arial" w:hint="cs"/>
          <w:rtl/>
        </w:rPr>
        <w:t>"</w:t>
      </w:r>
      <w:r w:rsidRPr="00FF3C43">
        <w:rPr>
          <w:rFonts w:cs="Arial"/>
          <w:rtl/>
        </w:rPr>
        <w:t xml:space="preserve">פ שנשאה בגליל </w:t>
      </w:r>
      <w:r>
        <w:rPr>
          <w:rFonts w:cs="Arial" w:hint="cs"/>
          <w:rtl/>
        </w:rPr>
        <w:t xml:space="preserve">- </w:t>
      </w:r>
      <w:r w:rsidRPr="00FF3C43">
        <w:rPr>
          <w:rFonts w:cs="Arial"/>
          <w:rtl/>
        </w:rPr>
        <w:t>כופין אותו לצאת מגליל</w:t>
      </w:r>
      <w:r>
        <w:rPr>
          <w:rFonts w:cs="Arial" w:hint="cs"/>
          <w:rtl/>
        </w:rPr>
        <w:t>,</w:t>
      </w:r>
      <w:r w:rsidRPr="00FF3C43">
        <w:rPr>
          <w:rFonts w:cs="Arial"/>
          <w:rtl/>
        </w:rPr>
        <w:t xml:space="preserve"> אפילו מעיר לכרך ומכרך לעיר</w:t>
      </w:r>
      <w:r>
        <w:rPr>
          <w:rFonts w:cs="Arial" w:hint="cs"/>
          <w:rtl/>
        </w:rPr>
        <w:t>.</w:t>
      </w:r>
      <w:r w:rsidRPr="00FF3C43">
        <w:rPr>
          <w:rFonts w:cs="Arial"/>
          <w:rtl/>
        </w:rPr>
        <w:t xml:space="preserve"> ואם האשה מכרך והאיש מעיר או להפך</w:t>
      </w:r>
      <w:r>
        <w:rPr>
          <w:rFonts w:cs="Arial" w:hint="cs"/>
          <w:rtl/>
        </w:rPr>
        <w:t>,</w:t>
      </w:r>
      <w:r w:rsidRPr="00FF3C43">
        <w:rPr>
          <w:rFonts w:cs="Arial"/>
          <w:rtl/>
        </w:rPr>
        <w:t xml:space="preserve"> ושניהם ביהודה</w:t>
      </w:r>
      <w:r>
        <w:rPr>
          <w:rFonts w:cs="Arial" w:hint="cs"/>
          <w:rtl/>
        </w:rPr>
        <w:t>,</w:t>
      </w:r>
      <w:r w:rsidRPr="00FF3C43">
        <w:rPr>
          <w:rFonts w:cs="Arial"/>
          <w:rtl/>
        </w:rPr>
        <w:t xml:space="preserve"> ונשאה בעירו </w:t>
      </w:r>
      <w:r>
        <w:rPr>
          <w:rFonts w:cs="Arial" w:hint="cs"/>
          <w:rtl/>
        </w:rPr>
        <w:t xml:space="preserve">- </w:t>
      </w:r>
      <w:r w:rsidRPr="00FF3C43">
        <w:rPr>
          <w:rFonts w:cs="Arial"/>
          <w:rtl/>
        </w:rPr>
        <w:t>אין האשה יכולה לכופו להניח מקומו</w:t>
      </w:r>
      <w:r>
        <w:rPr>
          <w:rFonts w:cs="Arial" w:hint="cs"/>
          <w:rtl/>
        </w:rPr>
        <w:t>,</w:t>
      </w:r>
      <w:r w:rsidRPr="00FF3C43">
        <w:rPr>
          <w:rFonts w:cs="Arial"/>
          <w:rtl/>
        </w:rPr>
        <w:t xml:space="preserve"> כיון דאין שני המקומות שוים והוא נשאה</w:t>
      </w:r>
      <w:r>
        <w:rPr>
          <w:rFonts w:cs="Arial" w:hint="cs"/>
          <w:rtl/>
        </w:rPr>
        <w:t xml:space="preserve"> </w:t>
      </w:r>
      <w:r>
        <w:rPr>
          <w:rFonts w:cs="Arial" w:hint="cs"/>
          <w:sz w:val="16"/>
          <w:szCs w:val="16"/>
          <w:rtl/>
        </w:rPr>
        <w:t>{בעירו}</w:t>
      </w:r>
      <w:r>
        <w:rPr>
          <w:rFonts w:cs="Arial" w:hint="cs"/>
          <w:rtl/>
        </w:rPr>
        <w:t>.</w:t>
      </w:r>
      <w:r w:rsidRPr="00FF3C43">
        <w:rPr>
          <w:rFonts w:cs="Arial"/>
          <w:rtl/>
        </w:rPr>
        <w:t xml:space="preserve"> וכל שכן אם נשאה בעירה שאין האיש יכול לכופה להניח מקומה</w:t>
      </w:r>
      <w:r>
        <w:rPr>
          <w:rFonts w:cs="Arial" w:hint="cs"/>
          <w:rtl/>
        </w:rPr>
        <w:t>,</w:t>
      </w:r>
      <w:r w:rsidRPr="00FF3C43">
        <w:rPr>
          <w:rFonts w:cs="Arial"/>
          <w:rtl/>
        </w:rPr>
        <w:t xml:space="preserve"> כיון שאין שני המקומות שוים והוא נשאה</w:t>
      </w:r>
      <w:r>
        <w:rPr>
          <w:rFonts w:cs="Arial" w:hint="cs"/>
          <w:rtl/>
        </w:rPr>
        <w:t xml:space="preserve"> </w:t>
      </w:r>
      <w:r>
        <w:rPr>
          <w:rFonts w:cs="Arial" w:hint="cs"/>
          <w:sz w:val="16"/>
          <w:szCs w:val="16"/>
          <w:rtl/>
        </w:rPr>
        <w:t>{בעירה}</w:t>
      </w:r>
      <w:r>
        <w:rPr>
          <w:rFonts w:cs="Arial" w:hint="cs"/>
          <w:rtl/>
        </w:rPr>
        <w:t>.</w:t>
      </w:r>
      <w:r w:rsidRPr="00FF3C43">
        <w:rPr>
          <w:rFonts w:cs="Arial"/>
          <w:rtl/>
        </w:rPr>
        <w:t xml:space="preserve"> וכ"ש אם נשאה בעירה שאין האיש יכול לכופה להניח מקומה כיון שאין שני המקומות שוים ונשאה בעירו</w:t>
      </w:r>
      <w:r>
        <w:rPr>
          <w:rFonts w:cs="Arial" w:hint="cs"/>
          <w:sz w:val="16"/>
          <w:szCs w:val="16"/>
          <w:rtl/>
        </w:rPr>
        <w:t xml:space="preserve"> </w:t>
      </w:r>
      <w:r w:rsidRPr="00CE5A05">
        <w:rPr>
          <w:rFonts w:cs="Arial" w:hint="cs"/>
          <w:color w:val="FF0000"/>
          <w:sz w:val="16"/>
          <w:szCs w:val="16"/>
          <w:rtl/>
        </w:rPr>
        <w:t>{?}</w:t>
      </w:r>
      <w:r>
        <w:rPr>
          <w:rFonts w:cs="Arial" w:hint="cs"/>
          <w:rtl/>
        </w:rPr>
        <w:t>.</w:t>
      </w:r>
      <w:r w:rsidRPr="00FF3C43">
        <w:rPr>
          <w:rFonts w:cs="Arial"/>
          <w:rtl/>
        </w:rPr>
        <w:t xml:space="preserve"> אבל אם מקומותיהם שוים</w:t>
      </w:r>
      <w:r>
        <w:rPr>
          <w:rFonts w:cs="Arial" w:hint="cs"/>
          <w:rtl/>
        </w:rPr>
        <w:t>,</w:t>
      </w:r>
      <w:r w:rsidRPr="00FF3C43">
        <w:rPr>
          <w:rFonts w:cs="Arial"/>
          <w:rtl/>
        </w:rPr>
        <w:t xml:space="preserve"> שניהם כרכים או שניהם עיירות </w:t>
      </w:r>
      <w:r>
        <w:rPr>
          <w:rFonts w:cs="Arial" w:hint="cs"/>
          <w:rtl/>
        </w:rPr>
        <w:t xml:space="preserve">- </w:t>
      </w:r>
      <w:r w:rsidRPr="00FF3C43">
        <w:rPr>
          <w:rFonts w:cs="Arial"/>
          <w:rtl/>
        </w:rPr>
        <w:t>כופין את האיש לעזוב מקומו</w:t>
      </w:r>
      <w:r>
        <w:rPr>
          <w:rFonts w:cs="Arial" w:hint="cs"/>
          <w:rtl/>
        </w:rPr>
        <w:t>,</w:t>
      </w:r>
      <w:r w:rsidRPr="00FF3C43">
        <w:rPr>
          <w:rFonts w:cs="Arial"/>
          <w:rtl/>
        </w:rPr>
        <w:t xml:space="preserve"> ואע</w:t>
      </w:r>
      <w:r>
        <w:rPr>
          <w:rFonts w:cs="Arial" w:hint="cs"/>
          <w:rtl/>
        </w:rPr>
        <w:t>"</w:t>
      </w:r>
      <w:r w:rsidRPr="00FF3C43">
        <w:rPr>
          <w:rFonts w:cs="Arial"/>
          <w:rtl/>
        </w:rPr>
        <w:t>פ שבמקומו נשאה</w:t>
      </w:r>
      <w:r>
        <w:rPr>
          <w:rFonts w:cs="Arial" w:hint="cs"/>
          <w:rtl/>
        </w:rPr>
        <w:t>,</w:t>
      </w:r>
      <w:r w:rsidRPr="00FF3C43">
        <w:rPr>
          <w:rFonts w:cs="Arial"/>
          <w:rtl/>
        </w:rPr>
        <w:t xml:space="preserve"> דעולה עמו ואינה יורדת</w:t>
      </w:r>
      <w:r>
        <w:rPr>
          <w:rFonts w:cs="Arial" w:hint="cs"/>
          <w:rtl/>
        </w:rPr>
        <w:t>,</w:t>
      </w:r>
      <w:r w:rsidRPr="00FF3C43">
        <w:rPr>
          <w:rFonts w:cs="Arial"/>
          <w:rtl/>
        </w:rPr>
        <w:t xml:space="preserve"> ודרכו לחזר אחר אבידתו</w:t>
      </w:r>
      <w:r>
        <w:rPr>
          <w:rFonts w:cs="Arial" w:hint="cs"/>
          <w:rtl/>
        </w:rPr>
        <w:t>,</w:t>
      </w:r>
      <w:r w:rsidRPr="00FF3C43">
        <w:rPr>
          <w:rFonts w:cs="Arial"/>
          <w:rtl/>
        </w:rPr>
        <w:t xml:space="preserve"> ועוד יכול לילך לראות אוהביו כשירצה מש</w:t>
      </w:r>
      <w:r>
        <w:rPr>
          <w:rFonts w:cs="Arial" w:hint="cs"/>
          <w:rtl/>
        </w:rPr>
        <w:t>א</w:t>
      </w:r>
      <w:r w:rsidRPr="00FF3C43">
        <w:rPr>
          <w:rFonts w:cs="Arial"/>
          <w:rtl/>
        </w:rPr>
        <w:t>"כ באשה</w:t>
      </w:r>
      <w:r>
        <w:rPr>
          <w:rFonts w:cs="Arial" w:hint="cs"/>
          <w:rtl/>
        </w:rPr>
        <w:t>.</w:t>
      </w:r>
      <w:r w:rsidRPr="00FF3C43">
        <w:rPr>
          <w:rFonts w:cs="Arial"/>
          <w:rtl/>
        </w:rPr>
        <w:t xml:space="preserve"> וההיא דירושלמי מפרש ר"ת מתניתין כשהי' מיהודה ונשא אשה מגליל</w:t>
      </w:r>
      <w:r>
        <w:rPr>
          <w:rFonts w:cs="Arial" w:hint="cs"/>
          <w:rtl/>
        </w:rPr>
        <w:t>,</w:t>
      </w:r>
      <w:r w:rsidRPr="00FF3C43">
        <w:rPr>
          <w:rFonts w:cs="Arial"/>
          <w:rtl/>
        </w:rPr>
        <w:t xml:space="preserve"> מגליל ונשא אשה מיהודה</w:t>
      </w:r>
      <w:r>
        <w:rPr>
          <w:rFonts w:cs="Arial" w:hint="cs"/>
          <w:rtl/>
        </w:rPr>
        <w:t>,</w:t>
      </w:r>
      <w:r w:rsidRPr="00FF3C43">
        <w:rPr>
          <w:rFonts w:cs="Arial"/>
          <w:rtl/>
        </w:rPr>
        <w:t xml:space="preserve"> פירוש שהיה מיהודה ונשא אשה מגליל ביהודה </w:t>
      </w:r>
      <w:r>
        <w:rPr>
          <w:rFonts w:cs="Arial" w:hint="cs"/>
          <w:rtl/>
        </w:rPr>
        <w:t xml:space="preserve">- </w:t>
      </w:r>
      <w:r w:rsidRPr="00FF3C43">
        <w:rPr>
          <w:rFonts w:cs="Arial"/>
          <w:rtl/>
        </w:rPr>
        <w:t>אין כופין אותו לילך אחריה לגליל</w:t>
      </w:r>
      <w:r>
        <w:rPr>
          <w:rFonts w:cs="Arial" w:hint="cs"/>
          <w:rtl/>
        </w:rPr>
        <w:t>,</w:t>
      </w:r>
      <w:r w:rsidRPr="00FF3C43">
        <w:rPr>
          <w:rFonts w:cs="Arial"/>
          <w:rtl/>
        </w:rPr>
        <w:t xml:space="preserve"> או מגליל ונשא אשה מיהודה בגליל </w:t>
      </w:r>
      <w:r>
        <w:rPr>
          <w:rFonts w:cs="Arial" w:hint="cs"/>
          <w:rtl/>
        </w:rPr>
        <w:t xml:space="preserve">- </w:t>
      </w:r>
      <w:r w:rsidRPr="00FF3C43">
        <w:rPr>
          <w:rFonts w:cs="Arial"/>
          <w:rtl/>
        </w:rPr>
        <w:t>אין כופין אותו לילך אחריה ליהודה</w:t>
      </w:r>
      <w:r>
        <w:rPr>
          <w:rFonts w:cs="Arial" w:hint="cs"/>
          <w:rtl/>
        </w:rPr>
        <w:t>.</w:t>
      </w:r>
      <w:r w:rsidRPr="00FF3C43">
        <w:rPr>
          <w:rFonts w:cs="Arial"/>
          <w:rtl/>
        </w:rPr>
        <w:t xml:space="preserve"> אבל הוא מיהודה ונשא אשה מיהודה</w:t>
      </w:r>
      <w:r>
        <w:rPr>
          <w:rFonts w:cs="Arial" w:hint="cs"/>
          <w:rtl/>
        </w:rPr>
        <w:t>,</w:t>
      </w:r>
      <w:r w:rsidRPr="00FF3C43">
        <w:rPr>
          <w:rFonts w:cs="Arial"/>
          <w:rtl/>
        </w:rPr>
        <w:t xml:space="preserve"> מגליל ונשא אשה מגליל</w:t>
      </w:r>
      <w:r>
        <w:rPr>
          <w:rFonts w:cs="Arial" w:hint="cs"/>
          <w:rtl/>
        </w:rPr>
        <w:t>,</w:t>
      </w:r>
      <w:r w:rsidRPr="00FF3C43">
        <w:rPr>
          <w:rFonts w:cs="Arial"/>
          <w:rtl/>
        </w:rPr>
        <w:t xml:space="preserve"> אני פלוני שמיהודה נשאתי אשה מיהודה פי' מיהודה מעיר לעיר או מכרך לכרך כדמפרש לעיל מגליל </w:t>
      </w:r>
      <w:r>
        <w:rPr>
          <w:rFonts w:cs="Arial" w:hint="cs"/>
          <w:rtl/>
        </w:rPr>
        <w:t xml:space="preserve">- </w:t>
      </w:r>
      <w:r w:rsidRPr="00FF3C43">
        <w:rPr>
          <w:rFonts w:cs="Arial"/>
          <w:rtl/>
        </w:rPr>
        <w:t>אין כופין אותו לצאת אחריה</w:t>
      </w:r>
      <w:r>
        <w:rPr>
          <w:rFonts w:cs="Arial" w:hint="cs"/>
          <w:rtl/>
        </w:rPr>
        <w:t>.</w:t>
      </w:r>
      <w:r w:rsidRPr="00FF3C43">
        <w:rPr>
          <w:rFonts w:cs="Arial"/>
          <w:rtl/>
        </w:rPr>
        <w:t xml:space="preserve"> כך פר"ת דבכפיית האיש איירי עכ"ל. וכתב הרא"ש שהר"מ הקשה עליו דמשמע בירושלמי דיפה כח הבעל מכח האשה</w:t>
      </w:r>
      <w:r>
        <w:rPr>
          <w:rFonts w:cs="Arial" w:hint="cs"/>
          <w:rtl/>
        </w:rPr>
        <w:t>.</w:t>
      </w:r>
      <w:r w:rsidRPr="00FF3C43">
        <w:rPr>
          <w:rFonts w:cs="Arial"/>
          <w:rtl/>
        </w:rPr>
        <w:t xml:space="preserve"> ופירש הוא דאיירי בכפיית האשה</w:t>
      </w:r>
      <w:r>
        <w:rPr>
          <w:rFonts w:cs="Arial" w:hint="cs"/>
          <w:rtl/>
        </w:rPr>
        <w:t>,</w:t>
      </w:r>
      <w:r w:rsidRPr="00FF3C43">
        <w:rPr>
          <w:rFonts w:cs="Arial"/>
          <w:rtl/>
        </w:rPr>
        <w:t xml:space="preserve"> ויישב התוספתא והירושלמי כמו שכתבתי לעיל בסמוך בשם הר"מ. ויש לתמוה על רבינו שכתב לעיל דברי הר"מ וכאן כתב דברי ר"ת כאילו אינו חולק על דברי מהר"מ</w:t>
      </w:r>
      <w:r>
        <w:rPr>
          <w:rFonts w:cs="Arial" w:hint="cs"/>
          <w:rtl/>
        </w:rPr>
        <w:t>,</w:t>
      </w:r>
      <w:r w:rsidRPr="00FF3C43">
        <w:rPr>
          <w:rFonts w:cs="Arial"/>
          <w:rtl/>
        </w:rPr>
        <w:t xml:space="preserve"> ומאחר שהם חלוקים זה על זה אצל דברי מהר"מ הל"ל</w:t>
      </w:r>
      <w:r>
        <w:rPr>
          <w:rFonts w:cs="Arial" w:hint="cs"/>
          <w:rtl/>
        </w:rPr>
        <w:t>-</w:t>
      </w:r>
      <w:r w:rsidRPr="00FF3C43">
        <w:rPr>
          <w:rFonts w:cs="Arial"/>
          <w:rtl/>
        </w:rPr>
        <w:t xml:space="preserve"> ור"ת כתב מי שהוא ביהודה והביא אשה מגליל ליהודה וכו'</w:t>
      </w:r>
      <w:r w:rsidRPr="00AA7730">
        <w:rPr>
          <w:rFonts w:cs="Arial" w:hint="cs"/>
          <w:rtl/>
        </w:rPr>
        <w:t>, ב"י.</w:t>
      </w:r>
    </w:p>
  </w:footnote>
  <w:footnote w:id="432">
    <w:p w14:paraId="72913342" w14:textId="154C4C5C" w:rsidR="00DE2F5F" w:rsidRDefault="00DE2F5F">
      <w:pPr>
        <w:pStyle w:val="a5"/>
      </w:pPr>
      <w:r>
        <w:rPr>
          <w:rStyle w:val="a7"/>
        </w:rPr>
        <w:footnoteRef/>
      </w:r>
      <w:r>
        <w:rPr>
          <w:rtl/>
        </w:rPr>
        <w:t xml:space="preserve"> </w:t>
      </w:r>
      <w:r>
        <w:rPr>
          <w:rFonts w:hint="cs"/>
          <w:rtl/>
        </w:rPr>
        <w:t xml:space="preserve">אפילו </w:t>
      </w:r>
      <w:r w:rsidRPr="00496BC7">
        <w:rPr>
          <w:rFonts w:cs="Arial"/>
          <w:rtl/>
        </w:rPr>
        <w:t>לארצה</w:t>
      </w:r>
      <w:r>
        <w:rPr>
          <w:rFonts w:cs="Arial" w:hint="cs"/>
          <w:rtl/>
        </w:rPr>
        <w:t>, מהר"ם</w:t>
      </w:r>
      <w:r>
        <w:rPr>
          <w:rFonts w:hint="cs"/>
          <w:rtl/>
        </w:rPr>
        <w:t xml:space="preserve"> (כ"כ הרא"ש המרדכי והטור בשמו) ע"פ הב"י. </w:t>
      </w:r>
    </w:p>
  </w:footnote>
  <w:footnote w:id="433">
    <w:p w14:paraId="786A1CC9" w14:textId="7C4A4B49" w:rsidR="00DE2F5F" w:rsidRDefault="00DE2F5F" w:rsidP="00685451">
      <w:pPr>
        <w:pStyle w:val="a5"/>
        <w:rPr>
          <w:rtl/>
        </w:rPr>
      </w:pPr>
      <w:r>
        <w:rPr>
          <w:rStyle w:val="a7"/>
        </w:rPr>
        <w:footnoteRef/>
      </w:r>
      <w:r>
        <w:rPr>
          <w:rtl/>
        </w:rPr>
        <w:t xml:space="preserve"> </w:t>
      </w:r>
      <w:r w:rsidRPr="00242605">
        <w:rPr>
          <w:rFonts w:cs="Arial"/>
          <w:rtl/>
        </w:rPr>
        <w:t>ואין דבריו נראין כי איך לא נחוש מאחר שחשש מוהר"ם לדבריו</w:t>
      </w:r>
      <w:r>
        <w:rPr>
          <w:rFonts w:cs="Arial" w:hint="cs"/>
          <w:rtl/>
        </w:rPr>
        <w:t>, דרכ"מ (אות ז).</w:t>
      </w:r>
    </w:p>
  </w:footnote>
  <w:footnote w:id="434">
    <w:p w14:paraId="116D1132" w14:textId="5724D17A" w:rsidR="00DE2F5F" w:rsidRDefault="00DE2F5F" w:rsidP="00A73B2D">
      <w:pPr>
        <w:pStyle w:val="a5"/>
        <w:rPr>
          <w:rtl/>
        </w:rPr>
      </w:pPr>
      <w:r>
        <w:rPr>
          <w:rStyle w:val="a7"/>
        </w:rPr>
        <w:footnoteRef/>
      </w:r>
      <w:r>
        <w:rPr>
          <w:rtl/>
        </w:rPr>
        <w:t xml:space="preserve"> </w:t>
      </w:r>
      <w:r w:rsidRPr="00D57ECA">
        <w:rPr>
          <w:rFonts w:cs="Arial"/>
          <w:rtl/>
        </w:rPr>
        <w:t>ופירש רש"י שהנוה היפה בודק את הגוף למי שבא מנוה הרע ומתוך כך חלאים באים עליו</w:t>
      </w:r>
      <w:r w:rsidR="00B501E6">
        <w:rPr>
          <w:rFonts w:cs="Arial" w:hint="cs"/>
          <w:rtl/>
        </w:rPr>
        <w:t>,</w:t>
      </w:r>
      <w:r w:rsidRPr="00D57ECA">
        <w:rPr>
          <w:rFonts w:cs="Arial"/>
          <w:rtl/>
        </w:rPr>
        <w:t xml:space="preserve"> והכי משמע בגמרא דקאמר מאי בודק כשמואל דאמר שינוי וסת תחלת חולי בני מעים</w:t>
      </w:r>
      <w:r w:rsidR="00B501E6">
        <w:rPr>
          <w:rFonts w:cs="Arial" w:hint="cs"/>
          <w:rtl/>
        </w:rPr>
        <w:t>.</w:t>
      </w:r>
      <w:r w:rsidRPr="00D57ECA">
        <w:rPr>
          <w:rFonts w:cs="Arial"/>
          <w:rtl/>
        </w:rPr>
        <w:t xml:space="preserve"> אבל הרמב"ם </w:t>
      </w:r>
      <w:r w:rsidR="00B501E6">
        <w:rPr>
          <w:rFonts w:cs="Arial" w:hint="cs"/>
          <w:rtl/>
        </w:rPr>
        <w:t>(</w:t>
      </w:r>
      <w:r w:rsidRPr="00D57ECA">
        <w:rPr>
          <w:rFonts w:cs="Arial"/>
          <w:rtl/>
        </w:rPr>
        <w:t>פי"ג מהל</w:t>
      </w:r>
      <w:r w:rsidR="00B501E6">
        <w:rPr>
          <w:rFonts w:cs="Arial" w:hint="cs"/>
          <w:rtl/>
        </w:rPr>
        <w:t>'</w:t>
      </w:r>
      <w:r w:rsidRPr="00D57ECA">
        <w:rPr>
          <w:rFonts w:cs="Arial"/>
          <w:rtl/>
        </w:rPr>
        <w:t xml:space="preserve"> אישות</w:t>
      </w:r>
      <w:r w:rsidR="00B501E6">
        <w:rPr>
          <w:rFonts w:cs="Arial" w:hint="cs"/>
          <w:rtl/>
        </w:rPr>
        <w:t>)</w:t>
      </w:r>
      <w:r w:rsidRPr="00D57ECA">
        <w:rPr>
          <w:rFonts w:cs="Arial"/>
          <w:rtl/>
        </w:rPr>
        <w:t xml:space="preserve"> כתב אינו יכול להוציאה מנוה היפה לנוה הרע ולא מרע ליפה מפני שהיא צריכה להטפל ולבדוק עצמה בנוה היפה כדי שלא תהיה בו קלה וכעורה</w:t>
      </w:r>
      <w:r w:rsidR="00B501E6">
        <w:rPr>
          <w:rFonts w:cs="Arial" w:hint="cs"/>
          <w:rtl/>
        </w:rPr>
        <w:t>.</w:t>
      </w:r>
      <w:r w:rsidRPr="00D57ECA">
        <w:rPr>
          <w:rFonts w:cs="Arial"/>
          <w:rtl/>
        </w:rPr>
        <w:t xml:space="preserve"> וכתב הר"ן (סה סוע"א) ולפי זה הא דמייתי בגמרא כדשמואל אינו אלא לדמיון בלבד שפעמים יצא נזק מתוך שינוי לטובה</w:t>
      </w:r>
      <w:r w:rsidRPr="00D57ECA">
        <w:rPr>
          <w:rFonts w:cs="Arial" w:hint="cs"/>
          <w:rtl/>
        </w:rPr>
        <w:t>, ב"י</w:t>
      </w:r>
      <w:r>
        <w:rPr>
          <w:rFonts w:hint="cs"/>
          <w:rtl/>
        </w:rPr>
        <w:t>.</w:t>
      </w:r>
    </w:p>
  </w:footnote>
  <w:footnote w:id="435">
    <w:p w14:paraId="20396383" w14:textId="791B26FA" w:rsidR="00DE2F5F" w:rsidRDefault="00DE2F5F" w:rsidP="00A73B2D">
      <w:pPr>
        <w:pStyle w:val="a5"/>
      </w:pPr>
      <w:r>
        <w:rPr>
          <w:rStyle w:val="a7"/>
        </w:rPr>
        <w:footnoteRef/>
      </w:r>
      <w:r>
        <w:rPr>
          <w:rtl/>
        </w:rPr>
        <w:t xml:space="preserve"> </w:t>
      </w:r>
      <w:r w:rsidRPr="00242605">
        <w:rPr>
          <w:rFonts w:cs="Arial"/>
          <w:rtl/>
        </w:rPr>
        <w:t>ובהגה</w:t>
      </w:r>
      <w:r>
        <w:rPr>
          <w:rFonts w:cs="Arial" w:hint="cs"/>
          <w:rtl/>
        </w:rPr>
        <w:t>"</w:t>
      </w:r>
      <w:r w:rsidRPr="00242605">
        <w:rPr>
          <w:rFonts w:cs="Arial"/>
          <w:rtl/>
        </w:rPr>
        <w:t xml:space="preserve">מ </w:t>
      </w:r>
      <w:r>
        <w:rPr>
          <w:rFonts w:cs="Arial" w:hint="cs"/>
          <w:rtl/>
        </w:rPr>
        <w:t>(</w:t>
      </w:r>
      <w:r w:rsidRPr="00242605">
        <w:rPr>
          <w:rFonts w:cs="Arial"/>
          <w:rtl/>
        </w:rPr>
        <w:t xml:space="preserve">פי"ג דאישות אות ה) </w:t>
      </w:r>
      <w:r>
        <w:rPr>
          <w:rFonts w:cs="Arial" w:hint="cs"/>
          <w:rtl/>
        </w:rPr>
        <w:t>כתב</w:t>
      </w:r>
      <w:r w:rsidR="00B25BBA">
        <w:rPr>
          <w:rFonts w:cs="Arial" w:hint="cs"/>
          <w:rtl/>
        </w:rPr>
        <w:t>:</w:t>
      </w:r>
      <w:r>
        <w:rPr>
          <w:rFonts w:cs="Arial" w:hint="cs"/>
          <w:rtl/>
        </w:rPr>
        <w:t xml:space="preserve"> </w:t>
      </w:r>
      <w:r w:rsidRPr="00242605">
        <w:rPr>
          <w:rFonts w:cs="Arial"/>
          <w:rtl/>
        </w:rPr>
        <w:t>ר"ת היה אומר פעמים שאין מוציאין אפילו מעיר לעיר או מכרך לכרך כגון שבזה העיר אין המושל כל כך צורר כמו באותה שרוצה לילך שם עכ"ל, ועיין שם</w:t>
      </w:r>
      <w:r>
        <w:rPr>
          <w:rFonts w:cs="Arial" w:hint="cs"/>
          <w:rtl/>
        </w:rPr>
        <w:t>, דרכ"מ (אות ב).</w:t>
      </w:r>
      <w:r>
        <w:rPr>
          <w:rFonts w:hint="cs"/>
          <w:rtl/>
        </w:rPr>
        <w:t xml:space="preserve"> </w:t>
      </w:r>
      <w:r w:rsidRPr="000F4F98">
        <w:rPr>
          <w:rFonts w:hint="cs"/>
          <w:color w:val="00B0F0"/>
          <w:rtl/>
        </w:rPr>
        <w:t xml:space="preserve">(וכ"פ </w:t>
      </w:r>
      <w:r>
        <w:rPr>
          <w:rFonts w:hint="cs"/>
          <w:color w:val="00B0F0"/>
          <w:rtl/>
        </w:rPr>
        <w:t>בהגה</w:t>
      </w:r>
      <w:r w:rsidRPr="000F4F98">
        <w:rPr>
          <w:rFonts w:hint="cs"/>
          <w:color w:val="00B0F0"/>
          <w:sz w:val="16"/>
          <w:szCs w:val="16"/>
          <w:rtl/>
        </w:rPr>
        <w:t xml:space="preserve"> </w:t>
      </w:r>
      <w:r w:rsidRPr="000F4F98">
        <w:rPr>
          <w:rFonts w:hint="cs"/>
          <w:sz w:val="16"/>
          <w:szCs w:val="16"/>
          <w:rtl/>
        </w:rPr>
        <w:t>[בסע' ב]</w:t>
      </w:r>
      <w:r w:rsidRPr="000F4F98">
        <w:rPr>
          <w:rFonts w:hint="cs"/>
          <w:color w:val="00B0F0"/>
          <w:rtl/>
        </w:rPr>
        <w:t>)</w:t>
      </w:r>
    </w:p>
  </w:footnote>
  <w:footnote w:id="436">
    <w:p w14:paraId="4F46000E" w14:textId="16E30AA2" w:rsidR="00DE2F5F" w:rsidRDefault="00DE2F5F" w:rsidP="002B70E1">
      <w:pPr>
        <w:pStyle w:val="a5"/>
      </w:pPr>
      <w:r>
        <w:rPr>
          <w:rStyle w:val="a7"/>
        </w:rPr>
        <w:footnoteRef/>
      </w:r>
      <w:r>
        <w:rPr>
          <w:rtl/>
        </w:rPr>
        <w:t xml:space="preserve"> </w:t>
      </w:r>
      <w:r>
        <w:rPr>
          <w:rFonts w:cs="Arial" w:hint="cs"/>
          <w:rtl/>
        </w:rPr>
        <w:t>וכ"כ מהר"ם (הביאו ה</w:t>
      </w:r>
      <w:r w:rsidRPr="002B70E1">
        <w:rPr>
          <w:rFonts w:cs="Arial"/>
          <w:rtl/>
        </w:rPr>
        <w:t xml:space="preserve">מרדכי </w:t>
      </w:r>
      <w:r>
        <w:rPr>
          <w:rFonts w:cs="Arial" w:hint="cs"/>
          <w:rtl/>
        </w:rPr>
        <w:t>ב</w:t>
      </w:r>
      <w:r w:rsidRPr="002B70E1">
        <w:rPr>
          <w:rFonts w:cs="Arial"/>
          <w:rtl/>
        </w:rPr>
        <w:t>סי' רפ)</w:t>
      </w:r>
      <w:r w:rsidR="00223D87">
        <w:rPr>
          <w:rFonts w:cs="Arial" w:hint="cs"/>
          <w:rtl/>
        </w:rPr>
        <w:t>.</w:t>
      </w:r>
      <w:r>
        <w:rPr>
          <w:rFonts w:cs="Arial" w:hint="cs"/>
          <w:rtl/>
        </w:rPr>
        <w:t xml:space="preserve"> והוסיף </w:t>
      </w:r>
      <w:r w:rsidRPr="002B70E1">
        <w:rPr>
          <w:rFonts w:cs="Arial"/>
          <w:rtl/>
        </w:rPr>
        <w:t>דנדוניא ונכסי מלוג ודאי אית לה אי איתנהו</w:t>
      </w:r>
      <w:r>
        <w:rPr>
          <w:rFonts w:cs="Arial" w:hint="cs"/>
          <w:rtl/>
        </w:rPr>
        <w:t>,</w:t>
      </w:r>
      <w:r w:rsidRPr="002B70E1">
        <w:rPr>
          <w:rFonts w:cs="Arial"/>
          <w:rtl/>
        </w:rPr>
        <w:t xml:space="preserve"> דלא גרעה מממאנת ואיילונית</w:t>
      </w:r>
      <w:r>
        <w:rPr>
          <w:rFonts w:cs="Arial" w:hint="cs"/>
          <w:rtl/>
        </w:rPr>
        <w:t>.</w:t>
      </w:r>
      <w:r w:rsidRPr="00242605">
        <w:rPr>
          <w:rFonts w:cs="Arial"/>
          <w:rtl/>
        </w:rPr>
        <w:t xml:space="preserve"> </w:t>
      </w:r>
    </w:p>
  </w:footnote>
  <w:footnote w:id="437">
    <w:p w14:paraId="271A285C" w14:textId="4163CDE5" w:rsidR="00DE2F5F" w:rsidRDefault="00DE2F5F" w:rsidP="00D24C28">
      <w:pPr>
        <w:pStyle w:val="a5"/>
      </w:pPr>
      <w:r>
        <w:rPr>
          <w:rStyle w:val="a7"/>
        </w:rPr>
        <w:footnoteRef/>
      </w:r>
      <w:r>
        <w:rPr>
          <w:rtl/>
        </w:rPr>
        <w:t xml:space="preserve"> </w:t>
      </w:r>
      <w:r w:rsidRPr="00242605">
        <w:rPr>
          <w:rFonts w:cs="Arial"/>
          <w:rtl/>
        </w:rPr>
        <w:t>ואע</w:t>
      </w:r>
      <w:r>
        <w:rPr>
          <w:rFonts w:cs="Arial" w:hint="cs"/>
          <w:rtl/>
        </w:rPr>
        <w:t>"</w:t>
      </w:r>
      <w:r w:rsidRPr="00242605">
        <w:rPr>
          <w:rFonts w:cs="Arial"/>
          <w:rtl/>
        </w:rPr>
        <w:t xml:space="preserve">פ שכתב שהוא דבר פשוט </w:t>
      </w:r>
      <w:r>
        <w:rPr>
          <w:rFonts w:cs="Arial" w:hint="cs"/>
          <w:rtl/>
        </w:rPr>
        <w:t xml:space="preserve">- </w:t>
      </w:r>
      <w:r w:rsidRPr="00242605">
        <w:rPr>
          <w:rFonts w:cs="Arial"/>
          <w:rtl/>
        </w:rPr>
        <w:t>אין דבריו נראים בעיני</w:t>
      </w:r>
      <w:r>
        <w:rPr>
          <w:rFonts w:cs="Arial" w:hint="cs"/>
          <w:rtl/>
        </w:rPr>
        <w:t>, ב"י.</w:t>
      </w:r>
    </w:p>
  </w:footnote>
  <w:footnote w:id="438">
    <w:p w14:paraId="194E888B" w14:textId="34DF9B21" w:rsidR="00DE2F5F" w:rsidRDefault="00DE2F5F">
      <w:pPr>
        <w:pStyle w:val="a5"/>
        <w:rPr>
          <w:rtl/>
        </w:rPr>
      </w:pPr>
      <w:r>
        <w:rPr>
          <w:rStyle w:val="a7"/>
        </w:rPr>
        <w:footnoteRef/>
      </w:r>
      <w:r>
        <w:rPr>
          <w:rtl/>
        </w:rPr>
        <w:t xml:space="preserve"> </w:t>
      </w:r>
      <w:r>
        <w:rPr>
          <w:rFonts w:cs="Arial" w:hint="cs"/>
          <w:rtl/>
        </w:rPr>
        <w:t xml:space="preserve">הדרכ"מ </w:t>
      </w:r>
      <w:r w:rsidRPr="00242605">
        <w:rPr>
          <w:rFonts w:cs="Arial"/>
          <w:rtl/>
        </w:rPr>
        <w:t>(</w:t>
      </w:r>
      <w:r>
        <w:rPr>
          <w:rFonts w:cs="Arial" w:hint="cs"/>
          <w:rtl/>
        </w:rPr>
        <w:t xml:space="preserve">אות </w:t>
      </w:r>
      <w:r w:rsidRPr="00242605">
        <w:rPr>
          <w:rFonts w:cs="Arial"/>
          <w:rtl/>
        </w:rPr>
        <w:t xml:space="preserve">ה) </w:t>
      </w:r>
      <w:r w:rsidR="00D443EC">
        <w:rPr>
          <w:rFonts w:cs="Arial" w:hint="cs"/>
          <w:rtl/>
        </w:rPr>
        <w:t>הביא תשובה זו, וכתב ד</w:t>
      </w:r>
      <w:r w:rsidRPr="00242605">
        <w:rPr>
          <w:rFonts w:cs="Arial"/>
          <w:rtl/>
        </w:rPr>
        <w:t xml:space="preserve">משמע </w:t>
      </w:r>
      <w:r w:rsidR="00D443EC">
        <w:rPr>
          <w:rFonts w:cs="Arial" w:hint="cs"/>
          <w:rtl/>
        </w:rPr>
        <w:t xml:space="preserve">ממנה </w:t>
      </w:r>
      <w:r w:rsidRPr="00242605">
        <w:rPr>
          <w:rFonts w:cs="Arial"/>
          <w:rtl/>
        </w:rPr>
        <w:t xml:space="preserve">כדברי </w:t>
      </w:r>
      <w:r w:rsidR="00D443EC">
        <w:rPr>
          <w:rFonts w:cs="Arial" w:hint="cs"/>
          <w:rtl/>
        </w:rPr>
        <w:t>ה</w:t>
      </w:r>
      <w:r w:rsidRPr="00242605">
        <w:rPr>
          <w:rFonts w:cs="Arial"/>
          <w:rtl/>
        </w:rPr>
        <w:t>ב</w:t>
      </w:r>
      <w:r w:rsidR="00D443EC">
        <w:rPr>
          <w:rFonts w:cs="Arial" w:hint="cs"/>
          <w:rtl/>
        </w:rPr>
        <w:t>"</w:t>
      </w:r>
      <w:r w:rsidRPr="00242605">
        <w:rPr>
          <w:rFonts w:cs="Arial"/>
          <w:rtl/>
        </w:rPr>
        <w:t>י</w:t>
      </w:r>
      <w:r>
        <w:rPr>
          <w:rFonts w:cs="Arial" w:hint="cs"/>
          <w:rtl/>
        </w:rPr>
        <w:t>.</w:t>
      </w:r>
    </w:p>
  </w:footnote>
  <w:footnote w:id="439">
    <w:p w14:paraId="44719C4B" w14:textId="77777777" w:rsidR="008A4BF8" w:rsidRDefault="008A4BF8" w:rsidP="008A4BF8">
      <w:pPr>
        <w:pStyle w:val="a5"/>
        <w:rPr>
          <w:rtl/>
        </w:rPr>
      </w:pPr>
      <w:r>
        <w:rPr>
          <w:rStyle w:val="a7"/>
        </w:rPr>
        <w:footnoteRef/>
      </w:r>
      <w:r>
        <w:rPr>
          <w:rtl/>
        </w:rPr>
        <w:t xml:space="preserve"> </w:t>
      </w:r>
      <w:r w:rsidRPr="00242605">
        <w:rPr>
          <w:rFonts w:cs="Arial"/>
          <w:rtl/>
        </w:rPr>
        <w:t>ובתשובת מיימוני</w:t>
      </w:r>
      <w:r w:rsidRPr="000F4F98">
        <w:rPr>
          <w:rFonts w:cs="Arial"/>
          <w:sz w:val="16"/>
          <w:szCs w:val="16"/>
          <w:rtl/>
        </w:rPr>
        <w:t xml:space="preserve"> </w:t>
      </w:r>
      <w:r w:rsidRPr="000F4F98">
        <w:rPr>
          <w:rFonts w:cs="Arial" w:hint="cs"/>
          <w:sz w:val="16"/>
          <w:szCs w:val="16"/>
          <w:rtl/>
        </w:rPr>
        <w:t>(</w:t>
      </w:r>
      <w:r w:rsidRPr="000F4F98">
        <w:rPr>
          <w:rFonts w:cs="Arial"/>
          <w:sz w:val="16"/>
          <w:szCs w:val="16"/>
          <w:rtl/>
        </w:rPr>
        <w:t>סוף ספר נשים סי</w:t>
      </w:r>
      <w:r w:rsidRPr="000F4F98">
        <w:rPr>
          <w:rFonts w:cs="Arial" w:hint="cs"/>
          <w:sz w:val="16"/>
          <w:szCs w:val="16"/>
          <w:rtl/>
        </w:rPr>
        <w:t>'</w:t>
      </w:r>
      <w:r w:rsidRPr="000F4F98">
        <w:rPr>
          <w:rFonts w:cs="Arial"/>
          <w:sz w:val="16"/>
          <w:szCs w:val="16"/>
          <w:rtl/>
        </w:rPr>
        <w:t xml:space="preserve"> כח</w:t>
      </w:r>
      <w:r w:rsidRPr="000F4F98">
        <w:rPr>
          <w:rFonts w:cs="Arial" w:hint="cs"/>
          <w:sz w:val="16"/>
          <w:szCs w:val="16"/>
          <w:rtl/>
        </w:rPr>
        <w:t>)</w:t>
      </w:r>
      <w:r w:rsidRPr="000F4F98">
        <w:rPr>
          <w:rFonts w:cs="Arial"/>
          <w:sz w:val="16"/>
          <w:szCs w:val="16"/>
          <w:rtl/>
        </w:rPr>
        <w:t xml:space="preserve"> </w:t>
      </w:r>
      <w:r w:rsidRPr="00242605">
        <w:rPr>
          <w:rFonts w:cs="Arial"/>
          <w:rtl/>
        </w:rPr>
        <w:t>האריך מוהר"ם באחד שאירס אשה ע</w:t>
      </w:r>
      <w:r>
        <w:rPr>
          <w:rFonts w:cs="Arial" w:hint="cs"/>
          <w:rtl/>
        </w:rPr>
        <w:t>"</w:t>
      </w:r>
      <w:r w:rsidRPr="00242605">
        <w:rPr>
          <w:rFonts w:cs="Arial"/>
          <w:rtl/>
        </w:rPr>
        <w:t>י שליח במקום אחר</w:t>
      </w:r>
      <w:r>
        <w:rPr>
          <w:rFonts w:cs="Arial" w:hint="cs"/>
          <w:rtl/>
        </w:rPr>
        <w:t>,</w:t>
      </w:r>
      <w:r w:rsidRPr="00242605">
        <w:rPr>
          <w:rFonts w:cs="Arial"/>
          <w:rtl/>
        </w:rPr>
        <w:t xml:space="preserve"> ונתן אמתלאות למה לא רצה לכנוס במקום הארוסה</w:t>
      </w:r>
      <w:r>
        <w:rPr>
          <w:rFonts w:cs="Arial" w:hint="cs"/>
          <w:rtl/>
        </w:rPr>
        <w:t>.</w:t>
      </w:r>
      <w:r w:rsidRPr="00242605">
        <w:rPr>
          <w:rFonts w:cs="Arial"/>
          <w:rtl/>
        </w:rPr>
        <w:t xml:space="preserve"> ופסק דהדין עם הארוס</w:t>
      </w:r>
      <w:r>
        <w:rPr>
          <w:rFonts w:cs="Arial" w:hint="cs"/>
          <w:rtl/>
        </w:rPr>
        <w:t>,</w:t>
      </w:r>
      <w:r w:rsidRPr="00242605">
        <w:rPr>
          <w:rFonts w:cs="Arial"/>
          <w:rtl/>
        </w:rPr>
        <w:t xml:space="preserve"> או אשתו תבוא אחריו</w:t>
      </w:r>
      <w:r>
        <w:rPr>
          <w:rFonts w:cs="Arial" w:hint="cs"/>
          <w:rtl/>
        </w:rPr>
        <w:t>,</w:t>
      </w:r>
      <w:r w:rsidRPr="00242605">
        <w:rPr>
          <w:rFonts w:cs="Arial"/>
          <w:rtl/>
        </w:rPr>
        <w:t xml:space="preserve"> או תשב עד שתלבין ראשה</w:t>
      </w:r>
      <w:r>
        <w:rPr>
          <w:rFonts w:cs="Arial" w:hint="cs"/>
          <w:rtl/>
        </w:rPr>
        <w:t>,</w:t>
      </w:r>
      <w:r w:rsidRPr="00242605">
        <w:rPr>
          <w:rFonts w:cs="Arial"/>
          <w:rtl/>
        </w:rPr>
        <w:t xml:space="preserve"> וע</w:t>
      </w:r>
      <w:r>
        <w:rPr>
          <w:rFonts w:cs="Arial" w:hint="cs"/>
          <w:rtl/>
        </w:rPr>
        <w:t>"</w:t>
      </w:r>
      <w:r w:rsidRPr="00242605">
        <w:rPr>
          <w:rFonts w:cs="Arial"/>
          <w:rtl/>
        </w:rPr>
        <w:t>ש</w:t>
      </w:r>
      <w:r>
        <w:rPr>
          <w:rFonts w:cs="Arial" w:hint="cs"/>
          <w:rtl/>
        </w:rPr>
        <w:t>..., דרכ"מ (אות ג).</w:t>
      </w:r>
      <w:r>
        <w:rPr>
          <w:rFonts w:hint="cs"/>
          <w:rtl/>
        </w:rPr>
        <w:t xml:space="preserve"> </w:t>
      </w:r>
      <w:r w:rsidRPr="000F4F98">
        <w:rPr>
          <w:rFonts w:hint="cs"/>
          <w:color w:val="00B0F0"/>
          <w:rtl/>
        </w:rPr>
        <w:t xml:space="preserve">(וכ"פ </w:t>
      </w:r>
      <w:r>
        <w:rPr>
          <w:rFonts w:hint="cs"/>
          <w:color w:val="00B0F0"/>
          <w:rtl/>
        </w:rPr>
        <w:t>בהגה</w:t>
      </w:r>
      <w:r w:rsidRPr="000F4F98">
        <w:rPr>
          <w:rFonts w:hint="cs"/>
          <w:color w:val="00B0F0"/>
          <w:sz w:val="16"/>
          <w:szCs w:val="16"/>
          <w:rtl/>
        </w:rPr>
        <w:t xml:space="preserve"> </w:t>
      </w:r>
      <w:r w:rsidRPr="000F4F98">
        <w:rPr>
          <w:rFonts w:hint="cs"/>
          <w:sz w:val="16"/>
          <w:szCs w:val="16"/>
          <w:rtl/>
        </w:rPr>
        <w:t>[בסע' ב]</w:t>
      </w:r>
      <w:r w:rsidRPr="000F4F98">
        <w:rPr>
          <w:rFonts w:hint="cs"/>
          <w:color w:val="00B0F0"/>
          <w:rtl/>
        </w:rPr>
        <w:t>)</w:t>
      </w:r>
    </w:p>
  </w:footnote>
  <w:footnote w:id="440">
    <w:p w14:paraId="4C8979C6" w14:textId="0002D610" w:rsidR="00DE2F5F" w:rsidRDefault="00DE2F5F">
      <w:pPr>
        <w:pStyle w:val="a5"/>
      </w:pPr>
      <w:r>
        <w:rPr>
          <w:rStyle w:val="a7"/>
        </w:rPr>
        <w:footnoteRef/>
      </w:r>
      <w:r>
        <w:rPr>
          <w:rtl/>
        </w:rPr>
        <w:t xml:space="preserve"> </w:t>
      </w:r>
      <w:r>
        <w:rPr>
          <w:rFonts w:hint="cs"/>
          <w:rtl/>
        </w:rPr>
        <w:t xml:space="preserve">צל"ע </w:t>
      </w:r>
      <w:r w:rsidR="004768EA">
        <w:rPr>
          <w:rFonts w:hint="cs"/>
          <w:rtl/>
        </w:rPr>
        <w:t xml:space="preserve">על </w:t>
      </w:r>
      <w:r>
        <w:rPr>
          <w:rFonts w:hint="cs"/>
          <w:rtl/>
        </w:rPr>
        <w:t>ציון זה, דהרי הרשב"ץ לא דיבר במקרה שנשא אותה שם אלא באירס. ונראה יותר לומר שהרמ"א פסק כאן כהריב"ש (סי' קעז), שהרי הרמ"א שינה את המקרה שהובא בתשובה בכוונה וכתב נשא במקום אירס, וזה כמו מסקנת הריב"ש, וכמו שפסק הרמ"א בסע' הבא. ועיין עוד בב"ש (סק"י) דכתב ד</w:t>
      </w:r>
      <w:r w:rsidRPr="00EF5DF8">
        <w:rPr>
          <w:rFonts w:cs="Arial"/>
          <w:rtl/>
        </w:rPr>
        <w:t xml:space="preserve">משמע דס"ל </w:t>
      </w:r>
      <w:r>
        <w:rPr>
          <w:rFonts w:cs="Arial" w:hint="cs"/>
          <w:rtl/>
        </w:rPr>
        <w:t xml:space="preserve">לרמ"א </w:t>
      </w:r>
      <w:r w:rsidRPr="00EF5DF8">
        <w:rPr>
          <w:rFonts w:cs="Arial"/>
          <w:rtl/>
        </w:rPr>
        <w:t>אפי' לשיטת ר"ת הדין כן</w:t>
      </w:r>
      <w:r>
        <w:rPr>
          <w:rFonts w:cs="Arial" w:hint="cs"/>
          <w:rtl/>
        </w:rPr>
        <w:t>,</w:t>
      </w:r>
      <w:r w:rsidRPr="00EF5DF8">
        <w:rPr>
          <w:rFonts w:cs="Arial"/>
          <w:rtl/>
        </w:rPr>
        <w:t xml:space="preserve"> </w:t>
      </w:r>
      <w:r>
        <w:rPr>
          <w:rFonts w:cs="Arial" w:hint="cs"/>
          <w:rtl/>
        </w:rPr>
        <w:t>ו</w:t>
      </w:r>
      <w:r w:rsidRPr="00EF5DF8">
        <w:rPr>
          <w:rFonts w:cs="Arial"/>
          <w:rtl/>
        </w:rPr>
        <w:t>אע</w:t>
      </w:r>
      <w:r>
        <w:rPr>
          <w:rFonts w:cs="Arial" w:hint="cs"/>
          <w:rtl/>
        </w:rPr>
        <w:t>"</w:t>
      </w:r>
      <w:r w:rsidRPr="00EF5DF8">
        <w:rPr>
          <w:rFonts w:cs="Arial"/>
          <w:rtl/>
        </w:rPr>
        <w:t>ג דלא מצינו כן להדי' אליב' דר"ת מ"מ הכריע כן מסבר</w:t>
      </w:r>
      <w:r>
        <w:rPr>
          <w:rFonts w:cs="Arial" w:hint="cs"/>
          <w:rtl/>
        </w:rPr>
        <w:t>ת</w:t>
      </w:r>
      <w:r w:rsidRPr="00EF5DF8">
        <w:rPr>
          <w:rFonts w:cs="Arial"/>
          <w:rtl/>
        </w:rPr>
        <w:t xml:space="preserve"> עצמו </w:t>
      </w:r>
      <w:r>
        <w:rPr>
          <w:rFonts w:cs="Arial" w:hint="cs"/>
          <w:rtl/>
        </w:rPr>
        <w:t>ד</w:t>
      </w:r>
      <w:r w:rsidRPr="00EF5DF8">
        <w:rPr>
          <w:rFonts w:cs="Arial"/>
          <w:rtl/>
        </w:rPr>
        <w:t>בכה"ג לכ"ע אף לדעת ר"ת צריכה לילך עמו למקומו</w:t>
      </w:r>
      <w:r>
        <w:rPr>
          <w:rFonts w:cs="Arial" w:hint="cs"/>
          <w:rtl/>
        </w:rPr>
        <w:t>,</w:t>
      </w:r>
      <w:r w:rsidRPr="00EF5DF8">
        <w:rPr>
          <w:rFonts w:cs="Arial"/>
          <w:rtl/>
        </w:rPr>
        <w:t xml:space="preserve"> כי בודאי אין סבר</w:t>
      </w:r>
      <w:r>
        <w:rPr>
          <w:rFonts w:cs="Arial" w:hint="cs"/>
          <w:rtl/>
        </w:rPr>
        <w:t>א</w:t>
      </w:r>
      <w:r w:rsidRPr="00EF5DF8">
        <w:rPr>
          <w:rFonts w:cs="Arial"/>
          <w:rtl/>
        </w:rPr>
        <w:t xml:space="preserve"> שישב הוא עמה ואשתו הראשונה תשב גלמודה ומכ"ש דא"י לכופה שתשוב אליו ותעתיק ממקומה</w:t>
      </w:r>
      <w:r>
        <w:rPr>
          <w:rFonts w:hint="cs"/>
          <w:rtl/>
        </w:rPr>
        <w:t xml:space="preserve">. ע"כ. אך הח"מ (סקי"ב) כתב </w:t>
      </w:r>
      <w:r>
        <w:rPr>
          <w:rFonts w:cs="Arial" w:hint="cs"/>
          <w:rtl/>
        </w:rPr>
        <w:t>ד</w:t>
      </w:r>
      <w:r w:rsidRPr="00EF5DF8">
        <w:rPr>
          <w:rFonts w:cs="Arial"/>
          <w:rtl/>
        </w:rPr>
        <w:t xml:space="preserve">קשה </w:t>
      </w:r>
      <w:r>
        <w:rPr>
          <w:rFonts w:cs="Arial" w:hint="cs"/>
          <w:rtl/>
        </w:rPr>
        <w:t>לומר שכך סבר הרמ"א, ד</w:t>
      </w:r>
      <w:r w:rsidRPr="00EF5DF8">
        <w:rPr>
          <w:rFonts w:cs="Arial"/>
          <w:rtl/>
        </w:rPr>
        <w:t>מנ"ל זה</w:t>
      </w:r>
      <w:r>
        <w:rPr>
          <w:rFonts w:cs="Arial" w:hint="cs"/>
          <w:rtl/>
        </w:rPr>
        <w:t>,</w:t>
      </w:r>
      <w:r w:rsidRPr="00EF5DF8">
        <w:rPr>
          <w:rFonts w:cs="Arial"/>
          <w:rtl/>
        </w:rPr>
        <w:t xml:space="preserve"> דהא הרשב"ץ כתב דין שלו אליבא דשאר פוסקים ולא אליבא דר"ת</w:t>
      </w:r>
      <w:r>
        <w:rPr>
          <w:rFonts w:hint="cs"/>
          <w:rtl/>
        </w:rPr>
        <w:t>.</w:t>
      </w:r>
    </w:p>
  </w:footnote>
  <w:footnote w:id="441">
    <w:p w14:paraId="0A282D11" w14:textId="77777777" w:rsidR="00DE2F5F" w:rsidRDefault="00DE2F5F" w:rsidP="00A73B2D">
      <w:pPr>
        <w:pStyle w:val="a5"/>
        <w:rPr>
          <w:rtl/>
        </w:rPr>
      </w:pPr>
      <w:r>
        <w:rPr>
          <w:rStyle w:val="a7"/>
        </w:rPr>
        <w:footnoteRef/>
      </w:r>
      <w:r>
        <w:rPr>
          <w:rtl/>
        </w:rPr>
        <w:t xml:space="preserve"> </w:t>
      </w:r>
      <w:r w:rsidRPr="00D57ECA">
        <w:rPr>
          <w:rFonts w:cs="Arial"/>
          <w:rtl/>
        </w:rPr>
        <w:t>ופירש רש"י שהנוה היפה בודק את הגוף למי שבא מנוה הרע ומתוך כך חלאים באים עליו והכי משמע בגמרא דקאמר מאי בודק כשמואל דאמר שינוי וסת תחלת חולי בני מעים אבל הרמב"ם בפרק י"ג מהלכות אישות כתב אינו יכול להוציאה מנוה היפה לנוה הרע ולא מרע ליפה מפני שהיא צריכה להטפל ולבדוק עצמה בנוה היפה כדי שלא תהיה בו קלה וכעורה וכתב הר"ן (סה סוע"א) ולפי זה הא דמייתי בגמרא כדשמואל אינו אלא לדמיון בלבד שפעמים יצא נזק מתוך שינוי לטובה</w:t>
      </w:r>
      <w:r w:rsidRPr="00D57ECA">
        <w:rPr>
          <w:rFonts w:cs="Arial" w:hint="cs"/>
          <w:rtl/>
        </w:rPr>
        <w:t>, ב"י</w:t>
      </w:r>
      <w:r>
        <w:rPr>
          <w:rFonts w:hint="cs"/>
          <w:rtl/>
        </w:rPr>
        <w:t>.</w:t>
      </w:r>
    </w:p>
  </w:footnote>
  <w:footnote w:id="442">
    <w:p w14:paraId="3B361E0B" w14:textId="61787320" w:rsidR="007B5D4F" w:rsidRDefault="007B5D4F">
      <w:pPr>
        <w:pStyle w:val="a5"/>
        <w:rPr>
          <w:rtl/>
        </w:rPr>
      </w:pPr>
      <w:r>
        <w:rPr>
          <w:rStyle w:val="a7"/>
        </w:rPr>
        <w:footnoteRef/>
      </w:r>
      <w:r>
        <w:rPr>
          <w:rtl/>
        </w:rPr>
        <w:t xml:space="preserve"> </w:t>
      </w:r>
      <w:r w:rsidRPr="002D1809">
        <w:rPr>
          <w:rFonts w:cs="Arial"/>
          <w:rtl/>
        </w:rPr>
        <w:t>ובהרא"ש ואגודה והטור משמע דיש מצוה אף בזמן הזה</w:t>
      </w:r>
      <w:r>
        <w:rPr>
          <w:rFonts w:cs="Arial" w:hint="cs"/>
          <w:rtl/>
        </w:rPr>
        <w:t>,</w:t>
      </w:r>
      <w:r w:rsidRPr="002D1809">
        <w:rPr>
          <w:rFonts w:cs="Arial"/>
          <w:rtl/>
        </w:rPr>
        <w:t xml:space="preserve"> וכנה"ג מאריך בזה והביא הרבה דיעות מחולקים אם יש מצוה לעלות או לא ע"ש. וכיון דאיכ' פלוגת' דרבות' מי יוכל לכפות מי שאינו רוצה לעלות וחייב ליתן לה כתובתה ועיין פרישה</w:t>
      </w:r>
      <w:r>
        <w:rPr>
          <w:rFonts w:cs="Arial" w:hint="cs"/>
          <w:rtl/>
        </w:rPr>
        <w:t xml:space="preserve">, </w:t>
      </w:r>
      <w:r w:rsidRPr="007B5D4F">
        <w:rPr>
          <w:rFonts w:cs="Arial" w:hint="cs"/>
          <w:b/>
          <w:bCs/>
          <w:rtl/>
        </w:rPr>
        <w:t>באה"ט</w:t>
      </w:r>
      <w:r>
        <w:rPr>
          <w:rFonts w:cs="Arial" w:hint="cs"/>
          <w:rtl/>
        </w:rPr>
        <w:t xml:space="preserve"> (סקי"ט).       </w:t>
      </w:r>
      <w:r w:rsidRPr="00356471">
        <w:rPr>
          <w:rFonts w:cs="Arial"/>
          <w:rtl/>
        </w:rPr>
        <w:t xml:space="preserve">ועיין בתשו' מעיל צדקה </w:t>
      </w:r>
      <w:r>
        <w:rPr>
          <w:rFonts w:cs="Arial" w:hint="cs"/>
          <w:rtl/>
        </w:rPr>
        <w:t>(</w:t>
      </w:r>
      <w:r w:rsidRPr="00356471">
        <w:rPr>
          <w:rFonts w:cs="Arial"/>
          <w:rtl/>
        </w:rPr>
        <w:t>סי</w:t>
      </w:r>
      <w:r>
        <w:rPr>
          <w:rFonts w:cs="Arial" w:hint="cs"/>
          <w:rtl/>
        </w:rPr>
        <w:t>'</w:t>
      </w:r>
      <w:r w:rsidRPr="00356471">
        <w:rPr>
          <w:rFonts w:cs="Arial"/>
          <w:rtl/>
        </w:rPr>
        <w:t xml:space="preserve"> כו</w:t>
      </w:r>
      <w:r>
        <w:rPr>
          <w:rFonts w:cs="Arial" w:hint="cs"/>
          <w:rtl/>
        </w:rPr>
        <w:t>)</w:t>
      </w:r>
      <w:r w:rsidRPr="00356471">
        <w:rPr>
          <w:rFonts w:cs="Arial"/>
          <w:rtl/>
        </w:rPr>
        <w:t xml:space="preserve"> אודות שלשה חברים שרצו ליסע לא"י הם ונשיהם ובניהם הקטנים בני שנים ושלש שנים והב"ד שבעירם רוצים לעכב על ידם שלא ליסע עם בנים הקטנים מחשש סכנה פן לא יוכלו לסבול צער טלטול הדרך ונענוע הספינות ושינוי האויר ושאלו האנשים ההמה אם ימנעו מנסיעה זו או לא ואם יחושו לגזירת ב"ד בזה. והשיב לענין אם בזה"ז מצוה להעלות לא"י</w:t>
      </w:r>
      <w:r>
        <w:rPr>
          <w:rFonts w:cs="Arial" w:hint="cs"/>
          <w:rtl/>
        </w:rPr>
        <w:t>,</w:t>
      </w:r>
      <w:r w:rsidRPr="00356471">
        <w:rPr>
          <w:rFonts w:cs="Arial"/>
          <w:rtl/>
        </w:rPr>
        <w:t xml:space="preserve"> הנה הרמב"ן מנה מצוה זו בכלל מצות מקרא דוירשתם אותה וישבתם בה וכי היא שקולה נגד כל המצות (כדאיתא בספרי)</w:t>
      </w:r>
      <w:r>
        <w:rPr>
          <w:rFonts w:cs="Arial" w:hint="cs"/>
          <w:rtl/>
        </w:rPr>
        <w:t>,</w:t>
      </w:r>
      <w:r w:rsidRPr="00356471">
        <w:rPr>
          <w:rFonts w:cs="Arial"/>
          <w:rtl/>
        </w:rPr>
        <w:t xml:space="preserve"> וגם התה"ד בפסקיו </w:t>
      </w:r>
      <w:r>
        <w:rPr>
          <w:rFonts w:cs="Arial" w:hint="cs"/>
          <w:rtl/>
        </w:rPr>
        <w:t>(</w:t>
      </w:r>
      <w:r w:rsidRPr="00356471">
        <w:rPr>
          <w:rFonts w:cs="Arial"/>
          <w:rtl/>
        </w:rPr>
        <w:t>סי' פ</w:t>
      </w:r>
      <w:r>
        <w:rPr>
          <w:rFonts w:cs="Arial" w:hint="cs"/>
          <w:rtl/>
        </w:rPr>
        <w:t>ח)</w:t>
      </w:r>
      <w:r w:rsidRPr="00356471">
        <w:rPr>
          <w:rFonts w:cs="Arial"/>
          <w:rtl/>
        </w:rPr>
        <w:t xml:space="preserve"> הפליג בה</w:t>
      </w:r>
      <w:r>
        <w:rPr>
          <w:rFonts w:cs="Arial" w:hint="cs"/>
          <w:rtl/>
        </w:rPr>
        <w:t>.</w:t>
      </w:r>
      <w:r w:rsidRPr="00356471">
        <w:rPr>
          <w:rFonts w:cs="Arial"/>
          <w:rtl/>
        </w:rPr>
        <w:t xml:space="preserve"> איברא התוס' בכתובות בשם ר"ח כהן</w:t>
      </w:r>
      <w:r>
        <w:rPr>
          <w:rFonts w:cs="Arial" w:hint="cs"/>
          <w:rtl/>
        </w:rPr>
        <w:t>...</w:t>
      </w:r>
      <w:r w:rsidRPr="00356471">
        <w:rPr>
          <w:rFonts w:cs="Arial"/>
          <w:rtl/>
        </w:rPr>
        <w:t xml:space="preserve"> אמנם הרי"ט </w:t>
      </w:r>
      <w:r>
        <w:rPr>
          <w:rFonts w:cs="Arial" w:hint="cs"/>
          <w:rtl/>
        </w:rPr>
        <w:t>(</w:t>
      </w:r>
      <w:r w:rsidRPr="00356471">
        <w:rPr>
          <w:rFonts w:cs="Arial"/>
          <w:rtl/>
        </w:rPr>
        <w:t>בתשו' סי' כח</w:t>
      </w:r>
      <w:r>
        <w:rPr>
          <w:rFonts w:cs="Arial" w:hint="cs"/>
          <w:rtl/>
        </w:rPr>
        <w:t>,</w:t>
      </w:r>
      <w:r w:rsidRPr="00356471">
        <w:rPr>
          <w:rFonts w:cs="Arial"/>
          <w:rtl/>
        </w:rPr>
        <w:t xml:space="preserve"> ובחי' לכתובות</w:t>
      </w:r>
      <w:r>
        <w:rPr>
          <w:rFonts w:cs="Arial" w:hint="cs"/>
          <w:rtl/>
        </w:rPr>
        <w:t>)</w:t>
      </w:r>
      <w:r w:rsidRPr="00356471">
        <w:rPr>
          <w:rFonts w:cs="Arial"/>
          <w:rtl/>
        </w:rPr>
        <w:t xml:space="preserve"> הוכיח דאיזה תלמיד טועה כתבו על שם התוס' ולאו דסמכא היא כלל</w:t>
      </w:r>
      <w:r>
        <w:rPr>
          <w:rFonts w:cs="Arial" w:hint="cs"/>
          <w:rtl/>
        </w:rPr>
        <w:t>,</w:t>
      </w:r>
      <w:r w:rsidRPr="00356471">
        <w:rPr>
          <w:rFonts w:cs="Arial"/>
          <w:rtl/>
        </w:rPr>
        <w:t xml:space="preserve"> והדין עמו</w:t>
      </w:r>
      <w:r>
        <w:rPr>
          <w:rFonts w:cs="Arial" w:hint="cs"/>
          <w:rtl/>
        </w:rPr>
        <w:t>,</w:t>
      </w:r>
      <w:r w:rsidRPr="00356471">
        <w:rPr>
          <w:rFonts w:cs="Arial"/>
          <w:rtl/>
        </w:rPr>
        <w:t xml:space="preserve"> וכ"כ בעל נתיבת משפט</w:t>
      </w:r>
      <w:r>
        <w:rPr>
          <w:rFonts w:cs="Arial" w:hint="cs"/>
          <w:rtl/>
        </w:rPr>
        <w:t>,</w:t>
      </w:r>
      <w:r w:rsidRPr="00356471">
        <w:rPr>
          <w:rFonts w:cs="Arial"/>
          <w:rtl/>
        </w:rPr>
        <w:t xml:space="preserve"> וא"כ כל הזמנים שוים לקיום מצוה זו וכן מבואר מכל הפוסקים ראשונים ואחרונים שכתבו שכופין האשה שתעלה עמו כפשטא דמתני' א"כ ודאי דלא ס"ל הא דר"ח כהן</w:t>
      </w:r>
      <w:r>
        <w:rPr>
          <w:rFonts w:cs="Arial" w:hint="cs"/>
          <w:rtl/>
        </w:rPr>
        <w:t>.</w:t>
      </w:r>
      <w:r w:rsidRPr="00356471">
        <w:rPr>
          <w:rFonts w:cs="Arial"/>
          <w:rtl/>
        </w:rPr>
        <w:t xml:space="preserve"> וגם מ"ש התוס' שם דאינו נוהג בזמה"ז דאיכא סכנת דרכים הא ודאי דאף בזמן הבית כל שהיה בו משום סכנה גלויה לא נאמר לכוף לעלות</w:t>
      </w:r>
      <w:r>
        <w:rPr>
          <w:rFonts w:cs="Arial" w:hint="cs"/>
          <w:rtl/>
        </w:rPr>
        <w:t>,</w:t>
      </w:r>
      <w:r w:rsidRPr="00356471">
        <w:rPr>
          <w:rFonts w:cs="Arial"/>
          <w:rtl/>
        </w:rPr>
        <w:t xml:space="preserve"> וזה משתנה לפי הזמן</w:t>
      </w:r>
      <w:r>
        <w:rPr>
          <w:rFonts w:cs="Arial" w:hint="cs"/>
          <w:rtl/>
        </w:rPr>
        <w:t>,</w:t>
      </w:r>
      <w:r w:rsidRPr="00356471">
        <w:rPr>
          <w:rFonts w:cs="Arial"/>
          <w:rtl/>
        </w:rPr>
        <w:t xml:space="preserve"> וכבר כתב המבי"ט </w:t>
      </w:r>
      <w:r>
        <w:rPr>
          <w:rFonts w:cs="Arial" w:hint="cs"/>
          <w:rtl/>
        </w:rPr>
        <w:t>(</w:t>
      </w:r>
      <w:r w:rsidRPr="00356471">
        <w:rPr>
          <w:rFonts w:cs="Arial"/>
          <w:rtl/>
        </w:rPr>
        <w:t>ח"ב סי' ריו</w:t>
      </w:r>
      <w:r>
        <w:rPr>
          <w:rFonts w:cs="Arial" w:hint="cs"/>
          <w:rtl/>
        </w:rPr>
        <w:t>)</w:t>
      </w:r>
      <w:r w:rsidRPr="00356471">
        <w:rPr>
          <w:rFonts w:cs="Arial"/>
          <w:rtl/>
        </w:rPr>
        <w:t xml:space="preserve"> הכלל בזה כשכל הסוחרים אינם נמנעים יכולים לכוף כו'</w:t>
      </w:r>
      <w:r>
        <w:rPr>
          <w:rFonts w:cs="Arial" w:hint="cs"/>
          <w:rtl/>
        </w:rPr>
        <w:t>.</w:t>
      </w:r>
      <w:r w:rsidRPr="00356471">
        <w:rPr>
          <w:rFonts w:cs="Arial"/>
          <w:rtl/>
        </w:rPr>
        <w:t xml:space="preserve"> ובענין שחששו ב"ד הנ"ל כי הי' סכנה לקטנים ז"א דא"כ ה"ל למתני' או חד מפוסקים למימר דאם באה מחמת טענה מחמת בנים הקטנים שומעין לה א"ו זה אינו כי אין סכנה פרטיית לקטנים יותר מלגדולים כי מצד סכנת טביעה ושביה ולסטים הרי קטן וגדול שם הוא ואם מטורח הנענוע הרי הקטנים בטבעם קלי התנועה</w:t>
      </w:r>
      <w:r>
        <w:rPr>
          <w:rFonts w:cs="Arial" w:hint="cs"/>
          <w:rtl/>
        </w:rPr>
        <w:t>,</w:t>
      </w:r>
      <w:r w:rsidRPr="00356471">
        <w:rPr>
          <w:rFonts w:cs="Arial"/>
          <w:rtl/>
        </w:rPr>
        <w:t xml:space="preserve"> וכן מבואר בתשו' הר"ם מרוטנבורג </w:t>
      </w:r>
      <w:r>
        <w:rPr>
          <w:rFonts w:cs="Arial" w:hint="cs"/>
          <w:rtl/>
        </w:rPr>
        <w:t>(</w:t>
      </w:r>
      <w:r w:rsidRPr="00356471">
        <w:rPr>
          <w:rFonts w:cs="Arial"/>
          <w:rtl/>
        </w:rPr>
        <w:t>סי' רג</w:t>
      </w:r>
      <w:r>
        <w:rPr>
          <w:rFonts w:cs="Arial" w:hint="cs"/>
          <w:rtl/>
        </w:rPr>
        <w:t>)</w:t>
      </w:r>
      <w:r w:rsidRPr="00356471">
        <w:rPr>
          <w:rFonts w:cs="Arial"/>
          <w:rtl/>
        </w:rPr>
        <w:t xml:space="preserve"> כו' (ע' בש"ך יו"ד סי' רכח סקצ"ז) וגם הרבנים היושבים על איי הים כתבו שעיניהם ראו בכל יום נוסעים דרך ים לקצוי ארץ עם ילדים קטנים כו'</w:t>
      </w:r>
      <w:r>
        <w:rPr>
          <w:rFonts w:cs="Arial" w:hint="cs"/>
          <w:rtl/>
        </w:rPr>
        <w:t>,</w:t>
      </w:r>
      <w:r w:rsidRPr="00356471">
        <w:rPr>
          <w:rFonts w:cs="Arial"/>
          <w:rtl/>
        </w:rPr>
        <w:t xml:space="preserve"> ולכן נראה דאף אם יגזרו ב"ד שבעירם שלא לנסוע מטעמים הנ"ל רשאים לסמוך על אלו אשר עיניהם ראו ההיפך כי לא ראינו אינו ראיה והרי זה כהורו ב"ד ששקע' חמה והי' לפנינו דאין זה הוראה ואם לחוש שלא להמרות פי ב"ד מפני הכבוד כבר כ' המבי"ט סי' קל"ט דאין לחוש בזה לכיבוד אב ואם החמור' (צ"ע בתשב"ץ ח"ג סי' רפ"ח שלא כ' כן ע"ש</w:t>
      </w:r>
      <w:r>
        <w:rPr>
          <w:rFonts w:cs="Arial" w:hint="cs"/>
          <w:rtl/>
        </w:rPr>
        <w:t>,</w:t>
      </w:r>
      <w:r w:rsidRPr="00356471">
        <w:rPr>
          <w:rFonts w:cs="Arial"/>
          <w:rtl/>
        </w:rPr>
        <w:t xml:space="preserve"> וע' קדושין לא</w:t>
      </w:r>
      <w:r>
        <w:rPr>
          <w:rFonts w:cs="Arial" w:hint="cs"/>
          <w:rtl/>
        </w:rPr>
        <w:t>:</w:t>
      </w:r>
      <w:r w:rsidRPr="00356471">
        <w:rPr>
          <w:rFonts w:cs="Arial"/>
          <w:rtl/>
        </w:rPr>
        <w:t>) מכ"ש לגדרי ב"ד</w:t>
      </w:r>
      <w:r>
        <w:rPr>
          <w:rFonts w:cs="Arial" w:hint="cs"/>
          <w:rtl/>
        </w:rPr>
        <w:t>,</w:t>
      </w:r>
      <w:r w:rsidRPr="00356471">
        <w:rPr>
          <w:rFonts w:cs="Arial"/>
          <w:rtl/>
        </w:rPr>
        <w:t xml:space="preserve"> וכבר אישתמיט ר' זירא מרב יהודא רביה דבעי למיסק לא"י. אמנם כן צריך בתחלה תנאי אחד. שיהיה לו מקום מוכן להיות מצוי לו שם פרנסתו בריוח וכמ"ש התה"ד שם ובכל בו וגם בתשב"ץ כ' דכל שאין לו שם פרנסה מוכנת מעבירו על דעתו וע"ד קונו ח"ו כו' והלא יוצאין מא"י לח"ל ללמוד תורה מרבו מכ"ש שלא לנסוע לכתחלה במקום שאין לו הכנה ללמוד. והכלל בזה אשרי הזוכה לכך ואינו נצרך לבריות ומתפרנס שם אפי' חיי צער ויעבוד השם</w:t>
      </w:r>
      <w:r>
        <w:rPr>
          <w:rFonts w:cs="Arial" w:hint="cs"/>
          <w:rtl/>
        </w:rPr>
        <w:t>,</w:t>
      </w:r>
      <w:r w:rsidRPr="00356471">
        <w:rPr>
          <w:rFonts w:cs="Arial"/>
          <w:rtl/>
        </w:rPr>
        <w:t xml:space="preserve"> אבל אין כל אדם זוכה לכך וכבר נהגו העם שאינם נוסעים עם בנים קטנים והכל בשביל קושי השגת הפרנסה שם וחוב הוא לקטנים וח"ו יש לחוש שיצאו לת"ר עד לא יחזק שכלם עליהם לסבול חיי צער. ועכ"פ אלו הנוסעים לשם וצריכים עי"כ להתפרנס מן הצדקה ואילו היו בח"ל היו יכולים להתפרנס ממעשה ידיהם לא טוב עושין כי גדול הנהנה מיגיע כפו</w:t>
      </w:r>
      <w:r>
        <w:rPr>
          <w:rFonts w:cs="Arial" w:hint="cs"/>
          <w:rtl/>
        </w:rPr>
        <w:t>,</w:t>
      </w:r>
      <w:r w:rsidRPr="00356471">
        <w:rPr>
          <w:rFonts w:cs="Arial"/>
          <w:rtl/>
        </w:rPr>
        <w:t xml:space="preserve"> וצוה לנו ז"ל עשה שבתך חול ואל תצטרך לבריות</w:t>
      </w:r>
      <w:r>
        <w:rPr>
          <w:rFonts w:cs="Arial" w:hint="cs"/>
          <w:rtl/>
        </w:rPr>
        <w:t>,</w:t>
      </w:r>
      <w:r w:rsidRPr="00356471">
        <w:rPr>
          <w:rFonts w:cs="Arial"/>
          <w:rtl/>
        </w:rPr>
        <w:t xml:space="preserve"> וצריכין להתיישב בזה כי הדבר שקול ואין לי בו הכרע עכ"ל ע"ש (וע' בתשו' נו"ב תניינא חי"ד סימן ר"ה ור"ו ובתשובת חתם סופר חי"ד סימן רל"ד וגם בחלק אה"ע סימן קל"ב שהובא לעיל סימן ע' סק"ד). ועמ"ש לעיל סימן א' ס"ק ט"ז ולקמן סימן קנ"ד ס"ק כ"ה</w:t>
      </w:r>
      <w:r>
        <w:rPr>
          <w:rFonts w:cs="Arial" w:hint="cs"/>
          <w:rtl/>
        </w:rPr>
        <w:t xml:space="preserve">, </w:t>
      </w:r>
      <w:r w:rsidRPr="007B5D4F">
        <w:rPr>
          <w:rFonts w:cs="Arial" w:hint="cs"/>
          <w:b/>
          <w:bCs/>
          <w:rtl/>
        </w:rPr>
        <w:t xml:space="preserve">פת"ש </w:t>
      </w:r>
      <w:r>
        <w:rPr>
          <w:rFonts w:cs="Arial" w:hint="cs"/>
          <w:rtl/>
        </w:rPr>
        <w:t>(סק"ו).</w:t>
      </w:r>
    </w:p>
  </w:footnote>
  <w:footnote w:id="443">
    <w:p w14:paraId="5F08FE8B" w14:textId="4056CB94" w:rsidR="001E7E9A" w:rsidRDefault="001E7E9A">
      <w:pPr>
        <w:pStyle w:val="a5"/>
      </w:pPr>
      <w:r>
        <w:rPr>
          <w:rStyle w:val="a7"/>
        </w:rPr>
        <w:footnoteRef/>
      </w:r>
      <w:r>
        <w:rPr>
          <w:rtl/>
        </w:rPr>
        <w:t xml:space="preserve"> </w:t>
      </w:r>
      <w:r>
        <w:rPr>
          <w:rFonts w:hint="cs"/>
          <w:rtl/>
        </w:rPr>
        <w:t xml:space="preserve">וז"ל: </w:t>
      </w:r>
      <w:r w:rsidRPr="001E1F2D">
        <w:rPr>
          <w:rFonts w:cs="Arial"/>
          <w:rtl/>
        </w:rPr>
        <w:t>אינו נוהג בזמן הזה דאיכא סכנת דרכים</w:t>
      </w:r>
      <w:r>
        <w:rPr>
          <w:rFonts w:cs="Arial" w:hint="cs"/>
          <w:rtl/>
        </w:rPr>
        <w:t>.</w:t>
      </w:r>
    </w:p>
  </w:footnote>
  <w:footnote w:id="444">
    <w:p w14:paraId="5BD4227F" w14:textId="77777777" w:rsidR="002E2906" w:rsidRDefault="002E2906" w:rsidP="002E2906">
      <w:pPr>
        <w:pStyle w:val="a5"/>
        <w:rPr>
          <w:rtl/>
        </w:rPr>
      </w:pPr>
      <w:r>
        <w:rPr>
          <w:rStyle w:val="a7"/>
        </w:rPr>
        <w:footnoteRef/>
      </w:r>
      <w:r>
        <w:rPr>
          <w:rtl/>
        </w:rPr>
        <w:t xml:space="preserve"> </w:t>
      </w:r>
      <w:r>
        <w:rPr>
          <w:rFonts w:hint="cs"/>
          <w:rtl/>
        </w:rPr>
        <w:t>וז"ל:</w:t>
      </w:r>
      <w:r w:rsidRPr="002E2906">
        <w:rPr>
          <w:rFonts w:cs="Arial"/>
          <w:rtl/>
        </w:rPr>
        <w:t xml:space="preserve"> </w:t>
      </w:r>
      <w:r w:rsidRPr="00947CCF">
        <w:rPr>
          <w:rFonts w:cs="Arial"/>
          <w:rtl/>
        </w:rPr>
        <w:t>הוא אומר לעלות כו' כתב רבינו חיים כהן בתשובה דהני מילי בימיהם שהיה שלום בדרכים</w:t>
      </w:r>
      <w:r>
        <w:rPr>
          <w:rFonts w:cs="Arial" w:hint="cs"/>
          <w:rtl/>
        </w:rPr>
        <w:t>,</w:t>
      </w:r>
      <w:r w:rsidRPr="00947CCF">
        <w:rPr>
          <w:rFonts w:cs="Arial"/>
          <w:rtl/>
        </w:rPr>
        <w:t xml:space="preserve"> אבל עכשיו שהדרכים משובשים </w:t>
      </w:r>
      <w:r>
        <w:rPr>
          <w:rFonts w:cs="Arial" w:hint="cs"/>
          <w:rtl/>
        </w:rPr>
        <w:t xml:space="preserve">- </w:t>
      </w:r>
      <w:r w:rsidRPr="00947CCF">
        <w:rPr>
          <w:rFonts w:cs="Arial"/>
          <w:rtl/>
        </w:rPr>
        <w:t>אינו יכול לכופה</w:t>
      </w:r>
      <w:r>
        <w:rPr>
          <w:rFonts w:cs="Arial" w:hint="cs"/>
          <w:rtl/>
        </w:rPr>
        <w:t>,</w:t>
      </w:r>
      <w:r w:rsidRPr="00947CCF">
        <w:rPr>
          <w:rFonts w:cs="Arial"/>
          <w:rtl/>
        </w:rPr>
        <w:t xml:space="preserve"> דהוה ליה כמו חפץ להוליכה למקום גדודי חיות ולסטים</w:t>
      </w:r>
      <w:r>
        <w:rPr>
          <w:rFonts w:cs="Arial" w:hint="cs"/>
          <w:rtl/>
        </w:rPr>
        <w:t>.</w:t>
      </w:r>
      <w:r w:rsidRPr="00947CCF">
        <w:rPr>
          <w:rFonts w:cs="Arial"/>
          <w:rtl/>
        </w:rPr>
        <w:t xml:space="preserve"> ואפילו אם יעמיד לה ערבים מגוף וממון</w:t>
      </w:r>
      <w:r>
        <w:rPr>
          <w:rFonts w:cs="Arial" w:hint="cs"/>
          <w:rtl/>
        </w:rPr>
        <w:t>,</w:t>
      </w:r>
      <w:r w:rsidRPr="00947CCF">
        <w:rPr>
          <w:rFonts w:cs="Arial"/>
          <w:rtl/>
        </w:rPr>
        <w:t xml:space="preserve"> ערבך ערבא בעי</w:t>
      </w:r>
      <w:r>
        <w:rPr>
          <w:rFonts w:cs="Arial" w:hint="cs"/>
          <w:rtl/>
        </w:rPr>
        <w:t>.</w:t>
      </w:r>
    </w:p>
  </w:footnote>
  <w:footnote w:id="445">
    <w:p w14:paraId="16A2E123" w14:textId="624E3183" w:rsidR="00D3490F" w:rsidRDefault="00D3490F">
      <w:pPr>
        <w:pStyle w:val="a5"/>
      </w:pPr>
      <w:r>
        <w:rPr>
          <w:rStyle w:val="a7"/>
        </w:rPr>
        <w:footnoteRef/>
      </w:r>
      <w:r>
        <w:rPr>
          <w:rtl/>
        </w:rPr>
        <w:t xml:space="preserve"> </w:t>
      </w:r>
      <w:r>
        <w:rPr>
          <w:rFonts w:hint="cs"/>
          <w:rtl/>
        </w:rPr>
        <w:t>סימן - סכום אהבה, סכום בעילות.</w:t>
      </w:r>
    </w:p>
  </w:footnote>
  <w:footnote w:id="446">
    <w:p w14:paraId="19F7012B" w14:textId="77777777" w:rsidR="00DE2F5F" w:rsidRDefault="00DE2F5F" w:rsidP="00091A67">
      <w:pPr>
        <w:pStyle w:val="a5"/>
      </w:pPr>
      <w:r>
        <w:rPr>
          <w:rStyle w:val="a7"/>
        </w:rPr>
        <w:footnoteRef/>
      </w:r>
      <w:r>
        <w:rPr>
          <w:rtl/>
        </w:rPr>
        <w:t xml:space="preserve"> </w:t>
      </w:r>
      <w:r w:rsidRPr="006126F6">
        <w:rPr>
          <w:rFonts w:cs="Arial"/>
          <w:rtl/>
        </w:rPr>
        <w:t>תלמידים שהרב מצוי להם בעירן ושונים פרקם ולנים בביתם</w:t>
      </w:r>
      <w:r>
        <w:rPr>
          <w:rFonts w:hint="cs"/>
          <w:rtl/>
        </w:rPr>
        <w:t>, רש"י.</w:t>
      </w:r>
    </w:p>
  </w:footnote>
  <w:footnote w:id="447">
    <w:p w14:paraId="33F48BB0" w14:textId="77777777" w:rsidR="00DE2F5F" w:rsidRDefault="00DE2F5F" w:rsidP="00091A67">
      <w:pPr>
        <w:pStyle w:val="a5"/>
      </w:pPr>
      <w:r>
        <w:rPr>
          <w:rStyle w:val="a7"/>
        </w:rPr>
        <w:footnoteRef/>
      </w:r>
      <w:r>
        <w:rPr>
          <w:rtl/>
        </w:rPr>
        <w:t xml:space="preserve"> </w:t>
      </w:r>
      <w:r w:rsidRPr="006126F6">
        <w:rPr>
          <w:rFonts w:cs="Arial"/>
          <w:rtl/>
        </w:rPr>
        <w:t>בשבילם נאמר לבעלי אומניות</w:t>
      </w:r>
      <w:r>
        <w:rPr>
          <w:rFonts w:hint="cs"/>
          <w:rtl/>
        </w:rPr>
        <w:t>, רש"י.</w:t>
      </w:r>
    </w:p>
  </w:footnote>
  <w:footnote w:id="448">
    <w:p w14:paraId="479FBA33" w14:textId="77777777" w:rsidR="00DE2F5F" w:rsidRDefault="00DE2F5F" w:rsidP="00091A67">
      <w:pPr>
        <w:pStyle w:val="a5"/>
      </w:pPr>
      <w:r>
        <w:rPr>
          <w:rStyle w:val="a7"/>
        </w:rPr>
        <w:footnoteRef/>
      </w:r>
      <w:r>
        <w:rPr>
          <w:rtl/>
        </w:rPr>
        <w:t xml:space="preserve"> </w:t>
      </w:r>
      <w:r w:rsidRPr="006126F6">
        <w:rPr>
          <w:rFonts w:cs="Arial"/>
          <w:rtl/>
        </w:rPr>
        <w:t>למלאכת הרשות אוכלי לחמם בעצב כן יתן הקדוש ברוך הוא לידידו שנא למי שמנדד לכבודו ולמצותו שינה</w:t>
      </w:r>
      <w:r>
        <w:rPr>
          <w:rFonts w:hint="cs"/>
          <w:rtl/>
        </w:rPr>
        <w:t>, רש"י.</w:t>
      </w:r>
    </w:p>
  </w:footnote>
  <w:footnote w:id="449">
    <w:p w14:paraId="55B71982" w14:textId="77777777" w:rsidR="00DE2F5F" w:rsidRDefault="00DE2F5F" w:rsidP="00091A67">
      <w:pPr>
        <w:pStyle w:val="a5"/>
        <w:rPr>
          <w:rtl/>
        </w:rPr>
      </w:pPr>
      <w:r>
        <w:rPr>
          <w:rStyle w:val="a7"/>
        </w:rPr>
        <w:footnoteRef/>
      </w:r>
      <w:r>
        <w:rPr>
          <w:rtl/>
        </w:rPr>
        <w:t xml:space="preserve"> </w:t>
      </w:r>
      <w:r w:rsidRPr="006126F6">
        <w:rPr>
          <w:rFonts w:cs="Arial"/>
          <w:rtl/>
        </w:rPr>
        <w:t>ממתינות את בעליהן שהן בבית רבם ושונים פרקם אלמא בשעת שינה עודן בבית רבן ואת אמרת יש להן פנאי לעונה בכל לילה</w:t>
      </w:r>
      <w:r>
        <w:rPr>
          <w:rFonts w:hint="cs"/>
          <w:rtl/>
        </w:rPr>
        <w:t>, רש"י.</w:t>
      </w:r>
    </w:p>
  </w:footnote>
  <w:footnote w:id="450">
    <w:p w14:paraId="6C5A680A" w14:textId="77777777" w:rsidR="00DE2F5F" w:rsidRDefault="00DE2F5F" w:rsidP="00091A67">
      <w:pPr>
        <w:pStyle w:val="a5"/>
      </w:pPr>
      <w:r>
        <w:rPr>
          <w:rStyle w:val="a7"/>
        </w:rPr>
        <w:footnoteRef/>
      </w:r>
      <w:r>
        <w:rPr>
          <w:rtl/>
        </w:rPr>
        <w:t xml:space="preserve"> </w:t>
      </w:r>
      <w:r w:rsidRPr="00DB78F6">
        <w:rPr>
          <w:rFonts w:cs="Arial"/>
          <w:rtl/>
        </w:rPr>
        <w:t>אין שליח מלך פרס עובר על פתחו לשאול לו עבודת המלך שאין עין המלך עליו שאינו עשיר בעיניהם</w:t>
      </w:r>
      <w:r>
        <w:rPr>
          <w:rFonts w:cs="Arial" w:hint="cs"/>
          <w:rtl/>
        </w:rPr>
        <w:t>, רש"י.</w:t>
      </w:r>
    </w:p>
  </w:footnote>
  <w:footnote w:id="451">
    <w:p w14:paraId="63564356" w14:textId="77777777" w:rsidR="00DE2F5F" w:rsidRDefault="00DE2F5F" w:rsidP="00091A67">
      <w:pPr>
        <w:pStyle w:val="a5"/>
      </w:pPr>
      <w:r>
        <w:rPr>
          <w:rStyle w:val="a7"/>
        </w:rPr>
        <w:footnoteRef/>
      </w:r>
      <w:r>
        <w:rPr>
          <w:rtl/>
        </w:rPr>
        <w:t xml:space="preserve"> </w:t>
      </w:r>
      <w:r w:rsidRPr="00DB78F6">
        <w:rPr>
          <w:rFonts w:cs="Arial"/>
          <w:rtl/>
        </w:rPr>
        <w:t>בני ארץ ישראל מעונגים במאכל ומשתה לכך הם בריאים ובעלי כח לתשמיש</w:t>
      </w:r>
      <w:r>
        <w:rPr>
          <w:rFonts w:cs="Arial" w:hint="cs"/>
          <w:rtl/>
        </w:rPr>
        <w:t>, רש"י.</w:t>
      </w:r>
    </w:p>
  </w:footnote>
  <w:footnote w:id="452">
    <w:p w14:paraId="7F62363F" w14:textId="77777777" w:rsidR="00DE2F5F" w:rsidRDefault="00DE2F5F" w:rsidP="00091A67">
      <w:pPr>
        <w:pStyle w:val="a5"/>
        <w:rPr>
          <w:rtl/>
        </w:rPr>
      </w:pPr>
      <w:r>
        <w:rPr>
          <w:rStyle w:val="a7"/>
        </w:rPr>
        <w:footnoteRef/>
      </w:r>
      <w:r>
        <w:rPr>
          <w:rtl/>
        </w:rPr>
        <w:t xml:space="preserve"> </w:t>
      </w:r>
      <w:r w:rsidRPr="00CB1695">
        <w:rPr>
          <w:rFonts w:cs="Arial"/>
          <w:rtl/>
        </w:rPr>
        <w:t>שתים בשבת</w:t>
      </w:r>
      <w:r>
        <w:rPr>
          <w:rFonts w:hint="cs"/>
          <w:rtl/>
        </w:rPr>
        <w:t>, רש"י.</w:t>
      </w:r>
    </w:p>
  </w:footnote>
  <w:footnote w:id="453">
    <w:p w14:paraId="75C80053" w14:textId="77777777" w:rsidR="00DE2F5F" w:rsidRDefault="00DE2F5F" w:rsidP="00091A67">
      <w:pPr>
        <w:pStyle w:val="a5"/>
      </w:pPr>
      <w:r>
        <w:rPr>
          <w:rStyle w:val="a7"/>
        </w:rPr>
        <w:footnoteRef/>
      </w:r>
      <w:r>
        <w:rPr>
          <w:rtl/>
        </w:rPr>
        <w:t xml:space="preserve"> </w:t>
      </w:r>
      <w:r w:rsidRPr="00CB1695">
        <w:rPr>
          <w:rFonts w:cs="Arial"/>
          <w:rtl/>
        </w:rPr>
        <w:t>תנא דסתם לעיל המדיר את אשתו בית הלל אומרים שבת אחת אין לו לומר זאת לא בספן ולא בגמל ולא בחמר ולא בתלמידי חכמים שהרי אף החמר עונתו אחת בשבת ובשביל יום אחד יוציא ויתן כתובה הרי עונתו משבעה לשבעה וכ"ש גמל וספן אין בכלל הזה אלא טייל ופועל העושה מלאכה בעירו שדרכו לשמש שתים בשבת</w:t>
      </w:r>
      <w:r>
        <w:rPr>
          <w:rFonts w:cs="Arial" w:hint="cs"/>
          <w:rtl/>
        </w:rPr>
        <w:t>, רש"י.</w:t>
      </w:r>
    </w:p>
  </w:footnote>
  <w:footnote w:id="454">
    <w:p w14:paraId="14C170A8" w14:textId="77777777" w:rsidR="00DE2F5F" w:rsidRDefault="00DE2F5F" w:rsidP="00091A67">
      <w:pPr>
        <w:pStyle w:val="a5"/>
        <w:rPr>
          <w:rtl/>
        </w:rPr>
      </w:pPr>
      <w:r>
        <w:rPr>
          <w:rStyle w:val="a7"/>
        </w:rPr>
        <w:footnoteRef/>
      </w:r>
      <w:r>
        <w:rPr>
          <w:rtl/>
        </w:rPr>
        <w:t xml:space="preserve"> </w:t>
      </w:r>
      <w:r w:rsidRPr="00CB1695">
        <w:rPr>
          <w:rFonts w:cs="Arial"/>
          <w:rtl/>
        </w:rPr>
        <w:t>נמי קאמר דע"י נדר יתר משבת אחת לא</w:t>
      </w:r>
      <w:r>
        <w:rPr>
          <w:rFonts w:hint="cs"/>
          <w:rtl/>
        </w:rPr>
        <w:t>, רש"י.</w:t>
      </w:r>
    </w:p>
  </w:footnote>
  <w:footnote w:id="455">
    <w:p w14:paraId="5C0BA449" w14:textId="77777777" w:rsidR="00DE2F5F" w:rsidRDefault="00DE2F5F" w:rsidP="00091A67">
      <w:pPr>
        <w:pStyle w:val="a5"/>
      </w:pPr>
      <w:r>
        <w:rPr>
          <w:rStyle w:val="a7"/>
        </w:rPr>
        <w:footnoteRef/>
      </w:r>
      <w:r>
        <w:rPr>
          <w:rtl/>
        </w:rPr>
        <w:t xml:space="preserve"> </w:t>
      </w:r>
      <w:r w:rsidRPr="00CB1695">
        <w:rPr>
          <w:rFonts w:cs="Arial"/>
          <w:rtl/>
        </w:rPr>
        <w:t>בלא נדר ששה חדשים קאמר בספנים</w:t>
      </w:r>
      <w:r>
        <w:rPr>
          <w:rFonts w:cs="Arial" w:hint="cs"/>
          <w:rtl/>
        </w:rPr>
        <w:t>, רש"י.</w:t>
      </w:r>
    </w:p>
  </w:footnote>
  <w:footnote w:id="456">
    <w:p w14:paraId="45AA7AC2" w14:textId="77777777" w:rsidR="00DE2F5F" w:rsidRDefault="00DE2F5F" w:rsidP="00091A67">
      <w:pPr>
        <w:pStyle w:val="a5"/>
        <w:rPr>
          <w:rtl/>
        </w:rPr>
      </w:pPr>
      <w:r>
        <w:rPr>
          <w:rStyle w:val="a7"/>
        </w:rPr>
        <w:footnoteRef/>
      </w:r>
      <w:r>
        <w:rPr>
          <w:rtl/>
        </w:rPr>
        <w:t xml:space="preserve"> </w:t>
      </w:r>
      <w:r w:rsidRPr="00CB1695">
        <w:rPr>
          <w:rFonts w:cs="Arial"/>
          <w:rtl/>
        </w:rPr>
        <w:t>לענין תענית מי שיש לו כו' אף כאן בלא נדר דעתה נוחה לבעלה שמא יבא בתוך הזמן אבל זו משהדירה הרי היא כמי שאינה מצפה לבעל</w:t>
      </w:r>
      <w:r>
        <w:rPr>
          <w:rFonts w:hint="cs"/>
          <w:rtl/>
        </w:rPr>
        <w:t>, רש"י.</w:t>
      </w:r>
    </w:p>
  </w:footnote>
  <w:footnote w:id="457">
    <w:p w14:paraId="3E8FE2D8" w14:textId="1F32071A" w:rsidR="00DE2F5F" w:rsidRDefault="00DE2F5F">
      <w:pPr>
        <w:pStyle w:val="a5"/>
      </w:pPr>
      <w:r>
        <w:rPr>
          <w:rStyle w:val="a7"/>
        </w:rPr>
        <w:footnoteRef/>
      </w:r>
      <w:r>
        <w:rPr>
          <w:rtl/>
        </w:rPr>
        <w:t xml:space="preserve"> </w:t>
      </w:r>
      <w:r>
        <w:rPr>
          <w:rFonts w:cs="Arial"/>
          <w:rtl/>
        </w:rPr>
        <w:t>ומפני שראה רבינו בדרב שמואל בר שילת שאמרו ולא חליף פריסתקא דמלכא אבביה כתב ואינם פורעים מס אבל הרמב"ם (פי"ד מאישות ה"א) לא הזכיר אינם פורעים מס</w:t>
      </w:r>
      <w:r>
        <w:rPr>
          <w:rFonts w:cs="Arial" w:hint="cs"/>
          <w:rtl/>
        </w:rPr>
        <w:t>, ב"י.</w:t>
      </w:r>
    </w:p>
  </w:footnote>
  <w:footnote w:id="458">
    <w:p w14:paraId="64DED7E8" w14:textId="16B6AC4A" w:rsidR="00DE2F5F" w:rsidRDefault="00DE2F5F">
      <w:pPr>
        <w:pStyle w:val="a5"/>
        <w:rPr>
          <w:rtl/>
        </w:rPr>
      </w:pPr>
      <w:r>
        <w:rPr>
          <w:rStyle w:val="a7"/>
        </w:rPr>
        <w:footnoteRef/>
      </w:r>
      <w:r>
        <w:rPr>
          <w:rtl/>
        </w:rPr>
        <w:t xml:space="preserve"> </w:t>
      </w:r>
      <w:r>
        <w:rPr>
          <w:rFonts w:cs="Arial" w:hint="cs"/>
          <w:rtl/>
        </w:rPr>
        <w:t>וז"ל ה</w:t>
      </w:r>
      <w:r>
        <w:rPr>
          <w:rFonts w:cs="Arial"/>
          <w:rtl/>
        </w:rPr>
        <w:t>תוס</w:t>
      </w:r>
      <w:r>
        <w:rPr>
          <w:rFonts w:cs="Arial" w:hint="cs"/>
          <w:rtl/>
        </w:rPr>
        <w:t>'</w:t>
      </w:r>
      <w:r>
        <w:rPr>
          <w:rFonts w:cs="Arial"/>
          <w:rtl/>
        </w:rPr>
        <w:t xml:space="preserve"> (ד"ה והתניא)</w:t>
      </w:r>
      <w:r w:rsidR="00FC0D91">
        <w:rPr>
          <w:rFonts w:cs="Arial" w:hint="cs"/>
          <w:rtl/>
        </w:rPr>
        <w:t>:</w:t>
      </w:r>
      <w:r>
        <w:rPr>
          <w:rFonts w:cs="Arial"/>
          <w:rtl/>
        </w:rPr>
        <w:t xml:space="preserve"> </w:t>
      </w:r>
      <w:r w:rsidRPr="00747F53">
        <w:rPr>
          <w:rFonts w:cs="Arial"/>
          <w:rtl/>
        </w:rPr>
        <w:t>והתניא הפועלים אחת בשבת - מרישא דקתני הפועלים שבת אחת לא מצי למיפרך דרישא לאו בדין עונה מיירי אלא אדרבה אשמועינן דשרי לשנות ולבטל עונה ממה שהיה מנהגם תחלה אבל מברייתא פריך שפיר דאיירי בדין עונה האמורה בתורה ולא ביציאה שלא ברשות מדקתני אחת בשבת ולא קתני שבת אחת כמו במתני' ומשני דבעושה מלאכה בעיר אחרת איירי והיה דרכם ומנהגם כך וא"ת מאי איריא כשמנהגם כך אפי' לשנות יכולין שבת אחת כדפרישית במתני' וי"ל דבברייתא קמ"ל דאע"פ שמנהגם כך לעשות מלאכה בעיר אחרת אם רוצי' לשנות ולשהות יותר אין הרשות בידם ור"י בר' ברוך היה אומר דג' מדות בפועלי' דהעושין מלאכה בעירן שתים בשבת כדתנן במתני' וברייתא בעושין מלאכה בעיר אחרת וחוזרין בכל יום לביתם אחת בשבת לפי שיש להם טורח הדרך אבל אותם שאין חוזרין לביתם בין היה מנהגם בין לא היה כמו רישא דמתני' דקתני יוצאין שבת אחת משמע שהן כל ז' בחוץ וחוזרין בכל יום שמיני אבל ר"י לא פירש אלא ב' מדות שתים בשבת ואחת בשבת כדפרישנא</w:t>
      </w:r>
      <w:r>
        <w:rPr>
          <w:rFonts w:cs="Arial" w:hint="cs"/>
          <w:rtl/>
        </w:rPr>
        <w:t>.</w:t>
      </w:r>
      <w:r>
        <w:rPr>
          <w:rFonts w:cs="Arial"/>
          <w:rtl/>
        </w:rPr>
        <w:t xml:space="preserve"> עכ"ל. </w:t>
      </w:r>
      <w:r w:rsidR="00FC0D91">
        <w:rPr>
          <w:rFonts w:cs="Arial" w:hint="cs"/>
          <w:rtl/>
        </w:rPr>
        <w:t xml:space="preserve">    </w:t>
      </w:r>
      <w:r>
        <w:rPr>
          <w:rFonts w:cs="Arial"/>
          <w:rtl/>
        </w:rPr>
        <w:t>ו</w:t>
      </w:r>
      <w:r>
        <w:rPr>
          <w:rFonts w:cs="Arial" w:hint="cs"/>
          <w:rtl/>
        </w:rPr>
        <w:t>כתב הב"י ד</w:t>
      </w:r>
      <w:r>
        <w:rPr>
          <w:rFonts w:cs="Arial"/>
          <w:rtl/>
        </w:rPr>
        <w:t>הרא"ש (סי' כט) כתב סתם כדברי ר"י ב"ר ברוך</w:t>
      </w:r>
      <w:r>
        <w:rPr>
          <w:rFonts w:cs="Arial" w:hint="cs"/>
          <w:rtl/>
        </w:rPr>
        <w:t>,</w:t>
      </w:r>
      <w:r>
        <w:rPr>
          <w:rFonts w:cs="Arial"/>
          <w:rtl/>
        </w:rPr>
        <w:t xml:space="preserve"> וכך הם דברי רבינו</w:t>
      </w:r>
      <w:r>
        <w:rPr>
          <w:rFonts w:cs="Arial" w:hint="cs"/>
          <w:rtl/>
        </w:rPr>
        <w:t>.</w:t>
      </w:r>
      <w:r>
        <w:rPr>
          <w:rFonts w:cs="Arial"/>
          <w:rtl/>
        </w:rPr>
        <w:t xml:space="preserve"> והמשך הלשון כך הוא </w:t>
      </w:r>
      <w:r>
        <w:rPr>
          <w:rFonts w:cs="Arial" w:hint="cs"/>
          <w:rtl/>
        </w:rPr>
        <w:t>'</w:t>
      </w:r>
      <w:r>
        <w:rPr>
          <w:rFonts w:cs="Arial"/>
          <w:rtl/>
        </w:rPr>
        <w:t>הפועלים שאין לנים בביתם ויוצאים ז' ימים וכו' עונתם פעם אחד בשבת וכן החמרים פעם אחד בשבת</w:t>
      </w:r>
      <w:r>
        <w:rPr>
          <w:rFonts w:cs="Arial" w:hint="cs"/>
          <w:rtl/>
        </w:rPr>
        <w:t>'.</w:t>
      </w:r>
      <w:r>
        <w:rPr>
          <w:rFonts w:cs="Arial"/>
          <w:rtl/>
        </w:rPr>
        <w:t xml:space="preserve"> דפעם אחד בשבת שכתב קאי לפועלים שאין לנין בביתם וכו' ולחמרים</w:t>
      </w:r>
      <w:r>
        <w:rPr>
          <w:rFonts w:cs="Arial" w:hint="cs"/>
          <w:rtl/>
        </w:rPr>
        <w:t>,</w:t>
      </w:r>
      <w:r>
        <w:rPr>
          <w:rFonts w:cs="Arial"/>
          <w:rtl/>
        </w:rPr>
        <w:t xml:space="preserve"> ופשוט הוא</w:t>
      </w:r>
      <w:r>
        <w:rPr>
          <w:rFonts w:cs="Arial" w:hint="cs"/>
          <w:rtl/>
        </w:rPr>
        <w:t>. עכ"ל הב"י.</w:t>
      </w:r>
      <w:r w:rsidR="00D95441">
        <w:rPr>
          <w:rFonts w:cs="Arial" w:hint="cs"/>
          <w:rtl/>
        </w:rPr>
        <w:t xml:space="preserve">     </w:t>
      </w:r>
      <w:r>
        <w:rPr>
          <w:rFonts w:cs="Arial" w:hint="cs"/>
          <w:rtl/>
        </w:rPr>
        <w:t xml:space="preserve"> וקשה, דאם כן החזיר את דעת הטור כדעת התוס' והרמב"ם דיש רק ב' מדות, או שנאמר שהחמרים גם חייבים רק אחת לשמונה ימים. ועיין בדרישה (סוף אות ג) שגם תמה על דברי הב"י. וצל"ע.</w:t>
      </w:r>
    </w:p>
  </w:footnote>
  <w:footnote w:id="459">
    <w:p w14:paraId="003F7F47" w14:textId="7D0F8B2F" w:rsidR="00DE2F5F" w:rsidRDefault="00DE2F5F" w:rsidP="00B31DD2">
      <w:pPr>
        <w:pStyle w:val="a5"/>
      </w:pPr>
      <w:r>
        <w:rPr>
          <w:rStyle w:val="a7"/>
        </w:rPr>
        <w:footnoteRef/>
      </w:r>
      <w:r w:rsidRPr="00457983">
        <w:rPr>
          <w:rFonts w:cs="Arial"/>
          <w:rtl/>
        </w:rPr>
        <w:t xml:space="preserve"> ומיהו אם אירע לפועלים שלנו בביתם לצורך מלאכה יכולים לאחר עד יום שמיני</w:t>
      </w:r>
      <w:r>
        <w:rPr>
          <w:rFonts w:cs="Arial" w:hint="cs"/>
          <w:rtl/>
        </w:rPr>
        <w:t xml:space="preserve">, </w:t>
      </w:r>
      <w:r w:rsidRPr="00457983">
        <w:rPr>
          <w:rFonts w:cs="Arial"/>
          <w:rtl/>
        </w:rPr>
        <w:t xml:space="preserve">ר"ן </w:t>
      </w:r>
      <w:r w:rsidRPr="00B31DD2">
        <w:rPr>
          <w:rFonts w:cs="Arial" w:hint="cs"/>
          <w:sz w:val="16"/>
          <w:szCs w:val="16"/>
          <w:rtl/>
        </w:rPr>
        <w:t>(פ'</w:t>
      </w:r>
      <w:r w:rsidRPr="00B31DD2">
        <w:rPr>
          <w:rFonts w:cs="Arial"/>
          <w:sz w:val="16"/>
          <w:szCs w:val="16"/>
          <w:rtl/>
        </w:rPr>
        <w:t xml:space="preserve"> אף על פי כה סוע"ב</w:t>
      </w:r>
      <w:r w:rsidRPr="00B31DD2">
        <w:rPr>
          <w:rFonts w:cs="Arial" w:hint="cs"/>
          <w:sz w:val="16"/>
          <w:szCs w:val="16"/>
          <w:rtl/>
        </w:rPr>
        <w:t>, הביאו הדרכ"מ אות א</w:t>
      </w:r>
      <w:r w:rsidRPr="00B31DD2">
        <w:rPr>
          <w:rFonts w:cs="Arial"/>
          <w:sz w:val="16"/>
          <w:szCs w:val="16"/>
          <w:rtl/>
        </w:rPr>
        <w:t>)</w:t>
      </w:r>
      <w:r>
        <w:rPr>
          <w:rFonts w:cs="Arial" w:hint="cs"/>
          <w:rtl/>
        </w:rPr>
        <w:t>.</w:t>
      </w:r>
    </w:p>
  </w:footnote>
  <w:footnote w:id="460">
    <w:p w14:paraId="6F86504D" w14:textId="158861DF" w:rsidR="00DE2F5F" w:rsidRDefault="00DE2F5F">
      <w:pPr>
        <w:pStyle w:val="a5"/>
        <w:rPr>
          <w:rtl/>
        </w:rPr>
      </w:pPr>
      <w:r>
        <w:rPr>
          <w:rStyle w:val="a7"/>
        </w:rPr>
        <w:footnoteRef/>
      </w:r>
      <w:r>
        <w:rPr>
          <w:rtl/>
        </w:rPr>
        <w:t xml:space="preserve"> </w:t>
      </w:r>
      <w:r w:rsidRPr="0065663D">
        <w:rPr>
          <w:rFonts w:cs="Arial"/>
          <w:rtl/>
        </w:rPr>
        <w:t>ויש לו רשות לשנות מנהגו אם היה רגיל לעשות מלאכתו בביתו והיה עונתו ב"פ בשבוע רשאי לעשות מלאכה חוץ לעיר ויהיה עונתו פ"א בשבוע</w:t>
      </w:r>
      <w:r>
        <w:rPr>
          <w:rFonts w:hint="cs"/>
          <w:rtl/>
        </w:rPr>
        <w:t>, באה"ט (סק"ד). וכ"כ ח"מ (סק"ב).</w:t>
      </w:r>
    </w:p>
  </w:footnote>
  <w:footnote w:id="461">
    <w:p w14:paraId="4A6D176D" w14:textId="056D5CFA" w:rsidR="00DE2F5F" w:rsidRDefault="00DE2F5F">
      <w:pPr>
        <w:pStyle w:val="a5"/>
      </w:pPr>
      <w:r>
        <w:rPr>
          <w:rStyle w:val="a7"/>
        </w:rPr>
        <w:footnoteRef/>
      </w:r>
      <w:r>
        <w:rPr>
          <w:rtl/>
        </w:rPr>
        <w:t xml:space="preserve"> </w:t>
      </w:r>
      <w:r w:rsidRPr="0065663D">
        <w:rPr>
          <w:rFonts w:cs="Arial"/>
          <w:rtl/>
        </w:rPr>
        <w:t>היינו ודאי כשהם בעירם בכל הלילה</w:t>
      </w:r>
      <w:r>
        <w:rPr>
          <w:rFonts w:cs="Arial" w:hint="cs"/>
          <w:rtl/>
        </w:rPr>
        <w:t>, ב"ש (סק"ג).</w:t>
      </w:r>
    </w:p>
  </w:footnote>
  <w:footnote w:id="462">
    <w:p w14:paraId="2C5F8A0A" w14:textId="49AC2328" w:rsidR="000016F4" w:rsidRDefault="000016F4">
      <w:pPr>
        <w:pStyle w:val="a5"/>
      </w:pPr>
      <w:r>
        <w:rPr>
          <w:rStyle w:val="a7"/>
        </w:rPr>
        <w:footnoteRef/>
      </w:r>
      <w:r>
        <w:rPr>
          <w:rtl/>
        </w:rPr>
        <w:t xml:space="preserve"> </w:t>
      </w:r>
      <w:r>
        <w:rPr>
          <w:rFonts w:hint="cs"/>
          <w:rtl/>
        </w:rPr>
        <w:t>סימן - כאשר דכיא.</w:t>
      </w:r>
    </w:p>
  </w:footnote>
  <w:footnote w:id="463">
    <w:p w14:paraId="7389A8AB" w14:textId="3A8C5CA5" w:rsidR="00DE2F5F" w:rsidRDefault="00DE2F5F">
      <w:pPr>
        <w:pStyle w:val="a5"/>
      </w:pPr>
      <w:r>
        <w:rPr>
          <w:rStyle w:val="a7"/>
        </w:rPr>
        <w:footnoteRef/>
      </w:r>
      <w:r>
        <w:rPr>
          <w:rtl/>
        </w:rPr>
        <w:t xml:space="preserve"> </w:t>
      </w:r>
      <w:r w:rsidRPr="000A3BE3">
        <w:rPr>
          <w:rFonts w:cs="Arial"/>
          <w:rtl/>
        </w:rPr>
        <w:t>יום שטבלה אשתו, דהוה ליה ליל תשמיש, והיינו כשמואל דאמר אפילו אשתו עמו</w:t>
      </w:r>
      <w:r>
        <w:rPr>
          <w:rFonts w:cs="Arial" w:hint="cs"/>
          <w:rtl/>
        </w:rPr>
        <w:t>, רש"י.</w:t>
      </w:r>
    </w:p>
  </w:footnote>
  <w:footnote w:id="464">
    <w:p w14:paraId="37BC5949" w14:textId="09C667B6" w:rsidR="0031602F" w:rsidRDefault="0031602F">
      <w:pPr>
        <w:pStyle w:val="a5"/>
      </w:pPr>
      <w:r>
        <w:rPr>
          <w:rStyle w:val="a7"/>
        </w:rPr>
        <w:footnoteRef/>
      </w:r>
      <w:r>
        <w:rPr>
          <w:rtl/>
        </w:rPr>
        <w:t xml:space="preserve"> </w:t>
      </w:r>
      <w:r>
        <w:rPr>
          <w:rFonts w:hint="cs"/>
          <w:rtl/>
        </w:rPr>
        <w:t>סימן - סכום בעילות.</w:t>
      </w:r>
    </w:p>
  </w:footnote>
  <w:footnote w:id="465">
    <w:p w14:paraId="532F1A63" w14:textId="6B8F7537" w:rsidR="00DE2F5F" w:rsidRDefault="00DE2F5F">
      <w:pPr>
        <w:pStyle w:val="a5"/>
      </w:pPr>
      <w:r>
        <w:rPr>
          <w:rStyle w:val="a7"/>
        </w:rPr>
        <w:footnoteRef/>
      </w:r>
      <w:r>
        <w:rPr>
          <w:rtl/>
        </w:rPr>
        <w:t xml:space="preserve"> </w:t>
      </w:r>
      <w:r>
        <w:rPr>
          <w:rFonts w:hint="cs"/>
          <w:rtl/>
        </w:rPr>
        <w:t xml:space="preserve">ומכאן נראה לי להוכיח שהב"י חיבר את בדה"ב לפני השו"ע. שהרי לא נראה שיכתוב הלכה בשו"ע בלי להביא את מקורה בב"י. </w:t>
      </w:r>
    </w:p>
  </w:footnote>
  <w:footnote w:id="466">
    <w:p w14:paraId="16B32615" w14:textId="3FC106DB" w:rsidR="00DE2F5F" w:rsidRDefault="00DE2F5F">
      <w:pPr>
        <w:pStyle w:val="a5"/>
      </w:pPr>
      <w:r>
        <w:rPr>
          <w:rStyle w:val="a7"/>
        </w:rPr>
        <w:footnoteRef/>
      </w:r>
      <w:r>
        <w:rPr>
          <w:rtl/>
        </w:rPr>
        <w:t xml:space="preserve"> </w:t>
      </w:r>
      <w:r w:rsidRPr="004F5E0D">
        <w:rPr>
          <w:rFonts w:cs="Arial"/>
          <w:rtl/>
        </w:rPr>
        <w:t>אפילו בשני רעבון או שאר צרות ועיין בא"ח סי' תקע"ד ובי"ד סימן קפ"ד</w:t>
      </w:r>
      <w:r>
        <w:rPr>
          <w:rFonts w:cs="Arial" w:hint="cs"/>
          <w:rtl/>
        </w:rPr>
        <w:t>, ב"ש (סק"ו).</w:t>
      </w:r>
    </w:p>
  </w:footnote>
  <w:footnote w:id="467">
    <w:p w14:paraId="4A4E91CD" w14:textId="11C97543" w:rsidR="00DE2F5F" w:rsidRDefault="00DE2F5F">
      <w:pPr>
        <w:pStyle w:val="a5"/>
      </w:pPr>
      <w:r>
        <w:rPr>
          <w:rStyle w:val="a7"/>
        </w:rPr>
        <w:footnoteRef/>
      </w:r>
      <w:r>
        <w:rPr>
          <w:rtl/>
        </w:rPr>
        <w:t xml:space="preserve"> </w:t>
      </w:r>
      <w:r w:rsidRPr="00037A65">
        <w:rPr>
          <w:rFonts w:cs="Arial"/>
          <w:rtl/>
        </w:rPr>
        <w:t>פי' ר"י דאתא לאשמועינן דאף על גב דמנהגם היה ללמוד ולעשות מלאכה בעירם ועונה האמורה בתור' לתלמיד מע"ש לע"ש כדאמרי' בגמ' ולפועלים שתים בשבת כדקתני סיפא אפ"ה יכולים לשנות ממנהגם ולצאת תלמידים ל' יום ופועלים שבת אחת</w:t>
      </w:r>
      <w:r>
        <w:rPr>
          <w:rFonts w:cs="Arial" w:hint="cs"/>
          <w:rtl/>
        </w:rPr>
        <w:t>, תוס' ((סא: ד"ה התלמידים). והביא הר"ן (כה: ד"ה התלמידים) את דבריהם, והוסיף ד</w:t>
      </w:r>
      <w:r w:rsidRPr="00037A65">
        <w:rPr>
          <w:rFonts w:cs="Arial"/>
          <w:rtl/>
        </w:rPr>
        <w:t>ביום שלשים ואחד יהיו בעירם אפילו אם אותו יום יחזרו לצאת להיות שלשים יום בחוץ וכן פועלים שהולכין לעיר אחרת ועומדין שם כל השבוע למלאכתם דהיינו ז' ימים ובשמיני יחזרו לביתם וכן לעולם דהיינו עונה האמורה בתורה לגבי תלמידים ופועלין הצריכין ללמוד ולעשות מלאכתן בעיר אחרת אבל תלמידים העומדים בעירם עונתם מערב שבת לע"ש כדאיתא בגמרא [סב</w:t>
      </w:r>
      <w:r>
        <w:rPr>
          <w:rFonts w:cs="Arial" w:hint="cs"/>
          <w:rtl/>
        </w:rPr>
        <w:t>:</w:t>
      </w:r>
      <w:r w:rsidRPr="00037A65">
        <w:rPr>
          <w:rFonts w:cs="Arial"/>
          <w:rtl/>
        </w:rPr>
        <w:t>] ופועלים נמי העושים בעירם עונה שלהם שתים בשבת כדתנן בסמוך בהך מתני'</w:t>
      </w:r>
      <w:r>
        <w:rPr>
          <w:rFonts w:hint="cs"/>
          <w:rtl/>
        </w:rPr>
        <w:t>.</w:t>
      </w:r>
    </w:p>
  </w:footnote>
  <w:footnote w:id="468">
    <w:p w14:paraId="7A94B947" w14:textId="2B2CD4F8" w:rsidR="00DE2F5F" w:rsidRDefault="00DE2F5F">
      <w:pPr>
        <w:pStyle w:val="a5"/>
      </w:pPr>
      <w:r>
        <w:rPr>
          <w:rStyle w:val="a7"/>
        </w:rPr>
        <w:footnoteRef/>
      </w:r>
      <w:r>
        <w:rPr>
          <w:rtl/>
        </w:rPr>
        <w:t xml:space="preserve"> </w:t>
      </w:r>
      <w:r w:rsidRPr="00AC2446">
        <w:rPr>
          <w:rFonts w:cs="Arial"/>
          <w:rtl/>
        </w:rPr>
        <w:t>דרך ארץ שלא ישא עליו חטא ואפי' הוא יכול לפתותה שתתן לו רשות</w:t>
      </w:r>
      <w:r>
        <w:rPr>
          <w:rFonts w:cs="Arial" w:hint="cs"/>
          <w:rtl/>
        </w:rPr>
        <w:t>, רש"י.</w:t>
      </w:r>
      <w:r w:rsidRPr="00AC2446">
        <w:rPr>
          <w:rFonts w:cs="Arial"/>
          <w:rtl/>
        </w:rPr>
        <w:t xml:space="preserve"> </w:t>
      </w:r>
      <w:r>
        <w:rPr>
          <w:rFonts w:cs="Arial"/>
          <w:rtl/>
        </w:rPr>
        <w:t xml:space="preserve">וכתב הרא"ש (שם) </w:t>
      </w:r>
      <w:r>
        <w:rPr>
          <w:rFonts w:cs="Arial" w:hint="cs"/>
          <w:rtl/>
        </w:rPr>
        <w:t>דהיינו</w:t>
      </w:r>
      <w:r>
        <w:rPr>
          <w:rFonts w:cs="Arial"/>
          <w:rtl/>
        </w:rPr>
        <w:t xml:space="preserve"> שלא ישאל ממנה דבר של צער דשמא אף על פי שנותנת לו רשות על ידי פיוסו או על ידי שמתביישת ממנו לבה מצטער והני רבנן דנפקי טובא כתב הראב"ד לפי שהיתה תורתם אומנותם לא חשו לאורחא דמילתא</w:t>
      </w:r>
      <w:r>
        <w:rPr>
          <w:rFonts w:cs="Arial" w:hint="cs"/>
          <w:sz w:val="16"/>
          <w:szCs w:val="16"/>
          <w:rtl/>
        </w:rPr>
        <w:t xml:space="preserve"> [עכ"ל הרא"ש]</w:t>
      </w:r>
      <w:r>
        <w:rPr>
          <w:rFonts w:cs="Arial" w:hint="cs"/>
          <w:rtl/>
        </w:rPr>
        <w:t>.</w:t>
      </w:r>
    </w:p>
  </w:footnote>
  <w:footnote w:id="469">
    <w:p w14:paraId="0AEA7648" w14:textId="0888710F" w:rsidR="00DE2F5F" w:rsidRDefault="00DE2F5F">
      <w:pPr>
        <w:pStyle w:val="a5"/>
        <w:rPr>
          <w:rtl/>
        </w:rPr>
      </w:pPr>
      <w:r>
        <w:rPr>
          <w:rStyle w:val="a7"/>
        </w:rPr>
        <w:footnoteRef/>
      </w:r>
      <w:r>
        <w:rPr>
          <w:rtl/>
        </w:rPr>
        <w:t xml:space="preserve"> </w:t>
      </w:r>
      <w:r w:rsidRPr="00936DDD">
        <w:rPr>
          <w:rFonts w:cs="Arial"/>
          <w:rtl/>
        </w:rPr>
        <w:t>ונראה לר"י דאפועלים קאי ולא אתלמידים דהא אפי' שלא ברשות יוצאין לעולם ל' יום ויחזור לביתו יום אחד והכא קרא קאמר חדש בביתו או ב' חדשים למ"ד דאע"פ שהוא ברשות אלא אפועלים קאי וקרא נמי דמייתי בפועלים איירי וא"ת והיכי קאמר בסמוך שאני התם דאית להו רווחא פועלים דמתני' נמי אית להו רווחא וי"ל רווחא דהתם דמלאכת המלך נפיש</w:t>
      </w:r>
      <w:r>
        <w:rPr>
          <w:rFonts w:cs="Arial" w:hint="cs"/>
          <w:rtl/>
        </w:rPr>
        <w:t>, תוס' (שם ד"ה אלא אורחא דמילתא כמה)</w:t>
      </w:r>
      <w:r>
        <w:rPr>
          <w:rFonts w:hint="cs"/>
          <w:rtl/>
        </w:rPr>
        <w:t>. והביא הר"ן (כו. ד"ה איבעיא להו ברשות כמה) את דבריהם.</w:t>
      </w:r>
    </w:p>
  </w:footnote>
  <w:footnote w:id="470">
    <w:p w14:paraId="1B9C9DDA" w14:textId="00492C4F" w:rsidR="00DE2F5F" w:rsidRDefault="00DE2F5F">
      <w:pPr>
        <w:pStyle w:val="a5"/>
      </w:pPr>
      <w:r>
        <w:rPr>
          <w:rStyle w:val="a7"/>
        </w:rPr>
        <w:footnoteRef/>
      </w:r>
      <w:r>
        <w:rPr>
          <w:rtl/>
        </w:rPr>
        <w:t xml:space="preserve"> </w:t>
      </w:r>
      <w:r w:rsidRPr="004B7A9C">
        <w:rPr>
          <w:rFonts w:cs="Arial"/>
          <w:rtl/>
        </w:rPr>
        <w:t>תמה אני</w:t>
      </w:r>
      <w:r>
        <w:rPr>
          <w:rFonts w:cs="Arial" w:hint="cs"/>
          <w:rtl/>
        </w:rPr>
        <w:t>,</w:t>
      </w:r>
      <w:r w:rsidRPr="004B7A9C">
        <w:rPr>
          <w:rFonts w:cs="Arial"/>
          <w:rtl/>
        </w:rPr>
        <w:t xml:space="preserve"> אי אתלמידים קא מייתי </w:t>
      </w:r>
      <w:r>
        <w:rPr>
          <w:rFonts w:cs="Arial" w:hint="cs"/>
          <w:rtl/>
        </w:rPr>
        <w:t xml:space="preserve">- </w:t>
      </w:r>
      <w:r w:rsidRPr="004B7A9C">
        <w:rPr>
          <w:rFonts w:cs="Arial"/>
          <w:rtl/>
        </w:rPr>
        <w:t>הא תנן דאפילו שלא ברשות די להם פעם אחת לשלשים יום והיכי נימא דאפי' ברשות דוקא בשני חדשים או חדש אחד בבית</w:t>
      </w:r>
      <w:r>
        <w:rPr>
          <w:rFonts w:cs="Arial" w:hint="cs"/>
          <w:rtl/>
        </w:rPr>
        <w:t>.</w:t>
      </w:r>
      <w:r w:rsidRPr="004B7A9C">
        <w:rPr>
          <w:rFonts w:cs="Arial"/>
          <w:rtl/>
        </w:rPr>
        <w:t xml:space="preserve"> ואפשר דכי תנן במתניתין שלשים יום</w:t>
      </w:r>
      <w:r>
        <w:rPr>
          <w:rFonts w:cs="Arial" w:hint="cs"/>
          <w:rtl/>
        </w:rPr>
        <w:t>,</w:t>
      </w:r>
      <w:r w:rsidRPr="004B7A9C">
        <w:rPr>
          <w:rFonts w:cs="Arial"/>
          <w:rtl/>
        </w:rPr>
        <w:t xml:space="preserve"> לא שיעשו כן בקבע תדיר</w:t>
      </w:r>
      <w:r>
        <w:rPr>
          <w:rFonts w:cs="Arial" w:hint="cs"/>
          <w:rtl/>
        </w:rPr>
        <w:t>,</w:t>
      </w:r>
      <w:r w:rsidRPr="004B7A9C">
        <w:rPr>
          <w:rFonts w:cs="Arial"/>
          <w:rtl/>
        </w:rPr>
        <w:t xml:space="preserve"> אלא באקראי בעלמא</w:t>
      </w:r>
      <w:r>
        <w:rPr>
          <w:rFonts w:cs="Arial" w:hint="cs"/>
          <w:rtl/>
        </w:rPr>
        <w:t>.</w:t>
      </w:r>
      <w:r w:rsidRPr="004B7A9C">
        <w:rPr>
          <w:rFonts w:cs="Arial"/>
          <w:rtl/>
        </w:rPr>
        <w:t xml:space="preserve"> ואחרים פירשו דבגמרא אפועלים קיימי</w:t>
      </w:r>
      <w:r>
        <w:rPr>
          <w:rFonts w:cs="Arial" w:hint="cs"/>
          <w:rtl/>
        </w:rPr>
        <w:t>,</w:t>
      </w:r>
      <w:r w:rsidRPr="004B7A9C">
        <w:rPr>
          <w:rFonts w:cs="Arial"/>
          <w:rtl/>
        </w:rPr>
        <w:t xml:space="preserve"> דקראי דמוכיחי מינייהו רב ור' יוחנן בפועלים מיירי</w:t>
      </w:r>
      <w:r>
        <w:rPr>
          <w:rFonts w:cs="Arial" w:hint="cs"/>
          <w:rtl/>
        </w:rPr>
        <w:t>,</w:t>
      </w:r>
      <w:r w:rsidRPr="004B7A9C">
        <w:rPr>
          <w:rFonts w:cs="Arial"/>
          <w:rtl/>
        </w:rPr>
        <w:t xml:space="preserve"> ואף על גב דאמרינן בגמ' </w:t>
      </w:r>
      <w:r>
        <w:rPr>
          <w:rFonts w:cs="Arial" w:hint="cs"/>
          <w:rtl/>
        </w:rPr>
        <w:t>'</w:t>
      </w:r>
      <w:r w:rsidRPr="004B7A9C">
        <w:rPr>
          <w:rFonts w:cs="Arial"/>
          <w:rtl/>
        </w:rPr>
        <w:t>שאני התם דאית ליה רווחא</w:t>
      </w:r>
      <w:r>
        <w:rPr>
          <w:rFonts w:cs="Arial" w:hint="cs"/>
          <w:rtl/>
        </w:rPr>
        <w:t>'</w:t>
      </w:r>
      <w:r w:rsidRPr="004B7A9C">
        <w:rPr>
          <w:rFonts w:cs="Arial"/>
          <w:rtl/>
        </w:rPr>
        <w:t xml:space="preserve"> ה"ק דרווחא דעבודת המלך נפיש מרווחא דפועלים</w:t>
      </w:r>
      <w:r>
        <w:rPr>
          <w:rFonts w:cs="Arial" w:hint="cs"/>
          <w:rtl/>
        </w:rPr>
        <w:t>, ר"ן (כו. ד"ה גרסינן, הדרכ"מ [אות ג] הביא חלק מדבריו)</w:t>
      </w:r>
      <w:r>
        <w:rPr>
          <w:rFonts w:hint="cs"/>
          <w:rtl/>
        </w:rPr>
        <w:t>.</w:t>
      </w:r>
    </w:p>
  </w:footnote>
  <w:footnote w:id="471">
    <w:p w14:paraId="47A527AD" w14:textId="77777777" w:rsidR="00DE2F5F" w:rsidRDefault="00DE2F5F" w:rsidP="00A06E0D">
      <w:pPr>
        <w:pStyle w:val="a5"/>
      </w:pPr>
      <w:r>
        <w:rPr>
          <w:rStyle w:val="a7"/>
        </w:rPr>
        <w:footnoteRef/>
      </w:r>
      <w:r>
        <w:rPr>
          <w:rtl/>
        </w:rPr>
        <w:t xml:space="preserve"> </w:t>
      </w:r>
      <w:r w:rsidRPr="00CB1695">
        <w:rPr>
          <w:rFonts w:cs="Arial"/>
          <w:rtl/>
        </w:rPr>
        <w:t>נישאת לו כשהוא חמר מהו ליעשות גמל שלא ברשות הרווחה עדיפא לה שיתעשר או עונה עדיפא לה</w:t>
      </w:r>
      <w:r>
        <w:rPr>
          <w:rFonts w:cs="Arial" w:hint="cs"/>
          <w:rtl/>
        </w:rPr>
        <w:t>, רש"י.</w:t>
      </w:r>
    </w:p>
  </w:footnote>
  <w:footnote w:id="472">
    <w:p w14:paraId="25EFEC38" w14:textId="77777777" w:rsidR="00DE2F5F" w:rsidRDefault="00DE2F5F" w:rsidP="00A06E0D">
      <w:pPr>
        <w:pStyle w:val="a5"/>
      </w:pPr>
      <w:r>
        <w:rPr>
          <w:rStyle w:val="a7"/>
        </w:rPr>
        <w:footnoteRef/>
      </w:r>
      <w:r>
        <w:rPr>
          <w:rtl/>
        </w:rPr>
        <w:t xml:space="preserve"> </w:t>
      </w:r>
      <w:r w:rsidRPr="00CB1695">
        <w:rPr>
          <w:rFonts w:cs="Arial"/>
          <w:rtl/>
        </w:rPr>
        <w:t>להיות בעלה עמה</w:t>
      </w:r>
      <w:r>
        <w:rPr>
          <w:rFonts w:cs="Arial" w:hint="cs"/>
          <w:rtl/>
        </w:rPr>
        <w:t>, רש"י.</w:t>
      </w:r>
    </w:p>
  </w:footnote>
  <w:footnote w:id="473">
    <w:p w14:paraId="0045E80E" w14:textId="77777777" w:rsidR="00DE2F5F" w:rsidRDefault="00DE2F5F" w:rsidP="00A06E0D">
      <w:pPr>
        <w:pStyle w:val="a5"/>
      </w:pPr>
      <w:r>
        <w:rPr>
          <w:rStyle w:val="a7"/>
        </w:rPr>
        <w:footnoteRef/>
      </w:r>
      <w:r>
        <w:rPr>
          <w:rtl/>
        </w:rPr>
        <w:t xml:space="preserve"> </w:t>
      </w:r>
      <w:r w:rsidRPr="00CB1695">
        <w:rPr>
          <w:rFonts w:cs="Arial"/>
          <w:rtl/>
        </w:rPr>
        <w:t>להתעשר</w:t>
      </w:r>
      <w:r>
        <w:rPr>
          <w:rFonts w:cs="Arial" w:hint="cs"/>
          <w:rtl/>
        </w:rPr>
        <w:t>, רש"י.</w:t>
      </w:r>
    </w:p>
  </w:footnote>
  <w:footnote w:id="474">
    <w:p w14:paraId="356CF4CD" w14:textId="7300877F" w:rsidR="00DE2F5F" w:rsidRDefault="00DE2F5F">
      <w:pPr>
        <w:pStyle w:val="a5"/>
        <w:rPr>
          <w:rtl/>
        </w:rPr>
      </w:pPr>
      <w:r>
        <w:rPr>
          <w:rStyle w:val="a7"/>
        </w:rPr>
        <w:footnoteRef/>
      </w:r>
      <w:r>
        <w:rPr>
          <w:rtl/>
        </w:rPr>
        <w:t xml:space="preserve"> </w:t>
      </w:r>
      <w:r w:rsidRPr="00AC2446">
        <w:rPr>
          <w:rFonts w:cs="Arial"/>
          <w:rtl/>
        </w:rPr>
        <w:t>ולי נראה דכיון דלית כאן אלא אורחא דמילתא והא קא יהבי רשות עבדינן להקל כרב</w:t>
      </w:r>
      <w:r>
        <w:rPr>
          <w:rFonts w:cs="Arial" w:hint="cs"/>
          <w:rtl/>
        </w:rPr>
        <w:t>, רא"ש (שם).</w:t>
      </w:r>
    </w:p>
  </w:footnote>
  <w:footnote w:id="475">
    <w:p w14:paraId="27963F51" w14:textId="360F3D11" w:rsidR="00DE2F5F" w:rsidRDefault="00DE2F5F">
      <w:pPr>
        <w:pStyle w:val="a5"/>
      </w:pPr>
      <w:r>
        <w:rPr>
          <w:rStyle w:val="a7"/>
        </w:rPr>
        <w:footnoteRef/>
      </w:r>
      <w:r>
        <w:rPr>
          <w:rtl/>
        </w:rPr>
        <w:t xml:space="preserve"> </w:t>
      </w:r>
      <w:r>
        <w:rPr>
          <w:rFonts w:cs="Arial" w:hint="cs"/>
          <w:rtl/>
        </w:rPr>
        <w:t>כ</w:t>
      </w:r>
      <w:r w:rsidRPr="00497C61">
        <w:rPr>
          <w:rFonts w:cs="Arial"/>
          <w:rtl/>
        </w:rPr>
        <w:t>הני רבנן דנפקי טובא</w:t>
      </w:r>
      <w:r>
        <w:rPr>
          <w:rFonts w:cs="Arial" w:hint="cs"/>
          <w:rtl/>
        </w:rPr>
        <w:t>...</w:t>
      </w:r>
      <w:r w:rsidRPr="00497C61">
        <w:rPr>
          <w:rFonts w:cs="Arial"/>
          <w:rtl/>
        </w:rPr>
        <w:t xml:space="preserve"> לפי שהיתה תורתן אומנתן ולא חשו לאורחא דמילתא</w:t>
      </w:r>
      <w:r>
        <w:rPr>
          <w:rFonts w:cs="Arial" w:hint="cs"/>
          <w:rtl/>
        </w:rPr>
        <w:t>, ראב"ד (כ"כ הרא"ש בשמו).</w:t>
      </w:r>
    </w:p>
  </w:footnote>
  <w:footnote w:id="476">
    <w:p w14:paraId="7138E1F3" w14:textId="440FA359" w:rsidR="00DE2F5F" w:rsidRDefault="00DE2F5F" w:rsidP="001374E9">
      <w:pPr>
        <w:pStyle w:val="a5"/>
      </w:pPr>
      <w:r>
        <w:rPr>
          <w:rStyle w:val="a7"/>
        </w:rPr>
        <w:footnoteRef/>
      </w:r>
      <w:r>
        <w:rPr>
          <w:rtl/>
        </w:rPr>
        <w:t xml:space="preserve"> </w:t>
      </w:r>
      <w:r w:rsidRPr="001E2E22">
        <w:rPr>
          <w:rFonts w:cs="Arial"/>
          <w:rtl/>
        </w:rPr>
        <w:t>כרב אדא בר אהבה מדקאמר סמכי רבנן אדרב אדא בר אהבה וקא עבדי עובדא בנפשייהו</w:t>
      </w:r>
      <w:r>
        <w:rPr>
          <w:rFonts w:cs="Arial" w:hint="cs"/>
          <w:rtl/>
        </w:rPr>
        <w:t xml:space="preserve">, </w:t>
      </w:r>
      <w:r w:rsidRPr="00F2071A">
        <w:rPr>
          <w:rFonts w:cs="Arial" w:hint="cs"/>
          <w:b/>
          <w:bCs/>
          <w:rtl/>
        </w:rPr>
        <w:t>רמ"ה</w:t>
      </w:r>
      <w:r>
        <w:rPr>
          <w:rFonts w:cs="Arial" w:hint="cs"/>
          <w:rtl/>
        </w:rPr>
        <w:t xml:space="preserve"> (כ"כ הרא"ש בשמו [שם]).</w:t>
      </w:r>
      <w:r w:rsidRPr="00A74239">
        <w:rPr>
          <w:rFonts w:cs="Arial" w:hint="cs"/>
          <w:rtl/>
        </w:rPr>
        <w:t xml:space="preserve"> </w:t>
      </w:r>
      <w:r w:rsidR="00F2071A">
        <w:rPr>
          <w:rFonts w:cs="Arial" w:hint="cs"/>
          <w:rtl/>
        </w:rPr>
        <w:t xml:space="preserve">   </w:t>
      </w:r>
      <w:r>
        <w:rPr>
          <w:rFonts w:cs="Arial" w:hint="cs"/>
          <w:rtl/>
        </w:rPr>
        <w:t>ו</w:t>
      </w:r>
      <w:r w:rsidRPr="001E2E22">
        <w:rPr>
          <w:rFonts w:cs="Arial"/>
          <w:rtl/>
        </w:rPr>
        <w:t>אע"ג דהלכתא הכי לא מיבעי לעגוני לנפשייהו כולי האי</w:t>
      </w:r>
      <w:r>
        <w:rPr>
          <w:rFonts w:cs="Arial" w:hint="cs"/>
          <w:rtl/>
        </w:rPr>
        <w:t>,</w:t>
      </w:r>
      <w:r w:rsidRPr="001E2E22">
        <w:rPr>
          <w:rFonts w:cs="Arial"/>
          <w:rtl/>
        </w:rPr>
        <w:t xml:space="preserve"> דמתוך שדמעתה מצויה אונאתה קרובה</w:t>
      </w:r>
      <w:r>
        <w:rPr>
          <w:rFonts w:cs="Arial" w:hint="cs"/>
          <w:rtl/>
        </w:rPr>
        <w:t>,</w:t>
      </w:r>
      <w:r w:rsidRPr="001E2E22">
        <w:rPr>
          <w:rFonts w:cs="Arial"/>
          <w:rtl/>
        </w:rPr>
        <w:t xml:space="preserve"> ודמיא להא דאמרי' לעיל דאורחא דמילתא בכמה דאע"ג דיהבא ליה רשותא עצה טובה קמ"ל שלא יעגנה אע</w:t>
      </w:r>
      <w:r w:rsidR="00F2071A">
        <w:rPr>
          <w:rFonts w:cs="Arial" w:hint="cs"/>
          <w:rtl/>
        </w:rPr>
        <w:t>"</w:t>
      </w:r>
      <w:r w:rsidRPr="001E2E22">
        <w:rPr>
          <w:rFonts w:cs="Arial"/>
          <w:rtl/>
        </w:rPr>
        <w:t>פ שהוא ברשות</w:t>
      </w:r>
      <w:r>
        <w:rPr>
          <w:rFonts w:cs="Arial" w:hint="cs"/>
          <w:rtl/>
        </w:rPr>
        <w:t xml:space="preserve">, </w:t>
      </w:r>
      <w:r w:rsidRPr="00F2071A">
        <w:rPr>
          <w:rFonts w:cs="Arial" w:hint="cs"/>
          <w:b/>
          <w:bCs/>
          <w:rtl/>
        </w:rPr>
        <w:t>רא"ש</w:t>
      </w:r>
      <w:r>
        <w:rPr>
          <w:rFonts w:cs="Arial" w:hint="cs"/>
          <w:rtl/>
        </w:rPr>
        <w:t xml:space="preserve"> (שם)</w:t>
      </w:r>
      <w:r w:rsidR="00F2071A">
        <w:rPr>
          <w:rFonts w:cs="Arial" w:hint="cs"/>
          <w:rtl/>
        </w:rPr>
        <w:t>.</w:t>
      </w:r>
      <w:r>
        <w:rPr>
          <w:rFonts w:cs="Arial" w:hint="cs"/>
          <w:rtl/>
        </w:rPr>
        <w:t xml:space="preserve"> ו</w:t>
      </w:r>
      <w:r w:rsidR="00F2071A">
        <w:rPr>
          <w:rFonts w:cs="Arial" w:hint="cs"/>
          <w:rtl/>
        </w:rPr>
        <w:t>כ"כ ה</w:t>
      </w:r>
      <w:r>
        <w:rPr>
          <w:rFonts w:cs="Arial" w:hint="cs"/>
          <w:rtl/>
        </w:rPr>
        <w:t>טור.</w:t>
      </w:r>
      <w:r w:rsidRPr="001E2E22">
        <w:rPr>
          <w:rFonts w:cs="Arial"/>
          <w:rtl/>
        </w:rPr>
        <w:t xml:space="preserve"> </w:t>
      </w:r>
      <w:r w:rsidR="00F2071A">
        <w:rPr>
          <w:rFonts w:cs="Arial" w:hint="cs"/>
          <w:rtl/>
        </w:rPr>
        <w:t xml:space="preserve">   </w:t>
      </w:r>
      <w:r>
        <w:rPr>
          <w:rFonts w:cs="Arial" w:hint="cs"/>
          <w:rtl/>
        </w:rPr>
        <w:t>ו</w:t>
      </w:r>
      <w:r>
        <w:rPr>
          <w:rFonts w:cs="Arial"/>
          <w:rtl/>
        </w:rPr>
        <w:t>איפשר דמהא דהיו נענשים קאמר לה</w:t>
      </w:r>
      <w:r>
        <w:rPr>
          <w:rFonts w:cs="Arial" w:hint="cs"/>
          <w:sz w:val="16"/>
          <w:szCs w:val="16"/>
          <w:rtl/>
        </w:rPr>
        <w:t xml:space="preserve"> {הרא"ש והטור}</w:t>
      </w:r>
      <w:r>
        <w:rPr>
          <w:rFonts w:cs="Arial" w:hint="cs"/>
          <w:rtl/>
        </w:rPr>
        <w:t xml:space="preserve">, </w:t>
      </w:r>
      <w:r w:rsidRPr="00F2071A">
        <w:rPr>
          <w:rFonts w:cs="Arial" w:hint="cs"/>
          <w:b/>
          <w:bCs/>
          <w:rtl/>
        </w:rPr>
        <w:t>ב"י</w:t>
      </w:r>
      <w:r>
        <w:rPr>
          <w:rFonts w:cs="Arial" w:hint="cs"/>
          <w:rtl/>
        </w:rPr>
        <w:t>.</w:t>
      </w:r>
    </w:p>
  </w:footnote>
  <w:footnote w:id="477">
    <w:p w14:paraId="55AA5F37" w14:textId="241BE692" w:rsidR="00DE2F5F" w:rsidRDefault="00DE2F5F">
      <w:pPr>
        <w:pStyle w:val="a5"/>
      </w:pPr>
      <w:r>
        <w:rPr>
          <w:rStyle w:val="a7"/>
        </w:rPr>
        <w:footnoteRef/>
      </w:r>
      <w:r>
        <w:rPr>
          <w:rtl/>
        </w:rPr>
        <w:t xml:space="preserve"> </w:t>
      </w:r>
      <w:r>
        <w:rPr>
          <w:rFonts w:cs="Arial"/>
          <w:rtl/>
        </w:rPr>
        <w:t xml:space="preserve">מ"ש רבינו </w:t>
      </w:r>
      <w:r w:rsidR="007160B6">
        <w:rPr>
          <w:rFonts w:cs="Arial" w:hint="cs"/>
          <w:rtl/>
        </w:rPr>
        <w:t>"</w:t>
      </w:r>
      <w:r>
        <w:rPr>
          <w:rFonts w:cs="Arial"/>
          <w:rtl/>
        </w:rPr>
        <w:t>דכיון שהוא אצלה תמיד וגם חוזר ללמוד תורה אינה מקפדת</w:t>
      </w:r>
      <w:r w:rsidR="007160B6">
        <w:rPr>
          <w:rFonts w:cs="Arial" w:hint="cs"/>
          <w:rtl/>
        </w:rPr>
        <w:t>"</w:t>
      </w:r>
      <w:r>
        <w:rPr>
          <w:rFonts w:cs="Arial"/>
          <w:rtl/>
        </w:rPr>
        <w:t xml:space="preserve"> הם דברי עצמו</w:t>
      </w:r>
      <w:r>
        <w:rPr>
          <w:rFonts w:cs="Arial" w:hint="cs"/>
          <w:rtl/>
        </w:rPr>
        <w:t>,</w:t>
      </w:r>
      <w:r>
        <w:rPr>
          <w:rFonts w:cs="Arial"/>
          <w:rtl/>
        </w:rPr>
        <w:t xml:space="preserve"> לומר דאפילו למאן דפסק כרבי אליעזר רשאי</w:t>
      </w:r>
      <w:r>
        <w:rPr>
          <w:rFonts w:cs="Arial" w:hint="cs"/>
          <w:rtl/>
        </w:rPr>
        <w:t>,</w:t>
      </w:r>
      <w:r>
        <w:rPr>
          <w:rFonts w:cs="Arial"/>
          <w:rtl/>
        </w:rPr>
        <w:t xml:space="preserve"> אבל למאן דפסק כחכמים נראה דאפילו ה</w:t>
      </w:r>
      <w:r>
        <w:rPr>
          <w:rFonts w:cs="Arial" w:hint="cs"/>
          <w:rtl/>
        </w:rPr>
        <w:t>ו</w:t>
      </w:r>
      <w:r>
        <w:rPr>
          <w:rFonts w:cs="Arial"/>
          <w:rtl/>
        </w:rPr>
        <w:t>לך ללמוד חוץ לעיר רשאי</w:t>
      </w:r>
      <w:r>
        <w:rPr>
          <w:rFonts w:cs="Arial" w:hint="cs"/>
          <w:rtl/>
        </w:rPr>
        <w:t>,</w:t>
      </w:r>
      <w:r>
        <w:rPr>
          <w:rFonts w:cs="Arial"/>
          <w:rtl/>
        </w:rPr>
        <w:t xml:space="preserve"> וזהו שלא הזכיר הרמב"ם טעם בדבר אלא סתם וכתב אין אשתו יכולה לעכב</w:t>
      </w:r>
      <w:r>
        <w:rPr>
          <w:rFonts w:cs="Arial" w:hint="cs"/>
          <w:rtl/>
        </w:rPr>
        <w:t>, ב"י.</w:t>
      </w:r>
    </w:p>
  </w:footnote>
  <w:footnote w:id="478">
    <w:p w14:paraId="0751B809" w14:textId="38B2B441" w:rsidR="00DE2F5F" w:rsidRDefault="00DE2F5F">
      <w:pPr>
        <w:pStyle w:val="a5"/>
      </w:pPr>
      <w:r>
        <w:rPr>
          <w:rStyle w:val="a7"/>
        </w:rPr>
        <w:footnoteRef/>
      </w:r>
      <w:r>
        <w:rPr>
          <w:rtl/>
        </w:rPr>
        <w:t xml:space="preserve"> </w:t>
      </w:r>
      <w:r w:rsidRPr="00457983">
        <w:rPr>
          <w:rFonts w:cs="Arial"/>
          <w:rtl/>
        </w:rPr>
        <w:t>זה פשוט</w:t>
      </w:r>
      <w:r>
        <w:rPr>
          <w:rFonts w:cs="Arial" w:hint="cs"/>
          <w:rtl/>
        </w:rPr>
        <w:t>,</w:t>
      </w:r>
      <w:r w:rsidRPr="00457983">
        <w:rPr>
          <w:rFonts w:cs="Arial"/>
          <w:rtl/>
        </w:rPr>
        <w:t xml:space="preserve"> וכבר הזכרתי (פי"ד ה"ב) שאמרו בפרק אף על פי (סא:) ברשות כמה דבעי. במה דברים אמורים וכו' ביאר רבינו שמצות פריה ורביה ומצות עונה הם ב' דברים ואין זו תלויה בזו</w:t>
      </w:r>
      <w:r>
        <w:rPr>
          <w:rFonts w:cs="Arial" w:hint="cs"/>
          <w:rtl/>
        </w:rPr>
        <w:t>, הה"מ (שם).</w:t>
      </w:r>
    </w:p>
  </w:footnote>
  <w:footnote w:id="479">
    <w:p w14:paraId="40B8DAF6" w14:textId="05B6B3DA" w:rsidR="00DE2F5F" w:rsidRDefault="00DE2F5F">
      <w:pPr>
        <w:pStyle w:val="a5"/>
      </w:pPr>
      <w:r>
        <w:rPr>
          <w:rStyle w:val="a7"/>
        </w:rPr>
        <w:footnoteRef/>
      </w:r>
      <w:r>
        <w:rPr>
          <w:rtl/>
        </w:rPr>
        <w:t xml:space="preserve"> </w:t>
      </w:r>
      <w:r w:rsidRPr="008000C2">
        <w:rPr>
          <w:rFonts w:cs="Arial"/>
          <w:rtl/>
        </w:rPr>
        <w:t>עיין במל"מ פט"ו מה"א דין א' שכ' דמשמע דקודם נישואין לא מהני רשות' כו' עש"ב</w:t>
      </w:r>
      <w:r>
        <w:rPr>
          <w:rFonts w:cs="Arial" w:hint="cs"/>
          <w:rtl/>
        </w:rPr>
        <w:t>, פת"ש (סק"ה).</w:t>
      </w:r>
    </w:p>
  </w:footnote>
  <w:footnote w:id="480">
    <w:p w14:paraId="689EC49E" w14:textId="7600CBB9" w:rsidR="00032D16" w:rsidRDefault="00032D16">
      <w:pPr>
        <w:pStyle w:val="a5"/>
      </w:pPr>
      <w:r>
        <w:rPr>
          <w:rStyle w:val="a7"/>
        </w:rPr>
        <w:footnoteRef/>
      </w:r>
      <w:r>
        <w:rPr>
          <w:rtl/>
        </w:rPr>
        <w:t xml:space="preserve"> </w:t>
      </w:r>
      <w:r>
        <w:rPr>
          <w:rFonts w:hint="cs"/>
          <w:rtl/>
        </w:rPr>
        <w:t>סימן - משיאין ד'.</w:t>
      </w:r>
    </w:p>
  </w:footnote>
  <w:footnote w:id="481">
    <w:p w14:paraId="7BAA11B4" w14:textId="0F04FF45" w:rsidR="00DE2F5F" w:rsidRDefault="00DE2F5F">
      <w:pPr>
        <w:pStyle w:val="a5"/>
        <w:rPr>
          <w:rtl/>
        </w:rPr>
      </w:pPr>
      <w:r>
        <w:rPr>
          <w:rStyle w:val="a7"/>
        </w:rPr>
        <w:footnoteRef/>
      </w:r>
      <w:r>
        <w:rPr>
          <w:rtl/>
        </w:rPr>
        <w:t xml:space="preserve"> </w:t>
      </w:r>
      <w:r w:rsidRPr="00D54221">
        <w:rPr>
          <w:rFonts w:cs="Arial"/>
          <w:rtl/>
        </w:rPr>
        <w:t>בתמיה ובמה יפרנס כולן</w:t>
      </w:r>
      <w:r>
        <w:rPr>
          <w:rFonts w:hint="cs"/>
          <w:rtl/>
        </w:rPr>
        <w:t>, רש"י.</w:t>
      </w:r>
    </w:p>
  </w:footnote>
  <w:footnote w:id="482">
    <w:p w14:paraId="19AA24FE" w14:textId="2E21DD23" w:rsidR="00DE2F5F" w:rsidRDefault="00DE2F5F">
      <w:pPr>
        <w:pStyle w:val="a5"/>
      </w:pPr>
      <w:r>
        <w:rPr>
          <w:rStyle w:val="a7"/>
        </w:rPr>
        <w:footnoteRef/>
      </w:r>
      <w:r>
        <w:rPr>
          <w:rtl/>
        </w:rPr>
        <w:t xml:space="preserve"> </w:t>
      </w:r>
      <w:r w:rsidRPr="00D54221">
        <w:rPr>
          <w:rFonts w:cs="Arial"/>
          <w:rtl/>
        </w:rPr>
        <w:t>שעשיר הוא ויכול לזונן</w:t>
      </w:r>
      <w:r>
        <w:rPr>
          <w:rFonts w:cs="Arial" w:hint="cs"/>
          <w:rtl/>
        </w:rPr>
        <w:t>, רש"י.</w:t>
      </w:r>
    </w:p>
  </w:footnote>
  <w:footnote w:id="483">
    <w:p w14:paraId="3A833317" w14:textId="545D570A" w:rsidR="00DE2F5F" w:rsidRDefault="00DE2F5F">
      <w:pPr>
        <w:pStyle w:val="a5"/>
      </w:pPr>
      <w:r>
        <w:rPr>
          <w:rStyle w:val="a7"/>
        </w:rPr>
        <w:footnoteRef/>
      </w:r>
      <w:r>
        <w:rPr>
          <w:rtl/>
        </w:rPr>
        <w:t xml:space="preserve"> </w:t>
      </w:r>
      <w:r w:rsidRPr="00D54221">
        <w:rPr>
          <w:rFonts w:cs="Arial"/>
          <w:rtl/>
        </w:rPr>
        <w:t>עונה של ת"ח מערב שבת לערב שבת וזהו אשר פריו יתן בעתו בכתובות (סב:)</w:t>
      </w:r>
      <w:r>
        <w:rPr>
          <w:rFonts w:cs="Arial" w:hint="cs"/>
          <w:rtl/>
        </w:rPr>
        <w:t>,</w:t>
      </w:r>
      <w:r w:rsidRPr="00D54221">
        <w:rPr>
          <w:rFonts w:cs="Arial"/>
          <w:rtl/>
        </w:rPr>
        <w:t xml:space="preserve"> דמטי לכל חדא עונה בחדש</w:t>
      </w:r>
      <w:r>
        <w:rPr>
          <w:rFonts w:cs="Arial" w:hint="cs"/>
          <w:rtl/>
        </w:rPr>
        <w:t>, רש"י.</w:t>
      </w:r>
    </w:p>
  </w:footnote>
  <w:footnote w:id="484">
    <w:p w14:paraId="6749E210" w14:textId="335E0B0A" w:rsidR="00DE2F5F" w:rsidRDefault="00DE2F5F">
      <w:pPr>
        <w:pStyle w:val="a5"/>
        <w:rPr>
          <w:rtl/>
        </w:rPr>
      </w:pPr>
      <w:r>
        <w:rPr>
          <w:rStyle w:val="a7"/>
        </w:rPr>
        <w:footnoteRef/>
      </w:r>
      <w:r>
        <w:rPr>
          <w:rtl/>
        </w:rPr>
        <w:t xml:space="preserve"> </w:t>
      </w:r>
      <w:r w:rsidRPr="00457983">
        <w:rPr>
          <w:rFonts w:cs="Arial"/>
          <w:rtl/>
        </w:rPr>
        <w:t>וחרם זה דר"ג לא פשט בכל המקומות שהרי כתב הרשב"א בתשובה (ח"ג סי' תמו) שתקנת רבינו גרשום לא פשטה בארצו</w:t>
      </w:r>
      <w:r>
        <w:rPr>
          <w:rFonts w:cs="Arial" w:hint="cs"/>
          <w:rtl/>
        </w:rPr>
        <w:t>.</w:t>
      </w:r>
      <w:r w:rsidRPr="00457983">
        <w:rPr>
          <w:rFonts w:cs="Arial"/>
          <w:rtl/>
        </w:rPr>
        <w:t xml:space="preserve"> וגם במקומות שפשטה אין לכוף מטעם חרם ר"ג שהרי כתב מהרי"ק בסימן ק"א (ענף ד) שלא גזר ר"ג אלא עד סוף האלף החמשי וכבר כתבתי כל זה בסימן א' (ג:) ועיין שם</w:t>
      </w:r>
      <w:r>
        <w:rPr>
          <w:rFonts w:cs="Arial" w:hint="cs"/>
          <w:rtl/>
        </w:rPr>
        <w:t>, ב"י.</w:t>
      </w:r>
    </w:p>
  </w:footnote>
  <w:footnote w:id="485">
    <w:p w14:paraId="62C58AE5" w14:textId="7164D28C" w:rsidR="000E2114" w:rsidRDefault="000E2114">
      <w:pPr>
        <w:pStyle w:val="a5"/>
      </w:pPr>
      <w:r>
        <w:rPr>
          <w:rStyle w:val="a7"/>
        </w:rPr>
        <w:footnoteRef/>
      </w:r>
      <w:r>
        <w:rPr>
          <w:rtl/>
        </w:rPr>
        <w:t xml:space="preserve"> </w:t>
      </w:r>
      <w:r>
        <w:rPr>
          <w:rFonts w:hint="cs"/>
          <w:rtl/>
        </w:rPr>
        <w:t>סימן - בת בסלו.</w:t>
      </w:r>
    </w:p>
  </w:footnote>
  <w:footnote w:id="486">
    <w:p w14:paraId="3C58DF98" w14:textId="32DF09F1" w:rsidR="00DE2F5F" w:rsidRDefault="00DE2F5F">
      <w:pPr>
        <w:pStyle w:val="a5"/>
        <w:rPr>
          <w:rtl/>
        </w:rPr>
      </w:pPr>
      <w:r>
        <w:rPr>
          <w:rStyle w:val="a7"/>
        </w:rPr>
        <w:footnoteRef/>
      </w:r>
      <w:r>
        <w:rPr>
          <w:rtl/>
        </w:rPr>
        <w:t xml:space="preserve"> </w:t>
      </w:r>
      <w:r w:rsidRPr="00802B62">
        <w:rPr>
          <w:rFonts w:cs="Arial"/>
          <w:sz w:val="22"/>
          <w:szCs w:val="22"/>
          <w:rtl/>
        </w:rPr>
        <w:t>וידוע דהלכה כבית הלל</w:t>
      </w:r>
      <w:r w:rsidRPr="00802B62">
        <w:rPr>
          <w:rFonts w:cs="Arial" w:hint="cs"/>
          <w:sz w:val="22"/>
          <w:szCs w:val="22"/>
          <w:rtl/>
        </w:rPr>
        <w:t>, ב"י</w:t>
      </w:r>
      <w:r>
        <w:rPr>
          <w:rFonts w:hint="cs"/>
          <w:rtl/>
        </w:rPr>
        <w:t>.</w:t>
      </w:r>
    </w:p>
  </w:footnote>
  <w:footnote w:id="487">
    <w:p w14:paraId="656828DA" w14:textId="77777777" w:rsidR="00DE2F5F" w:rsidRDefault="00DE2F5F" w:rsidP="00D51558">
      <w:pPr>
        <w:pStyle w:val="a5"/>
      </w:pPr>
      <w:r>
        <w:rPr>
          <w:rStyle w:val="a7"/>
        </w:rPr>
        <w:footnoteRef/>
      </w:r>
      <w:r>
        <w:rPr>
          <w:rtl/>
        </w:rPr>
        <w:t xml:space="preserve"> </w:t>
      </w:r>
      <w:r w:rsidRPr="00CB1695">
        <w:rPr>
          <w:rFonts w:cs="Arial"/>
          <w:rtl/>
        </w:rPr>
        <w:t>תנא דסתם לעיל המדיר את אשתו בית הלל אומרים שבת אחת אין לו לומר זאת לא בספן ולא בגמל ולא בחמר ולא בתלמידי חכמים שהרי אף החמר עונתו אחת בשבת ובשביל יום אחד יוציא ויתן כתובה הרי עונתו משבעה לשבעה וכ"ש גמל וספן אין בכלל הזה אלא טייל ופועל העושה מלאכה בעירו שדרכו לשמש שתים בשבת</w:t>
      </w:r>
      <w:r>
        <w:rPr>
          <w:rFonts w:cs="Arial" w:hint="cs"/>
          <w:rtl/>
        </w:rPr>
        <w:t>, רש"י.</w:t>
      </w:r>
    </w:p>
  </w:footnote>
  <w:footnote w:id="488">
    <w:p w14:paraId="67F4175F" w14:textId="77777777" w:rsidR="00DE2F5F" w:rsidRDefault="00DE2F5F" w:rsidP="00D51558">
      <w:pPr>
        <w:pStyle w:val="a5"/>
        <w:rPr>
          <w:rtl/>
        </w:rPr>
      </w:pPr>
      <w:r>
        <w:rPr>
          <w:rStyle w:val="a7"/>
        </w:rPr>
        <w:footnoteRef/>
      </w:r>
      <w:r>
        <w:rPr>
          <w:rtl/>
        </w:rPr>
        <w:t xml:space="preserve"> </w:t>
      </w:r>
      <w:r w:rsidRPr="00CB1695">
        <w:rPr>
          <w:rFonts w:cs="Arial"/>
          <w:rtl/>
        </w:rPr>
        <w:t>נמי קאמר דע"י נדר יתר משבת אחת לא</w:t>
      </w:r>
      <w:r>
        <w:rPr>
          <w:rFonts w:hint="cs"/>
          <w:rtl/>
        </w:rPr>
        <w:t>, רש"י.</w:t>
      </w:r>
    </w:p>
  </w:footnote>
  <w:footnote w:id="489">
    <w:p w14:paraId="1A319219" w14:textId="77777777" w:rsidR="00DE2F5F" w:rsidRDefault="00DE2F5F" w:rsidP="00D51558">
      <w:pPr>
        <w:pStyle w:val="a5"/>
      </w:pPr>
      <w:r>
        <w:rPr>
          <w:rStyle w:val="a7"/>
        </w:rPr>
        <w:footnoteRef/>
      </w:r>
      <w:r>
        <w:rPr>
          <w:rtl/>
        </w:rPr>
        <w:t xml:space="preserve"> </w:t>
      </w:r>
      <w:r w:rsidRPr="00CB1695">
        <w:rPr>
          <w:rFonts w:cs="Arial"/>
          <w:rtl/>
        </w:rPr>
        <w:t>בלא נדר ששה חדשים קאמר בספנים</w:t>
      </w:r>
      <w:r>
        <w:rPr>
          <w:rFonts w:cs="Arial" w:hint="cs"/>
          <w:rtl/>
        </w:rPr>
        <w:t>, רש"י.</w:t>
      </w:r>
    </w:p>
  </w:footnote>
  <w:footnote w:id="490">
    <w:p w14:paraId="7ABE82D9" w14:textId="77777777" w:rsidR="00DE2F5F" w:rsidRDefault="00DE2F5F" w:rsidP="00D51558">
      <w:pPr>
        <w:pStyle w:val="a5"/>
        <w:rPr>
          <w:rtl/>
        </w:rPr>
      </w:pPr>
      <w:r>
        <w:rPr>
          <w:rStyle w:val="a7"/>
        </w:rPr>
        <w:footnoteRef/>
      </w:r>
      <w:r>
        <w:rPr>
          <w:rtl/>
        </w:rPr>
        <w:t xml:space="preserve"> </w:t>
      </w:r>
      <w:r w:rsidRPr="00CB1695">
        <w:rPr>
          <w:rFonts w:cs="Arial"/>
          <w:rtl/>
        </w:rPr>
        <w:t>לענין תענית מי שיש לו כו' אף כאן בלא נדר דעתה נוחה לבעלה שמא יבא בתוך הזמן אבל זו משהדירה הרי היא כמי שאינה מצפה לבעל</w:t>
      </w:r>
      <w:r>
        <w:rPr>
          <w:rFonts w:hint="cs"/>
          <w:rtl/>
        </w:rPr>
        <w:t>, רש"י.</w:t>
      </w:r>
    </w:p>
  </w:footnote>
  <w:footnote w:id="491">
    <w:p w14:paraId="229ECC51" w14:textId="77777777" w:rsidR="00DE2F5F" w:rsidRDefault="00DE2F5F" w:rsidP="00802B62">
      <w:pPr>
        <w:pStyle w:val="a5"/>
      </w:pPr>
      <w:r>
        <w:rPr>
          <w:rStyle w:val="a7"/>
        </w:rPr>
        <w:footnoteRef/>
      </w:r>
      <w:r>
        <w:rPr>
          <w:rtl/>
        </w:rPr>
        <w:t xml:space="preserve"> </w:t>
      </w:r>
      <w:r w:rsidRPr="00650052">
        <w:rPr>
          <w:rFonts w:cs="Arial"/>
          <w:rtl/>
        </w:rPr>
        <w:t>שפירש שלשים יום הוא דלא כפינן ליה להוציא אלא יעמיד פרנס</w:t>
      </w:r>
      <w:r>
        <w:rPr>
          <w:rFonts w:cs="Arial" w:hint="cs"/>
          <w:rtl/>
        </w:rPr>
        <w:t>, רש"י.</w:t>
      </w:r>
    </w:p>
  </w:footnote>
  <w:footnote w:id="492">
    <w:p w14:paraId="4110F48D" w14:textId="77777777" w:rsidR="00DE2F5F" w:rsidRDefault="00DE2F5F" w:rsidP="00802B62">
      <w:pPr>
        <w:pStyle w:val="a5"/>
        <w:rPr>
          <w:rtl/>
        </w:rPr>
      </w:pPr>
      <w:r>
        <w:rPr>
          <w:rStyle w:val="a7"/>
        </w:rPr>
        <w:footnoteRef/>
      </w:r>
      <w:r>
        <w:rPr>
          <w:rtl/>
        </w:rPr>
        <w:t xml:space="preserve"> </w:t>
      </w:r>
      <w:r>
        <w:rPr>
          <w:rFonts w:cs="Arial"/>
          <w:rtl/>
        </w:rPr>
        <w:t>ופסקו הפוסקים כשמואל דהלכתא כוותיה בדיני</w:t>
      </w:r>
      <w:r>
        <w:rPr>
          <w:rFonts w:hint="cs"/>
          <w:rtl/>
        </w:rPr>
        <w:t>, ב"י.</w:t>
      </w:r>
    </w:p>
  </w:footnote>
  <w:footnote w:id="493">
    <w:p w14:paraId="79AA14BF" w14:textId="77777777" w:rsidR="00DE2F5F" w:rsidRDefault="00DE2F5F" w:rsidP="00404BCC">
      <w:pPr>
        <w:pStyle w:val="a5"/>
      </w:pPr>
      <w:r>
        <w:rPr>
          <w:rStyle w:val="a7"/>
        </w:rPr>
        <w:footnoteRef/>
      </w:r>
      <w:r>
        <w:rPr>
          <w:rtl/>
        </w:rPr>
        <w:t xml:space="preserve"> </w:t>
      </w:r>
      <w:r>
        <w:rPr>
          <w:rFonts w:hint="cs"/>
          <w:rtl/>
        </w:rPr>
        <w:t>וכן איתא בפרק בתרא דנדרים.</w:t>
      </w:r>
    </w:p>
  </w:footnote>
  <w:footnote w:id="494">
    <w:p w14:paraId="7E527DA7" w14:textId="79698D78" w:rsidR="00DE2F5F" w:rsidRDefault="00DE2F5F" w:rsidP="002E3F2E">
      <w:pPr>
        <w:pStyle w:val="a5"/>
      </w:pPr>
      <w:r>
        <w:rPr>
          <w:rStyle w:val="a7"/>
        </w:rPr>
        <w:footnoteRef/>
      </w:r>
      <w:r>
        <w:rPr>
          <w:rtl/>
        </w:rPr>
        <w:t xml:space="preserve"> </w:t>
      </w:r>
      <w:r w:rsidRPr="007D3451">
        <w:rPr>
          <w:rFonts w:cs="Arial"/>
          <w:rtl/>
        </w:rPr>
        <w:t>ובהג</w:t>
      </w:r>
      <w:r>
        <w:rPr>
          <w:rFonts w:cs="Arial" w:hint="cs"/>
          <w:rtl/>
        </w:rPr>
        <w:t>מ"ר</w:t>
      </w:r>
      <w:r w:rsidRPr="007D3451">
        <w:rPr>
          <w:rFonts w:cs="Arial"/>
          <w:rtl/>
        </w:rPr>
        <w:t xml:space="preserve"> דכתובות (סי' רפט) דגם התוספת צריך ליתן לה</w:t>
      </w:r>
      <w:r>
        <w:rPr>
          <w:rFonts w:cs="Arial" w:hint="cs"/>
          <w:rtl/>
        </w:rPr>
        <w:t>, דרכ"מ (אות ד).</w:t>
      </w:r>
    </w:p>
  </w:footnote>
  <w:footnote w:id="495">
    <w:p w14:paraId="455FAFBE" w14:textId="77777777" w:rsidR="00DE2F5F" w:rsidRDefault="00DE2F5F" w:rsidP="00B558F2">
      <w:pPr>
        <w:pStyle w:val="a5"/>
        <w:rPr>
          <w:rtl/>
        </w:rPr>
      </w:pPr>
      <w:r>
        <w:rPr>
          <w:rStyle w:val="a7"/>
        </w:rPr>
        <w:footnoteRef/>
      </w:r>
      <w:r>
        <w:rPr>
          <w:rtl/>
        </w:rPr>
        <w:t xml:space="preserve"> </w:t>
      </w:r>
      <w:r w:rsidRPr="007D3451">
        <w:rPr>
          <w:rFonts w:cs="Arial"/>
          <w:rtl/>
        </w:rPr>
        <w:t>ובתשובת מהרי"ו (שו"ת מהר"י ווייל) סימן א' אשה אחת הפצירה בבעלה שלא לשמש עמה ואח"כ בכעס הניח ידו על החומש לישבע שלא לשמש עמה וכשראתה אשתו שכעס הרבה ורצה לישבע מחתה בו ופסק דאפילו הכי השבועה חלה</w:t>
      </w:r>
      <w:r>
        <w:rPr>
          <w:rFonts w:cs="Arial" w:hint="cs"/>
          <w:rtl/>
        </w:rPr>
        <w:t>.</w:t>
      </w:r>
      <w:r w:rsidRPr="007D3451">
        <w:rPr>
          <w:rFonts w:cs="Arial"/>
          <w:rtl/>
        </w:rPr>
        <w:t xml:space="preserve"> והאריך שם בטעם הדבר</w:t>
      </w:r>
      <w:r>
        <w:rPr>
          <w:rFonts w:cs="Arial" w:hint="cs"/>
          <w:rtl/>
        </w:rPr>
        <w:t>, דרכ"מ (אות ו).</w:t>
      </w:r>
    </w:p>
  </w:footnote>
  <w:footnote w:id="496">
    <w:p w14:paraId="74EC1822" w14:textId="0C13365B" w:rsidR="00DE2F5F" w:rsidRDefault="00DE2F5F" w:rsidP="00534510">
      <w:pPr>
        <w:pStyle w:val="a5"/>
      </w:pPr>
      <w:r>
        <w:rPr>
          <w:rStyle w:val="a7"/>
        </w:rPr>
        <w:footnoteRef/>
      </w:r>
      <w:r>
        <w:rPr>
          <w:rtl/>
        </w:rPr>
        <w:t xml:space="preserve"> </w:t>
      </w:r>
      <w:r w:rsidRPr="007D3451">
        <w:rPr>
          <w:rFonts w:cs="Arial"/>
          <w:rtl/>
        </w:rPr>
        <w:t>ובהגהות אלפסי פרק אף על פי (כו. אות א) כתב ונראה בעיני שאם היה מחמת חולי הראוי לרפואה צריכה להמתין לו עד שיתרפא עכ"ל</w:t>
      </w:r>
      <w:r>
        <w:rPr>
          <w:rFonts w:cs="Arial" w:hint="cs"/>
          <w:rtl/>
        </w:rPr>
        <w:t>, דרכ"מ (אות ז).</w:t>
      </w:r>
    </w:p>
  </w:footnote>
  <w:footnote w:id="497">
    <w:p w14:paraId="16164E94" w14:textId="6932E6C4" w:rsidR="00DE2F5F" w:rsidRDefault="00DE2F5F">
      <w:pPr>
        <w:pStyle w:val="a5"/>
      </w:pPr>
      <w:r>
        <w:rPr>
          <w:rStyle w:val="a7"/>
        </w:rPr>
        <w:footnoteRef/>
      </w:r>
      <w:r>
        <w:rPr>
          <w:rtl/>
        </w:rPr>
        <w:t xml:space="preserve"> </w:t>
      </w:r>
      <w:r>
        <w:rPr>
          <w:rFonts w:cs="Arial"/>
          <w:rtl/>
        </w:rPr>
        <w:t>וכתב הרי"ף (לב:) פירוש אמר לה בשעת תשמיש שתתהפך כדי שתנפץ שכבת זרע ולא תתעבר</w:t>
      </w:r>
      <w:r>
        <w:rPr>
          <w:rFonts w:cs="Arial" w:hint="cs"/>
          <w:rtl/>
        </w:rPr>
        <w:t>, ב"י.</w:t>
      </w:r>
    </w:p>
  </w:footnote>
  <w:footnote w:id="498">
    <w:p w14:paraId="2746C4E7" w14:textId="66A7E06E" w:rsidR="00DE2F5F" w:rsidRDefault="00DE2F5F">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8D7E9D">
        <w:rPr>
          <w:rFonts w:cs="Arial"/>
          <w:rtl/>
        </w:rPr>
        <w:t>המדיר את אשתו שתאמר לאחרים מה שאמר לה או מה שאמרה לו מדברי שחוק וקלות ראש שמדבר אדם עם אשתו על עסקי תשמיש הרי זה יוציא ויתן כתובה שאין זו יכולה להעיז פניה ולומר לאחרים דברי קלון, וכן אם הדירה שתהיה מתהפכת בשעת תשמיש כדי שלא תתעבר, או שהדירה שתעשה מעשה שוטים ודברים שאין בהן ממש אלא כשטות, הרי זה יוציא ויתן כתובה.</w:t>
      </w:r>
    </w:p>
  </w:footnote>
  <w:footnote w:id="499">
    <w:p w14:paraId="3276F5F2" w14:textId="23363833" w:rsidR="00DE2F5F" w:rsidRDefault="00DE2F5F">
      <w:pPr>
        <w:pStyle w:val="a5"/>
        <w:rPr>
          <w:rtl/>
        </w:rPr>
      </w:pPr>
      <w:r>
        <w:rPr>
          <w:rStyle w:val="a7"/>
        </w:rPr>
        <w:footnoteRef/>
      </w:r>
      <w:r>
        <w:rPr>
          <w:rtl/>
        </w:rPr>
        <w:t xml:space="preserve"> </w:t>
      </w:r>
      <w:r>
        <w:rPr>
          <w:rFonts w:cs="Arial"/>
          <w:rtl/>
        </w:rPr>
        <w:t>ע</w:t>
      </w:r>
      <w:r>
        <w:rPr>
          <w:rFonts w:cs="Arial" w:hint="cs"/>
          <w:rtl/>
        </w:rPr>
        <w:t xml:space="preserve">ל </w:t>
      </w:r>
      <w:r>
        <w:rPr>
          <w:rFonts w:cs="Arial"/>
          <w:rtl/>
        </w:rPr>
        <w:t>כ</w:t>
      </w:r>
      <w:r>
        <w:rPr>
          <w:rFonts w:cs="Arial" w:hint="cs"/>
          <w:rtl/>
        </w:rPr>
        <w:t>רחך</w:t>
      </w:r>
      <w:r>
        <w:rPr>
          <w:rFonts w:cs="Arial"/>
          <w:rtl/>
        </w:rPr>
        <w:t xml:space="preserve"> בתולה דבר זה בנדר מיתוקמא מתני'</w:t>
      </w:r>
      <w:r>
        <w:rPr>
          <w:rFonts w:cs="Arial" w:hint="cs"/>
          <w:rtl/>
        </w:rPr>
        <w:t>,</w:t>
      </w:r>
      <w:r>
        <w:rPr>
          <w:rFonts w:cs="Arial"/>
          <w:rtl/>
        </w:rPr>
        <w:t xml:space="preserve"> דאל</w:t>
      </w:r>
      <w:r>
        <w:rPr>
          <w:rFonts w:cs="Arial" w:hint="cs"/>
          <w:rtl/>
        </w:rPr>
        <w:t>"</w:t>
      </w:r>
      <w:r>
        <w:rPr>
          <w:rFonts w:cs="Arial"/>
          <w:rtl/>
        </w:rPr>
        <w:t>כ מאי על מנת שתאמרי דקתני</w:t>
      </w:r>
      <w:r>
        <w:rPr>
          <w:rFonts w:cs="Arial" w:hint="cs"/>
          <w:rtl/>
        </w:rPr>
        <w:t>,</w:t>
      </w:r>
      <w:r>
        <w:rPr>
          <w:rFonts w:cs="Arial"/>
          <w:rtl/>
        </w:rPr>
        <w:t xml:space="preserve"> ומאי דמיתניא בפירקין דהמדיר יוכיח</w:t>
      </w:r>
      <w:r>
        <w:rPr>
          <w:rFonts w:cs="Arial" w:hint="cs"/>
          <w:rtl/>
        </w:rPr>
        <w:t>.</w:t>
      </w:r>
      <w:r>
        <w:rPr>
          <w:rFonts w:cs="Arial"/>
          <w:rtl/>
        </w:rPr>
        <w:t xml:space="preserve"> וכן כתב הרמב"ם (שם) המדיר את אשתו שתאמר לאיש פלוני מה שא"ל וכו'</w:t>
      </w:r>
      <w:r>
        <w:rPr>
          <w:rFonts w:cs="Arial" w:hint="cs"/>
          <w:rtl/>
        </w:rPr>
        <w:t>.</w:t>
      </w:r>
      <w:r>
        <w:rPr>
          <w:rFonts w:cs="Arial"/>
          <w:rtl/>
        </w:rPr>
        <w:t xml:space="preserve"> והשתא האי מדיר היכי דמי אי דאסר הנאתו עליה אם לא תאמר הא כיון דמשעבד לה לא מצי מדר לה כדאיתא בר"פ המדיר (ע.)</w:t>
      </w:r>
      <w:r>
        <w:rPr>
          <w:rFonts w:cs="Arial" w:hint="cs"/>
          <w:rtl/>
        </w:rPr>
        <w:t>,</w:t>
      </w:r>
      <w:r>
        <w:rPr>
          <w:rFonts w:cs="Arial"/>
          <w:rtl/>
        </w:rPr>
        <w:t xml:space="preserve"> וליכא לאוקומה באומר לה צאי מעשה ידיך במזונותיך דאם כן אמאי יוציא ויתן כתובה דמשמע דלאלתר יוציא</w:t>
      </w:r>
      <w:r>
        <w:rPr>
          <w:rFonts w:cs="Arial" w:hint="cs"/>
          <w:rtl/>
        </w:rPr>
        <w:t>,</w:t>
      </w:r>
      <w:r>
        <w:rPr>
          <w:rFonts w:cs="Arial"/>
          <w:rtl/>
        </w:rPr>
        <w:t xml:space="preserve"> דה"ל לאמתוני שלשים יום כדתנן בר"פ המדיר (ע.)</w:t>
      </w:r>
      <w:r>
        <w:rPr>
          <w:rFonts w:cs="Arial" w:hint="cs"/>
          <w:rtl/>
        </w:rPr>
        <w:t>.</w:t>
      </w:r>
      <w:r>
        <w:rPr>
          <w:rFonts w:cs="Arial"/>
          <w:rtl/>
        </w:rPr>
        <w:t xml:space="preserve"> הילכך ע"כ צריך לאוקומה בנדרה היא והפר לה על מנת כך</w:t>
      </w:r>
      <w:r>
        <w:rPr>
          <w:rFonts w:cs="Arial" w:hint="cs"/>
          <w:rtl/>
        </w:rPr>
        <w:t>,</w:t>
      </w:r>
      <w:r>
        <w:rPr>
          <w:rFonts w:cs="Arial"/>
          <w:rtl/>
        </w:rPr>
        <w:t xml:space="preserve"> ולישנא דעל מנת הכי מוכח</w:t>
      </w:r>
      <w:r>
        <w:rPr>
          <w:rFonts w:cs="Arial" w:hint="cs"/>
          <w:rtl/>
        </w:rPr>
        <w:t>.</w:t>
      </w:r>
      <w:r>
        <w:rPr>
          <w:rFonts w:cs="Arial"/>
          <w:rtl/>
        </w:rPr>
        <w:t xml:space="preserve"> וכיון שכן</w:t>
      </w:r>
      <w:r>
        <w:rPr>
          <w:rFonts w:cs="Arial" w:hint="cs"/>
          <w:rtl/>
        </w:rPr>
        <w:t>,</w:t>
      </w:r>
      <w:r>
        <w:rPr>
          <w:rFonts w:cs="Arial"/>
          <w:rtl/>
        </w:rPr>
        <w:t xml:space="preserve"> ע"כ בנדר שהוא יכול להפר מיירי</w:t>
      </w:r>
      <w:r>
        <w:rPr>
          <w:rFonts w:cs="Arial" w:hint="cs"/>
          <w:rtl/>
        </w:rPr>
        <w:t>,</w:t>
      </w:r>
      <w:r>
        <w:rPr>
          <w:rFonts w:cs="Arial"/>
          <w:rtl/>
        </w:rPr>
        <w:t xml:space="preserve"> דבנדר שאינו יכול להפר לא שייך כלל</w:t>
      </w:r>
      <w:r>
        <w:rPr>
          <w:rFonts w:cs="Arial" w:hint="cs"/>
          <w:rtl/>
        </w:rPr>
        <w:t>.</w:t>
      </w:r>
      <w:r>
        <w:rPr>
          <w:rFonts w:cs="Arial"/>
          <w:rtl/>
        </w:rPr>
        <w:t xml:space="preserve"> וכך הם דברי הר"ן (לב: דיבור ראשון) שכתב על משניות דהמדיר לשמואל ע"כ בנדרה היא וקיים לה איהו מיתוקמא</w:t>
      </w:r>
      <w:r>
        <w:rPr>
          <w:rFonts w:cs="Arial" w:hint="cs"/>
          <w:rtl/>
        </w:rPr>
        <w:t>.</w:t>
      </w:r>
      <w:r>
        <w:rPr>
          <w:rFonts w:cs="Arial"/>
          <w:rtl/>
        </w:rPr>
        <w:t xml:space="preserve"> ובשלמא שלא תלך לבית אביה או לבית המשתה בידו להפר דאיפשר דנדרי עינוי נפש נינהו</w:t>
      </w:r>
      <w:r>
        <w:rPr>
          <w:rFonts w:cs="Arial" w:hint="cs"/>
          <w:rtl/>
        </w:rPr>
        <w:t>,</w:t>
      </w:r>
      <w:r>
        <w:rPr>
          <w:rFonts w:cs="Arial"/>
          <w:rtl/>
        </w:rPr>
        <w:t xml:space="preserve"> ובבית האבל נמי מפרש בפרק בתרא דנדרים (פג:) דעינוי נפש הוא מדכתיב (קהלת ז ב) והחי יתן אל לבו</w:t>
      </w:r>
      <w:r>
        <w:rPr>
          <w:rFonts w:cs="Arial" w:hint="cs"/>
          <w:rtl/>
        </w:rPr>
        <w:t>,</w:t>
      </w:r>
      <w:r>
        <w:rPr>
          <w:rFonts w:cs="Arial"/>
          <w:rtl/>
        </w:rPr>
        <w:t xml:space="preserve"> אבל תאמרי לפלוני ותמלא י' כדי מים לא משמע דמיקרי עינוי נפש ולא דברים שבינו לבינה</w:t>
      </w:r>
      <w:r>
        <w:rPr>
          <w:rFonts w:cs="Arial" w:hint="cs"/>
          <w:rtl/>
        </w:rPr>
        <w:t>,</w:t>
      </w:r>
      <w:r>
        <w:rPr>
          <w:rFonts w:cs="Arial"/>
          <w:rtl/>
        </w:rPr>
        <w:t xml:space="preserve"> וכיון שכן ע"כ מיירי בשתלתה בדברים אלה מזונות או תשמיש</w:t>
      </w:r>
      <w:r>
        <w:rPr>
          <w:rFonts w:cs="Arial" w:hint="cs"/>
          <w:rtl/>
        </w:rPr>
        <w:t>.</w:t>
      </w:r>
      <w:r>
        <w:rPr>
          <w:rFonts w:cs="Arial"/>
          <w:rtl/>
        </w:rPr>
        <w:t xml:space="preserve"> וש"מ דאף על גב דאיפשר בפרנס</w:t>
      </w:r>
      <w:r>
        <w:rPr>
          <w:rFonts w:cs="Arial" w:hint="cs"/>
          <w:rtl/>
        </w:rPr>
        <w:t>,</w:t>
      </w:r>
      <w:r>
        <w:rPr>
          <w:rFonts w:cs="Arial"/>
          <w:rtl/>
        </w:rPr>
        <w:t xml:space="preserve"> ותשמיש נמי שבת אחד כמאן דאיפשר בפרנס נמי דמי</w:t>
      </w:r>
      <w:r>
        <w:rPr>
          <w:rFonts w:cs="Arial" w:hint="cs"/>
          <w:rtl/>
        </w:rPr>
        <w:t>,</w:t>
      </w:r>
      <w:r>
        <w:rPr>
          <w:rFonts w:cs="Arial"/>
          <w:rtl/>
        </w:rPr>
        <w:t xml:space="preserve"> אפילו הכי יוציא ויתן כתובה</w:t>
      </w:r>
      <w:r>
        <w:rPr>
          <w:rFonts w:cs="Arial" w:hint="cs"/>
          <w:rtl/>
        </w:rPr>
        <w:t>,</w:t>
      </w:r>
      <w:r>
        <w:rPr>
          <w:rFonts w:cs="Arial"/>
          <w:rtl/>
        </w:rPr>
        <w:t xml:space="preserve"> כיון דנדרה היא וקיים לה איהו מטעמא דמיסנא סני לי</w:t>
      </w:r>
      <w:r>
        <w:rPr>
          <w:rFonts w:cs="Arial" w:hint="cs"/>
          <w:rtl/>
        </w:rPr>
        <w:t>,</w:t>
      </w:r>
      <w:r>
        <w:rPr>
          <w:rFonts w:cs="Arial"/>
          <w:rtl/>
        </w:rPr>
        <w:t xml:space="preserve"> וכמו שכתבתי למעלה (לב. סוף דיבור ראשון) עכ"ל</w:t>
      </w:r>
      <w:r>
        <w:rPr>
          <w:rFonts w:hint="cs"/>
          <w:rtl/>
        </w:rPr>
        <w:t>, ב"י.</w:t>
      </w:r>
    </w:p>
  </w:footnote>
  <w:footnote w:id="500">
    <w:p w14:paraId="13421CEF" w14:textId="77FD0805" w:rsidR="00754B64" w:rsidRDefault="00754B64">
      <w:pPr>
        <w:pStyle w:val="a5"/>
      </w:pPr>
      <w:r>
        <w:rPr>
          <w:rStyle w:val="a7"/>
        </w:rPr>
        <w:footnoteRef/>
      </w:r>
      <w:r>
        <w:rPr>
          <w:rtl/>
        </w:rPr>
        <w:t xml:space="preserve"> </w:t>
      </w:r>
      <w:r>
        <w:rPr>
          <w:rFonts w:hint="cs"/>
          <w:rtl/>
        </w:rPr>
        <w:t>סימן - משמשים בחלוק.</w:t>
      </w:r>
    </w:p>
  </w:footnote>
  <w:footnote w:id="501">
    <w:p w14:paraId="62E314B8" w14:textId="0137B5E8" w:rsidR="00155907" w:rsidRDefault="00155907">
      <w:pPr>
        <w:pStyle w:val="a5"/>
      </w:pPr>
      <w:r>
        <w:rPr>
          <w:rStyle w:val="a7"/>
        </w:rPr>
        <w:footnoteRef/>
      </w:r>
      <w:r>
        <w:rPr>
          <w:rtl/>
        </w:rPr>
        <w:t xml:space="preserve"> </w:t>
      </w:r>
      <w:r>
        <w:rPr>
          <w:rFonts w:hint="cs"/>
          <w:rtl/>
        </w:rPr>
        <w:t>סימן - גברת סוררת, גבר סורר.</w:t>
      </w:r>
    </w:p>
  </w:footnote>
  <w:footnote w:id="502">
    <w:p w14:paraId="28FB5164" w14:textId="576160B8" w:rsidR="00DE2F5F" w:rsidRDefault="00DE2F5F">
      <w:pPr>
        <w:pStyle w:val="a5"/>
      </w:pPr>
      <w:r>
        <w:rPr>
          <w:rStyle w:val="a7"/>
        </w:rPr>
        <w:footnoteRef/>
      </w:r>
      <w:r>
        <w:rPr>
          <w:rtl/>
        </w:rPr>
        <w:t xml:space="preserve"> </w:t>
      </w:r>
      <w:r w:rsidRPr="00D71625">
        <w:rPr>
          <w:rFonts w:cs="Arial"/>
          <w:rtl/>
        </w:rPr>
        <w:t xml:space="preserve">וכתב הרמב"ם </w:t>
      </w:r>
      <w:r w:rsidRPr="00D71625">
        <w:rPr>
          <w:rFonts w:cs="Arial"/>
          <w:sz w:val="16"/>
          <w:szCs w:val="16"/>
          <w:rtl/>
        </w:rPr>
        <w:t xml:space="preserve">(פי"ד מאישות הט"ו) </w:t>
      </w:r>
      <w:r w:rsidRPr="00D71625">
        <w:rPr>
          <w:rFonts w:cs="Arial"/>
          <w:rtl/>
        </w:rPr>
        <w:t>שהם משקל ל"ו שעורה כסף וכתב הרב המגיד שטעמו לפי שדינרים אלו של דבריהם שהם מכסף מדינה שהיא שמינית שבצורי ודינר צורי יש בו צ"ו שעורות כסף נמצא שהשמינית הוא י"ב שעורות עולה לג' דינרים ל"ו שעורות</w:t>
      </w:r>
      <w:r>
        <w:rPr>
          <w:rFonts w:cs="Arial" w:hint="cs"/>
          <w:rtl/>
        </w:rPr>
        <w:t>, ב"י.</w:t>
      </w:r>
    </w:p>
  </w:footnote>
  <w:footnote w:id="503">
    <w:p w14:paraId="67F9A571" w14:textId="4022EA16" w:rsidR="00DE2F5F" w:rsidRDefault="00DE2F5F">
      <w:pPr>
        <w:pStyle w:val="a5"/>
      </w:pPr>
      <w:r>
        <w:rPr>
          <w:rStyle w:val="a7"/>
        </w:rPr>
        <w:footnoteRef/>
      </w:r>
      <w:r>
        <w:rPr>
          <w:rtl/>
        </w:rPr>
        <w:t xml:space="preserve"> </w:t>
      </w:r>
      <w:r w:rsidRPr="00416F56">
        <w:rPr>
          <w:rFonts w:cs="Arial"/>
          <w:rtl/>
        </w:rPr>
        <w:t>כלומר מה תוספת שייך הכא הואיל וצריך לגרשה מיד</w:t>
      </w:r>
      <w:r>
        <w:rPr>
          <w:rFonts w:cs="Arial" w:hint="cs"/>
          <w:rtl/>
        </w:rPr>
        <w:t>.</w:t>
      </w:r>
      <w:r w:rsidRPr="00416F56">
        <w:rPr>
          <w:rFonts w:cs="Arial"/>
          <w:rtl/>
        </w:rPr>
        <w:t xml:space="preserve"> ותימה</w:t>
      </w:r>
      <w:r>
        <w:rPr>
          <w:rFonts w:cs="Arial" w:hint="cs"/>
          <w:rtl/>
        </w:rPr>
        <w:t>,</w:t>
      </w:r>
      <w:r w:rsidRPr="00416F56">
        <w:rPr>
          <w:rFonts w:cs="Arial"/>
          <w:rtl/>
        </w:rPr>
        <w:t xml:space="preserve"> דמשמע דלשמואל ניחא דאמר לקמן בשילהי פרק המדיר (עז</w:t>
      </w:r>
      <w:r>
        <w:rPr>
          <w:rFonts w:cs="Arial" w:hint="cs"/>
          <w:rtl/>
        </w:rPr>
        <w:t>.</w:t>
      </w:r>
      <w:r w:rsidRPr="00416F56">
        <w:rPr>
          <w:rFonts w:cs="Arial"/>
          <w:rtl/>
        </w:rPr>
        <w:t>) עד שכופין אותו להוציא יכפוהו לזון</w:t>
      </w:r>
      <w:r>
        <w:rPr>
          <w:rFonts w:cs="Arial" w:hint="cs"/>
          <w:rtl/>
        </w:rPr>
        <w:t>,</w:t>
      </w:r>
      <w:r w:rsidRPr="00416F56">
        <w:rPr>
          <w:rFonts w:cs="Arial"/>
          <w:rtl/>
        </w:rPr>
        <w:t xml:space="preserve"> ולדידיה נמי קשה הואיל וכופין אותו לזון מיד מאי תוספת שייך הכא</w:t>
      </w:r>
      <w:r>
        <w:rPr>
          <w:rFonts w:cs="Arial" w:hint="cs"/>
          <w:rtl/>
        </w:rPr>
        <w:t>.</w:t>
      </w:r>
      <w:r w:rsidRPr="00416F56">
        <w:rPr>
          <w:rFonts w:cs="Arial"/>
          <w:rtl/>
        </w:rPr>
        <w:t xml:space="preserve"> וי"ל דלדידיה ודאי ניחא</w:t>
      </w:r>
      <w:r>
        <w:rPr>
          <w:rFonts w:cs="Arial" w:hint="cs"/>
          <w:rtl/>
        </w:rPr>
        <w:t>,</w:t>
      </w:r>
      <w:r w:rsidRPr="00416F56">
        <w:rPr>
          <w:rFonts w:cs="Arial"/>
          <w:rtl/>
        </w:rPr>
        <w:t xml:space="preserve"> הואיל ואינו רוצה לזונה אלא בכפייה נקרא מורד ומוסיפין לה על כתובתה דאין אדם דר עם נחש בכפיפה מידי דהוה אכל מורד דחייב לזונה</w:t>
      </w:r>
      <w:r>
        <w:rPr>
          <w:rFonts w:cs="Arial" w:hint="cs"/>
          <w:rtl/>
        </w:rPr>
        <w:t>,</w:t>
      </w:r>
      <w:r w:rsidRPr="00416F56">
        <w:rPr>
          <w:rFonts w:cs="Arial"/>
          <w:rtl/>
        </w:rPr>
        <w:t xml:space="preserve"> וגם מוסיפין לה על כתובתה</w:t>
      </w:r>
      <w:r>
        <w:rPr>
          <w:rFonts w:cs="Arial" w:hint="cs"/>
          <w:rtl/>
        </w:rPr>
        <w:t>.</w:t>
      </w:r>
      <w:r w:rsidRPr="00416F56">
        <w:rPr>
          <w:rFonts w:cs="Arial"/>
          <w:rtl/>
        </w:rPr>
        <w:t xml:space="preserve"> ואע</w:t>
      </w:r>
      <w:r>
        <w:rPr>
          <w:rFonts w:cs="Arial" w:hint="cs"/>
          <w:rtl/>
        </w:rPr>
        <w:t>"</w:t>
      </w:r>
      <w:r w:rsidRPr="00416F56">
        <w:rPr>
          <w:rFonts w:cs="Arial"/>
          <w:rtl/>
        </w:rPr>
        <w:t>ג דאמר רב הונא דמורדת ממלאכה לא הויא מורדת</w:t>
      </w:r>
      <w:r>
        <w:rPr>
          <w:rFonts w:cs="Arial" w:hint="cs"/>
          <w:rtl/>
        </w:rPr>
        <w:t xml:space="preserve"> -</w:t>
      </w:r>
      <w:r w:rsidRPr="00416F56">
        <w:rPr>
          <w:rFonts w:cs="Arial"/>
          <w:rtl/>
        </w:rPr>
        <w:t xml:space="preserve"> משום דמצי למימר איני ניזונת ואיני עושה</w:t>
      </w:r>
      <w:r>
        <w:rPr>
          <w:rFonts w:cs="Arial" w:hint="cs"/>
          <w:rtl/>
        </w:rPr>
        <w:t>,</w:t>
      </w:r>
      <w:r w:rsidRPr="00416F56">
        <w:rPr>
          <w:rFonts w:cs="Arial"/>
          <w:rtl/>
        </w:rPr>
        <w:t xml:space="preserve"> אבל איש דלא מצי למימר איני זן ואיני מפרנס ואיני מקבל מלאכתיך </w:t>
      </w:r>
      <w:r>
        <w:rPr>
          <w:rFonts w:cs="Arial" w:hint="cs"/>
          <w:rtl/>
        </w:rPr>
        <w:t xml:space="preserve">- </w:t>
      </w:r>
      <w:r w:rsidRPr="00416F56">
        <w:rPr>
          <w:rFonts w:cs="Arial"/>
          <w:rtl/>
        </w:rPr>
        <w:t>נקרא מורד אם אינו זן אם אינה מספקת במעשה ידיה מוסיפין לה על כתובתה אע</w:t>
      </w:r>
      <w:r>
        <w:rPr>
          <w:rFonts w:cs="Arial" w:hint="cs"/>
          <w:rtl/>
        </w:rPr>
        <w:t>"</w:t>
      </w:r>
      <w:r w:rsidRPr="00416F56">
        <w:rPr>
          <w:rFonts w:cs="Arial"/>
          <w:rtl/>
        </w:rPr>
        <w:t>פ שכופין אותו לזון</w:t>
      </w:r>
      <w:r>
        <w:rPr>
          <w:rFonts w:cs="Arial" w:hint="cs"/>
          <w:rtl/>
        </w:rPr>
        <w:t>, רא"ש (פ"ה סי' לב).</w:t>
      </w:r>
    </w:p>
  </w:footnote>
  <w:footnote w:id="504">
    <w:p w14:paraId="4FD84A90" w14:textId="2268D1AF" w:rsidR="00DE2F5F" w:rsidRPr="00635D6D" w:rsidRDefault="00DE2F5F" w:rsidP="00635D6D">
      <w:pPr>
        <w:pStyle w:val="a5"/>
        <w:rPr>
          <w:rFonts w:cs="Arial"/>
        </w:rPr>
      </w:pPr>
      <w:r>
        <w:rPr>
          <w:rStyle w:val="a7"/>
        </w:rPr>
        <w:footnoteRef/>
      </w:r>
      <w:r>
        <w:rPr>
          <w:rtl/>
        </w:rPr>
        <w:t xml:space="preserve"> </w:t>
      </w:r>
      <w:r w:rsidRPr="00C5779D">
        <w:rPr>
          <w:rFonts w:cs="Arial"/>
          <w:rtl/>
        </w:rPr>
        <w:t>שמא יחזור בו ובתוך זמן שאנו נמלכין בו ומחזירין עליו שיחזור בו מוסיפין על כתובתה</w:t>
      </w:r>
      <w:r>
        <w:rPr>
          <w:rFonts w:cs="Arial" w:hint="cs"/>
          <w:rtl/>
        </w:rPr>
        <w:t>, רש"י.</w:t>
      </w:r>
      <w:r>
        <w:rPr>
          <w:rFonts w:hint="cs"/>
          <w:rtl/>
        </w:rPr>
        <w:t xml:space="preserve"> אך הרא"ש (פ"ה סי' לב) פירש דנמלכין בה, </w:t>
      </w:r>
      <w:r>
        <w:rPr>
          <w:rFonts w:cs="Arial" w:hint="cs"/>
          <w:rtl/>
        </w:rPr>
        <w:t>ו</w:t>
      </w:r>
      <w:r w:rsidRPr="0097644C">
        <w:rPr>
          <w:rFonts w:cs="Arial"/>
          <w:rtl/>
        </w:rPr>
        <w:t xml:space="preserve">אם היא רוצה </w:t>
      </w:r>
      <w:r>
        <w:rPr>
          <w:rFonts w:cs="Arial" w:hint="cs"/>
          <w:sz w:val="16"/>
          <w:szCs w:val="16"/>
          <w:rtl/>
        </w:rPr>
        <w:t>{להתגרש}</w:t>
      </w:r>
      <w:r>
        <w:rPr>
          <w:rFonts w:cs="Arial" w:hint="cs"/>
          <w:rtl/>
        </w:rPr>
        <w:t xml:space="preserve"> - </w:t>
      </w:r>
      <w:r w:rsidRPr="0097644C">
        <w:rPr>
          <w:rFonts w:cs="Arial"/>
          <w:rtl/>
        </w:rPr>
        <w:t>כופין לאלתר</w:t>
      </w:r>
      <w:r>
        <w:rPr>
          <w:rFonts w:cs="Arial" w:hint="cs"/>
          <w:rtl/>
        </w:rPr>
        <w:t>,</w:t>
      </w:r>
      <w:r w:rsidRPr="0097644C">
        <w:rPr>
          <w:rFonts w:cs="Arial"/>
          <w:rtl/>
        </w:rPr>
        <w:t xml:space="preserve"> ואם היא רוצה </w:t>
      </w:r>
      <w:r>
        <w:rPr>
          <w:rFonts w:cs="Arial" w:hint="cs"/>
          <w:rtl/>
        </w:rPr>
        <w:t xml:space="preserve">- </w:t>
      </w:r>
      <w:r w:rsidRPr="0097644C">
        <w:rPr>
          <w:rFonts w:cs="Arial"/>
          <w:rtl/>
        </w:rPr>
        <w:t>ימתינו שמא יחזור בו ובינתים מוסיפין על כתובתה</w:t>
      </w:r>
      <w:r>
        <w:rPr>
          <w:rFonts w:cs="Arial" w:hint="cs"/>
          <w:rtl/>
        </w:rPr>
        <w:t>.</w:t>
      </w:r>
      <w:r w:rsidRPr="0097644C">
        <w:rPr>
          <w:rFonts w:cs="Arial"/>
          <w:rtl/>
        </w:rPr>
        <w:t xml:space="preserve"> וכן לשמואל אע</w:t>
      </w:r>
      <w:r>
        <w:rPr>
          <w:rFonts w:cs="Arial" w:hint="cs"/>
          <w:rtl/>
        </w:rPr>
        <w:t>"</w:t>
      </w:r>
      <w:r w:rsidRPr="0097644C">
        <w:rPr>
          <w:rFonts w:cs="Arial"/>
          <w:rtl/>
        </w:rPr>
        <w:t>פ שכופין אותו לזון מוסיפים על כתובתה כדפרישית</w:t>
      </w:r>
      <w:r>
        <w:rPr>
          <w:rFonts w:cs="Arial" w:hint="cs"/>
          <w:rtl/>
        </w:rPr>
        <w:t>.</w:t>
      </w:r>
      <w:r>
        <w:rPr>
          <w:rFonts w:hint="cs"/>
          <w:rtl/>
        </w:rPr>
        <w:t xml:space="preserve"> עכ"ל. </w:t>
      </w:r>
      <w:r w:rsidRPr="00A74C2B">
        <w:rPr>
          <w:rFonts w:cs="Arial"/>
          <w:rtl/>
        </w:rPr>
        <w:t>ובסוף פרק המדיר (סי' יט) פסק הלכה כרב דאמר האומר איני זן ואיני מפרנס יוציא ויתן כתובה ונתבארו דברי רבינו</w:t>
      </w:r>
      <w:r>
        <w:rPr>
          <w:rFonts w:cs="Arial" w:hint="cs"/>
          <w:rtl/>
        </w:rPr>
        <w:t xml:space="preserve"> </w:t>
      </w:r>
      <w:r>
        <w:rPr>
          <w:rFonts w:cs="Arial" w:hint="cs"/>
          <w:sz w:val="16"/>
          <w:szCs w:val="16"/>
          <w:rtl/>
        </w:rPr>
        <w:t>{הטור}</w:t>
      </w:r>
      <w:r>
        <w:rPr>
          <w:rFonts w:cs="Arial" w:hint="cs"/>
          <w:rtl/>
        </w:rPr>
        <w:t>, ב"י</w:t>
      </w:r>
      <w:r w:rsidRPr="00A74C2B">
        <w:rPr>
          <w:rFonts w:cs="Arial"/>
          <w:rtl/>
        </w:rPr>
        <w:t>.</w:t>
      </w:r>
    </w:p>
  </w:footnote>
  <w:footnote w:id="505">
    <w:p w14:paraId="7F76C976" w14:textId="77777777" w:rsidR="00E5373C" w:rsidRDefault="00E5373C" w:rsidP="00E5373C">
      <w:pPr>
        <w:pStyle w:val="a5"/>
      </w:pPr>
      <w:r>
        <w:rPr>
          <w:rStyle w:val="a7"/>
        </w:rPr>
        <w:footnoteRef/>
      </w:r>
      <w:r>
        <w:rPr>
          <w:rtl/>
        </w:rPr>
        <w:t xml:space="preserve"> </w:t>
      </w:r>
      <w:r w:rsidRPr="00897A64">
        <w:rPr>
          <w:rFonts w:cs="Arial"/>
          <w:rtl/>
        </w:rPr>
        <w:t>וע"ל סימן קנ"ד דין הכפייה</w:t>
      </w:r>
      <w:r>
        <w:rPr>
          <w:rFonts w:cs="Arial" w:hint="cs"/>
          <w:rtl/>
        </w:rPr>
        <w:t>, דרכ"מ (אות א).</w:t>
      </w:r>
    </w:p>
  </w:footnote>
  <w:footnote w:id="506">
    <w:p w14:paraId="4BE1989F" w14:textId="5551C6F4" w:rsidR="00DE2F5F" w:rsidRDefault="00DE2F5F">
      <w:pPr>
        <w:pStyle w:val="a5"/>
      </w:pPr>
      <w:r>
        <w:rPr>
          <w:rStyle w:val="a7"/>
        </w:rPr>
        <w:footnoteRef/>
      </w:r>
      <w:r>
        <w:rPr>
          <w:rtl/>
        </w:rPr>
        <w:t xml:space="preserve"> </w:t>
      </w:r>
      <w:r>
        <w:rPr>
          <w:rFonts w:cs="Arial" w:hint="cs"/>
          <w:rtl/>
        </w:rPr>
        <w:t>ו</w:t>
      </w:r>
      <w:r w:rsidRPr="00897A64">
        <w:rPr>
          <w:rFonts w:cs="Arial"/>
          <w:rtl/>
        </w:rPr>
        <w:t xml:space="preserve">אם לאחר זמן אינה רוצה להתעגן עוד </w:t>
      </w:r>
      <w:r>
        <w:rPr>
          <w:rFonts w:cs="Arial" w:hint="cs"/>
          <w:rtl/>
        </w:rPr>
        <w:t xml:space="preserve">- </w:t>
      </w:r>
      <w:r w:rsidRPr="00897A64">
        <w:rPr>
          <w:rFonts w:cs="Arial"/>
          <w:rtl/>
        </w:rPr>
        <w:t>הרשות בידה וצריך לתת לה אף כל הניתוסף על כתובתה עם הג' דינרין שבכל שבוע</w:t>
      </w:r>
      <w:r>
        <w:rPr>
          <w:rFonts w:cs="Arial" w:hint="cs"/>
          <w:rtl/>
        </w:rPr>
        <w:t>, הגה"מ</w:t>
      </w:r>
      <w:r w:rsidRPr="00F5024F">
        <w:rPr>
          <w:rFonts w:cs="Arial" w:hint="cs"/>
          <w:sz w:val="16"/>
          <w:szCs w:val="16"/>
          <w:rtl/>
        </w:rPr>
        <w:t xml:space="preserve"> (</w:t>
      </w:r>
      <w:r w:rsidRPr="00F5024F">
        <w:rPr>
          <w:rFonts w:cs="Arial"/>
          <w:sz w:val="16"/>
          <w:szCs w:val="16"/>
          <w:rtl/>
        </w:rPr>
        <w:t>פי"ד הט"ו ד"ק</w:t>
      </w:r>
      <w:r w:rsidRPr="00F5024F">
        <w:rPr>
          <w:rFonts w:cs="Arial" w:hint="cs"/>
          <w:sz w:val="16"/>
          <w:szCs w:val="16"/>
          <w:rtl/>
        </w:rPr>
        <w:t>, כ"כ הדרכ"מ [אות ב] בשמו</w:t>
      </w:r>
      <w:r w:rsidRPr="00F5024F">
        <w:rPr>
          <w:rFonts w:cs="Arial"/>
          <w:sz w:val="16"/>
          <w:szCs w:val="16"/>
          <w:rtl/>
        </w:rPr>
        <w:t>)</w:t>
      </w:r>
      <w:r>
        <w:rPr>
          <w:rFonts w:cs="Arial" w:hint="cs"/>
          <w:rtl/>
        </w:rPr>
        <w:t>.</w:t>
      </w:r>
    </w:p>
  </w:footnote>
  <w:footnote w:id="507">
    <w:p w14:paraId="33FB472A" w14:textId="2C5DB976" w:rsidR="00DE2F5F" w:rsidRDefault="00DE2F5F">
      <w:pPr>
        <w:pStyle w:val="a5"/>
      </w:pPr>
      <w:r>
        <w:rPr>
          <w:rStyle w:val="a7"/>
        </w:rPr>
        <w:footnoteRef/>
      </w:r>
      <w:r>
        <w:rPr>
          <w:rtl/>
        </w:rPr>
        <w:t xml:space="preserve"> </w:t>
      </w:r>
      <w:r w:rsidRPr="00A74C2B">
        <w:rPr>
          <w:rFonts w:cs="Arial"/>
          <w:rtl/>
        </w:rPr>
        <w:t>הא דמוסיפין לה היינו שנשאר עליו חוב כשאר הכתובה אבל אין נותנין לה מיד שהיא תלקח בהן קרקע</w:t>
      </w:r>
      <w:r>
        <w:rPr>
          <w:rFonts w:cs="Arial" w:hint="cs"/>
          <w:rtl/>
        </w:rPr>
        <w:t xml:space="preserve">, </w:t>
      </w:r>
      <w:r w:rsidRPr="00A74C2B">
        <w:rPr>
          <w:rFonts w:cs="Arial"/>
          <w:rtl/>
        </w:rPr>
        <w:t xml:space="preserve">ר"ן </w:t>
      </w:r>
      <w:r w:rsidRPr="00326D42">
        <w:rPr>
          <w:rFonts w:cs="Arial" w:hint="cs"/>
          <w:sz w:val="16"/>
          <w:szCs w:val="16"/>
          <w:rtl/>
        </w:rPr>
        <w:t>(</w:t>
      </w:r>
      <w:r w:rsidRPr="00326D42">
        <w:rPr>
          <w:rFonts w:cs="Arial"/>
          <w:sz w:val="16"/>
          <w:szCs w:val="16"/>
          <w:rtl/>
        </w:rPr>
        <w:t>פ</w:t>
      </w:r>
      <w:r w:rsidRPr="00326D42">
        <w:rPr>
          <w:rFonts w:cs="Arial" w:hint="cs"/>
          <w:sz w:val="16"/>
          <w:szCs w:val="16"/>
          <w:rtl/>
        </w:rPr>
        <w:t>'</w:t>
      </w:r>
      <w:r w:rsidRPr="00326D42">
        <w:rPr>
          <w:rFonts w:cs="Arial"/>
          <w:sz w:val="16"/>
          <w:szCs w:val="16"/>
          <w:rtl/>
        </w:rPr>
        <w:t xml:space="preserve"> אף על פי כו: סוף דיבור ראשון</w:t>
      </w:r>
      <w:r w:rsidRPr="00326D42">
        <w:rPr>
          <w:rFonts w:cs="Arial" w:hint="cs"/>
          <w:sz w:val="16"/>
          <w:szCs w:val="16"/>
          <w:rtl/>
        </w:rPr>
        <w:t>, הביאו הדרכ"מ [אות ג]</w:t>
      </w:r>
      <w:r w:rsidRPr="00326D42">
        <w:rPr>
          <w:rFonts w:cs="Arial"/>
          <w:sz w:val="16"/>
          <w:szCs w:val="16"/>
          <w:rtl/>
        </w:rPr>
        <w:t>)</w:t>
      </w:r>
      <w:r>
        <w:rPr>
          <w:rFonts w:cs="Arial" w:hint="cs"/>
          <w:rtl/>
        </w:rPr>
        <w:t>.</w:t>
      </w:r>
    </w:p>
  </w:footnote>
  <w:footnote w:id="508">
    <w:p w14:paraId="7C8E5F33" w14:textId="20AA432E" w:rsidR="00DE2F5F" w:rsidRDefault="00DE2F5F" w:rsidP="00F5024F">
      <w:pPr>
        <w:pStyle w:val="a5"/>
        <w:rPr>
          <w:rtl/>
        </w:rPr>
      </w:pPr>
      <w:r>
        <w:rPr>
          <w:rStyle w:val="a7"/>
        </w:rPr>
        <w:footnoteRef/>
      </w:r>
      <w:r>
        <w:rPr>
          <w:rtl/>
        </w:rPr>
        <w:t xml:space="preserve"> </w:t>
      </w:r>
      <w:r w:rsidRPr="00A74C2B">
        <w:rPr>
          <w:rFonts w:cs="Arial"/>
          <w:rtl/>
        </w:rPr>
        <w:t xml:space="preserve">ומשמע מדברי הרמב"ם דאם רוצה לגרשה מיד ולתת לה כתובתה </w:t>
      </w:r>
      <w:r>
        <w:rPr>
          <w:rFonts w:cs="Arial" w:hint="cs"/>
          <w:rtl/>
        </w:rPr>
        <w:t xml:space="preserve">- </w:t>
      </w:r>
      <w:r w:rsidRPr="00A74C2B">
        <w:rPr>
          <w:rFonts w:cs="Arial"/>
          <w:rtl/>
        </w:rPr>
        <w:t>אין מוסיפין לה כלום אע</w:t>
      </w:r>
      <w:r>
        <w:rPr>
          <w:rFonts w:cs="Arial" w:hint="cs"/>
          <w:rtl/>
        </w:rPr>
        <w:t>"</w:t>
      </w:r>
      <w:r w:rsidRPr="00A74C2B">
        <w:rPr>
          <w:rFonts w:cs="Arial"/>
          <w:rtl/>
        </w:rPr>
        <w:t>ג דהיא רוצה להמתין</w:t>
      </w:r>
      <w:r>
        <w:rPr>
          <w:rFonts w:cs="Arial" w:hint="cs"/>
          <w:rtl/>
        </w:rPr>
        <w:t>,</w:t>
      </w:r>
      <w:r w:rsidRPr="00A74C2B">
        <w:rPr>
          <w:rFonts w:cs="Arial"/>
          <w:rtl/>
        </w:rPr>
        <w:t xml:space="preserve"> וכן הוא בהגהות אלפסי (כז: אות ב)</w:t>
      </w:r>
      <w:r>
        <w:rPr>
          <w:rFonts w:cs="Arial" w:hint="cs"/>
          <w:rtl/>
        </w:rPr>
        <w:t>.</w:t>
      </w:r>
      <w:r w:rsidRPr="00A74C2B">
        <w:rPr>
          <w:rFonts w:cs="Arial"/>
          <w:rtl/>
        </w:rPr>
        <w:t xml:space="preserve"> ונראה לי דאינו עובר ג"כ בלאו</w:t>
      </w:r>
      <w:r>
        <w:rPr>
          <w:rFonts w:cs="Arial" w:hint="cs"/>
          <w:rtl/>
        </w:rPr>
        <w:t xml:space="preserve">, דרכ"מ (אות ג). </w:t>
      </w:r>
      <w:r w:rsidRPr="00F5024F">
        <w:rPr>
          <w:rFonts w:cs="Arial" w:hint="cs"/>
          <w:color w:val="00B0F0"/>
          <w:rtl/>
        </w:rPr>
        <w:t>(וכ"כ בהגה)</w:t>
      </w:r>
      <w:r w:rsidRPr="00A74C2B">
        <w:rPr>
          <w:rFonts w:cs="Arial"/>
          <w:rtl/>
        </w:rPr>
        <w:t xml:space="preserve"> </w:t>
      </w:r>
    </w:p>
  </w:footnote>
  <w:footnote w:id="509">
    <w:p w14:paraId="1A7A3071" w14:textId="73C9BAD6" w:rsidR="00B47ACE" w:rsidRDefault="00B47ACE">
      <w:pPr>
        <w:pStyle w:val="a5"/>
      </w:pPr>
      <w:r>
        <w:rPr>
          <w:rStyle w:val="a7"/>
        </w:rPr>
        <w:footnoteRef/>
      </w:r>
      <w:r>
        <w:rPr>
          <w:rtl/>
        </w:rPr>
        <w:t xml:space="preserve"> </w:t>
      </w:r>
      <w:r w:rsidRPr="00B47ACE">
        <w:rPr>
          <w:rFonts w:cs="Arial"/>
          <w:rtl/>
        </w:rPr>
        <w:t>הנה לדינא דגמרא דבר זה פשוט</w:t>
      </w:r>
      <w:r>
        <w:rPr>
          <w:rFonts w:cs="Arial" w:hint="cs"/>
          <w:rtl/>
        </w:rPr>
        <w:t>,</w:t>
      </w:r>
      <w:r w:rsidRPr="00B47ACE">
        <w:rPr>
          <w:rFonts w:cs="Arial"/>
          <w:rtl/>
        </w:rPr>
        <w:t xml:space="preserve"> דהבעל מגרש בע"כ</w:t>
      </w:r>
      <w:r>
        <w:rPr>
          <w:rFonts w:cs="Arial" w:hint="cs"/>
          <w:rtl/>
        </w:rPr>
        <w:t>,</w:t>
      </w:r>
      <w:r w:rsidRPr="00B47ACE">
        <w:rPr>
          <w:rFonts w:cs="Arial"/>
          <w:rtl/>
        </w:rPr>
        <w:t xml:space="preserve"> ומהי תיתא דיעבור על לאו דלא יגרע</w:t>
      </w:r>
      <w:r>
        <w:rPr>
          <w:rFonts w:cs="Arial" w:hint="cs"/>
          <w:rtl/>
        </w:rPr>
        <w:t>.</w:t>
      </w:r>
      <w:r w:rsidRPr="00B47ACE">
        <w:rPr>
          <w:rFonts w:cs="Arial"/>
          <w:rtl/>
        </w:rPr>
        <w:t xml:space="preserve"> ואדרב</w:t>
      </w:r>
      <w:r>
        <w:rPr>
          <w:rFonts w:cs="Arial" w:hint="cs"/>
          <w:rtl/>
        </w:rPr>
        <w:t>ה</w:t>
      </w:r>
      <w:r w:rsidRPr="00B47ACE">
        <w:rPr>
          <w:rFonts w:cs="Arial"/>
          <w:rtl/>
        </w:rPr>
        <w:t xml:space="preserve"> המשמש עם אשתו ודעתו לגרשה עובר משום אל תחרוש על רעך רעה וגו' כדאי' לקמן סי' קי"ט</w:t>
      </w:r>
      <w:r>
        <w:rPr>
          <w:rFonts w:cs="Arial" w:hint="cs"/>
          <w:rtl/>
        </w:rPr>
        <w:t>.</w:t>
      </w:r>
      <w:r w:rsidRPr="00B47ACE">
        <w:rPr>
          <w:rFonts w:cs="Arial"/>
          <w:rtl/>
        </w:rPr>
        <w:t xml:space="preserve"> אך עתה אחר שתיקן ר"ג שלא לגרש אשה אלא מדעתה היה אפשר לומר להוסיף לה על כתובתה אם מונע ממנה עונת' מאחר שאין יכולת בידו לגרשה בע"כ</w:t>
      </w:r>
      <w:r>
        <w:rPr>
          <w:rFonts w:cs="Arial" w:hint="cs"/>
          <w:rtl/>
        </w:rPr>
        <w:t>.</w:t>
      </w:r>
      <w:r w:rsidRPr="00B47ACE">
        <w:rPr>
          <w:rFonts w:cs="Arial"/>
          <w:rtl/>
        </w:rPr>
        <w:t xml:space="preserve"> וראיתי בב"ח שכ' שגם בזמן הזה אם רוצה לגרש אין מוסיפין לה על כתובת'</w:t>
      </w:r>
      <w:r>
        <w:rPr>
          <w:rFonts w:cs="Arial" w:hint="cs"/>
          <w:rtl/>
        </w:rPr>
        <w:t>,</w:t>
      </w:r>
      <w:r w:rsidRPr="00B47ACE">
        <w:rPr>
          <w:rFonts w:cs="Arial"/>
          <w:rtl/>
        </w:rPr>
        <w:t xml:space="preserve"> ולא עוד אלא אף שממזונותיה פטור</w:t>
      </w:r>
      <w:r>
        <w:rPr>
          <w:rFonts w:cs="Arial" w:hint="cs"/>
          <w:rtl/>
        </w:rPr>
        <w:t>.</w:t>
      </w:r>
      <w:r w:rsidRPr="00B47ACE">
        <w:rPr>
          <w:rFonts w:cs="Arial"/>
          <w:rtl/>
        </w:rPr>
        <w:t xml:space="preserve"> והביא ראיה מתשו' הרב המזרחי </w:t>
      </w:r>
      <w:r>
        <w:rPr>
          <w:rFonts w:cs="Arial" w:hint="cs"/>
          <w:rtl/>
        </w:rPr>
        <w:t>(</w:t>
      </w:r>
      <w:r w:rsidRPr="00B47ACE">
        <w:rPr>
          <w:rFonts w:cs="Arial"/>
          <w:rtl/>
        </w:rPr>
        <w:t>סי' ל</w:t>
      </w:r>
      <w:r>
        <w:rPr>
          <w:rFonts w:cs="Arial" w:hint="cs"/>
          <w:rtl/>
        </w:rPr>
        <w:t>)</w:t>
      </w:r>
      <w:r w:rsidRPr="00B47ACE">
        <w:rPr>
          <w:rFonts w:cs="Arial"/>
          <w:rtl/>
        </w:rPr>
        <w:t xml:space="preserve"> שפסק ג"כ שפטור ממזונותיה</w:t>
      </w:r>
      <w:r>
        <w:rPr>
          <w:rFonts w:cs="Arial" w:hint="cs"/>
          <w:rtl/>
        </w:rPr>
        <w:t>,</w:t>
      </w:r>
      <w:r w:rsidRPr="00B47ACE">
        <w:rPr>
          <w:rFonts w:cs="Arial"/>
          <w:rtl/>
        </w:rPr>
        <w:t xml:space="preserve"> והביא ראיה לדבריו מריש כתובות דקתני התם הגיע זמן ולא נשאו אוכלת משלו וכו' ה"ד אי דמעכבן אינהו אמאי אוכל' משלו וכו' עכ"ל</w:t>
      </w:r>
      <w:r>
        <w:rPr>
          <w:rFonts w:cs="Arial" w:hint="cs"/>
          <w:rtl/>
        </w:rPr>
        <w:t>.</w:t>
      </w:r>
      <w:r w:rsidRPr="00B47ACE">
        <w:rPr>
          <w:rFonts w:cs="Arial"/>
          <w:rtl/>
        </w:rPr>
        <w:t xml:space="preserve"> ולפ"ז תקנת ר"ג לא היתה רק שלא לגרשה בע"כ כדי לישא אחרת</w:t>
      </w:r>
      <w:r>
        <w:rPr>
          <w:rFonts w:cs="Arial" w:hint="cs"/>
          <w:rtl/>
        </w:rPr>
        <w:t>,</w:t>
      </w:r>
      <w:r w:rsidRPr="00B47ACE">
        <w:rPr>
          <w:rFonts w:cs="Arial"/>
          <w:rtl/>
        </w:rPr>
        <w:t xml:space="preserve"> אבל למנוע ממנה שאר כסות ועונה בע"כ עד שתתרצ' ותתפייס לקבל גט </w:t>
      </w:r>
      <w:r>
        <w:rPr>
          <w:rFonts w:cs="Arial" w:hint="cs"/>
          <w:rtl/>
        </w:rPr>
        <w:t xml:space="preserve">- </w:t>
      </w:r>
      <w:r w:rsidRPr="00B47ACE">
        <w:rPr>
          <w:rFonts w:cs="Arial"/>
          <w:rtl/>
        </w:rPr>
        <w:t>הרשו</w:t>
      </w:r>
      <w:r>
        <w:rPr>
          <w:rFonts w:cs="Arial" w:hint="cs"/>
          <w:rtl/>
        </w:rPr>
        <w:t>ת</w:t>
      </w:r>
      <w:r w:rsidRPr="00B47ACE">
        <w:rPr>
          <w:rFonts w:cs="Arial"/>
          <w:rtl/>
        </w:rPr>
        <w:t xml:space="preserve"> בידו</w:t>
      </w:r>
      <w:r>
        <w:rPr>
          <w:rFonts w:cs="Arial" w:hint="cs"/>
          <w:rtl/>
        </w:rPr>
        <w:t>.</w:t>
      </w:r>
      <w:r w:rsidRPr="00B47ACE">
        <w:rPr>
          <w:rFonts w:cs="Arial"/>
          <w:rtl/>
        </w:rPr>
        <w:t xml:space="preserve"> ובאמת מלבד שיש לפקפק על עיקר דברי הרב המזרחי דראייתו אינו ראיה דאין לדמות סוף דינה לתחילת דינה</w:t>
      </w:r>
      <w:r>
        <w:rPr>
          <w:rFonts w:cs="Arial" w:hint="cs"/>
          <w:rtl/>
        </w:rPr>
        <w:t>,</w:t>
      </w:r>
      <w:r w:rsidRPr="00B47ACE">
        <w:rPr>
          <w:rFonts w:cs="Arial"/>
          <w:rtl/>
        </w:rPr>
        <w:t xml:space="preserve"> וחלתה יוכיח דבתחלת נשואין חלתה אינו מעלה לה מזונות ואחר הנשואין צריך לזונה בימי חליה</w:t>
      </w:r>
      <w:r w:rsidR="00AB0538">
        <w:rPr>
          <w:rFonts w:cs="Arial" w:hint="cs"/>
          <w:rtl/>
        </w:rPr>
        <w:t>,</w:t>
      </w:r>
      <w:r w:rsidRPr="00B47ACE">
        <w:rPr>
          <w:rFonts w:cs="Arial"/>
          <w:rtl/>
        </w:rPr>
        <w:t xml:space="preserve"> מ"מ נראה דאפשר לומר דאף הרב לא אמרה רק לענין מזונות דאפשר דיכול לומר איני זנך ואיני נוטל מעשה ידיך מאחר שאני מוכן לגרשך</w:t>
      </w:r>
      <w:r w:rsidR="00AB0538">
        <w:rPr>
          <w:rFonts w:cs="Arial" w:hint="cs"/>
          <w:rtl/>
        </w:rPr>
        <w:t>,</w:t>
      </w:r>
      <w:r w:rsidRPr="00B47ACE">
        <w:rPr>
          <w:rFonts w:cs="Arial"/>
          <w:rtl/>
        </w:rPr>
        <w:t xml:space="preserve"> אך עונתה לא יגרע</w:t>
      </w:r>
      <w:r w:rsidR="00AB0538">
        <w:rPr>
          <w:rFonts w:cs="Arial" w:hint="cs"/>
          <w:rtl/>
        </w:rPr>
        <w:t>.</w:t>
      </w:r>
      <w:r w:rsidRPr="00B47ACE">
        <w:rPr>
          <w:rFonts w:cs="Arial"/>
          <w:rtl/>
        </w:rPr>
        <w:t xml:space="preserve"> וע' בתשו' הרא"ש </w:t>
      </w:r>
      <w:r w:rsidR="00AB0538">
        <w:rPr>
          <w:rFonts w:cs="Arial" w:hint="cs"/>
          <w:rtl/>
        </w:rPr>
        <w:t>(</w:t>
      </w:r>
      <w:r w:rsidRPr="00B47ACE">
        <w:rPr>
          <w:rFonts w:cs="Arial"/>
          <w:rtl/>
        </w:rPr>
        <w:t>כלל מב</w:t>
      </w:r>
      <w:r w:rsidR="00AB0538">
        <w:rPr>
          <w:rFonts w:cs="Arial" w:hint="cs"/>
          <w:rtl/>
        </w:rPr>
        <w:t>)</w:t>
      </w:r>
      <w:r w:rsidRPr="00B47ACE">
        <w:rPr>
          <w:rFonts w:cs="Arial"/>
          <w:rtl/>
        </w:rPr>
        <w:t xml:space="preserve"> </w:t>
      </w:r>
      <w:r w:rsidR="00AB0538">
        <w:rPr>
          <w:rFonts w:cs="Arial" w:hint="cs"/>
          <w:rtl/>
        </w:rPr>
        <w:t>ש</w:t>
      </w:r>
      <w:r w:rsidRPr="00B47ACE">
        <w:rPr>
          <w:rFonts w:cs="Arial"/>
          <w:rtl/>
        </w:rPr>
        <w:t>כ' וז"ל</w:t>
      </w:r>
      <w:r w:rsidR="00AB0538">
        <w:rPr>
          <w:rFonts w:cs="Arial" w:hint="cs"/>
          <w:rtl/>
        </w:rPr>
        <w:t>:</w:t>
      </w:r>
      <w:r w:rsidRPr="00B47ACE">
        <w:rPr>
          <w:rFonts w:cs="Arial"/>
          <w:rtl/>
        </w:rPr>
        <w:t xml:space="preserve"> הגאון רב"ג ז"ל תיקן להשוות כח האשה לאיש כמו שהאיש אינו מוציא אלא לרצונו וכו' ובמה שהאיש כופין אותו להוציא אף האשה כופין אותה לקבל גט ואם תמאן לקבל ימנע ממנה שאר כסות ועונה וכו'</w:t>
      </w:r>
      <w:r w:rsidR="00C27854">
        <w:rPr>
          <w:rFonts w:cs="Arial" w:hint="cs"/>
          <w:sz w:val="16"/>
          <w:szCs w:val="16"/>
          <w:rtl/>
        </w:rPr>
        <w:t xml:space="preserve"> [ע"כ]</w:t>
      </w:r>
      <w:r w:rsidR="00C27854">
        <w:rPr>
          <w:rFonts w:cs="Arial" w:hint="cs"/>
          <w:rtl/>
        </w:rPr>
        <w:t>.</w:t>
      </w:r>
      <w:r w:rsidRPr="00B47ACE">
        <w:rPr>
          <w:rFonts w:cs="Arial"/>
          <w:rtl/>
        </w:rPr>
        <w:t xml:space="preserve"> משמע להדי' במקום שאין כופין באיש אין כופין באשה וצריך לקיים לה שאר כסות ועונה וגם מוסיפין על הכתובה כמו באשה המורדת</w:t>
      </w:r>
      <w:r w:rsidR="00C27854">
        <w:rPr>
          <w:rFonts w:cs="Arial" w:hint="cs"/>
          <w:rtl/>
        </w:rPr>
        <w:t>.</w:t>
      </w:r>
      <w:r w:rsidRPr="00B47ACE">
        <w:rPr>
          <w:rFonts w:cs="Arial"/>
          <w:rtl/>
        </w:rPr>
        <w:t xml:space="preserve"> וכן משמע מתשו' מהרי"ק </w:t>
      </w:r>
      <w:r w:rsidR="00C27854">
        <w:rPr>
          <w:rFonts w:cs="Arial" w:hint="cs"/>
          <w:rtl/>
        </w:rPr>
        <w:t>(</w:t>
      </w:r>
      <w:r w:rsidRPr="00B47ACE">
        <w:rPr>
          <w:rFonts w:cs="Arial"/>
          <w:rtl/>
        </w:rPr>
        <w:t>סי' קז</w:t>
      </w:r>
      <w:r w:rsidR="00C27854">
        <w:rPr>
          <w:rFonts w:cs="Arial" w:hint="cs"/>
          <w:rtl/>
        </w:rPr>
        <w:t>)</w:t>
      </w:r>
      <w:r w:rsidRPr="00B47ACE">
        <w:rPr>
          <w:rFonts w:cs="Arial"/>
          <w:rtl/>
        </w:rPr>
        <w:t xml:space="preserve"> שכל עצמו לא כ' שם אלא מאחר שיש לה מום אף שמחל פעם אחד אין בידינו לכופו ולהיות עמה ולהוליד ממנה בני שנואה</w:t>
      </w:r>
      <w:r w:rsidR="00C27854">
        <w:rPr>
          <w:rFonts w:cs="Arial" w:hint="cs"/>
          <w:rtl/>
        </w:rPr>
        <w:t>,</w:t>
      </w:r>
      <w:r w:rsidRPr="00B47ACE">
        <w:rPr>
          <w:rFonts w:cs="Arial"/>
          <w:rtl/>
        </w:rPr>
        <w:t xml:space="preserve"> מאחר דאפשר לומ' דבכה"ג לא תיקן הגאון עליה שלא לגרשה בע"כ כיון שהוא בא מחמת טענה ונמאסת בעיניו מחמת מום</w:t>
      </w:r>
      <w:r w:rsidR="00C27854">
        <w:rPr>
          <w:rFonts w:cs="Arial" w:hint="cs"/>
          <w:rtl/>
        </w:rPr>
        <w:t>,</w:t>
      </w:r>
      <w:r w:rsidRPr="00B47ACE">
        <w:rPr>
          <w:rFonts w:cs="Arial"/>
          <w:rtl/>
        </w:rPr>
        <w:t xml:space="preserve"> וכמו שהאריך שם</w:t>
      </w:r>
      <w:r w:rsidR="00C27854">
        <w:rPr>
          <w:rFonts w:cs="Arial" w:hint="cs"/>
          <w:rtl/>
        </w:rPr>
        <w:t>.</w:t>
      </w:r>
      <w:r w:rsidRPr="00B47ACE">
        <w:rPr>
          <w:rFonts w:cs="Arial"/>
          <w:rtl/>
        </w:rPr>
        <w:t xml:space="preserve"> אבל בשאר נשים שבודאי תיקן הגאון עליה נראה שם שיש לכופו משום ביטול פ"ו</w:t>
      </w:r>
      <w:r w:rsidR="00112EBC">
        <w:rPr>
          <w:rFonts w:cs="Arial" w:hint="cs"/>
          <w:rtl/>
        </w:rPr>
        <w:t>.</w:t>
      </w:r>
      <w:r w:rsidRPr="00B47ACE">
        <w:rPr>
          <w:rFonts w:cs="Arial"/>
          <w:rtl/>
        </w:rPr>
        <w:t xml:space="preserve"> וגם באשה שיש לה מום נראה שם שצריך ליתן לה שאר כסות דמאחר שמחל לה פ"א ונתחייב לה בכתובה למה לא יתחייב לה בתנאי כתובה</w:t>
      </w:r>
      <w:r w:rsidR="00112EBC">
        <w:rPr>
          <w:rFonts w:cs="Arial" w:hint="cs"/>
          <w:rtl/>
        </w:rPr>
        <w:t>,</w:t>
      </w:r>
      <w:r w:rsidRPr="00B47ACE">
        <w:rPr>
          <w:rFonts w:cs="Arial"/>
          <w:rtl/>
        </w:rPr>
        <w:t xml:space="preserve"> ורק בעונה שהוא צער דגופה אפשר לו' דלא מחיל אינש לעולם אף שמחל פעם אחד</w:t>
      </w:r>
      <w:r w:rsidR="00112EBC">
        <w:rPr>
          <w:rFonts w:cs="Arial" w:hint="cs"/>
          <w:rtl/>
        </w:rPr>
        <w:t xml:space="preserve">. </w:t>
      </w:r>
      <w:r w:rsidRPr="009334A9">
        <w:rPr>
          <w:rFonts w:cs="Arial"/>
          <w:b/>
          <w:bCs/>
          <w:rtl/>
        </w:rPr>
        <w:t>ע"כ נראה למעשה שאין לסמוך על הרב בב"ח</w:t>
      </w:r>
      <w:r w:rsidR="00112EBC">
        <w:rPr>
          <w:rFonts w:cs="Arial" w:hint="cs"/>
          <w:rtl/>
        </w:rPr>
        <w:t>.</w:t>
      </w:r>
      <w:r w:rsidRPr="00B47ACE">
        <w:rPr>
          <w:rFonts w:cs="Arial"/>
          <w:rtl/>
        </w:rPr>
        <w:t xml:space="preserve"> וע' לקמן סי' עט ס</w:t>
      </w:r>
      <w:r w:rsidR="00112EBC">
        <w:rPr>
          <w:rFonts w:cs="Arial" w:hint="cs"/>
          <w:rtl/>
        </w:rPr>
        <w:t>ק"</w:t>
      </w:r>
      <w:r w:rsidRPr="00B47ACE">
        <w:rPr>
          <w:rFonts w:cs="Arial"/>
          <w:rtl/>
        </w:rPr>
        <w:t>ג מ"ש בשם מהרש"ל</w:t>
      </w:r>
      <w:r w:rsidR="00112EBC">
        <w:rPr>
          <w:rFonts w:cs="Arial" w:hint="cs"/>
          <w:rtl/>
        </w:rPr>
        <w:t>.</w:t>
      </w:r>
      <w:r w:rsidRPr="00B47ACE">
        <w:rPr>
          <w:rFonts w:cs="Arial"/>
          <w:rtl/>
        </w:rPr>
        <w:t xml:space="preserve"> וכל שאין לו טענה מבוררת למה מאוסה בעיניו דין מורד יש לו ומוסיפין לה על כתובתה ומחויב ליתן לה שאר וכסות מה שבידו לקיים</w:t>
      </w:r>
      <w:r w:rsidR="00112EBC">
        <w:rPr>
          <w:rFonts w:cs="Arial" w:hint="cs"/>
          <w:rtl/>
        </w:rPr>
        <w:t>.</w:t>
      </w:r>
      <w:r w:rsidRPr="00B47ACE">
        <w:rPr>
          <w:rFonts w:cs="Arial"/>
          <w:rtl/>
        </w:rPr>
        <w:t xml:space="preserve"> וגם על דברי הרב מהרמ"א יש לתמו' דכתב דמשמע מדברי הרמב"ם אם רוצה לגרש אין לו דין מורד</w:t>
      </w:r>
      <w:r w:rsidR="00112EBC">
        <w:rPr>
          <w:rFonts w:cs="Arial" w:hint="cs"/>
          <w:rtl/>
        </w:rPr>
        <w:t>,</w:t>
      </w:r>
      <w:r w:rsidRPr="00B47ACE">
        <w:rPr>
          <w:rFonts w:cs="Arial"/>
          <w:rtl/>
        </w:rPr>
        <w:t xml:space="preserve"> ומה לו לדקדק מדברי הרמב"ם הנה מי לא ידע זה שהאשה מתגרשת שלא לרצונה</w:t>
      </w:r>
      <w:r w:rsidR="003A3232">
        <w:rPr>
          <w:rFonts w:cs="Arial" w:hint="cs"/>
          <w:rtl/>
        </w:rPr>
        <w:t>,</w:t>
      </w:r>
      <w:r w:rsidRPr="00B47ACE">
        <w:rPr>
          <w:rFonts w:cs="Arial"/>
          <w:rtl/>
        </w:rPr>
        <w:t xml:space="preserve"> וכבר כ' מהרי"ק בסי' הנ"ל שהרמב"ם לא הזכיר תקנת ר"ג שלא נתפשטה בארצו</w:t>
      </w:r>
      <w:r w:rsidR="003A3232">
        <w:rPr>
          <w:rFonts w:cs="Arial" w:hint="cs"/>
          <w:rtl/>
        </w:rPr>
        <w:t>,</w:t>
      </w:r>
      <w:r w:rsidRPr="00B47ACE">
        <w:rPr>
          <w:rFonts w:cs="Arial"/>
          <w:rtl/>
        </w:rPr>
        <w:t xml:space="preserve"> ומה משמיענו בזה שהמגרש אשתו אינו נקרא מורד ואינו עובר בלאו</w:t>
      </w:r>
      <w:r>
        <w:rPr>
          <w:rFonts w:cs="Arial" w:hint="cs"/>
          <w:rtl/>
        </w:rPr>
        <w:t>, ח"מ (סק"ג).</w:t>
      </w:r>
      <w:r w:rsidR="000425A6">
        <w:rPr>
          <w:rFonts w:hint="cs"/>
          <w:rtl/>
        </w:rPr>
        <w:t xml:space="preserve"> ועי' בפת"ש (סק"ב) עוד מ</w:t>
      </w:r>
      <w:r w:rsidR="00032F1E">
        <w:rPr>
          <w:rFonts w:hint="cs"/>
          <w:rtl/>
        </w:rPr>
        <w:t xml:space="preserve">עניין </w:t>
      </w:r>
      <w:r w:rsidR="000425A6">
        <w:rPr>
          <w:rFonts w:hint="cs"/>
          <w:rtl/>
        </w:rPr>
        <w:t>זה.</w:t>
      </w:r>
    </w:p>
  </w:footnote>
  <w:footnote w:id="510">
    <w:p w14:paraId="67C33313" w14:textId="77777777" w:rsidR="001B39EB" w:rsidRDefault="001B39EB" w:rsidP="001B39EB">
      <w:pPr>
        <w:pStyle w:val="a5"/>
      </w:pPr>
      <w:r>
        <w:rPr>
          <w:rStyle w:val="a7"/>
        </w:rPr>
        <w:footnoteRef/>
      </w:r>
      <w:r>
        <w:rPr>
          <w:rtl/>
        </w:rPr>
        <w:t xml:space="preserve"> </w:t>
      </w:r>
      <w:r>
        <w:rPr>
          <w:rFonts w:hint="cs"/>
          <w:rtl/>
        </w:rPr>
        <w:t>סימן - גברת סוררת, גבר סורר.</w:t>
      </w:r>
    </w:p>
  </w:footnote>
  <w:footnote w:id="511">
    <w:p w14:paraId="4BE38DE5" w14:textId="77777777" w:rsidR="00DE2F5F" w:rsidRDefault="00DE2F5F" w:rsidP="00530F9D">
      <w:pPr>
        <w:pStyle w:val="a5"/>
        <w:rPr>
          <w:rtl/>
        </w:rPr>
      </w:pPr>
      <w:r>
        <w:rPr>
          <w:rStyle w:val="a7"/>
        </w:rPr>
        <w:footnoteRef/>
      </w:r>
      <w:r>
        <w:rPr>
          <w:rtl/>
        </w:rPr>
        <w:t xml:space="preserve"> </w:t>
      </w:r>
      <w:r w:rsidRPr="005A6BAC">
        <w:rPr>
          <w:rFonts w:cs="Arial"/>
          <w:rtl/>
        </w:rPr>
        <w:t>ואחר כך נותן לה גט ויוצאה בלא כתובה אבל אינו משהה לפסוק על הנכסים שנפלו לה מבית אביה ולהפסידה ממנה</w:t>
      </w:r>
      <w:r>
        <w:rPr>
          <w:rFonts w:hint="cs"/>
          <w:rtl/>
        </w:rPr>
        <w:t>, רש"י.</w:t>
      </w:r>
    </w:p>
  </w:footnote>
  <w:footnote w:id="512">
    <w:p w14:paraId="73C775EF" w14:textId="77777777" w:rsidR="00DE2F5F" w:rsidRDefault="00DE2F5F" w:rsidP="00530F9D">
      <w:pPr>
        <w:pStyle w:val="a5"/>
        <w:rPr>
          <w:rtl/>
        </w:rPr>
      </w:pPr>
      <w:r>
        <w:rPr>
          <w:rStyle w:val="a7"/>
        </w:rPr>
        <w:footnoteRef/>
      </w:r>
      <w:r>
        <w:rPr>
          <w:rtl/>
        </w:rPr>
        <w:t xml:space="preserve"> </w:t>
      </w:r>
      <w:r w:rsidRPr="005320ED">
        <w:rPr>
          <w:rFonts w:cs="Arial"/>
          <w:rtl/>
        </w:rPr>
        <w:t>והך מתניתא במורדת מתשמיש</w:t>
      </w:r>
      <w:r>
        <w:rPr>
          <w:rFonts w:hint="cs"/>
          <w:rtl/>
        </w:rPr>
        <w:t>, רש"י.</w:t>
      </w:r>
    </w:p>
  </w:footnote>
  <w:footnote w:id="513">
    <w:p w14:paraId="460459AB" w14:textId="77777777" w:rsidR="00DE2F5F" w:rsidRDefault="00DE2F5F" w:rsidP="00530F9D">
      <w:pPr>
        <w:pStyle w:val="a5"/>
      </w:pPr>
      <w:r>
        <w:rPr>
          <w:rStyle w:val="a7"/>
        </w:rPr>
        <w:footnoteRef/>
      </w:r>
      <w:r>
        <w:rPr>
          <w:rtl/>
        </w:rPr>
        <w:t xml:space="preserve"> </w:t>
      </w:r>
      <w:r w:rsidRPr="005320ED">
        <w:rPr>
          <w:rFonts w:cs="Arial"/>
          <w:rtl/>
        </w:rPr>
        <w:t>שלא ישהו אותה לפחות מעט מעט אלא יפסידוה כל כתובתה לאחר ארבע שבתות של הכרזה</w:t>
      </w:r>
      <w:r>
        <w:rPr>
          <w:rFonts w:cs="Arial" w:hint="cs"/>
          <w:rtl/>
        </w:rPr>
        <w:t>, רש"י.</w:t>
      </w:r>
    </w:p>
  </w:footnote>
  <w:footnote w:id="514">
    <w:p w14:paraId="2FF0DB1A" w14:textId="77777777" w:rsidR="00DE2F5F" w:rsidRDefault="00DE2F5F" w:rsidP="00530F9D">
      <w:pPr>
        <w:pStyle w:val="a5"/>
      </w:pPr>
      <w:r>
        <w:rPr>
          <w:rStyle w:val="a7"/>
        </w:rPr>
        <w:footnoteRef/>
      </w:r>
      <w:r>
        <w:rPr>
          <w:rtl/>
        </w:rPr>
        <w:t xml:space="preserve"> </w:t>
      </w:r>
      <w:r w:rsidRPr="005320ED">
        <w:rPr>
          <w:rFonts w:cs="Arial"/>
          <w:rtl/>
        </w:rPr>
        <w:t>ימים שאינם של מלאכה והכל מצוין בבתי כנסיות ובבתי מדרשות</w:t>
      </w:r>
      <w:r>
        <w:rPr>
          <w:rFonts w:cs="Arial" w:hint="cs"/>
          <w:rtl/>
        </w:rPr>
        <w:t>, רש"י.</w:t>
      </w:r>
    </w:p>
  </w:footnote>
  <w:footnote w:id="515">
    <w:p w14:paraId="46123017" w14:textId="77777777" w:rsidR="00DE2F5F" w:rsidRDefault="00DE2F5F" w:rsidP="00530F9D">
      <w:pPr>
        <w:pStyle w:val="a5"/>
      </w:pPr>
      <w:r>
        <w:rPr>
          <w:rStyle w:val="a7"/>
        </w:rPr>
        <w:footnoteRef/>
      </w:r>
      <w:r>
        <w:rPr>
          <w:rtl/>
        </w:rPr>
        <w:t xml:space="preserve"> </w:t>
      </w:r>
      <w:r w:rsidRPr="005320ED">
        <w:rPr>
          <w:rFonts w:cs="Arial"/>
          <w:rtl/>
        </w:rPr>
        <w:t>דבר שאינו הגון</w:t>
      </w:r>
      <w:r>
        <w:rPr>
          <w:rFonts w:cs="Arial" w:hint="cs"/>
          <w:rtl/>
        </w:rPr>
        <w:t>, רש"י.</w:t>
      </w:r>
    </w:p>
  </w:footnote>
  <w:footnote w:id="516">
    <w:p w14:paraId="42CBAC4F" w14:textId="77777777" w:rsidR="00DE2F5F" w:rsidRDefault="00DE2F5F" w:rsidP="00530F9D">
      <w:pPr>
        <w:pStyle w:val="a5"/>
      </w:pPr>
      <w:r>
        <w:rPr>
          <w:rStyle w:val="a7"/>
        </w:rPr>
        <w:footnoteRef/>
      </w:r>
      <w:r>
        <w:rPr>
          <w:rtl/>
        </w:rPr>
        <w:t xml:space="preserve"> </w:t>
      </w:r>
      <w:r w:rsidRPr="005320ED">
        <w:rPr>
          <w:rFonts w:cs="Arial"/>
          <w:rtl/>
        </w:rPr>
        <w:t>רבא דאמר בורכא היא כמאן סבר</w:t>
      </w:r>
      <w:r>
        <w:rPr>
          <w:rFonts w:cs="Arial" w:hint="cs"/>
          <w:rtl/>
        </w:rPr>
        <w:t>, רש"י.</w:t>
      </w:r>
    </w:p>
  </w:footnote>
  <w:footnote w:id="517">
    <w:p w14:paraId="1A9E3741" w14:textId="77777777" w:rsidR="00DE2F5F" w:rsidRDefault="00DE2F5F" w:rsidP="00530F9D">
      <w:pPr>
        <w:pStyle w:val="a5"/>
        <w:rPr>
          <w:rtl/>
        </w:rPr>
      </w:pPr>
      <w:r>
        <w:rPr>
          <w:rStyle w:val="a7"/>
        </w:rPr>
        <w:footnoteRef/>
      </w:r>
      <w:r>
        <w:rPr>
          <w:rtl/>
        </w:rPr>
        <w:t xml:space="preserve"> </w:t>
      </w:r>
      <w:r w:rsidRPr="005320ED">
        <w:rPr>
          <w:rFonts w:cs="Arial"/>
          <w:rtl/>
        </w:rPr>
        <w:t>משהין את גיטה ומחזירין עליה שתחזור בה ובתוך כך פוחתין מכתובתה שבעה דינרין בשבת</w:t>
      </w:r>
      <w:r>
        <w:rPr>
          <w:rFonts w:hint="cs"/>
          <w:rtl/>
        </w:rPr>
        <w:t>, רש"י.</w:t>
      </w:r>
    </w:p>
  </w:footnote>
  <w:footnote w:id="518">
    <w:p w14:paraId="00B6234E" w14:textId="51783F2C" w:rsidR="00DE2F5F" w:rsidRDefault="00DE2F5F">
      <w:pPr>
        <w:pStyle w:val="a5"/>
      </w:pPr>
      <w:r>
        <w:rPr>
          <w:rStyle w:val="a7"/>
        </w:rPr>
        <w:footnoteRef/>
      </w:r>
      <w:r>
        <w:rPr>
          <w:rtl/>
        </w:rPr>
        <w:t xml:space="preserve"> </w:t>
      </w:r>
      <w:r w:rsidRPr="00897A64">
        <w:rPr>
          <w:rFonts w:cs="Arial"/>
          <w:rtl/>
        </w:rPr>
        <w:t xml:space="preserve">והר"ן </w:t>
      </w:r>
      <w:r w:rsidRPr="00980B61">
        <w:rPr>
          <w:rFonts w:cs="Arial" w:hint="cs"/>
          <w:sz w:val="16"/>
          <w:szCs w:val="16"/>
          <w:rtl/>
        </w:rPr>
        <w:t>(</w:t>
      </w:r>
      <w:r>
        <w:rPr>
          <w:rFonts w:cs="Arial" w:hint="cs"/>
          <w:sz w:val="16"/>
          <w:szCs w:val="16"/>
          <w:rtl/>
        </w:rPr>
        <w:t>שם</w:t>
      </w:r>
      <w:r w:rsidRPr="00980B61">
        <w:rPr>
          <w:rFonts w:cs="Arial"/>
          <w:sz w:val="16"/>
          <w:szCs w:val="16"/>
          <w:rtl/>
        </w:rPr>
        <w:t xml:space="preserve"> כו. ד"ה מתני')</w:t>
      </w:r>
      <w:r w:rsidRPr="00897A64">
        <w:rPr>
          <w:rFonts w:cs="Arial"/>
          <w:rtl/>
        </w:rPr>
        <w:t xml:space="preserve"> </w:t>
      </w:r>
      <w:r>
        <w:rPr>
          <w:rFonts w:cs="Arial" w:hint="cs"/>
          <w:rtl/>
        </w:rPr>
        <w:t xml:space="preserve">כתב </w:t>
      </w:r>
      <w:r w:rsidRPr="00897A64">
        <w:rPr>
          <w:rFonts w:cs="Arial"/>
          <w:rtl/>
        </w:rPr>
        <w:t>דאין מגרשה עד שפחתו לה נמי מנכסי מלוג שלה וכן מנכסים שלה שיש לה שאין לבעלה רשות בהן</w:t>
      </w:r>
      <w:r>
        <w:rPr>
          <w:rFonts w:cs="Arial" w:hint="cs"/>
          <w:rtl/>
        </w:rPr>
        <w:t>,</w:t>
      </w:r>
      <w:r w:rsidRPr="00897A64">
        <w:rPr>
          <w:rFonts w:cs="Arial"/>
          <w:rtl/>
        </w:rPr>
        <w:t xml:space="preserve"> ודוקא נשואה אבל לא ארוסה</w:t>
      </w:r>
      <w:r>
        <w:rPr>
          <w:rFonts w:cs="Arial" w:hint="cs"/>
          <w:rtl/>
        </w:rPr>
        <w:t>,</w:t>
      </w:r>
      <w:r w:rsidRPr="00897A64">
        <w:rPr>
          <w:rFonts w:cs="Arial"/>
          <w:rtl/>
        </w:rPr>
        <w:t xml:space="preserve"> וזהו דעת הרמב"ן </w:t>
      </w:r>
      <w:r w:rsidRPr="00980B61">
        <w:rPr>
          <w:rFonts w:cs="Arial"/>
          <w:sz w:val="16"/>
          <w:szCs w:val="16"/>
          <w:rtl/>
        </w:rPr>
        <w:t>(סג: ד"ה כלתיה)</w:t>
      </w:r>
      <w:r>
        <w:rPr>
          <w:rFonts w:cs="Arial" w:hint="cs"/>
          <w:rtl/>
        </w:rPr>
        <w:t>.</w:t>
      </w:r>
      <w:r w:rsidRPr="00897A64">
        <w:rPr>
          <w:rFonts w:cs="Arial"/>
          <w:rtl/>
        </w:rPr>
        <w:t xml:space="preserve"> אבל הרמב"ם כתב דאין פוחתין לה רק מכתובתה</w:t>
      </w:r>
      <w:r>
        <w:rPr>
          <w:rFonts w:cs="Arial" w:hint="cs"/>
          <w:rtl/>
        </w:rPr>
        <w:t>.</w:t>
      </w:r>
      <w:r w:rsidRPr="00897A64">
        <w:rPr>
          <w:rFonts w:cs="Arial"/>
          <w:rtl/>
        </w:rPr>
        <w:t xml:space="preserve"> וכתב הרא"ה דאלו הז' דינרין שפוחתין לה הם ז' דינרין ממש מכתובה שלה או מנכסים שלה ולא מטובת הנאה שיש לה בהן</w:t>
      </w:r>
      <w:r>
        <w:rPr>
          <w:rFonts w:cs="Arial" w:hint="cs"/>
          <w:rtl/>
        </w:rPr>
        <w:t>, דרכ"מ (אות ד).</w:t>
      </w:r>
    </w:p>
  </w:footnote>
  <w:footnote w:id="519">
    <w:p w14:paraId="3D532112" w14:textId="1E9DE508" w:rsidR="00DE2F5F" w:rsidRDefault="00DE2F5F" w:rsidP="00577FF6">
      <w:pPr>
        <w:pStyle w:val="a5"/>
      </w:pPr>
      <w:r>
        <w:rPr>
          <w:rStyle w:val="a7"/>
        </w:rPr>
        <w:footnoteRef/>
      </w:r>
      <w:r>
        <w:rPr>
          <w:rtl/>
        </w:rPr>
        <w:t xml:space="preserve"> </w:t>
      </w:r>
      <w:r w:rsidRPr="00DD6B6E">
        <w:rPr>
          <w:rFonts w:cs="Arial"/>
          <w:rtl/>
        </w:rPr>
        <w:t>וכן הוא בהגמ</w:t>
      </w:r>
      <w:r>
        <w:rPr>
          <w:rFonts w:cs="Arial" w:hint="cs"/>
          <w:rtl/>
        </w:rPr>
        <w:t>"</w:t>
      </w:r>
      <w:r w:rsidRPr="00DD6B6E">
        <w:rPr>
          <w:rFonts w:cs="Arial"/>
          <w:rtl/>
        </w:rPr>
        <w:t>ר דכתובות (סי' רצ)</w:t>
      </w:r>
      <w:r>
        <w:rPr>
          <w:rFonts w:cs="Arial" w:hint="cs"/>
          <w:rtl/>
        </w:rPr>
        <w:t>,</w:t>
      </w:r>
      <w:r w:rsidRPr="00DD6B6E">
        <w:rPr>
          <w:rFonts w:cs="Arial"/>
          <w:rtl/>
        </w:rPr>
        <w:t xml:space="preserve"> וכן הוא בהר"ן </w:t>
      </w:r>
      <w:r>
        <w:rPr>
          <w:rFonts w:cs="Arial" w:hint="cs"/>
          <w:rtl/>
        </w:rPr>
        <w:t>(</w:t>
      </w:r>
      <w:r w:rsidRPr="00DD6B6E">
        <w:rPr>
          <w:rFonts w:cs="Arial"/>
          <w:rtl/>
        </w:rPr>
        <w:t>פ</w:t>
      </w:r>
      <w:r>
        <w:rPr>
          <w:rFonts w:cs="Arial" w:hint="cs"/>
          <w:rtl/>
        </w:rPr>
        <w:t>'</w:t>
      </w:r>
      <w:r w:rsidRPr="00DD6B6E">
        <w:rPr>
          <w:rFonts w:cs="Arial"/>
          <w:rtl/>
        </w:rPr>
        <w:t xml:space="preserve"> אף על פי כז: דיבור ראשון)</w:t>
      </w:r>
      <w:r>
        <w:rPr>
          <w:rFonts w:cs="Arial" w:hint="cs"/>
          <w:rtl/>
        </w:rPr>
        <w:t>,</w:t>
      </w:r>
      <w:r w:rsidRPr="00DD6B6E">
        <w:rPr>
          <w:rFonts w:cs="Arial"/>
          <w:rtl/>
        </w:rPr>
        <w:t xml:space="preserve"> וכתב דאין חילוק בין מורדת מחמת מאיס או לא דבכל ענין אינה יכולה לחזור לאחר שהפסידה כתובתה</w:t>
      </w:r>
      <w:r>
        <w:rPr>
          <w:rFonts w:cs="Arial" w:hint="cs"/>
          <w:rtl/>
        </w:rPr>
        <w:t>, דרכ"מ (אות ה).</w:t>
      </w:r>
    </w:p>
  </w:footnote>
  <w:footnote w:id="520">
    <w:p w14:paraId="08EC60BC" w14:textId="3ACE37EF" w:rsidR="00DE2F5F" w:rsidRDefault="00DE2F5F">
      <w:pPr>
        <w:pStyle w:val="a5"/>
      </w:pPr>
      <w:r>
        <w:rPr>
          <w:rStyle w:val="a7"/>
        </w:rPr>
        <w:footnoteRef/>
      </w:r>
      <w:r>
        <w:rPr>
          <w:rtl/>
        </w:rPr>
        <w:t xml:space="preserve"> </w:t>
      </w:r>
      <w:r>
        <w:rPr>
          <w:rFonts w:cs="Arial"/>
          <w:rtl/>
        </w:rPr>
        <w:t>וכתבו הר"ן (כו: ד"ה אין) וה</w:t>
      </w:r>
      <w:r>
        <w:rPr>
          <w:rFonts w:cs="Arial" w:hint="cs"/>
          <w:rtl/>
        </w:rPr>
        <w:t>ה"</w:t>
      </w:r>
      <w:r>
        <w:rPr>
          <w:rFonts w:cs="Arial"/>
          <w:rtl/>
        </w:rPr>
        <w:t>מ שלדבריו ה"ק דייקא נמי דאין מכריזין אלא בבתי כנסיות ובבתי מדרשות דאם איתא דבשוק מכריזין עליה בבציר מהכי סגי דהא מכספא טפי</w:t>
      </w:r>
      <w:r>
        <w:rPr>
          <w:rFonts w:cs="Arial" w:hint="cs"/>
          <w:rtl/>
        </w:rPr>
        <w:t>.</w:t>
      </w:r>
      <w:r>
        <w:rPr>
          <w:rFonts w:cs="Arial"/>
          <w:rtl/>
        </w:rPr>
        <w:t xml:space="preserve"> ומכל מקום תמה עליו הר"ן דהא בתוספתא קתני הפך מדבריו. והתוספות (סג: ד"ה דיקא) כתבו כפירש"י דביומי שבתות דוקא מכריזין והכי קתני בתוספתא פעם אחת בשבת</w:t>
      </w:r>
      <w:r>
        <w:rPr>
          <w:rFonts w:cs="Arial" w:hint="cs"/>
          <w:rtl/>
        </w:rPr>
        <w:t>,</w:t>
      </w:r>
      <w:r>
        <w:rPr>
          <w:rFonts w:cs="Arial"/>
          <w:rtl/>
        </w:rPr>
        <w:t xml:space="preserve"> וכן כתבו הגהות מיימוניות (שם אות ז) בשם ס"מ (ספר מצוות לאוין פא לב ע"ג)</w:t>
      </w:r>
      <w:r>
        <w:rPr>
          <w:rFonts w:cs="Arial" w:hint="cs"/>
          <w:rtl/>
        </w:rPr>
        <w:t>, ב"י.</w:t>
      </w:r>
      <w:r w:rsidRPr="0087405A">
        <w:rPr>
          <w:rFonts w:cs="Arial" w:hint="cs"/>
          <w:color w:val="00B0F0"/>
          <w:rtl/>
        </w:rPr>
        <w:t xml:space="preserve"> (וכ"פ הרמ"א)</w:t>
      </w:r>
    </w:p>
  </w:footnote>
  <w:footnote w:id="521">
    <w:p w14:paraId="436CD06A" w14:textId="2142D395" w:rsidR="00DE2F5F" w:rsidRDefault="00DE2F5F">
      <w:pPr>
        <w:pStyle w:val="a5"/>
      </w:pPr>
      <w:r>
        <w:rPr>
          <w:rStyle w:val="a7"/>
        </w:rPr>
        <w:footnoteRef/>
      </w:r>
      <w:r>
        <w:rPr>
          <w:rtl/>
        </w:rPr>
        <w:t xml:space="preserve"> </w:t>
      </w:r>
      <w:r w:rsidRPr="003A0E8F">
        <w:rPr>
          <w:rFonts w:cs="Arial"/>
          <w:rtl/>
        </w:rPr>
        <w:t>ואמרה מאיס עלי</w:t>
      </w:r>
      <w:r>
        <w:rPr>
          <w:rFonts w:cs="Arial" w:hint="cs"/>
          <w:rtl/>
        </w:rPr>
        <w:t>, רש"י.</w:t>
      </w:r>
      <w:r w:rsidRPr="00831332">
        <w:rPr>
          <w:rFonts w:cs="Arial"/>
          <w:rtl/>
        </w:rPr>
        <w:t xml:space="preserve"> </w:t>
      </w:r>
      <w:r>
        <w:rPr>
          <w:rFonts w:cs="Arial"/>
          <w:rtl/>
        </w:rPr>
        <w:t xml:space="preserve">וכן פירש הרא"ש </w:t>
      </w:r>
      <w:r w:rsidRPr="00620C2F">
        <w:rPr>
          <w:rFonts w:cs="Arial"/>
          <w:sz w:val="16"/>
          <w:szCs w:val="16"/>
          <w:rtl/>
        </w:rPr>
        <w:t>(סי' לד</w:t>
      </w:r>
      <w:r>
        <w:rPr>
          <w:rFonts w:cs="Arial" w:hint="cs"/>
          <w:sz w:val="16"/>
          <w:szCs w:val="16"/>
          <w:rtl/>
        </w:rPr>
        <w:t>)</w:t>
      </w:r>
      <w:r>
        <w:rPr>
          <w:rFonts w:cs="Arial" w:hint="cs"/>
          <w:rtl/>
        </w:rPr>
        <w:t>, ב"י</w:t>
      </w:r>
      <w:r>
        <w:rPr>
          <w:rFonts w:cs="Arial"/>
          <w:rtl/>
        </w:rPr>
        <w:t>.</w:t>
      </w:r>
      <w:r>
        <w:rPr>
          <w:rFonts w:hint="cs"/>
          <w:rtl/>
        </w:rPr>
        <w:t xml:space="preserve"> אך הרמב"ם </w:t>
      </w:r>
      <w:r w:rsidRPr="00620C2F">
        <w:rPr>
          <w:rFonts w:hint="cs"/>
          <w:sz w:val="16"/>
          <w:szCs w:val="16"/>
          <w:rtl/>
        </w:rPr>
        <w:t xml:space="preserve">(פי"ד ה"ח-ט) </w:t>
      </w:r>
      <w:r>
        <w:rPr>
          <w:rFonts w:hint="cs"/>
          <w:rtl/>
        </w:rPr>
        <w:t>פירש דאמרה 'בע</w:t>
      </w:r>
      <w:r w:rsidR="00535F77">
        <w:rPr>
          <w:rFonts w:hint="cs"/>
          <w:rtl/>
        </w:rPr>
        <w:t>י</w:t>
      </w:r>
      <w:r>
        <w:rPr>
          <w:rFonts w:hint="cs"/>
          <w:rtl/>
        </w:rPr>
        <w:t>נא ליה ומצערנא ליה'.</w:t>
      </w:r>
    </w:p>
  </w:footnote>
  <w:footnote w:id="522">
    <w:p w14:paraId="4E9A2F57" w14:textId="763D1AE3" w:rsidR="00DE2F5F" w:rsidRDefault="00DE2F5F">
      <w:pPr>
        <w:pStyle w:val="a5"/>
      </w:pPr>
      <w:r>
        <w:rPr>
          <w:rStyle w:val="a7"/>
        </w:rPr>
        <w:footnoteRef/>
      </w:r>
      <w:r>
        <w:rPr>
          <w:rtl/>
        </w:rPr>
        <w:t xml:space="preserve"> </w:t>
      </w:r>
      <w:r w:rsidRPr="003A0E8F">
        <w:rPr>
          <w:rFonts w:cs="Arial"/>
          <w:rtl/>
        </w:rPr>
        <w:t>מעיל אחד שהכניסה לו בכתובה</w:t>
      </w:r>
      <w:r>
        <w:rPr>
          <w:rFonts w:cs="Arial" w:hint="cs"/>
          <w:rtl/>
        </w:rPr>
        <w:t>, רש"י.</w:t>
      </w:r>
    </w:p>
  </w:footnote>
  <w:footnote w:id="523">
    <w:p w14:paraId="4BD388E7" w14:textId="0A48D909" w:rsidR="00DE2F5F" w:rsidRDefault="00DE2F5F">
      <w:pPr>
        <w:pStyle w:val="a5"/>
      </w:pPr>
      <w:r>
        <w:rPr>
          <w:rStyle w:val="a7"/>
        </w:rPr>
        <w:footnoteRef/>
      </w:r>
      <w:r>
        <w:rPr>
          <w:rtl/>
        </w:rPr>
        <w:t xml:space="preserve"> </w:t>
      </w:r>
      <w:r w:rsidRPr="003A0E8F">
        <w:rPr>
          <w:rFonts w:cs="Arial"/>
          <w:rtl/>
        </w:rPr>
        <w:t>אפילו בגדיה שהכניסה לו בנדונייתה ושמאום עליו בכתובתה ועדיין הבלאות קיימין תפסיד אותם</w:t>
      </w:r>
      <w:r>
        <w:rPr>
          <w:rFonts w:cs="Arial" w:hint="cs"/>
          <w:rtl/>
        </w:rPr>
        <w:t>, רש"י.</w:t>
      </w:r>
    </w:p>
  </w:footnote>
  <w:footnote w:id="524">
    <w:p w14:paraId="7CA88C15" w14:textId="1381F44F" w:rsidR="00DE2F5F" w:rsidRDefault="00DE2F5F">
      <w:pPr>
        <w:pStyle w:val="a5"/>
        <w:rPr>
          <w:rtl/>
        </w:rPr>
      </w:pPr>
      <w:r>
        <w:rPr>
          <w:rStyle w:val="a7"/>
        </w:rPr>
        <w:footnoteRef/>
      </w:r>
      <w:r>
        <w:rPr>
          <w:rtl/>
        </w:rPr>
        <w:t xml:space="preserve"> </w:t>
      </w:r>
      <w:r w:rsidRPr="002616BC">
        <w:rPr>
          <w:rFonts w:cs="Arial"/>
          <w:rtl/>
        </w:rPr>
        <w:t>אם הפסידה בלאותיה אם לאו</w:t>
      </w:r>
      <w:r>
        <w:rPr>
          <w:rFonts w:hint="cs"/>
          <w:rtl/>
        </w:rPr>
        <w:t>, רש"י.</w:t>
      </w:r>
    </w:p>
  </w:footnote>
  <w:footnote w:id="525">
    <w:p w14:paraId="6586A771" w14:textId="2DBF8C55" w:rsidR="00DE2F5F" w:rsidRDefault="00DE2F5F">
      <w:pPr>
        <w:pStyle w:val="a5"/>
      </w:pPr>
      <w:r>
        <w:rPr>
          <w:rStyle w:val="a7"/>
        </w:rPr>
        <w:footnoteRef/>
      </w:r>
      <w:r>
        <w:rPr>
          <w:rtl/>
        </w:rPr>
        <w:t xml:space="preserve"> </w:t>
      </w:r>
      <w:r w:rsidRPr="002616BC">
        <w:rPr>
          <w:rFonts w:cs="Arial"/>
          <w:rtl/>
        </w:rPr>
        <w:t>ולא יערער על דברינו מחמת ענותנותו</w:t>
      </w:r>
      <w:r>
        <w:rPr>
          <w:rFonts w:cs="Arial" w:hint="cs"/>
          <w:rtl/>
        </w:rPr>
        <w:t>, רש"י.</w:t>
      </w:r>
    </w:p>
  </w:footnote>
  <w:footnote w:id="526">
    <w:p w14:paraId="0490A709" w14:textId="436D8C73" w:rsidR="00DE2F5F" w:rsidRDefault="00DE2F5F">
      <w:pPr>
        <w:pStyle w:val="a5"/>
        <w:rPr>
          <w:rtl/>
        </w:rPr>
      </w:pPr>
      <w:r>
        <w:rPr>
          <w:rStyle w:val="a7"/>
        </w:rPr>
        <w:footnoteRef/>
      </w:r>
      <w:r>
        <w:rPr>
          <w:rtl/>
        </w:rPr>
        <w:t xml:space="preserve"> </w:t>
      </w:r>
      <w:r w:rsidRPr="002616BC">
        <w:rPr>
          <w:rFonts w:cs="Arial"/>
          <w:rtl/>
        </w:rPr>
        <w:t>לחובתו</w:t>
      </w:r>
      <w:r>
        <w:rPr>
          <w:rFonts w:hint="cs"/>
          <w:rtl/>
        </w:rPr>
        <w:t>, רש"י.</w:t>
      </w:r>
    </w:p>
  </w:footnote>
  <w:footnote w:id="527">
    <w:p w14:paraId="2EE5CAB9" w14:textId="1C897D03" w:rsidR="00DE2F5F" w:rsidRDefault="00DE2F5F">
      <w:pPr>
        <w:pStyle w:val="a5"/>
        <w:rPr>
          <w:rtl/>
        </w:rPr>
      </w:pPr>
      <w:r>
        <w:rPr>
          <w:rStyle w:val="a7"/>
        </w:rPr>
        <w:footnoteRef/>
      </w:r>
      <w:r>
        <w:rPr>
          <w:rtl/>
        </w:rPr>
        <w:t xml:space="preserve"> </w:t>
      </w:r>
      <w:r w:rsidRPr="002616BC">
        <w:rPr>
          <w:rFonts w:cs="Arial"/>
          <w:rtl/>
        </w:rPr>
        <w:t>אולי תחזור בה</w:t>
      </w:r>
      <w:r>
        <w:rPr>
          <w:rFonts w:hint="cs"/>
          <w:rtl/>
        </w:rPr>
        <w:t>, רש"י.</w:t>
      </w:r>
    </w:p>
  </w:footnote>
  <w:footnote w:id="528">
    <w:p w14:paraId="134688AE" w14:textId="15527262" w:rsidR="00DE2F5F" w:rsidRDefault="00DE2F5F" w:rsidP="00764391">
      <w:pPr>
        <w:pStyle w:val="a5"/>
      </w:pPr>
      <w:r>
        <w:rPr>
          <w:rStyle w:val="a7"/>
        </w:rPr>
        <w:footnoteRef/>
      </w:r>
      <w:r>
        <w:rPr>
          <w:rtl/>
        </w:rPr>
        <w:t xml:space="preserve"> </w:t>
      </w:r>
      <w:r>
        <w:rPr>
          <w:rFonts w:cs="Arial"/>
          <w:rtl/>
        </w:rPr>
        <w:t xml:space="preserve">מלשון רבינו שכתב </w:t>
      </w:r>
      <w:r w:rsidR="00BC69B3">
        <w:rPr>
          <w:rFonts w:cs="Arial" w:hint="cs"/>
          <w:rtl/>
        </w:rPr>
        <w:t>"</w:t>
      </w:r>
      <w:r>
        <w:rPr>
          <w:rFonts w:cs="Arial"/>
          <w:rtl/>
        </w:rPr>
        <w:t xml:space="preserve">ושוב הוסיפו לתקן שימתינו לה </w:t>
      </w:r>
      <w:r>
        <w:rPr>
          <w:rFonts w:cs="Arial" w:hint="cs"/>
          <w:rtl/>
        </w:rPr>
        <w:t>י"ב</w:t>
      </w:r>
      <w:r>
        <w:rPr>
          <w:rFonts w:cs="Arial"/>
          <w:rtl/>
        </w:rPr>
        <w:t xml:space="preserve"> חודש</w:t>
      </w:r>
      <w:r w:rsidR="00BC69B3">
        <w:rPr>
          <w:rFonts w:cs="Arial" w:hint="cs"/>
          <w:rtl/>
        </w:rPr>
        <w:t>"</w:t>
      </w:r>
      <w:r>
        <w:rPr>
          <w:rFonts w:cs="Arial"/>
          <w:rtl/>
        </w:rPr>
        <w:t xml:space="preserve"> משמע שמלבד הכרזת ארבע שבתות תקנו שלא יתן לה גט עד שנים עשר חדש</w:t>
      </w:r>
      <w:r w:rsidR="00BC69B3">
        <w:rPr>
          <w:rFonts w:cs="Arial" w:hint="cs"/>
          <w:rtl/>
        </w:rPr>
        <w:t>,</w:t>
      </w:r>
      <w:r>
        <w:rPr>
          <w:rFonts w:cs="Arial"/>
          <w:rtl/>
        </w:rPr>
        <w:t xml:space="preserve"> וכך הם דברי הרמב"ם ז"ל (שם ה"י)</w:t>
      </w:r>
      <w:r>
        <w:rPr>
          <w:rFonts w:cs="Arial" w:hint="cs"/>
          <w:rtl/>
        </w:rPr>
        <w:t xml:space="preserve">, </w:t>
      </w:r>
      <w:r w:rsidRPr="00BC69B3">
        <w:rPr>
          <w:rFonts w:cs="Arial" w:hint="cs"/>
          <w:b/>
          <w:bCs/>
          <w:rtl/>
        </w:rPr>
        <w:t>ב"י</w:t>
      </w:r>
      <w:r>
        <w:rPr>
          <w:rFonts w:cs="Arial" w:hint="cs"/>
          <w:rtl/>
        </w:rPr>
        <w:t>.</w:t>
      </w:r>
      <w:r w:rsidR="00BC69B3">
        <w:rPr>
          <w:rFonts w:cs="Arial" w:hint="cs"/>
          <w:rtl/>
        </w:rPr>
        <w:t xml:space="preserve">     </w:t>
      </w:r>
      <w:r w:rsidRPr="00A74C2B">
        <w:rPr>
          <w:rFonts w:cs="Arial"/>
          <w:rtl/>
        </w:rPr>
        <w:t xml:space="preserve"> וצ"ע</w:t>
      </w:r>
      <w:r w:rsidR="00BC69B3">
        <w:rPr>
          <w:rFonts w:cs="Arial" w:hint="cs"/>
          <w:rtl/>
        </w:rPr>
        <w:t>,</w:t>
      </w:r>
      <w:r w:rsidRPr="00A74C2B">
        <w:rPr>
          <w:rFonts w:cs="Arial"/>
          <w:rtl/>
        </w:rPr>
        <w:t xml:space="preserve"> </w:t>
      </w:r>
      <w:r w:rsidR="00BC69B3">
        <w:rPr>
          <w:rFonts w:cs="Arial" w:hint="cs"/>
          <w:rtl/>
        </w:rPr>
        <w:t>ד</w:t>
      </w:r>
      <w:r w:rsidRPr="00A74C2B">
        <w:rPr>
          <w:rFonts w:cs="Arial"/>
          <w:rtl/>
        </w:rPr>
        <w:t>בתשובת הר"ן כתב דבטוענת מאיס עלי אין מכריזין עליה ולא הזכירו בגמרא הכרזה אלא במורדת דבעינא ליה ומצערנא ליה כו' וכ"כ מתשו</w:t>
      </w:r>
      <w:r>
        <w:rPr>
          <w:rFonts w:cs="Arial" w:hint="cs"/>
          <w:rtl/>
        </w:rPr>
        <w:t>'</w:t>
      </w:r>
      <w:r w:rsidRPr="00A74C2B">
        <w:rPr>
          <w:rFonts w:cs="Arial"/>
          <w:rtl/>
        </w:rPr>
        <w:t xml:space="preserve"> הרשב"א</w:t>
      </w:r>
      <w:r>
        <w:rPr>
          <w:rFonts w:cs="Arial" w:hint="cs"/>
          <w:rtl/>
        </w:rPr>
        <w:t>,</w:t>
      </w:r>
      <w:r w:rsidRPr="00764391">
        <w:rPr>
          <w:rFonts w:cs="Arial"/>
          <w:rtl/>
        </w:rPr>
        <w:t xml:space="preserve"> </w:t>
      </w:r>
      <w:r w:rsidRPr="00BC69B3">
        <w:rPr>
          <w:rFonts w:cs="Arial" w:hint="cs"/>
          <w:b/>
          <w:bCs/>
          <w:rtl/>
        </w:rPr>
        <w:t>דרכ"מ</w:t>
      </w:r>
      <w:r>
        <w:rPr>
          <w:rFonts w:cs="Arial" w:hint="cs"/>
          <w:rtl/>
        </w:rPr>
        <w:t xml:space="preserve"> </w:t>
      </w:r>
      <w:r w:rsidRPr="00A74C2B">
        <w:rPr>
          <w:rFonts w:cs="Arial"/>
          <w:rtl/>
        </w:rPr>
        <w:t>(</w:t>
      </w:r>
      <w:r>
        <w:rPr>
          <w:rFonts w:cs="Arial" w:hint="cs"/>
          <w:rtl/>
        </w:rPr>
        <w:t xml:space="preserve">אות </w:t>
      </w:r>
      <w:r w:rsidRPr="00A74C2B">
        <w:rPr>
          <w:rFonts w:cs="Arial"/>
          <w:rtl/>
        </w:rPr>
        <w:t>ח*)</w:t>
      </w:r>
      <w:r>
        <w:rPr>
          <w:rFonts w:cs="Arial" w:hint="cs"/>
          <w:rtl/>
        </w:rPr>
        <w:t>.</w:t>
      </w:r>
    </w:p>
  </w:footnote>
  <w:footnote w:id="529">
    <w:p w14:paraId="3763DB88" w14:textId="13B01AB5" w:rsidR="00DE2F5F" w:rsidRDefault="00DE2F5F">
      <w:pPr>
        <w:pStyle w:val="a5"/>
      </w:pPr>
      <w:r>
        <w:rPr>
          <w:rStyle w:val="a7"/>
        </w:rPr>
        <w:footnoteRef/>
      </w:r>
      <w:r>
        <w:rPr>
          <w:rtl/>
        </w:rPr>
        <w:t xml:space="preserve"> </w:t>
      </w:r>
      <w:r w:rsidRPr="008F7F12">
        <w:rPr>
          <w:rFonts w:cs="Arial"/>
          <w:rtl/>
        </w:rPr>
        <w:t>תקנה זו נעשית בימי האמוראים האחרונים כאשר ראו כי גבהו בנות ישראל ודעתם זחה עליהם</w:t>
      </w:r>
      <w:r w:rsidRPr="008F7F12">
        <w:rPr>
          <w:rFonts w:cs="Arial" w:hint="cs"/>
          <w:rtl/>
        </w:rPr>
        <w:t>,</w:t>
      </w:r>
      <w:r w:rsidRPr="008F7F12">
        <w:rPr>
          <w:rFonts w:cs="Arial"/>
          <w:rtl/>
        </w:rPr>
        <w:t xml:space="preserve"> וכאשר היה להם כעס עם בעליהן היו אומרות לא בעינא ליה</w:t>
      </w:r>
      <w:r w:rsidRPr="008F7F12">
        <w:rPr>
          <w:rFonts w:cs="Arial" w:hint="cs"/>
          <w:rtl/>
        </w:rPr>
        <w:t>,</w:t>
      </w:r>
      <w:r w:rsidRPr="008F7F12">
        <w:rPr>
          <w:rFonts w:cs="Arial"/>
          <w:rtl/>
        </w:rPr>
        <w:t xml:space="preserve"> והבעל מגרשם מיד כיון שפטרתו מכתובתה</w:t>
      </w:r>
      <w:r w:rsidRPr="008F7F12">
        <w:rPr>
          <w:rFonts w:cs="Arial" w:hint="cs"/>
          <w:rtl/>
        </w:rPr>
        <w:t>,</w:t>
      </w:r>
      <w:r w:rsidRPr="008F7F12">
        <w:rPr>
          <w:rFonts w:cs="Arial"/>
          <w:rtl/>
        </w:rPr>
        <w:t xml:space="preserve"> ושוב היו הנשים מתחרטות</w:t>
      </w:r>
      <w:r w:rsidRPr="008F7F12">
        <w:rPr>
          <w:rFonts w:cs="Arial" w:hint="cs"/>
          <w:rtl/>
        </w:rPr>
        <w:t xml:space="preserve">. </w:t>
      </w:r>
      <w:r w:rsidRPr="008F7F12">
        <w:rPr>
          <w:rFonts w:cs="Arial"/>
          <w:rtl/>
        </w:rPr>
        <w:t>תקנו שתשהה שנה</w:t>
      </w:r>
      <w:r w:rsidRPr="008F7F12">
        <w:rPr>
          <w:rFonts w:cs="Arial" w:hint="cs"/>
          <w:rtl/>
        </w:rPr>
        <w:t>,</w:t>
      </w:r>
      <w:r w:rsidRPr="008F7F12">
        <w:rPr>
          <w:rFonts w:cs="Arial"/>
          <w:rtl/>
        </w:rPr>
        <w:t xml:space="preserve"> ואם יגרשנה בתוך השנה שלא תהא מחילתה מחילה ויצטרך ליתן לה כתובה אולי יתפייסו בתוך השנה</w:t>
      </w:r>
      <w:r w:rsidRPr="008F7F12">
        <w:rPr>
          <w:rFonts w:cs="Arial" w:hint="cs"/>
          <w:rtl/>
        </w:rPr>
        <w:t>.</w:t>
      </w:r>
      <w:r w:rsidRPr="008F7F12">
        <w:rPr>
          <w:rFonts w:cs="Arial"/>
          <w:rtl/>
        </w:rPr>
        <w:t xml:space="preserve"> וכיון שתקנו כך לאומרת מאיס עלי שהיתה ראויה להתגרש מיד בלא כפייה</w:t>
      </w:r>
      <w:r w:rsidRPr="008F7F12">
        <w:rPr>
          <w:rFonts w:cs="Arial" w:hint="cs"/>
          <w:rtl/>
        </w:rPr>
        <w:t>,</w:t>
      </w:r>
      <w:r w:rsidRPr="008F7F12">
        <w:rPr>
          <w:rFonts w:cs="Arial"/>
          <w:rtl/>
        </w:rPr>
        <w:t xml:space="preserve"> כל שכן למורדת. ואינה נזונת אותה שנה</w:t>
      </w:r>
      <w:r w:rsidRPr="008F7F12">
        <w:rPr>
          <w:rFonts w:cs="Arial" w:hint="cs"/>
          <w:rtl/>
        </w:rPr>
        <w:t>,</w:t>
      </w:r>
      <w:r w:rsidRPr="008F7F12">
        <w:rPr>
          <w:rFonts w:cs="Arial"/>
          <w:rtl/>
        </w:rPr>
        <w:t xml:space="preserve"> אבל הוא אוכל פירות וחייב בפרקונה</w:t>
      </w:r>
      <w:r w:rsidRPr="008F7F12">
        <w:rPr>
          <w:rFonts w:cs="Arial" w:hint="cs"/>
          <w:rtl/>
        </w:rPr>
        <w:t>.</w:t>
      </w:r>
      <w:r w:rsidRPr="008F7F12">
        <w:rPr>
          <w:rFonts w:cs="Arial"/>
          <w:rtl/>
        </w:rPr>
        <w:t xml:space="preserve"> דבמזונות קנסו אותה דרוב נשים אין מספיק מעשה ידיהם למזונותיהם</w:t>
      </w:r>
      <w:r w:rsidRPr="008F7F12">
        <w:rPr>
          <w:rFonts w:cs="Arial" w:hint="cs"/>
          <w:rtl/>
        </w:rPr>
        <w:t>.</w:t>
      </w:r>
      <w:r w:rsidRPr="008F7F12">
        <w:rPr>
          <w:rFonts w:cs="Arial"/>
          <w:rtl/>
        </w:rPr>
        <w:t xml:space="preserve"> אבל היתה חפצה שלא יאכל הבעל פירות נכסיה ולא יתחייב בפרקונה</w:t>
      </w:r>
      <w:r w:rsidRPr="008F7F12">
        <w:rPr>
          <w:rFonts w:cs="Arial" w:hint="cs"/>
          <w:rtl/>
        </w:rPr>
        <w:t>,</w:t>
      </w:r>
      <w:r w:rsidRPr="008F7F12">
        <w:rPr>
          <w:rFonts w:cs="Arial"/>
          <w:rtl/>
        </w:rPr>
        <w:t xml:space="preserve"> לאו כל כמינה</w:t>
      </w:r>
      <w:r w:rsidRPr="008F7F12">
        <w:rPr>
          <w:rFonts w:cs="Arial" w:hint="cs"/>
          <w:rtl/>
        </w:rPr>
        <w:t>.</w:t>
      </w:r>
      <w:r w:rsidRPr="008F7F12">
        <w:rPr>
          <w:rFonts w:cs="Arial"/>
          <w:rtl/>
        </w:rPr>
        <w:t xml:space="preserve"> הילכך הוא אוכל פירות</w:t>
      </w:r>
      <w:r w:rsidRPr="008F7F12">
        <w:rPr>
          <w:rFonts w:cs="Arial" w:hint="cs"/>
          <w:rtl/>
        </w:rPr>
        <w:t>,</w:t>
      </w:r>
      <w:r w:rsidRPr="008F7F12">
        <w:rPr>
          <w:rFonts w:cs="Arial"/>
          <w:rtl/>
        </w:rPr>
        <w:t xml:space="preserve"> וכיון שאוכל פירות חייב גם בפרקונה</w:t>
      </w:r>
      <w:r w:rsidRPr="008F7F12">
        <w:rPr>
          <w:rFonts w:cs="Arial" w:hint="cs"/>
          <w:rtl/>
        </w:rPr>
        <w:t>.</w:t>
      </w:r>
      <w:r w:rsidRPr="008F7F12">
        <w:rPr>
          <w:rFonts w:cs="Arial"/>
          <w:rtl/>
        </w:rPr>
        <w:t xml:space="preserve"> ויראה שחייב בקבורתה</w:t>
      </w:r>
      <w:r w:rsidRPr="008F7F12">
        <w:rPr>
          <w:rFonts w:cs="Arial" w:hint="cs"/>
          <w:rtl/>
        </w:rPr>
        <w:t>, רא"ש (פ"ה סי' לד)</w:t>
      </w:r>
      <w:r>
        <w:rPr>
          <w:rFonts w:cs="Arial" w:hint="cs"/>
          <w:rtl/>
        </w:rPr>
        <w:t>.</w:t>
      </w:r>
    </w:p>
  </w:footnote>
  <w:footnote w:id="530">
    <w:p w14:paraId="3432F242" w14:textId="6B147FEF" w:rsidR="00DE2F5F" w:rsidRDefault="00DE2F5F" w:rsidP="00522F20">
      <w:pPr>
        <w:pStyle w:val="a5"/>
      </w:pPr>
      <w:r>
        <w:rPr>
          <w:rStyle w:val="a7"/>
        </w:rPr>
        <w:footnoteRef/>
      </w:r>
      <w:r>
        <w:rPr>
          <w:rtl/>
        </w:rPr>
        <w:t xml:space="preserve"> </w:t>
      </w:r>
      <w:r w:rsidRPr="00897A64">
        <w:rPr>
          <w:rFonts w:cs="Arial"/>
          <w:rtl/>
        </w:rPr>
        <w:t xml:space="preserve">וכתב ב"י בשם תשובת הרשב"א </w:t>
      </w:r>
      <w:r>
        <w:rPr>
          <w:rFonts w:cs="Arial" w:hint="cs"/>
          <w:sz w:val="16"/>
          <w:szCs w:val="16"/>
          <w:rtl/>
        </w:rPr>
        <w:t>(עי' בתשובות הרשב"א ח"א סי' אלף רלה)</w:t>
      </w:r>
      <w:r w:rsidRPr="00897A64">
        <w:rPr>
          <w:rFonts w:cs="Arial"/>
          <w:rtl/>
        </w:rPr>
        <w:t xml:space="preserve"> דאם מגרשה תוך י"ב חודש צריך ליתן לה כתובה ונכסי </w:t>
      </w:r>
      <w:r>
        <w:rPr>
          <w:rFonts w:cs="Arial"/>
          <w:rtl/>
        </w:rPr>
        <w:t>צאן ברזל</w:t>
      </w:r>
      <w:r w:rsidRPr="00897A64">
        <w:rPr>
          <w:rFonts w:cs="Arial"/>
          <w:rtl/>
        </w:rPr>
        <w:t xml:space="preserve"> שלה אבל לא מה שכתב לה מאחר שהיא תובעת ממנו גט</w:t>
      </w:r>
      <w:r>
        <w:rPr>
          <w:rFonts w:cs="Arial" w:hint="cs"/>
          <w:rtl/>
        </w:rPr>
        <w:t>, דרכ"מ (אות ח).</w:t>
      </w:r>
      <w:r w:rsidRPr="0032002E">
        <w:rPr>
          <w:rFonts w:cs="Arial" w:hint="cs"/>
          <w:color w:val="00B0F0"/>
          <w:rtl/>
        </w:rPr>
        <w:t xml:space="preserve"> </w:t>
      </w:r>
      <w:r w:rsidRPr="0087405A">
        <w:rPr>
          <w:rFonts w:cs="Arial" w:hint="cs"/>
          <w:color w:val="00B0F0"/>
          <w:rtl/>
        </w:rPr>
        <w:t>(וכ"פ הרמ"א)</w:t>
      </w:r>
    </w:p>
  </w:footnote>
  <w:footnote w:id="531">
    <w:p w14:paraId="4A69830C" w14:textId="4C2FA2F2" w:rsidR="00DE2F5F" w:rsidRDefault="00DE2F5F" w:rsidP="00530F9D">
      <w:pPr>
        <w:pStyle w:val="a5"/>
        <w:rPr>
          <w:rtl/>
        </w:rPr>
      </w:pPr>
      <w:r>
        <w:rPr>
          <w:rStyle w:val="a7"/>
        </w:rPr>
        <w:footnoteRef/>
      </w:r>
      <w:r>
        <w:rPr>
          <w:rtl/>
        </w:rPr>
        <w:t xml:space="preserve"> </w:t>
      </w:r>
      <w:r w:rsidRPr="00FA71CF">
        <w:rPr>
          <w:rFonts w:cs="Arial"/>
          <w:rtl/>
        </w:rPr>
        <w:t>נראה דלאחר השנה שאבדה כתובתה אבדה ג"כ כל תנאי כתובה</w:t>
      </w:r>
      <w:r>
        <w:rPr>
          <w:rFonts w:cs="Arial" w:hint="cs"/>
          <w:rtl/>
        </w:rPr>
        <w:t>,</w:t>
      </w:r>
      <w:r w:rsidRPr="00FA71CF">
        <w:rPr>
          <w:rFonts w:cs="Arial"/>
          <w:rtl/>
        </w:rPr>
        <w:t xml:space="preserve"> והכי דייק לשון הרא"ש דדוקא תוך י"ב חודש חייב בקבורתה ובפרקונה אבל לא לאחר מכן</w:t>
      </w:r>
      <w:r>
        <w:rPr>
          <w:rFonts w:cs="Arial" w:hint="cs"/>
          <w:rtl/>
        </w:rPr>
        <w:t>.</w:t>
      </w:r>
      <w:r w:rsidRPr="00FA71CF">
        <w:rPr>
          <w:rFonts w:cs="Arial"/>
          <w:rtl/>
        </w:rPr>
        <w:t xml:space="preserve"> ולכן נראה דאח"כ אין הבעל אוכל פירות נכסיה</w:t>
      </w:r>
      <w:r>
        <w:rPr>
          <w:rFonts w:cs="Arial" w:hint="cs"/>
          <w:rtl/>
        </w:rPr>
        <w:t>,</w:t>
      </w:r>
      <w:r w:rsidRPr="00FA71CF">
        <w:rPr>
          <w:rFonts w:cs="Arial"/>
          <w:rtl/>
        </w:rPr>
        <w:t xml:space="preserve"> וכן משמע מתשובת מהרי"ו סימן כ' דלאחר שיש לה דין מורדת ויכול לגרשה בלא כתובה אין להם זה על זה כלום וע"ש</w:t>
      </w:r>
      <w:r>
        <w:rPr>
          <w:rFonts w:cs="Arial" w:hint="cs"/>
          <w:rtl/>
        </w:rPr>
        <w:t>,</w:t>
      </w:r>
      <w:r w:rsidRPr="00FA71CF">
        <w:rPr>
          <w:rFonts w:cs="Arial"/>
          <w:rtl/>
        </w:rPr>
        <w:t xml:space="preserve"> ולקמן כתבתי דבריו</w:t>
      </w:r>
      <w:r>
        <w:rPr>
          <w:rFonts w:cs="Arial" w:hint="cs"/>
          <w:rtl/>
        </w:rPr>
        <w:t>.</w:t>
      </w:r>
      <w:r w:rsidRPr="00FA71CF">
        <w:rPr>
          <w:rFonts w:cs="Arial"/>
          <w:rtl/>
        </w:rPr>
        <w:t xml:space="preserve"> ומשמע דאם מתה יירשנה</w:t>
      </w:r>
      <w:r>
        <w:rPr>
          <w:rFonts w:cs="Arial" w:hint="cs"/>
          <w:rtl/>
        </w:rPr>
        <w:t>,</w:t>
      </w:r>
      <w:r w:rsidRPr="00FA71CF">
        <w:rPr>
          <w:rFonts w:cs="Arial"/>
          <w:rtl/>
        </w:rPr>
        <w:t xml:space="preserve"> וכן משמע מדברי הגאון שהביא בעל הטור מדברי הרי"ף (כז א) וכן כתבתי לקמן סימן צ' (אות ה) מן המ"מ</w:t>
      </w:r>
      <w:r>
        <w:rPr>
          <w:rFonts w:cs="Arial" w:hint="cs"/>
          <w:rtl/>
        </w:rPr>
        <w:t>, דרכ"מ (אות ט).</w:t>
      </w:r>
      <w:r w:rsidRPr="001F501A">
        <w:rPr>
          <w:rFonts w:cs="Arial" w:hint="cs"/>
          <w:color w:val="00B0F0"/>
          <w:rtl/>
        </w:rPr>
        <w:t xml:space="preserve"> </w:t>
      </w:r>
      <w:r w:rsidRPr="0087405A">
        <w:rPr>
          <w:rFonts w:cs="Arial" w:hint="cs"/>
          <w:color w:val="00B0F0"/>
          <w:rtl/>
        </w:rPr>
        <w:t xml:space="preserve">(וכ"פ </w:t>
      </w:r>
      <w:r>
        <w:rPr>
          <w:rFonts w:cs="Arial" w:hint="cs"/>
          <w:color w:val="00B0F0"/>
          <w:rtl/>
        </w:rPr>
        <w:t>בהגה</w:t>
      </w:r>
      <w:r w:rsidRPr="0087405A">
        <w:rPr>
          <w:rFonts w:cs="Arial" w:hint="cs"/>
          <w:color w:val="00B0F0"/>
          <w:rtl/>
        </w:rPr>
        <w:t>)</w:t>
      </w:r>
    </w:p>
  </w:footnote>
  <w:footnote w:id="532">
    <w:p w14:paraId="200B6A08" w14:textId="7D524676" w:rsidR="00DE2F5F" w:rsidRDefault="00DE2F5F" w:rsidP="00CC6C48">
      <w:pPr>
        <w:pStyle w:val="a5"/>
      </w:pPr>
      <w:r>
        <w:rPr>
          <w:rStyle w:val="a7"/>
        </w:rPr>
        <w:footnoteRef/>
      </w:r>
      <w:r>
        <w:rPr>
          <w:rtl/>
        </w:rPr>
        <w:t xml:space="preserve"> </w:t>
      </w:r>
      <w:r>
        <w:rPr>
          <w:rFonts w:cs="Arial"/>
          <w:rtl/>
        </w:rPr>
        <w:t>וכתב הריב"ש (סי' שסד) כל שלא תפשה לא יהבינן לה</w:t>
      </w:r>
      <w:r>
        <w:rPr>
          <w:rFonts w:cs="Arial" w:hint="cs"/>
          <w:rtl/>
        </w:rPr>
        <w:t>,</w:t>
      </w:r>
      <w:r>
        <w:rPr>
          <w:rFonts w:cs="Arial"/>
          <w:rtl/>
        </w:rPr>
        <w:t xml:space="preserve"> ומה שכתב הרמב"ם בפי"ד מהלכות אישות (הי"ג) </w:t>
      </w:r>
      <w:r>
        <w:rPr>
          <w:rFonts w:cs="Arial" w:hint="cs"/>
          <w:rtl/>
        </w:rPr>
        <w:t>'</w:t>
      </w:r>
      <w:r>
        <w:rPr>
          <w:rFonts w:cs="Arial"/>
          <w:rtl/>
        </w:rPr>
        <w:t>ואם תפס הבעל אין מוציאין מידו</w:t>
      </w:r>
      <w:r>
        <w:rPr>
          <w:rFonts w:cs="Arial" w:hint="cs"/>
          <w:rtl/>
        </w:rPr>
        <w:t>'</w:t>
      </w:r>
      <w:r>
        <w:rPr>
          <w:rFonts w:cs="Arial"/>
          <w:rtl/>
        </w:rPr>
        <w:t xml:space="preserve"> לא דק</w:t>
      </w:r>
      <w:r>
        <w:rPr>
          <w:rFonts w:cs="Arial" w:hint="cs"/>
          <w:rtl/>
        </w:rPr>
        <w:t>,</w:t>
      </w:r>
      <w:r>
        <w:rPr>
          <w:rFonts w:cs="Arial"/>
          <w:rtl/>
        </w:rPr>
        <w:t xml:space="preserve"> ואגב שיטפא נקטיה</w:t>
      </w:r>
      <w:r>
        <w:rPr>
          <w:rFonts w:cs="Arial" w:hint="cs"/>
          <w:rtl/>
        </w:rPr>
        <w:t>,</w:t>
      </w:r>
      <w:r>
        <w:rPr>
          <w:rFonts w:cs="Arial"/>
          <w:rtl/>
        </w:rPr>
        <w:t xml:space="preserve"> שאין הבעל צריך לתפיסה</w:t>
      </w:r>
      <w:r>
        <w:rPr>
          <w:rFonts w:cs="Arial" w:hint="cs"/>
          <w:rtl/>
        </w:rPr>
        <w:t>, ב"י.</w:t>
      </w:r>
      <w:r w:rsidRPr="00DD4860">
        <w:rPr>
          <w:rFonts w:cs="Arial" w:hint="cs"/>
          <w:color w:val="E36C0A" w:themeColor="accent6" w:themeShade="BF"/>
          <w:rtl/>
        </w:rPr>
        <w:t xml:space="preserve"> (וכ"פ בשו"ע</w:t>
      </w:r>
      <w:r>
        <w:rPr>
          <w:rFonts w:cs="Arial" w:hint="cs"/>
          <w:color w:val="E36C0A" w:themeColor="accent6" w:themeShade="BF"/>
          <w:sz w:val="16"/>
          <w:szCs w:val="16"/>
          <w:rtl/>
        </w:rPr>
        <w:t xml:space="preserve"> </w:t>
      </w:r>
      <w:r>
        <w:rPr>
          <w:rFonts w:cs="Arial" w:hint="cs"/>
          <w:color w:val="000000" w:themeColor="text1"/>
          <w:sz w:val="16"/>
          <w:szCs w:val="16"/>
          <w:rtl/>
        </w:rPr>
        <w:t>[בסע' ג]</w:t>
      </w:r>
      <w:r w:rsidRPr="00DD4860">
        <w:rPr>
          <w:rFonts w:cs="Arial" w:hint="cs"/>
          <w:color w:val="E36C0A" w:themeColor="accent6" w:themeShade="BF"/>
          <w:rtl/>
        </w:rPr>
        <w:t>)</w:t>
      </w:r>
      <w:r>
        <w:rPr>
          <w:rFonts w:cs="Arial" w:hint="cs"/>
          <w:rtl/>
        </w:rPr>
        <w:t>.</w:t>
      </w:r>
      <w:r w:rsidRPr="00A74C2B">
        <w:rPr>
          <w:rFonts w:cs="Arial"/>
          <w:rtl/>
        </w:rPr>
        <w:t xml:space="preserve"> </w:t>
      </w:r>
      <w:r w:rsidR="001B1A91">
        <w:rPr>
          <w:rFonts w:cs="Arial" w:hint="cs"/>
          <w:rtl/>
        </w:rPr>
        <w:t xml:space="preserve">    </w:t>
      </w:r>
      <w:r w:rsidRPr="00A74C2B">
        <w:rPr>
          <w:rFonts w:cs="Arial"/>
          <w:rtl/>
        </w:rPr>
        <w:t xml:space="preserve">ועיין במגיד משנה </w:t>
      </w:r>
      <w:r w:rsidR="001B1A91">
        <w:rPr>
          <w:rFonts w:cs="Arial" w:hint="cs"/>
          <w:rtl/>
        </w:rPr>
        <w:t>(</w:t>
      </w:r>
      <w:r w:rsidRPr="00A74C2B">
        <w:rPr>
          <w:rFonts w:cs="Arial"/>
          <w:rtl/>
        </w:rPr>
        <w:t>פי"ד מהל</w:t>
      </w:r>
      <w:r w:rsidR="001B1A91">
        <w:rPr>
          <w:rFonts w:cs="Arial" w:hint="cs"/>
          <w:rtl/>
        </w:rPr>
        <w:t>'</w:t>
      </w:r>
      <w:r w:rsidRPr="00A74C2B">
        <w:rPr>
          <w:rFonts w:cs="Arial"/>
          <w:rtl/>
        </w:rPr>
        <w:t xml:space="preserve"> אישות ה"ח) שהאריך בדעות חלוקות בדין זה</w:t>
      </w:r>
      <w:r>
        <w:rPr>
          <w:rFonts w:cs="Arial" w:hint="cs"/>
          <w:rtl/>
        </w:rPr>
        <w:t>, דרכ"מ (אות ז).</w:t>
      </w:r>
    </w:p>
  </w:footnote>
  <w:footnote w:id="533">
    <w:p w14:paraId="1CA03058" w14:textId="62865097" w:rsidR="00E77915" w:rsidRDefault="00E77915">
      <w:pPr>
        <w:pStyle w:val="a5"/>
      </w:pPr>
      <w:r>
        <w:rPr>
          <w:rStyle w:val="a7"/>
        </w:rPr>
        <w:footnoteRef/>
      </w:r>
      <w:r>
        <w:rPr>
          <w:rtl/>
        </w:rPr>
        <w:t xml:space="preserve"> </w:t>
      </w:r>
      <w:r>
        <w:rPr>
          <w:rFonts w:hint="cs"/>
          <w:rtl/>
        </w:rPr>
        <w:t>וז"ל התוס' בשמו:</w:t>
      </w:r>
      <w:r w:rsidRPr="00E77915">
        <w:rPr>
          <w:rtl/>
        </w:rPr>
        <w:t xml:space="preserve"> </w:t>
      </w:r>
      <w:r w:rsidRPr="00E77915">
        <w:rPr>
          <w:rFonts w:cs="Arial"/>
          <w:rtl/>
        </w:rPr>
        <w:t>ונראה לר"ת דהכי פירושו בעינא ליה ואינה רוצה להתגרש בלא כתובה ומצערנא ליה עד שיגרשנה ויתן לה כתובה אבל אמרה מאיס עלי ולא בעינא ליה לא הוא ולא כתובתו לא כייפינן לה שתחזור בה ע"י שנאמר שלא תועיל מחילה משום דהוי מחילה בטעות דאגב צערה קא אמרה הכי ומתוך כך לא יגרשנה בעלה שאינו רוצה ליתן כתובה אלא מחילה גמורה היא ומתוך כך יעלה בדעתו לגרשה מר זוטרא אמר כייפינן לה דהויא כמחילה בטעות והיינו כפיה דעל ידי כך תשאר תחת בעלה שלא ברצונה כי בעלה לא יגרשנה כיון שחייב ליתן כתובתה ואין חילוק למר זוטרא בין מורדת דבעינא ליה ומצערנא ליה בין אומרת מאיס עלי ור"ח נמי פירש דאין כופין הבעל ליתן גט וגם בקונט' לא פי' שיכופו הבעל ליתן גט</w:t>
      </w:r>
      <w:r>
        <w:rPr>
          <w:rFonts w:cs="Arial" w:hint="cs"/>
          <w:rtl/>
        </w:rPr>
        <w:t>.</w:t>
      </w:r>
    </w:p>
  </w:footnote>
  <w:footnote w:id="534">
    <w:p w14:paraId="41F433DE" w14:textId="4BCD8A55" w:rsidR="00DE2F5F" w:rsidRDefault="00DE2F5F">
      <w:pPr>
        <w:pStyle w:val="a5"/>
      </w:pPr>
      <w:r>
        <w:rPr>
          <w:rStyle w:val="a7"/>
        </w:rPr>
        <w:footnoteRef/>
      </w:r>
      <w:r>
        <w:rPr>
          <w:rtl/>
        </w:rPr>
        <w:t xml:space="preserve"> </w:t>
      </w:r>
      <w:r>
        <w:rPr>
          <w:rFonts w:hint="cs"/>
          <w:rtl/>
        </w:rPr>
        <w:t>וז"ל</w:t>
      </w:r>
      <w:r w:rsidR="0035110E">
        <w:rPr>
          <w:rFonts w:hint="cs"/>
          <w:rtl/>
        </w:rPr>
        <w:t>:</w:t>
      </w:r>
      <w:r>
        <w:rPr>
          <w:rFonts w:hint="cs"/>
          <w:rtl/>
        </w:rPr>
        <w:t xml:space="preserve"> </w:t>
      </w:r>
      <w:r w:rsidRPr="00697C4E">
        <w:rPr>
          <w:rFonts w:cs="Arial"/>
          <w:rtl/>
        </w:rPr>
        <w:t xml:space="preserve">ולדברי הכל כל מאן דכייפינן ליה לאפוקי בין מעיקר דינא כדתנן </w:t>
      </w:r>
      <w:r>
        <w:rPr>
          <w:rFonts w:cs="Arial" w:hint="cs"/>
          <w:rtl/>
        </w:rPr>
        <w:t>(עז.)</w:t>
      </w:r>
      <w:r w:rsidRPr="00697C4E">
        <w:rPr>
          <w:rFonts w:cs="Arial"/>
          <w:rtl/>
        </w:rPr>
        <w:t xml:space="preserve"> אלו שכופין אותן להוציא ומאי דדמו להו</w:t>
      </w:r>
      <w:r>
        <w:rPr>
          <w:rFonts w:cs="Arial" w:hint="cs"/>
          <w:rtl/>
        </w:rPr>
        <w:t>,</w:t>
      </w:r>
      <w:r w:rsidRPr="00697C4E">
        <w:rPr>
          <w:rFonts w:cs="Arial"/>
          <w:rtl/>
        </w:rPr>
        <w:t xml:space="preserve"> בין מעיקר דתקנתא</w:t>
      </w:r>
      <w:r>
        <w:rPr>
          <w:rFonts w:cs="Arial" w:hint="cs"/>
          <w:rtl/>
        </w:rPr>
        <w:t>...</w:t>
      </w:r>
    </w:p>
  </w:footnote>
  <w:footnote w:id="535">
    <w:p w14:paraId="5C9CBAF1" w14:textId="77777777" w:rsidR="0035110E" w:rsidRDefault="0035110E" w:rsidP="0035110E">
      <w:pPr>
        <w:pStyle w:val="a5"/>
      </w:pPr>
      <w:r w:rsidRPr="00F91A1D">
        <w:rPr>
          <w:rStyle w:val="a7"/>
        </w:rPr>
        <w:footnoteRef/>
      </w:r>
      <w:r w:rsidRPr="00F91A1D">
        <w:rPr>
          <w:rFonts w:cs="Arial" w:hint="cs"/>
          <w:rtl/>
        </w:rPr>
        <w:t xml:space="preserve"> וכתב </w:t>
      </w:r>
      <w:r w:rsidRPr="00F91A1D">
        <w:rPr>
          <w:rFonts w:cs="Arial" w:hint="cs"/>
          <w:b/>
          <w:bCs/>
          <w:rtl/>
        </w:rPr>
        <w:t>הרא"ש</w:t>
      </w:r>
      <w:r w:rsidRPr="00F91A1D">
        <w:rPr>
          <w:rFonts w:cs="Arial" w:hint="cs"/>
          <w:rtl/>
        </w:rPr>
        <w:t xml:space="preserve"> </w:t>
      </w:r>
      <w:r w:rsidRPr="00F91A1D">
        <w:rPr>
          <w:rFonts w:cs="Arial"/>
          <w:rtl/>
        </w:rPr>
        <w:t>(כלל מג סי' ו</w:t>
      </w:r>
      <w:r w:rsidRPr="00F91A1D">
        <w:rPr>
          <w:rFonts w:cs="Arial" w:hint="cs"/>
          <w:rtl/>
        </w:rPr>
        <w:t>, וסי' ח</w:t>
      </w:r>
      <w:r w:rsidRPr="00F91A1D">
        <w:rPr>
          <w:rFonts w:cs="Arial"/>
          <w:rtl/>
        </w:rPr>
        <w:t xml:space="preserve">) </w:t>
      </w:r>
      <w:r w:rsidRPr="00F91A1D">
        <w:rPr>
          <w:rFonts w:cs="Arial" w:hint="cs"/>
          <w:rtl/>
        </w:rPr>
        <w:t xml:space="preserve">על דבריו: </w:t>
      </w:r>
      <w:r w:rsidRPr="00F91A1D">
        <w:rPr>
          <w:rFonts w:cs="Arial"/>
          <w:rtl/>
        </w:rPr>
        <w:t>אע</w:t>
      </w:r>
      <w:r w:rsidRPr="00F91A1D">
        <w:rPr>
          <w:rFonts w:cs="Arial" w:hint="cs"/>
          <w:rtl/>
        </w:rPr>
        <w:t>"</w:t>
      </w:r>
      <w:r w:rsidRPr="00F91A1D">
        <w:rPr>
          <w:rFonts w:cs="Arial"/>
          <w:rtl/>
        </w:rPr>
        <w:t>פ שרבינו משה כתב דכי אמרה מאיס עלי כופין אותו להוציא</w:t>
      </w:r>
      <w:r w:rsidRPr="00F91A1D">
        <w:rPr>
          <w:rFonts w:cs="Arial" w:hint="cs"/>
          <w:rtl/>
        </w:rPr>
        <w:t>,</w:t>
      </w:r>
      <w:r w:rsidRPr="00F91A1D">
        <w:rPr>
          <w:rFonts w:cs="Arial"/>
          <w:rtl/>
        </w:rPr>
        <w:t xml:space="preserve"> רבינו תם ור"י חולקין עליו וכיון דאיכא פלוגתא דרבוותא למה נכניס ראשינו בין הרים גדולים לעשות גט מעושה שלא כדין ולהתיר אשת איש</w:t>
      </w:r>
      <w:r w:rsidRPr="00F91A1D">
        <w:rPr>
          <w:rFonts w:cs="Arial" w:hint="cs"/>
          <w:rtl/>
        </w:rPr>
        <w:t>.</w:t>
      </w:r>
      <w:r w:rsidRPr="00F91A1D">
        <w:rPr>
          <w:rFonts w:cs="Arial"/>
          <w:rtl/>
        </w:rPr>
        <w:t xml:space="preserve"> ועוד כי בעוונותינו בנות ישראל הן פרוצות בזמן הזה ואיכא למיחש שמא נתנה עיניה באחר וכל המעשה בטענה זו מרבה ממזרים בישראל</w:t>
      </w:r>
      <w:r w:rsidRPr="00F91A1D">
        <w:rPr>
          <w:rFonts w:cs="Arial" w:hint="cs"/>
          <w:rtl/>
        </w:rPr>
        <w:t>.</w:t>
      </w:r>
      <w:r w:rsidRPr="00F91A1D">
        <w:rPr>
          <w:rFonts w:cs="Arial"/>
          <w:rtl/>
        </w:rPr>
        <w:t xml:space="preserve"> ועל להבא אני כותב</w:t>
      </w:r>
      <w:r w:rsidRPr="00F91A1D">
        <w:rPr>
          <w:rFonts w:cs="Arial" w:hint="cs"/>
          <w:rtl/>
        </w:rPr>
        <w:t>,</w:t>
      </w:r>
      <w:r w:rsidRPr="00F91A1D">
        <w:rPr>
          <w:rFonts w:cs="Arial"/>
          <w:rtl/>
        </w:rPr>
        <w:t xml:space="preserve"> אבל לשעבר אם סמכו על רבינו משה</w:t>
      </w:r>
      <w:r w:rsidRPr="00F91A1D">
        <w:rPr>
          <w:rFonts w:cs="Arial" w:hint="cs"/>
          <w:rtl/>
        </w:rPr>
        <w:t xml:space="preserve"> -</w:t>
      </w:r>
      <w:r w:rsidRPr="00F91A1D">
        <w:rPr>
          <w:rFonts w:cs="Arial"/>
          <w:rtl/>
        </w:rPr>
        <w:t xml:space="preserve"> מה שעשו עשוי</w:t>
      </w:r>
      <w:r w:rsidRPr="00F91A1D">
        <w:rPr>
          <w:rFonts w:cs="Arial" w:hint="cs"/>
          <w:rtl/>
        </w:rPr>
        <w:t>. עכ"ל (בסי' ו)</w:t>
      </w:r>
      <w:r w:rsidRPr="00F91A1D">
        <w:rPr>
          <w:rFonts w:cs="Arial"/>
          <w:rtl/>
        </w:rPr>
        <w:t>.</w:t>
      </w:r>
      <w:r w:rsidRPr="00F91A1D">
        <w:rPr>
          <w:rFonts w:cs="Arial" w:hint="cs"/>
          <w:rtl/>
        </w:rPr>
        <w:t xml:space="preserve"> וכ"כ </w:t>
      </w:r>
      <w:r w:rsidRPr="00F91A1D">
        <w:rPr>
          <w:rFonts w:cs="Arial" w:hint="cs"/>
          <w:b/>
          <w:bCs/>
          <w:rtl/>
        </w:rPr>
        <w:t>הה"מ</w:t>
      </w:r>
      <w:r w:rsidRPr="00F91A1D">
        <w:rPr>
          <w:rFonts w:cs="Arial" w:hint="cs"/>
          <w:rtl/>
        </w:rPr>
        <w:t xml:space="preserve"> (פי"ד ה"ח)</w:t>
      </w:r>
      <w:r w:rsidRPr="00F91A1D">
        <w:rPr>
          <w:rtl/>
        </w:rPr>
        <w:t xml:space="preserve"> </w:t>
      </w:r>
      <w:r w:rsidRPr="00F91A1D">
        <w:rPr>
          <w:rFonts w:hint="cs"/>
          <w:rtl/>
        </w:rPr>
        <w:t>וז"ל:</w:t>
      </w:r>
      <w:r>
        <w:rPr>
          <w:rFonts w:hint="cs"/>
          <w:rtl/>
        </w:rPr>
        <w:t xml:space="preserve"> </w:t>
      </w:r>
      <w:r w:rsidRPr="00F66083">
        <w:rPr>
          <w:rFonts w:cs="Arial"/>
          <w:rtl/>
        </w:rPr>
        <w:t xml:space="preserve">ודע שיש בכל מה שהזכרתי </w:t>
      </w:r>
      <w:r>
        <w:rPr>
          <w:rFonts w:cs="Arial" w:hint="cs"/>
          <w:sz w:val="16"/>
          <w:szCs w:val="16"/>
          <w:rtl/>
        </w:rPr>
        <w:t>{בפרטי דין מורדת לפי הרמב"ם}</w:t>
      </w:r>
      <w:r>
        <w:rPr>
          <w:rFonts w:cs="Arial" w:hint="cs"/>
          <w:rtl/>
        </w:rPr>
        <w:t xml:space="preserve"> </w:t>
      </w:r>
      <w:r w:rsidRPr="00F66083">
        <w:rPr>
          <w:rFonts w:cs="Arial"/>
          <w:rtl/>
        </w:rPr>
        <w:t>שיטה אחרת להרבה מן המפרשים וכל מי שראיתי דבריו כתב שבדין הגמרא אין כופין את האיש להוציא אף באומרת מאיס עלי ועל זה הרבו בראיות ברורות וקראו תגר על כל הנוטה מדבריהם והם סבורין שאפילו נישאת בגט שנתן מחמת כפייה זו תצא וכבר פשטה הוראה הזאת בכל ארצותינו שלא כדברי רבינו בזה שאין כופין את האיש לגרש ולא עוד אלא שאפילו היה הדין כדבריו היה ראוי לגדור בזה משום פרוצות ומפני קלקול הדור שלא תהיה אשה נותנת עיניה באיש אחר ומפקעת עצמה מבעלה כ"ש שהם ז"ל הכריחו והוכיחו שאין כופין אותו מן הדין.</w:t>
      </w:r>
    </w:p>
  </w:footnote>
  <w:footnote w:id="536">
    <w:p w14:paraId="1ACC34EA" w14:textId="152EFC23" w:rsidR="00DE2F5F" w:rsidRDefault="00DE2F5F">
      <w:pPr>
        <w:pStyle w:val="a5"/>
        <w:rPr>
          <w:rtl/>
        </w:rPr>
      </w:pPr>
      <w:r>
        <w:rPr>
          <w:rStyle w:val="a7"/>
        </w:rPr>
        <w:footnoteRef/>
      </w:r>
      <w:r>
        <w:rPr>
          <w:rtl/>
        </w:rPr>
        <w:t xml:space="preserve"> </w:t>
      </w:r>
      <w:r w:rsidRPr="00CC6C48">
        <w:rPr>
          <w:rFonts w:cs="Arial"/>
          <w:rtl/>
        </w:rPr>
        <w:t>ותטול בלאותיה הקיימין בין מנכסים שהכניסה לבעלה ונתחייב באחריותן בין מנכסים שלא נתחייב באחריותן, ואינה נוטלת משל בעל כלום ואפילו מנעל שברגליה ומטפחת שבראשה שלקחן לה פושטת ונותנת וכן כל שנתן לה מתנה מחזרת אותו שלא נתן לה על מנת שתטול ותצא</w:t>
      </w:r>
      <w:r>
        <w:rPr>
          <w:rFonts w:hint="cs"/>
          <w:rtl/>
        </w:rPr>
        <w:t>, רמב"ם (שם).</w:t>
      </w:r>
    </w:p>
  </w:footnote>
  <w:footnote w:id="537">
    <w:p w14:paraId="4C110E96" w14:textId="77777777" w:rsidR="00DE2F5F" w:rsidRDefault="00DE2F5F" w:rsidP="002B68E3">
      <w:pPr>
        <w:pStyle w:val="a5"/>
        <w:rPr>
          <w:rtl/>
        </w:rPr>
      </w:pPr>
      <w:r>
        <w:rPr>
          <w:rStyle w:val="a7"/>
        </w:rPr>
        <w:footnoteRef/>
      </w:r>
      <w:r>
        <w:rPr>
          <w:rtl/>
        </w:rPr>
        <w:t xml:space="preserve"> </w:t>
      </w:r>
      <w:r>
        <w:rPr>
          <w:rFonts w:hint="cs"/>
          <w:rtl/>
        </w:rPr>
        <w:t xml:space="preserve">וז"ל שם- </w:t>
      </w:r>
      <w:r>
        <w:rPr>
          <w:rFonts w:cs="Arial"/>
          <w:rtl/>
        </w:rPr>
        <w:t xml:space="preserve">סרקוסטה שאלתם המורדת על בעלה ואומרת מאיס עלי או בעינא ליה ומצערנא ליה אם כופין אותו לגרש. </w:t>
      </w:r>
    </w:p>
    <w:p w14:paraId="456966CF" w14:textId="77777777" w:rsidR="00DE2F5F" w:rsidRDefault="00DE2F5F" w:rsidP="002B68E3">
      <w:pPr>
        <w:pStyle w:val="a5"/>
        <w:rPr>
          <w:rtl/>
        </w:rPr>
      </w:pPr>
      <w:r>
        <w:rPr>
          <w:rFonts w:cs="Arial"/>
          <w:rtl/>
        </w:rPr>
        <w:t xml:space="preserve">תשובה שורת הדין אין כופין אותו לגרש בכל כיוצא בזה. לפי שהאשה יוצאה בין ברצונה בין שלא ברצונה אבל האיש אינו מוציא אלא לרצונו. שאלו כן היו מתקנין כתובה מן האשה לאיש כדי שלא תהא קלה בעיניה להוציאו. כדרך שתקנו מן האיש לאשה כדי שלא תהא קלה בעיניו להוציאה. וכמו שאמרו בגיטין בריש פרק הניזקין (דף מ"ט). אלא שהגאונים ז"ל תקנו שכופין וכמו שכתב בהלכות הרב אלפסי ז"ל בפרק אף על פי ואותה תקנה לא פשטה בכל ארצות אלה ושמא אף הם לדורם תקנו'. </w:t>
      </w:r>
    </w:p>
    <w:p w14:paraId="33F6F513" w14:textId="114EF1CA" w:rsidR="00DE2F5F" w:rsidRDefault="00DE2F5F" w:rsidP="002B68E3">
      <w:pPr>
        <w:pStyle w:val="a5"/>
      </w:pPr>
      <w:r>
        <w:rPr>
          <w:rFonts w:cs="Arial"/>
          <w:rtl/>
        </w:rPr>
        <w:t>ומה ששאלתם מה הן גובות מנכסי הבעל בכתובתן ומתנתן. כבר אמרנו שאין הבעל מוציא אלא מרצונו ואם הוציא מרצונו בין בזו ובין בזו נותן להם כתובתן כלו' נכסי צאן ברזל. אבל מה שנתן להם משלו אינן נוטלות כלל כיון שהן תובעות להתגרש דאדעתא למשקל ומיפק לא יהיב. אבל אם לא רצה להוציא מדעת עצמו אלא מחמת מרדן בזה יש הפרש ביניהן. שאומרת בעינא ליה ומצערנא ליה מכריזין עליה ד' שבתות בבתי כנסיות ובבתי מדרשות ושולחין לה מבית דין ואמרין לה הוי יודעת שאפילו כתובתיך מאה מנה הפסדת. ושני פעמים שולחין לה אחת קודם הכרזה ואחת לאחר הכרזה ואם לא חזרה בה וגרשה הפסידה את הכל. אבל אם הוציאה קודם זה לא הפסידה הכל. אבל האומרת מאיס עלי יגרשני ואיני חפצה בו ולא בכתובתו אינו מוציא עד שנים עשר חדש ואין מכריזין עליה. ואם הוציא תוך שנים עשר חדש ורצה הבעל לגרש מגרש. ואין לה עיקר כתובה ותוספת ולא אפילו נדונייתה אלא אם תפסה בלאות הקיימין אין מוציאין מידה.</w:t>
      </w:r>
    </w:p>
  </w:footnote>
  <w:footnote w:id="538">
    <w:p w14:paraId="2ED9CFC1" w14:textId="366520E2" w:rsidR="00633D92" w:rsidRDefault="00633D92">
      <w:pPr>
        <w:pStyle w:val="a5"/>
        <w:rPr>
          <w:rtl/>
        </w:rPr>
      </w:pPr>
      <w:r>
        <w:rPr>
          <w:rStyle w:val="a7"/>
        </w:rPr>
        <w:footnoteRef/>
      </w:r>
      <w:r>
        <w:rPr>
          <w:rtl/>
        </w:rPr>
        <w:t xml:space="preserve"> </w:t>
      </w:r>
      <w:r>
        <w:rPr>
          <w:rFonts w:hint="cs"/>
          <w:rtl/>
        </w:rPr>
        <w:t>כתב הרשב"א וז"ל:</w:t>
      </w:r>
      <w:r w:rsidRPr="00633D92">
        <w:rPr>
          <w:rFonts w:cs="Arial"/>
          <w:rtl/>
        </w:rPr>
        <w:t xml:space="preserve"> </w:t>
      </w:r>
      <w:r w:rsidRPr="00A077AD">
        <w:rPr>
          <w:rFonts w:cs="Arial"/>
          <w:rtl/>
        </w:rPr>
        <w:t>האומרת מאיס עלי או בעינא ליה ומצערנא ליה</w:t>
      </w:r>
      <w:r>
        <w:rPr>
          <w:rFonts w:cs="Arial" w:hint="cs"/>
          <w:rtl/>
        </w:rPr>
        <w:t>,</w:t>
      </w:r>
      <w:r w:rsidRPr="00A077AD">
        <w:rPr>
          <w:rFonts w:cs="Arial"/>
          <w:rtl/>
        </w:rPr>
        <w:t xml:space="preserve"> מה ששאלתם מה הן גובות מנכסי הבעל</w:t>
      </w:r>
      <w:r>
        <w:rPr>
          <w:rFonts w:cs="Arial" w:hint="cs"/>
          <w:rtl/>
        </w:rPr>
        <w:t>,</w:t>
      </w:r>
      <w:r w:rsidRPr="00A077AD">
        <w:rPr>
          <w:rFonts w:cs="Arial"/>
          <w:rtl/>
        </w:rPr>
        <w:t xml:space="preserve"> אם הוציא מרצונו </w:t>
      </w:r>
      <w:r>
        <w:rPr>
          <w:rFonts w:cs="Arial" w:hint="cs"/>
          <w:rtl/>
        </w:rPr>
        <w:t xml:space="preserve">- </w:t>
      </w:r>
      <w:r w:rsidRPr="00A077AD">
        <w:rPr>
          <w:rFonts w:cs="Arial"/>
          <w:rtl/>
        </w:rPr>
        <w:t>בין בזו ובין בזו נותן להם נכסי צאן ברזל</w:t>
      </w:r>
      <w:r>
        <w:rPr>
          <w:rFonts w:cs="Arial" w:hint="cs"/>
          <w:rtl/>
        </w:rPr>
        <w:t>,</w:t>
      </w:r>
      <w:r w:rsidRPr="00A077AD">
        <w:rPr>
          <w:rFonts w:cs="Arial"/>
          <w:rtl/>
        </w:rPr>
        <w:t xml:space="preserve"> אבל מה שנתן להן משלו </w:t>
      </w:r>
      <w:r>
        <w:rPr>
          <w:rFonts w:cs="Arial" w:hint="cs"/>
          <w:rtl/>
        </w:rPr>
        <w:t xml:space="preserve">- </w:t>
      </w:r>
      <w:r w:rsidRPr="00A077AD">
        <w:rPr>
          <w:rFonts w:cs="Arial"/>
          <w:rtl/>
        </w:rPr>
        <w:t>אינן נוטלות כלום כיון שהן תובעות להתגרש</w:t>
      </w:r>
      <w:r>
        <w:rPr>
          <w:rFonts w:cs="Arial" w:hint="cs"/>
          <w:rtl/>
        </w:rPr>
        <w:t>,</w:t>
      </w:r>
      <w:r w:rsidRPr="00A077AD">
        <w:rPr>
          <w:rFonts w:cs="Arial"/>
          <w:rtl/>
        </w:rPr>
        <w:t xml:space="preserve"> דאדעתא למישקל ומיפק לא יהיב</w:t>
      </w:r>
      <w:r>
        <w:rPr>
          <w:rFonts w:cs="Arial" w:hint="cs"/>
          <w:rtl/>
        </w:rPr>
        <w:t>.</w:t>
      </w:r>
      <w:r w:rsidRPr="00A077AD">
        <w:rPr>
          <w:rFonts w:cs="Arial"/>
          <w:rtl/>
        </w:rPr>
        <w:t xml:space="preserve"> אבל אם לא רצה להוציא מדעת עצמו אלא מחמת מרדן</w:t>
      </w:r>
      <w:r>
        <w:rPr>
          <w:rFonts w:cs="Arial" w:hint="cs"/>
          <w:rtl/>
        </w:rPr>
        <w:t>,</w:t>
      </w:r>
      <w:r w:rsidRPr="00A077AD">
        <w:rPr>
          <w:rFonts w:cs="Arial"/>
          <w:rtl/>
        </w:rPr>
        <w:t xml:space="preserve"> בזה יש הפרש ביניהם</w:t>
      </w:r>
      <w:r>
        <w:rPr>
          <w:rFonts w:cs="Arial" w:hint="cs"/>
          <w:rtl/>
        </w:rPr>
        <w:t>,</w:t>
      </w:r>
      <w:r w:rsidRPr="00A077AD">
        <w:rPr>
          <w:rFonts w:cs="Arial"/>
          <w:rtl/>
        </w:rPr>
        <w:t xml:space="preserve"> ש</w:t>
      </w:r>
      <w:r>
        <w:rPr>
          <w:rFonts w:cs="Arial" w:hint="cs"/>
          <w:rtl/>
        </w:rPr>
        <w:t>-...</w:t>
      </w:r>
    </w:p>
  </w:footnote>
  <w:footnote w:id="539">
    <w:p w14:paraId="779D37C5" w14:textId="7ED60F22" w:rsidR="00DE2F5F" w:rsidRDefault="00DE2F5F" w:rsidP="00753B35">
      <w:pPr>
        <w:pStyle w:val="a5"/>
        <w:rPr>
          <w:rtl/>
        </w:rPr>
      </w:pPr>
      <w:r>
        <w:rPr>
          <w:rStyle w:val="a7"/>
        </w:rPr>
        <w:footnoteRef/>
      </w:r>
      <w:r>
        <w:rPr>
          <w:rtl/>
        </w:rPr>
        <w:t xml:space="preserve"> </w:t>
      </w:r>
      <w:r>
        <w:rPr>
          <w:rFonts w:hint="cs"/>
          <w:rtl/>
        </w:rPr>
        <w:t xml:space="preserve">וכ"כ הה"מ (שם ה"ט) בשמו </w:t>
      </w:r>
      <w:r w:rsidR="0061020A">
        <w:rPr>
          <w:rFonts w:hint="cs"/>
          <w:rtl/>
        </w:rPr>
        <w:t>וז</w:t>
      </w:r>
      <w:r w:rsidR="0061020A">
        <w:rPr>
          <w:rtl/>
        </w:rPr>
        <w:t>"</w:t>
      </w:r>
      <w:r w:rsidR="0061020A">
        <w:rPr>
          <w:rFonts w:hint="cs"/>
          <w:rtl/>
        </w:rPr>
        <w:t>ל:</w:t>
      </w:r>
      <w:r>
        <w:rPr>
          <w:rFonts w:hint="cs"/>
          <w:rtl/>
        </w:rPr>
        <w:t xml:space="preserve"> </w:t>
      </w:r>
      <w:r w:rsidRPr="00753B35">
        <w:rPr>
          <w:rtl/>
        </w:rPr>
        <w:t xml:space="preserve">ולדבריהם דין המורדת </w:t>
      </w:r>
      <w:r w:rsidRPr="00753B35">
        <w:rPr>
          <w:rFonts w:hint="cs"/>
          <w:sz w:val="16"/>
          <w:szCs w:val="16"/>
          <w:rtl/>
        </w:rPr>
        <w:t xml:space="preserve">{בעינא ומצערנא} </w:t>
      </w:r>
      <w:r w:rsidRPr="00753B35">
        <w:rPr>
          <w:rtl/>
        </w:rPr>
        <w:t>לאחר ד' שבתות והמלכה שנייה הפסידה כל כתובתה עיקר ותוספת ומה שנתן לה הבעל ונדונייתה שהיא נכסי צאן ברזל ואפילו תפסה מהן בלאות הקיימין מוציאין מתחת ידה</w:t>
      </w:r>
      <w:r>
        <w:rPr>
          <w:rFonts w:hint="cs"/>
          <w:rtl/>
        </w:rPr>
        <w:t>.</w:t>
      </w:r>
      <w:r w:rsidRPr="00753B35">
        <w:rPr>
          <w:rtl/>
        </w:rPr>
        <w:t xml:space="preserve"> אבל בנכסי מלוג לא הפסידה כלום אלא אפילו מה שיש מהן ביד הבעל מוציאין מידו</w:t>
      </w:r>
      <w:r>
        <w:rPr>
          <w:rFonts w:hint="cs"/>
          <w:rtl/>
        </w:rPr>
        <w:t>,</w:t>
      </w:r>
      <w:r w:rsidRPr="00753B35">
        <w:rPr>
          <w:rtl/>
        </w:rPr>
        <w:t xml:space="preserve"> וכן הוא דעת רבינו בכל זה חוץ מן הבלאות של נכסי צאן ברזל שהוא סובר שאם תפסה אין מוציאין מתחת ידה, ויש מי שכתב שלא הזכירו בגמרא שהיית י"ב חדש אלא באומרת מאיס עלי אבל במורדת אין משהין אותה יותר מד' שבתות ואחר המלכה שנייה הפסידה הכל והבעל יגרשנה אם ירצה או יקיים אותה ולזה הסכים הרשב"א ז"ל ויש בעניינים אלו דעות חלוקים למפרשים ז"ל. </w:t>
      </w:r>
    </w:p>
  </w:footnote>
  <w:footnote w:id="540">
    <w:p w14:paraId="1831DE1E" w14:textId="15BEAD4B" w:rsidR="00DE2F5F" w:rsidRDefault="00DE2F5F">
      <w:pPr>
        <w:pStyle w:val="a5"/>
      </w:pPr>
      <w:r>
        <w:rPr>
          <w:rStyle w:val="a7"/>
        </w:rPr>
        <w:footnoteRef/>
      </w:r>
      <w:r>
        <w:rPr>
          <w:rtl/>
        </w:rPr>
        <w:t xml:space="preserve"> </w:t>
      </w:r>
      <w:r w:rsidR="00633D92" w:rsidRPr="00A077AD">
        <w:rPr>
          <w:rFonts w:cs="Arial"/>
          <w:rtl/>
        </w:rPr>
        <w:t>ותוך י"ב חדש לא איבדה מכתובתה</w:t>
      </w:r>
      <w:r w:rsidR="00633D92">
        <w:rPr>
          <w:rFonts w:cs="Arial" w:hint="cs"/>
          <w:rtl/>
        </w:rPr>
        <w:t>,</w:t>
      </w:r>
      <w:r w:rsidR="00633D92" w:rsidRPr="00A077AD">
        <w:rPr>
          <w:rFonts w:cs="Arial"/>
          <w:rtl/>
        </w:rPr>
        <w:t xml:space="preserve"> ואם גירש הבעל מרצונו תוך י"ב חדש</w:t>
      </w:r>
      <w:r w:rsidR="00633D92" w:rsidRPr="00A077AD">
        <w:rPr>
          <w:rFonts w:cs="Arial" w:hint="cs"/>
          <w:rtl/>
        </w:rPr>
        <w:t>,</w:t>
      </w:r>
      <w:r w:rsidR="00633D92" w:rsidRPr="00A077AD">
        <w:rPr>
          <w:rFonts w:cs="Arial"/>
          <w:rtl/>
        </w:rPr>
        <w:t xml:space="preserve"> גובה כל כתובתה</w:t>
      </w:r>
      <w:r w:rsidR="00633D92">
        <w:rPr>
          <w:rFonts w:cs="Arial" w:hint="cs"/>
          <w:rtl/>
        </w:rPr>
        <w:t>,</w:t>
      </w:r>
      <w:r w:rsidR="00633D92" w:rsidRPr="00A077AD">
        <w:rPr>
          <w:rFonts w:cs="Arial"/>
          <w:rtl/>
        </w:rPr>
        <w:t xml:space="preserve"> וכן פירש ר"ח</w:t>
      </w:r>
      <w:r w:rsidR="00633D92" w:rsidRPr="00A077AD">
        <w:rPr>
          <w:rFonts w:cs="Arial" w:hint="cs"/>
          <w:rtl/>
        </w:rPr>
        <w:t>.</w:t>
      </w:r>
      <w:r w:rsidR="00633D92" w:rsidRPr="00A077AD">
        <w:rPr>
          <w:rFonts w:cs="Arial"/>
          <w:rtl/>
        </w:rPr>
        <w:t xml:space="preserve"> ואם המתין י"ב חדש ולא חזרה בה</w:t>
      </w:r>
      <w:r w:rsidR="00633D92" w:rsidRPr="00A077AD">
        <w:rPr>
          <w:rFonts w:cs="Arial" w:hint="cs"/>
          <w:rtl/>
        </w:rPr>
        <w:t>,</w:t>
      </w:r>
      <w:r w:rsidR="00633D92" w:rsidRPr="00A077AD">
        <w:rPr>
          <w:rFonts w:cs="Arial"/>
          <w:rtl/>
        </w:rPr>
        <w:t xml:space="preserve"> הפסידה כתובה ותוספת ונכסי צאן ברזל</w:t>
      </w:r>
      <w:r w:rsidR="00633D92" w:rsidRPr="00A077AD">
        <w:rPr>
          <w:rFonts w:cs="Arial" w:hint="cs"/>
          <w:rtl/>
        </w:rPr>
        <w:t>.</w:t>
      </w:r>
      <w:r w:rsidR="00633D92" w:rsidRPr="00A077AD">
        <w:rPr>
          <w:rFonts w:cs="Arial"/>
          <w:rtl/>
        </w:rPr>
        <w:t xml:space="preserve"> ובתשובות רבינו האיי והרי"ף שאפילו מה שכתב לה הבעל מתנה לאחר נישואי' מפסדת</w:t>
      </w:r>
      <w:r w:rsidR="00633D92" w:rsidRPr="00A077AD">
        <w:rPr>
          <w:rFonts w:cs="Arial" w:hint="cs"/>
          <w:rtl/>
        </w:rPr>
        <w:t>,</w:t>
      </w:r>
      <w:r w:rsidR="00633D92" w:rsidRPr="00A077AD">
        <w:rPr>
          <w:rFonts w:cs="Arial"/>
          <w:rtl/>
        </w:rPr>
        <w:t xml:space="preserve"> וכן כתב ן' מיגאש וכן כתב הרמב"ם ז"ל (פי"ד ה"ח)</w:t>
      </w:r>
      <w:r w:rsidR="00633D92" w:rsidRPr="00A077AD">
        <w:rPr>
          <w:rFonts w:cs="Arial" w:hint="cs"/>
          <w:rtl/>
        </w:rPr>
        <w:t>.</w:t>
      </w:r>
      <w:r w:rsidR="00633D92" w:rsidRPr="00A077AD">
        <w:rPr>
          <w:rFonts w:cs="Arial"/>
          <w:rtl/>
        </w:rPr>
        <w:t xml:space="preserve"> ואין הפרש בין שכתב לה מתנה באחריות ובין שלא כתב לה</w:t>
      </w:r>
      <w:r w:rsidR="00633D92" w:rsidRPr="00A077AD">
        <w:rPr>
          <w:rFonts w:cs="Arial" w:hint="cs"/>
          <w:rtl/>
        </w:rPr>
        <w:t>,</w:t>
      </w:r>
      <w:r w:rsidR="00633D92" w:rsidRPr="00A077AD">
        <w:rPr>
          <w:rFonts w:cs="Arial"/>
          <w:rtl/>
        </w:rPr>
        <w:t xml:space="preserve"> דאדעתא דלמישקל ומיפק לא יהיב לה</w:t>
      </w:r>
      <w:r w:rsidR="00633D92" w:rsidRPr="00A077AD">
        <w:rPr>
          <w:rFonts w:cs="Arial" w:hint="cs"/>
          <w:rtl/>
        </w:rPr>
        <w:t>.</w:t>
      </w:r>
      <w:r w:rsidR="00633D92" w:rsidRPr="00A077AD">
        <w:rPr>
          <w:rFonts w:cs="Arial"/>
          <w:rtl/>
        </w:rPr>
        <w:t xml:space="preserve"> אבל נכסי מלוג דידה לא הפסידה</w:t>
      </w:r>
      <w:r w:rsidR="00633D92" w:rsidRPr="00A077AD">
        <w:rPr>
          <w:rFonts w:cs="Arial" w:hint="cs"/>
          <w:rtl/>
        </w:rPr>
        <w:t>.</w:t>
      </w:r>
      <w:r w:rsidR="00633D92" w:rsidRPr="00A077AD">
        <w:rPr>
          <w:rFonts w:cs="Arial"/>
          <w:rtl/>
        </w:rPr>
        <w:t xml:space="preserve"> ובלאות נכסי צאן ברזל הקיימים אם תפסה לא מפקינן מינה</w:t>
      </w:r>
      <w:r w:rsidR="00633D92" w:rsidRPr="00A077AD">
        <w:rPr>
          <w:rFonts w:cs="Arial" w:hint="cs"/>
          <w:rtl/>
        </w:rPr>
        <w:t>,</w:t>
      </w:r>
      <w:r w:rsidR="00633D92" w:rsidRPr="00A077AD">
        <w:rPr>
          <w:rFonts w:cs="Arial"/>
          <w:rtl/>
        </w:rPr>
        <w:t xml:space="preserve"> והיינו מעשה דכלתיה דרב זביד</w:t>
      </w:r>
      <w:r w:rsidR="00633D92">
        <w:rPr>
          <w:rFonts w:cs="Arial" w:hint="cs"/>
          <w:rtl/>
        </w:rPr>
        <w:t xml:space="preserve">, </w:t>
      </w:r>
      <w:r w:rsidR="00633D92" w:rsidRPr="00633D92">
        <w:rPr>
          <w:rFonts w:cs="Arial" w:hint="cs"/>
          <w:b/>
          <w:bCs/>
          <w:rtl/>
        </w:rPr>
        <w:t>רשב"א</w:t>
      </w:r>
      <w:r w:rsidR="00633D92">
        <w:rPr>
          <w:rFonts w:cs="Arial" w:hint="cs"/>
          <w:rtl/>
        </w:rPr>
        <w:t xml:space="preserve"> (שם).       </w:t>
      </w:r>
      <w:r w:rsidRPr="003B37DC">
        <w:rPr>
          <w:rFonts w:cs="Arial"/>
          <w:rtl/>
        </w:rPr>
        <w:t>ובתשובות הר"מ שבסוף פרק אף על פי במרדכי (סי' קפו קפז) ובסוף תשובות הרשב"א כתב עוד בדיני מורדת בסימן תת"ס ותתס"א וכן בתשובות להרמב"ן (במיוחסות) סימן קל"ח עיין עליהם</w:t>
      </w:r>
      <w:r>
        <w:rPr>
          <w:rFonts w:cs="Arial" w:hint="cs"/>
          <w:rtl/>
        </w:rPr>
        <w:t>...</w:t>
      </w:r>
      <w:r w:rsidRPr="009459D3">
        <w:rPr>
          <w:rFonts w:cs="Arial"/>
          <w:rtl/>
        </w:rPr>
        <w:t xml:space="preserve"> </w:t>
      </w:r>
      <w:r>
        <w:rPr>
          <w:rFonts w:cs="Arial"/>
          <w:rtl/>
        </w:rPr>
        <w:t>ובסימן קנ"ד (עד. ד"ה ובטענת) יתבאר שיש צד שאף לדעת הרא"ש כופין אותו לגרש</w:t>
      </w:r>
      <w:r>
        <w:rPr>
          <w:rFonts w:cs="Arial" w:hint="cs"/>
          <w:sz w:val="16"/>
          <w:szCs w:val="16"/>
          <w:rtl/>
        </w:rPr>
        <w:t xml:space="preserve"> {בטוענת 'מאיס'}</w:t>
      </w:r>
      <w:r>
        <w:rPr>
          <w:rFonts w:cs="Arial"/>
          <w:rtl/>
        </w:rPr>
        <w:t>. וכתב מהרי"ק בדיני מורדת בשורש נ"ז ובשורש ס"ג</w:t>
      </w:r>
      <w:r>
        <w:rPr>
          <w:rFonts w:hint="cs"/>
          <w:rtl/>
        </w:rPr>
        <w:t>...</w:t>
      </w:r>
      <w:r w:rsidRPr="00CD759E">
        <w:rPr>
          <w:rFonts w:cs="Arial"/>
          <w:rtl/>
        </w:rPr>
        <w:t xml:space="preserve"> </w:t>
      </w:r>
      <w:r w:rsidRPr="003A3D3F">
        <w:rPr>
          <w:rFonts w:cs="Arial"/>
          <w:rtl/>
        </w:rPr>
        <w:t>ודברי הריב"ש בדינים אלו בתשובה סימן שס"א ושס"ב</w:t>
      </w:r>
      <w:r>
        <w:rPr>
          <w:rFonts w:cs="Arial" w:hint="cs"/>
          <w:rtl/>
        </w:rPr>
        <w:t xml:space="preserve">, </w:t>
      </w:r>
      <w:r w:rsidRPr="00633D92">
        <w:rPr>
          <w:rFonts w:cs="Arial" w:hint="cs"/>
          <w:b/>
          <w:bCs/>
          <w:rtl/>
        </w:rPr>
        <w:t>ב"י</w:t>
      </w:r>
      <w:r>
        <w:rPr>
          <w:rFonts w:cs="Arial" w:hint="cs"/>
          <w:rtl/>
        </w:rPr>
        <w:t>.</w:t>
      </w:r>
    </w:p>
  </w:footnote>
  <w:footnote w:id="541">
    <w:p w14:paraId="2C16961C" w14:textId="29B904F1" w:rsidR="00DC614E" w:rsidRDefault="00DC614E">
      <w:pPr>
        <w:pStyle w:val="a5"/>
        <w:rPr>
          <w:rtl/>
        </w:rPr>
      </w:pPr>
      <w:r>
        <w:rPr>
          <w:rStyle w:val="a7"/>
        </w:rPr>
        <w:footnoteRef/>
      </w:r>
      <w:r>
        <w:rPr>
          <w:rtl/>
        </w:rPr>
        <w:t xml:space="preserve"> </w:t>
      </w:r>
      <w:r>
        <w:rPr>
          <w:rFonts w:hint="cs"/>
          <w:rtl/>
        </w:rPr>
        <w:t>כתב הר"ן וז"ל:</w:t>
      </w:r>
      <w:r w:rsidRPr="00DC614E">
        <w:rPr>
          <w:rFonts w:cs="Arial"/>
          <w:rtl/>
        </w:rPr>
        <w:t xml:space="preserve"> </w:t>
      </w:r>
      <w:r w:rsidRPr="003A3D3F">
        <w:rPr>
          <w:rFonts w:cs="Arial"/>
          <w:rtl/>
        </w:rPr>
        <w:t>פירש"י</w:t>
      </w:r>
      <w:r>
        <w:rPr>
          <w:rFonts w:cs="Arial" w:hint="cs"/>
          <w:rtl/>
        </w:rPr>
        <w:t>...</w:t>
      </w:r>
      <w:r w:rsidRPr="003A3D3F">
        <w:rPr>
          <w:rFonts w:cs="Arial"/>
          <w:rtl/>
        </w:rPr>
        <w:t xml:space="preserve"> כלתיה דרב זביד אימרדא ואמרה מאיס עלי</w:t>
      </w:r>
      <w:r w:rsidRPr="003A3D3F">
        <w:rPr>
          <w:rFonts w:cs="Arial" w:hint="cs"/>
          <w:rtl/>
        </w:rPr>
        <w:t xml:space="preserve"> -</w:t>
      </w:r>
      <w:r w:rsidRPr="003A3D3F">
        <w:rPr>
          <w:rFonts w:cs="Arial"/>
          <w:rtl/>
        </w:rPr>
        <w:t xml:space="preserve"> ואין שיטה זו מחוורת בעיני</w:t>
      </w:r>
      <w:r w:rsidRPr="003A3D3F">
        <w:rPr>
          <w:rFonts w:cs="Arial" w:hint="cs"/>
          <w:rtl/>
        </w:rPr>
        <w:t>,</w:t>
      </w:r>
      <w:r w:rsidRPr="003A3D3F">
        <w:rPr>
          <w:rFonts w:cs="Arial"/>
          <w:rtl/>
        </w:rPr>
        <w:t xml:space="preserve"> שהרי הזכירו בהויה זו מרדה ב' או ג' פעמים ודוחק הוא לומר דמרדה לאו דוקא</w:t>
      </w:r>
      <w:r w:rsidRPr="003A3D3F">
        <w:rPr>
          <w:rFonts w:cs="Arial" w:hint="cs"/>
          <w:rtl/>
        </w:rPr>
        <w:t>.</w:t>
      </w:r>
      <w:r w:rsidRPr="003A3D3F">
        <w:rPr>
          <w:rFonts w:cs="Arial"/>
          <w:rtl/>
        </w:rPr>
        <w:t xml:space="preserve"> וכן ראיתי להרמב"ם ולאחרים מן הראשונים שכותבים פסקי דינים באומרת מאיס עלי ולא ידעתי מנין להם</w:t>
      </w:r>
      <w:r w:rsidRPr="003A3D3F">
        <w:rPr>
          <w:rFonts w:cs="Arial" w:hint="cs"/>
          <w:rtl/>
        </w:rPr>
        <w:t>.</w:t>
      </w:r>
      <w:r w:rsidRPr="003A3D3F">
        <w:rPr>
          <w:rFonts w:cs="Arial"/>
          <w:rtl/>
        </w:rPr>
        <w:t xml:space="preserve"> אבל פשט הגמרא כך נראה בעיני ד</w:t>
      </w:r>
      <w:r>
        <w:rPr>
          <w:rFonts w:cs="Arial" w:hint="cs"/>
          <w:rtl/>
        </w:rPr>
        <w:t>-...</w:t>
      </w:r>
    </w:p>
  </w:footnote>
  <w:footnote w:id="542">
    <w:p w14:paraId="5338C36F" w14:textId="1453B9F1" w:rsidR="00DE2F5F" w:rsidRDefault="00DE2F5F">
      <w:pPr>
        <w:pStyle w:val="a5"/>
        <w:rPr>
          <w:rtl/>
        </w:rPr>
      </w:pPr>
      <w:r>
        <w:rPr>
          <w:rStyle w:val="a7"/>
        </w:rPr>
        <w:footnoteRef/>
      </w:r>
      <w:r w:rsidRPr="003A3D3F">
        <w:rPr>
          <w:rFonts w:cs="Arial"/>
          <w:rtl/>
        </w:rPr>
        <w:t xml:space="preserve"> ויש מי שכתב דלענין הפסד כתובתה איכא פלוגתא בין מורדת לאומרת מאיס עלי</w:t>
      </w:r>
      <w:r w:rsidRPr="003A3D3F">
        <w:rPr>
          <w:rFonts w:cs="Arial" w:hint="cs"/>
          <w:rtl/>
        </w:rPr>
        <w:t>,</w:t>
      </w:r>
      <w:r w:rsidRPr="003A3D3F">
        <w:rPr>
          <w:rFonts w:cs="Arial"/>
          <w:rtl/>
        </w:rPr>
        <w:t xml:space="preserve"> שהאומרת מאיס עלי וחזרה בה לא הפסידה כתובתה</w:t>
      </w:r>
      <w:r w:rsidRPr="003A3D3F">
        <w:rPr>
          <w:rFonts w:cs="Arial" w:hint="cs"/>
          <w:rtl/>
        </w:rPr>
        <w:t>,</w:t>
      </w:r>
      <w:r w:rsidRPr="003A3D3F">
        <w:rPr>
          <w:rFonts w:cs="Arial"/>
          <w:rtl/>
        </w:rPr>
        <w:t xml:space="preserve"> אבל המורדת הפסידה מה שפחתו לה</w:t>
      </w:r>
      <w:r w:rsidRPr="003A3D3F">
        <w:rPr>
          <w:rFonts w:cs="Arial" w:hint="cs"/>
          <w:rtl/>
        </w:rPr>
        <w:t>,</w:t>
      </w:r>
      <w:r w:rsidRPr="003A3D3F">
        <w:rPr>
          <w:rFonts w:cs="Arial"/>
          <w:rtl/>
        </w:rPr>
        <w:t xml:space="preserve"> וטעמא דמילתא דאם אתה אומר שהמורדת לא הפסידה כיון שהיא עצמה אומרת שאינה מתכוונת אלא לצערו אתיא לאיערומי למיהדר בה כל י"ב חדש</w:t>
      </w:r>
      <w:r w:rsidRPr="003A3D3F">
        <w:rPr>
          <w:rFonts w:cs="Arial" w:hint="cs"/>
          <w:rtl/>
        </w:rPr>
        <w:t>,</w:t>
      </w:r>
      <w:r w:rsidRPr="003A3D3F">
        <w:rPr>
          <w:rFonts w:cs="Arial"/>
          <w:rtl/>
        </w:rPr>
        <w:t xml:space="preserve"> אבל האומרת מאיס עלי כיון שאינה מתכוונת לצער אותו אלא שהוא מאוס עליה כי הדרה בה הא חזינא דלא מאיס עלה</w:t>
      </w:r>
      <w:r w:rsidRPr="003A3D3F">
        <w:rPr>
          <w:rFonts w:cs="Arial" w:hint="cs"/>
          <w:rtl/>
        </w:rPr>
        <w:t>.</w:t>
      </w:r>
      <w:r w:rsidRPr="003A3D3F">
        <w:rPr>
          <w:rFonts w:cs="Arial"/>
          <w:rtl/>
        </w:rPr>
        <w:t xml:space="preserve"> וכבר כתבתי מה שנראה לי דהאומרת מאיס עלי אינה מפסדת כלום</w:t>
      </w:r>
      <w:r w:rsidRPr="003A3D3F">
        <w:rPr>
          <w:rFonts w:cs="Arial" w:hint="cs"/>
          <w:rtl/>
        </w:rPr>
        <w:t>,</w:t>
      </w:r>
      <w:r w:rsidRPr="003A3D3F">
        <w:rPr>
          <w:rFonts w:cs="Arial"/>
          <w:rtl/>
        </w:rPr>
        <w:t xml:space="preserve"> אבל לדברי האומר מפסדת נ"ל שאין בידה לחזור</w:t>
      </w:r>
      <w:r w:rsidRPr="003A3D3F">
        <w:rPr>
          <w:rFonts w:cs="Arial" w:hint="cs"/>
          <w:rtl/>
        </w:rPr>
        <w:t>,</w:t>
      </w:r>
      <w:r w:rsidRPr="003A3D3F">
        <w:rPr>
          <w:rFonts w:cs="Arial"/>
          <w:rtl/>
        </w:rPr>
        <w:t xml:space="preserve"> דאגיטא בלבד הוא שמשהין אותה לפי שחכמים מחזרים שלא יבוא הדבר לידי גט ושמא יעשו סעודה ויתפייסו ויכתוב בעל כתובה מדעתו</w:t>
      </w:r>
      <w:r w:rsidRPr="003A3D3F">
        <w:rPr>
          <w:rFonts w:cs="Arial" w:hint="cs"/>
          <w:rtl/>
        </w:rPr>
        <w:t>,</w:t>
      </w:r>
      <w:r w:rsidRPr="003A3D3F">
        <w:rPr>
          <w:rFonts w:cs="Arial"/>
          <w:rtl/>
        </w:rPr>
        <w:t xml:space="preserve"> הא אם לא רצה ודאי הפסידתה. ולענין מתנה שנתן לה הבעל יש מן הגאונים שאמרו כי אפילו דלא מפסדת נכסי מלוג מאי דיהיב לה בעל מפסדת</w:t>
      </w:r>
      <w:r w:rsidRPr="003A3D3F">
        <w:rPr>
          <w:rFonts w:cs="Arial" w:hint="cs"/>
          <w:rtl/>
        </w:rPr>
        <w:t>,</w:t>
      </w:r>
      <w:r w:rsidRPr="003A3D3F">
        <w:rPr>
          <w:rFonts w:cs="Arial"/>
          <w:rtl/>
        </w:rPr>
        <w:t xml:space="preserve"> דלא אקני לה אלא אדעתא למיקם קמיה</w:t>
      </w:r>
      <w:r w:rsidRPr="003A3D3F">
        <w:rPr>
          <w:rFonts w:cs="Arial" w:hint="cs"/>
          <w:rtl/>
        </w:rPr>
        <w:t>.</w:t>
      </w:r>
      <w:r w:rsidRPr="003A3D3F">
        <w:rPr>
          <w:rFonts w:cs="Arial"/>
          <w:rtl/>
        </w:rPr>
        <w:t xml:space="preserve"> והקשה הרמב"ן (סג: ד"ה וכתב עוד) וכו'</w:t>
      </w:r>
      <w:r w:rsidRPr="003A3D3F">
        <w:rPr>
          <w:rFonts w:cs="Arial" w:hint="cs"/>
          <w:rtl/>
        </w:rPr>
        <w:t>,</w:t>
      </w:r>
      <w:r w:rsidRPr="003A3D3F">
        <w:rPr>
          <w:rFonts w:cs="Arial"/>
          <w:rtl/>
        </w:rPr>
        <w:t xml:space="preserve"> ולדידי לא קשיא וכו'</w:t>
      </w:r>
      <w:r>
        <w:rPr>
          <w:rFonts w:hint="cs"/>
          <w:rtl/>
        </w:rPr>
        <w:t>, ר"ן (שם).</w:t>
      </w:r>
    </w:p>
  </w:footnote>
  <w:footnote w:id="543">
    <w:p w14:paraId="551BD639" w14:textId="21BA2B29" w:rsidR="00DE2F5F" w:rsidRDefault="00DE2F5F">
      <w:pPr>
        <w:pStyle w:val="a5"/>
      </w:pPr>
      <w:r>
        <w:rPr>
          <w:rStyle w:val="a7"/>
        </w:rPr>
        <w:footnoteRef/>
      </w:r>
      <w:r>
        <w:rPr>
          <w:rtl/>
        </w:rPr>
        <w:t xml:space="preserve"> </w:t>
      </w:r>
      <w:r>
        <w:rPr>
          <w:rFonts w:cs="Arial"/>
          <w:rtl/>
        </w:rPr>
        <w:t>וביאר הרב המגיד טעמו</w:t>
      </w:r>
      <w:r>
        <w:rPr>
          <w:rFonts w:cs="Arial" w:hint="cs"/>
          <w:rtl/>
        </w:rPr>
        <w:t xml:space="preserve"> (אע"פ שחלק עליו, ע"ש).</w:t>
      </w:r>
    </w:p>
  </w:footnote>
  <w:footnote w:id="544">
    <w:p w14:paraId="06A8E6BC" w14:textId="286923C7" w:rsidR="00DE2F5F" w:rsidRDefault="00DE2F5F">
      <w:pPr>
        <w:pStyle w:val="a5"/>
        <w:rPr>
          <w:rtl/>
        </w:rPr>
      </w:pPr>
      <w:r>
        <w:rPr>
          <w:rStyle w:val="a7"/>
        </w:rPr>
        <w:footnoteRef/>
      </w:r>
      <w:r>
        <w:rPr>
          <w:rtl/>
        </w:rPr>
        <w:t xml:space="preserve"> </w:t>
      </w:r>
      <w:r>
        <w:rPr>
          <w:rFonts w:cs="Arial" w:hint="cs"/>
          <w:rtl/>
        </w:rPr>
        <w:t>כתב הה"מ (שם) שנוטלת כל מה שהזכירו בגמרא למסקנא גבי כלתיה דרב זביד,</w:t>
      </w:r>
      <w:r w:rsidRPr="00CC6FE8">
        <w:rPr>
          <w:rFonts w:cs="Arial"/>
          <w:rtl/>
        </w:rPr>
        <w:t xml:space="preserve"> וזהו דינה</w:t>
      </w:r>
      <w:r w:rsidRPr="00CC6FE8">
        <w:rPr>
          <w:rFonts w:cs="Arial" w:hint="cs"/>
          <w:rtl/>
        </w:rPr>
        <w:t>-</w:t>
      </w:r>
      <w:r w:rsidRPr="00CC6FE8">
        <w:rPr>
          <w:rFonts w:cs="Arial"/>
          <w:rtl/>
        </w:rPr>
        <w:t xml:space="preserve"> אינה מפסדת כלום עד י"ב חדש</w:t>
      </w:r>
      <w:r w:rsidRPr="00CC6FE8">
        <w:rPr>
          <w:rFonts w:cs="Arial" w:hint="cs"/>
          <w:rtl/>
        </w:rPr>
        <w:t>,</w:t>
      </w:r>
      <w:r w:rsidRPr="00CC6FE8">
        <w:rPr>
          <w:rFonts w:cs="Arial"/>
          <w:rtl/>
        </w:rPr>
        <w:t xml:space="preserve"> ובתוך י"ב חדש אין מכריזין עליה ולא פוחתין מכתובתה כלום</w:t>
      </w:r>
      <w:r w:rsidRPr="00CC6FE8">
        <w:rPr>
          <w:rFonts w:cs="Arial" w:hint="cs"/>
          <w:rtl/>
        </w:rPr>
        <w:t>,</w:t>
      </w:r>
      <w:r w:rsidRPr="00CC6FE8">
        <w:rPr>
          <w:rFonts w:cs="Arial"/>
          <w:rtl/>
        </w:rPr>
        <w:t xml:space="preserve"> ובזה היא חלוקה ממורדת</w:t>
      </w:r>
      <w:r w:rsidRPr="00CC6FE8">
        <w:rPr>
          <w:rFonts w:cs="Arial" w:hint="cs"/>
          <w:rtl/>
        </w:rPr>
        <w:t>.</w:t>
      </w:r>
      <w:r w:rsidRPr="00CC6FE8">
        <w:rPr>
          <w:rFonts w:cs="Arial"/>
          <w:rtl/>
        </w:rPr>
        <w:t xml:space="preserve"> ואם גירש הבעל תוך הזמן הזה נותן לה כל כתובתה משלם</w:t>
      </w:r>
      <w:r w:rsidRPr="00CC6FE8">
        <w:rPr>
          <w:rFonts w:cs="Arial" w:hint="cs"/>
          <w:rtl/>
        </w:rPr>
        <w:t>,</w:t>
      </w:r>
      <w:r w:rsidRPr="00CC6FE8">
        <w:rPr>
          <w:rFonts w:cs="Arial"/>
          <w:rtl/>
        </w:rPr>
        <w:t xml:space="preserve"> ובתוך י"ב חדש אם חזרה בה מוטב ולא הפסידה כלום</w:t>
      </w:r>
      <w:r w:rsidRPr="00CC6FE8">
        <w:rPr>
          <w:rFonts w:cs="Arial" w:hint="cs"/>
          <w:rtl/>
        </w:rPr>
        <w:t>.</w:t>
      </w:r>
      <w:r w:rsidRPr="00CC6FE8">
        <w:rPr>
          <w:rFonts w:cs="Arial"/>
          <w:rtl/>
        </w:rPr>
        <w:t xml:space="preserve"> ואם לאחר י"ב חדש</w:t>
      </w:r>
      <w:r>
        <w:rPr>
          <w:rFonts w:hint="cs"/>
          <w:rtl/>
        </w:rPr>
        <w:t>-...</w:t>
      </w:r>
    </w:p>
  </w:footnote>
  <w:footnote w:id="545">
    <w:p w14:paraId="40057219" w14:textId="540C78AB" w:rsidR="00DE2F5F" w:rsidRDefault="00DE2F5F">
      <w:pPr>
        <w:pStyle w:val="a5"/>
        <w:rPr>
          <w:rtl/>
        </w:rPr>
      </w:pPr>
      <w:r>
        <w:rPr>
          <w:rStyle w:val="a7"/>
        </w:rPr>
        <w:footnoteRef/>
      </w:r>
      <w:r>
        <w:rPr>
          <w:rtl/>
        </w:rPr>
        <w:t xml:space="preserve"> </w:t>
      </w:r>
      <w:r w:rsidRPr="00CC6FE8">
        <w:rPr>
          <w:rFonts w:cs="Arial"/>
          <w:rtl/>
        </w:rPr>
        <w:t>ואין לה מזונות תוך י"ב חדש אלו כיון שאינה רוצה בו ואם מת הבעל תוך י"ב חדש גובה כתובתה מן היורשים ואצ"ל שאם מתה שהוא יורשה לעולם עד שיגרשנה ולאחר י"ב חדש אם רצה הבעל לגרש מגרש ואם רצה לקיימה כותב לה כתובה אחרת לפי שהפסידה כתובתה</w:t>
      </w:r>
      <w:r>
        <w:rPr>
          <w:rFonts w:cs="Arial" w:hint="cs"/>
          <w:rtl/>
        </w:rPr>
        <w:t xml:space="preserve">, </w:t>
      </w:r>
      <w:r w:rsidRPr="006F599B">
        <w:rPr>
          <w:rFonts w:cs="Arial" w:hint="cs"/>
          <w:b/>
          <w:bCs/>
          <w:rtl/>
        </w:rPr>
        <w:t>הה"מ</w:t>
      </w:r>
      <w:r>
        <w:rPr>
          <w:rFonts w:cs="Arial" w:hint="cs"/>
          <w:rtl/>
        </w:rPr>
        <w:t xml:space="preserve"> (שם).</w:t>
      </w:r>
      <w:r w:rsidR="006F599B">
        <w:rPr>
          <w:rFonts w:cs="Arial" w:hint="cs"/>
          <w:rtl/>
        </w:rPr>
        <w:t xml:space="preserve">      </w:t>
      </w:r>
      <w:r w:rsidRPr="00464C99">
        <w:rPr>
          <w:rFonts w:cs="Arial"/>
          <w:rtl/>
        </w:rPr>
        <w:t xml:space="preserve"> </w:t>
      </w:r>
      <w:r>
        <w:rPr>
          <w:rFonts w:cs="Arial" w:hint="cs"/>
          <w:rtl/>
        </w:rPr>
        <w:t>וכתב</w:t>
      </w:r>
      <w:r>
        <w:rPr>
          <w:rFonts w:cs="Arial"/>
          <w:rtl/>
        </w:rPr>
        <w:t xml:space="preserve"> </w:t>
      </w:r>
      <w:r w:rsidRPr="006F599B">
        <w:rPr>
          <w:rFonts w:cs="Arial"/>
          <w:b/>
          <w:bCs/>
          <w:rtl/>
        </w:rPr>
        <w:t>הר"ן</w:t>
      </w:r>
      <w:r>
        <w:rPr>
          <w:rFonts w:cs="Arial"/>
          <w:rtl/>
        </w:rPr>
        <w:t xml:space="preserve"> בתשובה (סי' יג)</w:t>
      </w:r>
      <w:r w:rsidR="006F599B">
        <w:rPr>
          <w:rFonts w:cs="Arial" w:hint="cs"/>
          <w:rtl/>
        </w:rPr>
        <w:t>:</w:t>
      </w:r>
      <w:r>
        <w:rPr>
          <w:rFonts w:cs="Arial"/>
          <w:rtl/>
        </w:rPr>
        <w:t xml:space="preserve"> יש בין דברי הרמב"ם ודברי הרשב"א חילוק שהרמב"ם כתב שהאומרת מאיס עלי נוטלת בלאותיה </w:t>
      </w:r>
      <w:r>
        <w:rPr>
          <w:rFonts w:cs="Arial" w:hint="cs"/>
          <w:sz w:val="16"/>
          <w:szCs w:val="16"/>
          <w:rtl/>
        </w:rPr>
        <w:t xml:space="preserve">{של צו"ב} </w:t>
      </w:r>
      <w:r>
        <w:rPr>
          <w:rFonts w:cs="Arial"/>
          <w:rtl/>
        </w:rPr>
        <w:t>קיימים ולא חילק בין תפסה ללא תפסה</w:t>
      </w:r>
      <w:r>
        <w:rPr>
          <w:rFonts w:cs="Arial" w:hint="cs"/>
          <w:rtl/>
        </w:rPr>
        <w:t>,</w:t>
      </w:r>
      <w:r>
        <w:rPr>
          <w:rFonts w:cs="Arial"/>
          <w:rtl/>
        </w:rPr>
        <w:t xml:space="preserve"> והרשב"א כתב וקדמה היא ותפסה אין מוציאין מידה משמע הא לא תפסה הפסידה</w:t>
      </w:r>
      <w:r>
        <w:rPr>
          <w:rFonts w:cs="Arial" w:hint="cs"/>
          <w:rtl/>
        </w:rPr>
        <w:t>.</w:t>
      </w:r>
      <w:r>
        <w:rPr>
          <w:rFonts w:cs="Arial"/>
          <w:rtl/>
        </w:rPr>
        <w:t xml:space="preserve"> ואכתוב לכם על מה נסמך כל אחד מהם ז"ל לפי דעתי. הרמב"ם ז"ל פירש זו שאמרו בפרק אף על פי </w:t>
      </w:r>
      <w:r>
        <w:rPr>
          <w:rFonts w:cs="Arial" w:hint="cs"/>
          <w:rtl/>
        </w:rPr>
        <w:t>[</w:t>
      </w:r>
      <w:r>
        <w:rPr>
          <w:rFonts w:cs="Arial"/>
          <w:rtl/>
        </w:rPr>
        <w:t>כלתיה דרב זביד אימרדה הוה תפיסא חד שיראי דמסקינן עלה בגמרא השתא דלא איתמר הלכתא לא הכי ולא הכי דתפסה לא מפקינן מינה דלא תפסה לא יהבינן לה</w:t>
      </w:r>
      <w:r>
        <w:rPr>
          <w:rFonts w:cs="Arial" w:hint="cs"/>
          <w:rtl/>
        </w:rPr>
        <w:t>]</w:t>
      </w:r>
      <w:r>
        <w:rPr>
          <w:rFonts w:cs="Arial"/>
          <w:rtl/>
        </w:rPr>
        <w:t xml:space="preserve"> במורדת כפשטה וכן מוכיחין דברי הרמב"ם שכתב זה החילוק בין תפסה ללא תפסה בחיבורו בדיני מורדת</w:t>
      </w:r>
      <w:r>
        <w:rPr>
          <w:rFonts w:cs="Arial" w:hint="cs"/>
          <w:rtl/>
        </w:rPr>
        <w:t>,</w:t>
      </w:r>
      <w:r>
        <w:rPr>
          <w:rFonts w:cs="Arial"/>
          <w:rtl/>
        </w:rPr>
        <w:t xml:space="preserve"> וסבור הרב ז"ל דדוקא במורדת יש חילוק בין תפסה ללא תפסה דבלא תפסה הפסידה</w:t>
      </w:r>
      <w:r>
        <w:rPr>
          <w:rFonts w:cs="Arial" w:hint="cs"/>
          <w:rtl/>
        </w:rPr>
        <w:t>,</w:t>
      </w:r>
      <w:r>
        <w:rPr>
          <w:rFonts w:cs="Arial"/>
          <w:rtl/>
        </w:rPr>
        <w:t xml:space="preserve"> אבל האומרת מאיס עלי אפילו לא תפסה לא הפסידה</w:t>
      </w:r>
      <w:r>
        <w:rPr>
          <w:rFonts w:cs="Arial" w:hint="cs"/>
          <w:rtl/>
        </w:rPr>
        <w:t>.</w:t>
      </w:r>
      <w:r>
        <w:rPr>
          <w:rFonts w:cs="Arial"/>
          <w:rtl/>
        </w:rPr>
        <w:t xml:space="preserve"> וטעמו של דבר לפי שהמורדת אינה מבטלת מיד תנאי אישות שבינו לבינה אלא כל הפסדה הוא שבעה דינרים בכל שבת מעיקר התקנה ולפיכך כיון דקנסוה שתפסיד שבעה בכל שבת דין הוא שיהא זה ההפסד מוטל על כל נכסיה וכאילו הבעל מרויח על נכסיה ז' בכל שבת</w:t>
      </w:r>
      <w:r>
        <w:rPr>
          <w:rFonts w:cs="Arial" w:hint="cs"/>
          <w:rtl/>
        </w:rPr>
        <w:t xml:space="preserve"> -</w:t>
      </w:r>
      <w:r>
        <w:rPr>
          <w:rFonts w:cs="Arial"/>
          <w:rtl/>
        </w:rPr>
        <w:t xml:space="preserve"> ולפיכך דין הוא שנאמר דבלאותיה הקיימים שאם לא תפסה אותן הפסידתן</w:t>
      </w:r>
      <w:r>
        <w:rPr>
          <w:rFonts w:cs="Arial" w:hint="cs"/>
          <w:rtl/>
        </w:rPr>
        <w:t>.</w:t>
      </w:r>
      <w:r>
        <w:rPr>
          <w:rFonts w:cs="Arial"/>
          <w:rtl/>
        </w:rPr>
        <w:t xml:space="preserve"> אבל האומרת מאיס עלי אין עניינה כן</w:t>
      </w:r>
      <w:r>
        <w:rPr>
          <w:rFonts w:cs="Arial" w:hint="cs"/>
          <w:rtl/>
        </w:rPr>
        <w:t>,</w:t>
      </w:r>
      <w:r>
        <w:rPr>
          <w:rFonts w:cs="Arial"/>
          <w:rtl/>
        </w:rPr>
        <w:t xml:space="preserve"> שאין הבעל מרויח עליה דבר קצוב כדי שנאמר שיהא ריוח הבעל והפסד האשה מוטל על כל נכסיה</w:t>
      </w:r>
      <w:r>
        <w:rPr>
          <w:rFonts w:cs="Arial" w:hint="cs"/>
          <w:rtl/>
        </w:rPr>
        <w:t>,</w:t>
      </w:r>
      <w:r>
        <w:rPr>
          <w:rFonts w:cs="Arial"/>
          <w:rtl/>
        </w:rPr>
        <w:t xml:space="preserve"> אלא הרי היא מבטלת תנאי האישות מיד והפסידה כל שיש לה על הבעל אבל מה שהוא שלה כגון בלאותיה לא הפסידה דהויא ליה כההיא דאמרינן בסוף פרק אלמנה (קא:) אם היא זינתה בלאותיה מי זינו</w:t>
      </w:r>
      <w:r>
        <w:rPr>
          <w:rFonts w:cs="Arial" w:hint="cs"/>
          <w:rtl/>
        </w:rPr>
        <w:t xml:space="preserve"> -</w:t>
      </w:r>
      <w:r>
        <w:rPr>
          <w:rFonts w:cs="Arial"/>
          <w:rtl/>
        </w:rPr>
        <w:t xml:space="preserve"> ולפיכך כתב הרמב"ם שתטול בלאותיה ולא חילק בין תפסה ללא תפסה</w:t>
      </w:r>
      <w:r>
        <w:rPr>
          <w:rFonts w:cs="Arial" w:hint="cs"/>
          <w:rtl/>
        </w:rPr>
        <w:t>.</w:t>
      </w:r>
      <w:r>
        <w:rPr>
          <w:rFonts w:cs="Arial"/>
          <w:rtl/>
        </w:rPr>
        <w:t xml:space="preserve"> אבל הרמב"ן ז"ל הולך בדרך האחרונים שפירשו זו של כלתיה דרב זביד באומרת מאיס עלי ולפיכך יש חילוק בין תפסה ללא תפסה שאילו מורדת דבעינא ליה ומצערנא ליה אפילו תפסה הפסידה</w:t>
      </w:r>
      <w:r>
        <w:rPr>
          <w:rFonts w:cs="Arial" w:hint="cs"/>
          <w:rtl/>
        </w:rPr>
        <w:t>.</w:t>
      </w:r>
      <w:r>
        <w:rPr>
          <w:rFonts w:cs="Arial"/>
          <w:rtl/>
        </w:rPr>
        <w:t xml:space="preserve"> ונראין דברי האחרונים ז"ל עיקר.</w:t>
      </w:r>
    </w:p>
  </w:footnote>
  <w:footnote w:id="546">
    <w:p w14:paraId="23DC552E" w14:textId="0CB66F9C" w:rsidR="00DE2F5F" w:rsidRDefault="00DE2F5F">
      <w:pPr>
        <w:pStyle w:val="a5"/>
      </w:pPr>
      <w:r>
        <w:rPr>
          <w:rStyle w:val="a7"/>
        </w:rPr>
        <w:footnoteRef/>
      </w:r>
      <w:r>
        <w:rPr>
          <w:rtl/>
        </w:rPr>
        <w:t xml:space="preserve"> </w:t>
      </w:r>
      <w:r>
        <w:rPr>
          <w:rFonts w:hint="cs"/>
          <w:rtl/>
        </w:rPr>
        <w:t>וז"ל הרא"ש שם</w:t>
      </w:r>
      <w:r w:rsidR="001B6C0C">
        <w:rPr>
          <w:rFonts w:hint="cs"/>
          <w:rtl/>
        </w:rPr>
        <w:t>:</w:t>
      </w:r>
      <w:r>
        <w:rPr>
          <w:rFonts w:hint="cs"/>
          <w:rtl/>
        </w:rPr>
        <w:t xml:space="preserve"> </w:t>
      </w:r>
      <w:r w:rsidRPr="00A93E28">
        <w:rPr>
          <w:rFonts w:cs="Arial"/>
          <w:rtl/>
        </w:rPr>
        <w:t>וכן היה דן רבינו מאיר ז"ל בדינא דמתיבתא אבל היה מצוה להחרים אם השיאה שום אדם עצה כדי להוציא נדונייתה מבעלה וכשהיה נראה לו ערמה בדבר לא היה מצוה להחזיר לה אפילו נדונייתה הלכך לא היה דן דין מאיס עלי אם לא שתתן אמתלא לדבריה למה אינו מקובל עליה או שהיה מכלה כל הממון</w:t>
      </w:r>
      <w:r>
        <w:rPr>
          <w:rFonts w:hint="cs"/>
          <w:rtl/>
        </w:rPr>
        <w:t>.</w:t>
      </w:r>
    </w:p>
  </w:footnote>
  <w:footnote w:id="547">
    <w:p w14:paraId="2033A47C" w14:textId="519A68D8" w:rsidR="00DE2F5F" w:rsidRDefault="00DE2F5F" w:rsidP="00564655">
      <w:pPr>
        <w:pStyle w:val="a5"/>
      </w:pPr>
      <w:r>
        <w:rPr>
          <w:rStyle w:val="a7"/>
        </w:rPr>
        <w:footnoteRef/>
      </w:r>
      <w:r>
        <w:rPr>
          <w:rtl/>
        </w:rPr>
        <w:t xml:space="preserve"> </w:t>
      </w:r>
      <w:r>
        <w:rPr>
          <w:rFonts w:cs="Arial" w:hint="cs"/>
          <w:rtl/>
        </w:rPr>
        <w:t>וז"ל הגה"מ בשם התוס' ומהר"ם</w:t>
      </w:r>
      <w:r w:rsidR="001B6C0C">
        <w:rPr>
          <w:rFonts w:cs="Arial" w:hint="cs"/>
          <w:rtl/>
        </w:rPr>
        <w:t>:</w:t>
      </w:r>
      <w:r>
        <w:rPr>
          <w:rFonts w:cs="Arial" w:hint="cs"/>
          <w:rtl/>
        </w:rPr>
        <w:t xml:space="preserve"> </w:t>
      </w:r>
      <w:r w:rsidRPr="003B37DC">
        <w:rPr>
          <w:rFonts w:cs="Arial"/>
          <w:rtl/>
        </w:rPr>
        <w:t xml:space="preserve">אף לדברי האומרים דבטענת מאיס עלי כופין להוציא </w:t>
      </w:r>
      <w:r>
        <w:rPr>
          <w:rFonts w:cs="Arial" w:hint="cs"/>
          <w:rtl/>
        </w:rPr>
        <w:t xml:space="preserve">- </w:t>
      </w:r>
      <w:r w:rsidRPr="003B37DC">
        <w:rPr>
          <w:rFonts w:cs="Arial"/>
          <w:rtl/>
        </w:rPr>
        <w:t>היינו דוקא בנותנת אמתלאה לדבריה וטענה הנראית למה הוא מאוס עליה</w:t>
      </w:r>
      <w:r>
        <w:rPr>
          <w:rFonts w:cs="Arial" w:hint="cs"/>
          <w:rtl/>
        </w:rPr>
        <w:t>.</w:t>
      </w:r>
      <w:r w:rsidRPr="003B37DC">
        <w:rPr>
          <w:rFonts w:cs="Arial"/>
          <w:rtl/>
        </w:rPr>
        <w:t xml:space="preserve"> אבל האומרת מאיס עלי בלא טענה </w:t>
      </w:r>
      <w:r>
        <w:rPr>
          <w:rFonts w:cs="Arial" w:hint="cs"/>
          <w:rtl/>
        </w:rPr>
        <w:t xml:space="preserve">- </w:t>
      </w:r>
      <w:r w:rsidRPr="003B37DC">
        <w:rPr>
          <w:rFonts w:cs="Arial"/>
          <w:rtl/>
        </w:rPr>
        <w:t>אינו חייב לה לא מזונות ולא כתובה ולא אפילו מה שהכניסה לו ואפילו איתיה בעיניה</w:t>
      </w:r>
      <w:r>
        <w:rPr>
          <w:rFonts w:cs="Arial" w:hint="cs"/>
          <w:rtl/>
        </w:rPr>
        <w:t>,</w:t>
      </w:r>
      <w:r w:rsidRPr="003B37DC">
        <w:rPr>
          <w:rFonts w:cs="Arial"/>
          <w:rtl/>
        </w:rPr>
        <w:t xml:space="preserve"> אבל מה שתפסה למזונותיה ממה שהכניסה לו תפסה ולא מפקינן לה</w:t>
      </w:r>
      <w:r>
        <w:rPr>
          <w:rFonts w:cs="Arial" w:hint="cs"/>
          <w:rtl/>
        </w:rPr>
        <w:t>.</w:t>
      </w:r>
    </w:p>
  </w:footnote>
  <w:footnote w:id="548">
    <w:p w14:paraId="708F3F1B" w14:textId="5F5B302C" w:rsidR="00DE2F5F" w:rsidRDefault="00DE2F5F">
      <w:pPr>
        <w:pStyle w:val="a5"/>
      </w:pPr>
      <w:r>
        <w:rPr>
          <w:rStyle w:val="a7"/>
        </w:rPr>
        <w:footnoteRef/>
      </w:r>
      <w:r>
        <w:rPr>
          <w:rtl/>
        </w:rPr>
        <w:t xml:space="preserve"> </w:t>
      </w:r>
      <w:r w:rsidRPr="00FA71CF">
        <w:rPr>
          <w:rFonts w:cs="Arial"/>
          <w:rtl/>
        </w:rPr>
        <w:t>וכתב המרדכי (</w:t>
      </w:r>
      <w:r>
        <w:rPr>
          <w:rFonts w:cs="Arial" w:hint="cs"/>
          <w:rtl/>
        </w:rPr>
        <w:t>סי' קפו</w:t>
      </w:r>
      <w:r w:rsidRPr="00FA71CF">
        <w:rPr>
          <w:rFonts w:cs="Arial"/>
          <w:rtl/>
        </w:rPr>
        <w:t xml:space="preserve">) </w:t>
      </w:r>
      <w:r>
        <w:rPr>
          <w:rFonts w:cs="Arial" w:hint="cs"/>
          <w:rtl/>
        </w:rPr>
        <w:t>ד</w:t>
      </w:r>
      <w:r w:rsidRPr="00FA71CF">
        <w:rPr>
          <w:rFonts w:cs="Arial"/>
          <w:rtl/>
        </w:rPr>
        <w:t xml:space="preserve">כל מה שאביה מוחזק בו מן הנדן דהנעלת ליה </w:t>
      </w:r>
      <w:r>
        <w:rPr>
          <w:rFonts w:cs="Arial" w:hint="cs"/>
          <w:rtl/>
        </w:rPr>
        <w:t xml:space="preserve">- </w:t>
      </w:r>
      <w:r w:rsidRPr="00FA71CF">
        <w:rPr>
          <w:rFonts w:cs="Arial"/>
          <w:rtl/>
        </w:rPr>
        <w:t>מהני כאילו היא עצמה תפסה</w:t>
      </w:r>
      <w:r>
        <w:rPr>
          <w:rFonts w:cs="Arial" w:hint="cs"/>
          <w:rtl/>
        </w:rPr>
        <w:t>.</w:t>
      </w:r>
      <w:r w:rsidRPr="00FA71CF">
        <w:rPr>
          <w:rFonts w:cs="Arial"/>
          <w:rtl/>
        </w:rPr>
        <w:t xml:space="preserve"> וכן איתא בזה תשובות מוהר"ם (תשו' מהר"ם ד"פ סי' רל) בהגהה שם (סי' רצ) ועיין לקמן סימן ק"ב מדין מורדת</w:t>
      </w:r>
      <w:r>
        <w:rPr>
          <w:rFonts w:cs="Arial" w:hint="cs"/>
          <w:rtl/>
        </w:rPr>
        <w:t>, דרכ"מ (אות יג).</w:t>
      </w:r>
      <w:r w:rsidRPr="00386CF1">
        <w:rPr>
          <w:rFonts w:cs="Arial" w:hint="cs"/>
          <w:color w:val="00B0F0"/>
          <w:rtl/>
        </w:rPr>
        <w:t xml:space="preserve"> </w:t>
      </w:r>
      <w:r w:rsidRPr="00B2631C">
        <w:rPr>
          <w:rFonts w:cs="Arial" w:hint="cs"/>
          <w:color w:val="00B0F0"/>
          <w:rtl/>
        </w:rPr>
        <w:t>(וכ"</w:t>
      </w:r>
      <w:r>
        <w:rPr>
          <w:rFonts w:cs="Arial" w:hint="cs"/>
          <w:color w:val="00B0F0"/>
          <w:rtl/>
        </w:rPr>
        <w:t>פ</w:t>
      </w:r>
      <w:r w:rsidRPr="00B2631C">
        <w:rPr>
          <w:rFonts w:cs="Arial" w:hint="cs"/>
          <w:color w:val="00B0F0"/>
          <w:rtl/>
        </w:rPr>
        <w:t xml:space="preserve"> </w:t>
      </w:r>
      <w:r>
        <w:rPr>
          <w:rFonts w:cs="Arial" w:hint="cs"/>
          <w:color w:val="00B0F0"/>
          <w:rtl/>
        </w:rPr>
        <w:t>בהגה</w:t>
      </w:r>
      <w:r>
        <w:rPr>
          <w:rFonts w:cs="Arial" w:hint="cs"/>
          <w:color w:val="000000" w:themeColor="text1"/>
          <w:sz w:val="16"/>
          <w:szCs w:val="16"/>
          <w:rtl/>
        </w:rPr>
        <w:t xml:space="preserve"> </w:t>
      </w:r>
      <w:r w:rsidRPr="004A1C38">
        <w:rPr>
          <w:rFonts w:cs="Arial" w:hint="cs"/>
          <w:color w:val="000000" w:themeColor="text1"/>
          <w:sz w:val="16"/>
          <w:szCs w:val="16"/>
          <w:rtl/>
        </w:rPr>
        <w:t>[</w:t>
      </w:r>
      <w:r>
        <w:rPr>
          <w:rFonts w:cs="Arial" w:hint="cs"/>
          <w:color w:val="000000" w:themeColor="text1"/>
          <w:sz w:val="16"/>
          <w:szCs w:val="16"/>
          <w:rtl/>
        </w:rPr>
        <w:t>בסע' ג</w:t>
      </w:r>
      <w:r w:rsidRPr="004A1C38">
        <w:rPr>
          <w:rFonts w:cs="Arial" w:hint="cs"/>
          <w:color w:val="000000" w:themeColor="text1"/>
          <w:sz w:val="16"/>
          <w:szCs w:val="16"/>
          <w:rtl/>
        </w:rPr>
        <w:t>]</w:t>
      </w:r>
      <w:r w:rsidRPr="00B2631C">
        <w:rPr>
          <w:rFonts w:cs="Arial" w:hint="cs"/>
          <w:color w:val="00B0F0"/>
          <w:rtl/>
        </w:rPr>
        <w:t>)</w:t>
      </w:r>
    </w:p>
  </w:footnote>
  <w:footnote w:id="549">
    <w:p w14:paraId="5FC30AD5" w14:textId="553D44EE" w:rsidR="00DE2F5F" w:rsidRDefault="00DE2F5F">
      <w:pPr>
        <w:pStyle w:val="a5"/>
      </w:pPr>
      <w:r>
        <w:rPr>
          <w:rStyle w:val="a7"/>
        </w:rPr>
        <w:footnoteRef/>
      </w:r>
      <w:r>
        <w:rPr>
          <w:rtl/>
        </w:rPr>
        <w:t xml:space="preserve"> </w:t>
      </w:r>
      <w:r>
        <w:rPr>
          <w:rFonts w:hint="cs"/>
          <w:rtl/>
        </w:rPr>
        <w:t>צל"ע, דמהר"ם מיירי התם מתקנת הגאונים, ותקנת הגאונים היא על כל מורדת, בין מאיס ובין בעינא ומצערנא, אבל כאן מיירי רק במאיס, ויש להבדיל בניהם למי שלא קיבל את תקנת הגאונים, ומהר"ם קיבל את התקנה לעניין ממון, אבל לא לעניין כפייה.</w:t>
      </w:r>
    </w:p>
  </w:footnote>
  <w:footnote w:id="550">
    <w:p w14:paraId="146449DA" w14:textId="69C7C3DE" w:rsidR="00092727" w:rsidRDefault="00092727">
      <w:pPr>
        <w:pStyle w:val="a5"/>
        <w:rPr>
          <w:rtl/>
        </w:rPr>
      </w:pPr>
      <w:r>
        <w:rPr>
          <w:rStyle w:val="a7"/>
        </w:rPr>
        <w:footnoteRef/>
      </w:r>
      <w:r>
        <w:rPr>
          <w:rtl/>
        </w:rPr>
        <w:t xml:space="preserve"> </w:t>
      </w:r>
      <w:r w:rsidRPr="00BF55D8">
        <w:rPr>
          <w:rFonts w:cs="Arial"/>
          <w:rtl/>
        </w:rPr>
        <w:t>ודעו עוד שהאומרת מאיס עלי שדנין אותה על פי המשפטים האלה דוקא באומרת מאיס עלי ואיני רוצה בו ולא בכתובתו</w:t>
      </w:r>
      <w:r>
        <w:rPr>
          <w:rFonts w:cs="Arial" w:hint="cs"/>
          <w:rtl/>
        </w:rPr>
        <w:t>,</w:t>
      </w:r>
      <w:r w:rsidRPr="00BF55D8">
        <w:rPr>
          <w:rFonts w:cs="Arial"/>
          <w:rtl/>
        </w:rPr>
        <w:t xml:space="preserve"> אבל האומרת מאיס עלי ורוצה אני להתגרש וליטול כתובה חוששין שמא עיניה נתנה באחר </w:t>
      </w:r>
      <w:r>
        <w:rPr>
          <w:rFonts w:cs="Arial" w:hint="cs"/>
          <w:rtl/>
        </w:rPr>
        <w:t xml:space="preserve">- </w:t>
      </w:r>
      <w:r w:rsidRPr="00BF55D8">
        <w:rPr>
          <w:rFonts w:cs="Arial"/>
          <w:rtl/>
        </w:rPr>
        <w:t>וחזר דינה לדין המורדת</w:t>
      </w:r>
      <w:r>
        <w:rPr>
          <w:rFonts w:cs="Arial" w:hint="cs"/>
          <w:rtl/>
        </w:rPr>
        <w:t>.</w:t>
      </w:r>
      <w:r w:rsidRPr="00BF55D8">
        <w:rPr>
          <w:rFonts w:cs="Arial"/>
          <w:rtl/>
        </w:rPr>
        <w:t xml:space="preserve"> וכן פירש"י גבי </w:t>
      </w:r>
      <w:r>
        <w:rPr>
          <w:rFonts w:cs="Arial" w:hint="cs"/>
          <w:rtl/>
        </w:rPr>
        <w:t>"</w:t>
      </w:r>
      <w:r w:rsidRPr="00BF55D8">
        <w:rPr>
          <w:rFonts w:cs="Arial"/>
          <w:rtl/>
        </w:rPr>
        <w:t>ה</w:t>
      </w:r>
      <w:r w:rsidRPr="00BF55D8">
        <w:rPr>
          <w:rFonts w:cs="Arial" w:hint="cs"/>
          <w:rtl/>
        </w:rPr>
        <w:t>יכ</w:t>
      </w:r>
      <w:r>
        <w:rPr>
          <w:rFonts w:cs="Arial" w:hint="cs"/>
          <w:rtl/>
        </w:rPr>
        <w:t>י</w:t>
      </w:r>
      <w:r w:rsidRPr="00BF55D8">
        <w:rPr>
          <w:rFonts w:cs="Arial" w:hint="cs"/>
          <w:rtl/>
        </w:rPr>
        <w:t xml:space="preserve"> דמי</w:t>
      </w:r>
      <w:r w:rsidRPr="00BF55D8">
        <w:rPr>
          <w:rFonts w:cs="Arial"/>
          <w:rtl/>
        </w:rPr>
        <w:t xml:space="preserve"> מורדת דאמרה בעינא ליה ומצערנא ליה אמרה מאיס עלי לא כייפינן לה</w:t>
      </w:r>
      <w:r>
        <w:rPr>
          <w:rFonts w:cs="Arial" w:hint="cs"/>
          <w:rtl/>
        </w:rPr>
        <w:t>"</w:t>
      </w:r>
      <w:r w:rsidRPr="00BF55D8">
        <w:rPr>
          <w:rFonts w:cs="Arial"/>
          <w:rtl/>
        </w:rPr>
        <w:t xml:space="preserve"> וכתב רש"י שם ה"ד מורדת דכופין ופוחתין לה מכתובתה דאמרה בעינא ליה ומצערנא ליה שיש לכופה על ידי פחיתת כתובה</w:t>
      </w:r>
      <w:r>
        <w:rPr>
          <w:rFonts w:cs="Arial" w:hint="cs"/>
          <w:rtl/>
        </w:rPr>
        <w:t>,</w:t>
      </w:r>
      <w:r w:rsidRPr="00BF55D8">
        <w:rPr>
          <w:rFonts w:cs="Arial"/>
          <w:rtl/>
        </w:rPr>
        <w:t xml:space="preserve"> אבל אמרה מאיס עלי לא הוא ולא כתובתו לא כייפינן לה ע"כ</w:t>
      </w:r>
      <w:r>
        <w:rPr>
          <w:rFonts w:cs="Arial" w:hint="cs"/>
          <w:rtl/>
        </w:rPr>
        <w:t>.</w:t>
      </w:r>
      <w:r w:rsidRPr="00BF55D8">
        <w:rPr>
          <w:rFonts w:cs="Arial"/>
          <w:rtl/>
        </w:rPr>
        <w:t xml:space="preserve"> הא באומרת רוצה אני להתגרש וליטול כתובה </w:t>
      </w:r>
      <w:r>
        <w:rPr>
          <w:rFonts w:cs="Arial" w:hint="cs"/>
          <w:rtl/>
        </w:rPr>
        <w:t xml:space="preserve">- </w:t>
      </w:r>
      <w:r w:rsidRPr="00BF55D8">
        <w:rPr>
          <w:rFonts w:cs="Arial"/>
          <w:rtl/>
        </w:rPr>
        <w:t>כופין אותו על ידי פחיתת כתובה כדין המורדת</w:t>
      </w:r>
      <w:r>
        <w:rPr>
          <w:rFonts w:cs="Arial" w:hint="cs"/>
          <w:rtl/>
        </w:rPr>
        <w:t>.</w:t>
      </w:r>
      <w:r w:rsidRPr="00BF55D8">
        <w:rPr>
          <w:rFonts w:cs="Arial"/>
          <w:rtl/>
        </w:rPr>
        <w:t xml:space="preserve"> וכן דעת הרשב"א בתשובה</w:t>
      </w:r>
      <w:r>
        <w:rPr>
          <w:rFonts w:cs="Arial" w:hint="cs"/>
          <w:rtl/>
        </w:rPr>
        <w:t>,</w:t>
      </w:r>
      <w:r w:rsidRPr="00342AF8">
        <w:rPr>
          <w:rFonts w:cs="Arial" w:hint="cs"/>
          <w:rtl/>
        </w:rPr>
        <w:t xml:space="preserve"> </w:t>
      </w:r>
      <w:r w:rsidRPr="00BF55D8">
        <w:rPr>
          <w:rFonts w:cs="Arial" w:hint="cs"/>
          <w:rtl/>
        </w:rPr>
        <w:t xml:space="preserve">ר"ן </w:t>
      </w:r>
      <w:r w:rsidRPr="00BF55D8">
        <w:rPr>
          <w:rFonts w:cs="Arial" w:hint="cs"/>
          <w:sz w:val="16"/>
          <w:szCs w:val="16"/>
          <w:rtl/>
        </w:rPr>
        <w:t>(בתשו' סי' יג)</w:t>
      </w:r>
      <w:r w:rsidRPr="00BF55D8">
        <w:rPr>
          <w:rFonts w:cs="Arial"/>
          <w:rtl/>
        </w:rPr>
        <w:t xml:space="preserve">. </w:t>
      </w:r>
      <w:r w:rsidRPr="0087405A">
        <w:rPr>
          <w:rFonts w:cs="Arial" w:hint="cs"/>
          <w:color w:val="00B0F0"/>
          <w:rtl/>
        </w:rPr>
        <w:t>(וכ"פ הרמ"א)</w:t>
      </w:r>
    </w:p>
  </w:footnote>
  <w:footnote w:id="551">
    <w:p w14:paraId="60E2D441" w14:textId="77777777" w:rsidR="00113260" w:rsidRDefault="00113260" w:rsidP="00113260">
      <w:pPr>
        <w:pStyle w:val="a5"/>
      </w:pPr>
      <w:r>
        <w:rPr>
          <w:rStyle w:val="a7"/>
        </w:rPr>
        <w:footnoteRef/>
      </w:r>
      <w:r>
        <w:rPr>
          <w:rtl/>
        </w:rPr>
        <w:t xml:space="preserve"> </w:t>
      </w:r>
      <w:r>
        <w:rPr>
          <w:rFonts w:hint="cs"/>
          <w:rtl/>
        </w:rPr>
        <w:t xml:space="preserve">וז"ל הרא"ש שם: </w:t>
      </w:r>
      <w:r w:rsidRPr="00A93E28">
        <w:rPr>
          <w:rFonts w:cs="Arial"/>
          <w:rtl/>
        </w:rPr>
        <w:t>וכן היה דן רבינו מאיר ז"ל בדינא דמתיבתא אבל היה מצוה להחרים אם השיאה שום אדם עצה כדי להוציא נדונייתה מבעלה וכשהיה נראה לו ערמה בדבר לא היה מצוה להחזיר לה אפילו נדונייתה הלכך לא היה דן דין מאיס עלי אם לא שתתן אמתלא לדבריה למה אינו מקובל עליה או שהיה מכלה כל הממון</w:t>
      </w:r>
      <w:r>
        <w:rPr>
          <w:rFonts w:hint="cs"/>
          <w:rtl/>
        </w:rPr>
        <w:t>.</w:t>
      </w:r>
    </w:p>
  </w:footnote>
  <w:footnote w:id="552">
    <w:p w14:paraId="78F5B6F3" w14:textId="77777777" w:rsidR="00113260" w:rsidRDefault="00113260" w:rsidP="00113260">
      <w:pPr>
        <w:pStyle w:val="a5"/>
      </w:pPr>
      <w:r>
        <w:rPr>
          <w:rStyle w:val="a7"/>
        </w:rPr>
        <w:footnoteRef/>
      </w:r>
      <w:r>
        <w:rPr>
          <w:rtl/>
        </w:rPr>
        <w:t xml:space="preserve"> </w:t>
      </w:r>
      <w:r>
        <w:rPr>
          <w:rFonts w:cs="Arial" w:hint="cs"/>
          <w:rtl/>
        </w:rPr>
        <w:t xml:space="preserve">וז"ל הגה"מ בשם התוס' ומהר"ם: </w:t>
      </w:r>
      <w:r w:rsidRPr="003B37DC">
        <w:rPr>
          <w:rFonts w:cs="Arial"/>
          <w:rtl/>
        </w:rPr>
        <w:t xml:space="preserve">אף לדברי האומרים דבטענת מאיס עלי כופין להוציא </w:t>
      </w:r>
      <w:r>
        <w:rPr>
          <w:rFonts w:cs="Arial" w:hint="cs"/>
          <w:rtl/>
        </w:rPr>
        <w:t xml:space="preserve">- </w:t>
      </w:r>
      <w:r w:rsidRPr="003B37DC">
        <w:rPr>
          <w:rFonts w:cs="Arial"/>
          <w:rtl/>
        </w:rPr>
        <w:t>היינו דוקא בנותנת אמתלאה לדבריה וטענה הנראית למה הוא מאוס עליה</w:t>
      </w:r>
      <w:r>
        <w:rPr>
          <w:rFonts w:cs="Arial" w:hint="cs"/>
          <w:rtl/>
        </w:rPr>
        <w:t>.</w:t>
      </w:r>
      <w:r w:rsidRPr="003B37DC">
        <w:rPr>
          <w:rFonts w:cs="Arial"/>
          <w:rtl/>
        </w:rPr>
        <w:t xml:space="preserve"> אבל האומרת מאיס עלי בלא טענה </w:t>
      </w:r>
      <w:r>
        <w:rPr>
          <w:rFonts w:cs="Arial" w:hint="cs"/>
          <w:rtl/>
        </w:rPr>
        <w:t xml:space="preserve">- </w:t>
      </w:r>
      <w:r w:rsidRPr="003B37DC">
        <w:rPr>
          <w:rFonts w:cs="Arial"/>
          <w:rtl/>
        </w:rPr>
        <w:t>אינו חייב לה לא מזונות ולא כתובה ולא אפילו מה שהכניסה לו ואפילו איתיה בעיניה</w:t>
      </w:r>
      <w:r>
        <w:rPr>
          <w:rFonts w:cs="Arial" w:hint="cs"/>
          <w:rtl/>
        </w:rPr>
        <w:t>,</w:t>
      </w:r>
      <w:r w:rsidRPr="003B37DC">
        <w:rPr>
          <w:rFonts w:cs="Arial"/>
          <w:rtl/>
        </w:rPr>
        <w:t xml:space="preserve"> אבל מה שתפסה למזונותיה ממה שהכניסה לו תפסה ולא מפקינן לה</w:t>
      </w:r>
      <w:r>
        <w:rPr>
          <w:rFonts w:cs="Arial" w:hint="cs"/>
          <w:rtl/>
        </w:rPr>
        <w:t>.</w:t>
      </w:r>
    </w:p>
  </w:footnote>
  <w:footnote w:id="553">
    <w:p w14:paraId="36091BF3" w14:textId="545CB206" w:rsidR="00DE2F5F" w:rsidRDefault="00DE2F5F">
      <w:pPr>
        <w:pStyle w:val="a5"/>
        <w:rPr>
          <w:rtl/>
        </w:rPr>
      </w:pPr>
      <w:r>
        <w:rPr>
          <w:rStyle w:val="a7"/>
        </w:rPr>
        <w:footnoteRef/>
      </w:r>
      <w:r>
        <w:rPr>
          <w:rtl/>
        </w:rPr>
        <w:t xml:space="preserve"> </w:t>
      </w:r>
      <w:r w:rsidRPr="00FA71CF">
        <w:rPr>
          <w:rFonts w:cs="Arial"/>
          <w:rtl/>
        </w:rPr>
        <w:t>ונראה דמיירי התם שלא היתה האמתלא מבוררת ולכך לא תוציא מן הבעל מה שהכניסה לו רק במה שהחזיקה בידה נוטלת</w:t>
      </w:r>
      <w:r>
        <w:rPr>
          <w:rFonts w:cs="Arial" w:hint="cs"/>
          <w:rtl/>
        </w:rPr>
        <w:t>,</w:t>
      </w:r>
      <w:r w:rsidRPr="00FA71CF">
        <w:rPr>
          <w:rFonts w:cs="Arial"/>
          <w:rtl/>
        </w:rPr>
        <w:t xml:space="preserve"> וכדברי הגהות מרדכי שמחלק בכך</w:t>
      </w:r>
      <w:r>
        <w:rPr>
          <w:rFonts w:cs="Arial" w:hint="cs"/>
          <w:rtl/>
        </w:rPr>
        <w:t>.</w:t>
      </w:r>
      <w:r w:rsidRPr="00FA71CF">
        <w:rPr>
          <w:rFonts w:cs="Arial"/>
          <w:rtl/>
        </w:rPr>
        <w:t xml:space="preserve"> אבל אם היתה האמתלא מבוררת או שנראה שיש ערמה בדבר ודאי דיינינן ליה בדינא דמתיבתא וכדברי מוהר"ם</w:t>
      </w:r>
      <w:r>
        <w:rPr>
          <w:rFonts w:cs="Arial" w:hint="cs"/>
          <w:rtl/>
        </w:rPr>
        <w:t>,</w:t>
      </w:r>
      <w:r w:rsidRPr="00FA71CF">
        <w:rPr>
          <w:rFonts w:cs="Arial"/>
          <w:rtl/>
        </w:rPr>
        <w:t xml:space="preserve"> ואין חלוק בזה בין תפסה ללא תפסה</w:t>
      </w:r>
      <w:r>
        <w:rPr>
          <w:rFonts w:cs="Arial" w:hint="cs"/>
          <w:rtl/>
        </w:rPr>
        <w:t>,</w:t>
      </w:r>
      <w:r w:rsidRPr="00FA71CF">
        <w:rPr>
          <w:rFonts w:cs="Arial"/>
          <w:rtl/>
        </w:rPr>
        <w:t xml:space="preserve"> ולכן צריך הדיין לתת לב ולדון לפי הענין וכמו שכתבתי לעיל בשם המרדכי וראבי"ה</w:t>
      </w:r>
      <w:r>
        <w:rPr>
          <w:rFonts w:cs="Arial" w:hint="cs"/>
          <w:rtl/>
        </w:rPr>
        <w:t>.</w:t>
      </w:r>
      <w:r w:rsidRPr="00FA71CF">
        <w:rPr>
          <w:rFonts w:cs="Arial"/>
          <w:rtl/>
        </w:rPr>
        <w:t xml:space="preserve"> ונראה שעל כן החמיר מהרי"ו גם כן להצריכה שבועה שטוענת באמת אף על גב דמוהר"ם לא כתב רק להחרים דאין כאן טענת ברי להצריכה שבועה כן נראה לי ועיין בריב"ש סימן שס"ב שהאריך בזה</w:t>
      </w:r>
      <w:r>
        <w:rPr>
          <w:rFonts w:cs="Arial" w:hint="cs"/>
          <w:rtl/>
        </w:rPr>
        <w:t>, דרכ"מ (אות יד).</w:t>
      </w:r>
    </w:p>
  </w:footnote>
  <w:footnote w:id="554">
    <w:p w14:paraId="5F503AB7" w14:textId="3C5A010A" w:rsidR="00337362" w:rsidRDefault="00337362">
      <w:pPr>
        <w:pStyle w:val="a5"/>
        <w:rPr>
          <w:rtl/>
        </w:rPr>
      </w:pPr>
      <w:r>
        <w:rPr>
          <w:rStyle w:val="a7"/>
        </w:rPr>
        <w:footnoteRef/>
      </w:r>
      <w:r>
        <w:rPr>
          <w:rtl/>
        </w:rPr>
        <w:t xml:space="preserve"> </w:t>
      </w:r>
      <w:r w:rsidRPr="00565719">
        <w:rPr>
          <w:rFonts w:cs="Arial"/>
          <w:rtl/>
        </w:rPr>
        <w:t>ואי תפסה מידי מכתובתה מפקינן ליה מינה ומהדרינן לבעל</w:t>
      </w:r>
      <w:r>
        <w:rPr>
          <w:rFonts w:cs="Arial" w:hint="cs"/>
          <w:rtl/>
        </w:rPr>
        <w:t>.</w:t>
      </w:r>
      <w:r w:rsidRPr="00565719">
        <w:rPr>
          <w:rFonts w:cs="Arial"/>
          <w:rtl/>
        </w:rPr>
        <w:t xml:space="preserve"> והני מילי במאי דכתב לה בעל מדיליה</w:t>
      </w:r>
      <w:r>
        <w:rPr>
          <w:rFonts w:cs="Arial" w:hint="cs"/>
          <w:rtl/>
        </w:rPr>
        <w:t>,</w:t>
      </w:r>
      <w:r w:rsidRPr="00565719">
        <w:rPr>
          <w:rFonts w:cs="Arial"/>
          <w:rtl/>
        </w:rPr>
        <w:t xml:space="preserve"> אבל מאי דאיתיאת מבית נשא בין תפסה ליה בין לא תפסה ליה</w:t>
      </w:r>
      <w:r>
        <w:rPr>
          <w:rFonts w:cs="Arial" w:hint="cs"/>
          <w:rtl/>
        </w:rPr>
        <w:t xml:space="preserve"> -</w:t>
      </w:r>
      <w:r w:rsidRPr="00565719">
        <w:rPr>
          <w:rFonts w:cs="Arial"/>
          <w:rtl/>
        </w:rPr>
        <w:t xml:space="preserve"> כל מאי דאיתיה בעיניה יהבינן לה</w:t>
      </w:r>
      <w:r>
        <w:rPr>
          <w:rFonts w:cs="Arial" w:hint="cs"/>
          <w:rtl/>
        </w:rPr>
        <w:t>.</w:t>
      </w:r>
      <w:r w:rsidRPr="00565719">
        <w:rPr>
          <w:rFonts w:cs="Arial"/>
          <w:rtl/>
        </w:rPr>
        <w:t xml:space="preserve"> ואי ליכא מידיה דאיתיה בעיניה ואיכא מידי דאתי מחמתיה </w:t>
      </w:r>
      <w:r>
        <w:rPr>
          <w:rFonts w:cs="Arial" w:hint="cs"/>
          <w:rtl/>
        </w:rPr>
        <w:t xml:space="preserve">- </w:t>
      </w:r>
      <w:r w:rsidRPr="00565719">
        <w:rPr>
          <w:rFonts w:cs="Arial"/>
          <w:rtl/>
        </w:rPr>
        <w:t>יהבינן ליה ניהלה</w:t>
      </w:r>
      <w:r>
        <w:rPr>
          <w:rFonts w:cs="Arial" w:hint="cs"/>
          <w:rtl/>
        </w:rPr>
        <w:t>.</w:t>
      </w:r>
      <w:r w:rsidRPr="00565719">
        <w:rPr>
          <w:rFonts w:cs="Arial"/>
          <w:rtl/>
        </w:rPr>
        <w:t xml:space="preserve"> ואי ליכא מידי דאיתיה בעיניה ולא מאי דאתי מחמתיה אלא אתאבדו להו לגמרי</w:t>
      </w:r>
      <w:r>
        <w:rPr>
          <w:rFonts w:cs="Arial" w:hint="cs"/>
          <w:rtl/>
        </w:rPr>
        <w:t xml:space="preserve"> -</w:t>
      </w:r>
      <w:r w:rsidRPr="00565719">
        <w:rPr>
          <w:rFonts w:cs="Arial"/>
          <w:rtl/>
        </w:rPr>
        <w:t xml:space="preserve"> לא מפקינן מיניה דבעל ולא כלום</w:t>
      </w:r>
      <w:r>
        <w:rPr>
          <w:rFonts w:cs="Arial" w:hint="cs"/>
          <w:rtl/>
        </w:rPr>
        <w:t>.</w:t>
      </w:r>
      <w:r w:rsidRPr="00565719">
        <w:rPr>
          <w:rFonts w:cs="Arial"/>
          <w:rtl/>
        </w:rPr>
        <w:t xml:space="preserve"> וה"מ בנכסי מלוג</w:t>
      </w:r>
      <w:r>
        <w:rPr>
          <w:rFonts w:cs="Arial" w:hint="cs"/>
          <w:rtl/>
        </w:rPr>
        <w:t>,</w:t>
      </w:r>
      <w:r w:rsidRPr="00565719">
        <w:rPr>
          <w:rFonts w:cs="Arial"/>
          <w:rtl/>
        </w:rPr>
        <w:t xml:space="preserve"> אבל בנכסי </w:t>
      </w:r>
      <w:r>
        <w:rPr>
          <w:rFonts w:cs="Arial"/>
          <w:rtl/>
        </w:rPr>
        <w:t>צאן ברזל</w:t>
      </w:r>
      <w:r w:rsidRPr="00565719">
        <w:rPr>
          <w:rFonts w:cs="Arial"/>
          <w:rtl/>
        </w:rPr>
        <w:t xml:space="preserve"> </w:t>
      </w:r>
      <w:r>
        <w:rPr>
          <w:rFonts w:cs="Arial" w:hint="cs"/>
          <w:rtl/>
        </w:rPr>
        <w:t xml:space="preserve">- </w:t>
      </w:r>
      <w:r w:rsidRPr="00565719">
        <w:rPr>
          <w:rFonts w:cs="Arial"/>
          <w:rtl/>
        </w:rPr>
        <w:t>כל מידי דאיתיה בעיניה שקלה ליה</w:t>
      </w:r>
      <w:r>
        <w:rPr>
          <w:rFonts w:cs="Arial" w:hint="cs"/>
          <w:rtl/>
        </w:rPr>
        <w:t>,</w:t>
      </w:r>
      <w:r w:rsidRPr="00565719">
        <w:rPr>
          <w:rFonts w:cs="Arial"/>
          <w:rtl/>
        </w:rPr>
        <w:t xml:space="preserve"> ואע</w:t>
      </w:r>
      <w:r>
        <w:rPr>
          <w:rFonts w:cs="Arial" w:hint="cs"/>
          <w:rtl/>
        </w:rPr>
        <w:t>"</w:t>
      </w:r>
      <w:r w:rsidRPr="00565719">
        <w:rPr>
          <w:rFonts w:cs="Arial"/>
          <w:rtl/>
        </w:rPr>
        <w:t>ג דבלו ליה טובא</w:t>
      </w:r>
      <w:r>
        <w:rPr>
          <w:rFonts w:cs="Arial" w:hint="cs"/>
          <w:rtl/>
        </w:rPr>
        <w:t>,</w:t>
      </w:r>
      <w:r w:rsidRPr="00565719">
        <w:rPr>
          <w:rFonts w:cs="Arial"/>
          <w:rtl/>
        </w:rPr>
        <w:t xml:space="preserve"> והוא דחזי למאי דהוה חזי מעיקרא</w:t>
      </w:r>
      <w:r>
        <w:rPr>
          <w:rFonts w:cs="Arial" w:hint="cs"/>
          <w:rtl/>
        </w:rPr>
        <w:t>,</w:t>
      </w:r>
      <w:r w:rsidRPr="00565719">
        <w:rPr>
          <w:rFonts w:cs="Arial"/>
          <w:rtl/>
        </w:rPr>
        <w:t xml:space="preserve"> כגון דחזי לאשתמושי ביה מעין מלאכה דידיה</w:t>
      </w:r>
      <w:r>
        <w:rPr>
          <w:rFonts w:cs="Arial" w:hint="cs"/>
          <w:rtl/>
        </w:rPr>
        <w:t>,</w:t>
      </w:r>
      <w:r w:rsidRPr="00565719">
        <w:rPr>
          <w:rFonts w:cs="Arial"/>
          <w:rtl/>
        </w:rPr>
        <w:t xml:space="preserve"> אבל מאי דבלו ליה לגמרי ולא חזי לאשתמושי ביה כדמיעקרא </w:t>
      </w:r>
      <w:r>
        <w:rPr>
          <w:rFonts w:cs="Arial" w:hint="cs"/>
          <w:rtl/>
        </w:rPr>
        <w:t xml:space="preserve">- </w:t>
      </w:r>
      <w:r w:rsidRPr="00565719">
        <w:rPr>
          <w:rFonts w:cs="Arial"/>
          <w:rtl/>
        </w:rPr>
        <w:t>משלם לה דמיהן כדמעיקרא מדידיה</w:t>
      </w:r>
      <w:r>
        <w:rPr>
          <w:rFonts w:cs="Arial" w:hint="cs"/>
          <w:rtl/>
        </w:rPr>
        <w:t>,</w:t>
      </w:r>
      <w:r w:rsidRPr="00565719">
        <w:rPr>
          <w:rFonts w:cs="Arial"/>
          <w:rtl/>
        </w:rPr>
        <w:t xml:space="preserve"> וכל שכן מאי דאיגניב או מאי דאיתניס דמשלם לה בעל מדידיה משום דברשותיה קיימי כדתנן </w:t>
      </w:r>
      <w:r>
        <w:rPr>
          <w:rFonts w:cs="Arial" w:hint="cs"/>
          <w:rtl/>
        </w:rPr>
        <w:t>(</w:t>
      </w:r>
      <w:r w:rsidRPr="00565719">
        <w:rPr>
          <w:rFonts w:cs="Arial"/>
          <w:rtl/>
        </w:rPr>
        <w:t>יבמות סו</w:t>
      </w:r>
      <w:r>
        <w:rPr>
          <w:rFonts w:cs="Arial" w:hint="cs"/>
          <w:rtl/>
        </w:rPr>
        <w:t>.)</w:t>
      </w:r>
      <w:r w:rsidRPr="00565719">
        <w:rPr>
          <w:rFonts w:cs="Arial"/>
          <w:rtl/>
        </w:rPr>
        <w:t xml:space="preserve"> אם מתו מתו לו ואם הותירו הותירו לו</w:t>
      </w:r>
      <w:r>
        <w:rPr>
          <w:rFonts w:hint="cs"/>
          <w:rtl/>
        </w:rPr>
        <w:t>, רי"ף (שם).</w:t>
      </w:r>
    </w:p>
  </w:footnote>
  <w:footnote w:id="555">
    <w:p w14:paraId="2582846E" w14:textId="1F0AAD0D" w:rsidR="00337362" w:rsidRDefault="00337362">
      <w:pPr>
        <w:pStyle w:val="a5"/>
      </w:pPr>
      <w:r>
        <w:rPr>
          <w:rStyle w:val="a7"/>
        </w:rPr>
        <w:footnoteRef/>
      </w:r>
      <w:r>
        <w:rPr>
          <w:rtl/>
        </w:rPr>
        <w:t xml:space="preserve"> </w:t>
      </w:r>
      <w:r w:rsidRPr="00565719">
        <w:rPr>
          <w:rFonts w:cs="Arial"/>
          <w:rtl/>
        </w:rPr>
        <w:t>אבל ודאי הדין תקנתא ליתא אלא היכא דאימרדת איתתא בבעלה ובעיא לאפוקי מיניה מחמת דלא בעי' ליה</w:t>
      </w:r>
      <w:r>
        <w:rPr>
          <w:rFonts w:cs="Arial" w:hint="cs"/>
          <w:rtl/>
        </w:rPr>
        <w:t>,</w:t>
      </w:r>
      <w:r w:rsidRPr="00565719">
        <w:rPr>
          <w:rFonts w:cs="Arial"/>
          <w:rtl/>
        </w:rPr>
        <w:t xml:space="preserve"> אבל היכא דאתמרעא</w:t>
      </w:r>
      <w:r>
        <w:rPr>
          <w:rFonts w:cs="Arial" w:hint="cs"/>
          <w:sz w:val="16"/>
          <w:szCs w:val="16"/>
          <w:rtl/>
        </w:rPr>
        <w:t xml:space="preserve"> {חלתה}</w:t>
      </w:r>
      <w:r w:rsidRPr="00565719">
        <w:rPr>
          <w:rFonts w:cs="Arial"/>
          <w:rtl/>
        </w:rPr>
        <w:t xml:space="preserve"> או היכא דאיכא עלה חשש מותא ובעיא למיפק מבעלה כי היכי דלא לירות לה </w:t>
      </w:r>
      <w:r>
        <w:rPr>
          <w:rFonts w:cs="Arial" w:hint="cs"/>
          <w:rtl/>
        </w:rPr>
        <w:t xml:space="preserve">- </w:t>
      </w:r>
      <w:r w:rsidRPr="00565719">
        <w:rPr>
          <w:rFonts w:cs="Arial"/>
          <w:rtl/>
        </w:rPr>
        <w:t>ליתא לההיא תקנתא ולא עבדינן בה עובדא</w:t>
      </w:r>
      <w:r>
        <w:rPr>
          <w:rFonts w:cs="Arial" w:hint="cs"/>
          <w:rtl/>
        </w:rPr>
        <w:t>, רי"ף (שם).</w:t>
      </w:r>
    </w:p>
  </w:footnote>
  <w:footnote w:id="556">
    <w:p w14:paraId="57965E16" w14:textId="713E4EC3" w:rsidR="00DE2F5F" w:rsidRDefault="00DE2F5F" w:rsidP="00606E18">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C414B1">
        <w:rPr>
          <w:rFonts w:cs="Arial"/>
          <w:rtl/>
        </w:rPr>
        <w:t>אלא שהרב אלפסי ז"ל כתב בהלכות שהגאונים ז"ל תקנו לכוף את הבעל ליתן גט כל שהיא מורדת. וכן הרב רבינו משה ז"ל כתב כן באומרת מאיס עלי כדי שלא יהו בנות ישראל כשבויות ליבעל למי שמאוס להן. ודברים אלו אינן משורת הדין ואותם שתקנו' שמא לדור' תקנום ולא פשטו בכל גלילותינו. ולא שמענו שנהגו כן בכל ארצות הגוים. וגם ר"ת ז"ל הרחיק את הדבר מאד</w:t>
      </w:r>
      <w:r>
        <w:rPr>
          <w:rFonts w:cs="Arial" w:hint="cs"/>
          <w:rtl/>
        </w:rPr>
        <w:t>.</w:t>
      </w:r>
    </w:p>
  </w:footnote>
  <w:footnote w:id="557">
    <w:p w14:paraId="30127523" w14:textId="54E45E37" w:rsidR="00DE2F5F" w:rsidRPr="009459D3" w:rsidRDefault="00DE2F5F" w:rsidP="00DA0FBD">
      <w:pPr>
        <w:pStyle w:val="a5"/>
        <w:rPr>
          <w:rFonts w:cs="Arial"/>
          <w:rtl/>
        </w:rPr>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Pr>
          <w:rFonts w:cs="Arial"/>
          <w:rtl/>
        </w:rPr>
        <w:t>הוי יודע דבין במורדת בין במאיס עלי לא כייפינן לבעל לגרש שלא כדברי הרמב"ם שכתב בפרק י"ד מהלכות אישות (ה"ח) דבאומרת מאיס עלי כופין אותו להוציא שדעתו ז"ל דמאי דאיתמר בגמרא (סג:) היכי דמי מורדת אמר אביי דאמרה בעינא ליה ומצערנא ליה אבל אמרה מאיס עלי לא כייפינן לה היינו לומר שאין כופין אותה להיות אגודה בו אלא כופין אותו להוציאה שאינה כשבויה שתבעל לשנוי לה</w:t>
      </w:r>
      <w:r>
        <w:rPr>
          <w:rFonts w:cs="Arial" w:hint="cs"/>
          <w:rtl/>
        </w:rPr>
        <w:t>.</w:t>
      </w:r>
      <w:r>
        <w:rPr>
          <w:rFonts w:cs="Arial"/>
          <w:rtl/>
        </w:rPr>
        <w:t xml:space="preserve"> וליתא</w:t>
      </w:r>
      <w:r>
        <w:rPr>
          <w:rFonts w:cs="Arial" w:hint="cs"/>
          <w:rtl/>
        </w:rPr>
        <w:t>,</w:t>
      </w:r>
      <w:r>
        <w:rPr>
          <w:rFonts w:cs="Arial"/>
          <w:rtl/>
        </w:rPr>
        <w:t xml:space="preserve"> מדתנן בפרק בתרא דנדרים (צ:) וכו'</w:t>
      </w:r>
      <w:r>
        <w:rPr>
          <w:rFonts w:cs="Arial" w:hint="cs"/>
          <w:rtl/>
        </w:rPr>
        <w:t>.</w:t>
      </w:r>
      <w:r>
        <w:rPr>
          <w:rFonts w:cs="Arial"/>
          <w:rtl/>
        </w:rPr>
        <w:t xml:space="preserve"> וכן דעת הרי"ף (כז.) שכתב </w:t>
      </w:r>
      <w:r>
        <w:rPr>
          <w:rFonts w:cs="Arial" w:hint="cs"/>
          <w:rtl/>
        </w:rPr>
        <w:t>'</w:t>
      </w:r>
      <w:r>
        <w:rPr>
          <w:rFonts w:cs="Arial"/>
          <w:rtl/>
        </w:rPr>
        <w:t>ולדברי הכל כל מאי דכייפינן לאפוקי בין מעיקר דינא כדתנן (עז.) ואלו שכופין אותם להוציא ומאי דדמי להו</w:t>
      </w:r>
      <w:r>
        <w:rPr>
          <w:rFonts w:cs="Arial" w:hint="cs"/>
          <w:rtl/>
        </w:rPr>
        <w:t>,</w:t>
      </w:r>
      <w:r>
        <w:rPr>
          <w:rFonts w:cs="Arial"/>
          <w:rtl/>
        </w:rPr>
        <w:t xml:space="preserve"> בין מעיקר תקנתא וכו'</w:t>
      </w:r>
      <w:r>
        <w:rPr>
          <w:rFonts w:cs="Arial" w:hint="cs"/>
          <w:sz w:val="18"/>
          <w:szCs w:val="18"/>
          <w:rtl/>
        </w:rPr>
        <w:t xml:space="preserve"> </w:t>
      </w:r>
      <w:r w:rsidRPr="00697C4E">
        <w:rPr>
          <w:rFonts w:cs="Arial" w:hint="cs"/>
          <w:sz w:val="16"/>
          <w:szCs w:val="16"/>
          <w:rtl/>
        </w:rPr>
        <w:t>[עכ"ל הרי"ף שהביא הר"ן]</w:t>
      </w:r>
      <w:r>
        <w:rPr>
          <w:rFonts w:cs="Arial" w:hint="cs"/>
          <w:rtl/>
        </w:rPr>
        <w:t>.</w:t>
      </w:r>
      <w:r>
        <w:rPr>
          <w:rFonts w:cs="Arial"/>
          <w:rtl/>
        </w:rPr>
        <w:t xml:space="preserve"> דהיינו מורדת דאמרה מאיס עלי</w:t>
      </w:r>
      <w:r>
        <w:rPr>
          <w:rFonts w:cs="Arial" w:hint="cs"/>
          <w:rtl/>
        </w:rPr>
        <w:t>.</w:t>
      </w:r>
      <w:r>
        <w:rPr>
          <w:rFonts w:cs="Arial"/>
          <w:rtl/>
        </w:rPr>
        <w:t xml:space="preserve"> והגאונים הוא שהתקינו לכוף</w:t>
      </w:r>
      <w:r>
        <w:rPr>
          <w:rFonts w:cs="Arial" w:hint="cs"/>
          <w:rtl/>
        </w:rPr>
        <w:t>,</w:t>
      </w:r>
      <w:r>
        <w:rPr>
          <w:rFonts w:cs="Arial"/>
          <w:rtl/>
        </w:rPr>
        <w:t xml:space="preserve"> כמו שכתוב בהלכות</w:t>
      </w:r>
      <w:r>
        <w:rPr>
          <w:rFonts w:cs="Arial" w:hint="cs"/>
          <w:rtl/>
        </w:rPr>
        <w:t>.</w:t>
      </w:r>
      <w:r>
        <w:rPr>
          <w:rFonts w:cs="Arial"/>
          <w:rtl/>
        </w:rPr>
        <w:t xml:space="preserve"> וכבר כתב הרז"ה (כז.) שלא תקנו אלא לדורם ולצורך השעה</w:t>
      </w:r>
      <w:r>
        <w:rPr>
          <w:rFonts w:cs="Arial" w:hint="cs"/>
          <w:rtl/>
        </w:rPr>
        <w:t>,</w:t>
      </w:r>
      <w:r>
        <w:rPr>
          <w:rFonts w:cs="Arial"/>
          <w:rtl/>
        </w:rPr>
        <w:t xml:space="preserve"> וכן כתב הרמב"ן </w:t>
      </w:r>
      <w:r w:rsidRPr="00697C4E">
        <w:rPr>
          <w:rFonts w:cs="Arial"/>
          <w:sz w:val="16"/>
          <w:szCs w:val="16"/>
          <w:rtl/>
        </w:rPr>
        <w:t xml:space="preserve">(סג: ד"ה ובמקצת) </w:t>
      </w:r>
      <w:r>
        <w:rPr>
          <w:rFonts w:cs="Arial"/>
          <w:rtl/>
        </w:rPr>
        <w:t>שעכשיו כבר בטלה מפני פריצות הדורות</w:t>
      </w:r>
      <w:r>
        <w:rPr>
          <w:rFonts w:cs="Arial" w:hint="cs"/>
          <w:rtl/>
        </w:rPr>
        <w:t>,</w:t>
      </w:r>
      <w:r>
        <w:rPr>
          <w:rFonts w:cs="Arial"/>
          <w:rtl/>
        </w:rPr>
        <w:t xml:space="preserve"> ואף הרמב"ם כתב בפרק הנזכר (הי"ד) שבדין התלמוד ראוי לתפוס ולדון</w:t>
      </w:r>
      <w:r>
        <w:rPr>
          <w:rFonts w:cs="Arial" w:hint="cs"/>
          <w:rtl/>
        </w:rPr>
        <w:t xml:space="preserve">. </w:t>
      </w:r>
      <w:r w:rsidRPr="009459D3">
        <w:rPr>
          <w:rFonts w:cs="Arial" w:hint="cs"/>
          <w:sz w:val="16"/>
          <w:szCs w:val="16"/>
          <w:rtl/>
        </w:rPr>
        <w:t>(</w:t>
      </w:r>
      <w:r w:rsidRPr="009459D3">
        <w:rPr>
          <w:rFonts w:cs="Arial"/>
          <w:sz w:val="16"/>
          <w:szCs w:val="16"/>
          <w:rtl/>
        </w:rPr>
        <w:t>כלומר לענין מורדת כתב כן הרמב"ם וכמבואר בדבריו ולאפוקי מתקנת הגאונים שכתב הרי"ף שהאיש שמרדה אשתו עליו כופין אותו להוציא מיד אלא ראוי לתפוס כדין התלמוד שאין כופין אותו להוציא במורדת דאילו באומרת מאיס עלי כבר נתבאר שהוא ז"ל סבור שבדין התלמוד כופין אותו להוציא אלא שלא הודו לו כמו שנתבאר</w:t>
      </w:r>
      <w:r>
        <w:rPr>
          <w:rFonts w:cs="Arial" w:hint="cs"/>
          <w:sz w:val="16"/>
          <w:szCs w:val="16"/>
          <w:rtl/>
        </w:rPr>
        <w:t>, ב"י)</w:t>
      </w:r>
      <w:r>
        <w:rPr>
          <w:rFonts w:cs="Arial"/>
          <w:rtl/>
        </w:rPr>
        <w:t xml:space="preserve"> </w:t>
      </w:r>
    </w:p>
  </w:footnote>
  <w:footnote w:id="558">
    <w:p w14:paraId="179734F3" w14:textId="343AE9A6" w:rsidR="00DE2F5F" w:rsidRDefault="00DE2F5F" w:rsidP="00606E18">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606E18">
        <w:rPr>
          <w:rFonts w:cs="Arial"/>
          <w:rtl/>
        </w:rPr>
        <w:t>וכבר ראית מ"ש בזה הרב בעל ספר מ"מ ז"ל והאריך בזה לומר שאם כפו לגרש ונשאת בגט שנתן על ידי כפיה זו תצא. ובספר ההוא כתוב כל זה בבאור כמו שהסכים הרשב"א ז"ל ושאר המפרשים ז"ל. ולכן אל תחוש בזה למנהג תלמסאן וזולתו, כי לא נניח תלמוד ערוך שבידינו והסכמת גדולי עולם ונקל בערוה החמורה מפני מנהגם.</w:t>
      </w:r>
    </w:p>
  </w:footnote>
  <w:footnote w:id="559">
    <w:p w14:paraId="718FCA83" w14:textId="4F64265C" w:rsidR="00DE2F5F" w:rsidRDefault="00DE2F5F" w:rsidP="009C7606">
      <w:pPr>
        <w:pStyle w:val="a5"/>
      </w:pPr>
      <w:r>
        <w:rPr>
          <w:rStyle w:val="a7"/>
        </w:rPr>
        <w:footnoteRef/>
      </w:r>
      <w:r w:rsidRPr="005741DC">
        <w:rPr>
          <w:rFonts w:cs="Arial"/>
          <w:rtl/>
        </w:rPr>
        <w:t xml:space="preserve"> וכבר נתבאר דכן הסכימו כל האחרונים והכי נקטינן,</w:t>
      </w:r>
      <w:r>
        <w:rPr>
          <w:rFonts w:cs="Arial" w:hint="cs"/>
          <w:rtl/>
        </w:rPr>
        <w:t xml:space="preserve"> דרכ"מ (אות יא).</w:t>
      </w:r>
    </w:p>
  </w:footnote>
  <w:footnote w:id="560">
    <w:p w14:paraId="09535193" w14:textId="3E968E90" w:rsidR="00DE2F5F" w:rsidRDefault="00DE2F5F">
      <w:pPr>
        <w:pStyle w:val="a5"/>
      </w:pPr>
      <w:r>
        <w:rPr>
          <w:rStyle w:val="a7"/>
        </w:rPr>
        <w:footnoteRef/>
      </w:r>
      <w:r>
        <w:rPr>
          <w:rtl/>
        </w:rPr>
        <w:t xml:space="preserve"> </w:t>
      </w:r>
      <w:r w:rsidRPr="00502895">
        <w:rPr>
          <w:rFonts w:cs="Arial"/>
          <w:rtl/>
        </w:rPr>
        <w:t>אבל רב האי כתב אע</w:t>
      </w:r>
      <w:r>
        <w:rPr>
          <w:rFonts w:cs="Arial" w:hint="cs"/>
          <w:rtl/>
        </w:rPr>
        <w:t>"</w:t>
      </w:r>
      <w:r w:rsidRPr="00502895">
        <w:rPr>
          <w:rFonts w:cs="Arial"/>
          <w:rtl/>
        </w:rPr>
        <w:t>פ שאין לכוף את בעלה מכח הלכה מ"מ גאוני הישיבות של בבל תקנו שכופין את הבעל ליתן גט מיד ויותר מג' מאות שנה היה בימיהם שנכתב זו התקנה</w:t>
      </w:r>
      <w:r>
        <w:rPr>
          <w:rFonts w:cs="Arial" w:hint="cs"/>
          <w:rtl/>
        </w:rPr>
        <w:t>...</w:t>
      </w:r>
      <w:r w:rsidRPr="00502895">
        <w:rPr>
          <w:rFonts w:cs="Arial"/>
          <w:rtl/>
        </w:rPr>
        <w:t xml:space="preserve"> וכ"כ רבינו גרשון מאור הגולה שכופין</w:t>
      </w:r>
      <w:r>
        <w:rPr>
          <w:rFonts w:cs="Arial" w:hint="cs"/>
          <w:rtl/>
        </w:rPr>
        <w:t>, הגה"א (שם הגהה א).</w:t>
      </w:r>
      <w:r>
        <w:rPr>
          <w:rFonts w:hint="cs"/>
          <w:rtl/>
        </w:rPr>
        <w:t xml:space="preserve"> וכן נראה מהרמב"ם (שם) ומכל שאר הראשונים, וצל"ע.</w:t>
      </w:r>
    </w:p>
  </w:footnote>
  <w:footnote w:id="561">
    <w:p w14:paraId="3C55FF37" w14:textId="2C444A94" w:rsidR="00DE2F5F" w:rsidRDefault="00DE2F5F">
      <w:pPr>
        <w:pStyle w:val="a5"/>
      </w:pPr>
      <w:r>
        <w:rPr>
          <w:rStyle w:val="a7"/>
        </w:rPr>
        <w:footnoteRef/>
      </w:r>
      <w:r>
        <w:rPr>
          <w:rtl/>
        </w:rPr>
        <w:t xml:space="preserve"> </w:t>
      </w:r>
      <w:r w:rsidRPr="00502895">
        <w:rPr>
          <w:rFonts w:cs="Arial"/>
          <w:rtl/>
        </w:rPr>
        <w:t>ארישא דמילתא קאי למה תקנו הגאונים דיהבינן לה גיטא לאלתר משום שתולה עצמה בעובדי כוכבים ולא תקנו להרבות ממזרים בישראל</w:t>
      </w:r>
      <w:r>
        <w:rPr>
          <w:rFonts w:cs="Arial" w:hint="cs"/>
          <w:rtl/>
        </w:rPr>
        <w:t>, קרבן נתנאל (שם אות ז).</w:t>
      </w:r>
    </w:p>
  </w:footnote>
  <w:footnote w:id="562">
    <w:p w14:paraId="11E0A312" w14:textId="7833BBA2" w:rsidR="00DE2F5F" w:rsidRDefault="00DE2F5F">
      <w:pPr>
        <w:pStyle w:val="a5"/>
      </w:pPr>
      <w:r>
        <w:rPr>
          <w:rStyle w:val="a7"/>
        </w:rPr>
        <w:footnoteRef/>
      </w:r>
      <w:r>
        <w:rPr>
          <w:rtl/>
        </w:rPr>
        <w:t xml:space="preserve"> </w:t>
      </w:r>
      <w:r w:rsidRPr="00897A64">
        <w:rPr>
          <w:rFonts w:cs="Arial"/>
          <w:rtl/>
        </w:rPr>
        <w:t>אבל היה מצוה להחרים אם השיאה שום אדם עצה כדי להוציא נדוניתה מיד בעלה וכשהיה רואה ערמה בדבר לא היה מצוה להחזיר אפילו נדוניתה הלכך לא היה דן דין מאיס עלי אם לא שתתן אמתלא לדבריה למה לא היה מקובל עליה או שלא היה הולך בדרך ישרה ומכלה ממונו</w:t>
      </w:r>
      <w:r>
        <w:rPr>
          <w:rFonts w:cs="Arial" w:hint="cs"/>
          <w:rtl/>
        </w:rPr>
        <w:t xml:space="preserve">, </w:t>
      </w:r>
      <w:r w:rsidRPr="0061020A">
        <w:rPr>
          <w:rFonts w:cs="Arial" w:hint="cs"/>
          <w:b/>
          <w:bCs/>
          <w:rtl/>
        </w:rPr>
        <w:t>טור בשם מהר"ם</w:t>
      </w:r>
      <w:r>
        <w:rPr>
          <w:rFonts w:cs="Arial" w:hint="cs"/>
          <w:rtl/>
        </w:rPr>
        <w:t xml:space="preserve"> (צל"ע היכן כתב כן).</w:t>
      </w:r>
      <w:r>
        <w:rPr>
          <w:rFonts w:hint="cs"/>
          <w:rtl/>
        </w:rPr>
        <w:t xml:space="preserve"> </w:t>
      </w:r>
      <w:r w:rsidR="00853C9E">
        <w:rPr>
          <w:rFonts w:hint="cs"/>
          <w:rtl/>
        </w:rPr>
        <w:t xml:space="preserve">      </w:t>
      </w:r>
      <w:r>
        <w:rPr>
          <w:rFonts w:hint="cs"/>
          <w:rtl/>
        </w:rPr>
        <w:t xml:space="preserve">וגם הב"י כתב כן בשם הרשב"א בתשובה </w:t>
      </w:r>
      <w:r w:rsidRPr="007D5147">
        <w:rPr>
          <w:rFonts w:cs="Arial"/>
          <w:rtl/>
        </w:rPr>
        <w:t>בענין האומרת מאיס עלי שאינה נאמנת במה שאומרת עד שנכיר מתוך דבריה שהוא מאוס בעיניה כמו שאמרה</w:t>
      </w:r>
      <w:r>
        <w:rPr>
          <w:rFonts w:cs="Arial" w:hint="cs"/>
          <w:sz w:val="16"/>
          <w:szCs w:val="16"/>
          <w:rtl/>
        </w:rPr>
        <w:t xml:space="preserve"> [עכ"ל הרשב"א]</w:t>
      </w:r>
      <w:r>
        <w:rPr>
          <w:rFonts w:cs="Arial" w:hint="cs"/>
          <w:rtl/>
        </w:rPr>
        <w:t>.</w:t>
      </w:r>
      <w:r w:rsidRPr="007D5147">
        <w:rPr>
          <w:rFonts w:cs="Arial"/>
          <w:rtl/>
        </w:rPr>
        <w:t xml:space="preserve"> </w:t>
      </w:r>
      <w:r>
        <w:rPr>
          <w:rFonts w:cs="Arial" w:hint="cs"/>
          <w:rtl/>
        </w:rPr>
        <w:t xml:space="preserve">וכן כתב הב"י </w:t>
      </w:r>
      <w:r w:rsidRPr="007D5147">
        <w:rPr>
          <w:rFonts w:cs="Arial"/>
          <w:rtl/>
        </w:rPr>
        <w:t>בסימן זה בשם כמה גדולים</w:t>
      </w:r>
      <w:r>
        <w:rPr>
          <w:rFonts w:hint="cs"/>
          <w:rtl/>
        </w:rPr>
        <w:t xml:space="preserve">. </w:t>
      </w:r>
      <w:r w:rsidR="00853C9E">
        <w:rPr>
          <w:rFonts w:hint="cs"/>
          <w:rtl/>
        </w:rPr>
        <w:t xml:space="preserve">       </w:t>
      </w:r>
      <w:r>
        <w:rPr>
          <w:rFonts w:hint="cs"/>
          <w:rtl/>
        </w:rPr>
        <w:t xml:space="preserve">וכתב </w:t>
      </w:r>
      <w:r w:rsidRPr="0061020A">
        <w:rPr>
          <w:rFonts w:hint="cs"/>
          <w:b/>
          <w:bCs/>
          <w:rtl/>
        </w:rPr>
        <w:t>הדרכ"מ</w:t>
      </w:r>
      <w:r>
        <w:rPr>
          <w:rFonts w:hint="cs"/>
          <w:rtl/>
        </w:rPr>
        <w:t xml:space="preserve"> (</w:t>
      </w:r>
      <w:r>
        <w:rPr>
          <w:rFonts w:cs="Arial" w:hint="cs"/>
          <w:rtl/>
        </w:rPr>
        <w:t xml:space="preserve">אות </w:t>
      </w:r>
      <w:r w:rsidRPr="00FA71CF">
        <w:rPr>
          <w:rFonts w:cs="Arial"/>
          <w:rtl/>
        </w:rPr>
        <w:t xml:space="preserve">יג) </w:t>
      </w:r>
      <w:r>
        <w:rPr>
          <w:rFonts w:cs="Arial" w:hint="cs"/>
          <w:rtl/>
        </w:rPr>
        <w:t>ד</w:t>
      </w:r>
      <w:r w:rsidRPr="00FA71CF">
        <w:rPr>
          <w:rFonts w:cs="Arial"/>
          <w:rtl/>
        </w:rPr>
        <w:t xml:space="preserve">במרדכי (סי' קפו) כתב </w:t>
      </w:r>
      <w:r>
        <w:rPr>
          <w:rFonts w:cs="Arial" w:hint="cs"/>
          <w:rtl/>
        </w:rPr>
        <w:t>ד</w:t>
      </w:r>
      <w:r w:rsidRPr="00FA71CF">
        <w:rPr>
          <w:rFonts w:cs="Arial"/>
          <w:rtl/>
        </w:rPr>
        <w:t>א</w:t>
      </w:r>
      <w:r>
        <w:rPr>
          <w:rFonts w:cs="Arial" w:hint="cs"/>
          <w:rtl/>
        </w:rPr>
        <w:t>ע"ג</w:t>
      </w:r>
      <w:r w:rsidRPr="00FA71CF">
        <w:rPr>
          <w:rFonts w:cs="Arial"/>
          <w:rtl/>
        </w:rPr>
        <w:t xml:space="preserve"> דמאבד כל אשר לו בשחוק לא תוכל אשתו למרוד בו וכו'</w:t>
      </w:r>
      <w:r>
        <w:rPr>
          <w:rFonts w:cs="Arial" w:hint="cs"/>
          <w:rtl/>
        </w:rPr>
        <w:t>.</w:t>
      </w:r>
      <w:r w:rsidRPr="00FA71CF">
        <w:rPr>
          <w:rFonts w:cs="Arial"/>
          <w:rtl/>
        </w:rPr>
        <w:t xml:space="preserve"> ונראה דדברי מוהר"ם אינן חולקים על זה</w:t>
      </w:r>
      <w:r>
        <w:rPr>
          <w:rFonts w:cs="Arial" w:hint="cs"/>
          <w:rtl/>
        </w:rPr>
        <w:t>,</w:t>
      </w:r>
      <w:r w:rsidRPr="00FA71CF">
        <w:rPr>
          <w:rFonts w:cs="Arial"/>
          <w:rtl/>
        </w:rPr>
        <w:t xml:space="preserve"> דמוהר"ם לא קאמר אלא לענין דמקרי אמתלא ומכל מקום מודה דאינה יכולה למרוד משום זה ואם מרדה יש לה דין מורדת וע"ש</w:t>
      </w:r>
      <w:r>
        <w:rPr>
          <w:rFonts w:cs="Arial" w:hint="cs"/>
          <w:rtl/>
        </w:rPr>
        <w:t>.</w:t>
      </w:r>
      <w:r w:rsidRPr="00FA71CF">
        <w:rPr>
          <w:rFonts w:cs="Arial"/>
          <w:rtl/>
        </w:rPr>
        <w:t xml:space="preserve"> וכתב מהרי"ו בתשובה סימן קל"ה אשר טוענת מאיס עלי מחמת שהוא שותה ומקיא ומאבד כל אשר לו בשחוק והוא טוען שאם עשה לא יעשה עוד, נראה דזה לא מיקרי אמתלא וכו', ועוד דהרי הוא רוצה לחזור ולא לעשות עוד ואינו צריך להעמיד ערבות שיתקן דרכיו כל זמן שאינו מוחזק בריעותא עכ"ל</w:t>
      </w:r>
      <w:r>
        <w:rPr>
          <w:rFonts w:cs="Arial" w:hint="cs"/>
          <w:rtl/>
        </w:rPr>
        <w:t>.</w:t>
      </w:r>
      <w:r w:rsidRPr="00FA71CF">
        <w:rPr>
          <w:rFonts w:cs="Arial"/>
          <w:rtl/>
        </w:rPr>
        <w:t xml:space="preserve"> ומה שכתב דאין נקרא אמתלא מה שמכלה ממונו בשחוק </w:t>
      </w:r>
      <w:r>
        <w:rPr>
          <w:rFonts w:cs="Arial" w:hint="cs"/>
          <w:rtl/>
        </w:rPr>
        <w:t xml:space="preserve">- </w:t>
      </w:r>
      <w:r w:rsidRPr="00FA71CF">
        <w:rPr>
          <w:rFonts w:cs="Arial"/>
          <w:rtl/>
        </w:rPr>
        <w:t>אינו נראה</w:t>
      </w:r>
      <w:r>
        <w:rPr>
          <w:rFonts w:cs="Arial" w:hint="cs"/>
          <w:rtl/>
        </w:rPr>
        <w:t>,</w:t>
      </w:r>
      <w:r w:rsidRPr="00FA71CF">
        <w:rPr>
          <w:rFonts w:cs="Arial"/>
          <w:rtl/>
        </w:rPr>
        <w:t xml:space="preserve"> דודאי אמתלא היא וכמו שכתב מוהר"ם</w:t>
      </w:r>
      <w:r>
        <w:rPr>
          <w:rFonts w:cs="Arial" w:hint="cs"/>
          <w:rtl/>
        </w:rPr>
        <w:t>.</w:t>
      </w:r>
      <w:r w:rsidRPr="00FA71CF">
        <w:rPr>
          <w:rFonts w:cs="Arial"/>
          <w:rtl/>
        </w:rPr>
        <w:t xml:space="preserve"> </w:t>
      </w:r>
    </w:p>
  </w:footnote>
  <w:footnote w:id="563">
    <w:p w14:paraId="20AD04E9" w14:textId="368ED874" w:rsidR="00DE2F5F" w:rsidRDefault="00DE2F5F">
      <w:pPr>
        <w:pStyle w:val="a5"/>
        <w:rPr>
          <w:rtl/>
        </w:rPr>
      </w:pPr>
      <w:r>
        <w:rPr>
          <w:rStyle w:val="a7"/>
        </w:rPr>
        <w:footnoteRef/>
      </w:r>
      <w:r>
        <w:rPr>
          <w:rtl/>
        </w:rPr>
        <w:t xml:space="preserve"> </w:t>
      </w:r>
      <w:r>
        <w:rPr>
          <w:rFonts w:hint="cs"/>
          <w:rtl/>
        </w:rPr>
        <w:t>כתב הב"י וז"ל</w:t>
      </w:r>
      <w:r w:rsidR="0061020A">
        <w:rPr>
          <w:rFonts w:hint="cs"/>
          <w:rtl/>
        </w:rPr>
        <w:t>:</w:t>
      </w:r>
      <w:r>
        <w:rPr>
          <w:rFonts w:hint="cs"/>
          <w:rtl/>
        </w:rPr>
        <w:t xml:space="preserve"> </w:t>
      </w:r>
      <w:r w:rsidRPr="006F6BB1">
        <w:rPr>
          <w:rFonts w:cs="Arial"/>
          <w:rtl/>
        </w:rPr>
        <w:t>ומ"ש רבינו אבל רב אלפס כתב האידנא דייני במתיבתא כדאתיא ואמרה לא בעינא להאי גברא וכו'. בפרק אף על פי (כז.) אחר שכתב רב אלפס דין התלמוד כתב הדין הוא דינא דגמרא אבל האידנא דייני במתיבתא וכו' וכבר כתבתי לעיל בשם כל הפוסקים אחרונים שלא התקינו הגאונים תקנה זו אלא לדורם בלבד ושעכשיו כבר בטלה תקנה זו וזהו דעת הרמב"ם ז"ל (הי"ד</w:t>
      </w:r>
      <w:r>
        <w:rPr>
          <w:rFonts w:cs="Arial" w:hint="cs"/>
          <w:rtl/>
        </w:rPr>
        <w:t>)...</w:t>
      </w:r>
      <w:r w:rsidRPr="006F6BB1">
        <w:rPr>
          <w:rFonts w:cs="Arial"/>
          <w:rtl/>
        </w:rPr>
        <w:t xml:space="preserve"> וכיון שכן יש לתמוה על רבינו שאחר שכתב דברי הרמב"ם שבדין התלמוד ראוי לדון כתב אבל הרי"ף כתב האידנא דייני במתיבתא וכו' כאילו הוא תופס דברי הרי"ף לעיקר</w:t>
      </w:r>
      <w:r>
        <w:rPr>
          <w:rFonts w:cs="Arial" w:hint="cs"/>
          <w:rtl/>
        </w:rPr>
        <w:t>,</w:t>
      </w:r>
      <w:r w:rsidRPr="006F6BB1">
        <w:rPr>
          <w:rFonts w:cs="Arial"/>
          <w:rtl/>
        </w:rPr>
        <w:t xml:space="preserve"> וכיון שנתבאר שכל הפוסקים חולקין עליו הוה ליה לסדר דבריו בהיפך</w:t>
      </w:r>
      <w:r>
        <w:rPr>
          <w:rFonts w:cs="Arial" w:hint="cs"/>
          <w:rtl/>
        </w:rPr>
        <w:t>,</w:t>
      </w:r>
      <w:r w:rsidRPr="006F6BB1">
        <w:rPr>
          <w:rFonts w:cs="Arial"/>
          <w:rtl/>
        </w:rPr>
        <w:t xml:space="preserve"> תחלה דברי הרי"ף ואחר כך אבל הרמב"ם וכו'</w:t>
      </w:r>
      <w:r>
        <w:rPr>
          <w:rFonts w:cs="Arial" w:hint="cs"/>
          <w:rtl/>
        </w:rPr>
        <w:t>.</w:t>
      </w:r>
      <w:r w:rsidRPr="006F6BB1">
        <w:rPr>
          <w:rFonts w:cs="Arial"/>
          <w:rtl/>
        </w:rPr>
        <w:t xml:space="preserve"> ונראה ש</w:t>
      </w:r>
      <w:r>
        <w:rPr>
          <w:rFonts w:hint="cs"/>
          <w:rtl/>
        </w:rPr>
        <w:t>-...</w:t>
      </w:r>
    </w:p>
  </w:footnote>
  <w:footnote w:id="564">
    <w:p w14:paraId="0AF4ED58" w14:textId="2A112998" w:rsidR="00DE2F5F" w:rsidRDefault="00DE2F5F">
      <w:pPr>
        <w:pStyle w:val="a5"/>
      </w:pPr>
      <w:r>
        <w:rPr>
          <w:rStyle w:val="a7"/>
        </w:rPr>
        <w:footnoteRef/>
      </w:r>
      <w:r>
        <w:rPr>
          <w:rtl/>
        </w:rPr>
        <w:t xml:space="preserve"> </w:t>
      </w:r>
      <w:r w:rsidRPr="006F6BB1">
        <w:rPr>
          <w:rFonts w:cs="Arial"/>
          <w:rtl/>
        </w:rPr>
        <w:t>דברי הר"מ בדיני מורדת בהגהות מרדכי דכתובות (סי' רצ)</w:t>
      </w:r>
      <w:r>
        <w:rPr>
          <w:rFonts w:cs="Arial" w:hint="cs"/>
          <w:rtl/>
        </w:rPr>
        <w:t>, ב"י</w:t>
      </w:r>
      <w:r w:rsidRPr="006F6BB1">
        <w:rPr>
          <w:rFonts w:cs="Arial"/>
          <w:rtl/>
        </w:rPr>
        <w:t>.</w:t>
      </w:r>
    </w:p>
  </w:footnote>
  <w:footnote w:id="565">
    <w:p w14:paraId="2D4184A5" w14:textId="7C9E8093" w:rsidR="00DE2F5F" w:rsidRDefault="00DE2F5F">
      <w:pPr>
        <w:pStyle w:val="a5"/>
        <w:rPr>
          <w:rtl/>
        </w:rPr>
      </w:pPr>
      <w:r>
        <w:rPr>
          <w:rStyle w:val="a7"/>
        </w:rPr>
        <w:footnoteRef/>
      </w:r>
      <w:r>
        <w:rPr>
          <w:rtl/>
        </w:rPr>
        <w:t xml:space="preserve"> </w:t>
      </w:r>
      <w:r>
        <w:rPr>
          <w:rFonts w:cs="Arial" w:hint="cs"/>
          <w:rtl/>
        </w:rPr>
        <w:t>ו</w:t>
      </w:r>
      <w:r w:rsidRPr="006F6BB1">
        <w:rPr>
          <w:rFonts w:cs="Arial"/>
          <w:rtl/>
        </w:rPr>
        <w:t>לא לענין לכוף לגרש</w:t>
      </w:r>
      <w:r>
        <w:rPr>
          <w:rFonts w:cs="Arial" w:hint="cs"/>
          <w:rtl/>
        </w:rPr>
        <w:t>...</w:t>
      </w:r>
      <w:r w:rsidRPr="006F6BB1">
        <w:rPr>
          <w:rFonts w:cs="Arial"/>
          <w:rtl/>
        </w:rPr>
        <w:t xml:space="preserve"> וכך ביאר </w:t>
      </w:r>
      <w:r w:rsidR="00A248CD">
        <w:rPr>
          <w:rFonts w:cs="Arial" w:hint="cs"/>
          <w:rtl/>
        </w:rPr>
        <w:t xml:space="preserve">הרא"ש </w:t>
      </w:r>
      <w:r w:rsidRPr="006F6BB1">
        <w:rPr>
          <w:rFonts w:cs="Arial"/>
          <w:rtl/>
        </w:rPr>
        <w:t xml:space="preserve">בתשובה </w:t>
      </w:r>
      <w:r>
        <w:rPr>
          <w:rFonts w:cs="Arial" w:hint="cs"/>
          <w:rtl/>
        </w:rPr>
        <w:t>(</w:t>
      </w:r>
      <w:r w:rsidRPr="006F6BB1">
        <w:rPr>
          <w:rFonts w:cs="Arial"/>
          <w:rtl/>
        </w:rPr>
        <w:t>כלל מג סי</w:t>
      </w:r>
      <w:r>
        <w:rPr>
          <w:rFonts w:cs="Arial" w:hint="cs"/>
          <w:rtl/>
        </w:rPr>
        <w:t>'</w:t>
      </w:r>
      <w:r w:rsidRPr="006F6BB1">
        <w:rPr>
          <w:rFonts w:cs="Arial"/>
          <w:rtl/>
        </w:rPr>
        <w:t xml:space="preserve"> א</w:t>
      </w:r>
      <w:r>
        <w:rPr>
          <w:rFonts w:cs="Arial" w:hint="cs"/>
          <w:rtl/>
        </w:rPr>
        <w:t>)</w:t>
      </w:r>
      <w:r w:rsidRPr="006F6BB1">
        <w:rPr>
          <w:rFonts w:cs="Arial"/>
          <w:rtl/>
        </w:rPr>
        <w:t xml:space="preserve"> וז"ל</w:t>
      </w:r>
      <w:r w:rsidR="0061020A">
        <w:rPr>
          <w:rFonts w:cs="Arial" w:hint="cs"/>
          <w:rtl/>
        </w:rPr>
        <w:t>:</w:t>
      </w:r>
      <w:r w:rsidRPr="006F6BB1">
        <w:rPr>
          <w:rFonts w:cs="Arial"/>
          <w:rtl/>
        </w:rPr>
        <w:t xml:space="preserve"> ור"מ בעסק מורדת בענין הממון היה דן כדינא דמתיבתא שיתנו לאשה כל מה שהכניסה אבל לא היה כופה לגרשה וקודם שיחזירו לה מה שהכניסה היה מצוה להחרים אם השיאה שום אדם עצה זו וכו'</w:t>
      </w:r>
      <w:r w:rsidR="00A248CD">
        <w:rPr>
          <w:rFonts w:cs="Arial" w:hint="cs"/>
          <w:rtl/>
        </w:rPr>
        <w:t>.</w:t>
      </w:r>
      <w:r w:rsidRPr="006F6BB1">
        <w:rPr>
          <w:rFonts w:cs="Arial"/>
          <w:rtl/>
        </w:rPr>
        <w:t xml:space="preserve"> וכתב עוד הרא"ש בדינים אלו בכלל הנזכר סימן א' וט' וי' וי"ז</w:t>
      </w:r>
      <w:r>
        <w:rPr>
          <w:rFonts w:hint="cs"/>
          <w:rtl/>
        </w:rPr>
        <w:t>, ב"י.</w:t>
      </w:r>
    </w:p>
  </w:footnote>
  <w:footnote w:id="566">
    <w:p w14:paraId="1C58F236" w14:textId="05C5126F" w:rsidR="00DE2F5F" w:rsidRDefault="00DE2F5F" w:rsidP="0026469F">
      <w:pPr>
        <w:pStyle w:val="a5"/>
      </w:pPr>
      <w:r>
        <w:rPr>
          <w:rStyle w:val="a7"/>
        </w:rPr>
        <w:footnoteRef/>
      </w:r>
      <w:r>
        <w:rPr>
          <w:rtl/>
        </w:rPr>
        <w:t xml:space="preserve"> </w:t>
      </w:r>
      <w:r w:rsidRPr="005741DC">
        <w:rPr>
          <w:rFonts w:cs="Arial"/>
          <w:rtl/>
        </w:rPr>
        <w:t>ודוקא בנשואה אבל ארוסה שמרדה בבעלה ידונו טובי העיר ביניהם אם היא עותה עליו יתירו לו לגרשה בעל כרחה או לישא אשה אחרת וכו'</w:t>
      </w:r>
      <w:r>
        <w:rPr>
          <w:rFonts w:cs="Arial" w:hint="cs"/>
          <w:rtl/>
        </w:rPr>
        <w:t>, דרכ"מ (אות יא)</w:t>
      </w:r>
      <w:r w:rsidRPr="0026469F">
        <w:rPr>
          <w:rFonts w:cs="Arial"/>
          <w:rtl/>
        </w:rPr>
        <w:t xml:space="preserve"> </w:t>
      </w:r>
      <w:r>
        <w:rPr>
          <w:rFonts w:cs="Arial" w:hint="cs"/>
          <w:rtl/>
        </w:rPr>
        <w:t xml:space="preserve">בשם </w:t>
      </w:r>
      <w:r w:rsidRPr="005741DC">
        <w:rPr>
          <w:rFonts w:cs="Arial"/>
          <w:rtl/>
        </w:rPr>
        <w:t xml:space="preserve">מהרי"ק </w:t>
      </w:r>
      <w:r>
        <w:rPr>
          <w:rFonts w:cs="Arial" w:hint="cs"/>
          <w:rtl/>
        </w:rPr>
        <w:t>(</w:t>
      </w:r>
      <w:r w:rsidRPr="005741DC">
        <w:rPr>
          <w:rFonts w:cs="Arial"/>
          <w:rtl/>
        </w:rPr>
        <w:t>שורש סג ענף ה)</w:t>
      </w:r>
      <w:r>
        <w:rPr>
          <w:rFonts w:cs="Arial" w:hint="cs"/>
          <w:rtl/>
        </w:rPr>
        <w:t>.</w:t>
      </w:r>
      <w:r w:rsidRPr="00781C2E">
        <w:rPr>
          <w:rFonts w:cs="Arial" w:hint="cs"/>
          <w:color w:val="00B0F0"/>
          <w:rtl/>
        </w:rPr>
        <w:t xml:space="preserve"> </w:t>
      </w:r>
      <w:r w:rsidRPr="0026469F">
        <w:rPr>
          <w:rFonts w:cs="Arial" w:hint="cs"/>
          <w:color w:val="00B0F0"/>
          <w:rtl/>
        </w:rPr>
        <w:t xml:space="preserve">(וכ"פ </w:t>
      </w:r>
      <w:r>
        <w:rPr>
          <w:rFonts w:cs="Arial" w:hint="cs"/>
          <w:color w:val="00B0F0"/>
          <w:rtl/>
        </w:rPr>
        <w:t>בהג</w:t>
      </w:r>
      <w:r w:rsidR="00E33262">
        <w:rPr>
          <w:rFonts w:cs="Arial" w:hint="cs"/>
          <w:color w:val="00B0F0"/>
          <w:rtl/>
        </w:rPr>
        <w:t>"</w:t>
      </w:r>
      <w:r>
        <w:rPr>
          <w:rFonts w:cs="Arial" w:hint="cs"/>
          <w:color w:val="00B0F0"/>
          <w:rtl/>
        </w:rPr>
        <w:t>ה</w:t>
      </w:r>
      <w:r w:rsidRPr="0026469F">
        <w:rPr>
          <w:rFonts w:cs="Arial" w:hint="cs"/>
          <w:color w:val="00B0F0"/>
          <w:rtl/>
        </w:rPr>
        <w:t>)</w:t>
      </w:r>
    </w:p>
  </w:footnote>
  <w:footnote w:id="567">
    <w:p w14:paraId="056A12DB" w14:textId="4C0F3C36" w:rsidR="00DE2F5F" w:rsidRDefault="00DE2F5F">
      <w:pPr>
        <w:pStyle w:val="a5"/>
        <w:rPr>
          <w:rtl/>
        </w:rPr>
      </w:pPr>
      <w:r>
        <w:rPr>
          <w:rStyle w:val="a7"/>
        </w:rPr>
        <w:footnoteRef/>
      </w:r>
      <w:r>
        <w:rPr>
          <w:rtl/>
        </w:rPr>
        <w:t xml:space="preserve"> </w:t>
      </w:r>
      <w:r w:rsidRPr="00B523E7">
        <w:rPr>
          <w:rFonts w:cs="Arial"/>
          <w:rtl/>
        </w:rPr>
        <w:t>חלק ד' של ספר התשב"ץ נקרא גם בשם החוט המשולש, על סמך העובדה שתשובותיהם של שלושה משיבים נכללות בחלק זה: רבי שלמה דוראן (טור א'), רבי שלמה סרור (צרור; טור ב') ורבי אברהם אבן טאווה (טור ג'), ראשי קהילת אלג'יריה במאה ה - 16 וכנראה כולם היו מצאצאי הרשב"ץ</w:t>
      </w:r>
      <w:r>
        <w:rPr>
          <w:rFonts w:cs="Arial" w:hint="cs"/>
          <w:sz w:val="16"/>
          <w:szCs w:val="16"/>
          <w:rtl/>
        </w:rPr>
        <w:t xml:space="preserve"> (</w:t>
      </w:r>
      <w:r w:rsidR="000B2B28">
        <w:rPr>
          <w:rFonts w:cs="Arial" w:hint="cs"/>
          <w:sz w:val="16"/>
          <w:szCs w:val="16"/>
          <w:rtl/>
        </w:rPr>
        <w:t xml:space="preserve">ע"פ </w:t>
      </w:r>
      <w:r>
        <w:rPr>
          <w:rFonts w:cs="Arial" w:hint="cs"/>
          <w:sz w:val="16"/>
          <w:szCs w:val="16"/>
          <w:rtl/>
        </w:rPr>
        <w:t>ביוגרפיה פרוה"ש)</w:t>
      </w:r>
      <w:r w:rsidRPr="00B523E7">
        <w:rPr>
          <w:rFonts w:cs="Arial"/>
          <w:rtl/>
        </w:rPr>
        <w:t>.</w:t>
      </w:r>
      <w:r w:rsidRPr="00B523E7">
        <w:rPr>
          <w:rFonts w:cs="Arial" w:hint="cs"/>
          <w:sz w:val="16"/>
          <w:szCs w:val="16"/>
          <w:rtl/>
        </w:rPr>
        <w:t xml:space="preserve"> </w:t>
      </w:r>
      <w:r w:rsidRPr="00B523E7">
        <w:rPr>
          <w:rFonts w:cs="Arial" w:hint="cs"/>
          <w:rtl/>
        </w:rPr>
        <w:t>וכנראה לכן כתב הב"י שזו תשובת הרשב"ש</w:t>
      </w:r>
      <w:r>
        <w:rPr>
          <w:rFonts w:cs="Arial" w:hint="cs"/>
          <w:rtl/>
        </w:rPr>
        <w:t>.</w:t>
      </w:r>
    </w:p>
  </w:footnote>
  <w:footnote w:id="568">
    <w:p w14:paraId="003E7F73" w14:textId="61216C12" w:rsidR="00DE2F5F" w:rsidRDefault="00DE2F5F" w:rsidP="00DA0FBD">
      <w:pPr>
        <w:pStyle w:val="a5"/>
      </w:pPr>
      <w:r>
        <w:rPr>
          <w:rStyle w:val="a7"/>
        </w:rPr>
        <w:footnoteRef/>
      </w:r>
      <w:r>
        <w:rPr>
          <w:rtl/>
        </w:rPr>
        <w:t xml:space="preserve"> </w:t>
      </w:r>
      <w:r w:rsidRPr="00A74C2B">
        <w:rPr>
          <w:rFonts w:cs="Arial"/>
          <w:rtl/>
        </w:rPr>
        <w:t>ובמגיד משנה פי"ד (ה"ח) משמע דאף אם נישאת תצא</w:t>
      </w:r>
      <w:r>
        <w:rPr>
          <w:rFonts w:cs="Arial" w:hint="cs"/>
          <w:rtl/>
        </w:rPr>
        <w:t>, דרכ"מ (אות י).</w:t>
      </w:r>
    </w:p>
  </w:footnote>
  <w:footnote w:id="569">
    <w:p w14:paraId="3C94947E" w14:textId="77777777" w:rsidR="00810AC2" w:rsidRDefault="00810AC2" w:rsidP="00810AC2">
      <w:pPr>
        <w:pStyle w:val="a5"/>
      </w:pPr>
      <w:r>
        <w:rPr>
          <w:rStyle w:val="a7"/>
        </w:rPr>
        <w:footnoteRef/>
      </w:r>
      <w:r>
        <w:rPr>
          <w:rtl/>
        </w:rPr>
        <w:t xml:space="preserve"> </w:t>
      </w:r>
      <w:r w:rsidRPr="00A74C2B">
        <w:rPr>
          <w:rFonts w:cs="Arial"/>
          <w:rtl/>
        </w:rPr>
        <w:t>ו</w:t>
      </w:r>
      <w:r>
        <w:rPr>
          <w:rFonts w:cs="Arial" w:hint="cs"/>
          <w:rtl/>
        </w:rPr>
        <w:t xml:space="preserve">מהרי"ו </w:t>
      </w:r>
      <w:r w:rsidRPr="00A74C2B">
        <w:rPr>
          <w:rFonts w:cs="Arial"/>
          <w:rtl/>
        </w:rPr>
        <w:t xml:space="preserve">האריך בזה </w:t>
      </w:r>
      <w:r>
        <w:rPr>
          <w:rFonts w:cs="Arial" w:hint="cs"/>
          <w:rtl/>
        </w:rPr>
        <w:t xml:space="preserve">(שם) </w:t>
      </w:r>
      <w:r w:rsidRPr="00A74C2B">
        <w:rPr>
          <w:rFonts w:cs="Arial"/>
          <w:rtl/>
        </w:rPr>
        <w:t>ואם נתנה לו תקיעת כף להנשא מתירין לה</w:t>
      </w:r>
      <w:r>
        <w:rPr>
          <w:rFonts w:cs="Arial" w:hint="cs"/>
          <w:rtl/>
        </w:rPr>
        <w:t>, דרכ"מ (אות יב).</w:t>
      </w:r>
    </w:p>
  </w:footnote>
  <w:footnote w:id="570">
    <w:p w14:paraId="26E29610" w14:textId="77777777" w:rsidR="00DE2F5F" w:rsidRDefault="00DE2F5F" w:rsidP="009A7475">
      <w:pPr>
        <w:pStyle w:val="a5"/>
      </w:pPr>
      <w:r>
        <w:rPr>
          <w:rStyle w:val="a7"/>
        </w:rPr>
        <w:footnoteRef/>
      </w:r>
      <w:r w:rsidRPr="00FA71CF">
        <w:rPr>
          <w:rFonts w:cs="Arial"/>
          <w:rtl/>
        </w:rPr>
        <w:t xml:space="preserve"> וכתב הר"ן </w:t>
      </w:r>
      <w:r>
        <w:rPr>
          <w:rFonts w:cs="Arial" w:hint="cs"/>
          <w:rtl/>
        </w:rPr>
        <w:t>(</w:t>
      </w:r>
      <w:r w:rsidRPr="00FA71CF">
        <w:rPr>
          <w:rFonts w:cs="Arial"/>
          <w:rtl/>
        </w:rPr>
        <w:t>כו: ד"ה חזרו) דוקא שהתחילה למרוד קודם נדותה אבל אם לא התחילה עד תוך נדותה לא הוי מורדת</w:t>
      </w:r>
      <w:r>
        <w:rPr>
          <w:rFonts w:cs="Arial" w:hint="cs"/>
          <w:rtl/>
        </w:rPr>
        <w:t>.</w:t>
      </w:r>
      <w:r w:rsidRPr="00FA71CF">
        <w:rPr>
          <w:rFonts w:cs="Arial"/>
          <w:rtl/>
        </w:rPr>
        <w:t xml:space="preserve"> וכן הוא שם בהגהות אלפסי (אות א) וכן משמע שם במרדכי (סי' קפד) בשם ראבי"ה</w:t>
      </w:r>
      <w:r>
        <w:rPr>
          <w:rFonts w:cs="Arial" w:hint="cs"/>
          <w:rtl/>
        </w:rPr>
        <w:t>.</w:t>
      </w:r>
      <w:r w:rsidRPr="00FA71CF">
        <w:rPr>
          <w:rFonts w:cs="Arial"/>
          <w:rtl/>
        </w:rPr>
        <w:t xml:space="preserve"> אבל תשו</w:t>
      </w:r>
      <w:r>
        <w:rPr>
          <w:rFonts w:cs="Arial" w:hint="cs"/>
          <w:rtl/>
        </w:rPr>
        <w:t>'</w:t>
      </w:r>
      <w:r w:rsidRPr="00FA71CF">
        <w:rPr>
          <w:rFonts w:cs="Arial"/>
          <w:rtl/>
        </w:rPr>
        <w:t xml:space="preserve"> מוהר"ם שם דאין לחלק וכבר כתבתי למעלה סי' זה דבריהם</w:t>
      </w:r>
      <w:r>
        <w:rPr>
          <w:rFonts w:cs="Arial" w:hint="cs"/>
          <w:rtl/>
        </w:rPr>
        <w:t>, דרכ"מ (אות טו).</w:t>
      </w:r>
      <w:r w:rsidRPr="00B50B6F">
        <w:rPr>
          <w:rFonts w:hint="cs"/>
          <w:rtl/>
        </w:rPr>
        <w:t xml:space="preserve"> </w:t>
      </w:r>
      <w:r>
        <w:rPr>
          <w:rFonts w:hint="cs"/>
          <w:rtl/>
        </w:rPr>
        <w:t>ונ"ל מדברי הב"י דע"כ מיירי בשהתחילה למרוד בתוך זמן נדותה, ומכיון דאין לו פת בסלו.</w:t>
      </w:r>
    </w:p>
  </w:footnote>
  <w:footnote w:id="571">
    <w:p w14:paraId="5DA3B08A" w14:textId="77777777" w:rsidR="00DE2F5F" w:rsidRDefault="00DE2F5F" w:rsidP="009A7475">
      <w:pPr>
        <w:pStyle w:val="a5"/>
        <w:rPr>
          <w:rtl/>
        </w:rPr>
      </w:pPr>
      <w:r>
        <w:rPr>
          <w:rStyle w:val="a7"/>
        </w:rPr>
        <w:footnoteRef/>
      </w:r>
      <w:r>
        <w:rPr>
          <w:rtl/>
        </w:rPr>
        <w:t xml:space="preserve"> </w:t>
      </w:r>
      <w:r w:rsidRPr="00FA71CF">
        <w:rPr>
          <w:rFonts w:cs="Arial"/>
          <w:rtl/>
        </w:rPr>
        <w:t>ופשוט הוא דמיירי שהגיע זמנה ומרדה עליו וכ"כ הרמב"ם בהדיא פי"ד (הי"ב)</w:t>
      </w:r>
      <w:r>
        <w:rPr>
          <w:rFonts w:cs="Arial" w:hint="cs"/>
          <w:rtl/>
        </w:rPr>
        <w:t>, דרכ"מ (אות טז).</w:t>
      </w:r>
      <w:r>
        <w:rPr>
          <w:rFonts w:hint="cs"/>
          <w:rtl/>
        </w:rPr>
        <w:t xml:space="preserve"> לא הבנתי ממה בדברי הרמב"ם רצה הדרכ"מ להוכיח. ונ"ל מדברי הב"י דע"כ מיירי שלא הגיע זמן, ומכיון דאין לו פת בסלו.</w:t>
      </w:r>
    </w:p>
  </w:footnote>
  <w:footnote w:id="572">
    <w:p w14:paraId="6BB877F8" w14:textId="77777777" w:rsidR="00DE2F5F" w:rsidRDefault="00DE2F5F" w:rsidP="009A7475">
      <w:pPr>
        <w:pStyle w:val="a5"/>
      </w:pPr>
      <w:r>
        <w:rPr>
          <w:rStyle w:val="a7"/>
        </w:rPr>
        <w:footnoteRef/>
      </w:r>
      <w:r>
        <w:rPr>
          <w:rtl/>
        </w:rPr>
        <w:t xml:space="preserve"> </w:t>
      </w:r>
      <w:r w:rsidRPr="00FA71CF">
        <w:rPr>
          <w:rFonts w:cs="Arial"/>
          <w:rtl/>
        </w:rPr>
        <w:t xml:space="preserve">וכתב הרשב"א </w:t>
      </w:r>
      <w:r>
        <w:rPr>
          <w:rFonts w:cs="Arial"/>
          <w:rtl/>
        </w:rPr>
        <w:t>(ח"א סי</w:t>
      </w:r>
      <w:r>
        <w:rPr>
          <w:rFonts w:cs="Arial" w:hint="cs"/>
          <w:rtl/>
        </w:rPr>
        <w:t>'</w:t>
      </w:r>
      <w:r>
        <w:rPr>
          <w:rFonts w:cs="Arial"/>
          <w:rtl/>
        </w:rPr>
        <w:t xml:space="preserve"> אלף רט</w:t>
      </w:r>
      <w:r>
        <w:rPr>
          <w:rFonts w:cs="Arial" w:hint="cs"/>
          <w:rtl/>
        </w:rPr>
        <w:t xml:space="preserve">) </w:t>
      </w:r>
      <w:r w:rsidRPr="00FA71CF">
        <w:rPr>
          <w:rFonts w:cs="Arial"/>
          <w:rtl/>
        </w:rPr>
        <w:t>כל זמן שלא כתב הבעל הכתובה לארוסתו איני יודע מה תוכל היא להפסיד מחמת מרדה שהרי עדיין אין לה כתובה</w:t>
      </w:r>
      <w:r>
        <w:rPr>
          <w:rFonts w:cs="Arial" w:hint="cs"/>
          <w:rtl/>
        </w:rPr>
        <w:t>, דרכ"מ (אות טז).</w:t>
      </w:r>
      <w:r>
        <w:rPr>
          <w:rFonts w:hint="cs"/>
          <w:rtl/>
        </w:rPr>
        <w:t xml:space="preserve"> וכ"כ הב"י בשם הרשב"א.</w:t>
      </w:r>
    </w:p>
  </w:footnote>
  <w:footnote w:id="573">
    <w:p w14:paraId="1EDF5D22" w14:textId="77777777" w:rsidR="00DE2F5F" w:rsidRDefault="00DE2F5F" w:rsidP="009A7475">
      <w:pPr>
        <w:pStyle w:val="a5"/>
        <w:rPr>
          <w:rtl/>
        </w:rPr>
      </w:pPr>
      <w:r>
        <w:rPr>
          <w:rStyle w:val="a7"/>
        </w:rPr>
        <w:footnoteRef/>
      </w:r>
      <w:r>
        <w:rPr>
          <w:rtl/>
        </w:rPr>
        <w:t xml:space="preserve"> </w:t>
      </w:r>
      <w:r>
        <w:rPr>
          <w:rFonts w:cs="Arial"/>
          <w:rtl/>
        </w:rPr>
        <w:t>וכתב הרב המגיד שדין בעלה מלח נלמד מדין נדה המורדת</w:t>
      </w:r>
      <w:r>
        <w:rPr>
          <w:rFonts w:cs="Arial" w:hint="cs"/>
          <w:rtl/>
        </w:rPr>
        <w:t>.</w:t>
      </w:r>
      <w:r>
        <w:rPr>
          <w:rFonts w:cs="Arial"/>
          <w:rtl/>
        </w:rPr>
        <w:t xml:space="preserve"> ול"נ דילפינן לה מדין מלח המדיר את אשתו שאחר שבת א' יוציא ויתן כתובה משום דאינו דומה מי שיש לו פת בסלו וכו' כדאיתא בגמרא</w:t>
      </w:r>
      <w:r>
        <w:rPr>
          <w:rFonts w:cs="Arial" w:hint="cs"/>
          <w:rtl/>
        </w:rPr>
        <w:t>, ב"י.</w:t>
      </w:r>
    </w:p>
  </w:footnote>
  <w:footnote w:id="574">
    <w:p w14:paraId="7A049486" w14:textId="77777777" w:rsidR="00DE2F5F" w:rsidRDefault="00DE2F5F" w:rsidP="009A7475">
      <w:pPr>
        <w:pStyle w:val="a5"/>
        <w:rPr>
          <w:rtl/>
        </w:rPr>
      </w:pPr>
      <w:r>
        <w:rPr>
          <w:rStyle w:val="a7"/>
        </w:rPr>
        <w:footnoteRef/>
      </w:r>
      <w:r>
        <w:rPr>
          <w:rtl/>
        </w:rPr>
        <w:t xml:space="preserve"> </w:t>
      </w:r>
      <w:r w:rsidRPr="00897A64">
        <w:rPr>
          <w:rFonts w:cs="Arial"/>
          <w:rtl/>
        </w:rPr>
        <w:t>והם הולכים לשיטתם שפוסקים מצות יבום קודמת</w:t>
      </w:r>
      <w:r>
        <w:rPr>
          <w:rFonts w:hint="cs"/>
          <w:rtl/>
        </w:rPr>
        <w:t>, טור.</w:t>
      </w:r>
    </w:p>
  </w:footnote>
  <w:footnote w:id="575">
    <w:p w14:paraId="1CC2DB35" w14:textId="2715AA32" w:rsidR="00DE2F5F" w:rsidRDefault="00DE2F5F" w:rsidP="009A7475">
      <w:pPr>
        <w:pStyle w:val="a5"/>
        <w:rPr>
          <w:rtl/>
        </w:rPr>
      </w:pPr>
      <w:r>
        <w:rPr>
          <w:rStyle w:val="a7"/>
        </w:rPr>
        <w:footnoteRef/>
      </w:r>
      <w:r>
        <w:rPr>
          <w:rtl/>
        </w:rPr>
        <w:t xml:space="preserve"> </w:t>
      </w:r>
      <w:r w:rsidRPr="00A74C2B">
        <w:rPr>
          <w:rFonts w:cs="Arial"/>
          <w:rtl/>
        </w:rPr>
        <w:t>וכן הוא בריב"ש סימן שס"א</w:t>
      </w:r>
      <w:r>
        <w:rPr>
          <w:rFonts w:cs="Arial" w:hint="cs"/>
          <w:rtl/>
        </w:rPr>
        <w:t>.</w:t>
      </w:r>
      <w:r w:rsidRPr="00A74C2B">
        <w:rPr>
          <w:rFonts w:cs="Arial"/>
          <w:rtl/>
        </w:rPr>
        <w:t xml:space="preserve"> וכתב עוד שאין חילוק בין אומרת מאיס עלי או בעינא ומצערנא ליה</w:t>
      </w:r>
      <w:r>
        <w:rPr>
          <w:rFonts w:cs="Arial" w:hint="cs"/>
          <w:rtl/>
        </w:rPr>
        <w:t>,</w:t>
      </w:r>
      <w:r w:rsidRPr="00A74C2B">
        <w:rPr>
          <w:rFonts w:cs="Arial"/>
          <w:rtl/>
        </w:rPr>
        <w:t xml:space="preserve"> מיהו אנן לא קיי"ל הכי דהא ס"ל מצות חליצה קודם כמו שיתבאר לקמן אי"ה</w:t>
      </w:r>
      <w:r>
        <w:rPr>
          <w:rFonts w:cs="Arial" w:hint="cs"/>
          <w:rtl/>
        </w:rPr>
        <w:t>, דרכ"מ (אות יז).</w:t>
      </w:r>
    </w:p>
  </w:footnote>
  <w:footnote w:id="576">
    <w:p w14:paraId="7A6043E9" w14:textId="3826478D" w:rsidR="00DE2F5F" w:rsidRDefault="00DE2F5F" w:rsidP="009A7475">
      <w:pPr>
        <w:pStyle w:val="a5"/>
      </w:pPr>
      <w:r>
        <w:rPr>
          <w:rStyle w:val="a7"/>
        </w:rPr>
        <w:footnoteRef/>
      </w:r>
      <w:r>
        <w:rPr>
          <w:rtl/>
        </w:rPr>
        <w:t xml:space="preserve"> </w:t>
      </w:r>
      <w:r w:rsidRPr="00A74C2B">
        <w:rPr>
          <w:rFonts w:cs="Arial"/>
          <w:rtl/>
        </w:rPr>
        <w:t>וכן הוא בריב"ש סימן שס"א וע"ל סימן קס"ה ושם נתבארו כל דינים אלו</w:t>
      </w:r>
      <w:r>
        <w:rPr>
          <w:rFonts w:cs="Arial" w:hint="cs"/>
          <w:rtl/>
        </w:rPr>
        <w:t>, דרכ"מ (אות יח).</w:t>
      </w:r>
    </w:p>
  </w:footnote>
  <w:footnote w:id="577">
    <w:p w14:paraId="0F896B99" w14:textId="262792CA" w:rsidR="00DE2F5F" w:rsidRDefault="00DE2F5F">
      <w:pPr>
        <w:pStyle w:val="a5"/>
        <w:rPr>
          <w:rtl/>
        </w:rPr>
      </w:pPr>
      <w:r>
        <w:rPr>
          <w:rStyle w:val="a7"/>
        </w:rPr>
        <w:footnoteRef/>
      </w:r>
      <w:r>
        <w:rPr>
          <w:rtl/>
        </w:rPr>
        <w:t xml:space="preserve"> </w:t>
      </w:r>
      <w:r w:rsidRPr="00CD759E">
        <w:rPr>
          <w:rFonts w:cs="Arial"/>
          <w:rtl/>
        </w:rPr>
        <w:t>עיין בתשובת הריטב"א שכתבתי בסימן ע'</w:t>
      </w:r>
      <w:r>
        <w:rPr>
          <w:rFonts w:hint="cs"/>
          <w:rtl/>
        </w:rPr>
        <w:t>, ב"י (בבדה"ב).</w:t>
      </w:r>
    </w:p>
  </w:footnote>
  <w:footnote w:id="578">
    <w:p w14:paraId="39E3D57B" w14:textId="34F45712" w:rsidR="00DE2F5F" w:rsidRDefault="00DE2F5F">
      <w:pPr>
        <w:pStyle w:val="a5"/>
        <w:rPr>
          <w:rtl/>
        </w:rPr>
      </w:pPr>
      <w:r>
        <w:rPr>
          <w:rStyle w:val="a7"/>
        </w:rPr>
        <w:footnoteRef/>
      </w:r>
      <w:r>
        <w:rPr>
          <w:rtl/>
        </w:rPr>
        <w:t xml:space="preserve"> </w:t>
      </w:r>
      <w:r w:rsidRPr="007F1F00">
        <w:rPr>
          <w:rFonts w:cs="Arial"/>
          <w:rtl/>
        </w:rPr>
        <w:t>ועיין תשו</w:t>
      </w:r>
      <w:r>
        <w:rPr>
          <w:rFonts w:cs="Arial" w:hint="cs"/>
          <w:rtl/>
        </w:rPr>
        <w:t>'</w:t>
      </w:r>
      <w:r w:rsidRPr="007F1F00">
        <w:rPr>
          <w:rFonts w:cs="Arial"/>
          <w:rtl/>
        </w:rPr>
        <w:t xml:space="preserve"> הריב"ש סי</w:t>
      </w:r>
      <w:r>
        <w:rPr>
          <w:rFonts w:cs="Arial" w:hint="cs"/>
          <w:rtl/>
        </w:rPr>
        <w:t>'</w:t>
      </w:r>
      <w:r w:rsidRPr="007F1F00">
        <w:rPr>
          <w:rFonts w:cs="Arial"/>
          <w:rtl/>
        </w:rPr>
        <w:t xml:space="preserve"> שס"ד ושס"ה איזה דבר מקרי תפיסה וע"ל סימן צ"ג אי תפסה שטרות אי מקרי תפיסה</w:t>
      </w:r>
      <w:r>
        <w:rPr>
          <w:rFonts w:hint="cs"/>
          <w:rtl/>
        </w:rPr>
        <w:t>, דרכ"מ (אות ו).</w:t>
      </w:r>
    </w:p>
  </w:footnote>
  <w:footnote w:id="579">
    <w:p w14:paraId="660AE0BD" w14:textId="089A0327" w:rsidR="003D2852" w:rsidRDefault="003D2852">
      <w:pPr>
        <w:pStyle w:val="a5"/>
      </w:pPr>
      <w:r>
        <w:rPr>
          <w:rStyle w:val="a7"/>
        </w:rPr>
        <w:footnoteRef/>
      </w:r>
      <w:r>
        <w:rPr>
          <w:rtl/>
        </w:rPr>
        <w:t xml:space="preserve"> </w:t>
      </w:r>
      <w:r w:rsidRPr="003D2852">
        <w:rPr>
          <w:rFonts w:cs="Arial"/>
          <w:rtl/>
        </w:rPr>
        <w:t>עבה"ט מ"ש דאינה חייבת להניק הולד והוא מדברי הח"מ וב"ש. ועיין בהגהת יד אפרים שתמה ע"ז</w:t>
      </w:r>
      <w:r>
        <w:rPr>
          <w:rFonts w:cs="Arial" w:hint="cs"/>
          <w:rtl/>
        </w:rPr>
        <w:t>,</w:t>
      </w:r>
      <w:r w:rsidRPr="003D2852">
        <w:rPr>
          <w:rFonts w:cs="Arial"/>
          <w:rtl/>
        </w:rPr>
        <w:t xml:space="preserve"> דלשיטת הר"ן שהובא בב"ש </w:t>
      </w:r>
      <w:r>
        <w:rPr>
          <w:rFonts w:cs="Arial" w:hint="cs"/>
          <w:rtl/>
        </w:rPr>
        <w:t>(</w:t>
      </w:r>
      <w:r w:rsidRPr="003D2852">
        <w:rPr>
          <w:rFonts w:cs="Arial"/>
          <w:rtl/>
        </w:rPr>
        <w:t>לקמן סי' פ סקכ"א</w:t>
      </w:r>
      <w:r>
        <w:rPr>
          <w:rFonts w:cs="Arial" w:hint="cs"/>
          <w:rtl/>
        </w:rPr>
        <w:t>,</w:t>
      </w:r>
      <w:r w:rsidRPr="003D2852">
        <w:rPr>
          <w:rFonts w:cs="Arial"/>
          <w:rtl/>
        </w:rPr>
        <w:t xml:space="preserve"> ובבה"ט שם סק"כ) דגם באומרת איני ניזונת חייבת בהנקה</w:t>
      </w:r>
      <w:r>
        <w:rPr>
          <w:rFonts w:cs="Arial" w:hint="cs"/>
          <w:rtl/>
        </w:rPr>
        <w:t>,</w:t>
      </w:r>
      <w:r w:rsidRPr="003D2852">
        <w:rPr>
          <w:rFonts w:cs="Arial"/>
          <w:rtl/>
        </w:rPr>
        <w:t xml:space="preserve"> א"כ הנקה לאו תחת מזונות הוא ונתחייב להניק גם כאן</w:t>
      </w:r>
      <w:r w:rsidR="005569E3">
        <w:rPr>
          <w:rFonts w:cs="Arial" w:hint="cs"/>
          <w:rtl/>
        </w:rPr>
        <w:t>.</w:t>
      </w:r>
      <w:r w:rsidRPr="003D2852">
        <w:rPr>
          <w:rFonts w:cs="Arial"/>
          <w:rtl/>
        </w:rPr>
        <w:t xml:space="preserve"> ומ"ש הח"מ והב"ש כן בשם תשו' הרשב"א צ"ע</w:t>
      </w:r>
      <w:r w:rsidR="005569E3">
        <w:rPr>
          <w:rFonts w:cs="Arial" w:hint="cs"/>
          <w:rtl/>
        </w:rPr>
        <w:t>,</w:t>
      </w:r>
      <w:r w:rsidRPr="003D2852">
        <w:rPr>
          <w:rFonts w:cs="Arial"/>
          <w:rtl/>
        </w:rPr>
        <w:t xml:space="preserve"> דהרשב"א שם כוונתו מלאחר גירושין ע"ש מ"ש בזה. ולפמ"ש הב"ש שם דבמקום פלוגתא היא פטורה א"כ אין נ"מ כ"כ לדינא אם לא היכא שהוא מוחזק בנכסי' שיהא יכול לעכב מנכסיה שכר הנקה</w:t>
      </w:r>
      <w:r w:rsidR="005569E3">
        <w:rPr>
          <w:rFonts w:cs="Arial" w:hint="cs"/>
          <w:rtl/>
        </w:rPr>
        <w:t>,</w:t>
      </w:r>
      <w:r w:rsidRPr="003D2852">
        <w:rPr>
          <w:rFonts w:cs="Arial"/>
          <w:rtl/>
        </w:rPr>
        <w:t xml:space="preserve"> וכן היכא שכבר הניקה הולד עד שמכירה וכמו שאכתוב בסי' פ' שם ע"ש</w:t>
      </w:r>
      <w:r>
        <w:rPr>
          <w:rFonts w:cs="Arial" w:hint="cs"/>
          <w:rtl/>
        </w:rPr>
        <w:t>, פת"ש (סק"ד).</w:t>
      </w:r>
    </w:p>
  </w:footnote>
  <w:footnote w:id="580">
    <w:p w14:paraId="22714BB1" w14:textId="070767E9" w:rsidR="00DE2F5F" w:rsidRDefault="00DE2F5F">
      <w:pPr>
        <w:pStyle w:val="a5"/>
        <w:rPr>
          <w:rtl/>
        </w:rPr>
      </w:pPr>
      <w:r>
        <w:rPr>
          <w:rStyle w:val="a7"/>
        </w:rPr>
        <w:footnoteRef/>
      </w:r>
      <w:r>
        <w:rPr>
          <w:rtl/>
        </w:rPr>
        <w:t xml:space="preserve"> </w:t>
      </w:r>
      <w:r>
        <w:rPr>
          <w:rFonts w:hint="cs"/>
          <w:rtl/>
        </w:rPr>
        <w:t xml:space="preserve">בחלק מהגירסאות (למשל גיר' הבאה"ט סק"כ) כתוב כאן 'וכל' במקום 'אבל לא'. אך בדרכ"מ (אות ח) כתב בשם הב"י בשם הרשב"א 'אבל לא'. וכתב </w:t>
      </w:r>
      <w:r>
        <w:rPr>
          <w:rFonts w:cs="Arial" w:hint="cs"/>
          <w:rtl/>
        </w:rPr>
        <w:t>הב"ש (סקי"ח) ש</w:t>
      </w:r>
      <w:r w:rsidRPr="00247586">
        <w:rPr>
          <w:rFonts w:cs="Arial"/>
          <w:rtl/>
        </w:rPr>
        <w:t xml:space="preserve">בטור סי' </w:t>
      </w:r>
      <w:r>
        <w:rPr>
          <w:rFonts w:cs="Arial" w:hint="cs"/>
          <w:rtl/>
        </w:rPr>
        <w:t>פ</w:t>
      </w:r>
      <w:r w:rsidRPr="00247586">
        <w:rPr>
          <w:rFonts w:cs="Arial"/>
          <w:rtl/>
        </w:rPr>
        <w:t>"ה לא משמע כן</w:t>
      </w:r>
      <w:r>
        <w:rPr>
          <w:rFonts w:cs="Arial" w:hint="cs"/>
          <w:rtl/>
        </w:rPr>
        <w:t>,</w:t>
      </w:r>
      <w:r w:rsidRPr="00247586">
        <w:rPr>
          <w:rFonts w:cs="Arial"/>
          <w:rtl/>
        </w:rPr>
        <w:t xml:space="preserve"> אלא דוק</w:t>
      </w:r>
      <w:r>
        <w:rPr>
          <w:rFonts w:cs="Arial" w:hint="cs"/>
          <w:rtl/>
        </w:rPr>
        <w:t>א</w:t>
      </w:r>
      <w:r w:rsidRPr="00247586">
        <w:rPr>
          <w:rFonts w:cs="Arial"/>
          <w:rtl/>
        </w:rPr>
        <w:t xml:space="preserve"> כשאין לה כתובה אז אין לה מתנות</w:t>
      </w:r>
      <w:r>
        <w:rPr>
          <w:rFonts w:cs="Arial" w:hint="cs"/>
          <w:rtl/>
        </w:rPr>
        <w:t>.</w:t>
      </w:r>
      <w:r>
        <w:rPr>
          <w:rFonts w:hint="cs"/>
          <w:rtl/>
        </w:rPr>
        <w:t xml:space="preserve"> ע"כ. אמנם מדברי הב"י שכתב '</w:t>
      </w:r>
      <w:r w:rsidRPr="004052A4">
        <w:rPr>
          <w:rFonts w:cs="Arial"/>
          <w:rtl/>
        </w:rPr>
        <w:t>ומשמע דתוך יב"ח לא הפסידה מה שנתן לה במתנה</w:t>
      </w:r>
      <w:r>
        <w:rPr>
          <w:rFonts w:cs="Arial" w:hint="cs"/>
          <w:rtl/>
        </w:rPr>
        <w:t>' רואים בהדיא שדעתו ליתן לה גם מה שנתן לה מתנה.</w:t>
      </w:r>
    </w:p>
  </w:footnote>
  <w:footnote w:id="581">
    <w:p w14:paraId="2F199039" w14:textId="242A998F" w:rsidR="00DE2F5F" w:rsidRDefault="00DE2F5F">
      <w:pPr>
        <w:pStyle w:val="a5"/>
      </w:pPr>
      <w:r>
        <w:rPr>
          <w:rStyle w:val="a7"/>
        </w:rPr>
        <w:footnoteRef/>
      </w:r>
      <w:r>
        <w:rPr>
          <w:rtl/>
        </w:rPr>
        <w:t xml:space="preserve"> </w:t>
      </w:r>
      <w:r w:rsidRPr="00B113CD">
        <w:rPr>
          <w:rFonts w:cs="Arial"/>
          <w:rtl/>
        </w:rPr>
        <w:t xml:space="preserve">היינו אין כופין לגרש שום אחת דהשניה אינו חייב לגרש כיון דלדעת </w:t>
      </w:r>
      <w:r w:rsidR="000A7C87">
        <w:rPr>
          <w:rFonts w:cs="Arial" w:hint="cs"/>
          <w:rtl/>
        </w:rPr>
        <w:t>[</w:t>
      </w:r>
      <w:r w:rsidRPr="00B113CD">
        <w:rPr>
          <w:rFonts w:cs="Arial"/>
          <w:rtl/>
        </w:rPr>
        <w:t>הר</w:t>
      </w:r>
      <w:r w:rsidR="00865AD6">
        <w:rPr>
          <w:rFonts w:cs="Arial" w:hint="cs"/>
          <w:rtl/>
        </w:rPr>
        <w:t>א</w:t>
      </w:r>
      <w:r w:rsidRPr="00B113CD">
        <w:rPr>
          <w:rFonts w:cs="Arial"/>
          <w:rtl/>
        </w:rPr>
        <w:t>ב"ן</w:t>
      </w:r>
      <w:r w:rsidR="000A7C87">
        <w:rPr>
          <w:rFonts w:cs="Arial" w:hint="cs"/>
          <w:rtl/>
        </w:rPr>
        <w:t>]</w:t>
      </w:r>
      <w:r w:rsidRPr="00B113CD">
        <w:rPr>
          <w:rFonts w:cs="Arial"/>
          <w:rtl/>
        </w:rPr>
        <w:t xml:space="preserve"> מתירין אפי' לכתחלה והראשונה אין חייב לגרש דהיא מורדת עליו וכ"כ בח"מ</w:t>
      </w:r>
      <w:r>
        <w:rPr>
          <w:rFonts w:cs="Arial" w:hint="cs"/>
          <w:rtl/>
        </w:rPr>
        <w:t>, ב"ש (סקכ"א)</w:t>
      </w:r>
    </w:p>
  </w:footnote>
  <w:footnote w:id="582">
    <w:p w14:paraId="2A454ABF" w14:textId="366E2876" w:rsidR="00DE2F5F" w:rsidRDefault="00DE2F5F">
      <w:pPr>
        <w:pStyle w:val="a5"/>
      </w:pPr>
      <w:r>
        <w:rPr>
          <w:rStyle w:val="a7"/>
        </w:rPr>
        <w:footnoteRef/>
      </w:r>
      <w:r>
        <w:rPr>
          <w:rtl/>
        </w:rPr>
        <w:t xml:space="preserve"> </w:t>
      </w:r>
      <w:r w:rsidRPr="00B113CD">
        <w:rPr>
          <w:rFonts w:cs="Arial"/>
          <w:rtl/>
        </w:rPr>
        <w:t>והביאו הב"י ג"כ לעיל בסימן א'</w:t>
      </w:r>
      <w:r>
        <w:rPr>
          <w:rFonts w:cs="Arial" w:hint="cs"/>
          <w:rtl/>
        </w:rPr>
        <w:t>, באה"ג (אות נ).</w:t>
      </w:r>
    </w:p>
  </w:footnote>
  <w:footnote w:id="583">
    <w:p w14:paraId="0376B8A1" w14:textId="1AFB7433" w:rsidR="00DE2F5F" w:rsidRDefault="00DE2F5F">
      <w:pPr>
        <w:pStyle w:val="a5"/>
      </w:pPr>
      <w:r>
        <w:rPr>
          <w:rStyle w:val="a7"/>
        </w:rPr>
        <w:footnoteRef/>
      </w:r>
      <w:r>
        <w:rPr>
          <w:rtl/>
        </w:rPr>
        <w:t xml:space="preserve"> </w:t>
      </w:r>
      <w:r w:rsidRPr="00E305A0">
        <w:rPr>
          <w:rFonts w:cs="Arial"/>
          <w:rtl/>
        </w:rPr>
        <w:t>זהו אפילו בארוסה כמבואר במהרי"ק שם אם לא במקום שאין שם קידושין גמורים רק שמחמירים לגרשה עיין שם</w:t>
      </w:r>
      <w:r>
        <w:rPr>
          <w:rFonts w:cs="Arial" w:hint="cs"/>
          <w:rtl/>
        </w:rPr>
        <w:t>, ט"ז (סק"ג).</w:t>
      </w:r>
    </w:p>
  </w:footnote>
  <w:footnote w:id="584">
    <w:p w14:paraId="01B81F87" w14:textId="21F15F0F" w:rsidR="00DE2F5F" w:rsidRDefault="00DE2F5F">
      <w:pPr>
        <w:pStyle w:val="a5"/>
        <w:rPr>
          <w:rtl/>
        </w:rPr>
      </w:pPr>
      <w:r>
        <w:rPr>
          <w:rStyle w:val="a7"/>
        </w:rPr>
        <w:footnoteRef/>
      </w:r>
      <w:r>
        <w:rPr>
          <w:rtl/>
        </w:rPr>
        <w:t xml:space="preserve"> </w:t>
      </w:r>
      <w:r w:rsidRPr="00897A64">
        <w:rPr>
          <w:rFonts w:cs="Arial"/>
          <w:rtl/>
        </w:rPr>
        <w:t>ובסימן קנ"ד כתב רבינו תשוב' הרא"ש בדיני טענת תשמיש. דין אימתי כופין לגרש ואימתי אין כופין כתב רבינו בסימן קנ"ד ובסימן קל"ד כתבתי תשובת מהרי"ק בזה</w:t>
      </w:r>
      <w:r>
        <w:rPr>
          <w:rFonts w:cs="Arial" w:hint="cs"/>
          <w:rtl/>
        </w:rPr>
        <w:t>, ב"י.</w:t>
      </w:r>
    </w:p>
  </w:footnote>
  <w:footnote w:id="585">
    <w:p w14:paraId="088495F4" w14:textId="6D9AF59B" w:rsidR="00DE2F5F" w:rsidRPr="00E52E9A" w:rsidRDefault="00DE2F5F">
      <w:pPr>
        <w:pStyle w:val="a5"/>
        <w:rPr>
          <w:rtl/>
        </w:rPr>
      </w:pPr>
      <w:r>
        <w:rPr>
          <w:rStyle w:val="a7"/>
        </w:rPr>
        <w:footnoteRef/>
      </w:r>
      <w:r>
        <w:rPr>
          <w:rtl/>
        </w:rPr>
        <w:t xml:space="preserve"> </w:t>
      </w:r>
      <w:r w:rsidRPr="00C1620F">
        <w:rPr>
          <w:rFonts w:cs="Arial"/>
          <w:rtl/>
        </w:rPr>
        <w:t>ואני אומר שדברי רבינו הם ממה שאמרו במשנה יעשו דרך בקשה ואף על פי שבירושלמי פירש יעשו סעודה וכו' כמ"ש הר"א ז"ל בירושלמי הזכירו אחת מדרכי הפשרה והפיוס שהיא על ידי סעודה ועיקר הכוונה הוא שיתפשרו ביניהם באי זה דרך שיהיה ולזה סתם רבינו. ומ"ש הר"א ז"ל שאין כאן מקום לחרמות מפני הגנאי אני אומר שכיון שהם טוענים דברים אלו בבית דין אין חוששין לגנאי להוציא הדין לאמיתו וכבר הזכרתי בספר קניין בהרבה מקומות שלא נזכר בגמרא בשום מקום חרם סתם בביאור אבל הגאונים ז"ל כתבו כן</w:t>
      </w:r>
      <w:r>
        <w:rPr>
          <w:rFonts w:hint="cs"/>
          <w:rtl/>
        </w:rPr>
        <w:t>, הה"מ (שם).</w:t>
      </w:r>
    </w:p>
  </w:footnote>
  <w:footnote w:id="586">
    <w:p w14:paraId="07820233" w14:textId="6255DE0D" w:rsidR="00DE2F5F" w:rsidRDefault="00DE2F5F">
      <w:pPr>
        <w:pStyle w:val="a5"/>
      </w:pPr>
      <w:r>
        <w:rPr>
          <w:rStyle w:val="a7"/>
        </w:rPr>
        <w:footnoteRef/>
      </w:r>
      <w:r>
        <w:rPr>
          <w:rtl/>
        </w:rPr>
        <w:t xml:space="preserve"> </w:t>
      </w:r>
      <w:r w:rsidRPr="007B74FB">
        <w:rPr>
          <w:rFonts w:cs="Arial"/>
          <w:rtl/>
        </w:rPr>
        <w:t>עיין בתשו</w:t>
      </w:r>
      <w:r>
        <w:rPr>
          <w:rFonts w:cs="Arial" w:hint="cs"/>
          <w:rtl/>
        </w:rPr>
        <w:t>'</w:t>
      </w:r>
      <w:r w:rsidRPr="007B74FB">
        <w:rPr>
          <w:rFonts w:cs="Arial"/>
          <w:rtl/>
        </w:rPr>
        <w:t xml:space="preserve"> רשב"א </w:t>
      </w:r>
      <w:r w:rsidRPr="007B74FB">
        <w:rPr>
          <w:rFonts w:cs="Arial"/>
          <w:sz w:val="16"/>
          <w:szCs w:val="16"/>
          <w:rtl/>
        </w:rPr>
        <w:t xml:space="preserve">(סי' תשעא) </w:t>
      </w:r>
      <w:r w:rsidRPr="007B74FB">
        <w:rPr>
          <w:rFonts w:cs="Arial"/>
          <w:rtl/>
        </w:rPr>
        <w:t>והביאו ב</w:t>
      </w:r>
      <w:r>
        <w:rPr>
          <w:rFonts w:cs="Arial" w:hint="cs"/>
          <w:rtl/>
        </w:rPr>
        <w:t>"י</w:t>
      </w:r>
      <w:r w:rsidRPr="007B74FB">
        <w:rPr>
          <w:rFonts w:cs="Arial"/>
          <w:rtl/>
        </w:rPr>
        <w:t xml:space="preserve"> לעיל סימן נ' </w:t>
      </w:r>
      <w:r w:rsidRPr="007B74FB">
        <w:rPr>
          <w:rFonts w:cs="Arial"/>
          <w:sz w:val="16"/>
          <w:szCs w:val="16"/>
          <w:rtl/>
        </w:rPr>
        <w:t xml:space="preserve">(עמ' תכט ד"ה כתב הרשב"א) </w:t>
      </w:r>
      <w:r w:rsidRPr="007B74FB">
        <w:rPr>
          <w:rFonts w:cs="Arial"/>
          <w:rtl/>
        </w:rPr>
        <w:t>שכתב כן אפילו נשתעבד בקנס פטור מן הקנס</w:t>
      </w:r>
      <w:r>
        <w:rPr>
          <w:rFonts w:cs="Arial" w:hint="cs"/>
          <w:rtl/>
        </w:rPr>
        <w:t>.</w:t>
      </w:r>
      <w:r w:rsidRPr="007B74FB">
        <w:rPr>
          <w:rFonts w:cs="Arial"/>
          <w:rtl/>
        </w:rPr>
        <w:t xml:space="preserve"> וכ</w:t>
      </w:r>
      <w:r>
        <w:rPr>
          <w:rFonts w:cs="Arial" w:hint="cs"/>
          <w:rtl/>
        </w:rPr>
        <w:t>"כ</w:t>
      </w:r>
      <w:r w:rsidRPr="007B74FB">
        <w:rPr>
          <w:rFonts w:cs="Arial"/>
          <w:rtl/>
        </w:rPr>
        <w:t xml:space="preserve"> רמ"א שם ע</w:t>
      </w:r>
      <w:r>
        <w:rPr>
          <w:rFonts w:cs="Arial" w:hint="cs"/>
          <w:rtl/>
        </w:rPr>
        <w:t>"</w:t>
      </w:r>
      <w:r w:rsidRPr="007B74FB">
        <w:rPr>
          <w:rFonts w:cs="Arial"/>
          <w:rtl/>
        </w:rPr>
        <w:t>ש הטעם. ויש להביא ראיה ג"כ ממ"ש בסימן ע"ז בדין טוענת מאיס עלי דמה התם שכבר נשאה ואפילו הכי צריך להחזיר הממון שהכניסה לו וליתן לה הגט דהיינו הנכסי צאן ברזל מכל שכן שאין בידינו לכוף האב לכתחלה ליתן נדוניא לבתו כדי שישאנה מאחר שטוענת מאיס עלי ומשום הכי פטור האב מן הקנס ובלבד שלא יהא רמאות בדבר</w:t>
      </w:r>
      <w:r>
        <w:rPr>
          <w:rFonts w:cs="Arial" w:hint="cs"/>
          <w:rtl/>
        </w:rPr>
        <w:t xml:space="preserve">, דרישה </w:t>
      </w:r>
      <w:r w:rsidRPr="007B74FB">
        <w:rPr>
          <w:rFonts w:cs="Arial" w:hint="cs"/>
          <w:sz w:val="16"/>
          <w:szCs w:val="16"/>
          <w:rtl/>
        </w:rPr>
        <w:t>(סי' קנד אות מ)</w:t>
      </w:r>
      <w:r>
        <w:rPr>
          <w:rFonts w:cs="Arial" w:hint="cs"/>
          <w:rtl/>
        </w:rPr>
        <w:t>.</w:t>
      </w:r>
    </w:p>
  </w:footnote>
  <w:footnote w:id="587">
    <w:p w14:paraId="6FE41557" w14:textId="4C27C08A" w:rsidR="00DE2F5F" w:rsidRDefault="00DE2F5F">
      <w:pPr>
        <w:pStyle w:val="a5"/>
      </w:pPr>
      <w:r>
        <w:rPr>
          <w:rStyle w:val="a7"/>
        </w:rPr>
        <w:footnoteRef/>
      </w:r>
      <w:r>
        <w:rPr>
          <w:rtl/>
        </w:rPr>
        <w:t xml:space="preserve"> </w:t>
      </w:r>
      <w:r w:rsidRPr="00150190">
        <w:rPr>
          <w:rFonts w:cs="Arial"/>
          <w:rtl/>
        </w:rPr>
        <w:t>הנה אם היא מבררת הטענה פשיט' אין אביה חייב</w:t>
      </w:r>
      <w:r>
        <w:rPr>
          <w:rFonts w:cs="Arial" w:hint="cs"/>
          <w:rtl/>
        </w:rPr>
        <w:t>,</w:t>
      </w:r>
      <w:r w:rsidRPr="00150190">
        <w:rPr>
          <w:rFonts w:cs="Arial"/>
          <w:rtl/>
        </w:rPr>
        <w:t xml:space="preserve"> דלא גרע מנשואין דמוציאין הבעל </w:t>
      </w:r>
      <w:r>
        <w:rPr>
          <w:rFonts w:cs="Arial"/>
          <w:rtl/>
        </w:rPr>
        <w:t>נכסי צאן ברזל</w:t>
      </w:r>
      <w:r w:rsidRPr="00150190">
        <w:rPr>
          <w:rFonts w:cs="Arial"/>
          <w:rtl/>
        </w:rPr>
        <w:t xml:space="preserve"> מכ"ש דאינו חייב ליתן לו</w:t>
      </w:r>
      <w:r>
        <w:rPr>
          <w:rFonts w:cs="Arial" w:hint="cs"/>
          <w:rtl/>
        </w:rPr>
        <w:t>.</w:t>
      </w:r>
      <w:r w:rsidRPr="00150190">
        <w:rPr>
          <w:rFonts w:cs="Arial"/>
          <w:rtl/>
        </w:rPr>
        <w:t xml:space="preserve"> אלא צ"ל דאיירי דא"י לברר הטענה</w:t>
      </w:r>
      <w:r>
        <w:rPr>
          <w:rFonts w:cs="Arial" w:hint="cs"/>
          <w:rtl/>
        </w:rPr>
        <w:t>,</w:t>
      </w:r>
      <w:r w:rsidRPr="00150190">
        <w:rPr>
          <w:rFonts w:cs="Arial"/>
          <w:rtl/>
        </w:rPr>
        <w:t xml:space="preserve"> אז בנשואין אם תפסה אין מוציאים מידה ותפיס' אביה לא מהני</w:t>
      </w:r>
      <w:r>
        <w:rPr>
          <w:rFonts w:cs="Arial" w:hint="cs"/>
          <w:rtl/>
        </w:rPr>
        <w:t>,</w:t>
      </w:r>
      <w:r w:rsidRPr="00150190">
        <w:rPr>
          <w:rFonts w:cs="Arial"/>
          <w:rtl/>
        </w:rPr>
        <w:t xml:space="preserve"> וכאן שעדיין הנדוני' ביד אביה אין אביה חייב ליתן לו</w:t>
      </w:r>
      <w:r>
        <w:rPr>
          <w:rFonts w:cs="Arial" w:hint="cs"/>
          <w:rtl/>
        </w:rPr>
        <w:t>,</w:t>
      </w:r>
      <w:r w:rsidRPr="00150190">
        <w:rPr>
          <w:rFonts w:cs="Arial"/>
          <w:rtl/>
        </w:rPr>
        <w:t xml:space="preserve"> וה"ה אם היא נשואה והנדוני' עדיין ביד אביה דאינו חייב ליתן לו</w:t>
      </w:r>
      <w:r>
        <w:rPr>
          <w:rFonts w:cs="Arial" w:hint="cs"/>
          <w:rtl/>
        </w:rPr>
        <w:t>,</w:t>
      </w:r>
      <w:r w:rsidRPr="00150190">
        <w:rPr>
          <w:rFonts w:cs="Arial"/>
          <w:rtl/>
        </w:rPr>
        <w:t xml:space="preserve"> ואפי' אם נתן ש"ח ליד החתן אינו חייב לשלם לו כי דינים אלו דומי' לדינים המבוארים בסי' ג"ן במתה בתו</w:t>
      </w:r>
      <w:r>
        <w:rPr>
          <w:rFonts w:cs="Arial" w:hint="cs"/>
          <w:rtl/>
        </w:rPr>
        <w:t>.</w:t>
      </w:r>
      <w:r w:rsidRPr="00150190">
        <w:rPr>
          <w:rFonts w:cs="Arial"/>
          <w:rtl/>
        </w:rPr>
        <w:t xml:space="preserve"> ואפי' אם אומר' בעינא ליה ומצער' הדין כן כמ"ש שם</w:t>
      </w:r>
      <w:r>
        <w:rPr>
          <w:rFonts w:cs="Arial" w:hint="cs"/>
          <w:rtl/>
        </w:rPr>
        <w:t>.</w:t>
      </w:r>
      <w:r w:rsidRPr="00150190">
        <w:rPr>
          <w:rFonts w:cs="Arial"/>
          <w:rtl/>
        </w:rPr>
        <w:t xml:space="preserve"> מיהו אם נתן ממרנ"י כנהוג במדינת פולין דלא נזכר בו מי הוא המלוה אז הוי כאלו המעו' ביד החתן חייב לשלם לו כ"כ בט"ז שם</w:t>
      </w:r>
      <w:r>
        <w:rPr>
          <w:rFonts w:cs="Arial" w:hint="cs"/>
          <w:rtl/>
        </w:rPr>
        <w:t>.</w:t>
      </w:r>
      <w:r w:rsidRPr="00150190">
        <w:rPr>
          <w:rFonts w:cs="Arial"/>
          <w:rtl/>
        </w:rPr>
        <w:t xml:space="preserve"> ואם השליש הנדוניא כתבתי ג"כ שם</w:t>
      </w:r>
      <w:r>
        <w:rPr>
          <w:rFonts w:cs="Arial" w:hint="cs"/>
          <w:rtl/>
        </w:rPr>
        <w:t>.</w:t>
      </w:r>
      <w:r w:rsidRPr="00150190">
        <w:rPr>
          <w:rFonts w:cs="Arial"/>
          <w:rtl/>
        </w:rPr>
        <w:t xml:space="preserve"> ומדינים אלו נשמע מכ"ש לשדוכים שלנו אם היא ממאן אין אביה חייב ליתן לו מה שפסק</w:t>
      </w:r>
      <w:r>
        <w:rPr>
          <w:rFonts w:cs="Arial" w:hint="cs"/>
          <w:rtl/>
        </w:rPr>
        <w:t>, ב"ש (סקל"ג).</w:t>
      </w:r>
    </w:p>
  </w:footnote>
  <w:footnote w:id="588">
    <w:p w14:paraId="10897392" w14:textId="29090726" w:rsidR="00DE2F5F" w:rsidRDefault="00DE2F5F">
      <w:pPr>
        <w:pStyle w:val="a5"/>
        <w:rPr>
          <w:rtl/>
        </w:rPr>
      </w:pPr>
      <w:r>
        <w:rPr>
          <w:rStyle w:val="a7"/>
        </w:rPr>
        <w:footnoteRef/>
      </w:r>
      <w:r>
        <w:rPr>
          <w:rtl/>
        </w:rPr>
        <w:t xml:space="preserve"> </w:t>
      </w:r>
      <w:r w:rsidRPr="00825FED">
        <w:rPr>
          <w:rFonts w:cs="Arial"/>
          <w:rtl/>
        </w:rPr>
        <w:t>ע"ל סימן ס"ט (בד"מ אות ב*) דהוא הדין דאין שומעין לה אם אמרה איני נפדית ואיני נותן פירות</w:t>
      </w:r>
      <w:r>
        <w:rPr>
          <w:rFonts w:cs="Arial" w:hint="cs"/>
          <w:rtl/>
        </w:rPr>
        <w:t>, דרכ"מ (אות א).</w:t>
      </w:r>
    </w:p>
  </w:footnote>
  <w:footnote w:id="589">
    <w:p w14:paraId="5804C441" w14:textId="3ABDF190" w:rsidR="00DE2F5F" w:rsidRDefault="00DE2F5F">
      <w:pPr>
        <w:pStyle w:val="a5"/>
        <w:rPr>
          <w:rtl/>
        </w:rPr>
      </w:pPr>
      <w:r>
        <w:rPr>
          <w:rStyle w:val="a7"/>
        </w:rPr>
        <w:footnoteRef/>
      </w:r>
      <w:r>
        <w:rPr>
          <w:rtl/>
        </w:rPr>
        <w:t xml:space="preserve"> </w:t>
      </w:r>
      <w:r>
        <w:rPr>
          <w:rFonts w:cs="Arial"/>
          <w:rtl/>
        </w:rPr>
        <w:t>זה פשוט שהרי תקנה זו לטובתה נתקנה</w:t>
      </w:r>
      <w:r>
        <w:rPr>
          <w:rFonts w:hint="cs"/>
          <w:rtl/>
        </w:rPr>
        <w:t>, ב"י.</w:t>
      </w:r>
    </w:p>
  </w:footnote>
  <w:footnote w:id="590">
    <w:p w14:paraId="648FF3BF" w14:textId="7F57F2DD" w:rsidR="002E6A90" w:rsidRDefault="002E6A90">
      <w:pPr>
        <w:pStyle w:val="a5"/>
        <w:rPr>
          <w:rtl/>
        </w:rPr>
      </w:pPr>
      <w:r>
        <w:rPr>
          <w:rStyle w:val="a7"/>
        </w:rPr>
        <w:footnoteRef/>
      </w:r>
      <w:r>
        <w:rPr>
          <w:rtl/>
        </w:rPr>
        <w:t xml:space="preserve"> </w:t>
      </w:r>
      <w:r w:rsidR="0072315A" w:rsidRPr="0072315A">
        <w:rPr>
          <w:rFonts w:cs="Arial"/>
          <w:rtl/>
        </w:rPr>
        <w:t>ונראה לענ"ד פשוט דבעודה ארוסה יכול הוא להתנות ולומר איני נוטל פירות ואיני פודה</w:t>
      </w:r>
      <w:r w:rsidR="007C64D3">
        <w:rPr>
          <w:rFonts w:cs="Arial" w:hint="cs"/>
          <w:rtl/>
        </w:rPr>
        <w:t>,</w:t>
      </w:r>
      <w:r w:rsidR="0072315A" w:rsidRPr="0072315A">
        <w:rPr>
          <w:rFonts w:cs="Arial"/>
          <w:rtl/>
        </w:rPr>
        <w:t xml:space="preserve"> וגם היא יכולה לומר כן ואף שלא ברצון הבעל</w:t>
      </w:r>
      <w:r w:rsidR="007C64D3">
        <w:rPr>
          <w:rFonts w:cs="Arial" w:hint="cs"/>
          <w:rtl/>
        </w:rPr>
        <w:t>,</w:t>
      </w:r>
      <w:r w:rsidR="0072315A" w:rsidRPr="0072315A">
        <w:rPr>
          <w:rFonts w:cs="Arial"/>
          <w:rtl/>
        </w:rPr>
        <w:t xml:space="preserve"> כיון שעדיין לא זכה בפירות ולא נתחייב הוא לפדותה</w:t>
      </w:r>
      <w:r w:rsidR="007C64D3">
        <w:rPr>
          <w:rFonts w:cs="Arial" w:hint="cs"/>
          <w:rtl/>
        </w:rPr>
        <w:t>.</w:t>
      </w:r>
      <w:r w:rsidR="0072315A" w:rsidRPr="0072315A">
        <w:rPr>
          <w:rFonts w:cs="Arial"/>
          <w:rtl/>
        </w:rPr>
        <w:t xml:space="preserve"> ודלא כהר"ב נתיבות משפט שכתב דהתוס' והרא"ש ס"ל דאפילו אם אמר הוא או היא איני נפדית ואיני נותנת פירות קודם שנישאת לא מהני</w:t>
      </w:r>
      <w:r w:rsidR="0072315A">
        <w:rPr>
          <w:rFonts w:hint="cs"/>
          <w:rtl/>
        </w:rPr>
        <w:t>, קרית מלך רב (</w:t>
      </w:r>
      <w:r w:rsidR="007C64D3">
        <w:rPr>
          <w:rFonts w:hint="cs"/>
          <w:rtl/>
        </w:rPr>
        <w:t>הל' אישות פי"ב)</w:t>
      </w:r>
      <w:r>
        <w:rPr>
          <w:rFonts w:hint="cs"/>
          <w:rtl/>
        </w:rPr>
        <w:t>.</w:t>
      </w:r>
    </w:p>
  </w:footnote>
  <w:footnote w:id="591">
    <w:p w14:paraId="4BBB4228" w14:textId="598E06CF" w:rsidR="00F80025" w:rsidRDefault="00F80025">
      <w:pPr>
        <w:pStyle w:val="a5"/>
        <w:rPr>
          <w:rtl/>
        </w:rPr>
      </w:pPr>
      <w:r>
        <w:rPr>
          <w:rStyle w:val="a7"/>
        </w:rPr>
        <w:footnoteRef/>
      </w:r>
      <w:r>
        <w:rPr>
          <w:rtl/>
        </w:rPr>
        <w:t xml:space="preserve"> </w:t>
      </w:r>
      <w:r>
        <w:rPr>
          <w:rFonts w:hint="cs"/>
          <w:rtl/>
        </w:rPr>
        <w:t>וכתב הנתיבות</w:t>
      </w:r>
      <w:r w:rsidR="0078573D">
        <w:rPr>
          <w:rFonts w:hint="cs"/>
          <w:rtl/>
        </w:rPr>
        <w:t xml:space="preserve"> (נתיב כג)</w:t>
      </w:r>
      <w:r>
        <w:rPr>
          <w:rFonts w:hint="cs"/>
          <w:rtl/>
        </w:rPr>
        <w:t xml:space="preserve"> שכן דעת הרא"ש, </w:t>
      </w:r>
      <w:r>
        <w:rPr>
          <w:rFonts w:cs="Arial" w:hint="cs"/>
          <w:rtl/>
        </w:rPr>
        <w:t>וכתב עוד שכן</w:t>
      </w:r>
      <w:r w:rsidRPr="00F80025">
        <w:rPr>
          <w:rFonts w:cs="Arial"/>
          <w:rtl/>
        </w:rPr>
        <w:t xml:space="preserve"> הבין הב"י</w:t>
      </w:r>
      <w:r>
        <w:rPr>
          <w:rFonts w:cs="Arial" w:hint="cs"/>
          <w:rtl/>
        </w:rPr>
        <w:t>.</w:t>
      </w:r>
    </w:p>
  </w:footnote>
  <w:footnote w:id="592">
    <w:p w14:paraId="2853DD34" w14:textId="7BFCD2FD" w:rsidR="00DE2F5F" w:rsidRDefault="00DE2F5F">
      <w:pPr>
        <w:pStyle w:val="a5"/>
      </w:pPr>
      <w:r>
        <w:rPr>
          <w:rStyle w:val="a7"/>
        </w:rPr>
        <w:footnoteRef/>
      </w:r>
      <w:r>
        <w:rPr>
          <w:rtl/>
        </w:rPr>
        <w:t xml:space="preserve"> </w:t>
      </w:r>
      <w:r w:rsidRPr="00E242D0">
        <w:rPr>
          <w:rFonts w:cs="Arial"/>
          <w:rtl/>
        </w:rPr>
        <w:t xml:space="preserve">כלומר אפי' אם אמר קודם הנישואין איני פודך ואפי' שניהם נתרצו לזה ל"מ כי היכא דלא לטמע בין העכו"ם כמ"ש בתוס' </w:t>
      </w:r>
      <w:r>
        <w:rPr>
          <w:rFonts w:cs="Arial" w:hint="cs"/>
          <w:rtl/>
        </w:rPr>
        <w:t xml:space="preserve">(כתובות מז: ד"ה זימנין) </w:t>
      </w:r>
      <w:r w:rsidRPr="00E242D0">
        <w:rPr>
          <w:rFonts w:cs="Arial"/>
          <w:rtl/>
        </w:rPr>
        <w:t>ושאר פוסקים</w:t>
      </w:r>
      <w:r>
        <w:rPr>
          <w:rFonts w:cs="Arial" w:hint="cs"/>
          <w:rtl/>
        </w:rPr>
        <w:t>, ב"ש (סק"א).</w:t>
      </w:r>
    </w:p>
  </w:footnote>
  <w:footnote w:id="593">
    <w:p w14:paraId="2724054A" w14:textId="098A1D15" w:rsidR="00DE2F5F" w:rsidRDefault="00DE2F5F">
      <w:pPr>
        <w:pStyle w:val="a5"/>
        <w:rPr>
          <w:rtl/>
        </w:rPr>
      </w:pPr>
      <w:r>
        <w:rPr>
          <w:rStyle w:val="a7"/>
        </w:rPr>
        <w:footnoteRef/>
      </w:r>
      <w:r>
        <w:rPr>
          <w:rtl/>
        </w:rPr>
        <w:t xml:space="preserve"> </w:t>
      </w:r>
      <w:r w:rsidRPr="00A813FA">
        <w:rPr>
          <w:rFonts w:cs="Arial"/>
          <w:rtl/>
        </w:rPr>
        <w:t>ותימה שלא זכר דברי השיטה מקובצת כתובות נ"א שכתב בהדי' בשם הריטב"א ז"ל דהא דקתני לקתה חייב לרפאותה להכי נקט לקתה ולא קתני חלתה לאשמועי' דאם חלתה בפשיעת' אינו חייב לרפאותה ע"ש</w:t>
      </w:r>
      <w:r>
        <w:rPr>
          <w:rFonts w:cs="Arial" w:hint="cs"/>
          <w:rtl/>
        </w:rPr>
        <w:t>, פת"ש (סק"א)</w:t>
      </w:r>
      <w:r w:rsidRPr="00A813FA">
        <w:rPr>
          <w:rFonts w:cs="Arial"/>
          <w:rtl/>
        </w:rPr>
        <w:t>.</w:t>
      </w:r>
    </w:p>
  </w:footnote>
  <w:footnote w:id="594">
    <w:p w14:paraId="068D7CB8" w14:textId="78011138" w:rsidR="00235310" w:rsidRDefault="00235310">
      <w:pPr>
        <w:pStyle w:val="a5"/>
      </w:pPr>
      <w:r>
        <w:rPr>
          <w:rStyle w:val="a7"/>
        </w:rPr>
        <w:footnoteRef/>
      </w:r>
      <w:r>
        <w:rPr>
          <w:rtl/>
        </w:rPr>
        <w:t xml:space="preserve"> </w:t>
      </w:r>
      <w:r w:rsidR="00B75A17">
        <w:rPr>
          <w:rFonts w:hint="cs"/>
          <w:rtl/>
        </w:rPr>
        <w:t>והיינו כפי מה שהיו נמכרים בשוק לעבדים.</w:t>
      </w:r>
    </w:p>
  </w:footnote>
  <w:footnote w:id="595">
    <w:p w14:paraId="29BDA6E0" w14:textId="1115FCFA" w:rsidR="00DE2F5F" w:rsidRDefault="00DE2F5F">
      <w:pPr>
        <w:pStyle w:val="a5"/>
      </w:pPr>
      <w:r>
        <w:rPr>
          <w:rStyle w:val="a7"/>
        </w:rPr>
        <w:footnoteRef/>
      </w:r>
      <w:r>
        <w:rPr>
          <w:rtl/>
        </w:rPr>
        <w:t xml:space="preserve"> </w:t>
      </w:r>
      <w:r>
        <w:rPr>
          <w:rFonts w:hint="cs"/>
          <w:rtl/>
        </w:rPr>
        <w:t>כתב הקו"נ (פ"ד סי' כב אות פ) ש</w:t>
      </w:r>
      <w:r w:rsidRPr="008D61D6">
        <w:rPr>
          <w:rFonts w:cs="Arial"/>
          <w:rtl/>
        </w:rPr>
        <w:t xml:space="preserve">בברייתא </w:t>
      </w:r>
      <w:r>
        <w:rPr>
          <w:rFonts w:cs="Arial" w:hint="cs"/>
          <w:rtl/>
        </w:rPr>
        <w:t xml:space="preserve">זו (ברייתא </w:t>
      </w:r>
      <w:r w:rsidRPr="008D61D6">
        <w:rPr>
          <w:rFonts w:cs="Arial"/>
          <w:rtl/>
        </w:rPr>
        <w:t>קמייתא</w:t>
      </w:r>
      <w:r>
        <w:rPr>
          <w:rFonts w:cs="Arial" w:hint="cs"/>
          <w:rtl/>
        </w:rPr>
        <w:t>)</w:t>
      </w:r>
      <w:r w:rsidRPr="008D61D6">
        <w:rPr>
          <w:rFonts w:cs="Arial"/>
          <w:rtl/>
        </w:rPr>
        <w:t xml:space="preserve"> לא היו</w:t>
      </w:r>
      <w:r>
        <w:rPr>
          <w:rFonts w:cs="Arial" w:hint="cs"/>
          <w:rtl/>
        </w:rPr>
        <w:t xml:space="preserve"> הרי"ף והרא"ש</w:t>
      </w:r>
      <w:r w:rsidRPr="008D61D6">
        <w:rPr>
          <w:rFonts w:cs="Arial"/>
          <w:rtl/>
        </w:rPr>
        <w:t xml:space="preserve"> גורסים </w:t>
      </w:r>
      <w:r>
        <w:rPr>
          <w:rFonts w:cs="Arial" w:hint="cs"/>
          <w:rtl/>
        </w:rPr>
        <w:t>'</w:t>
      </w:r>
      <w:r w:rsidRPr="008D61D6">
        <w:rPr>
          <w:rFonts w:cs="Arial"/>
          <w:rtl/>
        </w:rPr>
        <w:t>דברי רבי</w:t>
      </w:r>
      <w:r>
        <w:rPr>
          <w:rFonts w:cs="Arial" w:hint="cs"/>
          <w:rtl/>
        </w:rPr>
        <w:t>' כמו בברייתא שלאחריה (ברייתא בתרייתא)</w:t>
      </w:r>
      <w:r w:rsidRPr="008D61D6">
        <w:rPr>
          <w:rFonts w:cs="Arial"/>
          <w:rtl/>
        </w:rPr>
        <w:t>. וכפי פירושו של הר"ן ודלא כמ"ש בעל לחם משנה פי"ד דאישות</w:t>
      </w:r>
      <w:r>
        <w:rPr>
          <w:rFonts w:cs="Arial" w:hint="cs"/>
          <w:rtl/>
        </w:rPr>
        <w:t>.</w:t>
      </w:r>
    </w:p>
  </w:footnote>
  <w:footnote w:id="596">
    <w:p w14:paraId="2F5B40ED" w14:textId="37ABBEF5" w:rsidR="001879A3" w:rsidRDefault="001879A3">
      <w:pPr>
        <w:pStyle w:val="a5"/>
      </w:pPr>
      <w:r>
        <w:rPr>
          <w:rStyle w:val="a7"/>
        </w:rPr>
        <w:footnoteRef/>
      </w:r>
      <w:r>
        <w:rPr>
          <w:rtl/>
        </w:rPr>
        <w:t xml:space="preserve"> </w:t>
      </w:r>
      <w:r>
        <w:rPr>
          <w:rFonts w:hint="cs"/>
          <w:rtl/>
        </w:rPr>
        <w:t>סימן - נשבית ב</w:t>
      </w:r>
      <w:r w:rsidR="00C90683">
        <w:rPr>
          <w:rFonts w:hint="cs"/>
          <w:rtl/>
        </w:rPr>
        <w:t>ֵּ</w:t>
      </w:r>
      <w:r>
        <w:rPr>
          <w:rFonts w:hint="cs"/>
          <w:rtl/>
        </w:rPr>
        <w:t>יתו.</w:t>
      </w:r>
      <w:r w:rsidR="00DE23D1">
        <w:rPr>
          <w:rFonts w:hint="cs"/>
          <w:rtl/>
        </w:rPr>
        <w:t xml:space="preserve"> וכן - נפדית בשוויה.</w:t>
      </w:r>
    </w:p>
  </w:footnote>
  <w:footnote w:id="597">
    <w:p w14:paraId="024A808C" w14:textId="77777777" w:rsidR="00DE2F5F" w:rsidRDefault="00DE2F5F" w:rsidP="005703DC">
      <w:pPr>
        <w:pStyle w:val="a5"/>
      </w:pPr>
      <w:r>
        <w:rPr>
          <w:rStyle w:val="a7"/>
        </w:rPr>
        <w:footnoteRef/>
      </w:r>
      <w:r>
        <w:rPr>
          <w:rtl/>
        </w:rPr>
        <w:t xml:space="preserve"> </w:t>
      </w:r>
      <w:r>
        <w:rPr>
          <w:rFonts w:hint="cs"/>
          <w:rtl/>
        </w:rPr>
        <w:t>כך היא גירסת הרי"ף (יט.) הרא"ש (פ"ד סי' כב) והב"י. אך לפנינו ליתא, וגם בגירסת הגר"א [אות ה] לא היו תיבות אלו.</w:t>
      </w:r>
    </w:p>
  </w:footnote>
  <w:footnote w:id="598">
    <w:p w14:paraId="65115897" w14:textId="77777777" w:rsidR="00DE2F5F" w:rsidRDefault="00DE2F5F" w:rsidP="00694CEB">
      <w:pPr>
        <w:pStyle w:val="a5"/>
      </w:pPr>
      <w:r>
        <w:rPr>
          <w:rStyle w:val="a7"/>
        </w:rPr>
        <w:footnoteRef/>
      </w:r>
      <w:r>
        <w:rPr>
          <w:rtl/>
        </w:rPr>
        <w:t xml:space="preserve"> </w:t>
      </w:r>
      <w:r w:rsidRPr="00825FED">
        <w:rPr>
          <w:rFonts w:cs="Arial"/>
          <w:rtl/>
        </w:rPr>
        <w:t>כתנא קמא דהלכה כרבים</w:t>
      </w:r>
      <w:r>
        <w:rPr>
          <w:rFonts w:cs="Arial" w:hint="cs"/>
          <w:rtl/>
        </w:rPr>
        <w:t>,</w:t>
      </w:r>
      <w:r w:rsidRPr="00825FED">
        <w:rPr>
          <w:rFonts w:cs="Arial"/>
          <w:rtl/>
        </w:rPr>
        <w:t xml:space="preserve"> ומתניתין דפרק השולח איירי בשאר שבויים אבל אשתו כגופו וכמו שאדם יכול לפדות עצמו בכל ממונו אשתו נמי כיון דחייב לפדותה מתנאי כתובה כמי שיש לה ממון דמי</w:t>
      </w:r>
      <w:r>
        <w:rPr>
          <w:rFonts w:cs="Arial" w:hint="cs"/>
          <w:rtl/>
        </w:rPr>
        <w:t>,</w:t>
      </w:r>
      <w:r w:rsidRPr="00825FED">
        <w:rPr>
          <w:rFonts w:cs="Arial"/>
          <w:rtl/>
        </w:rPr>
        <w:t xml:space="preserve"> וכן מסתבר</w:t>
      </w:r>
      <w:r>
        <w:rPr>
          <w:rFonts w:cs="Arial" w:hint="cs"/>
          <w:rtl/>
        </w:rPr>
        <w:t>, רא"ש (שם).</w:t>
      </w:r>
    </w:p>
  </w:footnote>
  <w:footnote w:id="599">
    <w:p w14:paraId="229CC330" w14:textId="1300CFBD" w:rsidR="00DE2F5F" w:rsidRDefault="00DE2F5F">
      <w:pPr>
        <w:pStyle w:val="a5"/>
        <w:rPr>
          <w:rtl/>
        </w:rPr>
      </w:pPr>
      <w:r>
        <w:rPr>
          <w:rStyle w:val="a7"/>
        </w:rPr>
        <w:footnoteRef/>
      </w:r>
      <w:r>
        <w:rPr>
          <w:rtl/>
        </w:rPr>
        <w:t xml:space="preserve"> </w:t>
      </w:r>
      <w:r w:rsidRPr="00825FED">
        <w:rPr>
          <w:rFonts w:cs="Arial"/>
          <w:rtl/>
        </w:rPr>
        <w:t>כרבן שמעון בן גמליאל משום דסתם מתניתין דפרק השולח (גיטין מה.) אתיא כוותיה</w:t>
      </w:r>
      <w:r>
        <w:rPr>
          <w:rFonts w:hint="cs"/>
          <w:rtl/>
        </w:rPr>
        <w:t>, ב"י.</w:t>
      </w:r>
    </w:p>
  </w:footnote>
  <w:footnote w:id="600">
    <w:p w14:paraId="202D407C" w14:textId="697F6BA6" w:rsidR="00DE2F5F" w:rsidRDefault="00DE2F5F">
      <w:pPr>
        <w:pStyle w:val="a5"/>
      </w:pPr>
      <w:r>
        <w:rPr>
          <w:rStyle w:val="a7"/>
        </w:rPr>
        <w:footnoteRef/>
      </w:r>
      <w:r>
        <w:rPr>
          <w:rtl/>
        </w:rPr>
        <w:t xml:space="preserve"> </w:t>
      </w:r>
      <w:r w:rsidRPr="0026573C">
        <w:rPr>
          <w:rFonts w:cs="Arial"/>
          <w:rtl/>
        </w:rPr>
        <w:t>ועיין בי</w:t>
      </w:r>
      <w:r>
        <w:rPr>
          <w:rFonts w:cs="Arial" w:hint="cs"/>
          <w:rtl/>
        </w:rPr>
        <w:t>ו</w:t>
      </w:r>
      <w:r w:rsidRPr="0026573C">
        <w:rPr>
          <w:rFonts w:cs="Arial"/>
          <w:rtl/>
        </w:rPr>
        <w:t>"ד סי' רנב שם איתא כששניהם בשביה היא קודם לפדות</w:t>
      </w:r>
      <w:r>
        <w:rPr>
          <w:rFonts w:cs="Arial" w:hint="cs"/>
          <w:rtl/>
        </w:rPr>
        <w:t>,</w:t>
      </w:r>
      <w:r w:rsidRPr="0026573C">
        <w:rPr>
          <w:rFonts w:cs="Arial"/>
          <w:rtl/>
        </w:rPr>
        <w:t xml:space="preserve"> נראה אפילו יותר מכדי דמיה היא קודם אע</w:t>
      </w:r>
      <w:r>
        <w:rPr>
          <w:rFonts w:cs="Arial" w:hint="cs"/>
          <w:rtl/>
        </w:rPr>
        <w:t>"</w:t>
      </w:r>
      <w:r w:rsidRPr="0026573C">
        <w:rPr>
          <w:rFonts w:cs="Arial"/>
          <w:rtl/>
        </w:rPr>
        <w:t>ג יותר מכדי דמיה אין היתר לפדות</w:t>
      </w:r>
      <w:r>
        <w:rPr>
          <w:rFonts w:cs="Arial" w:hint="cs"/>
          <w:rtl/>
        </w:rPr>
        <w:t>,</w:t>
      </w:r>
      <w:r w:rsidRPr="0026573C">
        <w:rPr>
          <w:rFonts w:cs="Arial"/>
          <w:rtl/>
        </w:rPr>
        <w:t xml:space="preserve"> אלא הואיל היא כגופו והוא גם כן בשביה מ"מ הואיל שמוטל עליו לפדות' חייב אפי' יותר מכדי דמיה</w:t>
      </w:r>
      <w:r>
        <w:rPr>
          <w:rFonts w:cs="Arial" w:hint="cs"/>
          <w:rtl/>
        </w:rPr>
        <w:t>, ב"ש</w:t>
      </w:r>
      <w:r w:rsidRPr="0026573C">
        <w:rPr>
          <w:rFonts w:cs="Arial" w:hint="cs"/>
          <w:sz w:val="16"/>
          <w:szCs w:val="16"/>
          <w:rtl/>
        </w:rPr>
        <w:t xml:space="preserve"> (סק"ב)</w:t>
      </w:r>
      <w:r>
        <w:rPr>
          <w:rFonts w:cs="Arial" w:hint="cs"/>
          <w:rtl/>
        </w:rPr>
        <w:t>.</w:t>
      </w:r>
    </w:p>
  </w:footnote>
  <w:footnote w:id="601">
    <w:p w14:paraId="14FDA907" w14:textId="7B86022A" w:rsidR="00DE2F5F" w:rsidRDefault="00DE2F5F">
      <w:pPr>
        <w:pStyle w:val="a5"/>
      </w:pPr>
      <w:r>
        <w:rPr>
          <w:rStyle w:val="a7"/>
        </w:rPr>
        <w:footnoteRef/>
      </w:r>
      <w:r>
        <w:rPr>
          <w:rtl/>
        </w:rPr>
        <w:t xml:space="preserve"> </w:t>
      </w:r>
      <w:r w:rsidRPr="00E877C8">
        <w:rPr>
          <w:rFonts w:cs="Arial"/>
          <w:rtl/>
        </w:rPr>
        <w:t>עיין ביורה דעה (סוף) סימן רנ"ב איש ואשתו שבויין אי ב"ד יורדין לנכסיו ופודין האשה</w:t>
      </w:r>
      <w:r>
        <w:rPr>
          <w:rFonts w:cs="Arial" w:hint="cs"/>
          <w:rtl/>
        </w:rPr>
        <w:t>, דרכ"מ (אות ב).</w:t>
      </w:r>
    </w:p>
  </w:footnote>
  <w:footnote w:id="602">
    <w:p w14:paraId="0FFDA007" w14:textId="5C5445E7" w:rsidR="00DE2F5F" w:rsidRDefault="00DE2F5F">
      <w:pPr>
        <w:pStyle w:val="a5"/>
      </w:pPr>
      <w:r>
        <w:rPr>
          <w:rStyle w:val="a7"/>
        </w:rPr>
        <w:footnoteRef/>
      </w:r>
      <w:r>
        <w:rPr>
          <w:rtl/>
        </w:rPr>
        <w:t xml:space="preserve"> </w:t>
      </w:r>
      <w:r w:rsidRPr="00F44CF9">
        <w:rPr>
          <w:rFonts w:cs="Arial"/>
          <w:rtl/>
        </w:rPr>
        <w:t>היינו דעת הרי"ף והרמב"ם דפסקו כרשב"ג דאין פודין את השבוי' יותר מכדי דמיהם לפ"ז אסור לפדותה יותר מכדי דמיהם והא דכתב בלשון אין מחייבים משום דאתי לאשמעי' בכדי דמיה חייב לפדות</w:t>
      </w:r>
      <w:r>
        <w:rPr>
          <w:rFonts w:cs="Arial" w:hint="cs"/>
          <w:rtl/>
        </w:rPr>
        <w:t>, ב"ש (סק"ב).</w:t>
      </w:r>
    </w:p>
  </w:footnote>
  <w:footnote w:id="603">
    <w:p w14:paraId="2C8C92E8" w14:textId="08D471FA" w:rsidR="00DE2F5F" w:rsidRDefault="00DE2F5F">
      <w:pPr>
        <w:pStyle w:val="a5"/>
      </w:pPr>
      <w:r>
        <w:rPr>
          <w:rStyle w:val="a7"/>
        </w:rPr>
        <w:footnoteRef/>
      </w:r>
      <w:r>
        <w:rPr>
          <w:rtl/>
        </w:rPr>
        <w:t xml:space="preserve"> </w:t>
      </w:r>
      <w:r w:rsidRPr="00F44CF9">
        <w:rPr>
          <w:rFonts w:cs="Arial"/>
          <w:rtl/>
        </w:rPr>
        <w:t>היינו חייב לפדות כי מאחר דאין איסור בדבר מחויב הוא לפדות</w:t>
      </w:r>
      <w:r>
        <w:rPr>
          <w:rFonts w:hint="cs"/>
          <w:rtl/>
        </w:rPr>
        <w:t xml:space="preserve">, </w:t>
      </w:r>
      <w:r>
        <w:rPr>
          <w:rFonts w:cs="Arial" w:hint="cs"/>
          <w:rtl/>
        </w:rPr>
        <w:t>ב"ש (סק"ב).</w:t>
      </w:r>
      <w:r>
        <w:rPr>
          <w:rFonts w:hint="cs"/>
          <w:rtl/>
        </w:rPr>
        <w:t xml:space="preserve"> וכ"כ </w:t>
      </w:r>
      <w:r>
        <w:rPr>
          <w:rFonts w:cs="Arial" w:hint="cs"/>
          <w:rtl/>
        </w:rPr>
        <w:t xml:space="preserve">הט"ז (סק"א) </w:t>
      </w:r>
      <w:r>
        <w:rPr>
          <w:rFonts w:hint="cs"/>
          <w:rtl/>
        </w:rPr>
        <w:t>והגר"א (אות ד).</w:t>
      </w:r>
    </w:p>
  </w:footnote>
  <w:footnote w:id="604">
    <w:p w14:paraId="40699163" w14:textId="6CE8D62B" w:rsidR="00DE2F5F" w:rsidRDefault="00DE2F5F">
      <w:pPr>
        <w:pStyle w:val="a5"/>
      </w:pPr>
      <w:r>
        <w:rPr>
          <w:rStyle w:val="a7"/>
        </w:rPr>
        <w:footnoteRef/>
      </w:r>
      <w:r>
        <w:rPr>
          <w:rtl/>
        </w:rPr>
        <w:t xml:space="preserve"> </w:t>
      </w:r>
      <w:r>
        <w:rPr>
          <w:rFonts w:hint="cs"/>
          <w:rtl/>
        </w:rPr>
        <w:t xml:space="preserve">והיינו בפעם הראשונה שנשבית, אבל אם נשבתה עוד פעם יתבאר משפטה בהג"ה בסע' הבא. </w:t>
      </w:r>
    </w:p>
  </w:footnote>
  <w:footnote w:id="605">
    <w:p w14:paraId="5D21422B" w14:textId="50282C37" w:rsidR="00DE23D1" w:rsidRDefault="00DE23D1" w:rsidP="00DE23D1">
      <w:pPr>
        <w:pStyle w:val="a5"/>
      </w:pPr>
      <w:r>
        <w:rPr>
          <w:rStyle w:val="a7"/>
        </w:rPr>
        <w:footnoteRef/>
      </w:r>
      <w:r>
        <w:rPr>
          <w:rtl/>
        </w:rPr>
        <w:t xml:space="preserve"> </w:t>
      </w:r>
      <w:r>
        <w:rPr>
          <w:rFonts w:hint="cs"/>
          <w:rtl/>
        </w:rPr>
        <w:t>סימן - נשבית בֵּיתו.</w:t>
      </w:r>
      <w:r w:rsidRPr="00DE23D1">
        <w:rPr>
          <w:rFonts w:hint="cs"/>
          <w:rtl/>
        </w:rPr>
        <w:t xml:space="preserve"> </w:t>
      </w:r>
      <w:r>
        <w:rPr>
          <w:rFonts w:hint="cs"/>
          <w:rtl/>
        </w:rPr>
        <w:t>וכן - נפדית בשוויה.</w:t>
      </w:r>
    </w:p>
  </w:footnote>
  <w:footnote w:id="606">
    <w:p w14:paraId="77804100" w14:textId="359BF597" w:rsidR="00DE2F5F" w:rsidRDefault="00DE2F5F">
      <w:pPr>
        <w:pStyle w:val="a5"/>
      </w:pPr>
      <w:r>
        <w:rPr>
          <w:rStyle w:val="a7"/>
        </w:rPr>
        <w:footnoteRef/>
      </w:r>
      <w:r>
        <w:rPr>
          <w:rtl/>
        </w:rPr>
        <w:t xml:space="preserve"> </w:t>
      </w:r>
      <w:r>
        <w:rPr>
          <w:rFonts w:hint="cs"/>
          <w:rtl/>
        </w:rPr>
        <w:t>כך היא גירסת הרי"ף (יט.) הרא"ש (פ"ד סי' כב) והב"י. אך לפנינו ליתא, וגם בגירסת הגר"א [אות ה] לא היו תיבות אלו.</w:t>
      </w:r>
    </w:p>
  </w:footnote>
  <w:footnote w:id="607">
    <w:p w14:paraId="5DC8FEBD" w14:textId="38799CAA" w:rsidR="00847267" w:rsidRDefault="00847267" w:rsidP="00847267">
      <w:pPr>
        <w:pStyle w:val="a5"/>
      </w:pPr>
      <w:r>
        <w:rPr>
          <w:rStyle w:val="a7"/>
        </w:rPr>
        <w:footnoteRef/>
      </w:r>
      <w:r>
        <w:rPr>
          <w:rtl/>
        </w:rPr>
        <w:t xml:space="preserve"> </w:t>
      </w:r>
      <w:r>
        <w:rPr>
          <w:rFonts w:cs="Arial"/>
          <w:rtl/>
        </w:rPr>
        <w:t>ונראה דדוקא ברוצה לגרשה אבל אם אינו רוצה לגרשה אינו חייב ליתן לה כתובתה לפדות עצמה</w:t>
      </w:r>
      <w:r>
        <w:rPr>
          <w:rFonts w:cs="Arial" w:hint="cs"/>
          <w:rtl/>
        </w:rPr>
        <w:t xml:space="preserve">, </w:t>
      </w:r>
      <w:r w:rsidRPr="00F55F45">
        <w:rPr>
          <w:rFonts w:cs="Arial" w:hint="cs"/>
          <w:b/>
          <w:bCs/>
          <w:rtl/>
        </w:rPr>
        <w:t>ב"י</w:t>
      </w:r>
      <w:r>
        <w:rPr>
          <w:rFonts w:cs="Arial" w:hint="cs"/>
          <w:rtl/>
        </w:rPr>
        <w:t>.</w:t>
      </w:r>
      <w:r w:rsidR="00F55F45">
        <w:rPr>
          <w:rFonts w:hint="cs"/>
          <w:rtl/>
        </w:rPr>
        <w:t xml:space="preserve">     </w:t>
      </w:r>
      <w:r>
        <w:rPr>
          <w:rFonts w:hint="cs"/>
          <w:rtl/>
        </w:rPr>
        <w:t xml:space="preserve"> אך </w:t>
      </w:r>
      <w:r w:rsidRPr="00F55F45">
        <w:rPr>
          <w:rFonts w:hint="cs"/>
          <w:b/>
          <w:bCs/>
          <w:rtl/>
        </w:rPr>
        <w:t>הב"ש</w:t>
      </w:r>
      <w:r>
        <w:rPr>
          <w:rFonts w:hint="cs"/>
          <w:rtl/>
        </w:rPr>
        <w:t xml:space="preserve"> (סק"ד) כתב </w:t>
      </w:r>
      <w:r>
        <w:rPr>
          <w:rFonts w:cs="Arial" w:hint="cs"/>
          <w:rtl/>
        </w:rPr>
        <w:t>ד</w:t>
      </w:r>
      <w:r w:rsidRPr="00A8046B">
        <w:rPr>
          <w:rFonts w:cs="Arial"/>
          <w:rtl/>
        </w:rPr>
        <w:t>יותר מסתבר לרמב"ם אם אינו רוצה לגרש חייב לפדותה אפי' בפעם השני וכ"כ בדרישה וב"ח</w:t>
      </w:r>
      <w:r>
        <w:rPr>
          <w:rFonts w:cs="Arial" w:hint="cs"/>
          <w:rtl/>
        </w:rPr>
        <w:t>.</w:t>
      </w:r>
    </w:p>
  </w:footnote>
  <w:footnote w:id="608">
    <w:p w14:paraId="78D8CB09" w14:textId="13A5FE63" w:rsidR="00DE2F5F" w:rsidRDefault="00DE2F5F">
      <w:pPr>
        <w:pStyle w:val="a5"/>
        <w:rPr>
          <w:rtl/>
        </w:rPr>
      </w:pPr>
      <w:r>
        <w:rPr>
          <w:rStyle w:val="a7"/>
        </w:rPr>
        <w:footnoteRef/>
      </w:r>
      <w:r>
        <w:rPr>
          <w:rtl/>
        </w:rPr>
        <w:t xml:space="preserve"> </w:t>
      </w:r>
      <w:r w:rsidRPr="00AA5BF9">
        <w:rPr>
          <w:rFonts w:cs="Arial"/>
          <w:rtl/>
        </w:rPr>
        <w:t>כן הוא לכל הפוסקים</w:t>
      </w:r>
      <w:r>
        <w:rPr>
          <w:rFonts w:cs="Arial" w:hint="cs"/>
          <w:rtl/>
        </w:rPr>
        <w:t>,</w:t>
      </w:r>
      <w:r w:rsidRPr="00AA5BF9">
        <w:rPr>
          <w:rFonts w:cs="Arial"/>
          <w:rtl/>
        </w:rPr>
        <w:t xml:space="preserve"> אלא בש"ג פסק כרשב"ג</w:t>
      </w:r>
      <w:r>
        <w:rPr>
          <w:rFonts w:cs="Arial" w:hint="cs"/>
          <w:rtl/>
        </w:rPr>
        <w:t>.</w:t>
      </w:r>
      <w:r w:rsidRPr="00AA5BF9">
        <w:rPr>
          <w:rFonts w:cs="Arial"/>
          <w:rtl/>
        </w:rPr>
        <w:t xml:space="preserve"> וכדי דמיה היינו כפי שראוי' למכור בשוק לשפחה</w:t>
      </w:r>
      <w:r>
        <w:rPr>
          <w:rFonts w:hint="cs"/>
          <w:rtl/>
        </w:rPr>
        <w:t>, ב"ש (סק"ג).</w:t>
      </w:r>
    </w:p>
  </w:footnote>
  <w:footnote w:id="609">
    <w:p w14:paraId="07A7E435" w14:textId="50E02AF0" w:rsidR="00DE2F5F" w:rsidRDefault="00DE2F5F">
      <w:pPr>
        <w:pStyle w:val="a5"/>
        <w:rPr>
          <w:rtl/>
        </w:rPr>
      </w:pPr>
      <w:r>
        <w:rPr>
          <w:rStyle w:val="a7"/>
        </w:rPr>
        <w:footnoteRef/>
      </w:r>
      <w:r>
        <w:rPr>
          <w:rtl/>
        </w:rPr>
        <w:t xml:space="preserve"> </w:t>
      </w:r>
      <w:r w:rsidRPr="002E1473">
        <w:rPr>
          <w:rFonts w:cs="Arial"/>
          <w:rtl/>
        </w:rPr>
        <w:t>יש לדקדק מאי אתא לאשמועינן וכי עד השת' לא ידעינן שהרשות ביד האיש לגרש אשתו ומהי תיתי שלא יתן לה כתוב' כשיגרשנ'</w:t>
      </w:r>
      <w:r>
        <w:rPr>
          <w:rFonts w:cs="Arial" w:hint="cs"/>
          <w:rtl/>
        </w:rPr>
        <w:t>.</w:t>
      </w:r>
      <w:r w:rsidRPr="002E1473">
        <w:rPr>
          <w:rFonts w:cs="Arial"/>
          <w:rtl/>
        </w:rPr>
        <w:t xml:space="preserve"> ע</w:t>
      </w:r>
      <w:r>
        <w:rPr>
          <w:rFonts w:cs="Arial" w:hint="cs"/>
          <w:rtl/>
        </w:rPr>
        <w:t xml:space="preserve">ל </w:t>
      </w:r>
      <w:r w:rsidRPr="002E1473">
        <w:rPr>
          <w:rFonts w:cs="Arial"/>
          <w:rtl/>
        </w:rPr>
        <w:t>כ</w:t>
      </w:r>
      <w:r>
        <w:rPr>
          <w:rFonts w:cs="Arial" w:hint="cs"/>
          <w:rtl/>
        </w:rPr>
        <w:t>ן</w:t>
      </w:r>
      <w:r w:rsidRPr="002E1473">
        <w:rPr>
          <w:rFonts w:cs="Arial"/>
          <w:rtl/>
        </w:rPr>
        <w:t xml:space="preserve"> היה נ</w:t>
      </w:r>
      <w:r>
        <w:rPr>
          <w:rFonts w:cs="Arial" w:hint="cs"/>
          <w:rtl/>
        </w:rPr>
        <w:t>ראה</w:t>
      </w:r>
      <w:r w:rsidRPr="002E1473">
        <w:rPr>
          <w:rFonts w:cs="Arial"/>
          <w:rtl/>
        </w:rPr>
        <w:t xml:space="preserve"> דדעת הרמב"ם דאף שאין כופין אותו לפדותה פעם שנית מ"מ תוכל לו</w:t>
      </w:r>
      <w:r>
        <w:rPr>
          <w:rFonts w:cs="Arial" w:hint="cs"/>
          <w:rtl/>
        </w:rPr>
        <w:t>מר</w:t>
      </w:r>
      <w:r w:rsidRPr="002E1473">
        <w:rPr>
          <w:rFonts w:cs="Arial"/>
          <w:rtl/>
        </w:rPr>
        <w:t xml:space="preserve"> לו </w:t>
      </w:r>
      <w:r>
        <w:rPr>
          <w:rFonts w:cs="Arial" w:hint="cs"/>
          <w:rtl/>
        </w:rPr>
        <w:t>'</w:t>
      </w:r>
      <w:r w:rsidRPr="002E1473">
        <w:rPr>
          <w:rFonts w:cs="Arial"/>
          <w:rtl/>
        </w:rPr>
        <w:t>או תפדני או תגרשני ותתן לי כתובתי</w:t>
      </w:r>
      <w:r>
        <w:rPr>
          <w:rFonts w:cs="Arial" w:hint="cs"/>
          <w:rtl/>
        </w:rPr>
        <w:t>'</w:t>
      </w:r>
      <w:r w:rsidRPr="002E1473">
        <w:rPr>
          <w:rFonts w:cs="Arial"/>
          <w:rtl/>
        </w:rPr>
        <w:t xml:space="preserve"> ואחד משתים צריך לקיים לה</w:t>
      </w:r>
      <w:r>
        <w:rPr>
          <w:rFonts w:cs="Arial" w:hint="cs"/>
          <w:rtl/>
        </w:rPr>
        <w:t>.</w:t>
      </w:r>
      <w:r w:rsidRPr="002E1473">
        <w:rPr>
          <w:rFonts w:cs="Arial"/>
          <w:rtl/>
        </w:rPr>
        <w:t xml:space="preserve"> אבל הב"י לא כ</w:t>
      </w:r>
      <w:r>
        <w:rPr>
          <w:rFonts w:cs="Arial" w:hint="cs"/>
          <w:rtl/>
        </w:rPr>
        <w:t xml:space="preserve">תב </w:t>
      </w:r>
      <w:r w:rsidRPr="002E1473">
        <w:rPr>
          <w:rFonts w:cs="Arial"/>
          <w:rtl/>
        </w:rPr>
        <w:t>כך</w:t>
      </w:r>
      <w:r>
        <w:rPr>
          <w:rFonts w:cs="Arial" w:hint="cs"/>
          <w:rtl/>
        </w:rPr>
        <w:t>,</w:t>
      </w:r>
      <w:r w:rsidRPr="002E1473">
        <w:rPr>
          <w:rFonts w:cs="Arial"/>
          <w:rtl/>
        </w:rPr>
        <w:t xml:space="preserve"> וכ"כ הר' מהרמ"ה בהג"ה</w:t>
      </w:r>
      <w:r>
        <w:rPr>
          <w:rFonts w:cs="Arial" w:hint="cs"/>
          <w:rtl/>
        </w:rPr>
        <w:t>.</w:t>
      </w:r>
      <w:r w:rsidRPr="002E1473">
        <w:rPr>
          <w:rFonts w:cs="Arial"/>
          <w:rtl/>
        </w:rPr>
        <w:t xml:space="preserve"> ולי נר</w:t>
      </w:r>
      <w:r>
        <w:rPr>
          <w:rFonts w:cs="Arial" w:hint="cs"/>
          <w:rtl/>
        </w:rPr>
        <w:t>אה</w:t>
      </w:r>
      <w:r w:rsidRPr="002E1473">
        <w:rPr>
          <w:rFonts w:cs="Arial"/>
          <w:rtl/>
        </w:rPr>
        <w:t xml:space="preserve"> כמו שכתבתי</w:t>
      </w:r>
      <w:r>
        <w:rPr>
          <w:rFonts w:cs="Arial" w:hint="cs"/>
          <w:rtl/>
        </w:rPr>
        <w:t>,</w:t>
      </w:r>
      <w:r w:rsidRPr="002E1473">
        <w:rPr>
          <w:rFonts w:cs="Arial"/>
          <w:rtl/>
        </w:rPr>
        <w:t xml:space="preserve"> וכן ראיתי אחר כך בב"ח</w:t>
      </w:r>
      <w:r>
        <w:rPr>
          <w:rFonts w:hint="cs"/>
          <w:rtl/>
        </w:rPr>
        <w:t>, ח"מ (סק"ד).</w:t>
      </w:r>
      <w:r>
        <w:rPr>
          <w:rFonts w:cs="Arial" w:hint="cs"/>
          <w:rtl/>
        </w:rPr>
        <w:t xml:space="preserve"> וגם הב"ש (סק"ד) כתב שכך יותר מסתבר לפרש את דברי הרמב"ם...</w:t>
      </w:r>
      <w:r w:rsidRPr="00AA5BF9">
        <w:rPr>
          <w:rFonts w:cs="Arial"/>
          <w:rtl/>
        </w:rPr>
        <w:t xml:space="preserve"> וכ"כ בדרישה</w:t>
      </w:r>
      <w:r>
        <w:rPr>
          <w:rFonts w:cs="Arial" w:hint="cs"/>
          <w:rtl/>
        </w:rPr>
        <w:t>...</w:t>
      </w:r>
      <w:r w:rsidRPr="00AA5BF9">
        <w:rPr>
          <w:rFonts w:cs="Arial"/>
          <w:rtl/>
        </w:rPr>
        <w:t xml:space="preserve"> מיהו הפסק של הרב בהג"ה שפיר משום רש"י והרא"ש ס"ל דאינו חייב לפדותה בפעם שני</w:t>
      </w:r>
      <w:r>
        <w:rPr>
          <w:rFonts w:cs="Arial" w:hint="cs"/>
          <w:rtl/>
        </w:rPr>
        <w:t xml:space="preserve"> </w:t>
      </w:r>
      <w:r w:rsidRPr="002E1473">
        <w:rPr>
          <w:rFonts w:cs="Arial" w:hint="cs"/>
          <w:sz w:val="16"/>
          <w:szCs w:val="16"/>
          <w:rtl/>
        </w:rPr>
        <w:t>[עכ"ל הב"ש]</w:t>
      </w:r>
      <w:r>
        <w:rPr>
          <w:rFonts w:cs="Arial" w:hint="cs"/>
          <w:rtl/>
        </w:rPr>
        <w:t>.</w:t>
      </w:r>
    </w:p>
  </w:footnote>
  <w:footnote w:id="610">
    <w:p w14:paraId="2C05090D" w14:textId="5A13E734" w:rsidR="00DE2F5F" w:rsidRDefault="00DE2F5F">
      <w:pPr>
        <w:pStyle w:val="a5"/>
      </w:pPr>
      <w:r>
        <w:rPr>
          <w:rStyle w:val="a7"/>
        </w:rPr>
        <w:footnoteRef/>
      </w:r>
      <w:r>
        <w:rPr>
          <w:rtl/>
        </w:rPr>
        <w:t xml:space="preserve"> </w:t>
      </w:r>
      <w:r w:rsidRPr="00E877C8">
        <w:rPr>
          <w:rFonts w:cs="Arial"/>
          <w:rtl/>
        </w:rPr>
        <w:t>זה פשוט שכל מה שהוא תנאי בית דין אפילו שלא בפניו יורדין לנכסיו ובפירוש אמרו בגמרא (מח.) שיורדין לנכסיו שלא בפניו כדי לקברה</w:t>
      </w:r>
      <w:r w:rsidR="002541F6">
        <w:rPr>
          <w:rFonts w:cs="Arial" w:hint="cs"/>
          <w:rtl/>
        </w:rPr>
        <w:t>.</w:t>
      </w:r>
      <w:r w:rsidRPr="00E877C8">
        <w:rPr>
          <w:rFonts w:cs="Arial"/>
          <w:rtl/>
        </w:rPr>
        <w:t xml:space="preserve"> ומ"ש שמוכרין בהכרזה</w:t>
      </w:r>
      <w:r w:rsidR="002541F6">
        <w:rPr>
          <w:rFonts w:cs="Arial" w:hint="cs"/>
          <w:rtl/>
        </w:rPr>
        <w:t>,</w:t>
      </w:r>
      <w:r w:rsidRPr="00E877C8">
        <w:rPr>
          <w:rFonts w:cs="Arial"/>
          <w:rtl/>
        </w:rPr>
        <w:t xml:space="preserve"> לפי שכל מכירות בית דין הם בהכרזה</w:t>
      </w:r>
      <w:r w:rsidR="002541F6">
        <w:rPr>
          <w:rFonts w:cs="Arial" w:hint="cs"/>
          <w:rtl/>
        </w:rPr>
        <w:t>,</w:t>
      </w:r>
      <w:r w:rsidRPr="00E877C8">
        <w:rPr>
          <w:rFonts w:cs="Arial"/>
          <w:rtl/>
        </w:rPr>
        <w:t xml:space="preserve"> ולא מיעטו מהם אלא כרגא ומזוני וקבורה כדאיתא בפרק אלמנה נזונת (ק:)</w:t>
      </w:r>
      <w:r w:rsidR="002541F6">
        <w:rPr>
          <w:rFonts w:cs="Arial" w:hint="cs"/>
          <w:rtl/>
        </w:rPr>
        <w:t>,</w:t>
      </w:r>
      <w:r w:rsidRPr="00E877C8">
        <w:rPr>
          <w:rFonts w:cs="Arial"/>
          <w:rtl/>
        </w:rPr>
        <w:t xml:space="preserve"> וענין ההכרזה מבואר בהלכות מלוה ולוה (פי"ב ה"ח)</w:t>
      </w:r>
      <w:r>
        <w:rPr>
          <w:rFonts w:cs="Arial" w:hint="cs"/>
          <w:rtl/>
        </w:rPr>
        <w:t>, הה"מ (שם).</w:t>
      </w:r>
    </w:p>
  </w:footnote>
  <w:footnote w:id="611">
    <w:p w14:paraId="3DDAD305" w14:textId="4C5559A2" w:rsidR="00DE2F5F" w:rsidRDefault="00DE2F5F">
      <w:pPr>
        <w:pStyle w:val="a5"/>
        <w:rPr>
          <w:rtl/>
        </w:rPr>
      </w:pPr>
      <w:r>
        <w:rPr>
          <w:rStyle w:val="a7"/>
        </w:rPr>
        <w:footnoteRef/>
      </w:r>
      <w:r>
        <w:rPr>
          <w:rtl/>
        </w:rPr>
        <w:t xml:space="preserve"> </w:t>
      </w:r>
      <w:r w:rsidRPr="00E877C8">
        <w:rPr>
          <w:rFonts w:cs="Arial"/>
          <w:rtl/>
        </w:rPr>
        <w:t>ודבריו צ"ע</w:t>
      </w:r>
      <w:r>
        <w:rPr>
          <w:rFonts w:hint="cs"/>
          <w:rtl/>
        </w:rPr>
        <w:t>, ב"י.</w:t>
      </w:r>
    </w:p>
  </w:footnote>
  <w:footnote w:id="612">
    <w:p w14:paraId="5CB09939" w14:textId="48973B0E" w:rsidR="00F471A5" w:rsidRDefault="00F471A5">
      <w:pPr>
        <w:pStyle w:val="a5"/>
      </w:pPr>
      <w:r>
        <w:rPr>
          <w:rStyle w:val="a7"/>
        </w:rPr>
        <w:footnoteRef/>
      </w:r>
      <w:r>
        <w:rPr>
          <w:rtl/>
        </w:rPr>
        <w:t xml:space="preserve"> </w:t>
      </w:r>
      <w:r>
        <w:rPr>
          <w:rFonts w:hint="cs"/>
          <w:rtl/>
        </w:rPr>
        <w:t>סימן - נשבית אסורה.</w:t>
      </w:r>
    </w:p>
  </w:footnote>
  <w:footnote w:id="613">
    <w:p w14:paraId="7AD877D1" w14:textId="79B3AE8D" w:rsidR="00DE2F5F" w:rsidRDefault="00DE2F5F">
      <w:pPr>
        <w:pStyle w:val="a5"/>
        <w:rPr>
          <w:rtl/>
        </w:rPr>
      </w:pPr>
      <w:r>
        <w:rPr>
          <w:rStyle w:val="a7"/>
        </w:rPr>
        <w:footnoteRef/>
      </w:r>
      <w:r>
        <w:rPr>
          <w:rtl/>
        </w:rPr>
        <w:t xml:space="preserve"> </w:t>
      </w:r>
      <w:r w:rsidRPr="00120A70">
        <w:rPr>
          <w:rFonts w:cs="Arial"/>
          <w:rtl/>
        </w:rPr>
        <w:t>ויש לתמוה על רבינו למה כתב דין זה בשם הרמב"ם כאילו מפי הרמב"ם אנו חיים בדין זה</w:t>
      </w:r>
      <w:r w:rsidR="00F84CD2">
        <w:rPr>
          <w:rFonts w:cs="Arial" w:hint="cs"/>
          <w:rtl/>
        </w:rPr>
        <w:t>,</w:t>
      </w:r>
      <w:r w:rsidRPr="00120A70">
        <w:rPr>
          <w:rFonts w:cs="Arial"/>
          <w:rtl/>
        </w:rPr>
        <w:t xml:space="preserve"> והוא דבר מבואר בגמרא פרק נערה שנתפתתה (נב.) שהוא פלוגתא דרבי אליעזר ורבי יהושע</w:t>
      </w:r>
      <w:r w:rsidR="00F84CD2">
        <w:rPr>
          <w:rFonts w:cs="Arial" w:hint="cs"/>
          <w:rtl/>
        </w:rPr>
        <w:t>,</w:t>
      </w:r>
      <w:r w:rsidRPr="00120A70">
        <w:rPr>
          <w:rFonts w:cs="Arial"/>
          <w:rtl/>
        </w:rPr>
        <w:t xml:space="preserve"> ופסק כרבי יהושע</w:t>
      </w:r>
      <w:r>
        <w:rPr>
          <w:rFonts w:cs="Arial" w:hint="cs"/>
          <w:rtl/>
        </w:rPr>
        <w:t>.</w:t>
      </w:r>
      <w:r w:rsidRPr="00120A70">
        <w:rPr>
          <w:rFonts w:cs="Arial"/>
          <w:rtl/>
        </w:rPr>
        <w:t xml:space="preserve"> ואולי שמפני שהרי"ף והרא"ש השמיטוהו כתבו בשם הרמב"ם</w:t>
      </w:r>
      <w:r>
        <w:rPr>
          <w:rFonts w:cs="Arial" w:hint="cs"/>
          <w:rtl/>
        </w:rPr>
        <w:t>.</w:t>
      </w:r>
      <w:r w:rsidRPr="00120A70">
        <w:rPr>
          <w:rFonts w:cs="Arial"/>
          <w:rtl/>
        </w:rPr>
        <w:t xml:space="preserve"> וצריך ליתן טעם למה השמיטו הרי"ף והרא"ש דין זה</w:t>
      </w:r>
      <w:r>
        <w:rPr>
          <w:rFonts w:cs="Arial" w:hint="cs"/>
          <w:rtl/>
        </w:rPr>
        <w:t>.</w:t>
      </w:r>
      <w:r w:rsidRPr="00120A70">
        <w:rPr>
          <w:rFonts w:cs="Arial"/>
          <w:rtl/>
        </w:rPr>
        <w:t xml:space="preserve"> ונראה לי לומר דמשמע להו דבכלל דברי רבא הוא דאמר כל שאיסור דבר אחר גורם לה אינו חייב לפדותה</w:t>
      </w:r>
      <w:r>
        <w:rPr>
          <w:rFonts w:cs="Arial" w:hint="cs"/>
          <w:rtl/>
        </w:rPr>
        <w:t>.</w:t>
      </w:r>
      <w:r w:rsidRPr="00120A70">
        <w:rPr>
          <w:rFonts w:cs="Arial"/>
          <w:rtl/>
        </w:rPr>
        <w:t xml:space="preserve"> </w:t>
      </w:r>
      <w:r w:rsidRPr="00891804">
        <w:rPr>
          <w:rFonts w:cs="Arial" w:hint="cs"/>
          <w:sz w:val="16"/>
          <w:szCs w:val="16"/>
          <w:rtl/>
        </w:rPr>
        <w:t>(</w:t>
      </w:r>
      <w:r w:rsidRPr="00891804">
        <w:rPr>
          <w:rFonts w:cs="Arial"/>
          <w:sz w:val="16"/>
          <w:szCs w:val="16"/>
          <w:rtl/>
        </w:rPr>
        <w:t>אבל הר"ן (יט. סוף דיבור ראשון) כתב שיש אומרים שכיון שהרי"ף השמיט זה משמע דלא ס"ל הכי</w:t>
      </w:r>
      <w:r w:rsidRPr="00891804">
        <w:rPr>
          <w:rFonts w:cs="Arial" w:hint="cs"/>
          <w:sz w:val="16"/>
          <w:szCs w:val="16"/>
          <w:rtl/>
        </w:rPr>
        <w:t>,</w:t>
      </w:r>
      <w:r w:rsidRPr="00891804">
        <w:rPr>
          <w:rFonts w:cs="Arial"/>
          <w:sz w:val="16"/>
          <w:szCs w:val="16"/>
          <w:rtl/>
        </w:rPr>
        <w:t xml:space="preserve"> וטעמא משום דבפרק המדיר פסק בנדרה היא וקיים לה הוא כמאן דאמר הוא נתן אצבע בין שיניה</w:t>
      </w:r>
      <w:r w:rsidRPr="00891804">
        <w:rPr>
          <w:rFonts w:cs="Arial" w:hint="cs"/>
          <w:sz w:val="16"/>
          <w:szCs w:val="16"/>
          <w:rtl/>
        </w:rPr>
        <w:t>,</w:t>
      </w:r>
      <w:r w:rsidRPr="00891804">
        <w:rPr>
          <w:rFonts w:cs="Arial"/>
          <w:sz w:val="16"/>
          <w:szCs w:val="16"/>
          <w:rtl/>
        </w:rPr>
        <w:t xml:space="preserve"> ובסוגיין דהכא נמי שקלינן וטרינן מעיקרא דאיהו נתן אצבע בין שיניה פודה</w:t>
      </w:r>
      <w:r w:rsidRPr="00891804">
        <w:rPr>
          <w:rFonts w:cs="Arial" w:hint="cs"/>
          <w:sz w:val="16"/>
          <w:szCs w:val="16"/>
          <w:rtl/>
        </w:rPr>
        <w:t>,</w:t>
      </w:r>
      <w:r w:rsidRPr="00891804">
        <w:rPr>
          <w:rFonts w:cs="Arial"/>
          <w:sz w:val="16"/>
          <w:szCs w:val="16"/>
          <w:rtl/>
        </w:rPr>
        <w:t xml:space="preserve"> וכיון דאית לן לעולם בנדר אפילו נדרה היא הוא נותן אצבע בין שיניה ולענין כתובה חייב</w:t>
      </w:r>
      <w:r w:rsidRPr="00891804">
        <w:rPr>
          <w:rFonts w:cs="Arial" w:hint="cs"/>
          <w:sz w:val="16"/>
          <w:szCs w:val="16"/>
          <w:rtl/>
        </w:rPr>
        <w:t>,</w:t>
      </w:r>
      <w:r w:rsidRPr="00891804">
        <w:rPr>
          <w:rFonts w:cs="Arial"/>
          <w:sz w:val="16"/>
          <w:szCs w:val="16"/>
          <w:rtl/>
        </w:rPr>
        <w:t xml:space="preserve"> הוא הדין נמי הכא דחייב לפדותה כיון שהוא נותן אצבע בין שיניה</w:t>
      </w:r>
      <w:r w:rsidRPr="00891804">
        <w:rPr>
          <w:rFonts w:cs="Arial" w:hint="cs"/>
          <w:sz w:val="16"/>
          <w:szCs w:val="16"/>
          <w:rtl/>
        </w:rPr>
        <w:t>,</w:t>
      </w:r>
      <w:r w:rsidRPr="00891804">
        <w:rPr>
          <w:rFonts w:cs="Arial"/>
          <w:sz w:val="16"/>
          <w:szCs w:val="16"/>
          <w:rtl/>
        </w:rPr>
        <w:t xml:space="preserve"> הילכך קיימא לן כרבי אלעזר דמחייב ולא מטעמיה עכ"ל</w:t>
      </w:r>
      <w:r w:rsidRPr="00891804">
        <w:rPr>
          <w:rFonts w:cs="Arial" w:hint="cs"/>
          <w:sz w:val="16"/>
          <w:szCs w:val="16"/>
          <w:rtl/>
        </w:rPr>
        <w:t>.</w:t>
      </w:r>
      <w:r w:rsidRPr="00891804">
        <w:rPr>
          <w:rFonts w:cs="Arial"/>
          <w:sz w:val="16"/>
          <w:szCs w:val="16"/>
          <w:rtl/>
        </w:rPr>
        <w:t xml:space="preserve"> וקשה לי</w:t>
      </w:r>
      <w:r w:rsidRPr="00891804">
        <w:rPr>
          <w:rFonts w:cs="Arial" w:hint="cs"/>
          <w:sz w:val="16"/>
          <w:szCs w:val="16"/>
          <w:rtl/>
        </w:rPr>
        <w:t>,</w:t>
      </w:r>
      <w:r w:rsidRPr="00891804">
        <w:rPr>
          <w:rFonts w:cs="Arial"/>
          <w:sz w:val="16"/>
          <w:szCs w:val="16"/>
          <w:rtl/>
        </w:rPr>
        <w:t xml:space="preserve"> שהרמב"ם בנדרה היא וקיים לה הוא פסק בס</w:t>
      </w:r>
      <w:r w:rsidRPr="00891804">
        <w:rPr>
          <w:rFonts w:cs="Arial" w:hint="cs"/>
          <w:sz w:val="16"/>
          <w:szCs w:val="16"/>
          <w:rtl/>
        </w:rPr>
        <w:t>"פ</w:t>
      </w:r>
      <w:r w:rsidRPr="00891804">
        <w:rPr>
          <w:rFonts w:cs="Arial"/>
          <w:sz w:val="16"/>
          <w:szCs w:val="16"/>
          <w:rtl/>
        </w:rPr>
        <w:t xml:space="preserve"> י"ב (הכ"ד) כמ"ד הוא נתן אצבע בין שיניה</w:t>
      </w:r>
      <w:r w:rsidRPr="00891804">
        <w:rPr>
          <w:rFonts w:cs="Arial" w:hint="cs"/>
          <w:sz w:val="16"/>
          <w:szCs w:val="16"/>
          <w:rtl/>
        </w:rPr>
        <w:t>,</w:t>
      </w:r>
      <w:r w:rsidRPr="00891804">
        <w:rPr>
          <w:rFonts w:cs="Arial"/>
          <w:sz w:val="16"/>
          <w:szCs w:val="16"/>
          <w:rtl/>
        </w:rPr>
        <w:t xml:space="preserve"> ובדין זה פסק בפי"ד כרבי יהושע</w:t>
      </w:r>
      <w:r w:rsidRPr="00891804">
        <w:rPr>
          <w:rFonts w:cs="Arial" w:hint="cs"/>
          <w:sz w:val="16"/>
          <w:szCs w:val="16"/>
          <w:rtl/>
        </w:rPr>
        <w:t>,</w:t>
      </w:r>
      <w:r w:rsidRPr="00891804">
        <w:rPr>
          <w:rFonts w:cs="Arial"/>
          <w:sz w:val="16"/>
          <w:szCs w:val="16"/>
          <w:rtl/>
        </w:rPr>
        <w:t xml:space="preserve"> ולפי טעם זה שכתב דבריו סותרים את דבריו</w:t>
      </w:r>
      <w:r w:rsidRPr="00891804">
        <w:rPr>
          <w:rFonts w:cs="Arial" w:hint="cs"/>
          <w:sz w:val="16"/>
          <w:szCs w:val="16"/>
          <w:rtl/>
        </w:rPr>
        <w:t>.</w:t>
      </w:r>
      <w:r w:rsidRPr="00891804">
        <w:rPr>
          <w:rFonts w:cs="Arial"/>
          <w:sz w:val="16"/>
          <w:szCs w:val="16"/>
          <w:rtl/>
        </w:rPr>
        <w:t xml:space="preserve"> ועוד דהא דאמרינן בסוגיא דאי איהו נתן אצבע בין שיניה פודה </w:t>
      </w:r>
      <w:r w:rsidRPr="00891804">
        <w:rPr>
          <w:rFonts w:cs="Arial" w:hint="cs"/>
          <w:sz w:val="16"/>
          <w:szCs w:val="16"/>
          <w:rtl/>
        </w:rPr>
        <w:t xml:space="preserve">- </w:t>
      </w:r>
      <w:r w:rsidRPr="00891804">
        <w:rPr>
          <w:rFonts w:cs="Arial"/>
          <w:sz w:val="16"/>
          <w:szCs w:val="16"/>
          <w:rtl/>
        </w:rPr>
        <w:t>בדרך דחייה איתמר כי היכי דלא נוקי לאביי ורבא כתנאי</w:t>
      </w:r>
      <w:r w:rsidRPr="00891804">
        <w:rPr>
          <w:rFonts w:cs="Arial" w:hint="cs"/>
          <w:sz w:val="16"/>
          <w:szCs w:val="16"/>
          <w:rtl/>
        </w:rPr>
        <w:t>,</w:t>
      </w:r>
      <w:r w:rsidRPr="00891804">
        <w:rPr>
          <w:rFonts w:cs="Arial"/>
          <w:sz w:val="16"/>
          <w:szCs w:val="16"/>
          <w:rtl/>
        </w:rPr>
        <w:t xml:space="preserve"> ואם כן מהי תיתי לן לקיים ההיא דחייה וליתי רבי יהושע דלא כהלכתא</w:t>
      </w:r>
      <w:r w:rsidRPr="00891804">
        <w:rPr>
          <w:rFonts w:cs="Arial" w:hint="cs"/>
          <w:sz w:val="16"/>
          <w:szCs w:val="16"/>
          <w:rtl/>
        </w:rPr>
        <w:t>,</w:t>
      </w:r>
      <w:r w:rsidRPr="00891804">
        <w:rPr>
          <w:rFonts w:cs="Arial"/>
          <w:sz w:val="16"/>
          <w:szCs w:val="16"/>
          <w:rtl/>
        </w:rPr>
        <w:t xml:space="preserve"> מוטב דנוקי לאביי ורבא כתנאי וליתי רבא כרבי יהושע דהלכתא כותייהו</w:t>
      </w:r>
      <w:r w:rsidRPr="00891804">
        <w:rPr>
          <w:rFonts w:cs="Arial" w:hint="cs"/>
          <w:sz w:val="16"/>
          <w:szCs w:val="16"/>
          <w:rtl/>
        </w:rPr>
        <w:t>.</w:t>
      </w:r>
      <w:r w:rsidRPr="00891804">
        <w:rPr>
          <w:rFonts w:cs="Arial"/>
          <w:sz w:val="16"/>
          <w:szCs w:val="16"/>
          <w:rtl/>
        </w:rPr>
        <w:t xml:space="preserve"> ועוד דההיא אוקמתא אפילו בדרך דחייה לא קמה</w:t>
      </w:r>
      <w:r w:rsidRPr="00891804">
        <w:rPr>
          <w:rFonts w:cs="Arial" w:hint="cs"/>
          <w:sz w:val="16"/>
          <w:szCs w:val="16"/>
          <w:rtl/>
        </w:rPr>
        <w:t>,</w:t>
      </w:r>
      <w:r w:rsidRPr="00891804">
        <w:rPr>
          <w:rFonts w:cs="Arial"/>
          <w:sz w:val="16"/>
          <w:szCs w:val="16"/>
          <w:rtl/>
        </w:rPr>
        <w:t xml:space="preserve"> דהא אותבוה ואסיקו </w:t>
      </w:r>
      <w:r w:rsidRPr="00891804">
        <w:rPr>
          <w:rFonts w:cs="Arial" w:hint="cs"/>
          <w:sz w:val="16"/>
          <w:szCs w:val="16"/>
          <w:rtl/>
        </w:rPr>
        <w:t>'</w:t>
      </w:r>
      <w:r w:rsidRPr="00891804">
        <w:rPr>
          <w:rFonts w:cs="Arial"/>
          <w:sz w:val="16"/>
          <w:szCs w:val="16"/>
          <w:rtl/>
        </w:rPr>
        <w:t>אלא לעולם בדאדרה איהו ואביי מתרץ לטעמיה ורבא מתרץ לטעמיה וכו'</w:t>
      </w:r>
      <w:r w:rsidRPr="00891804">
        <w:rPr>
          <w:rFonts w:cs="Arial" w:hint="cs"/>
          <w:sz w:val="16"/>
          <w:szCs w:val="16"/>
          <w:rtl/>
        </w:rPr>
        <w:t>.</w:t>
      </w:r>
      <w:r w:rsidRPr="00891804">
        <w:rPr>
          <w:rFonts w:cs="Arial"/>
          <w:sz w:val="16"/>
          <w:szCs w:val="16"/>
          <w:rtl/>
        </w:rPr>
        <w:t xml:space="preserve"> וכיון דההיא אוקמתא אפילו בדרך דחייה לא קמה לא חיישינן לה</w:t>
      </w:r>
      <w:r w:rsidRPr="00891804">
        <w:rPr>
          <w:rFonts w:cs="Arial" w:hint="cs"/>
          <w:sz w:val="16"/>
          <w:szCs w:val="16"/>
          <w:rtl/>
        </w:rPr>
        <w:t>.</w:t>
      </w:r>
      <w:r w:rsidRPr="00891804">
        <w:rPr>
          <w:rFonts w:cs="Arial"/>
          <w:sz w:val="16"/>
          <w:szCs w:val="16"/>
          <w:rtl/>
        </w:rPr>
        <w:t xml:space="preserve"> לכן נ"ל שהטעם הראשון שכתבתי עיקר</w:t>
      </w:r>
      <w:r w:rsidR="00F84CD2">
        <w:rPr>
          <w:rFonts w:cs="Arial" w:hint="cs"/>
          <w:sz w:val="16"/>
          <w:szCs w:val="16"/>
          <w:rtl/>
        </w:rPr>
        <w:t>)</w:t>
      </w:r>
      <w:r>
        <w:rPr>
          <w:rFonts w:cs="Arial" w:hint="cs"/>
          <w:sz w:val="16"/>
          <w:szCs w:val="16"/>
          <w:rtl/>
        </w:rPr>
        <w:t>,</w:t>
      </w:r>
      <w:r w:rsidRPr="00F84CD2">
        <w:rPr>
          <w:rFonts w:cs="Arial" w:hint="cs"/>
          <w:rtl/>
        </w:rPr>
        <w:t xml:space="preserve"> ב"י</w:t>
      </w:r>
      <w:r>
        <w:rPr>
          <w:rFonts w:hint="cs"/>
          <w:rtl/>
        </w:rPr>
        <w:t>.</w:t>
      </w:r>
    </w:p>
  </w:footnote>
  <w:footnote w:id="614">
    <w:p w14:paraId="6EA7CD5E" w14:textId="63798A0B" w:rsidR="00DE2F5F" w:rsidRDefault="00DE2F5F">
      <w:pPr>
        <w:pStyle w:val="a5"/>
      </w:pPr>
      <w:r>
        <w:rPr>
          <w:rStyle w:val="a7"/>
        </w:rPr>
        <w:footnoteRef/>
      </w:r>
      <w:r>
        <w:rPr>
          <w:rFonts w:cs="Arial" w:hint="cs"/>
          <w:rtl/>
        </w:rPr>
        <w:t xml:space="preserve"> </w:t>
      </w:r>
      <w:r w:rsidRPr="00B051D7">
        <w:rPr>
          <w:rFonts w:cs="Arial"/>
          <w:rtl/>
        </w:rPr>
        <w:t>אפי' אשת כהן דיכול לקיים התנאי ואהדרינן למדינתך מ"מ אינו חייב לפדותה כיון דאסורה לו מחמת דבר אחר ולא מחמת השבי</w:t>
      </w:r>
      <w:r>
        <w:rPr>
          <w:rFonts w:cs="Arial" w:hint="cs"/>
          <w:rtl/>
        </w:rPr>
        <w:t>ה כמ"ש בסמוך.</w:t>
      </w:r>
      <w:r w:rsidRPr="00B051D7">
        <w:rPr>
          <w:rFonts w:cs="Arial"/>
          <w:rtl/>
        </w:rPr>
        <w:t xml:space="preserve"> </w:t>
      </w:r>
      <w:r>
        <w:rPr>
          <w:rFonts w:cs="Arial" w:hint="cs"/>
          <w:rtl/>
        </w:rPr>
        <w:t>ו</w:t>
      </w:r>
      <w:r w:rsidRPr="002F1FC8">
        <w:rPr>
          <w:rFonts w:cs="Arial"/>
          <w:rtl/>
        </w:rPr>
        <w:t>דוקא דנשבית אחר שהדירה אבל אם היה מדיר אותה אחר שנשבית חייב לפדותה דאתי לאערומי ש"ס וכן אם נדרה היא בעת שהיתה בשביה וקיים הוא לה חייב לפדות' דקי"ל כשהוא מקיים הנדר הוא נותן אצבע בין שיניה כמ"ש בסי' ע"ד לכן חייב לפדותה כן נראה פשוט וכ"כ ב"ח ולא כש"ג</w:t>
      </w:r>
      <w:r>
        <w:rPr>
          <w:rFonts w:cs="Arial" w:hint="cs"/>
          <w:rtl/>
        </w:rPr>
        <w:t>, ב"ש (סק"ה).</w:t>
      </w:r>
      <w:r w:rsidRPr="00B051D7">
        <w:rPr>
          <w:rtl/>
        </w:rPr>
        <w:t xml:space="preserve"> </w:t>
      </w:r>
      <w:r w:rsidRPr="00B051D7">
        <w:rPr>
          <w:rFonts w:cs="Arial"/>
          <w:rtl/>
        </w:rPr>
        <w:t>ונראה לי דדוק' באשת ישראל הדין כן. אבל באשת כהן אם נדרה היא אחר שנשבתה פטור הוא מלפדותה דלאו השביה גורם אלא מחמת הנדר</w:t>
      </w:r>
      <w:r>
        <w:rPr>
          <w:rFonts w:hint="cs"/>
          <w:rtl/>
        </w:rPr>
        <w:t xml:space="preserve">, באה"ט (סק"ד). </w:t>
      </w:r>
      <w:r w:rsidRPr="00B051D7">
        <w:rPr>
          <w:rFonts w:cs="Arial"/>
          <w:rtl/>
        </w:rPr>
        <w:t>ועיין בס' ישועות יעקב סק"ב שהשיג עליו</w:t>
      </w:r>
      <w:r>
        <w:rPr>
          <w:rFonts w:cs="Arial" w:hint="cs"/>
          <w:rtl/>
        </w:rPr>
        <w:t>, פת"ש (סק"ב).</w:t>
      </w:r>
    </w:p>
  </w:footnote>
  <w:footnote w:id="615">
    <w:p w14:paraId="54DEAFDA" w14:textId="445F822A" w:rsidR="00F471A5" w:rsidRDefault="00F471A5">
      <w:pPr>
        <w:pStyle w:val="a5"/>
      </w:pPr>
      <w:r>
        <w:rPr>
          <w:rStyle w:val="a7"/>
        </w:rPr>
        <w:footnoteRef/>
      </w:r>
      <w:r>
        <w:rPr>
          <w:rtl/>
        </w:rPr>
        <w:t xml:space="preserve"> </w:t>
      </w:r>
      <w:r>
        <w:rPr>
          <w:rFonts w:hint="cs"/>
          <w:rtl/>
        </w:rPr>
        <w:t>סימן - נשבית אסורה.</w:t>
      </w:r>
    </w:p>
  </w:footnote>
  <w:footnote w:id="616">
    <w:p w14:paraId="07308DA7" w14:textId="236BCD85" w:rsidR="00DE2F5F" w:rsidRDefault="00DE2F5F" w:rsidP="009110AE">
      <w:pPr>
        <w:pStyle w:val="a5"/>
        <w:rPr>
          <w:rtl/>
        </w:rPr>
      </w:pPr>
      <w:r>
        <w:rPr>
          <w:rStyle w:val="a7"/>
        </w:rPr>
        <w:footnoteRef/>
      </w:r>
      <w:r>
        <w:rPr>
          <w:rtl/>
        </w:rPr>
        <w:t xml:space="preserve"> </w:t>
      </w:r>
      <w:r w:rsidRPr="00120A70">
        <w:rPr>
          <w:rFonts w:cs="Arial"/>
          <w:rtl/>
        </w:rPr>
        <w:t xml:space="preserve">וכתב הר"ן </w:t>
      </w:r>
      <w:r>
        <w:rPr>
          <w:rFonts w:cs="Arial" w:hint="cs"/>
          <w:rtl/>
        </w:rPr>
        <w:t>(</w:t>
      </w:r>
      <w:r w:rsidRPr="00120A70">
        <w:rPr>
          <w:rFonts w:cs="Arial"/>
          <w:rtl/>
        </w:rPr>
        <w:t xml:space="preserve">פרק נערה יח: סוד"ה גמ') דבמקום שאסורה לבעלה ישראל דחיישינן שמא נבעלה ברצון </w:t>
      </w:r>
      <w:r>
        <w:rPr>
          <w:rFonts w:cs="Arial" w:hint="cs"/>
          <w:rtl/>
        </w:rPr>
        <w:t xml:space="preserve">- </w:t>
      </w:r>
      <w:r w:rsidRPr="00120A70">
        <w:rPr>
          <w:rFonts w:cs="Arial"/>
          <w:rtl/>
        </w:rPr>
        <w:t>אין צריך לפדות</w:t>
      </w:r>
      <w:r>
        <w:rPr>
          <w:rFonts w:cs="Arial" w:hint="cs"/>
          <w:rtl/>
        </w:rPr>
        <w:t>,</w:t>
      </w:r>
      <w:r w:rsidRPr="00120A70">
        <w:rPr>
          <w:rFonts w:cs="Arial"/>
          <w:rtl/>
        </w:rPr>
        <w:t xml:space="preserve"> דאין השביה גורם לה אלא שנבעלה ברצון</w:t>
      </w:r>
      <w:r>
        <w:rPr>
          <w:rFonts w:cs="Arial" w:hint="cs"/>
          <w:rtl/>
        </w:rPr>
        <w:t>.</w:t>
      </w:r>
      <w:r w:rsidRPr="00120A70">
        <w:rPr>
          <w:rFonts w:cs="Arial"/>
          <w:rtl/>
        </w:rPr>
        <w:t xml:space="preserve"> וכ</w:t>
      </w:r>
      <w:r>
        <w:rPr>
          <w:rFonts w:cs="Arial" w:hint="cs"/>
          <w:rtl/>
        </w:rPr>
        <w:t>"כ רי"ו (</w:t>
      </w:r>
      <w:r w:rsidRPr="00120A70">
        <w:rPr>
          <w:rFonts w:cs="Arial"/>
          <w:rtl/>
        </w:rPr>
        <w:t>מישרים נכ"ג ח"ה</w:t>
      </w:r>
      <w:r>
        <w:rPr>
          <w:rFonts w:cs="Arial" w:hint="cs"/>
          <w:rtl/>
        </w:rPr>
        <w:t>)</w:t>
      </w:r>
      <w:r w:rsidRPr="00120A70">
        <w:rPr>
          <w:rFonts w:cs="Arial"/>
          <w:rtl/>
        </w:rPr>
        <w:t xml:space="preserve"> שהביא ב"י לעיל</w:t>
      </w:r>
      <w:r>
        <w:rPr>
          <w:rFonts w:cs="Arial" w:hint="cs"/>
          <w:rtl/>
        </w:rPr>
        <w:t>.</w:t>
      </w:r>
      <w:r w:rsidRPr="00120A70">
        <w:rPr>
          <w:rFonts w:cs="Arial"/>
          <w:rtl/>
        </w:rPr>
        <w:t xml:space="preserve"> וע"ל סימן ז' (עמ' מז-מח) אימת אסורה לבעלה ישראל</w:t>
      </w:r>
      <w:r>
        <w:rPr>
          <w:rFonts w:cs="Arial" w:hint="cs"/>
          <w:rtl/>
        </w:rPr>
        <w:t>, דרכ"מ (אות ג).</w:t>
      </w:r>
      <w:r>
        <w:rPr>
          <w:rFonts w:hint="cs"/>
          <w:rtl/>
        </w:rPr>
        <w:t xml:space="preserve"> </w:t>
      </w:r>
      <w:r w:rsidRPr="000628DF">
        <w:rPr>
          <w:rFonts w:hint="cs"/>
          <w:color w:val="00B0F0"/>
          <w:rtl/>
        </w:rPr>
        <w:t>(וכ"פ הרמ"א)</w:t>
      </w:r>
    </w:p>
  </w:footnote>
  <w:footnote w:id="617">
    <w:p w14:paraId="643DA4E6" w14:textId="315C4DF1" w:rsidR="00DE2F5F" w:rsidRDefault="00DE2F5F" w:rsidP="008B03CA">
      <w:pPr>
        <w:pStyle w:val="a5"/>
        <w:rPr>
          <w:rtl/>
        </w:rPr>
      </w:pPr>
      <w:r>
        <w:rPr>
          <w:rStyle w:val="a7"/>
        </w:rPr>
        <w:footnoteRef/>
      </w:r>
      <w:r>
        <w:rPr>
          <w:rtl/>
        </w:rPr>
        <w:t xml:space="preserve"> </w:t>
      </w:r>
      <w:r w:rsidRPr="00120A70">
        <w:rPr>
          <w:rFonts w:cs="Arial"/>
          <w:rtl/>
        </w:rPr>
        <w:t>ו</w:t>
      </w:r>
      <w:r>
        <w:rPr>
          <w:rFonts w:cs="Arial" w:hint="cs"/>
          <w:rtl/>
        </w:rPr>
        <w:t xml:space="preserve">כתב </w:t>
      </w:r>
      <w:r w:rsidRPr="00120A70">
        <w:rPr>
          <w:rFonts w:cs="Arial"/>
          <w:rtl/>
        </w:rPr>
        <w:t xml:space="preserve">הר"ן </w:t>
      </w:r>
      <w:r>
        <w:rPr>
          <w:rFonts w:cs="Arial" w:hint="cs"/>
          <w:rtl/>
        </w:rPr>
        <w:t>(</w:t>
      </w:r>
      <w:r w:rsidRPr="00120A70">
        <w:rPr>
          <w:rFonts w:cs="Arial"/>
          <w:rtl/>
        </w:rPr>
        <w:t>פ</w:t>
      </w:r>
      <w:r>
        <w:rPr>
          <w:rFonts w:cs="Arial" w:hint="cs"/>
          <w:rtl/>
        </w:rPr>
        <w:t>'</w:t>
      </w:r>
      <w:r w:rsidRPr="00120A70">
        <w:rPr>
          <w:rFonts w:cs="Arial"/>
          <w:rtl/>
        </w:rPr>
        <w:t xml:space="preserve"> אלמנה ניזונת ס. ד"ה ומזונות) מיהו אם אינו רוצה לפדותה צריך להחזיר לה הפירות שאכל</w:t>
      </w:r>
      <w:r>
        <w:rPr>
          <w:rFonts w:cs="Arial" w:hint="cs"/>
          <w:rtl/>
        </w:rPr>
        <w:t>, דרכ"מ (אות ד).</w:t>
      </w:r>
      <w:r w:rsidRPr="000628DF">
        <w:rPr>
          <w:rFonts w:hint="cs"/>
          <w:color w:val="00B0F0"/>
          <w:rtl/>
        </w:rPr>
        <w:t xml:space="preserve"> (וכ"פ הרמ"א</w:t>
      </w:r>
      <w:r>
        <w:rPr>
          <w:rFonts w:hint="cs"/>
          <w:color w:val="00B0F0"/>
          <w:sz w:val="16"/>
          <w:szCs w:val="16"/>
          <w:rtl/>
        </w:rPr>
        <w:t xml:space="preserve"> </w:t>
      </w:r>
      <w:r w:rsidRPr="000628DF">
        <w:rPr>
          <w:rFonts w:hint="cs"/>
          <w:color w:val="000000" w:themeColor="text1"/>
          <w:sz w:val="16"/>
          <w:szCs w:val="16"/>
          <w:rtl/>
        </w:rPr>
        <w:t>[</w:t>
      </w:r>
      <w:r>
        <w:rPr>
          <w:rFonts w:hint="cs"/>
          <w:color w:val="000000" w:themeColor="text1"/>
          <w:sz w:val="16"/>
          <w:szCs w:val="16"/>
          <w:rtl/>
        </w:rPr>
        <w:t>בסע' הבא</w:t>
      </w:r>
      <w:r w:rsidRPr="000628DF">
        <w:rPr>
          <w:rFonts w:hint="cs"/>
          <w:color w:val="000000" w:themeColor="text1"/>
          <w:sz w:val="16"/>
          <w:szCs w:val="16"/>
          <w:rtl/>
        </w:rPr>
        <w:t>]</w:t>
      </w:r>
      <w:r w:rsidRPr="000628DF">
        <w:rPr>
          <w:rFonts w:hint="cs"/>
          <w:color w:val="00B0F0"/>
          <w:rtl/>
        </w:rPr>
        <w:t>)</w:t>
      </w:r>
    </w:p>
  </w:footnote>
  <w:footnote w:id="618">
    <w:p w14:paraId="12105EE4" w14:textId="4E9F917E" w:rsidR="00DE2F5F" w:rsidRDefault="00DE2F5F">
      <w:pPr>
        <w:pStyle w:val="a5"/>
      </w:pPr>
      <w:r>
        <w:rPr>
          <w:rStyle w:val="a7"/>
        </w:rPr>
        <w:footnoteRef/>
      </w:r>
      <w:r>
        <w:rPr>
          <w:rtl/>
        </w:rPr>
        <w:t xml:space="preserve"> </w:t>
      </w:r>
      <w:r w:rsidRPr="00371891">
        <w:rPr>
          <w:rFonts w:cs="Arial"/>
          <w:rtl/>
        </w:rPr>
        <w:t>כתב הח"מ אשת כהן שזנתה ברצון בשביה צריך לפדותה כיון דאסורה לו מיד כשנשבת ויוכל לקיים התנאי ואהדרינך למדינתך לכן אפילו אם זנתה ברצון חייב לפדותה. והב"ש כתב עליו ולא משמע כן מהסוגי' ע"ש</w:t>
      </w:r>
      <w:r>
        <w:rPr>
          <w:rFonts w:cs="Arial" w:hint="cs"/>
          <w:rtl/>
        </w:rPr>
        <w:t>, באה"ט (סק"ה).</w:t>
      </w:r>
    </w:p>
  </w:footnote>
  <w:footnote w:id="619">
    <w:p w14:paraId="2902A76F" w14:textId="2764941F" w:rsidR="00DE2F5F" w:rsidRDefault="00DE2F5F">
      <w:pPr>
        <w:pStyle w:val="a5"/>
      </w:pPr>
      <w:r>
        <w:rPr>
          <w:rStyle w:val="a7"/>
        </w:rPr>
        <w:footnoteRef/>
      </w:r>
      <w:r>
        <w:rPr>
          <w:rtl/>
        </w:rPr>
        <w:t xml:space="preserve"> </w:t>
      </w:r>
      <w:r w:rsidRPr="00594C06">
        <w:rPr>
          <w:rFonts w:cs="Arial"/>
          <w:rtl/>
        </w:rPr>
        <w:t>אפי' אלמנה לכ"ג וגרושה לכהן הדיוט דיכול לקיים התנאי ואהדרינך למדינתך אפ"ה אינו חייב לפדותה כיון שאיסור ד"א גרם ש"ס</w:t>
      </w:r>
      <w:r>
        <w:rPr>
          <w:rFonts w:cs="Arial" w:hint="cs"/>
          <w:rtl/>
        </w:rPr>
        <w:t>, ב"ש (סק"ח).</w:t>
      </w:r>
    </w:p>
  </w:footnote>
  <w:footnote w:id="620">
    <w:p w14:paraId="27A47E98" w14:textId="77777777" w:rsidR="00DE2F5F" w:rsidRDefault="00DE2F5F" w:rsidP="00CD6EC1">
      <w:pPr>
        <w:pStyle w:val="a5"/>
      </w:pPr>
      <w:r>
        <w:rPr>
          <w:rStyle w:val="a7"/>
        </w:rPr>
        <w:footnoteRef/>
      </w:r>
      <w:r>
        <w:rPr>
          <w:rtl/>
        </w:rPr>
        <w:t xml:space="preserve"> </w:t>
      </w:r>
      <w:r w:rsidRPr="00570589">
        <w:rPr>
          <w:rFonts w:cs="Arial"/>
          <w:rtl/>
        </w:rPr>
        <w:t>לכאורה היה נראה שמשלם דמי הפירות בזול ככל שאוכל דבר שהיה סבור שלא יצטרך לשלם כההיא דהגוזל קמא שהניח להם אביהם פרה שאולה והבנים טבחו ואכלוה דמשלמים דמי הבשר בזול אבל באמת אין זה שייך כאן דהא ידע שהוא חייב להוציא כיון שהיא אסורה עליו באיסור לאוין בעמוד והוציא קאי</w:t>
      </w:r>
      <w:r>
        <w:rPr>
          <w:rFonts w:cs="Arial" w:hint="cs"/>
          <w:rtl/>
        </w:rPr>
        <w:t>, ט"ז (סק"ג).</w:t>
      </w:r>
    </w:p>
  </w:footnote>
  <w:footnote w:id="621">
    <w:p w14:paraId="246B0F27" w14:textId="3AE38D4A" w:rsidR="00DE2F5F" w:rsidRDefault="00DE2F5F">
      <w:pPr>
        <w:pStyle w:val="a5"/>
      </w:pPr>
      <w:r>
        <w:rPr>
          <w:rStyle w:val="a7"/>
        </w:rPr>
        <w:footnoteRef/>
      </w:r>
      <w:r>
        <w:rPr>
          <w:rtl/>
        </w:rPr>
        <w:t xml:space="preserve"> </w:t>
      </w:r>
      <w:r w:rsidRPr="00594C06">
        <w:rPr>
          <w:rFonts w:cs="Arial"/>
          <w:rtl/>
        </w:rPr>
        <w:t xml:space="preserve">היינו כשנשבית צריך לשלם הפירות ולא קודם כ"כ תוס' </w:t>
      </w:r>
      <w:r w:rsidRPr="007D7CEB">
        <w:rPr>
          <w:rFonts w:cs="Arial" w:hint="cs"/>
          <w:sz w:val="16"/>
          <w:szCs w:val="16"/>
          <w:rtl/>
        </w:rPr>
        <w:t>(בכתובות [נב. ד"ה ממזרת] וביבמות [פה. אלמנה])</w:t>
      </w:r>
      <w:r>
        <w:rPr>
          <w:rFonts w:cs="Arial" w:hint="cs"/>
          <w:rtl/>
        </w:rPr>
        <w:t xml:space="preserve"> </w:t>
      </w:r>
      <w:r w:rsidRPr="00594C06">
        <w:rPr>
          <w:rFonts w:cs="Arial"/>
          <w:rtl/>
        </w:rPr>
        <w:t>ועיין סי' קי"ו</w:t>
      </w:r>
      <w:r>
        <w:rPr>
          <w:rFonts w:cs="Arial" w:hint="cs"/>
          <w:rtl/>
        </w:rPr>
        <w:t>..., ב"ש (סק"ט).</w:t>
      </w:r>
    </w:p>
  </w:footnote>
  <w:footnote w:id="622">
    <w:p w14:paraId="3935A846" w14:textId="77777777" w:rsidR="00DE2F5F" w:rsidRDefault="00DE2F5F" w:rsidP="00432ED2">
      <w:pPr>
        <w:pStyle w:val="a5"/>
      </w:pPr>
      <w:r>
        <w:rPr>
          <w:rStyle w:val="a7"/>
        </w:rPr>
        <w:footnoteRef/>
      </w:r>
      <w:r>
        <w:rPr>
          <w:rtl/>
        </w:rPr>
        <w:t xml:space="preserve"> </w:t>
      </w:r>
      <w:r w:rsidRPr="00432ED2">
        <w:rPr>
          <w:rFonts w:cs="Arial"/>
          <w:rtl/>
        </w:rPr>
        <w:t>ונראה מדלא מצינו חלוק בזה בין אשת כהן לאשת ישראל</w:t>
      </w:r>
      <w:r>
        <w:rPr>
          <w:rFonts w:cs="Arial" w:hint="cs"/>
          <w:rtl/>
        </w:rPr>
        <w:t>,</w:t>
      </w:r>
      <w:r w:rsidRPr="00432ED2">
        <w:rPr>
          <w:rFonts w:cs="Arial"/>
          <w:rtl/>
        </w:rPr>
        <w:t xml:space="preserve"> ש"מ התנאי לא תקנו ביבם</w:t>
      </w:r>
      <w:r>
        <w:rPr>
          <w:rFonts w:cs="Arial" w:hint="cs"/>
          <w:rtl/>
        </w:rPr>
        <w:t>,</w:t>
      </w:r>
      <w:r w:rsidRPr="00432ED2">
        <w:rPr>
          <w:rFonts w:cs="Arial"/>
          <w:rtl/>
        </w:rPr>
        <w:t xml:space="preserve"> לכן אפי' באשת כהן דיכול לקיים התנאי פטור לפדותה</w:t>
      </w:r>
      <w:r>
        <w:rPr>
          <w:rFonts w:cs="Arial" w:hint="cs"/>
          <w:rtl/>
        </w:rPr>
        <w:t>, ב"ש (סקי"א).</w:t>
      </w:r>
    </w:p>
  </w:footnote>
  <w:footnote w:id="623">
    <w:p w14:paraId="04DFF79F" w14:textId="2DA16716" w:rsidR="00DE2F5F" w:rsidRDefault="00DE2F5F">
      <w:pPr>
        <w:pStyle w:val="a5"/>
      </w:pPr>
      <w:r>
        <w:rPr>
          <w:rStyle w:val="a7"/>
        </w:rPr>
        <w:footnoteRef/>
      </w:r>
      <w:r>
        <w:rPr>
          <w:rtl/>
        </w:rPr>
        <w:t xml:space="preserve"> </w:t>
      </w:r>
      <w:r w:rsidRPr="00594C06">
        <w:rPr>
          <w:rFonts w:cs="Arial"/>
          <w:rtl/>
        </w:rPr>
        <w:t>שאין אני קורא בה ואותבינך לי לאנתו</w:t>
      </w:r>
      <w:r>
        <w:rPr>
          <w:rFonts w:cs="Arial" w:hint="cs"/>
          <w:rtl/>
        </w:rPr>
        <w:t>.</w:t>
      </w:r>
      <w:r w:rsidRPr="00594C06">
        <w:rPr>
          <w:rFonts w:cs="Arial"/>
          <w:rtl/>
        </w:rPr>
        <w:t xml:space="preserve"> ונראה שאין היורשין צריכין להחזיר הפירות שאכל הבעל</w:t>
      </w:r>
      <w:r>
        <w:rPr>
          <w:rFonts w:cs="Arial" w:hint="cs"/>
          <w:rtl/>
        </w:rPr>
        <w:t>,</w:t>
      </w:r>
      <w:r w:rsidRPr="00594C06">
        <w:rPr>
          <w:rFonts w:cs="Arial"/>
          <w:rtl/>
        </w:rPr>
        <w:t xml:space="preserve"> דמזל רע שלה הוא כשמת הבעל קודם שפדאה והוא כדין אכל</w:t>
      </w:r>
      <w:r>
        <w:rPr>
          <w:rFonts w:cs="Arial" w:hint="cs"/>
          <w:rtl/>
        </w:rPr>
        <w:t>.</w:t>
      </w:r>
      <w:r w:rsidRPr="00594C06">
        <w:rPr>
          <w:rFonts w:cs="Arial"/>
          <w:rtl/>
        </w:rPr>
        <w:t xml:space="preserve"> אבל היורשים אין להם פירות</w:t>
      </w:r>
      <w:r>
        <w:rPr>
          <w:rFonts w:cs="Arial" w:hint="cs"/>
          <w:rtl/>
        </w:rPr>
        <w:t>,</w:t>
      </w:r>
      <w:r w:rsidRPr="00594C06">
        <w:rPr>
          <w:rFonts w:cs="Arial"/>
          <w:rtl/>
        </w:rPr>
        <w:t xml:space="preserve"> מאחר שאין חייבים לפדותה</w:t>
      </w:r>
      <w:r>
        <w:rPr>
          <w:rFonts w:cs="Arial" w:hint="cs"/>
          <w:rtl/>
        </w:rPr>
        <w:t>.</w:t>
      </w:r>
      <w:r w:rsidRPr="00594C06">
        <w:rPr>
          <w:rFonts w:cs="Arial"/>
          <w:rtl/>
        </w:rPr>
        <w:t xml:space="preserve"> וכן הוא בסי' צ"ה</w:t>
      </w:r>
      <w:r>
        <w:rPr>
          <w:rFonts w:hint="cs"/>
          <w:rtl/>
        </w:rPr>
        <w:t>, ח"מ (סקי"א).</w:t>
      </w:r>
    </w:p>
  </w:footnote>
  <w:footnote w:id="624">
    <w:p w14:paraId="7DB2ABDE" w14:textId="2CADA077" w:rsidR="00DE2F5F" w:rsidRDefault="00DE2F5F">
      <w:pPr>
        <w:pStyle w:val="a5"/>
      </w:pPr>
      <w:r>
        <w:rPr>
          <w:rStyle w:val="a7"/>
        </w:rPr>
        <w:footnoteRef/>
      </w:r>
      <w:r>
        <w:rPr>
          <w:rtl/>
        </w:rPr>
        <w:t xml:space="preserve"> </w:t>
      </w:r>
      <w:r w:rsidRPr="00FB5C17">
        <w:rPr>
          <w:rFonts w:cs="Arial"/>
          <w:rtl/>
        </w:rPr>
        <w:t>ואם צריכה רפואה הרי הרפואה כמזונות דתרווייהו חיותא נינהו</w:t>
      </w:r>
      <w:r>
        <w:rPr>
          <w:rFonts w:cs="Arial" w:hint="cs"/>
          <w:rtl/>
        </w:rPr>
        <w:t>, רש"י</w:t>
      </w:r>
      <w:r w:rsidRPr="00FB5C17">
        <w:rPr>
          <w:rFonts w:cs="Arial"/>
          <w:rtl/>
        </w:rPr>
        <w:t>.</w:t>
      </w:r>
    </w:p>
  </w:footnote>
  <w:footnote w:id="625">
    <w:p w14:paraId="275E2F70" w14:textId="1943CDE5" w:rsidR="00DE2F5F" w:rsidRDefault="00DE2F5F">
      <w:pPr>
        <w:pStyle w:val="a5"/>
      </w:pPr>
      <w:r>
        <w:rPr>
          <w:rStyle w:val="a7"/>
        </w:rPr>
        <w:footnoteRef/>
      </w:r>
      <w:r>
        <w:rPr>
          <w:rtl/>
        </w:rPr>
        <w:t xml:space="preserve"> </w:t>
      </w:r>
      <w:r w:rsidRPr="00293DC3">
        <w:rPr>
          <w:rFonts w:cs="Arial"/>
          <w:rtl/>
        </w:rPr>
        <w:t>מזונות אין להם קצבה - הלכך רפואה שיש לה קצבה שאינה חולה תדיר אינה בכלל מזונות</w:t>
      </w:r>
      <w:r>
        <w:rPr>
          <w:rFonts w:cs="Arial" w:hint="cs"/>
          <w:rtl/>
        </w:rPr>
        <w:t>, רש"י.</w:t>
      </w:r>
    </w:p>
  </w:footnote>
  <w:footnote w:id="626">
    <w:p w14:paraId="51616D03" w14:textId="341655EC" w:rsidR="00DE2F5F" w:rsidRDefault="00DE2F5F">
      <w:pPr>
        <w:pStyle w:val="a5"/>
      </w:pPr>
      <w:r>
        <w:rPr>
          <w:rStyle w:val="a7"/>
        </w:rPr>
        <w:footnoteRef/>
      </w:r>
      <w:r>
        <w:rPr>
          <w:rtl/>
        </w:rPr>
        <w:t xml:space="preserve"> </w:t>
      </w:r>
      <w:r w:rsidRPr="00293DC3">
        <w:rPr>
          <w:rFonts w:cs="Arial"/>
          <w:rtl/>
        </w:rPr>
        <w:t>שיקבל עליו רפואתה עולמית בכך וכך</w:t>
      </w:r>
      <w:r>
        <w:rPr>
          <w:rFonts w:cs="Arial" w:hint="cs"/>
          <w:rtl/>
        </w:rPr>
        <w:t>, רש"י.</w:t>
      </w:r>
    </w:p>
  </w:footnote>
  <w:footnote w:id="627">
    <w:p w14:paraId="722BA4C9" w14:textId="05FC980B" w:rsidR="00DE2F5F" w:rsidRDefault="00DE2F5F">
      <w:pPr>
        <w:pStyle w:val="a5"/>
      </w:pPr>
      <w:r>
        <w:rPr>
          <w:rStyle w:val="a7"/>
        </w:rPr>
        <w:footnoteRef/>
      </w:r>
      <w:r>
        <w:rPr>
          <w:rtl/>
        </w:rPr>
        <w:t xml:space="preserve"> </w:t>
      </w:r>
      <w:r w:rsidRPr="00293DC3">
        <w:rPr>
          <w:rFonts w:cs="Arial"/>
          <w:rtl/>
        </w:rPr>
        <w:t>אוהב אחד מבעלי דינין ומטעים זכיותיו לדיין ועורך הדין לפני הדיינין לזכותו מיקרי עורכי הדיינין שעורך את הדיינין להפוך לבם לטובתו של זה</w:t>
      </w:r>
      <w:r>
        <w:rPr>
          <w:rFonts w:cs="Arial" w:hint="cs"/>
          <w:rtl/>
        </w:rPr>
        <w:t>, רש"י.</w:t>
      </w:r>
    </w:p>
  </w:footnote>
  <w:footnote w:id="628">
    <w:p w14:paraId="4F939BCA" w14:textId="41E5B4D6" w:rsidR="00DE2F5F" w:rsidRDefault="00DE2F5F">
      <w:pPr>
        <w:pStyle w:val="a5"/>
      </w:pPr>
      <w:r>
        <w:rPr>
          <w:rStyle w:val="a7"/>
        </w:rPr>
        <w:footnoteRef/>
      </w:r>
      <w:r>
        <w:rPr>
          <w:rtl/>
        </w:rPr>
        <w:t xml:space="preserve"> </w:t>
      </w:r>
      <w:r w:rsidRPr="003319C5">
        <w:rPr>
          <w:rFonts w:cs="Arial"/>
          <w:rtl/>
        </w:rPr>
        <w:t>חולי שיש לה קיצבה שאינה חולה תדיר אינה בכלל מזונות ומתרפאת מכתובתה וכן אם עשו קיצבה עם הרופא בשכרו כדלקמן</w:t>
      </w:r>
      <w:r>
        <w:rPr>
          <w:rFonts w:cs="Arial" w:hint="cs"/>
          <w:rtl/>
        </w:rPr>
        <w:t>, פני משה.</w:t>
      </w:r>
    </w:p>
  </w:footnote>
  <w:footnote w:id="629">
    <w:p w14:paraId="431F299D" w14:textId="6A93E77B" w:rsidR="00DE2F5F" w:rsidRDefault="00DE2F5F">
      <w:pPr>
        <w:pStyle w:val="a5"/>
      </w:pPr>
      <w:r>
        <w:rPr>
          <w:rStyle w:val="a7"/>
        </w:rPr>
        <w:footnoteRef/>
      </w:r>
      <w:r>
        <w:rPr>
          <w:rtl/>
        </w:rPr>
        <w:t xml:space="preserve"> </w:t>
      </w:r>
      <w:r w:rsidRPr="003319C5">
        <w:rPr>
          <w:rFonts w:cs="Arial"/>
          <w:rtl/>
        </w:rPr>
        <w:t>היתה לה מיחוש עינים ובאת לפני ר' יוחנן ושאל לה אם קצץ זה הרופא שלך</w:t>
      </w:r>
      <w:r>
        <w:rPr>
          <w:rFonts w:cs="Arial" w:hint="cs"/>
          <w:rtl/>
        </w:rPr>
        <w:t>, פני משה.</w:t>
      </w:r>
    </w:p>
  </w:footnote>
  <w:footnote w:id="630">
    <w:p w14:paraId="1FA97F06" w14:textId="20B3E75F" w:rsidR="00DE2F5F" w:rsidRDefault="00DE2F5F">
      <w:pPr>
        <w:pStyle w:val="a5"/>
      </w:pPr>
      <w:r>
        <w:rPr>
          <w:rStyle w:val="a7"/>
        </w:rPr>
        <w:footnoteRef/>
      </w:r>
      <w:r>
        <w:rPr>
          <w:rtl/>
        </w:rPr>
        <w:t xml:space="preserve"> </w:t>
      </w:r>
      <w:r w:rsidRPr="003319C5">
        <w:rPr>
          <w:rFonts w:cs="Arial"/>
          <w:rtl/>
        </w:rPr>
        <w:t>אם עשית קצבה עמו בעד שכרו</w:t>
      </w:r>
      <w:r>
        <w:rPr>
          <w:rFonts w:cs="Arial" w:hint="cs"/>
          <w:rtl/>
        </w:rPr>
        <w:t>, פני משה.</w:t>
      </w:r>
    </w:p>
  </w:footnote>
  <w:footnote w:id="631">
    <w:p w14:paraId="0B73B307" w14:textId="33F3ACA3" w:rsidR="00DE2F5F" w:rsidRDefault="00DE2F5F">
      <w:pPr>
        <w:pStyle w:val="a5"/>
      </w:pPr>
      <w:r>
        <w:rPr>
          <w:rStyle w:val="a7"/>
        </w:rPr>
        <w:footnoteRef/>
      </w:r>
      <w:r>
        <w:rPr>
          <w:rtl/>
        </w:rPr>
        <w:t xml:space="preserve"> </w:t>
      </w:r>
      <w:r w:rsidRPr="003319C5">
        <w:rPr>
          <w:rFonts w:cs="Arial"/>
          <w:rtl/>
        </w:rPr>
        <w:t>צריכה את לשלם מכתובתיך</w:t>
      </w:r>
      <w:r w:rsidR="0047292E">
        <w:rPr>
          <w:rFonts w:cs="Arial" w:hint="cs"/>
          <w:rtl/>
        </w:rPr>
        <w:t>.</w:t>
      </w:r>
      <w:r w:rsidRPr="003319C5">
        <w:rPr>
          <w:rFonts w:cs="Arial"/>
          <w:rtl/>
        </w:rPr>
        <w:t xml:space="preserve"> ואם לאו בעלך צריך שיתן לך לשלם הרופא</w:t>
      </w:r>
      <w:r w:rsidR="0047292E">
        <w:rPr>
          <w:rFonts w:cs="Arial" w:hint="cs"/>
          <w:rtl/>
        </w:rPr>
        <w:t>,</w:t>
      </w:r>
      <w:r w:rsidRPr="003319C5">
        <w:rPr>
          <w:rFonts w:cs="Arial"/>
          <w:rtl/>
        </w:rPr>
        <w:t xml:space="preserve"> דכל שאין לו קצבה בכלל מזונות הוא</w:t>
      </w:r>
      <w:r>
        <w:rPr>
          <w:rFonts w:cs="Arial" w:hint="cs"/>
          <w:rtl/>
        </w:rPr>
        <w:t>, פני משה.</w:t>
      </w:r>
    </w:p>
  </w:footnote>
  <w:footnote w:id="632">
    <w:p w14:paraId="7152A330" w14:textId="705601C0" w:rsidR="00DE2F5F" w:rsidRDefault="00DE2F5F" w:rsidP="004C3A87">
      <w:pPr>
        <w:pStyle w:val="a5"/>
      </w:pPr>
      <w:r>
        <w:rPr>
          <w:rStyle w:val="a7"/>
        </w:rPr>
        <w:footnoteRef/>
      </w:r>
      <w:r>
        <w:rPr>
          <w:rtl/>
        </w:rPr>
        <w:t xml:space="preserve"> </w:t>
      </w:r>
      <w:r>
        <w:rPr>
          <w:rFonts w:cs="Arial" w:hint="cs"/>
          <w:rtl/>
        </w:rPr>
        <w:t>וכתב הר"ן (שם) ד</w:t>
      </w:r>
      <w:r>
        <w:rPr>
          <w:rFonts w:cs="Arial"/>
          <w:rtl/>
        </w:rPr>
        <w:t>הכי מוכח</w:t>
      </w:r>
      <w:r>
        <w:rPr>
          <w:rFonts w:cs="Arial" w:hint="cs"/>
          <w:rtl/>
        </w:rPr>
        <w:t xml:space="preserve"> </w:t>
      </w:r>
      <w:r>
        <w:rPr>
          <w:rFonts w:cs="Arial"/>
          <w:rtl/>
        </w:rPr>
        <w:t>פשטא דמתניתין</w:t>
      </w:r>
      <w:r>
        <w:rPr>
          <w:rFonts w:cs="Arial" w:hint="cs"/>
          <w:rtl/>
        </w:rPr>
        <w:t>,</w:t>
      </w:r>
      <w:r>
        <w:rPr>
          <w:rFonts w:cs="Arial"/>
          <w:rtl/>
        </w:rPr>
        <w:t xml:space="preserve"> דקתני סתמא </w:t>
      </w:r>
      <w:r>
        <w:rPr>
          <w:rFonts w:cs="Arial" w:hint="cs"/>
          <w:rtl/>
        </w:rPr>
        <w:t>'</w:t>
      </w:r>
      <w:r>
        <w:rPr>
          <w:rFonts w:cs="Arial"/>
          <w:rtl/>
        </w:rPr>
        <w:t>לקתה חייב לרפאותה</w:t>
      </w:r>
      <w:r>
        <w:rPr>
          <w:rFonts w:cs="Arial" w:hint="cs"/>
          <w:rtl/>
        </w:rPr>
        <w:t>'</w:t>
      </w:r>
      <w:r>
        <w:rPr>
          <w:rFonts w:cs="Arial"/>
          <w:rtl/>
        </w:rPr>
        <w:t xml:space="preserve"> ולא מפליג בין רפואה שיש לה קצבה לרפואה שאין לה קצבה</w:t>
      </w:r>
      <w:r>
        <w:rPr>
          <w:rFonts w:cs="Arial" w:hint="cs"/>
          <w:rtl/>
        </w:rPr>
        <w:t>.</w:t>
      </w:r>
      <w:r>
        <w:rPr>
          <w:rFonts w:cs="Arial"/>
          <w:rtl/>
        </w:rPr>
        <w:t xml:space="preserve"> וזה שלא כדברי הרב בעל העיטור (אות כ כתובות לז ע"ב ח"א) שכתב שאף באשת איש הדין כן</w:t>
      </w:r>
      <w:r>
        <w:rPr>
          <w:rFonts w:cs="Arial" w:hint="cs"/>
          <w:rtl/>
        </w:rPr>
        <w:t>,</w:t>
      </w:r>
      <w:r>
        <w:rPr>
          <w:rFonts w:cs="Arial"/>
          <w:rtl/>
        </w:rPr>
        <w:t xml:space="preserve"> והביא ראיה מהירושלמי דגרסינן בפרק מי שמת (ב"ב פ"ט ה"ד) קריבתיה דרבי שמעון בר אבא חששא עינא אתת קמיה דרבי יוחנן א"ל קציץ הוא אסייך אין קציץ מן פורניך ואי לא בעליך יהיב ליך</w:t>
      </w:r>
      <w:r>
        <w:rPr>
          <w:rFonts w:cs="Arial" w:hint="cs"/>
          <w:rtl/>
        </w:rPr>
        <w:t>.</w:t>
      </w:r>
      <w:r>
        <w:rPr>
          <w:rFonts w:cs="Arial"/>
          <w:rtl/>
        </w:rPr>
        <w:t xml:space="preserve"> אלמא אפילו בחיי בעלה רפואה שיש לה קצבה מתרפאת מכתובתה</w:t>
      </w:r>
      <w:r>
        <w:rPr>
          <w:rFonts w:cs="Arial" w:hint="cs"/>
          <w:rtl/>
        </w:rPr>
        <w:t>.</w:t>
      </w:r>
      <w:r>
        <w:rPr>
          <w:rFonts w:cs="Arial"/>
          <w:rtl/>
        </w:rPr>
        <w:t xml:space="preserve"> ואיפשר דאלמנה הות וכי קאמר </w:t>
      </w:r>
      <w:r>
        <w:rPr>
          <w:rFonts w:cs="Arial" w:hint="cs"/>
          <w:rtl/>
        </w:rPr>
        <w:t>'</w:t>
      </w:r>
      <w:r>
        <w:rPr>
          <w:rFonts w:cs="Arial"/>
          <w:rtl/>
        </w:rPr>
        <w:t>בעליך יהיב ליך</w:t>
      </w:r>
      <w:r>
        <w:rPr>
          <w:rFonts w:cs="Arial" w:hint="cs"/>
          <w:rtl/>
        </w:rPr>
        <w:t>'</w:t>
      </w:r>
      <w:r>
        <w:rPr>
          <w:rFonts w:cs="Arial"/>
          <w:rtl/>
        </w:rPr>
        <w:t xml:space="preserve"> מנכסי בעליך קאמר וכן דעת הרמב"ם שחילק פרק י"ח (ה"ה) באלמנה ולא חילק באשת איש פי"ד (הי"ז)</w:t>
      </w:r>
      <w:r>
        <w:rPr>
          <w:rFonts w:cs="Arial" w:hint="cs"/>
          <w:rtl/>
        </w:rPr>
        <w:t>. עכ"ל.</w:t>
      </w:r>
      <w:r>
        <w:rPr>
          <w:rFonts w:hint="cs"/>
          <w:rtl/>
        </w:rPr>
        <w:t xml:space="preserve"> וכתב הריטב"א </w:t>
      </w:r>
      <w:r w:rsidRPr="00F71203">
        <w:rPr>
          <w:rFonts w:hint="cs"/>
          <w:sz w:val="16"/>
          <w:szCs w:val="16"/>
          <w:rtl/>
        </w:rPr>
        <w:t>(כתובות נא. ד"ה לקתה</w:t>
      </w:r>
      <w:r>
        <w:rPr>
          <w:rFonts w:hint="cs"/>
          <w:sz w:val="16"/>
          <w:szCs w:val="16"/>
          <w:rtl/>
        </w:rPr>
        <w:t>)</w:t>
      </w:r>
      <w:r>
        <w:rPr>
          <w:rFonts w:hint="cs"/>
          <w:rtl/>
        </w:rPr>
        <w:t xml:space="preserve"> דהרי"ף כתב על הירושלמי דפליג אגמרא דידן, ואגמרא דידן סמכינן, או דיש לומר דמאי דאמר 'בעליך יהיב ליך' היינו מנכסי בעלה (כמו שפירש הר"ן). וסיים הריטב"א דדוחק לומר דהכוונה לנכסי בעלה אלא י"ל דפליג ואעפ"כ אגמרא דידן סמכינן.</w:t>
      </w:r>
    </w:p>
  </w:footnote>
  <w:footnote w:id="633">
    <w:p w14:paraId="2763D03D" w14:textId="6B4AAD28" w:rsidR="00DE2F5F" w:rsidRDefault="00DE2F5F">
      <w:pPr>
        <w:pStyle w:val="a5"/>
      </w:pPr>
      <w:r>
        <w:rPr>
          <w:rStyle w:val="a7"/>
        </w:rPr>
        <w:footnoteRef/>
      </w:r>
      <w:r>
        <w:rPr>
          <w:rtl/>
        </w:rPr>
        <w:t xml:space="preserve"> </w:t>
      </w:r>
      <w:r w:rsidRPr="00606810">
        <w:rPr>
          <w:rFonts w:cs="Arial"/>
          <w:rtl/>
        </w:rPr>
        <w:t>כתב בשלט</w:t>
      </w:r>
      <w:r>
        <w:rPr>
          <w:rFonts w:cs="Arial" w:hint="cs"/>
          <w:rtl/>
        </w:rPr>
        <w:t xml:space="preserve">"ג </w:t>
      </w:r>
      <w:r w:rsidRPr="00606810">
        <w:rPr>
          <w:rFonts w:cs="Arial"/>
          <w:rtl/>
        </w:rPr>
        <w:t>בשם ר"י אחרון שאם אין הבעל רוצה לרפאות את אשתו וגם אינו רוצה לגרשה שבדעתו ליורשה כופין אותו שיתן משלו כל הצורך לרפואה או יגרשנה ונוטלת כל הכתובה משלם ואם לותה מאחרים לצורך רפואתה חייב ליתן הכל משלו</w:t>
      </w:r>
      <w:r>
        <w:rPr>
          <w:rFonts w:cs="Arial" w:hint="cs"/>
          <w:rtl/>
        </w:rPr>
        <w:t>, ט"ז (סק"א).</w:t>
      </w:r>
      <w:r w:rsidRPr="00606810">
        <w:rPr>
          <w:rFonts w:cs="Arial" w:hint="cs"/>
          <w:rtl/>
        </w:rPr>
        <w:t xml:space="preserve"> </w:t>
      </w:r>
      <w:r>
        <w:rPr>
          <w:rFonts w:cs="Arial" w:hint="cs"/>
          <w:rtl/>
        </w:rPr>
        <w:t>וכ"כ הב"ש (סק"ג).</w:t>
      </w:r>
    </w:p>
  </w:footnote>
  <w:footnote w:id="634">
    <w:p w14:paraId="6B01C995" w14:textId="136C3291" w:rsidR="00DE2F5F" w:rsidRDefault="00DE2F5F">
      <w:pPr>
        <w:pStyle w:val="a5"/>
      </w:pPr>
      <w:r>
        <w:rPr>
          <w:rStyle w:val="a7"/>
        </w:rPr>
        <w:footnoteRef/>
      </w:r>
      <w:r>
        <w:rPr>
          <w:rtl/>
        </w:rPr>
        <w:t xml:space="preserve"> </w:t>
      </w:r>
      <w:r w:rsidRPr="00BC316A">
        <w:rPr>
          <w:rFonts w:cs="Arial"/>
          <w:rtl/>
        </w:rPr>
        <w:t>פרש"י שאינה חולה תדיר וה"ה אם היא חולנית תדיר והרופ' רוצה ליקח דבר קצוב ורוצה לרפא אותה כל זמן שתצטרך גם כן מקרי רפואה שיש לה קצבה</w:t>
      </w:r>
      <w:r>
        <w:rPr>
          <w:rFonts w:cs="Arial" w:hint="cs"/>
          <w:rtl/>
        </w:rPr>
        <w:t>, ח"מ (סק"א).</w:t>
      </w:r>
    </w:p>
  </w:footnote>
  <w:footnote w:id="635">
    <w:p w14:paraId="4D6F74A2" w14:textId="589D6B20" w:rsidR="00DE2F5F" w:rsidRDefault="00DE2F5F">
      <w:pPr>
        <w:pStyle w:val="a5"/>
      </w:pPr>
      <w:r>
        <w:rPr>
          <w:rStyle w:val="a7"/>
        </w:rPr>
        <w:footnoteRef/>
      </w:r>
      <w:r>
        <w:rPr>
          <w:rtl/>
        </w:rPr>
        <w:t xml:space="preserve"> </w:t>
      </w:r>
      <w:r w:rsidRPr="00606810">
        <w:rPr>
          <w:rFonts w:cs="Arial"/>
          <w:rtl/>
        </w:rPr>
        <w:t>וכן בימי לידתה מחוייבים ליתן לה מזונות כנהוג שנותנים ליולדת ד' שבועו' תשו' רש"ל סי' מ"ה</w:t>
      </w:r>
      <w:r>
        <w:rPr>
          <w:rFonts w:cs="Arial" w:hint="cs"/>
          <w:rtl/>
        </w:rPr>
        <w:t>, ב"ש (סק"ב).</w:t>
      </w:r>
    </w:p>
  </w:footnote>
  <w:footnote w:id="636">
    <w:p w14:paraId="0083F054" w14:textId="7B323974" w:rsidR="00DE2F5F" w:rsidRDefault="00DE2F5F">
      <w:pPr>
        <w:pStyle w:val="a5"/>
      </w:pPr>
      <w:r>
        <w:rPr>
          <w:rStyle w:val="a7"/>
        </w:rPr>
        <w:footnoteRef/>
      </w:r>
      <w:r>
        <w:rPr>
          <w:rtl/>
        </w:rPr>
        <w:t xml:space="preserve"> </w:t>
      </w:r>
      <w:r w:rsidRPr="00606810">
        <w:rPr>
          <w:rFonts w:cs="Arial"/>
          <w:rtl/>
        </w:rPr>
        <w:t>לפיכך חייבים ברפואתה כל זמן שחייבים במזונותיה משא"כ אשה בחיי בעלה שחייב תמיד במזונותיה משו"ה נראה באם אמר לה בעלה צאי מעשה ידיך במזונותיך דגם כן אינו חייב ברפואתה שיש לה קצבה וכתב רש"ל דכל זה הוא מדינא דגמ' אבל לדידן דנהגינן שלא לגרש בע"כ מתקנת ר"ג לא מצי אמר כלל הא גיטיך וכו' ואפילו בחולה ארוך ואפילו מוטלת במטה עכ"ל</w:t>
      </w:r>
      <w:r>
        <w:rPr>
          <w:rFonts w:cs="Arial" w:hint="cs"/>
          <w:rtl/>
        </w:rPr>
        <w:t>, ט"ז (סק"א). וה</w:t>
      </w:r>
      <w:r w:rsidRPr="00606810">
        <w:rPr>
          <w:rFonts w:cs="Arial"/>
          <w:rtl/>
        </w:rPr>
        <w:t xml:space="preserve">ב"ח </w:t>
      </w:r>
      <w:r>
        <w:rPr>
          <w:rFonts w:cs="Arial" w:hint="cs"/>
          <w:rtl/>
        </w:rPr>
        <w:t xml:space="preserve">(בסי' עז) כתב </w:t>
      </w:r>
      <w:r w:rsidRPr="00606810">
        <w:rPr>
          <w:rFonts w:cs="Arial"/>
          <w:rtl/>
        </w:rPr>
        <w:t>בשם הרב מהרר"א מזרחי דאף בזמן הזה אם רוצה לגרש וליתן לה כתובתה אין לה עליו כלום</w:t>
      </w:r>
      <w:r>
        <w:rPr>
          <w:rFonts w:cs="Arial" w:hint="cs"/>
          <w:rtl/>
        </w:rPr>
        <w:t>, אך הח"מ (סי' עז סק"ג) דחה ראיות הרב מזרחי.</w:t>
      </w:r>
    </w:p>
  </w:footnote>
  <w:footnote w:id="637">
    <w:p w14:paraId="1F154744" w14:textId="1DC56E58" w:rsidR="00DE2F5F" w:rsidRDefault="00DE2F5F" w:rsidP="004C3A87">
      <w:pPr>
        <w:pStyle w:val="a5"/>
        <w:rPr>
          <w:rtl/>
        </w:rPr>
      </w:pPr>
      <w:r>
        <w:rPr>
          <w:rStyle w:val="a7"/>
        </w:rPr>
        <w:footnoteRef/>
      </w:r>
      <w:r>
        <w:rPr>
          <w:rtl/>
        </w:rPr>
        <w:t xml:space="preserve"> </w:t>
      </w:r>
      <w:r>
        <w:rPr>
          <w:rFonts w:hint="cs"/>
          <w:rtl/>
        </w:rPr>
        <w:t xml:space="preserve">וכ"כ הרא"ש (ב"ק פ"ח ס' א) גבי מי שצריך ליתן רפואה לחברו על שחבל בו,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F71203">
        <w:rPr>
          <w:rFonts w:cs="Arial"/>
          <w:rtl/>
        </w:rPr>
        <w:t>וכן אם עבר על דברי הרופאים ואכל דברים הקשי' למכתו ומחמת כן נתקלקלה המכה אינו חייב לרפאותו</w:t>
      </w:r>
      <w:r>
        <w:rPr>
          <w:rFonts w:hint="cs"/>
          <w:rtl/>
        </w:rPr>
        <w:t>.</w:t>
      </w:r>
    </w:p>
  </w:footnote>
  <w:footnote w:id="638">
    <w:p w14:paraId="5E083756" w14:textId="77777777" w:rsidR="00DE2F5F" w:rsidRDefault="00DE2F5F" w:rsidP="00EC5ABC">
      <w:pPr>
        <w:pStyle w:val="a5"/>
      </w:pPr>
      <w:r>
        <w:rPr>
          <w:rStyle w:val="a7"/>
        </w:rPr>
        <w:footnoteRef/>
      </w:r>
      <w:r>
        <w:rPr>
          <w:rtl/>
        </w:rPr>
        <w:t xml:space="preserve"> </w:t>
      </w:r>
      <w:r w:rsidRPr="00293DC3">
        <w:rPr>
          <w:rFonts w:cs="Arial"/>
          <w:rtl/>
        </w:rPr>
        <w:t>שיקבל עליו רפואתה עולמית בכך וכך</w:t>
      </w:r>
      <w:r>
        <w:rPr>
          <w:rFonts w:cs="Arial" w:hint="cs"/>
          <w:rtl/>
        </w:rPr>
        <w:t>, רש"י.</w:t>
      </w:r>
    </w:p>
  </w:footnote>
  <w:footnote w:id="639">
    <w:p w14:paraId="7C3FB801" w14:textId="77777777" w:rsidR="00DE2F5F" w:rsidRDefault="00DE2F5F" w:rsidP="00EC5ABC">
      <w:pPr>
        <w:pStyle w:val="a5"/>
      </w:pPr>
      <w:r>
        <w:rPr>
          <w:rStyle w:val="a7"/>
        </w:rPr>
        <w:footnoteRef/>
      </w:r>
      <w:r>
        <w:rPr>
          <w:rtl/>
        </w:rPr>
        <w:t xml:space="preserve"> </w:t>
      </w:r>
      <w:r w:rsidRPr="00293DC3">
        <w:rPr>
          <w:rFonts w:cs="Arial"/>
          <w:rtl/>
        </w:rPr>
        <w:t>אוהב אחד מבעלי דינין ומטעים זכיותיו לדיין ועורך הדין לפני הדיינין לזכותו מיקרי עורכי הדיינין שעורך את הדיינין להפוך לבם לטובתו של זה</w:t>
      </w:r>
      <w:r>
        <w:rPr>
          <w:rFonts w:cs="Arial" w:hint="cs"/>
          <w:rtl/>
        </w:rPr>
        <w:t>, רש"י.</w:t>
      </w:r>
    </w:p>
  </w:footnote>
  <w:footnote w:id="640">
    <w:p w14:paraId="3382EF6E" w14:textId="77777777" w:rsidR="00DE2F5F" w:rsidRDefault="00DE2F5F" w:rsidP="00EC5ABC">
      <w:pPr>
        <w:pStyle w:val="a5"/>
      </w:pPr>
      <w:r>
        <w:rPr>
          <w:rStyle w:val="a7"/>
        </w:rPr>
        <w:footnoteRef/>
      </w:r>
      <w:r>
        <w:rPr>
          <w:rtl/>
        </w:rPr>
        <w:t xml:space="preserve"> </w:t>
      </w:r>
      <w:r w:rsidRPr="003319C5">
        <w:rPr>
          <w:rFonts w:cs="Arial"/>
          <w:rtl/>
        </w:rPr>
        <w:t>חולי שיש לה קיצבה שאינה חולה תדיר אינה בכלל מזונות ומתרפאת מכתובתה וכן אם עשו קיצבה עם הרופא בשכרו כדלקמן</w:t>
      </w:r>
      <w:r>
        <w:rPr>
          <w:rFonts w:cs="Arial" w:hint="cs"/>
          <w:rtl/>
        </w:rPr>
        <w:t>, פני משה.</w:t>
      </w:r>
    </w:p>
  </w:footnote>
  <w:footnote w:id="641">
    <w:p w14:paraId="41282C8C" w14:textId="77777777" w:rsidR="00DE2F5F" w:rsidRDefault="00DE2F5F" w:rsidP="00EC5ABC">
      <w:pPr>
        <w:pStyle w:val="a5"/>
      </w:pPr>
      <w:r>
        <w:rPr>
          <w:rStyle w:val="a7"/>
        </w:rPr>
        <w:footnoteRef/>
      </w:r>
      <w:r>
        <w:rPr>
          <w:rtl/>
        </w:rPr>
        <w:t xml:space="preserve"> </w:t>
      </w:r>
      <w:r w:rsidRPr="003319C5">
        <w:rPr>
          <w:rFonts w:cs="Arial"/>
          <w:rtl/>
        </w:rPr>
        <w:t>היתה לה מיחוש עינים ובאת לפני ר' יוחנן ושאל לה אם קצץ זה הרופא שלך</w:t>
      </w:r>
      <w:r>
        <w:rPr>
          <w:rFonts w:cs="Arial" w:hint="cs"/>
          <w:rtl/>
        </w:rPr>
        <w:t>, פני משה.</w:t>
      </w:r>
    </w:p>
  </w:footnote>
  <w:footnote w:id="642">
    <w:p w14:paraId="3D41CBAE" w14:textId="77777777" w:rsidR="00DE2F5F" w:rsidRDefault="00DE2F5F" w:rsidP="00EC5ABC">
      <w:pPr>
        <w:pStyle w:val="a5"/>
      </w:pPr>
      <w:r>
        <w:rPr>
          <w:rStyle w:val="a7"/>
        </w:rPr>
        <w:footnoteRef/>
      </w:r>
      <w:r>
        <w:rPr>
          <w:rtl/>
        </w:rPr>
        <w:t xml:space="preserve"> </w:t>
      </w:r>
      <w:r w:rsidRPr="003319C5">
        <w:rPr>
          <w:rFonts w:cs="Arial"/>
          <w:rtl/>
        </w:rPr>
        <w:t>אם עשית קצבה עמו בעד שכרו</w:t>
      </w:r>
      <w:r>
        <w:rPr>
          <w:rFonts w:cs="Arial" w:hint="cs"/>
          <w:rtl/>
        </w:rPr>
        <w:t>, פני משה.</w:t>
      </w:r>
    </w:p>
  </w:footnote>
  <w:footnote w:id="643">
    <w:p w14:paraId="202F9D5E" w14:textId="77777777" w:rsidR="00DE2F5F" w:rsidRDefault="00DE2F5F" w:rsidP="00EC5ABC">
      <w:pPr>
        <w:pStyle w:val="a5"/>
      </w:pPr>
      <w:r>
        <w:rPr>
          <w:rStyle w:val="a7"/>
        </w:rPr>
        <w:footnoteRef/>
      </w:r>
      <w:r>
        <w:rPr>
          <w:rtl/>
        </w:rPr>
        <w:t xml:space="preserve"> </w:t>
      </w:r>
      <w:r w:rsidRPr="003319C5">
        <w:rPr>
          <w:rFonts w:cs="Arial"/>
          <w:rtl/>
        </w:rPr>
        <w:t>צריכה את לשלם מכתובתיך ואם לאו בעלך צריך שיתן לך לשלם הרופא דכל שאין לו קצבה בכלל מזונות הוא</w:t>
      </w:r>
      <w:r>
        <w:rPr>
          <w:rFonts w:cs="Arial" w:hint="cs"/>
          <w:rtl/>
        </w:rPr>
        <w:t>, פני משה.</w:t>
      </w:r>
    </w:p>
  </w:footnote>
  <w:footnote w:id="644">
    <w:p w14:paraId="70BA8178" w14:textId="4B86FCD4" w:rsidR="00DE2F5F" w:rsidRDefault="00DE2F5F">
      <w:pPr>
        <w:pStyle w:val="a5"/>
        <w:rPr>
          <w:rtl/>
        </w:rPr>
      </w:pPr>
      <w:r>
        <w:rPr>
          <w:rStyle w:val="a7"/>
        </w:rPr>
        <w:footnoteRef/>
      </w:r>
      <w:r>
        <w:rPr>
          <w:rtl/>
        </w:rPr>
        <w:t xml:space="preserve"> </w:t>
      </w:r>
      <w:r>
        <w:rPr>
          <w:rFonts w:cs="Arial"/>
          <w:rtl/>
        </w:rPr>
        <w:t xml:space="preserve">ואין כן דעת רבינו </w:t>
      </w:r>
      <w:r>
        <w:rPr>
          <w:rFonts w:cs="Arial" w:hint="cs"/>
          <w:sz w:val="16"/>
          <w:szCs w:val="16"/>
          <w:rtl/>
        </w:rPr>
        <w:t>{הרמב"ם}</w:t>
      </w:r>
      <w:r>
        <w:rPr>
          <w:rFonts w:cs="Arial" w:hint="cs"/>
          <w:rtl/>
        </w:rPr>
        <w:t xml:space="preserve">, </w:t>
      </w:r>
      <w:r>
        <w:rPr>
          <w:rFonts w:cs="Arial"/>
          <w:rtl/>
        </w:rPr>
        <w:t>שלא חילק</w:t>
      </w:r>
      <w:r>
        <w:rPr>
          <w:rFonts w:cs="Arial" w:hint="cs"/>
          <w:rtl/>
        </w:rPr>
        <w:t>,</w:t>
      </w:r>
      <w:r>
        <w:rPr>
          <w:rFonts w:cs="Arial"/>
          <w:rtl/>
        </w:rPr>
        <w:t xml:space="preserve"> ואני אומר שאם כן הוא </w:t>
      </w:r>
      <w:r>
        <w:rPr>
          <w:rFonts w:cs="Arial" w:hint="cs"/>
          <w:rtl/>
        </w:rPr>
        <w:t xml:space="preserve">- </w:t>
      </w:r>
      <w:r>
        <w:rPr>
          <w:rFonts w:cs="Arial"/>
          <w:rtl/>
        </w:rPr>
        <w:t xml:space="preserve">לא היו סותמין במשנה ובגמרא מלפרש </w:t>
      </w:r>
      <w:r>
        <w:rPr>
          <w:rFonts w:cs="Arial" w:hint="cs"/>
          <w:rtl/>
        </w:rPr>
        <w:t>'</w:t>
      </w:r>
      <w:r>
        <w:rPr>
          <w:rFonts w:cs="Arial"/>
          <w:rtl/>
        </w:rPr>
        <w:t>ב</w:t>
      </w:r>
      <w:r>
        <w:rPr>
          <w:rFonts w:cs="Arial" w:hint="cs"/>
          <w:rtl/>
        </w:rPr>
        <w:t>ד"א</w:t>
      </w:r>
      <w:r>
        <w:rPr>
          <w:rFonts w:cs="Arial"/>
          <w:rtl/>
        </w:rPr>
        <w:t xml:space="preserve"> בשאינה מוטלת אבל מוטלת אינו רשאי</w:t>
      </w:r>
      <w:r>
        <w:rPr>
          <w:rFonts w:cs="Arial" w:hint="cs"/>
          <w:rtl/>
        </w:rPr>
        <w:t>',</w:t>
      </w:r>
      <w:r>
        <w:rPr>
          <w:rFonts w:cs="Arial"/>
          <w:rtl/>
        </w:rPr>
        <w:t xml:space="preserve"> וכבר חילקו שם בדין האלמנה ברפואה בין יש לה קצבה לאין לה קצבה ולא חילקו כלל כשהיא אשת איש</w:t>
      </w:r>
      <w:r>
        <w:rPr>
          <w:rFonts w:cs="Arial" w:hint="cs"/>
          <w:rtl/>
        </w:rPr>
        <w:t>.</w:t>
      </w:r>
      <w:r>
        <w:rPr>
          <w:rFonts w:cs="Arial"/>
          <w:rtl/>
        </w:rPr>
        <w:t xml:space="preserve"> וענין יפת תואר חידוש הוא ולא התירה אותה תורה אלא כנגד יצר הרע ורצה לחוש עליה שהיא שבויה בארץ נכריה ובעלה בע</w:t>
      </w:r>
      <w:r>
        <w:rPr>
          <w:rFonts w:cs="Arial" w:hint="cs"/>
          <w:rtl/>
        </w:rPr>
        <w:t xml:space="preserve">ל </w:t>
      </w:r>
      <w:r>
        <w:rPr>
          <w:rFonts w:cs="Arial"/>
          <w:rtl/>
        </w:rPr>
        <w:t>כ</w:t>
      </w:r>
      <w:r>
        <w:rPr>
          <w:rFonts w:cs="Arial" w:hint="cs"/>
          <w:rtl/>
        </w:rPr>
        <w:t>רחה</w:t>
      </w:r>
      <w:r>
        <w:rPr>
          <w:rFonts w:cs="Arial"/>
          <w:rtl/>
        </w:rPr>
        <w:t xml:space="preserve"> ואין לה שום דבר לרפאות את עצמה</w:t>
      </w:r>
      <w:r>
        <w:rPr>
          <w:rFonts w:cs="Arial" w:hint="cs"/>
          <w:rtl/>
        </w:rPr>
        <w:t>,</w:t>
      </w:r>
      <w:r>
        <w:rPr>
          <w:rFonts w:cs="Arial"/>
          <w:rtl/>
        </w:rPr>
        <w:t xml:space="preserve"> ולפיכך דרשו ז"ל ושלחתה לנפשה בזמן שהיא יכולה לילך מאליה</w:t>
      </w:r>
      <w:r>
        <w:rPr>
          <w:rFonts w:cs="Arial" w:hint="cs"/>
          <w:rtl/>
        </w:rPr>
        <w:t>.</w:t>
      </w:r>
      <w:r>
        <w:rPr>
          <w:rFonts w:cs="Arial"/>
          <w:rtl/>
        </w:rPr>
        <w:t xml:space="preserve"> ואיפשר שאף ביפת תואר אסמכתא מדבריהם</w:t>
      </w:r>
      <w:r>
        <w:rPr>
          <w:rFonts w:cs="Arial" w:hint="cs"/>
          <w:rtl/>
        </w:rPr>
        <w:t>.</w:t>
      </w:r>
      <w:r>
        <w:rPr>
          <w:rFonts w:cs="Arial"/>
          <w:rtl/>
        </w:rPr>
        <w:t xml:space="preserve"> ותמהני על רבינו למה לא הזכיר הדין ההוא בהלכות מלכים בדיני היפת תואר</w:t>
      </w:r>
      <w:r>
        <w:rPr>
          <w:rFonts w:cs="Arial" w:hint="cs"/>
          <w:rtl/>
        </w:rPr>
        <w:t>, הה"מ (שם)</w:t>
      </w:r>
      <w:r>
        <w:rPr>
          <w:rFonts w:cs="Arial"/>
          <w:rtl/>
        </w:rPr>
        <w:t>.</w:t>
      </w:r>
    </w:p>
  </w:footnote>
  <w:footnote w:id="645">
    <w:p w14:paraId="06B85DBC" w14:textId="2EFD5D24" w:rsidR="00DE2F5F" w:rsidRDefault="00DE2F5F">
      <w:pPr>
        <w:pStyle w:val="a5"/>
      </w:pPr>
      <w:r>
        <w:rPr>
          <w:rStyle w:val="a7"/>
        </w:rPr>
        <w:footnoteRef/>
      </w:r>
      <w:r>
        <w:rPr>
          <w:rtl/>
        </w:rPr>
        <w:t xml:space="preserve"> </w:t>
      </w:r>
      <w:r w:rsidRPr="00B11643">
        <w:rPr>
          <w:rFonts w:cs="Arial"/>
          <w:rtl/>
        </w:rPr>
        <w:t>הח"מ כתב ה"ה בחולה שאינו ארוך. והב"ש כ' דוקא חולה ארוך ע"ש</w:t>
      </w:r>
      <w:r>
        <w:rPr>
          <w:rFonts w:cs="Arial" w:hint="cs"/>
          <w:rtl/>
        </w:rPr>
        <w:t>, באה"ט (סק"ג).</w:t>
      </w:r>
    </w:p>
  </w:footnote>
  <w:footnote w:id="646">
    <w:p w14:paraId="5A768A55" w14:textId="4849B9B8" w:rsidR="00DE2F5F" w:rsidRDefault="00DE2F5F">
      <w:pPr>
        <w:pStyle w:val="a5"/>
      </w:pPr>
      <w:r>
        <w:rPr>
          <w:rStyle w:val="a7"/>
        </w:rPr>
        <w:footnoteRef/>
      </w:r>
      <w:r>
        <w:rPr>
          <w:rtl/>
        </w:rPr>
        <w:t xml:space="preserve"> </w:t>
      </w:r>
      <w:r w:rsidRPr="001702D1">
        <w:rPr>
          <w:rFonts w:cs="Arial"/>
          <w:rtl/>
        </w:rPr>
        <w:t>כתב מהרש"ל בזה"ז אפילו חולי ארוך אפי' אינה מוטלת על ע</w:t>
      </w:r>
      <w:r w:rsidR="00674125">
        <w:rPr>
          <w:rFonts w:cs="Arial" w:hint="cs"/>
          <w:rtl/>
        </w:rPr>
        <w:t>רש דוי</w:t>
      </w:r>
      <w:r w:rsidRPr="001702D1">
        <w:rPr>
          <w:rFonts w:cs="Arial"/>
          <w:rtl/>
        </w:rPr>
        <w:t xml:space="preserve"> </w:t>
      </w:r>
      <w:r w:rsidR="00674125">
        <w:rPr>
          <w:rFonts w:cs="Arial" w:hint="cs"/>
          <w:rtl/>
        </w:rPr>
        <w:t xml:space="preserve">- </w:t>
      </w:r>
      <w:r w:rsidRPr="001702D1">
        <w:rPr>
          <w:rFonts w:cs="Arial"/>
          <w:rtl/>
        </w:rPr>
        <w:t>א</w:t>
      </w:r>
      <w:r w:rsidR="00674125">
        <w:rPr>
          <w:rFonts w:cs="Arial" w:hint="cs"/>
          <w:rtl/>
        </w:rPr>
        <w:t>ינו יכול</w:t>
      </w:r>
      <w:r w:rsidRPr="001702D1">
        <w:rPr>
          <w:rFonts w:cs="Arial"/>
          <w:rtl/>
        </w:rPr>
        <w:t xml:space="preserve"> לגרשה בע</w:t>
      </w:r>
      <w:r w:rsidR="00674125">
        <w:rPr>
          <w:rFonts w:cs="Arial" w:hint="cs"/>
          <w:rtl/>
        </w:rPr>
        <w:t>ל כרחה.</w:t>
      </w:r>
      <w:r w:rsidRPr="001702D1">
        <w:rPr>
          <w:rFonts w:cs="Arial"/>
          <w:rtl/>
        </w:rPr>
        <w:t xml:space="preserve"> מיהו יש לדייק ממתני' ומן הפוסקים דכתבו בסתם דרשאי לומר הרי גיטך וכתובתך ורפאי את עצמך אפילו בזיוג הראשון דאסור לגרשה</w:t>
      </w:r>
      <w:r w:rsidR="00B43444">
        <w:rPr>
          <w:rFonts w:cs="Arial" w:hint="cs"/>
          <w:rtl/>
        </w:rPr>
        <w:t>,</w:t>
      </w:r>
      <w:r w:rsidRPr="001702D1">
        <w:rPr>
          <w:rFonts w:cs="Arial"/>
          <w:rtl/>
        </w:rPr>
        <w:t xml:space="preserve"> אפ"ה אם היא חולי יכול לגרשה</w:t>
      </w:r>
      <w:r w:rsidR="00B43444">
        <w:rPr>
          <w:rFonts w:cs="Arial" w:hint="cs"/>
          <w:rtl/>
        </w:rPr>
        <w:t>,</w:t>
      </w:r>
      <w:r w:rsidRPr="001702D1">
        <w:rPr>
          <w:rFonts w:cs="Arial"/>
          <w:rtl/>
        </w:rPr>
        <w:t xml:space="preserve"> לפ"ז ה"ה בזה"ז דאיכ' חר"ג י"ל דיכול לגרשה כמ"ש ר"ס ע"ז</w:t>
      </w:r>
      <w:r w:rsidR="00674125">
        <w:rPr>
          <w:rFonts w:cs="Arial" w:hint="cs"/>
          <w:rtl/>
        </w:rPr>
        <w:t>, ב"ש (סק"ד).</w:t>
      </w:r>
    </w:p>
  </w:footnote>
  <w:footnote w:id="647">
    <w:p w14:paraId="5D9D46C6" w14:textId="669ED9B4" w:rsidR="007D5E49" w:rsidRDefault="007D5E49">
      <w:pPr>
        <w:pStyle w:val="a5"/>
        <w:rPr>
          <w:rtl/>
        </w:rPr>
      </w:pPr>
      <w:r>
        <w:rPr>
          <w:rStyle w:val="a7"/>
        </w:rPr>
        <w:footnoteRef/>
      </w:r>
      <w:r>
        <w:rPr>
          <w:rtl/>
        </w:rPr>
        <w:t xml:space="preserve"> </w:t>
      </w:r>
      <w:r>
        <w:rPr>
          <w:rFonts w:hint="cs"/>
          <w:rtl/>
        </w:rPr>
        <w:t>סימן - נערה טוחנת. וכן - נהייתה טוחנת.</w:t>
      </w:r>
    </w:p>
  </w:footnote>
  <w:footnote w:id="648">
    <w:p w14:paraId="2C1C3025" w14:textId="7BB5467B" w:rsidR="00DE2F5F" w:rsidRDefault="00DE2F5F">
      <w:pPr>
        <w:pStyle w:val="a5"/>
      </w:pPr>
      <w:r>
        <w:rPr>
          <w:rStyle w:val="a7"/>
        </w:rPr>
        <w:footnoteRef/>
      </w:r>
      <w:r>
        <w:rPr>
          <w:rtl/>
        </w:rPr>
        <w:t xml:space="preserve"> </w:t>
      </w:r>
      <w:r w:rsidRPr="00DC4762">
        <w:rPr>
          <w:rFonts w:cs="Arial"/>
          <w:rtl/>
        </w:rPr>
        <w:t>המים מגלגלין האופן וטוחן</w:t>
      </w:r>
      <w:r>
        <w:rPr>
          <w:rFonts w:cs="Arial" w:hint="cs"/>
          <w:rtl/>
        </w:rPr>
        <w:t>, רש"י.</w:t>
      </w:r>
    </w:p>
  </w:footnote>
  <w:footnote w:id="649">
    <w:p w14:paraId="5DFAC923" w14:textId="46A4BE36" w:rsidR="00DE2F5F" w:rsidRDefault="00DE2F5F">
      <w:pPr>
        <w:pStyle w:val="a5"/>
      </w:pPr>
      <w:r>
        <w:rPr>
          <w:rStyle w:val="a7"/>
        </w:rPr>
        <w:footnoteRef/>
      </w:r>
      <w:r>
        <w:rPr>
          <w:rtl/>
        </w:rPr>
        <w:t xml:space="preserve"> </w:t>
      </w:r>
      <w:r w:rsidRPr="00DC4762">
        <w:rPr>
          <w:rFonts w:cs="Arial"/>
          <w:rtl/>
        </w:rPr>
        <w:t>מכינה צרכי טחינה נותנתו באפרכסת וקולטת את הקמח</w:t>
      </w:r>
      <w:r>
        <w:rPr>
          <w:rFonts w:cs="Arial" w:hint="cs"/>
          <w:rtl/>
        </w:rPr>
        <w:t xml:space="preserve">, </w:t>
      </w:r>
      <w:r w:rsidRPr="00737E53">
        <w:rPr>
          <w:rFonts w:cs="Arial" w:hint="cs"/>
          <w:b/>
          <w:bCs/>
          <w:rtl/>
        </w:rPr>
        <w:t>רש"י</w:t>
      </w:r>
      <w:r>
        <w:rPr>
          <w:rFonts w:cs="Arial" w:hint="cs"/>
          <w:rtl/>
        </w:rPr>
        <w:t>.</w:t>
      </w:r>
      <w:r w:rsidRPr="00867395">
        <w:rPr>
          <w:rFonts w:cs="Arial"/>
          <w:rtl/>
        </w:rPr>
        <w:t xml:space="preserve"> </w:t>
      </w:r>
      <w:r w:rsidR="00737E53">
        <w:rPr>
          <w:rFonts w:cs="Arial" w:hint="cs"/>
          <w:rtl/>
        </w:rPr>
        <w:t xml:space="preserve">     </w:t>
      </w:r>
      <w:r w:rsidRPr="00DC4762">
        <w:rPr>
          <w:rFonts w:cs="Arial"/>
          <w:rtl/>
        </w:rPr>
        <w:t>וז"ל הרמב"ם בפכ"א (מאישות ה"ה) ומטחנת כיצד מטחנת יושבת בריחים ומשמרת בקמח ואינה טוחנת ומחמרת אחר הבהמה כדי שלא יבטלו הריחים ואם היה דרכם לטחון בריחים של יד טוחנת עכ"ל</w:t>
      </w:r>
      <w:r w:rsidR="00737E53">
        <w:rPr>
          <w:rFonts w:cs="Arial" w:hint="cs"/>
          <w:rtl/>
        </w:rPr>
        <w:t>.</w:t>
      </w:r>
      <w:r w:rsidRPr="00DC4762">
        <w:rPr>
          <w:rFonts w:cs="Arial"/>
          <w:rtl/>
        </w:rPr>
        <w:t xml:space="preserve"> נראה מדבריו שהוא מפרש דהא דמתמהי טוחנת ס"ד</w:t>
      </w:r>
      <w:r w:rsidR="00170B1E">
        <w:rPr>
          <w:rFonts w:cs="Arial" w:hint="cs"/>
          <w:rtl/>
        </w:rPr>
        <w:t>,</w:t>
      </w:r>
      <w:r w:rsidRPr="00DC4762">
        <w:rPr>
          <w:rFonts w:cs="Arial"/>
          <w:rtl/>
        </w:rPr>
        <w:t xml:space="preserve"> היינו לומר דהיאך איפשר שתהא האשה חייבת לטחון היא עצמה בריחיים גדולים במקום בהמה</w:t>
      </w:r>
      <w:r w:rsidR="00170B1E">
        <w:rPr>
          <w:rFonts w:cs="Arial" w:hint="cs"/>
          <w:rtl/>
        </w:rPr>
        <w:t>,</w:t>
      </w:r>
      <w:r w:rsidRPr="00DC4762">
        <w:rPr>
          <w:rFonts w:cs="Arial"/>
          <w:rtl/>
        </w:rPr>
        <w:t xml:space="preserve"> שזה טורח גדול שאי אפשר לסובלו</w:t>
      </w:r>
      <w:r>
        <w:rPr>
          <w:rFonts w:cs="Arial" w:hint="cs"/>
          <w:rtl/>
        </w:rPr>
        <w:t>.</w:t>
      </w:r>
      <w:r w:rsidRPr="00DC4762">
        <w:rPr>
          <w:rFonts w:cs="Arial"/>
          <w:rtl/>
        </w:rPr>
        <w:t xml:space="preserve"> ותירץ אימא מטחנת כלומר מחמרת אחר הבהמה ומשמרת הריחים</w:t>
      </w:r>
      <w:r>
        <w:rPr>
          <w:rFonts w:cs="Arial" w:hint="cs"/>
          <w:rtl/>
        </w:rPr>
        <w:t>.</w:t>
      </w:r>
      <w:r w:rsidRPr="00DC4762">
        <w:rPr>
          <w:rFonts w:cs="Arial"/>
          <w:rtl/>
        </w:rPr>
        <w:t xml:space="preserve"> וכך הם דברי רבינו</w:t>
      </w:r>
      <w:r>
        <w:rPr>
          <w:rFonts w:cs="Arial" w:hint="cs"/>
          <w:rtl/>
        </w:rPr>
        <w:t xml:space="preserve">, </w:t>
      </w:r>
      <w:r w:rsidRPr="00737E53">
        <w:rPr>
          <w:rFonts w:cs="Arial" w:hint="cs"/>
          <w:b/>
          <w:bCs/>
          <w:rtl/>
        </w:rPr>
        <w:t>ב"י</w:t>
      </w:r>
      <w:r>
        <w:rPr>
          <w:rFonts w:cs="Arial" w:hint="cs"/>
          <w:rtl/>
        </w:rPr>
        <w:t>.</w:t>
      </w:r>
    </w:p>
  </w:footnote>
  <w:footnote w:id="650">
    <w:p w14:paraId="768A841F" w14:textId="24070245" w:rsidR="00DE2F5F" w:rsidRDefault="00DE2F5F">
      <w:pPr>
        <w:pStyle w:val="a5"/>
      </w:pPr>
      <w:r>
        <w:rPr>
          <w:rStyle w:val="a7"/>
        </w:rPr>
        <w:footnoteRef/>
      </w:r>
      <w:r>
        <w:rPr>
          <w:rtl/>
        </w:rPr>
        <w:t xml:space="preserve"> </w:t>
      </w:r>
      <w:r w:rsidRPr="00DC4762">
        <w:rPr>
          <w:rFonts w:cs="Arial"/>
          <w:rtl/>
        </w:rPr>
        <w:t>לעולם טוחנת היא עצמה</w:t>
      </w:r>
      <w:r>
        <w:rPr>
          <w:rFonts w:cs="Arial" w:hint="cs"/>
          <w:rtl/>
        </w:rPr>
        <w:t>, רש"י.</w:t>
      </w:r>
    </w:p>
  </w:footnote>
  <w:footnote w:id="651">
    <w:p w14:paraId="432EACCE" w14:textId="115F064C" w:rsidR="00DE2F5F" w:rsidRDefault="00DE2F5F">
      <w:pPr>
        <w:pStyle w:val="a5"/>
        <w:rPr>
          <w:rtl/>
        </w:rPr>
      </w:pPr>
      <w:r>
        <w:rPr>
          <w:rStyle w:val="a7"/>
        </w:rPr>
        <w:footnoteRef/>
      </w:r>
      <w:r>
        <w:rPr>
          <w:rtl/>
        </w:rPr>
        <w:t xml:space="preserve"> </w:t>
      </w:r>
      <w:r w:rsidRPr="00DC4762">
        <w:rPr>
          <w:rFonts w:cs="Arial"/>
          <w:rtl/>
        </w:rPr>
        <w:t>ריחים של יד</w:t>
      </w:r>
      <w:r>
        <w:rPr>
          <w:rFonts w:hint="cs"/>
          <w:rtl/>
        </w:rPr>
        <w:t>, רש"י.</w:t>
      </w:r>
    </w:p>
  </w:footnote>
  <w:footnote w:id="652">
    <w:p w14:paraId="0FD97BBC" w14:textId="01CE94D3" w:rsidR="00DE2F5F" w:rsidRDefault="00DE2F5F">
      <w:pPr>
        <w:pStyle w:val="a5"/>
      </w:pPr>
      <w:r>
        <w:rPr>
          <w:rStyle w:val="a7"/>
        </w:rPr>
        <w:footnoteRef/>
      </w:r>
      <w:r>
        <w:rPr>
          <w:rtl/>
        </w:rPr>
        <w:t xml:space="preserve"> </w:t>
      </w:r>
      <w:r w:rsidRPr="00D04A54">
        <w:rPr>
          <w:rFonts w:cs="Arial"/>
          <w:rtl/>
        </w:rPr>
        <w:t>רבי אליעזר מה לי לידי שעמום מה לי לידי זימה</w:t>
      </w:r>
      <w:r>
        <w:rPr>
          <w:rFonts w:cs="Arial" w:hint="cs"/>
          <w:rtl/>
        </w:rPr>
        <w:t>, רש"י.</w:t>
      </w:r>
    </w:p>
  </w:footnote>
  <w:footnote w:id="653">
    <w:p w14:paraId="676951B2" w14:textId="3882ED6C" w:rsidR="00DE2F5F" w:rsidRDefault="00DE2F5F">
      <w:pPr>
        <w:pStyle w:val="a5"/>
      </w:pPr>
      <w:r>
        <w:rPr>
          <w:rStyle w:val="a7"/>
        </w:rPr>
        <w:footnoteRef/>
      </w:r>
      <w:r>
        <w:rPr>
          <w:rtl/>
        </w:rPr>
        <w:t xml:space="preserve"> </w:t>
      </w:r>
      <w:r w:rsidRPr="00D04A54">
        <w:rPr>
          <w:rFonts w:cs="Arial"/>
          <w:rtl/>
        </w:rPr>
        <w:t>משחקת בכלבים דקים ושחוק שקורין אישקקי"ש לידי זימה איכא לידי שיעמום ליכא דאין שיעמום אלא ביושב ותוהא ובטל לגמרי</w:t>
      </w:r>
      <w:r>
        <w:rPr>
          <w:rFonts w:cs="Arial" w:hint="cs"/>
          <w:rtl/>
        </w:rPr>
        <w:t>, רש"י.</w:t>
      </w:r>
    </w:p>
  </w:footnote>
  <w:footnote w:id="654">
    <w:p w14:paraId="4366FF40" w14:textId="1F1AB08D" w:rsidR="008D551F" w:rsidRDefault="008D551F">
      <w:pPr>
        <w:pStyle w:val="a5"/>
      </w:pPr>
      <w:r>
        <w:rPr>
          <w:rStyle w:val="a7"/>
        </w:rPr>
        <w:footnoteRef/>
      </w:r>
      <w:r>
        <w:rPr>
          <w:rtl/>
        </w:rPr>
        <w:t xml:space="preserve"> </w:t>
      </w:r>
      <w:r>
        <w:rPr>
          <w:rFonts w:hint="cs"/>
          <w:rtl/>
        </w:rPr>
        <w:t>סימן - סל דחויה.</w:t>
      </w:r>
    </w:p>
  </w:footnote>
  <w:footnote w:id="655">
    <w:p w14:paraId="7D225095" w14:textId="77777777" w:rsidR="00DE2F5F" w:rsidRDefault="00DE2F5F" w:rsidP="00D4035D">
      <w:pPr>
        <w:pStyle w:val="a5"/>
        <w:rPr>
          <w:rtl/>
        </w:rPr>
      </w:pPr>
      <w:r>
        <w:rPr>
          <w:rStyle w:val="a7"/>
        </w:rPr>
        <w:footnoteRef/>
      </w:r>
      <w:r>
        <w:rPr>
          <w:rtl/>
        </w:rPr>
        <w:t xml:space="preserve"> </w:t>
      </w:r>
      <w:r>
        <w:rPr>
          <w:rFonts w:cs="Arial"/>
          <w:rtl/>
        </w:rPr>
        <w:t>ומפרש רבינו אינו כופה אלא לעשות בצמר אבל בצמר כופה אותה שהרי אפילו הכניסה לו מאה שפחות כופה לעשות בצמר</w:t>
      </w:r>
      <w:r>
        <w:rPr>
          <w:rFonts w:hint="cs"/>
          <w:rtl/>
        </w:rPr>
        <w:t>, הה"מ (פכ"א ה"א).</w:t>
      </w:r>
    </w:p>
  </w:footnote>
  <w:footnote w:id="656">
    <w:p w14:paraId="1C7D25CB" w14:textId="5A54313B" w:rsidR="00DE2F5F" w:rsidRDefault="00DE2F5F" w:rsidP="002024D9">
      <w:pPr>
        <w:pStyle w:val="a5"/>
      </w:pPr>
      <w:r>
        <w:rPr>
          <w:rStyle w:val="a7"/>
        </w:rPr>
        <w:footnoteRef/>
      </w:r>
      <w:r>
        <w:rPr>
          <w:rtl/>
        </w:rPr>
        <w:t xml:space="preserve"> </w:t>
      </w:r>
      <w:r>
        <w:rPr>
          <w:rFonts w:cs="Arial" w:hint="cs"/>
          <w:rtl/>
        </w:rPr>
        <w:t>ו</w:t>
      </w:r>
      <w:r w:rsidRPr="000A7A9C">
        <w:rPr>
          <w:rFonts w:cs="Arial"/>
          <w:rtl/>
        </w:rPr>
        <w:t xml:space="preserve">כתב המרדכי </w:t>
      </w:r>
      <w:r>
        <w:rPr>
          <w:rFonts w:cs="Arial" w:hint="cs"/>
          <w:rtl/>
        </w:rPr>
        <w:t xml:space="preserve">(ר"פ </w:t>
      </w:r>
      <w:r w:rsidRPr="000A7A9C">
        <w:rPr>
          <w:rFonts w:cs="Arial"/>
          <w:rtl/>
        </w:rPr>
        <w:t>אף על פי סי' קפב) בשם רבינו ברוך והאידנא נשים שלנו לאו אורחייהו לטחון ולכבס אין כופין אותן על זה דעולה עמו ואינה יורדת</w:t>
      </w:r>
      <w:r>
        <w:rPr>
          <w:rFonts w:cs="Arial" w:hint="cs"/>
          <w:rtl/>
        </w:rPr>
        <w:t>, וכ"כ הרמב"ם הביאו הטור בסמוך, דרכ"מ (אות ה).</w:t>
      </w:r>
    </w:p>
  </w:footnote>
  <w:footnote w:id="657">
    <w:p w14:paraId="514CEB61" w14:textId="4BE9FE5F" w:rsidR="00DE2F5F" w:rsidRDefault="00DE2F5F">
      <w:pPr>
        <w:pStyle w:val="a5"/>
      </w:pPr>
      <w:r>
        <w:rPr>
          <w:rStyle w:val="a7"/>
        </w:rPr>
        <w:footnoteRef/>
      </w:r>
      <w:r>
        <w:rPr>
          <w:rtl/>
        </w:rPr>
        <w:t xml:space="preserve"> </w:t>
      </w:r>
      <w:r>
        <w:rPr>
          <w:rFonts w:cs="Arial"/>
          <w:rtl/>
        </w:rPr>
        <w:t>ויש לתמוה על הרמב"ם שכתב בפכ"א (ה"א) אינו כופה אלא לטוות הצמר בלבד שהפשתן מזיק את הפה ואת השפתים ע"כ ולא חילק בין כיתנא רומיתא לשאר כיתנא ואיפשר שטעמו דכיון דאין כיתנא רומיתא ידוע לנו כל כיתנא מספקינן ליה בכיתנא רומיתא והוי קולא לאשה שלא לחייבה בשום כיתנא</w:t>
      </w:r>
      <w:r>
        <w:rPr>
          <w:rFonts w:cs="Arial" w:hint="cs"/>
          <w:rtl/>
        </w:rPr>
        <w:t>, ב"י.</w:t>
      </w:r>
    </w:p>
  </w:footnote>
  <w:footnote w:id="658">
    <w:p w14:paraId="78B36211" w14:textId="2C9D3B3B" w:rsidR="00DE2F5F" w:rsidRPr="00D13318" w:rsidRDefault="00DE2F5F" w:rsidP="0041665F">
      <w:pPr>
        <w:pStyle w:val="a5"/>
      </w:pPr>
      <w:r>
        <w:rPr>
          <w:rStyle w:val="a7"/>
        </w:rPr>
        <w:footnoteRef/>
      </w:r>
      <w:r>
        <w:rPr>
          <w:rtl/>
        </w:rPr>
        <w:t xml:space="preserve"> </w:t>
      </w:r>
      <w:r>
        <w:rPr>
          <w:rFonts w:hint="cs"/>
          <w:rtl/>
        </w:rPr>
        <w:t xml:space="preserve">דבר זה שכתב הטור כאן הוא מדברי </w:t>
      </w:r>
      <w:r>
        <w:rPr>
          <w:rFonts w:cs="Arial" w:hint="cs"/>
          <w:rtl/>
        </w:rPr>
        <w:t>ה</w:t>
      </w:r>
      <w:r>
        <w:rPr>
          <w:rFonts w:cs="Arial"/>
          <w:rtl/>
        </w:rPr>
        <w:t xml:space="preserve">רא"ש </w:t>
      </w:r>
      <w:r w:rsidRPr="0077337F">
        <w:rPr>
          <w:rFonts w:cs="Arial" w:hint="cs"/>
          <w:sz w:val="16"/>
          <w:szCs w:val="16"/>
          <w:rtl/>
        </w:rPr>
        <w:t xml:space="preserve">(פ' אע"פ </w:t>
      </w:r>
      <w:r w:rsidRPr="0077337F">
        <w:rPr>
          <w:rFonts w:cs="Arial"/>
          <w:sz w:val="16"/>
          <w:szCs w:val="16"/>
          <w:rtl/>
        </w:rPr>
        <w:t>סו"ס לא)</w:t>
      </w:r>
      <w:r>
        <w:rPr>
          <w:rFonts w:cs="Arial" w:hint="cs"/>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Pr>
          <w:rFonts w:cs="Arial"/>
          <w:rtl/>
        </w:rPr>
        <w:t>תנן אם היתה מניקה פוחתין לה ממעשה ידיה</w:t>
      </w:r>
      <w:r>
        <w:rPr>
          <w:rFonts w:cs="Arial" w:hint="cs"/>
          <w:rtl/>
        </w:rPr>
        <w:t>,</w:t>
      </w:r>
      <w:r>
        <w:rPr>
          <w:rFonts w:cs="Arial"/>
          <w:rtl/>
        </w:rPr>
        <w:t xml:space="preserve"> </w:t>
      </w:r>
      <w:r>
        <w:rPr>
          <w:rFonts w:cs="Arial" w:hint="cs"/>
          <w:rtl/>
        </w:rPr>
        <w:t>ו</w:t>
      </w:r>
      <w:r>
        <w:rPr>
          <w:rFonts w:cs="Arial"/>
          <w:rtl/>
        </w:rPr>
        <w:t>לאו דוקא נקט מניקה אלא הוא הדין טוחנת ואופה וכל שאר מלאכות דפוחתין לה והאי דנקט מניקה משום דמיירי במשרה אשתו ע"י שליש דאינה לא טוחנת ולא אופה דכיון דאינה בבית היאך תעשה צרכי הבית אלא ודאי לא אמרו שהאשה עושה ה' סלעים אלא במשרה אשתו ע"י שליש שאינה עושה שום מלאכה</w:t>
      </w:r>
      <w:r>
        <w:rPr>
          <w:rFonts w:cs="Arial" w:hint="cs"/>
          <w:rtl/>
        </w:rPr>
        <w:t>.</w:t>
      </w:r>
      <w:r>
        <w:rPr>
          <w:rFonts w:hint="cs"/>
          <w:rtl/>
        </w:rPr>
        <w:t xml:space="preserve"> עכ"ל. </w:t>
      </w:r>
      <w:r>
        <w:rPr>
          <w:rFonts w:cs="Arial" w:hint="cs"/>
          <w:rtl/>
        </w:rPr>
        <w:t>הב"י כתב שכן כתבו ה</w:t>
      </w:r>
      <w:r>
        <w:rPr>
          <w:rFonts w:cs="Arial"/>
          <w:rtl/>
        </w:rPr>
        <w:t xml:space="preserve">תוס' </w:t>
      </w:r>
      <w:r>
        <w:rPr>
          <w:rFonts w:cs="Arial" w:hint="cs"/>
          <w:rtl/>
        </w:rPr>
        <w:t>(</w:t>
      </w:r>
      <w:r>
        <w:rPr>
          <w:rFonts w:cs="Arial"/>
          <w:rtl/>
        </w:rPr>
        <w:t>סג. ד"ה רב הונא</w:t>
      </w:r>
      <w:r>
        <w:rPr>
          <w:rFonts w:cs="Arial" w:hint="cs"/>
          <w:rtl/>
        </w:rPr>
        <w:t>), וצל"ע משום דמשמע שם לכאורה דלא תפסו תירוץ זה כעיקר.</w:t>
      </w:r>
    </w:p>
  </w:footnote>
  <w:footnote w:id="659">
    <w:p w14:paraId="5285ED0C" w14:textId="77777777" w:rsidR="00DE2F5F" w:rsidRDefault="00DE2F5F" w:rsidP="0041665F">
      <w:pPr>
        <w:pStyle w:val="a5"/>
      </w:pPr>
      <w:r>
        <w:rPr>
          <w:rStyle w:val="a7"/>
        </w:rPr>
        <w:footnoteRef/>
      </w:r>
      <w:r>
        <w:rPr>
          <w:rtl/>
        </w:rPr>
        <w:t xml:space="preserve"> </w:t>
      </w:r>
      <w:r>
        <w:rPr>
          <w:rFonts w:cs="Arial"/>
          <w:rtl/>
        </w:rPr>
        <w:t>ולא ביאר רבינו כמה הוא שיעור מה שהיא טווה בכל שבוע</w:t>
      </w:r>
      <w:r>
        <w:rPr>
          <w:rFonts w:cs="Arial" w:hint="cs"/>
          <w:rtl/>
        </w:rPr>
        <w:t>,</w:t>
      </w:r>
      <w:r>
        <w:rPr>
          <w:rFonts w:cs="Arial"/>
          <w:rtl/>
        </w:rPr>
        <w:t xml:space="preserve"> ובמשנה כמה היא עושה לו משקל חמש סלעים ביהודה שהם עשר בגליל וכו'</w:t>
      </w:r>
      <w:r>
        <w:rPr>
          <w:rFonts w:cs="Arial" w:hint="cs"/>
          <w:rtl/>
        </w:rPr>
        <w:t>.</w:t>
      </w:r>
      <w:r>
        <w:rPr>
          <w:rFonts w:cs="Arial"/>
          <w:rtl/>
        </w:rPr>
        <w:t xml:space="preserve"> ואולי שרבינו סבו</w:t>
      </w:r>
      <w:r>
        <w:rPr>
          <w:rFonts w:cs="Arial" w:hint="cs"/>
          <w:rtl/>
        </w:rPr>
        <w:t>ר</w:t>
      </w:r>
      <w:r>
        <w:rPr>
          <w:rFonts w:cs="Arial"/>
          <w:rtl/>
        </w:rPr>
        <w:t xml:space="preserve"> שאין קצבה זו בכל המקומות אלא הכל לפי המנהג</w:t>
      </w:r>
      <w:r>
        <w:rPr>
          <w:rFonts w:cs="Arial" w:hint="cs"/>
          <w:rtl/>
        </w:rPr>
        <w:t>, הה"מ (שם).</w:t>
      </w:r>
    </w:p>
  </w:footnote>
  <w:footnote w:id="660">
    <w:p w14:paraId="21F5288A" w14:textId="303D0C01" w:rsidR="008D551F" w:rsidRDefault="008D551F">
      <w:pPr>
        <w:pStyle w:val="a5"/>
        <w:rPr>
          <w:rtl/>
        </w:rPr>
      </w:pPr>
      <w:r>
        <w:rPr>
          <w:rStyle w:val="a7"/>
        </w:rPr>
        <w:footnoteRef/>
      </w:r>
      <w:r>
        <w:rPr>
          <w:rtl/>
        </w:rPr>
        <w:t xml:space="preserve"> </w:t>
      </w:r>
      <w:r>
        <w:rPr>
          <w:rFonts w:hint="cs"/>
          <w:rtl/>
        </w:rPr>
        <w:t>סימן - סוחרת.</w:t>
      </w:r>
    </w:p>
  </w:footnote>
  <w:footnote w:id="661">
    <w:p w14:paraId="4FAD23B5" w14:textId="6AD9F424" w:rsidR="00DE2F5F" w:rsidRDefault="00DE2F5F">
      <w:pPr>
        <w:pStyle w:val="a5"/>
        <w:rPr>
          <w:rtl/>
        </w:rPr>
      </w:pPr>
      <w:r>
        <w:rPr>
          <w:rStyle w:val="a7"/>
        </w:rPr>
        <w:footnoteRef/>
      </w:r>
      <w:r>
        <w:rPr>
          <w:rtl/>
        </w:rPr>
        <w:t xml:space="preserve"> </w:t>
      </w:r>
      <w:r w:rsidRPr="003A6A82">
        <w:rPr>
          <w:rFonts w:cs="Arial"/>
          <w:rtl/>
        </w:rPr>
        <w:t>ושייך למימר שיהא שלו דמעשה ידיה תחת מזונות</w:t>
      </w:r>
      <w:r>
        <w:rPr>
          <w:rFonts w:hint="cs"/>
          <w:rtl/>
        </w:rPr>
        <w:t>, רש"י.</w:t>
      </w:r>
    </w:p>
  </w:footnote>
  <w:footnote w:id="662">
    <w:p w14:paraId="0176F578" w14:textId="0C43FAE9" w:rsidR="00DE2F5F" w:rsidRDefault="00DE2F5F">
      <w:pPr>
        <w:pStyle w:val="a5"/>
      </w:pPr>
      <w:r>
        <w:rPr>
          <w:rStyle w:val="a7"/>
        </w:rPr>
        <w:footnoteRef/>
      </w:r>
      <w:r>
        <w:rPr>
          <w:rtl/>
        </w:rPr>
        <w:t xml:space="preserve"> </w:t>
      </w:r>
      <w:r w:rsidRPr="003A6A82">
        <w:rPr>
          <w:rFonts w:cs="Arial"/>
          <w:rtl/>
        </w:rPr>
        <w:t>מה שאני עושה יהא קונם לפיך</w:t>
      </w:r>
      <w:r>
        <w:rPr>
          <w:rFonts w:cs="Arial" w:hint="cs"/>
          <w:rtl/>
        </w:rPr>
        <w:t>, רש"י.</w:t>
      </w:r>
    </w:p>
  </w:footnote>
  <w:footnote w:id="663">
    <w:p w14:paraId="66D6C37F" w14:textId="23DDD10F" w:rsidR="00DE2F5F" w:rsidRDefault="00DE2F5F">
      <w:pPr>
        <w:pStyle w:val="a5"/>
      </w:pPr>
      <w:r>
        <w:rPr>
          <w:rStyle w:val="a7"/>
        </w:rPr>
        <w:footnoteRef/>
      </w:r>
      <w:r>
        <w:rPr>
          <w:rtl/>
        </w:rPr>
        <w:t xml:space="preserve"> </w:t>
      </w:r>
      <w:r w:rsidRPr="003A6A82">
        <w:rPr>
          <w:rFonts w:cs="Arial"/>
          <w:rtl/>
        </w:rPr>
        <w:t>דמשעבדא ליה ואפי' לשמא תעדיף נמי לא חיישינן דאי מעדפה נמי לבעל הוא</w:t>
      </w:r>
      <w:r>
        <w:rPr>
          <w:rFonts w:cs="Arial" w:hint="cs"/>
          <w:rtl/>
        </w:rPr>
        <w:t>, רש"י.</w:t>
      </w:r>
    </w:p>
  </w:footnote>
  <w:footnote w:id="664">
    <w:p w14:paraId="06C06D94" w14:textId="27751A2C" w:rsidR="00DE2F5F" w:rsidRDefault="00DE2F5F">
      <w:pPr>
        <w:pStyle w:val="a5"/>
      </w:pPr>
      <w:r>
        <w:rPr>
          <w:rStyle w:val="a7"/>
        </w:rPr>
        <w:footnoteRef/>
      </w:r>
      <w:r>
        <w:rPr>
          <w:rtl/>
        </w:rPr>
        <w:t xml:space="preserve"> </w:t>
      </w:r>
      <w:r w:rsidRPr="003A6A82">
        <w:rPr>
          <w:rFonts w:cs="Arial"/>
          <w:rtl/>
        </w:rPr>
        <w:t>והעדפה דידה הוא וחייל עלה קונם</w:t>
      </w:r>
      <w:r>
        <w:rPr>
          <w:rFonts w:cs="Arial" w:hint="cs"/>
          <w:rtl/>
        </w:rPr>
        <w:t>, רש"י.</w:t>
      </w:r>
    </w:p>
  </w:footnote>
  <w:footnote w:id="665">
    <w:p w14:paraId="263D68D2" w14:textId="3F9E4EC0" w:rsidR="00DE2F5F" w:rsidRDefault="00DE2F5F">
      <w:pPr>
        <w:pStyle w:val="a5"/>
      </w:pPr>
      <w:r>
        <w:rPr>
          <w:rStyle w:val="a7"/>
        </w:rPr>
        <w:footnoteRef/>
      </w:r>
      <w:r>
        <w:rPr>
          <w:rtl/>
        </w:rPr>
        <w:t xml:space="preserve"> </w:t>
      </w:r>
      <w:r w:rsidRPr="003A6A82">
        <w:rPr>
          <w:rFonts w:cs="Arial"/>
          <w:rtl/>
        </w:rPr>
        <w:t>כגון שהיא עירנית ובעלת מלאכה</w:t>
      </w:r>
      <w:r>
        <w:rPr>
          <w:rFonts w:cs="Arial" w:hint="cs"/>
          <w:rtl/>
        </w:rPr>
        <w:t>, רש"י.</w:t>
      </w:r>
    </w:p>
  </w:footnote>
  <w:footnote w:id="666">
    <w:p w14:paraId="007EEBAA" w14:textId="7BC48CA1" w:rsidR="00DE2F5F" w:rsidRDefault="00DE2F5F">
      <w:pPr>
        <w:pStyle w:val="a5"/>
        <w:rPr>
          <w:rtl/>
        </w:rPr>
      </w:pPr>
      <w:r>
        <w:rPr>
          <w:rStyle w:val="a7"/>
        </w:rPr>
        <w:footnoteRef/>
      </w:r>
      <w:r>
        <w:rPr>
          <w:rtl/>
        </w:rPr>
        <w:t xml:space="preserve"> </w:t>
      </w:r>
      <w:r w:rsidRPr="0077215F">
        <w:rPr>
          <w:rFonts w:cs="Arial"/>
          <w:rtl/>
        </w:rPr>
        <w:t>וקס"ד מציאתה כהעדפה שלא על ידי הדחק היא והיכי פליגי בה</w:t>
      </w:r>
      <w:r>
        <w:rPr>
          <w:rFonts w:hint="cs"/>
          <w:rtl/>
        </w:rPr>
        <w:t>, רש"י.</w:t>
      </w:r>
    </w:p>
  </w:footnote>
  <w:footnote w:id="667">
    <w:p w14:paraId="2947EFDA" w14:textId="6880BB4A" w:rsidR="00DE2F5F" w:rsidRDefault="00DE2F5F">
      <w:pPr>
        <w:pStyle w:val="a5"/>
      </w:pPr>
      <w:r>
        <w:rPr>
          <w:rStyle w:val="a7"/>
        </w:rPr>
        <w:footnoteRef/>
      </w:r>
      <w:r>
        <w:rPr>
          <w:rtl/>
        </w:rPr>
        <w:t xml:space="preserve"> </w:t>
      </w:r>
      <w:r w:rsidRPr="003A6A82">
        <w:rPr>
          <w:rFonts w:cs="Arial"/>
          <w:rtl/>
        </w:rPr>
        <w:t>כגון שדחקה עצמה והעדיפה</w:t>
      </w:r>
      <w:r>
        <w:rPr>
          <w:rFonts w:cs="Arial" w:hint="cs"/>
          <w:rtl/>
        </w:rPr>
        <w:t>, רש"י.</w:t>
      </w:r>
      <w:r w:rsidRPr="007E3C6C">
        <w:rPr>
          <w:rFonts w:cs="Arial"/>
          <w:rtl/>
        </w:rPr>
        <w:t xml:space="preserve"> </w:t>
      </w:r>
      <w:r>
        <w:rPr>
          <w:rFonts w:cs="Arial"/>
          <w:rtl/>
        </w:rPr>
        <w:t>וכתב הרא"ש (סי' ב) שע"י הדחק כגון עשתה מלאכה בלילות בשעה שבני אדם ישנים.</w:t>
      </w:r>
    </w:p>
  </w:footnote>
  <w:footnote w:id="668">
    <w:p w14:paraId="62A216A4" w14:textId="34AE2128" w:rsidR="00DE2F5F" w:rsidRDefault="00DE2F5F">
      <w:pPr>
        <w:pStyle w:val="a5"/>
      </w:pPr>
      <w:r>
        <w:rPr>
          <w:rStyle w:val="a7"/>
        </w:rPr>
        <w:footnoteRef/>
      </w:r>
      <w:r>
        <w:rPr>
          <w:rtl/>
        </w:rPr>
        <w:t xml:space="preserve"> </w:t>
      </w:r>
      <w:r w:rsidRPr="003A6A82">
        <w:rPr>
          <w:rFonts w:cs="Arial"/>
          <w:rtl/>
        </w:rPr>
        <w:t>דרוב מציאות צריך לחזר אחריהם כגון דגים שנשארו ביבשה או צבי שבור או לחפש סימא בקרקע</w:t>
      </w:r>
      <w:r>
        <w:rPr>
          <w:rFonts w:cs="Arial" w:hint="cs"/>
          <w:rtl/>
        </w:rPr>
        <w:t>, רש"י.</w:t>
      </w:r>
    </w:p>
  </w:footnote>
  <w:footnote w:id="669">
    <w:p w14:paraId="355CF7B5" w14:textId="55BED59C" w:rsidR="00DE2F5F" w:rsidRDefault="00DE2F5F">
      <w:pPr>
        <w:pStyle w:val="a5"/>
      </w:pPr>
      <w:r>
        <w:rPr>
          <w:rStyle w:val="a7"/>
        </w:rPr>
        <w:footnoteRef/>
      </w:r>
      <w:r>
        <w:rPr>
          <w:rtl/>
        </w:rPr>
        <w:t xml:space="preserve"> </w:t>
      </w:r>
      <w:r w:rsidRPr="0077215F">
        <w:rPr>
          <w:rFonts w:cs="Arial"/>
          <w:rtl/>
        </w:rPr>
        <w:t>שומרת קישואים וטווה פשתן ומלמדת שיר לנשים בשכר ומחממת ביצים בחיקה או ביצי תולעים העושים משי שהנשים מחממות אותן בחיקן והם נוצרים</w:t>
      </w:r>
      <w:r>
        <w:rPr>
          <w:rFonts w:cs="Arial" w:hint="cs"/>
          <w:rtl/>
        </w:rPr>
        <w:t>, רש"י.</w:t>
      </w:r>
    </w:p>
  </w:footnote>
  <w:footnote w:id="670">
    <w:p w14:paraId="79719CF5" w14:textId="347D1932" w:rsidR="00DE2F5F" w:rsidRDefault="00DE2F5F">
      <w:pPr>
        <w:pStyle w:val="a5"/>
      </w:pPr>
      <w:r>
        <w:rPr>
          <w:rStyle w:val="a7"/>
        </w:rPr>
        <w:footnoteRef/>
      </w:r>
      <w:r>
        <w:rPr>
          <w:rtl/>
        </w:rPr>
        <w:t xml:space="preserve"> </w:t>
      </w:r>
      <w:r>
        <w:rPr>
          <w:rFonts w:hint="cs"/>
          <w:rtl/>
        </w:rPr>
        <w:t>לקמן יתבאר למי מופנית שאלת הגמ', לת"ק או לר"ע.</w:t>
      </w:r>
    </w:p>
  </w:footnote>
  <w:footnote w:id="671">
    <w:p w14:paraId="256B3DF8" w14:textId="77777777" w:rsidR="00DE2F5F" w:rsidRDefault="00DE2F5F" w:rsidP="00D51BAF">
      <w:pPr>
        <w:pStyle w:val="a5"/>
        <w:rPr>
          <w:rtl/>
        </w:rPr>
      </w:pPr>
      <w:r>
        <w:rPr>
          <w:rStyle w:val="a7"/>
        </w:rPr>
        <w:footnoteRef/>
      </w:r>
      <w:r>
        <w:rPr>
          <w:rtl/>
        </w:rPr>
        <w:t xml:space="preserve"> </w:t>
      </w:r>
      <w:r w:rsidRPr="00E55B2F">
        <w:rPr>
          <w:rFonts w:cs="Arial"/>
          <w:rtl/>
        </w:rPr>
        <w:t>כגון עשתה מלאכה בלילות בשעה שבני אדם ישנים</w:t>
      </w:r>
      <w:r>
        <w:rPr>
          <w:rFonts w:hint="cs"/>
          <w:rtl/>
        </w:rPr>
        <w:t>, רא"ש (שם).</w:t>
      </w:r>
    </w:p>
  </w:footnote>
  <w:footnote w:id="672">
    <w:p w14:paraId="4EB83397" w14:textId="35FE04A6" w:rsidR="00DE2F5F" w:rsidRDefault="00DE2F5F">
      <w:pPr>
        <w:pStyle w:val="a5"/>
      </w:pPr>
      <w:r>
        <w:rPr>
          <w:rStyle w:val="a7"/>
        </w:rPr>
        <w:footnoteRef/>
      </w:r>
      <w:r>
        <w:rPr>
          <w:rtl/>
        </w:rPr>
        <w:t xml:space="preserve"> </w:t>
      </w:r>
      <w:r>
        <w:rPr>
          <w:rFonts w:cs="Arial"/>
          <w:rtl/>
        </w:rPr>
        <w:t>דרבי יוחנן בן נורי סבר כרבנן דהעדפה דבעל הוי</w:t>
      </w:r>
      <w:r>
        <w:rPr>
          <w:rFonts w:cs="Arial" w:hint="cs"/>
          <w:rtl/>
        </w:rPr>
        <w:t>,</w:t>
      </w:r>
      <w:r>
        <w:rPr>
          <w:rFonts w:cs="Arial"/>
          <w:rtl/>
        </w:rPr>
        <w:t xml:space="preserve"> רא"ש (פ"ה סי' טו)</w:t>
      </w:r>
      <w:r>
        <w:rPr>
          <w:rFonts w:cs="Arial" w:hint="cs"/>
          <w:rtl/>
        </w:rPr>
        <w:t>.</w:t>
      </w:r>
    </w:p>
  </w:footnote>
  <w:footnote w:id="673">
    <w:p w14:paraId="7185F828" w14:textId="1169AC46" w:rsidR="00DE2F5F" w:rsidRDefault="00DE2F5F">
      <w:pPr>
        <w:pStyle w:val="a5"/>
        <w:rPr>
          <w:rtl/>
        </w:rPr>
      </w:pPr>
      <w:r>
        <w:rPr>
          <w:rStyle w:val="a7"/>
        </w:rPr>
        <w:footnoteRef/>
      </w:r>
      <w:r>
        <w:rPr>
          <w:rtl/>
        </w:rPr>
        <w:t xml:space="preserve"> </w:t>
      </w:r>
      <w:r>
        <w:rPr>
          <w:rFonts w:cs="Arial"/>
          <w:rtl/>
        </w:rPr>
        <w:t>פירש רבינו האיי דלרבנן קא מיבעיא ליה</w:t>
      </w:r>
      <w:r>
        <w:rPr>
          <w:rFonts w:cs="Arial" w:hint="cs"/>
          <w:sz w:val="16"/>
          <w:szCs w:val="16"/>
          <w:rtl/>
        </w:rPr>
        <w:t xml:space="preserve"> {הא דבעי רב פפי ורבינא}</w:t>
      </w:r>
      <w:r>
        <w:rPr>
          <w:rFonts w:cs="Arial" w:hint="cs"/>
          <w:rtl/>
        </w:rPr>
        <w:t>,</w:t>
      </w:r>
      <w:r>
        <w:rPr>
          <w:rFonts w:cs="Arial"/>
          <w:rtl/>
        </w:rPr>
        <w:t xml:space="preserve"> דדילמא אע</w:t>
      </w:r>
      <w:r>
        <w:rPr>
          <w:rFonts w:cs="Arial" w:hint="cs"/>
          <w:rtl/>
        </w:rPr>
        <w:t>"</w:t>
      </w:r>
      <w:r>
        <w:rPr>
          <w:rFonts w:cs="Arial"/>
          <w:rtl/>
        </w:rPr>
        <w:t>ג דבהעדפא שע"י הדחק אמרו רבנן דלבעלה</w:t>
      </w:r>
      <w:r>
        <w:rPr>
          <w:rFonts w:cs="Arial" w:hint="cs"/>
          <w:rtl/>
        </w:rPr>
        <w:t>,</w:t>
      </w:r>
      <w:r>
        <w:rPr>
          <w:rFonts w:cs="Arial"/>
          <w:rtl/>
        </w:rPr>
        <w:t xml:space="preserve"> שתים בבת אחת איפשר דלא מחייבא ליה אלא ממלאכה אחת אבל לא שתים בבת אחת</w:t>
      </w:r>
      <w:r>
        <w:rPr>
          <w:rFonts w:cs="Arial" w:hint="cs"/>
          <w:rtl/>
        </w:rPr>
        <w:t>.</w:t>
      </w:r>
      <w:r>
        <w:rPr>
          <w:rFonts w:cs="Arial"/>
          <w:rtl/>
        </w:rPr>
        <w:t xml:space="preserve"> ואת"ל שתי מלאכות שכיח דעבדה והוי דבעל</w:t>
      </w:r>
      <w:r>
        <w:rPr>
          <w:rFonts w:cs="Arial" w:hint="cs"/>
          <w:rtl/>
        </w:rPr>
        <w:t>,</w:t>
      </w:r>
      <w:r>
        <w:rPr>
          <w:rFonts w:cs="Arial"/>
          <w:rtl/>
        </w:rPr>
        <w:t xml:space="preserve"> בעי רבינא ג' וד' מהו</w:t>
      </w:r>
      <w:r>
        <w:rPr>
          <w:rFonts w:cs="Arial" w:hint="cs"/>
          <w:rtl/>
        </w:rPr>
        <w:t>,</w:t>
      </w:r>
      <w:r>
        <w:rPr>
          <w:rFonts w:cs="Arial"/>
          <w:rtl/>
        </w:rPr>
        <w:t xml:space="preserve"> וכיון דסלקא בתיקו הוי לעצמה</w:t>
      </w:r>
      <w:r>
        <w:rPr>
          <w:rFonts w:cs="Arial" w:hint="cs"/>
          <w:rtl/>
        </w:rPr>
        <w:t>, רא"ש (פ"ו סי' ב).</w:t>
      </w:r>
    </w:p>
  </w:footnote>
  <w:footnote w:id="674">
    <w:p w14:paraId="2A89D598" w14:textId="4B18B0E9" w:rsidR="00DE2F5F" w:rsidRDefault="00DE2F5F">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270F2B">
        <w:rPr>
          <w:rFonts w:cs="Arial"/>
          <w:rtl/>
        </w:rPr>
        <w:t>תוכל האשה לו' קים לי כמ"ד לעצמה וכתב הרב בב"ח שכן נוהגים במדינות אלו שלא להוצי' מיד האשה שום העדפה שעל ידי הדחק</w:t>
      </w:r>
      <w:r>
        <w:rPr>
          <w:rFonts w:cs="Arial" w:hint="cs"/>
          <w:rtl/>
        </w:rPr>
        <w:t>.</w:t>
      </w:r>
    </w:p>
  </w:footnote>
  <w:footnote w:id="675">
    <w:p w14:paraId="5C17E56D" w14:textId="38E2D9EF" w:rsidR="00DE2F5F" w:rsidRDefault="00DE2F5F" w:rsidP="000D281E">
      <w:pPr>
        <w:pStyle w:val="a5"/>
        <w:rPr>
          <w:rtl/>
        </w:rPr>
      </w:pPr>
      <w:r>
        <w:rPr>
          <w:rStyle w:val="a7"/>
        </w:rPr>
        <w:footnoteRef/>
      </w:r>
      <w:r>
        <w:rPr>
          <w:rtl/>
        </w:rPr>
        <w:t xml:space="preserve"> </w:t>
      </w:r>
      <w:r>
        <w:rPr>
          <w:rFonts w:cs="Arial"/>
          <w:rtl/>
        </w:rPr>
        <w:t>ר"ח פירש דהני בעיות אליבא דרבי עקיבא דאמר העדפה שע"י הדחק לעצמה</w:t>
      </w:r>
      <w:r>
        <w:rPr>
          <w:rFonts w:cs="Arial" w:hint="cs"/>
          <w:rtl/>
        </w:rPr>
        <w:t>,</w:t>
      </w:r>
      <w:r>
        <w:rPr>
          <w:rFonts w:cs="Arial"/>
          <w:rtl/>
        </w:rPr>
        <w:t xml:space="preserve"> הוא הדין נמי כשעשתה שתי מלאכות</w:t>
      </w:r>
      <w:r>
        <w:rPr>
          <w:rFonts w:cs="Arial" w:hint="cs"/>
          <w:rtl/>
        </w:rPr>
        <w:t>,</w:t>
      </w:r>
      <w:r>
        <w:rPr>
          <w:rFonts w:cs="Arial"/>
          <w:rtl/>
        </w:rPr>
        <w:t xml:space="preserve"> או דילמא כיון שלא על ידי הדחק הוי לבעלה</w:t>
      </w:r>
      <w:r>
        <w:rPr>
          <w:rFonts w:cs="Arial" w:hint="cs"/>
          <w:rtl/>
        </w:rPr>
        <w:t>,</w:t>
      </w:r>
      <w:r>
        <w:rPr>
          <w:rFonts w:cs="Arial"/>
          <w:rtl/>
        </w:rPr>
        <w:t xml:space="preserve"> דלא אמר רבי עקיבא לעצמה אלא כשעושה מלאכה בשעה שבני אדם ישנים</w:t>
      </w:r>
      <w:r>
        <w:rPr>
          <w:rFonts w:cs="Arial" w:hint="cs"/>
          <w:rtl/>
        </w:rPr>
        <w:t>,</w:t>
      </w:r>
      <w:r>
        <w:rPr>
          <w:rFonts w:cs="Arial"/>
          <w:rtl/>
        </w:rPr>
        <w:t xml:space="preserve"> אבל לרבנן דאמרי דהעדפה שע"י הדחק לבעלה כל שכן עשתה שתים שלא ע"י הדחק</w:t>
      </w:r>
      <w:r>
        <w:rPr>
          <w:rFonts w:cs="Arial" w:hint="cs"/>
          <w:rtl/>
        </w:rPr>
        <w:t>,</w:t>
      </w:r>
      <w:r>
        <w:rPr>
          <w:rFonts w:cs="Arial"/>
          <w:rtl/>
        </w:rPr>
        <w:t xml:space="preserve"> מתוך זה נראה דהלכה כרבי עקיבא</w:t>
      </w:r>
      <w:r>
        <w:rPr>
          <w:rFonts w:cs="Arial" w:hint="cs"/>
          <w:rtl/>
        </w:rPr>
        <w:t>, רא"ש (פ"ו סי' ב).</w:t>
      </w:r>
      <w:r>
        <w:rPr>
          <w:rFonts w:cs="Arial"/>
          <w:rtl/>
        </w:rPr>
        <w:t xml:space="preserve"> ו</w:t>
      </w:r>
      <w:r>
        <w:rPr>
          <w:rFonts w:cs="Arial" w:hint="cs"/>
          <w:rtl/>
        </w:rPr>
        <w:t xml:space="preserve">כתב </w:t>
      </w:r>
      <w:r>
        <w:rPr>
          <w:rFonts w:cs="Arial"/>
          <w:rtl/>
        </w:rPr>
        <w:t>הר"ן (</w:t>
      </w:r>
      <w:r>
        <w:rPr>
          <w:rFonts w:cs="Arial" w:hint="cs"/>
          <w:rtl/>
        </w:rPr>
        <w:t xml:space="preserve">כד. </w:t>
      </w:r>
      <w:r>
        <w:rPr>
          <w:rFonts w:cs="Arial"/>
          <w:rtl/>
        </w:rPr>
        <w:t xml:space="preserve">ד"ה כי אתא רבין) </w:t>
      </w:r>
      <w:r>
        <w:rPr>
          <w:rFonts w:cs="Arial" w:hint="cs"/>
          <w:rtl/>
        </w:rPr>
        <w:t xml:space="preserve">דכן פירש רש"י, דכתב </w:t>
      </w:r>
      <w:r>
        <w:rPr>
          <w:rFonts w:cs="Arial"/>
          <w:rtl/>
        </w:rPr>
        <w:t>אהא דבעי רבינא ג' וד' מהו כגון שומרת קישואים וטווה פשתן ומלמדת שיר לנשים בשכר ומחממת ביצים בחיקה מי הוי כעל ידי הדחק או לא</w:t>
      </w:r>
      <w:r>
        <w:rPr>
          <w:rFonts w:cs="Arial" w:hint="cs"/>
          <w:rtl/>
        </w:rPr>
        <w:t xml:space="preserve"> </w:t>
      </w:r>
      <w:r w:rsidRPr="00C146F0">
        <w:rPr>
          <w:rFonts w:cs="Arial" w:hint="cs"/>
          <w:sz w:val="16"/>
          <w:szCs w:val="16"/>
          <w:rtl/>
        </w:rPr>
        <w:t>(ד</w:t>
      </w:r>
      <w:r w:rsidRPr="00C146F0">
        <w:rPr>
          <w:rFonts w:cs="Arial"/>
          <w:sz w:val="16"/>
          <w:szCs w:val="16"/>
          <w:rtl/>
        </w:rPr>
        <w:t>לפי</w:t>
      </w:r>
      <w:r w:rsidRPr="00C146F0">
        <w:rPr>
          <w:rFonts w:cs="Arial" w:hint="cs"/>
          <w:sz w:val="16"/>
          <w:szCs w:val="16"/>
          <w:rtl/>
        </w:rPr>
        <w:t xml:space="preserve"> פירוש זה</w:t>
      </w:r>
      <w:r w:rsidRPr="00C146F0">
        <w:rPr>
          <w:rFonts w:cs="Arial"/>
          <w:sz w:val="16"/>
          <w:szCs w:val="16"/>
          <w:rtl/>
        </w:rPr>
        <w:t xml:space="preserve"> זה אליבא דרבי עקיבא קא בעי</w:t>
      </w:r>
      <w:r w:rsidRPr="00C146F0">
        <w:rPr>
          <w:rFonts w:cs="Arial" w:hint="cs"/>
          <w:sz w:val="16"/>
          <w:szCs w:val="16"/>
          <w:rtl/>
        </w:rPr>
        <w:t>,</w:t>
      </w:r>
      <w:r w:rsidRPr="00C146F0">
        <w:rPr>
          <w:rFonts w:cs="Arial"/>
          <w:sz w:val="16"/>
          <w:szCs w:val="16"/>
          <w:rtl/>
        </w:rPr>
        <w:t xml:space="preserve"> דאילו לרבנן מאי נ"מ</w:t>
      </w:r>
      <w:r w:rsidRPr="00C146F0">
        <w:rPr>
          <w:rFonts w:cs="Arial" w:hint="cs"/>
          <w:sz w:val="16"/>
          <w:szCs w:val="16"/>
          <w:rtl/>
        </w:rPr>
        <w:t>,</w:t>
      </w:r>
      <w:r w:rsidRPr="00C146F0">
        <w:rPr>
          <w:rFonts w:cs="Arial"/>
          <w:sz w:val="16"/>
          <w:szCs w:val="16"/>
          <w:rtl/>
        </w:rPr>
        <w:t xml:space="preserve"> דהא אפילו העדפה שעל ידי הדחק דבעל הוי</w:t>
      </w:r>
      <w:r w:rsidRPr="00C146F0">
        <w:rPr>
          <w:rFonts w:cs="Arial" w:hint="cs"/>
          <w:sz w:val="16"/>
          <w:szCs w:val="16"/>
          <w:rtl/>
        </w:rPr>
        <w:t>,</w:t>
      </w:r>
      <w:r w:rsidRPr="00C146F0">
        <w:rPr>
          <w:rFonts w:cs="Arial"/>
          <w:sz w:val="16"/>
          <w:szCs w:val="16"/>
          <w:rtl/>
        </w:rPr>
        <w:t xml:space="preserve"> וכיון דאליביה בעי משמע דהלכתא כוותיה</w:t>
      </w:r>
      <w:r w:rsidRPr="00C146F0">
        <w:rPr>
          <w:rFonts w:cs="Arial" w:hint="cs"/>
          <w:sz w:val="16"/>
          <w:szCs w:val="16"/>
          <w:rtl/>
        </w:rPr>
        <w:t>)</w:t>
      </w:r>
      <w:r>
        <w:rPr>
          <w:rFonts w:cs="Arial" w:hint="cs"/>
          <w:rtl/>
        </w:rPr>
        <w:t xml:space="preserve">. וכתב הטור שהרא"ש הביא </w:t>
      </w:r>
      <w:r w:rsidRPr="000A7A9C">
        <w:rPr>
          <w:rFonts w:cs="Arial"/>
          <w:rtl/>
        </w:rPr>
        <w:t xml:space="preserve">דברי שניהם </w:t>
      </w:r>
      <w:r>
        <w:rPr>
          <w:rFonts w:cs="Arial" w:hint="cs"/>
          <w:sz w:val="16"/>
          <w:szCs w:val="16"/>
          <w:rtl/>
        </w:rPr>
        <w:t xml:space="preserve">{רב האי ור"ח} </w:t>
      </w:r>
      <w:r w:rsidRPr="000A7A9C">
        <w:rPr>
          <w:rFonts w:cs="Arial"/>
          <w:rtl/>
        </w:rPr>
        <w:t>ולא פסק כמי</w:t>
      </w:r>
      <w:r>
        <w:rPr>
          <w:rFonts w:hint="cs"/>
          <w:rtl/>
        </w:rPr>
        <w:t xml:space="preserve">. והר"ן </w:t>
      </w:r>
      <w:r>
        <w:rPr>
          <w:rFonts w:cs="Arial"/>
          <w:rtl/>
        </w:rPr>
        <w:t>(</w:t>
      </w:r>
      <w:r>
        <w:rPr>
          <w:rFonts w:cs="Arial" w:hint="cs"/>
          <w:rtl/>
        </w:rPr>
        <w:t xml:space="preserve">כד. </w:t>
      </w:r>
      <w:r>
        <w:rPr>
          <w:rFonts w:cs="Arial"/>
          <w:rtl/>
        </w:rPr>
        <w:t>ד"ה כי אתא רבין)</w:t>
      </w:r>
      <w:r w:rsidRPr="000D281E">
        <w:rPr>
          <w:rFonts w:cs="Arial" w:hint="cs"/>
          <w:rtl/>
        </w:rPr>
        <w:t xml:space="preserve"> </w:t>
      </w:r>
      <w:r>
        <w:rPr>
          <w:rFonts w:cs="Arial" w:hint="cs"/>
          <w:rtl/>
        </w:rPr>
        <w:t xml:space="preserve">תמה על הרי"ף (שם) והרמב"ם (שם) </w:t>
      </w:r>
      <w:r>
        <w:rPr>
          <w:rFonts w:cs="Arial"/>
          <w:rtl/>
        </w:rPr>
        <w:t>למה לא הביאו בעיי דרב פפא ורבינא</w:t>
      </w:r>
      <w:r>
        <w:rPr>
          <w:rFonts w:cs="Arial" w:hint="cs"/>
          <w:rtl/>
        </w:rPr>
        <w:t>,</w:t>
      </w:r>
      <w:r>
        <w:rPr>
          <w:rFonts w:cs="Arial"/>
          <w:rtl/>
        </w:rPr>
        <w:t xml:space="preserve"> שכיון שהם פוסקים כרבנן משמע דסבירא להו דהני בעיי לרבנן נינהו</w:t>
      </w:r>
      <w:r>
        <w:rPr>
          <w:rFonts w:cs="Arial" w:hint="cs"/>
          <w:rtl/>
        </w:rPr>
        <w:t>,</w:t>
      </w:r>
      <w:r>
        <w:rPr>
          <w:rFonts w:cs="Arial"/>
          <w:rtl/>
        </w:rPr>
        <w:t xml:space="preserve"> והיה להם ז"ל להביאם עכ"ל</w:t>
      </w:r>
      <w:r>
        <w:rPr>
          <w:rFonts w:cs="Arial" w:hint="cs"/>
          <w:sz w:val="16"/>
          <w:szCs w:val="16"/>
          <w:rtl/>
        </w:rPr>
        <w:t xml:space="preserve"> [הר"ן]</w:t>
      </w:r>
      <w:r>
        <w:rPr>
          <w:rFonts w:cs="Arial"/>
          <w:rtl/>
        </w:rPr>
        <w:t>. והרב המגיד כתב שאיפשר שהטעם שלא כתבום הוא מפני שהם סוברים דאתיין אליבא דרבי עקיבא ואין הלכה כמותו עכ"ל</w:t>
      </w:r>
      <w:r>
        <w:rPr>
          <w:rFonts w:cs="Arial" w:hint="cs"/>
          <w:rtl/>
        </w:rPr>
        <w:t>.</w:t>
      </w:r>
      <w:r>
        <w:rPr>
          <w:rFonts w:cs="Arial"/>
          <w:rtl/>
        </w:rPr>
        <w:t xml:space="preserve"> </w:t>
      </w:r>
      <w:r>
        <w:rPr>
          <w:rFonts w:cs="Arial" w:hint="cs"/>
          <w:rtl/>
        </w:rPr>
        <w:t xml:space="preserve">והסביר הב"י דכוונתו </w:t>
      </w:r>
      <w:r>
        <w:rPr>
          <w:rFonts w:cs="Arial"/>
          <w:rtl/>
        </w:rPr>
        <w:t>לומר דאע</w:t>
      </w:r>
      <w:r>
        <w:rPr>
          <w:rFonts w:cs="Arial" w:hint="cs"/>
          <w:rtl/>
        </w:rPr>
        <w:t>"</w:t>
      </w:r>
      <w:r>
        <w:rPr>
          <w:rFonts w:cs="Arial"/>
          <w:rtl/>
        </w:rPr>
        <w:t>ג שהם פוסקים כרב האיי</w:t>
      </w:r>
      <w:r>
        <w:rPr>
          <w:rFonts w:cs="Arial" w:hint="cs"/>
          <w:rtl/>
        </w:rPr>
        <w:t>,</w:t>
      </w:r>
      <w:r>
        <w:rPr>
          <w:rFonts w:cs="Arial"/>
          <w:rtl/>
        </w:rPr>
        <w:t xml:space="preserve"> מכל מקום לאו מטעמיה</w:t>
      </w:r>
      <w:r>
        <w:rPr>
          <w:rFonts w:cs="Arial" w:hint="cs"/>
          <w:rtl/>
        </w:rPr>
        <w:t>,</w:t>
      </w:r>
      <w:r>
        <w:rPr>
          <w:rFonts w:cs="Arial"/>
          <w:rtl/>
        </w:rPr>
        <w:t xml:space="preserve"> דאיהו פסק כן משום דמשמע ליה דהני בעיי אליבא דרבנן שייכי</w:t>
      </w:r>
      <w:r>
        <w:rPr>
          <w:rFonts w:cs="Arial" w:hint="cs"/>
          <w:rtl/>
        </w:rPr>
        <w:t>,</w:t>
      </w:r>
      <w:r>
        <w:rPr>
          <w:rFonts w:cs="Arial"/>
          <w:rtl/>
        </w:rPr>
        <w:t xml:space="preserve"> ואינהו ז"ל אע</w:t>
      </w:r>
      <w:r>
        <w:rPr>
          <w:rFonts w:cs="Arial" w:hint="cs"/>
          <w:rtl/>
        </w:rPr>
        <w:t>"</w:t>
      </w:r>
      <w:r>
        <w:rPr>
          <w:rFonts w:cs="Arial"/>
          <w:rtl/>
        </w:rPr>
        <w:t>ג דמשמע להו דהני בעיי אליבא דרבי עקיבא שייכי פסקו כרבנן</w:t>
      </w:r>
      <w:r>
        <w:rPr>
          <w:rFonts w:cs="Arial" w:hint="cs"/>
          <w:rtl/>
        </w:rPr>
        <w:t>,</w:t>
      </w:r>
      <w:r>
        <w:rPr>
          <w:rFonts w:cs="Arial"/>
          <w:rtl/>
        </w:rPr>
        <w:t xml:space="preserve"> משום דבכל דוכתא קיי"ל הלכתא כרבנן</w:t>
      </w:r>
      <w:r>
        <w:rPr>
          <w:rFonts w:cs="Arial" w:hint="cs"/>
          <w:rtl/>
        </w:rPr>
        <w:t>,</w:t>
      </w:r>
      <w:r>
        <w:rPr>
          <w:rFonts w:cs="Arial"/>
          <w:rtl/>
        </w:rPr>
        <w:t xml:space="preserve"> והא דבעו אמוראי הני בעיי אליבא דרבי עקיבא </w:t>
      </w:r>
      <w:r>
        <w:rPr>
          <w:rFonts w:cs="Arial" w:hint="cs"/>
          <w:rtl/>
        </w:rPr>
        <w:t xml:space="preserve">- </w:t>
      </w:r>
      <w:r>
        <w:rPr>
          <w:rFonts w:cs="Arial"/>
          <w:rtl/>
        </w:rPr>
        <w:t>לפרושי טעמיה אתו אע</w:t>
      </w:r>
      <w:r>
        <w:rPr>
          <w:rFonts w:cs="Arial" w:hint="cs"/>
          <w:rtl/>
        </w:rPr>
        <w:t>"</w:t>
      </w:r>
      <w:r>
        <w:rPr>
          <w:rFonts w:cs="Arial"/>
          <w:rtl/>
        </w:rPr>
        <w:t>ג דלית הלכתא כוותיה</w:t>
      </w:r>
      <w:r>
        <w:rPr>
          <w:rFonts w:cs="Arial" w:hint="cs"/>
          <w:sz w:val="16"/>
          <w:szCs w:val="16"/>
          <w:rtl/>
        </w:rPr>
        <w:t xml:space="preserve"> [עכ"ל הב"י]</w:t>
      </w:r>
      <w:r>
        <w:rPr>
          <w:rFonts w:cs="Arial" w:hint="cs"/>
          <w:rtl/>
        </w:rPr>
        <w:t>.</w:t>
      </w:r>
    </w:p>
  </w:footnote>
  <w:footnote w:id="676">
    <w:p w14:paraId="0C9A59A9" w14:textId="1B73BEB4" w:rsidR="00DE2F5F" w:rsidRDefault="00DE2F5F" w:rsidP="0028436B">
      <w:pPr>
        <w:pStyle w:val="a5"/>
      </w:pPr>
      <w:r>
        <w:rPr>
          <w:rStyle w:val="a7"/>
        </w:rPr>
        <w:footnoteRef/>
      </w:r>
      <w:r>
        <w:rPr>
          <w:rtl/>
        </w:rPr>
        <w:t xml:space="preserve"> </w:t>
      </w:r>
      <w:r>
        <w:rPr>
          <w:rFonts w:cs="Arial" w:hint="cs"/>
          <w:rtl/>
        </w:rPr>
        <w:t>ו</w:t>
      </w:r>
      <w:r w:rsidRPr="000A7A9C">
        <w:rPr>
          <w:rFonts w:cs="Arial"/>
          <w:rtl/>
        </w:rPr>
        <w:t>אף למ"ד המותר שלה מכל מקום אינו אלא כנכסי מלוג והבעל אוכל פירות</w:t>
      </w:r>
      <w:r>
        <w:rPr>
          <w:rFonts w:cs="Arial" w:hint="cs"/>
          <w:rtl/>
        </w:rPr>
        <w:t xml:space="preserve">, </w:t>
      </w:r>
      <w:r w:rsidRPr="000A7A9C">
        <w:rPr>
          <w:rFonts w:cs="Arial"/>
          <w:rtl/>
        </w:rPr>
        <w:t xml:space="preserve">מרדכי </w:t>
      </w:r>
      <w:r w:rsidRPr="0028436B">
        <w:rPr>
          <w:rFonts w:cs="Arial" w:hint="cs"/>
          <w:sz w:val="16"/>
          <w:szCs w:val="16"/>
          <w:rtl/>
        </w:rPr>
        <w:t>(</w:t>
      </w:r>
      <w:r w:rsidRPr="0028436B">
        <w:rPr>
          <w:rFonts w:cs="Arial"/>
          <w:sz w:val="16"/>
          <w:szCs w:val="16"/>
          <w:rtl/>
        </w:rPr>
        <w:t>ר</w:t>
      </w:r>
      <w:r w:rsidRPr="0028436B">
        <w:rPr>
          <w:rFonts w:cs="Arial" w:hint="cs"/>
          <w:sz w:val="16"/>
          <w:szCs w:val="16"/>
          <w:rtl/>
        </w:rPr>
        <w:t>"פ</w:t>
      </w:r>
      <w:r w:rsidRPr="0028436B">
        <w:rPr>
          <w:rFonts w:cs="Arial"/>
          <w:sz w:val="16"/>
          <w:szCs w:val="16"/>
          <w:rtl/>
        </w:rPr>
        <w:t xml:space="preserve"> מציאת אשה סי' קצ</w:t>
      </w:r>
      <w:r w:rsidRPr="0028436B">
        <w:rPr>
          <w:rFonts w:cs="Arial" w:hint="cs"/>
          <w:sz w:val="16"/>
          <w:szCs w:val="16"/>
          <w:rtl/>
        </w:rPr>
        <w:t>, כ"כ הדרכ"מ בשמו [אות ה]</w:t>
      </w:r>
      <w:r w:rsidRPr="0028436B">
        <w:rPr>
          <w:rFonts w:cs="Arial"/>
          <w:sz w:val="16"/>
          <w:szCs w:val="16"/>
          <w:rtl/>
        </w:rPr>
        <w:t>)</w:t>
      </w:r>
      <w:r>
        <w:rPr>
          <w:rFonts w:cs="Arial" w:hint="cs"/>
          <w:rtl/>
        </w:rPr>
        <w:t>.</w:t>
      </w:r>
    </w:p>
  </w:footnote>
  <w:footnote w:id="677">
    <w:p w14:paraId="614D6894" w14:textId="07E26302" w:rsidR="00DE2F5F" w:rsidRDefault="00DE2F5F">
      <w:pPr>
        <w:pStyle w:val="a5"/>
        <w:rPr>
          <w:rtl/>
        </w:rPr>
      </w:pPr>
      <w:r>
        <w:rPr>
          <w:rStyle w:val="a7"/>
        </w:rPr>
        <w:footnoteRef/>
      </w:r>
      <w:r>
        <w:rPr>
          <w:rtl/>
        </w:rPr>
        <w:t xml:space="preserve"> </w:t>
      </w:r>
      <w:r w:rsidRPr="000A7A9C">
        <w:rPr>
          <w:rFonts w:cs="Arial"/>
          <w:rtl/>
        </w:rPr>
        <w:t>ודבר ברור הוא שאם במעשה ידיה דשכיחי יכולה לומר איני נזונת ואיני עושה כל שכן במותר דלא שכיח</w:t>
      </w:r>
      <w:r>
        <w:rPr>
          <w:rFonts w:hint="cs"/>
          <w:rtl/>
        </w:rPr>
        <w:t>, ר"ן (שם).</w:t>
      </w:r>
    </w:p>
  </w:footnote>
  <w:footnote w:id="678">
    <w:p w14:paraId="556E3B10" w14:textId="2FE5948C" w:rsidR="00DE2F5F" w:rsidRDefault="00DE2F5F">
      <w:pPr>
        <w:pStyle w:val="a5"/>
        <w:rPr>
          <w:rtl/>
        </w:rPr>
      </w:pPr>
      <w:r>
        <w:rPr>
          <w:rStyle w:val="a7"/>
        </w:rPr>
        <w:footnoteRef/>
      </w:r>
      <w:r>
        <w:rPr>
          <w:rtl/>
        </w:rPr>
        <w:t xml:space="preserve"> </w:t>
      </w:r>
      <w:r w:rsidRPr="00E47041">
        <w:rPr>
          <w:rFonts w:cs="Arial"/>
          <w:rtl/>
        </w:rPr>
        <w:t>ודוקא בזן אותה אבל אם אינו זן אותה אע</w:t>
      </w:r>
      <w:r>
        <w:rPr>
          <w:rFonts w:cs="Arial" w:hint="cs"/>
          <w:rtl/>
        </w:rPr>
        <w:t>"</w:t>
      </w:r>
      <w:r w:rsidRPr="00E47041">
        <w:rPr>
          <w:rFonts w:cs="Arial"/>
          <w:rtl/>
        </w:rPr>
        <w:t>פ שלא בא העיכוב ממנו ואפי' שלא אמרה בפירוש איני ניזונית ואיני עושה</w:t>
      </w:r>
      <w:r>
        <w:rPr>
          <w:rFonts w:hint="cs"/>
          <w:rtl/>
        </w:rPr>
        <w:t>, באה"ט (סק"א).</w:t>
      </w:r>
    </w:p>
  </w:footnote>
  <w:footnote w:id="679">
    <w:p w14:paraId="4240455C" w14:textId="7845458C" w:rsidR="00DE2F5F" w:rsidRDefault="00DE2F5F">
      <w:pPr>
        <w:pStyle w:val="a5"/>
        <w:rPr>
          <w:rtl/>
        </w:rPr>
      </w:pPr>
      <w:r>
        <w:rPr>
          <w:rStyle w:val="a7"/>
        </w:rPr>
        <w:footnoteRef/>
      </w:r>
      <w:r>
        <w:rPr>
          <w:rtl/>
        </w:rPr>
        <w:t xml:space="preserve"> </w:t>
      </w:r>
      <w:r w:rsidRPr="00270F2B">
        <w:rPr>
          <w:rFonts w:cs="Arial"/>
          <w:rtl/>
        </w:rPr>
        <w:t>משמע דאין עושין שום מלאכה ויושבים בטל אפילו בנות משפחתה ג"כ יושבים בטל יכול הוא לכוף אותה שאל תשב בטל ותעשה מלאכה בצמר ומתני' דתנא עושה בצמר ולא בפשתן איירי נמי בכה"ג דיושבים בטל אבל אם דרכן לעשות בפשתן כופין אותה שתעשה פשתן ומגירסת הרמב"ם משמע אם אין להן מלאכה מיוחד אלא קצתן עושים מלאכה אחת וקצתן עושים מלאכה אחרת כופין אותה על צמר ולא על פשתן</w:t>
      </w:r>
      <w:r>
        <w:rPr>
          <w:rFonts w:hint="cs"/>
          <w:rtl/>
        </w:rPr>
        <w:t>, ב"ש (סק"א).</w:t>
      </w:r>
    </w:p>
  </w:footnote>
  <w:footnote w:id="680">
    <w:p w14:paraId="0C0C3D1B" w14:textId="214D6E88" w:rsidR="00DE2F5F" w:rsidRDefault="00DE2F5F">
      <w:pPr>
        <w:pStyle w:val="a5"/>
      </w:pPr>
      <w:r>
        <w:rPr>
          <w:rStyle w:val="a7"/>
        </w:rPr>
        <w:footnoteRef/>
      </w:r>
      <w:r>
        <w:rPr>
          <w:rtl/>
        </w:rPr>
        <w:t xml:space="preserve"> </w:t>
      </w:r>
      <w:r w:rsidRPr="00270F2B">
        <w:rPr>
          <w:rFonts w:cs="Arial"/>
          <w:rtl/>
        </w:rPr>
        <w:t>לאו אדחק' עצמה קאי אלא אסתם מותר מעשי ידיה לא זכה הבעל במותר אלא בנותן לה מעה כסף</w:t>
      </w:r>
      <w:r>
        <w:rPr>
          <w:rFonts w:cs="Arial" w:hint="cs"/>
          <w:rtl/>
        </w:rPr>
        <w:t>, ח"מ (סק"ג).</w:t>
      </w:r>
    </w:p>
  </w:footnote>
  <w:footnote w:id="681">
    <w:p w14:paraId="77592939" w14:textId="3C9DECDC" w:rsidR="00DE2F5F" w:rsidRDefault="00DE2F5F">
      <w:pPr>
        <w:pStyle w:val="a5"/>
      </w:pPr>
      <w:r>
        <w:rPr>
          <w:rStyle w:val="a7"/>
        </w:rPr>
        <w:footnoteRef/>
      </w:r>
      <w:r>
        <w:rPr>
          <w:rtl/>
        </w:rPr>
        <w:t xml:space="preserve"> </w:t>
      </w:r>
      <w:r w:rsidRPr="00E47041">
        <w:rPr>
          <w:rFonts w:cs="Arial"/>
          <w:rtl/>
        </w:rPr>
        <w:t>ועיין במל"מ רפכ"א מה' אישות שהביא ג"כ דברי מהרי"ט בזה ושם מבואר דמהרי"ט לא החליט הדין כלל אלא שצידד בזה</w:t>
      </w:r>
      <w:r>
        <w:rPr>
          <w:rFonts w:cs="Arial" w:hint="cs"/>
          <w:rtl/>
        </w:rPr>
        <w:t>.</w:t>
      </w:r>
      <w:r w:rsidRPr="00E47041">
        <w:rPr>
          <w:rFonts w:cs="Arial"/>
          <w:rtl/>
        </w:rPr>
        <w:t xml:space="preserve"> והמל"מ תמה עליו </w:t>
      </w:r>
      <w:r>
        <w:rPr>
          <w:rFonts w:cs="Arial" w:hint="cs"/>
          <w:sz w:val="16"/>
          <w:szCs w:val="16"/>
          <w:rtl/>
        </w:rPr>
        <w:t xml:space="preserve">{על המהרי"ט} </w:t>
      </w:r>
      <w:r w:rsidRPr="00E47041">
        <w:rPr>
          <w:rFonts w:cs="Arial"/>
          <w:rtl/>
        </w:rPr>
        <w:t>למה השמיט הרב דברי גדולי המחברים אשר נחלקו בזה כו' ודעתו נראה שיכולה האשה לומר קים לי כדעת הרמ"ה שהביא הטור סי' פ"ד דאם אינה ניזונית מציאתה לעצמה ולכן לא מפקינן מינה ע"ש.</w:t>
      </w:r>
      <w:r>
        <w:rPr>
          <w:rFonts w:cs="Arial" w:hint="cs"/>
          <w:rtl/>
        </w:rPr>
        <w:t>, פת"ש (סק"א).</w:t>
      </w:r>
    </w:p>
  </w:footnote>
  <w:footnote w:id="682">
    <w:p w14:paraId="200B7E83" w14:textId="3A6C542E" w:rsidR="00DE2F5F" w:rsidRDefault="00DE2F5F">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E47041">
        <w:rPr>
          <w:rFonts w:cs="Arial"/>
          <w:rtl/>
        </w:rPr>
        <w:t>ומה שמספקא עלי בנשים האלו שהנה גבירות ונכנסות בחצרות שרי מלכים וטירותם והמה כאניות סוחר להביא טרף לביתה ומכלכלים את בעליהם זה כמה שנים ומפרי ידיהם עשתו גם גברו חיל עושר ונכסי'</w:t>
      </w:r>
      <w:r>
        <w:rPr>
          <w:rFonts w:cs="Arial" w:hint="cs"/>
          <w:rtl/>
        </w:rPr>
        <w:t>,</w:t>
      </w:r>
      <w:r w:rsidRPr="00E47041">
        <w:rPr>
          <w:rFonts w:cs="Arial"/>
          <w:rtl/>
        </w:rPr>
        <w:t xml:space="preserve"> אם נאמר שאשה כזאת אין לבעלה זכות בכל אשר עשתה חיל כי מאחר שהוא אינו מעלה לה מזונות אדרבא היא מכלכלת את בעלה ואת בניה ואת כל אשר אתה בבית אין הבעל זוכה במעשה ידיה בסתם ואינה צריכה לפרש ולומר איני ניזונית ואיני עושה דכל שאין הבעל זנה במאי זכי במעשה ידיה </w:t>
      </w:r>
      <w:r w:rsidRPr="008C57E2">
        <w:rPr>
          <w:rFonts w:cs="Arial" w:hint="cs"/>
          <w:sz w:val="16"/>
          <w:szCs w:val="16"/>
          <w:rtl/>
        </w:rPr>
        <w:t>(</w:t>
      </w:r>
      <w:r w:rsidRPr="008C57E2">
        <w:rPr>
          <w:rFonts w:cs="Arial"/>
          <w:sz w:val="16"/>
          <w:szCs w:val="16"/>
          <w:rtl/>
        </w:rPr>
        <w:t>ומנא אמינא לה מהא דמייתי הר"ן ז"ל בפרק אלמנה ניזוני' משם הרמב"ן ז"ל גבי אלמנה ששהתה עשר שנים וכו' שאם לא נתן לאשתו מזונות ועשתה ואכלה אפילו שהותירה אין לבעלה עליה כלום דכל היכא דאיהו לא יהיב לה מזונות אינה צריכה להתנות בפי' ולומר איני ניזונת וכו' אלא זכתה במעשה ידיה אפילו דרך שתיקה וזו היא ששנינו אם אינו נותן לה מעה כסף לצרכיה מעשה ידיה שלה. ואין לחלק בין היכא דאתיא מיניה שלא רצה לתת לה מזונות להיכא דאתיא מינה כי כביר מצאה ידה ולא הוצרכה לבעלה שיביא לחם ביתו דהתם לאו משום שהוא לא רצה לתת לה מזונות דהא בשהתה ולא תבעה מיירי התם מעיקרא ועלה קאמר וה"מ לאפוקי מבעלה מזונות אבל אם הותירו אין לבעלה עליה כלום אלמא הותירה דומיא דפחתה דבכל ענין שלא העלה לה אין לו במות' כלו' ולשון דכל היכא דאיהו לא יהיב לה לשעתה משמע אפי' לא תבעתו וכן מתני' דמייתי מואם אינו נותן לה מעה כסף לצרכיה מיירי אפילו לא תבעתו מדלא קתני ואם אינו רוצה ליתן כו' אלמא דכל היכא דלא נתן לה זכתה במותר מעשה ידיה</w:t>
      </w:r>
      <w:r w:rsidRPr="008C57E2">
        <w:rPr>
          <w:rFonts w:cs="Arial" w:hint="cs"/>
          <w:sz w:val="16"/>
          <w:szCs w:val="16"/>
          <w:rtl/>
        </w:rPr>
        <w:t>)</w:t>
      </w:r>
      <w:r>
        <w:rPr>
          <w:rFonts w:cs="Arial" w:hint="cs"/>
          <w:rtl/>
        </w:rPr>
        <w:t>.</w:t>
      </w:r>
      <w:r w:rsidRPr="00E47041">
        <w:rPr>
          <w:rFonts w:cs="Arial"/>
          <w:rtl/>
        </w:rPr>
        <w:t xml:space="preserve"> אלא שאפשר לומר דנשים אלו שתחל' שמושן במלאכה זו עדיין הבעל טורח במזונות וכשהי</w:t>
      </w:r>
      <w:r>
        <w:rPr>
          <w:rFonts w:cs="Arial" w:hint="cs"/>
          <w:rtl/>
        </w:rPr>
        <w:t>א</w:t>
      </w:r>
      <w:r w:rsidRPr="00E47041">
        <w:rPr>
          <w:rFonts w:cs="Arial"/>
          <w:rtl/>
        </w:rPr>
        <w:t xml:space="preserve"> מרווחת ונותנה בעין יפה ונותנת יציאו' הבית כל שלא אמרה איני נזונית וכו' הרי יש לה ממה שתפרנס הבית ממה שהרויחה כבר ומדידיה קאכל' ומדידיה שת' וכל מה שהיתה הולכ' ומשתכר' קמא קמא בטיל לגבי בעל</w:t>
      </w:r>
      <w:r>
        <w:rPr>
          <w:rFonts w:cs="Arial" w:hint="cs"/>
          <w:rtl/>
        </w:rPr>
        <w:t>.</w:t>
      </w:r>
      <w:r w:rsidRPr="00E47041">
        <w:rPr>
          <w:rFonts w:cs="Arial"/>
          <w:rtl/>
        </w:rPr>
        <w:t xml:space="preserve"> אי נמי אפשר לומר דכיון דאיכא ריוח ביתא מסתמא וותרה</w:t>
      </w:r>
      <w:r>
        <w:rPr>
          <w:rFonts w:cs="Arial" w:hint="cs"/>
          <w:rtl/>
        </w:rPr>
        <w:t>,</w:t>
      </w:r>
      <w:r w:rsidRPr="00E47041">
        <w:rPr>
          <w:rFonts w:cs="Arial"/>
          <w:rtl/>
        </w:rPr>
        <w:t xml:space="preserve"> כדאמרינן בפרק מציאת האשה במי שמת והניח ב' בנות וקדמה ראשונה ונטלה עישור נכסים ולא הספיקה שניה לגבות עד שמת הבן א"ר יוחנן שניה וותרה וחולקות בשוה</w:t>
      </w:r>
      <w:r w:rsidR="00572795">
        <w:rPr>
          <w:rFonts w:cs="Arial" w:hint="cs"/>
          <w:rtl/>
        </w:rPr>
        <w:t>.</w:t>
      </w:r>
      <w:r w:rsidRPr="00E47041">
        <w:rPr>
          <w:rFonts w:cs="Arial"/>
          <w:rtl/>
        </w:rPr>
        <w:t xml:space="preserve"> ומסיק דטעמא דר"י משו' ריוח ביתא. ופסקו הרי"ף והרמב"ם כר' יוחנן ואפילו למאן דפסק התם כרבי חנינא הכא עדיפא דעל הסתם היתה עושה כדרך שהיתה עושה בתחל' ואם איתא דקפדה היה לה לפרש</w:t>
      </w:r>
      <w:r w:rsidR="00BB3E5C">
        <w:rPr>
          <w:rFonts w:cs="Arial" w:hint="cs"/>
          <w:rtl/>
        </w:rPr>
        <w:t>.</w:t>
      </w:r>
      <w:r w:rsidRPr="00E47041">
        <w:rPr>
          <w:rFonts w:cs="Arial"/>
          <w:rtl/>
        </w:rPr>
        <w:t xml:space="preserve"> הנלע"ד יוסף בכמהר"ר משה מטראני זלה"ה.</w:t>
      </w:r>
    </w:p>
  </w:footnote>
  <w:footnote w:id="683">
    <w:p w14:paraId="54C39615" w14:textId="4DC24037" w:rsidR="003500D9" w:rsidRDefault="003500D9">
      <w:pPr>
        <w:pStyle w:val="a5"/>
        <w:rPr>
          <w:rtl/>
        </w:rPr>
      </w:pPr>
      <w:r>
        <w:rPr>
          <w:rStyle w:val="a7"/>
        </w:rPr>
        <w:footnoteRef/>
      </w:r>
      <w:r>
        <w:rPr>
          <w:rtl/>
        </w:rPr>
        <w:t xml:space="preserve"> </w:t>
      </w:r>
      <w:r>
        <w:rPr>
          <w:rFonts w:hint="cs"/>
          <w:rtl/>
        </w:rPr>
        <w:t xml:space="preserve">סימן - נסיכה </w:t>
      </w:r>
      <w:r>
        <w:rPr>
          <w:rFonts w:hint="cs"/>
          <w:sz w:val="16"/>
          <w:szCs w:val="16"/>
          <w:rtl/>
        </w:rPr>
        <w:t xml:space="preserve">(היינו עשירה) </w:t>
      </w:r>
      <w:r>
        <w:rPr>
          <w:rFonts w:hint="cs"/>
          <w:rtl/>
        </w:rPr>
        <w:t>טוחנת.</w:t>
      </w:r>
    </w:p>
  </w:footnote>
  <w:footnote w:id="684">
    <w:p w14:paraId="25BB8091" w14:textId="77777777" w:rsidR="00DE2F5F" w:rsidRDefault="00DE2F5F" w:rsidP="00986CA6">
      <w:pPr>
        <w:pStyle w:val="a5"/>
      </w:pPr>
      <w:r>
        <w:rPr>
          <w:rStyle w:val="a7"/>
        </w:rPr>
        <w:footnoteRef/>
      </w:r>
      <w:r>
        <w:rPr>
          <w:rtl/>
        </w:rPr>
        <w:t xml:space="preserve"> </w:t>
      </w:r>
      <w:r w:rsidRPr="00D04A54">
        <w:rPr>
          <w:rFonts w:cs="Arial"/>
          <w:rtl/>
        </w:rPr>
        <w:t>רבי אליעזר מה לי לידי שעמום מה לי לידי זימה</w:t>
      </w:r>
      <w:r>
        <w:rPr>
          <w:rFonts w:cs="Arial" w:hint="cs"/>
          <w:rtl/>
        </w:rPr>
        <w:t>, רש"י.</w:t>
      </w:r>
    </w:p>
  </w:footnote>
  <w:footnote w:id="685">
    <w:p w14:paraId="253FFEDD" w14:textId="77777777" w:rsidR="00DE2F5F" w:rsidRDefault="00DE2F5F" w:rsidP="00986CA6">
      <w:pPr>
        <w:pStyle w:val="a5"/>
      </w:pPr>
      <w:r>
        <w:rPr>
          <w:rStyle w:val="a7"/>
        </w:rPr>
        <w:footnoteRef/>
      </w:r>
      <w:r>
        <w:rPr>
          <w:rtl/>
        </w:rPr>
        <w:t xml:space="preserve"> </w:t>
      </w:r>
      <w:r w:rsidRPr="00D04A54">
        <w:rPr>
          <w:rFonts w:cs="Arial"/>
          <w:rtl/>
        </w:rPr>
        <w:t>משחקת בכלבים דקים ושחוק שקורין אישקקי"ש לידי זימה איכא לידי שיעמום ליכא דאין שיעמום אלא ביושב ותוהא ובטל לגמרי</w:t>
      </w:r>
      <w:r>
        <w:rPr>
          <w:rFonts w:cs="Arial" w:hint="cs"/>
          <w:rtl/>
        </w:rPr>
        <w:t>, רש"י.</w:t>
      </w:r>
    </w:p>
  </w:footnote>
  <w:footnote w:id="686">
    <w:p w14:paraId="4EF8CCF3" w14:textId="35E3167C" w:rsidR="00DE2F5F" w:rsidRDefault="00DE2F5F">
      <w:pPr>
        <w:pStyle w:val="a5"/>
        <w:rPr>
          <w:rtl/>
        </w:rPr>
      </w:pPr>
      <w:r>
        <w:rPr>
          <w:rStyle w:val="a7"/>
        </w:rPr>
        <w:footnoteRef/>
      </w:r>
      <w:r>
        <w:rPr>
          <w:rtl/>
        </w:rPr>
        <w:t xml:space="preserve"> </w:t>
      </w:r>
      <w:r w:rsidRPr="001B4F87">
        <w:rPr>
          <w:rFonts w:cs="Arial"/>
          <w:rtl/>
        </w:rPr>
        <w:t>ולא ידעתי מהו</w:t>
      </w:r>
      <w:r>
        <w:rPr>
          <w:rFonts w:cs="Arial" w:hint="cs"/>
          <w:rtl/>
        </w:rPr>
        <w:t>,</w:t>
      </w:r>
      <w:r w:rsidRPr="001B4F87">
        <w:rPr>
          <w:rFonts w:cs="Arial"/>
          <w:rtl/>
        </w:rPr>
        <w:t xml:space="preserve"> דכל העדפה ברצונה נעשית ואעפ"כ הקנוה לבעל תחת מעה כסף</w:t>
      </w:r>
      <w:r w:rsidR="0004094F">
        <w:rPr>
          <w:rFonts w:cs="Arial" w:hint="cs"/>
          <w:rtl/>
        </w:rPr>
        <w:t>,</w:t>
      </w:r>
      <w:r w:rsidRPr="001B4F87">
        <w:rPr>
          <w:rFonts w:cs="Arial"/>
          <w:rtl/>
        </w:rPr>
        <w:t xml:space="preserve"> ואפילו העדפה שע"י הדחק למי שפוסק כן</w:t>
      </w:r>
      <w:r>
        <w:rPr>
          <w:rFonts w:cs="Arial" w:hint="cs"/>
          <w:rtl/>
        </w:rPr>
        <w:t>,</w:t>
      </w:r>
      <w:r w:rsidRPr="001B4F87">
        <w:rPr>
          <w:rFonts w:cs="Arial"/>
          <w:rtl/>
        </w:rPr>
        <w:t xml:space="preserve"> ומה ענין זה לכאן</w:t>
      </w:r>
      <w:r>
        <w:rPr>
          <w:rFonts w:cs="Arial" w:hint="cs"/>
          <w:rtl/>
        </w:rPr>
        <w:t>.</w:t>
      </w:r>
      <w:r w:rsidRPr="001B4F87">
        <w:rPr>
          <w:rFonts w:cs="Arial"/>
          <w:rtl/>
        </w:rPr>
        <w:t xml:space="preserve"> אבל קרוב הדבר לומר שאם תהא מלאכתה לעצמה כיון שלא תצטר</w:t>
      </w:r>
      <w:r w:rsidR="0004094F">
        <w:rPr>
          <w:rFonts w:cs="Arial" w:hint="cs"/>
          <w:rtl/>
        </w:rPr>
        <w:t>י</w:t>
      </w:r>
      <w:r w:rsidRPr="001B4F87">
        <w:rPr>
          <w:rFonts w:cs="Arial"/>
          <w:rtl/>
        </w:rPr>
        <w:t>ך לחשוב עם הבעל תתבטל ותבא לידי זימה</w:t>
      </w:r>
      <w:r>
        <w:rPr>
          <w:rFonts w:cs="Arial" w:hint="cs"/>
          <w:rtl/>
        </w:rPr>
        <w:t>,</w:t>
      </w:r>
      <w:r w:rsidRPr="00D54E0D">
        <w:rPr>
          <w:rFonts w:cs="Arial" w:hint="cs"/>
          <w:rtl/>
        </w:rPr>
        <w:t xml:space="preserve"> </w:t>
      </w:r>
      <w:r w:rsidRPr="0004094F">
        <w:rPr>
          <w:rFonts w:cs="Arial" w:hint="cs"/>
          <w:b/>
          <w:bCs/>
          <w:rtl/>
        </w:rPr>
        <w:t>ר"ן</w:t>
      </w:r>
      <w:r>
        <w:rPr>
          <w:rFonts w:cs="Arial" w:hint="cs"/>
          <w:rtl/>
        </w:rPr>
        <w:t xml:space="preserve"> </w:t>
      </w:r>
      <w:r w:rsidRPr="0004094F">
        <w:rPr>
          <w:rFonts w:cs="Arial" w:hint="cs"/>
          <w:rtl/>
        </w:rPr>
        <w:t>(כה: ד"ה הלכה).</w:t>
      </w:r>
      <w:r w:rsidRPr="00E73332">
        <w:rPr>
          <w:rFonts w:cs="Arial"/>
          <w:rtl/>
        </w:rPr>
        <w:t xml:space="preserve"> </w:t>
      </w:r>
      <w:r w:rsidR="0004094F">
        <w:rPr>
          <w:rFonts w:cs="Arial" w:hint="cs"/>
          <w:rtl/>
        </w:rPr>
        <w:t xml:space="preserve">     </w:t>
      </w:r>
      <w:r w:rsidRPr="004B36AC">
        <w:rPr>
          <w:rFonts w:cs="Arial"/>
          <w:rtl/>
        </w:rPr>
        <w:t>לפי זה י"ל אילו אם הוא</w:t>
      </w:r>
      <w:r w:rsidR="0004094F">
        <w:rPr>
          <w:rFonts w:cs="Arial" w:hint="cs"/>
          <w:rtl/>
        </w:rPr>
        <w:t xml:space="preserve"> </w:t>
      </w:r>
      <w:r w:rsidRPr="004B36AC">
        <w:rPr>
          <w:rFonts w:cs="Arial"/>
          <w:rtl/>
        </w:rPr>
        <w:t>עושר גדול דאינה חייבת לעשות</w:t>
      </w:r>
      <w:r>
        <w:rPr>
          <w:rFonts w:cs="Arial" w:hint="cs"/>
          <w:rtl/>
        </w:rPr>
        <w:t>,</w:t>
      </w:r>
      <w:r w:rsidRPr="004B36AC">
        <w:rPr>
          <w:rFonts w:cs="Arial"/>
          <w:rtl/>
        </w:rPr>
        <w:t xml:space="preserve"> וגם אמרה איני ניזונת ואיני עושה </w:t>
      </w:r>
      <w:r>
        <w:rPr>
          <w:rFonts w:cs="Arial" w:hint="cs"/>
          <w:rtl/>
        </w:rPr>
        <w:t xml:space="preserve">- </w:t>
      </w:r>
      <w:r w:rsidRPr="004B36AC">
        <w:rPr>
          <w:rFonts w:cs="Arial"/>
          <w:rtl/>
        </w:rPr>
        <w:t>מכל מקום חייבת לעשו</w:t>
      </w:r>
      <w:r>
        <w:rPr>
          <w:rFonts w:cs="Arial" w:hint="cs"/>
          <w:rtl/>
        </w:rPr>
        <w:t>ת</w:t>
      </w:r>
      <w:r w:rsidRPr="004B36AC">
        <w:rPr>
          <w:rFonts w:cs="Arial"/>
          <w:rtl/>
        </w:rPr>
        <w:t xml:space="preserve"> ומעשה ידיה לבעלה</w:t>
      </w:r>
      <w:r>
        <w:rPr>
          <w:rFonts w:cs="Arial" w:hint="cs"/>
          <w:rtl/>
        </w:rPr>
        <w:t>.</w:t>
      </w:r>
      <w:r w:rsidRPr="004B36AC">
        <w:rPr>
          <w:rFonts w:cs="Arial"/>
          <w:rtl/>
        </w:rPr>
        <w:t xml:space="preserve"> ואפשר שאמרה איני ניזונ</w:t>
      </w:r>
      <w:r>
        <w:rPr>
          <w:rFonts w:cs="Arial" w:hint="cs"/>
          <w:rtl/>
        </w:rPr>
        <w:t>ת</w:t>
      </w:r>
      <w:r w:rsidRPr="004B36AC">
        <w:rPr>
          <w:rFonts w:cs="Arial"/>
          <w:rtl/>
        </w:rPr>
        <w:t xml:space="preserve"> ואיני עושה לא חיישינן שלא תעשה כיון דאין לה מזונות ממנו אז מסתמ</w:t>
      </w:r>
      <w:r>
        <w:rPr>
          <w:rFonts w:cs="Arial" w:hint="cs"/>
          <w:rtl/>
        </w:rPr>
        <w:t>א</w:t>
      </w:r>
      <w:r w:rsidRPr="004B36AC">
        <w:rPr>
          <w:rFonts w:cs="Arial"/>
          <w:rtl/>
        </w:rPr>
        <w:t xml:space="preserve"> תעשה מלאכה לטובתה ואז מ</w:t>
      </w:r>
      <w:r>
        <w:rPr>
          <w:rFonts w:cs="Arial" w:hint="cs"/>
          <w:rtl/>
        </w:rPr>
        <w:t xml:space="preserve">עשה </w:t>
      </w:r>
      <w:r w:rsidRPr="004B36AC">
        <w:rPr>
          <w:rFonts w:cs="Arial"/>
          <w:rtl/>
        </w:rPr>
        <w:t>י</w:t>
      </w:r>
      <w:r>
        <w:rPr>
          <w:rFonts w:cs="Arial" w:hint="cs"/>
          <w:rtl/>
        </w:rPr>
        <w:t>דיה</w:t>
      </w:r>
      <w:r w:rsidRPr="004B36AC">
        <w:rPr>
          <w:rFonts w:cs="Arial"/>
          <w:rtl/>
        </w:rPr>
        <w:t xml:space="preserve"> לעצמה</w:t>
      </w:r>
      <w:r>
        <w:rPr>
          <w:rFonts w:cs="Arial" w:hint="cs"/>
          <w:rtl/>
        </w:rPr>
        <w:t xml:space="preserve">, </w:t>
      </w:r>
      <w:r w:rsidRPr="0004094F">
        <w:rPr>
          <w:rFonts w:cs="Arial" w:hint="cs"/>
          <w:b/>
          <w:bCs/>
          <w:rtl/>
        </w:rPr>
        <w:t>ב"ש</w:t>
      </w:r>
      <w:r>
        <w:rPr>
          <w:rFonts w:cs="Arial" w:hint="cs"/>
          <w:rtl/>
        </w:rPr>
        <w:t xml:space="preserve"> (סק"ד).</w:t>
      </w:r>
    </w:p>
  </w:footnote>
  <w:footnote w:id="687">
    <w:p w14:paraId="0CFB4FC7" w14:textId="77777777" w:rsidR="00DE2F5F" w:rsidRDefault="00DE2F5F" w:rsidP="00986CA6">
      <w:pPr>
        <w:pStyle w:val="a5"/>
      </w:pPr>
      <w:r>
        <w:rPr>
          <w:rStyle w:val="a7"/>
        </w:rPr>
        <w:footnoteRef/>
      </w:r>
      <w:r>
        <w:rPr>
          <w:rtl/>
        </w:rPr>
        <w:t xml:space="preserve"> </w:t>
      </w:r>
      <w:r w:rsidRPr="00D04A54">
        <w:rPr>
          <w:rFonts w:cs="Arial"/>
          <w:rtl/>
        </w:rPr>
        <w:t>רבי אליעזר מה לי לידי שעמום מה לי לידי זימה</w:t>
      </w:r>
      <w:r>
        <w:rPr>
          <w:rFonts w:cs="Arial" w:hint="cs"/>
          <w:rtl/>
        </w:rPr>
        <w:t>, רש"י.</w:t>
      </w:r>
    </w:p>
  </w:footnote>
  <w:footnote w:id="688">
    <w:p w14:paraId="20304F2D" w14:textId="77777777" w:rsidR="00DE2F5F" w:rsidRDefault="00DE2F5F" w:rsidP="00986CA6">
      <w:pPr>
        <w:pStyle w:val="a5"/>
      </w:pPr>
      <w:r>
        <w:rPr>
          <w:rStyle w:val="a7"/>
        </w:rPr>
        <w:footnoteRef/>
      </w:r>
      <w:r>
        <w:rPr>
          <w:rtl/>
        </w:rPr>
        <w:t xml:space="preserve"> </w:t>
      </w:r>
      <w:r w:rsidRPr="00D04A54">
        <w:rPr>
          <w:rFonts w:cs="Arial"/>
          <w:rtl/>
        </w:rPr>
        <w:t>משחקת בכלבים דקים ושחוק שקורין אישקקי"ש לידי זימה איכא לידי שיעמום ליכא דאין שיעמום אלא ביושב ותוהא ובטל לגמרי</w:t>
      </w:r>
      <w:r>
        <w:rPr>
          <w:rFonts w:cs="Arial" w:hint="cs"/>
          <w:rtl/>
        </w:rPr>
        <w:t>, רש"י.</w:t>
      </w:r>
    </w:p>
  </w:footnote>
  <w:footnote w:id="689">
    <w:p w14:paraId="7944E082" w14:textId="2E5246F2" w:rsidR="00DE2F5F" w:rsidRDefault="00DE2F5F">
      <w:pPr>
        <w:pStyle w:val="a5"/>
      </w:pPr>
      <w:r>
        <w:rPr>
          <w:rStyle w:val="a7"/>
        </w:rPr>
        <w:footnoteRef/>
      </w:r>
      <w:r>
        <w:rPr>
          <w:rtl/>
        </w:rPr>
        <w:t xml:space="preserve"> </w:t>
      </w:r>
      <w:r w:rsidRPr="004A5CA6">
        <w:rPr>
          <w:rFonts w:cs="Arial"/>
          <w:rtl/>
        </w:rPr>
        <w:t>וכ' המ"מ לא נזכר בגמרא כמה יהיה זמן ההדרה ורחוק מן הדעת שאם הדיר' יום אחד או שנים שתבא לידי זימה</w:t>
      </w:r>
      <w:r>
        <w:rPr>
          <w:rFonts w:cs="Arial" w:hint="cs"/>
          <w:rtl/>
        </w:rPr>
        <w:t>, ח"מ (סק"ז).</w:t>
      </w:r>
    </w:p>
  </w:footnote>
  <w:footnote w:id="690">
    <w:p w14:paraId="357D6E3F" w14:textId="675C9E62" w:rsidR="00DE2F5F" w:rsidRDefault="00DE2F5F">
      <w:pPr>
        <w:pStyle w:val="a5"/>
      </w:pPr>
      <w:r>
        <w:rPr>
          <w:rStyle w:val="a7"/>
        </w:rPr>
        <w:footnoteRef/>
      </w:r>
      <w:r>
        <w:rPr>
          <w:rtl/>
        </w:rPr>
        <w:t xml:space="preserve"> </w:t>
      </w:r>
      <w:r w:rsidRPr="004A5CA6">
        <w:rPr>
          <w:rFonts w:cs="Arial"/>
          <w:rtl/>
        </w:rPr>
        <w:t>כבר כתבתי בסי' ע"ד סק"ב שאין ביד הבעל לאסור על אשתו ולומר לה לא תעשה זה ואם אמר כן אין בדבריו כלום אלא א"כ תלה בתשמיש או בדברים אחרים</w:t>
      </w:r>
      <w:r>
        <w:rPr>
          <w:rFonts w:cs="Arial" w:hint="cs"/>
          <w:rtl/>
        </w:rPr>
        <w:t>, ח"מ (סק"ז).</w:t>
      </w:r>
    </w:p>
  </w:footnote>
  <w:footnote w:id="691">
    <w:p w14:paraId="1D214413" w14:textId="66920283" w:rsidR="004F74B7" w:rsidRPr="004F74B7" w:rsidRDefault="004F74B7">
      <w:pPr>
        <w:pStyle w:val="a5"/>
      </w:pPr>
      <w:r w:rsidRPr="004F74B7">
        <w:rPr>
          <w:rStyle w:val="a7"/>
        </w:rPr>
        <w:footnoteRef/>
      </w:r>
      <w:r w:rsidRPr="004F74B7">
        <w:rPr>
          <w:rtl/>
        </w:rPr>
        <w:t xml:space="preserve"> </w:t>
      </w:r>
      <w:r w:rsidRPr="004F74B7">
        <w:rPr>
          <w:rFonts w:cs="Arial"/>
          <w:rtl/>
        </w:rPr>
        <w:t>כלומר דיש מלאכות אחרות קטנות שהיא חייבת בהן כגון מוזגת לו את הכוס ונותנת תבן לפני בהמתו וכיוצא בהן כדאיתא בגמרא</w:t>
      </w:r>
      <w:r w:rsidRPr="004F74B7">
        <w:rPr>
          <w:rFonts w:cs="Arial" w:hint="cs"/>
          <w:rtl/>
        </w:rPr>
        <w:t>, ר"ן (כד.).</w:t>
      </w:r>
    </w:p>
  </w:footnote>
  <w:footnote w:id="692">
    <w:p w14:paraId="11C1BFF3" w14:textId="05C3F68A" w:rsidR="00DE2F5F" w:rsidRDefault="00DE2F5F">
      <w:pPr>
        <w:pStyle w:val="a5"/>
      </w:pPr>
      <w:r>
        <w:rPr>
          <w:rStyle w:val="a7"/>
        </w:rPr>
        <w:footnoteRef/>
      </w:r>
      <w:r>
        <w:rPr>
          <w:rtl/>
        </w:rPr>
        <w:t xml:space="preserve"> </w:t>
      </w:r>
      <w:r w:rsidRPr="00F819D1">
        <w:rPr>
          <w:rFonts w:cs="Arial"/>
          <w:rtl/>
        </w:rPr>
        <w:t>לשרת</w:t>
      </w:r>
      <w:r>
        <w:rPr>
          <w:rFonts w:cs="Arial" w:hint="cs"/>
          <w:rtl/>
        </w:rPr>
        <w:t>, רש"י.</w:t>
      </w:r>
    </w:p>
  </w:footnote>
  <w:footnote w:id="693">
    <w:p w14:paraId="526935C7" w14:textId="37195E9A" w:rsidR="00BD23C6" w:rsidRDefault="00BD23C6">
      <w:pPr>
        <w:pStyle w:val="a5"/>
        <w:rPr>
          <w:rtl/>
        </w:rPr>
      </w:pPr>
      <w:r>
        <w:rPr>
          <w:rStyle w:val="a7"/>
        </w:rPr>
        <w:footnoteRef/>
      </w:r>
      <w:r>
        <w:rPr>
          <w:rtl/>
        </w:rPr>
        <w:t xml:space="preserve"> </w:t>
      </w:r>
      <w:r>
        <w:rPr>
          <w:rFonts w:hint="cs"/>
          <w:rtl/>
        </w:rPr>
        <w:t xml:space="preserve">כן הוא בגירסת הרשב"א </w:t>
      </w:r>
      <w:r w:rsidR="00CD4C29">
        <w:rPr>
          <w:rFonts w:hint="cs"/>
          <w:rtl/>
        </w:rPr>
        <w:t>(כתובות סא.).</w:t>
      </w:r>
    </w:p>
  </w:footnote>
  <w:footnote w:id="694">
    <w:p w14:paraId="55F90906" w14:textId="17E596D8" w:rsidR="00DE2F5F" w:rsidRDefault="00DE2F5F">
      <w:pPr>
        <w:pStyle w:val="a5"/>
      </w:pPr>
      <w:r>
        <w:rPr>
          <w:rStyle w:val="a7"/>
        </w:rPr>
        <w:footnoteRef/>
      </w:r>
      <w:r>
        <w:rPr>
          <w:rtl/>
        </w:rPr>
        <w:t xml:space="preserve"> </w:t>
      </w:r>
      <w:r>
        <w:rPr>
          <w:rFonts w:hint="cs"/>
          <w:rtl/>
        </w:rPr>
        <w:t>משום שאלו מלאכות של חבה.</w:t>
      </w:r>
    </w:p>
  </w:footnote>
  <w:footnote w:id="695">
    <w:p w14:paraId="69F5684E" w14:textId="5FA1673F" w:rsidR="00A13E9B" w:rsidRDefault="00A13E9B">
      <w:pPr>
        <w:pStyle w:val="a5"/>
        <w:rPr>
          <w:rtl/>
        </w:rPr>
      </w:pPr>
      <w:r>
        <w:rPr>
          <w:rStyle w:val="a7"/>
        </w:rPr>
        <w:footnoteRef/>
      </w:r>
      <w:r>
        <w:rPr>
          <w:rtl/>
        </w:rPr>
        <w:t xml:space="preserve"> </w:t>
      </w:r>
      <w:r w:rsidR="00BE7FC7">
        <w:rPr>
          <w:rFonts w:hint="cs"/>
          <w:rtl/>
        </w:rPr>
        <w:t>פי' בתמיה, רשב"א (כתובות סא.).</w:t>
      </w:r>
    </w:p>
  </w:footnote>
  <w:footnote w:id="696">
    <w:p w14:paraId="5874F53D" w14:textId="26B4DF0F" w:rsidR="00DE2F5F" w:rsidRDefault="00DE2F5F">
      <w:pPr>
        <w:pStyle w:val="a5"/>
      </w:pPr>
      <w:r>
        <w:rPr>
          <w:rStyle w:val="a7"/>
        </w:rPr>
        <w:footnoteRef/>
      </w:r>
      <w:r>
        <w:rPr>
          <w:rtl/>
        </w:rPr>
        <w:t xml:space="preserve"> </w:t>
      </w:r>
      <w:r w:rsidRPr="00FE7204">
        <w:rPr>
          <w:rFonts w:cs="Arial"/>
          <w:rtl/>
        </w:rPr>
        <w:t>ולעולם חייבת לעשות ואפילו הכניסה לו עבדים</w:t>
      </w:r>
      <w:r>
        <w:rPr>
          <w:rFonts w:cs="Arial" w:hint="cs"/>
          <w:rtl/>
        </w:rPr>
        <w:t>, פני משה.</w:t>
      </w:r>
    </w:p>
  </w:footnote>
  <w:footnote w:id="697">
    <w:p w14:paraId="786671C7" w14:textId="2191E29A" w:rsidR="00DE2F5F" w:rsidRDefault="00DE2F5F">
      <w:pPr>
        <w:pStyle w:val="a5"/>
        <w:rPr>
          <w:rtl/>
        </w:rPr>
      </w:pPr>
      <w:r>
        <w:rPr>
          <w:rStyle w:val="a7"/>
        </w:rPr>
        <w:footnoteRef/>
      </w:r>
      <w:r>
        <w:rPr>
          <w:rtl/>
        </w:rPr>
        <w:t xml:space="preserve"> </w:t>
      </w:r>
      <w:r w:rsidRPr="00FE7204">
        <w:rPr>
          <w:rFonts w:cs="Arial"/>
          <w:rtl/>
        </w:rPr>
        <w:t>אמילתיה דר"א במתני' קאי ותני בתוספתא כן דכופה לעשות בצמר אבל לא בפשתן</w:t>
      </w:r>
      <w:r>
        <w:rPr>
          <w:rFonts w:hint="cs"/>
          <w:rtl/>
        </w:rPr>
        <w:t>, פני משה.</w:t>
      </w:r>
    </w:p>
  </w:footnote>
  <w:footnote w:id="698">
    <w:p w14:paraId="74CE351C" w14:textId="7B41829D" w:rsidR="00DE2F5F" w:rsidRDefault="00DE2F5F">
      <w:pPr>
        <w:pStyle w:val="a5"/>
      </w:pPr>
      <w:r>
        <w:rPr>
          <w:rStyle w:val="a7"/>
        </w:rPr>
        <w:footnoteRef/>
      </w:r>
      <w:r>
        <w:rPr>
          <w:rtl/>
        </w:rPr>
        <w:t xml:space="preserve"> </w:t>
      </w:r>
      <w:r w:rsidRPr="00FE7204">
        <w:rPr>
          <w:rFonts w:cs="Arial"/>
          <w:rtl/>
        </w:rPr>
        <w:t>משרבטת ומארכת השפתים ע"י שהיא צריכה לשרות החוט תמיד ברוק</w:t>
      </w:r>
      <w:r>
        <w:rPr>
          <w:rFonts w:cs="Arial" w:hint="cs"/>
          <w:rtl/>
        </w:rPr>
        <w:t>, פני משה.</w:t>
      </w:r>
    </w:p>
  </w:footnote>
  <w:footnote w:id="699">
    <w:p w14:paraId="44B4E4DA" w14:textId="11C6CBB6" w:rsidR="00DE2F5F" w:rsidRDefault="00DE2F5F">
      <w:pPr>
        <w:pStyle w:val="a5"/>
        <w:rPr>
          <w:rtl/>
        </w:rPr>
      </w:pPr>
      <w:r>
        <w:rPr>
          <w:rStyle w:val="a7"/>
        </w:rPr>
        <w:footnoteRef/>
      </w:r>
      <w:r>
        <w:rPr>
          <w:rtl/>
        </w:rPr>
        <w:t xml:space="preserve"> </w:t>
      </w:r>
      <w:r w:rsidRPr="00672512">
        <w:rPr>
          <w:rFonts w:cs="Arial"/>
          <w:rtl/>
        </w:rPr>
        <w:t>לעיל סעיף ב' כתב שאפילו היה לו ולה ממון הרבה ושפחו' הרבה אפ"ה צריכה להתעסק קצת במלאכה שהבטל' מביאה לידי זימה וכתב כאן עוד ד' דברים צריכה כל אשה לעשות אפי' עשירה</w:t>
      </w:r>
      <w:r>
        <w:rPr>
          <w:rFonts w:hint="cs"/>
          <w:rtl/>
        </w:rPr>
        <w:t>, ח"מ (סק"ט).</w:t>
      </w:r>
    </w:p>
  </w:footnote>
  <w:footnote w:id="700">
    <w:p w14:paraId="2B858BF8" w14:textId="77777777" w:rsidR="00C8566E" w:rsidRDefault="00C8566E" w:rsidP="00C8566E">
      <w:pPr>
        <w:pStyle w:val="a5"/>
        <w:rPr>
          <w:rtl/>
        </w:rPr>
      </w:pPr>
      <w:r>
        <w:rPr>
          <w:rStyle w:val="a7"/>
        </w:rPr>
        <w:footnoteRef/>
      </w:r>
      <w:r>
        <w:rPr>
          <w:rtl/>
        </w:rPr>
        <w:t xml:space="preserve"> </w:t>
      </w:r>
      <w:r w:rsidRPr="00672512">
        <w:rPr>
          <w:rFonts w:cs="Arial"/>
          <w:rtl/>
        </w:rPr>
        <w:t>לא מצאתי מי שכתב דעשירה צריכה להציע כל מטות</w:t>
      </w:r>
      <w:r>
        <w:rPr>
          <w:rFonts w:cs="Arial" w:hint="cs"/>
          <w:rtl/>
        </w:rPr>
        <w:t>,</w:t>
      </w:r>
      <w:r w:rsidRPr="00672512">
        <w:rPr>
          <w:rFonts w:cs="Arial"/>
          <w:rtl/>
        </w:rPr>
        <w:t xml:space="preserve"> דאינה מחוייבת רק להציע לו שהוא דבר חבה</w:t>
      </w:r>
      <w:r>
        <w:rPr>
          <w:rFonts w:cs="Arial" w:hint="cs"/>
          <w:rtl/>
        </w:rPr>
        <w:t>,</w:t>
      </w:r>
      <w:r w:rsidRPr="00672512">
        <w:rPr>
          <w:rFonts w:cs="Arial"/>
          <w:rtl/>
        </w:rPr>
        <w:t xml:space="preserve"> אבל בעניה יש אומרים שצריכה להציע כל המטות ולהטריח עצמה בהפוך כרים וכסתו</w:t>
      </w:r>
      <w:r>
        <w:rPr>
          <w:rFonts w:cs="Arial" w:hint="cs"/>
          <w:rtl/>
        </w:rPr>
        <w:t>ת</w:t>
      </w:r>
      <w:r w:rsidRPr="00672512">
        <w:rPr>
          <w:rFonts w:cs="Arial"/>
          <w:rtl/>
        </w:rPr>
        <w:t xml:space="preserve"> </w:t>
      </w:r>
      <w:r w:rsidRPr="00CF1CBC">
        <w:rPr>
          <w:rFonts w:cs="Arial" w:hint="cs"/>
          <w:sz w:val="16"/>
          <w:szCs w:val="16"/>
          <w:rtl/>
        </w:rPr>
        <w:t>(</w:t>
      </w:r>
      <w:r w:rsidRPr="00CF1CBC">
        <w:rPr>
          <w:rFonts w:cs="Arial"/>
          <w:sz w:val="16"/>
          <w:szCs w:val="16"/>
          <w:rtl/>
        </w:rPr>
        <w:t xml:space="preserve">ורמב"ם בפכ"א מה"א </w:t>
      </w:r>
      <w:r>
        <w:rPr>
          <w:rFonts w:cs="Arial" w:hint="cs"/>
          <w:sz w:val="16"/>
          <w:szCs w:val="16"/>
          <w:rtl/>
        </w:rPr>
        <w:t>ה"</w:t>
      </w:r>
      <w:r w:rsidRPr="00CF1CBC">
        <w:rPr>
          <w:rFonts w:cs="Arial"/>
          <w:sz w:val="16"/>
          <w:szCs w:val="16"/>
          <w:rtl/>
        </w:rPr>
        <w:t>ג השמיט דין זה וכתב סתם כל אשה רוחצת וכו' ומצעת לו המטה משמע דמפרש להצעת המט' דמתני' גם כן הצעת מטתו</w:t>
      </w:r>
      <w:r w:rsidRPr="00CF1CBC">
        <w:rPr>
          <w:rFonts w:cs="Arial" w:hint="cs"/>
          <w:sz w:val="16"/>
          <w:szCs w:val="16"/>
          <w:rtl/>
        </w:rPr>
        <w:t>.</w:t>
      </w:r>
      <w:r w:rsidRPr="00CF1CBC">
        <w:rPr>
          <w:rFonts w:cs="Arial"/>
          <w:sz w:val="16"/>
          <w:szCs w:val="16"/>
          <w:rtl/>
        </w:rPr>
        <w:t xml:space="preserve"> וע"כ תמה עליו הר"ן בדף תצ"ה ע"א שהיה לו להרבו' בעניים עכ"ל (כלו' שענייה מחוייבת להציע כל המטות) ולהפך בכרים וכסתות אבל בעשיר' שתהא צריכה להציע כל המטות הוא דבר תימה וכי זו היא ישיבת קתדרא שאמרו במשנה דף נ"ט ע"ב מי שהכניסה לו ארבע שפחו' יושבת בקתדרא</w:t>
      </w:r>
      <w:r>
        <w:rPr>
          <w:rFonts w:cs="Arial" w:hint="cs"/>
          <w:sz w:val="16"/>
          <w:szCs w:val="16"/>
          <w:rtl/>
        </w:rPr>
        <w:t>)</w:t>
      </w:r>
      <w:r w:rsidRPr="00854903">
        <w:rPr>
          <w:rFonts w:cs="Arial"/>
          <w:rtl/>
        </w:rPr>
        <w:t xml:space="preserve"> </w:t>
      </w:r>
      <w:r w:rsidRPr="00672512">
        <w:rPr>
          <w:rFonts w:cs="Arial"/>
          <w:rtl/>
        </w:rPr>
        <w:t>וכ"כ הרב מהרמ"א בעצמו בהג"ה לקמן בסעי' ח' דאינה מצעת רק מטתו</w:t>
      </w:r>
      <w:r>
        <w:rPr>
          <w:rFonts w:cs="Arial" w:hint="cs"/>
          <w:rtl/>
        </w:rPr>
        <w:t>,</w:t>
      </w:r>
      <w:r w:rsidRPr="00672512">
        <w:rPr>
          <w:rFonts w:cs="Arial"/>
          <w:rtl/>
        </w:rPr>
        <w:t xml:space="preserve"> והי"א זה הי</w:t>
      </w:r>
      <w:r>
        <w:rPr>
          <w:rFonts w:cs="Arial" w:hint="cs"/>
          <w:rtl/>
        </w:rPr>
        <w:t>ה</w:t>
      </w:r>
      <w:r w:rsidRPr="00672512">
        <w:rPr>
          <w:rFonts w:cs="Arial"/>
          <w:rtl/>
        </w:rPr>
        <w:t xml:space="preserve"> ראוי להיות במקומו בסעי' ו' דחשיב שם ששה מלאכות שהעניות חייבו</w:t>
      </w:r>
      <w:r>
        <w:rPr>
          <w:rFonts w:cs="Arial" w:hint="cs"/>
          <w:rtl/>
        </w:rPr>
        <w:t>ת</w:t>
      </w:r>
      <w:r w:rsidRPr="00672512">
        <w:rPr>
          <w:rFonts w:cs="Arial"/>
          <w:rtl/>
        </w:rPr>
        <w:t xml:space="preserve"> לבעליהן</w:t>
      </w:r>
      <w:r>
        <w:rPr>
          <w:rFonts w:cs="Arial" w:hint="cs"/>
          <w:rtl/>
        </w:rPr>
        <w:t xml:space="preserve">, </w:t>
      </w:r>
      <w:r w:rsidRPr="00DC4F2E">
        <w:rPr>
          <w:rFonts w:cs="Arial" w:hint="cs"/>
          <w:b/>
          <w:bCs/>
          <w:rtl/>
        </w:rPr>
        <w:t>ח"מ</w:t>
      </w:r>
      <w:r>
        <w:rPr>
          <w:rFonts w:hint="cs"/>
          <w:rtl/>
        </w:rPr>
        <w:t xml:space="preserve"> (סק"י). </w:t>
      </w:r>
      <w:r>
        <w:rPr>
          <w:rFonts w:cs="Arial" w:hint="cs"/>
          <w:rtl/>
        </w:rPr>
        <w:t>(וכ"פ ישועות יעקב</w:t>
      </w:r>
      <w:r>
        <w:rPr>
          <w:rFonts w:cs="Arial" w:hint="cs"/>
          <w:sz w:val="16"/>
          <w:szCs w:val="16"/>
          <w:rtl/>
        </w:rPr>
        <w:t xml:space="preserve"> [סק"ו]</w:t>
      </w:r>
      <w:r>
        <w:rPr>
          <w:rFonts w:cs="Arial" w:hint="cs"/>
          <w:rtl/>
        </w:rPr>
        <w:t xml:space="preserve">).     אך </w:t>
      </w:r>
      <w:r w:rsidRPr="00DC4F2E">
        <w:rPr>
          <w:rFonts w:cs="Arial" w:hint="cs"/>
          <w:b/>
          <w:bCs/>
          <w:rtl/>
        </w:rPr>
        <w:t xml:space="preserve">הב"ש </w:t>
      </w:r>
      <w:r>
        <w:rPr>
          <w:rFonts w:cs="Arial" w:hint="cs"/>
          <w:rtl/>
        </w:rPr>
        <w:t>(סק"ו)</w:t>
      </w:r>
      <w:r>
        <w:rPr>
          <w:rFonts w:hint="cs"/>
          <w:rtl/>
        </w:rPr>
        <w:t xml:space="preserve"> כתב </w:t>
      </w:r>
      <w:r>
        <w:rPr>
          <w:rFonts w:hint="cs"/>
          <w:sz w:val="16"/>
          <w:szCs w:val="16"/>
          <w:rtl/>
        </w:rPr>
        <w:t>{</w:t>
      </w:r>
      <w:r w:rsidRPr="00077545">
        <w:rPr>
          <w:rFonts w:hint="cs"/>
          <w:sz w:val="16"/>
          <w:szCs w:val="16"/>
          <w:rtl/>
        </w:rPr>
        <w:t xml:space="preserve">גם לגבי הגהה זו של הצעת המיטות וגם לגבי </w:t>
      </w:r>
      <w:r>
        <w:rPr>
          <w:rFonts w:hint="cs"/>
          <w:sz w:val="16"/>
          <w:szCs w:val="16"/>
          <w:rtl/>
        </w:rPr>
        <w:t xml:space="preserve">ההגהה של </w:t>
      </w:r>
      <w:r w:rsidRPr="00077545">
        <w:rPr>
          <w:rFonts w:hint="cs"/>
          <w:sz w:val="16"/>
          <w:szCs w:val="16"/>
          <w:rtl/>
        </w:rPr>
        <w:t>שימוש אביו/בנו</w:t>
      </w:r>
      <w:r>
        <w:rPr>
          <w:rFonts w:hint="cs"/>
          <w:sz w:val="16"/>
          <w:szCs w:val="16"/>
          <w:rtl/>
        </w:rPr>
        <w:t>}</w:t>
      </w:r>
      <w:r w:rsidRPr="00077545">
        <w:rPr>
          <w:rFonts w:hint="cs"/>
          <w:sz w:val="16"/>
          <w:szCs w:val="16"/>
          <w:rtl/>
        </w:rPr>
        <w:t xml:space="preserve"> </w:t>
      </w:r>
      <w:r>
        <w:rPr>
          <w:rFonts w:hint="cs"/>
          <w:rtl/>
        </w:rPr>
        <w:t>ד</w:t>
      </w:r>
      <w:r w:rsidRPr="0069056B">
        <w:rPr>
          <w:rFonts w:cs="Arial"/>
          <w:rtl/>
        </w:rPr>
        <w:t>נראה דרמ"א כ</w:t>
      </w:r>
      <w:r>
        <w:rPr>
          <w:rFonts w:cs="Arial" w:hint="cs"/>
          <w:rtl/>
        </w:rPr>
        <w:t>תב כן</w:t>
      </w:r>
      <w:r w:rsidRPr="0069056B">
        <w:rPr>
          <w:rFonts w:cs="Arial"/>
          <w:rtl/>
        </w:rPr>
        <w:t xml:space="preserve"> לשיטות הרמב"ם דס"ל מצעת המטה דתנא במתני' וברייתא הכל א' היא</w:t>
      </w:r>
      <w:r>
        <w:rPr>
          <w:rFonts w:cs="Arial" w:hint="cs"/>
          <w:rtl/>
        </w:rPr>
        <w:t>,</w:t>
      </w:r>
      <w:r w:rsidRPr="0069056B">
        <w:rPr>
          <w:rFonts w:cs="Arial"/>
          <w:rtl/>
        </w:rPr>
        <w:t xml:space="preserve"> וה"ק בברייתא א</w:t>
      </w:r>
      <w:r>
        <w:rPr>
          <w:rFonts w:cs="Arial" w:hint="cs"/>
          <w:rtl/>
        </w:rPr>
        <w:t>ע"ג</w:t>
      </w:r>
      <w:r w:rsidRPr="0069056B">
        <w:rPr>
          <w:rFonts w:cs="Arial"/>
          <w:rtl/>
        </w:rPr>
        <w:t xml:space="preserve"> דתנא במתני' כשהיא מכנסת לו ג' שפחות אינה מצעת מ"מ אמרו חז"ל אחר המתני' דמצעת</w:t>
      </w:r>
      <w:r>
        <w:rPr>
          <w:rFonts w:cs="Arial" w:hint="cs"/>
          <w:rtl/>
        </w:rPr>
        <w:t>.</w:t>
      </w:r>
      <w:r w:rsidRPr="0069056B">
        <w:rPr>
          <w:rFonts w:cs="Arial"/>
          <w:rtl/>
        </w:rPr>
        <w:t xml:space="preserve"> וכ"כ המגיד</w:t>
      </w:r>
      <w:r>
        <w:rPr>
          <w:rFonts w:cs="Arial" w:hint="cs"/>
          <w:rtl/>
        </w:rPr>
        <w:t>,</w:t>
      </w:r>
      <w:r w:rsidRPr="0069056B">
        <w:rPr>
          <w:rFonts w:cs="Arial"/>
          <w:rtl/>
        </w:rPr>
        <w:t xml:space="preserve"> ובמתני' מה דתנא מצעת המט</w:t>
      </w:r>
      <w:r>
        <w:rPr>
          <w:rFonts w:cs="Arial" w:hint="cs"/>
          <w:rtl/>
        </w:rPr>
        <w:t>ה</w:t>
      </w:r>
      <w:r w:rsidRPr="0069056B">
        <w:rPr>
          <w:rFonts w:cs="Arial"/>
          <w:rtl/>
        </w:rPr>
        <w:t xml:space="preserve"> איירי דחייבים </w:t>
      </w:r>
      <w:r>
        <w:rPr>
          <w:rFonts w:cs="Arial" w:hint="cs"/>
          <w:rtl/>
        </w:rPr>
        <w:t>להציע</w:t>
      </w:r>
      <w:r w:rsidRPr="0069056B">
        <w:rPr>
          <w:rFonts w:cs="Arial"/>
          <w:rtl/>
        </w:rPr>
        <w:t xml:space="preserve"> כל המטות אפי' לסמוכים ע"ש כמ"ש הר"ן והמגיד</w:t>
      </w:r>
      <w:r>
        <w:rPr>
          <w:rFonts w:cs="Arial" w:hint="cs"/>
          <w:rtl/>
        </w:rPr>
        <w:t>.</w:t>
      </w:r>
      <w:r w:rsidRPr="0069056B">
        <w:rPr>
          <w:rFonts w:cs="Arial"/>
          <w:rtl/>
        </w:rPr>
        <w:t xml:space="preserve"> א"כ לפי התקנה אחר המתני'</w:t>
      </w:r>
      <w:r>
        <w:rPr>
          <w:rFonts w:hint="cs"/>
          <w:rtl/>
        </w:rPr>
        <w:t xml:space="preserve"> </w:t>
      </w:r>
      <w:r w:rsidRPr="0069056B">
        <w:rPr>
          <w:rFonts w:cs="Arial"/>
          <w:rtl/>
        </w:rPr>
        <w:t xml:space="preserve">חייבת </w:t>
      </w:r>
      <w:r>
        <w:rPr>
          <w:rFonts w:cs="Arial" w:hint="cs"/>
          <w:rtl/>
        </w:rPr>
        <w:t>להציע</w:t>
      </w:r>
      <w:r w:rsidRPr="0069056B">
        <w:rPr>
          <w:rFonts w:cs="Arial"/>
          <w:rtl/>
        </w:rPr>
        <w:t xml:space="preserve"> כל המטות אפי' עשירה דהכניס</w:t>
      </w:r>
      <w:r>
        <w:rPr>
          <w:rFonts w:cs="Arial" w:hint="cs"/>
          <w:rtl/>
        </w:rPr>
        <w:t>ה</w:t>
      </w:r>
      <w:r w:rsidRPr="0069056B">
        <w:rPr>
          <w:rFonts w:cs="Arial"/>
          <w:rtl/>
        </w:rPr>
        <w:t xml:space="preserve"> ג' שפחות</w:t>
      </w:r>
      <w:r>
        <w:rPr>
          <w:rFonts w:hint="cs"/>
          <w:rtl/>
        </w:rPr>
        <w:t>.</w:t>
      </w:r>
    </w:p>
  </w:footnote>
  <w:footnote w:id="701">
    <w:p w14:paraId="05D04982" w14:textId="0EFEBCD7" w:rsidR="00DE2F5F" w:rsidRPr="00880B72" w:rsidRDefault="00DE2F5F">
      <w:pPr>
        <w:pStyle w:val="a5"/>
        <w:rPr>
          <w:color w:val="FF0000"/>
        </w:rPr>
      </w:pPr>
      <w:r>
        <w:rPr>
          <w:rStyle w:val="a7"/>
        </w:rPr>
        <w:footnoteRef/>
      </w:r>
      <w:r>
        <w:rPr>
          <w:rtl/>
        </w:rPr>
        <w:t xml:space="preserve"> </w:t>
      </w:r>
      <w:r w:rsidRPr="00F147B9">
        <w:rPr>
          <w:rFonts w:cs="Arial"/>
          <w:rtl/>
        </w:rPr>
        <w:t>הר"ן כ' דין זה בעניה לטרוח עבורה וראייתו מדקאמר בגמ' דאם הכניסה לו שתי שפחו</w:t>
      </w:r>
      <w:r>
        <w:rPr>
          <w:rFonts w:cs="Arial" w:hint="cs"/>
          <w:rtl/>
        </w:rPr>
        <w:t>ת</w:t>
      </w:r>
      <w:r w:rsidRPr="00F147B9">
        <w:rPr>
          <w:rFonts w:cs="Arial"/>
          <w:rtl/>
        </w:rPr>
        <w:t xml:space="preserve"> אינה מבשלת ואינה מניקה וכו' הא שאר</w:t>
      </w:r>
      <w:r>
        <w:rPr>
          <w:rFonts w:cs="Arial" w:hint="cs"/>
          <w:rtl/>
        </w:rPr>
        <w:t>י</w:t>
      </w:r>
      <w:r w:rsidRPr="00F147B9">
        <w:rPr>
          <w:rFonts w:cs="Arial"/>
          <w:rtl/>
        </w:rPr>
        <w:t xml:space="preserve"> עבדה כגון דברים קטנים ותימא ליה וכו' משום דאמר לה קמי ארחי ופרחי מאן טרח אורחים המשתהים שבת או חודש או עוברי דרכים דמשמע שהיא חייבת לטרוח לבשל ולאפו' וכיוצא לכל בני בית הסמוכין על בעלה אבל כאן בסעי' זה דמיירי בעשירה ולא חשוב רק מילי דחיבה מהי תיתי אם בן בעלה יאמר לה הושיט לי כלי זה שתהיה היא מחוייבת לשמוע לו</w:t>
      </w:r>
      <w:r>
        <w:rPr>
          <w:rFonts w:cs="Arial" w:hint="cs"/>
          <w:rtl/>
        </w:rPr>
        <w:t xml:space="preserve">, </w:t>
      </w:r>
      <w:r w:rsidRPr="00A73D3B">
        <w:rPr>
          <w:rFonts w:cs="Arial" w:hint="cs"/>
          <w:b/>
          <w:bCs/>
          <w:rtl/>
        </w:rPr>
        <w:t>ח"מ</w:t>
      </w:r>
      <w:r>
        <w:rPr>
          <w:rFonts w:cs="Arial" w:hint="cs"/>
          <w:rtl/>
        </w:rPr>
        <w:t xml:space="preserve"> (סקי"ב).</w:t>
      </w:r>
      <w:r w:rsidR="00C8566E">
        <w:rPr>
          <w:rFonts w:cs="Arial" w:hint="cs"/>
          <w:rtl/>
        </w:rPr>
        <w:t xml:space="preserve">    אך נתבאר לעיל שדעת </w:t>
      </w:r>
      <w:r w:rsidR="00C8566E" w:rsidRPr="00A73D3B">
        <w:rPr>
          <w:rFonts w:cs="Arial" w:hint="cs"/>
          <w:b/>
          <w:bCs/>
          <w:rtl/>
        </w:rPr>
        <w:t>הב"ש</w:t>
      </w:r>
      <w:r w:rsidR="00A73D3B">
        <w:rPr>
          <w:rFonts w:cs="Arial" w:hint="cs"/>
          <w:rtl/>
        </w:rPr>
        <w:t xml:space="preserve"> (סק"ו) דגם בעשירה מיירי דעה זו.</w:t>
      </w:r>
    </w:p>
  </w:footnote>
  <w:footnote w:id="702">
    <w:p w14:paraId="5B27BFEE" w14:textId="6EE7951E" w:rsidR="00DE2F5F" w:rsidRDefault="00DE2F5F" w:rsidP="00646B86">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04676C">
        <w:rPr>
          <w:rFonts w:cs="Arial"/>
          <w:rtl/>
        </w:rPr>
        <w:t>שלש אינה מצעת לו את המטה לטרוח ולהביא את המצעות ולהפך בהם אבל פורסת את הסדין ומסדרת לו את המטה שהוא דרך חיבה וראוי לכל אשה לעשות דבר זה לבעלה אפי' יש לה כמה שפחות וכן למזוג לו הכוס ולרחוץ פניו ידיו ורגליו</w:t>
      </w:r>
      <w:r w:rsidRPr="0004676C">
        <w:rPr>
          <w:rFonts w:cs="Arial" w:hint="cs"/>
          <w:rtl/>
        </w:rPr>
        <w:t>.</w:t>
      </w:r>
    </w:p>
  </w:footnote>
  <w:footnote w:id="703">
    <w:p w14:paraId="1EFAE25B" w14:textId="77777777" w:rsidR="00DE2F5F" w:rsidRDefault="00DE2F5F" w:rsidP="00646B86">
      <w:pPr>
        <w:pStyle w:val="a5"/>
      </w:pPr>
      <w:r>
        <w:rPr>
          <w:rStyle w:val="a7"/>
        </w:rPr>
        <w:footnoteRef/>
      </w:r>
      <w:r>
        <w:rPr>
          <w:rtl/>
        </w:rPr>
        <w:t xml:space="preserve"> </w:t>
      </w:r>
      <w:r>
        <w:rPr>
          <w:rFonts w:hint="cs"/>
          <w:rtl/>
        </w:rPr>
        <w:t xml:space="preserve">המרדכי </w:t>
      </w:r>
      <w:r w:rsidRPr="00273A55">
        <w:rPr>
          <w:rFonts w:hint="cs"/>
          <w:sz w:val="16"/>
          <w:szCs w:val="16"/>
          <w:rtl/>
        </w:rPr>
        <w:t xml:space="preserve">(כתובות סי' קפב, הביאו הדרכ"מ </w:t>
      </w:r>
      <w:r w:rsidRPr="00273A55">
        <w:rPr>
          <w:rFonts w:cs="Arial" w:hint="cs"/>
          <w:sz w:val="16"/>
          <w:szCs w:val="16"/>
          <w:rtl/>
        </w:rPr>
        <w:t xml:space="preserve">[אות </w:t>
      </w:r>
      <w:r w:rsidRPr="00273A55">
        <w:rPr>
          <w:rFonts w:cs="Arial"/>
          <w:sz w:val="16"/>
          <w:szCs w:val="16"/>
          <w:rtl/>
        </w:rPr>
        <w:t>ג*</w:t>
      </w:r>
      <w:r w:rsidRPr="00273A55">
        <w:rPr>
          <w:rFonts w:cs="Arial" w:hint="cs"/>
          <w:sz w:val="16"/>
          <w:szCs w:val="16"/>
          <w:rtl/>
        </w:rPr>
        <w:t>]</w:t>
      </w:r>
      <w:r w:rsidRPr="00273A55">
        <w:rPr>
          <w:rFonts w:cs="Arial"/>
          <w:sz w:val="16"/>
          <w:szCs w:val="16"/>
          <w:rtl/>
        </w:rPr>
        <w:t>)</w:t>
      </w:r>
      <w:r w:rsidRPr="00273A55">
        <w:rPr>
          <w:rFonts w:cs="Arial" w:hint="cs"/>
          <w:sz w:val="16"/>
          <w:szCs w:val="16"/>
          <w:rtl/>
        </w:rPr>
        <w:t xml:space="preserve"> </w:t>
      </w:r>
      <w:r>
        <w:rPr>
          <w:rFonts w:cs="Arial" w:hint="cs"/>
          <w:rtl/>
        </w:rPr>
        <w:t xml:space="preserve">הביא את פירוש רש"י והקשה עליו מהירושלמי </w:t>
      </w:r>
      <w:r w:rsidRPr="00273A55">
        <w:rPr>
          <w:rFonts w:cs="Arial" w:hint="cs"/>
          <w:sz w:val="16"/>
          <w:szCs w:val="16"/>
          <w:rtl/>
        </w:rPr>
        <w:t xml:space="preserve">(פ"ה ה"ו) </w:t>
      </w:r>
      <w:r>
        <w:rPr>
          <w:rFonts w:cs="Arial" w:hint="cs"/>
          <w:rtl/>
        </w:rPr>
        <w:t xml:space="preserve">דמשמע התם </w:t>
      </w:r>
      <w:r w:rsidRPr="00273A55">
        <w:rPr>
          <w:rFonts w:cs="Arial"/>
          <w:rtl/>
        </w:rPr>
        <w:t>דכופין אותה</w:t>
      </w:r>
      <w:r>
        <w:rPr>
          <w:rFonts w:cs="Arial" w:hint="cs"/>
          <w:rtl/>
        </w:rPr>
        <w:t>.</w:t>
      </w:r>
    </w:p>
  </w:footnote>
  <w:footnote w:id="704">
    <w:p w14:paraId="31BED4FF" w14:textId="5A42E961" w:rsidR="00703D9B" w:rsidRDefault="00703D9B">
      <w:pPr>
        <w:pStyle w:val="a5"/>
        <w:rPr>
          <w:rtl/>
        </w:rPr>
      </w:pPr>
      <w:r>
        <w:rPr>
          <w:rStyle w:val="a7"/>
        </w:rPr>
        <w:footnoteRef/>
      </w:r>
      <w:r>
        <w:rPr>
          <w:rtl/>
        </w:rPr>
        <w:t xml:space="preserve"> </w:t>
      </w:r>
      <w:r>
        <w:rPr>
          <w:rFonts w:cs="Arial" w:hint="cs"/>
          <w:rtl/>
        </w:rPr>
        <w:t>וכתב הב"ש (סק"ז) ד</w:t>
      </w:r>
      <w:r w:rsidRPr="000E2AF6">
        <w:rPr>
          <w:rFonts w:cs="Arial"/>
          <w:rtl/>
        </w:rPr>
        <w:t>כן משמע מתו</w:t>
      </w:r>
      <w:r>
        <w:rPr>
          <w:rFonts w:cs="Arial" w:hint="cs"/>
          <w:rtl/>
        </w:rPr>
        <w:t>ס</w:t>
      </w:r>
      <w:r w:rsidRPr="000E2AF6">
        <w:rPr>
          <w:rFonts w:cs="Arial"/>
          <w:rtl/>
        </w:rPr>
        <w:t xml:space="preserve">' </w:t>
      </w:r>
      <w:r>
        <w:rPr>
          <w:rFonts w:cs="Arial" w:hint="cs"/>
          <w:rtl/>
        </w:rPr>
        <w:t>(</w:t>
      </w:r>
      <w:r w:rsidRPr="000E2AF6">
        <w:rPr>
          <w:rFonts w:cs="Arial"/>
          <w:rtl/>
        </w:rPr>
        <w:t>סג</w:t>
      </w:r>
      <w:r>
        <w:rPr>
          <w:rFonts w:cs="Arial" w:hint="cs"/>
          <w:rtl/>
        </w:rPr>
        <w:t>.)</w:t>
      </w:r>
      <w:r w:rsidRPr="000E2AF6">
        <w:rPr>
          <w:rFonts w:cs="Arial"/>
          <w:rtl/>
        </w:rPr>
        <w:t xml:space="preserve"> והג"א</w:t>
      </w:r>
      <w:r>
        <w:rPr>
          <w:rFonts w:cs="Arial" w:hint="cs"/>
          <w:rtl/>
        </w:rPr>
        <w:t>.</w:t>
      </w:r>
    </w:p>
  </w:footnote>
  <w:footnote w:id="705">
    <w:p w14:paraId="40CCBAF2" w14:textId="77777777" w:rsidR="00DE2F5F" w:rsidRDefault="00DE2F5F" w:rsidP="00AE32B4">
      <w:pPr>
        <w:pStyle w:val="a5"/>
        <w:rPr>
          <w:rtl/>
        </w:rPr>
      </w:pPr>
      <w:r>
        <w:rPr>
          <w:rStyle w:val="a7"/>
        </w:rPr>
        <w:footnoteRef/>
      </w:r>
      <w:r>
        <w:rPr>
          <w:rtl/>
        </w:rPr>
        <w:t xml:space="preserve"> </w:t>
      </w:r>
      <w:r w:rsidRPr="0004676C">
        <w:rPr>
          <w:rFonts w:cs="Arial"/>
          <w:rtl/>
        </w:rPr>
        <w:t>ותמהני על הרמב"ם שלא חילק בפכ"א מהלכות אישות בהצעת המטה בין עניים לעשירים וכתב בכולן בשוה ומצעת לו את המטה והוה ליה להרבות בעניים</w:t>
      </w:r>
      <w:r>
        <w:rPr>
          <w:rFonts w:hint="cs"/>
          <w:rtl/>
        </w:rPr>
        <w:t xml:space="preserve">, ר"ן </w:t>
      </w:r>
      <w:r>
        <w:rPr>
          <w:rFonts w:cs="Arial" w:hint="cs"/>
          <w:sz w:val="16"/>
          <w:szCs w:val="16"/>
          <w:rtl/>
        </w:rPr>
        <w:t>(כה. ד"ה צערא דידה)</w:t>
      </w:r>
      <w:r>
        <w:rPr>
          <w:rFonts w:hint="cs"/>
          <w:rtl/>
        </w:rPr>
        <w:t>.</w:t>
      </w:r>
    </w:p>
  </w:footnote>
  <w:footnote w:id="706">
    <w:p w14:paraId="43B4E9F1" w14:textId="4D7941EB" w:rsidR="00DE2F5F" w:rsidRDefault="00DE2F5F">
      <w:pPr>
        <w:pStyle w:val="a5"/>
      </w:pPr>
      <w:r>
        <w:rPr>
          <w:rStyle w:val="a7"/>
        </w:rPr>
        <w:footnoteRef/>
      </w:r>
      <w:r>
        <w:rPr>
          <w:rtl/>
        </w:rPr>
        <w:t xml:space="preserve"> </w:t>
      </w:r>
      <w:r w:rsidRPr="000E2AF6">
        <w:rPr>
          <w:rFonts w:cs="Arial"/>
          <w:rtl/>
        </w:rPr>
        <w:t>דבצמר ומצעת אין חילוק כנ"ל</w:t>
      </w:r>
      <w:r>
        <w:rPr>
          <w:rFonts w:cs="Arial" w:hint="cs"/>
          <w:rtl/>
        </w:rPr>
        <w:t>, גר"א (סקי"ד).</w:t>
      </w:r>
    </w:p>
  </w:footnote>
  <w:footnote w:id="707">
    <w:p w14:paraId="585BCC80" w14:textId="77777777" w:rsidR="00DE2F5F" w:rsidRDefault="00DE2F5F" w:rsidP="00B65C55">
      <w:pPr>
        <w:pStyle w:val="a5"/>
      </w:pPr>
      <w:r>
        <w:rPr>
          <w:rStyle w:val="a7"/>
        </w:rPr>
        <w:footnoteRef/>
      </w:r>
      <w:r>
        <w:rPr>
          <w:rtl/>
        </w:rPr>
        <w:t xml:space="preserve"> </w:t>
      </w:r>
      <w:r w:rsidRPr="00DC4762">
        <w:rPr>
          <w:rFonts w:cs="Arial"/>
          <w:rtl/>
        </w:rPr>
        <w:t>דין המלאכות מפורש במשנה</w:t>
      </w:r>
      <w:r>
        <w:rPr>
          <w:rFonts w:cs="Arial" w:hint="cs"/>
          <w:rtl/>
        </w:rPr>
        <w:t>,</w:t>
      </w:r>
      <w:r w:rsidRPr="00DC4762">
        <w:rPr>
          <w:rFonts w:cs="Arial"/>
          <w:rtl/>
        </w:rPr>
        <w:t xml:space="preserve"> ולא הזכיר רבינו בכאן הצעת המטה לפי שכבר הזכיר למעלה שכל אשה חייבת בה</w:t>
      </w:r>
      <w:r>
        <w:rPr>
          <w:rFonts w:cs="Arial" w:hint="cs"/>
          <w:rtl/>
        </w:rPr>
        <w:t>,</w:t>
      </w:r>
      <w:r w:rsidRPr="00DC4762">
        <w:rPr>
          <w:rFonts w:cs="Arial"/>
          <w:rtl/>
        </w:rPr>
        <w:t xml:space="preserve"> ולא חילק בהצעת המטה בין עניים לעשירים</w:t>
      </w:r>
      <w:r>
        <w:rPr>
          <w:rFonts w:cs="Arial" w:hint="cs"/>
          <w:rtl/>
        </w:rPr>
        <w:t>..., הה"מ (שם ה"ה).</w:t>
      </w:r>
    </w:p>
  </w:footnote>
  <w:footnote w:id="708">
    <w:p w14:paraId="30D7D3F0" w14:textId="53FDC6EF" w:rsidR="00DE2F5F" w:rsidRDefault="00DE2F5F">
      <w:pPr>
        <w:pStyle w:val="a5"/>
      </w:pPr>
      <w:r>
        <w:rPr>
          <w:rStyle w:val="a7"/>
        </w:rPr>
        <w:footnoteRef/>
      </w:r>
      <w:r>
        <w:rPr>
          <w:rtl/>
        </w:rPr>
        <w:t xml:space="preserve"> </w:t>
      </w:r>
      <w:r w:rsidRPr="00D22EAF">
        <w:rPr>
          <w:rFonts w:cs="Arial"/>
          <w:rtl/>
        </w:rPr>
        <w:t>היינו יושבת ברחים ומשמר' קמח או או מחמרת אחר בהמתו או ברחי' של יד ומכבס' כתב בהגמ"י ובהג"א נשי דידן אין דרכן לכבס וכן אין דרכן לטחון</w:t>
      </w:r>
      <w:r>
        <w:rPr>
          <w:rFonts w:cs="Arial" w:hint="cs"/>
          <w:rtl/>
        </w:rPr>
        <w:t>, ב"ש (סק"ח).</w:t>
      </w:r>
    </w:p>
  </w:footnote>
  <w:footnote w:id="709">
    <w:p w14:paraId="5A310BE0" w14:textId="36AD34DF" w:rsidR="00DE2F5F" w:rsidRDefault="00DE2F5F">
      <w:pPr>
        <w:pStyle w:val="a5"/>
      </w:pPr>
      <w:r>
        <w:rPr>
          <w:rStyle w:val="a7"/>
        </w:rPr>
        <w:footnoteRef/>
      </w:r>
      <w:r>
        <w:rPr>
          <w:rtl/>
        </w:rPr>
        <w:t xml:space="preserve"> </w:t>
      </w:r>
      <w:r w:rsidRPr="00806434">
        <w:rPr>
          <w:rFonts w:cs="Arial"/>
          <w:rtl/>
        </w:rPr>
        <w:t>שהכניסה נדוניא רבה</w:t>
      </w:r>
      <w:r>
        <w:rPr>
          <w:rFonts w:cs="Arial" w:hint="cs"/>
          <w:rtl/>
        </w:rPr>
        <w:t>,</w:t>
      </w:r>
      <w:r w:rsidRPr="00806434">
        <w:rPr>
          <w:rFonts w:cs="Arial"/>
          <w:rtl/>
        </w:rPr>
        <w:t xml:space="preserve"> ויש כדאי למביאה נדוניא זו לקנות ממקצתה שפחות להכניס ולשמשה</w:t>
      </w:r>
      <w:r>
        <w:rPr>
          <w:rFonts w:cs="Arial" w:hint="cs"/>
          <w:rtl/>
        </w:rPr>
        <w:t>, רש"י.</w:t>
      </w:r>
      <w:r w:rsidRPr="00806434">
        <w:rPr>
          <w:rFonts w:cs="Arial"/>
          <w:rtl/>
        </w:rPr>
        <w:t xml:space="preserve"> </w:t>
      </w:r>
      <w:r w:rsidRPr="00DC4762">
        <w:rPr>
          <w:rFonts w:cs="Arial"/>
          <w:rtl/>
        </w:rPr>
        <w:t>וכתב הר"ן (כה. ד"ה צערא) ואחרים פירשו ראויה להכניס שדרך בנות משפחתה בכך או שדרך משפחתו בכך</w:t>
      </w:r>
      <w:r>
        <w:rPr>
          <w:rFonts w:cs="Arial" w:hint="cs"/>
          <w:rtl/>
        </w:rPr>
        <w:t>,</w:t>
      </w:r>
      <w:r w:rsidRPr="00DC4762">
        <w:rPr>
          <w:rFonts w:cs="Arial"/>
          <w:rtl/>
        </w:rPr>
        <w:t xml:space="preserve"> והכי מוכח בירושלמי (שם ה"ו)</w:t>
      </w:r>
      <w:r>
        <w:rPr>
          <w:rFonts w:hint="cs"/>
          <w:rtl/>
        </w:rPr>
        <w:t>.</w:t>
      </w:r>
    </w:p>
  </w:footnote>
  <w:footnote w:id="710">
    <w:p w14:paraId="2A919EDB" w14:textId="7FC1905D" w:rsidR="00DE2F5F" w:rsidRDefault="00DE2F5F" w:rsidP="00FC30B6">
      <w:pPr>
        <w:pStyle w:val="a5"/>
      </w:pPr>
      <w:r>
        <w:rPr>
          <w:rStyle w:val="a7"/>
        </w:rPr>
        <w:footnoteRef/>
      </w:r>
      <w:r>
        <w:rPr>
          <w:rtl/>
        </w:rPr>
        <w:t xml:space="preserve"> </w:t>
      </w:r>
      <w:r w:rsidRPr="00901F1B">
        <w:rPr>
          <w:rFonts w:cs="Arial"/>
          <w:rtl/>
        </w:rPr>
        <w:t>פירוש צמצמה לו ממה שהוא חייב ליתן לה כמו קופה של בשמים ושאר דברים וצמצמה כל כך שיכול לקנות מזה כמה שפחות רבינו תם</w:t>
      </w:r>
      <w:r>
        <w:rPr>
          <w:rFonts w:cs="Arial" w:hint="cs"/>
          <w:rtl/>
        </w:rPr>
        <w:t>,</w:t>
      </w:r>
      <w:r w:rsidRPr="00901F1B">
        <w:rPr>
          <w:rFonts w:cs="Arial"/>
          <w:rtl/>
        </w:rPr>
        <w:t xml:space="preserve"> ויש גורסין </w:t>
      </w:r>
      <w:r>
        <w:rPr>
          <w:rFonts w:cs="Arial" w:hint="cs"/>
          <w:rtl/>
        </w:rPr>
        <w:t>'</w:t>
      </w:r>
      <w:r w:rsidRPr="00901F1B">
        <w:rPr>
          <w:rFonts w:cs="Arial"/>
          <w:rtl/>
        </w:rPr>
        <w:t>שמצאה לו משלו</w:t>
      </w:r>
      <w:r>
        <w:rPr>
          <w:rFonts w:cs="Arial" w:hint="cs"/>
          <w:rtl/>
        </w:rPr>
        <w:t>'</w:t>
      </w:r>
      <w:r w:rsidRPr="00901F1B">
        <w:rPr>
          <w:rFonts w:cs="Arial"/>
          <w:rtl/>
        </w:rPr>
        <w:t xml:space="preserve"> כלומר שהוא עשיר שיכול לקנות הרבה שפחות כפי צרכה</w:t>
      </w:r>
      <w:r>
        <w:rPr>
          <w:rFonts w:cs="Arial" w:hint="cs"/>
          <w:rtl/>
        </w:rPr>
        <w:t>, תוס' (שם ד"ה ואחת)</w:t>
      </w:r>
      <w:r w:rsidRPr="00901F1B">
        <w:rPr>
          <w:rFonts w:cs="Arial"/>
          <w:rtl/>
        </w:rPr>
        <w:t>.</w:t>
      </w:r>
      <w:r w:rsidRPr="00FC30B6">
        <w:rPr>
          <w:rFonts w:cs="Arial"/>
          <w:rtl/>
        </w:rPr>
        <w:t xml:space="preserve"> </w:t>
      </w:r>
      <w:r>
        <w:rPr>
          <w:rFonts w:cs="Arial" w:hint="cs"/>
          <w:rtl/>
        </w:rPr>
        <w:t xml:space="preserve">וכיש גורסין </w:t>
      </w:r>
      <w:r>
        <w:rPr>
          <w:rFonts w:cs="Arial" w:hint="cs"/>
          <w:sz w:val="16"/>
          <w:szCs w:val="16"/>
          <w:rtl/>
        </w:rPr>
        <w:t>('</w:t>
      </w:r>
      <w:r w:rsidRPr="00FC30B6">
        <w:rPr>
          <w:rFonts w:cs="Arial"/>
          <w:sz w:val="16"/>
          <w:szCs w:val="16"/>
          <w:rtl/>
        </w:rPr>
        <w:t>ואחד שמצאה לו משלו</w:t>
      </w:r>
      <w:r>
        <w:rPr>
          <w:rFonts w:cs="Arial" w:hint="cs"/>
          <w:sz w:val="16"/>
          <w:szCs w:val="16"/>
          <w:rtl/>
        </w:rPr>
        <w:t>')</w:t>
      </w:r>
      <w:r>
        <w:rPr>
          <w:rFonts w:cs="Arial" w:hint="cs"/>
          <w:rtl/>
        </w:rPr>
        <w:t xml:space="preserve"> </w:t>
      </w:r>
      <w:r w:rsidRPr="00DC4762">
        <w:rPr>
          <w:rFonts w:cs="Arial"/>
          <w:rtl/>
        </w:rPr>
        <w:t>כך היא גירסת הרי"ף (כה.) והרא"ש (סי' כג) ופי' הרא"ש שמצאה משלו שפחות או ממון הראוי לקנות שפחות וכך הם דברי הרמב"ם בפכ"א (ה"ו)</w:t>
      </w:r>
      <w:r>
        <w:rPr>
          <w:rFonts w:hint="cs"/>
          <w:rtl/>
        </w:rPr>
        <w:t>, ב"י.</w:t>
      </w:r>
    </w:p>
  </w:footnote>
  <w:footnote w:id="711">
    <w:p w14:paraId="36F61A24" w14:textId="78410C22" w:rsidR="00DE2F5F" w:rsidRDefault="00DE2F5F" w:rsidP="005A54B7">
      <w:pPr>
        <w:pStyle w:val="a5"/>
      </w:pPr>
      <w:r>
        <w:rPr>
          <w:rStyle w:val="a7"/>
        </w:rPr>
        <w:footnoteRef/>
      </w:r>
      <w:r w:rsidRPr="00B70964">
        <w:rPr>
          <w:rFonts w:cs="Arial"/>
          <w:rtl/>
        </w:rPr>
        <w:t xml:space="preserve"> וכ"כ הרא"ש (סי' כג)</w:t>
      </w:r>
      <w:r>
        <w:rPr>
          <w:rFonts w:cs="Arial" w:hint="cs"/>
          <w:rtl/>
        </w:rPr>
        <w:t>...</w:t>
      </w:r>
      <w:r w:rsidRPr="00B70964">
        <w:rPr>
          <w:rFonts w:cs="Arial"/>
          <w:rtl/>
        </w:rPr>
        <w:t xml:space="preserve"> והר"ן </w:t>
      </w:r>
      <w:r>
        <w:rPr>
          <w:rFonts w:cs="Arial" w:hint="cs"/>
          <w:rtl/>
        </w:rPr>
        <w:t>(</w:t>
      </w:r>
      <w:r w:rsidRPr="00B70964">
        <w:rPr>
          <w:rFonts w:cs="Arial"/>
          <w:rtl/>
        </w:rPr>
        <w:t>פ</w:t>
      </w:r>
      <w:r>
        <w:rPr>
          <w:rFonts w:cs="Arial" w:hint="cs"/>
          <w:rtl/>
        </w:rPr>
        <w:t>'</w:t>
      </w:r>
      <w:r w:rsidRPr="00B70964">
        <w:rPr>
          <w:rFonts w:cs="Arial"/>
          <w:rtl/>
        </w:rPr>
        <w:t xml:space="preserve"> אף על פי כה. ד"ה צערא) דאם הוא עשיר ויכול לשכור שפחה חייב לשכור דעולה עמו ואינה יורדת עמו</w:t>
      </w:r>
      <w:r>
        <w:rPr>
          <w:rFonts w:cs="Arial" w:hint="cs"/>
          <w:rtl/>
        </w:rPr>
        <w:t>, דרכ"מ (אות ג).</w:t>
      </w:r>
    </w:p>
  </w:footnote>
  <w:footnote w:id="712">
    <w:p w14:paraId="3D281BCD" w14:textId="5CE75051" w:rsidR="00DE2F5F" w:rsidRDefault="00DE2F5F">
      <w:pPr>
        <w:pStyle w:val="a5"/>
      </w:pPr>
      <w:r>
        <w:rPr>
          <w:rStyle w:val="a7"/>
        </w:rPr>
        <w:footnoteRef/>
      </w:r>
      <w:r>
        <w:rPr>
          <w:rtl/>
        </w:rPr>
        <w:t xml:space="preserve"> </w:t>
      </w:r>
      <w:r w:rsidRPr="00D22EAF">
        <w:rPr>
          <w:rFonts w:cs="Arial"/>
          <w:rtl/>
        </w:rPr>
        <w:t>היינו שהכניסה לו נדוניא או אם מצמצמת משלו הוי כאלו הכניס' כ"כ תוס'</w:t>
      </w:r>
      <w:r>
        <w:rPr>
          <w:rFonts w:cs="Arial" w:hint="cs"/>
          <w:rtl/>
        </w:rPr>
        <w:t>, ב"ש (סק"י).</w:t>
      </w:r>
    </w:p>
  </w:footnote>
  <w:footnote w:id="713">
    <w:p w14:paraId="1B25E5E8" w14:textId="1E90D016" w:rsidR="00DE2F5F" w:rsidRDefault="00DE2F5F">
      <w:pPr>
        <w:pStyle w:val="a5"/>
      </w:pPr>
      <w:r>
        <w:rPr>
          <w:rStyle w:val="a7"/>
        </w:rPr>
        <w:footnoteRef/>
      </w:r>
      <w:r>
        <w:rPr>
          <w:rtl/>
        </w:rPr>
        <w:t xml:space="preserve"> </w:t>
      </w:r>
      <w:r w:rsidRPr="00FC30B6">
        <w:rPr>
          <w:rFonts w:cs="Arial"/>
          <w:rtl/>
        </w:rPr>
        <w:t>ער"נ בנדרים פ"א ב'. ד"ה שלא אתן תבן כו' וברא"ש שם ד"ה שלא אתן כו' וכ"כ התוס' שם ודלא כמ"ש בכתובות שם ד"ה לא ליתן כו' ודעת הרמב"ם צ"ע מנ"ל דבשפחה אחת נפטרה</w:t>
      </w:r>
      <w:r>
        <w:rPr>
          <w:rFonts w:cs="Arial" w:hint="cs"/>
          <w:rtl/>
        </w:rPr>
        <w:t>, גר"א (סקט"ז).</w:t>
      </w:r>
    </w:p>
  </w:footnote>
  <w:footnote w:id="714">
    <w:p w14:paraId="18AF0D14" w14:textId="1AC3B6EC" w:rsidR="00DE2F5F" w:rsidRDefault="00DE2F5F">
      <w:pPr>
        <w:pStyle w:val="a5"/>
        <w:rPr>
          <w:rtl/>
        </w:rPr>
      </w:pPr>
      <w:r>
        <w:rPr>
          <w:rStyle w:val="a7"/>
        </w:rPr>
        <w:footnoteRef/>
      </w:r>
      <w:r>
        <w:rPr>
          <w:rtl/>
        </w:rPr>
        <w:t xml:space="preserve"> </w:t>
      </w:r>
      <w:r>
        <w:rPr>
          <w:rFonts w:cs="Arial" w:hint="cs"/>
          <w:rtl/>
        </w:rPr>
        <w:t>וכ"כ כנה"ג ו</w:t>
      </w:r>
      <w:r w:rsidRPr="00313EFE">
        <w:rPr>
          <w:rFonts w:cs="Arial" w:hint="cs"/>
          <w:rtl/>
        </w:rPr>
        <w:t xml:space="preserve">באה"ט </w:t>
      </w:r>
      <w:r w:rsidRPr="00313EFE">
        <w:rPr>
          <w:rFonts w:cs="Arial" w:hint="cs"/>
          <w:sz w:val="16"/>
          <w:szCs w:val="16"/>
          <w:rtl/>
        </w:rPr>
        <w:t>(סק"י)</w:t>
      </w:r>
      <w:r>
        <w:rPr>
          <w:rFonts w:hint="cs"/>
          <w:rtl/>
        </w:rPr>
        <w:t>.</w:t>
      </w:r>
    </w:p>
  </w:footnote>
  <w:footnote w:id="715">
    <w:p w14:paraId="6BFCF137" w14:textId="06513B58" w:rsidR="00DE2F5F" w:rsidRDefault="00DE2F5F">
      <w:pPr>
        <w:pStyle w:val="a5"/>
        <w:rPr>
          <w:rtl/>
        </w:rPr>
      </w:pPr>
      <w:r>
        <w:rPr>
          <w:rStyle w:val="a7"/>
        </w:rPr>
        <w:footnoteRef/>
      </w:r>
      <w:r>
        <w:rPr>
          <w:rtl/>
        </w:rPr>
        <w:t xml:space="preserve"> </w:t>
      </w:r>
      <w:r>
        <w:rPr>
          <w:rFonts w:cs="Arial" w:hint="cs"/>
          <w:rtl/>
        </w:rPr>
        <w:t>וכ"כ כנה"ג ו</w:t>
      </w:r>
      <w:r w:rsidRPr="00313EFE">
        <w:rPr>
          <w:rFonts w:cs="Arial" w:hint="cs"/>
          <w:rtl/>
        </w:rPr>
        <w:t xml:space="preserve">באה"ט </w:t>
      </w:r>
      <w:r w:rsidRPr="00313EFE">
        <w:rPr>
          <w:rFonts w:cs="Arial" w:hint="cs"/>
          <w:sz w:val="16"/>
          <w:szCs w:val="16"/>
          <w:rtl/>
        </w:rPr>
        <w:t>(סק"י)</w:t>
      </w:r>
      <w:r>
        <w:rPr>
          <w:rFonts w:hint="cs"/>
          <w:rtl/>
        </w:rPr>
        <w:t>.</w:t>
      </w:r>
    </w:p>
  </w:footnote>
  <w:footnote w:id="716">
    <w:p w14:paraId="5A517545" w14:textId="77777777" w:rsidR="00DE2F5F" w:rsidRDefault="00DE2F5F" w:rsidP="00287172">
      <w:pPr>
        <w:pStyle w:val="a5"/>
      </w:pPr>
      <w:r>
        <w:rPr>
          <w:rStyle w:val="a7"/>
        </w:rPr>
        <w:footnoteRef/>
      </w:r>
      <w:r>
        <w:rPr>
          <w:rtl/>
        </w:rPr>
        <w:t xml:space="preserve"> </w:t>
      </w:r>
      <w:r w:rsidRPr="00DC4762">
        <w:rPr>
          <w:rFonts w:cs="Arial"/>
          <w:rtl/>
        </w:rPr>
        <w:t xml:space="preserve">ויש לתמוה למה השמיט דין הכניסה לו ג' </w:t>
      </w:r>
      <w:r>
        <w:rPr>
          <w:rFonts w:cs="Arial" w:hint="cs"/>
          <w:sz w:val="16"/>
          <w:szCs w:val="16"/>
          <w:rtl/>
        </w:rPr>
        <w:t xml:space="preserve">{וד'} </w:t>
      </w:r>
      <w:r w:rsidRPr="00DC4762">
        <w:rPr>
          <w:rFonts w:cs="Arial"/>
          <w:rtl/>
        </w:rPr>
        <w:t>שפחות ונראה שהוא ז"ל סובר דכיון דאיפסיקא הלכתא בגמרא (סא:) כרבי אליעזר דאמר אפילו הכניסה לו ק' שפחות כופה לעשות בצמר אזדא ליה הא דתנן בהכניסה לו ג' שפחות אינה עושה בצמר</w:t>
      </w:r>
      <w:r>
        <w:rPr>
          <w:rFonts w:cs="Arial" w:hint="cs"/>
          <w:rtl/>
        </w:rPr>
        <w:t>,</w:t>
      </w:r>
      <w:r w:rsidRPr="00DC4762">
        <w:rPr>
          <w:rFonts w:cs="Arial"/>
          <w:rtl/>
        </w:rPr>
        <w:t xml:space="preserve"> וכן אזדא ליה הא דקתני בה אינה מצעת את המטה מהא דאמר רב הונא אף על פי שאמרו יושבת בקתדרא וכו' ומצעת לו את המטה</w:t>
      </w:r>
      <w:r>
        <w:rPr>
          <w:rFonts w:cs="Arial" w:hint="cs"/>
          <w:rtl/>
        </w:rPr>
        <w:t>.</w:t>
      </w:r>
      <w:r w:rsidRPr="00DC4762">
        <w:rPr>
          <w:rFonts w:cs="Arial"/>
          <w:rtl/>
        </w:rPr>
        <w:t xml:space="preserve"> ולא מסתבר ליה לפלוגי בין הצעת המטה דרב הונא להצעת המטה דמתניתין</w:t>
      </w:r>
      <w:r>
        <w:rPr>
          <w:rFonts w:cs="Arial" w:hint="cs"/>
          <w:rtl/>
        </w:rPr>
        <w:t>, ב"י.</w:t>
      </w:r>
    </w:p>
  </w:footnote>
  <w:footnote w:id="717">
    <w:p w14:paraId="296BCF71" w14:textId="0E89C2F0" w:rsidR="00DE2F5F" w:rsidRDefault="00DE2F5F">
      <w:pPr>
        <w:pStyle w:val="a5"/>
        <w:rPr>
          <w:rtl/>
        </w:rPr>
      </w:pPr>
      <w:r>
        <w:rPr>
          <w:rStyle w:val="a7"/>
        </w:rPr>
        <w:footnoteRef/>
      </w:r>
      <w:r>
        <w:rPr>
          <w:rtl/>
        </w:rPr>
        <w:t xml:space="preserve"> </w:t>
      </w:r>
      <w:r w:rsidRPr="00DC4762">
        <w:rPr>
          <w:rFonts w:cs="Arial"/>
          <w:rtl/>
        </w:rPr>
        <w:t>פשוט הוא זה שעליה להביא ראיה</w:t>
      </w:r>
      <w:r>
        <w:rPr>
          <w:rFonts w:cs="Arial" w:hint="cs"/>
          <w:rtl/>
        </w:rPr>
        <w:t>,</w:t>
      </w:r>
      <w:r w:rsidRPr="00DC4762">
        <w:rPr>
          <w:rFonts w:cs="Arial"/>
          <w:rtl/>
        </w:rPr>
        <w:t xml:space="preserve"> שהרי מן הסתם היא משועבדת לו</w:t>
      </w:r>
      <w:r>
        <w:rPr>
          <w:rFonts w:cs="Arial" w:hint="cs"/>
          <w:rtl/>
        </w:rPr>
        <w:t>, הה"מ (שם).</w:t>
      </w:r>
    </w:p>
  </w:footnote>
  <w:footnote w:id="718">
    <w:p w14:paraId="638C97FD" w14:textId="4FD29044" w:rsidR="00DE2F5F" w:rsidRDefault="00DE2F5F">
      <w:pPr>
        <w:pStyle w:val="a5"/>
      </w:pPr>
      <w:r>
        <w:rPr>
          <w:rStyle w:val="a7"/>
        </w:rPr>
        <w:footnoteRef/>
      </w:r>
      <w:r>
        <w:rPr>
          <w:rtl/>
        </w:rPr>
        <w:t xml:space="preserve"> </w:t>
      </w:r>
      <w:r w:rsidRPr="00DC4762">
        <w:rPr>
          <w:rFonts w:cs="Arial"/>
          <w:rtl/>
        </w:rPr>
        <w:t>לפי שהיא אינה תובעת ממנו שחייב לה שנאמר ישבע היסת ויפטר</w:t>
      </w:r>
      <w:r>
        <w:rPr>
          <w:rFonts w:cs="Arial" w:hint="cs"/>
          <w:rtl/>
        </w:rPr>
        <w:t>,</w:t>
      </w:r>
      <w:r w:rsidRPr="00DC4762">
        <w:rPr>
          <w:rFonts w:cs="Arial"/>
          <w:rtl/>
        </w:rPr>
        <w:t xml:space="preserve"> אלא שבאה ליפטר משעבודה ואינה נפטרת אלא</w:t>
      </w:r>
      <w:r w:rsidRPr="0060187B">
        <w:rPr>
          <w:rFonts w:cs="Arial"/>
          <w:rtl/>
        </w:rPr>
        <w:t xml:space="preserve"> </w:t>
      </w:r>
      <w:r w:rsidRPr="00DC4762">
        <w:rPr>
          <w:rFonts w:cs="Arial"/>
          <w:rtl/>
        </w:rPr>
        <w:t>בראיה</w:t>
      </w:r>
      <w:r>
        <w:rPr>
          <w:rFonts w:cs="Arial" w:hint="cs"/>
          <w:rtl/>
        </w:rPr>
        <w:t>, הה"מ (שם).</w:t>
      </w:r>
      <w:r w:rsidRPr="00652E6A">
        <w:rPr>
          <w:rtl/>
        </w:rPr>
        <w:t xml:space="preserve"> </w:t>
      </w:r>
      <w:r w:rsidRPr="00652E6A">
        <w:rPr>
          <w:rFonts w:cs="Arial"/>
          <w:rtl/>
        </w:rPr>
        <w:t>ובב"ח כתב שאינו מבין דבריו למה יפטר משבועת היסת</w:t>
      </w:r>
      <w:r>
        <w:rPr>
          <w:rFonts w:cs="Arial" w:hint="cs"/>
          <w:rtl/>
        </w:rPr>
        <w:t>.</w:t>
      </w:r>
      <w:r w:rsidRPr="00652E6A">
        <w:rPr>
          <w:rFonts w:cs="Arial"/>
          <w:rtl/>
        </w:rPr>
        <w:t xml:space="preserve"> ודעתו שכאן בש"ע השמיט בכיון סוף דברי הרמב"ם מפני שאין עולים כהלכה</w:t>
      </w:r>
      <w:r>
        <w:rPr>
          <w:rFonts w:cs="Arial" w:hint="cs"/>
          <w:rtl/>
        </w:rPr>
        <w:t>.</w:t>
      </w:r>
      <w:r w:rsidRPr="00652E6A">
        <w:rPr>
          <w:rFonts w:cs="Arial"/>
          <w:rtl/>
        </w:rPr>
        <w:t xml:space="preserve"> ואין דבריו ברורי</w:t>
      </w:r>
      <w:r>
        <w:rPr>
          <w:rFonts w:cs="Arial" w:hint="cs"/>
          <w:rtl/>
        </w:rPr>
        <w:t>ם,</w:t>
      </w:r>
      <w:r w:rsidRPr="00652E6A">
        <w:rPr>
          <w:rFonts w:cs="Arial"/>
          <w:rtl/>
        </w:rPr>
        <w:t xml:space="preserve"> מכ"ש שאינם מוכרחים</w:t>
      </w:r>
      <w:r>
        <w:rPr>
          <w:rFonts w:cs="Arial" w:hint="cs"/>
          <w:rtl/>
        </w:rPr>
        <w:t>,</w:t>
      </w:r>
      <w:r w:rsidRPr="00652E6A">
        <w:rPr>
          <w:rFonts w:cs="Arial"/>
          <w:rtl/>
        </w:rPr>
        <w:t xml:space="preserve"> כי שבוע</w:t>
      </w:r>
      <w:r>
        <w:rPr>
          <w:rFonts w:cs="Arial" w:hint="cs"/>
          <w:rtl/>
        </w:rPr>
        <w:t>עת</w:t>
      </w:r>
      <w:r w:rsidRPr="00652E6A">
        <w:rPr>
          <w:rFonts w:cs="Arial"/>
          <w:rtl/>
        </w:rPr>
        <w:t xml:space="preserve"> היסת תקנה היא ואם היה כאן עסק שבועה בכל יום תשביע בעל</w:t>
      </w:r>
      <w:r>
        <w:rPr>
          <w:rFonts w:cs="Arial" w:hint="cs"/>
          <w:rtl/>
        </w:rPr>
        <w:t>ה</w:t>
      </w:r>
      <w:r w:rsidRPr="00652E6A">
        <w:rPr>
          <w:rFonts w:cs="Arial"/>
          <w:rtl/>
        </w:rPr>
        <w:t xml:space="preserve"> שתאמר היום נתעשר</w:t>
      </w:r>
      <w:r>
        <w:rPr>
          <w:rFonts w:cs="Arial" w:hint="cs"/>
          <w:rtl/>
        </w:rPr>
        <w:t>.</w:t>
      </w:r>
      <w:r w:rsidRPr="00652E6A">
        <w:rPr>
          <w:rFonts w:cs="Arial"/>
          <w:rtl/>
        </w:rPr>
        <w:t xml:space="preserve"> וקשה לחלוק על דברי הרמב"ם והמ"מ בלא ראיה וגם הראב"ד לא השיגו, </w:t>
      </w:r>
      <w:r>
        <w:rPr>
          <w:rFonts w:cs="Arial" w:hint="cs"/>
          <w:rtl/>
        </w:rPr>
        <w:t>ח"מ (סק"כ). אך הב"ש (סקי"א) כתב בשם ה</w:t>
      </w:r>
      <w:r w:rsidRPr="00652E6A">
        <w:rPr>
          <w:rFonts w:cs="Arial"/>
          <w:rtl/>
        </w:rPr>
        <w:t>ב"ח דהיא יכולה להשביעו אחר שעשתה מלאכה יכולה לומר השבע לי שאין לך כדי לקנות שפחה ואפשר גם הרמב"ם ס"ל כן ומ"ש אין כאן מקום שבועה היינו כשתרצה לפטור את עצמה מן המלאכות אין כאן מקום שבועה אלא היא חייבת לעשות מיהו אח"כ יכולה להשביעו</w:t>
      </w:r>
      <w:r>
        <w:rPr>
          <w:rFonts w:cs="Arial" w:hint="cs"/>
          <w:rtl/>
        </w:rPr>
        <w:t>. עכ"ל הב"ש. והביאו הבא"ט (סקי"א). אך הפת"ש (סק"ה) כתב ש</w:t>
      </w:r>
      <w:r w:rsidRPr="00652E6A">
        <w:rPr>
          <w:rFonts w:cs="Arial"/>
          <w:rtl/>
        </w:rPr>
        <w:t>בגליון ש</w:t>
      </w:r>
      <w:r>
        <w:rPr>
          <w:rFonts w:cs="Arial" w:hint="cs"/>
          <w:rtl/>
        </w:rPr>
        <w:t>ו</w:t>
      </w:r>
      <w:r w:rsidRPr="00652E6A">
        <w:rPr>
          <w:rFonts w:cs="Arial"/>
          <w:rtl/>
        </w:rPr>
        <w:t>"ע דהגר"ע איגר זצ"ל נ"ב לענ"ד זה אינו דהא אם עשתה המ</w:t>
      </w:r>
      <w:r>
        <w:rPr>
          <w:rFonts w:cs="Arial" w:hint="cs"/>
          <w:rtl/>
        </w:rPr>
        <w:t xml:space="preserve">עשה </w:t>
      </w:r>
      <w:r w:rsidRPr="00652E6A">
        <w:rPr>
          <w:rFonts w:cs="Arial"/>
          <w:rtl/>
        </w:rPr>
        <w:t>י</w:t>
      </w:r>
      <w:r>
        <w:rPr>
          <w:rFonts w:cs="Arial" w:hint="cs"/>
          <w:rtl/>
        </w:rPr>
        <w:t>דיה</w:t>
      </w:r>
      <w:r w:rsidRPr="00652E6A">
        <w:rPr>
          <w:rFonts w:cs="Arial"/>
          <w:rtl/>
        </w:rPr>
        <w:t xml:space="preserve"> לבעלה עיין ב"ש סק"ד עכ"ל גם בספר בית מאיר תמה על הב"ש בזה</w:t>
      </w:r>
      <w:r>
        <w:rPr>
          <w:rFonts w:cs="Arial" w:hint="cs"/>
          <w:rtl/>
        </w:rPr>
        <w:t>.</w:t>
      </w:r>
    </w:p>
  </w:footnote>
  <w:footnote w:id="719">
    <w:p w14:paraId="7B230CD6" w14:textId="0EA5C9D6" w:rsidR="00DE2F5F" w:rsidRDefault="00DE2F5F">
      <w:pPr>
        <w:pStyle w:val="a5"/>
      </w:pPr>
      <w:r>
        <w:rPr>
          <w:rStyle w:val="a7"/>
        </w:rPr>
        <w:footnoteRef/>
      </w:r>
      <w:r>
        <w:rPr>
          <w:rtl/>
        </w:rPr>
        <w:t xml:space="preserve"> </w:t>
      </w:r>
      <w:r w:rsidRPr="00344295">
        <w:rPr>
          <w:rFonts w:cs="Arial"/>
          <w:rtl/>
        </w:rPr>
        <w:t>החלב רב בדדיה ומצערה</w:t>
      </w:r>
      <w:r>
        <w:rPr>
          <w:rFonts w:cs="Arial" w:hint="cs"/>
          <w:rtl/>
        </w:rPr>
        <w:t>, רש"י.</w:t>
      </w:r>
    </w:p>
  </w:footnote>
  <w:footnote w:id="720">
    <w:p w14:paraId="22D41DD5" w14:textId="0C1BB5FA" w:rsidR="00DE2F5F" w:rsidRDefault="00DE2F5F">
      <w:pPr>
        <w:pStyle w:val="a5"/>
      </w:pPr>
      <w:r>
        <w:rPr>
          <w:rStyle w:val="a7"/>
        </w:rPr>
        <w:footnoteRef/>
      </w:r>
      <w:r>
        <w:rPr>
          <w:rtl/>
        </w:rPr>
        <w:t xml:space="preserve"> </w:t>
      </w:r>
      <w:r w:rsidRPr="003810EC">
        <w:rPr>
          <w:rFonts w:cs="Arial"/>
          <w:rtl/>
        </w:rPr>
        <w:t>אין דרך משפחתה להניק</w:t>
      </w:r>
      <w:r>
        <w:rPr>
          <w:rFonts w:cs="Arial" w:hint="cs"/>
          <w:rtl/>
        </w:rPr>
        <w:t>, רש"י.</w:t>
      </w:r>
    </w:p>
  </w:footnote>
  <w:footnote w:id="721">
    <w:p w14:paraId="11DDD49C" w14:textId="77777777" w:rsidR="00DE2F5F" w:rsidRDefault="00DE2F5F" w:rsidP="00854925">
      <w:pPr>
        <w:pStyle w:val="a5"/>
        <w:rPr>
          <w:rtl/>
        </w:rPr>
      </w:pPr>
      <w:r>
        <w:rPr>
          <w:rStyle w:val="a7"/>
        </w:rPr>
        <w:footnoteRef/>
      </w:r>
      <w:r>
        <w:rPr>
          <w:rtl/>
        </w:rPr>
        <w:t xml:space="preserve"> </w:t>
      </w:r>
      <w:r>
        <w:rPr>
          <w:rFonts w:cs="Arial"/>
          <w:rtl/>
        </w:rPr>
        <w:t>ומפרש רבינו אינו כופה אלא לעשות בצמר אבל בצמר כופה אותה שהרי אפילו הכניסה לו מאה שפחות כופה לעשות בצמר</w:t>
      </w:r>
      <w:r>
        <w:rPr>
          <w:rFonts w:hint="cs"/>
          <w:rtl/>
        </w:rPr>
        <w:t>, הה"מ (פכ"א ה"א).</w:t>
      </w:r>
    </w:p>
  </w:footnote>
  <w:footnote w:id="722">
    <w:p w14:paraId="4D7FF334" w14:textId="390C5318" w:rsidR="00DE2F5F" w:rsidRDefault="00DE2F5F">
      <w:pPr>
        <w:pStyle w:val="a5"/>
      </w:pPr>
      <w:r>
        <w:rPr>
          <w:rStyle w:val="a7"/>
        </w:rPr>
        <w:footnoteRef/>
      </w:r>
      <w:r>
        <w:rPr>
          <w:rtl/>
        </w:rPr>
        <w:t xml:space="preserve"> </w:t>
      </w:r>
      <w:r w:rsidRPr="003810EC">
        <w:rPr>
          <w:rFonts w:cs="Arial"/>
          <w:rtl/>
        </w:rPr>
        <w:t>ל</w:t>
      </w:r>
      <w:r>
        <w:rPr>
          <w:rFonts w:cs="Arial" w:hint="cs"/>
          <w:rtl/>
        </w:rPr>
        <w:t xml:space="preserve">או </w:t>
      </w:r>
      <w:r w:rsidRPr="003810EC">
        <w:rPr>
          <w:rFonts w:cs="Arial"/>
          <w:rtl/>
        </w:rPr>
        <w:t>ד</w:t>
      </w:r>
      <w:r>
        <w:rPr>
          <w:rFonts w:cs="Arial" w:hint="cs"/>
          <w:rtl/>
        </w:rPr>
        <w:t>וקא</w:t>
      </w:r>
      <w:r w:rsidRPr="003810EC">
        <w:rPr>
          <w:rFonts w:cs="Arial"/>
          <w:rtl/>
        </w:rPr>
        <w:t xml:space="preserve"> כל המלאכות</w:t>
      </w:r>
      <w:r>
        <w:rPr>
          <w:rFonts w:cs="Arial" w:hint="cs"/>
          <w:rtl/>
        </w:rPr>
        <w:t>,</w:t>
      </w:r>
      <w:r w:rsidRPr="003810EC">
        <w:rPr>
          <w:rFonts w:cs="Arial"/>
          <w:rtl/>
        </w:rPr>
        <w:t xml:space="preserve"> דהא היא חייבת לעשות בצמר אפילו כשבני משפחתה אין עושים</w:t>
      </w:r>
      <w:r>
        <w:rPr>
          <w:rFonts w:cs="Arial" w:hint="cs"/>
          <w:rtl/>
        </w:rPr>
        <w:t>,</w:t>
      </w:r>
      <w:r w:rsidRPr="003810EC">
        <w:rPr>
          <w:rFonts w:cs="Arial"/>
          <w:rtl/>
        </w:rPr>
        <w:t xml:space="preserve"> וכן חייבת למזוג הכוס וכיוצא בזה אפילו אם בני משפחתה אין עושות</w:t>
      </w:r>
      <w:r>
        <w:rPr>
          <w:rFonts w:cs="Arial" w:hint="cs"/>
          <w:rtl/>
        </w:rPr>
        <w:t>.</w:t>
      </w:r>
      <w:r w:rsidRPr="003810EC">
        <w:rPr>
          <w:rFonts w:cs="Arial"/>
          <w:rtl/>
        </w:rPr>
        <w:t xml:space="preserve"> אלא המלאכות המפורשים במתניתין קאמר אם בני משפחתה אין עושים היא ג"כ פטורה לעשות</w:t>
      </w:r>
      <w:r>
        <w:rPr>
          <w:rFonts w:cs="Arial" w:hint="cs"/>
          <w:rtl/>
        </w:rPr>
        <w:t>, ב"ש (סקי"ב).</w:t>
      </w:r>
      <w:r w:rsidRPr="00734106">
        <w:rPr>
          <w:rtl/>
        </w:rPr>
        <w:t xml:space="preserve"> </w:t>
      </w:r>
      <w:r w:rsidRPr="00734106">
        <w:rPr>
          <w:rFonts w:cs="Arial"/>
          <w:rtl/>
        </w:rPr>
        <w:t>ועיין בהגהת יד אפרים שכ' דאין זה מוסכם כי להרמב"ם שהביא הב"ש סק"א י"ל דכל שבני משפחתה יושבים בטל אף היא א"צ לעשות בצמר כל היום או משקל ה' סלעים רק מחמת זימה צריכה לעשות קצת מלאכה</w:t>
      </w:r>
      <w:r>
        <w:rPr>
          <w:rFonts w:hint="cs"/>
          <w:rtl/>
        </w:rPr>
        <w:t>, פת"ש (סק"ו).</w:t>
      </w:r>
    </w:p>
  </w:footnote>
  <w:footnote w:id="723">
    <w:p w14:paraId="4F987DBF" w14:textId="2F13BEA4" w:rsidR="00DE2F5F" w:rsidRDefault="00DE2F5F">
      <w:pPr>
        <w:pStyle w:val="a5"/>
      </w:pPr>
      <w:r>
        <w:rPr>
          <w:rStyle w:val="a7"/>
        </w:rPr>
        <w:footnoteRef/>
      </w:r>
      <w:r>
        <w:rPr>
          <w:rtl/>
        </w:rPr>
        <w:t xml:space="preserve"> </w:t>
      </w:r>
      <w:r w:rsidRPr="00A96332">
        <w:rPr>
          <w:rFonts w:cs="Arial"/>
          <w:rtl/>
        </w:rPr>
        <w:t>פסקו ליתן לה מזונות מועטים</w:t>
      </w:r>
      <w:r>
        <w:rPr>
          <w:rFonts w:cs="Arial" w:hint="cs"/>
          <w:rtl/>
        </w:rPr>
        <w:t>, רש"י.</w:t>
      </w:r>
    </w:p>
  </w:footnote>
  <w:footnote w:id="724">
    <w:p w14:paraId="4FF79512" w14:textId="488CA47C" w:rsidR="00DE2F5F" w:rsidRDefault="00DE2F5F">
      <w:pPr>
        <w:pStyle w:val="a5"/>
      </w:pPr>
      <w:r>
        <w:rPr>
          <w:rStyle w:val="a7"/>
        </w:rPr>
        <w:footnoteRef/>
      </w:r>
      <w:r>
        <w:rPr>
          <w:rtl/>
        </w:rPr>
        <w:t xml:space="preserve"> </w:t>
      </w:r>
      <w:r w:rsidRPr="00A96332">
        <w:rPr>
          <w:rFonts w:cs="Arial"/>
          <w:rtl/>
        </w:rPr>
        <w:t>משלה כדי שיהיה לה חלב הרבה ולא תמיתנו</w:t>
      </w:r>
      <w:r>
        <w:rPr>
          <w:rFonts w:cs="Arial" w:hint="cs"/>
          <w:rtl/>
        </w:rPr>
        <w:t>, רש"י.</w:t>
      </w:r>
    </w:p>
  </w:footnote>
  <w:footnote w:id="725">
    <w:p w14:paraId="0F42C416" w14:textId="144D25EE" w:rsidR="00DE2F5F" w:rsidRDefault="00DE2F5F">
      <w:pPr>
        <w:pStyle w:val="a5"/>
      </w:pPr>
      <w:r>
        <w:rPr>
          <w:rStyle w:val="a7"/>
        </w:rPr>
        <w:footnoteRef/>
      </w:r>
      <w:r>
        <w:rPr>
          <w:rtl/>
        </w:rPr>
        <w:t xml:space="preserve"> </w:t>
      </w:r>
      <w:r>
        <w:rPr>
          <w:rFonts w:cs="Arial"/>
          <w:rtl/>
        </w:rPr>
        <w:t>ומשמע לרבינו דאע</w:t>
      </w:r>
      <w:r>
        <w:rPr>
          <w:rFonts w:cs="Arial" w:hint="cs"/>
          <w:rtl/>
        </w:rPr>
        <w:t>"</w:t>
      </w:r>
      <w:r>
        <w:rPr>
          <w:rFonts w:cs="Arial"/>
          <w:rtl/>
        </w:rPr>
        <w:t>ג דתחילת הברייתא נתנו לה בן להניק הוא הדין באשה המניקה את בנה</w:t>
      </w:r>
      <w:r>
        <w:rPr>
          <w:rFonts w:cs="Arial" w:hint="cs"/>
          <w:rtl/>
        </w:rPr>
        <w:t>, ב"י.</w:t>
      </w:r>
    </w:p>
  </w:footnote>
  <w:footnote w:id="726">
    <w:p w14:paraId="4DF64601" w14:textId="691C3F42" w:rsidR="00DE2F5F" w:rsidRDefault="00DE2F5F">
      <w:pPr>
        <w:pStyle w:val="a5"/>
      </w:pPr>
      <w:r>
        <w:rPr>
          <w:rStyle w:val="a7"/>
        </w:rPr>
        <w:footnoteRef/>
      </w:r>
      <w:r>
        <w:rPr>
          <w:rtl/>
        </w:rPr>
        <w:t xml:space="preserve"> </w:t>
      </w:r>
      <w:r w:rsidRPr="009146AD">
        <w:rPr>
          <w:rFonts w:cs="Arial"/>
          <w:rtl/>
        </w:rPr>
        <w:t>בטור כתב מוסיפים ונותנים יין וכו' משמע דמוסיפים לה מזונות מצד עצמה אפילו מאכלים שאין מוסיפים חלב אבל לשון המחבר משמע דאין מוסיפים לה רק מה שיפה לחלב</w:t>
      </w:r>
      <w:r>
        <w:rPr>
          <w:rFonts w:cs="Arial" w:hint="cs"/>
          <w:rtl/>
        </w:rPr>
        <w:t>, ב"ש (סקי"ג).</w:t>
      </w:r>
    </w:p>
  </w:footnote>
  <w:footnote w:id="727">
    <w:p w14:paraId="38ED5867" w14:textId="7EBF55EB" w:rsidR="00DE2F5F" w:rsidRDefault="00DE2F5F">
      <w:pPr>
        <w:pStyle w:val="a5"/>
      </w:pPr>
      <w:r>
        <w:rPr>
          <w:rStyle w:val="a7"/>
        </w:rPr>
        <w:footnoteRef/>
      </w:r>
      <w:r>
        <w:rPr>
          <w:rtl/>
        </w:rPr>
        <w:t xml:space="preserve"> </w:t>
      </w:r>
      <w:r w:rsidRPr="009146AD">
        <w:rPr>
          <w:rFonts w:cs="Arial"/>
          <w:rtl/>
        </w:rPr>
        <w:t>כתב בח"מ דהבעל צריך לשלם לה מה שהוציאה משלה</w:t>
      </w:r>
      <w:r>
        <w:rPr>
          <w:rFonts w:cs="Arial" w:hint="cs"/>
          <w:rtl/>
        </w:rPr>
        <w:t>.</w:t>
      </w:r>
      <w:r w:rsidRPr="009146AD">
        <w:rPr>
          <w:rFonts w:cs="Arial"/>
          <w:rtl/>
        </w:rPr>
        <w:t xml:space="preserve"> והראב"ד ושאר פוסקים ס"ל דאיירי הסוגיא אם נתן הילד למניקות צריכה לאכול משלה לטובת הילד</w:t>
      </w:r>
      <w:r>
        <w:rPr>
          <w:rFonts w:cs="Arial" w:hint="cs"/>
          <w:rtl/>
        </w:rPr>
        <w:t>,</w:t>
      </w:r>
      <w:r w:rsidRPr="009146AD">
        <w:rPr>
          <w:rFonts w:cs="Arial"/>
          <w:rtl/>
        </w:rPr>
        <w:t xml:space="preserve"> משמע אפילו אם שכרה בשכר קצוב חייב' לאכול הרבה משלה לטובת הילד</w:t>
      </w:r>
      <w:r>
        <w:rPr>
          <w:rFonts w:cs="Arial" w:hint="cs"/>
          <w:rtl/>
        </w:rPr>
        <w:t>, ב"ש (סקי"ד).</w:t>
      </w:r>
    </w:p>
  </w:footnote>
  <w:footnote w:id="728">
    <w:p w14:paraId="44A94538" w14:textId="77777777" w:rsidR="00DE2F5F" w:rsidRDefault="00DE2F5F" w:rsidP="00EB5A75">
      <w:pPr>
        <w:pStyle w:val="a5"/>
      </w:pPr>
      <w:r>
        <w:rPr>
          <w:rStyle w:val="a7"/>
        </w:rPr>
        <w:footnoteRef/>
      </w:r>
      <w:r>
        <w:rPr>
          <w:rtl/>
        </w:rPr>
        <w:t xml:space="preserve"> </w:t>
      </w:r>
      <w:r w:rsidRPr="00A96332">
        <w:rPr>
          <w:rFonts w:cs="Arial"/>
          <w:rtl/>
        </w:rPr>
        <w:t>פסקו ליתן לה מזונות מועטים</w:t>
      </w:r>
      <w:r>
        <w:rPr>
          <w:rFonts w:cs="Arial" w:hint="cs"/>
          <w:rtl/>
        </w:rPr>
        <w:t>, רש"י.</w:t>
      </w:r>
    </w:p>
  </w:footnote>
  <w:footnote w:id="729">
    <w:p w14:paraId="2CD146DE" w14:textId="77777777" w:rsidR="00DE2F5F" w:rsidRDefault="00DE2F5F" w:rsidP="00EB5A75">
      <w:pPr>
        <w:pStyle w:val="a5"/>
      </w:pPr>
      <w:r>
        <w:rPr>
          <w:rStyle w:val="a7"/>
        </w:rPr>
        <w:footnoteRef/>
      </w:r>
      <w:r>
        <w:rPr>
          <w:rtl/>
        </w:rPr>
        <w:t xml:space="preserve"> </w:t>
      </w:r>
      <w:r w:rsidRPr="00A96332">
        <w:rPr>
          <w:rFonts w:cs="Arial"/>
          <w:rtl/>
        </w:rPr>
        <w:t>משלה כדי שיהיה לה חלב הרבה ולא תמיתנו</w:t>
      </w:r>
      <w:r>
        <w:rPr>
          <w:rFonts w:cs="Arial" w:hint="cs"/>
          <w:rtl/>
        </w:rPr>
        <w:t>, רש"י.</w:t>
      </w:r>
    </w:p>
  </w:footnote>
  <w:footnote w:id="730">
    <w:p w14:paraId="24A182F4" w14:textId="08408BE3" w:rsidR="00DE2F5F" w:rsidRDefault="00DE2F5F">
      <w:pPr>
        <w:pStyle w:val="a5"/>
      </w:pPr>
      <w:r>
        <w:rPr>
          <w:rStyle w:val="a7"/>
        </w:rPr>
        <w:footnoteRef/>
      </w:r>
      <w:r>
        <w:rPr>
          <w:rtl/>
        </w:rPr>
        <w:t xml:space="preserve"> </w:t>
      </w:r>
      <w:r>
        <w:rPr>
          <w:rFonts w:cs="Arial"/>
          <w:rtl/>
        </w:rPr>
        <w:t xml:space="preserve">נראה שהוא ז"ל מפרש דהא דקתני פסקה קימעא אוכלת הרבה היינו לומר שאם פסקו לה מזונות הראויים לה והיא רוצה לאכול יותר </w:t>
      </w:r>
      <w:r>
        <w:rPr>
          <w:rFonts w:cs="Arial" w:hint="cs"/>
          <w:rtl/>
        </w:rPr>
        <w:t xml:space="preserve">- </w:t>
      </w:r>
      <w:r>
        <w:rPr>
          <w:rFonts w:cs="Arial"/>
          <w:rtl/>
        </w:rPr>
        <w:t>אוכלת</w:t>
      </w:r>
      <w:r>
        <w:rPr>
          <w:rFonts w:cs="Arial" w:hint="cs"/>
          <w:rtl/>
        </w:rPr>
        <w:t>,</w:t>
      </w:r>
      <w:r>
        <w:rPr>
          <w:rFonts w:cs="Arial"/>
          <w:rtl/>
        </w:rPr>
        <w:t xml:space="preserve"> ואין אבי הבן יכול לעכב עלי</w:t>
      </w:r>
      <w:r>
        <w:rPr>
          <w:rFonts w:cs="Arial" w:hint="cs"/>
          <w:rtl/>
        </w:rPr>
        <w:t>ה, ב"י.</w:t>
      </w:r>
    </w:p>
  </w:footnote>
  <w:footnote w:id="731">
    <w:p w14:paraId="03725C8C" w14:textId="749E9253" w:rsidR="00DE2F5F" w:rsidRDefault="00DE2F5F">
      <w:pPr>
        <w:pStyle w:val="a5"/>
        <w:rPr>
          <w:rtl/>
        </w:rPr>
      </w:pPr>
      <w:r>
        <w:rPr>
          <w:rStyle w:val="a7"/>
        </w:rPr>
        <w:footnoteRef/>
      </w:r>
      <w:r>
        <w:rPr>
          <w:rtl/>
        </w:rPr>
        <w:t xml:space="preserve"> </w:t>
      </w:r>
      <w:r w:rsidRPr="006D571C">
        <w:rPr>
          <w:rFonts w:cs="Arial"/>
          <w:rtl/>
        </w:rPr>
        <w:t>ואינו נראה כן דתניא פסקה קימעא אוכלת הרבה ולא תאכל דברים הרעים לחלב</w:t>
      </w:r>
      <w:r>
        <w:rPr>
          <w:rFonts w:cs="Arial" w:hint="cs"/>
          <w:rtl/>
        </w:rPr>
        <w:t>, טור.</w:t>
      </w:r>
      <w:r>
        <w:rPr>
          <w:rFonts w:cs="Arial"/>
          <w:rtl/>
        </w:rPr>
        <w:t xml:space="preserve"> והר"ן (כה. ד"ה קימעא) והרב המגיד גם הם תמהו על דברי הרמב"ם בזה. ואיפשר לדחוק ולומר שטעמו שמאחר שהוא ז"ל מפרש דהאי </w:t>
      </w:r>
      <w:r>
        <w:rPr>
          <w:rFonts w:cs="Arial" w:hint="cs"/>
          <w:rtl/>
        </w:rPr>
        <w:t>'</w:t>
      </w:r>
      <w:r>
        <w:rPr>
          <w:rFonts w:cs="Arial"/>
          <w:rtl/>
        </w:rPr>
        <w:t>אוכלת הרבה</w:t>
      </w:r>
      <w:r>
        <w:rPr>
          <w:rFonts w:cs="Arial" w:hint="cs"/>
          <w:rtl/>
        </w:rPr>
        <w:t>'</w:t>
      </w:r>
      <w:r>
        <w:rPr>
          <w:rFonts w:cs="Arial"/>
          <w:rtl/>
        </w:rPr>
        <w:t xml:space="preserve"> היינו לומר שאין הבעל יכול לעכב עליה אע</w:t>
      </w:r>
      <w:r>
        <w:rPr>
          <w:rFonts w:cs="Arial" w:hint="cs"/>
          <w:rtl/>
        </w:rPr>
        <w:t>"</w:t>
      </w:r>
      <w:r>
        <w:rPr>
          <w:rFonts w:cs="Arial"/>
          <w:rtl/>
        </w:rPr>
        <w:t>פ שהמאכל המרובה מזיק לולד</w:t>
      </w:r>
      <w:r>
        <w:rPr>
          <w:rFonts w:cs="Arial" w:hint="cs"/>
          <w:rtl/>
        </w:rPr>
        <w:t>,</w:t>
      </w:r>
      <w:r>
        <w:rPr>
          <w:rFonts w:cs="Arial"/>
          <w:rtl/>
        </w:rPr>
        <w:t xml:space="preserve"> וטעמו הוי ודאי משום דצערא דגופה עדיף</w:t>
      </w:r>
      <w:r>
        <w:rPr>
          <w:rFonts w:cs="Arial" w:hint="cs"/>
          <w:rtl/>
        </w:rPr>
        <w:t>,</w:t>
      </w:r>
      <w:r>
        <w:rPr>
          <w:rFonts w:cs="Arial"/>
          <w:rtl/>
        </w:rPr>
        <w:t xml:space="preserve"> אם כן סיפא דברייתא דקתני </w:t>
      </w:r>
      <w:r>
        <w:rPr>
          <w:rFonts w:cs="Arial" w:hint="cs"/>
          <w:rtl/>
        </w:rPr>
        <w:t>'</w:t>
      </w:r>
      <w:r>
        <w:rPr>
          <w:rFonts w:cs="Arial"/>
          <w:rtl/>
        </w:rPr>
        <w:t>ולא תאכל עמו דברים הרעים לחלב</w:t>
      </w:r>
      <w:r>
        <w:rPr>
          <w:rFonts w:cs="Arial" w:hint="cs"/>
          <w:rtl/>
        </w:rPr>
        <w:t>'</w:t>
      </w:r>
      <w:r>
        <w:rPr>
          <w:rFonts w:cs="Arial"/>
          <w:rtl/>
        </w:rPr>
        <w:t xml:space="preserve"> אי אפשר לומר דאינה רשאה לאכול דברים הרעים לחלב קאמר</w:t>
      </w:r>
      <w:r>
        <w:rPr>
          <w:rFonts w:cs="Arial" w:hint="cs"/>
          <w:rtl/>
        </w:rPr>
        <w:t>,</w:t>
      </w:r>
      <w:r>
        <w:rPr>
          <w:rFonts w:cs="Arial"/>
          <w:rtl/>
        </w:rPr>
        <w:t xml:space="preserve"> דהא קתני רישא דרשאה לאכול הרבה יותר מכדי צרכה ואין לך דבר שמזיק יותר מאכילה גסה</w:t>
      </w:r>
      <w:r>
        <w:rPr>
          <w:rFonts w:cs="Arial" w:hint="cs"/>
          <w:rtl/>
        </w:rPr>
        <w:t>,</w:t>
      </w:r>
      <w:r>
        <w:rPr>
          <w:rFonts w:cs="Arial"/>
          <w:rtl/>
        </w:rPr>
        <w:t xml:space="preserve"> הילכך ע"כ לומר דהכי קאמר</w:t>
      </w:r>
      <w:r>
        <w:rPr>
          <w:rFonts w:cs="Arial" w:hint="cs"/>
          <w:rtl/>
        </w:rPr>
        <w:t>-</w:t>
      </w:r>
      <w:r>
        <w:rPr>
          <w:rFonts w:cs="Arial"/>
          <w:rtl/>
        </w:rPr>
        <w:t xml:space="preserve"> אוכלת הרבה אם תרצה ואינו יכול לעכב עליה</w:t>
      </w:r>
      <w:r>
        <w:rPr>
          <w:rFonts w:cs="Arial" w:hint="cs"/>
          <w:rtl/>
        </w:rPr>
        <w:t>,</w:t>
      </w:r>
      <w:r>
        <w:rPr>
          <w:rFonts w:cs="Arial"/>
          <w:rtl/>
        </w:rPr>
        <w:t xml:space="preserve"> וכן אינו יכול לעכב עליה שלא תאכל דברים הרעים לחלב</w:t>
      </w:r>
      <w:r>
        <w:rPr>
          <w:rFonts w:cs="Arial" w:hint="cs"/>
          <w:rtl/>
        </w:rPr>
        <w:t>.</w:t>
      </w:r>
      <w:r>
        <w:rPr>
          <w:rFonts w:cs="Arial"/>
          <w:rtl/>
        </w:rPr>
        <w:t xml:space="preserve"> ועוד יש לומר דכיון דקתני רישא דאוכלת הרבה משום צערא דידה ואינה חוששת להיזק הולד</w:t>
      </w:r>
      <w:r>
        <w:rPr>
          <w:rFonts w:cs="Arial" w:hint="cs"/>
          <w:rtl/>
        </w:rPr>
        <w:t>,</w:t>
      </w:r>
      <w:r>
        <w:rPr>
          <w:rFonts w:cs="Arial"/>
          <w:rtl/>
        </w:rPr>
        <w:t xml:space="preserve"> ממילא משמע דהוא הדין למאכלים הרעים אם מתאוה להם שאוכלתן משום צערא דידה</w:t>
      </w:r>
      <w:r>
        <w:rPr>
          <w:rFonts w:cs="Arial" w:hint="cs"/>
          <w:rtl/>
        </w:rPr>
        <w:t>,</w:t>
      </w:r>
      <w:r>
        <w:rPr>
          <w:rFonts w:cs="Arial"/>
          <w:rtl/>
        </w:rPr>
        <w:t xml:space="preserve"> והא דקתני סיפא לא תאכל עמו דברים הרעים בשאינה מתאוה להם היא</w:t>
      </w:r>
      <w:r>
        <w:rPr>
          <w:rFonts w:cs="Arial" w:hint="cs"/>
          <w:rtl/>
        </w:rPr>
        <w:t>, ב"י.</w:t>
      </w:r>
      <w:r>
        <w:rPr>
          <w:rFonts w:hint="cs"/>
          <w:rtl/>
        </w:rPr>
        <w:t xml:space="preserve"> (צל"ע למה לא לפרש את דברי הברייתא כך-</w:t>
      </w:r>
      <w:r w:rsidRPr="004944BF">
        <w:rPr>
          <w:rFonts w:cs="Arial"/>
          <w:rtl/>
        </w:rPr>
        <w:t xml:space="preserve"> </w:t>
      </w:r>
      <w:r>
        <w:rPr>
          <w:rFonts w:cs="Arial" w:hint="cs"/>
          <w:rtl/>
        </w:rPr>
        <w:t>'</w:t>
      </w:r>
      <w:r w:rsidRPr="00A96332">
        <w:rPr>
          <w:rFonts w:cs="Arial"/>
          <w:rtl/>
        </w:rPr>
        <w:t>פסקה קימעא</w:t>
      </w:r>
      <w:r>
        <w:rPr>
          <w:rFonts w:cs="Arial" w:hint="cs"/>
          <w:rtl/>
        </w:rPr>
        <w:t>'- נתן לה סכום כסף מועט למזונות, '</w:t>
      </w:r>
      <w:r w:rsidRPr="00A96332">
        <w:rPr>
          <w:rFonts w:cs="Arial"/>
          <w:rtl/>
        </w:rPr>
        <w:t>אוכלת הרבה</w:t>
      </w:r>
      <w:r>
        <w:rPr>
          <w:rFonts w:cs="Arial" w:hint="cs"/>
          <w:rtl/>
        </w:rPr>
        <w:t>'- אם רצתה לאכול עוד מוסיפה משלה ואינו יכול לעכב אפילו הם דברים המזיקים לחלב.</w:t>
      </w:r>
      <w:r w:rsidRPr="00A96332">
        <w:rPr>
          <w:rFonts w:cs="Arial"/>
          <w:rtl/>
        </w:rPr>
        <w:t xml:space="preserve"> </w:t>
      </w:r>
      <w:r>
        <w:rPr>
          <w:rFonts w:cs="Arial" w:hint="cs"/>
          <w:rtl/>
        </w:rPr>
        <w:t>'</w:t>
      </w:r>
      <w:r w:rsidRPr="00A96332">
        <w:rPr>
          <w:rFonts w:cs="Arial"/>
          <w:rtl/>
        </w:rPr>
        <w:t>לא תאכל עמו דברים הרעים לחלב</w:t>
      </w:r>
      <w:r>
        <w:rPr>
          <w:rFonts w:cs="Arial" w:hint="cs"/>
          <w:rtl/>
        </w:rPr>
        <w:t xml:space="preserve">'- ואם רוצה לקנות דברים שיכולים להזיק לולד בכסף המועט שקיבלה ממנו </w:t>
      </w:r>
      <w:r w:rsidR="00F97626">
        <w:rPr>
          <w:rFonts w:cs="Arial"/>
          <w:rtl/>
        </w:rPr>
        <w:t>-</w:t>
      </w:r>
      <w:r>
        <w:rPr>
          <w:rFonts w:cs="Arial" w:hint="cs"/>
          <w:rtl/>
        </w:rPr>
        <w:t xml:space="preserve"> אינה רשאית).</w:t>
      </w:r>
    </w:p>
  </w:footnote>
  <w:footnote w:id="732">
    <w:p w14:paraId="4A58E0CD" w14:textId="267040CA" w:rsidR="00DE2F5F" w:rsidRDefault="00DE2F5F">
      <w:pPr>
        <w:pStyle w:val="a5"/>
        <w:rPr>
          <w:rtl/>
        </w:rPr>
      </w:pPr>
      <w:r>
        <w:rPr>
          <w:rStyle w:val="a7"/>
        </w:rPr>
        <w:footnoteRef/>
      </w:r>
      <w:r>
        <w:rPr>
          <w:rtl/>
        </w:rPr>
        <w:t xml:space="preserve"> </w:t>
      </w:r>
      <w:r>
        <w:rPr>
          <w:rFonts w:hint="cs"/>
          <w:rtl/>
        </w:rPr>
        <w:t xml:space="preserve">הב"ש (סקט"ז) כתב </w:t>
      </w:r>
      <w:r>
        <w:rPr>
          <w:rFonts w:cs="Arial" w:hint="cs"/>
          <w:rtl/>
        </w:rPr>
        <w:t>ש</w:t>
      </w:r>
      <w:r w:rsidRPr="00977430">
        <w:rPr>
          <w:rFonts w:cs="Arial"/>
          <w:rtl/>
        </w:rPr>
        <w:t>בדינים אלו היכא דאיכא פלוגתא היא פטורה</w:t>
      </w:r>
      <w:r>
        <w:rPr>
          <w:rFonts w:cs="Arial" w:hint="cs"/>
          <w:rtl/>
        </w:rPr>
        <w:t>,</w:t>
      </w:r>
      <w:r w:rsidRPr="00977430">
        <w:rPr>
          <w:rFonts w:cs="Arial"/>
          <w:rtl/>
        </w:rPr>
        <w:t xml:space="preserve"> וע' בהרא"ש ר"פ מציאת האשה</w:t>
      </w:r>
      <w:r>
        <w:rPr>
          <w:rFonts w:cs="Arial" w:hint="cs"/>
          <w:rtl/>
        </w:rPr>
        <w:t>. עכ"ל. אך הח"מ (סקכ"ג) הביא את ה</w:t>
      </w:r>
      <w:r w:rsidRPr="00977430">
        <w:rPr>
          <w:rFonts w:cs="Arial"/>
          <w:rtl/>
        </w:rPr>
        <w:t xml:space="preserve">ב"ח </w:t>
      </w:r>
      <w:r>
        <w:rPr>
          <w:rFonts w:cs="Arial" w:hint="cs"/>
          <w:rtl/>
        </w:rPr>
        <w:t>ש</w:t>
      </w:r>
      <w:r w:rsidRPr="00977430">
        <w:rPr>
          <w:rFonts w:cs="Arial"/>
          <w:rtl/>
        </w:rPr>
        <w:t>כתב דאין הל</w:t>
      </w:r>
      <w:r>
        <w:rPr>
          <w:rFonts w:cs="Arial" w:hint="cs"/>
          <w:rtl/>
        </w:rPr>
        <w:t>כה</w:t>
      </w:r>
      <w:r w:rsidRPr="00977430">
        <w:rPr>
          <w:rFonts w:cs="Arial"/>
          <w:rtl/>
        </w:rPr>
        <w:t xml:space="preserve"> כהרא"ש דרבים חולקים עליו</w:t>
      </w:r>
      <w:r>
        <w:rPr>
          <w:rFonts w:cs="Arial" w:hint="cs"/>
          <w:rtl/>
        </w:rPr>
        <w:t>,</w:t>
      </w:r>
      <w:r w:rsidRPr="00977430">
        <w:rPr>
          <w:rFonts w:cs="Arial"/>
          <w:rtl/>
        </w:rPr>
        <w:t xml:space="preserve"> ואפשר שגם הרב מהרמ"א לא העתיק דברי הרא"ש לחייב אותה להניק שניהם</w:t>
      </w:r>
      <w:r>
        <w:rPr>
          <w:rFonts w:cs="Arial" w:hint="cs"/>
          <w:rtl/>
        </w:rPr>
        <w:t>,</w:t>
      </w:r>
      <w:r w:rsidRPr="00977430">
        <w:rPr>
          <w:rFonts w:cs="Arial"/>
          <w:rtl/>
        </w:rPr>
        <w:t xml:space="preserve"> דודאי תוכל לומר קים לי כהרי"ף ושאר פוסקים</w:t>
      </w:r>
      <w:r>
        <w:rPr>
          <w:rFonts w:cs="Arial" w:hint="cs"/>
          <w:rtl/>
        </w:rPr>
        <w:t>,</w:t>
      </w:r>
      <w:r w:rsidRPr="00977430">
        <w:rPr>
          <w:rFonts w:cs="Arial"/>
          <w:rtl/>
        </w:rPr>
        <w:t xml:space="preserve"> אלא דרך ארץ היא שכל אשה שיכולה להניק תניק שניהם</w:t>
      </w:r>
      <w:r>
        <w:rPr>
          <w:rFonts w:cs="Arial" w:hint="cs"/>
          <w:rtl/>
        </w:rPr>
        <w:t>,</w:t>
      </w:r>
      <w:r w:rsidRPr="00977430">
        <w:rPr>
          <w:rFonts w:cs="Arial"/>
          <w:rtl/>
        </w:rPr>
        <w:t xml:space="preserve"> וע"כ לא כ</w:t>
      </w:r>
      <w:r>
        <w:rPr>
          <w:rFonts w:cs="Arial" w:hint="cs"/>
          <w:rtl/>
        </w:rPr>
        <w:t>תב</w:t>
      </w:r>
      <w:r w:rsidRPr="00977430">
        <w:rPr>
          <w:rFonts w:cs="Arial"/>
          <w:rtl/>
        </w:rPr>
        <w:t xml:space="preserve"> שמחוייב</w:t>
      </w:r>
      <w:r>
        <w:rPr>
          <w:rFonts w:cs="Arial" w:hint="cs"/>
          <w:rtl/>
        </w:rPr>
        <w:t>ת</w:t>
      </w:r>
      <w:r w:rsidRPr="00977430">
        <w:rPr>
          <w:rFonts w:cs="Arial"/>
          <w:rtl/>
        </w:rPr>
        <w:t xml:space="preserve"> להניק שניהם</w:t>
      </w:r>
      <w:r>
        <w:rPr>
          <w:rFonts w:cs="Arial" w:hint="cs"/>
          <w:rtl/>
        </w:rPr>
        <w:t>,</w:t>
      </w:r>
      <w:r w:rsidRPr="00977430">
        <w:rPr>
          <w:rFonts w:cs="Arial"/>
          <w:rtl/>
        </w:rPr>
        <w:t xml:space="preserve"> שאין זה חיוב רק ראוי לה לעשו</w:t>
      </w:r>
      <w:r>
        <w:rPr>
          <w:rFonts w:cs="Arial" w:hint="cs"/>
          <w:rtl/>
        </w:rPr>
        <w:t>ת</w:t>
      </w:r>
      <w:r w:rsidRPr="00977430">
        <w:rPr>
          <w:rFonts w:cs="Arial"/>
          <w:rtl/>
        </w:rPr>
        <w:t xml:space="preserve"> כן אם יכולה לעשות</w:t>
      </w:r>
      <w:r>
        <w:rPr>
          <w:rFonts w:cs="Arial" w:hint="cs"/>
          <w:rtl/>
        </w:rPr>
        <w:t>,</w:t>
      </w:r>
      <w:r w:rsidRPr="00977430">
        <w:rPr>
          <w:rFonts w:cs="Arial"/>
          <w:rtl/>
        </w:rPr>
        <w:t xml:space="preserve"> לצאת ידי כל הפוסקים</w:t>
      </w:r>
      <w:r>
        <w:rPr>
          <w:rFonts w:cs="Arial" w:hint="cs"/>
          <w:rtl/>
        </w:rPr>
        <w:t>.</w:t>
      </w:r>
    </w:p>
  </w:footnote>
  <w:footnote w:id="733">
    <w:p w14:paraId="67E670B4" w14:textId="4B0B86C2" w:rsidR="00DE2F5F" w:rsidRDefault="00DE2F5F" w:rsidP="00186208">
      <w:pPr>
        <w:pStyle w:val="a5"/>
        <w:rPr>
          <w:rtl/>
        </w:rPr>
      </w:pPr>
      <w:r>
        <w:rPr>
          <w:rStyle w:val="a7"/>
        </w:rPr>
        <w:footnoteRef/>
      </w:r>
      <w:r>
        <w:rPr>
          <w:rtl/>
        </w:rPr>
        <w:t xml:space="preserve"> </w:t>
      </w:r>
      <w:r w:rsidRPr="00186208">
        <w:rPr>
          <w:rFonts w:cs="Arial"/>
          <w:rtl/>
        </w:rPr>
        <w:t>ונראה שכתב רבינו כן מפני שמפשט דברי הרמב"ם נראה דדוקא על בן חבירתה הוא דמעכב בעל אבל על בנה אינו יכול לעכב</w:t>
      </w:r>
      <w:r>
        <w:rPr>
          <w:rFonts w:cs="Arial" w:hint="cs"/>
          <w:rtl/>
        </w:rPr>
        <w:t>,</w:t>
      </w:r>
      <w:r w:rsidRPr="00186208">
        <w:rPr>
          <w:rFonts w:cs="Arial"/>
          <w:rtl/>
        </w:rPr>
        <w:t xml:space="preserve"> ורבינו סבור דאף על בנה יכול לעכב דלא גרע מנתנו לה בן להניק דאינה יכולה להניק עמו בנה</w:t>
      </w:r>
      <w:r>
        <w:rPr>
          <w:rFonts w:cs="Arial" w:hint="cs"/>
          <w:rtl/>
        </w:rPr>
        <w:t>.</w:t>
      </w:r>
      <w:r w:rsidRPr="00186208">
        <w:rPr>
          <w:rFonts w:cs="Arial"/>
          <w:rtl/>
        </w:rPr>
        <w:t xml:space="preserve"> ומשמע לי דגם הרמב"ם איפשר שסובר דגם על בנה יכול לעכב</w:t>
      </w:r>
      <w:r>
        <w:rPr>
          <w:rFonts w:cs="Arial" w:hint="cs"/>
          <w:rtl/>
        </w:rPr>
        <w:t>,</w:t>
      </w:r>
      <w:r w:rsidRPr="00186208">
        <w:rPr>
          <w:rFonts w:cs="Arial"/>
          <w:rtl/>
        </w:rPr>
        <w:t xml:space="preserve"> אלא שנמשך אחר דברי הירושלמי שלא הזכיר אלא בן חבירתה</w:t>
      </w:r>
      <w:r>
        <w:rPr>
          <w:rFonts w:cs="Arial" w:hint="cs"/>
          <w:rtl/>
        </w:rPr>
        <w:t>.</w:t>
      </w:r>
      <w:r w:rsidRPr="00186208">
        <w:rPr>
          <w:rFonts w:cs="Arial"/>
          <w:rtl/>
        </w:rPr>
        <w:t xml:space="preserve"> והירושלמי שלא הזכיר שיכול לעכב על בנה איכא למימר דטעמא משום דמילתא דלא שכיחא היא</w:t>
      </w:r>
      <w:r>
        <w:rPr>
          <w:rFonts w:cs="Arial" w:hint="cs"/>
          <w:rtl/>
        </w:rPr>
        <w:t>,</w:t>
      </w:r>
      <w:r w:rsidRPr="00186208">
        <w:rPr>
          <w:rFonts w:cs="Arial"/>
          <w:rtl/>
        </w:rPr>
        <w:t xml:space="preserve"> דהא מניקת חבירו אסורה להנשא</w:t>
      </w:r>
      <w:r>
        <w:rPr>
          <w:rFonts w:cs="Arial" w:hint="cs"/>
          <w:rtl/>
        </w:rPr>
        <w:t>,</w:t>
      </w:r>
      <w:r w:rsidRPr="00186208">
        <w:rPr>
          <w:rFonts w:cs="Arial"/>
          <w:rtl/>
        </w:rPr>
        <w:t xml:space="preserve"> ולא משכחת לה אלא בשגירשה בעלה קודם שיכירנה הולד שאינה חייבת להניקו ונישאת ונתעברה וילדה ואח"כ רצתה לחזור ולהניק את בנה הראשון</w:t>
      </w:r>
      <w:r>
        <w:rPr>
          <w:rFonts w:cs="Arial" w:hint="cs"/>
          <w:rtl/>
        </w:rPr>
        <w:t xml:space="preserve">, ב"י. </w:t>
      </w:r>
      <w:r w:rsidRPr="00DC4762">
        <w:rPr>
          <w:rFonts w:cs="Arial"/>
          <w:rtl/>
        </w:rPr>
        <w:t>מיהו מצינו למימר כשעבר וכנסה וברח שנתבאר לעיל סימן י"ג דלא מפקינן מיניה או אם רצונה להניק בנה הראשון יותר מכ"ד חודש דאז מותרת להנשא מיהו גם זה מילתא דלא שכיחא הוא</w:t>
      </w:r>
      <w:r>
        <w:rPr>
          <w:rFonts w:cs="Arial" w:hint="cs"/>
          <w:rtl/>
        </w:rPr>
        <w:t>, דרכ"מ (אות ב).</w:t>
      </w:r>
    </w:p>
  </w:footnote>
  <w:footnote w:id="734">
    <w:p w14:paraId="3A979D8B" w14:textId="31A199D4" w:rsidR="00DE2F5F" w:rsidRDefault="00DE2F5F">
      <w:pPr>
        <w:pStyle w:val="a5"/>
      </w:pPr>
      <w:r>
        <w:rPr>
          <w:rStyle w:val="a7"/>
        </w:rPr>
        <w:footnoteRef/>
      </w:r>
      <w:r>
        <w:rPr>
          <w:rtl/>
        </w:rPr>
        <w:t xml:space="preserve"> </w:t>
      </w:r>
      <w:r w:rsidRPr="00977430">
        <w:rPr>
          <w:rFonts w:cs="Arial"/>
          <w:rtl/>
        </w:rPr>
        <w:t>וכן מדיוק בהר"ן</w:t>
      </w:r>
      <w:r>
        <w:rPr>
          <w:rFonts w:cs="Arial" w:hint="cs"/>
          <w:rtl/>
        </w:rPr>
        <w:t>,</w:t>
      </w:r>
      <w:r w:rsidRPr="00977430">
        <w:rPr>
          <w:rFonts w:cs="Arial"/>
          <w:rtl/>
        </w:rPr>
        <w:t xml:space="preserve"> וכ"כ רש"י היא אומר</w:t>
      </w:r>
      <w:r>
        <w:rPr>
          <w:rFonts w:cs="Arial" w:hint="cs"/>
          <w:rtl/>
        </w:rPr>
        <w:t>ת</w:t>
      </w:r>
      <w:r w:rsidRPr="00977430">
        <w:rPr>
          <w:rFonts w:cs="Arial"/>
          <w:rtl/>
        </w:rPr>
        <w:t xml:space="preserve"> להניק שומעים לה משום צער דידה </w:t>
      </w:r>
      <w:r>
        <w:rPr>
          <w:rFonts w:cs="Arial" w:hint="cs"/>
          <w:rtl/>
        </w:rPr>
        <w:t xml:space="preserve">'החלב רב </w:t>
      </w:r>
      <w:r w:rsidRPr="00977430">
        <w:rPr>
          <w:rFonts w:cs="Arial"/>
          <w:rtl/>
        </w:rPr>
        <w:t>בדדי</w:t>
      </w:r>
      <w:r>
        <w:rPr>
          <w:rFonts w:cs="Arial" w:hint="cs"/>
          <w:rtl/>
        </w:rPr>
        <w:t>ה</w:t>
      </w:r>
      <w:r w:rsidRPr="00977430">
        <w:rPr>
          <w:rFonts w:cs="Arial"/>
          <w:rtl/>
        </w:rPr>
        <w:t xml:space="preserve"> </w:t>
      </w:r>
      <w:r>
        <w:rPr>
          <w:rFonts w:cs="Arial" w:hint="cs"/>
          <w:rtl/>
        </w:rPr>
        <w:t>ו</w:t>
      </w:r>
      <w:r w:rsidRPr="00977430">
        <w:rPr>
          <w:rFonts w:cs="Arial"/>
          <w:rtl/>
        </w:rPr>
        <w:t>מצער</w:t>
      </w:r>
      <w:r>
        <w:rPr>
          <w:rFonts w:cs="Arial" w:hint="cs"/>
          <w:rtl/>
        </w:rPr>
        <w:t>ה'.</w:t>
      </w:r>
      <w:r w:rsidRPr="00977430">
        <w:rPr>
          <w:rFonts w:cs="Arial"/>
          <w:rtl/>
        </w:rPr>
        <w:t xml:space="preserve"> לפ"ז אם רצונה להניק בן חברתה ואין לה ולד אין הבעל יכול לעכב ולא כח"מ</w:t>
      </w:r>
      <w:r>
        <w:rPr>
          <w:rFonts w:cs="Arial" w:hint="cs"/>
          <w:rtl/>
        </w:rPr>
        <w:t>, ב"ש (שם).</w:t>
      </w:r>
    </w:p>
  </w:footnote>
  <w:footnote w:id="735">
    <w:p w14:paraId="015B4DAF" w14:textId="27C0FBFE" w:rsidR="00DE2F5F" w:rsidRDefault="00DE2F5F">
      <w:pPr>
        <w:pStyle w:val="a5"/>
      </w:pPr>
      <w:r>
        <w:rPr>
          <w:rStyle w:val="a7"/>
        </w:rPr>
        <w:footnoteRef/>
      </w:r>
      <w:r>
        <w:rPr>
          <w:rtl/>
        </w:rPr>
        <w:t xml:space="preserve"> </w:t>
      </w:r>
      <w:r>
        <w:rPr>
          <w:rFonts w:hint="cs"/>
          <w:rtl/>
        </w:rPr>
        <w:t xml:space="preserve">וכתב הפת"ש (סק"ח) שהבא"ט </w:t>
      </w:r>
      <w:r>
        <w:rPr>
          <w:rFonts w:cs="Arial" w:hint="cs"/>
          <w:rtl/>
        </w:rPr>
        <w:t xml:space="preserve">(סקט"ז) הביא את </w:t>
      </w:r>
      <w:r w:rsidRPr="002471E8">
        <w:rPr>
          <w:rFonts w:cs="Arial"/>
          <w:rtl/>
        </w:rPr>
        <w:t>דברי הח"מ באחרונה כי דברי הח"מ נראין</w:t>
      </w:r>
      <w:r>
        <w:rPr>
          <w:rFonts w:cs="Arial" w:hint="cs"/>
          <w:rtl/>
        </w:rPr>
        <w:t>. וכן הסכים הפת"ש.</w:t>
      </w:r>
      <w:r w:rsidRPr="002471E8">
        <w:rPr>
          <w:rFonts w:cs="Arial"/>
          <w:rtl/>
        </w:rPr>
        <w:t xml:space="preserve"> </w:t>
      </w:r>
      <w:r>
        <w:rPr>
          <w:rFonts w:cs="Arial" w:hint="cs"/>
          <w:rtl/>
        </w:rPr>
        <w:t>וכתב ד</w:t>
      </w:r>
      <w:r w:rsidRPr="002471E8">
        <w:rPr>
          <w:rFonts w:cs="Arial"/>
          <w:rtl/>
        </w:rPr>
        <w:t>גם בס</w:t>
      </w:r>
      <w:r>
        <w:rPr>
          <w:rFonts w:cs="Arial" w:hint="cs"/>
          <w:rtl/>
        </w:rPr>
        <w:t>פר</w:t>
      </w:r>
      <w:r w:rsidRPr="002471E8">
        <w:rPr>
          <w:rFonts w:cs="Arial"/>
          <w:rtl/>
        </w:rPr>
        <w:t xml:space="preserve"> ב</w:t>
      </w:r>
      <w:r>
        <w:rPr>
          <w:rFonts w:cs="Arial" w:hint="cs"/>
          <w:rtl/>
        </w:rPr>
        <w:t xml:space="preserve">ית </w:t>
      </w:r>
      <w:r w:rsidRPr="002471E8">
        <w:rPr>
          <w:rFonts w:cs="Arial"/>
          <w:rtl/>
        </w:rPr>
        <w:t>מ</w:t>
      </w:r>
      <w:r>
        <w:rPr>
          <w:rFonts w:cs="Arial" w:hint="cs"/>
          <w:rtl/>
        </w:rPr>
        <w:t>איר</w:t>
      </w:r>
      <w:r w:rsidRPr="002471E8">
        <w:rPr>
          <w:rFonts w:cs="Arial"/>
          <w:rtl/>
        </w:rPr>
        <w:t xml:space="preserve"> העלה דהעיקר כדעת הח"מ דהבעל מעכב</w:t>
      </w:r>
      <w:r>
        <w:rPr>
          <w:rFonts w:cs="Arial" w:hint="cs"/>
          <w:rtl/>
        </w:rPr>
        <w:t>,</w:t>
      </w:r>
      <w:r w:rsidRPr="002471E8">
        <w:rPr>
          <w:rFonts w:cs="Arial"/>
          <w:rtl/>
        </w:rPr>
        <w:t xml:space="preserve"> ומה דנקט הכא בש"ע עם בנה הוא להורות דעם בנה אף באקראי יכול לעכב</w:t>
      </w:r>
      <w:r>
        <w:rPr>
          <w:rFonts w:cs="Arial" w:hint="cs"/>
          <w:rtl/>
        </w:rPr>
        <w:t>,</w:t>
      </w:r>
      <w:r w:rsidRPr="002471E8">
        <w:rPr>
          <w:rFonts w:cs="Arial"/>
          <w:rtl/>
        </w:rPr>
        <w:t xml:space="preserve"> אבל בקביעות אף באין לה בן יוכל לעכב. ומבואר עוד שם דביולדת שמת בנה ורוצית להניק בן חברתה משך ימים מועטים בשביל צער החלב</w:t>
      </w:r>
      <w:r>
        <w:rPr>
          <w:rFonts w:cs="Arial" w:hint="cs"/>
          <w:rtl/>
        </w:rPr>
        <w:t xml:space="preserve"> -</w:t>
      </w:r>
      <w:r w:rsidRPr="002471E8">
        <w:rPr>
          <w:rFonts w:cs="Arial"/>
          <w:rtl/>
        </w:rPr>
        <w:t xml:space="preserve"> אין הבעל יכול לעכב</w:t>
      </w:r>
      <w:r>
        <w:rPr>
          <w:rFonts w:cs="Arial" w:hint="cs"/>
          <w:rtl/>
        </w:rPr>
        <w:t>,</w:t>
      </w:r>
      <w:r w:rsidRPr="002471E8">
        <w:rPr>
          <w:rFonts w:cs="Arial"/>
          <w:rtl/>
        </w:rPr>
        <w:t xml:space="preserve"> דאם תגמל עכשיו צערה מרובה</w:t>
      </w:r>
      <w:r>
        <w:rPr>
          <w:rFonts w:cs="Arial" w:hint="cs"/>
          <w:rtl/>
        </w:rPr>
        <w:t>.</w:t>
      </w:r>
    </w:p>
  </w:footnote>
  <w:footnote w:id="736">
    <w:p w14:paraId="3E67D809" w14:textId="77777777" w:rsidR="00DE2F5F" w:rsidRDefault="00DE2F5F" w:rsidP="00C65089">
      <w:pPr>
        <w:pStyle w:val="a5"/>
        <w:rPr>
          <w:rtl/>
        </w:rPr>
      </w:pPr>
      <w:r>
        <w:rPr>
          <w:rStyle w:val="a7"/>
        </w:rPr>
        <w:footnoteRef/>
      </w:r>
      <w:r>
        <w:rPr>
          <w:rtl/>
        </w:rPr>
        <w:t xml:space="preserve"> </w:t>
      </w:r>
      <w:r w:rsidRPr="005320ED">
        <w:rPr>
          <w:rFonts w:cs="Arial"/>
          <w:rtl/>
        </w:rPr>
        <w:t>והך מתניתא במורדת מתשמיש</w:t>
      </w:r>
      <w:r>
        <w:rPr>
          <w:rFonts w:hint="cs"/>
          <w:rtl/>
        </w:rPr>
        <w:t>, רש"י.</w:t>
      </w:r>
    </w:p>
  </w:footnote>
  <w:footnote w:id="737">
    <w:p w14:paraId="5C19CF0E" w14:textId="6B37440A" w:rsidR="00DE2F5F" w:rsidRDefault="00DE2F5F" w:rsidP="00365D98">
      <w:pPr>
        <w:pStyle w:val="a5"/>
        <w:rPr>
          <w:rtl/>
        </w:rPr>
      </w:pPr>
      <w:r>
        <w:rPr>
          <w:rStyle w:val="a7"/>
        </w:rPr>
        <w:footnoteRef/>
      </w:r>
      <w:r>
        <w:rPr>
          <w:rtl/>
        </w:rPr>
        <w:t xml:space="preserve"> </w:t>
      </w:r>
      <w:r w:rsidRPr="000A7A9C">
        <w:rPr>
          <w:rFonts w:cs="Arial"/>
          <w:rtl/>
        </w:rPr>
        <w:t>יראה שפוסק דמורדת ממלאכה הויא מורדת</w:t>
      </w:r>
      <w:r>
        <w:rPr>
          <w:rFonts w:cs="Arial" w:hint="cs"/>
          <w:rtl/>
        </w:rPr>
        <w:t>,</w:t>
      </w:r>
      <w:r w:rsidRPr="000A7A9C">
        <w:rPr>
          <w:rFonts w:cs="Arial"/>
          <w:rtl/>
        </w:rPr>
        <w:t xml:space="preserve"> וא"כ קשה לדבריו למה לא יפחתו מכתובתה כדין מורדת מתשמיש</w:t>
      </w:r>
      <w:r>
        <w:rPr>
          <w:rFonts w:hint="cs"/>
          <w:rtl/>
        </w:rPr>
        <w:t>, טור.</w:t>
      </w:r>
      <w:r w:rsidRPr="00561C12">
        <w:rPr>
          <w:rFonts w:cs="Arial" w:hint="cs"/>
          <w:rtl/>
        </w:rPr>
        <w:t xml:space="preserve"> </w:t>
      </w:r>
      <w:r>
        <w:rPr>
          <w:rFonts w:cs="Arial" w:hint="cs"/>
          <w:rtl/>
        </w:rPr>
        <w:t xml:space="preserve">וכתב הב"י שהטור </w:t>
      </w:r>
      <w:r>
        <w:rPr>
          <w:rFonts w:cs="Arial"/>
          <w:rtl/>
        </w:rPr>
        <w:t>למד כן ממ"ש כופין אותה ועושה אפילו בשוטים</w:t>
      </w:r>
      <w:r>
        <w:rPr>
          <w:rFonts w:cs="Arial" w:hint="cs"/>
          <w:rtl/>
        </w:rPr>
        <w:t>.</w:t>
      </w:r>
      <w:r>
        <w:rPr>
          <w:rFonts w:cs="Arial"/>
          <w:rtl/>
        </w:rPr>
        <w:t xml:space="preserve"> ומשמע לרבינו שטעמו של הרמב"ם משום דס"ל דמורדת ממלאכה הויא מורדת</w:t>
      </w:r>
      <w:r>
        <w:rPr>
          <w:rFonts w:cs="Arial" w:hint="cs"/>
          <w:rtl/>
        </w:rPr>
        <w:t>,</w:t>
      </w:r>
      <w:r>
        <w:rPr>
          <w:rFonts w:cs="Arial"/>
          <w:rtl/>
        </w:rPr>
        <w:t xml:space="preserve"> ומשום הכי קאמר שכופין אותה דאינה יכולה לומר איני נזונת ואיני עושה</w:t>
      </w:r>
      <w:r>
        <w:rPr>
          <w:rFonts w:cs="Arial" w:hint="cs"/>
          <w:rtl/>
        </w:rPr>
        <w:t>,</w:t>
      </w:r>
      <w:r>
        <w:rPr>
          <w:rFonts w:cs="Arial"/>
          <w:rtl/>
        </w:rPr>
        <w:t xml:space="preserve"> דאם איתא שהיה סובר שהיא יכולה לומר כן לא היה כותב שכופין אותה לעשות</w:t>
      </w:r>
      <w:r>
        <w:rPr>
          <w:rFonts w:cs="Arial" w:hint="cs"/>
          <w:rtl/>
        </w:rPr>
        <w:t>,</w:t>
      </w:r>
      <w:r>
        <w:rPr>
          <w:rFonts w:cs="Arial"/>
          <w:rtl/>
        </w:rPr>
        <w:t xml:space="preserve"> והקשה על זה דכיון דס"ל דהויא מורדת למה לא כתב דפוחתין לה מכתובתה ז' דינרים בשבת</w:t>
      </w:r>
      <w:r>
        <w:rPr>
          <w:rFonts w:cs="Arial" w:hint="cs"/>
          <w:rtl/>
        </w:rPr>
        <w:t>,</w:t>
      </w:r>
      <w:r>
        <w:rPr>
          <w:rFonts w:cs="Arial"/>
          <w:rtl/>
        </w:rPr>
        <w:t xml:space="preserve"> דהא מאן דס"ל דמורדת ממלאכה הויא מורדת פוחתין לה מכתובתה ז' דינרים בשבת כשם שפוחתין למורדת מתשמיש</w:t>
      </w:r>
      <w:r>
        <w:rPr>
          <w:rFonts w:cs="Arial" w:hint="cs"/>
          <w:rtl/>
        </w:rPr>
        <w:t>.</w:t>
      </w:r>
      <w:r>
        <w:rPr>
          <w:rFonts w:cs="Arial"/>
          <w:rtl/>
        </w:rPr>
        <w:t xml:space="preserve"> ואני אומר דהא ודאי פשיטא דלא ס"ל להרמב"ם דמורדת ממלאכה הויא מורדת</w:t>
      </w:r>
      <w:r>
        <w:rPr>
          <w:rFonts w:cs="Arial" w:hint="cs"/>
          <w:rtl/>
        </w:rPr>
        <w:t>,</w:t>
      </w:r>
      <w:r>
        <w:rPr>
          <w:rFonts w:cs="Arial"/>
          <w:rtl/>
        </w:rPr>
        <w:t xml:space="preserve"> שהרי פסק בפי"ב (ה"ד) שאם אמרה האשה איני ניזונת ואיני עושה שומעין לה ואין כופין אותה</w:t>
      </w:r>
      <w:r>
        <w:rPr>
          <w:rFonts w:cs="Arial" w:hint="cs"/>
          <w:rtl/>
        </w:rPr>
        <w:t>,</w:t>
      </w:r>
      <w:r>
        <w:rPr>
          <w:rFonts w:cs="Arial"/>
          <w:rtl/>
        </w:rPr>
        <w:t xml:space="preserve"> ואם כן מ"ש בפרק כ"א שכופין אותה ועושה כשאינה אומרת איני נזונת אלא היא רוצה לזון ולא לעשות</w:t>
      </w:r>
      <w:r>
        <w:rPr>
          <w:rFonts w:cs="Arial" w:hint="cs"/>
          <w:rtl/>
        </w:rPr>
        <w:t>,</w:t>
      </w:r>
      <w:r>
        <w:rPr>
          <w:rFonts w:cs="Arial"/>
          <w:rtl/>
        </w:rPr>
        <w:t xml:space="preserve"> וכ"כ הר"ן בפרק אף על פי (כג: ד"ה גמ') וז"ל דוקא בדאמרה איני נזונת ואיני עושה הא אמרה איני עושה בלבד לא אמרינן דמהני</w:t>
      </w:r>
      <w:r>
        <w:rPr>
          <w:rFonts w:cs="Arial" w:hint="cs"/>
          <w:rtl/>
        </w:rPr>
        <w:t>,</w:t>
      </w:r>
      <w:r>
        <w:rPr>
          <w:rFonts w:cs="Arial"/>
          <w:rtl/>
        </w:rPr>
        <w:t xml:space="preserve"> ולא יהא בעל חייב לזונה</w:t>
      </w:r>
      <w:r>
        <w:rPr>
          <w:rFonts w:cs="Arial" w:hint="cs"/>
          <w:rtl/>
        </w:rPr>
        <w:t>,</w:t>
      </w:r>
      <w:r>
        <w:rPr>
          <w:rFonts w:cs="Arial"/>
          <w:rtl/>
        </w:rPr>
        <w:t xml:space="preserve"> דהא כי אמרה קונם שאני עושה לפיך הא קאמרה איני עושה</w:t>
      </w:r>
      <w:r>
        <w:rPr>
          <w:rFonts w:cs="Arial" w:hint="cs"/>
          <w:rtl/>
        </w:rPr>
        <w:t>,</w:t>
      </w:r>
      <w:r>
        <w:rPr>
          <w:rFonts w:cs="Arial"/>
          <w:rtl/>
        </w:rPr>
        <w:t xml:space="preserve"> ואפילו הכי תנן בסמוך שאין צריך להפר אלמא לא מבטלא תקנה לעולם עד דאמרה בהדיא איני נזונת עכ"ל</w:t>
      </w:r>
      <w:r>
        <w:rPr>
          <w:rFonts w:cs="Arial" w:hint="cs"/>
          <w:rtl/>
        </w:rPr>
        <w:t>...</w:t>
      </w:r>
      <w:r>
        <w:rPr>
          <w:rFonts w:cs="Arial"/>
          <w:rtl/>
        </w:rPr>
        <w:t xml:space="preserve"> ועי"ל אפילו באומרת איני ניזונת ואיני עושה איירי</w:t>
      </w:r>
      <w:r>
        <w:rPr>
          <w:rFonts w:cs="Arial" w:hint="cs"/>
          <w:rtl/>
        </w:rPr>
        <w:t>,</w:t>
      </w:r>
      <w:r>
        <w:rPr>
          <w:rFonts w:cs="Arial"/>
          <w:rtl/>
        </w:rPr>
        <w:t xml:space="preserve"> דעד כאן לא אמרינן דיכולה אשה שתאמר איני נזונת ואיני עושה אלא לפטור עצמה מטוויית צמר בלבד</w:t>
      </w:r>
      <w:r>
        <w:rPr>
          <w:rFonts w:cs="Arial" w:hint="cs"/>
          <w:rtl/>
        </w:rPr>
        <w:t>,</w:t>
      </w:r>
      <w:r>
        <w:rPr>
          <w:rFonts w:cs="Arial"/>
          <w:rtl/>
        </w:rPr>
        <w:t xml:space="preserve"> אבל כל שאר מלאכות צריכה לעשות אפילו אומרת איני נזונת</w:t>
      </w:r>
      <w:r>
        <w:rPr>
          <w:rFonts w:cs="Arial" w:hint="cs"/>
          <w:rtl/>
        </w:rPr>
        <w:t>,</w:t>
      </w:r>
      <w:r>
        <w:rPr>
          <w:rFonts w:cs="Arial"/>
          <w:rtl/>
        </w:rPr>
        <w:t xml:space="preserve"> וכמו שכתב הה</w:t>
      </w:r>
      <w:r>
        <w:rPr>
          <w:rFonts w:cs="Arial" w:hint="cs"/>
          <w:rtl/>
        </w:rPr>
        <w:t>"</w:t>
      </w:r>
      <w:r>
        <w:rPr>
          <w:rFonts w:cs="Arial"/>
          <w:rtl/>
        </w:rPr>
        <w:t>מ בפי"ב (שם) בשם המפרשים ובשם הרשב"א (נט: ד"ה וכתב, סג. ד"ה ר' יוסי)</w:t>
      </w:r>
      <w:r>
        <w:rPr>
          <w:rFonts w:cs="Arial" w:hint="cs"/>
          <w:rtl/>
        </w:rPr>
        <w:t>,</w:t>
      </w:r>
      <w:r>
        <w:rPr>
          <w:rFonts w:cs="Arial"/>
          <w:rtl/>
        </w:rPr>
        <w:t xml:space="preserve"> וגם הר"ן כתב כן </w:t>
      </w:r>
      <w:r>
        <w:rPr>
          <w:rFonts w:cs="Arial" w:hint="cs"/>
          <w:rtl/>
        </w:rPr>
        <w:t>(</w:t>
      </w:r>
      <w:r>
        <w:rPr>
          <w:rFonts w:cs="Arial"/>
          <w:rtl/>
        </w:rPr>
        <w:t>בפרק א</w:t>
      </w:r>
      <w:r>
        <w:rPr>
          <w:rFonts w:cs="Arial" w:hint="cs"/>
          <w:rtl/>
        </w:rPr>
        <w:t>ף על פי</w:t>
      </w:r>
      <w:r>
        <w:rPr>
          <w:rFonts w:cs="Arial"/>
          <w:rtl/>
        </w:rPr>
        <w:t xml:space="preserve"> שם ושם)</w:t>
      </w:r>
      <w:r>
        <w:rPr>
          <w:rFonts w:cs="Arial" w:hint="cs"/>
          <w:rtl/>
        </w:rPr>
        <w:t>.</w:t>
      </w:r>
      <w:r>
        <w:rPr>
          <w:rFonts w:cs="Arial"/>
          <w:rtl/>
        </w:rPr>
        <w:t xml:space="preserve"> ואף על פי שהתוספות</w:t>
      </w:r>
      <w:r>
        <w:rPr>
          <w:rFonts w:cs="Arial" w:hint="cs"/>
          <w:rtl/>
        </w:rPr>
        <w:t xml:space="preserve"> (סג. ד"ה רב)</w:t>
      </w:r>
      <w:r>
        <w:rPr>
          <w:rFonts w:cs="Arial"/>
          <w:rtl/>
        </w:rPr>
        <w:t xml:space="preserve"> והרא"ש </w:t>
      </w:r>
      <w:r>
        <w:rPr>
          <w:rFonts w:cs="Arial" w:hint="cs"/>
          <w:rtl/>
        </w:rPr>
        <w:t>(פ"ה סו"ס לא)</w:t>
      </w:r>
      <w:r>
        <w:rPr>
          <w:rFonts w:cs="Arial"/>
          <w:rtl/>
        </w:rPr>
        <w:t xml:space="preserve"> דחו סברא זו י"ל דהרמב"ם סובר כדברי שאר מפרשים</w:t>
      </w:r>
      <w:r>
        <w:rPr>
          <w:rFonts w:cs="Arial" w:hint="cs"/>
          <w:rtl/>
        </w:rPr>
        <w:t>,</w:t>
      </w:r>
      <w:r>
        <w:rPr>
          <w:rFonts w:cs="Arial"/>
          <w:rtl/>
        </w:rPr>
        <w:t xml:space="preserve"> והכי דייק לישניה שכתב כל אשה שתמנע מלעשות מלאכה מן המלאכות שהיא חייבת</w:t>
      </w:r>
      <w:r>
        <w:rPr>
          <w:rFonts w:cs="Arial" w:hint="cs"/>
          <w:rtl/>
        </w:rPr>
        <w:t>,</w:t>
      </w:r>
      <w:r>
        <w:rPr>
          <w:rFonts w:cs="Arial"/>
          <w:rtl/>
        </w:rPr>
        <w:t xml:space="preserve"> ומדנקט לישנא ד</w:t>
      </w:r>
      <w:r>
        <w:rPr>
          <w:rFonts w:cs="Arial" w:hint="cs"/>
          <w:rtl/>
        </w:rPr>
        <w:t>'</w:t>
      </w:r>
      <w:r>
        <w:rPr>
          <w:rFonts w:cs="Arial"/>
          <w:rtl/>
        </w:rPr>
        <w:t>כל</w:t>
      </w:r>
      <w:r>
        <w:rPr>
          <w:rFonts w:cs="Arial" w:hint="cs"/>
          <w:rtl/>
        </w:rPr>
        <w:t>'</w:t>
      </w:r>
      <w:r>
        <w:rPr>
          <w:rFonts w:cs="Arial"/>
          <w:rtl/>
        </w:rPr>
        <w:t xml:space="preserve"> איכא למימר דאתא לומר שכל הנשים חייבות לעשות מלאכה לבעליהן</w:t>
      </w:r>
      <w:r>
        <w:rPr>
          <w:rFonts w:cs="Arial" w:hint="cs"/>
          <w:rtl/>
        </w:rPr>
        <w:t>,</w:t>
      </w:r>
      <w:r>
        <w:rPr>
          <w:rFonts w:cs="Arial"/>
          <w:rtl/>
        </w:rPr>
        <w:t xml:space="preserve"> דאפילו האומרת איני נזונת ואיני עושה אינה נפטרת אלא מטויית צמר אבל בשאר חייבת היא.</w:t>
      </w:r>
    </w:p>
  </w:footnote>
  <w:footnote w:id="738">
    <w:p w14:paraId="1F105A34" w14:textId="711BA777" w:rsidR="00DE2F5F" w:rsidRDefault="00DE2F5F">
      <w:pPr>
        <w:pStyle w:val="a5"/>
      </w:pPr>
      <w:r>
        <w:rPr>
          <w:rStyle w:val="a7"/>
        </w:rPr>
        <w:footnoteRef/>
      </w:r>
      <w:r>
        <w:rPr>
          <w:rtl/>
        </w:rPr>
        <w:t xml:space="preserve"> </w:t>
      </w:r>
      <w:r w:rsidRPr="00061631">
        <w:rPr>
          <w:rFonts w:cs="Arial"/>
          <w:rtl/>
        </w:rPr>
        <w:t>אין הפירוש שמונע ממנה מזונו</w:t>
      </w:r>
      <w:r>
        <w:rPr>
          <w:rFonts w:cs="Arial" w:hint="cs"/>
          <w:rtl/>
        </w:rPr>
        <w:t>ת</w:t>
      </w:r>
      <w:r w:rsidRPr="00061631">
        <w:rPr>
          <w:rFonts w:cs="Arial"/>
          <w:rtl/>
        </w:rPr>
        <w:t xml:space="preserve"> וגם משמתין אותה דמאחר שאינו זנה הרי הרשות בידה לומר איני עושה (וע' מה שאכתוב בס"ק שאח"ז בשם הרשב"א אם אינה משמשות לו מלאכו' קטנות)</w:t>
      </w:r>
      <w:r>
        <w:rPr>
          <w:rFonts w:cs="Arial" w:hint="cs"/>
          <w:rtl/>
        </w:rPr>
        <w:t>,</w:t>
      </w:r>
      <w:r w:rsidRPr="00061631">
        <w:rPr>
          <w:rFonts w:cs="Arial"/>
          <w:rtl/>
        </w:rPr>
        <w:t xml:space="preserve"> אלא מיירי אם אינו רוצה למנוע ממנה מזונו' כגון שהיא מניקה או מטעם אחר הרשו</w:t>
      </w:r>
      <w:r>
        <w:rPr>
          <w:rFonts w:cs="Arial" w:hint="cs"/>
          <w:rtl/>
        </w:rPr>
        <w:t>ת</w:t>
      </w:r>
      <w:r w:rsidRPr="00061631">
        <w:rPr>
          <w:rFonts w:cs="Arial"/>
          <w:rtl/>
        </w:rPr>
        <w:t xml:space="preserve"> בידו לנדות אותה אבל מ"מ לא נקראת מורד</w:t>
      </w:r>
      <w:r>
        <w:rPr>
          <w:rFonts w:cs="Arial" w:hint="cs"/>
          <w:rtl/>
        </w:rPr>
        <w:t>ת</w:t>
      </w:r>
      <w:r w:rsidRPr="00061631">
        <w:rPr>
          <w:rFonts w:cs="Arial"/>
          <w:rtl/>
        </w:rPr>
        <w:t xml:space="preserve"> לפחות מכתובתה ולקונסה בקנס השנוי במורד דק</w:t>
      </w:r>
      <w:r>
        <w:rPr>
          <w:rFonts w:cs="Arial" w:hint="cs"/>
          <w:rtl/>
        </w:rPr>
        <w:t>יי</w:t>
      </w:r>
      <w:r w:rsidRPr="00061631">
        <w:rPr>
          <w:rFonts w:cs="Arial"/>
          <w:rtl/>
        </w:rPr>
        <w:t>"ל מורד</w:t>
      </w:r>
      <w:r>
        <w:rPr>
          <w:rFonts w:cs="Arial" w:hint="cs"/>
          <w:rtl/>
        </w:rPr>
        <w:t>ת</w:t>
      </w:r>
      <w:r w:rsidRPr="00061631">
        <w:rPr>
          <w:rFonts w:cs="Arial"/>
          <w:rtl/>
        </w:rPr>
        <w:t xml:space="preserve"> מתשמיש ולא ממלאכה (וכמו שנתב' לעיל סק"א בסי' ע"ז)</w:t>
      </w:r>
      <w:r>
        <w:rPr>
          <w:rFonts w:cs="Arial" w:hint="cs"/>
          <w:rtl/>
        </w:rPr>
        <w:t>, ח"מ (סקכ"ו).</w:t>
      </w:r>
    </w:p>
  </w:footnote>
  <w:footnote w:id="739">
    <w:p w14:paraId="5BE16935" w14:textId="525EBAFB" w:rsidR="00DE2F5F" w:rsidRDefault="00DE2F5F">
      <w:pPr>
        <w:pStyle w:val="a5"/>
      </w:pPr>
      <w:r>
        <w:rPr>
          <w:rStyle w:val="a7"/>
        </w:rPr>
        <w:footnoteRef/>
      </w:r>
      <w:r>
        <w:rPr>
          <w:rtl/>
        </w:rPr>
        <w:t xml:space="preserve"> </w:t>
      </w:r>
      <w:r>
        <w:rPr>
          <w:rFonts w:hint="cs"/>
          <w:rtl/>
        </w:rPr>
        <w:t>ו</w:t>
      </w:r>
      <w:r w:rsidRPr="00061631">
        <w:rPr>
          <w:rFonts w:cs="Arial"/>
          <w:rtl/>
        </w:rPr>
        <w:t>אין עושין לה שום כפי</w:t>
      </w:r>
      <w:r>
        <w:rPr>
          <w:rFonts w:cs="Arial" w:hint="cs"/>
          <w:rtl/>
        </w:rPr>
        <w:t>ה,</w:t>
      </w:r>
      <w:r w:rsidRPr="00061631">
        <w:rPr>
          <w:rFonts w:cs="Arial"/>
          <w:rtl/>
        </w:rPr>
        <w:t xml:space="preserve"> ואפי</w:t>
      </w:r>
      <w:r>
        <w:rPr>
          <w:rFonts w:cs="Arial" w:hint="cs"/>
          <w:rtl/>
        </w:rPr>
        <w:t>לו</w:t>
      </w:r>
      <w:r w:rsidRPr="00061631">
        <w:rPr>
          <w:rFonts w:cs="Arial"/>
          <w:rtl/>
        </w:rPr>
        <w:t xml:space="preserve"> אם היא מניקה אין בידו לעכב אותה</w:t>
      </w:r>
      <w:r>
        <w:rPr>
          <w:rFonts w:cs="Arial" w:hint="cs"/>
          <w:rtl/>
        </w:rPr>
        <w:t>.</w:t>
      </w:r>
      <w:r w:rsidRPr="00061631">
        <w:rPr>
          <w:rFonts w:cs="Arial"/>
          <w:rtl/>
        </w:rPr>
        <w:t xml:space="preserve"> ומניקה דמוסיפים לה מזונות כמ"ש בסמוך ואומר</w:t>
      </w:r>
      <w:r>
        <w:rPr>
          <w:rFonts w:cs="Arial" w:hint="cs"/>
          <w:rtl/>
        </w:rPr>
        <w:t>ת</w:t>
      </w:r>
      <w:r w:rsidRPr="00061631">
        <w:rPr>
          <w:rFonts w:cs="Arial"/>
          <w:rtl/>
        </w:rPr>
        <w:t xml:space="preserve"> איני ניזונית ואיני עושה נראה אותה הוספה בשביל הנקה ג"כ אין מוסיפים לה</w:t>
      </w:r>
      <w:r>
        <w:rPr>
          <w:rFonts w:cs="Arial" w:hint="cs"/>
          <w:rtl/>
        </w:rPr>
        <w:t>, ב"ש (סק"כ).</w:t>
      </w:r>
    </w:p>
  </w:footnote>
  <w:footnote w:id="740">
    <w:p w14:paraId="7321F938" w14:textId="13DD1D34" w:rsidR="00DE2F5F" w:rsidRDefault="00DE2F5F">
      <w:pPr>
        <w:pStyle w:val="a5"/>
      </w:pPr>
      <w:r>
        <w:rPr>
          <w:rStyle w:val="a7"/>
        </w:rPr>
        <w:footnoteRef/>
      </w:r>
      <w:r>
        <w:rPr>
          <w:rtl/>
        </w:rPr>
        <w:t xml:space="preserve"> </w:t>
      </w:r>
      <w:r w:rsidRPr="00274C11">
        <w:rPr>
          <w:rFonts w:cs="Arial"/>
          <w:rtl/>
        </w:rPr>
        <w:t>הר"ן ס"ל דצריכה לעשות כל צרכי הבית טוחנת ושאר מלאכות וחייבת להניק אלא דאינה עושה בצמר וכתב הרשב"א דמעכב מן הכתובה כנגד שכר מי שישמשנו באותן מלאכות או שוכר עליה ממקום אחר הא יתר מכאן לא עכ"ל</w:t>
      </w:r>
      <w:r>
        <w:rPr>
          <w:rFonts w:cs="Arial" w:hint="cs"/>
          <w:rtl/>
        </w:rPr>
        <w:t>.</w:t>
      </w:r>
      <w:r w:rsidRPr="00274C11">
        <w:rPr>
          <w:rFonts w:cs="Arial"/>
          <w:rtl/>
        </w:rPr>
        <w:t xml:space="preserve"> ותוספות והרא"ש כתבו כשאמרה איני ניזונות ואיני עושה פטורה מכל מלאכות ופטורה להניק אלא חייבת במזיגת הכוס והרחצת פניו והצעת המטה</w:t>
      </w:r>
      <w:r>
        <w:rPr>
          <w:rFonts w:cs="Arial" w:hint="cs"/>
          <w:rtl/>
        </w:rPr>
        <w:t>.</w:t>
      </w:r>
      <w:r w:rsidRPr="00274C11">
        <w:rPr>
          <w:rFonts w:cs="Arial"/>
          <w:rtl/>
        </w:rPr>
        <w:t xml:space="preserve"> וכבר כתבתי במקום פלוגתא היא פטורה</w:t>
      </w:r>
      <w:r>
        <w:rPr>
          <w:rFonts w:cs="Arial" w:hint="cs"/>
          <w:rtl/>
        </w:rPr>
        <w:t>.</w:t>
      </w:r>
      <w:r w:rsidRPr="00274C11">
        <w:rPr>
          <w:rFonts w:cs="Arial"/>
          <w:rtl/>
        </w:rPr>
        <w:t xml:space="preserve"> וי"ל לשיטות הר"ן אם אין לה לזון את עצמה יכול הבעל לכוף אותה שתעשה כדי מזונות של מניקה, גם נראה אלו ג' דברים של חיבה מזיגת הכוס וכו' אין כופין אותה בכפיות דהא תוס' כתבו אלו ג' דברים חייבת לעשות ומ"מ כתבו אף למ"ד דס"ל מורד' ממלאכה הוי מורדת לא קאמר אלא מה שמפורש במתני' אבל אם היא מורדת מאלו ג' מלאכות לאו מורדת היא כן י"ל לענין כפי' נמי אין כופין אותה אף על גב דיש לדחות את זאת מ"מ עיקר הוא דאין כופין אותה בכפיות דהא כבר כתבתי בשם רש"י דס"ל דאינו אלא עצה טובה שתעשה אלו ג' מלאכות וכן ס"ל הטור</w:t>
      </w:r>
      <w:r>
        <w:rPr>
          <w:rFonts w:cs="Arial" w:hint="cs"/>
          <w:rtl/>
        </w:rPr>
        <w:t>, ב"ש (סקכ"א).</w:t>
      </w:r>
      <w:r w:rsidRPr="00274C11">
        <w:rPr>
          <w:rtl/>
        </w:rPr>
        <w:t xml:space="preserve"> </w:t>
      </w:r>
      <w:r>
        <w:rPr>
          <w:rFonts w:hint="cs"/>
          <w:rtl/>
        </w:rPr>
        <w:t>וכ"כ הבאה"ט (סק"כ). והח"מ (סקכ"ז) ד</w:t>
      </w:r>
      <w:r w:rsidRPr="00AF25B1">
        <w:rPr>
          <w:rFonts w:cs="Arial"/>
          <w:rtl/>
        </w:rPr>
        <w:t>מלשון הרב כאן שכ' צריכה לעשו' צרכי הבית משמע שדעתו כדעת המפרשים שהבי' המ"מ שחייבת בכל צרכי הבית וכן פסק לעיל סוף ס"ע ולא ידעתי למה השמיט דעת התוס' שהוא להקל על האשה דיכולה לומר קים לי כהתוס'</w:t>
      </w:r>
      <w:r>
        <w:rPr>
          <w:rFonts w:hint="cs"/>
          <w:rtl/>
        </w:rPr>
        <w:t>.</w:t>
      </w:r>
    </w:p>
  </w:footnote>
  <w:footnote w:id="741">
    <w:p w14:paraId="2BD8C13B" w14:textId="6A27F34B" w:rsidR="00DE2F5F" w:rsidRDefault="00DE2F5F">
      <w:pPr>
        <w:pStyle w:val="a5"/>
      </w:pPr>
      <w:r>
        <w:rPr>
          <w:rStyle w:val="a7"/>
        </w:rPr>
        <w:footnoteRef/>
      </w:r>
      <w:r>
        <w:rPr>
          <w:rtl/>
        </w:rPr>
        <w:t xml:space="preserve"> </w:t>
      </w:r>
      <w:r w:rsidRPr="00080682">
        <w:rPr>
          <w:rFonts w:cs="Arial"/>
          <w:rtl/>
        </w:rPr>
        <w:t>ולא תקנו שהיא תשבע היסת על טענתו דא"כ בכל עת ובכל שעה יהיה עסק שבועה ואין שלום בבית וע"כ האמינו לאשה היושבת ביניהם אף על גב דאשה פסולה לשאר עדיות</w:t>
      </w:r>
      <w:r>
        <w:rPr>
          <w:rFonts w:cs="Arial" w:hint="cs"/>
          <w:rtl/>
        </w:rPr>
        <w:t>,</w:t>
      </w:r>
      <w:r w:rsidRPr="00080682">
        <w:rPr>
          <w:rFonts w:cs="Arial"/>
          <w:rtl/>
        </w:rPr>
        <w:t xml:space="preserve"> ח"מ</w:t>
      </w:r>
      <w:r>
        <w:rPr>
          <w:rFonts w:cs="Arial" w:hint="cs"/>
          <w:rtl/>
        </w:rPr>
        <w:t xml:space="preserve"> (סקכ"ח). והעתיקו הב"ש (סקכ"ב).</w:t>
      </w:r>
    </w:p>
  </w:footnote>
  <w:footnote w:id="742">
    <w:p w14:paraId="11367468" w14:textId="2DFFDCD7" w:rsidR="00DE2F5F" w:rsidRDefault="00DE2F5F">
      <w:pPr>
        <w:pStyle w:val="a5"/>
      </w:pPr>
      <w:r>
        <w:rPr>
          <w:rStyle w:val="a7"/>
        </w:rPr>
        <w:footnoteRef/>
      </w:r>
      <w:r>
        <w:rPr>
          <w:rtl/>
        </w:rPr>
        <w:t xml:space="preserve"> </w:t>
      </w:r>
      <w:r>
        <w:rPr>
          <w:rFonts w:cs="Arial"/>
          <w:rtl/>
        </w:rPr>
        <w:t>והראב"ד כתב לא מן השם הוא זה אלא מפני שהיא פשיעה בבעלים שהוא שכור לה בכל שעה</w:t>
      </w:r>
      <w:r>
        <w:rPr>
          <w:rFonts w:cs="Arial" w:hint="cs"/>
          <w:rtl/>
        </w:rPr>
        <w:t>.</w:t>
      </w:r>
      <w:r>
        <w:rPr>
          <w:rFonts w:cs="Arial"/>
          <w:rtl/>
        </w:rPr>
        <w:t xml:space="preserve"> והרב המגיד דחה טעמו של הראב"ד לפי שהאיש אינו שכור עם האשה אלא בשעה שמתעסק בצרכיה</w:t>
      </w:r>
      <w:r>
        <w:rPr>
          <w:rFonts w:cs="Arial" w:hint="cs"/>
          <w:rtl/>
        </w:rPr>
        <w:t>,</w:t>
      </w:r>
      <w:r>
        <w:rPr>
          <w:rFonts w:cs="Arial"/>
          <w:rtl/>
        </w:rPr>
        <w:t xml:space="preserve"> וכתב שהרשב"א (ב"מ צו: ד"ה הא) הסכים לדברי הרמב"ם ושכן מבואר בירושלמי פרק הכותב (כתובות פ"ט ה"ד)</w:t>
      </w:r>
      <w:r>
        <w:rPr>
          <w:rFonts w:cs="Arial" w:hint="cs"/>
          <w:rtl/>
        </w:rPr>
        <w:t>, ב"י.</w:t>
      </w:r>
    </w:p>
  </w:footnote>
  <w:footnote w:id="743">
    <w:p w14:paraId="1D87B4C7" w14:textId="62F7D9DD" w:rsidR="00DE2F5F" w:rsidRDefault="00DE2F5F">
      <w:pPr>
        <w:pStyle w:val="a5"/>
        <w:rPr>
          <w:rtl/>
        </w:rPr>
      </w:pPr>
      <w:r>
        <w:rPr>
          <w:rStyle w:val="a7"/>
        </w:rPr>
        <w:footnoteRef/>
      </w:r>
      <w:r>
        <w:rPr>
          <w:rtl/>
        </w:rPr>
        <w:t xml:space="preserve"> </w:t>
      </w:r>
      <w:r>
        <w:rPr>
          <w:rFonts w:cs="Arial"/>
          <w:rtl/>
        </w:rPr>
        <w:t>מ"ש ואסור ליקח שום דבר מידו לידה וכו'. כך כתבו התוספות והרא"ש בפרק אף על פי (תוס' סא. ד"ה מחלפא, רא"ש סי' כד) בשם רש"י וכבר נתבאר כל זה בטור יורה דעה סימן קצ"ה</w:t>
      </w:r>
      <w:r>
        <w:rPr>
          <w:rFonts w:cs="Arial" w:hint="cs"/>
          <w:rtl/>
        </w:rPr>
        <w:t>, ב"י.</w:t>
      </w:r>
    </w:p>
  </w:footnote>
  <w:footnote w:id="744">
    <w:p w14:paraId="3DDC6639" w14:textId="4F14289A" w:rsidR="00DE2F5F" w:rsidRDefault="00DE2F5F">
      <w:pPr>
        <w:pStyle w:val="a5"/>
      </w:pPr>
      <w:r>
        <w:rPr>
          <w:rStyle w:val="a7"/>
        </w:rPr>
        <w:footnoteRef/>
      </w:r>
      <w:r>
        <w:rPr>
          <w:rtl/>
        </w:rPr>
        <w:t xml:space="preserve"> </w:t>
      </w:r>
      <w:r w:rsidRPr="00634AE3">
        <w:rPr>
          <w:rFonts w:cs="Arial"/>
          <w:rtl/>
        </w:rPr>
        <w:t>משמע קצת שאם שברה שלא בשעת מלאכה חייבת</w:t>
      </w:r>
      <w:r>
        <w:rPr>
          <w:rFonts w:cs="Arial" w:hint="cs"/>
          <w:rtl/>
        </w:rPr>
        <w:t>,</w:t>
      </w:r>
      <w:r w:rsidRPr="00634AE3">
        <w:rPr>
          <w:rFonts w:cs="Arial"/>
          <w:rtl/>
        </w:rPr>
        <w:t xml:space="preserve"> אבל ל' הירושל' שהביא המ"מ בפכ"א מה"א ה"ו סתם האשה ששברה כלים בתוך הבית פטורה משמע אפילו שלא בשעת מלאכה</w:t>
      </w:r>
      <w:r>
        <w:rPr>
          <w:rFonts w:cs="Arial" w:hint="cs"/>
          <w:rtl/>
        </w:rPr>
        <w:t>, ח"מ (סקכ"ט).</w:t>
      </w:r>
      <w:r>
        <w:rPr>
          <w:rFonts w:hint="cs"/>
          <w:rtl/>
        </w:rPr>
        <w:t xml:space="preserve"> וכ"כ ב"ש (סקכ"ג). וכן החליט הבאה"ט (סקכ"א).</w:t>
      </w:r>
    </w:p>
  </w:footnote>
  <w:footnote w:id="745">
    <w:p w14:paraId="7D8A2697" w14:textId="71C4A5EF" w:rsidR="00DE2F5F" w:rsidRDefault="00DE2F5F" w:rsidP="00576485">
      <w:pPr>
        <w:pStyle w:val="a5"/>
      </w:pPr>
      <w:r>
        <w:rPr>
          <w:rStyle w:val="a7"/>
        </w:rPr>
        <w:footnoteRef/>
      </w:r>
      <w:r>
        <w:rPr>
          <w:rtl/>
        </w:rPr>
        <w:t xml:space="preserve"> </w:t>
      </w:r>
      <w:r>
        <w:rPr>
          <w:rFonts w:cs="Arial"/>
          <w:rtl/>
        </w:rPr>
        <w:t>וכתב הר"ן בסוף פירקין (כח: ד"ה מתני') דלאו למימרא שיכול הבעל לומר איני נותן מעה ויהא המותר שלה דהא קיי"ל (נח:) יכולה אשה שתאמר איני נזונת ואיני עושה ובודאי שיכולה ג"כ לומר איני נוטלת מעה כסף ואיני נותנת מותר</w:t>
      </w:r>
      <w:r>
        <w:rPr>
          <w:rFonts w:cs="Arial" w:hint="cs"/>
          <w:rtl/>
        </w:rPr>
        <w:t>,</w:t>
      </w:r>
      <w:r>
        <w:rPr>
          <w:rFonts w:cs="Arial"/>
          <w:rtl/>
        </w:rPr>
        <w:t xml:space="preserve"> דאי הוא נמי יכול לומר איני נותן מעה כסף מה הועילו חכמים בתקנתם הרי כל אחד מהם יכול לעכב</w:t>
      </w:r>
      <w:r>
        <w:rPr>
          <w:rFonts w:cs="Arial" w:hint="cs"/>
          <w:rtl/>
        </w:rPr>
        <w:t>.</w:t>
      </w:r>
      <w:r>
        <w:rPr>
          <w:rFonts w:cs="Arial"/>
          <w:rtl/>
        </w:rPr>
        <w:t xml:space="preserve"> אלא ודאי הכי קאמר שאם שתקה היא ולא תבעה מעה כסף לצרכיה ועשתה מותר </w:t>
      </w:r>
      <w:r>
        <w:rPr>
          <w:rFonts w:cs="Arial" w:hint="cs"/>
          <w:rtl/>
        </w:rPr>
        <w:t xml:space="preserve">- </w:t>
      </w:r>
      <w:r>
        <w:rPr>
          <w:rFonts w:cs="Arial"/>
          <w:rtl/>
        </w:rPr>
        <w:t>הרי הוא לעצמה ואין הבעל יכול לומר ויתרה</w:t>
      </w:r>
      <w:r>
        <w:rPr>
          <w:rFonts w:cs="Arial" w:hint="cs"/>
          <w:rtl/>
        </w:rPr>
        <w:t>.</w:t>
      </w:r>
      <w:r>
        <w:rPr>
          <w:rFonts w:cs="Arial"/>
          <w:rtl/>
        </w:rPr>
        <w:t xml:space="preserve"> וכתב הרמב"ן ז"ל (סד: ד"ה הא) דהוא הדין למזונות ולמעשה ידיה אלא רבותא קמ"ל שאפילו במעה כסף שאינה צריכה לו כל כך לא אמרינן ויתרה עכ"ל</w:t>
      </w:r>
      <w:r>
        <w:rPr>
          <w:rFonts w:cs="Arial" w:hint="cs"/>
          <w:rtl/>
        </w:rPr>
        <w:t>, ב"י (בסי' ע).</w:t>
      </w:r>
    </w:p>
  </w:footnote>
  <w:footnote w:id="746">
    <w:p w14:paraId="579E78B1" w14:textId="602B38EC" w:rsidR="00DE2F5F" w:rsidRDefault="00DE2F5F">
      <w:pPr>
        <w:pStyle w:val="a5"/>
        <w:rPr>
          <w:rtl/>
        </w:rPr>
      </w:pPr>
      <w:r>
        <w:rPr>
          <w:rStyle w:val="a7"/>
        </w:rPr>
        <w:footnoteRef/>
      </w:r>
      <w:r>
        <w:rPr>
          <w:rtl/>
        </w:rPr>
        <w:t xml:space="preserve"> </w:t>
      </w:r>
      <w:r w:rsidRPr="00F04A75">
        <w:rPr>
          <w:rFonts w:cs="Arial"/>
          <w:rtl/>
        </w:rPr>
        <w:t>ראיה לדבר הפוסק לזון בת אשתו אין מעשה ידי הבת שלו כדאי' בגמ' ובתוספת' וע' בריב"ש סי' ת"פ</w:t>
      </w:r>
      <w:r>
        <w:rPr>
          <w:rFonts w:hint="cs"/>
          <w:rtl/>
        </w:rPr>
        <w:t>, ח"מ (סק"ל).</w:t>
      </w:r>
      <w:r w:rsidRPr="00F04A75">
        <w:rPr>
          <w:rtl/>
        </w:rPr>
        <w:t xml:space="preserve"> </w:t>
      </w:r>
      <w:r w:rsidRPr="00F04A75">
        <w:rPr>
          <w:rFonts w:cs="Arial"/>
          <w:rtl/>
        </w:rPr>
        <w:t>וכן הדין אם פוסק לזון יתום כמ"ש בח"ה סי' ע"ר דאין מ"י תחת מזונות אלא מי שאוכל מצד תקנות חז"ל ריב"ש</w:t>
      </w:r>
      <w:r>
        <w:rPr>
          <w:rFonts w:cs="Arial" w:hint="cs"/>
          <w:rtl/>
        </w:rPr>
        <w:t>, ב"ש (סקכ"ד).</w:t>
      </w:r>
    </w:p>
  </w:footnote>
  <w:footnote w:id="747">
    <w:p w14:paraId="21266781" w14:textId="11219309" w:rsidR="00DE2F5F" w:rsidRDefault="00DE2F5F">
      <w:pPr>
        <w:pStyle w:val="a5"/>
      </w:pPr>
      <w:r>
        <w:rPr>
          <w:rStyle w:val="a7"/>
        </w:rPr>
        <w:footnoteRef/>
      </w:r>
      <w:r>
        <w:rPr>
          <w:rtl/>
        </w:rPr>
        <w:t xml:space="preserve"> </w:t>
      </w:r>
      <w:r w:rsidRPr="00E73D09">
        <w:rPr>
          <w:rFonts w:cs="Arial"/>
          <w:rtl/>
        </w:rPr>
        <w:t>עיין סי' ע' שם מבואר אם מכרה נ"מ שלה בשביל המזונות א"צ הוא לשלם לה</w:t>
      </w:r>
      <w:r>
        <w:rPr>
          <w:rFonts w:cs="Arial" w:hint="cs"/>
          <w:rtl/>
        </w:rPr>
        <w:t>, ב"ש (סקכ"ה).</w:t>
      </w:r>
    </w:p>
  </w:footnote>
  <w:footnote w:id="748">
    <w:p w14:paraId="353F62EA" w14:textId="313F286E" w:rsidR="00DE2F5F" w:rsidRDefault="00DE2F5F">
      <w:pPr>
        <w:pStyle w:val="a5"/>
      </w:pPr>
      <w:r>
        <w:rPr>
          <w:rStyle w:val="a7"/>
        </w:rPr>
        <w:footnoteRef/>
      </w:r>
      <w:r>
        <w:rPr>
          <w:rtl/>
        </w:rPr>
        <w:t xml:space="preserve"> </w:t>
      </w:r>
      <w:r w:rsidRPr="00410ECD">
        <w:rPr>
          <w:rFonts w:cs="Arial"/>
          <w:rtl/>
        </w:rPr>
        <w:t>במתני' (סד:) מפרש מה היא עושה לו משקל חמש סלעים כו'</w:t>
      </w:r>
      <w:r>
        <w:rPr>
          <w:rFonts w:cs="Arial" w:hint="cs"/>
          <w:rtl/>
        </w:rPr>
        <w:t>, רש"י.</w:t>
      </w:r>
    </w:p>
  </w:footnote>
  <w:footnote w:id="749">
    <w:p w14:paraId="7278D42D" w14:textId="54E3E794" w:rsidR="00DE2F5F" w:rsidRDefault="00DE2F5F">
      <w:pPr>
        <w:pStyle w:val="a5"/>
      </w:pPr>
      <w:r>
        <w:rPr>
          <w:rStyle w:val="a7"/>
        </w:rPr>
        <w:footnoteRef/>
      </w:r>
      <w:r>
        <w:rPr>
          <w:rtl/>
        </w:rPr>
        <w:t xml:space="preserve"> </w:t>
      </w:r>
      <w:r w:rsidRPr="00410ECD">
        <w:rPr>
          <w:rFonts w:cs="Arial"/>
          <w:rtl/>
        </w:rPr>
        <w:t>אין מעשה ידיה קדוש על פיו ובגמרא מפרש לה</w:t>
      </w:r>
      <w:r>
        <w:rPr>
          <w:rFonts w:cs="Arial" w:hint="cs"/>
          <w:rtl/>
        </w:rPr>
        <w:t>, רש"י.</w:t>
      </w:r>
    </w:p>
  </w:footnote>
  <w:footnote w:id="750">
    <w:p w14:paraId="6DCCFA2C" w14:textId="4F84FE75" w:rsidR="00DE2F5F" w:rsidRDefault="00DE2F5F">
      <w:pPr>
        <w:pStyle w:val="a5"/>
      </w:pPr>
      <w:r>
        <w:rPr>
          <w:rStyle w:val="a7"/>
        </w:rPr>
        <w:footnoteRef/>
      </w:r>
      <w:r>
        <w:rPr>
          <w:rtl/>
        </w:rPr>
        <w:t xml:space="preserve"> </w:t>
      </w:r>
      <w:r w:rsidRPr="00410ECD">
        <w:rPr>
          <w:rFonts w:cs="Arial"/>
          <w:rtl/>
        </w:rPr>
        <w:t>הקדיש את מותר מעשה ידי אשתו מה שהיא עושה לו יותר על הראוי שפסקו חכמים</w:t>
      </w:r>
      <w:r>
        <w:rPr>
          <w:rFonts w:cs="Arial" w:hint="cs"/>
          <w:rtl/>
        </w:rPr>
        <w:t>,</w:t>
      </w:r>
      <w:r w:rsidRPr="00410ECD">
        <w:rPr>
          <w:rFonts w:cs="Arial"/>
          <w:rtl/>
        </w:rPr>
        <w:t xml:space="preserve"> ולא הקדיש מעשה ידיה עצמן</w:t>
      </w:r>
      <w:r>
        <w:rPr>
          <w:rFonts w:cs="Arial" w:hint="cs"/>
          <w:rtl/>
        </w:rPr>
        <w:t>,</w:t>
      </w:r>
      <w:r w:rsidRPr="00410ECD">
        <w:rPr>
          <w:rFonts w:cs="Arial"/>
          <w:rtl/>
        </w:rPr>
        <w:t xml:space="preserve"> והמותר קנוי לו במעה כסף שתקנו לה חכמים שיתן לה בכל שבת מעה כסף לצורכיה לבד המזונות כדתנן במתניתין</w:t>
      </w:r>
      <w:r>
        <w:rPr>
          <w:rFonts w:cs="Arial" w:hint="cs"/>
          <w:rtl/>
        </w:rPr>
        <w:t>, רש"י.</w:t>
      </w:r>
    </w:p>
  </w:footnote>
  <w:footnote w:id="751">
    <w:p w14:paraId="0FA4F012" w14:textId="77777777" w:rsidR="00DE2F5F" w:rsidRDefault="00DE2F5F" w:rsidP="002200E5">
      <w:pPr>
        <w:pStyle w:val="a5"/>
      </w:pPr>
      <w:r>
        <w:rPr>
          <w:rStyle w:val="a7"/>
        </w:rPr>
        <w:footnoteRef/>
      </w:r>
      <w:r>
        <w:rPr>
          <w:rtl/>
        </w:rPr>
        <w:t xml:space="preserve"> </w:t>
      </w:r>
      <w:r>
        <w:rPr>
          <w:rFonts w:cs="Arial"/>
          <w:rtl/>
        </w:rPr>
        <w:t>משום דקסבר אין אדם מקדיש דבר שלא בא לעולם</w:t>
      </w:r>
      <w:r>
        <w:rPr>
          <w:rFonts w:cs="Arial" w:hint="cs"/>
          <w:rtl/>
        </w:rPr>
        <w:t>, ב"י.</w:t>
      </w:r>
    </w:p>
  </w:footnote>
  <w:footnote w:id="752">
    <w:p w14:paraId="017D0D0D" w14:textId="5045A97D" w:rsidR="00DE2F5F" w:rsidRDefault="00DE2F5F">
      <w:pPr>
        <w:pStyle w:val="a5"/>
      </w:pPr>
      <w:r>
        <w:rPr>
          <w:rStyle w:val="a7"/>
        </w:rPr>
        <w:footnoteRef/>
      </w:r>
      <w:r>
        <w:rPr>
          <w:rtl/>
        </w:rPr>
        <w:t xml:space="preserve"> </w:t>
      </w:r>
      <w:r w:rsidRPr="00003C37">
        <w:rPr>
          <w:rFonts w:cs="Arial"/>
          <w:rtl/>
        </w:rPr>
        <w:t>מה שאני עושה יהיה קונם לפיך יהי עליך כהקדש מליהנות לו</w:t>
      </w:r>
      <w:r>
        <w:rPr>
          <w:rFonts w:cs="Arial" w:hint="cs"/>
          <w:rtl/>
        </w:rPr>
        <w:t>, רש"י.</w:t>
      </w:r>
    </w:p>
  </w:footnote>
  <w:footnote w:id="753">
    <w:p w14:paraId="32B988B0" w14:textId="48350FB9" w:rsidR="00DE2F5F" w:rsidRDefault="00DE2F5F">
      <w:pPr>
        <w:pStyle w:val="a5"/>
      </w:pPr>
      <w:r>
        <w:rPr>
          <w:rStyle w:val="a7"/>
        </w:rPr>
        <w:footnoteRef/>
      </w:r>
      <w:r>
        <w:rPr>
          <w:rtl/>
        </w:rPr>
        <w:t xml:space="preserve"> </w:t>
      </w:r>
      <w:r w:rsidRPr="00003C37">
        <w:rPr>
          <w:rFonts w:cs="Arial"/>
          <w:rtl/>
        </w:rPr>
        <w:t>נדר זה שאין בה כח להקדישו לפי שהוא שלו</w:t>
      </w:r>
      <w:r>
        <w:rPr>
          <w:rFonts w:cs="Arial" w:hint="cs"/>
          <w:rtl/>
        </w:rPr>
        <w:t>, רש"י.</w:t>
      </w:r>
    </w:p>
  </w:footnote>
  <w:footnote w:id="754">
    <w:p w14:paraId="0D3A2D75" w14:textId="2FD3FF6F" w:rsidR="00DE2F5F" w:rsidRDefault="00DE2F5F">
      <w:pPr>
        <w:pStyle w:val="a5"/>
        <w:rPr>
          <w:rtl/>
        </w:rPr>
      </w:pPr>
      <w:r>
        <w:rPr>
          <w:rStyle w:val="a7"/>
        </w:rPr>
        <w:footnoteRef/>
      </w:r>
      <w:r>
        <w:rPr>
          <w:rtl/>
        </w:rPr>
        <w:t xml:space="preserve"> </w:t>
      </w:r>
      <w:r w:rsidRPr="00003C37">
        <w:rPr>
          <w:rFonts w:cs="Arial"/>
          <w:rtl/>
        </w:rPr>
        <w:t>יותר ממה שפסקו לה חכמים משקל חמש סלעים דמותר זה אינו שלו ויכולה להקדישו</w:t>
      </w:r>
      <w:r>
        <w:rPr>
          <w:rFonts w:hint="cs"/>
          <w:rtl/>
        </w:rPr>
        <w:t>, רש"י.</w:t>
      </w:r>
    </w:p>
  </w:footnote>
  <w:footnote w:id="755">
    <w:p w14:paraId="60955E87" w14:textId="306D9D06" w:rsidR="00DE2F5F" w:rsidRDefault="00DE2F5F">
      <w:pPr>
        <w:pStyle w:val="a5"/>
        <w:rPr>
          <w:rtl/>
        </w:rPr>
      </w:pPr>
      <w:r>
        <w:rPr>
          <w:rStyle w:val="a7"/>
        </w:rPr>
        <w:footnoteRef/>
      </w:r>
      <w:r>
        <w:rPr>
          <w:rtl/>
        </w:rPr>
        <w:t xml:space="preserve"> </w:t>
      </w:r>
      <w:r w:rsidRPr="002200E5">
        <w:rPr>
          <w:rFonts w:cs="Arial"/>
          <w:rtl/>
        </w:rPr>
        <w:t>אף עיקר מעשה ידיה צריך הפרה</w:t>
      </w:r>
      <w:r>
        <w:rPr>
          <w:rFonts w:hint="cs"/>
          <w:rtl/>
        </w:rPr>
        <w:t>, רש"י.</w:t>
      </w:r>
    </w:p>
  </w:footnote>
  <w:footnote w:id="756">
    <w:p w14:paraId="0D6C0EAD" w14:textId="3030C0FD" w:rsidR="00DE2F5F" w:rsidRDefault="00DE2F5F">
      <w:pPr>
        <w:pStyle w:val="a5"/>
      </w:pPr>
      <w:r>
        <w:rPr>
          <w:rStyle w:val="a7"/>
        </w:rPr>
        <w:footnoteRef/>
      </w:r>
      <w:r>
        <w:rPr>
          <w:rtl/>
        </w:rPr>
        <w:t xml:space="preserve"> </w:t>
      </w:r>
      <w:r w:rsidRPr="002200E5">
        <w:rPr>
          <w:rFonts w:cs="Arial"/>
          <w:rtl/>
        </w:rPr>
        <w:t>ויהא הנדר חל שמשגרשה אינה משועבדת לו למעשה ידיה</w:t>
      </w:r>
      <w:r>
        <w:rPr>
          <w:rFonts w:cs="Arial" w:hint="cs"/>
          <w:rtl/>
        </w:rPr>
        <w:t>, רש"י.</w:t>
      </w:r>
    </w:p>
  </w:footnote>
  <w:footnote w:id="757">
    <w:p w14:paraId="150702CD" w14:textId="124FC5BE" w:rsidR="00DE2F5F" w:rsidRDefault="00DE2F5F">
      <w:pPr>
        <w:pStyle w:val="a5"/>
      </w:pPr>
      <w:r>
        <w:rPr>
          <w:rStyle w:val="a7"/>
        </w:rPr>
        <w:footnoteRef/>
      </w:r>
      <w:r>
        <w:rPr>
          <w:rtl/>
        </w:rPr>
        <w:t xml:space="preserve"> </w:t>
      </w:r>
      <w:r w:rsidRPr="002200E5">
        <w:rPr>
          <w:rFonts w:cs="Arial"/>
          <w:rtl/>
        </w:rPr>
        <w:t>לפי שנאסר מעשה ידיה עליו ואי אפשר לו ליזהר שלא תטחון ולא תאפה וכל שאר מלאכות השנויות במשנתנו שהאשה עושה לבעלה</w:t>
      </w:r>
      <w:r>
        <w:rPr>
          <w:rFonts w:cs="Arial" w:hint="cs"/>
          <w:rtl/>
        </w:rPr>
        <w:t>, רש"י.</w:t>
      </w:r>
    </w:p>
  </w:footnote>
  <w:footnote w:id="758">
    <w:p w14:paraId="593360B1" w14:textId="7A65B209" w:rsidR="00DE2F5F" w:rsidRDefault="00DE2F5F">
      <w:pPr>
        <w:pStyle w:val="a5"/>
      </w:pPr>
      <w:r>
        <w:rPr>
          <w:rStyle w:val="a7"/>
        </w:rPr>
        <w:footnoteRef/>
      </w:r>
      <w:r>
        <w:rPr>
          <w:rtl/>
        </w:rPr>
        <w:t xml:space="preserve"> </w:t>
      </w:r>
      <w:r w:rsidRPr="002200E5">
        <w:rPr>
          <w:rFonts w:cs="Arial"/>
          <w:rtl/>
        </w:rPr>
        <w:t>אלמא לכשיגרשנה חל הנדר אלמא אדם מקדיש דבר שלא בא לעולם שעדיין לא גירשה</w:t>
      </w:r>
      <w:r>
        <w:rPr>
          <w:rFonts w:cs="Arial" w:hint="cs"/>
          <w:rtl/>
        </w:rPr>
        <w:t>, רש"י.</w:t>
      </w:r>
    </w:p>
  </w:footnote>
  <w:footnote w:id="759">
    <w:p w14:paraId="3D1DF1E5" w14:textId="7B3F7134" w:rsidR="00DE2F5F" w:rsidRDefault="00DE2F5F">
      <w:pPr>
        <w:pStyle w:val="a5"/>
      </w:pPr>
      <w:r>
        <w:rPr>
          <w:rStyle w:val="a7"/>
        </w:rPr>
        <w:footnoteRef/>
      </w:r>
      <w:r>
        <w:rPr>
          <w:rtl/>
        </w:rPr>
        <w:t xml:space="preserve"> </w:t>
      </w:r>
      <w:r w:rsidRPr="009046A7">
        <w:rPr>
          <w:rFonts w:cs="Arial"/>
          <w:rtl/>
        </w:rPr>
        <w:t>כלומר תירצת לא בא לעולם דמלאכה</w:t>
      </w:r>
      <w:r>
        <w:rPr>
          <w:rFonts w:cs="Arial" w:hint="cs"/>
          <w:rtl/>
        </w:rPr>
        <w:t>,</w:t>
      </w:r>
      <w:r w:rsidRPr="009046A7">
        <w:rPr>
          <w:rFonts w:cs="Arial"/>
          <w:rtl/>
        </w:rPr>
        <w:t xml:space="preserve"> לא בא לעולם דגירושין </w:t>
      </w:r>
      <w:r>
        <w:rPr>
          <w:rFonts w:cs="Arial" w:hint="cs"/>
          <w:rtl/>
        </w:rPr>
        <w:t xml:space="preserve">- </w:t>
      </w:r>
      <w:r w:rsidRPr="009046A7">
        <w:rPr>
          <w:rFonts w:cs="Arial"/>
          <w:rtl/>
        </w:rPr>
        <w:t>לא תירצת</w:t>
      </w:r>
      <w:r>
        <w:rPr>
          <w:rFonts w:cs="Arial" w:hint="cs"/>
          <w:rtl/>
        </w:rPr>
        <w:t>,</w:t>
      </w:r>
      <w:r w:rsidRPr="009046A7">
        <w:rPr>
          <w:rFonts w:cs="Arial"/>
          <w:rtl/>
        </w:rPr>
        <w:t xml:space="preserve"> דאילו השתא לית לה רשותא לאקדושיה והיכי קדיש לקמיה</w:t>
      </w:r>
      <w:r>
        <w:rPr>
          <w:rFonts w:cs="Arial" w:hint="cs"/>
          <w:rtl/>
        </w:rPr>
        <w:t>, רש"י.</w:t>
      </w:r>
    </w:p>
  </w:footnote>
  <w:footnote w:id="760">
    <w:p w14:paraId="6EB86806" w14:textId="61FB031D" w:rsidR="00DE2F5F" w:rsidRDefault="00DE2F5F">
      <w:pPr>
        <w:pStyle w:val="a5"/>
      </w:pPr>
      <w:r>
        <w:rPr>
          <w:rStyle w:val="a7"/>
        </w:rPr>
        <w:footnoteRef/>
      </w:r>
      <w:r>
        <w:rPr>
          <w:rtl/>
        </w:rPr>
        <w:t xml:space="preserve"> </w:t>
      </w:r>
      <w:r w:rsidRPr="009046A7">
        <w:rPr>
          <w:rFonts w:cs="Arial"/>
          <w:rtl/>
        </w:rPr>
        <w:t>כלומר תירצת לא בא לעולם דמלאכה לא בא לעולם דגירושין לא תירצת דאילו השתא לית לה רשותא לאקדושיה והיכי קדיש לקמיה</w:t>
      </w:r>
      <w:r>
        <w:rPr>
          <w:rFonts w:cs="Arial" w:hint="cs"/>
          <w:rtl/>
        </w:rPr>
        <w:t>, רש"י.</w:t>
      </w:r>
    </w:p>
  </w:footnote>
  <w:footnote w:id="761">
    <w:p w14:paraId="7F179FBC" w14:textId="7F51CE67" w:rsidR="00DE2F5F" w:rsidRDefault="00DE2F5F">
      <w:pPr>
        <w:pStyle w:val="a5"/>
      </w:pPr>
      <w:r>
        <w:rPr>
          <w:rStyle w:val="a7"/>
        </w:rPr>
        <w:footnoteRef/>
      </w:r>
      <w:r>
        <w:rPr>
          <w:rtl/>
        </w:rPr>
        <w:t xml:space="preserve"> </w:t>
      </w:r>
      <w:r w:rsidRPr="009046A7">
        <w:rPr>
          <w:rFonts w:cs="Arial"/>
          <w:rtl/>
        </w:rPr>
        <w:t xml:space="preserve">כגון ששיעבד שורו לבעל חוב וחזר והקדישו מפקיע שעבוד המלוה וגובה חובו ממקום אחר וזה כשר לקרבן ואינו גזול דלא הוה קני ליה אלא לגוביינא בעלמא ודוקא קדושת הגוף אבל קדושת דמים דבדק הבית לא מפקיע שעבוד כדתנן בערכין </w:t>
      </w:r>
      <w:r>
        <w:rPr>
          <w:rFonts w:cs="Arial" w:hint="cs"/>
          <w:rtl/>
        </w:rPr>
        <w:t>(</w:t>
      </w:r>
      <w:r w:rsidRPr="009046A7">
        <w:rPr>
          <w:rFonts w:cs="Arial"/>
          <w:rtl/>
        </w:rPr>
        <w:t>כג:) מוסיף עוד דינר ופודה את הנכסים הללו כו'</w:t>
      </w:r>
      <w:r>
        <w:rPr>
          <w:rFonts w:cs="Arial" w:hint="cs"/>
          <w:rtl/>
        </w:rPr>
        <w:t>, רש"י.</w:t>
      </w:r>
    </w:p>
  </w:footnote>
  <w:footnote w:id="762">
    <w:p w14:paraId="0F3F066F" w14:textId="1CB12D79" w:rsidR="00DE2F5F" w:rsidRDefault="00DE2F5F">
      <w:pPr>
        <w:pStyle w:val="a5"/>
      </w:pPr>
      <w:r>
        <w:rPr>
          <w:rStyle w:val="a7"/>
        </w:rPr>
        <w:footnoteRef/>
      </w:r>
      <w:r>
        <w:rPr>
          <w:rtl/>
        </w:rPr>
        <w:t xml:space="preserve"> </w:t>
      </w:r>
      <w:r w:rsidRPr="009046A7">
        <w:rPr>
          <w:rFonts w:cs="Arial"/>
          <w:rtl/>
        </w:rPr>
        <w:t xml:space="preserve">עשה חמצו אפותיקי </w:t>
      </w:r>
      <w:r>
        <w:rPr>
          <w:rFonts w:cs="Arial" w:hint="cs"/>
          <w:rtl/>
        </w:rPr>
        <w:t>לגוי</w:t>
      </w:r>
      <w:r w:rsidRPr="009046A7">
        <w:rPr>
          <w:rFonts w:cs="Arial"/>
          <w:rtl/>
        </w:rPr>
        <w:t xml:space="preserve"> והגיע הפסח איסור חמץ מפקיעו משעבוד </w:t>
      </w:r>
      <w:r>
        <w:rPr>
          <w:rFonts w:cs="Arial" w:hint="cs"/>
          <w:rtl/>
        </w:rPr>
        <w:t>הגוי</w:t>
      </w:r>
      <w:r w:rsidRPr="009046A7">
        <w:rPr>
          <w:rFonts w:cs="Arial"/>
          <w:rtl/>
        </w:rPr>
        <w:t xml:space="preserve"> ונאסר בהנאה והא דתנן (פסחים</w:t>
      </w:r>
      <w:r>
        <w:rPr>
          <w:rFonts w:cs="Arial" w:hint="cs"/>
          <w:rtl/>
        </w:rPr>
        <w:t xml:space="preserve"> </w:t>
      </w:r>
      <w:r w:rsidRPr="009046A7">
        <w:rPr>
          <w:rFonts w:cs="Arial"/>
          <w:rtl/>
        </w:rPr>
        <w:t xml:space="preserve">ל:) </w:t>
      </w:r>
      <w:r>
        <w:rPr>
          <w:rFonts w:cs="Arial" w:hint="cs"/>
          <w:rtl/>
        </w:rPr>
        <w:t>גוי</w:t>
      </w:r>
      <w:r w:rsidRPr="009046A7">
        <w:rPr>
          <w:rFonts w:cs="Arial"/>
          <w:rtl/>
        </w:rPr>
        <w:t xml:space="preserve"> שהלוה לישראל על חמצו אחר הפסח מותר בהנאה אוקמינן לה התם כשהרהינו אצלו שמסרו בידו משכון</w:t>
      </w:r>
      <w:r>
        <w:rPr>
          <w:rFonts w:cs="Arial" w:hint="cs"/>
          <w:rtl/>
        </w:rPr>
        <w:t>, רש"י.</w:t>
      </w:r>
    </w:p>
  </w:footnote>
  <w:footnote w:id="763">
    <w:p w14:paraId="25AF2148" w14:textId="0A208BFA" w:rsidR="00DE2F5F" w:rsidRDefault="00DE2F5F">
      <w:pPr>
        <w:pStyle w:val="a5"/>
      </w:pPr>
      <w:r>
        <w:rPr>
          <w:rStyle w:val="a7"/>
        </w:rPr>
        <w:footnoteRef/>
      </w:r>
      <w:r>
        <w:rPr>
          <w:rtl/>
        </w:rPr>
        <w:t xml:space="preserve"> </w:t>
      </w:r>
      <w:r w:rsidRPr="009046A7">
        <w:rPr>
          <w:rFonts w:cs="Arial"/>
          <w:rtl/>
        </w:rPr>
        <w:t>עשה עבדו אפותיקי ושחררו הלוה משוחרר וזה גובה חובו ממקום אחר</w:t>
      </w:r>
      <w:r>
        <w:rPr>
          <w:rFonts w:cs="Arial" w:hint="cs"/>
          <w:rtl/>
        </w:rPr>
        <w:t>, רש"י.</w:t>
      </w:r>
    </w:p>
  </w:footnote>
  <w:footnote w:id="764">
    <w:p w14:paraId="389A753C" w14:textId="0A928D85" w:rsidR="00DE2F5F" w:rsidRDefault="00DE2F5F">
      <w:pPr>
        <w:pStyle w:val="a5"/>
      </w:pPr>
      <w:r>
        <w:rPr>
          <w:rStyle w:val="a7"/>
        </w:rPr>
        <w:footnoteRef/>
      </w:r>
      <w:r>
        <w:rPr>
          <w:rtl/>
        </w:rPr>
        <w:t xml:space="preserve"> </w:t>
      </w:r>
      <w:r w:rsidRPr="00ED6178">
        <w:rPr>
          <w:rFonts w:cs="Arial"/>
          <w:rtl/>
        </w:rPr>
        <w:t>מאי איריא דקתני שמא יגרשנה מהשתא נמי קדיש</w:t>
      </w:r>
      <w:r>
        <w:rPr>
          <w:rFonts w:cs="Arial" w:hint="cs"/>
          <w:rtl/>
        </w:rPr>
        <w:t>, רש"י.</w:t>
      </w:r>
    </w:p>
  </w:footnote>
  <w:footnote w:id="765">
    <w:p w14:paraId="74F01FB4" w14:textId="366D52B3" w:rsidR="00DE2F5F" w:rsidRDefault="00DE2F5F">
      <w:pPr>
        <w:pStyle w:val="a5"/>
      </w:pPr>
      <w:r>
        <w:rPr>
          <w:rStyle w:val="a7"/>
        </w:rPr>
        <w:footnoteRef/>
      </w:r>
      <w:r>
        <w:rPr>
          <w:rtl/>
        </w:rPr>
        <w:t xml:space="preserve"> </w:t>
      </w:r>
      <w:r w:rsidRPr="00797EDF">
        <w:rPr>
          <w:rFonts w:cs="Arial"/>
          <w:rtl/>
        </w:rPr>
        <w:t>בעודה תחתיו דשויוהו רבנן כלוקח גמור ולא כמלוה</w:t>
      </w:r>
      <w:r>
        <w:rPr>
          <w:rFonts w:cs="Arial" w:hint="cs"/>
          <w:rtl/>
        </w:rPr>
        <w:t>, רש"י.</w:t>
      </w:r>
    </w:p>
  </w:footnote>
  <w:footnote w:id="766">
    <w:p w14:paraId="34340EEA" w14:textId="69E3ABFA" w:rsidR="00DE2F5F" w:rsidRDefault="00DE2F5F" w:rsidP="0042435E">
      <w:pPr>
        <w:pStyle w:val="a5"/>
        <w:rPr>
          <w:rtl/>
        </w:rPr>
      </w:pPr>
      <w:r>
        <w:rPr>
          <w:rStyle w:val="a7"/>
        </w:rPr>
        <w:footnoteRef/>
      </w:r>
      <w:r>
        <w:rPr>
          <w:rtl/>
        </w:rPr>
        <w:t xml:space="preserve"> </w:t>
      </w:r>
      <w:r>
        <w:rPr>
          <w:rFonts w:cs="Arial"/>
          <w:rtl/>
        </w:rPr>
        <w:t>אהא דאמר שמואל הלכה כרבי יוחנן הסנדלר כתב הר"ן (כג: ד"ה גמ') דקסבר אין אדם מקדיש דבר שלא בא לעולם הילכך משמע דאפילו במעלה לה מזונות ומעלה לה מעה כסף לצרכיה אין הקדשו חל לא במעשה ידיה ולא במותר דכולהו דבר שלא בא לעולם נינהו</w:t>
      </w:r>
      <w:r>
        <w:rPr>
          <w:rFonts w:cs="Arial" w:hint="cs"/>
          <w:rtl/>
        </w:rPr>
        <w:t>.</w:t>
      </w:r>
      <w:r>
        <w:rPr>
          <w:rFonts w:cs="Arial"/>
          <w:rtl/>
        </w:rPr>
        <w:t xml:space="preserve"> והרמב"ם כתב בפ</w:t>
      </w:r>
      <w:r>
        <w:rPr>
          <w:rFonts w:cs="Arial" w:hint="cs"/>
          <w:rtl/>
        </w:rPr>
        <w:t>"</w:t>
      </w:r>
      <w:r>
        <w:rPr>
          <w:rFonts w:cs="Arial"/>
          <w:rtl/>
        </w:rPr>
        <w:t>ו מהל</w:t>
      </w:r>
      <w:r>
        <w:rPr>
          <w:rFonts w:cs="Arial" w:hint="cs"/>
          <w:rtl/>
        </w:rPr>
        <w:t>'</w:t>
      </w:r>
      <w:r>
        <w:rPr>
          <w:rFonts w:cs="Arial"/>
          <w:rtl/>
        </w:rPr>
        <w:t xml:space="preserve"> ערכין (הל' כו, כח)</w:t>
      </w:r>
      <w:r>
        <w:rPr>
          <w:rFonts w:cs="Arial" w:hint="cs"/>
          <w:rtl/>
        </w:rPr>
        <w:t>...</w:t>
      </w:r>
      <w:r>
        <w:rPr>
          <w:rFonts w:cs="Arial"/>
          <w:rtl/>
        </w:rPr>
        <w:t xml:space="preserve"> אמר לה יקדשו ידיך לעושיהן הואיל והם משועבדים לו הרי כל מעשה ידיה קודש</w:t>
      </w:r>
      <w:r>
        <w:rPr>
          <w:rFonts w:cs="Arial" w:hint="cs"/>
          <w:rtl/>
        </w:rPr>
        <w:t>...</w:t>
      </w:r>
      <w:r>
        <w:rPr>
          <w:rFonts w:cs="Arial"/>
          <w:rtl/>
        </w:rPr>
        <w:t xml:space="preserve"> ע"כ</w:t>
      </w:r>
      <w:r>
        <w:rPr>
          <w:rFonts w:cs="Arial" w:hint="cs"/>
          <w:rtl/>
        </w:rPr>
        <w:t>.</w:t>
      </w:r>
      <w:r>
        <w:rPr>
          <w:rFonts w:cs="Arial"/>
          <w:rtl/>
        </w:rPr>
        <w:t xml:space="preserve"> ולא ידעתי למה דבגמרא (נח:) אמרינן דהא דרב הונא אמר רב דאמר יכולה אשה שתאמר לבעלה וכו' פליגא אדריש לקיש</w:t>
      </w:r>
      <w:r>
        <w:rPr>
          <w:rFonts w:cs="Arial" w:hint="cs"/>
          <w:rtl/>
        </w:rPr>
        <w:t>,</w:t>
      </w:r>
      <w:r>
        <w:rPr>
          <w:rFonts w:cs="Arial"/>
          <w:rtl/>
        </w:rPr>
        <w:t xml:space="preserve"> דאמר לא תימא טעמא דרבי מאיר דאמר במתניתין הקדש משום דקסבר אדם מקדיש דבר שלא בא לעולם אלא טעמא דרבי מאיר מתוך שיכול לכופה למעשה ידיה נעשה כמאן דאמר לה יקדשו ידיך לעושיהן וידים הא איתנהו בעולם</w:t>
      </w:r>
      <w:r>
        <w:rPr>
          <w:rFonts w:cs="Arial" w:hint="cs"/>
          <w:rtl/>
        </w:rPr>
        <w:t>,</w:t>
      </w:r>
      <w:r>
        <w:rPr>
          <w:rFonts w:cs="Arial"/>
          <w:rtl/>
        </w:rPr>
        <w:t xml:space="preserve"> ומשמע מתוך שיכול לכופה דס"ל דאינה יכולה לומר איני נזונת הוא דאי א"ל יקדשו ידיך לעושיהן מהני אבל</w:t>
      </w:r>
      <w:r>
        <w:rPr>
          <w:rFonts w:hint="cs"/>
          <w:rtl/>
        </w:rPr>
        <w:t>-...</w:t>
      </w:r>
    </w:p>
  </w:footnote>
  <w:footnote w:id="767">
    <w:p w14:paraId="4C2D08DD" w14:textId="4310CC2D" w:rsidR="00DE2F5F" w:rsidRDefault="00DE2F5F" w:rsidP="0042435E">
      <w:pPr>
        <w:pStyle w:val="a5"/>
      </w:pPr>
      <w:r>
        <w:rPr>
          <w:rStyle w:val="a7"/>
        </w:rPr>
        <w:footnoteRef/>
      </w:r>
      <w:r>
        <w:rPr>
          <w:rtl/>
        </w:rPr>
        <w:t xml:space="preserve"> </w:t>
      </w:r>
      <w:r>
        <w:rPr>
          <w:rFonts w:cs="Arial"/>
          <w:rtl/>
        </w:rPr>
        <w:t>ולא מצית אמרת דכי צריכי לטעמא דיכולה וכו' היינו לומר דנעשה כמ"ד להו וכו' אבל אם אמר לה בפירוש אפילו בלאו האי טעמא מהני</w:t>
      </w:r>
      <w:r>
        <w:rPr>
          <w:rFonts w:cs="Arial" w:hint="cs"/>
          <w:rtl/>
        </w:rPr>
        <w:t>,</w:t>
      </w:r>
      <w:r>
        <w:rPr>
          <w:rFonts w:cs="Arial"/>
          <w:rtl/>
        </w:rPr>
        <w:t xml:space="preserve"> דאם איתא דמהני אפילו לא אמר לה לא צריכין להאי טעמא דכיון דשמעינן ליה לרבי מאיר דאמר אין אדם מוציא דבריו לבטלה כדאיתא בגמרא (נח:) כמאן דאמר לה דמי</w:t>
      </w:r>
      <w:r>
        <w:rPr>
          <w:rFonts w:cs="Arial" w:hint="cs"/>
          <w:rtl/>
        </w:rPr>
        <w:t>,</w:t>
      </w:r>
      <w:r>
        <w:rPr>
          <w:rFonts w:cs="Arial"/>
          <w:rtl/>
        </w:rPr>
        <w:t xml:space="preserve"> אלא ודאי לדידן דקיי"ל דיכולה אשה וכו' אפילו כי אמר לה </w:t>
      </w:r>
      <w:r>
        <w:rPr>
          <w:rFonts w:cs="Arial" w:hint="cs"/>
          <w:rtl/>
        </w:rPr>
        <w:t xml:space="preserve">- </w:t>
      </w:r>
      <w:r>
        <w:rPr>
          <w:rFonts w:cs="Arial"/>
          <w:rtl/>
        </w:rPr>
        <w:t>לא מהני</w:t>
      </w:r>
      <w:r>
        <w:rPr>
          <w:rFonts w:cs="Arial" w:hint="cs"/>
          <w:rtl/>
        </w:rPr>
        <w:t>.</w:t>
      </w:r>
      <w:r>
        <w:rPr>
          <w:rFonts w:cs="Arial"/>
          <w:rtl/>
        </w:rPr>
        <w:t xml:space="preserve"> ואע</w:t>
      </w:r>
      <w:r>
        <w:rPr>
          <w:rFonts w:cs="Arial" w:hint="cs"/>
          <w:rtl/>
        </w:rPr>
        <w:t>"</w:t>
      </w:r>
      <w:r>
        <w:rPr>
          <w:rFonts w:cs="Arial"/>
          <w:rtl/>
        </w:rPr>
        <w:t>ג דתנן קונם שאני עושה לפיך אין צריך להפר ומשמע דלא פליגא אדרב</w:t>
      </w:r>
      <w:r>
        <w:rPr>
          <w:rFonts w:cs="Arial" w:hint="cs"/>
          <w:rtl/>
        </w:rPr>
        <w:t>,</w:t>
      </w:r>
      <w:r>
        <w:rPr>
          <w:rFonts w:cs="Arial"/>
          <w:rtl/>
        </w:rPr>
        <w:t xml:space="preserve"> היינו טעמא משום דכיון דנזונת משל בעל משעבדא ליה כל שלא אמרה בפירוש איני נזונת</w:t>
      </w:r>
      <w:r>
        <w:rPr>
          <w:rFonts w:cs="Arial" w:hint="cs"/>
          <w:rtl/>
        </w:rPr>
        <w:t>,</w:t>
      </w:r>
      <w:r>
        <w:rPr>
          <w:rFonts w:cs="Arial"/>
          <w:rtl/>
        </w:rPr>
        <w:t xml:space="preserve"> ואפילו הכי מעשה ידיה לא באו לעולם ולא מצי אמר יקדשו ידיך לעושיהם כיון שהיא יכולה להפקיע וכמו שכתבתי ולפיכך לא נתבררו לי דברי הרמב"ם</w:t>
      </w:r>
      <w:r>
        <w:rPr>
          <w:rFonts w:cs="Arial" w:hint="cs"/>
          <w:rtl/>
        </w:rPr>
        <w:t>.</w:t>
      </w:r>
      <w:r>
        <w:rPr>
          <w:rFonts w:cs="Arial"/>
          <w:rtl/>
        </w:rPr>
        <w:t xml:space="preserve"> עכ"ל</w:t>
      </w:r>
      <w:r w:rsidRPr="004A7B98">
        <w:rPr>
          <w:rFonts w:cs="Arial"/>
          <w:rtl/>
        </w:rPr>
        <w:t xml:space="preserve"> </w:t>
      </w:r>
      <w:r>
        <w:rPr>
          <w:rFonts w:cs="Arial" w:hint="cs"/>
          <w:rtl/>
        </w:rPr>
        <w:t xml:space="preserve">הר"ן. וכתב הדרכ"מ (אות </w:t>
      </w:r>
      <w:r w:rsidRPr="004A7B98">
        <w:rPr>
          <w:rFonts w:cs="Arial"/>
          <w:rtl/>
        </w:rPr>
        <w:t xml:space="preserve">א) </w:t>
      </w:r>
      <w:r>
        <w:rPr>
          <w:rFonts w:cs="Arial" w:hint="cs"/>
          <w:rtl/>
        </w:rPr>
        <w:t>ד</w:t>
      </w:r>
      <w:r w:rsidRPr="004A7B98">
        <w:rPr>
          <w:rFonts w:cs="Arial"/>
          <w:rtl/>
        </w:rPr>
        <w:t xml:space="preserve">כן משמעות דברי רבינו בעל הטור. ובמרדכי </w:t>
      </w:r>
      <w:r>
        <w:rPr>
          <w:rFonts w:cs="Arial" w:hint="cs"/>
          <w:rtl/>
        </w:rPr>
        <w:t>(</w:t>
      </w:r>
      <w:r w:rsidRPr="004A7B98">
        <w:rPr>
          <w:rFonts w:cs="Arial"/>
          <w:rtl/>
        </w:rPr>
        <w:t xml:space="preserve">ריש המדיר סי' קצה) </w:t>
      </w:r>
      <w:r>
        <w:rPr>
          <w:rFonts w:cs="Arial" w:hint="cs"/>
          <w:rtl/>
        </w:rPr>
        <w:t xml:space="preserve">כתוב </w:t>
      </w:r>
      <w:r w:rsidRPr="004A7B98">
        <w:rPr>
          <w:rFonts w:cs="Arial"/>
          <w:rtl/>
        </w:rPr>
        <w:t>דאין חלוק בין אם אסרה על הבעל לבד או אסרה על כל העולם אלא שבאסרה על כל העולם חל ההקדש אפילו בעודה תחתיו וצריך להפר, ועיין באלו הדינים בי"ד סימן רל"ד</w:t>
      </w:r>
      <w:r>
        <w:rPr>
          <w:rFonts w:cs="Arial" w:hint="cs"/>
          <w:rtl/>
        </w:rPr>
        <w:t>.</w:t>
      </w:r>
    </w:p>
  </w:footnote>
  <w:footnote w:id="768">
    <w:p w14:paraId="112AB08F" w14:textId="28C7D83C" w:rsidR="00DE2F5F" w:rsidRDefault="00DE2F5F">
      <w:pPr>
        <w:pStyle w:val="a5"/>
        <w:rPr>
          <w:rtl/>
        </w:rPr>
      </w:pPr>
      <w:r>
        <w:rPr>
          <w:rStyle w:val="a7"/>
        </w:rPr>
        <w:footnoteRef/>
      </w:r>
      <w:r>
        <w:rPr>
          <w:rtl/>
        </w:rPr>
        <w:t xml:space="preserve"> </w:t>
      </w:r>
      <w:r>
        <w:rPr>
          <w:rFonts w:cs="Arial"/>
          <w:rtl/>
        </w:rPr>
        <w:t xml:space="preserve">נראה מדברי הרא"ש </w:t>
      </w:r>
      <w:r w:rsidRPr="00702703">
        <w:rPr>
          <w:rFonts w:cs="Arial" w:hint="cs"/>
          <w:sz w:val="16"/>
          <w:szCs w:val="16"/>
          <w:rtl/>
        </w:rPr>
        <w:t>(</w:t>
      </w:r>
      <w:r>
        <w:rPr>
          <w:rFonts w:cs="Arial" w:hint="cs"/>
          <w:sz w:val="16"/>
          <w:szCs w:val="16"/>
          <w:rtl/>
        </w:rPr>
        <w:t>שם</w:t>
      </w:r>
      <w:r w:rsidRPr="00702703">
        <w:rPr>
          <w:rFonts w:cs="Arial" w:hint="cs"/>
          <w:sz w:val="16"/>
          <w:szCs w:val="16"/>
          <w:rtl/>
        </w:rPr>
        <w:t>)</w:t>
      </w:r>
      <w:r w:rsidRPr="00702703">
        <w:rPr>
          <w:rFonts w:cs="Arial"/>
          <w:sz w:val="16"/>
          <w:szCs w:val="16"/>
          <w:rtl/>
        </w:rPr>
        <w:t xml:space="preserve"> </w:t>
      </w:r>
      <w:r>
        <w:rPr>
          <w:rFonts w:cs="Arial"/>
          <w:rtl/>
        </w:rPr>
        <w:t xml:space="preserve">דלמסקנא הדרינן ממאי דאוקימנא בדאמרה </w:t>
      </w:r>
      <w:r>
        <w:rPr>
          <w:rFonts w:cs="Arial" w:hint="cs"/>
          <w:rtl/>
        </w:rPr>
        <w:t>'</w:t>
      </w:r>
      <w:r>
        <w:rPr>
          <w:rFonts w:cs="Arial"/>
          <w:rtl/>
        </w:rPr>
        <w:t>לכי מיגרשה</w:t>
      </w:r>
      <w:r>
        <w:rPr>
          <w:rFonts w:cs="Arial" w:hint="cs"/>
          <w:rtl/>
        </w:rPr>
        <w:t>',</w:t>
      </w:r>
      <w:r>
        <w:rPr>
          <w:rFonts w:cs="Arial"/>
          <w:rtl/>
        </w:rPr>
        <w:t xml:space="preserve"> דאפילו לא אמרה הכי נמי חייל נדרא לכשתתגרש</w:t>
      </w:r>
      <w:r>
        <w:rPr>
          <w:rFonts w:cs="Arial" w:hint="cs"/>
          <w:rtl/>
        </w:rPr>
        <w:t>,</w:t>
      </w:r>
      <w:r>
        <w:rPr>
          <w:rFonts w:cs="Arial"/>
          <w:rtl/>
        </w:rPr>
        <w:t xml:space="preserve"> דבדין הוא דאפילו בעודה תחתיו ליחול</w:t>
      </w:r>
      <w:r>
        <w:rPr>
          <w:rFonts w:cs="Arial" w:hint="cs"/>
          <w:rtl/>
        </w:rPr>
        <w:t>,</w:t>
      </w:r>
      <w:r>
        <w:rPr>
          <w:rFonts w:cs="Arial"/>
          <w:rtl/>
        </w:rPr>
        <w:t xml:space="preserve"> אלא דאלמוה רבנן לשעבודיה</w:t>
      </w:r>
      <w:r>
        <w:rPr>
          <w:rFonts w:cs="Arial" w:hint="cs"/>
          <w:rtl/>
        </w:rPr>
        <w:t xml:space="preserve">, </w:t>
      </w:r>
      <w:r>
        <w:rPr>
          <w:rFonts w:cs="Arial"/>
          <w:rtl/>
        </w:rPr>
        <w:t>ומכל מקום באומרת יקדשו ידי לעושיהן עסקינן</w:t>
      </w:r>
      <w:r>
        <w:rPr>
          <w:rFonts w:cs="Arial" w:hint="cs"/>
          <w:rtl/>
        </w:rPr>
        <w:t>,</w:t>
      </w:r>
      <w:r>
        <w:rPr>
          <w:rFonts w:cs="Arial"/>
          <w:rtl/>
        </w:rPr>
        <w:t xml:space="preserve"> דאי לאו הכי אין הנדר חל אפילו לכשתתגרש</w:t>
      </w:r>
      <w:r>
        <w:rPr>
          <w:rFonts w:cs="Arial" w:hint="cs"/>
          <w:rtl/>
        </w:rPr>
        <w:t>,</w:t>
      </w:r>
      <w:r>
        <w:rPr>
          <w:rFonts w:cs="Arial"/>
          <w:rtl/>
        </w:rPr>
        <w:t xml:space="preserve"> דאין אדם מקדיש דבר שלא בא לעולם</w:t>
      </w:r>
      <w:r>
        <w:rPr>
          <w:rFonts w:cs="Arial" w:hint="cs"/>
          <w:rtl/>
        </w:rPr>
        <w:t>,</w:t>
      </w:r>
      <w:r>
        <w:rPr>
          <w:rFonts w:cs="Arial"/>
          <w:rtl/>
        </w:rPr>
        <w:t xml:space="preserve"> וכך הם דברי רבינו</w:t>
      </w:r>
      <w:r>
        <w:rPr>
          <w:rFonts w:hint="cs"/>
          <w:rtl/>
        </w:rPr>
        <w:t>, ב"י.</w:t>
      </w:r>
    </w:p>
  </w:footnote>
  <w:footnote w:id="769">
    <w:p w14:paraId="1303F332" w14:textId="104C2B9B" w:rsidR="00DE2F5F" w:rsidRDefault="00DE2F5F">
      <w:pPr>
        <w:pStyle w:val="a5"/>
      </w:pPr>
      <w:r>
        <w:rPr>
          <w:rStyle w:val="a7"/>
        </w:rPr>
        <w:footnoteRef/>
      </w:r>
      <w:r>
        <w:rPr>
          <w:rtl/>
        </w:rPr>
        <w:t xml:space="preserve"> </w:t>
      </w:r>
      <w:r>
        <w:rPr>
          <w:rFonts w:cs="Arial"/>
          <w:rtl/>
        </w:rPr>
        <w:t>וטענת הר"ן (כתובות כד. ד"ה ופרכינן) עליו כתבתי בטור יורה דעה סימן רל"ד (קס: ד"ה ומ"ש וכגון)</w:t>
      </w:r>
      <w:r>
        <w:rPr>
          <w:rFonts w:cs="Arial" w:hint="cs"/>
          <w:rtl/>
        </w:rPr>
        <w:t>, ב"י.</w:t>
      </w:r>
    </w:p>
  </w:footnote>
  <w:footnote w:id="770">
    <w:p w14:paraId="039B0E47" w14:textId="77777777" w:rsidR="00DE2F5F" w:rsidRDefault="00DE2F5F" w:rsidP="007F6DB4">
      <w:pPr>
        <w:pStyle w:val="a5"/>
      </w:pPr>
      <w:r>
        <w:rPr>
          <w:rStyle w:val="a7"/>
        </w:rPr>
        <w:footnoteRef/>
      </w:r>
      <w:r>
        <w:rPr>
          <w:rtl/>
        </w:rPr>
        <w:t xml:space="preserve"> </w:t>
      </w:r>
      <w:r w:rsidRPr="00D04A54">
        <w:rPr>
          <w:rFonts w:cs="Arial"/>
          <w:rtl/>
        </w:rPr>
        <w:t>רבי אליעזר מה לי לידי שעמום מה לי לידי זימה</w:t>
      </w:r>
      <w:r>
        <w:rPr>
          <w:rFonts w:cs="Arial" w:hint="cs"/>
          <w:rtl/>
        </w:rPr>
        <w:t>, רש"י.</w:t>
      </w:r>
    </w:p>
  </w:footnote>
  <w:footnote w:id="771">
    <w:p w14:paraId="6E7F74C2" w14:textId="77777777" w:rsidR="00DE2F5F" w:rsidRDefault="00DE2F5F" w:rsidP="007F6DB4">
      <w:pPr>
        <w:pStyle w:val="a5"/>
      </w:pPr>
      <w:r>
        <w:rPr>
          <w:rStyle w:val="a7"/>
        </w:rPr>
        <w:footnoteRef/>
      </w:r>
      <w:r>
        <w:rPr>
          <w:rtl/>
        </w:rPr>
        <w:t xml:space="preserve"> </w:t>
      </w:r>
      <w:r w:rsidRPr="00D04A54">
        <w:rPr>
          <w:rFonts w:cs="Arial"/>
          <w:rtl/>
        </w:rPr>
        <w:t>משחקת בכלבים דקים ושחוק שקורין אישקקי"ש לידי זימה איכא לידי שיעמום ליכא דאין שיעמום אלא ביושב ותוהא ובטל לגמרי</w:t>
      </w:r>
      <w:r>
        <w:rPr>
          <w:rFonts w:cs="Arial" w:hint="cs"/>
          <w:rtl/>
        </w:rPr>
        <w:t>, רש"י.</w:t>
      </w:r>
    </w:p>
  </w:footnote>
  <w:footnote w:id="772">
    <w:p w14:paraId="085243AA" w14:textId="124E8DB7" w:rsidR="00DE2F5F" w:rsidRDefault="00DE2F5F">
      <w:pPr>
        <w:pStyle w:val="a5"/>
      </w:pPr>
      <w:r>
        <w:rPr>
          <w:rStyle w:val="a7"/>
        </w:rPr>
        <w:footnoteRef/>
      </w:r>
      <w:r>
        <w:rPr>
          <w:rtl/>
        </w:rPr>
        <w:t xml:space="preserve"> </w:t>
      </w:r>
      <w:r w:rsidRPr="001600AB">
        <w:rPr>
          <w:rFonts w:cs="Arial"/>
          <w:rtl/>
        </w:rPr>
        <w:t>אפי' אם נותן לה מזונו' ומעה כסף א"י להקדיש דאין אדם מקדיש דבר שלא בא לעולם ואפילו אם מקדיש מעשה ידיו עושה ואוכל דאין הקדש חל על מ"י דהא דשב"ל הוא כמ"ש בתו' כתובו' דף נ"ט ח"מ</w:t>
      </w:r>
      <w:r>
        <w:rPr>
          <w:rFonts w:cs="Arial" w:hint="cs"/>
          <w:rtl/>
        </w:rPr>
        <w:t xml:space="preserve"> (סק"א), ב"ש (סק"א). ודלא כהב"ח.</w:t>
      </w:r>
    </w:p>
  </w:footnote>
  <w:footnote w:id="773">
    <w:p w14:paraId="01D63622" w14:textId="689F4369" w:rsidR="00DE2F5F" w:rsidRDefault="00DE2F5F">
      <w:pPr>
        <w:pStyle w:val="a5"/>
        <w:rPr>
          <w:rtl/>
        </w:rPr>
      </w:pPr>
      <w:r>
        <w:rPr>
          <w:rStyle w:val="a7"/>
        </w:rPr>
        <w:footnoteRef/>
      </w:r>
      <w:r>
        <w:rPr>
          <w:rtl/>
        </w:rPr>
        <w:t xml:space="preserve"> </w:t>
      </w:r>
      <w:r w:rsidRPr="001600AB">
        <w:rPr>
          <w:rFonts w:cs="Arial"/>
          <w:rtl/>
        </w:rPr>
        <w:t>אפילו הוא בעצמו רשאי ליהנו' ממנו תוס'</w:t>
      </w:r>
      <w:r>
        <w:rPr>
          <w:rFonts w:hint="cs"/>
          <w:rtl/>
        </w:rPr>
        <w:t>, ב"ש (סק"ב).</w:t>
      </w:r>
    </w:p>
  </w:footnote>
  <w:footnote w:id="774">
    <w:p w14:paraId="69800DDB" w14:textId="041C82E5" w:rsidR="00DE2F5F" w:rsidRDefault="00DE2F5F">
      <w:pPr>
        <w:pStyle w:val="a5"/>
      </w:pPr>
      <w:r>
        <w:rPr>
          <w:rStyle w:val="a7"/>
        </w:rPr>
        <w:footnoteRef/>
      </w:r>
      <w:r>
        <w:rPr>
          <w:rtl/>
        </w:rPr>
        <w:t xml:space="preserve"> </w:t>
      </w:r>
      <w:r w:rsidRPr="001600AB">
        <w:rPr>
          <w:rFonts w:cs="Arial"/>
          <w:rtl/>
        </w:rPr>
        <w:t>היינו בנותן לה מזונות ומעה כסף דאז כל מעשה ידיה הם שלו ויכול להקדישן אבל באינו נותן לה או בהיא אומרת איני ניזוני' ואיני נוטל' מעה כסף אינו יכול להקדיש דבר שאינו שלו</w:t>
      </w:r>
      <w:r>
        <w:rPr>
          <w:rFonts w:cs="Arial" w:hint="cs"/>
          <w:rtl/>
        </w:rPr>
        <w:t>, ח"מ (סק"ג)</w:t>
      </w:r>
      <w:r>
        <w:rPr>
          <w:rFonts w:hint="cs"/>
          <w:rtl/>
        </w:rPr>
        <w:t>.</w:t>
      </w:r>
    </w:p>
  </w:footnote>
  <w:footnote w:id="775">
    <w:p w14:paraId="3B7F48AA" w14:textId="65312282" w:rsidR="00DE2F5F" w:rsidRDefault="00DE2F5F">
      <w:pPr>
        <w:pStyle w:val="a5"/>
      </w:pPr>
      <w:r>
        <w:rPr>
          <w:rStyle w:val="a7"/>
        </w:rPr>
        <w:footnoteRef/>
      </w:r>
      <w:r>
        <w:rPr>
          <w:rtl/>
        </w:rPr>
        <w:t xml:space="preserve"> </w:t>
      </w:r>
      <w:r w:rsidRPr="001600AB">
        <w:rPr>
          <w:rFonts w:cs="Arial"/>
          <w:rtl/>
        </w:rPr>
        <w:t>והא דלא קאמר הטעם שמא תאמר איני ניזונת משום דלא שכיח</w:t>
      </w:r>
      <w:r>
        <w:rPr>
          <w:rFonts w:cs="Arial" w:hint="cs"/>
          <w:rtl/>
        </w:rPr>
        <w:t>.</w:t>
      </w:r>
      <w:r w:rsidRPr="001600AB">
        <w:rPr>
          <w:rFonts w:cs="Arial"/>
          <w:rtl/>
        </w:rPr>
        <w:t xml:space="preserve"> תוס'</w:t>
      </w:r>
      <w:r>
        <w:rPr>
          <w:rFonts w:cs="Arial" w:hint="cs"/>
          <w:rtl/>
        </w:rPr>
        <w:t>.</w:t>
      </w:r>
      <w:r w:rsidRPr="001600AB">
        <w:rPr>
          <w:rFonts w:cs="Arial"/>
          <w:rtl/>
        </w:rPr>
        <w:t xml:space="preserve"> והא דהבעל מיפר אע</w:t>
      </w:r>
      <w:r>
        <w:rPr>
          <w:rFonts w:cs="Arial" w:hint="cs"/>
          <w:rtl/>
        </w:rPr>
        <w:t>"</w:t>
      </w:r>
      <w:r w:rsidRPr="001600AB">
        <w:rPr>
          <w:rFonts w:cs="Arial"/>
          <w:rtl/>
        </w:rPr>
        <w:t>ג דלא חל מיד ואין אסור לו מ"מ אזלינן אחר שעת הנדר גם כיון ע"פ הדין היה ראוי לחול מיד אלא חז"ל אלמוה שיעבוד דידיה היינו לטובתו עשאו זאת ולא לריעות' כ"כ הר"ן, והא דלא אמרינן כשנדרה ואסרה תשמיש דצריך להפר משום שמא יגרשנה ותהיה אסורה עליו עיין בי"ד שם</w:t>
      </w:r>
      <w:r>
        <w:rPr>
          <w:rFonts w:cs="Arial" w:hint="cs"/>
          <w:rtl/>
        </w:rPr>
        <w:t>, ב"ש</w:t>
      </w:r>
      <w:r w:rsidRPr="001563D1">
        <w:rPr>
          <w:rFonts w:cs="Arial" w:hint="cs"/>
          <w:sz w:val="16"/>
          <w:szCs w:val="16"/>
          <w:rtl/>
        </w:rPr>
        <w:t xml:space="preserve"> (סק"ו)</w:t>
      </w:r>
      <w:r>
        <w:rPr>
          <w:rFonts w:cs="Arial" w:hint="cs"/>
          <w:rtl/>
        </w:rPr>
        <w:t>.</w:t>
      </w:r>
    </w:p>
  </w:footnote>
  <w:footnote w:id="776">
    <w:p w14:paraId="0EEBA73A" w14:textId="3C36FAC2" w:rsidR="00DE2F5F" w:rsidRDefault="00DE2F5F">
      <w:pPr>
        <w:pStyle w:val="a5"/>
      </w:pPr>
      <w:r>
        <w:rPr>
          <w:rStyle w:val="a7"/>
        </w:rPr>
        <w:footnoteRef/>
      </w:r>
      <w:r>
        <w:rPr>
          <w:rtl/>
        </w:rPr>
        <w:t xml:space="preserve"> </w:t>
      </w:r>
      <w:r w:rsidRPr="00483EA1">
        <w:rPr>
          <w:rFonts w:cs="Arial"/>
          <w:rtl/>
        </w:rPr>
        <w:t>היינו שאסרה את הנקה עליו</w:t>
      </w:r>
      <w:r>
        <w:rPr>
          <w:rFonts w:cs="Arial" w:hint="cs"/>
          <w:rtl/>
        </w:rPr>
        <w:t>,</w:t>
      </w:r>
      <w:r w:rsidRPr="00483EA1">
        <w:rPr>
          <w:rFonts w:cs="Arial"/>
          <w:rtl/>
        </w:rPr>
        <w:t xml:space="preserve"> אז אין הנדר חל</w:t>
      </w:r>
      <w:r>
        <w:rPr>
          <w:rFonts w:cs="Arial" w:hint="cs"/>
          <w:rtl/>
        </w:rPr>
        <w:t>,</w:t>
      </w:r>
      <w:r w:rsidRPr="00483EA1">
        <w:rPr>
          <w:rFonts w:cs="Arial"/>
          <w:rtl/>
        </w:rPr>
        <w:t xml:space="preserve"> דהא היא חייבת להניק כשהיא עניה ולא הכניסה לו שתי שפחות</w:t>
      </w:r>
      <w:r>
        <w:rPr>
          <w:rFonts w:cs="Arial" w:hint="cs"/>
          <w:rtl/>
        </w:rPr>
        <w:t>,</w:t>
      </w:r>
      <w:r w:rsidRPr="00483EA1">
        <w:rPr>
          <w:rFonts w:cs="Arial"/>
          <w:rtl/>
        </w:rPr>
        <w:t xml:space="preserve"> אבל אם היא הכניסה לו שתי שפחו</w:t>
      </w:r>
      <w:r>
        <w:rPr>
          <w:rFonts w:cs="Arial" w:hint="cs"/>
          <w:rtl/>
        </w:rPr>
        <w:t>ת</w:t>
      </w:r>
      <w:r w:rsidRPr="00483EA1">
        <w:rPr>
          <w:rFonts w:cs="Arial"/>
          <w:rtl/>
        </w:rPr>
        <w:t xml:space="preserve"> אין חייבת להניק חל הנדר</w:t>
      </w:r>
      <w:r>
        <w:rPr>
          <w:rFonts w:cs="Arial" w:hint="cs"/>
          <w:rtl/>
        </w:rPr>
        <w:t>..., ב"ש (סק"א).</w:t>
      </w:r>
    </w:p>
  </w:footnote>
  <w:footnote w:id="777">
    <w:p w14:paraId="105A9F13" w14:textId="4A729B47" w:rsidR="00DE2F5F" w:rsidRPr="000603E4" w:rsidRDefault="00DE2F5F">
      <w:pPr>
        <w:pStyle w:val="a5"/>
        <w:rPr>
          <w:rtl/>
        </w:rPr>
      </w:pPr>
      <w:r w:rsidRPr="000603E4">
        <w:rPr>
          <w:rStyle w:val="a7"/>
        </w:rPr>
        <w:footnoteRef/>
      </w:r>
      <w:r w:rsidRPr="000603E4">
        <w:rPr>
          <w:rtl/>
        </w:rPr>
        <w:t xml:space="preserve"> </w:t>
      </w:r>
      <w:r w:rsidRPr="000603E4">
        <w:rPr>
          <w:rFonts w:cs="Arial"/>
          <w:rtl/>
        </w:rPr>
        <w:t>אע</w:t>
      </w:r>
      <w:r w:rsidRPr="000603E4">
        <w:rPr>
          <w:rFonts w:cs="Arial" w:hint="cs"/>
          <w:rtl/>
        </w:rPr>
        <w:t>"</w:t>
      </w:r>
      <w:r w:rsidRPr="000603E4">
        <w:rPr>
          <w:rFonts w:cs="Arial"/>
          <w:rtl/>
        </w:rPr>
        <w:t>ג דאוקמי שם אליב' דב"ה היא נתנה אצבע ב"ש לא קיימ' לן כן לפי המסקנ' אף על גב דבהג"א כתב היא נתנה אצבע ב"ש משום דהוא פוסק בכמה מקומו' כמ"ד היא נתנה אצבע ב"ש וכן פסק כשאומר' הנאת תשמיש עלי והוא לא היפר דתצא בלא כתובה משום היא נתנה אצבע ב"ש אבל אנן קי"ל הוא נותן אצבע ב"ש לכן אם לא היפר הוא חייב שכר הנקה</w:t>
      </w:r>
      <w:r w:rsidRPr="000603E4">
        <w:rPr>
          <w:rFonts w:cs="Arial" w:hint="cs"/>
          <w:rtl/>
        </w:rPr>
        <w:t>.</w:t>
      </w:r>
      <w:r w:rsidRPr="000603E4">
        <w:rPr>
          <w:rFonts w:cs="Arial"/>
          <w:rtl/>
        </w:rPr>
        <w:t xml:space="preserve"> ותימ</w:t>
      </w:r>
      <w:r w:rsidRPr="000603E4">
        <w:rPr>
          <w:rFonts w:cs="Arial" w:hint="cs"/>
          <w:rtl/>
        </w:rPr>
        <w:t>ה</w:t>
      </w:r>
      <w:r w:rsidRPr="000603E4">
        <w:rPr>
          <w:rFonts w:cs="Arial"/>
          <w:rtl/>
        </w:rPr>
        <w:t xml:space="preserve"> על</w:t>
      </w:r>
      <w:r w:rsidRPr="000603E4">
        <w:rPr>
          <w:rFonts w:cs="Arial" w:hint="cs"/>
          <w:rtl/>
        </w:rPr>
        <w:t xml:space="preserve"> </w:t>
      </w:r>
      <w:r w:rsidRPr="000603E4">
        <w:rPr>
          <w:rFonts w:cs="Arial"/>
          <w:rtl/>
        </w:rPr>
        <w:t>חלקת מחוקק שכתב אם לא היפר דהיא חייבת שכר הנקה</w:t>
      </w:r>
      <w:r w:rsidRPr="000603E4">
        <w:rPr>
          <w:rFonts w:cs="Arial" w:hint="cs"/>
          <w:rtl/>
        </w:rPr>
        <w:t>,</w:t>
      </w:r>
      <w:r w:rsidRPr="000603E4">
        <w:rPr>
          <w:rFonts w:cs="Arial"/>
          <w:rtl/>
        </w:rPr>
        <w:t xml:space="preserve"> ולית</w:t>
      </w:r>
      <w:r w:rsidRPr="000603E4">
        <w:rPr>
          <w:rFonts w:cs="Arial" w:hint="cs"/>
          <w:rtl/>
        </w:rPr>
        <w:t>א</w:t>
      </w:r>
      <w:r w:rsidRPr="000603E4">
        <w:rPr>
          <w:rFonts w:cs="Arial"/>
          <w:rtl/>
        </w:rPr>
        <w:t>, ועיין בסוגי' ונשמע משם אם לא הפר לה לא אמרינן מסני סני אותה אע</w:t>
      </w:r>
      <w:r w:rsidRPr="000603E4">
        <w:rPr>
          <w:rFonts w:cs="Arial" w:hint="cs"/>
          <w:rtl/>
        </w:rPr>
        <w:t>"</w:t>
      </w:r>
      <w:r w:rsidRPr="000603E4">
        <w:rPr>
          <w:rFonts w:cs="Arial"/>
          <w:rtl/>
        </w:rPr>
        <w:t>ג דאית לה צער כשאינה מניקה</w:t>
      </w:r>
      <w:r w:rsidRPr="000603E4">
        <w:rPr>
          <w:rFonts w:cs="Arial" w:hint="cs"/>
          <w:rtl/>
        </w:rPr>
        <w:t>.</w:t>
      </w:r>
      <w:r w:rsidRPr="000603E4">
        <w:rPr>
          <w:rFonts w:cs="Arial"/>
          <w:rtl/>
        </w:rPr>
        <w:t xml:space="preserve"> ואם הולד מכיר אותה ואיכ</w:t>
      </w:r>
      <w:r w:rsidRPr="000603E4">
        <w:rPr>
          <w:rFonts w:cs="Arial" w:hint="cs"/>
          <w:rtl/>
        </w:rPr>
        <w:t>א</w:t>
      </w:r>
      <w:r w:rsidRPr="000603E4">
        <w:rPr>
          <w:rFonts w:cs="Arial"/>
          <w:rtl/>
        </w:rPr>
        <w:t xml:space="preserve"> סכנה בדבר צ"ע אם הנדר חל</w:t>
      </w:r>
      <w:r w:rsidRPr="000603E4">
        <w:rPr>
          <w:rFonts w:hint="cs"/>
          <w:rtl/>
        </w:rPr>
        <w:t>, ב"ש (סק"א).</w:t>
      </w:r>
    </w:p>
  </w:footnote>
  <w:footnote w:id="778">
    <w:p w14:paraId="7B9E276E" w14:textId="3E3AF84D" w:rsidR="00DE2F5F" w:rsidRDefault="00DE2F5F" w:rsidP="007B430E">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7B430E">
        <w:rPr>
          <w:rFonts w:cs="Arial"/>
          <w:rtl/>
        </w:rPr>
        <w:t xml:space="preserve">היא אומרת אני אניק את בני והוא אינו רוצה שתניק אשתו כדי שלא תתנוול </w:t>
      </w:r>
      <w:r>
        <w:rPr>
          <w:rFonts w:cs="Arial" w:hint="cs"/>
          <w:rtl/>
        </w:rPr>
        <w:t xml:space="preserve">- </w:t>
      </w:r>
      <w:r w:rsidRPr="007B430E">
        <w:rPr>
          <w:rFonts w:cs="Arial"/>
          <w:rtl/>
        </w:rPr>
        <w:t>אף על פי שיש לה כמה שפחות שומעין לה</w:t>
      </w:r>
      <w:r>
        <w:rPr>
          <w:rFonts w:cs="Arial" w:hint="cs"/>
          <w:rtl/>
        </w:rPr>
        <w:t>,</w:t>
      </w:r>
      <w:r w:rsidRPr="007B430E">
        <w:rPr>
          <w:rFonts w:cs="Arial"/>
          <w:rtl/>
        </w:rPr>
        <w:t xml:space="preserve"> שצער הוא לה לפרוש מבנה</w:t>
      </w:r>
      <w:r>
        <w:rPr>
          <w:rFonts w:cs="Arial" w:hint="cs"/>
          <w:rtl/>
        </w:rPr>
        <w:t>.</w:t>
      </w:r>
    </w:p>
  </w:footnote>
  <w:footnote w:id="779">
    <w:p w14:paraId="4B51DA44" w14:textId="7197F305" w:rsidR="00DE2F5F" w:rsidRDefault="00DE2F5F">
      <w:pPr>
        <w:pStyle w:val="a5"/>
      </w:pPr>
      <w:r>
        <w:rPr>
          <w:rStyle w:val="a7"/>
        </w:rPr>
        <w:footnoteRef/>
      </w:r>
      <w:r>
        <w:rPr>
          <w:rtl/>
        </w:rPr>
        <w:t xml:space="preserve"> </w:t>
      </w:r>
      <w:r w:rsidRPr="005B171D">
        <w:rPr>
          <w:rFonts w:cs="Arial"/>
          <w:rtl/>
        </w:rPr>
        <w:t>מפני צער דידה שחלב מצער אותה אם יש לה הרבה חלב כ"כ רש"י</w:t>
      </w:r>
      <w:r w:rsidR="00717E8C">
        <w:rPr>
          <w:rFonts w:cs="Arial" w:hint="cs"/>
          <w:rtl/>
        </w:rPr>
        <w:t>.</w:t>
      </w:r>
      <w:r w:rsidRPr="005B171D">
        <w:rPr>
          <w:rFonts w:cs="Arial"/>
          <w:rtl/>
        </w:rPr>
        <w:t xml:space="preserve"> והרמב"ם כתב הטעם דצער לה לפרוש מבנה ונ"מ אם תרצה להניק בן חברתה א"י הבעל לעכב לפרש"י</w:t>
      </w:r>
      <w:r w:rsidR="00717E8C">
        <w:rPr>
          <w:rFonts w:cs="Arial" w:hint="cs"/>
          <w:rtl/>
        </w:rPr>
        <w:t>.</w:t>
      </w:r>
      <w:r w:rsidRPr="005B171D">
        <w:rPr>
          <w:rFonts w:cs="Arial"/>
          <w:rtl/>
        </w:rPr>
        <w:t xml:space="preserve"> ועיין סימן פ' ועיין בא"ח סי' ש"ה שם מבואר דמותר לומר לעכו"ם לחלוב הבהמה מפני צער בעל חי שהחלב מצער אותה</w:t>
      </w:r>
      <w:r w:rsidR="00717E8C">
        <w:rPr>
          <w:rFonts w:cs="Arial" w:hint="cs"/>
          <w:rtl/>
        </w:rPr>
        <w:t>,</w:t>
      </w:r>
      <w:r w:rsidRPr="005B171D">
        <w:rPr>
          <w:rFonts w:cs="Arial"/>
          <w:rtl/>
        </w:rPr>
        <w:t xml:space="preserve"> וע"כ צ"ל כאן הרמב"ם מודה דאית לה צער מחמת החלב</w:t>
      </w:r>
      <w:r w:rsidR="009B7B3C">
        <w:rPr>
          <w:rFonts w:cs="Arial" w:hint="cs"/>
          <w:rtl/>
        </w:rPr>
        <w:t>,</w:t>
      </w:r>
      <w:r w:rsidRPr="005B171D">
        <w:rPr>
          <w:rFonts w:cs="Arial"/>
          <w:rtl/>
        </w:rPr>
        <w:t xml:space="preserve"> אלא כוונתו אפילו אם הבעל נותן לה תינוק אחר להניק מ"מ אית לה צער לפרוש מבנה</w:t>
      </w:r>
      <w:r>
        <w:rPr>
          <w:rFonts w:cs="Arial" w:hint="cs"/>
          <w:rtl/>
        </w:rPr>
        <w:t>, ב"ש (סק"ב).</w:t>
      </w:r>
    </w:p>
  </w:footnote>
  <w:footnote w:id="780">
    <w:p w14:paraId="0F8E2F86" w14:textId="7D38E216" w:rsidR="00DE2F5F" w:rsidRDefault="00DE2F5F" w:rsidP="000E736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1941C7">
        <w:rPr>
          <w:rFonts w:cs="Arial"/>
          <w:rtl/>
        </w:rPr>
        <w:t>ואם הוא אומר שתניק</w:t>
      </w:r>
      <w:r>
        <w:rPr>
          <w:rFonts w:cs="Arial" w:hint="cs"/>
          <w:rtl/>
        </w:rPr>
        <w:t>,</w:t>
      </w:r>
      <w:r w:rsidRPr="001941C7">
        <w:rPr>
          <w:rFonts w:cs="Arial"/>
          <w:rtl/>
        </w:rPr>
        <w:t xml:space="preserve"> והיא אינה רוצה</w:t>
      </w:r>
      <w:r>
        <w:rPr>
          <w:rFonts w:cs="Arial" w:hint="cs"/>
          <w:rtl/>
        </w:rPr>
        <w:t>,</w:t>
      </w:r>
      <w:r w:rsidRPr="001941C7">
        <w:rPr>
          <w:rFonts w:cs="Arial"/>
          <w:rtl/>
        </w:rPr>
        <w:t xml:space="preserve"> אם אין בני משפחתו רגילין להניק </w:t>
      </w:r>
      <w:r>
        <w:rPr>
          <w:rFonts w:cs="Arial" w:hint="cs"/>
          <w:rtl/>
        </w:rPr>
        <w:t xml:space="preserve">- </w:t>
      </w:r>
      <w:r w:rsidRPr="001941C7">
        <w:rPr>
          <w:rFonts w:cs="Arial"/>
          <w:rtl/>
        </w:rPr>
        <w:t>שומעין לה ואפי</w:t>
      </w:r>
      <w:r>
        <w:rPr>
          <w:rFonts w:cs="Arial" w:hint="cs"/>
          <w:rtl/>
        </w:rPr>
        <w:t>לו</w:t>
      </w:r>
      <w:r w:rsidRPr="001941C7">
        <w:rPr>
          <w:rFonts w:cs="Arial"/>
          <w:rtl/>
        </w:rPr>
        <w:t xml:space="preserve"> בני משפחתה רגילין להניק</w:t>
      </w:r>
      <w:r>
        <w:rPr>
          <w:rFonts w:cs="Arial" w:hint="cs"/>
          <w:rtl/>
        </w:rPr>
        <w:t>.</w:t>
      </w:r>
    </w:p>
  </w:footnote>
  <w:footnote w:id="781">
    <w:p w14:paraId="38AF03ED" w14:textId="251CA167" w:rsidR="00DE2F5F" w:rsidRDefault="00DE2F5F">
      <w:pPr>
        <w:pStyle w:val="a5"/>
      </w:pPr>
      <w:r>
        <w:rPr>
          <w:rStyle w:val="a7"/>
        </w:rPr>
        <w:footnoteRef/>
      </w:r>
      <w:r>
        <w:rPr>
          <w:rtl/>
        </w:rPr>
        <w:t xml:space="preserve"> </w:t>
      </w:r>
      <w:r w:rsidRPr="001B5F1A">
        <w:rPr>
          <w:rFonts w:cs="Arial"/>
          <w:rtl/>
        </w:rPr>
        <w:t xml:space="preserve">כבר נתבאר לעיל </w:t>
      </w:r>
      <w:r w:rsidR="009B7B3C">
        <w:rPr>
          <w:rFonts w:cs="Arial" w:hint="cs"/>
          <w:rtl/>
        </w:rPr>
        <w:t>(</w:t>
      </w:r>
      <w:r w:rsidRPr="001B5F1A">
        <w:rPr>
          <w:rFonts w:cs="Arial"/>
          <w:rtl/>
        </w:rPr>
        <w:t>סי' פ סעי' י</w:t>
      </w:r>
      <w:r w:rsidR="009B7B3C">
        <w:rPr>
          <w:rFonts w:cs="Arial" w:hint="cs"/>
          <w:rtl/>
        </w:rPr>
        <w:t>)</w:t>
      </w:r>
      <w:r w:rsidRPr="001B5F1A">
        <w:rPr>
          <w:rFonts w:cs="Arial"/>
          <w:rtl/>
        </w:rPr>
        <w:t xml:space="preserve"> דבכל המלאכו</w:t>
      </w:r>
      <w:r w:rsidR="009B7B3C">
        <w:rPr>
          <w:rFonts w:cs="Arial" w:hint="cs"/>
          <w:rtl/>
        </w:rPr>
        <w:t>ת</w:t>
      </w:r>
      <w:r w:rsidRPr="001B5F1A">
        <w:rPr>
          <w:rFonts w:cs="Arial"/>
          <w:rtl/>
        </w:rPr>
        <w:t xml:space="preserve"> הדין כך</w:t>
      </w:r>
      <w:r w:rsidR="009B7B3C">
        <w:rPr>
          <w:rFonts w:cs="Arial" w:hint="cs"/>
          <w:rtl/>
        </w:rPr>
        <w:t>,</w:t>
      </w:r>
      <w:r w:rsidRPr="001B5F1A">
        <w:rPr>
          <w:rFonts w:cs="Arial"/>
          <w:rtl/>
        </w:rPr>
        <w:t xml:space="preserve"> ונקט הנקה משום שיש כאן צד דפעמים היא רוצה להניק והבעל אינו רוצה</w:t>
      </w:r>
      <w:r>
        <w:rPr>
          <w:rFonts w:cs="Arial" w:hint="cs"/>
          <w:rtl/>
        </w:rPr>
        <w:t>, ח"מ (סק"ג).</w:t>
      </w:r>
    </w:p>
  </w:footnote>
  <w:footnote w:id="782">
    <w:p w14:paraId="18270FEC" w14:textId="3EF5ABF4" w:rsidR="00DE2F5F" w:rsidRDefault="00DE2F5F">
      <w:pPr>
        <w:pStyle w:val="a5"/>
      </w:pPr>
      <w:r>
        <w:rPr>
          <w:rStyle w:val="a7"/>
        </w:rPr>
        <w:footnoteRef/>
      </w:r>
      <w:r>
        <w:rPr>
          <w:rtl/>
        </w:rPr>
        <w:t xml:space="preserve"> </w:t>
      </w:r>
      <w:r w:rsidRPr="001B5F1A">
        <w:rPr>
          <w:rFonts w:cs="Arial"/>
          <w:rtl/>
        </w:rPr>
        <w:t>כבר נתבאר לעיל סי' פ' סעיף ט' דאין כאן עסק שבועה בין איש לאשתו ועיין מ"ש שם</w:t>
      </w:r>
      <w:r>
        <w:rPr>
          <w:rFonts w:cs="Arial" w:hint="cs"/>
          <w:rtl/>
        </w:rPr>
        <w:t>, ח"מ (סק"ד).</w:t>
      </w:r>
    </w:p>
  </w:footnote>
  <w:footnote w:id="783">
    <w:p w14:paraId="7BB542BB" w14:textId="692B91E8" w:rsidR="00DE2F5F" w:rsidRDefault="00DE2F5F">
      <w:pPr>
        <w:pStyle w:val="a5"/>
        <w:rPr>
          <w:rtl/>
        </w:rPr>
      </w:pPr>
      <w:r>
        <w:rPr>
          <w:rStyle w:val="a7"/>
        </w:rPr>
        <w:footnoteRef/>
      </w:r>
      <w:r>
        <w:rPr>
          <w:rtl/>
        </w:rPr>
        <w:t xml:space="preserve"> </w:t>
      </w:r>
      <w:r w:rsidRPr="00561297">
        <w:rPr>
          <w:rFonts w:cs="Arial"/>
          <w:rtl/>
        </w:rPr>
        <w:t>כמה חדשים אית לן למימר שיודע להכירה מלינק מאשה אחרת</w:t>
      </w:r>
      <w:r>
        <w:rPr>
          <w:rFonts w:hint="cs"/>
          <w:rtl/>
        </w:rPr>
        <w:t>, רש"י.</w:t>
      </w:r>
    </w:p>
  </w:footnote>
  <w:footnote w:id="784">
    <w:p w14:paraId="7DC26000" w14:textId="1564135D" w:rsidR="00DE2F5F" w:rsidRDefault="00DE2F5F">
      <w:pPr>
        <w:pStyle w:val="a5"/>
      </w:pPr>
      <w:r>
        <w:rPr>
          <w:rStyle w:val="a7"/>
        </w:rPr>
        <w:footnoteRef/>
      </w:r>
      <w:r>
        <w:rPr>
          <w:rtl/>
        </w:rPr>
        <w:t xml:space="preserve"> </w:t>
      </w:r>
      <w:r w:rsidRPr="00561297">
        <w:rPr>
          <w:rFonts w:cs="Arial"/>
          <w:rtl/>
        </w:rPr>
        <w:t>יש תינוק חריף ומכירה בחמשים יום ויש שאינו מכירה עד שלשה חדשים</w:t>
      </w:r>
      <w:r>
        <w:rPr>
          <w:rFonts w:cs="Arial" w:hint="cs"/>
          <w:rtl/>
        </w:rPr>
        <w:t>, רש"י.</w:t>
      </w:r>
    </w:p>
  </w:footnote>
  <w:footnote w:id="785">
    <w:p w14:paraId="45CEB8A3" w14:textId="3A6AF797" w:rsidR="00DE2F5F" w:rsidRDefault="00DE2F5F">
      <w:pPr>
        <w:pStyle w:val="a5"/>
      </w:pPr>
      <w:r>
        <w:rPr>
          <w:rStyle w:val="a7"/>
        </w:rPr>
        <w:footnoteRef/>
      </w:r>
      <w:r>
        <w:rPr>
          <w:rtl/>
        </w:rPr>
        <w:t xml:space="preserve"> </w:t>
      </w:r>
      <w:r w:rsidRPr="00561297">
        <w:rPr>
          <w:rFonts w:cs="Arial"/>
          <w:rtl/>
        </w:rPr>
        <w:t>אין שיעור לדבר אלא בבדיקה הדבר תלוי אם אנו רואים שמכירה כופה ומניקתו בשכר</w:t>
      </w:r>
      <w:r>
        <w:rPr>
          <w:rFonts w:cs="Arial" w:hint="cs"/>
          <w:rtl/>
        </w:rPr>
        <w:t>, רש"י.</w:t>
      </w:r>
    </w:p>
  </w:footnote>
  <w:footnote w:id="786">
    <w:p w14:paraId="31572925" w14:textId="4AA01457" w:rsidR="00DE2F5F" w:rsidRDefault="00DE2F5F" w:rsidP="00804320">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F2115F">
        <w:rPr>
          <w:rFonts w:cs="Arial"/>
          <w:rtl/>
        </w:rPr>
        <w:t>הלכה כרבי יצחק שאמר משום ר' יוחנן</w:t>
      </w:r>
      <w:r>
        <w:rPr>
          <w:rFonts w:cs="Arial" w:hint="cs"/>
          <w:rtl/>
        </w:rPr>
        <w:t>.</w:t>
      </w:r>
      <w:r w:rsidRPr="00F2115F">
        <w:rPr>
          <w:rFonts w:cs="Arial"/>
          <w:rtl/>
        </w:rPr>
        <w:t xml:space="preserve"> פי</w:t>
      </w:r>
      <w:r>
        <w:rPr>
          <w:rFonts w:cs="Arial" w:hint="cs"/>
          <w:rtl/>
        </w:rPr>
        <w:t>רוש,</w:t>
      </w:r>
      <w:r w:rsidRPr="00F2115F">
        <w:rPr>
          <w:rFonts w:cs="Arial"/>
          <w:rtl/>
        </w:rPr>
        <w:t xml:space="preserve"> פחות מבן חמשים</w:t>
      </w:r>
      <w:r>
        <w:rPr>
          <w:rFonts w:cs="Arial" w:hint="cs"/>
          <w:rtl/>
        </w:rPr>
        <w:t xml:space="preserve"> </w:t>
      </w:r>
      <w:r w:rsidRPr="00F2115F">
        <w:rPr>
          <w:rFonts w:cs="Arial"/>
          <w:rtl/>
        </w:rPr>
        <w:t>הוא בחזקת שאינו מכירה ולא בעי בדיקה</w:t>
      </w:r>
      <w:r>
        <w:rPr>
          <w:rFonts w:cs="Arial" w:hint="cs"/>
          <w:rtl/>
        </w:rPr>
        <w:t>,</w:t>
      </w:r>
      <w:r w:rsidRPr="00F2115F">
        <w:rPr>
          <w:rFonts w:cs="Arial"/>
          <w:rtl/>
        </w:rPr>
        <w:t xml:space="preserve"> ואפי' הוא נראה כאילו אינו רוצה לינק מאחרת אקראי בעלמא הוא ולבסוף הוא יונק ולא בעי בדיקה</w:t>
      </w:r>
      <w:r>
        <w:rPr>
          <w:rFonts w:cs="Arial" w:hint="cs"/>
          <w:rtl/>
        </w:rPr>
        <w:t>.</w:t>
      </w:r>
      <w:r w:rsidRPr="00F2115F">
        <w:rPr>
          <w:rFonts w:cs="Arial"/>
          <w:rtl/>
        </w:rPr>
        <w:t xml:space="preserve"> אבל בן חמשים</w:t>
      </w:r>
      <w:r>
        <w:rPr>
          <w:rFonts w:cs="Arial" w:hint="cs"/>
          <w:rtl/>
        </w:rPr>
        <w:t>,</w:t>
      </w:r>
      <w:r w:rsidRPr="00F2115F">
        <w:rPr>
          <w:rFonts w:cs="Arial"/>
          <w:rtl/>
        </w:rPr>
        <w:t xml:space="preserve"> אם אינו רוצה לינק</w:t>
      </w:r>
      <w:r>
        <w:rPr>
          <w:rFonts w:cs="Arial" w:hint="cs"/>
          <w:rtl/>
        </w:rPr>
        <w:t xml:space="preserve"> </w:t>
      </w:r>
      <w:r w:rsidRPr="00F2115F">
        <w:rPr>
          <w:rFonts w:cs="Arial"/>
          <w:rtl/>
        </w:rPr>
        <w:t>בעי בדיקה</w:t>
      </w:r>
      <w:r>
        <w:rPr>
          <w:rFonts w:cs="Arial" w:hint="cs"/>
          <w:rtl/>
        </w:rPr>
        <w:t>.</w:t>
      </w:r>
      <w:r w:rsidRPr="00F2115F">
        <w:rPr>
          <w:rFonts w:cs="Arial"/>
          <w:rtl/>
        </w:rPr>
        <w:t xml:space="preserve"> אבל אם רוצה לינק מאחרת</w:t>
      </w:r>
      <w:r>
        <w:rPr>
          <w:rFonts w:cs="Arial" w:hint="cs"/>
          <w:rtl/>
        </w:rPr>
        <w:t>,</w:t>
      </w:r>
      <w:r w:rsidRPr="00F2115F">
        <w:rPr>
          <w:rFonts w:cs="Arial"/>
          <w:rtl/>
        </w:rPr>
        <w:t xml:space="preserve"> אפילו בן שנה אין כופה</w:t>
      </w:r>
      <w:r>
        <w:rPr>
          <w:rFonts w:cs="Arial" w:hint="cs"/>
          <w:rtl/>
        </w:rPr>
        <w:t>.</w:t>
      </w:r>
      <w:r w:rsidRPr="00F2115F">
        <w:rPr>
          <w:rFonts w:cs="Arial"/>
          <w:rtl/>
        </w:rPr>
        <w:t xml:space="preserve"> ואם אינו רוצה לינק מאחרת</w:t>
      </w:r>
      <w:r>
        <w:rPr>
          <w:rFonts w:cs="Arial" w:hint="cs"/>
          <w:rtl/>
        </w:rPr>
        <w:t>,</w:t>
      </w:r>
      <w:r w:rsidRPr="00F2115F">
        <w:rPr>
          <w:rFonts w:cs="Arial"/>
          <w:rtl/>
        </w:rPr>
        <w:t xml:space="preserve"> אפילו קטן הרבה כופה ומניקתו מפני הסכנה</w:t>
      </w:r>
      <w:r>
        <w:rPr>
          <w:rFonts w:cs="Arial" w:hint="cs"/>
          <w:rtl/>
        </w:rPr>
        <w:t>.</w:t>
      </w:r>
    </w:p>
  </w:footnote>
  <w:footnote w:id="787">
    <w:p w14:paraId="0688FC16" w14:textId="783938BE" w:rsidR="00DE2F5F" w:rsidRDefault="00DE2F5F">
      <w:pPr>
        <w:pStyle w:val="a5"/>
        <w:rPr>
          <w:rtl/>
        </w:rPr>
      </w:pPr>
      <w:r>
        <w:rPr>
          <w:rStyle w:val="a7"/>
        </w:rPr>
        <w:footnoteRef/>
      </w:r>
      <w:r>
        <w:rPr>
          <w:rtl/>
        </w:rPr>
        <w:t xml:space="preserve"> </w:t>
      </w:r>
      <w:r w:rsidRPr="001941C7">
        <w:rPr>
          <w:rFonts w:cs="Arial"/>
          <w:rtl/>
        </w:rPr>
        <w:t>וכתב הרב המגיד לא ביאר רבינו בכמה ימים מפני שהוא פוסק כשמואל דאמר כל זמן שמכירה שאין שיעור קצוב לדבר שאין כל הולדות שוים בהכרה אלא בבדיקה תלוי הדבר אם אנו רואים שמכירה כופה ומניקתו בשכר עכ"ל. ויש לתמוה למה פסק כשמואל במקום רבי יוחנן וכל שכן דפסק רב שימי הלכה כמותו. [בדק הבית] ונראה שטעמו משום דבתר דפסק רב שימי הלכה כרבי יוחנן מייתי תלמודא הא דאמר רמי בר יחזקאל משמיה דשמואל משמע דלמיקבע הלכה כוותיה אתא</w:t>
      </w:r>
      <w:r>
        <w:rPr>
          <w:rFonts w:cs="Arial" w:hint="cs"/>
          <w:rtl/>
        </w:rPr>
        <w:t>,</w:t>
      </w:r>
      <w:r w:rsidRPr="001941C7">
        <w:rPr>
          <w:rFonts w:cs="Arial"/>
          <w:rtl/>
        </w:rPr>
        <w:t xml:space="preserve"> ועוד דמסתבר טעמיה</w:t>
      </w:r>
      <w:r>
        <w:rPr>
          <w:rFonts w:cs="Arial" w:hint="cs"/>
          <w:rtl/>
        </w:rPr>
        <w:t xml:space="preserve"> [ע"כ], ב"י</w:t>
      </w:r>
      <w:r w:rsidRPr="001941C7">
        <w:rPr>
          <w:rFonts w:cs="Arial"/>
          <w:rtl/>
        </w:rPr>
        <w:t>.</w:t>
      </w:r>
    </w:p>
  </w:footnote>
  <w:footnote w:id="788">
    <w:p w14:paraId="4F3BDE4C" w14:textId="1F53F87C" w:rsidR="00DE2F5F" w:rsidRDefault="00DE2F5F">
      <w:pPr>
        <w:pStyle w:val="a5"/>
      </w:pPr>
      <w:r>
        <w:rPr>
          <w:rStyle w:val="a7"/>
        </w:rPr>
        <w:footnoteRef/>
      </w:r>
      <w:r>
        <w:rPr>
          <w:rtl/>
        </w:rPr>
        <w:t xml:space="preserve"> </w:t>
      </w:r>
      <w:r w:rsidRPr="00BA354F">
        <w:rPr>
          <w:rFonts w:cs="Arial"/>
          <w:rtl/>
        </w:rPr>
        <w:t>כ' בח"מ לא ידעתי טעם לדין זה במה נתחייב</w:t>
      </w:r>
      <w:r>
        <w:rPr>
          <w:rFonts w:cs="Arial" w:hint="cs"/>
          <w:rtl/>
        </w:rPr>
        <w:t>ה</w:t>
      </w:r>
      <w:r w:rsidRPr="00BA354F">
        <w:rPr>
          <w:rFonts w:cs="Arial"/>
          <w:rtl/>
        </w:rPr>
        <w:t xml:space="preserve"> היא יותר משאר נשים ולמה לא יתנו לה הב"ד שכר הנק</w:t>
      </w:r>
      <w:r>
        <w:rPr>
          <w:rFonts w:cs="Arial" w:hint="cs"/>
          <w:rtl/>
        </w:rPr>
        <w:t>ה</w:t>
      </w:r>
      <w:r w:rsidRPr="00BA354F">
        <w:rPr>
          <w:rFonts w:cs="Arial"/>
          <w:rtl/>
        </w:rPr>
        <w:t xml:space="preserve"> כשם שמוטל על הב"ד לפרנס הולד אחר שגמלתו</w:t>
      </w:r>
      <w:r>
        <w:rPr>
          <w:rFonts w:cs="Arial" w:hint="cs"/>
          <w:rtl/>
        </w:rPr>
        <w:t>, ב"ש (סק"ה).</w:t>
      </w:r>
      <w:r w:rsidRPr="00896E1A">
        <w:rPr>
          <w:rtl/>
        </w:rPr>
        <w:t xml:space="preserve"> </w:t>
      </w:r>
      <w:r w:rsidRPr="00896E1A">
        <w:rPr>
          <w:rFonts w:cs="Arial"/>
          <w:rtl/>
        </w:rPr>
        <w:t>ועי' בס' ב</w:t>
      </w:r>
      <w:r>
        <w:rPr>
          <w:rFonts w:cs="Arial" w:hint="cs"/>
          <w:rtl/>
        </w:rPr>
        <w:t xml:space="preserve">ית </w:t>
      </w:r>
      <w:r w:rsidRPr="00896E1A">
        <w:rPr>
          <w:rFonts w:cs="Arial"/>
          <w:rtl/>
        </w:rPr>
        <w:t>מ</w:t>
      </w:r>
      <w:r>
        <w:rPr>
          <w:rFonts w:cs="Arial" w:hint="cs"/>
          <w:rtl/>
        </w:rPr>
        <w:t>איר</w:t>
      </w:r>
      <w:r w:rsidRPr="00896E1A">
        <w:rPr>
          <w:rFonts w:cs="Arial"/>
          <w:rtl/>
        </w:rPr>
        <w:t xml:space="preserve"> שכ</w:t>
      </w:r>
      <w:r>
        <w:rPr>
          <w:rFonts w:cs="Arial" w:hint="cs"/>
          <w:rtl/>
        </w:rPr>
        <w:t>תב-</w:t>
      </w:r>
      <w:r w:rsidRPr="00896E1A">
        <w:rPr>
          <w:rFonts w:cs="Arial"/>
          <w:rtl/>
        </w:rPr>
        <w:t xml:space="preserve"> לע</w:t>
      </w:r>
      <w:r>
        <w:rPr>
          <w:rFonts w:cs="Arial" w:hint="cs"/>
          <w:rtl/>
        </w:rPr>
        <w:t xml:space="preserve">ניות </w:t>
      </w:r>
      <w:r w:rsidRPr="00896E1A">
        <w:rPr>
          <w:rFonts w:cs="Arial"/>
          <w:rtl/>
        </w:rPr>
        <w:t>ד</w:t>
      </w:r>
      <w:r>
        <w:rPr>
          <w:rFonts w:cs="Arial" w:hint="cs"/>
          <w:rtl/>
        </w:rPr>
        <w:t>עתי</w:t>
      </w:r>
      <w:r w:rsidRPr="00896E1A">
        <w:rPr>
          <w:rFonts w:cs="Arial"/>
          <w:rtl/>
        </w:rPr>
        <w:t xml:space="preserve"> י</w:t>
      </w:r>
      <w:r>
        <w:rPr>
          <w:rFonts w:cs="Arial" w:hint="cs"/>
          <w:rtl/>
        </w:rPr>
        <w:t xml:space="preserve">ש </w:t>
      </w:r>
      <w:r w:rsidRPr="00896E1A">
        <w:rPr>
          <w:rFonts w:cs="Arial"/>
          <w:rtl/>
        </w:rPr>
        <w:t>ל</w:t>
      </w:r>
      <w:r>
        <w:rPr>
          <w:rFonts w:cs="Arial" w:hint="cs"/>
          <w:rtl/>
        </w:rPr>
        <w:t>ומר</w:t>
      </w:r>
      <w:r w:rsidRPr="00896E1A">
        <w:rPr>
          <w:rFonts w:cs="Arial"/>
          <w:rtl/>
        </w:rPr>
        <w:t xml:space="preserve"> </w:t>
      </w:r>
      <w:r>
        <w:rPr>
          <w:rFonts w:cs="Arial" w:hint="cs"/>
          <w:rtl/>
        </w:rPr>
        <w:t>ד</w:t>
      </w:r>
      <w:r w:rsidRPr="00896E1A">
        <w:rPr>
          <w:rFonts w:cs="Arial"/>
          <w:rtl/>
        </w:rPr>
        <w:t>מתורת צדקה אתינן עלה</w:t>
      </w:r>
      <w:r>
        <w:rPr>
          <w:rFonts w:cs="Arial" w:hint="cs"/>
          <w:rtl/>
        </w:rPr>
        <w:t>,</w:t>
      </w:r>
      <w:r w:rsidRPr="00896E1A">
        <w:rPr>
          <w:rFonts w:cs="Arial"/>
          <w:rtl/>
        </w:rPr>
        <w:t xml:space="preserve"> כדאיתא בי</w:t>
      </w:r>
      <w:r>
        <w:rPr>
          <w:rFonts w:cs="Arial" w:hint="cs"/>
          <w:rtl/>
        </w:rPr>
        <w:t>ו</w:t>
      </w:r>
      <w:r w:rsidRPr="00896E1A">
        <w:rPr>
          <w:rFonts w:cs="Arial"/>
          <w:rtl/>
        </w:rPr>
        <w:t xml:space="preserve">"ד </w:t>
      </w:r>
      <w:r>
        <w:rPr>
          <w:rFonts w:cs="Arial" w:hint="cs"/>
          <w:rtl/>
        </w:rPr>
        <w:t>(</w:t>
      </w:r>
      <w:r w:rsidRPr="00896E1A">
        <w:rPr>
          <w:rFonts w:cs="Arial"/>
          <w:rtl/>
        </w:rPr>
        <w:t>סי</w:t>
      </w:r>
      <w:r>
        <w:rPr>
          <w:rFonts w:cs="Arial" w:hint="cs"/>
          <w:rtl/>
        </w:rPr>
        <w:t>'</w:t>
      </w:r>
      <w:r w:rsidRPr="00896E1A">
        <w:rPr>
          <w:rFonts w:cs="Arial"/>
          <w:rtl/>
        </w:rPr>
        <w:t xml:space="preserve"> רנז סע</w:t>
      </w:r>
      <w:r>
        <w:rPr>
          <w:rFonts w:cs="Arial" w:hint="cs"/>
          <w:rtl/>
        </w:rPr>
        <w:t>'</w:t>
      </w:r>
      <w:r w:rsidRPr="00896E1A">
        <w:rPr>
          <w:rFonts w:cs="Arial"/>
          <w:rtl/>
        </w:rPr>
        <w:t xml:space="preserve"> ח</w:t>
      </w:r>
      <w:r>
        <w:rPr>
          <w:rFonts w:cs="Arial" w:hint="cs"/>
          <w:rtl/>
        </w:rPr>
        <w:t>),</w:t>
      </w:r>
      <w:r w:rsidRPr="00896E1A">
        <w:rPr>
          <w:rFonts w:cs="Arial"/>
          <w:rtl/>
        </w:rPr>
        <w:t xml:space="preserve"> ואיירי בשגם קרובי האב עניים</w:t>
      </w:r>
      <w:r>
        <w:rPr>
          <w:rFonts w:cs="Arial" w:hint="cs"/>
          <w:rtl/>
        </w:rPr>
        <w:t>.</w:t>
      </w:r>
      <w:r w:rsidRPr="00896E1A">
        <w:rPr>
          <w:rFonts w:cs="Arial"/>
          <w:rtl/>
        </w:rPr>
        <w:t xml:space="preserve"> ומה שמבואר ס"ס זה שיכולה להשליך על הקהל</w:t>
      </w:r>
      <w:r>
        <w:rPr>
          <w:rFonts w:cs="Arial" w:hint="cs"/>
          <w:rtl/>
        </w:rPr>
        <w:t>,</w:t>
      </w:r>
      <w:r w:rsidRPr="00896E1A">
        <w:rPr>
          <w:rFonts w:cs="Arial"/>
          <w:rtl/>
        </w:rPr>
        <w:t xml:space="preserve"> היינו מסתמא ענייה שאינה אמודה לפרנס משלה</w:t>
      </w:r>
      <w:r>
        <w:rPr>
          <w:rFonts w:cs="Arial" w:hint="cs"/>
          <w:rtl/>
        </w:rPr>
        <w:t>,</w:t>
      </w:r>
      <w:r w:rsidRPr="00896E1A">
        <w:rPr>
          <w:rFonts w:cs="Arial"/>
          <w:rtl/>
        </w:rPr>
        <w:t xml:space="preserve"> אבל עשירה לאו כל כמינה</w:t>
      </w:r>
      <w:r>
        <w:rPr>
          <w:rFonts w:cs="Arial" w:hint="cs"/>
          <w:rtl/>
        </w:rPr>
        <w:t>,</w:t>
      </w:r>
      <w:r w:rsidRPr="00896E1A">
        <w:rPr>
          <w:rFonts w:cs="Arial"/>
          <w:rtl/>
        </w:rPr>
        <w:t xml:space="preserve"> ולגבי הנקה תמיד עשירה היא כו' ע"ש</w:t>
      </w:r>
      <w:r>
        <w:rPr>
          <w:rFonts w:cs="Arial" w:hint="cs"/>
          <w:rtl/>
        </w:rPr>
        <w:t>, פת"ש (סק"ג).</w:t>
      </w:r>
    </w:p>
  </w:footnote>
  <w:footnote w:id="789">
    <w:p w14:paraId="446C5EAC" w14:textId="03DCE685" w:rsidR="00DE2F5F" w:rsidRDefault="00DE2F5F">
      <w:pPr>
        <w:pStyle w:val="a5"/>
      </w:pPr>
      <w:r>
        <w:rPr>
          <w:rStyle w:val="a7"/>
        </w:rPr>
        <w:footnoteRef/>
      </w:r>
      <w:r>
        <w:rPr>
          <w:rtl/>
        </w:rPr>
        <w:t xml:space="preserve"> </w:t>
      </w:r>
      <w:r w:rsidRPr="00BA354F">
        <w:rPr>
          <w:rFonts w:cs="Arial"/>
          <w:rtl/>
        </w:rPr>
        <w:t>ואפי' אם השכיר</w:t>
      </w:r>
      <w:r w:rsidR="005A39A9">
        <w:rPr>
          <w:rFonts w:cs="Arial" w:hint="cs"/>
          <w:rtl/>
        </w:rPr>
        <w:t>ה</w:t>
      </w:r>
      <w:r w:rsidRPr="00BA354F">
        <w:rPr>
          <w:rFonts w:cs="Arial"/>
          <w:rtl/>
        </w:rPr>
        <w:t xml:space="preserve"> את עצמה באיסור מ"מ כיון דאותו ולד מכיר</w:t>
      </w:r>
      <w:r w:rsidR="005A39A9">
        <w:rPr>
          <w:rFonts w:cs="Arial" w:hint="cs"/>
          <w:rtl/>
        </w:rPr>
        <w:t>ה</w:t>
      </w:r>
      <w:r w:rsidRPr="00BA354F">
        <w:rPr>
          <w:rFonts w:cs="Arial"/>
          <w:rtl/>
        </w:rPr>
        <w:t xml:space="preserve"> אין דוחין נפש מפני נפש</w:t>
      </w:r>
      <w:r>
        <w:rPr>
          <w:rFonts w:cs="Arial" w:hint="cs"/>
          <w:rtl/>
        </w:rPr>
        <w:t>, ב"ש (סק"ו).</w:t>
      </w:r>
    </w:p>
  </w:footnote>
  <w:footnote w:id="790">
    <w:p w14:paraId="5AABA7D2" w14:textId="08DC3162" w:rsidR="00DE2F5F" w:rsidRDefault="00DE2F5F">
      <w:pPr>
        <w:pStyle w:val="a5"/>
      </w:pPr>
      <w:r>
        <w:rPr>
          <w:rStyle w:val="a7"/>
        </w:rPr>
        <w:footnoteRef/>
      </w:r>
      <w:r>
        <w:rPr>
          <w:rtl/>
        </w:rPr>
        <w:t xml:space="preserve"> </w:t>
      </w:r>
      <w:r w:rsidRPr="00685AED">
        <w:rPr>
          <w:rFonts w:cs="Arial"/>
          <w:rtl/>
        </w:rPr>
        <w:t>שהרי הוא חייב במזונו</w:t>
      </w:r>
      <w:r w:rsidR="005A39A9">
        <w:rPr>
          <w:rFonts w:cs="Arial" w:hint="cs"/>
          <w:rtl/>
        </w:rPr>
        <w:t>ת</w:t>
      </w:r>
      <w:r w:rsidRPr="00685AED">
        <w:rPr>
          <w:rFonts w:cs="Arial"/>
          <w:rtl/>
        </w:rPr>
        <w:t xml:space="preserve"> בניו עד שש שנים</w:t>
      </w:r>
      <w:r>
        <w:rPr>
          <w:rFonts w:cs="Arial" w:hint="cs"/>
          <w:rtl/>
        </w:rPr>
        <w:t>, ח"מ (סק"ז).</w:t>
      </w:r>
    </w:p>
  </w:footnote>
  <w:footnote w:id="791">
    <w:p w14:paraId="4869E0FB" w14:textId="78E0FEE9" w:rsidR="00DE2F5F" w:rsidRDefault="00DE2F5F">
      <w:pPr>
        <w:pStyle w:val="a5"/>
      </w:pPr>
      <w:r>
        <w:rPr>
          <w:rStyle w:val="a7"/>
        </w:rPr>
        <w:footnoteRef/>
      </w:r>
      <w:r>
        <w:rPr>
          <w:rtl/>
        </w:rPr>
        <w:t xml:space="preserve"> </w:t>
      </w:r>
      <w:r w:rsidRPr="003E00A2">
        <w:rPr>
          <w:rFonts w:cs="Arial"/>
          <w:rtl/>
        </w:rPr>
        <w:t>ערבה אמו לצפון ואביו לדרום אמו מוליכתו אצלה ואין אביו מוליכו אצלו שעדיין הוא צריך לאמו ובתרה שדיוהו רבנן אלמא עד שש צריך סיוע מאמו וכשם שהבעל זן אותה כך זן אותו עמה</w:t>
      </w:r>
      <w:r>
        <w:rPr>
          <w:rFonts w:cs="Arial" w:hint="cs"/>
          <w:rtl/>
        </w:rPr>
        <w:t>, רש"י.</w:t>
      </w:r>
    </w:p>
  </w:footnote>
  <w:footnote w:id="792">
    <w:p w14:paraId="518739D2" w14:textId="601C6E0A" w:rsidR="008451D9" w:rsidRDefault="008451D9">
      <w:pPr>
        <w:pStyle w:val="a5"/>
        <w:rPr>
          <w:rtl/>
        </w:rPr>
      </w:pPr>
      <w:r>
        <w:rPr>
          <w:rStyle w:val="a7"/>
        </w:rPr>
        <w:footnoteRef/>
      </w:r>
      <w:r>
        <w:rPr>
          <w:rtl/>
        </w:rPr>
        <w:t xml:space="preserve"> </w:t>
      </w:r>
      <w:r>
        <w:rPr>
          <w:rFonts w:hint="cs"/>
          <w:rtl/>
        </w:rPr>
        <w:t>סימן - קטנה</w:t>
      </w:r>
      <w:r w:rsidR="00025C5F">
        <w:rPr>
          <w:rFonts w:hint="cs"/>
          <w:rtl/>
        </w:rPr>
        <w:t>/קטן אצל.</w:t>
      </w:r>
      <w:r w:rsidR="001F6EA1">
        <w:rPr>
          <w:rFonts w:hint="cs"/>
          <w:rtl/>
        </w:rPr>
        <w:t xml:space="preserve"> ועוד</w:t>
      </w:r>
      <w:r w:rsidR="00025C5F">
        <w:rPr>
          <w:rFonts w:hint="cs"/>
          <w:rtl/>
        </w:rPr>
        <w:t xml:space="preserve"> </w:t>
      </w:r>
      <w:r w:rsidR="001F6EA1">
        <w:rPr>
          <w:rFonts w:hint="cs"/>
          <w:rtl/>
        </w:rPr>
        <w:t xml:space="preserve">סימן (לדף קב) - </w:t>
      </w:r>
      <w:r w:rsidR="006A740E">
        <w:rPr>
          <w:rFonts w:hint="cs"/>
          <w:rtl/>
        </w:rPr>
        <w:t>בת קטנה. וכן - קטנה בבית.</w:t>
      </w:r>
    </w:p>
  </w:footnote>
  <w:footnote w:id="793">
    <w:p w14:paraId="61636F6C" w14:textId="485D47F1" w:rsidR="00DE2F5F" w:rsidRDefault="00DE2F5F">
      <w:pPr>
        <w:pStyle w:val="a5"/>
      </w:pPr>
      <w:r>
        <w:rPr>
          <w:rStyle w:val="a7"/>
        </w:rPr>
        <w:footnoteRef/>
      </w:r>
      <w:r>
        <w:rPr>
          <w:rtl/>
        </w:rPr>
        <w:t xml:space="preserve"> </w:t>
      </w:r>
      <w:r>
        <w:rPr>
          <w:rFonts w:hint="cs"/>
          <w:rtl/>
        </w:rPr>
        <w:t>כן הוא בגמרא לפנינו וברי"ף וברא"ש, וכתב הרא"ש דפירוש הראשי תיבות היינו 'ערב הראשון'. ויש שגורסים 'ער"פ' (בה"ג רשב"א ומאירי) ופתחו הר"ת- 'ערב פסח'.</w:t>
      </w:r>
    </w:p>
  </w:footnote>
  <w:footnote w:id="794">
    <w:p w14:paraId="522B9816" w14:textId="62EC51BC" w:rsidR="00CF6685" w:rsidRDefault="00CF6685">
      <w:pPr>
        <w:pStyle w:val="a5"/>
      </w:pPr>
      <w:r>
        <w:rPr>
          <w:rStyle w:val="a7"/>
        </w:rPr>
        <w:footnoteRef/>
      </w:r>
      <w:r>
        <w:rPr>
          <w:rtl/>
        </w:rPr>
        <w:t xml:space="preserve"> </w:t>
      </w:r>
      <w:r w:rsidRPr="005D40EA">
        <w:rPr>
          <w:rFonts w:cs="Arial"/>
          <w:rtl/>
        </w:rPr>
        <w:t>והביא ראיה ממתני' דהנושא את האשה סתמא קתני</w:t>
      </w:r>
      <w:r>
        <w:rPr>
          <w:rFonts w:cs="Arial" w:hint="cs"/>
          <w:rtl/>
        </w:rPr>
        <w:t>,</w:t>
      </w:r>
      <w:r w:rsidRPr="005D40EA">
        <w:rPr>
          <w:rFonts w:cs="Arial"/>
          <w:rtl/>
        </w:rPr>
        <w:t xml:space="preserve"> ומשמע בין גרושה בין אלמנה</w:t>
      </w:r>
      <w:r>
        <w:rPr>
          <w:rFonts w:cs="Arial" w:hint="cs"/>
          <w:rtl/>
        </w:rPr>
        <w:t>,</w:t>
      </w:r>
      <w:r w:rsidRPr="005D40EA">
        <w:rPr>
          <w:rFonts w:cs="Arial"/>
          <w:rtl/>
        </w:rPr>
        <w:t xml:space="preserve"> ועלה קתני למקום שהיא אמה</w:t>
      </w:r>
      <w:r>
        <w:rPr>
          <w:rFonts w:cs="Arial" w:hint="cs"/>
          <w:rtl/>
        </w:rPr>
        <w:t>,</w:t>
      </w:r>
      <w:r w:rsidRPr="005D40EA">
        <w:rPr>
          <w:rFonts w:cs="Arial"/>
          <w:rtl/>
        </w:rPr>
        <w:t xml:space="preserve"> לאשמועי' דהבת אצל האם אפילו בבת גרושה נמי</w:t>
      </w:r>
      <w:r>
        <w:rPr>
          <w:rFonts w:hint="cs"/>
          <w:rtl/>
        </w:rPr>
        <w:t>, רא"ש (שם).</w:t>
      </w:r>
    </w:p>
  </w:footnote>
  <w:footnote w:id="795">
    <w:p w14:paraId="631AC9A2" w14:textId="7A178171" w:rsidR="00DE2F5F" w:rsidRDefault="00DE2F5F">
      <w:pPr>
        <w:pStyle w:val="a5"/>
      </w:pPr>
      <w:r>
        <w:rPr>
          <w:rStyle w:val="a7"/>
        </w:rPr>
        <w:footnoteRef/>
      </w:r>
      <w:r>
        <w:rPr>
          <w:rtl/>
        </w:rPr>
        <w:t xml:space="preserve"> </w:t>
      </w:r>
      <w:r w:rsidRPr="00F60D6E">
        <w:rPr>
          <w:rFonts w:cs="Arial"/>
          <w:rtl/>
        </w:rPr>
        <w:t>א</w:t>
      </w:r>
      <w:r>
        <w:rPr>
          <w:rFonts w:cs="Arial" w:hint="cs"/>
          <w:rtl/>
        </w:rPr>
        <w:t xml:space="preserve">מר </w:t>
      </w:r>
      <w:r w:rsidRPr="00F60D6E">
        <w:rPr>
          <w:rFonts w:cs="Arial"/>
          <w:rtl/>
        </w:rPr>
        <w:t>א</w:t>
      </w:r>
      <w:r>
        <w:rPr>
          <w:rFonts w:cs="Arial" w:hint="cs"/>
          <w:rtl/>
        </w:rPr>
        <w:t>ברהם</w:t>
      </w:r>
      <w:r w:rsidRPr="00F60D6E">
        <w:rPr>
          <w:rFonts w:cs="Arial"/>
          <w:rtl/>
        </w:rPr>
        <w:t xml:space="preserve"> אין הדעת סובלת שנכוף את האב להפריד בנו ממנו עד שיהא בן שש והלא הוא חייב לחנכו תורה בן ארבע ובן חמש ואיך יחנכנו והוא גדל בין הנשים</w:t>
      </w:r>
      <w:r>
        <w:rPr>
          <w:rFonts w:cs="Arial" w:hint="cs"/>
          <w:rtl/>
        </w:rPr>
        <w:t xml:space="preserve">, </w:t>
      </w:r>
      <w:r w:rsidRPr="00AC5558">
        <w:rPr>
          <w:rFonts w:cs="Arial" w:hint="cs"/>
          <w:b/>
          <w:bCs/>
          <w:rtl/>
        </w:rPr>
        <w:t>ראב"ד</w:t>
      </w:r>
      <w:r>
        <w:rPr>
          <w:rFonts w:cs="Arial" w:hint="cs"/>
          <w:rtl/>
        </w:rPr>
        <w:t xml:space="preserve"> (שם בהשגות).</w:t>
      </w:r>
      <w:r w:rsidRPr="003E00A2">
        <w:rPr>
          <w:rFonts w:cs="Arial"/>
          <w:rtl/>
        </w:rPr>
        <w:t xml:space="preserve"> </w:t>
      </w:r>
      <w:r w:rsidR="00AC5558">
        <w:rPr>
          <w:rFonts w:cs="Arial" w:hint="cs"/>
          <w:rtl/>
        </w:rPr>
        <w:t xml:space="preserve">   </w:t>
      </w:r>
      <w:r>
        <w:rPr>
          <w:rFonts w:cs="Arial"/>
          <w:rtl/>
        </w:rPr>
        <w:t>ולא מצאתי חיוב בבן ד' ובן ה' שאינו חייב להכניסו למלמד פחות מבן ו' כנזכר פרק לא יחפור (ב"ב כא.) ואולי נתכוון הרב למה שאמרו (סוכה מב.) יודע לדבר אביו מלמדו תורה צוה לנו וכו' ואין זו קושיא שחינוך זה אפילו הוא אצל האם יכול הוא לחנכו לפעמים להושיבו אצלו עכ"ל</w:t>
      </w:r>
      <w:r>
        <w:rPr>
          <w:rFonts w:cs="Arial" w:hint="cs"/>
          <w:rtl/>
        </w:rPr>
        <w:t xml:space="preserve"> הה"מ (שם).</w:t>
      </w:r>
      <w:r>
        <w:rPr>
          <w:rFonts w:cs="Arial"/>
          <w:rtl/>
        </w:rPr>
        <w:t xml:space="preserve"> והרא"ש בתשובה כלל פ"ב (סי' ב) כתב כדברי הראב"ד ז"ל דאפילו פחות מבן שש אצל האב</w:t>
      </w:r>
      <w:r>
        <w:rPr>
          <w:rFonts w:cs="Arial" w:hint="cs"/>
          <w:rtl/>
        </w:rPr>
        <w:t xml:space="preserve">, </w:t>
      </w:r>
      <w:r w:rsidRPr="005A2F23">
        <w:rPr>
          <w:rFonts w:cs="Arial" w:hint="cs"/>
          <w:b/>
          <w:bCs/>
          <w:rtl/>
        </w:rPr>
        <w:t>ב"י</w:t>
      </w:r>
      <w:r>
        <w:rPr>
          <w:rFonts w:cs="Arial" w:hint="cs"/>
          <w:rtl/>
        </w:rPr>
        <w:t>.</w:t>
      </w:r>
    </w:p>
  </w:footnote>
  <w:footnote w:id="796">
    <w:p w14:paraId="558D3223" w14:textId="6A19FC49" w:rsidR="00DE2F5F" w:rsidRDefault="00DE2F5F">
      <w:pPr>
        <w:pStyle w:val="a5"/>
      </w:pPr>
      <w:r>
        <w:rPr>
          <w:rStyle w:val="a7"/>
        </w:rPr>
        <w:footnoteRef/>
      </w:r>
      <w:r>
        <w:rPr>
          <w:rtl/>
        </w:rPr>
        <w:t xml:space="preserve"> </w:t>
      </w:r>
      <w:r>
        <w:rPr>
          <w:rFonts w:cs="Arial"/>
          <w:rtl/>
        </w:rPr>
        <w:t>וכתב עליו הרב המגיד זה מתבאר מהסוגיא שבפרק אף על פי (סה:) שאמרו שם זן אדם את בניו קטנים ועד כמה עד בן שש וכדרב אסי דאמר קטן בן שש יוצא בעירוב אמו</w:t>
      </w:r>
      <w:r>
        <w:rPr>
          <w:rFonts w:cs="Arial" w:hint="cs"/>
          <w:rtl/>
        </w:rPr>
        <w:t>.</w:t>
      </w:r>
      <w:r>
        <w:rPr>
          <w:rFonts w:cs="Arial"/>
          <w:rtl/>
        </w:rPr>
        <w:t xml:space="preserve"> עוד אמרו שם משום דבעי למיכל בהדה</w:t>
      </w:r>
      <w:r>
        <w:rPr>
          <w:rFonts w:cs="Arial" w:hint="cs"/>
          <w:rtl/>
        </w:rPr>
        <w:t>.</w:t>
      </w:r>
      <w:r>
        <w:rPr>
          <w:rFonts w:cs="Arial"/>
          <w:rtl/>
        </w:rPr>
        <w:t xml:space="preserve"> ואמרינן פרק כיצד משתתפין (עירובין פב:) דאפילו בן בצוותא דאימיה ניחא ליה</w:t>
      </w:r>
      <w:r>
        <w:rPr>
          <w:rFonts w:cs="Arial" w:hint="cs"/>
          <w:rtl/>
        </w:rPr>
        <w:t>.</w:t>
      </w:r>
      <w:r>
        <w:rPr>
          <w:rFonts w:cs="Arial"/>
          <w:rtl/>
        </w:rPr>
        <w:t xml:space="preserve"> ודעת רבינו דאפילו בגרושה</w:t>
      </w:r>
      <w:r>
        <w:rPr>
          <w:rFonts w:cs="Arial" w:hint="cs"/>
          <w:rtl/>
        </w:rPr>
        <w:t xml:space="preserve"> עכ"ל</w:t>
      </w:r>
      <w:r>
        <w:rPr>
          <w:rFonts w:hint="cs"/>
          <w:rtl/>
        </w:rPr>
        <w:t>, ב"י.</w:t>
      </w:r>
    </w:p>
  </w:footnote>
  <w:footnote w:id="797">
    <w:p w14:paraId="046F9E7B" w14:textId="69A401BD" w:rsidR="00DE2F5F" w:rsidRDefault="00DE2F5F">
      <w:pPr>
        <w:pStyle w:val="a5"/>
      </w:pPr>
      <w:r>
        <w:rPr>
          <w:rStyle w:val="a7"/>
        </w:rPr>
        <w:footnoteRef/>
      </w:r>
      <w:r>
        <w:rPr>
          <w:rtl/>
        </w:rPr>
        <w:t xml:space="preserve"> </w:t>
      </w:r>
      <w:r w:rsidRPr="00C91C6F">
        <w:rPr>
          <w:rFonts w:cs="Arial"/>
          <w:rtl/>
        </w:rPr>
        <w:t>אע</w:t>
      </w:r>
      <w:r>
        <w:rPr>
          <w:rFonts w:cs="Arial" w:hint="cs"/>
          <w:rtl/>
        </w:rPr>
        <w:t>"</w:t>
      </w:r>
      <w:r w:rsidRPr="00C91C6F">
        <w:rPr>
          <w:rFonts w:cs="Arial"/>
          <w:rtl/>
        </w:rPr>
        <w:t>פ שאביו חייב ללמדו תורה ולחנכו כשיודע לדבר מ"מ אפי' כשהולד אצל אמו יכול האב לחנכו לפעמים כשיבא אצלו, המגיד</w:t>
      </w:r>
      <w:r>
        <w:rPr>
          <w:rFonts w:cs="Arial" w:hint="cs"/>
          <w:rtl/>
        </w:rPr>
        <w:t>, ח"מ (סק"ח).</w:t>
      </w:r>
    </w:p>
  </w:footnote>
  <w:footnote w:id="798">
    <w:p w14:paraId="5F9C9171" w14:textId="42E5CA18" w:rsidR="00DE2F5F" w:rsidRDefault="00DE2F5F">
      <w:pPr>
        <w:pStyle w:val="a5"/>
      </w:pPr>
      <w:r>
        <w:rPr>
          <w:rStyle w:val="a7"/>
        </w:rPr>
        <w:footnoteRef/>
      </w:r>
      <w:r>
        <w:rPr>
          <w:rtl/>
        </w:rPr>
        <w:t xml:space="preserve"> </w:t>
      </w:r>
      <w:r w:rsidRPr="00C91C6F">
        <w:rPr>
          <w:rFonts w:cs="Arial"/>
          <w:rtl/>
        </w:rPr>
        <w:t>יש לדקדק דמשמע אם האם מוחלת לו המזונו' תוכל להחזיק בנה אצלה על כרחו</w:t>
      </w:r>
      <w:r>
        <w:rPr>
          <w:rFonts w:cs="Arial" w:hint="cs"/>
          <w:rtl/>
        </w:rPr>
        <w:t>.</w:t>
      </w:r>
      <w:r w:rsidRPr="00C91C6F">
        <w:rPr>
          <w:rFonts w:cs="Arial"/>
          <w:rtl/>
        </w:rPr>
        <w:t xml:space="preserve"> וזה הוא נגד המושכל</w:t>
      </w:r>
      <w:r>
        <w:rPr>
          <w:rFonts w:cs="Arial" w:hint="cs"/>
          <w:rtl/>
        </w:rPr>
        <w:t>,</w:t>
      </w:r>
      <w:r w:rsidRPr="00C91C6F">
        <w:rPr>
          <w:rFonts w:cs="Arial"/>
          <w:rtl/>
        </w:rPr>
        <w:t xml:space="preserve"> למה תוכל לכופו והיא אין לה שייכות לבן והוא מצוה עליו בכמה דברים בפרט ללמדו תורה</w:t>
      </w:r>
      <w:r>
        <w:rPr>
          <w:rFonts w:cs="Arial" w:hint="cs"/>
          <w:rtl/>
        </w:rPr>
        <w:t>.</w:t>
      </w:r>
      <w:r w:rsidRPr="00C91C6F">
        <w:rPr>
          <w:rFonts w:cs="Arial"/>
          <w:rtl/>
        </w:rPr>
        <w:t xml:space="preserve"> ויש ליישב בדוחק כשהבן אינו רוצה להפרד מאמו יש לאב לומר אין עלי חיוב צדקה לפרנסו כל זמן שאין שומע לקולי להיות אצלי ללמדו תורה ושאר דברים</w:t>
      </w:r>
      <w:r>
        <w:rPr>
          <w:rFonts w:cs="Arial" w:hint="cs"/>
          <w:rtl/>
        </w:rPr>
        <w:t>, ח"מ (סק"ט).</w:t>
      </w:r>
      <w:r>
        <w:rPr>
          <w:rFonts w:hint="cs"/>
          <w:rtl/>
        </w:rPr>
        <w:t xml:space="preserve"> וכ"כ הב"ש (סק"ח)</w:t>
      </w:r>
      <w:r w:rsidR="002662AC">
        <w:rPr>
          <w:rFonts w:hint="cs"/>
          <w:rtl/>
        </w:rPr>
        <w:t>,</w:t>
      </w:r>
      <w:r>
        <w:rPr>
          <w:rFonts w:hint="cs"/>
          <w:rtl/>
        </w:rPr>
        <w:t xml:space="preserve"> והוסיף </w:t>
      </w:r>
      <w:r>
        <w:rPr>
          <w:rFonts w:cs="Arial" w:hint="cs"/>
          <w:rtl/>
        </w:rPr>
        <w:t>דאיתא</w:t>
      </w:r>
      <w:r w:rsidRPr="00C91C6F">
        <w:rPr>
          <w:rFonts w:cs="Arial"/>
          <w:rtl/>
        </w:rPr>
        <w:t xml:space="preserve"> בש"ס פ' הנושא </w:t>
      </w:r>
      <w:r>
        <w:rPr>
          <w:rFonts w:cs="Arial" w:hint="cs"/>
          <w:rtl/>
        </w:rPr>
        <w:t xml:space="preserve">(קב:) </w:t>
      </w:r>
      <w:r w:rsidRPr="00C91C6F">
        <w:rPr>
          <w:rFonts w:cs="Arial"/>
          <w:rtl/>
        </w:rPr>
        <w:t>אם מת האב אין מניחי' הבן אצל יורשיו אלא אצל אמו ומעשה היה ושחטוהו</w:t>
      </w:r>
      <w:r w:rsidR="009F7286">
        <w:rPr>
          <w:rFonts w:cs="Arial" w:hint="cs"/>
          <w:rtl/>
        </w:rPr>
        <w:t>,</w:t>
      </w:r>
      <w:r w:rsidRPr="00C91C6F">
        <w:rPr>
          <w:rFonts w:cs="Arial"/>
          <w:rtl/>
        </w:rPr>
        <w:t xml:space="preserve"> משמע אפי' אם הוא יותר משש אין מניחין אותו אצל קרוביו</w:t>
      </w:r>
      <w:r w:rsidR="009F7286">
        <w:rPr>
          <w:rFonts w:cs="Arial" w:hint="cs"/>
          <w:rtl/>
        </w:rPr>
        <w:t>.</w:t>
      </w:r>
      <w:r w:rsidRPr="00C91C6F">
        <w:rPr>
          <w:rFonts w:cs="Arial"/>
          <w:rtl/>
        </w:rPr>
        <w:t xml:space="preserve"> אלא אם היא גרוש' ואביו חי אז יש חילוק</w:t>
      </w:r>
      <w:r w:rsidR="009F7286">
        <w:rPr>
          <w:rFonts w:cs="Arial" w:hint="cs"/>
          <w:rtl/>
        </w:rPr>
        <w:t>,</w:t>
      </w:r>
      <w:r w:rsidRPr="00C91C6F">
        <w:rPr>
          <w:rFonts w:cs="Arial"/>
          <w:rtl/>
        </w:rPr>
        <w:t xml:space="preserve"> אם הוא יותר משש </w:t>
      </w:r>
      <w:r w:rsidR="009F7286">
        <w:rPr>
          <w:rFonts w:cs="Arial" w:hint="cs"/>
          <w:rtl/>
        </w:rPr>
        <w:t xml:space="preserve">- </w:t>
      </w:r>
      <w:r w:rsidRPr="00C91C6F">
        <w:rPr>
          <w:rFonts w:cs="Arial"/>
          <w:rtl/>
        </w:rPr>
        <w:t>אין מניחין אצל אמו</w:t>
      </w:r>
      <w:r w:rsidR="009F7286">
        <w:rPr>
          <w:rFonts w:cs="Arial" w:hint="cs"/>
          <w:rtl/>
        </w:rPr>
        <w:t>.</w:t>
      </w:r>
      <w:r w:rsidRPr="00C91C6F">
        <w:rPr>
          <w:rFonts w:cs="Arial"/>
          <w:rtl/>
        </w:rPr>
        <w:t xml:space="preserve"> וא"י למה השמיטו הפוסקים דין זה</w:t>
      </w:r>
      <w:r>
        <w:rPr>
          <w:rFonts w:hint="cs"/>
          <w:rtl/>
        </w:rPr>
        <w:t>. עכ"ל. וה</w:t>
      </w:r>
      <w:r w:rsidR="009F7286">
        <w:rPr>
          <w:rFonts w:hint="cs"/>
          <w:rtl/>
        </w:rPr>
        <w:t>ו</w:t>
      </w:r>
      <w:r>
        <w:rPr>
          <w:rFonts w:hint="cs"/>
          <w:rtl/>
        </w:rPr>
        <w:t>סיף הבאה"ט (סק"ה)</w:t>
      </w:r>
      <w:r w:rsidRPr="00470E2C">
        <w:rPr>
          <w:rtl/>
        </w:rPr>
        <w:t xml:space="preserve"> </w:t>
      </w:r>
      <w:r>
        <w:rPr>
          <w:rFonts w:cs="Arial" w:hint="cs"/>
          <w:rtl/>
        </w:rPr>
        <w:t>ד</w:t>
      </w:r>
      <w:r w:rsidRPr="00470E2C">
        <w:rPr>
          <w:rFonts w:cs="Arial"/>
          <w:rtl/>
        </w:rPr>
        <w:t xml:space="preserve">אפילו אם צוה האב שישב אצל היורשים אין שומעין לו </w:t>
      </w:r>
      <w:r>
        <w:rPr>
          <w:rFonts w:cs="Arial" w:hint="cs"/>
          <w:rtl/>
        </w:rPr>
        <w:t>(</w:t>
      </w:r>
      <w:r w:rsidRPr="00470E2C">
        <w:rPr>
          <w:rFonts w:cs="Arial"/>
          <w:rtl/>
        </w:rPr>
        <w:t xml:space="preserve">הראנ"ח ח"ב סי' </w:t>
      </w:r>
      <w:r>
        <w:rPr>
          <w:rFonts w:cs="Arial" w:hint="cs"/>
          <w:rtl/>
        </w:rPr>
        <w:t>מ)</w:t>
      </w:r>
      <w:r w:rsidRPr="00470E2C">
        <w:rPr>
          <w:rFonts w:cs="Arial"/>
          <w:rtl/>
        </w:rPr>
        <w:t xml:space="preserve">. אם הקרוב מוחל הירושה ונסתלק ממנה אין לחוש לרציחה </w:t>
      </w:r>
      <w:r>
        <w:rPr>
          <w:rFonts w:cs="Arial" w:hint="cs"/>
          <w:rtl/>
        </w:rPr>
        <w:t>(</w:t>
      </w:r>
      <w:r w:rsidRPr="00470E2C">
        <w:rPr>
          <w:rFonts w:cs="Arial"/>
          <w:rtl/>
        </w:rPr>
        <w:t>הר"ם מטראני ח"א סי' קסה</w:t>
      </w:r>
      <w:r>
        <w:rPr>
          <w:rFonts w:cs="Arial" w:hint="cs"/>
          <w:rtl/>
        </w:rPr>
        <w:t>)</w:t>
      </w:r>
      <w:r w:rsidRPr="00470E2C">
        <w:rPr>
          <w:rFonts w:cs="Arial"/>
          <w:rtl/>
        </w:rPr>
        <w:t xml:space="preserve">. אם היורשים הם עשירים ומיראי ה' וחושבי שמו אין לחוש לרציחה </w:t>
      </w:r>
      <w:r>
        <w:rPr>
          <w:rFonts w:cs="Arial" w:hint="cs"/>
          <w:rtl/>
        </w:rPr>
        <w:t>(</w:t>
      </w:r>
      <w:r w:rsidRPr="00470E2C">
        <w:rPr>
          <w:rFonts w:cs="Arial"/>
          <w:rtl/>
        </w:rPr>
        <w:t>ע' כנה"ג דף קג</w:t>
      </w:r>
      <w:r>
        <w:rPr>
          <w:rFonts w:cs="Arial" w:hint="cs"/>
          <w:rtl/>
        </w:rPr>
        <w:t>.)</w:t>
      </w:r>
      <w:r w:rsidRPr="00470E2C">
        <w:rPr>
          <w:rFonts w:cs="Arial"/>
          <w:rtl/>
        </w:rPr>
        <w:t>.</w:t>
      </w:r>
      <w:r>
        <w:rPr>
          <w:rFonts w:cs="Arial" w:hint="cs"/>
          <w:rtl/>
        </w:rPr>
        <w:t>..</w:t>
      </w:r>
      <w:r w:rsidRPr="00470E2C">
        <w:rPr>
          <w:rFonts w:cs="Arial"/>
          <w:rtl/>
        </w:rPr>
        <w:t xml:space="preserve"> בפחות מבן שש שאין מפרישין אותו מאמו</w:t>
      </w:r>
      <w:r>
        <w:rPr>
          <w:rFonts w:cs="Arial" w:hint="cs"/>
          <w:rtl/>
        </w:rPr>
        <w:t>,</w:t>
      </w:r>
      <w:r w:rsidRPr="00470E2C">
        <w:rPr>
          <w:rFonts w:cs="Arial"/>
          <w:rtl/>
        </w:rPr>
        <w:t xml:space="preserve"> הוא אפילו אם נשאת האם לאחר </w:t>
      </w:r>
      <w:r>
        <w:rPr>
          <w:rFonts w:cs="Arial" w:hint="cs"/>
          <w:rtl/>
        </w:rPr>
        <w:t>(</w:t>
      </w:r>
      <w:r w:rsidRPr="00470E2C">
        <w:rPr>
          <w:rFonts w:cs="Arial"/>
          <w:rtl/>
        </w:rPr>
        <w:t>כנה"ג בשם הרדב"ז</w:t>
      </w:r>
      <w:r w:rsidRPr="00652047">
        <w:rPr>
          <w:rtl/>
        </w:rPr>
        <w:t xml:space="preserve"> </w:t>
      </w:r>
      <w:r w:rsidRPr="00652047">
        <w:rPr>
          <w:rFonts w:cs="Arial"/>
          <w:rtl/>
        </w:rPr>
        <w:t>ח"א סי' תכ"ט</w:t>
      </w:r>
      <w:r>
        <w:rPr>
          <w:rFonts w:cs="Arial" w:hint="cs"/>
          <w:rtl/>
        </w:rPr>
        <w:t xml:space="preserve">, </w:t>
      </w:r>
      <w:r w:rsidRPr="00652047">
        <w:rPr>
          <w:rFonts w:cs="Arial"/>
          <w:rtl/>
        </w:rPr>
        <w:t>ושם כתב שזה מבואר בדברי הרמב"ם (שהובא בש"ע בסמוך) לענין הבת. והבן הצריך לאמו הרי הוא כבת כו'</w:t>
      </w:r>
      <w:r>
        <w:rPr>
          <w:rFonts w:cs="Arial" w:hint="cs"/>
          <w:rtl/>
        </w:rPr>
        <w:t>)</w:t>
      </w:r>
      <w:r w:rsidRPr="00470E2C">
        <w:rPr>
          <w:rFonts w:cs="Arial"/>
          <w:rtl/>
        </w:rPr>
        <w:t>. כי היכ</w:t>
      </w:r>
      <w:r>
        <w:rPr>
          <w:rFonts w:cs="Arial" w:hint="cs"/>
          <w:rtl/>
        </w:rPr>
        <w:t>י</w:t>
      </w:r>
      <w:r w:rsidRPr="00470E2C">
        <w:rPr>
          <w:rFonts w:cs="Arial"/>
          <w:rtl/>
        </w:rPr>
        <w:t xml:space="preserve"> דאב יכ</w:t>
      </w:r>
      <w:r w:rsidR="00672916">
        <w:rPr>
          <w:rFonts w:cs="Arial" w:hint="cs"/>
          <w:rtl/>
        </w:rPr>
        <w:t>ו</w:t>
      </w:r>
      <w:r w:rsidRPr="00470E2C">
        <w:rPr>
          <w:rFonts w:cs="Arial"/>
          <w:rtl/>
        </w:rPr>
        <w:t>ל להפריש את בנו אחר שש מאמו הכי נמי אבי אביו יכ</w:t>
      </w:r>
      <w:r w:rsidR="00672916">
        <w:rPr>
          <w:rFonts w:cs="Arial" w:hint="cs"/>
          <w:rtl/>
        </w:rPr>
        <w:t>ו</w:t>
      </w:r>
      <w:r w:rsidRPr="00470E2C">
        <w:rPr>
          <w:rFonts w:cs="Arial"/>
          <w:rtl/>
        </w:rPr>
        <w:t xml:space="preserve">ל להפרישו מאמו אחר ו' </w:t>
      </w:r>
      <w:r>
        <w:rPr>
          <w:rFonts w:cs="Arial" w:hint="cs"/>
          <w:rtl/>
        </w:rPr>
        <w:t>(</w:t>
      </w:r>
      <w:r w:rsidRPr="00470E2C">
        <w:rPr>
          <w:rFonts w:cs="Arial"/>
          <w:rtl/>
        </w:rPr>
        <w:t>הר"ם מטראני ח"א סי' קסה</w:t>
      </w:r>
      <w:r>
        <w:rPr>
          <w:rFonts w:cs="Arial" w:hint="cs"/>
          <w:rtl/>
        </w:rPr>
        <w:t>)</w:t>
      </w:r>
      <w:r w:rsidRPr="00470E2C">
        <w:rPr>
          <w:rFonts w:cs="Arial"/>
          <w:rtl/>
        </w:rPr>
        <w:t>. אם הקטן אחר היותו מבן ו' ומעלה אומר דניח</w:t>
      </w:r>
      <w:r>
        <w:rPr>
          <w:rFonts w:cs="Arial" w:hint="cs"/>
          <w:rtl/>
        </w:rPr>
        <w:t>א</w:t>
      </w:r>
      <w:r w:rsidRPr="00470E2C">
        <w:rPr>
          <w:rFonts w:cs="Arial"/>
          <w:rtl/>
        </w:rPr>
        <w:t xml:space="preserve"> ליה בצוות</w:t>
      </w:r>
      <w:r>
        <w:rPr>
          <w:rFonts w:cs="Arial" w:hint="cs"/>
          <w:rtl/>
        </w:rPr>
        <w:t>א</w:t>
      </w:r>
      <w:r w:rsidRPr="00470E2C">
        <w:rPr>
          <w:rFonts w:cs="Arial"/>
          <w:rtl/>
        </w:rPr>
        <w:t xml:space="preserve"> דאימ</w:t>
      </w:r>
      <w:r>
        <w:rPr>
          <w:rFonts w:cs="Arial" w:hint="cs"/>
          <w:rtl/>
        </w:rPr>
        <w:t>ו</w:t>
      </w:r>
      <w:r w:rsidRPr="00470E2C">
        <w:rPr>
          <w:rFonts w:cs="Arial"/>
          <w:rtl/>
        </w:rPr>
        <w:t xml:space="preserve"> לאו כל כמיניה דאפטרופס לעכב בידו </w:t>
      </w:r>
      <w:r>
        <w:rPr>
          <w:rFonts w:cs="Arial" w:hint="cs"/>
          <w:rtl/>
        </w:rPr>
        <w:t>(</w:t>
      </w:r>
      <w:r w:rsidRPr="00470E2C">
        <w:rPr>
          <w:rFonts w:cs="Arial"/>
          <w:rtl/>
        </w:rPr>
        <w:t>הר"ם אלשי"ך סי' לט</w:t>
      </w:r>
      <w:r>
        <w:rPr>
          <w:rFonts w:cs="Arial" w:hint="cs"/>
          <w:rtl/>
        </w:rPr>
        <w:t>).</w:t>
      </w:r>
    </w:p>
  </w:footnote>
  <w:footnote w:id="799">
    <w:p w14:paraId="491EEBD7" w14:textId="203A8F1C" w:rsidR="00DE2F5F" w:rsidRDefault="00DE2F5F">
      <w:pPr>
        <w:pStyle w:val="a5"/>
        <w:rPr>
          <w:rtl/>
        </w:rPr>
      </w:pPr>
      <w:r>
        <w:rPr>
          <w:rStyle w:val="a7"/>
        </w:rPr>
        <w:footnoteRef/>
      </w:r>
      <w:r>
        <w:rPr>
          <w:rtl/>
        </w:rPr>
        <w:t xml:space="preserve"> </w:t>
      </w:r>
      <w:r w:rsidRPr="00EB33DF">
        <w:rPr>
          <w:rFonts w:cs="Arial"/>
          <w:rtl/>
        </w:rPr>
        <w:t>רש"י פי' בת אצל אמה היינו אין כופין אות' להיות עם האב או אצל קרובים</w:t>
      </w:r>
      <w:r w:rsidR="00880886">
        <w:rPr>
          <w:rFonts w:cs="Arial" w:hint="cs"/>
          <w:rtl/>
        </w:rPr>
        <w:t>.</w:t>
      </w:r>
      <w:r w:rsidRPr="00EB33DF">
        <w:rPr>
          <w:rFonts w:cs="Arial"/>
          <w:rtl/>
        </w:rPr>
        <w:t xml:space="preserve"> מזה מדייק בתשובת מהר"מ פדוא"ה אם רצונה להיות אצל אביה אין אמה יכולה לכופה להיות אצלה</w:t>
      </w:r>
      <w:r>
        <w:rPr>
          <w:rFonts w:hint="cs"/>
          <w:rtl/>
        </w:rPr>
        <w:t>, ב"ש (סק"ט).</w:t>
      </w:r>
    </w:p>
  </w:footnote>
  <w:footnote w:id="800">
    <w:p w14:paraId="77B6235E" w14:textId="194FCB56" w:rsidR="00DE2F5F" w:rsidRDefault="00DE2F5F">
      <w:pPr>
        <w:pStyle w:val="a5"/>
      </w:pPr>
      <w:r>
        <w:rPr>
          <w:rStyle w:val="a7"/>
        </w:rPr>
        <w:footnoteRef/>
      </w:r>
      <w:r>
        <w:rPr>
          <w:rtl/>
        </w:rPr>
        <w:t xml:space="preserve"> </w:t>
      </w:r>
      <w:r w:rsidRPr="00470E2C">
        <w:rPr>
          <w:rFonts w:cs="Arial"/>
          <w:rtl/>
        </w:rPr>
        <w:t>אפילו מטופל</w:t>
      </w:r>
      <w:r>
        <w:rPr>
          <w:rFonts w:cs="Arial" w:hint="cs"/>
          <w:rtl/>
        </w:rPr>
        <w:t>ת</w:t>
      </w:r>
      <w:r w:rsidRPr="00470E2C">
        <w:rPr>
          <w:rFonts w:cs="Arial"/>
          <w:rtl/>
        </w:rPr>
        <w:t xml:space="preserve"> בבנים ובבנות </w:t>
      </w:r>
      <w:r>
        <w:rPr>
          <w:rFonts w:cs="Arial" w:hint="cs"/>
          <w:rtl/>
        </w:rPr>
        <w:t>(</w:t>
      </w:r>
      <w:r w:rsidRPr="00470E2C">
        <w:rPr>
          <w:rFonts w:cs="Arial"/>
          <w:rtl/>
        </w:rPr>
        <w:t>משפטי שמואל סימן צ'</w:t>
      </w:r>
      <w:r>
        <w:rPr>
          <w:rFonts w:cs="Arial" w:hint="cs"/>
          <w:rtl/>
        </w:rPr>
        <w:t>)</w:t>
      </w:r>
      <w:r w:rsidRPr="00470E2C">
        <w:rPr>
          <w:rFonts w:cs="Arial"/>
          <w:rtl/>
        </w:rPr>
        <w:t xml:space="preserve">. אפילו נתרצה האם שתשב הבת עם האב וחזרה בה ורוצה לקחתה עמה הבת אצל האם לעולם </w:t>
      </w:r>
      <w:r>
        <w:rPr>
          <w:rFonts w:cs="Arial" w:hint="cs"/>
          <w:rtl/>
        </w:rPr>
        <w:t>(</w:t>
      </w:r>
      <w:r w:rsidRPr="00470E2C">
        <w:rPr>
          <w:rFonts w:cs="Arial"/>
          <w:rtl/>
        </w:rPr>
        <w:t>הרמ"ט ח"ג סי' ס"ב</w:t>
      </w:r>
      <w:r>
        <w:rPr>
          <w:rFonts w:cs="Arial" w:hint="cs"/>
          <w:rtl/>
        </w:rPr>
        <w:t>)</w:t>
      </w:r>
      <w:r w:rsidRPr="00470E2C">
        <w:rPr>
          <w:rFonts w:cs="Arial"/>
          <w:rtl/>
        </w:rPr>
        <w:t xml:space="preserve">. אם הבת רוצה לישב עם אחיה אין כופין אותה לישב אצל אמה. ובגוונא דליכא למיחש לרציחה </w:t>
      </w:r>
      <w:r>
        <w:rPr>
          <w:rFonts w:cs="Arial" w:hint="cs"/>
          <w:rtl/>
        </w:rPr>
        <w:t>(</w:t>
      </w:r>
      <w:r w:rsidRPr="00470E2C">
        <w:rPr>
          <w:rFonts w:cs="Arial"/>
          <w:rtl/>
        </w:rPr>
        <w:t>הר"ם פדוואה סימן נ"ג</w:t>
      </w:r>
      <w:r>
        <w:rPr>
          <w:rFonts w:cs="Arial" w:hint="cs"/>
          <w:rtl/>
        </w:rPr>
        <w:t>)</w:t>
      </w:r>
      <w:r w:rsidRPr="00470E2C">
        <w:rPr>
          <w:rFonts w:cs="Arial"/>
          <w:rtl/>
        </w:rPr>
        <w:t xml:space="preserve">. וה"ה אם רצון הבת להיות אצל אביה אין אמה יכולה לכופה להיות אצלה </w:t>
      </w:r>
      <w:r>
        <w:rPr>
          <w:rFonts w:cs="Arial" w:hint="cs"/>
          <w:rtl/>
        </w:rPr>
        <w:t>(</w:t>
      </w:r>
      <w:r w:rsidRPr="00470E2C">
        <w:rPr>
          <w:rFonts w:cs="Arial"/>
          <w:rtl/>
        </w:rPr>
        <w:t>הר"ם פדואה שם</w:t>
      </w:r>
      <w:r>
        <w:rPr>
          <w:rFonts w:cs="Arial" w:hint="cs"/>
          <w:rtl/>
        </w:rPr>
        <w:t>)</w:t>
      </w:r>
      <w:r w:rsidRPr="00470E2C">
        <w:rPr>
          <w:rFonts w:cs="Arial"/>
          <w:rtl/>
        </w:rPr>
        <w:t>. אפילו תלך האם לעיר אחרת תהיה עמה</w:t>
      </w:r>
      <w:r>
        <w:rPr>
          <w:rFonts w:cs="Arial" w:hint="cs"/>
          <w:rtl/>
        </w:rPr>
        <w:t>,</w:t>
      </w:r>
      <w:r w:rsidRPr="00470E2C">
        <w:rPr>
          <w:rFonts w:cs="Arial"/>
          <w:rtl/>
        </w:rPr>
        <w:t xml:space="preserve"> מהריב"ל. ורשד"ם חולק כמ"ש לעיל סימן פ' סקט"ו</w:t>
      </w:r>
      <w:r>
        <w:rPr>
          <w:rFonts w:cs="Arial" w:hint="cs"/>
          <w:rtl/>
        </w:rPr>
        <w:t>, באה"ט (סק"ו).</w:t>
      </w:r>
    </w:p>
  </w:footnote>
  <w:footnote w:id="801">
    <w:p w14:paraId="1E00C27A" w14:textId="4AE2DC9C" w:rsidR="00DE2F5F" w:rsidRDefault="00DE2F5F">
      <w:pPr>
        <w:pStyle w:val="a5"/>
      </w:pPr>
      <w:r>
        <w:rPr>
          <w:rStyle w:val="a7"/>
        </w:rPr>
        <w:footnoteRef/>
      </w:r>
      <w:r>
        <w:rPr>
          <w:rtl/>
        </w:rPr>
        <w:t xml:space="preserve"> </w:t>
      </w:r>
      <w:r w:rsidRPr="00E31FD6">
        <w:rPr>
          <w:rFonts w:cs="Arial"/>
          <w:rtl/>
        </w:rPr>
        <w:t>המעיין בתשובה יראה שהרב לא החליט הדין למעשה</w:t>
      </w:r>
      <w:r w:rsidR="007476E1">
        <w:rPr>
          <w:rFonts w:cs="Arial" w:hint="cs"/>
          <w:rtl/>
        </w:rPr>
        <w:t>,</w:t>
      </w:r>
      <w:r w:rsidRPr="00E31FD6">
        <w:rPr>
          <w:rFonts w:cs="Arial"/>
          <w:rtl/>
        </w:rPr>
        <w:t xml:space="preserve"> רק שכ' שאין הדבר פשוט כ"כ שיהיה הדין עם האם</w:t>
      </w:r>
      <w:r w:rsidR="007476E1">
        <w:rPr>
          <w:rFonts w:cs="Arial" w:hint="cs"/>
          <w:rtl/>
        </w:rPr>
        <w:t>,</w:t>
      </w:r>
      <w:r w:rsidRPr="00E31FD6">
        <w:rPr>
          <w:rFonts w:cs="Arial"/>
          <w:rtl/>
        </w:rPr>
        <w:t xml:space="preserve"> דיש מקום לומר אם הב"ד רואה שטוב ליתומים להיות אצל בית אביה הרשות ביד הבית דין</w:t>
      </w:r>
      <w:r w:rsidR="00A27214">
        <w:rPr>
          <w:rFonts w:cs="Arial" w:hint="cs"/>
          <w:rtl/>
        </w:rPr>
        <w:t>,</w:t>
      </w:r>
      <w:r w:rsidRPr="00E31FD6">
        <w:rPr>
          <w:rFonts w:cs="Arial"/>
          <w:rtl/>
        </w:rPr>
        <w:t xml:space="preserve"> ולא אמרו בגמרא הבת אצל אמה אלא בשניהם שוים</w:t>
      </w:r>
      <w:r w:rsidR="00A27214">
        <w:rPr>
          <w:rFonts w:cs="Arial" w:hint="cs"/>
          <w:rtl/>
        </w:rPr>
        <w:t>.</w:t>
      </w:r>
      <w:r w:rsidRPr="00E31FD6">
        <w:rPr>
          <w:rFonts w:cs="Arial"/>
          <w:rtl/>
        </w:rPr>
        <w:t xml:space="preserve"> ועוד דאפשר לומר דאם אין הבת רוצה להיות אצל אמה הרשות בידה</w:t>
      </w:r>
      <w:r w:rsidR="00A27214">
        <w:rPr>
          <w:rFonts w:cs="Arial" w:hint="cs"/>
          <w:rtl/>
        </w:rPr>
        <w:t>,</w:t>
      </w:r>
      <w:r w:rsidRPr="00E31FD6">
        <w:rPr>
          <w:rFonts w:cs="Arial"/>
          <w:rtl/>
        </w:rPr>
        <w:t xml:space="preserve"> ודקדק כן מל' רש"י</w:t>
      </w:r>
      <w:r w:rsidR="00A27214">
        <w:rPr>
          <w:rFonts w:cs="Arial" w:hint="cs"/>
          <w:rtl/>
        </w:rPr>
        <w:t>,</w:t>
      </w:r>
      <w:r w:rsidRPr="00E31FD6">
        <w:rPr>
          <w:rFonts w:cs="Arial"/>
          <w:rtl/>
        </w:rPr>
        <w:t xml:space="preserve"> ולא אמרו בגמרא הבת אצל האם אלא בדלא איכפ' לה לבת אצל מי תהיה</w:t>
      </w:r>
      <w:r w:rsidR="00A27214">
        <w:rPr>
          <w:rFonts w:cs="Arial" w:hint="cs"/>
          <w:rtl/>
        </w:rPr>
        <w:t>.</w:t>
      </w:r>
      <w:r w:rsidRPr="00E31FD6">
        <w:rPr>
          <w:rFonts w:cs="Arial"/>
          <w:rtl/>
        </w:rPr>
        <w:t xml:space="preserve"> ולפ"ז מ"ש כאן הרב אין האם יכולה לכוף</w:t>
      </w:r>
      <w:r w:rsidR="00A27214">
        <w:rPr>
          <w:rFonts w:cs="Arial" w:hint="cs"/>
          <w:rtl/>
        </w:rPr>
        <w:t>,</w:t>
      </w:r>
      <w:r w:rsidRPr="00E31FD6">
        <w:rPr>
          <w:rFonts w:cs="Arial"/>
          <w:rtl/>
        </w:rPr>
        <w:t xml:space="preserve"> היינו את הבת אינה יכולה לכוף אם אינה רוצה להיות אצל האם</w:t>
      </w:r>
      <w:r w:rsidR="00A27214">
        <w:rPr>
          <w:rFonts w:cs="Arial" w:hint="cs"/>
          <w:rtl/>
        </w:rPr>
        <w:t>,</w:t>
      </w:r>
      <w:r w:rsidRPr="00E31FD6">
        <w:rPr>
          <w:rFonts w:cs="Arial"/>
          <w:rtl/>
        </w:rPr>
        <w:t xml:space="preserve"> אבל אם הבת שותקת ולא איכפת לה אף שלב"ד נראה שטוב לה אצל בית אביה מ"מ יש להתיישב בדבר למעשה אם לעקור מה שאמרו חכמים הבת אצל האם בשביל אומדנא של הב"ד</w:t>
      </w:r>
      <w:r>
        <w:rPr>
          <w:rFonts w:cs="Arial" w:hint="cs"/>
          <w:rtl/>
        </w:rPr>
        <w:t>, ח"מ (סק"י). ו</w:t>
      </w:r>
      <w:r w:rsidR="00F11CDD">
        <w:rPr>
          <w:rFonts w:cs="Arial" w:hint="cs"/>
          <w:rtl/>
        </w:rPr>
        <w:t>כ"כ</w:t>
      </w:r>
      <w:r>
        <w:rPr>
          <w:rFonts w:cs="Arial" w:hint="cs"/>
          <w:rtl/>
        </w:rPr>
        <w:t xml:space="preserve"> הב"ש (סק"י)</w:t>
      </w:r>
      <w:r w:rsidR="00F11CDD">
        <w:rPr>
          <w:rFonts w:cs="Arial" w:hint="cs"/>
          <w:rtl/>
        </w:rPr>
        <w:t>.</w:t>
      </w:r>
    </w:p>
  </w:footnote>
  <w:footnote w:id="802">
    <w:p w14:paraId="6A09E9A7" w14:textId="0628C5B3" w:rsidR="00DE2F5F" w:rsidRDefault="00DE2F5F">
      <w:pPr>
        <w:pStyle w:val="a5"/>
      </w:pPr>
      <w:r>
        <w:rPr>
          <w:rStyle w:val="a7"/>
        </w:rPr>
        <w:footnoteRef/>
      </w:r>
      <w:r>
        <w:rPr>
          <w:rtl/>
        </w:rPr>
        <w:t xml:space="preserve"> </w:t>
      </w:r>
      <w:r w:rsidRPr="003215D7">
        <w:rPr>
          <w:rFonts w:cs="Arial"/>
          <w:rtl/>
        </w:rPr>
        <w:t>כ' בח"מ אם אין האב קיים אפשר לומר שיש לאם אמה עילוי על בית אביה לגדל הבנים עד שש שנים גם להיות הבת אצלה</w:t>
      </w:r>
      <w:r>
        <w:rPr>
          <w:rFonts w:cs="Arial" w:hint="cs"/>
          <w:rtl/>
        </w:rPr>
        <w:t>, ב"ש (סקי"א).</w:t>
      </w:r>
    </w:p>
  </w:footnote>
  <w:footnote w:id="803">
    <w:p w14:paraId="51AE6488" w14:textId="3754292A" w:rsidR="00DE2F5F" w:rsidRDefault="00DE2F5F">
      <w:pPr>
        <w:pStyle w:val="a5"/>
      </w:pPr>
      <w:r>
        <w:rPr>
          <w:rStyle w:val="a7"/>
        </w:rPr>
        <w:footnoteRef/>
      </w:r>
      <w:r>
        <w:rPr>
          <w:rtl/>
        </w:rPr>
        <w:t xml:space="preserve"> </w:t>
      </w:r>
      <w:r w:rsidRPr="00E31FD6">
        <w:rPr>
          <w:rFonts w:cs="Arial"/>
          <w:rtl/>
        </w:rPr>
        <w:t>כי בזה לא שייך דברי הה"מ שהביא הח"מ סק"ח ע"ש וכ"כ הבה"ט סק"ה בשם רשד"ם סי' קכ"ג</w:t>
      </w:r>
      <w:r>
        <w:rPr>
          <w:rFonts w:cs="Arial" w:hint="cs"/>
          <w:rtl/>
        </w:rPr>
        <w:t>, פת"ש (סק"ד).</w:t>
      </w:r>
    </w:p>
  </w:footnote>
  <w:footnote w:id="804">
    <w:p w14:paraId="2198D08C" w14:textId="24F8332F" w:rsidR="00DE2F5F" w:rsidRDefault="00DE2F5F">
      <w:pPr>
        <w:pStyle w:val="a5"/>
        <w:rPr>
          <w:rtl/>
        </w:rPr>
      </w:pPr>
      <w:r>
        <w:rPr>
          <w:rStyle w:val="a7"/>
        </w:rPr>
        <w:footnoteRef/>
      </w:r>
      <w:r>
        <w:rPr>
          <w:rtl/>
        </w:rPr>
        <w:t xml:space="preserve"> </w:t>
      </w:r>
      <w:r w:rsidRPr="00E31FD6">
        <w:rPr>
          <w:rFonts w:cs="Arial"/>
          <w:rtl/>
        </w:rPr>
        <w:t>כאן משמע שאין על האם שום חיוב לגדל את בניה אחר שגמלתן וכבר כתבתי שגם קודם שגמלתן אין עליה חיוב להניק בחנם ודלא כמ"ש לעיל בסעיף ה' בשם ר' ירוחם שאם אין לאב כופין אותה</w:t>
      </w:r>
      <w:r>
        <w:rPr>
          <w:rFonts w:hint="cs"/>
          <w:rtl/>
        </w:rPr>
        <w:t>, ח"מ (סקי"ב).</w:t>
      </w:r>
    </w:p>
  </w:footnote>
  <w:footnote w:id="805">
    <w:p w14:paraId="4F73FB6A" w14:textId="3BE52E08" w:rsidR="009A7DA9" w:rsidRDefault="009A7DA9">
      <w:pPr>
        <w:pStyle w:val="a5"/>
      </w:pPr>
      <w:r>
        <w:rPr>
          <w:rStyle w:val="a7"/>
        </w:rPr>
        <w:footnoteRef/>
      </w:r>
      <w:r>
        <w:rPr>
          <w:rtl/>
        </w:rPr>
        <w:t xml:space="preserve"> </w:t>
      </w:r>
      <w:r>
        <w:rPr>
          <w:rFonts w:hint="cs"/>
          <w:rtl/>
        </w:rPr>
        <w:t xml:space="preserve">סימן - סבלה הימנו. וכן </w:t>
      </w:r>
      <w:r w:rsidR="005F5A34">
        <w:rPr>
          <w:rFonts w:hint="cs"/>
          <w:rtl/>
        </w:rPr>
        <w:t>- סבלה היא.</w:t>
      </w:r>
    </w:p>
  </w:footnote>
  <w:footnote w:id="806">
    <w:p w14:paraId="4126DEC3" w14:textId="77777777" w:rsidR="00DE2F5F" w:rsidRDefault="00DE2F5F" w:rsidP="00755AE8">
      <w:pPr>
        <w:pStyle w:val="a5"/>
      </w:pPr>
      <w:r>
        <w:rPr>
          <w:rStyle w:val="a7"/>
        </w:rPr>
        <w:footnoteRef/>
      </w:r>
      <w:r>
        <w:rPr>
          <w:rtl/>
        </w:rPr>
        <w:t xml:space="preserve"> </w:t>
      </w:r>
      <w:r>
        <w:rPr>
          <w:rFonts w:cs="Arial"/>
          <w:rtl/>
        </w:rPr>
        <w:t>ופסקו הרי"ף (כח:) והרמב"ם (שם) והרא"ש (סי' ב) כמותו משום דשקלי וטרו בגמרא אליביה ופירש רש"י (ד"ה ובזמן) דטעמא דבזמן שבגלוי לו שני חלקים משום דהבשת שלו ועוד שנמאסת עליו והוא סובל. וכתב הרמב"ם בפ"ד מהלכות חובל (שם) דבגלוי היינו כגון שחבל בפניה ובצוארה או בידיה וזרועותיה</w:t>
      </w:r>
      <w:r>
        <w:rPr>
          <w:rFonts w:cs="Arial" w:hint="cs"/>
          <w:rtl/>
        </w:rPr>
        <w:t>, ב"י.</w:t>
      </w:r>
    </w:p>
  </w:footnote>
  <w:footnote w:id="807">
    <w:p w14:paraId="0B3CA8A6" w14:textId="77777777" w:rsidR="00DE2F5F" w:rsidRDefault="00DE2F5F" w:rsidP="00755AE8">
      <w:pPr>
        <w:pStyle w:val="a5"/>
      </w:pPr>
      <w:r>
        <w:rPr>
          <w:rStyle w:val="a7"/>
        </w:rPr>
        <w:footnoteRef/>
      </w:r>
      <w:r>
        <w:rPr>
          <w:rtl/>
        </w:rPr>
        <w:t xml:space="preserve"> </w:t>
      </w:r>
      <w:r>
        <w:rPr>
          <w:rFonts w:cs="Arial"/>
          <w:rtl/>
        </w:rPr>
        <w:t>כל ימי החולי רואין אותו כאלו הוא שומר קישואין ונותן שכירותו של כל יום שהרי אין ראוי למלאכה כבדה אפילו בלא חולי שהרי כבר נקטעה ידו ורגלו והוא כבר נתן לו דמיהן</w:t>
      </w:r>
      <w:r>
        <w:rPr>
          <w:rFonts w:cs="Arial" w:hint="cs"/>
          <w:rtl/>
        </w:rPr>
        <w:t>, רש"י.</w:t>
      </w:r>
    </w:p>
  </w:footnote>
  <w:footnote w:id="808">
    <w:p w14:paraId="311E988F" w14:textId="77777777" w:rsidR="00DE2F5F" w:rsidRDefault="00DE2F5F" w:rsidP="00755AE8">
      <w:pPr>
        <w:pStyle w:val="a5"/>
      </w:pPr>
      <w:r>
        <w:rPr>
          <w:rStyle w:val="a7"/>
        </w:rPr>
        <w:footnoteRef/>
      </w:r>
      <w:r>
        <w:rPr>
          <w:rtl/>
        </w:rPr>
        <w:t xml:space="preserve"> </w:t>
      </w:r>
      <w:r>
        <w:rPr>
          <w:rFonts w:cs="Arial"/>
          <w:rtl/>
        </w:rPr>
        <w:t>דמי ידו</w:t>
      </w:r>
      <w:r>
        <w:rPr>
          <w:rFonts w:cs="Arial" w:hint="cs"/>
          <w:rtl/>
        </w:rPr>
        <w:t>, רש"י.</w:t>
      </w:r>
    </w:p>
  </w:footnote>
  <w:footnote w:id="809">
    <w:p w14:paraId="7DCF7EE3" w14:textId="77777777" w:rsidR="00DE2F5F" w:rsidRDefault="00DE2F5F" w:rsidP="00755AE8">
      <w:pPr>
        <w:pStyle w:val="a5"/>
        <w:rPr>
          <w:rtl/>
        </w:rPr>
      </w:pPr>
      <w:r>
        <w:rPr>
          <w:rStyle w:val="a7"/>
        </w:rPr>
        <w:footnoteRef/>
      </w:r>
      <w:r>
        <w:rPr>
          <w:rtl/>
        </w:rPr>
        <w:t xml:space="preserve"> </w:t>
      </w:r>
      <w:r>
        <w:rPr>
          <w:rFonts w:cs="Arial"/>
          <w:rtl/>
        </w:rPr>
        <w:t>כל ימים שיפול למשכב רואין אותו כאילו הוא שומר קישואין</w:t>
      </w:r>
      <w:r>
        <w:rPr>
          <w:rFonts w:hint="cs"/>
          <w:rtl/>
        </w:rPr>
        <w:t>, רש"י.</w:t>
      </w:r>
    </w:p>
  </w:footnote>
  <w:footnote w:id="810">
    <w:p w14:paraId="1C43BB9C" w14:textId="77777777" w:rsidR="00DE2F5F" w:rsidRDefault="00DE2F5F" w:rsidP="00755AE8">
      <w:pPr>
        <w:pStyle w:val="a5"/>
      </w:pPr>
      <w:r>
        <w:rPr>
          <w:rStyle w:val="a7"/>
        </w:rPr>
        <w:footnoteRef/>
      </w:r>
      <w:r>
        <w:rPr>
          <w:rtl/>
        </w:rPr>
        <w:t xml:space="preserve"> </w:t>
      </w:r>
      <w:r>
        <w:rPr>
          <w:rFonts w:cs="Arial"/>
          <w:rtl/>
        </w:rPr>
        <w:t>עד שיחזור לקדמותו נותן לו בכל יום כמו שנשכרים פועלים בשוק ולא כשומר קישואין דהא לרבא לא יהיב ליה דמי ידו</w:t>
      </w:r>
      <w:r>
        <w:rPr>
          <w:rFonts w:cs="Arial" w:hint="cs"/>
          <w:rtl/>
        </w:rPr>
        <w:t>, רש"י.</w:t>
      </w:r>
    </w:p>
  </w:footnote>
  <w:footnote w:id="811">
    <w:p w14:paraId="7EAF5A29" w14:textId="53D6596D" w:rsidR="00DE2F5F" w:rsidRDefault="00DE2F5F">
      <w:pPr>
        <w:pStyle w:val="a5"/>
      </w:pPr>
      <w:r>
        <w:rPr>
          <w:rStyle w:val="a7"/>
        </w:rPr>
        <w:footnoteRef/>
      </w:r>
      <w:r>
        <w:rPr>
          <w:rtl/>
        </w:rPr>
        <w:t xml:space="preserve"> </w:t>
      </w:r>
      <w:r>
        <w:rPr>
          <w:rFonts w:cs="Arial"/>
          <w:rtl/>
        </w:rPr>
        <w:t>דין אשה שחבלה בבעלה ואיש שחבל באשתו כתב רבינו בטור חשן המשפט סימן תכ"ג</w:t>
      </w:r>
      <w:r>
        <w:rPr>
          <w:rFonts w:cs="Arial" w:hint="cs"/>
          <w:rtl/>
        </w:rPr>
        <w:t>, ב"י.</w:t>
      </w:r>
    </w:p>
  </w:footnote>
  <w:footnote w:id="812">
    <w:p w14:paraId="79687DDD" w14:textId="052870F0" w:rsidR="00DE2F5F" w:rsidRDefault="00DE2F5F">
      <w:pPr>
        <w:pStyle w:val="a5"/>
      </w:pPr>
      <w:r>
        <w:rPr>
          <w:rStyle w:val="a7"/>
        </w:rPr>
        <w:footnoteRef/>
      </w:r>
      <w:r>
        <w:rPr>
          <w:rtl/>
        </w:rPr>
        <w:t xml:space="preserve"> </w:t>
      </w:r>
      <w:r>
        <w:rPr>
          <w:rFonts w:cs="Arial"/>
          <w:rtl/>
        </w:rPr>
        <w:t>לאו שלו לגמרי קאמר דהא אף במומין שבגלוי יש לה חלק כדבסמוך אלא היינו לומר דיש לו חלק בהם</w:t>
      </w:r>
      <w:r>
        <w:rPr>
          <w:rFonts w:cs="Arial" w:hint="cs"/>
          <w:rtl/>
        </w:rPr>
        <w:t>.</w:t>
      </w:r>
      <w:r>
        <w:rPr>
          <w:rFonts w:cs="Arial"/>
          <w:rtl/>
        </w:rPr>
        <w:t xml:space="preserve"> א"נ</w:t>
      </w:r>
      <w:r>
        <w:rPr>
          <w:rFonts w:cs="Arial" w:hint="cs"/>
          <w:rtl/>
        </w:rPr>
        <w:t>,</w:t>
      </w:r>
      <w:r>
        <w:rPr>
          <w:rFonts w:cs="Arial"/>
          <w:rtl/>
        </w:rPr>
        <w:t xml:space="preserve"> דכיון דאפילו חלק שלה ילקח בו קרקע והוא אוכל פירות שפיר מיקרי שלו</w:t>
      </w:r>
      <w:r>
        <w:rPr>
          <w:rFonts w:cs="Arial" w:hint="cs"/>
          <w:rtl/>
        </w:rPr>
        <w:t>, ב"י.</w:t>
      </w:r>
    </w:p>
  </w:footnote>
  <w:footnote w:id="813">
    <w:p w14:paraId="0059C531" w14:textId="281C6C38" w:rsidR="00DE2F5F" w:rsidRDefault="00DE2F5F">
      <w:pPr>
        <w:pStyle w:val="a5"/>
      </w:pPr>
      <w:r>
        <w:rPr>
          <w:rStyle w:val="a7"/>
        </w:rPr>
        <w:footnoteRef/>
      </w:r>
      <w:r>
        <w:rPr>
          <w:rtl/>
        </w:rPr>
        <w:t xml:space="preserve"> </w:t>
      </w:r>
      <w:r>
        <w:rPr>
          <w:rFonts w:cs="Arial" w:hint="cs"/>
          <w:rtl/>
        </w:rPr>
        <w:t>ו</w:t>
      </w:r>
      <w:r>
        <w:rPr>
          <w:rFonts w:cs="Arial"/>
          <w:rtl/>
        </w:rPr>
        <w:t xml:space="preserve">הרא"ש </w:t>
      </w:r>
      <w:r>
        <w:rPr>
          <w:rFonts w:cs="Arial" w:hint="cs"/>
          <w:rtl/>
        </w:rPr>
        <w:t xml:space="preserve">כתב דלא נהירא כדברי </w:t>
      </w:r>
      <w:r>
        <w:rPr>
          <w:rFonts w:cs="Arial"/>
          <w:rtl/>
        </w:rPr>
        <w:t>הרמב"ם</w:t>
      </w:r>
      <w:r>
        <w:rPr>
          <w:rFonts w:cs="Arial" w:hint="cs"/>
          <w:rtl/>
        </w:rPr>
        <w:t xml:space="preserve"> בזה. וכתב הב"י דדברי הרמב"ם מתיישבים </w:t>
      </w:r>
      <w:r>
        <w:rPr>
          <w:rFonts w:cs="Arial"/>
          <w:rtl/>
        </w:rPr>
        <w:t>מתוך דברי הרב המגיד שכתב שהריפוי ינתן לבעל מפני שהוא חייב לרפאתה</w:t>
      </w:r>
      <w:r>
        <w:rPr>
          <w:rFonts w:cs="Arial" w:hint="cs"/>
          <w:rtl/>
        </w:rPr>
        <w:t>.</w:t>
      </w:r>
      <w:r>
        <w:rPr>
          <w:rFonts w:cs="Arial"/>
          <w:rtl/>
        </w:rPr>
        <w:t xml:space="preserve"> וכן כתב הר"ן בר</w:t>
      </w:r>
      <w:r>
        <w:rPr>
          <w:rFonts w:cs="Arial" w:hint="cs"/>
          <w:rtl/>
        </w:rPr>
        <w:t>"</w:t>
      </w:r>
      <w:r>
        <w:rPr>
          <w:rFonts w:cs="Arial"/>
          <w:rtl/>
        </w:rPr>
        <w:t>פ מציאת האשה (כח: ד"ה מציאת) דהא דלא תנא במתניתין ריפוי משום דלדידיה בעי למיתן דהא איהו מחייב לרפאתה</w:t>
      </w:r>
      <w:r>
        <w:rPr>
          <w:rFonts w:hint="cs"/>
          <w:rtl/>
        </w:rPr>
        <w:t>.</w:t>
      </w:r>
    </w:p>
  </w:footnote>
  <w:footnote w:id="814">
    <w:p w14:paraId="345B430C" w14:textId="085CB0D1" w:rsidR="00DE2F5F" w:rsidRDefault="00DE2F5F">
      <w:pPr>
        <w:pStyle w:val="a5"/>
      </w:pPr>
      <w:r>
        <w:rPr>
          <w:rStyle w:val="a7"/>
        </w:rPr>
        <w:footnoteRef/>
      </w:r>
      <w:r>
        <w:rPr>
          <w:rtl/>
        </w:rPr>
        <w:t xml:space="preserve"> </w:t>
      </w:r>
      <w:r>
        <w:rPr>
          <w:rFonts w:cs="Arial"/>
          <w:rtl/>
        </w:rPr>
        <w:t>וכתבו הרב המגיד והר"ן (כח: ד"ה גמ' תנן) בשם הרשב"א (סה: ד"ה שלו) שיש נותנים טעם לדברי הרמב"ם משום דמדינא בשתה ופגמה שלה כרבנן</w:t>
      </w:r>
      <w:r>
        <w:rPr>
          <w:rFonts w:cs="Arial" w:hint="cs"/>
          <w:rtl/>
        </w:rPr>
        <w:t>,</w:t>
      </w:r>
      <w:r>
        <w:rPr>
          <w:rFonts w:cs="Arial"/>
          <w:rtl/>
        </w:rPr>
        <w:t xml:space="preserve"> ועד כאן לא פליג רבי יהודה בן בתירא אלא משום דאית ליה בושת בבשתה ומצטער בפגמה כדאיתא בירושלמי (כתובות פ"ו סוף ה"א)</w:t>
      </w:r>
      <w:r>
        <w:rPr>
          <w:rFonts w:cs="Arial" w:hint="cs"/>
          <w:rtl/>
        </w:rPr>
        <w:t>,</w:t>
      </w:r>
      <w:r>
        <w:rPr>
          <w:rFonts w:cs="Arial"/>
          <w:rtl/>
        </w:rPr>
        <w:t xml:space="preserve"> והילכך כשהוא בעצמו חבל בה מפני מה נוטל שהוא בייש את עצמו</w:t>
      </w:r>
      <w:r>
        <w:rPr>
          <w:rFonts w:cs="Arial" w:hint="cs"/>
          <w:rtl/>
        </w:rPr>
        <w:t>.</w:t>
      </w:r>
      <w:r>
        <w:rPr>
          <w:rFonts w:cs="Arial"/>
          <w:rtl/>
        </w:rPr>
        <w:t xml:space="preserve"> וכתב הר"ן על זה דאכתי הוא תמה על הרמב"ם למה אין הבעל אוכל פירות</w:t>
      </w:r>
      <w:r>
        <w:rPr>
          <w:rFonts w:cs="Arial" w:hint="cs"/>
          <w:rtl/>
        </w:rPr>
        <w:t>,</w:t>
      </w:r>
      <w:r>
        <w:rPr>
          <w:rFonts w:cs="Arial"/>
          <w:rtl/>
        </w:rPr>
        <w:t xml:space="preserve"> והאריך בזה</w:t>
      </w:r>
      <w:r>
        <w:rPr>
          <w:rFonts w:cs="Arial" w:hint="cs"/>
          <w:rtl/>
        </w:rPr>
        <w:t>.</w:t>
      </w:r>
      <w:r>
        <w:rPr>
          <w:rFonts w:cs="Arial"/>
          <w:rtl/>
        </w:rPr>
        <w:t xml:space="preserve"> ומיהו רבינו כתב בסימן פ"ה (קכה.) בשם הגאונים דקנסו אותו שאין לו בו כלום ואינו אוכל פירותיהם</w:t>
      </w:r>
      <w:r>
        <w:rPr>
          <w:rFonts w:cs="Arial" w:hint="cs"/>
          <w:rtl/>
        </w:rPr>
        <w:t>,</w:t>
      </w:r>
      <w:r>
        <w:rPr>
          <w:rFonts w:cs="Arial"/>
          <w:rtl/>
        </w:rPr>
        <w:t xml:space="preserve"> וכך הם דברי הראב"ד שהביא רבינו כאן</w:t>
      </w:r>
      <w:r>
        <w:rPr>
          <w:rFonts w:cs="Arial" w:hint="cs"/>
          <w:rtl/>
        </w:rPr>
        <w:t>, ב"י.</w:t>
      </w:r>
    </w:p>
  </w:footnote>
  <w:footnote w:id="815">
    <w:p w14:paraId="6DC4D8D0" w14:textId="7EEFE378" w:rsidR="00DE2F5F" w:rsidRDefault="00DE2F5F" w:rsidP="003601A4">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Pr>
          <w:rFonts w:cs="Arial"/>
          <w:rtl/>
        </w:rPr>
        <w:t>א"א תימה הוא למה הורו שישלם הכל הרי הוא נוטל בשל אחרים שליש או שני שלישים וכשחבל בה הוא למה ישלם הכל. ואולי טעה בדבריהם שלא אמרו אלא על מה שראוי לה וקנסו אותו שלא יאכל מהם פירות דבמקום פסידא לא תקון רבנן והוא עושה שלא כהוגן דין הוא שלא יהא חוטא נשכר</w:t>
      </w:r>
      <w:r>
        <w:rPr>
          <w:rFonts w:cs="Arial" w:hint="cs"/>
          <w:rtl/>
        </w:rPr>
        <w:t>.</w:t>
      </w:r>
    </w:p>
  </w:footnote>
  <w:footnote w:id="816">
    <w:p w14:paraId="43698196" w14:textId="381831BB" w:rsidR="00E51D02" w:rsidRDefault="00E51D02">
      <w:pPr>
        <w:pStyle w:val="a5"/>
      </w:pPr>
      <w:r>
        <w:rPr>
          <w:rStyle w:val="a7"/>
        </w:rPr>
        <w:footnoteRef/>
      </w:r>
      <w:r>
        <w:rPr>
          <w:rtl/>
        </w:rPr>
        <w:t xml:space="preserve"> </w:t>
      </w:r>
      <w:r>
        <w:rPr>
          <w:rFonts w:hint="cs"/>
          <w:rtl/>
        </w:rPr>
        <w:t xml:space="preserve">היינו שני שליש </w:t>
      </w:r>
      <w:r w:rsidR="00E57B05">
        <w:rPr>
          <w:rFonts w:hint="cs"/>
          <w:rtl/>
        </w:rPr>
        <w:t xml:space="preserve">אם הוא בסתר, </w:t>
      </w:r>
      <w:r>
        <w:rPr>
          <w:rFonts w:hint="cs"/>
          <w:rtl/>
        </w:rPr>
        <w:t>או שליש</w:t>
      </w:r>
      <w:r w:rsidR="00E57B05">
        <w:rPr>
          <w:rFonts w:hint="cs"/>
          <w:rtl/>
        </w:rPr>
        <w:t xml:space="preserve"> אם הוא בגלוי,</w:t>
      </w:r>
      <w:r>
        <w:rPr>
          <w:rFonts w:hint="cs"/>
          <w:rtl/>
        </w:rPr>
        <w:t xml:space="preserve"> כדלעיל.</w:t>
      </w:r>
    </w:p>
  </w:footnote>
  <w:footnote w:id="817">
    <w:p w14:paraId="329D46D7" w14:textId="1BE0C7D2" w:rsidR="00DE2F5F" w:rsidRDefault="00DE2F5F">
      <w:pPr>
        <w:pStyle w:val="a5"/>
      </w:pPr>
      <w:r>
        <w:rPr>
          <w:rStyle w:val="a7"/>
        </w:rPr>
        <w:footnoteRef/>
      </w:r>
      <w:r>
        <w:rPr>
          <w:rtl/>
        </w:rPr>
        <w:t xml:space="preserve"> </w:t>
      </w:r>
      <w:r>
        <w:rPr>
          <w:rFonts w:cs="Arial"/>
          <w:rtl/>
        </w:rPr>
        <w:t>פשוט הוא דכיון דבחלקה יש לו זכות שהרי הוא אוכל פירות היאך תוכל היא למחול זכותו</w:t>
      </w:r>
      <w:r>
        <w:rPr>
          <w:rFonts w:cs="Arial" w:hint="cs"/>
          <w:rtl/>
        </w:rPr>
        <w:t>, ב"י.</w:t>
      </w:r>
    </w:p>
  </w:footnote>
  <w:footnote w:id="818">
    <w:p w14:paraId="3E4F690D" w14:textId="5E4AB412" w:rsidR="00DE2F5F" w:rsidRDefault="00DE2F5F">
      <w:pPr>
        <w:pStyle w:val="a5"/>
      </w:pPr>
      <w:r>
        <w:rPr>
          <w:rStyle w:val="a7"/>
        </w:rPr>
        <w:footnoteRef/>
      </w:r>
      <w:r>
        <w:rPr>
          <w:rtl/>
        </w:rPr>
        <w:t xml:space="preserve"> </w:t>
      </w:r>
      <w:r>
        <w:rPr>
          <w:rFonts w:cs="Arial"/>
          <w:rtl/>
        </w:rPr>
        <w:t>פשיטא דהיינו דוקא לחלקים שלה</w:t>
      </w:r>
      <w:r>
        <w:rPr>
          <w:rFonts w:cs="Arial" w:hint="cs"/>
          <w:rtl/>
        </w:rPr>
        <w:t>,</w:t>
      </w:r>
      <w:r>
        <w:rPr>
          <w:rFonts w:cs="Arial"/>
          <w:rtl/>
        </w:rPr>
        <w:t xml:space="preserve"> וכדאמר אביי בסוף פרק השולח (גיטין מח:) בעל בנכסי אשתו צריך הרשאה</w:t>
      </w:r>
      <w:r>
        <w:rPr>
          <w:rFonts w:cs="Arial" w:hint="cs"/>
          <w:rtl/>
        </w:rPr>
        <w:t>,</w:t>
      </w:r>
      <w:r>
        <w:rPr>
          <w:rFonts w:cs="Arial"/>
          <w:rtl/>
        </w:rPr>
        <w:t xml:space="preserve"> אבל לחלק דידיה בלא הרשאה נמי מצי תבע ליה</w:t>
      </w:r>
      <w:r>
        <w:rPr>
          <w:rFonts w:cs="Arial" w:hint="cs"/>
          <w:rtl/>
        </w:rPr>
        <w:t>, ב"י.</w:t>
      </w:r>
    </w:p>
  </w:footnote>
  <w:footnote w:id="819">
    <w:p w14:paraId="55F15A15" w14:textId="02D1AFC7" w:rsidR="00DE2F5F" w:rsidRDefault="00DE2F5F" w:rsidP="00755AE8">
      <w:pPr>
        <w:pStyle w:val="a5"/>
      </w:pPr>
      <w:r>
        <w:rPr>
          <w:rStyle w:val="a7"/>
        </w:rPr>
        <w:footnoteRef/>
      </w:r>
      <w:r>
        <w:rPr>
          <w:rFonts w:hint="cs"/>
          <w:rtl/>
        </w:rPr>
        <w:t xml:space="preserve"> </w:t>
      </w:r>
      <w:r>
        <w:rPr>
          <w:rFonts w:cs="Arial"/>
          <w:rtl/>
        </w:rPr>
        <w:t>שותיה</w:t>
      </w:r>
      <w:r>
        <w:rPr>
          <w:rFonts w:cs="Arial" w:hint="cs"/>
          <w:sz w:val="16"/>
          <w:szCs w:val="16"/>
          <w:rtl/>
        </w:rPr>
        <w:t xml:space="preserve"> {שיחתו, ע"פ קידושין </w:t>
      </w:r>
      <w:r w:rsidR="005B4061">
        <w:rPr>
          <w:rFonts w:cs="Arial" w:hint="cs"/>
          <w:sz w:val="16"/>
          <w:szCs w:val="16"/>
          <w:rtl/>
        </w:rPr>
        <w:t>(</w:t>
      </w:r>
      <w:r>
        <w:rPr>
          <w:rFonts w:cs="Arial" w:hint="cs"/>
          <w:sz w:val="16"/>
          <w:szCs w:val="16"/>
          <w:rtl/>
        </w:rPr>
        <w:t>ע:</w:t>
      </w:r>
      <w:r w:rsidR="005B4061">
        <w:rPr>
          <w:rFonts w:cs="Arial" w:hint="cs"/>
          <w:sz w:val="16"/>
          <w:szCs w:val="16"/>
          <w:rtl/>
        </w:rPr>
        <w:t>)</w:t>
      </w:r>
      <w:r>
        <w:rPr>
          <w:rFonts w:cs="Arial" w:hint="cs"/>
          <w:sz w:val="16"/>
          <w:szCs w:val="16"/>
          <w:rtl/>
        </w:rPr>
        <w:t>, שותא - שיחה}</w:t>
      </w:r>
      <w:r>
        <w:rPr>
          <w:rFonts w:cs="Arial"/>
          <w:rtl/>
        </w:rPr>
        <w:t xml:space="preserve"> דמר לא ידענא</w:t>
      </w:r>
      <w:r w:rsidR="005B4061">
        <w:rPr>
          <w:rFonts w:cs="Arial" w:hint="cs"/>
          <w:rtl/>
        </w:rPr>
        <w:t>,</w:t>
      </w:r>
      <w:r>
        <w:rPr>
          <w:rFonts w:cs="Arial"/>
          <w:rtl/>
        </w:rPr>
        <w:t xml:space="preserve"> דהא אמרינן בפרק החובל (צא.) זאת אומרת ביישו בדברים פטור מכלום</w:t>
      </w:r>
      <w:r>
        <w:rPr>
          <w:rFonts w:cs="Arial" w:hint="cs"/>
          <w:rtl/>
        </w:rPr>
        <w:t>,</w:t>
      </w:r>
      <w:r>
        <w:rPr>
          <w:rFonts w:cs="Arial"/>
          <w:rtl/>
        </w:rPr>
        <w:t xml:space="preserve"> וכ"כ הוא ז"ל בטור חושן משפט סימן ת"כ (סעיף כט צח:)</w:t>
      </w:r>
      <w:r>
        <w:rPr>
          <w:rFonts w:cs="Arial" w:hint="cs"/>
          <w:rtl/>
        </w:rPr>
        <w:t>,</w:t>
      </w:r>
      <w:r>
        <w:rPr>
          <w:rFonts w:cs="Arial"/>
          <w:rtl/>
        </w:rPr>
        <w:t xml:space="preserve"> ואם כן מה חלק וחלקים שייך ביה</w:t>
      </w:r>
      <w:r>
        <w:rPr>
          <w:rFonts w:cs="Arial" w:hint="cs"/>
          <w:rtl/>
        </w:rPr>
        <w:t>, ב"י.</w:t>
      </w:r>
      <w:r>
        <w:rPr>
          <w:rtl/>
        </w:rPr>
        <w:t xml:space="preserve"> </w:t>
      </w:r>
      <w:r w:rsidR="005B4061">
        <w:rPr>
          <w:rFonts w:cs="Arial" w:hint="cs"/>
          <w:rtl/>
        </w:rPr>
        <w:t xml:space="preserve">    </w:t>
      </w:r>
      <w:r>
        <w:rPr>
          <w:rFonts w:cs="Arial" w:hint="cs"/>
          <w:rtl/>
        </w:rPr>
        <w:t>וכתב הדרכ"מ (אות א)</w:t>
      </w:r>
      <w:r w:rsidRPr="006265B1">
        <w:rPr>
          <w:rFonts w:cs="Arial"/>
          <w:rtl/>
        </w:rPr>
        <w:t xml:space="preserve"> ולי נראה דודאי מדינא פטור</w:t>
      </w:r>
      <w:r w:rsidR="005B4061">
        <w:rPr>
          <w:rFonts w:cs="Arial" w:hint="cs"/>
          <w:rtl/>
        </w:rPr>
        <w:t>,</w:t>
      </w:r>
      <w:r w:rsidRPr="006265B1">
        <w:rPr>
          <w:rFonts w:cs="Arial"/>
          <w:rtl/>
        </w:rPr>
        <w:t xml:space="preserve"> אבל הרוצה לצאת ידי שמים ונותן לה דמי בשתה כדי שתתפייס ותמחול לו</w:t>
      </w:r>
      <w:r>
        <w:rPr>
          <w:rFonts w:cs="Arial" w:hint="cs"/>
          <w:rtl/>
        </w:rPr>
        <w:t>,</w:t>
      </w:r>
      <w:r w:rsidRPr="006265B1">
        <w:rPr>
          <w:rFonts w:cs="Arial"/>
          <w:rtl/>
        </w:rPr>
        <w:t xml:space="preserve"> או שנידוהו עד שיפייסנה</w:t>
      </w:r>
      <w:r>
        <w:rPr>
          <w:rFonts w:cs="Arial" w:hint="cs"/>
          <w:rtl/>
        </w:rPr>
        <w:t xml:space="preserve"> </w:t>
      </w:r>
      <w:r w:rsidRPr="006265B1">
        <w:rPr>
          <w:rFonts w:cs="Arial"/>
          <w:rtl/>
        </w:rPr>
        <w:t xml:space="preserve"> כמו שמבואר בסימן ת"ך (עמ' תקע) בחו</w:t>
      </w:r>
      <w:r>
        <w:rPr>
          <w:rFonts w:cs="Arial" w:hint="cs"/>
          <w:rtl/>
        </w:rPr>
        <w:t>"מ</w:t>
      </w:r>
      <w:r w:rsidRPr="006265B1">
        <w:rPr>
          <w:rFonts w:cs="Arial"/>
          <w:rtl/>
        </w:rPr>
        <w:t xml:space="preserve"> ועיין שם בסימן א' (סעי' יב)</w:t>
      </w:r>
      <w:r>
        <w:rPr>
          <w:rFonts w:cs="Arial" w:hint="cs"/>
          <w:rtl/>
        </w:rPr>
        <w:t>,</w:t>
      </w:r>
      <w:r w:rsidRPr="006265B1">
        <w:rPr>
          <w:rFonts w:cs="Arial"/>
          <w:rtl/>
        </w:rPr>
        <w:t xml:space="preserve"> בזה יש לומר שיש לבעל חלק בממון</w:t>
      </w:r>
      <w:r>
        <w:rPr>
          <w:rFonts w:cs="Arial" w:hint="cs"/>
          <w:rtl/>
        </w:rPr>
        <w:t>.</w:t>
      </w:r>
      <w:r>
        <w:rPr>
          <w:rFonts w:hint="cs"/>
          <w:rtl/>
        </w:rPr>
        <w:t xml:space="preserve"> </w:t>
      </w:r>
      <w:r w:rsidRPr="00D06CE2">
        <w:rPr>
          <w:rFonts w:hint="cs"/>
          <w:color w:val="00B0F0"/>
          <w:rtl/>
        </w:rPr>
        <w:t>(וכ"פ בהגה)</w:t>
      </w:r>
      <w:r>
        <w:rPr>
          <w:rFonts w:hint="cs"/>
          <w:rtl/>
        </w:rPr>
        <w:t xml:space="preserve"> וכעין זה תירץ כנה"ג</w:t>
      </w:r>
      <w:r w:rsidRPr="00905EA4">
        <w:rPr>
          <w:rFonts w:hint="cs"/>
          <w:sz w:val="16"/>
          <w:szCs w:val="16"/>
          <w:rtl/>
        </w:rPr>
        <w:t xml:space="preserve"> (הגב"י אעה"ז סי' פג אות א)</w:t>
      </w:r>
      <w:r>
        <w:rPr>
          <w:rFonts w:hint="cs"/>
          <w:rtl/>
        </w:rPr>
        <w:t xml:space="preserve"> </w:t>
      </w:r>
      <w:r w:rsidR="0061020A">
        <w:rPr>
          <w:rFonts w:hint="cs"/>
          <w:rtl/>
        </w:rPr>
        <w:t>וז</w:t>
      </w:r>
      <w:r w:rsidR="0061020A">
        <w:rPr>
          <w:rtl/>
        </w:rPr>
        <w:t>"</w:t>
      </w:r>
      <w:r w:rsidR="0061020A">
        <w:rPr>
          <w:rFonts w:hint="cs"/>
          <w:rtl/>
        </w:rPr>
        <w:t>ל:</w:t>
      </w:r>
      <w:r>
        <w:rPr>
          <w:rFonts w:hint="cs"/>
          <w:rtl/>
        </w:rPr>
        <w:t xml:space="preserve"> </w:t>
      </w:r>
      <w:r w:rsidRPr="00905EA4">
        <w:rPr>
          <w:rFonts w:cs="Arial"/>
          <w:rtl/>
        </w:rPr>
        <w:t>יש לתרץ בעד הרב בעל הטורים, דמייתי בזמן הזה דנהגו לקנוס המבייש בדברים, כמ"ש הטור והרב המחבר ז"ל בח"מ סימן ת"ך בשם רב שרירא. ושוב נדפסו תשובות הר"ש הלוי וראיתי בחלק א"ה סי"ו תירץ כן</w:t>
      </w:r>
      <w:r>
        <w:rPr>
          <w:rFonts w:cs="Arial" w:hint="cs"/>
          <w:rtl/>
        </w:rPr>
        <w:t>.</w:t>
      </w:r>
      <w:r>
        <w:rPr>
          <w:rFonts w:hint="cs"/>
          <w:rtl/>
        </w:rPr>
        <w:t xml:space="preserve"> עכ"ל. והביא הב"ש (סק"ח) את דברי </w:t>
      </w:r>
      <w:r w:rsidRPr="00500A1A">
        <w:rPr>
          <w:rFonts w:cs="Arial"/>
          <w:rtl/>
        </w:rPr>
        <w:t>ה</w:t>
      </w:r>
      <w:r>
        <w:rPr>
          <w:rFonts w:cs="Arial" w:hint="cs"/>
          <w:rtl/>
        </w:rPr>
        <w:t>ה</w:t>
      </w:r>
      <w:r w:rsidRPr="00500A1A">
        <w:rPr>
          <w:rFonts w:cs="Arial"/>
          <w:rtl/>
        </w:rPr>
        <w:t>גה</w:t>
      </w:r>
      <w:r>
        <w:rPr>
          <w:rFonts w:cs="Arial" w:hint="cs"/>
          <w:rtl/>
        </w:rPr>
        <w:t>ו</w:t>
      </w:r>
      <w:r w:rsidRPr="00500A1A">
        <w:rPr>
          <w:rFonts w:cs="Arial"/>
          <w:rtl/>
        </w:rPr>
        <w:t xml:space="preserve">ת פרישה </w:t>
      </w:r>
      <w:r>
        <w:rPr>
          <w:rFonts w:cs="Arial" w:hint="cs"/>
          <w:rtl/>
        </w:rPr>
        <w:t>ש</w:t>
      </w:r>
      <w:r w:rsidRPr="00500A1A">
        <w:rPr>
          <w:rFonts w:cs="Arial"/>
          <w:rtl/>
        </w:rPr>
        <w:t xml:space="preserve">פירש </w:t>
      </w:r>
      <w:r>
        <w:rPr>
          <w:rFonts w:cs="Arial" w:hint="cs"/>
          <w:rtl/>
        </w:rPr>
        <w:t xml:space="preserve">את </w:t>
      </w:r>
      <w:r w:rsidRPr="00500A1A">
        <w:rPr>
          <w:rFonts w:cs="Arial"/>
          <w:rtl/>
        </w:rPr>
        <w:t>קושי</w:t>
      </w:r>
      <w:r>
        <w:rPr>
          <w:rFonts w:cs="Arial" w:hint="cs"/>
          <w:rtl/>
        </w:rPr>
        <w:t>ת</w:t>
      </w:r>
      <w:r w:rsidRPr="00500A1A">
        <w:rPr>
          <w:rFonts w:cs="Arial"/>
          <w:rtl/>
        </w:rPr>
        <w:t xml:space="preserve"> הב"י</w:t>
      </w:r>
      <w:r>
        <w:rPr>
          <w:rFonts w:cs="Arial" w:hint="cs"/>
          <w:rtl/>
        </w:rPr>
        <w:t xml:space="preserve"> כך</w:t>
      </w:r>
      <w:r w:rsidR="005B4061">
        <w:rPr>
          <w:rFonts w:cs="Arial" w:hint="cs"/>
          <w:rtl/>
        </w:rPr>
        <w:t>:</w:t>
      </w:r>
      <w:r w:rsidRPr="00500A1A">
        <w:rPr>
          <w:rFonts w:cs="Arial"/>
          <w:rtl/>
        </w:rPr>
        <w:t xml:space="preserve"> הואיל ע"פ הדין המבייש בדברים פטור</w:t>
      </w:r>
      <w:r>
        <w:rPr>
          <w:rFonts w:cs="Arial" w:hint="cs"/>
          <w:rtl/>
        </w:rPr>
        <w:t>,</w:t>
      </w:r>
      <w:r w:rsidRPr="00500A1A">
        <w:rPr>
          <w:rFonts w:cs="Arial"/>
          <w:rtl/>
        </w:rPr>
        <w:t xml:space="preserve"> גם ע"פ הדין כל הנזק ובושת שייכים לה אלא חז"ל תיקנו לו חלק</w:t>
      </w:r>
      <w:r>
        <w:rPr>
          <w:rFonts w:cs="Arial" w:hint="cs"/>
          <w:rtl/>
        </w:rPr>
        <w:t>,</w:t>
      </w:r>
      <w:r w:rsidRPr="00500A1A">
        <w:rPr>
          <w:rFonts w:cs="Arial"/>
          <w:rtl/>
        </w:rPr>
        <w:t xml:space="preserve"> אם כן המבייש בדברים הוי תקנה לתקנה</w:t>
      </w:r>
      <w:r>
        <w:rPr>
          <w:rFonts w:hint="cs"/>
          <w:rtl/>
        </w:rPr>
        <w:t>.</w:t>
      </w:r>
    </w:p>
  </w:footnote>
  <w:footnote w:id="820">
    <w:p w14:paraId="363EB4C0" w14:textId="25F3BBC2" w:rsidR="00DE2F5F" w:rsidRDefault="00DE2F5F">
      <w:pPr>
        <w:pStyle w:val="a5"/>
      </w:pPr>
      <w:r>
        <w:rPr>
          <w:rStyle w:val="a7"/>
        </w:rPr>
        <w:footnoteRef/>
      </w:r>
      <w:r>
        <w:rPr>
          <w:rtl/>
        </w:rPr>
        <w:t xml:space="preserve"> </w:t>
      </w:r>
      <w:r w:rsidRPr="00905EA4">
        <w:rPr>
          <w:rFonts w:cs="Arial"/>
          <w:rtl/>
        </w:rPr>
        <w:t>מה שהשבת לבעלה כתב בטור הטעם כיון שמעשה ידיה שלו והרי היא מתבטלת ממעשה ידיה</w:t>
      </w:r>
      <w:r>
        <w:rPr>
          <w:rFonts w:cs="Arial" w:hint="cs"/>
          <w:rtl/>
        </w:rPr>
        <w:t>,</w:t>
      </w:r>
      <w:r w:rsidRPr="00905EA4">
        <w:rPr>
          <w:rFonts w:cs="Arial"/>
          <w:rtl/>
        </w:rPr>
        <w:t xml:space="preserve"> ולפ"ז אם היא אשה שאין עליה חיוב לעשות רק לישב בקתדר</w:t>
      </w:r>
      <w:r>
        <w:rPr>
          <w:rFonts w:cs="Arial" w:hint="cs"/>
          <w:rtl/>
        </w:rPr>
        <w:t>א</w:t>
      </w:r>
      <w:r w:rsidRPr="00905EA4">
        <w:rPr>
          <w:rFonts w:cs="Arial"/>
          <w:rtl/>
        </w:rPr>
        <w:t xml:space="preserve"> ולעשות רק מעט מלאכה כדי שלא תבא לידי זימה כמבואר לעיל סי' פ'</w:t>
      </w:r>
      <w:r>
        <w:rPr>
          <w:rFonts w:cs="Arial" w:hint="cs"/>
          <w:rtl/>
        </w:rPr>
        <w:t>,</w:t>
      </w:r>
      <w:r w:rsidRPr="00905EA4">
        <w:rPr>
          <w:rFonts w:cs="Arial"/>
          <w:rtl/>
        </w:rPr>
        <w:t xml:space="preserve"> וא"כ היה מן הראוי שלא יהיה כל השבת לבעלה</w:t>
      </w:r>
      <w:r>
        <w:rPr>
          <w:rFonts w:cs="Arial" w:hint="cs"/>
          <w:rtl/>
        </w:rPr>
        <w:t>.</w:t>
      </w:r>
      <w:r w:rsidRPr="00905EA4">
        <w:rPr>
          <w:rFonts w:cs="Arial"/>
          <w:rtl/>
        </w:rPr>
        <w:t xml:space="preserve"> ומיהו כבר כתבתי לעיל סי' פ' שדעת הרשב"א שאף שאינה מחוייבת לעשות אם עשתה מעשה ידיה לבעלה</w:t>
      </w:r>
      <w:r>
        <w:rPr>
          <w:rFonts w:cs="Arial" w:hint="cs"/>
          <w:rtl/>
        </w:rPr>
        <w:t>,</w:t>
      </w:r>
      <w:r w:rsidRPr="00905EA4">
        <w:rPr>
          <w:rFonts w:cs="Arial"/>
          <w:rtl/>
        </w:rPr>
        <w:t xml:space="preserve"> וא"כ בכל אשה השבת לבעל שיכול הבעל לומר הייתי מפייס את אשתי שתעשה מלאכה כל היום </w:t>
      </w:r>
      <w:r w:rsidRPr="00B5155B">
        <w:rPr>
          <w:rFonts w:cs="Arial" w:hint="cs"/>
          <w:sz w:val="16"/>
          <w:szCs w:val="16"/>
          <w:rtl/>
        </w:rPr>
        <w:t>(</w:t>
      </w:r>
      <w:r w:rsidRPr="00B5155B">
        <w:rPr>
          <w:rFonts w:cs="Arial"/>
          <w:sz w:val="16"/>
          <w:szCs w:val="16"/>
          <w:rtl/>
        </w:rPr>
        <w:t>וכיצד שמין השבת במקום נזק נתבאר כאן בטור ובח"מ סי' ת"ך</w:t>
      </w:r>
      <w:r>
        <w:rPr>
          <w:rFonts w:cs="Arial" w:hint="cs"/>
          <w:sz w:val="16"/>
          <w:szCs w:val="16"/>
          <w:rtl/>
        </w:rPr>
        <w:t>)</w:t>
      </w:r>
      <w:r>
        <w:rPr>
          <w:rFonts w:cs="Arial" w:hint="cs"/>
          <w:rtl/>
        </w:rPr>
        <w:t xml:space="preserve">, </w:t>
      </w:r>
      <w:r w:rsidRPr="00051E1C">
        <w:rPr>
          <w:rFonts w:cs="Arial" w:hint="cs"/>
          <w:b/>
          <w:bCs/>
          <w:rtl/>
        </w:rPr>
        <w:t>ח"מ</w:t>
      </w:r>
      <w:r>
        <w:rPr>
          <w:rFonts w:cs="Arial" w:hint="cs"/>
          <w:rtl/>
        </w:rPr>
        <w:t xml:space="preserve"> (סק"א). </w:t>
      </w:r>
      <w:r w:rsidR="00051E1C">
        <w:rPr>
          <w:rFonts w:cs="Arial" w:hint="cs"/>
          <w:rtl/>
        </w:rPr>
        <w:t xml:space="preserve">     </w:t>
      </w:r>
      <w:r>
        <w:rPr>
          <w:rFonts w:cs="Arial" w:hint="cs"/>
          <w:rtl/>
        </w:rPr>
        <w:t xml:space="preserve">וכ"כ </w:t>
      </w:r>
      <w:r w:rsidRPr="00051E1C">
        <w:rPr>
          <w:rFonts w:cs="Arial" w:hint="cs"/>
          <w:b/>
          <w:bCs/>
          <w:rtl/>
        </w:rPr>
        <w:t>הב"ש</w:t>
      </w:r>
      <w:r>
        <w:rPr>
          <w:rFonts w:cs="Arial" w:hint="cs"/>
          <w:rtl/>
        </w:rPr>
        <w:t xml:space="preserve"> (סק"א) אך סיים</w:t>
      </w:r>
      <w:r w:rsidR="00051E1C">
        <w:rPr>
          <w:rFonts w:cs="Arial" w:hint="cs"/>
          <w:rtl/>
        </w:rPr>
        <w:t>:</w:t>
      </w:r>
      <w:r>
        <w:rPr>
          <w:rFonts w:cs="Arial" w:hint="cs"/>
          <w:rtl/>
        </w:rPr>
        <w:t xml:space="preserve"> ו</w:t>
      </w:r>
      <w:r w:rsidRPr="00B5155B">
        <w:rPr>
          <w:rFonts w:cs="Arial"/>
          <w:rtl/>
        </w:rPr>
        <w:t>מיהו דעת הרשב"א שם דעת יחידאי היא ובאומר</w:t>
      </w:r>
      <w:r>
        <w:rPr>
          <w:rFonts w:cs="Arial" w:hint="cs"/>
          <w:rtl/>
        </w:rPr>
        <w:t>ת</w:t>
      </w:r>
      <w:r w:rsidRPr="00B5155B">
        <w:rPr>
          <w:rFonts w:cs="Arial"/>
          <w:rtl/>
        </w:rPr>
        <w:t xml:space="preserve"> איני נזונית ואיני עושה אז אין לו שבת, ובסי' פ' כתבתי אם עושית בצמר כדי שלא תבא לידי זנות שלה הוא כשאומרת איני ניזונת ונ"מ ג"כ לענין שבת</w:t>
      </w:r>
      <w:r>
        <w:rPr>
          <w:rFonts w:hint="cs"/>
          <w:rtl/>
        </w:rPr>
        <w:t>.</w:t>
      </w:r>
    </w:p>
  </w:footnote>
  <w:footnote w:id="821">
    <w:p w14:paraId="5C0EDA98" w14:textId="4E3FF848" w:rsidR="00DE2F5F" w:rsidRDefault="00DE2F5F">
      <w:pPr>
        <w:pStyle w:val="a5"/>
      </w:pPr>
      <w:r>
        <w:rPr>
          <w:rStyle w:val="a7"/>
        </w:rPr>
        <w:footnoteRef/>
      </w:r>
      <w:r>
        <w:rPr>
          <w:rtl/>
        </w:rPr>
        <w:t xml:space="preserve"> </w:t>
      </w:r>
      <w:r w:rsidRPr="00B5155B">
        <w:rPr>
          <w:rFonts w:cs="Arial"/>
          <w:rtl/>
        </w:rPr>
        <w:t>אין הכוונה שהבעל ישתכר בריפוי שישכור לה רופא בסמא חריפא ויצער אותה</w:t>
      </w:r>
      <w:r w:rsidR="00051E1C">
        <w:rPr>
          <w:rFonts w:cs="Arial" w:hint="cs"/>
          <w:rtl/>
        </w:rPr>
        <w:t>,</w:t>
      </w:r>
      <w:r w:rsidRPr="00B5155B">
        <w:rPr>
          <w:rFonts w:cs="Arial"/>
          <w:rtl/>
        </w:rPr>
        <w:t xml:space="preserve"> דהא צער לא זכי ליה רחמנ</w:t>
      </w:r>
      <w:r w:rsidR="00051E1C">
        <w:rPr>
          <w:rFonts w:cs="Arial" w:hint="cs"/>
          <w:rtl/>
        </w:rPr>
        <w:t>א.</w:t>
      </w:r>
      <w:r w:rsidRPr="00B5155B">
        <w:rPr>
          <w:rFonts w:cs="Arial"/>
          <w:rtl/>
        </w:rPr>
        <w:t xml:space="preserve"> רק מאחר שהבעל מחויב לרפאותה כדרך שמרפ' כל חליה</w:t>
      </w:r>
      <w:r w:rsidR="00051E1C">
        <w:rPr>
          <w:rFonts w:cs="Arial" w:hint="cs"/>
          <w:rtl/>
        </w:rPr>
        <w:t>,</w:t>
      </w:r>
      <w:r w:rsidRPr="00B5155B">
        <w:rPr>
          <w:rFonts w:cs="Arial"/>
          <w:rtl/>
        </w:rPr>
        <w:t xml:space="preserve"> ע</w:t>
      </w:r>
      <w:r w:rsidR="00051E1C">
        <w:rPr>
          <w:rFonts w:cs="Arial" w:hint="cs"/>
          <w:rtl/>
        </w:rPr>
        <w:t>ל כן</w:t>
      </w:r>
      <w:r w:rsidRPr="00B5155B">
        <w:rPr>
          <w:rFonts w:cs="Arial"/>
          <w:rtl/>
        </w:rPr>
        <w:t xml:space="preserve"> נקט שהריפוי יוחזר לבעלה ומטפל ברפואתה</w:t>
      </w:r>
      <w:r w:rsidR="00051E1C">
        <w:rPr>
          <w:rFonts w:cs="Arial" w:hint="cs"/>
          <w:rtl/>
        </w:rPr>
        <w:t>,</w:t>
      </w:r>
      <w:r w:rsidRPr="00B5155B">
        <w:rPr>
          <w:rFonts w:cs="Arial"/>
          <w:rtl/>
        </w:rPr>
        <w:t xml:space="preserve"> וגם הרמב"ם דעתו כהרא"ש</w:t>
      </w:r>
      <w:r>
        <w:rPr>
          <w:rFonts w:cs="Arial" w:hint="cs"/>
          <w:sz w:val="16"/>
          <w:szCs w:val="16"/>
          <w:rtl/>
        </w:rPr>
        <w:t xml:space="preserve"> {היינו במה שאמר שאם בחרה לקחת סם חזק המותר שלה דבכלל צער הוא}</w:t>
      </w:r>
      <w:r>
        <w:rPr>
          <w:rFonts w:cs="Arial" w:hint="cs"/>
          <w:rtl/>
        </w:rPr>
        <w:t>, ח"מ (סק"ב).</w:t>
      </w:r>
    </w:p>
  </w:footnote>
  <w:footnote w:id="822">
    <w:p w14:paraId="1904200D" w14:textId="0C7B4951" w:rsidR="00DE2F5F" w:rsidRDefault="00DE2F5F">
      <w:pPr>
        <w:pStyle w:val="a5"/>
      </w:pPr>
      <w:r>
        <w:rPr>
          <w:rStyle w:val="a7"/>
        </w:rPr>
        <w:footnoteRef/>
      </w:r>
      <w:r>
        <w:rPr>
          <w:rtl/>
        </w:rPr>
        <w:t xml:space="preserve"> </w:t>
      </w:r>
      <w:r w:rsidRPr="00B5155B">
        <w:rPr>
          <w:rFonts w:cs="Arial"/>
          <w:rtl/>
        </w:rPr>
        <w:t>לא נתבאר אם רק הקרן שלה ויקח בדמי הצער קרקע והוא אוכל פירות ככל נ"מ שלה או לגמרי הוא שלה ואין לו אפי' פירות</w:t>
      </w:r>
      <w:r>
        <w:rPr>
          <w:rFonts w:cs="Arial" w:hint="cs"/>
          <w:rtl/>
        </w:rPr>
        <w:t>,</w:t>
      </w:r>
      <w:r w:rsidRPr="00B5155B">
        <w:rPr>
          <w:rFonts w:cs="Arial"/>
          <w:rtl/>
        </w:rPr>
        <w:t xml:space="preserve"> וע' בר"ן שכתב דאפי' לת"ק דבשתה ופגמה שלה אפ"ה הוא אוכל פירות</w:t>
      </w:r>
      <w:r>
        <w:rPr>
          <w:rFonts w:cs="Arial" w:hint="cs"/>
          <w:rtl/>
        </w:rPr>
        <w:t xml:space="preserve">, </w:t>
      </w:r>
      <w:r w:rsidRPr="00830D11">
        <w:rPr>
          <w:rFonts w:cs="Arial" w:hint="cs"/>
          <w:b/>
          <w:bCs/>
          <w:rtl/>
        </w:rPr>
        <w:t>ח"מ</w:t>
      </w:r>
      <w:r>
        <w:rPr>
          <w:rFonts w:cs="Arial" w:hint="cs"/>
          <w:rtl/>
        </w:rPr>
        <w:t xml:space="preserve"> (סק"ג). </w:t>
      </w:r>
      <w:r w:rsidR="00830D11">
        <w:rPr>
          <w:rFonts w:cs="Arial" w:hint="cs"/>
          <w:rtl/>
        </w:rPr>
        <w:t xml:space="preserve">    </w:t>
      </w:r>
      <w:r>
        <w:rPr>
          <w:rFonts w:cs="Arial" w:hint="cs"/>
          <w:rtl/>
        </w:rPr>
        <w:t xml:space="preserve">וכתב </w:t>
      </w:r>
      <w:r w:rsidRPr="00830D11">
        <w:rPr>
          <w:rFonts w:cs="Arial" w:hint="cs"/>
          <w:b/>
          <w:bCs/>
          <w:rtl/>
        </w:rPr>
        <w:t>הב"ש</w:t>
      </w:r>
      <w:r>
        <w:rPr>
          <w:rFonts w:cs="Arial" w:hint="cs"/>
          <w:rtl/>
        </w:rPr>
        <w:t xml:space="preserve"> (סק"ג) ד</w:t>
      </w:r>
      <w:r w:rsidRPr="00B5155B">
        <w:rPr>
          <w:rFonts w:cs="Arial"/>
          <w:rtl/>
        </w:rPr>
        <w:t>לקמן סי' פ"ה סעיף ז' משמע דאינו אוכל פירות</w:t>
      </w:r>
      <w:r>
        <w:rPr>
          <w:rFonts w:hint="cs"/>
          <w:rtl/>
        </w:rPr>
        <w:t>.</w:t>
      </w:r>
    </w:p>
  </w:footnote>
  <w:footnote w:id="823">
    <w:p w14:paraId="5E0E8F67" w14:textId="6BA4BED9" w:rsidR="00DE2F5F" w:rsidRDefault="00DE2F5F">
      <w:pPr>
        <w:pStyle w:val="a5"/>
        <w:rPr>
          <w:rtl/>
        </w:rPr>
      </w:pPr>
      <w:r>
        <w:rPr>
          <w:rStyle w:val="a7"/>
        </w:rPr>
        <w:footnoteRef/>
      </w:r>
      <w:r>
        <w:rPr>
          <w:rtl/>
        </w:rPr>
        <w:t xml:space="preserve"> </w:t>
      </w:r>
      <w:r w:rsidRPr="00A435CA">
        <w:rPr>
          <w:rFonts w:cs="Arial"/>
          <w:rtl/>
        </w:rPr>
        <w:t xml:space="preserve">ואם מתה קודם שגבתה אינו יורש חלקה דהוי ראוי עיין תוס' והרא"ש </w:t>
      </w:r>
      <w:r w:rsidR="00830D11">
        <w:rPr>
          <w:rFonts w:cs="Arial" w:hint="cs"/>
          <w:rtl/>
        </w:rPr>
        <w:t>(</w:t>
      </w:r>
      <w:r w:rsidRPr="00A435CA">
        <w:rPr>
          <w:rFonts w:cs="Arial"/>
          <w:rtl/>
        </w:rPr>
        <w:t>פי"נ דף קכ"ה</w:t>
      </w:r>
      <w:r w:rsidR="00830D11">
        <w:rPr>
          <w:rFonts w:cs="Arial" w:hint="cs"/>
          <w:rtl/>
        </w:rPr>
        <w:t>)</w:t>
      </w:r>
      <w:r>
        <w:rPr>
          <w:rFonts w:hint="cs"/>
          <w:rtl/>
        </w:rPr>
        <w:t>, ב"ש (סק"ד).</w:t>
      </w:r>
    </w:p>
  </w:footnote>
  <w:footnote w:id="824">
    <w:p w14:paraId="48761253" w14:textId="41CF1940" w:rsidR="00DE2F5F" w:rsidRDefault="00DE2F5F">
      <w:pPr>
        <w:pStyle w:val="a5"/>
      </w:pPr>
      <w:r>
        <w:rPr>
          <w:rStyle w:val="a7"/>
        </w:rPr>
        <w:footnoteRef/>
      </w:r>
      <w:r>
        <w:rPr>
          <w:rtl/>
        </w:rPr>
        <w:t xml:space="preserve"> </w:t>
      </w:r>
      <w:r w:rsidRPr="00A435CA">
        <w:rPr>
          <w:rFonts w:cs="Arial"/>
          <w:rtl/>
        </w:rPr>
        <w:t>דמאחר דאית ליה פירות בחלקה אינה יכולה להפקיע זכותו</w:t>
      </w:r>
      <w:r>
        <w:rPr>
          <w:rFonts w:cs="Arial" w:hint="cs"/>
          <w:rtl/>
        </w:rPr>
        <w:t>, ח"מ (סק"ד).</w:t>
      </w:r>
    </w:p>
  </w:footnote>
  <w:footnote w:id="825">
    <w:p w14:paraId="569124C9" w14:textId="26E4E1AA" w:rsidR="00DE2F5F" w:rsidRDefault="00DE2F5F">
      <w:pPr>
        <w:pStyle w:val="a5"/>
      </w:pPr>
      <w:r>
        <w:rPr>
          <w:rStyle w:val="a7"/>
        </w:rPr>
        <w:footnoteRef/>
      </w:r>
      <w:r>
        <w:rPr>
          <w:rtl/>
        </w:rPr>
        <w:t xml:space="preserve"> </w:t>
      </w:r>
      <w:r w:rsidRPr="00211973">
        <w:rPr>
          <w:rFonts w:cs="Arial"/>
          <w:rtl/>
        </w:rPr>
        <w:t>היינו כשגבה כבר חלקו</w:t>
      </w:r>
      <w:r>
        <w:rPr>
          <w:rFonts w:cs="Arial" w:hint="cs"/>
          <w:rtl/>
        </w:rPr>
        <w:t>,</w:t>
      </w:r>
      <w:r w:rsidRPr="00211973">
        <w:rPr>
          <w:rFonts w:cs="Arial"/>
          <w:rtl/>
        </w:rPr>
        <w:t xml:space="preserve"> אבל אם לא גבה אמרינן אגב שתובע חלקו תובע ג"כ חלקה</w:t>
      </w:r>
      <w:r>
        <w:rPr>
          <w:rFonts w:cs="Arial" w:hint="cs"/>
          <w:rtl/>
        </w:rPr>
        <w:t>,</w:t>
      </w:r>
      <w:r w:rsidRPr="00211973">
        <w:rPr>
          <w:rFonts w:cs="Arial"/>
          <w:rtl/>
        </w:rPr>
        <w:t xml:space="preserve"> וא"ל למה לא יתבע חלקה מ</w:t>
      </w:r>
      <w:r>
        <w:rPr>
          <w:rFonts w:cs="Arial" w:hint="cs"/>
          <w:rtl/>
        </w:rPr>
        <w:t xml:space="preserve">אי </w:t>
      </w:r>
      <w:r w:rsidRPr="00211973">
        <w:rPr>
          <w:rFonts w:cs="Arial"/>
          <w:rtl/>
        </w:rPr>
        <w:t>ש</w:t>
      </w:r>
      <w:r>
        <w:rPr>
          <w:rFonts w:cs="Arial" w:hint="cs"/>
          <w:rtl/>
        </w:rPr>
        <w:t>נא</w:t>
      </w:r>
      <w:r w:rsidRPr="00211973">
        <w:rPr>
          <w:rFonts w:cs="Arial"/>
          <w:rtl/>
        </w:rPr>
        <w:t xml:space="preserve"> מהא שכת' הת"ה מעות אשתו א"צ הרשאה כמ"ש לקמן סי' פ"ה</w:t>
      </w:r>
      <w:r>
        <w:rPr>
          <w:rFonts w:cs="Arial" w:hint="cs"/>
          <w:rtl/>
        </w:rPr>
        <w:t>.</w:t>
      </w:r>
      <w:r w:rsidRPr="00211973">
        <w:rPr>
          <w:rFonts w:cs="Arial"/>
          <w:rtl/>
        </w:rPr>
        <w:t xml:space="preserve"> וי"ל ש"ה דעדיין לא בא לידה ולא היה לה שום זכות בזה הממון</w:t>
      </w:r>
      <w:r>
        <w:rPr>
          <w:rFonts w:cs="Arial" w:hint="cs"/>
          <w:rtl/>
        </w:rPr>
        <w:t>,</w:t>
      </w:r>
      <w:r w:rsidRPr="00211973">
        <w:rPr>
          <w:rFonts w:cs="Arial"/>
          <w:rtl/>
        </w:rPr>
        <w:t xml:space="preserve"> כ"כ בפרישה</w:t>
      </w:r>
      <w:r>
        <w:rPr>
          <w:rFonts w:cs="Arial" w:hint="cs"/>
          <w:rtl/>
        </w:rPr>
        <w:t>,</w:t>
      </w:r>
      <w:r w:rsidRPr="00211973">
        <w:rPr>
          <w:rFonts w:cs="Arial"/>
          <w:rtl/>
        </w:rPr>
        <w:t xml:space="preserve"> ועיין ב"ח</w:t>
      </w:r>
      <w:r>
        <w:rPr>
          <w:rFonts w:cs="Arial" w:hint="cs"/>
          <w:rtl/>
        </w:rPr>
        <w:t>, ב"ש (סק"ה). וה</w:t>
      </w:r>
      <w:r w:rsidRPr="00211973">
        <w:rPr>
          <w:rFonts w:cs="Arial"/>
          <w:rtl/>
        </w:rPr>
        <w:t>ב"ח שכתב דאף על חלקו צריך הרשאה</w:t>
      </w:r>
      <w:r>
        <w:rPr>
          <w:rFonts w:cs="Arial" w:hint="cs"/>
          <w:rtl/>
        </w:rPr>
        <w:t>,</w:t>
      </w:r>
      <w:r w:rsidRPr="00211973">
        <w:rPr>
          <w:rFonts w:cs="Arial"/>
          <w:rtl/>
        </w:rPr>
        <w:t xml:space="preserve"> ואם היה ידועה חלקו וחלקה בשעת תביעה א"צ הרשאה אף על חלקה</w:t>
      </w:r>
      <w:r>
        <w:rPr>
          <w:rFonts w:cs="Arial" w:hint="cs"/>
          <w:rtl/>
        </w:rPr>
        <w:t>,</w:t>
      </w:r>
      <w:r w:rsidRPr="00211973">
        <w:rPr>
          <w:rFonts w:cs="Arial"/>
          <w:rtl/>
        </w:rPr>
        <w:t xml:space="preserve"> דמיגו דנחית אחלקו נחית אחלקה</w:t>
      </w:r>
      <w:r>
        <w:rPr>
          <w:rFonts w:cs="Arial" w:hint="cs"/>
          <w:rtl/>
        </w:rPr>
        <w:t>.</w:t>
      </w:r>
      <w:r w:rsidRPr="00211973">
        <w:rPr>
          <w:rFonts w:cs="Arial"/>
          <w:rtl/>
        </w:rPr>
        <w:t xml:space="preserve"> ואין דבריו מוכרחים וע' בתשו' הרא"ש </w:t>
      </w:r>
      <w:r w:rsidR="00195312">
        <w:rPr>
          <w:rFonts w:cs="Arial" w:hint="cs"/>
          <w:rtl/>
        </w:rPr>
        <w:t>(</w:t>
      </w:r>
      <w:r w:rsidRPr="00211973">
        <w:rPr>
          <w:rFonts w:cs="Arial"/>
          <w:rtl/>
        </w:rPr>
        <w:t>כלל מ</w:t>
      </w:r>
      <w:r w:rsidR="00195312">
        <w:rPr>
          <w:rFonts w:cs="Arial" w:hint="cs"/>
          <w:rtl/>
        </w:rPr>
        <w:t>)</w:t>
      </w:r>
      <w:r>
        <w:rPr>
          <w:rFonts w:cs="Arial" w:hint="cs"/>
          <w:rtl/>
        </w:rPr>
        <w:t>, ח"מ (סק"ה).</w:t>
      </w:r>
    </w:p>
  </w:footnote>
  <w:footnote w:id="826">
    <w:p w14:paraId="695A38D1" w14:textId="44A706FF" w:rsidR="00DE2F5F" w:rsidRDefault="00DE2F5F">
      <w:pPr>
        <w:pStyle w:val="a5"/>
      </w:pPr>
      <w:r>
        <w:rPr>
          <w:rStyle w:val="a7"/>
        </w:rPr>
        <w:footnoteRef/>
      </w:r>
      <w:r>
        <w:rPr>
          <w:rtl/>
        </w:rPr>
        <w:t xml:space="preserve"> </w:t>
      </w:r>
      <w:r w:rsidRPr="00500A1A">
        <w:rPr>
          <w:rFonts w:cs="Arial"/>
          <w:rtl/>
        </w:rPr>
        <w:t>ולכאורה נראה הואיל אף לדעת הרמב"ם השבת שלו הוא א"כ אם חיסר לה אבר דעושה בו מלאכה אין משלם כל הנזק דהא נזק הוא מה שפחת' בלא אותו אבר ושמין מה ששוה אבר ההוא יותר מחמת המלאכה ודמי המלאכה שלו הוא וא"י למה סתמו הפוסקים וכותבים סתם ולא חילקו איזה אבר חסר לה</w:t>
      </w:r>
      <w:r>
        <w:rPr>
          <w:rFonts w:cs="Arial" w:hint="cs"/>
          <w:rtl/>
        </w:rPr>
        <w:t>, ב"ש (סק"ו).</w:t>
      </w:r>
    </w:p>
  </w:footnote>
  <w:footnote w:id="827">
    <w:p w14:paraId="1855D481" w14:textId="14EC6732" w:rsidR="00DE2F5F" w:rsidRDefault="00DE2F5F">
      <w:pPr>
        <w:pStyle w:val="a5"/>
        <w:rPr>
          <w:rtl/>
        </w:rPr>
      </w:pPr>
      <w:r>
        <w:rPr>
          <w:rStyle w:val="a7"/>
        </w:rPr>
        <w:footnoteRef/>
      </w:r>
      <w:r>
        <w:rPr>
          <w:rtl/>
        </w:rPr>
        <w:t xml:space="preserve"> </w:t>
      </w:r>
      <w:r w:rsidRPr="00500A1A">
        <w:rPr>
          <w:rFonts w:cs="Arial"/>
          <w:rtl/>
        </w:rPr>
        <w:t>משמע דאין לו פירות מן מעות הקנס שנותן לה וגם אינו יורש הקנס דאל"כ א"י ליתן לאחר כמ"ש בסי' פ"ה</w:t>
      </w:r>
      <w:r>
        <w:rPr>
          <w:rFonts w:hint="cs"/>
          <w:rtl/>
        </w:rPr>
        <w:t>, ב"ש (סק"ז).</w:t>
      </w:r>
    </w:p>
  </w:footnote>
  <w:footnote w:id="828">
    <w:p w14:paraId="6D4D2F01" w14:textId="21238950" w:rsidR="00DE2F5F" w:rsidRDefault="00DE2F5F">
      <w:pPr>
        <w:pStyle w:val="a5"/>
        <w:rPr>
          <w:rtl/>
        </w:rPr>
      </w:pPr>
      <w:r>
        <w:rPr>
          <w:rStyle w:val="a7"/>
        </w:rPr>
        <w:footnoteRef/>
      </w:r>
      <w:r>
        <w:rPr>
          <w:rtl/>
        </w:rPr>
        <w:t xml:space="preserve"> </w:t>
      </w:r>
      <w:r w:rsidRPr="00500A1A">
        <w:rPr>
          <w:rFonts w:cs="Arial"/>
          <w:rtl/>
        </w:rPr>
        <w:t>כלומר בפני רבים ואם בסתר כלומר בפני שני עדים כן כתב הרא"ש בתשובה כלל מ'</w:t>
      </w:r>
      <w:r>
        <w:rPr>
          <w:rFonts w:hint="cs"/>
          <w:rtl/>
        </w:rPr>
        <w:t>, ח"מ (סק"ח).</w:t>
      </w:r>
    </w:p>
  </w:footnote>
  <w:footnote w:id="829">
    <w:p w14:paraId="5AD73DFE" w14:textId="60339E4C" w:rsidR="00DE2F5F" w:rsidRDefault="00DE2F5F">
      <w:pPr>
        <w:pStyle w:val="a5"/>
      </w:pPr>
      <w:r>
        <w:rPr>
          <w:rStyle w:val="a7"/>
        </w:rPr>
        <w:footnoteRef/>
      </w:r>
      <w:r>
        <w:rPr>
          <w:rtl/>
        </w:rPr>
        <w:t xml:space="preserve"> </w:t>
      </w:r>
      <w:r w:rsidRPr="00B63DC2">
        <w:rPr>
          <w:rFonts w:cs="Arial"/>
          <w:rtl/>
        </w:rPr>
        <w:t xml:space="preserve">לדברי החולקים על הרמב"ם </w:t>
      </w:r>
      <w:r w:rsidR="007E6AF7">
        <w:rPr>
          <w:rFonts w:cs="Arial" w:hint="cs"/>
          <w:sz w:val="16"/>
          <w:szCs w:val="16"/>
          <w:rtl/>
        </w:rPr>
        <w:t xml:space="preserve">{ראב"ד וטור, עי' לעיל בסע' א} </w:t>
      </w:r>
      <w:r w:rsidRPr="00B63DC2">
        <w:rPr>
          <w:rFonts w:cs="Arial"/>
          <w:rtl/>
        </w:rPr>
        <w:t>גם כאן אינו משלם רק שני חלקים שלה</w:t>
      </w:r>
      <w:r w:rsidR="007E6AF7">
        <w:rPr>
          <w:rFonts w:cs="Arial" w:hint="cs"/>
          <w:rtl/>
        </w:rPr>
        <w:t>.</w:t>
      </w:r>
      <w:r w:rsidRPr="00B63DC2">
        <w:rPr>
          <w:rFonts w:cs="Arial"/>
          <w:rtl/>
        </w:rPr>
        <w:t xml:space="preserve"> וכתב המ"מ שמכאן יש קצת ראיה לדעת הרמב"ם דהא בגמ' סתמו ולא חלקו</w:t>
      </w:r>
      <w:r>
        <w:rPr>
          <w:rFonts w:cs="Arial" w:hint="cs"/>
          <w:rtl/>
        </w:rPr>
        <w:t>.</w:t>
      </w:r>
      <w:r w:rsidRPr="00B63DC2">
        <w:rPr>
          <w:rFonts w:cs="Arial"/>
          <w:rtl/>
        </w:rPr>
        <w:t xml:space="preserve"> אבל בנ</w:t>
      </w:r>
      <w:r>
        <w:rPr>
          <w:rFonts w:cs="Arial" w:hint="cs"/>
          <w:rtl/>
        </w:rPr>
        <w:t>מוק</w:t>
      </w:r>
      <w:r w:rsidRPr="00B63DC2">
        <w:rPr>
          <w:rFonts w:cs="Arial"/>
          <w:rtl/>
        </w:rPr>
        <w:t>"י כ' דלדידן דק"ל כריב"ב אינו משלם רק שני חלקים מן הנזק ואינו משלם הצער</w:t>
      </w:r>
      <w:r>
        <w:rPr>
          <w:rFonts w:cs="Arial" w:hint="cs"/>
          <w:rtl/>
        </w:rPr>
        <w:t>, ח"מ (סק"ט).</w:t>
      </w:r>
    </w:p>
  </w:footnote>
  <w:footnote w:id="830">
    <w:p w14:paraId="70E34B30" w14:textId="1A4C61E2" w:rsidR="00DE2F5F" w:rsidRDefault="00DE2F5F">
      <w:pPr>
        <w:pStyle w:val="a5"/>
      </w:pPr>
      <w:r>
        <w:rPr>
          <w:rStyle w:val="a7"/>
        </w:rPr>
        <w:footnoteRef/>
      </w:r>
      <w:r>
        <w:rPr>
          <w:rtl/>
        </w:rPr>
        <w:t xml:space="preserve"> </w:t>
      </w:r>
      <w:r>
        <w:rPr>
          <w:rFonts w:cs="Arial"/>
          <w:rtl/>
        </w:rPr>
        <w:t>ופירש רש"י דרוב מציאות צריך לחזר אחריהם כגון דגים שעלו ליבשה או צבי שבור או לחפש סימא בקרקע</w:t>
      </w:r>
      <w:r>
        <w:rPr>
          <w:rFonts w:cs="Arial" w:hint="cs"/>
          <w:rtl/>
        </w:rPr>
        <w:t>.</w:t>
      </w:r>
      <w:r>
        <w:rPr>
          <w:rFonts w:cs="Arial"/>
          <w:rtl/>
        </w:rPr>
        <w:t xml:space="preserve"> והרא"ש (סי' ב) כתב מציאה כהעדפה שע"י הדחק דמי </w:t>
      </w:r>
      <w:r>
        <w:rPr>
          <w:rFonts w:cs="Arial" w:hint="cs"/>
          <w:rtl/>
        </w:rPr>
        <w:t xml:space="preserve">- </w:t>
      </w:r>
      <w:r>
        <w:rPr>
          <w:rFonts w:cs="Arial"/>
          <w:rtl/>
        </w:rPr>
        <w:t>פי' מציאה שע"י הדחק</w:t>
      </w:r>
      <w:r>
        <w:rPr>
          <w:rFonts w:cs="Arial" w:hint="cs"/>
          <w:rtl/>
        </w:rPr>
        <w:t>, ב"י.</w:t>
      </w:r>
    </w:p>
  </w:footnote>
  <w:footnote w:id="831">
    <w:p w14:paraId="4C4BEB3A" w14:textId="15B3BE54" w:rsidR="00DE2F5F" w:rsidRDefault="00DE2F5F">
      <w:pPr>
        <w:pStyle w:val="a5"/>
      </w:pPr>
      <w:r>
        <w:rPr>
          <w:rStyle w:val="a7"/>
        </w:rPr>
        <w:footnoteRef/>
      </w:r>
      <w:r>
        <w:rPr>
          <w:rtl/>
        </w:rPr>
        <w:t xml:space="preserve"> </w:t>
      </w:r>
      <w:r w:rsidRPr="004C03CA">
        <w:rPr>
          <w:rFonts w:cs="Arial"/>
          <w:rtl/>
        </w:rPr>
        <w:t>כגון זרק לה גיטה, ספק קרוב לה ספק קרוב לו ברשות הרבים</w:t>
      </w:r>
      <w:r>
        <w:rPr>
          <w:rFonts w:cs="Arial" w:hint="cs"/>
          <w:rtl/>
        </w:rPr>
        <w:t>, רש"י.</w:t>
      </w:r>
    </w:p>
  </w:footnote>
  <w:footnote w:id="832">
    <w:p w14:paraId="5198BF8B" w14:textId="77777777" w:rsidR="00DE2F5F" w:rsidRDefault="00DE2F5F" w:rsidP="004C03CA">
      <w:pPr>
        <w:pStyle w:val="a5"/>
      </w:pPr>
      <w:r>
        <w:rPr>
          <w:rStyle w:val="a7"/>
        </w:rPr>
        <w:footnoteRef/>
      </w:r>
      <w:r>
        <w:rPr>
          <w:rtl/>
        </w:rPr>
        <w:t xml:space="preserve"> </w:t>
      </w:r>
      <w:r w:rsidRPr="004C03CA">
        <w:rPr>
          <w:rFonts w:cs="Arial"/>
          <w:rtl/>
        </w:rPr>
        <w:t>ומשום הכי אצטריך לאשמועינן דמציאתה שלה, דטעמא מאי אמור רבנן מציאת האשה כו'</w:t>
      </w:r>
      <w:r>
        <w:rPr>
          <w:rFonts w:cs="Arial" w:hint="cs"/>
          <w:rtl/>
        </w:rPr>
        <w:t>, רש"י.</w:t>
      </w:r>
    </w:p>
  </w:footnote>
  <w:footnote w:id="833">
    <w:p w14:paraId="147C72C4" w14:textId="256F7411" w:rsidR="00DE2F5F" w:rsidRDefault="00DE2F5F" w:rsidP="0067570D">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Pr>
          <w:rFonts w:cs="Arial"/>
          <w:rtl/>
        </w:rPr>
        <w:t>כתב הרמ"ה הא דמציאתה לבעלה דוקא בנזונת אבל באינה נזונת תהוי לה איבה ואיבה (יבמות צ:)</w:t>
      </w:r>
      <w:r>
        <w:rPr>
          <w:rFonts w:cs="Arial" w:hint="cs"/>
          <w:rtl/>
        </w:rPr>
        <w:t>.</w:t>
      </w:r>
      <w:r>
        <w:rPr>
          <w:rFonts w:cs="Arial"/>
          <w:rtl/>
        </w:rPr>
        <w:t xml:space="preserve"> ולא דק בזה</w:t>
      </w:r>
      <w:r>
        <w:rPr>
          <w:rFonts w:cs="Arial" w:hint="cs"/>
          <w:rtl/>
        </w:rPr>
        <w:t>,</w:t>
      </w:r>
      <w:r>
        <w:rPr>
          <w:rFonts w:cs="Arial"/>
          <w:rtl/>
        </w:rPr>
        <w:t xml:space="preserve"> דלא משכחת אשה שאינה נזונת אלא באומרת איני נזונת ואיני עושה (כתובות נח:) או כשאמר לה בעלה צאי מעשה ידיך במזונותיך והיא מספקת (שם קז.)</w:t>
      </w:r>
      <w:r>
        <w:rPr>
          <w:rFonts w:cs="Arial" w:hint="cs"/>
          <w:rtl/>
        </w:rPr>
        <w:t>,</w:t>
      </w:r>
      <w:r>
        <w:rPr>
          <w:rFonts w:cs="Arial"/>
          <w:rtl/>
        </w:rPr>
        <w:t xml:space="preserve"> וכיון דברשות קא עבדי חיישינן לאיבה ומציאתה לבעלה</w:t>
      </w:r>
      <w:r>
        <w:rPr>
          <w:rFonts w:cs="Arial" w:hint="cs"/>
          <w:rtl/>
        </w:rPr>
        <w:t>.</w:t>
      </w:r>
    </w:p>
  </w:footnote>
  <w:footnote w:id="834">
    <w:p w14:paraId="56BC1F08" w14:textId="1174D64A" w:rsidR="00DE2F5F" w:rsidRDefault="00DE2F5F">
      <w:pPr>
        <w:pStyle w:val="a5"/>
      </w:pPr>
      <w:r>
        <w:rPr>
          <w:rStyle w:val="a7"/>
        </w:rPr>
        <w:footnoteRef/>
      </w:r>
      <w:r>
        <w:rPr>
          <w:rtl/>
        </w:rPr>
        <w:t xml:space="preserve"> </w:t>
      </w:r>
      <w:r w:rsidRPr="0067570D">
        <w:rPr>
          <w:rFonts w:cs="Arial"/>
          <w:rtl/>
        </w:rPr>
        <w:t>ואיני כדאי להכריע בין הרים גדולים ונראה דבאומרת ניזונית יפה כ' הרמ"ה</w:t>
      </w:r>
      <w:r>
        <w:rPr>
          <w:rFonts w:cs="Arial" w:hint="cs"/>
          <w:rtl/>
        </w:rPr>
        <w:t>,</w:t>
      </w:r>
      <w:r w:rsidRPr="0067570D">
        <w:rPr>
          <w:rFonts w:cs="Arial"/>
          <w:rtl/>
        </w:rPr>
        <w:t xml:space="preserve"> ובאומר לה צאי מ"י יפה כתב הרא"ש</w:t>
      </w:r>
      <w:r>
        <w:rPr>
          <w:rFonts w:cs="Arial" w:hint="cs"/>
          <w:rtl/>
        </w:rPr>
        <w:t>,</w:t>
      </w:r>
      <w:r w:rsidRPr="0067570D">
        <w:rPr>
          <w:rFonts w:cs="Arial"/>
          <w:rtl/>
        </w:rPr>
        <w:t xml:space="preserve"> ואפשר דלא פליגי ודו"ק</w:t>
      </w:r>
      <w:r>
        <w:rPr>
          <w:rFonts w:cs="Arial" w:hint="cs"/>
          <w:rtl/>
        </w:rPr>
        <w:t xml:space="preserve">, ח"מ (סק"ב). </w:t>
      </w:r>
    </w:p>
  </w:footnote>
  <w:footnote w:id="835">
    <w:p w14:paraId="19CB963D" w14:textId="70CB033E" w:rsidR="00DE2F5F" w:rsidRDefault="00DE2F5F">
      <w:pPr>
        <w:pStyle w:val="a5"/>
      </w:pPr>
      <w:r>
        <w:rPr>
          <w:rStyle w:val="a7"/>
        </w:rPr>
        <w:footnoteRef/>
      </w:r>
      <w:r>
        <w:rPr>
          <w:rtl/>
        </w:rPr>
        <w:t xml:space="preserve"> </w:t>
      </w:r>
      <w:r w:rsidRPr="00050C17">
        <w:rPr>
          <w:rFonts w:cs="Arial"/>
          <w:rtl/>
        </w:rPr>
        <w:t>כתבו תוס' ר"פ מציאת האשה ב' טעמים למה הבעל זוכה במציאה</w:t>
      </w:r>
      <w:r w:rsidR="007D3B6B">
        <w:rPr>
          <w:rFonts w:cs="Arial" w:hint="cs"/>
          <w:rtl/>
        </w:rPr>
        <w:t>:</w:t>
      </w:r>
      <w:r w:rsidRPr="00050C17">
        <w:rPr>
          <w:rFonts w:cs="Arial"/>
          <w:rtl/>
        </w:rPr>
        <w:t xml:space="preserve"> א</w:t>
      </w:r>
      <w:r w:rsidR="007D3B6B">
        <w:rPr>
          <w:rFonts w:cs="Arial" w:hint="cs"/>
          <w:rtl/>
        </w:rPr>
        <w:t>חד,</w:t>
      </w:r>
      <w:r w:rsidRPr="00050C17">
        <w:rPr>
          <w:rFonts w:cs="Arial"/>
          <w:rtl/>
        </w:rPr>
        <w:t xml:space="preserve"> משום מזונות שנותן לה</w:t>
      </w:r>
      <w:r w:rsidR="007D3B6B">
        <w:rPr>
          <w:rFonts w:cs="Arial" w:hint="cs"/>
          <w:rtl/>
        </w:rPr>
        <w:t>.</w:t>
      </w:r>
      <w:r w:rsidRPr="00050C17">
        <w:rPr>
          <w:rFonts w:cs="Arial"/>
          <w:rtl/>
        </w:rPr>
        <w:t xml:space="preserve"> ואחד</w:t>
      </w:r>
      <w:r w:rsidR="007D3B6B">
        <w:rPr>
          <w:rFonts w:cs="Arial" w:hint="cs"/>
          <w:rtl/>
        </w:rPr>
        <w:t>,</w:t>
      </w:r>
      <w:r w:rsidRPr="00050C17">
        <w:rPr>
          <w:rFonts w:cs="Arial"/>
          <w:rtl/>
        </w:rPr>
        <w:t xml:space="preserve"> משום איב</w:t>
      </w:r>
      <w:r>
        <w:rPr>
          <w:rFonts w:cs="Arial" w:hint="cs"/>
          <w:rtl/>
        </w:rPr>
        <w:t>ה.</w:t>
      </w:r>
      <w:r w:rsidRPr="00050C17">
        <w:rPr>
          <w:rFonts w:cs="Arial"/>
          <w:rtl/>
        </w:rPr>
        <w:t xml:space="preserve"> ובירושלמי איתא הטעם שלא תהא מברחת ותאמר מציא</w:t>
      </w:r>
      <w:r w:rsidR="007D3B6B">
        <w:rPr>
          <w:rFonts w:cs="Arial" w:hint="cs"/>
          <w:rtl/>
        </w:rPr>
        <w:t>ה</w:t>
      </w:r>
      <w:r w:rsidRPr="00050C17">
        <w:rPr>
          <w:rFonts w:cs="Arial"/>
          <w:rtl/>
        </w:rPr>
        <w:t xml:space="preserve"> מצאתי</w:t>
      </w:r>
      <w:r>
        <w:rPr>
          <w:rFonts w:cs="Arial" w:hint="cs"/>
          <w:rtl/>
        </w:rPr>
        <w:t>.</w:t>
      </w:r>
      <w:r w:rsidRPr="00050C17">
        <w:rPr>
          <w:rFonts w:cs="Arial"/>
          <w:rtl/>
        </w:rPr>
        <w:t xml:space="preserve"> ובש"ס איתא מציאה כהעדפה ע"י דחק דמי</w:t>
      </w:r>
      <w:r w:rsidR="00650681">
        <w:rPr>
          <w:rFonts w:cs="Arial" w:hint="cs"/>
          <w:rtl/>
        </w:rPr>
        <w:t>,</w:t>
      </w:r>
      <w:r w:rsidRPr="00050C17">
        <w:rPr>
          <w:rFonts w:cs="Arial"/>
          <w:rtl/>
        </w:rPr>
        <w:t xml:space="preserve"> ופרש"י הואיל רוב מציאות באין ע"י הדחק לכן דינם כהעדפה ע"י דחק</w:t>
      </w:r>
      <w:r>
        <w:rPr>
          <w:rFonts w:cs="Arial" w:hint="cs"/>
          <w:rtl/>
        </w:rPr>
        <w:t>.</w:t>
      </w:r>
      <w:r w:rsidRPr="00050C17">
        <w:rPr>
          <w:rFonts w:cs="Arial"/>
          <w:rtl/>
        </w:rPr>
        <w:t xml:space="preserve"> אבל הרא"ש כתב דוקא מציאה ע"י דחק דינו כהעדפה ע"י דחק</w:t>
      </w:r>
      <w:r w:rsidR="00650681">
        <w:rPr>
          <w:rFonts w:cs="Arial" w:hint="cs"/>
          <w:rtl/>
        </w:rPr>
        <w:t>,</w:t>
      </w:r>
      <w:r w:rsidRPr="00050C17">
        <w:rPr>
          <w:rFonts w:cs="Arial"/>
          <w:rtl/>
        </w:rPr>
        <w:t xml:space="preserve"> אבל שאר מציאות י"ל לכ"ע מוציא ממנה</w:t>
      </w:r>
      <w:r>
        <w:rPr>
          <w:rFonts w:cs="Arial" w:hint="cs"/>
          <w:rtl/>
        </w:rPr>
        <w:t>.</w:t>
      </w:r>
      <w:r w:rsidRPr="00050C17">
        <w:rPr>
          <w:rFonts w:cs="Arial"/>
          <w:rtl/>
        </w:rPr>
        <w:t xml:space="preserve"> ובסי' פ' נתבאר הפלוגתא בהעדפה ע"י דחק</w:t>
      </w:r>
      <w:r w:rsidR="00650681">
        <w:rPr>
          <w:rFonts w:cs="Arial" w:hint="cs"/>
          <w:rtl/>
        </w:rPr>
        <w:t>,</w:t>
      </w:r>
      <w:r w:rsidRPr="00050C17">
        <w:rPr>
          <w:rFonts w:cs="Arial"/>
          <w:rtl/>
        </w:rPr>
        <w:t xml:space="preserve"> ושם פסק ב"ח דאין מוציאין מיד האשה העדפה ע"י דחק גם מציאה אין מוציאים</w:t>
      </w:r>
      <w:r w:rsidR="00650681">
        <w:rPr>
          <w:rFonts w:cs="Arial" w:hint="cs"/>
          <w:rtl/>
        </w:rPr>
        <w:t>.</w:t>
      </w:r>
      <w:r w:rsidRPr="00050C17">
        <w:rPr>
          <w:rFonts w:cs="Arial"/>
          <w:rtl/>
        </w:rPr>
        <w:t xml:space="preserve"> מיהו אם בא לידו זכה אפי' אם אינו נותן לה מעה כסף</w:t>
      </w:r>
      <w:r>
        <w:rPr>
          <w:rFonts w:cs="Arial" w:hint="cs"/>
          <w:rtl/>
        </w:rPr>
        <w:t>, ב"ש (סק"א).</w:t>
      </w:r>
    </w:p>
  </w:footnote>
  <w:footnote w:id="836">
    <w:p w14:paraId="3C801F40" w14:textId="7FAAB944" w:rsidR="00BC1EEE" w:rsidRDefault="00BC1EEE">
      <w:pPr>
        <w:pStyle w:val="a5"/>
      </w:pPr>
      <w:r>
        <w:rPr>
          <w:rStyle w:val="a7"/>
        </w:rPr>
        <w:footnoteRef/>
      </w:r>
      <w:r>
        <w:rPr>
          <w:rtl/>
        </w:rPr>
        <w:t xml:space="preserve"> </w:t>
      </w:r>
      <w:r>
        <w:rPr>
          <w:rFonts w:hint="cs"/>
          <w:rtl/>
        </w:rPr>
        <w:t>סימן - מזונותיה.</w:t>
      </w:r>
    </w:p>
  </w:footnote>
  <w:footnote w:id="837">
    <w:p w14:paraId="1948D9B9" w14:textId="77777777" w:rsidR="00DE2F5F" w:rsidRDefault="00DE2F5F" w:rsidP="006C4118">
      <w:pPr>
        <w:pStyle w:val="a5"/>
        <w:rPr>
          <w:rtl/>
        </w:rPr>
      </w:pPr>
      <w:r>
        <w:rPr>
          <w:rStyle w:val="a7"/>
        </w:rPr>
        <w:footnoteRef/>
      </w:r>
      <w:r>
        <w:rPr>
          <w:rtl/>
        </w:rPr>
        <w:t xml:space="preserve"> </w:t>
      </w:r>
      <w:r w:rsidRPr="00577A45">
        <w:rPr>
          <w:rFonts w:cs="Arial"/>
          <w:rtl/>
        </w:rPr>
        <w:t>שהוא אוכל מנכסי מלוג שלה כגון נכסים שנפלו לה משניסת או שהיו לה קודם לכן שלא שמאתן לו בנדוניית כתובתה</w:t>
      </w:r>
      <w:r>
        <w:rPr>
          <w:rFonts w:hint="cs"/>
          <w:rtl/>
        </w:rPr>
        <w:t>, רש"י.</w:t>
      </w:r>
    </w:p>
  </w:footnote>
  <w:footnote w:id="838">
    <w:p w14:paraId="1AD5479B" w14:textId="77777777" w:rsidR="00DE2F5F" w:rsidRDefault="00DE2F5F" w:rsidP="006C4118">
      <w:pPr>
        <w:pStyle w:val="a5"/>
        <w:rPr>
          <w:rtl/>
        </w:rPr>
      </w:pPr>
      <w:r>
        <w:rPr>
          <w:rStyle w:val="a7"/>
        </w:rPr>
        <w:footnoteRef/>
      </w:r>
      <w:r>
        <w:rPr>
          <w:rtl/>
        </w:rPr>
        <w:t xml:space="preserve"> </w:t>
      </w:r>
      <w:r w:rsidRPr="00E47C0B">
        <w:rPr>
          <w:rFonts w:cs="Arial"/>
          <w:rtl/>
        </w:rPr>
        <w:t>תחת הנדוניא שהכניסה לו והיא כתובה בשטר הכתובה והוא יורש</w:t>
      </w:r>
      <w:r>
        <w:rPr>
          <w:rFonts w:hint="cs"/>
          <w:rtl/>
        </w:rPr>
        <w:t>, רש"י.</w:t>
      </w:r>
    </w:p>
  </w:footnote>
  <w:footnote w:id="839">
    <w:p w14:paraId="0328BE09" w14:textId="77777777" w:rsidR="00DE2F5F" w:rsidRDefault="00DE2F5F" w:rsidP="006C4118">
      <w:pPr>
        <w:pStyle w:val="a5"/>
        <w:rPr>
          <w:rtl/>
        </w:rPr>
      </w:pPr>
      <w:r>
        <w:rPr>
          <w:rStyle w:val="a7"/>
        </w:rPr>
        <w:footnoteRef/>
      </w:r>
      <w:r>
        <w:rPr>
          <w:rtl/>
        </w:rPr>
        <w:t xml:space="preserve"> </w:t>
      </w:r>
      <w:r w:rsidRPr="00577A45">
        <w:rPr>
          <w:rFonts w:cs="Arial"/>
          <w:rtl/>
        </w:rPr>
        <w:t>לא יהא בפירות כדי פרקונה והשתא כי אכלינהו ולא ידיע כמה הוה פריק לה מדיליה דהכי תיקון דאיהו אכיל בין רב בין מעט והוא פריק כל כמה דהוי</w:t>
      </w:r>
      <w:r>
        <w:rPr>
          <w:rFonts w:hint="cs"/>
          <w:rtl/>
        </w:rPr>
        <w:t>, רש"י.</w:t>
      </w:r>
    </w:p>
  </w:footnote>
  <w:footnote w:id="840">
    <w:p w14:paraId="4D0EFFA3" w14:textId="77777777" w:rsidR="00DE2F5F" w:rsidRDefault="00DE2F5F" w:rsidP="006C4118">
      <w:pPr>
        <w:pStyle w:val="a5"/>
      </w:pPr>
      <w:r>
        <w:rPr>
          <w:rStyle w:val="a7"/>
        </w:rPr>
        <w:footnoteRef/>
      </w:r>
      <w:r>
        <w:rPr>
          <w:rtl/>
        </w:rPr>
        <w:t xml:space="preserve"> </w:t>
      </w:r>
      <w:r w:rsidRPr="00577A45">
        <w:rPr>
          <w:rFonts w:cs="Arial"/>
          <w:rtl/>
        </w:rPr>
        <w:t>מזונות תחת פירות ופרקונה תחת מעשה ידיה ונפקא מינה דאי אמרה איני ניזונית ואיני עושה לא כלום קאמרה</w:t>
      </w:r>
      <w:r>
        <w:rPr>
          <w:rFonts w:cs="Arial" w:hint="cs"/>
          <w:rtl/>
        </w:rPr>
        <w:t>, רש"י.</w:t>
      </w:r>
    </w:p>
  </w:footnote>
  <w:footnote w:id="841">
    <w:p w14:paraId="5371FC0A" w14:textId="77777777" w:rsidR="00DE2F5F" w:rsidRDefault="00DE2F5F" w:rsidP="006C4118">
      <w:pPr>
        <w:pStyle w:val="a5"/>
      </w:pPr>
      <w:r>
        <w:rPr>
          <w:rStyle w:val="a7"/>
        </w:rPr>
        <w:footnoteRef/>
      </w:r>
      <w:r>
        <w:rPr>
          <w:rtl/>
        </w:rPr>
        <w:t xml:space="preserve"> </w:t>
      </w:r>
      <w:r w:rsidRPr="00577A45">
        <w:rPr>
          <w:rFonts w:cs="Arial"/>
          <w:rtl/>
        </w:rPr>
        <w:t>מזונות ומעשה ידיה מצוין</w:t>
      </w:r>
      <w:r>
        <w:rPr>
          <w:rFonts w:cs="Arial" w:hint="cs"/>
          <w:rtl/>
        </w:rPr>
        <w:t xml:space="preserve"> -</w:t>
      </w:r>
      <w:r w:rsidRPr="00577A45">
        <w:rPr>
          <w:rFonts w:cs="Arial"/>
          <w:rtl/>
        </w:rPr>
        <w:t xml:space="preserve"> שבויה ואשה שיש לה נכסי מלוג לא שכיחי</w:t>
      </w:r>
      <w:r>
        <w:rPr>
          <w:rFonts w:cs="Arial" w:hint="cs"/>
          <w:rtl/>
        </w:rPr>
        <w:t>, רש"י.</w:t>
      </w:r>
    </w:p>
  </w:footnote>
  <w:footnote w:id="842">
    <w:p w14:paraId="358A9FA2" w14:textId="6FBF0657" w:rsidR="00DE2F5F" w:rsidRDefault="00DE2F5F" w:rsidP="00035A9C">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sidRPr="00422CA3">
        <w:rPr>
          <w:rFonts w:cs="Arial"/>
          <w:rtl/>
        </w:rPr>
        <w:t xml:space="preserve"> דע שבפרקונה ובקבורתה אין הבעל יכול להנצל מחיובם</w:t>
      </w:r>
      <w:r>
        <w:rPr>
          <w:rFonts w:cs="Arial" w:hint="cs"/>
          <w:rtl/>
        </w:rPr>
        <w:t>,</w:t>
      </w:r>
      <w:r w:rsidRPr="00422CA3">
        <w:rPr>
          <w:rFonts w:cs="Arial"/>
          <w:rtl/>
        </w:rPr>
        <w:t xml:space="preserve"> ואפילו יניח לה פירותיה וכתובתה</w:t>
      </w:r>
      <w:r>
        <w:rPr>
          <w:rFonts w:cs="Arial" w:hint="cs"/>
          <w:rtl/>
        </w:rPr>
        <w:t>.</w:t>
      </w:r>
      <w:r w:rsidRPr="00422CA3">
        <w:rPr>
          <w:rFonts w:cs="Arial"/>
          <w:rtl/>
        </w:rPr>
        <w:t xml:space="preserve"> וכן היא אינה יכולה להפקיע ממנו זכות פירות וכתובה אפילו תאמר איני נפדית ואיני נקברת מנכסיו וזה נראה מדברי רבינו וכן הסכימו הרמב"ן (כתובות מז: ד"ה הא) והרשב"א (שם ד"ה תקנו)</w:t>
      </w:r>
      <w:r>
        <w:rPr>
          <w:rFonts w:cs="Arial" w:hint="cs"/>
          <w:rtl/>
        </w:rPr>
        <w:t>.</w:t>
      </w:r>
    </w:p>
  </w:footnote>
  <w:footnote w:id="843">
    <w:p w14:paraId="221AE557" w14:textId="77777777" w:rsidR="00DE2F5F" w:rsidRDefault="00DE2F5F" w:rsidP="00035A9C">
      <w:pPr>
        <w:pStyle w:val="a5"/>
        <w:rPr>
          <w:rtl/>
        </w:rPr>
      </w:pPr>
      <w:r>
        <w:rPr>
          <w:rStyle w:val="a7"/>
        </w:rPr>
        <w:footnoteRef/>
      </w:r>
      <w:r>
        <w:rPr>
          <w:rtl/>
        </w:rPr>
        <w:t xml:space="preserve"> </w:t>
      </w:r>
      <w:r>
        <w:rPr>
          <w:rFonts w:cs="Arial" w:hint="cs"/>
          <w:rtl/>
        </w:rPr>
        <w:t xml:space="preserve">תוס' </w:t>
      </w:r>
      <w:r w:rsidRPr="00422CA3">
        <w:rPr>
          <w:rFonts w:cs="Arial"/>
          <w:sz w:val="16"/>
          <w:szCs w:val="16"/>
          <w:rtl/>
        </w:rPr>
        <w:t>(</w:t>
      </w:r>
      <w:r>
        <w:rPr>
          <w:rFonts w:cs="Arial" w:hint="cs"/>
          <w:sz w:val="16"/>
          <w:szCs w:val="16"/>
          <w:rtl/>
        </w:rPr>
        <w:t xml:space="preserve">כתובות </w:t>
      </w:r>
      <w:r w:rsidRPr="00B0447A">
        <w:rPr>
          <w:rFonts w:cs="Arial"/>
          <w:sz w:val="16"/>
          <w:szCs w:val="16"/>
          <w:rtl/>
        </w:rPr>
        <w:t>מז: ד"ה זימנין</w:t>
      </w:r>
      <w:r w:rsidRPr="00422CA3">
        <w:rPr>
          <w:rFonts w:cs="Arial"/>
          <w:sz w:val="16"/>
          <w:szCs w:val="16"/>
          <w:rtl/>
        </w:rPr>
        <w:t>)</w:t>
      </w:r>
      <w:r w:rsidRPr="00B0447A">
        <w:rPr>
          <w:rFonts w:cs="Arial"/>
          <w:rtl/>
        </w:rPr>
        <w:t xml:space="preserve"> </w:t>
      </w:r>
      <w:r>
        <w:rPr>
          <w:rFonts w:cs="Arial" w:hint="cs"/>
          <w:rtl/>
        </w:rPr>
        <w:t xml:space="preserve">רמב"ם </w:t>
      </w:r>
      <w:r w:rsidRPr="00422CA3">
        <w:rPr>
          <w:rFonts w:cs="Arial" w:hint="cs"/>
          <w:sz w:val="16"/>
          <w:szCs w:val="16"/>
          <w:rtl/>
        </w:rPr>
        <w:t>(</w:t>
      </w:r>
      <w:r w:rsidRPr="00422CA3">
        <w:rPr>
          <w:rFonts w:cs="Arial"/>
          <w:sz w:val="16"/>
          <w:szCs w:val="16"/>
          <w:rtl/>
        </w:rPr>
        <w:t>פי"ב מאישות ה"ד)</w:t>
      </w:r>
      <w:r>
        <w:rPr>
          <w:rFonts w:cs="Arial" w:hint="cs"/>
          <w:rtl/>
        </w:rPr>
        <w:t xml:space="preserve"> </w:t>
      </w:r>
      <w:r w:rsidRPr="00422CA3">
        <w:rPr>
          <w:rFonts w:cs="Arial"/>
          <w:rtl/>
        </w:rPr>
        <w:t xml:space="preserve">רמב"ן </w:t>
      </w:r>
      <w:r w:rsidRPr="00B0447A">
        <w:rPr>
          <w:rFonts w:cs="Arial"/>
          <w:sz w:val="16"/>
          <w:szCs w:val="16"/>
          <w:rtl/>
        </w:rPr>
        <w:t xml:space="preserve">(כתובות מז: ד"ה הא) </w:t>
      </w:r>
      <w:r w:rsidRPr="00422CA3">
        <w:rPr>
          <w:rFonts w:cs="Arial"/>
          <w:rtl/>
        </w:rPr>
        <w:t xml:space="preserve">רשב"א </w:t>
      </w:r>
      <w:r w:rsidRPr="00B0447A">
        <w:rPr>
          <w:rFonts w:cs="Arial"/>
          <w:sz w:val="16"/>
          <w:szCs w:val="16"/>
          <w:rtl/>
        </w:rPr>
        <w:t>(שם ד"ה תקנו)</w:t>
      </w:r>
      <w:r w:rsidRPr="00B0447A">
        <w:rPr>
          <w:rFonts w:cs="Arial" w:hint="cs"/>
          <w:rtl/>
        </w:rPr>
        <w:t xml:space="preserve"> </w:t>
      </w:r>
      <w:r w:rsidRPr="00422CA3">
        <w:rPr>
          <w:rFonts w:cs="Arial"/>
          <w:rtl/>
        </w:rPr>
        <w:t xml:space="preserve">רא"ש </w:t>
      </w:r>
      <w:r w:rsidRPr="00B0447A">
        <w:rPr>
          <w:rFonts w:cs="Arial" w:hint="cs"/>
          <w:sz w:val="16"/>
          <w:szCs w:val="16"/>
          <w:rtl/>
        </w:rPr>
        <w:t xml:space="preserve">(פ' נערה שנתפתתה </w:t>
      </w:r>
      <w:r w:rsidRPr="00B0447A">
        <w:rPr>
          <w:rFonts w:cs="Arial"/>
          <w:sz w:val="16"/>
          <w:szCs w:val="16"/>
          <w:rtl/>
        </w:rPr>
        <w:t>סי' י)</w:t>
      </w:r>
      <w:r>
        <w:rPr>
          <w:rFonts w:cs="Arial" w:hint="cs"/>
          <w:rtl/>
        </w:rPr>
        <w:t xml:space="preserve"> טור והה"מ </w:t>
      </w:r>
      <w:r w:rsidRPr="00422CA3">
        <w:rPr>
          <w:rFonts w:cs="Arial" w:hint="cs"/>
          <w:sz w:val="16"/>
          <w:szCs w:val="16"/>
          <w:rtl/>
        </w:rPr>
        <w:t>(</w:t>
      </w:r>
      <w:r>
        <w:rPr>
          <w:rFonts w:cs="Arial" w:hint="cs"/>
          <w:sz w:val="16"/>
          <w:szCs w:val="16"/>
          <w:rtl/>
        </w:rPr>
        <w:t>שם</w:t>
      </w:r>
      <w:r w:rsidRPr="00422CA3">
        <w:rPr>
          <w:rFonts w:cs="Arial"/>
          <w:sz w:val="16"/>
          <w:szCs w:val="16"/>
          <w:rtl/>
        </w:rPr>
        <w:t>)</w:t>
      </w:r>
      <w:r>
        <w:rPr>
          <w:rFonts w:hint="cs"/>
          <w:rtl/>
        </w:rPr>
        <w:t>.</w:t>
      </w:r>
    </w:p>
  </w:footnote>
  <w:footnote w:id="844">
    <w:p w14:paraId="26FE9587" w14:textId="77777777" w:rsidR="00DE2F5F" w:rsidRDefault="00DE2F5F" w:rsidP="00B0447A">
      <w:pPr>
        <w:pStyle w:val="a5"/>
      </w:pPr>
      <w:r>
        <w:rPr>
          <w:rStyle w:val="a7"/>
        </w:rPr>
        <w:footnoteRef/>
      </w:r>
      <w:r>
        <w:rPr>
          <w:rtl/>
        </w:rPr>
        <w:t xml:space="preserve"> </w:t>
      </w:r>
      <w:r w:rsidRPr="006C4118">
        <w:rPr>
          <w:rFonts w:cs="Arial"/>
          <w:rtl/>
        </w:rPr>
        <w:t>ודחו התוספות (שם ד"ה יכולה) דבריו וכתבו דאי אפשר לומר כן והעלו דאין שומעין לו והביאו ראיות לדבריהם וכתבו דהכי איתא בירושלמי בהדיא.</w:t>
      </w:r>
      <w:r>
        <w:rPr>
          <w:rFonts w:cs="Arial" w:hint="cs"/>
          <w:rtl/>
        </w:rPr>
        <w:t xml:space="preserve"> וכ"כ הה"מ וכו', ב"י.</w:t>
      </w:r>
    </w:p>
  </w:footnote>
  <w:footnote w:id="845">
    <w:p w14:paraId="4B3D847A" w14:textId="0F01F64B" w:rsidR="00DE2F5F" w:rsidRDefault="00DE2F5F" w:rsidP="00035A9C">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sidRPr="00422CA3">
        <w:rPr>
          <w:rFonts w:cs="Arial"/>
          <w:rtl/>
        </w:rPr>
        <w:t xml:space="preserve"> דע שבפרקונה ובקבורתה אין הבעל יכול להנצל מחיובם</w:t>
      </w:r>
      <w:r>
        <w:rPr>
          <w:rFonts w:cs="Arial" w:hint="cs"/>
          <w:rtl/>
        </w:rPr>
        <w:t>,</w:t>
      </w:r>
      <w:r w:rsidRPr="00422CA3">
        <w:rPr>
          <w:rFonts w:cs="Arial"/>
          <w:rtl/>
        </w:rPr>
        <w:t xml:space="preserve"> ואפילו יניח לה פירותיה וכתובתה</w:t>
      </w:r>
      <w:r>
        <w:rPr>
          <w:rFonts w:cs="Arial" w:hint="cs"/>
          <w:rtl/>
        </w:rPr>
        <w:t>.</w:t>
      </w:r>
      <w:r w:rsidRPr="00422CA3">
        <w:rPr>
          <w:rFonts w:cs="Arial"/>
          <w:rtl/>
        </w:rPr>
        <w:t xml:space="preserve"> וכן היא אינה יכולה להפקיע ממנו זכות פירות וכתובה אפילו תאמר איני נפדית ואיני נקברת מנכסיו וזה נראה מדברי רבינו וכן הסכימו הרמב"ן (כתובות מז: ד"ה הא) והרשב"א (שם ד"ה תקנו)</w:t>
      </w:r>
      <w:r>
        <w:rPr>
          <w:rFonts w:cs="Arial" w:hint="cs"/>
          <w:rtl/>
        </w:rPr>
        <w:t>.</w:t>
      </w:r>
    </w:p>
  </w:footnote>
  <w:footnote w:id="846">
    <w:p w14:paraId="121DEEB4" w14:textId="6351B4A1" w:rsidR="005A5C67" w:rsidRDefault="005A5C67">
      <w:pPr>
        <w:pStyle w:val="a5"/>
      </w:pPr>
      <w:r>
        <w:rPr>
          <w:rStyle w:val="a7"/>
        </w:rPr>
        <w:footnoteRef/>
      </w:r>
      <w:r>
        <w:rPr>
          <w:rtl/>
        </w:rPr>
        <w:t xml:space="preserve"> </w:t>
      </w:r>
      <w:r>
        <w:rPr>
          <w:rFonts w:hint="cs"/>
          <w:rtl/>
        </w:rPr>
        <w:t>סימן - סוחר</w:t>
      </w:r>
      <w:r w:rsidR="004A6DB1">
        <w:rPr>
          <w:rFonts w:hint="cs"/>
          <w:sz w:val="16"/>
          <w:szCs w:val="16"/>
          <w:rtl/>
        </w:rPr>
        <w:t xml:space="preserve"> (בנכסי אשתו)</w:t>
      </w:r>
      <w:r>
        <w:rPr>
          <w:rFonts w:hint="cs"/>
          <w:rtl/>
        </w:rPr>
        <w:t>.</w:t>
      </w:r>
    </w:p>
  </w:footnote>
  <w:footnote w:id="847">
    <w:p w14:paraId="2300E56A" w14:textId="77AD0165" w:rsidR="00DE2F5F" w:rsidRDefault="00DE2F5F">
      <w:pPr>
        <w:pStyle w:val="a5"/>
        <w:rPr>
          <w:rtl/>
        </w:rPr>
      </w:pPr>
      <w:r>
        <w:rPr>
          <w:rStyle w:val="a7"/>
        </w:rPr>
        <w:footnoteRef/>
      </w:r>
      <w:r>
        <w:rPr>
          <w:rtl/>
        </w:rPr>
        <w:t xml:space="preserve"> </w:t>
      </w:r>
      <w:r w:rsidRPr="00DE3527">
        <w:rPr>
          <w:rFonts w:cs="Arial"/>
          <w:rtl/>
        </w:rPr>
        <w:t>מה שהאשה מכנסת לבעלה ושמה לו לקבלם עליו באחריות כתובתה</w:t>
      </w:r>
      <w:r>
        <w:rPr>
          <w:rFonts w:cs="Arial" w:hint="cs"/>
          <w:rtl/>
        </w:rPr>
        <w:t>,</w:t>
      </w:r>
      <w:r w:rsidRPr="00DE3527">
        <w:rPr>
          <w:rFonts w:cs="Arial"/>
          <w:rtl/>
        </w:rPr>
        <w:t xml:space="preserve"> כמו שכותבין </w:t>
      </w:r>
      <w:r>
        <w:rPr>
          <w:rFonts w:cs="Arial" w:hint="cs"/>
          <w:rtl/>
        </w:rPr>
        <w:t>'</w:t>
      </w:r>
      <w:r w:rsidRPr="00DE3527">
        <w:rPr>
          <w:rFonts w:cs="Arial"/>
          <w:rtl/>
        </w:rPr>
        <w:t>ודא נדוניא דהנעלת ליה</w:t>
      </w:r>
      <w:r>
        <w:rPr>
          <w:rFonts w:cs="Arial" w:hint="cs"/>
          <w:rtl/>
        </w:rPr>
        <w:t>',</w:t>
      </w:r>
      <w:r w:rsidRPr="00DE3527">
        <w:rPr>
          <w:rFonts w:cs="Arial"/>
          <w:rtl/>
        </w:rPr>
        <w:t xml:space="preserve"> והוא מוסיף כנגדן וכותב </w:t>
      </w:r>
      <w:r>
        <w:rPr>
          <w:rFonts w:cs="Arial" w:hint="cs"/>
          <w:rtl/>
        </w:rPr>
        <w:t>'</w:t>
      </w:r>
      <w:r w:rsidRPr="00DE3527">
        <w:rPr>
          <w:rFonts w:cs="Arial"/>
          <w:rtl/>
        </w:rPr>
        <w:t>סך הכל קבל עליו פלוני כך וכך בכתובתה</w:t>
      </w:r>
      <w:r>
        <w:rPr>
          <w:rFonts w:cs="Arial" w:hint="cs"/>
          <w:rtl/>
        </w:rPr>
        <w:t>' -</w:t>
      </w:r>
      <w:r w:rsidRPr="00DE3527">
        <w:rPr>
          <w:rFonts w:cs="Arial"/>
          <w:rtl/>
        </w:rPr>
        <w:t xml:space="preserve"> קורין צאן ברזל</w:t>
      </w:r>
      <w:r>
        <w:rPr>
          <w:rFonts w:cs="Arial" w:hint="cs"/>
          <w:rtl/>
        </w:rPr>
        <w:t>.</w:t>
      </w:r>
      <w:r w:rsidRPr="00DE3527">
        <w:rPr>
          <w:rFonts w:cs="Arial"/>
          <w:rtl/>
        </w:rPr>
        <w:t xml:space="preserve"> ויש שמכנסת ממון הרבה ואינה כותבת כולו בכתובתה</w:t>
      </w:r>
      <w:r>
        <w:rPr>
          <w:rFonts w:cs="Arial" w:hint="cs"/>
          <w:rtl/>
        </w:rPr>
        <w:t>,</w:t>
      </w:r>
      <w:r w:rsidRPr="00DE3527">
        <w:rPr>
          <w:rFonts w:cs="Arial"/>
          <w:rtl/>
        </w:rPr>
        <w:t xml:space="preserve"> ומשיירת לעצמה </w:t>
      </w:r>
      <w:r>
        <w:rPr>
          <w:rFonts w:cs="Arial" w:hint="cs"/>
          <w:rtl/>
        </w:rPr>
        <w:t xml:space="preserve">- </w:t>
      </w:r>
      <w:r w:rsidRPr="00DE3527">
        <w:rPr>
          <w:rFonts w:cs="Arial"/>
          <w:rtl/>
        </w:rPr>
        <w:t>הן נכסי מלוג</w:t>
      </w:r>
      <w:r>
        <w:rPr>
          <w:rFonts w:cs="Arial" w:hint="cs"/>
          <w:rtl/>
        </w:rPr>
        <w:t>,</w:t>
      </w:r>
      <w:r w:rsidRPr="00DE3527">
        <w:rPr>
          <w:rFonts w:cs="Arial"/>
          <w:rtl/>
        </w:rPr>
        <w:t xml:space="preserve"> והבעל אוכל פירות</w:t>
      </w:r>
      <w:r>
        <w:rPr>
          <w:rFonts w:cs="Arial" w:hint="cs"/>
          <w:rtl/>
        </w:rPr>
        <w:t>,</w:t>
      </w:r>
      <w:r w:rsidRPr="00DE3527">
        <w:rPr>
          <w:rFonts w:cs="Arial"/>
          <w:rtl/>
        </w:rPr>
        <w:t xml:space="preserve"> והקרן שלה קיים</w:t>
      </w:r>
      <w:r>
        <w:rPr>
          <w:rFonts w:cs="Arial" w:hint="cs"/>
          <w:rtl/>
        </w:rPr>
        <w:t>,</w:t>
      </w:r>
      <w:r w:rsidRPr="00DE3527">
        <w:rPr>
          <w:rFonts w:cs="Arial"/>
          <w:rtl/>
        </w:rPr>
        <w:t xml:space="preserve"> ואם מתו </w:t>
      </w:r>
      <w:r>
        <w:rPr>
          <w:rFonts w:cs="Arial" w:hint="cs"/>
          <w:rtl/>
        </w:rPr>
        <w:t xml:space="preserve">- </w:t>
      </w:r>
      <w:r w:rsidRPr="00DE3527">
        <w:rPr>
          <w:rFonts w:cs="Arial"/>
          <w:rtl/>
        </w:rPr>
        <w:t>מתו לה</w:t>
      </w:r>
      <w:r>
        <w:rPr>
          <w:rFonts w:cs="Arial" w:hint="cs"/>
          <w:rtl/>
        </w:rPr>
        <w:t>,</w:t>
      </w:r>
      <w:r w:rsidRPr="00DE3527">
        <w:rPr>
          <w:rFonts w:cs="Arial"/>
          <w:rtl/>
        </w:rPr>
        <w:t xml:space="preserve"> או פחתו </w:t>
      </w:r>
      <w:r>
        <w:rPr>
          <w:rFonts w:cs="Arial" w:hint="cs"/>
          <w:rtl/>
        </w:rPr>
        <w:t xml:space="preserve">- </w:t>
      </w:r>
      <w:r w:rsidRPr="00DE3527">
        <w:rPr>
          <w:rFonts w:cs="Arial"/>
          <w:rtl/>
        </w:rPr>
        <w:t>פחתו לה</w:t>
      </w:r>
      <w:r>
        <w:rPr>
          <w:rFonts w:cs="Arial" w:hint="cs"/>
          <w:rtl/>
        </w:rPr>
        <w:t>.</w:t>
      </w:r>
      <w:r w:rsidRPr="00DE3527">
        <w:rPr>
          <w:rFonts w:cs="Arial"/>
          <w:rtl/>
        </w:rPr>
        <w:t xml:space="preserve"> לשון צאן ברזל</w:t>
      </w:r>
      <w:r>
        <w:rPr>
          <w:rFonts w:cs="Arial" w:hint="cs"/>
          <w:rtl/>
        </w:rPr>
        <w:t xml:space="preserve">, </w:t>
      </w:r>
      <w:r w:rsidRPr="00DE3527">
        <w:rPr>
          <w:rFonts w:cs="Arial"/>
          <w:rtl/>
        </w:rPr>
        <w:t>קרן קיים</w:t>
      </w:r>
      <w:r>
        <w:rPr>
          <w:rFonts w:cs="Arial" w:hint="cs"/>
          <w:rtl/>
        </w:rPr>
        <w:t>,</w:t>
      </w:r>
      <w:r w:rsidRPr="00DE3527">
        <w:rPr>
          <w:rFonts w:cs="Arial"/>
          <w:rtl/>
        </w:rPr>
        <w:t xml:space="preserve"> שאין פוחת ונפסד</w:t>
      </w:r>
      <w:r>
        <w:rPr>
          <w:rFonts w:cs="Arial" w:hint="cs"/>
          <w:rtl/>
        </w:rPr>
        <w:t>,</w:t>
      </w:r>
      <w:r w:rsidRPr="00DE3527">
        <w:rPr>
          <w:rFonts w:cs="Arial"/>
          <w:rtl/>
        </w:rPr>
        <w:t xml:space="preserve"> שאפילו מתו כולן אחריותן עליו לשלם לה כשימות או יגרשנה</w:t>
      </w:r>
      <w:r>
        <w:rPr>
          <w:rFonts w:hint="cs"/>
          <w:rtl/>
        </w:rPr>
        <w:t>, רש"י.</w:t>
      </w:r>
    </w:p>
  </w:footnote>
  <w:footnote w:id="848">
    <w:p w14:paraId="7C17DCFA" w14:textId="089B6D39" w:rsidR="00DE2F5F" w:rsidRDefault="00DE2F5F">
      <w:pPr>
        <w:pStyle w:val="a5"/>
        <w:rPr>
          <w:rtl/>
        </w:rPr>
      </w:pPr>
      <w:r>
        <w:rPr>
          <w:rStyle w:val="a7"/>
        </w:rPr>
        <w:footnoteRef/>
      </w:r>
      <w:r>
        <w:rPr>
          <w:rtl/>
        </w:rPr>
        <w:t xml:space="preserve"> </w:t>
      </w:r>
      <w:r w:rsidRPr="00EB63AD">
        <w:rPr>
          <w:rFonts w:cs="Arial"/>
          <w:rtl/>
        </w:rPr>
        <w:t>לפי שהן שלה והיא חללה ולקמן בגמרא מפרש טעמא</w:t>
      </w:r>
      <w:r>
        <w:rPr>
          <w:rFonts w:hint="cs"/>
          <w:rtl/>
        </w:rPr>
        <w:t>, רש"י.</w:t>
      </w:r>
    </w:p>
  </w:footnote>
  <w:footnote w:id="849">
    <w:p w14:paraId="61BF3E89" w14:textId="27D57C5E" w:rsidR="00DE2F5F" w:rsidRDefault="00DE2F5F">
      <w:pPr>
        <w:pStyle w:val="a5"/>
        <w:rPr>
          <w:rtl/>
        </w:rPr>
      </w:pPr>
      <w:r>
        <w:rPr>
          <w:rStyle w:val="a7"/>
        </w:rPr>
        <w:footnoteRef/>
      </w:r>
      <w:r>
        <w:rPr>
          <w:rtl/>
        </w:rPr>
        <w:t xml:space="preserve"> </w:t>
      </w:r>
      <w:r w:rsidR="00321D18" w:rsidRPr="00321D18">
        <w:rPr>
          <w:rFonts w:cs="Arial"/>
          <w:rtl/>
        </w:rPr>
        <w:t>והנראה אלי מדברי רבינו שהוא סובר ש</w:t>
      </w:r>
      <w:r w:rsidR="005E42DB" w:rsidRPr="00E84812">
        <w:rPr>
          <w:rFonts w:cs="Arial"/>
          <w:rtl/>
        </w:rPr>
        <w:t>אין הנדוניא בכלל כתובה לשום דבר אלא לדברים שביאר רבינו בפירוש שהיא ככתובה</w:t>
      </w:r>
      <w:r w:rsidR="005E42DB">
        <w:rPr>
          <w:rFonts w:cs="Arial" w:hint="cs"/>
          <w:rtl/>
        </w:rPr>
        <w:t>,</w:t>
      </w:r>
      <w:r w:rsidR="005E42DB" w:rsidRPr="00E84812">
        <w:rPr>
          <w:rFonts w:cs="Arial"/>
          <w:rtl/>
        </w:rPr>
        <w:t xml:space="preserve"> אבל בכל מה שסתם הוא ז"ל דין הנדוניא כדין חוב בעלמא</w:t>
      </w:r>
      <w:r w:rsidR="0070717D">
        <w:rPr>
          <w:rFonts w:cs="Arial" w:hint="cs"/>
          <w:rtl/>
        </w:rPr>
        <w:t xml:space="preserve"> </w:t>
      </w:r>
      <w:r w:rsidR="0070717D">
        <w:rPr>
          <w:rFonts w:cs="Arial" w:hint="cs"/>
          <w:sz w:val="16"/>
          <w:szCs w:val="16"/>
          <w:rtl/>
        </w:rPr>
        <w:t>(</w:t>
      </w:r>
      <w:r w:rsidR="0070717D" w:rsidRPr="0070717D">
        <w:rPr>
          <w:rFonts w:cs="Arial"/>
          <w:sz w:val="16"/>
          <w:szCs w:val="16"/>
          <w:rtl/>
        </w:rPr>
        <w:t>ודין החוב במלוה עם הלוה נתבאר בהלכות מלוה ולוה כל פרטיו וכן כתב הרשב"א ז"ל בתשובת שאלה שדעת רבינו הוא שהנדוניא כחוב בעלמא ונגבית מן הבעל בבינונית שלא אמרו זיבורית אלא בכתובה ותוספת</w:t>
      </w:r>
      <w:r w:rsidR="0070717D">
        <w:rPr>
          <w:rFonts w:cs="Arial" w:hint="cs"/>
          <w:sz w:val="16"/>
          <w:szCs w:val="16"/>
          <w:rtl/>
        </w:rPr>
        <w:t>)</w:t>
      </w:r>
      <w:r w:rsidR="0070717D">
        <w:rPr>
          <w:rFonts w:cs="Arial" w:hint="cs"/>
          <w:rtl/>
        </w:rPr>
        <w:t>.</w:t>
      </w:r>
      <w:r w:rsidR="005E42DB" w:rsidRPr="00E84812">
        <w:rPr>
          <w:rFonts w:cs="Arial"/>
          <w:rtl/>
        </w:rPr>
        <w:t xml:space="preserve"> </w:t>
      </w:r>
      <w:r w:rsidRPr="00E84812">
        <w:rPr>
          <w:rFonts w:cs="Arial"/>
          <w:rtl/>
        </w:rPr>
        <w:t>ודע שיש קצת דברים שהכתובה והחוב שוים בהן</w:t>
      </w:r>
      <w:r w:rsidR="00177DA5">
        <w:rPr>
          <w:rFonts w:cs="Arial" w:hint="cs"/>
          <w:rtl/>
        </w:rPr>
        <w:t>,</w:t>
      </w:r>
      <w:r w:rsidRPr="00E84812">
        <w:rPr>
          <w:rFonts w:cs="Arial"/>
          <w:rtl/>
        </w:rPr>
        <w:t xml:space="preserve"> כפוגמת כתובתה ופוחתת ונפרעת מנכסי יתומים ושלא בפניו ומן המשועבדין</w:t>
      </w:r>
      <w:r w:rsidR="00177DA5">
        <w:rPr>
          <w:rFonts w:cs="Arial" w:hint="cs"/>
          <w:rtl/>
        </w:rPr>
        <w:t>,</w:t>
      </w:r>
      <w:r w:rsidRPr="00E84812">
        <w:rPr>
          <w:rFonts w:cs="Arial"/>
          <w:rtl/>
        </w:rPr>
        <w:t xml:space="preserve"> שכל אלו בעל חוב גם כן צריך שבועה בהן</w:t>
      </w:r>
      <w:r w:rsidR="00177DA5">
        <w:rPr>
          <w:rFonts w:cs="Arial" w:hint="cs"/>
          <w:rtl/>
        </w:rPr>
        <w:t>,</w:t>
      </w:r>
      <w:r w:rsidRPr="00E84812">
        <w:rPr>
          <w:rFonts w:cs="Arial"/>
          <w:rtl/>
        </w:rPr>
        <w:t xml:space="preserve"> ואין ספק שדין זה נוהג אף בנדוניא</w:t>
      </w:r>
      <w:r w:rsidR="00177DA5">
        <w:rPr>
          <w:rFonts w:cs="Arial" w:hint="cs"/>
          <w:rtl/>
        </w:rPr>
        <w:t>,</w:t>
      </w:r>
      <w:r w:rsidRPr="00E84812">
        <w:rPr>
          <w:rFonts w:cs="Arial"/>
          <w:rtl/>
        </w:rPr>
        <w:t xml:space="preserve"> ולא הוצרך רבינו לבאר כן דפשוט הוא שלא יפה כחה מן החוב. ודע שאין דעת רבינו מוסכם בזה מכל המפרשים ז"ל</w:t>
      </w:r>
      <w:r w:rsidR="00321D18">
        <w:rPr>
          <w:rFonts w:cs="Arial" w:hint="cs"/>
          <w:rtl/>
        </w:rPr>
        <w:t>, הה"מ (שם)</w:t>
      </w:r>
      <w:r>
        <w:rPr>
          <w:rFonts w:hint="cs"/>
          <w:rtl/>
        </w:rPr>
        <w:t>.</w:t>
      </w:r>
    </w:p>
  </w:footnote>
  <w:footnote w:id="850">
    <w:p w14:paraId="04499C04" w14:textId="6125A2A8" w:rsidR="00DE2F5F" w:rsidRPr="00BA73D9" w:rsidRDefault="00DE2F5F">
      <w:pPr>
        <w:pStyle w:val="a5"/>
      </w:pPr>
      <w:r w:rsidRPr="00BA73D9">
        <w:rPr>
          <w:rStyle w:val="a7"/>
        </w:rPr>
        <w:footnoteRef/>
      </w:r>
      <w:r w:rsidRPr="00BA73D9">
        <w:rPr>
          <w:rtl/>
        </w:rPr>
        <w:t xml:space="preserve"> </w:t>
      </w:r>
      <w:r w:rsidRPr="00BA73D9">
        <w:rPr>
          <w:rFonts w:cs="Arial" w:hint="cs"/>
          <w:rtl/>
        </w:rPr>
        <w:t xml:space="preserve">והביא הב"י את דברי הרא"ש </w:t>
      </w:r>
      <w:r w:rsidRPr="00BA73D9">
        <w:rPr>
          <w:rFonts w:cs="Arial"/>
          <w:rtl/>
        </w:rPr>
        <w:t>(סי' ג) על זה</w:t>
      </w:r>
      <w:r w:rsidRPr="00BA73D9">
        <w:rPr>
          <w:rFonts w:cs="Arial" w:hint="cs"/>
          <w:rtl/>
        </w:rPr>
        <w:t xml:space="preserve">, </w:t>
      </w:r>
      <w:r w:rsidR="0061020A">
        <w:rPr>
          <w:rFonts w:cs="Arial" w:hint="cs"/>
          <w:rtl/>
        </w:rPr>
        <w:t>וז</w:t>
      </w:r>
      <w:r w:rsidR="0061020A">
        <w:rPr>
          <w:rFonts w:cs="Arial"/>
          <w:rtl/>
        </w:rPr>
        <w:t>"</w:t>
      </w:r>
      <w:r w:rsidR="0061020A">
        <w:rPr>
          <w:rFonts w:cs="Arial" w:hint="cs"/>
          <w:rtl/>
        </w:rPr>
        <w:t>ל:</w:t>
      </w:r>
      <w:r w:rsidRPr="00BA73D9">
        <w:rPr>
          <w:rFonts w:cs="Arial"/>
          <w:rtl/>
        </w:rPr>
        <w:t xml:space="preserve"> פסק ר"י דשומר חינם מיהא הוי וחייב בפשיעה</w:t>
      </w:r>
      <w:r w:rsidRPr="00BA73D9">
        <w:rPr>
          <w:rFonts w:cs="Arial" w:hint="cs"/>
          <w:rtl/>
        </w:rPr>
        <w:t>,</w:t>
      </w:r>
      <w:r w:rsidRPr="00BA73D9">
        <w:rPr>
          <w:rFonts w:cs="Arial"/>
          <w:rtl/>
        </w:rPr>
        <w:t xml:space="preserve"> וגבי בעל בנכסי אשתו לא נפקא מינה מידי דפשיעה בבעלים פטור</w:t>
      </w:r>
      <w:r w:rsidRPr="00BA73D9">
        <w:rPr>
          <w:rFonts w:cs="Arial" w:hint="cs"/>
          <w:rtl/>
        </w:rPr>
        <w:t>,</w:t>
      </w:r>
      <w:r w:rsidRPr="00BA73D9">
        <w:rPr>
          <w:rFonts w:cs="Arial"/>
          <w:rtl/>
        </w:rPr>
        <w:t xml:space="preserve"> אלא נפקא מינה ללוקח בהמה לל' יום דלא שואל הוי ולא שוכר</w:t>
      </w:r>
      <w:r w:rsidRPr="00BA73D9">
        <w:rPr>
          <w:rFonts w:cs="Arial" w:hint="cs"/>
          <w:rtl/>
        </w:rPr>
        <w:t>,</w:t>
      </w:r>
      <w:r w:rsidRPr="00BA73D9">
        <w:rPr>
          <w:rFonts w:cs="Arial"/>
          <w:rtl/>
        </w:rPr>
        <w:t xml:space="preserve"> דבלשון מקח לקחה</w:t>
      </w:r>
      <w:r w:rsidRPr="00BA73D9">
        <w:rPr>
          <w:rFonts w:cs="Arial" w:hint="cs"/>
          <w:rtl/>
        </w:rPr>
        <w:t>,</w:t>
      </w:r>
      <w:r w:rsidRPr="00BA73D9">
        <w:rPr>
          <w:rFonts w:cs="Arial"/>
          <w:rtl/>
        </w:rPr>
        <w:t xml:space="preserve"> ומסתבר דשומר חינם הוי</w:t>
      </w:r>
      <w:r w:rsidRPr="00BA73D9">
        <w:rPr>
          <w:rFonts w:cs="Arial" w:hint="cs"/>
          <w:rtl/>
        </w:rPr>
        <w:t>,</w:t>
      </w:r>
      <w:r w:rsidRPr="00BA73D9">
        <w:rPr>
          <w:rFonts w:cs="Arial"/>
          <w:rtl/>
        </w:rPr>
        <w:t xml:space="preserve"> עכ"ל. ויש לתמוה על רבינו למה תלה הדבר בפסק ר"י</w:t>
      </w:r>
      <w:r w:rsidRPr="00BA73D9">
        <w:rPr>
          <w:rFonts w:cs="Arial" w:hint="cs"/>
          <w:rtl/>
        </w:rPr>
        <w:t>,</w:t>
      </w:r>
      <w:r w:rsidRPr="00BA73D9">
        <w:rPr>
          <w:rFonts w:cs="Arial"/>
          <w:rtl/>
        </w:rPr>
        <w:t xml:space="preserve"> דהא כיון דמהא דאמר רבא מאי קמיבעיא לרמי בר חמא וכו' שמעינן דבעל בנכסי אשתו אשתו עמו במלאכתו מיקריא</w:t>
      </w:r>
      <w:r w:rsidRPr="00BA73D9">
        <w:rPr>
          <w:rFonts w:cs="Arial" w:hint="cs"/>
          <w:rtl/>
        </w:rPr>
        <w:t>,</w:t>
      </w:r>
      <w:r w:rsidRPr="00BA73D9">
        <w:rPr>
          <w:rFonts w:cs="Arial"/>
          <w:rtl/>
        </w:rPr>
        <w:t xml:space="preserve"> והא קיי"ל דפשיעה בבעלים פטור כדאיתא בהשואל (צה.)</w:t>
      </w:r>
      <w:r w:rsidRPr="00BA73D9">
        <w:rPr>
          <w:rFonts w:cs="Arial" w:hint="cs"/>
          <w:rtl/>
        </w:rPr>
        <w:t>,</w:t>
      </w:r>
      <w:r w:rsidRPr="00BA73D9">
        <w:rPr>
          <w:rFonts w:cs="Arial"/>
          <w:rtl/>
        </w:rPr>
        <w:t xml:space="preserve"> ממילא שמעינן דאם פשע בהם ונאבדו בפשיעה פטור</w:t>
      </w:r>
      <w:r>
        <w:rPr>
          <w:rFonts w:cs="Arial" w:hint="cs"/>
          <w:sz w:val="16"/>
          <w:szCs w:val="16"/>
          <w:rtl/>
        </w:rPr>
        <w:t xml:space="preserve"> [עכ"ל הב"י]</w:t>
      </w:r>
      <w:r w:rsidRPr="00BA73D9">
        <w:rPr>
          <w:rFonts w:cs="Arial" w:hint="cs"/>
          <w:rtl/>
        </w:rPr>
        <w:t>.</w:t>
      </w:r>
      <w:r>
        <w:rPr>
          <w:rFonts w:hint="cs"/>
          <w:rtl/>
        </w:rPr>
        <w:t xml:space="preserve"> </w:t>
      </w:r>
      <w:r w:rsidR="00345233">
        <w:rPr>
          <w:rFonts w:hint="cs"/>
          <w:rtl/>
        </w:rPr>
        <w:t xml:space="preserve">     </w:t>
      </w:r>
      <w:r>
        <w:rPr>
          <w:rFonts w:hint="cs"/>
          <w:rtl/>
        </w:rPr>
        <w:t xml:space="preserve">אך </w:t>
      </w:r>
      <w:r w:rsidRPr="00345233">
        <w:rPr>
          <w:rFonts w:hint="cs"/>
          <w:b/>
          <w:bCs/>
          <w:rtl/>
        </w:rPr>
        <w:t>הב"ש</w:t>
      </w:r>
      <w:r>
        <w:rPr>
          <w:rFonts w:hint="cs"/>
          <w:rtl/>
        </w:rPr>
        <w:t xml:space="preserve"> (סק"ה) כתב </w:t>
      </w:r>
      <w:r>
        <w:rPr>
          <w:rFonts w:cs="Arial" w:hint="cs"/>
          <w:rtl/>
        </w:rPr>
        <w:t>ד</w:t>
      </w:r>
      <w:r w:rsidRPr="00CE3528">
        <w:rPr>
          <w:rFonts w:cs="Arial"/>
          <w:rtl/>
        </w:rPr>
        <w:t xml:space="preserve">משמע </w:t>
      </w:r>
      <w:r>
        <w:rPr>
          <w:rFonts w:cs="Arial" w:hint="cs"/>
          <w:rtl/>
        </w:rPr>
        <w:t>ד</w:t>
      </w:r>
      <w:r w:rsidRPr="00CE3528">
        <w:rPr>
          <w:rFonts w:cs="Arial"/>
          <w:rtl/>
        </w:rPr>
        <w:t>מגניבה ואבידה פטור מטעם דלא קיבל עליו שמירה</w:t>
      </w:r>
      <w:r>
        <w:rPr>
          <w:rFonts w:cs="Arial" w:hint="cs"/>
          <w:rtl/>
        </w:rPr>
        <w:t>,</w:t>
      </w:r>
      <w:r w:rsidRPr="00CE3528">
        <w:rPr>
          <w:rFonts w:cs="Arial"/>
          <w:rtl/>
        </w:rPr>
        <w:t xml:space="preserve"> אלא מפשיעה אינו פטור מטעם זה</w:t>
      </w:r>
      <w:r>
        <w:rPr>
          <w:rFonts w:cs="Arial" w:hint="cs"/>
          <w:rtl/>
        </w:rPr>
        <w:t>,</w:t>
      </w:r>
      <w:r w:rsidRPr="00CE3528">
        <w:rPr>
          <w:rFonts w:cs="Arial"/>
          <w:rtl/>
        </w:rPr>
        <w:t xml:space="preserve"> כיון דהוא משתמש בהם</w:t>
      </w:r>
      <w:r>
        <w:rPr>
          <w:rFonts w:cs="Arial" w:hint="cs"/>
          <w:rtl/>
        </w:rPr>
        <w:t>,</w:t>
      </w:r>
      <w:r w:rsidRPr="00CE3528">
        <w:rPr>
          <w:rFonts w:cs="Arial"/>
          <w:rtl/>
        </w:rPr>
        <w:t xml:space="preserve"> אלא מטעם שמירה בבעלים הוא פטור</w:t>
      </w:r>
      <w:r>
        <w:rPr>
          <w:rFonts w:cs="Arial" w:hint="cs"/>
          <w:rtl/>
        </w:rPr>
        <w:t>,</w:t>
      </w:r>
      <w:r w:rsidRPr="00CE3528">
        <w:rPr>
          <w:rFonts w:cs="Arial"/>
          <w:rtl/>
        </w:rPr>
        <w:t xml:space="preserve"> ו</w:t>
      </w:r>
      <w:r>
        <w:rPr>
          <w:rFonts w:cs="Arial"/>
          <w:rtl/>
        </w:rPr>
        <w:t>נכסי צאן ברזל</w:t>
      </w:r>
      <w:r w:rsidRPr="00CE3528">
        <w:rPr>
          <w:rFonts w:cs="Arial"/>
          <w:rtl/>
        </w:rPr>
        <w:t xml:space="preserve"> הוא חייב אע</w:t>
      </w:r>
      <w:r>
        <w:rPr>
          <w:rFonts w:cs="Arial" w:hint="cs"/>
          <w:rtl/>
        </w:rPr>
        <w:t>"</w:t>
      </w:r>
      <w:r w:rsidRPr="00CE3528">
        <w:rPr>
          <w:rFonts w:cs="Arial"/>
          <w:rtl/>
        </w:rPr>
        <w:t>ג דהוי שמירה בבעלים כיון דמקבל בפירוש אחריות מחייב את עצמו</w:t>
      </w:r>
      <w:r>
        <w:rPr>
          <w:rFonts w:cs="Arial" w:hint="cs"/>
          <w:rtl/>
        </w:rPr>
        <w:t>.</w:t>
      </w:r>
      <w:r w:rsidRPr="00CE3528">
        <w:rPr>
          <w:rFonts w:cs="Arial"/>
          <w:rtl/>
        </w:rPr>
        <w:t xml:space="preserve"> והטור כ' דין זה בשם ר"י דהוא פטור מטעם שמירה בבעלים והקשה הב"י למה תלה הטור הדין בדברי ר"י הא מבואר כן בסוגי' פ' השואל</w:t>
      </w:r>
      <w:r>
        <w:rPr>
          <w:rFonts w:cs="Arial" w:hint="cs"/>
          <w:rtl/>
        </w:rPr>
        <w:t>,</w:t>
      </w:r>
      <w:r w:rsidRPr="00CE3528">
        <w:rPr>
          <w:rFonts w:cs="Arial"/>
          <w:rtl/>
        </w:rPr>
        <w:t xml:space="preserve"> ולמ"ש ניחא דאת</w:t>
      </w:r>
      <w:r>
        <w:rPr>
          <w:rFonts w:cs="Arial" w:hint="cs"/>
          <w:rtl/>
        </w:rPr>
        <w:t>א</w:t>
      </w:r>
      <w:r w:rsidRPr="00CE3528">
        <w:rPr>
          <w:rFonts w:cs="Arial"/>
          <w:rtl/>
        </w:rPr>
        <w:t xml:space="preserve"> לאשמעינן בשם ר"י דאינו פטור משום דלא קיבל שמירה עליו</w:t>
      </w:r>
      <w:r>
        <w:rPr>
          <w:rFonts w:cs="Arial" w:hint="cs"/>
          <w:rtl/>
        </w:rPr>
        <w:t>,</w:t>
      </w:r>
      <w:r w:rsidRPr="00CE3528">
        <w:rPr>
          <w:rFonts w:cs="Arial"/>
          <w:rtl/>
        </w:rPr>
        <w:t xml:space="preserve"> ונ"מ הלוקח בהמה לשלשים יום דאינו מקבל שמירה</w:t>
      </w:r>
      <w:r>
        <w:rPr>
          <w:rFonts w:cs="Arial" w:hint="cs"/>
          <w:rtl/>
        </w:rPr>
        <w:t>,</w:t>
      </w:r>
      <w:r w:rsidRPr="00CE3528">
        <w:rPr>
          <w:rFonts w:cs="Arial"/>
          <w:rtl/>
        </w:rPr>
        <w:t xml:space="preserve"> מ"מ פסק ר"י דהוא </w:t>
      </w:r>
      <w:r>
        <w:rPr>
          <w:rFonts w:cs="Arial" w:hint="cs"/>
          <w:rtl/>
        </w:rPr>
        <w:t>שומר חינם</w:t>
      </w:r>
      <w:r>
        <w:rPr>
          <w:rFonts w:hint="cs"/>
          <w:rtl/>
        </w:rPr>
        <w:t>.</w:t>
      </w:r>
    </w:p>
  </w:footnote>
  <w:footnote w:id="851">
    <w:p w14:paraId="7F530F3F" w14:textId="6DD8CB09" w:rsidR="00DE2F5F" w:rsidRDefault="00DE2F5F">
      <w:pPr>
        <w:pStyle w:val="a5"/>
      </w:pPr>
      <w:r>
        <w:rPr>
          <w:rStyle w:val="a7"/>
        </w:rPr>
        <w:footnoteRef/>
      </w:r>
      <w:r>
        <w:rPr>
          <w:rtl/>
        </w:rPr>
        <w:t xml:space="preserve"> </w:t>
      </w:r>
      <w:r w:rsidRPr="004C5DE2">
        <w:rPr>
          <w:rFonts w:cs="Arial"/>
          <w:rtl/>
        </w:rPr>
        <w:t>ר"ל הנכסים אשר יש להם קיום כצאן ברזל משום דכל אחריו</w:t>
      </w:r>
      <w:r>
        <w:rPr>
          <w:rFonts w:cs="Arial" w:hint="cs"/>
          <w:rtl/>
        </w:rPr>
        <w:t>תם</w:t>
      </w:r>
      <w:r w:rsidRPr="004C5DE2">
        <w:rPr>
          <w:rFonts w:cs="Arial"/>
          <w:rtl/>
        </w:rPr>
        <w:t xml:space="preserve"> מוטל עליו</w:t>
      </w:r>
      <w:r>
        <w:rPr>
          <w:rFonts w:cs="Arial" w:hint="cs"/>
          <w:rtl/>
        </w:rPr>
        <w:t>...</w:t>
      </w:r>
      <w:r w:rsidRPr="004C5DE2">
        <w:rPr>
          <w:rtl/>
        </w:rPr>
        <w:t xml:space="preserve"> </w:t>
      </w:r>
      <w:r w:rsidRPr="004C5DE2">
        <w:rPr>
          <w:rFonts w:cs="Arial"/>
          <w:rtl/>
        </w:rPr>
        <w:t xml:space="preserve">ואפילו </w:t>
      </w:r>
      <w:r>
        <w:rPr>
          <w:rFonts w:cs="Arial"/>
          <w:rtl/>
        </w:rPr>
        <w:t>נכסי צאן ברזל</w:t>
      </w:r>
      <w:r w:rsidRPr="004C5DE2">
        <w:rPr>
          <w:rFonts w:cs="Arial"/>
          <w:rtl/>
        </w:rPr>
        <w:t xml:space="preserve"> דאינו רשאי למוכרם מפני שבח בית אביה ואין לו אלא פירות מ"מ יש לו יתרון טפי מנ"מ דפירי פירות הכל שלו ועיין בריב"ש סי' ק"נ</w:t>
      </w:r>
      <w:r>
        <w:rPr>
          <w:rFonts w:cs="Arial" w:hint="cs"/>
          <w:rtl/>
        </w:rPr>
        <w:t>, ב"ש (סק"ג).</w:t>
      </w:r>
      <w:r>
        <w:rPr>
          <w:rFonts w:hint="cs"/>
          <w:rtl/>
        </w:rPr>
        <w:t xml:space="preserve"> </w:t>
      </w:r>
    </w:p>
  </w:footnote>
  <w:footnote w:id="852">
    <w:p w14:paraId="14908E0E" w14:textId="6588F4E4" w:rsidR="00DE2F5F" w:rsidRDefault="00DE2F5F">
      <w:pPr>
        <w:pStyle w:val="a5"/>
      </w:pPr>
      <w:r>
        <w:rPr>
          <w:rStyle w:val="a7"/>
        </w:rPr>
        <w:footnoteRef/>
      </w:r>
      <w:r>
        <w:rPr>
          <w:rtl/>
        </w:rPr>
        <w:t xml:space="preserve"> </w:t>
      </w:r>
      <w:r w:rsidRPr="00DC0ABF">
        <w:rPr>
          <w:rFonts w:cs="Arial"/>
          <w:rtl/>
        </w:rPr>
        <w:t>בגדים היינו מה שהיא מכנסת לו אבל בגדים שלה הם נ"מ כמ"ש בסי' ע"ז</w:t>
      </w:r>
      <w:r>
        <w:rPr>
          <w:rFonts w:cs="Arial" w:hint="cs"/>
          <w:rtl/>
        </w:rPr>
        <w:t>, ב"ש (סק"ד).</w:t>
      </w:r>
    </w:p>
  </w:footnote>
  <w:footnote w:id="853">
    <w:p w14:paraId="6AB2ED77" w14:textId="2C7A529B" w:rsidR="00DE2F5F" w:rsidRDefault="00DE2F5F">
      <w:pPr>
        <w:pStyle w:val="a5"/>
        <w:rPr>
          <w:rtl/>
        </w:rPr>
      </w:pPr>
      <w:r>
        <w:rPr>
          <w:rStyle w:val="a7"/>
        </w:rPr>
        <w:footnoteRef/>
      </w:r>
      <w:r>
        <w:rPr>
          <w:rtl/>
        </w:rPr>
        <w:t xml:space="preserve"> </w:t>
      </w:r>
      <w:r w:rsidRPr="004C5DE2">
        <w:rPr>
          <w:rFonts w:cs="Arial"/>
          <w:rtl/>
        </w:rPr>
        <w:t>פרט כאן ג' דברים ששייך בהן מיתה או פחת</w:t>
      </w:r>
      <w:r>
        <w:rPr>
          <w:rFonts w:cs="Arial" w:hint="cs"/>
          <w:rtl/>
        </w:rPr>
        <w:t>,</w:t>
      </w:r>
      <w:r w:rsidRPr="004C5DE2">
        <w:rPr>
          <w:rFonts w:cs="Arial"/>
          <w:rtl/>
        </w:rPr>
        <w:t xml:space="preserve"> וה"ה אם הכניסה לו קרקע ג"כ </w:t>
      </w:r>
      <w:r>
        <w:rPr>
          <w:rFonts w:cs="Arial"/>
          <w:rtl/>
        </w:rPr>
        <w:t>צאן ברזל</w:t>
      </w:r>
      <w:r w:rsidRPr="004C5DE2">
        <w:rPr>
          <w:rFonts w:cs="Arial"/>
          <w:rtl/>
        </w:rPr>
        <w:t xml:space="preserve"> מקרי</w:t>
      </w:r>
      <w:r>
        <w:rPr>
          <w:rFonts w:cs="Arial" w:hint="cs"/>
          <w:rtl/>
        </w:rPr>
        <w:t>,</w:t>
      </w:r>
      <w:r w:rsidRPr="004C5DE2">
        <w:rPr>
          <w:rFonts w:cs="Arial"/>
          <w:rtl/>
        </w:rPr>
        <w:t xml:space="preserve"> ואינו רשאי למכרה משום שבח בית אביה כמו שיתבאר לקמן סי</w:t>
      </w:r>
      <w:r>
        <w:rPr>
          <w:rFonts w:cs="Arial" w:hint="cs"/>
          <w:rtl/>
        </w:rPr>
        <w:t>'</w:t>
      </w:r>
      <w:r w:rsidRPr="004C5DE2">
        <w:rPr>
          <w:rFonts w:cs="Arial"/>
          <w:rtl/>
        </w:rPr>
        <w:t xml:space="preserve"> צ</w:t>
      </w:r>
      <w:r>
        <w:rPr>
          <w:rFonts w:cs="Arial" w:hint="cs"/>
          <w:rtl/>
        </w:rPr>
        <w:t>.</w:t>
      </w:r>
      <w:r w:rsidRPr="004C5DE2">
        <w:rPr>
          <w:rFonts w:cs="Arial"/>
          <w:rtl/>
        </w:rPr>
        <w:t xml:space="preserve"> אבל אם הכניסה לו מעות או סחורות בנדן</w:t>
      </w:r>
      <w:r>
        <w:rPr>
          <w:rFonts w:cs="Arial" w:hint="cs"/>
          <w:rtl/>
        </w:rPr>
        <w:t>,</w:t>
      </w:r>
      <w:r w:rsidRPr="004C5DE2">
        <w:rPr>
          <w:rFonts w:cs="Arial"/>
          <w:rtl/>
        </w:rPr>
        <w:t xml:space="preserve"> הרשות בידו להוציאן ולישא וליתן בהם והריוח וההפסד שלו</w:t>
      </w:r>
      <w:r>
        <w:rPr>
          <w:rFonts w:cs="Arial" w:hint="cs"/>
          <w:rtl/>
        </w:rPr>
        <w:t>,</w:t>
      </w:r>
      <w:r w:rsidRPr="004C5DE2">
        <w:rPr>
          <w:rFonts w:cs="Arial"/>
          <w:rtl/>
        </w:rPr>
        <w:t xml:space="preserve"> וע"כ הוא מוסיף שליש בהם ע"פ דין התלמוד</w:t>
      </w:r>
      <w:r>
        <w:rPr>
          <w:rFonts w:cs="Arial" w:hint="cs"/>
          <w:rtl/>
        </w:rPr>
        <w:t>,</w:t>
      </w:r>
      <w:r w:rsidRPr="004C5DE2">
        <w:rPr>
          <w:rFonts w:cs="Arial"/>
          <w:rtl/>
        </w:rPr>
        <w:t xml:space="preserve"> אבל כשמכנסת לו דברים שאין רשאי למוכרן הוא פוחת חומש</w:t>
      </w:r>
      <w:r>
        <w:rPr>
          <w:rFonts w:hint="cs"/>
          <w:rtl/>
        </w:rPr>
        <w:t>, ח"מ (סק"ב).</w:t>
      </w:r>
    </w:p>
  </w:footnote>
  <w:footnote w:id="854">
    <w:p w14:paraId="3D34795B" w14:textId="1FA5FA5F" w:rsidR="00DE2F5F" w:rsidRDefault="00DE2F5F">
      <w:pPr>
        <w:pStyle w:val="a5"/>
      </w:pPr>
      <w:r>
        <w:rPr>
          <w:rStyle w:val="a7"/>
        </w:rPr>
        <w:footnoteRef/>
      </w:r>
      <w:r>
        <w:rPr>
          <w:rtl/>
        </w:rPr>
        <w:t xml:space="preserve"> </w:t>
      </w:r>
      <w:r w:rsidRPr="004C5DE2">
        <w:rPr>
          <w:rFonts w:cs="Arial"/>
          <w:rtl/>
        </w:rPr>
        <w:t>מלוג ע</w:t>
      </w:r>
      <w:r w:rsidR="005566CB">
        <w:rPr>
          <w:rFonts w:cs="Arial" w:hint="cs"/>
          <w:rtl/>
        </w:rPr>
        <w:t>ל שם</w:t>
      </w:r>
      <w:r w:rsidRPr="004C5DE2">
        <w:rPr>
          <w:rFonts w:cs="Arial"/>
          <w:rtl/>
        </w:rPr>
        <w:t xml:space="preserve"> שאוכל</w:t>
      </w:r>
      <w:r w:rsidR="005566CB">
        <w:rPr>
          <w:rFonts w:cs="Arial" w:hint="cs"/>
          <w:rtl/>
        </w:rPr>
        <w:t>,</w:t>
      </w:r>
      <w:r w:rsidRPr="004C5DE2">
        <w:rPr>
          <w:rFonts w:cs="Arial"/>
          <w:rtl/>
        </w:rPr>
        <w:t xml:space="preserve"> כעין מליג</w:t>
      </w:r>
      <w:r>
        <w:rPr>
          <w:rFonts w:cs="Arial" w:hint="cs"/>
          <w:rtl/>
        </w:rPr>
        <w:t>ת</w:t>
      </w:r>
      <w:r w:rsidRPr="004C5DE2">
        <w:rPr>
          <w:rFonts w:cs="Arial"/>
          <w:rtl/>
        </w:rPr>
        <w:t xml:space="preserve"> הראש שתולשים השער הגמי"י</w:t>
      </w:r>
      <w:r>
        <w:rPr>
          <w:rFonts w:cs="Arial" w:hint="cs"/>
          <w:rtl/>
        </w:rPr>
        <w:t xml:space="preserve">, ב"ש (סק"ג). </w:t>
      </w:r>
      <w:r>
        <w:rPr>
          <w:rFonts w:hint="cs"/>
          <w:rtl/>
        </w:rPr>
        <w:t>וה</w:t>
      </w:r>
      <w:r>
        <w:rPr>
          <w:rFonts w:cs="Arial" w:hint="cs"/>
          <w:rtl/>
        </w:rPr>
        <w:t>ח"מ (סק"ג) פירוש דל</w:t>
      </w:r>
      <w:r w:rsidRPr="00DC0ABF">
        <w:rPr>
          <w:rFonts w:cs="Arial"/>
          <w:rtl/>
        </w:rPr>
        <w:t xml:space="preserve">שון מלוג </w:t>
      </w:r>
      <w:r>
        <w:rPr>
          <w:rFonts w:cs="Arial" w:hint="cs"/>
          <w:rtl/>
        </w:rPr>
        <w:t xml:space="preserve">הוא </w:t>
      </w:r>
      <w:r w:rsidRPr="00DC0ABF">
        <w:rPr>
          <w:rFonts w:cs="Arial"/>
          <w:rtl/>
        </w:rPr>
        <w:t>כענין מליגת הראש שתולש השער ועוזב הראש</w:t>
      </w:r>
      <w:r w:rsidR="005566CB">
        <w:rPr>
          <w:rFonts w:cs="Arial" w:hint="cs"/>
          <w:rtl/>
        </w:rPr>
        <w:t>,</w:t>
      </w:r>
      <w:r w:rsidRPr="00DC0ABF">
        <w:rPr>
          <w:rFonts w:cs="Arial"/>
          <w:rtl/>
        </w:rPr>
        <w:t xml:space="preserve"> כך כאן אוכל פירות ועוזב קרן</w:t>
      </w:r>
      <w:r>
        <w:rPr>
          <w:rFonts w:cs="Arial" w:hint="cs"/>
          <w:rtl/>
        </w:rPr>
        <w:t>.</w:t>
      </w:r>
    </w:p>
  </w:footnote>
  <w:footnote w:id="855">
    <w:p w14:paraId="17CBC319" w14:textId="174768FD" w:rsidR="00DE2F5F" w:rsidRDefault="00DE2F5F">
      <w:pPr>
        <w:pStyle w:val="a5"/>
      </w:pPr>
      <w:r>
        <w:rPr>
          <w:rStyle w:val="a7"/>
        </w:rPr>
        <w:footnoteRef/>
      </w:r>
      <w:r>
        <w:rPr>
          <w:rtl/>
        </w:rPr>
        <w:t xml:space="preserve"> </w:t>
      </w:r>
      <w:r w:rsidRPr="00DC0ABF">
        <w:rPr>
          <w:rFonts w:cs="Arial"/>
          <w:rtl/>
        </w:rPr>
        <w:t>אם הם מעות ועומדים ביד אחר להסתחר והבעל הגון וירא שמים ומקבל אחריותם יוכל הוא עצמו ליש' וליתן בהם ויאכל פירות הר"ם גלאנטי סי' ק"ג</w:t>
      </w:r>
      <w:r>
        <w:rPr>
          <w:rFonts w:cs="Arial" w:hint="cs"/>
          <w:rtl/>
        </w:rPr>
        <w:t>, באה"ט (סק"ג).</w:t>
      </w:r>
    </w:p>
  </w:footnote>
  <w:footnote w:id="856">
    <w:p w14:paraId="16661B7C" w14:textId="55955B31" w:rsidR="00DE2F5F" w:rsidRDefault="00DE2F5F">
      <w:pPr>
        <w:pStyle w:val="a5"/>
      </w:pPr>
      <w:r>
        <w:rPr>
          <w:rStyle w:val="a7"/>
        </w:rPr>
        <w:footnoteRef/>
      </w:r>
      <w:r>
        <w:rPr>
          <w:rtl/>
        </w:rPr>
        <w:t xml:space="preserve"> </w:t>
      </w:r>
      <w:r w:rsidRPr="00DC0ABF">
        <w:rPr>
          <w:rFonts w:cs="Arial"/>
          <w:rtl/>
        </w:rPr>
        <w:t xml:space="preserve">כלומר אבל בנכסי </w:t>
      </w:r>
      <w:r>
        <w:rPr>
          <w:rFonts w:cs="Arial"/>
          <w:rtl/>
        </w:rPr>
        <w:t>צאן ברזל</w:t>
      </w:r>
      <w:r w:rsidRPr="00DC0ABF">
        <w:rPr>
          <w:rFonts w:cs="Arial"/>
          <w:rtl/>
        </w:rPr>
        <w:t xml:space="preserve"> אם הכניסה לו מעות וסחורות הרשות בידו להוציא גם הקרן</w:t>
      </w:r>
      <w:r w:rsidR="00692B29">
        <w:rPr>
          <w:rFonts w:cs="Arial" w:hint="cs"/>
          <w:rtl/>
        </w:rPr>
        <w:t>,</w:t>
      </w:r>
      <w:r w:rsidRPr="00DC0ABF">
        <w:rPr>
          <w:rFonts w:cs="Arial"/>
          <w:rtl/>
        </w:rPr>
        <w:t xml:space="preserve"> אבל בנכסי מלוג נפלו לה כספים ילקח בהן קרקע והוא אוכל פירות</w:t>
      </w:r>
      <w:r w:rsidR="00692B29">
        <w:rPr>
          <w:rFonts w:cs="Arial" w:hint="cs"/>
          <w:rtl/>
        </w:rPr>
        <w:t>.</w:t>
      </w:r>
      <w:r w:rsidRPr="00DC0ABF">
        <w:rPr>
          <w:rFonts w:cs="Arial"/>
          <w:rtl/>
        </w:rPr>
        <w:t xml:space="preserve"> ועיין בריב"ש סימן ק"ן כתב כמה חילוקים שבין נכסי </w:t>
      </w:r>
      <w:r>
        <w:rPr>
          <w:rFonts w:cs="Arial"/>
          <w:rtl/>
        </w:rPr>
        <w:t>צאן ברזל</w:t>
      </w:r>
      <w:r w:rsidRPr="00DC0ABF">
        <w:rPr>
          <w:rFonts w:cs="Arial"/>
          <w:rtl/>
        </w:rPr>
        <w:t xml:space="preserve"> לנ"מ</w:t>
      </w:r>
      <w:r>
        <w:rPr>
          <w:rFonts w:cs="Arial" w:hint="cs"/>
          <w:rtl/>
        </w:rPr>
        <w:t>, ח"מ (סק"ד).</w:t>
      </w:r>
    </w:p>
  </w:footnote>
  <w:footnote w:id="857">
    <w:p w14:paraId="5C08062C" w14:textId="2D9D372D" w:rsidR="00DE2F5F" w:rsidRDefault="00DE2F5F">
      <w:pPr>
        <w:pStyle w:val="a5"/>
        <w:rPr>
          <w:rtl/>
        </w:rPr>
      </w:pPr>
      <w:r>
        <w:rPr>
          <w:rStyle w:val="a7"/>
        </w:rPr>
        <w:footnoteRef/>
      </w:r>
      <w:r>
        <w:rPr>
          <w:rtl/>
        </w:rPr>
        <w:t xml:space="preserve"> </w:t>
      </w:r>
      <w:r w:rsidRPr="00CE3528">
        <w:rPr>
          <w:rFonts w:cs="Arial"/>
          <w:rtl/>
        </w:rPr>
        <w:t>כלומר אע</w:t>
      </w:r>
      <w:r>
        <w:rPr>
          <w:rFonts w:cs="Arial" w:hint="cs"/>
          <w:rtl/>
        </w:rPr>
        <w:t>"</w:t>
      </w:r>
      <w:r w:rsidRPr="00CE3528">
        <w:rPr>
          <w:rFonts w:cs="Arial"/>
          <w:rtl/>
        </w:rPr>
        <w:t xml:space="preserve">פ שכתב שהבגדים שהכניסה לו בנדן הם נכסי </w:t>
      </w:r>
      <w:r>
        <w:rPr>
          <w:rFonts w:cs="Arial"/>
          <w:rtl/>
        </w:rPr>
        <w:t>צאן ברזל</w:t>
      </w:r>
      <w:r w:rsidRPr="00CE3528">
        <w:rPr>
          <w:rFonts w:cs="Arial"/>
          <w:rtl/>
        </w:rPr>
        <w:t xml:space="preserve"> היינו ששמו הבגדים כמה הם שוים וקיבל אחריותן אבל בבגדים שהכלה לובשת אין דרך לשומן לה בנדן רק הם נכסי מלוג שלה</w:t>
      </w:r>
      <w:r>
        <w:rPr>
          <w:rFonts w:hint="cs"/>
          <w:rtl/>
        </w:rPr>
        <w:t>, ח"מ (סק"ה).</w:t>
      </w:r>
    </w:p>
  </w:footnote>
  <w:footnote w:id="858">
    <w:p w14:paraId="27C90986" w14:textId="29B5415F" w:rsidR="00DE2F5F" w:rsidRDefault="00DE2F5F">
      <w:pPr>
        <w:pStyle w:val="a5"/>
      </w:pPr>
      <w:r>
        <w:rPr>
          <w:rStyle w:val="a7"/>
        </w:rPr>
        <w:footnoteRef/>
      </w:r>
      <w:r>
        <w:rPr>
          <w:rtl/>
        </w:rPr>
        <w:t xml:space="preserve"> </w:t>
      </w:r>
      <w:r w:rsidRPr="00CE3528">
        <w:rPr>
          <w:rFonts w:cs="Arial"/>
          <w:rtl/>
        </w:rPr>
        <w:t>כלומר שאינו רשאי למכור שדה זו שיחד לה בכתובה כמו שאינו רשאי למכור קרקע שהכניסה לו</w:t>
      </w:r>
      <w:r>
        <w:rPr>
          <w:rFonts w:cs="Arial" w:hint="cs"/>
          <w:rtl/>
        </w:rPr>
        <w:t>, ח"מ (סק"ו).</w:t>
      </w:r>
    </w:p>
  </w:footnote>
  <w:footnote w:id="859">
    <w:p w14:paraId="42DA72F2" w14:textId="2E6D58C4" w:rsidR="00DE2F5F" w:rsidRDefault="00DE2F5F">
      <w:pPr>
        <w:pStyle w:val="a5"/>
      </w:pPr>
      <w:r>
        <w:rPr>
          <w:rStyle w:val="a7"/>
        </w:rPr>
        <w:footnoteRef/>
      </w:r>
      <w:r>
        <w:rPr>
          <w:rtl/>
        </w:rPr>
        <w:t xml:space="preserve"> </w:t>
      </w:r>
      <w:r w:rsidRPr="009836F3">
        <w:rPr>
          <w:rFonts w:cs="Arial"/>
          <w:rtl/>
        </w:rPr>
        <w:t xml:space="preserve">והברירה בידו אם הוא רוצה אינו מקבל אחריות עליו </w:t>
      </w:r>
      <w:r>
        <w:rPr>
          <w:rFonts w:cs="Arial" w:hint="cs"/>
          <w:rtl/>
        </w:rPr>
        <w:t xml:space="preserve">(ריב"ש סי' קנ, </w:t>
      </w:r>
      <w:r w:rsidRPr="009836F3">
        <w:rPr>
          <w:rFonts w:cs="Arial"/>
          <w:rtl/>
        </w:rPr>
        <w:t>ועיין בתשו' ריב"ש סי' עו</w:t>
      </w:r>
      <w:r>
        <w:rPr>
          <w:rFonts w:cs="Arial" w:hint="cs"/>
          <w:rtl/>
        </w:rPr>
        <w:t>),</w:t>
      </w:r>
      <w:r w:rsidRPr="009836F3">
        <w:rPr>
          <w:rFonts w:cs="Arial"/>
          <w:rtl/>
        </w:rPr>
        <w:t xml:space="preserve"> ואם כבר קיבל אחריות א"י לסלק דדינו כשומר דא"י לחזור תוך הזמן</w:t>
      </w:r>
      <w:r>
        <w:rPr>
          <w:rFonts w:cs="Arial" w:hint="cs"/>
          <w:rtl/>
        </w:rPr>
        <w:t>,</w:t>
      </w:r>
      <w:r w:rsidRPr="009836F3">
        <w:rPr>
          <w:rFonts w:cs="Arial"/>
          <w:rtl/>
        </w:rPr>
        <w:t xml:space="preserve"> מ"ה נקרא </w:t>
      </w:r>
      <w:r>
        <w:rPr>
          <w:rFonts w:cs="Arial"/>
          <w:rtl/>
        </w:rPr>
        <w:t>צאן ברזל</w:t>
      </w:r>
      <w:r>
        <w:rPr>
          <w:rFonts w:cs="Arial" w:hint="cs"/>
          <w:rtl/>
        </w:rPr>
        <w:t>,</w:t>
      </w:r>
      <w:r w:rsidRPr="009836F3">
        <w:rPr>
          <w:rFonts w:cs="Arial"/>
          <w:rtl/>
        </w:rPr>
        <w:t xml:space="preserve"> ועיין בח"ה סי' רנ"ג</w:t>
      </w:r>
      <w:r>
        <w:rPr>
          <w:rFonts w:cs="Arial" w:hint="cs"/>
          <w:rtl/>
        </w:rPr>
        <w:t xml:space="preserve">, </w:t>
      </w:r>
      <w:r w:rsidRPr="00C6635C">
        <w:rPr>
          <w:rFonts w:cs="Arial" w:hint="cs"/>
          <w:b/>
          <w:bCs/>
          <w:rtl/>
        </w:rPr>
        <w:t>ב"ש</w:t>
      </w:r>
      <w:r>
        <w:rPr>
          <w:rFonts w:cs="Arial" w:hint="cs"/>
          <w:rtl/>
        </w:rPr>
        <w:t xml:space="preserve"> (סק"ז).</w:t>
      </w:r>
      <w:r>
        <w:rPr>
          <w:rFonts w:hint="cs"/>
          <w:rtl/>
        </w:rPr>
        <w:t xml:space="preserve"> </w:t>
      </w:r>
      <w:r w:rsidR="00C6635C">
        <w:rPr>
          <w:rFonts w:hint="cs"/>
          <w:rtl/>
        </w:rPr>
        <w:t xml:space="preserve">     </w:t>
      </w:r>
      <w:r>
        <w:rPr>
          <w:rFonts w:hint="cs"/>
          <w:rtl/>
        </w:rPr>
        <w:t xml:space="preserve">אך </w:t>
      </w:r>
      <w:r w:rsidRPr="00C6635C">
        <w:rPr>
          <w:rFonts w:hint="cs"/>
          <w:b/>
          <w:bCs/>
          <w:rtl/>
        </w:rPr>
        <w:t>הח"מ</w:t>
      </w:r>
      <w:r>
        <w:rPr>
          <w:rFonts w:hint="cs"/>
          <w:rtl/>
        </w:rPr>
        <w:t xml:space="preserve"> (סק"ז) כתב דצ"ע </w:t>
      </w:r>
      <w:r>
        <w:rPr>
          <w:rFonts w:cs="Arial" w:hint="cs"/>
          <w:rtl/>
        </w:rPr>
        <w:t xml:space="preserve">אם אינו יכול לחזור בו תוך הזמן דהרי אפשר שדומה להא </w:t>
      </w:r>
      <w:r w:rsidRPr="0014557A">
        <w:rPr>
          <w:rFonts w:cs="Arial"/>
          <w:rtl/>
        </w:rPr>
        <w:t>שיכול הלוה לפרוע תוך זמנו כמבואר בח"מ סימן ע"ד</w:t>
      </w:r>
      <w:r>
        <w:rPr>
          <w:rFonts w:cs="Arial" w:hint="cs"/>
          <w:rtl/>
        </w:rPr>
        <w:t>. עכ"ד.</w:t>
      </w:r>
    </w:p>
  </w:footnote>
  <w:footnote w:id="860">
    <w:p w14:paraId="1D86A1C5" w14:textId="384A3116" w:rsidR="00DE2F5F" w:rsidRDefault="00DE2F5F">
      <w:pPr>
        <w:pStyle w:val="a5"/>
      </w:pPr>
      <w:r>
        <w:rPr>
          <w:rStyle w:val="a7"/>
        </w:rPr>
        <w:footnoteRef/>
      </w:r>
      <w:r>
        <w:rPr>
          <w:rtl/>
        </w:rPr>
        <w:t xml:space="preserve"> </w:t>
      </w:r>
      <w:r w:rsidRPr="001C326D">
        <w:rPr>
          <w:rFonts w:cs="Arial"/>
          <w:rtl/>
        </w:rPr>
        <w:t>מאשתו אם בא לדון עם שום אדם בגוף הקרקע דאי ליכא מצי אמר ליה לאו בעל דברים דידי את דקנין פירות לאו כקנין הגוף הוא</w:t>
      </w:r>
      <w:r>
        <w:rPr>
          <w:rFonts w:cs="Arial" w:hint="cs"/>
          <w:rtl/>
        </w:rPr>
        <w:t>, רש"י.</w:t>
      </w:r>
    </w:p>
  </w:footnote>
  <w:footnote w:id="861">
    <w:p w14:paraId="23F57EE9" w14:textId="6D857882" w:rsidR="00DE2F5F" w:rsidRDefault="00DE2F5F">
      <w:pPr>
        <w:pStyle w:val="a5"/>
      </w:pPr>
      <w:r>
        <w:rPr>
          <w:rStyle w:val="a7"/>
        </w:rPr>
        <w:footnoteRef/>
      </w:r>
      <w:r>
        <w:rPr>
          <w:rtl/>
        </w:rPr>
        <w:t xml:space="preserve"> </w:t>
      </w:r>
      <w:r w:rsidRPr="001C326D">
        <w:rPr>
          <w:rFonts w:cs="Arial"/>
          <w:rtl/>
        </w:rPr>
        <w:t>לדון לפירא שאין לו לדון עמו כלל בפירות שאין לו טענה עם אותו האיש בפירות כלל</w:t>
      </w:r>
      <w:r>
        <w:rPr>
          <w:rFonts w:hint="cs"/>
          <w:rtl/>
        </w:rPr>
        <w:t>, רש"י.</w:t>
      </w:r>
    </w:p>
  </w:footnote>
  <w:footnote w:id="862">
    <w:p w14:paraId="30A9D7D2" w14:textId="41F7B278" w:rsidR="00DE2F5F" w:rsidRDefault="00DE2F5F" w:rsidP="00E461BC">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7A228B">
        <w:rPr>
          <w:rFonts w:cs="Arial"/>
          <w:rtl/>
        </w:rPr>
        <w:t>ובשניהם אוכל פירותיהן ומשתמש בהן כל זמן שהיא עמו</w:t>
      </w:r>
      <w:r>
        <w:rPr>
          <w:rFonts w:cs="Arial" w:hint="cs"/>
          <w:rtl/>
        </w:rPr>
        <w:t>.</w:t>
      </w:r>
      <w:r w:rsidRPr="007A228B">
        <w:rPr>
          <w:rFonts w:cs="Arial"/>
          <w:rtl/>
        </w:rPr>
        <w:t xml:space="preserve"> לפיכך אם שום אדם מחזיק בשלה</w:t>
      </w:r>
      <w:r>
        <w:rPr>
          <w:rFonts w:cs="Arial" w:hint="cs"/>
          <w:rtl/>
        </w:rPr>
        <w:t>,</w:t>
      </w:r>
      <w:r w:rsidRPr="007A228B">
        <w:rPr>
          <w:rFonts w:cs="Arial"/>
          <w:rtl/>
        </w:rPr>
        <w:t xml:space="preserve"> ובא הבעל להוציאו מידו </w:t>
      </w:r>
      <w:r>
        <w:rPr>
          <w:rFonts w:cs="Arial" w:hint="cs"/>
          <w:rtl/>
        </w:rPr>
        <w:t xml:space="preserve">- </w:t>
      </w:r>
      <w:r w:rsidRPr="007A228B">
        <w:rPr>
          <w:rFonts w:cs="Arial"/>
          <w:rtl/>
        </w:rPr>
        <w:t>א"צ הרשאה ממנה</w:t>
      </w:r>
      <w:r>
        <w:rPr>
          <w:rFonts w:cs="Arial" w:hint="cs"/>
          <w:rtl/>
        </w:rPr>
        <w:t>,</w:t>
      </w:r>
      <w:r w:rsidRPr="007A228B">
        <w:rPr>
          <w:rFonts w:cs="Arial"/>
          <w:rtl/>
        </w:rPr>
        <w:t xml:space="preserve"> דמגו דנחית לפירי נחית לגופא</w:t>
      </w:r>
      <w:r>
        <w:rPr>
          <w:rFonts w:cs="Arial" w:hint="cs"/>
          <w:rtl/>
        </w:rPr>
        <w:t xml:space="preserve">. עכ"ל. וכתב הב"י- </w:t>
      </w:r>
      <w:r w:rsidRPr="001C326D">
        <w:rPr>
          <w:rFonts w:cs="Arial"/>
          <w:rtl/>
        </w:rPr>
        <w:t>והדבר ברור שיש בלשון רבינו קיצור שהיה לו לפרש דהא דאינו צריך הרשאה דוקא בדנחית לפירות אבל לא נחית לפירות צריך הרשאה אלא שסמך על מה שכתב בטור חושן משפט סימן קכ"ב (סע' טו - טז) כי שם כתב דין זה בארוכה וגם אני ביארתיו שם.</w:t>
      </w:r>
      <w:r w:rsidRPr="00121234">
        <w:rPr>
          <w:rFonts w:cs="Arial"/>
          <w:rtl/>
        </w:rPr>
        <w:t xml:space="preserve"> </w:t>
      </w:r>
    </w:p>
  </w:footnote>
  <w:footnote w:id="863">
    <w:p w14:paraId="57D6450A" w14:textId="3706E2F6" w:rsidR="00DE2F5F" w:rsidRDefault="00DE2F5F">
      <w:pPr>
        <w:pStyle w:val="a5"/>
      </w:pPr>
      <w:r>
        <w:rPr>
          <w:rStyle w:val="a7"/>
        </w:rPr>
        <w:footnoteRef/>
      </w:r>
      <w:r>
        <w:rPr>
          <w:rtl/>
        </w:rPr>
        <w:t xml:space="preserve"> </w:t>
      </w:r>
      <w:r w:rsidRPr="00121234">
        <w:rPr>
          <w:rFonts w:cs="Arial"/>
          <w:rtl/>
        </w:rPr>
        <w:t>ועוד כתב הא דבעינן שיהיו פירות בקרקע היינו דבלא פירות אין לו לבעל שום זכות על הקרקע שרוצה לדון עליו אבל אם יש לו שום נפקותא לדון על הקרקע אע"ג דאין פירות בקרקע</w:t>
      </w:r>
      <w:r>
        <w:rPr>
          <w:rFonts w:cs="Arial" w:hint="cs"/>
          <w:rtl/>
        </w:rPr>
        <w:t xml:space="preserve"> -</w:t>
      </w:r>
      <w:r w:rsidRPr="00121234">
        <w:rPr>
          <w:rFonts w:cs="Arial"/>
          <w:rtl/>
        </w:rPr>
        <w:t xml:space="preserve"> אין צריך הרשאה</w:t>
      </w:r>
      <w:r>
        <w:rPr>
          <w:rFonts w:cs="Arial" w:hint="cs"/>
          <w:rtl/>
        </w:rPr>
        <w:t>.</w:t>
      </w:r>
      <w:r w:rsidRPr="00121234">
        <w:rPr>
          <w:rFonts w:cs="Arial"/>
          <w:rtl/>
        </w:rPr>
        <w:t xml:space="preserve"> ולא משמע בח</w:t>
      </w:r>
      <w:r>
        <w:rPr>
          <w:rFonts w:cs="Arial" w:hint="cs"/>
          <w:rtl/>
        </w:rPr>
        <w:t>ו"מ</w:t>
      </w:r>
      <w:r w:rsidRPr="00121234">
        <w:rPr>
          <w:rFonts w:cs="Arial"/>
          <w:rtl/>
        </w:rPr>
        <w:t xml:space="preserve"> סימן קכ"ב כדבריו</w:t>
      </w:r>
      <w:r>
        <w:rPr>
          <w:rFonts w:cs="Arial" w:hint="cs"/>
          <w:rtl/>
        </w:rPr>
        <w:t>, דרכ"מ (אות ב).</w:t>
      </w:r>
    </w:p>
  </w:footnote>
  <w:footnote w:id="864">
    <w:p w14:paraId="30C967B2" w14:textId="53064740" w:rsidR="00DE2F5F" w:rsidRPr="00EE10D6" w:rsidRDefault="00DE2F5F" w:rsidP="00EE10D6">
      <w:pPr>
        <w:pStyle w:val="a5"/>
        <w:rPr>
          <w:rFonts w:cs="Arial"/>
        </w:rPr>
      </w:pPr>
      <w:r>
        <w:rPr>
          <w:rStyle w:val="a7"/>
        </w:rPr>
        <w:footnoteRef/>
      </w:r>
      <w:r>
        <w:rPr>
          <w:rtl/>
        </w:rPr>
        <w:t xml:space="preserve"> </w:t>
      </w:r>
      <w:r w:rsidRPr="00EE10D6">
        <w:rPr>
          <w:rFonts w:cs="Arial"/>
          <w:rtl/>
        </w:rPr>
        <w:t>עיין בת"ה סי' שי"ב שם מבואר לר</w:t>
      </w:r>
      <w:r>
        <w:rPr>
          <w:rFonts w:cs="Arial" w:hint="cs"/>
          <w:rtl/>
        </w:rPr>
        <w:t xml:space="preserve">ב </w:t>
      </w:r>
      <w:r w:rsidRPr="00EE10D6">
        <w:rPr>
          <w:rFonts w:cs="Arial"/>
          <w:rtl/>
        </w:rPr>
        <w:t>ה</w:t>
      </w:r>
      <w:r>
        <w:rPr>
          <w:rFonts w:cs="Arial" w:hint="cs"/>
          <w:rtl/>
        </w:rPr>
        <w:t>אי</w:t>
      </w:r>
      <w:r w:rsidRPr="00EE10D6">
        <w:rPr>
          <w:rFonts w:cs="Arial"/>
          <w:rtl/>
        </w:rPr>
        <w:t xml:space="preserve"> ורמב"ם </w:t>
      </w:r>
      <w:r>
        <w:rPr>
          <w:rFonts w:cs="Arial" w:hint="cs"/>
          <w:rtl/>
        </w:rPr>
        <w:t>(</w:t>
      </w:r>
      <w:r w:rsidRPr="00EE10D6">
        <w:rPr>
          <w:rFonts w:cs="Arial"/>
          <w:rtl/>
        </w:rPr>
        <w:t>פ"ג ה"ש</w:t>
      </w:r>
      <w:r>
        <w:rPr>
          <w:rFonts w:cs="Arial" w:hint="cs"/>
          <w:rtl/>
        </w:rPr>
        <w:t>)</w:t>
      </w:r>
      <w:r w:rsidRPr="00EE10D6">
        <w:rPr>
          <w:rFonts w:cs="Arial"/>
          <w:rtl/>
        </w:rPr>
        <w:t xml:space="preserve"> וסמ"ג ס"ל קרקע שאין בה פירות צריך הרשאה</w:t>
      </w:r>
      <w:r>
        <w:rPr>
          <w:rFonts w:cs="Arial" w:hint="cs"/>
          <w:rtl/>
        </w:rPr>
        <w:t>,</w:t>
      </w:r>
      <w:r w:rsidRPr="00EE10D6">
        <w:rPr>
          <w:rFonts w:cs="Arial"/>
          <w:rtl/>
        </w:rPr>
        <w:t xml:space="preserve"> ומשמע אפילו עומדת לגדל פירות צריך הרשאה</w:t>
      </w:r>
      <w:r>
        <w:rPr>
          <w:rFonts w:cs="Arial" w:hint="cs"/>
          <w:rtl/>
        </w:rPr>
        <w:t>,</w:t>
      </w:r>
      <w:r w:rsidRPr="00EE10D6">
        <w:rPr>
          <w:rFonts w:cs="Arial"/>
          <w:rtl/>
        </w:rPr>
        <w:t xml:space="preserve"> ולא כסמ"ע בסי' קכ"ב שכתב כשעומדת לגדל פירות א"צ הרשאה אף לדעת ר</w:t>
      </w:r>
      <w:r>
        <w:rPr>
          <w:rFonts w:cs="Arial" w:hint="cs"/>
          <w:rtl/>
        </w:rPr>
        <w:t xml:space="preserve">ב </w:t>
      </w:r>
      <w:r w:rsidRPr="00EE10D6">
        <w:rPr>
          <w:rFonts w:cs="Arial"/>
          <w:rtl/>
        </w:rPr>
        <w:t>ה</w:t>
      </w:r>
      <w:r>
        <w:rPr>
          <w:rFonts w:cs="Arial" w:hint="cs"/>
          <w:rtl/>
        </w:rPr>
        <w:t>אי.</w:t>
      </w:r>
      <w:r w:rsidRPr="00EE10D6">
        <w:rPr>
          <w:rFonts w:cs="Arial"/>
          <w:rtl/>
        </w:rPr>
        <w:t xml:space="preserve"> ולהר</w:t>
      </w:r>
      <w:r>
        <w:rPr>
          <w:rFonts w:cs="Arial" w:hint="cs"/>
          <w:rtl/>
        </w:rPr>
        <w:t>א"</w:t>
      </w:r>
      <w:r w:rsidRPr="00EE10D6">
        <w:rPr>
          <w:rFonts w:cs="Arial"/>
          <w:rtl/>
        </w:rPr>
        <w:t>ש</w:t>
      </w:r>
      <w:r>
        <w:rPr>
          <w:rFonts w:cs="Arial" w:hint="cs"/>
          <w:rtl/>
        </w:rPr>
        <w:t xml:space="preserve"> </w:t>
      </w:r>
      <w:r w:rsidRPr="00EE10D6">
        <w:rPr>
          <w:rFonts w:cs="Arial"/>
          <w:rtl/>
        </w:rPr>
        <w:t xml:space="preserve">א"צ הרשאה </w:t>
      </w:r>
      <w:r>
        <w:rPr>
          <w:rFonts w:cs="Arial" w:hint="cs"/>
          <w:rtl/>
        </w:rPr>
        <w:t>(</w:t>
      </w:r>
      <w:r w:rsidRPr="00EE10D6">
        <w:rPr>
          <w:rFonts w:cs="Arial"/>
          <w:rtl/>
        </w:rPr>
        <w:t xml:space="preserve">אפילו </w:t>
      </w:r>
      <w:r>
        <w:rPr>
          <w:rFonts w:cs="Arial" w:hint="cs"/>
          <w:rtl/>
        </w:rPr>
        <w:t>ב</w:t>
      </w:r>
      <w:r w:rsidRPr="00EE10D6">
        <w:rPr>
          <w:rFonts w:cs="Arial"/>
          <w:rtl/>
        </w:rPr>
        <w:t>קרקע שאינו מגדל פירות כלל הואיל וראוי למכור וליקח בהן קרקע שעושה פירות</w:t>
      </w:r>
      <w:r>
        <w:rPr>
          <w:rFonts w:cs="Arial" w:hint="cs"/>
          <w:rtl/>
        </w:rPr>
        <w:t>),</w:t>
      </w:r>
      <w:r w:rsidRPr="002256BC">
        <w:rPr>
          <w:rFonts w:cs="Arial" w:hint="cs"/>
          <w:rtl/>
        </w:rPr>
        <w:t xml:space="preserve"> </w:t>
      </w:r>
      <w:r>
        <w:rPr>
          <w:rFonts w:cs="Arial" w:hint="cs"/>
          <w:rtl/>
        </w:rPr>
        <w:t>ב"ש (סק"ח).</w:t>
      </w:r>
      <w:r w:rsidRPr="00EE10D6">
        <w:rPr>
          <w:rFonts w:cs="Arial"/>
          <w:rtl/>
        </w:rPr>
        <w:t xml:space="preserve"> </w:t>
      </w:r>
      <w:r>
        <w:rPr>
          <w:rFonts w:cs="Arial" w:hint="cs"/>
          <w:rtl/>
        </w:rPr>
        <w:t xml:space="preserve">וכדברי הרא"ש </w:t>
      </w:r>
      <w:r w:rsidRPr="00EE10D6">
        <w:rPr>
          <w:rFonts w:cs="Arial"/>
          <w:rtl/>
        </w:rPr>
        <w:t>כן פסק בת"ה סימן שי"ב מכח הדין ומכח סברא ע"ש ודלא כמשמעות הריב"ש סימן תצ"ו</w:t>
      </w:r>
      <w:r>
        <w:rPr>
          <w:rFonts w:cs="Arial" w:hint="cs"/>
          <w:rtl/>
        </w:rPr>
        <w:t>, ח"מ (סק"ח).</w:t>
      </w:r>
      <w:r w:rsidRPr="002256BC">
        <w:rPr>
          <w:rtl/>
        </w:rPr>
        <w:t xml:space="preserve"> </w:t>
      </w:r>
      <w:r w:rsidRPr="002256BC">
        <w:rPr>
          <w:rFonts w:cs="Arial"/>
          <w:rtl/>
        </w:rPr>
        <w:t xml:space="preserve">וכל זה איירי בנ"מ אבל </w:t>
      </w:r>
      <w:r>
        <w:rPr>
          <w:rFonts w:cs="Arial"/>
          <w:rtl/>
        </w:rPr>
        <w:t>נכסי צאן ברזל</w:t>
      </w:r>
      <w:r w:rsidRPr="002256BC">
        <w:rPr>
          <w:rFonts w:cs="Arial"/>
          <w:rtl/>
        </w:rPr>
        <w:t xml:space="preserve"> א"צ הרשאה אפילו במיתתה ועיין בטח"ה שם</w:t>
      </w:r>
      <w:r>
        <w:rPr>
          <w:rFonts w:cs="Arial" w:hint="cs"/>
          <w:rtl/>
        </w:rPr>
        <w:t>, ב"ש (סק"ח).</w:t>
      </w:r>
    </w:p>
  </w:footnote>
  <w:footnote w:id="865">
    <w:p w14:paraId="5FBF3219" w14:textId="15BD08D8" w:rsidR="00DE2F5F" w:rsidRDefault="00DE2F5F">
      <w:pPr>
        <w:pStyle w:val="a5"/>
      </w:pPr>
      <w:r>
        <w:rPr>
          <w:rStyle w:val="a7"/>
        </w:rPr>
        <w:footnoteRef/>
      </w:r>
      <w:r>
        <w:rPr>
          <w:rtl/>
        </w:rPr>
        <w:t xml:space="preserve"> </w:t>
      </w:r>
      <w:r w:rsidRPr="008C1F6E">
        <w:rPr>
          <w:rFonts w:cs="Arial"/>
          <w:rtl/>
        </w:rPr>
        <w:t>עיין בר"ן ס"פ השולח וכלל הוא נ</w:t>
      </w:r>
      <w:r>
        <w:rPr>
          <w:rFonts w:cs="Arial" w:hint="cs"/>
          <w:rtl/>
        </w:rPr>
        <w:t>כסי מלוג</w:t>
      </w:r>
      <w:r w:rsidRPr="008C1F6E">
        <w:rPr>
          <w:rFonts w:cs="Arial"/>
          <w:rtl/>
        </w:rPr>
        <w:t xml:space="preserve"> ויש בהם פירות דינם איש ואשתו כשותפות</w:t>
      </w:r>
      <w:r>
        <w:rPr>
          <w:rFonts w:cs="Arial" w:hint="cs"/>
          <w:rtl/>
        </w:rPr>
        <w:t>,</w:t>
      </w:r>
      <w:r w:rsidRPr="008C1F6E">
        <w:rPr>
          <w:rFonts w:cs="Arial"/>
          <w:rtl/>
        </w:rPr>
        <w:t xml:space="preserve"> מ</w:t>
      </w:r>
      <w:r>
        <w:rPr>
          <w:rFonts w:cs="Arial" w:hint="cs"/>
          <w:rtl/>
        </w:rPr>
        <w:t>שום הכי</w:t>
      </w:r>
      <w:r w:rsidRPr="008C1F6E">
        <w:rPr>
          <w:rFonts w:cs="Arial"/>
          <w:rtl/>
        </w:rPr>
        <w:t xml:space="preserve"> כשהיא במת</w:t>
      </w:r>
      <w:r>
        <w:rPr>
          <w:rFonts w:cs="Arial" w:hint="cs"/>
          <w:rtl/>
        </w:rPr>
        <w:t>א</w:t>
      </w:r>
      <w:r w:rsidRPr="008C1F6E">
        <w:rPr>
          <w:rFonts w:cs="Arial"/>
          <w:rtl/>
        </w:rPr>
        <w:t xml:space="preserve"> והוא ירד לדין ויצא חייב מחמת עדים שהעידו לא הוי כקבל</w:t>
      </w:r>
      <w:r>
        <w:rPr>
          <w:rFonts w:cs="Arial" w:hint="cs"/>
          <w:rtl/>
        </w:rPr>
        <w:t>ת</w:t>
      </w:r>
      <w:r w:rsidRPr="008C1F6E">
        <w:rPr>
          <w:rFonts w:cs="Arial"/>
          <w:rtl/>
        </w:rPr>
        <w:t xml:space="preserve"> עדות שלא בפני בעל דבר ואם ליתא במתא א</w:t>
      </w:r>
      <w:r>
        <w:rPr>
          <w:rFonts w:cs="Arial" w:hint="cs"/>
          <w:rtl/>
        </w:rPr>
        <w:t xml:space="preserve">ינם </w:t>
      </w:r>
      <w:r w:rsidRPr="008C1F6E">
        <w:rPr>
          <w:rFonts w:cs="Arial"/>
          <w:rtl/>
        </w:rPr>
        <w:t>י</w:t>
      </w:r>
      <w:r>
        <w:rPr>
          <w:rFonts w:cs="Arial" w:hint="cs"/>
          <w:rtl/>
        </w:rPr>
        <w:t>כולים</w:t>
      </w:r>
      <w:r w:rsidRPr="008C1F6E">
        <w:rPr>
          <w:rFonts w:cs="Arial"/>
          <w:rtl/>
        </w:rPr>
        <w:t xml:space="preserve"> לקבל עדות שלא בפניה</w:t>
      </w:r>
      <w:r>
        <w:rPr>
          <w:rFonts w:cs="Arial" w:hint="cs"/>
          <w:rtl/>
        </w:rPr>
        <w:t>,</w:t>
      </w:r>
      <w:r w:rsidRPr="008C1F6E">
        <w:rPr>
          <w:rFonts w:cs="Arial"/>
          <w:rtl/>
        </w:rPr>
        <w:t xml:space="preserve"> ולגבי פירות נמי הודאת פיו לא מהני אפילו על חלקו שהרי אי</w:t>
      </w:r>
      <w:r>
        <w:rPr>
          <w:rFonts w:cs="Arial" w:hint="cs"/>
          <w:rtl/>
        </w:rPr>
        <w:t>נו יכול</w:t>
      </w:r>
      <w:r w:rsidRPr="008C1F6E">
        <w:rPr>
          <w:rFonts w:cs="Arial"/>
          <w:rtl/>
        </w:rPr>
        <w:t xml:space="preserve"> למכור משום רווח ביתו</w:t>
      </w:r>
      <w:r>
        <w:rPr>
          <w:rFonts w:cs="Arial" w:hint="cs"/>
          <w:rtl/>
        </w:rPr>
        <w:t>.</w:t>
      </w:r>
      <w:r w:rsidRPr="008C1F6E">
        <w:rPr>
          <w:rFonts w:cs="Arial"/>
          <w:rtl/>
        </w:rPr>
        <w:t xml:space="preserve"> וב</w:t>
      </w:r>
      <w:r>
        <w:rPr>
          <w:rFonts w:cs="Arial"/>
          <w:rtl/>
        </w:rPr>
        <w:t>נכסי צאן ברזל</w:t>
      </w:r>
      <w:r w:rsidRPr="008C1F6E">
        <w:rPr>
          <w:rFonts w:cs="Arial"/>
          <w:rtl/>
        </w:rPr>
        <w:t xml:space="preserve"> מקבלים עדים שלא בפניה אפילו ליתא במתא אבל הודאתו לא מהני כיון די"ל כליי אני נוטל</w:t>
      </w:r>
      <w:r>
        <w:rPr>
          <w:rFonts w:cs="Arial" w:hint="cs"/>
          <w:rtl/>
        </w:rPr>
        <w:t>,</w:t>
      </w:r>
      <w:r w:rsidRPr="008C1F6E">
        <w:rPr>
          <w:rFonts w:cs="Arial"/>
          <w:rtl/>
        </w:rPr>
        <w:t xml:space="preserve"> כ"כ הרשב"א בחדושיו</w:t>
      </w:r>
      <w:r>
        <w:rPr>
          <w:rFonts w:cs="Arial" w:hint="cs"/>
          <w:rtl/>
        </w:rPr>
        <w:t>.</w:t>
      </w:r>
      <w:r w:rsidRPr="008C1F6E">
        <w:rPr>
          <w:rFonts w:cs="Arial"/>
          <w:rtl/>
        </w:rPr>
        <w:t xml:space="preserve"> ומזה נשמע נמי כשאין פירות בקרקע נ</w:t>
      </w:r>
      <w:r>
        <w:rPr>
          <w:rFonts w:cs="Arial" w:hint="cs"/>
          <w:rtl/>
        </w:rPr>
        <w:t>כסי מלוג</w:t>
      </w:r>
      <w:r w:rsidRPr="008C1F6E">
        <w:rPr>
          <w:rFonts w:cs="Arial"/>
          <w:rtl/>
        </w:rPr>
        <w:t xml:space="preserve"> א</w:t>
      </w:r>
      <w:r>
        <w:rPr>
          <w:rFonts w:cs="Arial" w:hint="cs"/>
          <w:rtl/>
        </w:rPr>
        <w:t>ינו יכול</w:t>
      </w:r>
      <w:r w:rsidRPr="008C1F6E">
        <w:rPr>
          <w:rFonts w:cs="Arial"/>
          <w:rtl/>
        </w:rPr>
        <w:t xml:space="preserve"> לדון בלא הרשאה דהא הטעם הוא דהם כשותפות, וכן משמע לכאורה אפילו במעו</w:t>
      </w:r>
      <w:r>
        <w:rPr>
          <w:rFonts w:cs="Arial" w:hint="cs"/>
          <w:rtl/>
        </w:rPr>
        <w:t>ת</w:t>
      </w:r>
      <w:r w:rsidRPr="008C1F6E">
        <w:rPr>
          <w:rFonts w:cs="Arial"/>
          <w:rtl/>
        </w:rPr>
        <w:t xml:space="preserve"> א"י לירד לדין בלא הרשאה</w:t>
      </w:r>
      <w:r>
        <w:rPr>
          <w:rFonts w:cs="Arial" w:hint="cs"/>
          <w:rtl/>
        </w:rPr>
        <w:t>,</w:t>
      </w:r>
      <w:r w:rsidRPr="008C1F6E">
        <w:rPr>
          <w:rFonts w:cs="Arial"/>
          <w:rtl/>
        </w:rPr>
        <w:t xml:space="preserve"> וכן מדייק בתשובת רש"ך </w:t>
      </w:r>
      <w:r>
        <w:rPr>
          <w:rFonts w:cs="Arial" w:hint="cs"/>
          <w:rtl/>
        </w:rPr>
        <w:t>(</w:t>
      </w:r>
      <w:r w:rsidRPr="008C1F6E">
        <w:rPr>
          <w:rFonts w:cs="Arial"/>
          <w:rtl/>
        </w:rPr>
        <w:t>ס"ג סי' סז</w:t>
      </w:r>
      <w:r>
        <w:rPr>
          <w:rFonts w:cs="Arial" w:hint="cs"/>
          <w:rtl/>
        </w:rPr>
        <w:t>)</w:t>
      </w:r>
      <w:r w:rsidRPr="008C1F6E">
        <w:rPr>
          <w:rFonts w:cs="Arial"/>
          <w:rtl/>
        </w:rPr>
        <w:t xml:space="preserve"> דהרשב"א חולק על דין של הת"ה ויש לדחות</w:t>
      </w:r>
      <w:r>
        <w:rPr>
          <w:rFonts w:cs="Arial" w:hint="cs"/>
          <w:rtl/>
        </w:rPr>
        <w:t>, ב"ש (סק"ח).</w:t>
      </w:r>
    </w:p>
  </w:footnote>
  <w:footnote w:id="866">
    <w:p w14:paraId="4A85EC5B" w14:textId="13EF9731" w:rsidR="00DE2F5F" w:rsidRDefault="00DE2F5F">
      <w:pPr>
        <w:pStyle w:val="a5"/>
      </w:pPr>
      <w:r>
        <w:rPr>
          <w:rStyle w:val="a7"/>
        </w:rPr>
        <w:footnoteRef/>
      </w:r>
      <w:r>
        <w:rPr>
          <w:rtl/>
        </w:rPr>
        <w:t xml:space="preserve"> </w:t>
      </w:r>
      <w:r w:rsidRPr="00EE10D6">
        <w:rPr>
          <w:rFonts w:cs="Arial"/>
          <w:rtl/>
        </w:rPr>
        <w:t>אפשר לומר אפילו על הפירות לבדן צריך הרשאה דאין כח בידו למחול הפירות משום ריוח ביתא וכמ"ש בשם הר"ן</w:t>
      </w:r>
      <w:r>
        <w:rPr>
          <w:rFonts w:cs="Arial" w:hint="cs"/>
          <w:rtl/>
        </w:rPr>
        <w:t>, ח"מ (סק"י).</w:t>
      </w:r>
    </w:p>
  </w:footnote>
  <w:footnote w:id="867">
    <w:p w14:paraId="2096A111" w14:textId="3D1B3750" w:rsidR="00DE2F5F" w:rsidRDefault="00DE2F5F">
      <w:pPr>
        <w:pStyle w:val="a5"/>
      </w:pPr>
      <w:r>
        <w:rPr>
          <w:rStyle w:val="a7"/>
        </w:rPr>
        <w:footnoteRef/>
      </w:r>
      <w:r>
        <w:rPr>
          <w:rtl/>
        </w:rPr>
        <w:t xml:space="preserve"> </w:t>
      </w:r>
      <w:r w:rsidRPr="00EE10D6">
        <w:rPr>
          <w:rFonts w:cs="Arial"/>
          <w:rtl/>
        </w:rPr>
        <w:t>המעיין בח"ה יראה דבמעות מזומני</w:t>
      </w:r>
      <w:r>
        <w:rPr>
          <w:rFonts w:cs="Arial" w:hint="cs"/>
          <w:rtl/>
        </w:rPr>
        <w:t>ם</w:t>
      </w:r>
      <w:r w:rsidRPr="00EE10D6">
        <w:rPr>
          <w:rFonts w:cs="Arial"/>
          <w:rtl/>
        </w:rPr>
        <w:t xml:space="preserve"> כ"ע מודו אפילו לדעת רב האי </w:t>
      </w:r>
      <w:r>
        <w:rPr>
          <w:rFonts w:cs="Arial" w:hint="cs"/>
          <w:rtl/>
        </w:rPr>
        <w:t>(</w:t>
      </w:r>
      <w:r w:rsidRPr="00EE10D6">
        <w:rPr>
          <w:rFonts w:cs="Arial"/>
          <w:rtl/>
        </w:rPr>
        <w:t>דס"ל דצריך שיהיו פירות באותו קרקע</w:t>
      </w:r>
      <w:r>
        <w:rPr>
          <w:rFonts w:cs="Arial" w:hint="cs"/>
          <w:rtl/>
        </w:rPr>
        <w:t>)</w:t>
      </w:r>
      <w:r w:rsidRPr="00EE10D6">
        <w:rPr>
          <w:rFonts w:cs="Arial"/>
          <w:rtl/>
        </w:rPr>
        <w:t xml:space="preserve"> מודה הוא במעות מזומנים</w:t>
      </w:r>
      <w:r>
        <w:rPr>
          <w:rFonts w:cs="Arial" w:hint="cs"/>
          <w:rtl/>
        </w:rPr>
        <w:t>,</w:t>
      </w:r>
      <w:r w:rsidRPr="00EE10D6">
        <w:rPr>
          <w:rFonts w:cs="Arial"/>
          <w:rtl/>
        </w:rPr>
        <w:t xml:space="preserve"> אבל למעשה פסק שם דאפילו שאר דברים שצריכין למכור ליקח מהן קרקע שעושה פירות</w:t>
      </w:r>
      <w:r>
        <w:rPr>
          <w:rFonts w:cs="Arial" w:hint="cs"/>
          <w:rtl/>
        </w:rPr>
        <w:t>,</w:t>
      </w:r>
      <w:r w:rsidRPr="00EE10D6">
        <w:rPr>
          <w:rFonts w:cs="Arial"/>
          <w:rtl/>
        </w:rPr>
        <w:t xml:space="preserve"> והאשה כאן ואינה רוצה להרשות את בעלה </w:t>
      </w:r>
      <w:r>
        <w:rPr>
          <w:rFonts w:cs="Arial" w:hint="cs"/>
          <w:rtl/>
        </w:rPr>
        <w:t xml:space="preserve">- </w:t>
      </w:r>
      <w:r w:rsidRPr="00EE10D6">
        <w:rPr>
          <w:rFonts w:cs="Arial"/>
          <w:rtl/>
        </w:rPr>
        <w:t>יכול בעלה לדון בלא הרשאה</w:t>
      </w:r>
      <w:r>
        <w:rPr>
          <w:rFonts w:cs="Arial" w:hint="cs"/>
          <w:rtl/>
        </w:rPr>
        <w:t>,</w:t>
      </w:r>
      <w:r w:rsidRPr="00EE10D6">
        <w:rPr>
          <w:rFonts w:cs="Arial"/>
          <w:rtl/>
        </w:rPr>
        <w:t xml:space="preserve"> שאם לא יוציאו מיד המחזיק נמצא שחסר הוא את הפירות לעולם</w:t>
      </w:r>
      <w:r>
        <w:rPr>
          <w:rFonts w:cs="Arial" w:hint="cs"/>
          <w:rtl/>
        </w:rPr>
        <w:t>.</w:t>
      </w:r>
      <w:r w:rsidRPr="00EE10D6">
        <w:rPr>
          <w:rFonts w:cs="Arial"/>
          <w:rtl/>
        </w:rPr>
        <w:t xml:space="preserve"> ע"ש שכתב שהדין והסברא נותנת כך רק במעות מזומנים א"צ לשאול את פיה</w:t>
      </w:r>
      <w:r>
        <w:rPr>
          <w:rFonts w:cs="Arial" w:hint="cs"/>
          <w:rtl/>
        </w:rPr>
        <w:t>,</w:t>
      </w:r>
      <w:r w:rsidRPr="00EE10D6">
        <w:rPr>
          <w:rFonts w:cs="Arial"/>
          <w:rtl/>
        </w:rPr>
        <w:t xml:space="preserve"> דהוי כאלו יש פירות עתה בקרקע ובדבר שצריך למכור שואלין אותה</w:t>
      </w:r>
      <w:r>
        <w:rPr>
          <w:rFonts w:cs="Arial" w:hint="cs"/>
          <w:rtl/>
        </w:rPr>
        <w:t>,</w:t>
      </w:r>
      <w:r w:rsidRPr="00EE10D6">
        <w:rPr>
          <w:rFonts w:cs="Arial"/>
          <w:rtl/>
        </w:rPr>
        <w:t xml:space="preserve"> אם רוצה לילך עמו או ליתן לו הרשאה</w:t>
      </w:r>
      <w:r>
        <w:rPr>
          <w:rFonts w:cs="Arial" w:hint="cs"/>
          <w:rtl/>
        </w:rPr>
        <w:t xml:space="preserve"> -</w:t>
      </w:r>
      <w:r w:rsidRPr="00EE10D6">
        <w:rPr>
          <w:rFonts w:cs="Arial"/>
          <w:rtl/>
        </w:rPr>
        <w:t xml:space="preserve"> הוא טוב</w:t>
      </w:r>
      <w:r>
        <w:rPr>
          <w:rFonts w:cs="Arial" w:hint="cs"/>
          <w:rtl/>
        </w:rPr>
        <w:t>,</w:t>
      </w:r>
      <w:r w:rsidRPr="00EE10D6">
        <w:rPr>
          <w:rFonts w:cs="Arial"/>
          <w:rtl/>
        </w:rPr>
        <w:t xml:space="preserve"> ואם לאו </w:t>
      </w:r>
      <w:r>
        <w:rPr>
          <w:rFonts w:cs="Arial" w:hint="cs"/>
          <w:rtl/>
        </w:rPr>
        <w:t xml:space="preserve">- </w:t>
      </w:r>
      <w:r w:rsidRPr="00EE10D6">
        <w:rPr>
          <w:rFonts w:cs="Arial"/>
          <w:rtl/>
        </w:rPr>
        <w:t>טוען אף שלא בהרשאה</w:t>
      </w:r>
      <w:r>
        <w:rPr>
          <w:rFonts w:cs="Arial" w:hint="cs"/>
          <w:rtl/>
        </w:rPr>
        <w:t>, ח"מ (סקי"א).</w:t>
      </w:r>
    </w:p>
  </w:footnote>
  <w:footnote w:id="868">
    <w:p w14:paraId="037D92E9" w14:textId="7CFEC027" w:rsidR="00DE2F5F" w:rsidRDefault="00DE2F5F">
      <w:pPr>
        <w:pStyle w:val="a5"/>
      </w:pPr>
      <w:r>
        <w:rPr>
          <w:rStyle w:val="a7"/>
        </w:rPr>
        <w:footnoteRef/>
      </w:r>
      <w:r>
        <w:rPr>
          <w:rtl/>
        </w:rPr>
        <w:t xml:space="preserve"> </w:t>
      </w:r>
      <w:r w:rsidRPr="00AD3F4C">
        <w:rPr>
          <w:rFonts w:cs="Arial"/>
          <w:rtl/>
        </w:rPr>
        <w:t>פרה של נכסי מלוג</w:t>
      </w:r>
      <w:r>
        <w:rPr>
          <w:rFonts w:cs="Arial" w:hint="cs"/>
          <w:rtl/>
        </w:rPr>
        <w:t>, רש"י.</w:t>
      </w:r>
    </w:p>
  </w:footnote>
  <w:footnote w:id="869">
    <w:p w14:paraId="363275F7" w14:textId="46631CA0" w:rsidR="00DE2F5F" w:rsidRDefault="00DE2F5F">
      <w:pPr>
        <w:pStyle w:val="a5"/>
      </w:pPr>
      <w:r>
        <w:rPr>
          <w:rStyle w:val="a7"/>
        </w:rPr>
        <w:footnoteRef/>
      </w:r>
      <w:r>
        <w:rPr>
          <w:rtl/>
        </w:rPr>
        <w:t xml:space="preserve"> </w:t>
      </w:r>
      <w:r w:rsidRPr="00AD3F4C">
        <w:rPr>
          <w:rFonts w:cs="Arial"/>
          <w:rtl/>
        </w:rPr>
        <w:t>למלאכתו</w:t>
      </w:r>
      <w:r>
        <w:rPr>
          <w:rFonts w:cs="Arial" w:hint="cs"/>
          <w:rtl/>
        </w:rPr>
        <w:t>, רש"י.</w:t>
      </w:r>
    </w:p>
  </w:footnote>
  <w:footnote w:id="870">
    <w:p w14:paraId="51A18C6E" w14:textId="00B9F1D5" w:rsidR="00DE2F5F" w:rsidRDefault="00DE2F5F">
      <w:pPr>
        <w:pStyle w:val="a5"/>
        <w:rPr>
          <w:rtl/>
        </w:rPr>
      </w:pPr>
      <w:r>
        <w:rPr>
          <w:rStyle w:val="a7"/>
        </w:rPr>
        <w:footnoteRef/>
      </w:r>
      <w:r>
        <w:rPr>
          <w:rtl/>
        </w:rPr>
        <w:t xml:space="preserve"> </w:t>
      </w:r>
      <w:r w:rsidRPr="001F63D8">
        <w:rPr>
          <w:rFonts w:cs="Arial"/>
          <w:rtl/>
        </w:rPr>
        <w:t>שהבעל אוכל פירות מלוג - כקנין הגוף דמי, והוה ליה בעלים שואל ונשאל, כאילו קרקע ופרה שלו</w:t>
      </w:r>
      <w:r>
        <w:rPr>
          <w:rFonts w:hint="cs"/>
          <w:rtl/>
        </w:rPr>
        <w:t>, רש"י.</w:t>
      </w:r>
    </w:p>
  </w:footnote>
  <w:footnote w:id="871">
    <w:p w14:paraId="4118A9DD" w14:textId="36EF26E7" w:rsidR="00DE2F5F" w:rsidRDefault="00DE2F5F">
      <w:pPr>
        <w:pStyle w:val="a5"/>
      </w:pPr>
      <w:r>
        <w:rPr>
          <w:rStyle w:val="a7"/>
        </w:rPr>
        <w:footnoteRef/>
      </w:r>
      <w:r>
        <w:rPr>
          <w:rtl/>
        </w:rPr>
        <w:t xml:space="preserve"> </w:t>
      </w:r>
      <w:r w:rsidRPr="001F63D8">
        <w:rPr>
          <w:rFonts w:cs="Arial"/>
          <w:rtl/>
        </w:rPr>
        <w:t>שיאכל לוקח פירותיה שתיים שלוש שנים, ואחר זמן תחזור לבעלים - מביא בכורים וקורא: ארמי אובד אבי, וכל הפרשה (דברים כו) וקורא אני בו: הנה הבאתי את ראשית פרי האדמה אשר נתתה לי - דקנין פירות כקנין הגוף</w:t>
      </w:r>
      <w:r>
        <w:rPr>
          <w:rFonts w:cs="Arial" w:hint="cs"/>
          <w:rtl/>
        </w:rPr>
        <w:t>, רש"י.</w:t>
      </w:r>
    </w:p>
  </w:footnote>
  <w:footnote w:id="872">
    <w:p w14:paraId="6F0DAC76" w14:textId="66EE35CF" w:rsidR="00DE2F5F" w:rsidRDefault="00DE2F5F">
      <w:pPr>
        <w:pStyle w:val="a5"/>
        <w:rPr>
          <w:rtl/>
        </w:rPr>
      </w:pPr>
      <w:r>
        <w:rPr>
          <w:rStyle w:val="a7"/>
        </w:rPr>
        <w:footnoteRef/>
      </w:r>
      <w:r>
        <w:rPr>
          <w:rtl/>
        </w:rPr>
        <w:t xml:space="preserve"> </w:t>
      </w:r>
      <w:r>
        <w:rPr>
          <w:rFonts w:hint="cs"/>
          <w:rtl/>
        </w:rPr>
        <w:t xml:space="preserve">בגירסת הב"י בטור נוספה כאן תיבת 'הבעל'. וכתב הב"י- </w:t>
      </w:r>
      <w:r w:rsidRPr="001F63D8">
        <w:rPr>
          <w:rFonts w:cs="Arial"/>
          <w:rtl/>
        </w:rPr>
        <w:t>נראה לי שיש למחוק מדברי רבינו תיבת הבעל וכך יש לגרוס שאם יש לה פרה של נכסי מלוג והשאילה לאחר ונשאל עמה לא חשיב שאלה בבעלים ע"כ דהא בהשאילה האשה עסקינן כמבואר בלשון הגמרא שהבאתי וכן כתב הוא עצמו בטור חושן משפט סימן שמ"ו (סע' יא) ואיפשר לומר דשפיר גרסינן הבעל בלשון רבינו כאן ורבותא אשמועינן דאפילו הבעל הוא המשאיל והוא הנשאל עמה לא חשיב שאלה בבעלים דקנין פירות לאו כקנין הגוף דמי</w:t>
      </w:r>
      <w:r>
        <w:rPr>
          <w:rFonts w:cs="Arial" w:hint="cs"/>
          <w:rtl/>
        </w:rPr>
        <w:t>.</w:t>
      </w:r>
    </w:p>
  </w:footnote>
  <w:footnote w:id="873">
    <w:p w14:paraId="2FD8037C" w14:textId="025C87CE" w:rsidR="00DE2F5F" w:rsidRDefault="00DE2F5F">
      <w:pPr>
        <w:pStyle w:val="a5"/>
        <w:rPr>
          <w:rtl/>
        </w:rPr>
      </w:pPr>
      <w:r>
        <w:rPr>
          <w:rStyle w:val="a7"/>
        </w:rPr>
        <w:footnoteRef/>
      </w:r>
      <w:r>
        <w:rPr>
          <w:rtl/>
        </w:rPr>
        <w:t xml:space="preserve"> </w:t>
      </w:r>
      <w:r w:rsidRPr="003A1745">
        <w:rPr>
          <w:rFonts w:cs="Arial"/>
          <w:rtl/>
        </w:rPr>
        <w:t>קא סלקא דעתך להתחייב באונסי בהמות נכסי מלוג שלה, שהוא עושה בהן מלאכתו</w:t>
      </w:r>
      <w:r>
        <w:rPr>
          <w:rFonts w:cs="Arial" w:hint="cs"/>
          <w:rtl/>
        </w:rPr>
        <w:t>,</w:t>
      </w:r>
      <w:r>
        <w:rPr>
          <w:rFonts w:hint="cs"/>
          <w:rtl/>
        </w:rPr>
        <w:t xml:space="preserve"> רש"י.</w:t>
      </w:r>
    </w:p>
  </w:footnote>
  <w:footnote w:id="874">
    <w:p w14:paraId="548AFC01" w14:textId="2D986190" w:rsidR="00DE2F5F" w:rsidRDefault="00DE2F5F">
      <w:pPr>
        <w:pStyle w:val="a5"/>
        <w:rPr>
          <w:rtl/>
        </w:rPr>
      </w:pPr>
      <w:r>
        <w:rPr>
          <w:rStyle w:val="a7"/>
        </w:rPr>
        <w:footnoteRef/>
      </w:r>
      <w:r>
        <w:rPr>
          <w:rtl/>
        </w:rPr>
        <w:t xml:space="preserve"> </w:t>
      </w:r>
      <w:r w:rsidRPr="003A1745">
        <w:rPr>
          <w:rFonts w:cs="Arial"/>
          <w:rtl/>
        </w:rPr>
        <w:t>שהיא עמו תדיר במלאכתו, והיא נשאלת לו תחלה, משנשאה</w:t>
      </w:r>
      <w:r>
        <w:rPr>
          <w:rFonts w:hint="cs"/>
          <w:rtl/>
        </w:rPr>
        <w:t>, רש"י.</w:t>
      </w:r>
    </w:p>
  </w:footnote>
  <w:footnote w:id="875">
    <w:p w14:paraId="577687B4" w14:textId="1EAE0110" w:rsidR="00DE2F5F" w:rsidRDefault="00DE2F5F">
      <w:pPr>
        <w:pStyle w:val="a5"/>
      </w:pPr>
      <w:r>
        <w:rPr>
          <w:rStyle w:val="a7"/>
        </w:rPr>
        <w:footnoteRef/>
      </w:r>
      <w:r>
        <w:rPr>
          <w:rtl/>
        </w:rPr>
        <w:t xml:space="preserve"> </w:t>
      </w:r>
      <w:r w:rsidRPr="000343CE">
        <w:rPr>
          <w:rFonts w:cs="Arial"/>
          <w:rtl/>
        </w:rPr>
        <w:t>וה"ה דמצי למימר דשאל מינה פרה אלא מילתא דשכיחא נקט</w:t>
      </w:r>
      <w:r>
        <w:rPr>
          <w:rFonts w:cs="Arial" w:hint="cs"/>
          <w:rtl/>
        </w:rPr>
        <w:t>,</w:t>
      </w:r>
      <w:r w:rsidRPr="000343CE">
        <w:rPr>
          <w:rFonts w:cs="Arial"/>
          <w:rtl/>
        </w:rPr>
        <w:t xml:space="preserve"> תוס</w:t>
      </w:r>
      <w:r>
        <w:rPr>
          <w:rFonts w:cs="Arial" w:hint="cs"/>
          <w:rtl/>
        </w:rPr>
        <w:t>'</w:t>
      </w:r>
      <w:r w:rsidRPr="000343CE">
        <w:rPr>
          <w:rFonts w:cs="Arial"/>
          <w:rtl/>
        </w:rPr>
        <w:t xml:space="preserve"> (שם ד"ה דאגר</w:t>
      </w:r>
      <w:r>
        <w:rPr>
          <w:rFonts w:cs="Arial" w:hint="cs"/>
          <w:rtl/>
        </w:rPr>
        <w:t>, הביאו הב"ח [אות ה]</w:t>
      </w:r>
      <w:r w:rsidRPr="000343CE">
        <w:rPr>
          <w:rFonts w:cs="Arial"/>
          <w:rtl/>
        </w:rPr>
        <w:t>)</w:t>
      </w:r>
      <w:r>
        <w:rPr>
          <w:rFonts w:cs="Arial" w:hint="cs"/>
          <w:rtl/>
        </w:rPr>
        <w:t>.</w:t>
      </w:r>
    </w:p>
  </w:footnote>
  <w:footnote w:id="876">
    <w:p w14:paraId="3ECAC199" w14:textId="3013DA55" w:rsidR="00DE2F5F" w:rsidRDefault="00DE2F5F">
      <w:pPr>
        <w:pStyle w:val="a5"/>
      </w:pPr>
      <w:r>
        <w:rPr>
          <w:rStyle w:val="a7"/>
        </w:rPr>
        <w:footnoteRef/>
      </w:r>
      <w:r>
        <w:rPr>
          <w:rtl/>
        </w:rPr>
        <w:t xml:space="preserve"> </w:t>
      </w:r>
      <w:r w:rsidRPr="003A1745">
        <w:rPr>
          <w:rFonts w:cs="Arial"/>
          <w:rtl/>
        </w:rPr>
        <w:t>וזכה הוא אף בפרה, להשתמש בה כל יומי השכירות</w:t>
      </w:r>
      <w:r>
        <w:rPr>
          <w:rFonts w:cs="Arial" w:hint="cs"/>
          <w:rtl/>
        </w:rPr>
        <w:t xml:space="preserve">. </w:t>
      </w:r>
      <w:r w:rsidRPr="00166B2C">
        <w:rPr>
          <w:rFonts w:cs="Arial"/>
          <w:rtl/>
        </w:rPr>
        <w:t>מאי</w:t>
      </w:r>
      <w:r>
        <w:rPr>
          <w:rFonts w:cs="Arial" w:hint="cs"/>
          <w:rtl/>
        </w:rPr>
        <w:t>?</w:t>
      </w:r>
      <w:r w:rsidRPr="00166B2C">
        <w:rPr>
          <w:rFonts w:cs="Arial"/>
          <w:rtl/>
        </w:rPr>
        <w:t xml:space="preserve"> שואל ממנה הוא</w:t>
      </w:r>
      <w:r>
        <w:rPr>
          <w:rFonts w:cs="Arial" w:hint="cs"/>
          <w:rtl/>
        </w:rPr>
        <w:t>?</w:t>
      </w:r>
      <w:r w:rsidRPr="00166B2C">
        <w:rPr>
          <w:rFonts w:cs="Arial"/>
          <w:rtl/>
        </w:rPr>
        <w:t xml:space="preserve"> והוה ליה איהו כשוכר פרה מחבירו והשאילה לאחר ומתה, דאיפליגו רבנן ורבי יוסי בהמפקיד (ב</w:t>
      </w:r>
      <w:r>
        <w:rPr>
          <w:rFonts w:cs="Arial" w:hint="cs"/>
          <w:rtl/>
        </w:rPr>
        <w:t>"</w:t>
      </w:r>
      <w:r w:rsidRPr="00166B2C">
        <w:rPr>
          <w:rFonts w:cs="Arial"/>
          <w:rtl/>
        </w:rPr>
        <w:t>מ לה</w:t>
      </w:r>
      <w:r>
        <w:rPr>
          <w:rFonts w:cs="Arial" w:hint="cs"/>
          <w:rtl/>
        </w:rPr>
        <w:t>:</w:t>
      </w:r>
      <w:r w:rsidRPr="00166B2C">
        <w:rPr>
          <w:rFonts w:cs="Arial"/>
          <w:rtl/>
        </w:rPr>
        <w:t>) ואמרי רבנן: נשבע שוכר שמתה כדרכה ופטור, ושואל משלם לשוכר, ורבי יוסי אומר: תחזור פרה לבעלים.</w:t>
      </w:r>
    </w:p>
  </w:footnote>
  <w:footnote w:id="877">
    <w:p w14:paraId="4DA1C81E" w14:textId="2B05FBFD" w:rsidR="00DE2F5F" w:rsidRDefault="00DE2F5F">
      <w:pPr>
        <w:pStyle w:val="a5"/>
        <w:rPr>
          <w:rtl/>
        </w:rPr>
      </w:pPr>
      <w:r>
        <w:rPr>
          <w:rStyle w:val="a7"/>
        </w:rPr>
        <w:footnoteRef/>
      </w:r>
      <w:r>
        <w:rPr>
          <w:rtl/>
        </w:rPr>
        <w:t xml:space="preserve"> </w:t>
      </w:r>
      <w:r w:rsidRPr="00166B2C">
        <w:rPr>
          <w:rFonts w:cs="Arial"/>
          <w:rtl/>
        </w:rPr>
        <w:t>דדינא דשואל בהדי דמשאיל הוא, ולא אצל בעלים הראשונים - לא תיבעי לך, דאפילו הוא שואל, כיון דלדידה בעי שלומי - פטור, דשאילה בבעלים היא, כי תיבעי לך - לרבי יוסי, דאמר: תשלומין לבעלים, והשתא לא בבעלים היא, מאי, שואל הוי ממנה, ושואל חייב באונסים, ומשלם לבעלים, או שוכר הוי, ופטור מאונסין, ומאי שכירותיה - שהרי תקנו לה חכמים פרקונה תחת פירות, אם נשבית</w:t>
      </w:r>
      <w:r>
        <w:rPr>
          <w:rFonts w:hint="cs"/>
          <w:rtl/>
        </w:rPr>
        <w:t>, רש"י.</w:t>
      </w:r>
    </w:p>
  </w:footnote>
  <w:footnote w:id="878">
    <w:p w14:paraId="2924585F" w14:textId="4FD4746C" w:rsidR="00DE2F5F" w:rsidRDefault="00DE2F5F">
      <w:pPr>
        <w:pStyle w:val="a5"/>
      </w:pPr>
      <w:r>
        <w:rPr>
          <w:rStyle w:val="a7"/>
        </w:rPr>
        <w:footnoteRef/>
      </w:r>
      <w:r>
        <w:rPr>
          <w:rtl/>
        </w:rPr>
        <w:t xml:space="preserve"> </w:t>
      </w:r>
      <w:r w:rsidRPr="00E81756">
        <w:rPr>
          <w:rFonts w:cs="Arial"/>
          <w:rtl/>
        </w:rPr>
        <w:t>ופטור</w:t>
      </w:r>
      <w:r>
        <w:rPr>
          <w:rFonts w:cs="Arial" w:hint="cs"/>
          <w:rtl/>
        </w:rPr>
        <w:t>, רש"י.</w:t>
      </w:r>
    </w:p>
  </w:footnote>
  <w:footnote w:id="879">
    <w:p w14:paraId="58DAB2C3" w14:textId="5752F24E" w:rsidR="00DE2F5F" w:rsidRDefault="00DE2F5F">
      <w:pPr>
        <w:pStyle w:val="a5"/>
      </w:pPr>
      <w:r>
        <w:rPr>
          <w:rStyle w:val="a7"/>
        </w:rPr>
        <w:footnoteRef/>
      </w:r>
      <w:r>
        <w:rPr>
          <w:rtl/>
        </w:rPr>
        <w:t xml:space="preserve"> </w:t>
      </w:r>
      <w:r w:rsidRPr="00E81756">
        <w:rPr>
          <w:rFonts w:cs="Arial"/>
          <w:rtl/>
        </w:rPr>
        <w:t>ובעל יורש אשתו, דבר תורה</w:t>
      </w:r>
      <w:r>
        <w:rPr>
          <w:rFonts w:cs="Arial" w:hint="cs"/>
          <w:rtl/>
        </w:rPr>
        <w:t>, רש"י.</w:t>
      </w:r>
    </w:p>
  </w:footnote>
  <w:footnote w:id="880">
    <w:p w14:paraId="74B09815" w14:textId="6DA74A8D" w:rsidR="00DE2F5F" w:rsidRDefault="00DE2F5F">
      <w:pPr>
        <w:pStyle w:val="a5"/>
      </w:pPr>
      <w:r>
        <w:rPr>
          <w:rStyle w:val="a7"/>
        </w:rPr>
        <w:footnoteRef/>
      </w:r>
      <w:r>
        <w:rPr>
          <w:rtl/>
        </w:rPr>
        <w:t xml:space="preserve"> </w:t>
      </w:r>
      <w:r w:rsidRPr="00E81756">
        <w:rPr>
          <w:rFonts w:cs="Arial"/>
          <w:rtl/>
        </w:rPr>
        <w:t>אלמא אין לה רשות למכור, דהוא הוי לוקח ראשון</w:t>
      </w:r>
      <w:r>
        <w:rPr>
          <w:rFonts w:cs="Arial" w:hint="cs"/>
          <w:rtl/>
        </w:rPr>
        <w:t>, רש"י.</w:t>
      </w:r>
    </w:p>
  </w:footnote>
  <w:footnote w:id="881">
    <w:p w14:paraId="68E1641A" w14:textId="77777777" w:rsidR="00DE2F5F" w:rsidRDefault="00DE2F5F" w:rsidP="001E2BF9">
      <w:pPr>
        <w:pStyle w:val="a5"/>
      </w:pPr>
      <w:r>
        <w:rPr>
          <w:rStyle w:val="a7"/>
        </w:rPr>
        <w:footnoteRef/>
      </w:r>
      <w:r>
        <w:rPr>
          <w:rtl/>
        </w:rPr>
        <w:t xml:space="preserve"> </w:t>
      </w:r>
      <w:r>
        <w:rPr>
          <w:rFonts w:hint="cs"/>
          <w:rtl/>
        </w:rPr>
        <w:t>הטור קיצר מאוד בלשונו כאן, אז הבאתי דבריו מסי' שמ"ו.</w:t>
      </w:r>
    </w:p>
  </w:footnote>
  <w:footnote w:id="882">
    <w:p w14:paraId="73757F33" w14:textId="7DF0D83B" w:rsidR="00DE2F5F" w:rsidRDefault="00DE2F5F">
      <w:pPr>
        <w:pStyle w:val="a5"/>
      </w:pPr>
      <w:r>
        <w:rPr>
          <w:rStyle w:val="a7"/>
        </w:rPr>
        <w:footnoteRef/>
      </w:r>
      <w:r>
        <w:rPr>
          <w:rtl/>
        </w:rPr>
        <w:t xml:space="preserve"> </w:t>
      </w:r>
      <w:r w:rsidRPr="000343CE">
        <w:rPr>
          <w:rFonts w:cs="Arial"/>
          <w:rtl/>
        </w:rPr>
        <w:t xml:space="preserve">הרמב"ם כתב דין זה </w:t>
      </w:r>
      <w:r>
        <w:rPr>
          <w:rFonts w:cs="Arial" w:hint="cs"/>
          <w:rtl/>
        </w:rPr>
        <w:t>ב</w:t>
      </w:r>
      <w:r w:rsidRPr="000343CE">
        <w:rPr>
          <w:rFonts w:cs="Arial"/>
          <w:rtl/>
        </w:rPr>
        <w:t xml:space="preserve">לשון </w:t>
      </w:r>
      <w:r>
        <w:rPr>
          <w:rFonts w:cs="Arial" w:hint="cs"/>
          <w:rtl/>
        </w:rPr>
        <w:t>'</w:t>
      </w:r>
      <w:r w:rsidRPr="000343CE">
        <w:rPr>
          <w:rFonts w:cs="Arial"/>
          <w:rtl/>
        </w:rPr>
        <w:t>שאלה</w:t>
      </w:r>
      <w:r>
        <w:rPr>
          <w:rFonts w:cs="Arial" w:hint="cs"/>
          <w:rtl/>
        </w:rPr>
        <w:t xml:space="preserve">', וכתב הב"ח דגם התוס' </w:t>
      </w:r>
      <w:r w:rsidRPr="000343CE">
        <w:rPr>
          <w:rFonts w:cs="Arial"/>
          <w:rtl/>
        </w:rPr>
        <w:t>(שם ד"ה דאגר</w:t>
      </w:r>
      <w:r>
        <w:rPr>
          <w:rFonts w:cs="Arial" w:hint="cs"/>
          <w:rtl/>
        </w:rPr>
        <w:t xml:space="preserve">) כתבו דהוא הדין דמצי הגמ' לכתוב בלשון שאלה. וכתב הב"ח </w:t>
      </w:r>
      <w:r w:rsidR="0061020A">
        <w:rPr>
          <w:rFonts w:cs="Arial" w:hint="cs"/>
          <w:rtl/>
        </w:rPr>
        <w:t>וז</w:t>
      </w:r>
      <w:r w:rsidR="0061020A">
        <w:rPr>
          <w:rFonts w:cs="Arial"/>
          <w:rtl/>
        </w:rPr>
        <w:t>"</w:t>
      </w:r>
      <w:r w:rsidR="0061020A">
        <w:rPr>
          <w:rFonts w:cs="Arial" w:hint="cs"/>
          <w:rtl/>
        </w:rPr>
        <w:t>ל:</w:t>
      </w:r>
      <w:r w:rsidRPr="000343CE">
        <w:rPr>
          <w:rFonts w:cs="Arial"/>
          <w:rtl/>
        </w:rPr>
        <w:t xml:space="preserve"> ורצונם </w:t>
      </w:r>
      <w:r>
        <w:rPr>
          <w:rFonts w:cs="Arial" w:hint="cs"/>
          <w:sz w:val="16"/>
          <w:szCs w:val="16"/>
          <w:rtl/>
        </w:rPr>
        <w:t xml:space="preserve">{של התוס' והרמב"ם} </w:t>
      </w:r>
      <w:r w:rsidRPr="000343CE">
        <w:rPr>
          <w:rFonts w:cs="Arial"/>
          <w:rtl/>
        </w:rPr>
        <w:t>לומר דאם היה שואל</w:t>
      </w:r>
      <w:r>
        <w:rPr>
          <w:rFonts w:cs="Arial" w:hint="cs"/>
          <w:rtl/>
        </w:rPr>
        <w:t xml:space="preserve"> -</w:t>
      </w:r>
      <w:r w:rsidRPr="000343CE">
        <w:rPr>
          <w:rFonts w:cs="Arial"/>
          <w:rtl/>
        </w:rPr>
        <w:t xml:space="preserve"> היה חייב לשלם לבעלים הראשונים שהוא המשכיר אפילו אם מתה</w:t>
      </w:r>
      <w:r>
        <w:rPr>
          <w:rFonts w:cs="Arial" w:hint="cs"/>
          <w:rtl/>
        </w:rPr>
        <w:t>,</w:t>
      </w:r>
      <w:r w:rsidRPr="000343CE">
        <w:rPr>
          <w:rFonts w:cs="Arial"/>
          <w:rtl/>
        </w:rPr>
        <w:t xml:space="preserve"> דהלכה כרבי יוסי דאמר (ב"מ לה</w:t>
      </w:r>
      <w:r>
        <w:rPr>
          <w:rFonts w:cs="Arial" w:hint="cs"/>
          <w:rtl/>
        </w:rPr>
        <w:t>:</w:t>
      </w:r>
      <w:r w:rsidRPr="000343CE">
        <w:rPr>
          <w:rFonts w:cs="Arial"/>
          <w:rtl/>
        </w:rPr>
        <w:t>) היאך עושה הלה סחורה בפרתו של חבירו</w:t>
      </w:r>
      <w:r>
        <w:rPr>
          <w:rFonts w:cs="Arial" w:hint="cs"/>
          <w:rtl/>
        </w:rPr>
        <w:t>,</w:t>
      </w:r>
      <w:r w:rsidRPr="000343CE">
        <w:rPr>
          <w:rFonts w:cs="Arial"/>
          <w:rtl/>
        </w:rPr>
        <w:t xml:space="preserve"> ודינא דבעל דשואל הוא בהדי המשכיר הוא וכאילו השאילו ממנו</w:t>
      </w:r>
      <w:r>
        <w:rPr>
          <w:rFonts w:cs="Arial" w:hint="cs"/>
          <w:rtl/>
        </w:rPr>
        <w:t>,</w:t>
      </w:r>
      <w:r w:rsidRPr="000343CE">
        <w:rPr>
          <w:rFonts w:cs="Arial"/>
          <w:rtl/>
        </w:rPr>
        <w:t xml:space="preserve"> וכן אם היה שוכר היה דינו עם המשכיר והיה חייב בגנבה ואבידה</w:t>
      </w:r>
      <w:r>
        <w:rPr>
          <w:rFonts w:cs="Arial" w:hint="cs"/>
          <w:rtl/>
        </w:rPr>
        <w:t>.</w:t>
      </w:r>
      <w:r w:rsidRPr="000343CE">
        <w:rPr>
          <w:rFonts w:cs="Arial"/>
          <w:rtl/>
        </w:rPr>
        <w:t xml:space="preserve"> אבל כיון שהוא חשוב לוקח ממנה</w:t>
      </w:r>
      <w:r>
        <w:rPr>
          <w:rFonts w:cs="Arial" w:hint="cs"/>
          <w:rtl/>
        </w:rPr>
        <w:t xml:space="preserve"> -</w:t>
      </w:r>
      <w:r w:rsidRPr="000343CE">
        <w:rPr>
          <w:rFonts w:cs="Arial"/>
          <w:rtl/>
        </w:rPr>
        <w:t xml:space="preserve"> אין דינו של משכיר עם הבעל כי אם עם האשה ששכרה ממנו</w:t>
      </w:r>
      <w:r>
        <w:rPr>
          <w:rFonts w:cs="Arial" w:hint="cs"/>
          <w:rtl/>
        </w:rPr>
        <w:t>,</w:t>
      </w:r>
      <w:r w:rsidRPr="000343CE">
        <w:rPr>
          <w:rFonts w:cs="Arial"/>
          <w:rtl/>
        </w:rPr>
        <w:t xml:space="preserve"> והיא חייבת לשלם למשכיר לכשתתאלמן או תתגרש</w:t>
      </w:r>
      <w:r>
        <w:rPr>
          <w:rFonts w:cs="Arial" w:hint="cs"/>
          <w:rtl/>
        </w:rPr>
        <w:t>,</w:t>
      </w:r>
      <w:r w:rsidRPr="000343CE">
        <w:rPr>
          <w:rFonts w:cs="Arial"/>
          <w:rtl/>
        </w:rPr>
        <w:t xml:space="preserve"> והבעל פטור ממנה אפילו פשע</w:t>
      </w:r>
      <w:r>
        <w:rPr>
          <w:rFonts w:cs="Arial" w:hint="cs"/>
          <w:rtl/>
        </w:rPr>
        <w:t>,</w:t>
      </w:r>
      <w:r w:rsidRPr="000343CE">
        <w:rPr>
          <w:rFonts w:cs="Arial"/>
          <w:rtl/>
        </w:rPr>
        <w:t xml:space="preserve"> דהוי פשיעה בבעלים</w:t>
      </w:r>
      <w:r>
        <w:rPr>
          <w:rFonts w:cs="Arial" w:hint="cs"/>
          <w:rtl/>
        </w:rPr>
        <w:t>.</w:t>
      </w:r>
      <w:r w:rsidRPr="000343CE">
        <w:rPr>
          <w:rFonts w:cs="Arial"/>
          <w:rtl/>
        </w:rPr>
        <w:t xml:space="preserve"> מיהו בהגה</w:t>
      </w:r>
      <w:r>
        <w:rPr>
          <w:rFonts w:cs="Arial" w:hint="cs"/>
          <w:rtl/>
        </w:rPr>
        <w:t>"מ</w:t>
      </w:r>
      <w:r w:rsidRPr="000343CE">
        <w:rPr>
          <w:rFonts w:cs="Arial"/>
          <w:rtl/>
        </w:rPr>
        <w:t xml:space="preserve"> (שאלה פ"ב אות ג) כתב דר"י חולק על זה </w:t>
      </w:r>
      <w:r w:rsidRPr="00CF49F6">
        <w:rPr>
          <w:rFonts w:cs="Arial"/>
          <w:rtl/>
        </w:rPr>
        <w:t>וז"ל לשם</w:t>
      </w:r>
      <w:r w:rsidRPr="00CF49F6">
        <w:rPr>
          <w:rFonts w:cs="Arial" w:hint="cs"/>
          <w:rtl/>
        </w:rPr>
        <w:t>-</w:t>
      </w:r>
      <w:r w:rsidRPr="00CF49F6">
        <w:rPr>
          <w:rFonts w:cs="Arial"/>
          <w:rtl/>
        </w:rPr>
        <w:t xml:space="preserve"> אבל ר"י אומר דחייב בפשיעה כשומר חינם ומשלם למשכיר לרבי יוסי דאמר תחזור פרה לבעלים הראשונים עכ"ל</w:t>
      </w:r>
      <w:r w:rsidRPr="001E2BF9">
        <w:rPr>
          <w:rFonts w:cs="Arial"/>
          <w:sz w:val="16"/>
          <w:szCs w:val="16"/>
          <w:rtl/>
        </w:rPr>
        <w:t xml:space="preserve"> </w:t>
      </w:r>
      <w:r>
        <w:rPr>
          <w:rFonts w:cs="Arial" w:hint="cs"/>
          <w:sz w:val="16"/>
          <w:szCs w:val="16"/>
          <w:rtl/>
        </w:rPr>
        <w:t>(</w:t>
      </w:r>
      <w:r w:rsidRPr="001E2BF9">
        <w:rPr>
          <w:rFonts w:cs="Arial"/>
          <w:sz w:val="16"/>
          <w:szCs w:val="16"/>
          <w:rtl/>
        </w:rPr>
        <w:t>נראה דהבין כך מלשון התוספות שכתבו ע"ש ר"י דשומר חינם הוי וחייב בפשיעה דר"ל דבהך בעיא דרמי בר חמא אף על פי דלא שואל הוי ולא שוכר הוי ופטור מאונסין ומגניבה ואבדה אפילו לרבי יוסי מכל מקום אם פשע בה חייב לשלם למשכיר</w:t>
      </w:r>
      <w:r>
        <w:rPr>
          <w:rFonts w:cs="Arial" w:hint="cs"/>
          <w:sz w:val="16"/>
          <w:szCs w:val="16"/>
          <w:rtl/>
        </w:rPr>
        <w:t>,</w:t>
      </w:r>
      <w:r w:rsidRPr="001E2BF9">
        <w:rPr>
          <w:rFonts w:cs="Arial"/>
          <w:sz w:val="16"/>
          <w:szCs w:val="16"/>
          <w:rtl/>
        </w:rPr>
        <w:t xml:space="preserve"> דשומר חינם שלו מיהא הוי לרבי יוסי</w:t>
      </w:r>
      <w:r>
        <w:rPr>
          <w:rFonts w:cs="Arial" w:hint="cs"/>
          <w:sz w:val="16"/>
          <w:szCs w:val="16"/>
          <w:rtl/>
        </w:rPr>
        <w:t>,</w:t>
      </w:r>
      <w:r w:rsidRPr="001E2BF9">
        <w:rPr>
          <w:rFonts w:cs="Arial"/>
          <w:sz w:val="16"/>
          <w:szCs w:val="16"/>
          <w:rtl/>
        </w:rPr>
        <w:t xml:space="preserve"> ואצל המשכיר לא הוי פשיעה בבעלים</w:t>
      </w:r>
      <w:r w:rsidRPr="001E2BF9">
        <w:rPr>
          <w:rFonts w:cs="Arial" w:hint="cs"/>
          <w:sz w:val="16"/>
          <w:szCs w:val="16"/>
          <w:rtl/>
        </w:rPr>
        <w:t>)</w:t>
      </w:r>
      <w:r>
        <w:rPr>
          <w:rFonts w:cs="Arial" w:hint="cs"/>
          <w:rtl/>
        </w:rPr>
        <w:t xml:space="preserve">, </w:t>
      </w:r>
      <w:r w:rsidRPr="000343CE">
        <w:rPr>
          <w:rFonts w:cs="Arial"/>
          <w:rtl/>
        </w:rPr>
        <w:t>והכי משמע להדיא מלשון המרדכי הארוך (ב"ק סי' קמג) דכך מפרש ר"י</w:t>
      </w:r>
      <w:r>
        <w:rPr>
          <w:rFonts w:cs="Arial" w:hint="cs"/>
          <w:rtl/>
        </w:rPr>
        <w:t>.</w:t>
      </w:r>
      <w:r w:rsidRPr="000343CE">
        <w:rPr>
          <w:rFonts w:cs="Arial"/>
          <w:rtl/>
        </w:rPr>
        <w:t xml:space="preserve"> אבל מדברי הרא"ש מבואר דהיה מפרש מ"ש התוס' דשומר חינם הוי וחייב בפשיעה הכי קאמר והיה חייב בפשיעה אם לא היתה פשיעה בבעלים ולפי זה הלוקח בהמה לשלשים יום וכולי שומר חנם הוי וחייב בפשיעה אבל גבי בעל בנכסי אשתו אפילו שאלה או שכרה פרה מאחר ואח"כ ניסת ומתה או אפילו פשע בה הבעל פטור אפילו לרבי יוסי דהילכתא כוותיה וכמ"ש הרמב"ם כך היא דעת ר"י והרא"ש וכך הוא מבואר מדברי רבינו בחושן משפט סימן שמ"ו (ס"כ) ע"ש. והכי נקטינן</w:t>
      </w:r>
      <w:r>
        <w:rPr>
          <w:rFonts w:cs="Arial" w:hint="cs"/>
          <w:rtl/>
        </w:rPr>
        <w:t>,</w:t>
      </w:r>
      <w:r w:rsidRPr="000343CE">
        <w:rPr>
          <w:rFonts w:cs="Arial"/>
          <w:rtl/>
        </w:rPr>
        <w:t xml:space="preserve"> וכ"פ בש</w:t>
      </w:r>
      <w:r>
        <w:rPr>
          <w:rFonts w:cs="Arial" w:hint="cs"/>
          <w:rtl/>
        </w:rPr>
        <w:t>ו</w:t>
      </w:r>
      <w:r w:rsidRPr="000343CE">
        <w:rPr>
          <w:rFonts w:cs="Arial"/>
          <w:rtl/>
        </w:rPr>
        <w:t>"ע כאן (ס"ו) וכן בחושן משפט (סי"ז)</w:t>
      </w:r>
      <w:r>
        <w:rPr>
          <w:rFonts w:cs="Arial" w:hint="cs"/>
          <w:rtl/>
        </w:rPr>
        <w:t>.</w:t>
      </w:r>
    </w:p>
  </w:footnote>
  <w:footnote w:id="883">
    <w:p w14:paraId="29E68CEA" w14:textId="1FCA26C5" w:rsidR="00DE2F5F" w:rsidRDefault="00DE2F5F">
      <w:pPr>
        <w:pStyle w:val="a5"/>
        <w:rPr>
          <w:rtl/>
        </w:rPr>
      </w:pPr>
      <w:r>
        <w:rPr>
          <w:rStyle w:val="a7"/>
        </w:rPr>
        <w:footnoteRef/>
      </w:r>
      <w:r>
        <w:rPr>
          <w:rtl/>
        </w:rPr>
        <w:t xml:space="preserve"> </w:t>
      </w:r>
      <w:r w:rsidRPr="00B41346">
        <w:rPr>
          <w:rFonts w:cs="Arial"/>
          <w:rtl/>
        </w:rPr>
        <w:t>אשה ששאלה וכו' עד נכנס תחתיה</w:t>
      </w:r>
      <w:r>
        <w:rPr>
          <w:rFonts w:cs="Arial" w:hint="cs"/>
          <w:rtl/>
        </w:rPr>
        <w:t xml:space="preserve"> -</w:t>
      </w:r>
      <w:r w:rsidRPr="00B41346">
        <w:rPr>
          <w:rFonts w:cs="Arial"/>
          <w:rtl/>
        </w:rPr>
        <w:t xml:space="preserve"> א</w:t>
      </w:r>
      <w:r w:rsidR="00784314">
        <w:rPr>
          <w:rFonts w:cs="Arial" w:hint="cs"/>
          <w:rtl/>
        </w:rPr>
        <w:t>מר אברהם</w:t>
      </w:r>
      <w:r w:rsidRPr="00B41346">
        <w:rPr>
          <w:rFonts w:cs="Arial"/>
          <w:rtl/>
        </w:rPr>
        <w:t xml:space="preserve"> והוא שקיבל אותה על עצמו בשאלה</w:t>
      </w:r>
      <w:r>
        <w:rPr>
          <w:rFonts w:hint="cs"/>
          <w:rtl/>
        </w:rPr>
        <w:t xml:space="preserve">, </w:t>
      </w:r>
      <w:r w:rsidRPr="00E84BC5">
        <w:rPr>
          <w:rFonts w:hint="cs"/>
          <w:b/>
          <w:bCs/>
          <w:rtl/>
        </w:rPr>
        <w:t>ראב"ד</w:t>
      </w:r>
      <w:r>
        <w:rPr>
          <w:rFonts w:hint="cs"/>
          <w:rtl/>
        </w:rPr>
        <w:t xml:space="preserve"> (בהשגות שם). </w:t>
      </w:r>
      <w:r w:rsidR="00E84BC5" w:rsidRPr="00E84BC5">
        <w:rPr>
          <w:rFonts w:hint="cs"/>
          <w:b/>
          <w:bCs/>
          <w:rtl/>
        </w:rPr>
        <w:t>ו</w:t>
      </w:r>
      <w:r w:rsidRPr="00E84BC5">
        <w:rPr>
          <w:rFonts w:hint="cs"/>
          <w:b/>
          <w:bCs/>
          <w:rtl/>
        </w:rPr>
        <w:t>הטור</w:t>
      </w:r>
      <w:r>
        <w:rPr>
          <w:rFonts w:hint="cs"/>
          <w:rtl/>
        </w:rPr>
        <w:t xml:space="preserve"> (סי' שמו ס"כ) גורס בדברי הראב"ד 'בשכירות' במקום 'בשאלה'.</w:t>
      </w:r>
    </w:p>
  </w:footnote>
  <w:footnote w:id="884">
    <w:p w14:paraId="260300CD" w14:textId="7FE8563A" w:rsidR="00DE2F5F" w:rsidRDefault="00DE2F5F">
      <w:pPr>
        <w:pStyle w:val="a5"/>
      </w:pPr>
      <w:r>
        <w:rPr>
          <w:rStyle w:val="a7"/>
        </w:rPr>
        <w:footnoteRef/>
      </w:r>
      <w:r>
        <w:rPr>
          <w:rtl/>
        </w:rPr>
        <w:t xml:space="preserve"> </w:t>
      </w:r>
      <w:r w:rsidRPr="00EF3810">
        <w:rPr>
          <w:rFonts w:cs="Arial"/>
          <w:rtl/>
        </w:rPr>
        <w:t>אע</w:t>
      </w:r>
      <w:r>
        <w:rPr>
          <w:rFonts w:cs="Arial" w:hint="cs"/>
          <w:rtl/>
        </w:rPr>
        <w:t>"</w:t>
      </w:r>
      <w:r w:rsidRPr="00EF3810">
        <w:rPr>
          <w:rFonts w:cs="Arial"/>
          <w:rtl/>
        </w:rPr>
        <w:t>ג דק</w:t>
      </w:r>
      <w:r>
        <w:rPr>
          <w:rFonts w:cs="Arial" w:hint="cs"/>
          <w:rtl/>
        </w:rPr>
        <w:t>יי</w:t>
      </w:r>
      <w:r w:rsidRPr="00EF3810">
        <w:rPr>
          <w:rFonts w:cs="Arial"/>
          <w:rtl/>
        </w:rPr>
        <w:t>"ל דלוקח בהמה לזמן קצוב הוי ש"ח וחייב בפשיעה</w:t>
      </w:r>
      <w:r>
        <w:rPr>
          <w:rFonts w:cs="Arial" w:hint="cs"/>
          <w:rtl/>
        </w:rPr>
        <w:t xml:space="preserve"> </w:t>
      </w:r>
      <w:r w:rsidRPr="00EF3810">
        <w:rPr>
          <w:rFonts w:cs="Arial"/>
          <w:rtl/>
        </w:rPr>
        <w:t>כמו שפ</w:t>
      </w:r>
      <w:r>
        <w:rPr>
          <w:rFonts w:cs="Arial" w:hint="cs"/>
          <w:rtl/>
        </w:rPr>
        <w:t>ס</w:t>
      </w:r>
      <w:r w:rsidRPr="00EF3810">
        <w:rPr>
          <w:rFonts w:cs="Arial"/>
          <w:rtl/>
        </w:rPr>
        <w:t>ק בח</w:t>
      </w:r>
      <w:r>
        <w:rPr>
          <w:rFonts w:cs="Arial" w:hint="cs"/>
          <w:rtl/>
        </w:rPr>
        <w:t>ו</w:t>
      </w:r>
      <w:r w:rsidRPr="00EF3810">
        <w:rPr>
          <w:rFonts w:cs="Arial"/>
          <w:rtl/>
        </w:rPr>
        <w:t xml:space="preserve">"מ סימן שמ"ו </w:t>
      </w:r>
      <w:r w:rsidRPr="00EF3810">
        <w:rPr>
          <w:rFonts w:cs="Arial" w:hint="cs"/>
          <w:sz w:val="16"/>
          <w:szCs w:val="16"/>
          <w:rtl/>
        </w:rPr>
        <w:t>(</w:t>
      </w:r>
      <w:r w:rsidRPr="00EF3810">
        <w:rPr>
          <w:rFonts w:cs="Arial"/>
          <w:sz w:val="16"/>
          <w:szCs w:val="16"/>
          <w:rtl/>
        </w:rPr>
        <w:t>ע' בסמ"ע שנדחק לפרש דמיירי שהאשה שאלה כל ימי חיותה דהפרה או כל ימי חיותה דהאשה דאז פטור הבעל משום דנקר' לוקח ולא משום שמירה בבעלים כיון דהבהמה אינה שלה אבל אם שאלה האשה רק לזמן מוגבל אז חייב הבעל בפשיעה כדין לוקח לזמן ודברים אלו ודאי אינם ברורים אך האמת יורה דרכו</w:t>
      </w:r>
      <w:r>
        <w:rPr>
          <w:rFonts w:cs="Arial" w:hint="cs"/>
          <w:sz w:val="16"/>
          <w:szCs w:val="16"/>
          <w:rtl/>
        </w:rPr>
        <w:t>-)</w:t>
      </w:r>
      <w:r w:rsidRPr="00EF3810">
        <w:rPr>
          <w:rFonts w:cs="Arial"/>
          <w:rtl/>
        </w:rPr>
        <w:t xml:space="preserve"> דהרמב"ם לא ס"ל דין זה דלוקח לזמן</w:t>
      </w:r>
      <w:r>
        <w:rPr>
          <w:rFonts w:cs="Arial" w:hint="cs"/>
          <w:rtl/>
        </w:rPr>
        <w:t>.</w:t>
      </w:r>
      <w:r w:rsidRPr="00EF3810">
        <w:rPr>
          <w:rFonts w:cs="Arial"/>
          <w:rtl/>
        </w:rPr>
        <w:t xml:space="preserve"> ולדעת ר"י דס"ל דלוקח לזמן חייב בפשיעה דהוי כשומר חנם</w:t>
      </w:r>
      <w:r>
        <w:rPr>
          <w:rFonts w:cs="Arial" w:hint="cs"/>
          <w:rtl/>
        </w:rPr>
        <w:t>,</w:t>
      </w:r>
      <w:r w:rsidRPr="00EF3810">
        <w:rPr>
          <w:rFonts w:cs="Arial"/>
          <w:rtl/>
        </w:rPr>
        <w:t xml:space="preserve"> א"כ בבעל אפשר פטור דהוי שמירה בבעלים</w:t>
      </w:r>
      <w:r>
        <w:rPr>
          <w:rFonts w:cs="Arial" w:hint="cs"/>
          <w:rtl/>
        </w:rPr>
        <w:t>.</w:t>
      </w:r>
      <w:r w:rsidRPr="00EF3810">
        <w:rPr>
          <w:rFonts w:cs="Arial"/>
          <w:rtl/>
        </w:rPr>
        <w:t xml:space="preserve"> ואע</w:t>
      </w:r>
      <w:r>
        <w:rPr>
          <w:rFonts w:cs="Arial" w:hint="cs"/>
          <w:rtl/>
        </w:rPr>
        <w:t>"</w:t>
      </w:r>
      <w:r w:rsidRPr="00EF3810">
        <w:rPr>
          <w:rFonts w:cs="Arial"/>
          <w:rtl/>
        </w:rPr>
        <w:t>ג דאין החפץ שלה</w:t>
      </w:r>
      <w:r>
        <w:rPr>
          <w:rFonts w:cs="Arial" w:hint="cs"/>
          <w:rtl/>
        </w:rPr>
        <w:t>,</w:t>
      </w:r>
      <w:r w:rsidRPr="00EF3810">
        <w:rPr>
          <w:rFonts w:cs="Arial"/>
          <w:rtl/>
        </w:rPr>
        <w:t xml:space="preserve"> מאחר דלוקח הוי </w:t>
      </w:r>
      <w:r>
        <w:rPr>
          <w:rFonts w:cs="Arial" w:hint="cs"/>
          <w:rtl/>
        </w:rPr>
        <w:t xml:space="preserve">- </w:t>
      </w:r>
      <w:r w:rsidRPr="00EF3810">
        <w:rPr>
          <w:rFonts w:cs="Arial"/>
          <w:rtl/>
        </w:rPr>
        <w:t xml:space="preserve">הוי כשומר שלה </w:t>
      </w:r>
      <w:r w:rsidRPr="00EF3810">
        <w:rPr>
          <w:rFonts w:cs="Arial" w:hint="cs"/>
          <w:sz w:val="16"/>
          <w:szCs w:val="16"/>
          <w:rtl/>
        </w:rPr>
        <w:t>(</w:t>
      </w:r>
      <w:r w:rsidRPr="00EF3810">
        <w:rPr>
          <w:rFonts w:cs="Arial"/>
          <w:sz w:val="16"/>
          <w:szCs w:val="16"/>
          <w:rtl/>
        </w:rPr>
        <w:t>וכבר הארכתי בביאורי להרא"ש בפרק השואל ובארתי כוונת הרב מהרמ"א בסי' שמ"ו וא</w:t>
      </w:r>
      <w:r>
        <w:rPr>
          <w:rFonts w:cs="Arial" w:hint="cs"/>
          <w:sz w:val="16"/>
          <w:szCs w:val="16"/>
          <w:rtl/>
        </w:rPr>
        <w:t>כמ"ל</w:t>
      </w:r>
      <w:r w:rsidRPr="00EF3810">
        <w:rPr>
          <w:rFonts w:cs="Arial"/>
          <w:sz w:val="16"/>
          <w:szCs w:val="16"/>
          <w:rtl/>
        </w:rPr>
        <w:t xml:space="preserve"> יותר מזה</w:t>
      </w:r>
      <w:r>
        <w:rPr>
          <w:rFonts w:cs="Arial" w:hint="cs"/>
          <w:sz w:val="16"/>
          <w:szCs w:val="16"/>
          <w:rtl/>
        </w:rPr>
        <w:t>)</w:t>
      </w:r>
      <w:r>
        <w:rPr>
          <w:rFonts w:cs="Arial" w:hint="cs"/>
          <w:rtl/>
        </w:rPr>
        <w:t>, ח"מ (סקי"ד).</w:t>
      </w:r>
      <w:r>
        <w:rPr>
          <w:rFonts w:hint="cs"/>
          <w:rtl/>
        </w:rPr>
        <w:t xml:space="preserve"> וכן כתב הב"ש (סק"ט*) בשם הרא"ש</w:t>
      </w:r>
      <w:r w:rsidRPr="00EF3810">
        <w:rPr>
          <w:rtl/>
        </w:rPr>
        <w:t xml:space="preserve"> </w:t>
      </w:r>
      <w:r w:rsidR="00C72192">
        <w:rPr>
          <w:rFonts w:hint="cs"/>
          <w:rtl/>
        </w:rPr>
        <w:t>ד</w:t>
      </w:r>
      <w:r w:rsidRPr="00EF3810">
        <w:rPr>
          <w:rFonts w:cs="Arial"/>
          <w:rtl/>
        </w:rPr>
        <w:t>הבעל פטור מטעם שמירה בבעלים אע</w:t>
      </w:r>
      <w:r w:rsidR="00C72192">
        <w:rPr>
          <w:rFonts w:cs="Arial" w:hint="cs"/>
          <w:rtl/>
        </w:rPr>
        <w:t>"</w:t>
      </w:r>
      <w:r w:rsidRPr="00EF3810">
        <w:rPr>
          <w:rFonts w:cs="Arial"/>
          <w:rtl/>
        </w:rPr>
        <w:t>ג דאין הגוף שלה</w:t>
      </w:r>
      <w:r>
        <w:rPr>
          <w:rFonts w:hint="cs"/>
          <w:rtl/>
        </w:rPr>
        <w:t xml:space="preserve">. וכתב </w:t>
      </w:r>
      <w:r>
        <w:rPr>
          <w:rFonts w:cs="Arial" w:hint="cs"/>
          <w:rtl/>
        </w:rPr>
        <w:t>עוד ד</w:t>
      </w:r>
      <w:r w:rsidRPr="00EF3810">
        <w:rPr>
          <w:rFonts w:cs="Arial"/>
          <w:rtl/>
        </w:rPr>
        <w:t>מ</w:t>
      </w:r>
      <w:r>
        <w:rPr>
          <w:rFonts w:cs="Arial" w:hint="cs"/>
          <w:rtl/>
        </w:rPr>
        <w:t>ה</w:t>
      </w:r>
      <w:r w:rsidRPr="00EF3810">
        <w:rPr>
          <w:rFonts w:cs="Arial"/>
          <w:rtl/>
        </w:rPr>
        <w:t xml:space="preserve">תוס' </w:t>
      </w:r>
      <w:r>
        <w:rPr>
          <w:rFonts w:cs="Arial" w:hint="cs"/>
          <w:rtl/>
        </w:rPr>
        <w:t>(</w:t>
      </w:r>
      <w:r w:rsidRPr="00EF3810">
        <w:rPr>
          <w:rFonts w:cs="Arial"/>
          <w:rtl/>
        </w:rPr>
        <w:t>פ' השואל מ"ש בשם ר"י</w:t>
      </w:r>
      <w:r>
        <w:rPr>
          <w:rFonts w:cs="Arial" w:hint="cs"/>
          <w:rtl/>
        </w:rPr>
        <w:t>)</w:t>
      </w:r>
      <w:r w:rsidRPr="00EF3810">
        <w:rPr>
          <w:rFonts w:cs="Arial"/>
          <w:rtl/>
        </w:rPr>
        <w:t xml:space="preserve"> משמע דס"ל דחייב בפשיעה</w:t>
      </w:r>
      <w:r w:rsidR="00C72192">
        <w:rPr>
          <w:rFonts w:cs="Arial" w:hint="cs"/>
          <w:rtl/>
        </w:rPr>
        <w:t>,</w:t>
      </w:r>
      <w:r w:rsidRPr="00EF3810">
        <w:rPr>
          <w:rFonts w:cs="Arial"/>
          <w:rtl/>
        </w:rPr>
        <w:t xml:space="preserve"> דאע</w:t>
      </w:r>
      <w:r>
        <w:rPr>
          <w:rFonts w:cs="Arial" w:hint="cs"/>
          <w:rtl/>
        </w:rPr>
        <w:t>"</w:t>
      </w:r>
      <w:r w:rsidRPr="00EF3810">
        <w:rPr>
          <w:rFonts w:cs="Arial"/>
          <w:rtl/>
        </w:rPr>
        <w:t>ג דאינו מקבל שמירה ושמירה בבעלים לא שייך בכלים שאין הגוף שלה</w:t>
      </w:r>
      <w:r>
        <w:rPr>
          <w:rFonts w:hint="cs"/>
          <w:rtl/>
        </w:rPr>
        <w:t>.</w:t>
      </w:r>
    </w:p>
  </w:footnote>
  <w:footnote w:id="885">
    <w:p w14:paraId="7F13204B" w14:textId="1E302D84" w:rsidR="00DE2F5F" w:rsidRDefault="00DE2F5F">
      <w:pPr>
        <w:pStyle w:val="a5"/>
      </w:pPr>
      <w:r>
        <w:rPr>
          <w:rStyle w:val="a7"/>
        </w:rPr>
        <w:footnoteRef/>
      </w:r>
      <w:r>
        <w:rPr>
          <w:rtl/>
        </w:rPr>
        <w:t xml:space="preserve"> </w:t>
      </w:r>
      <w:r w:rsidRPr="00C45B9C">
        <w:rPr>
          <w:rFonts w:cs="Arial"/>
          <w:rtl/>
        </w:rPr>
        <w:t>וכ"כ הרמב"ם</w:t>
      </w:r>
      <w:r>
        <w:rPr>
          <w:rFonts w:cs="Arial" w:hint="cs"/>
          <w:rtl/>
        </w:rPr>
        <w:t>,</w:t>
      </w:r>
      <w:r w:rsidRPr="00C45B9C">
        <w:rPr>
          <w:rFonts w:cs="Arial"/>
          <w:rtl/>
        </w:rPr>
        <w:t xml:space="preserve"> ולהרא"ש דס"ל דהוי שמירה בבעלים י"ל דפטור אף אם הודיעה לו</w:t>
      </w:r>
      <w:r>
        <w:rPr>
          <w:rFonts w:cs="Arial" w:hint="cs"/>
          <w:rtl/>
        </w:rPr>
        <w:t>,</w:t>
      </w:r>
      <w:r w:rsidRPr="00C45B9C">
        <w:rPr>
          <w:rFonts w:cs="Arial"/>
          <w:rtl/>
        </w:rPr>
        <w:t xml:space="preserve"> אא"כ התנה בפירוש שחייב לשלם</w:t>
      </w:r>
      <w:r>
        <w:rPr>
          <w:rFonts w:cs="Arial" w:hint="cs"/>
          <w:rtl/>
        </w:rPr>
        <w:t>.</w:t>
      </w:r>
      <w:r w:rsidRPr="00C45B9C">
        <w:rPr>
          <w:rFonts w:cs="Arial"/>
          <w:rtl/>
        </w:rPr>
        <w:t xml:space="preserve"> ואפשר אם הודיעה לו הוי כאלו אמרה לו שהו</w:t>
      </w:r>
      <w:r>
        <w:rPr>
          <w:rFonts w:cs="Arial" w:hint="cs"/>
          <w:rtl/>
        </w:rPr>
        <w:t>א</w:t>
      </w:r>
      <w:r w:rsidRPr="00C45B9C">
        <w:rPr>
          <w:rFonts w:cs="Arial"/>
          <w:rtl/>
        </w:rPr>
        <w:t xml:space="preserve"> בעל דבר של המשאיל, ועיין במגיד שכתב אף לרמב"ם דוק</w:t>
      </w:r>
      <w:r>
        <w:rPr>
          <w:rFonts w:cs="Arial" w:hint="cs"/>
          <w:rtl/>
        </w:rPr>
        <w:t>א</w:t>
      </w:r>
      <w:r w:rsidRPr="00C45B9C">
        <w:rPr>
          <w:rFonts w:cs="Arial"/>
          <w:rtl/>
        </w:rPr>
        <w:t xml:space="preserve"> אם נשתמש אחר ההודאה</w:t>
      </w:r>
      <w:r>
        <w:rPr>
          <w:rFonts w:cs="Arial" w:hint="cs"/>
          <w:rtl/>
        </w:rPr>
        <w:t>,</w:t>
      </w:r>
      <w:r w:rsidRPr="00C45B9C">
        <w:rPr>
          <w:rFonts w:cs="Arial"/>
          <w:rtl/>
        </w:rPr>
        <w:t xml:space="preserve"> ולראב"ד דוק</w:t>
      </w:r>
      <w:r>
        <w:rPr>
          <w:rFonts w:cs="Arial" w:hint="cs"/>
          <w:rtl/>
        </w:rPr>
        <w:t>א</w:t>
      </w:r>
      <w:r w:rsidRPr="00C45B9C">
        <w:rPr>
          <w:rFonts w:cs="Arial"/>
          <w:rtl/>
        </w:rPr>
        <w:t xml:space="preserve"> שקיבל על עצמו בשאלה כמ"ש בח"ה סי' שמ"ו</w:t>
      </w:r>
      <w:r>
        <w:rPr>
          <w:rFonts w:cs="Arial" w:hint="cs"/>
          <w:rtl/>
        </w:rPr>
        <w:t>, ב"ש (סקי"א).</w:t>
      </w:r>
    </w:p>
  </w:footnote>
  <w:footnote w:id="886">
    <w:p w14:paraId="51DFAD73" w14:textId="77777777" w:rsidR="00ED1E58" w:rsidRDefault="00ED1E58" w:rsidP="00ED1E58">
      <w:pPr>
        <w:pStyle w:val="a5"/>
        <w:rPr>
          <w:rtl/>
        </w:rPr>
      </w:pPr>
      <w:r>
        <w:rPr>
          <w:rStyle w:val="a7"/>
        </w:rPr>
        <w:footnoteRef/>
      </w:r>
      <w:r>
        <w:rPr>
          <w:rtl/>
        </w:rPr>
        <w:t xml:space="preserve"> </w:t>
      </w:r>
      <w:r>
        <w:rPr>
          <w:rFonts w:hint="cs"/>
          <w:rtl/>
        </w:rPr>
        <w:t>סימן - עסקה חכמה.</w:t>
      </w:r>
    </w:p>
  </w:footnote>
  <w:footnote w:id="887">
    <w:p w14:paraId="1017DBA5" w14:textId="017863B6" w:rsidR="00DE2F5F" w:rsidRDefault="00DE2F5F">
      <w:pPr>
        <w:pStyle w:val="a5"/>
      </w:pPr>
      <w:r>
        <w:rPr>
          <w:rStyle w:val="a7"/>
        </w:rPr>
        <w:footnoteRef/>
      </w:r>
      <w:r>
        <w:rPr>
          <w:rtl/>
        </w:rPr>
        <w:t xml:space="preserve"> </w:t>
      </w:r>
      <w:r w:rsidRPr="006D295A">
        <w:rPr>
          <w:rFonts w:cs="Arial"/>
          <w:rtl/>
        </w:rPr>
        <w:t>לתבוע את בתה להחזיר לה הנכסים והבת הוציאה שטר מתנתה וקרעיה ר"נ</w:t>
      </w:r>
      <w:r>
        <w:rPr>
          <w:rFonts w:cs="Arial" w:hint="cs"/>
          <w:rtl/>
        </w:rPr>
        <w:t>, רש"י.</w:t>
      </w:r>
    </w:p>
  </w:footnote>
  <w:footnote w:id="888">
    <w:p w14:paraId="4C52F35E" w14:textId="461CF316" w:rsidR="00DE2F5F" w:rsidRDefault="00DE2F5F">
      <w:pPr>
        <w:pStyle w:val="a5"/>
      </w:pPr>
      <w:r>
        <w:rPr>
          <w:rStyle w:val="a7"/>
        </w:rPr>
        <w:footnoteRef/>
      </w:r>
      <w:r>
        <w:rPr>
          <w:rtl/>
        </w:rPr>
        <w:t xml:space="preserve"> </w:t>
      </w:r>
      <w:r w:rsidRPr="006D295A">
        <w:rPr>
          <w:rFonts w:cs="Arial"/>
          <w:rtl/>
        </w:rPr>
        <w:t>אינו בקי בדינין ומר עוקבא אב ב"ד הוה</w:t>
      </w:r>
      <w:r>
        <w:rPr>
          <w:rFonts w:cs="Arial" w:hint="cs"/>
          <w:rtl/>
        </w:rPr>
        <w:t>, רש"י.</w:t>
      </w:r>
    </w:p>
  </w:footnote>
  <w:footnote w:id="889">
    <w:p w14:paraId="10FCFE49" w14:textId="149C8AEB" w:rsidR="00DE2F5F" w:rsidRDefault="00DE2F5F">
      <w:pPr>
        <w:pStyle w:val="a5"/>
        <w:rPr>
          <w:rtl/>
        </w:rPr>
      </w:pPr>
      <w:r>
        <w:rPr>
          <w:rStyle w:val="a7"/>
        </w:rPr>
        <w:footnoteRef/>
      </w:r>
      <w:r>
        <w:rPr>
          <w:rtl/>
        </w:rPr>
        <w:t xml:space="preserve"> </w:t>
      </w:r>
      <w:r w:rsidRPr="006D295A">
        <w:rPr>
          <w:rFonts w:cs="Arial"/>
          <w:rtl/>
        </w:rPr>
        <w:t>שירצה המקבל מתנה להחזיק בנכסים על פיו שלא להחזירם לנותן אקרענו ולקמיה פריך הואיל ולאו שטרא הוא היאך הועיל להבריח</w:t>
      </w:r>
      <w:r>
        <w:rPr>
          <w:rFonts w:hint="cs"/>
          <w:rtl/>
        </w:rPr>
        <w:t>, רש"י.</w:t>
      </w:r>
    </w:p>
  </w:footnote>
  <w:footnote w:id="890">
    <w:p w14:paraId="4DA32372" w14:textId="6BCB3694" w:rsidR="00DE2F5F" w:rsidRDefault="00DE2F5F">
      <w:pPr>
        <w:pStyle w:val="a5"/>
      </w:pPr>
      <w:r>
        <w:rPr>
          <w:rStyle w:val="a7"/>
        </w:rPr>
        <w:footnoteRef/>
      </w:r>
      <w:r>
        <w:rPr>
          <w:rtl/>
        </w:rPr>
        <w:t xml:space="preserve"> </w:t>
      </w:r>
      <w:r w:rsidRPr="006D295A">
        <w:rPr>
          <w:rFonts w:cs="Arial"/>
          <w:rtl/>
        </w:rPr>
        <w:t>רבא לרב נחמן כשקרע אותו שטר היכי סמכת בהא אדשמואל וקרעת ליה</w:t>
      </w:r>
      <w:r>
        <w:rPr>
          <w:rFonts w:cs="Arial" w:hint="cs"/>
          <w:rtl/>
        </w:rPr>
        <w:t>, רש"י.</w:t>
      </w:r>
    </w:p>
  </w:footnote>
  <w:footnote w:id="891">
    <w:p w14:paraId="20DC7465" w14:textId="21DC6E95" w:rsidR="00DE2F5F" w:rsidRDefault="00DE2F5F">
      <w:pPr>
        <w:pStyle w:val="a5"/>
        <w:rPr>
          <w:rtl/>
        </w:rPr>
      </w:pPr>
      <w:r>
        <w:rPr>
          <w:rStyle w:val="a7"/>
        </w:rPr>
        <w:footnoteRef/>
      </w:r>
      <w:r>
        <w:rPr>
          <w:rtl/>
        </w:rPr>
        <w:t xml:space="preserve"> </w:t>
      </w:r>
      <w:r w:rsidRPr="006D295A">
        <w:rPr>
          <w:rFonts w:cs="Arial"/>
          <w:rtl/>
        </w:rPr>
        <w:t>אמר שמואל אקרענו</w:t>
      </w:r>
      <w:r>
        <w:rPr>
          <w:rFonts w:hint="cs"/>
          <w:rtl/>
        </w:rPr>
        <w:t>, רש"י.</w:t>
      </w:r>
    </w:p>
  </w:footnote>
  <w:footnote w:id="892">
    <w:p w14:paraId="1268EFDE" w14:textId="683ED9E0" w:rsidR="00DE2F5F" w:rsidRDefault="00DE2F5F">
      <w:pPr>
        <w:pStyle w:val="a5"/>
        <w:rPr>
          <w:rtl/>
        </w:rPr>
      </w:pPr>
      <w:r>
        <w:rPr>
          <w:rStyle w:val="a7"/>
        </w:rPr>
        <w:footnoteRef/>
      </w:r>
      <w:r>
        <w:rPr>
          <w:rtl/>
        </w:rPr>
        <w:t xml:space="preserve"> </w:t>
      </w:r>
      <w:r w:rsidRPr="006D295A">
        <w:rPr>
          <w:rFonts w:cs="Arial"/>
          <w:rtl/>
        </w:rPr>
        <w:t>ולא גמר להקנותו אלא בעוד שהוא דואג מאחרים שלא יחזיקו בהם</w:t>
      </w:r>
      <w:r>
        <w:rPr>
          <w:rFonts w:hint="cs"/>
          <w:rtl/>
        </w:rPr>
        <w:t>, רש"י.</w:t>
      </w:r>
    </w:p>
  </w:footnote>
  <w:footnote w:id="893">
    <w:p w14:paraId="08976AAB" w14:textId="7B00B09C" w:rsidR="00DE2F5F" w:rsidRDefault="00DE2F5F">
      <w:pPr>
        <w:pStyle w:val="a5"/>
        <w:rPr>
          <w:rtl/>
        </w:rPr>
      </w:pPr>
      <w:r>
        <w:rPr>
          <w:rStyle w:val="a7"/>
        </w:rPr>
        <w:footnoteRef/>
      </w:r>
      <w:r>
        <w:rPr>
          <w:rtl/>
        </w:rPr>
        <w:t xml:space="preserve"> </w:t>
      </w:r>
      <w:r w:rsidRPr="006D295A">
        <w:rPr>
          <w:rFonts w:cs="Arial"/>
          <w:rtl/>
        </w:rPr>
        <w:t>בנותנתן לאיש נכרי איכא למימר דלא גמרה ואקניא</w:t>
      </w:r>
      <w:r>
        <w:rPr>
          <w:rFonts w:hint="cs"/>
          <w:rtl/>
        </w:rPr>
        <w:t>, רש"י.</w:t>
      </w:r>
    </w:p>
  </w:footnote>
  <w:footnote w:id="894">
    <w:p w14:paraId="41E90117" w14:textId="31E2D3A3" w:rsidR="00DE2F5F" w:rsidRDefault="00DE2F5F">
      <w:pPr>
        <w:pStyle w:val="a5"/>
      </w:pPr>
      <w:r>
        <w:rPr>
          <w:rStyle w:val="a7"/>
        </w:rPr>
        <w:footnoteRef/>
      </w:r>
      <w:r>
        <w:rPr>
          <w:rtl/>
        </w:rPr>
        <w:t xml:space="preserve"> </w:t>
      </w:r>
      <w:r w:rsidRPr="006D295A">
        <w:rPr>
          <w:rFonts w:cs="Arial"/>
          <w:rtl/>
        </w:rPr>
        <w:t>מתנה חלוטה</w:t>
      </w:r>
      <w:r>
        <w:rPr>
          <w:rFonts w:cs="Arial" w:hint="cs"/>
          <w:rtl/>
        </w:rPr>
        <w:t>, רש"י.</w:t>
      </w:r>
    </w:p>
  </w:footnote>
  <w:footnote w:id="895">
    <w:p w14:paraId="0D9525AD" w14:textId="3DB0439E" w:rsidR="00DE2F5F" w:rsidRDefault="00DE2F5F">
      <w:pPr>
        <w:pStyle w:val="a5"/>
        <w:rPr>
          <w:rtl/>
        </w:rPr>
      </w:pPr>
      <w:r>
        <w:rPr>
          <w:rStyle w:val="a7"/>
        </w:rPr>
        <w:footnoteRef/>
      </w:r>
      <w:r>
        <w:rPr>
          <w:rtl/>
        </w:rPr>
        <w:t xml:space="preserve"> </w:t>
      </w:r>
      <w:r w:rsidRPr="006D295A">
        <w:rPr>
          <w:rFonts w:cs="Arial"/>
          <w:rtl/>
        </w:rPr>
        <w:t>שטר פיוסים שמפייסתו לקבל מתנה זו להפקיע זכות בעלה קודם נישואין ולא שיזכה מקבל זה בהם</w:t>
      </w:r>
      <w:r>
        <w:rPr>
          <w:rFonts w:hint="cs"/>
          <w:rtl/>
        </w:rPr>
        <w:t>, רש"י.</w:t>
      </w:r>
    </w:p>
  </w:footnote>
  <w:footnote w:id="896">
    <w:p w14:paraId="6EEAB6BB" w14:textId="6C3C4C19" w:rsidR="00DE2F5F" w:rsidRDefault="00DE2F5F">
      <w:pPr>
        <w:pStyle w:val="a5"/>
      </w:pPr>
      <w:r>
        <w:rPr>
          <w:rStyle w:val="a7"/>
        </w:rPr>
        <w:footnoteRef/>
      </w:r>
      <w:r>
        <w:rPr>
          <w:rtl/>
        </w:rPr>
        <w:t xml:space="preserve"> </w:t>
      </w:r>
      <w:r w:rsidRPr="006D295A">
        <w:rPr>
          <w:rFonts w:cs="Arial"/>
          <w:rtl/>
        </w:rPr>
        <w:t>המקבל הזה</w:t>
      </w:r>
      <w:r>
        <w:rPr>
          <w:rFonts w:cs="Arial" w:hint="cs"/>
          <w:rtl/>
        </w:rPr>
        <w:t>, רש"י.</w:t>
      </w:r>
    </w:p>
  </w:footnote>
  <w:footnote w:id="897">
    <w:p w14:paraId="3C1C00C9" w14:textId="77777777" w:rsidR="00DE2F5F" w:rsidRDefault="00DE2F5F" w:rsidP="006D295A">
      <w:pPr>
        <w:pStyle w:val="a5"/>
      </w:pPr>
      <w:r>
        <w:rPr>
          <w:rStyle w:val="a7"/>
        </w:rPr>
        <w:footnoteRef/>
      </w:r>
      <w:r>
        <w:rPr>
          <w:rtl/>
        </w:rPr>
        <w:t xml:space="preserve"> </w:t>
      </w:r>
      <w:r w:rsidRPr="006D295A">
        <w:rPr>
          <w:rFonts w:cs="Arial"/>
          <w:rtl/>
        </w:rPr>
        <w:t>ומחזיק בהן עולמית</w:t>
      </w:r>
      <w:r>
        <w:rPr>
          <w:rFonts w:cs="Arial" w:hint="cs"/>
          <w:rtl/>
        </w:rPr>
        <w:t>, רש"י.</w:t>
      </w:r>
    </w:p>
  </w:footnote>
  <w:footnote w:id="898">
    <w:p w14:paraId="1CE174F6" w14:textId="76A52A48" w:rsidR="00DE2F5F" w:rsidRDefault="00DE2F5F">
      <w:pPr>
        <w:pStyle w:val="a5"/>
      </w:pPr>
      <w:r>
        <w:rPr>
          <w:rStyle w:val="a7"/>
        </w:rPr>
        <w:footnoteRef/>
      </w:r>
      <w:r>
        <w:rPr>
          <w:rtl/>
        </w:rPr>
        <w:t xml:space="preserve"> </w:t>
      </w:r>
      <w:r w:rsidRPr="006D295A">
        <w:rPr>
          <w:rFonts w:cs="Arial"/>
          <w:rtl/>
        </w:rPr>
        <w:t>בשטר זה מהיום נתונים לך ולכשארצה יש כאן הברחה מבעלה שאם בא לזכות תאמר אני רוצה [במתנה ונמצא קיימת למפרע ואם זה שנכתב שטר יבוא להחזיק תאמר איני רוצה]</w:t>
      </w:r>
      <w:r>
        <w:rPr>
          <w:rFonts w:cs="Arial" w:hint="cs"/>
          <w:rtl/>
        </w:rPr>
        <w:t>, רש"י.</w:t>
      </w:r>
    </w:p>
  </w:footnote>
  <w:footnote w:id="899">
    <w:p w14:paraId="17EB9885" w14:textId="1BC894A4" w:rsidR="00DE2F5F" w:rsidRDefault="00DE2F5F">
      <w:pPr>
        <w:pStyle w:val="a5"/>
      </w:pPr>
      <w:r>
        <w:rPr>
          <w:rStyle w:val="a7"/>
        </w:rPr>
        <w:footnoteRef/>
      </w:r>
      <w:r>
        <w:rPr>
          <w:rtl/>
        </w:rPr>
        <w:t xml:space="preserve"> </w:t>
      </w:r>
      <w:r w:rsidRPr="00B26A8D">
        <w:rPr>
          <w:rFonts w:cs="Arial"/>
          <w:rtl/>
        </w:rPr>
        <w:t>תיובתא דשמואל</w:t>
      </w:r>
      <w:r>
        <w:rPr>
          <w:rFonts w:cs="Arial" w:hint="cs"/>
          <w:rtl/>
        </w:rPr>
        <w:t>, רש"י.</w:t>
      </w:r>
    </w:p>
  </w:footnote>
  <w:footnote w:id="900">
    <w:p w14:paraId="5414708A" w14:textId="73121278" w:rsidR="00DE2F5F" w:rsidRDefault="00DE2F5F">
      <w:pPr>
        <w:pStyle w:val="a5"/>
      </w:pPr>
      <w:r>
        <w:rPr>
          <w:rStyle w:val="a7"/>
        </w:rPr>
        <w:footnoteRef/>
      </w:r>
      <w:r>
        <w:rPr>
          <w:rtl/>
        </w:rPr>
        <w:t xml:space="preserve"> </w:t>
      </w:r>
      <w:r w:rsidRPr="00B26A8D">
        <w:rPr>
          <w:rFonts w:cs="Arial"/>
          <w:rtl/>
        </w:rPr>
        <w:t>כי אמר שמואל לא קני בכותבת לו כל נכסיה דכיון דלא שיירה מידי לנפשה אם תתגרש אנן סהדי דלא גמרה ומקניא והא דקתני רצה מצחק בה בכותבת מקצתן</w:t>
      </w:r>
      <w:r>
        <w:rPr>
          <w:rFonts w:cs="Arial" w:hint="cs"/>
          <w:rtl/>
        </w:rPr>
        <w:t>, רש"י.</w:t>
      </w:r>
    </w:p>
  </w:footnote>
  <w:footnote w:id="901">
    <w:p w14:paraId="2E25A97A" w14:textId="0ED154C0" w:rsidR="00DE2F5F" w:rsidRDefault="00DE2F5F">
      <w:pPr>
        <w:pStyle w:val="a5"/>
      </w:pPr>
      <w:r>
        <w:rPr>
          <w:rStyle w:val="a7"/>
        </w:rPr>
        <w:footnoteRef/>
      </w:r>
      <w:r>
        <w:rPr>
          <w:rtl/>
        </w:rPr>
        <w:t xml:space="preserve"> </w:t>
      </w:r>
      <w:r w:rsidRPr="00B26A8D">
        <w:rPr>
          <w:rFonts w:cs="Arial"/>
          <w:rtl/>
        </w:rPr>
        <w:t>לשמואל בכותבת כולן דאמר לא קני כיון דלא קני מאי הברחה איכא ליקנינהו בעל ויאכל פירות וירשנה אם תמות תחתיו</w:t>
      </w:r>
      <w:r>
        <w:rPr>
          <w:rFonts w:cs="Arial" w:hint="cs"/>
          <w:rtl/>
        </w:rPr>
        <w:t>, רש"י.</w:t>
      </w:r>
    </w:p>
  </w:footnote>
  <w:footnote w:id="902">
    <w:p w14:paraId="7D38CC2F" w14:textId="3F22AC1A" w:rsidR="00DE2F5F" w:rsidRDefault="00DE2F5F">
      <w:pPr>
        <w:pStyle w:val="a5"/>
        <w:rPr>
          <w:rtl/>
        </w:rPr>
      </w:pPr>
      <w:r>
        <w:rPr>
          <w:rStyle w:val="a7"/>
        </w:rPr>
        <w:footnoteRef/>
      </w:r>
      <w:r>
        <w:rPr>
          <w:rtl/>
        </w:rPr>
        <w:t xml:space="preserve"> </w:t>
      </w:r>
      <w:r w:rsidRPr="00B26A8D">
        <w:rPr>
          <w:rFonts w:cs="Arial"/>
          <w:rtl/>
        </w:rPr>
        <w:t>שהרי ע"מ שאינן שלה נשאה דסבור שהמתנה גמורה</w:t>
      </w:r>
      <w:r>
        <w:rPr>
          <w:rFonts w:hint="cs"/>
          <w:rtl/>
        </w:rPr>
        <w:t>, רש"י.</w:t>
      </w:r>
    </w:p>
  </w:footnote>
  <w:footnote w:id="903">
    <w:p w14:paraId="5BAA2EB8" w14:textId="760A4608" w:rsidR="001B7C46" w:rsidRDefault="001B7C46">
      <w:pPr>
        <w:pStyle w:val="a5"/>
      </w:pPr>
      <w:r>
        <w:rPr>
          <w:rStyle w:val="a7"/>
        </w:rPr>
        <w:footnoteRef/>
      </w:r>
      <w:r>
        <w:rPr>
          <w:rtl/>
        </w:rPr>
        <w:t xml:space="preserve"> </w:t>
      </w:r>
      <w:r w:rsidRPr="001B7C46">
        <w:rPr>
          <w:rFonts w:cs="Arial"/>
          <w:rtl/>
        </w:rPr>
        <w:t>אשה המוכרת כתובתה לאחרים בטובת הנאה והדמים שלה הן ואין לבעל בהן כלום</w:t>
      </w:r>
      <w:r>
        <w:rPr>
          <w:rFonts w:cs="Arial" w:hint="cs"/>
          <w:rtl/>
        </w:rPr>
        <w:t>, רש"י.</w:t>
      </w:r>
    </w:p>
  </w:footnote>
  <w:footnote w:id="904">
    <w:p w14:paraId="099E7482" w14:textId="33FACBB4" w:rsidR="001B7C46" w:rsidRDefault="001B7C46">
      <w:pPr>
        <w:pStyle w:val="a5"/>
        <w:rPr>
          <w:rtl/>
        </w:rPr>
      </w:pPr>
      <w:r>
        <w:rPr>
          <w:rStyle w:val="a7"/>
        </w:rPr>
        <w:footnoteRef/>
      </w:r>
      <w:r>
        <w:rPr>
          <w:rtl/>
        </w:rPr>
        <w:t xml:space="preserve"> </w:t>
      </w:r>
      <w:r w:rsidRPr="001B7C46">
        <w:rPr>
          <w:rFonts w:cs="Arial"/>
          <w:rtl/>
        </w:rPr>
        <w:t>לא אמרינן יקח בהן קרקע והוא אוכל פירות</w:t>
      </w:r>
      <w:r>
        <w:rPr>
          <w:rFonts w:hint="cs"/>
          <w:rtl/>
        </w:rPr>
        <w:t>, רש"י.</w:t>
      </w:r>
    </w:p>
  </w:footnote>
  <w:footnote w:id="905">
    <w:p w14:paraId="56BB79B5" w14:textId="3B4AD4EC" w:rsidR="008528CE" w:rsidRDefault="008528CE">
      <w:pPr>
        <w:pStyle w:val="a5"/>
      </w:pPr>
      <w:r>
        <w:rPr>
          <w:rStyle w:val="a7"/>
        </w:rPr>
        <w:footnoteRef/>
      </w:r>
      <w:r>
        <w:rPr>
          <w:rtl/>
        </w:rPr>
        <w:t xml:space="preserve"> </w:t>
      </w:r>
      <w:r w:rsidRPr="008528CE">
        <w:rPr>
          <w:rFonts w:cs="Arial"/>
          <w:rtl/>
        </w:rPr>
        <w:t>והיה ירא פן ימות ותזקק ליבם ואסור לטלטל גט בשבת ולמוסרו לה</w:t>
      </w:r>
      <w:r>
        <w:rPr>
          <w:rFonts w:cs="Arial" w:hint="cs"/>
          <w:rtl/>
        </w:rPr>
        <w:t>, רש"י.</w:t>
      </w:r>
    </w:p>
  </w:footnote>
  <w:footnote w:id="906">
    <w:p w14:paraId="1CC1C051" w14:textId="78639E71" w:rsidR="008528CE" w:rsidRDefault="008528CE">
      <w:pPr>
        <w:pStyle w:val="a5"/>
      </w:pPr>
      <w:r>
        <w:rPr>
          <w:rStyle w:val="a7"/>
        </w:rPr>
        <w:footnoteRef/>
      </w:r>
      <w:r>
        <w:rPr>
          <w:rtl/>
        </w:rPr>
        <w:t xml:space="preserve"> </w:t>
      </w:r>
      <w:r w:rsidRPr="008528CE">
        <w:rPr>
          <w:rFonts w:cs="Arial"/>
          <w:rtl/>
        </w:rPr>
        <w:t>הבעל לדוכתא דמחית ביה גיטא לאשה בחזקה דקרקע נקנה בחזקה</w:t>
      </w:r>
      <w:r>
        <w:rPr>
          <w:rFonts w:cs="Arial" w:hint="cs"/>
          <w:rtl/>
        </w:rPr>
        <w:t>, רש"י.</w:t>
      </w:r>
    </w:p>
  </w:footnote>
  <w:footnote w:id="907">
    <w:p w14:paraId="3574A4B2" w14:textId="77777777" w:rsidR="008528CE" w:rsidRDefault="008528CE" w:rsidP="008528CE">
      <w:pPr>
        <w:pStyle w:val="a5"/>
      </w:pPr>
      <w:r>
        <w:rPr>
          <w:rStyle w:val="a7"/>
        </w:rPr>
        <w:footnoteRef/>
      </w:r>
      <w:r>
        <w:rPr>
          <w:rtl/>
        </w:rPr>
        <w:t xml:space="preserve"> </w:t>
      </w:r>
      <w:r w:rsidRPr="008528CE">
        <w:rPr>
          <w:rFonts w:cs="Arial"/>
          <w:rtl/>
        </w:rPr>
        <w:t>תסגור דלת החדר שיקנה לה לשום חזקה</w:t>
      </w:r>
      <w:r>
        <w:rPr>
          <w:rFonts w:cs="Arial" w:hint="cs"/>
          <w:rtl/>
        </w:rPr>
        <w:t>, רש"י.</w:t>
      </w:r>
    </w:p>
  </w:footnote>
  <w:footnote w:id="908">
    <w:p w14:paraId="48929254" w14:textId="2EDAD9EF" w:rsidR="008528CE" w:rsidRDefault="008528CE">
      <w:pPr>
        <w:pStyle w:val="a5"/>
        <w:rPr>
          <w:rtl/>
        </w:rPr>
      </w:pPr>
      <w:r>
        <w:rPr>
          <w:rStyle w:val="a7"/>
        </w:rPr>
        <w:footnoteRef/>
      </w:r>
      <w:r>
        <w:rPr>
          <w:rtl/>
        </w:rPr>
        <w:t xml:space="preserve"> </w:t>
      </w:r>
      <w:r w:rsidRPr="008528CE">
        <w:rPr>
          <w:rFonts w:cs="Arial"/>
          <w:rtl/>
        </w:rPr>
        <w:t>דלת או גדר פרצה או פרץ גדר כל שהוא</w:t>
      </w:r>
      <w:r>
        <w:rPr>
          <w:rFonts w:hint="cs"/>
          <w:rtl/>
        </w:rPr>
        <w:t>, רש"י.</w:t>
      </w:r>
    </w:p>
  </w:footnote>
  <w:footnote w:id="909">
    <w:p w14:paraId="75564E3E" w14:textId="55E94A0F" w:rsidR="008528CE" w:rsidRDefault="008528CE">
      <w:pPr>
        <w:pStyle w:val="a5"/>
      </w:pPr>
      <w:r>
        <w:rPr>
          <w:rStyle w:val="a7"/>
        </w:rPr>
        <w:footnoteRef/>
      </w:r>
      <w:r>
        <w:rPr>
          <w:rtl/>
        </w:rPr>
        <w:t xml:space="preserve"> </w:t>
      </w:r>
      <w:r w:rsidRPr="008528CE">
        <w:rPr>
          <w:rFonts w:cs="Arial"/>
          <w:rtl/>
        </w:rPr>
        <w:t>לקנות שאין המוכר יכול לחזור בו דהשתא קא יהיב לה חצר וגיטה בתוכו ותנן נכסים שאין להם אחריות נקנין עם נכסים שיש להן אחריות בכסף בשטר ובחזקה</w:t>
      </w:r>
      <w:r>
        <w:rPr>
          <w:rFonts w:cs="Arial" w:hint="cs"/>
          <w:rtl/>
        </w:rPr>
        <w:t>, רש"י.</w:t>
      </w:r>
    </w:p>
  </w:footnote>
  <w:footnote w:id="910">
    <w:p w14:paraId="14E5A44B" w14:textId="7F81995C" w:rsidR="007E1117" w:rsidRDefault="007E1117">
      <w:pPr>
        <w:pStyle w:val="a5"/>
      </w:pPr>
      <w:r>
        <w:rPr>
          <w:rStyle w:val="a7"/>
        </w:rPr>
        <w:footnoteRef/>
      </w:r>
      <w:r>
        <w:rPr>
          <w:rtl/>
        </w:rPr>
        <w:t xml:space="preserve"> </w:t>
      </w:r>
      <w:r>
        <w:rPr>
          <w:rFonts w:hint="cs"/>
          <w:rtl/>
        </w:rPr>
        <w:t>סימן - נתן לאשתו.</w:t>
      </w:r>
    </w:p>
  </w:footnote>
  <w:footnote w:id="911">
    <w:p w14:paraId="71EB124D" w14:textId="073CECA9" w:rsidR="00DE2F5F" w:rsidRDefault="00DE2F5F">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FA2EA4">
        <w:rPr>
          <w:rFonts w:cs="Arial"/>
          <w:rtl/>
        </w:rPr>
        <w:t>ומכל מקום לענין הדין אמת הוא שהנותן מתנה לאשתו שקנתה ואין הבעל אוכל פירות, אם מכרה ונתנה ומתה הבעל מוציא מיד הלקוחות כדין נכסי מלוג, וכך כתב הנגיד רב שמואל הלוי בשם תשובת רבינו שרירא ורבינו האיי גאונים ז"ל</w:t>
      </w:r>
      <w:r>
        <w:rPr>
          <w:rFonts w:cs="Arial" w:hint="cs"/>
          <w:rtl/>
        </w:rPr>
        <w:t>.</w:t>
      </w:r>
      <w:r>
        <w:rPr>
          <w:rFonts w:hint="cs"/>
          <w:rtl/>
        </w:rPr>
        <w:t xml:space="preserve"> עכ"ל. והב"י הביא את הלשון הזו (בדיוק) בשם הרשב"א, אך לא הצלחתי למצוא כן בדבריו, אלא הרשב"א </w:t>
      </w:r>
      <w:r w:rsidRPr="00FA2EA4">
        <w:rPr>
          <w:rFonts w:cs="Arial"/>
          <w:sz w:val="16"/>
          <w:szCs w:val="16"/>
          <w:rtl/>
        </w:rPr>
        <w:t>(ב"ב נא: ד"ה במתנה)</w:t>
      </w:r>
      <w:r>
        <w:rPr>
          <w:rFonts w:hint="cs"/>
          <w:rtl/>
        </w:rPr>
        <w:t xml:space="preserve"> כתב שדעתו לא נוחה בפסק זה, והביא הה"מ </w:t>
      </w:r>
      <w:r w:rsidRPr="00D65D96">
        <w:rPr>
          <w:rFonts w:hint="cs"/>
          <w:sz w:val="16"/>
          <w:szCs w:val="16"/>
          <w:rtl/>
        </w:rPr>
        <w:t xml:space="preserve">(פכ"ב מאישות הכ"ז) </w:t>
      </w:r>
      <w:r>
        <w:rPr>
          <w:rFonts w:hint="cs"/>
          <w:rtl/>
        </w:rPr>
        <w:t xml:space="preserve">דבריו </w:t>
      </w:r>
      <w:r w:rsidRPr="00FA2EA4">
        <w:rPr>
          <w:rFonts w:hint="cs"/>
          <w:sz w:val="16"/>
          <w:szCs w:val="16"/>
          <w:rtl/>
        </w:rPr>
        <w:t xml:space="preserve">(וז"ל הרשב"א- </w:t>
      </w:r>
      <w:r w:rsidRPr="00FA2EA4">
        <w:rPr>
          <w:rFonts w:cs="Arial"/>
          <w:sz w:val="16"/>
          <w:szCs w:val="16"/>
          <w:rtl/>
        </w:rPr>
        <w:t>במתנה קנתה ואין הבעל אוכל פירות, ומיהו אם מתה הבעל יורשה, הא למה הדבר דומה לאב שנתן לבנו מתנה שאין לאב בהן אכילת פירות ואם מת הבן האב יורשו, ואפי' מכרה היא או נתנה לאחר ומתה הבעל מוציא מיד הלקוחות אא"כ פירש לה שתוכל למכור וליתן לאחר, ואפשר שעוד צריכה שיכתוב לה בפירוש שאם מכרה או נתנה לאחרים שלא יהא הוא מוציא מיד הלקוחות הא לאו הכי לא שלא אמר לה שתוכל למכור וליתן אלא שלא יוציא הוא מיד הלקוחות בחייה אבל לאחר מיתה הוא מוציא מיד הלקוחות עד שיפרש וכן דעת גאון ז"ל, ואין דעתי נוטה לכך</w:t>
      </w:r>
      <w:r>
        <w:rPr>
          <w:rFonts w:cs="Arial" w:hint="cs"/>
          <w:sz w:val="16"/>
          <w:szCs w:val="16"/>
          <w:rtl/>
        </w:rPr>
        <w:t>)</w:t>
      </w:r>
      <w:r>
        <w:rPr>
          <w:rFonts w:cs="Arial" w:hint="cs"/>
          <w:rtl/>
        </w:rPr>
        <w:t>.</w:t>
      </w:r>
      <w:r>
        <w:rPr>
          <w:rFonts w:hint="cs"/>
          <w:rtl/>
        </w:rPr>
        <w:t xml:space="preserve"> והביא הח"מ (סקי"ט) את דברי הה"מ בשם הרשב"א.</w:t>
      </w:r>
    </w:p>
  </w:footnote>
  <w:footnote w:id="912">
    <w:p w14:paraId="09DB9C77" w14:textId="77777777" w:rsidR="00DE2F5F" w:rsidRDefault="00DE2F5F" w:rsidP="0054417F">
      <w:pPr>
        <w:pStyle w:val="a5"/>
      </w:pPr>
      <w:r>
        <w:rPr>
          <w:rStyle w:val="a7"/>
        </w:rPr>
        <w:footnoteRef/>
      </w:r>
      <w:r>
        <w:rPr>
          <w:rtl/>
        </w:rPr>
        <w:t xml:space="preserve"> </w:t>
      </w:r>
      <w:r>
        <w:rPr>
          <w:rFonts w:cs="Arial"/>
          <w:rtl/>
        </w:rPr>
        <w:t>טעמו שכיון שאין לו פירות אין לו שום זכות בקרקע</w:t>
      </w:r>
      <w:r>
        <w:rPr>
          <w:rFonts w:cs="Arial" w:hint="cs"/>
          <w:rtl/>
        </w:rPr>
        <w:t>, ב"י.</w:t>
      </w:r>
    </w:p>
  </w:footnote>
  <w:footnote w:id="913">
    <w:p w14:paraId="490E2B1D" w14:textId="77777777" w:rsidR="00DE2F5F" w:rsidRDefault="00DE2F5F" w:rsidP="0054417F">
      <w:pPr>
        <w:pStyle w:val="a5"/>
      </w:pPr>
      <w:r>
        <w:rPr>
          <w:rStyle w:val="a7"/>
        </w:rPr>
        <w:footnoteRef/>
      </w:r>
      <w:r>
        <w:rPr>
          <w:rtl/>
        </w:rPr>
        <w:t xml:space="preserve"> </w:t>
      </w:r>
      <w:r>
        <w:rPr>
          <w:rFonts w:cs="Arial"/>
          <w:rtl/>
        </w:rPr>
        <w:t>טעמו הוא ממה שנתבאר בסימן ס"ט (קד.) ויתבאר עוד בסימן צ"ב (קלו.) שלענין ירושה לא מהני תנאה אלא אם כן כתב לה בעודה ארוסה</w:t>
      </w:r>
      <w:r>
        <w:rPr>
          <w:rFonts w:cs="Arial" w:hint="cs"/>
          <w:rtl/>
        </w:rPr>
        <w:t>, ב"י.</w:t>
      </w:r>
    </w:p>
  </w:footnote>
  <w:footnote w:id="914">
    <w:p w14:paraId="0668D9D3" w14:textId="6810DEE6" w:rsidR="00DE2F5F" w:rsidRDefault="00DE2F5F">
      <w:pPr>
        <w:pStyle w:val="a5"/>
      </w:pPr>
      <w:r>
        <w:rPr>
          <w:rStyle w:val="a7"/>
        </w:rPr>
        <w:footnoteRef/>
      </w:r>
      <w:r>
        <w:rPr>
          <w:rtl/>
        </w:rPr>
        <w:t xml:space="preserve"> </w:t>
      </w:r>
      <w:r w:rsidRPr="00CD0152">
        <w:rPr>
          <w:rFonts w:cs="Arial"/>
          <w:rtl/>
        </w:rPr>
        <w:t>כן הוא בירו</w:t>
      </w:r>
      <w:r>
        <w:rPr>
          <w:rFonts w:cs="Arial" w:hint="cs"/>
          <w:rtl/>
        </w:rPr>
        <w:t>שלמי,</w:t>
      </w:r>
      <w:r w:rsidRPr="00CD0152">
        <w:rPr>
          <w:rFonts w:cs="Arial"/>
          <w:rtl/>
        </w:rPr>
        <w:t xml:space="preserve"> אע</w:t>
      </w:r>
      <w:r>
        <w:rPr>
          <w:rFonts w:cs="Arial" w:hint="cs"/>
          <w:rtl/>
        </w:rPr>
        <w:t>"</w:t>
      </w:r>
      <w:r w:rsidRPr="00CD0152">
        <w:rPr>
          <w:rFonts w:cs="Arial"/>
          <w:rtl/>
        </w:rPr>
        <w:t xml:space="preserve">ג </w:t>
      </w:r>
      <w:r>
        <w:rPr>
          <w:rFonts w:cs="Arial" w:hint="cs"/>
          <w:rtl/>
        </w:rPr>
        <w:t>ד</w:t>
      </w:r>
      <w:r w:rsidRPr="00CD0152">
        <w:rPr>
          <w:rFonts w:cs="Arial"/>
          <w:rtl/>
        </w:rPr>
        <w:t>מציאה שלו לגמרי</w:t>
      </w:r>
      <w:r>
        <w:rPr>
          <w:rFonts w:cs="Arial" w:hint="cs"/>
          <w:rtl/>
        </w:rPr>
        <w:t>,</w:t>
      </w:r>
      <w:r w:rsidRPr="00CD0152">
        <w:rPr>
          <w:rFonts w:cs="Arial"/>
          <w:rtl/>
        </w:rPr>
        <w:t xml:space="preserve"> התם חיישינן שלא תהא אשה מברח</w:t>
      </w:r>
      <w:r>
        <w:rPr>
          <w:rFonts w:cs="Arial" w:hint="cs"/>
          <w:rtl/>
        </w:rPr>
        <w:t>ת</w:t>
      </w:r>
      <w:r w:rsidRPr="00CD0152">
        <w:rPr>
          <w:rFonts w:cs="Arial"/>
          <w:rtl/>
        </w:rPr>
        <w:t xml:space="preserve"> ותאמר מציאה מצאתי</w:t>
      </w:r>
      <w:r>
        <w:rPr>
          <w:rFonts w:cs="Arial" w:hint="cs"/>
          <w:rtl/>
        </w:rPr>
        <w:t>,</w:t>
      </w:r>
      <w:r w:rsidRPr="00CD0152">
        <w:rPr>
          <w:rFonts w:cs="Arial"/>
          <w:rtl/>
        </w:rPr>
        <w:t xml:space="preserve"> משא"כ מתנה קול יוצא במתנה</w:t>
      </w:r>
      <w:r>
        <w:rPr>
          <w:rFonts w:cs="Arial" w:hint="cs"/>
          <w:rtl/>
        </w:rPr>
        <w:t>.</w:t>
      </w:r>
      <w:r w:rsidRPr="00CD0152">
        <w:rPr>
          <w:rFonts w:cs="Arial"/>
          <w:rtl/>
        </w:rPr>
        <w:t xml:space="preserve"> ועיין הג"א ר"פ מציאת האשה היינו למ"ד שם בירושלמי האומר מציאתה לבעל מטעם הנ"ל</w:t>
      </w:r>
      <w:r>
        <w:rPr>
          <w:rFonts w:cs="Arial" w:hint="cs"/>
          <w:rtl/>
        </w:rPr>
        <w:t>,</w:t>
      </w:r>
      <w:r w:rsidRPr="00CD0152">
        <w:rPr>
          <w:rFonts w:cs="Arial"/>
          <w:rtl/>
        </w:rPr>
        <w:t xml:space="preserve"> ולת"ק שם הטעם משום קטטה היינו איבה צ"ל במתנה לא חיישינן לאיבה כיון דהנותן אין רצונו ליתן לו</w:t>
      </w:r>
      <w:r>
        <w:rPr>
          <w:rFonts w:cs="Arial" w:hint="cs"/>
          <w:rtl/>
        </w:rPr>
        <w:t>,</w:t>
      </w:r>
      <w:r w:rsidRPr="00CD0152">
        <w:rPr>
          <w:rFonts w:cs="Arial"/>
          <w:rtl/>
        </w:rPr>
        <w:t xml:space="preserve"> והפירו</w:t>
      </w:r>
      <w:r>
        <w:rPr>
          <w:rFonts w:cs="Arial" w:hint="cs"/>
          <w:rtl/>
        </w:rPr>
        <w:t>ת</w:t>
      </w:r>
      <w:r w:rsidRPr="00CD0152">
        <w:rPr>
          <w:rFonts w:cs="Arial"/>
          <w:rtl/>
        </w:rPr>
        <w:t xml:space="preserve"> של מתנה זו אין ב"ח שלו יכול לגבות משום רווח בית</w:t>
      </w:r>
      <w:r>
        <w:rPr>
          <w:rFonts w:cs="Arial" w:hint="cs"/>
          <w:rtl/>
        </w:rPr>
        <w:t>,</w:t>
      </w:r>
      <w:r w:rsidRPr="00CD0152">
        <w:rPr>
          <w:rFonts w:cs="Arial"/>
          <w:rtl/>
        </w:rPr>
        <w:t xml:space="preserve"> בעה"ת שער ו'</w:t>
      </w:r>
      <w:r>
        <w:rPr>
          <w:rFonts w:cs="Arial" w:hint="cs"/>
          <w:rtl/>
        </w:rPr>
        <w:t>, ב"ש (סקי"ב).</w:t>
      </w:r>
    </w:p>
  </w:footnote>
  <w:footnote w:id="915">
    <w:p w14:paraId="5033E44C" w14:textId="6E53DC3F" w:rsidR="00DE2F5F" w:rsidRDefault="00DE2F5F">
      <w:pPr>
        <w:pStyle w:val="a5"/>
      </w:pPr>
      <w:r>
        <w:rPr>
          <w:rStyle w:val="a7"/>
        </w:rPr>
        <w:footnoteRef/>
      </w:r>
      <w:r>
        <w:rPr>
          <w:rtl/>
        </w:rPr>
        <w:t xml:space="preserve"> </w:t>
      </w:r>
      <w:r w:rsidRPr="00CD0152">
        <w:rPr>
          <w:rFonts w:cs="Arial"/>
          <w:rtl/>
        </w:rPr>
        <w:t>היינו אחרים</w:t>
      </w:r>
      <w:r w:rsidR="00BA3C39">
        <w:rPr>
          <w:rFonts w:cs="Arial" w:hint="cs"/>
          <w:rtl/>
        </w:rPr>
        <w:t>,</w:t>
      </w:r>
      <w:r w:rsidRPr="00CD0152">
        <w:rPr>
          <w:rFonts w:cs="Arial"/>
          <w:rtl/>
        </w:rPr>
        <w:t xml:space="preserve"> ואם לא גבתה הנזק בחייה אין הבעל יורש דהוי ראוי </w:t>
      </w:r>
      <w:r w:rsidR="00BA3C39">
        <w:rPr>
          <w:rFonts w:cs="Arial" w:hint="cs"/>
          <w:rtl/>
        </w:rPr>
        <w:t>(</w:t>
      </w:r>
      <w:r w:rsidRPr="00CD0152">
        <w:rPr>
          <w:rFonts w:cs="Arial"/>
          <w:rtl/>
        </w:rPr>
        <w:t>תוספות והרא"ש פי"נ דף קכ"ה</w:t>
      </w:r>
      <w:r w:rsidR="00BA3C39">
        <w:rPr>
          <w:rFonts w:cs="Arial" w:hint="cs"/>
          <w:rtl/>
        </w:rPr>
        <w:t>,</w:t>
      </w:r>
      <w:r w:rsidRPr="00CD0152">
        <w:rPr>
          <w:rFonts w:cs="Arial"/>
          <w:rtl/>
        </w:rPr>
        <w:t xml:space="preserve"> ועיין שור שנגח דף מ"ב</w:t>
      </w:r>
      <w:r w:rsidR="00BA3C39">
        <w:rPr>
          <w:rFonts w:cs="Arial" w:hint="cs"/>
          <w:rtl/>
        </w:rPr>
        <w:t>).</w:t>
      </w:r>
      <w:r w:rsidRPr="00CD0152">
        <w:rPr>
          <w:rFonts w:cs="Arial"/>
          <w:rtl/>
        </w:rPr>
        <w:t xml:space="preserve"> ואם חבל בה בעלה עיין סימן פ"ג</w:t>
      </w:r>
      <w:r>
        <w:rPr>
          <w:rFonts w:cs="Arial" w:hint="cs"/>
          <w:rtl/>
        </w:rPr>
        <w:t>, ב"ש (סקי"ג).</w:t>
      </w:r>
    </w:p>
  </w:footnote>
  <w:footnote w:id="916">
    <w:p w14:paraId="7DA8F076" w14:textId="00F008DB" w:rsidR="00DE2F5F" w:rsidRDefault="00DE2F5F">
      <w:pPr>
        <w:pStyle w:val="a5"/>
      </w:pPr>
      <w:r>
        <w:rPr>
          <w:rStyle w:val="a7"/>
        </w:rPr>
        <w:footnoteRef/>
      </w:r>
      <w:r>
        <w:rPr>
          <w:rtl/>
        </w:rPr>
        <w:t xml:space="preserve"> </w:t>
      </w:r>
      <w:r w:rsidRPr="00DC7251">
        <w:rPr>
          <w:rFonts w:cs="Arial"/>
          <w:rtl/>
        </w:rPr>
        <w:t>וכתב בח"מ נראה בחלוקה הראשונה כשמכרה הכתובה בטובת הנאה רשות בידה ליתן הדמים למי שתרצה</w:t>
      </w:r>
      <w:r>
        <w:rPr>
          <w:rFonts w:cs="Arial" w:hint="cs"/>
          <w:rtl/>
        </w:rPr>
        <w:t>.</w:t>
      </w:r>
      <w:r w:rsidRPr="00DC7251">
        <w:rPr>
          <w:rFonts w:cs="Arial"/>
          <w:rtl/>
        </w:rPr>
        <w:t xml:space="preserve"> ולי נראה דמוכח כן מסוגי</w:t>
      </w:r>
      <w:r>
        <w:rPr>
          <w:rFonts w:cs="Arial" w:hint="cs"/>
          <w:rtl/>
        </w:rPr>
        <w:t>א</w:t>
      </w:r>
      <w:r w:rsidRPr="00DC7251">
        <w:rPr>
          <w:rFonts w:cs="Arial"/>
          <w:rtl/>
        </w:rPr>
        <w:t xml:space="preserve"> פ' החובל</w:t>
      </w:r>
      <w:r>
        <w:rPr>
          <w:rFonts w:cs="Arial" w:hint="cs"/>
          <w:rtl/>
        </w:rPr>
        <w:t>...</w:t>
      </w:r>
      <w:r w:rsidRPr="00DC7251">
        <w:rPr>
          <w:rFonts w:cs="Arial"/>
          <w:rtl/>
        </w:rPr>
        <w:t xml:space="preserve"> </w:t>
      </w:r>
      <w:r>
        <w:rPr>
          <w:rFonts w:cs="Arial" w:hint="cs"/>
          <w:rtl/>
        </w:rPr>
        <w:t xml:space="preserve">דכתבו </w:t>
      </w:r>
      <w:r w:rsidRPr="00DC7251">
        <w:rPr>
          <w:rFonts w:cs="Arial"/>
          <w:rtl/>
        </w:rPr>
        <w:t xml:space="preserve">תוס' </w:t>
      </w:r>
      <w:r>
        <w:rPr>
          <w:rFonts w:cs="Arial" w:hint="cs"/>
          <w:rtl/>
        </w:rPr>
        <w:t>(</w:t>
      </w:r>
      <w:r w:rsidRPr="00DC7251">
        <w:rPr>
          <w:rFonts w:cs="Arial"/>
          <w:rtl/>
        </w:rPr>
        <w:t>פ' החובל</w:t>
      </w:r>
      <w:r>
        <w:rPr>
          <w:rFonts w:cs="Arial" w:hint="cs"/>
          <w:rtl/>
        </w:rPr>
        <w:t>)</w:t>
      </w:r>
      <w:r w:rsidRPr="00DC7251">
        <w:rPr>
          <w:rFonts w:cs="Arial"/>
          <w:rtl/>
        </w:rPr>
        <w:t xml:space="preserve"> אם מכרה הכתוב</w:t>
      </w:r>
      <w:r>
        <w:rPr>
          <w:rFonts w:cs="Arial" w:hint="cs"/>
          <w:rtl/>
        </w:rPr>
        <w:t>ה</w:t>
      </w:r>
      <w:r w:rsidRPr="00DC7251">
        <w:rPr>
          <w:rFonts w:cs="Arial"/>
          <w:rtl/>
        </w:rPr>
        <w:t xml:space="preserve"> בטובת הנאה אין לו הפירות מן הטובת הנאה וא"צ ליקח קרקע בעד הפירות</w:t>
      </w:r>
      <w:r>
        <w:rPr>
          <w:rFonts w:cs="Arial" w:hint="cs"/>
          <w:rtl/>
        </w:rPr>
        <w:t>.</w:t>
      </w:r>
      <w:r w:rsidRPr="00DC7251">
        <w:rPr>
          <w:rFonts w:cs="Arial"/>
          <w:rtl/>
        </w:rPr>
        <w:t xml:space="preserve"> וכן מוכח שם</w:t>
      </w:r>
      <w:r>
        <w:rPr>
          <w:rFonts w:cs="Arial" w:hint="cs"/>
          <w:rtl/>
        </w:rPr>
        <w:t>,</w:t>
      </w:r>
      <w:r w:rsidRPr="00DC7251">
        <w:rPr>
          <w:rFonts w:cs="Arial"/>
          <w:rtl/>
        </w:rPr>
        <w:t xml:space="preserve"> דאל"כ מה פריך ותזבון הכתוב</w:t>
      </w:r>
      <w:r>
        <w:rPr>
          <w:rFonts w:cs="Arial" w:hint="cs"/>
          <w:rtl/>
        </w:rPr>
        <w:t>ה</w:t>
      </w:r>
      <w:r w:rsidRPr="00DC7251">
        <w:rPr>
          <w:rFonts w:cs="Arial"/>
          <w:rtl/>
        </w:rPr>
        <w:t xml:space="preserve"> בטובת הנא</w:t>
      </w:r>
      <w:r>
        <w:rPr>
          <w:rFonts w:cs="Arial" w:hint="cs"/>
          <w:rtl/>
        </w:rPr>
        <w:t>ה</w:t>
      </w:r>
      <w:r w:rsidRPr="00DC7251">
        <w:rPr>
          <w:rFonts w:cs="Arial"/>
          <w:rtl/>
        </w:rPr>
        <w:t xml:space="preserve"> ותתן לנחבל</w:t>
      </w:r>
      <w:r>
        <w:rPr>
          <w:rFonts w:cs="Arial" w:hint="cs"/>
          <w:rtl/>
        </w:rPr>
        <w:t>,</w:t>
      </w:r>
      <w:r w:rsidRPr="00DC7251">
        <w:rPr>
          <w:rFonts w:cs="Arial"/>
          <w:rtl/>
        </w:rPr>
        <w:t xml:space="preserve"> אם יש לו חלק בפירות איך תתן לנחבל</w:t>
      </w:r>
      <w:r>
        <w:rPr>
          <w:rFonts w:cs="Arial" w:hint="cs"/>
          <w:rtl/>
        </w:rPr>
        <w:t>?</w:t>
      </w:r>
      <w:r w:rsidRPr="00DC7251">
        <w:rPr>
          <w:rFonts w:cs="Arial"/>
          <w:rtl/>
        </w:rPr>
        <w:t xml:space="preserve"> אלא ודאי דאין לו בו שום זכות</w:t>
      </w:r>
      <w:r>
        <w:rPr>
          <w:rFonts w:cs="Arial" w:hint="cs"/>
          <w:rtl/>
        </w:rPr>
        <w:t>.</w:t>
      </w:r>
      <w:r w:rsidRPr="00DC7251">
        <w:rPr>
          <w:rFonts w:cs="Arial"/>
          <w:rtl/>
        </w:rPr>
        <w:t xml:space="preserve"> ומזה מוכח נמי דיכולה ליתן אותו מעות לאחר גם דאינו יורש אותו מעות</w:t>
      </w:r>
      <w:r>
        <w:rPr>
          <w:rFonts w:cs="Arial" w:hint="cs"/>
          <w:rtl/>
        </w:rPr>
        <w:t>,</w:t>
      </w:r>
      <w:r w:rsidRPr="00DC7251">
        <w:rPr>
          <w:rFonts w:cs="Arial"/>
          <w:rtl/>
        </w:rPr>
        <w:t xml:space="preserve"> דאל"כ איך ס"ד שתמכור ותתן לנחבל ועיין ס"ס ורס"צ, ובסי' קי"ח מבואר ב"ח שהלוה לה אפילו אחר הנישואין גובה ממתנה זו</w:t>
      </w:r>
      <w:r>
        <w:rPr>
          <w:rFonts w:cs="Arial" w:hint="cs"/>
          <w:rtl/>
        </w:rPr>
        <w:t>, ב"ש (סקט"ו-טז).</w:t>
      </w:r>
    </w:p>
  </w:footnote>
  <w:footnote w:id="917">
    <w:p w14:paraId="16B1962B" w14:textId="7D31F7CC" w:rsidR="00DE2F5F" w:rsidRDefault="00DE2F5F">
      <w:pPr>
        <w:pStyle w:val="a5"/>
        <w:rPr>
          <w:rtl/>
        </w:rPr>
      </w:pPr>
      <w:r>
        <w:rPr>
          <w:rStyle w:val="a7"/>
        </w:rPr>
        <w:footnoteRef/>
      </w:r>
      <w:r>
        <w:rPr>
          <w:rtl/>
        </w:rPr>
        <w:t xml:space="preserve"> </w:t>
      </w:r>
      <w:r w:rsidRPr="00DC7251">
        <w:rPr>
          <w:rFonts w:cs="Arial"/>
          <w:rtl/>
        </w:rPr>
        <w:t>ואם מכרה המכר בטל</w:t>
      </w:r>
      <w:r>
        <w:rPr>
          <w:rFonts w:cs="Arial" w:hint="cs"/>
          <w:rtl/>
        </w:rPr>
        <w:t>,</w:t>
      </w:r>
      <w:r w:rsidRPr="00DC7251">
        <w:rPr>
          <w:rFonts w:cs="Arial"/>
          <w:rtl/>
        </w:rPr>
        <w:t xml:space="preserve"> כ"כ תו</w:t>
      </w:r>
      <w:r>
        <w:rPr>
          <w:rFonts w:cs="Arial" w:hint="cs"/>
          <w:rtl/>
        </w:rPr>
        <w:t>ס</w:t>
      </w:r>
      <w:r w:rsidRPr="00DC7251">
        <w:rPr>
          <w:rFonts w:cs="Arial"/>
          <w:rtl/>
        </w:rPr>
        <w:t>' והרא"ש</w:t>
      </w:r>
      <w:r>
        <w:rPr>
          <w:rFonts w:cs="Arial" w:hint="cs"/>
          <w:rtl/>
        </w:rPr>
        <w:t>,</w:t>
      </w:r>
      <w:r w:rsidRPr="00DC7251">
        <w:rPr>
          <w:rFonts w:cs="Arial"/>
          <w:rtl/>
        </w:rPr>
        <w:t xml:space="preserve"> משמע המכר בטל מיד ול"ד לדמי חבלה שחבל בה בעלה דאין לו שום זכיה דשם קנס חכמי</w:t>
      </w:r>
      <w:r>
        <w:rPr>
          <w:rFonts w:cs="Arial" w:hint="cs"/>
          <w:rtl/>
        </w:rPr>
        <w:t>ם</w:t>
      </w:r>
      <w:r w:rsidRPr="00DC7251">
        <w:rPr>
          <w:rFonts w:cs="Arial"/>
          <w:rtl/>
        </w:rPr>
        <w:t xml:space="preserve"> הוא דקנסו אותו דאין לו בדמים שום זכי</w:t>
      </w:r>
      <w:r>
        <w:rPr>
          <w:rFonts w:cs="Arial" w:hint="cs"/>
          <w:rtl/>
        </w:rPr>
        <w:t>ה.</w:t>
      </w:r>
      <w:r w:rsidRPr="00DC7251">
        <w:rPr>
          <w:rFonts w:cs="Arial"/>
          <w:rtl/>
        </w:rPr>
        <w:t xml:space="preserve"> והרשב"א כ' המכר קיים כל ימי חייה ואחר מותה מוצי</w:t>
      </w:r>
      <w:r>
        <w:rPr>
          <w:rFonts w:cs="Arial" w:hint="cs"/>
          <w:rtl/>
        </w:rPr>
        <w:t>א</w:t>
      </w:r>
      <w:r w:rsidRPr="00DC7251">
        <w:rPr>
          <w:rFonts w:cs="Arial"/>
          <w:rtl/>
        </w:rPr>
        <w:t xml:space="preserve"> מיד הלקוחו</w:t>
      </w:r>
      <w:r>
        <w:rPr>
          <w:rFonts w:cs="Arial" w:hint="cs"/>
          <w:rtl/>
        </w:rPr>
        <w:t>ת</w:t>
      </w:r>
      <w:r w:rsidRPr="00DC7251">
        <w:rPr>
          <w:rFonts w:cs="Arial"/>
          <w:rtl/>
        </w:rPr>
        <w:t xml:space="preserve"> ונ"מ מוצי</w:t>
      </w:r>
      <w:r>
        <w:rPr>
          <w:rFonts w:cs="Arial" w:hint="cs"/>
          <w:rtl/>
        </w:rPr>
        <w:t>א</w:t>
      </w:r>
      <w:r w:rsidRPr="00DC7251">
        <w:rPr>
          <w:rFonts w:cs="Arial"/>
          <w:rtl/>
        </w:rPr>
        <w:t xml:space="preserve"> מיד</w:t>
      </w:r>
      <w:r>
        <w:rPr>
          <w:rFonts w:cs="Arial" w:hint="cs"/>
          <w:rtl/>
        </w:rPr>
        <w:t>.</w:t>
      </w:r>
      <w:r w:rsidRPr="00DC7251">
        <w:rPr>
          <w:rFonts w:cs="Arial"/>
          <w:rtl/>
        </w:rPr>
        <w:t xml:space="preserve"> והרמ"ה שהבי</w:t>
      </w:r>
      <w:r>
        <w:rPr>
          <w:rFonts w:cs="Arial" w:hint="cs"/>
          <w:rtl/>
        </w:rPr>
        <w:t>א</w:t>
      </w:r>
      <w:r w:rsidRPr="00DC7251">
        <w:rPr>
          <w:rFonts w:cs="Arial"/>
          <w:rtl/>
        </w:rPr>
        <w:t xml:space="preserve"> הטור משמע דס"ל אפילו אחר מותה אינו מוצי</w:t>
      </w:r>
      <w:r>
        <w:rPr>
          <w:rFonts w:cs="Arial" w:hint="cs"/>
          <w:rtl/>
        </w:rPr>
        <w:t>א</w:t>
      </w:r>
      <w:r w:rsidRPr="00DC7251">
        <w:rPr>
          <w:rFonts w:cs="Arial"/>
          <w:rtl/>
        </w:rPr>
        <w:t xml:space="preserve"> מן הלקוחו</w:t>
      </w:r>
      <w:r>
        <w:rPr>
          <w:rFonts w:cs="Arial" w:hint="cs"/>
          <w:rtl/>
        </w:rPr>
        <w:t>ת</w:t>
      </w:r>
      <w:r w:rsidRPr="00DC7251">
        <w:rPr>
          <w:rFonts w:cs="Arial"/>
          <w:rtl/>
        </w:rPr>
        <w:t xml:space="preserve"> גם ס"ל דאין לו פירי פירות</w:t>
      </w:r>
      <w:r>
        <w:rPr>
          <w:rFonts w:cs="Arial" w:hint="cs"/>
          <w:rtl/>
        </w:rPr>
        <w:t>,</w:t>
      </w:r>
      <w:r w:rsidRPr="00DC7251">
        <w:rPr>
          <w:rFonts w:cs="Arial"/>
          <w:rtl/>
        </w:rPr>
        <w:t xml:space="preserve"> וכ"כ ב"ח</w:t>
      </w:r>
      <w:r>
        <w:rPr>
          <w:rFonts w:cs="Arial" w:hint="cs"/>
          <w:rtl/>
        </w:rPr>
        <w:t>, ב"ש (סקט"ו).</w:t>
      </w:r>
    </w:p>
  </w:footnote>
  <w:footnote w:id="918">
    <w:p w14:paraId="67F78C5D" w14:textId="55873BA6" w:rsidR="00D302B4" w:rsidRDefault="00D302B4">
      <w:pPr>
        <w:pStyle w:val="a5"/>
      </w:pPr>
      <w:r>
        <w:rPr>
          <w:rStyle w:val="a7"/>
        </w:rPr>
        <w:footnoteRef/>
      </w:r>
      <w:r>
        <w:rPr>
          <w:rtl/>
        </w:rPr>
        <w:t xml:space="preserve"> </w:t>
      </w:r>
      <w:r>
        <w:rPr>
          <w:rFonts w:hint="cs"/>
          <w:rtl/>
        </w:rPr>
        <w:t>סימן - נתן לאשתו.</w:t>
      </w:r>
    </w:p>
  </w:footnote>
  <w:footnote w:id="919">
    <w:p w14:paraId="248B5E5F" w14:textId="08F7E568" w:rsidR="00DE2F5F" w:rsidRDefault="00DE2F5F">
      <w:pPr>
        <w:pStyle w:val="a5"/>
      </w:pPr>
      <w:r>
        <w:rPr>
          <w:rStyle w:val="a7"/>
        </w:rPr>
        <w:footnoteRef/>
      </w:r>
      <w:r>
        <w:rPr>
          <w:rtl/>
        </w:rPr>
        <w:t xml:space="preserve"> </w:t>
      </w:r>
      <w:r w:rsidRPr="00C10D4B">
        <w:rPr>
          <w:rFonts w:cs="Arial"/>
          <w:rtl/>
        </w:rPr>
        <w:t>בתמיה</w:t>
      </w:r>
      <w:r>
        <w:rPr>
          <w:rFonts w:cs="Arial" w:hint="cs"/>
          <w:rtl/>
        </w:rPr>
        <w:t>,</w:t>
      </w:r>
      <w:r w:rsidRPr="00C10D4B">
        <w:rPr>
          <w:rFonts w:cs="Arial"/>
          <w:rtl/>
        </w:rPr>
        <w:t xml:space="preserve"> שני דברים של רבא סותרין זה את זה</w:t>
      </w:r>
      <w:r>
        <w:rPr>
          <w:rFonts w:cs="Arial" w:hint="cs"/>
          <w:rtl/>
        </w:rPr>
        <w:t>,</w:t>
      </w:r>
      <w:r w:rsidRPr="00C10D4B">
        <w:rPr>
          <w:rFonts w:cs="Arial"/>
          <w:rtl/>
        </w:rPr>
        <w:t xml:space="preserve"> לא קנתה </w:t>
      </w:r>
      <w:r>
        <w:rPr>
          <w:rFonts w:cs="Arial" w:hint="cs"/>
          <w:rtl/>
        </w:rPr>
        <w:t xml:space="preserve">- </w:t>
      </w:r>
      <w:r w:rsidRPr="00C10D4B">
        <w:rPr>
          <w:rFonts w:cs="Arial"/>
          <w:rtl/>
        </w:rPr>
        <w:t>משמע לא גוף ולא פירות</w:t>
      </w:r>
      <w:r>
        <w:rPr>
          <w:rFonts w:cs="Arial" w:hint="cs"/>
          <w:rtl/>
        </w:rPr>
        <w:t>,</w:t>
      </w:r>
      <w:r w:rsidRPr="00C10D4B">
        <w:rPr>
          <w:rFonts w:cs="Arial"/>
          <w:rtl/>
        </w:rPr>
        <w:t xml:space="preserve"> דלגלויי זוזי הוא דבעי</w:t>
      </w:r>
      <w:r>
        <w:rPr>
          <w:rFonts w:cs="Arial" w:hint="cs"/>
          <w:rtl/>
        </w:rPr>
        <w:t>.</w:t>
      </w:r>
      <w:r w:rsidRPr="00C10D4B">
        <w:rPr>
          <w:rFonts w:cs="Arial"/>
          <w:rtl/>
        </w:rPr>
        <w:t xml:space="preserve"> והבעל אוכל פירות </w:t>
      </w:r>
      <w:r>
        <w:rPr>
          <w:rFonts w:cs="Arial" w:hint="cs"/>
          <w:rtl/>
        </w:rPr>
        <w:t xml:space="preserve">- </w:t>
      </w:r>
      <w:r w:rsidRPr="00C10D4B">
        <w:rPr>
          <w:rFonts w:cs="Arial"/>
          <w:rtl/>
        </w:rPr>
        <w:t>משמע שקנתה גוף הקרקע</w:t>
      </w:r>
      <w:r>
        <w:rPr>
          <w:rFonts w:cs="Arial" w:hint="cs"/>
          <w:rtl/>
        </w:rPr>
        <w:t>,</w:t>
      </w:r>
      <w:r w:rsidRPr="00C10D4B">
        <w:rPr>
          <w:rFonts w:cs="Arial"/>
          <w:rtl/>
        </w:rPr>
        <w:t xml:space="preserve"> דלאו לגלויי זוזי הוא דבעי</w:t>
      </w:r>
      <w:r>
        <w:rPr>
          <w:rFonts w:cs="Arial" w:hint="cs"/>
          <w:rtl/>
        </w:rPr>
        <w:t xml:space="preserve">, רשב"ם. </w:t>
      </w:r>
    </w:p>
  </w:footnote>
  <w:footnote w:id="920">
    <w:p w14:paraId="101B37CD" w14:textId="77777777" w:rsidR="00DE2F5F" w:rsidRDefault="00DE2F5F" w:rsidP="00155053">
      <w:pPr>
        <w:pStyle w:val="a5"/>
      </w:pPr>
      <w:r>
        <w:rPr>
          <w:rStyle w:val="a7"/>
        </w:rPr>
        <w:footnoteRef/>
      </w:r>
      <w:r>
        <w:rPr>
          <w:rtl/>
        </w:rPr>
        <w:t xml:space="preserve"> </w:t>
      </w:r>
      <w:r w:rsidRPr="00C10D4B">
        <w:rPr>
          <w:rFonts w:cs="Arial"/>
          <w:rtl/>
        </w:rPr>
        <w:t>שלא היו ידועין ומפורסמים לבעל לא קנתה דלגלויי זוזי הוא דבעי</w:t>
      </w:r>
      <w:r>
        <w:rPr>
          <w:rFonts w:cs="Arial" w:hint="cs"/>
          <w:rtl/>
        </w:rPr>
        <w:t>, רשב"ם.</w:t>
      </w:r>
    </w:p>
  </w:footnote>
  <w:footnote w:id="921">
    <w:p w14:paraId="5B587CDD" w14:textId="77777777" w:rsidR="00DE2F5F" w:rsidRDefault="00DE2F5F" w:rsidP="00155053">
      <w:pPr>
        <w:pStyle w:val="a5"/>
        <w:rPr>
          <w:rtl/>
        </w:rPr>
      </w:pPr>
      <w:r>
        <w:rPr>
          <w:rStyle w:val="a7"/>
        </w:rPr>
        <w:footnoteRef/>
      </w:r>
      <w:r>
        <w:rPr>
          <w:rtl/>
        </w:rPr>
        <w:t xml:space="preserve"> </w:t>
      </w:r>
      <w:r w:rsidRPr="00C10D4B">
        <w:rPr>
          <w:rFonts w:cs="Arial"/>
          <w:rtl/>
        </w:rPr>
        <w:t>קנתה והבעל אוכל פירות דליכא גלויי זוזי שהרי גלויין ועומדין הן</w:t>
      </w:r>
      <w:r>
        <w:rPr>
          <w:rFonts w:hint="cs"/>
          <w:rtl/>
        </w:rPr>
        <w:t>, רשב"ם.</w:t>
      </w:r>
    </w:p>
  </w:footnote>
  <w:footnote w:id="922">
    <w:p w14:paraId="5C1594D0" w14:textId="15E45BDA" w:rsidR="00DE2F5F" w:rsidRDefault="00DE2F5F">
      <w:pPr>
        <w:pStyle w:val="a5"/>
      </w:pPr>
      <w:r>
        <w:rPr>
          <w:rStyle w:val="a7"/>
        </w:rPr>
        <w:footnoteRef/>
      </w:r>
      <w:r>
        <w:rPr>
          <w:rtl/>
        </w:rPr>
        <w:t xml:space="preserve"> </w:t>
      </w:r>
      <w:r>
        <w:rPr>
          <w:rFonts w:cs="Arial" w:hint="cs"/>
          <w:rtl/>
        </w:rPr>
        <w:t xml:space="preserve">משמע מדברי הטור שאין לה במעות כלום. וכ"כ הה"מ (פכ"ב הכ"ט) בשם הרשב"א וקצת מפרשים,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CD2EA5">
        <w:rPr>
          <w:rFonts w:cs="Arial"/>
          <w:rtl/>
        </w:rPr>
        <w:t>במוכר במעות טמונים</w:t>
      </w:r>
      <w:r w:rsidRPr="00CD2EA5">
        <w:rPr>
          <w:rFonts w:cs="Arial" w:hint="cs"/>
          <w:rtl/>
        </w:rPr>
        <w:t>,</w:t>
      </w:r>
      <w:r w:rsidRPr="00CD2EA5">
        <w:rPr>
          <w:rFonts w:cs="Arial"/>
          <w:rtl/>
        </w:rPr>
        <w:t xml:space="preserve"> אם טען בריא שמשלו היו </w:t>
      </w:r>
      <w:r w:rsidRPr="00CD2EA5">
        <w:rPr>
          <w:rFonts w:cs="Arial" w:hint="cs"/>
          <w:rtl/>
        </w:rPr>
        <w:t xml:space="preserve">- </w:t>
      </w:r>
      <w:r w:rsidRPr="00CD2EA5">
        <w:rPr>
          <w:rFonts w:cs="Arial"/>
          <w:rtl/>
        </w:rPr>
        <w:t>אין לה בהם כלום</w:t>
      </w:r>
      <w:r>
        <w:rPr>
          <w:rFonts w:hint="cs"/>
          <w:rtl/>
        </w:rPr>
        <w:t>.</w:t>
      </w:r>
      <w:r w:rsidRPr="003E6DC3">
        <w:rPr>
          <w:rFonts w:hint="cs"/>
          <w:color w:val="00B0F0"/>
          <w:rtl/>
        </w:rPr>
        <w:t xml:space="preserve"> </w:t>
      </w:r>
    </w:p>
  </w:footnote>
  <w:footnote w:id="923">
    <w:p w14:paraId="44A817E1" w14:textId="60C66A0B" w:rsidR="00DE2F5F" w:rsidRDefault="00DE2F5F">
      <w:pPr>
        <w:pStyle w:val="a5"/>
        <w:rPr>
          <w:rtl/>
        </w:rPr>
      </w:pPr>
      <w:r>
        <w:rPr>
          <w:rStyle w:val="a7"/>
        </w:rPr>
        <w:footnoteRef/>
      </w:r>
      <w:r>
        <w:rPr>
          <w:rtl/>
        </w:rPr>
        <w:t xml:space="preserve"> </w:t>
      </w:r>
      <w:r>
        <w:rPr>
          <w:rFonts w:cs="Arial"/>
          <w:rtl/>
        </w:rPr>
        <w:t>וכתב ה</w:t>
      </w:r>
      <w:r w:rsidR="00672190">
        <w:rPr>
          <w:rFonts w:cs="Arial" w:hint="cs"/>
          <w:rtl/>
        </w:rPr>
        <w:t>ה"</w:t>
      </w:r>
      <w:r>
        <w:rPr>
          <w:rFonts w:cs="Arial"/>
          <w:rtl/>
        </w:rPr>
        <w:t>מ</w:t>
      </w:r>
      <w:r w:rsidR="00D302B4">
        <w:rPr>
          <w:rFonts w:cs="Arial" w:hint="cs"/>
          <w:rtl/>
        </w:rPr>
        <w:t>:</w:t>
      </w:r>
      <w:r>
        <w:rPr>
          <w:rFonts w:cs="Arial"/>
          <w:rtl/>
        </w:rPr>
        <w:t xml:space="preserve"> מפרש רבינו </w:t>
      </w:r>
      <w:r>
        <w:rPr>
          <w:rFonts w:cs="Arial" w:hint="cs"/>
          <w:rtl/>
        </w:rPr>
        <w:t>'</w:t>
      </w:r>
      <w:r>
        <w:rPr>
          <w:rFonts w:cs="Arial"/>
          <w:rtl/>
        </w:rPr>
        <w:t>לא קנתה</w:t>
      </w:r>
      <w:r>
        <w:rPr>
          <w:rFonts w:cs="Arial" w:hint="cs"/>
          <w:rtl/>
        </w:rPr>
        <w:t>'</w:t>
      </w:r>
      <w:r>
        <w:rPr>
          <w:rFonts w:cs="Arial"/>
          <w:rtl/>
        </w:rPr>
        <w:t xml:space="preserve"> שאין המכר קיים ומן המעות ילקח בהם קרקע אחר והוא יאכל פירותיהן</w:t>
      </w:r>
      <w:r>
        <w:rPr>
          <w:rFonts w:cs="Arial" w:hint="cs"/>
          <w:rtl/>
        </w:rPr>
        <w:t>,</w:t>
      </w:r>
      <w:r>
        <w:rPr>
          <w:rFonts w:cs="Arial"/>
          <w:rtl/>
        </w:rPr>
        <w:t xml:space="preserve"> לפי שהאשה נאמנת לומר על מעות שהן בידה </w:t>
      </w:r>
      <w:r>
        <w:rPr>
          <w:rFonts w:cs="Arial" w:hint="cs"/>
          <w:rtl/>
        </w:rPr>
        <w:t>'</w:t>
      </w:r>
      <w:r>
        <w:rPr>
          <w:rFonts w:cs="Arial"/>
          <w:rtl/>
        </w:rPr>
        <w:t>נתנו לי במתנה</w:t>
      </w:r>
      <w:r>
        <w:rPr>
          <w:rFonts w:cs="Arial" w:hint="cs"/>
          <w:rtl/>
        </w:rPr>
        <w:t>',</w:t>
      </w:r>
      <w:r>
        <w:rPr>
          <w:rFonts w:cs="Arial"/>
          <w:rtl/>
        </w:rPr>
        <w:t xml:space="preserve"> וכיון שכן אע</w:t>
      </w:r>
      <w:r w:rsidR="00D302B4">
        <w:rPr>
          <w:rFonts w:cs="Arial" w:hint="cs"/>
          <w:rtl/>
        </w:rPr>
        <w:t>"</w:t>
      </w:r>
      <w:r>
        <w:rPr>
          <w:rFonts w:cs="Arial"/>
          <w:rtl/>
        </w:rPr>
        <w:t>פ שהם עתה ביד הבעל כיון שהיא לא נתנתם לו אלא על דעת המכר לא הורע כחה בכך</w:t>
      </w:r>
      <w:r>
        <w:rPr>
          <w:rFonts w:cs="Arial" w:hint="cs"/>
          <w:rtl/>
        </w:rPr>
        <w:t>,</w:t>
      </w:r>
      <w:r>
        <w:rPr>
          <w:rFonts w:cs="Arial"/>
          <w:rtl/>
        </w:rPr>
        <w:t xml:space="preserve"> שהרי כשהוציאתן מרשותה היתה סבורה שיהיה לה שדה תחתיהם </w:t>
      </w:r>
      <w:r w:rsidR="00672190" w:rsidRPr="00672190">
        <w:rPr>
          <w:rFonts w:cs="Arial" w:hint="cs"/>
          <w:sz w:val="16"/>
          <w:szCs w:val="16"/>
          <w:rtl/>
        </w:rPr>
        <w:t>(</w:t>
      </w:r>
      <w:r w:rsidRPr="00672190">
        <w:rPr>
          <w:rFonts w:cs="Arial"/>
          <w:sz w:val="16"/>
          <w:szCs w:val="16"/>
          <w:rtl/>
        </w:rPr>
        <w:t>והוצרכתי לכתוב בזה מפני שרבינו כתב בפ"ב מהל</w:t>
      </w:r>
      <w:r w:rsidR="00D302B4" w:rsidRPr="00672190">
        <w:rPr>
          <w:rFonts w:cs="Arial" w:hint="cs"/>
          <w:sz w:val="16"/>
          <w:szCs w:val="16"/>
          <w:rtl/>
        </w:rPr>
        <w:t>'</w:t>
      </w:r>
      <w:r w:rsidRPr="00672190">
        <w:rPr>
          <w:rFonts w:cs="Arial"/>
          <w:sz w:val="16"/>
          <w:szCs w:val="16"/>
          <w:rtl/>
        </w:rPr>
        <w:t xml:space="preserve"> מלוה ולוה (ה"ח) הבעל שלוה מאשתו ואח</w:t>
      </w:r>
      <w:r w:rsidR="00672190" w:rsidRPr="00672190">
        <w:rPr>
          <w:rFonts w:cs="Arial" w:hint="cs"/>
          <w:sz w:val="16"/>
          <w:szCs w:val="16"/>
          <w:rtl/>
        </w:rPr>
        <w:t>"</w:t>
      </w:r>
      <w:r w:rsidRPr="00672190">
        <w:rPr>
          <w:rFonts w:cs="Arial"/>
          <w:sz w:val="16"/>
          <w:szCs w:val="16"/>
          <w:rtl/>
        </w:rPr>
        <w:t xml:space="preserve">כ גרשה </w:t>
      </w:r>
      <w:r w:rsidR="00672190" w:rsidRPr="00672190">
        <w:rPr>
          <w:rFonts w:cs="Arial" w:hint="cs"/>
          <w:sz w:val="16"/>
          <w:szCs w:val="16"/>
          <w:rtl/>
        </w:rPr>
        <w:t xml:space="preserve">- </w:t>
      </w:r>
      <w:r w:rsidRPr="00672190">
        <w:rPr>
          <w:rFonts w:cs="Arial"/>
          <w:sz w:val="16"/>
          <w:szCs w:val="16"/>
          <w:rtl/>
        </w:rPr>
        <w:t>אין לה עליו כלום</w:t>
      </w:r>
      <w:r w:rsidR="00672190" w:rsidRPr="00672190">
        <w:rPr>
          <w:rFonts w:cs="Arial" w:hint="cs"/>
          <w:sz w:val="16"/>
          <w:szCs w:val="16"/>
          <w:rtl/>
        </w:rPr>
        <w:t>,</w:t>
      </w:r>
      <w:r w:rsidRPr="00672190">
        <w:rPr>
          <w:rFonts w:cs="Arial"/>
          <w:sz w:val="16"/>
          <w:szCs w:val="16"/>
          <w:rtl/>
        </w:rPr>
        <w:t xml:space="preserve"> שכל המעות שביד האשה בחזקת בעל אא</w:t>
      </w:r>
      <w:r w:rsidR="00672190" w:rsidRPr="00672190">
        <w:rPr>
          <w:rFonts w:cs="Arial" w:hint="cs"/>
          <w:sz w:val="16"/>
          <w:szCs w:val="16"/>
          <w:rtl/>
        </w:rPr>
        <w:t>"</w:t>
      </w:r>
      <w:r w:rsidRPr="00672190">
        <w:rPr>
          <w:rFonts w:cs="Arial"/>
          <w:sz w:val="16"/>
          <w:szCs w:val="16"/>
          <w:rtl/>
        </w:rPr>
        <w:t>כ הביאה ראיה שהם בנדונייתה ע"כ. והכרח הוא שהוא ז"ל מחלק בין הקונה ממנו שדה</w:t>
      </w:r>
      <w:r w:rsidR="00672190" w:rsidRPr="00672190">
        <w:rPr>
          <w:rFonts w:cs="Arial" w:hint="cs"/>
          <w:sz w:val="16"/>
          <w:szCs w:val="16"/>
          <w:rtl/>
        </w:rPr>
        <w:t>,</w:t>
      </w:r>
      <w:r w:rsidRPr="00672190">
        <w:rPr>
          <w:rFonts w:cs="Arial"/>
          <w:sz w:val="16"/>
          <w:szCs w:val="16"/>
          <w:rtl/>
        </w:rPr>
        <w:t xml:space="preserve"> ובין המלוה אליו</w:t>
      </w:r>
      <w:r w:rsidRPr="00672190">
        <w:rPr>
          <w:rFonts w:cs="Arial" w:hint="cs"/>
          <w:sz w:val="16"/>
          <w:szCs w:val="16"/>
          <w:rtl/>
        </w:rPr>
        <w:t>.</w:t>
      </w:r>
      <w:r w:rsidRPr="00672190">
        <w:rPr>
          <w:rFonts w:cs="Arial"/>
          <w:sz w:val="16"/>
          <w:szCs w:val="16"/>
          <w:rtl/>
        </w:rPr>
        <w:t xml:space="preserve"> חדא</w:t>
      </w:r>
      <w:r w:rsidRPr="00672190">
        <w:rPr>
          <w:rFonts w:cs="Arial" w:hint="cs"/>
          <w:sz w:val="16"/>
          <w:szCs w:val="16"/>
          <w:rtl/>
        </w:rPr>
        <w:t>,</w:t>
      </w:r>
      <w:r w:rsidRPr="00672190">
        <w:rPr>
          <w:rFonts w:cs="Arial"/>
          <w:sz w:val="16"/>
          <w:szCs w:val="16"/>
          <w:rtl/>
        </w:rPr>
        <w:t xml:space="preserve"> שכאן חילק בין מעות טמונים לשאינם טמונים</w:t>
      </w:r>
      <w:r w:rsidRPr="00672190">
        <w:rPr>
          <w:rFonts w:cs="Arial" w:hint="cs"/>
          <w:sz w:val="16"/>
          <w:szCs w:val="16"/>
          <w:rtl/>
        </w:rPr>
        <w:t>,</w:t>
      </w:r>
      <w:r w:rsidRPr="00672190">
        <w:rPr>
          <w:rFonts w:cs="Arial"/>
          <w:sz w:val="16"/>
          <w:szCs w:val="16"/>
          <w:rtl/>
        </w:rPr>
        <w:t xml:space="preserve"> ושם לא חילק</w:t>
      </w:r>
      <w:r w:rsidRPr="00672190">
        <w:rPr>
          <w:rFonts w:cs="Arial" w:hint="cs"/>
          <w:sz w:val="16"/>
          <w:szCs w:val="16"/>
          <w:rtl/>
        </w:rPr>
        <w:t>.</w:t>
      </w:r>
      <w:r w:rsidRPr="00672190">
        <w:rPr>
          <w:rFonts w:cs="Arial"/>
          <w:sz w:val="16"/>
          <w:szCs w:val="16"/>
          <w:rtl/>
        </w:rPr>
        <w:t xml:space="preserve"> ועוד</w:t>
      </w:r>
      <w:r w:rsidRPr="00672190">
        <w:rPr>
          <w:rFonts w:cs="Arial" w:hint="cs"/>
          <w:sz w:val="16"/>
          <w:szCs w:val="16"/>
          <w:rtl/>
        </w:rPr>
        <w:t>,</w:t>
      </w:r>
      <w:r w:rsidRPr="00672190">
        <w:rPr>
          <w:rFonts w:cs="Arial"/>
          <w:sz w:val="16"/>
          <w:szCs w:val="16"/>
          <w:rtl/>
        </w:rPr>
        <w:t xml:space="preserve"> שכאן כתב אפילו טמונים ילקח בהם קרקע</w:t>
      </w:r>
      <w:r w:rsidRPr="00672190">
        <w:rPr>
          <w:rFonts w:cs="Arial" w:hint="cs"/>
          <w:sz w:val="16"/>
          <w:szCs w:val="16"/>
          <w:rtl/>
        </w:rPr>
        <w:t>,</w:t>
      </w:r>
      <w:r w:rsidRPr="00672190">
        <w:rPr>
          <w:rFonts w:cs="Arial"/>
          <w:sz w:val="16"/>
          <w:szCs w:val="16"/>
          <w:rtl/>
        </w:rPr>
        <w:t xml:space="preserve"> ושם כתב אין לה עליו כלום</w:t>
      </w:r>
      <w:r w:rsidRPr="00672190">
        <w:rPr>
          <w:rFonts w:cs="Arial" w:hint="cs"/>
          <w:sz w:val="16"/>
          <w:szCs w:val="16"/>
          <w:rtl/>
        </w:rPr>
        <w:t>.</w:t>
      </w:r>
      <w:r w:rsidRPr="00672190">
        <w:rPr>
          <w:rFonts w:cs="Arial"/>
          <w:sz w:val="16"/>
          <w:szCs w:val="16"/>
          <w:rtl/>
        </w:rPr>
        <w:t xml:space="preserve"> והטעם</w:t>
      </w:r>
      <w:r w:rsidR="00672190" w:rsidRPr="00672190">
        <w:rPr>
          <w:rFonts w:cs="Arial" w:hint="cs"/>
          <w:sz w:val="16"/>
          <w:szCs w:val="16"/>
          <w:rtl/>
        </w:rPr>
        <w:t>,</w:t>
      </w:r>
      <w:r w:rsidRPr="00672190">
        <w:rPr>
          <w:rFonts w:cs="Arial"/>
          <w:sz w:val="16"/>
          <w:szCs w:val="16"/>
          <w:rtl/>
        </w:rPr>
        <w:t xml:space="preserve"> שכל שהלותן לו </w:t>
      </w:r>
      <w:r w:rsidR="00672190" w:rsidRPr="00672190">
        <w:rPr>
          <w:rFonts w:cs="Arial" w:hint="cs"/>
          <w:sz w:val="16"/>
          <w:szCs w:val="16"/>
          <w:rtl/>
        </w:rPr>
        <w:t xml:space="preserve">- </w:t>
      </w:r>
      <w:r w:rsidRPr="00672190">
        <w:rPr>
          <w:rFonts w:cs="Arial"/>
          <w:sz w:val="16"/>
          <w:szCs w:val="16"/>
          <w:rtl/>
        </w:rPr>
        <w:t>יצאו מחזקתה והרי הן ביד הבעל וחוששין שמא משלו הן</w:t>
      </w:r>
      <w:r w:rsidRPr="00672190">
        <w:rPr>
          <w:rFonts w:cs="Arial" w:hint="cs"/>
          <w:sz w:val="16"/>
          <w:szCs w:val="16"/>
          <w:rtl/>
        </w:rPr>
        <w:t>,</w:t>
      </w:r>
      <w:r w:rsidRPr="00672190">
        <w:rPr>
          <w:rFonts w:cs="Arial"/>
          <w:sz w:val="16"/>
          <w:szCs w:val="16"/>
          <w:rtl/>
        </w:rPr>
        <w:t xml:space="preserve"> שאל</w:t>
      </w:r>
      <w:r w:rsidR="00672190" w:rsidRPr="00672190">
        <w:rPr>
          <w:rFonts w:cs="Arial" w:hint="cs"/>
          <w:sz w:val="16"/>
          <w:szCs w:val="16"/>
          <w:rtl/>
        </w:rPr>
        <w:t>"</w:t>
      </w:r>
      <w:r w:rsidRPr="00672190">
        <w:rPr>
          <w:rFonts w:cs="Arial"/>
          <w:sz w:val="16"/>
          <w:szCs w:val="16"/>
          <w:rtl/>
        </w:rPr>
        <w:t>כ לא היה לה להלוותן לו אלא ליקח מהם קרקע</w:t>
      </w:r>
      <w:r w:rsidRPr="00672190">
        <w:rPr>
          <w:rFonts w:cs="Arial" w:hint="cs"/>
          <w:sz w:val="16"/>
          <w:szCs w:val="16"/>
          <w:rtl/>
        </w:rPr>
        <w:t>.</w:t>
      </w:r>
      <w:r w:rsidRPr="00672190">
        <w:rPr>
          <w:rFonts w:cs="Arial"/>
          <w:sz w:val="16"/>
          <w:szCs w:val="16"/>
          <w:rtl/>
        </w:rPr>
        <w:t xml:space="preserve"> אבל בקונה ממנו שדה היתה סבורה שהמכר קיים</w:t>
      </w:r>
      <w:r w:rsidRPr="00672190">
        <w:rPr>
          <w:rFonts w:cs="Arial" w:hint="cs"/>
          <w:sz w:val="16"/>
          <w:szCs w:val="16"/>
          <w:rtl/>
        </w:rPr>
        <w:t>,</w:t>
      </w:r>
      <w:r w:rsidRPr="00672190">
        <w:rPr>
          <w:rFonts w:cs="Arial"/>
          <w:sz w:val="16"/>
          <w:szCs w:val="16"/>
          <w:rtl/>
        </w:rPr>
        <w:t xml:space="preserve"> ולפיכך לא אבדה זכותה</w:t>
      </w:r>
      <w:r w:rsidRPr="00672190">
        <w:rPr>
          <w:rFonts w:cs="Arial" w:hint="cs"/>
          <w:sz w:val="16"/>
          <w:szCs w:val="16"/>
          <w:rtl/>
        </w:rPr>
        <w:t>.</w:t>
      </w:r>
      <w:r w:rsidRPr="00672190">
        <w:rPr>
          <w:rFonts w:cs="Arial"/>
          <w:sz w:val="16"/>
          <w:szCs w:val="16"/>
          <w:rtl/>
        </w:rPr>
        <w:t xml:space="preserve"> כך נראה לדעת רבינו. אבל מדברי הרשב"א ז"ל וקצת מפרשים נראה שהם משוים אותם</w:t>
      </w:r>
      <w:r w:rsidRPr="00672190">
        <w:rPr>
          <w:rFonts w:cs="Arial" w:hint="cs"/>
          <w:sz w:val="16"/>
          <w:szCs w:val="16"/>
          <w:rtl/>
        </w:rPr>
        <w:t>,</w:t>
      </w:r>
      <w:r w:rsidRPr="00672190">
        <w:rPr>
          <w:rFonts w:cs="Arial"/>
          <w:sz w:val="16"/>
          <w:szCs w:val="16"/>
          <w:rtl/>
        </w:rPr>
        <w:t xml:space="preserve"> וכשאמרו בלוה שאין לה עליו כלום</w:t>
      </w:r>
      <w:r w:rsidRPr="00672190">
        <w:rPr>
          <w:rFonts w:cs="Arial" w:hint="cs"/>
          <w:sz w:val="16"/>
          <w:szCs w:val="16"/>
          <w:rtl/>
        </w:rPr>
        <w:t>,</w:t>
      </w:r>
      <w:r w:rsidRPr="00672190">
        <w:rPr>
          <w:rFonts w:cs="Arial"/>
          <w:sz w:val="16"/>
          <w:szCs w:val="16"/>
          <w:rtl/>
        </w:rPr>
        <w:t xml:space="preserve"> דוקא במעות טמונים</w:t>
      </w:r>
      <w:r w:rsidRPr="00672190">
        <w:rPr>
          <w:rFonts w:cs="Arial" w:hint="cs"/>
          <w:sz w:val="16"/>
          <w:szCs w:val="16"/>
          <w:rtl/>
        </w:rPr>
        <w:t>.</w:t>
      </w:r>
      <w:r w:rsidRPr="00672190">
        <w:rPr>
          <w:rFonts w:cs="Arial"/>
          <w:sz w:val="16"/>
          <w:szCs w:val="16"/>
          <w:rtl/>
        </w:rPr>
        <w:t xml:space="preserve"> וכשאמרו אין לה עליו כלום</w:t>
      </w:r>
      <w:r w:rsidRPr="00672190">
        <w:rPr>
          <w:rFonts w:cs="Arial" w:hint="cs"/>
          <w:sz w:val="16"/>
          <w:szCs w:val="16"/>
          <w:rtl/>
        </w:rPr>
        <w:t>,</w:t>
      </w:r>
      <w:r w:rsidRPr="00672190">
        <w:rPr>
          <w:rFonts w:cs="Arial"/>
          <w:sz w:val="16"/>
          <w:szCs w:val="16"/>
          <w:rtl/>
        </w:rPr>
        <w:t xml:space="preserve"> דוקא בטוען בריא שמשלו הן והיא גנבתן</w:t>
      </w:r>
      <w:r w:rsidRPr="00672190">
        <w:rPr>
          <w:rFonts w:cs="Arial" w:hint="cs"/>
          <w:sz w:val="16"/>
          <w:szCs w:val="16"/>
          <w:rtl/>
        </w:rPr>
        <w:t>,</w:t>
      </w:r>
      <w:r w:rsidRPr="00672190">
        <w:rPr>
          <w:rFonts w:cs="Arial"/>
          <w:sz w:val="16"/>
          <w:szCs w:val="16"/>
          <w:rtl/>
        </w:rPr>
        <w:t xml:space="preserve"> וכיון שהם ברשותו הוא נאמן</w:t>
      </w:r>
      <w:r w:rsidRPr="00672190">
        <w:rPr>
          <w:rFonts w:cs="Arial" w:hint="cs"/>
          <w:sz w:val="16"/>
          <w:szCs w:val="16"/>
          <w:rtl/>
        </w:rPr>
        <w:t>.</w:t>
      </w:r>
      <w:r w:rsidRPr="00672190">
        <w:rPr>
          <w:rFonts w:cs="Arial"/>
          <w:sz w:val="16"/>
          <w:szCs w:val="16"/>
          <w:rtl/>
        </w:rPr>
        <w:t xml:space="preserve"> אבל אם לא טען בבריא </w:t>
      </w:r>
      <w:r w:rsidRPr="00672190">
        <w:rPr>
          <w:rFonts w:cs="Arial" w:hint="cs"/>
          <w:sz w:val="16"/>
          <w:szCs w:val="16"/>
          <w:rtl/>
        </w:rPr>
        <w:t xml:space="preserve">- </w:t>
      </w:r>
      <w:r w:rsidRPr="00672190">
        <w:rPr>
          <w:rFonts w:cs="Arial"/>
          <w:sz w:val="16"/>
          <w:szCs w:val="16"/>
          <w:rtl/>
        </w:rPr>
        <w:t>אין לו בהם אלא אכילת פירות בלבד</w:t>
      </w:r>
      <w:r w:rsidRPr="00672190">
        <w:rPr>
          <w:rFonts w:cs="Arial" w:hint="cs"/>
          <w:sz w:val="16"/>
          <w:szCs w:val="16"/>
          <w:rtl/>
        </w:rPr>
        <w:t>,</w:t>
      </w:r>
      <w:r w:rsidRPr="00672190">
        <w:rPr>
          <w:rFonts w:cs="Arial"/>
          <w:sz w:val="16"/>
          <w:szCs w:val="16"/>
          <w:rtl/>
        </w:rPr>
        <w:t xml:space="preserve"> וכשגרשה חייב להחזירם לה</w:t>
      </w:r>
      <w:r w:rsidRPr="00672190">
        <w:rPr>
          <w:rFonts w:cs="Arial" w:hint="cs"/>
          <w:sz w:val="16"/>
          <w:szCs w:val="16"/>
          <w:rtl/>
        </w:rPr>
        <w:t>.</w:t>
      </w:r>
      <w:r w:rsidRPr="00672190">
        <w:rPr>
          <w:sz w:val="16"/>
          <w:szCs w:val="16"/>
          <w:rtl/>
        </w:rPr>
        <w:t xml:space="preserve"> </w:t>
      </w:r>
      <w:r w:rsidRPr="00672190">
        <w:rPr>
          <w:rFonts w:cs="Arial"/>
          <w:sz w:val="16"/>
          <w:szCs w:val="16"/>
          <w:rtl/>
        </w:rPr>
        <w:t>וכבר כתבתי דעת זה פ"ב מהלכות מלוה ולוה</w:t>
      </w:r>
      <w:r w:rsidR="00A47E3B">
        <w:rPr>
          <w:rFonts w:cs="Arial" w:hint="cs"/>
          <w:sz w:val="16"/>
          <w:szCs w:val="16"/>
          <w:rtl/>
        </w:rPr>
        <w:t xml:space="preserve">. </w:t>
      </w:r>
      <w:r w:rsidRPr="00A47E3B">
        <w:rPr>
          <w:rFonts w:cs="Arial"/>
          <w:sz w:val="16"/>
          <w:szCs w:val="16"/>
          <w:rtl/>
        </w:rPr>
        <w:t>ולפי זה אף במוכר במעות טמונים</w:t>
      </w:r>
      <w:r w:rsidRPr="00A47E3B">
        <w:rPr>
          <w:rFonts w:cs="Arial" w:hint="cs"/>
          <w:sz w:val="16"/>
          <w:szCs w:val="16"/>
          <w:rtl/>
        </w:rPr>
        <w:t>,</w:t>
      </w:r>
      <w:r w:rsidRPr="00A47E3B">
        <w:rPr>
          <w:rFonts w:cs="Arial"/>
          <w:sz w:val="16"/>
          <w:szCs w:val="16"/>
          <w:rtl/>
        </w:rPr>
        <w:t xml:space="preserve"> אם טען בריא שמשלו היו </w:t>
      </w:r>
      <w:r w:rsidRPr="00A47E3B">
        <w:rPr>
          <w:rFonts w:cs="Arial" w:hint="cs"/>
          <w:sz w:val="16"/>
          <w:szCs w:val="16"/>
          <w:rtl/>
        </w:rPr>
        <w:t xml:space="preserve">- </w:t>
      </w:r>
      <w:r w:rsidRPr="00A47E3B">
        <w:rPr>
          <w:rFonts w:cs="Arial"/>
          <w:sz w:val="16"/>
          <w:szCs w:val="16"/>
          <w:rtl/>
        </w:rPr>
        <w:t>אין לה בהם כלום</w:t>
      </w:r>
      <w:r w:rsidR="00A47E3B">
        <w:rPr>
          <w:rFonts w:cs="Arial" w:hint="cs"/>
          <w:sz w:val="16"/>
          <w:szCs w:val="16"/>
          <w:rtl/>
        </w:rPr>
        <w:t>)</w:t>
      </w:r>
      <w:r w:rsidRPr="00A47E3B">
        <w:rPr>
          <w:rFonts w:cs="Arial"/>
          <w:sz w:val="16"/>
          <w:szCs w:val="16"/>
          <w:rtl/>
        </w:rPr>
        <w:t xml:space="preserve"> </w:t>
      </w:r>
      <w:r>
        <w:rPr>
          <w:rFonts w:cs="Arial"/>
          <w:rtl/>
        </w:rPr>
        <w:t>עכ"ל</w:t>
      </w:r>
      <w:r>
        <w:rPr>
          <w:rFonts w:cs="Arial" w:hint="cs"/>
          <w:rtl/>
        </w:rPr>
        <w:t xml:space="preserve"> </w:t>
      </w:r>
      <w:r>
        <w:rPr>
          <w:rFonts w:cs="Arial" w:hint="cs"/>
          <w:sz w:val="16"/>
          <w:szCs w:val="16"/>
          <w:rtl/>
        </w:rPr>
        <w:t>[הה"מ]</w:t>
      </w:r>
      <w:r>
        <w:rPr>
          <w:rFonts w:hint="cs"/>
          <w:rtl/>
        </w:rPr>
        <w:t>, ב"י.</w:t>
      </w:r>
    </w:p>
  </w:footnote>
  <w:footnote w:id="924">
    <w:p w14:paraId="47C0A90C" w14:textId="5211CFFE" w:rsidR="009825C5" w:rsidRDefault="009825C5">
      <w:pPr>
        <w:pStyle w:val="a5"/>
        <w:rPr>
          <w:rtl/>
        </w:rPr>
      </w:pPr>
      <w:r>
        <w:rPr>
          <w:rStyle w:val="a7"/>
        </w:rPr>
        <w:footnoteRef/>
      </w:r>
      <w:r>
        <w:rPr>
          <w:rtl/>
        </w:rPr>
        <w:t xml:space="preserve"> </w:t>
      </w:r>
      <w:r>
        <w:rPr>
          <w:rFonts w:cs="Arial"/>
          <w:rtl/>
        </w:rPr>
        <w:t>וכן הא דתניא לוה מן האשה וגרשה</w:t>
      </w:r>
      <w:r>
        <w:rPr>
          <w:rFonts w:cs="Arial" w:hint="cs"/>
          <w:rtl/>
        </w:rPr>
        <w:t>,</w:t>
      </w:r>
      <w:r>
        <w:rPr>
          <w:rFonts w:cs="Arial"/>
          <w:rtl/>
        </w:rPr>
        <w:t xml:space="preserve"> מן העבד ונשתחרר</w:t>
      </w:r>
      <w:r>
        <w:rPr>
          <w:rFonts w:cs="Arial" w:hint="cs"/>
          <w:rtl/>
        </w:rPr>
        <w:t xml:space="preserve"> -</w:t>
      </w:r>
      <w:r>
        <w:rPr>
          <w:rFonts w:cs="Arial"/>
          <w:rtl/>
        </w:rPr>
        <w:t xml:space="preserve"> אין לה עליו כלום</w:t>
      </w:r>
      <w:r>
        <w:rPr>
          <w:rFonts w:cs="Arial" w:hint="cs"/>
          <w:rtl/>
        </w:rPr>
        <w:t>,</w:t>
      </w:r>
      <w:r>
        <w:rPr>
          <w:rFonts w:cs="Arial"/>
          <w:rtl/>
        </w:rPr>
        <w:t xml:space="preserve"> הכי קאמר </w:t>
      </w:r>
      <w:r>
        <w:rPr>
          <w:rFonts w:cs="Arial" w:hint="cs"/>
          <w:rtl/>
        </w:rPr>
        <w:t xml:space="preserve">- </w:t>
      </w:r>
      <w:r>
        <w:rPr>
          <w:rFonts w:cs="Arial"/>
          <w:rtl/>
        </w:rPr>
        <w:t>אין יכולין לומר הואיל ושעבדת עצמך ונטלת בתורת הלואה הרי נתחייבת</w:t>
      </w:r>
      <w:r>
        <w:rPr>
          <w:rFonts w:cs="Arial" w:hint="cs"/>
          <w:rtl/>
        </w:rPr>
        <w:t>,</w:t>
      </w:r>
      <w:r>
        <w:rPr>
          <w:rFonts w:cs="Arial"/>
          <w:rtl/>
        </w:rPr>
        <w:t xml:space="preserve"> משום דקים לן דלגלויי זוזי הוא דעבד</w:t>
      </w:r>
      <w:r>
        <w:rPr>
          <w:rFonts w:hint="cs"/>
          <w:rtl/>
        </w:rPr>
        <w:t>, רמב"ן (שם).</w:t>
      </w:r>
    </w:p>
  </w:footnote>
  <w:footnote w:id="925">
    <w:p w14:paraId="50DFBF91" w14:textId="13626478" w:rsidR="00DE2F5F" w:rsidRDefault="00DE2F5F">
      <w:pPr>
        <w:pStyle w:val="a5"/>
        <w:rPr>
          <w:rtl/>
        </w:rPr>
      </w:pPr>
      <w:r>
        <w:rPr>
          <w:rStyle w:val="a7"/>
        </w:rPr>
        <w:footnoteRef/>
      </w:r>
      <w:r>
        <w:rPr>
          <w:rtl/>
        </w:rPr>
        <w:t xml:space="preserve"> </w:t>
      </w:r>
      <w:r w:rsidRPr="00BC77B4">
        <w:rPr>
          <w:rFonts w:cs="Arial"/>
          <w:rtl/>
        </w:rPr>
        <w:t>עיין בהג"א במקום שאין קונין בכסף לבד ונתנ' כסף ואח"כ נתן הוא שטר</w:t>
      </w:r>
      <w:r w:rsidR="009825C5">
        <w:rPr>
          <w:rFonts w:cs="Arial" w:hint="cs"/>
          <w:rtl/>
        </w:rPr>
        <w:t xml:space="preserve"> -</w:t>
      </w:r>
      <w:r w:rsidRPr="00BC77B4">
        <w:rPr>
          <w:rFonts w:cs="Arial"/>
          <w:rtl/>
        </w:rPr>
        <w:t xml:space="preserve"> קנתה</w:t>
      </w:r>
      <w:r>
        <w:rPr>
          <w:rFonts w:hint="cs"/>
          <w:rtl/>
        </w:rPr>
        <w:t>, ב"ש (סקי"ט).</w:t>
      </w:r>
    </w:p>
  </w:footnote>
  <w:footnote w:id="926">
    <w:p w14:paraId="53A75383" w14:textId="17A8EA67" w:rsidR="00DE2F5F" w:rsidRDefault="00DE2F5F">
      <w:pPr>
        <w:pStyle w:val="a5"/>
      </w:pPr>
      <w:r>
        <w:rPr>
          <w:rStyle w:val="a7"/>
        </w:rPr>
        <w:footnoteRef/>
      </w:r>
      <w:r>
        <w:rPr>
          <w:rtl/>
        </w:rPr>
        <w:t xml:space="preserve"> </w:t>
      </w:r>
      <w:r w:rsidRPr="00BC77B4">
        <w:rPr>
          <w:rFonts w:cs="Arial"/>
          <w:rtl/>
        </w:rPr>
        <w:t>משמ</w:t>
      </w:r>
      <w:r>
        <w:rPr>
          <w:rFonts w:cs="Arial" w:hint="cs"/>
          <w:rtl/>
        </w:rPr>
        <w:t>ע</w:t>
      </w:r>
      <w:r w:rsidRPr="00BC77B4">
        <w:rPr>
          <w:rFonts w:cs="Arial"/>
          <w:rtl/>
        </w:rPr>
        <w:t xml:space="preserve"> מתוס' אם ידוע דיש לה מעות אע</w:t>
      </w:r>
      <w:r>
        <w:rPr>
          <w:rFonts w:cs="Arial" w:hint="cs"/>
          <w:rtl/>
        </w:rPr>
        <w:t>"</w:t>
      </w:r>
      <w:r w:rsidRPr="00BC77B4">
        <w:rPr>
          <w:rFonts w:cs="Arial"/>
          <w:rtl/>
        </w:rPr>
        <w:t>ג דאין ידוע מאין בא לה המעות</w:t>
      </w:r>
      <w:r>
        <w:rPr>
          <w:rFonts w:cs="Arial" w:hint="cs"/>
          <w:rtl/>
        </w:rPr>
        <w:t>,</w:t>
      </w:r>
      <w:r w:rsidRPr="00BC77B4">
        <w:rPr>
          <w:rFonts w:cs="Arial"/>
          <w:rtl/>
        </w:rPr>
        <w:t xml:space="preserve"> דינו כמעות גלוים</w:t>
      </w:r>
      <w:r>
        <w:rPr>
          <w:rFonts w:cs="Arial" w:hint="cs"/>
          <w:rtl/>
        </w:rPr>
        <w:t>,</w:t>
      </w:r>
      <w:r w:rsidRPr="00BC77B4">
        <w:rPr>
          <w:rFonts w:cs="Arial"/>
          <w:rtl/>
        </w:rPr>
        <w:t xml:space="preserve"> דאל"כ איך הקשו על ר"ש במעות גלוים יאמר דכוונתו להוציא המעות איך הוא רוצה להוציא אם ידוע דאחרי</w:t>
      </w:r>
      <w:r>
        <w:rPr>
          <w:rFonts w:cs="Arial" w:hint="cs"/>
          <w:rtl/>
        </w:rPr>
        <w:t>ם</w:t>
      </w:r>
      <w:r w:rsidRPr="00BC77B4">
        <w:rPr>
          <w:rFonts w:cs="Arial"/>
          <w:rtl/>
        </w:rPr>
        <w:t xml:space="preserve"> נתנו לה ע"מ שאין לו רשות בידם</w:t>
      </w:r>
      <w:r>
        <w:rPr>
          <w:rFonts w:cs="Arial" w:hint="cs"/>
          <w:rtl/>
        </w:rPr>
        <w:t>.</w:t>
      </w:r>
      <w:r w:rsidRPr="00BC77B4">
        <w:rPr>
          <w:rFonts w:cs="Arial"/>
          <w:rtl/>
        </w:rPr>
        <w:t xml:space="preserve"> והנ</w:t>
      </w:r>
      <w:r>
        <w:rPr>
          <w:rFonts w:cs="Arial" w:hint="cs"/>
          <w:rtl/>
        </w:rPr>
        <w:t>מוק</w:t>
      </w:r>
      <w:r w:rsidRPr="00BC77B4">
        <w:rPr>
          <w:rFonts w:cs="Arial"/>
          <w:rtl/>
        </w:rPr>
        <w:t>"י כתב מעות גלוים היינו שידוע דנתנו לה מעות ע"מ שאין לו רשות בהם</w:t>
      </w:r>
      <w:r>
        <w:rPr>
          <w:rFonts w:cs="Arial" w:hint="cs"/>
          <w:rtl/>
        </w:rPr>
        <w:t>, ב"ש (סק"כ).</w:t>
      </w:r>
    </w:p>
  </w:footnote>
  <w:footnote w:id="927">
    <w:p w14:paraId="0E6ADB6C" w14:textId="0CF230E5" w:rsidR="00DE2F5F" w:rsidRDefault="00DE2F5F">
      <w:pPr>
        <w:pStyle w:val="a5"/>
        <w:rPr>
          <w:rtl/>
        </w:rPr>
      </w:pPr>
      <w:r>
        <w:rPr>
          <w:rStyle w:val="a7"/>
        </w:rPr>
        <w:footnoteRef/>
      </w:r>
      <w:r>
        <w:rPr>
          <w:rtl/>
        </w:rPr>
        <w:t xml:space="preserve"> </w:t>
      </w:r>
      <w:r w:rsidRPr="0075102A">
        <w:rPr>
          <w:rFonts w:cs="Arial"/>
          <w:rtl/>
        </w:rPr>
        <w:t>ואינו יכול לטעון</w:t>
      </w:r>
      <w:r w:rsidR="009825C5">
        <w:rPr>
          <w:rFonts w:cs="Arial" w:hint="cs"/>
          <w:rtl/>
        </w:rPr>
        <w:t>:</w:t>
      </w:r>
      <w:r w:rsidRPr="0075102A">
        <w:rPr>
          <w:rFonts w:cs="Arial"/>
          <w:rtl/>
        </w:rPr>
        <w:t xml:space="preserve"> אע</w:t>
      </w:r>
      <w:r>
        <w:rPr>
          <w:rFonts w:cs="Arial" w:hint="cs"/>
          <w:rtl/>
        </w:rPr>
        <w:t>"</w:t>
      </w:r>
      <w:r w:rsidRPr="0075102A">
        <w:rPr>
          <w:rFonts w:cs="Arial"/>
          <w:rtl/>
        </w:rPr>
        <w:t>פ שהיו גלוים לא הייתי יכול להוצי</w:t>
      </w:r>
      <w:r w:rsidR="009825C5">
        <w:rPr>
          <w:rFonts w:cs="Arial" w:hint="cs"/>
          <w:rtl/>
        </w:rPr>
        <w:t>א</w:t>
      </w:r>
      <w:r w:rsidRPr="0075102A">
        <w:rPr>
          <w:rFonts w:cs="Arial"/>
          <w:rtl/>
        </w:rPr>
        <w:t xml:space="preserve"> מידה כי אמרה שלי הם ע"כ מכרתי לה קרקע כדי שאני אהיה מוחזק במעות</w:t>
      </w:r>
      <w:r w:rsidR="009825C5">
        <w:rPr>
          <w:rFonts w:cs="Arial" w:hint="cs"/>
          <w:rtl/>
        </w:rPr>
        <w:t xml:space="preserve"> -</w:t>
      </w:r>
      <w:r w:rsidRPr="0075102A">
        <w:rPr>
          <w:rFonts w:cs="Arial"/>
          <w:rtl/>
        </w:rPr>
        <w:t xml:space="preserve"> דאין זה חזקה</w:t>
      </w:r>
      <w:r>
        <w:rPr>
          <w:rFonts w:cs="Arial" w:hint="cs"/>
          <w:rtl/>
        </w:rPr>
        <w:t>,</w:t>
      </w:r>
      <w:r w:rsidRPr="0075102A">
        <w:rPr>
          <w:rFonts w:cs="Arial"/>
          <w:rtl/>
        </w:rPr>
        <w:t xml:space="preserve"> דמאחר שנתנה לו המעות בפני עדים ושטר מכירה בידה והיא מבררת המעות היו גלוים וידועים לו א"כ היא נקראת מוחזקת בקרקע</w:t>
      </w:r>
      <w:r>
        <w:rPr>
          <w:rFonts w:hint="cs"/>
          <w:rtl/>
        </w:rPr>
        <w:t>, ח"מ (סקכ"ב).</w:t>
      </w:r>
    </w:p>
  </w:footnote>
  <w:footnote w:id="928">
    <w:p w14:paraId="1D90F30E" w14:textId="323A2218" w:rsidR="00DE2F5F" w:rsidRDefault="00DE2F5F">
      <w:pPr>
        <w:pStyle w:val="a5"/>
        <w:rPr>
          <w:rtl/>
        </w:rPr>
      </w:pPr>
      <w:r>
        <w:rPr>
          <w:rStyle w:val="a7"/>
        </w:rPr>
        <w:footnoteRef/>
      </w:r>
      <w:r>
        <w:rPr>
          <w:rtl/>
        </w:rPr>
        <w:t xml:space="preserve"> </w:t>
      </w:r>
      <w:r w:rsidRPr="00BC77B4">
        <w:rPr>
          <w:rFonts w:cs="Arial"/>
          <w:rtl/>
        </w:rPr>
        <w:t>היינו במעות טמונים עדיף ברי שלו</w:t>
      </w:r>
      <w:r w:rsidR="001F04AA">
        <w:rPr>
          <w:rFonts w:cs="Arial" w:hint="cs"/>
          <w:rtl/>
        </w:rPr>
        <w:t>,</w:t>
      </w:r>
      <w:r w:rsidRPr="00BC77B4">
        <w:rPr>
          <w:rFonts w:cs="Arial"/>
          <w:rtl/>
        </w:rPr>
        <w:t xml:space="preserve"> אבל במעות שאינם טמונים ברי דידה עדיף</w:t>
      </w:r>
      <w:r w:rsidR="001F04AA">
        <w:rPr>
          <w:rFonts w:cs="Arial" w:hint="cs"/>
          <w:rtl/>
        </w:rPr>
        <w:t>.</w:t>
      </w:r>
      <w:r w:rsidRPr="00BC77B4">
        <w:rPr>
          <w:rFonts w:cs="Arial"/>
          <w:rtl/>
        </w:rPr>
        <w:t xml:space="preserve"> ודעת המפרשים שהביא המ"מ הוא להשוות מכר להלואה ובשניהם במעות טמונים ברי דידיה עדיף</w:t>
      </w:r>
      <w:r w:rsidR="001F04AA">
        <w:rPr>
          <w:rFonts w:cs="Arial" w:hint="cs"/>
          <w:rtl/>
        </w:rPr>
        <w:t>,</w:t>
      </w:r>
      <w:r w:rsidRPr="00BC77B4">
        <w:rPr>
          <w:rFonts w:cs="Arial"/>
          <w:rtl/>
        </w:rPr>
        <w:t xml:space="preserve"> ואם אינו טוען ברי או במעות שאינם טמונים אפי' טוען ברי היא נאמנת</w:t>
      </w:r>
      <w:r w:rsidR="001F04AA">
        <w:rPr>
          <w:rFonts w:cs="Arial" w:hint="cs"/>
          <w:rtl/>
        </w:rPr>
        <w:t>.</w:t>
      </w:r>
      <w:r w:rsidRPr="00BC77B4">
        <w:rPr>
          <w:rFonts w:cs="Arial"/>
          <w:rtl/>
        </w:rPr>
        <w:t xml:space="preserve"> אבל לדעת הרמב"ם גבי מכר לא מהני ברי דידיה אפי' במעות טמונים</w:t>
      </w:r>
      <w:r w:rsidR="001F04AA">
        <w:rPr>
          <w:rFonts w:cs="Arial" w:hint="cs"/>
          <w:rtl/>
        </w:rPr>
        <w:t>.</w:t>
      </w:r>
      <w:r w:rsidRPr="00BC77B4">
        <w:rPr>
          <w:rFonts w:cs="Arial"/>
          <w:rtl/>
        </w:rPr>
        <w:t xml:space="preserve"> וגבי הלואה א"צ לטענת ברי רק מסתמ' הם בחזקתו עד שתביא ראיה</w:t>
      </w:r>
      <w:r>
        <w:rPr>
          <w:rFonts w:hint="cs"/>
          <w:rtl/>
        </w:rPr>
        <w:t>, ח"מ (סקכ"ד).</w:t>
      </w:r>
    </w:p>
  </w:footnote>
  <w:footnote w:id="929">
    <w:p w14:paraId="4221044B" w14:textId="2E3BA187" w:rsidR="00165AA2" w:rsidRDefault="00165AA2">
      <w:pPr>
        <w:pStyle w:val="a5"/>
      </w:pPr>
      <w:r>
        <w:rPr>
          <w:rStyle w:val="a7"/>
        </w:rPr>
        <w:footnoteRef/>
      </w:r>
      <w:r>
        <w:rPr>
          <w:rtl/>
        </w:rPr>
        <w:t xml:space="preserve"> </w:t>
      </w:r>
      <w:r>
        <w:rPr>
          <w:rFonts w:hint="cs"/>
          <w:rtl/>
        </w:rPr>
        <w:t>סימן - פיספס/פקד/פיחת/פיטר חתנו. וכן - חלקי לפיך.</w:t>
      </w:r>
    </w:p>
  </w:footnote>
  <w:footnote w:id="930">
    <w:p w14:paraId="587EE649" w14:textId="51739A67" w:rsidR="00DE2F5F" w:rsidRDefault="00DE2F5F">
      <w:pPr>
        <w:pStyle w:val="a5"/>
      </w:pPr>
      <w:r>
        <w:rPr>
          <w:rStyle w:val="a7"/>
        </w:rPr>
        <w:footnoteRef/>
      </w:r>
      <w:r>
        <w:rPr>
          <w:rtl/>
        </w:rPr>
        <w:t xml:space="preserve"> </w:t>
      </w:r>
      <w:r w:rsidRPr="00236BCF">
        <w:rPr>
          <w:rFonts w:cs="Arial"/>
          <w:rtl/>
        </w:rPr>
        <w:t>הרי פירש מה שאמר בתחלה המעות הללו נתונין לך במתנה דלא הוי מתנה לכל דבר אלא למה שפירש הילכך אהני נמי מה שאמר ע"מ שאין לבעליך רשות בהן</w:t>
      </w:r>
      <w:r>
        <w:rPr>
          <w:rFonts w:cs="Arial" w:hint="cs"/>
          <w:rtl/>
        </w:rPr>
        <w:t>, רא"ש (בפירושו לש"ס שם).</w:t>
      </w:r>
    </w:p>
  </w:footnote>
  <w:footnote w:id="931">
    <w:p w14:paraId="57E8B8D2" w14:textId="182B5DC2" w:rsidR="00DE2F5F" w:rsidRDefault="00DE2F5F">
      <w:pPr>
        <w:pStyle w:val="a5"/>
        <w:rPr>
          <w:rtl/>
        </w:rPr>
      </w:pPr>
      <w:r>
        <w:rPr>
          <w:rStyle w:val="a7"/>
        </w:rPr>
        <w:footnoteRef/>
      </w:r>
      <w:r>
        <w:rPr>
          <w:rtl/>
        </w:rPr>
        <w:t xml:space="preserve"> </w:t>
      </w:r>
      <w:r w:rsidRPr="00236BCF">
        <w:rPr>
          <w:rFonts w:cs="Arial"/>
          <w:rtl/>
        </w:rPr>
        <w:t>כיון דהויא מתנה לכל דבר קנה יתהון בעל ותו לא אהני מה שאמר ע"מ שאין לבעלה רשות בהן</w:t>
      </w:r>
      <w:r>
        <w:rPr>
          <w:rFonts w:hint="cs"/>
          <w:rtl/>
        </w:rPr>
        <w:t>, רא"ש (בפירושו לש"ס שם).</w:t>
      </w:r>
    </w:p>
  </w:footnote>
  <w:footnote w:id="932">
    <w:p w14:paraId="22379261" w14:textId="180F4947" w:rsidR="00DE2F5F" w:rsidRDefault="00DE2F5F">
      <w:pPr>
        <w:pStyle w:val="a5"/>
      </w:pPr>
      <w:r>
        <w:rPr>
          <w:rStyle w:val="a7"/>
        </w:rPr>
        <w:footnoteRef/>
      </w:r>
      <w:r>
        <w:rPr>
          <w:rtl/>
        </w:rPr>
        <w:t xml:space="preserve"> </w:t>
      </w:r>
      <w:r w:rsidRPr="00560CFB">
        <w:rPr>
          <w:rFonts w:cs="Arial" w:hint="cs"/>
          <w:rtl/>
        </w:rPr>
        <w:t xml:space="preserve">וכן פירש הרשב"א </w:t>
      </w:r>
      <w:r w:rsidRPr="00560CFB">
        <w:rPr>
          <w:rFonts w:cs="Arial"/>
          <w:sz w:val="16"/>
          <w:szCs w:val="16"/>
          <w:rtl/>
        </w:rPr>
        <w:t>(נדרים פח. ד"ה והרמב"ם</w:t>
      </w:r>
      <w:r w:rsidRPr="00560CFB">
        <w:rPr>
          <w:rFonts w:cs="Arial" w:hint="cs"/>
          <w:sz w:val="16"/>
          <w:szCs w:val="16"/>
          <w:rtl/>
        </w:rPr>
        <w:t xml:space="preserve">)  </w:t>
      </w:r>
      <w:r w:rsidRPr="00560CFB">
        <w:rPr>
          <w:rFonts w:cs="Arial" w:hint="cs"/>
          <w:rtl/>
        </w:rPr>
        <w:t xml:space="preserve">את הבנת הרמב"ם </w:t>
      </w:r>
      <w:r w:rsidR="0061020A">
        <w:rPr>
          <w:rFonts w:cs="Arial" w:hint="cs"/>
          <w:rtl/>
        </w:rPr>
        <w:t>וז</w:t>
      </w:r>
      <w:r w:rsidR="0061020A">
        <w:rPr>
          <w:rFonts w:cs="Arial"/>
          <w:rtl/>
        </w:rPr>
        <w:t>"</w:t>
      </w:r>
      <w:r w:rsidR="0061020A">
        <w:rPr>
          <w:rFonts w:cs="Arial" w:hint="cs"/>
          <w:rtl/>
        </w:rPr>
        <w:t>ל:</w:t>
      </w:r>
      <w:r w:rsidRPr="00560CFB">
        <w:rPr>
          <w:rFonts w:cs="Arial" w:hint="cs"/>
          <w:rtl/>
        </w:rPr>
        <w:t xml:space="preserve"> הרמב"ם מפרש ד</w:t>
      </w:r>
      <w:r w:rsidRPr="00560CFB">
        <w:rPr>
          <w:rFonts w:cs="Arial"/>
          <w:rtl/>
        </w:rPr>
        <w:t>בין לרב בין לשמואל</w:t>
      </w:r>
      <w:r w:rsidRPr="00560CFB">
        <w:rPr>
          <w:rFonts w:cs="Arial" w:hint="cs"/>
          <w:rtl/>
        </w:rPr>
        <w:t>,</w:t>
      </w:r>
      <w:r w:rsidRPr="00560CFB">
        <w:rPr>
          <w:rFonts w:cs="Arial"/>
          <w:rtl/>
        </w:rPr>
        <w:t xml:space="preserve"> </w:t>
      </w:r>
      <w:r w:rsidRPr="00560CFB">
        <w:rPr>
          <w:rFonts w:cs="Arial" w:hint="cs"/>
          <w:rtl/>
        </w:rPr>
        <w:t>'</w:t>
      </w:r>
      <w:r w:rsidRPr="00560CFB">
        <w:rPr>
          <w:rFonts w:cs="Arial"/>
          <w:rtl/>
        </w:rPr>
        <w:t>ע</w:t>
      </w:r>
      <w:r w:rsidRPr="00560CFB">
        <w:rPr>
          <w:rFonts w:cs="Arial" w:hint="cs"/>
          <w:rtl/>
        </w:rPr>
        <w:t xml:space="preserve">ל </w:t>
      </w:r>
      <w:r w:rsidRPr="00560CFB">
        <w:rPr>
          <w:rFonts w:cs="Arial"/>
          <w:rtl/>
        </w:rPr>
        <w:t>מ</w:t>
      </w:r>
      <w:r w:rsidRPr="00560CFB">
        <w:rPr>
          <w:rFonts w:cs="Arial" w:hint="cs"/>
          <w:rtl/>
        </w:rPr>
        <w:t>נת</w:t>
      </w:r>
      <w:r w:rsidRPr="00560CFB">
        <w:rPr>
          <w:rFonts w:cs="Arial"/>
          <w:rtl/>
        </w:rPr>
        <w:t xml:space="preserve"> שאין לבעליך רשות בהו</w:t>
      </w:r>
      <w:r w:rsidRPr="00560CFB">
        <w:rPr>
          <w:rFonts w:cs="Arial" w:hint="cs"/>
          <w:rtl/>
        </w:rPr>
        <w:t>'</w:t>
      </w:r>
      <w:r w:rsidRPr="00560CFB">
        <w:rPr>
          <w:rFonts w:cs="Arial"/>
          <w:rtl/>
        </w:rPr>
        <w:t xml:space="preserve"> לחודיה </w:t>
      </w:r>
      <w:r w:rsidRPr="00560CFB">
        <w:rPr>
          <w:rFonts w:cs="Arial" w:hint="cs"/>
          <w:rtl/>
        </w:rPr>
        <w:t xml:space="preserve">- </w:t>
      </w:r>
      <w:r w:rsidRPr="00560CFB">
        <w:rPr>
          <w:rFonts w:cs="Arial"/>
          <w:rtl/>
        </w:rPr>
        <w:t>קנה יתהון בעל כסתמא דהא מתניתין</w:t>
      </w:r>
      <w:r w:rsidRPr="00560CFB">
        <w:rPr>
          <w:rFonts w:cs="Arial" w:hint="cs"/>
          <w:rtl/>
        </w:rPr>
        <w:t>.</w:t>
      </w:r>
      <w:r w:rsidRPr="00560CFB">
        <w:rPr>
          <w:rFonts w:cs="Arial"/>
          <w:rtl/>
        </w:rPr>
        <w:t xml:space="preserve"> ובפירושא דהא מתני' פליגי</w:t>
      </w:r>
      <w:r w:rsidRPr="00560CFB">
        <w:rPr>
          <w:rFonts w:cs="Arial" w:hint="cs"/>
          <w:rtl/>
        </w:rPr>
        <w:t>,</w:t>
      </w:r>
      <w:r w:rsidRPr="00560CFB">
        <w:rPr>
          <w:rFonts w:cs="Arial"/>
          <w:rtl/>
        </w:rPr>
        <w:t xml:space="preserve"> דרב סבר דלישנא דמתני' דוקא</w:t>
      </w:r>
      <w:r w:rsidRPr="00560CFB">
        <w:rPr>
          <w:rFonts w:cs="Arial" w:hint="cs"/>
          <w:rtl/>
        </w:rPr>
        <w:t>,</w:t>
      </w:r>
      <w:r w:rsidRPr="00560CFB">
        <w:rPr>
          <w:rFonts w:cs="Arial"/>
          <w:rtl/>
        </w:rPr>
        <w:t xml:space="preserve"> כלומר עד שייחד לה דבר כגון מה שתאכלי או מה שתשתי או שתלבשי וכיוצא בזה</w:t>
      </w:r>
      <w:r w:rsidRPr="00560CFB">
        <w:rPr>
          <w:rFonts w:cs="Arial" w:hint="cs"/>
          <w:rtl/>
        </w:rPr>
        <w:t>,</w:t>
      </w:r>
      <w:r w:rsidRPr="00560CFB">
        <w:rPr>
          <w:rFonts w:cs="Arial"/>
          <w:rtl/>
        </w:rPr>
        <w:t xml:space="preserve"> הא בכולל לעשות בהן כל מה שתרצי </w:t>
      </w:r>
      <w:r w:rsidRPr="00560CFB">
        <w:rPr>
          <w:rFonts w:cs="Arial" w:hint="cs"/>
          <w:rtl/>
        </w:rPr>
        <w:t xml:space="preserve">- </w:t>
      </w:r>
      <w:r w:rsidRPr="00560CFB">
        <w:rPr>
          <w:rFonts w:cs="Arial"/>
          <w:rtl/>
        </w:rPr>
        <w:t>קנה יתהון בעל</w:t>
      </w:r>
      <w:r w:rsidRPr="00560CFB">
        <w:rPr>
          <w:rFonts w:cs="Arial" w:hint="cs"/>
          <w:rtl/>
        </w:rPr>
        <w:t>.</w:t>
      </w:r>
      <w:r w:rsidRPr="00560CFB">
        <w:rPr>
          <w:rFonts w:cs="Arial"/>
          <w:rtl/>
        </w:rPr>
        <w:t xml:space="preserve"> ושמואל אמר אפילו לא יחד לה דבר אלא שאמר לה </w:t>
      </w:r>
      <w:r w:rsidRPr="00560CFB">
        <w:rPr>
          <w:rFonts w:cs="Arial" w:hint="cs"/>
          <w:rtl/>
        </w:rPr>
        <w:t>'</w:t>
      </w:r>
      <w:r w:rsidRPr="00560CFB">
        <w:rPr>
          <w:rFonts w:cs="Arial"/>
          <w:rtl/>
        </w:rPr>
        <w:t>על מנת שאין לבעליך רשות בהן אלא מה שתרצי עשי</w:t>
      </w:r>
      <w:r w:rsidRPr="00560CFB">
        <w:rPr>
          <w:rFonts w:cs="Arial" w:hint="cs"/>
          <w:rtl/>
        </w:rPr>
        <w:t>' -</w:t>
      </w:r>
      <w:r w:rsidRPr="00560CFB">
        <w:rPr>
          <w:rFonts w:cs="Arial"/>
          <w:rtl/>
        </w:rPr>
        <w:t xml:space="preserve"> לא קני יתהון בעל, אבל </w:t>
      </w:r>
      <w:r w:rsidRPr="00560CFB">
        <w:rPr>
          <w:rFonts w:cs="Arial" w:hint="cs"/>
          <w:rtl/>
        </w:rPr>
        <w:t>'</w:t>
      </w:r>
      <w:r w:rsidRPr="00560CFB">
        <w:rPr>
          <w:rFonts w:cs="Arial"/>
          <w:rtl/>
        </w:rPr>
        <w:t>מה שתרצי</w:t>
      </w:r>
      <w:r w:rsidRPr="00560CFB">
        <w:rPr>
          <w:rFonts w:cs="Arial" w:hint="cs"/>
          <w:rtl/>
        </w:rPr>
        <w:t>'</w:t>
      </w:r>
      <w:r w:rsidRPr="00560CFB">
        <w:rPr>
          <w:rFonts w:cs="Arial"/>
          <w:rtl/>
        </w:rPr>
        <w:t xml:space="preserve"> לחודיה</w:t>
      </w:r>
      <w:r w:rsidRPr="00560CFB">
        <w:rPr>
          <w:rFonts w:cs="Arial" w:hint="cs"/>
          <w:rtl/>
        </w:rPr>
        <w:t>,</w:t>
      </w:r>
      <w:r w:rsidRPr="00560CFB">
        <w:rPr>
          <w:rFonts w:cs="Arial"/>
          <w:rtl/>
        </w:rPr>
        <w:t xml:space="preserve"> וא"נ </w:t>
      </w:r>
      <w:r w:rsidRPr="00560CFB">
        <w:rPr>
          <w:rFonts w:cs="Arial" w:hint="cs"/>
          <w:rtl/>
        </w:rPr>
        <w:t>'</w:t>
      </w:r>
      <w:r w:rsidRPr="00560CFB">
        <w:rPr>
          <w:rFonts w:cs="Arial"/>
          <w:rtl/>
        </w:rPr>
        <w:t>ע</w:t>
      </w:r>
      <w:r w:rsidRPr="00560CFB">
        <w:rPr>
          <w:rFonts w:cs="Arial" w:hint="cs"/>
          <w:rtl/>
        </w:rPr>
        <w:t>"מ</w:t>
      </w:r>
      <w:r w:rsidRPr="00560CFB">
        <w:rPr>
          <w:rFonts w:cs="Arial"/>
          <w:rtl/>
        </w:rPr>
        <w:t xml:space="preserve"> שאין לבעליך רשות בהן</w:t>
      </w:r>
      <w:r w:rsidRPr="00560CFB">
        <w:rPr>
          <w:rFonts w:cs="Arial" w:hint="cs"/>
          <w:rtl/>
        </w:rPr>
        <w:t>'</w:t>
      </w:r>
      <w:r w:rsidRPr="00560CFB">
        <w:rPr>
          <w:rFonts w:cs="Arial"/>
          <w:rtl/>
        </w:rPr>
        <w:t xml:space="preserve"> לחודיה </w:t>
      </w:r>
      <w:r w:rsidRPr="00560CFB">
        <w:rPr>
          <w:rFonts w:cs="Arial" w:hint="cs"/>
          <w:rtl/>
        </w:rPr>
        <w:t xml:space="preserve">- </w:t>
      </w:r>
      <w:r w:rsidRPr="00560CFB">
        <w:rPr>
          <w:rFonts w:cs="Arial"/>
          <w:rtl/>
        </w:rPr>
        <w:t>קנה יתהון בעל</w:t>
      </w:r>
      <w:r>
        <w:rPr>
          <w:rFonts w:cs="Arial" w:hint="cs"/>
          <w:rtl/>
        </w:rPr>
        <w:t>.</w:t>
      </w:r>
    </w:p>
  </w:footnote>
  <w:footnote w:id="933">
    <w:p w14:paraId="7A7D4A34" w14:textId="189EAA08" w:rsidR="00DE2F5F" w:rsidRDefault="00DE2F5F">
      <w:pPr>
        <w:pStyle w:val="a5"/>
      </w:pPr>
      <w:r>
        <w:rPr>
          <w:rStyle w:val="a7"/>
        </w:rPr>
        <w:footnoteRef/>
      </w:r>
      <w:r>
        <w:rPr>
          <w:rtl/>
        </w:rPr>
        <w:t xml:space="preserve"> </w:t>
      </w:r>
      <w:r>
        <w:rPr>
          <w:rFonts w:cs="Arial"/>
          <w:rtl/>
        </w:rPr>
        <w:t xml:space="preserve">ר"ת </w:t>
      </w:r>
      <w:r w:rsidRPr="00236BCF">
        <w:rPr>
          <w:rFonts w:cs="Arial"/>
          <w:sz w:val="16"/>
          <w:szCs w:val="16"/>
          <w:rtl/>
        </w:rPr>
        <w:t>(</w:t>
      </w:r>
      <w:r w:rsidRPr="00236BCF">
        <w:rPr>
          <w:rFonts w:cs="Arial" w:hint="cs"/>
          <w:sz w:val="16"/>
          <w:szCs w:val="16"/>
          <w:rtl/>
        </w:rPr>
        <w:t>ב</w:t>
      </w:r>
      <w:r w:rsidRPr="00236BCF">
        <w:rPr>
          <w:rFonts w:cs="Arial"/>
          <w:sz w:val="16"/>
          <w:szCs w:val="16"/>
          <w:rtl/>
        </w:rPr>
        <w:t xml:space="preserve">תוס' קידושין כג: ד"ה ורבי) </w:t>
      </w:r>
      <w:r>
        <w:rPr>
          <w:rFonts w:cs="Arial"/>
          <w:rtl/>
        </w:rPr>
        <w:t>ראב"</w:t>
      </w:r>
      <w:r>
        <w:rPr>
          <w:rFonts w:cs="Arial" w:hint="cs"/>
          <w:rtl/>
        </w:rPr>
        <w:t>ד</w:t>
      </w:r>
      <w:r>
        <w:rPr>
          <w:rFonts w:cs="Arial"/>
          <w:rtl/>
        </w:rPr>
        <w:t xml:space="preserve"> </w:t>
      </w:r>
      <w:r w:rsidRPr="00236BCF">
        <w:rPr>
          <w:rFonts w:cs="Arial"/>
          <w:sz w:val="16"/>
          <w:szCs w:val="16"/>
          <w:rtl/>
        </w:rPr>
        <w:t>(בהשגות פ"ז מנדרים הי"ז</w:t>
      </w:r>
      <w:r>
        <w:rPr>
          <w:rFonts w:cs="Arial" w:hint="cs"/>
          <w:sz w:val="16"/>
          <w:szCs w:val="16"/>
          <w:rtl/>
        </w:rPr>
        <w:t>, כ"כ בשמו הרשב"א והר"ן</w:t>
      </w:r>
      <w:r w:rsidRPr="00236BCF">
        <w:rPr>
          <w:rFonts w:cs="Arial"/>
          <w:sz w:val="16"/>
          <w:szCs w:val="16"/>
          <w:rtl/>
        </w:rPr>
        <w:t>)</w:t>
      </w:r>
      <w:r w:rsidRPr="00236BCF">
        <w:rPr>
          <w:rFonts w:cs="Arial" w:hint="cs"/>
          <w:rtl/>
        </w:rPr>
        <w:t xml:space="preserve"> </w:t>
      </w:r>
      <w:r>
        <w:rPr>
          <w:rFonts w:cs="Arial" w:hint="cs"/>
          <w:rtl/>
        </w:rPr>
        <w:t>מרדכי</w:t>
      </w:r>
      <w:r w:rsidRPr="00236BCF">
        <w:rPr>
          <w:rFonts w:cs="Arial" w:hint="cs"/>
          <w:sz w:val="16"/>
          <w:szCs w:val="16"/>
          <w:rtl/>
        </w:rPr>
        <w:t xml:space="preserve"> </w:t>
      </w:r>
      <w:r>
        <w:rPr>
          <w:rFonts w:cs="Arial" w:hint="cs"/>
          <w:sz w:val="16"/>
          <w:szCs w:val="16"/>
          <w:rtl/>
        </w:rPr>
        <w:t>(</w:t>
      </w:r>
      <w:r w:rsidRPr="00236BCF">
        <w:rPr>
          <w:rFonts w:cs="Arial" w:hint="cs"/>
          <w:sz w:val="16"/>
          <w:szCs w:val="16"/>
          <w:rtl/>
        </w:rPr>
        <w:t>קידושין סי' תצג</w:t>
      </w:r>
      <w:r>
        <w:rPr>
          <w:rFonts w:cs="Arial" w:hint="cs"/>
          <w:sz w:val="16"/>
          <w:szCs w:val="16"/>
          <w:rtl/>
        </w:rPr>
        <w:t>, כ"כ הדרכ"מ [אות ג] בשמו</w:t>
      </w:r>
      <w:r w:rsidRPr="00236BCF">
        <w:rPr>
          <w:rFonts w:cs="Arial" w:hint="cs"/>
          <w:sz w:val="16"/>
          <w:szCs w:val="16"/>
          <w:rtl/>
        </w:rPr>
        <w:t>)</w:t>
      </w:r>
      <w:r>
        <w:rPr>
          <w:rFonts w:cs="Arial" w:hint="cs"/>
          <w:rtl/>
        </w:rPr>
        <w:t xml:space="preserve"> </w:t>
      </w:r>
      <w:r w:rsidRPr="00892AA5">
        <w:rPr>
          <w:rFonts w:cs="Arial" w:hint="cs"/>
          <w:rtl/>
        </w:rPr>
        <w:t xml:space="preserve">רשב"א </w:t>
      </w:r>
      <w:r w:rsidRPr="00892AA5">
        <w:rPr>
          <w:rFonts w:cs="Arial"/>
          <w:sz w:val="16"/>
          <w:szCs w:val="16"/>
          <w:rtl/>
        </w:rPr>
        <w:t>(נדרים פח. ד"ה והרמב"ם</w:t>
      </w:r>
      <w:r w:rsidRPr="00892AA5">
        <w:rPr>
          <w:rFonts w:cs="Arial" w:hint="cs"/>
          <w:sz w:val="16"/>
          <w:szCs w:val="16"/>
          <w:rtl/>
        </w:rPr>
        <w:t>)</w:t>
      </w:r>
      <w:r>
        <w:rPr>
          <w:rFonts w:cs="Arial" w:hint="cs"/>
          <w:sz w:val="16"/>
          <w:szCs w:val="16"/>
          <w:rtl/>
        </w:rPr>
        <w:t xml:space="preserve"> </w:t>
      </w:r>
      <w:r>
        <w:rPr>
          <w:rFonts w:cs="Arial" w:hint="cs"/>
          <w:rtl/>
        </w:rPr>
        <w:t xml:space="preserve">רא"ש </w:t>
      </w:r>
      <w:r w:rsidRPr="00236BCF">
        <w:rPr>
          <w:rFonts w:cs="Arial"/>
          <w:sz w:val="16"/>
          <w:szCs w:val="16"/>
          <w:rtl/>
        </w:rPr>
        <w:t>(</w:t>
      </w:r>
      <w:r w:rsidRPr="00236BCF">
        <w:rPr>
          <w:rFonts w:cs="Arial" w:hint="cs"/>
          <w:sz w:val="16"/>
          <w:szCs w:val="16"/>
          <w:rtl/>
        </w:rPr>
        <w:t xml:space="preserve">נדרים פ' בתרא </w:t>
      </w:r>
      <w:r w:rsidRPr="00236BCF">
        <w:rPr>
          <w:rFonts w:cs="Arial"/>
          <w:sz w:val="16"/>
          <w:szCs w:val="16"/>
          <w:rtl/>
        </w:rPr>
        <w:t>סי' ה</w:t>
      </w:r>
      <w:r w:rsidRPr="00236BCF">
        <w:rPr>
          <w:rFonts w:cs="Arial" w:hint="cs"/>
          <w:sz w:val="16"/>
          <w:szCs w:val="16"/>
          <w:rtl/>
        </w:rPr>
        <w:t>, ו</w:t>
      </w:r>
      <w:r w:rsidRPr="00236BCF">
        <w:rPr>
          <w:rFonts w:cs="Arial"/>
          <w:sz w:val="16"/>
          <w:szCs w:val="16"/>
          <w:rtl/>
        </w:rPr>
        <w:t>פ"ק דקידושין סי' כט)</w:t>
      </w:r>
      <w:r>
        <w:rPr>
          <w:rFonts w:cs="Arial" w:hint="cs"/>
          <w:rtl/>
        </w:rPr>
        <w:t xml:space="preserve"> וטור.</w:t>
      </w:r>
    </w:p>
  </w:footnote>
  <w:footnote w:id="934">
    <w:p w14:paraId="71D1605E" w14:textId="650941BD" w:rsidR="00DE2F5F" w:rsidRDefault="00DE2F5F">
      <w:pPr>
        <w:pStyle w:val="a5"/>
        <w:rPr>
          <w:rtl/>
        </w:rPr>
      </w:pPr>
      <w:r>
        <w:rPr>
          <w:rStyle w:val="a7"/>
        </w:rPr>
        <w:footnoteRef/>
      </w:r>
      <w:r>
        <w:rPr>
          <w:rtl/>
        </w:rPr>
        <w:t xml:space="preserve"> </w:t>
      </w:r>
      <w:r w:rsidRPr="001B4C81">
        <w:rPr>
          <w:rFonts w:cs="Arial"/>
          <w:rtl/>
        </w:rPr>
        <w:t xml:space="preserve">רב סעדיה גאון </w:t>
      </w:r>
      <w:r w:rsidRPr="001B4C81">
        <w:rPr>
          <w:rFonts w:cs="Arial" w:hint="cs"/>
          <w:sz w:val="16"/>
          <w:szCs w:val="16"/>
          <w:rtl/>
        </w:rPr>
        <w:t>(</w:t>
      </w:r>
      <w:r w:rsidRPr="001B4C81">
        <w:rPr>
          <w:rFonts w:cs="Arial"/>
          <w:sz w:val="16"/>
          <w:szCs w:val="16"/>
          <w:rtl/>
        </w:rPr>
        <w:t>ספר המתנות</w:t>
      </w:r>
      <w:r w:rsidRPr="001B4C81">
        <w:rPr>
          <w:rFonts w:cs="Arial" w:hint="cs"/>
          <w:sz w:val="16"/>
          <w:szCs w:val="16"/>
          <w:rtl/>
        </w:rPr>
        <w:t>, כ"כ בשמו הרמב"ן הרשב"א הה"מ והר"ן)</w:t>
      </w:r>
      <w:r w:rsidRPr="001B4C81">
        <w:rPr>
          <w:rFonts w:cs="Arial"/>
          <w:sz w:val="16"/>
          <w:szCs w:val="16"/>
          <w:rtl/>
        </w:rPr>
        <w:t xml:space="preserve"> </w:t>
      </w:r>
      <w:r>
        <w:rPr>
          <w:rFonts w:cs="Arial" w:hint="cs"/>
          <w:rtl/>
        </w:rPr>
        <w:t xml:space="preserve">רב עמרם גאון </w:t>
      </w:r>
      <w:r w:rsidRPr="001B4C81">
        <w:rPr>
          <w:rFonts w:cs="Arial" w:hint="cs"/>
          <w:sz w:val="16"/>
          <w:szCs w:val="16"/>
          <w:rtl/>
        </w:rPr>
        <w:t xml:space="preserve">(כ"כ בשמו </w:t>
      </w:r>
      <w:r w:rsidRPr="001B4C81">
        <w:rPr>
          <w:rFonts w:cs="Arial"/>
          <w:sz w:val="16"/>
          <w:szCs w:val="16"/>
          <w:rtl/>
        </w:rPr>
        <w:t>רב שמואל הלוי הנגיד</w:t>
      </w:r>
      <w:r w:rsidRPr="001B4C81">
        <w:rPr>
          <w:rFonts w:cs="Arial" w:hint="cs"/>
          <w:sz w:val="16"/>
          <w:szCs w:val="16"/>
          <w:rtl/>
        </w:rPr>
        <w:t>, הביאו הרמב"ן הרשב"א הה"מ והר"ן)</w:t>
      </w:r>
      <w:r w:rsidRPr="001B4C81">
        <w:rPr>
          <w:rFonts w:hint="cs"/>
          <w:rtl/>
        </w:rPr>
        <w:t xml:space="preserve"> </w:t>
      </w:r>
      <w:r>
        <w:rPr>
          <w:rFonts w:hint="cs"/>
          <w:rtl/>
        </w:rPr>
        <w:t xml:space="preserve">רמב"ם </w:t>
      </w:r>
      <w:r>
        <w:rPr>
          <w:rFonts w:cs="Arial" w:hint="cs"/>
          <w:sz w:val="16"/>
          <w:szCs w:val="16"/>
          <w:rtl/>
        </w:rPr>
        <w:t>(פ"ג מזכיה ומתנה הי"ג, כ"כ הרשב"א הה"מ והר"ן בשמו)</w:t>
      </w:r>
      <w:r>
        <w:rPr>
          <w:rFonts w:hint="cs"/>
          <w:rtl/>
        </w:rPr>
        <w:t xml:space="preserve"> רמב"ן </w:t>
      </w:r>
      <w:r w:rsidRPr="001B4C81">
        <w:rPr>
          <w:rFonts w:cs="Arial"/>
          <w:sz w:val="16"/>
          <w:szCs w:val="16"/>
          <w:rtl/>
        </w:rPr>
        <w:t>(קידושין כג: ד"ה ורבי)</w:t>
      </w:r>
      <w:r>
        <w:rPr>
          <w:rFonts w:hint="cs"/>
          <w:rtl/>
        </w:rPr>
        <w:t xml:space="preserve"> והה"מ</w:t>
      </w:r>
      <w:r>
        <w:rPr>
          <w:rFonts w:hint="cs"/>
          <w:sz w:val="16"/>
          <w:szCs w:val="16"/>
          <w:rtl/>
        </w:rPr>
        <w:t xml:space="preserve"> (שם)</w:t>
      </w:r>
      <w:r>
        <w:rPr>
          <w:rFonts w:hint="cs"/>
          <w:rtl/>
        </w:rPr>
        <w:t>.</w:t>
      </w:r>
    </w:p>
  </w:footnote>
  <w:footnote w:id="935">
    <w:p w14:paraId="08EE7B93" w14:textId="77777777" w:rsidR="00DE2F5F" w:rsidRDefault="00DE2F5F" w:rsidP="00F93ED8">
      <w:pPr>
        <w:pStyle w:val="a5"/>
      </w:pPr>
      <w:r>
        <w:rPr>
          <w:rStyle w:val="a7"/>
        </w:rPr>
        <w:footnoteRef/>
      </w:r>
      <w:r>
        <w:rPr>
          <w:rtl/>
        </w:rPr>
        <w:t xml:space="preserve"> </w:t>
      </w:r>
      <w:r>
        <w:rPr>
          <w:rFonts w:cs="Arial"/>
          <w:rtl/>
        </w:rPr>
        <w:t xml:space="preserve">ר"ת </w:t>
      </w:r>
      <w:r w:rsidRPr="00236BCF">
        <w:rPr>
          <w:rFonts w:cs="Arial"/>
          <w:sz w:val="16"/>
          <w:szCs w:val="16"/>
          <w:rtl/>
        </w:rPr>
        <w:t>(</w:t>
      </w:r>
      <w:r w:rsidRPr="00236BCF">
        <w:rPr>
          <w:rFonts w:cs="Arial" w:hint="cs"/>
          <w:sz w:val="16"/>
          <w:szCs w:val="16"/>
          <w:rtl/>
        </w:rPr>
        <w:t>ב</w:t>
      </w:r>
      <w:r w:rsidRPr="00236BCF">
        <w:rPr>
          <w:rFonts w:cs="Arial"/>
          <w:sz w:val="16"/>
          <w:szCs w:val="16"/>
          <w:rtl/>
        </w:rPr>
        <w:t xml:space="preserve">תוס' קידושין כג: ד"ה ורבי) </w:t>
      </w:r>
      <w:r>
        <w:rPr>
          <w:rFonts w:cs="Arial"/>
          <w:rtl/>
        </w:rPr>
        <w:t>ראב"</w:t>
      </w:r>
      <w:r>
        <w:rPr>
          <w:rFonts w:cs="Arial" w:hint="cs"/>
          <w:rtl/>
        </w:rPr>
        <w:t>ד</w:t>
      </w:r>
      <w:r>
        <w:rPr>
          <w:rFonts w:cs="Arial"/>
          <w:rtl/>
        </w:rPr>
        <w:t xml:space="preserve"> </w:t>
      </w:r>
      <w:r w:rsidRPr="00236BCF">
        <w:rPr>
          <w:rFonts w:cs="Arial"/>
          <w:sz w:val="16"/>
          <w:szCs w:val="16"/>
          <w:rtl/>
        </w:rPr>
        <w:t>(בהשגות פ"ז מנדרים הי"ז</w:t>
      </w:r>
      <w:r>
        <w:rPr>
          <w:rFonts w:cs="Arial" w:hint="cs"/>
          <w:sz w:val="16"/>
          <w:szCs w:val="16"/>
          <w:rtl/>
        </w:rPr>
        <w:t>, כ"כ בשמו הרשב"א והר"ן</w:t>
      </w:r>
      <w:r w:rsidRPr="00236BCF">
        <w:rPr>
          <w:rFonts w:cs="Arial"/>
          <w:sz w:val="16"/>
          <w:szCs w:val="16"/>
          <w:rtl/>
        </w:rPr>
        <w:t>)</w:t>
      </w:r>
      <w:r w:rsidRPr="00236BCF">
        <w:rPr>
          <w:rFonts w:cs="Arial" w:hint="cs"/>
          <w:rtl/>
        </w:rPr>
        <w:t xml:space="preserve"> </w:t>
      </w:r>
      <w:r>
        <w:rPr>
          <w:rFonts w:cs="Arial" w:hint="cs"/>
          <w:rtl/>
        </w:rPr>
        <w:t>מרדכי</w:t>
      </w:r>
      <w:r w:rsidRPr="00236BCF">
        <w:rPr>
          <w:rFonts w:cs="Arial" w:hint="cs"/>
          <w:sz w:val="16"/>
          <w:szCs w:val="16"/>
          <w:rtl/>
        </w:rPr>
        <w:t xml:space="preserve"> </w:t>
      </w:r>
      <w:r>
        <w:rPr>
          <w:rFonts w:cs="Arial" w:hint="cs"/>
          <w:sz w:val="16"/>
          <w:szCs w:val="16"/>
          <w:rtl/>
        </w:rPr>
        <w:t>(</w:t>
      </w:r>
      <w:r w:rsidRPr="00236BCF">
        <w:rPr>
          <w:rFonts w:cs="Arial" w:hint="cs"/>
          <w:sz w:val="16"/>
          <w:szCs w:val="16"/>
          <w:rtl/>
        </w:rPr>
        <w:t>קידושין סי' תצג</w:t>
      </w:r>
      <w:r>
        <w:rPr>
          <w:rFonts w:cs="Arial" w:hint="cs"/>
          <w:sz w:val="16"/>
          <w:szCs w:val="16"/>
          <w:rtl/>
        </w:rPr>
        <w:t>, כ"כ הדרכ"מ [אות ג] בשמו</w:t>
      </w:r>
      <w:r w:rsidRPr="00236BCF">
        <w:rPr>
          <w:rFonts w:cs="Arial" w:hint="cs"/>
          <w:sz w:val="16"/>
          <w:szCs w:val="16"/>
          <w:rtl/>
        </w:rPr>
        <w:t>)</w:t>
      </w:r>
      <w:r>
        <w:rPr>
          <w:rFonts w:cs="Arial" w:hint="cs"/>
          <w:rtl/>
        </w:rPr>
        <w:t xml:space="preserve"> </w:t>
      </w:r>
      <w:r w:rsidRPr="00892AA5">
        <w:rPr>
          <w:rFonts w:cs="Arial" w:hint="cs"/>
          <w:rtl/>
        </w:rPr>
        <w:t xml:space="preserve">רשב"א </w:t>
      </w:r>
      <w:r w:rsidRPr="00892AA5">
        <w:rPr>
          <w:rFonts w:cs="Arial"/>
          <w:sz w:val="16"/>
          <w:szCs w:val="16"/>
          <w:rtl/>
        </w:rPr>
        <w:t>(נדרים פח. ד"ה והרמב"ם</w:t>
      </w:r>
      <w:r w:rsidRPr="00892AA5">
        <w:rPr>
          <w:rFonts w:cs="Arial" w:hint="cs"/>
          <w:sz w:val="16"/>
          <w:szCs w:val="16"/>
          <w:rtl/>
        </w:rPr>
        <w:t>)</w:t>
      </w:r>
      <w:r>
        <w:rPr>
          <w:rFonts w:cs="Arial" w:hint="cs"/>
          <w:sz w:val="16"/>
          <w:szCs w:val="16"/>
          <w:rtl/>
        </w:rPr>
        <w:t xml:space="preserve"> </w:t>
      </w:r>
      <w:r>
        <w:rPr>
          <w:rFonts w:cs="Arial" w:hint="cs"/>
          <w:rtl/>
        </w:rPr>
        <w:t xml:space="preserve">רא"ש </w:t>
      </w:r>
      <w:r w:rsidRPr="00236BCF">
        <w:rPr>
          <w:rFonts w:cs="Arial"/>
          <w:sz w:val="16"/>
          <w:szCs w:val="16"/>
          <w:rtl/>
        </w:rPr>
        <w:t>(</w:t>
      </w:r>
      <w:r w:rsidRPr="00236BCF">
        <w:rPr>
          <w:rFonts w:cs="Arial" w:hint="cs"/>
          <w:sz w:val="16"/>
          <w:szCs w:val="16"/>
          <w:rtl/>
        </w:rPr>
        <w:t xml:space="preserve">נדרים פ' בתרא </w:t>
      </w:r>
      <w:r w:rsidRPr="00236BCF">
        <w:rPr>
          <w:rFonts w:cs="Arial"/>
          <w:sz w:val="16"/>
          <w:szCs w:val="16"/>
          <w:rtl/>
        </w:rPr>
        <w:t>סי' ה</w:t>
      </w:r>
      <w:r w:rsidRPr="00236BCF">
        <w:rPr>
          <w:rFonts w:cs="Arial" w:hint="cs"/>
          <w:sz w:val="16"/>
          <w:szCs w:val="16"/>
          <w:rtl/>
        </w:rPr>
        <w:t>, ו</w:t>
      </w:r>
      <w:r w:rsidRPr="00236BCF">
        <w:rPr>
          <w:rFonts w:cs="Arial"/>
          <w:sz w:val="16"/>
          <w:szCs w:val="16"/>
          <w:rtl/>
        </w:rPr>
        <w:t>פ"ק דקידושין סי' כט)</w:t>
      </w:r>
      <w:r>
        <w:rPr>
          <w:rFonts w:cs="Arial" w:hint="cs"/>
          <w:rtl/>
        </w:rPr>
        <w:t xml:space="preserve"> וטור.</w:t>
      </w:r>
    </w:p>
  </w:footnote>
  <w:footnote w:id="936">
    <w:p w14:paraId="00A23469" w14:textId="29D55665" w:rsidR="00DE2F5F" w:rsidRDefault="00DE2F5F">
      <w:pPr>
        <w:pStyle w:val="a5"/>
      </w:pPr>
      <w:r>
        <w:rPr>
          <w:rStyle w:val="a7"/>
        </w:rPr>
        <w:footnoteRef/>
      </w:r>
      <w:r>
        <w:rPr>
          <w:rtl/>
        </w:rPr>
        <w:t xml:space="preserve"> </w:t>
      </w:r>
      <w:r w:rsidRPr="006B4DCF">
        <w:rPr>
          <w:rFonts w:cs="Arial"/>
          <w:rtl/>
        </w:rPr>
        <w:t>ר"ת והראב"ד פסקו כרב משום דגבי נדרים איתשיל קמייהו והוי לה איסורי וקי"ל כרב באיסורי, ועוד דהא אקשינן ופרקינן דשמעתין אליבא דרב דאלמא הלכתא כותיה</w:t>
      </w:r>
      <w:r>
        <w:rPr>
          <w:rFonts w:cs="Arial" w:hint="cs"/>
          <w:rtl/>
        </w:rPr>
        <w:t>...</w:t>
      </w:r>
      <w:r w:rsidRPr="006B4DCF">
        <w:rPr>
          <w:rFonts w:cs="Arial"/>
          <w:rtl/>
        </w:rPr>
        <w:t xml:space="preserve"> ובפ"ק דקדושין הארכתי בה יותר בס"ד, ונראין דברי ר"ת והראב"ד ז"ל דקי"ל כרב דאיסורי נינהו, וסוגיא דשמעתין כותי'</w:t>
      </w:r>
      <w:r>
        <w:rPr>
          <w:rFonts w:cs="Arial" w:hint="cs"/>
          <w:rtl/>
        </w:rPr>
        <w:t>, רשב"א (שם).</w:t>
      </w:r>
    </w:p>
  </w:footnote>
  <w:footnote w:id="937">
    <w:p w14:paraId="0B96ED6D" w14:textId="03F49AD4" w:rsidR="00DE2F5F" w:rsidRDefault="00DE2F5F">
      <w:pPr>
        <w:pStyle w:val="a5"/>
      </w:pPr>
      <w:r>
        <w:rPr>
          <w:rStyle w:val="a7"/>
        </w:rPr>
        <w:footnoteRef/>
      </w:r>
      <w:r>
        <w:rPr>
          <w:rtl/>
        </w:rPr>
        <w:t xml:space="preserve"> </w:t>
      </w:r>
      <w:r>
        <w:rPr>
          <w:rFonts w:hint="cs"/>
          <w:rtl/>
        </w:rPr>
        <w:t xml:space="preserve">וכתב הב"ש (סקכ"ג) דלשיטת הרמב"ן באמת בדבר אחד סגי, היינו </w:t>
      </w:r>
      <w:r w:rsidRPr="00D37159">
        <w:rPr>
          <w:rFonts w:cs="Arial"/>
          <w:rtl/>
        </w:rPr>
        <w:t xml:space="preserve">אפילו אמר סתם </w:t>
      </w:r>
      <w:r>
        <w:rPr>
          <w:rFonts w:cs="Arial" w:hint="cs"/>
          <w:rtl/>
        </w:rPr>
        <w:t>'</w:t>
      </w:r>
      <w:r w:rsidRPr="00D37159">
        <w:rPr>
          <w:rFonts w:cs="Arial"/>
          <w:rtl/>
        </w:rPr>
        <w:t>ע</w:t>
      </w:r>
      <w:r>
        <w:rPr>
          <w:rFonts w:cs="Arial" w:hint="cs"/>
          <w:rtl/>
        </w:rPr>
        <w:t xml:space="preserve">ל </w:t>
      </w:r>
      <w:r w:rsidRPr="00D37159">
        <w:rPr>
          <w:rFonts w:cs="Arial"/>
          <w:rtl/>
        </w:rPr>
        <w:t>מ</w:t>
      </w:r>
      <w:r>
        <w:rPr>
          <w:rFonts w:cs="Arial" w:hint="cs"/>
          <w:rtl/>
        </w:rPr>
        <w:t>נת</w:t>
      </w:r>
      <w:r w:rsidRPr="00D37159">
        <w:rPr>
          <w:rFonts w:cs="Arial"/>
          <w:rtl/>
        </w:rPr>
        <w:t xml:space="preserve"> שאין לבעל רשות</w:t>
      </w:r>
      <w:r>
        <w:rPr>
          <w:rFonts w:cs="Arial" w:hint="cs"/>
          <w:rtl/>
        </w:rPr>
        <w:t>'</w:t>
      </w:r>
      <w:r w:rsidRPr="00D37159">
        <w:rPr>
          <w:rFonts w:cs="Arial"/>
          <w:rtl/>
        </w:rPr>
        <w:t xml:space="preserve"> </w:t>
      </w:r>
      <w:r>
        <w:rPr>
          <w:rFonts w:cs="Arial" w:hint="cs"/>
          <w:rtl/>
        </w:rPr>
        <w:t xml:space="preserve">- </w:t>
      </w:r>
      <w:r w:rsidRPr="00D37159">
        <w:rPr>
          <w:rFonts w:cs="Arial"/>
          <w:rtl/>
        </w:rPr>
        <w:t>מהני</w:t>
      </w:r>
      <w:r>
        <w:rPr>
          <w:rFonts w:cs="Arial" w:hint="cs"/>
          <w:rtl/>
        </w:rPr>
        <w:t>...</w:t>
      </w:r>
      <w:r w:rsidRPr="00D37159">
        <w:rPr>
          <w:rFonts w:cs="Arial"/>
          <w:rtl/>
        </w:rPr>
        <w:t xml:space="preserve"> וכן אם אמר </w:t>
      </w:r>
      <w:r>
        <w:rPr>
          <w:rFonts w:cs="Arial" w:hint="cs"/>
          <w:rtl/>
        </w:rPr>
        <w:t>'</w:t>
      </w:r>
      <w:r w:rsidRPr="00D37159">
        <w:rPr>
          <w:rFonts w:cs="Arial"/>
          <w:rtl/>
        </w:rPr>
        <w:t>מה שתרצה עשה לבד</w:t>
      </w:r>
      <w:r>
        <w:rPr>
          <w:rFonts w:cs="Arial" w:hint="cs"/>
          <w:rtl/>
        </w:rPr>
        <w:t>' -</w:t>
      </w:r>
      <w:r w:rsidRPr="00D37159">
        <w:rPr>
          <w:rFonts w:cs="Arial"/>
          <w:rtl/>
        </w:rPr>
        <w:t xml:space="preserve"> נמי מהני</w:t>
      </w:r>
      <w:r>
        <w:rPr>
          <w:rFonts w:cs="Arial" w:hint="cs"/>
          <w:rtl/>
        </w:rPr>
        <w:t xml:space="preserve">. וכתב שכן דעת </w:t>
      </w:r>
      <w:r w:rsidRPr="00D37159">
        <w:rPr>
          <w:rFonts w:cs="Arial"/>
          <w:rtl/>
        </w:rPr>
        <w:t>הר"ש בשם ר"ע הגאון</w:t>
      </w:r>
      <w:r>
        <w:rPr>
          <w:rFonts w:cs="Arial" w:hint="cs"/>
          <w:rtl/>
        </w:rPr>
        <w:t>.</w:t>
      </w:r>
    </w:p>
  </w:footnote>
  <w:footnote w:id="938">
    <w:p w14:paraId="6790AF2E" w14:textId="0109C38F" w:rsidR="00DE2F5F" w:rsidRDefault="00DE2F5F">
      <w:pPr>
        <w:pStyle w:val="a5"/>
      </w:pPr>
      <w:r>
        <w:rPr>
          <w:rStyle w:val="a7"/>
        </w:rPr>
        <w:footnoteRef/>
      </w:r>
      <w:r>
        <w:rPr>
          <w:rtl/>
        </w:rPr>
        <w:t xml:space="preserve"> </w:t>
      </w:r>
      <w:r w:rsidRPr="00D37159">
        <w:rPr>
          <w:rFonts w:cs="Arial"/>
          <w:rtl/>
        </w:rPr>
        <w:t>ואני תמה על הכרעה זו נגד רבותינו בעלי התוספות והסכימו עמהם הרא"ש ומהר"ם וראבי"ה והראב"ד ובפרט אם הבעל מוחזק ועיין בי"ד סי' רכ"ב</w:t>
      </w:r>
      <w:r>
        <w:rPr>
          <w:rFonts w:cs="Arial" w:hint="cs"/>
          <w:rtl/>
        </w:rPr>
        <w:t>, ח"מ (סקכ"ו).</w:t>
      </w:r>
    </w:p>
  </w:footnote>
  <w:footnote w:id="939">
    <w:p w14:paraId="29BBA6EA" w14:textId="62E62302" w:rsidR="00DE2F5F" w:rsidRDefault="00DE2F5F" w:rsidP="00560CFB">
      <w:pPr>
        <w:pStyle w:val="a5"/>
      </w:pPr>
      <w:r>
        <w:rPr>
          <w:rStyle w:val="a7"/>
        </w:rPr>
        <w:footnoteRef/>
      </w:r>
      <w:r>
        <w:rPr>
          <w:rtl/>
        </w:rPr>
        <w:t xml:space="preserve"> </w:t>
      </w:r>
      <w:r>
        <w:rPr>
          <w:rFonts w:cs="Arial" w:hint="cs"/>
          <w:rtl/>
        </w:rPr>
        <w:t xml:space="preserve">וגם הרשב"א כתב </w:t>
      </w:r>
      <w:r w:rsidRPr="00892AA5">
        <w:rPr>
          <w:rFonts w:cs="Arial"/>
          <w:sz w:val="16"/>
          <w:szCs w:val="16"/>
          <w:rtl/>
        </w:rPr>
        <w:t>(נדרים פח. ד"ה והרמב"ם</w:t>
      </w:r>
      <w:r w:rsidRPr="00892AA5">
        <w:rPr>
          <w:rFonts w:cs="Arial" w:hint="cs"/>
          <w:sz w:val="16"/>
          <w:szCs w:val="16"/>
          <w:rtl/>
        </w:rPr>
        <w:t>)</w:t>
      </w:r>
      <w:r>
        <w:rPr>
          <w:rFonts w:cs="Arial" w:hint="cs"/>
          <w:sz w:val="16"/>
          <w:szCs w:val="16"/>
          <w:rtl/>
        </w:rPr>
        <w:t xml:space="preserve"> </w:t>
      </w:r>
      <w:r>
        <w:rPr>
          <w:rFonts w:cs="Arial" w:hint="cs"/>
          <w:rtl/>
        </w:rPr>
        <w:t>ד</w:t>
      </w:r>
      <w:r w:rsidRPr="00892AA5">
        <w:rPr>
          <w:rFonts w:cs="Arial"/>
          <w:rtl/>
        </w:rPr>
        <w:t xml:space="preserve">אף לדברי מי שפוסק כשמואל איכא למימר דוקא באומר </w:t>
      </w:r>
      <w:r>
        <w:rPr>
          <w:rFonts w:cs="Arial" w:hint="cs"/>
          <w:rtl/>
        </w:rPr>
        <w:t>'</w:t>
      </w:r>
      <w:r w:rsidRPr="00892AA5">
        <w:rPr>
          <w:rFonts w:cs="Arial"/>
          <w:rtl/>
        </w:rPr>
        <w:t>ע"מ שאין לבעליך רשות בהן ומה שתרצי עשי</w:t>
      </w:r>
      <w:r>
        <w:rPr>
          <w:rFonts w:cs="Arial" w:hint="cs"/>
          <w:rtl/>
        </w:rPr>
        <w:t>'</w:t>
      </w:r>
      <w:r w:rsidRPr="00892AA5">
        <w:rPr>
          <w:rFonts w:cs="Arial"/>
          <w:rtl/>
        </w:rPr>
        <w:t xml:space="preserve"> כדברי הרמב"ם ז"ל, הא ע"מ שאין לבעליך רשות בהן לחוד קנה יתהון בעל </w:t>
      </w:r>
      <w:r w:rsidRPr="00560CFB">
        <w:rPr>
          <w:rFonts w:cs="Arial" w:hint="cs"/>
          <w:sz w:val="16"/>
          <w:szCs w:val="16"/>
          <w:rtl/>
        </w:rPr>
        <w:t>(</w:t>
      </w:r>
      <w:r w:rsidRPr="00560CFB">
        <w:rPr>
          <w:rFonts w:cs="Arial"/>
          <w:sz w:val="16"/>
          <w:szCs w:val="16"/>
          <w:rtl/>
        </w:rPr>
        <w:t>אע</w:t>
      </w:r>
      <w:r w:rsidRPr="00560CFB">
        <w:rPr>
          <w:rFonts w:cs="Arial" w:hint="cs"/>
          <w:sz w:val="16"/>
          <w:szCs w:val="16"/>
          <w:rtl/>
        </w:rPr>
        <w:t>"</w:t>
      </w:r>
      <w:r w:rsidRPr="00560CFB">
        <w:rPr>
          <w:rFonts w:cs="Arial"/>
          <w:sz w:val="16"/>
          <w:szCs w:val="16"/>
          <w:rtl/>
        </w:rPr>
        <w:t>ג דבכולי תלמודא נסיב ע"מ שאין לבעליך רשות בהן לחוד כההיא דאמרינן בפ' בן סורר גבי אינו חייב עד שיאכל משל אביו ומשל אמו אמו מנא לה מה שקנתה אשה קנה בעלה דאקני לה אחר ע"מ שאין לבעליך רשות בהן, וכן בנזיר פרק מי שאמר הריני נזיר גבי אם משלה היתה הבהמה וכו' מנא לה מה שקנתה אשה קנה בעלה ומתרץ נמי כגון שנתן לה אחר ע"מ שאין לבעלה רשות בה, אפ"ה לאו ראיה היא דהתם לאו דוכתא דהאי דינא אי סגי בהאי לישנא בלחוד או עד דלימא לה שאת נושאת ונותנת לתוך פיך וכיוצא בזה או מה שתרצי עשי ורישא דהא מתני' נקט</w:t>
      </w:r>
      <w:r>
        <w:rPr>
          <w:rFonts w:cs="Arial" w:hint="cs"/>
          <w:sz w:val="16"/>
          <w:szCs w:val="16"/>
          <w:rtl/>
        </w:rPr>
        <w:t>)</w:t>
      </w:r>
      <w:r>
        <w:rPr>
          <w:rFonts w:cs="Arial" w:hint="cs"/>
          <w:rtl/>
        </w:rPr>
        <w:t>.</w:t>
      </w:r>
    </w:p>
  </w:footnote>
  <w:footnote w:id="940">
    <w:p w14:paraId="61BF4AEF" w14:textId="02DCF561" w:rsidR="00DE2F5F" w:rsidRDefault="00DE2F5F">
      <w:pPr>
        <w:pStyle w:val="a5"/>
        <w:rPr>
          <w:rtl/>
        </w:rPr>
      </w:pPr>
      <w:r>
        <w:rPr>
          <w:rStyle w:val="a7"/>
        </w:rPr>
        <w:footnoteRef/>
      </w:r>
      <w:r>
        <w:rPr>
          <w:rtl/>
        </w:rPr>
        <w:t xml:space="preserve"> </w:t>
      </w:r>
      <w:r w:rsidRPr="00B91C11">
        <w:rPr>
          <w:rFonts w:cs="Arial"/>
          <w:rtl/>
        </w:rPr>
        <w:t>עיין בתשו' אא"ז פנים מאירות ח"ב סי' ק"ו שכ' דהרב בעל הלבוש נתן בכאן מקום לטעות בדבריו שכ' וז"ל וטעמא דמלתא משום דקיי"ל יד אשה כיד בעלה לפיכך אם נתן לה אחר מתנה סתם מיד שזכתה בה אשה קנאה בעלה דידה כידו וכשמוסיף לומר ע"מ שאין לבעלך רשות בה מוציא הגוף מרשות הבעל אבל הפירות הם שלו כו' ומשמע מדבריו דאם נתן לה מתנה סתם הוי גם הגוף של בעלה דיד אשה כיד בעלה ולא דק כלל בזה כו' ע"ש. וכ' עוד בראובן שנתן שטח"ז לבתו כנהוג ושבק חיים ונטלה הבת חלקה ותבעה שבעלה יקח בחלקה קרקע והוא יאכל פירות כדין נכסי מלוג בכדי שיהיה לה זה יתר על כתובתה ופסקו הדיינים שמחוייב הבעל ליתן לה שטר על הקרן שיהי' לה כדין נכסי מלוג וכ' הוא ז"ל דיפה פסקו דאף אי נימא דהוי כמתנה שנתן לה אחר הרי דעת רוב הפוסקים דלא קנה הבעל לגמרי רק לפירות כמבואר בש"ע כאן ולעיל ס"ז וכן פסק בח"מ סי' רמ"ט ס"ג ובפרט בשטר ח"ז הנהוג דכבר הכריע רמ"א בפ"מ סי' רפ"א דדינו כירושה ובירושה כ"ע מודו דהוי נכסי מלוג ודייני דסמכי פסקו כן</w:t>
      </w:r>
      <w:r>
        <w:rPr>
          <w:rFonts w:hint="cs"/>
          <w:rtl/>
        </w:rPr>
        <w:t>, פת"ש</w:t>
      </w:r>
      <w:r w:rsidRPr="00B91C11">
        <w:rPr>
          <w:rFonts w:hint="cs"/>
          <w:sz w:val="16"/>
          <w:szCs w:val="16"/>
          <w:rtl/>
        </w:rPr>
        <w:t xml:space="preserve"> (סק"א)</w:t>
      </w:r>
      <w:r>
        <w:rPr>
          <w:rFonts w:hint="cs"/>
          <w:rtl/>
        </w:rPr>
        <w:t>.</w:t>
      </w:r>
    </w:p>
  </w:footnote>
  <w:footnote w:id="941">
    <w:p w14:paraId="23E1ED73" w14:textId="61B704FA" w:rsidR="00DE2F5F" w:rsidRDefault="00DE2F5F">
      <w:pPr>
        <w:pStyle w:val="a5"/>
      </w:pPr>
      <w:r>
        <w:rPr>
          <w:rStyle w:val="a7"/>
        </w:rPr>
        <w:footnoteRef/>
      </w:r>
      <w:r>
        <w:rPr>
          <w:rtl/>
        </w:rPr>
        <w:t xml:space="preserve"> </w:t>
      </w:r>
      <w:r w:rsidRPr="00302983">
        <w:rPr>
          <w:rFonts w:cs="Arial"/>
          <w:rtl/>
        </w:rPr>
        <w:t>מיהו אם תפס הבעל נראה די"ל קים לי כשיטת ר"ת והראב"ד ומ'</w:t>
      </w:r>
      <w:r>
        <w:rPr>
          <w:rFonts w:cs="Arial" w:hint="cs"/>
          <w:rtl/>
        </w:rPr>
        <w:t>.</w:t>
      </w:r>
      <w:r w:rsidRPr="00302983">
        <w:rPr>
          <w:rFonts w:cs="Arial"/>
          <w:rtl/>
        </w:rPr>
        <w:t xml:space="preserve"> ובי</w:t>
      </w:r>
      <w:r>
        <w:rPr>
          <w:rFonts w:cs="Arial" w:hint="cs"/>
          <w:rtl/>
        </w:rPr>
        <w:t>ו</w:t>
      </w:r>
      <w:r w:rsidRPr="00302983">
        <w:rPr>
          <w:rFonts w:cs="Arial"/>
          <w:rtl/>
        </w:rPr>
        <w:t>"ד סימן רכ"ב הביא שם דעת תוספת דשם לענין איסור חשש לדעת תוספות ג"כ</w:t>
      </w:r>
      <w:r>
        <w:rPr>
          <w:rFonts w:cs="Arial" w:hint="cs"/>
          <w:rtl/>
        </w:rPr>
        <w:t>.</w:t>
      </w:r>
      <w:r w:rsidRPr="00302983">
        <w:rPr>
          <w:rFonts w:cs="Arial"/>
          <w:rtl/>
        </w:rPr>
        <w:t xml:space="preserve"> ומבואר בה"ת </w:t>
      </w:r>
      <w:r>
        <w:rPr>
          <w:rFonts w:cs="Arial" w:hint="cs"/>
          <w:rtl/>
        </w:rPr>
        <w:t>(</w:t>
      </w:r>
      <w:r w:rsidRPr="00302983">
        <w:rPr>
          <w:rFonts w:cs="Arial"/>
          <w:rtl/>
        </w:rPr>
        <w:t>שער ששי</w:t>
      </w:r>
      <w:r>
        <w:rPr>
          <w:rFonts w:cs="Arial" w:hint="cs"/>
          <w:rtl/>
        </w:rPr>
        <w:t>)</w:t>
      </w:r>
      <w:r w:rsidRPr="00302983">
        <w:rPr>
          <w:rFonts w:cs="Arial"/>
          <w:rtl/>
        </w:rPr>
        <w:t xml:space="preserve"> אם התנה ע"מ מה שתרצ</w:t>
      </w:r>
      <w:r>
        <w:rPr>
          <w:rFonts w:cs="Arial" w:hint="cs"/>
          <w:rtl/>
        </w:rPr>
        <w:t>ה</w:t>
      </w:r>
      <w:r w:rsidRPr="00302983">
        <w:rPr>
          <w:rFonts w:cs="Arial"/>
          <w:rtl/>
        </w:rPr>
        <w:t xml:space="preserve"> תעשה בלא רשות הבעל </w:t>
      </w:r>
      <w:r>
        <w:rPr>
          <w:rFonts w:cs="Arial" w:hint="cs"/>
          <w:rtl/>
        </w:rPr>
        <w:t xml:space="preserve">- </w:t>
      </w:r>
      <w:r w:rsidRPr="00302983">
        <w:rPr>
          <w:rFonts w:cs="Arial"/>
          <w:rtl/>
        </w:rPr>
        <w:t>אינו יורש אותה</w:t>
      </w:r>
      <w:r>
        <w:rPr>
          <w:rFonts w:cs="Arial" w:hint="cs"/>
          <w:rtl/>
        </w:rPr>
        <w:t>,</w:t>
      </w:r>
      <w:r w:rsidRPr="00302983">
        <w:rPr>
          <w:rFonts w:cs="Arial"/>
          <w:rtl/>
        </w:rPr>
        <w:t xml:space="preserve"> והובא נמי בכ"מ</w:t>
      </w:r>
      <w:r>
        <w:rPr>
          <w:rFonts w:cs="Arial" w:hint="cs"/>
          <w:rtl/>
        </w:rPr>
        <w:t>.</w:t>
      </w:r>
      <w:r w:rsidRPr="00302983">
        <w:rPr>
          <w:rFonts w:cs="Arial"/>
          <w:rtl/>
        </w:rPr>
        <w:t xml:space="preserve"> וקצת יש לדייק מרש"י והרא"ש בסוגי' דלעיל דלא ס"ל כן</w:t>
      </w:r>
      <w:r>
        <w:rPr>
          <w:rFonts w:cs="Arial" w:hint="cs"/>
          <w:rtl/>
        </w:rPr>
        <w:t>,</w:t>
      </w:r>
      <w:r w:rsidRPr="00302983">
        <w:rPr>
          <w:rFonts w:cs="Arial"/>
          <w:rtl/>
        </w:rPr>
        <w:t xml:space="preserve"> דהא כתבו אהא אם קבל מן האשה יחזיר לאשה</w:t>
      </w:r>
      <w:r>
        <w:rPr>
          <w:rFonts w:cs="Arial" w:hint="cs"/>
          <w:rtl/>
        </w:rPr>
        <w:t xml:space="preserve"> </w:t>
      </w:r>
      <w:r w:rsidRPr="00302983">
        <w:rPr>
          <w:rFonts w:cs="Arial"/>
          <w:rtl/>
        </w:rPr>
        <w:t>ולא חיישינן שמא נתנו לה ע"מ שאין לבעל רשות משום אף אם נתנו לה יורש אותה</w:t>
      </w:r>
      <w:r>
        <w:rPr>
          <w:rFonts w:cs="Arial" w:hint="cs"/>
          <w:rtl/>
        </w:rPr>
        <w:t>,</w:t>
      </w:r>
      <w:r w:rsidRPr="00302983">
        <w:rPr>
          <w:rFonts w:cs="Arial"/>
          <w:rtl/>
        </w:rPr>
        <w:t xml:space="preserve"> ולמ"ש הבע"ת אכתי קשה שמא נתנו לה בתנאי שאין לו רשות אלא מה שתרצה דאז אינו יורש אותה</w:t>
      </w:r>
      <w:r>
        <w:rPr>
          <w:rFonts w:cs="Arial" w:hint="cs"/>
          <w:rtl/>
        </w:rPr>
        <w:t>,</w:t>
      </w:r>
      <w:r w:rsidRPr="00302983">
        <w:rPr>
          <w:rFonts w:cs="Arial"/>
          <w:rtl/>
        </w:rPr>
        <w:t xml:space="preserve"> וכן ראיתי בהגה' ש"ך שם</w:t>
      </w:r>
      <w:r>
        <w:rPr>
          <w:rFonts w:cs="Arial" w:hint="cs"/>
          <w:rtl/>
        </w:rPr>
        <w:t>, ב"ש (סקכ"ג).</w:t>
      </w:r>
    </w:p>
  </w:footnote>
  <w:footnote w:id="942">
    <w:p w14:paraId="6B4CAA03" w14:textId="778911CF" w:rsidR="00DE2F5F" w:rsidRDefault="00DE2F5F">
      <w:pPr>
        <w:pStyle w:val="a5"/>
      </w:pPr>
      <w:r>
        <w:rPr>
          <w:rStyle w:val="a7"/>
        </w:rPr>
        <w:footnoteRef/>
      </w:r>
      <w:r>
        <w:rPr>
          <w:rtl/>
        </w:rPr>
        <w:t xml:space="preserve"> </w:t>
      </w:r>
      <w:r>
        <w:rPr>
          <w:rFonts w:cs="Arial"/>
          <w:rtl/>
        </w:rPr>
        <w:t>דין זה שהיא נאמנת לומר על מעות שבידה שאינם נכסי מלוג כן מוכיח בירושלמי פרק מציאת האשה (ה"א)</w:t>
      </w:r>
      <w:r>
        <w:rPr>
          <w:rFonts w:cs="Arial" w:hint="cs"/>
          <w:rtl/>
        </w:rPr>
        <w:t>, הה"מ (שם).</w:t>
      </w:r>
    </w:p>
  </w:footnote>
  <w:footnote w:id="943">
    <w:p w14:paraId="66B2BD40" w14:textId="4485A09F" w:rsidR="00DE2F5F" w:rsidRDefault="00DE2F5F">
      <w:pPr>
        <w:pStyle w:val="a5"/>
      </w:pPr>
      <w:r>
        <w:rPr>
          <w:rStyle w:val="a7"/>
        </w:rPr>
        <w:footnoteRef/>
      </w:r>
      <w:r>
        <w:rPr>
          <w:rtl/>
        </w:rPr>
        <w:t xml:space="preserve"> </w:t>
      </w:r>
      <w:r>
        <w:rPr>
          <w:rFonts w:cs="Arial"/>
          <w:rtl/>
        </w:rPr>
        <w:t>אם ירצה</w:t>
      </w:r>
      <w:r w:rsidR="003B3466">
        <w:rPr>
          <w:rFonts w:cs="Arial" w:hint="cs"/>
          <w:rtl/>
        </w:rPr>
        <w:t>.</w:t>
      </w:r>
      <w:r>
        <w:rPr>
          <w:rFonts w:cs="Arial"/>
          <w:rtl/>
        </w:rPr>
        <w:t xml:space="preserve"> אבל היא אינה נשבעת היסת על שמא כנזכר פ"א מהל' טוען (ה"ז)</w:t>
      </w:r>
      <w:r>
        <w:rPr>
          <w:rFonts w:cs="Arial" w:hint="cs"/>
          <w:rtl/>
        </w:rPr>
        <w:t>, הה"מ (שם).</w:t>
      </w:r>
    </w:p>
  </w:footnote>
  <w:footnote w:id="944">
    <w:p w14:paraId="1736D6A9" w14:textId="4D1D120A" w:rsidR="00DE2F5F" w:rsidRDefault="00DE2F5F" w:rsidP="00A376A0">
      <w:pPr>
        <w:pStyle w:val="a5"/>
      </w:pPr>
      <w:r>
        <w:rPr>
          <w:rStyle w:val="a7"/>
        </w:rPr>
        <w:footnoteRef/>
      </w:r>
      <w:r>
        <w:rPr>
          <w:rtl/>
        </w:rPr>
        <w:t xml:space="preserve"> </w:t>
      </w:r>
      <w:r>
        <w:rPr>
          <w:rFonts w:cs="Arial"/>
          <w:rtl/>
        </w:rPr>
        <w:t xml:space="preserve">והביא </w:t>
      </w:r>
      <w:r>
        <w:rPr>
          <w:rFonts w:cs="Arial" w:hint="cs"/>
          <w:rtl/>
        </w:rPr>
        <w:t xml:space="preserve">הרמב"ן </w:t>
      </w:r>
      <w:r>
        <w:rPr>
          <w:rFonts w:cs="Arial"/>
          <w:rtl/>
        </w:rPr>
        <w:t>ראיה מהדין שיתבאר בסמוך (הל</w:t>
      </w:r>
      <w:r>
        <w:rPr>
          <w:rFonts w:cs="Arial" w:hint="cs"/>
          <w:rtl/>
        </w:rPr>
        <w:t>"</w:t>
      </w:r>
      <w:r>
        <w:rPr>
          <w:rFonts w:cs="Arial"/>
          <w:rtl/>
        </w:rPr>
        <w:t>ב</w:t>
      </w:r>
      <w:r>
        <w:rPr>
          <w:rFonts w:cs="Arial" w:hint="cs"/>
          <w:rtl/>
        </w:rPr>
        <w:t xml:space="preserve"> ברמב"ם</w:t>
      </w:r>
      <w:r>
        <w:rPr>
          <w:rFonts w:cs="Arial"/>
          <w:rtl/>
        </w:rPr>
        <w:t>) במי שקיבל פקדון ובשעת מיתה אמרה של פלוני הוא</w:t>
      </w:r>
      <w:r>
        <w:rPr>
          <w:rFonts w:cs="Arial" w:hint="cs"/>
          <w:rtl/>
        </w:rPr>
        <w:t>,</w:t>
      </w:r>
      <w:r>
        <w:rPr>
          <w:rFonts w:cs="Arial"/>
          <w:rtl/>
        </w:rPr>
        <w:t xml:space="preserve"> שאם אינה נאמנת לו</w:t>
      </w:r>
      <w:r>
        <w:rPr>
          <w:rFonts w:cs="Arial" w:hint="cs"/>
          <w:rtl/>
        </w:rPr>
        <w:t>,</w:t>
      </w:r>
      <w:r>
        <w:rPr>
          <w:rFonts w:cs="Arial"/>
          <w:rtl/>
        </w:rPr>
        <w:t xml:space="preserve"> יתן ליורשים</w:t>
      </w:r>
      <w:r>
        <w:rPr>
          <w:rFonts w:cs="Arial" w:hint="cs"/>
          <w:rtl/>
        </w:rPr>
        <w:t>.</w:t>
      </w:r>
      <w:r>
        <w:rPr>
          <w:rFonts w:cs="Arial"/>
          <w:rtl/>
        </w:rPr>
        <w:t xml:space="preserve"> ואם איתא דבחייה היתה יכולה להפקיע מבעלה לגמרי</w:t>
      </w:r>
      <w:r>
        <w:rPr>
          <w:rFonts w:cs="Arial" w:hint="cs"/>
          <w:rtl/>
        </w:rPr>
        <w:t xml:space="preserve"> -</w:t>
      </w:r>
      <w:r>
        <w:rPr>
          <w:rFonts w:cs="Arial"/>
          <w:rtl/>
        </w:rPr>
        <w:t xml:space="preserve"> אפילו מתה יעשו כדבריה מגו דבחייה היתה יכולה להפקיען ממנו</w:t>
      </w:r>
      <w:r>
        <w:rPr>
          <w:rFonts w:cs="Arial" w:hint="cs"/>
          <w:rtl/>
        </w:rPr>
        <w:t>,</w:t>
      </w:r>
      <w:r>
        <w:rPr>
          <w:rFonts w:cs="Arial"/>
          <w:rtl/>
        </w:rPr>
        <w:t xml:space="preserve"> אלא לאו ש"מ שאינה יכולה לומר שלי הם על מנת שאין לבעלי רשות בהם</w:t>
      </w:r>
      <w:r>
        <w:rPr>
          <w:rFonts w:cs="Arial" w:hint="cs"/>
          <w:rtl/>
        </w:rPr>
        <w:t>.</w:t>
      </w:r>
      <w:r>
        <w:rPr>
          <w:rFonts w:cs="Arial"/>
          <w:rtl/>
        </w:rPr>
        <w:t xml:space="preserve"> ויש חולקים בזה ואומרים שהיא נאמנת ודוחים ראיה זו וזה דעת ה</w:t>
      </w:r>
      <w:r w:rsidRPr="00A376A0">
        <w:rPr>
          <w:rFonts w:cs="Arial"/>
          <w:rtl/>
        </w:rPr>
        <w:t>רשב"א</w:t>
      </w:r>
      <w:r>
        <w:rPr>
          <w:rFonts w:cs="Arial" w:hint="cs"/>
          <w:rtl/>
        </w:rPr>
        <w:t xml:space="preserve"> ז"ל</w:t>
      </w:r>
      <w:r w:rsidRPr="00A376A0">
        <w:rPr>
          <w:rFonts w:cs="Arial"/>
          <w:rtl/>
        </w:rPr>
        <w:t xml:space="preserve"> </w:t>
      </w:r>
      <w:r w:rsidRPr="00A376A0">
        <w:rPr>
          <w:rFonts w:cs="Arial"/>
          <w:sz w:val="16"/>
          <w:szCs w:val="16"/>
          <w:rtl/>
        </w:rPr>
        <w:t>(שם ד"ה אין מקבלין)</w:t>
      </w:r>
      <w:r>
        <w:rPr>
          <w:rFonts w:cs="Arial" w:hint="cs"/>
          <w:rtl/>
        </w:rPr>
        <w:t>, הה"מ (שם).</w:t>
      </w:r>
      <w:r w:rsidRPr="00A376A0">
        <w:rPr>
          <w:rFonts w:cs="Arial"/>
          <w:rtl/>
        </w:rPr>
        <w:t xml:space="preserve"> </w:t>
      </w:r>
      <w:r>
        <w:rPr>
          <w:rFonts w:cs="Arial"/>
          <w:rtl/>
        </w:rPr>
        <w:t>וכתב עוד בזה הרב המגיד בפ"ב מהלכות מלוה (ה"ח) ופ"ז מהלכות שאלה ופקדון (ה"י). ונימוק</w:t>
      </w:r>
      <w:r>
        <w:rPr>
          <w:rFonts w:cs="Arial" w:hint="cs"/>
          <w:rtl/>
        </w:rPr>
        <w:t>"</w:t>
      </w:r>
      <w:r>
        <w:rPr>
          <w:rFonts w:cs="Arial"/>
          <w:rtl/>
        </w:rPr>
        <w:t>י כתב בפרק חזקת (כז:) שדעת הריטב"א כדעת הרשב"א</w:t>
      </w:r>
      <w:r>
        <w:rPr>
          <w:rFonts w:hint="cs"/>
          <w:rtl/>
        </w:rPr>
        <w:t xml:space="preserve">, ב"י. וכתב הדרכ"מ (אות </w:t>
      </w:r>
      <w:r w:rsidRPr="007A228B">
        <w:rPr>
          <w:rFonts w:cs="Arial"/>
          <w:rtl/>
        </w:rPr>
        <w:t xml:space="preserve">ד) </w:t>
      </w:r>
      <w:r>
        <w:rPr>
          <w:rFonts w:cs="Arial" w:hint="cs"/>
          <w:rtl/>
        </w:rPr>
        <w:t>ד</w:t>
      </w:r>
      <w:r w:rsidRPr="007A228B">
        <w:rPr>
          <w:rFonts w:cs="Arial"/>
          <w:rtl/>
        </w:rPr>
        <w:t>לקמן סימן פ"ו איתא בשם הר"ש והרא"ש דבמעות שאינן טמונים היא נאמנת ובמעות טמונים אינה נאמנת ועיין לקמן וכ"כ הרשב"א (ח"א) בתשובה סימן תתק"ו דבמעות טמונים אינה נאמנת וכ"כ בשם מקצת המפרשים</w:t>
      </w:r>
      <w:r>
        <w:rPr>
          <w:rFonts w:cs="Arial" w:hint="cs"/>
          <w:rtl/>
        </w:rPr>
        <w:t>.</w:t>
      </w:r>
    </w:p>
  </w:footnote>
  <w:footnote w:id="945">
    <w:p w14:paraId="73A601F2" w14:textId="6561CD5D" w:rsidR="00DE2F5F" w:rsidRDefault="00DE2F5F">
      <w:pPr>
        <w:pStyle w:val="a5"/>
        <w:rPr>
          <w:rtl/>
        </w:rPr>
      </w:pPr>
      <w:r>
        <w:rPr>
          <w:rStyle w:val="a7"/>
        </w:rPr>
        <w:footnoteRef/>
      </w:r>
      <w:r>
        <w:rPr>
          <w:rtl/>
        </w:rPr>
        <w:t xml:space="preserve"> </w:t>
      </w:r>
      <w:r>
        <w:rPr>
          <w:rFonts w:cs="Arial"/>
          <w:rtl/>
        </w:rPr>
        <w:t>דעת רבינו הוא שאע"פ שאינה נאמנת לומר אחר נתנם לי</w:t>
      </w:r>
      <w:r w:rsidR="003B3466">
        <w:rPr>
          <w:rFonts w:cs="Arial" w:hint="cs"/>
          <w:rtl/>
        </w:rPr>
        <w:t>,</w:t>
      </w:r>
      <w:r>
        <w:rPr>
          <w:rFonts w:cs="Arial"/>
          <w:rtl/>
        </w:rPr>
        <w:t xml:space="preserve"> כשטוענת בריא אתה נתתם לי</w:t>
      </w:r>
      <w:r w:rsidR="003B3466">
        <w:rPr>
          <w:rFonts w:cs="Arial" w:hint="cs"/>
          <w:rtl/>
        </w:rPr>
        <w:t xml:space="preserve"> -</w:t>
      </w:r>
      <w:r>
        <w:rPr>
          <w:rFonts w:cs="Arial"/>
          <w:rtl/>
        </w:rPr>
        <w:t xml:space="preserve"> נאמנת</w:t>
      </w:r>
      <w:r w:rsidR="003B3466">
        <w:rPr>
          <w:rFonts w:cs="Arial" w:hint="cs"/>
          <w:rtl/>
        </w:rPr>
        <w:t>,</w:t>
      </w:r>
      <w:r>
        <w:rPr>
          <w:rFonts w:cs="Arial"/>
          <w:rtl/>
        </w:rPr>
        <w:t xml:space="preserve"> לפי שאין האשה מעיזה פניה בפני בעלה בכל דבר שהוא יודע האמת כמוה</w:t>
      </w:r>
      <w:r w:rsidR="003B3466">
        <w:rPr>
          <w:rFonts w:cs="Arial" w:hint="cs"/>
          <w:rtl/>
        </w:rPr>
        <w:t>.</w:t>
      </w:r>
      <w:r>
        <w:rPr>
          <w:rFonts w:cs="Arial"/>
          <w:rtl/>
        </w:rPr>
        <w:t xml:space="preserve"> וכתב רבינו כאן שנשבעת היסת לפי שהבעל טוען בריא והיא מוחזקת ונשבעת היסת כדין כופר בכל</w:t>
      </w:r>
      <w:r>
        <w:rPr>
          <w:rFonts w:hint="cs"/>
          <w:rtl/>
        </w:rPr>
        <w:t>, הה"מ (שם).</w:t>
      </w:r>
    </w:p>
  </w:footnote>
  <w:footnote w:id="946">
    <w:p w14:paraId="47395ACC" w14:textId="7122D3D2" w:rsidR="00DE2F5F" w:rsidRDefault="00DE2F5F">
      <w:pPr>
        <w:pStyle w:val="a5"/>
      </w:pPr>
      <w:r>
        <w:rPr>
          <w:rStyle w:val="a7"/>
        </w:rPr>
        <w:footnoteRef/>
      </w:r>
      <w:r>
        <w:rPr>
          <w:rtl/>
        </w:rPr>
        <w:t xml:space="preserve"> </w:t>
      </w:r>
      <w:r w:rsidR="00433FB2" w:rsidRPr="00CB751C">
        <w:rPr>
          <w:rFonts w:cs="Arial"/>
          <w:rtl/>
        </w:rPr>
        <w:t>ומיהו משמע מדבריו דהני מילי כשאינה נושאת ונותנת בתוך הבית</w:t>
      </w:r>
      <w:r w:rsidR="00433FB2">
        <w:rPr>
          <w:rFonts w:cs="Arial" w:hint="cs"/>
          <w:rtl/>
        </w:rPr>
        <w:t>,</w:t>
      </w:r>
      <w:r w:rsidR="00433FB2" w:rsidRPr="00CB751C">
        <w:rPr>
          <w:rFonts w:cs="Arial"/>
          <w:rtl/>
        </w:rPr>
        <w:t xml:space="preserve"> אבל אם היא נושאת ונותנת בתוך הבית </w:t>
      </w:r>
      <w:r w:rsidR="00433FB2" w:rsidRPr="00CB751C">
        <w:rPr>
          <w:rFonts w:cs="Arial" w:hint="cs"/>
          <w:rtl/>
        </w:rPr>
        <w:t xml:space="preserve">- </w:t>
      </w:r>
      <w:r w:rsidR="00433FB2" w:rsidRPr="00CB751C">
        <w:rPr>
          <w:rFonts w:cs="Arial"/>
          <w:rtl/>
        </w:rPr>
        <w:t>אינה נאמנת</w:t>
      </w:r>
      <w:r w:rsidR="00433FB2">
        <w:rPr>
          <w:rFonts w:cs="Arial" w:hint="cs"/>
          <w:rtl/>
        </w:rPr>
        <w:t xml:space="preserve">, </w:t>
      </w:r>
      <w:r w:rsidR="00433FB2" w:rsidRPr="00433FB2">
        <w:rPr>
          <w:rFonts w:cs="Arial" w:hint="cs"/>
          <w:b/>
          <w:bCs/>
          <w:rtl/>
        </w:rPr>
        <w:t>ב"י</w:t>
      </w:r>
      <w:r w:rsidR="00433FB2">
        <w:rPr>
          <w:rFonts w:cs="Arial" w:hint="cs"/>
          <w:rtl/>
        </w:rPr>
        <w:t>.</w:t>
      </w:r>
      <w:r w:rsidR="00433FB2">
        <w:rPr>
          <w:rFonts w:cs="Arial"/>
          <w:rtl/>
        </w:rPr>
        <w:t xml:space="preserve"> </w:t>
      </w:r>
      <w:r w:rsidR="00433FB2">
        <w:rPr>
          <w:rFonts w:cs="Arial" w:hint="cs"/>
          <w:rtl/>
        </w:rPr>
        <w:t xml:space="preserve">    </w:t>
      </w:r>
      <w:r w:rsidRPr="007A228B">
        <w:rPr>
          <w:rFonts w:cs="Arial"/>
          <w:rtl/>
        </w:rPr>
        <w:t>וכן הוא לקמן סי' פו</w:t>
      </w:r>
      <w:r>
        <w:rPr>
          <w:rFonts w:cs="Arial" w:hint="cs"/>
          <w:rtl/>
        </w:rPr>
        <w:t xml:space="preserve">, </w:t>
      </w:r>
      <w:r w:rsidRPr="00433FB2">
        <w:rPr>
          <w:rFonts w:cs="Arial" w:hint="cs"/>
          <w:b/>
          <w:bCs/>
          <w:rtl/>
        </w:rPr>
        <w:t>דרכ"מ</w:t>
      </w:r>
      <w:r>
        <w:rPr>
          <w:rFonts w:cs="Arial" w:hint="cs"/>
          <w:rtl/>
        </w:rPr>
        <w:t xml:space="preserve"> (אות ה).</w:t>
      </w:r>
    </w:p>
  </w:footnote>
  <w:footnote w:id="947">
    <w:p w14:paraId="389C6406" w14:textId="540FE145" w:rsidR="00DE2F5F" w:rsidRDefault="00DE2F5F">
      <w:pPr>
        <w:pStyle w:val="a5"/>
      </w:pPr>
      <w:r>
        <w:rPr>
          <w:rStyle w:val="a7"/>
        </w:rPr>
        <w:footnoteRef/>
      </w:r>
      <w:r>
        <w:rPr>
          <w:rtl/>
        </w:rPr>
        <w:t xml:space="preserve"> </w:t>
      </w:r>
      <w:r w:rsidRPr="00991894">
        <w:rPr>
          <w:rFonts w:cs="Arial"/>
          <w:rtl/>
        </w:rPr>
        <w:t>כלומר שמא מעשה ידיך הם</w:t>
      </w:r>
      <w:r w:rsidR="00F34677">
        <w:rPr>
          <w:rFonts w:cs="Arial" w:hint="cs"/>
          <w:rtl/>
        </w:rPr>
        <w:t>,</w:t>
      </w:r>
      <w:r w:rsidRPr="00991894">
        <w:rPr>
          <w:rFonts w:cs="Arial"/>
          <w:rtl/>
        </w:rPr>
        <w:t xml:space="preserve"> ע</w:t>
      </w:r>
      <w:r w:rsidR="00F34677">
        <w:rPr>
          <w:rFonts w:cs="Arial" w:hint="cs"/>
          <w:rtl/>
        </w:rPr>
        <w:t>ל כן</w:t>
      </w:r>
      <w:r w:rsidRPr="00991894">
        <w:rPr>
          <w:rFonts w:cs="Arial"/>
          <w:rtl/>
        </w:rPr>
        <w:t xml:space="preserve"> אין לו עליה רק חרם סתם</w:t>
      </w:r>
      <w:r w:rsidR="00F34677">
        <w:rPr>
          <w:rFonts w:cs="Arial" w:hint="cs"/>
          <w:rtl/>
        </w:rPr>
        <w:t>.</w:t>
      </w:r>
      <w:r w:rsidRPr="00991894">
        <w:rPr>
          <w:rFonts w:cs="Arial"/>
          <w:rtl/>
        </w:rPr>
        <w:t xml:space="preserve"> אבל אם היה טוען ברי </w:t>
      </w:r>
      <w:r w:rsidR="00F34677">
        <w:rPr>
          <w:rFonts w:cs="Arial" w:hint="cs"/>
          <w:rtl/>
        </w:rPr>
        <w:t xml:space="preserve">- </w:t>
      </w:r>
      <w:r w:rsidRPr="00991894">
        <w:rPr>
          <w:rFonts w:cs="Arial"/>
          <w:rtl/>
        </w:rPr>
        <w:t>היתה צריכה לישבע היסת</w:t>
      </w:r>
      <w:r>
        <w:rPr>
          <w:rFonts w:cs="Arial" w:hint="cs"/>
          <w:rtl/>
        </w:rPr>
        <w:t>, ח"מ (סקכ"ז).</w:t>
      </w:r>
    </w:p>
  </w:footnote>
  <w:footnote w:id="948">
    <w:p w14:paraId="1A845851" w14:textId="008EE0B1" w:rsidR="00DE2F5F" w:rsidRDefault="00DE2F5F">
      <w:pPr>
        <w:pStyle w:val="a5"/>
      </w:pPr>
      <w:r>
        <w:rPr>
          <w:rStyle w:val="a7"/>
        </w:rPr>
        <w:footnoteRef/>
      </w:r>
      <w:r>
        <w:rPr>
          <w:rtl/>
        </w:rPr>
        <w:t xml:space="preserve"> </w:t>
      </w:r>
      <w:r w:rsidRPr="00950C56">
        <w:rPr>
          <w:rFonts w:cs="Arial"/>
          <w:rtl/>
        </w:rPr>
        <w:t>שאין יכולת בידה להפקיע מבעלה לגמרי וכל ממון הנמצא ביד האשה הוא בחזקת בעלה לפירות וגם ליורשה לאחר מיתתה כדין נ"מ</w:t>
      </w:r>
      <w:r>
        <w:rPr>
          <w:rFonts w:cs="Arial" w:hint="cs"/>
          <w:rtl/>
        </w:rPr>
        <w:t>.</w:t>
      </w:r>
      <w:r w:rsidRPr="00950C56">
        <w:rPr>
          <w:rFonts w:cs="Arial"/>
          <w:rtl/>
        </w:rPr>
        <w:t xml:space="preserve"> ועיין בכ"מ מ"ש בשם בעל התרומות דמשמעות דבריו שאין לה נאמנות על הפקעת ירושה</w:t>
      </w:r>
      <w:r>
        <w:rPr>
          <w:rFonts w:cs="Arial" w:hint="cs"/>
          <w:rtl/>
        </w:rPr>
        <w:t>, ח"מ (סקכ"ח).</w:t>
      </w:r>
    </w:p>
  </w:footnote>
  <w:footnote w:id="949">
    <w:p w14:paraId="6D20B872" w14:textId="2515B4E6" w:rsidR="00DE2F5F" w:rsidRDefault="00DE2F5F">
      <w:pPr>
        <w:pStyle w:val="a5"/>
      </w:pPr>
      <w:r>
        <w:rPr>
          <w:rStyle w:val="a7"/>
        </w:rPr>
        <w:footnoteRef/>
      </w:r>
      <w:r>
        <w:rPr>
          <w:rtl/>
        </w:rPr>
        <w:t xml:space="preserve"> </w:t>
      </w:r>
      <w:r w:rsidRPr="00950C56">
        <w:rPr>
          <w:rFonts w:cs="Arial"/>
          <w:rtl/>
        </w:rPr>
        <w:t>משפט הג"ה זו משמע דבמעות שאינם טמונים נאמנת להפקיע מבעלה לגמרי ולטעון שניתן לה המעות ע"מ שלא יהיה לבעלה רשות לא בפירו' ולא בירושה</w:t>
      </w:r>
      <w:r w:rsidR="00F34677">
        <w:rPr>
          <w:rFonts w:cs="Arial" w:hint="cs"/>
          <w:rtl/>
        </w:rPr>
        <w:t xml:space="preserve"> -</w:t>
      </w:r>
      <w:r w:rsidRPr="00950C56">
        <w:rPr>
          <w:rFonts w:cs="Arial"/>
          <w:rtl/>
        </w:rPr>
        <w:t xml:space="preserve"> ואני לא ראיתי זה בדברי הרב רבי שמשון והרא"ש</w:t>
      </w:r>
      <w:r w:rsidR="00F34677">
        <w:rPr>
          <w:rFonts w:cs="Arial" w:hint="cs"/>
          <w:rtl/>
        </w:rPr>
        <w:t>,</w:t>
      </w:r>
      <w:r w:rsidRPr="00950C56">
        <w:rPr>
          <w:rFonts w:cs="Arial"/>
          <w:rtl/>
        </w:rPr>
        <w:t xml:space="preserve"> שהם לא כתבו רק שבמעות שאינם טמונים לא מהני תקיפת הבעל כמו שמהני במעות טמונים אבל מ"מ הם בחזקת נ"מ</w:t>
      </w:r>
      <w:r w:rsidR="00F34677">
        <w:rPr>
          <w:rFonts w:cs="Arial" w:hint="cs"/>
          <w:rtl/>
        </w:rPr>
        <w:t>.</w:t>
      </w:r>
      <w:r w:rsidRPr="00950C56">
        <w:rPr>
          <w:rFonts w:cs="Arial"/>
          <w:rtl/>
        </w:rPr>
        <w:t xml:space="preserve"> ואף שהמ"מ כתב שאין הכל מסכימין עם הרמב"ם והרמב"ן בזה והרשב"א הוא מהחולקים וס"ל דנאמנת האשה לומר שלי הם לגמרי ונתנו לה ע"מ שאין לבעלה רשות בהן</w:t>
      </w:r>
      <w:r w:rsidR="00F34677">
        <w:rPr>
          <w:rFonts w:cs="Arial" w:hint="cs"/>
          <w:rtl/>
        </w:rPr>
        <w:t>,</w:t>
      </w:r>
      <w:r w:rsidRPr="00950C56">
        <w:rPr>
          <w:rFonts w:cs="Arial"/>
          <w:rtl/>
        </w:rPr>
        <w:t xml:space="preserve"> וכן דעת הר"י והריטב"א כמו שכתב נ"י</w:t>
      </w:r>
      <w:r w:rsidR="00F34677">
        <w:rPr>
          <w:rFonts w:cs="Arial" w:hint="cs"/>
          <w:rtl/>
        </w:rPr>
        <w:t>,</w:t>
      </w:r>
      <w:r w:rsidRPr="00950C56">
        <w:rPr>
          <w:rFonts w:cs="Arial"/>
          <w:rtl/>
        </w:rPr>
        <w:t xml:space="preserve"> אבל מ"מ הביא הב"י בשם הרשב"א בתשובה שלא החליט הדבר למעשה</w:t>
      </w:r>
      <w:r w:rsidR="00F34677">
        <w:rPr>
          <w:rFonts w:cs="Arial" w:hint="cs"/>
          <w:rtl/>
        </w:rPr>
        <w:t>,</w:t>
      </w:r>
      <w:r w:rsidRPr="00950C56">
        <w:rPr>
          <w:rFonts w:cs="Arial"/>
          <w:rtl/>
        </w:rPr>
        <w:t xml:space="preserve"> וגם לא חילק בין טמונים לשאינם טמונים</w:t>
      </w:r>
      <w:r w:rsidR="00F34677">
        <w:rPr>
          <w:rFonts w:cs="Arial" w:hint="cs"/>
          <w:rtl/>
        </w:rPr>
        <w:t>,</w:t>
      </w:r>
      <w:r w:rsidRPr="00950C56">
        <w:rPr>
          <w:rFonts w:cs="Arial"/>
          <w:rtl/>
        </w:rPr>
        <w:t xml:space="preserve"> דאפשר אף בטמונים כל זמן שהם בידה תוכל לטעון ששלה הם על מנת שאין לבעלה רשות כלל</w:t>
      </w:r>
      <w:r w:rsidR="00F34677">
        <w:rPr>
          <w:rFonts w:cs="Arial" w:hint="cs"/>
          <w:rtl/>
        </w:rPr>
        <w:t>,</w:t>
      </w:r>
      <w:r w:rsidRPr="00950C56">
        <w:rPr>
          <w:rFonts w:cs="Arial"/>
          <w:rtl/>
        </w:rPr>
        <w:t xml:space="preserve"> ואין חילוק בין טמונים לשאינם טמונים אלא כשהבעל מוחזק בהם אבל כשהם ביד האשה אין מי שיחלק בין טמונים לשאינם טמונים</w:t>
      </w:r>
      <w:r>
        <w:rPr>
          <w:rFonts w:cs="Arial" w:hint="cs"/>
          <w:rtl/>
        </w:rPr>
        <w:t>, ח"מ (סקכ"ט).</w:t>
      </w:r>
    </w:p>
  </w:footnote>
  <w:footnote w:id="950">
    <w:p w14:paraId="52E98BE0" w14:textId="73D68E25" w:rsidR="00DE2F5F" w:rsidRDefault="00DE2F5F">
      <w:pPr>
        <w:pStyle w:val="a5"/>
        <w:rPr>
          <w:rtl/>
        </w:rPr>
      </w:pPr>
      <w:r>
        <w:rPr>
          <w:rStyle w:val="a7"/>
        </w:rPr>
        <w:footnoteRef/>
      </w:r>
      <w:r>
        <w:rPr>
          <w:rtl/>
        </w:rPr>
        <w:t xml:space="preserve"> </w:t>
      </w:r>
      <w:r w:rsidRPr="00950C56">
        <w:rPr>
          <w:rFonts w:cs="Arial"/>
          <w:rtl/>
        </w:rPr>
        <w:t>ואפילו אינה נושאת אלא שהבעל מאמין לה ומפקיד מה שיש לו בידה גם כן כל מה שברשות' בחזקת הבעל הם וכך כתב הטור בסימן פ"ו על כן כתבו הפוסקים שסתם אשה מיקרי נושאת ונותנת דסתם נשים הבעל מאמין לה ומפקיד שלו בידה וכן פסק בשלחן ערוך בח"מ סימן ס"ב והראיה שצריכה להביא הוא שיש לה ממון מיוחד ואז נאמנ' לומר שמה שנמצא בידה הוא מאותו ממון המיוחד לה ועוד יתבאר דין נושאת ונותנת בתוך הבית בסי' שאח"ז</w:t>
      </w:r>
      <w:r>
        <w:rPr>
          <w:rFonts w:hint="cs"/>
          <w:rtl/>
        </w:rPr>
        <w:t>, ח"מ (סק"ל).</w:t>
      </w:r>
    </w:p>
  </w:footnote>
  <w:footnote w:id="951">
    <w:p w14:paraId="1D053175" w14:textId="3B652A4A" w:rsidR="00DE2F5F" w:rsidRDefault="00DE2F5F">
      <w:pPr>
        <w:pStyle w:val="a5"/>
      </w:pPr>
      <w:r>
        <w:rPr>
          <w:rStyle w:val="a7"/>
        </w:rPr>
        <w:footnoteRef/>
      </w:r>
      <w:r>
        <w:rPr>
          <w:rtl/>
        </w:rPr>
        <w:t xml:space="preserve"> </w:t>
      </w:r>
      <w:r w:rsidRPr="006403CA">
        <w:rPr>
          <w:rFonts w:cs="Arial"/>
          <w:rtl/>
        </w:rPr>
        <w:t>נאמנת בכל ענין ואפי' בנושאת בתוך הבית ואפשר אף לשיטות הרמב"ם דס"ל חזקה מה שביד האשה בחזקת נ"מ הוא מ"מ נאמנות אף על גב דהוי מיגו במקום חזקה מ"מ אף על גב דמחזיקים בתורת נ"מ עכ"פ היא תופסת ומיגו במקום חזקה אבעי' דלא אפשטא היא ואין מוציאים מידה כמ"ש בסמוך והרב רמ"א כתב דין זה בשם תשובת מהר"מ כמ"ש בד"מ ולכאורה קשה איך למד מתשובת מהר"מ דין זה הא שם היה עובדא דאמרה אתה נתת לי והוה העזה ומנ"ל דנאמנ' כשלא אמרה אתה נתת לי וי"ל שם לא היה שייך העזה דאיירי שם במרדה בו אז בודאי מעיזה בפניו, ובתשו' הרשב"א שהביא הב"י סס"ז ג"כ מבואר דין זה אלא בתשו' מהר"מ מבואר אפי' בנושא' נאמנת במיגו</w:t>
      </w:r>
      <w:r>
        <w:rPr>
          <w:rFonts w:cs="Arial" w:hint="cs"/>
          <w:rtl/>
        </w:rPr>
        <w:t>.</w:t>
      </w:r>
      <w:r w:rsidRPr="006403CA">
        <w:rPr>
          <w:rFonts w:cs="Arial"/>
          <w:rtl/>
        </w:rPr>
        <w:t xml:space="preserve"> מיהו מתוספת בסוגיא זו משמע דאינה נאמנת בנושאת אף על גב דיש לה מיגו דהא כתבו בנושאת שהפקידה פקדון אינה נאמנת לו' שלי הוא או של פלוני והתם יש לה מיגו דיכולה ליתן לפלוני כמ"ש בתוס' שם ועיין בח"ה ס"ס ס"ב כ' בהג"ה שם אשה שכתבה המעות שבידה של אחרים הוא אם ידוע שהיה לה ממון נאמנת ופירש הסמ"ע דאיירי דאין לה מיגו אבל אם יש לה מיגו נאמנת אפי' בא"י שיש לה מעות אפי' אם היא נושאת בבית, והיינו כדעת מהר"מ ובש"ך השיג עליו והביא תוספות אלו דס"ל בנושא' ל"מ מיגו ובחנם השיג על הסמ"ע דהא הוא כתב לפרש שם דברי הרב רמ"א והוא פסק כאן דנאמנת במיגו</w:t>
      </w:r>
      <w:r>
        <w:rPr>
          <w:rFonts w:hint="cs"/>
          <w:rtl/>
        </w:rPr>
        <w:t>, ב"ש (סקכ"ט).</w:t>
      </w:r>
    </w:p>
  </w:footnote>
  <w:footnote w:id="952">
    <w:p w14:paraId="4248E246" w14:textId="110F0C67" w:rsidR="00DE2F5F" w:rsidRDefault="00DE2F5F">
      <w:pPr>
        <w:pStyle w:val="a5"/>
      </w:pPr>
      <w:r>
        <w:rPr>
          <w:rStyle w:val="a7"/>
        </w:rPr>
        <w:footnoteRef/>
      </w:r>
      <w:r>
        <w:rPr>
          <w:rtl/>
        </w:rPr>
        <w:t xml:space="preserve"> </w:t>
      </w:r>
      <w:r w:rsidRPr="000E374A">
        <w:rPr>
          <w:rFonts w:cs="Arial"/>
          <w:rtl/>
        </w:rPr>
        <w:t>כלומר ואין לך פירות כמ"ש לעיל סעיף ז' שאין לבעל פירות במה שנותן לה מתנה אעפ"י שכבר נתבאר שעליה להביא ראיה כל שרוצה להפקיע הפירות מיד בעלה מ"מ הכא שאני מאחר שמעיזה בפניו נאמנת כ"כ המ"מ ולדעת בעל התרומות שהביא הכ"מ א"צ לתירוץ זה שגם הפירות נאמנת להפקיע מיד בעלה רק הירושה אינה נאמנת להפקיע לאחר מיתה</w:t>
      </w:r>
      <w:r>
        <w:rPr>
          <w:rFonts w:cs="Arial" w:hint="cs"/>
          <w:rtl/>
        </w:rPr>
        <w:t>, ח"מ (סקל"ב).</w:t>
      </w:r>
    </w:p>
  </w:footnote>
  <w:footnote w:id="953">
    <w:p w14:paraId="4524B2E5" w14:textId="2E0FE71E" w:rsidR="00DE2F5F" w:rsidRDefault="00DE2F5F">
      <w:pPr>
        <w:pStyle w:val="a5"/>
      </w:pPr>
      <w:r>
        <w:rPr>
          <w:rStyle w:val="a7"/>
        </w:rPr>
        <w:footnoteRef/>
      </w:r>
      <w:r>
        <w:rPr>
          <w:rtl/>
        </w:rPr>
        <w:t xml:space="preserve"> </w:t>
      </w:r>
      <w:r>
        <w:rPr>
          <w:rFonts w:hint="cs"/>
          <w:rtl/>
        </w:rPr>
        <w:t xml:space="preserve">אפילו היא נושאת ונותנת בבית </w:t>
      </w:r>
      <w:r w:rsidRPr="00A61343">
        <w:rPr>
          <w:rFonts w:cs="Arial"/>
          <w:rtl/>
        </w:rPr>
        <w:t>נאמנת</w:t>
      </w:r>
      <w:r>
        <w:rPr>
          <w:rFonts w:cs="Arial" w:hint="cs"/>
          <w:rtl/>
        </w:rPr>
        <w:t>,</w:t>
      </w:r>
      <w:r w:rsidRPr="00A61343">
        <w:rPr>
          <w:rFonts w:cs="Arial"/>
          <w:rtl/>
        </w:rPr>
        <w:t xml:space="preserve"> מטעם דא"י להעיז לפי סברת המגיד</w:t>
      </w:r>
      <w:r>
        <w:rPr>
          <w:rFonts w:cs="Arial" w:hint="cs"/>
          <w:rtl/>
        </w:rPr>
        <w:t>, ע"פ ב"ש (סקכ"ח). וכ"כ הבא"ט (סקי"ט). וכתב הפת"ש (סק"ג) ש</w:t>
      </w:r>
      <w:r w:rsidRPr="00A61343">
        <w:rPr>
          <w:rFonts w:cs="Arial"/>
          <w:rtl/>
        </w:rPr>
        <w:t>בס' ישועות יעקב סק"ט חולק עליו</w:t>
      </w:r>
      <w:r>
        <w:rPr>
          <w:rFonts w:cs="Arial" w:hint="cs"/>
          <w:rtl/>
        </w:rPr>
        <w:t>.</w:t>
      </w:r>
    </w:p>
  </w:footnote>
  <w:footnote w:id="954">
    <w:p w14:paraId="41758280" w14:textId="0FD3B456" w:rsidR="00DE2F5F" w:rsidRDefault="00DE2F5F">
      <w:pPr>
        <w:pStyle w:val="a5"/>
      </w:pPr>
      <w:r>
        <w:rPr>
          <w:rStyle w:val="a7"/>
        </w:rPr>
        <w:footnoteRef/>
      </w:r>
      <w:r>
        <w:rPr>
          <w:rtl/>
        </w:rPr>
        <w:t xml:space="preserve"> </w:t>
      </w:r>
      <w:r w:rsidRPr="00A61343">
        <w:rPr>
          <w:rFonts w:cs="Arial"/>
          <w:rtl/>
        </w:rPr>
        <w:t>מבואר בה"ב והובא בכ"מ מטלטלים הידועים שהם של בעל אינה נאמנת שבעל נתן לה במתנ' ואף למ"ש בשם המגיד דא"י להעיז מכל מקום דבר הידוע שהוא של הבעל אינה נאמנת אלא דבר שא"י שהוא של בעל אלא מה שביד האשה הוא בחזקת נ"מ אז מהני החזקה דא"י להעיז</w:t>
      </w:r>
      <w:r>
        <w:rPr>
          <w:rFonts w:cs="Arial" w:hint="cs"/>
          <w:rtl/>
        </w:rPr>
        <w:t>, ב"ש (סקל"א).</w:t>
      </w:r>
    </w:p>
  </w:footnote>
  <w:footnote w:id="955">
    <w:p w14:paraId="4AED3D36" w14:textId="77777777" w:rsidR="00DE2F5F" w:rsidRDefault="00DE2F5F" w:rsidP="00C2610F">
      <w:pPr>
        <w:pStyle w:val="a5"/>
      </w:pPr>
      <w:r>
        <w:rPr>
          <w:rStyle w:val="a7"/>
        </w:rPr>
        <w:footnoteRef/>
      </w:r>
      <w:r>
        <w:rPr>
          <w:rtl/>
        </w:rPr>
        <w:t xml:space="preserve"> </w:t>
      </w:r>
      <w:r w:rsidRPr="00BC5A33">
        <w:rPr>
          <w:rFonts w:cs="Arial"/>
          <w:rtl/>
        </w:rPr>
        <w:t>והקרן קיימת לה שלא תיקנו לו חכמים תחת פירקונה אלא פירו</w:t>
      </w:r>
      <w:r>
        <w:rPr>
          <w:rFonts w:cs="Arial" w:hint="cs"/>
          <w:rtl/>
        </w:rPr>
        <w:t>ת</w:t>
      </w:r>
      <w:r>
        <w:rPr>
          <w:rFonts w:hint="cs"/>
          <w:rtl/>
        </w:rPr>
        <w:t>, רש"י.</w:t>
      </w:r>
    </w:p>
  </w:footnote>
  <w:footnote w:id="956">
    <w:p w14:paraId="0A5223FA" w14:textId="77777777" w:rsidR="00DE2F5F" w:rsidRDefault="00DE2F5F" w:rsidP="00C2610F">
      <w:pPr>
        <w:pStyle w:val="a5"/>
      </w:pPr>
      <w:r>
        <w:rPr>
          <w:rStyle w:val="a7"/>
        </w:rPr>
        <w:footnoteRef/>
      </w:r>
      <w:r>
        <w:rPr>
          <w:rtl/>
        </w:rPr>
        <w:t xml:space="preserve"> </w:t>
      </w:r>
      <w:r w:rsidRPr="00BC5A33">
        <w:rPr>
          <w:rFonts w:cs="Arial"/>
          <w:rtl/>
        </w:rPr>
        <w:t>נפלו לה כספים ובאו ליקח לה קרקע זה אומר קרקע בת זריעה אני רוצה וזאת אומרת בתים אני רוצה ליקח או איפוך</w:t>
      </w:r>
      <w:r>
        <w:rPr>
          <w:rFonts w:hint="cs"/>
          <w:rtl/>
        </w:rPr>
        <w:t>, רש"י.</w:t>
      </w:r>
    </w:p>
  </w:footnote>
  <w:footnote w:id="957">
    <w:p w14:paraId="0C3ADBC1" w14:textId="77777777" w:rsidR="00DE2F5F" w:rsidRDefault="00DE2F5F" w:rsidP="00C2610F">
      <w:pPr>
        <w:pStyle w:val="a5"/>
      </w:pPr>
      <w:r>
        <w:rPr>
          <w:rStyle w:val="a7"/>
        </w:rPr>
        <w:footnoteRef/>
      </w:r>
      <w:r>
        <w:rPr>
          <w:rtl/>
        </w:rPr>
        <w:t xml:space="preserve"> </w:t>
      </w:r>
      <w:r w:rsidRPr="00BC5A33">
        <w:rPr>
          <w:rFonts w:cs="Arial"/>
          <w:rtl/>
        </w:rPr>
        <w:t>זבנינן מינייהו ששכרה מרובה ואינה מרקבת ושניהם מעכבים הבעל יכול לומר דבר שפירותיו מרובים אני חפץ וכן אם בא הוא ליקח בית יכולה היא לומר איני רוצה בדבר שהוא כלה והולך והקרן מתמעט</w:t>
      </w:r>
      <w:r>
        <w:rPr>
          <w:rFonts w:hint="cs"/>
          <w:rtl/>
        </w:rPr>
        <w:t>, רש"י.</w:t>
      </w:r>
    </w:p>
  </w:footnote>
  <w:footnote w:id="958">
    <w:p w14:paraId="490D3BDA" w14:textId="77777777" w:rsidR="00DE2F5F" w:rsidRDefault="00DE2F5F" w:rsidP="00C2610F">
      <w:pPr>
        <w:pStyle w:val="a5"/>
      </w:pPr>
      <w:r>
        <w:rPr>
          <w:rStyle w:val="a7"/>
        </w:rPr>
        <w:footnoteRef/>
      </w:r>
      <w:r>
        <w:rPr>
          <w:rtl/>
        </w:rPr>
        <w:t xml:space="preserve"> </w:t>
      </w:r>
      <w:r w:rsidRPr="00950E2F">
        <w:rPr>
          <w:rFonts w:cs="Arial"/>
          <w:rtl/>
        </w:rPr>
        <w:t>שכרן מרובה מדיקלי שהן עשויין ליבש</w:t>
      </w:r>
      <w:r>
        <w:rPr>
          <w:rFonts w:hint="cs"/>
          <w:rtl/>
        </w:rPr>
        <w:t>, רש"י.</w:t>
      </w:r>
    </w:p>
  </w:footnote>
  <w:footnote w:id="959">
    <w:p w14:paraId="1BBDF1A4" w14:textId="77777777" w:rsidR="00DE2F5F" w:rsidRDefault="00DE2F5F" w:rsidP="00C2610F">
      <w:pPr>
        <w:pStyle w:val="a5"/>
      </w:pPr>
      <w:r>
        <w:rPr>
          <w:rStyle w:val="a7"/>
        </w:rPr>
        <w:footnoteRef/>
      </w:r>
      <w:r>
        <w:rPr>
          <w:rtl/>
        </w:rPr>
        <w:t xml:space="preserve"> </w:t>
      </w:r>
      <w:r w:rsidRPr="00950E2F">
        <w:rPr>
          <w:rFonts w:cs="Arial"/>
          <w:rtl/>
        </w:rPr>
        <w:t>תמרים</w:t>
      </w:r>
      <w:r>
        <w:rPr>
          <w:rFonts w:hint="cs"/>
          <w:rtl/>
        </w:rPr>
        <w:t>, רש"י.</w:t>
      </w:r>
    </w:p>
  </w:footnote>
  <w:footnote w:id="960">
    <w:p w14:paraId="60EBD314" w14:textId="77777777" w:rsidR="00DE2F5F" w:rsidRDefault="00DE2F5F" w:rsidP="00C2610F">
      <w:pPr>
        <w:pStyle w:val="a5"/>
      </w:pPr>
      <w:r>
        <w:rPr>
          <w:rStyle w:val="a7"/>
        </w:rPr>
        <w:footnoteRef/>
      </w:r>
      <w:r>
        <w:rPr>
          <w:rtl/>
        </w:rPr>
        <w:t xml:space="preserve"> </w:t>
      </w:r>
      <w:r w:rsidRPr="00BC5A33">
        <w:rPr>
          <w:rFonts w:cs="Arial"/>
          <w:rtl/>
        </w:rPr>
        <w:t>שאר אילנות</w:t>
      </w:r>
      <w:r>
        <w:rPr>
          <w:rFonts w:hint="cs"/>
          <w:rtl/>
        </w:rPr>
        <w:t>, רש"י.</w:t>
      </w:r>
    </w:p>
  </w:footnote>
  <w:footnote w:id="961">
    <w:p w14:paraId="520D9070" w14:textId="77777777" w:rsidR="00DE2F5F" w:rsidRDefault="00DE2F5F" w:rsidP="00C2610F">
      <w:pPr>
        <w:pStyle w:val="a5"/>
      </w:pPr>
      <w:r>
        <w:rPr>
          <w:rStyle w:val="a7"/>
        </w:rPr>
        <w:footnoteRef/>
      </w:r>
      <w:r>
        <w:rPr>
          <w:rtl/>
        </w:rPr>
        <w:t xml:space="preserve"> </w:t>
      </w:r>
      <w:r w:rsidRPr="00BC5A33">
        <w:rPr>
          <w:rFonts w:cs="Arial"/>
          <w:rtl/>
        </w:rPr>
        <w:t>אין גזעו מחליף</w:t>
      </w:r>
      <w:r>
        <w:rPr>
          <w:rFonts w:hint="cs"/>
          <w:rtl/>
        </w:rPr>
        <w:t>, רש"י.</w:t>
      </w:r>
    </w:p>
  </w:footnote>
  <w:footnote w:id="962">
    <w:p w14:paraId="6D6B0149" w14:textId="77777777" w:rsidR="00DE2F5F" w:rsidRDefault="00DE2F5F" w:rsidP="00C2610F">
      <w:pPr>
        <w:pStyle w:val="a5"/>
      </w:pPr>
      <w:r>
        <w:rPr>
          <w:rStyle w:val="a7"/>
        </w:rPr>
        <w:footnoteRef/>
      </w:r>
      <w:r>
        <w:rPr>
          <w:rtl/>
        </w:rPr>
        <w:t xml:space="preserve"> </w:t>
      </w:r>
      <w:r w:rsidRPr="00BC5A33">
        <w:rPr>
          <w:rFonts w:cs="Arial"/>
          <w:rtl/>
        </w:rPr>
        <w:t>יער לחתוך עצים</w:t>
      </w:r>
      <w:r>
        <w:rPr>
          <w:rFonts w:hint="cs"/>
          <w:rtl/>
        </w:rPr>
        <w:t>, רש"י.</w:t>
      </w:r>
    </w:p>
  </w:footnote>
  <w:footnote w:id="963">
    <w:p w14:paraId="3D1D3D3D" w14:textId="77777777" w:rsidR="00DE2F5F" w:rsidRDefault="00DE2F5F" w:rsidP="00C2610F">
      <w:pPr>
        <w:pStyle w:val="a5"/>
      </w:pPr>
      <w:r>
        <w:rPr>
          <w:rStyle w:val="a7"/>
        </w:rPr>
        <w:footnoteRef/>
      </w:r>
      <w:r>
        <w:rPr>
          <w:rtl/>
        </w:rPr>
        <w:t xml:space="preserve"> </w:t>
      </w:r>
      <w:r w:rsidRPr="00950E2F">
        <w:rPr>
          <w:rFonts w:cs="Arial"/>
          <w:rtl/>
        </w:rPr>
        <w:t>אילנות של עוזרדין ולא היו פריין חשוב להן וקוצצין אותן לעצים</w:t>
      </w:r>
      <w:r>
        <w:rPr>
          <w:rFonts w:hint="cs"/>
          <w:rtl/>
        </w:rPr>
        <w:t>, רש"י.</w:t>
      </w:r>
    </w:p>
  </w:footnote>
  <w:footnote w:id="964">
    <w:p w14:paraId="25C32068" w14:textId="77777777" w:rsidR="00DE2F5F" w:rsidRDefault="00DE2F5F" w:rsidP="00C2610F">
      <w:pPr>
        <w:pStyle w:val="a5"/>
      </w:pPr>
      <w:r>
        <w:rPr>
          <w:rStyle w:val="a7"/>
        </w:rPr>
        <w:footnoteRef/>
      </w:r>
      <w:r>
        <w:rPr>
          <w:rtl/>
        </w:rPr>
        <w:t xml:space="preserve"> </w:t>
      </w:r>
      <w:r w:rsidRPr="00BC5A33">
        <w:rPr>
          <w:rFonts w:cs="Arial"/>
          <w:rtl/>
        </w:rPr>
        <w:t>חפירה של דגים שקורין ויויי"ר</w:t>
      </w:r>
      <w:r>
        <w:rPr>
          <w:rFonts w:hint="cs"/>
          <w:rtl/>
        </w:rPr>
        <w:t>, רש"י.</w:t>
      </w:r>
    </w:p>
  </w:footnote>
  <w:footnote w:id="965">
    <w:p w14:paraId="49BF080D" w14:textId="77777777" w:rsidR="00DE2F5F" w:rsidRDefault="00DE2F5F" w:rsidP="00C2610F">
      <w:pPr>
        <w:pStyle w:val="a5"/>
      </w:pPr>
      <w:r>
        <w:rPr>
          <w:rStyle w:val="a7"/>
        </w:rPr>
        <w:footnoteRef/>
      </w:r>
      <w:r>
        <w:rPr>
          <w:rtl/>
        </w:rPr>
        <w:t xml:space="preserve"> </w:t>
      </w:r>
      <w:r w:rsidRPr="00BC5A33">
        <w:rPr>
          <w:rFonts w:cs="Arial"/>
          <w:rtl/>
        </w:rPr>
        <w:t>אם נפלו לה בירושה קציצת העצים ודגים שבחפירה הוא פריין והקרקע הוא קרן</w:t>
      </w:r>
      <w:r>
        <w:rPr>
          <w:rFonts w:hint="cs"/>
          <w:rtl/>
        </w:rPr>
        <w:t>, רש"י.</w:t>
      </w:r>
    </w:p>
  </w:footnote>
  <w:footnote w:id="966">
    <w:p w14:paraId="40A4C57F" w14:textId="77777777" w:rsidR="00DE2F5F" w:rsidRDefault="00DE2F5F" w:rsidP="00C2610F">
      <w:pPr>
        <w:pStyle w:val="a5"/>
      </w:pPr>
      <w:r>
        <w:rPr>
          <w:rStyle w:val="a7"/>
        </w:rPr>
        <w:footnoteRef/>
      </w:r>
      <w:r>
        <w:rPr>
          <w:rtl/>
        </w:rPr>
        <w:t xml:space="preserve"> </w:t>
      </w:r>
      <w:r w:rsidRPr="00950E2F">
        <w:rPr>
          <w:rFonts w:cs="Arial"/>
          <w:rtl/>
        </w:rPr>
        <w:t>כולהו הוו קרנא הואיל והעצים והדגים כלים</w:t>
      </w:r>
      <w:r>
        <w:rPr>
          <w:rFonts w:cs="Arial" w:hint="cs"/>
          <w:rtl/>
        </w:rPr>
        <w:t>,</w:t>
      </w:r>
      <w:r w:rsidRPr="00950E2F">
        <w:rPr>
          <w:rFonts w:cs="Arial"/>
          <w:rtl/>
        </w:rPr>
        <w:t xml:space="preserve"> והכל ימכר מיד</w:t>
      </w:r>
      <w:r>
        <w:rPr>
          <w:rFonts w:cs="Arial" w:hint="cs"/>
          <w:rtl/>
        </w:rPr>
        <w:t>,</w:t>
      </w:r>
      <w:r w:rsidRPr="00950E2F">
        <w:rPr>
          <w:rFonts w:cs="Arial"/>
          <w:rtl/>
        </w:rPr>
        <w:t xml:space="preserve"> וילקח בהן קרקע והוא אוכל פירות</w:t>
      </w:r>
      <w:r>
        <w:rPr>
          <w:rFonts w:hint="cs"/>
          <w:rtl/>
        </w:rPr>
        <w:t>, רש"י.</w:t>
      </w:r>
    </w:p>
  </w:footnote>
  <w:footnote w:id="967">
    <w:p w14:paraId="0C396CC3" w14:textId="77777777" w:rsidR="00DE2F5F" w:rsidRDefault="00DE2F5F" w:rsidP="00C2610F">
      <w:pPr>
        <w:pStyle w:val="a5"/>
        <w:rPr>
          <w:rtl/>
        </w:rPr>
      </w:pPr>
      <w:r>
        <w:rPr>
          <w:rStyle w:val="a7"/>
        </w:rPr>
        <w:footnoteRef/>
      </w:r>
      <w:r>
        <w:rPr>
          <w:rtl/>
        </w:rPr>
        <w:t xml:space="preserve"> </w:t>
      </w:r>
      <w:r>
        <w:rPr>
          <w:rFonts w:cs="Arial"/>
          <w:rtl/>
        </w:rPr>
        <w:t>כלומר הפרי יאכל הבעל ולא אמרינן ימכר וילקח בהם קרקע</w:t>
      </w:r>
      <w:r>
        <w:rPr>
          <w:rFonts w:cs="Arial" w:hint="cs"/>
          <w:rtl/>
        </w:rPr>
        <w:t>,</w:t>
      </w:r>
      <w:r>
        <w:rPr>
          <w:rFonts w:cs="Arial"/>
          <w:rtl/>
        </w:rPr>
        <w:t xml:space="preserve"> רא"ש (סי' ה)</w:t>
      </w:r>
      <w:r>
        <w:rPr>
          <w:rFonts w:cs="Arial" w:hint="cs"/>
          <w:rtl/>
        </w:rPr>
        <w:t>.</w:t>
      </w:r>
    </w:p>
  </w:footnote>
  <w:footnote w:id="968">
    <w:p w14:paraId="120E1D3B" w14:textId="77777777" w:rsidR="00DE2F5F" w:rsidRDefault="00DE2F5F" w:rsidP="00C2610F">
      <w:pPr>
        <w:pStyle w:val="a5"/>
        <w:rPr>
          <w:rtl/>
        </w:rPr>
      </w:pPr>
      <w:r>
        <w:rPr>
          <w:rStyle w:val="a7"/>
        </w:rPr>
        <w:footnoteRef/>
      </w:r>
      <w:r>
        <w:rPr>
          <w:rtl/>
        </w:rPr>
        <w:t xml:space="preserve"> </w:t>
      </w:r>
      <w:r>
        <w:rPr>
          <w:rFonts w:cs="Arial"/>
          <w:rtl/>
        </w:rPr>
        <w:t>כלומר יעשה ממנו קרן וימכר וילקח בהם קרקע</w:t>
      </w:r>
      <w:r>
        <w:rPr>
          <w:rFonts w:cs="Arial" w:hint="cs"/>
          <w:rtl/>
        </w:rPr>
        <w:t>,</w:t>
      </w:r>
      <w:r>
        <w:rPr>
          <w:rFonts w:cs="Arial"/>
          <w:rtl/>
        </w:rPr>
        <w:t xml:space="preserve"> רא"ש (סי' ה)</w:t>
      </w:r>
      <w:r>
        <w:rPr>
          <w:rFonts w:cs="Arial" w:hint="cs"/>
          <w:rtl/>
        </w:rPr>
        <w:t>.</w:t>
      </w:r>
    </w:p>
  </w:footnote>
  <w:footnote w:id="969">
    <w:p w14:paraId="4284103D" w14:textId="77777777" w:rsidR="00DE2F5F" w:rsidRDefault="00DE2F5F" w:rsidP="00C2610F">
      <w:pPr>
        <w:pStyle w:val="a5"/>
        <w:rPr>
          <w:rtl/>
        </w:rPr>
      </w:pPr>
      <w:r>
        <w:rPr>
          <w:rStyle w:val="a7"/>
        </w:rPr>
        <w:footnoteRef/>
      </w:r>
      <w:r>
        <w:rPr>
          <w:rtl/>
        </w:rPr>
        <w:t xml:space="preserve"> </w:t>
      </w:r>
      <w:r>
        <w:rPr>
          <w:rFonts w:cs="Arial"/>
          <w:rtl/>
        </w:rPr>
        <w:t>לנוסחא בתרייתא ה"פ</w:t>
      </w:r>
      <w:r>
        <w:rPr>
          <w:rFonts w:cs="Arial" w:hint="cs"/>
          <w:rtl/>
        </w:rPr>
        <w:t>-</w:t>
      </w:r>
      <w:r>
        <w:rPr>
          <w:rFonts w:cs="Arial"/>
          <w:rtl/>
        </w:rPr>
        <w:t xml:space="preserve"> כשבא לקנות בכספים שנפלו לה לא יקנה לעשות קרן אלא דבר שגזעו מחליף אבל דבר שאין גזעו מחליף לא יקנה דחשיב כפירי</w:t>
      </w:r>
      <w:r>
        <w:rPr>
          <w:rFonts w:cs="Arial" w:hint="cs"/>
          <w:rtl/>
        </w:rPr>
        <w:t>,</w:t>
      </w:r>
      <w:r>
        <w:rPr>
          <w:rFonts w:cs="Arial"/>
          <w:rtl/>
        </w:rPr>
        <w:t xml:space="preserve"> רא"ש (סי' ה)</w:t>
      </w:r>
      <w:r>
        <w:rPr>
          <w:rFonts w:cs="Arial" w:hint="cs"/>
          <w:rtl/>
        </w:rPr>
        <w:t>.</w:t>
      </w:r>
      <w:r>
        <w:rPr>
          <w:rFonts w:hint="cs"/>
          <w:rtl/>
        </w:rPr>
        <w:t xml:space="preserve"> וכתב הב"י דנראה מדברי הרא"ש </w:t>
      </w:r>
      <w:r>
        <w:rPr>
          <w:rFonts w:cs="Arial"/>
          <w:rtl/>
        </w:rPr>
        <w:t>שהוא מקיים דברי השתי נוסחאות</w:t>
      </w:r>
      <w:r>
        <w:rPr>
          <w:rFonts w:cs="Arial" w:hint="cs"/>
          <w:rtl/>
        </w:rPr>
        <w:t>,</w:t>
      </w:r>
      <w:r>
        <w:rPr>
          <w:rFonts w:cs="Arial"/>
          <w:rtl/>
        </w:rPr>
        <w:t xml:space="preserve"> דכשנפל לה דבר שגזעו מחליף</w:t>
      </w:r>
      <w:r>
        <w:rPr>
          <w:rFonts w:cs="Arial" w:hint="cs"/>
          <w:rtl/>
        </w:rPr>
        <w:t>,</w:t>
      </w:r>
      <w:r>
        <w:rPr>
          <w:rFonts w:cs="Arial"/>
          <w:rtl/>
        </w:rPr>
        <w:t xml:space="preserve"> לא ימכר אלא מקיימו כמות שהוא ויאכל פירותיו</w:t>
      </w:r>
      <w:r>
        <w:rPr>
          <w:rFonts w:cs="Arial" w:hint="cs"/>
          <w:rtl/>
        </w:rPr>
        <w:t>.</w:t>
      </w:r>
      <w:r>
        <w:rPr>
          <w:rFonts w:cs="Arial"/>
          <w:rtl/>
        </w:rPr>
        <w:t xml:space="preserve"> ואם נפל לה דבר שאין גזעו מחליף</w:t>
      </w:r>
      <w:r>
        <w:rPr>
          <w:rFonts w:cs="Arial" w:hint="cs"/>
          <w:rtl/>
        </w:rPr>
        <w:t>,</w:t>
      </w:r>
      <w:r>
        <w:rPr>
          <w:rFonts w:cs="Arial"/>
          <w:rtl/>
        </w:rPr>
        <w:t xml:space="preserve"> ימכר וילקח בהם קרקע</w:t>
      </w:r>
      <w:r>
        <w:rPr>
          <w:rFonts w:cs="Arial" w:hint="cs"/>
          <w:rtl/>
        </w:rPr>
        <w:t>.</w:t>
      </w:r>
      <w:r>
        <w:rPr>
          <w:rFonts w:cs="Arial"/>
          <w:rtl/>
        </w:rPr>
        <w:t xml:space="preserve"> ואם נפלו לה מעות</w:t>
      </w:r>
      <w:r>
        <w:rPr>
          <w:rFonts w:cs="Arial" w:hint="cs"/>
          <w:rtl/>
        </w:rPr>
        <w:t>,</w:t>
      </w:r>
      <w:r>
        <w:rPr>
          <w:rFonts w:cs="Arial"/>
          <w:rtl/>
        </w:rPr>
        <w:t xml:space="preserve"> ילקח בהם דבר שגזעו מחליף</w:t>
      </w:r>
      <w:r>
        <w:rPr>
          <w:rFonts w:cs="Arial" w:hint="cs"/>
          <w:rtl/>
        </w:rPr>
        <w:t>,</w:t>
      </w:r>
      <w:r>
        <w:rPr>
          <w:rFonts w:cs="Arial"/>
          <w:rtl/>
        </w:rPr>
        <w:t xml:space="preserve"> ולא ילקח דבר שאין גזעו מחליף</w:t>
      </w:r>
      <w:r>
        <w:rPr>
          <w:rFonts w:cs="Arial" w:hint="cs"/>
          <w:rtl/>
        </w:rPr>
        <w:t>.</w:t>
      </w:r>
      <w:r>
        <w:rPr>
          <w:rFonts w:cs="Arial"/>
          <w:rtl/>
        </w:rPr>
        <w:t xml:space="preserve"> וזהו שכתב רבינו </w:t>
      </w:r>
      <w:r>
        <w:rPr>
          <w:rFonts w:cs="Arial" w:hint="cs"/>
          <w:sz w:val="16"/>
          <w:szCs w:val="16"/>
          <w:rtl/>
        </w:rPr>
        <w:t xml:space="preserve">{הטור} </w:t>
      </w:r>
      <w:r>
        <w:rPr>
          <w:rFonts w:cs="Arial"/>
          <w:rtl/>
        </w:rPr>
        <w:t>ואין קונין דבר שאין גזעו מחליף ואם נפל לה דבר שגזעו מחליף אין צריך למוכרן כיון שגזעו מחליף אוכל הפירות והקרן קיימת לה</w:t>
      </w:r>
      <w:r>
        <w:rPr>
          <w:rFonts w:cs="Arial" w:hint="cs"/>
          <w:rtl/>
        </w:rPr>
        <w:t>.</w:t>
      </w:r>
    </w:p>
  </w:footnote>
  <w:footnote w:id="970">
    <w:p w14:paraId="5F6FC9A7" w14:textId="77777777" w:rsidR="00DE2F5F" w:rsidRDefault="00DE2F5F" w:rsidP="00C2610F">
      <w:pPr>
        <w:pStyle w:val="a5"/>
      </w:pPr>
      <w:r>
        <w:rPr>
          <w:rStyle w:val="a7"/>
        </w:rPr>
        <w:footnoteRef/>
      </w:r>
      <w:r>
        <w:rPr>
          <w:rtl/>
        </w:rPr>
        <w:t xml:space="preserve"> </w:t>
      </w:r>
      <w:r w:rsidRPr="00192E85">
        <w:rPr>
          <w:rFonts w:cs="Arial"/>
          <w:rtl/>
        </w:rPr>
        <w:t>לאכול חלבה</w:t>
      </w:r>
      <w:r>
        <w:rPr>
          <w:rFonts w:cs="Arial" w:hint="cs"/>
          <w:rtl/>
        </w:rPr>
        <w:t>, רש"י.</w:t>
      </w:r>
    </w:p>
  </w:footnote>
  <w:footnote w:id="971">
    <w:p w14:paraId="5E97EF2C" w14:textId="77777777" w:rsidR="00DE2F5F" w:rsidRDefault="00DE2F5F" w:rsidP="00C2610F">
      <w:pPr>
        <w:pStyle w:val="a5"/>
      </w:pPr>
      <w:r>
        <w:rPr>
          <w:rStyle w:val="a7"/>
        </w:rPr>
        <w:footnoteRef/>
      </w:r>
      <w:r>
        <w:rPr>
          <w:rtl/>
        </w:rPr>
        <w:t xml:space="preserve"> </w:t>
      </w:r>
      <w:r w:rsidRPr="00192E85">
        <w:rPr>
          <w:rFonts w:cs="Arial"/>
          <w:rtl/>
        </w:rPr>
        <w:t>הן עיקר שלה להכי נקט להו והוא הדין דשקיל חלב וולדות</w:t>
      </w:r>
      <w:r>
        <w:rPr>
          <w:rFonts w:cs="Arial" w:hint="cs"/>
          <w:rtl/>
        </w:rPr>
        <w:t>, רש"י.</w:t>
      </w:r>
    </w:p>
  </w:footnote>
  <w:footnote w:id="972">
    <w:p w14:paraId="05BF4D38" w14:textId="77777777" w:rsidR="00DE2F5F" w:rsidRDefault="00DE2F5F" w:rsidP="00C2610F">
      <w:pPr>
        <w:pStyle w:val="a5"/>
      </w:pPr>
      <w:r>
        <w:rPr>
          <w:rStyle w:val="a7"/>
        </w:rPr>
        <w:footnoteRef/>
      </w:r>
      <w:r>
        <w:rPr>
          <w:rtl/>
        </w:rPr>
        <w:t xml:space="preserve"> </w:t>
      </w:r>
      <w:r w:rsidRPr="00192E85">
        <w:rPr>
          <w:rFonts w:cs="Arial"/>
          <w:rtl/>
        </w:rPr>
        <w:t>דגבי בהמה איכא עורה וגבי תרנגולת איכא נוצה וגבי דקל כשייבש איכא עציו אבל הני כולהו פירות נינהו שמתחדשין תמיד ודרך הנאתם היא</w:t>
      </w:r>
      <w:r>
        <w:rPr>
          <w:rFonts w:cs="Arial" w:hint="cs"/>
          <w:rtl/>
        </w:rPr>
        <w:t>, רש"י.</w:t>
      </w:r>
    </w:p>
  </w:footnote>
  <w:footnote w:id="973">
    <w:p w14:paraId="170215D8" w14:textId="77777777" w:rsidR="00DE2F5F" w:rsidRDefault="00DE2F5F" w:rsidP="00C2610F">
      <w:pPr>
        <w:pStyle w:val="a5"/>
      </w:pPr>
      <w:r>
        <w:rPr>
          <w:rStyle w:val="a7"/>
        </w:rPr>
        <w:footnoteRef/>
      </w:r>
      <w:r>
        <w:rPr>
          <w:rtl/>
        </w:rPr>
        <w:t xml:space="preserve"> </w:t>
      </w:r>
      <w:r w:rsidRPr="00192E85">
        <w:rPr>
          <w:rFonts w:cs="Arial"/>
          <w:rtl/>
        </w:rPr>
        <w:t>טלית בנכסי מלוג אף על פי שלא שמאתו בכתובה בנכסי צאן ברזל וצריך להיות קרן שמור לה</w:t>
      </w:r>
      <w:r>
        <w:rPr>
          <w:rFonts w:cs="Arial" w:hint="cs"/>
          <w:rtl/>
        </w:rPr>
        <w:t xml:space="preserve">, רש"י. </w:t>
      </w:r>
    </w:p>
  </w:footnote>
  <w:footnote w:id="974">
    <w:p w14:paraId="460CB14C" w14:textId="77777777" w:rsidR="00DE2F5F" w:rsidRDefault="00DE2F5F" w:rsidP="00C2610F">
      <w:pPr>
        <w:pStyle w:val="a5"/>
      </w:pPr>
      <w:r>
        <w:rPr>
          <w:rStyle w:val="a7"/>
        </w:rPr>
        <w:footnoteRef/>
      </w:r>
      <w:r>
        <w:rPr>
          <w:rtl/>
        </w:rPr>
        <w:t xml:space="preserve"> </w:t>
      </w:r>
      <w:r w:rsidRPr="00192E85">
        <w:rPr>
          <w:rFonts w:cs="Arial"/>
          <w:rtl/>
        </w:rPr>
        <w:t>כסויו שמכסה הימנו הן פירותיו</w:t>
      </w:r>
      <w:r>
        <w:rPr>
          <w:rFonts w:cs="Arial" w:hint="cs"/>
          <w:rtl/>
        </w:rPr>
        <w:t>, רש"י.</w:t>
      </w:r>
    </w:p>
  </w:footnote>
  <w:footnote w:id="975">
    <w:p w14:paraId="6FFA826E" w14:textId="77777777" w:rsidR="00DE2F5F" w:rsidRDefault="00DE2F5F" w:rsidP="00C2610F">
      <w:pPr>
        <w:pStyle w:val="a5"/>
      </w:pPr>
      <w:r>
        <w:rPr>
          <w:rStyle w:val="a7"/>
        </w:rPr>
        <w:footnoteRef/>
      </w:r>
      <w:r>
        <w:rPr>
          <w:rtl/>
        </w:rPr>
        <w:t xml:space="preserve"> </w:t>
      </w:r>
      <w:r w:rsidRPr="00A713D5">
        <w:rPr>
          <w:rFonts w:cs="Arial"/>
          <w:rtl/>
        </w:rPr>
        <w:t>והשחקין יהיו לה לקרן</w:t>
      </w:r>
      <w:r>
        <w:rPr>
          <w:rFonts w:cs="Arial" w:hint="cs"/>
          <w:rtl/>
        </w:rPr>
        <w:t>, רש"י.</w:t>
      </w:r>
    </w:p>
  </w:footnote>
  <w:footnote w:id="976">
    <w:p w14:paraId="29404611" w14:textId="0DD40F92" w:rsidR="00DE2F5F" w:rsidRDefault="00DE2F5F">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Pr>
          <w:rFonts w:cs="Arial"/>
          <w:rtl/>
        </w:rPr>
        <w:t>אשה שהיו לה כספים הראויות לבעל לאכול פירותיהם, הוא אומר כך וכך ילקח בהם והיא אומרת איני לוקחת בהן אלא כך וכך, לוקחים דבר שפירותיו מרובים ויציאתו מעוטה, בין שהיה הדבר כרצונו בין שהיה כרצונה</w:t>
      </w:r>
      <w:r>
        <w:rPr>
          <w:rFonts w:cs="Arial" w:hint="cs"/>
          <w:rtl/>
        </w:rPr>
        <w:t>.</w:t>
      </w:r>
      <w:r>
        <w:rPr>
          <w:rFonts w:cs="Arial"/>
          <w:rtl/>
        </w:rPr>
        <w:t xml:space="preserve"> ואין לוקחין אלא דבר שגזעו מחליף שמא יאכל הכל ונמצא הקרן אבד.</w:t>
      </w:r>
    </w:p>
  </w:footnote>
  <w:footnote w:id="977">
    <w:p w14:paraId="5E22EC0D" w14:textId="4F54365B" w:rsidR="00DE2F5F" w:rsidRDefault="00DE2F5F">
      <w:pPr>
        <w:pStyle w:val="a5"/>
      </w:pPr>
      <w:r>
        <w:rPr>
          <w:rStyle w:val="a7"/>
        </w:rPr>
        <w:footnoteRef/>
      </w:r>
      <w:r>
        <w:rPr>
          <w:rtl/>
        </w:rPr>
        <w:t xml:space="preserve"> </w:t>
      </w:r>
      <w:r>
        <w:rPr>
          <w:rFonts w:cs="Arial"/>
          <w:rtl/>
        </w:rPr>
        <w:t>סובר רבינו דלענין אם נפל לה אילן וכיוצא בו הלכה כלישנא ד</w:t>
      </w:r>
      <w:r>
        <w:rPr>
          <w:rFonts w:cs="Arial" w:hint="cs"/>
          <w:rtl/>
        </w:rPr>
        <w:t>'</w:t>
      </w:r>
      <w:r>
        <w:rPr>
          <w:rFonts w:cs="Arial"/>
          <w:rtl/>
        </w:rPr>
        <w:t>אמרי לה פירא</w:t>
      </w:r>
      <w:r>
        <w:rPr>
          <w:rFonts w:cs="Arial" w:hint="cs"/>
          <w:rtl/>
        </w:rPr>
        <w:t>',</w:t>
      </w:r>
      <w:r>
        <w:rPr>
          <w:rFonts w:cs="Arial"/>
          <w:rtl/>
        </w:rPr>
        <w:t xml:space="preserve"> מדאמר רב נחמן (שם:) עיילא ליה גלימא </w:t>
      </w:r>
      <w:r>
        <w:rPr>
          <w:rFonts w:cs="Arial" w:hint="cs"/>
          <w:rtl/>
        </w:rPr>
        <w:t xml:space="preserve">- </w:t>
      </w:r>
      <w:r>
        <w:rPr>
          <w:rFonts w:cs="Arial"/>
          <w:rtl/>
        </w:rPr>
        <w:t>פירא הוי</w:t>
      </w:r>
      <w:r>
        <w:rPr>
          <w:rFonts w:cs="Arial" w:hint="cs"/>
          <w:rtl/>
        </w:rPr>
        <w:t>,</w:t>
      </w:r>
      <w:r>
        <w:rPr>
          <w:rFonts w:cs="Arial"/>
          <w:rtl/>
        </w:rPr>
        <w:t xml:space="preserve"> מכסי ליה ואזיל עד דכליא</w:t>
      </w:r>
      <w:r>
        <w:rPr>
          <w:rFonts w:cs="Arial" w:hint="cs"/>
          <w:rtl/>
        </w:rPr>
        <w:t>..., ב"י.</w:t>
      </w:r>
    </w:p>
  </w:footnote>
  <w:footnote w:id="978">
    <w:p w14:paraId="11A89BB3" w14:textId="5EA15705" w:rsidR="00DE2F5F" w:rsidRDefault="00DE2F5F">
      <w:pPr>
        <w:pStyle w:val="a5"/>
      </w:pPr>
      <w:r>
        <w:rPr>
          <w:rStyle w:val="a7"/>
        </w:rPr>
        <w:footnoteRef/>
      </w:r>
      <w:r>
        <w:rPr>
          <w:rtl/>
        </w:rPr>
        <w:t xml:space="preserve"> </w:t>
      </w:r>
      <w:r>
        <w:rPr>
          <w:rFonts w:cs="Arial" w:hint="cs"/>
          <w:rtl/>
        </w:rPr>
        <w:t>סובר רבנו ד</w:t>
      </w:r>
      <w:r>
        <w:rPr>
          <w:rFonts w:cs="Arial"/>
          <w:rtl/>
        </w:rPr>
        <w:t>לענין אם נפלו מעות הלכה כלישנא דאמרי לה קרנא דהוא לישנא בתרא</w:t>
      </w:r>
      <w:r>
        <w:rPr>
          <w:rFonts w:cs="Arial" w:hint="cs"/>
          <w:rtl/>
        </w:rPr>
        <w:t>...</w:t>
      </w:r>
      <w:r>
        <w:rPr>
          <w:rFonts w:cs="Arial"/>
          <w:rtl/>
        </w:rPr>
        <w:t xml:space="preserve"> ובדין זה כן דעת הרי"ף (לח.) שכתב הילכך כל היכא דקתני ילקח בו קרקע אין קונין אלא דבר שגזעו מחליף</w:t>
      </w:r>
      <w:r>
        <w:rPr>
          <w:rFonts w:cs="Arial" w:hint="cs"/>
          <w:rtl/>
        </w:rPr>
        <w:t>.</w:t>
      </w:r>
      <w:r>
        <w:rPr>
          <w:rFonts w:cs="Arial"/>
          <w:rtl/>
        </w:rPr>
        <w:t xml:space="preserve"> וכן כתב הרמב"ם בפכ"ב מהלכות אישות (הל"ג). ולענין הדין הראשון שהוא עיילא ליה גלימא וכיוצא בו יתבאר בסמוך דעת הפוסקים בו</w:t>
      </w:r>
      <w:r>
        <w:rPr>
          <w:rFonts w:cs="Arial" w:hint="cs"/>
          <w:rtl/>
        </w:rPr>
        <w:t>, ב"י.</w:t>
      </w:r>
    </w:p>
  </w:footnote>
  <w:footnote w:id="979">
    <w:p w14:paraId="54E4371D" w14:textId="19E0B6D7" w:rsidR="00DE2F5F" w:rsidRDefault="00DE2F5F" w:rsidP="00426F08">
      <w:pPr>
        <w:pStyle w:val="a5"/>
        <w:rPr>
          <w:rtl/>
        </w:rPr>
      </w:pPr>
      <w:r>
        <w:rPr>
          <w:rStyle w:val="a7"/>
        </w:rPr>
        <w:footnoteRef/>
      </w:r>
      <w:r>
        <w:rPr>
          <w:rtl/>
        </w:rPr>
        <w:t xml:space="preserve"> </w:t>
      </w:r>
      <w:r w:rsidRPr="00F71D8A">
        <w:rPr>
          <w:rFonts w:cs="Arial"/>
          <w:rtl/>
        </w:rPr>
        <w:t xml:space="preserve">ופי' רי"ף אפי' אין גוף העז והרחל והתרנגולת והדקל שלה ואין לה בהן אלא הפירות </w:t>
      </w:r>
      <w:r w:rsidR="007C6BA1">
        <w:rPr>
          <w:rFonts w:cs="Arial" w:hint="cs"/>
          <w:rtl/>
        </w:rPr>
        <w:t xml:space="preserve">- </w:t>
      </w:r>
      <w:r w:rsidRPr="00F71D8A">
        <w:rPr>
          <w:rFonts w:cs="Arial"/>
          <w:rtl/>
        </w:rPr>
        <w:t>אפ"ה אוכל והולך</w:t>
      </w:r>
      <w:r w:rsidR="007C6BA1">
        <w:rPr>
          <w:rFonts w:cs="Arial" w:hint="cs"/>
          <w:rtl/>
        </w:rPr>
        <w:t>.</w:t>
      </w:r>
      <w:r w:rsidRPr="00F71D8A">
        <w:rPr>
          <w:rFonts w:cs="Arial"/>
          <w:rtl/>
        </w:rPr>
        <w:t xml:space="preserve"> ולא נהירא לא"א הרא"ש ז"ל</w:t>
      </w:r>
      <w:r w:rsidR="007C6BA1">
        <w:rPr>
          <w:rFonts w:cs="Arial" w:hint="cs"/>
          <w:rtl/>
        </w:rPr>
        <w:t>,</w:t>
      </w:r>
      <w:r w:rsidRPr="00F71D8A">
        <w:rPr>
          <w:rFonts w:cs="Arial"/>
          <w:rtl/>
        </w:rPr>
        <w:t xml:space="preserve"> דכיון דליכא שיור כלל אין לכלות הקרן לגמרי</w:t>
      </w:r>
      <w:r w:rsidR="007C6BA1">
        <w:rPr>
          <w:rFonts w:cs="Arial" w:hint="cs"/>
          <w:rtl/>
        </w:rPr>
        <w:t>.</w:t>
      </w:r>
      <w:r w:rsidRPr="00F71D8A">
        <w:rPr>
          <w:rFonts w:cs="Arial"/>
          <w:rtl/>
        </w:rPr>
        <w:t xml:space="preserve"> אלא כפירש"י שגוף העז שלה</w:t>
      </w:r>
      <w:r>
        <w:rPr>
          <w:rFonts w:cs="Arial" w:hint="cs"/>
          <w:rtl/>
        </w:rPr>
        <w:t>.</w:t>
      </w:r>
      <w:r w:rsidRPr="00F71D8A">
        <w:rPr>
          <w:rFonts w:cs="Arial"/>
          <w:rtl/>
        </w:rPr>
        <w:t xml:space="preserve"> ונקט עז לחלבה דסתמא עז להכי קאי</w:t>
      </w:r>
      <w:r>
        <w:rPr>
          <w:rFonts w:cs="Arial" w:hint="cs"/>
          <w:sz w:val="16"/>
          <w:szCs w:val="16"/>
          <w:rtl/>
        </w:rPr>
        <w:t xml:space="preserve"> {</w:t>
      </w:r>
      <w:r w:rsidRPr="00426F08">
        <w:rPr>
          <w:rFonts w:cs="Arial"/>
          <w:sz w:val="16"/>
          <w:szCs w:val="16"/>
          <w:rtl/>
        </w:rPr>
        <w:t>משום דק</w:t>
      </w:r>
      <w:r>
        <w:rPr>
          <w:rFonts w:cs="Arial" w:hint="cs"/>
          <w:sz w:val="16"/>
          <w:szCs w:val="16"/>
          <w:rtl/>
        </w:rPr>
        <w:t xml:space="preserve">שיא </w:t>
      </w:r>
      <w:r w:rsidRPr="00426F08">
        <w:rPr>
          <w:rFonts w:cs="Arial"/>
          <w:sz w:val="16"/>
          <w:szCs w:val="16"/>
          <w:rtl/>
        </w:rPr>
        <w:t>ל</w:t>
      </w:r>
      <w:r>
        <w:rPr>
          <w:rFonts w:cs="Arial" w:hint="cs"/>
          <w:sz w:val="16"/>
          <w:szCs w:val="16"/>
          <w:rtl/>
        </w:rPr>
        <w:t>יה</w:t>
      </w:r>
      <w:r w:rsidRPr="00426F08">
        <w:rPr>
          <w:rFonts w:cs="Arial"/>
          <w:sz w:val="16"/>
          <w:szCs w:val="16"/>
          <w:rtl/>
        </w:rPr>
        <w:t xml:space="preserve"> דלישנא דעז לחלבה משמע כפירוש הרי"ף לכך כתב דנקט עז לחלבה משום דסתם עז להכי קאי</w:t>
      </w:r>
      <w:r>
        <w:rPr>
          <w:rFonts w:cs="Arial" w:hint="cs"/>
          <w:sz w:val="16"/>
          <w:szCs w:val="16"/>
          <w:rtl/>
        </w:rPr>
        <w:t>, ב"י}</w:t>
      </w:r>
      <w:r>
        <w:rPr>
          <w:rFonts w:cs="Arial" w:hint="cs"/>
          <w:rtl/>
        </w:rPr>
        <w:t>,</w:t>
      </w:r>
      <w:r w:rsidRPr="00F71D8A">
        <w:rPr>
          <w:rFonts w:cs="Arial"/>
          <w:rtl/>
        </w:rPr>
        <w:t xml:space="preserve"> והשתא נשאר לה הגוף לשיור</w:t>
      </w:r>
      <w:r>
        <w:rPr>
          <w:rFonts w:cs="Arial" w:hint="cs"/>
          <w:rtl/>
        </w:rPr>
        <w:t>,</w:t>
      </w:r>
      <w:r w:rsidRPr="00F71D8A">
        <w:rPr>
          <w:rFonts w:cs="Arial"/>
          <w:rtl/>
        </w:rPr>
        <w:t xml:space="preserve"> וכן באידך</w:t>
      </w:r>
      <w:r>
        <w:rPr>
          <w:rFonts w:hint="cs"/>
          <w:rtl/>
        </w:rPr>
        <w:t>, טור.</w:t>
      </w:r>
    </w:p>
  </w:footnote>
  <w:footnote w:id="980">
    <w:p w14:paraId="02D20479" w14:textId="32AAA32C" w:rsidR="00DE2F5F" w:rsidRDefault="00DE2F5F" w:rsidP="00426F08">
      <w:pPr>
        <w:pStyle w:val="a5"/>
        <w:rPr>
          <w:rtl/>
        </w:rPr>
      </w:pPr>
      <w:r>
        <w:rPr>
          <w:rStyle w:val="a7"/>
        </w:rPr>
        <w:footnoteRef/>
      </w:r>
      <w:r>
        <w:rPr>
          <w:rtl/>
        </w:rPr>
        <w:t xml:space="preserve"> </w:t>
      </w:r>
      <w:r>
        <w:rPr>
          <w:rFonts w:cs="Arial"/>
          <w:rtl/>
        </w:rPr>
        <w:t>פי' לא היה לה אלא חלב וגיזה וביצה בלבד וכן לא היו לו בדקל אלא פירותיו בלבד</w:t>
      </w:r>
      <w:r>
        <w:rPr>
          <w:rFonts w:cs="Arial" w:hint="cs"/>
          <w:rtl/>
        </w:rPr>
        <w:t>, ב"י.</w:t>
      </w:r>
    </w:p>
  </w:footnote>
  <w:footnote w:id="981">
    <w:p w14:paraId="207A6405" w14:textId="3978FFFE" w:rsidR="00DE2F5F" w:rsidRDefault="00DE2F5F" w:rsidP="00426F08">
      <w:pPr>
        <w:pStyle w:val="a5"/>
        <w:rPr>
          <w:rtl/>
        </w:rPr>
      </w:pPr>
      <w:r>
        <w:rPr>
          <w:rStyle w:val="a7"/>
        </w:rPr>
        <w:footnoteRef/>
      </w:r>
      <w:r>
        <w:rPr>
          <w:rtl/>
        </w:rPr>
        <w:t xml:space="preserve"> </w:t>
      </w:r>
      <w:r>
        <w:rPr>
          <w:rFonts w:cs="Arial"/>
          <w:rtl/>
        </w:rPr>
        <w:t>וכתב הר"ן (שם ד"ה הכניסה) דאע</w:t>
      </w:r>
      <w:r>
        <w:rPr>
          <w:rFonts w:cs="Arial" w:hint="cs"/>
          <w:rtl/>
        </w:rPr>
        <w:t>"</w:t>
      </w:r>
      <w:r>
        <w:rPr>
          <w:rFonts w:cs="Arial"/>
          <w:rtl/>
        </w:rPr>
        <w:t>ג דכי מתה הבהמה מיכליא קרנא לא חיישינן למתה וכחושה</w:t>
      </w:r>
      <w:r>
        <w:rPr>
          <w:rFonts w:cs="Arial" w:hint="cs"/>
          <w:rtl/>
        </w:rPr>
        <w:t>,</w:t>
      </w:r>
      <w:r>
        <w:rPr>
          <w:rFonts w:cs="Arial"/>
          <w:rtl/>
        </w:rPr>
        <w:t xml:space="preserve"> כרבי חנינא דקיי</w:t>
      </w:r>
      <w:r w:rsidR="007C6BA1">
        <w:rPr>
          <w:rFonts w:cs="Arial" w:hint="cs"/>
          <w:rtl/>
        </w:rPr>
        <w:t>"</w:t>
      </w:r>
      <w:r>
        <w:rPr>
          <w:rFonts w:cs="Arial"/>
          <w:rtl/>
        </w:rPr>
        <w:t>ל כוותיה</w:t>
      </w:r>
      <w:r>
        <w:rPr>
          <w:rFonts w:cs="Arial" w:hint="cs"/>
          <w:rtl/>
        </w:rPr>
        <w:t>.</w:t>
      </w:r>
      <w:r>
        <w:rPr>
          <w:rFonts w:cs="Arial"/>
          <w:rtl/>
        </w:rPr>
        <w:t xml:space="preserve"> וגבי עיילא ליה גלימא פירא הוי ומכסי בה עד דכלי כתב</w:t>
      </w:r>
      <w:r w:rsidR="007C6BA1">
        <w:rPr>
          <w:rFonts w:cs="Arial" w:hint="cs"/>
          <w:rtl/>
        </w:rPr>
        <w:t>:</w:t>
      </w:r>
      <w:r>
        <w:rPr>
          <w:rFonts w:cs="Arial"/>
          <w:rtl/>
        </w:rPr>
        <w:t xml:space="preserve"> ואע</w:t>
      </w:r>
      <w:r>
        <w:rPr>
          <w:rFonts w:cs="Arial" w:hint="cs"/>
          <w:rtl/>
        </w:rPr>
        <w:t>"</w:t>
      </w:r>
      <w:r>
        <w:rPr>
          <w:rFonts w:cs="Arial"/>
          <w:rtl/>
        </w:rPr>
        <w:t>ג דמכליא קרנא</w:t>
      </w:r>
      <w:r>
        <w:rPr>
          <w:rFonts w:cs="Arial" w:hint="cs"/>
          <w:rtl/>
        </w:rPr>
        <w:t>,</w:t>
      </w:r>
      <w:r>
        <w:rPr>
          <w:rFonts w:cs="Arial"/>
          <w:rtl/>
        </w:rPr>
        <w:t xml:space="preserve"> כיון שאין בלויו ניכר בכל שעה ושעה לא איכפת לן</w:t>
      </w:r>
      <w:r>
        <w:rPr>
          <w:rFonts w:cs="Arial" w:hint="cs"/>
          <w:rtl/>
        </w:rPr>
        <w:t>.</w:t>
      </w:r>
      <w:r>
        <w:rPr>
          <w:rFonts w:cs="Arial"/>
          <w:rtl/>
        </w:rPr>
        <w:t xml:space="preserve"> אבל רש"י כתב והשחקים יהיו לה קרן עכ"ל. והרא"ש (סי' ז) כתב על דברי הרי"ף</w:t>
      </w:r>
      <w:r w:rsidR="007C6BA1">
        <w:rPr>
          <w:rFonts w:cs="Arial" w:hint="cs"/>
          <w:rtl/>
        </w:rPr>
        <w:t>:</w:t>
      </w:r>
      <w:r>
        <w:rPr>
          <w:rFonts w:cs="Arial"/>
          <w:rtl/>
        </w:rPr>
        <w:t xml:space="preserve"> ולא נראה לי</w:t>
      </w:r>
      <w:r>
        <w:rPr>
          <w:rFonts w:cs="Arial" w:hint="cs"/>
          <w:rtl/>
        </w:rPr>
        <w:t>,</w:t>
      </w:r>
      <w:r>
        <w:rPr>
          <w:rFonts w:cs="Arial"/>
          <w:rtl/>
        </w:rPr>
        <w:t xml:space="preserve"> דכיון דליכא שיור כלל אין לכלות הקרן לגמרי</w:t>
      </w:r>
      <w:r>
        <w:rPr>
          <w:rFonts w:cs="Arial" w:hint="cs"/>
          <w:rtl/>
        </w:rPr>
        <w:t>,</w:t>
      </w:r>
      <w:r>
        <w:rPr>
          <w:rFonts w:cs="Arial"/>
          <w:rtl/>
        </w:rPr>
        <w:t xml:space="preserve"> דבגלימא איכא שחקים</w:t>
      </w:r>
      <w:r>
        <w:rPr>
          <w:rFonts w:cs="Arial" w:hint="cs"/>
          <w:rtl/>
        </w:rPr>
        <w:t>,</w:t>
      </w:r>
      <w:r>
        <w:rPr>
          <w:rFonts w:cs="Arial"/>
          <w:rtl/>
        </w:rPr>
        <w:t xml:space="preserve"> גפרית ומחפורת של צריף נשאר המקום</w:t>
      </w:r>
      <w:r>
        <w:rPr>
          <w:rFonts w:cs="Arial" w:hint="cs"/>
          <w:rtl/>
        </w:rPr>
        <w:t>.</w:t>
      </w:r>
      <w:r>
        <w:rPr>
          <w:rFonts w:cs="Arial"/>
          <w:rtl/>
        </w:rPr>
        <w:t xml:space="preserve"> והראב"ד פירש הטעם כיון דמקום החלב והגיזה קנוי לה הוי חלב של כל יום ויום פירא</w:t>
      </w:r>
      <w:r>
        <w:rPr>
          <w:rFonts w:cs="Arial" w:hint="cs"/>
          <w:rtl/>
        </w:rPr>
        <w:t>.</w:t>
      </w:r>
      <w:r>
        <w:rPr>
          <w:rFonts w:cs="Arial"/>
          <w:rtl/>
        </w:rPr>
        <w:t xml:space="preserve"> ולא מסתבר</w:t>
      </w:r>
      <w:r w:rsidR="007C6BA1">
        <w:rPr>
          <w:rFonts w:cs="Arial" w:hint="cs"/>
          <w:rtl/>
        </w:rPr>
        <w:t>,</w:t>
      </w:r>
      <w:r>
        <w:rPr>
          <w:rFonts w:cs="Arial"/>
          <w:rtl/>
        </w:rPr>
        <w:t xml:space="preserve"> דלא מיקרי גזעו מחליף אלא היכא שנשאר מן הקרן קיים עכ"ל</w:t>
      </w:r>
      <w:r>
        <w:rPr>
          <w:rFonts w:cs="Arial" w:hint="cs"/>
          <w:rtl/>
        </w:rPr>
        <w:t>, ב"י.</w:t>
      </w:r>
    </w:p>
  </w:footnote>
  <w:footnote w:id="982">
    <w:p w14:paraId="3BE71060" w14:textId="31ADC067" w:rsidR="00DE2F5F" w:rsidRDefault="00DE2F5F">
      <w:pPr>
        <w:pStyle w:val="a5"/>
      </w:pPr>
      <w:r>
        <w:rPr>
          <w:rStyle w:val="a7"/>
        </w:rPr>
        <w:footnoteRef/>
      </w:r>
      <w:r>
        <w:rPr>
          <w:rtl/>
        </w:rPr>
        <w:t xml:space="preserve"> </w:t>
      </w:r>
      <w:r w:rsidRPr="00120D5D">
        <w:rPr>
          <w:rFonts w:cs="Arial"/>
          <w:rtl/>
        </w:rPr>
        <w:t>ומעות מזומנים אין מניחים לו להרויח בהם אלא לוקחים גם כן בהם דבר שפירות מרובים והפירות מהם יכול למכור ולהרויח עם המעות תשובת הרשב"א עיין תשובת רש"ך ס"ג סימן מ"ז</w:t>
      </w:r>
      <w:r>
        <w:rPr>
          <w:rFonts w:cs="Arial" w:hint="cs"/>
          <w:rtl/>
        </w:rPr>
        <w:t>, ב"ש (סקל"ב).</w:t>
      </w:r>
    </w:p>
  </w:footnote>
  <w:footnote w:id="983">
    <w:p w14:paraId="0C7A4C7E" w14:textId="0CBE5AEE" w:rsidR="00DE2F5F" w:rsidRDefault="00DE2F5F">
      <w:pPr>
        <w:pStyle w:val="a5"/>
      </w:pPr>
      <w:r>
        <w:rPr>
          <w:rStyle w:val="a7"/>
        </w:rPr>
        <w:footnoteRef/>
      </w:r>
      <w:r>
        <w:rPr>
          <w:rtl/>
        </w:rPr>
        <w:t xml:space="preserve"> </w:t>
      </w:r>
      <w:r w:rsidRPr="009E5A93">
        <w:rPr>
          <w:rFonts w:cs="Arial"/>
          <w:rtl/>
        </w:rPr>
        <w:t>בגמרא מפרש ארעא ובתי ארעא וכו' והרמב"ם השמיט זה משום שאם יראה בעיני ב"ד ששכירות הבתים יותר טוב משדות הרשות בידם והכל תלוי בזה בדב' שפירותיו מרובין ובזמן הגמרא היה ארעא עדיף מבתי</w:t>
      </w:r>
      <w:r>
        <w:rPr>
          <w:rFonts w:cs="Arial" w:hint="cs"/>
          <w:rtl/>
        </w:rPr>
        <w:t>, ח"מ (סקל"ג).</w:t>
      </w:r>
    </w:p>
  </w:footnote>
  <w:footnote w:id="984">
    <w:p w14:paraId="30700E5D" w14:textId="4582D461" w:rsidR="00DE2F5F" w:rsidRDefault="00DE2F5F">
      <w:pPr>
        <w:pStyle w:val="a5"/>
      </w:pPr>
      <w:r>
        <w:rPr>
          <w:rStyle w:val="a7"/>
        </w:rPr>
        <w:footnoteRef/>
      </w:r>
      <w:r>
        <w:rPr>
          <w:rtl/>
        </w:rPr>
        <w:t xml:space="preserve"> </w:t>
      </w:r>
      <w:r w:rsidRPr="00120D5D">
        <w:rPr>
          <w:rFonts w:cs="Arial"/>
          <w:rtl/>
        </w:rPr>
        <w:t>אע</w:t>
      </w:r>
      <w:r>
        <w:rPr>
          <w:rFonts w:cs="Arial" w:hint="cs"/>
          <w:rtl/>
        </w:rPr>
        <w:t>"</w:t>
      </w:r>
      <w:r w:rsidRPr="00120D5D">
        <w:rPr>
          <w:rFonts w:cs="Arial"/>
          <w:rtl/>
        </w:rPr>
        <w:t xml:space="preserve">ג </w:t>
      </w:r>
      <w:r w:rsidR="007C6BA1">
        <w:rPr>
          <w:rFonts w:cs="Arial" w:hint="cs"/>
          <w:rtl/>
        </w:rPr>
        <w:t>ד</w:t>
      </w:r>
      <w:r w:rsidRPr="00120D5D">
        <w:rPr>
          <w:rFonts w:cs="Arial"/>
          <w:rtl/>
        </w:rPr>
        <w:t>אם נפלה לה פירות קי"ל דימכור</w:t>
      </w:r>
      <w:r w:rsidR="007C6BA1">
        <w:rPr>
          <w:rFonts w:cs="Arial" w:hint="cs"/>
          <w:rtl/>
        </w:rPr>
        <w:t>,</w:t>
      </w:r>
      <w:r w:rsidRPr="00120D5D">
        <w:rPr>
          <w:rFonts w:cs="Arial"/>
          <w:rtl/>
        </w:rPr>
        <w:t xml:space="preserve"> שאני התם</w:t>
      </w:r>
      <w:r w:rsidR="007C6BA1">
        <w:rPr>
          <w:rFonts w:cs="Arial" w:hint="cs"/>
          <w:rtl/>
        </w:rPr>
        <w:t>,</w:t>
      </w:r>
      <w:r w:rsidRPr="00120D5D">
        <w:rPr>
          <w:rFonts w:cs="Arial"/>
          <w:rtl/>
        </w:rPr>
        <w:t xml:space="preserve"> </w:t>
      </w:r>
      <w:r w:rsidR="007C6BA1">
        <w:rPr>
          <w:rFonts w:cs="Arial" w:hint="cs"/>
          <w:rtl/>
        </w:rPr>
        <w:t>ד</w:t>
      </w:r>
      <w:r w:rsidRPr="00120D5D">
        <w:rPr>
          <w:rFonts w:cs="Arial"/>
          <w:rtl/>
        </w:rPr>
        <w:t xml:space="preserve">אחר שיאכל הפירות </w:t>
      </w:r>
      <w:r w:rsidR="007C6BA1">
        <w:rPr>
          <w:rFonts w:cs="Arial" w:hint="cs"/>
          <w:rtl/>
        </w:rPr>
        <w:t xml:space="preserve">- </w:t>
      </w:r>
      <w:r w:rsidRPr="00120D5D">
        <w:rPr>
          <w:rFonts w:cs="Arial"/>
          <w:rtl/>
        </w:rPr>
        <w:t>כלו הכל</w:t>
      </w:r>
      <w:r w:rsidR="007C6BA1">
        <w:rPr>
          <w:rFonts w:cs="Arial" w:hint="cs"/>
          <w:sz w:val="16"/>
          <w:szCs w:val="16"/>
          <w:rtl/>
        </w:rPr>
        <w:t xml:space="preserve"> {מיד}</w:t>
      </w:r>
      <w:r w:rsidR="007C6BA1">
        <w:rPr>
          <w:rFonts w:cs="Arial" w:hint="cs"/>
          <w:rtl/>
        </w:rPr>
        <w:t>,</w:t>
      </w:r>
      <w:r w:rsidRPr="00120D5D">
        <w:rPr>
          <w:rFonts w:cs="Arial"/>
          <w:rtl/>
        </w:rPr>
        <w:t xml:space="preserve"> אבל כאן יש חלב אחר וכן הדקל יוציא פירות אחרים</w:t>
      </w:r>
      <w:r w:rsidR="007C6BA1">
        <w:rPr>
          <w:rFonts w:cs="Arial" w:hint="cs"/>
          <w:sz w:val="16"/>
          <w:szCs w:val="16"/>
          <w:rtl/>
        </w:rPr>
        <w:t xml:space="preserve"> {ולא יפסד לגמרי אלא לאחר זמן}</w:t>
      </w:r>
      <w:r>
        <w:rPr>
          <w:rFonts w:cs="Arial" w:hint="cs"/>
          <w:rtl/>
        </w:rPr>
        <w:t>, ב"ש (סקל"ג).</w:t>
      </w:r>
    </w:p>
  </w:footnote>
  <w:footnote w:id="985">
    <w:p w14:paraId="4A39BAB6" w14:textId="2FD98B2E" w:rsidR="00DE2F5F" w:rsidRDefault="00DE2F5F">
      <w:pPr>
        <w:pStyle w:val="a5"/>
      </w:pPr>
      <w:r>
        <w:rPr>
          <w:rStyle w:val="a7"/>
        </w:rPr>
        <w:footnoteRef/>
      </w:r>
      <w:r>
        <w:rPr>
          <w:rtl/>
        </w:rPr>
        <w:t xml:space="preserve"> </w:t>
      </w:r>
      <w:r w:rsidRPr="009E35EA">
        <w:rPr>
          <w:rFonts w:cs="Arial"/>
          <w:rtl/>
        </w:rPr>
        <w:t>יכולה היא לעכב</w:t>
      </w:r>
      <w:r>
        <w:rPr>
          <w:rFonts w:cs="Arial" w:hint="cs"/>
          <w:rtl/>
        </w:rPr>
        <w:t>, רש"י.</w:t>
      </w:r>
    </w:p>
  </w:footnote>
  <w:footnote w:id="986">
    <w:p w14:paraId="381DC106" w14:textId="24DC8AAC" w:rsidR="00DE2F5F" w:rsidRDefault="00DE2F5F">
      <w:pPr>
        <w:pStyle w:val="a5"/>
      </w:pPr>
      <w:r>
        <w:rPr>
          <w:rStyle w:val="a7"/>
        </w:rPr>
        <w:footnoteRef/>
      </w:r>
      <w:r>
        <w:rPr>
          <w:rtl/>
        </w:rPr>
        <w:t xml:space="preserve"> </w:t>
      </w:r>
      <w:r>
        <w:rPr>
          <w:rFonts w:hint="cs"/>
          <w:rtl/>
        </w:rPr>
        <w:t>לפני הטור והב"י הגירסא הייתה 'רשב"ג'. אך לפנינו איתא 'רבי יהודה'. וכן היה לפני הרמב"ם.</w:t>
      </w:r>
    </w:p>
  </w:footnote>
  <w:footnote w:id="987">
    <w:p w14:paraId="404E4EA6" w14:textId="59908477" w:rsidR="00DE2F5F" w:rsidRDefault="00DE2F5F">
      <w:pPr>
        <w:pStyle w:val="a5"/>
        <w:rPr>
          <w:rtl/>
        </w:rPr>
      </w:pPr>
      <w:r>
        <w:rPr>
          <w:rStyle w:val="a7"/>
        </w:rPr>
        <w:footnoteRef/>
      </w:r>
      <w:r>
        <w:rPr>
          <w:rtl/>
        </w:rPr>
        <w:t xml:space="preserve"> </w:t>
      </w:r>
      <w:r w:rsidRPr="009E35EA">
        <w:rPr>
          <w:rFonts w:cs="Arial"/>
          <w:rtl/>
        </w:rPr>
        <w:t>כגון שהיו לאביה זיתים שקנה בלא קרקע על מנת שיהיו בקרקע המוכר והלוקח יאכל פירות עד שיבשו</w:t>
      </w:r>
      <w:r>
        <w:rPr>
          <w:rFonts w:hint="cs"/>
          <w:rtl/>
        </w:rPr>
        <w:t>, רש"י.</w:t>
      </w:r>
    </w:p>
  </w:footnote>
  <w:footnote w:id="988">
    <w:p w14:paraId="688F8972" w14:textId="0BEFAA4D" w:rsidR="00514F5E" w:rsidRDefault="00514F5E">
      <w:pPr>
        <w:pStyle w:val="a5"/>
      </w:pPr>
      <w:r>
        <w:rPr>
          <w:rStyle w:val="a7"/>
        </w:rPr>
        <w:footnoteRef/>
      </w:r>
      <w:r>
        <w:rPr>
          <w:rtl/>
        </w:rPr>
        <w:t xml:space="preserve"> </w:t>
      </w:r>
      <w:r>
        <w:rPr>
          <w:rFonts w:hint="cs"/>
          <w:rtl/>
        </w:rPr>
        <w:t>ו</w:t>
      </w:r>
      <w:r w:rsidR="00433CDA">
        <w:rPr>
          <w:rFonts w:hint="cs"/>
          <w:rtl/>
        </w:rPr>
        <w:t xml:space="preserve">עיין </w:t>
      </w:r>
      <w:r>
        <w:rPr>
          <w:rFonts w:hint="cs"/>
          <w:rtl/>
        </w:rPr>
        <w:t>בב"ק (צא:) וברמב"ם (הל' מלכים פ"ו ה"ט)</w:t>
      </w:r>
      <w:r w:rsidR="00433CDA">
        <w:rPr>
          <w:rFonts w:hint="cs"/>
          <w:rtl/>
        </w:rPr>
        <w:t xml:space="preserve"> כמה הוא שיעור כדי טיפולן</w:t>
      </w:r>
      <w:r>
        <w:rPr>
          <w:rFonts w:hint="cs"/>
          <w:rtl/>
        </w:rPr>
        <w:t>.</w:t>
      </w:r>
    </w:p>
  </w:footnote>
  <w:footnote w:id="989">
    <w:p w14:paraId="66E4138D" w14:textId="77777777" w:rsidR="00DE2F5F" w:rsidRDefault="00DE2F5F" w:rsidP="00CB4FF9">
      <w:pPr>
        <w:pStyle w:val="a5"/>
      </w:pPr>
      <w:r>
        <w:rPr>
          <w:rStyle w:val="a7"/>
        </w:rPr>
        <w:footnoteRef/>
      </w:r>
      <w:r>
        <w:rPr>
          <w:rtl/>
        </w:rPr>
        <w:t xml:space="preserve"> </w:t>
      </w:r>
      <w:r>
        <w:rPr>
          <w:rFonts w:cs="Arial"/>
          <w:rtl/>
        </w:rPr>
        <w:t>לאו למימרא שאין ראויין למלאכה כלל</w:t>
      </w:r>
      <w:r>
        <w:rPr>
          <w:rFonts w:cs="Arial" w:hint="cs"/>
          <w:rtl/>
        </w:rPr>
        <w:t>,</w:t>
      </w:r>
      <w:r>
        <w:rPr>
          <w:rFonts w:cs="Arial"/>
          <w:rtl/>
        </w:rPr>
        <w:t xml:space="preserve"> דאם כן מה מכר שייך בהם</w:t>
      </w:r>
      <w:r>
        <w:rPr>
          <w:rFonts w:cs="Arial" w:hint="cs"/>
          <w:rtl/>
        </w:rPr>
        <w:t>,</w:t>
      </w:r>
      <w:r>
        <w:rPr>
          <w:rFonts w:cs="Arial"/>
          <w:rtl/>
        </w:rPr>
        <w:t xml:space="preserve"> ותו מאי ישתמש בהם כמו שהם דקאמר</w:t>
      </w:r>
      <w:r>
        <w:rPr>
          <w:rFonts w:cs="Arial" w:hint="cs"/>
          <w:rtl/>
        </w:rPr>
        <w:t>,</w:t>
      </w:r>
      <w:r>
        <w:rPr>
          <w:rFonts w:cs="Arial"/>
          <w:rtl/>
        </w:rPr>
        <w:t xml:space="preserve"> אלא היינו לומר שאינם ראויים למלאכה כבדה</w:t>
      </w:r>
      <w:r>
        <w:rPr>
          <w:rFonts w:cs="Arial" w:hint="cs"/>
          <w:rtl/>
        </w:rPr>
        <w:t>,</w:t>
      </w:r>
      <w:r>
        <w:rPr>
          <w:rFonts w:cs="Arial"/>
          <w:rtl/>
        </w:rPr>
        <w:t xml:space="preserve"> ומכל מקום ראויים הם למלאכה קלה</w:t>
      </w:r>
      <w:r>
        <w:rPr>
          <w:rFonts w:cs="Arial" w:hint="cs"/>
          <w:rtl/>
        </w:rPr>
        <w:t>, ב"י.</w:t>
      </w:r>
    </w:p>
  </w:footnote>
  <w:footnote w:id="990">
    <w:p w14:paraId="56CEFD69" w14:textId="40AC3568" w:rsidR="00DE2F5F" w:rsidRDefault="00DE2F5F" w:rsidP="00CB4FF9">
      <w:pPr>
        <w:pStyle w:val="a5"/>
      </w:pPr>
      <w:r>
        <w:rPr>
          <w:rStyle w:val="a7"/>
        </w:rPr>
        <w:footnoteRef/>
      </w:r>
      <w:r>
        <w:rPr>
          <w:rtl/>
        </w:rPr>
        <w:t xml:space="preserve"> </w:t>
      </w:r>
      <w:r>
        <w:rPr>
          <w:rFonts w:cs="Arial"/>
          <w:rtl/>
        </w:rPr>
        <w:t>משמע לרבינו דימכרו דקאמר תנא קמא היינו לומר דבבעל תליא מילתא אם רצה למכור ימכור</w:t>
      </w:r>
      <w:r>
        <w:rPr>
          <w:rFonts w:cs="Arial" w:hint="cs"/>
          <w:rtl/>
        </w:rPr>
        <w:t>.</w:t>
      </w:r>
      <w:r>
        <w:rPr>
          <w:rFonts w:cs="Arial"/>
          <w:rtl/>
        </w:rPr>
        <w:t xml:space="preserve"> והרמ"ה משמע ליה דהיינו לומר שאי זה משניהם שרוצה למכור ימכור ע</w:t>
      </w:r>
      <w:r w:rsidR="00433CDA">
        <w:rPr>
          <w:rFonts w:cs="Arial" w:hint="cs"/>
          <w:rtl/>
        </w:rPr>
        <w:t xml:space="preserve">ל </w:t>
      </w:r>
      <w:r>
        <w:rPr>
          <w:rFonts w:cs="Arial"/>
          <w:rtl/>
        </w:rPr>
        <w:t>כ</w:t>
      </w:r>
      <w:r w:rsidR="00433CDA">
        <w:rPr>
          <w:rFonts w:cs="Arial" w:hint="cs"/>
          <w:rtl/>
        </w:rPr>
        <w:t>רחו</w:t>
      </w:r>
      <w:r>
        <w:rPr>
          <w:rFonts w:cs="Arial"/>
          <w:rtl/>
        </w:rPr>
        <w:t xml:space="preserve"> של חבירו</w:t>
      </w:r>
      <w:r>
        <w:rPr>
          <w:rFonts w:cs="Arial" w:hint="cs"/>
          <w:rtl/>
        </w:rPr>
        <w:t xml:space="preserve">, ב"י. </w:t>
      </w:r>
    </w:p>
  </w:footnote>
  <w:footnote w:id="991">
    <w:p w14:paraId="5DDC8247" w14:textId="77777777" w:rsidR="00DE2F5F" w:rsidRDefault="00DE2F5F" w:rsidP="00CB4FF9">
      <w:pPr>
        <w:pStyle w:val="a5"/>
        <w:rPr>
          <w:rtl/>
        </w:rPr>
      </w:pPr>
      <w:r>
        <w:rPr>
          <w:rStyle w:val="a7"/>
        </w:rPr>
        <w:footnoteRef/>
      </w:r>
      <w:r>
        <w:rPr>
          <w:rtl/>
        </w:rPr>
        <w:t xml:space="preserve"> </w:t>
      </w:r>
      <w:r>
        <w:rPr>
          <w:rFonts w:cs="Arial"/>
          <w:rtl/>
        </w:rPr>
        <w:t>איני יודע היכן כתב כן כי בפסקיו לא ראיתי דבר שיוכיח לומר שסובר כן</w:t>
      </w:r>
      <w:r>
        <w:rPr>
          <w:rFonts w:hint="cs"/>
          <w:rtl/>
        </w:rPr>
        <w:t>, ב"י.</w:t>
      </w:r>
    </w:p>
  </w:footnote>
  <w:footnote w:id="992">
    <w:p w14:paraId="22C0B3AB" w14:textId="77777777" w:rsidR="00DE2F5F" w:rsidRDefault="00DE2F5F" w:rsidP="00D31200">
      <w:pPr>
        <w:pStyle w:val="a5"/>
      </w:pPr>
      <w:r>
        <w:rPr>
          <w:rStyle w:val="a7"/>
        </w:rPr>
        <w:footnoteRef/>
      </w:r>
      <w:r>
        <w:rPr>
          <w:rtl/>
        </w:rPr>
        <w:t xml:space="preserve"> </w:t>
      </w:r>
      <w:r w:rsidRPr="007A228B">
        <w:rPr>
          <w:rFonts w:cs="Arial"/>
          <w:rtl/>
        </w:rPr>
        <w:t>ואיני יודע למה פוסק בחד כחכמים ובחד כרשב"ג</w:t>
      </w:r>
      <w:r>
        <w:rPr>
          <w:rFonts w:cs="Arial" w:hint="cs"/>
          <w:rtl/>
        </w:rPr>
        <w:t>, טור.</w:t>
      </w:r>
      <w:r w:rsidRPr="00673C09">
        <w:rPr>
          <w:rFonts w:cs="Arial"/>
          <w:rtl/>
        </w:rPr>
        <w:t xml:space="preserve"> </w:t>
      </w:r>
      <w:r>
        <w:rPr>
          <w:rFonts w:cs="Arial"/>
          <w:rtl/>
        </w:rPr>
        <w:t>ו</w:t>
      </w:r>
      <w:r>
        <w:rPr>
          <w:rFonts w:cs="Arial" w:hint="cs"/>
          <w:rtl/>
        </w:rPr>
        <w:t>כתב הב"י ד</w:t>
      </w:r>
      <w:r>
        <w:rPr>
          <w:rFonts w:cs="Arial"/>
          <w:rtl/>
        </w:rPr>
        <w:t>מה שתמה רבינו על הרמב"ם למה פסק בחד כחכמים ובחד כרשב"ג כבר כתבו הר"ן (לח: ד"ה גמ' מחלוקת) והרב המגיד שהוא ז"ל גורס כנוסחת ספרים דגרסי בבבא דנפלו לה זיתים רבי יהודה במקום רשב"ג ולפיכך פסק בעבדים כרשב"ג דכל מקום ששנה במשנתינו הלכה כמותו (כתובות עז.) ובזיתים וגפנים פסק כת"ק</w:t>
      </w:r>
      <w:r>
        <w:rPr>
          <w:rFonts w:hint="cs"/>
          <w:rtl/>
        </w:rPr>
        <w:t>.</w:t>
      </w:r>
    </w:p>
  </w:footnote>
  <w:footnote w:id="993">
    <w:p w14:paraId="26EECD74" w14:textId="5C696320" w:rsidR="00DE2F5F" w:rsidRDefault="00DE2F5F">
      <w:pPr>
        <w:pStyle w:val="a5"/>
      </w:pPr>
      <w:r>
        <w:rPr>
          <w:rStyle w:val="a7"/>
        </w:rPr>
        <w:footnoteRef/>
      </w:r>
      <w:r>
        <w:rPr>
          <w:rtl/>
        </w:rPr>
        <w:t xml:space="preserve"> </w:t>
      </w:r>
      <w:r w:rsidRPr="00B53778">
        <w:rPr>
          <w:rFonts w:cs="Arial"/>
          <w:rtl/>
        </w:rPr>
        <w:t xml:space="preserve">ואם היא רוצה למכור </w:t>
      </w:r>
      <w:r w:rsidR="00496040">
        <w:rPr>
          <w:rFonts w:cs="Arial" w:hint="cs"/>
          <w:rtl/>
        </w:rPr>
        <w:t xml:space="preserve">- </w:t>
      </w:r>
      <w:r w:rsidRPr="00B53778">
        <w:rPr>
          <w:rFonts w:cs="Arial"/>
          <w:rtl/>
        </w:rPr>
        <w:t>אינה יכולה לכופו</w:t>
      </w:r>
      <w:r w:rsidR="00496040">
        <w:rPr>
          <w:rFonts w:cs="Arial" w:hint="cs"/>
          <w:rtl/>
        </w:rPr>
        <w:t>,</w:t>
      </w:r>
      <w:r w:rsidRPr="00B53778">
        <w:rPr>
          <w:rFonts w:cs="Arial"/>
          <w:rtl/>
        </w:rPr>
        <w:t xml:space="preserve"> דהא אפילו בעז לחלבה שאין לה רק חלב אוכל והולך עד שיכלה הקרן מכ"ש בעבדים זקנים משתמש בהן והולך אף עפ"י שלא ישאר לה הקרן</w:t>
      </w:r>
      <w:r>
        <w:rPr>
          <w:rFonts w:cs="Arial" w:hint="cs"/>
          <w:rtl/>
        </w:rPr>
        <w:t>, ח"מ (סקל"ד).</w:t>
      </w:r>
    </w:p>
  </w:footnote>
  <w:footnote w:id="994">
    <w:p w14:paraId="1E31FFDA" w14:textId="7C7B070E" w:rsidR="00DE2F5F" w:rsidRDefault="00DE2F5F">
      <w:pPr>
        <w:pStyle w:val="a5"/>
      </w:pPr>
      <w:r>
        <w:rPr>
          <w:rStyle w:val="a7"/>
        </w:rPr>
        <w:footnoteRef/>
      </w:r>
      <w:r>
        <w:rPr>
          <w:rtl/>
        </w:rPr>
        <w:t xml:space="preserve"> </w:t>
      </w:r>
      <w:r w:rsidRPr="0097011F">
        <w:rPr>
          <w:rFonts w:cs="Arial"/>
          <w:rtl/>
        </w:rPr>
        <w:t>דקסבר מה שגדל ברשותו הוו פירות ומה שלא גדל ברשותו הוי קרן לפיכך מה שדמי הקרקע יקרים עכשיו בשביל תבואה זו צריך ליתן לה דמים ויקנו מהן קרקע ויאכל הוא פירותיה</w:t>
      </w:r>
      <w:r>
        <w:rPr>
          <w:rFonts w:cs="Arial" w:hint="cs"/>
          <w:rtl/>
        </w:rPr>
        <w:t>, רש"י.</w:t>
      </w:r>
    </w:p>
  </w:footnote>
  <w:footnote w:id="995">
    <w:p w14:paraId="76E53E70" w14:textId="46F45D4D" w:rsidR="00DE2F5F" w:rsidRDefault="00DE2F5F">
      <w:pPr>
        <w:pStyle w:val="a5"/>
        <w:rPr>
          <w:rtl/>
        </w:rPr>
      </w:pPr>
      <w:r>
        <w:rPr>
          <w:rStyle w:val="a7"/>
        </w:rPr>
        <w:footnoteRef/>
      </w:r>
      <w:r>
        <w:rPr>
          <w:rtl/>
        </w:rPr>
        <w:t xml:space="preserve"> </w:t>
      </w:r>
      <w:r w:rsidRPr="0097011F">
        <w:rPr>
          <w:rFonts w:cs="Arial"/>
          <w:rtl/>
        </w:rPr>
        <w:t>אף אלו שלא גדלו ברשותו תורת פירות נתנו בהן הואיל והקרקע קיימת לה</w:t>
      </w:r>
      <w:r>
        <w:rPr>
          <w:rFonts w:hint="cs"/>
          <w:rtl/>
        </w:rPr>
        <w:t>, רש"י.</w:t>
      </w:r>
    </w:p>
  </w:footnote>
  <w:footnote w:id="996">
    <w:p w14:paraId="479B3BD1" w14:textId="3274F90F" w:rsidR="00DE2F5F" w:rsidRDefault="00DE2F5F" w:rsidP="00ED6597">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8C162E">
        <w:rPr>
          <w:rFonts w:cs="Arial"/>
          <w:rtl/>
        </w:rPr>
        <w:t>נפלו לה פירות מחוברין לקרקע הרי אלו של בעל, תלושין מן הקרקע שלה וימכרו וילקח בהן קרקע והוא אוכל פירות</w:t>
      </w:r>
      <w:r>
        <w:rPr>
          <w:rFonts w:cs="Arial" w:hint="cs"/>
          <w:rtl/>
        </w:rPr>
        <w:t>.</w:t>
      </w:r>
    </w:p>
  </w:footnote>
  <w:footnote w:id="997">
    <w:p w14:paraId="002B9E8C" w14:textId="27F33E13" w:rsidR="00DE2F5F" w:rsidRDefault="00DE2F5F">
      <w:pPr>
        <w:pStyle w:val="a5"/>
      </w:pPr>
      <w:r>
        <w:rPr>
          <w:rStyle w:val="a7"/>
        </w:rPr>
        <w:footnoteRef/>
      </w:r>
      <w:r>
        <w:rPr>
          <w:rtl/>
        </w:rPr>
        <w:t xml:space="preserve"> </w:t>
      </w:r>
      <w:r>
        <w:rPr>
          <w:rFonts w:cs="Arial"/>
          <w:rtl/>
        </w:rPr>
        <w:t>וכתב</w:t>
      </w:r>
      <w:r>
        <w:rPr>
          <w:rFonts w:cs="Arial" w:hint="cs"/>
          <w:rtl/>
        </w:rPr>
        <w:t xml:space="preserve"> הרא"ש</w:t>
      </w:r>
      <w:r>
        <w:rPr>
          <w:rFonts w:cs="Arial"/>
          <w:rtl/>
        </w:rPr>
        <w:t xml:space="preserve"> דהכי מוכח בירושלמי (פ"ח ה"ד)</w:t>
      </w:r>
      <w:r>
        <w:rPr>
          <w:rFonts w:cs="Arial" w:hint="cs"/>
          <w:rtl/>
        </w:rPr>
        <w:t>.</w:t>
      </w:r>
    </w:p>
  </w:footnote>
  <w:footnote w:id="998">
    <w:p w14:paraId="57CD5370" w14:textId="6D70FF80" w:rsidR="00DE2F5F" w:rsidRDefault="00DE2F5F">
      <w:pPr>
        <w:pStyle w:val="a5"/>
        <w:rPr>
          <w:rtl/>
        </w:rPr>
      </w:pPr>
      <w:r>
        <w:rPr>
          <w:rStyle w:val="a7"/>
        </w:rPr>
        <w:footnoteRef/>
      </w:r>
      <w:r>
        <w:rPr>
          <w:rtl/>
        </w:rPr>
        <w:t xml:space="preserve"> </w:t>
      </w:r>
      <w:r w:rsidRPr="00ED6597">
        <w:rPr>
          <w:rFonts w:cs="Arial"/>
          <w:rtl/>
        </w:rPr>
        <w:t>רש"י כתב הואיל והקרקע קיימת לה</w:t>
      </w:r>
      <w:r>
        <w:rPr>
          <w:rFonts w:cs="Arial" w:hint="cs"/>
          <w:rtl/>
        </w:rPr>
        <w:t>,</w:t>
      </w:r>
      <w:r w:rsidRPr="00ED6597">
        <w:rPr>
          <w:rFonts w:cs="Arial"/>
          <w:rtl/>
        </w:rPr>
        <w:t xml:space="preserve"> ורש"י אזיל לטעמיה שפי' כן גבי עז לחלבה דבעי תמיד שיור גבי עז עורה וגבי תרנגולת נוצה</w:t>
      </w:r>
      <w:r>
        <w:rPr>
          <w:rFonts w:cs="Arial" w:hint="cs"/>
          <w:rtl/>
        </w:rPr>
        <w:t>,</w:t>
      </w:r>
      <w:r w:rsidRPr="00ED6597">
        <w:rPr>
          <w:rFonts w:cs="Arial"/>
          <w:rtl/>
        </w:rPr>
        <w:t xml:space="preserve"> אבל לפי' הרמב"ם אין לה רק פירות המחוברים לא גרע מעז לחלבה</w:t>
      </w:r>
      <w:r>
        <w:rPr>
          <w:rFonts w:hint="cs"/>
          <w:rtl/>
        </w:rPr>
        <w:t>, ח"מ (סקל"ה).</w:t>
      </w:r>
    </w:p>
  </w:footnote>
  <w:footnote w:id="999">
    <w:p w14:paraId="09A05F9B" w14:textId="5FE9EFEA" w:rsidR="00DE2F5F" w:rsidRDefault="00DE2F5F">
      <w:pPr>
        <w:pStyle w:val="a5"/>
      </w:pPr>
      <w:r>
        <w:rPr>
          <w:rStyle w:val="a7"/>
        </w:rPr>
        <w:footnoteRef/>
      </w:r>
      <w:r>
        <w:rPr>
          <w:rtl/>
        </w:rPr>
        <w:t xml:space="preserve"> </w:t>
      </w:r>
      <w:r w:rsidRPr="00ED6597">
        <w:rPr>
          <w:rFonts w:cs="Arial"/>
          <w:rtl/>
        </w:rPr>
        <w:t>אע"ג דק"ל כל העומד ליקצור כקצור דמי שאני הכא דתקנת חכמים היה פירות הנלקטים בעודה תחתיו הרי הן שלו עיין בהרא"ש</w:t>
      </w:r>
      <w:r>
        <w:rPr>
          <w:rFonts w:hint="cs"/>
          <w:rtl/>
        </w:rPr>
        <w:t>, ח"מ (סקל"ו).</w:t>
      </w:r>
    </w:p>
  </w:footnote>
  <w:footnote w:id="1000">
    <w:p w14:paraId="2E8DFEA4" w14:textId="509E87D9" w:rsidR="00DE2F5F" w:rsidRDefault="00DE2F5F">
      <w:pPr>
        <w:pStyle w:val="a5"/>
        <w:rPr>
          <w:rtl/>
        </w:rPr>
      </w:pPr>
      <w:r>
        <w:rPr>
          <w:rStyle w:val="a7"/>
        </w:rPr>
        <w:footnoteRef/>
      </w:r>
      <w:r>
        <w:rPr>
          <w:rtl/>
        </w:rPr>
        <w:t xml:space="preserve"> </w:t>
      </w:r>
      <w:r>
        <w:rPr>
          <w:rFonts w:hint="cs"/>
          <w:rtl/>
        </w:rPr>
        <w:t>כן הוא בדפוס ראשון. אבל במהדורת קבאלי שכ"ז ובעוד מהדורות איתא 'תולשין'. ובחלק מהמהדורות (שפ"ז) איתא 'תולשן' או 'תולשם'. ועל גרסאות משובשות אלו כתב הרמ"א את הגהתו.</w:t>
      </w:r>
    </w:p>
  </w:footnote>
  <w:footnote w:id="1001">
    <w:p w14:paraId="5DCB69F9" w14:textId="0CF26AB5" w:rsidR="00DE2F5F" w:rsidRDefault="00DE2F5F">
      <w:pPr>
        <w:pStyle w:val="a5"/>
      </w:pPr>
      <w:r>
        <w:rPr>
          <w:rStyle w:val="a7"/>
        </w:rPr>
        <w:footnoteRef/>
      </w:r>
      <w:r>
        <w:rPr>
          <w:rtl/>
        </w:rPr>
        <w:t xml:space="preserve"> </w:t>
      </w:r>
      <w:r>
        <w:rPr>
          <w:rFonts w:cs="Arial"/>
          <w:rtl/>
        </w:rPr>
        <w:t>ומשמע ודאי דהוא הדין לבהמות נכסי מלוג</w:t>
      </w:r>
      <w:r>
        <w:rPr>
          <w:rFonts w:cs="Arial" w:hint="cs"/>
          <w:sz w:val="16"/>
          <w:szCs w:val="16"/>
          <w:rtl/>
        </w:rPr>
        <w:t xml:space="preserve"> {שהבעל חייב במזונותיהן}</w:t>
      </w:r>
      <w:r>
        <w:rPr>
          <w:rFonts w:cs="Arial" w:hint="cs"/>
          <w:rtl/>
        </w:rPr>
        <w:t xml:space="preserve">, ב"י. </w:t>
      </w:r>
    </w:p>
  </w:footnote>
  <w:footnote w:id="1002">
    <w:p w14:paraId="1CAA0C21" w14:textId="6DBD0124" w:rsidR="00DE2F5F" w:rsidRDefault="00DE2F5F" w:rsidP="000F2C8D">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0D5ED4">
        <w:rPr>
          <w:rFonts w:cs="Arial"/>
          <w:rtl/>
        </w:rPr>
        <w:t>דוקא במידי דאתי מעלמא כגון כפל ולד בהמת מלוג</w:t>
      </w:r>
      <w:r>
        <w:rPr>
          <w:rFonts w:cs="Arial" w:hint="cs"/>
          <w:rtl/>
        </w:rPr>
        <w:t>,</w:t>
      </w:r>
      <w:r w:rsidRPr="000D5ED4">
        <w:rPr>
          <w:rFonts w:cs="Arial"/>
          <w:rtl/>
        </w:rPr>
        <w:t xml:space="preserve"> אבל פשיטא דפירי דפירא נמי תקינו ליה רבנן כדתנן בהכותב (לקמן פג.) לעולם הוא אוכל פירי פירות עד שיכתוב כו'</w:t>
      </w:r>
      <w:r>
        <w:rPr>
          <w:rFonts w:cs="Arial" w:hint="cs"/>
          <w:rtl/>
        </w:rPr>
        <w:t>.</w:t>
      </w:r>
      <w:r w:rsidRPr="000D5ED4">
        <w:rPr>
          <w:rFonts w:cs="Arial"/>
          <w:rtl/>
        </w:rPr>
        <w:t xml:space="preserve"> והא דקאמר משלם תשלומי כפל לאשה היינו כפל לחודיה</w:t>
      </w:r>
      <w:r>
        <w:rPr>
          <w:rFonts w:cs="Arial" w:hint="cs"/>
          <w:rtl/>
        </w:rPr>
        <w:t>,</w:t>
      </w:r>
      <w:r w:rsidRPr="000D5ED4">
        <w:rPr>
          <w:rFonts w:cs="Arial"/>
          <w:rtl/>
        </w:rPr>
        <w:t xml:space="preserve"> אבל קרן לבעל</w:t>
      </w:r>
      <w:r>
        <w:rPr>
          <w:rFonts w:cs="Arial" w:hint="cs"/>
          <w:rtl/>
        </w:rPr>
        <w:t>.</w:t>
      </w:r>
      <w:r w:rsidRPr="000D5ED4">
        <w:rPr>
          <w:rFonts w:cs="Arial"/>
          <w:rtl/>
        </w:rPr>
        <w:t xml:space="preserve"> </w:t>
      </w:r>
    </w:p>
  </w:footnote>
  <w:footnote w:id="1003">
    <w:p w14:paraId="636FF223" w14:textId="77777777" w:rsidR="00DE2F5F" w:rsidRDefault="00DE2F5F" w:rsidP="00260391">
      <w:pPr>
        <w:pStyle w:val="a5"/>
        <w:rPr>
          <w:rtl/>
        </w:rPr>
      </w:pPr>
      <w:r>
        <w:rPr>
          <w:rStyle w:val="a7"/>
        </w:rPr>
        <w:footnoteRef/>
      </w:r>
      <w:r>
        <w:rPr>
          <w:rtl/>
        </w:rPr>
        <w:t xml:space="preserve"> </w:t>
      </w:r>
      <w:r w:rsidRPr="000F2C8D">
        <w:rPr>
          <w:rFonts w:cs="Arial"/>
          <w:rtl/>
        </w:rPr>
        <w:t>והרי"ף (לח.) חילק בע</w:t>
      </w:r>
      <w:r w:rsidRPr="000F2C8D">
        <w:rPr>
          <w:rFonts w:cs="Arial" w:hint="cs"/>
          <w:rtl/>
        </w:rPr>
        <w:t xml:space="preserve">נין </w:t>
      </w:r>
      <w:r w:rsidRPr="000F2C8D">
        <w:rPr>
          <w:rFonts w:cs="Arial"/>
          <w:rtl/>
        </w:rPr>
        <w:t>א</w:t>
      </w:r>
      <w:r w:rsidRPr="000F2C8D">
        <w:rPr>
          <w:rFonts w:cs="Arial" w:hint="cs"/>
          <w:rtl/>
        </w:rPr>
        <w:t>חר</w:t>
      </w:r>
      <w:r w:rsidRPr="000F2C8D">
        <w:rPr>
          <w:rFonts w:cs="Arial"/>
          <w:rtl/>
        </w:rPr>
        <w:t xml:space="preserve"> דהא דאמרינן לקמן דאוכל פירי פירות כגון שמכר הפירות ולקח בדמיהן קרקע</w:t>
      </w:r>
      <w:r w:rsidRPr="000F2C8D">
        <w:rPr>
          <w:rFonts w:cs="Arial" w:hint="cs"/>
          <w:rtl/>
        </w:rPr>
        <w:t>,</w:t>
      </w:r>
      <w:r w:rsidRPr="000F2C8D">
        <w:rPr>
          <w:rFonts w:cs="Arial"/>
          <w:rtl/>
        </w:rPr>
        <w:t xml:space="preserve"> דכיון דלא אכיל פירא</w:t>
      </w:r>
      <w:r w:rsidRPr="000F2C8D">
        <w:rPr>
          <w:rFonts w:cs="Arial" w:hint="cs"/>
          <w:rtl/>
        </w:rPr>
        <w:t>,</w:t>
      </w:r>
      <w:r w:rsidRPr="000F2C8D">
        <w:rPr>
          <w:rFonts w:cs="Arial"/>
          <w:rtl/>
        </w:rPr>
        <w:t xml:space="preserve"> דינא הוא דליכול פירי פירא דקיימי במקום פירא</w:t>
      </w:r>
      <w:r w:rsidRPr="000F2C8D">
        <w:rPr>
          <w:rFonts w:cs="Arial" w:hint="cs"/>
          <w:rtl/>
        </w:rPr>
        <w:t>,</w:t>
      </w:r>
      <w:r w:rsidRPr="000F2C8D">
        <w:rPr>
          <w:rFonts w:cs="Arial"/>
          <w:rtl/>
        </w:rPr>
        <w:t xml:space="preserve"> אבל הכא דשקיל פירא לא שקיל לכפל דהוי פירי דפירא</w:t>
      </w:r>
      <w:r w:rsidRPr="000F2C8D">
        <w:rPr>
          <w:rFonts w:cs="Arial" w:hint="cs"/>
          <w:rtl/>
        </w:rPr>
        <w:t>,</w:t>
      </w:r>
      <w:r w:rsidRPr="000F2C8D">
        <w:rPr>
          <w:rFonts w:cs="Arial"/>
          <w:rtl/>
        </w:rPr>
        <w:t xml:space="preserve"> ולדידיה נמי הוי ולד</w:t>
      </w:r>
      <w:r w:rsidRPr="000F2C8D">
        <w:rPr>
          <w:rFonts w:cs="Arial" w:hint="cs"/>
          <w:rtl/>
        </w:rPr>
        <w:t xml:space="preserve"> ולד</w:t>
      </w:r>
      <w:r w:rsidRPr="000F2C8D">
        <w:rPr>
          <w:rFonts w:cs="Arial"/>
          <w:rtl/>
        </w:rPr>
        <w:t xml:space="preserve"> לאשה</w:t>
      </w:r>
      <w:r w:rsidRPr="000F2C8D">
        <w:rPr>
          <w:rFonts w:cs="Arial" w:hint="cs"/>
          <w:rtl/>
        </w:rPr>
        <w:t>.</w:t>
      </w:r>
      <w:r w:rsidRPr="000F2C8D">
        <w:rPr>
          <w:rFonts w:cs="Arial"/>
          <w:rtl/>
        </w:rPr>
        <w:t xml:space="preserve"> ולא מסתברא כלל</w:t>
      </w:r>
      <w:r w:rsidRPr="000F2C8D">
        <w:rPr>
          <w:rFonts w:cs="Arial" w:hint="cs"/>
          <w:rtl/>
        </w:rPr>
        <w:t>,</w:t>
      </w:r>
      <w:r w:rsidRPr="000F2C8D">
        <w:rPr>
          <w:rFonts w:cs="Arial"/>
          <w:rtl/>
        </w:rPr>
        <w:t xml:space="preserve"> דכיון דולד דידיה הוא ואי בעי שחיט ואכיל ליה</w:t>
      </w:r>
      <w:r w:rsidRPr="000F2C8D">
        <w:rPr>
          <w:rFonts w:cs="Arial" w:hint="cs"/>
          <w:rtl/>
        </w:rPr>
        <w:t>,</w:t>
      </w:r>
      <w:r w:rsidRPr="000F2C8D">
        <w:rPr>
          <w:rFonts w:cs="Arial"/>
          <w:rtl/>
        </w:rPr>
        <w:t xml:space="preserve"> דליהוי ולד דידיה לדידה</w:t>
      </w:r>
      <w:r w:rsidRPr="000F2C8D">
        <w:rPr>
          <w:rFonts w:cs="Arial" w:hint="cs"/>
          <w:rtl/>
        </w:rPr>
        <w:t>.</w:t>
      </w:r>
      <w:r w:rsidRPr="000F2C8D">
        <w:rPr>
          <w:rFonts w:cs="Arial"/>
          <w:rtl/>
        </w:rPr>
        <w:t xml:space="preserve"> ומסתבר כשינוייא קמא</w:t>
      </w:r>
      <w:r>
        <w:rPr>
          <w:rFonts w:hint="cs"/>
          <w:rtl/>
        </w:rPr>
        <w:t>, רא"ש (שם).</w:t>
      </w:r>
    </w:p>
  </w:footnote>
  <w:footnote w:id="1004">
    <w:p w14:paraId="057F809D" w14:textId="124D9518" w:rsidR="00DE2F5F" w:rsidRDefault="00DE2F5F">
      <w:pPr>
        <w:pStyle w:val="a5"/>
        <w:rPr>
          <w:rtl/>
        </w:rPr>
      </w:pPr>
      <w:r>
        <w:rPr>
          <w:rStyle w:val="a7"/>
        </w:rPr>
        <w:footnoteRef/>
      </w:r>
      <w:r>
        <w:rPr>
          <w:rtl/>
        </w:rPr>
        <w:t xml:space="preserve"> </w:t>
      </w:r>
      <w:r>
        <w:rPr>
          <w:rFonts w:cs="Arial" w:hint="cs"/>
          <w:rtl/>
        </w:rPr>
        <w:t xml:space="preserve">הר"ן </w:t>
      </w:r>
      <w:r w:rsidRPr="000F2C8D">
        <w:rPr>
          <w:rFonts w:cs="Arial"/>
          <w:rtl/>
        </w:rPr>
        <w:t>כתב על דברי הרי"ף</w:t>
      </w:r>
      <w:r w:rsidRPr="000F2C8D">
        <w:rPr>
          <w:rFonts w:cs="Arial" w:hint="cs"/>
          <w:rtl/>
        </w:rPr>
        <w:t>-</w:t>
      </w:r>
      <w:r w:rsidRPr="000F2C8D">
        <w:rPr>
          <w:rFonts w:cs="Arial"/>
          <w:rtl/>
        </w:rPr>
        <w:t xml:space="preserve"> נראה מדבריו שאפילו</w:t>
      </w:r>
      <w:r w:rsidRPr="000F2C8D">
        <w:rPr>
          <w:rFonts w:cs="Arial" w:hint="cs"/>
          <w:rtl/>
        </w:rPr>
        <w:t xml:space="preserve"> ולד</w:t>
      </w:r>
      <w:r w:rsidRPr="000F2C8D">
        <w:rPr>
          <w:rFonts w:cs="Arial"/>
          <w:rtl/>
        </w:rPr>
        <w:t xml:space="preserve"> ולד בהמת מלוג לא הוי לבעל</w:t>
      </w:r>
      <w:r w:rsidRPr="000F2C8D">
        <w:rPr>
          <w:rFonts w:cs="Arial" w:hint="cs"/>
          <w:rtl/>
        </w:rPr>
        <w:t>,</w:t>
      </w:r>
      <w:r w:rsidRPr="000F2C8D">
        <w:rPr>
          <w:rFonts w:cs="Arial"/>
          <w:rtl/>
        </w:rPr>
        <w:t xml:space="preserve"> ואינו נראה כן אלא</w:t>
      </w:r>
      <w:r>
        <w:rPr>
          <w:rFonts w:hint="cs"/>
          <w:rtl/>
        </w:rPr>
        <w:t>-...</w:t>
      </w:r>
    </w:p>
  </w:footnote>
  <w:footnote w:id="1005">
    <w:p w14:paraId="3060E606" w14:textId="0C7E715E" w:rsidR="00DE2F5F" w:rsidRDefault="00DE2F5F">
      <w:pPr>
        <w:pStyle w:val="a5"/>
      </w:pPr>
      <w:r>
        <w:rPr>
          <w:rStyle w:val="a7"/>
        </w:rPr>
        <w:footnoteRef/>
      </w:r>
      <w:r>
        <w:rPr>
          <w:rtl/>
        </w:rPr>
        <w:t xml:space="preserve"> </w:t>
      </w:r>
      <w:r w:rsidRPr="007A228B">
        <w:rPr>
          <w:rFonts w:cs="Arial"/>
          <w:rtl/>
        </w:rPr>
        <w:t xml:space="preserve">וכ"כ בעל העיטור </w:t>
      </w:r>
      <w:r w:rsidRPr="00A018DD">
        <w:rPr>
          <w:rFonts w:cs="Arial"/>
          <w:sz w:val="16"/>
          <w:szCs w:val="16"/>
          <w:rtl/>
        </w:rPr>
        <w:t>(אות כ כתובות לו ע"ד)</w:t>
      </w:r>
      <w:r>
        <w:rPr>
          <w:rFonts w:cs="Arial" w:hint="cs"/>
          <w:rtl/>
        </w:rPr>
        <w:t xml:space="preserve"> </w:t>
      </w:r>
      <w:r w:rsidRPr="007A228B">
        <w:rPr>
          <w:rFonts w:cs="Arial"/>
          <w:rtl/>
        </w:rPr>
        <w:t xml:space="preserve">שאם מכרה נכסי </w:t>
      </w:r>
      <w:r>
        <w:rPr>
          <w:rFonts w:cs="Arial"/>
          <w:rtl/>
        </w:rPr>
        <w:t>צאן ברזל</w:t>
      </w:r>
      <w:r w:rsidRPr="007A228B">
        <w:rPr>
          <w:rFonts w:cs="Arial"/>
          <w:rtl/>
        </w:rPr>
        <w:t xml:space="preserve"> בטובת הנאה אין הבעל אוכל פירות מאותה טובת הנאה</w:t>
      </w:r>
      <w:r>
        <w:rPr>
          <w:rFonts w:cs="Arial" w:hint="cs"/>
          <w:rtl/>
        </w:rPr>
        <w:t>, טור.</w:t>
      </w:r>
    </w:p>
  </w:footnote>
  <w:footnote w:id="1006">
    <w:p w14:paraId="71B02CA0" w14:textId="77777777" w:rsidR="00DE2F5F" w:rsidRDefault="00DE2F5F" w:rsidP="00D93EC1">
      <w:pPr>
        <w:pStyle w:val="a5"/>
      </w:pPr>
      <w:r>
        <w:rPr>
          <w:rStyle w:val="a7"/>
        </w:rPr>
        <w:footnoteRef/>
      </w:r>
      <w:r>
        <w:rPr>
          <w:rtl/>
        </w:rPr>
        <w:t xml:space="preserve"> </w:t>
      </w:r>
      <w:r>
        <w:rPr>
          <w:rFonts w:hint="cs"/>
          <w:rtl/>
        </w:rPr>
        <w:t xml:space="preserve">וז"ל התוס' שם- </w:t>
      </w:r>
      <w:r>
        <w:rPr>
          <w:rFonts w:cs="Arial" w:hint="cs"/>
          <w:rtl/>
        </w:rPr>
        <w:t>ת</w:t>
      </w:r>
      <w:r w:rsidRPr="000D5ED4">
        <w:rPr>
          <w:rFonts w:cs="Arial"/>
          <w:rtl/>
        </w:rPr>
        <w:t>ימה</w:t>
      </w:r>
      <w:r>
        <w:rPr>
          <w:rFonts w:cs="Arial" w:hint="cs"/>
          <w:rtl/>
        </w:rPr>
        <w:t>,</w:t>
      </w:r>
      <w:r w:rsidRPr="000D5ED4">
        <w:rPr>
          <w:rFonts w:cs="Arial"/>
          <w:rtl/>
        </w:rPr>
        <w:t xml:space="preserve"> דגונב בהמת מלוג עצמה שהיא של אשה הוי הכפל לבעל</w:t>
      </w:r>
      <w:r>
        <w:rPr>
          <w:rFonts w:cs="Arial" w:hint="cs"/>
          <w:rtl/>
        </w:rPr>
        <w:t>,</w:t>
      </w:r>
      <w:r w:rsidRPr="000D5ED4">
        <w:rPr>
          <w:rFonts w:cs="Arial"/>
          <w:rtl/>
        </w:rPr>
        <w:t xml:space="preserve"> דהא לא הוי פירא דפירא</w:t>
      </w:r>
      <w:r>
        <w:rPr>
          <w:rFonts w:cs="Arial" w:hint="cs"/>
          <w:rtl/>
        </w:rPr>
        <w:t>,</w:t>
      </w:r>
      <w:r w:rsidRPr="000D5ED4">
        <w:rPr>
          <w:rFonts w:cs="Arial"/>
          <w:rtl/>
        </w:rPr>
        <w:t xml:space="preserve"> וגונב ולד בהמת מלוג דהויא דבעל</w:t>
      </w:r>
      <w:r>
        <w:rPr>
          <w:rFonts w:cs="Arial" w:hint="cs"/>
          <w:rtl/>
        </w:rPr>
        <w:t>,</w:t>
      </w:r>
      <w:r w:rsidRPr="000D5ED4">
        <w:rPr>
          <w:rFonts w:cs="Arial"/>
          <w:rtl/>
        </w:rPr>
        <w:t xml:space="preserve"> הוי הכפל לאשה</w:t>
      </w:r>
      <w:r>
        <w:rPr>
          <w:rFonts w:cs="Arial" w:hint="cs"/>
          <w:rtl/>
        </w:rPr>
        <w:t>,</w:t>
      </w:r>
      <w:r w:rsidRPr="000D5ED4">
        <w:rPr>
          <w:rFonts w:cs="Arial"/>
          <w:rtl/>
        </w:rPr>
        <w:t xml:space="preserve"> וריב"ן פירש דכ"ש בהמת מלוג עצמה דהוי הכפל לאשה</w:t>
      </w:r>
      <w:r>
        <w:rPr>
          <w:rFonts w:cs="Arial" w:hint="cs"/>
          <w:rtl/>
        </w:rPr>
        <w:t>,</w:t>
      </w:r>
      <w:r w:rsidRPr="000D5ED4">
        <w:rPr>
          <w:rFonts w:cs="Arial"/>
          <w:rtl/>
        </w:rPr>
        <w:t xml:space="preserve"> והכי פי'</w:t>
      </w:r>
      <w:r>
        <w:rPr>
          <w:rFonts w:cs="Arial" w:hint="cs"/>
          <w:rtl/>
        </w:rPr>
        <w:t>,</w:t>
      </w:r>
      <w:r w:rsidRPr="000D5ED4">
        <w:rPr>
          <w:rFonts w:cs="Arial"/>
          <w:rtl/>
        </w:rPr>
        <w:t xml:space="preserve"> פירא </w:t>
      </w:r>
      <w:r>
        <w:rPr>
          <w:rFonts w:cs="Arial" w:hint="cs"/>
          <w:rtl/>
        </w:rPr>
        <w:t xml:space="preserve">- </w:t>
      </w:r>
      <w:r w:rsidRPr="000D5ED4">
        <w:rPr>
          <w:rFonts w:cs="Arial"/>
          <w:rtl/>
        </w:rPr>
        <w:t>כיון דלא הוי מעלמא תקינו ליה רבנן</w:t>
      </w:r>
      <w:r>
        <w:rPr>
          <w:rFonts w:cs="Arial" w:hint="cs"/>
          <w:rtl/>
        </w:rPr>
        <w:t>,</w:t>
      </w:r>
      <w:r w:rsidRPr="000D5ED4">
        <w:rPr>
          <w:rFonts w:cs="Arial"/>
          <w:rtl/>
        </w:rPr>
        <w:t xml:space="preserve"> והוא הדין פירא דפירא</w:t>
      </w:r>
      <w:r>
        <w:rPr>
          <w:rFonts w:cs="Arial" w:hint="cs"/>
          <w:rtl/>
        </w:rPr>
        <w:t>.</w:t>
      </w:r>
      <w:r w:rsidRPr="000D5ED4">
        <w:rPr>
          <w:rFonts w:cs="Arial"/>
          <w:rtl/>
        </w:rPr>
        <w:t xml:space="preserve"> הא פירא דפירא דאתי מעלמא </w:t>
      </w:r>
      <w:r>
        <w:rPr>
          <w:rFonts w:cs="Arial" w:hint="cs"/>
          <w:rtl/>
        </w:rPr>
        <w:t xml:space="preserve">- </w:t>
      </w:r>
      <w:r w:rsidRPr="000D5ED4">
        <w:rPr>
          <w:rFonts w:cs="Arial"/>
          <w:rtl/>
        </w:rPr>
        <w:t>לא תקינו ליה</w:t>
      </w:r>
      <w:r>
        <w:rPr>
          <w:rFonts w:cs="Arial" w:hint="cs"/>
          <w:rtl/>
        </w:rPr>
        <w:t>,</w:t>
      </w:r>
      <w:r w:rsidRPr="000D5ED4">
        <w:rPr>
          <w:rFonts w:cs="Arial"/>
          <w:rtl/>
        </w:rPr>
        <w:t xml:space="preserve"> וכל שכן פירא דאתי מעלמא</w:t>
      </w:r>
      <w:r>
        <w:rPr>
          <w:rFonts w:cs="Arial" w:hint="cs"/>
          <w:rtl/>
        </w:rPr>
        <w:t>.</w:t>
      </w:r>
    </w:p>
  </w:footnote>
  <w:footnote w:id="1007">
    <w:p w14:paraId="0EACDC8E" w14:textId="18F08F11" w:rsidR="00DE2F5F" w:rsidRDefault="00DE2F5F" w:rsidP="00D93EC1">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0F2C8D">
        <w:rPr>
          <w:rFonts w:cs="Arial"/>
          <w:rtl/>
        </w:rPr>
        <w:t>וקצת קשה</w:t>
      </w:r>
      <w:r w:rsidRPr="000F2C8D">
        <w:rPr>
          <w:rFonts w:cs="Arial" w:hint="cs"/>
          <w:rtl/>
        </w:rPr>
        <w:t>,</w:t>
      </w:r>
      <w:r w:rsidRPr="000F2C8D">
        <w:rPr>
          <w:rFonts w:cs="Arial"/>
          <w:rtl/>
        </w:rPr>
        <w:t xml:space="preserve"> דהגונב בהמת מלוג שהוא לאשה הוי הכפל לבעל</w:t>
      </w:r>
      <w:r w:rsidRPr="000F2C8D">
        <w:rPr>
          <w:rFonts w:cs="Arial" w:hint="cs"/>
          <w:rtl/>
        </w:rPr>
        <w:t>,</w:t>
      </w:r>
      <w:r w:rsidRPr="000F2C8D">
        <w:rPr>
          <w:rFonts w:cs="Arial"/>
          <w:rtl/>
        </w:rPr>
        <w:t xml:space="preserve"> דהוי פירא קמא</w:t>
      </w:r>
      <w:r w:rsidRPr="000F2C8D">
        <w:rPr>
          <w:rFonts w:cs="Arial" w:hint="cs"/>
          <w:rtl/>
        </w:rPr>
        <w:t>,</w:t>
      </w:r>
      <w:r w:rsidRPr="000F2C8D">
        <w:rPr>
          <w:rFonts w:cs="Arial"/>
          <w:rtl/>
        </w:rPr>
        <w:t xml:space="preserve"> והגונב ולד בהמת מלוג שהוא לבעל משלם כפל לאשה</w:t>
      </w:r>
      <w:r w:rsidRPr="000F2C8D">
        <w:rPr>
          <w:rFonts w:cs="Arial" w:hint="cs"/>
          <w:rtl/>
        </w:rPr>
        <w:t>.</w:t>
      </w:r>
      <w:r w:rsidRPr="000F2C8D">
        <w:rPr>
          <w:rFonts w:cs="Arial"/>
          <w:rtl/>
        </w:rPr>
        <w:t xml:space="preserve"> וריב"ן (תוס' עט: ד"ה פירא) כתב דכל שכן גונב בהמת מלוג דמשלם כפל לאשה</w:t>
      </w:r>
      <w:r w:rsidRPr="000F2C8D">
        <w:rPr>
          <w:rFonts w:cs="Arial" w:hint="cs"/>
          <w:rtl/>
        </w:rPr>
        <w:t>,</w:t>
      </w:r>
      <w:r w:rsidRPr="000F2C8D">
        <w:rPr>
          <w:rFonts w:cs="Arial"/>
          <w:rtl/>
        </w:rPr>
        <w:t xml:space="preserve"> כיון דמעלמא קאתי</w:t>
      </w:r>
      <w:r>
        <w:rPr>
          <w:rFonts w:cs="Arial" w:hint="cs"/>
          <w:rtl/>
        </w:rPr>
        <w:t>.</w:t>
      </w:r>
    </w:p>
  </w:footnote>
  <w:footnote w:id="1008">
    <w:p w14:paraId="1895F2C1" w14:textId="163A3747" w:rsidR="00DE2F5F" w:rsidRDefault="00DE2F5F" w:rsidP="00D93EC1">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0F2C8D">
        <w:rPr>
          <w:rFonts w:cs="Arial"/>
          <w:rtl/>
        </w:rPr>
        <w:t xml:space="preserve">ומהאי טעמא </w:t>
      </w:r>
      <w:r>
        <w:rPr>
          <w:rFonts w:cs="Arial" w:hint="cs"/>
          <w:sz w:val="16"/>
          <w:szCs w:val="16"/>
          <w:rtl/>
        </w:rPr>
        <w:t>{ש</w:t>
      </w:r>
      <w:r w:rsidRPr="00F62F59">
        <w:rPr>
          <w:rFonts w:cs="Arial"/>
          <w:sz w:val="16"/>
          <w:szCs w:val="16"/>
          <w:rtl/>
        </w:rPr>
        <w:t>לא תיקנו לו דבר שאינו מצוי</w:t>
      </w:r>
      <w:r>
        <w:rPr>
          <w:rFonts w:cs="Arial" w:hint="cs"/>
          <w:sz w:val="16"/>
          <w:szCs w:val="16"/>
          <w:rtl/>
        </w:rPr>
        <w:t>}</w:t>
      </w:r>
      <w:r>
        <w:rPr>
          <w:rFonts w:cs="Arial" w:hint="cs"/>
          <w:rtl/>
        </w:rPr>
        <w:t xml:space="preserve"> </w:t>
      </w:r>
      <w:r w:rsidRPr="000F2C8D">
        <w:rPr>
          <w:rFonts w:cs="Arial"/>
          <w:rtl/>
        </w:rPr>
        <w:t>אפילו כפל של בהמת מלוג משלם לאשה</w:t>
      </w:r>
      <w:r w:rsidRPr="000F2C8D">
        <w:rPr>
          <w:rFonts w:cs="Arial" w:hint="cs"/>
          <w:rtl/>
        </w:rPr>
        <w:t>,</w:t>
      </w:r>
      <w:r w:rsidRPr="000F2C8D">
        <w:rPr>
          <w:rFonts w:cs="Arial"/>
          <w:rtl/>
        </w:rPr>
        <w:t xml:space="preserve"> דפירא כי האי לא תקינו ליה רבנן</w:t>
      </w:r>
      <w:r w:rsidRPr="000F2C8D">
        <w:rPr>
          <w:rFonts w:cs="Arial" w:hint="cs"/>
          <w:rtl/>
        </w:rPr>
        <w:t>.</w:t>
      </w:r>
      <w:r w:rsidRPr="000F2C8D">
        <w:rPr>
          <w:rFonts w:cs="Arial"/>
          <w:rtl/>
        </w:rPr>
        <w:t xml:space="preserve"> וולד בהמה דנקט הכא</w:t>
      </w:r>
      <w:r w:rsidRPr="000F2C8D">
        <w:rPr>
          <w:rFonts w:cs="Arial" w:hint="cs"/>
          <w:rtl/>
        </w:rPr>
        <w:t>,</w:t>
      </w:r>
      <w:r w:rsidRPr="000F2C8D">
        <w:rPr>
          <w:rFonts w:cs="Arial"/>
          <w:rtl/>
        </w:rPr>
        <w:t xml:space="preserve"> לרבותא נקטיה</w:t>
      </w:r>
      <w:r w:rsidRPr="000F2C8D">
        <w:rPr>
          <w:rFonts w:cs="Arial" w:hint="cs"/>
          <w:rtl/>
        </w:rPr>
        <w:t>,</w:t>
      </w:r>
      <w:r w:rsidRPr="000F2C8D">
        <w:rPr>
          <w:rFonts w:cs="Arial"/>
          <w:rtl/>
        </w:rPr>
        <w:t xml:space="preserve"> דאע</w:t>
      </w:r>
      <w:r>
        <w:rPr>
          <w:rFonts w:cs="Arial" w:hint="cs"/>
          <w:rtl/>
        </w:rPr>
        <w:t>"</w:t>
      </w:r>
      <w:r w:rsidRPr="000F2C8D">
        <w:rPr>
          <w:rFonts w:cs="Arial"/>
          <w:rtl/>
        </w:rPr>
        <w:t>ג דולד גופיה דבעל אפילו הכי כפיליה הוי לאשה</w:t>
      </w:r>
      <w:r w:rsidRPr="000F2C8D">
        <w:rPr>
          <w:rFonts w:cs="Arial" w:hint="cs"/>
          <w:rtl/>
        </w:rPr>
        <w:t>.</w:t>
      </w:r>
      <w:r w:rsidRPr="000F2C8D">
        <w:rPr>
          <w:rFonts w:cs="Arial"/>
          <w:rtl/>
        </w:rPr>
        <w:t xml:space="preserve"> וכך נראים דברי הרמב"ם בפרק שנים ועשרים מהלכות אישות (הכ"ח) שאין זה הפרי שתקנו לו חכמים</w:t>
      </w:r>
      <w:r>
        <w:rPr>
          <w:rFonts w:cs="Arial" w:hint="cs"/>
          <w:rtl/>
        </w:rPr>
        <w:t>.</w:t>
      </w:r>
    </w:p>
  </w:footnote>
  <w:footnote w:id="1009">
    <w:p w14:paraId="54CBAA14" w14:textId="748B8272" w:rsidR="00DE2F5F" w:rsidRDefault="00DE2F5F">
      <w:pPr>
        <w:pStyle w:val="a5"/>
      </w:pPr>
      <w:r>
        <w:rPr>
          <w:rStyle w:val="a7"/>
        </w:rPr>
        <w:footnoteRef/>
      </w:r>
      <w:r>
        <w:rPr>
          <w:rtl/>
        </w:rPr>
        <w:t xml:space="preserve"> </w:t>
      </w:r>
      <w:r>
        <w:rPr>
          <w:rFonts w:cs="Arial"/>
          <w:rtl/>
        </w:rPr>
        <w:t>לכאורה יש לתמוה על לשון אפילו דנקט</w:t>
      </w:r>
      <w:r>
        <w:rPr>
          <w:rFonts w:cs="Arial" w:hint="cs"/>
          <w:rtl/>
        </w:rPr>
        <w:t>,</w:t>
      </w:r>
      <w:r>
        <w:rPr>
          <w:rFonts w:cs="Arial"/>
          <w:rtl/>
        </w:rPr>
        <w:t xml:space="preserve"> דמשמע דמכל שכן אתי</w:t>
      </w:r>
      <w:r>
        <w:rPr>
          <w:rFonts w:cs="Arial" w:hint="cs"/>
          <w:rtl/>
        </w:rPr>
        <w:t>,</w:t>
      </w:r>
      <w:r>
        <w:rPr>
          <w:rFonts w:cs="Arial"/>
          <w:rtl/>
        </w:rPr>
        <w:t xml:space="preserve"> דאם הולד שהוא שלו אין הכפל שלו</w:t>
      </w:r>
      <w:r>
        <w:rPr>
          <w:rFonts w:cs="Arial" w:hint="cs"/>
          <w:rtl/>
        </w:rPr>
        <w:t>,</w:t>
      </w:r>
      <w:r>
        <w:rPr>
          <w:rFonts w:cs="Arial"/>
          <w:rtl/>
        </w:rPr>
        <w:t xml:space="preserve"> האם שהיא שלה על אחת כמה וכמה</w:t>
      </w:r>
      <w:r>
        <w:rPr>
          <w:rFonts w:cs="Arial" w:hint="cs"/>
          <w:rtl/>
        </w:rPr>
        <w:t>.</w:t>
      </w:r>
      <w:r>
        <w:rPr>
          <w:rFonts w:cs="Arial"/>
          <w:rtl/>
        </w:rPr>
        <w:t xml:space="preserve"> ושמא י"ל דמשום דלפי מה שכתב הרא"ש לדעת הרי"ף דבעל אינו נוטל אלא ולדות ולא ולדי ולדות נמצא שיפה כח הבעל באם מבולד</w:t>
      </w:r>
      <w:r>
        <w:rPr>
          <w:rFonts w:cs="Arial" w:hint="cs"/>
          <w:rtl/>
        </w:rPr>
        <w:t>,</w:t>
      </w:r>
      <w:r>
        <w:rPr>
          <w:rFonts w:cs="Arial"/>
          <w:rtl/>
        </w:rPr>
        <w:t xml:space="preserve"> משום הכי כתב דאפילו נגנבה האם שיפה כח הבעל בה שהרי ולדותיה שלו עכ"ז אין הכפל שלו</w:t>
      </w:r>
      <w:r>
        <w:rPr>
          <w:rFonts w:cs="Arial" w:hint="cs"/>
          <w:rtl/>
        </w:rPr>
        <w:t>, ב"י.</w:t>
      </w:r>
    </w:p>
  </w:footnote>
  <w:footnote w:id="1010">
    <w:p w14:paraId="37B36861" w14:textId="33797A8B" w:rsidR="00DE2F5F" w:rsidRDefault="00DE2F5F">
      <w:pPr>
        <w:pStyle w:val="a5"/>
      </w:pPr>
      <w:r>
        <w:rPr>
          <w:rStyle w:val="a7"/>
        </w:rPr>
        <w:footnoteRef/>
      </w:r>
      <w:r>
        <w:rPr>
          <w:rtl/>
        </w:rPr>
        <w:t xml:space="preserve"> </w:t>
      </w:r>
      <w:r w:rsidRPr="005A2554">
        <w:rPr>
          <w:rFonts w:cs="Arial"/>
          <w:rtl/>
        </w:rPr>
        <w:t>אע</w:t>
      </w:r>
      <w:r>
        <w:rPr>
          <w:rFonts w:cs="Arial" w:hint="cs"/>
          <w:rtl/>
        </w:rPr>
        <w:t>"</w:t>
      </w:r>
      <w:r w:rsidRPr="005A2554">
        <w:rPr>
          <w:rFonts w:cs="Arial"/>
          <w:rtl/>
        </w:rPr>
        <w:t>ג דק</w:t>
      </w:r>
      <w:r w:rsidR="00672F1E">
        <w:rPr>
          <w:rFonts w:cs="Arial" w:hint="cs"/>
          <w:rtl/>
        </w:rPr>
        <w:t>יי</w:t>
      </w:r>
      <w:r w:rsidRPr="005A2554">
        <w:rPr>
          <w:rFonts w:cs="Arial"/>
          <w:rtl/>
        </w:rPr>
        <w:t>"ל יכול הרב לומר לעבדו עשה עמי ואיני זנך</w:t>
      </w:r>
      <w:r w:rsidR="00672F1E">
        <w:rPr>
          <w:rFonts w:cs="Arial" w:hint="cs"/>
          <w:rtl/>
        </w:rPr>
        <w:t>,</w:t>
      </w:r>
      <w:r w:rsidRPr="005A2554">
        <w:rPr>
          <w:rFonts w:cs="Arial"/>
          <w:rtl/>
        </w:rPr>
        <w:t xml:space="preserve"> אפ"ה עבדי מלוג עדיפי מעבדי</w:t>
      </w:r>
      <w:r w:rsidR="00672F1E">
        <w:rPr>
          <w:rFonts w:cs="Arial" w:hint="cs"/>
          <w:rtl/>
        </w:rPr>
        <w:t>ם</w:t>
      </w:r>
      <w:r w:rsidRPr="005A2554">
        <w:rPr>
          <w:rFonts w:cs="Arial"/>
          <w:rtl/>
        </w:rPr>
        <w:t xml:space="preserve"> שלו</w:t>
      </w:r>
      <w:r w:rsidR="00672F1E">
        <w:rPr>
          <w:rFonts w:cs="Arial" w:hint="cs"/>
          <w:rtl/>
        </w:rPr>
        <w:t>,</w:t>
      </w:r>
      <w:r w:rsidRPr="005A2554">
        <w:rPr>
          <w:rFonts w:cs="Arial"/>
          <w:rtl/>
        </w:rPr>
        <w:t xml:space="preserve"> ועיין בי"ד סי' רסז סע' כ</w:t>
      </w:r>
      <w:r>
        <w:rPr>
          <w:rFonts w:cs="Arial" w:hint="cs"/>
          <w:rtl/>
        </w:rPr>
        <w:t xml:space="preserve">, </w:t>
      </w:r>
      <w:r w:rsidRPr="00672F1E">
        <w:rPr>
          <w:rFonts w:cs="Arial" w:hint="cs"/>
          <w:b/>
          <w:bCs/>
          <w:rtl/>
        </w:rPr>
        <w:t>ח"מ</w:t>
      </w:r>
      <w:r>
        <w:rPr>
          <w:rFonts w:cs="Arial" w:hint="cs"/>
          <w:rtl/>
        </w:rPr>
        <w:t xml:space="preserve"> </w:t>
      </w:r>
      <w:r w:rsidRPr="00941E89">
        <w:rPr>
          <w:rFonts w:cs="Arial" w:hint="cs"/>
          <w:rtl/>
        </w:rPr>
        <w:t>(סקל"ח)</w:t>
      </w:r>
      <w:r>
        <w:rPr>
          <w:rFonts w:cs="Arial" w:hint="cs"/>
          <w:rtl/>
        </w:rPr>
        <w:t>.</w:t>
      </w:r>
      <w:r w:rsidRPr="00941E89">
        <w:rPr>
          <w:rtl/>
        </w:rPr>
        <w:t xml:space="preserve"> </w:t>
      </w:r>
      <w:r w:rsidRPr="00941E89">
        <w:rPr>
          <w:rFonts w:cs="Arial"/>
          <w:rtl/>
        </w:rPr>
        <w:t xml:space="preserve">מיהו של </w:t>
      </w:r>
      <w:r>
        <w:rPr>
          <w:rFonts w:cs="Arial"/>
          <w:rtl/>
        </w:rPr>
        <w:t>צאן ברזל</w:t>
      </w:r>
      <w:r w:rsidRPr="00941E89">
        <w:rPr>
          <w:rFonts w:cs="Arial"/>
          <w:rtl/>
        </w:rPr>
        <w:t xml:space="preserve"> שהם באחריות שלו י"ל דיכול לומר עשה עמי ואיני זנך וכן משמע שם</w:t>
      </w:r>
      <w:r>
        <w:rPr>
          <w:rFonts w:cs="Arial" w:hint="cs"/>
          <w:rtl/>
        </w:rPr>
        <w:t xml:space="preserve"> (ביו"ד סי' רסז), </w:t>
      </w:r>
      <w:r w:rsidRPr="00672F1E">
        <w:rPr>
          <w:rFonts w:cs="Arial" w:hint="cs"/>
          <w:b/>
          <w:bCs/>
          <w:rtl/>
        </w:rPr>
        <w:t>ב"ש</w:t>
      </w:r>
      <w:r>
        <w:rPr>
          <w:rFonts w:cs="Arial" w:hint="cs"/>
          <w:rtl/>
        </w:rPr>
        <w:t xml:space="preserve"> (סקל"ו).</w:t>
      </w:r>
    </w:p>
  </w:footnote>
  <w:footnote w:id="1011">
    <w:p w14:paraId="6D052BF7" w14:textId="6BE47D98" w:rsidR="00DE2F5F" w:rsidRDefault="00DE2F5F">
      <w:pPr>
        <w:pStyle w:val="a5"/>
        <w:rPr>
          <w:rtl/>
        </w:rPr>
      </w:pPr>
      <w:r>
        <w:rPr>
          <w:rStyle w:val="a7"/>
        </w:rPr>
        <w:footnoteRef/>
      </w:r>
      <w:r>
        <w:rPr>
          <w:rtl/>
        </w:rPr>
        <w:t xml:space="preserve"> </w:t>
      </w:r>
      <w:r w:rsidRPr="005A2554">
        <w:rPr>
          <w:rFonts w:cs="Arial"/>
          <w:rtl/>
        </w:rPr>
        <w:t>ומכ"ש ולד ולד עד עולם. וכתב הרא"ש בשם בה"ג דאם מתה האם קודם ששחט הולד נעשה הולד קרן של האשה במקום האם</w:t>
      </w:r>
      <w:r w:rsidR="0016483C">
        <w:rPr>
          <w:rFonts w:cs="Arial" w:hint="cs"/>
          <w:rtl/>
        </w:rPr>
        <w:t>,</w:t>
      </w:r>
      <w:r w:rsidRPr="005A2554">
        <w:rPr>
          <w:rFonts w:cs="Arial"/>
          <w:rtl/>
        </w:rPr>
        <w:t xml:space="preserve"> ולא ידעתי למה הושמט דין זה כאן</w:t>
      </w:r>
      <w:r w:rsidR="0016483C">
        <w:rPr>
          <w:rFonts w:cs="Arial" w:hint="cs"/>
          <w:rtl/>
        </w:rPr>
        <w:t>.</w:t>
      </w:r>
      <w:r w:rsidRPr="005A2554">
        <w:rPr>
          <w:rFonts w:cs="Arial"/>
          <w:rtl/>
        </w:rPr>
        <w:t xml:space="preserve"> ודין הכפל שלא זיכו אותו לבעל</w:t>
      </w:r>
      <w:r w:rsidR="0016483C">
        <w:rPr>
          <w:rFonts w:cs="Arial" w:hint="cs"/>
          <w:rtl/>
        </w:rPr>
        <w:t>,</w:t>
      </w:r>
      <w:r w:rsidRPr="005A2554">
        <w:rPr>
          <w:rFonts w:cs="Arial"/>
          <w:rtl/>
        </w:rPr>
        <w:t xml:space="preserve"> אפילו כפל דולד שהוא שלו</w:t>
      </w:r>
      <w:r w:rsidR="0016483C">
        <w:rPr>
          <w:rFonts w:cs="Arial" w:hint="cs"/>
          <w:rtl/>
        </w:rPr>
        <w:t>,</w:t>
      </w:r>
      <w:r w:rsidRPr="005A2554">
        <w:rPr>
          <w:rFonts w:cs="Arial"/>
          <w:rtl/>
        </w:rPr>
        <w:t xml:space="preserve"> הושמט כאן משום דאין כפל נוהג עכשיו דאין דנין דיני קנסות</w:t>
      </w:r>
      <w:r w:rsidR="0016483C">
        <w:rPr>
          <w:rFonts w:cs="Arial" w:hint="cs"/>
          <w:rtl/>
        </w:rPr>
        <w:t>,</w:t>
      </w:r>
      <w:r w:rsidRPr="005A2554">
        <w:rPr>
          <w:rFonts w:cs="Arial"/>
          <w:rtl/>
        </w:rPr>
        <w:t xml:space="preserve"> ומ"מ יש נ"מ גם האידנ' אם תפסה זכתה ואין הבעל מוציא מידה</w:t>
      </w:r>
      <w:r>
        <w:rPr>
          <w:rFonts w:hint="cs"/>
          <w:rtl/>
        </w:rPr>
        <w:t>, ח"מ (סקל"ט).</w:t>
      </w:r>
    </w:p>
  </w:footnote>
  <w:footnote w:id="1012">
    <w:p w14:paraId="242953C6" w14:textId="3B2ED9C1" w:rsidR="00DE2F5F" w:rsidRDefault="00DE2F5F">
      <w:pPr>
        <w:pStyle w:val="a5"/>
      </w:pPr>
      <w:r>
        <w:rPr>
          <w:rStyle w:val="a7"/>
        </w:rPr>
        <w:footnoteRef/>
      </w:r>
      <w:r>
        <w:rPr>
          <w:rtl/>
        </w:rPr>
        <w:t xml:space="preserve"> </w:t>
      </w:r>
      <w:r w:rsidRPr="00941E89">
        <w:rPr>
          <w:rFonts w:cs="Arial"/>
          <w:rtl/>
        </w:rPr>
        <w:t>כ"כ הרמב"ם ורש"י</w:t>
      </w:r>
      <w:r>
        <w:rPr>
          <w:rFonts w:cs="Arial" w:hint="cs"/>
          <w:rtl/>
        </w:rPr>
        <w:t>,</w:t>
      </w:r>
      <w:r w:rsidRPr="00941E89">
        <w:rPr>
          <w:rFonts w:cs="Arial"/>
          <w:rtl/>
        </w:rPr>
        <w:t xml:space="preserve"> משמע </w:t>
      </w:r>
      <w:r>
        <w:rPr>
          <w:rFonts w:cs="Arial" w:hint="cs"/>
          <w:rtl/>
        </w:rPr>
        <w:t xml:space="preserve">דולד </w:t>
      </w:r>
      <w:r w:rsidRPr="00941E89">
        <w:rPr>
          <w:rFonts w:cs="Arial"/>
          <w:rtl/>
        </w:rPr>
        <w:t>בהמת נ</w:t>
      </w:r>
      <w:r>
        <w:rPr>
          <w:rFonts w:cs="Arial" w:hint="cs"/>
          <w:rtl/>
        </w:rPr>
        <w:t xml:space="preserve">כסי </w:t>
      </w:r>
      <w:r w:rsidRPr="00941E89">
        <w:rPr>
          <w:rFonts w:cs="Arial"/>
          <w:rtl/>
        </w:rPr>
        <w:t>מ</w:t>
      </w:r>
      <w:r>
        <w:rPr>
          <w:rFonts w:cs="Arial" w:hint="cs"/>
          <w:rtl/>
        </w:rPr>
        <w:t>לוג</w:t>
      </w:r>
      <w:r w:rsidRPr="00941E89">
        <w:rPr>
          <w:rFonts w:cs="Arial"/>
          <w:rtl/>
        </w:rPr>
        <w:t xml:space="preserve"> לא שייך ש</w:t>
      </w:r>
      <w:r>
        <w:rPr>
          <w:rFonts w:cs="Arial" w:hint="cs"/>
          <w:rtl/>
        </w:rPr>
        <w:t>בח בית אביה,</w:t>
      </w:r>
      <w:r w:rsidRPr="00941E89">
        <w:rPr>
          <w:rFonts w:cs="Arial"/>
          <w:rtl/>
        </w:rPr>
        <w:t xml:space="preserve"> כ"כ בח"מ </w:t>
      </w:r>
      <w:r>
        <w:rPr>
          <w:rFonts w:cs="Arial" w:hint="cs"/>
          <w:rtl/>
        </w:rPr>
        <w:t xml:space="preserve">(סק"מ). </w:t>
      </w:r>
      <w:r w:rsidRPr="00941E89">
        <w:rPr>
          <w:rFonts w:cs="Arial"/>
          <w:rtl/>
        </w:rPr>
        <w:t>והטור ס"ס פ"ט כתב גם ולד בהמו</w:t>
      </w:r>
      <w:r>
        <w:rPr>
          <w:rFonts w:cs="Arial" w:hint="cs"/>
          <w:rtl/>
        </w:rPr>
        <w:t>ת</w:t>
      </w:r>
      <w:r w:rsidRPr="00941E89">
        <w:rPr>
          <w:rFonts w:cs="Arial"/>
          <w:rtl/>
        </w:rPr>
        <w:t xml:space="preserve"> נותנת דמים ונוטלת</w:t>
      </w:r>
      <w:r>
        <w:rPr>
          <w:rFonts w:cs="Arial" w:hint="cs"/>
          <w:rtl/>
        </w:rPr>
        <w:t>.</w:t>
      </w:r>
      <w:r w:rsidRPr="00941E89">
        <w:rPr>
          <w:rFonts w:cs="Arial"/>
          <w:rtl/>
        </w:rPr>
        <w:t xml:space="preserve"> מיהו הריב"ש </w:t>
      </w:r>
      <w:r>
        <w:rPr>
          <w:rFonts w:cs="Arial" w:hint="cs"/>
          <w:rtl/>
        </w:rPr>
        <w:t>(</w:t>
      </w:r>
      <w:r w:rsidRPr="00941E89">
        <w:rPr>
          <w:rFonts w:cs="Arial"/>
          <w:rtl/>
        </w:rPr>
        <w:t>סי</w:t>
      </w:r>
      <w:r>
        <w:rPr>
          <w:rFonts w:cs="Arial" w:hint="cs"/>
          <w:rtl/>
        </w:rPr>
        <w:t>'</w:t>
      </w:r>
      <w:r w:rsidRPr="00941E89">
        <w:rPr>
          <w:rFonts w:cs="Arial"/>
          <w:rtl/>
        </w:rPr>
        <w:t xml:space="preserve"> כא</w:t>
      </w:r>
      <w:r>
        <w:rPr>
          <w:rFonts w:cs="Arial" w:hint="cs"/>
          <w:rtl/>
        </w:rPr>
        <w:t>)</w:t>
      </w:r>
      <w:r w:rsidRPr="00941E89">
        <w:rPr>
          <w:rFonts w:cs="Arial"/>
          <w:rtl/>
        </w:rPr>
        <w:t xml:space="preserve"> כתב להדי</w:t>
      </w:r>
      <w:r>
        <w:rPr>
          <w:rFonts w:cs="Arial" w:hint="cs"/>
          <w:rtl/>
        </w:rPr>
        <w:t>א</w:t>
      </w:r>
      <w:r w:rsidRPr="00941E89">
        <w:rPr>
          <w:rFonts w:cs="Arial"/>
          <w:rtl/>
        </w:rPr>
        <w:t xml:space="preserve"> דוקא ולד שפחות לוקח</w:t>
      </w:r>
      <w:r>
        <w:rPr>
          <w:rFonts w:cs="Arial" w:hint="cs"/>
          <w:rtl/>
        </w:rPr>
        <w:t>ת</w:t>
      </w:r>
      <w:r w:rsidRPr="00941E89">
        <w:rPr>
          <w:rFonts w:cs="Arial"/>
          <w:rtl/>
        </w:rPr>
        <w:t xml:space="preserve"> משום שב"א ולא ולד בהמות</w:t>
      </w:r>
      <w:r>
        <w:rPr>
          <w:rFonts w:cs="Arial" w:hint="cs"/>
          <w:rtl/>
        </w:rPr>
        <w:t>.</w:t>
      </w:r>
      <w:r w:rsidRPr="00941E89">
        <w:rPr>
          <w:rFonts w:cs="Arial"/>
          <w:rtl/>
        </w:rPr>
        <w:t xml:space="preserve"> גם נשמע מהרי"ף אם הבעל מוכר הפירות ולקח קרקע אז הקרקע שייך לה ואין לו אלא הפירות כי הפירות לא תקנו חז"ל אלא לריוח ביתו ולא לקנות קרק</w:t>
      </w:r>
      <w:r>
        <w:rPr>
          <w:rFonts w:cs="Arial" w:hint="cs"/>
          <w:rtl/>
        </w:rPr>
        <w:t>ע, ב"ש (סקל"ח).</w:t>
      </w:r>
    </w:p>
  </w:footnote>
  <w:footnote w:id="1013">
    <w:p w14:paraId="500CB486" w14:textId="5EB067C2" w:rsidR="009A0161" w:rsidRDefault="009A0161">
      <w:pPr>
        <w:pStyle w:val="a5"/>
      </w:pPr>
      <w:r>
        <w:rPr>
          <w:rStyle w:val="a7"/>
        </w:rPr>
        <w:footnoteRef/>
      </w:r>
      <w:r>
        <w:rPr>
          <w:rtl/>
        </w:rPr>
        <w:t xml:space="preserve"> </w:t>
      </w:r>
      <w:r>
        <w:rPr>
          <w:rFonts w:hint="cs"/>
          <w:rtl/>
        </w:rPr>
        <w:t>סימן - פירסם לפירות.</w:t>
      </w:r>
    </w:p>
  </w:footnote>
  <w:footnote w:id="1014">
    <w:p w14:paraId="66FD93CD" w14:textId="1412B1E2" w:rsidR="00DE2F5F" w:rsidRDefault="00DE2F5F">
      <w:pPr>
        <w:pStyle w:val="a5"/>
      </w:pPr>
      <w:r>
        <w:rPr>
          <w:rStyle w:val="a7"/>
        </w:rPr>
        <w:footnoteRef/>
      </w:r>
      <w:r>
        <w:rPr>
          <w:rtl/>
        </w:rPr>
        <w:t xml:space="preserve"> </w:t>
      </w:r>
      <w:r w:rsidRPr="001270F4">
        <w:rPr>
          <w:rFonts w:cs="Arial"/>
          <w:rtl/>
        </w:rPr>
        <w:t>מכר לאחרים קרקע מלוג שיעשה הלוקח ויאכל פירות</w:t>
      </w:r>
      <w:r>
        <w:rPr>
          <w:rFonts w:cs="Arial" w:hint="cs"/>
          <w:rtl/>
        </w:rPr>
        <w:t>, רש"י.</w:t>
      </w:r>
    </w:p>
  </w:footnote>
  <w:footnote w:id="1015">
    <w:p w14:paraId="02412D33" w14:textId="78E81E65" w:rsidR="00DE2F5F" w:rsidRDefault="00DE2F5F">
      <w:pPr>
        <w:pStyle w:val="a5"/>
      </w:pPr>
      <w:r>
        <w:rPr>
          <w:rStyle w:val="a7"/>
        </w:rPr>
        <w:footnoteRef/>
      </w:r>
      <w:r>
        <w:rPr>
          <w:rtl/>
        </w:rPr>
        <w:t xml:space="preserve"> </w:t>
      </w:r>
      <w:r w:rsidRPr="001270F4">
        <w:rPr>
          <w:rFonts w:cs="Arial"/>
          <w:rtl/>
        </w:rPr>
        <w:t>שיכניס הפירות לביתו ויהא מזון הבית מצוי וייטיב לה</w:t>
      </w:r>
      <w:r>
        <w:rPr>
          <w:rFonts w:cs="Arial" w:hint="cs"/>
          <w:rtl/>
        </w:rPr>
        <w:t>, רש"י.</w:t>
      </w:r>
    </w:p>
  </w:footnote>
  <w:footnote w:id="1016">
    <w:p w14:paraId="53E96BCC" w14:textId="27D1AC69" w:rsidR="00DE2F5F" w:rsidRDefault="00DE2F5F">
      <w:pPr>
        <w:pStyle w:val="a5"/>
      </w:pPr>
      <w:r>
        <w:rPr>
          <w:rStyle w:val="a7"/>
        </w:rPr>
        <w:footnoteRef/>
      </w:r>
      <w:r>
        <w:rPr>
          <w:rtl/>
        </w:rPr>
        <w:t xml:space="preserve"> </w:t>
      </w:r>
      <w:r w:rsidRPr="00197DA4">
        <w:rPr>
          <w:rFonts w:cs="Arial"/>
          <w:rtl/>
        </w:rPr>
        <w:t>לעולם משום רווח ביתא אית ליה לרבא תקנת פירות</w:t>
      </w:r>
      <w:r>
        <w:rPr>
          <w:rFonts w:cs="Arial" w:hint="cs"/>
          <w:rtl/>
        </w:rPr>
        <w:t>, רש"י.</w:t>
      </w:r>
    </w:p>
  </w:footnote>
  <w:footnote w:id="1017">
    <w:p w14:paraId="63EF8C1C" w14:textId="469C9017" w:rsidR="00DE2F5F" w:rsidRDefault="00DE2F5F">
      <w:pPr>
        <w:pStyle w:val="a5"/>
      </w:pPr>
      <w:r>
        <w:rPr>
          <w:rStyle w:val="a7"/>
        </w:rPr>
        <w:footnoteRef/>
      </w:r>
      <w:r>
        <w:rPr>
          <w:rtl/>
        </w:rPr>
        <w:t xml:space="preserve"> </w:t>
      </w:r>
      <w:r w:rsidRPr="00197DA4">
        <w:rPr>
          <w:rFonts w:cs="Arial"/>
          <w:rtl/>
        </w:rPr>
        <w:t>ביתא שאף עתה היא עושה צרכי הבית</w:t>
      </w:r>
      <w:r>
        <w:rPr>
          <w:rFonts w:cs="Arial" w:hint="cs"/>
          <w:rtl/>
        </w:rPr>
        <w:t>, רש"י.</w:t>
      </w:r>
    </w:p>
  </w:footnote>
  <w:footnote w:id="1018">
    <w:p w14:paraId="15F5A63B" w14:textId="1761BF80" w:rsidR="00DE2F5F" w:rsidRDefault="00DE2F5F">
      <w:pPr>
        <w:pStyle w:val="a5"/>
      </w:pPr>
      <w:r>
        <w:rPr>
          <w:rStyle w:val="a7"/>
        </w:rPr>
        <w:footnoteRef/>
      </w:r>
      <w:r>
        <w:rPr>
          <w:rtl/>
        </w:rPr>
        <w:t xml:space="preserve"> </w:t>
      </w:r>
      <w:r w:rsidRPr="00197DA4">
        <w:rPr>
          <w:rFonts w:cs="Arial"/>
          <w:rtl/>
        </w:rPr>
        <w:t>השדה שלא יחוש הלוקח לזבלה ולטייבה דקא סבר למחר נפקת מנאי שאין הגוף שלי</w:t>
      </w:r>
      <w:r w:rsidR="009A0161">
        <w:rPr>
          <w:rFonts w:cs="Arial" w:hint="cs"/>
          <w:rtl/>
        </w:rPr>
        <w:t>,</w:t>
      </w:r>
      <w:r w:rsidRPr="00197DA4">
        <w:rPr>
          <w:rFonts w:cs="Arial"/>
          <w:rtl/>
        </w:rPr>
        <w:t xml:space="preserve"> אבל בעל מצפה שמא תמות היא בחייו ויירש את גוף הקרקע ומשבח לה</w:t>
      </w:r>
      <w:r>
        <w:rPr>
          <w:rFonts w:cs="Arial" w:hint="cs"/>
          <w:rtl/>
        </w:rPr>
        <w:t>, רש"י.</w:t>
      </w:r>
    </w:p>
  </w:footnote>
  <w:footnote w:id="1019">
    <w:p w14:paraId="217E48A4" w14:textId="16513725" w:rsidR="00DE2F5F" w:rsidRDefault="00DE2F5F">
      <w:pPr>
        <w:pStyle w:val="a5"/>
      </w:pPr>
      <w:r>
        <w:rPr>
          <w:rStyle w:val="a7"/>
        </w:rPr>
        <w:footnoteRef/>
      </w:r>
      <w:r>
        <w:rPr>
          <w:rtl/>
        </w:rPr>
        <w:t xml:space="preserve"> </w:t>
      </w:r>
      <w:r w:rsidRPr="00197DA4">
        <w:rPr>
          <w:rFonts w:cs="Arial"/>
          <w:rtl/>
        </w:rPr>
        <w:t>דחזיא ליה כל שעתא אי מכסיף לה</w:t>
      </w:r>
      <w:r>
        <w:rPr>
          <w:rFonts w:cs="Arial" w:hint="cs"/>
          <w:rtl/>
        </w:rPr>
        <w:t>, רש"י.</w:t>
      </w:r>
    </w:p>
  </w:footnote>
  <w:footnote w:id="1020">
    <w:p w14:paraId="2B667268" w14:textId="6A7C2E46" w:rsidR="00DE2F5F" w:rsidRPr="00197DA4" w:rsidRDefault="00DE2F5F" w:rsidP="00197DA4">
      <w:pPr>
        <w:pStyle w:val="a5"/>
        <w:rPr>
          <w:rFonts w:cs="Arial"/>
        </w:rPr>
      </w:pPr>
      <w:r>
        <w:rPr>
          <w:rStyle w:val="a7"/>
        </w:rPr>
        <w:footnoteRef/>
      </w:r>
      <w:r>
        <w:rPr>
          <w:rtl/>
        </w:rPr>
        <w:t xml:space="preserve"> </w:t>
      </w:r>
      <w:r w:rsidRPr="00197DA4">
        <w:rPr>
          <w:rFonts w:cs="Arial"/>
          <w:rtl/>
        </w:rPr>
        <w:t>באותה שדה, ואז אין לחוש שיפסיד את הקרקע.</w:t>
      </w:r>
      <w:r>
        <w:rPr>
          <w:rFonts w:cs="Arial" w:hint="cs"/>
          <w:rtl/>
        </w:rPr>
        <w:t xml:space="preserve"> </w:t>
      </w:r>
      <w:r w:rsidRPr="00197DA4">
        <w:rPr>
          <w:rFonts w:cs="Arial"/>
          <w:rtl/>
        </w:rPr>
        <w:t xml:space="preserve">ומדובר שנותן את כל הפירות לבעל השדה שמכר לו את הקרקע, והוא עצמו נוטל את שכרו מהפירות עבור עבודתו בשדה שמכר ללוקח. ומהממון ההוא אין רווח ביתא </w:t>
      </w:r>
      <w:r>
        <w:rPr>
          <w:rFonts w:cs="Arial" w:hint="cs"/>
          <w:rtl/>
        </w:rPr>
        <w:t>(</w:t>
      </w:r>
      <w:r w:rsidRPr="00197DA4">
        <w:rPr>
          <w:rFonts w:cs="Arial"/>
          <w:rtl/>
        </w:rPr>
        <w:t>אלא אם כן משתמש בו לעיסקא</w:t>
      </w:r>
      <w:r>
        <w:rPr>
          <w:rFonts w:cs="Arial" w:hint="cs"/>
          <w:rtl/>
        </w:rPr>
        <w:t xml:space="preserve">). </w:t>
      </w:r>
      <w:r w:rsidRPr="00197DA4">
        <w:rPr>
          <w:rFonts w:cs="Arial"/>
          <w:rtl/>
        </w:rPr>
        <w:t xml:space="preserve">כך בארו רוב הראשונים. אך יש שפרשו - כגון שהבעל אריס בשדה אחרת, ואז יש חשש שמא תכסיף. ומאידך אין בעיה משום רווח ביתא כיון שמביא לה פירות אחרים במקומם </w:t>
      </w:r>
      <w:r>
        <w:rPr>
          <w:rFonts w:cs="Arial" w:hint="cs"/>
          <w:rtl/>
        </w:rPr>
        <w:t>(פירוש חברותא).</w:t>
      </w:r>
    </w:p>
  </w:footnote>
  <w:footnote w:id="1021">
    <w:p w14:paraId="0E1DF07C" w14:textId="41FE1582" w:rsidR="00DE2F5F" w:rsidRDefault="00DE2F5F">
      <w:pPr>
        <w:pStyle w:val="a5"/>
      </w:pPr>
      <w:r>
        <w:rPr>
          <w:rStyle w:val="a7"/>
        </w:rPr>
        <w:footnoteRef/>
      </w:r>
      <w:r>
        <w:rPr>
          <w:rtl/>
        </w:rPr>
        <w:t xml:space="preserve"> </w:t>
      </w:r>
      <w:r w:rsidRPr="00197DA4">
        <w:rPr>
          <w:rFonts w:cs="Arial"/>
          <w:rtl/>
        </w:rPr>
        <w:t>שהבעל עושה סחורה במעות שקיבל מן הלוקח ומשתכר בהן ואיכא רווח ביתא</w:t>
      </w:r>
      <w:r>
        <w:rPr>
          <w:rFonts w:cs="Arial" w:hint="cs"/>
          <w:rtl/>
        </w:rPr>
        <w:t>, רש"י.</w:t>
      </w:r>
    </w:p>
  </w:footnote>
  <w:footnote w:id="1022">
    <w:p w14:paraId="29D10BBD" w14:textId="42DCD1AF" w:rsidR="00DE2F5F" w:rsidRDefault="00DE2F5F" w:rsidP="00310BCC">
      <w:pPr>
        <w:pStyle w:val="a5"/>
      </w:pPr>
      <w:r>
        <w:rPr>
          <w:rStyle w:val="a7"/>
        </w:rPr>
        <w:footnoteRef/>
      </w:r>
      <w:r>
        <w:rPr>
          <w:rtl/>
        </w:rPr>
        <w:t xml:space="preserve"> </w:t>
      </w:r>
      <w:r w:rsidRPr="00310BCC">
        <w:rPr>
          <w:rFonts w:cs="Arial"/>
          <w:rtl/>
        </w:rPr>
        <w:t>עיין בח</w:t>
      </w:r>
      <w:r w:rsidR="00F62FB8">
        <w:rPr>
          <w:rFonts w:cs="Arial" w:hint="cs"/>
          <w:rtl/>
        </w:rPr>
        <w:t>ו</w:t>
      </w:r>
      <w:r w:rsidRPr="00310BCC">
        <w:rPr>
          <w:rFonts w:cs="Arial"/>
          <w:rtl/>
        </w:rPr>
        <w:t>"מ</w:t>
      </w:r>
      <w:r w:rsidR="00F62FB8">
        <w:rPr>
          <w:rFonts w:cs="Arial" w:hint="cs"/>
          <w:rtl/>
        </w:rPr>
        <w:t>.</w:t>
      </w:r>
      <w:r w:rsidRPr="00310BCC">
        <w:rPr>
          <w:rFonts w:cs="Arial"/>
          <w:rtl/>
        </w:rPr>
        <w:t xml:space="preserve"> ואם גובה הב"ח מפירו</w:t>
      </w:r>
      <w:r w:rsidR="00F62FB8">
        <w:rPr>
          <w:rFonts w:cs="Arial" w:hint="cs"/>
          <w:rtl/>
        </w:rPr>
        <w:t>ת</w:t>
      </w:r>
      <w:r w:rsidRPr="00310BCC">
        <w:rPr>
          <w:rFonts w:cs="Arial"/>
          <w:rtl/>
        </w:rPr>
        <w:t xml:space="preserve"> של נ"מ</w:t>
      </w:r>
      <w:r w:rsidR="00F62FB8">
        <w:rPr>
          <w:rFonts w:cs="Arial" w:hint="cs"/>
          <w:rtl/>
        </w:rPr>
        <w:t>,</w:t>
      </w:r>
      <w:r w:rsidRPr="00310BCC">
        <w:rPr>
          <w:rFonts w:cs="Arial"/>
          <w:rtl/>
        </w:rPr>
        <w:t xml:space="preserve"> לכאור</w:t>
      </w:r>
      <w:r w:rsidR="00F62FB8">
        <w:rPr>
          <w:rFonts w:cs="Arial" w:hint="cs"/>
          <w:rtl/>
        </w:rPr>
        <w:t>ה</w:t>
      </w:r>
      <w:r w:rsidRPr="00310BCC">
        <w:rPr>
          <w:rFonts w:cs="Arial"/>
          <w:rtl/>
        </w:rPr>
        <w:t xml:space="preserve"> אינו גובה</w:t>
      </w:r>
      <w:r w:rsidR="00F62FB8">
        <w:rPr>
          <w:rFonts w:cs="Arial" w:hint="cs"/>
          <w:rtl/>
        </w:rPr>
        <w:t>,</w:t>
      </w:r>
      <w:r w:rsidRPr="00310BCC">
        <w:rPr>
          <w:rFonts w:cs="Arial"/>
          <w:rtl/>
        </w:rPr>
        <w:t xml:space="preserve"> דהא אפילו למכור לשנים מרובות אינו יכול משום ריוח ביתו מכ"ש לשלם לב"ח</w:t>
      </w:r>
      <w:r w:rsidR="00F62FB8">
        <w:rPr>
          <w:rFonts w:cs="Arial" w:hint="cs"/>
          <w:rtl/>
        </w:rPr>
        <w:t>,</w:t>
      </w:r>
      <w:r w:rsidRPr="00310BCC">
        <w:rPr>
          <w:rFonts w:cs="Arial"/>
          <w:rtl/>
        </w:rPr>
        <w:t xml:space="preserve"> ועיין בתשובת המבי"ט ס"י</w:t>
      </w:r>
      <w:r>
        <w:rPr>
          <w:rFonts w:cs="Arial" w:hint="cs"/>
          <w:rtl/>
        </w:rPr>
        <w:t xml:space="preserve">, </w:t>
      </w:r>
      <w:r w:rsidRPr="00F62FB8">
        <w:rPr>
          <w:rFonts w:cs="Arial" w:hint="cs"/>
          <w:b/>
          <w:bCs/>
          <w:rtl/>
        </w:rPr>
        <w:t>ח"מ</w:t>
      </w:r>
      <w:r>
        <w:rPr>
          <w:rFonts w:cs="Arial" w:hint="cs"/>
          <w:rtl/>
        </w:rPr>
        <w:t xml:space="preserve"> (סקמ"ג).</w:t>
      </w:r>
      <w:r w:rsidRPr="00310BCC">
        <w:rPr>
          <w:rtl/>
        </w:rPr>
        <w:t xml:space="preserve"> </w:t>
      </w:r>
      <w:r w:rsidRPr="00310BCC">
        <w:rPr>
          <w:rFonts w:cs="Arial"/>
          <w:rtl/>
        </w:rPr>
        <w:t>וכבר כתבתי כן בשם בהעה"ת</w:t>
      </w:r>
      <w:r>
        <w:rPr>
          <w:rFonts w:cs="Arial" w:hint="cs"/>
          <w:rtl/>
        </w:rPr>
        <w:t xml:space="preserve">, </w:t>
      </w:r>
      <w:r w:rsidRPr="00F62FB8">
        <w:rPr>
          <w:rFonts w:cs="Arial" w:hint="cs"/>
          <w:b/>
          <w:bCs/>
          <w:rtl/>
        </w:rPr>
        <w:t>ב"ש</w:t>
      </w:r>
      <w:r>
        <w:rPr>
          <w:rFonts w:cs="Arial" w:hint="cs"/>
          <w:rtl/>
        </w:rPr>
        <w:t xml:space="preserve"> (סקל"ט).</w:t>
      </w:r>
      <w:r>
        <w:rPr>
          <w:rFonts w:hint="cs"/>
          <w:rtl/>
        </w:rPr>
        <w:t xml:space="preserve"> ועוד כתב הב"ש (שם)</w:t>
      </w:r>
      <w:r w:rsidRPr="00310BCC">
        <w:rPr>
          <w:rtl/>
        </w:rPr>
        <w:t xml:space="preserve"> </w:t>
      </w:r>
      <w:r>
        <w:rPr>
          <w:rFonts w:cs="Arial" w:hint="cs"/>
          <w:rtl/>
        </w:rPr>
        <w:t>שב</w:t>
      </w:r>
      <w:r w:rsidRPr="00310BCC">
        <w:rPr>
          <w:rFonts w:cs="Arial"/>
          <w:rtl/>
        </w:rPr>
        <w:t xml:space="preserve">תשוב' מהרי"ו </w:t>
      </w:r>
      <w:r w:rsidR="00F62FB8">
        <w:rPr>
          <w:rFonts w:cs="Arial" w:hint="cs"/>
          <w:rtl/>
        </w:rPr>
        <w:t>(</w:t>
      </w:r>
      <w:r w:rsidRPr="00310BCC">
        <w:rPr>
          <w:rFonts w:cs="Arial"/>
          <w:rtl/>
        </w:rPr>
        <w:t>סי' עח</w:t>
      </w:r>
      <w:r w:rsidR="00F62FB8">
        <w:rPr>
          <w:rFonts w:cs="Arial" w:hint="cs"/>
          <w:rtl/>
        </w:rPr>
        <w:t>) כתב</w:t>
      </w:r>
      <w:r w:rsidRPr="00310BCC">
        <w:rPr>
          <w:rFonts w:cs="Arial"/>
          <w:rtl/>
        </w:rPr>
        <w:t xml:space="preserve"> דרשאי לתפוס מעות נדוני</w:t>
      </w:r>
      <w:r w:rsidR="00F62FB8">
        <w:rPr>
          <w:rFonts w:cs="Arial" w:hint="cs"/>
          <w:rtl/>
        </w:rPr>
        <w:t>א</w:t>
      </w:r>
      <w:r w:rsidRPr="00310BCC">
        <w:rPr>
          <w:rFonts w:cs="Arial"/>
          <w:rtl/>
        </w:rPr>
        <w:t xml:space="preserve"> אם הם בעין לצורך מזונות שלה</w:t>
      </w:r>
      <w:r>
        <w:rPr>
          <w:rFonts w:hint="cs"/>
          <w:rtl/>
        </w:rPr>
        <w:t>.</w:t>
      </w:r>
    </w:p>
  </w:footnote>
  <w:footnote w:id="1023">
    <w:p w14:paraId="3F7B66CB" w14:textId="5667086F" w:rsidR="00DE2F5F" w:rsidRDefault="00DE2F5F">
      <w:pPr>
        <w:pStyle w:val="a5"/>
        <w:rPr>
          <w:rtl/>
        </w:rPr>
      </w:pPr>
      <w:r>
        <w:rPr>
          <w:rStyle w:val="a7"/>
        </w:rPr>
        <w:footnoteRef/>
      </w:r>
      <w:r>
        <w:rPr>
          <w:rtl/>
        </w:rPr>
        <w:t xml:space="preserve"> </w:t>
      </w:r>
      <w:r w:rsidRPr="00167ADF">
        <w:rPr>
          <w:rFonts w:cs="Arial"/>
          <w:rtl/>
        </w:rPr>
        <w:t>משמע קצת דלכתחלה יכולה האשה למחות רק אם מכור בדיעבד מכור מטעם שכתב רב האי והובא בטור</w:t>
      </w:r>
      <w:r>
        <w:rPr>
          <w:rFonts w:hint="cs"/>
          <w:rtl/>
        </w:rPr>
        <w:t xml:space="preserve">, </w:t>
      </w:r>
      <w:r w:rsidRPr="001A6DB3">
        <w:rPr>
          <w:rFonts w:hint="cs"/>
          <w:b/>
          <w:bCs/>
          <w:rtl/>
        </w:rPr>
        <w:t>ח"מ</w:t>
      </w:r>
      <w:r>
        <w:rPr>
          <w:rFonts w:hint="cs"/>
          <w:rtl/>
        </w:rPr>
        <w:t xml:space="preserve"> (סקמ"ד). אך </w:t>
      </w:r>
      <w:r w:rsidRPr="001A6DB3">
        <w:rPr>
          <w:rFonts w:hint="cs"/>
          <w:b/>
          <w:bCs/>
          <w:rtl/>
        </w:rPr>
        <w:t>הב"ש</w:t>
      </w:r>
      <w:r>
        <w:rPr>
          <w:rFonts w:hint="cs"/>
          <w:rtl/>
        </w:rPr>
        <w:t xml:space="preserve"> (סק"מ) כתב </w:t>
      </w:r>
      <w:r>
        <w:rPr>
          <w:rFonts w:cs="Arial" w:hint="cs"/>
          <w:rtl/>
        </w:rPr>
        <w:t>ד</w:t>
      </w:r>
      <w:r w:rsidRPr="00167ADF">
        <w:rPr>
          <w:rFonts w:cs="Arial"/>
          <w:rtl/>
        </w:rPr>
        <w:t>מה שמדייק בח"מ דוק</w:t>
      </w:r>
      <w:r>
        <w:rPr>
          <w:rFonts w:cs="Arial" w:hint="cs"/>
          <w:rtl/>
        </w:rPr>
        <w:t>א</w:t>
      </w:r>
      <w:r w:rsidRPr="00167ADF">
        <w:rPr>
          <w:rFonts w:cs="Arial"/>
          <w:rtl/>
        </w:rPr>
        <w:t xml:space="preserve"> דיעבד</w:t>
      </w:r>
      <w:r>
        <w:rPr>
          <w:rFonts w:cs="Arial" w:hint="cs"/>
          <w:rtl/>
        </w:rPr>
        <w:t>... -</w:t>
      </w:r>
      <w:r w:rsidRPr="00167ADF">
        <w:rPr>
          <w:rFonts w:cs="Arial"/>
          <w:rtl/>
        </w:rPr>
        <w:t xml:space="preserve"> ליתא</w:t>
      </w:r>
      <w:r>
        <w:rPr>
          <w:rFonts w:cs="Arial" w:hint="cs"/>
          <w:rtl/>
        </w:rPr>
        <w:t>,</w:t>
      </w:r>
      <w:r w:rsidRPr="00167ADF">
        <w:rPr>
          <w:rFonts w:cs="Arial"/>
          <w:rtl/>
        </w:rPr>
        <w:t xml:space="preserve"> כמה שמסיים הטור </w:t>
      </w:r>
      <w:r>
        <w:rPr>
          <w:rFonts w:cs="Arial" w:hint="cs"/>
          <w:rtl/>
        </w:rPr>
        <w:t>'</w:t>
      </w:r>
      <w:r w:rsidRPr="00167ADF">
        <w:rPr>
          <w:rFonts w:cs="Arial"/>
          <w:rtl/>
        </w:rPr>
        <w:t xml:space="preserve">טוב יותר </w:t>
      </w:r>
      <w:r>
        <w:rPr>
          <w:rFonts w:cs="Arial" w:hint="cs"/>
          <w:rtl/>
        </w:rPr>
        <w:t xml:space="preserve">למוכרו </w:t>
      </w:r>
      <w:r w:rsidRPr="00167ADF">
        <w:rPr>
          <w:rFonts w:cs="Arial"/>
          <w:rtl/>
        </w:rPr>
        <w:t>לפירות</w:t>
      </w:r>
      <w:r>
        <w:rPr>
          <w:rFonts w:cs="Arial" w:hint="cs"/>
          <w:rtl/>
        </w:rPr>
        <w:t>'.</w:t>
      </w:r>
      <w:r>
        <w:rPr>
          <w:rFonts w:hint="cs"/>
          <w:rtl/>
        </w:rPr>
        <w:t xml:space="preserve"> עכ"ל. וגם </w:t>
      </w:r>
      <w:r w:rsidRPr="00BE7D6B">
        <w:rPr>
          <w:rFonts w:cs="Arial"/>
          <w:rtl/>
        </w:rPr>
        <w:t>בס</w:t>
      </w:r>
      <w:r>
        <w:rPr>
          <w:rFonts w:cs="Arial" w:hint="cs"/>
          <w:rtl/>
        </w:rPr>
        <w:t>פר</w:t>
      </w:r>
      <w:r w:rsidRPr="00BE7D6B">
        <w:rPr>
          <w:rFonts w:cs="Arial"/>
          <w:rtl/>
        </w:rPr>
        <w:t xml:space="preserve"> </w:t>
      </w:r>
      <w:r w:rsidRPr="001A6DB3">
        <w:rPr>
          <w:rFonts w:cs="Arial"/>
          <w:b/>
          <w:bCs/>
          <w:rtl/>
        </w:rPr>
        <w:t>ישועות יעקב</w:t>
      </w:r>
      <w:r>
        <w:rPr>
          <w:rFonts w:cs="Arial" w:hint="cs"/>
          <w:rtl/>
        </w:rPr>
        <w:t xml:space="preserve"> (הביאו הפת"ש סק"ד)</w:t>
      </w:r>
      <w:r w:rsidRPr="00BE7D6B">
        <w:rPr>
          <w:rFonts w:cs="Arial"/>
          <w:rtl/>
        </w:rPr>
        <w:t xml:space="preserve"> כ' שהדין עם הב"ש בזה</w:t>
      </w:r>
      <w:r>
        <w:rPr>
          <w:rFonts w:cs="Arial" w:hint="cs"/>
          <w:rtl/>
        </w:rPr>
        <w:t>.</w:t>
      </w:r>
    </w:p>
  </w:footnote>
  <w:footnote w:id="1024">
    <w:p w14:paraId="34FCC7E0" w14:textId="77777777" w:rsidR="00DE2F5F" w:rsidRDefault="00DE2F5F" w:rsidP="00A45E10">
      <w:pPr>
        <w:pStyle w:val="a5"/>
      </w:pPr>
      <w:r>
        <w:rPr>
          <w:rStyle w:val="a7"/>
        </w:rPr>
        <w:footnoteRef/>
      </w:r>
      <w:r>
        <w:rPr>
          <w:rtl/>
        </w:rPr>
        <w:t xml:space="preserve"> </w:t>
      </w:r>
      <w:r w:rsidRPr="001270F4">
        <w:rPr>
          <w:rFonts w:cs="Arial"/>
          <w:rtl/>
        </w:rPr>
        <w:t>מכר לאחרים קרקע מלוג שיעשה הלוקח ויאכל פירות</w:t>
      </w:r>
      <w:r>
        <w:rPr>
          <w:rFonts w:cs="Arial" w:hint="cs"/>
          <w:rtl/>
        </w:rPr>
        <w:t>, רש"י.</w:t>
      </w:r>
    </w:p>
  </w:footnote>
  <w:footnote w:id="1025">
    <w:p w14:paraId="608CABDF" w14:textId="77777777" w:rsidR="00DE2F5F" w:rsidRDefault="00DE2F5F" w:rsidP="00A45E10">
      <w:pPr>
        <w:pStyle w:val="a5"/>
      </w:pPr>
      <w:r>
        <w:rPr>
          <w:rStyle w:val="a7"/>
        </w:rPr>
        <w:footnoteRef/>
      </w:r>
      <w:r>
        <w:rPr>
          <w:rtl/>
        </w:rPr>
        <w:t xml:space="preserve"> </w:t>
      </w:r>
      <w:r w:rsidRPr="001270F4">
        <w:rPr>
          <w:rFonts w:cs="Arial"/>
          <w:rtl/>
        </w:rPr>
        <w:t>שיכניס הפירות לביתו ויהא מזון הבית מצוי וייטיב לה</w:t>
      </w:r>
      <w:r>
        <w:rPr>
          <w:rFonts w:cs="Arial" w:hint="cs"/>
          <w:rtl/>
        </w:rPr>
        <w:t>, רש"י.</w:t>
      </w:r>
    </w:p>
  </w:footnote>
  <w:footnote w:id="1026">
    <w:p w14:paraId="0FAA7F81" w14:textId="77777777" w:rsidR="00DE2F5F" w:rsidRDefault="00DE2F5F" w:rsidP="00A45E10">
      <w:pPr>
        <w:pStyle w:val="a5"/>
      </w:pPr>
      <w:r>
        <w:rPr>
          <w:rStyle w:val="a7"/>
        </w:rPr>
        <w:footnoteRef/>
      </w:r>
      <w:r>
        <w:rPr>
          <w:rtl/>
        </w:rPr>
        <w:t xml:space="preserve"> </w:t>
      </w:r>
      <w:r w:rsidRPr="00197DA4">
        <w:rPr>
          <w:rFonts w:cs="Arial"/>
          <w:rtl/>
        </w:rPr>
        <w:t>לעולם משום רווח ביתא אית ליה לרבא תקנת פירות</w:t>
      </w:r>
      <w:r>
        <w:rPr>
          <w:rFonts w:cs="Arial" w:hint="cs"/>
          <w:rtl/>
        </w:rPr>
        <w:t>, רש"י.</w:t>
      </w:r>
    </w:p>
  </w:footnote>
  <w:footnote w:id="1027">
    <w:p w14:paraId="1AEA2426" w14:textId="77777777" w:rsidR="00DE2F5F" w:rsidRDefault="00DE2F5F" w:rsidP="00A45E10">
      <w:pPr>
        <w:pStyle w:val="a5"/>
      </w:pPr>
      <w:r>
        <w:rPr>
          <w:rStyle w:val="a7"/>
        </w:rPr>
        <w:footnoteRef/>
      </w:r>
      <w:r>
        <w:rPr>
          <w:rtl/>
        </w:rPr>
        <w:t xml:space="preserve"> </w:t>
      </w:r>
      <w:r w:rsidRPr="00197DA4">
        <w:rPr>
          <w:rFonts w:cs="Arial"/>
          <w:rtl/>
        </w:rPr>
        <w:t>ביתא שאף עתה היא עושה צרכי הבית</w:t>
      </w:r>
      <w:r>
        <w:rPr>
          <w:rFonts w:cs="Arial" w:hint="cs"/>
          <w:rtl/>
        </w:rPr>
        <w:t>, רש"י.</w:t>
      </w:r>
    </w:p>
  </w:footnote>
  <w:footnote w:id="1028">
    <w:p w14:paraId="7BB93CC9" w14:textId="02EA5AD7" w:rsidR="007D32B7" w:rsidRDefault="007D32B7" w:rsidP="007D32B7">
      <w:pPr>
        <w:pStyle w:val="a5"/>
      </w:pPr>
      <w:r>
        <w:rPr>
          <w:rStyle w:val="a7"/>
        </w:rPr>
        <w:footnoteRef/>
      </w:r>
      <w:r>
        <w:rPr>
          <w:rtl/>
        </w:rPr>
        <w:t xml:space="preserve"> </w:t>
      </w:r>
      <w:r w:rsidRPr="007A228B">
        <w:rPr>
          <w:rFonts w:cs="Arial"/>
          <w:rtl/>
        </w:rPr>
        <w:t>לדעת הרמב"ם אפי' בבית אחר</w:t>
      </w:r>
      <w:r>
        <w:rPr>
          <w:rFonts w:cs="Arial" w:hint="cs"/>
          <w:rtl/>
        </w:rPr>
        <w:t xml:space="preserve">, </w:t>
      </w:r>
      <w:r w:rsidRPr="001A6DB3">
        <w:rPr>
          <w:rFonts w:cs="Arial" w:hint="cs"/>
          <w:b/>
          <w:bCs/>
          <w:rtl/>
        </w:rPr>
        <w:t>טור</w:t>
      </w:r>
      <w:r>
        <w:rPr>
          <w:rFonts w:cs="Arial" w:hint="cs"/>
          <w:rtl/>
        </w:rPr>
        <w:t xml:space="preserve">. </w:t>
      </w:r>
      <w:r>
        <w:rPr>
          <w:rFonts w:cs="Arial"/>
          <w:rtl/>
        </w:rPr>
        <w:t>ודקדק רבינו</w:t>
      </w:r>
      <w:r>
        <w:rPr>
          <w:rFonts w:cs="Arial" w:hint="cs"/>
          <w:sz w:val="16"/>
          <w:szCs w:val="16"/>
          <w:rtl/>
        </w:rPr>
        <w:t xml:space="preserve"> {הטור כן}</w:t>
      </w:r>
      <w:r>
        <w:rPr>
          <w:rFonts w:cs="Arial"/>
          <w:rtl/>
        </w:rPr>
        <w:t xml:space="preserve"> מדכתב </w:t>
      </w:r>
      <w:r>
        <w:rPr>
          <w:rFonts w:cs="Arial" w:hint="cs"/>
          <w:sz w:val="16"/>
          <w:szCs w:val="16"/>
          <w:rtl/>
        </w:rPr>
        <w:t>{הרמב"ם}</w:t>
      </w:r>
      <w:r>
        <w:rPr>
          <w:rFonts w:cs="Arial" w:hint="cs"/>
          <w:rtl/>
        </w:rPr>
        <w:t xml:space="preserve"> '</w:t>
      </w:r>
      <w:r>
        <w:rPr>
          <w:rFonts w:cs="Arial"/>
          <w:rtl/>
        </w:rPr>
        <w:t>בבית אשה אחרת</w:t>
      </w:r>
      <w:r>
        <w:rPr>
          <w:rFonts w:cs="Arial" w:hint="cs"/>
          <w:rtl/>
        </w:rPr>
        <w:t>',</w:t>
      </w:r>
      <w:r>
        <w:rPr>
          <w:rFonts w:cs="Arial"/>
          <w:rtl/>
        </w:rPr>
        <w:t xml:space="preserve"> משמע דאפילו היא בבית אחר רשאי</w:t>
      </w:r>
      <w:r>
        <w:rPr>
          <w:rFonts w:cs="Arial" w:hint="cs"/>
          <w:rtl/>
        </w:rPr>
        <w:t>.</w:t>
      </w:r>
      <w:r>
        <w:rPr>
          <w:rFonts w:cs="Arial"/>
          <w:rtl/>
        </w:rPr>
        <w:t xml:space="preserve"> וכבר היה איפשר לדחות דביחד לה בית בתוך ביתו מיירי</w:t>
      </w:r>
      <w:r>
        <w:rPr>
          <w:rFonts w:cs="Arial" w:hint="cs"/>
          <w:rtl/>
        </w:rPr>
        <w:t>,</w:t>
      </w:r>
      <w:r>
        <w:rPr>
          <w:rFonts w:cs="Arial"/>
          <w:rtl/>
        </w:rPr>
        <w:t xml:space="preserve"> אלא דמדקתני סיפא דאינו יכול להוליכם לעיר אחרת משמע הא באותה העיר אפילו בבית אחר מותר</w:t>
      </w:r>
      <w:r>
        <w:rPr>
          <w:rFonts w:cs="Arial" w:hint="cs"/>
          <w:rtl/>
        </w:rPr>
        <w:t>.</w:t>
      </w:r>
      <w:r>
        <w:rPr>
          <w:rFonts w:cs="Arial"/>
          <w:rtl/>
        </w:rPr>
        <w:t xml:space="preserve"> ואיפשר שטעמו מפני שהוא מפרש מה שאמרו והא קא רווח ביתא היינו לומר דכשהשפחה או העבד משמשים אותו בבית אשה אחרת איכא רווח ביתא של בעלת העבדים שאינה צריכה לשמשו אז</w:t>
      </w:r>
      <w:r>
        <w:rPr>
          <w:rFonts w:cs="Arial" w:hint="cs"/>
          <w:rtl/>
        </w:rPr>
        <w:t>,</w:t>
      </w:r>
      <w:r>
        <w:rPr>
          <w:rFonts w:cs="Arial"/>
          <w:rtl/>
        </w:rPr>
        <w:t xml:space="preserve"> ומה לה אם ישמשוהו בביתה או בבית האחרת כיון שלא נוסף לה שימוש בשביל כך</w:t>
      </w:r>
      <w:r>
        <w:rPr>
          <w:rFonts w:cs="Arial" w:hint="cs"/>
          <w:rtl/>
        </w:rPr>
        <w:t>,</w:t>
      </w:r>
      <w:r>
        <w:rPr>
          <w:rFonts w:cs="Arial"/>
          <w:rtl/>
        </w:rPr>
        <w:t xml:space="preserve"> וזהו שדייק הרמב"ם לכתוב שישמשו אותו בבית אשה אחרת</w:t>
      </w:r>
      <w:r>
        <w:rPr>
          <w:rFonts w:cs="Arial" w:hint="cs"/>
          <w:rtl/>
        </w:rPr>
        <w:t>,</w:t>
      </w:r>
      <w:r>
        <w:rPr>
          <w:rFonts w:cs="Arial"/>
          <w:rtl/>
        </w:rPr>
        <w:t xml:space="preserve"> דמשמע דדוקא במשמשים אותו מיירי</w:t>
      </w:r>
      <w:r>
        <w:rPr>
          <w:rFonts w:cs="Arial" w:hint="cs"/>
          <w:rtl/>
        </w:rPr>
        <w:t>,</w:t>
      </w:r>
      <w:r>
        <w:rPr>
          <w:rFonts w:cs="Arial"/>
          <w:rtl/>
        </w:rPr>
        <w:t xml:space="preserve"> אבל אם אינם משמשים אלא לאשה האחרת</w:t>
      </w:r>
      <w:r>
        <w:rPr>
          <w:rFonts w:cs="Arial" w:hint="cs"/>
          <w:rtl/>
        </w:rPr>
        <w:t xml:space="preserve"> -</w:t>
      </w:r>
      <w:r>
        <w:rPr>
          <w:rFonts w:cs="Arial"/>
          <w:rtl/>
        </w:rPr>
        <w:t xml:space="preserve"> לא</w:t>
      </w:r>
      <w:r>
        <w:rPr>
          <w:rFonts w:cs="Arial" w:hint="cs"/>
          <w:rtl/>
        </w:rPr>
        <w:t>.</w:t>
      </w:r>
      <w:r>
        <w:rPr>
          <w:rFonts w:cs="Arial"/>
          <w:rtl/>
        </w:rPr>
        <w:t xml:space="preserve"> ומכל מקום בעיר אחרת אפילו משמשים אותו לא</w:t>
      </w:r>
      <w:r>
        <w:rPr>
          <w:rFonts w:cs="Arial" w:hint="cs"/>
          <w:rtl/>
        </w:rPr>
        <w:t>,</w:t>
      </w:r>
      <w:r>
        <w:rPr>
          <w:rFonts w:cs="Arial"/>
          <w:rtl/>
        </w:rPr>
        <w:t xml:space="preserve"> משום דכשהם בעיר אחת אע</w:t>
      </w:r>
      <w:r>
        <w:rPr>
          <w:rFonts w:cs="Arial" w:hint="cs"/>
          <w:rtl/>
        </w:rPr>
        <w:t>"</w:t>
      </w:r>
      <w:r>
        <w:rPr>
          <w:rFonts w:cs="Arial"/>
          <w:rtl/>
        </w:rPr>
        <w:t>פ שמשמשים אותו בבית אחר</w:t>
      </w:r>
      <w:r>
        <w:rPr>
          <w:rFonts w:cs="Arial" w:hint="cs"/>
          <w:rtl/>
        </w:rPr>
        <w:t>,</w:t>
      </w:r>
      <w:r>
        <w:rPr>
          <w:rFonts w:cs="Arial"/>
          <w:rtl/>
        </w:rPr>
        <w:t xml:space="preserve"> אחר שיגמרו שמושו איפשר להם לבא אצלה לשמשה לסייע השפחות האחרות</w:t>
      </w:r>
      <w:r>
        <w:rPr>
          <w:rFonts w:cs="Arial" w:hint="cs"/>
          <w:rtl/>
        </w:rPr>
        <w:t>,</w:t>
      </w:r>
      <w:r>
        <w:rPr>
          <w:rFonts w:cs="Arial"/>
          <w:rtl/>
        </w:rPr>
        <w:t xml:space="preserve"> מש</w:t>
      </w:r>
      <w:r>
        <w:rPr>
          <w:rFonts w:cs="Arial" w:hint="cs"/>
          <w:rtl/>
        </w:rPr>
        <w:t>א</w:t>
      </w:r>
      <w:r>
        <w:rPr>
          <w:rFonts w:cs="Arial"/>
          <w:rtl/>
        </w:rPr>
        <w:t>"כ כשיהיו בעיר אחרת. והרב המגיד כתב שדעת הרמב"ם כפירש"י</w:t>
      </w:r>
      <w:r>
        <w:rPr>
          <w:rFonts w:cs="Arial" w:hint="cs"/>
          <w:rtl/>
        </w:rPr>
        <w:t>.</w:t>
      </w:r>
      <w:r>
        <w:rPr>
          <w:rFonts w:cs="Arial"/>
          <w:rtl/>
        </w:rPr>
        <w:t xml:space="preserve"> ולא שת לבו לדקדק דבריו בזה</w:t>
      </w:r>
      <w:r>
        <w:rPr>
          <w:rFonts w:cs="Arial" w:hint="cs"/>
          <w:rtl/>
        </w:rPr>
        <w:t>,</w:t>
      </w:r>
      <w:r>
        <w:rPr>
          <w:rFonts w:cs="Arial"/>
          <w:rtl/>
        </w:rPr>
        <w:t xml:space="preserve"> ומה שכתבנו לדעתו הוא הנכון</w:t>
      </w:r>
      <w:r>
        <w:rPr>
          <w:rFonts w:cs="Arial" w:hint="cs"/>
          <w:rtl/>
        </w:rPr>
        <w:t xml:space="preserve">, </w:t>
      </w:r>
      <w:r w:rsidRPr="001A6DB3">
        <w:rPr>
          <w:rFonts w:cs="Arial" w:hint="cs"/>
          <w:b/>
          <w:bCs/>
          <w:rtl/>
        </w:rPr>
        <w:t>ב"י</w:t>
      </w:r>
      <w:r>
        <w:rPr>
          <w:rFonts w:hint="cs"/>
          <w:rtl/>
        </w:rPr>
        <w:t>. וכ"כ הנמוק"י (הביאו באה"ג אות ג) דלא כהבנת הה"מ ברמב"ם.</w:t>
      </w:r>
      <w:r w:rsidRPr="007D32B7">
        <w:rPr>
          <w:rFonts w:hint="cs"/>
          <w:rtl/>
        </w:rPr>
        <w:t xml:space="preserve"> </w:t>
      </w:r>
      <w:r>
        <w:rPr>
          <w:rFonts w:hint="cs"/>
          <w:rtl/>
        </w:rPr>
        <w:t>וכתב ה</w:t>
      </w:r>
      <w:r>
        <w:rPr>
          <w:rFonts w:cs="Arial" w:hint="cs"/>
          <w:rtl/>
        </w:rPr>
        <w:t>רשב"ץ</w:t>
      </w:r>
      <w:r w:rsidRPr="00627CE6">
        <w:rPr>
          <w:rFonts w:cs="Arial"/>
          <w:rtl/>
        </w:rPr>
        <w:t xml:space="preserve"> </w:t>
      </w:r>
      <w:r w:rsidRPr="00445F69">
        <w:rPr>
          <w:rFonts w:cs="Arial"/>
          <w:sz w:val="16"/>
          <w:szCs w:val="16"/>
          <w:rtl/>
        </w:rPr>
        <w:t>(ח"א סי' צח)</w:t>
      </w:r>
      <w:r w:rsidRPr="00627CE6">
        <w:rPr>
          <w:rFonts w:cs="Arial"/>
          <w:rtl/>
        </w:rPr>
        <w:t xml:space="preserve"> </w:t>
      </w:r>
      <w:r>
        <w:rPr>
          <w:rFonts w:cs="Arial" w:hint="cs"/>
          <w:rtl/>
        </w:rPr>
        <w:t>ד</w:t>
      </w:r>
      <w:r w:rsidRPr="00627CE6">
        <w:rPr>
          <w:rFonts w:cs="Arial"/>
          <w:rtl/>
        </w:rPr>
        <w:t>כיון דאיכא פלוגתא לא עבדינן עובדא אא</w:t>
      </w:r>
      <w:r>
        <w:rPr>
          <w:rFonts w:cs="Arial" w:hint="cs"/>
          <w:rtl/>
        </w:rPr>
        <w:t>"</w:t>
      </w:r>
      <w:r w:rsidRPr="00627CE6">
        <w:rPr>
          <w:rFonts w:cs="Arial"/>
          <w:rtl/>
        </w:rPr>
        <w:t>כ נוהגים לדון כהרמב"ם</w:t>
      </w:r>
      <w:r>
        <w:rPr>
          <w:rFonts w:hint="cs"/>
          <w:rtl/>
        </w:rPr>
        <w:t xml:space="preserve">. </w:t>
      </w:r>
    </w:p>
  </w:footnote>
  <w:footnote w:id="1029">
    <w:p w14:paraId="7EB70EAD" w14:textId="0E4D53D2" w:rsidR="00DE2F5F" w:rsidRDefault="00DE2F5F">
      <w:pPr>
        <w:pStyle w:val="a5"/>
        <w:rPr>
          <w:rtl/>
        </w:rPr>
      </w:pPr>
      <w:r>
        <w:rPr>
          <w:rStyle w:val="a7"/>
        </w:rPr>
        <w:footnoteRef/>
      </w:r>
      <w:r>
        <w:rPr>
          <w:rtl/>
        </w:rPr>
        <w:t xml:space="preserve"> </w:t>
      </w:r>
      <w:r w:rsidRPr="007A228B">
        <w:rPr>
          <w:rFonts w:cs="Arial"/>
          <w:rtl/>
        </w:rPr>
        <w:t>ועיין שם ועיין עוד לקמן סימן פ"ו במי שרוצה להחזיק בנכסי אשה מחמת שבעלה חייב לו נדוניא</w:t>
      </w:r>
      <w:r>
        <w:rPr>
          <w:rFonts w:cs="Arial" w:hint="cs"/>
          <w:rtl/>
        </w:rPr>
        <w:t>.</w:t>
      </w:r>
      <w:r w:rsidRPr="007A228B">
        <w:rPr>
          <w:rFonts w:cs="Arial"/>
          <w:rtl/>
        </w:rPr>
        <w:t xml:space="preserve"> ועיין בחושן משפט סימן צ"ז (סעי' מו) אי בעל חוב גובה מה שהכניסה לו לנדוניא</w:t>
      </w:r>
      <w:r>
        <w:rPr>
          <w:rFonts w:hint="cs"/>
          <w:rtl/>
        </w:rPr>
        <w:t>, דרכ"מ (אות ו).</w:t>
      </w:r>
    </w:p>
  </w:footnote>
  <w:footnote w:id="1030">
    <w:p w14:paraId="2BAEC3C9" w14:textId="650AA711" w:rsidR="00F14AC9" w:rsidRDefault="00F14AC9">
      <w:pPr>
        <w:pStyle w:val="a5"/>
      </w:pPr>
      <w:r>
        <w:rPr>
          <w:rStyle w:val="a7"/>
        </w:rPr>
        <w:footnoteRef/>
      </w:r>
      <w:r>
        <w:rPr>
          <w:rtl/>
        </w:rPr>
        <w:t xml:space="preserve"> </w:t>
      </w:r>
      <w:r>
        <w:rPr>
          <w:rFonts w:hint="cs"/>
          <w:rtl/>
        </w:rPr>
        <w:t>סימן - אינם נותנים.</w:t>
      </w:r>
    </w:p>
  </w:footnote>
  <w:footnote w:id="1031">
    <w:p w14:paraId="424596CE" w14:textId="50989BB1" w:rsidR="00DE2F5F" w:rsidRDefault="00DE2F5F" w:rsidP="00A014AB">
      <w:pPr>
        <w:pStyle w:val="a5"/>
      </w:pPr>
      <w:r>
        <w:rPr>
          <w:rStyle w:val="a7"/>
        </w:rPr>
        <w:footnoteRef/>
      </w:r>
      <w:r>
        <w:rPr>
          <w:rtl/>
        </w:rPr>
        <w:t xml:space="preserve"> </w:t>
      </w:r>
      <w:r w:rsidRPr="00A014AB">
        <w:rPr>
          <w:rtl/>
        </w:rPr>
        <w:t>ולא לבעל דאין לנו להחזיקה בגנבת</w:t>
      </w:r>
      <w:r>
        <w:rPr>
          <w:rFonts w:hint="cs"/>
          <w:rtl/>
        </w:rPr>
        <w:t>, רשב"ם</w:t>
      </w:r>
      <w:r w:rsidRPr="00A014AB">
        <w:rPr>
          <w:rtl/>
        </w:rPr>
        <w:t>.</w:t>
      </w:r>
    </w:p>
  </w:footnote>
  <w:footnote w:id="1032">
    <w:p w14:paraId="105B62AC" w14:textId="0893E680" w:rsidR="00DE2F5F" w:rsidRDefault="00DE2F5F" w:rsidP="00A014AB">
      <w:pPr>
        <w:pStyle w:val="a5"/>
      </w:pPr>
      <w:r>
        <w:rPr>
          <w:rStyle w:val="a7"/>
        </w:rPr>
        <w:footnoteRef/>
      </w:r>
      <w:r>
        <w:rPr>
          <w:rtl/>
        </w:rPr>
        <w:t xml:space="preserve"> </w:t>
      </w:r>
      <w:r w:rsidRPr="00A014AB">
        <w:rPr>
          <w:rtl/>
        </w:rPr>
        <w:t>שאפילו אם ניתן לה ממון זה על מנת שאין לבעלה רשות בה מכיון שמתה יורשה בעלה</w:t>
      </w:r>
      <w:r>
        <w:rPr>
          <w:rFonts w:hint="cs"/>
          <w:rtl/>
        </w:rPr>
        <w:t>, רשב"ם</w:t>
      </w:r>
      <w:r w:rsidRPr="00A014AB">
        <w:rPr>
          <w:rtl/>
        </w:rPr>
        <w:t>.</w:t>
      </w:r>
    </w:p>
  </w:footnote>
  <w:footnote w:id="1033">
    <w:p w14:paraId="73C3191E" w14:textId="4DDA0E19" w:rsidR="00DE2F5F" w:rsidRPr="00A014AB" w:rsidRDefault="00DE2F5F" w:rsidP="00A014AB">
      <w:pPr>
        <w:pStyle w:val="a5"/>
      </w:pPr>
      <w:r>
        <w:rPr>
          <w:rStyle w:val="a7"/>
        </w:rPr>
        <w:footnoteRef/>
      </w:r>
      <w:r>
        <w:rPr>
          <w:rtl/>
        </w:rPr>
        <w:t xml:space="preserve"> </w:t>
      </w:r>
      <w:r w:rsidRPr="00A014AB">
        <w:rPr>
          <w:rtl/>
        </w:rPr>
        <w:t>דמסתמא כל מה שקנה עבד קנה רבו</w:t>
      </w:r>
      <w:r>
        <w:rPr>
          <w:rFonts w:hint="cs"/>
          <w:rtl/>
        </w:rPr>
        <w:t>.</w:t>
      </w:r>
      <w:r w:rsidRPr="00A014AB">
        <w:rPr>
          <w:rtl/>
        </w:rPr>
        <w:t xml:space="preserve"> ונראה בעיני דהוא הדין אם נשתחרר העבד ואח"כ מת</w:t>
      </w:r>
      <w:r>
        <w:rPr>
          <w:rFonts w:hint="cs"/>
          <w:rtl/>
        </w:rPr>
        <w:t xml:space="preserve"> -</w:t>
      </w:r>
      <w:r w:rsidRPr="00A014AB">
        <w:rPr>
          <w:rtl/>
        </w:rPr>
        <w:t xml:space="preserve"> יחזיר לרבו</w:t>
      </w:r>
      <w:r>
        <w:rPr>
          <w:rFonts w:hint="cs"/>
          <w:rtl/>
        </w:rPr>
        <w:t>,</w:t>
      </w:r>
      <w:r w:rsidRPr="00A014AB">
        <w:rPr>
          <w:rtl/>
        </w:rPr>
        <w:t xml:space="preserve"> שהרי עבד היה כשהפקיד לזה</w:t>
      </w:r>
      <w:r>
        <w:rPr>
          <w:rFonts w:hint="cs"/>
          <w:rtl/>
        </w:rPr>
        <w:t>,</w:t>
      </w:r>
      <w:r w:rsidRPr="00A014AB">
        <w:rPr>
          <w:rtl/>
        </w:rPr>
        <w:t xml:space="preserve"> וסתם עבדים גזלנים הם</w:t>
      </w:r>
      <w:r>
        <w:rPr>
          <w:rFonts w:hint="cs"/>
          <w:rtl/>
        </w:rPr>
        <w:t>.</w:t>
      </w:r>
      <w:r w:rsidRPr="00A014AB">
        <w:rPr>
          <w:rtl/>
        </w:rPr>
        <w:t xml:space="preserve"> אבל אם נתגרשה האשה ואח"כ מתה </w:t>
      </w:r>
      <w:r>
        <w:rPr>
          <w:rFonts w:hint="cs"/>
          <w:rtl/>
        </w:rPr>
        <w:t xml:space="preserve">- </w:t>
      </w:r>
      <w:r w:rsidRPr="00A014AB">
        <w:rPr>
          <w:rtl/>
        </w:rPr>
        <w:t>יחזיר ליורשיה ולא לבעלה</w:t>
      </w:r>
      <w:r>
        <w:rPr>
          <w:rFonts w:hint="cs"/>
          <w:rtl/>
        </w:rPr>
        <w:t>,</w:t>
      </w:r>
      <w:r w:rsidRPr="00A014AB">
        <w:rPr>
          <w:rtl/>
        </w:rPr>
        <w:t xml:space="preserve"> דמשנתגרשה אין הבעל יורשה</w:t>
      </w:r>
      <w:r>
        <w:rPr>
          <w:rFonts w:hint="cs"/>
          <w:rtl/>
        </w:rPr>
        <w:t>, רשב"ם</w:t>
      </w:r>
      <w:r w:rsidRPr="00A014AB">
        <w:rPr>
          <w:rtl/>
        </w:rPr>
        <w:t>.</w:t>
      </w:r>
      <w:r w:rsidRPr="00F04916">
        <w:rPr>
          <w:rFonts w:cs="Arial"/>
          <w:rtl/>
        </w:rPr>
        <w:t xml:space="preserve"> </w:t>
      </w:r>
      <w:r>
        <w:rPr>
          <w:rFonts w:cs="Arial"/>
          <w:rtl/>
        </w:rPr>
        <w:t>ומ"ש רשב"ם לחלק בין נשתחרר העבד ואח</w:t>
      </w:r>
      <w:r>
        <w:rPr>
          <w:rFonts w:cs="Arial" w:hint="cs"/>
          <w:rtl/>
        </w:rPr>
        <w:t>"</w:t>
      </w:r>
      <w:r>
        <w:rPr>
          <w:rFonts w:cs="Arial"/>
          <w:rtl/>
        </w:rPr>
        <w:t>כ מת לנתגרשה האשה ואח</w:t>
      </w:r>
      <w:r>
        <w:rPr>
          <w:rFonts w:cs="Arial" w:hint="cs"/>
          <w:rtl/>
        </w:rPr>
        <w:t>"</w:t>
      </w:r>
      <w:r>
        <w:rPr>
          <w:rFonts w:cs="Arial"/>
          <w:rtl/>
        </w:rPr>
        <w:t>כ מתה כתב הרמב"ן (נא: ד"ה מן האשה) שיפה כיוון וכן דעת הרא"ש כמו שאכתוב לשונו בסמוך</w:t>
      </w:r>
      <w:r>
        <w:rPr>
          <w:rFonts w:cs="Arial" w:hint="cs"/>
          <w:rtl/>
        </w:rPr>
        <w:t>.</w:t>
      </w:r>
      <w:r>
        <w:rPr>
          <w:rFonts w:cs="Arial"/>
          <w:rtl/>
        </w:rPr>
        <w:t xml:space="preserve"> ולאפוקי ממה שכתבו הגה</w:t>
      </w:r>
      <w:r>
        <w:rPr>
          <w:rFonts w:cs="Arial" w:hint="cs"/>
          <w:rtl/>
        </w:rPr>
        <w:t xml:space="preserve">"מ </w:t>
      </w:r>
      <w:r>
        <w:rPr>
          <w:rFonts w:cs="Arial"/>
          <w:rtl/>
        </w:rPr>
        <w:t>(שם ושם) שראב"ן חולק בזה</w:t>
      </w:r>
      <w:r>
        <w:rPr>
          <w:rFonts w:cs="Arial" w:hint="cs"/>
          <w:rtl/>
        </w:rPr>
        <w:t>, ב"י.</w:t>
      </w:r>
    </w:p>
  </w:footnote>
  <w:footnote w:id="1034">
    <w:p w14:paraId="4E0809A7" w14:textId="447030FF" w:rsidR="00DE2F5F" w:rsidRDefault="00DE2F5F" w:rsidP="00A014AB">
      <w:pPr>
        <w:pStyle w:val="a5"/>
      </w:pPr>
      <w:r>
        <w:rPr>
          <w:rStyle w:val="a7"/>
        </w:rPr>
        <w:footnoteRef/>
      </w:r>
      <w:r>
        <w:rPr>
          <w:rtl/>
        </w:rPr>
        <w:t xml:space="preserve"> </w:t>
      </w:r>
      <w:r w:rsidRPr="00A014AB">
        <w:rPr>
          <w:rtl/>
        </w:rPr>
        <w:t>לא יחזיר</w:t>
      </w:r>
      <w:r>
        <w:rPr>
          <w:rFonts w:hint="cs"/>
          <w:rtl/>
        </w:rPr>
        <w:t>,</w:t>
      </w:r>
      <w:r w:rsidRPr="00A014AB">
        <w:rPr>
          <w:rtl/>
        </w:rPr>
        <w:t xml:space="preserve"> שהרי אין יודע לשמור</w:t>
      </w:r>
      <w:r>
        <w:rPr>
          <w:rFonts w:hint="cs"/>
          <w:rtl/>
        </w:rPr>
        <w:t>,</w:t>
      </w:r>
      <w:r w:rsidRPr="00A014AB">
        <w:rPr>
          <w:rtl/>
        </w:rPr>
        <w:t xml:space="preserve"> וכמשליך לאיבוד דמי מי שהחזיר לו</w:t>
      </w:r>
      <w:r>
        <w:rPr>
          <w:rFonts w:hint="cs"/>
          <w:rtl/>
        </w:rPr>
        <w:t>,</w:t>
      </w:r>
      <w:r w:rsidRPr="00A014AB">
        <w:rPr>
          <w:rtl/>
        </w:rPr>
        <w:t xml:space="preserve"> אלא יעשה לו סגולה עד שיגדיל</w:t>
      </w:r>
      <w:r>
        <w:rPr>
          <w:rFonts w:hint="cs"/>
          <w:rtl/>
        </w:rPr>
        <w:t>,</w:t>
      </w:r>
      <w:r w:rsidRPr="00A014AB">
        <w:rPr>
          <w:rtl/>
        </w:rPr>
        <w:t xml:space="preserve"> ויחזיר לו</w:t>
      </w:r>
      <w:r>
        <w:rPr>
          <w:rFonts w:hint="cs"/>
          <w:rtl/>
        </w:rPr>
        <w:t>.</w:t>
      </w:r>
      <w:r w:rsidRPr="00A014AB">
        <w:rPr>
          <w:rtl/>
        </w:rPr>
        <w:t xml:space="preserve"> ואם מת קטן</w:t>
      </w:r>
      <w:r>
        <w:rPr>
          <w:rFonts w:hint="cs"/>
          <w:rtl/>
        </w:rPr>
        <w:t>,</w:t>
      </w:r>
      <w:r w:rsidRPr="00A014AB">
        <w:rPr>
          <w:rtl/>
        </w:rPr>
        <w:t xml:space="preserve"> יחזיר ליורשיו</w:t>
      </w:r>
      <w:r>
        <w:rPr>
          <w:rFonts w:hint="cs"/>
          <w:rtl/>
        </w:rPr>
        <w:t>, רשב"ם</w:t>
      </w:r>
      <w:r w:rsidRPr="00A014AB">
        <w:rPr>
          <w:rtl/>
        </w:rPr>
        <w:t>.</w:t>
      </w:r>
    </w:p>
  </w:footnote>
  <w:footnote w:id="1035">
    <w:p w14:paraId="054D6B8F" w14:textId="6198FB92" w:rsidR="00DE2F5F" w:rsidRDefault="00DE2F5F">
      <w:pPr>
        <w:pStyle w:val="a5"/>
      </w:pPr>
      <w:r>
        <w:rPr>
          <w:rStyle w:val="a7"/>
        </w:rPr>
        <w:footnoteRef/>
      </w:r>
      <w:r>
        <w:rPr>
          <w:rtl/>
        </w:rPr>
        <w:t xml:space="preserve"> </w:t>
      </w:r>
      <w:r w:rsidRPr="000E1371">
        <w:rPr>
          <w:rFonts w:cs="Arial"/>
          <w:rtl/>
        </w:rPr>
        <w:t>ונ"ל שאם הגיע לעונת הפעוטות מחזיר לו</w:t>
      </w:r>
      <w:r>
        <w:rPr>
          <w:rFonts w:cs="Arial" w:hint="cs"/>
          <w:rtl/>
        </w:rPr>
        <w:t>,</w:t>
      </w:r>
      <w:r w:rsidRPr="000E1371">
        <w:rPr>
          <w:rFonts w:cs="Arial"/>
          <w:rtl/>
        </w:rPr>
        <w:t xml:space="preserve"> דאפילו לכתחלה נותנין לו כדי להתלמד ומקחן מקח וממכרן ממכר במטלטלין</w:t>
      </w:r>
      <w:r>
        <w:rPr>
          <w:rFonts w:cs="Arial" w:hint="cs"/>
          <w:rtl/>
        </w:rPr>
        <w:t xml:space="preserve">, </w:t>
      </w:r>
      <w:r w:rsidRPr="000E1371">
        <w:rPr>
          <w:rFonts w:cs="Arial"/>
          <w:rtl/>
        </w:rPr>
        <w:t xml:space="preserve">רשב"א </w:t>
      </w:r>
      <w:r w:rsidRPr="000E1371">
        <w:rPr>
          <w:rFonts w:cs="Arial"/>
          <w:sz w:val="16"/>
          <w:szCs w:val="16"/>
          <w:rtl/>
        </w:rPr>
        <w:t>(נב. ד"ה קטן</w:t>
      </w:r>
      <w:r w:rsidRPr="000E1371">
        <w:rPr>
          <w:rFonts w:cs="Arial" w:hint="cs"/>
          <w:sz w:val="16"/>
          <w:szCs w:val="16"/>
          <w:rtl/>
        </w:rPr>
        <w:t>, וכ"כ בשמו הה"מ [</w:t>
      </w:r>
      <w:r w:rsidRPr="000E1371">
        <w:rPr>
          <w:rFonts w:cs="Arial"/>
          <w:sz w:val="16"/>
          <w:szCs w:val="16"/>
          <w:rtl/>
        </w:rPr>
        <w:t>פ"ז משאלה ופקדון ה"י</w:t>
      </w:r>
      <w:r w:rsidRPr="000E1371">
        <w:rPr>
          <w:rFonts w:cs="Arial" w:hint="cs"/>
          <w:sz w:val="16"/>
          <w:szCs w:val="16"/>
          <w:rtl/>
        </w:rPr>
        <w:t xml:space="preserve">] </w:t>
      </w:r>
      <w:r w:rsidRPr="000E1371">
        <w:rPr>
          <w:rFonts w:cs="Arial"/>
          <w:sz w:val="16"/>
          <w:szCs w:val="16"/>
          <w:rtl/>
        </w:rPr>
        <w:t>ונמוק</w:t>
      </w:r>
      <w:r w:rsidRPr="000E1371">
        <w:rPr>
          <w:rFonts w:cs="Arial" w:hint="cs"/>
          <w:sz w:val="16"/>
          <w:szCs w:val="16"/>
          <w:rtl/>
        </w:rPr>
        <w:t>"</w:t>
      </w:r>
      <w:r w:rsidRPr="000E1371">
        <w:rPr>
          <w:rFonts w:cs="Arial"/>
          <w:sz w:val="16"/>
          <w:szCs w:val="16"/>
          <w:rtl/>
        </w:rPr>
        <w:t>י</w:t>
      </w:r>
      <w:r w:rsidRPr="000E1371">
        <w:rPr>
          <w:rFonts w:cs="Arial" w:hint="cs"/>
          <w:sz w:val="16"/>
          <w:szCs w:val="16"/>
          <w:rtl/>
        </w:rPr>
        <w:t xml:space="preserve"> [כז:]</w:t>
      </w:r>
      <w:r w:rsidRPr="000E1371">
        <w:rPr>
          <w:rFonts w:cs="Arial"/>
          <w:sz w:val="16"/>
          <w:szCs w:val="16"/>
          <w:rtl/>
        </w:rPr>
        <w:t>)</w:t>
      </w:r>
      <w:r>
        <w:rPr>
          <w:rFonts w:cs="Arial" w:hint="cs"/>
          <w:rtl/>
        </w:rPr>
        <w:t xml:space="preserve">. </w:t>
      </w:r>
      <w:r w:rsidRPr="008F55F8">
        <w:rPr>
          <w:rFonts w:cs="Arial"/>
          <w:rtl/>
        </w:rPr>
        <w:t xml:space="preserve">וכתב עוד </w:t>
      </w:r>
      <w:r>
        <w:rPr>
          <w:rFonts w:cs="Arial" w:hint="cs"/>
          <w:rtl/>
        </w:rPr>
        <w:t>ה</w:t>
      </w:r>
      <w:r w:rsidRPr="008F55F8">
        <w:rPr>
          <w:rFonts w:cs="Arial"/>
          <w:rtl/>
        </w:rPr>
        <w:t>נמוק</w:t>
      </w:r>
      <w:r>
        <w:rPr>
          <w:rFonts w:cs="Arial" w:hint="cs"/>
          <w:rtl/>
        </w:rPr>
        <w:t>"</w:t>
      </w:r>
      <w:r w:rsidRPr="008F55F8">
        <w:rPr>
          <w:rFonts w:cs="Arial"/>
          <w:rtl/>
        </w:rPr>
        <w:t xml:space="preserve">י </w:t>
      </w:r>
      <w:r>
        <w:rPr>
          <w:rFonts w:cs="Arial" w:hint="cs"/>
          <w:rtl/>
        </w:rPr>
        <w:t>(</w:t>
      </w:r>
      <w:r w:rsidRPr="008F55F8">
        <w:rPr>
          <w:rFonts w:cs="Arial"/>
          <w:rtl/>
        </w:rPr>
        <w:t>שם) דהא דקתני יעשה לו סגולה כלומר משום השבת אבידה</w:t>
      </w:r>
      <w:r>
        <w:rPr>
          <w:rFonts w:cs="Arial" w:hint="cs"/>
          <w:rtl/>
        </w:rPr>
        <w:t>,</w:t>
      </w:r>
      <w:r w:rsidRPr="008F55F8">
        <w:rPr>
          <w:rFonts w:cs="Arial"/>
          <w:rtl/>
        </w:rPr>
        <w:t xml:space="preserve"> אבל מותר להחזיר לאפטרופוס של קטן.</w:t>
      </w:r>
    </w:p>
  </w:footnote>
  <w:footnote w:id="1036">
    <w:p w14:paraId="497A104D" w14:textId="569600E7" w:rsidR="00DE2F5F" w:rsidRDefault="00DE2F5F" w:rsidP="00A014AB">
      <w:pPr>
        <w:pStyle w:val="a5"/>
      </w:pPr>
      <w:r>
        <w:rPr>
          <w:rStyle w:val="a7"/>
        </w:rPr>
        <w:footnoteRef/>
      </w:r>
      <w:r>
        <w:rPr>
          <w:rtl/>
        </w:rPr>
        <w:t xml:space="preserve"> </w:t>
      </w:r>
      <w:r w:rsidRPr="00A014AB">
        <w:rPr>
          <w:rtl/>
        </w:rPr>
        <w:t>אפילו קטן</w:t>
      </w:r>
      <w:r>
        <w:rPr>
          <w:rFonts w:hint="cs"/>
          <w:rtl/>
        </w:rPr>
        <w:t>, רשב"ם</w:t>
      </w:r>
      <w:r w:rsidRPr="00A014AB">
        <w:rPr>
          <w:rtl/>
        </w:rPr>
        <w:t>.</w:t>
      </w:r>
    </w:p>
  </w:footnote>
  <w:footnote w:id="1037">
    <w:p w14:paraId="122499B8" w14:textId="60AC86F3" w:rsidR="00DE2F5F" w:rsidRDefault="00DE2F5F" w:rsidP="00A014AB">
      <w:pPr>
        <w:pStyle w:val="a5"/>
      </w:pPr>
      <w:r>
        <w:rPr>
          <w:rStyle w:val="a7"/>
        </w:rPr>
        <w:footnoteRef/>
      </w:r>
      <w:r>
        <w:rPr>
          <w:rtl/>
        </w:rPr>
        <w:t xml:space="preserve"> </w:t>
      </w:r>
      <w:r w:rsidRPr="00A014AB">
        <w:rPr>
          <w:rtl/>
        </w:rPr>
        <w:t>אורחא דמילתא נקט</w:t>
      </w:r>
      <w:r>
        <w:rPr>
          <w:rFonts w:hint="cs"/>
          <w:rtl/>
        </w:rPr>
        <w:t>,</w:t>
      </w:r>
      <w:r w:rsidRPr="00A014AB">
        <w:rPr>
          <w:rtl/>
        </w:rPr>
        <w:t xml:space="preserve"> דכשהם בריאים אם רוצים להחזיר לבעלים יטלו שלהם מיד הנפקד ויחזירו לבעליהן</w:t>
      </w:r>
      <w:r>
        <w:rPr>
          <w:rFonts w:hint="cs"/>
          <w:rtl/>
        </w:rPr>
        <w:t>,</w:t>
      </w:r>
      <w:r w:rsidRPr="00A014AB">
        <w:rPr>
          <w:rtl/>
        </w:rPr>
        <w:t xml:space="preserve"> דמה להן לגלות הדבר</w:t>
      </w:r>
      <w:r>
        <w:rPr>
          <w:rFonts w:hint="cs"/>
          <w:rtl/>
        </w:rPr>
        <w:t>, רשב"ם</w:t>
      </w:r>
      <w:r w:rsidRPr="00A014AB">
        <w:rPr>
          <w:rtl/>
        </w:rPr>
        <w:t>.</w:t>
      </w:r>
    </w:p>
  </w:footnote>
  <w:footnote w:id="1038">
    <w:p w14:paraId="239ED3DF" w14:textId="44AC530C" w:rsidR="00DE2F5F" w:rsidRDefault="00DE2F5F" w:rsidP="00A014AB">
      <w:pPr>
        <w:pStyle w:val="a5"/>
      </w:pPr>
      <w:r>
        <w:rPr>
          <w:rStyle w:val="a7"/>
        </w:rPr>
        <w:footnoteRef/>
      </w:r>
      <w:r>
        <w:rPr>
          <w:rtl/>
        </w:rPr>
        <w:t xml:space="preserve"> </w:t>
      </w:r>
      <w:r w:rsidRPr="00A014AB">
        <w:rPr>
          <w:rtl/>
        </w:rPr>
        <w:t>יחזיר הנפקד לאותו פלוני שפירשו אלו</w:t>
      </w:r>
      <w:r>
        <w:rPr>
          <w:rFonts w:hint="cs"/>
          <w:rtl/>
        </w:rPr>
        <w:t>, רשב"ם</w:t>
      </w:r>
      <w:r w:rsidRPr="00A014AB">
        <w:rPr>
          <w:rtl/>
        </w:rPr>
        <w:t>.</w:t>
      </w:r>
    </w:p>
  </w:footnote>
  <w:footnote w:id="1039">
    <w:p w14:paraId="367984B6" w14:textId="4BED1917" w:rsidR="00DE2F5F" w:rsidRDefault="00DE2F5F" w:rsidP="00146CBE">
      <w:pPr>
        <w:pStyle w:val="a5"/>
      </w:pPr>
      <w:r>
        <w:rPr>
          <w:rStyle w:val="a7"/>
        </w:rPr>
        <w:footnoteRef/>
      </w:r>
      <w:r>
        <w:rPr>
          <w:rtl/>
        </w:rPr>
        <w:t xml:space="preserve"> </w:t>
      </w:r>
      <w:r w:rsidRPr="00A014AB">
        <w:rPr>
          <w:rtl/>
        </w:rPr>
        <w:t>כלומר ואי לא מהימן להו ההוא נפקד שהפקדון של אותו פלוני הוא</w:t>
      </w:r>
      <w:r>
        <w:rPr>
          <w:rFonts w:hint="cs"/>
          <w:rtl/>
        </w:rPr>
        <w:t>,</w:t>
      </w:r>
      <w:r w:rsidRPr="00A014AB">
        <w:rPr>
          <w:rtl/>
        </w:rPr>
        <w:t xml:space="preserve"> אלא של בעלים שלהם הוא ומתוך בושה אינם רוצים לומר שהוא של בעליהן דלא ליתחזקו בגזלנים וגנבים</w:t>
      </w:r>
      <w:r>
        <w:rPr>
          <w:rFonts w:hint="cs"/>
          <w:rtl/>
        </w:rPr>
        <w:t>,</w:t>
      </w:r>
      <w:r w:rsidRPr="00A014AB">
        <w:rPr>
          <w:rtl/>
        </w:rPr>
        <w:t xml:space="preserve"> יעשה הנפקד פירוש אחר לפירושן שיחזיר לבעליהן של אלו ולא לאותו פלוני</w:t>
      </w:r>
      <w:r>
        <w:rPr>
          <w:rFonts w:hint="cs"/>
          <w:rtl/>
        </w:rPr>
        <w:t xml:space="preserve">, </w:t>
      </w:r>
      <w:r w:rsidRPr="0028146B">
        <w:rPr>
          <w:rFonts w:hint="cs"/>
          <w:b/>
          <w:bCs/>
          <w:rtl/>
        </w:rPr>
        <w:t>רשב"ם</w:t>
      </w:r>
      <w:r>
        <w:rPr>
          <w:rFonts w:hint="cs"/>
          <w:rtl/>
        </w:rPr>
        <w:t xml:space="preserve"> </w:t>
      </w:r>
      <w:r w:rsidRPr="0028146B">
        <w:rPr>
          <w:rFonts w:hint="cs"/>
          <w:sz w:val="16"/>
          <w:szCs w:val="16"/>
          <w:rtl/>
        </w:rPr>
        <w:t>(מבואר מדבריו כאן [ובד"ה בשעת מיתתן] שאם אינו מאמין לה יכול להחזיר לבעל גם כשהיא בריאה. והב"י הביא את הרא"ש שחולק על זה, וכתב שהתנאי שצריך להאמין לה שייך רק כשהיא בשעת מיתה, שאז אין לה מיגו)</w:t>
      </w:r>
      <w:r>
        <w:rPr>
          <w:rFonts w:hint="cs"/>
          <w:rtl/>
        </w:rPr>
        <w:t xml:space="preserve">. זהו פירוש רשב"ם, אך </w:t>
      </w:r>
      <w:r w:rsidRPr="00F14AC9">
        <w:rPr>
          <w:rFonts w:hint="cs"/>
          <w:b/>
          <w:bCs/>
          <w:rtl/>
        </w:rPr>
        <w:t>ה</w:t>
      </w:r>
      <w:r w:rsidRPr="00F14AC9">
        <w:rPr>
          <w:b/>
          <w:bCs/>
          <w:rtl/>
        </w:rPr>
        <w:t>נמוק</w:t>
      </w:r>
      <w:r w:rsidRPr="00F14AC9">
        <w:rPr>
          <w:rFonts w:hint="cs"/>
          <w:b/>
          <w:bCs/>
          <w:rtl/>
        </w:rPr>
        <w:t>"</w:t>
      </w:r>
      <w:r w:rsidRPr="00F14AC9">
        <w:rPr>
          <w:b/>
          <w:bCs/>
          <w:rtl/>
        </w:rPr>
        <w:t>י</w:t>
      </w:r>
      <w:r w:rsidRPr="00146CBE">
        <w:rPr>
          <w:rtl/>
        </w:rPr>
        <w:t xml:space="preserve"> (כז סוע"ב) </w:t>
      </w:r>
      <w:r>
        <w:rPr>
          <w:rFonts w:hint="cs"/>
          <w:rtl/>
        </w:rPr>
        <w:t>כתב</w:t>
      </w:r>
      <w:r w:rsidR="0028146B">
        <w:rPr>
          <w:rFonts w:hint="cs"/>
          <w:rtl/>
        </w:rPr>
        <w:t>:</w:t>
      </w:r>
      <w:r>
        <w:rPr>
          <w:rFonts w:hint="cs"/>
          <w:rtl/>
        </w:rPr>
        <w:t xml:space="preserve"> </w:t>
      </w:r>
      <w:r w:rsidRPr="00146CBE">
        <w:rPr>
          <w:rtl/>
        </w:rPr>
        <w:t>פירוש לפירושן כלומר שיעכב הפקדון לעצמו</w:t>
      </w:r>
      <w:r>
        <w:rPr>
          <w:rFonts w:hint="cs"/>
          <w:rtl/>
        </w:rPr>
        <w:t>,</w:t>
      </w:r>
      <w:r w:rsidRPr="00146CBE">
        <w:rPr>
          <w:rtl/>
        </w:rPr>
        <w:t xml:space="preserve"> אא</w:t>
      </w:r>
      <w:r>
        <w:rPr>
          <w:rFonts w:hint="cs"/>
          <w:rtl/>
        </w:rPr>
        <w:t>"</w:t>
      </w:r>
      <w:r w:rsidRPr="00146CBE">
        <w:rPr>
          <w:rtl/>
        </w:rPr>
        <w:t>כ יביא ראיה אותו פלוני או ישבע שהוא הפקיד אצלה</w:t>
      </w:r>
      <w:r w:rsidR="00F14AC9">
        <w:rPr>
          <w:rFonts w:hint="cs"/>
          <w:rtl/>
        </w:rPr>
        <w:t>,</w:t>
      </w:r>
      <w:r w:rsidRPr="00146CBE">
        <w:rPr>
          <w:rtl/>
        </w:rPr>
        <w:t xml:space="preserve"> וזהו פירוש לפירושן שהם מתביישים לומר שהם של בעלים שגנבו מהם עכ"ל</w:t>
      </w:r>
      <w:r>
        <w:rPr>
          <w:rFonts w:hint="cs"/>
          <w:rtl/>
        </w:rPr>
        <w:t xml:space="preserve">. וכתב </w:t>
      </w:r>
      <w:r w:rsidRPr="00F14AC9">
        <w:rPr>
          <w:rFonts w:hint="cs"/>
          <w:b/>
          <w:bCs/>
          <w:rtl/>
        </w:rPr>
        <w:t>הב"י</w:t>
      </w:r>
      <w:r w:rsidRPr="00146CBE">
        <w:rPr>
          <w:rtl/>
        </w:rPr>
        <w:t xml:space="preserve"> </w:t>
      </w:r>
      <w:r>
        <w:rPr>
          <w:rFonts w:hint="cs"/>
          <w:rtl/>
        </w:rPr>
        <w:t>ד</w:t>
      </w:r>
      <w:r w:rsidRPr="00146CBE">
        <w:rPr>
          <w:rtl/>
        </w:rPr>
        <w:t>מה שכת</w:t>
      </w:r>
      <w:r>
        <w:rPr>
          <w:rFonts w:hint="cs"/>
          <w:rtl/>
        </w:rPr>
        <w:t>ב</w:t>
      </w:r>
      <w:r w:rsidRPr="00146CBE">
        <w:rPr>
          <w:rtl/>
        </w:rPr>
        <w:t xml:space="preserve"> </w:t>
      </w:r>
      <w:r>
        <w:rPr>
          <w:rFonts w:hint="cs"/>
          <w:rtl/>
        </w:rPr>
        <w:t>'</w:t>
      </w:r>
      <w:r w:rsidRPr="00146CBE">
        <w:rPr>
          <w:rtl/>
        </w:rPr>
        <w:t>או ישבע שהוא הפקיד אצלה</w:t>
      </w:r>
      <w:r>
        <w:rPr>
          <w:rFonts w:hint="cs"/>
          <w:rtl/>
        </w:rPr>
        <w:t>'</w:t>
      </w:r>
      <w:r w:rsidRPr="00146CBE">
        <w:rPr>
          <w:rtl/>
        </w:rPr>
        <w:t xml:space="preserve"> הוא תימה שיהיה הלה נאמן בשבועתו ולא ראיתי כן לאחד מן הפוסקים. </w:t>
      </w:r>
    </w:p>
  </w:footnote>
  <w:footnote w:id="1040">
    <w:p w14:paraId="32BDBD9E" w14:textId="2FACF789" w:rsidR="00DE2F5F" w:rsidRDefault="00DE2F5F" w:rsidP="00A014AB">
      <w:pPr>
        <w:pStyle w:val="a5"/>
      </w:pPr>
      <w:r>
        <w:rPr>
          <w:rStyle w:val="a7"/>
        </w:rPr>
        <w:footnoteRef/>
      </w:r>
      <w:r>
        <w:rPr>
          <w:rtl/>
        </w:rPr>
        <w:t xml:space="preserve"> </w:t>
      </w:r>
      <w:r w:rsidRPr="00A014AB">
        <w:rPr>
          <w:rtl/>
        </w:rPr>
        <w:t>שלא גנבה ממך כלום</w:t>
      </w:r>
      <w:r>
        <w:rPr>
          <w:rFonts w:hint="cs"/>
          <w:rtl/>
        </w:rPr>
        <w:t>, רשב"ם</w:t>
      </w:r>
      <w:r w:rsidRPr="00A014AB">
        <w:rPr>
          <w:rtl/>
        </w:rPr>
        <w:t>.</w:t>
      </w:r>
    </w:p>
  </w:footnote>
  <w:footnote w:id="1041">
    <w:p w14:paraId="3504E845" w14:textId="19A102E9" w:rsidR="00DE2F5F" w:rsidRDefault="00DE2F5F" w:rsidP="00A014AB">
      <w:pPr>
        <w:pStyle w:val="a5"/>
      </w:pPr>
      <w:r>
        <w:rPr>
          <w:rStyle w:val="a7"/>
        </w:rPr>
        <w:footnoteRef/>
      </w:r>
      <w:r>
        <w:rPr>
          <w:rtl/>
        </w:rPr>
        <w:t xml:space="preserve"> </w:t>
      </w:r>
      <w:r w:rsidRPr="00A014AB">
        <w:rPr>
          <w:rtl/>
        </w:rPr>
        <w:t>עכב לעצמך</w:t>
      </w:r>
      <w:r>
        <w:rPr>
          <w:rFonts w:hint="cs"/>
          <w:rtl/>
        </w:rPr>
        <w:t>, רשב"ם</w:t>
      </w:r>
      <w:r w:rsidRPr="00A014AB">
        <w:rPr>
          <w:rtl/>
        </w:rPr>
        <w:t>.</w:t>
      </w:r>
    </w:p>
  </w:footnote>
  <w:footnote w:id="1042">
    <w:p w14:paraId="09D27A2E" w14:textId="4F5E4BB3" w:rsidR="00F14AC9" w:rsidRDefault="00F14AC9">
      <w:pPr>
        <w:pStyle w:val="a5"/>
        <w:rPr>
          <w:rtl/>
        </w:rPr>
      </w:pPr>
      <w:r>
        <w:rPr>
          <w:rStyle w:val="a7"/>
        </w:rPr>
        <w:footnoteRef/>
      </w:r>
      <w:r>
        <w:rPr>
          <w:rtl/>
        </w:rPr>
        <w:t xml:space="preserve"> </w:t>
      </w:r>
      <w:r>
        <w:rPr>
          <w:rFonts w:hint="cs"/>
          <w:rtl/>
        </w:rPr>
        <w:t>סימן - נושאת/נותנת בבית.</w:t>
      </w:r>
    </w:p>
  </w:footnote>
  <w:footnote w:id="1043">
    <w:p w14:paraId="023386D6" w14:textId="78AD1E77" w:rsidR="00346249" w:rsidRDefault="00346249">
      <w:pPr>
        <w:pStyle w:val="a5"/>
      </w:pPr>
      <w:r>
        <w:rPr>
          <w:rStyle w:val="a7"/>
        </w:rPr>
        <w:footnoteRef/>
      </w:r>
      <w:r>
        <w:rPr>
          <w:rtl/>
        </w:rPr>
        <w:t xml:space="preserve"> </w:t>
      </w:r>
      <w:r>
        <w:rPr>
          <w:rFonts w:cs="Arial" w:hint="cs"/>
          <w:rtl/>
        </w:rPr>
        <w:t>ו</w:t>
      </w:r>
      <w:r w:rsidRPr="000E1371">
        <w:rPr>
          <w:rFonts w:cs="Arial"/>
          <w:rtl/>
        </w:rPr>
        <w:t>אם החזיר לקטן אינו חייב</w:t>
      </w:r>
      <w:r>
        <w:rPr>
          <w:rFonts w:cs="Arial" w:hint="cs"/>
          <w:rtl/>
        </w:rPr>
        <w:t xml:space="preserve">, </w:t>
      </w:r>
      <w:r w:rsidRPr="000E1371">
        <w:rPr>
          <w:rFonts w:cs="Arial"/>
          <w:rtl/>
        </w:rPr>
        <w:t xml:space="preserve">רשב"א </w:t>
      </w:r>
      <w:r w:rsidRPr="000E1371">
        <w:rPr>
          <w:rFonts w:cs="Arial"/>
          <w:sz w:val="16"/>
          <w:szCs w:val="16"/>
          <w:rtl/>
        </w:rPr>
        <w:t>(נב. ד"ה קטן</w:t>
      </w:r>
      <w:r w:rsidRPr="000E1371">
        <w:rPr>
          <w:rFonts w:cs="Arial" w:hint="cs"/>
          <w:sz w:val="16"/>
          <w:szCs w:val="16"/>
          <w:rtl/>
        </w:rPr>
        <w:t>, וכ"כ בשמו הה"מ [</w:t>
      </w:r>
      <w:r w:rsidRPr="000E1371">
        <w:rPr>
          <w:rFonts w:cs="Arial"/>
          <w:sz w:val="16"/>
          <w:szCs w:val="16"/>
          <w:rtl/>
        </w:rPr>
        <w:t>פ"ז משאלה ופקדון ה"י</w:t>
      </w:r>
      <w:r w:rsidRPr="000E1371">
        <w:rPr>
          <w:rFonts w:cs="Arial" w:hint="cs"/>
          <w:sz w:val="16"/>
          <w:szCs w:val="16"/>
          <w:rtl/>
        </w:rPr>
        <w:t xml:space="preserve">] </w:t>
      </w:r>
      <w:r w:rsidRPr="000E1371">
        <w:rPr>
          <w:rFonts w:cs="Arial"/>
          <w:sz w:val="16"/>
          <w:szCs w:val="16"/>
          <w:rtl/>
        </w:rPr>
        <w:t>ונמוק</w:t>
      </w:r>
      <w:r w:rsidRPr="000E1371">
        <w:rPr>
          <w:rFonts w:cs="Arial" w:hint="cs"/>
          <w:sz w:val="16"/>
          <w:szCs w:val="16"/>
          <w:rtl/>
        </w:rPr>
        <w:t>"</w:t>
      </w:r>
      <w:r w:rsidRPr="000E1371">
        <w:rPr>
          <w:rFonts w:cs="Arial"/>
          <w:sz w:val="16"/>
          <w:szCs w:val="16"/>
          <w:rtl/>
        </w:rPr>
        <w:t>י</w:t>
      </w:r>
      <w:r w:rsidRPr="000E1371">
        <w:rPr>
          <w:rFonts w:cs="Arial" w:hint="cs"/>
          <w:sz w:val="16"/>
          <w:szCs w:val="16"/>
          <w:rtl/>
        </w:rPr>
        <w:t xml:space="preserve"> [כז:]</w:t>
      </w:r>
      <w:r w:rsidRPr="000E1371">
        <w:rPr>
          <w:rFonts w:cs="Arial"/>
          <w:sz w:val="16"/>
          <w:szCs w:val="16"/>
          <w:rtl/>
        </w:rPr>
        <w:t>)</w:t>
      </w:r>
      <w:r>
        <w:rPr>
          <w:rFonts w:cs="Arial" w:hint="cs"/>
          <w:rtl/>
        </w:rPr>
        <w:t>.</w:t>
      </w:r>
    </w:p>
  </w:footnote>
  <w:footnote w:id="1044">
    <w:p w14:paraId="25A73ACC" w14:textId="620B0462" w:rsidR="00DE2F5F" w:rsidRDefault="00DE2F5F">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Pr>
          <w:rFonts w:cs="Arial"/>
          <w:rtl/>
        </w:rPr>
        <w:t>אם אמרה תנהו לפלוני שהוא שלו נותן לו דנאמנת במגו דאי בעיא שקלה איהי ויהיבתה ליה</w:t>
      </w:r>
      <w:r>
        <w:rPr>
          <w:rFonts w:cs="Arial" w:hint="cs"/>
          <w:rtl/>
        </w:rPr>
        <w:t>.</w:t>
      </w:r>
      <w:r>
        <w:rPr>
          <w:rFonts w:cs="Arial"/>
          <w:rtl/>
        </w:rPr>
        <w:t xml:space="preserve"> דהא דמפליג בדביתהו דרבה בר בר חנה בין אי מהימנא ליה בין אי לא מהימנא</w:t>
      </w:r>
      <w:r>
        <w:rPr>
          <w:rFonts w:cs="Arial" w:hint="cs"/>
          <w:rtl/>
        </w:rPr>
        <w:t>,</w:t>
      </w:r>
      <w:r>
        <w:rPr>
          <w:rFonts w:cs="Arial"/>
          <w:rtl/>
        </w:rPr>
        <w:t xml:space="preserve"> הני מילי כששוכבת על ערש דוי ואין כאן מגו שאין יכולה ליקח מן הנפקד וליתנו לפלוני</w:t>
      </w:r>
      <w:r>
        <w:rPr>
          <w:rFonts w:cs="Arial" w:hint="cs"/>
          <w:rtl/>
        </w:rPr>
        <w:t>.</w:t>
      </w:r>
      <w:r>
        <w:rPr>
          <w:rFonts w:cs="Arial"/>
          <w:rtl/>
        </w:rPr>
        <w:t xml:space="preserve"> ונראה דאפילו אם יאמר הבעל שלי הם</w:t>
      </w:r>
      <w:r>
        <w:rPr>
          <w:rFonts w:cs="Arial" w:hint="cs"/>
          <w:rtl/>
        </w:rPr>
        <w:t>,</w:t>
      </w:r>
      <w:r>
        <w:rPr>
          <w:rFonts w:cs="Arial"/>
          <w:rtl/>
        </w:rPr>
        <w:t xml:space="preserve"> אף על פי כן יחזירהו ל</w:t>
      </w:r>
      <w:r>
        <w:rPr>
          <w:rFonts w:cs="Arial" w:hint="cs"/>
          <w:rtl/>
        </w:rPr>
        <w:t xml:space="preserve">ו </w:t>
      </w:r>
      <w:r>
        <w:rPr>
          <w:rFonts w:cs="Arial" w:hint="cs"/>
          <w:sz w:val="16"/>
          <w:szCs w:val="16"/>
          <w:rtl/>
        </w:rPr>
        <w:t>{לאותו אחד שאמרה האשה שהפקדון שייך לו}</w:t>
      </w:r>
      <w:r>
        <w:rPr>
          <w:rFonts w:cs="Arial"/>
          <w:rtl/>
        </w:rPr>
        <w:t xml:space="preserve"> הנפקד</w:t>
      </w:r>
      <w:r>
        <w:rPr>
          <w:rFonts w:cs="Arial" w:hint="cs"/>
          <w:rtl/>
        </w:rPr>
        <w:t>,</w:t>
      </w:r>
      <w:r>
        <w:rPr>
          <w:rFonts w:cs="Arial"/>
          <w:rtl/>
        </w:rPr>
        <w:t xml:space="preserve"> דאם איתא שיחזירהו לבעל אם יאמר שלי הם הוה ליה למיתני </w:t>
      </w:r>
      <w:r>
        <w:rPr>
          <w:rFonts w:cs="Arial" w:hint="cs"/>
          <w:rtl/>
        </w:rPr>
        <w:t>'</w:t>
      </w:r>
      <w:r>
        <w:rPr>
          <w:rFonts w:cs="Arial"/>
          <w:rtl/>
        </w:rPr>
        <w:t>יודיע לבעל</w:t>
      </w:r>
      <w:r>
        <w:rPr>
          <w:rFonts w:cs="Arial" w:hint="cs"/>
          <w:rtl/>
        </w:rPr>
        <w:t>',</w:t>
      </w:r>
      <w:r>
        <w:rPr>
          <w:rFonts w:cs="Arial"/>
          <w:rtl/>
        </w:rPr>
        <w:t xml:space="preserve"> כיון דמסתמא הנמצא ביד האשה מבית הבעל בא היה צריך שיודיע לבעל אולי יאמר שלי הוא וינתן לו</w:t>
      </w:r>
      <w:r>
        <w:rPr>
          <w:rFonts w:cs="Arial" w:hint="cs"/>
          <w:rtl/>
        </w:rPr>
        <w:t>,</w:t>
      </w:r>
      <w:r>
        <w:rPr>
          <w:rFonts w:cs="Arial"/>
          <w:rtl/>
        </w:rPr>
        <w:t xml:space="preserve"> אלא ודאי אפילו אם יאמר שלי הוא ינתן לאשה</w:t>
      </w:r>
      <w:r>
        <w:rPr>
          <w:rFonts w:cs="Arial" w:hint="cs"/>
          <w:rtl/>
        </w:rPr>
        <w:t>.</w:t>
      </w:r>
    </w:p>
  </w:footnote>
  <w:footnote w:id="1045">
    <w:p w14:paraId="4470FA56" w14:textId="7FCC679E" w:rsidR="0092607E" w:rsidRDefault="0092607E" w:rsidP="0092607E">
      <w:pPr>
        <w:pStyle w:val="a5"/>
      </w:pPr>
      <w:r>
        <w:rPr>
          <w:rStyle w:val="a7"/>
        </w:rPr>
        <w:footnoteRef/>
      </w:r>
      <w:r>
        <w:rPr>
          <w:rtl/>
        </w:rPr>
        <w:t xml:space="preserve"> </w:t>
      </w:r>
      <w:r>
        <w:rPr>
          <w:rFonts w:hint="cs"/>
          <w:rtl/>
        </w:rPr>
        <w:t>ולרשב"ם</w:t>
      </w:r>
      <w:r>
        <w:rPr>
          <w:rFonts w:hint="cs"/>
          <w:sz w:val="16"/>
          <w:szCs w:val="16"/>
          <w:rtl/>
        </w:rPr>
        <w:t xml:space="preserve"> (נג. ד"ה בשעת מיתתן, וד"ה ה"ג </w:t>
      </w:r>
      <w:r>
        <w:rPr>
          <w:rFonts w:cs="Arial" w:hint="cs"/>
          <w:sz w:val="16"/>
          <w:szCs w:val="16"/>
          <w:rtl/>
        </w:rPr>
        <w:t>ו</w:t>
      </w:r>
      <w:r w:rsidRPr="001C78C5">
        <w:rPr>
          <w:rFonts w:cs="Arial"/>
          <w:sz w:val="16"/>
          <w:szCs w:val="16"/>
          <w:rtl/>
        </w:rPr>
        <w:t>אם לאו</w:t>
      </w:r>
      <w:r>
        <w:rPr>
          <w:rFonts w:cs="Arial" w:hint="cs"/>
          <w:sz w:val="16"/>
          <w:szCs w:val="16"/>
          <w:rtl/>
        </w:rPr>
        <w:t>)</w:t>
      </w:r>
      <w:r>
        <w:rPr>
          <w:rFonts w:hint="cs"/>
          <w:rtl/>
        </w:rPr>
        <w:t xml:space="preserve"> עושה כדבריה רק אם היא נאמנת לו, וצריך שתהא נאמנת לו בין כשהיא בריאה ובין כשהיא חולה.</w:t>
      </w:r>
    </w:p>
  </w:footnote>
  <w:footnote w:id="1046">
    <w:p w14:paraId="30F454DE" w14:textId="71910781" w:rsidR="00DE2F5F" w:rsidRDefault="00DE2F5F">
      <w:pPr>
        <w:pStyle w:val="a5"/>
      </w:pPr>
      <w:r>
        <w:rPr>
          <w:rStyle w:val="a7"/>
        </w:rPr>
        <w:footnoteRef/>
      </w:r>
      <w:r>
        <w:rPr>
          <w:rtl/>
        </w:rPr>
        <w:t xml:space="preserve"> </w:t>
      </w:r>
      <w:r>
        <w:rPr>
          <w:rFonts w:cs="Arial"/>
          <w:rtl/>
        </w:rPr>
        <w:t>וכן נראה ממה שכתב ה</w:t>
      </w:r>
      <w:r>
        <w:rPr>
          <w:rFonts w:cs="Arial" w:hint="cs"/>
          <w:rtl/>
        </w:rPr>
        <w:t>ה"מ</w:t>
      </w:r>
      <w:r>
        <w:rPr>
          <w:rFonts w:cs="Arial"/>
          <w:rtl/>
        </w:rPr>
        <w:t xml:space="preserve"> </w:t>
      </w:r>
      <w:r>
        <w:rPr>
          <w:rFonts w:cs="Arial" w:hint="cs"/>
          <w:rtl/>
        </w:rPr>
        <w:t>(</w:t>
      </w:r>
      <w:r>
        <w:rPr>
          <w:rFonts w:cs="Arial"/>
          <w:rtl/>
        </w:rPr>
        <w:t>פ</w:t>
      </w:r>
      <w:r>
        <w:rPr>
          <w:rFonts w:cs="Arial" w:hint="cs"/>
          <w:rtl/>
        </w:rPr>
        <w:t>"ז מ</w:t>
      </w:r>
      <w:r>
        <w:rPr>
          <w:rFonts w:cs="Arial"/>
          <w:rtl/>
        </w:rPr>
        <w:t>שאלה ופקדון ה"י) בשם הר"י ן' מיגא"ש ז"ל דמדקתני יחזיר לאשה</w:t>
      </w:r>
      <w:r>
        <w:rPr>
          <w:rFonts w:cs="Arial" w:hint="cs"/>
          <w:rtl/>
        </w:rPr>
        <w:t>,</w:t>
      </w:r>
      <w:r>
        <w:rPr>
          <w:rFonts w:cs="Arial"/>
          <w:rtl/>
        </w:rPr>
        <w:t xml:space="preserve"> כשתתן האשה לאותו פלוני אין לבעל להרהר ולערער עליה בכך</w:t>
      </w:r>
      <w:r>
        <w:rPr>
          <w:rFonts w:cs="Arial" w:hint="cs"/>
          <w:rtl/>
        </w:rPr>
        <w:t>.</w:t>
      </w:r>
      <w:r>
        <w:rPr>
          <w:rFonts w:cs="Arial"/>
          <w:rtl/>
        </w:rPr>
        <w:t xml:space="preserve"> ודלא כראב"ן (ב"ב ריד ע"ד ד"ה אין) שכתבו הגה</w:t>
      </w:r>
      <w:r>
        <w:rPr>
          <w:rFonts w:cs="Arial" w:hint="cs"/>
          <w:rtl/>
        </w:rPr>
        <w:t>"מ</w:t>
      </w:r>
      <w:r>
        <w:rPr>
          <w:rFonts w:cs="Arial"/>
          <w:rtl/>
        </w:rPr>
        <w:t xml:space="preserve"> (שם אות ז, אישות פכ"ב אות ע) שהוא חולק על זה</w:t>
      </w:r>
      <w:r>
        <w:rPr>
          <w:rFonts w:hint="cs"/>
          <w:rtl/>
        </w:rPr>
        <w:t>, ב"י.</w:t>
      </w:r>
    </w:p>
  </w:footnote>
  <w:footnote w:id="1047">
    <w:p w14:paraId="4E38041D" w14:textId="238A9DC0" w:rsidR="00DE2F5F" w:rsidRDefault="00DE2F5F" w:rsidP="00410A12">
      <w:pPr>
        <w:pStyle w:val="a5"/>
        <w:rPr>
          <w:rtl/>
        </w:rPr>
      </w:pPr>
      <w:r>
        <w:rPr>
          <w:rStyle w:val="a7"/>
        </w:rPr>
        <w:footnoteRef/>
      </w:r>
      <w:r>
        <w:rPr>
          <w:rtl/>
        </w:rPr>
        <w:t xml:space="preserve"> </w:t>
      </w:r>
      <w:r w:rsidRPr="00410A12">
        <w:rPr>
          <w:rFonts w:cs="Arial"/>
          <w:rtl/>
        </w:rPr>
        <w:t>וכ</w:t>
      </w:r>
      <w:r>
        <w:rPr>
          <w:rFonts w:cs="Arial" w:hint="cs"/>
          <w:rtl/>
        </w:rPr>
        <w:t xml:space="preserve">תב </w:t>
      </w:r>
      <w:r w:rsidRPr="00410A12">
        <w:rPr>
          <w:rFonts w:cs="Arial"/>
          <w:rtl/>
        </w:rPr>
        <w:t xml:space="preserve">ב"י </w:t>
      </w:r>
      <w:r>
        <w:rPr>
          <w:rFonts w:cs="Arial" w:hint="cs"/>
          <w:rtl/>
        </w:rPr>
        <w:t>(</w:t>
      </w:r>
      <w:r w:rsidRPr="00410A12">
        <w:rPr>
          <w:rFonts w:cs="Arial"/>
          <w:rtl/>
        </w:rPr>
        <w:t>בחו</w:t>
      </w:r>
      <w:r>
        <w:rPr>
          <w:rFonts w:cs="Arial" w:hint="cs"/>
          <w:rtl/>
        </w:rPr>
        <w:t>"מ סי'</w:t>
      </w:r>
      <w:r w:rsidRPr="00410A12">
        <w:rPr>
          <w:rFonts w:cs="Arial"/>
          <w:rtl/>
        </w:rPr>
        <w:t xml:space="preserve"> סה סע' ז) תשובת הריטב"א (סי' קכו) אשה שהיה לה שטר חוב על בעלה והיא יכולה לגבותו בכל עת שתרצה והיתה יכולה לעשות בו מה שתרצה והפקידה אותו ביד אחר ומתה וזה לא היה יודע אם נתנה השטר במתנה לאחרים או לא ופסק דיחזיר השטר לבעל דאין מוציאין הנכסים מחזקתן מספק</w:t>
      </w:r>
      <w:r>
        <w:rPr>
          <w:rFonts w:cs="Arial" w:hint="cs"/>
          <w:rtl/>
        </w:rPr>
        <w:t>, דרכ"מ (אות א).</w:t>
      </w:r>
    </w:p>
  </w:footnote>
  <w:footnote w:id="1048">
    <w:p w14:paraId="263DC209" w14:textId="07586CC6" w:rsidR="00DE2F5F" w:rsidRDefault="00DE2F5F">
      <w:pPr>
        <w:pStyle w:val="a5"/>
      </w:pPr>
      <w:r>
        <w:rPr>
          <w:rStyle w:val="a7"/>
        </w:rPr>
        <w:footnoteRef/>
      </w:r>
      <w:r>
        <w:rPr>
          <w:rtl/>
        </w:rPr>
        <w:t xml:space="preserve"> </w:t>
      </w:r>
      <w:r w:rsidRPr="00A03108">
        <w:rPr>
          <w:rFonts w:cs="Arial"/>
          <w:rtl/>
        </w:rPr>
        <w:t>דתלינן שמא הופקד בידו או ניתן לו על מנת שיצא לחירות בו</w:t>
      </w:r>
      <w:r>
        <w:rPr>
          <w:rFonts w:cs="Arial" w:hint="cs"/>
          <w:rtl/>
        </w:rPr>
        <w:t>, רא"ש (שם).</w:t>
      </w:r>
    </w:p>
  </w:footnote>
  <w:footnote w:id="1049">
    <w:p w14:paraId="31E48472" w14:textId="779646ED" w:rsidR="00B62B81" w:rsidRDefault="00B62B81">
      <w:pPr>
        <w:pStyle w:val="a5"/>
        <w:rPr>
          <w:rtl/>
        </w:rPr>
      </w:pPr>
      <w:r>
        <w:rPr>
          <w:rStyle w:val="a7"/>
        </w:rPr>
        <w:footnoteRef/>
      </w:r>
      <w:r>
        <w:rPr>
          <w:rtl/>
        </w:rPr>
        <w:t xml:space="preserve"> </w:t>
      </w:r>
      <w:r w:rsidRPr="00B62B81">
        <w:rPr>
          <w:rFonts w:cs="Arial"/>
          <w:rtl/>
        </w:rPr>
        <w:t>כדאמר לקמן (נב:) וכן האשה שהיא נושאת ונותנת כו' ואמרה שלי הם עליה להביא ראיה ולא מהימנינן לה במיגו דאי בעיא אמרה שהיא נפקדת משל אחרים</w:t>
      </w:r>
      <w:r>
        <w:rPr>
          <w:rFonts w:hint="cs"/>
          <w:rtl/>
        </w:rPr>
        <w:t>, תוס' (שם).</w:t>
      </w:r>
    </w:p>
  </w:footnote>
  <w:footnote w:id="1050">
    <w:p w14:paraId="7F131510" w14:textId="77777777" w:rsidR="00D27B16" w:rsidRDefault="00D27B16" w:rsidP="00D27B16">
      <w:pPr>
        <w:pStyle w:val="a5"/>
        <w:rPr>
          <w:rtl/>
        </w:rPr>
      </w:pPr>
      <w:r>
        <w:rPr>
          <w:rStyle w:val="a7"/>
        </w:rPr>
        <w:footnoteRef/>
      </w:r>
      <w:r w:rsidRPr="00410A12">
        <w:rPr>
          <w:rFonts w:cs="Arial"/>
          <w:rtl/>
        </w:rPr>
        <w:t xml:space="preserve"> ע"ל בסמוך (אות ח) תשובת הרשב"א דסתם אשה מיקרי נושאת ונותנת תוך הבית</w:t>
      </w:r>
      <w:r>
        <w:rPr>
          <w:rFonts w:cs="Arial" w:hint="cs"/>
          <w:rtl/>
        </w:rPr>
        <w:t>.</w:t>
      </w:r>
      <w:r w:rsidRPr="00410A12">
        <w:rPr>
          <w:rFonts w:cs="Arial"/>
          <w:rtl/>
        </w:rPr>
        <w:t xml:space="preserve"> וכן הוא במרדכי פרק חזקת (סי' תקמו)</w:t>
      </w:r>
      <w:r>
        <w:rPr>
          <w:rFonts w:cs="Arial" w:hint="cs"/>
          <w:rtl/>
        </w:rPr>
        <w:t>.</w:t>
      </w:r>
      <w:r w:rsidRPr="00410A12">
        <w:rPr>
          <w:rFonts w:cs="Arial"/>
          <w:rtl/>
        </w:rPr>
        <w:t xml:space="preserve"> וכתב שם דלא מהמני אפילו בשבועה לומר של פלוני הם</w:t>
      </w:r>
      <w:r>
        <w:rPr>
          <w:rFonts w:cs="Arial" w:hint="cs"/>
          <w:rtl/>
        </w:rPr>
        <w:t>, דרכ"מ (אות ד).</w:t>
      </w:r>
    </w:p>
  </w:footnote>
  <w:footnote w:id="1051">
    <w:p w14:paraId="110FBF3A" w14:textId="77777777" w:rsidR="00093362" w:rsidRDefault="00093362" w:rsidP="00093362">
      <w:pPr>
        <w:pStyle w:val="a5"/>
      </w:pPr>
      <w:r>
        <w:rPr>
          <w:rStyle w:val="a7"/>
        </w:rPr>
        <w:footnoteRef/>
      </w:r>
      <w:r>
        <w:rPr>
          <w:rtl/>
        </w:rPr>
        <w:t xml:space="preserve"> </w:t>
      </w:r>
      <w:r w:rsidRPr="00524888">
        <w:rPr>
          <w:rFonts w:cs="Arial"/>
          <w:rtl/>
        </w:rPr>
        <w:t>שהרי הרמב"ם ז"ל כתב (בפ"ב מה' מלוה) אין האשה נאמנת לומר על מעות שבידה שהם שלה אלא א"כ הביאה ראיה שהם שלה, ואעפ"כ כתב (בפ"ז מה' שאלה ופקדון) קבל מן האשה יחזיר לאשה אלא שאם מתה יחזיר לבעלה. וגם הרמב"ן ז"ל כן דעתו שאין האשה נאמנת על מעות שבידה לומר שנתנו לה במתנה על מנת שאין לבעלה רשות בהן ואעפ"כ למקום שנטל יחזיר. אלא שאח"כ יכול הבעל לטעון שיש לו בהן אכילת פירות ודינו עם האשה</w:t>
      </w:r>
      <w:r>
        <w:rPr>
          <w:rFonts w:cs="Arial" w:hint="cs"/>
          <w:rtl/>
        </w:rPr>
        <w:t>, ריב"ש (שם).</w:t>
      </w:r>
    </w:p>
  </w:footnote>
  <w:footnote w:id="1052">
    <w:p w14:paraId="75C3387B" w14:textId="31603185" w:rsidR="00DE2F5F" w:rsidRDefault="00DE2F5F">
      <w:pPr>
        <w:pStyle w:val="a5"/>
        <w:rPr>
          <w:rtl/>
        </w:rPr>
      </w:pPr>
      <w:r>
        <w:rPr>
          <w:rStyle w:val="a7"/>
        </w:rPr>
        <w:footnoteRef/>
      </w:r>
      <w:r>
        <w:rPr>
          <w:rtl/>
        </w:rPr>
        <w:t xml:space="preserve"> </w:t>
      </w:r>
      <w:r w:rsidRPr="00410A12">
        <w:rPr>
          <w:rFonts w:cs="Arial"/>
          <w:rtl/>
        </w:rPr>
        <w:t>ועיין בחושן המשפט סימן שמ"ח (ד"מ אות ב, ג) אשה שגנבה משל בעלה ונתנה לאחרים והחזירו לה או עזרו לה להוציא הגניבה אימתי חייב לשלם לבעל וחילוקים שם בזה</w:t>
      </w:r>
      <w:r>
        <w:rPr>
          <w:rFonts w:hint="cs"/>
          <w:rtl/>
        </w:rPr>
        <w:t>, דרכ"מ (אות ב).</w:t>
      </w:r>
    </w:p>
  </w:footnote>
  <w:footnote w:id="1053">
    <w:p w14:paraId="47904B29" w14:textId="55DF448D" w:rsidR="00DE2F5F" w:rsidRDefault="00DE2F5F">
      <w:pPr>
        <w:pStyle w:val="a5"/>
      </w:pPr>
      <w:r>
        <w:rPr>
          <w:rStyle w:val="a7"/>
        </w:rPr>
        <w:footnoteRef/>
      </w:r>
      <w:r>
        <w:rPr>
          <w:rtl/>
        </w:rPr>
        <w:t xml:space="preserve"> </w:t>
      </w:r>
      <w:r w:rsidRPr="00655722">
        <w:rPr>
          <w:rFonts w:cs="Arial"/>
          <w:rtl/>
        </w:rPr>
        <w:t xml:space="preserve">וכ' המגיד </w:t>
      </w:r>
      <w:r>
        <w:rPr>
          <w:rFonts w:cs="Arial" w:hint="cs"/>
          <w:rtl/>
        </w:rPr>
        <w:t>(</w:t>
      </w:r>
      <w:r w:rsidRPr="00655722">
        <w:rPr>
          <w:rFonts w:cs="Arial"/>
          <w:rtl/>
        </w:rPr>
        <w:t xml:space="preserve">ספ"ז </w:t>
      </w:r>
      <w:r>
        <w:rPr>
          <w:rFonts w:cs="Arial" w:hint="cs"/>
          <w:rtl/>
        </w:rPr>
        <w:t>מ</w:t>
      </w:r>
      <w:r w:rsidRPr="00655722">
        <w:rPr>
          <w:rFonts w:cs="Arial"/>
          <w:rtl/>
        </w:rPr>
        <w:t>ה"ש</w:t>
      </w:r>
      <w:r>
        <w:rPr>
          <w:rFonts w:cs="Arial" w:hint="cs"/>
          <w:rtl/>
        </w:rPr>
        <w:t>)</w:t>
      </w:r>
      <w:r w:rsidRPr="00655722">
        <w:rPr>
          <w:rFonts w:cs="Arial"/>
          <w:rtl/>
        </w:rPr>
        <w:t xml:space="preserve"> בשם רשב"א לדעת הרמב"ם דס"ל כל הממון שביד האשה בחזקת נ"מ הם</w:t>
      </w:r>
      <w:r>
        <w:rPr>
          <w:rFonts w:cs="Arial" w:hint="cs"/>
          <w:rtl/>
        </w:rPr>
        <w:t xml:space="preserve"> -</w:t>
      </w:r>
      <w:r w:rsidRPr="00655722">
        <w:rPr>
          <w:rFonts w:cs="Arial"/>
          <w:rtl/>
        </w:rPr>
        <w:t xml:space="preserve"> רשאי להחזיר לבעל הוא דתני</w:t>
      </w:r>
      <w:r>
        <w:rPr>
          <w:rFonts w:cs="Arial" w:hint="cs"/>
          <w:rtl/>
        </w:rPr>
        <w:t>א</w:t>
      </w:r>
      <w:r w:rsidRPr="00655722">
        <w:rPr>
          <w:rFonts w:cs="Arial"/>
          <w:rtl/>
        </w:rPr>
        <w:t xml:space="preserve"> יחזיר לאשה</w:t>
      </w:r>
      <w:r>
        <w:rPr>
          <w:rFonts w:cs="Arial" w:hint="cs"/>
          <w:rtl/>
        </w:rPr>
        <w:t>,</w:t>
      </w:r>
      <w:r w:rsidRPr="00655722">
        <w:rPr>
          <w:rFonts w:cs="Arial"/>
          <w:rtl/>
        </w:rPr>
        <w:t xml:space="preserve"> דלא תימ</w:t>
      </w:r>
      <w:r>
        <w:rPr>
          <w:rFonts w:cs="Arial" w:hint="cs"/>
          <w:rtl/>
        </w:rPr>
        <w:t>א</w:t>
      </w:r>
      <w:r w:rsidRPr="00655722">
        <w:rPr>
          <w:rFonts w:cs="Arial"/>
          <w:rtl/>
        </w:rPr>
        <w:t xml:space="preserve"> דאינו רשאי להחזיר לאשה קמ"ל דרשאי להחזיר לאיש או לאשה, וכתב הרא"ש אם הבעל רוצה ליתן חרם מי שקיבל פקדון מאשתו א</w:t>
      </w:r>
      <w:r>
        <w:rPr>
          <w:rFonts w:cs="Arial" w:hint="cs"/>
          <w:rtl/>
        </w:rPr>
        <w:t xml:space="preserve">ינו </w:t>
      </w:r>
      <w:r w:rsidRPr="00655722">
        <w:rPr>
          <w:rFonts w:cs="Arial"/>
          <w:rtl/>
        </w:rPr>
        <w:t>י</w:t>
      </w:r>
      <w:r>
        <w:rPr>
          <w:rFonts w:cs="Arial" w:hint="cs"/>
          <w:rtl/>
        </w:rPr>
        <w:t>כול,</w:t>
      </w:r>
      <w:r w:rsidRPr="00655722">
        <w:rPr>
          <w:rFonts w:cs="Arial"/>
          <w:rtl/>
        </w:rPr>
        <w:t xml:space="preserve"> כיון דאין המפקיד צריך להחזיר לידו</w:t>
      </w:r>
      <w:r>
        <w:rPr>
          <w:rFonts w:cs="Arial" w:hint="cs"/>
          <w:rtl/>
        </w:rPr>
        <w:t>.</w:t>
      </w:r>
      <w:r w:rsidRPr="00655722">
        <w:rPr>
          <w:rFonts w:cs="Arial"/>
          <w:rtl/>
        </w:rPr>
        <w:t xml:space="preserve"> מיהו לשיטות הרמב"ם י"ל דיכול ליתן חרם דהא הפירות עכ"פ שלו הם</w:t>
      </w:r>
      <w:r>
        <w:rPr>
          <w:rFonts w:cs="Arial" w:hint="cs"/>
          <w:rtl/>
        </w:rPr>
        <w:t>, ב"ש (סק"ב).</w:t>
      </w:r>
    </w:p>
  </w:footnote>
  <w:footnote w:id="1054">
    <w:p w14:paraId="596E153D" w14:textId="67972B8D" w:rsidR="00DE2F5F" w:rsidRDefault="00DE2F5F">
      <w:pPr>
        <w:pStyle w:val="a5"/>
      </w:pPr>
      <w:r>
        <w:rPr>
          <w:rStyle w:val="a7"/>
        </w:rPr>
        <w:footnoteRef/>
      </w:r>
      <w:r>
        <w:rPr>
          <w:rtl/>
        </w:rPr>
        <w:t xml:space="preserve"> </w:t>
      </w:r>
      <w:r w:rsidRPr="00F1275D">
        <w:rPr>
          <w:rFonts w:cs="Arial"/>
          <w:rtl/>
        </w:rPr>
        <w:t>לא אתי' כרמב"ם</w:t>
      </w:r>
      <w:r w:rsidR="00211422">
        <w:rPr>
          <w:rFonts w:cs="Arial" w:hint="cs"/>
          <w:rtl/>
        </w:rPr>
        <w:t xml:space="preserve">, </w:t>
      </w:r>
      <w:r w:rsidRPr="00F1275D">
        <w:rPr>
          <w:rFonts w:cs="Arial"/>
          <w:rtl/>
        </w:rPr>
        <w:t>דלדידיה רשאי להחזיר לבעלה</w:t>
      </w:r>
      <w:r w:rsidR="00211422">
        <w:rPr>
          <w:rFonts w:cs="Arial" w:hint="cs"/>
          <w:rtl/>
        </w:rPr>
        <w:t>.</w:t>
      </w:r>
      <w:r w:rsidRPr="00F1275D">
        <w:rPr>
          <w:rFonts w:cs="Arial"/>
          <w:rtl/>
        </w:rPr>
        <w:t xml:space="preserve"> ואפשר אם אמרה דגנבה</w:t>
      </w:r>
      <w:r>
        <w:rPr>
          <w:rFonts w:cs="Arial" w:hint="cs"/>
          <w:rtl/>
        </w:rPr>
        <w:t xml:space="preserve"> </w:t>
      </w:r>
      <w:r w:rsidRPr="00F1275D">
        <w:rPr>
          <w:rFonts w:cs="Arial"/>
          <w:rtl/>
        </w:rPr>
        <w:t>ורוצה להחזיר בהם גרע טפי</w:t>
      </w:r>
      <w:r>
        <w:rPr>
          <w:rFonts w:cs="Arial" w:hint="cs"/>
          <w:rtl/>
        </w:rPr>
        <w:t>, ב"ש (סק"ד).</w:t>
      </w:r>
    </w:p>
  </w:footnote>
  <w:footnote w:id="1055">
    <w:p w14:paraId="19E872CA" w14:textId="2DAEE404" w:rsidR="00DE2F5F" w:rsidRDefault="00DE2F5F">
      <w:pPr>
        <w:pStyle w:val="a5"/>
      </w:pPr>
      <w:r>
        <w:rPr>
          <w:rStyle w:val="a7"/>
        </w:rPr>
        <w:footnoteRef/>
      </w:r>
      <w:r>
        <w:rPr>
          <w:rtl/>
        </w:rPr>
        <w:t xml:space="preserve"> </w:t>
      </w:r>
      <w:r w:rsidRPr="00D43D3C">
        <w:rPr>
          <w:rFonts w:cs="Arial"/>
          <w:rtl/>
        </w:rPr>
        <w:t>כלו</w:t>
      </w:r>
      <w:r>
        <w:rPr>
          <w:rFonts w:cs="Arial" w:hint="cs"/>
          <w:rtl/>
        </w:rPr>
        <w:t>מר</w:t>
      </w:r>
      <w:r w:rsidRPr="00D43D3C">
        <w:rPr>
          <w:rFonts w:cs="Arial"/>
          <w:rtl/>
        </w:rPr>
        <w:t xml:space="preserve"> אם מתה בלא צוואה יתן ליורשיה</w:t>
      </w:r>
      <w:r>
        <w:rPr>
          <w:rFonts w:cs="Arial" w:hint="cs"/>
          <w:rtl/>
        </w:rPr>
        <w:t>, ח"מ (סק"ד).</w:t>
      </w:r>
    </w:p>
  </w:footnote>
  <w:footnote w:id="1056">
    <w:p w14:paraId="5AED421C" w14:textId="75DDD9EC" w:rsidR="00DE2F5F" w:rsidRDefault="00DE2F5F">
      <w:pPr>
        <w:pStyle w:val="a5"/>
      </w:pPr>
      <w:r>
        <w:rPr>
          <w:rStyle w:val="a7"/>
        </w:rPr>
        <w:footnoteRef/>
      </w:r>
      <w:r>
        <w:rPr>
          <w:rtl/>
        </w:rPr>
        <w:t xml:space="preserve"> </w:t>
      </w:r>
      <w:r w:rsidRPr="00F1275D">
        <w:rPr>
          <w:rFonts w:cs="Arial"/>
          <w:rtl/>
        </w:rPr>
        <w:t>דמאחר שנתבאר בח"מ סי' ס"ב דכל אשה הנושאת ונותנת תוך הבית שנמצאו מטלטלין ברשותה עליה להביא ראיה שיש לה ממון מיוחד שתוכל לטעון מה שנמצ' בידו מן הממון המיוחד לי הוא וכל זמן שלא תביא ראיה הכל בחזקת בעלה הוא וא"כ מכ"ש אם הפקידה ביד אחרים שיכול הבעל לעכב שלא להחזיר לה רק לו</w:t>
      </w:r>
      <w:r>
        <w:rPr>
          <w:rFonts w:cs="Arial" w:hint="cs"/>
          <w:rtl/>
        </w:rPr>
        <w:t>, ח"מ (סק"ה).</w:t>
      </w:r>
    </w:p>
  </w:footnote>
  <w:footnote w:id="1057">
    <w:p w14:paraId="598F40FA" w14:textId="7AD3F4F1" w:rsidR="00DE2F5F" w:rsidRDefault="00DE2F5F">
      <w:pPr>
        <w:pStyle w:val="a5"/>
      </w:pPr>
      <w:r>
        <w:rPr>
          <w:rStyle w:val="a7"/>
        </w:rPr>
        <w:footnoteRef/>
      </w:r>
      <w:r>
        <w:rPr>
          <w:rtl/>
        </w:rPr>
        <w:t xml:space="preserve"> </w:t>
      </w:r>
      <w:r w:rsidRPr="009B617A">
        <w:rPr>
          <w:rFonts w:cs="Arial"/>
          <w:rtl/>
        </w:rPr>
        <w:t>ה"ה דאינה נאמנת לומר שלה הם. וכתב מהר"ם אלשיך סימן י"ט דוק' באשה הוא דין זה מפני שחזקתה שגונבת משל בעלה. אבל בבן גדול נושא ונותן בנכסי אביו מחזקינן ליה בשלו ע"ש. ולכאורה לא משמע כן. מש"ע ח"מ סי' ס"ב ע"ש</w:t>
      </w:r>
      <w:r>
        <w:rPr>
          <w:rFonts w:hint="cs"/>
          <w:rtl/>
        </w:rPr>
        <w:t>, באה"ט (סק"ג).</w:t>
      </w:r>
    </w:p>
  </w:footnote>
  <w:footnote w:id="1058">
    <w:p w14:paraId="22725896" w14:textId="1C9EBD37" w:rsidR="00DE2F5F" w:rsidRDefault="00DE2F5F">
      <w:pPr>
        <w:pStyle w:val="a5"/>
        <w:rPr>
          <w:rtl/>
        </w:rPr>
      </w:pPr>
      <w:r>
        <w:rPr>
          <w:rStyle w:val="a7"/>
        </w:rPr>
        <w:footnoteRef/>
      </w:r>
      <w:r>
        <w:rPr>
          <w:rtl/>
        </w:rPr>
        <w:t xml:space="preserve"> </w:t>
      </w:r>
      <w:r w:rsidR="00093362">
        <w:rPr>
          <w:rFonts w:cs="Arial" w:hint="cs"/>
          <w:rtl/>
        </w:rPr>
        <w:t>ו</w:t>
      </w:r>
      <w:r w:rsidR="00093362" w:rsidRPr="00093362">
        <w:rPr>
          <w:rFonts w:cs="Arial"/>
          <w:rtl/>
        </w:rPr>
        <w:t>נ"ל ראיה ממ"ש קבל מן העבד כו' ואם מת כו'</w:t>
      </w:r>
      <w:r w:rsidR="00093362">
        <w:rPr>
          <w:rFonts w:cs="Arial" w:hint="cs"/>
          <w:rtl/>
        </w:rPr>
        <w:t xml:space="preserve">, </w:t>
      </w:r>
      <w:r w:rsidR="00093362" w:rsidRPr="00093362">
        <w:rPr>
          <w:rFonts w:cs="Arial" w:hint="cs"/>
          <w:b/>
          <w:bCs/>
          <w:rtl/>
        </w:rPr>
        <w:t>גר"א</w:t>
      </w:r>
      <w:r w:rsidR="00093362">
        <w:rPr>
          <w:rFonts w:cs="Arial" w:hint="cs"/>
          <w:rtl/>
        </w:rPr>
        <w:t xml:space="preserve"> (סק"ו).</w:t>
      </w:r>
      <w:r w:rsidR="00093362" w:rsidRPr="00093362">
        <w:rPr>
          <w:rFonts w:cs="Arial"/>
          <w:rtl/>
        </w:rPr>
        <w:t xml:space="preserve"> </w:t>
      </w:r>
      <w:r w:rsidR="00093362">
        <w:rPr>
          <w:rFonts w:cs="Arial" w:hint="cs"/>
          <w:rtl/>
        </w:rPr>
        <w:t xml:space="preserve">אך </w:t>
      </w:r>
      <w:r w:rsidR="00093362" w:rsidRPr="00093362">
        <w:rPr>
          <w:rFonts w:cs="Arial" w:hint="cs"/>
          <w:b/>
          <w:bCs/>
          <w:rtl/>
        </w:rPr>
        <w:t>ה</w:t>
      </w:r>
      <w:r w:rsidR="00093362" w:rsidRPr="00093362">
        <w:rPr>
          <w:rFonts w:hint="cs"/>
          <w:b/>
          <w:bCs/>
          <w:rtl/>
        </w:rPr>
        <w:t>ב"ש</w:t>
      </w:r>
      <w:r w:rsidR="00093362">
        <w:rPr>
          <w:rFonts w:hint="cs"/>
          <w:rtl/>
        </w:rPr>
        <w:t xml:space="preserve"> (סק"ז) הקשה דהרי ה</w:t>
      </w:r>
      <w:r w:rsidRPr="00844CBF">
        <w:rPr>
          <w:rFonts w:cs="Arial"/>
          <w:rtl/>
        </w:rPr>
        <w:t>הריב"ש מביא ראיה לדין זה מדברי הרמב"ם דס"ל חזקה כל מה שביד האשה הוא בחזקת נ"מ אפי' אין נושאת ונותנת ומ"מ מחזירים לידה</w:t>
      </w:r>
      <w:r w:rsidR="00093362">
        <w:rPr>
          <w:rFonts w:cs="Arial" w:hint="cs"/>
          <w:rtl/>
        </w:rPr>
        <w:t>,</w:t>
      </w:r>
      <w:r w:rsidRPr="00844CBF">
        <w:rPr>
          <w:rFonts w:cs="Arial"/>
          <w:rtl/>
        </w:rPr>
        <w:t xml:space="preserve"> כן ה"נ בנושאת לשאר פוסקים</w:t>
      </w:r>
      <w:r w:rsidR="00211422">
        <w:rPr>
          <w:rFonts w:cs="Arial" w:hint="cs"/>
          <w:rtl/>
        </w:rPr>
        <w:t>.</w:t>
      </w:r>
      <w:r w:rsidRPr="00844CBF">
        <w:rPr>
          <w:rFonts w:cs="Arial"/>
          <w:rtl/>
        </w:rPr>
        <w:t xml:space="preserve"> מיהו יש לפקפק</w:t>
      </w:r>
      <w:r w:rsidR="00211422">
        <w:rPr>
          <w:rFonts w:cs="Arial" w:hint="cs"/>
          <w:rtl/>
        </w:rPr>
        <w:t>,</w:t>
      </w:r>
      <w:r w:rsidRPr="00844CBF">
        <w:rPr>
          <w:rFonts w:cs="Arial"/>
          <w:rtl/>
        </w:rPr>
        <w:t xml:space="preserve"> בשלמ</w:t>
      </w:r>
      <w:r w:rsidR="00093362">
        <w:rPr>
          <w:rFonts w:cs="Arial" w:hint="cs"/>
          <w:rtl/>
        </w:rPr>
        <w:t>א</w:t>
      </w:r>
      <w:r w:rsidRPr="00844CBF">
        <w:rPr>
          <w:rFonts w:cs="Arial"/>
          <w:rtl/>
        </w:rPr>
        <w:t xml:space="preserve"> לשיטות הרמב"ם יחזיר להאשה משום של אשה הוא אלא הפירות שייך לבעל לכן יחזיר לה</w:t>
      </w:r>
      <w:r w:rsidR="00211422">
        <w:rPr>
          <w:rFonts w:cs="Arial" w:hint="cs"/>
          <w:rtl/>
        </w:rPr>
        <w:t>,</w:t>
      </w:r>
      <w:r w:rsidRPr="00844CBF">
        <w:rPr>
          <w:rFonts w:cs="Arial"/>
          <w:rtl/>
        </w:rPr>
        <w:t xml:space="preserve"> אבל הנושאת ונותנת הוא של הבעל י"ל דלא יחזיר לה</w:t>
      </w:r>
      <w:r w:rsidR="00211422">
        <w:rPr>
          <w:rFonts w:cs="Arial" w:hint="cs"/>
          <w:rtl/>
        </w:rPr>
        <w:t>,</w:t>
      </w:r>
      <w:r w:rsidRPr="00844CBF">
        <w:rPr>
          <w:rFonts w:cs="Arial"/>
          <w:rtl/>
        </w:rPr>
        <w:t xml:space="preserve"> וכן הקשה בח"מ</w:t>
      </w:r>
      <w:r>
        <w:rPr>
          <w:rFonts w:cs="Arial" w:hint="cs"/>
          <w:rtl/>
        </w:rPr>
        <w:t xml:space="preserve"> (סק"ו)</w:t>
      </w:r>
      <w:r>
        <w:rPr>
          <w:rFonts w:hint="cs"/>
          <w:rtl/>
        </w:rPr>
        <w:t>.</w:t>
      </w:r>
    </w:p>
  </w:footnote>
  <w:footnote w:id="1059">
    <w:p w14:paraId="1DDB4C53" w14:textId="6173AFA7" w:rsidR="00DE2F5F" w:rsidRDefault="00DE2F5F">
      <w:pPr>
        <w:pStyle w:val="a5"/>
      </w:pPr>
      <w:r>
        <w:rPr>
          <w:rStyle w:val="a7"/>
        </w:rPr>
        <w:footnoteRef/>
      </w:r>
      <w:r>
        <w:rPr>
          <w:rtl/>
        </w:rPr>
        <w:t xml:space="preserve"> </w:t>
      </w:r>
      <w:r w:rsidRPr="00E949A3">
        <w:rPr>
          <w:rFonts w:cs="Arial"/>
          <w:rtl/>
        </w:rPr>
        <w:t>לשיטות הרמב"ם המעות הם בתורת נ"מ אפי' במעות טמונים. ולשאר פוסקים</w:t>
      </w:r>
      <w:r>
        <w:rPr>
          <w:rFonts w:cs="Arial" w:hint="cs"/>
          <w:rtl/>
        </w:rPr>
        <w:t xml:space="preserve"> -</w:t>
      </w:r>
      <w:r w:rsidRPr="00E949A3">
        <w:rPr>
          <w:rFonts w:cs="Arial"/>
          <w:rtl/>
        </w:rPr>
        <w:t xml:space="preserve"> במעות טמונים אם הבעל רוצה </w:t>
      </w:r>
      <w:r>
        <w:rPr>
          <w:rFonts w:cs="Arial" w:hint="cs"/>
          <w:rtl/>
        </w:rPr>
        <w:t xml:space="preserve">יכול </w:t>
      </w:r>
      <w:r w:rsidRPr="00E949A3">
        <w:rPr>
          <w:rFonts w:cs="Arial"/>
          <w:rtl/>
        </w:rPr>
        <w:t>להחזיק בהם ויאמר שלו הם לגמרי. ובמעות גלוים לא מהני מה שנתן לבעל</w:t>
      </w:r>
      <w:r>
        <w:rPr>
          <w:rFonts w:cs="Arial" w:hint="cs"/>
          <w:rtl/>
        </w:rPr>
        <w:t>,</w:t>
      </w:r>
      <w:r w:rsidRPr="00E949A3">
        <w:rPr>
          <w:rFonts w:cs="Arial"/>
          <w:rtl/>
        </w:rPr>
        <w:t xml:space="preserve"> עיין</w:t>
      </w:r>
      <w:r>
        <w:rPr>
          <w:rFonts w:cs="Arial" w:hint="cs"/>
          <w:rtl/>
        </w:rPr>
        <w:t xml:space="preserve"> ב"ש (סק"ח), באה"ט (סק"ה).</w:t>
      </w:r>
      <w:r>
        <w:rPr>
          <w:rFonts w:hint="cs"/>
          <w:rtl/>
        </w:rPr>
        <w:t xml:space="preserve"> וכ"כ הח"מ (סק"י).</w:t>
      </w:r>
    </w:p>
  </w:footnote>
  <w:footnote w:id="1060">
    <w:p w14:paraId="64536BD1" w14:textId="77777777" w:rsidR="00DE2F5F" w:rsidRDefault="00DE2F5F" w:rsidP="00844CBF">
      <w:pPr>
        <w:pStyle w:val="a5"/>
      </w:pPr>
      <w:r>
        <w:rPr>
          <w:rStyle w:val="a7"/>
        </w:rPr>
        <w:footnoteRef/>
      </w:r>
      <w:r w:rsidRPr="004D4D0D">
        <w:rPr>
          <w:rFonts w:cs="Arial"/>
          <w:rtl/>
        </w:rPr>
        <w:t xml:space="preserve"> כבר נתבאר בסמוך שזהו דעת ר"ש</w:t>
      </w:r>
      <w:r>
        <w:rPr>
          <w:rFonts w:cs="Arial" w:hint="cs"/>
          <w:rtl/>
        </w:rPr>
        <w:t>,</w:t>
      </w:r>
      <w:r w:rsidRPr="004D4D0D">
        <w:rPr>
          <w:rFonts w:cs="Arial"/>
          <w:rtl/>
        </w:rPr>
        <w:t xml:space="preserve"> וכבר נתבאר בסימן פ"ה </w:t>
      </w:r>
      <w:r w:rsidRPr="00731053">
        <w:rPr>
          <w:rFonts w:cs="Arial"/>
          <w:sz w:val="16"/>
          <w:szCs w:val="16"/>
          <w:rtl/>
        </w:rPr>
        <w:t>(קכד: ד"ה מכר</w:t>
      </w:r>
      <w:r w:rsidRPr="00731053">
        <w:rPr>
          <w:rFonts w:cs="Arial" w:hint="cs"/>
          <w:sz w:val="16"/>
          <w:szCs w:val="16"/>
          <w:rtl/>
        </w:rPr>
        <w:t>, סע' ט מסעיפי השו"ע</w:t>
      </w:r>
      <w:r w:rsidRPr="00731053">
        <w:rPr>
          <w:rFonts w:cs="Arial"/>
          <w:sz w:val="16"/>
          <w:szCs w:val="16"/>
          <w:rtl/>
        </w:rPr>
        <w:t xml:space="preserve">) </w:t>
      </w:r>
      <w:r w:rsidRPr="004D4D0D">
        <w:rPr>
          <w:rFonts w:cs="Arial"/>
          <w:rtl/>
        </w:rPr>
        <w:t xml:space="preserve">שזה דעת הרשב"א </w:t>
      </w:r>
      <w:r w:rsidRPr="00731053">
        <w:rPr>
          <w:rFonts w:cs="Arial"/>
          <w:sz w:val="16"/>
          <w:szCs w:val="16"/>
          <w:rtl/>
        </w:rPr>
        <w:t xml:space="preserve">(נא. ד"ה שאני התם) </w:t>
      </w:r>
      <w:r w:rsidRPr="004D4D0D">
        <w:rPr>
          <w:rFonts w:cs="Arial"/>
          <w:rtl/>
        </w:rPr>
        <w:t>וקצת מפרשים</w:t>
      </w:r>
      <w:r>
        <w:rPr>
          <w:rFonts w:cs="Arial" w:hint="cs"/>
          <w:rtl/>
        </w:rPr>
        <w:t>,</w:t>
      </w:r>
      <w:r w:rsidRPr="004D4D0D">
        <w:rPr>
          <w:rFonts w:cs="Arial"/>
          <w:rtl/>
        </w:rPr>
        <w:t xml:space="preserve"> ושהרמב"ם</w:t>
      </w:r>
      <w:r w:rsidRPr="00731053">
        <w:rPr>
          <w:rFonts w:cs="Arial"/>
          <w:sz w:val="16"/>
          <w:szCs w:val="16"/>
          <w:rtl/>
        </w:rPr>
        <w:t xml:space="preserve"> (פ"ב ממלוה ה"ח</w:t>
      </w:r>
      <w:r w:rsidRPr="00731053">
        <w:rPr>
          <w:rFonts w:cs="Arial" w:hint="cs"/>
          <w:sz w:val="16"/>
          <w:szCs w:val="16"/>
          <w:rtl/>
        </w:rPr>
        <w:t>, כ"כ בשמו הה"מ [פכ"ב מאישות הכ"ט]</w:t>
      </w:r>
      <w:r w:rsidRPr="00731053">
        <w:rPr>
          <w:rFonts w:cs="Arial"/>
          <w:sz w:val="16"/>
          <w:szCs w:val="16"/>
          <w:rtl/>
        </w:rPr>
        <w:t>)</w:t>
      </w:r>
      <w:r w:rsidRPr="004D4D0D">
        <w:rPr>
          <w:rFonts w:cs="Arial"/>
          <w:rtl/>
        </w:rPr>
        <w:t xml:space="preserve"> נראה שחולק בדבר</w:t>
      </w:r>
      <w:r>
        <w:rPr>
          <w:rFonts w:cs="Arial" w:hint="cs"/>
          <w:rtl/>
        </w:rPr>
        <w:t>, ב"י.</w:t>
      </w:r>
    </w:p>
  </w:footnote>
  <w:footnote w:id="1061">
    <w:p w14:paraId="5EF21AC3" w14:textId="77777777" w:rsidR="00DE2F5F" w:rsidRDefault="00DE2F5F" w:rsidP="00D43D3C">
      <w:pPr>
        <w:pStyle w:val="a5"/>
      </w:pPr>
      <w:r>
        <w:rPr>
          <w:rStyle w:val="a7"/>
        </w:rPr>
        <w:footnoteRef/>
      </w:r>
      <w:r>
        <w:rPr>
          <w:rtl/>
        </w:rPr>
        <w:t xml:space="preserve"> </w:t>
      </w:r>
      <w:r w:rsidRPr="00A03108">
        <w:rPr>
          <w:rFonts w:cs="Arial"/>
          <w:rtl/>
        </w:rPr>
        <w:t>מדאמרינן לעיל (נא.) לוה מן האשה אין לה עליו כלום ואם היתה נאמנת להוציא מידו דבר שהוא בחזקתו ולומר של פלוני הוא תהא גם נאמנת לומר שלי הוא במגו דאי בעיא אמרה אחרים הפקידו בידי דאין צריכה לומר מי הם האחרים וישאר לעולם בידיה כך פר"י</w:t>
      </w:r>
      <w:r>
        <w:rPr>
          <w:rFonts w:cs="Arial" w:hint="cs"/>
          <w:rtl/>
        </w:rPr>
        <w:t xml:space="preserve">, רא"ש (שם). </w:t>
      </w:r>
    </w:p>
  </w:footnote>
  <w:footnote w:id="1062">
    <w:p w14:paraId="08F99BFC" w14:textId="236D8575" w:rsidR="00DE2F5F" w:rsidRDefault="00DE2F5F" w:rsidP="00D43D3C">
      <w:pPr>
        <w:pStyle w:val="a5"/>
        <w:rPr>
          <w:rtl/>
        </w:rPr>
      </w:pPr>
      <w:r>
        <w:rPr>
          <w:rStyle w:val="a7"/>
        </w:rPr>
        <w:footnoteRef/>
      </w:r>
      <w:r>
        <w:rPr>
          <w:rtl/>
        </w:rPr>
        <w:t xml:space="preserve"> </w:t>
      </w:r>
      <w:r>
        <w:rPr>
          <w:rFonts w:hint="cs"/>
          <w:rtl/>
        </w:rPr>
        <w:t xml:space="preserve">לאחר דברי ר"י הביא הרא"ש את קושיית ר"ש על ר"י, </w:t>
      </w:r>
      <w:r w:rsidR="0061020A">
        <w:rPr>
          <w:rFonts w:hint="cs"/>
          <w:rtl/>
        </w:rPr>
        <w:t>וז</w:t>
      </w:r>
      <w:r w:rsidR="0061020A">
        <w:rPr>
          <w:rtl/>
        </w:rPr>
        <w:t>"</w:t>
      </w:r>
      <w:r w:rsidR="0061020A">
        <w:rPr>
          <w:rFonts w:hint="cs"/>
          <w:rtl/>
        </w:rPr>
        <w:t>ל:</w:t>
      </w:r>
      <w:r>
        <w:rPr>
          <w:rFonts w:hint="cs"/>
          <w:rtl/>
        </w:rPr>
        <w:t xml:space="preserve"> </w:t>
      </w:r>
      <w:r w:rsidRPr="00B05B26">
        <w:rPr>
          <w:rFonts w:cs="Arial"/>
          <w:rtl/>
        </w:rPr>
        <w:t>והקשה רבינו שמשון א"כ במעות שאינן טמונין אמאי קנתה כי היכי דאמר (נא:) בטמונין לא קנתה דלגלויי זוזי הוא דבעי ה"נ באינן טמונין להוציאם מידה הוא דבעי שלא היה יכול להוציאם מידה בענין אחר ותירץ</w:t>
      </w:r>
      <w:r>
        <w:rPr>
          <w:rFonts w:hint="cs"/>
          <w:rtl/>
        </w:rPr>
        <w:t xml:space="preserve"> ד-...</w:t>
      </w:r>
    </w:p>
  </w:footnote>
  <w:footnote w:id="1063">
    <w:p w14:paraId="6AE1D0A9" w14:textId="77777777" w:rsidR="00DE2F5F" w:rsidRDefault="00DE2F5F" w:rsidP="00D43D3C">
      <w:pPr>
        <w:pStyle w:val="a5"/>
        <w:rPr>
          <w:rtl/>
        </w:rPr>
      </w:pPr>
      <w:r>
        <w:rPr>
          <w:rStyle w:val="a7"/>
        </w:rPr>
        <w:footnoteRef/>
      </w:r>
      <w:r>
        <w:rPr>
          <w:rtl/>
        </w:rPr>
        <w:t xml:space="preserve"> </w:t>
      </w:r>
      <w:r w:rsidRPr="00410A12">
        <w:rPr>
          <w:rFonts w:cs="Arial"/>
          <w:rtl/>
        </w:rPr>
        <w:t>ועיין לעיל סי' פה (אות ד) כתבתי דעות שאר הפוסקים בזה</w:t>
      </w:r>
      <w:r>
        <w:rPr>
          <w:rFonts w:cs="Arial" w:hint="cs"/>
          <w:rtl/>
        </w:rPr>
        <w:t xml:space="preserve">, דרכ"מ </w:t>
      </w:r>
      <w:r w:rsidRPr="00410A12">
        <w:rPr>
          <w:rFonts w:cs="Arial"/>
          <w:rtl/>
        </w:rPr>
        <w:t>(</w:t>
      </w:r>
      <w:r>
        <w:rPr>
          <w:rFonts w:cs="Arial" w:hint="cs"/>
          <w:rtl/>
        </w:rPr>
        <w:t xml:space="preserve">אות </w:t>
      </w:r>
      <w:r w:rsidRPr="00410A12">
        <w:rPr>
          <w:rFonts w:cs="Arial"/>
          <w:rtl/>
        </w:rPr>
        <w:t>ב*)</w:t>
      </w:r>
      <w:r>
        <w:rPr>
          <w:rFonts w:cs="Arial" w:hint="cs"/>
          <w:rtl/>
        </w:rPr>
        <w:t>.</w:t>
      </w:r>
    </w:p>
  </w:footnote>
  <w:footnote w:id="1064">
    <w:p w14:paraId="07944FBC" w14:textId="77777777" w:rsidR="003F5C71" w:rsidRDefault="003F5C71" w:rsidP="003F5C71">
      <w:pPr>
        <w:pStyle w:val="a5"/>
        <w:rPr>
          <w:rtl/>
        </w:rPr>
      </w:pPr>
      <w:r>
        <w:rPr>
          <w:rStyle w:val="a7"/>
        </w:rPr>
        <w:footnoteRef/>
      </w:r>
      <w:r>
        <w:rPr>
          <w:rtl/>
        </w:rPr>
        <w:t xml:space="preserve"> </w:t>
      </w:r>
      <w:r w:rsidRPr="00B62B81">
        <w:rPr>
          <w:rFonts w:cs="Arial"/>
          <w:rtl/>
        </w:rPr>
        <w:t>כדאמר לקמן (נב:) וכן האשה שהיא נושאת ונותנת כו' ואמרה שלי הם עליה להביא ראיה ולא מהימנינן לה במיגו דאי בעיא אמרה שהיא נפקדת משל אחרים</w:t>
      </w:r>
      <w:r>
        <w:rPr>
          <w:rFonts w:hint="cs"/>
          <w:rtl/>
        </w:rPr>
        <w:t>, תוס' (שם).</w:t>
      </w:r>
    </w:p>
  </w:footnote>
  <w:footnote w:id="1065">
    <w:p w14:paraId="5FC38549" w14:textId="77777777" w:rsidR="003F5C71" w:rsidRDefault="003F5C71" w:rsidP="003F5C71">
      <w:pPr>
        <w:pStyle w:val="a5"/>
        <w:rPr>
          <w:rtl/>
        </w:rPr>
      </w:pPr>
      <w:r>
        <w:rPr>
          <w:rStyle w:val="a7"/>
        </w:rPr>
        <w:footnoteRef/>
      </w:r>
      <w:r w:rsidRPr="00410A12">
        <w:rPr>
          <w:rFonts w:cs="Arial"/>
          <w:rtl/>
        </w:rPr>
        <w:t xml:space="preserve"> ע"ל בסמוך (אות ח) תשובת הרשב"א דסתם אשה מיקרי נושאת ונותנת תוך הבית</w:t>
      </w:r>
      <w:r>
        <w:rPr>
          <w:rFonts w:cs="Arial" w:hint="cs"/>
          <w:rtl/>
        </w:rPr>
        <w:t>.</w:t>
      </w:r>
      <w:r w:rsidRPr="00410A12">
        <w:rPr>
          <w:rFonts w:cs="Arial"/>
          <w:rtl/>
        </w:rPr>
        <w:t xml:space="preserve"> וכן הוא במרדכי פרק חזקת (סי' תקמו)</w:t>
      </w:r>
      <w:r>
        <w:rPr>
          <w:rFonts w:cs="Arial" w:hint="cs"/>
          <w:rtl/>
        </w:rPr>
        <w:t>.</w:t>
      </w:r>
      <w:r w:rsidRPr="00410A12">
        <w:rPr>
          <w:rFonts w:cs="Arial"/>
          <w:rtl/>
        </w:rPr>
        <w:t xml:space="preserve"> וכתב שם דלא מהמני אפילו בשבועה לומר של פלוני הם</w:t>
      </w:r>
      <w:r>
        <w:rPr>
          <w:rFonts w:cs="Arial" w:hint="cs"/>
          <w:rtl/>
        </w:rPr>
        <w:t>, דרכ"מ (אות ד).</w:t>
      </w:r>
    </w:p>
  </w:footnote>
  <w:footnote w:id="1066">
    <w:p w14:paraId="1B2D3833" w14:textId="73F5873E" w:rsidR="00DE2F5F" w:rsidRDefault="00DE2F5F" w:rsidP="00A7075E">
      <w:pPr>
        <w:pStyle w:val="a5"/>
        <w:rPr>
          <w:rtl/>
        </w:rPr>
      </w:pPr>
      <w:r>
        <w:rPr>
          <w:rStyle w:val="a7"/>
        </w:rPr>
        <w:footnoteRef/>
      </w:r>
      <w:r>
        <w:rPr>
          <w:rtl/>
        </w:rPr>
        <w:t xml:space="preserve"> </w:t>
      </w:r>
      <w:r w:rsidRPr="00410A12">
        <w:rPr>
          <w:rFonts w:cs="Arial"/>
          <w:rtl/>
        </w:rPr>
        <w:t>והרשב"א כתב בתשובה (ח"א סי</w:t>
      </w:r>
      <w:r w:rsidR="000237E8">
        <w:rPr>
          <w:rFonts w:cs="Arial" w:hint="cs"/>
          <w:rtl/>
        </w:rPr>
        <w:t>'</w:t>
      </w:r>
      <w:r w:rsidRPr="00410A12">
        <w:rPr>
          <w:rFonts w:cs="Arial"/>
          <w:rtl/>
        </w:rPr>
        <w:t xml:space="preserve"> תתקנז</w:t>
      </w:r>
      <w:r w:rsidR="000237E8">
        <w:rPr>
          <w:rFonts w:cs="Arial" w:hint="cs"/>
          <w:rtl/>
        </w:rPr>
        <w:t>)</w:t>
      </w:r>
      <w:r w:rsidRPr="00410A12">
        <w:rPr>
          <w:rFonts w:cs="Arial"/>
          <w:rtl/>
        </w:rPr>
        <w:t xml:space="preserve"> דוקא שהיא בחזקת שיש לה נכסי מלוג וטוענת כן אז הדין עמה</w:t>
      </w:r>
      <w:r w:rsidR="000237E8">
        <w:rPr>
          <w:rFonts w:cs="Arial" w:hint="cs"/>
          <w:rtl/>
        </w:rPr>
        <w:t>.</w:t>
      </w:r>
      <w:r w:rsidRPr="00410A12">
        <w:rPr>
          <w:rFonts w:cs="Arial"/>
          <w:rtl/>
        </w:rPr>
        <w:t xml:space="preserve"> אבל אם אינה מוחזקת בכך עליה להביא ראיה</w:t>
      </w:r>
      <w:r w:rsidR="000237E8">
        <w:rPr>
          <w:rFonts w:cs="Arial" w:hint="cs"/>
          <w:rtl/>
        </w:rPr>
        <w:t>,</w:t>
      </w:r>
      <w:r w:rsidRPr="00410A12">
        <w:rPr>
          <w:rFonts w:cs="Arial"/>
          <w:rtl/>
        </w:rPr>
        <w:t xml:space="preserve"> ואינה נאמנת אפילו בשבועה</w:t>
      </w:r>
      <w:r w:rsidR="000237E8">
        <w:rPr>
          <w:rFonts w:cs="Arial" w:hint="cs"/>
          <w:rtl/>
        </w:rPr>
        <w:t>,</w:t>
      </w:r>
      <w:r w:rsidRPr="00410A12">
        <w:rPr>
          <w:rFonts w:cs="Arial"/>
          <w:rtl/>
        </w:rPr>
        <w:t xml:space="preserve"> דכל מה שיש לאשה בחזקת בעלה הוא כי סתם אשה נושאת ונותנת תוך הבית</w:t>
      </w:r>
      <w:r w:rsidR="000237E8">
        <w:rPr>
          <w:rFonts w:cs="Arial" w:hint="cs"/>
          <w:rtl/>
        </w:rPr>
        <w:t>.</w:t>
      </w:r>
      <w:r w:rsidRPr="00410A12">
        <w:rPr>
          <w:rFonts w:cs="Arial"/>
          <w:rtl/>
        </w:rPr>
        <w:t xml:space="preserve"> ועוד האריך בזה</w:t>
      </w:r>
      <w:r>
        <w:rPr>
          <w:rFonts w:cs="Arial" w:hint="cs"/>
          <w:rtl/>
        </w:rPr>
        <w:t>, דרכ"מ (אות ח).</w:t>
      </w:r>
    </w:p>
  </w:footnote>
  <w:footnote w:id="1067">
    <w:p w14:paraId="2DE40EF4" w14:textId="77777777" w:rsidR="00DE2F5F" w:rsidRDefault="00DE2F5F" w:rsidP="00D36C11">
      <w:pPr>
        <w:pStyle w:val="a5"/>
        <w:rPr>
          <w:rtl/>
        </w:rPr>
      </w:pPr>
      <w:r>
        <w:rPr>
          <w:rStyle w:val="a7"/>
        </w:rPr>
        <w:footnoteRef/>
      </w:r>
      <w:r>
        <w:rPr>
          <w:rtl/>
        </w:rPr>
        <w:t xml:space="preserve"> </w:t>
      </w:r>
      <w:r>
        <w:rPr>
          <w:rFonts w:cs="Arial" w:hint="cs"/>
          <w:rtl/>
        </w:rPr>
        <w:t>ו</w:t>
      </w:r>
      <w:r w:rsidRPr="00E516EC">
        <w:rPr>
          <w:rFonts w:cs="Arial"/>
          <w:rtl/>
        </w:rPr>
        <w:t>נ"ל דוקא כשאין דרכה להשכין דאז חזקתו גנוב</w:t>
      </w:r>
      <w:r>
        <w:rPr>
          <w:rFonts w:cs="Arial" w:hint="cs"/>
          <w:rtl/>
        </w:rPr>
        <w:t>,</w:t>
      </w:r>
      <w:r w:rsidRPr="00E516EC">
        <w:rPr>
          <w:rFonts w:cs="Arial"/>
          <w:rtl/>
        </w:rPr>
        <w:t xml:space="preserve"> אבל אם דרכה בכך מסתמא הוא ברשות בעלה ומה שעשתה עשוי</w:t>
      </w:r>
      <w:r>
        <w:rPr>
          <w:rFonts w:cs="Arial" w:hint="cs"/>
          <w:rtl/>
        </w:rPr>
        <w:t>,</w:t>
      </w:r>
      <w:r w:rsidRPr="00E516EC">
        <w:rPr>
          <w:rFonts w:cs="Arial"/>
          <w:rtl/>
        </w:rPr>
        <w:t xml:space="preserve"> ועיין לקמן סימן צ' (עמ' שצב - שצג) בדין מכירת נכסיה</w:t>
      </w:r>
      <w:r>
        <w:rPr>
          <w:rFonts w:cs="Arial" w:hint="cs"/>
          <w:rtl/>
        </w:rPr>
        <w:t>, דרכ"מ (אות ג).</w:t>
      </w:r>
    </w:p>
  </w:footnote>
  <w:footnote w:id="1068">
    <w:p w14:paraId="3C0F909B" w14:textId="77777777" w:rsidR="00DE2F5F" w:rsidRDefault="00DE2F5F" w:rsidP="00844CBF">
      <w:pPr>
        <w:pStyle w:val="a5"/>
        <w:rPr>
          <w:rtl/>
        </w:rPr>
      </w:pPr>
      <w:r>
        <w:rPr>
          <w:rStyle w:val="a7"/>
        </w:rPr>
        <w:footnoteRef/>
      </w:r>
      <w:r>
        <w:rPr>
          <w:rtl/>
        </w:rPr>
        <w:t xml:space="preserve"> </w:t>
      </w:r>
      <w:r w:rsidRPr="00410A12">
        <w:rPr>
          <w:rFonts w:cs="Arial"/>
          <w:rtl/>
        </w:rPr>
        <w:t>אמנם בתשובת הרשב"א (ח"א) סימן תתע"ט משמע דטוענין ליתומים דשלה היו ואפילו באשה שנשאה ונתנה בתוך הבית אף על גב דהיא אינה נאמנת לטעון מכל מקום ליתומים טוענין וע"ש וכן פסק הריב"ש בתשובה סימן קס"ט</w:t>
      </w:r>
      <w:r>
        <w:rPr>
          <w:rFonts w:cs="Arial" w:hint="cs"/>
          <w:rtl/>
        </w:rPr>
        <w:t>, דרכ"מ (אות ו).</w:t>
      </w:r>
    </w:p>
  </w:footnote>
  <w:footnote w:id="1069">
    <w:p w14:paraId="78379E5E" w14:textId="77777777" w:rsidR="00DE2F5F" w:rsidRDefault="00DE2F5F" w:rsidP="00C9767B">
      <w:pPr>
        <w:pStyle w:val="a5"/>
        <w:rPr>
          <w:rtl/>
        </w:rPr>
      </w:pPr>
      <w:r>
        <w:rPr>
          <w:rStyle w:val="a7"/>
        </w:rPr>
        <w:footnoteRef/>
      </w:r>
      <w:r>
        <w:rPr>
          <w:rtl/>
        </w:rPr>
        <w:t xml:space="preserve"> </w:t>
      </w:r>
      <w:r w:rsidRPr="00410A12">
        <w:rPr>
          <w:rFonts w:cs="Arial"/>
          <w:rtl/>
        </w:rPr>
        <w:t>ועיין עוד במיוחסות סי</w:t>
      </w:r>
      <w:r>
        <w:rPr>
          <w:rFonts w:cs="Arial" w:hint="cs"/>
          <w:rtl/>
        </w:rPr>
        <w:t>'</w:t>
      </w:r>
      <w:r w:rsidRPr="00410A12">
        <w:rPr>
          <w:rFonts w:cs="Arial"/>
          <w:rtl/>
        </w:rPr>
        <w:t xml:space="preserve"> מ"ב ובתשובת הרשב"א (ח"א) סימן תתקצ"ו מדינים אלו</w:t>
      </w:r>
      <w:r>
        <w:rPr>
          <w:rFonts w:cs="Arial" w:hint="cs"/>
          <w:rtl/>
        </w:rPr>
        <w:t>,</w:t>
      </w:r>
      <w:r w:rsidRPr="00410A12">
        <w:rPr>
          <w:rFonts w:cs="Arial"/>
          <w:rtl/>
        </w:rPr>
        <w:t xml:space="preserve"> ועיין בחושן המשפט סימן ס"ב וס"ד מקצת דינים אלו</w:t>
      </w:r>
      <w:r>
        <w:rPr>
          <w:rFonts w:cs="Arial" w:hint="cs"/>
          <w:rtl/>
        </w:rPr>
        <w:t>, דרכ"מ (אות ז).</w:t>
      </w:r>
    </w:p>
  </w:footnote>
  <w:footnote w:id="1070">
    <w:p w14:paraId="64F07708" w14:textId="77777777" w:rsidR="00DE2F5F" w:rsidRDefault="00DE2F5F" w:rsidP="00844CBF">
      <w:pPr>
        <w:pStyle w:val="a5"/>
        <w:rPr>
          <w:rtl/>
        </w:rPr>
      </w:pPr>
      <w:r>
        <w:rPr>
          <w:rStyle w:val="a7"/>
        </w:rPr>
        <w:footnoteRef/>
      </w:r>
      <w:r>
        <w:rPr>
          <w:rtl/>
        </w:rPr>
        <w:t xml:space="preserve"> </w:t>
      </w:r>
      <w:r w:rsidRPr="00410A12">
        <w:rPr>
          <w:rFonts w:cs="Arial"/>
          <w:rtl/>
        </w:rPr>
        <w:t>וע"ש בטעם הדבר כי האריך בזה. ועיין בחושן המשפט סימן קכ"ז (סעי' א) מקצת דינים אלו</w:t>
      </w:r>
      <w:r>
        <w:rPr>
          <w:rFonts w:cs="Arial" w:hint="cs"/>
          <w:rtl/>
        </w:rPr>
        <w:t>, דרכ"מ (אות ט).</w:t>
      </w:r>
    </w:p>
  </w:footnote>
  <w:footnote w:id="1071">
    <w:p w14:paraId="58E24710" w14:textId="17F46378" w:rsidR="00DE2F5F" w:rsidRDefault="00DE2F5F">
      <w:pPr>
        <w:pStyle w:val="a5"/>
      </w:pPr>
      <w:r>
        <w:rPr>
          <w:rStyle w:val="a7"/>
        </w:rPr>
        <w:footnoteRef/>
      </w:r>
      <w:r>
        <w:rPr>
          <w:rtl/>
        </w:rPr>
        <w:t xml:space="preserve"> </w:t>
      </w:r>
      <w:r w:rsidRPr="00DD17D3">
        <w:rPr>
          <w:rFonts w:cs="Arial"/>
          <w:rtl/>
        </w:rPr>
        <w:t xml:space="preserve">כ"פ הרמב"ם </w:t>
      </w:r>
      <w:r w:rsidR="003B049F">
        <w:rPr>
          <w:rFonts w:cs="Arial" w:hint="cs"/>
          <w:rtl/>
        </w:rPr>
        <w:t>(</w:t>
      </w:r>
      <w:r w:rsidRPr="00DD17D3">
        <w:rPr>
          <w:rFonts w:cs="Arial"/>
          <w:rtl/>
        </w:rPr>
        <w:t>ספ"ב ה"מ</w:t>
      </w:r>
      <w:r w:rsidR="003B049F">
        <w:rPr>
          <w:rFonts w:cs="Arial" w:hint="cs"/>
          <w:rtl/>
        </w:rPr>
        <w:t>)</w:t>
      </w:r>
      <w:r w:rsidRPr="00DD17D3">
        <w:rPr>
          <w:rFonts w:cs="Arial"/>
          <w:rtl/>
        </w:rPr>
        <w:t xml:space="preserve"> ובבה"ת </w:t>
      </w:r>
      <w:r w:rsidR="003B049F">
        <w:rPr>
          <w:rFonts w:cs="Arial" w:hint="cs"/>
          <w:rtl/>
        </w:rPr>
        <w:t>(</w:t>
      </w:r>
      <w:r w:rsidRPr="00DD17D3">
        <w:rPr>
          <w:rFonts w:cs="Arial"/>
          <w:rtl/>
        </w:rPr>
        <w:t>שער לז</w:t>
      </w:r>
      <w:r w:rsidR="003B049F">
        <w:rPr>
          <w:rFonts w:cs="Arial" w:hint="cs"/>
          <w:rtl/>
        </w:rPr>
        <w:t>)</w:t>
      </w:r>
      <w:r w:rsidRPr="00DD17D3">
        <w:rPr>
          <w:rFonts w:cs="Arial"/>
          <w:rtl/>
        </w:rPr>
        <w:t xml:space="preserve"> דאין חילוק בין מעות טמונים לשאינם טמונים</w:t>
      </w:r>
      <w:r w:rsidR="003B049F">
        <w:rPr>
          <w:rFonts w:cs="Arial" w:hint="cs"/>
          <w:rtl/>
        </w:rPr>
        <w:t>,</w:t>
      </w:r>
      <w:r w:rsidRPr="00DD17D3">
        <w:rPr>
          <w:rFonts w:cs="Arial"/>
          <w:rtl/>
        </w:rPr>
        <w:t xml:space="preserve"> דאנן סהדי דלא נשתעבד לה להיות עבד לוה לה</w:t>
      </w:r>
      <w:r w:rsidR="003B049F">
        <w:rPr>
          <w:rFonts w:cs="Arial" w:hint="cs"/>
          <w:rtl/>
        </w:rPr>
        <w:t>.</w:t>
      </w:r>
      <w:r w:rsidRPr="00DD17D3">
        <w:rPr>
          <w:rFonts w:cs="Arial"/>
          <w:rtl/>
        </w:rPr>
        <w:t xml:space="preserve"> וכתב הרמב"ם שם כל המעות של האשה מחזיקים שהוא של בעלה</w:t>
      </w:r>
      <w:r w:rsidR="003B049F">
        <w:rPr>
          <w:rFonts w:cs="Arial" w:hint="cs"/>
          <w:rtl/>
        </w:rPr>
        <w:t>,</w:t>
      </w:r>
      <w:r w:rsidRPr="00DD17D3">
        <w:rPr>
          <w:rFonts w:cs="Arial"/>
          <w:rtl/>
        </w:rPr>
        <w:t xml:space="preserve"> אע</w:t>
      </w:r>
      <w:r>
        <w:rPr>
          <w:rFonts w:cs="Arial" w:hint="cs"/>
          <w:rtl/>
        </w:rPr>
        <w:t>"</w:t>
      </w:r>
      <w:r w:rsidRPr="00DD17D3">
        <w:rPr>
          <w:rFonts w:cs="Arial"/>
          <w:rtl/>
        </w:rPr>
        <w:t>ג</w:t>
      </w:r>
      <w:r>
        <w:rPr>
          <w:rFonts w:cs="Arial" w:hint="cs"/>
          <w:rtl/>
        </w:rPr>
        <w:t xml:space="preserve"> </w:t>
      </w:r>
      <w:r w:rsidRPr="00DD17D3">
        <w:rPr>
          <w:rFonts w:cs="Arial"/>
          <w:rtl/>
        </w:rPr>
        <w:t>בפ"ק כ"ב ה"א כ' בחזקת נ"מ הם</w:t>
      </w:r>
      <w:r w:rsidR="003B049F">
        <w:rPr>
          <w:rFonts w:cs="Arial" w:hint="cs"/>
          <w:rtl/>
        </w:rPr>
        <w:t>,</w:t>
      </w:r>
      <w:r w:rsidRPr="00DD17D3">
        <w:rPr>
          <w:rFonts w:cs="Arial"/>
          <w:rtl/>
        </w:rPr>
        <w:t xml:space="preserve"> היינו כשהמעות ביד האשה אמרינן נ"מ הם</w:t>
      </w:r>
      <w:r w:rsidR="003B049F">
        <w:rPr>
          <w:rFonts w:cs="Arial" w:hint="cs"/>
          <w:rtl/>
        </w:rPr>
        <w:t>,</w:t>
      </w:r>
      <w:r w:rsidRPr="00DD17D3">
        <w:rPr>
          <w:rFonts w:cs="Arial"/>
          <w:rtl/>
        </w:rPr>
        <w:t xml:space="preserve"> וכשהמעות ביד בעלה אמרינן לגמרי של בעלה הוא</w:t>
      </w:r>
      <w:r w:rsidR="003B049F">
        <w:rPr>
          <w:rFonts w:cs="Arial" w:hint="cs"/>
          <w:rtl/>
        </w:rPr>
        <w:t>,</w:t>
      </w:r>
      <w:r w:rsidRPr="00DD17D3">
        <w:rPr>
          <w:rFonts w:cs="Arial"/>
          <w:rtl/>
        </w:rPr>
        <w:t xml:space="preserve"> וכשלוה ממנה אז יצאו המעות מחזקתה אמרי' של בעלה הוא</w:t>
      </w:r>
      <w:r w:rsidR="003B049F">
        <w:rPr>
          <w:rFonts w:cs="Arial" w:hint="cs"/>
          <w:rtl/>
        </w:rPr>
        <w:t>,</w:t>
      </w:r>
      <w:r w:rsidRPr="00DD17D3">
        <w:rPr>
          <w:rFonts w:cs="Arial"/>
          <w:rtl/>
        </w:rPr>
        <w:t xml:space="preserve"> אבל כשקנה ממנה קרקע לא יצאה מחזקתה אמרינן של נ"מ הוא</w:t>
      </w:r>
      <w:r w:rsidR="003B049F">
        <w:rPr>
          <w:rFonts w:cs="Arial" w:hint="cs"/>
          <w:rtl/>
        </w:rPr>
        <w:t>,</w:t>
      </w:r>
      <w:r w:rsidRPr="00DD17D3">
        <w:rPr>
          <w:rFonts w:cs="Arial"/>
          <w:rtl/>
        </w:rPr>
        <w:t xml:space="preserve"> וכן בתקף ממנה לא יצא מחזקתה ובחזקת נ"מ הוא וצריך להחזיר לה אחר הגט וכ"כ בח"מ, וכשלוה ממנה אמרינן שלו הוא אפי' לא טען ברי כמ"ש בסי' פ"ה</w:t>
      </w:r>
      <w:r>
        <w:rPr>
          <w:rFonts w:hint="cs"/>
          <w:rtl/>
        </w:rPr>
        <w:t>, ב"ש (סק"ט).</w:t>
      </w:r>
    </w:p>
  </w:footnote>
  <w:footnote w:id="1072">
    <w:p w14:paraId="38D64D09" w14:textId="2863C0E0" w:rsidR="00DE2F5F" w:rsidRDefault="00DE2F5F">
      <w:pPr>
        <w:pStyle w:val="a5"/>
      </w:pPr>
      <w:r>
        <w:rPr>
          <w:rStyle w:val="a7"/>
        </w:rPr>
        <w:footnoteRef/>
      </w:r>
      <w:r>
        <w:rPr>
          <w:rtl/>
        </w:rPr>
        <w:t xml:space="preserve"> </w:t>
      </w:r>
      <w:r w:rsidRPr="00DD17D3">
        <w:rPr>
          <w:rFonts w:cs="Arial"/>
          <w:rtl/>
        </w:rPr>
        <w:t>היינו לשיטות תוס' והרא"ש והרשב"א בין במכר ובין בתקף ובין בלוה בכלם אמרי' במעות טמונים אין לה עליו כלום והיינו כשטוען ברי כמ"ש בטור ובמגיד ואם הוא טוען שמא והיא טוענת ברי צריך להחזיר לה והמעות הם נ"מ, ובמעות גלוים צריך להחזיר לה ונאמנת לו' שאין לו רשות בהם לגמרי כמ"ש בסי' פ"ה</w:t>
      </w:r>
      <w:r>
        <w:rPr>
          <w:rFonts w:cs="Arial" w:hint="cs"/>
          <w:rtl/>
        </w:rPr>
        <w:t>, ב"ש (סק"י).</w:t>
      </w:r>
    </w:p>
  </w:footnote>
  <w:footnote w:id="1073">
    <w:p w14:paraId="3CF64EC3" w14:textId="738D2DDD" w:rsidR="00DE2F5F" w:rsidRDefault="00DE2F5F">
      <w:pPr>
        <w:pStyle w:val="a5"/>
      </w:pPr>
      <w:r>
        <w:rPr>
          <w:rStyle w:val="a7"/>
        </w:rPr>
        <w:footnoteRef/>
      </w:r>
      <w:r>
        <w:rPr>
          <w:rtl/>
        </w:rPr>
        <w:t xml:space="preserve"> </w:t>
      </w:r>
      <w:r>
        <w:rPr>
          <w:rFonts w:cs="Arial" w:hint="cs"/>
          <w:rtl/>
        </w:rPr>
        <w:t xml:space="preserve">כתב </w:t>
      </w:r>
      <w:r w:rsidRPr="00DD17D3">
        <w:rPr>
          <w:rFonts w:cs="Arial"/>
          <w:rtl/>
        </w:rPr>
        <w:t>ה</w:t>
      </w:r>
      <w:r>
        <w:rPr>
          <w:rFonts w:cs="Arial" w:hint="cs"/>
          <w:rtl/>
        </w:rPr>
        <w:t>ה"</w:t>
      </w:r>
      <w:r w:rsidRPr="00DD17D3">
        <w:rPr>
          <w:rFonts w:cs="Arial"/>
          <w:rtl/>
        </w:rPr>
        <w:t>מ</w:t>
      </w:r>
      <w:r>
        <w:rPr>
          <w:rFonts w:cs="Arial" w:hint="cs"/>
          <w:rtl/>
        </w:rPr>
        <w:t xml:space="preserve"> </w:t>
      </w:r>
      <w:r w:rsidRPr="00DD17D3">
        <w:rPr>
          <w:rFonts w:cs="Arial"/>
          <w:rtl/>
        </w:rPr>
        <w:t xml:space="preserve">בשם הרשב"א </w:t>
      </w:r>
      <w:r>
        <w:rPr>
          <w:rFonts w:cs="Arial" w:hint="cs"/>
          <w:rtl/>
        </w:rPr>
        <w:t>(</w:t>
      </w:r>
      <w:r w:rsidRPr="00DD17D3">
        <w:rPr>
          <w:rFonts w:cs="Arial"/>
          <w:rtl/>
        </w:rPr>
        <w:t>שם ספ"ב</w:t>
      </w:r>
      <w:r>
        <w:rPr>
          <w:rFonts w:cs="Arial" w:hint="cs"/>
          <w:rtl/>
        </w:rPr>
        <w:t>)</w:t>
      </w:r>
      <w:r w:rsidRPr="00DD17D3">
        <w:rPr>
          <w:rFonts w:cs="Arial"/>
          <w:rtl/>
        </w:rPr>
        <w:t xml:space="preserve"> כשלוה ממנה מעות גלוים הוי כאלו הודה לה שניתן לה בע"מ שאין לו רשות בהם אפי' הפירות</w:t>
      </w:r>
      <w:r>
        <w:rPr>
          <w:rFonts w:cs="Arial" w:hint="cs"/>
          <w:rtl/>
        </w:rPr>
        <w:t>,</w:t>
      </w:r>
      <w:r w:rsidRPr="00DD17D3">
        <w:rPr>
          <w:rFonts w:cs="Arial"/>
          <w:rtl/>
        </w:rPr>
        <w:t xml:space="preserve"> ולא כח"מ </w:t>
      </w:r>
      <w:r>
        <w:rPr>
          <w:rFonts w:cs="Arial" w:hint="cs"/>
          <w:rtl/>
        </w:rPr>
        <w:t xml:space="preserve">(סק"ט) </w:t>
      </w:r>
      <w:r w:rsidRPr="00DD17D3">
        <w:rPr>
          <w:rFonts w:cs="Arial"/>
          <w:rtl/>
        </w:rPr>
        <w:t>שכתב קודם הגט אוכל הפירות</w:t>
      </w:r>
      <w:r>
        <w:rPr>
          <w:rFonts w:cs="Arial" w:hint="cs"/>
          <w:rtl/>
        </w:rPr>
        <w:t>,</w:t>
      </w:r>
      <w:r w:rsidRPr="00DD17D3">
        <w:rPr>
          <w:rFonts w:cs="Arial"/>
          <w:rtl/>
        </w:rPr>
        <w:t xml:space="preserve"> גם א"י להשביעה</w:t>
      </w:r>
      <w:r>
        <w:rPr>
          <w:rFonts w:cs="Arial" w:hint="cs"/>
          <w:rtl/>
        </w:rPr>
        <w:t>, ב"ש (סקי"א).</w:t>
      </w:r>
    </w:p>
  </w:footnote>
  <w:footnote w:id="1074">
    <w:p w14:paraId="2FE60444" w14:textId="78CEEA1E" w:rsidR="00DE2F5F" w:rsidRDefault="00DE2F5F">
      <w:pPr>
        <w:pStyle w:val="a5"/>
        <w:rPr>
          <w:rtl/>
        </w:rPr>
      </w:pPr>
      <w:r>
        <w:rPr>
          <w:rStyle w:val="a7"/>
        </w:rPr>
        <w:footnoteRef/>
      </w:r>
      <w:r>
        <w:rPr>
          <w:rtl/>
        </w:rPr>
        <w:t xml:space="preserve"> </w:t>
      </w:r>
      <w:r w:rsidRPr="000E3732">
        <w:rPr>
          <w:rFonts w:cs="Arial"/>
          <w:rtl/>
        </w:rPr>
        <w:t>לא ידעתי מאי אפי</w:t>
      </w:r>
      <w:r>
        <w:rPr>
          <w:rFonts w:cs="Arial" w:hint="cs"/>
          <w:rtl/>
        </w:rPr>
        <w:t>לו,</w:t>
      </w:r>
      <w:r w:rsidRPr="000E3732">
        <w:rPr>
          <w:rFonts w:cs="Arial"/>
          <w:rtl/>
        </w:rPr>
        <w:t xml:space="preserve"> דקודם שגירשה משלם לה הקרן ויקח בהן קרקע והוא אוכל פירות ולאחר שגירשה צריך לשלם לה לגמרי</w:t>
      </w:r>
      <w:r>
        <w:rPr>
          <w:rFonts w:cs="Arial" w:hint="cs"/>
          <w:rtl/>
        </w:rPr>
        <w:t>, ח"מ (סק"ט).</w:t>
      </w:r>
      <w:r w:rsidRPr="00DD17D3">
        <w:rPr>
          <w:rtl/>
        </w:rPr>
        <w:t xml:space="preserve"> </w:t>
      </w:r>
      <w:r>
        <w:rPr>
          <w:rFonts w:cs="Arial" w:hint="cs"/>
          <w:rtl/>
        </w:rPr>
        <w:t>אך הב"ש (סקי"ב) כתב ד</w:t>
      </w:r>
      <w:r w:rsidRPr="00DD17D3">
        <w:rPr>
          <w:rFonts w:cs="Arial"/>
          <w:rtl/>
        </w:rPr>
        <w:t>בסמוך כתב רבות' אם לא גרשה דמגיע לו הנאה ממעות שלה מ"מ א"צ לשלם וכאן רבותא אפי' אחר הגט דאין מגיע לו הנאה מ"מ צריך לשלם</w:t>
      </w:r>
      <w:r>
        <w:rPr>
          <w:rFonts w:hint="cs"/>
          <w:rtl/>
        </w:rPr>
        <w:t>.</w:t>
      </w:r>
    </w:p>
  </w:footnote>
  <w:footnote w:id="1075">
    <w:p w14:paraId="532FB432" w14:textId="77777777" w:rsidR="00DE2F5F" w:rsidRDefault="00DE2F5F" w:rsidP="00DC681F">
      <w:pPr>
        <w:pStyle w:val="a5"/>
      </w:pPr>
      <w:r>
        <w:rPr>
          <w:rStyle w:val="a7"/>
        </w:rPr>
        <w:footnoteRef/>
      </w:r>
      <w:r>
        <w:rPr>
          <w:rtl/>
        </w:rPr>
        <w:t xml:space="preserve"> </w:t>
      </w:r>
      <w:r w:rsidRPr="000118CF">
        <w:rPr>
          <w:rFonts w:cs="Arial"/>
          <w:rtl/>
        </w:rPr>
        <w:t>כבר נתבאר בסי' הקודם די"ל שלי הם ואין לבעל רשות בהם, וכן נרא' עיקר דהא הריטב"א והר"י ס"ל כן וכן הרשב"א וכ"כ הרשב"א בשם הרא"מ וכן נוטים דברי תוס' והרא"ש וכ"כ מהרש"ל וב"ח</w:t>
      </w:r>
      <w:r>
        <w:rPr>
          <w:rFonts w:cs="Arial" w:hint="cs"/>
          <w:rtl/>
        </w:rPr>
        <w:t>, ב"ש (סקי"ג).</w:t>
      </w:r>
      <w:r w:rsidRPr="000118CF">
        <w:rPr>
          <w:rtl/>
        </w:rPr>
        <w:t xml:space="preserve"> </w:t>
      </w:r>
      <w:r w:rsidRPr="000118CF">
        <w:rPr>
          <w:rFonts w:cs="Arial"/>
          <w:rtl/>
        </w:rPr>
        <w:t>ולפי זה מ"ש בשם המרדכי בסעיף שלפני זה שאם החזיר הנפקד לבעל פטור היינו במעות טמונים דמהני תקיפה אבל במעות שאינם טמונים דלא מהני תקיפה מידה נראה דה"ה דלא מהני מה שנתן לו הנפקד דלמה תאבד זכותה</w:t>
      </w:r>
      <w:r>
        <w:rPr>
          <w:rFonts w:cs="Arial" w:hint="cs"/>
          <w:rtl/>
        </w:rPr>
        <w:t>, ח"מ (סק"י).</w:t>
      </w:r>
    </w:p>
  </w:footnote>
  <w:footnote w:id="1076">
    <w:p w14:paraId="4A6EE8D2" w14:textId="3959DF5D" w:rsidR="00DE2F5F" w:rsidRDefault="00DE2F5F">
      <w:pPr>
        <w:pStyle w:val="a5"/>
        <w:rPr>
          <w:rtl/>
        </w:rPr>
      </w:pPr>
      <w:r>
        <w:rPr>
          <w:rStyle w:val="a7"/>
        </w:rPr>
        <w:footnoteRef/>
      </w:r>
      <w:r>
        <w:rPr>
          <w:rtl/>
        </w:rPr>
        <w:t xml:space="preserve"> </w:t>
      </w:r>
      <w:r w:rsidRPr="00DC681F">
        <w:rPr>
          <w:rFonts w:cs="Arial"/>
          <w:rtl/>
        </w:rPr>
        <w:t>לאו בחדא מחתא מחתינהו דשלי היינו הקרן שלי ופירות שלו כדין נ"מ דכבר נתבאר בסי' שלפני זה סעיף י"ב דאין האשה נאמנת להפקיע הפירות מבעלה אע</w:t>
      </w:r>
      <w:r>
        <w:rPr>
          <w:rFonts w:cs="Arial" w:hint="cs"/>
          <w:rtl/>
        </w:rPr>
        <w:t>"</w:t>
      </w:r>
      <w:r w:rsidRPr="00DC681F">
        <w:rPr>
          <w:rFonts w:cs="Arial"/>
          <w:rtl/>
        </w:rPr>
        <w:t>פ שכתב שם שיש חולקים במעות שאינם טמונים וס"ל דנאמנת להפקיע לגמרי מבעלה כבר כתבתי דלמעשה לא החליטו הדבר אבל כשאומרת של פלוני הם הם שלו לגמרי</w:t>
      </w:r>
      <w:r>
        <w:rPr>
          <w:rFonts w:hint="cs"/>
          <w:rtl/>
        </w:rPr>
        <w:t>, ח"מ (סקי"א). נראה שהב"ש (סקי"ג) חולק עליו.</w:t>
      </w:r>
    </w:p>
  </w:footnote>
  <w:footnote w:id="1077">
    <w:p w14:paraId="2D3FA673" w14:textId="7D0D5899" w:rsidR="00DE2F5F" w:rsidRDefault="00DE2F5F">
      <w:pPr>
        <w:pStyle w:val="a5"/>
        <w:rPr>
          <w:rtl/>
        </w:rPr>
      </w:pPr>
      <w:r>
        <w:rPr>
          <w:rStyle w:val="a7"/>
        </w:rPr>
        <w:footnoteRef/>
      </w:r>
      <w:r>
        <w:rPr>
          <w:rtl/>
        </w:rPr>
        <w:t xml:space="preserve"> </w:t>
      </w:r>
      <w:r w:rsidRPr="00DC681F">
        <w:rPr>
          <w:rFonts w:cs="Arial"/>
          <w:rtl/>
        </w:rPr>
        <w:t>אפי' אם הוא אינו טוען ברי משום חזקה היא דהכל משלו הוא וכן באונות ושטרות היוצאים על שמה אינה נאמנת דשלה הוא א</w:t>
      </w:r>
      <w:r w:rsidR="00D27B16">
        <w:rPr>
          <w:rFonts w:cs="Arial" w:hint="cs"/>
          <w:rtl/>
        </w:rPr>
        <w:t>ע"ג</w:t>
      </w:r>
      <w:r w:rsidRPr="00DC681F">
        <w:rPr>
          <w:rFonts w:cs="Arial"/>
          <w:rtl/>
        </w:rPr>
        <w:t xml:space="preserve"> דא"י לטעון ברי כמ"ש בתשוב' רשב"א</w:t>
      </w:r>
      <w:r>
        <w:rPr>
          <w:rFonts w:hint="cs"/>
          <w:rtl/>
        </w:rPr>
        <w:t>..., ב"ש (סקי"ד).</w:t>
      </w:r>
    </w:p>
  </w:footnote>
  <w:footnote w:id="1078">
    <w:p w14:paraId="79ED169B" w14:textId="1B47E3FF" w:rsidR="00DE2F5F" w:rsidRDefault="00DE2F5F">
      <w:pPr>
        <w:pStyle w:val="a5"/>
      </w:pPr>
      <w:r>
        <w:rPr>
          <w:rStyle w:val="a7"/>
        </w:rPr>
        <w:footnoteRef/>
      </w:r>
      <w:r>
        <w:rPr>
          <w:rtl/>
        </w:rPr>
        <w:t xml:space="preserve"> </w:t>
      </w:r>
      <w:r w:rsidRPr="00DC681F">
        <w:rPr>
          <w:rFonts w:cs="Arial"/>
          <w:rtl/>
        </w:rPr>
        <w:t>היינו לשיטות הי"א שייך דין זה אבל לרמב"ם אפי' מעות שאינן טמונים יכול לתפוס</w:t>
      </w:r>
      <w:r>
        <w:rPr>
          <w:rFonts w:cs="Arial" w:hint="cs"/>
          <w:rtl/>
        </w:rPr>
        <w:t>..., ב"ש (סקט"ו). וכ"כ הח"מ (סקי"ג).</w:t>
      </w:r>
      <w:r w:rsidRPr="00DC681F">
        <w:rPr>
          <w:rFonts w:cs="Arial"/>
          <w:rtl/>
        </w:rPr>
        <w:t xml:space="preserve"> </w:t>
      </w:r>
      <w:r>
        <w:rPr>
          <w:rFonts w:cs="Arial" w:hint="cs"/>
          <w:rtl/>
        </w:rPr>
        <w:t xml:space="preserve">וכתב עוד הב"ש שם- </w:t>
      </w:r>
      <w:r w:rsidRPr="00DC681F">
        <w:rPr>
          <w:rFonts w:cs="Arial"/>
          <w:rtl/>
        </w:rPr>
        <w:t>ואפשר בממרנ"י שלנו שלא נזכר מי הוא המלוה אמרי' גם בזה דלא יצא המעות מחזקתו כמ"ש בסי' ג"ן</w:t>
      </w:r>
      <w:r>
        <w:rPr>
          <w:rFonts w:cs="Arial" w:hint="cs"/>
          <w:rtl/>
        </w:rPr>
        <w:t>.</w:t>
      </w:r>
    </w:p>
  </w:footnote>
  <w:footnote w:id="1079">
    <w:p w14:paraId="6EC62A82" w14:textId="28108302" w:rsidR="00DE2F5F" w:rsidRDefault="00DE2F5F">
      <w:pPr>
        <w:pStyle w:val="a5"/>
        <w:rPr>
          <w:rtl/>
        </w:rPr>
      </w:pPr>
      <w:r>
        <w:rPr>
          <w:rStyle w:val="a7"/>
        </w:rPr>
        <w:footnoteRef/>
      </w:r>
      <w:r>
        <w:rPr>
          <w:rtl/>
        </w:rPr>
        <w:t xml:space="preserve"> </w:t>
      </w:r>
      <w:r w:rsidRPr="0008255B">
        <w:rPr>
          <w:rFonts w:cs="Arial"/>
          <w:rtl/>
        </w:rPr>
        <w:t>ע' ב"י סס"ז הביא תשו' רשב"א אף אחר מותה צריכים יורשים להביא ראיה דמשלה היא אף על גב דתנן בש"ס אם מת א' מן האחים אשר השטרות יוצאים ע"ש צריכים האחים להבי' ראיה שם איירי כשאינם טוענים ברי אבל כשטוען ברי צריכים היורשים להביא ראיה, ובתשובת רשב"א סי' תתע"ט כתב דטוענים ליורשים משלה הוא אפי' בנושאת וי"ל שם איירי כשהבעל אינו טוען ברי ובד"מ כתב בתשובה אלו סותרים זה את זה, ואף למה שכתב לעיל בשם תשובת רשב"א בנו"נ אפי' אם הוא אינו טוען ברי אינה נאמנת היינו כל זמן כשהיא בחייה אבל אם היא מתה והוא טוען שמא טוענים בשביל היתומים והוא צריך ראיה</w:t>
      </w:r>
      <w:r>
        <w:rPr>
          <w:rFonts w:hint="cs"/>
          <w:rtl/>
        </w:rPr>
        <w:t>, ב"ש (סקט"ז).</w:t>
      </w:r>
    </w:p>
  </w:footnote>
  <w:footnote w:id="1080">
    <w:p w14:paraId="6A7C8579" w14:textId="0C748FCE" w:rsidR="00DE2F5F" w:rsidRDefault="00DE2F5F">
      <w:pPr>
        <w:pStyle w:val="a5"/>
      </w:pPr>
      <w:r>
        <w:rPr>
          <w:rStyle w:val="a7"/>
        </w:rPr>
        <w:footnoteRef/>
      </w:r>
      <w:r>
        <w:rPr>
          <w:rtl/>
        </w:rPr>
        <w:t xml:space="preserve"> </w:t>
      </w:r>
      <w:r>
        <w:rPr>
          <w:rFonts w:cs="Arial" w:hint="cs"/>
          <w:rtl/>
        </w:rPr>
        <w:t>צ"ע שוב בח"מ (סקי"ד) ובב"ש (סקי"ז).</w:t>
      </w:r>
    </w:p>
  </w:footnote>
  <w:footnote w:id="1081">
    <w:p w14:paraId="79E0B204" w14:textId="3563C072" w:rsidR="00DE2F5F" w:rsidRDefault="00DE2F5F">
      <w:pPr>
        <w:pStyle w:val="a5"/>
      </w:pPr>
      <w:r>
        <w:rPr>
          <w:rStyle w:val="a7"/>
        </w:rPr>
        <w:footnoteRef/>
      </w:r>
      <w:r>
        <w:rPr>
          <w:rtl/>
        </w:rPr>
        <w:t xml:space="preserve"> </w:t>
      </w:r>
      <w:r w:rsidRPr="008C35BD">
        <w:rPr>
          <w:rFonts w:cs="Arial"/>
          <w:rtl/>
        </w:rPr>
        <w:t>דהוי כידע שגנוב</w:t>
      </w:r>
      <w:r>
        <w:rPr>
          <w:rFonts w:cs="Arial" w:hint="cs"/>
          <w:rtl/>
        </w:rPr>
        <w:t>,</w:t>
      </w:r>
      <w:r w:rsidRPr="008C35BD">
        <w:rPr>
          <w:rFonts w:cs="Arial"/>
          <w:rtl/>
        </w:rPr>
        <w:t xml:space="preserve"> כמ"ש בח</w:t>
      </w:r>
      <w:r>
        <w:rPr>
          <w:rFonts w:cs="Arial" w:hint="cs"/>
          <w:rtl/>
        </w:rPr>
        <w:t>ו"מ</w:t>
      </w:r>
      <w:r w:rsidRPr="008C35BD">
        <w:rPr>
          <w:rFonts w:cs="Arial"/>
          <w:rtl/>
        </w:rPr>
        <w:t xml:space="preserve"> סי' שנ"ו</w:t>
      </w:r>
      <w:r>
        <w:rPr>
          <w:rFonts w:cs="Arial" w:hint="cs"/>
          <w:rtl/>
        </w:rPr>
        <w:t>,</w:t>
      </w:r>
      <w:r w:rsidRPr="008C35BD">
        <w:rPr>
          <w:rFonts w:cs="Arial"/>
          <w:rtl/>
        </w:rPr>
        <w:t xml:space="preserve"> דאז לכ"ע לית</w:t>
      </w:r>
      <w:r>
        <w:rPr>
          <w:rFonts w:cs="Arial" w:hint="cs"/>
          <w:rtl/>
        </w:rPr>
        <w:t>א</w:t>
      </w:r>
      <w:r w:rsidRPr="008C35BD">
        <w:rPr>
          <w:rFonts w:cs="Arial"/>
          <w:rtl/>
        </w:rPr>
        <w:t xml:space="preserve"> תקנת השוק</w:t>
      </w:r>
      <w:r>
        <w:rPr>
          <w:rFonts w:cs="Arial" w:hint="cs"/>
          <w:rtl/>
        </w:rPr>
        <w:t>.</w:t>
      </w:r>
      <w:r w:rsidRPr="008C35BD">
        <w:rPr>
          <w:rFonts w:cs="Arial"/>
          <w:rtl/>
        </w:rPr>
        <w:t xml:space="preserve"> מזה ראיה לכאור</w:t>
      </w:r>
      <w:r>
        <w:rPr>
          <w:rFonts w:cs="Arial" w:hint="cs"/>
          <w:rtl/>
        </w:rPr>
        <w:t>ה</w:t>
      </w:r>
      <w:r w:rsidRPr="008C35BD">
        <w:rPr>
          <w:rFonts w:cs="Arial"/>
          <w:rtl/>
        </w:rPr>
        <w:t xml:space="preserve"> כשהפקיד</w:t>
      </w:r>
      <w:r>
        <w:rPr>
          <w:rFonts w:cs="Arial" w:hint="cs"/>
          <w:rtl/>
        </w:rPr>
        <w:t>ה</w:t>
      </w:r>
      <w:r w:rsidRPr="008C35BD">
        <w:rPr>
          <w:rFonts w:cs="Arial"/>
          <w:rtl/>
        </w:rPr>
        <w:t xml:space="preserve"> ביד אחר והיא נושאת בבית דבעל יכול להוצי</w:t>
      </w:r>
      <w:r>
        <w:rPr>
          <w:rFonts w:cs="Arial" w:hint="cs"/>
          <w:rtl/>
        </w:rPr>
        <w:t>א</w:t>
      </w:r>
      <w:r w:rsidRPr="008C35BD">
        <w:rPr>
          <w:rFonts w:cs="Arial"/>
          <w:rtl/>
        </w:rPr>
        <w:t xml:space="preserve"> מן הנפקד דהא כאן מוציאים מן הלוקח בלא דמים ומפסידים אותו ובסעיף א' פסק בשם הריב"ש דמחזירים לידה ויש לחלק</w:t>
      </w:r>
      <w:r>
        <w:rPr>
          <w:rFonts w:cs="Arial" w:hint="cs"/>
          <w:rtl/>
        </w:rPr>
        <w:t>, ב"ש (סקי"ח).</w:t>
      </w:r>
    </w:p>
  </w:footnote>
  <w:footnote w:id="1082">
    <w:p w14:paraId="1E4A1549" w14:textId="6BD76358" w:rsidR="00DE2F5F" w:rsidRDefault="00DE2F5F">
      <w:pPr>
        <w:pStyle w:val="a5"/>
        <w:rPr>
          <w:rtl/>
        </w:rPr>
      </w:pPr>
      <w:r>
        <w:rPr>
          <w:rStyle w:val="a7"/>
        </w:rPr>
        <w:footnoteRef/>
      </w:r>
      <w:r>
        <w:rPr>
          <w:rtl/>
        </w:rPr>
        <w:t xml:space="preserve"> </w:t>
      </w:r>
      <w:r w:rsidRPr="00763B86">
        <w:rPr>
          <w:rFonts w:cs="Arial"/>
          <w:rtl/>
        </w:rPr>
        <w:t>ואז אפילו אם ידוע שהוא משל הבעל א"צ להחזיר כיון דרכה בכך</w:t>
      </w:r>
      <w:r>
        <w:rPr>
          <w:rFonts w:cs="Arial" w:hint="cs"/>
          <w:rtl/>
        </w:rPr>
        <w:t>.</w:t>
      </w:r>
      <w:r w:rsidRPr="00763B86">
        <w:rPr>
          <w:rFonts w:cs="Arial"/>
          <w:rtl/>
        </w:rPr>
        <w:t xml:space="preserve"> וג' חלוקים בדין זה</w:t>
      </w:r>
      <w:r>
        <w:rPr>
          <w:rFonts w:cs="Arial" w:hint="cs"/>
          <w:rtl/>
        </w:rPr>
        <w:t>:</w:t>
      </w:r>
      <w:r w:rsidRPr="00763B86">
        <w:rPr>
          <w:rFonts w:cs="Arial"/>
          <w:rtl/>
        </w:rPr>
        <w:t xml:space="preserve"> </w:t>
      </w:r>
      <w:r>
        <w:rPr>
          <w:rFonts w:cs="Arial" w:hint="cs"/>
          <w:rtl/>
        </w:rPr>
        <w:t xml:space="preserve">{א} </w:t>
      </w:r>
      <w:r w:rsidRPr="00763B86">
        <w:rPr>
          <w:rFonts w:cs="Arial"/>
          <w:rtl/>
        </w:rPr>
        <w:t>אם אינה נושאת בבית ואין דרכה למכור</w:t>
      </w:r>
      <w:r>
        <w:rPr>
          <w:rFonts w:cs="Arial" w:hint="cs"/>
          <w:rtl/>
        </w:rPr>
        <w:t>,</w:t>
      </w:r>
      <w:r w:rsidRPr="00763B86">
        <w:rPr>
          <w:rFonts w:cs="Arial"/>
          <w:rtl/>
        </w:rPr>
        <w:t xml:space="preserve"> אז אם ידוע שהוא משל בעל צריך להחזיר בלא דמים</w:t>
      </w:r>
      <w:r>
        <w:rPr>
          <w:rFonts w:cs="Arial" w:hint="cs"/>
          <w:rtl/>
        </w:rPr>
        <w:t>,</w:t>
      </w:r>
      <w:r w:rsidRPr="00763B86">
        <w:rPr>
          <w:rFonts w:cs="Arial"/>
          <w:rtl/>
        </w:rPr>
        <w:t xml:space="preserve"> דלא שייך ת</w:t>
      </w:r>
      <w:r>
        <w:rPr>
          <w:rFonts w:cs="Arial" w:hint="cs"/>
          <w:rtl/>
        </w:rPr>
        <w:t xml:space="preserve">קנת </w:t>
      </w:r>
      <w:r w:rsidRPr="00763B86">
        <w:rPr>
          <w:rFonts w:cs="Arial"/>
          <w:rtl/>
        </w:rPr>
        <w:t>ה</w:t>
      </w:r>
      <w:r>
        <w:rPr>
          <w:rFonts w:cs="Arial" w:hint="cs"/>
          <w:rtl/>
        </w:rPr>
        <w:t>שוק</w:t>
      </w:r>
      <w:r w:rsidRPr="00763B86">
        <w:rPr>
          <w:rFonts w:cs="Arial"/>
          <w:rtl/>
        </w:rPr>
        <w:t xml:space="preserve"> בכה"ג</w:t>
      </w:r>
      <w:r>
        <w:rPr>
          <w:rFonts w:cs="Arial" w:hint="cs"/>
          <w:rtl/>
        </w:rPr>
        <w:t>.</w:t>
      </w:r>
      <w:r w:rsidRPr="00763B86">
        <w:rPr>
          <w:rFonts w:cs="Arial"/>
          <w:rtl/>
        </w:rPr>
        <w:t xml:space="preserve"> ואם אמר א</w:t>
      </w:r>
      <w:r>
        <w:rPr>
          <w:rFonts w:cs="Arial" w:hint="cs"/>
          <w:rtl/>
        </w:rPr>
        <w:t>יני יודע</w:t>
      </w:r>
      <w:r w:rsidRPr="00763B86">
        <w:rPr>
          <w:rFonts w:cs="Arial"/>
          <w:rtl/>
        </w:rPr>
        <w:t xml:space="preserve"> ומקבל</w:t>
      </w:r>
      <w:r>
        <w:rPr>
          <w:rFonts w:cs="Arial" w:hint="cs"/>
          <w:rtl/>
        </w:rPr>
        <w:t xml:space="preserve"> </w:t>
      </w:r>
      <w:r w:rsidRPr="00763B86">
        <w:rPr>
          <w:rFonts w:cs="Arial"/>
          <w:rtl/>
        </w:rPr>
        <w:t>בחרם אז אין מוציאין ממנו מחמת פלוגתת הפוסקים</w:t>
      </w:r>
      <w:r>
        <w:rPr>
          <w:rFonts w:cs="Arial" w:hint="cs"/>
          <w:rtl/>
        </w:rPr>
        <w:t>,</w:t>
      </w:r>
      <w:r w:rsidRPr="00763B86">
        <w:rPr>
          <w:rFonts w:cs="Arial"/>
          <w:rtl/>
        </w:rPr>
        <w:t xml:space="preserve"> ואם תפס הבעל אין מוציאין ממנו וא"צ להחזיר דמים כמ"ש</w:t>
      </w:r>
      <w:r>
        <w:rPr>
          <w:rFonts w:cs="Arial" w:hint="cs"/>
          <w:rtl/>
        </w:rPr>
        <w:t>,</w:t>
      </w:r>
      <w:r w:rsidRPr="00763B86">
        <w:rPr>
          <w:rFonts w:cs="Arial"/>
          <w:rtl/>
        </w:rPr>
        <w:t xml:space="preserve"> וח"מ לא כ"כ</w:t>
      </w:r>
      <w:r>
        <w:rPr>
          <w:rFonts w:cs="Arial" w:hint="cs"/>
          <w:rtl/>
        </w:rPr>
        <w:t>.</w:t>
      </w:r>
      <w:r w:rsidRPr="00763B86">
        <w:rPr>
          <w:rFonts w:cs="Arial"/>
          <w:rtl/>
        </w:rPr>
        <w:t xml:space="preserve"> </w:t>
      </w:r>
      <w:r>
        <w:rPr>
          <w:rFonts w:cs="Arial" w:hint="cs"/>
          <w:rtl/>
        </w:rPr>
        <w:t xml:space="preserve">{ב} </w:t>
      </w:r>
      <w:r w:rsidRPr="00763B86">
        <w:rPr>
          <w:rFonts w:cs="Arial"/>
          <w:rtl/>
        </w:rPr>
        <w:t>ואם היא נושאת בבית ואין דרכה למכור</w:t>
      </w:r>
      <w:r>
        <w:rPr>
          <w:rFonts w:cs="Arial" w:hint="cs"/>
          <w:rtl/>
        </w:rPr>
        <w:t>,</w:t>
      </w:r>
      <w:r w:rsidRPr="00763B86">
        <w:rPr>
          <w:rFonts w:cs="Arial"/>
          <w:rtl/>
        </w:rPr>
        <w:t xml:space="preserve"> אז לכ"ע בחזקת שלו הוא וצריך להחזיר בלא דמים</w:t>
      </w:r>
      <w:r>
        <w:rPr>
          <w:rFonts w:cs="Arial" w:hint="cs"/>
          <w:rtl/>
        </w:rPr>
        <w:t>.</w:t>
      </w:r>
      <w:r w:rsidRPr="00763B86">
        <w:rPr>
          <w:rFonts w:cs="Arial"/>
          <w:rtl/>
        </w:rPr>
        <w:t xml:space="preserve"> </w:t>
      </w:r>
      <w:r>
        <w:rPr>
          <w:rFonts w:cs="Arial" w:hint="cs"/>
          <w:rtl/>
        </w:rPr>
        <w:t xml:space="preserve">{ג} </w:t>
      </w:r>
      <w:r w:rsidRPr="00763B86">
        <w:rPr>
          <w:rFonts w:cs="Arial"/>
          <w:rtl/>
        </w:rPr>
        <w:t>ואם דרכה למכור אפילו אם בודאי משל בעל הוא המכר קיים</w:t>
      </w:r>
      <w:r>
        <w:rPr>
          <w:rFonts w:cs="Arial" w:hint="cs"/>
          <w:rtl/>
        </w:rPr>
        <w:t>.</w:t>
      </w:r>
      <w:r w:rsidRPr="00763B86">
        <w:rPr>
          <w:rFonts w:cs="Arial"/>
          <w:rtl/>
        </w:rPr>
        <w:t xml:space="preserve"> וכתב ב"ה ה"ה שני שותפים בסחורה אחת ומכר א' סחורה בלי ידיעת חבירו אין צריך הלוקח להחזיר הסחורה הואיל הוא דרכו למכור רק זה השותף חייב לשלם לחבירו מה שהפסיד לו בממכרו קודם הזמן כמ"ש בח"ה סימן קע"ו</w:t>
      </w:r>
      <w:r>
        <w:rPr>
          <w:rFonts w:hint="cs"/>
          <w:rtl/>
        </w:rPr>
        <w:t>, ב"ש (סקי"ט).</w:t>
      </w:r>
    </w:p>
  </w:footnote>
  <w:footnote w:id="1083">
    <w:p w14:paraId="3F1274C0" w14:textId="193263FF" w:rsidR="000D583A" w:rsidRDefault="000D583A">
      <w:pPr>
        <w:pStyle w:val="a5"/>
        <w:rPr>
          <w:rtl/>
        </w:rPr>
      </w:pPr>
      <w:r>
        <w:rPr>
          <w:rStyle w:val="a7"/>
        </w:rPr>
        <w:footnoteRef/>
      </w:r>
      <w:r>
        <w:rPr>
          <w:rtl/>
        </w:rPr>
        <w:t xml:space="preserve"> </w:t>
      </w:r>
      <w:r>
        <w:rPr>
          <w:rFonts w:hint="cs"/>
          <w:rtl/>
        </w:rPr>
        <w:t>סימן - מחזיק בנכסי.</w:t>
      </w:r>
    </w:p>
  </w:footnote>
  <w:footnote w:id="1084">
    <w:p w14:paraId="3FD904AB" w14:textId="3D32E9CE" w:rsidR="00DE2F5F" w:rsidRDefault="00DE2F5F">
      <w:pPr>
        <w:pStyle w:val="a5"/>
        <w:rPr>
          <w:rtl/>
        </w:rPr>
      </w:pPr>
      <w:r>
        <w:rPr>
          <w:rStyle w:val="a7"/>
        </w:rPr>
        <w:footnoteRef/>
      </w:r>
      <w:r>
        <w:rPr>
          <w:rtl/>
        </w:rPr>
        <w:t xml:space="preserve"> </w:t>
      </w:r>
      <w:r w:rsidRPr="00B42B97">
        <w:rPr>
          <w:rFonts w:cs="Arial"/>
          <w:rtl/>
        </w:rPr>
        <w:t>שאם החזיק בנכסי מלוג של אשתו שנפלו לה מבית אביה בירושה ג' שנים אינה חזקה לומר מאשתי לקחתיה ואבדתי שטרי</w:t>
      </w:r>
      <w:r w:rsidR="000D583A">
        <w:rPr>
          <w:rFonts w:cs="Arial" w:hint="cs"/>
          <w:rtl/>
        </w:rPr>
        <w:t>,</w:t>
      </w:r>
      <w:r w:rsidRPr="00B42B97">
        <w:rPr>
          <w:rFonts w:cs="Arial"/>
          <w:rtl/>
        </w:rPr>
        <w:t xml:space="preserve"> דאין דרך אשה למחות על בעלה כשמחזיק בנכסיה ואוכל את הפירות מאחר שזן אותה</w:t>
      </w:r>
      <w:r>
        <w:rPr>
          <w:rFonts w:cs="Arial" w:hint="cs"/>
          <w:rtl/>
        </w:rPr>
        <w:t>, רשב"ם.</w:t>
      </w:r>
    </w:p>
  </w:footnote>
  <w:footnote w:id="1085">
    <w:p w14:paraId="0417C5C5" w14:textId="57B91127" w:rsidR="00DE2F5F" w:rsidRDefault="00DE2F5F" w:rsidP="00B42B97">
      <w:pPr>
        <w:pStyle w:val="a5"/>
        <w:rPr>
          <w:rtl/>
        </w:rPr>
      </w:pPr>
      <w:r>
        <w:rPr>
          <w:rStyle w:val="a7"/>
        </w:rPr>
        <w:footnoteRef/>
      </w:r>
      <w:r>
        <w:rPr>
          <w:rtl/>
        </w:rPr>
        <w:t xml:space="preserve"> </w:t>
      </w:r>
      <w:r w:rsidRPr="00B42B97">
        <w:rPr>
          <w:rFonts w:cs="Arial"/>
          <w:rtl/>
        </w:rPr>
        <w:t>דאין יכול לטעון לקוח הוא בידי</w:t>
      </w:r>
      <w:r>
        <w:rPr>
          <w:rFonts w:cs="Arial" w:hint="cs"/>
          <w:rtl/>
        </w:rPr>
        <w:t>, רשב"ם.</w:t>
      </w:r>
    </w:p>
  </w:footnote>
  <w:footnote w:id="1086">
    <w:p w14:paraId="62FDB688" w14:textId="1F63EE48" w:rsidR="00DE2F5F" w:rsidRDefault="00DE2F5F" w:rsidP="00B42B97">
      <w:pPr>
        <w:pStyle w:val="a5"/>
        <w:rPr>
          <w:rtl/>
        </w:rPr>
      </w:pPr>
      <w:r>
        <w:rPr>
          <w:rStyle w:val="a7"/>
        </w:rPr>
        <w:footnoteRef/>
      </w:r>
      <w:r>
        <w:rPr>
          <w:rtl/>
        </w:rPr>
        <w:t xml:space="preserve"> </w:t>
      </w:r>
      <w:r w:rsidRPr="00B42B97">
        <w:rPr>
          <w:rFonts w:cs="Arial"/>
          <w:rtl/>
        </w:rPr>
        <w:t>בתקנת חכמים שתקנו פירות של נכסי אשה לבעל תחת פרקונה אותן פירי הוא דקאכיל ואין לו בגוף הקרקע כלום ואין צריכה למחות שהכל יודעין שבתורת פירות ירד לקרקע זו ולא דמי למשכנתא דסורא דאמרן דצריך למחות בסוף כל ג' דהתם היינו טעמא שמא לסוף זמן מרובה לא יהו עדים זכורים שבתורת משכון באה לידו ויכול לטעון לקוח הוא בידי אבל נכסי אשה לבעלה כל העולם יודעין שפירות יש לו בקרקע אשתו ולא תהיה לו חזקה בחייה</w:t>
      </w:r>
      <w:r>
        <w:rPr>
          <w:rFonts w:cs="Arial" w:hint="cs"/>
          <w:rtl/>
        </w:rPr>
        <w:t>, רשב"ם.</w:t>
      </w:r>
    </w:p>
  </w:footnote>
  <w:footnote w:id="1087">
    <w:p w14:paraId="5CF2237A" w14:textId="31D3A4BF" w:rsidR="00DE2F5F" w:rsidRDefault="00DE2F5F" w:rsidP="00B42B97">
      <w:pPr>
        <w:pStyle w:val="a5"/>
        <w:rPr>
          <w:rtl/>
        </w:rPr>
      </w:pPr>
      <w:r>
        <w:rPr>
          <w:rStyle w:val="a7"/>
        </w:rPr>
        <w:footnoteRef/>
      </w:r>
      <w:r>
        <w:rPr>
          <w:rtl/>
        </w:rPr>
        <w:t xml:space="preserve"> </w:t>
      </w:r>
      <w:r w:rsidRPr="00B42B97">
        <w:rPr>
          <w:rFonts w:cs="Arial"/>
          <w:rtl/>
        </w:rPr>
        <w:t>כלומר לא יהא לי</w:t>
      </w:r>
      <w:r>
        <w:rPr>
          <w:rFonts w:cs="Arial" w:hint="cs"/>
          <w:rtl/>
        </w:rPr>
        <w:t>,</w:t>
      </w:r>
      <w:r w:rsidRPr="00B42B97">
        <w:rPr>
          <w:rFonts w:cs="Arial"/>
          <w:rtl/>
        </w:rPr>
        <w:t xml:space="preserve"> ואפילו הכי אין לאיש חזקה</w:t>
      </w:r>
      <w:r>
        <w:rPr>
          <w:rFonts w:cs="Arial" w:hint="cs"/>
          <w:rtl/>
        </w:rPr>
        <w:t>,</w:t>
      </w:r>
      <w:r w:rsidRPr="00B42B97">
        <w:rPr>
          <w:rFonts w:cs="Arial"/>
          <w:rtl/>
        </w:rPr>
        <w:t xml:space="preserve"> דאין אשתו מקפדת אם יאכל הפירות שלא כדין</w:t>
      </w:r>
      <w:r>
        <w:rPr>
          <w:rFonts w:cs="Arial" w:hint="cs"/>
          <w:rtl/>
        </w:rPr>
        <w:t>, רשב"ם.</w:t>
      </w:r>
    </w:p>
  </w:footnote>
  <w:footnote w:id="1088">
    <w:p w14:paraId="20E4F19C" w14:textId="35845C3F" w:rsidR="00DE2F5F" w:rsidRDefault="00DE2F5F" w:rsidP="00B42B97">
      <w:pPr>
        <w:pStyle w:val="a5"/>
        <w:rPr>
          <w:rtl/>
        </w:rPr>
      </w:pPr>
      <w:r>
        <w:rPr>
          <w:rStyle w:val="a7"/>
        </w:rPr>
        <w:footnoteRef/>
      </w:r>
      <w:r>
        <w:rPr>
          <w:rtl/>
        </w:rPr>
        <w:t xml:space="preserve"> </w:t>
      </w:r>
      <w:r w:rsidRPr="00B42B97">
        <w:rPr>
          <w:rFonts w:cs="Arial"/>
          <w:rtl/>
        </w:rPr>
        <w:t>דאין זה לשון מתנה כשאמר לא יהא לי חלק בשלי דעל כרחו הרי הוא שלו עד שיאמר לחבירו שדי נתונה לך שדי מכורה לך שדי מופקרת לכל מי שירצה</w:t>
      </w:r>
      <w:r>
        <w:rPr>
          <w:rFonts w:cs="Arial" w:hint="cs"/>
          <w:rtl/>
        </w:rPr>
        <w:t>, רשב"ם.</w:t>
      </w:r>
    </w:p>
  </w:footnote>
  <w:footnote w:id="1089">
    <w:p w14:paraId="0BAC767E" w14:textId="56E54B3E" w:rsidR="00DE2F5F" w:rsidRDefault="00DE2F5F" w:rsidP="00B42B97">
      <w:pPr>
        <w:pStyle w:val="a5"/>
        <w:rPr>
          <w:rtl/>
        </w:rPr>
      </w:pPr>
      <w:r>
        <w:rPr>
          <w:rStyle w:val="a7"/>
        </w:rPr>
        <w:footnoteRef/>
      </w:r>
      <w:r>
        <w:rPr>
          <w:rtl/>
        </w:rPr>
        <w:t xml:space="preserve"> </w:t>
      </w:r>
      <w:r w:rsidRPr="00B42B97">
        <w:rPr>
          <w:rFonts w:cs="Arial"/>
          <w:rtl/>
        </w:rPr>
        <w:t>דין ודברים אין לי בנכסייך</w:t>
      </w:r>
      <w:r>
        <w:rPr>
          <w:rFonts w:cs="Arial" w:hint="cs"/>
          <w:rtl/>
        </w:rPr>
        <w:t>, רשב"ם.</w:t>
      </w:r>
    </w:p>
  </w:footnote>
  <w:footnote w:id="1090">
    <w:p w14:paraId="0FD0EE54" w14:textId="1CDC9FA5" w:rsidR="00DE2F5F" w:rsidRDefault="00DE2F5F" w:rsidP="00B42B97">
      <w:pPr>
        <w:pStyle w:val="a5"/>
        <w:rPr>
          <w:rtl/>
        </w:rPr>
      </w:pPr>
      <w:r>
        <w:rPr>
          <w:rStyle w:val="a7"/>
        </w:rPr>
        <w:footnoteRef/>
      </w:r>
      <w:r>
        <w:rPr>
          <w:rtl/>
        </w:rPr>
        <w:t xml:space="preserve"> </w:t>
      </w:r>
      <w:r w:rsidRPr="00B42B97">
        <w:rPr>
          <w:rFonts w:cs="Arial"/>
          <w:rtl/>
        </w:rPr>
        <w:t>דהיינו קודם שיזכה בנכסי אשתו דאינו זוכה בפירות עד שעת נשואין וכדמסיק ואזיל דבירושות הבאות לאדם בתקנת חכמים יכול לעקרן אם מתנה עליה קודם הזמן בעוד שלא באו לידו ואומר לא יהא לי חלק באותו ממון העתיד לבא לי בתקנת חכמים דאין מזכין לו לאדם בעל כרחו</w:t>
      </w:r>
      <w:r>
        <w:rPr>
          <w:rFonts w:cs="Arial" w:hint="cs"/>
          <w:rtl/>
        </w:rPr>
        <w:t>, רשב"ם.</w:t>
      </w:r>
    </w:p>
  </w:footnote>
  <w:footnote w:id="1091">
    <w:p w14:paraId="2CC31A02" w14:textId="6C1FD934" w:rsidR="00DE2F5F" w:rsidRDefault="00DE2F5F" w:rsidP="00B42B97">
      <w:pPr>
        <w:pStyle w:val="a5"/>
        <w:rPr>
          <w:rtl/>
        </w:rPr>
      </w:pPr>
      <w:r>
        <w:rPr>
          <w:rStyle w:val="a7"/>
        </w:rPr>
        <w:footnoteRef/>
      </w:r>
      <w:r>
        <w:rPr>
          <w:rtl/>
        </w:rPr>
        <w:t xml:space="preserve"> </w:t>
      </w:r>
      <w:r w:rsidRPr="00B42B97">
        <w:rPr>
          <w:rFonts w:cs="Arial"/>
          <w:rtl/>
        </w:rPr>
        <w:t>העתידה לבא לו כגון נחלה דרבנן כדמפרש לקמן אדם יכול להתנות עליה קודם שתבא שלא יירשנה כגון דקאמר דין ודברים אין לי על אותה נחלה העתידה לבא לי כלומר לא יהא לי דין ודברים</w:t>
      </w:r>
      <w:r>
        <w:rPr>
          <w:rFonts w:cs="Arial" w:hint="cs"/>
          <w:rtl/>
        </w:rPr>
        <w:t>, רשב"ם.</w:t>
      </w:r>
    </w:p>
  </w:footnote>
  <w:footnote w:id="1092">
    <w:p w14:paraId="28681252" w14:textId="6BF68A2D" w:rsidR="00DE2F5F" w:rsidRDefault="00DE2F5F" w:rsidP="00B42B97">
      <w:pPr>
        <w:pStyle w:val="a5"/>
        <w:rPr>
          <w:rtl/>
        </w:rPr>
      </w:pPr>
      <w:r>
        <w:rPr>
          <w:rStyle w:val="a7"/>
        </w:rPr>
        <w:footnoteRef/>
      </w:r>
      <w:r>
        <w:rPr>
          <w:rtl/>
        </w:rPr>
        <w:t xml:space="preserve"> </w:t>
      </w:r>
      <w:r w:rsidRPr="00B42B97">
        <w:rPr>
          <w:rFonts w:cs="Arial"/>
          <w:rtl/>
        </w:rPr>
        <w:t>כלומר ובאיזו נחלה מועיל התנאי בנחלה הבאה לו בתקנת חכמים כדרבא אבל בנחלה דאורייתא כגון דין ודברים אין לי בירושת אבי כשימות לא יועיל התנאי דבעל כרחו שלו יהא אא"כ יתננה לאחרים בלשון מתנה</w:t>
      </w:r>
      <w:r>
        <w:rPr>
          <w:rFonts w:cs="Arial" w:hint="cs"/>
          <w:rtl/>
        </w:rPr>
        <w:t>, רשב"ם.</w:t>
      </w:r>
    </w:p>
  </w:footnote>
  <w:footnote w:id="1093">
    <w:p w14:paraId="756DBE17" w14:textId="61253887" w:rsidR="00DE2F5F" w:rsidRDefault="00DE2F5F" w:rsidP="00B42B97">
      <w:pPr>
        <w:pStyle w:val="a5"/>
        <w:rPr>
          <w:rtl/>
        </w:rPr>
      </w:pPr>
      <w:r>
        <w:rPr>
          <w:rStyle w:val="a7"/>
        </w:rPr>
        <w:footnoteRef/>
      </w:r>
      <w:r>
        <w:rPr>
          <w:rtl/>
        </w:rPr>
        <w:t xml:space="preserve"> </w:t>
      </w:r>
      <w:r w:rsidRPr="00B42B97">
        <w:rPr>
          <w:rFonts w:cs="Arial"/>
          <w:rtl/>
        </w:rPr>
        <w:t>שעשו להנאתי</w:t>
      </w:r>
      <w:r>
        <w:rPr>
          <w:rFonts w:cs="Arial" w:hint="cs"/>
          <w:rtl/>
        </w:rPr>
        <w:t>, רשב"ם.</w:t>
      </w:r>
    </w:p>
  </w:footnote>
  <w:footnote w:id="1094">
    <w:p w14:paraId="22A01553" w14:textId="15AB2132" w:rsidR="00DE2F5F" w:rsidRDefault="00DE2F5F">
      <w:pPr>
        <w:pStyle w:val="a5"/>
      </w:pPr>
      <w:r>
        <w:rPr>
          <w:rStyle w:val="a7"/>
        </w:rPr>
        <w:footnoteRef/>
      </w:r>
      <w:r>
        <w:rPr>
          <w:rtl/>
        </w:rPr>
        <w:t xml:space="preserve"> </w:t>
      </w:r>
      <w:r>
        <w:rPr>
          <w:rFonts w:hint="cs"/>
          <w:rtl/>
        </w:rPr>
        <w:t>ו</w:t>
      </w:r>
      <w:r w:rsidRPr="00D26B90">
        <w:rPr>
          <w:rFonts w:cs="Arial"/>
          <w:rtl/>
        </w:rPr>
        <w:t>היינו דאצטריך במתני' למיתני דאין לאיש חזקה בנכסי אשתו לומר לקוח הוא בידי דאע"ג דכתב לה בעודה ארוסה שלא יטול כלום בפירותיה אפי' הכי שתקה ולא מיחתה לבעלה דמצי אמרה נחת רוח עשיתי לבעלי ששתקתי אבל מעולם לא מכרתי לו</w:t>
      </w:r>
      <w:r>
        <w:rPr>
          <w:rFonts w:cs="Arial" w:hint="cs"/>
          <w:rtl/>
        </w:rPr>
        <w:t>, רשב"ם.</w:t>
      </w:r>
    </w:p>
  </w:footnote>
  <w:footnote w:id="1095">
    <w:p w14:paraId="1F77A60F" w14:textId="7BA8CC1B" w:rsidR="00DE2F5F" w:rsidRDefault="00DE2F5F">
      <w:pPr>
        <w:pStyle w:val="a5"/>
      </w:pPr>
      <w:r>
        <w:rPr>
          <w:rStyle w:val="a7"/>
        </w:rPr>
        <w:footnoteRef/>
      </w:r>
      <w:r>
        <w:rPr>
          <w:rtl/>
        </w:rPr>
        <w:t xml:space="preserve"> </w:t>
      </w:r>
      <w:r w:rsidRPr="00D26B90">
        <w:rPr>
          <w:rFonts w:cs="Arial"/>
          <w:rtl/>
        </w:rPr>
        <w:t>דקתני מתני' אין לאיש חזקה שאין חזקה מועלת לו לקיים מקחו אבל ראיית עדים או שטר תועיל לו לקיים מכירתה דאם מכרה לו אשתו נכסי מלוג שלה קנה</w:t>
      </w:r>
      <w:r>
        <w:rPr>
          <w:rFonts w:cs="Arial" w:hint="cs"/>
          <w:rtl/>
        </w:rPr>
        <w:t>, רשב"ם.</w:t>
      </w:r>
    </w:p>
  </w:footnote>
  <w:footnote w:id="1096">
    <w:p w14:paraId="56462607" w14:textId="5BFC5DD6" w:rsidR="00DE2F5F" w:rsidRDefault="00DE2F5F" w:rsidP="00B42B97">
      <w:pPr>
        <w:pStyle w:val="a5"/>
        <w:rPr>
          <w:rtl/>
        </w:rPr>
      </w:pPr>
      <w:r>
        <w:rPr>
          <w:rStyle w:val="a7"/>
        </w:rPr>
        <w:footnoteRef/>
      </w:r>
      <w:r>
        <w:rPr>
          <w:rtl/>
        </w:rPr>
        <w:t xml:space="preserve"> </w:t>
      </w:r>
      <w:r w:rsidRPr="00D26B90">
        <w:rPr>
          <w:rFonts w:cs="Arial"/>
          <w:rtl/>
        </w:rPr>
        <w:t>שמכרתי לו שלא יכעוס עלי אבל לא היה בדעתי להקנותו דלא דמי לתליוהו וזבין דזביניה זביני דאגב אונסי' גמר ומקני אבל הכא דליכא אונס כ"כ לא גמרה ואקנייה</w:t>
      </w:r>
      <w:r>
        <w:rPr>
          <w:rFonts w:cs="Arial" w:hint="cs"/>
          <w:rtl/>
        </w:rPr>
        <w:t>, רשב"ם.</w:t>
      </w:r>
    </w:p>
  </w:footnote>
  <w:footnote w:id="1097">
    <w:p w14:paraId="0D98E0B6" w14:textId="42E46494" w:rsidR="00DE2F5F" w:rsidRDefault="00DE2F5F" w:rsidP="00184FB4">
      <w:pPr>
        <w:pStyle w:val="a5"/>
        <w:rPr>
          <w:rtl/>
        </w:rPr>
      </w:pPr>
      <w:r>
        <w:rPr>
          <w:rStyle w:val="a7"/>
        </w:rPr>
        <w:footnoteRef/>
      </w:r>
      <w:r>
        <w:rPr>
          <w:rtl/>
        </w:rPr>
        <w:t xml:space="preserve"> </w:t>
      </w:r>
      <w:r w:rsidRPr="00184FB4">
        <w:rPr>
          <w:rFonts w:cs="Arial"/>
          <w:rtl/>
        </w:rPr>
        <w:t>דכי הך טענה יכולה אשה לטעון לאחרים שקנו מבעלה וכ"ש שמכרה לבעלה עצמו</w:t>
      </w:r>
      <w:r>
        <w:rPr>
          <w:rFonts w:cs="Arial" w:hint="cs"/>
          <w:rtl/>
        </w:rPr>
        <w:t>, רשב"ם.</w:t>
      </w:r>
    </w:p>
  </w:footnote>
  <w:footnote w:id="1098">
    <w:p w14:paraId="250C5D90" w14:textId="77E90EA9" w:rsidR="00DE2F5F" w:rsidRDefault="00DE2F5F" w:rsidP="00184FB4">
      <w:pPr>
        <w:pStyle w:val="a5"/>
        <w:rPr>
          <w:rtl/>
        </w:rPr>
      </w:pPr>
      <w:r>
        <w:rPr>
          <w:rStyle w:val="a7"/>
        </w:rPr>
        <w:footnoteRef/>
      </w:r>
      <w:r>
        <w:rPr>
          <w:rtl/>
        </w:rPr>
        <w:t xml:space="preserve"> </w:t>
      </w:r>
      <w:r w:rsidRPr="00184FB4">
        <w:rPr>
          <w:rFonts w:cs="Arial"/>
          <w:rtl/>
        </w:rPr>
        <w:t>מן הבעל כל קרקעותיו משועבדים לכתובת אשתו והיום ולמחר אם ימות או יגרשנה תטרוף מלקוחות אם לא תמצא בני חורין שכן כתב לה כל נכסי אחראין וערבאין לכתובתיך במס' כתובות (דף נא)</w:t>
      </w:r>
      <w:r w:rsidRPr="007B7C0D">
        <w:rPr>
          <w:rFonts w:cs="Arial" w:hint="cs"/>
          <w:rtl/>
        </w:rPr>
        <w:t xml:space="preserve"> </w:t>
      </w:r>
      <w:r>
        <w:rPr>
          <w:rFonts w:cs="Arial" w:hint="cs"/>
          <w:rtl/>
        </w:rPr>
        <w:t>, רשב"ם.</w:t>
      </w:r>
    </w:p>
  </w:footnote>
  <w:footnote w:id="1099">
    <w:p w14:paraId="6057F447" w14:textId="1A14311F" w:rsidR="00DE2F5F" w:rsidRDefault="00DE2F5F" w:rsidP="00184FB4">
      <w:pPr>
        <w:pStyle w:val="a5"/>
        <w:rPr>
          <w:rtl/>
        </w:rPr>
      </w:pPr>
      <w:r>
        <w:rPr>
          <w:rStyle w:val="a7"/>
        </w:rPr>
        <w:footnoteRef/>
      </w:r>
      <w:r>
        <w:rPr>
          <w:rtl/>
        </w:rPr>
        <w:t xml:space="preserve"> </w:t>
      </w:r>
      <w:r w:rsidRPr="00184FB4">
        <w:rPr>
          <w:rFonts w:cs="Arial"/>
          <w:rtl/>
        </w:rPr>
        <w:t>זה הלוקח ולקח מן האשה נתן לה דבר מועט והקנתו לו כדי שלא תטרוף ממנו חוב כתובתה</w:t>
      </w:r>
      <w:r>
        <w:rPr>
          <w:rFonts w:cs="Arial" w:hint="cs"/>
          <w:rtl/>
        </w:rPr>
        <w:t>, רשב"ם.</w:t>
      </w:r>
    </w:p>
  </w:footnote>
  <w:footnote w:id="1100">
    <w:p w14:paraId="2BBAFAFB" w14:textId="2D9DCED3" w:rsidR="00DE2F5F" w:rsidRDefault="00DE2F5F" w:rsidP="00184FB4">
      <w:pPr>
        <w:pStyle w:val="a5"/>
        <w:rPr>
          <w:rtl/>
        </w:rPr>
      </w:pPr>
      <w:r>
        <w:rPr>
          <w:rStyle w:val="a7"/>
        </w:rPr>
        <w:footnoteRef/>
      </w:r>
      <w:r>
        <w:rPr>
          <w:rtl/>
        </w:rPr>
        <w:t xml:space="preserve"> </w:t>
      </w:r>
      <w:r w:rsidRPr="00184FB4">
        <w:rPr>
          <w:rFonts w:cs="Arial"/>
          <w:rtl/>
        </w:rPr>
        <w:t>האי מקחו בטל אחזר ולקח מן האשה קאי דהוי בטל לגמרי ההוא מקח וכשתבא לגבות כתובתה תטרוף ממנו דמצי אמרה נחת רוח עשיתי לבעלי למכור לך קרקע המשועבד לי ולא גמרתי בלבי להקנות לך</w:t>
      </w:r>
      <w:r>
        <w:rPr>
          <w:rFonts w:cs="Arial" w:hint="cs"/>
          <w:rtl/>
        </w:rPr>
        <w:t>, רשב"ם.</w:t>
      </w:r>
    </w:p>
  </w:footnote>
  <w:footnote w:id="1101">
    <w:p w14:paraId="14AA22DC" w14:textId="6B2CB80E" w:rsidR="00DE2F5F" w:rsidRDefault="00DE2F5F" w:rsidP="00184FB4">
      <w:pPr>
        <w:pStyle w:val="a5"/>
        <w:rPr>
          <w:rtl/>
        </w:rPr>
      </w:pPr>
      <w:r>
        <w:rPr>
          <w:rStyle w:val="a7"/>
        </w:rPr>
        <w:footnoteRef/>
      </w:r>
      <w:r>
        <w:rPr>
          <w:rtl/>
        </w:rPr>
        <w:t xml:space="preserve"> </w:t>
      </w:r>
      <w:r w:rsidRPr="00184FB4">
        <w:rPr>
          <w:rFonts w:cs="Arial"/>
          <w:rtl/>
        </w:rPr>
        <w:t>דההיא דחזר ולקח מן האשה אמר רבה בר רב הונא לא נצרכה למיתני מקחו בטל היכא דחזר ולקח מן האשה אלא באותן ג' שדות המשועבדות לה יותר משאר נכסים ודעתה סמכא עילווייהו טפי דהוי מקחן בטל דודאי לא גמרה ואקניי' אלא נחת רוח עשתה לבעלה ולקמיה מפרש למעוטי מאי דלא ליהוי מקח בטל</w:t>
      </w:r>
      <w:r>
        <w:rPr>
          <w:rFonts w:cs="Arial" w:hint="cs"/>
          <w:rtl/>
        </w:rPr>
        <w:t>, רשב"ם.</w:t>
      </w:r>
    </w:p>
  </w:footnote>
  <w:footnote w:id="1102">
    <w:p w14:paraId="5CA977AB" w14:textId="720CABEE" w:rsidR="00DE2F5F" w:rsidRDefault="00DE2F5F">
      <w:pPr>
        <w:pStyle w:val="a5"/>
      </w:pPr>
      <w:r>
        <w:rPr>
          <w:rStyle w:val="a7"/>
        </w:rPr>
        <w:footnoteRef/>
      </w:r>
      <w:r>
        <w:rPr>
          <w:rtl/>
        </w:rPr>
        <w:t xml:space="preserve"> </w:t>
      </w:r>
      <w:r w:rsidRPr="007B7C0D">
        <w:rPr>
          <w:rFonts w:cs="Arial"/>
          <w:rtl/>
        </w:rPr>
        <w:t>הוא מכר את הפירות והיא מכרה את הגוף</w:t>
      </w:r>
      <w:r>
        <w:rPr>
          <w:rFonts w:cs="Arial" w:hint="cs"/>
          <w:rtl/>
        </w:rPr>
        <w:t>, רשב"ם.</w:t>
      </w:r>
    </w:p>
  </w:footnote>
  <w:footnote w:id="1103">
    <w:p w14:paraId="7350D9A1" w14:textId="56CAFE80" w:rsidR="00DE2F5F" w:rsidRDefault="00DE2F5F">
      <w:pPr>
        <w:pStyle w:val="a5"/>
      </w:pPr>
      <w:r>
        <w:rPr>
          <w:rStyle w:val="a7"/>
        </w:rPr>
        <w:footnoteRef/>
      </w:r>
      <w:r>
        <w:rPr>
          <w:rtl/>
        </w:rPr>
        <w:t xml:space="preserve"> </w:t>
      </w:r>
      <w:r w:rsidRPr="007B7C0D">
        <w:rPr>
          <w:rFonts w:cs="Arial"/>
          <w:rtl/>
        </w:rPr>
        <w:t>ולא מצית אמרה נחת רוח עשיתי לבעלי דבשלה לא עבדה נחת רוח דלא קפיד עליה בעל והלכך שפיר קדייקא מתני' הא ראיה יש שאם יש לו שטר או עדים שמכרה לו אשתו נכסי מלוג שלה הוי המקח קיים</w:t>
      </w:r>
      <w:r>
        <w:rPr>
          <w:rFonts w:cs="Arial" w:hint="cs"/>
          <w:rtl/>
        </w:rPr>
        <w:t>, רשב"ם.</w:t>
      </w:r>
    </w:p>
  </w:footnote>
  <w:footnote w:id="1104">
    <w:p w14:paraId="1D832BCC" w14:textId="78F533EF" w:rsidR="00DE2F5F" w:rsidRDefault="00DE2F5F">
      <w:pPr>
        <w:pStyle w:val="a5"/>
      </w:pPr>
      <w:r>
        <w:rPr>
          <w:rStyle w:val="a7"/>
        </w:rPr>
        <w:footnoteRef/>
      </w:r>
      <w:r>
        <w:rPr>
          <w:rtl/>
        </w:rPr>
        <w:t xml:space="preserve"> </w:t>
      </w:r>
      <w:r w:rsidRPr="00AE16D0">
        <w:rPr>
          <w:rFonts w:cs="Arial"/>
          <w:rtl/>
        </w:rPr>
        <w:t>וכ"כ בחושן המשפט סימן קמ"ט (סעי' יא) וכתב שם דיש חולקין ועיין שם</w:t>
      </w:r>
      <w:r>
        <w:rPr>
          <w:rFonts w:cs="Arial" w:hint="cs"/>
          <w:rtl/>
        </w:rPr>
        <w:t>, דרכ"מ (אות א).</w:t>
      </w:r>
    </w:p>
  </w:footnote>
  <w:footnote w:id="1105">
    <w:p w14:paraId="38FDD683" w14:textId="1BBE88DC" w:rsidR="00DE2F5F" w:rsidRDefault="00DE2F5F">
      <w:pPr>
        <w:pStyle w:val="a5"/>
      </w:pPr>
      <w:r>
        <w:rPr>
          <w:rStyle w:val="a7"/>
        </w:rPr>
        <w:footnoteRef/>
      </w:r>
      <w:r>
        <w:rPr>
          <w:rtl/>
        </w:rPr>
        <w:t xml:space="preserve"> </w:t>
      </w:r>
      <w:r w:rsidRPr="00B731B9">
        <w:rPr>
          <w:rFonts w:cs="Arial"/>
          <w:rtl/>
        </w:rPr>
        <w:t>אפ"ה אין דרך אשה לדקדק עם בעלה אם אוכל פירותיה</w:t>
      </w:r>
      <w:r>
        <w:rPr>
          <w:rFonts w:cs="Arial" w:hint="cs"/>
          <w:rtl/>
        </w:rPr>
        <w:t>.</w:t>
      </w:r>
      <w:r w:rsidRPr="00B731B9">
        <w:rPr>
          <w:rFonts w:cs="Arial"/>
          <w:rtl/>
        </w:rPr>
        <w:t xml:space="preserve"> והרמב"ם בפי"ג מטוען כתב</w:t>
      </w:r>
      <w:r>
        <w:rPr>
          <w:rFonts w:cs="Arial" w:hint="cs"/>
          <w:rtl/>
        </w:rPr>
        <w:t>-</w:t>
      </w:r>
      <w:r w:rsidRPr="00B731B9">
        <w:rPr>
          <w:rFonts w:cs="Arial"/>
          <w:rtl/>
        </w:rPr>
        <w:t xml:space="preserve"> ואפי' התנה עמה כשהיא ארוסה שלא ירשנה ואח"כ אכל ובנה והרס</w:t>
      </w:r>
      <w:r>
        <w:rPr>
          <w:rFonts w:cs="Arial" w:hint="cs"/>
          <w:rtl/>
        </w:rPr>
        <w:t>,</w:t>
      </w:r>
      <w:r w:rsidRPr="00B731B9">
        <w:rPr>
          <w:rFonts w:cs="Arial"/>
          <w:rtl/>
        </w:rPr>
        <w:t xml:space="preserve"> וכך העתיק לשונו בש"ע בח"מ סי' קמ"ט ושם נתבאר דיש חולקין בחפירת בורות שקלקל גוף הקרקע</w:t>
      </w:r>
      <w:r>
        <w:rPr>
          <w:rFonts w:cs="Arial" w:hint="cs"/>
          <w:rtl/>
        </w:rPr>
        <w:t>.</w:t>
      </w:r>
      <w:r w:rsidRPr="00B731B9">
        <w:rPr>
          <w:rFonts w:cs="Arial"/>
          <w:rtl/>
        </w:rPr>
        <w:t xml:space="preserve"> ודין התנאי והסילוק מן הפירות והירושה בדיבור או בקנין באירוסין או לאחר שנשאת יתבאר לקמן בסי' צ"ב</w:t>
      </w:r>
      <w:r>
        <w:rPr>
          <w:rFonts w:cs="Arial" w:hint="cs"/>
          <w:rtl/>
        </w:rPr>
        <w:t>, ח"מ (סק"א).</w:t>
      </w:r>
    </w:p>
  </w:footnote>
  <w:footnote w:id="1106">
    <w:p w14:paraId="01B52ADB" w14:textId="23A30ED7" w:rsidR="00DE2F5F" w:rsidRDefault="00DE2F5F">
      <w:pPr>
        <w:pStyle w:val="a5"/>
      </w:pPr>
      <w:r>
        <w:rPr>
          <w:rStyle w:val="a7"/>
        </w:rPr>
        <w:footnoteRef/>
      </w:r>
      <w:r>
        <w:rPr>
          <w:rtl/>
        </w:rPr>
        <w:t xml:space="preserve"> </w:t>
      </w:r>
      <w:r w:rsidRPr="00C74A68">
        <w:rPr>
          <w:rFonts w:cs="Arial"/>
          <w:rtl/>
        </w:rPr>
        <w:t>אע</w:t>
      </w:r>
      <w:r>
        <w:rPr>
          <w:rFonts w:cs="Arial" w:hint="cs"/>
          <w:rtl/>
        </w:rPr>
        <w:t>"</w:t>
      </w:r>
      <w:r w:rsidRPr="00C74A68">
        <w:rPr>
          <w:rFonts w:cs="Arial"/>
          <w:rtl/>
        </w:rPr>
        <w:t>פ שנשתמשה כחפצה כמה שנים</w:t>
      </w:r>
      <w:r>
        <w:rPr>
          <w:rFonts w:cs="Arial" w:hint="cs"/>
          <w:rtl/>
        </w:rPr>
        <w:t>,</w:t>
      </w:r>
      <w:r w:rsidRPr="00C74A68">
        <w:rPr>
          <w:rFonts w:cs="Arial"/>
          <w:rtl/>
        </w:rPr>
        <w:t xml:space="preserve"> ואע</w:t>
      </w:r>
      <w:r>
        <w:rPr>
          <w:rFonts w:cs="Arial" w:hint="cs"/>
          <w:rtl/>
        </w:rPr>
        <w:t>"</w:t>
      </w:r>
      <w:r w:rsidRPr="00C74A68">
        <w:rPr>
          <w:rFonts w:cs="Arial"/>
          <w:rtl/>
        </w:rPr>
        <w:t>פ שיחד לה שדה במזונותיה ואכלה שדות אחרות לשון הרמב"ם בפ' הנ"ל</w:t>
      </w:r>
      <w:r>
        <w:rPr>
          <w:rFonts w:cs="Arial" w:hint="cs"/>
          <w:rtl/>
        </w:rPr>
        <w:t>,</w:t>
      </w:r>
      <w:r w:rsidRPr="00C74A68">
        <w:rPr>
          <w:rFonts w:cs="Arial"/>
          <w:rtl/>
        </w:rPr>
        <w:t xml:space="preserve"> והועתק לשונו בח"מ בש"ע סי' הנ"ל</w:t>
      </w:r>
      <w:r>
        <w:rPr>
          <w:rFonts w:cs="Arial" w:hint="cs"/>
          <w:rtl/>
        </w:rPr>
        <w:t xml:space="preserve"> (קמט ס"ט), ח"מ (סק"ב).</w:t>
      </w:r>
    </w:p>
  </w:footnote>
  <w:footnote w:id="1107">
    <w:p w14:paraId="77DFD2B0" w14:textId="69E3B42A" w:rsidR="00DE2F5F" w:rsidRDefault="00DE2F5F">
      <w:pPr>
        <w:pStyle w:val="a5"/>
      </w:pPr>
      <w:r>
        <w:rPr>
          <w:rStyle w:val="a7"/>
        </w:rPr>
        <w:footnoteRef/>
      </w:r>
      <w:r>
        <w:rPr>
          <w:rtl/>
        </w:rPr>
        <w:t xml:space="preserve"> </w:t>
      </w:r>
      <w:r w:rsidRPr="00444D9B">
        <w:rPr>
          <w:rFonts w:cs="Arial"/>
          <w:rtl/>
        </w:rPr>
        <w:t>אא"כ נתגרשה אפילו ספק גירושין כמ"ש בח"ה סי' קמ"ט</w:t>
      </w:r>
      <w:r>
        <w:rPr>
          <w:rFonts w:cs="Arial" w:hint="cs"/>
          <w:rtl/>
        </w:rPr>
        <w:t>, ב"ש (סק"ב).</w:t>
      </w:r>
    </w:p>
  </w:footnote>
  <w:footnote w:id="1108">
    <w:p w14:paraId="4E8A4DBA" w14:textId="5C5491ED" w:rsidR="00DE2F5F" w:rsidRDefault="00DE2F5F">
      <w:pPr>
        <w:pStyle w:val="a5"/>
        <w:rPr>
          <w:rtl/>
        </w:rPr>
      </w:pPr>
      <w:r>
        <w:rPr>
          <w:rStyle w:val="a7"/>
        </w:rPr>
        <w:footnoteRef/>
      </w:r>
      <w:r>
        <w:rPr>
          <w:rtl/>
        </w:rPr>
        <w:t xml:space="preserve"> </w:t>
      </w:r>
      <w:r w:rsidRPr="00C74A68">
        <w:rPr>
          <w:rFonts w:cs="Arial"/>
          <w:rtl/>
        </w:rPr>
        <w:t>בח"מ סי' קמ"ט כתב הרב דין זה בשם י"א משום שאינו מוסכם</w:t>
      </w:r>
      <w:r>
        <w:rPr>
          <w:rFonts w:cs="Arial" w:hint="cs"/>
          <w:rtl/>
        </w:rPr>
        <w:t>,</w:t>
      </w:r>
      <w:r w:rsidRPr="00C74A68">
        <w:rPr>
          <w:rFonts w:cs="Arial"/>
          <w:rtl/>
        </w:rPr>
        <w:t xml:space="preserve"> דהא לדעת הרמב"ם אפי' חפר וקלקל הקרקע אין לאיש חזקה</w:t>
      </w:r>
      <w:r>
        <w:rPr>
          <w:rFonts w:cs="Arial" w:hint="cs"/>
          <w:rtl/>
        </w:rPr>
        <w:t>,</w:t>
      </w:r>
      <w:r w:rsidRPr="00C74A68">
        <w:rPr>
          <w:rFonts w:cs="Arial"/>
          <w:rtl/>
        </w:rPr>
        <w:t xml:space="preserve"> מכ"ש פתיחת החלונות פשיט' דיכולה האשה לומר לא מחלתי תשמיש זה לדורות רק עם בעלי לא דקדקתי לפי שעה</w:t>
      </w:r>
      <w:r>
        <w:rPr>
          <w:rFonts w:cs="Arial" w:hint="cs"/>
          <w:rtl/>
        </w:rPr>
        <w:t>,</w:t>
      </w:r>
      <w:r w:rsidRPr="00C74A68">
        <w:rPr>
          <w:rFonts w:cs="Arial"/>
          <w:rtl/>
        </w:rPr>
        <w:t xml:space="preserve"> וכ"כ הריטב"א בהדיא הביאו הב"י סי' קמ"ט</w:t>
      </w:r>
      <w:r>
        <w:rPr>
          <w:rFonts w:hint="cs"/>
          <w:rtl/>
        </w:rPr>
        <w:t>, ח"מ (סק"ג).</w:t>
      </w:r>
    </w:p>
  </w:footnote>
  <w:footnote w:id="1109">
    <w:p w14:paraId="79D70E41" w14:textId="4B0AB252" w:rsidR="00CF76ED" w:rsidRDefault="00CF76ED">
      <w:pPr>
        <w:pStyle w:val="a5"/>
      </w:pPr>
      <w:r>
        <w:rPr>
          <w:rStyle w:val="a7"/>
        </w:rPr>
        <w:footnoteRef/>
      </w:r>
      <w:r>
        <w:rPr>
          <w:rtl/>
        </w:rPr>
        <w:t xml:space="preserve"> </w:t>
      </w:r>
      <w:r>
        <w:rPr>
          <w:rFonts w:hint="cs"/>
          <w:rtl/>
        </w:rPr>
        <w:t>סימן - נכסי נשואה.</w:t>
      </w:r>
    </w:p>
  </w:footnote>
  <w:footnote w:id="1110">
    <w:p w14:paraId="45DEE333" w14:textId="1860D2B0" w:rsidR="00DE2F5F" w:rsidRDefault="00DE2F5F">
      <w:pPr>
        <w:pStyle w:val="a5"/>
      </w:pPr>
      <w:r>
        <w:rPr>
          <w:rStyle w:val="a7"/>
        </w:rPr>
        <w:footnoteRef/>
      </w:r>
      <w:r>
        <w:rPr>
          <w:rtl/>
        </w:rPr>
        <w:t xml:space="preserve"> </w:t>
      </w:r>
      <w:r w:rsidRPr="0098542A">
        <w:rPr>
          <w:rFonts w:cs="Arial"/>
          <w:rtl/>
        </w:rPr>
        <w:t>תימה לרשב"א דמאי קשיא נימא לעולם באחר והא דקאמר (צריך) למחות כשכתב לה דין ודברים אין לי בנכסייך ובפירותיהם שאין לבעל פירות ולכך צריכה למחות שאינה סומכת עליו ונראה לו דמ"מ סומכת עליו כיון שאם מתה יורשה דאפילו כתב לה בחייך ובמותך קיימא לן כרשב"ג דאם מתה יורשה בפרק הכותב (כתובות פג:)</w:t>
      </w:r>
      <w:r>
        <w:rPr>
          <w:rFonts w:cs="Arial" w:hint="cs"/>
          <w:rtl/>
        </w:rPr>
        <w:t xml:space="preserve">, תוס' (נ: ד"ה </w:t>
      </w:r>
      <w:r w:rsidRPr="0098542A">
        <w:rPr>
          <w:rFonts w:cs="Arial"/>
          <w:rtl/>
        </w:rPr>
        <w:t>במאן</w:t>
      </w:r>
      <w:r>
        <w:rPr>
          <w:rFonts w:cs="Arial" w:hint="cs"/>
          <w:rtl/>
        </w:rPr>
        <w:t>). וכ"כ הטור.</w:t>
      </w:r>
    </w:p>
  </w:footnote>
  <w:footnote w:id="1111">
    <w:p w14:paraId="08846A2F" w14:textId="24C495AE" w:rsidR="00DE2F5F" w:rsidRDefault="00DE2F5F">
      <w:pPr>
        <w:pStyle w:val="a5"/>
      </w:pPr>
      <w:r>
        <w:rPr>
          <w:rStyle w:val="a7"/>
        </w:rPr>
        <w:footnoteRef/>
      </w:r>
      <w:r>
        <w:rPr>
          <w:rtl/>
        </w:rPr>
        <w:t xml:space="preserve"> </w:t>
      </w:r>
      <w:r w:rsidRPr="000B69EF">
        <w:rPr>
          <w:rFonts w:cs="Arial"/>
          <w:rtl/>
        </w:rPr>
        <w:t>אשתמיטתא דברי הדרישה כו' ובגליון הב"ש דהגר"ע איגר זצ"ל נ"ב גם בדרישה חו"מ סי' קמ"ט הקשה כן אבל לענ"ד לק"מ דהא הש"ס פריך לרב לשיטתי' דפסק כרשב"ג דאם מתה יורשה עכ"ל וכן תירץ בס' קצות החושן שם סק"ג ע"ש וגם בתשו' גבעת שאול סי' צ"ה ובספר בית מאיר ובקו"א לס' כתובה ע"ש עוד</w:t>
      </w:r>
      <w:r>
        <w:rPr>
          <w:rFonts w:cs="Arial" w:hint="cs"/>
          <w:rtl/>
        </w:rPr>
        <w:t>, פת"ש (סק"א).</w:t>
      </w:r>
    </w:p>
  </w:footnote>
  <w:footnote w:id="1112">
    <w:p w14:paraId="43643A86" w14:textId="77777777" w:rsidR="00DE2F5F" w:rsidRDefault="00DE2F5F" w:rsidP="00C867A2">
      <w:pPr>
        <w:pStyle w:val="a5"/>
        <w:rPr>
          <w:rtl/>
        </w:rPr>
      </w:pPr>
      <w:r>
        <w:rPr>
          <w:rStyle w:val="a7"/>
        </w:rPr>
        <w:footnoteRef/>
      </w:r>
      <w:r>
        <w:rPr>
          <w:rtl/>
        </w:rPr>
        <w:t xml:space="preserve"> </w:t>
      </w:r>
      <w:r w:rsidRPr="00DE3527">
        <w:rPr>
          <w:rFonts w:cs="Arial"/>
          <w:rtl/>
        </w:rPr>
        <w:t>מה שהאשה מכנסת לבעלה ושמה לו לקבלם עליו באחריות כתובתה</w:t>
      </w:r>
      <w:r>
        <w:rPr>
          <w:rFonts w:cs="Arial" w:hint="cs"/>
          <w:rtl/>
        </w:rPr>
        <w:t>,</w:t>
      </w:r>
      <w:r w:rsidRPr="00DE3527">
        <w:rPr>
          <w:rFonts w:cs="Arial"/>
          <w:rtl/>
        </w:rPr>
        <w:t xml:space="preserve"> כמו שכותבין </w:t>
      </w:r>
      <w:r>
        <w:rPr>
          <w:rFonts w:cs="Arial" w:hint="cs"/>
          <w:rtl/>
        </w:rPr>
        <w:t>'</w:t>
      </w:r>
      <w:r w:rsidRPr="00DE3527">
        <w:rPr>
          <w:rFonts w:cs="Arial"/>
          <w:rtl/>
        </w:rPr>
        <w:t>ודא נדוניא דהנעלת ליה</w:t>
      </w:r>
      <w:r>
        <w:rPr>
          <w:rFonts w:cs="Arial" w:hint="cs"/>
          <w:rtl/>
        </w:rPr>
        <w:t>',</w:t>
      </w:r>
      <w:r w:rsidRPr="00DE3527">
        <w:rPr>
          <w:rFonts w:cs="Arial"/>
          <w:rtl/>
        </w:rPr>
        <w:t xml:space="preserve"> והוא מוסיף כנגדן וכותב </w:t>
      </w:r>
      <w:r>
        <w:rPr>
          <w:rFonts w:cs="Arial" w:hint="cs"/>
          <w:rtl/>
        </w:rPr>
        <w:t>'</w:t>
      </w:r>
      <w:r w:rsidRPr="00DE3527">
        <w:rPr>
          <w:rFonts w:cs="Arial"/>
          <w:rtl/>
        </w:rPr>
        <w:t>סך הכל קבל עליו פלוני כך וכך בכתובתה</w:t>
      </w:r>
      <w:r>
        <w:rPr>
          <w:rFonts w:cs="Arial" w:hint="cs"/>
          <w:rtl/>
        </w:rPr>
        <w:t>' -</w:t>
      </w:r>
      <w:r w:rsidRPr="00DE3527">
        <w:rPr>
          <w:rFonts w:cs="Arial"/>
          <w:rtl/>
        </w:rPr>
        <w:t xml:space="preserve"> קורין צאן ברזל</w:t>
      </w:r>
      <w:r>
        <w:rPr>
          <w:rFonts w:cs="Arial" w:hint="cs"/>
          <w:rtl/>
        </w:rPr>
        <w:t>.</w:t>
      </w:r>
      <w:r w:rsidRPr="00DE3527">
        <w:rPr>
          <w:rFonts w:cs="Arial"/>
          <w:rtl/>
        </w:rPr>
        <w:t xml:space="preserve"> ויש שמכנסת ממון הרבה ואינה כותבת כולו בכתובתה</w:t>
      </w:r>
      <w:r>
        <w:rPr>
          <w:rFonts w:cs="Arial" w:hint="cs"/>
          <w:rtl/>
        </w:rPr>
        <w:t>,</w:t>
      </w:r>
      <w:r w:rsidRPr="00DE3527">
        <w:rPr>
          <w:rFonts w:cs="Arial"/>
          <w:rtl/>
        </w:rPr>
        <w:t xml:space="preserve"> ומשיירת לעצמה </w:t>
      </w:r>
      <w:r>
        <w:rPr>
          <w:rFonts w:cs="Arial" w:hint="cs"/>
          <w:rtl/>
        </w:rPr>
        <w:t xml:space="preserve">- </w:t>
      </w:r>
      <w:r w:rsidRPr="00DE3527">
        <w:rPr>
          <w:rFonts w:cs="Arial"/>
          <w:rtl/>
        </w:rPr>
        <w:t>הן נכסי מלוג</w:t>
      </w:r>
      <w:r>
        <w:rPr>
          <w:rFonts w:cs="Arial" w:hint="cs"/>
          <w:rtl/>
        </w:rPr>
        <w:t>,</w:t>
      </w:r>
      <w:r w:rsidRPr="00DE3527">
        <w:rPr>
          <w:rFonts w:cs="Arial"/>
          <w:rtl/>
        </w:rPr>
        <w:t xml:space="preserve"> והבעל אוכל פירות</w:t>
      </w:r>
      <w:r>
        <w:rPr>
          <w:rFonts w:cs="Arial" w:hint="cs"/>
          <w:rtl/>
        </w:rPr>
        <w:t>,</w:t>
      </w:r>
      <w:r w:rsidRPr="00DE3527">
        <w:rPr>
          <w:rFonts w:cs="Arial"/>
          <w:rtl/>
        </w:rPr>
        <w:t xml:space="preserve"> והקרן שלה קיים</w:t>
      </w:r>
      <w:r>
        <w:rPr>
          <w:rFonts w:cs="Arial" w:hint="cs"/>
          <w:rtl/>
        </w:rPr>
        <w:t>,</w:t>
      </w:r>
      <w:r w:rsidRPr="00DE3527">
        <w:rPr>
          <w:rFonts w:cs="Arial"/>
          <w:rtl/>
        </w:rPr>
        <w:t xml:space="preserve"> ואם מתו </w:t>
      </w:r>
      <w:r>
        <w:rPr>
          <w:rFonts w:cs="Arial" w:hint="cs"/>
          <w:rtl/>
        </w:rPr>
        <w:t xml:space="preserve">- </w:t>
      </w:r>
      <w:r w:rsidRPr="00DE3527">
        <w:rPr>
          <w:rFonts w:cs="Arial"/>
          <w:rtl/>
        </w:rPr>
        <w:t>מתו לה</w:t>
      </w:r>
      <w:r>
        <w:rPr>
          <w:rFonts w:cs="Arial" w:hint="cs"/>
          <w:rtl/>
        </w:rPr>
        <w:t>,</w:t>
      </w:r>
      <w:r w:rsidRPr="00DE3527">
        <w:rPr>
          <w:rFonts w:cs="Arial"/>
          <w:rtl/>
        </w:rPr>
        <w:t xml:space="preserve"> או פחתו </w:t>
      </w:r>
      <w:r>
        <w:rPr>
          <w:rFonts w:cs="Arial" w:hint="cs"/>
          <w:rtl/>
        </w:rPr>
        <w:t xml:space="preserve">- </w:t>
      </w:r>
      <w:r w:rsidRPr="00DE3527">
        <w:rPr>
          <w:rFonts w:cs="Arial"/>
          <w:rtl/>
        </w:rPr>
        <w:t>פחתו לה</w:t>
      </w:r>
      <w:r>
        <w:rPr>
          <w:rFonts w:cs="Arial" w:hint="cs"/>
          <w:rtl/>
        </w:rPr>
        <w:t>.</w:t>
      </w:r>
      <w:r w:rsidRPr="00DE3527">
        <w:rPr>
          <w:rFonts w:cs="Arial"/>
          <w:rtl/>
        </w:rPr>
        <w:t xml:space="preserve"> לשון צאן ברזל</w:t>
      </w:r>
      <w:r>
        <w:rPr>
          <w:rFonts w:cs="Arial" w:hint="cs"/>
          <w:rtl/>
        </w:rPr>
        <w:t xml:space="preserve">, </w:t>
      </w:r>
      <w:r w:rsidRPr="00DE3527">
        <w:rPr>
          <w:rFonts w:cs="Arial"/>
          <w:rtl/>
        </w:rPr>
        <w:t>קרן קיים</w:t>
      </w:r>
      <w:r>
        <w:rPr>
          <w:rFonts w:cs="Arial" w:hint="cs"/>
          <w:rtl/>
        </w:rPr>
        <w:t>,</w:t>
      </w:r>
      <w:r w:rsidRPr="00DE3527">
        <w:rPr>
          <w:rFonts w:cs="Arial"/>
          <w:rtl/>
        </w:rPr>
        <w:t xml:space="preserve"> שאין פוחת ונפסד</w:t>
      </w:r>
      <w:r>
        <w:rPr>
          <w:rFonts w:cs="Arial" w:hint="cs"/>
          <w:rtl/>
        </w:rPr>
        <w:t>,</w:t>
      </w:r>
      <w:r w:rsidRPr="00DE3527">
        <w:rPr>
          <w:rFonts w:cs="Arial"/>
          <w:rtl/>
        </w:rPr>
        <w:t xml:space="preserve"> שאפילו מתו כולן אחריותן עליו לשלם לה כשימות או יגרשנה</w:t>
      </w:r>
      <w:r>
        <w:rPr>
          <w:rFonts w:hint="cs"/>
          <w:rtl/>
        </w:rPr>
        <w:t>, רש"י.</w:t>
      </w:r>
    </w:p>
  </w:footnote>
  <w:footnote w:id="1113">
    <w:p w14:paraId="7725F4FA" w14:textId="77777777" w:rsidR="00DE2F5F" w:rsidRDefault="00DE2F5F" w:rsidP="00C867A2">
      <w:pPr>
        <w:pStyle w:val="a5"/>
        <w:rPr>
          <w:rtl/>
        </w:rPr>
      </w:pPr>
      <w:r>
        <w:rPr>
          <w:rStyle w:val="a7"/>
        </w:rPr>
        <w:footnoteRef/>
      </w:r>
      <w:r>
        <w:rPr>
          <w:rtl/>
        </w:rPr>
        <w:t xml:space="preserve"> </w:t>
      </w:r>
      <w:r w:rsidRPr="00EB63AD">
        <w:rPr>
          <w:rFonts w:cs="Arial"/>
          <w:rtl/>
        </w:rPr>
        <w:t>לפי שהן שלה והיא חללה ולקמן בגמרא מפרש טעמא</w:t>
      </w:r>
      <w:r>
        <w:rPr>
          <w:rFonts w:hint="cs"/>
          <w:rtl/>
        </w:rPr>
        <w:t>, רש"י.</w:t>
      </w:r>
    </w:p>
  </w:footnote>
  <w:footnote w:id="1114">
    <w:p w14:paraId="6B13824A" w14:textId="41B7947B" w:rsidR="00DE2F5F" w:rsidRDefault="00DE2F5F">
      <w:pPr>
        <w:pStyle w:val="a5"/>
      </w:pPr>
      <w:r>
        <w:rPr>
          <w:rStyle w:val="a7"/>
        </w:rPr>
        <w:footnoteRef/>
      </w:r>
      <w:r>
        <w:rPr>
          <w:rtl/>
        </w:rPr>
        <w:t xml:space="preserve"> </w:t>
      </w:r>
      <w:r w:rsidRPr="00844E7D">
        <w:rPr>
          <w:rFonts w:cs="Arial"/>
          <w:rtl/>
        </w:rPr>
        <w:t>נכסי צאן ברזל ששמה לו בכתובתה והיו בהן כלים ודבר המסויים וכשגירשה ובאתה ליטול כתובתה</w:t>
      </w:r>
      <w:r>
        <w:rPr>
          <w:rFonts w:cs="Arial" w:hint="cs"/>
          <w:rtl/>
        </w:rPr>
        <w:t>, רש"י.</w:t>
      </w:r>
    </w:p>
  </w:footnote>
  <w:footnote w:id="1115">
    <w:p w14:paraId="2758E512" w14:textId="2D42FFAA" w:rsidR="00DE2F5F" w:rsidRDefault="00DE2F5F">
      <w:pPr>
        <w:pStyle w:val="a5"/>
        <w:rPr>
          <w:rtl/>
        </w:rPr>
      </w:pPr>
      <w:r>
        <w:rPr>
          <w:rStyle w:val="a7"/>
        </w:rPr>
        <w:footnoteRef/>
      </w:r>
      <w:r>
        <w:rPr>
          <w:rtl/>
        </w:rPr>
        <w:t xml:space="preserve"> </w:t>
      </w:r>
      <w:r w:rsidRPr="00844E7D">
        <w:rPr>
          <w:rFonts w:cs="Arial"/>
          <w:rtl/>
        </w:rPr>
        <w:t>כמו שקבלתי עלי בשומא ומאז הן באחריותי ושלי הן</w:t>
      </w:r>
      <w:r>
        <w:rPr>
          <w:rFonts w:hint="cs"/>
          <w:rtl/>
        </w:rPr>
        <w:t>, רש"י.</w:t>
      </w:r>
    </w:p>
  </w:footnote>
  <w:footnote w:id="1116">
    <w:p w14:paraId="12AD9039" w14:textId="1C9B953B" w:rsidR="00DE2F5F" w:rsidRDefault="00DE2F5F">
      <w:pPr>
        <w:pStyle w:val="a5"/>
      </w:pPr>
      <w:r>
        <w:rPr>
          <w:rStyle w:val="a7"/>
        </w:rPr>
        <w:footnoteRef/>
      </w:r>
      <w:r>
        <w:rPr>
          <w:rtl/>
        </w:rPr>
        <w:t xml:space="preserve"> </w:t>
      </w:r>
      <w:r>
        <w:rPr>
          <w:rFonts w:cs="Arial" w:hint="cs"/>
          <w:rtl/>
        </w:rPr>
        <w:t>ו</w:t>
      </w:r>
      <w:r w:rsidRPr="00844E7D">
        <w:rPr>
          <w:rFonts w:cs="Arial"/>
          <w:rtl/>
        </w:rPr>
        <w:t>דוקא בשעדיין עושין מעין מלאכתן ואע</w:t>
      </w:r>
      <w:r>
        <w:rPr>
          <w:rFonts w:cs="Arial" w:hint="cs"/>
          <w:rtl/>
        </w:rPr>
        <w:t>"</w:t>
      </w:r>
      <w:r w:rsidRPr="00844E7D">
        <w:rPr>
          <w:rFonts w:cs="Arial"/>
          <w:rtl/>
        </w:rPr>
        <w:t>פ שבלו קצת אבל אם לא היו עושים מעין מלאכתן אין כאן משום שבח בית אביה</w:t>
      </w:r>
      <w:r>
        <w:rPr>
          <w:rFonts w:cs="Arial" w:hint="cs"/>
          <w:rtl/>
        </w:rPr>
        <w:t>, ריב"ש (סי' שסח)</w:t>
      </w:r>
      <w:r w:rsidRPr="00844E7D">
        <w:rPr>
          <w:rFonts w:cs="Arial"/>
          <w:rtl/>
        </w:rPr>
        <w:t>.</w:t>
      </w:r>
    </w:p>
  </w:footnote>
  <w:footnote w:id="1117">
    <w:p w14:paraId="5838C28D" w14:textId="5AB77784" w:rsidR="00DE2F5F" w:rsidRDefault="00DE2F5F">
      <w:pPr>
        <w:pStyle w:val="a5"/>
      </w:pPr>
      <w:r>
        <w:rPr>
          <w:rStyle w:val="a7"/>
        </w:rPr>
        <w:footnoteRef/>
      </w:r>
      <w:r>
        <w:rPr>
          <w:rtl/>
        </w:rPr>
        <w:t xml:space="preserve"> </w:t>
      </w:r>
      <w:r>
        <w:rPr>
          <w:rFonts w:hint="cs"/>
          <w:rtl/>
        </w:rPr>
        <w:t xml:space="preserve">כלומר ואסור בהנאה, ב"י </w:t>
      </w:r>
      <w:r w:rsidRPr="00051A54">
        <w:rPr>
          <w:rFonts w:hint="cs"/>
          <w:sz w:val="16"/>
          <w:szCs w:val="16"/>
          <w:rtl/>
        </w:rPr>
        <w:t>(</w:t>
      </w:r>
      <w:r w:rsidRPr="00051A54">
        <w:rPr>
          <w:rFonts w:cs="Arial"/>
          <w:sz w:val="16"/>
          <w:szCs w:val="16"/>
          <w:rtl/>
        </w:rPr>
        <w:t>תכריכי המת איסורי הנאה הן כהקדש דגמר שם שם מעגלה ערופה בפ' נגמר הדין (סנהדרין מז:)</w:t>
      </w:r>
      <w:r w:rsidRPr="00051A54">
        <w:rPr>
          <w:rFonts w:cs="Arial" w:hint="cs"/>
          <w:sz w:val="16"/>
          <w:szCs w:val="16"/>
          <w:rtl/>
        </w:rPr>
        <w:t>, רש"י)</w:t>
      </w:r>
      <w:r w:rsidRPr="00ED3532">
        <w:rPr>
          <w:rFonts w:cs="Arial"/>
          <w:rtl/>
        </w:rPr>
        <w:t>.</w:t>
      </w:r>
    </w:p>
  </w:footnote>
  <w:footnote w:id="1118">
    <w:p w14:paraId="2153254E" w14:textId="4C0B2887" w:rsidR="00DE2F5F" w:rsidRDefault="00DE2F5F">
      <w:pPr>
        <w:pStyle w:val="a5"/>
      </w:pPr>
      <w:r>
        <w:rPr>
          <w:rStyle w:val="a7"/>
        </w:rPr>
        <w:footnoteRef/>
      </w:r>
      <w:r>
        <w:rPr>
          <w:rtl/>
        </w:rPr>
        <w:t xml:space="preserve"> </w:t>
      </w:r>
      <w:r>
        <w:rPr>
          <w:rFonts w:cs="Arial"/>
          <w:rtl/>
        </w:rPr>
        <w:t xml:space="preserve">איכא למידק אמאי נקט רבינו </w:t>
      </w:r>
      <w:r>
        <w:rPr>
          <w:rFonts w:cs="Arial" w:hint="cs"/>
          <w:rtl/>
        </w:rPr>
        <w:t>'</w:t>
      </w:r>
      <w:r>
        <w:rPr>
          <w:rFonts w:cs="Arial"/>
          <w:rtl/>
        </w:rPr>
        <w:t>אפילו בלו הרבה ואין ראוי לעשות בהן מעין מלאכתן ראשונה</w:t>
      </w:r>
      <w:r>
        <w:rPr>
          <w:rFonts w:cs="Arial" w:hint="cs"/>
          <w:rtl/>
        </w:rPr>
        <w:t>'</w:t>
      </w:r>
      <w:r>
        <w:rPr>
          <w:rFonts w:cs="Arial"/>
          <w:rtl/>
        </w:rPr>
        <w:t xml:space="preserve"> דמשמע טעמא דאכתי השחקים קיימים הא אם אין השחקים קיימים משלם אותם והא ודאי ליתא דהא תנן אם מתו מתו לה</w:t>
      </w:r>
      <w:r>
        <w:rPr>
          <w:rFonts w:cs="Arial" w:hint="cs"/>
          <w:rtl/>
        </w:rPr>
        <w:t>.</w:t>
      </w:r>
      <w:r>
        <w:rPr>
          <w:rFonts w:cs="Arial"/>
          <w:rtl/>
        </w:rPr>
        <w:t xml:space="preserve"> וצריך לומר דכל שבלו ואין עושין מעין מלאכתם ראשונה חשיב כמתו בעבדים</w:t>
      </w:r>
      <w:r>
        <w:rPr>
          <w:rFonts w:cs="Arial" w:hint="cs"/>
          <w:rtl/>
        </w:rPr>
        <w:t>, ב"י.</w:t>
      </w:r>
    </w:p>
  </w:footnote>
  <w:footnote w:id="1119">
    <w:p w14:paraId="04BB5E09" w14:textId="721072E4" w:rsidR="00DE2F5F" w:rsidRDefault="00DE2F5F">
      <w:pPr>
        <w:pStyle w:val="a5"/>
        <w:rPr>
          <w:rtl/>
        </w:rPr>
      </w:pPr>
      <w:r>
        <w:rPr>
          <w:rStyle w:val="a7"/>
        </w:rPr>
        <w:footnoteRef/>
      </w:r>
      <w:r>
        <w:rPr>
          <w:rtl/>
        </w:rPr>
        <w:t xml:space="preserve"> </w:t>
      </w:r>
      <w:r w:rsidRPr="00442018">
        <w:rPr>
          <w:rFonts w:cs="Arial"/>
          <w:rtl/>
        </w:rPr>
        <w:t>ומטעם זה כתב הרמ"ה שאינו רשאי למוכרם אפי' בעודה תחתיו</w:t>
      </w:r>
      <w:r w:rsidRPr="00442018">
        <w:rPr>
          <w:rFonts w:cs="Arial" w:hint="cs"/>
          <w:rtl/>
        </w:rPr>
        <w:t>.</w:t>
      </w:r>
      <w:r w:rsidRPr="00442018">
        <w:rPr>
          <w:rFonts w:cs="Arial"/>
          <w:rtl/>
        </w:rPr>
        <w:t xml:space="preserve"> ולא נהירא לא"א הרא"ש ז"ל דודאי בעודה תחתיו עושה בהן כל מה שירצה אלא אם שיירה נותנת דמים ונוטלתן</w:t>
      </w:r>
      <w:r>
        <w:rPr>
          <w:rFonts w:cs="Arial" w:hint="cs"/>
          <w:rtl/>
        </w:rPr>
        <w:t xml:space="preserve"> </w:t>
      </w:r>
      <w:r>
        <w:rPr>
          <w:rFonts w:cs="Arial" w:hint="cs"/>
          <w:sz w:val="16"/>
          <w:szCs w:val="16"/>
          <w:rtl/>
        </w:rPr>
        <w:t>(יתבאר בסימן צ', ב"י)</w:t>
      </w:r>
      <w:r>
        <w:rPr>
          <w:rFonts w:hint="cs"/>
          <w:rtl/>
        </w:rPr>
        <w:t>, טור.</w:t>
      </w:r>
    </w:p>
  </w:footnote>
  <w:footnote w:id="1120">
    <w:p w14:paraId="3A8A357C" w14:textId="5BAACD7F" w:rsidR="00DE2F5F" w:rsidRDefault="00DE2F5F" w:rsidP="00DF351A">
      <w:pPr>
        <w:pStyle w:val="a5"/>
        <w:rPr>
          <w:rtl/>
        </w:rPr>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Pr>
          <w:rFonts w:cs="Arial"/>
          <w:rtl/>
        </w:rPr>
        <w:t>דייקי רבוותא מדקתני במתני' בעבדי צאן ברזל והוא הדין בנכסי צאן ברזל אם מתו מתו לו ולא קתני אם פחתו פחתו לו דוקא כעין מתו ממש דלא משמשי מעין מלאכתם דכמאן דליתנהו דמי הוא דחייב באחריותן ומשלם דמי' אבל אי איתנהו אע</w:t>
      </w:r>
      <w:r>
        <w:rPr>
          <w:rFonts w:cs="Arial" w:hint="cs"/>
          <w:rtl/>
        </w:rPr>
        <w:t>"</w:t>
      </w:r>
      <w:r>
        <w:rPr>
          <w:rFonts w:cs="Arial"/>
          <w:rtl/>
        </w:rPr>
        <w:t>ג דבלו טובא ופחתו אי משמשי מעין מלאכתן נוטלתן האשה ואינו משלם דמים שדין עבדי צאן ברזל ודין נכסי צאן ברזל חד הוא כדין אלו כך דין אלו ואנן לא חזינן להאי דיוקא דהא מקשינן בגמרא (שם ע"ב) למאן דאמר כל היכא דמחייב באחריותן אכלי בתרומה מהא דתנן כהן ששכר פרה מישראל אע</w:t>
      </w:r>
      <w:r>
        <w:rPr>
          <w:rFonts w:cs="Arial" w:hint="cs"/>
          <w:rtl/>
        </w:rPr>
        <w:t>"</w:t>
      </w:r>
      <w:r>
        <w:rPr>
          <w:rFonts w:cs="Arial"/>
          <w:rtl/>
        </w:rPr>
        <w:t>פ שמזונותיה עליו לא יאכילנה כרשיני תרומה וקא מפרקינן ותסברא נהי דמחייב באונסיה בכחישה וביתרות דמיה מי מחייב מדקא מפרקינן הכי גבי שכירות פרה מכלל דלגבי צאן ברזל מחייב ואפילו בכחישה וביתרות דמים ולהכי אכלי בתרומה וש"מ דליתא להאי דיוקא דדקו קמאי ז"ל אלא מיהו אע</w:t>
      </w:r>
      <w:r>
        <w:rPr>
          <w:rFonts w:cs="Arial" w:hint="cs"/>
          <w:rtl/>
        </w:rPr>
        <w:t>"</w:t>
      </w:r>
      <w:r>
        <w:rPr>
          <w:rFonts w:cs="Arial"/>
          <w:rtl/>
        </w:rPr>
        <w:t>ג דדינא דגמרא הכי לא מחייבינן ליה לבעל השתא בכחישה וביתרות דמים דכיון דלא נהגי עלמא הכי כל מאן דמקבל לנכסי צאן ברזל וכתב להו עליה אדעתא דמנהגא הוא דמקבל להו עליה הילכך לא מיחייב אלא לפום מנהגא</w:t>
      </w:r>
      <w:r>
        <w:rPr>
          <w:rFonts w:hint="cs"/>
          <w:rtl/>
        </w:rPr>
        <w:t>.</w:t>
      </w:r>
    </w:p>
  </w:footnote>
  <w:footnote w:id="1121">
    <w:p w14:paraId="18BED6F2" w14:textId="77777777" w:rsidR="00DE2F5F" w:rsidRDefault="00DE2F5F" w:rsidP="00D50F48">
      <w:pPr>
        <w:pStyle w:val="a5"/>
        <w:rPr>
          <w:rtl/>
        </w:rPr>
      </w:pPr>
      <w:r>
        <w:rPr>
          <w:rStyle w:val="a7"/>
        </w:rPr>
        <w:footnoteRef/>
      </w:r>
      <w:r>
        <w:rPr>
          <w:rtl/>
        </w:rPr>
        <w:t xml:space="preserve"> </w:t>
      </w:r>
      <w:r w:rsidRPr="00A44EC8">
        <w:rPr>
          <w:rFonts w:cs="Arial"/>
          <w:rtl/>
        </w:rPr>
        <w:t>ועיין במגיד משנה (הל"ה) שכתב שיש מקומות שנוהגין כדברי התלמוד ועיין שם</w:t>
      </w:r>
      <w:r>
        <w:rPr>
          <w:rFonts w:cs="Arial" w:hint="cs"/>
          <w:rtl/>
        </w:rPr>
        <w:t>, דרכ"מ (אות א).</w:t>
      </w:r>
    </w:p>
  </w:footnote>
  <w:footnote w:id="1122">
    <w:p w14:paraId="4EE613E2" w14:textId="3A193288" w:rsidR="00DE2F5F" w:rsidRDefault="00DE2F5F">
      <w:pPr>
        <w:pStyle w:val="a5"/>
        <w:rPr>
          <w:rtl/>
        </w:rPr>
      </w:pPr>
      <w:r>
        <w:rPr>
          <w:rStyle w:val="a7"/>
        </w:rPr>
        <w:footnoteRef/>
      </w:r>
      <w:r>
        <w:rPr>
          <w:rtl/>
        </w:rPr>
        <w:t xml:space="preserve"> </w:t>
      </w:r>
      <w:r w:rsidRPr="001676FE">
        <w:rPr>
          <w:rFonts w:cs="Arial"/>
          <w:rtl/>
        </w:rPr>
        <w:t>כ"כ הרמב"ם פי"ח מהל' אישות וכ' המ"מ ביאור דבריו כשהנכסים הם בעין אבל ודאי אם נאבדו ובאה לגבות מן היתומים צריכה היא לישבע ואם מתה בלא שבועה ודאי אין יורשיה נוטלים כלום דלא עדיף מחוב דעלמא וכ"כ הריב"ש סי' קס"ט דאף דאין המטלטלין שהביאה בנדוניא בעין אלא אף אם נמכרו ולקחו אחרים בדמיהן כיון שאם לא מתה היתה נוטלת אותן בלא שבועה וע"ש וע' לקמן ריש סי' צ"ו</w:t>
      </w:r>
      <w:r>
        <w:rPr>
          <w:rFonts w:hint="cs"/>
          <w:rtl/>
        </w:rPr>
        <w:t xml:space="preserve">, ח"מ (סק"א). והביא הב"ש (סק"א) את דברי הה"מ וכתב </w:t>
      </w:r>
      <w:r w:rsidR="0061020A">
        <w:rPr>
          <w:rFonts w:hint="cs"/>
          <w:rtl/>
        </w:rPr>
        <w:t>וז</w:t>
      </w:r>
      <w:r w:rsidR="0061020A">
        <w:rPr>
          <w:rtl/>
        </w:rPr>
        <w:t>"</w:t>
      </w:r>
      <w:r w:rsidR="0061020A">
        <w:rPr>
          <w:rFonts w:hint="cs"/>
          <w:rtl/>
        </w:rPr>
        <w:t>ל:</w:t>
      </w:r>
      <w:r>
        <w:rPr>
          <w:rFonts w:hint="cs"/>
          <w:rtl/>
        </w:rPr>
        <w:t xml:space="preserve"> </w:t>
      </w:r>
      <w:r w:rsidRPr="001676FE">
        <w:rPr>
          <w:rFonts w:cs="Arial"/>
          <w:rtl/>
        </w:rPr>
        <w:t xml:space="preserve">ולמ"ש תוספות </w:t>
      </w:r>
      <w:r>
        <w:rPr>
          <w:rFonts w:cs="Arial" w:hint="cs"/>
          <w:rtl/>
        </w:rPr>
        <w:t>(</w:t>
      </w:r>
      <w:r w:rsidRPr="001676FE">
        <w:rPr>
          <w:rFonts w:cs="Arial"/>
          <w:rtl/>
        </w:rPr>
        <w:t>ריש ב"ב ובפ' השולח דף ל"ד</w:t>
      </w:r>
      <w:r>
        <w:rPr>
          <w:rFonts w:cs="Arial" w:hint="cs"/>
          <w:rtl/>
        </w:rPr>
        <w:t>)</w:t>
      </w:r>
      <w:r w:rsidRPr="001676FE">
        <w:rPr>
          <w:rFonts w:cs="Arial"/>
          <w:rtl/>
        </w:rPr>
        <w:t xml:space="preserve"> הטעם דאלמנה צריכה שבועה אע</w:t>
      </w:r>
      <w:r>
        <w:rPr>
          <w:rFonts w:cs="Arial" w:hint="cs"/>
          <w:rtl/>
        </w:rPr>
        <w:t>"</w:t>
      </w:r>
      <w:r w:rsidRPr="001676FE">
        <w:rPr>
          <w:rFonts w:cs="Arial"/>
          <w:rtl/>
        </w:rPr>
        <w:t>ג דקי"ל חזקה אין אדם פורע תוך הזמן</w:t>
      </w:r>
      <w:r>
        <w:rPr>
          <w:rFonts w:cs="Arial" w:hint="cs"/>
          <w:rtl/>
        </w:rPr>
        <w:t>,</w:t>
      </w:r>
      <w:r w:rsidRPr="001676FE">
        <w:rPr>
          <w:rFonts w:cs="Arial"/>
          <w:rtl/>
        </w:rPr>
        <w:t xml:space="preserve"> משום אלמנה דאי</w:t>
      </w:r>
      <w:r>
        <w:rPr>
          <w:rFonts w:cs="Arial" w:hint="cs"/>
          <w:rtl/>
        </w:rPr>
        <w:t>ן</w:t>
      </w:r>
      <w:r w:rsidRPr="001676FE">
        <w:rPr>
          <w:rFonts w:cs="Arial"/>
          <w:rtl/>
        </w:rPr>
        <w:t xml:space="preserve"> לה כתובה מתקנות חז"ל חיישינן טפי</w:t>
      </w:r>
      <w:r>
        <w:rPr>
          <w:rFonts w:cs="Arial" w:hint="cs"/>
          <w:rtl/>
        </w:rPr>
        <w:t>,</w:t>
      </w:r>
      <w:r w:rsidRPr="001676FE">
        <w:rPr>
          <w:rFonts w:cs="Arial"/>
          <w:rtl/>
        </w:rPr>
        <w:t xml:space="preserve"> לפ</w:t>
      </w:r>
      <w:r>
        <w:rPr>
          <w:rFonts w:cs="Arial" w:hint="cs"/>
          <w:rtl/>
        </w:rPr>
        <w:t>י זה</w:t>
      </w:r>
      <w:r w:rsidRPr="001676FE">
        <w:rPr>
          <w:rFonts w:cs="Arial"/>
          <w:rtl/>
        </w:rPr>
        <w:t xml:space="preserve"> נ"מ ונצ"ב א"צ שבועה אפי' ליתא בעין</w:t>
      </w:r>
      <w:r>
        <w:rPr>
          <w:rFonts w:cs="Arial" w:hint="cs"/>
          <w:rtl/>
        </w:rPr>
        <w:t>,</w:t>
      </w:r>
      <w:r w:rsidRPr="001676FE">
        <w:rPr>
          <w:rFonts w:cs="Arial"/>
          <w:rtl/>
        </w:rPr>
        <w:t xml:space="preserve"> ועיין סי' צ"ז שם כתבתי באריכות</w:t>
      </w:r>
      <w:r>
        <w:rPr>
          <w:rFonts w:cs="Arial" w:hint="cs"/>
          <w:rtl/>
        </w:rPr>
        <w:t>.</w:t>
      </w:r>
    </w:p>
  </w:footnote>
  <w:footnote w:id="1123">
    <w:p w14:paraId="58AEA6E1" w14:textId="5B50701A" w:rsidR="00DE2F5F" w:rsidRDefault="00DE2F5F">
      <w:pPr>
        <w:pStyle w:val="a5"/>
      </w:pPr>
      <w:r>
        <w:rPr>
          <w:rStyle w:val="a7"/>
        </w:rPr>
        <w:footnoteRef/>
      </w:r>
      <w:r>
        <w:rPr>
          <w:rtl/>
        </w:rPr>
        <w:t xml:space="preserve"> </w:t>
      </w:r>
      <w:r w:rsidRPr="001676FE">
        <w:rPr>
          <w:rFonts w:cs="Arial"/>
          <w:rtl/>
        </w:rPr>
        <w:t>כבר נתבאר לעיל ר"ס פ"ה אפי' אם פשע הבעל בהם פטור דהוי פשיעה בבעלים</w:t>
      </w:r>
      <w:r>
        <w:rPr>
          <w:rFonts w:cs="Arial" w:hint="cs"/>
          <w:rtl/>
        </w:rPr>
        <w:t>, ח"מ (סק"ב).</w:t>
      </w:r>
    </w:p>
  </w:footnote>
  <w:footnote w:id="1124">
    <w:p w14:paraId="398D0B64" w14:textId="42F3EBF1" w:rsidR="00DE2F5F" w:rsidRDefault="00DE2F5F">
      <w:pPr>
        <w:pStyle w:val="a5"/>
      </w:pPr>
      <w:r>
        <w:rPr>
          <w:rStyle w:val="a7"/>
        </w:rPr>
        <w:footnoteRef/>
      </w:r>
      <w:r>
        <w:rPr>
          <w:rtl/>
        </w:rPr>
        <w:t xml:space="preserve"> </w:t>
      </w:r>
      <w:r w:rsidRPr="000E4FBD">
        <w:rPr>
          <w:rFonts w:cs="Arial"/>
          <w:rtl/>
        </w:rPr>
        <w:t>כלומר והריוח הוא לה דמאחר דהמנהג הוא שאין הבעל משלם הפחת אף על גב דמדינא אם פחתו פחתו לו א"כ גם אם הותירו לא הותירו לו רק לה דלמה תלקה האשה בחסר ויתר ועיין בתשו' הריב"ש סי' צ"א וסי' ק'</w:t>
      </w:r>
      <w:r>
        <w:rPr>
          <w:rFonts w:cs="Arial" w:hint="cs"/>
          <w:rtl/>
        </w:rPr>
        <w:t>, ח"מ (סק"ג)</w:t>
      </w:r>
    </w:p>
  </w:footnote>
  <w:footnote w:id="1125">
    <w:p w14:paraId="33E7CDAB" w14:textId="059D7D9B" w:rsidR="00DE2F5F" w:rsidRDefault="00DE2F5F">
      <w:pPr>
        <w:pStyle w:val="a5"/>
      </w:pPr>
      <w:r>
        <w:rPr>
          <w:rStyle w:val="a7"/>
        </w:rPr>
        <w:footnoteRef/>
      </w:r>
      <w:r>
        <w:rPr>
          <w:rtl/>
        </w:rPr>
        <w:t xml:space="preserve"> </w:t>
      </w:r>
      <w:r w:rsidRPr="00706BA2">
        <w:rPr>
          <w:rFonts w:cs="Arial"/>
          <w:rtl/>
        </w:rPr>
        <w:t>משמע אפי' למנהג שלנו שאין כותבין שום כלי מ"מ שייך שב"א בכלים שהכניסה לו ויש לדמות לולד שפחה דאין פורטים בכתובה מ"מ שייך שב"א וכ"כ בט"ז גם מוכח לדעת הרא"ש והטור דס"ל וולד בהמה וולד שפחה שייך שב"א ובעת הגירושין צריך ליתן לה וכל זמן שהיא תחתיו רשאי למכור ש"מ אע</w:t>
      </w:r>
      <w:r>
        <w:rPr>
          <w:rFonts w:cs="Arial" w:hint="cs"/>
          <w:rtl/>
        </w:rPr>
        <w:t>"</w:t>
      </w:r>
      <w:r w:rsidRPr="00706BA2">
        <w:rPr>
          <w:rFonts w:cs="Arial"/>
          <w:rtl/>
        </w:rPr>
        <w:t>ג דרשאי להוציא ולמכור מ"מ שייך שב"א לכן אפי' בזה"ז אם עדיין אותן מטלטלין שהכניס</w:t>
      </w:r>
      <w:r>
        <w:rPr>
          <w:rFonts w:cs="Arial" w:hint="cs"/>
          <w:rtl/>
        </w:rPr>
        <w:t>ה</w:t>
      </w:r>
      <w:r w:rsidRPr="00706BA2">
        <w:rPr>
          <w:rFonts w:cs="Arial"/>
          <w:rtl/>
        </w:rPr>
        <w:t xml:space="preserve"> בנדוניא הן בעין יכולה לומר את כליי אני לוקח בעת גביות כתובת'</w:t>
      </w:r>
      <w:r>
        <w:rPr>
          <w:rFonts w:cs="Arial" w:hint="cs"/>
          <w:rtl/>
        </w:rPr>
        <w:t>, ב"ש (סק"ד).</w:t>
      </w:r>
    </w:p>
  </w:footnote>
  <w:footnote w:id="1126">
    <w:p w14:paraId="683502CF" w14:textId="006ECE1A" w:rsidR="00DE2F5F" w:rsidRDefault="00DE2F5F">
      <w:pPr>
        <w:pStyle w:val="a5"/>
      </w:pPr>
      <w:r>
        <w:rPr>
          <w:rStyle w:val="a7"/>
        </w:rPr>
        <w:footnoteRef/>
      </w:r>
      <w:r>
        <w:rPr>
          <w:rtl/>
        </w:rPr>
        <w:t xml:space="preserve"> </w:t>
      </w:r>
      <w:r w:rsidRPr="00706BA2">
        <w:rPr>
          <w:rFonts w:cs="Arial"/>
          <w:rtl/>
        </w:rPr>
        <w:t>אז שייך שב"א ונוטל' כשומא של עכשיו ואם אין עושי' מעין מלאכתן אפי' אם רוצה למחול על הפחת ורצונה ליקח כמות שהן יכול הוא לעכב וא"צ ליתן לה וכן משמע מריב"ש וכ"כ בח"מ</w:t>
      </w:r>
      <w:r>
        <w:rPr>
          <w:rFonts w:hint="cs"/>
          <w:rtl/>
        </w:rPr>
        <w:t xml:space="preserve"> (סק"ה), ב"ש (סק"ה).</w:t>
      </w:r>
    </w:p>
  </w:footnote>
  <w:footnote w:id="1127">
    <w:p w14:paraId="6EC663AA" w14:textId="12D1DA04" w:rsidR="00DE2F5F" w:rsidRPr="00BC7C07" w:rsidRDefault="00DE2F5F" w:rsidP="00BC7C07">
      <w:pPr>
        <w:pStyle w:val="a5"/>
        <w:rPr>
          <w:rFonts w:cs="Arial"/>
        </w:rPr>
      </w:pPr>
      <w:r>
        <w:rPr>
          <w:rStyle w:val="a7"/>
        </w:rPr>
        <w:footnoteRef/>
      </w:r>
      <w:r>
        <w:rPr>
          <w:rFonts w:hint="cs"/>
          <w:rtl/>
        </w:rPr>
        <w:t xml:space="preserve"> </w:t>
      </w:r>
      <w:r w:rsidRPr="00BC7C07">
        <w:rPr>
          <w:rFonts w:cs="Arial"/>
          <w:rtl/>
        </w:rPr>
        <w:t>כלו</w:t>
      </w:r>
      <w:r>
        <w:rPr>
          <w:rFonts w:cs="Arial" w:hint="cs"/>
          <w:rtl/>
        </w:rPr>
        <w:t>מר</w:t>
      </w:r>
      <w:r w:rsidRPr="00BC7C07">
        <w:rPr>
          <w:rFonts w:cs="Arial"/>
          <w:rtl/>
        </w:rPr>
        <w:t xml:space="preserve"> אע</w:t>
      </w:r>
      <w:r>
        <w:rPr>
          <w:rFonts w:cs="Arial" w:hint="cs"/>
          <w:rtl/>
        </w:rPr>
        <w:t>"</w:t>
      </w:r>
      <w:r w:rsidRPr="00BC7C07">
        <w:rPr>
          <w:rFonts w:cs="Arial"/>
          <w:rtl/>
        </w:rPr>
        <w:t>פ שבעודה תחתיו כל הולדות שלו מ"מ אם בשעת מיתה וגירושין יש ביד הבעל ולד השפחה שלה או ולד הבהמה שלה שלא מכרן הבעל אזי נותנת לו דמיהן ונוטלתן משום שבח בית אביה</w:t>
      </w:r>
      <w:r>
        <w:rPr>
          <w:rFonts w:cs="Arial" w:hint="cs"/>
          <w:rtl/>
        </w:rPr>
        <w:t>.</w:t>
      </w:r>
      <w:r>
        <w:rPr>
          <w:rtl/>
        </w:rPr>
        <w:t xml:space="preserve"> </w:t>
      </w:r>
      <w:r w:rsidRPr="00BC7C07">
        <w:rPr>
          <w:rFonts w:cs="Arial"/>
          <w:rtl/>
        </w:rPr>
        <w:t>ומשמע כאן דאף בולד בהמה יש שבח בית אביה</w:t>
      </w:r>
      <w:r>
        <w:rPr>
          <w:rFonts w:cs="Arial" w:hint="cs"/>
          <w:rtl/>
        </w:rPr>
        <w:t>,</w:t>
      </w:r>
      <w:r w:rsidRPr="00BC7C07">
        <w:rPr>
          <w:rFonts w:cs="Arial"/>
          <w:rtl/>
        </w:rPr>
        <w:t xml:space="preserve"> אבל פשט הגמ' </w:t>
      </w:r>
      <w:r>
        <w:rPr>
          <w:rFonts w:cs="Arial" w:hint="cs"/>
          <w:rtl/>
        </w:rPr>
        <w:t>(</w:t>
      </w:r>
      <w:r w:rsidRPr="00BC7C07">
        <w:rPr>
          <w:rFonts w:cs="Arial"/>
          <w:rtl/>
        </w:rPr>
        <w:t>כתובות</w:t>
      </w:r>
      <w:r>
        <w:rPr>
          <w:rFonts w:cs="Arial" w:hint="cs"/>
          <w:rtl/>
        </w:rPr>
        <w:t xml:space="preserve"> </w:t>
      </w:r>
      <w:r w:rsidRPr="00BC7C07">
        <w:rPr>
          <w:rFonts w:cs="Arial"/>
          <w:rtl/>
        </w:rPr>
        <w:t>עט</w:t>
      </w:r>
      <w:r>
        <w:rPr>
          <w:rFonts w:cs="Arial" w:hint="cs"/>
          <w:rtl/>
        </w:rPr>
        <w:t>:)</w:t>
      </w:r>
      <w:r w:rsidRPr="00BC7C07">
        <w:rPr>
          <w:rFonts w:cs="Arial"/>
          <w:rtl/>
        </w:rPr>
        <w:t xml:space="preserve"> דמודה חנניא שאם נתגרשה לא קאי אלא אולד שפחה</w:t>
      </w:r>
      <w:r>
        <w:rPr>
          <w:rFonts w:cs="Arial" w:hint="cs"/>
          <w:rtl/>
        </w:rPr>
        <w:t>,</w:t>
      </w:r>
      <w:r w:rsidRPr="00BC7C07">
        <w:rPr>
          <w:rFonts w:cs="Arial"/>
          <w:rtl/>
        </w:rPr>
        <w:t xml:space="preserve"> וכ"כ הרמב"ם בהדיא נותנת דמים משום שבח בית אביה בפכ"ב</w:t>
      </w:r>
      <w:r>
        <w:rPr>
          <w:rFonts w:cs="Arial" w:hint="cs"/>
          <w:rtl/>
        </w:rPr>
        <w:t>,</w:t>
      </w:r>
      <w:r w:rsidRPr="00BC7C07">
        <w:rPr>
          <w:rFonts w:cs="Arial"/>
          <w:rtl/>
        </w:rPr>
        <w:t xml:space="preserve"> וכ"כ המ"מ שם</w:t>
      </w:r>
      <w:r>
        <w:rPr>
          <w:rFonts w:cs="Arial" w:hint="cs"/>
          <w:rtl/>
        </w:rPr>
        <w:t>,</w:t>
      </w:r>
      <w:r w:rsidRPr="00BC7C07">
        <w:rPr>
          <w:rFonts w:cs="Arial"/>
          <w:rtl/>
        </w:rPr>
        <w:t xml:space="preserve"> וכן הוא בריב"ש סי' כ"א</w:t>
      </w:r>
      <w:r>
        <w:rPr>
          <w:rFonts w:cs="Arial" w:hint="cs"/>
          <w:rtl/>
        </w:rPr>
        <w:t>,</w:t>
      </w:r>
      <w:r w:rsidRPr="00BC7C07">
        <w:rPr>
          <w:rFonts w:cs="Arial"/>
          <w:rtl/>
        </w:rPr>
        <w:t xml:space="preserve"> וכן פסק לעיל סי' פ"ה סעיף ט"ז</w:t>
      </w:r>
      <w:r>
        <w:rPr>
          <w:rFonts w:cs="Arial" w:hint="cs"/>
          <w:rtl/>
        </w:rPr>
        <w:t>,</w:t>
      </w:r>
      <w:r w:rsidRPr="00BC7C07">
        <w:rPr>
          <w:rFonts w:cs="Arial"/>
          <w:rtl/>
        </w:rPr>
        <w:t xml:space="preserve"> וכאן נמשך אחר לשון הטור ולא זכר מה שפסק בסי' פ"ה</w:t>
      </w:r>
      <w:r>
        <w:rPr>
          <w:rFonts w:cs="Arial" w:hint="cs"/>
          <w:rtl/>
        </w:rPr>
        <w:t xml:space="preserve">, ח"מ (סק"ו). </w:t>
      </w:r>
    </w:p>
  </w:footnote>
  <w:footnote w:id="1128">
    <w:p w14:paraId="01322533" w14:textId="265BB765" w:rsidR="00DE2F5F" w:rsidRDefault="00DE2F5F">
      <w:pPr>
        <w:pStyle w:val="a5"/>
        <w:rPr>
          <w:rtl/>
        </w:rPr>
      </w:pPr>
      <w:r>
        <w:rPr>
          <w:rStyle w:val="a7"/>
        </w:rPr>
        <w:footnoteRef/>
      </w:r>
      <w:r>
        <w:rPr>
          <w:rtl/>
        </w:rPr>
        <w:t xml:space="preserve"> </w:t>
      </w:r>
      <w:r w:rsidRPr="00FF165F">
        <w:rPr>
          <w:rFonts w:cs="Arial"/>
          <w:rtl/>
        </w:rPr>
        <w:t>אע</w:t>
      </w:r>
      <w:r>
        <w:rPr>
          <w:rFonts w:cs="Arial" w:hint="cs"/>
          <w:rtl/>
        </w:rPr>
        <w:t>"</w:t>
      </w:r>
      <w:r w:rsidRPr="00FF165F">
        <w:rPr>
          <w:rFonts w:cs="Arial"/>
          <w:rtl/>
        </w:rPr>
        <w:t>ג דצריכים ליתן לה הכלים</w:t>
      </w:r>
      <w:r>
        <w:rPr>
          <w:rFonts w:cs="Arial" w:hint="cs"/>
          <w:rtl/>
        </w:rPr>
        <w:t>,</w:t>
      </w:r>
      <w:r w:rsidRPr="00FF165F">
        <w:rPr>
          <w:rFonts w:cs="Arial"/>
          <w:rtl/>
        </w:rPr>
        <w:t xml:space="preserve"> מ"מ כיון דמחוסר גוביינא </w:t>
      </w:r>
      <w:r>
        <w:rPr>
          <w:rFonts w:cs="Arial" w:hint="cs"/>
          <w:rtl/>
        </w:rPr>
        <w:t xml:space="preserve">- </w:t>
      </w:r>
      <w:r w:rsidRPr="00FF165F">
        <w:rPr>
          <w:rFonts w:cs="Arial"/>
          <w:rtl/>
        </w:rPr>
        <w:t>חל הקדש עליהם</w:t>
      </w:r>
      <w:r>
        <w:rPr>
          <w:rFonts w:cs="Arial" w:hint="cs"/>
          <w:rtl/>
        </w:rPr>
        <w:t>.</w:t>
      </w:r>
      <w:r w:rsidRPr="00FF165F">
        <w:rPr>
          <w:rFonts w:cs="Arial"/>
          <w:rtl/>
        </w:rPr>
        <w:t xml:space="preserve"> א</w:t>
      </w:r>
      <w:r>
        <w:rPr>
          <w:rFonts w:cs="Arial" w:hint="cs"/>
          <w:rtl/>
        </w:rPr>
        <w:t>ע"ג</w:t>
      </w:r>
      <w:r w:rsidRPr="00FF165F">
        <w:rPr>
          <w:rFonts w:cs="Arial"/>
          <w:rtl/>
        </w:rPr>
        <w:t xml:space="preserve"> </w:t>
      </w:r>
      <w:r>
        <w:rPr>
          <w:rFonts w:cs="Arial" w:hint="cs"/>
          <w:rtl/>
        </w:rPr>
        <w:t>ד</w:t>
      </w:r>
      <w:r w:rsidRPr="00FF165F">
        <w:rPr>
          <w:rFonts w:cs="Arial"/>
          <w:rtl/>
        </w:rPr>
        <w:t>אם היא אמרה קונם מ</w:t>
      </w:r>
      <w:r>
        <w:rPr>
          <w:rFonts w:cs="Arial" w:hint="cs"/>
          <w:rtl/>
        </w:rPr>
        <w:t>עשה יד</w:t>
      </w:r>
      <w:r w:rsidRPr="00FF165F">
        <w:rPr>
          <w:rFonts w:cs="Arial"/>
          <w:rtl/>
        </w:rPr>
        <w:t>י א</w:t>
      </w:r>
      <w:r>
        <w:rPr>
          <w:rFonts w:cs="Arial" w:hint="cs"/>
          <w:rtl/>
        </w:rPr>
        <w:t>ינה יכולה</w:t>
      </w:r>
      <w:r w:rsidRPr="00FF165F">
        <w:rPr>
          <w:rFonts w:cs="Arial"/>
          <w:rtl/>
        </w:rPr>
        <w:t xml:space="preserve"> לאסור מ</w:t>
      </w:r>
      <w:r>
        <w:rPr>
          <w:rFonts w:cs="Arial" w:hint="cs"/>
          <w:rtl/>
        </w:rPr>
        <w:t>עשה ידיה</w:t>
      </w:r>
      <w:r w:rsidRPr="00FF165F">
        <w:rPr>
          <w:rFonts w:cs="Arial"/>
          <w:rtl/>
        </w:rPr>
        <w:t xml:space="preserve"> מעכשיו אפי' אם אמרה יקדשו ידי</w:t>
      </w:r>
      <w:r>
        <w:rPr>
          <w:rFonts w:cs="Arial" w:hint="cs"/>
          <w:rtl/>
        </w:rPr>
        <w:t>,</w:t>
      </w:r>
      <w:r w:rsidRPr="00FF165F">
        <w:rPr>
          <w:rFonts w:cs="Arial"/>
          <w:rtl/>
        </w:rPr>
        <w:t xml:space="preserve"> משום דאלמוה חז"ל לשיעבוד דבעל</w:t>
      </w:r>
      <w:r>
        <w:rPr>
          <w:rFonts w:cs="Arial" w:hint="cs"/>
          <w:rtl/>
        </w:rPr>
        <w:t>,</w:t>
      </w:r>
      <w:r w:rsidRPr="00FF165F">
        <w:rPr>
          <w:rFonts w:cs="Arial"/>
          <w:rtl/>
        </w:rPr>
        <w:t xml:space="preserve"> כמ"ש בסוגיא פ' אף על פי ולעיל סי' פ"ב</w:t>
      </w:r>
      <w:r>
        <w:rPr>
          <w:rFonts w:cs="Arial" w:hint="cs"/>
          <w:rtl/>
        </w:rPr>
        <w:t>,</w:t>
      </w:r>
      <w:r w:rsidRPr="00FF165F">
        <w:rPr>
          <w:rFonts w:cs="Arial"/>
          <w:rtl/>
        </w:rPr>
        <w:t xml:space="preserve"> ובשיעבוד האשה קי"ל ג"כ דאלמוה חז"ל שיעבוד שלה</w:t>
      </w:r>
      <w:r>
        <w:rPr>
          <w:rFonts w:cs="Arial" w:hint="cs"/>
          <w:rtl/>
        </w:rPr>
        <w:t>,</w:t>
      </w:r>
      <w:r w:rsidRPr="00FF165F">
        <w:rPr>
          <w:rFonts w:cs="Arial"/>
          <w:rtl/>
        </w:rPr>
        <w:t xml:space="preserve"> ומ"מ חל הקדש על שיעבוד שלה אע</w:t>
      </w:r>
      <w:r>
        <w:rPr>
          <w:rFonts w:cs="Arial" w:hint="cs"/>
          <w:rtl/>
        </w:rPr>
        <w:t>"</w:t>
      </w:r>
      <w:r w:rsidRPr="00FF165F">
        <w:rPr>
          <w:rFonts w:cs="Arial"/>
          <w:rtl/>
        </w:rPr>
        <w:t xml:space="preserve">ג </w:t>
      </w:r>
      <w:r>
        <w:rPr>
          <w:rFonts w:cs="Arial" w:hint="cs"/>
          <w:rtl/>
        </w:rPr>
        <w:t>ד</w:t>
      </w:r>
      <w:r w:rsidRPr="00FF165F">
        <w:rPr>
          <w:rFonts w:cs="Arial"/>
          <w:rtl/>
        </w:rPr>
        <w:t>קונם אין חל</w:t>
      </w:r>
      <w:r>
        <w:rPr>
          <w:rFonts w:cs="Arial" w:hint="cs"/>
          <w:rtl/>
        </w:rPr>
        <w:t>,</w:t>
      </w:r>
      <w:r w:rsidRPr="00FF165F">
        <w:rPr>
          <w:rFonts w:cs="Arial"/>
          <w:rtl/>
        </w:rPr>
        <w:t xml:space="preserve"> שאני קונם דאינה אסורה על כל העולם</w:t>
      </w:r>
      <w:r>
        <w:rPr>
          <w:rFonts w:cs="Arial" w:hint="cs"/>
          <w:rtl/>
        </w:rPr>
        <w:t>,</w:t>
      </w:r>
      <w:r w:rsidRPr="00FF165F">
        <w:rPr>
          <w:rFonts w:cs="Arial"/>
          <w:rtl/>
        </w:rPr>
        <w:t xml:space="preserve"> אבל הקדש אסור ע</w:t>
      </w:r>
      <w:r>
        <w:rPr>
          <w:rFonts w:cs="Arial" w:hint="cs"/>
          <w:rtl/>
        </w:rPr>
        <w:t xml:space="preserve">ל </w:t>
      </w:r>
      <w:r w:rsidRPr="00FF165F">
        <w:rPr>
          <w:rFonts w:cs="Arial"/>
          <w:rtl/>
        </w:rPr>
        <w:t>כ</w:t>
      </w:r>
      <w:r>
        <w:rPr>
          <w:rFonts w:cs="Arial" w:hint="cs"/>
          <w:rtl/>
        </w:rPr>
        <w:t>ל</w:t>
      </w:r>
      <w:r w:rsidRPr="00FF165F">
        <w:rPr>
          <w:rFonts w:cs="Arial"/>
          <w:rtl/>
        </w:rPr>
        <w:t xml:space="preserve"> העולם חל טפי</w:t>
      </w:r>
      <w:r>
        <w:rPr>
          <w:rFonts w:cs="Arial" w:hint="cs"/>
          <w:rtl/>
        </w:rPr>
        <w:t>,</w:t>
      </w:r>
      <w:r w:rsidRPr="00FF165F">
        <w:rPr>
          <w:rFonts w:cs="Arial"/>
          <w:rtl/>
        </w:rPr>
        <w:t xml:space="preserve"> כ"כ תוספות פ' אע"פ</w:t>
      </w:r>
      <w:r>
        <w:rPr>
          <w:rFonts w:cs="Arial" w:hint="cs"/>
          <w:rtl/>
        </w:rPr>
        <w:t>.</w:t>
      </w:r>
      <w:r w:rsidRPr="00FF165F">
        <w:rPr>
          <w:rFonts w:cs="Arial"/>
          <w:rtl/>
        </w:rPr>
        <w:t xml:space="preserve"> מיהו בנ</w:t>
      </w:r>
      <w:r>
        <w:rPr>
          <w:rFonts w:cs="Arial" w:hint="cs"/>
          <w:rtl/>
        </w:rPr>
        <w:t>מוק</w:t>
      </w:r>
      <w:r w:rsidRPr="00FF165F">
        <w:rPr>
          <w:rFonts w:cs="Arial"/>
          <w:rtl/>
        </w:rPr>
        <w:t>"י משמע הקדש ג"כ לא חל אלא כשהפרישו על המת משום צורך המת</w:t>
      </w:r>
      <w:r>
        <w:rPr>
          <w:rFonts w:cs="Arial" w:hint="cs"/>
          <w:rtl/>
        </w:rPr>
        <w:t>,</w:t>
      </w:r>
      <w:r w:rsidRPr="00FF165F">
        <w:rPr>
          <w:rFonts w:cs="Arial"/>
          <w:rtl/>
        </w:rPr>
        <w:t xml:space="preserve"> אז נאסר דאינו מצוי</w:t>
      </w:r>
      <w:r>
        <w:rPr>
          <w:rFonts w:cs="Arial" w:hint="cs"/>
          <w:rtl/>
        </w:rPr>
        <w:t>,</w:t>
      </w:r>
      <w:r w:rsidRPr="00FF165F">
        <w:rPr>
          <w:rFonts w:cs="Arial"/>
          <w:rtl/>
        </w:rPr>
        <w:t xml:space="preserve"> אבל הקדש לא חל עיין שם בפרק אלמנה לכ"ג</w:t>
      </w:r>
      <w:r>
        <w:rPr>
          <w:rFonts w:cs="Arial" w:hint="cs"/>
          <w:rtl/>
        </w:rPr>
        <w:t>.</w:t>
      </w:r>
      <w:r w:rsidRPr="00FF165F">
        <w:rPr>
          <w:rFonts w:cs="Arial"/>
          <w:rtl/>
        </w:rPr>
        <w:t xml:space="preserve"> והרא"ש בפרק המדיר תירץ בע"א וכתב אע</w:t>
      </w:r>
      <w:r>
        <w:rPr>
          <w:rFonts w:cs="Arial" w:hint="cs"/>
          <w:rtl/>
        </w:rPr>
        <w:t>"</w:t>
      </w:r>
      <w:r w:rsidRPr="00FF165F">
        <w:rPr>
          <w:rFonts w:cs="Arial"/>
          <w:rtl/>
        </w:rPr>
        <w:t>ג דאלמוה שיעבוד האשה מ"מ לענין כתובה לא אלמוה</w:t>
      </w:r>
      <w:r>
        <w:rPr>
          <w:rFonts w:cs="Arial" w:hint="cs"/>
          <w:rtl/>
        </w:rPr>
        <w:t>,</w:t>
      </w:r>
      <w:r w:rsidRPr="00FF165F">
        <w:rPr>
          <w:rFonts w:cs="Arial"/>
          <w:rtl/>
        </w:rPr>
        <w:t xml:space="preserve"> ואם הקדישה היא נ"מ שלה תלי' בתרוצים אלו</w:t>
      </w:r>
      <w:r>
        <w:rPr>
          <w:rFonts w:cs="Arial" w:hint="cs"/>
          <w:rtl/>
        </w:rPr>
        <w:t>,</w:t>
      </w:r>
      <w:r w:rsidRPr="00FF165F">
        <w:rPr>
          <w:rFonts w:cs="Arial"/>
          <w:rtl/>
        </w:rPr>
        <w:t xml:space="preserve"> לפי תירוץ של תוספות הנ"ל חל ההקדש</w:t>
      </w:r>
      <w:r>
        <w:rPr>
          <w:rFonts w:cs="Arial" w:hint="cs"/>
          <w:rtl/>
        </w:rPr>
        <w:t>,</w:t>
      </w:r>
      <w:r w:rsidRPr="00FF165F">
        <w:rPr>
          <w:rFonts w:cs="Arial"/>
          <w:rtl/>
        </w:rPr>
        <w:t xml:space="preserve"> ולמ"ש הרא"ש לא חל</w:t>
      </w:r>
      <w:r>
        <w:rPr>
          <w:rFonts w:cs="Arial" w:hint="cs"/>
          <w:rtl/>
        </w:rPr>
        <w:t>,</w:t>
      </w:r>
      <w:r w:rsidRPr="00FF165F">
        <w:rPr>
          <w:rFonts w:cs="Arial"/>
          <w:rtl/>
        </w:rPr>
        <w:t xml:space="preserve"> וכן לתירוץ בתרא של תו</w:t>
      </w:r>
      <w:r>
        <w:rPr>
          <w:rFonts w:cs="Arial" w:hint="cs"/>
          <w:rtl/>
        </w:rPr>
        <w:t>ס'</w:t>
      </w:r>
      <w:r w:rsidRPr="00FF165F">
        <w:rPr>
          <w:rFonts w:cs="Arial"/>
          <w:rtl/>
        </w:rPr>
        <w:t xml:space="preserve"> א</w:t>
      </w:r>
      <w:r>
        <w:rPr>
          <w:rFonts w:cs="Arial" w:hint="cs"/>
          <w:rtl/>
        </w:rPr>
        <w:t>"י</w:t>
      </w:r>
      <w:r w:rsidRPr="00FF165F">
        <w:rPr>
          <w:rFonts w:cs="Arial"/>
          <w:rtl/>
        </w:rPr>
        <w:t xml:space="preserve"> להקדיש נ"מ משום דידו עדיפא מידה</w:t>
      </w:r>
      <w:r>
        <w:rPr>
          <w:rFonts w:cs="Arial" w:hint="cs"/>
          <w:rtl/>
        </w:rPr>
        <w:t>,</w:t>
      </w:r>
      <w:r w:rsidRPr="00FF165F">
        <w:rPr>
          <w:rFonts w:cs="Arial"/>
          <w:rtl/>
        </w:rPr>
        <w:t xml:space="preserve"> ועיין ח"ה סי' רע"ב ועיין סי' צ'</w:t>
      </w:r>
      <w:r>
        <w:rPr>
          <w:rFonts w:hint="cs"/>
          <w:rtl/>
        </w:rPr>
        <w:t>, ב"ש (סק"ז).</w:t>
      </w:r>
    </w:p>
  </w:footnote>
  <w:footnote w:id="1129">
    <w:p w14:paraId="0A2CF1D5" w14:textId="784BBAF2" w:rsidR="00DE2F5F" w:rsidRDefault="00DE2F5F">
      <w:pPr>
        <w:pStyle w:val="a5"/>
      </w:pPr>
      <w:r>
        <w:rPr>
          <w:rStyle w:val="a7"/>
        </w:rPr>
        <w:footnoteRef/>
      </w:r>
      <w:r>
        <w:rPr>
          <w:rtl/>
        </w:rPr>
        <w:t xml:space="preserve"> </w:t>
      </w:r>
      <w:r w:rsidRPr="00D74190">
        <w:rPr>
          <w:rFonts w:cs="Arial"/>
          <w:rtl/>
        </w:rPr>
        <w:t>חכמים</w:t>
      </w:r>
      <w:r>
        <w:rPr>
          <w:rFonts w:cs="Arial" w:hint="cs"/>
          <w:rtl/>
        </w:rPr>
        <w:t>, רש"י.</w:t>
      </w:r>
    </w:p>
  </w:footnote>
  <w:footnote w:id="1130">
    <w:p w14:paraId="6F825B4C" w14:textId="19E6ABFC" w:rsidR="00DE2F5F" w:rsidRDefault="00DE2F5F">
      <w:pPr>
        <w:pStyle w:val="a5"/>
      </w:pPr>
      <w:r>
        <w:rPr>
          <w:rStyle w:val="a7"/>
        </w:rPr>
        <w:footnoteRef/>
      </w:r>
      <w:r>
        <w:rPr>
          <w:rtl/>
        </w:rPr>
        <w:t xml:space="preserve"> </w:t>
      </w:r>
      <w:r w:rsidRPr="00D74190">
        <w:rPr>
          <w:rFonts w:cs="Arial"/>
          <w:rtl/>
        </w:rPr>
        <w:t>דלא איירו בהו רבנן לית להו הא דאמר ר"ש ביציאתה שלה</w:t>
      </w:r>
      <w:r>
        <w:rPr>
          <w:rFonts w:cs="Arial" w:hint="cs"/>
          <w:rtl/>
        </w:rPr>
        <w:t>,</w:t>
      </w:r>
      <w:r w:rsidRPr="00D74190">
        <w:rPr>
          <w:rFonts w:cs="Arial"/>
          <w:rtl/>
        </w:rPr>
        <w:t xml:space="preserve"> דקסברי מה שגדל ברשותו שלו</w:t>
      </w:r>
      <w:r>
        <w:rPr>
          <w:rFonts w:cs="Arial" w:hint="cs"/>
          <w:rtl/>
        </w:rPr>
        <w:t>.</w:t>
      </w:r>
      <w:r w:rsidRPr="00D74190">
        <w:rPr>
          <w:rFonts w:cs="Arial"/>
          <w:rtl/>
        </w:rPr>
        <w:t xml:space="preserve"> ותלוש בשעת יציאה ליכא למימר דפליגי עליה ונימרו שלה</w:t>
      </w:r>
      <w:r>
        <w:rPr>
          <w:rFonts w:cs="Arial" w:hint="cs"/>
          <w:rtl/>
        </w:rPr>
        <w:t>,</w:t>
      </w:r>
      <w:r w:rsidRPr="00D74190">
        <w:rPr>
          <w:rFonts w:cs="Arial"/>
          <w:rtl/>
        </w:rPr>
        <w:t xml:space="preserve"> דכיון דתלשן הכל מודים שזכה בהן</w:t>
      </w:r>
      <w:r>
        <w:rPr>
          <w:rFonts w:cs="Arial" w:hint="cs"/>
          <w:rtl/>
        </w:rPr>
        <w:t>, רש"י.</w:t>
      </w:r>
    </w:p>
  </w:footnote>
  <w:footnote w:id="1131">
    <w:p w14:paraId="296AE9B8" w14:textId="5449E0ED" w:rsidR="00DE2F5F" w:rsidRDefault="00DE2F5F">
      <w:pPr>
        <w:pStyle w:val="a5"/>
      </w:pPr>
      <w:r>
        <w:rPr>
          <w:rStyle w:val="a7"/>
        </w:rPr>
        <w:footnoteRef/>
      </w:r>
      <w:r>
        <w:rPr>
          <w:rtl/>
        </w:rPr>
        <w:t xml:space="preserve"> </w:t>
      </w:r>
      <w:r w:rsidRPr="00CD0298">
        <w:rPr>
          <w:rFonts w:cs="Arial"/>
          <w:rtl/>
        </w:rPr>
        <w:t>ובהכי מתרצא נמי מה שהקשה הר"י הלוי ז"ל על פסק רב אלפס מההיא דיש נוחלין (ב"ב קלו.) הכותב נכסיו לבנו לאחר מותו מכר האב מכורין עד שימות ושמין את המחובר ללוקח</w:t>
      </w:r>
      <w:r>
        <w:rPr>
          <w:rFonts w:cs="Arial" w:hint="cs"/>
          <w:rtl/>
        </w:rPr>
        <w:t>,</w:t>
      </w:r>
      <w:r w:rsidRPr="00CD0298">
        <w:rPr>
          <w:rFonts w:cs="Arial"/>
          <w:rtl/>
        </w:rPr>
        <w:t xml:space="preserve"> אלמא בפירות מחוברים אזלי</w:t>
      </w:r>
      <w:r w:rsidRPr="00CD0298">
        <w:rPr>
          <w:rFonts w:cs="Arial" w:hint="cs"/>
          <w:rtl/>
        </w:rPr>
        <w:t>נ</w:t>
      </w:r>
      <w:r w:rsidRPr="00CD0298">
        <w:rPr>
          <w:rFonts w:cs="Arial"/>
          <w:rtl/>
        </w:rPr>
        <w:t>ן בתר מאן דגדלי ברשותו</w:t>
      </w:r>
      <w:r>
        <w:rPr>
          <w:rFonts w:cs="Arial" w:hint="cs"/>
          <w:rtl/>
        </w:rPr>
        <w:t>,</w:t>
      </w:r>
      <w:r w:rsidRPr="00CD0298">
        <w:rPr>
          <w:rFonts w:cs="Arial"/>
          <w:rtl/>
        </w:rPr>
        <w:t xml:space="preserve"> ומחמת קושיא זו פסק הלכה כרבנן</w:t>
      </w:r>
      <w:r>
        <w:rPr>
          <w:rFonts w:cs="Arial" w:hint="cs"/>
          <w:rtl/>
        </w:rPr>
        <w:t>,</w:t>
      </w:r>
      <w:r w:rsidRPr="00CD0298">
        <w:rPr>
          <w:rFonts w:cs="Arial"/>
          <w:rtl/>
        </w:rPr>
        <w:t xml:space="preserve"> ולא קשיא מידי כדפרישית</w:t>
      </w:r>
      <w:r>
        <w:rPr>
          <w:rFonts w:cs="Arial" w:hint="cs"/>
          <w:rtl/>
        </w:rPr>
        <w:t>,</w:t>
      </w:r>
      <w:r w:rsidRPr="00CD0298">
        <w:rPr>
          <w:rFonts w:cs="Arial"/>
          <w:rtl/>
        </w:rPr>
        <w:t xml:space="preserve"> דאכילת פירות אינו אלא תקנת חכמים</w:t>
      </w:r>
      <w:r>
        <w:rPr>
          <w:rFonts w:cs="Arial" w:hint="cs"/>
          <w:rtl/>
        </w:rPr>
        <w:t>.</w:t>
      </w:r>
      <w:r w:rsidRPr="00CD0298">
        <w:rPr>
          <w:rFonts w:cs="Arial"/>
          <w:rtl/>
        </w:rPr>
        <w:t xml:space="preserve"> וגם לדידיה קשה לרבנן על הכניסה</w:t>
      </w:r>
      <w:r>
        <w:rPr>
          <w:rFonts w:cs="Arial" w:hint="cs"/>
          <w:rtl/>
        </w:rPr>
        <w:t>,</w:t>
      </w:r>
      <w:r w:rsidRPr="00CD0298">
        <w:rPr>
          <w:rFonts w:cs="Arial"/>
          <w:rtl/>
        </w:rPr>
        <w:t xml:space="preserve"> אלא ודאי חכמים השוו מדותיהם באכילת פירות שכל הנלקטים תחתיו הם שלו</w:t>
      </w:r>
      <w:r>
        <w:rPr>
          <w:rFonts w:cs="Arial" w:hint="cs"/>
          <w:rtl/>
        </w:rPr>
        <w:t>, רא"ש (שם).</w:t>
      </w:r>
    </w:p>
  </w:footnote>
  <w:footnote w:id="1132">
    <w:p w14:paraId="40FA80A2" w14:textId="28791B85" w:rsidR="00DE2F5F" w:rsidRDefault="00DE2F5F">
      <w:pPr>
        <w:pStyle w:val="a5"/>
      </w:pPr>
      <w:r>
        <w:rPr>
          <w:rStyle w:val="a7"/>
        </w:rPr>
        <w:footnoteRef/>
      </w:r>
      <w:r>
        <w:rPr>
          <w:rtl/>
        </w:rPr>
        <w:t xml:space="preserve"> </w:t>
      </w:r>
      <w:r>
        <w:rPr>
          <w:rFonts w:cs="Arial"/>
          <w:rtl/>
        </w:rPr>
        <w:t>כן משמע מהא דכתבתי בסמוך בשם הרא"ש שכל הנלקטים תחתיו הם שלו</w:t>
      </w:r>
      <w:r>
        <w:rPr>
          <w:rFonts w:cs="Arial" w:hint="cs"/>
          <w:rtl/>
        </w:rPr>
        <w:t>, ב"י.</w:t>
      </w:r>
    </w:p>
  </w:footnote>
  <w:footnote w:id="1133">
    <w:p w14:paraId="78A88970" w14:textId="46DA585E" w:rsidR="00DE2F5F" w:rsidRDefault="00DE2F5F">
      <w:pPr>
        <w:pStyle w:val="a5"/>
      </w:pPr>
      <w:r>
        <w:rPr>
          <w:rStyle w:val="a7"/>
        </w:rPr>
        <w:footnoteRef/>
      </w:r>
      <w:r>
        <w:rPr>
          <w:rtl/>
        </w:rPr>
        <w:t xml:space="preserve"> </w:t>
      </w:r>
      <w:r>
        <w:rPr>
          <w:rFonts w:hint="cs"/>
          <w:rtl/>
        </w:rPr>
        <w:t>בחנם (בלא שומא), דהרי מיירי הכא בנכסי מלוג, ואם כן למה תשום אותם דהרי לא תיקנו לו פירות אלא הנלקטים כשהיא תחתיו, ע"פ ב"ש (סק"ח). וגם הח"מ (סק"ט) כתב שברור שבמשנה מדובר על נכסי מלוג ולכן לוקחת בחנם, אך הוא תמה על השו"ע מדוע משמע ממנו שהעמיד את הפירות בנצ"ב. אך הב"ש (שם) כתב שברור שגם דעת השו"ע היא שהפירות הם בכלל נכסי מלוג.</w:t>
      </w:r>
    </w:p>
  </w:footnote>
  <w:footnote w:id="1134">
    <w:p w14:paraId="3AEC7015" w14:textId="4E6A086E" w:rsidR="00DE2F5F" w:rsidRDefault="00DE2F5F">
      <w:pPr>
        <w:pStyle w:val="a5"/>
      </w:pPr>
      <w:r>
        <w:rPr>
          <w:rStyle w:val="a7"/>
        </w:rPr>
        <w:footnoteRef/>
      </w:r>
      <w:r>
        <w:rPr>
          <w:rtl/>
        </w:rPr>
        <w:t xml:space="preserve"> </w:t>
      </w:r>
      <w:r w:rsidRPr="0019164E">
        <w:rPr>
          <w:rFonts w:cs="Arial"/>
          <w:rtl/>
        </w:rPr>
        <w:t>וכתבו הרי"ף (לח:) והרא"ש (סי' ט) וכן הלכתא. וכתב הרא"ש וכיון דלא יהיב שיעורא לחבילי זמורות מוקמינן לה אפחות שבממון והיינו שוה פרוטה עכ"ל. והרמב"ם כתב בפכ"ג מהלכות אישות (ה"ח) אפילו אכל גרוגרת אחת דרך כבוד או שאכל דינר אחד אפילו שלא דרך כבוד ואפילו לא לקח בפירות ממה שהוציא אלא חבילה אחת של זמורות מה שהוציא הוציא ומה שאכל אכל ע"כ. וטעמו משום דבפלוגתא דאמוראי דחד אמר כאיסר וחד אמר כדינר פסק כמ"ד כדינר משום דכיון דירד ברשות אית לן למפסק כמי שמקל עליו</w:t>
      </w:r>
      <w:r>
        <w:rPr>
          <w:rFonts w:cs="Arial" w:hint="cs"/>
          <w:rtl/>
        </w:rPr>
        <w:t>,</w:t>
      </w:r>
      <w:r w:rsidRPr="0019164E">
        <w:rPr>
          <w:rFonts w:cs="Arial"/>
          <w:rtl/>
        </w:rPr>
        <w:t xml:space="preserve"> ועוד שהנכסים הם בחזקתו קודם שגרשה וה"ל נתבע ועליה להביא ראיה דהלכה כמ"ד כאיסר. ונראה מדבריו שהוא מפרש דרב יהודה דעבד עובדא בחבילי זמורות לאו בשיעורא מיירי אלא אשמועינן דאפילו לא אכל פירות ממש אלא שהאכיל חבילי זמורות לבהמתו חשיב כאכל פירות</w:t>
      </w:r>
      <w:r>
        <w:rPr>
          <w:rFonts w:cs="Arial" w:hint="cs"/>
          <w:rtl/>
        </w:rPr>
        <w:t>.</w:t>
      </w:r>
      <w:r w:rsidRPr="0019164E">
        <w:rPr>
          <w:rFonts w:cs="Arial"/>
          <w:rtl/>
        </w:rPr>
        <w:t xml:space="preserve"> וכן משמע בגמרא דקאמר רב יהודה לטעמיה דאמר אכלה ערלה שביעית וכלאים ה"ז חזקה</w:t>
      </w:r>
      <w:r>
        <w:rPr>
          <w:rFonts w:cs="Arial" w:hint="cs"/>
          <w:rtl/>
        </w:rPr>
        <w:t>,</w:t>
      </w:r>
      <w:r w:rsidRPr="0019164E">
        <w:rPr>
          <w:rFonts w:cs="Arial"/>
          <w:rtl/>
        </w:rPr>
        <w:t xml:space="preserve"> כלומר ובערלה וכלאים אין שם אכילת פירות ואפילו הכי הויא חזקה משום דאכילת זמורות חשיבא אכילה</w:t>
      </w:r>
      <w:r>
        <w:rPr>
          <w:rFonts w:cs="Arial" w:hint="cs"/>
          <w:rtl/>
        </w:rPr>
        <w:t>, ב"י.</w:t>
      </w:r>
    </w:p>
  </w:footnote>
  <w:footnote w:id="1135">
    <w:p w14:paraId="76D207D0" w14:textId="7532D0B1" w:rsidR="004F6657" w:rsidRDefault="004F6657">
      <w:pPr>
        <w:pStyle w:val="a5"/>
      </w:pPr>
      <w:r>
        <w:rPr>
          <w:rStyle w:val="a7"/>
        </w:rPr>
        <w:footnoteRef/>
      </w:r>
      <w:r>
        <w:rPr>
          <w:rtl/>
        </w:rPr>
        <w:t xml:space="preserve"> </w:t>
      </w:r>
      <w:r>
        <w:rPr>
          <w:rFonts w:hint="cs"/>
          <w:rtl/>
        </w:rPr>
        <w:t>סימן - פיזר פול פרנקים.</w:t>
      </w:r>
    </w:p>
  </w:footnote>
  <w:footnote w:id="1136">
    <w:p w14:paraId="6E780F58" w14:textId="0CE3ECE7" w:rsidR="00DE2F5F" w:rsidRDefault="00DE2F5F">
      <w:pPr>
        <w:pStyle w:val="a5"/>
        <w:rPr>
          <w:rtl/>
        </w:rPr>
      </w:pPr>
      <w:r>
        <w:rPr>
          <w:rStyle w:val="a7"/>
        </w:rPr>
        <w:footnoteRef/>
      </w:r>
      <w:r>
        <w:rPr>
          <w:rtl/>
        </w:rPr>
        <w:t xml:space="preserve"> </w:t>
      </w:r>
      <w:r w:rsidRPr="009219CB">
        <w:rPr>
          <w:rFonts w:cs="Arial"/>
          <w:rtl/>
        </w:rPr>
        <w:t xml:space="preserve">דין זה הוא כפול ובסעיף זה העתיק ל' הרמב"ם </w:t>
      </w:r>
      <w:r>
        <w:rPr>
          <w:rFonts w:cs="Arial" w:hint="cs"/>
          <w:rtl/>
        </w:rPr>
        <w:t>ובסעיף הבא</w:t>
      </w:r>
      <w:r w:rsidRPr="009219CB">
        <w:rPr>
          <w:rFonts w:cs="Arial"/>
          <w:rtl/>
        </w:rPr>
        <w:t xml:space="preserve"> העתיק ל' הטור להורו</w:t>
      </w:r>
      <w:r>
        <w:rPr>
          <w:rFonts w:cs="Arial" w:hint="cs"/>
          <w:rtl/>
        </w:rPr>
        <w:t>ת</w:t>
      </w:r>
      <w:r w:rsidRPr="009219CB">
        <w:rPr>
          <w:rFonts w:cs="Arial"/>
          <w:rtl/>
        </w:rPr>
        <w:t xml:space="preserve"> איך תהיה השומא כמ"ש דהיינו ששמין וכו'</w:t>
      </w:r>
      <w:r>
        <w:rPr>
          <w:rFonts w:cs="Arial" w:hint="cs"/>
          <w:rtl/>
        </w:rPr>
        <w:t>, ע"פ ח"מ (סקי"ח).</w:t>
      </w:r>
    </w:p>
  </w:footnote>
  <w:footnote w:id="1137">
    <w:p w14:paraId="22587555" w14:textId="7A5AF708" w:rsidR="00DE2F5F" w:rsidRDefault="00DE2F5F">
      <w:pPr>
        <w:pStyle w:val="a5"/>
      </w:pPr>
      <w:r>
        <w:rPr>
          <w:rStyle w:val="a7"/>
        </w:rPr>
        <w:footnoteRef/>
      </w:r>
      <w:r>
        <w:rPr>
          <w:rtl/>
        </w:rPr>
        <w:t xml:space="preserve"> </w:t>
      </w:r>
      <w:r w:rsidRPr="00BB0A86">
        <w:rPr>
          <w:rFonts w:cs="Arial"/>
          <w:rtl/>
        </w:rPr>
        <w:t>כלומר אף על פי שלא אכל מפירות בעצמו רק האכיל לבהמתו חבילי זמורות שהן מאכל לפילין ומ"מ לדעת הרמב"ם נראה שצריך שיהיו שוים דינר דלאו אכילת כבוד הוא מה שהאכיל לבהמתו אבל דעת הרא"ש שרב יהודא פליג על הני תרי אמוראי וס"ל דבנהנה פרוטה סגי</w:t>
      </w:r>
      <w:r>
        <w:rPr>
          <w:rFonts w:cs="Arial" w:hint="cs"/>
          <w:rtl/>
        </w:rPr>
        <w:t>, ח"מ (סקי"ב).</w:t>
      </w:r>
    </w:p>
  </w:footnote>
  <w:footnote w:id="1138">
    <w:p w14:paraId="0E6A104C" w14:textId="0E6929C2" w:rsidR="00DE2F5F" w:rsidRDefault="00DE2F5F">
      <w:pPr>
        <w:pStyle w:val="a5"/>
      </w:pPr>
      <w:r>
        <w:rPr>
          <w:rStyle w:val="a7"/>
        </w:rPr>
        <w:footnoteRef/>
      </w:r>
      <w:r>
        <w:rPr>
          <w:rtl/>
        </w:rPr>
        <w:t xml:space="preserve"> </w:t>
      </w:r>
      <w:r w:rsidRPr="00BB0A86">
        <w:rPr>
          <w:rFonts w:cs="Arial"/>
          <w:rtl/>
        </w:rPr>
        <w:t>כדין כל היורד ברשות והא ידע והאי לא ידע משתבע האי דידע ויטול</w:t>
      </w:r>
      <w:r>
        <w:rPr>
          <w:rFonts w:cs="Arial" w:hint="cs"/>
          <w:rtl/>
        </w:rPr>
        <w:t>, ח"מ (סקי"ג).</w:t>
      </w:r>
      <w:r w:rsidRPr="00B37A06">
        <w:rPr>
          <w:rtl/>
        </w:rPr>
        <w:t xml:space="preserve"> </w:t>
      </w:r>
      <w:r w:rsidRPr="00B37A06">
        <w:rPr>
          <w:rFonts w:cs="Arial"/>
          <w:rtl/>
        </w:rPr>
        <w:t>כ"כ הר"ן וכמ"ש בח</w:t>
      </w:r>
      <w:r w:rsidR="00627E55">
        <w:rPr>
          <w:rFonts w:cs="Arial" w:hint="cs"/>
          <w:rtl/>
        </w:rPr>
        <w:t>ו"מ(</w:t>
      </w:r>
      <w:r w:rsidRPr="00B37A06">
        <w:rPr>
          <w:rFonts w:cs="Arial"/>
          <w:rtl/>
        </w:rPr>
        <w:t xml:space="preserve"> סי' נא</w:t>
      </w:r>
      <w:r w:rsidR="00627E55">
        <w:rPr>
          <w:rFonts w:cs="Arial" w:hint="cs"/>
          <w:rtl/>
        </w:rPr>
        <w:t>)</w:t>
      </w:r>
      <w:r w:rsidRPr="00B37A06">
        <w:rPr>
          <w:rFonts w:cs="Arial"/>
          <w:rtl/>
        </w:rPr>
        <w:t xml:space="preserve"> א</w:t>
      </w:r>
      <w:r w:rsidR="00627E55">
        <w:rPr>
          <w:rFonts w:cs="Arial" w:hint="cs"/>
          <w:rtl/>
        </w:rPr>
        <w:t>ע"ג</w:t>
      </w:r>
      <w:r w:rsidRPr="00B37A06">
        <w:rPr>
          <w:rFonts w:cs="Arial"/>
          <w:rtl/>
        </w:rPr>
        <w:t xml:space="preserve"> דדינו כמוצי</w:t>
      </w:r>
      <w:r w:rsidR="00627E55">
        <w:rPr>
          <w:rFonts w:cs="Arial" w:hint="cs"/>
          <w:rtl/>
        </w:rPr>
        <w:t>א</w:t>
      </w:r>
      <w:r w:rsidRPr="00B37A06">
        <w:rPr>
          <w:rFonts w:cs="Arial"/>
          <w:rtl/>
        </w:rPr>
        <w:t xml:space="preserve"> שלא ברשות לענין דאינו נוטל אלא הוצאות</w:t>
      </w:r>
      <w:r w:rsidR="00627E55">
        <w:rPr>
          <w:rFonts w:cs="Arial" w:hint="cs"/>
          <w:rtl/>
        </w:rPr>
        <w:t>,</w:t>
      </w:r>
      <w:r w:rsidRPr="00B37A06">
        <w:rPr>
          <w:rFonts w:cs="Arial"/>
          <w:rtl/>
        </w:rPr>
        <w:t xml:space="preserve"> מ"מ לדין זה דינו כמוציא ברשות</w:t>
      </w:r>
      <w:r>
        <w:rPr>
          <w:rFonts w:hint="cs"/>
          <w:rtl/>
        </w:rPr>
        <w:t>, ב"ש (סקי"ד).</w:t>
      </w:r>
    </w:p>
  </w:footnote>
  <w:footnote w:id="1139">
    <w:p w14:paraId="2E4A0B4C" w14:textId="0FD51E1E" w:rsidR="00DE2F5F" w:rsidRDefault="00DE2F5F">
      <w:pPr>
        <w:pStyle w:val="a5"/>
        <w:rPr>
          <w:rtl/>
        </w:rPr>
      </w:pPr>
      <w:r>
        <w:rPr>
          <w:rStyle w:val="a7"/>
        </w:rPr>
        <w:footnoteRef/>
      </w:r>
      <w:r>
        <w:rPr>
          <w:rtl/>
        </w:rPr>
        <w:t xml:space="preserve"> </w:t>
      </w:r>
      <w:r>
        <w:rPr>
          <w:rFonts w:hint="cs"/>
          <w:rtl/>
        </w:rPr>
        <w:t>שאז דינו כמו שנתבאר לעיל (ולא כתב פעמיים כדי לא לכפול את הדברים לחינם). וכך נבין מה ששינה השו"ע מלשון הרמב"ם וכתב 'כשיעור או פחות', שרצה לכלול בזה את כל המקרים, היינו שאם אכל כשיעור</w:t>
      </w:r>
      <w:r>
        <w:rPr>
          <w:rFonts w:hint="cs"/>
          <w:sz w:val="16"/>
          <w:szCs w:val="16"/>
          <w:rtl/>
        </w:rPr>
        <w:t xml:space="preserve"> (כשיעור פירושו </w:t>
      </w:r>
      <w:r w:rsidR="00F97626">
        <w:rPr>
          <w:sz w:val="16"/>
          <w:szCs w:val="16"/>
          <w:rtl/>
        </w:rPr>
        <w:t>-</w:t>
      </w:r>
      <w:r>
        <w:rPr>
          <w:rFonts w:hint="cs"/>
          <w:sz w:val="16"/>
          <w:szCs w:val="16"/>
          <w:rtl/>
        </w:rPr>
        <w:t xml:space="preserve"> גרוגרת דרך כבוד או בדינר לא דרך כבוד)</w:t>
      </w:r>
      <w:r>
        <w:rPr>
          <w:rFonts w:hint="cs"/>
          <w:rtl/>
        </w:rPr>
        <w:t xml:space="preserve"> </w:t>
      </w:r>
      <w:r w:rsidR="00F97626">
        <w:rPr>
          <w:rtl/>
        </w:rPr>
        <w:t>-</w:t>
      </w:r>
      <w:r>
        <w:rPr>
          <w:rFonts w:hint="cs"/>
          <w:rtl/>
        </w:rPr>
        <w:t xml:space="preserve"> מה שהוציא הוציא, ואם אכל פחות מכשיעור </w:t>
      </w:r>
      <w:r w:rsidR="00F97626">
        <w:rPr>
          <w:rtl/>
        </w:rPr>
        <w:t>-</w:t>
      </w:r>
      <w:r>
        <w:rPr>
          <w:rFonts w:hint="cs"/>
          <w:rtl/>
        </w:rPr>
        <w:t xml:space="preserve"> שמין את השבח ונוטל את ההוצאה בשבועה עד תקרת השבח.</w:t>
      </w:r>
    </w:p>
  </w:footnote>
  <w:footnote w:id="1140">
    <w:p w14:paraId="1959591C" w14:textId="26D0C55E" w:rsidR="00DE2F5F" w:rsidRDefault="00DE2F5F">
      <w:pPr>
        <w:pStyle w:val="a5"/>
      </w:pPr>
      <w:r>
        <w:rPr>
          <w:rStyle w:val="a7"/>
        </w:rPr>
        <w:footnoteRef/>
      </w:r>
      <w:r>
        <w:rPr>
          <w:rtl/>
        </w:rPr>
        <w:t xml:space="preserve"> </w:t>
      </w:r>
      <w:r w:rsidRPr="00BB0A86">
        <w:rPr>
          <w:rFonts w:cs="Arial"/>
          <w:rtl/>
        </w:rPr>
        <w:t>ומנכין לו מה שאכל מן הקרן</w:t>
      </w:r>
      <w:r>
        <w:rPr>
          <w:rFonts w:cs="Arial" w:hint="cs"/>
          <w:rtl/>
        </w:rPr>
        <w:t>, ח"מ (סקט"ט).</w:t>
      </w:r>
    </w:p>
  </w:footnote>
  <w:footnote w:id="1141">
    <w:p w14:paraId="081F2F1D" w14:textId="3B5C6EF8" w:rsidR="00DE2F5F" w:rsidRDefault="00DE2F5F">
      <w:pPr>
        <w:pStyle w:val="a5"/>
      </w:pPr>
      <w:r>
        <w:rPr>
          <w:rStyle w:val="a7"/>
        </w:rPr>
        <w:footnoteRef/>
      </w:r>
      <w:r>
        <w:rPr>
          <w:rtl/>
        </w:rPr>
        <w:t xml:space="preserve"> </w:t>
      </w:r>
      <w:r w:rsidRPr="001A64DA">
        <w:rPr>
          <w:rFonts w:cs="Arial"/>
          <w:rtl/>
        </w:rPr>
        <w:t>אלא נשבעת היא ולא תשלם והיינו כשהוא לא תפיס או תפיס בעדים דאין לו מיגו אבל אם אית ליה מיגו גובה</w:t>
      </w:r>
      <w:r>
        <w:rPr>
          <w:rFonts w:cs="Arial" w:hint="cs"/>
          <w:rtl/>
        </w:rPr>
        <w:t>, ב"ש (סקי"ז). וכ"כ ח"מ (סקי"ז).</w:t>
      </w:r>
    </w:p>
  </w:footnote>
  <w:footnote w:id="1142">
    <w:p w14:paraId="753CB881" w14:textId="00DCAF90" w:rsidR="00DE2F5F" w:rsidRDefault="00DE2F5F" w:rsidP="009219CB">
      <w:pPr>
        <w:pStyle w:val="a5"/>
        <w:rPr>
          <w:rtl/>
        </w:rPr>
      </w:pPr>
      <w:r>
        <w:rPr>
          <w:rStyle w:val="a7"/>
        </w:rPr>
        <w:footnoteRef/>
      </w:r>
      <w:r>
        <w:rPr>
          <w:rtl/>
        </w:rPr>
        <w:t xml:space="preserve"> </w:t>
      </w:r>
      <w:r w:rsidRPr="009219CB">
        <w:rPr>
          <w:rFonts w:cs="Arial"/>
          <w:rtl/>
        </w:rPr>
        <w:t xml:space="preserve">דין זה הוא כפול ובסעיף </w:t>
      </w:r>
      <w:r>
        <w:rPr>
          <w:rFonts w:cs="Arial" w:hint="cs"/>
          <w:rtl/>
        </w:rPr>
        <w:t xml:space="preserve">שלפני </w:t>
      </w:r>
      <w:r w:rsidRPr="009219CB">
        <w:rPr>
          <w:rFonts w:cs="Arial"/>
          <w:rtl/>
        </w:rPr>
        <w:t xml:space="preserve">זה העתיק ל' הרמב"ם </w:t>
      </w:r>
      <w:r>
        <w:rPr>
          <w:rFonts w:cs="Arial" w:hint="cs"/>
          <w:rtl/>
        </w:rPr>
        <w:t>וכאן</w:t>
      </w:r>
      <w:r w:rsidRPr="009219CB">
        <w:rPr>
          <w:rFonts w:cs="Arial"/>
          <w:rtl/>
        </w:rPr>
        <w:t xml:space="preserve"> העתיק ל' הטור להורו</w:t>
      </w:r>
      <w:r>
        <w:rPr>
          <w:rFonts w:cs="Arial" w:hint="cs"/>
          <w:rtl/>
        </w:rPr>
        <w:t>ת</w:t>
      </w:r>
      <w:r w:rsidRPr="009219CB">
        <w:rPr>
          <w:rFonts w:cs="Arial"/>
          <w:rtl/>
        </w:rPr>
        <w:t xml:space="preserve"> איך תהיה השומא כמ"ש דהיינו ששמין וכו'</w:t>
      </w:r>
      <w:r>
        <w:rPr>
          <w:rFonts w:cs="Arial" w:hint="cs"/>
          <w:rtl/>
        </w:rPr>
        <w:t>, ח"מ (סקי"ח).</w:t>
      </w:r>
    </w:p>
  </w:footnote>
  <w:footnote w:id="1143">
    <w:p w14:paraId="47B8B532" w14:textId="696F2123" w:rsidR="00DE2F5F" w:rsidRDefault="00DE2F5F">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BB0A86">
        <w:rPr>
          <w:rFonts w:cs="Arial"/>
          <w:rtl/>
        </w:rPr>
        <w:t>במה דברים אמורים במגרש אבל האשה שמרדה על בעלה אפילו אכל הרבה שמין לו כמה אכל ופוחתין אותו ממה שראוי ליתן לו מן ההוצאה אחר שישבע ונוטלו, שלא הקנה לה כדי שתטול ותצא מעצמה</w:t>
      </w:r>
      <w:r>
        <w:rPr>
          <w:rFonts w:cs="Arial" w:hint="cs"/>
          <w:rtl/>
        </w:rPr>
        <w:t>...</w:t>
      </w:r>
    </w:p>
  </w:footnote>
  <w:footnote w:id="1144">
    <w:p w14:paraId="796D9E7F" w14:textId="77777777" w:rsidR="00DE2F5F" w:rsidRDefault="00DE2F5F" w:rsidP="00EC2D06">
      <w:pPr>
        <w:pStyle w:val="a5"/>
      </w:pPr>
      <w:r>
        <w:rPr>
          <w:rStyle w:val="a7"/>
        </w:rPr>
        <w:footnoteRef/>
      </w:r>
      <w:r>
        <w:rPr>
          <w:rtl/>
        </w:rPr>
        <w:t xml:space="preserve"> </w:t>
      </w:r>
      <w:r w:rsidRPr="0019164E">
        <w:rPr>
          <w:rFonts w:cs="Arial"/>
          <w:rtl/>
        </w:rPr>
        <w:t>(ב) בהגהות אלפסי (דף תק"י) (שלטי הגיבורים לט. אות ב) הא דאמרינן מה שהוציא הוציא ומה שאכל אכל היינו דוקא שמוציא מרצונו או שהוא מאלה שדינן שכופין אותו להוציא מדינא דגמרא אבל אם תובעת גירושין שלא כדין אלא שכופין הבעל מתקנת הגאונים צריכה לתת לו כל יציאותיו שהוציא יותר על מה שאכל ויכול לעגנה בגט עד שתתן לו עכ"ל:</w:t>
      </w:r>
    </w:p>
  </w:footnote>
  <w:footnote w:id="1145">
    <w:p w14:paraId="7BCE3821" w14:textId="66646344" w:rsidR="00DE2F5F" w:rsidRDefault="00DE2F5F">
      <w:pPr>
        <w:pStyle w:val="a5"/>
      </w:pPr>
      <w:r>
        <w:rPr>
          <w:rStyle w:val="a7"/>
        </w:rPr>
        <w:footnoteRef/>
      </w:r>
      <w:r>
        <w:rPr>
          <w:rtl/>
        </w:rPr>
        <w:t xml:space="preserve"> </w:t>
      </w:r>
      <w:r w:rsidRPr="0011307A">
        <w:rPr>
          <w:rFonts w:cs="Arial"/>
          <w:rtl/>
        </w:rPr>
        <w:t>נראה אם אכל יותר מהוצאות אמרי' מה שאכל אכל</w:t>
      </w:r>
      <w:r>
        <w:rPr>
          <w:rFonts w:cs="Arial" w:hint="cs"/>
          <w:rtl/>
        </w:rPr>
        <w:t>.</w:t>
      </w:r>
      <w:r w:rsidRPr="0011307A">
        <w:rPr>
          <w:rFonts w:cs="Arial"/>
          <w:rtl/>
        </w:rPr>
        <w:t xml:space="preserve"> ומל' הרא"ש והטור והמחבר משמע דאין מנכין לו מה שאכל, וברמב"ם מבואר דמנכין לו מה שאכל</w:t>
      </w:r>
      <w:r>
        <w:rPr>
          <w:rFonts w:cs="Arial" w:hint="cs"/>
          <w:rtl/>
        </w:rPr>
        <w:t>..., ב"ש (סקי"ח).</w:t>
      </w:r>
    </w:p>
  </w:footnote>
  <w:footnote w:id="1146">
    <w:p w14:paraId="786A1CC7" w14:textId="77777777" w:rsidR="004F6657" w:rsidRDefault="004F6657" w:rsidP="004F6657">
      <w:pPr>
        <w:pStyle w:val="a5"/>
      </w:pPr>
      <w:r>
        <w:rPr>
          <w:rStyle w:val="a7"/>
        </w:rPr>
        <w:footnoteRef/>
      </w:r>
      <w:r>
        <w:rPr>
          <w:rtl/>
        </w:rPr>
        <w:t xml:space="preserve"> </w:t>
      </w:r>
      <w:r>
        <w:rPr>
          <w:rFonts w:hint="cs"/>
          <w:rtl/>
        </w:rPr>
        <w:t>סימן - פיזר פול פרנקים.</w:t>
      </w:r>
    </w:p>
  </w:footnote>
  <w:footnote w:id="1147">
    <w:p w14:paraId="369F5026" w14:textId="73C240AC" w:rsidR="00DE2F5F" w:rsidRDefault="00DE2F5F">
      <w:pPr>
        <w:pStyle w:val="a5"/>
      </w:pPr>
      <w:r>
        <w:rPr>
          <w:rStyle w:val="a7"/>
        </w:rPr>
        <w:footnoteRef/>
      </w:r>
      <w:r>
        <w:rPr>
          <w:rtl/>
        </w:rPr>
        <w:t xml:space="preserve"> </w:t>
      </w:r>
      <w:r w:rsidRPr="00621D05">
        <w:rPr>
          <w:rFonts w:cs="Arial"/>
          <w:rtl/>
        </w:rPr>
        <w:t>יתומה שהשיאתה אמה ואחיה יכולה למאן</w:t>
      </w:r>
      <w:r>
        <w:rPr>
          <w:rFonts w:cs="Arial" w:hint="cs"/>
          <w:rtl/>
        </w:rPr>
        <w:t>, רש"י.</w:t>
      </w:r>
    </w:p>
  </w:footnote>
  <w:footnote w:id="1148">
    <w:p w14:paraId="45430CD2" w14:textId="04FE75BC" w:rsidR="00DE2F5F" w:rsidRDefault="00DE2F5F">
      <w:pPr>
        <w:pStyle w:val="a5"/>
      </w:pPr>
      <w:r>
        <w:rPr>
          <w:rStyle w:val="a7"/>
        </w:rPr>
        <w:footnoteRef/>
      </w:r>
      <w:r>
        <w:rPr>
          <w:rtl/>
        </w:rPr>
        <w:t xml:space="preserve"> </w:t>
      </w:r>
      <w:r w:rsidRPr="00621D05">
        <w:rPr>
          <w:rFonts w:cs="Arial"/>
          <w:rtl/>
        </w:rPr>
        <w:t>ואם מיאנה בו שמין לו שבח שהשביח ונוטל כמשפט אריסי המדינה</w:t>
      </w:r>
      <w:r>
        <w:rPr>
          <w:rFonts w:cs="Arial" w:hint="cs"/>
          <w:rtl/>
        </w:rPr>
        <w:t>, רש"י.</w:t>
      </w:r>
    </w:p>
  </w:footnote>
  <w:footnote w:id="1149">
    <w:p w14:paraId="720E45EC" w14:textId="0DFD2DDA" w:rsidR="00DE2F5F" w:rsidRDefault="00DE2F5F">
      <w:pPr>
        <w:pStyle w:val="a5"/>
      </w:pPr>
      <w:r>
        <w:rPr>
          <w:rStyle w:val="a7"/>
        </w:rPr>
        <w:footnoteRef/>
      </w:r>
      <w:r>
        <w:rPr>
          <w:rtl/>
        </w:rPr>
        <w:t xml:space="preserve"> </w:t>
      </w:r>
      <w:r w:rsidRPr="00BA53EB">
        <w:rPr>
          <w:rFonts w:cs="Arial"/>
          <w:rtl/>
        </w:rPr>
        <w:t>דשמין לו כאריס</w:t>
      </w:r>
      <w:r>
        <w:rPr>
          <w:rFonts w:cs="Arial" w:hint="cs"/>
          <w:rtl/>
        </w:rPr>
        <w:t>, רש"י.</w:t>
      </w:r>
    </w:p>
  </w:footnote>
  <w:footnote w:id="1150">
    <w:p w14:paraId="2FCDB0B3" w14:textId="62A1664C" w:rsidR="00DE2F5F" w:rsidRDefault="00DE2F5F">
      <w:pPr>
        <w:pStyle w:val="a5"/>
      </w:pPr>
      <w:r>
        <w:rPr>
          <w:rStyle w:val="a7"/>
        </w:rPr>
        <w:footnoteRef/>
      </w:r>
      <w:r>
        <w:rPr>
          <w:rtl/>
        </w:rPr>
        <w:t xml:space="preserve"> </w:t>
      </w:r>
      <w:r w:rsidRPr="00BA53EB">
        <w:rPr>
          <w:rFonts w:cs="Arial"/>
          <w:rtl/>
        </w:rPr>
        <w:t>שלא יכסיף ויקלקל הקרקעות ויאכל ולא ישביח שדואג שמא תמאן וכיון דשיימינן ליה כאריס תו לא מפסיד להו מימר אמר שמא לא תמאן ואם תמאן הרי אטול שבחי לפי עמלי</w:t>
      </w:r>
      <w:r>
        <w:rPr>
          <w:rFonts w:cs="Arial" w:hint="cs"/>
          <w:rtl/>
        </w:rPr>
        <w:t>, רש"י.</w:t>
      </w:r>
    </w:p>
  </w:footnote>
  <w:footnote w:id="1151">
    <w:p w14:paraId="300F84C9" w14:textId="146F686A" w:rsidR="00DE2F5F" w:rsidRDefault="00DE2F5F">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Pr>
          <w:rFonts w:cs="Arial"/>
          <w:rtl/>
        </w:rPr>
        <w:t>מ"ט עבוד רבנן תקנתא וכו' הילכך אם הוציא ולא אכל</w:t>
      </w:r>
      <w:r>
        <w:rPr>
          <w:rFonts w:cs="Arial" w:hint="cs"/>
          <w:rtl/>
        </w:rPr>
        <w:t>,</w:t>
      </w:r>
      <w:r>
        <w:rPr>
          <w:rFonts w:cs="Arial"/>
          <w:rtl/>
        </w:rPr>
        <w:t xml:space="preserve"> או הוציא הרבה ואכל קימעא </w:t>
      </w:r>
      <w:r>
        <w:rPr>
          <w:rFonts w:cs="Arial" w:hint="cs"/>
          <w:rtl/>
        </w:rPr>
        <w:t xml:space="preserve">- </w:t>
      </w:r>
      <w:r>
        <w:rPr>
          <w:rFonts w:cs="Arial"/>
          <w:rtl/>
        </w:rPr>
        <w:t>שמין לו כאריסי העיר</w:t>
      </w:r>
      <w:r>
        <w:rPr>
          <w:rFonts w:cs="Arial" w:hint="cs"/>
          <w:rtl/>
        </w:rPr>
        <w:t>.</w:t>
      </w:r>
      <w:r>
        <w:rPr>
          <w:rFonts w:cs="Arial"/>
          <w:rtl/>
        </w:rPr>
        <w:t xml:space="preserve"> אבל אם הוציא קימעא ואכל הרבה </w:t>
      </w:r>
      <w:r>
        <w:rPr>
          <w:rFonts w:cs="Arial" w:hint="cs"/>
          <w:rtl/>
        </w:rPr>
        <w:t xml:space="preserve">- </w:t>
      </w:r>
      <w:r>
        <w:rPr>
          <w:rFonts w:cs="Arial"/>
          <w:rtl/>
        </w:rPr>
        <w:t>ברשות אכל</w:t>
      </w:r>
      <w:r>
        <w:rPr>
          <w:rFonts w:cs="Arial" w:hint="cs"/>
          <w:rtl/>
        </w:rPr>
        <w:t>,</w:t>
      </w:r>
      <w:r>
        <w:rPr>
          <w:rFonts w:cs="Arial"/>
          <w:rtl/>
        </w:rPr>
        <w:t xml:space="preserve"> ולא תקנו חכמים לגרע כחו</w:t>
      </w:r>
      <w:r>
        <w:rPr>
          <w:rFonts w:cs="Arial" w:hint="cs"/>
          <w:rtl/>
        </w:rPr>
        <w:t>.</w:t>
      </w:r>
      <w:r>
        <w:rPr>
          <w:rFonts w:cs="Arial"/>
          <w:rtl/>
        </w:rPr>
        <w:t xml:space="preserve"> וכן אם הוציא ולא אכל וניחא ליה למישקל הוצאה שיעור שבח </w:t>
      </w:r>
      <w:r>
        <w:rPr>
          <w:rFonts w:cs="Arial" w:hint="cs"/>
          <w:rtl/>
        </w:rPr>
        <w:t xml:space="preserve">- </w:t>
      </w:r>
      <w:r>
        <w:rPr>
          <w:rFonts w:cs="Arial"/>
          <w:rtl/>
        </w:rPr>
        <w:t>שומעין לו</w:t>
      </w:r>
      <w:r>
        <w:rPr>
          <w:rFonts w:cs="Arial" w:hint="cs"/>
          <w:rtl/>
        </w:rPr>
        <w:t>,</w:t>
      </w:r>
      <w:r>
        <w:rPr>
          <w:rFonts w:cs="Arial"/>
          <w:rtl/>
        </w:rPr>
        <w:t xml:space="preserve"> דלא תקינו להיות כמוציא על נכסי אחר אלא ליפות כחו ולא לגרע כחו</w:t>
      </w:r>
      <w:r>
        <w:rPr>
          <w:rFonts w:cs="Arial" w:hint="cs"/>
          <w:rtl/>
        </w:rPr>
        <w:t>.</w:t>
      </w:r>
    </w:p>
  </w:footnote>
  <w:footnote w:id="1152">
    <w:p w14:paraId="29301902" w14:textId="58A87342" w:rsidR="00DE2F5F" w:rsidRDefault="00DE2F5F">
      <w:pPr>
        <w:pStyle w:val="a5"/>
      </w:pPr>
      <w:r>
        <w:rPr>
          <w:rStyle w:val="a7"/>
        </w:rPr>
        <w:footnoteRef/>
      </w:r>
      <w:r>
        <w:rPr>
          <w:rtl/>
        </w:rPr>
        <w:t xml:space="preserve"> </w:t>
      </w:r>
      <w:r>
        <w:rPr>
          <w:rFonts w:hint="cs"/>
          <w:rtl/>
        </w:rPr>
        <w:t xml:space="preserve">פירוש - </w:t>
      </w:r>
      <w:r w:rsidRPr="00EC697B">
        <w:rPr>
          <w:rFonts w:cs="Arial"/>
          <w:rtl/>
        </w:rPr>
        <w:t xml:space="preserve">שאם הוציא הרבה, והיה השבח מועט מאד, עד כדי כך שאם יקבל כמשפט אריסי המדינה יפסיד, יכול לומר אי אפשי בתקנת חכמים ויטול </w:t>
      </w:r>
      <w:r>
        <w:rPr>
          <w:rFonts w:cs="Arial" w:hint="cs"/>
          <w:rtl/>
        </w:rPr>
        <w:t>ה</w:t>
      </w:r>
      <w:r w:rsidRPr="00EC697B">
        <w:rPr>
          <w:rFonts w:cs="Arial"/>
          <w:rtl/>
        </w:rPr>
        <w:t>הוצאה</w:t>
      </w:r>
      <w:r>
        <w:rPr>
          <w:rFonts w:cs="Arial" w:hint="cs"/>
          <w:rtl/>
        </w:rPr>
        <w:t>.</w:t>
      </w:r>
    </w:p>
  </w:footnote>
  <w:footnote w:id="1153">
    <w:p w14:paraId="1174123D" w14:textId="4032886B" w:rsidR="00DE2F5F" w:rsidRDefault="00DE2F5F">
      <w:pPr>
        <w:pStyle w:val="a5"/>
        <w:rPr>
          <w:rtl/>
        </w:rPr>
      </w:pPr>
      <w:r>
        <w:rPr>
          <w:rStyle w:val="a7"/>
        </w:rPr>
        <w:footnoteRef/>
      </w:r>
      <w:r>
        <w:rPr>
          <w:rtl/>
        </w:rPr>
        <w:t xml:space="preserve"> </w:t>
      </w:r>
      <w:r w:rsidRPr="007471CA">
        <w:rPr>
          <w:rFonts w:cs="Arial"/>
          <w:rtl/>
        </w:rPr>
        <w:t>משמע דדינו כיורד ברשות ממש ונוטל הוצאה אפי' כשהוצי' יותר משבח</w:t>
      </w:r>
      <w:r>
        <w:rPr>
          <w:rFonts w:cs="Arial" w:hint="cs"/>
          <w:rtl/>
        </w:rPr>
        <w:t>,</w:t>
      </w:r>
      <w:r w:rsidRPr="007471CA">
        <w:rPr>
          <w:rFonts w:cs="Arial"/>
          <w:rtl/>
        </w:rPr>
        <w:t xml:space="preserve"> כנ"ל מרמב"ם פכ"ב ומהטור ומל' המחבר וכ"מ מהר"ן</w:t>
      </w:r>
      <w:r>
        <w:rPr>
          <w:rFonts w:cs="Arial" w:hint="cs"/>
          <w:rtl/>
        </w:rPr>
        <w:t>.</w:t>
      </w:r>
      <w:r w:rsidRPr="007471CA">
        <w:rPr>
          <w:rFonts w:cs="Arial"/>
          <w:rtl/>
        </w:rPr>
        <w:t xml:space="preserve"> והרמב"ם </w:t>
      </w:r>
      <w:r w:rsidR="004F6657">
        <w:rPr>
          <w:rFonts w:cs="Arial" w:hint="cs"/>
          <w:rtl/>
        </w:rPr>
        <w:t>(</w:t>
      </w:r>
      <w:r w:rsidRPr="007471CA">
        <w:rPr>
          <w:rFonts w:cs="Arial"/>
          <w:rtl/>
        </w:rPr>
        <w:t xml:space="preserve">פ"י </w:t>
      </w:r>
      <w:r w:rsidR="004F6657">
        <w:rPr>
          <w:rFonts w:cs="Arial" w:hint="cs"/>
          <w:rtl/>
        </w:rPr>
        <w:t>מהל' גירושין</w:t>
      </w:r>
      <w:r w:rsidRPr="007471CA">
        <w:rPr>
          <w:rFonts w:cs="Arial"/>
          <w:rtl/>
        </w:rPr>
        <w:t xml:space="preserve"> </w:t>
      </w:r>
      <w:r w:rsidR="004F6657">
        <w:rPr>
          <w:rFonts w:cs="Arial" w:hint="cs"/>
          <w:rtl/>
        </w:rPr>
        <w:t>ה"</w:t>
      </w:r>
      <w:r w:rsidRPr="007471CA">
        <w:rPr>
          <w:rFonts w:cs="Arial"/>
          <w:rtl/>
        </w:rPr>
        <w:t>ז</w:t>
      </w:r>
      <w:r w:rsidR="004F6657">
        <w:rPr>
          <w:rFonts w:cs="Arial" w:hint="cs"/>
          <w:rtl/>
        </w:rPr>
        <w:t>)</w:t>
      </w:r>
      <w:r w:rsidRPr="007471CA">
        <w:rPr>
          <w:rFonts w:cs="Arial"/>
          <w:rtl/>
        </w:rPr>
        <w:t xml:space="preserve"> משוה דין שותף לדין הוציא הוצאות על נכסי אשתו קטנה</w:t>
      </w:r>
      <w:r>
        <w:rPr>
          <w:rFonts w:cs="Arial" w:hint="cs"/>
          <w:rtl/>
        </w:rPr>
        <w:t>.</w:t>
      </w:r>
      <w:r w:rsidRPr="007471CA">
        <w:rPr>
          <w:rFonts w:cs="Arial"/>
          <w:rtl/>
        </w:rPr>
        <w:t xml:space="preserve"> נ"ל דס"ל שותף נוטל ג"כ כיורד ברשות אפי' אם הוצאה יותר משבח</w:t>
      </w:r>
      <w:r>
        <w:rPr>
          <w:rFonts w:cs="Arial" w:hint="cs"/>
          <w:rtl/>
        </w:rPr>
        <w:t>.</w:t>
      </w:r>
      <w:r w:rsidRPr="007471CA">
        <w:rPr>
          <w:rFonts w:cs="Arial"/>
          <w:rtl/>
        </w:rPr>
        <w:t xml:space="preserve"> ולא כנ"י שכתב </w:t>
      </w:r>
      <w:r w:rsidR="004F6657">
        <w:rPr>
          <w:rFonts w:cs="Arial" w:hint="cs"/>
          <w:rtl/>
        </w:rPr>
        <w:t>(</w:t>
      </w:r>
      <w:r w:rsidRPr="007471CA">
        <w:rPr>
          <w:rFonts w:cs="Arial"/>
          <w:rtl/>
        </w:rPr>
        <w:t>פ' ח</w:t>
      </w:r>
      <w:r w:rsidR="004F6657">
        <w:rPr>
          <w:rFonts w:cs="Arial" w:hint="cs"/>
          <w:rtl/>
        </w:rPr>
        <w:t>זקת)</w:t>
      </w:r>
      <w:r w:rsidRPr="007471CA">
        <w:rPr>
          <w:rFonts w:cs="Arial"/>
          <w:rtl/>
        </w:rPr>
        <w:t xml:space="preserve"> דשותף אינו נוטל שיעור הוצאה כשהוצאה יותר משבח</w:t>
      </w:r>
      <w:r>
        <w:rPr>
          <w:rFonts w:cs="Arial" w:hint="cs"/>
          <w:rtl/>
        </w:rPr>
        <w:t>.</w:t>
      </w:r>
      <w:r w:rsidRPr="007471CA">
        <w:rPr>
          <w:rFonts w:cs="Arial"/>
          <w:rtl/>
        </w:rPr>
        <w:t xml:space="preserve"> ובח"ה סי' קע"ח פסק בהג"ה כנ"י, ובסי' שע"ה הביא המחבר ל' הרמב"ם דמשוה דין שותף לדין בעל בנכסי אשתו קטנה</w:t>
      </w:r>
      <w:r>
        <w:rPr>
          <w:rFonts w:cs="Arial" w:hint="cs"/>
          <w:rtl/>
        </w:rPr>
        <w:t>.</w:t>
      </w:r>
      <w:r w:rsidRPr="007471CA">
        <w:rPr>
          <w:rFonts w:cs="Arial"/>
          <w:rtl/>
        </w:rPr>
        <w:t xml:space="preserve"> ולכאורה נ"ל כמ"ש דהרמב"ם לא ס"ל כנ"י</w:t>
      </w:r>
      <w:r>
        <w:rPr>
          <w:rFonts w:cs="Arial" w:hint="cs"/>
          <w:rtl/>
        </w:rPr>
        <w:t>.</w:t>
      </w:r>
      <w:r w:rsidRPr="007471CA">
        <w:rPr>
          <w:rFonts w:cs="Arial"/>
          <w:rtl/>
        </w:rPr>
        <w:t xml:space="preserve"> גם דברי הסמ"ע תמוהים שכתב שם בסי' שע"ה כן הדין במוצי' הוצאות על נכסי אשתו וכתבתי לשונו בסי' קע"ח עכ"ל</w:t>
      </w:r>
      <w:r>
        <w:rPr>
          <w:rFonts w:cs="Arial" w:hint="cs"/>
          <w:rtl/>
        </w:rPr>
        <w:t>.</w:t>
      </w:r>
      <w:r w:rsidRPr="007471CA">
        <w:rPr>
          <w:rFonts w:cs="Arial"/>
          <w:rtl/>
        </w:rPr>
        <w:t xml:space="preserve"> וע"כ באשתו קטנה קאמר</w:t>
      </w:r>
      <w:r>
        <w:rPr>
          <w:rFonts w:cs="Arial" w:hint="cs"/>
          <w:rtl/>
        </w:rPr>
        <w:t>,</w:t>
      </w:r>
      <w:r w:rsidRPr="007471CA">
        <w:rPr>
          <w:rFonts w:cs="Arial"/>
          <w:rtl/>
        </w:rPr>
        <w:t xml:space="preserve"> דהא באשתו גדולה דינו כיורד שלא ברשות אפי' אם השבח יותר מהוצאה</w:t>
      </w:r>
      <w:r>
        <w:rPr>
          <w:rFonts w:cs="Arial" w:hint="cs"/>
          <w:rtl/>
        </w:rPr>
        <w:t>,</w:t>
      </w:r>
      <w:r w:rsidRPr="007471CA">
        <w:rPr>
          <w:rFonts w:cs="Arial"/>
          <w:rtl/>
        </w:rPr>
        <w:t xml:space="preserve"> א</w:t>
      </w:r>
      <w:r>
        <w:rPr>
          <w:rFonts w:cs="Arial" w:hint="cs"/>
          <w:rtl/>
        </w:rPr>
        <w:t xml:space="preserve">לא </w:t>
      </w:r>
      <w:r w:rsidRPr="007471CA">
        <w:rPr>
          <w:rFonts w:cs="Arial"/>
          <w:rtl/>
        </w:rPr>
        <w:t>ע</w:t>
      </w:r>
      <w:r>
        <w:rPr>
          <w:rFonts w:cs="Arial" w:hint="cs"/>
          <w:rtl/>
        </w:rPr>
        <w:t xml:space="preserve">ל </w:t>
      </w:r>
      <w:r w:rsidRPr="007471CA">
        <w:rPr>
          <w:rFonts w:cs="Arial"/>
          <w:rtl/>
        </w:rPr>
        <w:t>כ</w:t>
      </w:r>
      <w:r>
        <w:rPr>
          <w:rFonts w:cs="Arial" w:hint="cs"/>
          <w:rtl/>
        </w:rPr>
        <w:t>רחך</w:t>
      </w:r>
      <w:r w:rsidRPr="007471CA">
        <w:rPr>
          <w:rFonts w:cs="Arial"/>
          <w:rtl/>
        </w:rPr>
        <w:t xml:space="preserve"> אשתו קטנה קאמר</w:t>
      </w:r>
      <w:r>
        <w:rPr>
          <w:rFonts w:cs="Arial" w:hint="cs"/>
          <w:rtl/>
        </w:rPr>
        <w:t>,</w:t>
      </w:r>
      <w:r w:rsidRPr="007471CA">
        <w:rPr>
          <w:rFonts w:cs="Arial"/>
          <w:rtl/>
        </w:rPr>
        <w:t xml:space="preserve"> ולא הביא דכל הפוסקים הנ"ל ס"ל באשתו קטנה נוטל אפי' הוצאה יותר משבח</w:t>
      </w:r>
      <w:r>
        <w:rPr>
          <w:rFonts w:hint="cs"/>
          <w:rtl/>
        </w:rPr>
        <w:t>, ב"ש (סק"כ).</w:t>
      </w:r>
    </w:p>
  </w:footnote>
  <w:footnote w:id="1154">
    <w:p w14:paraId="26767C08" w14:textId="171BA2FD" w:rsidR="00DE2F5F" w:rsidRDefault="00DE2F5F">
      <w:pPr>
        <w:pStyle w:val="a5"/>
      </w:pPr>
      <w:r>
        <w:rPr>
          <w:rStyle w:val="a7"/>
        </w:rPr>
        <w:footnoteRef/>
      </w:r>
      <w:r>
        <w:rPr>
          <w:rtl/>
        </w:rPr>
        <w:t xml:space="preserve"> </w:t>
      </w:r>
      <w:r w:rsidRPr="00D012E8">
        <w:rPr>
          <w:rFonts w:cs="Arial"/>
          <w:rtl/>
        </w:rPr>
        <w:t>דלבעל הוא דתיקון רבנן דלהימניה בשבוע' ולא ליורשים ונראה שאם היורשין מוחזקין שלא בעדים ויכולין לטעון ברי גם הם נאמנים בשבועה</w:t>
      </w:r>
      <w:r>
        <w:rPr>
          <w:rFonts w:cs="Arial" w:hint="cs"/>
          <w:rtl/>
        </w:rPr>
        <w:t>, ח"מ (סקכ"א).</w:t>
      </w:r>
      <w:r>
        <w:rPr>
          <w:rFonts w:hint="cs"/>
          <w:rtl/>
        </w:rPr>
        <w:t xml:space="preserve"> וכ"כ הב"ש (סקכ"א), והוסיף ש</w:t>
      </w:r>
      <w:r w:rsidRPr="00F852BD">
        <w:rPr>
          <w:rFonts w:cs="Arial"/>
          <w:rtl/>
        </w:rPr>
        <w:t>בח</w:t>
      </w:r>
      <w:r>
        <w:rPr>
          <w:rFonts w:cs="Arial" w:hint="cs"/>
          <w:rtl/>
        </w:rPr>
        <w:t>ו"מ</w:t>
      </w:r>
      <w:r w:rsidRPr="00F852BD">
        <w:rPr>
          <w:rFonts w:cs="Arial"/>
          <w:rtl/>
        </w:rPr>
        <w:t xml:space="preserve"> סי' פ"ט פסק יורשי השכיר אינם נשבעים ונוטלים</w:t>
      </w:r>
      <w:r>
        <w:rPr>
          <w:rFonts w:cs="Arial" w:hint="cs"/>
          <w:rtl/>
        </w:rPr>
        <w:t>,</w:t>
      </w:r>
      <w:r w:rsidRPr="00F852BD">
        <w:rPr>
          <w:rFonts w:cs="Arial"/>
          <w:rtl/>
        </w:rPr>
        <w:t xml:space="preserve"> ובסי' ק"ח שכתב יורשי השכיר אינן נשבעין ונוטלין</w:t>
      </w:r>
      <w:r>
        <w:rPr>
          <w:rFonts w:cs="Arial" w:hint="cs"/>
          <w:rtl/>
        </w:rPr>
        <w:t>,</w:t>
      </w:r>
      <w:r w:rsidRPr="00F852BD">
        <w:rPr>
          <w:rFonts w:cs="Arial"/>
          <w:rtl/>
        </w:rPr>
        <w:t xml:space="preserve"> משום אין אדם מוריש שבועה לבניו</w:t>
      </w:r>
      <w:r>
        <w:rPr>
          <w:rFonts w:cs="Arial" w:hint="cs"/>
          <w:rtl/>
        </w:rPr>
        <w:t>,</w:t>
      </w:r>
      <w:r w:rsidRPr="00F852BD">
        <w:rPr>
          <w:rFonts w:cs="Arial"/>
          <w:rtl/>
        </w:rPr>
        <w:t xml:space="preserve"> היינו אם אי</w:t>
      </w:r>
      <w:r>
        <w:rPr>
          <w:rFonts w:cs="Arial" w:hint="cs"/>
          <w:rtl/>
        </w:rPr>
        <w:t>נם יודעים</w:t>
      </w:r>
      <w:r w:rsidRPr="00F852BD">
        <w:rPr>
          <w:rFonts w:cs="Arial"/>
          <w:rtl/>
        </w:rPr>
        <w:t xml:space="preserve"> בודאי שלא פרע אלא רוצים לישבע שלא פקדתנו </w:t>
      </w:r>
      <w:r>
        <w:rPr>
          <w:rFonts w:cs="Arial" w:hint="cs"/>
          <w:rtl/>
        </w:rPr>
        <w:t xml:space="preserve">- </w:t>
      </w:r>
      <w:r w:rsidRPr="00F852BD">
        <w:rPr>
          <w:rFonts w:cs="Arial"/>
          <w:rtl/>
        </w:rPr>
        <w:t>אינן נשבעין ונוטלין</w:t>
      </w:r>
      <w:r>
        <w:rPr>
          <w:rFonts w:cs="Arial" w:hint="cs"/>
          <w:rtl/>
        </w:rPr>
        <w:t>.</w:t>
      </w:r>
      <w:r w:rsidRPr="00F852BD">
        <w:rPr>
          <w:rFonts w:cs="Arial"/>
          <w:rtl/>
        </w:rPr>
        <w:t xml:space="preserve"> אבל אם טענו ברי שלא פרע </w:t>
      </w:r>
      <w:r>
        <w:rPr>
          <w:rFonts w:cs="Arial" w:hint="cs"/>
          <w:rtl/>
        </w:rPr>
        <w:t xml:space="preserve">- </w:t>
      </w:r>
      <w:r w:rsidRPr="00F852BD">
        <w:rPr>
          <w:rFonts w:cs="Arial"/>
          <w:rtl/>
        </w:rPr>
        <w:t>נשבעים ונוטלים</w:t>
      </w:r>
      <w:r>
        <w:rPr>
          <w:rFonts w:cs="Arial" w:hint="cs"/>
          <w:rtl/>
        </w:rPr>
        <w:t>.</w:t>
      </w:r>
      <w:r w:rsidRPr="00F852BD">
        <w:rPr>
          <w:rFonts w:cs="Arial"/>
          <w:rtl/>
        </w:rPr>
        <w:t xml:space="preserve"> וכאן אפי' טוען טענות ברי </w:t>
      </w:r>
      <w:r>
        <w:rPr>
          <w:rFonts w:cs="Arial" w:hint="cs"/>
          <w:rtl/>
        </w:rPr>
        <w:t xml:space="preserve">- </w:t>
      </w:r>
      <w:r w:rsidRPr="00F852BD">
        <w:rPr>
          <w:rFonts w:cs="Arial"/>
          <w:rtl/>
        </w:rPr>
        <w:t>לא מהני</w:t>
      </w:r>
      <w:r>
        <w:rPr>
          <w:rFonts w:cs="Arial" w:hint="cs"/>
          <w:rtl/>
        </w:rPr>
        <w:t>,</w:t>
      </w:r>
      <w:r w:rsidRPr="00F852BD">
        <w:rPr>
          <w:rFonts w:cs="Arial"/>
          <w:rtl/>
        </w:rPr>
        <w:t xml:space="preserve"> משום שכיר עדיף</w:t>
      </w:r>
      <w:r>
        <w:rPr>
          <w:rFonts w:cs="Arial" w:hint="cs"/>
          <w:rtl/>
        </w:rPr>
        <w:t>,</w:t>
      </w:r>
      <w:r w:rsidRPr="00F852BD">
        <w:rPr>
          <w:rFonts w:cs="Arial"/>
          <w:rtl/>
        </w:rPr>
        <w:t xml:space="preserve"> דשכר אותו גם משום כדי חייו וחיי בניו</w:t>
      </w:r>
      <w:r>
        <w:rPr>
          <w:rFonts w:cs="Arial" w:hint="cs"/>
          <w:rtl/>
        </w:rPr>
        <w:t>,</w:t>
      </w:r>
      <w:r w:rsidRPr="00F852BD">
        <w:rPr>
          <w:rFonts w:cs="Arial"/>
          <w:rtl/>
        </w:rPr>
        <w:t xml:space="preserve"> לכן בטענות ברי נשבעים ונוטלים</w:t>
      </w:r>
      <w:r>
        <w:rPr>
          <w:rFonts w:cs="Arial" w:hint="cs"/>
          <w:rtl/>
        </w:rPr>
        <w:t>.</w:t>
      </w:r>
      <w:r w:rsidRPr="00F852BD">
        <w:rPr>
          <w:rFonts w:cs="Arial"/>
          <w:rtl/>
        </w:rPr>
        <w:t xml:space="preserve"> אבל כאן אפי' בטענות ברי אין נשבעים ונוטלין</w:t>
      </w:r>
      <w:r>
        <w:rPr>
          <w:rFonts w:hint="cs"/>
          <w:rtl/>
        </w:rPr>
        <w:t>.</w:t>
      </w:r>
    </w:p>
  </w:footnote>
  <w:footnote w:id="1155">
    <w:p w14:paraId="6DC0EFE2" w14:textId="169021A4" w:rsidR="00DE2F5F" w:rsidRDefault="00DE2F5F">
      <w:pPr>
        <w:pStyle w:val="a5"/>
      </w:pPr>
      <w:r>
        <w:rPr>
          <w:rStyle w:val="a7"/>
        </w:rPr>
        <w:footnoteRef/>
      </w:r>
      <w:r>
        <w:rPr>
          <w:rtl/>
        </w:rPr>
        <w:t xml:space="preserve"> </w:t>
      </w:r>
      <w:r w:rsidRPr="00E90A10">
        <w:rPr>
          <w:rFonts w:cs="Arial"/>
          <w:rtl/>
        </w:rPr>
        <w:t>בנכסי אשתו ליטול מחצה או שליש ועמד וגרשה משאכל קימעא</w:t>
      </w:r>
      <w:r>
        <w:rPr>
          <w:rFonts w:hint="cs"/>
          <w:rtl/>
        </w:rPr>
        <w:t>, רש"י.</w:t>
      </w:r>
    </w:p>
  </w:footnote>
  <w:footnote w:id="1156">
    <w:p w14:paraId="7F20C592" w14:textId="1C3827E2" w:rsidR="00DE2F5F" w:rsidRDefault="00DE2F5F" w:rsidP="00E90A10">
      <w:pPr>
        <w:pStyle w:val="a5"/>
      </w:pPr>
      <w:r>
        <w:rPr>
          <w:rStyle w:val="a7"/>
        </w:rPr>
        <w:footnoteRef/>
      </w:r>
      <w:r>
        <w:rPr>
          <w:rtl/>
        </w:rPr>
        <w:t xml:space="preserve"> </w:t>
      </w:r>
      <w:r w:rsidRPr="00E90A10">
        <w:rPr>
          <w:rFonts w:cs="Arial"/>
          <w:rtl/>
        </w:rPr>
        <w:t>שיטלו האריסין כפי שבחם</w:t>
      </w:r>
      <w:r>
        <w:rPr>
          <w:rFonts w:hint="cs"/>
          <w:rtl/>
        </w:rPr>
        <w:t>, רש"י.</w:t>
      </w:r>
    </w:p>
  </w:footnote>
  <w:footnote w:id="1157">
    <w:p w14:paraId="1F0920A8" w14:textId="315ECDBD" w:rsidR="00DE2F5F" w:rsidRDefault="00DE2F5F" w:rsidP="00E90A10">
      <w:pPr>
        <w:pStyle w:val="a5"/>
      </w:pPr>
      <w:r>
        <w:rPr>
          <w:rStyle w:val="a7"/>
        </w:rPr>
        <w:footnoteRef/>
      </w:r>
      <w:r>
        <w:rPr>
          <w:rtl/>
        </w:rPr>
        <w:t xml:space="preserve"> </w:t>
      </w:r>
      <w:r w:rsidRPr="00E90A10">
        <w:rPr>
          <w:rFonts w:cs="Arial"/>
          <w:rtl/>
        </w:rPr>
        <w:t>הוא הכניסם ולא היא</w:t>
      </w:r>
      <w:r>
        <w:rPr>
          <w:rFonts w:cs="Arial" w:hint="cs"/>
          <w:rtl/>
        </w:rPr>
        <w:t>,</w:t>
      </w:r>
      <w:r w:rsidRPr="00E90A10">
        <w:rPr>
          <w:rFonts w:cs="Arial"/>
          <w:rtl/>
        </w:rPr>
        <w:t xml:space="preserve"> וכי איסתלק ליה בעל איסתלקו אינהו ולא שקלי מידי כי דיניה דמה שהוציא הוציא ומה שאכל אכל</w:t>
      </w:r>
      <w:r>
        <w:rPr>
          <w:rFonts w:hint="cs"/>
          <w:rtl/>
        </w:rPr>
        <w:t>, רש"י.</w:t>
      </w:r>
    </w:p>
  </w:footnote>
  <w:footnote w:id="1158">
    <w:p w14:paraId="12686757" w14:textId="1D078DD3" w:rsidR="00DE2F5F" w:rsidRDefault="00DE2F5F" w:rsidP="00E90A10">
      <w:pPr>
        <w:pStyle w:val="a5"/>
      </w:pPr>
      <w:r>
        <w:rPr>
          <w:rStyle w:val="a7"/>
        </w:rPr>
        <w:footnoteRef/>
      </w:r>
      <w:r>
        <w:rPr>
          <w:rtl/>
        </w:rPr>
        <w:t xml:space="preserve"> </w:t>
      </w:r>
      <w:r w:rsidRPr="00E90A10">
        <w:rPr>
          <w:rFonts w:cs="Arial"/>
          <w:rtl/>
        </w:rPr>
        <w:t>אם לא הורידם הבעל היתה היא מורידה לתוכה אריסין</w:t>
      </w:r>
      <w:r>
        <w:rPr>
          <w:rFonts w:hint="cs"/>
          <w:rtl/>
        </w:rPr>
        <w:t>, רש"י.</w:t>
      </w:r>
    </w:p>
  </w:footnote>
  <w:footnote w:id="1159">
    <w:p w14:paraId="289AC6DC" w14:textId="45D89A0A" w:rsidR="00DE2F5F" w:rsidRDefault="00DE2F5F" w:rsidP="00E90A10">
      <w:pPr>
        <w:pStyle w:val="a5"/>
      </w:pPr>
      <w:r>
        <w:rPr>
          <w:rStyle w:val="a7"/>
        </w:rPr>
        <w:footnoteRef/>
      </w:r>
      <w:r>
        <w:rPr>
          <w:rtl/>
        </w:rPr>
        <w:t xml:space="preserve"> </w:t>
      </w:r>
      <w:r w:rsidRPr="00E90A10">
        <w:rPr>
          <w:rFonts w:cs="Arial"/>
          <w:rtl/>
        </w:rPr>
        <w:t>ליטול היציאה כשיעור שבח כדאמר בב"מ בהשואל והכא אמר בעי לסלוקי בלא כלום</w:t>
      </w:r>
      <w:r>
        <w:rPr>
          <w:rFonts w:hint="cs"/>
          <w:rtl/>
        </w:rPr>
        <w:t>, רש"י.</w:t>
      </w:r>
    </w:p>
  </w:footnote>
  <w:footnote w:id="1160">
    <w:p w14:paraId="25B9A256" w14:textId="219A48ED" w:rsidR="00DE2F5F" w:rsidRDefault="00DE2F5F" w:rsidP="00E90A10">
      <w:pPr>
        <w:pStyle w:val="a5"/>
      </w:pPr>
      <w:r>
        <w:rPr>
          <w:rStyle w:val="a7"/>
        </w:rPr>
        <w:footnoteRef/>
      </w:r>
      <w:r>
        <w:rPr>
          <w:rtl/>
        </w:rPr>
        <w:t xml:space="preserve"> </w:t>
      </w:r>
      <w:r w:rsidRPr="00A12268">
        <w:rPr>
          <w:rFonts w:cs="Arial"/>
          <w:rtl/>
        </w:rPr>
        <w:t>ראה זה שלא היה איש משביחן וירד להן ומה הפסידן הלכך יציאה שיעור שבח מיהת יהיב ליה</w:t>
      </w:r>
      <w:r>
        <w:rPr>
          <w:rFonts w:hint="cs"/>
          <w:rtl/>
        </w:rPr>
        <w:t>, רש"י.</w:t>
      </w:r>
    </w:p>
  </w:footnote>
  <w:footnote w:id="1161">
    <w:p w14:paraId="50099C98" w14:textId="36EC7707" w:rsidR="00DE2F5F" w:rsidRDefault="00DE2F5F" w:rsidP="00E90A10">
      <w:pPr>
        <w:pStyle w:val="a5"/>
      </w:pPr>
      <w:r>
        <w:rPr>
          <w:rStyle w:val="a7"/>
        </w:rPr>
        <w:footnoteRef/>
      </w:r>
      <w:r>
        <w:rPr>
          <w:rtl/>
        </w:rPr>
        <w:t xml:space="preserve"> </w:t>
      </w:r>
      <w:r w:rsidRPr="00A12268">
        <w:rPr>
          <w:rFonts w:cs="Arial"/>
          <w:rtl/>
        </w:rPr>
        <w:t>שיטריח בהן</w:t>
      </w:r>
      <w:r>
        <w:rPr>
          <w:rFonts w:cs="Arial" w:hint="cs"/>
          <w:rtl/>
        </w:rPr>
        <w:t>,</w:t>
      </w:r>
      <w:r w:rsidRPr="00A12268">
        <w:rPr>
          <w:rFonts w:cs="Arial"/>
          <w:rtl/>
        </w:rPr>
        <w:t xml:space="preserve"> ואמרה להו אי לא נחתיתו אתון איהו עביד ולא הוה שקיל השתא מידי</w:t>
      </w:r>
      <w:r>
        <w:rPr>
          <w:rFonts w:hint="cs"/>
          <w:rtl/>
        </w:rPr>
        <w:t>, רש"י.</w:t>
      </w:r>
    </w:p>
  </w:footnote>
  <w:footnote w:id="1162">
    <w:p w14:paraId="7CDC2659" w14:textId="289F1399" w:rsidR="00DE2F5F" w:rsidRDefault="00DE2F5F" w:rsidP="00E90A10">
      <w:pPr>
        <w:pStyle w:val="a5"/>
      </w:pPr>
      <w:r>
        <w:rPr>
          <w:rStyle w:val="a7"/>
        </w:rPr>
        <w:footnoteRef/>
      </w:r>
      <w:r>
        <w:rPr>
          <w:rtl/>
        </w:rPr>
        <w:t xml:space="preserve"> </w:t>
      </w:r>
      <w:r w:rsidRPr="00A12268">
        <w:rPr>
          <w:rFonts w:cs="Arial"/>
          <w:rtl/>
        </w:rPr>
        <w:t>ויודע בטיב אריסות שאם לא ירדו אלו היה הוא עצמו עובדה</w:t>
      </w:r>
      <w:r>
        <w:rPr>
          <w:rFonts w:hint="cs"/>
          <w:rtl/>
        </w:rPr>
        <w:t>, רש"י.</w:t>
      </w:r>
    </w:p>
  </w:footnote>
  <w:footnote w:id="1163">
    <w:p w14:paraId="446A6F74" w14:textId="79BF9611" w:rsidR="00DE2F5F" w:rsidRDefault="00DE2F5F" w:rsidP="00E90A10">
      <w:pPr>
        <w:pStyle w:val="a5"/>
      </w:pPr>
      <w:r>
        <w:rPr>
          <w:rStyle w:val="a7"/>
        </w:rPr>
        <w:footnoteRef/>
      </w:r>
      <w:r>
        <w:rPr>
          <w:rtl/>
        </w:rPr>
        <w:t xml:space="preserve"> </w:t>
      </w:r>
      <w:r w:rsidRPr="00A12268">
        <w:rPr>
          <w:rFonts w:cs="Arial"/>
          <w:rtl/>
        </w:rPr>
        <w:t>דאמרה להו קא מפסידתו לי דאי לא נחתיתו הוה איהו נחית ועביד ולא הוה שקיל השתא מידי</w:t>
      </w:r>
      <w:r>
        <w:rPr>
          <w:rFonts w:hint="cs"/>
          <w:rtl/>
        </w:rPr>
        <w:t>, רש"י.</w:t>
      </w:r>
    </w:p>
  </w:footnote>
  <w:footnote w:id="1164">
    <w:p w14:paraId="7E7CBBD4" w14:textId="16E4D35C" w:rsidR="00DE2F5F" w:rsidRPr="00A57803" w:rsidRDefault="00DE2F5F">
      <w:pPr>
        <w:pStyle w:val="a5"/>
      </w:pPr>
      <w:r w:rsidRPr="00A57803">
        <w:rPr>
          <w:rStyle w:val="a7"/>
        </w:rPr>
        <w:footnoteRef/>
      </w:r>
      <w:r w:rsidRPr="00A57803">
        <w:rPr>
          <w:rtl/>
        </w:rPr>
        <w:t xml:space="preserve"> </w:t>
      </w:r>
      <w:r w:rsidR="0061020A">
        <w:rPr>
          <w:rFonts w:hint="cs"/>
          <w:rtl/>
        </w:rPr>
        <w:t>וז</w:t>
      </w:r>
      <w:r w:rsidR="0061020A">
        <w:rPr>
          <w:rtl/>
        </w:rPr>
        <w:t>"</w:t>
      </w:r>
      <w:r w:rsidR="0061020A">
        <w:rPr>
          <w:rFonts w:hint="cs"/>
          <w:rtl/>
        </w:rPr>
        <w:t>ל:</w:t>
      </w:r>
      <w:r w:rsidRPr="00A57803">
        <w:rPr>
          <w:rFonts w:hint="cs"/>
          <w:rtl/>
        </w:rPr>
        <w:t xml:space="preserve"> </w:t>
      </w:r>
      <w:r w:rsidRPr="00A57803">
        <w:rPr>
          <w:rFonts w:cs="Arial"/>
          <w:rtl/>
        </w:rPr>
        <w:t>אסתלק ליה בעל אסתלקו אינהו ואיתתא לא יהבה מידי וגם הבעל אינו חייב ליתן להם</w:t>
      </w:r>
      <w:r w:rsidRPr="00A57803">
        <w:rPr>
          <w:rFonts w:cs="Arial" w:hint="cs"/>
          <w:rtl/>
        </w:rPr>
        <w:t>.</w:t>
      </w:r>
      <w:r w:rsidRPr="00A57803">
        <w:rPr>
          <w:rFonts w:cs="Arial"/>
          <w:rtl/>
        </w:rPr>
        <w:t xml:space="preserve"> ואף על גב דהשוכר את הפועל לעשות בשלו והראהו בשל חבירו נותן לו שכרו משלם</w:t>
      </w:r>
      <w:r w:rsidRPr="00A57803">
        <w:rPr>
          <w:rFonts w:cs="Arial" w:hint="cs"/>
          <w:rtl/>
        </w:rPr>
        <w:t>,</w:t>
      </w:r>
      <w:r w:rsidRPr="00A57803">
        <w:rPr>
          <w:rFonts w:cs="Arial"/>
          <w:rtl/>
        </w:rPr>
        <w:t xml:space="preserve"> שאני הכא</w:t>
      </w:r>
      <w:r w:rsidRPr="00A57803">
        <w:rPr>
          <w:rFonts w:cs="Arial" w:hint="cs"/>
          <w:rtl/>
        </w:rPr>
        <w:t>,</w:t>
      </w:r>
      <w:r w:rsidRPr="00A57803">
        <w:rPr>
          <w:rFonts w:cs="Arial"/>
          <w:rtl/>
        </w:rPr>
        <w:t xml:space="preserve"> שהאריסין יודעים שהקרקע של האשה הוא</w:t>
      </w:r>
      <w:r w:rsidRPr="00A57803">
        <w:rPr>
          <w:rFonts w:cs="Arial" w:hint="cs"/>
          <w:rtl/>
        </w:rPr>
        <w:t>,</w:t>
      </w:r>
      <w:r w:rsidRPr="00A57803">
        <w:rPr>
          <w:rFonts w:cs="Arial"/>
          <w:rtl/>
        </w:rPr>
        <w:t xml:space="preserve"> שעל מנת כן נכנסו שאם יגרשנה יפסידו</w:t>
      </w:r>
      <w:r w:rsidRPr="00A57803">
        <w:rPr>
          <w:rFonts w:cs="Arial" w:hint="cs"/>
          <w:rtl/>
        </w:rPr>
        <w:t>,</w:t>
      </w:r>
      <w:r w:rsidRPr="00A57803">
        <w:rPr>
          <w:rFonts w:cs="Arial"/>
          <w:rtl/>
        </w:rPr>
        <w:t xml:space="preserve"> ואין להם עליו</w:t>
      </w:r>
      <w:r w:rsidRPr="00A57803">
        <w:rPr>
          <w:rFonts w:cs="Arial" w:hint="cs"/>
          <w:rtl/>
        </w:rPr>
        <w:t>,</w:t>
      </w:r>
      <w:r w:rsidRPr="00A57803">
        <w:rPr>
          <w:rFonts w:cs="Arial"/>
          <w:rtl/>
        </w:rPr>
        <w:t xml:space="preserve"> ואיבעי להו לאתנויי שאם יגרשנה שהוא יפרע להם</w:t>
      </w:r>
      <w:r w:rsidRPr="00A57803">
        <w:rPr>
          <w:rFonts w:cs="Arial" w:hint="cs"/>
          <w:rtl/>
        </w:rPr>
        <w:t>,</w:t>
      </w:r>
      <w:r w:rsidRPr="00A57803">
        <w:rPr>
          <w:rFonts w:cs="Arial"/>
          <w:rtl/>
        </w:rPr>
        <w:t xml:space="preserve"> ומדלא התנו אינהו דאפסידו אנפשייהו.</w:t>
      </w:r>
    </w:p>
  </w:footnote>
  <w:footnote w:id="1165">
    <w:p w14:paraId="4B16EAF4" w14:textId="15393F1B" w:rsidR="00DE2F5F" w:rsidRDefault="00DE2F5F">
      <w:pPr>
        <w:pStyle w:val="a5"/>
      </w:pPr>
      <w:r>
        <w:rPr>
          <w:rStyle w:val="a7"/>
        </w:rPr>
        <w:footnoteRef/>
      </w:r>
      <w:r>
        <w:rPr>
          <w:rtl/>
        </w:rPr>
        <w:t xml:space="preserve"> </w:t>
      </w:r>
      <w:r w:rsidRPr="00A57803">
        <w:rPr>
          <w:rFonts w:cs="Arial"/>
          <w:rtl/>
        </w:rPr>
        <w:t>זה לשון הרמב"ם פ"י מהלכו' גזילה</w:t>
      </w:r>
      <w:r>
        <w:rPr>
          <w:rFonts w:cs="Arial" w:hint="cs"/>
          <w:rtl/>
        </w:rPr>
        <w:t>,</w:t>
      </w:r>
      <w:r w:rsidRPr="00A57803">
        <w:rPr>
          <w:rFonts w:cs="Arial"/>
          <w:rtl/>
        </w:rPr>
        <w:t xml:space="preserve"> ודעתו דאין אריס של הבעל עדיף מהבעל עצמו</w:t>
      </w:r>
      <w:r>
        <w:rPr>
          <w:rFonts w:cs="Arial" w:hint="cs"/>
          <w:rtl/>
        </w:rPr>
        <w:t>,</w:t>
      </w:r>
      <w:r w:rsidRPr="00A57803">
        <w:rPr>
          <w:rFonts w:cs="Arial"/>
          <w:rtl/>
        </w:rPr>
        <w:t xml:space="preserve"> וכשם דהבעל שהוציא ולא אכל אין נוטל הוצאה אלא שיעור שבח ולא כל הוצאה</w:t>
      </w:r>
      <w:r>
        <w:rPr>
          <w:rFonts w:cs="Arial" w:hint="cs"/>
          <w:rtl/>
        </w:rPr>
        <w:t>,</w:t>
      </w:r>
      <w:r w:rsidRPr="00A57803">
        <w:rPr>
          <w:rFonts w:cs="Arial"/>
          <w:rtl/>
        </w:rPr>
        <w:t xml:space="preserve"> ואם השבח יתר על ההוצא' אין לו אלא הוצאה</w:t>
      </w:r>
      <w:r>
        <w:rPr>
          <w:rFonts w:cs="Arial" w:hint="cs"/>
          <w:rtl/>
        </w:rPr>
        <w:t>,</w:t>
      </w:r>
      <w:r w:rsidRPr="00A57803">
        <w:rPr>
          <w:rFonts w:cs="Arial"/>
          <w:rtl/>
        </w:rPr>
        <w:t xml:space="preserve"> והיינו ידו על התחתונ'</w:t>
      </w:r>
      <w:r>
        <w:rPr>
          <w:rFonts w:cs="Arial" w:hint="cs"/>
          <w:rtl/>
        </w:rPr>
        <w:t>,</w:t>
      </w:r>
      <w:r w:rsidRPr="00A57803">
        <w:rPr>
          <w:rFonts w:cs="Arial"/>
          <w:rtl/>
        </w:rPr>
        <w:t xml:space="preserve"> כן דין האריס</w:t>
      </w:r>
      <w:r>
        <w:rPr>
          <w:rFonts w:cs="Arial" w:hint="cs"/>
          <w:rtl/>
        </w:rPr>
        <w:t>.</w:t>
      </w:r>
      <w:r w:rsidRPr="00A57803">
        <w:rPr>
          <w:rFonts w:cs="Arial"/>
          <w:rtl/>
        </w:rPr>
        <w:t xml:space="preserve"> ומשמע שאם האריס ג"כ נהנה מעט מן הפירו' לא יטול כלום כמו הבעל שאכל קמעא והוציא הרבה</w:t>
      </w:r>
      <w:r>
        <w:rPr>
          <w:rFonts w:cs="Arial" w:hint="cs"/>
          <w:rtl/>
        </w:rPr>
        <w:t>.</w:t>
      </w:r>
      <w:r w:rsidRPr="00A57803">
        <w:rPr>
          <w:rFonts w:cs="Arial"/>
          <w:rtl/>
        </w:rPr>
        <w:t xml:space="preserve"> וגדול' מזה משמע מפרש"י שאם הבעל אכל קמעא אזי אין לאריס כלום דמצי האש' למטען מאחר שהבעל אריס אלו לא ירדת הי' הבעל בעצמו עובד ולא הי' נוטל כלום מאחר שאכל קמעא</w:t>
      </w:r>
      <w:r>
        <w:rPr>
          <w:rFonts w:cs="Arial" w:hint="cs"/>
          <w:rtl/>
        </w:rPr>
        <w:t>, ח"מ (סקכ"ב).</w:t>
      </w:r>
      <w:r>
        <w:rPr>
          <w:rFonts w:hint="cs"/>
          <w:rtl/>
        </w:rPr>
        <w:t xml:space="preserve"> וכתב הב"ש (סקכ"ב) </w:t>
      </w:r>
      <w:r>
        <w:rPr>
          <w:rFonts w:cs="Arial" w:hint="cs"/>
          <w:rtl/>
        </w:rPr>
        <w:t xml:space="preserve">דכמו שכתב הח"מ (שם) בשם רש"י כך </w:t>
      </w:r>
      <w:r w:rsidRPr="00054743">
        <w:rPr>
          <w:rFonts w:cs="Arial"/>
          <w:rtl/>
        </w:rPr>
        <w:t>מבואר בר"ן</w:t>
      </w:r>
      <w:r>
        <w:rPr>
          <w:rFonts w:cs="Arial" w:hint="cs"/>
          <w:rtl/>
        </w:rPr>
        <w:t>,</w:t>
      </w:r>
      <w:r w:rsidRPr="00054743">
        <w:rPr>
          <w:rFonts w:cs="Arial"/>
          <w:rtl/>
        </w:rPr>
        <w:t xml:space="preserve"> </w:t>
      </w:r>
      <w:r>
        <w:rPr>
          <w:rFonts w:cs="Arial" w:hint="cs"/>
          <w:rtl/>
        </w:rPr>
        <w:t>ד</w:t>
      </w:r>
      <w:r w:rsidRPr="00054743">
        <w:rPr>
          <w:rFonts w:cs="Arial"/>
          <w:rtl/>
        </w:rPr>
        <w:t>אם הבעל אכל קצת הפסידו הם ג"כ לגמרי</w:t>
      </w:r>
      <w:r>
        <w:rPr>
          <w:rFonts w:cs="Arial" w:hint="cs"/>
          <w:rtl/>
        </w:rPr>
        <w:t>,</w:t>
      </w:r>
      <w:r w:rsidRPr="00054743">
        <w:rPr>
          <w:rFonts w:cs="Arial"/>
          <w:rtl/>
        </w:rPr>
        <w:t xml:space="preserve"> וכ"כ תוס' וכ"מ מהרא"ש והטור</w:t>
      </w:r>
      <w:r>
        <w:rPr>
          <w:rFonts w:cs="Arial" w:hint="cs"/>
          <w:rtl/>
        </w:rPr>
        <w:t>.</w:t>
      </w:r>
      <w:r w:rsidRPr="00054743">
        <w:rPr>
          <w:rFonts w:cs="Arial"/>
          <w:rtl/>
        </w:rPr>
        <w:t xml:space="preserve"> ונראה גם הרמב"ם מודה לזה דהא הם ירדו לקרקע על דעת הבעל</w:t>
      </w:r>
      <w:r>
        <w:rPr>
          <w:rFonts w:cs="Arial" w:hint="cs"/>
          <w:rtl/>
        </w:rPr>
        <w:t>,</w:t>
      </w:r>
      <w:r w:rsidRPr="00054743">
        <w:rPr>
          <w:rFonts w:cs="Arial"/>
          <w:rtl/>
        </w:rPr>
        <w:t xml:space="preserve"> אלא הרמב"ם כתב דינו כשלא אכל ואז ידו על התחתונה כן הוא יד הפועלים</w:t>
      </w:r>
      <w:r>
        <w:rPr>
          <w:rFonts w:cs="Arial" w:hint="cs"/>
          <w:rtl/>
        </w:rPr>
        <w:t>.</w:t>
      </w:r>
      <w:r w:rsidRPr="00054743">
        <w:rPr>
          <w:rFonts w:cs="Arial"/>
          <w:rtl/>
        </w:rPr>
        <w:t xml:space="preserve"> מיהו מ"ש בח"מ </w:t>
      </w:r>
      <w:r>
        <w:rPr>
          <w:rFonts w:cs="Arial" w:hint="cs"/>
          <w:rtl/>
        </w:rPr>
        <w:t>(שם)</w:t>
      </w:r>
      <w:r>
        <w:rPr>
          <w:rFonts w:cs="Arial" w:hint="cs"/>
        </w:rPr>
        <w:t xml:space="preserve"> </w:t>
      </w:r>
      <w:r w:rsidRPr="00054743">
        <w:rPr>
          <w:rFonts w:cs="Arial"/>
          <w:rtl/>
        </w:rPr>
        <w:t xml:space="preserve">אם הפועל אכל קצת הפסיד </w:t>
      </w:r>
      <w:r>
        <w:rPr>
          <w:rFonts w:cs="Arial" w:hint="cs"/>
          <w:rtl/>
        </w:rPr>
        <w:t xml:space="preserve">- </w:t>
      </w:r>
      <w:r w:rsidRPr="00054743">
        <w:rPr>
          <w:rFonts w:cs="Arial"/>
          <w:rtl/>
        </w:rPr>
        <w:t>יש לספק</w:t>
      </w:r>
      <w:r>
        <w:rPr>
          <w:rFonts w:cs="Arial" w:hint="cs"/>
          <w:rtl/>
        </w:rPr>
        <w:t>,</w:t>
      </w:r>
      <w:r w:rsidRPr="00054743">
        <w:rPr>
          <w:rFonts w:cs="Arial"/>
          <w:rtl/>
        </w:rPr>
        <w:t xml:space="preserve"> כי י"ל דדוק</w:t>
      </w:r>
      <w:r>
        <w:rPr>
          <w:rFonts w:cs="Arial" w:hint="cs"/>
          <w:rtl/>
        </w:rPr>
        <w:t>א</w:t>
      </w:r>
      <w:r w:rsidRPr="00054743">
        <w:rPr>
          <w:rFonts w:cs="Arial"/>
          <w:rtl/>
        </w:rPr>
        <w:t xml:space="preserve"> בבעל תקנו חז"ל אם אכל הפסיד</w:t>
      </w:r>
      <w:r>
        <w:rPr>
          <w:rFonts w:cs="Arial" w:hint="cs"/>
          <w:rtl/>
        </w:rPr>
        <w:t>,</w:t>
      </w:r>
      <w:r w:rsidRPr="00054743">
        <w:rPr>
          <w:rFonts w:cs="Arial"/>
          <w:rtl/>
        </w:rPr>
        <w:t xml:space="preserve"> אבל פועל שאכל אע</w:t>
      </w:r>
      <w:r>
        <w:rPr>
          <w:rFonts w:cs="Arial" w:hint="cs"/>
          <w:rtl/>
        </w:rPr>
        <w:t>"</w:t>
      </w:r>
      <w:r w:rsidRPr="00054743">
        <w:rPr>
          <w:rFonts w:cs="Arial"/>
          <w:rtl/>
        </w:rPr>
        <w:t>ג שירד על דעת הבעל י"ל שאין דינו ממש כבעל</w:t>
      </w:r>
      <w:r>
        <w:rPr>
          <w:rFonts w:hint="cs"/>
          <w:rtl/>
        </w:rPr>
        <w:t>.</w:t>
      </w:r>
    </w:p>
  </w:footnote>
  <w:footnote w:id="1166">
    <w:p w14:paraId="1E779BEB" w14:textId="0D882435" w:rsidR="00DE2F5F" w:rsidRDefault="00DE2F5F">
      <w:pPr>
        <w:pStyle w:val="a5"/>
        <w:rPr>
          <w:rtl/>
        </w:rPr>
      </w:pPr>
      <w:r>
        <w:rPr>
          <w:rStyle w:val="a7"/>
        </w:rPr>
        <w:footnoteRef/>
      </w:r>
      <w:r>
        <w:rPr>
          <w:rtl/>
        </w:rPr>
        <w:t xml:space="preserve"> </w:t>
      </w:r>
      <w:r w:rsidRPr="00A57803">
        <w:rPr>
          <w:rFonts w:cs="Arial"/>
          <w:rtl/>
        </w:rPr>
        <w:t>כלו' שהבעל צריך לשלם לאריס כדין השוכר הפועל לעשו' בשלו והראה בשל חבירו דנותן לו שכרו משלם ודין הבעל עם האשה כמו שנתבאר בסי' זה</w:t>
      </w:r>
      <w:r>
        <w:rPr>
          <w:rFonts w:hint="cs"/>
          <w:rtl/>
        </w:rPr>
        <w:t>, ח"מ (סקכ"ג).</w:t>
      </w:r>
    </w:p>
  </w:footnote>
  <w:footnote w:id="1167">
    <w:p w14:paraId="37B0CD51" w14:textId="50C9F4EC" w:rsidR="00442918" w:rsidRDefault="00442918">
      <w:pPr>
        <w:pStyle w:val="a5"/>
      </w:pPr>
      <w:r>
        <w:rPr>
          <w:rStyle w:val="a7"/>
        </w:rPr>
        <w:footnoteRef/>
      </w:r>
      <w:r>
        <w:rPr>
          <w:rtl/>
        </w:rPr>
        <w:t xml:space="preserve"> </w:t>
      </w:r>
      <w:r>
        <w:rPr>
          <w:rFonts w:hint="cs"/>
          <w:rtl/>
        </w:rPr>
        <w:t>סימן - מוריד ומכסה.</w:t>
      </w:r>
    </w:p>
  </w:footnote>
  <w:footnote w:id="1168">
    <w:p w14:paraId="61A46EEF" w14:textId="0E03AD26" w:rsidR="00DE2F5F" w:rsidRDefault="00DE2F5F" w:rsidP="00C61DC9">
      <w:pPr>
        <w:pStyle w:val="a5"/>
      </w:pPr>
      <w:r>
        <w:rPr>
          <w:rStyle w:val="a7"/>
        </w:rPr>
        <w:footnoteRef/>
      </w:r>
      <w:r>
        <w:rPr>
          <w:rtl/>
        </w:rPr>
        <w:t xml:space="preserve"> </w:t>
      </w:r>
      <w:r>
        <w:rPr>
          <w:rFonts w:cs="Arial"/>
          <w:rtl/>
        </w:rPr>
        <w:t xml:space="preserve">כ"כ הרא"ש בתשובה </w:t>
      </w:r>
      <w:r>
        <w:rPr>
          <w:rFonts w:cs="Arial" w:hint="cs"/>
          <w:rtl/>
        </w:rPr>
        <w:t>(</w:t>
      </w:r>
      <w:r>
        <w:rPr>
          <w:rFonts w:cs="Arial"/>
          <w:rtl/>
        </w:rPr>
        <w:t>כלל יג סי' יט</w:t>
      </w:r>
      <w:r>
        <w:rPr>
          <w:rFonts w:cs="Arial" w:hint="cs"/>
          <w:rtl/>
        </w:rPr>
        <w:t>,</w:t>
      </w:r>
      <w:r>
        <w:rPr>
          <w:rFonts w:cs="Arial"/>
          <w:rtl/>
        </w:rPr>
        <w:t xml:space="preserve"> ובסוף כלל עה סי' ו) וכ"כ הרשב"א בתשובה (ח"ז סי' נז)</w:t>
      </w:r>
      <w:r>
        <w:rPr>
          <w:rFonts w:cs="Arial" w:hint="cs"/>
          <w:rtl/>
        </w:rPr>
        <w:t>, ב"י. וכתב הדרכ"מ</w:t>
      </w:r>
      <w:r w:rsidRPr="00D37988">
        <w:rPr>
          <w:rFonts w:cs="Arial"/>
          <w:rtl/>
        </w:rPr>
        <w:t xml:space="preserve"> (</w:t>
      </w:r>
      <w:r>
        <w:rPr>
          <w:rFonts w:cs="Arial" w:hint="cs"/>
          <w:rtl/>
        </w:rPr>
        <w:t xml:space="preserve">אות </w:t>
      </w:r>
      <w:r w:rsidRPr="00D37988">
        <w:rPr>
          <w:rFonts w:cs="Arial"/>
          <w:rtl/>
        </w:rPr>
        <w:t xml:space="preserve">א) </w:t>
      </w:r>
      <w:r>
        <w:rPr>
          <w:rFonts w:cs="Arial" w:hint="cs"/>
          <w:rtl/>
        </w:rPr>
        <w:t>ש</w:t>
      </w:r>
      <w:r w:rsidRPr="00D37988">
        <w:rPr>
          <w:rFonts w:cs="Arial"/>
          <w:rtl/>
        </w:rPr>
        <w:t xml:space="preserve">בתשובת הרא"ש </w:t>
      </w:r>
      <w:r>
        <w:rPr>
          <w:rFonts w:cs="Arial" w:hint="cs"/>
          <w:rtl/>
        </w:rPr>
        <w:t>(</w:t>
      </w:r>
      <w:r w:rsidRPr="00D37988">
        <w:rPr>
          <w:rFonts w:cs="Arial"/>
          <w:rtl/>
        </w:rPr>
        <w:t>כלל יג סי</w:t>
      </w:r>
      <w:r>
        <w:rPr>
          <w:rFonts w:cs="Arial" w:hint="cs"/>
          <w:rtl/>
        </w:rPr>
        <w:t>'</w:t>
      </w:r>
      <w:r w:rsidRPr="00D37988">
        <w:rPr>
          <w:rFonts w:cs="Arial"/>
          <w:rtl/>
        </w:rPr>
        <w:t xml:space="preserve"> יט</w:t>
      </w:r>
      <w:r>
        <w:rPr>
          <w:rFonts w:cs="Arial" w:hint="cs"/>
          <w:rtl/>
        </w:rPr>
        <w:t>)</w:t>
      </w:r>
      <w:r w:rsidRPr="00D37988">
        <w:rPr>
          <w:rFonts w:cs="Arial"/>
          <w:rtl/>
        </w:rPr>
        <w:t xml:space="preserve"> </w:t>
      </w:r>
      <w:r>
        <w:rPr>
          <w:rFonts w:cs="Arial" w:hint="cs"/>
          <w:rtl/>
        </w:rPr>
        <w:t xml:space="preserve">כתב </w:t>
      </w:r>
      <w:r w:rsidRPr="00D37988">
        <w:rPr>
          <w:rFonts w:cs="Arial"/>
          <w:rtl/>
        </w:rPr>
        <w:t xml:space="preserve">דהוא הדין לכל מה שנוהגין בו בני משפחתו </w:t>
      </w:r>
      <w:r>
        <w:rPr>
          <w:rFonts w:cs="Arial" w:hint="cs"/>
          <w:rtl/>
        </w:rPr>
        <w:t xml:space="preserve">- </w:t>
      </w:r>
      <w:r w:rsidRPr="00D37988">
        <w:rPr>
          <w:rFonts w:cs="Arial"/>
          <w:rtl/>
        </w:rPr>
        <w:t>הוא צורך קבור</w:t>
      </w:r>
      <w:r>
        <w:rPr>
          <w:rFonts w:cs="Arial" w:hint="cs"/>
          <w:rtl/>
        </w:rPr>
        <w:t>ה.</w:t>
      </w:r>
    </w:p>
  </w:footnote>
  <w:footnote w:id="1169">
    <w:p w14:paraId="28FD2F13" w14:textId="15ED4AB0" w:rsidR="00DE2F5F" w:rsidRDefault="00DE2F5F">
      <w:pPr>
        <w:pStyle w:val="a5"/>
        <w:rPr>
          <w:rtl/>
        </w:rPr>
      </w:pPr>
      <w:r>
        <w:rPr>
          <w:rStyle w:val="a7"/>
        </w:rPr>
        <w:footnoteRef/>
      </w:r>
      <w:r>
        <w:rPr>
          <w:rtl/>
        </w:rPr>
        <w:t xml:space="preserve"> </w:t>
      </w:r>
      <w:r w:rsidRPr="00F856DF">
        <w:rPr>
          <w:rFonts w:cs="Arial"/>
          <w:rtl/>
        </w:rPr>
        <w:t>וכתב הה</w:t>
      </w:r>
      <w:r>
        <w:rPr>
          <w:rFonts w:cs="Arial" w:hint="cs"/>
          <w:rtl/>
        </w:rPr>
        <w:t>"</w:t>
      </w:r>
      <w:r w:rsidRPr="00F856DF">
        <w:rPr>
          <w:rFonts w:cs="Arial"/>
          <w:rtl/>
        </w:rPr>
        <w:t>מ</w:t>
      </w:r>
      <w:r>
        <w:rPr>
          <w:rFonts w:cs="Arial" w:hint="cs"/>
          <w:rtl/>
        </w:rPr>
        <w:t>-</w:t>
      </w:r>
      <w:r w:rsidRPr="00F856DF">
        <w:rPr>
          <w:rFonts w:cs="Arial"/>
          <w:rtl/>
        </w:rPr>
        <w:t xml:space="preserve"> כתב רבינו </w:t>
      </w:r>
      <w:r>
        <w:rPr>
          <w:rFonts w:cs="Arial" w:hint="cs"/>
          <w:rtl/>
        </w:rPr>
        <w:t>'</w:t>
      </w:r>
      <w:r w:rsidRPr="00F856DF">
        <w:rPr>
          <w:rFonts w:cs="Arial"/>
          <w:rtl/>
        </w:rPr>
        <w:t>כדרך כל המדינה</w:t>
      </w:r>
      <w:r>
        <w:rPr>
          <w:rFonts w:cs="Arial" w:hint="cs"/>
          <w:rtl/>
        </w:rPr>
        <w:t>'</w:t>
      </w:r>
      <w:r w:rsidRPr="00F856DF">
        <w:rPr>
          <w:rFonts w:cs="Arial"/>
          <w:rtl/>
        </w:rPr>
        <w:t xml:space="preserve"> לומר שאם נהגו בני המדינה שלא להספיד אינו מספיד</w:t>
      </w:r>
      <w:r>
        <w:rPr>
          <w:rFonts w:cs="Arial" w:hint="cs"/>
          <w:rtl/>
        </w:rPr>
        <w:t>,</w:t>
      </w:r>
      <w:r w:rsidRPr="00F856DF">
        <w:rPr>
          <w:rFonts w:cs="Arial"/>
          <w:rtl/>
        </w:rPr>
        <w:t xml:space="preserve"> וכן מבואר בירושלמי (פ"ד ה"ו)</w:t>
      </w:r>
      <w:r>
        <w:rPr>
          <w:rFonts w:hint="cs"/>
          <w:rtl/>
        </w:rPr>
        <w:t>, ב"י.</w:t>
      </w:r>
    </w:p>
  </w:footnote>
  <w:footnote w:id="1170">
    <w:p w14:paraId="762193F3" w14:textId="2E6E888D" w:rsidR="00DE2F5F" w:rsidRDefault="00DE2F5F">
      <w:pPr>
        <w:pStyle w:val="a5"/>
      </w:pPr>
      <w:r>
        <w:rPr>
          <w:rStyle w:val="a7"/>
        </w:rPr>
        <w:footnoteRef/>
      </w:r>
      <w:r>
        <w:rPr>
          <w:rtl/>
        </w:rPr>
        <w:t xml:space="preserve"> </w:t>
      </w:r>
      <w:r w:rsidRPr="00F856DF">
        <w:rPr>
          <w:rFonts w:cs="Arial"/>
          <w:rtl/>
        </w:rPr>
        <w:t>קבורה תקנו חז"ל תחת נדוניא ולא תחת הכתובה</w:t>
      </w:r>
      <w:r>
        <w:rPr>
          <w:rFonts w:cs="Arial" w:hint="cs"/>
          <w:rtl/>
        </w:rPr>
        <w:t>,</w:t>
      </w:r>
      <w:r w:rsidRPr="00F856DF">
        <w:rPr>
          <w:rFonts w:cs="Arial"/>
          <w:rtl/>
        </w:rPr>
        <w:t xml:space="preserve"> דהא ארוסה לית לה קבורה</w:t>
      </w:r>
      <w:r>
        <w:rPr>
          <w:rFonts w:cs="Arial" w:hint="cs"/>
          <w:rtl/>
        </w:rPr>
        <w:t>,</w:t>
      </w:r>
      <w:r w:rsidRPr="00F856DF">
        <w:rPr>
          <w:rFonts w:cs="Arial"/>
          <w:rtl/>
        </w:rPr>
        <w:t xml:space="preserve"> כן כתבו תוס' </w:t>
      </w:r>
      <w:r>
        <w:rPr>
          <w:rFonts w:cs="Arial" w:hint="cs"/>
          <w:rtl/>
        </w:rPr>
        <w:t>(מ</w:t>
      </w:r>
      <w:r w:rsidRPr="00F856DF">
        <w:rPr>
          <w:rFonts w:cs="Arial"/>
          <w:rtl/>
        </w:rPr>
        <w:t>ו</w:t>
      </w:r>
      <w:r>
        <w:rPr>
          <w:rFonts w:cs="Arial" w:hint="cs"/>
          <w:rtl/>
        </w:rPr>
        <w:t>:).</w:t>
      </w:r>
      <w:r w:rsidRPr="00F856DF">
        <w:rPr>
          <w:rFonts w:cs="Arial"/>
          <w:rtl/>
        </w:rPr>
        <w:t xml:space="preserve"> ולא תחת נ"מ</w:t>
      </w:r>
      <w:r>
        <w:rPr>
          <w:rFonts w:cs="Arial" w:hint="cs"/>
          <w:rtl/>
        </w:rPr>
        <w:t>,</w:t>
      </w:r>
      <w:r w:rsidRPr="00F856DF">
        <w:rPr>
          <w:rFonts w:cs="Arial"/>
          <w:rtl/>
        </w:rPr>
        <w:t xml:space="preserve"> כמ"ש בסי' ע"ז</w:t>
      </w:r>
      <w:r>
        <w:rPr>
          <w:rFonts w:cs="Arial" w:hint="cs"/>
          <w:rtl/>
        </w:rPr>
        <w:t>.</w:t>
      </w:r>
      <w:r w:rsidRPr="00F856DF">
        <w:rPr>
          <w:rFonts w:cs="Arial"/>
          <w:rtl/>
        </w:rPr>
        <w:t xml:space="preserve"> ואם בני משפחתה אין מספידים כלל</w:t>
      </w:r>
      <w:r>
        <w:rPr>
          <w:rFonts w:cs="Arial" w:hint="cs"/>
          <w:rtl/>
        </w:rPr>
        <w:t>,</w:t>
      </w:r>
      <w:r w:rsidRPr="00F856DF">
        <w:rPr>
          <w:rFonts w:cs="Arial"/>
          <w:rtl/>
        </w:rPr>
        <w:t xml:space="preserve"> ובני משפחתו מספידים לזכרים ויש פוחתים לנקבו</w:t>
      </w:r>
      <w:r>
        <w:rPr>
          <w:rFonts w:cs="Arial" w:hint="cs"/>
          <w:rtl/>
        </w:rPr>
        <w:t>ת,</w:t>
      </w:r>
      <w:r w:rsidRPr="00F856DF">
        <w:rPr>
          <w:rFonts w:cs="Arial"/>
          <w:rtl/>
        </w:rPr>
        <w:t xml:space="preserve"> אל יפחות לה</w:t>
      </w:r>
      <w:r>
        <w:rPr>
          <w:rFonts w:cs="Arial" w:hint="cs"/>
          <w:rtl/>
        </w:rPr>
        <w:t>,</w:t>
      </w:r>
      <w:r w:rsidRPr="00F856DF">
        <w:rPr>
          <w:rFonts w:cs="Arial"/>
          <w:rtl/>
        </w:rPr>
        <w:t xml:space="preserve"> כן כתבו תוס'</w:t>
      </w:r>
      <w:r>
        <w:rPr>
          <w:rFonts w:cs="Arial" w:hint="cs"/>
          <w:rtl/>
        </w:rPr>
        <w:t>.</w:t>
      </w:r>
      <w:r w:rsidRPr="00F856DF">
        <w:rPr>
          <w:rFonts w:cs="Arial"/>
          <w:rtl/>
        </w:rPr>
        <w:t xml:space="preserve"> אפי' אם שניהם רוצים שלא ירש הנדונייא ולא יקבר אותה</w:t>
      </w:r>
      <w:r>
        <w:rPr>
          <w:rFonts w:cs="Arial" w:hint="cs"/>
          <w:rtl/>
        </w:rPr>
        <w:t xml:space="preserve"> -</w:t>
      </w:r>
      <w:r w:rsidRPr="00F856DF">
        <w:rPr>
          <w:rFonts w:cs="Arial"/>
          <w:rtl/>
        </w:rPr>
        <w:t xml:space="preserve"> אין שומעים להם </w:t>
      </w:r>
      <w:r>
        <w:rPr>
          <w:rFonts w:cs="Arial" w:hint="cs"/>
          <w:rtl/>
        </w:rPr>
        <w:t>(</w:t>
      </w:r>
      <w:r w:rsidRPr="00F856DF">
        <w:rPr>
          <w:rFonts w:cs="Arial"/>
          <w:rtl/>
        </w:rPr>
        <w:t>שם</w:t>
      </w:r>
      <w:r>
        <w:rPr>
          <w:rFonts w:cs="Arial" w:hint="cs"/>
          <w:rtl/>
        </w:rPr>
        <w:t>).</w:t>
      </w:r>
      <w:r w:rsidRPr="00F856DF">
        <w:rPr>
          <w:rFonts w:cs="Arial"/>
          <w:rtl/>
        </w:rPr>
        <w:t xml:space="preserve"> כתב בתשו' מהרי"ל בעל חייב בקבורה אפי' אם כנס אותה ערומה</w:t>
      </w:r>
      <w:r>
        <w:rPr>
          <w:rFonts w:cs="Arial" w:hint="cs"/>
          <w:rtl/>
        </w:rPr>
        <w:t>,</w:t>
      </w:r>
      <w:r w:rsidRPr="00F856DF">
        <w:rPr>
          <w:rFonts w:cs="Arial"/>
          <w:rtl/>
        </w:rPr>
        <w:t xml:space="preserve"> דלא פלוג חז"ל</w:t>
      </w:r>
      <w:r>
        <w:rPr>
          <w:rFonts w:cs="Arial" w:hint="cs"/>
          <w:rtl/>
        </w:rPr>
        <w:t xml:space="preserve"> (ועיין ב</w:t>
      </w:r>
      <w:r w:rsidRPr="002C039F">
        <w:rPr>
          <w:rFonts w:cs="Arial"/>
          <w:rtl/>
        </w:rPr>
        <w:t xml:space="preserve">שו"ת רדב"ז </w:t>
      </w:r>
      <w:r>
        <w:rPr>
          <w:rFonts w:cs="Arial" w:hint="cs"/>
          <w:rtl/>
        </w:rPr>
        <w:t>[</w:t>
      </w:r>
      <w:r w:rsidRPr="002C039F">
        <w:rPr>
          <w:rFonts w:cs="Arial"/>
          <w:rtl/>
        </w:rPr>
        <w:t>ח</w:t>
      </w:r>
      <w:r>
        <w:rPr>
          <w:rFonts w:cs="Arial" w:hint="cs"/>
          <w:rtl/>
        </w:rPr>
        <w:t>"</w:t>
      </w:r>
      <w:r w:rsidRPr="002C039F">
        <w:rPr>
          <w:rFonts w:cs="Arial"/>
          <w:rtl/>
        </w:rPr>
        <w:t>ג סי</w:t>
      </w:r>
      <w:r>
        <w:rPr>
          <w:rFonts w:cs="Arial" w:hint="cs"/>
          <w:rtl/>
        </w:rPr>
        <w:t>'</w:t>
      </w:r>
      <w:r w:rsidRPr="002C039F">
        <w:rPr>
          <w:rFonts w:cs="Arial"/>
          <w:rtl/>
        </w:rPr>
        <w:t xml:space="preserve"> תרלג</w:t>
      </w:r>
      <w:r>
        <w:rPr>
          <w:rFonts w:cs="Arial" w:hint="cs"/>
          <w:rtl/>
        </w:rPr>
        <w:t>] דמיירי בזה).</w:t>
      </w:r>
      <w:r w:rsidRPr="00F856DF">
        <w:rPr>
          <w:rFonts w:cs="Arial"/>
          <w:rtl/>
        </w:rPr>
        <w:t xml:space="preserve"> וכן נשמע כמ"ש תוספ' ר"פ אלמנה ניזונ'</w:t>
      </w:r>
      <w:r>
        <w:rPr>
          <w:rFonts w:cs="Arial" w:hint="cs"/>
          <w:rtl/>
        </w:rPr>
        <w:t>,</w:t>
      </w:r>
      <w:r w:rsidRPr="00F856DF">
        <w:rPr>
          <w:rFonts w:cs="Arial"/>
          <w:rtl/>
        </w:rPr>
        <w:t xml:space="preserve"> ועיין בסמוך</w:t>
      </w:r>
      <w:r>
        <w:rPr>
          <w:rFonts w:cs="Arial" w:hint="cs"/>
          <w:rtl/>
        </w:rPr>
        <w:t>, ב"ש (סק"א).</w:t>
      </w:r>
    </w:p>
  </w:footnote>
  <w:footnote w:id="1171">
    <w:p w14:paraId="4C3E9A42" w14:textId="3873428E" w:rsidR="00DE2F5F" w:rsidRDefault="00DE2F5F">
      <w:pPr>
        <w:pStyle w:val="a5"/>
        <w:rPr>
          <w:rtl/>
        </w:rPr>
      </w:pPr>
      <w:r>
        <w:rPr>
          <w:rStyle w:val="a7"/>
        </w:rPr>
        <w:footnoteRef/>
      </w:r>
      <w:r>
        <w:rPr>
          <w:rtl/>
        </w:rPr>
        <w:t xml:space="preserve"> </w:t>
      </w:r>
      <w:r>
        <w:rPr>
          <w:rFonts w:cs="Arial" w:hint="cs"/>
          <w:rtl/>
        </w:rPr>
        <w:t>וכתב ה</w:t>
      </w:r>
      <w:r w:rsidRPr="009372C5">
        <w:rPr>
          <w:rFonts w:cs="Arial"/>
          <w:rtl/>
        </w:rPr>
        <w:t xml:space="preserve">רמ"ע מפאנו </w:t>
      </w:r>
      <w:r>
        <w:rPr>
          <w:rFonts w:cs="Arial" w:hint="cs"/>
          <w:rtl/>
        </w:rPr>
        <w:t>(</w:t>
      </w:r>
      <w:r w:rsidRPr="009372C5">
        <w:rPr>
          <w:rFonts w:cs="Arial"/>
          <w:rtl/>
        </w:rPr>
        <w:t>ס"ס פט</w:t>
      </w:r>
      <w:r>
        <w:rPr>
          <w:rFonts w:cs="Arial" w:hint="cs"/>
          <w:rtl/>
        </w:rPr>
        <w:t xml:space="preserve">, הביאו הפת"ש [סק"ב]) דאין זה חיוב אלא במקום שמנהג משפחתו כן </w:t>
      </w:r>
      <w:r w:rsidRPr="000A59E3">
        <w:rPr>
          <w:rFonts w:cs="Arial" w:hint="cs"/>
          <w:sz w:val="16"/>
          <w:szCs w:val="16"/>
          <w:rtl/>
        </w:rPr>
        <w:t>(</w:t>
      </w:r>
      <w:r w:rsidR="0061020A">
        <w:rPr>
          <w:rFonts w:cs="Arial" w:hint="cs"/>
          <w:sz w:val="16"/>
          <w:szCs w:val="16"/>
          <w:rtl/>
        </w:rPr>
        <w:t>וז</w:t>
      </w:r>
      <w:r w:rsidR="0061020A">
        <w:rPr>
          <w:rFonts w:cs="Arial"/>
          <w:sz w:val="16"/>
          <w:szCs w:val="16"/>
          <w:rtl/>
        </w:rPr>
        <w:t>"</w:t>
      </w:r>
      <w:r w:rsidR="0061020A">
        <w:rPr>
          <w:rFonts w:cs="Arial" w:hint="cs"/>
          <w:sz w:val="16"/>
          <w:szCs w:val="16"/>
          <w:rtl/>
        </w:rPr>
        <w:t>ל:</w:t>
      </w:r>
      <w:r w:rsidRPr="000A59E3">
        <w:rPr>
          <w:rFonts w:cs="Arial"/>
          <w:sz w:val="16"/>
          <w:szCs w:val="16"/>
          <w:rtl/>
        </w:rPr>
        <w:t xml:space="preserve"> ומה שטען עוד ראובן על חתנו </w:t>
      </w:r>
      <w:r>
        <w:rPr>
          <w:rFonts w:cs="Arial" w:hint="cs"/>
          <w:sz w:val="16"/>
          <w:szCs w:val="16"/>
          <w:rtl/>
        </w:rPr>
        <w:t xml:space="preserve">שמעון </w:t>
      </w:r>
      <w:r w:rsidRPr="000A59E3">
        <w:rPr>
          <w:rFonts w:cs="Arial"/>
          <w:sz w:val="16"/>
          <w:szCs w:val="16"/>
          <w:rtl/>
        </w:rPr>
        <w:t xml:space="preserve">שיעמיד נר תמיד בבה"כ ויפרע מי שיאמר קדיש בעד אשתו </w:t>
      </w:r>
      <w:r w:rsidRPr="000A59E3">
        <w:rPr>
          <w:rFonts w:cs="Arial" w:hint="cs"/>
          <w:sz w:val="14"/>
          <w:szCs w:val="14"/>
          <w:rtl/>
        </w:rPr>
        <w:t>{</w:t>
      </w:r>
      <w:r>
        <w:rPr>
          <w:rFonts w:cs="Arial" w:hint="cs"/>
          <w:sz w:val="14"/>
          <w:szCs w:val="14"/>
          <w:rtl/>
        </w:rPr>
        <w:t>אשת שמעון</w:t>
      </w:r>
      <w:r w:rsidRPr="000A59E3">
        <w:rPr>
          <w:rFonts w:cs="Arial" w:hint="cs"/>
          <w:sz w:val="14"/>
          <w:szCs w:val="14"/>
          <w:rtl/>
        </w:rPr>
        <w:t>}</w:t>
      </w:r>
      <w:r>
        <w:rPr>
          <w:rFonts w:cs="Arial" w:hint="cs"/>
          <w:sz w:val="14"/>
          <w:szCs w:val="14"/>
          <w:rtl/>
        </w:rPr>
        <w:t xml:space="preserve"> </w:t>
      </w:r>
      <w:r w:rsidRPr="000A59E3">
        <w:rPr>
          <w:rFonts w:cs="Arial"/>
          <w:sz w:val="16"/>
          <w:szCs w:val="16"/>
          <w:rtl/>
        </w:rPr>
        <w:t>נ"ל שיפה השיב חתנו שאינו חייב כלום שהדלקת הנר אפילו לבן על האב אינו אלא מנהג בעלמא והרבה שאין מדליקין אלא מעט בעת התפילה ומהא דכ' הרשב"א דבעל חייב לעשות מצבה ליכא ראיה דלא קאמר אלא כגון דמנהג משפחתו לעשות כו'</w:t>
      </w:r>
      <w:r w:rsidRPr="000A59E3">
        <w:rPr>
          <w:rFonts w:cs="Arial" w:hint="cs"/>
          <w:sz w:val="16"/>
          <w:szCs w:val="16"/>
          <w:rtl/>
        </w:rPr>
        <w:t>.</w:t>
      </w:r>
      <w:r w:rsidRPr="000A59E3">
        <w:rPr>
          <w:rFonts w:cs="Arial"/>
          <w:sz w:val="16"/>
          <w:szCs w:val="16"/>
          <w:rtl/>
        </w:rPr>
        <w:t xml:space="preserve"> וע"ד הקדיש לא הוטל חיוב זה אלא לבן על אביו ועל אמו אבל בעל על אשתו אין לו חיוב על זה</w:t>
      </w:r>
      <w:r>
        <w:rPr>
          <w:rFonts w:cs="Arial" w:hint="cs"/>
          <w:sz w:val="16"/>
          <w:szCs w:val="16"/>
          <w:rtl/>
        </w:rPr>
        <w:t>)</w:t>
      </w:r>
      <w:r>
        <w:rPr>
          <w:rFonts w:hint="cs"/>
          <w:rtl/>
        </w:rPr>
        <w:t>.</w:t>
      </w:r>
    </w:p>
  </w:footnote>
  <w:footnote w:id="1172">
    <w:p w14:paraId="6931E67B" w14:textId="7875412E" w:rsidR="00DE2F5F" w:rsidRDefault="00DE2F5F">
      <w:pPr>
        <w:pStyle w:val="a5"/>
      </w:pPr>
      <w:r>
        <w:rPr>
          <w:rStyle w:val="a7"/>
        </w:rPr>
        <w:footnoteRef/>
      </w:r>
      <w:r>
        <w:rPr>
          <w:rtl/>
        </w:rPr>
        <w:t xml:space="preserve"> </w:t>
      </w:r>
      <w:r>
        <w:rPr>
          <w:rFonts w:hint="cs"/>
          <w:rtl/>
        </w:rPr>
        <w:t xml:space="preserve">וכן איתא שם </w:t>
      </w:r>
      <w:r>
        <w:rPr>
          <w:rFonts w:cs="Arial" w:hint="cs"/>
          <w:rtl/>
        </w:rPr>
        <w:t>בפרק ד ה"ו.</w:t>
      </w:r>
    </w:p>
  </w:footnote>
  <w:footnote w:id="1173">
    <w:p w14:paraId="4D0C5B02" w14:textId="41CBDA8F" w:rsidR="00DE2F5F" w:rsidRDefault="00DE2F5F">
      <w:pPr>
        <w:pStyle w:val="a5"/>
      </w:pPr>
      <w:r>
        <w:rPr>
          <w:rStyle w:val="a7"/>
        </w:rPr>
        <w:footnoteRef/>
      </w:r>
      <w:r>
        <w:rPr>
          <w:rtl/>
        </w:rPr>
        <w:t xml:space="preserve"> </w:t>
      </w:r>
      <w:r w:rsidRPr="00DC68FF">
        <w:rPr>
          <w:rFonts w:cs="Arial"/>
          <w:rtl/>
        </w:rPr>
        <w:t>אם האב פירנס את בתו שהלך בעלה למדינת הים</w:t>
      </w:r>
      <w:r>
        <w:rPr>
          <w:rFonts w:cs="Arial" w:hint="cs"/>
          <w:rtl/>
        </w:rPr>
        <w:t xml:space="preserve"> </w:t>
      </w:r>
      <w:r w:rsidRPr="00DC68FF">
        <w:rPr>
          <w:rFonts w:cs="Arial"/>
          <w:rtl/>
        </w:rPr>
        <w:t>האב גובה מהבעל כשיחזור</w:t>
      </w:r>
      <w:r>
        <w:rPr>
          <w:rFonts w:cs="Arial" w:hint="cs"/>
          <w:rtl/>
        </w:rPr>
        <w:t>, ידיד נפש.</w:t>
      </w:r>
    </w:p>
  </w:footnote>
  <w:footnote w:id="1174">
    <w:p w14:paraId="7CB2BDC3" w14:textId="68D633A1" w:rsidR="00DE2F5F" w:rsidRDefault="00DE2F5F" w:rsidP="008953CE">
      <w:pPr>
        <w:pStyle w:val="a5"/>
      </w:pPr>
      <w:r>
        <w:rPr>
          <w:rStyle w:val="a7"/>
        </w:rPr>
        <w:footnoteRef/>
      </w:r>
      <w:r>
        <w:rPr>
          <w:rtl/>
        </w:rPr>
        <w:t xml:space="preserve"> </w:t>
      </w:r>
      <w:r w:rsidRPr="00D37988">
        <w:rPr>
          <w:rFonts w:cs="Arial"/>
          <w:rtl/>
        </w:rPr>
        <w:t xml:space="preserve">ומשמע מדברי </w:t>
      </w:r>
      <w:r>
        <w:rPr>
          <w:rFonts w:cs="Arial" w:hint="cs"/>
          <w:rtl/>
        </w:rPr>
        <w:t xml:space="preserve">הגמ"ר </w:t>
      </w:r>
      <w:r w:rsidRPr="008953CE">
        <w:rPr>
          <w:rFonts w:cs="Arial" w:hint="cs"/>
          <w:sz w:val="16"/>
          <w:szCs w:val="16"/>
          <w:rtl/>
        </w:rPr>
        <w:t>(</w:t>
      </w:r>
      <w:r w:rsidRPr="008953CE">
        <w:rPr>
          <w:rFonts w:cs="Arial"/>
          <w:sz w:val="16"/>
          <w:szCs w:val="16"/>
          <w:rtl/>
        </w:rPr>
        <w:t>סוף כתובות סי' שיא)</w:t>
      </w:r>
      <w:r w:rsidRPr="00D37988">
        <w:rPr>
          <w:rFonts w:cs="Arial"/>
          <w:rtl/>
        </w:rPr>
        <w:t xml:space="preserve"> דהוא הדין אם היה הבעל בעיר ועמד האב או אחר וקוברה</w:t>
      </w:r>
      <w:r>
        <w:rPr>
          <w:rFonts w:cs="Arial" w:hint="cs"/>
          <w:rtl/>
        </w:rPr>
        <w:t xml:space="preserve">, </w:t>
      </w:r>
      <w:r w:rsidRPr="000547D9">
        <w:rPr>
          <w:rFonts w:cs="Arial" w:hint="cs"/>
          <w:b/>
          <w:bCs/>
          <w:rtl/>
        </w:rPr>
        <w:t>ב"י</w:t>
      </w:r>
      <w:r>
        <w:rPr>
          <w:rFonts w:cs="Arial" w:hint="cs"/>
          <w:rtl/>
        </w:rPr>
        <w:t xml:space="preserve">. </w:t>
      </w:r>
      <w:r w:rsidRPr="00C16802">
        <w:rPr>
          <w:rFonts w:cs="Arial"/>
          <w:rtl/>
        </w:rPr>
        <w:t>ולא ידענא מאי קמ"ל בהא, ואפשר דרצה לומר אע</w:t>
      </w:r>
      <w:r>
        <w:rPr>
          <w:rFonts w:cs="Arial" w:hint="cs"/>
          <w:rtl/>
        </w:rPr>
        <w:t>"</w:t>
      </w:r>
      <w:r w:rsidRPr="00C16802">
        <w:rPr>
          <w:rFonts w:cs="Arial"/>
          <w:rtl/>
        </w:rPr>
        <w:t>ג שלא נמלכו בבעל תחלה אפילו הכי צריך לשלם להם וכ</w:t>
      </w:r>
      <w:r>
        <w:rPr>
          <w:rFonts w:cs="Arial" w:hint="cs"/>
          <w:rtl/>
        </w:rPr>
        <w:t>"מ</w:t>
      </w:r>
      <w:r w:rsidRPr="00C16802">
        <w:rPr>
          <w:rFonts w:cs="Arial"/>
          <w:rtl/>
        </w:rPr>
        <w:t xml:space="preserve"> שם בהגמ</w:t>
      </w:r>
      <w:r>
        <w:rPr>
          <w:rFonts w:cs="Arial" w:hint="cs"/>
          <w:rtl/>
        </w:rPr>
        <w:t>"</w:t>
      </w:r>
      <w:r w:rsidRPr="00C16802">
        <w:rPr>
          <w:rFonts w:cs="Arial"/>
          <w:rtl/>
        </w:rPr>
        <w:t>ר בסופו</w:t>
      </w:r>
      <w:r>
        <w:rPr>
          <w:rFonts w:cs="Arial" w:hint="cs"/>
          <w:rtl/>
        </w:rPr>
        <w:t xml:space="preserve">, </w:t>
      </w:r>
      <w:r w:rsidRPr="000547D9">
        <w:rPr>
          <w:rFonts w:cs="Arial" w:hint="cs"/>
          <w:b/>
          <w:bCs/>
          <w:rtl/>
        </w:rPr>
        <w:t>דרכ"מ</w:t>
      </w:r>
      <w:r>
        <w:rPr>
          <w:rFonts w:cs="Arial" w:hint="cs"/>
          <w:rtl/>
        </w:rPr>
        <w:t xml:space="preserve"> (אות ג)</w:t>
      </w:r>
      <w:r w:rsidRPr="00C16802">
        <w:rPr>
          <w:rFonts w:cs="Arial"/>
          <w:rtl/>
        </w:rPr>
        <w:t>.</w:t>
      </w:r>
    </w:p>
  </w:footnote>
  <w:footnote w:id="1175">
    <w:p w14:paraId="52838C18" w14:textId="39CE3B9A" w:rsidR="00DE2F5F" w:rsidRDefault="00DE2F5F">
      <w:pPr>
        <w:pStyle w:val="a5"/>
        <w:rPr>
          <w:rtl/>
        </w:rPr>
      </w:pPr>
      <w:r>
        <w:rPr>
          <w:rStyle w:val="a7"/>
        </w:rPr>
        <w:footnoteRef/>
      </w:r>
      <w:r>
        <w:rPr>
          <w:rtl/>
        </w:rPr>
        <w:t xml:space="preserve"> </w:t>
      </w:r>
      <w:r w:rsidRPr="002E0BE8">
        <w:rPr>
          <w:rFonts w:cs="Arial"/>
          <w:rtl/>
        </w:rPr>
        <w:t>אבל מצאתי להרמב"ם ז"ל שפסק כר' יוסה דירושלמי דאמר לקבורה בין אב בין אחר גובה שלא עלתה על דעת שתהא אשתו מושלכת לכלבים, ולא נתבררו לי דבריו דכיון דר' חגאי פליג עליה המוציא מחבירו עליו הראיה, ועוד דבגמרין משמע דדוקא בית דין יורדין לנכסיו הא אחר הניח מעותיו על קרן הצבי</w:t>
      </w:r>
      <w:r>
        <w:rPr>
          <w:rFonts w:hint="cs"/>
          <w:rtl/>
        </w:rPr>
        <w:t>, רשב"א (שם).</w:t>
      </w:r>
    </w:p>
  </w:footnote>
  <w:footnote w:id="1176">
    <w:p w14:paraId="315AA551" w14:textId="04C58F76" w:rsidR="00DE2F5F" w:rsidRDefault="00DE2F5F">
      <w:pPr>
        <w:pStyle w:val="a5"/>
      </w:pPr>
      <w:r>
        <w:rPr>
          <w:rStyle w:val="a7"/>
        </w:rPr>
        <w:footnoteRef/>
      </w:r>
      <w:r>
        <w:rPr>
          <w:rtl/>
        </w:rPr>
        <w:t xml:space="preserve"> </w:t>
      </w:r>
      <w:r w:rsidRPr="00C16802">
        <w:rPr>
          <w:rFonts w:cs="Arial"/>
          <w:rtl/>
        </w:rPr>
        <w:t>ועיין לקמן סימן ק' (אות ב) אי האשה חייבת בקבורת בעלה</w:t>
      </w:r>
      <w:r>
        <w:rPr>
          <w:rFonts w:cs="Arial" w:hint="cs"/>
          <w:rtl/>
        </w:rPr>
        <w:t>, דרכ"מ (אות ב).</w:t>
      </w:r>
      <w:r w:rsidRPr="00444578">
        <w:rPr>
          <w:rtl/>
        </w:rPr>
        <w:t xml:space="preserve"> </w:t>
      </w:r>
      <w:r w:rsidRPr="00444578">
        <w:rPr>
          <w:rFonts w:cs="Arial"/>
          <w:rtl/>
        </w:rPr>
        <w:t>ובסי' קי"ח מבואר מי ומי חייב ליתן לסיוע הקבורה גם אם היא חייבת בקבורת בעלה</w:t>
      </w:r>
      <w:r>
        <w:rPr>
          <w:rFonts w:hint="cs"/>
          <w:rtl/>
        </w:rPr>
        <w:t>, ב"ש (סק"ג).</w:t>
      </w:r>
    </w:p>
  </w:footnote>
  <w:footnote w:id="1177">
    <w:p w14:paraId="4B03112C" w14:textId="77777777" w:rsidR="00442918" w:rsidRDefault="00442918" w:rsidP="00442918">
      <w:pPr>
        <w:pStyle w:val="a5"/>
      </w:pPr>
      <w:r>
        <w:rPr>
          <w:rStyle w:val="a7"/>
        </w:rPr>
        <w:footnoteRef/>
      </w:r>
      <w:r>
        <w:rPr>
          <w:rtl/>
        </w:rPr>
        <w:t xml:space="preserve"> </w:t>
      </w:r>
      <w:r>
        <w:rPr>
          <w:rFonts w:hint="cs"/>
          <w:rtl/>
        </w:rPr>
        <w:t>סימן - מוריד ומכסה.</w:t>
      </w:r>
    </w:p>
  </w:footnote>
  <w:footnote w:id="1178">
    <w:p w14:paraId="3F4F92B2" w14:textId="4920CDCE" w:rsidR="00DE2F5F" w:rsidRDefault="00DE2F5F" w:rsidP="00EB79BF">
      <w:pPr>
        <w:pStyle w:val="a5"/>
      </w:pPr>
      <w:r>
        <w:rPr>
          <w:rStyle w:val="a7"/>
        </w:rPr>
        <w:footnoteRef/>
      </w:r>
      <w:r w:rsidRPr="00D37988">
        <w:rPr>
          <w:rFonts w:cs="Arial"/>
          <w:rtl/>
        </w:rPr>
        <w:t xml:space="preserve"> עיין בחושן המשפט (סי' קט סעי' ה) אי מוכרין בלא הכרזה</w:t>
      </w:r>
      <w:r>
        <w:rPr>
          <w:rFonts w:cs="Arial" w:hint="cs"/>
          <w:rtl/>
        </w:rPr>
        <w:t>, דרכ"מ (אות ד).</w:t>
      </w:r>
    </w:p>
  </w:footnote>
  <w:footnote w:id="1179">
    <w:p w14:paraId="7F9D4B6D" w14:textId="27C99DFB" w:rsidR="00DE2F5F" w:rsidRDefault="00DE2F5F">
      <w:pPr>
        <w:pStyle w:val="a5"/>
      </w:pPr>
      <w:r>
        <w:rPr>
          <w:rStyle w:val="a7"/>
        </w:rPr>
        <w:footnoteRef/>
      </w:r>
      <w:r>
        <w:rPr>
          <w:rtl/>
        </w:rPr>
        <w:t xml:space="preserve"> </w:t>
      </w:r>
      <w:r w:rsidRPr="00C16802">
        <w:rPr>
          <w:rFonts w:cs="Arial"/>
          <w:rtl/>
        </w:rPr>
        <w:t>מ"ש בלא הכרזה ממה שאמרו פרק אלמנה נזונת (כתובות ק:) דלקבורה מזבנינן בלא אכרזתא וכן פרש"י ורבינו האיי וכו'</w:t>
      </w:r>
      <w:r>
        <w:rPr>
          <w:rFonts w:cs="Arial" w:hint="cs"/>
          <w:rtl/>
        </w:rPr>
        <w:t>.</w:t>
      </w:r>
      <w:r w:rsidRPr="00C16802">
        <w:rPr>
          <w:rFonts w:cs="Arial"/>
          <w:rtl/>
        </w:rPr>
        <w:t xml:space="preserve"> </w:t>
      </w:r>
    </w:p>
  </w:footnote>
  <w:footnote w:id="1180">
    <w:p w14:paraId="36F73C1C" w14:textId="21BB8D67" w:rsidR="00DE2F5F" w:rsidRDefault="00DE2F5F" w:rsidP="00B64FE5">
      <w:pPr>
        <w:pStyle w:val="a5"/>
      </w:pPr>
      <w:r>
        <w:rPr>
          <w:rStyle w:val="a7"/>
        </w:rPr>
        <w:footnoteRef/>
      </w:r>
      <w:r>
        <w:rPr>
          <w:rtl/>
        </w:rPr>
        <w:t xml:space="preserve"> </w:t>
      </w:r>
      <w:r>
        <w:rPr>
          <w:rFonts w:hint="cs"/>
          <w:rtl/>
        </w:rPr>
        <w:t>וכתב הב"ש דכן דעת התוס' (פ</w:t>
      </w:r>
      <w:r w:rsidR="000547D9">
        <w:rPr>
          <w:rFonts w:hint="cs"/>
          <w:rtl/>
        </w:rPr>
        <w:t>.</w:t>
      </w:r>
      <w:r>
        <w:rPr>
          <w:rFonts w:hint="cs"/>
          <w:rtl/>
        </w:rPr>
        <w:t xml:space="preserve">). </w:t>
      </w:r>
      <w:r w:rsidR="000547D9">
        <w:rPr>
          <w:rFonts w:hint="cs"/>
          <w:color w:val="FF0000"/>
          <w:rtl/>
        </w:rPr>
        <w:t>צל"ע ד</w:t>
      </w:r>
      <w:r w:rsidRPr="00B64FE5">
        <w:rPr>
          <w:rFonts w:hint="cs"/>
          <w:color w:val="FF0000"/>
          <w:rtl/>
        </w:rPr>
        <w:t xml:space="preserve">לא מצאתי </w:t>
      </w:r>
      <w:r w:rsidR="000547D9">
        <w:rPr>
          <w:rFonts w:hint="cs"/>
          <w:color w:val="FF0000"/>
          <w:rtl/>
        </w:rPr>
        <w:t>שם.</w:t>
      </w:r>
    </w:p>
  </w:footnote>
  <w:footnote w:id="1181">
    <w:p w14:paraId="09D07DE8" w14:textId="55C474D6" w:rsidR="00DE2F5F" w:rsidRDefault="00DE2F5F">
      <w:pPr>
        <w:pStyle w:val="a5"/>
      </w:pPr>
      <w:r>
        <w:rPr>
          <w:rStyle w:val="a7"/>
        </w:rPr>
        <w:footnoteRef/>
      </w:r>
      <w:r>
        <w:rPr>
          <w:rtl/>
        </w:rPr>
        <w:t xml:space="preserve"> </w:t>
      </w:r>
      <w:r w:rsidRPr="00264A23">
        <w:rPr>
          <w:rFonts w:cs="Arial"/>
          <w:rtl/>
        </w:rPr>
        <w:t>אם מתה שהרי יורשיה גובין כתובתה מיורשי הבעל ועליהן לקוברה שהרי בעלה תחת כתובתה חייב בקבורתה עכשיו שאינו יורשה היא תקבור עצמה</w:t>
      </w:r>
      <w:r>
        <w:rPr>
          <w:rFonts w:cs="Arial" w:hint="cs"/>
          <w:rtl/>
        </w:rPr>
        <w:t>, רש"י.</w:t>
      </w:r>
    </w:p>
  </w:footnote>
  <w:footnote w:id="1182">
    <w:p w14:paraId="550CF5DF" w14:textId="06592584" w:rsidR="00DE2F5F" w:rsidRDefault="00DE2F5F">
      <w:pPr>
        <w:pStyle w:val="a5"/>
      </w:pPr>
      <w:r>
        <w:rPr>
          <w:rStyle w:val="a7"/>
        </w:rPr>
        <w:footnoteRef/>
      </w:r>
      <w:r>
        <w:rPr>
          <w:rtl/>
        </w:rPr>
        <w:t xml:space="preserve"> </w:t>
      </w:r>
      <w:r w:rsidRPr="00AA21A5">
        <w:rPr>
          <w:rFonts w:cs="Arial"/>
          <w:rtl/>
        </w:rPr>
        <w:t>דאיצטריך לתנא למיתני אותן יורשין שיורשין כתובתה ש"מ איכא יורשים אחריני בהדייהו דלא ירתי כתובתה</w:t>
      </w:r>
      <w:r>
        <w:rPr>
          <w:rFonts w:cs="Arial" w:hint="cs"/>
          <w:rtl/>
        </w:rPr>
        <w:t>, רש"י.</w:t>
      </w:r>
    </w:p>
  </w:footnote>
  <w:footnote w:id="1183">
    <w:p w14:paraId="2EFF6F32" w14:textId="742C74B9" w:rsidR="00DE2F5F" w:rsidRDefault="00DE2F5F">
      <w:pPr>
        <w:pStyle w:val="a5"/>
      </w:pPr>
      <w:r>
        <w:rPr>
          <w:rStyle w:val="a7"/>
        </w:rPr>
        <w:footnoteRef/>
      </w:r>
      <w:r>
        <w:rPr>
          <w:rtl/>
        </w:rPr>
        <w:t xml:space="preserve"> </w:t>
      </w:r>
      <w:r w:rsidRPr="00AA21A5">
        <w:rPr>
          <w:rFonts w:cs="Arial"/>
          <w:rtl/>
        </w:rPr>
        <w:t>כתובה זו שאני יורש אין כאן מנדוניית אביה כלום אלא מאתים ותוספת שכתב לה אחי ואין אני יורש אותה אלא אחי</w:t>
      </w:r>
      <w:r>
        <w:rPr>
          <w:rFonts w:cs="Arial" w:hint="cs"/>
          <w:rtl/>
        </w:rPr>
        <w:t>, רש"י.</w:t>
      </w:r>
    </w:p>
  </w:footnote>
  <w:footnote w:id="1184">
    <w:p w14:paraId="158A7DB1" w14:textId="34E94379" w:rsidR="00DE2F5F" w:rsidRDefault="00DE2F5F">
      <w:pPr>
        <w:pStyle w:val="a5"/>
        <w:rPr>
          <w:rtl/>
        </w:rPr>
      </w:pPr>
      <w:r>
        <w:rPr>
          <w:rStyle w:val="a7"/>
        </w:rPr>
        <w:footnoteRef/>
      </w:r>
      <w:r>
        <w:rPr>
          <w:rtl/>
        </w:rPr>
        <w:t xml:space="preserve"> </w:t>
      </w:r>
      <w:r w:rsidRPr="00AA21A5">
        <w:rPr>
          <w:rFonts w:cs="Arial"/>
          <w:rtl/>
        </w:rPr>
        <w:t>כמו שהיה הוא קוברה אם מתה בחייו ואפילו לא הכניסה לו כלום</w:t>
      </w:r>
      <w:r>
        <w:rPr>
          <w:rFonts w:hint="cs"/>
          <w:rtl/>
        </w:rPr>
        <w:t>, רש"י.</w:t>
      </w:r>
    </w:p>
  </w:footnote>
  <w:footnote w:id="1185">
    <w:p w14:paraId="0BDE18EC" w14:textId="3DE1B3F8" w:rsidR="00DE2F5F" w:rsidRDefault="00DE2F5F">
      <w:pPr>
        <w:pStyle w:val="a5"/>
      </w:pPr>
      <w:r>
        <w:rPr>
          <w:rStyle w:val="a7"/>
        </w:rPr>
        <w:footnoteRef/>
      </w:r>
      <w:r>
        <w:rPr>
          <w:rtl/>
        </w:rPr>
        <w:t xml:space="preserve"> </w:t>
      </w:r>
      <w:r w:rsidRPr="009E08D6">
        <w:rPr>
          <w:rFonts w:cs="Arial"/>
          <w:rtl/>
        </w:rPr>
        <w:t>שהקבורה באה תחתיה</w:t>
      </w:r>
      <w:r>
        <w:rPr>
          <w:rFonts w:cs="Arial" w:hint="cs"/>
          <w:rtl/>
        </w:rPr>
        <w:t>, רש"י.</w:t>
      </w:r>
    </w:p>
  </w:footnote>
  <w:footnote w:id="1186">
    <w:p w14:paraId="7AEBFE88" w14:textId="382FF488" w:rsidR="00DE2F5F" w:rsidRPr="009D20D7" w:rsidRDefault="00DE2F5F">
      <w:pPr>
        <w:pStyle w:val="a5"/>
      </w:pPr>
      <w:r>
        <w:rPr>
          <w:rStyle w:val="a7"/>
        </w:rPr>
        <w:footnoteRef/>
      </w:r>
      <w:r>
        <w:rPr>
          <w:rtl/>
        </w:rPr>
        <w:t xml:space="preserve"> </w:t>
      </w:r>
      <w:r w:rsidRPr="00D37988">
        <w:rPr>
          <w:rFonts w:cs="Arial"/>
          <w:rtl/>
        </w:rPr>
        <w:t>יראה שחושב ליורשי הבעל יורשיה כל זמן שלא נשבעה כיון שאין יורשיה נוטלין כל זמן שלא נשבעה ולא נהירא כיון שראויין לירש אותה אילו נשבעה חשיבי שפיר יורשיה וכ"כ הראב"ד</w:t>
      </w:r>
      <w:r>
        <w:rPr>
          <w:rFonts w:cs="Arial" w:hint="cs"/>
          <w:rtl/>
        </w:rPr>
        <w:t>, טור.</w:t>
      </w:r>
      <w:r w:rsidRPr="00A67041">
        <w:rPr>
          <w:rFonts w:cs="Arial"/>
          <w:rtl/>
        </w:rPr>
        <w:t xml:space="preserve"> </w:t>
      </w:r>
      <w:r>
        <w:rPr>
          <w:rFonts w:cs="Arial"/>
          <w:rtl/>
        </w:rPr>
        <w:t>וכתב הרב המגיד מתה האלמנה וכו' ר"פ אלמנה יורשיה יורשי כתובתה חייבים בקבורתה ופרק האשה שנפלו (פא.) פירשו בגמרא יורשי כתובתה בשומרת יבם שמתה</w:t>
      </w:r>
      <w:r>
        <w:rPr>
          <w:rFonts w:cs="Arial" w:hint="cs"/>
          <w:rtl/>
        </w:rPr>
        <w:t>,</w:t>
      </w:r>
      <w:r>
        <w:rPr>
          <w:rFonts w:cs="Arial"/>
          <w:rtl/>
        </w:rPr>
        <w:t xml:space="preserve"> ויורשי הבעל שהם יורשי כתובתה וחצי נכסי צאן ברזל שלה חייבים בקבורתה כמו שיתבאר פכ"ב (ה"י)</w:t>
      </w:r>
      <w:r>
        <w:rPr>
          <w:rFonts w:cs="Arial" w:hint="cs"/>
          <w:rtl/>
        </w:rPr>
        <w:t>,</w:t>
      </w:r>
      <w:r>
        <w:rPr>
          <w:rFonts w:cs="Arial"/>
          <w:rtl/>
        </w:rPr>
        <w:t xml:space="preserve"> וסובר רבינו דכל שכן באלמנה דעלמא שלא נשבעה</w:t>
      </w:r>
      <w:r>
        <w:rPr>
          <w:rFonts w:cs="Arial" w:hint="cs"/>
          <w:rtl/>
        </w:rPr>
        <w:t>,</w:t>
      </w:r>
      <w:r>
        <w:rPr>
          <w:rFonts w:cs="Arial"/>
          <w:rtl/>
        </w:rPr>
        <w:t xml:space="preserve"> שאין יורשין שלה יורשין כלום כנזכר פרק י"ו (הי"ב)</w:t>
      </w:r>
      <w:r>
        <w:rPr>
          <w:rFonts w:cs="Arial" w:hint="cs"/>
          <w:rtl/>
        </w:rPr>
        <w:t>,</w:t>
      </w:r>
      <w:r>
        <w:rPr>
          <w:rFonts w:cs="Arial"/>
          <w:rtl/>
        </w:rPr>
        <w:t xml:space="preserve"> שיורשי הבעל חייבים בקבורתה</w:t>
      </w:r>
      <w:r>
        <w:rPr>
          <w:rFonts w:cs="Arial" w:hint="cs"/>
          <w:rtl/>
        </w:rPr>
        <w:t>.</w:t>
      </w:r>
      <w:r>
        <w:rPr>
          <w:rFonts w:cs="Arial"/>
          <w:rtl/>
        </w:rPr>
        <w:t xml:space="preserve"> אבל בהשגות (פי"ח ה"ו) כתוב א"א דעתא קלישתא חזינן הכא וכי מפני שלא נשבעה</w:t>
      </w:r>
      <w:r>
        <w:rPr>
          <w:rFonts w:cs="Arial" w:hint="cs"/>
          <w:rtl/>
        </w:rPr>
        <w:t>,</w:t>
      </w:r>
      <w:r>
        <w:rPr>
          <w:rFonts w:cs="Arial"/>
          <w:rtl/>
        </w:rPr>
        <w:t xml:space="preserve"> קרא ליורשי הבעל יורשי כתובתה</w:t>
      </w:r>
      <w:r>
        <w:rPr>
          <w:rFonts w:cs="Arial" w:hint="cs"/>
          <w:rtl/>
        </w:rPr>
        <w:t>,</w:t>
      </w:r>
      <w:r>
        <w:rPr>
          <w:rFonts w:cs="Arial"/>
          <w:rtl/>
        </w:rPr>
        <w:t xml:space="preserve"> והלא הם אומרים שכבר נפרעה ונטלה צררי והורישה</w:t>
      </w:r>
      <w:r>
        <w:rPr>
          <w:rFonts w:cs="Arial" w:hint="cs"/>
          <w:rtl/>
        </w:rPr>
        <w:t>.</w:t>
      </w:r>
      <w:r>
        <w:rPr>
          <w:rFonts w:cs="Arial"/>
          <w:rtl/>
        </w:rPr>
        <w:t xml:space="preserve"> אלא ודאי יורשי נדונייתה ונכסי מלוג שלה קוברים אותה</w:t>
      </w:r>
      <w:r>
        <w:rPr>
          <w:rFonts w:cs="Arial" w:hint="cs"/>
          <w:rtl/>
        </w:rPr>
        <w:t>,</w:t>
      </w:r>
      <w:r>
        <w:rPr>
          <w:rFonts w:cs="Arial"/>
          <w:rtl/>
        </w:rPr>
        <w:t xml:space="preserve"> ואף על פי שלא ירשו כלום עכ"ל</w:t>
      </w:r>
      <w:r>
        <w:rPr>
          <w:rFonts w:cs="Arial" w:hint="cs"/>
          <w:rtl/>
        </w:rPr>
        <w:t>.</w:t>
      </w:r>
      <w:r>
        <w:rPr>
          <w:rFonts w:cs="Arial"/>
          <w:rtl/>
        </w:rPr>
        <w:t xml:space="preserve"> ובאמת שיש לחלק בין זו שדינה שיורשיה יורשין אותה אלא שלא נשבעה</w:t>
      </w:r>
      <w:r>
        <w:rPr>
          <w:rFonts w:cs="Arial" w:hint="cs"/>
          <w:rtl/>
        </w:rPr>
        <w:t>,</w:t>
      </w:r>
      <w:r>
        <w:rPr>
          <w:rFonts w:cs="Arial"/>
          <w:rtl/>
        </w:rPr>
        <w:t xml:space="preserve"> לההיא דשומרת יבם</w:t>
      </w:r>
      <w:r>
        <w:rPr>
          <w:rFonts w:cs="Arial" w:hint="cs"/>
          <w:rtl/>
        </w:rPr>
        <w:t>.</w:t>
      </w:r>
      <w:r>
        <w:rPr>
          <w:rFonts w:cs="Arial"/>
          <w:rtl/>
        </w:rPr>
        <w:t xml:space="preserve"> ואין בידי להכריע</w:t>
      </w:r>
      <w:r>
        <w:rPr>
          <w:rFonts w:cs="Arial" w:hint="cs"/>
          <w:rtl/>
        </w:rPr>
        <w:t>.</w:t>
      </w:r>
      <w:r>
        <w:rPr>
          <w:rFonts w:cs="Arial"/>
          <w:rtl/>
        </w:rPr>
        <w:t xml:space="preserve"> עכ"ל</w:t>
      </w:r>
      <w:r>
        <w:rPr>
          <w:rFonts w:cs="Arial" w:hint="cs"/>
          <w:sz w:val="16"/>
          <w:szCs w:val="16"/>
          <w:rtl/>
        </w:rPr>
        <w:t xml:space="preserve"> [הה"מ]</w:t>
      </w:r>
      <w:r>
        <w:rPr>
          <w:rFonts w:cs="Arial"/>
          <w:rtl/>
        </w:rPr>
        <w:t xml:space="preserve">. </w:t>
      </w:r>
      <w:r w:rsidRPr="00A67041">
        <w:rPr>
          <w:rFonts w:cs="Arial"/>
          <w:rtl/>
        </w:rPr>
        <w:t>וגם הר"ן כתב בר"פ אלמנה (נה. ד"ה אלמנה) שטעמו של הרמב"ם דיליף לה במכל שכן דשומרת יבם והראב"ד השיג עליו והדין</w:t>
      </w:r>
      <w:r>
        <w:rPr>
          <w:rFonts w:cs="Arial"/>
          <w:rtl/>
        </w:rPr>
        <w:t xml:space="preserve"> עמו ע"כ</w:t>
      </w:r>
      <w:r>
        <w:rPr>
          <w:rFonts w:hint="cs"/>
          <w:rtl/>
        </w:rPr>
        <w:t>, ב"י</w:t>
      </w:r>
      <w:r>
        <w:rPr>
          <w:rFonts w:cs="Arial" w:hint="cs"/>
          <w:rtl/>
        </w:rPr>
        <w:t>.</w:t>
      </w:r>
    </w:p>
  </w:footnote>
  <w:footnote w:id="1187">
    <w:p w14:paraId="33640AA7" w14:textId="5AE3AA8F" w:rsidR="00DE2F5F" w:rsidRDefault="00DE2F5F">
      <w:pPr>
        <w:pStyle w:val="a5"/>
      </w:pPr>
      <w:r>
        <w:rPr>
          <w:rStyle w:val="a7"/>
        </w:rPr>
        <w:footnoteRef/>
      </w:r>
      <w:r>
        <w:rPr>
          <w:rtl/>
        </w:rPr>
        <w:t xml:space="preserve"> </w:t>
      </w:r>
      <w:r w:rsidRPr="00B64FE5">
        <w:rPr>
          <w:rFonts w:cs="Arial"/>
          <w:rtl/>
        </w:rPr>
        <w:t>ועיין בס' בית מאיר שפקפק על דבריו ומסיים דהברור שאין להוציא ע"פ הכרעתו ע"ש. גם בס' ישועות יעקב סק"ב חלקו על הפמ"א בזה ע"ש ועי' בס' יד המלך פי"ח מהל' אישות מ"ש בזה</w:t>
      </w:r>
      <w:r>
        <w:rPr>
          <w:rFonts w:cs="Arial" w:hint="cs"/>
          <w:rtl/>
        </w:rPr>
        <w:t>, פת"ש (סק"ג).</w:t>
      </w:r>
    </w:p>
  </w:footnote>
  <w:footnote w:id="1188">
    <w:p w14:paraId="0ED7C964" w14:textId="2F2EFB72" w:rsidR="00DE2F5F" w:rsidRDefault="00DE2F5F" w:rsidP="001C0969">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AC1506">
        <w:rPr>
          <w:rFonts w:cs="Arial"/>
          <w:rtl/>
        </w:rPr>
        <w:t>ואי ירית נכסי מלוג חייב בקבורת' דתקנת קבורת' גם כן תחת ירושתה כדמוכח פרק האשה שנפלו בסוגיא דשומרת יבם שמתה מי קוברה כדאיתא שם בתו'</w:t>
      </w:r>
      <w:r w:rsidRPr="00AC1506">
        <w:rPr>
          <w:rFonts w:cs="Arial" w:hint="cs"/>
          <w:rtl/>
        </w:rPr>
        <w:t>.</w:t>
      </w:r>
      <w:r w:rsidRPr="00AC1506">
        <w:rPr>
          <w:rFonts w:cs="Arial"/>
          <w:rtl/>
        </w:rPr>
        <w:t xml:space="preserve"> ואפילו נימא דעובדא דמהר"מ לא היו לה נכסי מלוג, בהא לא מפקע תקנת קבורתה דאם כן מי שפסק להכניסה ערומה מי לא חייב בקבורתה, אלא לא פלוג רבנן בתקנתא אף על גב דעיקר תקנתם משום נדוניא וכתובה כדמוכח בתוס' פרק נערה אההוא דשכיחה ולא שכיח' מכל מקום אי יריש נכסי מלוג מנא לי' למהר"ם לפטור הואיל ויריש נכסי מלוג. ואינהו נמי מחייבי קבורה</w:t>
      </w:r>
      <w:r>
        <w:rPr>
          <w:rFonts w:cs="Arial" w:hint="cs"/>
          <w:rtl/>
        </w:rPr>
        <w:t>.</w:t>
      </w:r>
    </w:p>
  </w:footnote>
  <w:footnote w:id="1189">
    <w:p w14:paraId="78913190" w14:textId="6BF9C2FB" w:rsidR="00DE2F5F" w:rsidRDefault="00DE2F5F">
      <w:pPr>
        <w:pStyle w:val="a5"/>
      </w:pPr>
      <w:r>
        <w:rPr>
          <w:rStyle w:val="a7"/>
        </w:rPr>
        <w:footnoteRef/>
      </w:r>
      <w:r>
        <w:rPr>
          <w:rtl/>
        </w:rPr>
        <w:t xml:space="preserve"> </w:t>
      </w:r>
      <w:r w:rsidRPr="001C0969">
        <w:rPr>
          <w:rFonts w:cs="Arial"/>
          <w:rtl/>
        </w:rPr>
        <w:t xml:space="preserve">וכ"מ מראב"ד דאמרי' לא פלוג </w:t>
      </w:r>
      <w:r w:rsidRPr="00171226">
        <w:rPr>
          <w:rFonts w:cs="Arial" w:hint="cs"/>
          <w:sz w:val="16"/>
          <w:szCs w:val="16"/>
          <w:rtl/>
        </w:rPr>
        <w:t>(</w:t>
      </w:r>
      <w:r>
        <w:rPr>
          <w:rFonts w:cs="Arial" w:hint="cs"/>
          <w:sz w:val="16"/>
          <w:szCs w:val="16"/>
          <w:rtl/>
        </w:rPr>
        <w:t>ועיין בח"מ [</w:t>
      </w:r>
      <w:r w:rsidRPr="00171226">
        <w:rPr>
          <w:rFonts w:cs="Arial" w:hint="cs"/>
          <w:sz w:val="16"/>
          <w:szCs w:val="16"/>
          <w:rtl/>
        </w:rPr>
        <w:t>סק"</w:t>
      </w:r>
      <w:r w:rsidRPr="00171226">
        <w:rPr>
          <w:rFonts w:cs="Arial"/>
          <w:sz w:val="16"/>
          <w:szCs w:val="16"/>
          <w:rtl/>
        </w:rPr>
        <w:t>ד</w:t>
      </w:r>
      <w:r>
        <w:rPr>
          <w:rFonts w:cs="Arial" w:hint="cs"/>
          <w:sz w:val="16"/>
          <w:szCs w:val="16"/>
          <w:rtl/>
        </w:rPr>
        <w:t>] שכתב שאפשר לפרש אחרת את דברי הראב"ד</w:t>
      </w:r>
      <w:r w:rsidRPr="00171226">
        <w:rPr>
          <w:rFonts w:cs="Arial"/>
          <w:sz w:val="16"/>
          <w:szCs w:val="16"/>
          <w:rtl/>
        </w:rPr>
        <w:t>)</w:t>
      </w:r>
      <w:r>
        <w:rPr>
          <w:rFonts w:cs="Arial" w:hint="cs"/>
          <w:rtl/>
        </w:rPr>
        <w:t xml:space="preserve">. </w:t>
      </w:r>
      <w:r w:rsidRPr="001C0969">
        <w:rPr>
          <w:rFonts w:cs="Arial"/>
          <w:rtl/>
        </w:rPr>
        <w:t>מיהו מרמב"ם משמע דס"ל כשלא ירש אינו חייב בקבורה דאי ס"ל ל"פ א"כ אם מתה בלא שבועה למה היורשים אינם חייבים לקבור אותה אלא ודאי ס"ל כשלא ירש הבעל</w:t>
      </w:r>
      <w:r>
        <w:rPr>
          <w:rFonts w:cs="Arial" w:hint="cs"/>
          <w:rtl/>
        </w:rPr>
        <w:t xml:space="preserve"> </w:t>
      </w:r>
      <w:r w:rsidRPr="001C0969">
        <w:rPr>
          <w:rFonts w:cs="Arial"/>
          <w:rtl/>
        </w:rPr>
        <w:t>או היורשים אינם חייבים בקבורה</w:t>
      </w:r>
      <w:r>
        <w:rPr>
          <w:rFonts w:cs="Arial" w:hint="cs"/>
          <w:rtl/>
        </w:rPr>
        <w:t>, ב"ש (סק"ה)</w:t>
      </w:r>
      <w:r w:rsidRPr="001C0969">
        <w:rPr>
          <w:rFonts w:cs="Arial" w:hint="cs"/>
          <w:rtl/>
        </w:rPr>
        <w:t>.</w:t>
      </w:r>
    </w:p>
  </w:footnote>
  <w:footnote w:id="1190">
    <w:p w14:paraId="4CDCB85C" w14:textId="70CA8802" w:rsidR="00AC5034" w:rsidRDefault="00AC5034">
      <w:pPr>
        <w:pStyle w:val="a5"/>
      </w:pPr>
      <w:r>
        <w:rPr>
          <w:rStyle w:val="a7"/>
        </w:rPr>
        <w:footnoteRef/>
      </w:r>
      <w:r>
        <w:rPr>
          <w:rtl/>
        </w:rPr>
        <w:t xml:space="preserve"> </w:t>
      </w:r>
      <w:r>
        <w:rPr>
          <w:rFonts w:hint="cs"/>
          <w:rtl/>
        </w:rPr>
        <w:t>סימן - קורה נפלה חזק.</w:t>
      </w:r>
    </w:p>
  </w:footnote>
  <w:footnote w:id="1191">
    <w:p w14:paraId="0E1F4965" w14:textId="46162564" w:rsidR="00DE2F5F" w:rsidRDefault="00DE2F5F" w:rsidP="00BD74BB">
      <w:pPr>
        <w:pStyle w:val="a5"/>
        <w:rPr>
          <w:rtl/>
        </w:rPr>
      </w:pPr>
      <w:r>
        <w:rPr>
          <w:rStyle w:val="a7"/>
        </w:rPr>
        <w:footnoteRef/>
      </w:r>
      <w:r>
        <w:rPr>
          <w:rtl/>
        </w:rPr>
        <w:t xml:space="preserve"> </w:t>
      </w:r>
      <w:r>
        <w:rPr>
          <w:rFonts w:cs="Arial"/>
          <w:rtl/>
        </w:rPr>
        <w:t>בגמ' מפרש בחזקת מי הלכך לאו לקמיה קאי אלא ה"ג וכתובה בחזקת יורשי הבעל והני נכסים דקאמרי ב"ה הן נכסי צאן ברזל שהכניסה מבית אביה ושמאן בכתובתה ואחריותם עליו אם פיחתו פיחתו לו ואם הותירו הותירו לו</w:t>
      </w:r>
      <w:r>
        <w:rPr>
          <w:rFonts w:cs="Arial" w:hint="cs"/>
          <w:rtl/>
        </w:rPr>
        <w:t>, רשב"ם</w:t>
      </w:r>
      <w:r>
        <w:rPr>
          <w:rFonts w:cs="Arial"/>
          <w:rtl/>
        </w:rPr>
        <w:t>.</w:t>
      </w:r>
    </w:p>
  </w:footnote>
  <w:footnote w:id="1192">
    <w:p w14:paraId="0E19B316" w14:textId="4DF2371E" w:rsidR="00DE2F5F" w:rsidRDefault="00DE2F5F" w:rsidP="00BD74BB">
      <w:pPr>
        <w:pStyle w:val="a5"/>
        <w:rPr>
          <w:rtl/>
        </w:rPr>
      </w:pPr>
      <w:r>
        <w:rPr>
          <w:rStyle w:val="a7"/>
        </w:rPr>
        <w:footnoteRef/>
      </w:r>
      <w:r>
        <w:rPr>
          <w:rtl/>
        </w:rPr>
        <w:t xml:space="preserve"> </w:t>
      </w:r>
      <w:r>
        <w:rPr>
          <w:rFonts w:cs="Arial"/>
          <w:rtl/>
        </w:rPr>
        <w:t>מנה ומאתים ותוספת שממון הבעל ראוי לינתן לה הלכך מספק לא תוציאנו מחזקת הבעל ומחזקת יורשים</w:t>
      </w:r>
      <w:r>
        <w:rPr>
          <w:rFonts w:cs="Arial" w:hint="cs"/>
          <w:rtl/>
        </w:rPr>
        <w:t>, רשב"ם</w:t>
      </w:r>
      <w:r>
        <w:rPr>
          <w:rFonts w:cs="Arial"/>
          <w:rtl/>
        </w:rPr>
        <w:t>.</w:t>
      </w:r>
    </w:p>
  </w:footnote>
  <w:footnote w:id="1193">
    <w:p w14:paraId="1C882220" w14:textId="60395F20" w:rsidR="00DE2F5F" w:rsidRDefault="00DE2F5F" w:rsidP="00BD74BB">
      <w:pPr>
        <w:pStyle w:val="a5"/>
        <w:rPr>
          <w:rtl/>
        </w:rPr>
      </w:pPr>
      <w:r>
        <w:rPr>
          <w:rStyle w:val="a7"/>
        </w:rPr>
        <w:footnoteRef/>
      </w:r>
      <w:r>
        <w:rPr>
          <w:rtl/>
        </w:rPr>
        <w:t xml:space="preserve"> </w:t>
      </w:r>
      <w:r>
        <w:rPr>
          <w:rFonts w:cs="Arial"/>
          <w:rtl/>
        </w:rPr>
        <w:t>הן נכסי מלוג שנפלו מבית האב ואין אחריותן עליו</w:t>
      </w:r>
      <w:r>
        <w:rPr>
          <w:rFonts w:cs="Arial" w:hint="cs"/>
          <w:rtl/>
        </w:rPr>
        <w:t>, רשב"ם</w:t>
      </w:r>
      <w:r>
        <w:rPr>
          <w:rFonts w:cs="Arial"/>
          <w:rtl/>
        </w:rPr>
        <w:t>.</w:t>
      </w:r>
    </w:p>
  </w:footnote>
  <w:footnote w:id="1194">
    <w:p w14:paraId="2281FB5E" w14:textId="140337AD" w:rsidR="00DE2F5F" w:rsidRPr="00BD74BB" w:rsidRDefault="00DE2F5F" w:rsidP="00BD74BB">
      <w:pPr>
        <w:pStyle w:val="a5"/>
        <w:rPr>
          <w:rFonts w:cs="Arial"/>
          <w:rtl/>
        </w:rPr>
      </w:pPr>
      <w:r>
        <w:rPr>
          <w:rStyle w:val="a7"/>
        </w:rPr>
        <w:footnoteRef/>
      </w:r>
      <w:r>
        <w:rPr>
          <w:rtl/>
        </w:rPr>
        <w:t xml:space="preserve"> </w:t>
      </w:r>
      <w:r>
        <w:rPr>
          <w:rFonts w:cs="Arial"/>
          <w:rtl/>
        </w:rPr>
        <w:t>שמאביה בא לה</w:t>
      </w:r>
      <w:r>
        <w:rPr>
          <w:rFonts w:cs="Arial" w:hint="cs"/>
          <w:rtl/>
        </w:rPr>
        <w:t>, רשב"ם</w:t>
      </w:r>
      <w:r>
        <w:rPr>
          <w:rFonts w:cs="Arial"/>
          <w:rtl/>
        </w:rPr>
        <w:t>.</w:t>
      </w:r>
    </w:p>
  </w:footnote>
  <w:footnote w:id="1195">
    <w:p w14:paraId="72E56BB5" w14:textId="6286649E" w:rsidR="00DE2F5F" w:rsidRDefault="00DE2F5F">
      <w:pPr>
        <w:pStyle w:val="a5"/>
      </w:pPr>
      <w:r>
        <w:rPr>
          <w:rStyle w:val="a7"/>
        </w:rPr>
        <w:footnoteRef/>
      </w:r>
      <w:r>
        <w:rPr>
          <w:rtl/>
        </w:rPr>
        <w:t xml:space="preserve"> </w:t>
      </w:r>
      <w:r>
        <w:rPr>
          <w:rFonts w:cs="Arial" w:hint="cs"/>
          <w:rtl/>
        </w:rPr>
        <w:t xml:space="preserve">הביא הרא"ש דבריהם, וכתב </w:t>
      </w:r>
      <w:r w:rsidR="0061020A">
        <w:rPr>
          <w:rFonts w:cs="Arial" w:hint="cs"/>
          <w:rtl/>
        </w:rPr>
        <w:t>וז</w:t>
      </w:r>
      <w:r w:rsidR="0061020A">
        <w:rPr>
          <w:rFonts w:cs="Arial"/>
          <w:rtl/>
        </w:rPr>
        <w:t>"</w:t>
      </w:r>
      <w:r w:rsidR="0061020A">
        <w:rPr>
          <w:rFonts w:cs="Arial" w:hint="cs"/>
          <w:rtl/>
        </w:rPr>
        <w:t>ל:</w:t>
      </w:r>
      <w:r>
        <w:rPr>
          <w:rFonts w:cs="Arial"/>
          <w:rtl/>
        </w:rPr>
        <w:t xml:space="preserve"> ולי נראה דאם הלוותה האשה מנכסי מלוג שלה כשהיתה תחת בעלה</w:t>
      </w:r>
      <w:r>
        <w:rPr>
          <w:rFonts w:cs="Arial" w:hint="cs"/>
          <w:rtl/>
        </w:rPr>
        <w:t>,</w:t>
      </w:r>
      <w:r>
        <w:rPr>
          <w:rFonts w:cs="Arial"/>
          <w:rtl/>
        </w:rPr>
        <w:t xml:space="preserve"> ומתה</w:t>
      </w:r>
      <w:r>
        <w:rPr>
          <w:rFonts w:cs="Arial" w:hint="cs"/>
          <w:rtl/>
        </w:rPr>
        <w:t>,</w:t>
      </w:r>
      <w:r>
        <w:rPr>
          <w:rFonts w:cs="Arial"/>
          <w:rtl/>
        </w:rPr>
        <w:t xml:space="preserve"> ירית בעל ההיא מלוה</w:t>
      </w:r>
      <w:r>
        <w:rPr>
          <w:rFonts w:cs="Arial" w:hint="cs"/>
          <w:rtl/>
        </w:rPr>
        <w:t>,</w:t>
      </w:r>
      <w:r>
        <w:rPr>
          <w:rFonts w:cs="Arial"/>
          <w:rtl/>
        </w:rPr>
        <w:t xml:space="preserve"> שהרי שלא כדין הלוותה קרן של נכסי מלוג שלה</w:t>
      </w:r>
      <w:r>
        <w:rPr>
          <w:rFonts w:cs="Arial" w:hint="cs"/>
          <w:rtl/>
        </w:rPr>
        <w:t>,</w:t>
      </w:r>
      <w:r>
        <w:rPr>
          <w:rFonts w:cs="Arial"/>
          <w:rtl/>
        </w:rPr>
        <w:t xml:space="preserve"> שהקרן ברשותו הוא ליטול הימנו פירות</w:t>
      </w:r>
      <w:r>
        <w:rPr>
          <w:rFonts w:cs="Arial" w:hint="cs"/>
          <w:rtl/>
        </w:rPr>
        <w:t>,</w:t>
      </w:r>
      <w:r>
        <w:rPr>
          <w:rFonts w:cs="Arial"/>
          <w:rtl/>
        </w:rPr>
        <w:t xml:space="preserve"> ולא עדיף ממכרה (שם נ.) שהתקינו באושא שהבעל מוציא מיד הלקוחות משום דכלוקח ראשון שויוה רבנן</w:t>
      </w:r>
      <w:r>
        <w:rPr>
          <w:rFonts w:cs="Arial" w:hint="cs"/>
          <w:rtl/>
        </w:rPr>
        <w:t>,</w:t>
      </w:r>
      <w:r>
        <w:rPr>
          <w:rFonts w:cs="Arial"/>
          <w:rtl/>
        </w:rPr>
        <w:t xml:space="preserve"> וכל שכן אם הלוותה ממון שהיה בידיה שהבעל מוציא מידו ויורש אותה מלוה</w:t>
      </w:r>
      <w:r>
        <w:rPr>
          <w:rFonts w:cs="Arial" w:hint="cs"/>
          <w:rtl/>
        </w:rPr>
        <w:t>.</w:t>
      </w:r>
      <w:r>
        <w:rPr>
          <w:rFonts w:cs="Arial"/>
          <w:rtl/>
        </w:rPr>
        <w:t xml:space="preserve"> אבל אם מתו מורישי האשה והניחו מלוה ביד אחרים ומתה האשה קודם שגבתה המלוה</w:t>
      </w:r>
      <w:r>
        <w:rPr>
          <w:rFonts w:cs="Arial" w:hint="cs"/>
          <w:rtl/>
        </w:rPr>
        <w:t>.</w:t>
      </w:r>
      <w:r>
        <w:rPr>
          <w:rFonts w:cs="Arial"/>
          <w:rtl/>
        </w:rPr>
        <w:t xml:space="preserve"> או אם היה מלוה ביד אחר כשלקחה</w:t>
      </w:r>
      <w:r>
        <w:rPr>
          <w:rFonts w:cs="Arial" w:hint="cs"/>
          <w:rtl/>
        </w:rPr>
        <w:t>,</w:t>
      </w:r>
      <w:r>
        <w:rPr>
          <w:rFonts w:cs="Arial"/>
          <w:rtl/>
        </w:rPr>
        <w:t xml:space="preserve"> ומתה קודם שגבתה</w:t>
      </w:r>
      <w:r>
        <w:rPr>
          <w:rFonts w:cs="Arial" w:hint="cs"/>
          <w:rtl/>
        </w:rPr>
        <w:t xml:space="preserve">, </w:t>
      </w:r>
      <w:r>
        <w:rPr>
          <w:rFonts w:cs="Arial"/>
          <w:rtl/>
        </w:rPr>
        <w:t>בהך מלוה לא ירית לה בעל</w:t>
      </w:r>
      <w:r>
        <w:rPr>
          <w:rFonts w:cs="Arial" w:hint="cs"/>
          <w:rtl/>
        </w:rPr>
        <w:t>,</w:t>
      </w:r>
      <w:r>
        <w:rPr>
          <w:rFonts w:cs="Arial"/>
          <w:rtl/>
        </w:rPr>
        <w:t xml:space="preserve"> והיינו דומיא דנזקי אשתו</w:t>
      </w:r>
      <w:r>
        <w:rPr>
          <w:rFonts w:cs="Arial" w:hint="cs"/>
          <w:rtl/>
        </w:rPr>
        <w:t>.</w:t>
      </w:r>
    </w:p>
  </w:footnote>
  <w:footnote w:id="1196">
    <w:p w14:paraId="3B4C9B89" w14:textId="67C7E874" w:rsidR="00DE2F5F" w:rsidRDefault="00DE2F5F">
      <w:pPr>
        <w:pStyle w:val="a5"/>
      </w:pPr>
      <w:r>
        <w:rPr>
          <w:rStyle w:val="a7"/>
        </w:rPr>
        <w:footnoteRef/>
      </w:r>
      <w:r>
        <w:rPr>
          <w:rtl/>
        </w:rPr>
        <w:t xml:space="preserve"> </w:t>
      </w:r>
      <w:r>
        <w:rPr>
          <w:rFonts w:cs="Arial"/>
          <w:rtl/>
        </w:rPr>
        <w:t>ו</w:t>
      </w:r>
      <w:r w:rsidR="00C4462B">
        <w:rPr>
          <w:rFonts w:cs="Arial" w:hint="cs"/>
          <w:rtl/>
        </w:rPr>
        <w:t xml:space="preserve">כתב </w:t>
      </w:r>
      <w:r>
        <w:rPr>
          <w:rFonts w:cs="Arial"/>
          <w:rtl/>
        </w:rPr>
        <w:t xml:space="preserve">הרב המגיד </w:t>
      </w:r>
      <w:r w:rsidR="00C4462B">
        <w:rPr>
          <w:rFonts w:cs="Arial" w:hint="cs"/>
          <w:rtl/>
        </w:rPr>
        <w:t>(</w:t>
      </w:r>
      <w:r>
        <w:rPr>
          <w:rFonts w:cs="Arial"/>
          <w:rtl/>
        </w:rPr>
        <w:t>פ</w:t>
      </w:r>
      <w:r w:rsidR="00C4462B">
        <w:rPr>
          <w:rFonts w:cs="Arial" w:hint="cs"/>
          <w:rtl/>
        </w:rPr>
        <w:t>"א</w:t>
      </w:r>
      <w:r>
        <w:rPr>
          <w:rFonts w:cs="Arial"/>
          <w:rtl/>
        </w:rPr>
        <w:t xml:space="preserve"> מהל</w:t>
      </w:r>
      <w:r w:rsidR="00C4462B">
        <w:rPr>
          <w:rFonts w:cs="Arial" w:hint="cs"/>
          <w:rtl/>
        </w:rPr>
        <w:t>'</w:t>
      </w:r>
      <w:r>
        <w:rPr>
          <w:rFonts w:cs="Arial"/>
          <w:rtl/>
        </w:rPr>
        <w:t xml:space="preserve"> נחלות הי"א)</w:t>
      </w:r>
      <w:r w:rsidR="00C4462B">
        <w:rPr>
          <w:rFonts w:cs="Arial" w:hint="cs"/>
          <w:rtl/>
        </w:rPr>
        <w:t>:</w:t>
      </w:r>
      <w:r>
        <w:rPr>
          <w:rFonts w:cs="Arial"/>
          <w:rtl/>
        </w:rPr>
        <w:t xml:space="preserve"> לא הזכיר רבינו בדין הבעל במלוה שום דבר</w:t>
      </w:r>
      <w:r>
        <w:rPr>
          <w:rFonts w:cs="Arial" w:hint="cs"/>
          <w:rtl/>
        </w:rPr>
        <w:t>.</w:t>
      </w:r>
      <w:r>
        <w:rPr>
          <w:rFonts w:cs="Arial"/>
          <w:rtl/>
        </w:rPr>
        <w:t xml:space="preserve"> אבל ממ"ש בפ</w:t>
      </w:r>
      <w:r>
        <w:rPr>
          <w:rFonts w:cs="Arial" w:hint="cs"/>
          <w:rtl/>
        </w:rPr>
        <w:t>כ</w:t>
      </w:r>
      <w:r>
        <w:rPr>
          <w:rFonts w:cs="Arial"/>
          <w:rtl/>
        </w:rPr>
        <w:t>"ב מהלכות אישות (ה"ז) כל נכסים שיש לאשה בין נכסי מלוג וכו' ואם מתה בחיי הבעל יירש הכל</w:t>
      </w:r>
      <w:r w:rsidR="00C4462B">
        <w:rPr>
          <w:rFonts w:cs="Arial" w:hint="cs"/>
          <w:rtl/>
        </w:rPr>
        <w:t>,</w:t>
      </w:r>
      <w:r>
        <w:rPr>
          <w:rFonts w:cs="Arial"/>
          <w:rtl/>
        </w:rPr>
        <w:t xml:space="preserve"> ולא חילק כלל בין נכסים לנכסים</w:t>
      </w:r>
      <w:r w:rsidR="00C4462B">
        <w:rPr>
          <w:rFonts w:cs="Arial" w:hint="cs"/>
          <w:rtl/>
        </w:rPr>
        <w:t>,</w:t>
      </w:r>
      <w:r>
        <w:rPr>
          <w:rFonts w:cs="Arial"/>
          <w:rtl/>
        </w:rPr>
        <w:t xml:space="preserve"> נראה קצת שהוא סבור כדברי רבו ן' מיגאש ז"ל (קכה: ד"ה הא) שכתב שהבעל יורש את המלוה</w:t>
      </w:r>
      <w:r>
        <w:rPr>
          <w:rFonts w:cs="Arial" w:hint="cs"/>
          <w:rtl/>
        </w:rPr>
        <w:t>,</w:t>
      </w:r>
      <w:r>
        <w:rPr>
          <w:rFonts w:cs="Arial"/>
          <w:rtl/>
        </w:rPr>
        <w:t xml:space="preserve"> והאריך </w:t>
      </w:r>
      <w:r>
        <w:rPr>
          <w:rFonts w:cs="Arial" w:hint="cs"/>
          <w:sz w:val="16"/>
          <w:szCs w:val="16"/>
          <w:rtl/>
        </w:rPr>
        <w:t xml:space="preserve">{הר"י מיגאש} </w:t>
      </w:r>
      <w:r>
        <w:rPr>
          <w:rFonts w:cs="Arial"/>
          <w:rtl/>
        </w:rPr>
        <w:t>בזה וחילק במלוה על פה בין הגיע זמנה ללא הגיע זמנה מחיים דאשה</w:t>
      </w:r>
      <w:r>
        <w:rPr>
          <w:rFonts w:cs="Arial" w:hint="cs"/>
          <w:rtl/>
        </w:rPr>
        <w:t>.</w:t>
      </w:r>
      <w:r>
        <w:rPr>
          <w:rFonts w:cs="Arial"/>
          <w:rtl/>
        </w:rPr>
        <w:t xml:space="preserve"> והוא עצמו </w:t>
      </w:r>
      <w:r>
        <w:rPr>
          <w:rFonts w:cs="Arial" w:hint="cs"/>
          <w:sz w:val="16"/>
          <w:szCs w:val="16"/>
          <w:rtl/>
        </w:rPr>
        <w:t xml:space="preserve">{הר"י מיגאש} </w:t>
      </w:r>
      <w:r>
        <w:rPr>
          <w:rFonts w:cs="Arial"/>
          <w:rtl/>
        </w:rPr>
        <w:t>כתב שהרי"ף ור"ח חלוקים עליו ואומרים שדין הבעל במלוה כדין הבכור</w:t>
      </w:r>
      <w:r>
        <w:rPr>
          <w:rFonts w:cs="Arial" w:hint="cs"/>
          <w:rtl/>
        </w:rPr>
        <w:t>,</w:t>
      </w:r>
      <w:r>
        <w:rPr>
          <w:rFonts w:cs="Arial"/>
          <w:rtl/>
        </w:rPr>
        <w:t xml:space="preserve"> והוא ז"ל </w:t>
      </w:r>
      <w:r>
        <w:rPr>
          <w:rFonts w:cs="Arial" w:hint="cs"/>
          <w:sz w:val="16"/>
          <w:szCs w:val="16"/>
          <w:rtl/>
        </w:rPr>
        <w:t xml:space="preserve">{הר"י מיגאש} </w:t>
      </w:r>
      <w:r>
        <w:rPr>
          <w:rFonts w:cs="Arial"/>
          <w:rtl/>
        </w:rPr>
        <w:t>חשש לדבריהם ולא עשה מעשה כדבריו</w:t>
      </w:r>
      <w:r>
        <w:rPr>
          <w:rFonts w:cs="Arial" w:hint="cs"/>
          <w:rtl/>
        </w:rPr>
        <w:t>.</w:t>
      </w:r>
      <w:r>
        <w:rPr>
          <w:rFonts w:cs="Arial"/>
          <w:rtl/>
        </w:rPr>
        <w:t xml:space="preserve"> והרמב"ן (קכה: ד"ה אמר ר"פ) והרשב"א (שם: ד"ה והרמב"ן וד"ה ועוד) ז"ל דעתם כדעת הגאונים שאין הבעל נוטל במלוה</w:t>
      </w:r>
      <w:r>
        <w:rPr>
          <w:rFonts w:cs="Arial" w:hint="cs"/>
          <w:rtl/>
        </w:rPr>
        <w:t>.</w:t>
      </w:r>
      <w:r>
        <w:rPr>
          <w:rFonts w:cs="Arial"/>
          <w:rtl/>
        </w:rPr>
        <w:t xml:space="preserve"> וכן עיקר</w:t>
      </w:r>
      <w:r>
        <w:rPr>
          <w:rFonts w:cs="Arial" w:hint="cs"/>
          <w:rtl/>
        </w:rPr>
        <w:t>.</w:t>
      </w:r>
      <w:r>
        <w:rPr>
          <w:rFonts w:cs="Arial"/>
          <w:rtl/>
        </w:rPr>
        <w:t xml:space="preserve"> ומכל מקום זהו בשנתברר שהמלוה היא מן האשה</w:t>
      </w:r>
      <w:r>
        <w:rPr>
          <w:rFonts w:cs="Arial" w:hint="cs"/>
          <w:rtl/>
        </w:rPr>
        <w:t>,</w:t>
      </w:r>
      <w:r>
        <w:rPr>
          <w:rFonts w:cs="Arial"/>
          <w:rtl/>
        </w:rPr>
        <w:t xml:space="preserve"> אבל אם היתה נושאת ונותנת בתוך הבית והיו שטרות יוצאות על שמה אין חזקתן שלה כמו שיתבאר פ"ט (מנחלות ה"ז</w:t>
      </w:r>
      <w:r>
        <w:rPr>
          <w:rFonts w:cs="Arial" w:hint="cs"/>
          <w:rtl/>
        </w:rPr>
        <w:t xml:space="preserve">, </w:t>
      </w:r>
      <w:r w:rsidRPr="00D9440F">
        <w:rPr>
          <w:rFonts w:cs="Arial"/>
          <w:rtl/>
        </w:rPr>
        <w:t>וכבר נתבאר דין זה לעיל ס</w:t>
      </w:r>
      <w:r>
        <w:rPr>
          <w:rFonts w:cs="Arial" w:hint="cs"/>
          <w:rtl/>
        </w:rPr>
        <w:t>"</w:t>
      </w:r>
      <w:r w:rsidRPr="00D9440F">
        <w:rPr>
          <w:rFonts w:cs="Arial"/>
          <w:rtl/>
        </w:rPr>
        <w:t xml:space="preserve">ס פ"ו </w:t>
      </w:r>
      <w:r>
        <w:rPr>
          <w:rFonts w:cs="Arial" w:hint="cs"/>
          <w:rtl/>
        </w:rPr>
        <w:t xml:space="preserve">, דרכ"מ [אות </w:t>
      </w:r>
      <w:r w:rsidRPr="00D9440F">
        <w:rPr>
          <w:rFonts w:cs="Arial"/>
          <w:rtl/>
        </w:rPr>
        <w:t>ג*</w:t>
      </w:r>
      <w:r>
        <w:rPr>
          <w:rFonts w:cs="Arial" w:hint="cs"/>
          <w:rtl/>
        </w:rPr>
        <w:t>]</w:t>
      </w:r>
      <w:r>
        <w:rPr>
          <w:rFonts w:cs="Arial"/>
          <w:rtl/>
        </w:rPr>
        <w:t>) עכ"ל</w:t>
      </w:r>
      <w:r w:rsidRPr="00D9440F">
        <w:rPr>
          <w:rFonts w:cs="Arial"/>
          <w:rtl/>
        </w:rPr>
        <w:t xml:space="preserve"> </w:t>
      </w:r>
      <w:r>
        <w:rPr>
          <w:rFonts w:cs="Arial" w:hint="cs"/>
          <w:rtl/>
        </w:rPr>
        <w:t xml:space="preserve">הה"מ. </w:t>
      </w:r>
    </w:p>
  </w:footnote>
  <w:footnote w:id="1197">
    <w:p w14:paraId="1BC779C8" w14:textId="583AB7CA" w:rsidR="00DE2F5F" w:rsidRDefault="00DE2F5F">
      <w:pPr>
        <w:pStyle w:val="a5"/>
        <w:rPr>
          <w:rtl/>
        </w:rPr>
      </w:pPr>
      <w:r>
        <w:rPr>
          <w:rStyle w:val="a7"/>
        </w:rPr>
        <w:footnoteRef/>
      </w:r>
      <w:r>
        <w:rPr>
          <w:rtl/>
        </w:rPr>
        <w:t xml:space="preserve"> </w:t>
      </w:r>
      <w:r w:rsidRPr="00CD250C">
        <w:rPr>
          <w:rFonts w:cs="Arial"/>
          <w:rtl/>
        </w:rPr>
        <w:t>דאי לא מברחת למה לי</w:t>
      </w:r>
      <w:r>
        <w:rPr>
          <w:rFonts w:cs="Arial" w:hint="cs"/>
          <w:rtl/>
        </w:rPr>
        <w:t>.</w:t>
      </w:r>
      <w:r w:rsidRPr="00CD250C">
        <w:rPr>
          <w:rFonts w:cs="Arial"/>
          <w:rtl/>
        </w:rPr>
        <w:t xml:space="preserve"> וכן בפרק חזקת (ב"ב מט.) דאוקימנא בכותב לה בעודה ארוסה דין ודברים אין לי על שדה זו</w:t>
      </w:r>
      <w:r>
        <w:rPr>
          <w:rFonts w:cs="Arial" w:hint="cs"/>
          <w:rtl/>
        </w:rPr>
        <w:t>.</w:t>
      </w:r>
      <w:r w:rsidRPr="00CD250C">
        <w:rPr>
          <w:rFonts w:cs="Arial"/>
          <w:rtl/>
        </w:rPr>
        <w:t xml:space="preserve"> ובפרק בן סורר (סנהדרין עא.) דאוקימנא בשנתן לה אחר על מנת שאין לבעלה רשות בהם</w:t>
      </w:r>
      <w:r>
        <w:rPr>
          <w:rFonts w:cs="Arial" w:hint="cs"/>
          <w:rtl/>
        </w:rPr>
        <w:t>.</w:t>
      </w:r>
      <w:r w:rsidRPr="00CD250C">
        <w:rPr>
          <w:rFonts w:cs="Arial"/>
          <w:rtl/>
        </w:rPr>
        <w:t xml:space="preserve"> לוקמינהו לכולהו בנכסים ששיירה לעצמה</w:t>
      </w:r>
      <w:r>
        <w:rPr>
          <w:rFonts w:cs="Arial" w:hint="cs"/>
          <w:rtl/>
        </w:rPr>
        <w:t>,</w:t>
      </w:r>
      <w:r w:rsidRPr="00CD250C">
        <w:rPr>
          <w:rFonts w:cs="Arial"/>
          <w:rtl/>
        </w:rPr>
        <w:t xml:space="preserve"> שזה היה יותר קרוב ומצוי</w:t>
      </w:r>
      <w:r>
        <w:rPr>
          <w:rFonts w:hint="cs"/>
          <w:rtl/>
        </w:rPr>
        <w:t xml:space="preserve">, רשב"א </w:t>
      </w:r>
      <w:r w:rsidRPr="00CB084B">
        <w:rPr>
          <w:rFonts w:hint="cs"/>
          <w:sz w:val="16"/>
          <w:szCs w:val="16"/>
          <w:rtl/>
        </w:rPr>
        <w:t>(</w:t>
      </w:r>
      <w:r w:rsidRPr="00CD250C">
        <w:rPr>
          <w:rFonts w:cs="Arial" w:hint="cs"/>
          <w:sz w:val="16"/>
          <w:szCs w:val="16"/>
          <w:rtl/>
        </w:rPr>
        <w:t>במיוחסות סי' סג</w:t>
      </w:r>
      <w:r w:rsidRPr="00CB084B">
        <w:rPr>
          <w:rFonts w:hint="cs"/>
          <w:sz w:val="16"/>
          <w:szCs w:val="16"/>
          <w:rtl/>
        </w:rPr>
        <w:t>)</w:t>
      </w:r>
      <w:r>
        <w:rPr>
          <w:rFonts w:hint="cs"/>
          <w:rtl/>
        </w:rPr>
        <w:t>.</w:t>
      </w:r>
    </w:p>
  </w:footnote>
  <w:footnote w:id="1198">
    <w:p w14:paraId="7611F985" w14:textId="4AA03650" w:rsidR="00DE2F5F" w:rsidRDefault="00DE2F5F">
      <w:pPr>
        <w:pStyle w:val="a5"/>
        <w:rPr>
          <w:rtl/>
        </w:rPr>
      </w:pPr>
      <w:r>
        <w:rPr>
          <w:rStyle w:val="a7"/>
        </w:rPr>
        <w:footnoteRef/>
      </w:r>
      <w:r>
        <w:rPr>
          <w:rtl/>
        </w:rPr>
        <w:t xml:space="preserve"> </w:t>
      </w:r>
      <w:r w:rsidRPr="00CD250C">
        <w:rPr>
          <w:rFonts w:cs="Arial"/>
          <w:rtl/>
        </w:rPr>
        <w:t xml:space="preserve">לפי שאמרו בפרק יש נוחלין (קכו.) גבי בכור שאינו נוטל במלוה </w:t>
      </w:r>
      <w:r>
        <w:rPr>
          <w:rFonts w:cs="Arial" w:hint="cs"/>
          <w:rtl/>
        </w:rPr>
        <w:t>'</w:t>
      </w:r>
      <w:r w:rsidRPr="00CD250C">
        <w:rPr>
          <w:rFonts w:cs="Arial"/>
          <w:rtl/>
        </w:rPr>
        <w:t>ובמלוה שעמו פלגי</w:t>
      </w:r>
      <w:r>
        <w:rPr>
          <w:rFonts w:cs="Arial" w:hint="cs"/>
          <w:rtl/>
        </w:rPr>
        <w:t>',</w:t>
      </w:r>
      <w:r w:rsidRPr="00CD250C">
        <w:rPr>
          <w:rFonts w:cs="Arial"/>
          <w:rtl/>
        </w:rPr>
        <w:t xml:space="preserve"> יש גורסים שם כן</w:t>
      </w:r>
      <w:r>
        <w:rPr>
          <w:rFonts w:cs="Arial" w:hint="cs"/>
          <w:rtl/>
        </w:rPr>
        <w:t>.</w:t>
      </w:r>
      <w:r w:rsidRPr="00CD250C">
        <w:rPr>
          <w:rFonts w:cs="Arial"/>
          <w:rtl/>
        </w:rPr>
        <w:t xml:space="preserve"> ולומר שהמלוה שעם הבן הבכור</w:t>
      </w:r>
      <w:r>
        <w:rPr>
          <w:rFonts w:cs="Arial" w:hint="cs"/>
          <w:rtl/>
        </w:rPr>
        <w:t>,</w:t>
      </w:r>
      <w:r w:rsidRPr="00CD250C">
        <w:rPr>
          <w:rFonts w:cs="Arial"/>
          <w:rtl/>
        </w:rPr>
        <w:t xml:space="preserve"> כלומר שהלוהו אביו</w:t>
      </w:r>
      <w:r>
        <w:rPr>
          <w:rFonts w:cs="Arial" w:hint="cs"/>
          <w:rtl/>
        </w:rPr>
        <w:t>,</w:t>
      </w:r>
      <w:r w:rsidRPr="00CD250C">
        <w:rPr>
          <w:rFonts w:cs="Arial"/>
          <w:rtl/>
        </w:rPr>
        <w:t xml:space="preserve"> מספקא לן אם היא מוחזקת אצלו או לא</w:t>
      </w:r>
      <w:r>
        <w:rPr>
          <w:rFonts w:cs="Arial" w:hint="cs"/>
          <w:rtl/>
        </w:rPr>
        <w:t>.</w:t>
      </w:r>
      <w:r w:rsidRPr="00CD250C">
        <w:rPr>
          <w:rFonts w:cs="Arial"/>
          <w:rtl/>
        </w:rPr>
        <w:t xml:space="preserve"> וכיון שכן מספיקא</w:t>
      </w:r>
      <w:r>
        <w:rPr>
          <w:rFonts w:cs="Arial" w:hint="cs"/>
          <w:rtl/>
        </w:rPr>
        <w:t>,</w:t>
      </w:r>
      <w:r w:rsidRPr="00CD250C">
        <w:rPr>
          <w:rFonts w:cs="Arial"/>
          <w:rtl/>
        </w:rPr>
        <w:t xml:space="preserve"> חולקים ונוטל באותה מלוה מחצית הבכורה כדין ממון המוטל בספק</w:t>
      </w:r>
      <w:r>
        <w:rPr>
          <w:rFonts w:hint="cs"/>
          <w:rtl/>
        </w:rPr>
        <w:t xml:space="preserve">, רשב"א </w:t>
      </w:r>
      <w:r w:rsidRPr="00CB084B">
        <w:rPr>
          <w:rFonts w:hint="cs"/>
          <w:sz w:val="16"/>
          <w:szCs w:val="16"/>
          <w:rtl/>
        </w:rPr>
        <w:t>(</w:t>
      </w:r>
      <w:r w:rsidRPr="00CD250C">
        <w:rPr>
          <w:rFonts w:cs="Arial" w:hint="cs"/>
          <w:sz w:val="16"/>
          <w:szCs w:val="16"/>
          <w:rtl/>
        </w:rPr>
        <w:t>במיוחסות סי' סג</w:t>
      </w:r>
      <w:r w:rsidRPr="00CB084B">
        <w:rPr>
          <w:rFonts w:hint="cs"/>
          <w:sz w:val="16"/>
          <w:szCs w:val="16"/>
          <w:rtl/>
        </w:rPr>
        <w:t>)</w:t>
      </w:r>
      <w:r>
        <w:rPr>
          <w:rFonts w:hint="cs"/>
          <w:rtl/>
        </w:rPr>
        <w:t>.</w:t>
      </w:r>
    </w:p>
  </w:footnote>
  <w:footnote w:id="1199">
    <w:p w14:paraId="0EE360BD" w14:textId="2F015369" w:rsidR="00DE2F5F" w:rsidRDefault="00DE2F5F">
      <w:pPr>
        <w:pStyle w:val="a5"/>
        <w:rPr>
          <w:rtl/>
        </w:rPr>
      </w:pPr>
      <w:r>
        <w:rPr>
          <w:rStyle w:val="a7"/>
        </w:rPr>
        <w:footnoteRef/>
      </w:r>
      <w:r>
        <w:rPr>
          <w:rtl/>
        </w:rPr>
        <w:t xml:space="preserve"> </w:t>
      </w:r>
      <w:r w:rsidRPr="00CD250C">
        <w:rPr>
          <w:rFonts w:cs="Arial"/>
          <w:rtl/>
        </w:rPr>
        <w:t>ואפילו הבכור נוטל בה פי שנים כדאיתא בפרק איזהו נשך (ב"מ סז:)</w:t>
      </w:r>
      <w:r>
        <w:rPr>
          <w:rFonts w:cs="Arial" w:hint="cs"/>
          <w:rtl/>
        </w:rPr>
        <w:t>.</w:t>
      </w:r>
      <w:r w:rsidRPr="00CD250C">
        <w:rPr>
          <w:rFonts w:cs="Arial"/>
          <w:rtl/>
        </w:rPr>
        <w:t xml:space="preserve"> וכל משכנתא סתם הרי היא כאתרא דלא מסלקי</w:t>
      </w:r>
      <w:r>
        <w:rPr>
          <w:rFonts w:cs="Arial" w:hint="cs"/>
          <w:rtl/>
        </w:rPr>
        <w:t>,</w:t>
      </w:r>
      <w:r w:rsidRPr="00CD250C">
        <w:rPr>
          <w:rFonts w:cs="Arial"/>
          <w:rtl/>
        </w:rPr>
        <w:t xml:space="preserve"> משום דסתם משכנתא שתא</w:t>
      </w:r>
      <w:r>
        <w:rPr>
          <w:rFonts w:cs="Arial" w:hint="cs"/>
          <w:rtl/>
        </w:rPr>
        <w:t>,</w:t>
      </w:r>
      <w:r w:rsidRPr="00CD250C">
        <w:rPr>
          <w:rFonts w:cs="Arial"/>
          <w:rtl/>
        </w:rPr>
        <w:t xml:space="preserve"> ואין קרוי אתרא דמסלקי אלא המקום שא"א ללוה לסלק את המלוה כל זמן שירצה ואפילו ביומו</w:t>
      </w:r>
      <w:r>
        <w:rPr>
          <w:rFonts w:cs="Arial" w:hint="cs"/>
          <w:rtl/>
        </w:rPr>
        <w:t>.</w:t>
      </w:r>
      <w:r w:rsidRPr="00CD250C">
        <w:rPr>
          <w:rFonts w:cs="Arial"/>
          <w:rtl/>
        </w:rPr>
        <w:t xml:space="preserve"> והכי מוכחא לי שמעתא התם</w:t>
      </w:r>
      <w:r>
        <w:rPr>
          <w:rFonts w:hint="cs"/>
          <w:rtl/>
        </w:rPr>
        <w:t xml:space="preserve">, רשב"א </w:t>
      </w:r>
      <w:r w:rsidRPr="00CB084B">
        <w:rPr>
          <w:rFonts w:hint="cs"/>
          <w:sz w:val="16"/>
          <w:szCs w:val="16"/>
          <w:rtl/>
        </w:rPr>
        <w:t>(</w:t>
      </w:r>
      <w:r w:rsidRPr="00CD250C">
        <w:rPr>
          <w:rFonts w:cs="Arial" w:hint="cs"/>
          <w:sz w:val="16"/>
          <w:szCs w:val="16"/>
          <w:rtl/>
        </w:rPr>
        <w:t>במיוחסות סי' סג</w:t>
      </w:r>
      <w:r w:rsidRPr="00CB084B">
        <w:rPr>
          <w:rFonts w:hint="cs"/>
          <w:sz w:val="16"/>
          <w:szCs w:val="16"/>
          <w:rtl/>
        </w:rPr>
        <w:t>)</w:t>
      </w:r>
      <w:r>
        <w:rPr>
          <w:rFonts w:hint="cs"/>
          <w:rtl/>
        </w:rPr>
        <w:t>.</w:t>
      </w:r>
    </w:p>
  </w:footnote>
  <w:footnote w:id="1200">
    <w:p w14:paraId="23C57EFC" w14:textId="0E83929D" w:rsidR="00DE2F5F" w:rsidRDefault="00DE2F5F">
      <w:pPr>
        <w:pStyle w:val="a5"/>
        <w:rPr>
          <w:rtl/>
        </w:rPr>
      </w:pPr>
      <w:r>
        <w:rPr>
          <w:rStyle w:val="a7"/>
        </w:rPr>
        <w:footnoteRef/>
      </w:r>
      <w:r>
        <w:rPr>
          <w:rtl/>
        </w:rPr>
        <w:t xml:space="preserve"> </w:t>
      </w:r>
      <w:r w:rsidRPr="00CD250C">
        <w:rPr>
          <w:rFonts w:cs="Arial"/>
          <w:rtl/>
        </w:rPr>
        <w:t xml:space="preserve">ובתשובה אחרת כתב וז"ל דעתי באמת נוטה לדברי ר"ח והרי"ף במלוה שהיא ראויה וגם הר"י </w:t>
      </w:r>
      <w:r w:rsidRPr="005D7B71">
        <w:rPr>
          <w:rFonts w:cs="Arial"/>
          <w:rtl/>
        </w:rPr>
        <w:t>הלוי חושש בפירוש לדבריהם</w:t>
      </w:r>
      <w:r w:rsidRPr="00CD250C">
        <w:rPr>
          <w:rFonts w:cs="Arial"/>
          <w:rtl/>
        </w:rPr>
        <w:t xml:space="preserve"> הלכה למעשה אחר כל הראיות שהביא</w:t>
      </w:r>
      <w:r>
        <w:rPr>
          <w:rFonts w:hint="cs"/>
          <w:rtl/>
        </w:rPr>
        <w:t>, ב"י.</w:t>
      </w:r>
    </w:p>
  </w:footnote>
  <w:footnote w:id="1201">
    <w:p w14:paraId="7DBF0A53" w14:textId="77777777" w:rsidR="00DE2F5F" w:rsidRDefault="00DE2F5F" w:rsidP="00F50D8A">
      <w:pPr>
        <w:pStyle w:val="a5"/>
        <w:rPr>
          <w:rtl/>
        </w:rPr>
      </w:pPr>
      <w:r>
        <w:rPr>
          <w:rStyle w:val="a7"/>
        </w:rPr>
        <w:footnoteRef/>
      </w:r>
      <w:r>
        <w:rPr>
          <w:rtl/>
        </w:rPr>
        <w:t xml:space="preserve"> </w:t>
      </w:r>
      <w:r w:rsidRPr="00843F99">
        <w:rPr>
          <w:rFonts w:cs="Arial"/>
          <w:rtl/>
        </w:rPr>
        <w:t>ועיין בחושן משפט סוף סימן רפ"א (אות ג) הארכתי בזה</w:t>
      </w:r>
      <w:r>
        <w:rPr>
          <w:rFonts w:cs="Arial" w:hint="cs"/>
          <w:rtl/>
        </w:rPr>
        <w:t>, דרכ"מ (אות ב)</w:t>
      </w:r>
      <w:r w:rsidRPr="00843F99">
        <w:rPr>
          <w:rFonts w:cs="Arial"/>
          <w:rtl/>
        </w:rPr>
        <w:t>.</w:t>
      </w:r>
    </w:p>
  </w:footnote>
  <w:footnote w:id="1202">
    <w:p w14:paraId="4B52509C" w14:textId="2EED3C2F" w:rsidR="00DE2F5F" w:rsidRDefault="00DE2F5F">
      <w:pPr>
        <w:pStyle w:val="a5"/>
      </w:pPr>
      <w:r>
        <w:rPr>
          <w:rStyle w:val="a7"/>
        </w:rPr>
        <w:footnoteRef/>
      </w:r>
      <w:r>
        <w:rPr>
          <w:rtl/>
        </w:rPr>
        <w:t xml:space="preserve"> </w:t>
      </w:r>
      <w:r w:rsidRPr="00726398">
        <w:rPr>
          <w:rFonts w:cs="Arial"/>
          <w:rtl/>
        </w:rPr>
        <w:t xml:space="preserve">הרמב"ם </w:t>
      </w:r>
      <w:r>
        <w:rPr>
          <w:rFonts w:cs="Arial" w:hint="cs"/>
          <w:rtl/>
        </w:rPr>
        <w:t>(</w:t>
      </w:r>
      <w:r w:rsidRPr="00726398">
        <w:rPr>
          <w:rFonts w:cs="Arial"/>
          <w:rtl/>
        </w:rPr>
        <w:t xml:space="preserve">פ"א </w:t>
      </w:r>
      <w:r>
        <w:rPr>
          <w:rFonts w:cs="Arial" w:hint="cs"/>
          <w:rtl/>
        </w:rPr>
        <w:t>מהל' נחלות)</w:t>
      </w:r>
      <w:r w:rsidRPr="00726398">
        <w:rPr>
          <w:rFonts w:cs="Arial"/>
          <w:rtl/>
        </w:rPr>
        <w:t xml:space="preserve"> פסק ירושת הבעל מד"ס</w:t>
      </w:r>
      <w:r>
        <w:rPr>
          <w:rFonts w:cs="Arial" w:hint="cs"/>
          <w:rtl/>
        </w:rPr>
        <w:t>.</w:t>
      </w:r>
      <w:r w:rsidRPr="00726398">
        <w:rPr>
          <w:rFonts w:cs="Arial"/>
          <w:rtl/>
        </w:rPr>
        <w:t xml:space="preserve"> והראב"ד והרשב"א ס"ל שהוא מדאוריית</w:t>
      </w:r>
      <w:r>
        <w:rPr>
          <w:rFonts w:cs="Arial" w:hint="cs"/>
          <w:rtl/>
        </w:rPr>
        <w:t>א.</w:t>
      </w:r>
      <w:r w:rsidRPr="00726398">
        <w:rPr>
          <w:rFonts w:cs="Arial"/>
          <w:rtl/>
        </w:rPr>
        <w:t xml:space="preserve"> ע"ש במגיד ובכ"מ</w:t>
      </w:r>
      <w:r>
        <w:rPr>
          <w:rFonts w:cs="Arial" w:hint="cs"/>
          <w:rtl/>
        </w:rPr>
        <w:t>.</w:t>
      </w:r>
      <w:r w:rsidRPr="00726398">
        <w:rPr>
          <w:rFonts w:cs="Arial"/>
          <w:rtl/>
        </w:rPr>
        <w:t xml:space="preserve"> ועסי' נ"ז שם מבואר כשמסר אותם לבעל או לשלוחו יורש אותה</w:t>
      </w:r>
      <w:r>
        <w:rPr>
          <w:rFonts w:cs="Arial" w:hint="cs"/>
          <w:rtl/>
        </w:rPr>
        <w:t>, ב"ש (סק"א).</w:t>
      </w:r>
    </w:p>
  </w:footnote>
  <w:footnote w:id="1203">
    <w:p w14:paraId="20B16DAA" w14:textId="0B86D05E" w:rsidR="00DE2F5F" w:rsidRDefault="00DE2F5F">
      <w:pPr>
        <w:pStyle w:val="a5"/>
      </w:pPr>
      <w:r>
        <w:rPr>
          <w:rStyle w:val="a7"/>
        </w:rPr>
        <w:footnoteRef/>
      </w:r>
      <w:r>
        <w:rPr>
          <w:rtl/>
        </w:rPr>
        <w:t xml:space="preserve"> </w:t>
      </w:r>
      <w:r w:rsidRPr="009615B2">
        <w:rPr>
          <w:rFonts w:cs="Arial"/>
          <w:rtl/>
        </w:rPr>
        <w:t>אפילו אותן נכסים שלא היה לבעל בהן אכילת פירות כמבואר לעיל סי' פ"ה אפ"ה יורש אותן</w:t>
      </w:r>
      <w:r>
        <w:rPr>
          <w:rFonts w:cs="Arial" w:hint="cs"/>
          <w:rtl/>
        </w:rPr>
        <w:t>, ח"מ (סק"א).</w:t>
      </w:r>
    </w:p>
  </w:footnote>
  <w:footnote w:id="1204">
    <w:p w14:paraId="339D6F99" w14:textId="7CC7D9C1" w:rsidR="00DE2F5F" w:rsidRDefault="00DE2F5F">
      <w:pPr>
        <w:pStyle w:val="a5"/>
        <w:rPr>
          <w:rtl/>
        </w:rPr>
      </w:pPr>
      <w:r>
        <w:rPr>
          <w:rStyle w:val="a7"/>
        </w:rPr>
        <w:footnoteRef/>
      </w:r>
      <w:r>
        <w:rPr>
          <w:rtl/>
        </w:rPr>
        <w:t xml:space="preserve"> </w:t>
      </w:r>
      <w:r w:rsidRPr="009615B2">
        <w:rPr>
          <w:rFonts w:cs="Arial"/>
          <w:rtl/>
        </w:rPr>
        <w:t>אף על גב דאומדן דעתא הוא שאבי הבת לא היתה כוונתו על זרע קיימ' שימות בחייו רק כוונתו היה שיבא ממונו לבתו או לזרעה לא לבעלה בזמן שאין לבתו זרע ממנו מ"מ מאחר שהודה חייב להבת לא אמרינן אומדנ</w:t>
      </w:r>
      <w:r>
        <w:rPr>
          <w:rFonts w:cs="Arial" w:hint="cs"/>
          <w:rtl/>
        </w:rPr>
        <w:t>א</w:t>
      </w:r>
      <w:r w:rsidRPr="009615B2">
        <w:rPr>
          <w:rFonts w:cs="Arial"/>
          <w:rtl/>
        </w:rPr>
        <w:t xml:space="preserve"> בהודאה ע"כ נראה דטוב לכתוב אם תמות בתי בלא זרע קיימא אחר מיתתי ואז צריך שיהיה הזרע קיים אחרי מיתת האב וכן ראיתי נוהגין לכתוב עתה</w:t>
      </w:r>
      <w:r>
        <w:rPr>
          <w:rFonts w:hint="cs"/>
          <w:rtl/>
        </w:rPr>
        <w:t>, ח"מ (סק"ב).</w:t>
      </w:r>
    </w:p>
  </w:footnote>
  <w:footnote w:id="1205">
    <w:p w14:paraId="530968A3" w14:textId="7E6122A3" w:rsidR="00DE2F5F" w:rsidRDefault="00DE2F5F">
      <w:pPr>
        <w:pStyle w:val="a5"/>
        <w:rPr>
          <w:rtl/>
        </w:rPr>
      </w:pPr>
      <w:r>
        <w:rPr>
          <w:rStyle w:val="a7"/>
        </w:rPr>
        <w:footnoteRef/>
      </w:r>
      <w:r>
        <w:rPr>
          <w:rtl/>
        </w:rPr>
        <w:t xml:space="preserve"> </w:t>
      </w:r>
      <w:r w:rsidRPr="009615B2">
        <w:rPr>
          <w:rFonts w:cs="Arial"/>
          <w:rtl/>
        </w:rPr>
        <w:t>דדוק' באשתו אינו נוטל בראוי אבל את זרעו יורש אף שלא בא עדיין ליד זרעו מ"מ השטר היה של זרעו והוא יורש השטר</w:t>
      </w:r>
      <w:r>
        <w:rPr>
          <w:rFonts w:hint="cs"/>
          <w:rtl/>
        </w:rPr>
        <w:t>, ח"מ (סק"ג).</w:t>
      </w:r>
      <w:r w:rsidRPr="00E16242">
        <w:rPr>
          <w:rFonts w:cs="Arial"/>
          <w:rtl/>
        </w:rPr>
        <w:t xml:space="preserve"> </w:t>
      </w:r>
      <w:r>
        <w:rPr>
          <w:rFonts w:cs="Arial" w:hint="cs"/>
          <w:rtl/>
        </w:rPr>
        <w:t>ו</w:t>
      </w:r>
      <w:r w:rsidRPr="009615B2">
        <w:rPr>
          <w:rFonts w:cs="Arial"/>
          <w:rtl/>
        </w:rPr>
        <w:t xml:space="preserve">עיין בתשו' שב יעקב </w:t>
      </w:r>
      <w:r>
        <w:rPr>
          <w:rFonts w:cs="Arial" w:hint="cs"/>
          <w:rtl/>
        </w:rPr>
        <w:t>(</w:t>
      </w:r>
      <w:r w:rsidRPr="009615B2">
        <w:rPr>
          <w:rFonts w:cs="Arial"/>
          <w:rtl/>
        </w:rPr>
        <w:t>אה"ע סי' כו</w:t>
      </w:r>
      <w:r>
        <w:rPr>
          <w:rFonts w:cs="Arial" w:hint="cs"/>
          <w:rtl/>
        </w:rPr>
        <w:t>)</w:t>
      </w:r>
      <w:r w:rsidRPr="009615B2">
        <w:rPr>
          <w:rFonts w:cs="Arial"/>
          <w:rtl/>
        </w:rPr>
        <w:t xml:space="preserve"> שגדול אחד רצה לסתור דין זה</w:t>
      </w:r>
      <w:r>
        <w:rPr>
          <w:rFonts w:cs="Arial" w:hint="cs"/>
          <w:rtl/>
        </w:rPr>
        <w:t>,</w:t>
      </w:r>
      <w:r w:rsidRPr="009615B2">
        <w:rPr>
          <w:rFonts w:cs="Arial"/>
          <w:rtl/>
        </w:rPr>
        <w:t xml:space="preserve"> ושגם בתשו' חינוך בית יהודה </w:t>
      </w:r>
      <w:r>
        <w:rPr>
          <w:rFonts w:cs="Arial" w:hint="cs"/>
          <w:rtl/>
        </w:rPr>
        <w:t>(</w:t>
      </w:r>
      <w:r w:rsidRPr="009615B2">
        <w:rPr>
          <w:rFonts w:cs="Arial"/>
          <w:rtl/>
        </w:rPr>
        <w:t>סי' קלג</w:t>
      </w:r>
      <w:r>
        <w:rPr>
          <w:rFonts w:cs="Arial" w:hint="cs"/>
          <w:rtl/>
        </w:rPr>
        <w:t>)</w:t>
      </w:r>
      <w:r w:rsidRPr="009615B2">
        <w:rPr>
          <w:rFonts w:cs="Arial"/>
          <w:rtl/>
        </w:rPr>
        <w:t xml:space="preserve"> פסק לפסק גמור נגד דברי הרמ"א. ומהרי"ו לא כתב זאת לפסק הלכה. והתאזרו חיל שלשה מטיבי צעד הגאון בעל כנ"י והגאון בעל שבות יעקב והגאון המחבר והעלו שאין לזוז מפסק הרמ"א ז"ל ויישבו כל הקושיות והפקפוקים</w:t>
      </w:r>
      <w:r>
        <w:rPr>
          <w:rFonts w:cs="Arial" w:hint="cs"/>
          <w:rtl/>
        </w:rPr>
        <w:t>..., פת"ש (סק"א)</w:t>
      </w:r>
      <w:r>
        <w:rPr>
          <w:rFonts w:hint="cs"/>
          <w:rtl/>
        </w:rPr>
        <w:t>.</w:t>
      </w:r>
    </w:p>
  </w:footnote>
  <w:footnote w:id="1206">
    <w:p w14:paraId="27816EF7" w14:textId="0D2AC826" w:rsidR="00DE2F5F" w:rsidRDefault="00DE2F5F">
      <w:pPr>
        <w:pStyle w:val="a5"/>
        <w:rPr>
          <w:rtl/>
        </w:rPr>
      </w:pPr>
      <w:r>
        <w:rPr>
          <w:rStyle w:val="a7"/>
        </w:rPr>
        <w:footnoteRef/>
      </w:r>
      <w:r>
        <w:rPr>
          <w:rtl/>
        </w:rPr>
        <w:t xml:space="preserve"> </w:t>
      </w:r>
      <w:r w:rsidRPr="001D6908">
        <w:rPr>
          <w:rFonts w:cs="Arial"/>
          <w:rtl/>
        </w:rPr>
        <w:t>אף על פי שמתה בחיי מוריש' ולא זכתה בפירות מ"מ הבעל יורש הקרקע והפירות לאחר מיתת מורישי' דה"ל מוחזק מאחר שהיה גוף הקרקע שלה קודם מיתת מורישיה</w:t>
      </w:r>
      <w:r>
        <w:rPr>
          <w:rFonts w:hint="cs"/>
          <w:rtl/>
        </w:rPr>
        <w:t xml:space="preserve">, </w:t>
      </w:r>
      <w:r w:rsidRPr="00CE0903">
        <w:rPr>
          <w:rFonts w:hint="cs"/>
          <w:b/>
          <w:bCs/>
          <w:rtl/>
        </w:rPr>
        <w:t>ח"מ</w:t>
      </w:r>
      <w:r>
        <w:rPr>
          <w:rFonts w:hint="cs"/>
          <w:rtl/>
        </w:rPr>
        <w:t xml:space="preserve"> (סק"ד). אך </w:t>
      </w:r>
      <w:r w:rsidRPr="00CE0903">
        <w:rPr>
          <w:rFonts w:hint="cs"/>
          <w:b/>
          <w:bCs/>
          <w:rtl/>
        </w:rPr>
        <w:t>הב"ש</w:t>
      </w:r>
      <w:r>
        <w:rPr>
          <w:rFonts w:hint="cs"/>
          <w:rtl/>
        </w:rPr>
        <w:t xml:space="preserve"> (סק"ה*) כתב </w:t>
      </w:r>
      <w:r>
        <w:rPr>
          <w:rFonts w:cs="Arial" w:hint="cs"/>
          <w:rtl/>
        </w:rPr>
        <w:t>ד</w:t>
      </w:r>
      <w:r w:rsidRPr="00274F7B">
        <w:rPr>
          <w:rFonts w:cs="Arial"/>
          <w:rtl/>
        </w:rPr>
        <w:t xml:space="preserve">משמע </w:t>
      </w:r>
      <w:r>
        <w:rPr>
          <w:rFonts w:cs="Arial" w:hint="cs"/>
          <w:rtl/>
        </w:rPr>
        <w:t>ש</w:t>
      </w:r>
      <w:r w:rsidRPr="00274F7B">
        <w:rPr>
          <w:rFonts w:cs="Arial"/>
          <w:rtl/>
        </w:rPr>
        <w:t>הפירות אינו יורש משום דהוי ראוי</w:t>
      </w:r>
      <w:r>
        <w:rPr>
          <w:rFonts w:cs="Arial" w:hint="cs"/>
          <w:rtl/>
        </w:rPr>
        <w:t>,</w:t>
      </w:r>
      <w:r w:rsidRPr="00274F7B">
        <w:rPr>
          <w:rFonts w:cs="Arial"/>
          <w:rtl/>
        </w:rPr>
        <w:t xml:space="preserve"> דהא המוריש יכול למכור אותה</w:t>
      </w:r>
      <w:r>
        <w:rPr>
          <w:rFonts w:cs="Arial" w:hint="cs"/>
          <w:rtl/>
        </w:rPr>
        <w:t>,</w:t>
      </w:r>
      <w:r w:rsidRPr="00274F7B">
        <w:rPr>
          <w:rFonts w:cs="Arial"/>
          <w:rtl/>
        </w:rPr>
        <w:t xml:space="preserve"> וע' בח"ה סי' רנ"ו</w:t>
      </w:r>
      <w:r>
        <w:rPr>
          <w:rFonts w:cs="Arial" w:hint="cs"/>
          <w:rtl/>
        </w:rPr>
        <w:t>,</w:t>
      </w:r>
      <w:r w:rsidRPr="00274F7B">
        <w:rPr>
          <w:rFonts w:cs="Arial"/>
          <w:rtl/>
        </w:rPr>
        <w:t xml:space="preserve"> ולא כח"מ</w:t>
      </w:r>
      <w:r>
        <w:rPr>
          <w:rFonts w:cs="Arial" w:hint="cs"/>
          <w:rtl/>
        </w:rPr>
        <w:t>.</w:t>
      </w:r>
      <w:r>
        <w:rPr>
          <w:rFonts w:hint="cs"/>
          <w:rtl/>
        </w:rPr>
        <w:t xml:space="preserve"> עכ"ל. וכתב </w:t>
      </w:r>
      <w:r w:rsidRPr="00CE0903">
        <w:rPr>
          <w:rFonts w:cs="Arial" w:hint="cs"/>
          <w:b/>
          <w:bCs/>
          <w:rtl/>
        </w:rPr>
        <w:t>רעק"א</w:t>
      </w:r>
      <w:r>
        <w:rPr>
          <w:rFonts w:cs="Arial" w:hint="cs"/>
          <w:rtl/>
        </w:rPr>
        <w:t xml:space="preserve"> (</w:t>
      </w:r>
      <w:r w:rsidRPr="009615B2">
        <w:rPr>
          <w:rFonts w:cs="Arial"/>
          <w:rtl/>
        </w:rPr>
        <w:t>בגליון ש</w:t>
      </w:r>
      <w:r>
        <w:rPr>
          <w:rFonts w:cs="Arial" w:hint="cs"/>
          <w:rtl/>
        </w:rPr>
        <w:t>ו</w:t>
      </w:r>
      <w:r w:rsidRPr="009615B2">
        <w:rPr>
          <w:rFonts w:cs="Arial"/>
          <w:rtl/>
        </w:rPr>
        <w:t>"ע</w:t>
      </w:r>
      <w:r>
        <w:rPr>
          <w:rFonts w:cs="Arial" w:hint="cs"/>
          <w:rtl/>
        </w:rPr>
        <w:t>, הביאו הפת"ש סק"ב*)</w:t>
      </w:r>
      <w:r w:rsidRPr="009615B2">
        <w:rPr>
          <w:rFonts w:cs="Arial"/>
          <w:rtl/>
        </w:rPr>
        <w:t xml:space="preserve"> </w:t>
      </w:r>
      <w:r>
        <w:rPr>
          <w:rFonts w:cs="Arial" w:hint="cs"/>
          <w:rtl/>
        </w:rPr>
        <w:t>על דברי הח"מ ל</w:t>
      </w:r>
      <w:r w:rsidRPr="009615B2">
        <w:rPr>
          <w:rFonts w:cs="Arial"/>
          <w:rtl/>
        </w:rPr>
        <w:t>עיין בשו"ת הר"ם אלשיך סי' י"ח</w:t>
      </w:r>
      <w:r>
        <w:rPr>
          <w:rFonts w:hint="cs"/>
          <w:rtl/>
        </w:rPr>
        <w:t>.</w:t>
      </w:r>
    </w:p>
  </w:footnote>
  <w:footnote w:id="1207">
    <w:p w14:paraId="24FD0CC0" w14:textId="7DF02274" w:rsidR="00DE2F5F" w:rsidRDefault="00DE2F5F">
      <w:pPr>
        <w:pStyle w:val="a5"/>
      </w:pPr>
      <w:r>
        <w:rPr>
          <w:rStyle w:val="a7"/>
        </w:rPr>
        <w:footnoteRef/>
      </w:r>
      <w:r>
        <w:rPr>
          <w:rtl/>
        </w:rPr>
        <w:t xml:space="preserve"> </w:t>
      </w:r>
      <w:r w:rsidRPr="005E7AB9">
        <w:rPr>
          <w:rFonts w:cs="Arial"/>
          <w:rtl/>
        </w:rPr>
        <w:t>כ"כ ר"ח ור"ה הגאון וכל הפוסקים כמ"ש בתוס' והרא"ש והר"ן והמגיד</w:t>
      </w:r>
      <w:r>
        <w:rPr>
          <w:rFonts w:cs="Arial" w:hint="cs"/>
          <w:rtl/>
        </w:rPr>
        <w:t>.</w:t>
      </w:r>
      <w:r w:rsidRPr="005E7AB9">
        <w:rPr>
          <w:rFonts w:cs="Arial"/>
          <w:rtl/>
        </w:rPr>
        <w:t xml:space="preserve"> אלא כתבו בשם הר"י מיגש דס"ל דיורש מלוה</w:t>
      </w:r>
      <w:r>
        <w:rPr>
          <w:rFonts w:cs="Arial" w:hint="cs"/>
          <w:rtl/>
        </w:rPr>
        <w:t>.</w:t>
      </w:r>
      <w:r w:rsidRPr="005E7AB9">
        <w:rPr>
          <w:rFonts w:cs="Arial"/>
          <w:rtl/>
        </w:rPr>
        <w:t xml:space="preserve"> לכן נ"ל אף אם תפס א</w:t>
      </w:r>
      <w:r>
        <w:rPr>
          <w:rFonts w:cs="Arial" w:hint="cs"/>
          <w:rtl/>
        </w:rPr>
        <w:t>ינו יכול</w:t>
      </w:r>
      <w:r w:rsidRPr="005E7AB9">
        <w:rPr>
          <w:rFonts w:cs="Arial"/>
          <w:rtl/>
        </w:rPr>
        <w:t xml:space="preserve"> לו</w:t>
      </w:r>
      <w:r>
        <w:rPr>
          <w:rFonts w:cs="Arial" w:hint="cs"/>
          <w:rtl/>
        </w:rPr>
        <w:t>מר</w:t>
      </w:r>
      <w:r w:rsidRPr="005E7AB9">
        <w:rPr>
          <w:rFonts w:cs="Arial"/>
          <w:rtl/>
        </w:rPr>
        <w:t xml:space="preserve"> קים לי כהאי אף למ"ש המגיד </w:t>
      </w:r>
      <w:r>
        <w:rPr>
          <w:rFonts w:cs="Arial" w:hint="cs"/>
          <w:rtl/>
        </w:rPr>
        <w:t>(</w:t>
      </w:r>
      <w:r w:rsidRPr="005E7AB9">
        <w:rPr>
          <w:rFonts w:cs="Arial"/>
          <w:rtl/>
        </w:rPr>
        <w:t xml:space="preserve">פ"א </w:t>
      </w:r>
      <w:r>
        <w:rPr>
          <w:rFonts w:cs="Arial" w:hint="cs"/>
          <w:rtl/>
        </w:rPr>
        <w:t>מהל' נחלות)</w:t>
      </w:r>
      <w:r w:rsidRPr="005E7AB9">
        <w:rPr>
          <w:rFonts w:cs="Arial"/>
          <w:rtl/>
        </w:rPr>
        <w:t xml:space="preserve"> דהרמב"ם ס"ל כהר"י מ"מ הוי דיעה אחת כמ"ש בתשו' מהר"י לבית הלוי סי' נ"ה</w:t>
      </w:r>
      <w:r>
        <w:rPr>
          <w:rFonts w:cs="Arial" w:hint="cs"/>
          <w:rtl/>
        </w:rPr>
        <w:t>, ב"ש (סק"ו).</w:t>
      </w:r>
    </w:p>
  </w:footnote>
  <w:footnote w:id="1208">
    <w:p w14:paraId="54712224" w14:textId="40CC3FF9" w:rsidR="00DE2F5F" w:rsidRDefault="00DE2F5F">
      <w:pPr>
        <w:pStyle w:val="a5"/>
      </w:pPr>
      <w:r>
        <w:rPr>
          <w:rStyle w:val="a7"/>
        </w:rPr>
        <w:footnoteRef/>
      </w:r>
      <w:r>
        <w:rPr>
          <w:rtl/>
        </w:rPr>
        <w:t xml:space="preserve"> </w:t>
      </w:r>
      <w:r w:rsidRPr="00925F11">
        <w:rPr>
          <w:rFonts w:cs="Arial"/>
          <w:rtl/>
        </w:rPr>
        <w:t>בהרא"ש ליתא תיבת משנשאת</w:t>
      </w:r>
      <w:r>
        <w:rPr>
          <w:rFonts w:cs="Arial" w:hint="cs"/>
          <w:rtl/>
        </w:rPr>
        <w:t>,</w:t>
      </w:r>
      <w:r w:rsidRPr="00925F11">
        <w:rPr>
          <w:rFonts w:cs="Arial"/>
          <w:rtl/>
        </w:rPr>
        <w:t xml:space="preserve"> וב"ח כתב</w:t>
      </w:r>
      <w:r>
        <w:rPr>
          <w:rFonts w:cs="Arial" w:hint="cs"/>
          <w:rtl/>
        </w:rPr>
        <w:t>-</w:t>
      </w:r>
      <w:r w:rsidRPr="00925F11">
        <w:rPr>
          <w:rFonts w:cs="Arial"/>
          <w:rtl/>
        </w:rPr>
        <w:t xml:space="preserve"> הוא ט"ס בטור</w:t>
      </w:r>
      <w:r>
        <w:rPr>
          <w:rFonts w:cs="Arial" w:hint="cs"/>
          <w:rtl/>
        </w:rPr>
        <w:t>.</w:t>
      </w:r>
      <w:r w:rsidRPr="00925F11">
        <w:rPr>
          <w:rFonts w:cs="Arial"/>
          <w:rtl/>
        </w:rPr>
        <w:t xml:space="preserve"> ואפשר לרבות</w:t>
      </w:r>
      <w:r>
        <w:rPr>
          <w:rFonts w:cs="Arial" w:hint="cs"/>
          <w:rtl/>
        </w:rPr>
        <w:t>א</w:t>
      </w:r>
      <w:r w:rsidRPr="00925F11">
        <w:rPr>
          <w:rFonts w:cs="Arial"/>
          <w:rtl/>
        </w:rPr>
        <w:t xml:space="preserve"> כתב אע</w:t>
      </w:r>
      <w:r>
        <w:rPr>
          <w:rFonts w:cs="Arial" w:hint="cs"/>
          <w:rtl/>
        </w:rPr>
        <w:t>"</w:t>
      </w:r>
      <w:r w:rsidRPr="00925F11">
        <w:rPr>
          <w:rFonts w:cs="Arial"/>
          <w:rtl/>
        </w:rPr>
        <w:t>ג דמת המוריש קודם הנשואין והיה לו מלוה אשר בוודאי אשתו יורש והוא ידע מזה מ"מ הוי ראוי כיון שלא גבתה</w:t>
      </w:r>
      <w:r>
        <w:rPr>
          <w:rFonts w:cs="Arial" w:hint="cs"/>
          <w:rtl/>
        </w:rPr>
        <w:t xml:space="preserve">, </w:t>
      </w:r>
      <w:r w:rsidRPr="00CE0903">
        <w:rPr>
          <w:rFonts w:cs="Arial" w:hint="cs"/>
          <w:b/>
          <w:bCs/>
          <w:rtl/>
        </w:rPr>
        <w:t>ב"ש</w:t>
      </w:r>
      <w:r>
        <w:rPr>
          <w:rFonts w:cs="Arial" w:hint="cs"/>
          <w:rtl/>
        </w:rPr>
        <w:t xml:space="preserve"> (סק"ז). </w:t>
      </w:r>
      <w:r w:rsidRPr="00CE0903">
        <w:rPr>
          <w:rFonts w:cs="Arial" w:hint="cs"/>
          <w:b/>
          <w:bCs/>
          <w:rtl/>
        </w:rPr>
        <w:t>והח"מ</w:t>
      </w:r>
      <w:r>
        <w:rPr>
          <w:rFonts w:cs="Arial" w:hint="cs"/>
          <w:rtl/>
        </w:rPr>
        <w:t xml:space="preserve"> (סק"ו) הסכים לדברי הב"ח שהוא טעות סופר, דהרי </w:t>
      </w:r>
      <w:r w:rsidRPr="00925F11">
        <w:rPr>
          <w:rFonts w:cs="Arial"/>
          <w:rtl/>
        </w:rPr>
        <w:t>אין הפרש בין היה להם מלוה ביד אחרים כשנשאה או הלוה לאחרים לאחר שנשאה דסוף סוף הוי ראוי לגבי אשה מאחר שלא גבתה האשה קודם שמתה</w:t>
      </w:r>
      <w:r>
        <w:rPr>
          <w:rFonts w:cs="Arial" w:hint="cs"/>
          <w:rtl/>
        </w:rPr>
        <w:t>.</w:t>
      </w:r>
      <w:r w:rsidRPr="00925F11">
        <w:rPr>
          <w:rFonts w:cs="Arial"/>
          <w:rtl/>
        </w:rPr>
        <w:t xml:space="preserve"> ודוק</w:t>
      </w:r>
      <w:r>
        <w:rPr>
          <w:rFonts w:cs="Arial" w:hint="cs"/>
          <w:rtl/>
        </w:rPr>
        <w:t>א</w:t>
      </w:r>
      <w:r w:rsidRPr="00925F11">
        <w:rPr>
          <w:rFonts w:cs="Arial"/>
          <w:rtl/>
        </w:rPr>
        <w:t xml:space="preserve"> מלוה אבל היה להם פקדונות ביד אחרים כל היכא דאיתנהו ברשותיה דמרי' איתנהו ולא הוי ראוי</w:t>
      </w:r>
      <w:r>
        <w:rPr>
          <w:rFonts w:cs="Arial" w:hint="cs"/>
          <w:rtl/>
        </w:rPr>
        <w:t>.</w:t>
      </w:r>
      <w:r w:rsidRPr="00925F11">
        <w:rPr>
          <w:rFonts w:cs="Arial"/>
          <w:rtl/>
        </w:rPr>
        <w:t xml:space="preserve"> וכ"כ בב"ח</w:t>
      </w:r>
      <w:r>
        <w:rPr>
          <w:rFonts w:cs="Arial" w:hint="cs"/>
          <w:rtl/>
        </w:rPr>
        <w:t>.</w:t>
      </w:r>
      <w:r w:rsidRPr="00925F11">
        <w:rPr>
          <w:rFonts w:cs="Arial"/>
          <w:rtl/>
        </w:rPr>
        <w:t xml:space="preserve"> ואם היה מלוה שיש עליה משכון, יתבאר בסמוך עוד פרטי דינים אלו</w:t>
      </w:r>
      <w:r>
        <w:rPr>
          <w:rFonts w:cs="Arial" w:hint="cs"/>
          <w:rtl/>
        </w:rPr>
        <w:t>.</w:t>
      </w:r>
    </w:p>
  </w:footnote>
  <w:footnote w:id="1209">
    <w:p w14:paraId="17DBABE6" w14:textId="72DE8C61" w:rsidR="00DE2F5F" w:rsidRDefault="00DE2F5F">
      <w:pPr>
        <w:pStyle w:val="a5"/>
      </w:pPr>
      <w:r>
        <w:rPr>
          <w:rStyle w:val="a7"/>
        </w:rPr>
        <w:footnoteRef/>
      </w:r>
      <w:r>
        <w:rPr>
          <w:rtl/>
        </w:rPr>
        <w:t xml:space="preserve"> </w:t>
      </w:r>
      <w:r w:rsidRPr="00925F11">
        <w:rPr>
          <w:rFonts w:cs="Arial"/>
          <w:rtl/>
        </w:rPr>
        <w:t>ה"ה לשאר בעלי חובות דהא ק"ל ב"ח מכאן ולהבא הוא גובה ועיין מ"ש בזה לקמן סי' ק' לחלק בין ראוי דירושת הבעל לראוי דכתובה וכמ"ש בתשובת מהרי"ל סי' ע"ד</w:t>
      </w:r>
      <w:r>
        <w:rPr>
          <w:rFonts w:cs="Arial" w:hint="cs"/>
          <w:rtl/>
        </w:rPr>
        <w:t>, ח"מ (סק"ז).</w:t>
      </w:r>
    </w:p>
  </w:footnote>
  <w:footnote w:id="1210">
    <w:p w14:paraId="0C3CE103" w14:textId="7B10FD73" w:rsidR="00DE2F5F" w:rsidRDefault="00DE2F5F">
      <w:pPr>
        <w:pStyle w:val="a5"/>
      </w:pPr>
      <w:r>
        <w:rPr>
          <w:rStyle w:val="a7"/>
        </w:rPr>
        <w:footnoteRef/>
      </w:r>
      <w:r>
        <w:rPr>
          <w:rtl/>
        </w:rPr>
        <w:t xml:space="preserve"> </w:t>
      </w:r>
      <w:r w:rsidRPr="009615B2">
        <w:rPr>
          <w:rFonts w:cs="Arial"/>
          <w:rtl/>
        </w:rPr>
        <w:t>דין זה הוא ממרדכי ס"פ כל הנשבעין</w:t>
      </w:r>
      <w:r>
        <w:rPr>
          <w:rFonts w:cs="Arial" w:hint="cs"/>
          <w:rtl/>
        </w:rPr>
        <w:t>,</w:t>
      </w:r>
      <w:r w:rsidRPr="009615B2">
        <w:rPr>
          <w:rFonts w:cs="Arial"/>
          <w:rtl/>
        </w:rPr>
        <w:t xml:space="preserve"> וע"ל סי' ק' ס"ב בהגה י"א דאם מת יעקב כו' הואיל והיו משועבדים לאלמנת אביו כו' והוא ג"כ מדברי המרדכי ס"פ נערה. והם סותרים זא"ז. ועב"ש שם סק</w:t>
      </w:r>
      <w:r>
        <w:rPr>
          <w:rFonts w:cs="Arial" w:hint="cs"/>
          <w:rtl/>
        </w:rPr>
        <w:t>י</w:t>
      </w:r>
      <w:r w:rsidRPr="009615B2">
        <w:rPr>
          <w:rFonts w:cs="Arial"/>
          <w:rtl/>
        </w:rPr>
        <w:t>"ד כתב בזה ג' תירוצים. א'</w:t>
      </w:r>
      <w:r>
        <w:rPr>
          <w:rFonts w:cs="Arial" w:hint="cs"/>
          <w:rtl/>
        </w:rPr>
        <w:t>,</w:t>
      </w:r>
      <w:r w:rsidRPr="009615B2">
        <w:rPr>
          <w:rFonts w:cs="Arial"/>
          <w:rtl/>
        </w:rPr>
        <w:t xml:space="preserve"> בשם הד"מ דכאן בסי' צ' איירי לפי המנהג דהיורשים יכולים לסלקה </w:t>
      </w:r>
      <w:r w:rsidRPr="00CE0903">
        <w:rPr>
          <w:rFonts w:cs="Arial"/>
          <w:sz w:val="16"/>
          <w:szCs w:val="16"/>
          <w:rtl/>
        </w:rPr>
        <w:t>(ר"ל היכא שתיקנו כך ע' בסי' צ"ג ס"ג בהגה. אבל מן הסתם לדידן דקיי"ל כאנשי גליל כל הנכסים נקראו מוחזקים לה וראויים לגבי היורשי' ואין בעל הבת יורש מהם כלום)</w:t>
      </w:r>
      <w:r>
        <w:rPr>
          <w:rFonts w:cs="Arial" w:hint="cs"/>
          <w:rtl/>
        </w:rPr>
        <w:t>.</w:t>
      </w:r>
      <w:r w:rsidRPr="009615B2">
        <w:rPr>
          <w:rFonts w:cs="Arial"/>
          <w:rtl/>
        </w:rPr>
        <w:t xml:space="preserve"> ב'</w:t>
      </w:r>
      <w:r>
        <w:rPr>
          <w:rFonts w:cs="Arial" w:hint="cs"/>
          <w:rtl/>
        </w:rPr>
        <w:t>,</w:t>
      </w:r>
      <w:r w:rsidRPr="009615B2">
        <w:rPr>
          <w:rFonts w:cs="Arial"/>
          <w:rtl/>
        </w:rPr>
        <w:t xml:space="preserve"> בשם מהרי"ל </w:t>
      </w:r>
      <w:r>
        <w:rPr>
          <w:rFonts w:cs="Arial" w:hint="cs"/>
          <w:rtl/>
        </w:rPr>
        <w:t>(</w:t>
      </w:r>
      <w:r w:rsidRPr="009615B2">
        <w:rPr>
          <w:rFonts w:cs="Arial"/>
          <w:rtl/>
        </w:rPr>
        <w:t>סי' עד</w:t>
      </w:r>
      <w:r>
        <w:rPr>
          <w:rFonts w:cs="Arial" w:hint="cs"/>
          <w:rtl/>
        </w:rPr>
        <w:t>)</w:t>
      </w:r>
      <w:r w:rsidRPr="009615B2">
        <w:rPr>
          <w:rFonts w:cs="Arial"/>
          <w:rtl/>
        </w:rPr>
        <w:t xml:space="preserve"> דשאני ירושה הבאה מאליה (ר"ל ירושת הבעל את אשתו דממילא קא אתיא) אבל כתובה ליתא אלא חוב ומחוסר גוביינא. ג'</w:t>
      </w:r>
      <w:r>
        <w:rPr>
          <w:rFonts w:cs="Arial" w:hint="cs"/>
          <w:rtl/>
        </w:rPr>
        <w:t>,</w:t>
      </w:r>
      <w:r w:rsidRPr="009615B2">
        <w:rPr>
          <w:rFonts w:cs="Arial"/>
          <w:rtl/>
        </w:rPr>
        <w:t xml:space="preserve"> בשם תשובת שארית יוסף דיש חילוק היכא דנשבע' על כתובתה אז היא מוחזקת בנכסים הן לענין ירושה הן לענין כתובה וכאן איירי שלא נשבעה ע"ש</w:t>
      </w:r>
      <w:r>
        <w:rPr>
          <w:rFonts w:cs="Arial" w:hint="cs"/>
          <w:rtl/>
        </w:rPr>
        <w:t>.</w:t>
      </w:r>
      <w:r w:rsidRPr="009615B2">
        <w:rPr>
          <w:rFonts w:cs="Arial"/>
          <w:rtl/>
        </w:rPr>
        <w:t xml:space="preserve"> וכפי הנראה מדברי הב"ש שם וכאן סק"ח תופס לעיקר תירוץ מהרי"ל</w:t>
      </w:r>
      <w:r>
        <w:rPr>
          <w:rFonts w:cs="Arial" w:hint="cs"/>
          <w:rtl/>
        </w:rPr>
        <w:t>.</w:t>
      </w:r>
      <w:r w:rsidRPr="009615B2">
        <w:rPr>
          <w:rFonts w:cs="Arial"/>
          <w:rtl/>
        </w:rPr>
        <w:t xml:space="preserve"> וכן הח"מ שם וכאן לא כ' אלא תירוץ מהרי"ל</w:t>
      </w:r>
      <w:r>
        <w:rPr>
          <w:rFonts w:cs="Arial" w:hint="cs"/>
          <w:rtl/>
        </w:rPr>
        <w:t>.</w:t>
      </w:r>
      <w:r w:rsidRPr="009615B2">
        <w:rPr>
          <w:rFonts w:cs="Arial"/>
          <w:rtl/>
        </w:rPr>
        <w:t xml:space="preserve"> ועיין בתשו' פרח שושן כלל ד' סי' א' שהאריך מאד בענין זה</w:t>
      </w:r>
      <w:r>
        <w:rPr>
          <w:rFonts w:cs="Arial" w:hint="cs"/>
          <w:rtl/>
        </w:rPr>
        <w:t>..., פת"ש (סק"ג).</w:t>
      </w:r>
    </w:p>
  </w:footnote>
  <w:footnote w:id="1211">
    <w:p w14:paraId="4A26598D" w14:textId="6FA8EDAE" w:rsidR="00DE2F5F" w:rsidRDefault="00DE2F5F">
      <w:pPr>
        <w:pStyle w:val="a5"/>
      </w:pPr>
      <w:r>
        <w:rPr>
          <w:rStyle w:val="a7"/>
        </w:rPr>
        <w:footnoteRef/>
      </w:r>
      <w:r>
        <w:rPr>
          <w:rtl/>
        </w:rPr>
        <w:t xml:space="preserve"> </w:t>
      </w:r>
      <w:r w:rsidRPr="009615B2">
        <w:rPr>
          <w:rFonts w:cs="Arial"/>
          <w:rtl/>
        </w:rPr>
        <w:t xml:space="preserve">עיין בתשו' חות יאיר </w:t>
      </w:r>
      <w:r>
        <w:rPr>
          <w:rFonts w:cs="Arial" w:hint="cs"/>
          <w:rtl/>
        </w:rPr>
        <w:t>(</w:t>
      </w:r>
      <w:r w:rsidRPr="009615B2">
        <w:rPr>
          <w:rFonts w:cs="Arial"/>
          <w:rtl/>
        </w:rPr>
        <w:t>סי' קכב</w:t>
      </w:r>
      <w:r>
        <w:rPr>
          <w:rFonts w:cs="Arial" w:hint="cs"/>
          <w:rtl/>
        </w:rPr>
        <w:t>)</w:t>
      </w:r>
      <w:r w:rsidRPr="009615B2">
        <w:rPr>
          <w:rFonts w:cs="Arial"/>
          <w:rtl/>
        </w:rPr>
        <w:t xml:space="preserve"> שכ' דאפילו אם הכניסה השטר לבעלה בנדן בעת שנשאה ה"ל ראוי ואינו יורש ואפילו הגיע זמן פרעון השטר לפני מותה לא חשיב בהכי מוחזק. וה"נ בכה"ג לענין ירושה דידה דאם מת מוריש' ולפני שירדו יורשים לנחלה או אפילו אח"כ שהסכימו ליתן לה חצי חלק זכר מ"מ כל כמה שלא נתנו לה ומתה היא</w:t>
      </w:r>
      <w:r>
        <w:rPr>
          <w:rFonts w:cs="Arial" w:hint="cs"/>
          <w:rtl/>
        </w:rPr>
        <w:t>,</w:t>
      </w:r>
      <w:r w:rsidRPr="009615B2">
        <w:rPr>
          <w:rFonts w:cs="Arial"/>
          <w:rtl/>
        </w:rPr>
        <w:t xml:space="preserve"> אין הבעל יורש. ומ"מ אם הכניסה לו שט"ח בשטר דקני לך איהו וכ"ש או במעמד שלשתן במלוה בע"פ ודאי משעה שהכניס</w:t>
      </w:r>
      <w:r>
        <w:rPr>
          <w:rFonts w:cs="Arial" w:hint="cs"/>
          <w:rtl/>
        </w:rPr>
        <w:t>ה -</w:t>
      </w:r>
      <w:r w:rsidRPr="009615B2">
        <w:rPr>
          <w:rFonts w:cs="Arial"/>
          <w:rtl/>
        </w:rPr>
        <w:t xml:space="preserve"> דידי</w:t>
      </w:r>
      <w:r>
        <w:rPr>
          <w:rFonts w:cs="Arial" w:hint="cs"/>
          <w:rtl/>
        </w:rPr>
        <w:t>ה</w:t>
      </w:r>
      <w:r w:rsidRPr="009615B2">
        <w:rPr>
          <w:rFonts w:cs="Arial"/>
          <w:rtl/>
        </w:rPr>
        <w:t xml:space="preserve"> הוא וזה ברור ע"ש ועיין בתשובת שבו"י ח"ב סי' קל"א ובס' ב"מ מזה</w:t>
      </w:r>
      <w:r>
        <w:rPr>
          <w:rFonts w:cs="Arial" w:hint="cs"/>
          <w:rtl/>
        </w:rPr>
        <w:t>, פת"ש (סק"ד).</w:t>
      </w:r>
    </w:p>
  </w:footnote>
  <w:footnote w:id="1212">
    <w:p w14:paraId="1BCFD86A" w14:textId="66B50E74" w:rsidR="00DE2F5F" w:rsidRDefault="00DE2F5F" w:rsidP="00306D13">
      <w:pPr>
        <w:pStyle w:val="a5"/>
      </w:pPr>
      <w:r>
        <w:rPr>
          <w:rStyle w:val="a7"/>
        </w:rPr>
        <w:footnoteRef/>
      </w:r>
      <w:r>
        <w:rPr>
          <w:rtl/>
        </w:rPr>
        <w:t xml:space="preserve"> </w:t>
      </w:r>
      <w:r>
        <w:rPr>
          <w:rFonts w:cs="Arial" w:hint="cs"/>
          <w:rtl/>
        </w:rPr>
        <w:t>ו</w:t>
      </w:r>
      <w:r w:rsidRPr="00726398">
        <w:rPr>
          <w:rFonts w:cs="Arial"/>
          <w:rtl/>
        </w:rPr>
        <w:t>מלוה שיש עליה משכון יורש הבעל דכגבוי דמי אפילו משכון בשעת הלואה</w:t>
      </w:r>
      <w:r>
        <w:rPr>
          <w:rFonts w:cs="Arial" w:hint="cs"/>
          <w:rtl/>
        </w:rPr>
        <w:t xml:space="preserve"> </w:t>
      </w:r>
      <w:r>
        <w:rPr>
          <w:rFonts w:cs="Arial" w:hint="cs"/>
          <w:sz w:val="16"/>
          <w:szCs w:val="16"/>
          <w:rtl/>
        </w:rPr>
        <w:t xml:space="preserve">{כ"כ </w:t>
      </w:r>
      <w:r w:rsidRPr="00306D13">
        <w:rPr>
          <w:rFonts w:cs="Arial"/>
          <w:sz w:val="16"/>
          <w:szCs w:val="16"/>
          <w:rtl/>
        </w:rPr>
        <w:t xml:space="preserve">במרדכי ר"פ י"נ </w:t>
      </w:r>
      <w:r>
        <w:rPr>
          <w:rFonts w:cs="Arial" w:hint="cs"/>
          <w:sz w:val="16"/>
          <w:szCs w:val="16"/>
          <w:rtl/>
        </w:rPr>
        <w:t xml:space="preserve">גבי </w:t>
      </w:r>
      <w:r w:rsidRPr="00306D13">
        <w:rPr>
          <w:rFonts w:cs="Arial"/>
          <w:sz w:val="16"/>
          <w:szCs w:val="16"/>
          <w:rtl/>
        </w:rPr>
        <w:t>בכור נוטל פי שנים דבע"ח קונה משכון וכו' ועיין בח"מ סי' רע"ח סעיף ז' ונראה דכל הדינים שייכי</w:t>
      </w:r>
      <w:r>
        <w:rPr>
          <w:rFonts w:cs="Arial" w:hint="cs"/>
          <w:sz w:val="16"/>
          <w:szCs w:val="16"/>
          <w:rtl/>
        </w:rPr>
        <w:t xml:space="preserve"> הכא גם כן}</w:t>
      </w:r>
      <w:r>
        <w:rPr>
          <w:rFonts w:cs="Arial" w:hint="cs"/>
          <w:rtl/>
        </w:rPr>
        <w:t>...</w:t>
      </w:r>
      <w:r w:rsidRPr="00726398">
        <w:rPr>
          <w:rFonts w:cs="Arial"/>
          <w:rtl/>
        </w:rPr>
        <w:t xml:space="preserve"> ועיין עוד אם גנבו נ"מ של אשה ולא הוחזר עד לאחר מיתה הוה ראוי</w:t>
      </w:r>
      <w:r>
        <w:rPr>
          <w:rFonts w:cs="Arial" w:hint="cs"/>
          <w:rtl/>
        </w:rPr>
        <w:t>.</w:t>
      </w:r>
      <w:r w:rsidRPr="00726398">
        <w:rPr>
          <w:rFonts w:cs="Arial"/>
          <w:rtl/>
        </w:rPr>
        <w:t xml:space="preserve"> ואם גזלו קרקע אינה נגזלת וכן אם גנבו ספרים עיין בח"מ סי' הנ"ל</w:t>
      </w:r>
      <w:r>
        <w:rPr>
          <w:rFonts w:cs="Arial" w:hint="cs"/>
          <w:rtl/>
        </w:rPr>
        <w:t>.</w:t>
      </w:r>
      <w:r w:rsidRPr="00726398">
        <w:rPr>
          <w:rFonts w:cs="Arial"/>
          <w:rtl/>
        </w:rPr>
        <w:t xml:space="preserve"> ושכר פעולה שלא גבתה קודם מיתה מיקרי ראוי</w:t>
      </w:r>
      <w:r>
        <w:rPr>
          <w:rFonts w:cs="Arial" w:hint="cs"/>
          <w:rtl/>
        </w:rPr>
        <w:t xml:space="preserve">, </w:t>
      </w:r>
      <w:r w:rsidRPr="00CE0903">
        <w:rPr>
          <w:rFonts w:cs="Arial" w:hint="cs"/>
          <w:b/>
          <w:bCs/>
          <w:rtl/>
        </w:rPr>
        <w:t>ח"מ</w:t>
      </w:r>
      <w:r>
        <w:rPr>
          <w:rFonts w:cs="Arial" w:hint="cs"/>
          <w:rtl/>
        </w:rPr>
        <w:t xml:space="preserve"> (סק"ח).</w:t>
      </w:r>
      <w:r w:rsidRPr="00306D13">
        <w:rPr>
          <w:rtl/>
        </w:rPr>
        <w:t xml:space="preserve"> </w:t>
      </w:r>
      <w:r>
        <w:rPr>
          <w:rFonts w:hint="cs"/>
          <w:rtl/>
        </w:rPr>
        <w:t xml:space="preserve">וכ"כ </w:t>
      </w:r>
      <w:r w:rsidRPr="00CE0903">
        <w:rPr>
          <w:rFonts w:hint="cs"/>
          <w:b/>
          <w:bCs/>
          <w:rtl/>
        </w:rPr>
        <w:t>ה</w:t>
      </w:r>
      <w:r w:rsidRPr="00CE0903">
        <w:rPr>
          <w:rFonts w:cs="Arial" w:hint="cs"/>
          <w:b/>
          <w:bCs/>
          <w:rtl/>
        </w:rPr>
        <w:t>ב"ש</w:t>
      </w:r>
      <w:r>
        <w:rPr>
          <w:rFonts w:cs="Arial" w:hint="cs"/>
          <w:rtl/>
        </w:rPr>
        <w:t xml:space="preserve"> (סק"ט) ד</w:t>
      </w:r>
      <w:r w:rsidRPr="00306D13">
        <w:rPr>
          <w:rFonts w:cs="Arial"/>
          <w:rtl/>
        </w:rPr>
        <w:t>אם יש לה משכ</w:t>
      </w:r>
      <w:r>
        <w:rPr>
          <w:rFonts w:cs="Arial" w:hint="cs"/>
          <w:rtl/>
        </w:rPr>
        <w:t>ו</w:t>
      </w:r>
      <w:r w:rsidRPr="00306D13">
        <w:rPr>
          <w:rFonts w:cs="Arial"/>
          <w:rtl/>
        </w:rPr>
        <w:t>נו</w:t>
      </w:r>
      <w:r>
        <w:rPr>
          <w:rFonts w:cs="Arial" w:hint="cs"/>
          <w:rtl/>
        </w:rPr>
        <w:t>ת</w:t>
      </w:r>
      <w:r w:rsidRPr="00306D13">
        <w:rPr>
          <w:rFonts w:cs="Arial"/>
          <w:rtl/>
        </w:rPr>
        <w:t xml:space="preserve"> של מטלטלין או של קרקע באתרא דלא מסלקי בעל יורש</w:t>
      </w:r>
      <w:r>
        <w:rPr>
          <w:rFonts w:cs="Arial" w:hint="cs"/>
          <w:rtl/>
        </w:rPr>
        <w:t>.</w:t>
      </w:r>
      <w:r w:rsidRPr="00306D13">
        <w:rPr>
          <w:rFonts w:cs="Arial"/>
          <w:rtl/>
        </w:rPr>
        <w:t xml:space="preserve"> הג"א ותשובת רשב"א</w:t>
      </w:r>
      <w:r>
        <w:rPr>
          <w:rFonts w:cs="Arial" w:hint="cs"/>
          <w:rtl/>
        </w:rPr>
        <w:t>.</w:t>
      </w:r>
      <w:r w:rsidRPr="00306D13">
        <w:rPr>
          <w:rFonts w:cs="Arial"/>
          <w:rtl/>
        </w:rPr>
        <w:t xml:space="preserve"> ואין נקרא אתרא דמסלקי אלא כשיכול לסלק בכל עת שירצה</w:t>
      </w:r>
      <w:r>
        <w:rPr>
          <w:rFonts w:cs="Arial" w:hint="cs"/>
          <w:rtl/>
        </w:rPr>
        <w:t>.</w:t>
      </w:r>
      <w:r w:rsidRPr="00306D13">
        <w:rPr>
          <w:rFonts w:cs="Arial"/>
          <w:rtl/>
        </w:rPr>
        <w:t xml:space="preserve"> ואם הוא חייב לה קודם שנשאת</w:t>
      </w:r>
      <w:r>
        <w:rPr>
          <w:rFonts w:cs="Arial" w:hint="cs"/>
          <w:rtl/>
        </w:rPr>
        <w:t>,</w:t>
      </w:r>
      <w:r w:rsidRPr="00306D13">
        <w:rPr>
          <w:rFonts w:cs="Arial"/>
          <w:rtl/>
        </w:rPr>
        <w:t xml:space="preserve"> משמע מתשו' הרשב"א שהביא הב"י כשנשאה זכה בהם ויורש</w:t>
      </w:r>
      <w:r>
        <w:rPr>
          <w:rFonts w:cs="Arial" w:hint="cs"/>
          <w:rtl/>
        </w:rPr>
        <w:t>,</w:t>
      </w:r>
      <w:r w:rsidRPr="00306D13">
        <w:rPr>
          <w:rFonts w:cs="Arial"/>
          <w:rtl/>
        </w:rPr>
        <w:t xml:space="preserve"> אא"כ שכתב דין ודברים אין לי בהם אז יורש החצי</w:t>
      </w:r>
      <w:r>
        <w:rPr>
          <w:rFonts w:cs="Arial" w:hint="cs"/>
          <w:rtl/>
        </w:rPr>
        <w:t>,</w:t>
      </w:r>
      <w:r w:rsidRPr="00306D13">
        <w:rPr>
          <w:rFonts w:cs="Arial"/>
          <w:rtl/>
        </w:rPr>
        <w:t xml:space="preserve"> ולא כמשמעו' בח"מ</w:t>
      </w:r>
      <w:r>
        <w:rPr>
          <w:rFonts w:cs="Arial" w:hint="cs"/>
          <w:rtl/>
        </w:rPr>
        <w:t>...</w:t>
      </w:r>
      <w:r>
        <w:rPr>
          <w:rFonts w:hint="cs"/>
          <w:rtl/>
        </w:rPr>
        <w:t xml:space="preserve"> וכתב עוד הב"ש (סק"י) </w:t>
      </w:r>
      <w:r>
        <w:rPr>
          <w:rFonts w:cs="Arial" w:hint="cs"/>
          <w:rtl/>
        </w:rPr>
        <w:t>ש</w:t>
      </w:r>
      <w:r w:rsidRPr="00306D13">
        <w:rPr>
          <w:rFonts w:cs="Arial"/>
          <w:rtl/>
        </w:rPr>
        <w:t xml:space="preserve">בסי' פ"ה </w:t>
      </w:r>
      <w:r>
        <w:rPr>
          <w:rFonts w:cs="Arial" w:hint="cs"/>
          <w:rtl/>
        </w:rPr>
        <w:t xml:space="preserve">כבר </w:t>
      </w:r>
      <w:r w:rsidRPr="00306D13">
        <w:rPr>
          <w:rFonts w:cs="Arial"/>
          <w:rtl/>
        </w:rPr>
        <w:t>כתב</w:t>
      </w:r>
      <w:r>
        <w:rPr>
          <w:rFonts w:cs="Arial" w:hint="cs"/>
          <w:rtl/>
        </w:rPr>
        <w:t xml:space="preserve"> ד</w:t>
      </w:r>
      <w:r w:rsidRPr="00306D13">
        <w:rPr>
          <w:rFonts w:cs="Arial"/>
          <w:rtl/>
        </w:rPr>
        <w:t>נזק אם לא גבתה מן החובל אינו יורש</w:t>
      </w:r>
      <w:r>
        <w:rPr>
          <w:rFonts w:cs="Arial" w:hint="cs"/>
          <w:rtl/>
        </w:rPr>
        <w:t>.</w:t>
      </w:r>
    </w:p>
  </w:footnote>
  <w:footnote w:id="1213">
    <w:p w14:paraId="06AEECB3" w14:textId="64D6FAF2" w:rsidR="00DE2F5F" w:rsidRDefault="00DE2F5F">
      <w:pPr>
        <w:pStyle w:val="a5"/>
      </w:pPr>
      <w:r>
        <w:rPr>
          <w:rStyle w:val="a7"/>
        </w:rPr>
        <w:footnoteRef/>
      </w:r>
      <w:r>
        <w:rPr>
          <w:rtl/>
        </w:rPr>
        <w:t xml:space="preserve"> </w:t>
      </w:r>
      <w:r w:rsidRPr="0061030C">
        <w:rPr>
          <w:rFonts w:cs="Arial"/>
          <w:rtl/>
        </w:rPr>
        <w:t>היינו דכתב לה דין ודברים אין לי בנכסייך אז יכולה למכור כמ"ש בסי' צ"ב כן יכולה להלות לאחרים אע</w:t>
      </w:r>
      <w:r>
        <w:rPr>
          <w:rFonts w:cs="Arial" w:hint="cs"/>
          <w:rtl/>
        </w:rPr>
        <w:t>"</w:t>
      </w:r>
      <w:r w:rsidRPr="0061030C">
        <w:rPr>
          <w:rFonts w:cs="Arial"/>
          <w:rtl/>
        </w:rPr>
        <w:t>ג כל זמן שלא הלותה יש לו פירו</w:t>
      </w:r>
      <w:r>
        <w:rPr>
          <w:rFonts w:cs="Arial" w:hint="cs"/>
          <w:rtl/>
        </w:rPr>
        <w:t>ת</w:t>
      </w:r>
      <w:r w:rsidRPr="0061030C">
        <w:rPr>
          <w:rFonts w:cs="Arial"/>
          <w:rtl/>
        </w:rPr>
        <w:t xml:space="preserve"> מ"מ יכולה להלות ואינו יורש המלו</w:t>
      </w:r>
      <w:r>
        <w:rPr>
          <w:rFonts w:cs="Arial" w:hint="cs"/>
          <w:rtl/>
        </w:rPr>
        <w:t>ה.</w:t>
      </w:r>
      <w:r w:rsidRPr="0061030C">
        <w:rPr>
          <w:rFonts w:cs="Arial"/>
          <w:rtl/>
        </w:rPr>
        <w:t xml:space="preserve"> ובח"מ מסופק באלו דינים שנתבאר בסי' פ"ה דאין לו פירו</w:t>
      </w:r>
      <w:r>
        <w:rPr>
          <w:rFonts w:cs="Arial" w:hint="cs"/>
          <w:rtl/>
        </w:rPr>
        <w:t>ת</w:t>
      </w:r>
      <w:r w:rsidRPr="0061030C">
        <w:rPr>
          <w:rFonts w:cs="Arial"/>
          <w:rtl/>
        </w:rPr>
        <w:t xml:space="preserve"> אם יורש הלואה שהלות</w:t>
      </w:r>
      <w:r>
        <w:rPr>
          <w:rFonts w:cs="Arial" w:hint="cs"/>
          <w:rtl/>
        </w:rPr>
        <w:t>ה.</w:t>
      </w:r>
      <w:r w:rsidRPr="0061030C">
        <w:rPr>
          <w:rFonts w:cs="Arial"/>
          <w:rtl/>
        </w:rPr>
        <w:t xml:space="preserve"> ושם מבואר בשלשה דברים אין לבעל פירות</w:t>
      </w:r>
      <w:r>
        <w:rPr>
          <w:rFonts w:cs="Arial" w:hint="cs"/>
          <w:rtl/>
        </w:rPr>
        <w:t>:</w:t>
      </w:r>
      <w:r w:rsidRPr="0061030C">
        <w:rPr>
          <w:rFonts w:cs="Arial"/>
          <w:rtl/>
        </w:rPr>
        <w:t xml:space="preserve"> א'</w:t>
      </w:r>
      <w:r>
        <w:rPr>
          <w:rFonts w:cs="Arial" w:hint="cs"/>
          <w:rtl/>
        </w:rPr>
        <w:t>,</w:t>
      </w:r>
      <w:r w:rsidRPr="0061030C">
        <w:rPr>
          <w:rFonts w:cs="Arial"/>
          <w:rtl/>
        </w:rPr>
        <w:t xml:space="preserve"> במברחת</w:t>
      </w:r>
      <w:r>
        <w:rPr>
          <w:rFonts w:cs="Arial" w:hint="cs"/>
          <w:rtl/>
        </w:rPr>
        <w:t>,</w:t>
      </w:r>
      <w:r w:rsidRPr="0061030C">
        <w:rPr>
          <w:rFonts w:cs="Arial"/>
          <w:rtl/>
        </w:rPr>
        <w:t xml:space="preserve"> ושם מכירת</w:t>
      </w:r>
      <w:r>
        <w:rPr>
          <w:rFonts w:cs="Arial" w:hint="cs"/>
          <w:rtl/>
        </w:rPr>
        <w:t>ה</w:t>
      </w:r>
      <w:r w:rsidRPr="0061030C">
        <w:rPr>
          <w:rFonts w:cs="Arial"/>
          <w:rtl/>
        </w:rPr>
        <w:t xml:space="preserve"> קיימת והפירות הם של המקבל מתנה</w:t>
      </w:r>
      <w:r>
        <w:rPr>
          <w:rFonts w:cs="Arial" w:hint="cs"/>
          <w:rtl/>
        </w:rPr>
        <w:t>,</w:t>
      </w:r>
      <w:r w:rsidRPr="0061030C">
        <w:rPr>
          <w:rFonts w:cs="Arial"/>
          <w:rtl/>
        </w:rPr>
        <w:t xml:space="preserve"> א"כ אין לספק בזה</w:t>
      </w:r>
      <w:r>
        <w:rPr>
          <w:rFonts w:cs="Arial" w:hint="cs"/>
          <w:rtl/>
        </w:rPr>
        <w:t>.</w:t>
      </w:r>
      <w:r w:rsidRPr="0061030C">
        <w:rPr>
          <w:rFonts w:cs="Arial"/>
          <w:rtl/>
        </w:rPr>
        <w:t xml:space="preserve"> השני</w:t>
      </w:r>
      <w:r>
        <w:rPr>
          <w:rFonts w:cs="Arial" w:hint="cs"/>
          <w:rtl/>
        </w:rPr>
        <w:t>,</w:t>
      </w:r>
      <w:r w:rsidRPr="0061030C">
        <w:rPr>
          <w:rFonts w:cs="Arial"/>
          <w:rtl/>
        </w:rPr>
        <w:t xml:space="preserve"> במוכרת כתובת</w:t>
      </w:r>
      <w:r>
        <w:rPr>
          <w:rFonts w:cs="Arial" w:hint="cs"/>
          <w:rtl/>
        </w:rPr>
        <w:t>ה</w:t>
      </w:r>
      <w:r w:rsidRPr="0061030C">
        <w:rPr>
          <w:rFonts w:cs="Arial"/>
          <w:rtl/>
        </w:rPr>
        <w:t xml:space="preserve"> בטובת הנא</w:t>
      </w:r>
      <w:r>
        <w:rPr>
          <w:rFonts w:cs="Arial" w:hint="cs"/>
          <w:rtl/>
        </w:rPr>
        <w:t>ה,</w:t>
      </w:r>
      <w:r w:rsidRPr="0061030C">
        <w:rPr>
          <w:rFonts w:cs="Arial"/>
          <w:rtl/>
        </w:rPr>
        <w:t xml:space="preserve"> ושם כתב הח"מ סקי"ח בפשיטו</w:t>
      </w:r>
      <w:r>
        <w:rPr>
          <w:rFonts w:cs="Arial" w:hint="cs"/>
          <w:rtl/>
        </w:rPr>
        <w:t>ת</w:t>
      </w:r>
      <w:r w:rsidRPr="0061030C">
        <w:rPr>
          <w:rFonts w:cs="Arial"/>
          <w:rtl/>
        </w:rPr>
        <w:t xml:space="preserve"> דרשאי ליתן הדמים למי שתרצ</w:t>
      </w:r>
      <w:r>
        <w:rPr>
          <w:rFonts w:cs="Arial" w:hint="cs"/>
          <w:rtl/>
        </w:rPr>
        <w:t>ה,</w:t>
      </w:r>
      <w:r w:rsidRPr="0061030C">
        <w:rPr>
          <w:rFonts w:cs="Arial"/>
          <w:rtl/>
        </w:rPr>
        <w:t xml:space="preserve"> א"כ הלואת</w:t>
      </w:r>
      <w:r>
        <w:rPr>
          <w:rFonts w:cs="Arial" w:hint="cs"/>
          <w:rtl/>
        </w:rPr>
        <w:t>ה</w:t>
      </w:r>
      <w:r w:rsidRPr="0061030C">
        <w:rPr>
          <w:rFonts w:cs="Arial"/>
          <w:rtl/>
        </w:rPr>
        <w:t xml:space="preserve"> ג"כ קיימת</w:t>
      </w:r>
      <w:r>
        <w:rPr>
          <w:rFonts w:cs="Arial" w:hint="cs"/>
          <w:rtl/>
        </w:rPr>
        <w:t>.</w:t>
      </w:r>
      <w:r w:rsidRPr="0061030C">
        <w:rPr>
          <w:rFonts w:cs="Arial"/>
          <w:rtl/>
        </w:rPr>
        <w:t xml:space="preserve"> השלישי</w:t>
      </w:r>
      <w:r>
        <w:rPr>
          <w:rFonts w:cs="Arial" w:hint="cs"/>
          <w:rtl/>
        </w:rPr>
        <w:t>,</w:t>
      </w:r>
      <w:r w:rsidRPr="0061030C">
        <w:rPr>
          <w:rFonts w:cs="Arial"/>
          <w:rtl/>
        </w:rPr>
        <w:t xml:space="preserve"> כשנתן הבעל מתנו</w:t>
      </w:r>
      <w:r>
        <w:rPr>
          <w:rFonts w:cs="Arial" w:hint="cs"/>
          <w:rtl/>
        </w:rPr>
        <w:t>ת</w:t>
      </w:r>
      <w:r w:rsidRPr="0061030C">
        <w:rPr>
          <w:rFonts w:cs="Arial"/>
          <w:rtl/>
        </w:rPr>
        <w:t xml:space="preserve"> לאשתו אחר הנשואין</w:t>
      </w:r>
      <w:r>
        <w:rPr>
          <w:rFonts w:cs="Arial" w:hint="cs"/>
          <w:rtl/>
        </w:rPr>
        <w:t>,</w:t>
      </w:r>
      <w:r w:rsidRPr="0061030C">
        <w:rPr>
          <w:rFonts w:cs="Arial"/>
          <w:rtl/>
        </w:rPr>
        <w:t xml:space="preserve"> ובזה יש לו פירות היינו דמוכרים הפירות ולוקחי</w:t>
      </w:r>
      <w:r>
        <w:rPr>
          <w:rFonts w:cs="Arial" w:hint="cs"/>
          <w:rtl/>
        </w:rPr>
        <w:t>ם</w:t>
      </w:r>
      <w:r w:rsidRPr="0061030C">
        <w:rPr>
          <w:rFonts w:cs="Arial"/>
          <w:rtl/>
        </w:rPr>
        <w:t xml:space="preserve"> בהם קרקע והפירות מן הקרקע שלו הם</w:t>
      </w:r>
      <w:r>
        <w:rPr>
          <w:rFonts w:cs="Arial" w:hint="cs"/>
          <w:rtl/>
        </w:rPr>
        <w:t>,</w:t>
      </w:r>
      <w:r w:rsidRPr="0061030C">
        <w:rPr>
          <w:rFonts w:cs="Arial"/>
          <w:rtl/>
        </w:rPr>
        <w:t xml:space="preserve"> ממילא הלואת</w:t>
      </w:r>
      <w:r>
        <w:rPr>
          <w:rFonts w:cs="Arial" w:hint="cs"/>
          <w:rtl/>
        </w:rPr>
        <w:t>ה</w:t>
      </w:r>
      <w:r w:rsidRPr="0061030C">
        <w:rPr>
          <w:rFonts w:cs="Arial"/>
          <w:rtl/>
        </w:rPr>
        <w:t xml:space="preserve"> בטל דהא כשיש לו פירו</w:t>
      </w:r>
      <w:r>
        <w:rPr>
          <w:rFonts w:cs="Arial" w:hint="cs"/>
          <w:rtl/>
        </w:rPr>
        <w:t>ת</w:t>
      </w:r>
      <w:r w:rsidRPr="0061030C">
        <w:rPr>
          <w:rFonts w:cs="Arial"/>
          <w:rtl/>
        </w:rPr>
        <w:t xml:space="preserve"> אף לדעת הח"מ הלואת</w:t>
      </w:r>
      <w:r>
        <w:rPr>
          <w:rFonts w:cs="Arial" w:hint="cs"/>
          <w:rtl/>
        </w:rPr>
        <w:t>ה</w:t>
      </w:r>
      <w:r w:rsidRPr="0061030C">
        <w:rPr>
          <w:rFonts w:cs="Arial"/>
          <w:rtl/>
        </w:rPr>
        <w:t xml:space="preserve"> בטל</w:t>
      </w:r>
      <w:r>
        <w:rPr>
          <w:rFonts w:cs="Arial" w:hint="cs"/>
          <w:rtl/>
        </w:rPr>
        <w:t>.</w:t>
      </w:r>
      <w:r w:rsidRPr="0061030C">
        <w:rPr>
          <w:rFonts w:cs="Arial"/>
          <w:rtl/>
        </w:rPr>
        <w:t xml:space="preserve"> וא"י במה הוא מסופק</w:t>
      </w:r>
      <w:r>
        <w:rPr>
          <w:rFonts w:cs="Arial" w:hint="cs"/>
          <w:rtl/>
        </w:rPr>
        <w:t>.</w:t>
      </w:r>
      <w:r w:rsidRPr="0061030C">
        <w:rPr>
          <w:rFonts w:cs="Arial"/>
          <w:rtl/>
        </w:rPr>
        <w:t xml:space="preserve"> ועיין סי' קי"א סעיף ט'</w:t>
      </w:r>
      <w:r>
        <w:rPr>
          <w:rFonts w:cs="Arial" w:hint="cs"/>
          <w:rtl/>
        </w:rPr>
        <w:t>, ב"ש (סקי"ב).</w:t>
      </w:r>
    </w:p>
  </w:footnote>
  <w:footnote w:id="1214">
    <w:p w14:paraId="1F3E21CC" w14:textId="4E52BB7B" w:rsidR="00DE2F5F" w:rsidRDefault="00DE2F5F">
      <w:pPr>
        <w:pStyle w:val="a5"/>
        <w:rPr>
          <w:rtl/>
        </w:rPr>
      </w:pPr>
      <w:r>
        <w:rPr>
          <w:rStyle w:val="a7"/>
        </w:rPr>
        <w:footnoteRef/>
      </w:r>
      <w:r>
        <w:rPr>
          <w:rtl/>
        </w:rPr>
        <w:t xml:space="preserve"> </w:t>
      </w:r>
      <w:r w:rsidRPr="00BE3E06">
        <w:rPr>
          <w:rFonts w:cs="Arial"/>
          <w:rtl/>
        </w:rPr>
        <w:t>בח"מ סימן רמ"ח כתב הטור אבל אם אין זרע אין שאר יורשים כגון אחי אביה וכו' עומדים במקומה ליטול ובב"י הניח הדבר בצ"ע שם ועיין בסמ"ע שם ואין להאריך כאן במה שאינו שייך לדיני נשים</w:t>
      </w:r>
      <w:r>
        <w:rPr>
          <w:rFonts w:hint="cs"/>
          <w:rtl/>
        </w:rPr>
        <w:t>, ח"מ (סק"י).</w:t>
      </w:r>
    </w:p>
  </w:footnote>
  <w:footnote w:id="1215">
    <w:p w14:paraId="49306449" w14:textId="77777777" w:rsidR="00A31F60" w:rsidRDefault="00A31F60" w:rsidP="00A31F60">
      <w:pPr>
        <w:pStyle w:val="a5"/>
      </w:pPr>
      <w:r>
        <w:rPr>
          <w:rStyle w:val="a7"/>
        </w:rPr>
        <w:footnoteRef/>
      </w:r>
      <w:r>
        <w:rPr>
          <w:rtl/>
        </w:rPr>
        <w:t xml:space="preserve"> </w:t>
      </w:r>
      <w:r w:rsidRPr="006E6DA2">
        <w:rPr>
          <w:rFonts w:cs="Arial"/>
          <w:rtl/>
        </w:rPr>
        <w:t>אבל אם אמר מעכשיו לפלוני ואחריו לבתי לא מהני מלת מעכשיו שאמר לראשון ע' ב"ח ודרישה</w:t>
      </w:r>
      <w:r>
        <w:rPr>
          <w:rFonts w:cs="Arial" w:hint="cs"/>
          <w:rtl/>
        </w:rPr>
        <w:t>, ב"ש (סקי"ד).</w:t>
      </w:r>
    </w:p>
  </w:footnote>
  <w:footnote w:id="1216">
    <w:p w14:paraId="4CE4A97F" w14:textId="4BDDA695" w:rsidR="00DE2F5F" w:rsidRDefault="00DE2F5F">
      <w:pPr>
        <w:pStyle w:val="a5"/>
      </w:pPr>
      <w:r>
        <w:rPr>
          <w:rStyle w:val="a7"/>
        </w:rPr>
        <w:footnoteRef/>
      </w:r>
      <w:r>
        <w:rPr>
          <w:rtl/>
        </w:rPr>
        <w:t xml:space="preserve"> </w:t>
      </w:r>
      <w:r w:rsidRPr="00C84EDD">
        <w:rPr>
          <w:rFonts w:cs="Arial"/>
          <w:rtl/>
        </w:rPr>
        <w:t>ועיין בדגמ</w:t>
      </w:r>
      <w:r>
        <w:rPr>
          <w:rFonts w:cs="Arial" w:hint="cs"/>
          <w:rtl/>
        </w:rPr>
        <w:t>"</w:t>
      </w:r>
      <w:r w:rsidRPr="00C84EDD">
        <w:rPr>
          <w:rFonts w:cs="Arial"/>
          <w:rtl/>
        </w:rPr>
        <w:t>ר שכ' דבת</w:t>
      </w:r>
      <w:r>
        <w:rPr>
          <w:rFonts w:cs="Arial" w:hint="cs"/>
          <w:rtl/>
        </w:rPr>
        <w:t>רו</w:t>
      </w:r>
      <w:r w:rsidRPr="00C84EDD">
        <w:rPr>
          <w:rFonts w:cs="Arial"/>
          <w:rtl/>
        </w:rPr>
        <w:t>ה"ד סי</w:t>
      </w:r>
      <w:r>
        <w:rPr>
          <w:rFonts w:cs="Arial" w:hint="cs"/>
          <w:rtl/>
        </w:rPr>
        <w:t>'</w:t>
      </w:r>
      <w:r w:rsidRPr="00C84EDD">
        <w:rPr>
          <w:rFonts w:cs="Arial"/>
          <w:rtl/>
        </w:rPr>
        <w:t xml:space="preserve"> ש"ן משמע שדינו כמלו</w:t>
      </w:r>
      <w:r>
        <w:rPr>
          <w:rFonts w:cs="Arial" w:hint="cs"/>
          <w:rtl/>
        </w:rPr>
        <w:t>ה,</w:t>
      </w:r>
      <w:r w:rsidRPr="00C84EDD">
        <w:rPr>
          <w:rFonts w:cs="Arial"/>
          <w:rtl/>
        </w:rPr>
        <w:t xml:space="preserve"> ואמנם בחפץ מסויים ודאי יורש הבעל ע"ש</w:t>
      </w:r>
      <w:r>
        <w:rPr>
          <w:rFonts w:cs="Arial" w:hint="cs"/>
          <w:rtl/>
        </w:rPr>
        <w:t>.</w:t>
      </w:r>
      <w:r w:rsidRPr="00C84EDD">
        <w:rPr>
          <w:rFonts w:cs="Arial"/>
          <w:rtl/>
        </w:rPr>
        <w:t xml:space="preserve"> ועיין בתשו' שב יעקב סימן כ"ו</w:t>
      </w:r>
      <w:r>
        <w:rPr>
          <w:rFonts w:cs="Arial" w:hint="cs"/>
          <w:rtl/>
        </w:rPr>
        <w:t>, פת"ש (סק"ה).</w:t>
      </w:r>
    </w:p>
  </w:footnote>
  <w:footnote w:id="1217">
    <w:p w14:paraId="01FACC70" w14:textId="6F4288B6" w:rsidR="00DE2F5F" w:rsidRDefault="00DE2F5F">
      <w:pPr>
        <w:pStyle w:val="a5"/>
      </w:pPr>
      <w:r>
        <w:rPr>
          <w:rStyle w:val="a7"/>
        </w:rPr>
        <w:footnoteRef/>
      </w:r>
      <w:r>
        <w:rPr>
          <w:rtl/>
        </w:rPr>
        <w:t xml:space="preserve"> </w:t>
      </w:r>
      <w:r w:rsidRPr="00BE3E06">
        <w:rPr>
          <w:rFonts w:cs="Arial"/>
          <w:rtl/>
        </w:rPr>
        <w:t>ע' סי' ס"א שם מבואר דסבירא ליה לרמב"ם הכונס נדה אל ירשנ' ולכאורה קשה מ"ש מחייבי לאוין דהא בנדה נמי קידושי' תופסין בה אלא החופה לא חזיא לביאה ועיין בדריש' תירץ שם אין בדעתו לבוא עליה בנדת' הוי לדידי' חופה דלא חזיא ביאה משא"כ בחייבי לאוין דדעתו לבא עליה הוי חופה דחזיא לביאה ויורש אותה</w:t>
      </w:r>
      <w:r>
        <w:rPr>
          <w:rFonts w:cs="Arial" w:hint="cs"/>
          <w:rtl/>
        </w:rPr>
        <w:t>, ב"ש (סקט"ו).</w:t>
      </w:r>
    </w:p>
  </w:footnote>
  <w:footnote w:id="1218">
    <w:p w14:paraId="2932C4C6" w14:textId="0A74489E" w:rsidR="002D767B" w:rsidRDefault="002D767B">
      <w:pPr>
        <w:pStyle w:val="a5"/>
      </w:pPr>
      <w:r>
        <w:rPr>
          <w:rStyle w:val="a7"/>
        </w:rPr>
        <w:footnoteRef/>
      </w:r>
      <w:r>
        <w:rPr>
          <w:rtl/>
        </w:rPr>
        <w:t xml:space="preserve"> </w:t>
      </w:r>
      <w:r>
        <w:rPr>
          <w:rFonts w:hint="cs"/>
          <w:rtl/>
        </w:rPr>
        <w:t>סימן - קטנה איננה.</w:t>
      </w:r>
    </w:p>
  </w:footnote>
  <w:footnote w:id="1219">
    <w:p w14:paraId="5A2DA84F" w14:textId="60803837" w:rsidR="00DE2F5F" w:rsidRDefault="00DE2F5F">
      <w:pPr>
        <w:pStyle w:val="a5"/>
        <w:rPr>
          <w:rtl/>
        </w:rPr>
      </w:pPr>
      <w:r>
        <w:rPr>
          <w:rStyle w:val="a7"/>
        </w:rPr>
        <w:footnoteRef/>
      </w:r>
      <w:r>
        <w:rPr>
          <w:rtl/>
        </w:rPr>
        <w:t xml:space="preserve"> </w:t>
      </w:r>
      <w:r>
        <w:rPr>
          <w:rFonts w:hint="cs"/>
          <w:rtl/>
        </w:rPr>
        <w:t>כמבואר בפ"ד מהל' אישות (ה"ז), וז"ל הרמב"ם שם-</w:t>
      </w:r>
      <w:r w:rsidRPr="002172B8">
        <w:rPr>
          <w:rtl/>
        </w:rPr>
        <w:t xml:space="preserve"> </w:t>
      </w:r>
      <w:r w:rsidRPr="002172B8">
        <w:rPr>
          <w:rFonts w:cs="Arial"/>
          <w:rtl/>
        </w:rPr>
        <w:t>קטן שקידש אין קידושיו קידושין, אבל גדול שקידש את הקטנה היתומה או קטנה שיצאת מרשות אב, אם היתה פחותה מבת שש אע</w:t>
      </w:r>
      <w:r>
        <w:rPr>
          <w:rFonts w:cs="Arial" w:hint="cs"/>
          <w:rtl/>
        </w:rPr>
        <w:t>"</w:t>
      </w:r>
      <w:r w:rsidRPr="002172B8">
        <w:rPr>
          <w:rFonts w:cs="Arial"/>
          <w:rtl/>
        </w:rPr>
        <w:t>פ שהיא נבונת לחש ביותר ומכרת ומבחנת אין כאן שם קידושין ואינה צריכה למאן, ואם היתה מבת עשר ומעלה אע</w:t>
      </w:r>
      <w:r>
        <w:rPr>
          <w:rFonts w:cs="Arial" w:hint="cs"/>
          <w:rtl/>
        </w:rPr>
        <w:t>"</w:t>
      </w:r>
      <w:r w:rsidRPr="002172B8">
        <w:rPr>
          <w:rFonts w:cs="Arial"/>
          <w:rtl/>
        </w:rPr>
        <w:t>פ שהיא סכלה ביותר הואיל ונתקדשה לדעתה הרי זו מקודשת למיאון. היתה מבת שש עד סוף עשר בודקין את יופי דעתה, אם מבחנת ומכרת עסקי הנישואין והקידושין צריכה למאן, ואם לאו אינה מתקדשת למיאון ואינה צריכה למאן.</w:t>
      </w:r>
    </w:p>
  </w:footnote>
  <w:footnote w:id="1220">
    <w:p w14:paraId="32728863" w14:textId="1D7D1A68" w:rsidR="00DE2F5F" w:rsidRDefault="00DE2F5F">
      <w:pPr>
        <w:pStyle w:val="a5"/>
      </w:pPr>
      <w:r>
        <w:rPr>
          <w:rStyle w:val="a7"/>
        </w:rPr>
        <w:footnoteRef/>
      </w:r>
      <w:r>
        <w:rPr>
          <w:rtl/>
        </w:rPr>
        <w:t xml:space="preserve"> </w:t>
      </w:r>
      <w:r w:rsidRPr="00015C7E">
        <w:rPr>
          <w:rFonts w:cs="Arial" w:hint="cs"/>
          <w:rtl/>
        </w:rPr>
        <w:t>אפילו נתפקחה, רמב"ם (פ"א מנחלות ה"ט</w:t>
      </w:r>
      <w:r>
        <w:rPr>
          <w:rFonts w:cs="Arial" w:hint="cs"/>
          <w:rtl/>
        </w:rPr>
        <w:t>, הביאו הב"י בבדה"ב</w:t>
      </w:r>
      <w:r w:rsidRPr="00015C7E">
        <w:rPr>
          <w:rFonts w:cs="Arial" w:hint="cs"/>
          <w:rtl/>
        </w:rPr>
        <w:t>)</w:t>
      </w:r>
      <w:r>
        <w:rPr>
          <w:rFonts w:hint="cs"/>
          <w:rtl/>
        </w:rPr>
        <w:t>.</w:t>
      </w:r>
      <w:r w:rsidRPr="00015C7E">
        <w:rPr>
          <w:rFonts w:hint="cs"/>
          <w:color w:val="E36C0A" w:themeColor="accent6" w:themeShade="BF"/>
          <w:rtl/>
        </w:rPr>
        <w:t xml:space="preserve"> </w:t>
      </w:r>
      <w:r w:rsidRPr="001D67C0">
        <w:rPr>
          <w:rFonts w:hint="cs"/>
          <w:color w:val="E36C0A" w:themeColor="accent6" w:themeShade="BF"/>
          <w:rtl/>
        </w:rPr>
        <w:t>(וכ"פ בשו"ע)</w:t>
      </w:r>
    </w:p>
  </w:footnote>
  <w:footnote w:id="1221">
    <w:p w14:paraId="6584EECB" w14:textId="185B27A9" w:rsidR="00DE2F5F" w:rsidRDefault="00DE2F5F">
      <w:pPr>
        <w:pStyle w:val="a5"/>
      </w:pPr>
      <w:r>
        <w:rPr>
          <w:rStyle w:val="a7"/>
        </w:rPr>
        <w:footnoteRef/>
      </w:r>
      <w:r>
        <w:rPr>
          <w:rtl/>
        </w:rPr>
        <w:t xml:space="preserve"> </w:t>
      </w:r>
      <w:r w:rsidRPr="00D9440F">
        <w:rPr>
          <w:rFonts w:cs="Arial"/>
          <w:rtl/>
        </w:rPr>
        <w:t xml:space="preserve">זה למד רבינו ממה שאמרו שאין לה כתובה כנזכר </w:t>
      </w:r>
      <w:r>
        <w:rPr>
          <w:rFonts w:cs="Arial" w:hint="cs"/>
          <w:rtl/>
        </w:rPr>
        <w:t>ב</w:t>
      </w:r>
      <w:r w:rsidRPr="00D9440F">
        <w:rPr>
          <w:rFonts w:cs="Arial"/>
          <w:rtl/>
        </w:rPr>
        <w:t>פי"א (ה"ד) וכשם שאין לה כתובה ממנו כך אינו יורשה והיא אינה בת דעת שתוכל לזכות לו</w:t>
      </w:r>
      <w:r>
        <w:rPr>
          <w:rFonts w:cs="Arial" w:hint="cs"/>
          <w:rtl/>
        </w:rPr>
        <w:t>, הה"מ (פכ"ב מאישות ה"ד).</w:t>
      </w:r>
    </w:p>
  </w:footnote>
  <w:footnote w:id="1222">
    <w:p w14:paraId="57758E7D" w14:textId="0D892449" w:rsidR="00DE2F5F" w:rsidRDefault="00DE2F5F">
      <w:pPr>
        <w:pStyle w:val="a5"/>
        <w:rPr>
          <w:rtl/>
        </w:rPr>
      </w:pPr>
      <w:r>
        <w:rPr>
          <w:rStyle w:val="a7"/>
        </w:rPr>
        <w:footnoteRef/>
      </w:r>
      <w:r>
        <w:rPr>
          <w:rtl/>
        </w:rPr>
        <w:t xml:space="preserve"> </w:t>
      </w:r>
      <w:r w:rsidRPr="00D9440F">
        <w:rPr>
          <w:rFonts w:cs="Arial"/>
          <w:rtl/>
        </w:rPr>
        <w:t>זה לא מצאתי מבואר אבל דברי טעם הם כיון שהיא בת דעת</w:t>
      </w:r>
      <w:r>
        <w:rPr>
          <w:rFonts w:cs="Arial" w:hint="cs"/>
          <w:rtl/>
        </w:rPr>
        <w:t>,</w:t>
      </w:r>
      <w:r w:rsidRPr="001D5AD0">
        <w:rPr>
          <w:rFonts w:cs="Arial" w:hint="cs"/>
          <w:rtl/>
        </w:rPr>
        <w:t xml:space="preserve"> </w:t>
      </w:r>
      <w:r>
        <w:rPr>
          <w:rFonts w:cs="Arial" w:hint="cs"/>
          <w:rtl/>
        </w:rPr>
        <w:t xml:space="preserve">הה"מ (שם). </w:t>
      </w:r>
    </w:p>
  </w:footnote>
  <w:footnote w:id="1223">
    <w:p w14:paraId="53BBCF87" w14:textId="2E62B88A" w:rsidR="00DE2F5F" w:rsidRDefault="00DE2F5F">
      <w:pPr>
        <w:pStyle w:val="a5"/>
      </w:pPr>
      <w:r>
        <w:rPr>
          <w:rStyle w:val="a7"/>
        </w:rPr>
        <w:footnoteRef/>
      </w:r>
      <w:r>
        <w:rPr>
          <w:rtl/>
        </w:rPr>
        <w:t xml:space="preserve"> </w:t>
      </w:r>
      <w:r w:rsidRPr="00E75EC8">
        <w:rPr>
          <w:rFonts w:cs="Arial"/>
          <w:rtl/>
        </w:rPr>
        <w:t>ואפשר שגם הרמב"ם מיירי דוקא כשכתבו לה ב"ד כתובה</w:t>
      </w:r>
      <w:r>
        <w:rPr>
          <w:rFonts w:cs="Arial" w:hint="cs"/>
          <w:rtl/>
        </w:rPr>
        <w:t>,</w:t>
      </w:r>
      <w:r w:rsidRPr="00E75EC8">
        <w:rPr>
          <w:rFonts w:cs="Arial"/>
          <w:rtl/>
        </w:rPr>
        <w:t xml:space="preserve"> ועיין במ"מ לא משמע כן</w:t>
      </w:r>
      <w:r>
        <w:rPr>
          <w:rFonts w:cs="Arial" w:hint="cs"/>
          <w:rtl/>
        </w:rPr>
        <w:t>, ח"מ (סקי"ב).</w:t>
      </w:r>
    </w:p>
  </w:footnote>
  <w:footnote w:id="1224">
    <w:p w14:paraId="4FE642A8" w14:textId="77777777" w:rsidR="00DE2F5F" w:rsidRDefault="00DE2F5F" w:rsidP="00E33D5F">
      <w:pPr>
        <w:pStyle w:val="a5"/>
      </w:pPr>
      <w:r>
        <w:rPr>
          <w:rStyle w:val="a7"/>
        </w:rPr>
        <w:footnoteRef/>
      </w:r>
      <w:r>
        <w:rPr>
          <w:rtl/>
        </w:rPr>
        <w:t xml:space="preserve"> </w:t>
      </w:r>
      <w:r w:rsidRPr="000227AE">
        <w:rPr>
          <w:rFonts w:cs="Arial"/>
          <w:rtl/>
        </w:rPr>
        <w:t>אפילו שלא נבעלה רק שנכנסה לחופה</w:t>
      </w:r>
      <w:r>
        <w:rPr>
          <w:rFonts w:cs="Arial" w:hint="cs"/>
          <w:rtl/>
        </w:rPr>
        <w:t>, כן מבואר מדברי ה</w:t>
      </w:r>
      <w:r w:rsidRPr="000227AE">
        <w:rPr>
          <w:rFonts w:cs="Arial"/>
          <w:rtl/>
        </w:rPr>
        <w:t xml:space="preserve">ב"ש </w:t>
      </w:r>
      <w:r>
        <w:rPr>
          <w:rFonts w:cs="Arial" w:hint="cs"/>
          <w:rtl/>
        </w:rPr>
        <w:t>(</w:t>
      </w:r>
      <w:r w:rsidRPr="000227AE">
        <w:rPr>
          <w:rFonts w:cs="Arial"/>
          <w:rtl/>
        </w:rPr>
        <w:t>סקט"ו</w:t>
      </w:r>
      <w:r>
        <w:rPr>
          <w:rFonts w:cs="Arial" w:hint="cs"/>
          <w:rtl/>
        </w:rPr>
        <w:t>),</w:t>
      </w:r>
      <w:r w:rsidRPr="000227AE">
        <w:rPr>
          <w:rFonts w:cs="Arial"/>
          <w:rtl/>
        </w:rPr>
        <w:t xml:space="preserve"> וכ"כ בס' שעה"מ </w:t>
      </w:r>
      <w:r>
        <w:rPr>
          <w:rFonts w:cs="Arial" w:hint="cs"/>
          <w:rtl/>
        </w:rPr>
        <w:t>(</w:t>
      </w:r>
      <w:r w:rsidRPr="000227AE">
        <w:rPr>
          <w:rFonts w:cs="Arial"/>
          <w:rtl/>
        </w:rPr>
        <w:t>פ"י מה"א בקונ' חופת חתנים סעיף ד</w:t>
      </w:r>
      <w:r>
        <w:rPr>
          <w:rFonts w:cs="Arial" w:hint="cs"/>
          <w:rtl/>
        </w:rPr>
        <w:t>)</w:t>
      </w:r>
      <w:r w:rsidRPr="000227AE">
        <w:rPr>
          <w:rFonts w:cs="Arial"/>
          <w:rtl/>
        </w:rPr>
        <w:t xml:space="preserve"> ע"ש שהאריך בענין זה</w:t>
      </w:r>
      <w:r>
        <w:rPr>
          <w:rFonts w:cs="Arial" w:hint="cs"/>
          <w:rtl/>
        </w:rPr>
        <w:t>, פת"ש (סק"ו).</w:t>
      </w:r>
    </w:p>
  </w:footnote>
  <w:footnote w:id="1225">
    <w:p w14:paraId="4945295E" w14:textId="64DC7411" w:rsidR="00DE2F5F" w:rsidRDefault="00DE2F5F">
      <w:pPr>
        <w:pStyle w:val="a5"/>
      </w:pPr>
      <w:r>
        <w:rPr>
          <w:rStyle w:val="a7"/>
        </w:rPr>
        <w:footnoteRef/>
      </w:r>
      <w:r>
        <w:rPr>
          <w:rtl/>
        </w:rPr>
        <w:t xml:space="preserve"> </w:t>
      </w:r>
      <w:r w:rsidRPr="00E75EC8">
        <w:rPr>
          <w:rFonts w:cs="Arial"/>
          <w:rtl/>
        </w:rPr>
        <w:t>והיינו בלא נתייחד עמה אחר שנתפקחה אבל אם נתפקחה ונתייחד עמה אח"כ הרי היא כאשתו גמורה לכל דבר וכמו שנתבאר למעלה סי' מ"ג וסי' ס"ז</w:t>
      </w:r>
      <w:r>
        <w:rPr>
          <w:rFonts w:cs="Arial" w:hint="cs"/>
          <w:rtl/>
        </w:rPr>
        <w:t>, ח"מ (סקי"א).</w:t>
      </w:r>
    </w:p>
  </w:footnote>
  <w:footnote w:id="1226">
    <w:p w14:paraId="2DE53256" w14:textId="65E119BD" w:rsidR="009A283A" w:rsidRDefault="009A283A">
      <w:pPr>
        <w:pStyle w:val="a5"/>
      </w:pPr>
      <w:r>
        <w:rPr>
          <w:rStyle w:val="a7"/>
        </w:rPr>
        <w:footnoteRef/>
      </w:r>
      <w:r>
        <w:rPr>
          <w:rtl/>
        </w:rPr>
        <w:t xml:space="preserve"> </w:t>
      </w:r>
      <w:r>
        <w:rPr>
          <w:rFonts w:hint="cs"/>
          <w:rtl/>
        </w:rPr>
        <w:t>סימן - התחתנה מדעתה.</w:t>
      </w:r>
    </w:p>
  </w:footnote>
  <w:footnote w:id="1227">
    <w:p w14:paraId="6A866462" w14:textId="5FBCEB2D" w:rsidR="00DE2F5F" w:rsidRDefault="00DE2F5F">
      <w:pPr>
        <w:pStyle w:val="a5"/>
      </w:pPr>
      <w:r>
        <w:rPr>
          <w:rStyle w:val="a7"/>
        </w:rPr>
        <w:footnoteRef/>
      </w:r>
      <w:r>
        <w:rPr>
          <w:rtl/>
        </w:rPr>
        <w:t xml:space="preserve"> </w:t>
      </w:r>
      <w:r w:rsidRPr="00D9440F">
        <w:rPr>
          <w:rFonts w:cs="Arial"/>
          <w:rtl/>
        </w:rPr>
        <w:t>פסק רבינו ספ"ח</w:t>
      </w:r>
      <w:r>
        <w:rPr>
          <w:rFonts w:cs="Arial" w:hint="cs"/>
          <w:rtl/>
        </w:rPr>
        <w:t xml:space="preserve"> </w:t>
      </w:r>
      <w:r w:rsidRPr="00D9440F">
        <w:rPr>
          <w:rFonts w:cs="Arial"/>
          <w:rtl/>
        </w:rPr>
        <w:t>מהלכות תרומות (הט"ז) כדברי רב הונא</w:t>
      </w:r>
      <w:r>
        <w:rPr>
          <w:rFonts w:cs="Arial" w:hint="cs"/>
          <w:rtl/>
        </w:rPr>
        <w:t>,</w:t>
      </w:r>
      <w:r w:rsidRPr="00D9440F">
        <w:rPr>
          <w:rFonts w:cs="Arial"/>
          <w:rtl/>
        </w:rPr>
        <w:t xml:space="preserve"> וכל שכן לענין ממון ירושה</w:t>
      </w:r>
      <w:r>
        <w:rPr>
          <w:rFonts w:cs="Arial" w:hint="cs"/>
          <w:rtl/>
        </w:rPr>
        <w:t>,</w:t>
      </w:r>
      <w:r w:rsidRPr="00D9440F">
        <w:rPr>
          <w:rFonts w:cs="Arial"/>
          <w:rtl/>
        </w:rPr>
        <w:t xml:space="preserve"> שהעמד ממון על חזקתו</w:t>
      </w:r>
      <w:r>
        <w:rPr>
          <w:rFonts w:cs="Arial" w:hint="cs"/>
          <w:rtl/>
        </w:rPr>
        <w:t>.</w:t>
      </w:r>
      <w:r w:rsidRPr="00D9440F">
        <w:rPr>
          <w:rFonts w:cs="Arial"/>
          <w:rtl/>
        </w:rPr>
        <w:t xml:space="preserve"> ולזה כתב רבינו בין בפניו</w:t>
      </w:r>
      <w:r>
        <w:rPr>
          <w:rFonts w:cs="Arial" w:hint="cs"/>
          <w:rtl/>
        </w:rPr>
        <w:t>, הה"מ (שם).</w:t>
      </w:r>
    </w:p>
  </w:footnote>
  <w:footnote w:id="1228">
    <w:p w14:paraId="26D70D76" w14:textId="15D6A44C" w:rsidR="00DE2F5F" w:rsidRDefault="00DE2F5F">
      <w:pPr>
        <w:pStyle w:val="a5"/>
        <w:rPr>
          <w:rtl/>
        </w:rPr>
      </w:pPr>
      <w:r>
        <w:rPr>
          <w:rStyle w:val="a7"/>
        </w:rPr>
        <w:footnoteRef/>
      </w:r>
      <w:r>
        <w:rPr>
          <w:rtl/>
        </w:rPr>
        <w:t xml:space="preserve"> </w:t>
      </w:r>
      <w:r w:rsidRPr="00F7391E">
        <w:rPr>
          <w:rFonts w:cs="Arial"/>
          <w:rtl/>
        </w:rPr>
        <w:t>דהאי דשתק משום דמרתח רתח כן הוא בגמרא</w:t>
      </w:r>
      <w:r>
        <w:rPr>
          <w:rFonts w:hint="cs"/>
          <w:rtl/>
        </w:rPr>
        <w:t>, ח"מ (סקי"ג).</w:t>
      </w:r>
    </w:p>
  </w:footnote>
  <w:footnote w:id="1229">
    <w:p w14:paraId="5CFD588E" w14:textId="5EC3F0AA" w:rsidR="00DE2F5F" w:rsidRDefault="00DE2F5F">
      <w:pPr>
        <w:pStyle w:val="a5"/>
        <w:rPr>
          <w:rtl/>
        </w:rPr>
      </w:pPr>
      <w:r>
        <w:rPr>
          <w:rStyle w:val="a7"/>
        </w:rPr>
        <w:footnoteRef/>
      </w:r>
      <w:r>
        <w:rPr>
          <w:rtl/>
        </w:rPr>
        <w:t xml:space="preserve"> </w:t>
      </w:r>
      <w:r>
        <w:rPr>
          <w:rFonts w:hint="cs"/>
          <w:rtl/>
        </w:rPr>
        <w:t>מי שנתן לאשתו גט על תנאי-...</w:t>
      </w:r>
    </w:p>
  </w:footnote>
  <w:footnote w:id="1230">
    <w:p w14:paraId="732D69B7" w14:textId="27BF0FD7" w:rsidR="00DE2F5F" w:rsidRPr="000D42C8" w:rsidRDefault="00DE2F5F" w:rsidP="002A6C3A">
      <w:pPr>
        <w:pStyle w:val="a5"/>
        <w:rPr>
          <w:rFonts w:cs="Arial"/>
        </w:rPr>
      </w:pPr>
      <w:r>
        <w:rPr>
          <w:rStyle w:val="a7"/>
        </w:rPr>
        <w:footnoteRef/>
      </w:r>
      <w:r>
        <w:rPr>
          <w:rtl/>
        </w:rPr>
        <w:t xml:space="preserve"> </w:t>
      </w:r>
      <w:r w:rsidRPr="0006145B">
        <w:rPr>
          <w:rFonts w:cs="Arial"/>
          <w:rtl/>
        </w:rPr>
        <w:t>ו</w:t>
      </w:r>
      <w:r>
        <w:rPr>
          <w:rFonts w:cs="Arial" w:hint="cs"/>
          <w:rtl/>
        </w:rPr>
        <w:t>כתב הה"מ (שם) ש</w:t>
      </w:r>
      <w:r w:rsidRPr="0006145B">
        <w:rPr>
          <w:rFonts w:cs="Arial"/>
          <w:rtl/>
        </w:rPr>
        <w:t>מדברי ר' זעירא יש ללמוד הפך מדברי ההשגות</w:t>
      </w:r>
      <w:r>
        <w:rPr>
          <w:rFonts w:cs="Arial" w:hint="cs"/>
          <w:rtl/>
        </w:rPr>
        <w:t>,</w:t>
      </w:r>
      <w:r w:rsidRPr="0006145B">
        <w:rPr>
          <w:rFonts w:cs="Arial"/>
          <w:rtl/>
        </w:rPr>
        <w:t xml:space="preserve"> דאם איתא דאפילו בספק מגורשת הבעל יורש</w:t>
      </w:r>
      <w:r>
        <w:rPr>
          <w:rFonts w:cs="Arial" w:hint="cs"/>
          <w:rtl/>
        </w:rPr>
        <w:t>,</w:t>
      </w:r>
      <w:r w:rsidRPr="0006145B">
        <w:rPr>
          <w:rFonts w:cs="Arial"/>
          <w:rtl/>
        </w:rPr>
        <w:t xml:space="preserve"> היכי אמר ר' זעירא זאת אומרת שהיא כאשת איש לכל דבר</w:t>
      </w:r>
      <w:r>
        <w:rPr>
          <w:rFonts w:cs="Arial" w:hint="cs"/>
          <w:rtl/>
        </w:rPr>
        <w:t>?</w:t>
      </w:r>
      <w:r w:rsidRPr="0006145B">
        <w:rPr>
          <w:rFonts w:cs="Arial"/>
          <w:rtl/>
        </w:rPr>
        <w:t xml:space="preserve"> ונמצאת הקושיא ראיה</w:t>
      </w:r>
      <w:r>
        <w:rPr>
          <w:rFonts w:cs="Arial" w:hint="cs"/>
          <w:sz w:val="16"/>
          <w:szCs w:val="16"/>
          <w:rtl/>
        </w:rPr>
        <w:t xml:space="preserve"> {כי אז יוצא שאם אינה אשת איש לכל דבר (היינו ספק מגורשת) </w:t>
      </w:r>
      <w:r w:rsidR="00F97626">
        <w:rPr>
          <w:rFonts w:cs="Arial"/>
          <w:sz w:val="16"/>
          <w:szCs w:val="16"/>
          <w:rtl/>
        </w:rPr>
        <w:t>-</w:t>
      </w:r>
      <w:r>
        <w:rPr>
          <w:rFonts w:cs="Arial" w:hint="cs"/>
          <w:sz w:val="16"/>
          <w:szCs w:val="16"/>
          <w:rtl/>
        </w:rPr>
        <w:t xml:space="preserve"> אינו יורשה, כדעת הרמב"ם}</w:t>
      </w:r>
      <w:r>
        <w:rPr>
          <w:rFonts w:cs="Arial" w:hint="cs"/>
          <w:rtl/>
        </w:rPr>
        <w:t>.</w:t>
      </w:r>
      <w:r w:rsidRPr="0006145B">
        <w:rPr>
          <w:rFonts w:cs="Arial"/>
          <w:rtl/>
        </w:rPr>
        <w:t xml:space="preserve"> ואולי תדחה ותאמר דמשום נדריה אמר כן רבי זעירא</w:t>
      </w:r>
      <w:r>
        <w:rPr>
          <w:rFonts w:cs="Arial" w:hint="cs"/>
          <w:rtl/>
        </w:rPr>
        <w:t>,</w:t>
      </w:r>
      <w:r w:rsidRPr="0006145B">
        <w:rPr>
          <w:rFonts w:cs="Arial"/>
          <w:rtl/>
        </w:rPr>
        <w:t xml:space="preserve"> דודאי אם לא היתה כאשת איש לכל דבר לא היה בעלה זכאי בהפרת נדריה דהויא לה ספיקא דאורייתא ולחומרא</w:t>
      </w:r>
      <w:r>
        <w:rPr>
          <w:rFonts w:cs="Arial" w:hint="cs"/>
          <w:rtl/>
        </w:rPr>
        <w:t>.</w:t>
      </w:r>
      <w:r w:rsidRPr="0006145B">
        <w:rPr>
          <w:rFonts w:cs="Arial"/>
          <w:rtl/>
        </w:rPr>
        <w:t xml:space="preserve"> מ"מ אפילו נאמר כן נדחית ראייתו משם</w:t>
      </w:r>
      <w:r>
        <w:rPr>
          <w:rFonts w:cs="Arial" w:hint="cs"/>
          <w:rtl/>
        </w:rPr>
        <w:t>,</w:t>
      </w:r>
      <w:r w:rsidRPr="0006145B">
        <w:rPr>
          <w:rFonts w:cs="Arial"/>
          <w:rtl/>
        </w:rPr>
        <w:t xml:space="preserve"> דאמינא לך דמשום הכי זכאי בירושתה</w:t>
      </w:r>
      <w:r>
        <w:rPr>
          <w:rFonts w:cs="Arial" w:hint="cs"/>
          <w:rtl/>
        </w:rPr>
        <w:t>,</w:t>
      </w:r>
      <w:r w:rsidRPr="0006145B">
        <w:rPr>
          <w:rFonts w:cs="Arial"/>
          <w:rtl/>
        </w:rPr>
        <w:t xml:space="preserve"> משום דחשבינן לה כאשת איש לכל דבר לדעת הירושלמי ואמרינן הן הן עדי יחוד הן הן עדי ביאה שודאי הוא</w:t>
      </w:r>
      <w:r>
        <w:rPr>
          <w:rFonts w:cs="Arial" w:hint="cs"/>
          <w:rtl/>
        </w:rPr>
        <w:t>.</w:t>
      </w:r>
      <w:r w:rsidRPr="0006145B">
        <w:rPr>
          <w:rFonts w:cs="Arial"/>
          <w:rtl/>
        </w:rPr>
        <w:t xml:space="preserve"> הא בספק </w:t>
      </w:r>
      <w:r>
        <w:rPr>
          <w:rFonts w:cs="Arial" w:hint="cs"/>
          <w:rtl/>
        </w:rPr>
        <w:t xml:space="preserve">- </w:t>
      </w:r>
      <w:r w:rsidRPr="0006145B">
        <w:rPr>
          <w:rFonts w:cs="Arial"/>
          <w:rtl/>
        </w:rPr>
        <w:t>ודאי לא היה זכאי בירושתה</w:t>
      </w:r>
      <w:r>
        <w:rPr>
          <w:rFonts w:cs="Arial" w:hint="cs"/>
          <w:rtl/>
        </w:rPr>
        <w:t>.</w:t>
      </w:r>
      <w:r w:rsidRPr="0006145B">
        <w:rPr>
          <w:rFonts w:cs="Arial"/>
          <w:rtl/>
        </w:rPr>
        <w:t xml:space="preserve"> וזה ברור</w:t>
      </w:r>
      <w:r>
        <w:rPr>
          <w:rFonts w:cs="Arial" w:hint="cs"/>
          <w:rtl/>
        </w:rPr>
        <w:t>.</w:t>
      </w:r>
      <w:r w:rsidRPr="0006145B">
        <w:rPr>
          <w:rFonts w:cs="Arial"/>
          <w:rtl/>
        </w:rPr>
        <w:t xml:space="preserve"> ותדע לך שהרי ודאי בספק קדושין כי ההיא דהתם היאך יירשנה</w:t>
      </w:r>
      <w:r>
        <w:rPr>
          <w:rFonts w:cs="Arial" w:hint="cs"/>
          <w:rtl/>
        </w:rPr>
        <w:t>,</w:t>
      </w:r>
      <w:r w:rsidRPr="0006145B">
        <w:rPr>
          <w:rFonts w:cs="Arial"/>
          <w:rtl/>
        </w:rPr>
        <w:t xml:space="preserve"> והיכי מפקינן ירושתה מחזקת האב בספק</w:t>
      </w:r>
      <w:r>
        <w:rPr>
          <w:rFonts w:cs="Arial" w:hint="cs"/>
          <w:rtl/>
        </w:rPr>
        <w:t>,</w:t>
      </w:r>
      <w:r w:rsidRPr="0006145B">
        <w:rPr>
          <w:rFonts w:cs="Arial"/>
          <w:rtl/>
        </w:rPr>
        <w:t xml:space="preserve"> אלא ודאי טעם הירושלמי שהם סבורים שהיא כאשת איש לכל דבר כנזכר שם</w:t>
      </w:r>
      <w:r>
        <w:rPr>
          <w:rFonts w:cs="Arial" w:hint="cs"/>
          <w:rtl/>
        </w:rPr>
        <w:t>.</w:t>
      </w:r>
      <w:r w:rsidRPr="0006145B">
        <w:rPr>
          <w:rFonts w:cs="Arial"/>
          <w:rtl/>
        </w:rPr>
        <w:t xml:space="preserve"> וזה נראה לי מוכרח בדעת הירושלמי</w:t>
      </w:r>
      <w:r>
        <w:rPr>
          <w:rFonts w:cs="Arial" w:hint="cs"/>
          <w:rtl/>
        </w:rPr>
        <w:t>,</w:t>
      </w:r>
      <w:r w:rsidRPr="0006145B">
        <w:rPr>
          <w:rFonts w:cs="Arial"/>
          <w:rtl/>
        </w:rPr>
        <w:t xml:space="preserve"> ונסתלקה ההשגה</w:t>
      </w:r>
      <w:r>
        <w:rPr>
          <w:rFonts w:cs="Arial" w:hint="cs"/>
          <w:rtl/>
        </w:rPr>
        <w:t>,</w:t>
      </w:r>
      <w:r w:rsidRPr="0006145B">
        <w:rPr>
          <w:rFonts w:cs="Arial"/>
          <w:rtl/>
        </w:rPr>
        <w:t xml:space="preserve"> ונשאר דינו של רבינו קיים ונכון</w:t>
      </w:r>
      <w:r>
        <w:rPr>
          <w:rFonts w:cs="Arial" w:hint="cs"/>
          <w:rtl/>
        </w:rPr>
        <w:t>.</w:t>
      </w:r>
      <w:r w:rsidRPr="0006145B">
        <w:rPr>
          <w:rFonts w:cs="Arial"/>
          <w:rtl/>
        </w:rPr>
        <w:t xml:space="preserve"> ומצאתי אח"כ שדבר זה מחלוקת בין הגאונים ז"ל</w:t>
      </w:r>
      <w:r>
        <w:rPr>
          <w:rFonts w:cs="Arial" w:hint="cs"/>
          <w:rtl/>
        </w:rPr>
        <w:t>. עכ"ל הה"מ. וכתב הב"ש (סק"כ) דמכיון שהיא גם מחלוקת גאונים (שאז יש עוד דס"ל כהראב"ד) אז</w:t>
      </w:r>
      <w:r w:rsidRPr="00E72183">
        <w:rPr>
          <w:rFonts w:cs="Arial"/>
          <w:rtl/>
        </w:rPr>
        <w:t xml:space="preserve"> מהני ע</w:t>
      </w:r>
      <w:r>
        <w:rPr>
          <w:rFonts w:cs="Arial" w:hint="cs"/>
          <w:rtl/>
        </w:rPr>
        <w:t xml:space="preserve">ל כל </w:t>
      </w:r>
      <w:r w:rsidRPr="00E72183">
        <w:rPr>
          <w:rFonts w:cs="Arial"/>
          <w:rtl/>
        </w:rPr>
        <w:t>פ</w:t>
      </w:r>
      <w:r>
        <w:rPr>
          <w:rFonts w:cs="Arial" w:hint="cs"/>
          <w:rtl/>
        </w:rPr>
        <w:t>נים</w:t>
      </w:r>
      <w:r w:rsidRPr="00E72183">
        <w:rPr>
          <w:rFonts w:cs="Arial"/>
          <w:rtl/>
        </w:rPr>
        <w:t xml:space="preserve"> תפיסת הבעל</w:t>
      </w:r>
      <w:r>
        <w:rPr>
          <w:rFonts w:cs="Arial" w:hint="cs"/>
          <w:rtl/>
        </w:rPr>
        <w:t>.</w:t>
      </w:r>
    </w:p>
  </w:footnote>
  <w:footnote w:id="1231">
    <w:p w14:paraId="2E812C69" w14:textId="4A5D694A" w:rsidR="00DE2F5F" w:rsidRDefault="00DE2F5F">
      <w:pPr>
        <w:pStyle w:val="a5"/>
      </w:pPr>
      <w:r>
        <w:rPr>
          <w:rStyle w:val="a7"/>
        </w:rPr>
        <w:footnoteRef/>
      </w:r>
      <w:r>
        <w:rPr>
          <w:rtl/>
        </w:rPr>
        <w:t xml:space="preserve"> </w:t>
      </w:r>
      <w:r>
        <w:rPr>
          <w:rFonts w:hint="cs"/>
          <w:rtl/>
        </w:rPr>
        <w:t xml:space="preserve">יש לי מעט מבוכה בעניין זה. הב"י לא הביא, לא את דברי הרמב"ם, לא את דברי הראב"ד ולא את דברי הה"מ (והגמרות שהביא להוכחת הדברים כנ"ל) בנושא ספק גירושין. אלא הביא רק את דברי הרשב"ם והרא"ש בעניין נתן דעתו לגרשה. ויש לחקור האם הרא"ש והטור חולקים עם הרמב"ם (שהרי כתבו בלשון די ברורה שלא כדעת הרמב"ם), או לא. ואכן הח"מ (סקי"ד) כתב שהרא"ש והטור חולקים על דברי הרמב"ם והשו"ע (שפסק כהרמב"ם). ובאה"ג (אות מ) כתב שלא מצא מוצא לדין זה והעמיד שמה שהשו"ע כתב שאינו יורשה, היינו </w:t>
      </w:r>
      <w:r>
        <w:rPr>
          <w:rFonts w:cs="Arial" w:hint="cs"/>
          <w:rtl/>
        </w:rPr>
        <w:t>ב</w:t>
      </w:r>
      <w:r w:rsidRPr="00DB2DC5">
        <w:rPr>
          <w:rFonts w:cs="Arial"/>
          <w:rtl/>
        </w:rPr>
        <w:t>נכסי</w:t>
      </w:r>
      <w:r>
        <w:rPr>
          <w:rFonts w:cs="Arial" w:hint="cs"/>
          <w:rtl/>
        </w:rPr>
        <w:t>ם</w:t>
      </w:r>
      <w:r w:rsidRPr="00DB2DC5">
        <w:rPr>
          <w:rFonts w:cs="Arial"/>
          <w:rtl/>
        </w:rPr>
        <w:t xml:space="preserve"> שהן בחזקת האשה</w:t>
      </w:r>
      <w:r>
        <w:rPr>
          <w:rFonts w:cs="Arial" w:hint="cs"/>
          <w:rtl/>
        </w:rPr>
        <w:t>.</w:t>
      </w:r>
      <w:r w:rsidRPr="00DB2DC5">
        <w:rPr>
          <w:rFonts w:cs="Arial"/>
          <w:rtl/>
        </w:rPr>
        <w:t xml:space="preserve"> אבל הנכסים שהן בחזקת הבעל</w:t>
      </w:r>
      <w:r>
        <w:rPr>
          <w:rFonts w:cs="Arial" w:hint="cs"/>
          <w:rtl/>
        </w:rPr>
        <w:t>,</w:t>
      </w:r>
      <w:r w:rsidRPr="00DB2DC5">
        <w:rPr>
          <w:rFonts w:cs="Arial"/>
          <w:rtl/>
        </w:rPr>
        <w:t xml:space="preserve"> לדעת הרא"ש והתוס' אין מוציאין מידו דאין ספק מוציא מידי ודאי ודינם כדין נפל הבית עליו כו</w:t>
      </w:r>
      <w:r w:rsidR="007F65C8">
        <w:rPr>
          <w:rFonts w:cs="Arial" w:hint="cs"/>
          <w:rtl/>
        </w:rPr>
        <w:t>'</w:t>
      </w:r>
      <w:r w:rsidRPr="00DB2DC5">
        <w:rPr>
          <w:rFonts w:cs="Arial"/>
          <w:rtl/>
        </w:rPr>
        <w:t xml:space="preserve"> שבסעיף שאחריו</w:t>
      </w:r>
      <w:r>
        <w:rPr>
          <w:rFonts w:cs="Arial" w:hint="cs"/>
          <w:rtl/>
        </w:rPr>
        <w:t>.</w:t>
      </w:r>
      <w:r w:rsidRPr="00DB2DC5">
        <w:rPr>
          <w:rFonts w:cs="Arial"/>
          <w:rtl/>
        </w:rPr>
        <w:t xml:space="preserve"> </w:t>
      </w:r>
      <w:r>
        <w:rPr>
          <w:rFonts w:hint="cs"/>
          <w:rtl/>
        </w:rPr>
        <w:t>ונראה מדברי באה"ג שלא ידע שדברי השו"ע מקורם ברמב"ם, ולכן כתב מה שכתב בדעת השו"ע.</w:t>
      </w:r>
    </w:p>
  </w:footnote>
  <w:footnote w:id="1232">
    <w:p w14:paraId="248DF77C" w14:textId="09ED859E" w:rsidR="00DE2F5F" w:rsidRDefault="00DE2F5F">
      <w:pPr>
        <w:pStyle w:val="a5"/>
      </w:pPr>
      <w:r>
        <w:rPr>
          <w:rStyle w:val="a7"/>
        </w:rPr>
        <w:footnoteRef/>
      </w:r>
      <w:r>
        <w:rPr>
          <w:rtl/>
        </w:rPr>
        <w:t xml:space="preserve"> </w:t>
      </w:r>
      <w:r>
        <w:rPr>
          <w:rFonts w:hint="cs"/>
          <w:rtl/>
        </w:rPr>
        <w:t xml:space="preserve">הביא הפת"ש (סק"ז) מסקנתו, וכתב </w:t>
      </w:r>
      <w:r>
        <w:rPr>
          <w:rFonts w:cs="Arial" w:hint="cs"/>
          <w:rtl/>
        </w:rPr>
        <w:t>ל</w:t>
      </w:r>
      <w:r w:rsidRPr="00352B7C">
        <w:rPr>
          <w:rFonts w:cs="Arial"/>
          <w:rtl/>
        </w:rPr>
        <w:t>עיין בתשו' מקור ברוך סי' י' ובת' תורת חסד סי' צ"ו ובס' שעה"מ שם ס"ד מ"ש בזה</w:t>
      </w:r>
      <w:r>
        <w:rPr>
          <w:rFonts w:hint="cs"/>
          <w:rtl/>
        </w:rPr>
        <w:t>.</w:t>
      </w:r>
    </w:p>
  </w:footnote>
  <w:footnote w:id="1233">
    <w:p w14:paraId="1049D539" w14:textId="6795484C" w:rsidR="00AE3B0E" w:rsidRDefault="00AE3B0E">
      <w:pPr>
        <w:pStyle w:val="a5"/>
      </w:pPr>
      <w:r>
        <w:rPr>
          <w:rStyle w:val="a7"/>
        </w:rPr>
        <w:footnoteRef/>
      </w:r>
      <w:r>
        <w:rPr>
          <w:rtl/>
        </w:rPr>
        <w:t xml:space="preserve"> </w:t>
      </w:r>
      <w:r>
        <w:rPr>
          <w:rFonts w:hint="cs"/>
          <w:rtl/>
        </w:rPr>
        <w:t>סימן - קידש מריחה ותתרנית.</w:t>
      </w:r>
    </w:p>
  </w:footnote>
  <w:footnote w:id="1234">
    <w:p w14:paraId="560894D1" w14:textId="29F5B1E0" w:rsidR="00DE2F5F" w:rsidRDefault="00DE2F5F">
      <w:pPr>
        <w:pStyle w:val="a5"/>
      </w:pPr>
      <w:r>
        <w:rPr>
          <w:rStyle w:val="a7"/>
        </w:rPr>
        <w:footnoteRef/>
      </w:r>
      <w:r>
        <w:rPr>
          <w:rtl/>
        </w:rPr>
        <w:t xml:space="preserve"> </w:t>
      </w:r>
      <w:r w:rsidRPr="00197B54">
        <w:rPr>
          <w:rFonts w:cs="Arial"/>
          <w:rtl/>
        </w:rPr>
        <w:t>חולי הוא שאינה יכולה להריח ומום שבסתר הוא ותנן בהמדיר בכתובות (עב:) המקדש את האשה ע"מ שאין בה מומין ונמצאו עליה מומין אינה מקודשת כנסה סתם ונמצאו בה מומין תצא שלא בכתובה כו' עד וחכ"א במה דברים אמורים במומין שבסתר כו' וזה האיש לא קבל עליו את המומין ואם קדשה סתם וכנסה סתם ונמצאו בה מומין תצא בלא כתובה ומיהו גט בעיא כדמפרש בגמרא בפרק המדיר</w:t>
      </w:r>
      <w:r>
        <w:rPr>
          <w:rFonts w:cs="Arial" w:hint="cs"/>
          <w:rtl/>
        </w:rPr>
        <w:t>, רשב"ם.</w:t>
      </w:r>
    </w:p>
  </w:footnote>
  <w:footnote w:id="1235">
    <w:p w14:paraId="36CE527C" w14:textId="48495CB4" w:rsidR="00DE2F5F" w:rsidRDefault="00DE2F5F">
      <w:pPr>
        <w:pStyle w:val="a5"/>
      </w:pPr>
      <w:r>
        <w:rPr>
          <w:rStyle w:val="a7"/>
        </w:rPr>
        <w:footnoteRef/>
      </w:r>
      <w:r>
        <w:rPr>
          <w:rtl/>
        </w:rPr>
        <w:t xml:space="preserve"> </w:t>
      </w:r>
      <w:r w:rsidRPr="006D7AD8">
        <w:rPr>
          <w:rFonts w:cs="Arial"/>
          <w:rtl/>
        </w:rPr>
        <w:t>שם ונשא עמו בתוך חיקו צנון לנסותה אם תריח ויש מפרשים כותבת נטל בתוך חיקו ולא צנון וקרוב לגליל היה מעשה</w:t>
      </w:r>
      <w:r>
        <w:rPr>
          <w:rFonts w:cs="Arial" w:hint="cs"/>
          <w:rtl/>
        </w:rPr>
        <w:t>, רשב"ם.</w:t>
      </w:r>
    </w:p>
  </w:footnote>
  <w:footnote w:id="1236">
    <w:p w14:paraId="4143E05B" w14:textId="13FD8CA7" w:rsidR="00DE2F5F" w:rsidRDefault="00DE2F5F">
      <w:pPr>
        <w:pStyle w:val="a5"/>
      </w:pPr>
      <w:r>
        <w:rPr>
          <w:rStyle w:val="a7"/>
        </w:rPr>
        <w:footnoteRef/>
      </w:r>
      <w:r>
        <w:rPr>
          <w:rtl/>
        </w:rPr>
        <w:t xml:space="preserve"> </w:t>
      </w:r>
      <w:r w:rsidRPr="00197B54">
        <w:rPr>
          <w:rFonts w:cs="Arial"/>
          <w:rtl/>
        </w:rPr>
        <w:t>דרך שחוק</w:t>
      </w:r>
      <w:r>
        <w:rPr>
          <w:rFonts w:cs="Arial" w:hint="cs"/>
          <w:rtl/>
        </w:rPr>
        <w:t>, רשב"ם.</w:t>
      </w:r>
    </w:p>
  </w:footnote>
  <w:footnote w:id="1237">
    <w:p w14:paraId="0AD96F1C" w14:textId="667E138B" w:rsidR="00DE2F5F" w:rsidRDefault="00DE2F5F">
      <w:pPr>
        <w:pStyle w:val="a5"/>
        <w:rPr>
          <w:rtl/>
        </w:rPr>
      </w:pPr>
      <w:r>
        <w:rPr>
          <w:rStyle w:val="a7"/>
        </w:rPr>
        <w:footnoteRef/>
      </w:r>
      <w:r>
        <w:rPr>
          <w:rtl/>
        </w:rPr>
        <w:t xml:space="preserve"> </w:t>
      </w:r>
      <w:r w:rsidRPr="00197B54">
        <w:rPr>
          <w:rFonts w:cs="Arial"/>
          <w:rtl/>
        </w:rPr>
        <w:t>שהן מתוקים ונאכל עם הצנון שהוא חד שכן היה דרכן לאכול תמרים עם הצנון שזה חד וזה מתוק ומתקן זה את זה ולפי שהבינה שלנסותה נתכוין השיבתו דרך שחוק כך וללישנא דאמרי' שנטל עמו כותבת אמרה כותבות דיריחו אני מריח ולא צנון, יריחו נקראת עיר התמרים והיינו כותבות</w:t>
      </w:r>
      <w:r>
        <w:rPr>
          <w:rFonts w:hint="cs"/>
          <w:rtl/>
        </w:rPr>
        <w:t>, רשב"ם.</w:t>
      </w:r>
    </w:p>
  </w:footnote>
  <w:footnote w:id="1238">
    <w:p w14:paraId="0AA1E002" w14:textId="01C1D199" w:rsidR="00DE2F5F" w:rsidRDefault="00DE2F5F" w:rsidP="00D03DE5">
      <w:pPr>
        <w:pStyle w:val="a5"/>
        <w:rPr>
          <w:rtl/>
        </w:rPr>
      </w:pPr>
      <w:r>
        <w:rPr>
          <w:rStyle w:val="a7"/>
        </w:rPr>
        <w:footnoteRef/>
      </w:r>
      <w:r>
        <w:rPr>
          <w:rtl/>
        </w:rPr>
        <w:t xml:space="preserve"> </w:t>
      </w:r>
      <w:r>
        <w:rPr>
          <w:rFonts w:hint="cs"/>
          <w:rtl/>
        </w:rPr>
        <w:t xml:space="preserve">היינו שהעמידו שם (התוס' בשם ר"ת) את המעשה בגמרא בארוסה. וכתב הדרכ"מ (אות ד) </w:t>
      </w:r>
      <w:r>
        <w:rPr>
          <w:rFonts w:cs="Arial" w:hint="cs"/>
          <w:rtl/>
        </w:rPr>
        <w:t>ש</w:t>
      </w:r>
      <w:r w:rsidRPr="00D03DE5">
        <w:rPr>
          <w:rFonts w:cs="Arial"/>
          <w:rtl/>
        </w:rPr>
        <w:t>כן נראה מסקנת המרדכי שם (סי' תריב)</w:t>
      </w:r>
      <w:r>
        <w:rPr>
          <w:rFonts w:hint="cs"/>
          <w:rtl/>
        </w:rPr>
        <w:t xml:space="preserve">. </w:t>
      </w:r>
      <w:r w:rsidRPr="00E931EF">
        <w:rPr>
          <w:rFonts w:hint="cs"/>
          <w:color w:val="00B0F0"/>
          <w:rtl/>
        </w:rPr>
        <w:t>(וכ"פ בהגה)</w:t>
      </w:r>
    </w:p>
  </w:footnote>
  <w:footnote w:id="1239">
    <w:p w14:paraId="02E8836A" w14:textId="70B7F40F" w:rsidR="00DE2F5F" w:rsidRDefault="00DE2F5F">
      <w:pPr>
        <w:pStyle w:val="a5"/>
        <w:rPr>
          <w:rtl/>
        </w:rPr>
      </w:pPr>
      <w:r>
        <w:rPr>
          <w:rStyle w:val="a7"/>
        </w:rPr>
        <w:footnoteRef/>
      </w:r>
      <w:r>
        <w:rPr>
          <w:rtl/>
        </w:rPr>
        <w:t xml:space="preserve"> </w:t>
      </w:r>
      <w:r>
        <w:rPr>
          <w:rFonts w:cs="Arial" w:hint="cs"/>
          <w:rtl/>
        </w:rPr>
        <w:t>ו</w:t>
      </w:r>
      <w:r w:rsidRPr="006262B5">
        <w:rPr>
          <w:rFonts w:cs="Arial"/>
          <w:rtl/>
        </w:rPr>
        <w:t xml:space="preserve">כ"כ הרמב"ם </w:t>
      </w:r>
      <w:r>
        <w:rPr>
          <w:rFonts w:cs="Arial" w:hint="cs"/>
          <w:rtl/>
        </w:rPr>
        <w:t>(</w:t>
      </w:r>
      <w:r>
        <w:rPr>
          <w:rFonts w:cs="Arial"/>
          <w:rtl/>
        </w:rPr>
        <w:t>פכ"ב ה"ו)</w:t>
      </w:r>
      <w:r w:rsidR="007F65C8">
        <w:rPr>
          <w:rFonts w:cs="Arial" w:hint="cs"/>
          <w:rtl/>
        </w:rPr>
        <w:t>:</w:t>
      </w:r>
      <w:r>
        <w:rPr>
          <w:rFonts w:cs="Arial" w:hint="cs"/>
          <w:rtl/>
        </w:rPr>
        <w:t xml:space="preserve"> </w:t>
      </w:r>
      <w:r w:rsidRPr="006262B5">
        <w:rPr>
          <w:rFonts w:cs="Arial"/>
          <w:rtl/>
        </w:rPr>
        <w:t>הורו הגאונים אשה שחלתה ובקשה מבעלה שיגרשנה ותצא בלא כתובה כדי שלא ירשנה אין שומעין לה ואפי' אמרה אני שונאת אותו ואיני רוצה לעמוד עמו אין שומעין לה</w:t>
      </w:r>
      <w:r>
        <w:rPr>
          <w:rFonts w:cs="Arial" w:hint="cs"/>
          <w:rtl/>
        </w:rPr>
        <w:t xml:space="preserve"> ע"כ, טור. </w:t>
      </w:r>
      <w:r w:rsidRPr="00F03F10">
        <w:rPr>
          <w:rFonts w:cs="Arial"/>
          <w:rtl/>
        </w:rPr>
        <w:t>וכתב ה</w:t>
      </w:r>
      <w:r>
        <w:rPr>
          <w:rFonts w:cs="Arial" w:hint="cs"/>
          <w:rtl/>
        </w:rPr>
        <w:t>ה"מ (שם) שהוראה זו מובאת</w:t>
      </w:r>
      <w:r w:rsidRPr="00F03F10">
        <w:rPr>
          <w:rFonts w:cs="Arial"/>
          <w:rtl/>
        </w:rPr>
        <w:t xml:space="preserve"> בהלכות פרק אף על פי (רי"ף כז.)</w:t>
      </w:r>
      <w:r>
        <w:rPr>
          <w:rFonts w:cs="Arial" w:hint="cs"/>
          <w:rtl/>
        </w:rPr>
        <w:t>.</w:t>
      </w:r>
      <w:r w:rsidRPr="00F03F10">
        <w:rPr>
          <w:rFonts w:cs="Arial"/>
          <w:rtl/>
        </w:rPr>
        <w:t xml:space="preserve"> ודע שלפי שיטתינו שאין כופין הבעל לגרש מחמת שום מרד אין צורך להוראה זו שהרי אין כופין הבעל</w:t>
      </w:r>
      <w:r>
        <w:rPr>
          <w:rFonts w:cs="Arial" w:hint="cs"/>
          <w:rtl/>
        </w:rPr>
        <w:t>,</w:t>
      </w:r>
      <w:r w:rsidRPr="00F03F10">
        <w:rPr>
          <w:rFonts w:cs="Arial"/>
          <w:rtl/>
        </w:rPr>
        <w:t xml:space="preserve"> ואם גירשה מעצמו ודאי אבד כתובתה עכ"ל. </w:t>
      </w:r>
      <w:r>
        <w:rPr>
          <w:rFonts w:cs="Arial" w:hint="cs"/>
          <w:rtl/>
        </w:rPr>
        <w:t>ו</w:t>
      </w:r>
      <w:r w:rsidRPr="00F03F10">
        <w:rPr>
          <w:rFonts w:cs="Arial"/>
          <w:rtl/>
        </w:rPr>
        <w:t xml:space="preserve">מה שהביא רבינו </w:t>
      </w:r>
      <w:r>
        <w:rPr>
          <w:rFonts w:cs="Arial" w:hint="cs"/>
          <w:sz w:val="16"/>
          <w:szCs w:val="16"/>
          <w:rtl/>
        </w:rPr>
        <w:t xml:space="preserve">{הטור} </w:t>
      </w:r>
      <w:r w:rsidRPr="00F03F10">
        <w:rPr>
          <w:rFonts w:cs="Arial"/>
          <w:rtl/>
        </w:rPr>
        <w:t>דברי הרמב"ם כדי לסייע להרא"ש איכא למידחי</w:t>
      </w:r>
      <w:r>
        <w:rPr>
          <w:rFonts w:cs="Arial" w:hint="cs"/>
          <w:rtl/>
        </w:rPr>
        <w:t>,</w:t>
      </w:r>
      <w:r w:rsidRPr="00F03F10">
        <w:rPr>
          <w:rFonts w:cs="Arial"/>
          <w:rtl/>
        </w:rPr>
        <w:t xml:space="preserve"> דשאני התם שהוא אינו רוצה לגרשה</w:t>
      </w:r>
      <w:r>
        <w:rPr>
          <w:rFonts w:cs="Arial" w:hint="cs"/>
          <w:rtl/>
        </w:rPr>
        <w:t>,</w:t>
      </w:r>
      <w:r w:rsidRPr="00F03F10">
        <w:rPr>
          <w:rFonts w:cs="Arial"/>
          <w:rtl/>
        </w:rPr>
        <w:t xml:space="preserve"> ואע</w:t>
      </w:r>
      <w:r>
        <w:rPr>
          <w:rFonts w:cs="Arial" w:hint="cs"/>
          <w:rtl/>
        </w:rPr>
        <w:t>"</w:t>
      </w:r>
      <w:r w:rsidRPr="00F03F10">
        <w:rPr>
          <w:rFonts w:cs="Arial"/>
          <w:rtl/>
        </w:rPr>
        <w:t>פ שהיא רוצה להתגרש לא הפסיד הוא זכותו בשביל כך</w:t>
      </w:r>
      <w:r>
        <w:rPr>
          <w:rFonts w:cs="Arial" w:hint="cs"/>
          <w:rtl/>
        </w:rPr>
        <w:t xml:space="preserve">, </w:t>
      </w:r>
      <w:r w:rsidRPr="007F65C8">
        <w:rPr>
          <w:rFonts w:cs="Arial" w:hint="cs"/>
          <w:b/>
          <w:bCs/>
          <w:rtl/>
        </w:rPr>
        <w:t>ב"י</w:t>
      </w:r>
      <w:r>
        <w:rPr>
          <w:rFonts w:cs="Arial" w:hint="cs"/>
          <w:rtl/>
        </w:rPr>
        <w:t>.</w:t>
      </w:r>
      <w:r w:rsidR="007F65C8">
        <w:rPr>
          <w:rFonts w:hint="cs"/>
          <w:rtl/>
        </w:rPr>
        <w:t xml:space="preserve">     </w:t>
      </w:r>
      <w:r>
        <w:rPr>
          <w:rFonts w:hint="cs"/>
          <w:rtl/>
        </w:rPr>
        <w:t xml:space="preserve"> ומענין לענין, כתב </w:t>
      </w:r>
      <w:r w:rsidRPr="007F65C8">
        <w:rPr>
          <w:rFonts w:hint="cs"/>
          <w:b/>
          <w:bCs/>
          <w:rtl/>
        </w:rPr>
        <w:t>הדרכ"מ</w:t>
      </w:r>
      <w:r>
        <w:rPr>
          <w:rFonts w:hint="cs"/>
          <w:rtl/>
        </w:rPr>
        <w:t xml:space="preserve"> (אות ה) שמדברי הה"מ </w:t>
      </w:r>
      <w:r w:rsidRPr="00D9440F">
        <w:rPr>
          <w:rFonts w:cs="Arial"/>
          <w:rtl/>
        </w:rPr>
        <w:t>שמעינן דאם היא מורדת ומתה</w:t>
      </w:r>
      <w:r>
        <w:rPr>
          <w:rFonts w:cs="Arial" w:hint="cs"/>
          <w:rtl/>
        </w:rPr>
        <w:t xml:space="preserve"> -</w:t>
      </w:r>
      <w:r w:rsidRPr="00D9440F">
        <w:rPr>
          <w:rFonts w:cs="Arial"/>
          <w:rtl/>
        </w:rPr>
        <w:t xml:space="preserve"> יורשה</w:t>
      </w:r>
      <w:r>
        <w:rPr>
          <w:rFonts w:cs="Arial" w:hint="cs"/>
          <w:rtl/>
        </w:rPr>
        <w:t>,</w:t>
      </w:r>
      <w:r w:rsidRPr="00D9440F">
        <w:rPr>
          <w:rFonts w:cs="Arial"/>
          <w:rtl/>
        </w:rPr>
        <w:t xml:space="preserve"> וכן הוא לעיל סימן ע"ז (עמ' שמג)</w:t>
      </w:r>
      <w:r>
        <w:rPr>
          <w:rFonts w:cs="Arial" w:hint="cs"/>
          <w:rtl/>
        </w:rPr>
        <w:t>.</w:t>
      </w:r>
      <w:r>
        <w:rPr>
          <w:rFonts w:hint="cs"/>
          <w:rtl/>
        </w:rPr>
        <w:t xml:space="preserve"> </w:t>
      </w:r>
      <w:r w:rsidRPr="00E931EF">
        <w:rPr>
          <w:rFonts w:hint="cs"/>
          <w:color w:val="00B0F0"/>
          <w:rtl/>
        </w:rPr>
        <w:t>(וכ"פ בהג</w:t>
      </w:r>
      <w:r w:rsidR="007F65C8">
        <w:rPr>
          <w:rFonts w:hint="cs"/>
          <w:color w:val="00B0F0"/>
          <w:rtl/>
        </w:rPr>
        <w:t>"</w:t>
      </w:r>
      <w:r w:rsidRPr="00E931EF">
        <w:rPr>
          <w:rFonts w:hint="cs"/>
          <w:color w:val="00B0F0"/>
          <w:rtl/>
        </w:rPr>
        <w:t>ה)</w:t>
      </w:r>
    </w:p>
  </w:footnote>
  <w:footnote w:id="1240">
    <w:p w14:paraId="2D8138C7" w14:textId="73C271B2" w:rsidR="00DE2F5F" w:rsidRDefault="00DE2F5F">
      <w:pPr>
        <w:pStyle w:val="a5"/>
        <w:rPr>
          <w:rtl/>
        </w:rPr>
      </w:pPr>
      <w:r>
        <w:rPr>
          <w:rStyle w:val="a7"/>
        </w:rPr>
        <w:footnoteRef/>
      </w:r>
      <w:r>
        <w:rPr>
          <w:rtl/>
        </w:rPr>
        <w:t xml:space="preserve"> </w:t>
      </w:r>
      <w:r>
        <w:rPr>
          <w:rFonts w:hint="cs"/>
          <w:rtl/>
        </w:rPr>
        <w:t>ואפשר לומר שהרמ"א לא פסק כהרא"ש וסיעתו אלא בא רק לאפוקי מדעת הרשב"ם. וצ"ע.</w:t>
      </w:r>
    </w:p>
  </w:footnote>
  <w:footnote w:id="1241">
    <w:p w14:paraId="0B4F564A" w14:textId="40F6095C" w:rsidR="00DE2F5F" w:rsidRDefault="00DE2F5F">
      <w:pPr>
        <w:pStyle w:val="a5"/>
      </w:pPr>
      <w:r>
        <w:rPr>
          <w:rStyle w:val="a7"/>
        </w:rPr>
        <w:footnoteRef/>
      </w:r>
      <w:r>
        <w:rPr>
          <w:rtl/>
        </w:rPr>
        <w:t xml:space="preserve"> </w:t>
      </w:r>
      <w:r w:rsidRPr="00D9440F">
        <w:rPr>
          <w:rFonts w:cs="Arial"/>
          <w:rtl/>
        </w:rPr>
        <w:t>ונראה לי דזהו דוקא לסברת הרשב"ם דסבירא ליה דמשנתן עיניו לגרשה אינו יורשה אבל לדעת החולקים עליו לא</w:t>
      </w:r>
      <w:r>
        <w:rPr>
          <w:rFonts w:cs="Arial" w:hint="cs"/>
          <w:rtl/>
        </w:rPr>
        <w:t>.</w:t>
      </w:r>
      <w:r w:rsidRPr="00D9440F">
        <w:rPr>
          <w:rFonts w:cs="Arial"/>
          <w:rtl/>
        </w:rPr>
        <w:t xml:space="preserve"> וכ"כ הרי"ף והרא"ש בהדיא פרק אע"פ (רי"ף כז. רא"ש סי' לה) דאעפ"י שכופין אותו כל זמן שלא גירש אותה יורש אותה</w:t>
      </w:r>
      <w:r>
        <w:rPr>
          <w:rFonts w:cs="Arial" w:hint="cs"/>
          <w:rtl/>
        </w:rPr>
        <w:t>.</w:t>
      </w:r>
      <w:r w:rsidRPr="00D9440F">
        <w:rPr>
          <w:rFonts w:cs="Arial"/>
          <w:rtl/>
        </w:rPr>
        <w:t xml:space="preserve"> מיהו יש לדחות דשאני הנהו שכופין לגרש מדינא דרוצה לנהוג עמה מנהג אישות ולא פשע כלל ולכן אינו מאבד ירושתו מה שאין כן במורד או מדיר דאינו נוהג מנהג אישות ולמיפק קאי לכן אינו יורשה וצ"ע</w:t>
      </w:r>
      <w:r>
        <w:rPr>
          <w:rFonts w:cs="Arial" w:hint="cs"/>
          <w:rtl/>
        </w:rPr>
        <w:t xml:space="preserve">, </w:t>
      </w:r>
      <w:r w:rsidRPr="00540B50">
        <w:rPr>
          <w:rFonts w:cs="Arial" w:hint="cs"/>
          <w:b/>
          <w:bCs/>
          <w:rtl/>
        </w:rPr>
        <w:t>דרכ"מ</w:t>
      </w:r>
      <w:r>
        <w:rPr>
          <w:rFonts w:cs="Arial" w:hint="cs"/>
          <w:rtl/>
        </w:rPr>
        <w:t xml:space="preserve"> (אות ה).</w:t>
      </w:r>
      <w:r>
        <w:rPr>
          <w:rFonts w:hint="cs"/>
          <w:rtl/>
        </w:rPr>
        <w:t xml:space="preserve"> </w:t>
      </w:r>
      <w:r w:rsidR="00540B50">
        <w:rPr>
          <w:rFonts w:hint="cs"/>
          <w:rtl/>
        </w:rPr>
        <w:t xml:space="preserve">     </w:t>
      </w:r>
      <w:r w:rsidRPr="00540B50">
        <w:rPr>
          <w:rFonts w:hint="cs"/>
          <w:b/>
          <w:bCs/>
          <w:rtl/>
        </w:rPr>
        <w:t>והח"מ</w:t>
      </w:r>
      <w:r>
        <w:rPr>
          <w:rFonts w:hint="cs"/>
          <w:rtl/>
        </w:rPr>
        <w:t xml:space="preserve"> (סקט"ז) כתב שמדברי הרי"ף משמע שכל מי</w:t>
      </w:r>
      <w:r w:rsidR="00540B50">
        <w:rPr>
          <w:rFonts w:hint="cs"/>
          <w:rtl/>
        </w:rPr>
        <w:t xml:space="preserve"> </w:t>
      </w:r>
      <w:r>
        <w:rPr>
          <w:rFonts w:hint="cs"/>
          <w:rtl/>
        </w:rPr>
        <w:t xml:space="preserve">שכופין אותו להוציא, אם מתה קודם הגירושין </w:t>
      </w:r>
      <w:r w:rsidR="00F97626">
        <w:rPr>
          <w:rtl/>
        </w:rPr>
        <w:t>-</w:t>
      </w:r>
      <w:r>
        <w:rPr>
          <w:rFonts w:hint="cs"/>
          <w:rtl/>
        </w:rPr>
        <w:t xml:space="preserve"> הבעל יורש אותה.</w:t>
      </w:r>
    </w:p>
  </w:footnote>
  <w:footnote w:id="1242">
    <w:p w14:paraId="6730A465" w14:textId="274191B5" w:rsidR="00DE2F5F" w:rsidRDefault="00DE2F5F">
      <w:pPr>
        <w:pStyle w:val="a5"/>
      </w:pPr>
      <w:r>
        <w:rPr>
          <w:rStyle w:val="a7"/>
        </w:rPr>
        <w:footnoteRef/>
      </w:r>
      <w:r>
        <w:rPr>
          <w:rtl/>
        </w:rPr>
        <w:t xml:space="preserve"> </w:t>
      </w:r>
      <w:r w:rsidRPr="005358BD">
        <w:rPr>
          <w:rFonts w:cs="Arial"/>
          <w:rtl/>
        </w:rPr>
        <w:t>לאפוקי מדעת הרשב"ם בפרק מי שמת בעובדא תותרנית דפירוש הסוגיא דאיירי בנישואים ומ"מ אינו יורשה כיון שנתן עיניו לגרשה וכל הפוסקים חולקים ופירשו הסוגיא דאיירי בארוסה</w:t>
      </w:r>
      <w:r>
        <w:rPr>
          <w:rFonts w:cs="Arial" w:hint="cs"/>
          <w:rtl/>
        </w:rPr>
        <w:t xml:space="preserve">, </w:t>
      </w:r>
      <w:r w:rsidRPr="00540B50">
        <w:rPr>
          <w:rFonts w:cs="Arial" w:hint="cs"/>
          <w:b/>
          <w:bCs/>
          <w:rtl/>
        </w:rPr>
        <w:t>ב"ש</w:t>
      </w:r>
      <w:r>
        <w:rPr>
          <w:rFonts w:cs="Arial" w:hint="cs"/>
          <w:rtl/>
        </w:rPr>
        <w:t xml:space="preserve"> (סקכ"א).</w:t>
      </w:r>
      <w:r w:rsidRPr="005358BD">
        <w:rPr>
          <w:rFonts w:cs="Arial"/>
          <w:rtl/>
        </w:rPr>
        <w:t xml:space="preserve"> </w:t>
      </w:r>
      <w:r w:rsidR="00540B50">
        <w:rPr>
          <w:rFonts w:cs="Arial" w:hint="cs"/>
          <w:rtl/>
        </w:rPr>
        <w:t xml:space="preserve">    </w:t>
      </w:r>
      <w:r w:rsidRPr="00352B7C">
        <w:rPr>
          <w:rFonts w:cs="Arial"/>
          <w:rtl/>
        </w:rPr>
        <w:t>ובס' כרם שלמה כ' שראה בגליון כ"י מהרב מהגאון בעל חתם סופר שכתב</w:t>
      </w:r>
      <w:r w:rsidR="00540B50">
        <w:rPr>
          <w:rFonts w:cs="Arial" w:hint="cs"/>
          <w:rtl/>
        </w:rPr>
        <w:t>:</w:t>
      </w:r>
      <w:r w:rsidRPr="00352B7C">
        <w:rPr>
          <w:rFonts w:cs="Arial"/>
          <w:rtl/>
        </w:rPr>
        <w:t xml:space="preserve"> נלע"ד דאפילו הרשב"ם נמי לא אמרה אלא קודם תקנת רגמ"ה</w:t>
      </w:r>
      <w:r w:rsidR="00540B50">
        <w:rPr>
          <w:rFonts w:cs="Arial" w:hint="cs"/>
          <w:rtl/>
        </w:rPr>
        <w:t>,</w:t>
      </w:r>
      <w:r w:rsidRPr="00352B7C">
        <w:rPr>
          <w:rFonts w:cs="Arial"/>
          <w:rtl/>
        </w:rPr>
        <w:t xml:space="preserve"> אבל עכשיו שאין בידו לגרשה לא עדיף הוא מאשה שאמרה לבעלה גרשני דלא מקרי בזה קטטה כמבואר ר"פ האש' שלום עכ"ל. ועי' בס' ישועות יעקב </w:t>
      </w:r>
      <w:r>
        <w:rPr>
          <w:rFonts w:cs="Arial" w:hint="cs"/>
          <w:rtl/>
        </w:rPr>
        <w:t>(</w:t>
      </w:r>
      <w:r w:rsidRPr="00352B7C">
        <w:rPr>
          <w:rFonts w:cs="Arial"/>
          <w:rtl/>
        </w:rPr>
        <w:t>סק"ח</w:t>
      </w:r>
      <w:r>
        <w:rPr>
          <w:rFonts w:cs="Arial" w:hint="cs"/>
          <w:rtl/>
        </w:rPr>
        <w:t>)</w:t>
      </w:r>
      <w:r w:rsidRPr="00352B7C">
        <w:rPr>
          <w:rFonts w:cs="Arial"/>
          <w:rtl/>
        </w:rPr>
        <w:t xml:space="preserve"> שהביא דמהרש"ל </w:t>
      </w:r>
      <w:r>
        <w:rPr>
          <w:rFonts w:cs="Arial" w:hint="cs"/>
          <w:rtl/>
        </w:rPr>
        <w:t>(</w:t>
      </w:r>
      <w:r w:rsidRPr="00352B7C">
        <w:rPr>
          <w:rFonts w:cs="Arial"/>
          <w:rtl/>
        </w:rPr>
        <w:t>פ"ב דגיטין</w:t>
      </w:r>
      <w:r>
        <w:rPr>
          <w:rFonts w:cs="Arial" w:hint="cs"/>
          <w:rtl/>
        </w:rPr>
        <w:t>)</w:t>
      </w:r>
      <w:r w:rsidRPr="00352B7C">
        <w:rPr>
          <w:rFonts w:cs="Arial"/>
          <w:rtl/>
        </w:rPr>
        <w:t xml:space="preserve"> למד מזה לענין אבילו</w:t>
      </w:r>
      <w:r>
        <w:rPr>
          <w:rFonts w:cs="Arial" w:hint="cs"/>
          <w:rtl/>
        </w:rPr>
        <w:t>ת</w:t>
      </w:r>
      <w:r w:rsidRPr="00352B7C">
        <w:rPr>
          <w:rFonts w:cs="Arial"/>
          <w:rtl/>
        </w:rPr>
        <w:t xml:space="preserve"> במעשה שבא לפניו שהתפשרו על הגירושין ומתה האשה</w:t>
      </w:r>
      <w:r>
        <w:rPr>
          <w:rFonts w:cs="Arial" w:hint="cs"/>
          <w:rtl/>
        </w:rPr>
        <w:t>,</w:t>
      </w:r>
      <w:r w:rsidRPr="00352B7C">
        <w:rPr>
          <w:rFonts w:cs="Arial"/>
          <w:rtl/>
        </w:rPr>
        <w:t xml:space="preserve"> והור</w:t>
      </w:r>
      <w:r>
        <w:rPr>
          <w:rFonts w:cs="Arial" w:hint="cs"/>
          <w:rtl/>
        </w:rPr>
        <w:t>ה</w:t>
      </w:r>
      <w:r w:rsidRPr="00352B7C">
        <w:rPr>
          <w:rFonts w:cs="Arial"/>
          <w:rtl/>
        </w:rPr>
        <w:t xml:space="preserve"> הלכה למעשה שלא ינהוג הבעל אבילו</w:t>
      </w:r>
      <w:r>
        <w:rPr>
          <w:rFonts w:cs="Arial" w:hint="cs"/>
          <w:rtl/>
        </w:rPr>
        <w:t>ת,</w:t>
      </w:r>
      <w:r w:rsidRPr="00352B7C">
        <w:rPr>
          <w:rFonts w:cs="Arial"/>
          <w:rtl/>
        </w:rPr>
        <w:t xml:space="preserve"> דהלכה כדברי המיקל באבל</w:t>
      </w:r>
      <w:r>
        <w:rPr>
          <w:rFonts w:cs="Arial" w:hint="cs"/>
          <w:rtl/>
        </w:rPr>
        <w:t>.</w:t>
      </w:r>
      <w:r w:rsidRPr="00352B7C">
        <w:rPr>
          <w:rFonts w:cs="Arial"/>
          <w:rtl/>
        </w:rPr>
        <w:t xml:space="preserve"> והסכים עמו חכם גדול מארץ ישראל (עיין בס' ב"מ מזה)</w:t>
      </w:r>
      <w:r>
        <w:rPr>
          <w:rFonts w:cs="Arial" w:hint="cs"/>
          <w:rtl/>
        </w:rPr>
        <w:t>.</w:t>
      </w:r>
      <w:r w:rsidRPr="00352B7C">
        <w:rPr>
          <w:rFonts w:cs="Arial"/>
          <w:rtl/>
        </w:rPr>
        <w:t xml:space="preserve"> והוא ז"ל </w:t>
      </w:r>
      <w:r>
        <w:rPr>
          <w:rFonts w:cs="Arial" w:hint="cs"/>
          <w:sz w:val="16"/>
          <w:szCs w:val="16"/>
          <w:rtl/>
        </w:rPr>
        <w:t xml:space="preserve">{הישועות יעקב} </w:t>
      </w:r>
      <w:r w:rsidRPr="00352B7C">
        <w:rPr>
          <w:rFonts w:cs="Arial"/>
          <w:rtl/>
        </w:rPr>
        <w:t>כתב על זה</w:t>
      </w:r>
      <w:r w:rsidR="00540B50">
        <w:rPr>
          <w:rFonts w:cs="Arial" w:hint="cs"/>
          <w:rtl/>
        </w:rPr>
        <w:t>:</w:t>
      </w:r>
      <w:r w:rsidRPr="00352B7C">
        <w:rPr>
          <w:rFonts w:cs="Arial"/>
          <w:rtl/>
        </w:rPr>
        <w:t xml:space="preserve"> הנה זה ימים אירע מעשה בא</w:t>
      </w:r>
      <w:r>
        <w:rPr>
          <w:rFonts w:cs="Arial" w:hint="cs"/>
          <w:rtl/>
        </w:rPr>
        <w:t>חד</w:t>
      </w:r>
      <w:r w:rsidRPr="00352B7C">
        <w:rPr>
          <w:rFonts w:cs="Arial"/>
          <w:rtl/>
        </w:rPr>
        <w:t xml:space="preserve"> שקיבל התרה ממאה רבנים וזיכה גט לאשתו</w:t>
      </w:r>
      <w:r>
        <w:rPr>
          <w:rFonts w:cs="Arial" w:hint="cs"/>
          <w:rtl/>
        </w:rPr>
        <w:t>,</w:t>
      </w:r>
      <w:r w:rsidRPr="00352B7C">
        <w:rPr>
          <w:rFonts w:cs="Arial"/>
          <w:rtl/>
        </w:rPr>
        <w:t xml:space="preserve"> וביני ביני מתה עליו אשתו</w:t>
      </w:r>
      <w:r>
        <w:rPr>
          <w:rFonts w:cs="Arial" w:hint="cs"/>
          <w:rtl/>
        </w:rPr>
        <w:t>,</w:t>
      </w:r>
      <w:r w:rsidRPr="00352B7C">
        <w:rPr>
          <w:rFonts w:cs="Arial"/>
          <w:rtl/>
        </w:rPr>
        <w:t xml:space="preserve"> ואמרתי דבזה כדאי מהרש"ל לסמוך עליו שלא לנהוג אבילו</w:t>
      </w:r>
      <w:r>
        <w:rPr>
          <w:rFonts w:cs="Arial" w:hint="cs"/>
          <w:rtl/>
        </w:rPr>
        <w:t>ת</w:t>
      </w:r>
      <w:r w:rsidRPr="00352B7C">
        <w:rPr>
          <w:rFonts w:cs="Arial"/>
          <w:rtl/>
        </w:rPr>
        <w:t xml:space="preserve"> כלל כיון שכבר זיכה לה הגט ע"ש</w:t>
      </w:r>
      <w:r>
        <w:rPr>
          <w:rFonts w:cs="Arial" w:hint="cs"/>
          <w:rtl/>
        </w:rPr>
        <w:t xml:space="preserve">, </w:t>
      </w:r>
      <w:r w:rsidRPr="00540B50">
        <w:rPr>
          <w:rFonts w:cs="Arial" w:hint="cs"/>
          <w:b/>
          <w:bCs/>
          <w:rtl/>
        </w:rPr>
        <w:t>פת"ש</w:t>
      </w:r>
      <w:r>
        <w:rPr>
          <w:rFonts w:cs="Arial" w:hint="cs"/>
          <w:rtl/>
        </w:rPr>
        <w:t xml:space="preserve"> (סק"ח).</w:t>
      </w:r>
    </w:p>
  </w:footnote>
  <w:footnote w:id="1243">
    <w:p w14:paraId="01869B2C" w14:textId="2B0DF8D7" w:rsidR="00DE2F5F" w:rsidRDefault="00DE2F5F">
      <w:pPr>
        <w:pStyle w:val="a5"/>
      </w:pPr>
      <w:r>
        <w:rPr>
          <w:rStyle w:val="a7"/>
        </w:rPr>
        <w:footnoteRef/>
      </w:r>
      <w:r>
        <w:rPr>
          <w:rtl/>
        </w:rPr>
        <w:t xml:space="preserve"> </w:t>
      </w:r>
      <w:r w:rsidRPr="007F201D">
        <w:rPr>
          <w:rFonts w:cs="Arial"/>
          <w:rtl/>
        </w:rPr>
        <w:t>אע</w:t>
      </w:r>
      <w:r w:rsidR="00540B50">
        <w:rPr>
          <w:rFonts w:cs="Arial" w:hint="cs"/>
          <w:rtl/>
        </w:rPr>
        <w:t>"</w:t>
      </w:r>
      <w:r w:rsidRPr="007F201D">
        <w:rPr>
          <w:rFonts w:cs="Arial"/>
          <w:rtl/>
        </w:rPr>
        <w:t>ג דלענין קדושין צריכה גט מספק מ"מ לענין ממון הירושה אוקי ממון בחזקתה ואף שלא נתברר שהיה בה מום מ"מ הודאת הבעל כמא' עדים דמי</w:t>
      </w:r>
      <w:r>
        <w:rPr>
          <w:rFonts w:cs="Arial" w:hint="cs"/>
          <w:rtl/>
        </w:rPr>
        <w:t>, ח"מ (סקט"ו).</w:t>
      </w:r>
    </w:p>
  </w:footnote>
  <w:footnote w:id="1244">
    <w:p w14:paraId="6F58F6D7" w14:textId="781EDF1A" w:rsidR="00DE2F5F" w:rsidRDefault="00DE2F5F">
      <w:pPr>
        <w:pStyle w:val="a5"/>
        <w:rPr>
          <w:rtl/>
        </w:rPr>
      </w:pPr>
      <w:r>
        <w:rPr>
          <w:rStyle w:val="a7"/>
        </w:rPr>
        <w:footnoteRef/>
      </w:r>
      <w:r>
        <w:rPr>
          <w:rtl/>
        </w:rPr>
        <w:t xml:space="preserve"> </w:t>
      </w:r>
      <w:r w:rsidRPr="007F201D">
        <w:rPr>
          <w:rFonts w:cs="Arial"/>
          <w:rtl/>
        </w:rPr>
        <w:t>לכאורה הוא סותר מ"ש לפני זה בנתן עיניו לגרשה דהא מסתמ</w:t>
      </w:r>
      <w:r>
        <w:rPr>
          <w:rFonts w:cs="Arial" w:hint="cs"/>
          <w:rtl/>
        </w:rPr>
        <w:t>א</w:t>
      </w:r>
      <w:r w:rsidRPr="007F201D">
        <w:rPr>
          <w:rFonts w:cs="Arial"/>
          <w:rtl/>
        </w:rPr>
        <w:t xml:space="preserve"> כשנותן עיניו לגרשה אינו נוהג עמה מנהג אישות כמבואר לקמן סי' קי"ט</w:t>
      </w:r>
      <w:r>
        <w:rPr>
          <w:rFonts w:cs="Arial" w:hint="cs"/>
          <w:rtl/>
        </w:rPr>
        <w:t>,</w:t>
      </w:r>
      <w:r w:rsidRPr="007F201D">
        <w:rPr>
          <w:rFonts w:cs="Arial"/>
          <w:rtl/>
        </w:rPr>
        <w:t xml:space="preserve"> וכן ראיתי בד"מ שכ' וז"ל דזהו דוקא לסברת רשב"ם</w:t>
      </w:r>
      <w:r>
        <w:rPr>
          <w:rFonts w:cs="Arial" w:hint="cs"/>
          <w:rtl/>
        </w:rPr>
        <w:t>...</w:t>
      </w:r>
      <w:r w:rsidRPr="007F201D">
        <w:rPr>
          <w:rFonts w:cs="Arial"/>
          <w:rtl/>
        </w:rPr>
        <w:t xml:space="preserve"> מיהו יש לדחות</w:t>
      </w:r>
      <w:r>
        <w:rPr>
          <w:rFonts w:cs="Arial" w:hint="cs"/>
          <w:rtl/>
        </w:rPr>
        <w:t>...</w:t>
      </w:r>
      <w:r w:rsidRPr="007F201D">
        <w:rPr>
          <w:rFonts w:cs="Arial"/>
          <w:rtl/>
        </w:rPr>
        <w:t xml:space="preserve"> וצ"ע עכ"ל ד"מ</w:t>
      </w:r>
      <w:r>
        <w:rPr>
          <w:rFonts w:cs="Arial" w:hint="cs"/>
          <w:rtl/>
        </w:rPr>
        <w:t>.</w:t>
      </w:r>
      <w:r w:rsidRPr="007F201D">
        <w:rPr>
          <w:rFonts w:cs="Arial"/>
          <w:rtl/>
        </w:rPr>
        <w:t xml:space="preserve"> ומסתימת לשון הרי"ף שכתב כל מאן דכייפינן ליה לאפוקי וכו' וכללא הוא דמשמע בין במורד בין במדיר אף שכופין להוציא אם מתה קודם הגירושין הבעל ירית לה</w:t>
      </w:r>
      <w:r>
        <w:rPr>
          <w:rFonts w:hint="cs"/>
          <w:rtl/>
        </w:rPr>
        <w:t xml:space="preserve">, ח"מ (סקט"ז). וגם הב"ש כתב שנראה </w:t>
      </w:r>
      <w:r w:rsidRPr="007F201D">
        <w:rPr>
          <w:rFonts w:cs="Arial"/>
          <w:rtl/>
        </w:rPr>
        <w:t xml:space="preserve">לכאורה </w:t>
      </w:r>
      <w:r>
        <w:rPr>
          <w:rFonts w:cs="Arial" w:hint="cs"/>
          <w:rtl/>
        </w:rPr>
        <w:t>ש</w:t>
      </w:r>
      <w:r w:rsidRPr="007F201D">
        <w:rPr>
          <w:rFonts w:cs="Arial"/>
          <w:rtl/>
        </w:rPr>
        <w:t>דעת הש</w:t>
      </w:r>
      <w:r>
        <w:rPr>
          <w:rFonts w:cs="Arial" w:hint="cs"/>
          <w:rtl/>
        </w:rPr>
        <w:t>לט</w:t>
      </w:r>
      <w:r w:rsidRPr="007F201D">
        <w:rPr>
          <w:rFonts w:cs="Arial"/>
          <w:rtl/>
        </w:rPr>
        <w:t>"ג יחידאי</w:t>
      </w:r>
      <w:r>
        <w:rPr>
          <w:rFonts w:cs="Arial" w:hint="cs"/>
          <w:rtl/>
        </w:rPr>
        <w:t>ת. וכדמשמע מדברי הרי"ף והרא"ש שהביא הדרכ"מ.</w:t>
      </w:r>
    </w:p>
  </w:footnote>
  <w:footnote w:id="1245">
    <w:p w14:paraId="542E7B33" w14:textId="7420EAE6" w:rsidR="00AE3B0E" w:rsidRDefault="00AE3B0E">
      <w:pPr>
        <w:pStyle w:val="a5"/>
      </w:pPr>
      <w:r>
        <w:rPr>
          <w:rStyle w:val="a7"/>
        </w:rPr>
        <w:footnoteRef/>
      </w:r>
      <w:r>
        <w:rPr>
          <w:rtl/>
        </w:rPr>
        <w:t xml:space="preserve"> </w:t>
      </w:r>
      <w:r>
        <w:rPr>
          <w:rFonts w:hint="cs"/>
          <w:rtl/>
        </w:rPr>
        <w:t>סימן - קורה נפלה חזק.</w:t>
      </w:r>
    </w:p>
  </w:footnote>
  <w:footnote w:id="1246">
    <w:p w14:paraId="76D2EABE" w14:textId="148477C8" w:rsidR="00DE2F5F" w:rsidRDefault="00DE2F5F" w:rsidP="007B4753">
      <w:pPr>
        <w:pStyle w:val="a5"/>
        <w:rPr>
          <w:rtl/>
        </w:rPr>
      </w:pPr>
      <w:r>
        <w:rPr>
          <w:rStyle w:val="a7"/>
        </w:rPr>
        <w:footnoteRef/>
      </w:r>
      <w:r>
        <w:rPr>
          <w:rtl/>
        </w:rPr>
        <w:t xml:space="preserve"> </w:t>
      </w:r>
      <w:r>
        <w:rPr>
          <w:rFonts w:cs="Arial"/>
          <w:rtl/>
        </w:rPr>
        <w:t>הני נכסים דקאמרי ב"ה הן נכסי צאן ברזל שהכניסה מבית אביה ושמאן בכתובתה ואחריותם עליו אם פיחתו פיחתו לו ואם הותירו הותירו לו</w:t>
      </w:r>
      <w:r>
        <w:rPr>
          <w:rFonts w:cs="Arial" w:hint="cs"/>
          <w:rtl/>
        </w:rPr>
        <w:t>, רשב"ם</w:t>
      </w:r>
      <w:r>
        <w:rPr>
          <w:rFonts w:cs="Arial"/>
          <w:rtl/>
        </w:rPr>
        <w:t>.</w:t>
      </w:r>
    </w:p>
  </w:footnote>
  <w:footnote w:id="1247">
    <w:p w14:paraId="353FB58E" w14:textId="77777777" w:rsidR="00DE2F5F" w:rsidRDefault="00DE2F5F" w:rsidP="007B4753">
      <w:pPr>
        <w:pStyle w:val="a5"/>
        <w:rPr>
          <w:rtl/>
        </w:rPr>
      </w:pPr>
      <w:r>
        <w:rPr>
          <w:rStyle w:val="a7"/>
        </w:rPr>
        <w:footnoteRef/>
      </w:r>
      <w:r>
        <w:rPr>
          <w:rtl/>
        </w:rPr>
        <w:t xml:space="preserve"> </w:t>
      </w:r>
      <w:r>
        <w:rPr>
          <w:rFonts w:cs="Arial"/>
          <w:rtl/>
        </w:rPr>
        <w:t>מנה ומאתים ותוספת שממון הבעל ראוי לינתן לה הלכך מספק לא תוציאנו מחזקת הבעל ומחזקת יורשים</w:t>
      </w:r>
      <w:r>
        <w:rPr>
          <w:rFonts w:cs="Arial" w:hint="cs"/>
          <w:rtl/>
        </w:rPr>
        <w:t>, רשב"ם</w:t>
      </w:r>
      <w:r>
        <w:rPr>
          <w:rFonts w:cs="Arial"/>
          <w:rtl/>
        </w:rPr>
        <w:t>.</w:t>
      </w:r>
    </w:p>
  </w:footnote>
  <w:footnote w:id="1248">
    <w:p w14:paraId="366D5B6F" w14:textId="77777777" w:rsidR="00DE2F5F" w:rsidRDefault="00DE2F5F" w:rsidP="007B4753">
      <w:pPr>
        <w:pStyle w:val="a5"/>
        <w:rPr>
          <w:rtl/>
        </w:rPr>
      </w:pPr>
      <w:r>
        <w:rPr>
          <w:rStyle w:val="a7"/>
        </w:rPr>
        <w:footnoteRef/>
      </w:r>
      <w:r>
        <w:rPr>
          <w:rtl/>
        </w:rPr>
        <w:t xml:space="preserve"> </w:t>
      </w:r>
      <w:r>
        <w:rPr>
          <w:rFonts w:cs="Arial"/>
          <w:rtl/>
        </w:rPr>
        <w:t>הן נכסי מלוג שנפלו מבית האב ואין אחריותן עליו</w:t>
      </w:r>
      <w:r>
        <w:rPr>
          <w:rFonts w:cs="Arial" w:hint="cs"/>
          <w:rtl/>
        </w:rPr>
        <w:t>, רשב"ם</w:t>
      </w:r>
      <w:r>
        <w:rPr>
          <w:rFonts w:cs="Arial"/>
          <w:rtl/>
        </w:rPr>
        <w:t>.</w:t>
      </w:r>
    </w:p>
  </w:footnote>
  <w:footnote w:id="1249">
    <w:p w14:paraId="1C598C37" w14:textId="77777777" w:rsidR="00DE2F5F" w:rsidRPr="00BD74BB" w:rsidRDefault="00DE2F5F" w:rsidP="007B4753">
      <w:pPr>
        <w:pStyle w:val="a5"/>
        <w:rPr>
          <w:rFonts w:cs="Arial"/>
          <w:rtl/>
        </w:rPr>
      </w:pPr>
      <w:r>
        <w:rPr>
          <w:rStyle w:val="a7"/>
        </w:rPr>
        <w:footnoteRef/>
      </w:r>
      <w:r>
        <w:rPr>
          <w:rtl/>
        </w:rPr>
        <w:t xml:space="preserve"> </w:t>
      </w:r>
      <w:r>
        <w:rPr>
          <w:rFonts w:cs="Arial"/>
          <w:rtl/>
        </w:rPr>
        <w:t>שמאביה בא לה</w:t>
      </w:r>
      <w:r>
        <w:rPr>
          <w:rFonts w:cs="Arial" w:hint="cs"/>
          <w:rtl/>
        </w:rPr>
        <w:t>, רשב"ם</w:t>
      </w:r>
      <w:r>
        <w:rPr>
          <w:rFonts w:cs="Arial"/>
          <w:rtl/>
        </w:rPr>
        <w:t>.</w:t>
      </w:r>
    </w:p>
  </w:footnote>
  <w:footnote w:id="1250">
    <w:p w14:paraId="1BE9BBE7" w14:textId="186990B1" w:rsidR="00DE2F5F" w:rsidRDefault="00DE2F5F">
      <w:pPr>
        <w:pStyle w:val="a5"/>
        <w:rPr>
          <w:rtl/>
        </w:rPr>
      </w:pPr>
      <w:r>
        <w:rPr>
          <w:rStyle w:val="a7"/>
        </w:rPr>
        <w:footnoteRef/>
      </w:r>
      <w:r>
        <w:rPr>
          <w:rtl/>
        </w:rPr>
        <w:t xml:space="preserve"> </w:t>
      </w:r>
      <w:r>
        <w:rPr>
          <w:rFonts w:cs="Arial"/>
          <w:rtl/>
        </w:rPr>
        <w:t xml:space="preserve">פשוט הוא </w:t>
      </w:r>
      <w:r w:rsidRPr="004B1BD3">
        <w:rPr>
          <w:rFonts w:cs="Arial"/>
          <w:sz w:val="16"/>
          <w:szCs w:val="16"/>
          <w:rtl/>
        </w:rPr>
        <w:t xml:space="preserve">[בדק הבית] </w:t>
      </w:r>
      <w:r>
        <w:rPr>
          <w:rFonts w:cs="Arial"/>
          <w:rtl/>
        </w:rPr>
        <w:t>לכאורה</w:t>
      </w:r>
      <w:r w:rsidR="00AE3B0E">
        <w:rPr>
          <w:rFonts w:cs="Arial" w:hint="cs"/>
          <w:rtl/>
        </w:rPr>
        <w:t>.</w:t>
      </w:r>
      <w:r>
        <w:rPr>
          <w:rFonts w:cs="Arial"/>
          <w:rtl/>
        </w:rPr>
        <w:t xml:space="preserve"> אבל לפירוש הר"ש מנייד דלא חיישינן להתפסת צררי במת פתאום כמו שנתבאר בסימן צ"ו אין צריך לידחק בכך </w:t>
      </w:r>
      <w:r w:rsidRPr="004B1BD3">
        <w:rPr>
          <w:rFonts w:cs="Arial"/>
          <w:sz w:val="16"/>
          <w:szCs w:val="16"/>
          <w:rtl/>
        </w:rPr>
        <w:t>[עד כאן]</w:t>
      </w:r>
      <w:r>
        <w:rPr>
          <w:rFonts w:hint="cs"/>
          <w:rtl/>
        </w:rPr>
        <w:t>, ב"י.</w:t>
      </w:r>
    </w:p>
  </w:footnote>
  <w:footnote w:id="1251">
    <w:p w14:paraId="35679E24" w14:textId="5D06A292" w:rsidR="00DE2F5F" w:rsidRDefault="00DE2F5F">
      <w:pPr>
        <w:pStyle w:val="a5"/>
        <w:rPr>
          <w:rtl/>
        </w:rPr>
      </w:pPr>
      <w:r>
        <w:rPr>
          <w:rStyle w:val="a7"/>
        </w:rPr>
        <w:footnoteRef/>
      </w:r>
      <w:r>
        <w:rPr>
          <w:rtl/>
        </w:rPr>
        <w:t xml:space="preserve"> </w:t>
      </w:r>
      <w:r w:rsidRPr="009B4B1E">
        <w:rPr>
          <w:rFonts w:cs="Arial"/>
          <w:rtl/>
        </w:rPr>
        <w:t>אבל אם אין לו בנים אלא ממנה אין נ"מ מזה דהא הבנים יורשים הכל אבל אם יש לו בן מאשה הראשונה ובן מאשה זו שייך דין זה אע</w:t>
      </w:r>
      <w:r>
        <w:rPr>
          <w:rFonts w:cs="Arial" w:hint="cs"/>
          <w:rtl/>
        </w:rPr>
        <w:t>"</w:t>
      </w:r>
      <w:r w:rsidRPr="009B4B1E">
        <w:rPr>
          <w:rFonts w:cs="Arial"/>
          <w:rtl/>
        </w:rPr>
        <w:t>ג דבן מאשה זו יורש בוודאי חצי הכתובה ונ"מ ונצ"ב לא אמרינן כיון דהוא יורש ודאי במקצת יורש הכל ועיין בח"ה סימן ר"פ</w:t>
      </w:r>
      <w:r>
        <w:rPr>
          <w:rFonts w:hint="cs"/>
          <w:rtl/>
        </w:rPr>
        <w:t>, ב"ש (סקכ"ה).</w:t>
      </w:r>
    </w:p>
  </w:footnote>
  <w:footnote w:id="1252">
    <w:p w14:paraId="6DB5687B" w14:textId="154CADC8" w:rsidR="00DE2F5F" w:rsidRDefault="00DE2F5F">
      <w:pPr>
        <w:pStyle w:val="a5"/>
        <w:rPr>
          <w:rtl/>
        </w:rPr>
      </w:pPr>
      <w:r>
        <w:rPr>
          <w:rStyle w:val="a7"/>
        </w:rPr>
        <w:footnoteRef/>
      </w:r>
      <w:r>
        <w:rPr>
          <w:rtl/>
        </w:rPr>
        <w:t xml:space="preserve"> </w:t>
      </w:r>
      <w:r w:rsidRPr="00CB21A0">
        <w:rPr>
          <w:rFonts w:cs="Arial"/>
          <w:rtl/>
        </w:rPr>
        <w:t>ואף על פי שיחד לה נכסים לכתובה, שאם היתה בחיים לא היתה צריכה לישבע אפ"ה הכתובה והתוס' בחזקת יורשי הבעל כל זמן שלא מת הוא בודאי בחייה עיין בטור</w:t>
      </w:r>
      <w:r>
        <w:rPr>
          <w:rFonts w:hint="cs"/>
          <w:rtl/>
        </w:rPr>
        <w:t>, ח"מ (סקי"ח).</w:t>
      </w:r>
    </w:p>
  </w:footnote>
  <w:footnote w:id="1253">
    <w:p w14:paraId="3AD5AF2F" w14:textId="5AEEDCD5" w:rsidR="00DE2F5F" w:rsidRDefault="00DE2F5F">
      <w:pPr>
        <w:pStyle w:val="a5"/>
      </w:pPr>
      <w:r>
        <w:rPr>
          <w:rStyle w:val="a7"/>
        </w:rPr>
        <w:footnoteRef/>
      </w:r>
      <w:r>
        <w:rPr>
          <w:rtl/>
        </w:rPr>
        <w:t xml:space="preserve"> </w:t>
      </w:r>
      <w:r w:rsidRPr="00CB21A0">
        <w:rPr>
          <w:rFonts w:cs="Arial"/>
          <w:rtl/>
        </w:rPr>
        <w:t>אע</w:t>
      </w:r>
      <w:r w:rsidR="00AE3B0E">
        <w:rPr>
          <w:rFonts w:cs="Arial" w:hint="cs"/>
          <w:rtl/>
        </w:rPr>
        <w:t>"</w:t>
      </w:r>
      <w:r w:rsidRPr="00CB21A0">
        <w:rPr>
          <w:rFonts w:cs="Arial"/>
          <w:rtl/>
        </w:rPr>
        <w:t>פ דק"ל לקמן סי' צ"ו דאם אין נכסי צ"ב בעין אז דברים הבאים מכחן אינה נפרעת אלא בשבועה</w:t>
      </w:r>
      <w:r w:rsidR="00AE3B0E">
        <w:rPr>
          <w:rFonts w:cs="Arial" w:hint="cs"/>
          <w:rtl/>
        </w:rPr>
        <w:t>,</w:t>
      </w:r>
      <w:r w:rsidRPr="00CB21A0">
        <w:rPr>
          <w:rFonts w:cs="Arial"/>
          <w:rtl/>
        </w:rPr>
        <w:t xml:space="preserve"> וכאן שמתה בלא שבוע</w:t>
      </w:r>
      <w:r w:rsidR="00AE3B0E">
        <w:rPr>
          <w:rFonts w:cs="Arial" w:hint="cs"/>
          <w:rtl/>
        </w:rPr>
        <w:t>ה</w:t>
      </w:r>
      <w:r w:rsidRPr="00CB21A0">
        <w:rPr>
          <w:rFonts w:cs="Arial"/>
          <w:rtl/>
        </w:rPr>
        <w:t xml:space="preserve"> אם כן אין אדם מוריש שבועה לבניו</w:t>
      </w:r>
      <w:r w:rsidR="00AE3B0E">
        <w:rPr>
          <w:rFonts w:cs="Arial" w:hint="cs"/>
          <w:rtl/>
        </w:rPr>
        <w:t>,</w:t>
      </w:r>
      <w:r w:rsidRPr="00CB21A0">
        <w:rPr>
          <w:rFonts w:cs="Arial"/>
          <w:rtl/>
        </w:rPr>
        <w:t xml:space="preserve"> כבר כתב הרא"ש בשם הרשב"א </w:t>
      </w:r>
      <w:r w:rsidR="00AE3B0E">
        <w:rPr>
          <w:rFonts w:cs="Arial" w:hint="cs"/>
          <w:rtl/>
        </w:rPr>
        <w:t>(</w:t>
      </w:r>
      <w:r w:rsidRPr="00CB21A0">
        <w:rPr>
          <w:rFonts w:cs="Arial"/>
          <w:rtl/>
        </w:rPr>
        <w:t>פ"ק דב</w:t>
      </w:r>
      <w:r w:rsidR="00AE3B0E">
        <w:rPr>
          <w:rFonts w:cs="Arial" w:hint="cs"/>
          <w:rtl/>
        </w:rPr>
        <w:t>"ב</w:t>
      </w:r>
      <w:r w:rsidRPr="00CB21A0">
        <w:rPr>
          <w:rFonts w:cs="Arial"/>
          <w:rtl/>
        </w:rPr>
        <w:t xml:space="preserve"> ס</w:t>
      </w:r>
      <w:r w:rsidR="00ED1E58">
        <w:rPr>
          <w:rFonts w:cs="Arial" w:hint="cs"/>
          <w:rtl/>
        </w:rPr>
        <w:t xml:space="preserve">י' </w:t>
      </w:r>
      <w:r w:rsidRPr="00CB21A0">
        <w:rPr>
          <w:rFonts w:cs="Arial"/>
          <w:rtl/>
        </w:rPr>
        <w:t>ט</w:t>
      </w:r>
      <w:r w:rsidR="00ED1E58">
        <w:rPr>
          <w:rFonts w:cs="Arial" w:hint="cs"/>
          <w:rtl/>
        </w:rPr>
        <w:t>)</w:t>
      </w:r>
      <w:r w:rsidRPr="00CB21A0">
        <w:rPr>
          <w:rFonts w:cs="Arial"/>
          <w:rtl/>
        </w:rPr>
        <w:t xml:space="preserve"> דאין דרך להתפיס צררי אלא סמוך למית</w:t>
      </w:r>
      <w:r w:rsidR="00ED1E58">
        <w:rPr>
          <w:rFonts w:cs="Arial" w:hint="cs"/>
          <w:rtl/>
        </w:rPr>
        <w:t>ה,</w:t>
      </w:r>
      <w:r w:rsidRPr="00CB21A0">
        <w:rPr>
          <w:rFonts w:cs="Arial"/>
          <w:rtl/>
        </w:rPr>
        <w:t xml:space="preserve"> ובנפל הבית ומת פתאום לא חיישי</w:t>
      </w:r>
      <w:r w:rsidR="00ED1E58">
        <w:rPr>
          <w:rFonts w:cs="Arial" w:hint="cs"/>
          <w:rtl/>
        </w:rPr>
        <w:t>נן</w:t>
      </w:r>
      <w:r w:rsidRPr="00CB21A0">
        <w:rPr>
          <w:rFonts w:cs="Arial"/>
          <w:rtl/>
        </w:rPr>
        <w:t xml:space="preserve"> לצררי</w:t>
      </w:r>
      <w:r w:rsidR="00ED1E58">
        <w:rPr>
          <w:rFonts w:cs="Arial" w:hint="cs"/>
          <w:rtl/>
        </w:rPr>
        <w:t>,</w:t>
      </w:r>
      <w:r w:rsidRPr="00CB21A0">
        <w:rPr>
          <w:rFonts w:cs="Arial"/>
          <w:rtl/>
        </w:rPr>
        <w:t xml:space="preserve"> לכך לא צריכה שבועה</w:t>
      </w:r>
      <w:r w:rsidR="00ED1E58">
        <w:rPr>
          <w:rFonts w:cs="Arial" w:hint="cs"/>
          <w:rtl/>
        </w:rPr>
        <w:t>.</w:t>
      </w:r>
      <w:r w:rsidRPr="00CB21A0">
        <w:rPr>
          <w:rFonts w:cs="Arial"/>
          <w:rtl/>
        </w:rPr>
        <w:t xml:space="preserve"> ועיין בת</w:t>
      </w:r>
      <w:r w:rsidR="00ED1E58">
        <w:rPr>
          <w:rFonts w:cs="Arial" w:hint="cs"/>
          <w:rtl/>
        </w:rPr>
        <w:t>רוה"ד</w:t>
      </w:r>
      <w:r w:rsidRPr="00CB21A0">
        <w:rPr>
          <w:rFonts w:cs="Arial"/>
          <w:rtl/>
        </w:rPr>
        <w:t xml:space="preserve"> </w:t>
      </w:r>
      <w:r w:rsidR="00ED1E58">
        <w:rPr>
          <w:rFonts w:cs="Arial" w:hint="cs"/>
          <w:rtl/>
        </w:rPr>
        <w:t>(</w:t>
      </w:r>
      <w:r w:rsidRPr="00CB21A0">
        <w:rPr>
          <w:rFonts w:cs="Arial"/>
          <w:rtl/>
        </w:rPr>
        <w:t>סי' של</w:t>
      </w:r>
      <w:r w:rsidR="00ED1E58">
        <w:rPr>
          <w:rFonts w:cs="Arial" w:hint="cs"/>
          <w:rtl/>
        </w:rPr>
        <w:t>)</w:t>
      </w:r>
      <w:r>
        <w:rPr>
          <w:rFonts w:cs="Arial" w:hint="cs"/>
          <w:rtl/>
        </w:rPr>
        <w:t>, ח"מ (סקי"ט).</w:t>
      </w:r>
      <w:r w:rsidRPr="009B4B1E">
        <w:rPr>
          <w:rtl/>
        </w:rPr>
        <w:t xml:space="preserve"> </w:t>
      </w:r>
      <w:r>
        <w:rPr>
          <w:rFonts w:hint="cs"/>
          <w:rtl/>
        </w:rPr>
        <w:t xml:space="preserve">ותוספת </w:t>
      </w:r>
      <w:r w:rsidRPr="009B4B1E">
        <w:rPr>
          <w:rFonts w:cs="Arial"/>
          <w:rtl/>
        </w:rPr>
        <w:t>היינו מה שהוסיף הוא מעצמו</w:t>
      </w:r>
      <w:r>
        <w:rPr>
          <w:rFonts w:cs="Arial" w:hint="cs"/>
          <w:rtl/>
        </w:rPr>
        <w:t>,</w:t>
      </w:r>
      <w:r w:rsidRPr="009B4B1E">
        <w:rPr>
          <w:rFonts w:cs="Arial"/>
          <w:rtl/>
        </w:rPr>
        <w:t xml:space="preserve"> אבל תוספות שליש על הנדוניא דינו כנצ"ב כמו שכתוב בסי' ק'</w:t>
      </w:r>
      <w:r>
        <w:rPr>
          <w:rFonts w:cs="Arial" w:hint="cs"/>
          <w:rtl/>
        </w:rPr>
        <w:t>, ב"ש (סקכ"ו).</w:t>
      </w:r>
    </w:p>
  </w:footnote>
  <w:footnote w:id="1254">
    <w:p w14:paraId="1FDF5297" w14:textId="77777777" w:rsidR="00ED1E58" w:rsidRDefault="00ED1E58" w:rsidP="00ED1E58">
      <w:pPr>
        <w:pStyle w:val="a5"/>
        <w:rPr>
          <w:rtl/>
        </w:rPr>
      </w:pPr>
      <w:r>
        <w:rPr>
          <w:rStyle w:val="a7"/>
        </w:rPr>
        <w:footnoteRef/>
      </w:r>
      <w:r>
        <w:rPr>
          <w:rtl/>
        </w:rPr>
        <w:t xml:space="preserve"> </w:t>
      </w:r>
      <w:r>
        <w:rPr>
          <w:rFonts w:hint="cs"/>
          <w:rtl/>
        </w:rPr>
        <w:t>סימן - עסקה חכמה.</w:t>
      </w:r>
    </w:p>
  </w:footnote>
  <w:footnote w:id="1255">
    <w:p w14:paraId="461ADDFF" w14:textId="147DF0A9" w:rsidR="00DE2F5F" w:rsidRDefault="00DE2F5F" w:rsidP="004A598C">
      <w:pPr>
        <w:pStyle w:val="a5"/>
      </w:pPr>
      <w:r>
        <w:rPr>
          <w:rStyle w:val="a7"/>
        </w:rPr>
        <w:footnoteRef/>
      </w:r>
      <w:r>
        <w:rPr>
          <w:rtl/>
        </w:rPr>
        <w:t xml:space="preserve"> </w:t>
      </w:r>
      <w:r w:rsidRPr="004700E8">
        <w:rPr>
          <w:rFonts w:cs="Arial"/>
          <w:rtl/>
        </w:rPr>
        <w:t>אלמנה היתה</w:t>
      </w:r>
      <w:r>
        <w:rPr>
          <w:rFonts w:cs="Arial" w:hint="cs"/>
          <w:rtl/>
        </w:rPr>
        <w:t>,</w:t>
      </w:r>
      <w:r w:rsidRPr="004700E8">
        <w:rPr>
          <w:rFonts w:cs="Arial"/>
          <w:rtl/>
        </w:rPr>
        <w:t xml:space="preserve"> ובאת להנשא</w:t>
      </w:r>
      <w:r>
        <w:rPr>
          <w:rFonts w:cs="Arial" w:hint="cs"/>
          <w:rtl/>
        </w:rPr>
        <w:t>,</w:t>
      </w:r>
      <w:r w:rsidRPr="004700E8">
        <w:rPr>
          <w:rFonts w:cs="Arial"/>
          <w:rtl/>
        </w:rPr>
        <w:t xml:space="preserve"> והיתה מקדמת ונותנתן לבתה כדי להבריח זכות בעלה מהם שלא יזכה בהם</w:t>
      </w:r>
      <w:r>
        <w:rPr>
          <w:rFonts w:cs="Arial" w:hint="cs"/>
          <w:rtl/>
        </w:rPr>
        <w:t>, רש"י. ועוד כתב רש"י (שם באותו ד"ה)</w:t>
      </w:r>
      <w:r w:rsidRPr="004700E8">
        <w:rPr>
          <w:rFonts w:cs="Arial"/>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4700E8">
        <w:rPr>
          <w:rFonts w:cs="Arial"/>
          <w:rtl/>
        </w:rPr>
        <w:t>והודיעה לעדים שאין מתנה זו מתנה אלא להבריח ולא שתזכה בהם הבת אם תתאלמן היא או תתגרש</w:t>
      </w:r>
      <w:r>
        <w:rPr>
          <w:rFonts w:cs="Arial" w:hint="cs"/>
          <w:sz w:val="16"/>
          <w:szCs w:val="16"/>
          <w:rtl/>
        </w:rPr>
        <w:t xml:space="preserve"> {עכ"ל}</w:t>
      </w:r>
      <w:r>
        <w:rPr>
          <w:rFonts w:cs="Arial" w:hint="cs"/>
          <w:rtl/>
        </w:rPr>
        <w:t xml:space="preserve">. ועל זה </w:t>
      </w:r>
      <w:r>
        <w:rPr>
          <w:rFonts w:cs="Arial"/>
          <w:rtl/>
        </w:rPr>
        <w:t xml:space="preserve">כתב הר"ן (לז. ד"ה גמ' ידועים) </w:t>
      </w:r>
      <w:r>
        <w:rPr>
          <w:rFonts w:cs="Arial" w:hint="cs"/>
          <w:rtl/>
        </w:rPr>
        <w:t>ד</w:t>
      </w:r>
      <w:r>
        <w:rPr>
          <w:rFonts w:cs="Arial"/>
          <w:rtl/>
        </w:rPr>
        <w:t xml:space="preserve">לא נהירא </w:t>
      </w:r>
      <w:r w:rsidRPr="00B32B58">
        <w:rPr>
          <w:rFonts w:cs="Arial" w:hint="cs"/>
          <w:sz w:val="16"/>
          <w:szCs w:val="16"/>
          <w:rtl/>
        </w:rPr>
        <w:t>(</w:t>
      </w:r>
      <w:r w:rsidRPr="00B32B58">
        <w:rPr>
          <w:rFonts w:cs="Arial"/>
          <w:sz w:val="16"/>
          <w:szCs w:val="16"/>
          <w:rtl/>
        </w:rPr>
        <w:t>דהכא פליג רב ענן כדאיתא בגמ</w:t>
      </w:r>
      <w:r>
        <w:rPr>
          <w:rFonts w:cs="Arial" w:hint="cs"/>
          <w:sz w:val="16"/>
          <w:szCs w:val="16"/>
          <w:rtl/>
        </w:rPr>
        <w:t>'</w:t>
      </w:r>
      <w:r w:rsidRPr="00B32B58">
        <w:rPr>
          <w:rFonts w:cs="Arial"/>
          <w:sz w:val="16"/>
          <w:szCs w:val="16"/>
          <w:rtl/>
        </w:rPr>
        <w:t xml:space="preserve"> (עט.)</w:t>
      </w:r>
      <w:r w:rsidRPr="00B32B58">
        <w:rPr>
          <w:rFonts w:cs="Arial" w:hint="cs"/>
          <w:sz w:val="16"/>
          <w:szCs w:val="16"/>
          <w:rtl/>
        </w:rPr>
        <w:t>,</w:t>
      </w:r>
      <w:r w:rsidRPr="00B32B58">
        <w:rPr>
          <w:rFonts w:cs="Arial"/>
          <w:sz w:val="16"/>
          <w:szCs w:val="16"/>
          <w:rtl/>
        </w:rPr>
        <w:t xml:space="preserve"> ואילו גילתה דעתה ליכא מאן דפליג</w:t>
      </w:r>
      <w:r w:rsidRPr="00B32B58">
        <w:rPr>
          <w:rFonts w:cs="Arial" w:hint="cs"/>
          <w:sz w:val="16"/>
          <w:szCs w:val="16"/>
          <w:rtl/>
        </w:rPr>
        <w:t>,</w:t>
      </w:r>
      <w:r w:rsidRPr="00B32B58">
        <w:rPr>
          <w:rFonts w:cs="Arial"/>
          <w:sz w:val="16"/>
          <w:szCs w:val="16"/>
          <w:rtl/>
        </w:rPr>
        <w:t xml:space="preserve"> כדאמרינן בפרק מי שמת (קנא.) אפילו למ"ד מברחת קנה הני מילי היכא דלא גליא דעתה אבל הא גליא דעתה</w:t>
      </w:r>
      <w:r>
        <w:rPr>
          <w:rFonts w:cs="Arial" w:hint="cs"/>
          <w:sz w:val="16"/>
          <w:szCs w:val="16"/>
          <w:rtl/>
        </w:rPr>
        <w:t>)</w:t>
      </w:r>
      <w:r>
        <w:rPr>
          <w:rFonts w:cs="Arial" w:hint="cs"/>
          <w:rtl/>
        </w:rPr>
        <w:t>,</w:t>
      </w:r>
      <w:r>
        <w:rPr>
          <w:rFonts w:cs="Arial"/>
          <w:rtl/>
        </w:rPr>
        <w:t xml:space="preserve"> וגם הרא"ש (שם) כתב על דברי רש"י ולא נהירא לי </w:t>
      </w:r>
      <w:r w:rsidRPr="006A4799">
        <w:rPr>
          <w:rFonts w:cs="Arial" w:hint="cs"/>
          <w:sz w:val="16"/>
          <w:szCs w:val="16"/>
          <w:rtl/>
        </w:rPr>
        <w:t>(</w:t>
      </w:r>
      <w:r w:rsidRPr="006A4799">
        <w:rPr>
          <w:rFonts w:cs="Arial"/>
          <w:sz w:val="16"/>
          <w:szCs w:val="16"/>
          <w:rtl/>
        </w:rPr>
        <w:t>דאם כן אפילו מקצתן נמי כיון דאיכא תנאי</w:t>
      </w:r>
      <w:r w:rsidRPr="006A4799">
        <w:rPr>
          <w:rFonts w:cs="Arial" w:hint="cs"/>
          <w:sz w:val="16"/>
          <w:szCs w:val="16"/>
          <w:rtl/>
        </w:rPr>
        <w:t>.</w:t>
      </w:r>
      <w:r w:rsidRPr="006A4799">
        <w:rPr>
          <w:rFonts w:cs="Arial"/>
          <w:sz w:val="16"/>
          <w:szCs w:val="16"/>
          <w:rtl/>
        </w:rPr>
        <w:t xml:space="preserve"> ועוד דאי איכא עדים אמאי בעי רבא לפלוגי בין ברתה לאחריני</w:t>
      </w:r>
      <w:r w:rsidRPr="006A4799">
        <w:rPr>
          <w:rFonts w:cs="Arial" w:hint="cs"/>
          <w:sz w:val="16"/>
          <w:szCs w:val="16"/>
          <w:rtl/>
        </w:rPr>
        <w:t>.</w:t>
      </w:r>
      <w:r w:rsidRPr="006A4799">
        <w:rPr>
          <w:rFonts w:cs="Arial"/>
          <w:sz w:val="16"/>
          <w:szCs w:val="16"/>
          <w:rtl/>
        </w:rPr>
        <w:t xml:space="preserve"> ועוד אי כתב ידן יוצא ממקום אחר מה מועיל מה שהודיעה לעדים</w:t>
      </w:r>
      <w:r w:rsidRPr="006A4799">
        <w:rPr>
          <w:rFonts w:cs="Arial" w:hint="cs"/>
          <w:sz w:val="16"/>
          <w:szCs w:val="16"/>
          <w:rtl/>
        </w:rPr>
        <w:t>,</w:t>
      </w:r>
      <w:r w:rsidRPr="006A4799">
        <w:rPr>
          <w:rFonts w:cs="Arial"/>
          <w:sz w:val="16"/>
          <w:szCs w:val="16"/>
          <w:rtl/>
        </w:rPr>
        <w:t xml:space="preserve"> לא אתי בעל פה ומרע לשטרא</w:t>
      </w:r>
      <w:r w:rsidRPr="006A4799">
        <w:rPr>
          <w:rFonts w:cs="Arial" w:hint="cs"/>
          <w:sz w:val="16"/>
          <w:szCs w:val="16"/>
          <w:rtl/>
        </w:rPr>
        <w:t>.</w:t>
      </w:r>
      <w:r w:rsidRPr="006A4799">
        <w:rPr>
          <w:rFonts w:cs="Arial"/>
          <w:sz w:val="16"/>
          <w:szCs w:val="16"/>
          <w:rtl/>
        </w:rPr>
        <w:t xml:space="preserve"> ועוד אמרינן בפרק מי שמת אפילו למ"ד מברחת קני הני מילי היכא דלא גליא דעתה דמשום אינסובי והא גליא דעתה והתם לא היה תנאי דאילו היה תנאי לא היה טועה רב ביבי לקיים המתנה</w:t>
      </w:r>
      <w:r w:rsidRPr="006A4799">
        <w:rPr>
          <w:rFonts w:cs="Arial" w:hint="cs"/>
          <w:sz w:val="16"/>
          <w:szCs w:val="16"/>
          <w:rtl/>
        </w:rPr>
        <w:t>,</w:t>
      </w:r>
      <w:r w:rsidRPr="006A4799">
        <w:rPr>
          <w:rFonts w:cs="Arial"/>
          <w:sz w:val="16"/>
          <w:szCs w:val="16"/>
          <w:rtl/>
        </w:rPr>
        <w:t xml:space="preserve"> אלא גילוי דעת שאמרה שהיתה רוצה לינשא והא גילוי דעת מועיל לכו</w:t>
      </w:r>
      <w:r>
        <w:rPr>
          <w:rFonts w:cs="Arial" w:hint="cs"/>
          <w:sz w:val="16"/>
          <w:szCs w:val="16"/>
          <w:rtl/>
        </w:rPr>
        <w:t>"ע</w:t>
      </w:r>
      <w:r w:rsidRPr="006A4799">
        <w:rPr>
          <w:rFonts w:cs="Arial"/>
          <w:sz w:val="16"/>
          <w:szCs w:val="16"/>
          <w:rtl/>
        </w:rPr>
        <w:t xml:space="preserve"> אפילו למ"ד מברחת קנה</w:t>
      </w:r>
      <w:r w:rsidRPr="006A4799">
        <w:rPr>
          <w:rFonts w:cs="Arial" w:hint="cs"/>
          <w:sz w:val="16"/>
          <w:szCs w:val="16"/>
          <w:rtl/>
        </w:rPr>
        <w:t>,</w:t>
      </w:r>
      <w:r w:rsidRPr="006A4799">
        <w:rPr>
          <w:rFonts w:cs="Arial"/>
          <w:sz w:val="16"/>
          <w:szCs w:val="16"/>
          <w:rtl/>
        </w:rPr>
        <w:t xml:space="preserve"> כי ההוא דזבן נכסיה אדעתא למיסק לארץ ישראל</w:t>
      </w:r>
      <w:r w:rsidRPr="006A4799">
        <w:rPr>
          <w:rFonts w:cs="Arial" w:hint="cs"/>
          <w:sz w:val="16"/>
          <w:szCs w:val="16"/>
          <w:rtl/>
        </w:rPr>
        <w:t>.</w:t>
      </w:r>
      <w:r w:rsidRPr="006A4799">
        <w:rPr>
          <w:rFonts w:cs="Arial"/>
          <w:sz w:val="16"/>
          <w:szCs w:val="16"/>
          <w:rtl/>
        </w:rPr>
        <w:t xml:space="preserve"> מכלל</w:t>
      </w:r>
      <w:r>
        <w:rPr>
          <w:rFonts w:cs="Arial" w:hint="cs"/>
          <w:sz w:val="16"/>
          <w:szCs w:val="16"/>
          <w:rtl/>
        </w:rPr>
        <w:t>-)</w:t>
      </w:r>
      <w:r w:rsidRPr="006A4799">
        <w:rPr>
          <w:rFonts w:cs="Arial"/>
          <w:sz w:val="16"/>
          <w:szCs w:val="16"/>
          <w:rtl/>
        </w:rPr>
        <w:t xml:space="preserve"> </w:t>
      </w:r>
      <w:r>
        <w:rPr>
          <w:rFonts w:cs="Arial"/>
          <w:rtl/>
        </w:rPr>
        <w:t>דמברחת אפילו גילוי דעת אין כאן</w:t>
      </w:r>
      <w:r>
        <w:rPr>
          <w:rFonts w:cs="Arial" w:hint="cs"/>
          <w:rtl/>
        </w:rPr>
        <w:t>.</w:t>
      </w:r>
      <w:r>
        <w:rPr>
          <w:rFonts w:cs="Arial"/>
          <w:rtl/>
        </w:rPr>
        <w:t xml:space="preserve"> אלא שידוע לעולם שאשה זו עומדת לינשא וכשכותבת כל נכסיה לאחר אנו אומדין דעתה שלהבריח מבעלה נתכוונה</w:t>
      </w:r>
      <w:r>
        <w:rPr>
          <w:rFonts w:cs="Arial" w:hint="cs"/>
          <w:rtl/>
        </w:rPr>
        <w:t>,</w:t>
      </w:r>
      <w:r>
        <w:rPr>
          <w:rFonts w:cs="Arial"/>
          <w:rtl/>
        </w:rPr>
        <w:t xml:space="preserve"> דלא שביק איניש נפשיה וכו'</w:t>
      </w:r>
      <w:r>
        <w:rPr>
          <w:rFonts w:cs="Arial" w:hint="cs"/>
          <w:rtl/>
        </w:rPr>
        <w:t>.</w:t>
      </w:r>
      <w:r w:rsidRPr="00D079DF">
        <w:rPr>
          <w:rFonts w:cs="Arial"/>
          <w:rtl/>
        </w:rPr>
        <w:t xml:space="preserve"> </w:t>
      </w:r>
      <w:r>
        <w:rPr>
          <w:rFonts w:cs="Arial"/>
          <w:rtl/>
        </w:rPr>
        <w:t>וכן אם נשאת מיד סמוך לנתינת הנכסים</w:t>
      </w:r>
      <w:r>
        <w:rPr>
          <w:rFonts w:cs="Arial" w:hint="cs"/>
          <w:rtl/>
        </w:rPr>
        <w:t>.</w:t>
      </w:r>
      <w:r>
        <w:rPr>
          <w:rFonts w:cs="Arial"/>
          <w:rtl/>
        </w:rPr>
        <w:t xml:space="preserve"> הילכך אמדינן דעתה דנתכוונה להבריח הנכסים מבעלה שלא יאכל הפירות</w:t>
      </w:r>
      <w:r>
        <w:rPr>
          <w:rFonts w:cs="Arial" w:hint="cs"/>
          <w:rtl/>
        </w:rPr>
        <w:t>,</w:t>
      </w:r>
      <w:r>
        <w:rPr>
          <w:rFonts w:cs="Arial"/>
          <w:rtl/>
        </w:rPr>
        <w:t xml:space="preserve"> וגם לא יירשנה אם תמות</w:t>
      </w:r>
      <w:r>
        <w:rPr>
          <w:rFonts w:cs="Arial" w:hint="cs"/>
          <w:rtl/>
        </w:rPr>
        <w:t>,</w:t>
      </w:r>
      <w:r>
        <w:rPr>
          <w:rFonts w:cs="Arial"/>
          <w:rtl/>
        </w:rPr>
        <w:t xml:space="preserve"> ושתוכל למכור פירות כל פעם שתרצה</w:t>
      </w:r>
      <w:r>
        <w:rPr>
          <w:rFonts w:hint="cs"/>
          <w:rtl/>
        </w:rPr>
        <w:t>.</w:t>
      </w:r>
    </w:p>
  </w:footnote>
  <w:footnote w:id="1256">
    <w:p w14:paraId="0FC359A1" w14:textId="77777777" w:rsidR="00DE2F5F" w:rsidRDefault="00DE2F5F" w:rsidP="004A598C">
      <w:pPr>
        <w:pStyle w:val="a5"/>
      </w:pPr>
      <w:r>
        <w:rPr>
          <w:rStyle w:val="a7"/>
        </w:rPr>
        <w:footnoteRef/>
      </w:r>
      <w:r>
        <w:rPr>
          <w:rtl/>
        </w:rPr>
        <w:t xml:space="preserve"> </w:t>
      </w:r>
      <w:r w:rsidRPr="006D295A">
        <w:rPr>
          <w:rFonts w:cs="Arial"/>
          <w:rtl/>
        </w:rPr>
        <w:t>לתבוע את בתה להחזיר לה הנכסים והבת הוציאה שטר מתנתה וקרעיה ר"נ</w:t>
      </w:r>
      <w:r>
        <w:rPr>
          <w:rFonts w:cs="Arial" w:hint="cs"/>
          <w:rtl/>
        </w:rPr>
        <w:t>, רש"י.</w:t>
      </w:r>
    </w:p>
  </w:footnote>
  <w:footnote w:id="1257">
    <w:p w14:paraId="54522EBC" w14:textId="77777777" w:rsidR="00DE2F5F" w:rsidRDefault="00DE2F5F" w:rsidP="004A598C">
      <w:pPr>
        <w:pStyle w:val="a5"/>
      </w:pPr>
      <w:r>
        <w:rPr>
          <w:rStyle w:val="a7"/>
        </w:rPr>
        <w:footnoteRef/>
      </w:r>
      <w:r>
        <w:rPr>
          <w:rtl/>
        </w:rPr>
        <w:t xml:space="preserve"> </w:t>
      </w:r>
      <w:r w:rsidRPr="006D295A">
        <w:rPr>
          <w:rFonts w:cs="Arial"/>
          <w:rtl/>
        </w:rPr>
        <w:t>אינו בקי בדינין ומר עוקבא אב ב"ד הוה</w:t>
      </w:r>
      <w:r>
        <w:rPr>
          <w:rFonts w:cs="Arial" w:hint="cs"/>
          <w:rtl/>
        </w:rPr>
        <w:t>, רש"י.</w:t>
      </w:r>
    </w:p>
  </w:footnote>
  <w:footnote w:id="1258">
    <w:p w14:paraId="6FD7B371" w14:textId="77777777" w:rsidR="00DE2F5F" w:rsidRDefault="00DE2F5F" w:rsidP="004A598C">
      <w:pPr>
        <w:pStyle w:val="a5"/>
        <w:rPr>
          <w:rtl/>
        </w:rPr>
      </w:pPr>
      <w:r>
        <w:rPr>
          <w:rStyle w:val="a7"/>
        </w:rPr>
        <w:footnoteRef/>
      </w:r>
      <w:r>
        <w:rPr>
          <w:rtl/>
        </w:rPr>
        <w:t xml:space="preserve"> </w:t>
      </w:r>
      <w:r w:rsidRPr="006D295A">
        <w:rPr>
          <w:rFonts w:cs="Arial"/>
          <w:rtl/>
        </w:rPr>
        <w:t>שירצה המקבל מתנה להחזיק בנכסים על פיו שלא להחזירם לנותן אקרענו ולקמיה פריך הואיל ולאו שטרא הוא היאך הועיל להבריח</w:t>
      </w:r>
      <w:r>
        <w:rPr>
          <w:rFonts w:hint="cs"/>
          <w:rtl/>
        </w:rPr>
        <w:t>, רש"י.</w:t>
      </w:r>
    </w:p>
  </w:footnote>
  <w:footnote w:id="1259">
    <w:p w14:paraId="410BEB64" w14:textId="77777777" w:rsidR="00DE2F5F" w:rsidRDefault="00DE2F5F" w:rsidP="004A598C">
      <w:pPr>
        <w:pStyle w:val="a5"/>
      </w:pPr>
      <w:r>
        <w:rPr>
          <w:rStyle w:val="a7"/>
        </w:rPr>
        <w:footnoteRef/>
      </w:r>
      <w:r>
        <w:rPr>
          <w:rtl/>
        </w:rPr>
        <w:t xml:space="preserve"> </w:t>
      </w:r>
      <w:r w:rsidRPr="006D295A">
        <w:rPr>
          <w:rFonts w:cs="Arial"/>
          <w:rtl/>
        </w:rPr>
        <w:t>רבא לרב נחמן כשקרע אותו שטר היכי סמכת בהא אדשמואל וקרעת ליה</w:t>
      </w:r>
      <w:r>
        <w:rPr>
          <w:rFonts w:cs="Arial" w:hint="cs"/>
          <w:rtl/>
        </w:rPr>
        <w:t>, רש"י.</w:t>
      </w:r>
    </w:p>
  </w:footnote>
  <w:footnote w:id="1260">
    <w:p w14:paraId="01522031" w14:textId="77777777" w:rsidR="00DE2F5F" w:rsidRDefault="00DE2F5F" w:rsidP="004A598C">
      <w:pPr>
        <w:pStyle w:val="a5"/>
        <w:rPr>
          <w:rtl/>
        </w:rPr>
      </w:pPr>
      <w:r>
        <w:rPr>
          <w:rStyle w:val="a7"/>
        </w:rPr>
        <w:footnoteRef/>
      </w:r>
      <w:r>
        <w:rPr>
          <w:rtl/>
        </w:rPr>
        <w:t xml:space="preserve"> </w:t>
      </w:r>
      <w:r w:rsidRPr="006D295A">
        <w:rPr>
          <w:rFonts w:cs="Arial"/>
          <w:rtl/>
        </w:rPr>
        <w:t>אמר שמואל אקרענו</w:t>
      </w:r>
      <w:r>
        <w:rPr>
          <w:rFonts w:hint="cs"/>
          <w:rtl/>
        </w:rPr>
        <w:t>, רש"י.</w:t>
      </w:r>
    </w:p>
  </w:footnote>
  <w:footnote w:id="1261">
    <w:p w14:paraId="46A9A881" w14:textId="77777777" w:rsidR="00DE2F5F" w:rsidRDefault="00DE2F5F" w:rsidP="004A598C">
      <w:pPr>
        <w:pStyle w:val="a5"/>
        <w:rPr>
          <w:rtl/>
        </w:rPr>
      </w:pPr>
      <w:r>
        <w:rPr>
          <w:rStyle w:val="a7"/>
        </w:rPr>
        <w:footnoteRef/>
      </w:r>
      <w:r>
        <w:rPr>
          <w:rtl/>
        </w:rPr>
        <w:t xml:space="preserve"> </w:t>
      </w:r>
      <w:r w:rsidRPr="006D295A">
        <w:rPr>
          <w:rFonts w:cs="Arial"/>
          <w:rtl/>
        </w:rPr>
        <w:t>ולא גמר להקנותו אלא בעוד שהוא דואג מאחרים שלא יחזיקו בהם</w:t>
      </w:r>
      <w:r>
        <w:rPr>
          <w:rFonts w:hint="cs"/>
          <w:rtl/>
        </w:rPr>
        <w:t>, רש"י.</w:t>
      </w:r>
    </w:p>
  </w:footnote>
  <w:footnote w:id="1262">
    <w:p w14:paraId="75B23940" w14:textId="77777777" w:rsidR="00DE2F5F" w:rsidRDefault="00DE2F5F" w:rsidP="004A598C">
      <w:pPr>
        <w:pStyle w:val="a5"/>
        <w:rPr>
          <w:rtl/>
        </w:rPr>
      </w:pPr>
      <w:r>
        <w:rPr>
          <w:rStyle w:val="a7"/>
        </w:rPr>
        <w:footnoteRef/>
      </w:r>
      <w:r>
        <w:rPr>
          <w:rtl/>
        </w:rPr>
        <w:t xml:space="preserve"> </w:t>
      </w:r>
      <w:r w:rsidRPr="006D295A">
        <w:rPr>
          <w:rFonts w:cs="Arial"/>
          <w:rtl/>
        </w:rPr>
        <w:t>בנותנתן לאיש נכרי איכא למימר דלא גמרה ואקניא</w:t>
      </w:r>
      <w:r>
        <w:rPr>
          <w:rFonts w:hint="cs"/>
          <w:rtl/>
        </w:rPr>
        <w:t>, רש"י.</w:t>
      </w:r>
    </w:p>
  </w:footnote>
  <w:footnote w:id="1263">
    <w:p w14:paraId="514B3021" w14:textId="77777777" w:rsidR="00DE2F5F" w:rsidRDefault="00DE2F5F" w:rsidP="004A598C">
      <w:pPr>
        <w:pStyle w:val="a5"/>
      </w:pPr>
      <w:r>
        <w:rPr>
          <w:rStyle w:val="a7"/>
        </w:rPr>
        <w:footnoteRef/>
      </w:r>
      <w:r>
        <w:rPr>
          <w:rtl/>
        </w:rPr>
        <w:t xml:space="preserve"> </w:t>
      </w:r>
      <w:r w:rsidRPr="006D295A">
        <w:rPr>
          <w:rFonts w:cs="Arial"/>
          <w:rtl/>
        </w:rPr>
        <w:t>מתנה חלוטה</w:t>
      </w:r>
      <w:r>
        <w:rPr>
          <w:rFonts w:cs="Arial" w:hint="cs"/>
          <w:rtl/>
        </w:rPr>
        <w:t>, רש"י.</w:t>
      </w:r>
    </w:p>
  </w:footnote>
  <w:footnote w:id="1264">
    <w:p w14:paraId="4C8240C6" w14:textId="77777777" w:rsidR="00DE2F5F" w:rsidRDefault="00DE2F5F" w:rsidP="004A598C">
      <w:pPr>
        <w:pStyle w:val="a5"/>
        <w:rPr>
          <w:rtl/>
        </w:rPr>
      </w:pPr>
      <w:r>
        <w:rPr>
          <w:rStyle w:val="a7"/>
        </w:rPr>
        <w:footnoteRef/>
      </w:r>
      <w:r>
        <w:rPr>
          <w:rtl/>
        </w:rPr>
        <w:t xml:space="preserve"> </w:t>
      </w:r>
      <w:r w:rsidRPr="006D295A">
        <w:rPr>
          <w:rFonts w:cs="Arial"/>
          <w:rtl/>
        </w:rPr>
        <w:t>שטר פיוסים שמפייסתו לקבל מתנה זו להפקיע זכות בעלה קודם נישואין ולא שיזכה מקבל זה בהם</w:t>
      </w:r>
      <w:r>
        <w:rPr>
          <w:rFonts w:hint="cs"/>
          <w:rtl/>
        </w:rPr>
        <w:t>, רש"י.</w:t>
      </w:r>
    </w:p>
  </w:footnote>
  <w:footnote w:id="1265">
    <w:p w14:paraId="3BFBBD27" w14:textId="77777777" w:rsidR="00DE2F5F" w:rsidRDefault="00DE2F5F" w:rsidP="004A598C">
      <w:pPr>
        <w:pStyle w:val="a5"/>
      </w:pPr>
      <w:r>
        <w:rPr>
          <w:rStyle w:val="a7"/>
        </w:rPr>
        <w:footnoteRef/>
      </w:r>
      <w:r>
        <w:rPr>
          <w:rtl/>
        </w:rPr>
        <w:t xml:space="preserve"> </w:t>
      </w:r>
      <w:r w:rsidRPr="006D295A">
        <w:rPr>
          <w:rFonts w:cs="Arial"/>
          <w:rtl/>
        </w:rPr>
        <w:t>המקבל הזה</w:t>
      </w:r>
      <w:r>
        <w:rPr>
          <w:rFonts w:cs="Arial" w:hint="cs"/>
          <w:rtl/>
        </w:rPr>
        <w:t>, רש"י.</w:t>
      </w:r>
    </w:p>
  </w:footnote>
  <w:footnote w:id="1266">
    <w:p w14:paraId="4394571C" w14:textId="77777777" w:rsidR="00DE2F5F" w:rsidRDefault="00DE2F5F" w:rsidP="004A598C">
      <w:pPr>
        <w:pStyle w:val="a5"/>
      </w:pPr>
      <w:r>
        <w:rPr>
          <w:rStyle w:val="a7"/>
        </w:rPr>
        <w:footnoteRef/>
      </w:r>
      <w:r>
        <w:rPr>
          <w:rtl/>
        </w:rPr>
        <w:t xml:space="preserve"> </w:t>
      </w:r>
      <w:r w:rsidRPr="006D295A">
        <w:rPr>
          <w:rFonts w:cs="Arial"/>
          <w:rtl/>
        </w:rPr>
        <w:t>ומחזיק בהן עולמית</w:t>
      </w:r>
      <w:r>
        <w:rPr>
          <w:rFonts w:cs="Arial" w:hint="cs"/>
          <w:rtl/>
        </w:rPr>
        <w:t>, רש"י.</w:t>
      </w:r>
    </w:p>
  </w:footnote>
  <w:footnote w:id="1267">
    <w:p w14:paraId="2CDEB420" w14:textId="561B334D" w:rsidR="00DE2F5F" w:rsidRDefault="00DE2F5F" w:rsidP="004A598C">
      <w:pPr>
        <w:pStyle w:val="a5"/>
      </w:pPr>
      <w:r>
        <w:rPr>
          <w:rStyle w:val="a7"/>
        </w:rPr>
        <w:footnoteRef/>
      </w:r>
      <w:r>
        <w:rPr>
          <w:rtl/>
        </w:rPr>
        <w:t xml:space="preserve"> </w:t>
      </w:r>
      <w:r w:rsidRPr="006D295A">
        <w:rPr>
          <w:rFonts w:cs="Arial"/>
          <w:rtl/>
        </w:rPr>
        <w:t>בשטר זה מהיום נתונים לך ולכשארצה</w:t>
      </w:r>
      <w:r>
        <w:rPr>
          <w:rFonts w:cs="Arial" w:hint="cs"/>
          <w:rtl/>
        </w:rPr>
        <w:t>,</w:t>
      </w:r>
      <w:r w:rsidRPr="006D295A">
        <w:rPr>
          <w:rFonts w:cs="Arial"/>
          <w:rtl/>
        </w:rPr>
        <w:t xml:space="preserve"> יש כאן הברחה מבעלה</w:t>
      </w:r>
      <w:r>
        <w:rPr>
          <w:rFonts w:cs="Arial" w:hint="cs"/>
          <w:rtl/>
        </w:rPr>
        <w:t>,</w:t>
      </w:r>
      <w:r w:rsidRPr="006D295A">
        <w:rPr>
          <w:rFonts w:cs="Arial"/>
          <w:rtl/>
        </w:rPr>
        <w:t xml:space="preserve"> שאם בא לזכות תאמר אני רוצה [במתנה</w:t>
      </w:r>
      <w:r>
        <w:rPr>
          <w:rFonts w:cs="Arial" w:hint="cs"/>
          <w:rtl/>
        </w:rPr>
        <w:t>,</w:t>
      </w:r>
      <w:r w:rsidRPr="006D295A">
        <w:rPr>
          <w:rFonts w:cs="Arial"/>
          <w:rtl/>
        </w:rPr>
        <w:t xml:space="preserve"> ונמצא קיימת למפרע</w:t>
      </w:r>
      <w:r>
        <w:rPr>
          <w:rFonts w:cs="Arial" w:hint="cs"/>
          <w:rtl/>
        </w:rPr>
        <w:t>.</w:t>
      </w:r>
      <w:r w:rsidRPr="006D295A">
        <w:rPr>
          <w:rFonts w:cs="Arial"/>
          <w:rtl/>
        </w:rPr>
        <w:t xml:space="preserve"> ואם זה שנכתב שטר יבוא להחזיק</w:t>
      </w:r>
      <w:r>
        <w:rPr>
          <w:rFonts w:cs="Arial" w:hint="cs"/>
          <w:rtl/>
        </w:rPr>
        <w:t>,</w:t>
      </w:r>
      <w:r w:rsidRPr="006D295A">
        <w:rPr>
          <w:rFonts w:cs="Arial"/>
          <w:rtl/>
        </w:rPr>
        <w:t xml:space="preserve"> תאמר איני רוצה]</w:t>
      </w:r>
      <w:r>
        <w:rPr>
          <w:rFonts w:cs="Arial" w:hint="cs"/>
          <w:rtl/>
        </w:rPr>
        <w:t>, רש"י.</w:t>
      </w:r>
      <w:r w:rsidRPr="00BA4D73">
        <w:rPr>
          <w:rFonts w:cs="Arial"/>
          <w:rtl/>
        </w:rPr>
        <w:t xml:space="preserve"> </w:t>
      </w:r>
      <w:r>
        <w:rPr>
          <w:rFonts w:cs="Arial" w:hint="cs"/>
          <w:rtl/>
        </w:rPr>
        <w:t>וכתב הב"י דכן נראה שהרמב"ם (פכ"ב מאישות הכ"ב) מפרש</w:t>
      </w:r>
      <w:r>
        <w:rPr>
          <w:rFonts w:cs="Arial"/>
          <w:rtl/>
        </w:rPr>
        <w:t xml:space="preserve"> </w:t>
      </w:r>
      <w:r w:rsidRPr="00C37E3F">
        <w:rPr>
          <w:rFonts w:cs="Arial" w:hint="cs"/>
          <w:sz w:val="16"/>
          <w:szCs w:val="16"/>
          <w:rtl/>
        </w:rPr>
        <w:t>(</w:t>
      </w:r>
      <w:r w:rsidRPr="00C37E3F">
        <w:rPr>
          <w:rFonts w:cs="Arial"/>
          <w:sz w:val="16"/>
          <w:szCs w:val="16"/>
          <w:rtl/>
        </w:rPr>
        <w:t>וכתב הר"ן (שם) וזה על דרך מאי דאמרינן בקידושין פרק האומר (סג.) דעל מנת שירצה</w:t>
      </w:r>
      <w:r w:rsidRPr="00C37E3F">
        <w:rPr>
          <w:rFonts w:cs="Arial" w:hint="cs"/>
          <w:sz w:val="16"/>
          <w:szCs w:val="16"/>
          <w:rtl/>
        </w:rPr>
        <w:t>,</w:t>
      </w:r>
      <w:r w:rsidRPr="00C37E3F">
        <w:rPr>
          <w:rFonts w:cs="Arial"/>
          <w:sz w:val="16"/>
          <w:szCs w:val="16"/>
          <w:rtl/>
        </w:rPr>
        <w:t xml:space="preserve"> היינו דאמר אין</w:t>
      </w:r>
      <w:r w:rsidRPr="00C37E3F">
        <w:rPr>
          <w:rFonts w:cs="Arial" w:hint="cs"/>
          <w:sz w:val="16"/>
          <w:szCs w:val="16"/>
          <w:rtl/>
        </w:rPr>
        <w:t>,</w:t>
      </w:r>
      <w:r w:rsidRPr="00C37E3F">
        <w:rPr>
          <w:rFonts w:cs="Arial"/>
          <w:sz w:val="16"/>
          <w:szCs w:val="16"/>
          <w:rtl/>
        </w:rPr>
        <w:t xml:space="preserve"> וכל היכא שאמר אין </w:t>
      </w:r>
      <w:r w:rsidRPr="00C37E3F">
        <w:rPr>
          <w:rFonts w:cs="Arial" w:hint="cs"/>
          <w:sz w:val="16"/>
          <w:szCs w:val="16"/>
          <w:rtl/>
        </w:rPr>
        <w:t xml:space="preserve">- </w:t>
      </w:r>
      <w:r w:rsidRPr="00C37E3F">
        <w:rPr>
          <w:rFonts w:cs="Arial"/>
          <w:sz w:val="16"/>
          <w:szCs w:val="16"/>
          <w:rtl/>
        </w:rPr>
        <w:t>קנה למפרע אפילו הם מטלטלים ובשעה שתרצה עומדים ברשות הרבים</w:t>
      </w:r>
      <w:r w:rsidRPr="00C37E3F">
        <w:rPr>
          <w:rFonts w:cs="Arial" w:hint="cs"/>
          <w:sz w:val="16"/>
          <w:szCs w:val="16"/>
          <w:rtl/>
        </w:rPr>
        <w:t>,</w:t>
      </w:r>
      <w:r w:rsidRPr="00C37E3F">
        <w:rPr>
          <w:rFonts w:cs="Arial"/>
          <w:sz w:val="16"/>
          <w:szCs w:val="16"/>
          <w:rtl/>
        </w:rPr>
        <w:t xml:space="preserve"> כדמוכח בריש המפקיד (ב"מ לד.)</w:t>
      </w:r>
      <w:r>
        <w:rPr>
          <w:rFonts w:cs="Arial" w:hint="cs"/>
          <w:rtl/>
        </w:rPr>
        <w:t>.</w:t>
      </w:r>
      <w:r>
        <w:rPr>
          <w:rFonts w:cs="Arial"/>
          <w:rtl/>
        </w:rPr>
        <w:t xml:space="preserve"> וכ</w:t>
      </w:r>
      <w:r>
        <w:rPr>
          <w:rFonts w:cs="Arial" w:hint="cs"/>
          <w:rtl/>
        </w:rPr>
        <w:t>"</w:t>
      </w:r>
      <w:r>
        <w:rPr>
          <w:rFonts w:cs="Arial"/>
          <w:rtl/>
        </w:rPr>
        <w:t>כ הה</w:t>
      </w:r>
      <w:r>
        <w:rPr>
          <w:rFonts w:cs="Arial" w:hint="cs"/>
          <w:rtl/>
        </w:rPr>
        <w:t>"</w:t>
      </w:r>
      <w:r>
        <w:rPr>
          <w:rFonts w:cs="Arial"/>
          <w:rtl/>
        </w:rPr>
        <w:t>מ (שם) בשם הרשב"א (כתובות עט. ד"ה וחכמים)</w:t>
      </w:r>
      <w:r>
        <w:rPr>
          <w:rFonts w:cs="Arial" w:hint="cs"/>
          <w:rtl/>
        </w:rPr>
        <w:t>, וכתב הה"מ שכן עיקר</w:t>
      </w:r>
      <w:r>
        <w:rPr>
          <w:rFonts w:cs="Arial"/>
          <w:rtl/>
        </w:rPr>
        <w:t>.</w:t>
      </w:r>
      <w:r>
        <w:rPr>
          <w:rFonts w:cs="Arial" w:hint="cs"/>
          <w:rtl/>
        </w:rPr>
        <w:t xml:space="preserve"> אך הרא"ש</w:t>
      </w:r>
      <w:r>
        <w:rPr>
          <w:rFonts w:cs="Arial"/>
          <w:rtl/>
        </w:rPr>
        <w:t xml:space="preserve"> </w:t>
      </w:r>
      <w:r w:rsidRPr="0024340F">
        <w:rPr>
          <w:rFonts w:cs="Arial"/>
          <w:sz w:val="16"/>
          <w:szCs w:val="16"/>
          <w:rtl/>
        </w:rPr>
        <w:t>(</w:t>
      </w:r>
      <w:r w:rsidRPr="0024340F">
        <w:rPr>
          <w:rFonts w:cs="Arial" w:hint="cs"/>
          <w:sz w:val="16"/>
          <w:szCs w:val="16"/>
          <w:rtl/>
        </w:rPr>
        <w:t xml:space="preserve">כתובות פ"ח </w:t>
      </w:r>
      <w:r w:rsidRPr="0024340F">
        <w:rPr>
          <w:rFonts w:cs="Arial"/>
          <w:sz w:val="16"/>
          <w:szCs w:val="16"/>
          <w:rtl/>
        </w:rPr>
        <w:t>סי' ב)</w:t>
      </w:r>
      <w:r w:rsidRPr="0024340F">
        <w:rPr>
          <w:rFonts w:cs="Arial" w:hint="cs"/>
          <w:sz w:val="16"/>
          <w:szCs w:val="16"/>
          <w:rtl/>
        </w:rPr>
        <w:t xml:space="preserve"> </w:t>
      </w:r>
      <w:r>
        <w:rPr>
          <w:rFonts w:cs="Arial" w:hint="cs"/>
          <w:rtl/>
        </w:rPr>
        <w:t>כתב '</w:t>
      </w:r>
      <w:r>
        <w:rPr>
          <w:rFonts w:cs="Arial"/>
          <w:rtl/>
        </w:rPr>
        <w:t>עד שתכתוב לו מהיום לכשארצה</w:t>
      </w:r>
      <w:r>
        <w:rPr>
          <w:rFonts w:cs="Arial" w:hint="cs"/>
          <w:rtl/>
        </w:rPr>
        <w:t>'</w:t>
      </w:r>
      <w:r>
        <w:rPr>
          <w:rFonts w:cs="Arial"/>
          <w:rtl/>
        </w:rPr>
        <w:t xml:space="preserve"> פירוש מהיום תחול המתנה לכשארצה לקיימה</w:t>
      </w:r>
      <w:r>
        <w:rPr>
          <w:rFonts w:cs="Arial" w:hint="cs"/>
          <w:rtl/>
        </w:rPr>
        <w:t>,</w:t>
      </w:r>
      <w:r>
        <w:rPr>
          <w:rFonts w:cs="Arial"/>
          <w:rtl/>
        </w:rPr>
        <w:t xml:space="preserve"> אבל בכל פעם שארצה הרשות בידי לבטלה</w:t>
      </w:r>
      <w:r>
        <w:rPr>
          <w:rFonts w:cs="Arial" w:hint="cs"/>
          <w:rtl/>
        </w:rPr>
        <w:t>.</w:t>
      </w:r>
      <w:r>
        <w:rPr>
          <w:rFonts w:cs="Arial"/>
          <w:rtl/>
        </w:rPr>
        <w:t xml:space="preserve"> וכן כתב הר"ן (לז: ד"ה שטר) בשם ר"ח</w:t>
      </w:r>
      <w:r>
        <w:rPr>
          <w:rFonts w:cs="Arial" w:hint="cs"/>
          <w:rtl/>
        </w:rPr>
        <w:t>.</w:t>
      </w:r>
      <w:r>
        <w:rPr>
          <w:rFonts w:hint="cs"/>
          <w:rtl/>
        </w:rPr>
        <w:t xml:space="preserve"> </w:t>
      </w:r>
    </w:p>
  </w:footnote>
  <w:footnote w:id="1268">
    <w:p w14:paraId="76B0F920" w14:textId="77777777" w:rsidR="00DE2F5F" w:rsidRDefault="00DE2F5F" w:rsidP="004A598C">
      <w:pPr>
        <w:pStyle w:val="a5"/>
      </w:pPr>
      <w:r>
        <w:rPr>
          <w:rStyle w:val="a7"/>
        </w:rPr>
        <w:footnoteRef/>
      </w:r>
      <w:r>
        <w:rPr>
          <w:rtl/>
        </w:rPr>
        <w:t xml:space="preserve"> </w:t>
      </w:r>
      <w:r w:rsidRPr="00B26A8D">
        <w:rPr>
          <w:rFonts w:cs="Arial"/>
          <w:rtl/>
        </w:rPr>
        <w:t>תיובתא דשמואל</w:t>
      </w:r>
      <w:r>
        <w:rPr>
          <w:rFonts w:cs="Arial" w:hint="cs"/>
          <w:rtl/>
        </w:rPr>
        <w:t>, רש"י.</w:t>
      </w:r>
    </w:p>
  </w:footnote>
  <w:footnote w:id="1269">
    <w:p w14:paraId="7E524818" w14:textId="77777777" w:rsidR="00DE2F5F" w:rsidRDefault="00DE2F5F" w:rsidP="004A598C">
      <w:pPr>
        <w:pStyle w:val="a5"/>
      </w:pPr>
      <w:r>
        <w:rPr>
          <w:rStyle w:val="a7"/>
        </w:rPr>
        <w:footnoteRef/>
      </w:r>
      <w:r>
        <w:rPr>
          <w:rtl/>
        </w:rPr>
        <w:t xml:space="preserve"> </w:t>
      </w:r>
      <w:r w:rsidRPr="00B26A8D">
        <w:rPr>
          <w:rFonts w:cs="Arial"/>
          <w:rtl/>
        </w:rPr>
        <w:t>כי אמר שמואל לא קני בכותבת לו כל נכסיה דכיון דלא שיירה מידי לנפשה אם תתגרש אנן סהדי דלא גמרה ומקניא והא דקתני רצה מצחק בה בכותבת מקצתן</w:t>
      </w:r>
      <w:r>
        <w:rPr>
          <w:rFonts w:cs="Arial" w:hint="cs"/>
          <w:rtl/>
        </w:rPr>
        <w:t>, רש"י.</w:t>
      </w:r>
    </w:p>
  </w:footnote>
  <w:footnote w:id="1270">
    <w:p w14:paraId="35A4AA25" w14:textId="3F470B6C" w:rsidR="00DE2F5F" w:rsidRDefault="00DE2F5F" w:rsidP="004A598C">
      <w:pPr>
        <w:pStyle w:val="a5"/>
      </w:pPr>
      <w:r>
        <w:rPr>
          <w:rStyle w:val="a7"/>
        </w:rPr>
        <w:footnoteRef/>
      </w:r>
      <w:r>
        <w:rPr>
          <w:rtl/>
        </w:rPr>
        <w:t xml:space="preserve"> </w:t>
      </w:r>
      <w:r w:rsidRPr="00B26A8D">
        <w:rPr>
          <w:rFonts w:cs="Arial"/>
          <w:rtl/>
        </w:rPr>
        <w:t>לשמואל בכותבת כולן דאמר לא קני</w:t>
      </w:r>
      <w:r>
        <w:rPr>
          <w:rFonts w:cs="Arial" w:hint="cs"/>
          <w:rtl/>
        </w:rPr>
        <w:t>,</w:t>
      </w:r>
      <w:r w:rsidRPr="00B26A8D">
        <w:rPr>
          <w:rFonts w:cs="Arial"/>
          <w:rtl/>
        </w:rPr>
        <w:t xml:space="preserve"> כיון דלא קני מאי הברחה איכא ליקנינהו בעל ויאכל פירות וירשנה אם תמות תחתיו</w:t>
      </w:r>
      <w:r>
        <w:rPr>
          <w:rFonts w:cs="Arial" w:hint="cs"/>
          <w:rtl/>
        </w:rPr>
        <w:t xml:space="preserve">, רש"י. והביא הר"ן (לז: ד"ה הא) דבריו, וכתב </w:t>
      </w:r>
      <w:r w:rsidR="0061020A">
        <w:rPr>
          <w:rFonts w:cs="Arial" w:hint="cs"/>
          <w:rtl/>
        </w:rPr>
        <w:t>וז</w:t>
      </w:r>
      <w:r w:rsidR="0061020A">
        <w:rPr>
          <w:rFonts w:cs="Arial"/>
          <w:rtl/>
        </w:rPr>
        <w:t>"</w:t>
      </w:r>
      <w:r w:rsidR="0061020A">
        <w:rPr>
          <w:rFonts w:cs="Arial" w:hint="cs"/>
          <w:rtl/>
        </w:rPr>
        <w:t>ל:</w:t>
      </w:r>
      <w:r>
        <w:rPr>
          <w:rFonts w:cs="Arial" w:hint="cs"/>
          <w:rtl/>
        </w:rPr>
        <w:t xml:space="preserve"> אבל </w:t>
      </w:r>
      <w:r w:rsidRPr="001A2DA7">
        <w:rPr>
          <w:rFonts w:cs="Arial"/>
          <w:rtl/>
        </w:rPr>
        <w:t xml:space="preserve">מדברי הרמב"ם ז"ל </w:t>
      </w:r>
      <w:r>
        <w:rPr>
          <w:rFonts w:cs="Arial" w:hint="cs"/>
          <w:rtl/>
        </w:rPr>
        <w:t>(</w:t>
      </w:r>
      <w:r w:rsidRPr="001A2DA7">
        <w:rPr>
          <w:rFonts w:cs="Arial"/>
          <w:rtl/>
        </w:rPr>
        <w:t>בפ</w:t>
      </w:r>
      <w:r>
        <w:rPr>
          <w:rFonts w:cs="Arial" w:hint="cs"/>
          <w:rtl/>
        </w:rPr>
        <w:t>כ"ב</w:t>
      </w:r>
      <w:r w:rsidRPr="001A2DA7">
        <w:rPr>
          <w:rFonts w:cs="Arial"/>
          <w:rtl/>
        </w:rPr>
        <w:t xml:space="preserve"> מהל</w:t>
      </w:r>
      <w:r>
        <w:rPr>
          <w:rFonts w:cs="Arial" w:hint="cs"/>
          <w:rtl/>
        </w:rPr>
        <w:t>'</w:t>
      </w:r>
      <w:r w:rsidRPr="001A2DA7">
        <w:rPr>
          <w:rFonts w:cs="Arial"/>
          <w:rtl/>
        </w:rPr>
        <w:t xml:space="preserve"> אישות</w:t>
      </w:r>
      <w:r>
        <w:rPr>
          <w:rFonts w:cs="Arial" w:hint="cs"/>
          <w:rtl/>
        </w:rPr>
        <w:t>)</w:t>
      </w:r>
      <w:r w:rsidRPr="001A2DA7">
        <w:rPr>
          <w:rFonts w:cs="Arial"/>
          <w:rtl/>
        </w:rPr>
        <w:t xml:space="preserve"> נראה לי דלאו אדשמואל פרכינן</w:t>
      </w:r>
      <w:r>
        <w:rPr>
          <w:rFonts w:cs="Arial" w:hint="cs"/>
          <w:rtl/>
        </w:rPr>
        <w:t>,</w:t>
      </w:r>
      <w:r w:rsidRPr="001A2DA7">
        <w:rPr>
          <w:rFonts w:cs="Arial"/>
          <w:rtl/>
        </w:rPr>
        <w:t xml:space="preserve"> דבמברחת קנה לוקח אם תמות היא בחייו </w:t>
      </w:r>
      <w:r w:rsidRPr="001A2DA7">
        <w:rPr>
          <w:rFonts w:cs="Arial" w:hint="cs"/>
          <w:sz w:val="16"/>
          <w:szCs w:val="16"/>
          <w:rtl/>
        </w:rPr>
        <w:t>(</w:t>
      </w:r>
      <w:r w:rsidRPr="001A2DA7">
        <w:rPr>
          <w:rFonts w:cs="Arial"/>
          <w:sz w:val="16"/>
          <w:szCs w:val="16"/>
          <w:rtl/>
        </w:rPr>
        <w:t>שמתוך אומדן דעת שלה הרי הוא כאילו פרשה שאם הבעל ימות בחייה לא תהא מתנה כלום ואם היא תמות בחיי בעלה שיזכה בה מקבל מתנה אלא שלא רצתה לפרש כן כי היכי דלא תהוי לה איבה</w:t>
      </w:r>
      <w:r>
        <w:rPr>
          <w:rFonts w:cs="Arial" w:hint="cs"/>
          <w:sz w:val="16"/>
          <w:szCs w:val="16"/>
          <w:rtl/>
        </w:rPr>
        <w:t>)</w:t>
      </w:r>
      <w:r>
        <w:rPr>
          <w:rFonts w:cs="Arial" w:hint="cs"/>
          <w:rtl/>
        </w:rPr>
        <w:t>,</w:t>
      </w:r>
      <w:r w:rsidRPr="001A2DA7">
        <w:rPr>
          <w:rFonts w:cs="Arial"/>
          <w:rtl/>
        </w:rPr>
        <w:t xml:space="preserve"> וכי פרכינן ואי לא קננהו לוקח ליקנינהו בעל אמהיום ולכשארצה פרכינן דכיון שמתה ולא אמרה אין נמצא שלא קנה לוקח מעולם ואי הכי ליקנינהו בעל</w:t>
      </w:r>
      <w:r>
        <w:rPr>
          <w:rFonts w:cs="Arial" w:hint="cs"/>
          <w:rtl/>
        </w:rPr>
        <w:t>.</w:t>
      </w:r>
    </w:p>
  </w:footnote>
  <w:footnote w:id="1271">
    <w:p w14:paraId="092016CD" w14:textId="77777777" w:rsidR="00DE2F5F" w:rsidRDefault="00DE2F5F" w:rsidP="004A598C">
      <w:pPr>
        <w:pStyle w:val="a5"/>
        <w:rPr>
          <w:rtl/>
        </w:rPr>
      </w:pPr>
      <w:r>
        <w:rPr>
          <w:rStyle w:val="a7"/>
        </w:rPr>
        <w:footnoteRef/>
      </w:r>
      <w:r>
        <w:rPr>
          <w:rtl/>
        </w:rPr>
        <w:t xml:space="preserve"> </w:t>
      </w:r>
      <w:r w:rsidRPr="00B26A8D">
        <w:rPr>
          <w:rFonts w:cs="Arial"/>
          <w:rtl/>
        </w:rPr>
        <w:t>שהרי ע"מ שאינן שלה נשאה דסבור שהמתנה גמורה</w:t>
      </w:r>
      <w:r>
        <w:rPr>
          <w:rFonts w:hint="cs"/>
          <w:rtl/>
        </w:rPr>
        <w:t>, רש"י.</w:t>
      </w:r>
    </w:p>
  </w:footnote>
  <w:footnote w:id="1272">
    <w:p w14:paraId="1AF72E79" w14:textId="4EAB0F12" w:rsidR="00DE2F5F" w:rsidRDefault="00DE2F5F">
      <w:pPr>
        <w:pStyle w:val="a5"/>
        <w:rPr>
          <w:rtl/>
        </w:rPr>
      </w:pPr>
      <w:r>
        <w:rPr>
          <w:rStyle w:val="a7"/>
        </w:rPr>
        <w:footnoteRef/>
      </w:r>
      <w:r>
        <w:rPr>
          <w:rtl/>
        </w:rPr>
        <w:t xml:space="preserve"> </w:t>
      </w:r>
      <w:r>
        <w:rPr>
          <w:rFonts w:cs="Arial"/>
          <w:rtl/>
        </w:rPr>
        <w:t xml:space="preserve">וז"ל הרמב"ם </w:t>
      </w:r>
      <w:r>
        <w:rPr>
          <w:rFonts w:cs="Arial" w:hint="cs"/>
          <w:rtl/>
        </w:rPr>
        <w:t xml:space="preserve">שם </w:t>
      </w:r>
      <w:r>
        <w:rPr>
          <w:rFonts w:cs="Arial"/>
          <w:rtl/>
        </w:rPr>
        <w:t>(פ"ו מהל</w:t>
      </w:r>
      <w:r>
        <w:rPr>
          <w:rFonts w:cs="Arial" w:hint="cs"/>
          <w:rtl/>
        </w:rPr>
        <w:t xml:space="preserve">' </w:t>
      </w:r>
      <w:r>
        <w:rPr>
          <w:rFonts w:cs="Arial"/>
          <w:rtl/>
        </w:rPr>
        <w:t>זכיה ומתנה הי"ב)</w:t>
      </w:r>
      <w:r>
        <w:rPr>
          <w:rFonts w:cs="Arial" w:hint="cs"/>
          <w:rtl/>
        </w:rPr>
        <w:t xml:space="preserve">- </w:t>
      </w:r>
      <w:r w:rsidRPr="006B7900">
        <w:rPr>
          <w:rFonts w:cs="Arial"/>
          <w:rtl/>
        </w:rPr>
        <w:t>הרוצה להנשא וכתבה כל נכסיה בין לבנה בין לאחר, ואחר כך נשאת ונתגרשה או שמת בעלה</w:t>
      </w:r>
      <w:r>
        <w:rPr>
          <w:rFonts w:cs="Arial" w:hint="cs"/>
          <w:rtl/>
        </w:rPr>
        <w:t xml:space="preserve"> -</w:t>
      </w:r>
      <w:r w:rsidRPr="006B7900">
        <w:rPr>
          <w:rFonts w:cs="Arial"/>
          <w:rtl/>
        </w:rPr>
        <w:t xml:space="preserve"> מתנתה בטילה</w:t>
      </w:r>
      <w:r>
        <w:rPr>
          <w:rFonts w:cs="Arial" w:hint="cs"/>
          <w:rtl/>
        </w:rPr>
        <w:t>,</w:t>
      </w:r>
      <w:r w:rsidRPr="006B7900">
        <w:rPr>
          <w:rFonts w:cs="Arial"/>
          <w:rtl/>
        </w:rPr>
        <w:t xml:space="preserve"> שזו מברחת היא ולא כתבה כל נכסיה אלא להבריח מבעלה שלא יירשנה, וכשתהיה צריכה להן יחזרו לה</w:t>
      </w:r>
      <w:r>
        <w:rPr>
          <w:rFonts w:cs="Arial" w:hint="cs"/>
          <w:rtl/>
        </w:rPr>
        <w:t>.</w:t>
      </w:r>
      <w:r w:rsidRPr="006B7900">
        <w:rPr>
          <w:rFonts w:cs="Arial"/>
          <w:rtl/>
        </w:rPr>
        <w:t xml:space="preserve"> לפיכך אם מתה היא בחיי בעלה</w:t>
      </w:r>
      <w:r>
        <w:rPr>
          <w:rFonts w:cs="Arial" w:hint="cs"/>
          <w:rtl/>
        </w:rPr>
        <w:t>,</w:t>
      </w:r>
      <w:r w:rsidRPr="006B7900">
        <w:rPr>
          <w:rFonts w:cs="Arial"/>
          <w:rtl/>
        </w:rPr>
        <w:t xml:space="preserve"> קנה המקבל מתנה את הכל</w:t>
      </w:r>
      <w:r>
        <w:rPr>
          <w:rFonts w:cs="Arial" w:hint="cs"/>
          <w:rtl/>
        </w:rPr>
        <w:t>.</w:t>
      </w:r>
      <w:r w:rsidRPr="006B7900">
        <w:rPr>
          <w:rFonts w:cs="Arial"/>
          <w:rtl/>
        </w:rPr>
        <w:t xml:space="preserve"> ואם שיירה כלום אפילו מטלטלין</w:t>
      </w:r>
      <w:r>
        <w:rPr>
          <w:rFonts w:cs="Arial" w:hint="cs"/>
          <w:rtl/>
        </w:rPr>
        <w:t xml:space="preserve"> -</w:t>
      </w:r>
      <w:r w:rsidRPr="006B7900">
        <w:rPr>
          <w:rFonts w:cs="Arial"/>
          <w:rtl/>
        </w:rPr>
        <w:t xml:space="preserve"> מתנתה קיימת</w:t>
      </w:r>
      <w:r>
        <w:rPr>
          <w:rFonts w:cs="Arial" w:hint="cs"/>
          <w:rtl/>
        </w:rPr>
        <w:t>,</w:t>
      </w:r>
      <w:r w:rsidRPr="006B7900">
        <w:rPr>
          <w:rFonts w:cs="Arial"/>
          <w:rtl/>
        </w:rPr>
        <w:t xml:space="preserve"> ואף על פי שנתגרשה אינה חוזרת.</w:t>
      </w:r>
    </w:p>
  </w:footnote>
  <w:footnote w:id="1273">
    <w:p w14:paraId="76D53338" w14:textId="76A7F15F" w:rsidR="00DE2F5F" w:rsidRDefault="00DE2F5F" w:rsidP="00BA4D73">
      <w:pPr>
        <w:pStyle w:val="a5"/>
        <w:rPr>
          <w:rtl/>
        </w:rPr>
      </w:pPr>
      <w:r>
        <w:rPr>
          <w:rStyle w:val="a7"/>
        </w:rPr>
        <w:footnoteRef/>
      </w:r>
      <w:r>
        <w:rPr>
          <w:rtl/>
        </w:rPr>
        <w:t xml:space="preserve"> </w:t>
      </w:r>
      <w:r w:rsidRPr="00856465">
        <w:rPr>
          <w:rFonts w:cs="Arial"/>
          <w:rtl/>
        </w:rPr>
        <w:t>שיעור כדי פרנסתו יראה אם הוא עובד אדמה שישייר לו קרקע כדי פרנסת בני ביתו וכן אם מתעסק בסחורה או ברבית ששייר כדי שיוכל להתפרנס מן הריוח</w:t>
      </w:r>
      <w:r>
        <w:rPr>
          <w:rFonts w:hint="cs"/>
          <w:rtl/>
        </w:rPr>
        <w:t>, רא"ש (ב"ב פ"ט סי' כו).</w:t>
      </w:r>
    </w:p>
  </w:footnote>
  <w:footnote w:id="1274">
    <w:p w14:paraId="397AD388" w14:textId="531C888D" w:rsidR="00DE2F5F" w:rsidRDefault="00DE2F5F">
      <w:pPr>
        <w:pStyle w:val="a5"/>
      </w:pPr>
      <w:r>
        <w:rPr>
          <w:rStyle w:val="a7"/>
        </w:rPr>
        <w:footnoteRef/>
      </w:r>
      <w:r>
        <w:rPr>
          <w:rtl/>
        </w:rPr>
        <w:t xml:space="preserve"> </w:t>
      </w:r>
      <w:r>
        <w:rPr>
          <w:rFonts w:cs="Arial"/>
          <w:rtl/>
        </w:rPr>
        <w:t>הילכך הפירות יאכל מקבל המתנה כל זמן שיושבת תחת בעלה</w:t>
      </w:r>
      <w:r>
        <w:rPr>
          <w:rFonts w:cs="Arial" w:hint="cs"/>
          <w:rtl/>
        </w:rPr>
        <w:t>.</w:t>
      </w:r>
      <w:r>
        <w:rPr>
          <w:rFonts w:cs="Arial"/>
          <w:rtl/>
        </w:rPr>
        <w:t xml:space="preserve"> וגם לא מכרתו ונתנתו לאחר שהרי היא כיוונה שלא יהיה הבעל נהנה מהם</w:t>
      </w:r>
      <w:r>
        <w:rPr>
          <w:rFonts w:cs="Arial" w:hint="cs"/>
          <w:rtl/>
        </w:rPr>
        <w:t>,</w:t>
      </w:r>
      <w:r>
        <w:rPr>
          <w:rFonts w:cs="Arial"/>
          <w:rtl/>
        </w:rPr>
        <w:t xml:space="preserve"> </w:t>
      </w:r>
      <w:r w:rsidRPr="00823305">
        <w:rPr>
          <w:rFonts w:cs="Arial"/>
          <w:rtl/>
        </w:rPr>
        <w:t>ואם היו הפירות שלה היה הבעל נהנה מהן דאמרינן בהם ימכרו וילקח בהן קרקע כדפרישי' לעיל גבי פירות נכסים שאינן ידועין</w:t>
      </w:r>
      <w:r>
        <w:rPr>
          <w:rFonts w:cs="Arial" w:hint="cs"/>
          <w:rtl/>
        </w:rPr>
        <w:t>.</w:t>
      </w:r>
      <w:r>
        <w:rPr>
          <w:rFonts w:cs="Arial"/>
          <w:rtl/>
        </w:rPr>
        <w:t xml:space="preserve"> ועוד אומדנא דמוכח שכיוונה שיהיו הפירות של המקבל מתנה לפי שהיא יודעת שלא תמצא מי שישתדל בהם לעבדם ולשמרם ולא יכסיפם אם לא יהנה בפירות</w:t>
      </w:r>
      <w:r>
        <w:rPr>
          <w:rFonts w:cs="Arial" w:hint="cs"/>
          <w:rtl/>
        </w:rPr>
        <w:t xml:space="preserve">, רא"ש </w:t>
      </w:r>
      <w:r w:rsidRPr="0024340F">
        <w:rPr>
          <w:rFonts w:cs="Arial"/>
          <w:sz w:val="16"/>
          <w:szCs w:val="16"/>
          <w:rtl/>
        </w:rPr>
        <w:t>(</w:t>
      </w:r>
      <w:r w:rsidRPr="0024340F">
        <w:rPr>
          <w:rFonts w:cs="Arial" w:hint="cs"/>
          <w:sz w:val="16"/>
          <w:szCs w:val="16"/>
          <w:rtl/>
        </w:rPr>
        <w:t xml:space="preserve">כתובות פ"ח </w:t>
      </w:r>
      <w:r w:rsidRPr="0024340F">
        <w:rPr>
          <w:rFonts w:cs="Arial"/>
          <w:sz w:val="16"/>
          <w:szCs w:val="16"/>
          <w:rtl/>
        </w:rPr>
        <w:t>סי' ב)</w:t>
      </w:r>
      <w:r>
        <w:rPr>
          <w:rFonts w:cs="Arial" w:hint="cs"/>
          <w:rtl/>
        </w:rPr>
        <w:t>.</w:t>
      </w:r>
    </w:p>
  </w:footnote>
  <w:footnote w:id="1275">
    <w:p w14:paraId="39F61C57" w14:textId="7DFE79A9" w:rsidR="00DE2F5F" w:rsidRDefault="00DE2F5F">
      <w:pPr>
        <w:pStyle w:val="a5"/>
        <w:rPr>
          <w:rtl/>
        </w:rPr>
      </w:pPr>
      <w:r>
        <w:rPr>
          <w:rStyle w:val="a7"/>
        </w:rPr>
        <w:footnoteRef/>
      </w:r>
      <w:r>
        <w:rPr>
          <w:rtl/>
        </w:rPr>
        <w:t xml:space="preserve"> </w:t>
      </w:r>
      <w:r>
        <w:rPr>
          <w:rFonts w:cs="Arial"/>
          <w:rtl/>
        </w:rPr>
        <w:t>דאל</w:t>
      </w:r>
      <w:r w:rsidR="00094D0B">
        <w:rPr>
          <w:rFonts w:cs="Arial" w:hint="cs"/>
          <w:rtl/>
        </w:rPr>
        <w:t>"</w:t>
      </w:r>
      <w:r>
        <w:rPr>
          <w:rFonts w:cs="Arial"/>
          <w:rtl/>
        </w:rPr>
        <w:t>כ</w:t>
      </w:r>
      <w:r w:rsidR="00094D0B">
        <w:rPr>
          <w:rFonts w:cs="Arial" w:hint="cs"/>
          <w:rtl/>
        </w:rPr>
        <w:t xml:space="preserve"> </w:t>
      </w:r>
      <w:r>
        <w:rPr>
          <w:rFonts w:cs="Arial"/>
          <w:rtl/>
        </w:rPr>
        <w:t>יירשנה בעלה דאין לה יורש קרוב ממנו והיא כיוונה להבריח ממנו</w:t>
      </w:r>
      <w:r>
        <w:rPr>
          <w:rFonts w:cs="Arial" w:hint="cs"/>
          <w:rtl/>
        </w:rPr>
        <w:t>.</w:t>
      </w:r>
      <w:r>
        <w:rPr>
          <w:rFonts w:cs="Arial"/>
          <w:rtl/>
        </w:rPr>
        <w:t xml:space="preserve"> הילכך על כרחך ישארו ביד המקבל מתנה</w:t>
      </w:r>
      <w:r>
        <w:rPr>
          <w:rFonts w:cs="Arial" w:hint="cs"/>
          <w:rtl/>
        </w:rPr>
        <w:t xml:space="preserve">, </w:t>
      </w:r>
      <w:r w:rsidRPr="00094D0B">
        <w:rPr>
          <w:rFonts w:cs="Arial" w:hint="cs"/>
          <w:b/>
          <w:bCs/>
          <w:rtl/>
        </w:rPr>
        <w:t>רא"ש</w:t>
      </w:r>
      <w:r>
        <w:rPr>
          <w:rFonts w:cs="Arial" w:hint="cs"/>
          <w:rtl/>
        </w:rPr>
        <w:t xml:space="preserve"> </w:t>
      </w:r>
      <w:r w:rsidRPr="0024340F">
        <w:rPr>
          <w:rFonts w:cs="Arial"/>
          <w:sz w:val="16"/>
          <w:szCs w:val="16"/>
          <w:rtl/>
        </w:rPr>
        <w:t>(</w:t>
      </w:r>
      <w:r w:rsidRPr="0024340F">
        <w:rPr>
          <w:rFonts w:cs="Arial" w:hint="cs"/>
          <w:sz w:val="16"/>
          <w:szCs w:val="16"/>
          <w:rtl/>
        </w:rPr>
        <w:t xml:space="preserve">כתובות פ"ח </w:t>
      </w:r>
      <w:r w:rsidRPr="0024340F">
        <w:rPr>
          <w:rFonts w:cs="Arial"/>
          <w:sz w:val="16"/>
          <w:szCs w:val="16"/>
          <w:rtl/>
        </w:rPr>
        <w:t>סי' ב)</w:t>
      </w:r>
      <w:r>
        <w:rPr>
          <w:rFonts w:cs="Arial" w:hint="cs"/>
          <w:rtl/>
        </w:rPr>
        <w:t>.</w:t>
      </w:r>
      <w:r w:rsidRPr="004D3B08">
        <w:rPr>
          <w:rFonts w:cs="Arial"/>
          <w:rtl/>
        </w:rPr>
        <w:t xml:space="preserve"> </w:t>
      </w:r>
      <w:r w:rsidR="00094D0B">
        <w:rPr>
          <w:rFonts w:cs="Arial" w:hint="cs"/>
          <w:rtl/>
        </w:rPr>
        <w:t xml:space="preserve">   </w:t>
      </w:r>
      <w:r>
        <w:rPr>
          <w:rFonts w:cs="Arial" w:hint="cs"/>
          <w:rtl/>
        </w:rPr>
        <w:t xml:space="preserve">וכתב </w:t>
      </w:r>
      <w:r w:rsidRPr="00094D0B">
        <w:rPr>
          <w:rFonts w:cs="Arial" w:hint="cs"/>
          <w:b/>
          <w:bCs/>
          <w:rtl/>
        </w:rPr>
        <w:t>הדרכ"מ</w:t>
      </w:r>
      <w:r>
        <w:rPr>
          <w:rFonts w:cs="Arial" w:hint="cs"/>
          <w:rtl/>
        </w:rPr>
        <w:t xml:space="preserve"> (אות ו)</w:t>
      </w:r>
      <w:r w:rsidRPr="004D3B08">
        <w:rPr>
          <w:rFonts w:cs="Arial"/>
          <w:rtl/>
        </w:rPr>
        <w:t xml:space="preserve"> </w:t>
      </w:r>
      <w:r>
        <w:rPr>
          <w:rFonts w:cs="Arial" w:hint="cs"/>
          <w:rtl/>
        </w:rPr>
        <w:t>ד</w:t>
      </w:r>
      <w:r w:rsidRPr="004D3B08">
        <w:rPr>
          <w:rFonts w:cs="Arial"/>
          <w:rtl/>
        </w:rPr>
        <w:t xml:space="preserve">כן משמע במרדכי </w:t>
      </w:r>
      <w:r>
        <w:rPr>
          <w:rFonts w:cs="Arial" w:hint="cs"/>
          <w:rtl/>
        </w:rPr>
        <w:t>(</w:t>
      </w:r>
      <w:r w:rsidRPr="004D3B08">
        <w:rPr>
          <w:rFonts w:cs="Arial"/>
          <w:rtl/>
        </w:rPr>
        <w:t>פרק מי שמת סי' רח) דכתב דדין מברחת אינו אלא בדהדרא עליו</w:t>
      </w:r>
      <w:r>
        <w:rPr>
          <w:rFonts w:cs="Arial" w:hint="cs"/>
          <w:rtl/>
        </w:rPr>
        <w:t>,</w:t>
      </w:r>
      <w:r w:rsidRPr="004D3B08">
        <w:rPr>
          <w:rFonts w:cs="Arial"/>
          <w:rtl/>
        </w:rPr>
        <w:t xml:space="preserve"> אבל לא הדרא עליו קנה זה במה שבידו</w:t>
      </w:r>
      <w:r>
        <w:rPr>
          <w:rFonts w:cs="Arial" w:hint="cs"/>
          <w:rtl/>
        </w:rPr>
        <w:t>,</w:t>
      </w:r>
      <w:r w:rsidRPr="004D3B08">
        <w:rPr>
          <w:rFonts w:cs="Arial"/>
          <w:rtl/>
        </w:rPr>
        <w:t xml:space="preserve"> ועיין שם</w:t>
      </w:r>
      <w:r>
        <w:rPr>
          <w:rFonts w:cs="Arial" w:hint="cs"/>
          <w:rtl/>
        </w:rPr>
        <w:t>.</w:t>
      </w:r>
      <w:r w:rsidRPr="004D3B08">
        <w:rPr>
          <w:rFonts w:cs="Arial"/>
          <w:rtl/>
        </w:rPr>
        <w:t xml:space="preserve"> ולא משמע כן בהר"ן פרק האשה (לז: ד"ה הא) דכתב דאם כתבה לו מהיום ולכשארצה הבעל יורשה</w:t>
      </w:r>
      <w:r>
        <w:rPr>
          <w:rFonts w:cs="Arial" w:hint="cs"/>
          <w:rtl/>
        </w:rPr>
        <w:t>,</w:t>
      </w:r>
      <w:r w:rsidRPr="004D3B08">
        <w:rPr>
          <w:rFonts w:cs="Arial"/>
          <w:rtl/>
        </w:rPr>
        <w:t xml:space="preserve"> אבל בשאר מברחת נשאר למקבל</w:t>
      </w:r>
      <w:r>
        <w:rPr>
          <w:rFonts w:cs="Arial" w:hint="cs"/>
          <w:rtl/>
        </w:rPr>
        <w:t>.</w:t>
      </w:r>
      <w:r>
        <w:rPr>
          <w:rFonts w:hint="cs"/>
          <w:rtl/>
        </w:rPr>
        <w:t xml:space="preserve"> </w:t>
      </w:r>
    </w:p>
  </w:footnote>
  <w:footnote w:id="1276">
    <w:p w14:paraId="2AACB597" w14:textId="4D251F82" w:rsidR="00DE2F5F" w:rsidRDefault="00DE2F5F">
      <w:pPr>
        <w:pStyle w:val="a5"/>
        <w:rPr>
          <w:rtl/>
        </w:rPr>
      </w:pPr>
      <w:r>
        <w:rPr>
          <w:rStyle w:val="a7"/>
        </w:rPr>
        <w:footnoteRef/>
      </w:r>
      <w:r>
        <w:rPr>
          <w:rtl/>
        </w:rPr>
        <w:t xml:space="preserve"> </w:t>
      </w:r>
      <w:r w:rsidRPr="00094D0B">
        <w:rPr>
          <w:rFonts w:hint="cs"/>
          <w:u w:val="single"/>
          <w:rtl/>
        </w:rPr>
        <w:t>ההבדל</w:t>
      </w:r>
      <w:r w:rsidR="00094D0B">
        <w:rPr>
          <w:rFonts w:hint="cs"/>
          <w:u w:val="single"/>
          <w:rtl/>
        </w:rPr>
        <w:t>ים</w:t>
      </w:r>
      <w:r w:rsidRPr="00094D0B">
        <w:rPr>
          <w:rFonts w:hint="cs"/>
          <w:u w:val="single"/>
          <w:rtl/>
        </w:rPr>
        <w:t xml:space="preserve"> בין הרמב"ם לרא"ש בכל הנ"ל ה</w:t>
      </w:r>
      <w:r w:rsidR="00094D0B">
        <w:rPr>
          <w:rFonts w:hint="cs"/>
          <w:u w:val="single"/>
          <w:rtl/>
        </w:rPr>
        <w:t>ם</w:t>
      </w:r>
      <w:r>
        <w:rPr>
          <w:rFonts w:hint="cs"/>
          <w:rtl/>
        </w:rPr>
        <w:t xml:space="preserve">: </w:t>
      </w:r>
    </w:p>
    <w:p w14:paraId="34ADEDFB" w14:textId="0542EB2A" w:rsidR="00DE2F5F" w:rsidRDefault="00DE2F5F">
      <w:pPr>
        <w:pStyle w:val="a5"/>
        <w:rPr>
          <w:rtl/>
        </w:rPr>
      </w:pPr>
      <w:r>
        <w:rPr>
          <w:rFonts w:hint="cs"/>
          <w:rtl/>
        </w:rPr>
        <w:t xml:space="preserve">א) הרא"ש סובר שכדי שתהיה המתנה קנויה למקבל </w:t>
      </w:r>
      <w:r w:rsidRPr="00713F1B">
        <w:rPr>
          <w:rFonts w:hint="cs"/>
          <w:sz w:val="16"/>
          <w:szCs w:val="16"/>
          <w:rtl/>
        </w:rPr>
        <w:t xml:space="preserve">(כשלא כתבה לו 'מהיום לכשארצה') </w:t>
      </w:r>
      <w:r>
        <w:rPr>
          <w:rFonts w:hint="cs"/>
          <w:rtl/>
        </w:rPr>
        <w:t xml:space="preserve">צריכה שתשאיר לעצמה כדי פרנסתה. ולרמב"ם די שתשאיר </w:t>
      </w:r>
      <w:r w:rsidR="00094D0B">
        <w:rPr>
          <w:rFonts w:hint="cs"/>
          <w:rtl/>
        </w:rPr>
        <w:t>כ</w:t>
      </w:r>
      <w:r>
        <w:rPr>
          <w:rFonts w:hint="cs"/>
          <w:rtl/>
        </w:rPr>
        <w:t xml:space="preserve">ל שהוא, ואפילו מטלטלין. וכתב הח"מ (סק"כ) שדעת הרי"ף כהרמב"ם. </w:t>
      </w:r>
    </w:p>
    <w:p w14:paraId="7D8016C7" w14:textId="243689E8" w:rsidR="00DE2F5F" w:rsidRPr="006B2D4F" w:rsidRDefault="00DE2F5F">
      <w:pPr>
        <w:pStyle w:val="a5"/>
        <w:rPr>
          <w:color w:val="000000" w:themeColor="text1"/>
          <w:rtl/>
        </w:rPr>
      </w:pPr>
      <w:r>
        <w:rPr>
          <w:rFonts w:hint="cs"/>
          <w:rtl/>
        </w:rPr>
        <w:t xml:space="preserve">ב) הם מפרשים אחרת את דברי הגמ' 'עד שתכתוב לו מהיום </w:t>
      </w:r>
      <w:r w:rsidRPr="006B2D4F">
        <w:rPr>
          <w:rFonts w:hint="cs"/>
          <w:color w:val="000000" w:themeColor="text1"/>
          <w:rtl/>
        </w:rPr>
        <w:t>ולכשארצה'</w:t>
      </w:r>
      <w:r>
        <w:rPr>
          <w:rFonts w:hint="cs"/>
          <w:color w:val="000000" w:themeColor="text1"/>
          <w:rtl/>
        </w:rPr>
        <w:t xml:space="preserve"> </w:t>
      </w:r>
      <w:r w:rsidRPr="00190545">
        <w:rPr>
          <w:rFonts w:hint="cs"/>
          <w:color w:val="000000" w:themeColor="text1"/>
          <w:sz w:val="16"/>
          <w:szCs w:val="16"/>
          <w:rtl/>
        </w:rPr>
        <w:t>(כמו שכתבתי לעיל</w:t>
      </w:r>
      <w:r>
        <w:rPr>
          <w:rFonts w:hint="cs"/>
          <w:color w:val="000000" w:themeColor="text1"/>
          <w:sz w:val="16"/>
          <w:szCs w:val="16"/>
          <w:rtl/>
        </w:rPr>
        <w:t xml:space="preserve"> בהערה</w:t>
      </w:r>
      <w:r w:rsidRPr="00190545">
        <w:rPr>
          <w:rFonts w:hint="cs"/>
          <w:color w:val="000000" w:themeColor="text1"/>
          <w:sz w:val="16"/>
          <w:szCs w:val="16"/>
          <w:rtl/>
        </w:rPr>
        <w:t xml:space="preserve"> על דברי הגמ'</w:t>
      </w:r>
      <w:r>
        <w:rPr>
          <w:rFonts w:hint="cs"/>
          <w:color w:val="000000" w:themeColor="text1"/>
          <w:sz w:val="16"/>
          <w:szCs w:val="16"/>
          <w:rtl/>
        </w:rPr>
        <w:t xml:space="preserve"> הללו</w:t>
      </w:r>
      <w:r w:rsidRPr="00190545">
        <w:rPr>
          <w:rFonts w:hint="cs"/>
          <w:color w:val="000000" w:themeColor="text1"/>
          <w:sz w:val="16"/>
          <w:szCs w:val="16"/>
          <w:rtl/>
        </w:rPr>
        <w:t>)</w:t>
      </w:r>
      <w:r>
        <w:rPr>
          <w:rFonts w:hint="cs"/>
          <w:color w:val="000000" w:themeColor="text1"/>
          <w:rtl/>
        </w:rPr>
        <w:t>. והנפק"מ בין הפירושים היא</w:t>
      </w:r>
      <w:r w:rsidRPr="006B2D4F">
        <w:rPr>
          <w:rFonts w:hint="cs"/>
          <w:color w:val="000000" w:themeColor="text1"/>
          <w:rtl/>
        </w:rPr>
        <w:t>, שהרא"ש סובר שהקניין חל מהיום</w:t>
      </w:r>
      <w:r>
        <w:rPr>
          <w:rFonts w:hint="cs"/>
          <w:color w:val="000000" w:themeColor="text1"/>
          <w:rtl/>
        </w:rPr>
        <w:t>,</w:t>
      </w:r>
      <w:r w:rsidRPr="006B2D4F">
        <w:rPr>
          <w:rFonts w:hint="cs"/>
          <w:color w:val="000000" w:themeColor="text1"/>
          <w:rtl/>
        </w:rPr>
        <w:t xml:space="preserve"> ו</w:t>
      </w:r>
      <w:r>
        <w:rPr>
          <w:rFonts w:hint="cs"/>
          <w:color w:val="000000" w:themeColor="text1"/>
          <w:rtl/>
        </w:rPr>
        <w:t xml:space="preserve">אעפ"כ </w:t>
      </w:r>
      <w:r w:rsidRPr="006B2D4F">
        <w:rPr>
          <w:rFonts w:hint="cs"/>
          <w:color w:val="000000" w:themeColor="text1"/>
          <w:rtl/>
        </w:rPr>
        <w:t>יכולה לחזור בה כל זמן שרוצה</w:t>
      </w:r>
      <w:r>
        <w:rPr>
          <w:rFonts w:hint="cs"/>
          <w:color w:val="000000" w:themeColor="text1"/>
          <w:rtl/>
        </w:rPr>
        <w:t>.</w:t>
      </w:r>
      <w:r w:rsidRPr="006B2D4F">
        <w:rPr>
          <w:rFonts w:hint="cs"/>
          <w:color w:val="000000" w:themeColor="text1"/>
          <w:rtl/>
        </w:rPr>
        <w:t xml:space="preserve"> </w:t>
      </w:r>
      <w:r>
        <w:rPr>
          <w:rFonts w:hint="cs"/>
          <w:color w:val="000000" w:themeColor="text1"/>
          <w:rtl/>
        </w:rPr>
        <w:t xml:space="preserve">ולבנתיים </w:t>
      </w:r>
      <w:r w:rsidRPr="00190545">
        <w:rPr>
          <w:rFonts w:hint="cs"/>
          <w:color w:val="000000" w:themeColor="text1"/>
          <w:sz w:val="16"/>
          <w:szCs w:val="16"/>
          <w:rtl/>
        </w:rPr>
        <w:t xml:space="preserve">(עד שתחזור בה) </w:t>
      </w:r>
      <w:r w:rsidRPr="006B2D4F">
        <w:rPr>
          <w:rFonts w:hint="cs"/>
          <w:color w:val="000000" w:themeColor="text1"/>
          <w:rtl/>
        </w:rPr>
        <w:t xml:space="preserve">המקבל אוכל פירות. אבל לרמב"ם הקניין לא גמור עד שתאמר שהיא רוצה </w:t>
      </w:r>
      <w:r w:rsidRPr="00190545">
        <w:rPr>
          <w:rFonts w:hint="cs"/>
          <w:color w:val="000000" w:themeColor="text1"/>
          <w:sz w:val="16"/>
          <w:szCs w:val="16"/>
          <w:rtl/>
        </w:rPr>
        <w:t>(ואז הקניין חל למפרע)</w:t>
      </w:r>
      <w:r>
        <w:rPr>
          <w:rFonts w:hint="cs"/>
          <w:color w:val="000000" w:themeColor="text1"/>
          <w:rtl/>
        </w:rPr>
        <w:t>.</w:t>
      </w:r>
      <w:r w:rsidRPr="006B2D4F">
        <w:rPr>
          <w:rFonts w:hint="cs"/>
          <w:color w:val="000000" w:themeColor="text1"/>
          <w:rtl/>
        </w:rPr>
        <w:t xml:space="preserve"> </w:t>
      </w:r>
      <w:r>
        <w:rPr>
          <w:rFonts w:hint="cs"/>
          <w:color w:val="000000" w:themeColor="text1"/>
          <w:rtl/>
        </w:rPr>
        <w:t>והשאלה עכשיו מה יהיה לדעת הרמב"ם דין הפירות בזמן ש</w:t>
      </w:r>
      <w:r w:rsidRPr="006B2D4F">
        <w:rPr>
          <w:rFonts w:hint="cs"/>
          <w:color w:val="000000" w:themeColor="text1"/>
          <w:rtl/>
        </w:rPr>
        <w:t>בנתיים</w:t>
      </w:r>
      <w:r>
        <w:rPr>
          <w:rFonts w:hint="cs"/>
          <w:color w:val="000000" w:themeColor="text1"/>
          <w:rtl/>
        </w:rPr>
        <w:t xml:space="preserve"> </w:t>
      </w:r>
      <w:r w:rsidRPr="00190545">
        <w:rPr>
          <w:rFonts w:hint="cs"/>
          <w:color w:val="000000" w:themeColor="text1"/>
          <w:sz w:val="16"/>
          <w:szCs w:val="16"/>
          <w:rtl/>
        </w:rPr>
        <w:t>(עד שתאמר שהיא רוצה להקנות לו לגמרי את המתנה)</w:t>
      </w:r>
      <w:r>
        <w:rPr>
          <w:rFonts w:hint="cs"/>
          <w:color w:val="000000" w:themeColor="text1"/>
          <w:rtl/>
        </w:rPr>
        <w:t xml:space="preserve">. ונראה לחלק בין מברחת לכותבת, שבמברחת </w:t>
      </w:r>
      <w:r w:rsidRPr="006B2D4F">
        <w:rPr>
          <w:rFonts w:hint="cs"/>
          <w:color w:val="000000" w:themeColor="text1"/>
          <w:rtl/>
        </w:rPr>
        <w:t xml:space="preserve">המקבל יכול לאכול </w:t>
      </w:r>
      <w:r>
        <w:rPr>
          <w:rFonts w:hint="cs"/>
          <w:color w:val="000000" w:themeColor="text1"/>
          <w:rtl/>
        </w:rPr>
        <w:t>את ה</w:t>
      </w:r>
      <w:r w:rsidRPr="006B2D4F">
        <w:rPr>
          <w:rFonts w:hint="cs"/>
          <w:color w:val="000000" w:themeColor="text1"/>
          <w:rtl/>
        </w:rPr>
        <w:t xml:space="preserve">פירות </w:t>
      </w:r>
      <w:r w:rsidRPr="00190545">
        <w:rPr>
          <w:rFonts w:hint="cs"/>
          <w:color w:val="000000" w:themeColor="text1"/>
          <w:sz w:val="16"/>
          <w:szCs w:val="16"/>
          <w:rtl/>
        </w:rPr>
        <w:t>(כך נ"ל מדברי הרמב"ם. ואח"כ ראיתי שכך מדייק הב"ש [סק"ל] מדברי הרמב"ם. ולא כשלט"ג שכתב שהמקבל לא אוכל פירות)</w:t>
      </w:r>
      <w:r>
        <w:rPr>
          <w:rFonts w:hint="cs"/>
          <w:color w:val="000000" w:themeColor="text1"/>
          <w:rtl/>
        </w:rPr>
        <w:t>. אבל בכותבת אינו יכול לאכול, שהרי המתנה לא שלו עד שתאמר 'רוצה אני'. ומכל מקום אם אכל אין מוציאין מידו</w:t>
      </w:r>
      <w:r w:rsidRPr="006B2D4F">
        <w:rPr>
          <w:rFonts w:hint="cs"/>
          <w:color w:val="000000" w:themeColor="text1"/>
          <w:rtl/>
        </w:rPr>
        <w:t xml:space="preserve"> </w:t>
      </w:r>
      <w:r>
        <w:rPr>
          <w:rFonts w:hint="cs"/>
          <w:color w:val="000000" w:themeColor="text1"/>
          <w:rtl/>
        </w:rPr>
        <w:t>ד</w:t>
      </w:r>
      <w:r w:rsidRPr="006B2D4F">
        <w:rPr>
          <w:rFonts w:hint="cs"/>
          <w:color w:val="000000" w:themeColor="text1"/>
          <w:rtl/>
        </w:rPr>
        <w:t>ברשות קאכיל</w:t>
      </w:r>
      <w:r>
        <w:rPr>
          <w:rFonts w:hint="cs"/>
          <w:color w:val="000000" w:themeColor="text1"/>
          <w:rtl/>
        </w:rPr>
        <w:t xml:space="preserve"> </w:t>
      </w:r>
      <w:r>
        <w:rPr>
          <w:rFonts w:hint="cs"/>
          <w:color w:val="000000" w:themeColor="text1"/>
          <w:sz w:val="16"/>
          <w:szCs w:val="16"/>
          <w:rtl/>
        </w:rPr>
        <w:t>(</w:t>
      </w:r>
      <w:r w:rsidRPr="00190545">
        <w:rPr>
          <w:rFonts w:hint="cs"/>
          <w:color w:val="000000" w:themeColor="text1"/>
          <w:sz w:val="16"/>
          <w:szCs w:val="16"/>
          <w:rtl/>
        </w:rPr>
        <w:t xml:space="preserve">וכמו שכתב הר"ן </w:t>
      </w:r>
      <w:r>
        <w:rPr>
          <w:rFonts w:cs="Arial" w:hint="cs"/>
          <w:color w:val="000000" w:themeColor="text1"/>
          <w:sz w:val="16"/>
          <w:szCs w:val="16"/>
          <w:rtl/>
        </w:rPr>
        <w:t>[</w:t>
      </w:r>
      <w:r w:rsidRPr="00190545">
        <w:rPr>
          <w:rFonts w:cs="Arial"/>
          <w:color w:val="000000" w:themeColor="text1"/>
          <w:sz w:val="16"/>
          <w:szCs w:val="16"/>
          <w:rtl/>
        </w:rPr>
        <w:t>לז: ד"ה הא</w:t>
      </w:r>
      <w:r>
        <w:rPr>
          <w:rFonts w:cs="Arial" w:hint="cs"/>
          <w:color w:val="000000" w:themeColor="text1"/>
          <w:sz w:val="16"/>
          <w:szCs w:val="16"/>
          <w:rtl/>
        </w:rPr>
        <w:t>])</w:t>
      </w:r>
      <w:r>
        <w:rPr>
          <w:rFonts w:hint="cs"/>
          <w:color w:val="000000" w:themeColor="text1"/>
          <w:rtl/>
        </w:rPr>
        <w:t xml:space="preserve">. </w:t>
      </w:r>
      <w:r w:rsidR="00094D0B">
        <w:rPr>
          <w:color w:val="000000" w:themeColor="text1"/>
          <w:rtl/>
        </w:rPr>
        <w:br/>
      </w:r>
      <w:r>
        <w:rPr>
          <w:rFonts w:hint="cs"/>
          <w:color w:val="000000" w:themeColor="text1"/>
          <w:rtl/>
        </w:rPr>
        <w:t>ונראה לומר שכמו שהרא"ש סובר בזה (בין במברחת ובין בכותבת) שהאשה יכולה למכור את הפירות ואין המקבל יכול לעכב, כך גם הרמב"ם סובר.</w:t>
      </w:r>
    </w:p>
  </w:footnote>
  <w:footnote w:id="1277">
    <w:p w14:paraId="22E7747D" w14:textId="410A79FC" w:rsidR="00DE2F5F" w:rsidRDefault="00DE2F5F">
      <w:pPr>
        <w:pStyle w:val="a5"/>
        <w:rPr>
          <w:rtl/>
        </w:rPr>
      </w:pPr>
      <w:r>
        <w:rPr>
          <w:rStyle w:val="a7"/>
        </w:rPr>
        <w:footnoteRef/>
      </w:r>
      <w:r>
        <w:rPr>
          <w:rtl/>
        </w:rPr>
        <w:t xml:space="preserve"> </w:t>
      </w:r>
      <w:r w:rsidRPr="00966159">
        <w:rPr>
          <w:rFonts w:cs="Arial"/>
          <w:rtl/>
        </w:rPr>
        <w:t>ואיני רואה דבריהם במברחת מן הטעם שכתבתי למעלה</w:t>
      </w:r>
      <w:r>
        <w:rPr>
          <w:rFonts w:hint="cs"/>
          <w:rtl/>
        </w:rPr>
        <w:t>, ר"ן (שם).</w:t>
      </w:r>
    </w:p>
  </w:footnote>
  <w:footnote w:id="1278">
    <w:p w14:paraId="61CA6DCA" w14:textId="0DCCCE9E" w:rsidR="00DE2F5F" w:rsidRDefault="00DE2F5F">
      <w:pPr>
        <w:pStyle w:val="a5"/>
        <w:rPr>
          <w:rtl/>
        </w:rPr>
      </w:pPr>
      <w:r>
        <w:rPr>
          <w:rStyle w:val="a7"/>
        </w:rPr>
        <w:footnoteRef/>
      </w:r>
      <w:r>
        <w:rPr>
          <w:rtl/>
        </w:rPr>
        <w:t xml:space="preserve"> </w:t>
      </w:r>
      <w:r>
        <w:rPr>
          <w:rFonts w:cs="Arial" w:hint="cs"/>
          <w:rtl/>
        </w:rPr>
        <w:t>ש</w:t>
      </w:r>
      <w:r w:rsidRPr="00C831CF">
        <w:rPr>
          <w:rFonts w:cs="Arial"/>
          <w:rtl/>
        </w:rPr>
        <w:t>מתוך אומדן דעת שלה הרי הוא כאילו פרשה שאם הבעל ימות בחייה לא תהא מתנה כלום</w:t>
      </w:r>
      <w:r>
        <w:rPr>
          <w:rFonts w:cs="Arial" w:hint="cs"/>
          <w:rtl/>
        </w:rPr>
        <w:t>,</w:t>
      </w:r>
      <w:r w:rsidRPr="00C831CF">
        <w:rPr>
          <w:rFonts w:cs="Arial"/>
          <w:rtl/>
        </w:rPr>
        <w:t xml:space="preserve"> ואם היא תמות בחיי בעלה שיזכה בה מקבל מתנה</w:t>
      </w:r>
      <w:r>
        <w:rPr>
          <w:rFonts w:cs="Arial" w:hint="cs"/>
          <w:rtl/>
        </w:rPr>
        <w:t>,</w:t>
      </w:r>
      <w:r w:rsidRPr="00C831CF">
        <w:rPr>
          <w:rFonts w:cs="Arial"/>
          <w:rtl/>
        </w:rPr>
        <w:t xml:space="preserve"> אלא שלא רצתה לפרש כן כי היכי דלא תהוי לה איבה</w:t>
      </w:r>
      <w:r>
        <w:rPr>
          <w:rFonts w:hint="cs"/>
          <w:rtl/>
        </w:rPr>
        <w:t>, ר"ן (שם).</w:t>
      </w:r>
    </w:p>
  </w:footnote>
  <w:footnote w:id="1279">
    <w:p w14:paraId="45C433AA" w14:textId="53FDA327" w:rsidR="00DE2F5F" w:rsidRDefault="00DE2F5F" w:rsidP="00392EFD">
      <w:pPr>
        <w:pStyle w:val="a5"/>
      </w:pPr>
      <w:r>
        <w:rPr>
          <w:rStyle w:val="a7"/>
        </w:rPr>
        <w:footnoteRef/>
      </w:r>
      <w:r>
        <w:rPr>
          <w:rtl/>
        </w:rPr>
        <w:t xml:space="preserve"> </w:t>
      </w:r>
      <w:r>
        <w:rPr>
          <w:rFonts w:cs="Arial"/>
          <w:rtl/>
        </w:rPr>
        <w:t>דאזלינן בתר אומדנא שלא נתנתם לו אלא כדי להבריחם מבעלה ומיד שמת בעלה בטלה האומדנא וחזרו הנכסים לרשותה מידי דהוה אמתנת שכיב מרע בכולה דאם עמד חוזר ואם עמד ונתרפא מאותו חולי ומת אח"כ קודם שחזר בו נתבטלה המתנה ממילא</w:t>
      </w:r>
      <w:r>
        <w:rPr>
          <w:rFonts w:cs="Arial" w:hint="cs"/>
          <w:rtl/>
        </w:rPr>
        <w:t xml:space="preserve">, רא"ש </w:t>
      </w:r>
      <w:r w:rsidRPr="0024340F">
        <w:rPr>
          <w:rFonts w:cs="Arial"/>
          <w:sz w:val="16"/>
          <w:szCs w:val="16"/>
          <w:rtl/>
        </w:rPr>
        <w:t>(</w:t>
      </w:r>
      <w:r w:rsidRPr="0024340F">
        <w:rPr>
          <w:rFonts w:cs="Arial" w:hint="cs"/>
          <w:sz w:val="16"/>
          <w:szCs w:val="16"/>
          <w:rtl/>
        </w:rPr>
        <w:t xml:space="preserve">כתובות פ"ח </w:t>
      </w:r>
      <w:r w:rsidRPr="0024340F">
        <w:rPr>
          <w:rFonts w:cs="Arial"/>
          <w:sz w:val="16"/>
          <w:szCs w:val="16"/>
          <w:rtl/>
        </w:rPr>
        <w:t>סי' ב)</w:t>
      </w:r>
      <w:r>
        <w:rPr>
          <w:rFonts w:cs="Arial" w:hint="cs"/>
          <w:rtl/>
        </w:rPr>
        <w:t>. וכתב עוד הב"י ל</w:t>
      </w:r>
      <w:r>
        <w:rPr>
          <w:rFonts w:cs="Arial"/>
          <w:rtl/>
        </w:rPr>
        <w:t>עיין במרדכי בפרק הנזכר (כתובות סי' רח)</w:t>
      </w:r>
      <w:r>
        <w:rPr>
          <w:rFonts w:cs="Arial" w:hint="cs"/>
          <w:rtl/>
        </w:rPr>
        <w:t>.</w:t>
      </w:r>
    </w:p>
  </w:footnote>
  <w:footnote w:id="1280">
    <w:p w14:paraId="79F529D1" w14:textId="1CA47DE2" w:rsidR="00DE2F5F" w:rsidRPr="00416FFE" w:rsidRDefault="00DE2F5F" w:rsidP="00416FFE">
      <w:pPr>
        <w:pStyle w:val="a5"/>
        <w:rPr>
          <w:rFonts w:cs="Arial"/>
          <w:rtl/>
        </w:rPr>
      </w:pPr>
      <w:r>
        <w:rPr>
          <w:rStyle w:val="a7"/>
        </w:rPr>
        <w:footnoteRef/>
      </w:r>
      <w:r>
        <w:rPr>
          <w:rtl/>
        </w:rPr>
        <w:t xml:space="preserve"> </w:t>
      </w:r>
      <w:r>
        <w:rPr>
          <w:rFonts w:cs="Arial" w:hint="cs"/>
          <w:rtl/>
        </w:rPr>
        <w:t xml:space="preserve">וכתב הב"ש (סקל"ג) דכן דעת הרא"ש </w:t>
      </w:r>
      <w:r w:rsidRPr="00EE7187">
        <w:rPr>
          <w:rFonts w:cs="Arial" w:hint="cs"/>
          <w:sz w:val="16"/>
          <w:szCs w:val="16"/>
          <w:rtl/>
        </w:rPr>
        <w:t xml:space="preserve">(ולא כמו שכתב הטור בשם הרא"ש, </w:t>
      </w:r>
      <w:r w:rsidR="0061020A">
        <w:rPr>
          <w:rFonts w:cs="Arial" w:hint="cs"/>
          <w:sz w:val="16"/>
          <w:szCs w:val="16"/>
          <w:rtl/>
        </w:rPr>
        <w:t>וז</w:t>
      </w:r>
      <w:r w:rsidR="0061020A">
        <w:rPr>
          <w:rFonts w:cs="Arial"/>
          <w:sz w:val="16"/>
          <w:szCs w:val="16"/>
          <w:rtl/>
        </w:rPr>
        <w:t>"</w:t>
      </w:r>
      <w:r w:rsidR="0061020A">
        <w:rPr>
          <w:rFonts w:cs="Arial" w:hint="cs"/>
          <w:sz w:val="16"/>
          <w:szCs w:val="16"/>
          <w:rtl/>
        </w:rPr>
        <w:t>ל:</w:t>
      </w:r>
      <w:r w:rsidRPr="00EE7187">
        <w:rPr>
          <w:rFonts w:cs="Arial" w:hint="cs"/>
          <w:sz w:val="16"/>
          <w:szCs w:val="16"/>
          <w:rtl/>
        </w:rPr>
        <w:t xml:space="preserve"> </w:t>
      </w:r>
      <w:r w:rsidRPr="00EE7187">
        <w:rPr>
          <w:rFonts w:cs="Arial"/>
          <w:sz w:val="16"/>
          <w:szCs w:val="16"/>
          <w:rtl/>
        </w:rPr>
        <w:t>ונ"ל לדעת הרא"ש אם מת הבעל ומתה היא אח</w:t>
      </w:r>
      <w:r w:rsidRPr="00EE7187">
        <w:rPr>
          <w:rFonts w:cs="Arial" w:hint="cs"/>
          <w:sz w:val="16"/>
          <w:szCs w:val="16"/>
          <w:rtl/>
        </w:rPr>
        <w:t>"</w:t>
      </w:r>
      <w:r w:rsidRPr="00EE7187">
        <w:rPr>
          <w:rFonts w:cs="Arial"/>
          <w:sz w:val="16"/>
          <w:szCs w:val="16"/>
          <w:rtl/>
        </w:rPr>
        <w:t>כ ולא חזרה בפירוש יורש המקבל שהרי לא חזרה וע"כ לא כתב הרא"ש דחוזרים הנכסים ליורשים אלא בנתנה כל נכסיה ואז אומדנא דמוכח הוא דכוונתה היה לחזור אחר מיתתו אבל בכה"ג דנתנה מקצת נכסיה דליכא אומדנא דמוכח אלא התנאי היה דתוכל לחזור אז אם לא חזרה למה לא יזכה המקבל ותימא על הטור שכתב בזה דהרא"ש חולק על הרמ"ה וסביר' ליה דאין יורש המקבל וא</w:t>
      </w:r>
      <w:r w:rsidRPr="00EE7187">
        <w:rPr>
          <w:rFonts w:cs="Arial" w:hint="cs"/>
          <w:sz w:val="16"/>
          <w:szCs w:val="16"/>
          <w:rtl/>
        </w:rPr>
        <w:t xml:space="preserve">יני </w:t>
      </w:r>
      <w:r w:rsidRPr="00EE7187">
        <w:rPr>
          <w:rFonts w:cs="Arial"/>
          <w:sz w:val="16"/>
          <w:szCs w:val="16"/>
          <w:rtl/>
        </w:rPr>
        <w:t>י</w:t>
      </w:r>
      <w:r w:rsidRPr="00EE7187">
        <w:rPr>
          <w:rFonts w:cs="Arial" w:hint="cs"/>
          <w:sz w:val="16"/>
          <w:szCs w:val="16"/>
          <w:rtl/>
        </w:rPr>
        <w:t>ודע</w:t>
      </w:r>
      <w:r w:rsidRPr="00EE7187">
        <w:rPr>
          <w:rFonts w:cs="Arial"/>
          <w:sz w:val="16"/>
          <w:szCs w:val="16"/>
          <w:rtl/>
        </w:rPr>
        <w:t xml:space="preserve"> מנ"ל</w:t>
      </w:r>
      <w:r w:rsidRPr="00EE7187">
        <w:rPr>
          <w:rFonts w:cs="Arial" w:hint="cs"/>
          <w:sz w:val="16"/>
          <w:szCs w:val="16"/>
          <w:rtl/>
        </w:rPr>
        <w:t>)</w:t>
      </w:r>
      <w:r>
        <w:rPr>
          <w:rFonts w:cs="Arial"/>
          <w:rtl/>
        </w:rPr>
        <w:t xml:space="preserve">. </w:t>
      </w:r>
      <w:r>
        <w:rPr>
          <w:rFonts w:cs="Arial" w:hint="cs"/>
          <w:rtl/>
        </w:rPr>
        <w:t xml:space="preserve">אך הקו"נ (כתובות פ"ח אות מ) דחה את דבריו והעלה כהבנת הטור בדברי הרא"ש, וכתב שגם בכותבת שנתנה מקצת נכסיה יש אומדנא דמוכח שרצתה להבריח. </w:t>
      </w:r>
    </w:p>
  </w:footnote>
  <w:footnote w:id="1281">
    <w:p w14:paraId="24B69A3E" w14:textId="4276E141" w:rsidR="00DE2F5F" w:rsidRDefault="00DE2F5F">
      <w:pPr>
        <w:pStyle w:val="a5"/>
      </w:pPr>
      <w:r>
        <w:rPr>
          <w:rStyle w:val="a7"/>
        </w:rPr>
        <w:footnoteRef/>
      </w:r>
      <w:r>
        <w:rPr>
          <w:rtl/>
        </w:rPr>
        <w:t xml:space="preserve"> </w:t>
      </w:r>
      <w:r>
        <w:rPr>
          <w:rFonts w:cs="Arial" w:hint="cs"/>
          <w:rtl/>
        </w:rPr>
        <w:t>שאז המקבל</w:t>
      </w:r>
      <w:r w:rsidRPr="00416FFE">
        <w:rPr>
          <w:rFonts w:cs="Arial"/>
          <w:rtl/>
        </w:rPr>
        <w:t xml:space="preserve"> אינו אוכל הפירות ואינו יורש אותה דהא לא חל המתנה עדיין כל זמן שלא אמרה הן</w:t>
      </w:r>
      <w:r>
        <w:rPr>
          <w:rFonts w:cs="Arial" w:hint="cs"/>
          <w:rtl/>
        </w:rPr>
        <w:t>,</w:t>
      </w:r>
      <w:r w:rsidRPr="00416FFE">
        <w:rPr>
          <w:rFonts w:cs="Arial"/>
          <w:rtl/>
        </w:rPr>
        <w:t xml:space="preserve"> והבעל ג"כ אינו אוכל פירות דהוי כנכסים שא"י</w:t>
      </w:r>
      <w:r>
        <w:rPr>
          <w:rFonts w:cs="Arial" w:hint="cs"/>
          <w:rtl/>
        </w:rPr>
        <w:t>,</w:t>
      </w:r>
      <w:r w:rsidRPr="00416FFE">
        <w:rPr>
          <w:rFonts w:cs="Arial"/>
          <w:rtl/>
        </w:rPr>
        <w:t xml:space="preserve"> </w:t>
      </w:r>
      <w:r>
        <w:rPr>
          <w:rFonts w:cs="Arial" w:hint="cs"/>
          <w:rtl/>
        </w:rPr>
        <w:t>ד</w:t>
      </w:r>
      <w:r w:rsidRPr="00416FFE">
        <w:rPr>
          <w:rFonts w:cs="Arial"/>
          <w:rtl/>
        </w:rPr>
        <w:t>בכל יום סבר שתאמר הן</w:t>
      </w:r>
      <w:r>
        <w:rPr>
          <w:rFonts w:cs="Arial" w:hint="cs"/>
          <w:rtl/>
        </w:rPr>
        <w:t>,</w:t>
      </w:r>
      <w:r w:rsidRPr="00416FFE">
        <w:rPr>
          <w:rFonts w:cs="Arial"/>
          <w:rtl/>
        </w:rPr>
        <w:t xml:space="preserve"> אלא הפירות שלה הם</w:t>
      </w:r>
      <w:r>
        <w:rPr>
          <w:rFonts w:cs="Arial" w:hint="cs"/>
          <w:rtl/>
        </w:rPr>
        <w:t>, ב"ש (סקל"ב).</w:t>
      </w:r>
    </w:p>
  </w:footnote>
  <w:footnote w:id="1282">
    <w:p w14:paraId="4C6A057A" w14:textId="4D54C2DD" w:rsidR="00DE2F5F" w:rsidRPr="006B2D4F" w:rsidRDefault="00DE2F5F" w:rsidP="006B2D4F">
      <w:pPr>
        <w:pStyle w:val="a5"/>
        <w:rPr>
          <w:rFonts w:cs="Arial"/>
        </w:rPr>
      </w:pPr>
      <w:r>
        <w:rPr>
          <w:rStyle w:val="a7"/>
        </w:rPr>
        <w:footnoteRef/>
      </w:r>
      <w:r>
        <w:rPr>
          <w:rtl/>
        </w:rPr>
        <w:t xml:space="preserve"> </w:t>
      </w:r>
      <w:r w:rsidRPr="000118A1">
        <w:rPr>
          <w:rFonts w:cs="Arial"/>
          <w:rtl/>
        </w:rPr>
        <w:t>ואם לא עמדה להנש</w:t>
      </w:r>
      <w:r>
        <w:rPr>
          <w:rFonts w:cs="Arial" w:hint="cs"/>
          <w:rtl/>
        </w:rPr>
        <w:t>א</w:t>
      </w:r>
      <w:r w:rsidRPr="000118A1">
        <w:rPr>
          <w:rFonts w:cs="Arial"/>
          <w:rtl/>
        </w:rPr>
        <w:t xml:space="preserve"> דאז לא הוי אומדנ</w:t>
      </w:r>
      <w:r>
        <w:rPr>
          <w:rFonts w:cs="Arial" w:hint="cs"/>
          <w:rtl/>
        </w:rPr>
        <w:t>א</w:t>
      </w:r>
      <w:r w:rsidRPr="000118A1">
        <w:rPr>
          <w:rFonts w:cs="Arial"/>
          <w:rtl/>
        </w:rPr>
        <w:t xml:space="preserve"> דמוכח</w:t>
      </w:r>
      <w:r>
        <w:rPr>
          <w:rFonts w:cs="Arial" w:hint="cs"/>
          <w:rtl/>
        </w:rPr>
        <w:t>,</w:t>
      </w:r>
      <w:r w:rsidRPr="000118A1">
        <w:rPr>
          <w:rFonts w:cs="Arial"/>
          <w:rtl/>
        </w:rPr>
        <w:t xml:space="preserve"> או אם נתנה רק מקצת דליכא אומדנ</w:t>
      </w:r>
      <w:r>
        <w:rPr>
          <w:rFonts w:cs="Arial" w:hint="cs"/>
          <w:rtl/>
        </w:rPr>
        <w:t>א</w:t>
      </w:r>
      <w:r w:rsidRPr="000118A1">
        <w:rPr>
          <w:rFonts w:cs="Arial"/>
          <w:rtl/>
        </w:rPr>
        <w:t xml:space="preserve"> דמוכח</w:t>
      </w:r>
      <w:r>
        <w:rPr>
          <w:rFonts w:cs="Arial" w:hint="cs"/>
          <w:rtl/>
        </w:rPr>
        <w:t>,</w:t>
      </w:r>
      <w:r w:rsidRPr="000118A1">
        <w:rPr>
          <w:rFonts w:cs="Arial"/>
          <w:rtl/>
        </w:rPr>
        <w:t xml:space="preserve"> ועידי חתימה על השטר מתנה מעידים שאמרה שכוונתה להבריח</w:t>
      </w:r>
      <w:r>
        <w:rPr>
          <w:rFonts w:cs="Arial" w:hint="cs"/>
          <w:rtl/>
        </w:rPr>
        <w:t>,</w:t>
      </w:r>
      <w:r w:rsidRPr="000118A1">
        <w:rPr>
          <w:rFonts w:cs="Arial"/>
          <w:rtl/>
        </w:rPr>
        <w:t xml:space="preserve"> אם כתיבת יד העדים יוצא ממקום אחר </w:t>
      </w:r>
      <w:r>
        <w:rPr>
          <w:rFonts w:cs="Arial" w:hint="cs"/>
          <w:rtl/>
        </w:rPr>
        <w:t xml:space="preserve">- </w:t>
      </w:r>
      <w:r w:rsidRPr="000118A1">
        <w:rPr>
          <w:rFonts w:cs="Arial"/>
          <w:rtl/>
        </w:rPr>
        <w:t>אין נאמנים ומתנה קיימת</w:t>
      </w:r>
      <w:r>
        <w:rPr>
          <w:rFonts w:cs="Arial" w:hint="cs"/>
          <w:rtl/>
        </w:rPr>
        <w:t>,</w:t>
      </w:r>
      <w:r w:rsidRPr="000118A1">
        <w:rPr>
          <w:rFonts w:cs="Arial"/>
          <w:rtl/>
        </w:rPr>
        <w:t xml:space="preserve"> כן כתב הרא"ש</w:t>
      </w:r>
      <w:r>
        <w:rPr>
          <w:rFonts w:cs="Arial" w:hint="cs"/>
          <w:rtl/>
        </w:rPr>
        <w:t>.</w:t>
      </w:r>
      <w:r w:rsidRPr="000118A1">
        <w:rPr>
          <w:rFonts w:cs="Arial"/>
          <w:rtl/>
        </w:rPr>
        <w:t xml:space="preserve"> וכן מדייק המרדכי מדברי רש"י</w:t>
      </w:r>
      <w:r>
        <w:rPr>
          <w:rFonts w:cs="Arial" w:hint="cs"/>
          <w:rtl/>
        </w:rPr>
        <w:t>.</w:t>
      </w:r>
      <w:r w:rsidRPr="000118A1">
        <w:rPr>
          <w:rFonts w:cs="Arial"/>
          <w:rtl/>
        </w:rPr>
        <w:t xml:space="preserve"> ועיין בח"ה ס"ס ק"ן בהג"ה ובסמ"ע שם</w:t>
      </w:r>
      <w:r>
        <w:rPr>
          <w:rFonts w:cs="Arial" w:hint="cs"/>
          <w:rtl/>
        </w:rPr>
        <w:t>, ב"ש (סקכ"ח).</w:t>
      </w:r>
    </w:p>
  </w:footnote>
  <w:footnote w:id="1283">
    <w:p w14:paraId="69DA3F87" w14:textId="01E1F49B" w:rsidR="00DE2F5F" w:rsidRDefault="00DE2F5F" w:rsidP="00CB5EA2">
      <w:pPr>
        <w:pStyle w:val="a5"/>
      </w:pPr>
      <w:r>
        <w:rPr>
          <w:rStyle w:val="a7"/>
        </w:rPr>
        <w:footnoteRef/>
      </w:r>
      <w:r>
        <w:rPr>
          <w:rtl/>
        </w:rPr>
        <w:t xml:space="preserve"> </w:t>
      </w:r>
      <w:r>
        <w:rPr>
          <w:rFonts w:cs="Arial" w:hint="cs"/>
          <w:rtl/>
        </w:rPr>
        <w:t xml:space="preserve">כן הוא ברשב"א שלפנינו, וכן הוא בר"ן (שהעתיק את לשון הרשב"א). אך </w:t>
      </w:r>
      <w:r w:rsidR="00082C44">
        <w:rPr>
          <w:rFonts w:cs="Arial" w:hint="cs"/>
          <w:rtl/>
        </w:rPr>
        <w:t>ה</w:t>
      </w:r>
      <w:r>
        <w:rPr>
          <w:rFonts w:cs="Arial" w:hint="cs"/>
          <w:rtl/>
        </w:rPr>
        <w:t xml:space="preserve">ב"י </w:t>
      </w:r>
      <w:r w:rsidR="00082C44">
        <w:rPr>
          <w:rFonts w:cs="Arial" w:hint="cs"/>
          <w:rtl/>
        </w:rPr>
        <w:t>גרס</w:t>
      </w:r>
      <w:r>
        <w:rPr>
          <w:rFonts w:cs="Arial" w:hint="cs"/>
          <w:rtl/>
        </w:rPr>
        <w:t xml:space="preserve"> </w:t>
      </w:r>
      <w:r w:rsidR="00082C44">
        <w:rPr>
          <w:rFonts w:cs="Arial" w:hint="cs"/>
          <w:rtl/>
        </w:rPr>
        <w:t>"</w:t>
      </w:r>
      <w:r w:rsidRPr="00213D3D">
        <w:rPr>
          <w:rFonts w:cs="Arial"/>
          <w:rtl/>
        </w:rPr>
        <w:t>איפשר לומר שתהא מתנתה קיימת</w:t>
      </w:r>
      <w:r w:rsidR="00082C44">
        <w:rPr>
          <w:rFonts w:cs="Arial" w:hint="cs"/>
          <w:rtl/>
        </w:rPr>
        <w:t>".</w:t>
      </w:r>
      <w:r>
        <w:rPr>
          <w:rFonts w:cs="Arial" w:hint="cs"/>
          <w:rtl/>
        </w:rPr>
        <w:t xml:space="preserve"> וזה משנה את המשמעות לגמרי. ונראה שזו טעות סופר/דפוס, ופשוט הושמטה שורה מדברי הרשב"א שהיו לפני הב"י (שהרי תיבות אלו שכתב הב"י</w:t>
      </w:r>
      <w:r w:rsidR="00082C44">
        <w:rPr>
          <w:rFonts w:cs="Arial" w:hint="cs"/>
          <w:rtl/>
        </w:rPr>
        <w:t>,</w:t>
      </w:r>
      <w:r>
        <w:rPr>
          <w:rFonts w:cs="Arial" w:hint="cs"/>
          <w:rtl/>
        </w:rPr>
        <w:t xml:space="preserve"> כתבם הרשב"א שורה אח"כ). </w:t>
      </w:r>
    </w:p>
  </w:footnote>
  <w:footnote w:id="1284">
    <w:p w14:paraId="511E8574" w14:textId="3ADF3AE8" w:rsidR="00DE2F5F" w:rsidRDefault="00DE2F5F" w:rsidP="00CB5EA2">
      <w:pPr>
        <w:pStyle w:val="a5"/>
      </w:pPr>
      <w:r>
        <w:rPr>
          <w:rStyle w:val="a7"/>
        </w:rPr>
        <w:footnoteRef/>
      </w:r>
      <w:r>
        <w:rPr>
          <w:rtl/>
        </w:rPr>
        <w:t xml:space="preserve"> </w:t>
      </w:r>
      <w:r>
        <w:rPr>
          <w:rFonts w:cs="Arial" w:hint="cs"/>
          <w:rtl/>
        </w:rPr>
        <w:t>ו</w:t>
      </w:r>
      <w:r w:rsidRPr="00D9440F">
        <w:rPr>
          <w:rFonts w:cs="Arial"/>
          <w:rtl/>
        </w:rPr>
        <w:t>דברי הריב"ש בדין זה בסימן קמ"ג</w:t>
      </w:r>
      <w:r>
        <w:rPr>
          <w:rFonts w:cs="Arial" w:hint="cs"/>
          <w:rtl/>
        </w:rPr>
        <w:t>.</w:t>
      </w:r>
      <w:r w:rsidRPr="00D9440F">
        <w:rPr>
          <w:rFonts w:cs="Arial"/>
          <w:rtl/>
        </w:rPr>
        <w:t xml:space="preserve"> </w:t>
      </w:r>
      <w:r>
        <w:rPr>
          <w:rFonts w:cs="Arial" w:hint="cs"/>
          <w:rtl/>
        </w:rPr>
        <w:t xml:space="preserve">וכתב הדרכ"מ </w:t>
      </w:r>
      <w:r w:rsidRPr="00D9440F">
        <w:rPr>
          <w:rFonts w:cs="Arial"/>
          <w:rtl/>
        </w:rPr>
        <w:t>(</w:t>
      </w:r>
      <w:r>
        <w:rPr>
          <w:rFonts w:cs="Arial" w:hint="cs"/>
          <w:rtl/>
        </w:rPr>
        <w:t xml:space="preserve">אות </w:t>
      </w:r>
      <w:r w:rsidRPr="00D9440F">
        <w:rPr>
          <w:rFonts w:cs="Arial"/>
          <w:rtl/>
        </w:rPr>
        <w:t xml:space="preserve">ו*) </w:t>
      </w:r>
      <w:r>
        <w:rPr>
          <w:rFonts w:cs="Arial" w:hint="cs"/>
          <w:rtl/>
        </w:rPr>
        <w:t>ל</w:t>
      </w:r>
      <w:r w:rsidRPr="00D9440F">
        <w:rPr>
          <w:rFonts w:cs="Arial"/>
          <w:rtl/>
        </w:rPr>
        <w:t>עיין בחושן המשפט סי' ס"א מתי תלינן בשופרא דשטרי</w:t>
      </w:r>
      <w:r>
        <w:rPr>
          <w:rFonts w:cs="Arial" w:hint="cs"/>
          <w:rtl/>
        </w:rPr>
        <w:t>.</w:t>
      </w:r>
    </w:p>
  </w:footnote>
  <w:footnote w:id="1285">
    <w:p w14:paraId="68E77AA4" w14:textId="71DC220E" w:rsidR="003A37AE" w:rsidRDefault="003A37AE">
      <w:pPr>
        <w:pStyle w:val="a5"/>
      </w:pPr>
      <w:r>
        <w:rPr>
          <w:rStyle w:val="a7"/>
        </w:rPr>
        <w:footnoteRef/>
      </w:r>
      <w:r>
        <w:rPr>
          <w:rtl/>
        </w:rPr>
        <w:t xml:space="preserve"> </w:t>
      </w:r>
      <w:r>
        <w:rPr>
          <w:rFonts w:hint="cs"/>
          <w:rtl/>
        </w:rPr>
        <w:t>סימן - עסק בחלקה.</w:t>
      </w:r>
    </w:p>
  </w:footnote>
  <w:footnote w:id="1286">
    <w:p w14:paraId="4406DA5D" w14:textId="349D4C38" w:rsidR="009D13BC" w:rsidRDefault="009D13BC">
      <w:pPr>
        <w:pStyle w:val="a5"/>
      </w:pPr>
      <w:r>
        <w:rPr>
          <w:rStyle w:val="a7"/>
        </w:rPr>
        <w:footnoteRef/>
      </w:r>
      <w:r>
        <w:rPr>
          <w:rtl/>
        </w:rPr>
        <w:t xml:space="preserve"> </w:t>
      </w:r>
      <w:r w:rsidRPr="009D13BC">
        <w:rPr>
          <w:rFonts w:cs="Arial"/>
          <w:rtl/>
        </w:rPr>
        <w:t>מה ראו חכמים לומר אם מכרה ונתנה הבעל מוציא מיד הלקוחות כדתנן לקמן במתני'</w:t>
      </w:r>
      <w:r>
        <w:rPr>
          <w:rFonts w:cs="Arial" w:hint="cs"/>
          <w:rtl/>
        </w:rPr>
        <w:t>, רש"י.</w:t>
      </w:r>
    </w:p>
  </w:footnote>
  <w:footnote w:id="1287">
    <w:p w14:paraId="3B4349C7" w14:textId="3E148271" w:rsidR="009D13BC" w:rsidRDefault="009D13BC">
      <w:pPr>
        <w:pStyle w:val="a5"/>
      </w:pPr>
      <w:r>
        <w:rPr>
          <w:rStyle w:val="a7"/>
        </w:rPr>
        <w:footnoteRef/>
      </w:r>
      <w:r>
        <w:rPr>
          <w:rtl/>
        </w:rPr>
        <w:t xml:space="preserve"> </w:t>
      </w:r>
      <w:r w:rsidRPr="009D13BC">
        <w:rPr>
          <w:rFonts w:cs="Arial"/>
          <w:rtl/>
        </w:rPr>
        <w:t>קאמר הבעל מוציא כדי לאכול פירות בחייה</w:t>
      </w:r>
      <w:r>
        <w:rPr>
          <w:rFonts w:cs="Arial" w:hint="cs"/>
          <w:rtl/>
        </w:rPr>
        <w:t>,</w:t>
      </w:r>
      <w:r w:rsidRPr="009D13BC">
        <w:rPr>
          <w:rFonts w:cs="Arial"/>
          <w:rtl/>
        </w:rPr>
        <w:t xml:space="preserve"> ולאחר מותה יחזיר הקרקע ללוקח</w:t>
      </w:r>
      <w:r>
        <w:rPr>
          <w:rFonts w:cs="Arial" w:hint="cs"/>
          <w:rtl/>
        </w:rPr>
        <w:t>,</w:t>
      </w:r>
      <w:r w:rsidRPr="009D13BC">
        <w:rPr>
          <w:rFonts w:cs="Arial"/>
          <w:rtl/>
        </w:rPr>
        <w:t xml:space="preserve"> ואפי' מתה בחייו לא ירשנה הבעל</w:t>
      </w:r>
      <w:r>
        <w:rPr>
          <w:rFonts w:cs="Arial" w:hint="cs"/>
          <w:rtl/>
        </w:rPr>
        <w:t>.</w:t>
      </w:r>
      <w:r w:rsidRPr="009D13BC">
        <w:rPr>
          <w:rFonts w:cs="Arial"/>
          <w:rtl/>
        </w:rPr>
        <w:t xml:space="preserve"> ואתו באושא ותקון דאפילו גופה של קרקע יורש הבעל</w:t>
      </w:r>
      <w:r>
        <w:rPr>
          <w:rFonts w:cs="Arial" w:hint="cs"/>
          <w:rtl/>
        </w:rPr>
        <w:t>, רש"י.</w:t>
      </w:r>
    </w:p>
  </w:footnote>
  <w:footnote w:id="1288">
    <w:p w14:paraId="36AADA67" w14:textId="77777777" w:rsidR="00CE2E6B" w:rsidRDefault="00CE2E6B" w:rsidP="00CE2E6B">
      <w:pPr>
        <w:pStyle w:val="a5"/>
        <w:rPr>
          <w:rtl/>
        </w:rPr>
      </w:pPr>
      <w:r>
        <w:rPr>
          <w:rStyle w:val="a7"/>
        </w:rPr>
        <w:footnoteRef/>
      </w:r>
      <w:r>
        <w:rPr>
          <w:rtl/>
        </w:rPr>
        <w:t xml:space="preserve"> </w:t>
      </w:r>
      <w:r>
        <w:rPr>
          <w:rFonts w:hint="cs"/>
          <w:rtl/>
        </w:rPr>
        <w:t>לפנינו איתא 'מכרה' (גם בדפוס וילנא וגם בדפוס ונציה), אבל ברור מההקשר שצריך להיות כתוב 'מכרו'. וכן באמת הגירסא שהיית לפני רב האי גאון (</w:t>
      </w:r>
      <w:r w:rsidRPr="001277A9">
        <w:rPr>
          <w:rFonts w:cs="Arial"/>
          <w:rtl/>
        </w:rPr>
        <w:t>ספר המקח והממכר עמק השער שער ד</w:t>
      </w:r>
      <w:r>
        <w:rPr>
          <w:rFonts w:hint="cs"/>
          <w:rtl/>
        </w:rPr>
        <w:t>) הרז"ה (</w:t>
      </w:r>
      <w:r w:rsidRPr="001277A9">
        <w:rPr>
          <w:rFonts w:cs="Arial"/>
          <w:rtl/>
        </w:rPr>
        <w:t>מלחמת ה'</w:t>
      </w:r>
      <w:r>
        <w:rPr>
          <w:rFonts w:cs="Arial" w:hint="cs"/>
          <w:rtl/>
        </w:rPr>
        <w:t>,</w:t>
      </w:r>
      <w:r w:rsidRPr="001277A9">
        <w:rPr>
          <w:rFonts w:cs="Arial"/>
          <w:rtl/>
        </w:rPr>
        <w:t xml:space="preserve"> יבמות כב</w:t>
      </w:r>
      <w:r>
        <w:rPr>
          <w:rFonts w:cs="Arial" w:hint="cs"/>
          <w:rtl/>
        </w:rPr>
        <w:t>.</w:t>
      </w:r>
      <w:r>
        <w:rPr>
          <w:rFonts w:hint="cs"/>
          <w:rtl/>
        </w:rPr>
        <w:t xml:space="preserve">) הרא"ש (ב"ב פ"ג סי' נג) הר"ן (כתובות יח. מדפה"ר) ועוד.  </w:t>
      </w:r>
    </w:p>
  </w:footnote>
  <w:footnote w:id="1289">
    <w:p w14:paraId="2EE986F4" w14:textId="1760C7AA" w:rsidR="00DE2F5F" w:rsidRDefault="00DE2F5F">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9D64F8">
        <w:rPr>
          <w:rFonts w:cs="Arial"/>
          <w:rtl/>
        </w:rPr>
        <w:t>אמר רבי יוסי בר חנינא באושא התקינו האשה שמכרה בנכסי מלוג בחיי בעלה ומתה הבעל מוציא מיד הלקוחות</w:t>
      </w:r>
      <w:r>
        <w:rPr>
          <w:rFonts w:cs="Arial" w:hint="cs"/>
          <w:rtl/>
        </w:rPr>
        <w:t>.</w:t>
      </w:r>
      <w:r w:rsidRPr="009D64F8">
        <w:rPr>
          <w:rFonts w:cs="Arial"/>
          <w:rtl/>
        </w:rPr>
        <w:t xml:space="preserve"> דשוויה רבנן כלוקח ראשון</w:t>
      </w:r>
      <w:r>
        <w:rPr>
          <w:rFonts w:cs="Arial" w:hint="cs"/>
          <w:rtl/>
        </w:rPr>
        <w:t>,</w:t>
      </w:r>
      <w:r w:rsidRPr="009D64F8">
        <w:rPr>
          <w:rFonts w:cs="Arial"/>
          <w:rtl/>
        </w:rPr>
        <w:t xml:space="preserve"> הילכך מוציא בלא דמים</w:t>
      </w:r>
      <w:r>
        <w:rPr>
          <w:rFonts w:cs="Arial" w:hint="cs"/>
          <w:rtl/>
        </w:rPr>
        <w:t>.</w:t>
      </w:r>
      <w:r w:rsidRPr="009D64F8">
        <w:rPr>
          <w:rFonts w:cs="Arial"/>
          <w:rtl/>
        </w:rPr>
        <w:t xml:space="preserve"> ומוציא לאו דווקא</w:t>
      </w:r>
      <w:r>
        <w:rPr>
          <w:rFonts w:cs="Arial" w:hint="cs"/>
          <w:rtl/>
        </w:rPr>
        <w:t>,</w:t>
      </w:r>
      <w:r w:rsidRPr="009D64F8">
        <w:rPr>
          <w:rFonts w:cs="Arial"/>
          <w:rtl/>
        </w:rPr>
        <w:t xml:space="preserve"> דכל ימי האשה הקרקע ביד הבעל ואוכל פירות</w:t>
      </w:r>
      <w:r>
        <w:rPr>
          <w:rFonts w:cs="Arial" w:hint="cs"/>
          <w:rtl/>
        </w:rPr>
        <w:t>.</w:t>
      </w:r>
      <w:r w:rsidRPr="009D64F8">
        <w:rPr>
          <w:rFonts w:cs="Arial"/>
          <w:rtl/>
        </w:rPr>
        <w:t xml:space="preserve"> והיא מוכרת הגוף מעכשיו</w:t>
      </w:r>
      <w:r>
        <w:rPr>
          <w:rFonts w:cs="Arial" w:hint="cs"/>
          <w:rtl/>
        </w:rPr>
        <w:t>,</w:t>
      </w:r>
      <w:r w:rsidRPr="009D64F8">
        <w:rPr>
          <w:rFonts w:cs="Arial"/>
          <w:rtl/>
        </w:rPr>
        <w:t xml:space="preserve"> והפירות לאחר מיתתה</w:t>
      </w:r>
      <w:r>
        <w:rPr>
          <w:rFonts w:cs="Arial" w:hint="cs"/>
          <w:rtl/>
        </w:rPr>
        <w:t>.</w:t>
      </w:r>
      <w:r w:rsidRPr="009D64F8">
        <w:rPr>
          <w:rFonts w:cs="Arial"/>
          <w:rtl/>
        </w:rPr>
        <w:t xml:space="preserve"> והבעל מוציא מיד הלוקח הגוף שמכרה לו מעכשיו</w:t>
      </w:r>
      <w:r>
        <w:rPr>
          <w:rFonts w:cs="Arial" w:hint="cs"/>
          <w:rtl/>
        </w:rPr>
        <w:t>,</w:t>
      </w:r>
      <w:r w:rsidRPr="009D64F8">
        <w:rPr>
          <w:rFonts w:cs="Arial"/>
          <w:rtl/>
        </w:rPr>
        <w:t xml:space="preserve"> וישאר אצלו</w:t>
      </w:r>
      <w:r>
        <w:rPr>
          <w:rFonts w:cs="Arial" w:hint="cs"/>
          <w:rtl/>
        </w:rPr>
        <w:t>.</w:t>
      </w:r>
      <w:r w:rsidRPr="009D64F8">
        <w:rPr>
          <w:rFonts w:cs="Arial"/>
          <w:rtl/>
        </w:rPr>
        <w:t xml:space="preserve"> ואי איתנהו להנהו דמי דשקלה איתתיה</w:t>
      </w:r>
      <w:r>
        <w:rPr>
          <w:rFonts w:cs="Arial" w:hint="cs"/>
          <w:rtl/>
        </w:rPr>
        <w:t>,</w:t>
      </w:r>
      <w:r w:rsidRPr="009D64F8">
        <w:rPr>
          <w:rFonts w:cs="Arial"/>
          <w:rtl/>
        </w:rPr>
        <w:t xml:space="preserve"> מהדר להו ללוקח</w:t>
      </w:r>
      <w:r>
        <w:rPr>
          <w:rFonts w:cs="Arial" w:hint="cs"/>
          <w:rtl/>
        </w:rPr>
        <w:t>,</w:t>
      </w:r>
      <w:r w:rsidRPr="009D64F8">
        <w:rPr>
          <w:rFonts w:cs="Arial"/>
          <w:rtl/>
        </w:rPr>
        <w:t xml:space="preserve"> דגזל הוו כיון דהמכר לא הוה מכר</w:t>
      </w:r>
      <w:r>
        <w:rPr>
          <w:rFonts w:cs="Arial" w:hint="cs"/>
          <w:rtl/>
        </w:rPr>
        <w:t>.</w:t>
      </w:r>
      <w:r w:rsidRPr="009D64F8">
        <w:rPr>
          <w:rFonts w:cs="Arial"/>
          <w:rtl/>
        </w:rPr>
        <w:t xml:space="preserve"> אם נמצאו מעות בידה</w:t>
      </w:r>
      <w:r>
        <w:rPr>
          <w:rFonts w:cs="Arial" w:hint="cs"/>
          <w:rtl/>
        </w:rPr>
        <w:t>,</w:t>
      </w:r>
      <w:r w:rsidRPr="009D64F8">
        <w:rPr>
          <w:rFonts w:cs="Arial"/>
          <w:rtl/>
        </w:rPr>
        <w:t xml:space="preserve"> אנו תולים שדמי מכר זה הן</w:t>
      </w:r>
      <w:r>
        <w:rPr>
          <w:rFonts w:cs="Arial" w:hint="cs"/>
          <w:rtl/>
        </w:rPr>
        <w:t>,</w:t>
      </w:r>
      <w:r w:rsidRPr="009D64F8">
        <w:rPr>
          <w:rFonts w:cs="Arial"/>
          <w:rtl/>
        </w:rPr>
        <w:t xml:space="preserve"> ולא מצי בעל למימר דילמא מציאה אשכחה</w:t>
      </w:r>
      <w:r>
        <w:rPr>
          <w:rFonts w:cs="Arial" w:hint="cs"/>
          <w:rtl/>
        </w:rPr>
        <w:t>. עכ"ל הרא"ש.</w:t>
      </w:r>
      <w:r w:rsidRPr="0006636A">
        <w:rPr>
          <w:rFonts w:cs="Arial" w:hint="cs"/>
          <w:rtl/>
        </w:rPr>
        <w:t xml:space="preserve"> </w:t>
      </w:r>
      <w:r>
        <w:rPr>
          <w:rFonts w:cs="Arial" w:hint="cs"/>
          <w:rtl/>
        </w:rPr>
        <w:t xml:space="preserve">וכ"כ </w:t>
      </w:r>
      <w:r>
        <w:rPr>
          <w:rFonts w:cs="Arial"/>
          <w:rtl/>
        </w:rPr>
        <w:t xml:space="preserve">הר"ן בפרק נערה שנתפתתה (יח. ד"ה האשה) בשם הרשב"א (נ. ד"ה האשה) </w:t>
      </w:r>
      <w:r w:rsidR="0061020A">
        <w:rPr>
          <w:rFonts w:cs="Arial" w:hint="cs"/>
          <w:rtl/>
        </w:rPr>
        <w:t>וז</w:t>
      </w:r>
      <w:r w:rsidR="0061020A">
        <w:rPr>
          <w:rFonts w:cs="Arial"/>
          <w:rtl/>
        </w:rPr>
        <w:t>"</w:t>
      </w:r>
      <w:r w:rsidR="0061020A">
        <w:rPr>
          <w:rFonts w:cs="Arial" w:hint="cs"/>
          <w:rtl/>
        </w:rPr>
        <w:t>ל:</w:t>
      </w:r>
      <w:r>
        <w:rPr>
          <w:rFonts w:cs="Arial"/>
          <w:rtl/>
        </w:rPr>
        <w:t xml:space="preserve"> </w:t>
      </w:r>
      <w:r>
        <w:rPr>
          <w:rFonts w:cs="Arial" w:hint="cs"/>
          <w:rtl/>
        </w:rPr>
        <w:t>'</w:t>
      </w:r>
      <w:r>
        <w:rPr>
          <w:rFonts w:cs="Arial"/>
          <w:rtl/>
        </w:rPr>
        <w:t>מוציא</w:t>
      </w:r>
      <w:r>
        <w:rPr>
          <w:rFonts w:cs="Arial" w:hint="cs"/>
          <w:rtl/>
        </w:rPr>
        <w:t>'</w:t>
      </w:r>
      <w:r>
        <w:rPr>
          <w:rFonts w:cs="Arial"/>
          <w:rtl/>
        </w:rPr>
        <w:t xml:space="preserve"> דאמרינן </w:t>
      </w:r>
      <w:r>
        <w:rPr>
          <w:rFonts w:cs="Arial" w:hint="cs"/>
          <w:sz w:val="16"/>
          <w:szCs w:val="16"/>
          <w:rtl/>
        </w:rPr>
        <w:t xml:space="preserve">{בתקנת אושא} </w:t>
      </w:r>
      <w:r>
        <w:rPr>
          <w:rFonts w:cs="Arial"/>
          <w:rtl/>
        </w:rPr>
        <w:t>היינו לומר שעד שמתה זכותן תלוי ועומד בידן שמא ימות הוא בחייה והן נכנסין לנחלה</w:t>
      </w:r>
      <w:r>
        <w:rPr>
          <w:rFonts w:cs="Arial" w:hint="cs"/>
          <w:rtl/>
        </w:rPr>
        <w:t>,</w:t>
      </w:r>
      <w:r>
        <w:rPr>
          <w:rFonts w:cs="Arial"/>
          <w:rtl/>
        </w:rPr>
        <w:t xml:space="preserve"> והכי איתא בירושלמי בפרק הכותב</w:t>
      </w:r>
      <w:r>
        <w:rPr>
          <w:rFonts w:cs="Arial" w:hint="cs"/>
          <w:rtl/>
        </w:rPr>
        <w:t>.</w:t>
      </w:r>
      <w:r>
        <w:rPr>
          <w:rFonts w:cs="Arial"/>
          <w:rtl/>
        </w:rPr>
        <w:t xml:space="preserve"> אבל עכשיו שמתה בחיי הבעל</w:t>
      </w:r>
      <w:r>
        <w:rPr>
          <w:rFonts w:cs="Arial" w:hint="cs"/>
          <w:rtl/>
        </w:rPr>
        <w:t>,</w:t>
      </w:r>
      <w:r>
        <w:rPr>
          <w:rFonts w:cs="Arial"/>
          <w:rtl/>
        </w:rPr>
        <w:t xml:space="preserve"> מוציא מידן זכות זה שהיה תלוי ועומד בידן</w:t>
      </w:r>
      <w:r>
        <w:rPr>
          <w:rFonts w:cs="Arial" w:hint="cs"/>
          <w:rtl/>
        </w:rPr>
        <w:t>.</w:t>
      </w:r>
      <w:r>
        <w:rPr>
          <w:rFonts w:cs="Arial"/>
          <w:rtl/>
        </w:rPr>
        <w:t xml:space="preserve"> ולא מוציא ממש קאמר</w:t>
      </w:r>
      <w:r>
        <w:rPr>
          <w:rFonts w:cs="Arial" w:hint="cs"/>
          <w:rtl/>
        </w:rPr>
        <w:t>,</w:t>
      </w:r>
      <w:r>
        <w:rPr>
          <w:rFonts w:cs="Arial"/>
          <w:rtl/>
        </w:rPr>
        <w:t xml:space="preserve"> דנכסים לאו ביד הלקוחות הוו קיימי</w:t>
      </w:r>
      <w:r>
        <w:rPr>
          <w:rFonts w:cs="Arial" w:hint="cs"/>
          <w:rtl/>
        </w:rPr>
        <w:t>.</w:t>
      </w:r>
      <w:r>
        <w:rPr>
          <w:rFonts w:cs="Arial"/>
          <w:rtl/>
        </w:rPr>
        <w:t xml:space="preserve"> עכ"ל</w:t>
      </w:r>
      <w:r>
        <w:rPr>
          <w:rFonts w:cs="Arial" w:hint="cs"/>
          <w:rtl/>
        </w:rPr>
        <w:t>.</w:t>
      </w:r>
    </w:p>
  </w:footnote>
  <w:footnote w:id="1290">
    <w:p w14:paraId="289079F0" w14:textId="008A8D35" w:rsidR="00DE2F5F" w:rsidRDefault="00DE2F5F">
      <w:pPr>
        <w:pStyle w:val="a5"/>
      </w:pPr>
      <w:r>
        <w:rPr>
          <w:rStyle w:val="a7"/>
        </w:rPr>
        <w:footnoteRef/>
      </w:r>
      <w:r>
        <w:rPr>
          <w:rtl/>
        </w:rPr>
        <w:t xml:space="preserve"> </w:t>
      </w:r>
      <w:r>
        <w:rPr>
          <w:rFonts w:cs="Arial"/>
          <w:rtl/>
        </w:rPr>
        <w:t>שגוף הקרקע מכור ואם ימות הוא בחייה זכו הלקוחות</w:t>
      </w:r>
      <w:r>
        <w:rPr>
          <w:rFonts w:cs="Arial" w:hint="cs"/>
          <w:rtl/>
        </w:rPr>
        <w:t>,</w:t>
      </w:r>
      <w:r>
        <w:rPr>
          <w:rFonts w:cs="Arial"/>
          <w:rtl/>
        </w:rPr>
        <w:t xml:space="preserve"> וכן מבואר בירושלמי פרק הכותב (ה"א)</w:t>
      </w:r>
      <w:r>
        <w:rPr>
          <w:rFonts w:cs="Arial" w:hint="cs"/>
          <w:rtl/>
        </w:rPr>
        <w:t>, הה"מ (שם, כ"כ בשמו הב"י).</w:t>
      </w:r>
    </w:p>
  </w:footnote>
  <w:footnote w:id="1291">
    <w:p w14:paraId="64AA2D9F" w14:textId="6AB45A04" w:rsidR="00DE2F5F" w:rsidRDefault="00DE2F5F">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55510E">
        <w:rPr>
          <w:rFonts w:cs="Arial"/>
          <w:rtl/>
        </w:rPr>
        <w:t>וקי"ל דבעל מוציא מיד הלקוחות בלא דמים ואי איתנהו להנהו דמי דשקלה אתתיה מהדר להו ללוקח ולא יכול בעל למימר דילמא מציאה אשכחה</w:t>
      </w:r>
      <w:r>
        <w:rPr>
          <w:rFonts w:cs="Arial" w:hint="cs"/>
          <w:rtl/>
        </w:rPr>
        <w:t>.</w:t>
      </w:r>
      <w:r>
        <w:rPr>
          <w:rFonts w:hint="cs"/>
          <w:rtl/>
        </w:rPr>
        <w:t xml:space="preserve"> עכ"ל. </w:t>
      </w:r>
      <w:r>
        <w:rPr>
          <w:rFonts w:cs="Arial"/>
          <w:rtl/>
        </w:rPr>
        <w:t>וכתב עליו הר"ן (שם) בשם הרשב"א (שם) דמלשונו זה משמע דאע</w:t>
      </w:r>
      <w:r>
        <w:rPr>
          <w:rFonts w:cs="Arial" w:hint="cs"/>
          <w:rtl/>
        </w:rPr>
        <w:t>"</w:t>
      </w:r>
      <w:r>
        <w:rPr>
          <w:rFonts w:cs="Arial"/>
          <w:rtl/>
        </w:rPr>
        <w:t>ג דליכא סהדי דהנהו זוזי ממש איתנהו דשקיל מלוקח אלא דהניחה זוזי מסתמא אמרינן דאינהו נינהו זוזי וה"ל כעין פקדון דאיגלאי מילתא דממכרה בטל למפרע ומעות כעין פקדון נינהו אבל אחלפינהו אע</w:t>
      </w:r>
      <w:r>
        <w:rPr>
          <w:rFonts w:cs="Arial" w:hint="cs"/>
          <w:rtl/>
        </w:rPr>
        <w:t>"</w:t>
      </w:r>
      <w:r>
        <w:rPr>
          <w:rFonts w:cs="Arial"/>
          <w:rtl/>
        </w:rPr>
        <w:t>ג דחילופיהן בידה מסתברא דאינו חייב בעל לשלומי מינייהו ללוקח דמכי שלחה בהו יד קמו זוזי עלה בהלואה ומימר אמר להו אנא מטלטלי שבקה לי וזוזי דידכו קמו עלה בהלואה ואינו משלם</w:t>
      </w:r>
      <w:r>
        <w:rPr>
          <w:rFonts w:cs="Arial" w:hint="cs"/>
          <w:rtl/>
        </w:rPr>
        <w:t>.</w:t>
      </w:r>
      <w:r>
        <w:rPr>
          <w:rFonts w:cs="Arial"/>
          <w:rtl/>
        </w:rPr>
        <w:t xml:space="preserve"> וכ</w:t>
      </w:r>
      <w:r>
        <w:rPr>
          <w:rFonts w:cs="Arial" w:hint="cs"/>
          <w:rtl/>
        </w:rPr>
        <w:t>"</w:t>
      </w:r>
      <w:r>
        <w:rPr>
          <w:rFonts w:cs="Arial"/>
          <w:rtl/>
        </w:rPr>
        <w:t>כ ה</w:t>
      </w:r>
      <w:r>
        <w:rPr>
          <w:rFonts w:cs="Arial" w:hint="cs"/>
          <w:rtl/>
        </w:rPr>
        <w:t>ה"מ</w:t>
      </w:r>
      <w:r>
        <w:rPr>
          <w:rFonts w:cs="Arial"/>
          <w:rtl/>
        </w:rPr>
        <w:t xml:space="preserve"> בפכ"ב מהל</w:t>
      </w:r>
      <w:r>
        <w:rPr>
          <w:rFonts w:cs="Arial" w:hint="cs"/>
          <w:rtl/>
        </w:rPr>
        <w:t>'</w:t>
      </w:r>
      <w:r>
        <w:rPr>
          <w:rFonts w:cs="Arial"/>
          <w:rtl/>
        </w:rPr>
        <w:t xml:space="preserve"> אישות ג"כ בשם הרשב"א ז"ל</w:t>
      </w:r>
      <w:r>
        <w:rPr>
          <w:rFonts w:cs="Arial" w:hint="cs"/>
          <w:rtl/>
        </w:rPr>
        <w:t>.</w:t>
      </w:r>
      <w:r>
        <w:rPr>
          <w:rFonts w:cs="Arial"/>
          <w:rtl/>
        </w:rPr>
        <w:t xml:space="preserve"> ודבר זה מבואר בדברי הרמב"ם </w:t>
      </w:r>
      <w:r>
        <w:rPr>
          <w:rFonts w:cs="Arial" w:hint="cs"/>
          <w:rtl/>
        </w:rPr>
        <w:t>(פכ"ב ה"ז), ב"י.</w:t>
      </w:r>
      <w:r>
        <w:rPr>
          <w:rFonts w:cs="Arial"/>
          <w:rtl/>
        </w:rPr>
        <w:t xml:space="preserve"> </w:t>
      </w:r>
    </w:p>
  </w:footnote>
  <w:footnote w:id="1292">
    <w:p w14:paraId="436592A0" w14:textId="77777777" w:rsidR="00DE2F5F" w:rsidRDefault="00DE2F5F" w:rsidP="006550D7">
      <w:pPr>
        <w:pStyle w:val="a5"/>
        <w:rPr>
          <w:rtl/>
        </w:rPr>
      </w:pPr>
      <w:r>
        <w:rPr>
          <w:rStyle w:val="a7"/>
        </w:rPr>
        <w:footnoteRef/>
      </w:r>
      <w:r>
        <w:rPr>
          <w:rtl/>
        </w:rPr>
        <w:t xml:space="preserve"> </w:t>
      </w:r>
      <w:r>
        <w:rPr>
          <w:rFonts w:cs="Arial" w:hint="cs"/>
          <w:rtl/>
        </w:rPr>
        <w:t>ו</w:t>
      </w:r>
      <w:r w:rsidRPr="000D1E98">
        <w:rPr>
          <w:rFonts w:cs="Arial"/>
          <w:rtl/>
        </w:rPr>
        <w:t>לא חשו לפסידא דלקוחות דלא איבעי להו למיזבן מאיתתא דיתבה תותי גברא כדאיתא בשילהי יש נוחלין (קלט</w:t>
      </w:r>
      <w:r>
        <w:rPr>
          <w:rFonts w:cs="Arial" w:hint="cs"/>
          <w:rtl/>
        </w:rPr>
        <w:t>:</w:t>
      </w:r>
      <w:r w:rsidRPr="000D1E98">
        <w:rPr>
          <w:rFonts w:cs="Arial"/>
          <w:rtl/>
        </w:rPr>
        <w:t>)</w:t>
      </w:r>
      <w:r>
        <w:rPr>
          <w:rFonts w:cs="Arial" w:hint="cs"/>
          <w:rtl/>
        </w:rPr>
        <w:t>.</w:t>
      </w:r>
      <w:r w:rsidRPr="000D1E98">
        <w:rPr>
          <w:rFonts w:cs="Arial"/>
          <w:rtl/>
        </w:rPr>
        <w:t xml:space="preserve"> וה"ה ללותה דאינו משלם כלום דמכי נשאת הוה ליה לוקח</w:t>
      </w:r>
      <w:r>
        <w:rPr>
          <w:rFonts w:cs="Arial" w:hint="cs"/>
          <w:rtl/>
        </w:rPr>
        <w:t>,</w:t>
      </w:r>
      <w:r w:rsidRPr="000D1E98">
        <w:rPr>
          <w:rFonts w:hint="cs"/>
          <w:rtl/>
        </w:rPr>
        <w:t xml:space="preserve"> </w:t>
      </w:r>
      <w:r>
        <w:rPr>
          <w:rFonts w:hint="cs"/>
          <w:rtl/>
        </w:rPr>
        <w:t>רשב"א (נ.)</w:t>
      </w:r>
      <w:r>
        <w:rPr>
          <w:rFonts w:cs="Arial" w:hint="cs"/>
          <w:rtl/>
        </w:rPr>
        <w:t>.</w:t>
      </w:r>
    </w:p>
  </w:footnote>
  <w:footnote w:id="1293">
    <w:p w14:paraId="33E280C8" w14:textId="3F6D8555" w:rsidR="00BA3E43" w:rsidRDefault="00BA3E43">
      <w:pPr>
        <w:pStyle w:val="a5"/>
      </w:pPr>
      <w:r>
        <w:rPr>
          <w:rStyle w:val="a7"/>
        </w:rPr>
        <w:footnoteRef/>
      </w:r>
      <w:r>
        <w:rPr>
          <w:rtl/>
        </w:rPr>
        <w:t xml:space="preserve"> </w:t>
      </w:r>
      <w:r>
        <w:rPr>
          <w:rFonts w:cs="Arial" w:hint="cs"/>
          <w:rtl/>
        </w:rPr>
        <w:t xml:space="preserve">וז"ל הטור בשמו: </w:t>
      </w:r>
      <w:r w:rsidRPr="000C687E">
        <w:rPr>
          <w:rFonts w:cs="Arial"/>
          <w:rtl/>
        </w:rPr>
        <w:t>נוטלם בלא דמים</w:t>
      </w:r>
      <w:r>
        <w:rPr>
          <w:rFonts w:cs="Arial" w:hint="cs"/>
          <w:rtl/>
        </w:rPr>
        <w:t>.</w:t>
      </w:r>
      <w:r w:rsidRPr="000C687E">
        <w:rPr>
          <w:rFonts w:cs="Arial"/>
          <w:rtl/>
        </w:rPr>
        <w:t xml:space="preserve"> ואי איתנהו לדמי בידה דאשה בעידנא דמתה</w:t>
      </w:r>
      <w:r>
        <w:rPr>
          <w:rFonts w:cs="Arial" w:hint="cs"/>
          <w:rtl/>
        </w:rPr>
        <w:t>,</w:t>
      </w:r>
      <w:r w:rsidRPr="000C687E">
        <w:rPr>
          <w:rFonts w:cs="Arial"/>
          <w:rtl/>
        </w:rPr>
        <w:t xml:space="preserve"> שקלינהו לוקח ולא מצי בעל למימר אחריני נינהו ומציאה אשכחה</w:t>
      </w:r>
      <w:r>
        <w:rPr>
          <w:rFonts w:cs="Arial" w:hint="cs"/>
          <w:rtl/>
        </w:rPr>
        <w:t>.</w:t>
      </w:r>
    </w:p>
  </w:footnote>
  <w:footnote w:id="1294">
    <w:p w14:paraId="4E41E85F" w14:textId="63B3A88E" w:rsidR="00DE2F5F" w:rsidRDefault="00DE2F5F">
      <w:pPr>
        <w:pStyle w:val="a5"/>
      </w:pPr>
      <w:r>
        <w:rPr>
          <w:rStyle w:val="a7"/>
        </w:rPr>
        <w:footnoteRef/>
      </w:r>
      <w:r>
        <w:rPr>
          <w:rtl/>
        </w:rPr>
        <w:t xml:space="preserve"> </w:t>
      </w:r>
      <w:r w:rsidRPr="00BC36A2">
        <w:rPr>
          <w:rFonts w:cs="Arial"/>
          <w:rtl/>
        </w:rPr>
        <w:t xml:space="preserve">ועיין ב"ח </w:t>
      </w:r>
      <w:r>
        <w:rPr>
          <w:rFonts w:cs="Arial" w:hint="cs"/>
          <w:rtl/>
        </w:rPr>
        <w:t>(</w:t>
      </w:r>
      <w:r w:rsidRPr="00BC36A2">
        <w:rPr>
          <w:rFonts w:cs="Arial"/>
          <w:rtl/>
        </w:rPr>
        <w:t>ח</w:t>
      </w:r>
      <w:r>
        <w:rPr>
          <w:rFonts w:cs="Arial" w:hint="cs"/>
          <w:rtl/>
        </w:rPr>
        <w:t>ו"מ</w:t>
      </w:r>
      <w:r w:rsidRPr="00BC36A2">
        <w:rPr>
          <w:rFonts w:cs="Arial"/>
          <w:rtl/>
        </w:rPr>
        <w:t xml:space="preserve"> ס"ס צו</w:t>
      </w:r>
      <w:r>
        <w:rPr>
          <w:rFonts w:cs="Arial" w:hint="cs"/>
          <w:rtl/>
        </w:rPr>
        <w:t>)</w:t>
      </w:r>
      <w:r w:rsidRPr="00BC36A2">
        <w:rPr>
          <w:rFonts w:cs="Arial"/>
          <w:rtl/>
        </w:rPr>
        <w:t xml:space="preserve"> שכתוב לוה שאין לו לשלם לכל ב</w:t>
      </w:r>
      <w:r>
        <w:rPr>
          <w:rFonts w:cs="Arial" w:hint="cs"/>
          <w:rtl/>
        </w:rPr>
        <w:t xml:space="preserve">עלי </w:t>
      </w:r>
      <w:r w:rsidRPr="00BC36A2">
        <w:rPr>
          <w:rFonts w:cs="Arial"/>
          <w:rtl/>
        </w:rPr>
        <w:t>ח</w:t>
      </w:r>
      <w:r>
        <w:rPr>
          <w:rFonts w:cs="Arial" w:hint="cs"/>
          <w:rtl/>
        </w:rPr>
        <w:t>וב</w:t>
      </w:r>
      <w:r w:rsidRPr="00BC36A2">
        <w:rPr>
          <w:rFonts w:cs="Arial"/>
          <w:rtl/>
        </w:rPr>
        <w:t xml:space="preserve"> ויש בידו בעין סחורו</w:t>
      </w:r>
      <w:r>
        <w:rPr>
          <w:rFonts w:cs="Arial" w:hint="cs"/>
          <w:rtl/>
        </w:rPr>
        <w:t>ת</w:t>
      </w:r>
      <w:r w:rsidRPr="00BC36A2">
        <w:rPr>
          <w:rFonts w:cs="Arial"/>
          <w:rtl/>
        </w:rPr>
        <w:t xml:space="preserve"> מה שלקח בהקפה מן איזה אנשים</w:t>
      </w:r>
      <w:r>
        <w:rPr>
          <w:rFonts w:cs="Arial" w:hint="cs"/>
          <w:rtl/>
        </w:rPr>
        <w:t xml:space="preserve"> -</w:t>
      </w:r>
      <w:r w:rsidRPr="00BC36A2">
        <w:rPr>
          <w:rFonts w:cs="Arial"/>
          <w:rtl/>
        </w:rPr>
        <w:t xml:space="preserve"> מחזירים אותם סחורות לאלו אנשים ואינם בכלל חלוקה</w:t>
      </w:r>
      <w:r>
        <w:rPr>
          <w:rFonts w:cs="Arial" w:hint="cs"/>
          <w:rtl/>
        </w:rPr>
        <w:t>.</w:t>
      </w:r>
      <w:r w:rsidRPr="00BC36A2">
        <w:rPr>
          <w:rFonts w:cs="Arial"/>
          <w:rtl/>
        </w:rPr>
        <w:t xml:space="preserve"> ונראה אם ידוע שלקח סחורה כזו אמרי</w:t>
      </w:r>
      <w:r>
        <w:rPr>
          <w:rFonts w:cs="Arial" w:hint="cs"/>
          <w:rtl/>
        </w:rPr>
        <w:t>נן</w:t>
      </w:r>
      <w:r w:rsidRPr="00BC36A2">
        <w:rPr>
          <w:rFonts w:cs="Arial"/>
          <w:rtl/>
        </w:rPr>
        <w:t xml:space="preserve"> זו הסחור</w:t>
      </w:r>
      <w:r>
        <w:rPr>
          <w:rFonts w:cs="Arial" w:hint="cs"/>
          <w:rtl/>
        </w:rPr>
        <w:t>ה</w:t>
      </w:r>
      <w:r w:rsidRPr="00BC36A2">
        <w:rPr>
          <w:rFonts w:cs="Arial"/>
          <w:rtl/>
        </w:rPr>
        <w:t xml:space="preserve"> שבידו מהני סחורו</w:t>
      </w:r>
      <w:r>
        <w:rPr>
          <w:rFonts w:cs="Arial" w:hint="cs"/>
          <w:rtl/>
        </w:rPr>
        <w:t>ת</w:t>
      </w:r>
      <w:r w:rsidRPr="00BC36A2">
        <w:rPr>
          <w:rFonts w:cs="Arial"/>
          <w:rtl/>
        </w:rPr>
        <w:t xml:space="preserve"> הם אע</w:t>
      </w:r>
      <w:r>
        <w:rPr>
          <w:rFonts w:cs="Arial" w:hint="cs"/>
          <w:rtl/>
        </w:rPr>
        <w:t>"</w:t>
      </w:r>
      <w:r w:rsidRPr="00BC36A2">
        <w:rPr>
          <w:rFonts w:cs="Arial"/>
          <w:rtl/>
        </w:rPr>
        <w:t xml:space="preserve">ג דא"י בבירור דאלו סחורות של פלוני הם </w:t>
      </w:r>
      <w:r>
        <w:rPr>
          <w:rFonts w:cs="Arial" w:hint="cs"/>
          <w:rtl/>
        </w:rPr>
        <w:t>(</w:t>
      </w:r>
      <w:r w:rsidRPr="00BC36A2">
        <w:rPr>
          <w:rFonts w:cs="Arial"/>
          <w:rtl/>
        </w:rPr>
        <w:t>כמו דלא חיישי</w:t>
      </w:r>
      <w:r>
        <w:rPr>
          <w:rFonts w:cs="Arial" w:hint="cs"/>
          <w:rtl/>
        </w:rPr>
        <w:t>נן</w:t>
      </w:r>
      <w:r w:rsidRPr="00BC36A2">
        <w:rPr>
          <w:rFonts w:cs="Arial"/>
          <w:rtl/>
        </w:rPr>
        <w:t xml:space="preserve"> כאן </w:t>
      </w:r>
      <w:r w:rsidRPr="00B63936">
        <w:rPr>
          <w:rFonts w:cs="Arial" w:hint="cs"/>
          <w:sz w:val="16"/>
          <w:szCs w:val="16"/>
          <w:rtl/>
        </w:rPr>
        <w:t>{בדברי הרמב"ם והשו"ע</w:t>
      </w:r>
      <w:r>
        <w:rPr>
          <w:rFonts w:cs="Arial" w:hint="cs"/>
          <w:sz w:val="16"/>
          <w:szCs w:val="16"/>
          <w:rtl/>
        </w:rPr>
        <w:t xml:space="preserve"> להב' הב"ש</w:t>
      </w:r>
      <w:r w:rsidRPr="00B63936">
        <w:rPr>
          <w:rFonts w:cs="Arial" w:hint="cs"/>
          <w:sz w:val="16"/>
          <w:szCs w:val="16"/>
          <w:rtl/>
        </w:rPr>
        <w:t xml:space="preserve">} </w:t>
      </w:r>
      <w:r w:rsidRPr="00BC36A2">
        <w:rPr>
          <w:rFonts w:cs="Arial"/>
          <w:rtl/>
        </w:rPr>
        <w:t>שמא מעות אחרים הוא אם ידוע דלקחה מעות כאלו</w:t>
      </w:r>
      <w:r>
        <w:rPr>
          <w:rFonts w:cs="Arial" w:hint="cs"/>
          <w:rtl/>
        </w:rPr>
        <w:t>).</w:t>
      </w:r>
      <w:r w:rsidRPr="00BC36A2">
        <w:rPr>
          <w:rFonts w:cs="Arial"/>
          <w:rtl/>
        </w:rPr>
        <w:t xml:space="preserve"> ושם כתב ב"ח אפי' מה דנתחלף מאלו סחורות הוי כאלו הי</w:t>
      </w:r>
      <w:r>
        <w:rPr>
          <w:rFonts w:cs="Arial" w:hint="cs"/>
          <w:rtl/>
        </w:rPr>
        <w:t>ו</w:t>
      </w:r>
      <w:r w:rsidRPr="00BC36A2">
        <w:rPr>
          <w:rFonts w:cs="Arial"/>
          <w:rtl/>
        </w:rPr>
        <w:t xml:space="preserve"> אלו סחורות בעין</w:t>
      </w:r>
      <w:r>
        <w:rPr>
          <w:rFonts w:cs="Arial" w:hint="cs"/>
          <w:rtl/>
        </w:rPr>
        <w:t>,</w:t>
      </w:r>
      <w:r w:rsidRPr="00BC36A2">
        <w:rPr>
          <w:rFonts w:cs="Arial"/>
          <w:rtl/>
        </w:rPr>
        <w:t xml:space="preserve"> וכן הוא שם בטור סי' ק"ח ובב"י ס"ס צ"ו בשם בעל התרומות</w:t>
      </w:r>
      <w:r>
        <w:rPr>
          <w:rFonts w:cs="Arial" w:hint="cs"/>
          <w:rtl/>
        </w:rPr>
        <w:t>,</w:t>
      </w:r>
      <w:r w:rsidRPr="00BC36A2">
        <w:rPr>
          <w:rFonts w:cs="Arial"/>
          <w:rtl/>
        </w:rPr>
        <w:t xml:space="preserve"> ומזה ראיה כמ"ש בשם הנ"י</w:t>
      </w:r>
      <w:r>
        <w:rPr>
          <w:rFonts w:cs="Arial" w:hint="cs"/>
          <w:rtl/>
        </w:rPr>
        <w:t>.</w:t>
      </w:r>
      <w:r w:rsidRPr="00BC36A2">
        <w:rPr>
          <w:rFonts w:cs="Arial"/>
          <w:rtl/>
        </w:rPr>
        <w:t xml:space="preserve"> וע' תשובת צ"צ סי' קיז</w:t>
      </w:r>
      <w:r>
        <w:rPr>
          <w:rFonts w:cs="Arial" w:hint="cs"/>
          <w:rtl/>
        </w:rPr>
        <w:t xml:space="preserve">, ב"ש </w:t>
      </w:r>
      <w:r>
        <w:rPr>
          <w:rFonts w:hint="cs"/>
          <w:rtl/>
        </w:rPr>
        <w:t>(סקל"ח).</w:t>
      </w:r>
    </w:p>
  </w:footnote>
  <w:footnote w:id="1295">
    <w:p w14:paraId="1EBD3751" w14:textId="77777777" w:rsidR="00DE2F5F" w:rsidRDefault="00DE2F5F" w:rsidP="00F613E0">
      <w:pPr>
        <w:pStyle w:val="a5"/>
        <w:rPr>
          <w:rtl/>
        </w:rPr>
      </w:pPr>
      <w:r>
        <w:rPr>
          <w:rStyle w:val="a7"/>
        </w:rPr>
        <w:footnoteRef/>
      </w:r>
      <w:r>
        <w:rPr>
          <w:rtl/>
        </w:rPr>
        <w:t xml:space="preserve"> </w:t>
      </w:r>
      <w:r w:rsidRPr="00F613E0">
        <w:rPr>
          <w:rFonts w:cs="Arial"/>
          <w:rtl/>
        </w:rPr>
        <w:t>ועיין לעיל ריש סימן זה ובח"ה סימן ת"ה אם הקדישה ברצון בעלה או ששתק אימת צריך לקיים</w:t>
      </w:r>
      <w:r>
        <w:rPr>
          <w:rFonts w:hint="cs"/>
          <w:rtl/>
        </w:rPr>
        <w:t>, דרכ"מ (אות ז).</w:t>
      </w:r>
    </w:p>
  </w:footnote>
  <w:footnote w:id="1296">
    <w:p w14:paraId="395D4CA5" w14:textId="6D0E45A0" w:rsidR="00DE2F5F" w:rsidRDefault="00DE2F5F">
      <w:pPr>
        <w:pStyle w:val="a5"/>
      </w:pPr>
      <w:r>
        <w:rPr>
          <w:rStyle w:val="a7"/>
        </w:rPr>
        <w:footnoteRef/>
      </w:r>
      <w:r>
        <w:rPr>
          <w:rtl/>
        </w:rPr>
        <w:t xml:space="preserve"> </w:t>
      </w:r>
      <w:r w:rsidRPr="00524552">
        <w:rPr>
          <w:rFonts w:cs="Arial"/>
          <w:rtl/>
        </w:rPr>
        <w:t>אין ללוקח תועלת בגוף הקרקע מאחר שהפירו</w:t>
      </w:r>
      <w:r>
        <w:rPr>
          <w:rFonts w:cs="Arial" w:hint="cs"/>
          <w:rtl/>
        </w:rPr>
        <w:t>ת</w:t>
      </w:r>
      <w:r w:rsidRPr="00524552">
        <w:rPr>
          <w:rFonts w:cs="Arial"/>
          <w:rtl/>
        </w:rPr>
        <w:t xml:space="preserve"> וכל תשמישי קרקע הכל לבעל</w:t>
      </w:r>
      <w:r>
        <w:rPr>
          <w:rFonts w:cs="Arial" w:hint="cs"/>
          <w:rtl/>
        </w:rPr>
        <w:t>.</w:t>
      </w:r>
      <w:r w:rsidRPr="00524552">
        <w:rPr>
          <w:rFonts w:cs="Arial"/>
          <w:rtl/>
        </w:rPr>
        <w:t xml:space="preserve"> ואם למחות ביד הבעל שלא לקלקל בקרקע ולחפור בורות שיחין מערות</w:t>
      </w:r>
      <w:r>
        <w:rPr>
          <w:rFonts w:cs="Arial" w:hint="cs"/>
          <w:rtl/>
        </w:rPr>
        <w:t>,</w:t>
      </w:r>
      <w:r w:rsidRPr="00524552">
        <w:rPr>
          <w:rFonts w:cs="Arial"/>
          <w:rtl/>
        </w:rPr>
        <w:t xml:space="preserve"> גם הרא"ש (דס"ל דמוציא אף גוף הקרקע וכמו שכתב בהג"ה אח"ז) יודה לזה</w:t>
      </w:r>
      <w:r>
        <w:rPr>
          <w:rFonts w:cs="Arial" w:hint="cs"/>
          <w:rtl/>
        </w:rPr>
        <w:t>,</w:t>
      </w:r>
      <w:r w:rsidRPr="00524552">
        <w:rPr>
          <w:rFonts w:cs="Arial"/>
          <w:rtl/>
        </w:rPr>
        <w:t xml:space="preserve"> דכל </w:t>
      </w:r>
      <w:r>
        <w:rPr>
          <w:rFonts w:cs="Arial" w:hint="cs"/>
          <w:rtl/>
        </w:rPr>
        <w:t>ש</w:t>
      </w:r>
      <w:r w:rsidRPr="00524552">
        <w:rPr>
          <w:rFonts w:cs="Arial"/>
          <w:rtl/>
        </w:rPr>
        <w:t>האש</w:t>
      </w:r>
      <w:r>
        <w:rPr>
          <w:rFonts w:cs="Arial" w:hint="cs"/>
          <w:rtl/>
        </w:rPr>
        <w:t>ה</w:t>
      </w:r>
      <w:r w:rsidRPr="00524552">
        <w:rPr>
          <w:rFonts w:cs="Arial"/>
          <w:rtl/>
        </w:rPr>
        <w:t xml:space="preserve"> יכולה למחות גם הלוקח יכול למחות</w:t>
      </w:r>
      <w:r>
        <w:rPr>
          <w:rFonts w:cs="Arial" w:hint="cs"/>
          <w:sz w:val="16"/>
          <w:szCs w:val="16"/>
          <w:rtl/>
        </w:rPr>
        <w:t xml:space="preserve"> {וכ"כ ב"ש [סקל"ו], ודלא כפרישה דכתב דלדעת הרא"ש הלוקח אינו יכול למחות}</w:t>
      </w:r>
      <w:r>
        <w:rPr>
          <w:rFonts w:cs="Arial" w:hint="cs"/>
          <w:rtl/>
        </w:rPr>
        <w:t>.</w:t>
      </w:r>
      <w:r w:rsidRPr="00524552">
        <w:rPr>
          <w:rFonts w:cs="Arial"/>
          <w:rtl/>
        </w:rPr>
        <w:t xml:space="preserve"> ומכל מקום יש ללוקח תועלת בגוף הקרקע לענין פרוזבול</w:t>
      </w:r>
      <w:r>
        <w:rPr>
          <w:rFonts w:hint="cs"/>
          <w:rtl/>
        </w:rPr>
        <w:t xml:space="preserve">, </w:t>
      </w:r>
      <w:r w:rsidRPr="00643A08">
        <w:rPr>
          <w:rFonts w:hint="cs"/>
          <w:b/>
          <w:bCs/>
          <w:rtl/>
        </w:rPr>
        <w:t>ח"מ</w:t>
      </w:r>
      <w:r>
        <w:rPr>
          <w:rFonts w:hint="cs"/>
          <w:rtl/>
        </w:rPr>
        <w:t xml:space="preserve"> (סקכ"ז).</w:t>
      </w:r>
      <w:r w:rsidRPr="009B688E">
        <w:rPr>
          <w:rtl/>
        </w:rPr>
        <w:t xml:space="preserve"> </w:t>
      </w:r>
      <w:r w:rsidR="00643A08">
        <w:rPr>
          <w:rFonts w:hint="cs"/>
          <w:rtl/>
        </w:rPr>
        <w:t xml:space="preserve">     </w:t>
      </w:r>
      <w:r>
        <w:rPr>
          <w:rFonts w:cs="Arial" w:hint="cs"/>
          <w:rtl/>
        </w:rPr>
        <w:t xml:space="preserve">וכתב </w:t>
      </w:r>
      <w:r w:rsidRPr="00643A08">
        <w:rPr>
          <w:rFonts w:cs="Arial" w:hint="cs"/>
          <w:b/>
          <w:bCs/>
          <w:rtl/>
        </w:rPr>
        <w:t xml:space="preserve">הב"ש </w:t>
      </w:r>
      <w:r>
        <w:rPr>
          <w:rFonts w:cs="Arial" w:hint="cs"/>
          <w:rtl/>
        </w:rPr>
        <w:t>(סקל"ו) דיש עוד נפקא מינה, והיא ש</w:t>
      </w:r>
      <w:r w:rsidRPr="009B688E">
        <w:rPr>
          <w:rFonts w:cs="Arial"/>
          <w:rtl/>
        </w:rPr>
        <w:t>להרמב"ם דסבירא ליה דגוף הקרקע נשאר ביד הלוקח ויש לו זכות כאילו הקרקע היה שלו</w:t>
      </w:r>
      <w:r>
        <w:rPr>
          <w:rFonts w:cs="Arial" w:hint="cs"/>
          <w:rtl/>
        </w:rPr>
        <w:t xml:space="preserve"> -</w:t>
      </w:r>
      <w:r w:rsidRPr="009B688E">
        <w:rPr>
          <w:rFonts w:cs="Arial"/>
          <w:rtl/>
        </w:rPr>
        <w:t xml:space="preserve"> אין לו דין על המעות אפילו כשהמעות בעין עד שתמו</w:t>
      </w:r>
      <w:r>
        <w:rPr>
          <w:rFonts w:cs="Arial" w:hint="cs"/>
          <w:rtl/>
        </w:rPr>
        <w:t>ת</w:t>
      </w:r>
      <w:r w:rsidRPr="009B688E">
        <w:rPr>
          <w:rFonts w:cs="Arial"/>
          <w:rtl/>
        </w:rPr>
        <w:t xml:space="preserve"> והבעל מוציא הקרקע מיד הלוקח</w:t>
      </w:r>
      <w:r>
        <w:rPr>
          <w:rFonts w:cs="Arial" w:hint="cs"/>
          <w:rtl/>
        </w:rPr>
        <w:t>.</w:t>
      </w:r>
      <w:r w:rsidRPr="009B688E">
        <w:rPr>
          <w:rFonts w:cs="Arial"/>
          <w:rtl/>
        </w:rPr>
        <w:t xml:space="preserve"> וכן מד</w:t>
      </w:r>
      <w:r w:rsidR="00643A08">
        <w:rPr>
          <w:rFonts w:cs="Arial" w:hint="cs"/>
          <w:rtl/>
        </w:rPr>
        <w:t>ו</w:t>
      </w:r>
      <w:r w:rsidRPr="009B688E">
        <w:rPr>
          <w:rFonts w:cs="Arial"/>
          <w:rtl/>
        </w:rPr>
        <w:t>יק ברמב"ם שכתב ואם הדמים וכו' בסיפא בשמתה בחייו</w:t>
      </w:r>
      <w:r>
        <w:rPr>
          <w:rFonts w:cs="Arial" w:hint="cs"/>
          <w:rtl/>
        </w:rPr>
        <w:t>,</w:t>
      </w:r>
      <w:r w:rsidRPr="009B688E">
        <w:rPr>
          <w:rFonts w:cs="Arial"/>
          <w:rtl/>
        </w:rPr>
        <w:t xml:space="preserve"> ש"מ בחייו אין ללוקח טענה על המעות</w:t>
      </w:r>
      <w:r>
        <w:rPr>
          <w:rFonts w:cs="Arial" w:hint="cs"/>
          <w:rtl/>
        </w:rPr>
        <w:t>.</w:t>
      </w:r>
      <w:r w:rsidRPr="009B688E">
        <w:rPr>
          <w:rFonts w:cs="Arial"/>
          <w:rtl/>
        </w:rPr>
        <w:t xml:space="preserve"> אבל לשיטו' הרא"ש נראה דיש ללוקח טענה על המעות מיד</w:t>
      </w:r>
      <w:r>
        <w:rPr>
          <w:rFonts w:cs="Arial" w:hint="cs"/>
          <w:rtl/>
        </w:rPr>
        <w:t>,</w:t>
      </w:r>
      <w:r w:rsidRPr="009B688E">
        <w:rPr>
          <w:rFonts w:cs="Arial"/>
          <w:rtl/>
        </w:rPr>
        <w:t xml:space="preserve"> מאחר שאין לו שום זכות בקרקע</w:t>
      </w:r>
      <w:r>
        <w:rPr>
          <w:rFonts w:cs="Arial" w:hint="cs"/>
          <w:rtl/>
        </w:rPr>
        <w:t>.</w:t>
      </w:r>
      <w:r w:rsidRPr="009B688E">
        <w:rPr>
          <w:rFonts w:cs="Arial"/>
          <w:rtl/>
        </w:rPr>
        <w:t xml:space="preserve"> שוב ראיתי כן בפרישה סקל"ז</w:t>
      </w:r>
      <w:r>
        <w:rPr>
          <w:rFonts w:cs="Arial" w:hint="cs"/>
          <w:rtl/>
        </w:rPr>
        <w:t>.</w:t>
      </w:r>
    </w:p>
  </w:footnote>
  <w:footnote w:id="1297">
    <w:p w14:paraId="03808103" w14:textId="18424958" w:rsidR="00DE2F5F" w:rsidRDefault="00DE2F5F">
      <w:pPr>
        <w:pStyle w:val="a5"/>
        <w:rPr>
          <w:rtl/>
        </w:rPr>
      </w:pPr>
      <w:r>
        <w:rPr>
          <w:rStyle w:val="a7"/>
        </w:rPr>
        <w:footnoteRef/>
      </w:r>
      <w:r>
        <w:rPr>
          <w:rtl/>
        </w:rPr>
        <w:t xml:space="preserve"> </w:t>
      </w:r>
      <w:r w:rsidRPr="00B907BA">
        <w:rPr>
          <w:rFonts w:cs="Arial"/>
          <w:rtl/>
        </w:rPr>
        <w:t>הרא"ש כתב אפילו אם מכרה רק הגוף בלא הפירות מוציא הגוף</w:t>
      </w:r>
      <w:r>
        <w:rPr>
          <w:rFonts w:cs="Arial" w:hint="cs"/>
          <w:rtl/>
        </w:rPr>
        <w:t>,</w:t>
      </w:r>
      <w:r w:rsidRPr="00B907BA">
        <w:rPr>
          <w:rFonts w:cs="Arial"/>
          <w:rtl/>
        </w:rPr>
        <w:t xml:space="preserve"> </w:t>
      </w:r>
      <w:r>
        <w:rPr>
          <w:rFonts w:cs="Arial" w:hint="cs"/>
          <w:rtl/>
        </w:rPr>
        <w:t xml:space="preserve">לכך </w:t>
      </w:r>
      <w:r w:rsidRPr="00B907BA">
        <w:rPr>
          <w:rFonts w:cs="Arial"/>
          <w:rtl/>
        </w:rPr>
        <w:t>נראה אף בכה"ג מוציא הקרקע מיד</w:t>
      </w:r>
      <w:r>
        <w:rPr>
          <w:rFonts w:cs="Arial" w:hint="cs"/>
          <w:rtl/>
        </w:rPr>
        <w:t>, ב"ש (סקל"ז).</w:t>
      </w:r>
    </w:p>
  </w:footnote>
  <w:footnote w:id="1298">
    <w:p w14:paraId="3A801258" w14:textId="22A7C3C5" w:rsidR="00DE2F5F" w:rsidRDefault="00DE2F5F">
      <w:pPr>
        <w:pStyle w:val="a5"/>
      </w:pPr>
      <w:r>
        <w:rPr>
          <w:rStyle w:val="a7"/>
        </w:rPr>
        <w:footnoteRef/>
      </w:r>
      <w:r>
        <w:rPr>
          <w:rtl/>
        </w:rPr>
        <w:t xml:space="preserve"> </w:t>
      </w:r>
      <w:r w:rsidRPr="00BC36A2">
        <w:rPr>
          <w:rFonts w:cs="Arial"/>
          <w:rtl/>
        </w:rPr>
        <w:t>ע</w:t>
      </w:r>
      <w:r>
        <w:rPr>
          <w:rFonts w:cs="Arial" w:hint="cs"/>
          <w:rtl/>
        </w:rPr>
        <w:t xml:space="preserve">ל </w:t>
      </w:r>
      <w:r w:rsidRPr="00BC36A2">
        <w:rPr>
          <w:rFonts w:cs="Arial"/>
          <w:rtl/>
        </w:rPr>
        <w:t>כ</w:t>
      </w:r>
      <w:r>
        <w:rPr>
          <w:rFonts w:cs="Arial" w:hint="cs"/>
          <w:rtl/>
        </w:rPr>
        <w:t>רחך</w:t>
      </w:r>
      <w:r w:rsidRPr="00BC36A2">
        <w:rPr>
          <w:rFonts w:cs="Arial"/>
          <w:rtl/>
        </w:rPr>
        <w:t xml:space="preserve"> לא איירי בידוע בבירור דהני מעות הם</w:t>
      </w:r>
      <w:r>
        <w:rPr>
          <w:rFonts w:cs="Arial" w:hint="cs"/>
          <w:rtl/>
        </w:rPr>
        <w:t>,</w:t>
      </w:r>
      <w:r w:rsidRPr="00BC36A2">
        <w:rPr>
          <w:rFonts w:cs="Arial"/>
          <w:rtl/>
        </w:rPr>
        <w:t xml:space="preserve"> דא"כ מהיכ</w:t>
      </w:r>
      <w:r>
        <w:rPr>
          <w:rFonts w:cs="Arial" w:hint="cs"/>
          <w:rtl/>
        </w:rPr>
        <w:t>א</w:t>
      </w:r>
      <w:r w:rsidRPr="00BC36A2">
        <w:rPr>
          <w:rFonts w:cs="Arial"/>
          <w:rtl/>
        </w:rPr>
        <w:t xml:space="preserve"> תיתי לומר מציאה מצאה</w:t>
      </w:r>
      <w:r>
        <w:rPr>
          <w:rFonts w:cs="Arial" w:hint="cs"/>
          <w:rtl/>
        </w:rPr>
        <w:t>.</w:t>
      </w:r>
      <w:r w:rsidRPr="00BC36A2">
        <w:rPr>
          <w:rFonts w:cs="Arial"/>
          <w:rtl/>
        </w:rPr>
        <w:t xml:space="preserve"> אלא איירי בידוע לנו שקבלה סך כזה ומטבעות כאלו</w:t>
      </w:r>
      <w:r>
        <w:rPr>
          <w:rFonts w:cs="Arial" w:hint="cs"/>
          <w:rtl/>
        </w:rPr>
        <w:t>,</w:t>
      </w:r>
      <w:r w:rsidRPr="00BC36A2">
        <w:rPr>
          <w:rFonts w:cs="Arial"/>
          <w:rtl/>
        </w:rPr>
        <w:t xml:space="preserve"> </w:t>
      </w:r>
      <w:r>
        <w:rPr>
          <w:rFonts w:cs="Arial" w:hint="cs"/>
          <w:rtl/>
        </w:rPr>
        <w:t>ו</w:t>
      </w:r>
      <w:r w:rsidRPr="00BC36A2">
        <w:rPr>
          <w:rFonts w:cs="Arial"/>
          <w:rtl/>
        </w:rPr>
        <w:t>אמרינן הני מעות הם</w:t>
      </w:r>
      <w:r>
        <w:rPr>
          <w:rFonts w:cs="Arial" w:hint="cs"/>
          <w:rtl/>
        </w:rPr>
        <w:t>.</w:t>
      </w:r>
      <w:r w:rsidRPr="00BC36A2">
        <w:rPr>
          <w:rFonts w:cs="Arial"/>
          <w:rtl/>
        </w:rPr>
        <w:t xml:space="preserve"> ובהג"ה מוסיף אפילו אם א</w:t>
      </w:r>
      <w:r>
        <w:rPr>
          <w:rFonts w:cs="Arial" w:hint="cs"/>
          <w:rtl/>
        </w:rPr>
        <w:t>ין ידוע</w:t>
      </w:r>
      <w:r w:rsidRPr="00BC36A2">
        <w:rPr>
          <w:rFonts w:cs="Arial"/>
          <w:rtl/>
        </w:rPr>
        <w:t xml:space="preserve"> לנו מ"מ תלינן דהני מעו</w:t>
      </w:r>
      <w:r>
        <w:rPr>
          <w:rFonts w:cs="Arial" w:hint="cs"/>
          <w:rtl/>
        </w:rPr>
        <w:t>ת</w:t>
      </w:r>
      <w:r w:rsidRPr="00BC36A2">
        <w:rPr>
          <w:rFonts w:cs="Arial"/>
          <w:rtl/>
        </w:rPr>
        <w:t xml:space="preserve"> הם ובעל אי</w:t>
      </w:r>
      <w:r>
        <w:rPr>
          <w:rFonts w:cs="Arial" w:hint="cs"/>
          <w:rtl/>
        </w:rPr>
        <w:t>נו יכול לומר</w:t>
      </w:r>
      <w:r w:rsidRPr="00BC36A2">
        <w:rPr>
          <w:rFonts w:cs="Arial"/>
          <w:rtl/>
        </w:rPr>
        <w:t xml:space="preserve"> שמא ממעו</w:t>
      </w:r>
      <w:r>
        <w:rPr>
          <w:rFonts w:cs="Arial" w:hint="cs"/>
          <w:rtl/>
        </w:rPr>
        <w:t>ת</w:t>
      </w:r>
      <w:r w:rsidRPr="00BC36A2">
        <w:rPr>
          <w:rFonts w:cs="Arial"/>
          <w:rtl/>
        </w:rPr>
        <w:t xml:space="preserve"> שלו לקחה</w:t>
      </w:r>
      <w:r>
        <w:rPr>
          <w:rFonts w:cs="Arial" w:hint="cs"/>
          <w:rtl/>
        </w:rPr>
        <w:t>.</w:t>
      </w:r>
      <w:r w:rsidRPr="00BC36A2">
        <w:rPr>
          <w:rFonts w:cs="Arial"/>
          <w:rtl/>
        </w:rPr>
        <w:t xml:space="preserve"> מיהו בנושאת בבית י"ל די</w:t>
      </w:r>
      <w:r>
        <w:rPr>
          <w:rFonts w:cs="Arial" w:hint="cs"/>
          <w:rtl/>
        </w:rPr>
        <w:t xml:space="preserve">כול </w:t>
      </w:r>
      <w:r w:rsidRPr="00BC36A2">
        <w:rPr>
          <w:rFonts w:cs="Arial"/>
          <w:rtl/>
        </w:rPr>
        <w:t>ל</w:t>
      </w:r>
      <w:r>
        <w:rPr>
          <w:rFonts w:cs="Arial" w:hint="cs"/>
          <w:rtl/>
        </w:rPr>
        <w:t>ומר</w:t>
      </w:r>
      <w:r w:rsidRPr="00BC36A2">
        <w:rPr>
          <w:rFonts w:cs="Arial"/>
          <w:rtl/>
        </w:rPr>
        <w:t xml:space="preserve"> דמשלו הם</w:t>
      </w:r>
      <w:r>
        <w:rPr>
          <w:rFonts w:cs="Arial" w:hint="cs"/>
          <w:rtl/>
        </w:rPr>
        <w:t>.</w:t>
      </w:r>
      <w:r w:rsidRPr="00BC36A2">
        <w:rPr>
          <w:rFonts w:cs="Arial"/>
          <w:rtl/>
        </w:rPr>
        <w:t xml:space="preserve"> ונראה אם רצה הלוקח מחרים אם לא מצא מעות אצלה</w:t>
      </w:r>
      <w:r>
        <w:rPr>
          <w:rFonts w:cs="Arial" w:hint="cs"/>
          <w:rtl/>
        </w:rPr>
        <w:t>,</w:t>
      </w:r>
      <w:r w:rsidRPr="00BC36A2">
        <w:rPr>
          <w:rFonts w:cs="Arial"/>
          <w:rtl/>
        </w:rPr>
        <w:t xml:space="preserve"> כמו שמחרים על המכירה</w:t>
      </w:r>
      <w:r>
        <w:rPr>
          <w:rFonts w:cs="Arial" w:hint="cs"/>
          <w:rtl/>
        </w:rPr>
        <w:t>.</w:t>
      </w:r>
      <w:r w:rsidRPr="00BC36A2">
        <w:rPr>
          <w:rFonts w:cs="Arial"/>
          <w:rtl/>
        </w:rPr>
        <w:t xml:space="preserve"> ואם הוציאה המעו</w:t>
      </w:r>
      <w:r>
        <w:rPr>
          <w:rFonts w:cs="Arial" w:hint="cs"/>
          <w:rtl/>
        </w:rPr>
        <w:t>ת</w:t>
      </w:r>
      <w:r w:rsidRPr="00BC36A2">
        <w:rPr>
          <w:rFonts w:cs="Arial"/>
          <w:rtl/>
        </w:rPr>
        <w:t xml:space="preserve"> על דבר אחר</w:t>
      </w:r>
      <w:r>
        <w:rPr>
          <w:rFonts w:cs="Arial" w:hint="cs"/>
          <w:rtl/>
        </w:rPr>
        <w:t>,</w:t>
      </w:r>
      <w:r w:rsidRPr="00BC36A2">
        <w:rPr>
          <w:rFonts w:cs="Arial"/>
          <w:rtl/>
        </w:rPr>
        <w:t xml:space="preserve"> יכול הבעל לומר מיד שהוציאה המעות </w:t>
      </w:r>
      <w:r>
        <w:rPr>
          <w:rFonts w:cs="Arial" w:hint="cs"/>
          <w:rtl/>
        </w:rPr>
        <w:t xml:space="preserve">- </w:t>
      </w:r>
      <w:r w:rsidRPr="00BC36A2">
        <w:rPr>
          <w:rFonts w:cs="Arial"/>
          <w:rtl/>
        </w:rPr>
        <w:t>קמו עליה בהלואה ואין אני מחוייב לשלם ההלואה שחייבה</w:t>
      </w:r>
      <w:r>
        <w:rPr>
          <w:rFonts w:cs="Arial" w:hint="cs"/>
          <w:rtl/>
        </w:rPr>
        <w:t>,</w:t>
      </w:r>
      <w:r w:rsidRPr="00BC36A2">
        <w:rPr>
          <w:rFonts w:cs="Arial"/>
          <w:rtl/>
        </w:rPr>
        <w:t xml:space="preserve"> ומטלטלים שהניחה אני יורש אותן</w:t>
      </w:r>
      <w:r>
        <w:rPr>
          <w:rFonts w:cs="Arial" w:hint="cs"/>
          <w:rtl/>
        </w:rPr>
        <w:t>,</w:t>
      </w:r>
      <w:r w:rsidRPr="00BC36A2">
        <w:rPr>
          <w:rFonts w:cs="Arial"/>
          <w:rtl/>
        </w:rPr>
        <w:t xml:space="preserve"> כ"כ הר"ן והמגיד שם בשם הרשב"א</w:t>
      </w:r>
      <w:r>
        <w:rPr>
          <w:rFonts w:cs="Arial" w:hint="cs"/>
          <w:rtl/>
        </w:rPr>
        <w:t xml:space="preserve">..., ב"ש </w:t>
      </w:r>
      <w:r>
        <w:rPr>
          <w:rFonts w:hint="cs"/>
          <w:rtl/>
        </w:rPr>
        <w:t>(סקל"ח).</w:t>
      </w:r>
    </w:p>
  </w:footnote>
  <w:footnote w:id="1299">
    <w:p w14:paraId="21E529FF" w14:textId="3C3674EA" w:rsidR="00DE2F5F" w:rsidRDefault="00DE2F5F">
      <w:pPr>
        <w:pStyle w:val="a5"/>
      </w:pPr>
      <w:r>
        <w:rPr>
          <w:rStyle w:val="a7"/>
        </w:rPr>
        <w:footnoteRef/>
      </w:r>
      <w:r>
        <w:rPr>
          <w:rtl/>
        </w:rPr>
        <w:t xml:space="preserve"> </w:t>
      </w:r>
      <w:r w:rsidRPr="00524552">
        <w:rPr>
          <w:rFonts w:cs="Arial"/>
          <w:rtl/>
        </w:rPr>
        <w:t>משמע למפרע חל המכיר</w:t>
      </w:r>
      <w:r>
        <w:rPr>
          <w:rFonts w:cs="Arial" w:hint="cs"/>
          <w:rtl/>
        </w:rPr>
        <w:t>ה</w:t>
      </w:r>
      <w:r w:rsidRPr="00524552">
        <w:rPr>
          <w:rFonts w:cs="Arial"/>
          <w:rtl/>
        </w:rPr>
        <w:t xml:space="preserve"> משע</w:t>
      </w:r>
      <w:r>
        <w:rPr>
          <w:rFonts w:cs="Arial" w:hint="cs"/>
          <w:rtl/>
        </w:rPr>
        <w:t>ה</w:t>
      </w:r>
      <w:r w:rsidRPr="00524552">
        <w:rPr>
          <w:rFonts w:cs="Arial"/>
          <w:rtl/>
        </w:rPr>
        <w:t xml:space="preserve"> ראשונ</w:t>
      </w:r>
      <w:r>
        <w:rPr>
          <w:rFonts w:cs="Arial" w:hint="cs"/>
          <w:rtl/>
        </w:rPr>
        <w:t>ה</w:t>
      </w:r>
      <w:r w:rsidRPr="00524552">
        <w:rPr>
          <w:rFonts w:cs="Arial"/>
          <w:rtl/>
        </w:rPr>
        <w:t xml:space="preserve"> אפילו לדעת הרא"ש שמוציא הגוף מיד הלקוחו</w:t>
      </w:r>
      <w:r>
        <w:rPr>
          <w:rFonts w:cs="Arial" w:hint="cs"/>
          <w:rtl/>
        </w:rPr>
        <w:t>ת</w:t>
      </w:r>
      <w:r w:rsidRPr="00524552">
        <w:rPr>
          <w:rFonts w:cs="Arial"/>
          <w:rtl/>
        </w:rPr>
        <w:t xml:space="preserve"> מ"מ אם נתאלמנ</w:t>
      </w:r>
      <w:r>
        <w:rPr>
          <w:rFonts w:cs="Arial" w:hint="cs"/>
          <w:rtl/>
        </w:rPr>
        <w:t>ה</w:t>
      </w:r>
      <w:r w:rsidRPr="00524552">
        <w:rPr>
          <w:rFonts w:cs="Arial"/>
          <w:rtl/>
        </w:rPr>
        <w:t xml:space="preserve"> איגלי מילתא למפרע שהמכיר</w:t>
      </w:r>
      <w:r>
        <w:rPr>
          <w:rFonts w:cs="Arial" w:hint="cs"/>
          <w:rtl/>
        </w:rPr>
        <w:t>ה</w:t>
      </w:r>
      <w:r w:rsidRPr="00524552">
        <w:rPr>
          <w:rFonts w:cs="Arial"/>
          <w:rtl/>
        </w:rPr>
        <w:t xml:space="preserve"> הית</w:t>
      </w:r>
      <w:r>
        <w:rPr>
          <w:rFonts w:cs="Arial" w:hint="cs"/>
          <w:rtl/>
        </w:rPr>
        <w:t>ה</w:t>
      </w:r>
      <w:r w:rsidRPr="00524552">
        <w:rPr>
          <w:rFonts w:cs="Arial"/>
          <w:rtl/>
        </w:rPr>
        <w:t xml:space="preserve"> כדין</w:t>
      </w:r>
      <w:r>
        <w:rPr>
          <w:rFonts w:cs="Arial" w:hint="cs"/>
          <w:rtl/>
        </w:rPr>
        <w:t>, ח"מ (סקכ"ט).</w:t>
      </w:r>
    </w:p>
  </w:footnote>
  <w:footnote w:id="1300">
    <w:p w14:paraId="73CC4FD4" w14:textId="789F2BBD" w:rsidR="00DE2F5F" w:rsidRDefault="00DE2F5F">
      <w:pPr>
        <w:pStyle w:val="a5"/>
      </w:pPr>
      <w:r>
        <w:rPr>
          <w:rStyle w:val="a7"/>
        </w:rPr>
        <w:footnoteRef/>
      </w:r>
      <w:r>
        <w:rPr>
          <w:rtl/>
        </w:rPr>
        <w:t xml:space="preserve"> </w:t>
      </w:r>
      <w:r w:rsidRPr="00113245">
        <w:rPr>
          <w:rFonts w:cs="Arial"/>
          <w:rtl/>
        </w:rPr>
        <w:t>ד</w:t>
      </w:r>
      <w:r>
        <w:rPr>
          <w:rFonts w:cs="Arial" w:hint="cs"/>
          <w:rtl/>
        </w:rPr>
        <w:t xml:space="preserve">וקא </w:t>
      </w:r>
      <w:r w:rsidRPr="00113245">
        <w:rPr>
          <w:rFonts w:cs="Arial"/>
          <w:rtl/>
        </w:rPr>
        <w:t xml:space="preserve">הלוקח יכול למחות בבעלה שלא יבנה ולא יהרוס, </w:t>
      </w:r>
      <w:r>
        <w:rPr>
          <w:rFonts w:cs="Arial" w:hint="cs"/>
          <w:rtl/>
        </w:rPr>
        <w:t xml:space="preserve">משמע </w:t>
      </w:r>
      <w:r w:rsidRPr="00113245">
        <w:rPr>
          <w:rFonts w:cs="Arial"/>
          <w:rtl/>
        </w:rPr>
        <w:t xml:space="preserve">אבל אם לא מכרה </w:t>
      </w:r>
      <w:r>
        <w:rPr>
          <w:rFonts w:cs="Arial" w:hint="cs"/>
          <w:rtl/>
        </w:rPr>
        <w:t xml:space="preserve">- </w:t>
      </w:r>
      <w:r w:rsidRPr="00113245">
        <w:rPr>
          <w:rFonts w:cs="Arial"/>
          <w:rtl/>
        </w:rPr>
        <w:t>אין האשה בעצמה יכולה למחות בו, והוא מהאי טעמא שבעלה קנאה כל ימי חייה</w:t>
      </w:r>
      <w:r>
        <w:rPr>
          <w:rFonts w:cs="Arial" w:hint="cs"/>
          <w:rtl/>
        </w:rPr>
        <w:t>, סמ"ע (חו"מ סי' ריב סקי"ג, הביא דבריו רעק"א בגליון)</w:t>
      </w:r>
      <w:r w:rsidRPr="00113245">
        <w:rPr>
          <w:rFonts w:cs="Arial"/>
          <w:rtl/>
        </w:rPr>
        <w:t>.</w:t>
      </w:r>
    </w:p>
  </w:footnote>
  <w:footnote w:id="1301">
    <w:p w14:paraId="1BCA2B4A" w14:textId="6551E816" w:rsidR="00DE2F5F" w:rsidRDefault="00DE2F5F">
      <w:pPr>
        <w:pStyle w:val="a5"/>
        <w:rPr>
          <w:rtl/>
        </w:rPr>
      </w:pPr>
      <w:r>
        <w:rPr>
          <w:rStyle w:val="a7"/>
        </w:rPr>
        <w:footnoteRef/>
      </w:r>
      <w:r>
        <w:rPr>
          <w:rtl/>
        </w:rPr>
        <w:t xml:space="preserve"> </w:t>
      </w:r>
      <w:r w:rsidRPr="00F31F49">
        <w:rPr>
          <w:rFonts w:cs="Arial"/>
          <w:rtl/>
        </w:rPr>
        <w:t>אף אם לא מכר</w:t>
      </w:r>
      <w:r>
        <w:rPr>
          <w:rFonts w:cs="Arial" w:hint="cs"/>
          <w:rtl/>
        </w:rPr>
        <w:t>ה</w:t>
      </w:r>
      <w:r w:rsidRPr="00F31F49">
        <w:rPr>
          <w:rFonts w:cs="Arial"/>
          <w:rtl/>
        </w:rPr>
        <w:t xml:space="preserve"> היא בעצמ</w:t>
      </w:r>
      <w:r>
        <w:rPr>
          <w:rFonts w:cs="Arial" w:hint="cs"/>
          <w:rtl/>
        </w:rPr>
        <w:t>ה</w:t>
      </w:r>
      <w:r w:rsidRPr="00F31F49">
        <w:rPr>
          <w:rFonts w:cs="Arial"/>
          <w:rtl/>
        </w:rPr>
        <w:t xml:space="preserve"> יכול למחו</w:t>
      </w:r>
      <w:r>
        <w:rPr>
          <w:rFonts w:cs="Arial" w:hint="cs"/>
          <w:rtl/>
        </w:rPr>
        <w:t>ת</w:t>
      </w:r>
      <w:r w:rsidRPr="00F31F49">
        <w:rPr>
          <w:rFonts w:cs="Arial"/>
          <w:rtl/>
        </w:rPr>
        <w:t xml:space="preserve"> שלא יקלקל גוף הקרקע</w:t>
      </w:r>
      <w:r>
        <w:rPr>
          <w:rFonts w:cs="Arial" w:hint="cs"/>
          <w:rtl/>
        </w:rPr>
        <w:t>,</w:t>
      </w:r>
      <w:r w:rsidRPr="00F31F49">
        <w:rPr>
          <w:rFonts w:cs="Arial"/>
          <w:rtl/>
        </w:rPr>
        <w:t xml:space="preserve"> שאין לבעל רק פירות</w:t>
      </w:r>
      <w:r>
        <w:rPr>
          <w:rFonts w:hint="cs"/>
          <w:rtl/>
        </w:rPr>
        <w:t xml:space="preserve">, </w:t>
      </w:r>
      <w:r w:rsidRPr="0056774C">
        <w:rPr>
          <w:rFonts w:hint="cs"/>
          <w:b/>
          <w:bCs/>
          <w:rtl/>
        </w:rPr>
        <w:t>ח"מ</w:t>
      </w:r>
      <w:r>
        <w:rPr>
          <w:rFonts w:hint="cs"/>
          <w:rtl/>
        </w:rPr>
        <w:t xml:space="preserve"> (סק"ל).</w:t>
      </w:r>
      <w:r w:rsidR="0056774C">
        <w:rPr>
          <w:rFonts w:cs="Arial" w:hint="cs"/>
          <w:rtl/>
        </w:rPr>
        <w:t xml:space="preserve">     </w:t>
      </w:r>
      <w:r w:rsidRPr="00B1267F">
        <w:rPr>
          <w:rFonts w:cs="Arial"/>
          <w:rtl/>
        </w:rPr>
        <w:t xml:space="preserve"> </w:t>
      </w:r>
      <w:r w:rsidRPr="00FA3C79">
        <w:rPr>
          <w:rFonts w:cs="Arial"/>
          <w:rtl/>
        </w:rPr>
        <w:t>ומ"מ אם רוצה לבנות כדי להרבו</w:t>
      </w:r>
      <w:r>
        <w:rPr>
          <w:rFonts w:cs="Arial" w:hint="cs"/>
          <w:rtl/>
        </w:rPr>
        <w:t>ת</w:t>
      </w:r>
      <w:r w:rsidRPr="00FA3C79">
        <w:rPr>
          <w:rFonts w:cs="Arial"/>
          <w:rtl/>
        </w:rPr>
        <w:t xml:space="preserve"> בפירות</w:t>
      </w:r>
      <w:r>
        <w:rPr>
          <w:rFonts w:cs="Arial" w:hint="cs"/>
          <w:rtl/>
        </w:rPr>
        <w:t>,</w:t>
      </w:r>
      <w:r w:rsidRPr="00FA3C79">
        <w:rPr>
          <w:rFonts w:cs="Arial"/>
          <w:rtl/>
        </w:rPr>
        <w:t xml:space="preserve"> ומתנה שאם יזכה הלוקח יהי</w:t>
      </w:r>
      <w:r>
        <w:rPr>
          <w:rFonts w:cs="Arial" w:hint="cs"/>
          <w:rtl/>
        </w:rPr>
        <w:t>ה</w:t>
      </w:r>
      <w:r w:rsidRPr="00FA3C79">
        <w:rPr>
          <w:rFonts w:cs="Arial"/>
          <w:rtl/>
        </w:rPr>
        <w:t xml:space="preserve"> ידו על התחתונ</w:t>
      </w:r>
      <w:r>
        <w:rPr>
          <w:rFonts w:cs="Arial" w:hint="cs"/>
          <w:rtl/>
        </w:rPr>
        <w:t>ה</w:t>
      </w:r>
      <w:r w:rsidRPr="00FA3C79">
        <w:rPr>
          <w:rFonts w:cs="Arial"/>
          <w:rtl/>
        </w:rPr>
        <w:t xml:space="preserve"> </w:t>
      </w:r>
      <w:r>
        <w:rPr>
          <w:rFonts w:cs="Arial" w:hint="cs"/>
          <w:rtl/>
        </w:rPr>
        <w:t xml:space="preserve">- </w:t>
      </w:r>
      <w:r w:rsidRPr="00FA3C79">
        <w:rPr>
          <w:rFonts w:cs="Arial"/>
          <w:rtl/>
        </w:rPr>
        <w:t>מסתברא לי שלא יכול הלוקח לעכב</w:t>
      </w:r>
      <w:r>
        <w:rPr>
          <w:rFonts w:cs="Arial" w:hint="cs"/>
          <w:rtl/>
        </w:rPr>
        <w:t>.</w:t>
      </w:r>
      <w:r w:rsidRPr="00FA3C79">
        <w:rPr>
          <w:rFonts w:cs="Arial"/>
          <w:rtl/>
        </w:rPr>
        <w:t xml:space="preserve"> דאע"ג דמי שרוצ</w:t>
      </w:r>
      <w:r>
        <w:rPr>
          <w:rFonts w:cs="Arial" w:hint="cs"/>
          <w:rtl/>
        </w:rPr>
        <w:t>ה</w:t>
      </w:r>
      <w:r w:rsidRPr="00FA3C79">
        <w:rPr>
          <w:rFonts w:cs="Arial"/>
          <w:rtl/>
        </w:rPr>
        <w:t xml:space="preserve"> לירד לתוך שדה חבירו אפילו בתנאי זה יכול בעל השדה לעכב ולומר איני רוצה שתבנ</w:t>
      </w:r>
      <w:r>
        <w:rPr>
          <w:rFonts w:cs="Arial" w:hint="cs"/>
          <w:rtl/>
        </w:rPr>
        <w:t>ה</w:t>
      </w:r>
      <w:r w:rsidRPr="00FA3C79">
        <w:rPr>
          <w:rFonts w:cs="Arial"/>
          <w:rtl/>
        </w:rPr>
        <w:t xml:space="preserve"> בתוך שלי אפילו ע"מ שתהי</w:t>
      </w:r>
      <w:r>
        <w:rPr>
          <w:rFonts w:cs="Arial" w:hint="cs"/>
          <w:rtl/>
        </w:rPr>
        <w:t>ה</w:t>
      </w:r>
      <w:r w:rsidRPr="00FA3C79">
        <w:rPr>
          <w:rFonts w:cs="Arial"/>
          <w:rtl/>
        </w:rPr>
        <w:t xml:space="preserve"> ידך על התחתונ</w:t>
      </w:r>
      <w:r>
        <w:rPr>
          <w:rFonts w:cs="Arial" w:hint="cs"/>
          <w:rtl/>
        </w:rPr>
        <w:t xml:space="preserve">ה - </w:t>
      </w:r>
      <w:r w:rsidRPr="00FA3C79">
        <w:rPr>
          <w:rFonts w:cs="Arial"/>
          <w:rtl/>
        </w:rPr>
        <w:t>שאני הכא שיש לו בקרקע זה שייכו</w:t>
      </w:r>
      <w:r>
        <w:rPr>
          <w:rFonts w:cs="Arial" w:hint="cs"/>
          <w:rtl/>
        </w:rPr>
        <w:t>ת,</w:t>
      </w:r>
      <w:r w:rsidRPr="00FA3C79">
        <w:rPr>
          <w:rFonts w:cs="Arial"/>
          <w:rtl/>
        </w:rPr>
        <w:t xml:space="preserve"> חדא שהוא אוכל פירות ואיכא מ"ד קנין פירות כקנין הגוף דמי</w:t>
      </w:r>
      <w:r>
        <w:rPr>
          <w:rFonts w:cs="Arial" w:hint="cs"/>
          <w:rtl/>
        </w:rPr>
        <w:t>,</w:t>
      </w:r>
      <w:r w:rsidRPr="00FA3C79">
        <w:rPr>
          <w:rFonts w:cs="Arial"/>
          <w:rtl/>
        </w:rPr>
        <w:t xml:space="preserve"> ותו דאפשר שלא יזכה הלוקח בקרקע זה לעולם דקיי"ל כתקנת אושא</w:t>
      </w:r>
      <w:r>
        <w:rPr>
          <w:rFonts w:cs="Arial" w:hint="cs"/>
          <w:rtl/>
        </w:rPr>
        <w:t xml:space="preserve">, </w:t>
      </w:r>
      <w:r w:rsidRPr="0056774C">
        <w:rPr>
          <w:rFonts w:cs="Arial"/>
          <w:b/>
          <w:bCs/>
          <w:rtl/>
        </w:rPr>
        <w:t>רדב"ז</w:t>
      </w:r>
      <w:r w:rsidRPr="00FA3C79">
        <w:rPr>
          <w:rFonts w:cs="Arial"/>
          <w:rtl/>
        </w:rPr>
        <w:t xml:space="preserve"> </w:t>
      </w:r>
      <w:r>
        <w:rPr>
          <w:rFonts w:cs="Arial" w:hint="cs"/>
          <w:rtl/>
        </w:rPr>
        <w:t>(</w:t>
      </w:r>
      <w:r w:rsidRPr="00FA3C79">
        <w:rPr>
          <w:rFonts w:cs="Arial"/>
          <w:rtl/>
        </w:rPr>
        <w:t>ח"א סי' קיח</w:t>
      </w:r>
      <w:r>
        <w:rPr>
          <w:rFonts w:cs="Arial" w:hint="cs"/>
          <w:rtl/>
        </w:rPr>
        <w:t>, הביאו הפת"ש סקי"א).</w:t>
      </w:r>
      <w:r w:rsidRPr="00A124CD">
        <w:rPr>
          <w:rFonts w:cs="Arial"/>
          <w:rtl/>
        </w:rPr>
        <w:t xml:space="preserve"> </w:t>
      </w:r>
    </w:p>
  </w:footnote>
  <w:footnote w:id="1302">
    <w:p w14:paraId="626B53A6" w14:textId="1B4AABCA" w:rsidR="00DE2F5F" w:rsidRDefault="00DE2F5F">
      <w:pPr>
        <w:pStyle w:val="a5"/>
      </w:pPr>
      <w:r>
        <w:rPr>
          <w:rStyle w:val="a7"/>
        </w:rPr>
        <w:footnoteRef/>
      </w:r>
      <w:r>
        <w:rPr>
          <w:rtl/>
        </w:rPr>
        <w:t xml:space="preserve"> </w:t>
      </w:r>
      <w:r w:rsidRPr="00F31F49">
        <w:rPr>
          <w:rFonts w:cs="Arial"/>
          <w:rtl/>
        </w:rPr>
        <w:t>המעין שם ירא</w:t>
      </w:r>
      <w:r>
        <w:rPr>
          <w:rFonts w:cs="Arial" w:hint="cs"/>
          <w:rtl/>
        </w:rPr>
        <w:t>ה</w:t>
      </w:r>
      <w:r w:rsidRPr="00F31F49">
        <w:rPr>
          <w:rFonts w:cs="Arial"/>
          <w:rtl/>
        </w:rPr>
        <w:t xml:space="preserve"> דאף דהקדיש</w:t>
      </w:r>
      <w:r>
        <w:rPr>
          <w:rFonts w:cs="Arial" w:hint="cs"/>
          <w:rtl/>
        </w:rPr>
        <w:t>ה</w:t>
      </w:r>
      <w:r w:rsidRPr="00F31F49">
        <w:rPr>
          <w:rFonts w:cs="Arial"/>
          <w:rtl/>
        </w:rPr>
        <w:t xml:space="preserve"> קדושת הגוף אפ"ה אלמוהו רבנן לשעבוד דבעל משום דידו עדיפא מידה</w:t>
      </w:r>
      <w:r>
        <w:rPr>
          <w:rFonts w:cs="Arial" w:hint="cs"/>
          <w:rtl/>
        </w:rPr>
        <w:t>.</w:t>
      </w:r>
      <w:r w:rsidRPr="00F31F49">
        <w:rPr>
          <w:rFonts w:cs="Arial"/>
          <w:rtl/>
        </w:rPr>
        <w:t xml:space="preserve"> אמנם ודאי אם נתאלמנ</w:t>
      </w:r>
      <w:r>
        <w:rPr>
          <w:rFonts w:cs="Arial" w:hint="cs"/>
          <w:rtl/>
        </w:rPr>
        <w:t>ה</w:t>
      </w:r>
      <w:r w:rsidRPr="00F31F49">
        <w:rPr>
          <w:rFonts w:cs="Arial"/>
          <w:rtl/>
        </w:rPr>
        <w:t xml:space="preserve"> חל ההקדש ע"ש</w:t>
      </w:r>
      <w:r>
        <w:rPr>
          <w:rFonts w:cs="Arial" w:hint="cs"/>
          <w:rtl/>
        </w:rPr>
        <w:t xml:space="preserve">, </w:t>
      </w:r>
      <w:r w:rsidRPr="0056774C">
        <w:rPr>
          <w:rFonts w:cs="Arial" w:hint="cs"/>
          <w:b/>
          <w:bCs/>
          <w:rtl/>
        </w:rPr>
        <w:t>ח"מ</w:t>
      </w:r>
      <w:r>
        <w:rPr>
          <w:rFonts w:cs="Arial" w:hint="cs"/>
          <w:rtl/>
        </w:rPr>
        <w:t xml:space="preserve"> (סקל"א).</w:t>
      </w:r>
      <w:r>
        <w:rPr>
          <w:rFonts w:hint="cs"/>
          <w:rtl/>
        </w:rPr>
        <w:t xml:space="preserve"> </w:t>
      </w:r>
      <w:r w:rsidR="0056774C">
        <w:rPr>
          <w:rFonts w:hint="cs"/>
          <w:rtl/>
        </w:rPr>
        <w:t xml:space="preserve">    </w:t>
      </w:r>
      <w:r>
        <w:rPr>
          <w:rFonts w:hint="cs"/>
          <w:rtl/>
        </w:rPr>
        <w:t xml:space="preserve">וכתב </w:t>
      </w:r>
      <w:r w:rsidRPr="0056774C">
        <w:rPr>
          <w:rFonts w:hint="cs"/>
          <w:b/>
          <w:bCs/>
          <w:rtl/>
        </w:rPr>
        <w:t>הב"ש</w:t>
      </w:r>
      <w:r>
        <w:rPr>
          <w:rFonts w:hint="cs"/>
          <w:rtl/>
        </w:rPr>
        <w:t xml:space="preserve"> (סק"מ) ד</w:t>
      </w:r>
      <w:r w:rsidRPr="004975DC">
        <w:rPr>
          <w:rFonts w:cs="Arial"/>
          <w:rtl/>
        </w:rPr>
        <w:t>א</w:t>
      </w:r>
      <w:r>
        <w:rPr>
          <w:rFonts w:cs="Arial" w:hint="cs"/>
          <w:rtl/>
        </w:rPr>
        <w:t>ע"ג</w:t>
      </w:r>
      <w:r w:rsidRPr="004975DC">
        <w:rPr>
          <w:rFonts w:cs="Arial"/>
          <w:rtl/>
        </w:rPr>
        <w:t xml:space="preserve"> </w:t>
      </w:r>
      <w:r>
        <w:rPr>
          <w:rFonts w:cs="Arial" w:hint="cs"/>
          <w:rtl/>
        </w:rPr>
        <w:t>ד</w:t>
      </w:r>
      <w:r w:rsidRPr="004975DC">
        <w:rPr>
          <w:rFonts w:cs="Arial"/>
          <w:rtl/>
        </w:rPr>
        <w:t xml:space="preserve">אם פרשו </w:t>
      </w:r>
      <w:r>
        <w:rPr>
          <w:rFonts w:cs="Arial" w:hint="cs"/>
          <w:rtl/>
        </w:rPr>
        <w:t>ע</w:t>
      </w:r>
      <w:r w:rsidRPr="004975DC">
        <w:rPr>
          <w:rFonts w:cs="Arial"/>
          <w:rtl/>
        </w:rPr>
        <w:t>ל</w:t>
      </w:r>
      <w:r>
        <w:rPr>
          <w:rFonts w:cs="Arial" w:hint="cs"/>
          <w:rtl/>
        </w:rPr>
        <w:t xml:space="preserve"> ה</w:t>
      </w:r>
      <w:r w:rsidRPr="004975DC">
        <w:rPr>
          <w:rFonts w:cs="Arial"/>
          <w:rtl/>
        </w:rPr>
        <w:t>מת נצ"ב שלה יכולין לאסור</w:t>
      </w:r>
      <w:r>
        <w:rPr>
          <w:rFonts w:cs="Arial" w:hint="cs"/>
          <w:rtl/>
        </w:rPr>
        <w:t>,</w:t>
      </w:r>
      <w:r w:rsidRPr="004975DC">
        <w:rPr>
          <w:rFonts w:cs="Arial"/>
          <w:rtl/>
        </w:rPr>
        <w:t xml:space="preserve"> כמ"ש בסי' פ"ה</w:t>
      </w:r>
      <w:r>
        <w:rPr>
          <w:rFonts w:cs="Arial" w:hint="cs"/>
          <w:rtl/>
        </w:rPr>
        <w:t>,</w:t>
      </w:r>
      <w:r w:rsidRPr="004975DC">
        <w:rPr>
          <w:rFonts w:cs="Arial"/>
          <w:rtl/>
        </w:rPr>
        <w:t xml:space="preserve"> מ"מ היא אי</w:t>
      </w:r>
      <w:r>
        <w:rPr>
          <w:rFonts w:cs="Arial" w:hint="cs"/>
          <w:rtl/>
        </w:rPr>
        <w:t>נה יכולה</w:t>
      </w:r>
      <w:r w:rsidRPr="004975DC">
        <w:rPr>
          <w:rFonts w:cs="Arial"/>
          <w:rtl/>
        </w:rPr>
        <w:t xml:space="preserve"> לאסור עליו</w:t>
      </w:r>
      <w:r>
        <w:rPr>
          <w:rFonts w:cs="Arial" w:hint="cs"/>
          <w:rtl/>
        </w:rPr>
        <w:t>,</w:t>
      </w:r>
      <w:r w:rsidRPr="004975DC">
        <w:rPr>
          <w:rFonts w:cs="Arial"/>
          <w:rtl/>
        </w:rPr>
        <w:t xml:space="preserve"> דידו עדיף מידה</w:t>
      </w:r>
      <w:r>
        <w:rPr>
          <w:rFonts w:cs="Arial" w:hint="cs"/>
          <w:rtl/>
        </w:rPr>
        <w:t>,</w:t>
      </w:r>
      <w:r w:rsidRPr="004975DC">
        <w:rPr>
          <w:rFonts w:cs="Arial"/>
          <w:rtl/>
        </w:rPr>
        <w:t xml:space="preserve"> או הקדש דמים שאני</w:t>
      </w:r>
      <w:r>
        <w:rPr>
          <w:rFonts w:cs="Arial" w:hint="cs"/>
          <w:rtl/>
        </w:rPr>
        <w:t>.</w:t>
      </w:r>
      <w:r w:rsidRPr="004975DC">
        <w:rPr>
          <w:rFonts w:cs="Arial"/>
          <w:rtl/>
        </w:rPr>
        <w:t xml:space="preserve"> ונ</w:t>
      </w:r>
      <w:r>
        <w:rPr>
          <w:rFonts w:cs="Arial" w:hint="cs"/>
          <w:rtl/>
        </w:rPr>
        <w:t>פ"</w:t>
      </w:r>
      <w:r w:rsidRPr="004975DC">
        <w:rPr>
          <w:rFonts w:cs="Arial"/>
          <w:rtl/>
        </w:rPr>
        <w:t>מ אם היא הפרישה על המת גלימ</w:t>
      </w:r>
      <w:r>
        <w:rPr>
          <w:rFonts w:cs="Arial" w:hint="cs"/>
          <w:rtl/>
        </w:rPr>
        <w:t>ה</w:t>
      </w:r>
      <w:r w:rsidRPr="004975DC">
        <w:rPr>
          <w:rFonts w:cs="Arial"/>
          <w:rtl/>
        </w:rPr>
        <w:t xml:space="preserve"> של נ</w:t>
      </w:r>
      <w:r>
        <w:rPr>
          <w:rFonts w:cs="Arial" w:hint="cs"/>
          <w:rtl/>
        </w:rPr>
        <w:t>כ</w:t>
      </w:r>
      <w:r w:rsidRPr="004975DC">
        <w:rPr>
          <w:rFonts w:cs="Arial"/>
          <w:rtl/>
        </w:rPr>
        <w:t>"מ</w:t>
      </w:r>
      <w:r>
        <w:rPr>
          <w:rFonts w:cs="Arial" w:hint="cs"/>
          <w:rtl/>
        </w:rPr>
        <w:t>.</w:t>
      </w:r>
      <w:r w:rsidRPr="004975DC">
        <w:rPr>
          <w:rFonts w:cs="Arial"/>
          <w:rtl/>
        </w:rPr>
        <w:t xml:space="preserve"> ולרמב"ם נראה אע</w:t>
      </w:r>
      <w:r>
        <w:rPr>
          <w:rFonts w:cs="Arial" w:hint="cs"/>
          <w:rtl/>
        </w:rPr>
        <w:t>"</w:t>
      </w:r>
      <w:r w:rsidRPr="004975DC">
        <w:rPr>
          <w:rFonts w:cs="Arial"/>
          <w:rtl/>
        </w:rPr>
        <w:t>ג בשמכרה נ</w:t>
      </w:r>
      <w:r>
        <w:rPr>
          <w:rFonts w:cs="Arial" w:hint="cs"/>
          <w:rtl/>
        </w:rPr>
        <w:t>כ</w:t>
      </w:r>
      <w:r w:rsidRPr="004975DC">
        <w:rPr>
          <w:rFonts w:cs="Arial"/>
          <w:rtl/>
        </w:rPr>
        <w:t>"מ ס"ל הגוף נקנה ללוקח</w:t>
      </w:r>
      <w:r>
        <w:rPr>
          <w:rFonts w:cs="Arial" w:hint="cs"/>
          <w:rtl/>
        </w:rPr>
        <w:t>,</w:t>
      </w:r>
      <w:r w:rsidRPr="004975DC">
        <w:rPr>
          <w:rFonts w:cs="Arial"/>
          <w:rtl/>
        </w:rPr>
        <w:t xml:space="preserve"> מ"מ אם הקדיש</w:t>
      </w:r>
      <w:r>
        <w:rPr>
          <w:rFonts w:cs="Arial" w:hint="cs"/>
          <w:rtl/>
        </w:rPr>
        <w:t>ה</w:t>
      </w:r>
      <w:r w:rsidRPr="004975DC">
        <w:rPr>
          <w:rFonts w:cs="Arial"/>
          <w:rtl/>
        </w:rPr>
        <w:t xml:space="preserve"> לא חל ההקדש כלל</w:t>
      </w:r>
      <w:r>
        <w:rPr>
          <w:rFonts w:cs="Arial" w:hint="cs"/>
          <w:rtl/>
        </w:rPr>
        <w:t>.</w:t>
      </w:r>
      <w:r w:rsidRPr="004975DC">
        <w:rPr>
          <w:rFonts w:cs="Arial"/>
          <w:rtl/>
        </w:rPr>
        <w:t xml:space="preserve"> דהא אם יהי</w:t>
      </w:r>
      <w:r>
        <w:rPr>
          <w:rFonts w:cs="Arial" w:hint="cs"/>
          <w:rtl/>
        </w:rPr>
        <w:t>ה</w:t>
      </w:r>
      <w:r w:rsidRPr="004975DC">
        <w:rPr>
          <w:rFonts w:cs="Arial"/>
          <w:rtl/>
        </w:rPr>
        <w:t xml:space="preserve"> הגוף קרקע הקדש תו אי</w:t>
      </w:r>
      <w:r>
        <w:rPr>
          <w:rFonts w:cs="Arial" w:hint="cs"/>
          <w:rtl/>
        </w:rPr>
        <w:t>נו יכול</w:t>
      </w:r>
      <w:r w:rsidRPr="004975DC">
        <w:rPr>
          <w:rFonts w:cs="Arial"/>
          <w:rtl/>
        </w:rPr>
        <w:t xml:space="preserve"> להוציא הפירות</w:t>
      </w:r>
      <w:r>
        <w:rPr>
          <w:rFonts w:cs="Arial" w:hint="cs"/>
          <w:rtl/>
        </w:rPr>
        <w:t>,</w:t>
      </w:r>
      <w:r w:rsidRPr="004975DC">
        <w:rPr>
          <w:rFonts w:cs="Arial"/>
          <w:rtl/>
        </w:rPr>
        <w:t xml:space="preserve"> וע</w:t>
      </w:r>
      <w:r>
        <w:rPr>
          <w:rFonts w:cs="Arial" w:hint="cs"/>
          <w:rtl/>
        </w:rPr>
        <w:t>"</w:t>
      </w:r>
      <w:r w:rsidRPr="004975DC">
        <w:rPr>
          <w:rFonts w:cs="Arial"/>
          <w:rtl/>
        </w:rPr>
        <w:t>כ לא חל ההקדש כלל</w:t>
      </w:r>
      <w:r>
        <w:rPr>
          <w:rFonts w:cs="Arial" w:hint="cs"/>
          <w:rtl/>
        </w:rPr>
        <w:t>.</w:t>
      </w:r>
      <w:r w:rsidRPr="004975DC">
        <w:rPr>
          <w:rFonts w:cs="Arial"/>
          <w:rtl/>
        </w:rPr>
        <w:t xml:space="preserve"> ועיין ח"ה סי' רע"ב ובתוס' </w:t>
      </w:r>
      <w:r>
        <w:rPr>
          <w:rFonts w:cs="Arial" w:hint="cs"/>
          <w:rtl/>
        </w:rPr>
        <w:t>(</w:t>
      </w:r>
      <w:r w:rsidRPr="004975DC">
        <w:rPr>
          <w:rFonts w:cs="Arial"/>
          <w:rtl/>
        </w:rPr>
        <w:t>פ' אף על פי ד"ה ר"ע</w:t>
      </w:r>
      <w:r>
        <w:rPr>
          <w:rFonts w:cs="Arial" w:hint="cs"/>
          <w:rtl/>
        </w:rPr>
        <w:t>).</w:t>
      </w:r>
    </w:p>
  </w:footnote>
  <w:footnote w:id="1303">
    <w:p w14:paraId="60ED815B" w14:textId="537AEF14" w:rsidR="00DE2F5F" w:rsidRDefault="00DE2F5F">
      <w:pPr>
        <w:pStyle w:val="a5"/>
        <w:rPr>
          <w:rtl/>
        </w:rPr>
      </w:pPr>
      <w:r>
        <w:rPr>
          <w:rStyle w:val="a7"/>
        </w:rPr>
        <w:footnoteRef/>
      </w:r>
      <w:r>
        <w:rPr>
          <w:rtl/>
        </w:rPr>
        <w:t xml:space="preserve"> </w:t>
      </w:r>
      <w:r w:rsidRPr="00FA3C79">
        <w:rPr>
          <w:rFonts w:cs="Arial"/>
          <w:rtl/>
        </w:rPr>
        <w:t>היינו בטוען שמא</w:t>
      </w:r>
      <w:r w:rsidR="003A37AE">
        <w:rPr>
          <w:rFonts w:cs="Arial" w:hint="cs"/>
          <w:rtl/>
        </w:rPr>
        <w:t>.</w:t>
      </w:r>
      <w:r w:rsidRPr="00FA3C79">
        <w:rPr>
          <w:rFonts w:cs="Arial"/>
          <w:rtl/>
        </w:rPr>
        <w:t xml:space="preserve"> ואם טוען ברי צריך הבעל לישבע היסת</w:t>
      </w:r>
      <w:r>
        <w:rPr>
          <w:rFonts w:hint="cs"/>
          <w:rtl/>
        </w:rPr>
        <w:t>, ח"מ (סקל"ב).</w:t>
      </w:r>
    </w:p>
  </w:footnote>
  <w:footnote w:id="1304">
    <w:p w14:paraId="268ADAA7" w14:textId="06D0C99B" w:rsidR="00DE2F5F" w:rsidRDefault="00DE2F5F">
      <w:pPr>
        <w:pStyle w:val="a5"/>
        <w:rPr>
          <w:rtl/>
        </w:rPr>
      </w:pPr>
      <w:r>
        <w:rPr>
          <w:rStyle w:val="a7"/>
        </w:rPr>
        <w:footnoteRef/>
      </w:r>
      <w:r>
        <w:rPr>
          <w:rtl/>
        </w:rPr>
        <w:t xml:space="preserve"> </w:t>
      </w:r>
      <w:r w:rsidRPr="00AA35C2">
        <w:rPr>
          <w:rFonts w:cs="Arial"/>
          <w:rtl/>
        </w:rPr>
        <w:t>איירי דנתרצה בלי הפצרה שלה</w:t>
      </w:r>
      <w:r>
        <w:rPr>
          <w:rFonts w:cs="Arial" w:hint="cs"/>
          <w:rtl/>
        </w:rPr>
        <w:t xml:space="preserve">, ב"ש </w:t>
      </w:r>
      <w:r w:rsidRPr="00AA35C2">
        <w:rPr>
          <w:rFonts w:cs="Arial" w:hint="cs"/>
          <w:sz w:val="16"/>
          <w:szCs w:val="16"/>
          <w:rtl/>
        </w:rPr>
        <w:t>(סק"מ*)</w:t>
      </w:r>
      <w:r>
        <w:rPr>
          <w:rFonts w:cs="Arial" w:hint="cs"/>
          <w:rtl/>
        </w:rPr>
        <w:t xml:space="preserve">. כמו שכתב הרמ"א בהל' נדרים </w:t>
      </w:r>
      <w:r w:rsidRPr="00AA35C2">
        <w:rPr>
          <w:rFonts w:cs="Arial" w:hint="cs"/>
          <w:sz w:val="16"/>
          <w:szCs w:val="16"/>
          <w:rtl/>
        </w:rPr>
        <w:t xml:space="preserve">(יו"ד סי' רלב סי"ז) </w:t>
      </w:r>
      <w:r>
        <w:rPr>
          <w:rFonts w:cs="Arial" w:hint="cs"/>
          <w:rtl/>
        </w:rPr>
        <w:t xml:space="preserve">בשם הרשב"א </w:t>
      </w:r>
      <w:r w:rsidRPr="00AA35C2">
        <w:rPr>
          <w:rFonts w:cs="Arial" w:hint="cs"/>
          <w:sz w:val="16"/>
          <w:szCs w:val="16"/>
          <w:rtl/>
        </w:rPr>
        <w:t>(</w:t>
      </w:r>
      <w:r w:rsidR="0061020A">
        <w:rPr>
          <w:rFonts w:cs="Arial" w:hint="cs"/>
          <w:sz w:val="16"/>
          <w:szCs w:val="16"/>
          <w:rtl/>
        </w:rPr>
        <w:t>וז</w:t>
      </w:r>
      <w:r w:rsidR="0061020A">
        <w:rPr>
          <w:rFonts w:cs="Arial"/>
          <w:sz w:val="16"/>
          <w:szCs w:val="16"/>
          <w:rtl/>
        </w:rPr>
        <w:t>"</w:t>
      </w:r>
      <w:r w:rsidR="0061020A">
        <w:rPr>
          <w:rFonts w:cs="Arial" w:hint="cs"/>
          <w:sz w:val="16"/>
          <w:szCs w:val="16"/>
          <w:rtl/>
        </w:rPr>
        <w:t>ל:</w:t>
      </w:r>
      <w:r w:rsidRPr="00AA35C2">
        <w:rPr>
          <w:rFonts w:cs="Arial"/>
          <w:sz w:val="16"/>
          <w:szCs w:val="16"/>
          <w:rtl/>
        </w:rPr>
        <w:t xml:space="preserve"> מי שנדר לחולה איזה דבר, אם עשו זה משום הפצרת החולה שלא תטרוף דעתו עליו הוי הנדר אונס, אבל אם לא עשה כן מפני זה אלא מפני דבר אחר, הוי כנדר על דעת חבירו</w:t>
      </w:r>
      <w:r>
        <w:rPr>
          <w:rFonts w:cs="Arial" w:hint="cs"/>
          <w:sz w:val="16"/>
          <w:szCs w:val="16"/>
          <w:rtl/>
        </w:rPr>
        <w:t>)</w:t>
      </w:r>
      <w:r>
        <w:rPr>
          <w:rFonts w:hint="cs"/>
          <w:rtl/>
        </w:rPr>
        <w:t>.</w:t>
      </w:r>
    </w:p>
  </w:footnote>
  <w:footnote w:id="1305">
    <w:p w14:paraId="1B18DABC" w14:textId="30464FA7" w:rsidR="00DE2F5F" w:rsidRDefault="00DE2F5F">
      <w:pPr>
        <w:pStyle w:val="a5"/>
        <w:rPr>
          <w:rtl/>
        </w:rPr>
      </w:pPr>
      <w:r>
        <w:rPr>
          <w:rStyle w:val="a7"/>
        </w:rPr>
        <w:footnoteRef/>
      </w:r>
      <w:r>
        <w:rPr>
          <w:rtl/>
        </w:rPr>
        <w:t xml:space="preserve"> </w:t>
      </w:r>
      <w:r w:rsidRPr="00FA3C79">
        <w:rPr>
          <w:rFonts w:cs="Arial"/>
          <w:rtl/>
        </w:rPr>
        <w:t>היינו במתנה מרובה</w:t>
      </w:r>
      <w:r>
        <w:rPr>
          <w:rFonts w:cs="Arial" w:hint="cs"/>
          <w:rtl/>
        </w:rPr>
        <w:t>.</w:t>
      </w:r>
      <w:r w:rsidRPr="00FA3C79">
        <w:rPr>
          <w:rFonts w:cs="Arial"/>
          <w:rtl/>
        </w:rPr>
        <w:t xml:space="preserve"> ומתנה מועטת נקר</w:t>
      </w:r>
      <w:r>
        <w:rPr>
          <w:rFonts w:cs="Arial" w:hint="cs"/>
          <w:rtl/>
        </w:rPr>
        <w:t>א</w:t>
      </w:r>
      <w:r w:rsidRPr="00FA3C79">
        <w:rPr>
          <w:rFonts w:cs="Arial"/>
          <w:rtl/>
        </w:rPr>
        <w:t xml:space="preserve"> מחוסר אמנה</w:t>
      </w:r>
      <w:r>
        <w:rPr>
          <w:rFonts w:cs="Arial" w:hint="cs"/>
          <w:rtl/>
        </w:rPr>
        <w:t>.</w:t>
      </w:r>
      <w:r w:rsidRPr="00FA3C79">
        <w:rPr>
          <w:rFonts w:cs="Arial"/>
          <w:rtl/>
        </w:rPr>
        <w:t xml:space="preserve"> וע' בח"מ סי' רמ"ט וסי' ר"ד</w:t>
      </w:r>
      <w:r>
        <w:rPr>
          <w:rFonts w:hint="cs"/>
          <w:rtl/>
        </w:rPr>
        <w:t>, ח"מ (סקל"ג).</w:t>
      </w:r>
    </w:p>
  </w:footnote>
  <w:footnote w:id="1306">
    <w:p w14:paraId="6D841596" w14:textId="77777777" w:rsidR="003A37AE" w:rsidRDefault="003A37AE" w:rsidP="003A37AE">
      <w:pPr>
        <w:pStyle w:val="a5"/>
      </w:pPr>
      <w:r>
        <w:rPr>
          <w:rStyle w:val="a7"/>
        </w:rPr>
        <w:footnoteRef/>
      </w:r>
      <w:r>
        <w:rPr>
          <w:rtl/>
        </w:rPr>
        <w:t xml:space="preserve"> </w:t>
      </w:r>
      <w:r>
        <w:rPr>
          <w:rFonts w:hint="cs"/>
          <w:rtl/>
        </w:rPr>
        <w:t>סימן - עסק בחלקה.</w:t>
      </w:r>
    </w:p>
  </w:footnote>
  <w:footnote w:id="1307">
    <w:p w14:paraId="22336CD5" w14:textId="77777777" w:rsidR="00DE2F5F" w:rsidRDefault="00DE2F5F" w:rsidP="00576970">
      <w:pPr>
        <w:pStyle w:val="a5"/>
      </w:pPr>
      <w:r>
        <w:rPr>
          <w:rStyle w:val="a7"/>
        </w:rPr>
        <w:footnoteRef/>
      </w:r>
      <w:r>
        <w:rPr>
          <w:rtl/>
        </w:rPr>
        <w:t xml:space="preserve"> </w:t>
      </w:r>
      <w:r w:rsidRPr="00984F6F">
        <w:rPr>
          <w:rFonts w:cs="Arial"/>
          <w:rtl/>
        </w:rPr>
        <w:t>ופסקו הרי"ף (לז:) והרמב"ם (פכ"ב מאישות ה"ח) והרא"ש (סי' ג) ז"ל הלכה כרבי שמעון</w:t>
      </w:r>
      <w:r w:rsidRPr="00984F6F">
        <w:rPr>
          <w:rFonts w:cs="Arial" w:hint="cs"/>
          <w:rtl/>
        </w:rPr>
        <w:t>, ב"י</w:t>
      </w:r>
      <w:r>
        <w:rPr>
          <w:rFonts w:cs="Arial" w:hint="cs"/>
          <w:rtl/>
        </w:rPr>
        <w:t>.</w:t>
      </w:r>
    </w:p>
  </w:footnote>
  <w:footnote w:id="1308">
    <w:p w14:paraId="0E6C8136" w14:textId="545E7030" w:rsidR="00DE2F5F" w:rsidRDefault="00DE2F5F">
      <w:pPr>
        <w:pStyle w:val="a5"/>
        <w:rPr>
          <w:rtl/>
        </w:rPr>
      </w:pPr>
      <w:r>
        <w:rPr>
          <w:rStyle w:val="a7"/>
        </w:rPr>
        <w:footnoteRef/>
      </w:r>
      <w:r>
        <w:rPr>
          <w:rtl/>
        </w:rPr>
        <w:t xml:space="preserve"> </w:t>
      </w:r>
      <w:r>
        <w:rPr>
          <w:rFonts w:cs="Arial"/>
          <w:rtl/>
        </w:rPr>
        <w:t>וכבר כתבתי תשובה זו בסוף סימן פ"ה</w:t>
      </w:r>
      <w:r>
        <w:rPr>
          <w:rFonts w:cs="Arial" w:hint="cs"/>
          <w:rtl/>
        </w:rPr>
        <w:t xml:space="preserve">, </w:t>
      </w:r>
      <w:r w:rsidRPr="00764B02">
        <w:rPr>
          <w:rFonts w:cs="Arial" w:hint="cs"/>
          <w:b/>
          <w:bCs/>
          <w:rtl/>
        </w:rPr>
        <w:t>ב"י</w:t>
      </w:r>
      <w:r>
        <w:rPr>
          <w:rFonts w:cs="Arial" w:hint="cs"/>
          <w:rtl/>
        </w:rPr>
        <w:t>.</w:t>
      </w:r>
      <w:r w:rsidRPr="00D9440F">
        <w:rPr>
          <w:rFonts w:cs="Arial"/>
          <w:rtl/>
        </w:rPr>
        <w:t xml:space="preserve"> וע"ל סי' פ"ו (דמה"א סוד"ה היו המעות) תשובה מדין אשה שהיו לה נכסים שאינן ידועים לבעל והשאילתן לאחרים</w:t>
      </w:r>
      <w:r>
        <w:rPr>
          <w:rFonts w:cs="Arial" w:hint="cs"/>
          <w:rtl/>
        </w:rPr>
        <w:t xml:space="preserve">, </w:t>
      </w:r>
      <w:r w:rsidRPr="00764B02">
        <w:rPr>
          <w:rFonts w:cs="Arial" w:hint="cs"/>
          <w:b/>
          <w:bCs/>
          <w:rtl/>
        </w:rPr>
        <w:t>דרכ"מ</w:t>
      </w:r>
      <w:r>
        <w:rPr>
          <w:rFonts w:cs="Arial" w:hint="cs"/>
          <w:rtl/>
        </w:rPr>
        <w:t xml:space="preserve"> (אות ט).</w:t>
      </w:r>
    </w:p>
  </w:footnote>
  <w:footnote w:id="1309">
    <w:p w14:paraId="70AC49B8" w14:textId="1B7200EB" w:rsidR="00DE2F5F" w:rsidRDefault="00DE2F5F">
      <w:pPr>
        <w:pStyle w:val="a5"/>
      </w:pPr>
      <w:r>
        <w:rPr>
          <w:rStyle w:val="a7"/>
        </w:rPr>
        <w:footnoteRef/>
      </w:r>
      <w:r>
        <w:rPr>
          <w:rtl/>
        </w:rPr>
        <w:t xml:space="preserve"> </w:t>
      </w:r>
      <w:r w:rsidRPr="009E0829">
        <w:rPr>
          <w:rFonts w:cs="Arial"/>
          <w:rtl/>
        </w:rPr>
        <w:t>משום דיורש אותה אף שא</w:t>
      </w:r>
      <w:r>
        <w:rPr>
          <w:rFonts w:cs="Arial" w:hint="cs"/>
          <w:rtl/>
        </w:rPr>
        <w:t>ינם ידועים</w:t>
      </w:r>
      <w:r w:rsidRPr="009E0829">
        <w:rPr>
          <w:rFonts w:cs="Arial"/>
          <w:rtl/>
        </w:rPr>
        <w:t xml:space="preserve"> לו</w:t>
      </w:r>
      <w:r>
        <w:rPr>
          <w:rFonts w:cs="Arial" w:hint="cs"/>
          <w:rtl/>
        </w:rPr>
        <w:t>,</w:t>
      </w:r>
      <w:r w:rsidRPr="009E0829">
        <w:rPr>
          <w:rFonts w:cs="Arial"/>
          <w:rtl/>
        </w:rPr>
        <w:t xml:space="preserve"> הר"ן</w:t>
      </w:r>
      <w:r>
        <w:rPr>
          <w:rFonts w:cs="Arial" w:hint="cs"/>
          <w:rtl/>
        </w:rPr>
        <w:t>, ב"ש (סקמ"א).</w:t>
      </w:r>
    </w:p>
  </w:footnote>
  <w:footnote w:id="1310">
    <w:p w14:paraId="1B1DE5C8" w14:textId="534199DB" w:rsidR="00DE2F5F" w:rsidRDefault="00DE2F5F">
      <w:pPr>
        <w:pStyle w:val="a5"/>
        <w:rPr>
          <w:rtl/>
        </w:rPr>
      </w:pPr>
      <w:r>
        <w:rPr>
          <w:rStyle w:val="a7"/>
        </w:rPr>
        <w:footnoteRef/>
      </w:r>
      <w:r>
        <w:rPr>
          <w:rtl/>
        </w:rPr>
        <w:t xml:space="preserve"> </w:t>
      </w:r>
      <w:r w:rsidRPr="00D9440F">
        <w:rPr>
          <w:rFonts w:cs="Arial"/>
          <w:rtl/>
        </w:rPr>
        <w:t>וכן נתבאר לעיל בדין אשה שהבריחה נכסיה</w:t>
      </w:r>
      <w:r>
        <w:rPr>
          <w:rFonts w:hint="cs"/>
          <w:rtl/>
        </w:rPr>
        <w:t>, דרכ"מ (אות י).</w:t>
      </w:r>
    </w:p>
  </w:footnote>
  <w:footnote w:id="1311">
    <w:p w14:paraId="5FBD902A" w14:textId="572EC584" w:rsidR="00DE2F5F" w:rsidRDefault="00DE2F5F" w:rsidP="005C1714">
      <w:pPr>
        <w:pStyle w:val="a5"/>
        <w:rPr>
          <w:rtl/>
        </w:rPr>
      </w:pPr>
      <w:r>
        <w:rPr>
          <w:rStyle w:val="a7"/>
        </w:rPr>
        <w:footnoteRef/>
      </w:r>
      <w:r>
        <w:rPr>
          <w:rtl/>
        </w:rPr>
        <w:t xml:space="preserve"> </w:t>
      </w:r>
      <w:r>
        <w:rPr>
          <w:rFonts w:hint="cs"/>
          <w:rtl/>
        </w:rPr>
        <w:t>לפני</w:t>
      </w:r>
      <w:r w:rsidR="00CE2E6B">
        <w:rPr>
          <w:rFonts w:hint="cs"/>
          <w:rtl/>
        </w:rPr>
        <w:t>נו</w:t>
      </w:r>
      <w:r>
        <w:rPr>
          <w:rFonts w:hint="cs"/>
          <w:rtl/>
        </w:rPr>
        <w:t xml:space="preserve"> </w:t>
      </w:r>
      <w:r w:rsidR="00CE2E6B">
        <w:rPr>
          <w:rFonts w:hint="cs"/>
          <w:rtl/>
        </w:rPr>
        <w:t>איתא</w:t>
      </w:r>
      <w:r>
        <w:rPr>
          <w:rFonts w:hint="cs"/>
          <w:rtl/>
        </w:rPr>
        <w:t xml:space="preserve"> 'מכרה' (גם בדפוס וילנא וגם בדפוס ונציה), אבל ברור מההקשר שצריך להיות כתוב 'מכרו'. וכן באמת הגירסא שהיית לפני רב האי גאון (</w:t>
      </w:r>
      <w:r w:rsidRPr="001277A9">
        <w:rPr>
          <w:rFonts w:cs="Arial"/>
          <w:rtl/>
        </w:rPr>
        <w:t>ספר המקח והממכר עמק השער שער ד</w:t>
      </w:r>
      <w:r>
        <w:rPr>
          <w:rFonts w:hint="cs"/>
          <w:rtl/>
        </w:rPr>
        <w:t>) הרז"ה (</w:t>
      </w:r>
      <w:r w:rsidRPr="001277A9">
        <w:rPr>
          <w:rFonts w:cs="Arial"/>
          <w:rtl/>
        </w:rPr>
        <w:t>מלחמת ה'</w:t>
      </w:r>
      <w:r>
        <w:rPr>
          <w:rFonts w:cs="Arial" w:hint="cs"/>
          <w:rtl/>
        </w:rPr>
        <w:t>,</w:t>
      </w:r>
      <w:r w:rsidRPr="001277A9">
        <w:rPr>
          <w:rFonts w:cs="Arial"/>
          <w:rtl/>
        </w:rPr>
        <w:t xml:space="preserve"> יבמות כב</w:t>
      </w:r>
      <w:r>
        <w:rPr>
          <w:rFonts w:cs="Arial" w:hint="cs"/>
          <w:rtl/>
        </w:rPr>
        <w:t>.</w:t>
      </w:r>
      <w:r>
        <w:rPr>
          <w:rFonts w:hint="cs"/>
          <w:rtl/>
        </w:rPr>
        <w:t xml:space="preserve">) הרא"ש (ב"ב פ"ג סי' נג) הר"ן (כתובות יח. מדפה"ר) ועוד.  </w:t>
      </w:r>
    </w:p>
  </w:footnote>
  <w:footnote w:id="1312">
    <w:p w14:paraId="2E1F9316" w14:textId="40FB233A" w:rsidR="00DE2F5F" w:rsidRDefault="00DE2F5F">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074620">
        <w:rPr>
          <w:rFonts w:cs="Arial"/>
          <w:rtl/>
        </w:rPr>
        <w:t>הבעל שמכר קרקע בנכסי אשתו בין נכסי צאן ברזל בין נכסי מלוג לא עשה כלום.</w:t>
      </w:r>
    </w:p>
  </w:footnote>
  <w:footnote w:id="1313">
    <w:p w14:paraId="14FAF57D" w14:textId="2FF75425" w:rsidR="00DE2F5F" w:rsidRDefault="00DE2F5F" w:rsidP="0052661D">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rtl/>
        </w:rPr>
        <w:t xml:space="preserve"> </w:t>
      </w:r>
      <w:r w:rsidRPr="008A5B22">
        <w:rPr>
          <w:rFonts w:cs="Arial"/>
          <w:rtl/>
        </w:rPr>
        <w:t xml:space="preserve">לכאורה משמע מדקאמר דזבין איהו ומת אתיא איהי ומפקא אלמא </w:t>
      </w:r>
      <w:r>
        <w:rPr>
          <w:rFonts w:cs="Arial"/>
          <w:rtl/>
        </w:rPr>
        <w:t>דהמקח קיים כל ימי חיי הבעל</w:t>
      </w:r>
      <w:r>
        <w:rPr>
          <w:rFonts w:cs="Arial" w:hint="cs"/>
          <w:rtl/>
        </w:rPr>
        <w:t>,</w:t>
      </w:r>
      <w:r>
        <w:rPr>
          <w:rFonts w:cs="Arial"/>
          <w:rtl/>
        </w:rPr>
        <w:t xml:space="preserve"> ואם מתה איהי איגלאי מילתא שהמכר קיים מתחלתו. ומיהו בירושלמי (כתובות פ"ט ה"א) קאמר מכר הוא ומתה היא</w:t>
      </w:r>
      <w:r>
        <w:rPr>
          <w:rFonts w:cs="Arial" w:hint="cs"/>
          <w:rtl/>
        </w:rPr>
        <w:t>,</w:t>
      </w:r>
      <w:r>
        <w:rPr>
          <w:rFonts w:cs="Arial"/>
          <w:rtl/>
        </w:rPr>
        <w:t xml:space="preserve"> מכרו בטל</w:t>
      </w:r>
      <w:r>
        <w:rPr>
          <w:rFonts w:cs="Arial" w:hint="cs"/>
          <w:rtl/>
        </w:rPr>
        <w:t>.</w:t>
      </w:r>
      <w:r>
        <w:rPr>
          <w:rFonts w:cs="Arial"/>
          <w:rtl/>
        </w:rPr>
        <w:t xml:space="preserve"> ופירש ה"ר יונה (נ. ד"ה כי אתמר) הטעם משום שבח בית אביה ביטלו המכר לאלתר</w:t>
      </w:r>
      <w:r>
        <w:rPr>
          <w:rFonts w:cs="Arial" w:hint="cs"/>
          <w:rtl/>
        </w:rPr>
        <w:t>.</w:t>
      </w:r>
      <w:r>
        <w:rPr>
          <w:rFonts w:cs="Arial"/>
          <w:rtl/>
        </w:rPr>
        <w:t xml:space="preserve"> והא דקאמר </w:t>
      </w:r>
      <w:r>
        <w:rPr>
          <w:rFonts w:cs="Arial" w:hint="cs"/>
          <w:rtl/>
        </w:rPr>
        <w:t>'</w:t>
      </w:r>
      <w:r>
        <w:rPr>
          <w:rFonts w:cs="Arial"/>
          <w:rtl/>
        </w:rPr>
        <w:t>מכר הוא ומתה היא מכרו בטל</w:t>
      </w:r>
      <w:r>
        <w:rPr>
          <w:rFonts w:cs="Arial" w:hint="cs"/>
          <w:rtl/>
        </w:rPr>
        <w:t>'</w:t>
      </w:r>
      <w:r>
        <w:rPr>
          <w:rFonts w:cs="Arial"/>
          <w:rtl/>
        </w:rPr>
        <w:t xml:space="preserve"> הוא הדין דלאלתר בטל</w:t>
      </w:r>
      <w:r>
        <w:rPr>
          <w:rFonts w:cs="Arial" w:hint="cs"/>
          <w:rtl/>
        </w:rPr>
        <w:t>,</w:t>
      </w:r>
      <w:r>
        <w:rPr>
          <w:rFonts w:cs="Arial"/>
          <w:rtl/>
        </w:rPr>
        <w:t xml:space="preserve"> אלא לרבותא נקט אע</w:t>
      </w:r>
      <w:r>
        <w:rPr>
          <w:rFonts w:cs="Arial" w:hint="cs"/>
          <w:rtl/>
        </w:rPr>
        <w:t>"</w:t>
      </w:r>
      <w:r>
        <w:rPr>
          <w:rFonts w:cs="Arial"/>
          <w:rtl/>
        </w:rPr>
        <w:t>פ שלא ערערו על המקח עד שמתה היא</w:t>
      </w:r>
      <w:r>
        <w:rPr>
          <w:rFonts w:cs="Arial" w:hint="cs"/>
          <w:rtl/>
        </w:rPr>
        <w:t>.</w:t>
      </w:r>
      <w:r>
        <w:rPr>
          <w:rFonts w:cs="Arial"/>
          <w:rtl/>
        </w:rPr>
        <w:t xml:space="preserve"> והאי דנקט גמרא דידן </w:t>
      </w:r>
      <w:r>
        <w:rPr>
          <w:rFonts w:cs="Arial" w:hint="cs"/>
          <w:rtl/>
        </w:rPr>
        <w:t>'</w:t>
      </w:r>
      <w:r>
        <w:rPr>
          <w:rFonts w:cs="Arial"/>
          <w:rtl/>
        </w:rPr>
        <w:t>דזבין הוא ומית אתיא איהי ומפקא</w:t>
      </w:r>
      <w:r>
        <w:rPr>
          <w:rFonts w:cs="Arial" w:hint="cs"/>
          <w:rtl/>
        </w:rPr>
        <w:t>',</w:t>
      </w:r>
      <w:r>
        <w:rPr>
          <w:rFonts w:cs="Arial"/>
          <w:rtl/>
        </w:rPr>
        <w:t xml:space="preserve"> אע</w:t>
      </w:r>
      <w:r>
        <w:rPr>
          <w:rFonts w:cs="Arial" w:hint="cs"/>
          <w:rtl/>
        </w:rPr>
        <w:t>"</w:t>
      </w:r>
      <w:r>
        <w:rPr>
          <w:rFonts w:cs="Arial"/>
          <w:rtl/>
        </w:rPr>
        <w:t>ג דהוא הדין דמתה היא איהו מפיק ואפילו לאלתר מכרו בטל</w:t>
      </w:r>
      <w:r>
        <w:rPr>
          <w:rFonts w:cs="Arial" w:hint="cs"/>
          <w:rtl/>
        </w:rPr>
        <w:t>,</w:t>
      </w:r>
      <w:r>
        <w:rPr>
          <w:rFonts w:cs="Arial"/>
          <w:rtl/>
        </w:rPr>
        <w:t xml:space="preserve"> משום דעיקר חידוש דברי אמימר לאשמועינן דאשה שמכרה הבעל מוציא מיד הלקוחות</w:t>
      </w:r>
      <w:r>
        <w:rPr>
          <w:rFonts w:cs="Arial" w:hint="cs"/>
          <w:rtl/>
        </w:rPr>
        <w:t>,</w:t>
      </w:r>
      <w:r>
        <w:rPr>
          <w:rFonts w:cs="Arial"/>
          <w:rtl/>
        </w:rPr>
        <w:t xml:space="preserve"> והתם דוקא כשמתה</w:t>
      </w:r>
      <w:r>
        <w:rPr>
          <w:rFonts w:cs="Arial" w:hint="cs"/>
          <w:rtl/>
        </w:rPr>
        <w:t>,</w:t>
      </w:r>
      <w:r>
        <w:rPr>
          <w:rFonts w:cs="Arial"/>
          <w:rtl/>
        </w:rPr>
        <w:t xml:space="preserve"> אבל כשמת הוא מכרה קיים</w:t>
      </w:r>
      <w:r>
        <w:rPr>
          <w:rFonts w:cs="Arial" w:hint="cs"/>
          <w:rtl/>
        </w:rPr>
        <w:t>.</w:t>
      </w:r>
      <w:r>
        <w:rPr>
          <w:rFonts w:cs="Arial"/>
          <w:rtl/>
        </w:rPr>
        <w:t xml:space="preserve"> ואיידי דנקט אשה שמכרה</w:t>
      </w:r>
      <w:r>
        <w:rPr>
          <w:rFonts w:cs="Arial" w:hint="cs"/>
          <w:rtl/>
        </w:rPr>
        <w:t>,</w:t>
      </w:r>
      <w:r>
        <w:rPr>
          <w:rFonts w:cs="Arial"/>
          <w:rtl/>
        </w:rPr>
        <w:t xml:space="preserve"> נקט נמי איש שמכר</w:t>
      </w:r>
      <w:r>
        <w:rPr>
          <w:rFonts w:cs="Arial" w:hint="cs"/>
          <w:rtl/>
        </w:rPr>
        <w:t>,</w:t>
      </w:r>
      <w:r>
        <w:rPr>
          <w:rFonts w:cs="Arial"/>
          <w:rtl/>
        </w:rPr>
        <w:t xml:space="preserve"> הילכך מפרש ליה תלמודא</w:t>
      </w:r>
      <w:r>
        <w:rPr>
          <w:rFonts w:cs="Arial" w:hint="cs"/>
          <w:sz w:val="16"/>
          <w:szCs w:val="16"/>
          <w:rtl/>
        </w:rPr>
        <w:t xml:space="preserve"> {לבעל שמכר}</w:t>
      </w:r>
      <w:r>
        <w:rPr>
          <w:rFonts w:cs="Arial"/>
          <w:rtl/>
        </w:rPr>
        <w:t xml:space="preserve"> דומיא דאשה שמכרה</w:t>
      </w:r>
      <w:r>
        <w:rPr>
          <w:rFonts w:cs="Arial" w:hint="cs"/>
          <w:sz w:val="16"/>
          <w:szCs w:val="16"/>
          <w:rtl/>
        </w:rPr>
        <w:t xml:space="preserve"> {וכמו שכתבו באשה שמכרה 'ומתה', כך כתבו באיש שמכר 'ומית' אע"פ שהם שונים. שבעל שמכר - מכרו בטל לאלתר. ואשה שמכרה - מכרה בטל רק לאחר שמתה}</w:t>
      </w:r>
      <w:r>
        <w:rPr>
          <w:rFonts w:cs="Arial" w:hint="cs"/>
          <w:rtl/>
        </w:rPr>
        <w:t xml:space="preserve"> עכ"ל. (ולאחר שהביא הב"י את דברי הרא"ש הללו כתב- ו</w:t>
      </w:r>
      <w:r>
        <w:rPr>
          <w:rFonts w:cs="Arial"/>
          <w:rtl/>
        </w:rPr>
        <w:t>כך נראה מדברי הרמב"ם</w:t>
      </w:r>
      <w:r>
        <w:rPr>
          <w:rFonts w:hint="cs"/>
          <w:rtl/>
        </w:rPr>
        <w:t xml:space="preserve"> [פכ"ב הט"ו]).</w:t>
      </w:r>
    </w:p>
  </w:footnote>
  <w:footnote w:id="1314">
    <w:p w14:paraId="6B4A203B" w14:textId="3C05D482" w:rsidR="00DE2F5F" w:rsidRDefault="00DE2F5F">
      <w:pPr>
        <w:pStyle w:val="a5"/>
      </w:pPr>
      <w:r>
        <w:rPr>
          <w:rStyle w:val="a7"/>
        </w:rPr>
        <w:footnoteRef/>
      </w:r>
      <w:r>
        <w:rPr>
          <w:rtl/>
        </w:rPr>
        <w:t xml:space="preserve"> </w:t>
      </w:r>
      <w:r>
        <w:rPr>
          <w:rFonts w:cs="Arial"/>
          <w:rtl/>
        </w:rPr>
        <w:t>כן משמע מדברי הרא"ש שכתבתי בסמוך</w:t>
      </w:r>
      <w:r>
        <w:rPr>
          <w:rFonts w:cs="Arial" w:hint="cs"/>
          <w:rtl/>
        </w:rPr>
        <w:t>, ב"י.</w:t>
      </w:r>
    </w:p>
  </w:footnote>
  <w:footnote w:id="1315">
    <w:p w14:paraId="30C6AE4F" w14:textId="77777777" w:rsidR="00DE2F5F" w:rsidRDefault="00DE2F5F" w:rsidP="00AC2541">
      <w:pPr>
        <w:pStyle w:val="a5"/>
      </w:pPr>
      <w:r>
        <w:rPr>
          <w:rStyle w:val="a7"/>
        </w:rPr>
        <w:footnoteRef/>
      </w:r>
      <w:r>
        <w:rPr>
          <w:rtl/>
        </w:rPr>
        <w:t xml:space="preserve"> </w:t>
      </w:r>
      <w:r w:rsidRPr="006B10A0">
        <w:rPr>
          <w:rFonts w:cs="Arial"/>
          <w:rtl/>
        </w:rPr>
        <w:t>נכסי צאן ברזל, הנישומים בכתובתה</w:t>
      </w:r>
      <w:r>
        <w:rPr>
          <w:rFonts w:cs="Arial" w:hint="cs"/>
          <w:rtl/>
        </w:rPr>
        <w:t>.</w:t>
      </w:r>
    </w:p>
  </w:footnote>
  <w:footnote w:id="1316">
    <w:p w14:paraId="5119EC6B" w14:textId="77777777" w:rsidR="00DE2F5F" w:rsidRDefault="00DE2F5F" w:rsidP="00AC2541">
      <w:pPr>
        <w:pStyle w:val="a5"/>
      </w:pPr>
      <w:r>
        <w:rPr>
          <w:rStyle w:val="a7"/>
        </w:rPr>
        <w:footnoteRef/>
      </w:r>
      <w:r>
        <w:rPr>
          <w:rtl/>
        </w:rPr>
        <w:t xml:space="preserve"> </w:t>
      </w:r>
      <w:r w:rsidRPr="00F73BB0">
        <w:rPr>
          <w:rFonts w:cs="Arial"/>
          <w:rtl/>
        </w:rPr>
        <w:t>שאם יגרשנה תטול כליה</w:t>
      </w:r>
      <w:r>
        <w:rPr>
          <w:rFonts w:cs="Arial" w:hint="cs"/>
          <w:rtl/>
        </w:rPr>
        <w:t>, רש"י.</w:t>
      </w:r>
    </w:p>
  </w:footnote>
  <w:footnote w:id="1317">
    <w:p w14:paraId="6A8FB3A6" w14:textId="77777777" w:rsidR="00DE2F5F" w:rsidRDefault="00DE2F5F" w:rsidP="00AC2541">
      <w:pPr>
        <w:pStyle w:val="a5"/>
      </w:pPr>
      <w:r>
        <w:rPr>
          <w:rStyle w:val="a7"/>
        </w:rPr>
        <w:footnoteRef/>
      </w:r>
      <w:r>
        <w:rPr>
          <w:rtl/>
        </w:rPr>
        <w:t xml:space="preserve"> </w:t>
      </w:r>
      <w:r w:rsidRPr="00F73BB0">
        <w:rPr>
          <w:rFonts w:cs="Arial"/>
          <w:rtl/>
        </w:rPr>
        <w:t>או זה או זה</w:t>
      </w:r>
      <w:r>
        <w:rPr>
          <w:rFonts w:cs="Arial" w:hint="cs"/>
          <w:rtl/>
        </w:rPr>
        <w:t>, רש"י.</w:t>
      </w:r>
    </w:p>
  </w:footnote>
  <w:footnote w:id="1318">
    <w:p w14:paraId="25EBE9AF" w14:textId="77777777" w:rsidR="00DE2F5F" w:rsidRDefault="00DE2F5F" w:rsidP="00AC2541">
      <w:pPr>
        <w:pStyle w:val="a5"/>
      </w:pPr>
      <w:r>
        <w:rPr>
          <w:rStyle w:val="a7"/>
        </w:rPr>
        <w:footnoteRef/>
      </w:r>
      <w:r>
        <w:rPr>
          <w:rtl/>
        </w:rPr>
        <w:t xml:space="preserve"> </w:t>
      </w:r>
      <w:r w:rsidRPr="00F73BB0">
        <w:rPr>
          <w:rFonts w:cs="Arial"/>
          <w:rtl/>
        </w:rPr>
        <w:t>אורחא דמילתא נקט שאין אדם מוכר כלי תשמישיו אלא למזונות</w:t>
      </w:r>
      <w:r>
        <w:rPr>
          <w:rFonts w:cs="Arial" w:hint="cs"/>
          <w:rtl/>
        </w:rPr>
        <w:t>, רש"י.</w:t>
      </w:r>
    </w:p>
  </w:footnote>
  <w:footnote w:id="1319">
    <w:p w14:paraId="66709425" w14:textId="77777777" w:rsidR="00DE2F5F" w:rsidRDefault="00DE2F5F" w:rsidP="00AC2541">
      <w:pPr>
        <w:pStyle w:val="a5"/>
      </w:pPr>
      <w:r>
        <w:rPr>
          <w:rStyle w:val="a7"/>
        </w:rPr>
        <w:footnoteRef/>
      </w:r>
      <w:r>
        <w:rPr>
          <w:rtl/>
        </w:rPr>
        <w:t xml:space="preserve"> </w:t>
      </w:r>
      <w:r w:rsidRPr="00F73BB0">
        <w:rPr>
          <w:rFonts w:cs="Arial"/>
          <w:rtl/>
        </w:rPr>
        <w:t>לא מיבעיא דאם מכר הוא בלא דעתה</w:t>
      </w:r>
      <w:r>
        <w:rPr>
          <w:rFonts w:cs="Arial" w:hint="cs"/>
          <w:rtl/>
        </w:rPr>
        <w:t>,</w:t>
      </w:r>
      <w:r w:rsidRPr="00F73BB0">
        <w:rPr>
          <w:rFonts w:cs="Arial"/>
          <w:rtl/>
        </w:rPr>
        <w:t xml:space="preserve"> ומת או גרשה</w:t>
      </w:r>
      <w:r>
        <w:rPr>
          <w:rFonts w:cs="Arial" w:hint="cs"/>
          <w:rtl/>
        </w:rPr>
        <w:t>,</w:t>
      </w:r>
      <w:r w:rsidRPr="00F73BB0">
        <w:rPr>
          <w:rFonts w:cs="Arial"/>
          <w:rtl/>
        </w:rPr>
        <w:t xml:space="preserve"> דהיא מוציאה מיד הלקוחות</w:t>
      </w:r>
      <w:r>
        <w:rPr>
          <w:rFonts w:cs="Arial" w:hint="cs"/>
          <w:rtl/>
        </w:rPr>
        <w:t>.</w:t>
      </w:r>
      <w:r w:rsidRPr="00F73BB0">
        <w:rPr>
          <w:rFonts w:cs="Arial"/>
          <w:rtl/>
        </w:rPr>
        <w:t xml:space="preserve"> אלא אפילו מתה היא</w:t>
      </w:r>
      <w:r>
        <w:rPr>
          <w:rFonts w:cs="Arial" w:hint="cs"/>
          <w:rtl/>
        </w:rPr>
        <w:t>,</w:t>
      </w:r>
      <w:r w:rsidRPr="00F73BB0">
        <w:rPr>
          <w:rFonts w:cs="Arial"/>
          <w:rtl/>
        </w:rPr>
        <w:t xml:space="preserve"> הוא מוציא מיד הלקוחות</w:t>
      </w:r>
      <w:r>
        <w:rPr>
          <w:rFonts w:cs="Arial" w:hint="cs"/>
          <w:rtl/>
        </w:rPr>
        <w:t>,</w:t>
      </w:r>
      <w:r w:rsidRPr="00F73BB0">
        <w:rPr>
          <w:rFonts w:cs="Arial"/>
          <w:rtl/>
        </w:rPr>
        <w:t xml:space="preserve"> דמכירה לאו מכירה הואי (שמא ימות הוא בחייה ונמצאת מכירה שלא כדין) כל זמן שהיא קיימת</w:t>
      </w:r>
      <w:r>
        <w:rPr>
          <w:rFonts w:cs="Arial" w:hint="cs"/>
          <w:rtl/>
        </w:rPr>
        <w:t>, רש"י.</w:t>
      </w:r>
    </w:p>
  </w:footnote>
  <w:footnote w:id="1320">
    <w:p w14:paraId="0341DEC4" w14:textId="73366F7C" w:rsidR="00DE2F5F" w:rsidRDefault="00DE2F5F" w:rsidP="00C319EF">
      <w:pPr>
        <w:pStyle w:val="a5"/>
        <w:rPr>
          <w:rtl/>
        </w:rPr>
      </w:pPr>
      <w:r>
        <w:rPr>
          <w:rStyle w:val="a7"/>
        </w:rPr>
        <w:footnoteRef/>
      </w:r>
      <w:r>
        <w:rPr>
          <w:rtl/>
        </w:rPr>
        <w:t xml:space="preserve"> </w:t>
      </w:r>
      <w:r>
        <w:rPr>
          <w:rFonts w:cs="Arial" w:hint="cs"/>
          <w:rtl/>
        </w:rPr>
        <w:t>והוא הדין</w:t>
      </w:r>
      <w:r w:rsidRPr="00C319EF">
        <w:rPr>
          <w:rFonts w:cs="Arial"/>
          <w:rtl/>
        </w:rPr>
        <w:t xml:space="preserve"> </w:t>
      </w:r>
      <w:r>
        <w:rPr>
          <w:rFonts w:cs="Arial" w:hint="cs"/>
          <w:rtl/>
        </w:rPr>
        <w:t>ל</w:t>
      </w:r>
      <w:r w:rsidRPr="008C513A">
        <w:rPr>
          <w:rFonts w:cs="Arial"/>
          <w:rtl/>
        </w:rPr>
        <w:t>שדה ששם לה בכתובתה דינה כנכסי צאן ברזל</w:t>
      </w:r>
      <w:r>
        <w:rPr>
          <w:rFonts w:cs="Arial" w:hint="cs"/>
          <w:rtl/>
        </w:rPr>
        <w:t xml:space="preserve"> </w:t>
      </w:r>
      <w:r w:rsidRPr="00C319EF">
        <w:rPr>
          <w:rFonts w:cs="Arial" w:hint="cs"/>
          <w:sz w:val="16"/>
          <w:szCs w:val="16"/>
          <w:rtl/>
        </w:rPr>
        <w:t>(כ"כ הדרכ"מ</w:t>
      </w:r>
      <w:r w:rsidRPr="00C319EF">
        <w:rPr>
          <w:rFonts w:cs="Arial"/>
          <w:sz w:val="16"/>
          <w:szCs w:val="16"/>
          <w:rtl/>
        </w:rPr>
        <w:t xml:space="preserve"> (</w:t>
      </w:r>
      <w:r w:rsidRPr="00C319EF">
        <w:rPr>
          <w:rFonts w:cs="Arial" w:hint="cs"/>
          <w:sz w:val="16"/>
          <w:szCs w:val="16"/>
          <w:rtl/>
        </w:rPr>
        <w:t xml:space="preserve">אות </w:t>
      </w:r>
      <w:r w:rsidRPr="00C319EF">
        <w:rPr>
          <w:rFonts w:cs="Arial"/>
          <w:sz w:val="16"/>
          <w:szCs w:val="16"/>
          <w:rtl/>
        </w:rPr>
        <w:t xml:space="preserve">יא) </w:t>
      </w:r>
      <w:r w:rsidRPr="00C319EF">
        <w:rPr>
          <w:rFonts w:cs="Arial" w:hint="cs"/>
          <w:sz w:val="16"/>
          <w:szCs w:val="16"/>
          <w:rtl/>
        </w:rPr>
        <w:t>דמוכח ב</w:t>
      </w:r>
      <w:r w:rsidRPr="00C319EF">
        <w:rPr>
          <w:rFonts w:cs="Arial"/>
          <w:sz w:val="16"/>
          <w:szCs w:val="16"/>
          <w:rtl/>
        </w:rPr>
        <w:t xml:space="preserve">גמרא </w:t>
      </w:r>
      <w:r w:rsidRPr="00C319EF">
        <w:rPr>
          <w:rFonts w:cs="Arial" w:hint="cs"/>
          <w:sz w:val="16"/>
          <w:szCs w:val="16"/>
          <w:rtl/>
        </w:rPr>
        <w:t>(</w:t>
      </w:r>
      <w:r w:rsidRPr="00C319EF">
        <w:rPr>
          <w:rFonts w:cs="Arial"/>
          <w:sz w:val="16"/>
          <w:szCs w:val="16"/>
          <w:rtl/>
        </w:rPr>
        <w:t>פ</w:t>
      </w:r>
      <w:r w:rsidRPr="00C319EF">
        <w:rPr>
          <w:rFonts w:cs="Arial" w:hint="cs"/>
          <w:sz w:val="16"/>
          <w:szCs w:val="16"/>
          <w:rtl/>
        </w:rPr>
        <w:t>'</w:t>
      </w:r>
      <w:r w:rsidRPr="00C319EF">
        <w:rPr>
          <w:rFonts w:cs="Arial"/>
          <w:sz w:val="16"/>
          <w:szCs w:val="16"/>
          <w:rtl/>
        </w:rPr>
        <w:t xml:space="preserve"> אלמנה לכ"ג ובפ</w:t>
      </w:r>
      <w:r w:rsidRPr="00C319EF">
        <w:rPr>
          <w:rFonts w:cs="Arial" w:hint="cs"/>
          <w:sz w:val="16"/>
          <w:szCs w:val="16"/>
          <w:rtl/>
        </w:rPr>
        <w:t>'</w:t>
      </w:r>
      <w:r w:rsidRPr="00C319EF">
        <w:rPr>
          <w:rFonts w:cs="Arial"/>
          <w:sz w:val="16"/>
          <w:szCs w:val="16"/>
          <w:rtl/>
        </w:rPr>
        <w:t xml:space="preserve"> חזקת הבתים</w:t>
      </w:r>
      <w:r w:rsidRPr="00C319EF">
        <w:rPr>
          <w:rFonts w:cs="Arial" w:hint="cs"/>
          <w:sz w:val="16"/>
          <w:szCs w:val="16"/>
          <w:rtl/>
        </w:rPr>
        <w:t>)</w:t>
      </w:r>
      <w:r w:rsidRPr="00C319EF">
        <w:rPr>
          <w:rFonts w:cs="Arial"/>
          <w:sz w:val="16"/>
          <w:szCs w:val="16"/>
          <w:rtl/>
        </w:rPr>
        <w:t xml:space="preserve"> וכ"כ הרמב"ם </w:t>
      </w:r>
      <w:r w:rsidRPr="00C319EF">
        <w:rPr>
          <w:rFonts w:cs="Arial" w:hint="cs"/>
          <w:sz w:val="16"/>
          <w:szCs w:val="16"/>
          <w:rtl/>
        </w:rPr>
        <w:t>(</w:t>
      </w:r>
      <w:r w:rsidRPr="00C319EF">
        <w:rPr>
          <w:rFonts w:cs="Arial"/>
          <w:sz w:val="16"/>
          <w:szCs w:val="16"/>
          <w:rtl/>
        </w:rPr>
        <w:t>פכ"ב מאישות הי"ח) ומוסכם מן הפוסקים</w:t>
      </w:r>
      <w:r w:rsidRPr="00C319EF">
        <w:rPr>
          <w:rFonts w:cs="Arial" w:hint="cs"/>
          <w:sz w:val="16"/>
          <w:szCs w:val="16"/>
          <w:rtl/>
        </w:rPr>
        <w:t xml:space="preserve">, וכ"כ </w:t>
      </w:r>
      <w:r w:rsidRPr="00C319EF">
        <w:rPr>
          <w:rFonts w:cs="Arial"/>
          <w:sz w:val="16"/>
          <w:szCs w:val="16"/>
          <w:rtl/>
        </w:rPr>
        <w:t>נמוק</w:t>
      </w:r>
      <w:r w:rsidRPr="00C319EF">
        <w:rPr>
          <w:rFonts w:cs="Arial" w:hint="cs"/>
          <w:sz w:val="16"/>
          <w:szCs w:val="16"/>
          <w:rtl/>
        </w:rPr>
        <w:t>"</w:t>
      </w:r>
      <w:r w:rsidRPr="00C319EF">
        <w:rPr>
          <w:rFonts w:cs="Arial"/>
          <w:sz w:val="16"/>
          <w:szCs w:val="16"/>
          <w:rtl/>
        </w:rPr>
        <w:t>י (יבמות כב: דיבור ראשון) ובמרדכי שם ריש הפרק (סי' סג)</w:t>
      </w:r>
      <w:r w:rsidRPr="00C319EF">
        <w:rPr>
          <w:rFonts w:cs="Arial" w:hint="cs"/>
          <w:sz w:val="16"/>
          <w:szCs w:val="16"/>
          <w:rtl/>
        </w:rPr>
        <w:t>.</w:t>
      </w:r>
      <w:r w:rsidRPr="00C319EF">
        <w:rPr>
          <w:rFonts w:cs="Arial"/>
          <w:sz w:val="16"/>
          <w:szCs w:val="16"/>
          <w:rtl/>
        </w:rPr>
        <w:t xml:space="preserve"> וע</w:t>
      </w:r>
      <w:r>
        <w:rPr>
          <w:rFonts w:cs="Arial" w:hint="cs"/>
          <w:sz w:val="16"/>
          <w:szCs w:val="16"/>
          <w:rtl/>
        </w:rPr>
        <w:t>"</w:t>
      </w:r>
      <w:r w:rsidRPr="00C319EF">
        <w:rPr>
          <w:rFonts w:cs="Arial"/>
          <w:sz w:val="16"/>
          <w:szCs w:val="16"/>
          <w:rtl/>
        </w:rPr>
        <w:t>ש שהאריך במרדכי בדינים אלו</w:t>
      </w:r>
      <w:r w:rsidRPr="00C319EF">
        <w:rPr>
          <w:rFonts w:cs="Arial" w:hint="cs"/>
          <w:sz w:val="16"/>
          <w:szCs w:val="16"/>
          <w:rtl/>
        </w:rPr>
        <w:t>)</w:t>
      </w:r>
      <w:r>
        <w:rPr>
          <w:rFonts w:cs="Arial" w:hint="cs"/>
          <w:rtl/>
        </w:rPr>
        <w:t>.</w:t>
      </w:r>
    </w:p>
  </w:footnote>
  <w:footnote w:id="1321">
    <w:p w14:paraId="2F470A6A" w14:textId="68EC83CF" w:rsidR="00DE2F5F" w:rsidRDefault="00DE2F5F">
      <w:pPr>
        <w:pStyle w:val="a5"/>
      </w:pPr>
      <w:r>
        <w:rPr>
          <w:rStyle w:val="a7"/>
        </w:rPr>
        <w:footnoteRef/>
      </w:r>
      <w:r>
        <w:rPr>
          <w:rtl/>
        </w:rPr>
        <w:t xml:space="preserve"> </w:t>
      </w:r>
      <w:r>
        <w:rPr>
          <w:rFonts w:cs="Arial" w:hint="cs"/>
          <w:rtl/>
        </w:rPr>
        <w:t>וז"ל</w:t>
      </w:r>
      <w:r>
        <w:rPr>
          <w:rFonts w:cs="Arial"/>
          <w:rtl/>
        </w:rPr>
        <w:t xml:space="preserve"> הרא"ש (</w:t>
      </w:r>
      <w:r>
        <w:rPr>
          <w:rFonts w:cs="Arial" w:hint="cs"/>
          <w:rtl/>
        </w:rPr>
        <w:t xml:space="preserve">יבמות פ"ז </w:t>
      </w:r>
      <w:r>
        <w:rPr>
          <w:rFonts w:cs="Arial"/>
          <w:rtl/>
        </w:rPr>
        <w:t>סי' א)</w:t>
      </w:r>
      <w:r w:rsidR="005D650F">
        <w:rPr>
          <w:rFonts w:cs="Arial" w:hint="cs"/>
          <w:rtl/>
        </w:rPr>
        <w:t>:</w:t>
      </w:r>
      <w:r>
        <w:rPr>
          <w:rFonts w:cs="Arial"/>
          <w:rtl/>
        </w:rPr>
        <w:t xml:space="preserve"> ונראה לפרש הבעל מוציא מיד הלקוחות לאלתר דתקון רבנן שלא יתקיים המקח בדבר זה כלל שלא תהא האשה צריכה לטרוח ולהוציא מן הלקוחות לאחר מיתת בעלה ולא דמי לנכסי בעלה שהוא מוכר והמכר קיים עד שתטרוף כתובתה מהם דהתם לא חשו חכמים על טורח האשה שמא יפרעו לה כתובתה ולא תצטרך לטרוף אבל בנכסים הללו שאפילו אם ימצאו לבעל נכסים יכולה לומר איני רוצה אלא אלו חשו חכמים לטורח האשה וביטלו המקח לאלתר וכן פירש רבינו גרשון מכרו שניהם או זה או זה דאם מכר הבעל עצמו האשה מוציאה ואם מכרה האשה הבעל מוציא ור"ח פירש דאפילו אם מכר הבעל הוא עצמו מוציא דתקון רבנן שלא יתקיים המקח כלל דרבן שמעון בן גמליאל לטעמיה כדאמרינן בפרק השולח (גיטין מא.) תניא העושה שדהו אפותיקי לכתובת אשה ובעל חוב גובה משאר נכסים כלומר אם רצה מוכר אותה שדה וגובין משאר נכסים רבן שמעון בן גמליאל אומר בעל חוב גובה משאר נכסים כתובה אינה גובה משאר נכסים</w:t>
      </w:r>
      <w:r>
        <w:rPr>
          <w:rFonts w:cs="Arial" w:hint="cs"/>
          <w:rtl/>
        </w:rPr>
        <w:t>.</w:t>
      </w:r>
      <w:r>
        <w:rPr>
          <w:rFonts w:cs="Arial"/>
          <w:rtl/>
        </w:rPr>
        <w:t xml:space="preserve"> כלומר אינו יכול למכור אותה שדה כלל ואם מכר המכר בטל לאלתר והבעל מוציא מיד הלקוחות אף אם האשה שותקת</w:t>
      </w:r>
      <w:r>
        <w:rPr>
          <w:rFonts w:cs="Arial" w:hint="cs"/>
          <w:rtl/>
        </w:rPr>
        <w:t>.</w:t>
      </w:r>
      <w:r>
        <w:rPr>
          <w:rFonts w:cs="Arial"/>
          <w:rtl/>
        </w:rPr>
        <w:t xml:space="preserve"> והכי איתמר בירושלמי (יבמות פ"ז ה"א) העושה שדהו אפותיקי לאשה בכתובתה ולבעל חוב בחובו מכרה הרי זו מכורה והלוקח יחוש לעצמו רבן שמעון בן גמליאל אומר לאשה בכתובתה אינה מכורה שלא עלתה על דעתו שתהא האשה מחזרת על בתי דינין</w:t>
      </w:r>
      <w:r>
        <w:rPr>
          <w:rFonts w:cs="Arial" w:hint="cs"/>
          <w:rtl/>
        </w:rPr>
        <w:t>.</w:t>
      </w:r>
      <w:r>
        <w:rPr>
          <w:rFonts w:cs="Arial"/>
          <w:rtl/>
        </w:rPr>
        <w:t xml:space="preserve"> וכל שכן הכא בשום שהכניסה</w:t>
      </w:r>
      <w:r>
        <w:rPr>
          <w:rFonts w:cs="Arial" w:hint="cs"/>
          <w:rtl/>
        </w:rPr>
        <w:t>,</w:t>
      </w:r>
      <w:r>
        <w:rPr>
          <w:rFonts w:cs="Arial"/>
          <w:rtl/>
        </w:rPr>
        <w:t xml:space="preserve"> וכן נמי בשום שהכניס לה דעדיף מאפותיקי</w:t>
      </w:r>
      <w:r>
        <w:rPr>
          <w:rFonts w:cs="Arial" w:hint="cs"/>
          <w:rtl/>
        </w:rPr>
        <w:t>,</w:t>
      </w:r>
      <w:r>
        <w:rPr>
          <w:rFonts w:cs="Arial"/>
          <w:rtl/>
        </w:rPr>
        <w:t xml:space="preserve"> ויכול הבעל לבטל את המקח שמכר.</w:t>
      </w:r>
    </w:p>
  </w:footnote>
  <w:footnote w:id="1322">
    <w:p w14:paraId="7DCFCEB6" w14:textId="1E6C7996" w:rsidR="00DE2F5F" w:rsidRDefault="00DE2F5F">
      <w:pPr>
        <w:pStyle w:val="a5"/>
      </w:pPr>
      <w:r>
        <w:rPr>
          <w:rStyle w:val="a7"/>
        </w:rPr>
        <w:footnoteRef/>
      </w:r>
      <w:r>
        <w:rPr>
          <w:rtl/>
        </w:rPr>
        <w:t xml:space="preserve"> </w:t>
      </w:r>
      <w:r>
        <w:rPr>
          <w:rFonts w:hint="cs"/>
          <w:rtl/>
        </w:rPr>
        <w:t>וכתב הרא"ש ד</w:t>
      </w:r>
      <w:r>
        <w:rPr>
          <w:rFonts w:cs="Arial"/>
          <w:rtl/>
        </w:rPr>
        <w:t>תימה הוא לומר דכל זמן שהאשה שותקת יהא המקח קיים וכו'</w:t>
      </w:r>
      <w:r>
        <w:rPr>
          <w:rFonts w:hint="cs"/>
          <w:rtl/>
        </w:rPr>
        <w:t>...</w:t>
      </w:r>
    </w:p>
  </w:footnote>
  <w:footnote w:id="1323">
    <w:p w14:paraId="29B70B70" w14:textId="5B66EFB2" w:rsidR="00DE2F5F" w:rsidRDefault="00DE2F5F">
      <w:pPr>
        <w:pStyle w:val="a5"/>
      </w:pPr>
      <w:r>
        <w:rPr>
          <w:rStyle w:val="a7"/>
        </w:rPr>
        <w:footnoteRef/>
      </w:r>
      <w:r>
        <w:rPr>
          <w:rtl/>
        </w:rPr>
        <w:t xml:space="preserve"> </w:t>
      </w:r>
      <w:r>
        <w:rPr>
          <w:rFonts w:cs="Arial" w:hint="cs"/>
          <w:rtl/>
        </w:rPr>
        <w:t>וז"ל</w:t>
      </w:r>
      <w:r>
        <w:rPr>
          <w:rFonts w:cs="Arial"/>
          <w:rtl/>
        </w:rPr>
        <w:t xml:space="preserve"> הרא"ש (סי' א)</w:t>
      </w:r>
      <w:r>
        <w:rPr>
          <w:rFonts w:cs="Arial" w:hint="cs"/>
          <w:rtl/>
        </w:rPr>
        <w:t xml:space="preserve"> בשמו</w:t>
      </w:r>
      <w:r w:rsidR="005D650F">
        <w:rPr>
          <w:rFonts w:cs="Arial" w:hint="cs"/>
          <w:rtl/>
        </w:rPr>
        <w:t>:</w:t>
      </w:r>
      <w:r>
        <w:rPr>
          <w:rFonts w:cs="Arial"/>
          <w:rtl/>
        </w:rPr>
        <w:t xml:space="preserve"> ורי"ף (כב.) כתב והאי מכרו שניהם לפרנסה דקאמר רשב"ג הבעל מוציא מיד הלקוחות לא איפשיטא שפיר דנעביד בה מעשה. וכתב הרמב"ן (מלחמות שם) דהיינו ספיקו דרב אלפס משום דרשב"ג לטעמיה כדפרישית ושמא קיי"ל כרבנן דפליגי עליה ואמרו דהמקח קיים עד שתבוא האשה ותטרוף מן הלקוחות וכל שכן שאין הבעל מוציא מיד הלקוחות עכ"ל</w:t>
      </w:r>
      <w:r>
        <w:rPr>
          <w:rFonts w:cs="Arial" w:hint="cs"/>
          <w:rtl/>
        </w:rPr>
        <w:t xml:space="preserve"> הרא"ש.</w:t>
      </w:r>
      <w:r>
        <w:rPr>
          <w:rFonts w:cs="Arial"/>
          <w:rtl/>
        </w:rPr>
        <w:t xml:space="preserve"> ו</w:t>
      </w:r>
      <w:r>
        <w:rPr>
          <w:rFonts w:cs="Arial" w:hint="cs"/>
          <w:rtl/>
        </w:rPr>
        <w:t xml:space="preserve">בסוף דבריו </w:t>
      </w:r>
      <w:r>
        <w:rPr>
          <w:rFonts w:cs="Arial"/>
          <w:rtl/>
        </w:rPr>
        <w:t xml:space="preserve">כתב עוד דפסק ר"י </w:t>
      </w:r>
      <w:r w:rsidRPr="008E0760">
        <w:rPr>
          <w:rFonts w:cs="Arial"/>
          <w:rtl/>
        </w:rPr>
        <w:t>(תוס' ב"ב נ. ד"ה אילימא)</w:t>
      </w:r>
      <w:r>
        <w:rPr>
          <w:rFonts w:cs="Arial"/>
          <w:rtl/>
        </w:rPr>
        <w:t xml:space="preserve"> דהמקח קיים עד שעת טריפה כרבנן</w:t>
      </w:r>
      <w:r>
        <w:rPr>
          <w:rFonts w:cs="Arial" w:hint="cs"/>
          <w:rtl/>
        </w:rPr>
        <w:t>.</w:t>
      </w:r>
    </w:p>
  </w:footnote>
  <w:footnote w:id="1324">
    <w:p w14:paraId="7A393725" w14:textId="3BA257B4" w:rsidR="00DE2F5F" w:rsidRDefault="00DE2F5F">
      <w:pPr>
        <w:pStyle w:val="a5"/>
        <w:rPr>
          <w:rtl/>
        </w:rPr>
      </w:pPr>
      <w:r>
        <w:rPr>
          <w:rStyle w:val="a7"/>
        </w:rPr>
        <w:footnoteRef/>
      </w:r>
      <w:r>
        <w:rPr>
          <w:rtl/>
        </w:rPr>
        <w:t xml:space="preserve"> </w:t>
      </w:r>
      <w:r w:rsidRPr="008C513A">
        <w:rPr>
          <w:rFonts w:cs="Arial"/>
          <w:rtl/>
        </w:rPr>
        <w:t>וכן פי' ר"י דבין בשדה שהכניסה לו שום משלה וכתבו אותו בכתיבה ובין נכסי צאן ברזל הוי מכר שלו קיים עד שעת טירפא ולזה הסכים א"א הרא"ש ז"ל</w:t>
      </w:r>
      <w:r>
        <w:rPr>
          <w:rFonts w:cs="Arial" w:hint="cs"/>
          <w:rtl/>
        </w:rPr>
        <w:t>, טור. ועל מה שכתב הטור שכן הסכים הרא"ש כתב הב"י ש</w:t>
      </w:r>
      <w:r>
        <w:rPr>
          <w:rFonts w:cs="Arial"/>
          <w:rtl/>
        </w:rPr>
        <w:t>אינ</w:t>
      </w:r>
      <w:r>
        <w:rPr>
          <w:rFonts w:cs="Arial" w:hint="cs"/>
          <w:rtl/>
        </w:rPr>
        <w:t>ו</w:t>
      </w:r>
      <w:r>
        <w:rPr>
          <w:rFonts w:cs="Arial"/>
          <w:rtl/>
        </w:rPr>
        <w:t xml:space="preserve"> רואה הוכחה ברורה בדברי הרא"ש לומר שהוא מסכים בכך</w:t>
      </w:r>
      <w:r>
        <w:rPr>
          <w:rFonts w:hint="cs"/>
          <w:rtl/>
        </w:rPr>
        <w:t>.</w:t>
      </w:r>
    </w:p>
  </w:footnote>
  <w:footnote w:id="1325">
    <w:p w14:paraId="53DAD565" w14:textId="0801964A" w:rsidR="00DE2F5F" w:rsidRDefault="00DE2F5F" w:rsidP="00675C5E">
      <w:pPr>
        <w:pStyle w:val="a5"/>
        <w:rPr>
          <w:rtl/>
        </w:rPr>
      </w:pPr>
      <w:r>
        <w:rPr>
          <w:rStyle w:val="a7"/>
        </w:rPr>
        <w:footnoteRef/>
      </w:r>
      <w:r>
        <w:rPr>
          <w:rtl/>
        </w:rPr>
        <w:t xml:space="preserve"> </w:t>
      </w:r>
      <w:r w:rsidRPr="00865D60">
        <w:rPr>
          <w:rFonts w:cs="Arial"/>
          <w:rtl/>
        </w:rPr>
        <w:t>וכתב הרב המגיד פירוש מקחו בטל מיד</w:t>
      </w:r>
      <w:r w:rsidRPr="00865D60">
        <w:rPr>
          <w:rFonts w:cs="Arial" w:hint="cs"/>
          <w:rtl/>
        </w:rPr>
        <w:t>,</w:t>
      </w:r>
      <w:r w:rsidRPr="00865D60">
        <w:rPr>
          <w:rFonts w:cs="Arial"/>
          <w:rtl/>
        </w:rPr>
        <w:t xml:space="preserve"> וזה דעת הרבה מהמפרשים דודאי בנכסי צאן ברזל בטל מיד</w:t>
      </w:r>
      <w:r w:rsidRPr="00865D60">
        <w:rPr>
          <w:rFonts w:cs="Arial" w:hint="cs"/>
          <w:rtl/>
        </w:rPr>
        <w:t>.</w:t>
      </w:r>
      <w:r w:rsidRPr="00865D60">
        <w:rPr>
          <w:rFonts w:cs="Arial"/>
          <w:rtl/>
        </w:rPr>
        <w:t xml:space="preserve"> ובהשגות א"א לא מצאתי בנכסי צאן ברזל שלא יהא מכרו קיים עד שיבא לעת הגבוי אלא רשב"ג, ורבנן פליגי עליה בירושלמי בפרק אלמנה לכ"ג (ה"א)</w:t>
      </w:r>
      <w:r>
        <w:rPr>
          <w:rFonts w:cs="Arial" w:hint="cs"/>
          <w:rtl/>
        </w:rPr>
        <w:t xml:space="preserve">. </w:t>
      </w:r>
      <w:r w:rsidRPr="00865D60">
        <w:rPr>
          <w:rFonts w:cs="Arial"/>
          <w:rtl/>
        </w:rPr>
        <w:t>ע"כ</w:t>
      </w:r>
      <w:r>
        <w:rPr>
          <w:rFonts w:cs="Arial" w:hint="cs"/>
          <w:rtl/>
        </w:rPr>
        <w:t>.</w:t>
      </w:r>
      <w:r w:rsidRPr="00865D60">
        <w:rPr>
          <w:rFonts w:cs="Arial"/>
          <w:rtl/>
        </w:rPr>
        <w:t xml:space="preserve"> והירושלמי שהזכיר</w:t>
      </w:r>
      <w:r>
        <w:rPr>
          <w:rFonts w:cs="Arial" w:hint="cs"/>
          <w:rtl/>
        </w:rPr>
        <w:t>,</w:t>
      </w:r>
      <w:r w:rsidRPr="00865D60">
        <w:rPr>
          <w:rFonts w:cs="Arial"/>
          <w:rtl/>
        </w:rPr>
        <w:t xml:space="preserve"> בשדה שעשאו לה אפותיקי הוא</w:t>
      </w:r>
      <w:r w:rsidRPr="00865D60">
        <w:rPr>
          <w:rFonts w:cs="Arial" w:hint="cs"/>
          <w:rtl/>
        </w:rPr>
        <w:t>,</w:t>
      </w:r>
      <w:r w:rsidRPr="00865D60">
        <w:rPr>
          <w:rFonts w:cs="Arial"/>
          <w:rtl/>
        </w:rPr>
        <w:t xml:space="preserve"> ושם השוו נכסי צאן ברזל שהכניסה לו לאפותיקי</w:t>
      </w:r>
      <w:r>
        <w:rPr>
          <w:rFonts w:cs="Arial" w:hint="cs"/>
          <w:rtl/>
        </w:rPr>
        <w:t>.</w:t>
      </w:r>
      <w:r w:rsidRPr="00865D60">
        <w:rPr>
          <w:rFonts w:cs="Arial"/>
          <w:rtl/>
        </w:rPr>
        <w:t xml:space="preserve"> ודעת הרמב"ן (יבמות סו: ד"ה מכרו, גיטין מא. ד"ה גובה) לפסוק בנכסי צאן ברזל שמקחו בטל לאלתר משום שבח בית אביה</w:t>
      </w:r>
      <w:r w:rsidRPr="00865D60">
        <w:rPr>
          <w:rFonts w:cs="Arial" w:hint="cs"/>
          <w:rtl/>
        </w:rPr>
        <w:t>.</w:t>
      </w:r>
      <w:r w:rsidRPr="00865D60">
        <w:rPr>
          <w:rFonts w:cs="Arial"/>
          <w:rtl/>
        </w:rPr>
        <w:t xml:space="preserve"> ואף הרשב"א (גיטין מא. ד"ה ולענין פסק) הסכים לדעת רבינו בנכסי צאן ברזל</w:t>
      </w:r>
      <w:r w:rsidRPr="00865D60">
        <w:rPr>
          <w:rFonts w:cs="Arial" w:hint="cs"/>
          <w:rtl/>
        </w:rPr>
        <w:t>.</w:t>
      </w:r>
      <w:r w:rsidRPr="00865D60">
        <w:rPr>
          <w:rFonts w:cs="Arial"/>
          <w:rtl/>
        </w:rPr>
        <w:t xml:space="preserve"> וזה דעת הגאון</w:t>
      </w:r>
      <w:r w:rsidRPr="00865D60">
        <w:rPr>
          <w:rFonts w:cs="Arial" w:hint="cs"/>
          <w:rtl/>
        </w:rPr>
        <w:t>.</w:t>
      </w:r>
      <w:r w:rsidRPr="00865D60">
        <w:rPr>
          <w:rFonts w:cs="Arial"/>
          <w:rtl/>
        </w:rPr>
        <w:t xml:space="preserve"> ועיקר עכ"ל</w:t>
      </w:r>
      <w:r>
        <w:rPr>
          <w:rFonts w:cs="Arial" w:hint="cs"/>
          <w:rtl/>
        </w:rPr>
        <w:t xml:space="preserve">, </w:t>
      </w:r>
      <w:r w:rsidRPr="005D650F">
        <w:rPr>
          <w:rFonts w:cs="Arial" w:hint="cs"/>
          <w:b/>
          <w:bCs/>
          <w:rtl/>
        </w:rPr>
        <w:t>ב"י</w:t>
      </w:r>
      <w:r w:rsidRPr="00865D60">
        <w:rPr>
          <w:rFonts w:cs="Arial" w:hint="cs"/>
          <w:rtl/>
        </w:rPr>
        <w:t>.</w:t>
      </w:r>
      <w:r>
        <w:rPr>
          <w:rFonts w:hint="cs"/>
          <w:rtl/>
        </w:rPr>
        <w:t xml:space="preserve"> </w:t>
      </w:r>
      <w:r w:rsidR="005D650F">
        <w:rPr>
          <w:rFonts w:hint="cs"/>
          <w:rtl/>
        </w:rPr>
        <w:t xml:space="preserve">    </w:t>
      </w:r>
      <w:r>
        <w:rPr>
          <w:rFonts w:hint="cs"/>
          <w:rtl/>
        </w:rPr>
        <w:t xml:space="preserve">וכתב </w:t>
      </w:r>
      <w:r w:rsidRPr="005D650F">
        <w:rPr>
          <w:rFonts w:hint="cs"/>
          <w:b/>
          <w:bCs/>
          <w:rtl/>
        </w:rPr>
        <w:t>הדרכ"מ</w:t>
      </w:r>
      <w:r>
        <w:rPr>
          <w:rFonts w:hint="cs"/>
          <w:rtl/>
        </w:rPr>
        <w:t xml:space="preserve"> (אות </w:t>
      </w:r>
      <w:r w:rsidRPr="00343291">
        <w:rPr>
          <w:rFonts w:cs="Arial"/>
          <w:rtl/>
        </w:rPr>
        <w:t xml:space="preserve">יב) </w:t>
      </w:r>
      <w:r>
        <w:rPr>
          <w:rFonts w:cs="Arial" w:hint="cs"/>
          <w:rtl/>
        </w:rPr>
        <w:t>ד</w:t>
      </w:r>
      <w:r w:rsidRPr="00343291">
        <w:rPr>
          <w:rFonts w:cs="Arial"/>
          <w:rtl/>
        </w:rPr>
        <w:t xml:space="preserve">כן הוא </w:t>
      </w:r>
      <w:r>
        <w:rPr>
          <w:rFonts w:cs="Arial" w:hint="cs"/>
          <w:sz w:val="16"/>
          <w:szCs w:val="16"/>
          <w:rtl/>
        </w:rPr>
        <w:t>{שבנכסי צ"ב בטל מיד}</w:t>
      </w:r>
      <w:r>
        <w:rPr>
          <w:rFonts w:cs="Arial" w:hint="cs"/>
          <w:rtl/>
        </w:rPr>
        <w:t xml:space="preserve"> </w:t>
      </w:r>
      <w:r w:rsidRPr="00343291">
        <w:rPr>
          <w:rFonts w:cs="Arial"/>
          <w:rtl/>
        </w:rPr>
        <w:t xml:space="preserve">במרדכי </w:t>
      </w:r>
      <w:r>
        <w:rPr>
          <w:rFonts w:cs="Arial" w:hint="cs"/>
          <w:rtl/>
        </w:rPr>
        <w:t>(</w:t>
      </w:r>
      <w:r w:rsidRPr="00343291">
        <w:rPr>
          <w:rFonts w:cs="Arial"/>
          <w:rtl/>
        </w:rPr>
        <w:t>פרק חזקת סי' תקמה)</w:t>
      </w:r>
      <w:r>
        <w:rPr>
          <w:rFonts w:cs="Arial" w:hint="cs"/>
          <w:rtl/>
        </w:rPr>
        <w:t>,</w:t>
      </w:r>
      <w:r w:rsidRPr="00343291">
        <w:rPr>
          <w:rFonts w:cs="Arial"/>
          <w:rtl/>
        </w:rPr>
        <w:t xml:space="preserve"> וכ"כ נמוק</w:t>
      </w:r>
      <w:r>
        <w:rPr>
          <w:rFonts w:cs="Arial" w:hint="cs"/>
          <w:rtl/>
        </w:rPr>
        <w:t>"</w:t>
      </w:r>
      <w:r w:rsidRPr="00343291">
        <w:rPr>
          <w:rFonts w:cs="Arial"/>
          <w:rtl/>
        </w:rPr>
        <w:t xml:space="preserve">י </w:t>
      </w:r>
      <w:r>
        <w:rPr>
          <w:rFonts w:cs="Arial" w:hint="cs"/>
          <w:rtl/>
        </w:rPr>
        <w:t>(</w:t>
      </w:r>
      <w:r w:rsidRPr="00343291">
        <w:rPr>
          <w:rFonts w:cs="Arial"/>
          <w:rtl/>
        </w:rPr>
        <w:t>פ</w:t>
      </w:r>
      <w:r>
        <w:rPr>
          <w:rFonts w:cs="Arial" w:hint="cs"/>
          <w:rtl/>
        </w:rPr>
        <w:t>'</w:t>
      </w:r>
      <w:r w:rsidRPr="00343291">
        <w:rPr>
          <w:rFonts w:cs="Arial"/>
          <w:rtl/>
        </w:rPr>
        <w:t xml:space="preserve"> אלמנה לכ"ג שם)</w:t>
      </w:r>
      <w:r>
        <w:rPr>
          <w:rFonts w:cs="Arial" w:hint="cs"/>
          <w:rtl/>
        </w:rPr>
        <w:t>,</w:t>
      </w:r>
      <w:r w:rsidRPr="00343291">
        <w:rPr>
          <w:rFonts w:cs="Arial"/>
          <w:rtl/>
        </w:rPr>
        <w:t xml:space="preserve"> וכתב דאפילו לא מכר רק לפירות אפילו הכי המכר בטל מיד</w:t>
      </w:r>
      <w:r>
        <w:rPr>
          <w:rFonts w:cs="Arial" w:hint="cs"/>
          <w:rtl/>
        </w:rPr>
        <w:t>,</w:t>
      </w:r>
      <w:r w:rsidRPr="00343291">
        <w:rPr>
          <w:rFonts w:cs="Arial"/>
          <w:rtl/>
        </w:rPr>
        <w:t xml:space="preserve"> ועוד האריך שם</w:t>
      </w:r>
      <w:r>
        <w:rPr>
          <w:rFonts w:cs="Arial" w:hint="cs"/>
          <w:rtl/>
        </w:rPr>
        <w:t>.</w:t>
      </w:r>
      <w:r w:rsidRPr="00343291">
        <w:rPr>
          <w:rFonts w:cs="Arial"/>
          <w:rtl/>
        </w:rPr>
        <w:t xml:space="preserve"> ומדברי הר"ן </w:t>
      </w:r>
      <w:r>
        <w:rPr>
          <w:rFonts w:cs="Arial" w:hint="cs"/>
          <w:rtl/>
        </w:rPr>
        <w:t>(</w:t>
      </w:r>
      <w:r w:rsidRPr="00343291">
        <w:rPr>
          <w:rFonts w:cs="Arial"/>
          <w:rtl/>
        </w:rPr>
        <w:t>פ</w:t>
      </w:r>
      <w:r>
        <w:rPr>
          <w:rFonts w:cs="Arial" w:hint="cs"/>
          <w:rtl/>
        </w:rPr>
        <w:t>'</w:t>
      </w:r>
      <w:r w:rsidRPr="00343291">
        <w:rPr>
          <w:rFonts w:cs="Arial"/>
          <w:rtl/>
        </w:rPr>
        <w:t xml:space="preserve"> חזקת הבתים מט: ד"ה וכתב) נראה דחולק וס"ל דלפירות הוי מכור וע"ש</w:t>
      </w:r>
      <w:r>
        <w:rPr>
          <w:rFonts w:cs="Arial" w:hint="cs"/>
          <w:rtl/>
        </w:rPr>
        <w:t>.</w:t>
      </w:r>
      <w:r w:rsidRPr="00343291">
        <w:rPr>
          <w:rFonts w:cs="Arial"/>
          <w:rtl/>
        </w:rPr>
        <w:t xml:space="preserve"> והמ</w:t>
      </w:r>
      <w:r w:rsidR="005D650F">
        <w:rPr>
          <w:rFonts w:cs="Arial" w:hint="cs"/>
          <w:rtl/>
        </w:rPr>
        <w:t>"מ</w:t>
      </w:r>
      <w:r w:rsidRPr="00343291">
        <w:rPr>
          <w:rFonts w:cs="Arial"/>
          <w:rtl/>
        </w:rPr>
        <w:t xml:space="preserve"> </w:t>
      </w:r>
      <w:r>
        <w:rPr>
          <w:rFonts w:cs="Arial" w:hint="cs"/>
          <w:rtl/>
        </w:rPr>
        <w:t>(</w:t>
      </w:r>
      <w:r w:rsidRPr="00343291">
        <w:rPr>
          <w:rFonts w:cs="Arial"/>
          <w:rtl/>
        </w:rPr>
        <w:t>פ"ל מהל</w:t>
      </w:r>
      <w:r>
        <w:rPr>
          <w:rFonts w:cs="Arial" w:hint="cs"/>
          <w:rtl/>
        </w:rPr>
        <w:t>'</w:t>
      </w:r>
      <w:r w:rsidRPr="00343291">
        <w:rPr>
          <w:rFonts w:cs="Arial"/>
          <w:rtl/>
        </w:rPr>
        <w:t xml:space="preserve"> מכירה ה"ג) כתב בשם הרשב"א כדברי הר"ן</w:t>
      </w:r>
      <w:r>
        <w:rPr>
          <w:rFonts w:cs="Arial" w:hint="cs"/>
          <w:rtl/>
        </w:rPr>
        <w:t>.</w:t>
      </w:r>
      <w:r w:rsidRPr="00343291">
        <w:rPr>
          <w:rFonts w:cs="Arial"/>
          <w:rtl/>
        </w:rPr>
        <w:t xml:space="preserve"> וע"ל סימן פ"ה אם חל השעבוד של הבעל על המעות שהכניסה לו אשתו</w:t>
      </w:r>
      <w:r>
        <w:rPr>
          <w:rFonts w:cs="Arial" w:hint="cs"/>
          <w:rtl/>
        </w:rPr>
        <w:t>.</w:t>
      </w:r>
      <w:r w:rsidRPr="00343291">
        <w:rPr>
          <w:rFonts w:cs="Arial"/>
          <w:rtl/>
        </w:rPr>
        <w:t xml:space="preserve"> ולקמן סימן קי"ח בסופו (עמ' צג) אם חל השעבוד של בעל על קרקעות שהכניסה לו אשתו</w:t>
      </w:r>
      <w:r>
        <w:rPr>
          <w:rFonts w:cs="Arial" w:hint="cs"/>
          <w:rtl/>
        </w:rPr>
        <w:t xml:space="preserve"> </w:t>
      </w:r>
      <w:r w:rsidR="005D650F">
        <w:rPr>
          <w:rFonts w:cs="Arial" w:hint="cs"/>
          <w:sz w:val="16"/>
          <w:szCs w:val="16"/>
          <w:rtl/>
        </w:rPr>
        <w:t>[</w:t>
      </w:r>
      <w:r>
        <w:rPr>
          <w:rFonts w:cs="Arial" w:hint="cs"/>
          <w:sz w:val="16"/>
          <w:szCs w:val="16"/>
          <w:rtl/>
        </w:rPr>
        <w:t>עכ"ל הדרכ"מ</w:t>
      </w:r>
      <w:r w:rsidR="005D650F">
        <w:rPr>
          <w:rFonts w:cs="Arial" w:hint="cs"/>
          <w:sz w:val="16"/>
          <w:szCs w:val="16"/>
          <w:rtl/>
        </w:rPr>
        <w:t>]</w:t>
      </w:r>
      <w:r>
        <w:rPr>
          <w:rFonts w:cs="Arial" w:hint="cs"/>
          <w:rtl/>
        </w:rPr>
        <w:t>.</w:t>
      </w:r>
    </w:p>
  </w:footnote>
  <w:footnote w:id="1326">
    <w:p w14:paraId="399B47E0" w14:textId="4D8CDF93" w:rsidR="00DE2F5F" w:rsidRDefault="00DE2F5F">
      <w:pPr>
        <w:pStyle w:val="a5"/>
      </w:pPr>
      <w:r>
        <w:rPr>
          <w:rStyle w:val="a7"/>
        </w:rPr>
        <w:footnoteRef/>
      </w:r>
      <w:r>
        <w:rPr>
          <w:rtl/>
        </w:rPr>
        <w:t xml:space="preserve"> </w:t>
      </w:r>
      <w:r w:rsidRPr="0070672E">
        <w:rPr>
          <w:rFonts w:cs="Arial"/>
          <w:rtl/>
        </w:rPr>
        <w:t>הטעם הוא כשמכר</w:t>
      </w:r>
      <w:r>
        <w:rPr>
          <w:rFonts w:cs="Arial" w:hint="cs"/>
          <w:rtl/>
        </w:rPr>
        <w:t>ה</w:t>
      </w:r>
      <w:r w:rsidRPr="0070672E">
        <w:rPr>
          <w:rFonts w:cs="Arial"/>
          <w:rtl/>
        </w:rPr>
        <w:t xml:space="preserve"> לבעלה המכירה בטל משום די</w:t>
      </w:r>
      <w:r>
        <w:rPr>
          <w:rFonts w:cs="Arial" w:hint="cs"/>
          <w:rtl/>
        </w:rPr>
        <w:t xml:space="preserve">כולה </w:t>
      </w:r>
      <w:r w:rsidRPr="0070672E">
        <w:rPr>
          <w:rFonts w:cs="Arial"/>
          <w:rtl/>
        </w:rPr>
        <w:t>ל</w:t>
      </w:r>
      <w:r>
        <w:rPr>
          <w:rFonts w:cs="Arial" w:hint="cs"/>
          <w:rtl/>
        </w:rPr>
        <w:t>ומר</w:t>
      </w:r>
      <w:r w:rsidRPr="0070672E">
        <w:rPr>
          <w:rFonts w:cs="Arial"/>
          <w:rtl/>
        </w:rPr>
        <w:t xml:space="preserve"> נחת רוח עשיתי לבעלי</w:t>
      </w:r>
      <w:r>
        <w:rPr>
          <w:rFonts w:cs="Arial" w:hint="cs"/>
          <w:rtl/>
        </w:rPr>
        <w:t>.</w:t>
      </w:r>
      <w:r w:rsidRPr="0070672E">
        <w:rPr>
          <w:rFonts w:cs="Arial"/>
          <w:rtl/>
        </w:rPr>
        <w:t xml:space="preserve"> ואם מכרה לאחרים בטל המכר מטע</w:t>
      </w:r>
      <w:r>
        <w:rPr>
          <w:rFonts w:cs="Arial" w:hint="cs"/>
          <w:rtl/>
        </w:rPr>
        <w:t>ם</w:t>
      </w:r>
      <w:r w:rsidRPr="0070672E">
        <w:rPr>
          <w:rFonts w:cs="Arial"/>
          <w:rtl/>
        </w:rPr>
        <w:t xml:space="preserve"> דנצ"ב ברשות הבעל הם</w:t>
      </w:r>
      <w:r>
        <w:rPr>
          <w:rFonts w:cs="Arial" w:hint="cs"/>
          <w:rtl/>
        </w:rPr>
        <w:t>,</w:t>
      </w:r>
      <w:r w:rsidRPr="0070672E">
        <w:rPr>
          <w:rFonts w:cs="Arial"/>
          <w:rtl/>
        </w:rPr>
        <w:t xml:space="preserve"> לכן בטל המכיר</w:t>
      </w:r>
      <w:r>
        <w:rPr>
          <w:rFonts w:cs="Arial" w:hint="cs"/>
          <w:rtl/>
        </w:rPr>
        <w:t>ה</w:t>
      </w:r>
      <w:r w:rsidRPr="0070672E">
        <w:rPr>
          <w:rFonts w:cs="Arial"/>
          <w:rtl/>
        </w:rPr>
        <w:t xml:space="preserve"> אפילו גוף הקרקע יכול להוציא מהם לכ"ע</w:t>
      </w:r>
      <w:r>
        <w:rPr>
          <w:rFonts w:cs="Arial" w:hint="cs"/>
          <w:rtl/>
        </w:rPr>
        <w:t>,</w:t>
      </w:r>
      <w:r w:rsidRPr="0070672E">
        <w:rPr>
          <w:rFonts w:cs="Arial"/>
          <w:rtl/>
        </w:rPr>
        <w:t xml:space="preserve"> אע</w:t>
      </w:r>
      <w:r>
        <w:rPr>
          <w:rFonts w:cs="Arial" w:hint="cs"/>
          <w:rtl/>
        </w:rPr>
        <w:t>"</w:t>
      </w:r>
      <w:r w:rsidRPr="0070672E">
        <w:rPr>
          <w:rFonts w:cs="Arial"/>
          <w:rtl/>
        </w:rPr>
        <w:t>ג דהוא ג"כ אי</w:t>
      </w:r>
      <w:r>
        <w:rPr>
          <w:rFonts w:cs="Arial" w:hint="cs"/>
          <w:rtl/>
        </w:rPr>
        <w:t>נו יכול</w:t>
      </w:r>
      <w:r w:rsidRPr="0070672E">
        <w:rPr>
          <w:rFonts w:cs="Arial"/>
          <w:rtl/>
        </w:rPr>
        <w:t xml:space="preserve"> למכור נצ"ב</w:t>
      </w:r>
      <w:r>
        <w:rPr>
          <w:rFonts w:cs="Arial" w:hint="cs"/>
          <w:rtl/>
        </w:rPr>
        <w:t>,</w:t>
      </w:r>
      <w:r w:rsidRPr="0070672E">
        <w:rPr>
          <w:rFonts w:cs="Arial"/>
          <w:rtl/>
        </w:rPr>
        <w:t xml:space="preserve"> מ"מ גוף הקרקע של נצ"ב ברשות הבעל לכל דבר</w:t>
      </w:r>
      <w:r>
        <w:rPr>
          <w:rFonts w:cs="Arial" w:hint="cs"/>
          <w:rtl/>
        </w:rPr>
        <w:t>.</w:t>
      </w:r>
      <w:r w:rsidRPr="0070672E">
        <w:rPr>
          <w:rFonts w:cs="Arial"/>
          <w:rtl/>
        </w:rPr>
        <w:t xml:space="preserve"> וגוף הקרקע של נ"מ ברשות האשה</w:t>
      </w:r>
      <w:r>
        <w:rPr>
          <w:rFonts w:cs="Arial" w:hint="cs"/>
          <w:rtl/>
        </w:rPr>
        <w:t xml:space="preserve">, </w:t>
      </w:r>
      <w:r w:rsidRPr="0070672E">
        <w:rPr>
          <w:rFonts w:cs="Arial"/>
          <w:rtl/>
        </w:rPr>
        <w:t>והיא י</w:t>
      </w:r>
      <w:r>
        <w:rPr>
          <w:rFonts w:cs="Arial" w:hint="cs"/>
          <w:rtl/>
        </w:rPr>
        <w:t xml:space="preserve">כולה </w:t>
      </w:r>
      <w:r w:rsidRPr="0070672E">
        <w:rPr>
          <w:rFonts w:cs="Arial"/>
          <w:rtl/>
        </w:rPr>
        <w:t>ל</w:t>
      </w:r>
      <w:r>
        <w:rPr>
          <w:rFonts w:cs="Arial" w:hint="cs"/>
          <w:rtl/>
        </w:rPr>
        <w:t>ומר</w:t>
      </w:r>
      <w:r w:rsidRPr="0070672E">
        <w:rPr>
          <w:rFonts w:cs="Arial"/>
          <w:rtl/>
        </w:rPr>
        <w:t xml:space="preserve"> דא"י לבטל המכירה דחז"ל עשו התקנ</w:t>
      </w:r>
      <w:r>
        <w:rPr>
          <w:rFonts w:cs="Arial" w:hint="cs"/>
          <w:rtl/>
        </w:rPr>
        <w:t>ה</w:t>
      </w:r>
      <w:r w:rsidRPr="0070672E">
        <w:rPr>
          <w:rFonts w:cs="Arial"/>
          <w:rtl/>
        </w:rPr>
        <w:t xml:space="preserve"> לטובתה שיהי</w:t>
      </w:r>
      <w:r>
        <w:rPr>
          <w:rFonts w:cs="Arial" w:hint="cs"/>
          <w:rtl/>
        </w:rPr>
        <w:t>ו</w:t>
      </w:r>
      <w:r w:rsidRPr="0070672E">
        <w:rPr>
          <w:rFonts w:cs="Arial"/>
          <w:rtl/>
        </w:rPr>
        <w:t xml:space="preserve"> הנכסים שלה ביד הבעל ולא ביד אחר ואם איהו מכר</w:t>
      </w:r>
      <w:r>
        <w:rPr>
          <w:rFonts w:cs="Arial" w:hint="cs"/>
          <w:rtl/>
        </w:rPr>
        <w:t>ה</w:t>
      </w:r>
      <w:r w:rsidRPr="0070672E">
        <w:rPr>
          <w:rFonts w:cs="Arial"/>
          <w:rtl/>
        </w:rPr>
        <w:t xml:space="preserve"> ואינה רוצה בתקנת חז"ל איהי אפסדא אנפשה כ"כ בפרישה</w:t>
      </w:r>
      <w:r>
        <w:rPr>
          <w:rFonts w:cs="Arial" w:hint="cs"/>
          <w:rtl/>
        </w:rPr>
        <w:t>, ב"ש (סקמ"ה).</w:t>
      </w:r>
    </w:p>
  </w:footnote>
  <w:footnote w:id="1327">
    <w:p w14:paraId="760AA41B" w14:textId="1E1122AC" w:rsidR="00DE2F5F" w:rsidRDefault="00DE2F5F">
      <w:pPr>
        <w:pStyle w:val="a5"/>
      </w:pPr>
      <w:r>
        <w:rPr>
          <w:rStyle w:val="a7"/>
        </w:rPr>
        <w:footnoteRef/>
      </w:r>
      <w:r>
        <w:rPr>
          <w:rtl/>
        </w:rPr>
        <w:t xml:space="preserve"> </w:t>
      </w:r>
      <w:r w:rsidRPr="00705CD0">
        <w:rPr>
          <w:rFonts w:cs="Arial"/>
          <w:rtl/>
        </w:rPr>
        <w:t>כאן כתב בשם ויש אומרים דין זה משום דגוף הקרקע של נצ"ב בחזקת הבעל</w:t>
      </w:r>
      <w:r>
        <w:rPr>
          <w:rFonts w:cs="Arial" w:hint="cs"/>
          <w:rtl/>
        </w:rPr>
        <w:t>,</w:t>
      </w:r>
      <w:r w:rsidRPr="00705CD0">
        <w:rPr>
          <w:rFonts w:cs="Arial"/>
          <w:rtl/>
        </w:rPr>
        <w:t xml:space="preserve"> משא"כ בנ"מ לכ"ע מכירתה קיימת אחר מיתתו</w:t>
      </w:r>
      <w:r>
        <w:rPr>
          <w:rFonts w:cs="Arial" w:hint="cs"/>
          <w:rtl/>
        </w:rPr>
        <w:t>,</w:t>
      </w:r>
      <w:r w:rsidRPr="00705CD0">
        <w:rPr>
          <w:rFonts w:cs="Arial"/>
          <w:rtl/>
        </w:rPr>
        <w:t xml:space="preserve"> והיינו לדעת הרב רמ"א</w:t>
      </w:r>
      <w:r>
        <w:rPr>
          <w:rFonts w:cs="Arial" w:hint="cs"/>
          <w:rtl/>
        </w:rPr>
        <w:t>.</w:t>
      </w:r>
      <w:r w:rsidRPr="00705CD0">
        <w:rPr>
          <w:rFonts w:cs="Arial"/>
          <w:rtl/>
        </w:rPr>
        <w:t xml:space="preserve"> מיהו למ"ש בסמוך נראה בין בנ"מ ובין בנצ"ב המכר בטל</w:t>
      </w:r>
      <w:r>
        <w:rPr>
          <w:rFonts w:cs="Arial" w:hint="cs"/>
          <w:rtl/>
        </w:rPr>
        <w:t>,</w:t>
      </w:r>
      <w:r w:rsidRPr="00705CD0">
        <w:rPr>
          <w:rFonts w:cs="Arial"/>
          <w:rtl/>
        </w:rPr>
        <w:t xml:space="preserve"> כיון דא"י למכור מהיום</w:t>
      </w:r>
      <w:r>
        <w:rPr>
          <w:rFonts w:cs="Arial" w:hint="cs"/>
          <w:rtl/>
        </w:rPr>
        <w:t>.</w:t>
      </w:r>
      <w:r w:rsidRPr="00705CD0">
        <w:rPr>
          <w:rFonts w:cs="Arial"/>
          <w:rtl/>
        </w:rPr>
        <w:t xml:space="preserve"> והנ</w:t>
      </w:r>
      <w:r>
        <w:rPr>
          <w:rFonts w:cs="Arial" w:hint="cs"/>
          <w:rtl/>
        </w:rPr>
        <w:t>מוק</w:t>
      </w:r>
      <w:r w:rsidRPr="00705CD0">
        <w:rPr>
          <w:rFonts w:cs="Arial"/>
          <w:rtl/>
        </w:rPr>
        <w:t>"י לא כתב דין זה אלא אם מכרה הקרקע של נצ"ב בטובת הנאה</w:t>
      </w:r>
      <w:r>
        <w:rPr>
          <w:rFonts w:cs="Arial" w:hint="cs"/>
          <w:rtl/>
        </w:rPr>
        <w:t>,</w:t>
      </w:r>
      <w:r w:rsidRPr="00705CD0">
        <w:rPr>
          <w:rFonts w:cs="Arial"/>
          <w:rtl/>
        </w:rPr>
        <w:t xml:space="preserve"> דזאת בידה</w:t>
      </w:r>
      <w:r>
        <w:rPr>
          <w:rFonts w:cs="Arial" w:hint="cs"/>
          <w:rtl/>
        </w:rPr>
        <w:t>,</w:t>
      </w:r>
      <w:r w:rsidRPr="00705CD0">
        <w:rPr>
          <w:rFonts w:cs="Arial"/>
          <w:rtl/>
        </w:rPr>
        <w:t xml:space="preserve"> מ</w:t>
      </w:r>
      <w:r>
        <w:rPr>
          <w:rFonts w:cs="Arial" w:hint="cs"/>
          <w:rtl/>
        </w:rPr>
        <w:t xml:space="preserve">שום </w:t>
      </w:r>
      <w:r w:rsidRPr="00705CD0">
        <w:rPr>
          <w:rFonts w:cs="Arial"/>
          <w:rtl/>
        </w:rPr>
        <w:t>ה</w:t>
      </w:r>
      <w:r>
        <w:rPr>
          <w:rFonts w:cs="Arial" w:hint="cs"/>
          <w:rtl/>
        </w:rPr>
        <w:t>כי</w:t>
      </w:r>
      <w:r w:rsidRPr="00705CD0">
        <w:rPr>
          <w:rFonts w:cs="Arial"/>
          <w:rtl/>
        </w:rPr>
        <w:t xml:space="preserve"> מכירת</w:t>
      </w:r>
      <w:r>
        <w:rPr>
          <w:rFonts w:cs="Arial" w:hint="cs"/>
          <w:rtl/>
        </w:rPr>
        <w:t>ה</w:t>
      </w:r>
      <w:r w:rsidRPr="00705CD0">
        <w:rPr>
          <w:rFonts w:cs="Arial"/>
          <w:rtl/>
        </w:rPr>
        <w:t xml:space="preserve"> קיימת</w:t>
      </w:r>
      <w:r>
        <w:rPr>
          <w:rFonts w:cs="Arial" w:hint="cs"/>
          <w:rtl/>
        </w:rPr>
        <w:t>.</w:t>
      </w:r>
      <w:r w:rsidRPr="00705CD0">
        <w:rPr>
          <w:rFonts w:cs="Arial"/>
          <w:rtl/>
        </w:rPr>
        <w:t xml:space="preserve"> אבל אם מכרה מהיום דא"י למכור</w:t>
      </w:r>
      <w:r>
        <w:rPr>
          <w:rFonts w:cs="Arial" w:hint="cs"/>
          <w:rtl/>
        </w:rPr>
        <w:t>,</w:t>
      </w:r>
      <w:r w:rsidRPr="00705CD0">
        <w:rPr>
          <w:rFonts w:cs="Arial"/>
          <w:rtl/>
        </w:rPr>
        <w:t xml:space="preserve"> י"ל בטל לגמרי אף אחר מיתתו אין חוזר וניער</w:t>
      </w:r>
      <w:r>
        <w:rPr>
          <w:rFonts w:cs="Arial" w:hint="cs"/>
          <w:rtl/>
        </w:rPr>
        <w:t xml:space="preserve">, </w:t>
      </w:r>
      <w:r w:rsidRPr="00175735">
        <w:rPr>
          <w:rFonts w:cs="Arial" w:hint="cs"/>
          <w:b/>
          <w:bCs/>
          <w:rtl/>
        </w:rPr>
        <w:t>ב"ש</w:t>
      </w:r>
      <w:r>
        <w:rPr>
          <w:rFonts w:cs="Arial" w:hint="cs"/>
          <w:rtl/>
        </w:rPr>
        <w:t xml:space="preserve"> (סקמ"ו).</w:t>
      </w:r>
      <w:r w:rsidR="00175735">
        <w:rPr>
          <w:rFonts w:cs="Arial" w:hint="cs"/>
          <w:rtl/>
        </w:rPr>
        <w:t xml:space="preserve">    </w:t>
      </w:r>
      <w:r w:rsidRPr="00705CD0">
        <w:rPr>
          <w:rFonts w:cs="Arial"/>
          <w:rtl/>
        </w:rPr>
        <w:t xml:space="preserve"> </w:t>
      </w:r>
      <w:r>
        <w:rPr>
          <w:rFonts w:cs="Arial" w:hint="cs"/>
          <w:rtl/>
        </w:rPr>
        <w:t>ו</w:t>
      </w:r>
      <w:r w:rsidRPr="001315E7">
        <w:rPr>
          <w:rFonts w:cs="Arial"/>
          <w:rtl/>
        </w:rPr>
        <w:t xml:space="preserve">כבר כתבתי שכן כתבו הפוסקים </w:t>
      </w:r>
      <w:r>
        <w:rPr>
          <w:rFonts w:cs="Arial" w:hint="cs"/>
          <w:rtl/>
        </w:rPr>
        <w:t xml:space="preserve">(חו"מ סי' תכד) </w:t>
      </w:r>
      <w:r w:rsidRPr="001315E7">
        <w:rPr>
          <w:rFonts w:cs="Arial"/>
          <w:rtl/>
        </w:rPr>
        <w:t>באשה שחבלה באחרים שצריכה למכור בטובת הנאה נצ"ב או נכסי מלוג שלה ולכשתתאלמן או תתגרש מכרה קיים</w:t>
      </w:r>
      <w:r>
        <w:rPr>
          <w:rFonts w:cs="Arial" w:hint="cs"/>
          <w:rtl/>
        </w:rPr>
        <w:t xml:space="preserve">, </w:t>
      </w:r>
      <w:r w:rsidRPr="00175735">
        <w:rPr>
          <w:rFonts w:cs="Arial" w:hint="cs"/>
          <w:b/>
          <w:bCs/>
          <w:rtl/>
        </w:rPr>
        <w:t>ח"מ</w:t>
      </w:r>
      <w:r>
        <w:rPr>
          <w:rFonts w:cs="Arial" w:hint="cs"/>
          <w:rtl/>
        </w:rPr>
        <w:t xml:space="preserve"> (סקמ"א).</w:t>
      </w:r>
    </w:p>
  </w:footnote>
  <w:footnote w:id="1328">
    <w:p w14:paraId="2F343808" w14:textId="77777777" w:rsidR="00DE2F5F" w:rsidRDefault="00DE2F5F" w:rsidP="007A5A15">
      <w:pPr>
        <w:pStyle w:val="a5"/>
      </w:pPr>
      <w:r>
        <w:rPr>
          <w:rStyle w:val="a7"/>
        </w:rPr>
        <w:footnoteRef/>
      </w:r>
      <w:r>
        <w:rPr>
          <w:rtl/>
        </w:rPr>
        <w:t xml:space="preserve"> </w:t>
      </w:r>
      <w:r w:rsidRPr="00917D08">
        <w:rPr>
          <w:rFonts w:cs="Arial"/>
          <w:rtl/>
        </w:rPr>
        <w:t>במכירת הבעל בנצ"ב נחלקו הפוסקים אם בטל מיד או נאמר דמאחר דהגוף שלו א"כ מכרו קיים עד שעת טירפ' וזה דעת רי"ף ור"י כמבואר בטור</w:t>
      </w:r>
      <w:r>
        <w:rPr>
          <w:rFonts w:cs="Arial" w:hint="cs"/>
          <w:rtl/>
        </w:rPr>
        <w:t>,</w:t>
      </w:r>
      <w:r w:rsidRPr="00917D08">
        <w:rPr>
          <w:rFonts w:cs="Arial"/>
          <w:rtl/>
        </w:rPr>
        <w:t xml:space="preserve"> וע' בב"ח</w:t>
      </w:r>
      <w:r>
        <w:rPr>
          <w:rFonts w:cs="Arial" w:hint="cs"/>
          <w:rtl/>
        </w:rPr>
        <w:t>.</w:t>
      </w:r>
      <w:r w:rsidRPr="00917D08">
        <w:rPr>
          <w:rFonts w:cs="Arial"/>
          <w:rtl/>
        </w:rPr>
        <w:t xml:space="preserve"> ונראה דע"כ לא פליגי הפוסקים אלא במכר הבעל גוף ופירות</w:t>
      </w:r>
      <w:r>
        <w:rPr>
          <w:rFonts w:cs="Arial" w:hint="cs"/>
          <w:rtl/>
        </w:rPr>
        <w:t>,</w:t>
      </w:r>
      <w:r w:rsidRPr="00917D08">
        <w:rPr>
          <w:rFonts w:cs="Arial"/>
          <w:rtl/>
        </w:rPr>
        <w:t xml:space="preserve"> וכמ"ש המ"מ בשם הרשב"א </w:t>
      </w:r>
      <w:r>
        <w:rPr>
          <w:rFonts w:cs="Arial" w:hint="cs"/>
          <w:rtl/>
        </w:rPr>
        <w:t>(</w:t>
      </w:r>
      <w:r w:rsidRPr="00917D08">
        <w:rPr>
          <w:rFonts w:cs="Arial"/>
          <w:rtl/>
        </w:rPr>
        <w:t>פ</w:t>
      </w:r>
      <w:r>
        <w:rPr>
          <w:rFonts w:cs="Arial" w:hint="cs"/>
          <w:rtl/>
        </w:rPr>
        <w:t>"</w:t>
      </w:r>
      <w:r w:rsidRPr="00917D08">
        <w:rPr>
          <w:rFonts w:cs="Arial"/>
          <w:rtl/>
        </w:rPr>
        <w:t>ל ממכירה</w:t>
      </w:r>
      <w:r>
        <w:rPr>
          <w:rFonts w:cs="Arial" w:hint="cs"/>
          <w:rtl/>
        </w:rPr>
        <w:t>),</w:t>
      </w:r>
      <w:r w:rsidRPr="00917D08">
        <w:rPr>
          <w:rFonts w:cs="Arial"/>
          <w:rtl/>
        </w:rPr>
        <w:t xml:space="preserve"> אבל אם הבעל מוכר הפירות מיד והגוף לכשתמות אשתו נראה דהמקח קיים</w:t>
      </w:r>
      <w:r>
        <w:rPr>
          <w:rFonts w:cs="Arial" w:hint="cs"/>
          <w:rtl/>
        </w:rPr>
        <w:t xml:space="preserve"> </w:t>
      </w:r>
      <w:r w:rsidRPr="0067324A">
        <w:rPr>
          <w:rFonts w:cs="Arial" w:hint="cs"/>
          <w:sz w:val="16"/>
          <w:szCs w:val="16"/>
          <w:rtl/>
        </w:rPr>
        <w:t>{</w:t>
      </w:r>
      <w:r w:rsidRPr="0067324A">
        <w:rPr>
          <w:rFonts w:cs="Arial"/>
          <w:sz w:val="16"/>
          <w:szCs w:val="16"/>
          <w:rtl/>
        </w:rPr>
        <w:t>בין בצ"ב בין בנ"מ</w:t>
      </w:r>
      <w:r>
        <w:rPr>
          <w:rFonts w:cs="Arial" w:hint="cs"/>
          <w:sz w:val="16"/>
          <w:szCs w:val="16"/>
          <w:rtl/>
        </w:rPr>
        <w:t>, ח"מ סקמ"ג)</w:t>
      </w:r>
      <w:r w:rsidRPr="0067324A">
        <w:rPr>
          <w:rFonts w:cs="Arial" w:hint="cs"/>
          <w:sz w:val="16"/>
          <w:szCs w:val="16"/>
          <w:rtl/>
        </w:rPr>
        <w:t>}</w:t>
      </w:r>
      <w:r>
        <w:rPr>
          <w:rFonts w:cs="Arial" w:hint="cs"/>
          <w:rtl/>
        </w:rPr>
        <w:t>,</w:t>
      </w:r>
      <w:r w:rsidRPr="00917D08">
        <w:rPr>
          <w:rFonts w:cs="Arial"/>
          <w:rtl/>
        </w:rPr>
        <w:t xml:space="preserve"> דומה למה שנתבאר האומר שדה זו שאירש מאבא וכו'</w:t>
      </w:r>
      <w:r>
        <w:rPr>
          <w:rFonts w:cs="Arial" w:hint="cs"/>
          <w:rtl/>
        </w:rPr>
        <w:t>, ח"מ (סקמ"ב).</w:t>
      </w:r>
    </w:p>
  </w:footnote>
  <w:footnote w:id="1329">
    <w:p w14:paraId="68082037" w14:textId="69097689" w:rsidR="00DE2F5F" w:rsidRDefault="00DE2F5F">
      <w:pPr>
        <w:pStyle w:val="a5"/>
        <w:rPr>
          <w:rtl/>
        </w:rPr>
      </w:pPr>
      <w:r>
        <w:rPr>
          <w:rStyle w:val="a7"/>
        </w:rPr>
        <w:footnoteRef/>
      </w:r>
      <w:r>
        <w:rPr>
          <w:rtl/>
        </w:rPr>
        <w:t xml:space="preserve"> </w:t>
      </w:r>
      <w:r w:rsidRPr="007A5A15">
        <w:rPr>
          <w:rFonts w:cs="Arial"/>
          <w:rtl/>
        </w:rPr>
        <w:t xml:space="preserve">כתב הראנ"ח </w:t>
      </w:r>
      <w:r>
        <w:rPr>
          <w:rFonts w:cs="Arial" w:hint="cs"/>
          <w:rtl/>
        </w:rPr>
        <w:t>(</w:t>
      </w:r>
      <w:r w:rsidRPr="007A5A15">
        <w:rPr>
          <w:rFonts w:cs="Arial"/>
          <w:rtl/>
        </w:rPr>
        <w:t>ח"א סי</w:t>
      </w:r>
      <w:r>
        <w:rPr>
          <w:rFonts w:cs="Arial" w:hint="cs"/>
          <w:rtl/>
        </w:rPr>
        <w:t>'</w:t>
      </w:r>
      <w:r w:rsidRPr="007A5A15">
        <w:rPr>
          <w:rFonts w:cs="Arial"/>
          <w:rtl/>
        </w:rPr>
        <w:t xml:space="preserve"> צה</w:t>
      </w:r>
      <w:r>
        <w:rPr>
          <w:rFonts w:cs="Arial" w:hint="cs"/>
          <w:rtl/>
        </w:rPr>
        <w:t>)</w:t>
      </w:r>
      <w:r w:rsidRPr="007A5A15">
        <w:rPr>
          <w:rFonts w:cs="Arial"/>
          <w:rtl/>
        </w:rPr>
        <w:t xml:space="preserve"> דאפילו היא מרוצה במכר אלא שאינה רוצה למכור לראובן אלא לשמעון המכר בטל ע"ש. וכשם שאינו יוכל למכור כך אינו יוכל לשעבד וכן להקדיש הרמ"ט </w:t>
      </w:r>
      <w:r>
        <w:rPr>
          <w:rFonts w:cs="Arial" w:hint="cs"/>
          <w:rtl/>
        </w:rPr>
        <w:t>(</w:t>
      </w:r>
      <w:r w:rsidRPr="007A5A15">
        <w:rPr>
          <w:rFonts w:cs="Arial"/>
          <w:rtl/>
        </w:rPr>
        <w:t>ח"א סי</w:t>
      </w:r>
      <w:r>
        <w:rPr>
          <w:rFonts w:cs="Arial" w:hint="cs"/>
          <w:rtl/>
        </w:rPr>
        <w:t>'</w:t>
      </w:r>
      <w:r w:rsidRPr="007A5A15">
        <w:rPr>
          <w:rFonts w:cs="Arial"/>
          <w:rtl/>
        </w:rPr>
        <w:t xml:space="preserve"> שיט</w:t>
      </w:r>
      <w:r>
        <w:rPr>
          <w:rFonts w:cs="Arial" w:hint="cs"/>
          <w:rtl/>
        </w:rPr>
        <w:t>,</w:t>
      </w:r>
      <w:r w:rsidRPr="007A5A15">
        <w:rPr>
          <w:rFonts w:cs="Arial"/>
          <w:rtl/>
        </w:rPr>
        <w:t xml:space="preserve"> וסי</w:t>
      </w:r>
      <w:r>
        <w:rPr>
          <w:rFonts w:cs="Arial" w:hint="cs"/>
          <w:rtl/>
        </w:rPr>
        <w:t>'</w:t>
      </w:r>
      <w:r w:rsidRPr="007A5A15">
        <w:rPr>
          <w:rFonts w:cs="Arial"/>
          <w:rtl/>
        </w:rPr>
        <w:t xml:space="preserve"> רעד</w:t>
      </w:r>
      <w:r>
        <w:rPr>
          <w:rFonts w:cs="Arial" w:hint="cs"/>
          <w:rtl/>
        </w:rPr>
        <w:t>)</w:t>
      </w:r>
      <w:r w:rsidRPr="007A5A15">
        <w:rPr>
          <w:rFonts w:cs="Arial"/>
          <w:rtl/>
        </w:rPr>
        <w:t xml:space="preserve">. אם מתיראין משוד או מגלות אין לה לעכב במכירתם ואם מעכבת במכירתם יוכל לומר תפטרי אותי מאחריותם תשובת הגאונים </w:t>
      </w:r>
      <w:r>
        <w:rPr>
          <w:rFonts w:cs="Arial" w:hint="cs"/>
          <w:rtl/>
        </w:rPr>
        <w:t>(</w:t>
      </w:r>
      <w:r w:rsidRPr="007A5A15">
        <w:rPr>
          <w:rFonts w:cs="Arial"/>
          <w:rtl/>
        </w:rPr>
        <w:t>סי</w:t>
      </w:r>
      <w:r>
        <w:rPr>
          <w:rFonts w:cs="Arial" w:hint="cs"/>
          <w:rtl/>
        </w:rPr>
        <w:t>'</w:t>
      </w:r>
      <w:r w:rsidRPr="007A5A15">
        <w:rPr>
          <w:rFonts w:cs="Arial"/>
          <w:rtl/>
        </w:rPr>
        <w:t xml:space="preserve"> רעח</w:t>
      </w:r>
      <w:r>
        <w:rPr>
          <w:rFonts w:cs="Arial" w:hint="cs"/>
          <w:rtl/>
        </w:rPr>
        <w:t>)</w:t>
      </w:r>
      <w:r>
        <w:rPr>
          <w:rFonts w:hint="cs"/>
          <w:rtl/>
        </w:rPr>
        <w:t>, באה"ט (סקכ"ט).</w:t>
      </w:r>
    </w:p>
  </w:footnote>
  <w:footnote w:id="1330">
    <w:p w14:paraId="548E46C2" w14:textId="15B3D941" w:rsidR="00DE2F5F" w:rsidRDefault="00DE2F5F">
      <w:pPr>
        <w:pStyle w:val="a5"/>
      </w:pPr>
      <w:r>
        <w:rPr>
          <w:rStyle w:val="a7"/>
        </w:rPr>
        <w:footnoteRef/>
      </w:r>
      <w:r>
        <w:rPr>
          <w:rtl/>
        </w:rPr>
        <w:t xml:space="preserve"> </w:t>
      </w:r>
      <w:r w:rsidRPr="0070672E">
        <w:rPr>
          <w:rFonts w:cs="Arial"/>
          <w:rtl/>
        </w:rPr>
        <w:t>זה לא קאי לדעת היש מי שאומר שהוא דעת ר"ת דס"ל דהמקח בטל מיד דמהי תיתי שיחזור וינעור בשעת מיתתה (ל' חוזר וניעור והוא ל' הרשב"א בתשו' הביאו הב"י סי' זה סקי"ב)</w:t>
      </w:r>
      <w:r w:rsidR="00BF6EA9">
        <w:rPr>
          <w:rFonts w:cs="Arial" w:hint="cs"/>
          <w:rtl/>
        </w:rPr>
        <w:t>,</w:t>
      </w:r>
      <w:r w:rsidRPr="0070672E">
        <w:rPr>
          <w:rFonts w:cs="Arial"/>
          <w:rtl/>
        </w:rPr>
        <w:t xml:space="preserve"> אלא קאי לדעה הראשונה דאין המקח בטל מיד רק האשה יכולה לבטלו אם תרצה ואם שתקה ומתה הבעל יורש כחה ויכול לבטלו</w:t>
      </w:r>
      <w:r w:rsidR="00BF6EA9">
        <w:rPr>
          <w:rFonts w:cs="Arial" w:hint="cs"/>
          <w:rtl/>
        </w:rPr>
        <w:t>,</w:t>
      </w:r>
      <w:r w:rsidRPr="0070672E">
        <w:rPr>
          <w:rFonts w:cs="Arial"/>
          <w:rtl/>
        </w:rPr>
        <w:t xml:space="preserve"> וזה דעת רש"י</w:t>
      </w:r>
      <w:r>
        <w:rPr>
          <w:rFonts w:cs="Arial" w:hint="cs"/>
          <w:rtl/>
        </w:rPr>
        <w:t>, ח"מ (סקמ"ד).</w:t>
      </w:r>
    </w:p>
  </w:footnote>
  <w:footnote w:id="1331">
    <w:p w14:paraId="1A87E1DE" w14:textId="77777777" w:rsidR="00ED2C84" w:rsidRDefault="00ED2C84" w:rsidP="00ED2C84">
      <w:pPr>
        <w:pStyle w:val="a5"/>
      </w:pPr>
      <w:r>
        <w:rPr>
          <w:rStyle w:val="a7"/>
        </w:rPr>
        <w:footnoteRef/>
      </w:r>
      <w:r>
        <w:rPr>
          <w:rtl/>
        </w:rPr>
        <w:t xml:space="preserve"> </w:t>
      </w:r>
      <w:r w:rsidRPr="006B10A0">
        <w:rPr>
          <w:rFonts w:cs="Arial"/>
          <w:rtl/>
        </w:rPr>
        <w:t>נכסי צאן ברזל, הנישומים בכתובתה</w:t>
      </w:r>
      <w:r>
        <w:rPr>
          <w:rFonts w:cs="Arial" w:hint="cs"/>
          <w:rtl/>
        </w:rPr>
        <w:t>.</w:t>
      </w:r>
    </w:p>
  </w:footnote>
  <w:footnote w:id="1332">
    <w:p w14:paraId="69F0B712" w14:textId="77777777" w:rsidR="00ED2C84" w:rsidRDefault="00ED2C84" w:rsidP="00ED2C84">
      <w:pPr>
        <w:pStyle w:val="a5"/>
      </w:pPr>
      <w:r>
        <w:rPr>
          <w:rStyle w:val="a7"/>
        </w:rPr>
        <w:footnoteRef/>
      </w:r>
      <w:r>
        <w:rPr>
          <w:rtl/>
        </w:rPr>
        <w:t xml:space="preserve"> </w:t>
      </w:r>
      <w:r w:rsidRPr="00F73BB0">
        <w:rPr>
          <w:rFonts w:cs="Arial"/>
          <w:rtl/>
        </w:rPr>
        <w:t>שאם יגרשנה תטול כליה</w:t>
      </w:r>
      <w:r>
        <w:rPr>
          <w:rFonts w:cs="Arial" w:hint="cs"/>
          <w:rtl/>
        </w:rPr>
        <w:t>, רש"י.</w:t>
      </w:r>
    </w:p>
  </w:footnote>
  <w:footnote w:id="1333">
    <w:p w14:paraId="52AC1AEF" w14:textId="77777777" w:rsidR="00ED2C84" w:rsidRPr="00B816B4" w:rsidRDefault="00ED2C84" w:rsidP="00ED2C84">
      <w:pPr>
        <w:pStyle w:val="a5"/>
        <w:rPr>
          <w:rtl/>
        </w:rPr>
      </w:pPr>
      <w:r w:rsidRPr="00B816B4">
        <w:rPr>
          <w:rStyle w:val="a7"/>
        </w:rPr>
        <w:footnoteRef/>
      </w:r>
      <w:r w:rsidRPr="00B816B4">
        <w:rPr>
          <w:rtl/>
        </w:rPr>
        <w:t xml:space="preserve"> </w:t>
      </w:r>
      <w:r w:rsidRPr="00B816B4">
        <w:rPr>
          <w:rFonts w:cs="Arial"/>
          <w:rtl/>
        </w:rPr>
        <w:t>אמדו חכמים דעתו של מקדיש שרצונו להקנות לאשתו ובניו כסותם, וכיון שגמר בדעתו באופן ברור להקנות, מועילה מחשבתו והרי זה קנוי להם אף שלא עשו מעשה קנין, ואין ההקדש חל עליהם</w:t>
      </w:r>
      <w:r w:rsidRPr="00B816B4">
        <w:rPr>
          <w:rFonts w:hint="cs"/>
          <w:rtl/>
        </w:rPr>
        <w:t xml:space="preserve"> (פירוש חברותא).</w:t>
      </w:r>
    </w:p>
  </w:footnote>
  <w:footnote w:id="1334">
    <w:p w14:paraId="715A0BA9" w14:textId="6BA4CA68" w:rsidR="00DE2F5F" w:rsidRDefault="00DE2F5F">
      <w:pPr>
        <w:pStyle w:val="a5"/>
      </w:pPr>
      <w:r>
        <w:rPr>
          <w:rStyle w:val="a7"/>
        </w:rPr>
        <w:footnoteRef/>
      </w:r>
      <w:r>
        <w:rPr>
          <w:rtl/>
        </w:rPr>
        <w:t xml:space="preserve"> </w:t>
      </w:r>
      <w:r>
        <w:rPr>
          <w:rFonts w:cs="Arial" w:hint="cs"/>
          <w:rtl/>
        </w:rPr>
        <w:t xml:space="preserve">ואם מכרן - </w:t>
      </w:r>
      <w:r>
        <w:rPr>
          <w:rFonts w:cs="Arial"/>
          <w:rtl/>
        </w:rPr>
        <w:t>המכר בטל</w:t>
      </w:r>
      <w:r>
        <w:rPr>
          <w:rFonts w:cs="Arial" w:hint="cs"/>
          <w:rtl/>
        </w:rPr>
        <w:t xml:space="preserve">, </w:t>
      </w:r>
      <w:r>
        <w:rPr>
          <w:rFonts w:cs="Arial"/>
          <w:rtl/>
        </w:rPr>
        <w:t xml:space="preserve">רמב"ן </w:t>
      </w:r>
      <w:r w:rsidRPr="00E777AD">
        <w:rPr>
          <w:rFonts w:cs="Arial"/>
          <w:sz w:val="16"/>
          <w:szCs w:val="16"/>
          <w:rtl/>
        </w:rPr>
        <w:t>(יבמות שם סוד"ה מכרו)</w:t>
      </w:r>
      <w:r w:rsidRPr="00E777AD">
        <w:rPr>
          <w:rFonts w:cs="Arial" w:hint="cs"/>
          <w:sz w:val="16"/>
          <w:szCs w:val="16"/>
          <w:rtl/>
        </w:rPr>
        <w:t xml:space="preserve"> </w:t>
      </w:r>
      <w:r>
        <w:rPr>
          <w:rFonts w:cs="Arial" w:hint="cs"/>
          <w:rtl/>
        </w:rPr>
        <w:t>ו</w:t>
      </w:r>
      <w:r>
        <w:rPr>
          <w:rFonts w:cs="Arial"/>
          <w:rtl/>
        </w:rPr>
        <w:t xml:space="preserve">רשב"א </w:t>
      </w:r>
      <w:r w:rsidRPr="00E777AD">
        <w:rPr>
          <w:rFonts w:cs="Arial"/>
          <w:sz w:val="16"/>
          <w:szCs w:val="16"/>
          <w:rtl/>
        </w:rPr>
        <w:t>(יבמות סו: סוד"ה מכרו שניהם)</w:t>
      </w:r>
      <w:r>
        <w:rPr>
          <w:rFonts w:cs="Arial" w:hint="cs"/>
          <w:rtl/>
        </w:rPr>
        <w:t>.</w:t>
      </w:r>
      <w:r w:rsidRPr="00763570">
        <w:rPr>
          <w:rFonts w:cs="Arial"/>
          <w:rtl/>
        </w:rPr>
        <w:t xml:space="preserve"> </w:t>
      </w:r>
      <w:r>
        <w:rPr>
          <w:rFonts w:cs="Arial" w:hint="cs"/>
          <w:rtl/>
        </w:rPr>
        <w:t>וכן דעת ה</w:t>
      </w:r>
      <w:r>
        <w:rPr>
          <w:rFonts w:cs="Arial"/>
          <w:rtl/>
        </w:rPr>
        <w:t xml:space="preserve">ריב"ש </w:t>
      </w:r>
      <w:r w:rsidRPr="0070305D">
        <w:rPr>
          <w:rFonts w:cs="Arial" w:hint="cs"/>
          <w:sz w:val="16"/>
          <w:szCs w:val="16"/>
          <w:rtl/>
        </w:rPr>
        <w:t>(</w:t>
      </w:r>
      <w:r w:rsidRPr="0070305D">
        <w:rPr>
          <w:rFonts w:cs="Arial"/>
          <w:sz w:val="16"/>
          <w:szCs w:val="16"/>
          <w:rtl/>
        </w:rPr>
        <w:t>סי</w:t>
      </w:r>
      <w:r w:rsidRPr="0070305D">
        <w:rPr>
          <w:rFonts w:cs="Arial" w:hint="cs"/>
          <w:sz w:val="16"/>
          <w:szCs w:val="16"/>
          <w:rtl/>
        </w:rPr>
        <w:t>'</w:t>
      </w:r>
      <w:r w:rsidRPr="0070305D">
        <w:rPr>
          <w:rFonts w:cs="Arial"/>
          <w:sz w:val="16"/>
          <w:szCs w:val="16"/>
          <w:rtl/>
        </w:rPr>
        <w:t xml:space="preserve"> כב</w:t>
      </w:r>
      <w:r w:rsidRPr="0070305D">
        <w:rPr>
          <w:rFonts w:cs="Arial" w:hint="cs"/>
          <w:sz w:val="16"/>
          <w:szCs w:val="16"/>
          <w:rtl/>
        </w:rPr>
        <w:t>,</w:t>
      </w:r>
      <w:r w:rsidRPr="0070305D">
        <w:rPr>
          <w:rFonts w:cs="Arial"/>
          <w:sz w:val="16"/>
          <w:szCs w:val="16"/>
          <w:rtl/>
        </w:rPr>
        <w:t xml:space="preserve"> ו</w:t>
      </w:r>
      <w:r w:rsidRPr="0070305D">
        <w:rPr>
          <w:rFonts w:cs="Arial" w:hint="cs"/>
          <w:sz w:val="16"/>
          <w:szCs w:val="16"/>
          <w:rtl/>
        </w:rPr>
        <w:t xml:space="preserve">סי' </w:t>
      </w:r>
      <w:r w:rsidRPr="0070305D">
        <w:rPr>
          <w:rFonts w:cs="Arial"/>
          <w:sz w:val="16"/>
          <w:szCs w:val="16"/>
          <w:rtl/>
        </w:rPr>
        <w:t>ק</w:t>
      </w:r>
      <w:r w:rsidRPr="0070305D">
        <w:rPr>
          <w:rFonts w:cs="Arial" w:hint="cs"/>
          <w:sz w:val="16"/>
          <w:szCs w:val="16"/>
          <w:rtl/>
        </w:rPr>
        <w:t>)</w:t>
      </w:r>
      <w:r>
        <w:rPr>
          <w:rFonts w:cs="Arial" w:hint="cs"/>
          <w:rtl/>
        </w:rPr>
        <w:t>, וה</w:t>
      </w:r>
      <w:r w:rsidR="00942206">
        <w:rPr>
          <w:rFonts w:cs="Arial" w:hint="cs"/>
          <w:rtl/>
        </w:rPr>
        <w:t>ו</w:t>
      </w:r>
      <w:r>
        <w:rPr>
          <w:rFonts w:cs="Arial" w:hint="cs"/>
          <w:rtl/>
        </w:rPr>
        <w:t xml:space="preserve">סיף שכך </w:t>
      </w:r>
      <w:r>
        <w:rPr>
          <w:rFonts w:cs="Arial"/>
          <w:rtl/>
        </w:rPr>
        <w:t>דעת כל האחרונים</w:t>
      </w:r>
      <w:r>
        <w:rPr>
          <w:rFonts w:cs="Arial" w:hint="cs"/>
          <w:rtl/>
        </w:rPr>
        <w:t>.</w:t>
      </w:r>
      <w:r w:rsidRPr="005B4840">
        <w:rPr>
          <w:rFonts w:hint="cs"/>
          <w:rtl/>
        </w:rPr>
        <w:t xml:space="preserve"> </w:t>
      </w:r>
      <w:r>
        <w:rPr>
          <w:rFonts w:hint="cs"/>
          <w:rtl/>
        </w:rPr>
        <w:t>וכתב הדרכ"מ</w:t>
      </w:r>
      <w:r>
        <w:rPr>
          <w:rtl/>
        </w:rPr>
        <w:t xml:space="preserve"> </w:t>
      </w:r>
      <w:r w:rsidRPr="00343291">
        <w:rPr>
          <w:rFonts w:cs="Arial"/>
          <w:rtl/>
        </w:rPr>
        <w:t>(</w:t>
      </w:r>
      <w:r>
        <w:rPr>
          <w:rFonts w:cs="Arial" w:hint="cs"/>
          <w:rtl/>
        </w:rPr>
        <w:t xml:space="preserve">אות </w:t>
      </w:r>
      <w:r w:rsidRPr="00343291">
        <w:rPr>
          <w:rFonts w:cs="Arial"/>
          <w:rtl/>
        </w:rPr>
        <w:t xml:space="preserve">יד) </w:t>
      </w:r>
      <w:r>
        <w:rPr>
          <w:rFonts w:cs="Arial" w:hint="cs"/>
          <w:rtl/>
        </w:rPr>
        <w:t>ש</w:t>
      </w:r>
      <w:r w:rsidRPr="00343291">
        <w:rPr>
          <w:rFonts w:cs="Arial"/>
          <w:rtl/>
        </w:rPr>
        <w:t xml:space="preserve">כן פסק </w:t>
      </w:r>
      <w:r>
        <w:rPr>
          <w:rFonts w:cs="Arial" w:hint="cs"/>
          <w:rtl/>
        </w:rPr>
        <w:t>ה</w:t>
      </w:r>
      <w:r w:rsidRPr="00343291">
        <w:rPr>
          <w:rFonts w:cs="Arial"/>
          <w:rtl/>
        </w:rPr>
        <w:t>נמוק</w:t>
      </w:r>
      <w:r>
        <w:rPr>
          <w:rFonts w:cs="Arial" w:hint="cs"/>
          <w:rtl/>
        </w:rPr>
        <w:t>"</w:t>
      </w:r>
      <w:r w:rsidRPr="00343291">
        <w:rPr>
          <w:rFonts w:cs="Arial"/>
          <w:rtl/>
        </w:rPr>
        <w:t xml:space="preserve">י </w:t>
      </w:r>
      <w:r>
        <w:rPr>
          <w:rFonts w:cs="Arial" w:hint="cs"/>
          <w:rtl/>
        </w:rPr>
        <w:t>(</w:t>
      </w:r>
      <w:r w:rsidRPr="00343291">
        <w:rPr>
          <w:rFonts w:cs="Arial"/>
          <w:rtl/>
        </w:rPr>
        <w:t>פרק אלמנה כב: דיבור ראשון)</w:t>
      </w:r>
      <w:r w:rsidR="00942206">
        <w:rPr>
          <w:rFonts w:cs="Arial" w:hint="cs"/>
          <w:rtl/>
        </w:rPr>
        <w:t>,</w:t>
      </w:r>
      <w:r w:rsidRPr="00343291">
        <w:rPr>
          <w:rFonts w:cs="Arial"/>
          <w:rtl/>
        </w:rPr>
        <w:t xml:space="preserve"> ודלא כדמשמע מדברי המרדכי ריש הפרק שם (סי' סג) כדברי הרמב"ם</w:t>
      </w:r>
      <w:r>
        <w:rPr>
          <w:rFonts w:hint="cs"/>
          <w:rtl/>
        </w:rPr>
        <w:t>.</w:t>
      </w:r>
    </w:p>
  </w:footnote>
  <w:footnote w:id="1335">
    <w:p w14:paraId="514BF964" w14:textId="0FC0B875" w:rsidR="00DE2F5F" w:rsidRDefault="00DE2F5F" w:rsidP="000C4173">
      <w:pPr>
        <w:pStyle w:val="a5"/>
        <w:rPr>
          <w:rtl/>
        </w:rPr>
      </w:pPr>
      <w:r>
        <w:rPr>
          <w:rStyle w:val="a7"/>
        </w:rPr>
        <w:footnoteRef/>
      </w:r>
      <w:r>
        <w:rPr>
          <w:rtl/>
        </w:rPr>
        <w:t xml:space="preserve"> </w:t>
      </w:r>
      <w:r>
        <w:rPr>
          <w:rFonts w:cs="Arial" w:hint="cs"/>
          <w:rtl/>
        </w:rPr>
        <w:t>וכ"כ רי"ו (</w:t>
      </w:r>
      <w:r>
        <w:rPr>
          <w:rFonts w:cs="Arial"/>
          <w:rtl/>
        </w:rPr>
        <w:t>מישרים נכ"ג ח"י סג ע"ג</w:t>
      </w:r>
      <w:r>
        <w:rPr>
          <w:rFonts w:cs="Arial" w:hint="cs"/>
          <w:rtl/>
        </w:rPr>
        <w:t>, הביאו הב"י</w:t>
      </w:r>
      <w:r>
        <w:rPr>
          <w:rFonts w:cs="Arial"/>
          <w:rtl/>
        </w:rPr>
        <w:t>)</w:t>
      </w:r>
      <w:r>
        <w:rPr>
          <w:rFonts w:cs="Arial" w:hint="cs"/>
          <w:rtl/>
        </w:rPr>
        <w:t>. וכתב הדרכ"מ</w:t>
      </w:r>
      <w:r w:rsidRPr="00343291">
        <w:rPr>
          <w:rFonts w:cs="Arial"/>
          <w:rtl/>
        </w:rPr>
        <w:t xml:space="preserve"> (</w:t>
      </w:r>
      <w:r>
        <w:rPr>
          <w:rFonts w:cs="Arial" w:hint="cs"/>
          <w:rtl/>
        </w:rPr>
        <w:t xml:space="preserve">אות </w:t>
      </w:r>
      <w:r w:rsidRPr="00343291">
        <w:rPr>
          <w:rFonts w:cs="Arial"/>
          <w:rtl/>
        </w:rPr>
        <w:t xml:space="preserve">יג) </w:t>
      </w:r>
      <w:r>
        <w:rPr>
          <w:rFonts w:cs="Arial" w:hint="cs"/>
          <w:rtl/>
        </w:rPr>
        <w:t>ד</w:t>
      </w:r>
      <w:r w:rsidRPr="00343291">
        <w:rPr>
          <w:rFonts w:cs="Arial"/>
          <w:rtl/>
        </w:rPr>
        <w:t xml:space="preserve">כן הוא במרדכי </w:t>
      </w:r>
      <w:r>
        <w:rPr>
          <w:rFonts w:cs="Arial" w:hint="cs"/>
          <w:rtl/>
        </w:rPr>
        <w:t>(</w:t>
      </w:r>
      <w:r w:rsidRPr="00343291">
        <w:rPr>
          <w:rFonts w:cs="Arial"/>
          <w:rtl/>
        </w:rPr>
        <w:t>פ</w:t>
      </w:r>
      <w:r>
        <w:rPr>
          <w:rFonts w:cs="Arial" w:hint="cs"/>
          <w:rtl/>
        </w:rPr>
        <w:t>'</w:t>
      </w:r>
      <w:r w:rsidRPr="00343291">
        <w:rPr>
          <w:rFonts w:cs="Arial"/>
          <w:rtl/>
        </w:rPr>
        <w:t xml:space="preserve"> מציאת האשה כתובות סי' קצ</w:t>
      </w:r>
      <w:r>
        <w:rPr>
          <w:rFonts w:cs="Arial" w:hint="cs"/>
          <w:rtl/>
        </w:rPr>
        <w:t>,</w:t>
      </w:r>
      <w:r w:rsidRPr="00343291">
        <w:rPr>
          <w:rFonts w:cs="Arial"/>
          <w:rtl/>
        </w:rPr>
        <w:t xml:space="preserve"> וס</w:t>
      </w:r>
      <w:r>
        <w:rPr>
          <w:rFonts w:cs="Arial" w:hint="cs"/>
          <w:rtl/>
        </w:rPr>
        <w:t>"</w:t>
      </w:r>
      <w:r w:rsidRPr="00343291">
        <w:rPr>
          <w:rFonts w:cs="Arial"/>
          <w:rtl/>
        </w:rPr>
        <w:t>פ נערה שנתפתתה סי' קעב) וע"ל סימן פ"ג כתבתי עוד מדין זה</w:t>
      </w:r>
      <w:r>
        <w:rPr>
          <w:rFonts w:cs="Arial" w:hint="cs"/>
          <w:rtl/>
        </w:rPr>
        <w:t>.</w:t>
      </w:r>
    </w:p>
  </w:footnote>
  <w:footnote w:id="1336">
    <w:p w14:paraId="6CC2E8D7" w14:textId="34904908" w:rsidR="008F07C7" w:rsidRDefault="008F07C7">
      <w:pPr>
        <w:pStyle w:val="a5"/>
        <w:rPr>
          <w:rtl/>
        </w:rPr>
      </w:pPr>
      <w:r>
        <w:rPr>
          <w:rStyle w:val="a7"/>
        </w:rPr>
        <w:footnoteRef/>
      </w:r>
      <w:r>
        <w:rPr>
          <w:rtl/>
        </w:rPr>
        <w:t xml:space="preserve"> </w:t>
      </w:r>
      <w:r w:rsidRPr="008F07C7">
        <w:rPr>
          <w:rFonts w:hint="cs"/>
          <w:rtl/>
        </w:rPr>
        <w:t>וכתב הב"ש (סקמ"ח) דר"ת סובר כדברי הרמב"ם (</w:t>
      </w:r>
      <w:r w:rsidRPr="008F07C7">
        <w:rPr>
          <w:rFonts w:hint="cs"/>
          <w:color w:val="FF0000"/>
          <w:rtl/>
        </w:rPr>
        <w:t>צל"ע מהיכן הוציא כן</w:t>
      </w:r>
      <w:r w:rsidRPr="008F07C7">
        <w:rPr>
          <w:rFonts w:hint="cs"/>
          <w:rtl/>
        </w:rPr>
        <w:t>).</w:t>
      </w:r>
    </w:p>
  </w:footnote>
  <w:footnote w:id="1337">
    <w:p w14:paraId="00904EC7" w14:textId="19144FDE" w:rsidR="00DE2F5F" w:rsidRDefault="00DE2F5F" w:rsidP="008F6E86">
      <w:pPr>
        <w:pStyle w:val="a5"/>
        <w:rPr>
          <w:rtl/>
        </w:rPr>
      </w:pPr>
      <w:r>
        <w:rPr>
          <w:rStyle w:val="a7"/>
        </w:rPr>
        <w:footnoteRef/>
      </w:r>
      <w:r>
        <w:rPr>
          <w:rtl/>
        </w:rPr>
        <w:t xml:space="preserve"> </w:t>
      </w:r>
      <w:r w:rsidR="008F07C7" w:rsidRPr="008F07C7">
        <w:rPr>
          <w:rFonts w:cs="Arial"/>
          <w:rtl/>
        </w:rPr>
        <w:t>וכתב עליו הרשב"א ז"ל לא נראו לי דבריו</w:t>
      </w:r>
      <w:r w:rsidR="008F07C7">
        <w:rPr>
          <w:rFonts w:cs="Arial" w:hint="cs"/>
          <w:rtl/>
        </w:rPr>
        <w:t>,</w:t>
      </w:r>
      <w:r w:rsidR="008F07C7" w:rsidRPr="008F07C7">
        <w:rPr>
          <w:rFonts w:cs="Arial"/>
          <w:rtl/>
        </w:rPr>
        <w:t xml:space="preserve"> ובירושלמי גרסינן שמין דעתה של אשה שהיא רוצה לכלות כליה ולפחות אותן חומש ואם איתא דבדיעבד ממכרו ממכר משום דלכתחלה לא ימכור לא תקנו חכמים לפחות חומש עכ"ל. והירושלמי הזה בכתובות פ' מציאת האשה ואיתמר עלה א"ר יוסי זאת אומרת שאין אדם רשאי למכור כלי אשתו ע"כ. ודעת המחבר ז"ל שלא אמרו אלא לכתחילה אבל דיעבד מקחו קיים ואינן דומין לקרקע שאינו יכול לכלותו ולהפסידו לגמרי ודעתה סומכת עליה וכיון שכן מקחו בטל אבל מטלטלים שהרי הוא יכול לכלותו לגמרי ודאי ממכרו ממכר וזהו שאמרו בירושלמי אין אדם רשאי ולא אמרו בעל שמכר כלי אשתו לא עשה ולא כלום וזהו דעת הגאון בשער ד' אבל אם עמד ומכר מעצמו ממכרו קיים כדגרסינן לא ניתנה כתובה לגבות מחיים וה"מ במטלטלין הוא דאמרינן ממכרו ממכר אבל מקרקעי לא וכו' עכ"ל</w:t>
      </w:r>
      <w:r w:rsidR="008F07C7">
        <w:rPr>
          <w:rFonts w:cs="Arial" w:hint="cs"/>
          <w:rtl/>
        </w:rPr>
        <w:t xml:space="preserve">, הה"מ (הל' מכירה שם). </w:t>
      </w:r>
    </w:p>
  </w:footnote>
  <w:footnote w:id="1338">
    <w:p w14:paraId="074DD9FA" w14:textId="77777777" w:rsidR="00EE2DC6" w:rsidRDefault="00EE2DC6" w:rsidP="00EE2DC6">
      <w:pPr>
        <w:pStyle w:val="a5"/>
        <w:rPr>
          <w:rtl/>
        </w:rPr>
      </w:pPr>
      <w:r>
        <w:rPr>
          <w:rStyle w:val="a7"/>
        </w:rPr>
        <w:footnoteRef/>
      </w:r>
      <w:r>
        <w:rPr>
          <w:rtl/>
        </w:rPr>
        <w:t xml:space="preserve"> </w:t>
      </w:r>
      <w:r>
        <w:rPr>
          <w:rFonts w:hint="cs"/>
          <w:rtl/>
        </w:rPr>
        <w:t xml:space="preserve">בחלק מהדפוסים כתוב "שנתנה לו משלו", והוא טעות, וצריך לגרוס כמו שכתבתי למעלה, וכן הוא בדפו"י, וכן הוא בנו"כ על הרמב"ם וכן הוא בב"י ובמשנה. </w:t>
      </w:r>
    </w:p>
  </w:footnote>
  <w:footnote w:id="1339">
    <w:p w14:paraId="50B001B1" w14:textId="77777777" w:rsidR="00EE2DC6" w:rsidRDefault="00EE2DC6" w:rsidP="00EE2DC6">
      <w:pPr>
        <w:pStyle w:val="a5"/>
        <w:rPr>
          <w:rtl/>
        </w:rPr>
      </w:pPr>
      <w:r>
        <w:rPr>
          <w:rStyle w:val="a7"/>
        </w:rPr>
        <w:footnoteRef/>
      </w:r>
      <w:r>
        <w:rPr>
          <w:rtl/>
        </w:rPr>
        <w:t xml:space="preserve"> </w:t>
      </w:r>
      <w:r w:rsidRPr="0069189B">
        <w:rPr>
          <w:rFonts w:cs="Arial"/>
          <w:rtl/>
        </w:rPr>
        <w:t xml:space="preserve">יבמות </w:t>
      </w:r>
      <w:r>
        <w:rPr>
          <w:rFonts w:cs="Arial" w:hint="cs"/>
          <w:rtl/>
        </w:rPr>
        <w:t>(סו:)</w:t>
      </w:r>
      <w:r w:rsidRPr="0069189B">
        <w:rPr>
          <w:rFonts w:cs="Arial"/>
          <w:rtl/>
        </w:rPr>
        <w:t xml:space="preserve"> ולא עוד כו'</w:t>
      </w:r>
      <w:r>
        <w:rPr>
          <w:rFonts w:cs="Arial" w:hint="cs"/>
          <w:rtl/>
        </w:rPr>
        <w:t>,</w:t>
      </w:r>
      <w:r w:rsidRPr="0069189B">
        <w:rPr>
          <w:rFonts w:cs="Arial"/>
          <w:rtl/>
        </w:rPr>
        <w:t xml:space="preserve"> וכפירושו דבמטלטלין קמיירי</w:t>
      </w:r>
      <w:r>
        <w:rPr>
          <w:rFonts w:cs="Arial" w:hint="cs"/>
          <w:rtl/>
        </w:rPr>
        <w:t>.</w:t>
      </w:r>
      <w:r w:rsidRPr="0069189B">
        <w:rPr>
          <w:rFonts w:cs="Arial"/>
          <w:rtl/>
        </w:rPr>
        <w:t xml:space="preserve"> אבל לדעת הפוסקים דסי"</w:t>
      </w:r>
      <w:r>
        <w:rPr>
          <w:rFonts w:cs="Arial" w:hint="cs"/>
          <w:rtl/>
        </w:rPr>
        <w:t>ד</w:t>
      </w:r>
      <w:r w:rsidRPr="0069189B">
        <w:rPr>
          <w:rFonts w:cs="Arial"/>
          <w:rtl/>
        </w:rPr>
        <w:t xml:space="preserve"> בהג"ה </w:t>
      </w:r>
      <w:r>
        <w:rPr>
          <w:rFonts w:cs="Arial" w:hint="cs"/>
          <w:sz w:val="16"/>
          <w:szCs w:val="16"/>
          <w:rtl/>
        </w:rPr>
        <w:t xml:space="preserve">{והם רמב"ן רשב"א רא"ש וטור} </w:t>
      </w:r>
      <w:r w:rsidRPr="0069189B">
        <w:rPr>
          <w:rFonts w:cs="Arial"/>
          <w:rtl/>
        </w:rPr>
        <w:t>ה</w:t>
      </w:r>
      <w:r>
        <w:rPr>
          <w:rFonts w:cs="Arial" w:hint="cs"/>
          <w:rtl/>
        </w:rPr>
        <w:t>כא נמי</w:t>
      </w:r>
      <w:r w:rsidRPr="0069189B">
        <w:rPr>
          <w:rFonts w:cs="Arial"/>
          <w:rtl/>
        </w:rPr>
        <w:t xml:space="preserve"> דמכרו בטל</w:t>
      </w:r>
      <w:r>
        <w:rPr>
          <w:rFonts w:cs="Arial" w:hint="cs"/>
          <w:rtl/>
        </w:rPr>
        <w:t>,</w:t>
      </w:r>
      <w:r w:rsidRPr="0069189B">
        <w:rPr>
          <w:rFonts w:cs="Arial"/>
          <w:rtl/>
        </w:rPr>
        <w:t xml:space="preserve"> וכ"ש הוא</w:t>
      </w:r>
      <w:r>
        <w:rPr>
          <w:rFonts w:cs="Arial" w:hint="cs"/>
          <w:rtl/>
        </w:rPr>
        <w:t>,</w:t>
      </w:r>
      <w:r w:rsidRPr="0069189B">
        <w:rPr>
          <w:rFonts w:cs="Arial"/>
          <w:rtl/>
        </w:rPr>
        <w:t xml:space="preserve"> דהא אינו אוכל פירות בזה</w:t>
      </w:r>
      <w:r>
        <w:rPr>
          <w:rFonts w:cs="Arial" w:hint="cs"/>
          <w:rtl/>
        </w:rPr>
        <w:t>, גר"א (סק</w:t>
      </w:r>
      <w:r w:rsidRPr="0069189B">
        <w:rPr>
          <w:rFonts w:cs="Arial"/>
          <w:rtl/>
        </w:rPr>
        <w:t>מ</w:t>
      </w:r>
      <w:r>
        <w:rPr>
          <w:rFonts w:cs="Arial" w:hint="cs"/>
          <w:rtl/>
        </w:rPr>
        <w:t>"</w:t>
      </w:r>
      <w:r w:rsidRPr="0069189B">
        <w:rPr>
          <w:rFonts w:cs="Arial"/>
          <w:rtl/>
        </w:rPr>
        <w:t>ט)</w:t>
      </w:r>
      <w:r>
        <w:rPr>
          <w:rFonts w:cs="Arial" w:hint="cs"/>
          <w:rtl/>
        </w:rPr>
        <w:t>.</w:t>
      </w:r>
    </w:p>
  </w:footnote>
  <w:footnote w:id="1340">
    <w:p w14:paraId="06D373C6" w14:textId="77777777" w:rsidR="00C457BC" w:rsidRDefault="00C457BC" w:rsidP="00C457BC">
      <w:pPr>
        <w:pStyle w:val="a5"/>
      </w:pPr>
      <w:r>
        <w:rPr>
          <w:rStyle w:val="a7"/>
        </w:rPr>
        <w:footnoteRef/>
      </w:r>
      <w:r>
        <w:rPr>
          <w:rtl/>
        </w:rPr>
        <w:t xml:space="preserve"> </w:t>
      </w:r>
      <w:r w:rsidRPr="00A56094">
        <w:rPr>
          <w:rFonts w:cs="Arial"/>
          <w:rtl/>
        </w:rPr>
        <w:t>דמה ששנינו אחד המקדיש את נכסיו ואחד המעריך עצמו אין לו בכסות אשתו ולא בכסות בניו ולא</w:t>
      </w:r>
      <w:r>
        <w:rPr>
          <w:rFonts w:cs="Arial" w:hint="cs"/>
          <w:rtl/>
        </w:rPr>
        <w:t xml:space="preserve"> </w:t>
      </w:r>
      <w:r w:rsidRPr="00A56094">
        <w:rPr>
          <w:rFonts w:cs="Arial"/>
          <w:rtl/>
        </w:rPr>
        <w:t>בצבע שצבע לשמן ולא בסנדלים שלקחן לשמן. דלמא טעמא כדרבי אבא. דמפרש טעמא בפרק הגוזל קמא משום דכל המקדיש אין דעתו על כסות אשתו ובניו. אבל במקדישה בפירוש שמא קדשו</w:t>
      </w:r>
      <w:r>
        <w:rPr>
          <w:rFonts w:cs="Arial" w:hint="cs"/>
          <w:sz w:val="14"/>
          <w:szCs w:val="14"/>
          <w:rtl/>
        </w:rPr>
        <w:t xml:space="preserve"> </w:t>
      </w:r>
      <w:r>
        <w:rPr>
          <w:rFonts w:cs="Arial" w:hint="cs"/>
          <w:sz w:val="16"/>
          <w:szCs w:val="16"/>
          <w:rtl/>
        </w:rPr>
        <w:t>{ע"ש שהאריך בזה}</w:t>
      </w:r>
      <w:r>
        <w:rPr>
          <w:rFonts w:cs="Arial" w:hint="cs"/>
          <w:rtl/>
        </w:rPr>
        <w:t>..</w:t>
      </w:r>
      <w:r w:rsidRPr="00A56094">
        <w:rPr>
          <w:rFonts w:cs="Arial"/>
          <w:rtl/>
        </w:rPr>
        <w:t>.</w:t>
      </w:r>
      <w:r>
        <w:rPr>
          <w:rFonts w:cs="Arial" w:hint="cs"/>
          <w:rtl/>
        </w:rPr>
        <w:t>, רשב"א (שם).</w:t>
      </w:r>
    </w:p>
  </w:footnote>
  <w:footnote w:id="1341">
    <w:p w14:paraId="0B3DD425" w14:textId="77777777" w:rsidR="00EE2DC6" w:rsidRDefault="00EE2DC6" w:rsidP="00EE2DC6">
      <w:pPr>
        <w:pStyle w:val="a5"/>
        <w:rPr>
          <w:rtl/>
        </w:rPr>
      </w:pPr>
      <w:r>
        <w:rPr>
          <w:rStyle w:val="a7"/>
        </w:rPr>
        <w:footnoteRef/>
      </w:r>
      <w:r>
        <w:rPr>
          <w:rtl/>
        </w:rPr>
        <w:t xml:space="preserve"> </w:t>
      </w:r>
      <w:r w:rsidRPr="008B78CF">
        <w:rPr>
          <w:rFonts w:cs="Arial"/>
          <w:rtl/>
        </w:rPr>
        <w:t>ולא משמע כן בתשו</w:t>
      </w:r>
      <w:r>
        <w:rPr>
          <w:rFonts w:cs="Arial" w:hint="cs"/>
          <w:rtl/>
        </w:rPr>
        <w:t>'</w:t>
      </w:r>
      <w:r w:rsidRPr="008B78CF">
        <w:rPr>
          <w:rFonts w:cs="Arial"/>
          <w:rtl/>
        </w:rPr>
        <w:t xml:space="preserve"> הרשב"א שכתבתי לעיל</w:t>
      </w:r>
      <w:r>
        <w:rPr>
          <w:rFonts w:cs="Arial" w:hint="cs"/>
          <w:rtl/>
        </w:rPr>
        <w:t>.</w:t>
      </w:r>
      <w:r w:rsidRPr="008B78CF">
        <w:rPr>
          <w:rFonts w:cs="Arial"/>
          <w:rtl/>
        </w:rPr>
        <w:t xml:space="preserve"> מיהו אפשר דהרשב"א מיירי כשרוצה למכרן שלא לצורך פרנסה</w:t>
      </w:r>
      <w:r>
        <w:rPr>
          <w:rFonts w:cs="Arial" w:hint="cs"/>
          <w:rtl/>
        </w:rPr>
        <w:t>, דרכ"מ (אות טו).</w:t>
      </w:r>
    </w:p>
  </w:footnote>
  <w:footnote w:id="1342">
    <w:p w14:paraId="5E00580C" w14:textId="77777777" w:rsidR="00EE2DC6" w:rsidRDefault="00EE2DC6" w:rsidP="00EE2DC6">
      <w:pPr>
        <w:pStyle w:val="a5"/>
        <w:rPr>
          <w:rtl/>
        </w:rPr>
      </w:pPr>
      <w:r>
        <w:rPr>
          <w:rStyle w:val="a7"/>
        </w:rPr>
        <w:footnoteRef/>
      </w:r>
      <w:r>
        <w:rPr>
          <w:rtl/>
        </w:rPr>
        <w:t xml:space="preserve"> </w:t>
      </w:r>
      <w:r>
        <w:rPr>
          <w:rFonts w:cs="Arial" w:hint="cs"/>
          <w:rtl/>
        </w:rPr>
        <w:t>ו</w:t>
      </w:r>
      <w:r w:rsidRPr="008B78CF">
        <w:rPr>
          <w:rFonts w:cs="Arial"/>
          <w:rtl/>
        </w:rPr>
        <w:t>כן הוא במרדכי פרק מציאת האשה (שם) דאין חילוק בזה בין בגדי שבת וי"ט לבגדי חול</w:t>
      </w:r>
      <w:r>
        <w:rPr>
          <w:rFonts w:cs="Arial" w:hint="cs"/>
          <w:rtl/>
        </w:rPr>
        <w:t>, דרכ"מ (אות טו).</w:t>
      </w:r>
      <w:r w:rsidRPr="008B78CF">
        <w:rPr>
          <w:rFonts w:cs="Arial"/>
          <w:rtl/>
        </w:rPr>
        <w:t xml:space="preserve"> </w:t>
      </w:r>
    </w:p>
  </w:footnote>
  <w:footnote w:id="1343">
    <w:p w14:paraId="22BD4964" w14:textId="1838D501" w:rsidR="00DE2F5F" w:rsidRDefault="00DE2F5F">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461B0D">
        <w:rPr>
          <w:rFonts w:cs="Arial"/>
          <w:rtl/>
        </w:rPr>
        <w:t>על ראובן שלוה מעות משמעון על בגדי אשתו וחזר והשאילו לו עד לאחר המועד ומת במועד ומחמת יראת המושל מכרה את אשר לה לשמעון וגם מלבושיה שהיו ממושכנין בידו והחזיר לה שמעון הכל חוץ מן המלבושים ופסק ר"י שהדין עמו דאע"ג דאין אדם רשאי</w:t>
      </w:r>
      <w:r>
        <w:rPr>
          <w:rFonts w:cs="Arial" w:hint="cs"/>
          <w:rtl/>
        </w:rPr>
        <w:t xml:space="preserve"> </w:t>
      </w:r>
      <w:r w:rsidRPr="00461B0D">
        <w:rPr>
          <w:rFonts w:cs="Arial"/>
          <w:rtl/>
        </w:rPr>
        <w:t>למשכן את בגדי אשתו מ"מ אחזוקי אינשי בגנבי לא מחזקינן ומסתמא ברשותה משכנם בעלה וכיון שהשאיל לו שמעון עד לאחר המועד עדיין הם ברשות שמעון כיון שבתורת שאלה בא לידי ולא בתורת חזרה כדפרישית לעיל ואין האשה יכולה לטעון תפשתים עבור כתובתי ואני הייתי מוחזקת בהם כשמסרתי לך מלבושי דכיון שהחזירם לו לא היו יותר ברשותה ויש חולקים על דין זה דיש לה לומר נחת רוח עשיתי לבעלי מה שמסרתי לו מלבושי</w:t>
      </w:r>
      <w:r>
        <w:rPr>
          <w:rFonts w:cs="Arial" w:hint="cs"/>
          <w:rtl/>
        </w:rPr>
        <w:t>.</w:t>
      </w:r>
    </w:p>
  </w:footnote>
  <w:footnote w:id="1344">
    <w:p w14:paraId="4518834F" w14:textId="00B37ED0" w:rsidR="00DE2F5F" w:rsidRDefault="00DE2F5F" w:rsidP="003509BC">
      <w:pPr>
        <w:pStyle w:val="a5"/>
      </w:pPr>
      <w:r>
        <w:rPr>
          <w:rStyle w:val="a7"/>
        </w:rPr>
        <w:footnoteRef/>
      </w:r>
      <w:r>
        <w:rPr>
          <w:rtl/>
        </w:rPr>
        <w:t xml:space="preserve"> </w:t>
      </w:r>
      <w:r>
        <w:rPr>
          <w:rFonts w:cs="Arial" w:hint="cs"/>
          <w:rtl/>
        </w:rPr>
        <w:t>וז"ל הב"י בשם מצאתי כתוב</w:t>
      </w:r>
      <w:r w:rsidR="00495872">
        <w:rPr>
          <w:rFonts w:cs="Arial" w:hint="cs"/>
          <w:rtl/>
        </w:rPr>
        <w:t>:</w:t>
      </w:r>
      <w:r>
        <w:rPr>
          <w:rFonts w:cs="Arial" w:hint="cs"/>
          <w:rtl/>
        </w:rPr>
        <w:t xml:space="preserve"> </w:t>
      </w:r>
      <w:r w:rsidRPr="000C4173">
        <w:rPr>
          <w:rFonts w:cs="Arial"/>
          <w:rtl/>
        </w:rPr>
        <w:t>דן הר"ח על אשה שלותה על בגדיה או על תכשיטיה ואח"כ הלך בעלה והוסיף ולוה עליהם יותר</w:t>
      </w:r>
      <w:r>
        <w:rPr>
          <w:rFonts w:cs="Arial" w:hint="cs"/>
          <w:rtl/>
        </w:rPr>
        <w:t>,</w:t>
      </w:r>
      <w:r w:rsidRPr="000C4173">
        <w:rPr>
          <w:rFonts w:cs="Arial"/>
          <w:rtl/>
        </w:rPr>
        <w:t xml:space="preserve"> אם מידיעתה עשה הבעל </w:t>
      </w:r>
      <w:r>
        <w:rPr>
          <w:rFonts w:cs="Arial" w:hint="cs"/>
          <w:rtl/>
        </w:rPr>
        <w:t xml:space="preserve">- </w:t>
      </w:r>
      <w:r w:rsidRPr="000C4173">
        <w:rPr>
          <w:rFonts w:cs="Arial"/>
          <w:rtl/>
        </w:rPr>
        <w:t>אז המלוה יכול לתפסם בשביל כל ההלואה</w:t>
      </w:r>
      <w:r>
        <w:rPr>
          <w:rFonts w:cs="Arial" w:hint="cs"/>
          <w:rtl/>
        </w:rPr>
        <w:t>.</w:t>
      </w:r>
      <w:r w:rsidRPr="000C4173">
        <w:rPr>
          <w:rFonts w:cs="Arial"/>
          <w:rtl/>
        </w:rPr>
        <w:t xml:space="preserve"> אבל אם שלא מדעתה לוה </w:t>
      </w:r>
      <w:r>
        <w:rPr>
          <w:rFonts w:cs="Arial" w:hint="cs"/>
          <w:rtl/>
        </w:rPr>
        <w:t xml:space="preserve">- </w:t>
      </w:r>
      <w:r w:rsidRPr="000C4173">
        <w:rPr>
          <w:rFonts w:cs="Arial"/>
          <w:rtl/>
        </w:rPr>
        <w:t>היא יכולה להוציא מן המלוה באותם מעות שלותה היא</w:t>
      </w:r>
      <w:r>
        <w:rPr>
          <w:rFonts w:cs="Arial" w:hint="cs"/>
          <w:rtl/>
        </w:rPr>
        <w:t>,</w:t>
      </w:r>
      <w:r w:rsidRPr="000C4173">
        <w:rPr>
          <w:rFonts w:cs="Arial"/>
          <w:rtl/>
        </w:rPr>
        <w:t xml:space="preserve"> כי כך שנינו אין לבעל בבגדי אשתו כלום</w:t>
      </w:r>
      <w:r>
        <w:rPr>
          <w:rFonts w:cs="Arial" w:hint="cs"/>
          <w:rtl/>
        </w:rPr>
        <w:t>,</w:t>
      </w:r>
      <w:r w:rsidRPr="000C4173">
        <w:rPr>
          <w:rFonts w:cs="Arial"/>
          <w:rtl/>
        </w:rPr>
        <w:t xml:space="preserve"> ולא בתכשיטיה</w:t>
      </w:r>
      <w:r>
        <w:rPr>
          <w:rFonts w:cs="Arial" w:hint="cs"/>
          <w:rtl/>
        </w:rPr>
        <w:t>.</w:t>
      </w:r>
      <w:r w:rsidRPr="000C4173">
        <w:rPr>
          <w:rFonts w:cs="Arial"/>
          <w:rtl/>
        </w:rPr>
        <w:t xml:space="preserve"> ואפילו אם לוה הבעל מתחלה עליהם והיא אומרת שעשה בלא ידיעתה </w:t>
      </w:r>
      <w:r>
        <w:rPr>
          <w:rFonts w:cs="Arial" w:hint="cs"/>
          <w:rtl/>
        </w:rPr>
        <w:t xml:space="preserve">- </w:t>
      </w:r>
      <w:r w:rsidRPr="000C4173">
        <w:rPr>
          <w:rFonts w:cs="Arial"/>
          <w:rtl/>
        </w:rPr>
        <w:t>דין הוא שיחזיר לה אם תשבע דשלא מדעתה לוה בעלה עליהם</w:t>
      </w:r>
      <w:r>
        <w:rPr>
          <w:rFonts w:cs="Arial" w:hint="cs"/>
          <w:rtl/>
        </w:rPr>
        <w:t>.</w:t>
      </w:r>
    </w:p>
  </w:footnote>
  <w:footnote w:id="1345">
    <w:p w14:paraId="5764364A" w14:textId="130E89E5" w:rsidR="00A56094" w:rsidRDefault="00A56094">
      <w:pPr>
        <w:pStyle w:val="a5"/>
      </w:pPr>
      <w:r>
        <w:rPr>
          <w:rStyle w:val="a7"/>
        </w:rPr>
        <w:footnoteRef/>
      </w:r>
      <w:r>
        <w:rPr>
          <w:rtl/>
        </w:rPr>
        <w:t xml:space="preserve"> </w:t>
      </w:r>
      <w:r w:rsidRPr="00A56094">
        <w:rPr>
          <w:rFonts w:cs="Arial"/>
          <w:rtl/>
        </w:rPr>
        <w:t>דמה ששנינו אחד המקדיש את נכסיו ואחד המעריך עצמו אין לו בכסות אשתו ולא בכסות בניו ולא</w:t>
      </w:r>
      <w:r>
        <w:rPr>
          <w:rFonts w:cs="Arial" w:hint="cs"/>
          <w:rtl/>
        </w:rPr>
        <w:t xml:space="preserve"> </w:t>
      </w:r>
      <w:r w:rsidRPr="00A56094">
        <w:rPr>
          <w:rFonts w:cs="Arial"/>
          <w:rtl/>
        </w:rPr>
        <w:t>בצבע שצבע לשמן ולא בסנדלים שלקחן לשמן. דלמא טעמא כדרבי אבא. דמפרש טעמא בפרק הגוזל קמא משום דכל המקדיש אין דעתו על כסות אשתו ובניו. אבל במקדישה בפירוש שמא קדשו</w:t>
      </w:r>
      <w:r>
        <w:rPr>
          <w:rFonts w:cs="Arial" w:hint="cs"/>
          <w:sz w:val="14"/>
          <w:szCs w:val="14"/>
          <w:rtl/>
        </w:rPr>
        <w:t xml:space="preserve"> </w:t>
      </w:r>
      <w:r>
        <w:rPr>
          <w:rFonts w:cs="Arial" w:hint="cs"/>
          <w:sz w:val="16"/>
          <w:szCs w:val="16"/>
          <w:rtl/>
        </w:rPr>
        <w:t>{ע"ש שהאריך בזה}</w:t>
      </w:r>
      <w:r>
        <w:rPr>
          <w:rFonts w:cs="Arial" w:hint="cs"/>
          <w:rtl/>
        </w:rPr>
        <w:t>..</w:t>
      </w:r>
      <w:r w:rsidRPr="00A56094">
        <w:rPr>
          <w:rFonts w:cs="Arial"/>
          <w:rtl/>
        </w:rPr>
        <w:t>.</w:t>
      </w:r>
      <w:r>
        <w:rPr>
          <w:rFonts w:cs="Arial" w:hint="cs"/>
          <w:rtl/>
        </w:rPr>
        <w:t>, רשב"א (שם).</w:t>
      </w:r>
    </w:p>
  </w:footnote>
  <w:footnote w:id="1346">
    <w:p w14:paraId="0C51B2C9" w14:textId="17743386" w:rsidR="00DE2F5F" w:rsidRDefault="00DE2F5F">
      <w:pPr>
        <w:pStyle w:val="a5"/>
      </w:pPr>
      <w:r>
        <w:rPr>
          <w:rStyle w:val="a7"/>
        </w:rPr>
        <w:footnoteRef/>
      </w:r>
      <w:r>
        <w:rPr>
          <w:rtl/>
        </w:rPr>
        <w:t xml:space="preserve"> </w:t>
      </w:r>
      <w:r w:rsidRPr="00C726C5">
        <w:rPr>
          <w:rFonts w:cs="Arial"/>
          <w:rtl/>
        </w:rPr>
        <w:t xml:space="preserve">הב"י </w:t>
      </w:r>
      <w:r>
        <w:rPr>
          <w:rFonts w:cs="Arial" w:hint="cs"/>
          <w:rtl/>
        </w:rPr>
        <w:t>כאן (</w:t>
      </w:r>
      <w:r w:rsidRPr="00C726C5">
        <w:rPr>
          <w:rFonts w:cs="Arial"/>
          <w:rtl/>
        </w:rPr>
        <w:t>בסי' זה</w:t>
      </w:r>
      <w:r>
        <w:rPr>
          <w:rFonts w:cs="Arial" w:hint="cs"/>
          <w:rtl/>
        </w:rPr>
        <w:t>)</w:t>
      </w:r>
      <w:r w:rsidRPr="00C726C5">
        <w:rPr>
          <w:rFonts w:cs="Arial"/>
          <w:rtl/>
        </w:rPr>
        <w:t xml:space="preserve"> הביא תשובת מ</w:t>
      </w:r>
      <w:r>
        <w:rPr>
          <w:rFonts w:cs="Arial" w:hint="cs"/>
          <w:rtl/>
        </w:rPr>
        <w:t>צאתי כתוב</w:t>
      </w:r>
      <w:r w:rsidRPr="00C726C5">
        <w:rPr>
          <w:rFonts w:cs="Arial"/>
          <w:rtl/>
        </w:rPr>
        <w:t xml:space="preserve"> דאי</w:t>
      </w:r>
      <w:r>
        <w:rPr>
          <w:rFonts w:cs="Arial" w:hint="cs"/>
          <w:rtl/>
        </w:rPr>
        <w:t>נו</w:t>
      </w:r>
      <w:r w:rsidRPr="00C726C5">
        <w:rPr>
          <w:rFonts w:cs="Arial"/>
          <w:rtl/>
        </w:rPr>
        <w:t xml:space="preserve"> </w:t>
      </w:r>
      <w:r>
        <w:rPr>
          <w:rFonts w:cs="Arial" w:hint="cs"/>
          <w:rtl/>
        </w:rPr>
        <w:t xml:space="preserve">יכול </w:t>
      </w:r>
      <w:r w:rsidR="00495872">
        <w:rPr>
          <w:rFonts w:cs="Arial" w:hint="cs"/>
          <w:rtl/>
        </w:rPr>
        <w:t>ל</w:t>
      </w:r>
      <w:r w:rsidRPr="00C726C5">
        <w:rPr>
          <w:rFonts w:cs="Arial"/>
          <w:rtl/>
        </w:rPr>
        <w:t>משכן</w:t>
      </w:r>
      <w:r>
        <w:rPr>
          <w:rFonts w:cs="Arial" w:hint="cs"/>
          <w:rtl/>
        </w:rPr>
        <w:t>,</w:t>
      </w:r>
      <w:r w:rsidRPr="00C726C5">
        <w:rPr>
          <w:rFonts w:cs="Arial"/>
          <w:rtl/>
        </w:rPr>
        <w:t xml:space="preserve"> וכ"כ המרדכי </w:t>
      </w:r>
      <w:r>
        <w:rPr>
          <w:rFonts w:cs="Arial" w:hint="cs"/>
          <w:rtl/>
        </w:rPr>
        <w:t>(</w:t>
      </w:r>
      <w:r w:rsidRPr="00C726C5">
        <w:rPr>
          <w:rFonts w:cs="Arial"/>
          <w:rtl/>
        </w:rPr>
        <w:t xml:space="preserve">ס"פ האומנין </w:t>
      </w:r>
      <w:r>
        <w:rPr>
          <w:rFonts w:cs="Arial" w:hint="cs"/>
          <w:rtl/>
        </w:rPr>
        <w:t>סי' שסד)</w:t>
      </w:r>
      <w:r w:rsidR="008F736F">
        <w:rPr>
          <w:rFonts w:cs="Arial" w:hint="cs"/>
          <w:rtl/>
        </w:rPr>
        <w:t>,</w:t>
      </w:r>
      <w:r>
        <w:rPr>
          <w:rFonts w:cs="Arial" w:hint="cs"/>
          <w:rtl/>
        </w:rPr>
        <w:t xml:space="preserve"> </w:t>
      </w:r>
      <w:r w:rsidRPr="00C726C5">
        <w:rPr>
          <w:rFonts w:cs="Arial"/>
          <w:rtl/>
        </w:rPr>
        <w:t>ומשמע שם דאיירי אפילו אם עשה הוא לה בגדים</w:t>
      </w:r>
      <w:r>
        <w:rPr>
          <w:rFonts w:cs="Arial" w:hint="cs"/>
          <w:rtl/>
        </w:rPr>
        <w:t>.</w:t>
      </w:r>
      <w:r w:rsidRPr="00C726C5">
        <w:rPr>
          <w:rFonts w:cs="Arial"/>
          <w:rtl/>
        </w:rPr>
        <w:t xml:space="preserve"> והש"ך </w:t>
      </w:r>
      <w:r>
        <w:rPr>
          <w:rFonts w:cs="Arial" w:hint="cs"/>
          <w:rtl/>
        </w:rPr>
        <w:t>(</w:t>
      </w:r>
      <w:r w:rsidRPr="00C726C5">
        <w:rPr>
          <w:rFonts w:cs="Arial"/>
          <w:rtl/>
        </w:rPr>
        <w:t>ח</w:t>
      </w:r>
      <w:r>
        <w:rPr>
          <w:rFonts w:cs="Arial" w:hint="cs"/>
          <w:rtl/>
        </w:rPr>
        <w:t xml:space="preserve">ו"מ </w:t>
      </w:r>
      <w:r w:rsidRPr="00C726C5">
        <w:rPr>
          <w:rFonts w:cs="Arial"/>
          <w:rtl/>
        </w:rPr>
        <w:t>סי' עב</w:t>
      </w:r>
      <w:r>
        <w:rPr>
          <w:rFonts w:cs="Arial" w:hint="cs"/>
          <w:rtl/>
        </w:rPr>
        <w:t xml:space="preserve"> סקכ"ד)</w:t>
      </w:r>
      <w:r w:rsidRPr="00C726C5">
        <w:rPr>
          <w:rFonts w:cs="Arial"/>
          <w:rtl/>
        </w:rPr>
        <w:t xml:space="preserve"> כתב בפשיטות דיכול למשכן</w:t>
      </w:r>
      <w:r w:rsidR="004737A9">
        <w:rPr>
          <w:rFonts w:cs="Arial" w:hint="cs"/>
          <w:rtl/>
        </w:rPr>
        <w:t>,</w:t>
      </w:r>
      <w:r w:rsidRPr="00C726C5">
        <w:rPr>
          <w:rFonts w:cs="Arial"/>
          <w:rtl/>
        </w:rPr>
        <w:t xml:space="preserve"> וכתב כן ע"פ תשוב' הרשב"א הנ"ל</w:t>
      </w:r>
      <w:r>
        <w:rPr>
          <w:rFonts w:hint="cs"/>
          <w:rtl/>
        </w:rPr>
        <w:t xml:space="preserve">. וכן נראה לי ברור דעת הב"י כאן, שהרי לאחר שהביא את דברי המרדכי (ב"מ סי' שסד) ותשו' המצאתי כתוב, כתב בבדה"ב </w:t>
      </w:r>
      <w:r w:rsidR="0061020A">
        <w:rPr>
          <w:rFonts w:hint="cs"/>
          <w:rtl/>
        </w:rPr>
        <w:t>וז</w:t>
      </w:r>
      <w:r w:rsidR="0061020A">
        <w:rPr>
          <w:rtl/>
        </w:rPr>
        <w:t>"</w:t>
      </w:r>
      <w:r w:rsidR="0061020A">
        <w:rPr>
          <w:rFonts w:hint="cs"/>
          <w:rtl/>
        </w:rPr>
        <w:t>ל:</w:t>
      </w:r>
      <w:r>
        <w:rPr>
          <w:rFonts w:hint="cs"/>
          <w:rtl/>
        </w:rPr>
        <w:t xml:space="preserve"> </w:t>
      </w:r>
      <w:r w:rsidRPr="003509BC">
        <w:rPr>
          <w:rFonts w:cs="Arial"/>
          <w:rtl/>
        </w:rPr>
        <w:t>דין הממשכן כסות אשתו כתבתי בסוף סימן ע"ג</w:t>
      </w:r>
      <w:r>
        <w:rPr>
          <w:rFonts w:cs="Arial" w:hint="cs"/>
          <w:rtl/>
        </w:rPr>
        <w:t xml:space="preserve">. עכ"ל. ושם בסוף סימן עג הביא רק את דברי הרשב"א </w:t>
      </w:r>
      <w:r>
        <w:rPr>
          <w:rFonts w:hint="cs"/>
          <w:rtl/>
        </w:rPr>
        <w:t xml:space="preserve">(ח"ב סי' רפו) הנ"ל. וכתב שם לעיין במרדכי. נראה שדעתו ברור שאם משכן </w:t>
      </w:r>
      <w:r w:rsidR="00F97626">
        <w:rPr>
          <w:rtl/>
        </w:rPr>
        <w:t>-</w:t>
      </w:r>
      <w:r>
        <w:rPr>
          <w:rFonts w:hint="cs"/>
          <w:rtl/>
        </w:rPr>
        <w:t xml:space="preserve"> הרי הם ממושכנים</w:t>
      </w:r>
      <w:r w:rsidR="004737A9">
        <w:rPr>
          <w:rFonts w:hint="cs"/>
          <w:rtl/>
        </w:rPr>
        <w:t xml:space="preserve"> ואינה יכולה להוציאם מהמלוה בלי להחזיר לו את החוב</w:t>
      </w:r>
      <w:r w:rsidR="002E3E79">
        <w:rPr>
          <w:rFonts w:hint="cs"/>
          <w:rtl/>
        </w:rPr>
        <w:t>,</w:t>
      </w:r>
      <w:r>
        <w:rPr>
          <w:rFonts w:hint="cs"/>
          <w:rtl/>
        </w:rPr>
        <w:t xml:space="preserve"> וכמו שפסק שם (סי' עג ס"ט) בשו"ע.</w:t>
      </w:r>
    </w:p>
  </w:footnote>
  <w:footnote w:id="1347">
    <w:p w14:paraId="002E4E30" w14:textId="43C2A752" w:rsidR="00DE2F5F" w:rsidRDefault="00DE2F5F">
      <w:pPr>
        <w:pStyle w:val="a5"/>
        <w:rPr>
          <w:rtl/>
        </w:rPr>
      </w:pPr>
      <w:r>
        <w:rPr>
          <w:rStyle w:val="a7"/>
        </w:rPr>
        <w:footnoteRef/>
      </w:r>
      <w:r>
        <w:rPr>
          <w:rtl/>
        </w:rPr>
        <w:t xml:space="preserve"> </w:t>
      </w:r>
      <w:r w:rsidRPr="008F6E86">
        <w:rPr>
          <w:rFonts w:cs="Arial"/>
          <w:rtl/>
        </w:rPr>
        <w:t>הטעם שהרי הוא יכול לבלותן לגמרי בתשמיש והם עומדים לבלות וליאבד ע"כ ממכרו ממכר משא"כ בקרקע</w:t>
      </w:r>
      <w:r>
        <w:rPr>
          <w:rFonts w:cs="Arial" w:hint="cs"/>
          <w:rtl/>
        </w:rPr>
        <w:t>.</w:t>
      </w:r>
      <w:r w:rsidRPr="008F6E86">
        <w:rPr>
          <w:rFonts w:cs="Arial"/>
          <w:rtl/>
        </w:rPr>
        <w:t xml:space="preserve"> וק"ק דטעם זה שייך גם בנ"מ לפי מה שנתבאר לעיל בסי' פ"ה סעיף י"ג</w:t>
      </w:r>
      <w:r>
        <w:rPr>
          <w:rFonts w:hint="cs"/>
          <w:rtl/>
        </w:rPr>
        <w:t>, ח"מ (סקמ"ה).</w:t>
      </w:r>
    </w:p>
  </w:footnote>
  <w:footnote w:id="1348">
    <w:p w14:paraId="031995F4" w14:textId="0F0E1652" w:rsidR="00DE2F5F" w:rsidRDefault="00DE2F5F">
      <w:pPr>
        <w:pStyle w:val="a5"/>
      </w:pPr>
      <w:r>
        <w:rPr>
          <w:rStyle w:val="a7"/>
        </w:rPr>
        <w:footnoteRef/>
      </w:r>
      <w:r>
        <w:rPr>
          <w:rtl/>
        </w:rPr>
        <w:t xml:space="preserve"> </w:t>
      </w:r>
      <w:r>
        <w:rPr>
          <w:rFonts w:cs="Arial" w:hint="cs"/>
          <w:rtl/>
        </w:rPr>
        <w:t xml:space="preserve">מיירי שהאשה תובעת לבעל שישלם לה או יביא לה בגדים כמותם, וכמו שכתב הרשב"א (שם). אבל לא נתברר שם בתשו' וגם בדברי הרמ"א מה הדין אם האשה רוצה להוציא מהלוקח. הח"מ </w:t>
      </w:r>
      <w:r w:rsidRPr="008F6E86">
        <w:rPr>
          <w:rFonts w:cs="Arial"/>
          <w:rtl/>
        </w:rPr>
        <w:t>(</w:t>
      </w:r>
      <w:r>
        <w:rPr>
          <w:rFonts w:cs="Arial" w:hint="cs"/>
          <w:rtl/>
        </w:rPr>
        <w:t>סק</w:t>
      </w:r>
      <w:r w:rsidRPr="008F6E86">
        <w:rPr>
          <w:rFonts w:cs="Arial"/>
          <w:rtl/>
        </w:rPr>
        <w:t>מ</w:t>
      </w:r>
      <w:r>
        <w:rPr>
          <w:rFonts w:cs="Arial" w:hint="cs"/>
          <w:rtl/>
        </w:rPr>
        <w:t>"</w:t>
      </w:r>
      <w:r w:rsidRPr="008F6E86">
        <w:rPr>
          <w:rFonts w:cs="Arial"/>
          <w:rtl/>
        </w:rPr>
        <w:t>ו)</w:t>
      </w:r>
      <w:r>
        <w:rPr>
          <w:rFonts w:cs="Arial" w:hint="cs"/>
          <w:rtl/>
        </w:rPr>
        <w:t xml:space="preserve"> כתב ד</w:t>
      </w:r>
      <w:r w:rsidRPr="008F6E86">
        <w:rPr>
          <w:rFonts w:cs="Arial"/>
          <w:rtl/>
        </w:rPr>
        <w:t>צריך הלוקח להחזיר לה מה שידוע שהוא שלה</w:t>
      </w:r>
      <w:r>
        <w:rPr>
          <w:rFonts w:cs="Arial" w:hint="cs"/>
          <w:rtl/>
        </w:rPr>
        <w:t>,</w:t>
      </w:r>
      <w:r w:rsidRPr="008F6E86">
        <w:rPr>
          <w:rFonts w:cs="Arial"/>
          <w:rtl/>
        </w:rPr>
        <w:t xml:space="preserve"> ואין הבעל נאמן לו</w:t>
      </w:r>
      <w:r>
        <w:rPr>
          <w:rFonts w:cs="Arial" w:hint="cs"/>
          <w:rtl/>
        </w:rPr>
        <w:t>מר</w:t>
      </w:r>
      <w:r w:rsidRPr="008F6E86">
        <w:rPr>
          <w:rFonts w:cs="Arial"/>
          <w:rtl/>
        </w:rPr>
        <w:t xml:space="preserve"> שברשותה עשה</w:t>
      </w:r>
      <w:r>
        <w:rPr>
          <w:rFonts w:cs="Arial" w:hint="cs"/>
          <w:rtl/>
        </w:rPr>
        <w:t>.</w:t>
      </w:r>
      <w:r w:rsidRPr="008F6E86">
        <w:rPr>
          <w:rFonts w:cs="Arial"/>
          <w:rtl/>
        </w:rPr>
        <w:t xml:space="preserve"> </w:t>
      </w:r>
      <w:r>
        <w:rPr>
          <w:rFonts w:cs="Arial" w:hint="cs"/>
          <w:rtl/>
        </w:rPr>
        <w:t xml:space="preserve">אא"כ יברר </w:t>
      </w:r>
      <w:r w:rsidRPr="008F6E86">
        <w:rPr>
          <w:rFonts w:cs="Arial"/>
          <w:rtl/>
        </w:rPr>
        <w:t>הבעל שברשותה עשה</w:t>
      </w:r>
      <w:r>
        <w:rPr>
          <w:rFonts w:cs="Arial" w:hint="cs"/>
          <w:rtl/>
        </w:rPr>
        <w:t>.</w:t>
      </w:r>
      <w:r w:rsidRPr="008F6E86">
        <w:rPr>
          <w:rFonts w:cs="Arial"/>
          <w:rtl/>
        </w:rPr>
        <w:t xml:space="preserve"> וכל זמן שלא יברר היא מוחזקת בנכסיה להוציא מיד הלוקח כ"ז שנכסיה הם בעין</w:t>
      </w:r>
      <w:r>
        <w:rPr>
          <w:rFonts w:cs="Arial" w:hint="cs"/>
          <w:rtl/>
        </w:rPr>
        <w:t>.</w:t>
      </w:r>
      <w:r w:rsidRPr="008F6E86">
        <w:rPr>
          <w:rFonts w:cs="Arial"/>
          <w:rtl/>
        </w:rPr>
        <w:t xml:space="preserve"> </w:t>
      </w:r>
      <w:r>
        <w:rPr>
          <w:rFonts w:cs="Arial" w:hint="cs"/>
          <w:rtl/>
        </w:rPr>
        <w:t>וכתב הב"ש (סק</w:t>
      </w:r>
      <w:r w:rsidRPr="008F6E86">
        <w:rPr>
          <w:rFonts w:cs="Arial"/>
          <w:rtl/>
        </w:rPr>
        <w:t>מ</w:t>
      </w:r>
      <w:r>
        <w:rPr>
          <w:rFonts w:cs="Arial" w:hint="cs"/>
          <w:rtl/>
        </w:rPr>
        <w:t>"</w:t>
      </w:r>
      <w:r w:rsidRPr="008F6E86">
        <w:rPr>
          <w:rFonts w:cs="Arial"/>
          <w:rtl/>
        </w:rPr>
        <w:t>ט</w:t>
      </w:r>
      <w:r>
        <w:rPr>
          <w:rFonts w:cs="Arial" w:hint="cs"/>
          <w:rtl/>
        </w:rPr>
        <w:t>)</w:t>
      </w:r>
      <w:r w:rsidRPr="008F6E86">
        <w:rPr>
          <w:rFonts w:cs="Arial"/>
          <w:rtl/>
        </w:rPr>
        <w:t xml:space="preserve"> </w:t>
      </w:r>
      <w:r>
        <w:rPr>
          <w:rFonts w:cs="Arial" w:hint="cs"/>
          <w:rtl/>
        </w:rPr>
        <w:t xml:space="preserve">שבאמת </w:t>
      </w:r>
      <w:r w:rsidRPr="008F6E86">
        <w:rPr>
          <w:rFonts w:cs="Arial"/>
          <w:rtl/>
        </w:rPr>
        <w:t>בתשו' מ</w:t>
      </w:r>
      <w:r>
        <w:rPr>
          <w:rFonts w:cs="Arial" w:hint="cs"/>
          <w:rtl/>
        </w:rPr>
        <w:t xml:space="preserve">צאתי </w:t>
      </w:r>
      <w:r w:rsidRPr="008F6E86">
        <w:rPr>
          <w:rFonts w:cs="Arial"/>
          <w:rtl/>
        </w:rPr>
        <w:t>כ</w:t>
      </w:r>
      <w:r>
        <w:rPr>
          <w:rFonts w:cs="Arial" w:hint="cs"/>
          <w:rtl/>
        </w:rPr>
        <w:t>תוב</w:t>
      </w:r>
      <w:r w:rsidRPr="008F6E86">
        <w:rPr>
          <w:rFonts w:cs="Arial"/>
          <w:rtl/>
        </w:rPr>
        <w:t xml:space="preserve"> שהביא הב"י </w:t>
      </w:r>
      <w:r>
        <w:rPr>
          <w:rFonts w:cs="Arial" w:hint="cs"/>
          <w:rtl/>
        </w:rPr>
        <w:t>מבואר כדברי הח"מ ד</w:t>
      </w:r>
      <w:r w:rsidRPr="008F6E86">
        <w:rPr>
          <w:rFonts w:cs="Arial"/>
          <w:rtl/>
        </w:rPr>
        <w:t>כתב</w:t>
      </w:r>
      <w:r>
        <w:rPr>
          <w:rFonts w:cs="Arial" w:hint="cs"/>
          <w:rtl/>
        </w:rPr>
        <w:t xml:space="preserve"> שם</w:t>
      </w:r>
      <w:r w:rsidRPr="008F6E86">
        <w:rPr>
          <w:rFonts w:cs="Arial"/>
          <w:rtl/>
        </w:rPr>
        <w:t xml:space="preserve"> </w:t>
      </w:r>
      <w:r>
        <w:rPr>
          <w:rFonts w:cs="Arial" w:hint="cs"/>
          <w:rtl/>
        </w:rPr>
        <w:t>ש</w:t>
      </w:r>
      <w:r w:rsidRPr="008F6E86">
        <w:rPr>
          <w:rFonts w:cs="Arial"/>
          <w:rtl/>
        </w:rPr>
        <w:t>היא נאמנת נגד המלוה לומר שהשכין שלא ברשות</w:t>
      </w:r>
      <w:r>
        <w:rPr>
          <w:rFonts w:cs="Arial" w:hint="cs"/>
          <w:rtl/>
        </w:rPr>
        <w:t>ה,</w:t>
      </w:r>
      <w:r w:rsidRPr="008F6E86">
        <w:rPr>
          <w:rFonts w:cs="Arial"/>
          <w:rtl/>
        </w:rPr>
        <w:t xml:space="preserve"> ותשבע והמלוה יחזיר זה</w:t>
      </w:r>
      <w:r>
        <w:rPr>
          <w:rFonts w:cs="Arial" w:hint="cs"/>
          <w:rtl/>
        </w:rPr>
        <w:t>.</w:t>
      </w:r>
      <w:r w:rsidRPr="008F6E86">
        <w:rPr>
          <w:rFonts w:cs="Arial"/>
          <w:rtl/>
        </w:rPr>
        <w:t xml:space="preserve"> </w:t>
      </w:r>
      <w:r>
        <w:rPr>
          <w:rFonts w:cs="Arial" w:hint="cs"/>
          <w:rtl/>
        </w:rPr>
        <w:t xml:space="preserve">אבל </w:t>
      </w:r>
      <w:r w:rsidRPr="008F6E86">
        <w:rPr>
          <w:rFonts w:cs="Arial"/>
          <w:rtl/>
        </w:rPr>
        <w:t xml:space="preserve">המרדכי </w:t>
      </w:r>
      <w:r w:rsidRPr="00647311">
        <w:rPr>
          <w:rFonts w:cs="Arial" w:hint="cs"/>
          <w:sz w:val="16"/>
          <w:szCs w:val="16"/>
          <w:rtl/>
        </w:rPr>
        <w:t>(</w:t>
      </w:r>
      <w:r w:rsidRPr="00647311">
        <w:rPr>
          <w:rFonts w:cs="Arial"/>
          <w:sz w:val="16"/>
          <w:szCs w:val="16"/>
          <w:rtl/>
        </w:rPr>
        <w:t>ס"פ האומנין</w:t>
      </w:r>
      <w:r w:rsidRPr="00647311">
        <w:rPr>
          <w:rFonts w:cs="Arial" w:hint="cs"/>
          <w:sz w:val="16"/>
          <w:szCs w:val="16"/>
          <w:rtl/>
        </w:rPr>
        <w:t>)</w:t>
      </w:r>
      <w:r w:rsidRPr="00647311">
        <w:rPr>
          <w:rFonts w:cs="Arial"/>
          <w:sz w:val="16"/>
          <w:szCs w:val="16"/>
          <w:rtl/>
        </w:rPr>
        <w:t xml:space="preserve"> </w:t>
      </w:r>
      <w:r w:rsidRPr="008F6E86">
        <w:rPr>
          <w:rFonts w:cs="Arial"/>
          <w:rtl/>
        </w:rPr>
        <w:t>כתב מסתמא אמרי</w:t>
      </w:r>
      <w:r>
        <w:rPr>
          <w:rFonts w:cs="Arial" w:hint="cs"/>
          <w:rtl/>
        </w:rPr>
        <w:t>נן</w:t>
      </w:r>
      <w:r w:rsidRPr="008F6E86">
        <w:rPr>
          <w:rFonts w:cs="Arial"/>
          <w:rtl/>
        </w:rPr>
        <w:t xml:space="preserve"> ברשות</w:t>
      </w:r>
      <w:r>
        <w:rPr>
          <w:rFonts w:cs="Arial" w:hint="cs"/>
          <w:rtl/>
        </w:rPr>
        <w:t>ה</w:t>
      </w:r>
      <w:r w:rsidRPr="008F6E86">
        <w:rPr>
          <w:rFonts w:cs="Arial"/>
          <w:rtl/>
        </w:rPr>
        <w:t xml:space="preserve"> השכין</w:t>
      </w:r>
      <w:r>
        <w:rPr>
          <w:rFonts w:cs="Arial" w:hint="cs"/>
          <w:rtl/>
        </w:rPr>
        <w:t>,</w:t>
      </w:r>
      <w:r w:rsidRPr="008F6E86">
        <w:rPr>
          <w:rFonts w:cs="Arial"/>
          <w:rtl/>
        </w:rPr>
        <w:t xml:space="preserve"> והרשב"א </w:t>
      </w:r>
      <w:r>
        <w:rPr>
          <w:rFonts w:cs="Arial" w:hint="cs"/>
          <w:rtl/>
        </w:rPr>
        <w:t>(</w:t>
      </w:r>
      <w:r w:rsidRPr="008F6E86">
        <w:rPr>
          <w:rFonts w:cs="Arial"/>
          <w:rtl/>
        </w:rPr>
        <w:t>בתשו</w:t>
      </w:r>
      <w:r>
        <w:rPr>
          <w:rFonts w:cs="Arial" w:hint="cs"/>
          <w:rtl/>
        </w:rPr>
        <w:t>'</w:t>
      </w:r>
      <w:r w:rsidRPr="008F6E86">
        <w:rPr>
          <w:rFonts w:cs="Arial"/>
          <w:rtl/>
        </w:rPr>
        <w:t xml:space="preserve"> שהביא ס"ס ע"ג</w:t>
      </w:r>
      <w:r>
        <w:rPr>
          <w:rFonts w:cs="Arial" w:hint="cs"/>
          <w:rtl/>
        </w:rPr>
        <w:t>)</w:t>
      </w:r>
      <w:r w:rsidRPr="008F6E86">
        <w:rPr>
          <w:rFonts w:cs="Arial"/>
          <w:rtl/>
        </w:rPr>
        <w:t xml:space="preserve"> כתב ג"כ דאי</w:t>
      </w:r>
      <w:r>
        <w:rPr>
          <w:rFonts w:cs="Arial" w:hint="cs"/>
          <w:rtl/>
        </w:rPr>
        <w:t>נה יכולה</w:t>
      </w:r>
      <w:r w:rsidRPr="008F6E86">
        <w:rPr>
          <w:rFonts w:cs="Arial"/>
          <w:rtl/>
        </w:rPr>
        <w:t xml:space="preserve"> להוציא מן המלוה</w:t>
      </w:r>
      <w:r>
        <w:rPr>
          <w:rFonts w:cs="Arial" w:hint="cs"/>
          <w:rtl/>
        </w:rPr>
        <w:t>,</w:t>
      </w:r>
      <w:r w:rsidRPr="008F6E86">
        <w:rPr>
          <w:rFonts w:cs="Arial"/>
          <w:rtl/>
        </w:rPr>
        <w:t xml:space="preserve"> דמאן לימא לן דלא אפקיה מדעתה</w:t>
      </w:r>
      <w:r>
        <w:rPr>
          <w:rFonts w:cs="Arial" w:hint="cs"/>
          <w:rtl/>
        </w:rPr>
        <w:t>.</w:t>
      </w:r>
      <w:r w:rsidRPr="008F6E86">
        <w:rPr>
          <w:rFonts w:cs="Arial"/>
          <w:rtl/>
        </w:rPr>
        <w:t xml:space="preserve"> גם שייך בזה תקנות השוק ואי</w:t>
      </w:r>
      <w:r>
        <w:rPr>
          <w:rFonts w:cs="Arial" w:hint="cs"/>
          <w:rtl/>
        </w:rPr>
        <w:t>נה יכולה</w:t>
      </w:r>
      <w:r w:rsidRPr="008F6E86">
        <w:rPr>
          <w:rFonts w:cs="Arial"/>
          <w:rtl/>
        </w:rPr>
        <w:t xml:space="preserve"> להוציא מן המלוה בלא מעות</w:t>
      </w:r>
      <w:r>
        <w:rPr>
          <w:rFonts w:cs="Arial" w:hint="cs"/>
          <w:rtl/>
        </w:rPr>
        <w:t>.</w:t>
      </w:r>
      <w:r w:rsidRPr="008F6E86">
        <w:rPr>
          <w:rFonts w:cs="Arial"/>
          <w:rtl/>
        </w:rPr>
        <w:t xml:space="preserve"> לכן עיקר כהפוסקי</w:t>
      </w:r>
      <w:r>
        <w:rPr>
          <w:rFonts w:cs="Arial" w:hint="cs"/>
          <w:rtl/>
        </w:rPr>
        <w:t>ם</w:t>
      </w:r>
      <w:r w:rsidRPr="008F6E86">
        <w:rPr>
          <w:rFonts w:cs="Arial"/>
          <w:rtl/>
        </w:rPr>
        <w:t xml:space="preserve"> הללו</w:t>
      </w:r>
      <w:r>
        <w:rPr>
          <w:rFonts w:cs="Arial" w:hint="cs"/>
          <w:rtl/>
        </w:rPr>
        <w:t>.</w:t>
      </w:r>
      <w:r w:rsidRPr="008F6E86">
        <w:rPr>
          <w:rFonts w:cs="Arial"/>
          <w:rtl/>
        </w:rPr>
        <w:t xml:space="preserve"> וכ"כ הסמ"ע </w:t>
      </w:r>
      <w:r>
        <w:rPr>
          <w:rFonts w:cs="Arial" w:hint="cs"/>
          <w:rtl/>
        </w:rPr>
        <w:t>(</w:t>
      </w:r>
      <w:r w:rsidRPr="008F6E86">
        <w:rPr>
          <w:rFonts w:cs="Arial"/>
          <w:rtl/>
        </w:rPr>
        <w:t>סי' עב סקי"ח</w:t>
      </w:r>
      <w:r>
        <w:rPr>
          <w:rFonts w:cs="Arial" w:hint="cs"/>
          <w:rtl/>
        </w:rPr>
        <w:t>).</w:t>
      </w:r>
      <w:r w:rsidRPr="008F6E86">
        <w:rPr>
          <w:rFonts w:cs="Arial"/>
          <w:rtl/>
        </w:rPr>
        <w:t xml:space="preserve"> ונשמע ממרדכי הנ"ל אפי' אם הבעל אינו בכאן ואינו טוען שעש</w:t>
      </w:r>
      <w:r>
        <w:rPr>
          <w:rFonts w:cs="Arial" w:hint="cs"/>
          <w:rtl/>
        </w:rPr>
        <w:t>ה</w:t>
      </w:r>
      <w:r w:rsidRPr="008F6E86">
        <w:rPr>
          <w:rFonts w:cs="Arial"/>
          <w:rtl/>
        </w:rPr>
        <w:t xml:space="preserve"> ברשות</w:t>
      </w:r>
      <w:r>
        <w:rPr>
          <w:rFonts w:cs="Arial" w:hint="cs"/>
          <w:rtl/>
        </w:rPr>
        <w:t>ה</w:t>
      </w:r>
      <w:r w:rsidRPr="008F6E86">
        <w:rPr>
          <w:rFonts w:cs="Arial"/>
          <w:rtl/>
        </w:rPr>
        <w:t xml:space="preserve"> אמרי</w:t>
      </w:r>
      <w:r>
        <w:rPr>
          <w:rFonts w:cs="Arial" w:hint="cs"/>
          <w:rtl/>
        </w:rPr>
        <w:t>נן</w:t>
      </w:r>
      <w:r w:rsidRPr="008F6E86">
        <w:rPr>
          <w:rFonts w:cs="Arial"/>
          <w:rtl/>
        </w:rPr>
        <w:t xml:space="preserve"> מסתמא עשה ברשו</w:t>
      </w:r>
      <w:r>
        <w:rPr>
          <w:rFonts w:cs="Arial" w:hint="cs"/>
          <w:rtl/>
        </w:rPr>
        <w:t>תה.</w:t>
      </w:r>
      <w:r w:rsidRPr="008F6E86">
        <w:rPr>
          <w:rFonts w:cs="Arial"/>
          <w:rtl/>
        </w:rPr>
        <w:t xml:space="preserve"> גם נ"מ למ"ש הרשב"א בתשובה הטעם משום ת</w:t>
      </w:r>
      <w:r>
        <w:rPr>
          <w:rFonts w:cs="Arial" w:hint="cs"/>
          <w:rtl/>
        </w:rPr>
        <w:t xml:space="preserve">קנת </w:t>
      </w:r>
      <w:r w:rsidRPr="008F6E86">
        <w:rPr>
          <w:rFonts w:cs="Arial"/>
          <w:rtl/>
        </w:rPr>
        <w:t>ה</w:t>
      </w:r>
      <w:r>
        <w:rPr>
          <w:rFonts w:cs="Arial" w:hint="cs"/>
          <w:rtl/>
        </w:rPr>
        <w:t>שוק,</w:t>
      </w:r>
      <w:r w:rsidRPr="008F6E86">
        <w:rPr>
          <w:rFonts w:cs="Arial"/>
          <w:rtl/>
        </w:rPr>
        <w:t xml:space="preserve"> א"כ כשמחזיר המעות המקח בטל ולדברי שאר פוסקים שהבאתי א"צ להחזיר הבגדים</w:t>
      </w:r>
      <w:r>
        <w:rPr>
          <w:rFonts w:cs="Arial" w:hint="cs"/>
          <w:rtl/>
        </w:rPr>
        <w:t>.</w:t>
      </w:r>
    </w:p>
  </w:footnote>
  <w:footnote w:id="1349">
    <w:p w14:paraId="5B7FBDA6" w14:textId="71B0DE27" w:rsidR="00DE2F5F" w:rsidRDefault="00DE2F5F">
      <w:pPr>
        <w:pStyle w:val="a5"/>
      </w:pPr>
      <w:r>
        <w:rPr>
          <w:rStyle w:val="a7"/>
        </w:rPr>
        <w:footnoteRef/>
      </w:r>
      <w:r>
        <w:rPr>
          <w:rtl/>
        </w:rPr>
        <w:t xml:space="preserve"> </w:t>
      </w:r>
      <w:r w:rsidRPr="00647311">
        <w:rPr>
          <w:rFonts w:cs="Arial"/>
          <w:rtl/>
        </w:rPr>
        <w:t>הל</w:t>
      </w:r>
      <w:r>
        <w:rPr>
          <w:rFonts w:cs="Arial" w:hint="cs"/>
          <w:rtl/>
        </w:rPr>
        <w:t>שון</w:t>
      </w:r>
      <w:r w:rsidRPr="00647311">
        <w:rPr>
          <w:rFonts w:cs="Arial"/>
          <w:rtl/>
        </w:rPr>
        <w:t xml:space="preserve"> מגומגם קצת</w:t>
      </w:r>
      <w:r>
        <w:rPr>
          <w:rFonts w:cs="Arial" w:hint="cs"/>
          <w:rtl/>
        </w:rPr>
        <w:t>,</w:t>
      </w:r>
      <w:r w:rsidRPr="00647311">
        <w:rPr>
          <w:rFonts w:cs="Arial"/>
          <w:rtl/>
        </w:rPr>
        <w:t xml:space="preserve"> דאין לאשה כח למחות בבעל</w:t>
      </w:r>
      <w:r>
        <w:rPr>
          <w:rFonts w:cs="Arial" w:hint="cs"/>
          <w:rtl/>
        </w:rPr>
        <w:t>ה</w:t>
      </w:r>
      <w:r w:rsidRPr="00647311">
        <w:rPr>
          <w:rFonts w:cs="Arial"/>
          <w:rtl/>
        </w:rPr>
        <w:t xml:space="preserve"> למכור נכסים שלו</w:t>
      </w:r>
      <w:r>
        <w:rPr>
          <w:rFonts w:cs="Arial" w:hint="cs"/>
          <w:rtl/>
        </w:rPr>
        <w:t>,</w:t>
      </w:r>
      <w:r w:rsidRPr="00647311">
        <w:rPr>
          <w:rFonts w:cs="Arial"/>
          <w:rtl/>
        </w:rPr>
        <w:t xml:space="preserve"> רק בהגיע זמן הגביה טורפ</w:t>
      </w:r>
      <w:r>
        <w:rPr>
          <w:rFonts w:cs="Arial" w:hint="cs"/>
          <w:rtl/>
        </w:rPr>
        <w:t>תן.</w:t>
      </w:r>
      <w:r w:rsidRPr="00647311">
        <w:rPr>
          <w:rFonts w:cs="Arial"/>
          <w:rtl/>
        </w:rPr>
        <w:t xml:space="preserve"> ואפשר לה למחות שלא למוכרן לכותי ולמי שלא תוכל לטרוף ממנו</w:t>
      </w:r>
      <w:r>
        <w:rPr>
          <w:rFonts w:cs="Arial" w:hint="cs"/>
          <w:rtl/>
        </w:rPr>
        <w:t>, ח"מ (סקמ"ז).</w:t>
      </w:r>
    </w:p>
  </w:footnote>
  <w:footnote w:id="1350">
    <w:p w14:paraId="372976F2" w14:textId="116FCF20" w:rsidR="00DE2F5F" w:rsidRDefault="00DE2F5F" w:rsidP="007E0216">
      <w:pPr>
        <w:pStyle w:val="a5"/>
        <w:rPr>
          <w:rFonts w:cs="Arial"/>
          <w:rtl/>
        </w:rPr>
      </w:pPr>
      <w:r>
        <w:rPr>
          <w:rStyle w:val="a7"/>
        </w:rPr>
        <w:footnoteRef/>
      </w:r>
      <w:r w:rsidRPr="007E0216">
        <w:rPr>
          <w:rFonts w:cs="Arial"/>
          <w:rtl/>
        </w:rPr>
        <w:t xml:space="preserve"> </w:t>
      </w:r>
      <w:r w:rsidRPr="006E106F">
        <w:rPr>
          <w:rFonts w:cs="Arial"/>
          <w:u w:val="single"/>
          <w:rtl/>
        </w:rPr>
        <w:t>ובעסק חזקות שנוהגין בכמה מקומו</w:t>
      </w:r>
      <w:r w:rsidRPr="006E106F">
        <w:rPr>
          <w:rFonts w:cs="Arial" w:hint="cs"/>
          <w:u w:val="single"/>
          <w:rtl/>
        </w:rPr>
        <w:t>ת</w:t>
      </w:r>
      <w:r w:rsidRPr="006E106F">
        <w:rPr>
          <w:rFonts w:cs="Arial"/>
          <w:u w:val="single"/>
          <w:rtl/>
        </w:rPr>
        <w:t xml:space="preserve"> במדינת ישמעאל שמי שדר בבית ישמעאל או בכיפה יש לו חזקה שאין אחר רשאי לשכור הבית מן הישמעאל בלי רשות</w:t>
      </w:r>
      <w:r w:rsidRPr="006E106F">
        <w:rPr>
          <w:rFonts w:cs="Arial" w:hint="cs"/>
          <w:u w:val="single"/>
          <w:rtl/>
        </w:rPr>
        <w:t>.</w:t>
      </w:r>
      <w:r w:rsidRPr="006E106F">
        <w:rPr>
          <w:rFonts w:cs="Arial"/>
          <w:u w:val="single"/>
          <w:rtl/>
        </w:rPr>
        <w:t xml:space="preserve"> ובכמה מקומו</w:t>
      </w:r>
      <w:r w:rsidRPr="006E106F">
        <w:rPr>
          <w:rFonts w:cs="Arial" w:hint="cs"/>
          <w:u w:val="single"/>
          <w:rtl/>
        </w:rPr>
        <w:t>ת</w:t>
      </w:r>
      <w:r w:rsidRPr="006E106F">
        <w:rPr>
          <w:rFonts w:cs="Arial"/>
          <w:u w:val="single"/>
          <w:rtl/>
        </w:rPr>
        <w:t xml:space="preserve"> הוא דרך קנין שקונין ומוכרין זכות חזקות אלו</w:t>
      </w:r>
      <w:r w:rsidRPr="006E106F">
        <w:rPr>
          <w:rFonts w:cs="Arial" w:hint="cs"/>
          <w:u w:val="single"/>
          <w:rtl/>
        </w:rPr>
        <w:t>.</w:t>
      </w:r>
      <w:r w:rsidRPr="006E106F">
        <w:rPr>
          <w:rFonts w:cs="Arial"/>
          <w:u w:val="single"/>
          <w:rtl/>
        </w:rPr>
        <w:t xml:space="preserve"> אם דינם כקרקע או כמטלטלי</w:t>
      </w:r>
      <w:r w:rsidRPr="00205EDE">
        <w:rPr>
          <w:rFonts w:cs="Arial"/>
          <w:rtl/>
        </w:rPr>
        <w:t>ן</w:t>
      </w:r>
      <w:r>
        <w:rPr>
          <w:rFonts w:cs="Arial" w:hint="cs"/>
          <w:rtl/>
        </w:rPr>
        <w:t>:</w:t>
      </w:r>
    </w:p>
    <w:p w14:paraId="186B7448" w14:textId="0D4C128F" w:rsidR="00DE2F5F" w:rsidRPr="006E106F" w:rsidRDefault="00DE2F5F" w:rsidP="009000E3">
      <w:pPr>
        <w:pStyle w:val="a5"/>
        <w:numPr>
          <w:ilvl w:val="0"/>
          <w:numId w:val="56"/>
        </w:numPr>
      </w:pPr>
      <w:r>
        <w:rPr>
          <w:rFonts w:cs="Arial" w:hint="cs"/>
          <w:rtl/>
        </w:rPr>
        <w:t xml:space="preserve">ב"ש </w:t>
      </w:r>
      <w:r>
        <w:rPr>
          <w:rFonts w:cs="Arial" w:hint="cs"/>
          <w:sz w:val="16"/>
          <w:szCs w:val="16"/>
          <w:rtl/>
        </w:rPr>
        <w:t>(סקנ"א)</w:t>
      </w:r>
      <w:r>
        <w:rPr>
          <w:rFonts w:cs="Arial" w:hint="cs"/>
          <w:rtl/>
        </w:rPr>
        <w:t xml:space="preserve">- </w:t>
      </w:r>
      <w:r w:rsidRPr="006E106F">
        <w:rPr>
          <w:rFonts w:cs="Arial"/>
          <w:rtl/>
        </w:rPr>
        <w:t>דין מטלטלין הוא</w:t>
      </w:r>
      <w:r>
        <w:rPr>
          <w:rFonts w:cs="Arial" w:hint="cs"/>
          <w:rtl/>
        </w:rPr>
        <w:t>,</w:t>
      </w:r>
      <w:r w:rsidRPr="006E106F">
        <w:rPr>
          <w:rFonts w:cs="Arial"/>
          <w:rtl/>
        </w:rPr>
        <w:t xml:space="preserve"> כ"כ בהג"ה דרישה וכ"כ בט"ז</w:t>
      </w:r>
      <w:r>
        <w:rPr>
          <w:rFonts w:cs="Arial" w:hint="cs"/>
          <w:rtl/>
        </w:rPr>
        <w:t>.</w:t>
      </w:r>
      <w:r w:rsidRPr="006E106F">
        <w:rPr>
          <w:rFonts w:cs="Arial"/>
          <w:rtl/>
        </w:rPr>
        <w:t xml:space="preserve"> ועיין תשובת בן לב ותשו' רש"ך </w:t>
      </w:r>
      <w:r>
        <w:rPr>
          <w:rFonts w:cs="Arial" w:hint="cs"/>
          <w:rtl/>
        </w:rPr>
        <w:t>(</w:t>
      </w:r>
      <w:r w:rsidRPr="006E106F">
        <w:rPr>
          <w:rFonts w:cs="Arial"/>
          <w:rtl/>
        </w:rPr>
        <w:t>ס"א סי' פד</w:t>
      </w:r>
      <w:r>
        <w:rPr>
          <w:rFonts w:cs="Arial" w:hint="cs"/>
          <w:rtl/>
        </w:rPr>
        <w:t>)</w:t>
      </w:r>
      <w:r w:rsidRPr="006E106F">
        <w:rPr>
          <w:rFonts w:cs="Arial"/>
          <w:rtl/>
        </w:rPr>
        <w:t xml:space="preserve"> ותשובת מהר"י לבית הלוי </w:t>
      </w:r>
      <w:r>
        <w:rPr>
          <w:rFonts w:cs="Arial" w:hint="cs"/>
          <w:rtl/>
        </w:rPr>
        <w:t>(</w:t>
      </w:r>
      <w:r w:rsidRPr="006E106F">
        <w:rPr>
          <w:rFonts w:cs="Arial"/>
          <w:rtl/>
        </w:rPr>
        <w:t>סי' נה</w:t>
      </w:r>
      <w:r>
        <w:rPr>
          <w:rFonts w:cs="Arial" w:hint="cs"/>
          <w:rtl/>
        </w:rPr>
        <w:t>).</w:t>
      </w:r>
      <w:r w:rsidRPr="006E106F">
        <w:rPr>
          <w:rFonts w:cs="Arial"/>
          <w:rtl/>
        </w:rPr>
        <w:t xml:space="preserve"> ושם כתב דחזקו</w:t>
      </w:r>
      <w:r>
        <w:rPr>
          <w:rFonts w:cs="Arial" w:hint="cs"/>
          <w:rtl/>
        </w:rPr>
        <w:t>ת</w:t>
      </w:r>
      <w:r w:rsidRPr="006E106F">
        <w:rPr>
          <w:rFonts w:cs="Arial"/>
          <w:rtl/>
        </w:rPr>
        <w:t xml:space="preserve"> יש להם דין קרקעו</w:t>
      </w:r>
      <w:r>
        <w:rPr>
          <w:rFonts w:cs="Arial" w:hint="cs"/>
          <w:rtl/>
        </w:rPr>
        <w:t>ת.</w:t>
      </w:r>
      <w:r w:rsidRPr="006E106F">
        <w:rPr>
          <w:rFonts w:cs="Arial"/>
          <w:rtl/>
        </w:rPr>
        <w:t xml:space="preserve"> אפשר דין אשה שאני</w:t>
      </w:r>
      <w:r>
        <w:rPr>
          <w:rFonts w:cs="Arial" w:hint="cs"/>
          <w:rtl/>
        </w:rPr>
        <w:t>.</w:t>
      </w:r>
      <w:r w:rsidRPr="006E106F">
        <w:rPr>
          <w:rFonts w:cs="Arial"/>
          <w:rtl/>
        </w:rPr>
        <w:t xml:space="preserve"> ועיין בח"ה שם כתב אם החזיק כ"כ שהכניס בה פועלים לבנות ולנטוע או שהכניס דיורין בנתיים חשיב הקרקע כגבוי לישראל</w:t>
      </w:r>
      <w:r>
        <w:rPr>
          <w:rFonts w:cs="Arial" w:hint="cs"/>
          <w:rtl/>
        </w:rPr>
        <w:t>.</w:t>
      </w:r>
    </w:p>
    <w:p w14:paraId="11D68CA4" w14:textId="340C92D6" w:rsidR="00DE2F5F" w:rsidRDefault="00DE2F5F" w:rsidP="009000E3">
      <w:pPr>
        <w:pStyle w:val="a5"/>
        <w:numPr>
          <w:ilvl w:val="0"/>
          <w:numId w:val="56"/>
        </w:numPr>
      </w:pPr>
      <w:r w:rsidRPr="00205EDE">
        <w:rPr>
          <w:rFonts w:cs="Arial"/>
          <w:rtl/>
        </w:rPr>
        <w:t xml:space="preserve">ישועות יעקב </w:t>
      </w:r>
      <w:r w:rsidRPr="006E106F">
        <w:rPr>
          <w:rFonts w:cs="Arial" w:hint="cs"/>
          <w:sz w:val="16"/>
          <w:szCs w:val="16"/>
          <w:rtl/>
        </w:rPr>
        <w:t>(</w:t>
      </w:r>
      <w:r w:rsidRPr="006E106F">
        <w:rPr>
          <w:rFonts w:cs="Arial"/>
          <w:sz w:val="16"/>
          <w:szCs w:val="16"/>
          <w:rtl/>
        </w:rPr>
        <w:t>סקי"ט</w:t>
      </w:r>
      <w:r w:rsidRPr="006E106F">
        <w:rPr>
          <w:rFonts w:cs="Arial" w:hint="cs"/>
          <w:sz w:val="16"/>
          <w:szCs w:val="16"/>
          <w:rtl/>
        </w:rPr>
        <w:t>, הביאו הפת"ש [סקי"ג])</w:t>
      </w:r>
      <w:r>
        <w:rPr>
          <w:rFonts w:cs="Arial" w:hint="cs"/>
          <w:rtl/>
        </w:rPr>
        <w:t xml:space="preserve">- </w:t>
      </w:r>
      <w:r w:rsidRPr="00205EDE">
        <w:rPr>
          <w:rFonts w:cs="Arial"/>
          <w:rtl/>
        </w:rPr>
        <w:t>האריכו בזה האחרונים בתשובותיהם ובכמה דברים יש נ"מ בזה כגון לענין מצרנות ולענין שטח"ז שכתוב בו חוץ מספרים וקרקעו' והסכימו כולם שאין לנו הכרע' גמור' בזה ונכון למצוא פשר דבר אף שלא מרצון הצדדים</w:t>
      </w:r>
      <w:r>
        <w:rPr>
          <w:rFonts w:cs="Arial" w:hint="cs"/>
          <w:rtl/>
        </w:rPr>
        <w:t>.</w:t>
      </w:r>
      <w:r w:rsidR="00581BE1">
        <w:rPr>
          <w:rFonts w:hint="cs"/>
          <w:rtl/>
        </w:rPr>
        <w:t xml:space="preserve"> </w:t>
      </w:r>
    </w:p>
  </w:footnote>
  <w:footnote w:id="1351">
    <w:p w14:paraId="22CB4EDE" w14:textId="77777777" w:rsidR="00DE2F5F" w:rsidRDefault="00DE2F5F" w:rsidP="00951C0F">
      <w:pPr>
        <w:pStyle w:val="a5"/>
      </w:pPr>
      <w:r>
        <w:rPr>
          <w:rStyle w:val="a7"/>
        </w:rPr>
        <w:footnoteRef/>
      </w:r>
      <w:r>
        <w:rPr>
          <w:rtl/>
        </w:rPr>
        <w:t xml:space="preserve"> </w:t>
      </w:r>
      <w:r w:rsidRPr="00647311">
        <w:rPr>
          <w:rFonts w:cs="Arial"/>
          <w:rtl/>
        </w:rPr>
        <w:t>בת"ה סיים שם אם החזיק הישראל כל כך בקרקע הכותי שהכניס בה פועלים לבנות ולנטוע או שהכניס דיורין בבתים איזה זמן אף על פי שביד הכותי לפדות מ"מ חשיב הקרקע כגבוי לישראל כל זמן שלא פדאה הכותי וכח שעבוד כתוב' האש' עליו וראיה מהא דשומא הדרא לעולם וכו' ומהתימ' על הרב מוהרמ"א שהשמיט זה</w:t>
      </w:r>
      <w:r>
        <w:rPr>
          <w:rFonts w:cs="Arial" w:hint="cs"/>
          <w:rtl/>
        </w:rPr>
        <w:t>, ח"מ (סקמ"ח).</w:t>
      </w:r>
    </w:p>
  </w:footnote>
  <w:footnote w:id="1352">
    <w:p w14:paraId="742CFFCB" w14:textId="7AB5E381" w:rsidR="00DE2F5F" w:rsidRDefault="00DE2F5F" w:rsidP="00F1399E">
      <w:pPr>
        <w:pStyle w:val="a5"/>
      </w:pPr>
      <w:r>
        <w:rPr>
          <w:rStyle w:val="a7"/>
        </w:rPr>
        <w:footnoteRef/>
      </w:r>
      <w:r>
        <w:rPr>
          <w:rtl/>
        </w:rPr>
        <w:t xml:space="preserve"> </w:t>
      </w:r>
      <w:r w:rsidRPr="00E56144">
        <w:rPr>
          <w:rFonts w:cs="Arial"/>
          <w:rtl/>
        </w:rPr>
        <w:t>וקשה דהא מה שנתן לה הם נ"מ</w:t>
      </w:r>
      <w:r>
        <w:rPr>
          <w:rFonts w:cs="Arial" w:hint="cs"/>
          <w:rtl/>
        </w:rPr>
        <w:t>... ו</w:t>
      </w:r>
      <w:r w:rsidRPr="00E56144">
        <w:rPr>
          <w:rFonts w:cs="Arial"/>
          <w:rtl/>
        </w:rPr>
        <w:t>הרב כתב לפני זה דנ"מ לכ</w:t>
      </w:r>
      <w:r>
        <w:rPr>
          <w:rFonts w:cs="Arial" w:hint="cs"/>
          <w:rtl/>
        </w:rPr>
        <w:t>ו</w:t>
      </w:r>
      <w:r w:rsidRPr="00E56144">
        <w:rPr>
          <w:rFonts w:cs="Arial"/>
          <w:rtl/>
        </w:rPr>
        <w:t>"ע אם מכרן או משכנן בטל</w:t>
      </w:r>
      <w:r>
        <w:rPr>
          <w:rFonts w:cs="Arial" w:hint="cs"/>
          <w:rtl/>
        </w:rPr>
        <w:t>.</w:t>
      </w:r>
      <w:r w:rsidRPr="00E56144">
        <w:rPr>
          <w:rFonts w:cs="Arial"/>
          <w:rtl/>
        </w:rPr>
        <w:t xml:space="preserve"> ע"כ נראה לפרש שלא נתן לה במתנה גמורה מיד רק שהכניס לה שום משלו ליחד לה כנגד התוס</w:t>
      </w:r>
      <w:r>
        <w:rPr>
          <w:rFonts w:cs="Arial" w:hint="cs"/>
          <w:rtl/>
        </w:rPr>
        <w:t>פת</w:t>
      </w:r>
      <w:r w:rsidRPr="00E56144">
        <w:rPr>
          <w:rFonts w:cs="Arial"/>
          <w:rtl/>
        </w:rPr>
        <w:t xml:space="preserve"> שהוסיף לה</w:t>
      </w:r>
      <w:r>
        <w:rPr>
          <w:rFonts w:cs="Arial" w:hint="cs"/>
          <w:rtl/>
        </w:rPr>
        <w:t>..., ח"מ (סקמ"ט).</w:t>
      </w:r>
      <w:r>
        <w:rPr>
          <w:rFonts w:hint="cs"/>
          <w:rtl/>
        </w:rPr>
        <w:t xml:space="preserve"> ועיין בדברי הב"ש (סקנ"ב) והש"ך (חו"מ סי' עב סקכ"ד)</w:t>
      </w:r>
      <w:r>
        <w:rPr>
          <w:rFonts w:cs="Arial" w:hint="cs"/>
          <w:rtl/>
        </w:rPr>
        <w:t>.</w:t>
      </w:r>
    </w:p>
  </w:footnote>
  <w:footnote w:id="1353">
    <w:p w14:paraId="1B35B75C" w14:textId="5D46D47C" w:rsidR="00DE2F5F" w:rsidRDefault="00DE2F5F">
      <w:pPr>
        <w:pStyle w:val="a5"/>
      </w:pPr>
      <w:r>
        <w:rPr>
          <w:rStyle w:val="a7"/>
        </w:rPr>
        <w:footnoteRef/>
      </w:r>
      <w:r>
        <w:rPr>
          <w:rtl/>
        </w:rPr>
        <w:t xml:space="preserve"> </w:t>
      </w:r>
      <w:r w:rsidRPr="00A36C47">
        <w:rPr>
          <w:rFonts w:cs="Arial"/>
          <w:rtl/>
        </w:rPr>
        <w:t>כתב כאן ע"פ דעת מהר"ם שהביא מהרי"ק בשורש י' שאין לחלק בין בגדי שבת לחול רק באחים שחלקו ולא בב"ח ובעל</w:t>
      </w:r>
      <w:r w:rsidR="00562FC3">
        <w:rPr>
          <w:rFonts w:cs="Arial" w:hint="cs"/>
          <w:rtl/>
        </w:rPr>
        <w:t>.</w:t>
      </w:r>
      <w:r w:rsidRPr="00A36C47">
        <w:rPr>
          <w:rFonts w:cs="Arial"/>
          <w:rtl/>
        </w:rPr>
        <w:t xml:space="preserve"> אבל הרמב"ם </w:t>
      </w:r>
      <w:r w:rsidR="00562FC3">
        <w:rPr>
          <w:rFonts w:cs="Arial" w:hint="cs"/>
          <w:rtl/>
        </w:rPr>
        <w:t>(</w:t>
      </w:r>
      <w:r w:rsidRPr="00A36C47">
        <w:rPr>
          <w:rFonts w:cs="Arial"/>
          <w:rtl/>
        </w:rPr>
        <w:t>פ"א ממלוה</w:t>
      </w:r>
      <w:r w:rsidR="00562FC3">
        <w:rPr>
          <w:rFonts w:cs="Arial" w:hint="cs"/>
          <w:rtl/>
        </w:rPr>
        <w:t>)</w:t>
      </w:r>
      <w:r w:rsidRPr="00A36C47">
        <w:rPr>
          <w:rFonts w:cs="Arial"/>
          <w:rtl/>
        </w:rPr>
        <w:t xml:space="preserve"> כ' דבגדי שבת וי"ט גובה אותן ב"ח</w:t>
      </w:r>
      <w:r w:rsidR="00562FC3">
        <w:rPr>
          <w:rFonts w:cs="Arial" w:hint="cs"/>
          <w:rtl/>
        </w:rPr>
        <w:t>,</w:t>
      </w:r>
      <w:r w:rsidRPr="00A36C47">
        <w:rPr>
          <w:rFonts w:cs="Arial"/>
          <w:rtl/>
        </w:rPr>
        <w:t xml:space="preserve"> וכן סתם המחבר </w:t>
      </w:r>
      <w:r w:rsidR="00562FC3">
        <w:rPr>
          <w:rFonts w:cs="Arial" w:hint="cs"/>
          <w:rtl/>
        </w:rPr>
        <w:t>(</w:t>
      </w:r>
      <w:r w:rsidRPr="00A36C47">
        <w:rPr>
          <w:rFonts w:cs="Arial"/>
          <w:rtl/>
        </w:rPr>
        <w:t>ח</w:t>
      </w:r>
      <w:r w:rsidR="00562FC3">
        <w:rPr>
          <w:rFonts w:cs="Arial" w:hint="cs"/>
          <w:rtl/>
        </w:rPr>
        <w:t>ו</w:t>
      </w:r>
      <w:r w:rsidRPr="00A36C47">
        <w:rPr>
          <w:rFonts w:cs="Arial"/>
          <w:rtl/>
        </w:rPr>
        <w:t>"מ סי' צז סע</w:t>
      </w:r>
      <w:r w:rsidR="00562FC3">
        <w:rPr>
          <w:rFonts w:cs="Arial" w:hint="cs"/>
          <w:rtl/>
        </w:rPr>
        <w:t>'</w:t>
      </w:r>
      <w:r w:rsidRPr="00A36C47">
        <w:rPr>
          <w:rFonts w:cs="Arial"/>
          <w:rtl/>
        </w:rPr>
        <w:t xml:space="preserve"> כו</w:t>
      </w:r>
      <w:r w:rsidR="00562FC3">
        <w:rPr>
          <w:rFonts w:cs="Arial" w:hint="cs"/>
          <w:rtl/>
        </w:rPr>
        <w:t>).</w:t>
      </w:r>
      <w:r w:rsidRPr="00A36C47">
        <w:rPr>
          <w:rFonts w:cs="Arial"/>
          <w:rtl/>
        </w:rPr>
        <w:t xml:space="preserve"> ואין לחלק דכאן לכתחלה קאמר דאין יכול למכור אפי' בגדי שבת</w:t>
      </w:r>
      <w:r w:rsidR="00562FC3">
        <w:rPr>
          <w:rFonts w:cs="Arial" w:hint="cs"/>
          <w:rtl/>
        </w:rPr>
        <w:t>,</w:t>
      </w:r>
      <w:r w:rsidRPr="00A36C47">
        <w:rPr>
          <w:rFonts w:cs="Arial"/>
          <w:rtl/>
        </w:rPr>
        <w:t xml:space="preserve"> דזה אינו</w:t>
      </w:r>
      <w:r w:rsidR="00562FC3">
        <w:rPr>
          <w:rFonts w:cs="Arial" w:hint="cs"/>
          <w:rtl/>
        </w:rPr>
        <w:t>,</w:t>
      </w:r>
      <w:r w:rsidRPr="00A36C47">
        <w:rPr>
          <w:rFonts w:cs="Arial"/>
          <w:rtl/>
        </w:rPr>
        <w:t xml:space="preserve"> דאין לך ב"ח גדול מאם אין לו מה יאכל ולמה לא ימכור בשעת דוחקו וע' לקמן סי' צ"ט</w:t>
      </w:r>
      <w:r>
        <w:rPr>
          <w:rFonts w:cs="Arial" w:hint="cs"/>
          <w:rtl/>
        </w:rPr>
        <w:t>, ח"מ (סקנ"א).</w:t>
      </w:r>
    </w:p>
  </w:footnote>
  <w:footnote w:id="1354">
    <w:p w14:paraId="5E486CB3" w14:textId="5F5357DA" w:rsidR="00DE2F5F" w:rsidRDefault="00DE2F5F">
      <w:pPr>
        <w:pStyle w:val="a5"/>
        <w:rPr>
          <w:rtl/>
        </w:rPr>
      </w:pPr>
      <w:r>
        <w:rPr>
          <w:rStyle w:val="a7"/>
        </w:rPr>
        <w:footnoteRef/>
      </w:r>
      <w:r>
        <w:rPr>
          <w:rtl/>
        </w:rPr>
        <w:t xml:space="preserve"> </w:t>
      </w:r>
      <w:r w:rsidRPr="00360641">
        <w:rPr>
          <w:rFonts w:cs="Arial"/>
          <w:rtl/>
        </w:rPr>
        <w:t>היינו בנתנו לה סתם ולא פירשו ע"מ שלא יהיה לבעל רשות בה באופן המועיל ע"פ הדין וכמו שנתבאר לעיל סי' פ"ה סעיף י"א</w:t>
      </w:r>
      <w:r>
        <w:rPr>
          <w:rFonts w:hint="cs"/>
          <w:rtl/>
        </w:rPr>
        <w:t>, ח"מ (סקנ"ב).</w:t>
      </w:r>
    </w:p>
  </w:footnote>
  <w:footnote w:id="1355">
    <w:p w14:paraId="078C4D97" w14:textId="12B5E90E" w:rsidR="00DE2F5F" w:rsidRDefault="00DE2F5F">
      <w:pPr>
        <w:pStyle w:val="a5"/>
        <w:rPr>
          <w:rtl/>
        </w:rPr>
      </w:pPr>
      <w:r>
        <w:rPr>
          <w:rStyle w:val="a7"/>
        </w:rPr>
        <w:footnoteRef/>
      </w:r>
      <w:r>
        <w:rPr>
          <w:rtl/>
        </w:rPr>
        <w:t xml:space="preserve"> </w:t>
      </w:r>
      <w:r w:rsidRPr="00360641">
        <w:rPr>
          <w:rFonts w:cs="Arial"/>
          <w:rtl/>
        </w:rPr>
        <w:t xml:space="preserve">זה לשון מהרי"ק </w:t>
      </w:r>
      <w:r w:rsidR="00562FC3">
        <w:rPr>
          <w:rFonts w:cs="Arial" w:hint="cs"/>
          <w:rtl/>
        </w:rPr>
        <w:t>(</w:t>
      </w:r>
      <w:r w:rsidRPr="00360641">
        <w:rPr>
          <w:rFonts w:cs="Arial"/>
          <w:rtl/>
        </w:rPr>
        <w:t>שורש י</w:t>
      </w:r>
      <w:r w:rsidR="00562FC3">
        <w:rPr>
          <w:rFonts w:cs="Arial" w:hint="cs"/>
          <w:rtl/>
        </w:rPr>
        <w:t>):</w:t>
      </w:r>
      <w:r w:rsidRPr="00360641">
        <w:rPr>
          <w:rFonts w:cs="Arial"/>
          <w:rtl/>
        </w:rPr>
        <w:t xml:space="preserve"> הכא שאחרים נתנו לה ולא מצינו שנתרצה הבעל מעולם שיהיו שלה ללבוש ולהתקשט ודאי יכול הבעל לטעון ולומר איני חפץ שהיא תתקשט ביותר מהצריך לה והוא ימות ברעב או יחזיר על הפתחים וכו' ע"כ צריכים למכור המלבושים והתכשיטים אותם שאינם צריכה וינתנו המעות בריוח והוא יאכל הריוח מאותן המלבושים עכ"ל</w:t>
      </w:r>
      <w:r w:rsidR="00562FC3">
        <w:rPr>
          <w:rFonts w:cs="Arial" w:hint="cs"/>
          <w:rtl/>
        </w:rPr>
        <w:t>.</w:t>
      </w:r>
      <w:r w:rsidRPr="00360641">
        <w:rPr>
          <w:rFonts w:cs="Arial"/>
          <w:rtl/>
        </w:rPr>
        <w:t xml:space="preserve"> וכן צריך לפרש כאן דברי המחבר אע</w:t>
      </w:r>
      <w:r w:rsidR="00562FC3">
        <w:rPr>
          <w:rFonts w:cs="Arial" w:hint="cs"/>
          <w:rtl/>
        </w:rPr>
        <w:t>"</w:t>
      </w:r>
      <w:r w:rsidRPr="00360641">
        <w:rPr>
          <w:rFonts w:cs="Arial"/>
          <w:rtl/>
        </w:rPr>
        <w:t>פ שסתם דבריו דיכול למוכרם דמשמע לגמרי לפרנס עצמו מן הקרן וזה אינו</w:t>
      </w:r>
      <w:r>
        <w:rPr>
          <w:rFonts w:hint="cs"/>
          <w:rtl/>
        </w:rPr>
        <w:t>, ח"מ (סקנ"ג).</w:t>
      </w:r>
    </w:p>
  </w:footnote>
  <w:footnote w:id="1356">
    <w:p w14:paraId="05BF4B2E" w14:textId="47C10EFE" w:rsidR="001D53BF" w:rsidRDefault="001D53BF">
      <w:pPr>
        <w:pStyle w:val="a5"/>
      </w:pPr>
      <w:r>
        <w:rPr>
          <w:rStyle w:val="a7"/>
        </w:rPr>
        <w:footnoteRef/>
      </w:r>
      <w:r>
        <w:rPr>
          <w:rtl/>
        </w:rPr>
        <w:t xml:space="preserve"> </w:t>
      </w:r>
      <w:r>
        <w:rPr>
          <w:rFonts w:hint="cs"/>
          <w:rtl/>
        </w:rPr>
        <w:t xml:space="preserve">סימן - מכרו ביחד. וכן - מכרו טוגדר (לדף מט). </w:t>
      </w:r>
      <w:r w:rsidR="003564ED">
        <w:rPr>
          <w:rFonts w:hint="cs"/>
          <w:rtl/>
        </w:rPr>
        <w:t>וכן - נחת.</w:t>
      </w:r>
    </w:p>
  </w:footnote>
  <w:footnote w:id="1357">
    <w:p w14:paraId="1CD1640D" w14:textId="77777777" w:rsidR="00DE2F5F" w:rsidRDefault="00DE2F5F" w:rsidP="00A303DC">
      <w:pPr>
        <w:pStyle w:val="a5"/>
        <w:rPr>
          <w:rtl/>
        </w:rPr>
      </w:pPr>
      <w:r>
        <w:rPr>
          <w:rStyle w:val="a7"/>
        </w:rPr>
        <w:footnoteRef/>
      </w:r>
      <w:r>
        <w:rPr>
          <w:rFonts w:hint="cs"/>
          <w:rtl/>
        </w:rPr>
        <w:t xml:space="preserve"> </w:t>
      </w:r>
      <w:r>
        <w:rPr>
          <w:rFonts w:cs="Arial"/>
          <w:rtl/>
        </w:rPr>
        <w:t>ראיית עדים או שטר תועיל לו לקיים מכירתה דאם מכרה לו אשתו נכסי מלוג שלה קנה</w:t>
      </w:r>
      <w:r>
        <w:rPr>
          <w:rFonts w:hint="cs"/>
          <w:rtl/>
        </w:rPr>
        <w:t>, רשב"ם.</w:t>
      </w:r>
    </w:p>
  </w:footnote>
  <w:footnote w:id="1358">
    <w:p w14:paraId="27F7FD92" w14:textId="77777777" w:rsidR="00DE2F5F" w:rsidRDefault="00DE2F5F" w:rsidP="00A303DC">
      <w:pPr>
        <w:pStyle w:val="a5"/>
        <w:rPr>
          <w:rtl/>
        </w:rPr>
      </w:pPr>
      <w:r>
        <w:rPr>
          <w:rStyle w:val="a7"/>
        </w:rPr>
        <w:footnoteRef/>
      </w:r>
      <w:r>
        <w:rPr>
          <w:rFonts w:hint="cs"/>
          <w:rtl/>
        </w:rPr>
        <w:t xml:space="preserve"> </w:t>
      </w:r>
      <w:r>
        <w:rPr>
          <w:rFonts w:cs="Arial"/>
          <w:rtl/>
        </w:rPr>
        <w:t>שמכרתי לו שלא יכעוס עלי אבל לא היה בדעתי להקנותו</w:t>
      </w:r>
      <w:r>
        <w:rPr>
          <w:rFonts w:hint="cs"/>
          <w:rtl/>
        </w:rPr>
        <w:t>, רשב"ם.</w:t>
      </w:r>
    </w:p>
  </w:footnote>
  <w:footnote w:id="1359">
    <w:p w14:paraId="6FC7A260" w14:textId="77777777" w:rsidR="00DE2F5F" w:rsidRDefault="00DE2F5F" w:rsidP="00A303DC">
      <w:pPr>
        <w:pStyle w:val="a5"/>
        <w:rPr>
          <w:rtl/>
        </w:rPr>
      </w:pPr>
      <w:r>
        <w:rPr>
          <w:rStyle w:val="a7"/>
        </w:rPr>
        <w:footnoteRef/>
      </w:r>
      <w:r>
        <w:rPr>
          <w:rFonts w:hint="cs"/>
          <w:rtl/>
        </w:rPr>
        <w:t xml:space="preserve"> </w:t>
      </w:r>
      <w:r>
        <w:rPr>
          <w:rFonts w:cs="Arial"/>
          <w:rtl/>
        </w:rPr>
        <w:t>דכי הך טענה יכולה אשה שתטעון לאחרים שקנו מבעלה וכל שכן שמכרה לבעל עצמו</w:t>
      </w:r>
      <w:r>
        <w:rPr>
          <w:rFonts w:hint="cs"/>
          <w:rtl/>
        </w:rPr>
        <w:t>, רשב"ם.</w:t>
      </w:r>
    </w:p>
  </w:footnote>
  <w:footnote w:id="1360">
    <w:p w14:paraId="58AD42FF" w14:textId="77777777" w:rsidR="00DE2F5F" w:rsidRDefault="00DE2F5F" w:rsidP="00A303DC">
      <w:pPr>
        <w:pStyle w:val="a5"/>
        <w:rPr>
          <w:rtl/>
        </w:rPr>
      </w:pPr>
      <w:r>
        <w:rPr>
          <w:rStyle w:val="a7"/>
        </w:rPr>
        <w:footnoteRef/>
      </w:r>
      <w:r>
        <w:rPr>
          <w:rFonts w:hint="cs"/>
          <w:rtl/>
        </w:rPr>
        <w:t xml:space="preserve"> </w:t>
      </w:r>
      <w:r>
        <w:rPr>
          <w:rFonts w:cs="Arial"/>
          <w:rtl/>
        </w:rPr>
        <w:t>מן הבעל כל קרקעותיו משועבדים לכתובת אשתו והיום או למחר אם ימות או יגרשנה תטרוף מלקוחות אם לא תמצא בני חורין</w:t>
      </w:r>
      <w:r>
        <w:rPr>
          <w:rFonts w:hint="cs"/>
          <w:rtl/>
        </w:rPr>
        <w:t>, רשב"ם.</w:t>
      </w:r>
    </w:p>
  </w:footnote>
  <w:footnote w:id="1361">
    <w:p w14:paraId="09F00FE0" w14:textId="77777777" w:rsidR="00DE2F5F" w:rsidRDefault="00DE2F5F" w:rsidP="00A303DC">
      <w:pPr>
        <w:pStyle w:val="a5"/>
        <w:rPr>
          <w:rtl/>
        </w:rPr>
      </w:pPr>
      <w:r>
        <w:rPr>
          <w:rStyle w:val="a7"/>
        </w:rPr>
        <w:footnoteRef/>
      </w:r>
      <w:r>
        <w:rPr>
          <w:rFonts w:hint="cs"/>
          <w:rtl/>
        </w:rPr>
        <w:t xml:space="preserve"> </w:t>
      </w:r>
      <w:r>
        <w:rPr>
          <w:rFonts w:cs="Arial"/>
          <w:rtl/>
        </w:rPr>
        <w:t>זה הלוקח</w:t>
      </w:r>
      <w:r>
        <w:rPr>
          <w:rFonts w:hint="cs"/>
          <w:rtl/>
        </w:rPr>
        <w:t>, רשב"ם.</w:t>
      </w:r>
    </w:p>
  </w:footnote>
  <w:footnote w:id="1362">
    <w:p w14:paraId="599DB2AE" w14:textId="77777777" w:rsidR="00DE2F5F" w:rsidRDefault="00DE2F5F" w:rsidP="00A303DC">
      <w:pPr>
        <w:pStyle w:val="a5"/>
        <w:rPr>
          <w:rtl/>
        </w:rPr>
      </w:pPr>
      <w:r>
        <w:rPr>
          <w:rStyle w:val="a7"/>
        </w:rPr>
        <w:footnoteRef/>
      </w:r>
      <w:r>
        <w:rPr>
          <w:rFonts w:hint="cs"/>
          <w:rtl/>
        </w:rPr>
        <w:t xml:space="preserve"> </w:t>
      </w:r>
      <w:r>
        <w:rPr>
          <w:rFonts w:cs="Arial"/>
          <w:rtl/>
        </w:rPr>
        <w:t>נתן לה דבר מועט והקנתו לו כדי שלא תטרוף ממנו חוב כתובתה</w:t>
      </w:r>
      <w:r>
        <w:rPr>
          <w:rFonts w:hint="cs"/>
          <w:rtl/>
        </w:rPr>
        <w:t>, רשב"ם.</w:t>
      </w:r>
    </w:p>
  </w:footnote>
  <w:footnote w:id="1363">
    <w:p w14:paraId="11DCA0CB" w14:textId="77777777" w:rsidR="00DE2F5F" w:rsidRDefault="00DE2F5F" w:rsidP="00A303DC">
      <w:pPr>
        <w:pStyle w:val="a5"/>
        <w:rPr>
          <w:rtl/>
        </w:rPr>
      </w:pPr>
      <w:r>
        <w:rPr>
          <w:rStyle w:val="a7"/>
        </w:rPr>
        <w:footnoteRef/>
      </w:r>
      <w:r>
        <w:rPr>
          <w:rFonts w:hint="cs"/>
          <w:rtl/>
        </w:rPr>
        <w:t xml:space="preserve"> </w:t>
      </w:r>
      <w:r>
        <w:rPr>
          <w:rFonts w:cs="Arial"/>
          <w:rtl/>
        </w:rPr>
        <w:t>לא בטל ממש שכל זמן שיחיה הבעל יאכל זה הלוקח פירות אלא האי מקחו בטל אחזר ולקח מן האשה קאי דהוי בטל לגמרי ההוא מקח וכשתבוא לגבות כתובתה תטרוף ממנו</w:t>
      </w:r>
      <w:r>
        <w:rPr>
          <w:rFonts w:hint="cs"/>
          <w:rtl/>
        </w:rPr>
        <w:t>, רשב"ם.</w:t>
      </w:r>
    </w:p>
  </w:footnote>
  <w:footnote w:id="1364">
    <w:p w14:paraId="58114E95" w14:textId="77777777" w:rsidR="00DE2F5F" w:rsidRDefault="00DE2F5F" w:rsidP="00A303DC">
      <w:pPr>
        <w:pStyle w:val="a5"/>
        <w:rPr>
          <w:rtl/>
        </w:rPr>
      </w:pPr>
      <w:r>
        <w:rPr>
          <w:rStyle w:val="a7"/>
        </w:rPr>
        <w:footnoteRef/>
      </w:r>
      <w:r>
        <w:rPr>
          <w:rFonts w:hint="cs"/>
          <w:rtl/>
        </w:rPr>
        <w:t xml:space="preserve"> </w:t>
      </w:r>
      <w:r>
        <w:rPr>
          <w:rFonts w:cs="Arial"/>
          <w:rtl/>
        </w:rPr>
        <w:t>למיתני מקחו בטל היכא דחזר ולקח מן האשה אלא באותן ג' שדות המשועבדות לה יותר משאר נכסים ודעתה סמכה עלייהו טפי דודאי לא גמרה ואקנייה אלא נחת רוח עשתה לבעלה</w:t>
      </w:r>
      <w:r>
        <w:rPr>
          <w:rFonts w:hint="cs"/>
          <w:rtl/>
        </w:rPr>
        <w:t>, רשב"ם.</w:t>
      </w:r>
    </w:p>
  </w:footnote>
  <w:footnote w:id="1365">
    <w:p w14:paraId="2B0084DE" w14:textId="77777777" w:rsidR="00DE2F5F" w:rsidRDefault="00DE2F5F" w:rsidP="00A303DC">
      <w:pPr>
        <w:pStyle w:val="a5"/>
        <w:rPr>
          <w:rtl/>
        </w:rPr>
      </w:pPr>
      <w:r>
        <w:rPr>
          <w:rStyle w:val="a7"/>
        </w:rPr>
        <w:footnoteRef/>
      </w:r>
      <w:r>
        <w:rPr>
          <w:rFonts w:hint="cs"/>
          <w:rtl/>
        </w:rPr>
        <w:t xml:space="preserve"> </w:t>
      </w:r>
      <w:r>
        <w:rPr>
          <w:rFonts w:cs="Arial"/>
          <w:rtl/>
        </w:rPr>
        <w:t>כלומר א' מהג' שדות הוא שדה ששיעבד לה בפירוש והזכירו בשטר הכתובה וסמכה דעתה עליה טפי משאר נכסים</w:t>
      </w:r>
      <w:r>
        <w:rPr>
          <w:rFonts w:hint="cs"/>
          <w:rtl/>
        </w:rPr>
        <w:t>, רשב"ם.</w:t>
      </w:r>
    </w:p>
  </w:footnote>
  <w:footnote w:id="1366">
    <w:p w14:paraId="4DF61137" w14:textId="77777777" w:rsidR="00DE2F5F" w:rsidRDefault="00DE2F5F" w:rsidP="00A303DC">
      <w:pPr>
        <w:pStyle w:val="a5"/>
        <w:rPr>
          <w:rtl/>
        </w:rPr>
      </w:pPr>
      <w:r>
        <w:rPr>
          <w:rStyle w:val="a7"/>
        </w:rPr>
        <w:footnoteRef/>
      </w:r>
      <w:r>
        <w:rPr>
          <w:rFonts w:hint="cs"/>
          <w:rtl/>
        </w:rPr>
        <w:t xml:space="preserve"> </w:t>
      </w:r>
      <w:r>
        <w:rPr>
          <w:rFonts w:cs="Arial"/>
          <w:rtl/>
        </w:rPr>
        <w:t>לא נכתב בתוך השטר אלא לאחר הנישואין ייחד לה א' משדותיו ועשאו אפותיקי לגבות ממנו כתובתה</w:t>
      </w:r>
      <w:r>
        <w:rPr>
          <w:rFonts w:hint="cs"/>
          <w:rtl/>
        </w:rPr>
        <w:t>, רשב"ם.</w:t>
      </w:r>
    </w:p>
  </w:footnote>
  <w:footnote w:id="1367">
    <w:p w14:paraId="73FF3947" w14:textId="77777777" w:rsidR="00DE2F5F" w:rsidRDefault="00DE2F5F" w:rsidP="00A303DC">
      <w:pPr>
        <w:pStyle w:val="a5"/>
        <w:rPr>
          <w:rtl/>
        </w:rPr>
      </w:pPr>
      <w:r>
        <w:rPr>
          <w:rStyle w:val="a7"/>
        </w:rPr>
        <w:footnoteRef/>
      </w:r>
      <w:r>
        <w:rPr>
          <w:rFonts w:hint="cs"/>
          <w:rtl/>
        </w:rPr>
        <w:t xml:space="preserve">  </w:t>
      </w:r>
      <w:r>
        <w:rPr>
          <w:rFonts w:cs="Arial"/>
          <w:rtl/>
        </w:rPr>
        <w:t>שדה שהכניסה לו מבית אביה ושמו אותו וכתבו שוויו בשטר הכתובה והם נכסי צאן ברזל</w:t>
      </w:r>
      <w:r>
        <w:rPr>
          <w:rFonts w:hint="cs"/>
          <w:rtl/>
        </w:rPr>
        <w:t>, רשב"ם.</w:t>
      </w:r>
    </w:p>
  </w:footnote>
  <w:footnote w:id="1368">
    <w:p w14:paraId="214551E1" w14:textId="77777777" w:rsidR="00DE2F5F" w:rsidRDefault="00DE2F5F" w:rsidP="00A303DC">
      <w:pPr>
        <w:pStyle w:val="a5"/>
        <w:rPr>
          <w:rtl/>
        </w:rPr>
      </w:pPr>
      <w:r>
        <w:rPr>
          <w:rStyle w:val="a7"/>
        </w:rPr>
        <w:footnoteRef/>
      </w:r>
      <w:r>
        <w:rPr>
          <w:rFonts w:hint="cs"/>
          <w:rtl/>
        </w:rPr>
        <w:t xml:space="preserve">  </w:t>
      </w:r>
      <w:r>
        <w:rPr>
          <w:rFonts w:cs="Arial"/>
          <w:rtl/>
        </w:rPr>
        <w:t>נקט ג' שדות הללו דהוי מקחו בטל ולא שדה אחרת</w:t>
      </w:r>
      <w:r>
        <w:rPr>
          <w:rFonts w:hint="cs"/>
          <w:rtl/>
        </w:rPr>
        <w:t>, רשב"ם.</w:t>
      </w:r>
    </w:p>
  </w:footnote>
  <w:footnote w:id="1369">
    <w:p w14:paraId="7B62EC97" w14:textId="77777777" w:rsidR="00DE2F5F" w:rsidRDefault="00DE2F5F" w:rsidP="00A303DC">
      <w:pPr>
        <w:pStyle w:val="a5"/>
        <w:rPr>
          <w:rtl/>
        </w:rPr>
      </w:pPr>
      <w:r>
        <w:rPr>
          <w:rStyle w:val="a7"/>
        </w:rPr>
        <w:footnoteRef/>
      </w:r>
      <w:r>
        <w:rPr>
          <w:rFonts w:hint="cs"/>
          <w:rtl/>
        </w:rPr>
        <w:t xml:space="preserve">  </w:t>
      </w:r>
      <w:r>
        <w:rPr>
          <w:rFonts w:cs="Arial"/>
          <w:rtl/>
        </w:rPr>
        <w:t>וקרקעות של בעל המשועבדים לה</w:t>
      </w:r>
      <w:r>
        <w:rPr>
          <w:rFonts w:hint="cs"/>
          <w:rtl/>
        </w:rPr>
        <w:t>, רשב"ם.</w:t>
      </w:r>
    </w:p>
  </w:footnote>
  <w:footnote w:id="1370">
    <w:p w14:paraId="1D1B647A" w14:textId="77777777" w:rsidR="00DE2F5F" w:rsidRDefault="00DE2F5F" w:rsidP="00A303DC">
      <w:pPr>
        <w:pStyle w:val="a5"/>
        <w:rPr>
          <w:rtl/>
        </w:rPr>
      </w:pPr>
      <w:r>
        <w:rPr>
          <w:rStyle w:val="a7"/>
        </w:rPr>
        <w:footnoteRef/>
      </w:r>
      <w:r>
        <w:rPr>
          <w:rFonts w:hint="cs"/>
          <w:rtl/>
        </w:rPr>
        <w:t xml:space="preserve">  </w:t>
      </w:r>
      <w:r>
        <w:rPr>
          <w:rFonts w:cs="Arial"/>
          <w:rtl/>
        </w:rPr>
        <w:t>דמציא אמרה נחת רוח עשיתי לבעלי דאי לא כתבה ללוקח ה"ל איבה דא"ל בעלה עינך נתת בגרושין או מיתה ולכך אין את מנחת למכור מנכסי כלום אבל בהנך ג' שדות לא אמר לה בעל דמאחר שייחדם לה דין הוא שתערער במכירתן ואפילו הכי מקחו בטל דכיון דמכל מקום אינם שלה לגמרי כי אם של בעל מציא אמרה נחת רוח עשיתי לבעלי</w:t>
      </w:r>
      <w:r>
        <w:rPr>
          <w:rFonts w:hint="cs"/>
          <w:rtl/>
        </w:rPr>
        <w:t>, רשב"ם.</w:t>
      </w:r>
    </w:p>
  </w:footnote>
  <w:footnote w:id="1371">
    <w:p w14:paraId="3EEA6D78" w14:textId="77777777" w:rsidR="00DE2F5F" w:rsidRDefault="00DE2F5F" w:rsidP="00A303DC">
      <w:pPr>
        <w:pStyle w:val="a5"/>
        <w:rPr>
          <w:rtl/>
        </w:rPr>
      </w:pPr>
      <w:r>
        <w:rPr>
          <w:rStyle w:val="a7"/>
        </w:rPr>
        <w:footnoteRef/>
      </w:r>
      <w:r>
        <w:rPr>
          <w:rFonts w:hint="cs"/>
          <w:rtl/>
        </w:rPr>
        <w:t xml:space="preserve">  </w:t>
      </w:r>
      <w:r>
        <w:rPr>
          <w:rFonts w:cs="Arial"/>
          <w:rtl/>
        </w:rPr>
        <w:t>דכיון דשלה הם אינה יגורה מבעלה למחות בו שלא ימכור ולא מציא למימר נחת רוח עשיתי לבעלי</w:t>
      </w:r>
      <w:r>
        <w:rPr>
          <w:rFonts w:hint="cs"/>
          <w:rtl/>
        </w:rPr>
        <w:t>, רשב"ם.</w:t>
      </w:r>
    </w:p>
  </w:footnote>
  <w:footnote w:id="1372">
    <w:p w14:paraId="44255CEF" w14:textId="37CB0742" w:rsidR="00DE2F5F" w:rsidRDefault="00DE2F5F">
      <w:pPr>
        <w:pStyle w:val="a5"/>
        <w:rPr>
          <w:rtl/>
        </w:rPr>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8C513A">
        <w:rPr>
          <w:rFonts w:cs="Arial"/>
          <w:rtl/>
        </w:rPr>
        <w:t>מכרו שניהם ביחד</w:t>
      </w:r>
      <w:r>
        <w:rPr>
          <w:rFonts w:cs="Arial" w:hint="cs"/>
          <w:rtl/>
        </w:rPr>
        <w:t>,</w:t>
      </w:r>
      <w:r w:rsidRPr="008C513A">
        <w:rPr>
          <w:rFonts w:cs="Arial"/>
          <w:rtl/>
        </w:rPr>
        <w:t xml:space="preserve"> או אפילו לקח מהאיש תחלה ואח"כ מהאשה </w:t>
      </w:r>
      <w:r>
        <w:rPr>
          <w:rFonts w:cs="Arial" w:hint="cs"/>
          <w:rtl/>
        </w:rPr>
        <w:t xml:space="preserve">- </w:t>
      </w:r>
      <w:r w:rsidRPr="008C513A">
        <w:rPr>
          <w:rFonts w:cs="Arial"/>
          <w:rtl/>
        </w:rPr>
        <w:t>המכר קיים בנכסי מלוג</w:t>
      </w:r>
      <w:r>
        <w:rPr>
          <w:rFonts w:cs="Arial" w:hint="cs"/>
          <w:rtl/>
        </w:rPr>
        <w:t>.</w:t>
      </w:r>
    </w:p>
  </w:footnote>
  <w:footnote w:id="1373">
    <w:p w14:paraId="6F15481D" w14:textId="3B92284F" w:rsidR="00DE2F5F" w:rsidRDefault="00DE2F5F" w:rsidP="008472CD">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8472CD">
        <w:rPr>
          <w:rFonts w:cs="Arial"/>
          <w:rtl/>
        </w:rPr>
        <w:t>הבעל שמכר נכסיו ואחר כך כתבה אשתו ללוקח דין ודברים אין לי עמך והסכימה למעשיו אף על פי שקנו ממנה הרי זו טורפת, שלא כתבה לו אלא שלא תהיה בינה ובין בעלה קטטה ויש לה לומר נחת רוח עשיתי לבעלי, אבל אם קנו מיד האשה תחלה שאין לה שיעבוד על מקום זה ואחר כך מכר אותו הבעל אינה טורפת אותו.</w:t>
      </w:r>
    </w:p>
  </w:footnote>
  <w:footnote w:id="1374">
    <w:p w14:paraId="04DEBCA7" w14:textId="7B2F4CB9" w:rsidR="00DE2F5F" w:rsidRDefault="00DE2F5F">
      <w:pPr>
        <w:pStyle w:val="a5"/>
      </w:pPr>
      <w:r>
        <w:rPr>
          <w:rStyle w:val="a7"/>
        </w:rPr>
        <w:footnoteRef/>
      </w:r>
      <w:r>
        <w:rPr>
          <w:rtl/>
        </w:rPr>
        <w:t xml:space="preserve"> </w:t>
      </w:r>
      <w:r>
        <w:rPr>
          <w:rFonts w:cs="Arial"/>
          <w:rtl/>
        </w:rPr>
        <w:t>ובפ"ל מהלכות מכירה (ה"ג) כתב</w:t>
      </w:r>
      <w:r>
        <w:rPr>
          <w:rFonts w:cs="Arial" w:hint="cs"/>
          <w:rtl/>
        </w:rPr>
        <w:t xml:space="preserve"> </w:t>
      </w:r>
      <w:r>
        <w:rPr>
          <w:rFonts w:cs="Arial" w:hint="cs"/>
          <w:sz w:val="16"/>
          <w:szCs w:val="16"/>
          <w:rtl/>
        </w:rPr>
        <w:t>{הרמב"ם}</w:t>
      </w:r>
      <w:r w:rsidR="00F91069">
        <w:rPr>
          <w:rFonts w:cs="Arial" w:hint="cs"/>
          <w:rtl/>
        </w:rPr>
        <w:t>:</w:t>
      </w:r>
      <w:r>
        <w:rPr>
          <w:rFonts w:cs="Arial"/>
          <w:rtl/>
        </w:rPr>
        <w:t xml:space="preserve"> הבעל שמכר או נתן בין קרקע שהכניסה לו אשתו בכתובתה</w:t>
      </w:r>
      <w:r w:rsidR="00F91069">
        <w:rPr>
          <w:rFonts w:cs="Arial" w:hint="cs"/>
          <w:rtl/>
        </w:rPr>
        <w:t>,</w:t>
      </w:r>
      <w:r>
        <w:rPr>
          <w:rFonts w:cs="Arial"/>
          <w:rtl/>
        </w:rPr>
        <w:t xml:space="preserve"> או קרקע שהכניס לה שום משלו</w:t>
      </w:r>
      <w:r w:rsidR="00F91069">
        <w:rPr>
          <w:rFonts w:cs="Arial" w:hint="cs"/>
          <w:rtl/>
        </w:rPr>
        <w:t>,</w:t>
      </w:r>
      <w:r>
        <w:rPr>
          <w:rFonts w:cs="Arial"/>
          <w:rtl/>
        </w:rPr>
        <w:t xml:space="preserve"> בין קרקע שייחד לה בכתובתה</w:t>
      </w:r>
      <w:r w:rsidR="00F91069">
        <w:rPr>
          <w:rFonts w:cs="Arial" w:hint="cs"/>
          <w:rtl/>
        </w:rPr>
        <w:t>,</w:t>
      </w:r>
      <w:r>
        <w:rPr>
          <w:rFonts w:cs="Arial"/>
          <w:rtl/>
        </w:rPr>
        <w:t xml:space="preserve"> אע</w:t>
      </w:r>
      <w:r w:rsidR="00F91069">
        <w:rPr>
          <w:rFonts w:cs="Arial" w:hint="cs"/>
          <w:rtl/>
        </w:rPr>
        <w:t>"</w:t>
      </w:r>
      <w:r>
        <w:rPr>
          <w:rFonts w:cs="Arial"/>
          <w:rtl/>
        </w:rPr>
        <w:t xml:space="preserve">פ שקנו מיד האשה אחר שקיימה מעשיו </w:t>
      </w:r>
      <w:r w:rsidR="00F91069">
        <w:rPr>
          <w:rFonts w:cs="Arial" w:hint="cs"/>
          <w:rtl/>
        </w:rPr>
        <w:t xml:space="preserve">- </w:t>
      </w:r>
      <w:r>
        <w:rPr>
          <w:rFonts w:cs="Arial"/>
          <w:rtl/>
        </w:rPr>
        <w:t xml:space="preserve">הרי כל מעשיו בטל מפני שהיא אומרת נחת רוח עשיתי לבעלי. </w:t>
      </w:r>
      <w:r>
        <w:rPr>
          <w:rFonts w:cs="Arial" w:hint="cs"/>
          <w:rtl/>
        </w:rPr>
        <w:t xml:space="preserve">עכ"ל. </w:t>
      </w:r>
      <w:r>
        <w:rPr>
          <w:rFonts w:cs="Arial"/>
          <w:rtl/>
        </w:rPr>
        <w:t xml:space="preserve">וכתב הרב המגיד </w:t>
      </w:r>
      <w:r>
        <w:rPr>
          <w:rFonts w:cs="Arial" w:hint="cs"/>
          <w:rtl/>
        </w:rPr>
        <w:t xml:space="preserve">(שם) </w:t>
      </w:r>
      <w:r>
        <w:rPr>
          <w:rFonts w:cs="Arial"/>
          <w:rtl/>
        </w:rPr>
        <w:t>דעת רוב המפרשים שבאלו מקחו בטל לאלתר וזה דעת המחבר</w:t>
      </w:r>
      <w:r w:rsidR="00F91069">
        <w:rPr>
          <w:rFonts w:cs="Arial" w:hint="cs"/>
          <w:rtl/>
        </w:rPr>
        <w:t>, ב"י</w:t>
      </w:r>
      <w:r>
        <w:rPr>
          <w:rFonts w:cs="Arial" w:hint="cs"/>
          <w:rtl/>
        </w:rPr>
        <w:t>.</w:t>
      </w:r>
    </w:p>
  </w:footnote>
  <w:footnote w:id="1375">
    <w:p w14:paraId="3DE85FA8" w14:textId="77777777" w:rsidR="00DE2F5F" w:rsidRDefault="00DE2F5F" w:rsidP="007C1187">
      <w:pPr>
        <w:pStyle w:val="a5"/>
        <w:rPr>
          <w:rtl/>
        </w:rPr>
      </w:pPr>
      <w:r>
        <w:rPr>
          <w:rStyle w:val="a7"/>
        </w:rPr>
        <w:footnoteRef/>
      </w:r>
      <w:r>
        <w:rPr>
          <w:rtl/>
        </w:rPr>
        <w:t xml:space="preserve"> </w:t>
      </w:r>
      <w:r w:rsidRPr="008B78CF">
        <w:rPr>
          <w:rFonts w:cs="Arial"/>
          <w:rtl/>
        </w:rPr>
        <w:t>וכ"כ</w:t>
      </w:r>
      <w:r>
        <w:rPr>
          <w:rFonts w:cs="Arial" w:hint="cs"/>
          <w:rtl/>
        </w:rPr>
        <w:t xml:space="preserve"> </w:t>
      </w:r>
      <w:r w:rsidRPr="008B78CF">
        <w:rPr>
          <w:rFonts w:cs="Arial"/>
          <w:rtl/>
        </w:rPr>
        <w:t>נמוק</w:t>
      </w:r>
      <w:r>
        <w:rPr>
          <w:rFonts w:cs="Arial" w:hint="cs"/>
          <w:rtl/>
        </w:rPr>
        <w:t>"</w:t>
      </w:r>
      <w:r w:rsidRPr="008B78CF">
        <w:rPr>
          <w:rFonts w:cs="Arial"/>
          <w:rtl/>
        </w:rPr>
        <w:t>י</w:t>
      </w:r>
      <w:r>
        <w:rPr>
          <w:rFonts w:cs="Arial" w:hint="cs"/>
          <w:rtl/>
        </w:rPr>
        <w:t xml:space="preserve"> (</w:t>
      </w:r>
      <w:r w:rsidRPr="008B78CF">
        <w:rPr>
          <w:rFonts w:cs="Arial"/>
          <w:rtl/>
        </w:rPr>
        <w:t>פרק חזקת כו סוע"ב)</w:t>
      </w:r>
      <w:r>
        <w:rPr>
          <w:rFonts w:cs="Arial" w:hint="cs"/>
          <w:rtl/>
        </w:rPr>
        <w:t>, דרכ"מ (אות יט).</w:t>
      </w:r>
    </w:p>
  </w:footnote>
  <w:footnote w:id="1376">
    <w:p w14:paraId="59523311" w14:textId="219179AC" w:rsidR="00DE2F5F" w:rsidRDefault="00DE2F5F" w:rsidP="00B10002">
      <w:pPr>
        <w:pStyle w:val="a5"/>
        <w:rPr>
          <w:rtl/>
        </w:rPr>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B10002">
        <w:rPr>
          <w:rFonts w:cs="Arial"/>
          <w:rtl/>
        </w:rPr>
        <w:t>וכן האשה שמכרה או נתנה נכסי מלוג לבעלה מכרה ומתנתה קיימין ואינה יכולה לומר בנכסי מלוג נחת רוח עשיתי לבעלי, אבל בשאר נכסים יש לה לומר</w:t>
      </w:r>
      <w:r>
        <w:rPr>
          <w:rFonts w:cs="Arial" w:hint="cs"/>
          <w:rtl/>
        </w:rPr>
        <w:t>.</w:t>
      </w:r>
    </w:p>
  </w:footnote>
  <w:footnote w:id="1377">
    <w:p w14:paraId="067DD9B4" w14:textId="7DABF5BD" w:rsidR="00DE2F5F" w:rsidRDefault="00DE2F5F" w:rsidP="00E52455">
      <w:pPr>
        <w:pStyle w:val="a5"/>
      </w:pPr>
      <w:r>
        <w:rPr>
          <w:rStyle w:val="a7"/>
        </w:rPr>
        <w:footnoteRef/>
      </w:r>
      <w:r w:rsidRPr="00843F99">
        <w:rPr>
          <w:rFonts w:cs="Arial"/>
          <w:rtl/>
        </w:rPr>
        <w:t xml:space="preserve"> וכ"כ המרדכי </w:t>
      </w:r>
      <w:r>
        <w:rPr>
          <w:rFonts w:cs="Arial" w:hint="cs"/>
          <w:rtl/>
        </w:rPr>
        <w:t>(</w:t>
      </w:r>
      <w:r w:rsidRPr="00843F99">
        <w:rPr>
          <w:rFonts w:cs="Arial"/>
          <w:rtl/>
        </w:rPr>
        <w:t>פרק הניזקין</w:t>
      </w:r>
      <w:r>
        <w:rPr>
          <w:rFonts w:cs="Arial" w:hint="cs"/>
          <w:rtl/>
        </w:rPr>
        <w:t xml:space="preserve"> </w:t>
      </w:r>
      <w:r w:rsidRPr="00843F99">
        <w:rPr>
          <w:rFonts w:cs="Arial"/>
          <w:rtl/>
        </w:rPr>
        <w:t>סי' שצה) ונמוק</w:t>
      </w:r>
      <w:r>
        <w:rPr>
          <w:rFonts w:cs="Arial" w:hint="cs"/>
          <w:rtl/>
        </w:rPr>
        <w:t>"</w:t>
      </w:r>
      <w:r w:rsidRPr="00843F99">
        <w:rPr>
          <w:rFonts w:cs="Arial"/>
          <w:rtl/>
        </w:rPr>
        <w:t xml:space="preserve">י </w:t>
      </w:r>
      <w:r>
        <w:rPr>
          <w:rFonts w:cs="Arial" w:hint="cs"/>
          <w:rtl/>
        </w:rPr>
        <w:t>(</w:t>
      </w:r>
      <w:r w:rsidRPr="00843F99">
        <w:rPr>
          <w:rFonts w:cs="Arial"/>
          <w:rtl/>
        </w:rPr>
        <w:t>פ</w:t>
      </w:r>
      <w:r>
        <w:rPr>
          <w:rFonts w:cs="Arial" w:hint="cs"/>
          <w:rtl/>
        </w:rPr>
        <w:t>'</w:t>
      </w:r>
      <w:r w:rsidRPr="00843F99">
        <w:rPr>
          <w:rFonts w:cs="Arial"/>
          <w:rtl/>
        </w:rPr>
        <w:t xml:space="preserve"> אלמנה לכ"ג כב</w:t>
      </w:r>
      <w:r>
        <w:rPr>
          <w:rFonts w:cs="Arial" w:hint="cs"/>
          <w:rtl/>
        </w:rPr>
        <w:t>.</w:t>
      </w:r>
      <w:r w:rsidRPr="00843F99">
        <w:rPr>
          <w:rFonts w:cs="Arial"/>
          <w:rtl/>
        </w:rPr>
        <w:t>)</w:t>
      </w:r>
      <w:r>
        <w:rPr>
          <w:rFonts w:cs="Arial" w:hint="cs"/>
          <w:rtl/>
        </w:rPr>
        <w:t>, דרכ"מ (אות טז).</w:t>
      </w:r>
      <w:r w:rsidRPr="00D0315E">
        <w:rPr>
          <w:rFonts w:cs="Arial"/>
          <w:rtl/>
        </w:rPr>
        <w:t xml:space="preserve"> </w:t>
      </w:r>
      <w:r>
        <w:rPr>
          <w:rFonts w:cs="Arial"/>
          <w:rtl/>
        </w:rPr>
        <w:t>ובספר התרומות שער ששי (ח' א - ב) האריך הרבה בדינים אלו וכתב בהם כמה דינים מחודשים</w:t>
      </w:r>
      <w:r>
        <w:rPr>
          <w:rFonts w:cs="Arial" w:hint="cs"/>
          <w:rtl/>
        </w:rPr>
        <w:t>, ב"י</w:t>
      </w:r>
      <w:r>
        <w:rPr>
          <w:rFonts w:cs="Arial"/>
          <w:rtl/>
        </w:rPr>
        <w:t>.</w:t>
      </w:r>
    </w:p>
  </w:footnote>
  <w:footnote w:id="1378">
    <w:p w14:paraId="4444A6BA" w14:textId="665FBABD" w:rsidR="00DE2F5F" w:rsidRDefault="00DE2F5F" w:rsidP="00FC05BD">
      <w:pPr>
        <w:pStyle w:val="a5"/>
      </w:pPr>
      <w:r>
        <w:rPr>
          <w:rStyle w:val="a7"/>
        </w:rPr>
        <w:footnoteRef/>
      </w:r>
      <w:r>
        <w:rPr>
          <w:rFonts w:cs="Arial" w:hint="cs"/>
          <w:rtl/>
        </w:rPr>
        <w:t xml:space="preserve"> </w:t>
      </w:r>
      <w:r w:rsidRPr="005F7941">
        <w:rPr>
          <w:rFonts w:cs="Arial"/>
          <w:rtl/>
        </w:rPr>
        <w:t>כתב הרב המגיד (הי"ח)</w:t>
      </w:r>
      <w:r>
        <w:rPr>
          <w:rFonts w:cs="Arial" w:hint="cs"/>
          <w:rtl/>
        </w:rPr>
        <w:t>-</w:t>
      </w:r>
      <w:r w:rsidRPr="005F7941">
        <w:rPr>
          <w:rFonts w:cs="Arial"/>
          <w:rtl/>
        </w:rPr>
        <w:t xml:space="preserve"> יש דברים בהשגות שנראה מהם ש</w:t>
      </w:r>
      <w:r>
        <w:rPr>
          <w:rFonts w:cs="Arial" w:hint="cs"/>
          <w:rtl/>
        </w:rPr>
        <w:t>-...</w:t>
      </w:r>
    </w:p>
  </w:footnote>
  <w:footnote w:id="1379">
    <w:p w14:paraId="6B3F958D" w14:textId="77777777" w:rsidR="00DE2F5F" w:rsidRDefault="00DE2F5F" w:rsidP="002926CA">
      <w:pPr>
        <w:pStyle w:val="a5"/>
      </w:pPr>
      <w:r>
        <w:rPr>
          <w:rStyle w:val="a7"/>
        </w:rPr>
        <w:footnoteRef/>
      </w:r>
      <w:r>
        <w:rPr>
          <w:rFonts w:cs="Arial" w:hint="cs"/>
          <w:rtl/>
        </w:rPr>
        <w:t xml:space="preserve"> </w:t>
      </w:r>
      <w:r w:rsidRPr="005F7941">
        <w:rPr>
          <w:rFonts w:cs="Arial"/>
          <w:rtl/>
        </w:rPr>
        <w:t>והא ודאי אם איתא שדעת הרמב"ם כמו שכתב הרב המגיד</w:t>
      </w:r>
      <w:r>
        <w:rPr>
          <w:rFonts w:cs="Arial" w:hint="cs"/>
          <w:rtl/>
        </w:rPr>
        <w:t>,</w:t>
      </w:r>
      <w:r w:rsidRPr="005F7941">
        <w:rPr>
          <w:rFonts w:cs="Arial"/>
          <w:rtl/>
        </w:rPr>
        <w:t xml:space="preserve"> לענין הלכה לא נקטינן כהרא"ש</w:t>
      </w:r>
      <w:r>
        <w:rPr>
          <w:rFonts w:cs="Arial" w:hint="cs"/>
          <w:rtl/>
        </w:rPr>
        <w:t>,</w:t>
      </w:r>
      <w:r w:rsidRPr="005F7941">
        <w:rPr>
          <w:rFonts w:cs="Arial"/>
          <w:rtl/>
        </w:rPr>
        <w:t xml:space="preserve"> כיון דרבים פליגי עליה</w:t>
      </w:r>
      <w:r>
        <w:rPr>
          <w:rFonts w:cs="Arial" w:hint="cs"/>
          <w:rtl/>
        </w:rPr>
        <w:t>.</w:t>
      </w:r>
      <w:r w:rsidRPr="005F7941">
        <w:rPr>
          <w:rFonts w:cs="Arial"/>
          <w:rtl/>
        </w:rPr>
        <w:t xml:space="preserve"> אלא מיהו נראה מדקדוק דברי הרמב"ם דהא דלא מהני מחילתה או מכירתה לבעלה בנכסי צאן ברזל</w:t>
      </w:r>
      <w:r>
        <w:rPr>
          <w:rFonts w:cs="Arial" w:hint="cs"/>
          <w:rtl/>
        </w:rPr>
        <w:t>,</w:t>
      </w:r>
      <w:r w:rsidRPr="005F7941">
        <w:rPr>
          <w:rFonts w:cs="Arial"/>
          <w:rtl/>
        </w:rPr>
        <w:t xml:space="preserve"> דוקא בשטענה נחת רוח עשיתי לבעלי</w:t>
      </w:r>
      <w:r>
        <w:rPr>
          <w:rFonts w:cs="Arial" w:hint="cs"/>
          <w:rtl/>
        </w:rPr>
        <w:t>,</w:t>
      </w:r>
      <w:r w:rsidRPr="005F7941">
        <w:rPr>
          <w:rFonts w:cs="Arial"/>
          <w:rtl/>
        </w:rPr>
        <w:t xml:space="preserve"> אבל כל זמן שלא טענה כן מחילתה ומכירתה לבעלה קיימים</w:t>
      </w:r>
      <w:r>
        <w:rPr>
          <w:rFonts w:cs="Arial" w:hint="cs"/>
          <w:rtl/>
        </w:rPr>
        <w:t>.</w:t>
      </w:r>
      <w:r w:rsidRPr="005F7941">
        <w:rPr>
          <w:rFonts w:cs="Arial"/>
          <w:rtl/>
        </w:rPr>
        <w:t xml:space="preserve"> שהרי כתב (שם) </w:t>
      </w:r>
      <w:r>
        <w:rPr>
          <w:rFonts w:cs="Arial" w:hint="cs"/>
          <w:rtl/>
        </w:rPr>
        <w:t>'</w:t>
      </w:r>
      <w:r w:rsidRPr="005F7941">
        <w:rPr>
          <w:rFonts w:cs="Arial"/>
          <w:rtl/>
        </w:rPr>
        <w:t>חוזרת בכל עת שתרצה שלא נתנה ולא מכרה אלא מפני שלום ביתה</w:t>
      </w:r>
      <w:r>
        <w:rPr>
          <w:rFonts w:cs="Arial" w:hint="cs"/>
          <w:rtl/>
        </w:rPr>
        <w:t>'.</w:t>
      </w:r>
      <w:r w:rsidRPr="005F7941">
        <w:rPr>
          <w:rFonts w:cs="Arial"/>
          <w:rtl/>
        </w:rPr>
        <w:t xml:space="preserve"> משמע בהדיא דלא מהניא האי טענה אלא לענין שתחזור בכל עת שתרצה</w:t>
      </w:r>
      <w:r>
        <w:rPr>
          <w:rFonts w:cs="Arial" w:hint="cs"/>
          <w:rtl/>
        </w:rPr>
        <w:t>,</w:t>
      </w:r>
      <w:r w:rsidRPr="005F7941">
        <w:rPr>
          <w:rFonts w:cs="Arial"/>
          <w:rtl/>
        </w:rPr>
        <w:t xml:space="preserve"> אבל כל זמן שלא חזרה </w:t>
      </w:r>
      <w:r>
        <w:rPr>
          <w:rFonts w:cs="Arial" w:hint="cs"/>
          <w:rtl/>
        </w:rPr>
        <w:t xml:space="preserve">- </w:t>
      </w:r>
      <w:r w:rsidRPr="005F7941">
        <w:rPr>
          <w:rFonts w:cs="Arial"/>
          <w:rtl/>
        </w:rPr>
        <w:t>מחילתה ומכירתה קיימים</w:t>
      </w:r>
      <w:r w:rsidRPr="005F7941">
        <w:rPr>
          <w:rFonts w:cs="Arial" w:hint="cs"/>
          <w:rtl/>
        </w:rPr>
        <w:t>.</w:t>
      </w:r>
      <w:r w:rsidRPr="005F7941">
        <w:rPr>
          <w:rFonts w:cs="Arial"/>
          <w:rtl/>
        </w:rPr>
        <w:t xml:space="preserve"> ונפקא מינה לדידן דכתבינן בכתובה שאם תמות האשה בחיי בעלה יחזירו חצי נכסי צאן ברזל ליורשיה מבית אביה</w:t>
      </w:r>
      <w:r>
        <w:rPr>
          <w:rFonts w:cs="Arial" w:hint="cs"/>
          <w:rtl/>
        </w:rPr>
        <w:t>.</w:t>
      </w:r>
      <w:r w:rsidRPr="005F7941">
        <w:rPr>
          <w:rFonts w:cs="Arial"/>
          <w:rtl/>
        </w:rPr>
        <w:t xml:space="preserve"> אם מכרה או מחלה לבעלה כל נכסי צאן ברזל שלה ומתה ולא ערערה על מכירתה ומחילתה לומר נחת רוח עשיתי לבעלי</w:t>
      </w:r>
      <w:r>
        <w:rPr>
          <w:rFonts w:cs="Arial" w:hint="cs"/>
          <w:rtl/>
        </w:rPr>
        <w:t>,</w:t>
      </w:r>
      <w:r w:rsidRPr="005F7941">
        <w:rPr>
          <w:rFonts w:cs="Arial"/>
          <w:rtl/>
        </w:rPr>
        <w:t xml:space="preserve"> שאין מכירתה ומחילתה בטלים מזה הצד</w:t>
      </w:r>
      <w:r>
        <w:rPr>
          <w:rFonts w:cs="Arial" w:hint="cs"/>
          <w:rtl/>
        </w:rPr>
        <w:t>.</w:t>
      </w:r>
      <w:r w:rsidRPr="005F7941">
        <w:rPr>
          <w:rFonts w:cs="Arial"/>
          <w:rtl/>
        </w:rPr>
        <w:t xml:space="preserve"> ומיהו אם יכולה היא לחוב ליורשיה בכך יתבאר בסימן קי"ח (קעב:). ומכל מקום יש לדון על מה שכתב הרב המגיד שדעת הרמב"ם דאם מחלה נכסי צאן ברזל לבעלה יכולה לומר נחת רוח עשיתי לבעלי</w:t>
      </w:r>
      <w:r>
        <w:rPr>
          <w:rFonts w:cs="Arial" w:hint="cs"/>
          <w:rtl/>
        </w:rPr>
        <w:t>.</w:t>
      </w:r>
      <w:r w:rsidRPr="005F7941">
        <w:rPr>
          <w:rFonts w:cs="Arial"/>
          <w:rtl/>
        </w:rPr>
        <w:t xml:space="preserve"> דהרמב"ם לא איירי אלא במוכרת או נותנת</w:t>
      </w:r>
      <w:r>
        <w:rPr>
          <w:rFonts w:cs="Arial" w:hint="cs"/>
          <w:rtl/>
        </w:rPr>
        <w:t>,</w:t>
      </w:r>
      <w:r w:rsidRPr="005F7941">
        <w:rPr>
          <w:rFonts w:cs="Arial"/>
          <w:rtl/>
        </w:rPr>
        <w:t xml:space="preserve"> ולא במוחלת</w:t>
      </w:r>
      <w:r>
        <w:rPr>
          <w:rFonts w:cs="Arial" w:hint="cs"/>
          <w:rtl/>
        </w:rPr>
        <w:t>.</w:t>
      </w:r>
      <w:r w:rsidRPr="005F7941">
        <w:rPr>
          <w:rFonts w:cs="Arial"/>
          <w:rtl/>
        </w:rPr>
        <w:t xml:space="preserve"> ואיכא לפלוגי בינייהו כעין מאי דמפליג הרא"ש בתשובה</w:t>
      </w:r>
      <w:r>
        <w:rPr>
          <w:rFonts w:cs="Arial" w:hint="cs"/>
          <w:rtl/>
        </w:rPr>
        <w:t>,</w:t>
      </w:r>
      <w:r w:rsidRPr="005F7941">
        <w:rPr>
          <w:rFonts w:cs="Arial"/>
          <w:rtl/>
        </w:rPr>
        <w:t xml:space="preserve"> דמוכרת או נותנת לבעלה אינה אלא כמסלקת שעבודה מאותן קרקעות</w:t>
      </w:r>
      <w:r>
        <w:rPr>
          <w:rFonts w:cs="Arial" w:hint="cs"/>
          <w:rtl/>
        </w:rPr>
        <w:t>,</w:t>
      </w:r>
      <w:r w:rsidRPr="005F7941">
        <w:rPr>
          <w:rFonts w:cs="Arial"/>
          <w:rtl/>
        </w:rPr>
        <w:t xml:space="preserve"> ובהא שייך איבה לומר עיניך נתת בגירושין ומיתה לגבות מקרקעות אלו</w:t>
      </w:r>
      <w:r>
        <w:rPr>
          <w:rFonts w:cs="Arial" w:hint="cs"/>
          <w:rtl/>
        </w:rPr>
        <w:t>.</w:t>
      </w:r>
      <w:r w:rsidRPr="005F7941">
        <w:rPr>
          <w:rFonts w:cs="Arial"/>
          <w:rtl/>
        </w:rPr>
        <w:t xml:space="preserve"> אבל במוחלת לא מצי בעל לומר עיניך נתת בגירושין ומיתה</w:t>
      </w:r>
      <w:r>
        <w:rPr>
          <w:rFonts w:cs="Arial" w:hint="cs"/>
          <w:rtl/>
        </w:rPr>
        <w:t>,</w:t>
      </w:r>
      <w:r w:rsidRPr="005F7941">
        <w:rPr>
          <w:rFonts w:cs="Arial"/>
          <w:rtl/>
        </w:rPr>
        <w:t xml:space="preserve"> דאדרבה כל זמן שכתובתה מרובה לא תהא קלה בעיניו לגרשה ואדרבה היא תאמר לו עיניך נתת בגירושין כדי שאהא קלה בעיניך לגרשני</w:t>
      </w:r>
      <w:r>
        <w:rPr>
          <w:rFonts w:hint="cs"/>
          <w:rtl/>
        </w:rPr>
        <w:t>, ב"י.</w:t>
      </w:r>
    </w:p>
  </w:footnote>
  <w:footnote w:id="1380">
    <w:p w14:paraId="015933AB" w14:textId="77777777" w:rsidR="00DE2F5F" w:rsidRDefault="00DE2F5F" w:rsidP="002926CA">
      <w:pPr>
        <w:pStyle w:val="a5"/>
      </w:pPr>
      <w:r>
        <w:rPr>
          <w:rStyle w:val="a7"/>
        </w:rPr>
        <w:footnoteRef/>
      </w:r>
      <w:r>
        <w:rPr>
          <w:rFonts w:cs="Arial" w:hint="cs"/>
          <w:rtl/>
        </w:rPr>
        <w:t xml:space="preserve"> רמב"ם </w:t>
      </w:r>
      <w:r>
        <w:rPr>
          <w:rFonts w:cs="Arial" w:hint="cs"/>
          <w:sz w:val="16"/>
          <w:szCs w:val="16"/>
          <w:rtl/>
        </w:rPr>
        <w:t>(כ" בשמו הה"מ [פי"ז מאישות הי"ט])</w:t>
      </w:r>
      <w:r>
        <w:rPr>
          <w:rFonts w:cs="Arial" w:hint="cs"/>
          <w:rtl/>
        </w:rPr>
        <w:t xml:space="preserve"> </w:t>
      </w:r>
      <w:r w:rsidRPr="005F7941">
        <w:rPr>
          <w:rFonts w:cs="Arial"/>
          <w:rtl/>
        </w:rPr>
        <w:t xml:space="preserve">רמב"ן </w:t>
      </w:r>
      <w:r w:rsidRPr="009E18C9">
        <w:rPr>
          <w:rFonts w:cs="Arial"/>
          <w:sz w:val="16"/>
          <w:szCs w:val="16"/>
          <w:rtl/>
        </w:rPr>
        <w:t>(כתובות נג. ד"ה והא דאמרינן א"ל</w:t>
      </w:r>
      <w:r>
        <w:rPr>
          <w:rFonts w:cs="Arial" w:hint="cs"/>
          <w:sz w:val="16"/>
          <w:szCs w:val="16"/>
          <w:rtl/>
        </w:rPr>
        <w:t>, כ"כ הה"מ בשמו [שם ושם]</w:t>
      </w:r>
      <w:r w:rsidRPr="009E18C9">
        <w:rPr>
          <w:rFonts w:cs="Arial"/>
          <w:sz w:val="16"/>
          <w:szCs w:val="16"/>
          <w:rtl/>
        </w:rPr>
        <w:t xml:space="preserve">) </w:t>
      </w:r>
      <w:r w:rsidRPr="005F7941">
        <w:rPr>
          <w:rFonts w:cs="Arial"/>
          <w:rtl/>
        </w:rPr>
        <w:t xml:space="preserve">ורשב"א </w:t>
      </w:r>
      <w:r w:rsidRPr="009E18C9">
        <w:rPr>
          <w:rFonts w:cs="Arial"/>
          <w:sz w:val="16"/>
          <w:szCs w:val="16"/>
          <w:rtl/>
        </w:rPr>
        <w:t>(שם ד"ה ולעיקר</w:t>
      </w:r>
      <w:r>
        <w:rPr>
          <w:rFonts w:cs="Arial" w:hint="cs"/>
          <w:sz w:val="16"/>
          <w:szCs w:val="16"/>
          <w:rtl/>
        </w:rPr>
        <w:t>, כ"כ הה"מ בשמו [שם ושם]</w:t>
      </w:r>
      <w:r w:rsidRPr="009E18C9">
        <w:rPr>
          <w:rFonts w:cs="Arial"/>
          <w:sz w:val="16"/>
          <w:szCs w:val="16"/>
          <w:rtl/>
        </w:rPr>
        <w:t>)</w:t>
      </w:r>
      <w:r>
        <w:rPr>
          <w:rFonts w:cs="Arial" w:hint="cs"/>
          <w:rtl/>
        </w:rPr>
        <w:t>.</w:t>
      </w:r>
    </w:p>
  </w:footnote>
  <w:footnote w:id="1381">
    <w:p w14:paraId="561FDAE5" w14:textId="77777777" w:rsidR="00DE2F5F" w:rsidRDefault="00DE2F5F" w:rsidP="002926CA">
      <w:pPr>
        <w:pStyle w:val="a5"/>
      </w:pPr>
      <w:r>
        <w:rPr>
          <w:rStyle w:val="a7"/>
        </w:rPr>
        <w:footnoteRef/>
      </w:r>
      <w:r>
        <w:rPr>
          <w:rFonts w:cs="Arial" w:hint="cs"/>
          <w:rtl/>
        </w:rPr>
        <w:t xml:space="preserve"> </w:t>
      </w:r>
      <w:r w:rsidRPr="005F7941">
        <w:rPr>
          <w:rFonts w:cs="Arial"/>
          <w:rtl/>
        </w:rPr>
        <w:t>שהרי כל הנשים יש להן כתובה</w:t>
      </w:r>
      <w:r>
        <w:rPr>
          <w:rFonts w:cs="Arial" w:hint="cs"/>
          <w:rtl/>
        </w:rPr>
        <w:t>,</w:t>
      </w:r>
      <w:r w:rsidRPr="005F7941">
        <w:rPr>
          <w:rFonts w:cs="Arial"/>
          <w:rtl/>
        </w:rPr>
        <w:t xml:space="preserve"> ולא תהיה לה איבה אם לא תמחול</w:t>
      </w:r>
      <w:r>
        <w:rPr>
          <w:rFonts w:cs="Arial" w:hint="cs"/>
          <w:rtl/>
        </w:rPr>
        <w:t>,</w:t>
      </w:r>
      <w:r w:rsidRPr="005F7941">
        <w:rPr>
          <w:rFonts w:cs="Arial"/>
          <w:rtl/>
        </w:rPr>
        <w:t xml:space="preserve"> ואדרבה היא יכולה לומר לו שהוא אינו חפץ בה ונותן עיניו לגרשה כשמבקש שתמחול כתובתה</w:t>
      </w:r>
      <w:r>
        <w:rPr>
          <w:rFonts w:cs="Arial" w:hint="cs"/>
          <w:rtl/>
        </w:rPr>
        <w:t>.</w:t>
      </w:r>
      <w:r w:rsidRPr="005F7941">
        <w:rPr>
          <w:rFonts w:cs="Arial"/>
          <w:rtl/>
        </w:rPr>
        <w:t xml:space="preserve"> מה שאין כן בנכסי צאן ברזל</w:t>
      </w:r>
      <w:r>
        <w:rPr>
          <w:rFonts w:cs="Arial" w:hint="cs"/>
          <w:rtl/>
        </w:rPr>
        <w:t>,</w:t>
      </w:r>
      <w:r w:rsidRPr="005F7941">
        <w:rPr>
          <w:rFonts w:cs="Arial"/>
          <w:rtl/>
        </w:rPr>
        <w:t xml:space="preserve"> כמו שיתבאר פכ"ב וזה דעת רבינו</w:t>
      </w:r>
      <w:r>
        <w:rPr>
          <w:rFonts w:cs="Arial" w:hint="cs"/>
          <w:rtl/>
        </w:rPr>
        <w:t>, הה"מ (פי"ז הי"ט).</w:t>
      </w:r>
    </w:p>
  </w:footnote>
  <w:footnote w:id="1382">
    <w:p w14:paraId="529D64EC" w14:textId="6F8FC578" w:rsidR="00DE2F5F" w:rsidRDefault="00DE2F5F" w:rsidP="00C407CA">
      <w:pPr>
        <w:pStyle w:val="a5"/>
      </w:pPr>
      <w:r>
        <w:rPr>
          <w:rStyle w:val="a7"/>
        </w:rPr>
        <w:footnoteRef/>
      </w:r>
      <w:r>
        <w:rPr>
          <w:rFonts w:cs="Arial" w:hint="cs"/>
          <w:rtl/>
        </w:rPr>
        <w:t xml:space="preserve"> </w:t>
      </w:r>
      <w:r w:rsidRPr="005F7941">
        <w:rPr>
          <w:rFonts w:cs="Arial"/>
          <w:rtl/>
        </w:rPr>
        <w:t>ו</w:t>
      </w:r>
      <w:r>
        <w:rPr>
          <w:rFonts w:cs="Arial" w:hint="cs"/>
          <w:rtl/>
        </w:rPr>
        <w:t>מ</w:t>
      </w:r>
      <w:r w:rsidRPr="005F7941">
        <w:rPr>
          <w:rFonts w:cs="Arial"/>
          <w:rtl/>
        </w:rPr>
        <w:t xml:space="preserve">דברי הרא"ש </w:t>
      </w:r>
      <w:r>
        <w:rPr>
          <w:rFonts w:cs="Arial" w:hint="cs"/>
          <w:rtl/>
        </w:rPr>
        <w:t>מבואר</w:t>
      </w:r>
      <w:r w:rsidRPr="005F7941">
        <w:rPr>
          <w:rFonts w:cs="Arial"/>
          <w:rtl/>
        </w:rPr>
        <w:t xml:space="preserve"> שמחילתה בנכסי צאן ברזל מועיל</w:t>
      </w:r>
      <w:r>
        <w:rPr>
          <w:rFonts w:cs="Arial" w:hint="cs"/>
          <w:rtl/>
        </w:rPr>
        <w:t>...</w:t>
      </w:r>
      <w:r w:rsidRPr="002926CA">
        <w:rPr>
          <w:rtl/>
        </w:rPr>
        <w:t xml:space="preserve"> </w:t>
      </w:r>
      <w:r w:rsidRPr="002926CA">
        <w:rPr>
          <w:rFonts w:cs="Arial"/>
          <w:rtl/>
        </w:rPr>
        <w:t>וכבר נתבאר בסימן זה שרוב הפוסקים חולקים על זה וסוברים דמוכרת או מוחלת נכסי צאן ברזל לבעלה יכולה לומר נחת רוח עשיתי לבעלי כפי מה שכתב הרב המגיד וכבר כתבתי שם מה שיש לדון בדבר לומר דהרמב"ם לא פליג אהרא"ש בהא. וכתב רבינו תשובה זו בסוף סימן קי"ח</w:t>
      </w:r>
      <w:r>
        <w:rPr>
          <w:rFonts w:cs="Arial" w:hint="cs"/>
          <w:rtl/>
        </w:rPr>
        <w:t>, ב"י.</w:t>
      </w:r>
    </w:p>
  </w:footnote>
  <w:footnote w:id="1383">
    <w:p w14:paraId="0FF029AC" w14:textId="7E5BDB80" w:rsidR="00DE2F5F" w:rsidRDefault="00DE2F5F">
      <w:pPr>
        <w:pStyle w:val="a5"/>
        <w:rPr>
          <w:rtl/>
        </w:rPr>
      </w:pPr>
      <w:r>
        <w:rPr>
          <w:rStyle w:val="a7"/>
        </w:rPr>
        <w:footnoteRef/>
      </w:r>
      <w:r>
        <w:rPr>
          <w:rtl/>
        </w:rPr>
        <w:t xml:space="preserve"> </w:t>
      </w:r>
      <w:r w:rsidRPr="005C5D4E">
        <w:rPr>
          <w:rFonts w:cs="Arial"/>
          <w:rtl/>
        </w:rPr>
        <w:t>אע</w:t>
      </w:r>
      <w:r>
        <w:rPr>
          <w:rFonts w:cs="Arial" w:hint="cs"/>
          <w:rtl/>
        </w:rPr>
        <w:t>"</w:t>
      </w:r>
      <w:r w:rsidRPr="005C5D4E">
        <w:rPr>
          <w:rFonts w:cs="Arial"/>
          <w:rtl/>
        </w:rPr>
        <w:t xml:space="preserve">ג </w:t>
      </w:r>
      <w:r>
        <w:rPr>
          <w:rFonts w:cs="Arial" w:hint="cs"/>
          <w:rtl/>
        </w:rPr>
        <w:t>ש</w:t>
      </w:r>
      <w:r w:rsidRPr="005C5D4E">
        <w:rPr>
          <w:rFonts w:cs="Arial"/>
          <w:rtl/>
        </w:rPr>
        <w:t>שיעבוד כתובה הוא על כל נכסיו</w:t>
      </w:r>
      <w:r>
        <w:rPr>
          <w:rFonts w:cs="Arial" w:hint="cs"/>
          <w:rtl/>
        </w:rPr>
        <w:t>,</w:t>
      </w:r>
      <w:r w:rsidRPr="005C5D4E">
        <w:rPr>
          <w:rFonts w:cs="Arial"/>
          <w:rtl/>
        </w:rPr>
        <w:t xml:space="preserve"> מ"מ מיחד לה קרקע אחת בפירוש או כותב לה קרקע אחת בפירוש</w:t>
      </w:r>
      <w:r>
        <w:rPr>
          <w:rFonts w:hint="cs"/>
          <w:rtl/>
        </w:rPr>
        <w:t>, ב"ש (סקנ"ז).</w:t>
      </w:r>
    </w:p>
  </w:footnote>
  <w:footnote w:id="1384">
    <w:p w14:paraId="64E30208" w14:textId="6DA18A80" w:rsidR="00DE2F5F" w:rsidRDefault="00DE2F5F">
      <w:pPr>
        <w:pStyle w:val="a5"/>
      </w:pPr>
      <w:r>
        <w:rPr>
          <w:rStyle w:val="a7"/>
        </w:rPr>
        <w:footnoteRef/>
      </w:r>
      <w:r>
        <w:rPr>
          <w:rtl/>
        </w:rPr>
        <w:t xml:space="preserve"> </w:t>
      </w:r>
      <w:r w:rsidRPr="00D27352">
        <w:rPr>
          <w:rFonts w:cs="Arial"/>
          <w:rtl/>
        </w:rPr>
        <w:t>כלו' שכתב לה שדה נגד שום שהכניסה לו מנכסי נדוניית' ועיין בתוס' דף מ"ט מ"ש בשם ר"ח</w:t>
      </w:r>
      <w:r>
        <w:rPr>
          <w:rFonts w:cs="Arial" w:hint="cs"/>
          <w:rtl/>
        </w:rPr>
        <w:t>, ח"מ (סקנ"ה).</w:t>
      </w:r>
    </w:p>
  </w:footnote>
  <w:footnote w:id="1385">
    <w:p w14:paraId="20A20A2F" w14:textId="48D89140" w:rsidR="00DE2F5F" w:rsidRDefault="00DE2F5F" w:rsidP="004032AE">
      <w:pPr>
        <w:pStyle w:val="a5"/>
      </w:pPr>
      <w:r>
        <w:rPr>
          <w:rStyle w:val="a7"/>
        </w:rPr>
        <w:footnoteRef/>
      </w:r>
      <w:r>
        <w:rPr>
          <w:rtl/>
        </w:rPr>
        <w:t xml:space="preserve"> </w:t>
      </w:r>
      <w:r w:rsidRPr="004032AE">
        <w:rPr>
          <w:rFonts w:cs="Arial"/>
          <w:rtl/>
        </w:rPr>
        <w:t>אבל לא אמרי</w:t>
      </w:r>
      <w:r>
        <w:rPr>
          <w:rFonts w:cs="Arial" w:hint="cs"/>
          <w:rtl/>
        </w:rPr>
        <w:t>נן</w:t>
      </w:r>
      <w:r w:rsidRPr="004032AE">
        <w:rPr>
          <w:rFonts w:cs="Arial"/>
          <w:rtl/>
        </w:rPr>
        <w:t xml:space="preserve"> בזה אחריות ט"ס</w:t>
      </w:r>
      <w:r>
        <w:rPr>
          <w:rFonts w:cs="Arial" w:hint="cs"/>
          <w:rtl/>
        </w:rPr>
        <w:t>,</w:t>
      </w:r>
      <w:r w:rsidRPr="004032AE">
        <w:rPr>
          <w:rFonts w:cs="Arial"/>
          <w:rtl/>
        </w:rPr>
        <w:t xml:space="preserve"> עיין במגיד</w:t>
      </w:r>
      <w:r>
        <w:rPr>
          <w:rFonts w:cs="Arial" w:hint="cs"/>
          <w:rtl/>
        </w:rPr>
        <w:t>, ב"ש (סקנ"ט).</w:t>
      </w:r>
    </w:p>
  </w:footnote>
  <w:footnote w:id="1386">
    <w:p w14:paraId="35BADF07" w14:textId="58FA3060" w:rsidR="00DE2F5F" w:rsidRPr="00A11A36" w:rsidRDefault="00DE2F5F" w:rsidP="00A11A36">
      <w:pPr>
        <w:pStyle w:val="a5"/>
        <w:rPr>
          <w:rFonts w:cs="Arial"/>
        </w:rPr>
      </w:pPr>
      <w:r>
        <w:rPr>
          <w:rStyle w:val="a7"/>
        </w:rPr>
        <w:footnoteRef/>
      </w:r>
      <w:r>
        <w:rPr>
          <w:rtl/>
        </w:rPr>
        <w:t xml:space="preserve"> </w:t>
      </w:r>
      <w:r w:rsidRPr="00A11A36">
        <w:rPr>
          <w:rFonts w:cs="Arial"/>
          <w:rtl/>
        </w:rPr>
        <w:t>שלשה מחלוקת איכא בדין זה להרא"ש משמע דאינה יכלה לומר נ"ר עשיתי אלא כשהוא מכר לאחר והיא מסכמת למעשיו ואז י"ל הוכרחתי לעשות לו נ"ר כיון שהוא דחוק למכור אם לא הסכמתי היה אומר עיניך נתתה בגירושין והראב"ד סבירא ליה כשמחל' הוי כאלו עקרה שיעבוד' מעיקרו ואינה יכולה לומר נ"ר עשיתי, ולרמב"ן ורשב"א כתובה ותוספת מהני מכירה ומחילה אבל נצ"ב שייך איבה ולא מהני מכירה ומחילה</w:t>
      </w:r>
      <w:r>
        <w:rPr>
          <w:rFonts w:cs="Arial" w:hint="cs"/>
          <w:rtl/>
        </w:rPr>
        <w:t xml:space="preserve">, ב"ש (סע' קטן ס). וכ"כ הח"מ (סקנ"ז). וכתב עוד הב"ש (שם) דכדעת הרמב"ן והרשב"א </w:t>
      </w:r>
      <w:r w:rsidRPr="00A11A36">
        <w:rPr>
          <w:rFonts w:cs="Arial"/>
          <w:rtl/>
        </w:rPr>
        <w:t xml:space="preserve">כ"כ המגיד </w:t>
      </w:r>
      <w:r>
        <w:rPr>
          <w:rFonts w:cs="Arial" w:hint="cs"/>
          <w:rtl/>
        </w:rPr>
        <w:t xml:space="preserve">בשם </w:t>
      </w:r>
      <w:r w:rsidRPr="00A11A36">
        <w:rPr>
          <w:rFonts w:cs="Arial"/>
          <w:rtl/>
        </w:rPr>
        <w:t xml:space="preserve">הרמב"ם </w:t>
      </w:r>
      <w:r>
        <w:rPr>
          <w:rFonts w:cs="Arial" w:hint="cs"/>
          <w:rtl/>
        </w:rPr>
        <w:t>ד</w:t>
      </w:r>
      <w:r w:rsidRPr="00A11A36">
        <w:rPr>
          <w:rFonts w:cs="Arial"/>
          <w:rtl/>
        </w:rPr>
        <w:t>סבירא ליה מחילה לא מהני</w:t>
      </w:r>
      <w:r>
        <w:rPr>
          <w:rFonts w:cs="Arial" w:hint="cs"/>
          <w:rtl/>
        </w:rPr>
        <w:t>.</w:t>
      </w:r>
      <w:r w:rsidRPr="00A11A36">
        <w:rPr>
          <w:rFonts w:cs="Arial"/>
          <w:rtl/>
        </w:rPr>
        <w:t xml:space="preserve"> ולכאורה נראה דמוכח כן דהא כתב אבדו או נגנבו ומחלה מהני ש"מ אם היו הנכסים בעין לא מהני המחילה</w:t>
      </w:r>
      <w:r>
        <w:rPr>
          <w:rFonts w:cs="Arial" w:hint="cs"/>
          <w:rtl/>
        </w:rPr>
        <w:t>.</w:t>
      </w:r>
      <w:r w:rsidRPr="00A11A36">
        <w:rPr>
          <w:rFonts w:cs="Arial"/>
          <w:rtl/>
        </w:rPr>
        <w:t xml:space="preserve"> וקשה</w:t>
      </w:r>
      <w:r>
        <w:rPr>
          <w:rFonts w:cs="Arial" w:hint="cs"/>
          <w:rtl/>
        </w:rPr>
        <w:t>,</w:t>
      </w:r>
      <w:r w:rsidRPr="00A11A36">
        <w:rPr>
          <w:rFonts w:cs="Arial"/>
          <w:rtl/>
        </w:rPr>
        <w:t xml:space="preserve"> </w:t>
      </w:r>
      <w:r>
        <w:rPr>
          <w:rFonts w:cs="Arial" w:hint="cs"/>
          <w:rtl/>
        </w:rPr>
        <w:t>ד</w:t>
      </w:r>
      <w:r w:rsidRPr="00A11A36">
        <w:rPr>
          <w:rFonts w:cs="Arial"/>
          <w:rtl/>
        </w:rPr>
        <w:t>בסעיף זה הביא מחלוקת בדין זה וכאן איירי נמי כשהנכסים בעין</w:t>
      </w:r>
      <w:r>
        <w:rPr>
          <w:rFonts w:cs="Arial" w:hint="cs"/>
          <w:rtl/>
        </w:rPr>
        <w:t>.</w:t>
      </w:r>
      <w:r w:rsidRPr="00A11A36">
        <w:rPr>
          <w:rFonts w:cs="Arial"/>
          <w:rtl/>
        </w:rPr>
        <w:t xml:space="preserve"> ובסעיף י"ח סתם כדעת הרמב"ם</w:t>
      </w:r>
      <w:r>
        <w:rPr>
          <w:rFonts w:cs="Arial" w:hint="cs"/>
          <w:rtl/>
        </w:rPr>
        <w:t>.</w:t>
      </w:r>
      <w:r w:rsidRPr="00A11A36">
        <w:rPr>
          <w:rFonts w:cs="Arial"/>
          <w:rtl/>
        </w:rPr>
        <w:t xml:space="preserve"> ואפשר דכוונתו כשהם בעין איתא מחלוקת</w:t>
      </w:r>
      <w:r>
        <w:rPr>
          <w:rFonts w:cs="Arial" w:hint="cs"/>
          <w:rtl/>
        </w:rPr>
        <w:t>,</w:t>
      </w:r>
      <w:r w:rsidRPr="00A11A36">
        <w:rPr>
          <w:rFonts w:cs="Arial"/>
          <w:rtl/>
        </w:rPr>
        <w:t xml:space="preserve"> ולקמן קמ"ל כשאינן בעין לכולי עלמא מהני מחילה, ולא כבית יוסף וד"מ דכתבו דרמב"ם סבירא ליה דמהני המחיל', ונדוניא שלנו שכותבים על סך כך וכך מהני המחילה דהוי כדבר שאינו בעין כיון שכותבים על מעות וכן כתוב בתשובת ריב"ש סי' קמ"ט עיין שם, ועיין סי' ס"ג וסי' ק"ה והיינו לשיטות הריב"ש לדעת הרמב"ם כל שאינו בדין הדין שוה לכתובה</w:t>
      </w:r>
      <w:r>
        <w:rPr>
          <w:rFonts w:cs="Arial" w:hint="cs"/>
          <w:rtl/>
        </w:rPr>
        <w:t>.</w:t>
      </w:r>
    </w:p>
  </w:footnote>
  <w:footnote w:id="1387">
    <w:p w14:paraId="603F40E0" w14:textId="49930E4D" w:rsidR="00DE2F5F" w:rsidRDefault="00DE2F5F">
      <w:pPr>
        <w:pStyle w:val="a5"/>
      </w:pPr>
      <w:r>
        <w:rPr>
          <w:rStyle w:val="a7"/>
        </w:rPr>
        <w:footnoteRef/>
      </w:r>
      <w:r>
        <w:rPr>
          <w:rtl/>
        </w:rPr>
        <w:t xml:space="preserve"> </w:t>
      </w:r>
      <w:r w:rsidRPr="00A11A36">
        <w:rPr>
          <w:rFonts w:cs="Arial"/>
          <w:rtl/>
        </w:rPr>
        <w:t>וקשה כשהנכסי' בעין איך שייך מחילה דלא שייך מחילה אלא במעות הלואה כמ"ש בח"ה סי' רמ"א ואפשר כיון שהם באחריות שלו ועומד למכור כשהיא מסכים עמו הוי כאלו המעו' בידו ושייך מחיל' על זכות שלה</w:t>
      </w:r>
      <w:r>
        <w:rPr>
          <w:rFonts w:cs="Arial" w:hint="cs"/>
          <w:rtl/>
        </w:rPr>
        <w:t>, ב"ש (סע' קטן סא).</w:t>
      </w:r>
    </w:p>
  </w:footnote>
  <w:footnote w:id="1388">
    <w:p w14:paraId="2FDA6FA6" w14:textId="77777777" w:rsidR="00DE2F5F" w:rsidRDefault="00DE2F5F" w:rsidP="00741D85">
      <w:pPr>
        <w:pStyle w:val="a5"/>
      </w:pPr>
      <w:r>
        <w:rPr>
          <w:rStyle w:val="a7"/>
        </w:rPr>
        <w:footnoteRef/>
      </w:r>
      <w:r>
        <w:rPr>
          <w:rtl/>
        </w:rPr>
        <w:t xml:space="preserve"> </w:t>
      </w:r>
      <w:r>
        <w:rPr>
          <w:rFonts w:cs="Arial"/>
          <w:rtl/>
        </w:rPr>
        <w:t>גזלני שדות, אנשים אלימים שמאיימים על בעלי שדות לרוצחם נפש אם לא יתנו להם את שדותיהם לפדיון נפשם.</w:t>
      </w:r>
      <w:r>
        <w:rPr>
          <w:rFonts w:cs="Arial" w:hint="cs"/>
          <w:rtl/>
        </w:rPr>
        <w:t>..</w:t>
      </w:r>
      <w:r>
        <w:rPr>
          <w:rFonts w:cs="Arial"/>
          <w:rtl/>
        </w:rPr>
        <w:t xml:space="preserve"> בימי מלחמת טיטוס ביהודה וירושלים, שהיו ישראל מופקרים להריגה, מפני שהיתה גזירה להרוג את כל ישראל, כל מי שנתן את שדהו לסיקריקון, כדי להציל את נפשו, היה גומר בלבו להקנות לו את שדהו</w:t>
      </w:r>
      <w:r>
        <w:rPr>
          <w:rFonts w:cs="Arial" w:hint="cs"/>
          <w:rtl/>
        </w:rPr>
        <w:t>.</w:t>
      </w:r>
      <w:r>
        <w:rPr>
          <w:rFonts w:cs="Arial"/>
          <w:rtl/>
        </w:rPr>
        <w:t xml:space="preserve"> לפיכך הקונה מן הסיקריקון באותם הימים, הרי זה כקונה מיד הבעלים, ומקחו קיים. לאחר אותה תקופה, כשבטלה הגזירה, אלא שמכל מקום היו באים גזלנים וגוזלים שדות מישראל, הדין הוא, שמי שקנה שדה מן הסיקריקון אף שחזר וקנה אותה גם מבעל השדה - מקחו בטל, לפי שלא מכר לו את השדה מרצונו כי אם מחמת מוראו מן הסיקריקון, ואמנם בעל השדה לא גמר בלבו להקנות לו את השדה, אלא חשב: "יקחנה לו עכשיו, ולמחר אתבע אותו לדין". ברם, אם קנה את השדה מבעליה תחילה, וחזר ושילם גם לסיקריקון כסף, כדי שישאיר בידו את השדה - מקחו קיים, ואין בעל השדה יכול לערער</w:t>
      </w:r>
      <w:r>
        <w:rPr>
          <w:rFonts w:cs="Arial" w:hint="cs"/>
          <w:rtl/>
        </w:rPr>
        <w:t xml:space="preserve"> (מושגים תלמודיים, הרב יהודה חיון)</w:t>
      </w:r>
      <w:r>
        <w:rPr>
          <w:rFonts w:cs="Arial"/>
          <w:rtl/>
        </w:rPr>
        <w:t>.</w:t>
      </w:r>
    </w:p>
  </w:footnote>
  <w:footnote w:id="1389">
    <w:p w14:paraId="69FA0726" w14:textId="77777777" w:rsidR="00DE2F5F" w:rsidRDefault="00DE2F5F" w:rsidP="00741D85">
      <w:pPr>
        <w:pStyle w:val="a5"/>
        <w:rPr>
          <w:rtl/>
        </w:rPr>
      </w:pPr>
      <w:r>
        <w:rPr>
          <w:rStyle w:val="a7"/>
        </w:rPr>
        <w:footnoteRef/>
      </w:r>
      <w:r>
        <w:rPr>
          <w:rtl/>
        </w:rPr>
        <w:t xml:space="preserve"> </w:t>
      </w:r>
      <w:r w:rsidRPr="00F00788">
        <w:rPr>
          <w:rFonts w:cs="Arial"/>
          <w:rtl/>
        </w:rPr>
        <w:t>דמקחו בטל</w:t>
      </w:r>
      <w:r>
        <w:rPr>
          <w:rFonts w:hint="cs"/>
          <w:rtl/>
        </w:rPr>
        <w:t>, רש"י.</w:t>
      </w:r>
    </w:p>
  </w:footnote>
  <w:footnote w:id="1390">
    <w:p w14:paraId="37F12076" w14:textId="77777777" w:rsidR="00DE2F5F" w:rsidRDefault="00DE2F5F" w:rsidP="00741D85">
      <w:pPr>
        <w:pStyle w:val="a5"/>
        <w:rPr>
          <w:rtl/>
        </w:rPr>
      </w:pPr>
      <w:r>
        <w:rPr>
          <w:rStyle w:val="a7"/>
        </w:rPr>
        <w:footnoteRef/>
      </w:r>
      <w:r>
        <w:rPr>
          <w:rtl/>
        </w:rPr>
        <w:t xml:space="preserve"> </w:t>
      </w:r>
      <w:r w:rsidRPr="00F00788">
        <w:rPr>
          <w:rFonts w:cs="Arial"/>
          <w:rtl/>
        </w:rPr>
        <w:t>בעלים לזה שלקח מסיקריקון</w:t>
      </w:r>
      <w:r>
        <w:rPr>
          <w:rFonts w:hint="cs"/>
          <w:rtl/>
        </w:rPr>
        <w:t>, רש"י.</w:t>
      </w:r>
    </w:p>
  </w:footnote>
  <w:footnote w:id="1391">
    <w:p w14:paraId="387718AC" w14:textId="77777777" w:rsidR="00DE2F5F" w:rsidRDefault="00DE2F5F" w:rsidP="00741D85">
      <w:pPr>
        <w:pStyle w:val="a5"/>
        <w:rPr>
          <w:rtl/>
        </w:rPr>
      </w:pPr>
      <w:r>
        <w:rPr>
          <w:rStyle w:val="a7"/>
        </w:rPr>
        <w:footnoteRef/>
      </w:r>
      <w:r>
        <w:rPr>
          <w:rtl/>
        </w:rPr>
        <w:t xml:space="preserve"> </w:t>
      </w:r>
      <w:r w:rsidRPr="00F00788">
        <w:rPr>
          <w:rFonts w:cs="Arial"/>
          <w:rtl/>
        </w:rPr>
        <w:t>בחזקה דכיון דדיבורא בעלמא הוא איכא למימר השני נוח לי</w:t>
      </w:r>
      <w:r>
        <w:rPr>
          <w:rFonts w:hint="cs"/>
          <w:rtl/>
        </w:rPr>
        <w:t>, רש"י.</w:t>
      </w:r>
    </w:p>
  </w:footnote>
  <w:footnote w:id="1392">
    <w:p w14:paraId="4BFA551A" w14:textId="77777777" w:rsidR="00DE2F5F" w:rsidRDefault="00DE2F5F" w:rsidP="00741D85">
      <w:pPr>
        <w:pStyle w:val="a5"/>
        <w:rPr>
          <w:rtl/>
        </w:rPr>
      </w:pPr>
      <w:r>
        <w:rPr>
          <w:rStyle w:val="a7"/>
        </w:rPr>
        <w:footnoteRef/>
      </w:r>
      <w:r>
        <w:rPr>
          <w:rtl/>
        </w:rPr>
        <w:t xml:space="preserve"> </w:t>
      </w:r>
      <w:r w:rsidRPr="00F00788">
        <w:rPr>
          <w:rFonts w:cs="Arial"/>
          <w:rtl/>
        </w:rPr>
        <w:t>אי כתב ליה שטרא בשמיה</w:t>
      </w:r>
      <w:r>
        <w:rPr>
          <w:rFonts w:hint="cs"/>
          <w:rtl/>
        </w:rPr>
        <w:t>, רש"י.</w:t>
      </w:r>
    </w:p>
  </w:footnote>
  <w:footnote w:id="1393">
    <w:p w14:paraId="5D9F9F62" w14:textId="77777777" w:rsidR="00DE2F5F" w:rsidRDefault="00DE2F5F" w:rsidP="00741D85">
      <w:pPr>
        <w:pStyle w:val="a5"/>
        <w:rPr>
          <w:rtl/>
        </w:rPr>
      </w:pPr>
      <w:r>
        <w:rPr>
          <w:rStyle w:val="a7"/>
        </w:rPr>
        <w:footnoteRef/>
      </w:r>
      <w:r>
        <w:rPr>
          <w:rtl/>
        </w:rPr>
        <w:t xml:space="preserve"> </w:t>
      </w:r>
      <w:r w:rsidRPr="00F00788">
        <w:rPr>
          <w:rFonts w:cs="Arial"/>
          <w:rtl/>
        </w:rPr>
        <w:t>דכולי האי לא הוה ליה למיעבד אי לאו דזבנה ליה מכר גמור ומדעת</w:t>
      </w:r>
      <w:r>
        <w:rPr>
          <w:rFonts w:hint="cs"/>
          <w:rtl/>
        </w:rPr>
        <w:t>, רש"י.</w:t>
      </w:r>
    </w:p>
  </w:footnote>
  <w:footnote w:id="1394">
    <w:p w14:paraId="4FB263BE" w14:textId="77777777" w:rsidR="00DE2F5F" w:rsidRPr="00461662" w:rsidRDefault="00DE2F5F" w:rsidP="00741D85">
      <w:pPr>
        <w:pStyle w:val="a5"/>
        <w:rPr>
          <w:rFonts w:cs="Arial"/>
          <w:rtl/>
        </w:rPr>
      </w:pPr>
      <w:r>
        <w:rPr>
          <w:rStyle w:val="a7"/>
        </w:rPr>
        <w:footnoteRef/>
      </w:r>
      <w:r>
        <w:rPr>
          <w:rtl/>
        </w:rPr>
        <w:t xml:space="preserve"> </w:t>
      </w:r>
      <w:r w:rsidRPr="00F00788">
        <w:rPr>
          <w:rFonts w:cs="Arial"/>
          <w:rtl/>
        </w:rPr>
        <w:t>דאי טרפו לה מיניה לגבייה דמי ארעא</w:t>
      </w:r>
      <w:r>
        <w:rPr>
          <w:rFonts w:hint="cs"/>
          <w:rtl/>
        </w:rPr>
        <w:t xml:space="preserve">, רש"י. וכתב הרשב"א (בחידושיו על הדף) </w:t>
      </w:r>
      <w:r>
        <w:rPr>
          <w:rFonts w:cs="Arial" w:hint="cs"/>
          <w:rtl/>
        </w:rPr>
        <w:t>ד</w:t>
      </w:r>
      <w:r w:rsidRPr="00461662">
        <w:rPr>
          <w:rFonts w:cs="Arial"/>
          <w:rtl/>
        </w:rPr>
        <w:t>יש מי שפירש דאזיל לטעמיה דאמר בב"מ אחריות לאו טעות סופר הוא</w:t>
      </w:r>
      <w:r>
        <w:rPr>
          <w:rFonts w:cs="Arial" w:hint="cs"/>
          <w:rtl/>
        </w:rPr>
        <w:t>,</w:t>
      </w:r>
      <w:r w:rsidRPr="00461662">
        <w:rPr>
          <w:rFonts w:cs="Arial"/>
          <w:rtl/>
        </w:rPr>
        <w:t xml:space="preserve"> ולדידן דקי"ל אחריות טעות סופר הוא</w:t>
      </w:r>
      <w:r>
        <w:rPr>
          <w:rFonts w:cs="Arial" w:hint="cs"/>
          <w:rtl/>
        </w:rPr>
        <w:t xml:space="preserve"> -</w:t>
      </w:r>
      <w:r w:rsidRPr="00461662">
        <w:rPr>
          <w:rFonts w:cs="Arial"/>
          <w:rtl/>
        </w:rPr>
        <w:t xml:space="preserve"> כל שלא כתב בלא אחריות מפורש היינו כתיבת אחריות וקנה, וזהו דעת רבינו האי גאון ז"ל </w:t>
      </w:r>
      <w:r>
        <w:rPr>
          <w:rFonts w:cs="Arial" w:hint="cs"/>
          <w:rtl/>
        </w:rPr>
        <w:t>(</w:t>
      </w:r>
      <w:r w:rsidRPr="00461662">
        <w:rPr>
          <w:rFonts w:cs="Arial"/>
          <w:rtl/>
        </w:rPr>
        <w:t>בספר המקח בשער ל'</w:t>
      </w:r>
      <w:r>
        <w:rPr>
          <w:rFonts w:cs="Arial" w:hint="cs"/>
          <w:rtl/>
        </w:rPr>
        <w:t>)</w:t>
      </w:r>
      <w:r w:rsidRPr="00461662">
        <w:rPr>
          <w:rFonts w:cs="Arial"/>
          <w:rtl/>
        </w:rPr>
        <w:t xml:space="preserve"> דכל שלא פירש בלא אחריות היינו כותב אחריות</w:t>
      </w:r>
      <w:r>
        <w:rPr>
          <w:rFonts w:cs="Arial" w:hint="cs"/>
          <w:rtl/>
        </w:rPr>
        <w:t>.</w:t>
      </w:r>
      <w:r w:rsidRPr="00461662">
        <w:rPr>
          <w:rFonts w:cs="Arial"/>
          <w:rtl/>
        </w:rPr>
        <w:t xml:space="preserve"> ולא מיחוור</w:t>
      </w:r>
      <w:r>
        <w:rPr>
          <w:rFonts w:cs="Arial" w:hint="cs"/>
          <w:rtl/>
        </w:rPr>
        <w:t>,</w:t>
      </w:r>
      <w:r w:rsidRPr="00461662">
        <w:rPr>
          <w:rFonts w:cs="Arial"/>
          <w:rtl/>
        </w:rPr>
        <w:t xml:space="preserve"> דבעלמא קי"ל כמ"ד אחריות טעות סופר הוא</w:t>
      </w:r>
      <w:r>
        <w:rPr>
          <w:rFonts w:cs="Arial" w:hint="cs"/>
          <w:rtl/>
        </w:rPr>
        <w:t>,</w:t>
      </w:r>
      <w:r w:rsidRPr="00461662">
        <w:rPr>
          <w:rFonts w:cs="Arial"/>
          <w:rtl/>
        </w:rPr>
        <w:t xml:space="preserve"> ודלא כשמואל והכא מותבינן עלי' דרב ולסיועיה לשמואל, אלא ודאי הכא כיון דמחמת יראת סיקריקון כתב לו את השטר אף על גב דבעלמא קי"ל דמן הסתם אחריות טעות סופר הוא הכא לא אמרינן, דהתם היינו טעמא משום דלא שדי איניש זוזי בכדי ומוכר כי שקיל מיניה דלוקח זוזיה אדעתא דמקבל עליה אחריות שקלינהו אבל הכא דמינס אניס מוכר זה על כתיבת השטר דמשום נחת רוח דסיקריקון כתב ליה עד דמפרש ליה את האחריות ודאי לא אמרי' ביה אחריות טעות סופר הוא, והוא הדין בלוקח מן האיש וחזר ולקח מן האשה.</w:t>
      </w:r>
    </w:p>
  </w:footnote>
  <w:footnote w:id="1395">
    <w:p w14:paraId="09A95482" w14:textId="3B26B191" w:rsidR="00DE2F5F" w:rsidRDefault="00DE2F5F" w:rsidP="00741D85">
      <w:pPr>
        <w:pStyle w:val="a5"/>
      </w:pPr>
      <w:r>
        <w:rPr>
          <w:rStyle w:val="a7"/>
        </w:rPr>
        <w:footnoteRef/>
      </w:r>
      <w:r>
        <w:rPr>
          <w:rtl/>
        </w:rPr>
        <w:t xml:space="preserve"> </w:t>
      </w:r>
      <w:r>
        <w:rPr>
          <w:rFonts w:hint="cs"/>
          <w:rtl/>
        </w:rPr>
        <w:t xml:space="preserve">וכ"כ הרמב"ם (פי"ז מאישות הי"א)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7C1187">
        <w:rPr>
          <w:rFonts w:cs="Arial"/>
          <w:rtl/>
        </w:rPr>
        <w:t>הבעל שמכר נכסיו ואח"כ כתבה אשתו ללוקח דין ודברים אין לי עמך והסכימה למעשיו אף על פי שקנו ממנה הרי זו טורפת שלא כתבה לו אלא שלא תהיה בינה לבין בעלה קטטה ויש לה לומר נחת רוח עשיתי לבעלי.</w:t>
      </w:r>
    </w:p>
  </w:footnote>
  <w:footnote w:id="1396">
    <w:p w14:paraId="401BA298" w14:textId="77777777" w:rsidR="00DE2F5F" w:rsidRDefault="00DE2F5F" w:rsidP="00741D85">
      <w:pPr>
        <w:pStyle w:val="a5"/>
      </w:pPr>
      <w:r>
        <w:rPr>
          <w:rStyle w:val="a7"/>
        </w:rPr>
        <w:footnoteRef/>
      </w:r>
      <w:r>
        <w:rPr>
          <w:rtl/>
        </w:rPr>
        <w:t xml:space="preserve"> </w:t>
      </w:r>
      <w:r w:rsidRPr="005F7941">
        <w:rPr>
          <w:rFonts w:cs="Arial"/>
          <w:rtl/>
        </w:rPr>
        <w:t>וכתב הה</w:t>
      </w:r>
      <w:r>
        <w:rPr>
          <w:rFonts w:cs="Arial" w:hint="cs"/>
          <w:rtl/>
        </w:rPr>
        <w:t>"</w:t>
      </w:r>
      <w:r w:rsidRPr="005F7941">
        <w:rPr>
          <w:rFonts w:cs="Arial"/>
          <w:rtl/>
        </w:rPr>
        <w:t xml:space="preserve">מ </w:t>
      </w:r>
      <w:r w:rsidRPr="005F7941">
        <w:rPr>
          <w:rFonts w:cs="Arial" w:hint="cs"/>
          <w:sz w:val="16"/>
          <w:szCs w:val="16"/>
          <w:rtl/>
        </w:rPr>
        <w:t>(</w:t>
      </w:r>
      <w:r w:rsidRPr="005F7941">
        <w:rPr>
          <w:rFonts w:cs="Arial"/>
          <w:sz w:val="16"/>
          <w:szCs w:val="16"/>
          <w:rtl/>
        </w:rPr>
        <w:t xml:space="preserve">מכירה פ"ל ה"ג) </w:t>
      </w:r>
      <w:r w:rsidRPr="005F7941">
        <w:rPr>
          <w:rFonts w:cs="Arial"/>
          <w:rtl/>
        </w:rPr>
        <w:t>ותמה אני על המחבר איך לא ביאר זה כלומר שלא כתב שאם קיבלה עליה אחריות מכרו קיים</w:t>
      </w:r>
      <w:r>
        <w:rPr>
          <w:rFonts w:cs="Arial" w:hint="cs"/>
          <w:rtl/>
        </w:rPr>
        <w:t>, ב"י.</w:t>
      </w:r>
    </w:p>
  </w:footnote>
  <w:footnote w:id="1397">
    <w:p w14:paraId="3516736D" w14:textId="77777777" w:rsidR="00DE2F5F" w:rsidRDefault="00DE2F5F" w:rsidP="00741D85">
      <w:pPr>
        <w:pStyle w:val="a5"/>
        <w:rPr>
          <w:rtl/>
        </w:rPr>
      </w:pPr>
      <w:r>
        <w:rPr>
          <w:rStyle w:val="a7"/>
        </w:rPr>
        <w:footnoteRef/>
      </w:r>
      <w:r>
        <w:rPr>
          <w:rtl/>
        </w:rPr>
        <w:t xml:space="preserve"> </w:t>
      </w:r>
      <w:r w:rsidRPr="006C343E">
        <w:rPr>
          <w:rFonts w:cs="Arial"/>
          <w:rtl/>
        </w:rPr>
        <w:t>המשועבד לכתובות</w:t>
      </w:r>
      <w:r>
        <w:rPr>
          <w:rFonts w:hint="cs"/>
          <w:rtl/>
        </w:rPr>
        <w:t>, רש"י.</w:t>
      </w:r>
    </w:p>
  </w:footnote>
  <w:footnote w:id="1398">
    <w:p w14:paraId="3956E86D" w14:textId="77777777" w:rsidR="00DE2F5F" w:rsidRDefault="00DE2F5F" w:rsidP="00741D85">
      <w:pPr>
        <w:pStyle w:val="a5"/>
        <w:rPr>
          <w:rtl/>
        </w:rPr>
      </w:pPr>
      <w:r>
        <w:rPr>
          <w:rStyle w:val="a7"/>
        </w:rPr>
        <w:footnoteRef/>
      </w:r>
      <w:r>
        <w:rPr>
          <w:rtl/>
        </w:rPr>
        <w:t xml:space="preserve"> </w:t>
      </w:r>
      <w:r w:rsidRPr="006C343E">
        <w:rPr>
          <w:rFonts w:cs="Arial"/>
          <w:rtl/>
        </w:rPr>
        <w:t>שנשא תחלה</w:t>
      </w:r>
      <w:r>
        <w:rPr>
          <w:rFonts w:hint="cs"/>
          <w:rtl/>
        </w:rPr>
        <w:t>, רש"י.</w:t>
      </w:r>
    </w:p>
  </w:footnote>
  <w:footnote w:id="1399">
    <w:p w14:paraId="561F708B" w14:textId="77777777" w:rsidR="00DE2F5F" w:rsidRDefault="00DE2F5F" w:rsidP="00741D85">
      <w:pPr>
        <w:pStyle w:val="a5"/>
        <w:rPr>
          <w:rtl/>
        </w:rPr>
      </w:pPr>
      <w:r>
        <w:rPr>
          <w:rStyle w:val="a7"/>
        </w:rPr>
        <w:footnoteRef/>
      </w:r>
      <w:r>
        <w:rPr>
          <w:rtl/>
        </w:rPr>
        <w:t xml:space="preserve"> </w:t>
      </w:r>
      <w:r w:rsidRPr="006C343E">
        <w:rPr>
          <w:rFonts w:cs="Arial"/>
          <w:rtl/>
        </w:rPr>
        <w:t>כשימות בעלה</w:t>
      </w:r>
      <w:r>
        <w:rPr>
          <w:rFonts w:hint="cs"/>
          <w:rtl/>
        </w:rPr>
        <w:t>, רש"י.</w:t>
      </w:r>
    </w:p>
  </w:footnote>
  <w:footnote w:id="1400">
    <w:p w14:paraId="0F2D6143" w14:textId="77777777" w:rsidR="00DE2F5F" w:rsidRDefault="00DE2F5F" w:rsidP="00741D85">
      <w:pPr>
        <w:pStyle w:val="a5"/>
        <w:rPr>
          <w:rtl/>
        </w:rPr>
      </w:pPr>
      <w:r>
        <w:rPr>
          <w:rStyle w:val="a7"/>
        </w:rPr>
        <w:footnoteRef/>
      </w:r>
      <w:r>
        <w:rPr>
          <w:rtl/>
        </w:rPr>
        <w:t xml:space="preserve"> </w:t>
      </w:r>
      <w:r w:rsidRPr="006C343E">
        <w:rPr>
          <w:rFonts w:cs="Arial"/>
          <w:rtl/>
        </w:rPr>
        <w:t>ואמרי' בהכותב לאשתו דהיכא דקנו מידו מגופה של קרקע קנו מידו</w:t>
      </w:r>
      <w:r>
        <w:rPr>
          <w:rFonts w:hint="cs"/>
          <w:rtl/>
        </w:rPr>
        <w:t>, רש"י.</w:t>
      </w:r>
    </w:p>
  </w:footnote>
  <w:footnote w:id="1401">
    <w:p w14:paraId="5AF8F5DE" w14:textId="77777777" w:rsidR="00DE2F5F" w:rsidRDefault="00DE2F5F" w:rsidP="00741D85">
      <w:pPr>
        <w:pStyle w:val="a5"/>
        <w:rPr>
          <w:rtl/>
        </w:rPr>
      </w:pPr>
      <w:r>
        <w:rPr>
          <w:rStyle w:val="a7"/>
        </w:rPr>
        <w:footnoteRef/>
      </w:r>
      <w:r>
        <w:rPr>
          <w:rtl/>
        </w:rPr>
        <w:t xml:space="preserve"> </w:t>
      </w:r>
      <w:r w:rsidRPr="006C343E">
        <w:rPr>
          <w:rFonts w:cs="Arial"/>
          <w:rtl/>
        </w:rPr>
        <w:t>שטר מכר על שדה אחת</w:t>
      </w:r>
      <w:r>
        <w:rPr>
          <w:rFonts w:hint="cs"/>
          <w:rtl/>
        </w:rPr>
        <w:t>, רש"י.</w:t>
      </w:r>
    </w:p>
  </w:footnote>
  <w:footnote w:id="1402">
    <w:p w14:paraId="1BFD3E23" w14:textId="77777777" w:rsidR="00DE2F5F" w:rsidRDefault="00DE2F5F" w:rsidP="00741D85">
      <w:pPr>
        <w:pStyle w:val="a5"/>
        <w:rPr>
          <w:rtl/>
        </w:rPr>
      </w:pPr>
      <w:r>
        <w:rPr>
          <w:rStyle w:val="a7"/>
        </w:rPr>
        <w:footnoteRef/>
      </w:r>
      <w:r>
        <w:rPr>
          <w:rtl/>
        </w:rPr>
        <w:t xml:space="preserve"> </w:t>
      </w:r>
      <w:r w:rsidRPr="006C343E">
        <w:rPr>
          <w:rFonts w:cs="Arial"/>
          <w:rtl/>
        </w:rPr>
        <w:t>לא הודית באותו מכר וכתב שטר אחר ללוקח שני על שדה אחרת וחתמה לו</w:t>
      </w:r>
      <w:r>
        <w:rPr>
          <w:rFonts w:hint="cs"/>
          <w:rtl/>
        </w:rPr>
        <w:t>, רש"י.</w:t>
      </w:r>
    </w:p>
  </w:footnote>
  <w:footnote w:id="1403">
    <w:p w14:paraId="5D457B30" w14:textId="77777777" w:rsidR="00DE2F5F" w:rsidRDefault="00DE2F5F" w:rsidP="00741D85">
      <w:pPr>
        <w:pStyle w:val="a5"/>
        <w:rPr>
          <w:rtl/>
        </w:rPr>
      </w:pPr>
      <w:r>
        <w:rPr>
          <w:rStyle w:val="a7"/>
        </w:rPr>
        <w:footnoteRef/>
      </w:r>
      <w:r>
        <w:rPr>
          <w:rtl/>
        </w:rPr>
        <w:t xml:space="preserve"> </w:t>
      </w:r>
      <w:r w:rsidRPr="006C343E">
        <w:rPr>
          <w:rFonts w:cs="Arial"/>
          <w:rtl/>
        </w:rPr>
        <w:t>אם אין שם בני חורין שהרי הראשון אומר הנחתי ליך מקום לגבות הימנו</w:t>
      </w:r>
      <w:r>
        <w:rPr>
          <w:rFonts w:hint="cs"/>
          <w:rtl/>
        </w:rPr>
        <w:t>, רש"י.</w:t>
      </w:r>
    </w:p>
  </w:footnote>
  <w:footnote w:id="1404">
    <w:p w14:paraId="4D93BC4D" w14:textId="77777777" w:rsidR="00DE2F5F" w:rsidRDefault="00DE2F5F" w:rsidP="00741D85">
      <w:pPr>
        <w:pStyle w:val="a5"/>
        <w:rPr>
          <w:rtl/>
        </w:rPr>
      </w:pPr>
      <w:r>
        <w:rPr>
          <w:rStyle w:val="a7"/>
        </w:rPr>
        <w:footnoteRef/>
      </w:r>
      <w:r>
        <w:rPr>
          <w:rtl/>
        </w:rPr>
        <w:t xml:space="preserve"> </w:t>
      </w:r>
      <w:r w:rsidRPr="006C343E">
        <w:rPr>
          <w:rFonts w:cs="Arial"/>
          <w:rtl/>
        </w:rPr>
        <w:t>מן השני תגבה</w:t>
      </w:r>
      <w:r>
        <w:rPr>
          <w:rFonts w:hint="cs"/>
          <w:rtl/>
        </w:rPr>
        <w:t>, רש"י.</w:t>
      </w:r>
    </w:p>
  </w:footnote>
  <w:footnote w:id="1405">
    <w:p w14:paraId="37ABA3F9" w14:textId="77777777" w:rsidR="00DE2F5F" w:rsidRDefault="00DE2F5F" w:rsidP="00741D85">
      <w:pPr>
        <w:pStyle w:val="a5"/>
        <w:rPr>
          <w:rtl/>
        </w:rPr>
      </w:pPr>
      <w:r>
        <w:rPr>
          <w:rStyle w:val="a7"/>
        </w:rPr>
        <w:footnoteRef/>
      </w:r>
      <w:r>
        <w:rPr>
          <w:rtl/>
        </w:rPr>
        <w:t xml:space="preserve"> </w:t>
      </w:r>
      <w:r w:rsidRPr="006C343E">
        <w:rPr>
          <w:rFonts w:cs="Arial"/>
          <w:rtl/>
        </w:rPr>
        <w:t>דסתמינהו למשניות הכא בכתובות סתם לן כר"מ ובמס' גיטין סתם לן מקחו בטל כר' יהודה</w:t>
      </w:r>
      <w:r>
        <w:rPr>
          <w:rFonts w:hint="cs"/>
          <w:rtl/>
        </w:rPr>
        <w:t>, רש"י.</w:t>
      </w:r>
    </w:p>
  </w:footnote>
  <w:footnote w:id="1406">
    <w:p w14:paraId="4EBE64AB" w14:textId="77777777" w:rsidR="00DE2F5F" w:rsidRDefault="00DE2F5F" w:rsidP="00741D85">
      <w:pPr>
        <w:pStyle w:val="a5"/>
        <w:rPr>
          <w:rtl/>
        </w:rPr>
      </w:pPr>
      <w:r>
        <w:rPr>
          <w:rStyle w:val="a7"/>
        </w:rPr>
        <w:footnoteRef/>
      </w:r>
      <w:r>
        <w:rPr>
          <w:rtl/>
        </w:rPr>
        <w:t xml:space="preserve"> </w:t>
      </w:r>
      <w:r w:rsidRPr="006C343E">
        <w:rPr>
          <w:rFonts w:cs="Arial"/>
          <w:rtl/>
        </w:rPr>
        <w:t>מתני' כשהיתה גרושה ואחר כך כתבה לו ללוקח כן</w:t>
      </w:r>
      <w:r>
        <w:rPr>
          <w:rFonts w:hint="cs"/>
          <w:rtl/>
        </w:rPr>
        <w:t>, רש"י.</w:t>
      </w:r>
    </w:p>
  </w:footnote>
  <w:footnote w:id="1407">
    <w:p w14:paraId="7928CC75" w14:textId="77777777" w:rsidR="00DE2F5F" w:rsidRDefault="00DE2F5F" w:rsidP="00741D85">
      <w:pPr>
        <w:pStyle w:val="a5"/>
        <w:rPr>
          <w:rtl/>
        </w:rPr>
      </w:pPr>
      <w:r>
        <w:rPr>
          <w:rStyle w:val="a7"/>
        </w:rPr>
        <w:footnoteRef/>
      </w:r>
      <w:r>
        <w:rPr>
          <w:rtl/>
        </w:rPr>
        <w:t xml:space="preserve"> </w:t>
      </w:r>
      <w:r w:rsidRPr="006C343E">
        <w:rPr>
          <w:rFonts w:cs="Arial"/>
          <w:rtl/>
        </w:rPr>
        <w:t>אפי' ביושבת תחתיו ותרוייהו סתמי כר"מ ומתני' דגיטין דלקח מן האיש וחזר ולקח מן האשה להכי מקחו בטל דעד כאן לא קאמר ר"מ בבריית' איבדה כתובתה אלא בשני לקוחות והא חזינן דבראשון לא עשתה נחת רוח לבעלה הלכך לא מצית למימר כי חתמה לשני נחת רוח עשיתי לבעלי</w:t>
      </w:r>
      <w:r>
        <w:rPr>
          <w:rFonts w:hint="cs"/>
          <w:rtl/>
        </w:rPr>
        <w:t>, רש"י.</w:t>
      </w:r>
    </w:p>
  </w:footnote>
  <w:footnote w:id="1408">
    <w:p w14:paraId="2D38AAA1" w14:textId="77777777" w:rsidR="00DE2F5F" w:rsidRDefault="00DE2F5F" w:rsidP="00741D85">
      <w:pPr>
        <w:pStyle w:val="a5"/>
        <w:rPr>
          <w:rtl/>
        </w:rPr>
      </w:pPr>
      <w:r>
        <w:rPr>
          <w:rStyle w:val="a7"/>
        </w:rPr>
        <w:footnoteRef/>
      </w:r>
      <w:r>
        <w:rPr>
          <w:rtl/>
        </w:rPr>
        <w:t xml:space="preserve"> </w:t>
      </w:r>
      <w:r w:rsidRPr="006C343E">
        <w:rPr>
          <w:rFonts w:cs="Arial"/>
          <w:rtl/>
        </w:rPr>
        <w:t>דהכא דאשמעינן מינה חתימתה קיימת</w:t>
      </w:r>
      <w:r>
        <w:rPr>
          <w:rFonts w:hint="cs"/>
          <w:rtl/>
        </w:rPr>
        <w:t>, רש"י.</w:t>
      </w:r>
    </w:p>
  </w:footnote>
  <w:footnote w:id="1409">
    <w:p w14:paraId="71F69B5B" w14:textId="77777777" w:rsidR="00DE2F5F" w:rsidRDefault="00DE2F5F" w:rsidP="00741D85">
      <w:pPr>
        <w:pStyle w:val="a5"/>
        <w:rPr>
          <w:rtl/>
        </w:rPr>
      </w:pPr>
      <w:r>
        <w:rPr>
          <w:rStyle w:val="a7"/>
        </w:rPr>
        <w:footnoteRef/>
      </w:r>
      <w:r>
        <w:rPr>
          <w:rtl/>
        </w:rPr>
        <w:t xml:space="preserve"> </w:t>
      </w:r>
      <w:r w:rsidRPr="006C343E">
        <w:rPr>
          <w:rFonts w:cs="Arial"/>
          <w:rtl/>
        </w:rPr>
        <w:t>הבעל לאחר קודם לזה ולא חתמה לו ולזה חתמה</w:t>
      </w:r>
      <w:r>
        <w:rPr>
          <w:rFonts w:hint="cs"/>
          <w:rtl/>
        </w:rPr>
        <w:t>, רש"י.</w:t>
      </w:r>
    </w:p>
  </w:footnote>
  <w:footnote w:id="1410">
    <w:p w14:paraId="1CB2ED18" w14:textId="2B0F471C" w:rsidR="00DE2F5F" w:rsidRDefault="00DE2F5F" w:rsidP="00741D85">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8C513A">
        <w:rPr>
          <w:rFonts w:cs="Arial"/>
          <w:rtl/>
        </w:rPr>
        <w:t>וכן אם מכר לאחד ולא נתרצית במכר</w:t>
      </w:r>
      <w:r>
        <w:rPr>
          <w:rFonts w:cs="Arial" w:hint="cs"/>
          <w:rtl/>
        </w:rPr>
        <w:t>,</w:t>
      </w:r>
      <w:r w:rsidRPr="008C513A">
        <w:rPr>
          <w:rFonts w:cs="Arial"/>
          <w:rtl/>
        </w:rPr>
        <w:t xml:space="preserve"> ואח"כ מכר לאחר לא שנא אותו קרקע ולא שנא אחרת</w:t>
      </w:r>
      <w:r>
        <w:rPr>
          <w:rFonts w:cs="Arial" w:hint="cs"/>
          <w:rtl/>
        </w:rPr>
        <w:t>,</w:t>
      </w:r>
      <w:r w:rsidRPr="008C513A">
        <w:rPr>
          <w:rFonts w:cs="Arial"/>
          <w:rtl/>
        </w:rPr>
        <w:t xml:space="preserve"> ונתרצית וחתמה לו </w:t>
      </w:r>
      <w:r>
        <w:rPr>
          <w:rFonts w:cs="Arial" w:hint="cs"/>
          <w:rtl/>
        </w:rPr>
        <w:t xml:space="preserve">- </w:t>
      </w:r>
      <w:r w:rsidRPr="008C513A">
        <w:rPr>
          <w:rFonts w:cs="Arial"/>
          <w:rtl/>
        </w:rPr>
        <w:t>קנה</w:t>
      </w:r>
      <w:r>
        <w:rPr>
          <w:rFonts w:cs="Arial" w:hint="cs"/>
          <w:rtl/>
        </w:rPr>
        <w:t>,</w:t>
      </w:r>
      <w:r w:rsidRPr="008C513A">
        <w:rPr>
          <w:rFonts w:cs="Arial"/>
          <w:rtl/>
        </w:rPr>
        <w:t xml:space="preserve"> ואינה יכולה לומר נחת רוה עשיתי לבעלי</w:t>
      </w:r>
      <w:r>
        <w:rPr>
          <w:rFonts w:cs="Arial" w:hint="cs"/>
          <w:rtl/>
        </w:rPr>
        <w:t>,</w:t>
      </w:r>
      <w:r w:rsidRPr="008C513A">
        <w:rPr>
          <w:rFonts w:cs="Arial"/>
          <w:rtl/>
        </w:rPr>
        <w:t xml:space="preserve"> כיון שלא נתרצית לראשון</w:t>
      </w:r>
      <w:r w:rsidRPr="007C1187">
        <w:rPr>
          <w:rFonts w:cs="Arial"/>
          <w:rtl/>
        </w:rPr>
        <w:t>.</w:t>
      </w:r>
    </w:p>
  </w:footnote>
  <w:footnote w:id="1411">
    <w:p w14:paraId="173E6F16" w14:textId="1AEE6C42" w:rsidR="00DE2F5F" w:rsidRDefault="00DE2F5F" w:rsidP="00741D85">
      <w:pPr>
        <w:pStyle w:val="a5"/>
      </w:pPr>
      <w:r>
        <w:rPr>
          <w:rStyle w:val="a7"/>
        </w:rPr>
        <w:footnoteRef/>
      </w:r>
      <w:r>
        <w:rPr>
          <w:rtl/>
        </w:rPr>
        <w:t xml:space="preserve"> </w:t>
      </w:r>
      <w:r w:rsidRPr="007C1187">
        <w:rPr>
          <w:rFonts w:cs="Arial"/>
          <w:rtl/>
        </w:rPr>
        <w:t>וכתב הרב המגיד כתב רבינו ונפסד המכר ונראה מדבריו שאם לא נתבטל המכר מחמת שלא חתמה לו יכולה היא לומר לשני כשחתמה לו נחת רוח עשיתי לבעלי ומה שלא עשיתי כן לראשון לפי שלא היה לו צורך בכך שהרי אפילו בלא חתימתי נתקיים המכר ודברי טעם הם</w:t>
      </w:r>
      <w:r w:rsidRPr="007C1187">
        <w:rPr>
          <w:rFonts w:cs="Arial" w:hint="cs"/>
          <w:rtl/>
        </w:rPr>
        <w:t>.</w:t>
      </w:r>
      <w:r w:rsidRPr="007C1187">
        <w:rPr>
          <w:rFonts w:cs="Arial"/>
          <w:rtl/>
        </w:rPr>
        <w:t xml:space="preserve"> אלא שקשה לזה</w:t>
      </w:r>
      <w:r w:rsidRPr="007C1187">
        <w:rPr>
          <w:rFonts w:cs="Arial" w:hint="cs"/>
          <w:rtl/>
        </w:rPr>
        <w:t>,</w:t>
      </w:r>
      <w:r w:rsidRPr="007C1187">
        <w:rPr>
          <w:rFonts w:cs="Arial"/>
          <w:rtl/>
        </w:rPr>
        <w:t xml:space="preserve"> דהתם בבעיא דאשתדיף בני חרי משמע בהדיא דברייתא דכתבה לראשון ולא חתמה לשני וחתמה איבדה כתובתה היא אפילו בשנתקיים המכר הראשון וכוונת רבינו במה שכתב ונפסד המכר צריכה תלמוד עכ"ל</w:t>
      </w:r>
      <w:r>
        <w:rPr>
          <w:rFonts w:cs="Arial" w:hint="cs"/>
          <w:rtl/>
        </w:rPr>
        <w:t>, ב"י</w:t>
      </w:r>
      <w:r w:rsidRPr="007C1187">
        <w:rPr>
          <w:rFonts w:cs="Arial"/>
          <w:rtl/>
        </w:rPr>
        <w:t>.</w:t>
      </w:r>
      <w:r w:rsidRPr="00881E59">
        <w:rPr>
          <w:rFonts w:cs="Arial"/>
          <w:rtl/>
        </w:rPr>
        <w:t xml:space="preserve"> </w:t>
      </w:r>
      <w:r w:rsidRPr="00843F99">
        <w:rPr>
          <w:rFonts w:cs="Arial"/>
          <w:rtl/>
        </w:rPr>
        <w:t>וכ"כ הר"ן פרק מי שהיה נשוי (נד: ד"ה גמ') דלא בעינן שנתבטל מקח הראשון וע"ל סימן ק' מדינים אלו</w:t>
      </w:r>
      <w:r>
        <w:rPr>
          <w:rFonts w:cs="Arial" w:hint="cs"/>
          <w:rtl/>
        </w:rPr>
        <w:t>, דרכ"מ (אות יח).</w:t>
      </w:r>
      <w:r w:rsidRPr="005C5D4E">
        <w:rPr>
          <w:rtl/>
        </w:rPr>
        <w:t xml:space="preserve"> </w:t>
      </w:r>
      <w:r w:rsidRPr="005C5D4E">
        <w:rPr>
          <w:rFonts w:cs="Arial"/>
          <w:rtl/>
        </w:rPr>
        <w:t>וכן בטור השמיט תיבות אלו</w:t>
      </w:r>
      <w:r>
        <w:rPr>
          <w:rFonts w:cs="Arial" w:hint="cs"/>
          <w:sz w:val="16"/>
          <w:szCs w:val="16"/>
          <w:rtl/>
        </w:rPr>
        <w:t xml:space="preserve"> {'ונפסד המכר'}</w:t>
      </w:r>
      <w:r>
        <w:rPr>
          <w:rFonts w:cs="Arial" w:hint="cs"/>
          <w:rtl/>
        </w:rPr>
        <w:t>,</w:t>
      </w:r>
      <w:r w:rsidRPr="005C5D4E">
        <w:rPr>
          <w:rFonts w:cs="Arial"/>
          <w:rtl/>
        </w:rPr>
        <w:t xml:space="preserve"> ובב"ח נדחק לקיים דברי הרמב"ם שהם דוקא ואין דבריו ברורים</w:t>
      </w:r>
      <w:r>
        <w:rPr>
          <w:rFonts w:cs="Arial" w:hint="cs"/>
          <w:rtl/>
        </w:rPr>
        <w:t>, ח"מ (סקנ"ח).</w:t>
      </w:r>
    </w:p>
  </w:footnote>
  <w:footnote w:id="1412">
    <w:p w14:paraId="53D74D44" w14:textId="77777777" w:rsidR="00DE2F5F" w:rsidRDefault="00DE2F5F" w:rsidP="00304226">
      <w:pPr>
        <w:pStyle w:val="a5"/>
      </w:pPr>
      <w:r>
        <w:rPr>
          <w:rStyle w:val="a7"/>
        </w:rPr>
        <w:footnoteRef/>
      </w:r>
      <w:r>
        <w:rPr>
          <w:rFonts w:cs="Arial" w:hint="cs"/>
          <w:rtl/>
        </w:rPr>
        <w:t xml:space="preserve"> </w:t>
      </w:r>
      <w:r w:rsidRPr="00741D85">
        <w:rPr>
          <w:rFonts w:cs="Arial"/>
          <w:rtl/>
        </w:rPr>
        <w:t>עיין בתשובת הרשב"א שאכתוב בסימן שאחר זה. עיין במישרים נכ"ג ח"ד דינים דשייכי לסימן זה</w:t>
      </w:r>
      <w:r>
        <w:rPr>
          <w:rFonts w:cs="Arial" w:hint="cs"/>
          <w:rtl/>
        </w:rPr>
        <w:t>, ב"י.</w:t>
      </w:r>
    </w:p>
  </w:footnote>
  <w:footnote w:id="1413">
    <w:p w14:paraId="3F9AD392" w14:textId="26A5BF98" w:rsidR="00DE2F5F" w:rsidRDefault="00DE2F5F" w:rsidP="00680B86">
      <w:pPr>
        <w:pStyle w:val="a5"/>
      </w:pPr>
      <w:r>
        <w:rPr>
          <w:rStyle w:val="a7"/>
        </w:rPr>
        <w:footnoteRef/>
      </w:r>
      <w:r>
        <w:rPr>
          <w:rtl/>
        </w:rPr>
        <w:t xml:space="preserve"> </w:t>
      </w:r>
      <w:r>
        <w:rPr>
          <w:rFonts w:cs="Arial" w:hint="cs"/>
          <w:rtl/>
        </w:rPr>
        <w:t>הביאוהו ה</w:t>
      </w:r>
      <w:r w:rsidRPr="00843F99">
        <w:rPr>
          <w:rFonts w:cs="Arial"/>
          <w:rtl/>
        </w:rPr>
        <w:t xml:space="preserve">מרדכי </w:t>
      </w:r>
      <w:r>
        <w:rPr>
          <w:rFonts w:cs="Arial" w:hint="cs"/>
          <w:rtl/>
        </w:rPr>
        <w:t xml:space="preserve">(כתובות </w:t>
      </w:r>
      <w:r w:rsidRPr="00843F99">
        <w:rPr>
          <w:rFonts w:cs="Arial"/>
          <w:rtl/>
        </w:rPr>
        <w:t>סי' ריב)</w:t>
      </w:r>
      <w:r w:rsidRPr="006A72F9">
        <w:rPr>
          <w:rFonts w:cs="Arial"/>
          <w:rtl/>
        </w:rPr>
        <w:t xml:space="preserve"> </w:t>
      </w:r>
      <w:r>
        <w:rPr>
          <w:rFonts w:cs="Arial" w:hint="cs"/>
          <w:rtl/>
        </w:rPr>
        <w:t>הגה"מ</w:t>
      </w:r>
      <w:r w:rsidRPr="00843F99">
        <w:rPr>
          <w:rFonts w:cs="Arial"/>
          <w:rtl/>
        </w:rPr>
        <w:t xml:space="preserve"> </w:t>
      </w:r>
      <w:r>
        <w:rPr>
          <w:rFonts w:cs="Arial" w:hint="cs"/>
          <w:rtl/>
        </w:rPr>
        <w:t>(</w:t>
      </w:r>
      <w:r w:rsidRPr="00843F99">
        <w:rPr>
          <w:rFonts w:cs="Arial"/>
          <w:rtl/>
        </w:rPr>
        <w:t>פכ"ג דאישות אות ב)</w:t>
      </w:r>
      <w:r>
        <w:rPr>
          <w:rFonts w:cs="Arial" w:hint="cs"/>
          <w:rtl/>
        </w:rPr>
        <w:t xml:space="preserve"> והג"א (כתבות פ"ט סי' א הגהה ג). </w:t>
      </w:r>
      <w:r w:rsidRPr="00843F99">
        <w:rPr>
          <w:rFonts w:cs="Arial"/>
          <w:rtl/>
        </w:rPr>
        <w:t>והובא בב"י סי</w:t>
      </w:r>
      <w:r>
        <w:rPr>
          <w:rFonts w:cs="Arial" w:hint="cs"/>
          <w:rtl/>
        </w:rPr>
        <w:t>'</w:t>
      </w:r>
      <w:r w:rsidRPr="00843F99">
        <w:rPr>
          <w:rFonts w:cs="Arial"/>
          <w:rtl/>
        </w:rPr>
        <w:t xml:space="preserve"> צב</w:t>
      </w:r>
      <w:r>
        <w:rPr>
          <w:rFonts w:cs="Arial" w:hint="cs"/>
          <w:rtl/>
        </w:rPr>
        <w:t>.</w:t>
      </w:r>
    </w:p>
  </w:footnote>
  <w:footnote w:id="1414">
    <w:p w14:paraId="1E4B5CE9" w14:textId="298ADD8C" w:rsidR="00DE2F5F" w:rsidRPr="00F54442" w:rsidRDefault="00DE2F5F" w:rsidP="00F54442">
      <w:pPr>
        <w:pStyle w:val="a5"/>
        <w:rPr>
          <w:rFonts w:cs="Arial"/>
        </w:rPr>
      </w:pPr>
      <w:r>
        <w:rPr>
          <w:rStyle w:val="a7"/>
        </w:rPr>
        <w:footnoteRef/>
      </w:r>
      <w:r>
        <w:rPr>
          <w:rtl/>
        </w:rPr>
        <w:t xml:space="preserve"> </w:t>
      </w:r>
      <w:r w:rsidRPr="007D764D">
        <w:rPr>
          <w:rFonts w:cs="Arial"/>
          <w:rtl/>
        </w:rPr>
        <w:t>ה"ה אם כתבה שטר בפני עצמו מהני אפי</w:t>
      </w:r>
      <w:r>
        <w:rPr>
          <w:rFonts w:cs="Arial" w:hint="cs"/>
          <w:rtl/>
        </w:rPr>
        <w:t>לו</w:t>
      </w:r>
      <w:r w:rsidRPr="007D764D">
        <w:rPr>
          <w:rFonts w:cs="Arial"/>
          <w:rtl/>
        </w:rPr>
        <w:t xml:space="preserve"> כתבה אחר מכירת הבעל</w:t>
      </w:r>
      <w:r>
        <w:rPr>
          <w:rFonts w:cs="Arial" w:hint="cs"/>
          <w:rtl/>
        </w:rPr>
        <w:t>,</w:t>
      </w:r>
      <w:r w:rsidRPr="007D764D">
        <w:rPr>
          <w:rFonts w:cs="Arial"/>
          <w:rtl/>
        </w:rPr>
        <w:t xml:space="preserve"> ואי</w:t>
      </w:r>
      <w:r>
        <w:rPr>
          <w:rFonts w:cs="Arial" w:hint="cs"/>
          <w:rtl/>
        </w:rPr>
        <w:t>נה יכולה</w:t>
      </w:r>
      <w:r w:rsidRPr="007D764D">
        <w:rPr>
          <w:rFonts w:cs="Arial"/>
          <w:rtl/>
        </w:rPr>
        <w:t xml:space="preserve"> לו</w:t>
      </w:r>
      <w:r>
        <w:rPr>
          <w:rFonts w:cs="Arial" w:hint="cs"/>
          <w:rtl/>
        </w:rPr>
        <w:t>מר</w:t>
      </w:r>
      <w:r w:rsidRPr="007D764D">
        <w:rPr>
          <w:rFonts w:cs="Arial"/>
          <w:rtl/>
        </w:rPr>
        <w:t xml:space="preserve"> נ</w:t>
      </w:r>
      <w:r>
        <w:rPr>
          <w:rFonts w:cs="Arial" w:hint="cs"/>
          <w:rtl/>
        </w:rPr>
        <w:t xml:space="preserve">חת </w:t>
      </w:r>
      <w:r w:rsidRPr="007D764D">
        <w:rPr>
          <w:rFonts w:cs="Arial"/>
          <w:rtl/>
        </w:rPr>
        <w:t>ר</w:t>
      </w:r>
      <w:r>
        <w:rPr>
          <w:rFonts w:cs="Arial" w:hint="cs"/>
          <w:rtl/>
        </w:rPr>
        <w:t>וח</w:t>
      </w:r>
      <w:r w:rsidRPr="007D764D">
        <w:rPr>
          <w:rFonts w:cs="Arial"/>
          <w:rtl/>
        </w:rPr>
        <w:t xml:space="preserve"> לבעלי עשיתי</w:t>
      </w:r>
      <w:r>
        <w:rPr>
          <w:rFonts w:cs="Arial" w:hint="cs"/>
          <w:rtl/>
        </w:rPr>
        <w:t>,</w:t>
      </w:r>
      <w:r w:rsidRPr="007D764D">
        <w:rPr>
          <w:rFonts w:cs="Arial"/>
          <w:rtl/>
        </w:rPr>
        <w:t xml:space="preserve"> דכולי האי לא עבדה</w:t>
      </w:r>
      <w:r>
        <w:rPr>
          <w:rFonts w:cs="Arial" w:hint="cs"/>
          <w:rtl/>
        </w:rPr>
        <w:t>.</w:t>
      </w:r>
      <w:r w:rsidRPr="007D764D">
        <w:rPr>
          <w:rFonts w:cs="Arial"/>
          <w:rtl/>
        </w:rPr>
        <w:t xml:space="preserve"> עיין תוס' </w:t>
      </w:r>
      <w:r>
        <w:rPr>
          <w:rFonts w:cs="Arial" w:hint="cs"/>
          <w:rtl/>
        </w:rPr>
        <w:t>(</w:t>
      </w:r>
      <w:r w:rsidRPr="007D764D">
        <w:rPr>
          <w:rFonts w:cs="Arial"/>
          <w:rtl/>
        </w:rPr>
        <w:t>כתובות</w:t>
      </w:r>
      <w:r>
        <w:rPr>
          <w:rFonts w:cs="Arial" w:hint="cs"/>
          <w:rtl/>
        </w:rPr>
        <w:t xml:space="preserve"> </w:t>
      </w:r>
      <w:r w:rsidRPr="007D764D">
        <w:rPr>
          <w:rFonts w:cs="Arial"/>
          <w:rtl/>
        </w:rPr>
        <w:t>צה</w:t>
      </w:r>
      <w:r>
        <w:rPr>
          <w:rFonts w:cs="Arial" w:hint="cs"/>
          <w:rtl/>
        </w:rPr>
        <w:t>)</w:t>
      </w:r>
      <w:r w:rsidRPr="007D764D">
        <w:rPr>
          <w:rFonts w:cs="Arial"/>
          <w:rtl/>
        </w:rPr>
        <w:t xml:space="preserve"> וכ"כ בהג"מ ובמרדכי</w:t>
      </w:r>
      <w:r>
        <w:rPr>
          <w:rFonts w:cs="Arial" w:hint="cs"/>
          <w:rtl/>
        </w:rPr>
        <w:t>, ב"ש (סע' קטן סב).</w:t>
      </w:r>
      <w:r w:rsidRPr="007D764D">
        <w:rPr>
          <w:rFonts w:cs="Arial"/>
          <w:rtl/>
        </w:rPr>
        <w:t xml:space="preserve"> </w:t>
      </w:r>
      <w:r>
        <w:rPr>
          <w:rFonts w:cs="Arial" w:hint="cs"/>
          <w:rtl/>
        </w:rPr>
        <w:t>וכ"כ הבאה"ט (אות מג) בשמו.</w:t>
      </w:r>
      <w:r w:rsidRPr="008D6295">
        <w:rPr>
          <w:rFonts w:cs="Arial"/>
          <w:rtl/>
        </w:rPr>
        <w:t xml:space="preserve"> </w:t>
      </w:r>
      <w:r>
        <w:rPr>
          <w:rFonts w:cs="Arial" w:hint="cs"/>
          <w:rtl/>
        </w:rPr>
        <w:t>אבל</w:t>
      </w:r>
      <w:r w:rsidRPr="00A11A36">
        <w:rPr>
          <w:rFonts w:cs="Arial"/>
          <w:rtl/>
        </w:rPr>
        <w:t xml:space="preserve"> בס' ישועות יעקב </w:t>
      </w:r>
      <w:r>
        <w:rPr>
          <w:rFonts w:cs="Arial" w:hint="cs"/>
          <w:rtl/>
        </w:rPr>
        <w:t>(</w:t>
      </w:r>
      <w:r w:rsidRPr="00A11A36">
        <w:rPr>
          <w:rFonts w:cs="Arial"/>
          <w:rtl/>
        </w:rPr>
        <w:t>סקי"ט</w:t>
      </w:r>
      <w:r>
        <w:rPr>
          <w:rFonts w:cs="Arial" w:hint="cs"/>
          <w:rtl/>
        </w:rPr>
        <w:t>, הביאו הפת"ש סקט"ז)</w:t>
      </w:r>
      <w:r w:rsidRPr="00A11A36">
        <w:rPr>
          <w:rFonts w:cs="Arial"/>
          <w:rtl/>
        </w:rPr>
        <w:t xml:space="preserve"> השיג עליו ודעתו לדינא דלא כהב"ש</w:t>
      </w:r>
      <w:r>
        <w:rPr>
          <w:rFonts w:cs="Arial" w:hint="cs"/>
          <w:rtl/>
        </w:rPr>
        <w:t>. ועוד כתב הב"ש (סע' קטן סב) ד</w:t>
      </w:r>
      <w:r w:rsidRPr="007D764D">
        <w:rPr>
          <w:rFonts w:cs="Arial"/>
          <w:rtl/>
        </w:rPr>
        <w:t>אם הוא רוצה ליקח הלואה והיא סלקה כחה מנכסיו ואח"כ לקח הלואה</w:t>
      </w:r>
      <w:r>
        <w:rPr>
          <w:rFonts w:cs="Arial" w:hint="cs"/>
          <w:rtl/>
        </w:rPr>
        <w:t xml:space="preserve"> -</w:t>
      </w:r>
      <w:r w:rsidRPr="007D764D">
        <w:rPr>
          <w:rFonts w:cs="Arial"/>
          <w:rtl/>
        </w:rPr>
        <w:t xml:space="preserve"> הוי כקנין אשה וה</w:t>
      </w:r>
      <w:r>
        <w:rPr>
          <w:rFonts w:cs="Arial" w:hint="cs"/>
          <w:rtl/>
        </w:rPr>
        <w:t>דר בעלה,</w:t>
      </w:r>
      <w:r w:rsidRPr="007D764D">
        <w:rPr>
          <w:rFonts w:cs="Arial"/>
          <w:rtl/>
        </w:rPr>
        <w:t xml:space="preserve"> עיין ב</w:t>
      </w:r>
      <w:r>
        <w:rPr>
          <w:rFonts w:cs="Arial" w:hint="cs"/>
          <w:rtl/>
        </w:rPr>
        <w:t xml:space="preserve">דק </w:t>
      </w:r>
      <w:r w:rsidRPr="007D764D">
        <w:rPr>
          <w:rFonts w:cs="Arial"/>
          <w:rtl/>
        </w:rPr>
        <w:t>ה</w:t>
      </w:r>
      <w:r>
        <w:rPr>
          <w:rFonts w:cs="Arial" w:hint="cs"/>
          <w:rtl/>
        </w:rPr>
        <w:t>בית.</w:t>
      </w:r>
    </w:p>
  </w:footnote>
  <w:footnote w:id="1415">
    <w:p w14:paraId="61B60200" w14:textId="0B106C20" w:rsidR="00DE2F5F" w:rsidRDefault="00DE2F5F" w:rsidP="008D6295">
      <w:pPr>
        <w:pStyle w:val="a5"/>
      </w:pPr>
      <w:r>
        <w:rPr>
          <w:rStyle w:val="a7"/>
        </w:rPr>
        <w:footnoteRef/>
      </w:r>
      <w:r>
        <w:rPr>
          <w:rtl/>
        </w:rPr>
        <w:t xml:space="preserve"> </w:t>
      </w:r>
      <w:r w:rsidRPr="008D6295">
        <w:rPr>
          <w:rFonts w:cs="Arial"/>
          <w:rtl/>
        </w:rPr>
        <w:t>עכשיו נוהגים דכותבין אחריות וקוני</w:t>
      </w:r>
      <w:r>
        <w:rPr>
          <w:rFonts w:cs="Arial" w:hint="cs"/>
          <w:rtl/>
        </w:rPr>
        <w:t>ם</w:t>
      </w:r>
      <w:r w:rsidRPr="008D6295">
        <w:rPr>
          <w:rFonts w:cs="Arial"/>
          <w:rtl/>
        </w:rPr>
        <w:t xml:space="preserve"> מן האשה וה</w:t>
      </w:r>
      <w:r>
        <w:rPr>
          <w:rFonts w:cs="Arial" w:hint="cs"/>
          <w:rtl/>
        </w:rPr>
        <w:t xml:space="preserve">דר </w:t>
      </w:r>
      <w:r w:rsidRPr="008D6295">
        <w:rPr>
          <w:rFonts w:cs="Arial"/>
          <w:rtl/>
        </w:rPr>
        <w:t>ב</w:t>
      </w:r>
      <w:r>
        <w:rPr>
          <w:rFonts w:cs="Arial" w:hint="cs"/>
          <w:rtl/>
        </w:rPr>
        <w:t>עלה,</w:t>
      </w:r>
      <w:r w:rsidRPr="008D6295">
        <w:rPr>
          <w:rFonts w:cs="Arial"/>
          <w:rtl/>
        </w:rPr>
        <w:t xml:space="preserve"> ולא </w:t>
      </w:r>
      <w:r>
        <w:rPr>
          <w:rFonts w:cs="Arial" w:hint="cs"/>
          <w:rtl/>
        </w:rPr>
        <w:t xml:space="preserve">קודם </w:t>
      </w:r>
      <w:r w:rsidRPr="008D6295">
        <w:rPr>
          <w:rFonts w:cs="Arial"/>
          <w:rtl/>
        </w:rPr>
        <w:t>הבעל</w:t>
      </w:r>
      <w:r>
        <w:rPr>
          <w:rFonts w:cs="Arial" w:hint="cs"/>
          <w:rtl/>
        </w:rPr>
        <w:t>,</w:t>
      </w:r>
      <w:r w:rsidRPr="008D6295">
        <w:rPr>
          <w:rFonts w:cs="Arial"/>
          <w:rtl/>
        </w:rPr>
        <w:t xml:space="preserve"> מזה נראה דאחריות שכותבים בשטר לא קאי אלא על האיש ולא על האשה</w:t>
      </w:r>
      <w:r>
        <w:rPr>
          <w:rFonts w:cs="Arial" w:hint="cs"/>
          <w:rtl/>
        </w:rPr>
        <w:t>.</w:t>
      </w:r>
      <w:r w:rsidRPr="008D6295">
        <w:rPr>
          <w:rFonts w:cs="Arial"/>
          <w:rtl/>
        </w:rPr>
        <w:t xml:space="preserve"> דאם אחריות קאי על שניהם היו יכולים לעשות קנין אפי</w:t>
      </w:r>
      <w:r>
        <w:rPr>
          <w:rFonts w:cs="Arial" w:hint="cs"/>
          <w:rtl/>
        </w:rPr>
        <w:t>לו</w:t>
      </w:r>
      <w:r w:rsidRPr="008D6295">
        <w:rPr>
          <w:rFonts w:cs="Arial"/>
          <w:rtl/>
        </w:rPr>
        <w:t xml:space="preserve"> מן האיש תחלה</w:t>
      </w:r>
      <w:r>
        <w:rPr>
          <w:rFonts w:cs="Arial" w:hint="cs"/>
          <w:rtl/>
        </w:rPr>
        <w:t>.</w:t>
      </w:r>
      <w:r w:rsidRPr="008D6295">
        <w:rPr>
          <w:rFonts w:cs="Arial"/>
          <w:rtl/>
        </w:rPr>
        <w:t xml:space="preserve"> אלא הקנין שעשתה היא אינו אלא שהיא א</w:t>
      </w:r>
      <w:r>
        <w:rPr>
          <w:rFonts w:cs="Arial" w:hint="cs"/>
          <w:rtl/>
        </w:rPr>
        <w:t>ינה יכולה</w:t>
      </w:r>
      <w:r w:rsidRPr="008D6295">
        <w:rPr>
          <w:rFonts w:cs="Arial"/>
          <w:rtl/>
        </w:rPr>
        <w:t xml:space="preserve"> לערער</w:t>
      </w:r>
      <w:r>
        <w:rPr>
          <w:rFonts w:cs="Arial" w:hint="cs"/>
          <w:rtl/>
        </w:rPr>
        <w:t>,</w:t>
      </w:r>
      <w:r w:rsidRPr="008D6295">
        <w:rPr>
          <w:rFonts w:cs="Arial"/>
          <w:rtl/>
        </w:rPr>
        <w:t xml:space="preserve"> ואחריות דנפשה ס</w:t>
      </w:r>
      <w:r>
        <w:rPr>
          <w:rFonts w:cs="Arial" w:hint="cs"/>
          <w:rtl/>
        </w:rPr>
        <w:t>י</w:t>
      </w:r>
      <w:r w:rsidRPr="008D6295">
        <w:rPr>
          <w:rFonts w:cs="Arial"/>
          <w:rtl/>
        </w:rPr>
        <w:t>לקה</w:t>
      </w:r>
      <w:r>
        <w:rPr>
          <w:rFonts w:cs="Arial" w:hint="cs"/>
          <w:rtl/>
        </w:rPr>
        <w:t>,</w:t>
      </w:r>
      <w:r w:rsidRPr="008D6295">
        <w:rPr>
          <w:rFonts w:cs="Arial"/>
          <w:rtl/>
        </w:rPr>
        <w:t xml:space="preserve"> ולא שהיא מקבל</w:t>
      </w:r>
      <w:r>
        <w:rPr>
          <w:rFonts w:cs="Arial" w:hint="cs"/>
          <w:rtl/>
        </w:rPr>
        <w:t>ת</w:t>
      </w:r>
      <w:r w:rsidRPr="008D6295">
        <w:rPr>
          <w:rFonts w:cs="Arial"/>
          <w:rtl/>
        </w:rPr>
        <w:t xml:space="preserve"> אחריות</w:t>
      </w:r>
      <w:r>
        <w:rPr>
          <w:rFonts w:cs="Arial" w:hint="cs"/>
          <w:rtl/>
        </w:rPr>
        <w:t>,</w:t>
      </w:r>
      <w:r w:rsidRPr="008D6295">
        <w:rPr>
          <w:rFonts w:cs="Arial"/>
          <w:rtl/>
        </w:rPr>
        <w:t xml:space="preserve"> א</w:t>
      </w:r>
      <w:r>
        <w:rPr>
          <w:rFonts w:cs="Arial" w:hint="cs"/>
          <w:rtl/>
        </w:rPr>
        <w:t>א</w:t>
      </w:r>
      <w:r w:rsidRPr="008D6295">
        <w:rPr>
          <w:rFonts w:cs="Arial"/>
          <w:rtl/>
        </w:rPr>
        <w:t>"כ דמפורש בפירוש כן</w:t>
      </w:r>
      <w:r>
        <w:rPr>
          <w:rFonts w:cs="Arial" w:hint="cs"/>
          <w:rtl/>
        </w:rPr>
        <w:t>,</w:t>
      </w:r>
      <w:r w:rsidRPr="008D6295">
        <w:rPr>
          <w:rFonts w:cs="Arial"/>
          <w:rtl/>
        </w:rPr>
        <w:t xml:space="preserve"> וכן פסק בט"ז</w:t>
      </w:r>
      <w:r>
        <w:rPr>
          <w:rFonts w:cs="Arial" w:hint="cs"/>
          <w:rtl/>
        </w:rPr>
        <w:t>, ב"ש (סע' קטן סג).</w:t>
      </w:r>
    </w:p>
  </w:footnote>
  <w:footnote w:id="1416">
    <w:p w14:paraId="5D822420" w14:textId="69625969" w:rsidR="00DE2F5F" w:rsidRDefault="00DE2F5F">
      <w:pPr>
        <w:pStyle w:val="a5"/>
      </w:pPr>
      <w:r>
        <w:rPr>
          <w:rStyle w:val="a7"/>
        </w:rPr>
        <w:footnoteRef/>
      </w:r>
      <w:r>
        <w:rPr>
          <w:rtl/>
        </w:rPr>
        <w:t xml:space="preserve"> </w:t>
      </w:r>
      <w:r w:rsidRPr="00A11A36">
        <w:rPr>
          <w:rFonts w:cs="Arial"/>
          <w:rtl/>
        </w:rPr>
        <w:t>עיין בס' ישועות יעקב דלאו דוקא דמי שווי המכירה אף בנתן לה סך מועט מהני</w:t>
      </w:r>
      <w:r>
        <w:rPr>
          <w:rFonts w:cs="Arial" w:hint="cs"/>
          <w:rtl/>
        </w:rPr>
        <w:t>, פת"ש (סקי"ז).</w:t>
      </w:r>
    </w:p>
  </w:footnote>
  <w:footnote w:id="1417">
    <w:p w14:paraId="242BD288" w14:textId="3EA6A06C" w:rsidR="00DE2F5F" w:rsidRDefault="00DE2F5F" w:rsidP="008D6295">
      <w:pPr>
        <w:pStyle w:val="a5"/>
      </w:pPr>
      <w:r>
        <w:rPr>
          <w:rStyle w:val="a7"/>
        </w:rPr>
        <w:footnoteRef/>
      </w:r>
      <w:r>
        <w:rPr>
          <w:rtl/>
        </w:rPr>
        <w:t xml:space="preserve"> </w:t>
      </w:r>
      <w:r w:rsidRPr="008D6295">
        <w:rPr>
          <w:rFonts w:cs="Arial"/>
          <w:rtl/>
        </w:rPr>
        <w:t>עיין סי' נ"ד שם נתבאר אם סילק מהני קודם שבא לידו</w:t>
      </w:r>
      <w:r>
        <w:rPr>
          <w:rFonts w:cs="Arial" w:hint="cs"/>
          <w:rtl/>
        </w:rPr>
        <w:t>, ב"ש (סע' קטן סד).</w:t>
      </w:r>
    </w:p>
  </w:footnote>
  <w:footnote w:id="1418">
    <w:p w14:paraId="77A8B3DD" w14:textId="1FD214F1" w:rsidR="00DE2F5F" w:rsidRDefault="00DE2F5F">
      <w:pPr>
        <w:pStyle w:val="a5"/>
        <w:rPr>
          <w:rtl/>
        </w:rPr>
      </w:pPr>
      <w:r>
        <w:rPr>
          <w:rStyle w:val="a7"/>
        </w:rPr>
        <w:footnoteRef/>
      </w:r>
      <w:r>
        <w:rPr>
          <w:rtl/>
        </w:rPr>
        <w:t xml:space="preserve"> </w:t>
      </w:r>
      <w:r w:rsidRPr="003E3FB4">
        <w:rPr>
          <w:rFonts w:cs="Arial"/>
          <w:rtl/>
        </w:rPr>
        <w:t xml:space="preserve">כתב </w:t>
      </w:r>
      <w:r>
        <w:rPr>
          <w:rFonts w:cs="Arial" w:hint="cs"/>
          <w:rtl/>
        </w:rPr>
        <w:t>'</w:t>
      </w:r>
      <w:r w:rsidRPr="003E3FB4">
        <w:rPr>
          <w:rFonts w:cs="Arial"/>
          <w:rtl/>
        </w:rPr>
        <w:t>וקנו מידה</w:t>
      </w:r>
      <w:r>
        <w:rPr>
          <w:rFonts w:cs="Arial" w:hint="cs"/>
          <w:rtl/>
        </w:rPr>
        <w:t>',</w:t>
      </w:r>
      <w:r w:rsidRPr="003E3FB4">
        <w:rPr>
          <w:rFonts w:cs="Arial"/>
          <w:rtl/>
        </w:rPr>
        <w:t xml:space="preserve"> ופירוש שלא יצטרך לשלם אם יתאבדו נכסיה</w:t>
      </w:r>
      <w:r>
        <w:rPr>
          <w:rFonts w:cs="Arial" w:hint="cs"/>
          <w:rtl/>
        </w:rPr>
        <w:t>,</w:t>
      </w:r>
      <w:r w:rsidRPr="003E3FB4">
        <w:rPr>
          <w:rFonts w:cs="Arial"/>
          <w:rtl/>
        </w:rPr>
        <w:t xml:space="preserve"> דהיינו שהיא מחזרת נכסי צאן ברזל להיות להן דין נכסי מלוג</w:t>
      </w:r>
      <w:r>
        <w:rPr>
          <w:rFonts w:cs="Arial" w:hint="cs"/>
          <w:rtl/>
        </w:rPr>
        <w:t>.</w:t>
      </w:r>
      <w:r w:rsidRPr="003E3FB4">
        <w:rPr>
          <w:rFonts w:cs="Arial"/>
          <w:rtl/>
        </w:rPr>
        <w:t xml:space="preserve"> וזהו פשיטא שמועיל דהא עדיין לא נאבד שום דבר ולא מחלה ליה ולא מידי</w:t>
      </w:r>
      <w:r>
        <w:rPr>
          <w:rFonts w:cs="Arial" w:hint="cs"/>
          <w:rtl/>
        </w:rPr>
        <w:t>.</w:t>
      </w:r>
      <w:r w:rsidRPr="003E3FB4">
        <w:rPr>
          <w:rFonts w:cs="Arial"/>
          <w:rtl/>
        </w:rPr>
        <w:t xml:space="preserve"> אם כן הוא הדין אף אחר שנאבדו דכבר נתחייב בתשלומין אפילו הכי מועיל מחילה ולא אמרינן נחת רוח</w:t>
      </w:r>
      <w:r>
        <w:rPr>
          <w:rFonts w:cs="Arial" w:hint="cs"/>
          <w:rtl/>
        </w:rPr>
        <w:t>,</w:t>
      </w:r>
      <w:r w:rsidRPr="003E3FB4">
        <w:rPr>
          <w:rFonts w:cs="Arial"/>
          <w:rtl/>
        </w:rPr>
        <w:t xml:space="preserve"> דלא מחלה אלא שעבוד</w:t>
      </w:r>
      <w:r>
        <w:rPr>
          <w:rFonts w:cs="Arial" w:hint="cs"/>
          <w:rtl/>
        </w:rPr>
        <w:t>,</w:t>
      </w:r>
      <w:r w:rsidRPr="003E3FB4">
        <w:rPr>
          <w:rFonts w:cs="Arial"/>
          <w:rtl/>
        </w:rPr>
        <w:t xml:space="preserve"> והראב"ד השיג עליו</w:t>
      </w:r>
      <w:r>
        <w:rPr>
          <w:rFonts w:hint="cs"/>
          <w:rtl/>
        </w:rPr>
        <w:t>, פרישה (אות נח).</w:t>
      </w:r>
    </w:p>
  </w:footnote>
  <w:footnote w:id="1419">
    <w:p w14:paraId="0D8AAD3B" w14:textId="14351DD0" w:rsidR="00DE2F5F" w:rsidRDefault="00DE2F5F" w:rsidP="00DD3492">
      <w:pPr>
        <w:pStyle w:val="a5"/>
      </w:pPr>
      <w:r>
        <w:rPr>
          <w:rStyle w:val="a7"/>
        </w:rPr>
        <w:footnoteRef/>
      </w:r>
      <w:r>
        <w:rPr>
          <w:rtl/>
        </w:rPr>
        <w:t xml:space="preserve"> </w:t>
      </w:r>
      <w:r>
        <w:rPr>
          <w:rFonts w:cs="Arial"/>
          <w:rtl/>
        </w:rPr>
        <w:t>ודברי הריב"ש בדינים אלו בסימן קמ"ט ושם יישב שני לשונות של הרמב"ם הנראים כסותרים זה את זה</w:t>
      </w:r>
      <w:r>
        <w:rPr>
          <w:rFonts w:cs="Arial" w:hint="cs"/>
          <w:rtl/>
        </w:rPr>
        <w:t>, ב"י.</w:t>
      </w:r>
    </w:p>
  </w:footnote>
  <w:footnote w:id="1420">
    <w:p w14:paraId="5F19BD62" w14:textId="02405B84" w:rsidR="00DE2F5F" w:rsidRDefault="00DE2F5F" w:rsidP="006A5500">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3E092F">
        <w:rPr>
          <w:rFonts w:cs="Arial"/>
          <w:rtl/>
        </w:rPr>
        <w:t>ולדברי הרמב"ם אף בנדון דתשובת הרא"ש שהסילוק לגבי בעלה מהני שהרי מבואר בדבריו דהא דתנן לקח מן האיש וחזר ולקח מן האשה מקחו בטל לקח מן האשה וחזר ולקח מן האיש מקחו קיים האי לקח מן האשה לא מכרה לו היא אלא לסילוק שעבודה קרי לקח מן האשה שהרי כתב בפרק י"ז מהלכות אישות (הי"א) וזה לשונו אבל אם קנו מיד האשה תחלה שאין לה שעבוד על מקום זה ואחר כך מכר אותו הבעל אינה טורפת אותו</w:t>
      </w:r>
      <w:r>
        <w:rPr>
          <w:rFonts w:cs="Arial" w:hint="cs"/>
          <w:rtl/>
        </w:rPr>
        <w:t>.</w:t>
      </w:r>
    </w:p>
  </w:footnote>
  <w:footnote w:id="1421">
    <w:p w14:paraId="7447DEC5" w14:textId="36BB3D9F" w:rsidR="00DE2F5F" w:rsidRDefault="00DE2F5F">
      <w:pPr>
        <w:pStyle w:val="a5"/>
      </w:pPr>
      <w:r>
        <w:rPr>
          <w:rStyle w:val="a7"/>
        </w:rPr>
        <w:footnoteRef/>
      </w:r>
      <w:r>
        <w:rPr>
          <w:rtl/>
        </w:rPr>
        <w:t xml:space="preserve"> </w:t>
      </w:r>
      <w:r w:rsidRPr="00246ED4">
        <w:rPr>
          <w:rFonts w:cs="Arial"/>
          <w:rtl/>
        </w:rPr>
        <w:t>ה"ה אם כתב הנדוניא על סך מעות מהני מחילה אפי' כשהם בעין</w:t>
      </w:r>
      <w:r>
        <w:rPr>
          <w:rFonts w:cs="Arial" w:hint="cs"/>
          <w:rtl/>
        </w:rPr>
        <w:t>.</w:t>
      </w:r>
      <w:r w:rsidRPr="00246ED4">
        <w:rPr>
          <w:rFonts w:cs="Arial"/>
          <w:rtl/>
        </w:rPr>
        <w:t xml:space="preserve"> והא שכתב </w:t>
      </w:r>
      <w:r>
        <w:rPr>
          <w:rFonts w:cs="Arial" w:hint="cs"/>
          <w:rtl/>
        </w:rPr>
        <w:t>'</w:t>
      </w:r>
      <w:r w:rsidRPr="00246ED4">
        <w:rPr>
          <w:rFonts w:cs="Arial"/>
          <w:rtl/>
        </w:rPr>
        <w:t>שאבדו</w:t>
      </w:r>
      <w:r>
        <w:rPr>
          <w:rFonts w:cs="Arial" w:hint="cs"/>
          <w:rtl/>
        </w:rPr>
        <w:t>'</w:t>
      </w:r>
      <w:r w:rsidRPr="00246ED4">
        <w:rPr>
          <w:rFonts w:cs="Arial"/>
          <w:rtl/>
        </w:rPr>
        <w:t xml:space="preserve"> קמ"ל </w:t>
      </w:r>
      <w:r>
        <w:rPr>
          <w:rFonts w:cs="Arial" w:hint="cs"/>
          <w:rtl/>
        </w:rPr>
        <w:t>ד</w:t>
      </w:r>
      <w:r w:rsidRPr="00246ED4">
        <w:rPr>
          <w:rFonts w:cs="Arial"/>
          <w:rtl/>
        </w:rPr>
        <w:t>אע</w:t>
      </w:r>
      <w:r>
        <w:rPr>
          <w:rFonts w:cs="Arial" w:hint="cs"/>
          <w:rtl/>
        </w:rPr>
        <w:t>"</w:t>
      </w:r>
      <w:r w:rsidRPr="00246ED4">
        <w:rPr>
          <w:rFonts w:cs="Arial"/>
          <w:rtl/>
        </w:rPr>
        <w:t xml:space="preserve">ג </w:t>
      </w:r>
      <w:r>
        <w:rPr>
          <w:rFonts w:cs="Arial" w:hint="cs"/>
          <w:rtl/>
        </w:rPr>
        <w:t>ש</w:t>
      </w:r>
      <w:r w:rsidRPr="00246ED4">
        <w:rPr>
          <w:rFonts w:cs="Arial"/>
          <w:rtl/>
        </w:rPr>
        <w:t>בתחלה היה בעין</w:t>
      </w:r>
      <w:r>
        <w:rPr>
          <w:rFonts w:cs="Arial" w:hint="cs"/>
          <w:rtl/>
        </w:rPr>
        <w:t>,</w:t>
      </w:r>
      <w:r w:rsidRPr="00246ED4">
        <w:rPr>
          <w:rFonts w:cs="Arial"/>
          <w:rtl/>
        </w:rPr>
        <w:t xml:space="preserve"> ריב"ש </w:t>
      </w:r>
      <w:r>
        <w:rPr>
          <w:rFonts w:cs="Arial" w:hint="cs"/>
          <w:rtl/>
        </w:rPr>
        <w:t>(סי' קמט).</w:t>
      </w:r>
      <w:r w:rsidRPr="00246ED4">
        <w:rPr>
          <w:rFonts w:cs="Arial"/>
          <w:rtl/>
        </w:rPr>
        <w:t xml:space="preserve"> ואם היה לה שטר על בעלה ומכרה לאחר</w:t>
      </w:r>
      <w:r>
        <w:rPr>
          <w:rFonts w:cs="Arial" w:hint="cs"/>
          <w:rtl/>
        </w:rPr>
        <w:t>,</w:t>
      </w:r>
      <w:r w:rsidRPr="00246ED4">
        <w:rPr>
          <w:rFonts w:cs="Arial"/>
          <w:rtl/>
        </w:rPr>
        <w:t xml:space="preserve"> ומחלה לבעלה</w:t>
      </w:r>
      <w:r>
        <w:rPr>
          <w:rFonts w:cs="Arial" w:hint="cs"/>
          <w:rtl/>
        </w:rPr>
        <w:t>,</w:t>
      </w:r>
      <w:r w:rsidRPr="00246ED4">
        <w:rPr>
          <w:rFonts w:cs="Arial"/>
          <w:rtl/>
        </w:rPr>
        <w:t xml:space="preserve"> לכ</w:t>
      </w:r>
      <w:r>
        <w:rPr>
          <w:rFonts w:cs="Arial" w:hint="cs"/>
          <w:rtl/>
        </w:rPr>
        <w:t>ו</w:t>
      </w:r>
      <w:r w:rsidRPr="00246ED4">
        <w:rPr>
          <w:rFonts w:cs="Arial"/>
          <w:rtl/>
        </w:rPr>
        <w:t>"ע לא אמרי</w:t>
      </w:r>
      <w:r>
        <w:rPr>
          <w:rFonts w:cs="Arial" w:hint="cs"/>
          <w:rtl/>
        </w:rPr>
        <w:t>נן</w:t>
      </w:r>
      <w:r w:rsidRPr="00246ED4">
        <w:rPr>
          <w:rFonts w:cs="Arial"/>
          <w:rtl/>
        </w:rPr>
        <w:t xml:space="preserve"> בזה נ"ר עשיתי לבעלי</w:t>
      </w:r>
      <w:r>
        <w:rPr>
          <w:rFonts w:cs="Arial" w:hint="cs"/>
          <w:rtl/>
        </w:rPr>
        <w:t>,</w:t>
      </w:r>
      <w:r w:rsidRPr="00246ED4">
        <w:rPr>
          <w:rFonts w:cs="Arial"/>
          <w:rtl/>
        </w:rPr>
        <w:t xml:space="preserve"> כ"כ בתשובת רשב"א</w:t>
      </w:r>
      <w:r>
        <w:rPr>
          <w:rFonts w:cs="Arial" w:hint="cs"/>
          <w:rtl/>
        </w:rPr>
        <w:t xml:space="preserve"> (ח"ה סי' עח, ובחדשות מכת"י סי' ר),</w:t>
      </w:r>
      <w:r w:rsidRPr="00246ED4">
        <w:rPr>
          <w:rFonts w:cs="Arial"/>
          <w:rtl/>
        </w:rPr>
        <w:t xml:space="preserve"> ועיין ב"י סי' צ"א</w:t>
      </w:r>
      <w:r>
        <w:rPr>
          <w:rFonts w:cs="Arial" w:hint="cs"/>
          <w:rtl/>
        </w:rPr>
        <w:t>, ב"ש (סע' קטן סה).</w:t>
      </w:r>
    </w:p>
  </w:footnote>
  <w:footnote w:id="1422">
    <w:p w14:paraId="30CE41FF" w14:textId="43BF09FC" w:rsidR="00DE2F5F" w:rsidRDefault="00DE2F5F" w:rsidP="00D47B10">
      <w:pPr>
        <w:pStyle w:val="a5"/>
      </w:pPr>
      <w:r>
        <w:rPr>
          <w:rStyle w:val="a7"/>
        </w:rPr>
        <w:footnoteRef/>
      </w:r>
      <w:r>
        <w:rPr>
          <w:rtl/>
        </w:rPr>
        <w:t xml:space="preserve"> </w:t>
      </w:r>
      <w:r w:rsidRPr="00D47B10">
        <w:rPr>
          <w:rFonts w:cs="Arial"/>
          <w:rtl/>
        </w:rPr>
        <w:t>אע</w:t>
      </w:r>
      <w:r w:rsidR="004D4E72">
        <w:rPr>
          <w:rFonts w:cs="Arial" w:hint="cs"/>
          <w:rtl/>
        </w:rPr>
        <w:t>"</w:t>
      </w:r>
      <w:r w:rsidRPr="00D47B10">
        <w:rPr>
          <w:rFonts w:cs="Arial"/>
          <w:rtl/>
        </w:rPr>
        <w:t xml:space="preserve">ג </w:t>
      </w:r>
      <w:r>
        <w:rPr>
          <w:rFonts w:cs="Arial" w:hint="cs"/>
          <w:rtl/>
        </w:rPr>
        <w:t>ד</w:t>
      </w:r>
      <w:r w:rsidRPr="00D47B10">
        <w:rPr>
          <w:rFonts w:cs="Arial"/>
          <w:rtl/>
        </w:rPr>
        <w:t>במחילת כתובה א"צ קנין</w:t>
      </w:r>
      <w:r>
        <w:rPr>
          <w:rFonts w:cs="Arial" w:hint="cs"/>
          <w:rtl/>
        </w:rPr>
        <w:t>,</w:t>
      </w:r>
      <w:r w:rsidRPr="00D47B10">
        <w:rPr>
          <w:rFonts w:cs="Arial"/>
          <w:rtl/>
        </w:rPr>
        <w:t xml:space="preserve"> מ"מ בכה"ג כשהם בעין ל</w:t>
      </w:r>
      <w:r>
        <w:rPr>
          <w:rFonts w:cs="Arial" w:hint="cs"/>
          <w:rtl/>
        </w:rPr>
        <w:t xml:space="preserve">א </w:t>
      </w:r>
      <w:r w:rsidRPr="00D47B10">
        <w:rPr>
          <w:rFonts w:cs="Arial"/>
          <w:rtl/>
        </w:rPr>
        <w:t>מ</w:t>
      </w:r>
      <w:r>
        <w:rPr>
          <w:rFonts w:cs="Arial" w:hint="cs"/>
          <w:rtl/>
        </w:rPr>
        <w:t>הני</w:t>
      </w:r>
      <w:r w:rsidRPr="00D47B10">
        <w:rPr>
          <w:rFonts w:cs="Arial"/>
          <w:rtl/>
        </w:rPr>
        <w:t xml:space="preserve"> קנין</w:t>
      </w:r>
      <w:r>
        <w:rPr>
          <w:rFonts w:cs="Arial" w:hint="cs"/>
          <w:rtl/>
        </w:rPr>
        <w:t>,</w:t>
      </w:r>
      <w:r w:rsidRPr="00D47B10">
        <w:rPr>
          <w:rFonts w:cs="Arial"/>
          <w:rtl/>
        </w:rPr>
        <w:t xml:space="preserve"> לכן כשאין בעין צריך מיהת קנין</w:t>
      </w:r>
      <w:r>
        <w:rPr>
          <w:rFonts w:cs="Arial" w:hint="cs"/>
          <w:rtl/>
        </w:rPr>
        <w:t>,</w:t>
      </w:r>
      <w:r w:rsidRPr="00D47B10">
        <w:rPr>
          <w:rFonts w:cs="Arial"/>
          <w:rtl/>
        </w:rPr>
        <w:t xml:space="preserve"> ומהני</w:t>
      </w:r>
      <w:r>
        <w:rPr>
          <w:rFonts w:cs="Arial" w:hint="cs"/>
          <w:rtl/>
        </w:rPr>
        <w:t>.</w:t>
      </w:r>
      <w:r w:rsidRPr="00D47B10">
        <w:rPr>
          <w:rFonts w:cs="Arial"/>
          <w:rtl/>
        </w:rPr>
        <w:t xml:space="preserve"> ועיין תשובת ש</w:t>
      </w:r>
      <w:r>
        <w:rPr>
          <w:rFonts w:cs="Arial" w:hint="cs"/>
          <w:rtl/>
        </w:rPr>
        <w:t xml:space="preserve">ארית </w:t>
      </w:r>
      <w:r w:rsidRPr="00D47B10">
        <w:rPr>
          <w:rFonts w:cs="Arial"/>
          <w:rtl/>
        </w:rPr>
        <w:t>י</w:t>
      </w:r>
      <w:r>
        <w:rPr>
          <w:rFonts w:cs="Arial" w:hint="cs"/>
          <w:rtl/>
        </w:rPr>
        <w:t>וסף</w:t>
      </w:r>
      <w:r w:rsidRPr="00D47B10">
        <w:rPr>
          <w:rFonts w:cs="Arial"/>
          <w:rtl/>
        </w:rPr>
        <w:t xml:space="preserve"> סי' ס"ו</w:t>
      </w:r>
      <w:r>
        <w:rPr>
          <w:rFonts w:cs="Arial" w:hint="cs"/>
          <w:rtl/>
        </w:rPr>
        <w:t>.</w:t>
      </w:r>
      <w:r w:rsidRPr="00D47B10">
        <w:rPr>
          <w:rFonts w:cs="Arial"/>
          <w:rtl/>
        </w:rPr>
        <w:t xml:space="preserve"> ועיין לקמן סי' ק"ה</w:t>
      </w:r>
      <w:r>
        <w:rPr>
          <w:rFonts w:cs="Arial" w:hint="cs"/>
          <w:rtl/>
        </w:rPr>
        <w:t>.</w:t>
      </w:r>
      <w:r w:rsidRPr="00D47B10">
        <w:rPr>
          <w:rFonts w:cs="Arial"/>
          <w:rtl/>
        </w:rPr>
        <w:t xml:space="preserve"> ועיין תשובת רשב"א שהביא הב"י ר"ס צ"א</w:t>
      </w:r>
      <w:r>
        <w:rPr>
          <w:rFonts w:cs="Arial" w:hint="cs"/>
          <w:rtl/>
        </w:rPr>
        <w:t>, ב"ש (סע' קטן סו).</w:t>
      </w:r>
    </w:p>
  </w:footnote>
  <w:footnote w:id="1423">
    <w:p w14:paraId="2F259EF4" w14:textId="2FE7EE56" w:rsidR="00461CB5" w:rsidRDefault="00461CB5">
      <w:pPr>
        <w:pStyle w:val="a5"/>
        <w:rPr>
          <w:rtl/>
        </w:rPr>
      </w:pPr>
      <w:r>
        <w:rPr>
          <w:rStyle w:val="a7"/>
        </w:rPr>
        <w:footnoteRef/>
      </w:r>
      <w:r>
        <w:rPr>
          <w:rtl/>
        </w:rPr>
        <w:t xml:space="preserve"> </w:t>
      </w:r>
      <w:r>
        <w:rPr>
          <w:rFonts w:hint="cs"/>
          <w:rtl/>
        </w:rPr>
        <w:t>סימן - פטרה הונה.</w:t>
      </w:r>
    </w:p>
  </w:footnote>
  <w:footnote w:id="1424">
    <w:p w14:paraId="6669397D" w14:textId="4A46B5E7" w:rsidR="00DE2F5F" w:rsidRDefault="00DE2F5F">
      <w:pPr>
        <w:pStyle w:val="a5"/>
        <w:rPr>
          <w:rtl/>
        </w:rPr>
      </w:pPr>
      <w:r>
        <w:rPr>
          <w:rStyle w:val="a7"/>
        </w:rPr>
        <w:footnoteRef/>
      </w:r>
      <w:r>
        <w:rPr>
          <w:rtl/>
        </w:rPr>
        <w:t xml:space="preserve"> </w:t>
      </w:r>
      <w:r w:rsidRPr="005D1457">
        <w:rPr>
          <w:rFonts w:cs="Arial"/>
          <w:rtl/>
        </w:rPr>
        <w:t>וכתב בנמוק</w:t>
      </w:r>
      <w:r>
        <w:rPr>
          <w:rFonts w:cs="Arial" w:hint="cs"/>
          <w:rtl/>
        </w:rPr>
        <w:t>"</w:t>
      </w:r>
      <w:r w:rsidRPr="005D1457">
        <w:rPr>
          <w:rFonts w:cs="Arial"/>
          <w:rtl/>
        </w:rPr>
        <w:t xml:space="preserve">י </w:t>
      </w:r>
      <w:r>
        <w:rPr>
          <w:rFonts w:cs="Arial" w:hint="cs"/>
          <w:rtl/>
        </w:rPr>
        <w:t>(</w:t>
      </w:r>
      <w:r w:rsidRPr="005D1457">
        <w:rPr>
          <w:rFonts w:cs="Arial"/>
          <w:rtl/>
        </w:rPr>
        <w:t>פ</w:t>
      </w:r>
      <w:r>
        <w:rPr>
          <w:rFonts w:cs="Arial" w:hint="cs"/>
          <w:rtl/>
        </w:rPr>
        <w:t>'</w:t>
      </w:r>
      <w:r w:rsidRPr="005D1457">
        <w:rPr>
          <w:rFonts w:cs="Arial"/>
          <w:rtl/>
        </w:rPr>
        <w:t xml:space="preserve"> הכותב פה</w:t>
      </w:r>
      <w:r>
        <w:rPr>
          <w:rFonts w:cs="Arial" w:hint="cs"/>
          <w:rtl/>
        </w:rPr>
        <w:t>:</w:t>
      </w:r>
      <w:r w:rsidRPr="005D1457">
        <w:rPr>
          <w:rFonts w:cs="Arial"/>
          <w:rtl/>
        </w:rPr>
        <w:t>) דהוא הדין דאינה נאמנת לומר פרוע הוא</w:t>
      </w:r>
      <w:r>
        <w:rPr>
          <w:rFonts w:cs="Arial" w:hint="cs"/>
          <w:rtl/>
        </w:rPr>
        <w:t>,</w:t>
      </w:r>
      <w:r w:rsidRPr="005D1457">
        <w:rPr>
          <w:rFonts w:cs="Arial"/>
          <w:rtl/>
        </w:rPr>
        <w:t xml:space="preserve"> אלא הבעל ישבע שאינו יודע שהוא פרוע</w:t>
      </w:r>
      <w:r>
        <w:rPr>
          <w:rFonts w:cs="Arial" w:hint="cs"/>
          <w:sz w:val="16"/>
          <w:szCs w:val="16"/>
          <w:rtl/>
        </w:rPr>
        <w:t xml:space="preserve"> </w:t>
      </w:r>
      <w:r w:rsidRPr="00225137">
        <w:rPr>
          <w:rFonts w:cs="Arial" w:hint="cs"/>
          <w:color w:val="00B0F0"/>
          <w:sz w:val="16"/>
          <w:szCs w:val="16"/>
          <w:rtl/>
        </w:rPr>
        <w:t>(וכ"פ בהגה)</w:t>
      </w:r>
      <w:r>
        <w:rPr>
          <w:rFonts w:cs="Arial" w:hint="cs"/>
          <w:rtl/>
        </w:rPr>
        <w:t>.</w:t>
      </w:r>
      <w:r w:rsidRPr="005D1457">
        <w:rPr>
          <w:rFonts w:cs="Arial"/>
          <w:rtl/>
        </w:rPr>
        <w:t xml:space="preserve"> ועיין ריש סימן פ"ה מדין אשה המכנסת שטר חוב או מלוה ושם סוף סימן פ"ה (אות ו) אי בעל חוב גובה מנדוניית אשה גם לעיל סימן צ' (עמ' שצד) נתבאר דין זה</w:t>
      </w:r>
      <w:r>
        <w:rPr>
          <w:rFonts w:cs="Arial" w:hint="cs"/>
          <w:rtl/>
        </w:rPr>
        <w:t>, דרכ"מ (אות א).</w:t>
      </w:r>
    </w:p>
  </w:footnote>
  <w:footnote w:id="1425">
    <w:p w14:paraId="0939DC61" w14:textId="39C7C455" w:rsidR="00DE2F5F" w:rsidRDefault="00DE2F5F" w:rsidP="00C7472A">
      <w:pPr>
        <w:pStyle w:val="a5"/>
        <w:rPr>
          <w:rtl/>
        </w:rPr>
      </w:pPr>
      <w:r>
        <w:rPr>
          <w:rStyle w:val="a7"/>
        </w:rPr>
        <w:footnoteRef/>
      </w:r>
      <w:r>
        <w:rPr>
          <w:rtl/>
        </w:rPr>
        <w:t xml:space="preserve"> </w:t>
      </w:r>
      <w:r w:rsidRPr="00C7472A">
        <w:rPr>
          <w:rFonts w:cs="Arial"/>
          <w:rtl/>
        </w:rPr>
        <w:t>מבואר בח"ה סי' ס"ו הן שהכניסה לו בתורת נצ"ב הן שהכניסה לו בתורת נ"מ אי</w:t>
      </w:r>
      <w:r>
        <w:rPr>
          <w:rFonts w:cs="Arial" w:hint="cs"/>
          <w:rtl/>
        </w:rPr>
        <w:t>נה יכולה</w:t>
      </w:r>
      <w:r w:rsidRPr="00C7472A">
        <w:rPr>
          <w:rFonts w:cs="Arial"/>
          <w:rtl/>
        </w:rPr>
        <w:t xml:space="preserve"> למחול</w:t>
      </w:r>
      <w:r>
        <w:rPr>
          <w:rFonts w:cs="Arial" w:hint="cs"/>
          <w:rtl/>
        </w:rPr>
        <w:t>.</w:t>
      </w:r>
      <w:r w:rsidRPr="00C7472A">
        <w:rPr>
          <w:rFonts w:cs="Arial"/>
          <w:rtl/>
        </w:rPr>
        <w:t xml:space="preserve"> ולשון הכניסה שייך בנ"מ ג"כ כמ"ש בסמוך</w:t>
      </w:r>
      <w:r>
        <w:rPr>
          <w:rFonts w:hint="cs"/>
          <w:rtl/>
        </w:rPr>
        <w:t>, ב"ש (סק"א).</w:t>
      </w:r>
    </w:p>
  </w:footnote>
  <w:footnote w:id="1426">
    <w:p w14:paraId="1B69A827" w14:textId="75447CB6" w:rsidR="00DE2F5F" w:rsidRDefault="00DE2F5F" w:rsidP="00C7472A">
      <w:pPr>
        <w:pStyle w:val="a5"/>
        <w:rPr>
          <w:rtl/>
        </w:rPr>
      </w:pPr>
      <w:r>
        <w:rPr>
          <w:rStyle w:val="a7"/>
        </w:rPr>
        <w:footnoteRef/>
      </w:r>
      <w:r>
        <w:rPr>
          <w:rtl/>
        </w:rPr>
        <w:t xml:space="preserve"> </w:t>
      </w:r>
      <w:r w:rsidRPr="00C7472A">
        <w:rPr>
          <w:rFonts w:cs="Arial"/>
          <w:rtl/>
        </w:rPr>
        <w:t>כיון דאין לה מיגו דהא אי</w:t>
      </w:r>
      <w:r>
        <w:rPr>
          <w:rFonts w:cs="Arial" w:hint="cs"/>
          <w:rtl/>
        </w:rPr>
        <w:t>נה יכולה</w:t>
      </w:r>
      <w:r w:rsidRPr="00C7472A">
        <w:rPr>
          <w:rFonts w:cs="Arial"/>
          <w:rtl/>
        </w:rPr>
        <w:t xml:space="preserve"> למחול</w:t>
      </w:r>
      <w:r>
        <w:rPr>
          <w:rFonts w:cs="Arial" w:hint="cs"/>
          <w:rtl/>
        </w:rPr>
        <w:t>,</w:t>
      </w:r>
      <w:r w:rsidRPr="00C7472A">
        <w:rPr>
          <w:rFonts w:cs="Arial"/>
          <w:rtl/>
        </w:rPr>
        <w:t xml:space="preserve"> מ</w:t>
      </w:r>
      <w:r>
        <w:rPr>
          <w:rFonts w:cs="Arial" w:hint="cs"/>
          <w:rtl/>
        </w:rPr>
        <w:t xml:space="preserve">שום </w:t>
      </w:r>
      <w:r w:rsidRPr="00C7472A">
        <w:rPr>
          <w:rFonts w:cs="Arial"/>
          <w:rtl/>
        </w:rPr>
        <w:t>ה</w:t>
      </w:r>
      <w:r>
        <w:rPr>
          <w:rFonts w:cs="Arial" w:hint="cs"/>
          <w:rtl/>
        </w:rPr>
        <w:t>כי</w:t>
      </w:r>
      <w:r w:rsidRPr="00C7472A">
        <w:rPr>
          <w:rFonts w:cs="Arial"/>
          <w:rtl/>
        </w:rPr>
        <w:t xml:space="preserve"> אינה נאמנת לומר פרוע</w:t>
      </w:r>
      <w:r>
        <w:rPr>
          <w:rFonts w:cs="Arial" w:hint="cs"/>
          <w:rtl/>
        </w:rPr>
        <w:t>.</w:t>
      </w:r>
      <w:r w:rsidRPr="00C7472A">
        <w:rPr>
          <w:rFonts w:cs="Arial"/>
          <w:rtl/>
        </w:rPr>
        <w:t xml:space="preserve"> וכן מלוה בע"פ א</w:t>
      </w:r>
      <w:r>
        <w:rPr>
          <w:rFonts w:cs="Arial" w:hint="cs"/>
          <w:rtl/>
        </w:rPr>
        <w:t>ינה יכולה</w:t>
      </w:r>
      <w:r w:rsidRPr="00C7472A">
        <w:rPr>
          <w:rFonts w:cs="Arial"/>
          <w:rtl/>
        </w:rPr>
        <w:t xml:space="preserve"> למחול</w:t>
      </w:r>
      <w:r>
        <w:rPr>
          <w:rFonts w:cs="Arial" w:hint="cs"/>
          <w:rtl/>
        </w:rPr>
        <w:t>,</w:t>
      </w:r>
      <w:r w:rsidRPr="00C7472A">
        <w:rPr>
          <w:rFonts w:cs="Arial"/>
          <w:rtl/>
        </w:rPr>
        <w:t xml:space="preserve"> ואי</w:t>
      </w:r>
      <w:r>
        <w:rPr>
          <w:rFonts w:cs="Arial" w:hint="cs"/>
          <w:rtl/>
        </w:rPr>
        <w:t>נה יכולה</w:t>
      </w:r>
      <w:r w:rsidRPr="00C7472A">
        <w:rPr>
          <w:rFonts w:cs="Arial"/>
          <w:rtl/>
        </w:rPr>
        <w:t xml:space="preserve"> לומר פרוע הוא כשהוא תוך הזמן</w:t>
      </w:r>
      <w:r>
        <w:rPr>
          <w:rFonts w:cs="Arial" w:hint="cs"/>
          <w:rtl/>
        </w:rPr>
        <w:t>.</w:t>
      </w:r>
      <w:r w:rsidRPr="00C7472A">
        <w:rPr>
          <w:rFonts w:cs="Arial"/>
          <w:rtl/>
        </w:rPr>
        <w:t xml:space="preserve"> ואם הלוה טוען פרעתי השטר</w:t>
      </w:r>
      <w:r>
        <w:rPr>
          <w:rFonts w:cs="Arial" w:hint="cs"/>
          <w:rtl/>
        </w:rPr>
        <w:t>,</w:t>
      </w:r>
      <w:r w:rsidRPr="00C7472A">
        <w:rPr>
          <w:rFonts w:cs="Arial"/>
          <w:rtl/>
        </w:rPr>
        <w:t xml:space="preserve"> אם אין בו נאמנות אז חייבת היא לישבע</w:t>
      </w:r>
      <w:r>
        <w:rPr>
          <w:rFonts w:cs="Arial" w:hint="cs"/>
          <w:rtl/>
        </w:rPr>
        <w:t>,</w:t>
      </w:r>
      <w:r w:rsidRPr="00C7472A">
        <w:rPr>
          <w:rFonts w:cs="Arial"/>
          <w:rtl/>
        </w:rPr>
        <w:t xml:space="preserve"> </w:t>
      </w:r>
      <w:r>
        <w:rPr>
          <w:rFonts w:cs="Arial" w:hint="cs"/>
          <w:rtl/>
        </w:rPr>
        <w:t>ויכולה לומר</w:t>
      </w:r>
      <w:r w:rsidRPr="00C7472A">
        <w:rPr>
          <w:rFonts w:cs="Arial"/>
          <w:rtl/>
        </w:rPr>
        <w:t xml:space="preserve"> אי</w:t>
      </w:r>
      <w:r>
        <w:rPr>
          <w:rFonts w:cs="Arial" w:hint="cs"/>
          <w:rtl/>
        </w:rPr>
        <w:t>ן</w:t>
      </w:r>
      <w:r w:rsidRPr="00C7472A">
        <w:rPr>
          <w:rFonts w:cs="Arial"/>
          <w:rtl/>
        </w:rPr>
        <w:t xml:space="preserve"> רצוני לישבע כי פרוע הוא</w:t>
      </w:r>
      <w:r>
        <w:rPr>
          <w:rFonts w:cs="Arial" w:hint="cs"/>
          <w:rtl/>
        </w:rPr>
        <w:t>.</w:t>
      </w:r>
      <w:r w:rsidRPr="00C7472A">
        <w:rPr>
          <w:rFonts w:cs="Arial"/>
          <w:rtl/>
        </w:rPr>
        <w:t xml:space="preserve"> ובמלוה בע"פ תוך הזמן תליא בפלוגתא בח"ה סי' ע"ח </w:t>
      </w:r>
      <w:r>
        <w:rPr>
          <w:rFonts w:cs="Arial" w:hint="cs"/>
          <w:sz w:val="16"/>
          <w:szCs w:val="16"/>
          <w:rtl/>
        </w:rPr>
        <w:t xml:space="preserve">{סע' ב בהגה} </w:t>
      </w:r>
      <w:r w:rsidRPr="00C7472A">
        <w:rPr>
          <w:rFonts w:cs="Arial"/>
          <w:rtl/>
        </w:rPr>
        <w:t>אם היא צריכה לישבע</w:t>
      </w:r>
      <w:r>
        <w:rPr>
          <w:rFonts w:hint="cs"/>
          <w:rtl/>
        </w:rPr>
        <w:t>, ב"ש (סק"ב).</w:t>
      </w:r>
    </w:p>
  </w:footnote>
  <w:footnote w:id="1427">
    <w:p w14:paraId="54C130D5" w14:textId="535CD8B8" w:rsidR="000014A8" w:rsidRDefault="000014A8">
      <w:pPr>
        <w:pStyle w:val="a5"/>
      </w:pPr>
      <w:r>
        <w:rPr>
          <w:rStyle w:val="a7"/>
        </w:rPr>
        <w:footnoteRef/>
      </w:r>
      <w:r>
        <w:rPr>
          <w:rtl/>
        </w:rPr>
        <w:t xml:space="preserve"> </w:t>
      </w:r>
      <w:r>
        <w:rPr>
          <w:rFonts w:hint="cs"/>
          <w:rtl/>
        </w:rPr>
        <w:t>סימן - הערמה בציווי. וכן - ציוה הון לצמד הורים.</w:t>
      </w:r>
    </w:p>
  </w:footnote>
  <w:footnote w:id="1428">
    <w:p w14:paraId="2CEF3EB7" w14:textId="4C6D8E85" w:rsidR="00DE2F5F" w:rsidRDefault="00DE2F5F" w:rsidP="00E1594D">
      <w:pPr>
        <w:pStyle w:val="a5"/>
        <w:rPr>
          <w:rtl/>
        </w:rPr>
      </w:pPr>
      <w:r>
        <w:rPr>
          <w:rStyle w:val="a7"/>
        </w:rPr>
        <w:footnoteRef/>
      </w:r>
      <w:r>
        <w:rPr>
          <w:rtl/>
        </w:rPr>
        <w:t xml:space="preserve"> </w:t>
      </w:r>
      <w:r w:rsidRPr="00E1594D">
        <w:rPr>
          <w:rFonts w:cs="Arial"/>
          <w:rtl/>
        </w:rPr>
        <w:t>אמר לפנויה נכסי ליך ואחריך לפלוני</w:t>
      </w:r>
      <w:r>
        <w:rPr>
          <w:rFonts w:cs="Arial" w:hint="cs"/>
          <w:rtl/>
        </w:rPr>
        <w:t>, רש"י.</w:t>
      </w:r>
    </w:p>
  </w:footnote>
  <w:footnote w:id="1429">
    <w:p w14:paraId="097EEDFD" w14:textId="213C2CDC" w:rsidR="00DE2F5F" w:rsidRDefault="00DE2F5F" w:rsidP="00E1594D">
      <w:pPr>
        <w:pStyle w:val="a5"/>
        <w:rPr>
          <w:rtl/>
        </w:rPr>
      </w:pPr>
      <w:r>
        <w:rPr>
          <w:rStyle w:val="a7"/>
        </w:rPr>
        <w:footnoteRef/>
      </w:r>
      <w:r>
        <w:rPr>
          <w:rtl/>
        </w:rPr>
        <w:t xml:space="preserve"> </w:t>
      </w:r>
      <w:r w:rsidRPr="002A22B5">
        <w:rPr>
          <w:rFonts w:cs="Arial"/>
          <w:rtl/>
        </w:rPr>
        <w:t>כר"ש דאמר מכירתו מכירה</w:t>
      </w:r>
      <w:r>
        <w:rPr>
          <w:rFonts w:cs="Arial" w:hint="cs"/>
          <w:rtl/>
        </w:rPr>
        <w:t>, רש"י.</w:t>
      </w:r>
    </w:p>
  </w:footnote>
  <w:footnote w:id="1430">
    <w:p w14:paraId="506DF842" w14:textId="76A8854A" w:rsidR="00DE2F5F" w:rsidRDefault="00DE2F5F" w:rsidP="002A22B5">
      <w:pPr>
        <w:pStyle w:val="a5"/>
        <w:rPr>
          <w:rtl/>
        </w:rPr>
      </w:pPr>
      <w:r>
        <w:rPr>
          <w:rStyle w:val="a7"/>
        </w:rPr>
        <w:footnoteRef/>
      </w:r>
      <w:r>
        <w:rPr>
          <w:rtl/>
        </w:rPr>
        <w:t xml:space="preserve"> </w:t>
      </w:r>
      <w:r w:rsidRPr="002A22B5">
        <w:rPr>
          <w:rFonts w:cs="Arial"/>
          <w:rtl/>
        </w:rPr>
        <w:t>לקמן מוקמי להא שמעתא בתרייתא באומר לנשואה</w:t>
      </w:r>
      <w:r>
        <w:rPr>
          <w:rFonts w:cs="Arial" w:hint="cs"/>
          <w:rtl/>
        </w:rPr>
        <w:t>, רש"י.</w:t>
      </w:r>
    </w:p>
  </w:footnote>
  <w:footnote w:id="1431">
    <w:p w14:paraId="6F181A43" w14:textId="34D7A799" w:rsidR="00DE2F5F" w:rsidRDefault="00DE2F5F" w:rsidP="002A22B5">
      <w:pPr>
        <w:pStyle w:val="a5"/>
        <w:rPr>
          <w:rtl/>
        </w:rPr>
      </w:pPr>
      <w:r>
        <w:rPr>
          <w:rStyle w:val="a7"/>
        </w:rPr>
        <w:footnoteRef/>
      </w:r>
      <w:r>
        <w:rPr>
          <w:rtl/>
        </w:rPr>
        <w:t xml:space="preserve"> </w:t>
      </w:r>
      <w:r w:rsidRPr="002A22B5">
        <w:rPr>
          <w:rFonts w:cs="Arial"/>
          <w:rtl/>
        </w:rPr>
        <w:t>אם בא לדון עמו יכול הוא לזכות בדין שהוא לוקח ראשון</w:t>
      </w:r>
      <w:r>
        <w:rPr>
          <w:rFonts w:cs="Arial" w:hint="cs"/>
          <w:rtl/>
        </w:rPr>
        <w:t>, רש"י.</w:t>
      </w:r>
    </w:p>
  </w:footnote>
  <w:footnote w:id="1432">
    <w:p w14:paraId="4474A7C9" w14:textId="2C1CB49C" w:rsidR="00DE2F5F" w:rsidRDefault="00DE2F5F" w:rsidP="002A22B5">
      <w:pPr>
        <w:pStyle w:val="a5"/>
        <w:rPr>
          <w:rtl/>
        </w:rPr>
      </w:pPr>
      <w:r>
        <w:rPr>
          <w:rStyle w:val="a7"/>
        </w:rPr>
        <w:footnoteRef/>
      </w:r>
      <w:r>
        <w:rPr>
          <w:rtl/>
        </w:rPr>
        <w:t xml:space="preserve"> </w:t>
      </w:r>
      <w:r w:rsidRPr="002A22B5">
        <w:rPr>
          <w:rFonts w:cs="Arial"/>
          <w:rtl/>
        </w:rPr>
        <w:t>יכול להוציא מיד הבעל דכי אמר אביי אין לאחריך במקום הבעל כלום שנתן לה כשהיא פנויה וניסת אבל באומר לנשואה ה"ק לה אחריך ליקני בעל לא ליקני</w:t>
      </w:r>
      <w:r>
        <w:rPr>
          <w:rFonts w:cs="Arial" w:hint="cs"/>
          <w:rtl/>
        </w:rPr>
        <w:t>, רש"י.</w:t>
      </w:r>
    </w:p>
  </w:footnote>
  <w:footnote w:id="1433">
    <w:p w14:paraId="34A3F9CB" w14:textId="4A45845E" w:rsidR="00DE2F5F" w:rsidRDefault="00DE2F5F" w:rsidP="002A22B5">
      <w:pPr>
        <w:pStyle w:val="a5"/>
        <w:rPr>
          <w:rtl/>
        </w:rPr>
      </w:pPr>
      <w:r>
        <w:rPr>
          <w:rStyle w:val="a7"/>
        </w:rPr>
        <w:footnoteRef/>
      </w:r>
      <w:r>
        <w:rPr>
          <w:rtl/>
        </w:rPr>
        <w:t xml:space="preserve"> </w:t>
      </w:r>
      <w:r w:rsidRPr="002A22B5">
        <w:rPr>
          <w:rFonts w:cs="Arial"/>
          <w:rtl/>
        </w:rPr>
        <w:t>כר"ש דאמר דמכירת הראשון מכירה</w:t>
      </w:r>
      <w:r>
        <w:rPr>
          <w:rFonts w:cs="Arial" w:hint="cs"/>
          <w:rtl/>
        </w:rPr>
        <w:t>, רש"י.</w:t>
      </w:r>
    </w:p>
  </w:footnote>
  <w:footnote w:id="1434">
    <w:p w14:paraId="6B47D9B1" w14:textId="77777777" w:rsidR="00DE2F5F" w:rsidRDefault="00DE2F5F" w:rsidP="00ED69AD">
      <w:pPr>
        <w:pStyle w:val="a5"/>
        <w:rPr>
          <w:rtl/>
        </w:rPr>
      </w:pPr>
      <w:r>
        <w:rPr>
          <w:rStyle w:val="a7"/>
        </w:rPr>
        <w:footnoteRef/>
      </w:r>
      <w:r>
        <w:rPr>
          <w:rtl/>
        </w:rPr>
        <w:t xml:space="preserve"> </w:t>
      </w:r>
      <w:r w:rsidRPr="005D1457">
        <w:rPr>
          <w:rFonts w:cs="Arial"/>
          <w:rtl/>
        </w:rPr>
        <w:t>וכתבו התוספות (שם) ומוקמינן לכולהו בידא דלוקח</w:t>
      </w:r>
      <w:r>
        <w:rPr>
          <w:rFonts w:cs="Arial" w:hint="cs"/>
          <w:rtl/>
        </w:rPr>
        <w:t>,</w:t>
      </w:r>
      <w:r w:rsidRPr="005D1457">
        <w:rPr>
          <w:rFonts w:cs="Arial"/>
          <w:rtl/>
        </w:rPr>
        <w:t xml:space="preserve"> תימא מעיקרא נמי לוקמי</w:t>
      </w:r>
      <w:r>
        <w:rPr>
          <w:rFonts w:cs="Arial" w:hint="cs"/>
          <w:rtl/>
        </w:rPr>
        <w:t>ה</w:t>
      </w:r>
      <w:r w:rsidRPr="005D1457">
        <w:rPr>
          <w:rFonts w:cs="Arial"/>
          <w:rtl/>
        </w:rPr>
        <w:t xml:space="preserve"> ביד הלוקח אפוכי מטרתא למה לי</w:t>
      </w:r>
      <w:r>
        <w:rPr>
          <w:rFonts w:cs="Arial" w:hint="cs"/>
          <w:rtl/>
        </w:rPr>
        <w:t>.</w:t>
      </w:r>
      <w:r w:rsidRPr="005D1457">
        <w:rPr>
          <w:rFonts w:cs="Arial"/>
          <w:rtl/>
        </w:rPr>
        <w:t xml:space="preserve"> דאמר הבעל מוציא מיד הלוקח</w:t>
      </w:r>
      <w:r>
        <w:rPr>
          <w:rFonts w:cs="Arial" w:hint="cs"/>
          <w:rtl/>
        </w:rPr>
        <w:t>,</w:t>
      </w:r>
      <w:r w:rsidRPr="005D1457">
        <w:rPr>
          <w:rFonts w:cs="Arial"/>
          <w:rtl/>
        </w:rPr>
        <w:t xml:space="preserve"> ואחריך מיד הבעל</w:t>
      </w:r>
      <w:r>
        <w:rPr>
          <w:rFonts w:cs="Arial" w:hint="cs"/>
          <w:rtl/>
        </w:rPr>
        <w:t>,</w:t>
      </w:r>
      <w:r w:rsidRPr="005D1457">
        <w:rPr>
          <w:rFonts w:cs="Arial"/>
          <w:rtl/>
        </w:rPr>
        <w:t xml:space="preserve"> ולוקח מיד אחריך</w:t>
      </w:r>
      <w:r>
        <w:rPr>
          <w:rFonts w:cs="Arial" w:hint="cs"/>
          <w:rtl/>
        </w:rPr>
        <w:t>.</w:t>
      </w:r>
      <w:r w:rsidRPr="005D1457">
        <w:rPr>
          <w:rFonts w:cs="Arial"/>
          <w:rtl/>
        </w:rPr>
        <w:t xml:space="preserve"> ונ"ל דלאו דוקא קאמר שיוציא הבעל מיד הלקוחות</w:t>
      </w:r>
      <w:r>
        <w:rPr>
          <w:rFonts w:cs="Arial" w:hint="cs"/>
          <w:rtl/>
        </w:rPr>
        <w:t>,</w:t>
      </w:r>
      <w:r w:rsidRPr="005D1457">
        <w:rPr>
          <w:rFonts w:cs="Arial"/>
          <w:rtl/>
        </w:rPr>
        <w:t xml:space="preserve"> אלא מתוך שאם היה מוציא הבעל מיד הלוקח היה אחריך מוציא מיד הבעל ולוקח מיד אחריך </w:t>
      </w:r>
      <w:r>
        <w:rPr>
          <w:rFonts w:cs="Arial" w:hint="cs"/>
          <w:rtl/>
        </w:rPr>
        <w:t xml:space="preserve">- </w:t>
      </w:r>
      <w:r w:rsidRPr="005D1457">
        <w:rPr>
          <w:rFonts w:cs="Arial"/>
          <w:rtl/>
        </w:rPr>
        <w:t>מעיקרא נמי מוקמינן ליה בידא דלוקח</w:t>
      </w:r>
      <w:r>
        <w:rPr>
          <w:rFonts w:cs="Arial" w:hint="cs"/>
          <w:rtl/>
        </w:rPr>
        <w:t>.</w:t>
      </w:r>
      <w:r w:rsidRPr="005D1457">
        <w:rPr>
          <w:rFonts w:cs="Arial"/>
          <w:rtl/>
        </w:rPr>
        <w:t xml:space="preserve"> וכך הם דברי הרמב"ם בפרק י"ב מהלכות זכייה ומתנה (הי"ב)</w:t>
      </w:r>
      <w:r>
        <w:rPr>
          <w:rFonts w:cs="Arial" w:hint="cs"/>
          <w:rtl/>
        </w:rPr>
        <w:t>, ב"י.</w:t>
      </w:r>
    </w:p>
  </w:footnote>
  <w:footnote w:id="1435">
    <w:p w14:paraId="356F6EF5" w14:textId="7C28C517" w:rsidR="00DE2F5F" w:rsidRDefault="00DE2F5F" w:rsidP="00E1594D">
      <w:pPr>
        <w:pStyle w:val="a5"/>
        <w:rPr>
          <w:rtl/>
        </w:rPr>
      </w:pPr>
      <w:r>
        <w:rPr>
          <w:rStyle w:val="a7"/>
        </w:rPr>
        <w:footnoteRef/>
      </w:r>
      <w:r>
        <w:rPr>
          <w:rtl/>
        </w:rPr>
        <w:t xml:space="preserve"> </w:t>
      </w:r>
      <w:r w:rsidRPr="005D1457">
        <w:rPr>
          <w:rFonts w:cs="Arial"/>
          <w:rtl/>
        </w:rPr>
        <w:t xml:space="preserve">וכתב הרב המגיד </w:t>
      </w:r>
      <w:r>
        <w:rPr>
          <w:rFonts w:cs="Arial" w:hint="cs"/>
          <w:rtl/>
        </w:rPr>
        <w:t>(</w:t>
      </w:r>
      <w:r w:rsidRPr="005D1457">
        <w:rPr>
          <w:rFonts w:cs="Arial"/>
          <w:rtl/>
        </w:rPr>
        <w:t>פי"ב מהלכות זכייה ומתנה הי"ב)</w:t>
      </w:r>
      <w:r>
        <w:rPr>
          <w:rFonts w:cs="Arial" w:hint="cs"/>
          <w:rtl/>
        </w:rPr>
        <w:t xml:space="preserve"> </w:t>
      </w:r>
      <w:r w:rsidRPr="005D1457">
        <w:rPr>
          <w:rFonts w:cs="Arial"/>
          <w:rtl/>
        </w:rPr>
        <w:t>שאפילו אחריך רוצה שיהיה של בעל אין בדבריו כלום</w:t>
      </w:r>
      <w:r>
        <w:rPr>
          <w:rFonts w:cs="Arial" w:hint="cs"/>
          <w:rtl/>
        </w:rPr>
        <w:t>, ב"י.</w:t>
      </w:r>
    </w:p>
  </w:footnote>
  <w:footnote w:id="1436">
    <w:p w14:paraId="47C4F749" w14:textId="04FB5C11" w:rsidR="00DE2F5F" w:rsidRPr="000014A8" w:rsidRDefault="00DE2F5F" w:rsidP="000014A8">
      <w:pPr>
        <w:pStyle w:val="a5"/>
        <w:rPr>
          <w:rFonts w:cs="Arial"/>
          <w:rtl/>
        </w:rPr>
      </w:pPr>
      <w:r>
        <w:rPr>
          <w:rStyle w:val="a7"/>
        </w:rPr>
        <w:footnoteRef/>
      </w:r>
      <w:r>
        <w:rPr>
          <w:rtl/>
        </w:rPr>
        <w:t xml:space="preserve"> </w:t>
      </w:r>
      <w:r w:rsidRPr="000B4300">
        <w:rPr>
          <w:rFonts w:cs="Arial"/>
          <w:rtl/>
        </w:rPr>
        <w:t>אע</w:t>
      </w:r>
      <w:r w:rsidR="000014A8">
        <w:rPr>
          <w:rFonts w:cs="Arial" w:hint="cs"/>
          <w:rtl/>
        </w:rPr>
        <w:t>"</w:t>
      </w:r>
      <w:r w:rsidRPr="000B4300">
        <w:rPr>
          <w:rFonts w:cs="Arial"/>
          <w:rtl/>
        </w:rPr>
        <w:t xml:space="preserve">ג </w:t>
      </w:r>
      <w:r>
        <w:rPr>
          <w:rFonts w:cs="Arial" w:hint="cs"/>
          <w:rtl/>
        </w:rPr>
        <w:t>ד</w:t>
      </w:r>
      <w:r w:rsidRPr="000B4300">
        <w:rPr>
          <w:rFonts w:cs="Arial"/>
          <w:rtl/>
        </w:rPr>
        <w:t>במקום פסידא לאחר דינו כיורש</w:t>
      </w:r>
      <w:r>
        <w:rPr>
          <w:rFonts w:cs="Arial" w:hint="cs"/>
          <w:rtl/>
        </w:rPr>
        <w:t>,</w:t>
      </w:r>
      <w:r w:rsidRPr="000B4300">
        <w:rPr>
          <w:rFonts w:cs="Arial"/>
          <w:rtl/>
        </w:rPr>
        <w:t xml:space="preserve"> כאן ליכא פסידא כ</w:t>
      </w:r>
      <w:r>
        <w:rPr>
          <w:rFonts w:cs="Arial" w:hint="cs"/>
          <w:rtl/>
        </w:rPr>
        <w:t>ל כך,</w:t>
      </w:r>
      <w:r w:rsidRPr="000B4300">
        <w:rPr>
          <w:rFonts w:cs="Arial"/>
          <w:rtl/>
        </w:rPr>
        <w:t xml:space="preserve"> שהרי במתנה ניתן ל</w:t>
      </w:r>
      <w:r>
        <w:rPr>
          <w:rFonts w:cs="Arial" w:hint="cs"/>
          <w:rtl/>
        </w:rPr>
        <w:t>ו,</w:t>
      </w:r>
      <w:r w:rsidRPr="000B4300">
        <w:rPr>
          <w:rFonts w:cs="Arial"/>
          <w:rtl/>
        </w:rPr>
        <w:t xml:space="preserve"> </w:t>
      </w:r>
      <w:r w:rsidRPr="000014A8">
        <w:rPr>
          <w:rFonts w:cs="Arial"/>
          <w:b/>
          <w:bCs/>
          <w:rtl/>
        </w:rPr>
        <w:t>תוס'</w:t>
      </w:r>
      <w:r w:rsidRPr="000B4300">
        <w:rPr>
          <w:rFonts w:cs="Arial"/>
          <w:rtl/>
        </w:rPr>
        <w:t xml:space="preserve"> </w:t>
      </w:r>
      <w:r>
        <w:rPr>
          <w:rFonts w:cs="Arial" w:hint="cs"/>
          <w:rtl/>
        </w:rPr>
        <w:t>(ב"ב קלט:</w:t>
      </w:r>
      <w:r w:rsidR="000014A8">
        <w:rPr>
          <w:rFonts w:cs="Arial" w:hint="cs"/>
          <w:rtl/>
        </w:rPr>
        <w:t xml:space="preserve"> </w:t>
      </w:r>
      <w:r>
        <w:rPr>
          <w:rFonts w:cs="Arial" w:hint="cs"/>
          <w:rtl/>
        </w:rPr>
        <w:t>ד"ה התם).</w:t>
      </w:r>
      <w:r w:rsidR="000014A8">
        <w:rPr>
          <w:rFonts w:cs="Arial" w:hint="cs"/>
          <w:rtl/>
        </w:rPr>
        <w:t xml:space="preserve">   </w:t>
      </w:r>
      <w:r w:rsidRPr="000B4300">
        <w:rPr>
          <w:rFonts w:cs="Arial"/>
          <w:rtl/>
        </w:rPr>
        <w:t xml:space="preserve"> והר"ן תירץ בשם הרשב"א כיון האשה לאנסובי קיימא ש"מ אחריך שאמר שלא במקום הבעל</w:t>
      </w:r>
      <w:r>
        <w:rPr>
          <w:rFonts w:cs="Arial" w:hint="cs"/>
          <w:rtl/>
        </w:rPr>
        <w:t>,</w:t>
      </w:r>
      <w:r w:rsidRPr="000B4300">
        <w:rPr>
          <w:rFonts w:cs="Arial"/>
          <w:rtl/>
        </w:rPr>
        <w:t xml:space="preserve"> אבל כשהיא נשוא</w:t>
      </w:r>
      <w:r>
        <w:rPr>
          <w:rFonts w:cs="Arial" w:hint="cs"/>
          <w:rtl/>
        </w:rPr>
        <w:t>ה</w:t>
      </w:r>
      <w:r w:rsidRPr="000B4300">
        <w:rPr>
          <w:rFonts w:cs="Arial"/>
          <w:rtl/>
        </w:rPr>
        <w:t xml:space="preserve"> ה</w:t>
      </w:r>
      <w:r>
        <w:rPr>
          <w:rFonts w:cs="Arial" w:hint="cs"/>
          <w:rtl/>
        </w:rPr>
        <w:t>ו</w:t>
      </w:r>
      <w:r w:rsidRPr="000B4300">
        <w:rPr>
          <w:rFonts w:cs="Arial"/>
          <w:rtl/>
        </w:rPr>
        <w:t>"ל לפרש</w:t>
      </w:r>
      <w:r>
        <w:rPr>
          <w:rFonts w:cs="Arial" w:hint="cs"/>
          <w:rtl/>
        </w:rPr>
        <w:t xml:space="preserve">, </w:t>
      </w:r>
      <w:r w:rsidRPr="000014A8">
        <w:rPr>
          <w:rFonts w:cs="Arial" w:hint="cs"/>
          <w:b/>
          <w:bCs/>
          <w:rtl/>
        </w:rPr>
        <w:t>ב"ש</w:t>
      </w:r>
      <w:r>
        <w:rPr>
          <w:rFonts w:cs="Arial" w:hint="cs"/>
          <w:rtl/>
        </w:rPr>
        <w:t xml:space="preserve"> (סק"ג).</w:t>
      </w:r>
    </w:p>
  </w:footnote>
  <w:footnote w:id="1437">
    <w:p w14:paraId="2ABCF6EB" w14:textId="056EEA06" w:rsidR="00DE2F5F" w:rsidRDefault="00DE2F5F" w:rsidP="000B4300">
      <w:pPr>
        <w:pStyle w:val="a5"/>
        <w:rPr>
          <w:rtl/>
        </w:rPr>
      </w:pPr>
      <w:r>
        <w:rPr>
          <w:rStyle w:val="a7"/>
        </w:rPr>
        <w:footnoteRef/>
      </w:r>
      <w:r>
        <w:rPr>
          <w:rtl/>
        </w:rPr>
        <w:t xml:space="preserve"> </w:t>
      </w:r>
      <w:r w:rsidRPr="000B4300">
        <w:rPr>
          <w:rFonts w:cs="Arial"/>
          <w:rtl/>
        </w:rPr>
        <w:t>אבל כל ימי חייה הבעל אוכל פירות</w:t>
      </w:r>
      <w:r>
        <w:rPr>
          <w:rFonts w:cs="Arial" w:hint="cs"/>
          <w:rtl/>
        </w:rPr>
        <w:t>,</w:t>
      </w:r>
      <w:r w:rsidRPr="000B4300">
        <w:rPr>
          <w:rFonts w:cs="Arial"/>
          <w:rtl/>
        </w:rPr>
        <w:t xml:space="preserve"> ואין ללוקח פירות</w:t>
      </w:r>
      <w:r>
        <w:rPr>
          <w:rFonts w:cs="Arial" w:hint="cs"/>
          <w:rtl/>
        </w:rPr>
        <w:t>.</w:t>
      </w:r>
      <w:r w:rsidRPr="000B4300">
        <w:rPr>
          <w:rFonts w:cs="Arial"/>
          <w:rtl/>
        </w:rPr>
        <w:t xml:space="preserve"> ואין להקשות לדעת הרא"ש שהביא לעיל בהג"ה סי' צ' סעיף ט' דאף בחייה מוציא הבעל גוף הקרקע מיד הלוקח</w:t>
      </w:r>
      <w:r>
        <w:rPr>
          <w:rFonts w:cs="Arial" w:hint="cs"/>
          <w:rtl/>
        </w:rPr>
        <w:t>,</w:t>
      </w:r>
      <w:r w:rsidRPr="000B4300">
        <w:rPr>
          <w:rFonts w:cs="Arial"/>
          <w:rtl/>
        </w:rPr>
        <w:t xml:space="preserve"> וא"כ היה אפשר לומר דאחריך יקנה ולא הלוקח</w:t>
      </w:r>
      <w:r>
        <w:rPr>
          <w:rFonts w:cs="Arial" w:hint="cs"/>
          <w:rtl/>
        </w:rPr>
        <w:t>,</w:t>
      </w:r>
      <w:r w:rsidRPr="000B4300">
        <w:rPr>
          <w:rFonts w:cs="Arial"/>
          <w:rtl/>
        </w:rPr>
        <w:t xml:space="preserve"> דהלוקח לא קנה בחיי האשה</w:t>
      </w:r>
      <w:r>
        <w:rPr>
          <w:rFonts w:cs="Arial" w:hint="cs"/>
          <w:rtl/>
        </w:rPr>
        <w:t>.</w:t>
      </w:r>
      <w:r w:rsidRPr="000B4300">
        <w:rPr>
          <w:rFonts w:cs="Arial"/>
          <w:rtl/>
        </w:rPr>
        <w:t xml:space="preserve"> דשאני הכא דמאחר דהנותן סילק את הבעל ואמר אחריך ליקני</w:t>
      </w:r>
      <w:r>
        <w:rPr>
          <w:rFonts w:cs="Arial" w:hint="cs"/>
          <w:rtl/>
        </w:rPr>
        <w:t>,</w:t>
      </w:r>
      <w:r w:rsidRPr="000B4300">
        <w:rPr>
          <w:rFonts w:cs="Arial"/>
          <w:rtl/>
        </w:rPr>
        <w:t xml:space="preserve"> בעל לא ליקני</w:t>
      </w:r>
      <w:r>
        <w:rPr>
          <w:rFonts w:cs="Arial" w:hint="cs"/>
          <w:rtl/>
        </w:rPr>
        <w:t>,</w:t>
      </w:r>
      <w:r w:rsidRPr="000B4300">
        <w:rPr>
          <w:rFonts w:cs="Arial"/>
          <w:rtl/>
        </w:rPr>
        <w:t xml:space="preserve"> וא"כ לא הוי בעל כלוקח ראשון והלוקח קנה הגוף אפי' לדעת הרא"ש</w:t>
      </w:r>
      <w:r>
        <w:rPr>
          <w:rFonts w:cs="Arial" w:hint="cs"/>
          <w:rtl/>
        </w:rPr>
        <w:t>,</w:t>
      </w:r>
      <w:r w:rsidRPr="000B4300">
        <w:rPr>
          <w:rFonts w:cs="Arial"/>
          <w:rtl/>
        </w:rPr>
        <w:t xml:space="preserve"> רק דהבעל אוכל פירות בחיי'</w:t>
      </w:r>
      <w:r>
        <w:rPr>
          <w:rFonts w:cs="Arial" w:hint="cs"/>
          <w:rtl/>
        </w:rPr>
        <w:t>,</w:t>
      </w:r>
      <w:r w:rsidRPr="000B4300">
        <w:rPr>
          <w:rFonts w:cs="Arial"/>
          <w:rtl/>
        </w:rPr>
        <w:t xml:space="preserve"> ואח"כ זכה הלוקח</w:t>
      </w:r>
      <w:r>
        <w:rPr>
          <w:rFonts w:cs="Arial" w:hint="cs"/>
          <w:rtl/>
        </w:rPr>
        <w:t>,</w:t>
      </w:r>
      <w:r w:rsidRPr="000B4300">
        <w:rPr>
          <w:rFonts w:cs="Arial"/>
          <w:rtl/>
        </w:rPr>
        <w:t xml:space="preserve"> והוא קוד' לאחריך</w:t>
      </w:r>
      <w:r>
        <w:rPr>
          <w:rFonts w:cs="Arial" w:hint="cs"/>
          <w:rtl/>
        </w:rPr>
        <w:t>.</w:t>
      </w:r>
      <w:r w:rsidRPr="000B4300">
        <w:rPr>
          <w:rFonts w:cs="Arial"/>
          <w:rtl/>
        </w:rPr>
        <w:t xml:space="preserve"> ועיין בב"ח מ"ש כאן דלדעת הרא"ש אפשר לו' דאם הוציא הבעל מן הלוקח תעמוד בידו אע</w:t>
      </w:r>
      <w:r w:rsidR="000014A8">
        <w:rPr>
          <w:rFonts w:cs="Arial" w:hint="cs"/>
          <w:rtl/>
        </w:rPr>
        <w:t>"</w:t>
      </w:r>
      <w:r w:rsidRPr="000B4300">
        <w:rPr>
          <w:rFonts w:cs="Arial"/>
          <w:rtl/>
        </w:rPr>
        <w:t>ג דאית ליה פסידא ללוקח</w:t>
      </w:r>
      <w:r w:rsidR="000014A8">
        <w:rPr>
          <w:rFonts w:cs="Arial" w:hint="cs"/>
          <w:rtl/>
        </w:rPr>
        <w:t>.</w:t>
      </w:r>
      <w:r w:rsidRPr="000B4300">
        <w:rPr>
          <w:rFonts w:cs="Arial"/>
          <w:rtl/>
        </w:rPr>
        <w:t xml:space="preserve"> ולע"ד הדברים ברורים כמ"ש</w:t>
      </w:r>
      <w:r>
        <w:rPr>
          <w:rFonts w:cs="Arial" w:hint="cs"/>
          <w:rtl/>
        </w:rPr>
        <w:t>, ח"מ (סק"ד).</w:t>
      </w:r>
    </w:p>
  </w:footnote>
  <w:footnote w:id="1438">
    <w:p w14:paraId="4EB7B8E5" w14:textId="067F30DA" w:rsidR="00D028F6" w:rsidRDefault="00D028F6">
      <w:pPr>
        <w:pStyle w:val="a5"/>
      </w:pPr>
      <w:r>
        <w:rPr>
          <w:rStyle w:val="a7"/>
        </w:rPr>
        <w:footnoteRef/>
      </w:r>
      <w:r>
        <w:rPr>
          <w:rtl/>
        </w:rPr>
        <w:t xml:space="preserve"> </w:t>
      </w:r>
      <w:r>
        <w:rPr>
          <w:rFonts w:hint="cs"/>
          <w:rtl/>
        </w:rPr>
        <w:t>סימן - לוקח הוי.</w:t>
      </w:r>
    </w:p>
  </w:footnote>
  <w:footnote w:id="1439">
    <w:p w14:paraId="1FD15FAB" w14:textId="7209C0FB" w:rsidR="00DE2F5F" w:rsidRDefault="00DE2F5F" w:rsidP="00A86702">
      <w:pPr>
        <w:pStyle w:val="a5"/>
        <w:rPr>
          <w:rtl/>
        </w:rPr>
      </w:pPr>
      <w:r>
        <w:rPr>
          <w:rStyle w:val="a7"/>
        </w:rPr>
        <w:footnoteRef/>
      </w:r>
      <w:r>
        <w:rPr>
          <w:rtl/>
        </w:rPr>
        <w:t xml:space="preserve"> </w:t>
      </w:r>
      <w:r w:rsidRPr="00A86702">
        <w:rPr>
          <w:rFonts w:cs="Arial"/>
          <w:rtl/>
        </w:rPr>
        <w:t>אפילו לא שמאתן לבעלה בכתובתה להיות נכסי צאן ברזל, שהן קנויין לבעל, אלא עיכבתן לעצמה להיות נכסי מלוג, הקרן שלה והבעל אוכל פירות</w:t>
      </w:r>
      <w:r>
        <w:rPr>
          <w:rFonts w:cs="Arial" w:hint="cs"/>
          <w:rtl/>
        </w:rPr>
        <w:t>, רש"י.</w:t>
      </w:r>
    </w:p>
  </w:footnote>
  <w:footnote w:id="1440">
    <w:p w14:paraId="2817A26C" w14:textId="77777777" w:rsidR="00DE2F5F" w:rsidRDefault="00DE2F5F" w:rsidP="00EA7A52">
      <w:pPr>
        <w:pStyle w:val="a5"/>
        <w:rPr>
          <w:rtl/>
        </w:rPr>
      </w:pPr>
      <w:r>
        <w:rPr>
          <w:rStyle w:val="a7"/>
        </w:rPr>
        <w:footnoteRef/>
      </w:r>
      <w:r>
        <w:rPr>
          <w:rtl/>
        </w:rPr>
        <w:t xml:space="preserve"> </w:t>
      </w:r>
      <w:r>
        <w:rPr>
          <w:rFonts w:cs="Arial" w:hint="cs"/>
          <w:rtl/>
        </w:rPr>
        <w:t xml:space="preserve">כן היא גירסת רש"י </w:t>
      </w:r>
      <w:r>
        <w:rPr>
          <w:rFonts w:cs="Arial" w:hint="cs"/>
          <w:sz w:val="16"/>
          <w:szCs w:val="16"/>
          <w:rtl/>
        </w:rPr>
        <w:t>(ד"ה לוקח הוי)</w:t>
      </w:r>
      <w:r>
        <w:rPr>
          <w:rFonts w:cs="Arial" w:hint="cs"/>
          <w:rtl/>
        </w:rPr>
        <w:t xml:space="preserve"> והרא"ש </w:t>
      </w:r>
      <w:r w:rsidRPr="009B7A6B">
        <w:rPr>
          <w:rFonts w:cs="Arial"/>
          <w:sz w:val="16"/>
          <w:szCs w:val="16"/>
          <w:rtl/>
        </w:rPr>
        <w:t>(פ"ג סי' ד)</w:t>
      </w:r>
      <w:r>
        <w:rPr>
          <w:rFonts w:cs="Arial" w:hint="cs"/>
          <w:rtl/>
        </w:rPr>
        <w:t xml:space="preserve">, וכן הוא בגירסא שלפני. אבל הרי"ף </w:t>
      </w:r>
      <w:r w:rsidRPr="000A5552">
        <w:rPr>
          <w:rFonts w:cs="Arial" w:hint="cs"/>
          <w:sz w:val="16"/>
          <w:szCs w:val="16"/>
          <w:rtl/>
        </w:rPr>
        <w:t>(יט:)</w:t>
      </w:r>
      <w:r>
        <w:rPr>
          <w:rFonts w:hint="cs"/>
          <w:rtl/>
        </w:rPr>
        <w:t xml:space="preserve"> והרמב"ם </w:t>
      </w:r>
      <w:r>
        <w:rPr>
          <w:rFonts w:hint="cs"/>
          <w:sz w:val="16"/>
          <w:szCs w:val="16"/>
          <w:rtl/>
        </w:rPr>
        <w:t>(פכ"ב ממלוה ולה הי"ז)</w:t>
      </w:r>
      <w:r>
        <w:rPr>
          <w:rFonts w:hint="cs"/>
          <w:rtl/>
        </w:rPr>
        <w:t xml:space="preserve"> לא גרסו 'ומתה'.</w:t>
      </w:r>
    </w:p>
  </w:footnote>
  <w:footnote w:id="1441">
    <w:p w14:paraId="415AB093" w14:textId="5CC548D2" w:rsidR="00DE2F5F" w:rsidRDefault="00DE2F5F" w:rsidP="00A86702">
      <w:pPr>
        <w:pStyle w:val="a5"/>
        <w:rPr>
          <w:rtl/>
        </w:rPr>
      </w:pPr>
      <w:r>
        <w:rPr>
          <w:rStyle w:val="a7"/>
        </w:rPr>
        <w:footnoteRef/>
      </w:r>
      <w:r>
        <w:rPr>
          <w:rtl/>
        </w:rPr>
        <w:t xml:space="preserve"> </w:t>
      </w:r>
      <w:r w:rsidRPr="00A86702">
        <w:rPr>
          <w:rFonts w:cs="Arial"/>
          <w:rtl/>
        </w:rPr>
        <w:t>בנכסי מלוג של אשתו</w:t>
      </w:r>
      <w:r>
        <w:rPr>
          <w:rFonts w:cs="Arial" w:hint="cs"/>
          <w:rtl/>
        </w:rPr>
        <w:t>, רש"י.</w:t>
      </w:r>
    </w:p>
  </w:footnote>
  <w:footnote w:id="1442">
    <w:p w14:paraId="7953BBEC" w14:textId="74DDC840" w:rsidR="00DE2F5F" w:rsidRDefault="00DE2F5F" w:rsidP="00A86702">
      <w:pPr>
        <w:pStyle w:val="a5"/>
        <w:rPr>
          <w:rtl/>
        </w:rPr>
      </w:pPr>
      <w:r>
        <w:rPr>
          <w:rStyle w:val="a7"/>
        </w:rPr>
        <w:footnoteRef/>
      </w:r>
      <w:r>
        <w:rPr>
          <w:rtl/>
        </w:rPr>
        <w:t xml:space="preserve"> </w:t>
      </w:r>
      <w:r w:rsidRPr="00A86702">
        <w:rPr>
          <w:rFonts w:cs="Arial"/>
          <w:rtl/>
        </w:rPr>
        <w:t>דין לוקח נתנו בו חכמים - הלכך לא מיהדר היכא דשמו לה ואינסיבא ומתה וירשה בעלה - כדאמרינן: זבנה אדעתא דארעא נחות</w:t>
      </w:r>
      <w:r>
        <w:rPr>
          <w:rFonts w:cs="Arial" w:hint="cs"/>
          <w:rtl/>
        </w:rPr>
        <w:t>, רש"י.</w:t>
      </w:r>
    </w:p>
  </w:footnote>
  <w:footnote w:id="1443">
    <w:p w14:paraId="1A16242B" w14:textId="11937913" w:rsidR="00DE2F5F" w:rsidRDefault="00DE2F5F" w:rsidP="00A86702">
      <w:pPr>
        <w:pStyle w:val="a5"/>
        <w:rPr>
          <w:rtl/>
        </w:rPr>
      </w:pPr>
      <w:r>
        <w:rPr>
          <w:rStyle w:val="a7"/>
        </w:rPr>
        <w:footnoteRef/>
      </w:r>
      <w:r>
        <w:rPr>
          <w:rtl/>
        </w:rPr>
        <w:t xml:space="preserve"> </w:t>
      </w:r>
      <w:r w:rsidRPr="00A86702">
        <w:rPr>
          <w:rFonts w:cs="Arial"/>
          <w:rtl/>
        </w:rPr>
        <w:t>היכא דשמו מינה ואינסיבא ומתה וירשה בעלה ובא להחזיר החוב וליטול הקרקע - לא מצי למימר יורשה אני, דכלוקח שוייה רבנן ולא כיורש</w:t>
      </w:r>
      <w:r>
        <w:rPr>
          <w:rFonts w:cs="Arial" w:hint="cs"/>
          <w:rtl/>
        </w:rPr>
        <w:t>, רש"י.</w:t>
      </w:r>
    </w:p>
  </w:footnote>
  <w:footnote w:id="1444">
    <w:p w14:paraId="2DF7AD3E" w14:textId="2DCC7D68" w:rsidR="00DE2F5F" w:rsidRDefault="00DE2F5F" w:rsidP="00D70BC2">
      <w:pPr>
        <w:pStyle w:val="a5"/>
      </w:pPr>
      <w:r>
        <w:rPr>
          <w:rStyle w:val="a7"/>
        </w:rPr>
        <w:footnoteRef/>
      </w:r>
      <w:r>
        <w:rPr>
          <w:rtl/>
        </w:rPr>
        <w:t xml:space="preserve"> </w:t>
      </w:r>
      <w:r>
        <w:rPr>
          <w:rFonts w:cs="Arial" w:hint="cs"/>
          <w:rtl/>
        </w:rPr>
        <w:t xml:space="preserve">וכתב הה"מ </w:t>
      </w:r>
      <w:r w:rsidRPr="009B7A6B">
        <w:rPr>
          <w:rFonts w:cs="Arial" w:hint="cs"/>
          <w:sz w:val="16"/>
          <w:szCs w:val="16"/>
          <w:rtl/>
        </w:rPr>
        <w:t>(</w:t>
      </w:r>
      <w:r w:rsidRPr="009B7A6B">
        <w:rPr>
          <w:rFonts w:cs="Arial"/>
          <w:sz w:val="16"/>
          <w:szCs w:val="16"/>
          <w:rtl/>
        </w:rPr>
        <w:t>פכ"ב ממלוה הי"ז)</w:t>
      </w:r>
      <w:r w:rsidR="00D028F6">
        <w:rPr>
          <w:rFonts w:cs="Arial" w:hint="cs"/>
          <w:rtl/>
        </w:rPr>
        <w:t>:</w:t>
      </w:r>
      <w:r>
        <w:rPr>
          <w:rFonts w:cs="Arial" w:hint="cs"/>
          <w:rtl/>
        </w:rPr>
        <w:t xml:space="preserve"> </w:t>
      </w:r>
      <w:r w:rsidRPr="009B7A6B">
        <w:rPr>
          <w:rFonts w:cs="Arial"/>
          <w:rtl/>
        </w:rPr>
        <w:t>אפילו בחייה לא מהדר</w:t>
      </w:r>
      <w:r>
        <w:rPr>
          <w:rFonts w:cs="Arial" w:hint="cs"/>
          <w:rtl/>
        </w:rPr>
        <w:t>,</w:t>
      </w:r>
      <w:r w:rsidRPr="009B7A6B">
        <w:rPr>
          <w:rFonts w:cs="Arial"/>
          <w:rtl/>
        </w:rPr>
        <w:t xml:space="preserve"> דכלוקח עשאוהו חכמים</w:t>
      </w:r>
      <w:r>
        <w:rPr>
          <w:rFonts w:cs="Arial" w:hint="cs"/>
          <w:rtl/>
        </w:rPr>
        <w:t>,</w:t>
      </w:r>
      <w:r w:rsidRPr="009B7A6B">
        <w:rPr>
          <w:rFonts w:cs="Arial"/>
          <w:rtl/>
        </w:rPr>
        <w:t xml:space="preserve"> ואילו עשאוהו יורש לא היה עדיין יורש בחיי אשתו והיה לו להחזיר</w:t>
      </w:r>
      <w:r>
        <w:rPr>
          <w:rFonts w:cs="Arial" w:hint="cs"/>
          <w:rtl/>
        </w:rPr>
        <w:t>.</w:t>
      </w:r>
      <w:r w:rsidRPr="009B7A6B">
        <w:rPr>
          <w:rFonts w:cs="Arial"/>
          <w:rtl/>
        </w:rPr>
        <w:t xml:space="preserve"> וכששמו ממנה</w:t>
      </w:r>
      <w:r>
        <w:rPr>
          <w:rFonts w:cs="Arial" w:hint="cs"/>
          <w:rtl/>
        </w:rPr>
        <w:t>,</w:t>
      </w:r>
      <w:r w:rsidRPr="009B7A6B">
        <w:rPr>
          <w:rFonts w:cs="Arial"/>
          <w:rtl/>
        </w:rPr>
        <w:t xml:space="preserve"> ונשאת</w:t>
      </w:r>
      <w:r>
        <w:rPr>
          <w:rFonts w:cs="Arial" w:hint="cs"/>
          <w:rtl/>
        </w:rPr>
        <w:t>,</w:t>
      </w:r>
      <w:r w:rsidRPr="009B7A6B">
        <w:rPr>
          <w:rFonts w:cs="Arial"/>
          <w:rtl/>
        </w:rPr>
        <w:t xml:space="preserve"> ורצו הבעל או היא להחזיר המעות </w:t>
      </w:r>
      <w:r>
        <w:rPr>
          <w:rFonts w:cs="Arial" w:hint="cs"/>
          <w:rtl/>
        </w:rPr>
        <w:t xml:space="preserve">- </w:t>
      </w:r>
      <w:r w:rsidRPr="009B7A6B">
        <w:rPr>
          <w:rFonts w:cs="Arial"/>
          <w:rtl/>
        </w:rPr>
        <w:t>אין מחזירין להם</w:t>
      </w:r>
      <w:r>
        <w:rPr>
          <w:rFonts w:cs="Arial" w:hint="cs"/>
          <w:rtl/>
        </w:rPr>
        <w:t>.</w:t>
      </w:r>
      <w:r w:rsidRPr="009B7A6B">
        <w:rPr>
          <w:rFonts w:cs="Arial"/>
          <w:rtl/>
        </w:rPr>
        <w:t xml:space="preserve"> לבעל</w:t>
      </w:r>
      <w:r>
        <w:rPr>
          <w:rFonts w:cs="Arial" w:hint="cs"/>
          <w:rtl/>
        </w:rPr>
        <w:t>,</w:t>
      </w:r>
      <w:r w:rsidRPr="009B7A6B">
        <w:rPr>
          <w:rFonts w:cs="Arial"/>
          <w:rtl/>
        </w:rPr>
        <w:t xml:space="preserve"> לפי שהוא כלוקח אחר השומא</w:t>
      </w:r>
      <w:r>
        <w:rPr>
          <w:rFonts w:cs="Arial" w:hint="cs"/>
          <w:rtl/>
        </w:rPr>
        <w:t>.</w:t>
      </w:r>
      <w:r w:rsidRPr="009B7A6B">
        <w:rPr>
          <w:rFonts w:cs="Arial"/>
          <w:rtl/>
        </w:rPr>
        <w:t xml:space="preserve"> לאשה</w:t>
      </w:r>
      <w:r>
        <w:rPr>
          <w:rFonts w:cs="Arial" w:hint="cs"/>
          <w:rtl/>
        </w:rPr>
        <w:t>,</w:t>
      </w:r>
      <w:r w:rsidRPr="009B7A6B">
        <w:rPr>
          <w:rFonts w:cs="Arial"/>
          <w:rtl/>
        </w:rPr>
        <w:t xml:space="preserve"> לפי שאנו חושבים אותה כאילו מכרה נכסיה</w:t>
      </w:r>
      <w:r>
        <w:rPr>
          <w:rFonts w:cs="Arial" w:hint="cs"/>
          <w:rtl/>
        </w:rPr>
        <w:t>.</w:t>
      </w:r>
      <w:r w:rsidRPr="009B7A6B">
        <w:rPr>
          <w:rFonts w:cs="Arial"/>
          <w:rtl/>
        </w:rPr>
        <w:t xml:space="preserve"> ואם היה הבעל כיורש היינו מחזירים לה לפי שלא היה הבעל יורש מחיים</w:t>
      </w:r>
      <w:r>
        <w:rPr>
          <w:rFonts w:cs="Arial" w:hint="cs"/>
          <w:rtl/>
        </w:rPr>
        <w:t>.</w:t>
      </w:r>
      <w:r w:rsidRPr="009B7A6B">
        <w:rPr>
          <w:rFonts w:cs="Arial"/>
          <w:rtl/>
        </w:rPr>
        <w:t xml:space="preserve"> אי נמי היינו מחזירין לו לפי שאף ליורש מחזירין</w:t>
      </w:r>
      <w:r>
        <w:rPr>
          <w:rFonts w:cs="Arial" w:hint="cs"/>
          <w:rtl/>
        </w:rPr>
        <w:t>.</w:t>
      </w:r>
      <w:r w:rsidRPr="009B7A6B">
        <w:rPr>
          <w:rFonts w:cs="Arial"/>
          <w:rtl/>
        </w:rPr>
        <w:t xml:space="preserve"> ומיהו אם מת הבעל בחייה ואח</w:t>
      </w:r>
      <w:r w:rsidR="00D028F6">
        <w:rPr>
          <w:rFonts w:cs="Arial" w:hint="cs"/>
          <w:rtl/>
        </w:rPr>
        <w:t>"</w:t>
      </w:r>
      <w:r w:rsidRPr="009B7A6B">
        <w:rPr>
          <w:rFonts w:cs="Arial"/>
          <w:rtl/>
        </w:rPr>
        <w:t xml:space="preserve">כ רצתה להחזיר דמים </w:t>
      </w:r>
      <w:r>
        <w:rPr>
          <w:rFonts w:cs="Arial" w:hint="cs"/>
          <w:rtl/>
        </w:rPr>
        <w:t xml:space="preserve">- </w:t>
      </w:r>
      <w:r w:rsidRPr="009B7A6B">
        <w:rPr>
          <w:rFonts w:cs="Arial"/>
          <w:rtl/>
        </w:rPr>
        <w:t>מחזירין לה</w:t>
      </w:r>
      <w:r>
        <w:rPr>
          <w:rFonts w:cs="Arial" w:hint="cs"/>
          <w:rtl/>
        </w:rPr>
        <w:t>.</w:t>
      </w:r>
      <w:r w:rsidRPr="009B7A6B">
        <w:rPr>
          <w:rFonts w:cs="Arial"/>
          <w:rtl/>
        </w:rPr>
        <w:t xml:space="preserve"> וכן אם החזירו לה דמים </w:t>
      </w:r>
      <w:r>
        <w:rPr>
          <w:rFonts w:cs="Arial" w:hint="cs"/>
          <w:rtl/>
        </w:rPr>
        <w:t xml:space="preserve">- </w:t>
      </w:r>
      <w:r w:rsidRPr="009B7A6B">
        <w:rPr>
          <w:rFonts w:cs="Arial"/>
          <w:rtl/>
        </w:rPr>
        <w:t>מחזרת קרקע</w:t>
      </w:r>
      <w:r>
        <w:rPr>
          <w:rFonts w:cs="Arial" w:hint="cs"/>
          <w:rtl/>
        </w:rPr>
        <w:t>.</w:t>
      </w:r>
      <w:r w:rsidRPr="009B7A6B">
        <w:rPr>
          <w:rFonts w:cs="Arial"/>
          <w:rtl/>
        </w:rPr>
        <w:t xml:space="preserve"> וכן נראה מדברי רבינו חננאל ז"ל</w:t>
      </w:r>
      <w:r>
        <w:rPr>
          <w:rFonts w:cs="Arial" w:hint="cs"/>
          <w:rtl/>
        </w:rPr>
        <w:t>.</w:t>
      </w:r>
    </w:p>
  </w:footnote>
  <w:footnote w:id="1445">
    <w:p w14:paraId="30CDE4FE" w14:textId="7E474494" w:rsidR="00DE2F5F" w:rsidRDefault="00DE2F5F" w:rsidP="000B7F47">
      <w:pPr>
        <w:pStyle w:val="a5"/>
        <w:rPr>
          <w:rtl/>
        </w:rPr>
      </w:pPr>
      <w:r>
        <w:rPr>
          <w:rStyle w:val="a7"/>
        </w:rPr>
        <w:footnoteRef/>
      </w:r>
      <w:r>
        <w:rPr>
          <w:rtl/>
        </w:rPr>
        <w:t xml:space="preserve"> </w:t>
      </w:r>
      <w:r w:rsidRPr="00E32C51">
        <w:rPr>
          <w:rFonts w:hint="cs"/>
          <w:u w:val="single"/>
          <w:rtl/>
        </w:rPr>
        <w:t>וקשה היאך פסק כאן כהרא"ש</w:t>
      </w:r>
      <w:r>
        <w:rPr>
          <w:rFonts w:hint="cs"/>
          <w:sz w:val="16"/>
          <w:szCs w:val="16"/>
          <w:u w:val="single"/>
          <w:rtl/>
        </w:rPr>
        <w:t xml:space="preserve"> (דמיירי שאשתו מתה)</w:t>
      </w:r>
      <w:r>
        <w:rPr>
          <w:rFonts w:hint="cs"/>
          <w:u w:val="single"/>
          <w:rtl/>
        </w:rPr>
        <w:t xml:space="preserve">, ובחו"מ (סי' קג ס"י) פסק </w:t>
      </w:r>
      <w:r w:rsidRPr="00E32C51">
        <w:rPr>
          <w:rFonts w:hint="cs"/>
          <w:u w:val="single"/>
          <w:rtl/>
        </w:rPr>
        <w:t>כהרמב"ם</w:t>
      </w:r>
      <w:r>
        <w:rPr>
          <w:rFonts w:hint="cs"/>
          <w:sz w:val="16"/>
          <w:szCs w:val="16"/>
          <w:u w:val="single"/>
          <w:rtl/>
        </w:rPr>
        <w:t xml:space="preserve"> (דמיירי שאשתו בחיים)</w:t>
      </w:r>
      <w:r w:rsidRPr="00E32C51">
        <w:rPr>
          <w:rFonts w:hint="cs"/>
          <w:u w:val="single"/>
          <w:rtl/>
        </w:rPr>
        <w:t>:</w:t>
      </w:r>
    </w:p>
    <w:p w14:paraId="65D6B738" w14:textId="65682DAB" w:rsidR="00DE2F5F" w:rsidRDefault="00DE2F5F" w:rsidP="009000E3">
      <w:pPr>
        <w:pStyle w:val="a5"/>
        <w:numPr>
          <w:ilvl w:val="0"/>
          <w:numId w:val="58"/>
        </w:numPr>
        <w:rPr>
          <w:rtl/>
        </w:rPr>
      </w:pPr>
      <w:r>
        <w:rPr>
          <w:rFonts w:cs="Arial" w:hint="cs"/>
          <w:rtl/>
        </w:rPr>
        <w:t>תומים</w:t>
      </w:r>
      <w:r>
        <w:rPr>
          <w:rFonts w:cs="Arial" w:hint="cs"/>
          <w:sz w:val="16"/>
          <w:szCs w:val="16"/>
          <w:rtl/>
        </w:rPr>
        <w:t xml:space="preserve"> (חו"מ סי' קג סקי"ז, וכן באורים סקל"ט)</w:t>
      </w:r>
      <w:r>
        <w:rPr>
          <w:rFonts w:cs="Arial" w:hint="cs"/>
          <w:rtl/>
        </w:rPr>
        <w:t>-</w:t>
      </w:r>
      <w:r w:rsidRPr="00F20C9C">
        <w:rPr>
          <w:rtl/>
        </w:rPr>
        <w:t xml:space="preserve"> </w:t>
      </w:r>
      <w:r>
        <w:rPr>
          <w:rFonts w:cs="Arial" w:hint="cs"/>
          <w:rtl/>
        </w:rPr>
        <w:t xml:space="preserve">בחו"מ (סי' קג) </w:t>
      </w:r>
      <w:r w:rsidRPr="00F20C9C">
        <w:rPr>
          <w:rFonts w:cs="Arial"/>
          <w:rtl/>
        </w:rPr>
        <w:t>מיירי בחיים של אשתו, ולכך אילו הוה כיורש</w:t>
      </w:r>
      <w:r w:rsidR="00D028F6">
        <w:rPr>
          <w:rFonts w:cs="Arial" w:hint="cs"/>
          <w:rtl/>
        </w:rPr>
        <w:t>,</w:t>
      </w:r>
      <w:r w:rsidRPr="00F20C9C">
        <w:rPr>
          <w:rFonts w:cs="Arial"/>
          <w:rtl/>
        </w:rPr>
        <w:t xml:space="preserve"> הוה מחויב להחזיר, דאין יורש אשתו מחיים כלל. והקשו, דבאה"ע סימן צ"א כתב המחבר סעיף ג' דמתה אשתו, משמע הא בחיי אשתו לא מיקרי לוקח. ונראה דאמרינן בגמרא דכתובות </w:t>
      </w:r>
      <w:r w:rsidR="00D028F6">
        <w:rPr>
          <w:rFonts w:cs="Arial" w:hint="cs"/>
          <w:rtl/>
        </w:rPr>
        <w:t>(</w:t>
      </w:r>
      <w:r w:rsidRPr="00F20C9C">
        <w:rPr>
          <w:rFonts w:cs="Arial"/>
          <w:rtl/>
        </w:rPr>
        <w:t>עח</w:t>
      </w:r>
      <w:r w:rsidR="00D028F6">
        <w:rPr>
          <w:rFonts w:cs="Arial" w:hint="cs"/>
          <w:rtl/>
        </w:rPr>
        <w:t>:)</w:t>
      </w:r>
      <w:r w:rsidRPr="00F20C9C">
        <w:rPr>
          <w:rFonts w:cs="Arial"/>
          <w:rtl/>
        </w:rPr>
        <w:t xml:space="preserve"> בהא דתניא במשנה משנשאת אלו ואלו מודים שאם מכרה ונתנה הבעל מוציא מיד לקוחות, ופריך הגמרא לימא תנינא לתקנת אושא דאמר רבי יוסי בר' חנינא באושא התקינו וכו', ומשני הגמרא מתניתין בחיים ולפירות, תקנת אושא לאחר מיתה ובגופה של קרקע</w:t>
      </w:r>
      <w:r w:rsidR="00D028F6">
        <w:rPr>
          <w:rFonts w:cs="Arial" w:hint="cs"/>
          <w:rtl/>
        </w:rPr>
        <w:t>.</w:t>
      </w:r>
      <w:r w:rsidRPr="00F20C9C">
        <w:rPr>
          <w:rFonts w:cs="Arial"/>
          <w:rtl/>
        </w:rPr>
        <w:t xml:space="preserve"> הרי דבחיים דהוי לוקח ומוציא מיד לקוחות הוא משנה שלימה, אבל לאחר מיתה היה מדינא דמשנה יורשה, ותקנו באושא דגם כן הוי כלוקח. ואם כן הגירסא בגמרא דידן (ב"מ לה</w:t>
      </w:r>
      <w:r w:rsidR="00D028F6">
        <w:rPr>
          <w:rFonts w:cs="Arial" w:hint="cs"/>
          <w:rtl/>
        </w:rPr>
        <w:t>.</w:t>
      </w:r>
      <w:r w:rsidRPr="00F20C9C">
        <w:rPr>
          <w:rFonts w:cs="Arial"/>
          <w:rtl/>
        </w:rPr>
        <w:t>) שמו מיניה דאשה וכו' ומתה הבעל לוקח הוה מדרבי יוסי בר' חנינא וכו' גירסא נכונה, דבחיים אין זה לוקח מכח תקנות אושא, רק תקנות קדומה ומשנה שלימה הוא, אבל במותה דליכא כאן משנה, והו"א דלאחר כן יורש הוי, וקאמר אפילו לאחר מיתה לוקח הוה מתקנות אושא וכו', ואתי שפיר. וברור דהך ומתה רבוותא, דתו ליכא תקנת המשנה. וא</w:t>
      </w:r>
      <w:r w:rsidR="00D028F6">
        <w:rPr>
          <w:rFonts w:cs="Arial" w:hint="cs"/>
          <w:rtl/>
        </w:rPr>
        <w:t>"</w:t>
      </w:r>
      <w:r w:rsidRPr="00F20C9C">
        <w:rPr>
          <w:rFonts w:cs="Arial"/>
          <w:rtl/>
        </w:rPr>
        <w:t>כ לדינא, הן בחיי אשתו והן במות אשתו הוי כלוקח, ואדרבא בחייה לוקח מכח משנה, ובמותה מכח תקנות אושא, ולכך סתם המחבר פה בכל גווני, רק שם באבן העזר דכל ענין הסימן הוא להודיענו תקנות אושא, כנראה שם מכל ענין הסימן, לא דיבר מן חיי אשתו, דזהו בכלל תקנות המשנה, ואין ענינו לתקנות אושא שדיבר בו בסימן ההוא, ולכך אמר דתקנת אושא הוא לאחר מיתת אשתו, דבזו צריכין לתקנת אושא להיותו גם כן ללוקח, וזה פשוט וברור ובחנם טרחו האחרונים.</w:t>
      </w:r>
      <w:r>
        <w:rPr>
          <w:rFonts w:hint="cs"/>
          <w:rtl/>
        </w:rPr>
        <w:t xml:space="preserve"> </w:t>
      </w:r>
      <w:bookmarkStart w:id="13" w:name="_Hlk66010833"/>
      <w:r w:rsidRPr="009C1A8E">
        <w:rPr>
          <w:rFonts w:hint="cs"/>
          <w:sz w:val="16"/>
          <w:szCs w:val="16"/>
          <w:rtl/>
        </w:rPr>
        <w:t>(וכ"כ הב"ש (סק"ו) ד</w:t>
      </w:r>
      <w:r w:rsidRPr="009C1A8E">
        <w:rPr>
          <w:rFonts w:cs="Arial"/>
          <w:sz w:val="16"/>
          <w:szCs w:val="16"/>
          <w:rtl/>
        </w:rPr>
        <w:t xml:space="preserve">מ"ש הטור </w:t>
      </w:r>
      <w:r w:rsidRPr="009C1A8E">
        <w:rPr>
          <w:rFonts w:cs="Arial" w:hint="cs"/>
          <w:sz w:val="16"/>
          <w:szCs w:val="16"/>
          <w:rtl/>
        </w:rPr>
        <w:t>'</w:t>
      </w:r>
      <w:r w:rsidRPr="009C1A8E">
        <w:rPr>
          <w:rFonts w:cs="Arial"/>
          <w:sz w:val="16"/>
          <w:szCs w:val="16"/>
          <w:rtl/>
        </w:rPr>
        <w:t>ומתה</w:t>
      </w:r>
      <w:r w:rsidRPr="009C1A8E">
        <w:rPr>
          <w:rFonts w:cs="Arial" w:hint="cs"/>
          <w:sz w:val="16"/>
          <w:szCs w:val="16"/>
          <w:rtl/>
        </w:rPr>
        <w:t>' -</w:t>
      </w:r>
      <w:r w:rsidRPr="009C1A8E">
        <w:rPr>
          <w:rFonts w:cs="Arial"/>
          <w:sz w:val="16"/>
          <w:szCs w:val="16"/>
          <w:rtl/>
        </w:rPr>
        <w:t xml:space="preserve"> לאו דוקא</w:t>
      </w:r>
      <w:r w:rsidRPr="009C1A8E">
        <w:rPr>
          <w:rFonts w:cs="Arial" w:hint="cs"/>
          <w:sz w:val="16"/>
          <w:szCs w:val="16"/>
          <w:rtl/>
        </w:rPr>
        <w:t>,</w:t>
      </w:r>
      <w:r w:rsidRPr="009C1A8E">
        <w:rPr>
          <w:rFonts w:cs="Arial"/>
          <w:sz w:val="16"/>
          <w:szCs w:val="16"/>
          <w:rtl/>
        </w:rPr>
        <w:t xml:space="preserve"> וכן הוא דעת הש"ך</w:t>
      </w:r>
      <w:r w:rsidRPr="009C1A8E">
        <w:rPr>
          <w:rFonts w:cs="Arial" w:hint="cs"/>
          <w:sz w:val="16"/>
          <w:szCs w:val="16"/>
          <w:rtl/>
        </w:rPr>
        <w:t xml:space="preserve"> (חו"מ סי' קג סקי"ח).</w:t>
      </w:r>
      <w:r w:rsidRPr="009C1A8E">
        <w:rPr>
          <w:rFonts w:cs="Arial"/>
          <w:sz w:val="16"/>
          <w:szCs w:val="16"/>
          <w:rtl/>
        </w:rPr>
        <w:t xml:space="preserve"> וכל זה איירי בנ"מ</w:t>
      </w:r>
      <w:r w:rsidR="00D028F6">
        <w:rPr>
          <w:rFonts w:cs="Arial" w:hint="cs"/>
          <w:sz w:val="16"/>
          <w:szCs w:val="16"/>
          <w:rtl/>
        </w:rPr>
        <w:t>,</w:t>
      </w:r>
      <w:r w:rsidRPr="009C1A8E">
        <w:rPr>
          <w:rFonts w:cs="Arial"/>
          <w:sz w:val="16"/>
          <w:szCs w:val="16"/>
          <w:rtl/>
        </w:rPr>
        <w:t xml:space="preserve"> אבל נצ"ב לכ"ע אפי' בחיי' דינו כלוקח וכמ"ש בסמוך וכ"כ בש"ך שם</w:t>
      </w:r>
      <w:r w:rsidRPr="009C1A8E">
        <w:rPr>
          <w:rFonts w:hint="cs"/>
          <w:sz w:val="16"/>
          <w:szCs w:val="16"/>
          <w:rtl/>
        </w:rPr>
        <w:t>)</w:t>
      </w:r>
      <w:bookmarkEnd w:id="13"/>
    </w:p>
  </w:footnote>
  <w:footnote w:id="1446">
    <w:p w14:paraId="3822E8C8" w14:textId="0EC29EA0" w:rsidR="00901ED7" w:rsidRDefault="00901ED7">
      <w:pPr>
        <w:pStyle w:val="a5"/>
      </w:pPr>
      <w:r>
        <w:rPr>
          <w:rStyle w:val="a7"/>
        </w:rPr>
        <w:footnoteRef/>
      </w:r>
      <w:r>
        <w:rPr>
          <w:rtl/>
        </w:rPr>
        <w:t xml:space="preserve"> </w:t>
      </w:r>
      <w:r>
        <w:rPr>
          <w:rFonts w:hint="cs"/>
          <w:rtl/>
        </w:rPr>
        <w:t>סימן - טירפא לפני קידושין.</w:t>
      </w:r>
      <w:r w:rsidR="006D4F27">
        <w:rPr>
          <w:rFonts w:hint="cs"/>
          <w:rtl/>
        </w:rPr>
        <w:t xml:space="preserve"> וכן - קבעו לפי טובתו</w:t>
      </w:r>
      <w:r w:rsidR="006D4F27">
        <w:rPr>
          <w:rFonts w:hint="cs"/>
          <w:sz w:val="16"/>
          <w:szCs w:val="16"/>
          <w:rtl/>
        </w:rPr>
        <w:t xml:space="preserve"> (פעם כלוקח ופעם כיורש)</w:t>
      </w:r>
      <w:r w:rsidR="006D4F27">
        <w:rPr>
          <w:rFonts w:hint="cs"/>
          <w:rtl/>
        </w:rPr>
        <w:t>.</w:t>
      </w:r>
    </w:p>
  </w:footnote>
  <w:footnote w:id="1447">
    <w:p w14:paraId="22497F6F" w14:textId="435E4ECD" w:rsidR="00DE2F5F" w:rsidRDefault="00DE2F5F" w:rsidP="004F175F">
      <w:pPr>
        <w:pStyle w:val="a5"/>
        <w:rPr>
          <w:rtl/>
        </w:rPr>
      </w:pPr>
      <w:r>
        <w:rPr>
          <w:rStyle w:val="a7"/>
        </w:rPr>
        <w:footnoteRef/>
      </w:r>
      <w:r>
        <w:rPr>
          <w:rtl/>
        </w:rPr>
        <w:t xml:space="preserve"> </w:t>
      </w:r>
      <w:r>
        <w:rPr>
          <w:rFonts w:cs="Arial" w:hint="cs"/>
          <w:rtl/>
        </w:rPr>
        <w:t>אב שמת בלא בנים ו</w:t>
      </w:r>
      <w:r w:rsidRPr="004F175F">
        <w:rPr>
          <w:rFonts w:cs="Arial"/>
          <w:rtl/>
        </w:rPr>
        <w:t>לא ציוה לבנ</w:t>
      </w:r>
      <w:r>
        <w:rPr>
          <w:rFonts w:cs="Arial" w:hint="cs"/>
          <w:rtl/>
        </w:rPr>
        <w:t>ותיו</w:t>
      </w:r>
      <w:r w:rsidRPr="004F175F">
        <w:rPr>
          <w:rFonts w:cs="Arial"/>
          <w:rtl/>
        </w:rPr>
        <w:t xml:space="preserve"> מה לעשות בנכסיו</w:t>
      </w:r>
      <w:r>
        <w:rPr>
          <w:rFonts w:hint="cs"/>
          <w:rtl/>
        </w:rPr>
        <w:t>.</w:t>
      </w:r>
    </w:p>
  </w:footnote>
  <w:footnote w:id="1448">
    <w:p w14:paraId="4B799539" w14:textId="3A3AC491" w:rsidR="00DE2F5F" w:rsidRDefault="00DE2F5F" w:rsidP="00187118">
      <w:pPr>
        <w:pStyle w:val="a5"/>
        <w:rPr>
          <w:rtl/>
        </w:rPr>
      </w:pPr>
      <w:r>
        <w:rPr>
          <w:rStyle w:val="a7"/>
        </w:rPr>
        <w:footnoteRef/>
      </w:r>
      <w:r>
        <w:rPr>
          <w:rtl/>
        </w:rPr>
        <w:t xml:space="preserve"> </w:t>
      </w:r>
      <w:r>
        <w:rPr>
          <w:rFonts w:cs="Arial" w:hint="cs"/>
          <w:rtl/>
        </w:rPr>
        <w:t>לאיש</w:t>
      </w:r>
      <w:r w:rsidRPr="004F175F">
        <w:rPr>
          <w:rFonts w:cs="Arial"/>
          <w:rtl/>
        </w:rPr>
        <w:t xml:space="preserve"> </w:t>
      </w:r>
      <w:r>
        <w:rPr>
          <w:rFonts w:cs="Arial" w:hint="cs"/>
          <w:rtl/>
        </w:rPr>
        <w:t>ל</w:t>
      </w:r>
      <w:r w:rsidRPr="004F175F">
        <w:rPr>
          <w:rFonts w:cs="Arial"/>
          <w:rtl/>
        </w:rPr>
        <w:t>אחר מות אביהם, ונטלו את הוצאות הנישואין מן הירושה, קודם החלוקה</w:t>
      </w:r>
      <w:r>
        <w:rPr>
          <w:rFonts w:hint="cs"/>
          <w:rtl/>
        </w:rPr>
        <w:t>.</w:t>
      </w:r>
    </w:p>
  </w:footnote>
  <w:footnote w:id="1449">
    <w:p w14:paraId="514E8AC7" w14:textId="1805FC8E" w:rsidR="00DE2F5F" w:rsidRPr="004F175F" w:rsidRDefault="00DE2F5F" w:rsidP="00187118">
      <w:pPr>
        <w:pStyle w:val="a5"/>
        <w:rPr>
          <w:rtl/>
        </w:rPr>
      </w:pPr>
      <w:r>
        <w:rPr>
          <w:rStyle w:val="a7"/>
        </w:rPr>
        <w:footnoteRef/>
      </w:r>
      <w:r>
        <w:rPr>
          <w:rtl/>
        </w:rPr>
        <w:t xml:space="preserve"> </w:t>
      </w:r>
      <w:r w:rsidRPr="004F175F">
        <w:rPr>
          <w:rFonts w:cs="Arial"/>
          <w:rtl/>
        </w:rPr>
        <w:t>כלומר, אף הם יטלו הוצאות נישואיהם מתוך הירושה קודם החלוקה</w:t>
      </w:r>
      <w:r w:rsidRPr="004F175F">
        <w:rPr>
          <w:rFonts w:hint="cs"/>
          <w:sz w:val="16"/>
          <w:szCs w:val="16"/>
          <w:rtl/>
        </w:rPr>
        <w:t xml:space="preserve"> (פירוש חברותא)</w:t>
      </w:r>
      <w:r>
        <w:rPr>
          <w:rFonts w:hint="cs"/>
          <w:rtl/>
        </w:rPr>
        <w:t>.</w:t>
      </w:r>
    </w:p>
  </w:footnote>
  <w:footnote w:id="1450">
    <w:p w14:paraId="1861979F" w14:textId="4E845E52" w:rsidR="00DE2F5F" w:rsidRDefault="00DE2F5F" w:rsidP="00187118">
      <w:pPr>
        <w:pStyle w:val="a5"/>
        <w:rPr>
          <w:rtl/>
        </w:rPr>
      </w:pPr>
      <w:r>
        <w:rPr>
          <w:rStyle w:val="a7"/>
        </w:rPr>
        <w:footnoteRef/>
      </w:r>
      <w:r>
        <w:rPr>
          <w:rtl/>
        </w:rPr>
        <w:t xml:space="preserve"> </w:t>
      </w:r>
      <w:r w:rsidRPr="004F175F">
        <w:rPr>
          <w:rFonts w:cs="Arial"/>
          <w:rtl/>
        </w:rPr>
        <w:t>נשאו הגדול</w:t>
      </w:r>
      <w:r>
        <w:rPr>
          <w:rFonts w:cs="Arial" w:hint="cs"/>
          <w:rtl/>
        </w:rPr>
        <w:t>ות</w:t>
      </w:r>
      <w:r w:rsidRPr="004F175F">
        <w:rPr>
          <w:rFonts w:cs="Arial"/>
          <w:rtl/>
        </w:rPr>
        <w:t xml:space="preserve"> קודם מיתת אביהם</w:t>
      </w:r>
      <w:r>
        <w:rPr>
          <w:rFonts w:hint="cs"/>
          <w:rtl/>
        </w:rPr>
        <w:t>.</w:t>
      </w:r>
    </w:p>
  </w:footnote>
  <w:footnote w:id="1451">
    <w:p w14:paraId="3D882F72" w14:textId="50AF9CB8" w:rsidR="00DE2F5F" w:rsidRDefault="00DE2F5F" w:rsidP="00187118">
      <w:pPr>
        <w:pStyle w:val="a5"/>
        <w:rPr>
          <w:rtl/>
        </w:rPr>
      </w:pPr>
      <w:r>
        <w:rPr>
          <w:rStyle w:val="a7"/>
        </w:rPr>
        <w:footnoteRef/>
      </w:r>
      <w:r>
        <w:rPr>
          <w:rtl/>
        </w:rPr>
        <w:t xml:space="preserve"> </w:t>
      </w:r>
      <w:r w:rsidRPr="004F175F">
        <w:rPr>
          <w:rFonts w:cs="Arial"/>
          <w:rtl/>
        </w:rPr>
        <w:t>ואין זה בכלל הירושה</w:t>
      </w:r>
      <w:r>
        <w:rPr>
          <w:rFonts w:cs="Arial" w:hint="cs"/>
          <w:rtl/>
        </w:rPr>
        <w:t xml:space="preserve"> </w:t>
      </w:r>
      <w:r w:rsidRPr="004F175F">
        <w:rPr>
          <w:rFonts w:hint="cs"/>
          <w:sz w:val="16"/>
          <w:szCs w:val="16"/>
          <w:rtl/>
        </w:rPr>
        <w:t>(פירוש חברותא)</w:t>
      </w:r>
      <w:r>
        <w:rPr>
          <w:rFonts w:hint="cs"/>
          <w:rtl/>
        </w:rPr>
        <w:t>.</w:t>
      </w:r>
    </w:p>
  </w:footnote>
  <w:footnote w:id="1452">
    <w:p w14:paraId="50279F45" w14:textId="7389D3AD" w:rsidR="00DE2F5F" w:rsidRDefault="00DE2F5F" w:rsidP="00187118">
      <w:pPr>
        <w:pStyle w:val="a5"/>
        <w:rPr>
          <w:rtl/>
        </w:rPr>
      </w:pPr>
      <w:r>
        <w:rPr>
          <w:rStyle w:val="a7"/>
        </w:rPr>
        <w:footnoteRef/>
      </w:r>
      <w:r>
        <w:rPr>
          <w:rtl/>
        </w:rPr>
        <w:t xml:space="preserve"> </w:t>
      </w:r>
      <w:r w:rsidRPr="004F175F">
        <w:rPr>
          <w:rFonts w:cs="Arial"/>
          <w:rtl/>
        </w:rPr>
        <w:t>כלומר, יוציאו הקטנות מהבעל את חלקם המגיע להם</w:t>
      </w:r>
      <w:r>
        <w:rPr>
          <w:rFonts w:cs="Arial" w:hint="cs"/>
          <w:rtl/>
        </w:rPr>
        <w:t>.</w:t>
      </w:r>
      <w:r w:rsidRPr="004F175F">
        <w:rPr>
          <w:rFonts w:cs="Arial"/>
          <w:rtl/>
        </w:rPr>
        <w:t xml:space="preserve"> ומשמע דהוי כיורש</w:t>
      </w:r>
      <w:r>
        <w:rPr>
          <w:rFonts w:hint="cs"/>
          <w:rtl/>
        </w:rPr>
        <w:t xml:space="preserve"> </w:t>
      </w:r>
      <w:r w:rsidRPr="004F175F">
        <w:rPr>
          <w:rFonts w:hint="cs"/>
          <w:sz w:val="16"/>
          <w:szCs w:val="16"/>
          <w:rtl/>
        </w:rPr>
        <w:t>(פירוש חברותא)</w:t>
      </w:r>
      <w:r>
        <w:rPr>
          <w:rFonts w:hint="cs"/>
          <w:rtl/>
        </w:rPr>
        <w:t>.</w:t>
      </w:r>
    </w:p>
  </w:footnote>
  <w:footnote w:id="1453">
    <w:p w14:paraId="35AACC66" w14:textId="52E2345D" w:rsidR="00DE2F5F" w:rsidRDefault="00DE2F5F" w:rsidP="00187118">
      <w:pPr>
        <w:pStyle w:val="a5"/>
        <w:rPr>
          <w:rtl/>
        </w:rPr>
      </w:pPr>
      <w:r>
        <w:rPr>
          <w:rStyle w:val="a7"/>
        </w:rPr>
        <w:footnoteRef/>
      </w:r>
      <w:r>
        <w:rPr>
          <w:rtl/>
        </w:rPr>
        <w:t xml:space="preserve"> </w:t>
      </w:r>
      <w:r w:rsidRPr="006948E0">
        <w:rPr>
          <w:rFonts w:cs="Arial"/>
          <w:rtl/>
        </w:rPr>
        <w:t>כלומר, אין הקטנות יכולות להוציא ממון מהבעל, אלא יכולות להנשא מהממון הנשאר בתפוסת הבית</w:t>
      </w:r>
      <w:r>
        <w:rPr>
          <w:rFonts w:hint="cs"/>
          <w:rtl/>
        </w:rPr>
        <w:t>.</w:t>
      </w:r>
    </w:p>
  </w:footnote>
  <w:footnote w:id="1454">
    <w:p w14:paraId="11817CAB" w14:textId="187F30D9" w:rsidR="00DE2F5F" w:rsidRDefault="00DE2F5F" w:rsidP="00F64B58">
      <w:pPr>
        <w:pStyle w:val="a5"/>
        <w:rPr>
          <w:rtl/>
        </w:rPr>
      </w:pPr>
      <w:r>
        <w:rPr>
          <w:rStyle w:val="a7"/>
        </w:rPr>
        <w:footnoteRef/>
      </w:r>
      <w:r>
        <w:rPr>
          <w:rtl/>
        </w:rPr>
        <w:t xml:space="preserve"> </w:t>
      </w:r>
      <w:r>
        <w:rPr>
          <w:rFonts w:cs="Arial"/>
          <w:rtl/>
        </w:rPr>
        <w:t xml:space="preserve">וכתב הרא"ש בתחלת </w:t>
      </w:r>
      <w:r>
        <w:rPr>
          <w:rFonts w:cs="Arial" w:hint="cs"/>
          <w:rtl/>
        </w:rPr>
        <w:t>(</w:t>
      </w:r>
      <w:r>
        <w:rPr>
          <w:rFonts w:cs="Arial"/>
          <w:rtl/>
        </w:rPr>
        <w:t>כלל לט סי' א) אפילו לא מתה גובה חובות בשטר מנכסים שהכניסה לבעלה</w:t>
      </w:r>
      <w:r>
        <w:rPr>
          <w:rFonts w:cs="Arial" w:hint="cs"/>
          <w:rtl/>
        </w:rPr>
        <w:t xml:space="preserve">, </w:t>
      </w:r>
      <w:r w:rsidRPr="00A74279">
        <w:rPr>
          <w:rFonts w:cs="Arial" w:hint="cs"/>
          <w:b/>
          <w:bCs/>
          <w:rtl/>
        </w:rPr>
        <w:t>ב"י</w:t>
      </w:r>
      <w:r>
        <w:rPr>
          <w:rFonts w:cs="Arial" w:hint="cs"/>
          <w:rtl/>
        </w:rPr>
        <w:t>.</w:t>
      </w:r>
      <w:r w:rsidR="00A74279">
        <w:rPr>
          <w:rFonts w:cs="Arial" w:hint="cs"/>
          <w:rtl/>
        </w:rPr>
        <w:t xml:space="preserve">     </w:t>
      </w:r>
      <w:r w:rsidRPr="00EB3C2B">
        <w:rPr>
          <w:rFonts w:cs="Arial"/>
          <w:rtl/>
        </w:rPr>
        <w:t xml:space="preserve"> וע"ש סי' ד', עוד כתב שם בתשובה כל מה שימצא מנכסיה קרקע ומטלטלים ושטרות יתנו לבעל חוב בשטר חובו וכו' ואפשר דמיירי בכתבה לו אגב ולכן נוטל אף המטלטלין או אפשר לומר דלאחר מיתה שאין הבעל בא אלא משום ירושה אף מטלטלין נוטל וע"ש</w:t>
      </w:r>
      <w:r>
        <w:rPr>
          <w:rFonts w:cs="Arial" w:hint="cs"/>
          <w:rtl/>
        </w:rPr>
        <w:t xml:space="preserve">, </w:t>
      </w:r>
      <w:r w:rsidRPr="00A74279">
        <w:rPr>
          <w:rFonts w:cs="Arial" w:hint="cs"/>
          <w:b/>
          <w:bCs/>
          <w:rtl/>
        </w:rPr>
        <w:t>דרכ"מ</w:t>
      </w:r>
      <w:r>
        <w:rPr>
          <w:rFonts w:cs="Arial" w:hint="cs"/>
          <w:rtl/>
        </w:rPr>
        <w:t xml:space="preserve"> (אות ג).</w:t>
      </w:r>
    </w:p>
  </w:footnote>
  <w:footnote w:id="1455">
    <w:p w14:paraId="0DFA9424" w14:textId="72AF08FB" w:rsidR="00DE2F5F" w:rsidRDefault="00DE2F5F" w:rsidP="00CC0072">
      <w:pPr>
        <w:pStyle w:val="a5"/>
        <w:rPr>
          <w:rtl/>
        </w:rPr>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CC0072">
        <w:rPr>
          <w:rFonts w:cs="Arial"/>
          <w:rtl/>
        </w:rPr>
        <w:t>ולענין שאילתא דשאילנא פי' ר</w:t>
      </w:r>
      <w:r>
        <w:rPr>
          <w:rFonts w:cs="Arial" w:hint="cs"/>
          <w:rtl/>
        </w:rPr>
        <w:t>"ח</w:t>
      </w:r>
      <w:r w:rsidRPr="00CC0072">
        <w:rPr>
          <w:rFonts w:cs="Arial"/>
          <w:rtl/>
        </w:rPr>
        <w:t xml:space="preserve"> ורואה אני את דבריו לוותה ואכלה ועמדה וניסת מסתברא דכיורש הוי משום פסידא דמלוה וכן סוגיא דשמעתא דכל היכא דאיכא פסידא כגון פסידא דאלמנה דליכא למימר איהו דאפסיד אנפשיה שויוהו רבנן כיורש</w:t>
      </w:r>
      <w:r>
        <w:rPr>
          <w:rFonts w:cs="Arial" w:hint="cs"/>
          <w:rtl/>
        </w:rPr>
        <w:t>.</w:t>
      </w:r>
    </w:p>
  </w:footnote>
  <w:footnote w:id="1456">
    <w:p w14:paraId="216F2D1F" w14:textId="158D805D" w:rsidR="00DE2F5F" w:rsidRDefault="00DE2F5F" w:rsidP="00220A7D">
      <w:pPr>
        <w:pStyle w:val="a5"/>
        <w:rPr>
          <w:rtl/>
        </w:rPr>
      </w:pPr>
      <w:r>
        <w:rPr>
          <w:rStyle w:val="a7"/>
        </w:rPr>
        <w:footnoteRef/>
      </w:r>
      <w:r>
        <w:rPr>
          <w:rtl/>
        </w:rPr>
        <w:t xml:space="preserve"> </w:t>
      </w:r>
      <w:r w:rsidRPr="00220A7D">
        <w:rPr>
          <w:rFonts w:cs="Arial"/>
          <w:rtl/>
        </w:rPr>
        <w:t>הוא כדברי רבינו שרירא ורבינו האיי ז"ל שכתבתי למעלה</w:t>
      </w:r>
      <w:r>
        <w:rPr>
          <w:rFonts w:cs="Arial" w:hint="cs"/>
          <w:rtl/>
        </w:rPr>
        <w:t>,</w:t>
      </w:r>
      <w:r w:rsidRPr="00220A7D">
        <w:rPr>
          <w:rFonts w:cs="Arial"/>
          <w:rtl/>
        </w:rPr>
        <w:t xml:space="preserve"> אפילו בלותה משנשאת</w:t>
      </w:r>
      <w:r>
        <w:rPr>
          <w:rFonts w:cs="Arial" w:hint="cs"/>
          <w:rtl/>
        </w:rPr>
        <w:t>,</w:t>
      </w:r>
      <w:r w:rsidRPr="00220A7D">
        <w:rPr>
          <w:rFonts w:cs="Arial"/>
          <w:rtl/>
        </w:rPr>
        <w:t xml:space="preserve"> וכבר כתבתי בזה ואפשר שיצא להן בכאן ממ"ש בגמרא לותה ואכלה ועמדה ונשאת מהו דמשמע דלא מיבעיא להו אלא דוקא באכלה</w:t>
      </w:r>
      <w:r>
        <w:rPr>
          <w:rFonts w:cs="Arial" w:hint="cs"/>
          <w:rtl/>
        </w:rPr>
        <w:t>,</w:t>
      </w:r>
      <w:r w:rsidRPr="00220A7D">
        <w:rPr>
          <w:rFonts w:cs="Arial"/>
          <w:rtl/>
        </w:rPr>
        <w:t xml:space="preserve"> הא איתנהו בעין מחזירין למלוה</w:t>
      </w:r>
      <w:r>
        <w:rPr>
          <w:rFonts w:cs="Arial" w:hint="cs"/>
          <w:rtl/>
        </w:rPr>
        <w:t>, הה"מ (שם).</w:t>
      </w:r>
    </w:p>
  </w:footnote>
  <w:footnote w:id="1457">
    <w:p w14:paraId="68EF8D17" w14:textId="44740FB4" w:rsidR="00DE2F5F" w:rsidRDefault="00DE2F5F" w:rsidP="00A451D1">
      <w:pPr>
        <w:pStyle w:val="a5"/>
        <w:rPr>
          <w:rtl/>
        </w:rPr>
      </w:pPr>
      <w:r>
        <w:rPr>
          <w:rStyle w:val="a7"/>
        </w:rPr>
        <w:footnoteRef/>
      </w:r>
      <w:r>
        <w:rPr>
          <w:rFonts w:cs="Arial" w:hint="cs"/>
          <w:rtl/>
        </w:rPr>
        <w:t xml:space="preserve"> ועיין לקמן </w:t>
      </w:r>
      <w:r w:rsidRPr="00EB3C2B">
        <w:rPr>
          <w:rFonts w:cs="Arial"/>
          <w:rtl/>
        </w:rPr>
        <w:t>סימן קי"ח (עמ' צא - צב) אם כתב לה הבעל שטר מתנה אם בעל חוב גובה מאותו שטר</w:t>
      </w:r>
      <w:r>
        <w:rPr>
          <w:rFonts w:cs="Arial" w:hint="cs"/>
          <w:rtl/>
        </w:rPr>
        <w:t>.</w:t>
      </w:r>
      <w:r w:rsidRPr="00EB3C2B">
        <w:rPr>
          <w:rFonts w:cs="Arial"/>
          <w:rtl/>
        </w:rPr>
        <w:t xml:space="preserve"> וע"ל הרבה חילוקים מדינים אלו</w:t>
      </w:r>
      <w:r>
        <w:rPr>
          <w:rFonts w:cs="Arial" w:hint="cs"/>
          <w:rtl/>
        </w:rPr>
        <w:t>, דרכ"מ (אות ב).</w:t>
      </w:r>
    </w:p>
  </w:footnote>
  <w:footnote w:id="1458">
    <w:p w14:paraId="4AD42B5B" w14:textId="5C6E2E02" w:rsidR="00DE2F5F" w:rsidRDefault="00DE2F5F" w:rsidP="00D20F4F">
      <w:pPr>
        <w:pStyle w:val="a5"/>
        <w:rPr>
          <w:rtl/>
        </w:rPr>
      </w:pPr>
      <w:r>
        <w:rPr>
          <w:rStyle w:val="a7"/>
        </w:rPr>
        <w:footnoteRef/>
      </w:r>
      <w:r>
        <w:rPr>
          <w:rtl/>
        </w:rPr>
        <w:t xml:space="preserve"> </w:t>
      </w:r>
      <w:r>
        <w:rPr>
          <w:rFonts w:cs="Arial" w:hint="cs"/>
          <w:rtl/>
        </w:rPr>
        <w:t>וכתב שכן דעת ה</w:t>
      </w:r>
      <w:r>
        <w:rPr>
          <w:rFonts w:cs="Arial"/>
          <w:rtl/>
        </w:rPr>
        <w:t xml:space="preserve">תוס' </w:t>
      </w:r>
      <w:r>
        <w:rPr>
          <w:rFonts w:cs="Arial" w:hint="cs"/>
          <w:rtl/>
        </w:rPr>
        <w:t>(</w:t>
      </w:r>
      <w:r>
        <w:rPr>
          <w:rFonts w:cs="Arial"/>
          <w:rtl/>
        </w:rPr>
        <w:t>פ' המקבל קד שם</w:t>
      </w:r>
      <w:r>
        <w:rPr>
          <w:rFonts w:cs="Arial" w:hint="cs"/>
          <w:rtl/>
        </w:rPr>
        <w:t>)</w:t>
      </w:r>
      <w:r>
        <w:rPr>
          <w:rFonts w:cs="Arial"/>
          <w:rtl/>
        </w:rPr>
        <w:t xml:space="preserve"> ומהרי"ק </w:t>
      </w:r>
      <w:r>
        <w:rPr>
          <w:rFonts w:cs="Arial" w:hint="cs"/>
          <w:rtl/>
        </w:rPr>
        <w:t>(</w:t>
      </w:r>
      <w:r>
        <w:rPr>
          <w:rFonts w:cs="Arial"/>
          <w:rtl/>
        </w:rPr>
        <w:t>שורש י"ח</w:t>
      </w:r>
      <w:r>
        <w:rPr>
          <w:rFonts w:cs="Arial" w:hint="cs"/>
          <w:rtl/>
        </w:rPr>
        <w:t>),</w:t>
      </w:r>
      <w:r>
        <w:rPr>
          <w:rFonts w:cs="Arial"/>
          <w:rtl/>
        </w:rPr>
        <w:t xml:space="preserve"> ולא כר"ב שהביא המרדכי שם</w:t>
      </w:r>
      <w:r>
        <w:rPr>
          <w:rFonts w:cs="Arial" w:hint="cs"/>
          <w:rtl/>
        </w:rPr>
        <w:t>.</w:t>
      </w:r>
    </w:p>
  </w:footnote>
  <w:footnote w:id="1459">
    <w:p w14:paraId="54DB7134" w14:textId="33EB8156" w:rsidR="00DE2F5F" w:rsidRPr="004F7064" w:rsidRDefault="00DE2F5F" w:rsidP="004F7064">
      <w:pPr>
        <w:pStyle w:val="a5"/>
        <w:rPr>
          <w:rFonts w:cs="Arial"/>
          <w:rtl/>
        </w:rPr>
      </w:pPr>
      <w:r>
        <w:rPr>
          <w:rStyle w:val="a7"/>
        </w:rPr>
        <w:footnoteRef/>
      </w:r>
      <w:r>
        <w:rPr>
          <w:rtl/>
        </w:rPr>
        <w:t xml:space="preserve"> </w:t>
      </w:r>
      <w:r w:rsidRPr="00EB3C2B">
        <w:rPr>
          <w:rFonts w:cs="Arial"/>
          <w:rtl/>
        </w:rPr>
        <w:t>וכתב עוד (סה. ד"ה שלח) דכל נזקין והפסדות וחובות ומקח שנעשה בין קודם זמן הנישואין בין תחת הבעל אינו גובה אפילו מגוף נכסי מלוג עכ"ל</w:t>
      </w:r>
      <w:r>
        <w:rPr>
          <w:rFonts w:cs="Arial" w:hint="cs"/>
          <w:rtl/>
        </w:rPr>
        <w:t>, דרכ"מ (אות ד).</w:t>
      </w:r>
    </w:p>
  </w:footnote>
  <w:footnote w:id="1460">
    <w:p w14:paraId="4692BD25" w14:textId="11A759ED" w:rsidR="00DE2F5F" w:rsidRDefault="00DE2F5F" w:rsidP="000B2E99">
      <w:pPr>
        <w:pStyle w:val="a5"/>
        <w:rPr>
          <w:rtl/>
        </w:rPr>
      </w:pPr>
      <w:r>
        <w:rPr>
          <w:rStyle w:val="a7"/>
        </w:rPr>
        <w:footnoteRef/>
      </w:r>
      <w:r>
        <w:rPr>
          <w:rtl/>
        </w:rPr>
        <w:t xml:space="preserve"> </w:t>
      </w:r>
      <w:r>
        <w:rPr>
          <w:rFonts w:cs="Arial"/>
          <w:rtl/>
        </w:rPr>
        <w:t>דהיינו דאינו יכול להוצי</w:t>
      </w:r>
      <w:r>
        <w:rPr>
          <w:rFonts w:cs="Arial" w:hint="cs"/>
          <w:rtl/>
        </w:rPr>
        <w:t>א</w:t>
      </w:r>
      <w:r>
        <w:rPr>
          <w:rFonts w:cs="Arial"/>
          <w:rtl/>
        </w:rPr>
        <w:t xml:space="preserve"> מהבעל אבל אם תפס המלוה אין מוציאים ממנו ועיין תשובת מהר"מ אלשיך סי' י"ז</w:t>
      </w:r>
      <w:r>
        <w:rPr>
          <w:rFonts w:hint="cs"/>
          <w:rtl/>
        </w:rPr>
        <w:t>, ב"ש (סק"ט).</w:t>
      </w:r>
    </w:p>
  </w:footnote>
  <w:footnote w:id="1461">
    <w:p w14:paraId="72BC8589" w14:textId="67E539E0" w:rsidR="00DE2F5F" w:rsidRDefault="00DE2F5F" w:rsidP="007218B0">
      <w:pPr>
        <w:pStyle w:val="a5"/>
        <w:rPr>
          <w:rtl/>
        </w:rPr>
      </w:pPr>
      <w:r>
        <w:rPr>
          <w:rStyle w:val="a7"/>
        </w:rPr>
        <w:footnoteRef/>
      </w:r>
      <w:r>
        <w:rPr>
          <w:rtl/>
        </w:rPr>
        <w:t xml:space="preserve"> </w:t>
      </w:r>
      <w:r>
        <w:rPr>
          <w:rFonts w:cs="Arial"/>
          <w:rtl/>
        </w:rPr>
        <w:t>הרשב"א פי' סוגיא זו דאיירי אפילו אם היא חי</w:t>
      </w:r>
      <w:r>
        <w:rPr>
          <w:rFonts w:cs="Arial" w:hint="cs"/>
          <w:rtl/>
        </w:rPr>
        <w:t>ה,</w:t>
      </w:r>
      <w:r>
        <w:rPr>
          <w:rFonts w:cs="Arial"/>
          <w:rtl/>
        </w:rPr>
        <w:t xml:space="preserve"> ש"מ דס"ל אפילו בחייה דינו כלוקח כמ"ש בסמוך</w:t>
      </w:r>
      <w:r>
        <w:rPr>
          <w:rFonts w:cs="Arial" w:hint="cs"/>
          <w:rtl/>
        </w:rPr>
        <w:t>.</w:t>
      </w:r>
      <w:r>
        <w:rPr>
          <w:rFonts w:cs="Arial"/>
          <w:rtl/>
        </w:rPr>
        <w:t xml:space="preserve"> והרמב"ם דס"ל שומא אפילו בחייה איירי הסוגיא</w:t>
      </w:r>
      <w:r>
        <w:rPr>
          <w:rFonts w:cs="Arial" w:hint="cs"/>
          <w:rtl/>
        </w:rPr>
        <w:t>,</w:t>
      </w:r>
      <w:r>
        <w:rPr>
          <w:rFonts w:cs="Arial"/>
          <w:rtl/>
        </w:rPr>
        <w:t xml:space="preserve"> וכן משמע מדבריו ס"פ כ"ו ה"מ</w:t>
      </w:r>
      <w:r>
        <w:rPr>
          <w:rFonts w:cs="Arial" w:hint="cs"/>
          <w:rtl/>
        </w:rPr>
        <w:t xml:space="preserve"> </w:t>
      </w:r>
      <w:r>
        <w:rPr>
          <w:rFonts w:cs="Arial" w:hint="cs"/>
          <w:sz w:val="16"/>
          <w:szCs w:val="16"/>
          <w:rtl/>
        </w:rPr>
        <w:t>{וכ"כ הב"י כאן בשם הרא"ש}</w:t>
      </w:r>
      <w:r>
        <w:rPr>
          <w:rFonts w:cs="Arial" w:hint="cs"/>
          <w:rtl/>
        </w:rPr>
        <w:t>.</w:t>
      </w:r>
      <w:r>
        <w:rPr>
          <w:rFonts w:cs="Arial"/>
          <w:rtl/>
        </w:rPr>
        <w:t xml:space="preserve"> והמחבר שכתב כאן סתם דאינה נגבי' מהבעל משמע אפי' בחייה</w:t>
      </w:r>
      <w:r>
        <w:rPr>
          <w:rFonts w:cs="Arial" w:hint="cs"/>
          <w:rtl/>
        </w:rPr>
        <w:t>.</w:t>
      </w:r>
      <w:r>
        <w:rPr>
          <w:rFonts w:cs="Arial"/>
          <w:rtl/>
        </w:rPr>
        <w:t xml:space="preserve"> ובסמוך כתב ונשאת ומתה וכו'</w:t>
      </w:r>
      <w:r>
        <w:rPr>
          <w:rFonts w:cs="Arial" w:hint="cs"/>
          <w:rtl/>
        </w:rPr>
        <w:t>,</w:t>
      </w:r>
      <w:r>
        <w:rPr>
          <w:rFonts w:cs="Arial"/>
          <w:rtl/>
        </w:rPr>
        <w:t xml:space="preserve"> ע"כ צ"ל דס"ל דשומא ל"ד לדין פרעון ודוחק הוא לחלק בין פרעון לשומא </w:t>
      </w:r>
      <w:r w:rsidRPr="00D20F4F">
        <w:rPr>
          <w:rFonts w:cs="Arial" w:hint="cs"/>
          <w:sz w:val="16"/>
          <w:szCs w:val="16"/>
          <w:rtl/>
        </w:rPr>
        <w:t>(</w:t>
      </w:r>
      <w:r w:rsidRPr="00D20F4F">
        <w:rPr>
          <w:rFonts w:cs="Arial"/>
          <w:sz w:val="16"/>
          <w:szCs w:val="16"/>
          <w:rtl/>
        </w:rPr>
        <w:t>וכן הסמ"ע ס"ס קי"ב משוה דין שומא לדין פרעון מ"ה הקשה ממ"ש שם בש"ע על מ"ש ס"ס ק"ג</w:t>
      </w:r>
      <w:r>
        <w:rPr>
          <w:rFonts w:cs="Arial" w:hint="cs"/>
          <w:sz w:val="16"/>
          <w:szCs w:val="16"/>
          <w:rtl/>
        </w:rPr>
        <w:t>,</w:t>
      </w:r>
      <w:r w:rsidRPr="00D20F4F">
        <w:rPr>
          <w:rFonts w:cs="Arial"/>
          <w:sz w:val="16"/>
          <w:szCs w:val="16"/>
          <w:rtl/>
        </w:rPr>
        <w:t xml:space="preserve"> היינו בסי' קי"ב אית' ראובן שהלוה לא' ולא כתב ליה דאקני והלוה מת והניח בת ונשאת א"י לגבות מהבעל משום דדינו כלוקח</w:t>
      </w:r>
      <w:r>
        <w:rPr>
          <w:rFonts w:cs="Arial" w:hint="cs"/>
          <w:sz w:val="16"/>
          <w:szCs w:val="16"/>
          <w:rtl/>
        </w:rPr>
        <w:t>,</w:t>
      </w:r>
      <w:r w:rsidRPr="00D20F4F">
        <w:rPr>
          <w:rFonts w:cs="Arial"/>
          <w:sz w:val="16"/>
          <w:szCs w:val="16"/>
          <w:rtl/>
        </w:rPr>
        <w:t xml:space="preserve"> ומשמע אפי' בחייה דינו כלוקח</w:t>
      </w:r>
      <w:r>
        <w:rPr>
          <w:rFonts w:cs="Arial" w:hint="cs"/>
          <w:sz w:val="16"/>
          <w:szCs w:val="16"/>
          <w:rtl/>
        </w:rPr>
        <w:t>.</w:t>
      </w:r>
      <w:r w:rsidRPr="00D20F4F">
        <w:rPr>
          <w:rFonts w:cs="Arial"/>
          <w:sz w:val="16"/>
          <w:szCs w:val="16"/>
          <w:rtl/>
        </w:rPr>
        <w:t xml:space="preserve"> ובס"ס ק"ג בשומא כתב הרב רמ"א אחר מותה דינו כלוקח ולא בחייה</w:t>
      </w:r>
      <w:r>
        <w:rPr>
          <w:rFonts w:cs="Arial" w:hint="cs"/>
          <w:sz w:val="16"/>
          <w:szCs w:val="16"/>
          <w:rtl/>
        </w:rPr>
        <w:t>.</w:t>
      </w:r>
      <w:r w:rsidRPr="00D20F4F">
        <w:rPr>
          <w:rFonts w:cs="Arial"/>
          <w:sz w:val="16"/>
          <w:szCs w:val="16"/>
          <w:rtl/>
        </w:rPr>
        <w:t xml:space="preserve"> ותירץ </w:t>
      </w:r>
      <w:r>
        <w:rPr>
          <w:rFonts w:cs="Arial" w:hint="cs"/>
          <w:sz w:val="16"/>
          <w:szCs w:val="16"/>
          <w:rtl/>
        </w:rPr>
        <w:t>ד</w:t>
      </w:r>
      <w:r w:rsidRPr="00D20F4F">
        <w:rPr>
          <w:rFonts w:cs="Arial"/>
          <w:sz w:val="16"/>
          <w:szCs w:val="16"/>
          <w:rtl/>
        </w:rPr>
        <w:t>בס"ס קי"ב איירי בנצ"ב אז דינו כלוקח לכ"ע אפי' בחייה</w:t>
      </w:r>
      <w:r>
        <w:rPr>
          <w:rFonts w:cs="Arial" w:hint="cs"/>
          <w:sz w:val="16"/>
          <w:szCs w:val="16"/>
          <w:rtl/>
        </w:rPr>
        <w:t>.</w:t>
      </w:r>
      <w:r w:rsidRPr="00D20F4F">
        <w:rPr>
          <w:rFonts w:cs="Arial"/>
          <w:sz w:val="16"/>
          <w:szCs w:val="16"/>
          <w:rtl/>
        </w:rPr>
        <w:t xml:space="preserve"> ולדידיה א"י איך מתרץ כאן דברי הש"ע</w:t>
      </w:r>
      <w:r>
        <w:rPr>
          <w:rFonts w:cs="Arial" w:hint="cs"/>
          <w:sz w:val="16"/>
          <w:szCs w:val="16"/>
          <w:rtl/>
        </w:rPr>
        <w:t>.</w:t>
      </w:r>
      <w:r w:rsidRPr="007218B0">
        <w:rPr>
          <w:rFonts w:cs="Arial"/>
          <w:sz w:val="16"/>
          <w:szCs w:val="16"/>
          <w:rtl/>
        </w:rPr>
        <w:t xml:space="preserve"> מיהו לדינ' נ"ל ג"כ כוותיה דאיירי שם בנצ"ב ולא מטעמו אלא דלא תקשה למה דינו שם כלוקח ולא כיורש למה ל"ח לפסידא דמלוה דהא שם לא הפסיד לנפשו דהא הלוה בשטר אע"כ דאיירי בנצ"ב אז דינו כלוקח אפי' בחייה</w:t>
      </w:r>
      <w:r w:rsidRPr="007218B0">
        <w:rPr>
          <w:rFonts w:cs="Arial" w:hint="cs"/>
          <w:sz w:val="16"/>
          <w:szCs w:val="16"/>
          <w:rtl/>
        </w:rPr>
        <w:t>.</w:t>
      </w:r>
      <w:r w:rsidRPr="007218B0">
        <w:rPr>
          <w:rFonts w:cs="Arial"/>
          <w:sz w:val="16"/>
          <w:szCs w:val="16"/>
          <w:rtl/>
        </w:rPr>
        <w:t xml:space="preserve"> ובזה אין חילוק בין אם הפסיד לנפשו ובין אם לא הפסיד</w:t>
      </w:r>
      <w:r w:rsidRPr="007218B0">
        <w:rPr>
          <w:rFonts w:cs="Arial" w:hint="cs"/>
          <w:sz w:val="16"/>
          <w:szCs w:val="16"/>
          <w:rtl/>
        </w:rPr>
        <w:t>.</w:t>
      </w:r>
      <w:r w:rsidRPr="007218B0">
        <w:rPr>
          <w:rFonts w:cs="Arial"/>
          <w:sz w:val="16"/>
          <w:szCs w:val="16"/>
          <w:rtl/>
        </w:rPr>
        <w:t xml:space="preserve"> אע</w:t>
      </w:r>
      <w:r>
        <w:rPr>
          <w:rFonts w:cs="Arial" w:hint="cs"/>
          <w:sz w:val="16"/>
          <w:szCs w:val="16"/>
          <w:rtl/>
        </w:rPr>
        <w:t>"</w:t>
      </w:r>
      <w:r w:rsidRPr="007218B0">
        <w:rPr>
          <w:rFonts w:cs="Arial"/>
          <w:sz w:val="16"/>
          <w:szCs w:val="16"/>
          <w:rtl/>
        </w:rPr>
        <w:t>ג דהדין שם נובע מדברי בעל התרומות ושם איירי בנ"מ</w:t>
      </w:r>
      <w:r w:rsidRPr="007218B0">
        <w:rPr>
          <w:rFonts w:cs="Arial" w:hint="cs"/>
          <w:sz w:val="16"/>
          <w:szCs w:val="16"/>
          <w:rtl/>
        </w:rPr>
        <w:t>,</w:t>
      </w:r>
      <w:r w:rsidRPr="007218B0">
        <w:rPr>
          <w:rFonts w:cs="Arial"/>
          <w:sz w:val="16"/>
          <w:szCs w:val="16"/>
          <w:rtl/>
        </w:rPr>
        <w:t xml:space="preserve"> היינו משום הבע"ת ס"ל דאפשיט' הבעיא דדינו כלוקח כמ"ש שם ואסיקנ' דינו כלוקח אפי' בנ"מ או לא פלוג בין מלוה למלוה ולעולם דינו כלוקח לכן כתב דינו בנ"מ</w:t>
      </w:r>
      <w:r w:rsidRPr="007218B0">
        <w:rPr>
          <w:rFonts w:cs="Arial" w:hint="cs"/>
          <w:sz w:val="16"/>
          <w:szCs w:val="16"/>
          <w:rtl/>
        </w:rPr>
        <w:t>.</w:t>
      </w:r>
      <w:r w:rsidRPr="007218B0">
        <w:rPr>
          <w:rFonts w:cs="Arial"/>
          <w:sz w:val="16"/>
          <w:szCs w:val="16"/>
          <w:rtl/>
        </w:rPr>
        <w:t xml:space="preserve"> אבל לדידן דלא איפשוט הבעי' וחיישינן לפסידא למלוה לא שייך דינ' דהתם אא"כ בנצ"ב לכן כתב שם הדין של הבע"ת בנצ"ב וע' בש"ך שם, ונצ"ב דדינו כלוקח נובע מתשובת מהרי"ק שם ומתשו' בן לב ח"א סי' ע"ב בשם ר"י האחרון ובספר נתיבות משפט חולק על מהרי"ק ויש קצת ראיה לדבריו מ"ש בש"ס מי שמת והניח אלמנה ובת נשאת הבת אלמנתו ניזונית מנכסים דשוינהו רבנן כיורש ושם איירי בנצ"ב והיינו פרנסת הבנות כמ"ש ברמב"ם פ"כ ה"א ולקמן סי' קי"ג והסמ"ע שם והש"ך כתבו בפשיטות כמהרי"ק</w:t>
      </w:r>
      <w:r w:rsidRPr="007218B0">
        <w:rPr>
          <w:rFonts w:cs="Arial" w:hint="cs"/>
          <w:sz w:val="16"/>
          <w:szCs w:val="16"/>
          <w:rtl/>
        </w:rPr>
        <w:t>.</w:t>
      </w:r>
      <w:r w:rsidRPr="007218B0">
        <w:rPr>
          <w:rFonts w:cs="Arial"/>
          <w:sz w:val="16"/>
          <w:szCs w:val="16"/>
          <w:rtl/>
        </w:rPr>
        <w:t xml:space="preserve"> ולכן</w:t>
      </w:r>
      <w:r>
        <w:rPr>
          <w:rFonts w:cs="Arial" w:hint="cs"/>
          <w:sz w:val="16"/>
          <w:szCs w:val="16"/>
          <w:rtl/>
        </w:rPr>
        <w:t>-)</w:t>
      </w:r>
      <w:r w:rsidRPr="007218B0">
        <w:rPr>
          <w:rFonts w:cs="Arial"/>
          <w:sz w:val="22"/>
          <w:szCs w:val="22"/>
          <w:rtl/>
        </w:rPr>
        <w:t xml:space="preserve"> </w:t>
      </w:r>
      <w:r>
        <w:rPr>
          <w:rFonts w:cs="Arial"/>
          <w:rtl/>
        </w:rPr>
        <w:t>בנצ"ב אפי' אם תפס המלוה לא מהני אלא מוכרים בטובת הנאה כמ"ש בח"ה סי' תכ"ד</w:t>
      </w:r>
      <w:r>
        <w:rPr>
          <w:rFonts w:cs="Arial" w:hint="cs"/>
          <w:rtl/>
        </w:rPr>
        <w:t>.</w:t>
      </w:r>
      <w:r>
        <w:rPr>
          <w:rFonts w:cs="Arial"/>
          <w:rtl/>
        </w:rPr>
        <w:t xml:space="preserve"> ובנ"מ מהני תפיסה</w:t>
      </w:r>
      <w:r>
        <w:rPr>
          <w:rFonts w:cs="Arial" w:hint="cs"/>
          <w:rtl/>
        </w:rPr>
        <w:t>.</w:t>
      </w:r>
      <w:r>
        <w:rPr>
          <w:rFonts w:cs="Arial"/>
          <w:rtl/>
        </w:rPr>
        <w:t xml:space="preserve"> ונראה כל זה איירי אם תפס נכסי מלוג שלה</w:t>
      </w:r>
      <w:r>
        <w:rPr>
          <w:rFonts w:cs="Arial" w:hint="cs"/>
          <w:rtl/>
        </w:rPr>
        <w:t>,</w:t>
      </w:r>
      <w:r>
        <w:rPr>
          <w:rFonts w:cs="Arial"/>
          <w:rtl/>
        </w:rPr>
        <w:t xml:space="preserve"> אבל אם תפס הפירות מן הקרקע לא מהני התפיסה</w:t>
      </w:r>
      <w:r>
        <w:rPr>
          <w:rFonts w:cs="Arial" w:hint="cs"/>
          <w:rtl/>
        </w:rPr>
        <w:t>,</w:t>
      </w:r>
      <w:r>
        <w:rPr>
          <w:rFonts w:cs="Arial"/>
          <w:rtl/>
        </w:rPr>
        <w:t xml:space="preserve"> כי הפירות שייכים להבעל תחת פרקונה</w:t>
      </w:r>
      <w:r>
        <w:rPr>
          <w:rFonts w:cs="Arial" w:hint="cs"/>
          <w:rtl/>
        </w:rPr>
        <w:t>.</w:t>
      </w:r>
      <w:r>
        <w:rPr>
          <w:rFonts w:cs="Arial"/>
          <w:rtl/>
        </w:rPr>
        <w:t xml:space="preserve"> ומכאן נשמע נמי בנ"מ שייך ל' הכניסה כמ"ש הרשב"ם והרשב"א בתשו' בדין זה לשון הכניסה דאיירי בנ"מ</w:t>
      </w:r>
      <w:r>
        <w:rPr>
          <w:rFonts w:hint="cs"/>
          <w:rtl/>
        </w:rPr>
        <w:t xml:space="preserve">, ב"ש </w:t>
      </w:r>
      <w:r w:rsidRPr="00494913">
        <w:rPr>
          <w:rFonts w:hint="cs"/>
          <w:sz w:val="16"/>
          <w:szCs w:val="16"/>
          <w:rtl/>
        </w:rPr>
        <w:t>(סק"ט)</w:t>
      </w:r>
      <w:r>
        <w:rPr>
          <w:rFonts w:hint="cs"/>
          <w:rtl/>
        </w:rPr>
        <w:t>.</w:t>
      </w:r>
    </w:p>
  </w:footnote>
  <w:footnote w:id="1462">
    <w:p w14:paraId="6A9A34AF" w14:textId="7BD465EC" w:rsidR="00DE2F5F" w:rsidRDefault="00DE2F5F" w:rsidP="00E103BA">
      <w:pPr>
        <w:pStyle w:val="a5"/>
        <w:rPr>
          <w:rtl/>
        </w:rPr>
      </w:pPr>
      <w:r>
        <w:rPr>
          <w:rStyle w:val="a7"/>
        </w:rPr>
        <w:footnoteRef/>
      </w:r>
      <w:r>
        <w:rPr>
          <w:rtl/>
        </w:rPr>
        <w:t xml:space="preserve"> </w:t>
      </w:r>
      <w:r w:rsidRPr="00E103BA">
        <w:rPr>
          <w:rFonts w:cs="Arial"/>
          <w:rtl/>
        </w:rPr>
        <w:t>אבל אתי מחמתי' דהמעות אינו חייב לשלם כמבואר לעיל סי' צ' סעיף ט' אבל בנ</w:t>
      </w:r>
      <w:r>
        <w:rPr>
          <w:rFonts w:cs="Arial" w:hint="cs"/>
          <w:rtl/>
        </w:rPr>
        <w:t>מוק</w:t>
      </w:r>
      <w:r w:rsidRPr="00E103BA">
        <w:rPr>
          <w:rFonts w:cs="Arial"/>
          <w:rtl/>
        </w:rPr>
        <w:t>"י ראיתי סוף פרק י"נ כתב אם יש דבר שבא מחמת אותן מעות שנטלה וכ"ש אם המעות עצמן הם בעין חוזרים אל הלוקח וכו' ולפי זה ה"ה הכא</w:t>
      </w:r>
      <w:r>
        <w:rPr>
          <w:rFonts w:hint="cs"/>
          <w:rtl/>
        </w:rPr>
        <w:t xml:space="preserve">, ח"מ (סק"ו). אך הב"ש (סק"י) כתב </w:t>
      </w:r>
      <w:r>
        <w:rPr>
          <w:rFonts w:cs="Arial" w:hint="cs"/>
          <w:rtl/>
        </w:rPr>
        <w:t xml:space="preserve">שדעת </w:t>
      </w:r>
      <w:r>
        <w:rPr>
          <w:rFonts w:cs="Arial"/>
          <w:rtl/>
        </w:rPr>
        <w:t>הנ</w:t>
      </w:r>
      <w:r>
        <w:rPr>
          <w:rFonts w:cs="Arial" w:hint="cs"/>
          <w:rtl/>
        </w:rPr>
        <w:t>מוק</w:t>
      </w:r>
      <w:r>
        <w:rPr>
          <w:rFonts w:cs="Arial"/>
          <w:rtl/>
        </w:rPr>
        <w:t xml:space="preserve">"י </w:t>
      </w:r>
      <w:r>
        <w:rPr>
          <w:rFonts w:cs="Arial" w:hint="cs"/>
          <w:rtl/>
        </w:rPr>
        <w:t>ד</w:t>
      </w:r>
      <w:r>
        <w:rPr>
          <w:rFonts w:cs="Arial"/>
          <w:rtl/>
        </w:rPr>
        <w:t>אפילו אם המעות בעין א"צ לשלם</w:t>
      </w:r>
      <w:r>
        <w:rPr>
          <w:rFonts w:cs="Arial" w:hint="cs"/>
          <w:rtl/>
        </w:rPr>
        <w:t>.</w:t>
      </w:r>
      <w:r>
        <w:rPr>
          <w:rFonts w:cs="Arial"/>
          <w:rtl/>
        </w:rPr>
        <w:t xml:space="preserve"> ומה שכתב אחר זה דצריך להחזיר מעות בעין או דבר הבא מחמתו שם קאי אם מכרה נ"מ</w:t>
      </w:r>
      <w:r>
        <w:rPr>
          <w:rFonts w:cs="Arial" w:hint="cs"/>
          <w:rtl/>
        </w:rPr>
        <w:t>.</w:t>
      </w:r>
      <w:r>
        <w:rPr>
          <w:rFonts w:cs="Arial"/>
          <w:rtl/>
        </w:rPr>
        <w:t xml:space="preserve"> וח"מ ל</w:t>
      </w:r>
      <w:r>
        <w:rPr>
          <w:rFonts w:cs="Arial" w:hint="cs"/>
          <w:rtl/>
        </w:rPr>
        <w:t xml:space="preserve">א </w:t>
      </w:r>
      <w:r>
        <w:rPr>
          <w:rFonts w:cs="Arial"/>
          <w:rtl/>
        </w:rPr>
        <w:t>ד</w:t>
      </w:r>
      <w:r>
        <w:rPr>
          <w:rFonts w:cs="Arial" w:hint="cs"/>
          <w:rtl/>
        </w:rPr>
        <w:t>קדק</w:t>
      </w:r>
      <w:r>
        <w:rPr>
          <w:rFonts w:cs="Arial"/>
          <w:rtl/>
        </w:rPr>
        <w:t xml:space="preserve"> בזה ולא ראה מ"ש הנ</w:t>
      </w:r>
      <w:r>
        <w:rPr>
          <w:rFonts w:cs="Arial" w:hint="cs"/>
          <w:rtl/>
        </w:rPr>
        <w:t>מוק</w:t>
      </w:r>
      <w:r>
        <w:rPr>
          <w:rFonts w:cs="Arial"/>
          <w:rtl/>
        </w:rPr>
        <w:t>"י בתחלת הסוגיא</w:t>
      </w:r>
      <w:r>
        <w:rPr>
          <w:rFonts w:cs="Arial" w:hint="cs"/>
          <w:rtl/>
        </w:rPr>
        <w:t>.</w:t>
      </w:r>
    </w:p>
  </w:footnote>
  <w:footnote w:id="1463">
    <w:p w14:paraId="5B6A3E73" w14:textId="0A162500" w:rsidR="00DE2F5F" w:rsidRDefault="00DE2F5F" w:rsidP="000B2E99">
      <w:pPr>
        <w:pStyle w:val="a5"/>
        <w:rPr>
          <w:rtl/>
        </w:rPr>
      </w:pPr>
      <w:r>
        <w:rPr>
          <w:rStyle w:val="a7"/>
        </w:rPr>
        <w:footnoteRef/>
      </w:r>
      <w:r>
        <w:rPr>
          <w:rtl/>
        </w:rPr>
        <w:t xml:space="preserve"> </w:t>
      </w:r>
      <w:r w:rsidRPr="000B2E99">
        <w:rPr>
          <w:rFonts w:cs="Arial"/>
          <w:rtl/>
        </w:rPr>
        <w:t>כמ"ש בח"ה סי' ע"ג הלוה אם מבזבז נכסיו או רוצה לילך למ"י יכול המלוה לעכב אותו אפי' תוך הזמן</w:t>
      </w:r>
      <w:r>
        <w:rPr>
          <w:rFonts w:hint="cs"/>
          <w:rtl/>
        </w:rPr>
        <w:t>, ח"מ (סקי"א).</w:t>
      </w:r>
    </w:p>
  </w:footnote>
  <w:footnote w:id="1464">
    <w:p w14:paraId="6D7B1237" w14:textId="3BA9DB6A" w:rsidR="00DE2F5F" w:rsidRDefault="00DE2F5F" w:rsidP="000B2E99">
      <w:pPr>
        <w:pStyle w:val="a5"/>
        <w:rPr>
          <w:rtl/>
        </w:rPr>
      </w:pPr>
      <w:r>
        <w:rPr>
          <w:rStyle w:val="a7"/>
        </w:rPr>
        <w:footnoteRef/>
      </w:r>
      <w:r>
        <w:rPr>
          <w:rtl/>
        </w:rPr>
        <w:t xml:space="preserve"> </w:t>
      </w:r>
      <w:r w:rsidRPr="000B2E99">
        <w:rPr>
          <w:rFonts w:cs="Arial"/>
          <w:rtl/>
        </w:rPr>
        <w:t>בין מנ"מ ובין מנכסי צאן ברזל</w:t>
      </w:r>
      <w:r>
        <w:rPr>
          <w:rFonts w:hint="cs"/>
          <w:rtl/>
        </w:rPr>
        <w:t>, ח"מ (סקי"ב).</w:t>
      </w:r>
    </w:p>
  </w:footnote>
  <w:footnote w:id="1465">
    <w:p w14:paraId="693F6DF6" w14:textId="7AF9A73C" w:rsidR="00DE2F5F" w:rsidRDefault="00DE2F5F" w:rsidP="00B459B9">
      <w:pPr>
        <w:pStyle w:val="a5"/>
        <w:rPr>
          <w:rtl/>
        </w:rPr>
      </w:pPr>
      <w:r>
        <w:rPr>
          <w:rStyle w:val="a7"/>
        </w:rPr>
        <w:footnoteRef/>
      </w:r>
      <w:r>
        <w:rPr>
          <w:rtl/>
        </w:rPr>
        <w:t xml:space="preserve"> </w:t>
      </w:r>
      <w:r w:rsidRPr="000B2E99">
        <w:rPr>
          <w:rFonts w:cs="Arial"/>
          <w:rtl/>
        </w:rPr>
        <w:t>וכתב בח"מ</w:t>
      </w:r>
      <w:r>
        <w:rPr>
          <w:rFonts w:cs="Arial" w:hint="cs"/>
          <w:rtl/>
        </w:rPr>
        <w:t xml:space="preserve"> (סק"ז)</w:t>
      </w:r>
      <w:r w:rsidRPr="000B2E99">
        <w:rPr>
          <w:rFonts w:cs="Arial"/>
          <w:rtl/>
        </w:rPr>
        <w:t xml:space="preserve"> </w:t>
      </w:r>
      <w:r>
        <w:rPr>
          <w:rFonts w:cs="Arial" w:hint="cs"/>
          <w:rtl/>
        </w:rPr>
        <w:t>ד</w:t>
      </w:r>
      <w:r w:rsidRPr="000B2E99">
        <w:rPr>
          <w:rFonts w:cs="Arial"/>
          <w:rtl/>
        </w:rPr>
        <w:t>דוקא אם עברה בשוגג</w:t>
      </w:r>
      <w:r>
        <w:rPr>
          <w:rFonts w:cs="Arial" w:hint="cs"/>
          <w:rtl/>
        </w:rPr>
        <w:t>,</w:t>
      </w:r>
      <w:r w:rsidRPr="000B2E99">
        <w:rPr>
          <w:rFonts w:cs="Arial"/>
          <w:rtl/>
        </w:rPr>
        <w:t xml:space="preserve"> אבל אם עברה במזיד </w:t>
      </w:r>
      <w:r>
        <w:rPr>
          <w:rFonts w:cs="Arial" w:hint="cs"/>
          <w:rtl/>
        </w:rPr>
        <w:t>ו</w:t>
      </w:r>
      <w:r w:rsidRPr="000B2E99">
        <w:rPr>
          <w:rFonts w:cs="Arial"/>
          <w:rtl/>
        </w:rPr>
        <w:t>מכ</w:t>
      </w:r>
      <w:r>
        <w:rPr>
          <w:rFonts w:cs="Arial" w:hint="cs"/>
          <w:rtl/>
        </w:rPr>
        <w:t xml:space="preserve">ל </w:t>
      </w:r>
      <w:r w:rsidRPr="000B2E99">
        <w:rPr>
          <w:rFonts w:cs="Arial"/>
          <w:rtl/>
        </w:rPr>
        <w:t>ש</w:t>
      </w:r>
      <w:r>
        <w:rPr>
          <w:rFonts w:cs="Arial" w:hint="cs"/>
          <w:rtl/>
        </w:rPr>
        <w:t>כן</w:t>
      </w:r>
      <w:r w:rsidRPr="000B2E99">
        <w:rPr>
          <w:rFonts w:cs="Arial"/>
          <w:rtl/>
        </w:rPr>
        <w:t xml:space="preserve"> להכעיס אינו חייב לשלם בשבילה כדי שלא תחייב את בעלה בכל יום</w:t>
      </w:r>
      <w:r>
        <w:rPr>
          <w:rFonts w:cs="Arial" w:hint="cs"/>
          <w:rtl/>
        </w:rPr>
        <w:t>.</w:t>
      </w:r>
      <w:r w:rsidRPr="000B2E99">
        <w:rPr>
          <w:rFonts w:cs="Arial"/>
          <w:rtl/>
        </w:rPr>
        <w:t xml:space="preserve"> ותימ</w:t>
      </w:r>
      <w:r>
        <w:rPr>
          <w:rFonts w:cs="Arial" w:hint="cs"/>
          <w:rtl/>
        </w:rPr>
        <w:t>ה</w:t>
      </w:r>
      <w:r w:rsidRPr="000B2E99">
        <w:rPr>
          <w:rFonts w:cs="Arial"/>
          <w:rtl/>
        </w:rPr>
        <w:t xml:space="preserve"> על תשובת מהר"ם מינץ </w:t>
      </w:r>
      <w:r>
        <w:rPr>
          <w:rFonts w:cs="Arial" w:hint="cs"/>
          <w:rtl/>
        </w:rPr>
        <w:t>(</w:t>
      </w:r>
      <w:r w:rsidRPr="000B2E99">
        <w:rPr>
          <w:rFonts w:cs="Arial"/>
          <w:rtl/>
        </w:rPr>
        <w:t>סי' ז</w:t>
      </w:r>
      <w:r>
        <w:rPr>
          <w:rFonts w:cs="Arial" w:hint="cs"/>
          <w:rtl/>
        </w:rPr>
        <w:t>)</w:t>
      </w:r>
      <w:r w:rsidRPr="000B2E99">
        <w:rPr>
          <w:rFonts w:cs="Arial"/>
          <w:rtl/>
        </w:rPr>
        <w:t xml:space="preserve"> שכתב הסוגי' פרק המקבל איירי בקרבן שחייבת מחמת נדר</w:t>
      </w:r>
      <w:r>
        <w:rPr>
          <w:rFonts w:cs="Arial" w:hint="cs"/>
          <w:rtl/>
        </w:rPr>
        <w:t>,</w:t>
      </w:r>
      <w:r w:rsidRPr="000B2E99">
        <w:rPr>
          <w:rFonts w:cs="Arial"/>
          <w:rtl/>
        </w:rPr>
        <w:t xml:space="preserve"> היפוך פרש"י ותוס'</w:t>
      </w:r>
      <w:r>
        <w:rPr>
          <w:rFonts w:cs="Arial" w:hint="cs"/>
          <w:rtl/>
        </w:rPr>
        <w:t>.</w:t>
      </w:r>
      <w:r w:rsidRPr="000B2E99">
        <w:rPr>
          <w:rFonts w:cs="Arial"/>
          <w:rtl/>
        </w:rPr>
        <w:t xml:space="preserve"> מיהו שם בת"ה מסיים וכתב וצ"ע אם הנדון דומה לראיה</w:t>
      </w:r>
      <w:r>
        <w:rPr>
          <w:rFonts w:cs="Arial" w:hint="cs"/>
          <w:rtl/>
        </w:rPr>
        <w:t>,</w:t>
      </w:r>
      <w:r w:rsidRPr="000B2E99">
        <w:rPr>
          <w:rFonts w:cs="Arial"/>
          <w:rtl/>
        </w:rPr>
        <w:t xml:space="preserve"> ותימ</w:t>
      </w:r>
      <w:r>
        <w:rPr>
          <w:rFonts w:cs="Arial" w:hint="cs"/>
          <w:rtl/>
        </w:rPr>
        <w:t>ה</w:t>
      </w:r>
      <w:r w:rsidRPr="000B2E99">
        <w:rPr>
          <w:rFonts w:cs="Arial"/>
          <w:rtl/>
        </w:rPr>
        <w:t xml:space="preserve"> על רמ"א שפסק דהבעל חייב לשלם</w:t>
      </w:r>
      <w:r>
        <w:rPr>
          <w:rFonts w:cs="Arial" w:hint="cs"/>
          <w:rtl/>
        </w:rPr>
        <w:t>.</w:t>
      </w:r>
      <w:r w:rsidRPr="000B2E99">
        <w:rPr>
          <w:rFonts w:cs="Arial"/>
          <w:rtl/>
        </w:rPr>
        <w:t xml:space="preserve"> ובט"ז כתב על כן נלע"ד דאין להוציא ממון מיד הבעל</w:t>
      </w:r>
      <w:r>
        <w:rPr>
          <w:rFonts w:cs="Arial" w:hint="cs"/>
          <w:rtl/>
        </w:rPr>
        <w:t>.</w:t>
      </w:r>
      <w:r w:rsidRPr="000B2E99">
        <w:rPr>
          <w:rFonts w:cs="Arial"/>
          <w:rtl/>
        </w:rPr>
        <w:t xml:space="preserve"> ומ"ש בתשוב</w:t>
      </w:r>
      <w:r>
        <w:rPr>
          <w:rFonts w:cs="Arial" w:hint="cs"/>
          <w:rtl/>
        </w:rPr>
        <w:t>ה</w:t>
      </w:r>
      <w:r w:rsidRPr="000B2E99">
        <w:rPr>
          <w:rFonts w:cs="Arial"/>
          <w:rtl/>
        </w:rPr>
        <w:t xml:space="preserve"> הנ"ל אשה הנושאת ונותנת בבית אם נדרה לצדק</w:t>
      </w:r>
      <w:r>
        <w:rPr>
          <w:rFonts w:cs="Arial" w:hint="cs"/>
          <w:rtl/>
        </w:rPr>
        <w:t>ה</w:t>
      </w:r>
      <w:r w:rsidRPr="000B2E99">
        <w:rPr>
          <w:rFonts w:cs="Arial"/>
          <w:rtl/>
        </w:rPr>
        <w:t xml:space="preserve"> צריך לשלם בשביל</w:t>
      </w:r>
      <w:r>
        <w:rPr>
          <w:rFonts w:cs="Arial" w:hint="cs"/>
          <w:rtl/>
        </w:rPr>
        <w:t>ה,</w:t>
      </w:r>
      <w:r w:rsidRPr="000B2E99">
        <w:rPr>
          <w:rFonts w:cs="Arial"/>
          <w:rtl/>
        </w:rPr>
        <w:t xml:space="preserve"> אף על גב דיכול למחות לה להבא מ"מ צריך לשלם מה שנדרה כבר</w:t>
      </w:r>
      <w:r>
        <w:rPr>
          <w:rFonts w:hint="cs"/>
          <w:rtl/>
        </w:rPr>
        <w:t xml:space="preserve">, </w:t>
      </w:r>
      <w:r w:rsidRPr="006F6760">
        <w:rPr>
          <w:rFonts w:hint="cs"/>
          <w:b/>
          <w:bCs/>
          <w:rtl/>
        </w:rPr>
        <w:t>ב"ש</w:t>
      </w:r>
      <w:r>
        <w:rPr>
          <w:rFonts w:hint="cs"/>
          <w:rtl/>
        </w:rPr>
        <w:t xml:space="preserve"> (סקי"ג). </w:t>
      </w:r>
      <w:r w:rsidR="006F6760">
        <w:rPr>
          <w:rFonts w:hint="cs"/>
          <w:rtl/>
        </w:rPr>
        <w:t xml:space="preserve">     </w:t>
      </w:r>
      <w:r w:rsidRPr="00B459B9">
        <w:rPr>
          <w:rFonts w:cs="Arial"/>
          <w:rtl/>
        </w:rPr>
        <w:t xml:space="preserve">ועיין בתשו' נו"ב </w:t>
      </w:r>
      <w:r>
        <w:rPr>
          <w:rFonts w:cs="Arial" w:hint="cs"/>
          <w:rtl/>
        </w:rPr>
        <w:t>(</w:t>
      </w:r>
      <w:r w:rsidRPr="00B459B9">
        <w:rPr>
          <w:rFonts w:cs="Arial"/>
          <w:rtl/>
        </w:rPr>
        <w:t>תניינא סי' צו</w:t>
      </w:r>
      <w:r>
        <w:rPr>
          <w:rFonts w:cs="Arial" w:hint="cs"/>
          <w:rtl/>
        </w:rPr>
        <w:t>)</w:t>
      </w:r>
      <w:r w:rsidRPr="00B459B9">
        <w:rPr>
          <w:rFonts w:cs="Arial"/>
          <w:rtl/>
        </w:rPr>
        <w:t xml:space="preserve"> על דבר אשת איש שזלזל</w:t>
      </w:r>
      <w:r>
        <w:rPr>
          <w:rFonts w:cs="Arial" w:hint="cs"/>
          <w:rtl/>
        </w:rPr>
        <w:t>ה</w:t>
      </w:r>
      <w:r w:rsidRPr="00B459B9">
        <w:rPr>
          <w:rFonts w:cs="Arial"/>
          <w:rtl/>
        </w:rPr>
        <w:t xml:space="preserve"> לאחד או לרבים בדברים ורוצים לענש</w:t>
      </w:r>
      <w:r>
        <w:rPr>
          <w:rFonts w:cs="Arial" w:hint="cs"/>
          <w:rtl/>
        </w:rPr>
        <w:t>ה</w:t>
      </w:r>
      <w:r w:rsidRPr="00B459B9">
        <w:rPr>
          <w:rFonts w:cs="Arial"/>
          <w:rtl/>
        </w:rPr>
        <w:t xml:space="preserve"> בממון אין בעלה חייב לשלם עבור' והמורה לכוף את בעלה ליתן קנס אינו אלא גזלן</w:t>
      </w:r>
      <w:r>
        <w:rPr>
          <w:rFonts w:cs="Arial" w:hint="cs"/>
          <w:rtl/>
        </w:rPr>
        <w:t>.</w:t>
      </w:r>
      <w:r w:rsidRPr="00B459B9">
        <w:rPr>
          <w:rFonts w:cs="Arial"/>
          <w:rtl/>
        </w:rPr>
        <w:t xml:space="preserve"> </w:t>
      </w:r>
      <w:r>
        <w:rPr>
          <w:rFonts w:cs="Arial" w:hint="cs"/>
          <w:rtl/>
        </w:rPr>
        <w:t xml:space="preserve">עד כאן. </w:t>
      </w:r>
      <w:r w:rsidRPr="00B459B9">
        <w:rPr>
          <w:rFonts w:cs="Arial"/>
          <w:rtl/>
        </w:rPr>
        <w:t xml:space="preserve">ועיין בתשו' חתם סופר </w:t>
      </w:r>
      <w:r>
        <w:rPr>
          <w:rFonts w:cs="Arial" w:hint="cs"/>
          <w:rtl/>
        </w:rPr>
        <w:t>(</w:t>
      </w:r>
      <w:r w:rsidRPr="00B459B9">
        <w:rPr>
          <w:rFonts w:cs="Arial"/>
          <w:rtl/>
        </w:rPr>
        <w:t>סי' קלט</w:t>
      </w:r>
      <w:r>
        <w:rPr>
          <w:rFonts w:cs="Arial" w:hint="cs"/>
          <w:rtl/>
        </w:rPr>
        <w:t>)</w:t>
      </w:r>
      <w:r w:rsidRPr="00B459B9">
        <w:rPr>
          <w:rFonts w:cs="Arial"/>
          <w:rtl/>
        </w:rPr>
        <w:t xml:space="preserve"> אודות אשה שהביא</w:t>
      </w:r>
      <w:r>
        <w:rPr>
          <w:rFonts w:cs="Arial" w:hint="cs"/>
          <w:rtl/>
        </w:rPr>
        <w:t>ה</w:t>
      </w:r>
      <w:r w:rsidRPr="00B459B9">
        <w:rPr>
          <w:rFonts w:cs="Arial"/>
          <w:rtl/>
        </w:rPr>
        <w:t xml:space="preserve"> לה כמה פעמים במחשך בשר כשר ממקומו</w:t>
      </w:r>
      <w:r>
        <w:rPr>
          <w:rFonts w:cs="Arial" w:hint="cs"/>
          <w:rtl/>
        </w:rPr>
        <w:t>ת</w:t>
      </w:r>
      <w:r w:rsidRPr="00B459B9">
        <w:rPr>
          <w:rFonts w:cs="Arial"/>
          <w:rtl/>
        </w:rPr>
        <w:t xml:space="preserve"> אחרים בהיות בעלה למרחוק מבלי לשלם עבור כל ליטרא להחוכר כפי תקנת הקהיל</w:t>
      </w:r>
      <w:r>
        <w:rPr>
          <w:rFonts w:cs="Arial" w:hint="cs"/>
          <w:rtl/>
        </w:rPr>
        <w:t>ה.</w:t>
      </w:r>
      <w:r w:rsidRPr="00B459B9">
        <w:rPr>
          <w:rFonts w:cs="Arial"/>
          <w:rtl/>
        </w:rPr>
        <w:t xml:space="preserve"> והחוכר הזה חייב לבעלה ממון</w:t>
      </w:r>
      <w:r>
        <w:rPr>
          <w:rFonts w:cs="Arial" w:hint="cs"/>
          <w:rtl/>
        </w:rPr>
        <w:t>,</w:t>
      </w:r>
      <w:r w:rsidRPr="00B459B9">
        <w:rPr>
          <w:rFonts w:cs="Arial"/>
          <w:rtl/>
        </w:rPr>
        <w:t xml:space="preserve"> ורוצ</w:t>
      </w:r>
      <w:r>
        <w:rPr>
          <w:rFonts w:cs="Arial" w:hint="cs"/>
          <w:rtl/>
        </w:rPr>
        <w:t>ה</w:t>
      </w:r>
      <w:r w:rsidRPr="00B459B9">
        <w:rPr>
          <w:rFonts w:cs="Arial"/>
          <w:rtl/>
        </w:rPr>
        <w:t xml:space="preserve"> להחזיק הממון באמרו שחייב הבעל לשלם עבור אשתו קנס כפי הנהוג שם לפנים</w:t>
      </w:r>
      <w:r>
        <w:rPr>
          <w:rFonts w:cs="Arial" w:hint="cs"/>
          <w:rtl/>
        </w:rPr>
        <w:t>.</w:t>
      </w:r>
      <w:r w:rsidRPr="00B459B9">
        <w:rPr>
          <w:rFonts w:cs="Arial"/>
          <w:rtl/>
        </w:rPr>
        <w:t xml:space="preserve"> ופסק דאין החוכר יכול לעכב חובו בשביל קנס שחייבת אשתו מכמה טעמים כו'</w:t>
      </w:r>
      <w:r>
        <w:rPr>
          <w:rFonts w:cs="Arial" w:hint="cs"/>
          <w:rtl/>
        </w:rPr>
        <w:t>,</w:t>
      </w:r>
      <w:r w:rsidRPr="00B459B9">
        <w:rPr>
          <w:rFonts w:cs="Arial"/>
          <w:rtl/>
        </w:rPr>
        <w:t xml:space="preserve"> רק ינכה לו תשלומין המגיע בעד כל ליטר</w:t>
      </w:r>
      <w:r>
        <w:rPr>
          <w:rFonts w:cs="Arial" w:hint="cs"/>
          <w:rtl/>
        </w:rPr>
        <w:t>א,</w:t>
      </w:r>
      <w:r w:rsidRPr="00B459B9">
        <w:rPr>
          <w:rFonts w:cs="Arial"/>
          <w:rtl/>
        </w:rPr>
        <w:t xml:space="preserve"> והמותר ישלם לו ע"ש</w:t>
      </w:r>
      <w:r>
        <w:rPr>
          <w:rFonts w:cs="Arial" w:hint="cs"/>
          <w:rtl/>
        </w:rPr>
        <w:t xml:space="preserve">, </w:t>
      </w:r>
      <w:r w:rsidRPr="006F6760">
        <w:rPr>
          <w:rFonts w:cs="Arial" w:hint="cs"/>
          <w:b/>
          <w:bCs/>
          <w:rtl/>
        </w:rPr>
        <w:t>פת"ש</w:t>
      </w:r>
      <w:r>
        <w:rPr>
          <w:rFonts w:cs="Arial" w:hint="cs"/>
          <w:rtl/>
        </w:rPr>
        <w:t xml:space="preserve"> (סק"א).</w:t>
      </w:r>
    </w:p>
  </w:footnote>
  <w:footnote w:id="1466">
    <w:p w14:paraId="64C84293" w14:textId="3A16D040" w:rsidR="00DE2F5F" w:rsidRDefault="00DE2F5F" w:rsidP="00E103BA">
      <w:pPr>
        <w:pStyle w:val="a5"/>
        <w:rPr>
          <w:rtl/>
        </w:rPr>
      </w:pPr>
      <w:r>
        <w:rPr>
          <w:rStyle w:val="a7"/>
        </w:rPr>
        <w:footnoteRef/>
      </w:r>
      <w:r>
        <w:rPr>
          <w:rtl/>
        </w:rPr>
        <w:t xml:space="preserve"> </w:t>
      </w:r>
      <w:r w:rsidRPr="00721974">
        <w:rPr>
          <w:rFonts w:cs="Arial"/>
          <w:rtl/>
        </w:rPr>
        <w:t>ונתן טעם משום דאמרינן בגמרא (ב"ב קלט.) שאני פרנסה דאית לה קלא</w:t>
      </w:r>
      <w:r>
        <w:rPr>
          <w:rFonts w:cs="Arial" w:hint="cs"/>
          <w:rtl/>
        </w:rPr>
        <w:t>,</w:t>
      </w:r>
      <w:r w:rsidRPr="00721974">
        <w:rPr>
          <w:rFonts w:cs="Arial"/>
          <w:rtl/>
        </w:rPr>
        <w:t xml:space="preserve"> כלומר ומשום הכי ה"ל כמלוה בשטר</w:t>
      </w:r>
      <w:r>
        <w:rPr>
          <w:rFonts w:cs="Arial" w:hint="cs"/>
          <w:rtl/>
        </w:rPr>
        <w:t>.</w:t>
      </w:r>
      <w:r w:rsidRPr="00721974">
        <w:rPr>
          <w:rFonts w:cs="Arial"/>
          <w:rtl/>
        </w:rPr>
        <w:t xml:space="preserve"> ועוד הביא ראיה מדכתב הרי"ף איהו דאפסיד אנפשיה דלא איבעי ליה לאוזופי בלא שטר</w:t>
      </w:r>
      <w:r>
        <w:rPr>
          <w:rFonts w:cs="Arial" w:hint="cs"/>
          <w:rtl/>
        </w:rPr>
        <w:t>,</w:t>
      </w:r>
      <w:r w:rsidRPr="00721974">
        <w:rPr>
          <w:rFonts w:cs="Arial"/>
          <w:rtl/>
        </w:rPr>
        <w:t xml:space="preserve"> והאי טעמא לא שייך בסבלונות דלאו אורחא דמילתא למיעבד עלייהו שטרא</w:t>
      </w:r>
      <w:r>
        <w:rPr>
          <w:rFonts w:cs="Arial" w:hint="cs"/>
          <w:rtl/>
        </w:rPr>
        <w:t>.</w:t>
      </w:r>
      <w:r w:rsidRPr="00721974">
        <w:rPr>
          <w:rFonts w:cs="Arial"/>
          <w:rtl/>
        </w:rPr>
        <w:t xml:space="preserve"> הילכך אי הוו הני סבלונות כמלוה על פה גבי להו מנכסי מלוג</w:t>
      </w:r>
      <w:r>
        <w:rPr>
          <w:rFonts w:cs="Arial" w:hint="cs"/>
          <w:rtl/>
        </w:rPr>
        <w:t>.</w:t>
      </w:r>
      <w:r w:rsidRPr="00721974">
        <w:rPr>
          <w:rFonts w:cs="Arial"/>
          <w:rtl/>
        </w:rPr>
        <w:t xml:space="preserve"> ואם אין לה נכסי מלוג ויש לה שטר נדוניא על בעלה שיכולה לגבות השטר כל זמן שתרצה ראובן גובה סבלונות מבעל</w:t>
      </w:r>
      <w:r>
        <w:rPr>
          <w:rFonts w:cs="Arial" w:hint="cs"/>
          <w:rtl/>
        </w:rPr>
        <w:t>,</w:t>
      </w:r>
      <w:r w:rsidRPr="00721974">
        <w:rPr>
          <w:rFonts w:cs="Arial"/>
          <w:rtl/>
        </w:rPr>
        <w:t xml:space="preserve"> דכי היכי דמשועבד לה משועבד נמי לראובן מדרבי נתן</w:t>
      </w:r>
      <w:r>
        <w:rPr>
          <w:rFonts w:cs="Arial" w:hint="cs"/>
          <w:rtl/>
        </w:rPr>
        <w:t>.</w:t>
      </w:r>
      <w:r w:rsidRPr="00721974">
        <w:rPr>
          <w:rFonts w:cs="Arial"/>
          <w:rtl/>
        </w:rPr>
        <w:t xml:space="preserve"> אבל אם אין שטר נדוניא עומד ליגבות בכל זמן שהאשה רוצה אלא לכשתתאלמן או תתגרש</w:t>
      </w:r>
      <w:r>
        <w:rPr>
          <w:rFonts w:cs="Arial" w:hint="cs"/>
          <w:rtl/>
        </w:rPr>
        <w:t>,</w:t>
      </w:r>
      <w:r w:rsidRPr="00721974">
        <w:rPr>
          <w:rFonts w:cs="Arial"/>
          <w:rtl/>
        </w:rPr>
        <w:t xml:space="preserve"> לא אמרינן תמכור שטר נדונייתה בטובת הנאה ויטול המשדך טובת הנאה בחובו או ימכרו לו ב"ד שטר נדונייתה בטובת הנאה</w:t>
      </w:r>
      <w:r>
        <w:rPr>
          <w:rFonts w:cs="Arial" w:hint="cs"/>
          <w:rtl/>
        </w:rPr>
        <w:t>,</w:t>
      </w:r>
      <w:r w:rsidRPr="00721974">
        <w:rPr>
          <w:rFonts w:cs="Arial"/>
          <w:rtl/>
        </w:rPr>
        <w:t xml:space="preserve"> מטעמא דאיתא בהחובל דכל לגבי בעל ודאי מחלה ואטרוחי בית דין בכדי לא מטרחינן</w:t>
      </w:r>
      <w:r>
        <w:rPr>
          <w:rFonts w:cs="Arial" w:hint="cs"/>
          <w:rtl/>
        </w:rPr>
        <w:t>.</w:t>
      </w:r>
      <w:r w:rsidRPr="00721974">
        <w:rPr>
          <w:rFonts w:cs="Arial"/>
          <w:rtl/>
        </w:rPr>
        <w:t xml:space="preserve"> [בדק הבית] ויש לתמוה למה לא יגבה מנדונייתה ויכתבו לבעל פיטור כנגד החוב שפרע ואם אין נדונייתה יותר מהחוב יפטר מכל הנדוניא [עד כאן</w:t>
      </w:r>
      <w:r>
        <w:rPr>
          <w:rFonts w:cs="Arial" w:hint="cs"/>
          <w:rtl/>
        </w:rPr>
        <w:t>].</w:t>
      </w:r>
      <w:r w:rsidRPr="00942B49">
        <w:rPr>
          <w:rFonts w:cs="Arial"/>
          <w:rtl/>
        </w:rPr>
        <w:t xml:space="preserve"> </w:t>
      </w:r>
      <w:r>
        <w:rPr>
          <w:rFonts w:cs="Arial"/>
          <w:rtl/>
        </w:rPr>
        <w:t>ועוד יתבארו פרטי דינים אלו בתשובות הרא"ש שכתב רבינו בסימן קי"ח</w:t>
      </w:r>
      <w:r>
        <w:rPr>
          <w:rFonts w:cs="Arial" w:hint="cs"/>
          <w:rtl/>
        </w:rPr>
        <w:t>.</w:t>
      </w:r>
      <w:r>
        <w:rPr>
          <w:rFonts w:cs="Arial"/>
          <w:rtl/>
        </w:rPr>
        <w:t xml:space="preserve"> ועיין בתשוב</w:t>
      </w:r>
      <w:r>
        <w:rPr>
          <w:rFonts w:cs="Arial" w:hint="cs"/>
          <w:rtl/>
        </w:rPr>
        <w:t>ו</w:t>
      </w:r>
      <w:r>
        <w:rPr>
          <w:rFonts w:cs="Arial"/>
          <w:rtl/>
        </w:rPr>
        <w:t>ת מהרי"ק שורש י"ח</w:t>
      </w:r>
      <w:r>
        <w:rPr>
          <w:rFonts w:cs="Arial" w:hint="cs"/>
          <w:rtl/>
        </w:rPr>
        <w:t>, ב"י.</w:t>
      </w:r>
      <w:r w:rsidRPr="002316C6">
        <w:rPr>
          <w:rtl/>
        </w:rPr>
        <w:t xml:space="preserve"> </w:t>
      </w:r>
      <w:r>
        <w:rPr>
          <w:rFonts w:hint="cs"/>
          <w:rtl/>
        </w:rPr>
        <w:t xml:space="preserve">והביא הח"מ (סק"ח) חלק מדברי מהרי"ק </w:t>
      </w:r>
      <w:r w:rsidR="0061020A">
        <w:rPr>
          <w:rFonts w:hint="cs"/>
          <w:rtl/>
        </w:rPr>
        <w:t>וז</w:t>
      </w:r>
      <w:r w:rsidR="0061020A">
        <w:rPr>
          <w:rtl/>
        </w:rPr>
        <w:t>"</w:t>
      </w:r>
      <w:r w:rsidR="0061020A">
        <w:rPr>
          <w:rFonts w:hint="cs"/>
          <w:rtl/>
        </w:rPr>
        <w:t>ל:</w:t>
      </w:r>
      <w:r>
        <w:rPr>
          <w:rFonts w:hint="cs"/>
          <w:rtl/>
        </w:rPr>
        <w:t xml:space="preserve"> </w:t>
      </w:r>
      <w:r w:rsidRPr="002316C6">
        <w:rPr>
          <w:rFonts w:cs="Arial"/>
          <w:rtl/>
        </w:rPr>
        <w:t>וכתב מהרי"ק בשורש י"ח דדוקא הכניסה לו נ"מ הוא דגבי מהבעל הא לאו הכי לא</w:t>
      </w:r>
      <w:r>
        <w:rPr>
          <w:rFonts w:cs="Arial" w:hint="cs"/>
          <w:rtl/>
        </w:rPr>
        <w:t>,</w:t>
      </w:r>
      <w:r w:rsidRPr="002316C6">
        <w:rPr>
          <w:rFonts w:cs="Arial"/>
          <w:rtl/>
        </w:rPr>
        <w:t xml:space="preserve"> ואע</w:t>
      </w:r>
      <w:r>
        <w:rPr>
          <w:rFonts w:cs="Arial" w:hint="cs"/>
          <w:rtl/>
        </w:rPr>
        <w:t>"</w:t>
      </w:r>
      <w:r w:rsidRPr="002316C6">
        <w:rPr>
          <w:rFonts w:cs="Arial"/>
          <w:rtl/>
        </w:rPr>
        <w:t>ג דחשיב ליה כמלוה בשטר</w:t>
      </w:r>
      <w:r>
        <w:rPr>
          <w:rFonts w:cs="Arial" w:hint="cs"/>
          <w:rtl/>
        </w:rPr>
        <w:t>.</w:t>
      </w:r>
      <w:r w:rsidRPr="002316C6">
        <w:rPr>
          <w:rFonts w:cs="Arial"/>
          <w:rtl/>
        </w:rPr>
        <w:t xml:space="preserve"> ובאמת קשה הא מלוה בשטר טורף מן הלקוחות ולמה לא יטרוף נצ"ב ואפשר הטעם משום דמטלטלי אין טורפין מן הלקוחות כל שלא כתב אגב כדבסמוך בהג"ה אבל בנ"מ לא חשיב לוקח גמור כי אין לו רק פירות ועדיין הגוף של האשה ע"כ טורף ממנה</w:t>
      </w:r>
      <w:r>
        <w:rPr>
          <w:rFonts w:hint="cs"/>
          <w:rtl/>
        </w:rPr>
        <w:t>.</w:t>
      </w:r>
    </w:p>
  </w:footnote>
  <w:footnote w:id="1467">
    <w:p w14:paraId="3C5FE546" w14:textId="044CC6A4" w:rsidR="00DE2F5F" w:rsidRDefault="00DE2F5F">
      <w:pPr>
        <w:pStyle w:val="a5"/>
      </w:pPr>
      <w:r>
        <w:rPr>
          <w:rStyle w:val="a7"/>
        </w:rPr>
        <w:footnoteRef/>
      </w:r>
      <w:r w:rsidRPr="005D1457">
        <w:rPr>
          <w:rFonts w:cs="Arial"/>
          <w:rtl/>
        </w:rPr>
        <w:t xml:space="preserve"> מה שכתב שאין גובה מטלטלין שהכניסה כ"כ מהרי"ק שורש י"ח</w:t>
      </w:r>
      <w:r>
        <w:rPr>
          <w:rFonts w:cs="Arial" w:hint="cs"/>
          <w:rtl/>
        </w:rPr>
        <w:t xml:space="preserve">, דרכ"מ </w:t>
      </w:r>
      <w:r w:rsidRPr="005D1457">
        <w:rPr>
          <w:rFonts w:cs="Arial"/>
          <w:rtl/>
        </w:rPr>
        <w:t>(</w:t>
      </w:r>
      <w:r>
        <w:rPr>
          <w:rFonts w:cs="Arial" w:hint="cs"/>
          <w:rtl/>
        </w:rPr>
        <w:t xml:space="preserve">אות </w:t>
      </w:r>
      <w:r w:rsidRPr="005D1457">
        <w:rPr>
          <w:rFonts w:cs="Arial"/>
          <w:rtl/>
        </w:rPr>
        <w:t>א*)</w:t>
      </w:r>
      <w:r>
        <w:rPr>
          <w:rFonts w:cs="Arial" w:hint="cs"/>
          <w:rtl/>
        </w:rPr>
        <w:t>.</w:t>
      </w:r>
    </w:p>
  </w:footnote>
  <w:footnote w:id="1468">
    <w:p w14:paraId="21C78FDD" w14:textId="2E15B202" w:rsidR="00DE2F5F" w:rsidRDefault="00DE2F5F" w:rsidP="009559AA">
      <w:pPr>
        <w:pStyle w:val="a5"/>
        <w:rPr>
          <w:rtl/>
        </w:rPr>
      </w:pPr>
      <w:r>
        <w:rPr>
          <w:rStyle w:val="a7"/>
        </w:rPr>
        <w:footnoteRef/>
      </w:r>
      <w:r>
        <w:rPr>
          <w:rtl/>
        </w:rPr>
        <w:t xml:space="preserve"> </w:t>
      </w:r>
      <w:r w:rsidRPr="00B41AC8">
        <w:rPr>
          <w:rFonts w:cs="Arial"/>
          <w:rtl/>
        </w:rPr>
        <w:t>משמע דגובה אפי' מנצ"ב</w:t>
      </w:r>
      <w:r w:rsidR="006F6760">
        <w:rPr>
          <w:rFonts w:cs="Arial" w:hint="cs"/>
          <w:rtl/>
        </w:rPr>
        <w:t>.</w:t>
      </w:r>
      <w:r w:rsidRPr="00B41AC8">
        <w:rPr>
          <w:rFonts w:cs="Arial"/>
          <w:rtl/>
        </w:rPr>
        <w:t xml:space="preserve"> וכ"כ הר"ם פדוואה </w:t>
      </w:r>
      <w:r w:rsidR="006F6760">
        <w:rPr>
          <w:rFonts w:cs="Arial" w:hint="cs"/>
          <w:rtl/>
        </w:rPr>
        <w:t>(</w:t>
      </w:r>
      <w:r w:rsidRPr="00B41AC8">
        <w:rPr>
          <w:rFonts w:cs="Arial"/>
          <w:rtl/>
        </w:rPr>
        <w:t>סי' נה</w:t>
      </w:r>
      <w:r w:rsidR="006F6760">
        <w:rPr>
          <w:rFonts w:cs="Arial" w:hint="cs"/>
          <w:rtl/>
        </w:rPr>
        <w:t>).</w:t>
      </w:r>
      <w:r w:rsidRPr="00B41AC8">
        <w:rPr>
          <w:rFonts w:cs="Arial"/>
          <w:rtl/>
        </w:rPr>
        <w:t xml:space="preserve"> אבל מהרי"ק </w:t>
      </w:r>
      <w:r w:rsidR="006F6760">
        <w:rPr>
          <w:rFonts w:cs="Arial" w:hint="cs"/>
          <w:rtl/>
        </w:rPr>
        <w:t>(</w:t>
      </w:r>
      <w:r w:rsidRPr="00B41AC8">
        <w:rPr>
          <w:rFonts w:cs="Arial"/>
          <w:rtl/>
        </w:rPr>
        <w:t>שורש יח</w:t>
      </w:r>
      <w:r w:rsidR="006F6760">
        <w:rPr>
          <w:rFonts w:cs="Arial" w:hint="cs"/>
          <w:rtl/>
        </w:rPr>
        <w:t>)</w:t>
      </w:r>
      <w:r w:rsidRPr="00B41AC8">
        <w:rPr>
          <w:rFonts w:cs="Arial"/>
          <w:rtl/>
        </w:rPr>
        <w:t xml:space="preserve"> כתב ד</w:t>
      </w:r>
      <w:r w:rsidR="006F6760">
        <w:rPr>
          <w:rFonts w:cs="Arial" w:hint="cs"/>
          <w:rtl/>
        </w:rPr>
        <w:t>ד</w:t>
      </w:r>
      <w:r w:rsidRPr="00B41AC8">
        <w:rPr>
          <w:rFonts w:cs="Arial"/>
          <w:rtl/>
        </w:rPr>
        <w:t>וק</w:t>
      </w:r>
      <w:r w:rsidR="006F6760">
        <w:rPr>
          <w:rFonts w:cs="Arial" w:hint="cs"/>
          <w:rtl/>
        </w:rPr>
        <w:t>א</w:t>
      </w:r>
      <w:r w:rsidRPr="00B41AC8">
        <w:rPr>
          <w:rFonts w:cs="Arial"/>
          <w:rtl/>
        </w:rPr>
        <w:t xml:space="preserve"> מן נ"מ גובה ולא מן נצ"ב. ובפרישה ובח"מ הקשו למה אין גובין מנצ"ב כיון שדינם כמלוה בשטר. ועיין מ"ש הב"ש וכנה"ג </w:t>
      </w:r>
      <w:r w:rsidR="006F6760">
        <w:rPr>
          <w:rFonts w:cs="Arial" w:hint="cs"/>
          <w:rtl/>
        </w:rPr>
        <w:t>(</w:t>
      </w:r>
      <w:r w:rsidRPr="00B41AC8">
        <w:rPr>
          <w:rFonts w:cs="Arial"/>
          <w:rtl/>
        </w:rPr>
        <w:t>דף ק"ט ע"ב סעיף י"ז</w:t>
      </w:r>
      <w:r w:rsidR="006F6760">
        <w:rPr>
          <w:rFonts w:cs="Arial" w:hint="cs"/>
          <w:rtl/>
        </w:rPr>
        <w:t>)</w:t>
      </w:r>
      <w:r>
        <w:rPr>
          <w:rFonts w:cs="Arial" w:hint="cs"/>
          <w:rtl/>
        </w:rPr>
        <w:t xml:space="preserve">, </w:t>
      </w:r>
      <w:r w:rsidRPr="006F6760">
        <w:rPr>
          <w:rFonts w:cs="Arial" w:hint="cs"/>
          <w:b/>
          <w:bCs/>
          <w:rtl/>
        </w:rPr>
        <w:t>באה"ט</w:t>
      </w:r>
      <w:r>
        <w:rPr>
          <w:rFonts w:cs="Arial" w:hint="cs"/>
          <w:rtl/>
        </w:rPr>
        <w:t xml:space="preserve"> (סקי"א).</w:t>
      </w:r>
      <w:r w:rsidRPr="00B41AC8">
        <w:rPr>
          <w:rFonts w:cs="Arial"/>
          <w:rtl/>
        </w:rPr>
        <w:t xml:space="preserve"> </w:t>
      </w:r>
      <w:r w:rsidR="006F6760">
        <w:rPr>
          <w:rFonts w:cs="Arial" w:hint="cs"/>
          <w:rtl/>
        </w:rPr>
        <w:t xml:space="preserve">     </w:t>
      </w:r>
      <w:r>
        <w:rPr>
          <w:rFonts w:cs="Arial" w:hint="cs"/>
          <w:rtl/>
        </w:rPr>
        <w:t>ו</w:t>
      </w:r>
      <w:r w:rsidRPr="009559AA">
        <w:rPr>
          <w:rFonts w:cs="Arial"/>
          <w:rtl/>
        </w:rPr>
        <w:t>עיין בס' ישועות יעקב שכ' דדוקא כשהבעל מודה שהיו הסבלונו</w:t>
      </w:r>
      <w:r>
        <w:rPr>
          <w:rFonts w:cs="Arial" w:hint="cs"/>
          <w:rtl/>
        </w:rPr>
        <w:t>ת</w:t>
      </w:r>
      <w:r w:rsidRPr="009559AA">
        <w:rPr>
          <w:rFonts w:cs="Arial"/>
          <w:rtl/>
        </w:rPr>
        <w:t xml:space="preserve"> ת</w:t>
      </w:r>
      <w:r>
        <w:rPr>
          <w:rFonts w:cs="Arial" w:hint="cs"/>
          <w:rtl/>
        </w:rPr>
        <w:t xml:space="preserve">חת </w:t>
      </w:r>
      <w:r w:rsidRPr="009559AA">
        <w:rPr>
          <w:rFonts w:cs="Arial"/>
          <w:rtl/>
        </w:rPr>
        <w:t>י</w:t>
      </w:r>
      <w:r>
        <w:rPr>
          <w:rFonts w:cs="Arial" w:hint="cs"/>
          <w:rtl/>
        </w:rPr>
        <w:t>דו,</w:t>
      </w:r>
      <w:r w:rsidRPr="009559AA">
        <w:rPr>
          <w:rFonts w:cs="Arial"/>
          <w:rtl/>
        </w:rPr>
        <w:t xml:space="preserve"> אבל באומר איני מאמינך</w:t>
      </w:r>
      <w:r>
        <w:rPr>
          <w:rFonts w:cs="Arial" w:hint="cs"/>
          <w:rtl/>
        </w:rPr>
        <w:t>,</w:t>
      </w:r>
      <w:r w:rsidRPr="009559AA">
        <w:rPr>
          <w:rFonts w:cs="Arial"/>
          <w:rtl/>
        </w:rPr>
        <w:t xml:space="preserve"> פשיטא שאין בידה לגבות</w:t>
      </w:r>
      <w:r>
        <w:rPr>
          <w:rFonts w:cs="Arial" w:hint="cs"/>
          <w:rtl/>
        </w:rPr>
        <w:t>.</w:t>
      </w:r>
      <w:r w:rsidRPr="009559AA">
        <w:rPr>
          <w:rFonts w:cs="Arial"/>
          <w:rtl/>
        </w:rPr>
        <w:t xml:space="preserve"> ותמה על האחרונים שלא הרגישו בזה כלל ע"ש</w:t>
      </w:r>
      <w:r>
        <w:rPr>
          <w:rFonts w:hint="cs"/>
          <w:rtl/>
        </w:rPr>
        <w:t xml:space="preserve">, </w:t>
      </w:r>
      <w:r w:rsidRPr="006F6760">
        <w:rPr>
          <w:rFonts w:hint="cs"/>
          <w:b/>
          <w:bCs/>
          <w:rtl/>
        </w:rPr>
        <w:t>פת"ש</w:t>
      </w:r>
      <w:r>
        <w:rPr>
          <w:rFonts w:hint="cs"/>
          <w:rtl/>
        </w:rPr>
        <w:t xml:space="preserve"> (סק"ב).</w:t>
      </w:r>
    </w:p>
  </w:footnote>
  <w:footnote w:id="1469">
    <w:p w14:paraId="672CDD23" w14:textId="523CC810" w:rsidR="00DE2F5F" w:rsidRDefault="00DE2F5F" w:rsidP="00393099">
      <w:pPr>
        <w:pStyle w:val="a5"/>
        <w:rPr>
          <w:rtl/>
        </w:rPr>
      </w:pPr>
      <w:r>
        <w:rPr>
          <w:rStyle w:val="a7"/>
        </w:rPr>
        <w:footnoteRef/>
      </w:r>
      <w:r>
        <w:rPr>
          <w:rtl/>
        </w:rPr>
        <w:t xml:space="preserve"> </w:t>
      </w:r>
      <w:r w:rsidRPr="002316C6">
        <w:rPr>
          <w:rFonts w:cs="Arial"/>
          <w:rtl/>
        </w:rPr>
        <w:t>נראה דאף שאין המותר בעין רק דברים אחרים הבאין מחמת המותר שלקחה צריך הבעל להחזיר דמ"מ גזל הן בידה</w:t>
      </w:r>
      <w:r w:rsidR="00A63EC6">
        <w:rPr>
          <w:rFonts w:cs="Arial" w:hint="cs"/>
          <w:rtl/>
        </w:rPr>
        <w:t>.</w:t>
      </w:r>
      <w:r w:rsidRPr="002316C6">
        <w:rPr>
          <w:rFonts w:cs="Arial"/>
          <w:rtl/>
        </w:rPr>
        <w:t xml:space="preserve"> ואע</w:t>
      </w:r>
      <w:r w:rsidR="00A63EC6">
        <w:rPr>
          <w:rFonts w:cs="Arial" w:hint="cs"/>
          <w:rtl/>
        </w:rPr>
        <w:t>"</w:t>
      </w:r>
      <w:r w:rsidRPr="002316C6">
        <w:rPr>
          <w:rFonts w:cs="Arial"/>
          <w:rtl/>
        </w:rPr>
        <w:t xml:space="preserve">ג דלעיל </w:t>
      </w:r>
      <w:r w:rsidR="00A63EC6">
        <w:rPr>
          <w:rFonts w:cs="Arial" w:hint="cs"/>
          <w:rtl/>
        </w:rPr>
        <w:t>(</w:t>
      </w:r>
      <w:r w:rsidRPr="002316C6">
        <w:rPr>
          <w:rFonts w:cs="Arial"/>
          <w:rtl/>
        </w:rPr>
        <w:t>סי' צ סקכ"ח</w:t>
      </w:r>
      <w:r w:rsidR="00A63EC6">
        <w:rPr>
          <w:rFonts w:cs="Arial" w:hint="cs"/>
          <w:rtl/>
        </w:rPr>
        <w:t>)</w:t>
      </w:r>
      <w:r w:rsidRPr="002316C6">
        <w:rPr>
          <w:rFonts w:cs="Arial"/>
          <w:rtl/>
        </w:rPr>
        <w:t xml:space="preserve"> לא כתבתי כן</w:t>
      </w:r>
      <w:r w:rsidR="00A63EC6">
        <w:rPr>
          <w:rFonts w:cs="Arial" w:hint="cs"/>
          <w:rtl/>
        </w:rPr>
        <w:t>,</w:t>
      </w:r>
      <w:r w:rsidRPr="002316C6">
        <w:rPr>
          <w:rFonts w:cs="Arial"/>
          <w:rtl/>
        </w:rPr>
        <w:t xml:space="preserve"> יש לחלק</w:t>
      </w:r>
      <w:r w:rsidR="00A63EC6">
        <w:rPr>
          <w:rFonts w:cs="Arial" w:hint="cs"/>
          <w:rtl/>
        </w:rPr>
        <w:t>,</w:t>
      </w:r>
      <w:r w:rsidRPr="002316C6">
        <w:rPr>
          <w:rFonts w:cs="Arial"/>
          <w:rtl/>
        </w:rPr>
        <w:t xml:space="preserve"> מ"מ למעשה צריך להתיישב בדבר</w:t>
      </w:r>
      <w:r>
        <w:rPr>
          <w:rFonts w:hint="cs"/>
          <w:rtl/>
        </w:rPr>
        <w:t>, ח"מ (סק"ט).</w:t>
      </w:r>
    </w:p>
  </w:footnote>
  <w:footnote w:id="1470">
    <w:p w14:paraId="7F17DE73" w14:textId="5C4CE09E" w:rsidR="00DE2F5F" w:rsidRDefault="00DE2F5F" w:rsidP="00393099">
      <w:pPr>
        <w:pStyle w:val="a5"/>
        <w:rPr>
          <w:rtl/>
        </w:rPr>
      </w:pPr>
      <w:r>
        <w:rPr>
          <w:rStyle w:val="a7"/>
        </w:rPr>
        <w:footnoteRef/>
      </w:r>
      <w:r>
        <w:rPr>
          <w:rtl/>
        </w:rPr>
        <w:t xml:space="preserve"> </w:t>
      </w:r>
      <w:r w:rsidRPr="000F5529">
        <w:rPr>
          <w:rFonts w:cs="Arial"/>
          <w:rtl/>
        </w:rPr>
        <w:t>בין שנעשה קודם הנישואין ובין שנעשה אחר כך בין מגוף ובין מפירות שם בנ"י</w:t>
      </w:r>
      <w:r>
        <w:rPr>
          <w:rFonts w:hint="cs"/>
          <w:rtl/>
        </w:rPr>
        <w:t>, ב"ש (סקט"ו).</w:t>
      </w:r>
    </w:p>
  </w:footnote>
  <w:footnote w:id="1471">
    <w:p w14:paraId="74A5491A" w14:textId="06A23BF1" w:rsidR="00DE2F5F" w:rsidRDefault="00DE2F5F" w:rsidP="002316C6">
      <w:pPr>
        <w:pStyle w:val="a5"/>
        <w:rPr>
          <w:rtl/>
        </w:rPr>
      </w:pPr>
      <w:r>
        <w:rPr>
          <w:rStyle w:val="a7"/>
        </w:rPr>
        <w:footnoteRef/>
      </w:r>
      <w:r>
        <w:rPr>
          <w:rtl/>
        </w:rPr>
        <w:t xml:space="preserve"> </w:t>
      </w:r>
      <w:r w:rsidRPr="002316C6">
        <w:rPr>
          <w:rFonts w:cs="Arial"/>
          <w:rtl/>
        </w:rPr>
        <w:t>אע</w:t>
      </w:r>
      <w:r>
        <w:rPr>
          <w:rFonts w:cs="Arial" w:hint="cs"/>
          <w:rtl/>
        </w:rPr>
        <w:t>"</w:t>
      </w:r>
      <w:r w:rsidRPr="002316C6">
        <w:rPr>
          <w:rFonts w:cs="Arial"/>
          <w:rtl/>
        </w:rPr>
        <w:t>ג דבח"מ סי' ס' נתבאר שנהגו שאין טורף ממטלטלין שמכר או נתן או משכן מפני תקנת השוק אפשר דלגבי בעל ל"ש תקנת השוק</w:t>
      </w:r>
      <w:r>
        <w:rPr>
          <w:rFonts w:hint="cs"/>
          <w:rtl/>
        </w:rPr>
        <w:t xml:space="preserve">, </w:t>
      </w:r>
      <w:r w:rsidRPr="006F6760">
        <w:rPr>
          <w:rFonts w:hint="cs"/>
          <w:b/>
          <w:bCs/>
          <w:rtl/>
        </w:rPr>
        <w:t>ח"מ</w:t>
      </w:r>
      <w:r>
        <w:rPr>
          <w:rFonts w:hint="cs"/>
          <w:rtl/>
        </w:rPr>
        <w:t xml:space="preserve"> (סקי"א).</w:t>
      </w:r>
      <w:r w:rsidRPr="000F5529">
        <w:rPr>
          <w:rtl/>
        </w:rPr>
        <w:t xml:space="preserve"> </w:t>
      </w:r>
      <w:r>
        <w:rPr>
          <w:rFonts w:cs="Arial" w:hint="cs"/>
          <w:rtl/>
        </w:rPr>
        <w:t xml:space="preserve">וכ"כ </w:t>
      </w:r>
      <w:r w:rsidRPr="006F6760">
        <w:rPr>
          <w:rFonts w:cs="Arial" w:hint="cs"/>
          <w:b/>
          <w:bCs/>
          <w:rtl/>
        </w:rPr>
        <w:t>הב"ש</w:t>
      </w:r>
      <w:r>
        <w:rPr>
          <w:rFonts w:cs="Arial" w:hint="cs"/>
          <w:rtl/>
        </w:rPr>
        <w:t xml:space="preserve"> (סקי"ז) ד</w:t>
      </w:r>
      <w:r w:rsidRPr="000F5529">
        <w:rPr>
          <w:rFonts w:cs="Arial"/>
          <w:rtl/>
        </w:rPr>
        <w:t>אע</w:t>
      </w:r>
      <w:r>
        <w:rPr>
          <w:rFonts w:cs="Arial" w:hint="cs"/>
          <w:rtl/>
        </w:rPr>
        <w:t>"</w:t>
      </w:r>
      <w:r w:rsidRPr="000F5529">
        <w:rPr>
          <w:rFonts w:cs="Arial"/>
          <w:rtl/>
        </w:rPr>
        <w:t xml:space="preserve">ג </w:t>
      </w:r>
      <w:r>
        <w:rPr>
          <w:rFonts w:cs="Arial" w:hint="cs"/>
          <w:rtl/>
        </w:rPr>
        <w:t>ד</w:t>
      </w:r>
      <w:r w:rsidRPr="000F5529">
        <w:rPr>
          <w:rFonts w:cs="Arial"/>
          <w:rtl/>
        </w:rPr>
        <w:t>הבעל דינו כלוקח מ"מ לענין זה דינו כיורש</w:t>
      </w:r>
      <w:r>
        <w:rPr>
          <w:rFonts w:cs="Arial" w:hint="cs"/>
          <w:rtl/>
        </w:rPr>
        <w:t>.</w:t>
      </w:r>
      <w:r w:rsidRPr="000F5529">
        <w:rPr>
          <w:rFonts w:cs="Arial"/>
          <w:rtl/>
        </w:rPr>
        <w:t xml:space="preserve"> ומלקוחות אין גובין מטלטלין אפילו אם כתב בשטר אג"ק משום תיקון העולם כמ"ש בח"ה סי' ס' וסי' קי"ג ובבעל לא שייך תיקון העולם</w:t>
      </w:r>
      <w:r>
        <w:rPr>
          <w:rFonts w:cs="Arial" w:hint="cs"/>
          <w:rtl/>
        </w:rPr>
        <w:t>.</w:t>
      </w:r>
    </w:p>
  </w:footnote>
  <w:footnote w:id="1472">
    <w:p w14:paraId="0B1AFE78" w14:textId="6922E160" w:rsidR="00DE2F5F" w:rsidRPr="00B41AC8" w:rsidRDefault="00DE2F5F" w:rsidP="00B41AC8">
      <w:pPr>
        <w:pStyle w:val="a5"/>
        <w:rPr>
          <w:rFonts w:cs="Arial"/>
          <w:rtl/>
        </w:rPr>
      </w:pPr>
      <w:r>
        <w:rPr>
          <w:rStyle w:val="a7"/>
        </w:rPr>
        <w:footnoteRef/>
      </w:r>
      <w:r>
        <w:rPr>
          <w:rtl/>
        </w:rPr>
        <w:t xml:space="preserve"> </w:t>
      </w:r>
      <w:r w:rsidRPr="0040257E">
        <w:rPr>
          <w:rFonts w:cs="Arial"/>
          <w:rtl/>
        </w:rPr>
        <w:t>כבר כתבתי דמוכח מתשובת הרמב"ן אשר כתב דין זה דאיירי אפילו מטלטלין של נ"מ אין גובין</w:t>
      </w:r>
      <w:r>
        <w:rPr>
          <w:rFonts w:cs="Arial" w:hint="cs"/>
          <w:rtl/>
        </w:rPr>
        <w:t>,</w:t>
      </w:r>
      <w:r w:rsidRPr="0040257E">
        <w:rPr>
          <w:rFonts w:cs="Arial"/>
          <w:rtl/>
        </w:rPr>
        <w:t xml:space="preserve"> וכן משמע מל' הג"ה</w:t>
      </w:r>
      <w:r>
        <w:rPr>
          <w:rFonts w:cs="Arial" w:hint="cs"/>
          <w:rtl/>
        </w:rPr>
        <w:t>.</w:t>
      </w:r>
      <w:r w:rsidRPr="0040257E">
        <w:rPr>
          <w:rFonts w:cs="Arial"/>
          <w:rtl/>
        </w:rPr>
        <w:t xml:space="preserve"> ומ"מ אם תפס מטלטלין מהני לדידן</w:t>
      </w:r>
      <w:r>
        <w:rPr>
          <w:rFonts w:cs="Arial" w:hint="cs"/>
          <w:rtl/>
        </w:rPr>
        <w:t>,</w:t>
      </w:r>
      <w:r w:rsidRPr="0040257E">
        <w:rPr>
          <w:rFonts w:cs="Arial"/>
          <w:rtl/>
        </w:rPr>
        <w:t xml:space="preserve"> דהא אם דינו כיורש</w:t>
      </w:r>
      <w:r>
        <w:rPr>
          <w:rFonts w:cs="Arial" w:hint="cs"/>
          <w:rtl/>
        </w:rPr>
        <w:t>,</w:t>
      </w:r>
      <w:r w:rsidRPr="0040257E">
        <w:rPr>
          <w:rFonts w:cs="Arial"/>
          <w:rtl/>
        </w:rPr>
        <w:t xml:space="preserve"> גובין </w:t>
      </w:r>
      <w:r>
        <w:rPr>
          <w:rFonts w:cs="Arial" w:hint="cs"/>
          <w:rtl/>
        </w:rPr>
        <w:t>מ</w:t>
      </w:r>
      <w:r w:rsidRPr="0040257E">
        <w:rPr>
          <w:rFonts w:cs="Arial"/>
          <w:rtl/>
        </w:rPr>
        <w:t>מטלטלין דיתמי</w:t>
      </w:r>
      <w:r>
        <w:rPr>
          <w:rFonts w:cs="Arial" w:hint="cs"/>
          <w:rtl/>
        </w:rPr>
        <w:t>.</w:t>
      </w:r>
      <w:r w:rsidRPr="0040257E">
        <w:rPr>
          <w:rFonts w:cs="Arial"/>
          <w:rtl/>
        </w:rPr>
        <w:t xml:space="preserve"> ובפרישה וש"ך</w:t>
      </w:r>
      <w:r>
        <w:rPr>
          <w:rFonts w:cs="Arial" w:hint="cs"/>
          <w:rtl/>
        </w:rPr>
        <w:t xml:space="preserve"> </w:t>
      </w:r>
      <w:r>
        <w:rPr>
          <w:rFonts w:cs="Arial" w:hint="cs"/>
          <w:sz w:val="16"/>
          <w:szCs w:val="16"/>
          <w:rtl/>
        </w:rPr>
        <w:t>{וח"מ (סקי"ב)}</w:t>
      </w:r>
      <w:r w:rsidRPr="0040257E">
        <w:rPr>
          <w:rFonts w:cs="Arial"/>
          <w:rtl/>
        </w:rPr>
        <w:t xml:space="preserve"> פירשו דוקא מטלטלין נצ"ב אין גובין אבל מטלטלין נ"מ גובין</w:t>
      </w:r>
      <w:r>
        <w:rPr>
          <w:rFonts w:cs="Arial" w:hint="cs"/>
          <w:rtl/>
        </w:rPr>
        <w:t>.</w:t>
      </w:r>
      <w:r w:rsidRPr="0040257E">
        <w:rPr>
          <w:rFonts w:cs="Arial"/>
          <w:rtl/>
        </w:rPr>
        <w:t xml:space="preserve"> דלענין מטלטלין לא שויא אותו כלוקח ממש</w:t>
      </w:r>
      <w:r>
        <w:rPr>
          <w:rFonts w:cs="Arial" w:hint="cs"/>
          <w:rtl/>
        </w:rPr>
        <w:t>.</w:t>
      </w:r>
      <w:r w:rsidRPr="0040257E">
        <w:rPr>
          <w:rFonts w:cs="Arial"/>
          <w:rtl/>
        </w:rPr>
        <w:t xml:space="preserve"> ובד"מ הביא תשובת הרא"ש כלל ל"ב דגובין מן מטלטלין</w:t>
      </w:r>
      <w:r>
        <w:rPr>
          <w:rFonts w:cs="Arial" w:hint="cs"/>
          <w:rtl/>
        </w:rPr>
        <w:t>,</w:t>
      </w:r>
      <w:r w:rsidRPr="0040257E">
        <w:rPr>
          <w:rFonts w:cs="Arial"/>
          <w:rtl/>
        </w:rPr>
        <w:t xml:space="preserve"> וכתב די"ל דאיירי כשכתב למלוה מטלטלין אג"ק ואינו חולק על תשובת הרמב"ן הנ"ל</w:t>
      </w:r>
      <w:r>
        <w:rPr>
          <w:rFonts w:cs="Arial" w:hint="cs"/>
          <w:rtl/>
        </w:rPr>
        <w:t>.</w:t>
      </w:r>
      <w:r w:rsidRPr="0040257E">
        <w:rPr>
          <w:rFonts w:cs="Arial"/>
          <w:rtl/>
        </w:rPr>
        <w:t xml:space="preserve"> ועוד תי' </w:t>
      </w:r>
      <w:r>
        <w:rPr>
          <w:rFonts w:cs="Arial" w:hint="cs"/>
          <w:rtl/>
        </w:rPr>
        <w:t>ש</w:t>
      </w:r>
      <w:r w:rsidRPr="0040257E">
        <w:rPr>
          <w:rFonts w:cs="Arial"/>
          <w:rtl/>
        </w:rPr>
        <w:t>תשו' הרא"ש איירי אחר מיתתה אז דינו כיורש</w:t>
      </w:r>
      <w:r>
        <w:rPr>
          <w:rFonts w:cs="Arial" w:hint="cs"/>
          <w:rtl/>
        </w:rPr>
        <w:t>.</w:t>
      </w:r>
      <w:r w:rsidRPr="0040257E">
        <w:rPr>
          <w:rFonts w:cs="Arial"/>
          <w:rtl/>
        </w:rPr>
        <w:t xml:space="preserve"> ובח"מ הביא תירוץ זה</w:t>
      </w:r>
      <w:r>
        <w:rPr>
          <w:rFonts w:cs="Arial" w:hint="cs"/>
          <w:rtl/>
        </w:rPr>
        <w:t>.</w:t>
      </w:r>
      <w:r w:rsidRPr="0040257E">
        <w:rPr>
          <w:rFonts w:cs="Arial"/>
          <w:rtl/>
        </w:rPr>
        <w:t xml:space="preserve"> ולכאורה ענין תמוה</w:t>
      </w:r>
      <w:r>
        <w:rPr>
          <w:rFonts w:cs="Arial" w:hint="cs"/>
          <w:rtl/>
        </w:rPr>
        <w:t>,</w:t>
      </w:r>
      <w:r w:rsidRPr="0040257E">
        <w:rPr>
          <w:rFonts w:cs="Arial"/>
          <w:rtl/>
        </w:rPr>
        <w:t xml:space="preserve"> דהא מלוה בעל פה כתבתי בסמוך אחר מיתתה דינו כלוקח</w:t>
      </w:r>
      <w:r>
        <w:rPr>
          <w:rFonts w:cs="Arial" w:hint="cs"/>
          <w:rtl/>
        </w:rPr>
        <w:t>,</w:t>
      </w:r>
      <w:r w:rsidRPr="0040257E">
        <w:rPr>
          <w:rFonts w:cs="Arial"/>
          <w:rtl/>
        </w:rPr>
        <w:t xml:space="preserve"> וכן לענין שומא הדרא</w:t>
      </w:r>
      <w:r>
        <w:rPr>
          <w:rFonts w:cs="Arial" w:hint="cs"/>
          <w:rtl/>
        </w:rPr>
        <w:t>,</w:t>
      </w:r>
      <w:r w:rsidRPr="0040257E">
        <w:rPr>
          <w:rFonts w:cs="Arial"/>
          <w:rtl/>
        </w:rPr>
        <w:t xml:space="preserve"> ומנ"ל לומר לענין מטלטלין דינו כיורש אחר מיתתה</w:t>
      </w:r>
      <w:r>
        <w:rPr>
          <w:rFonts w:cs="Arial" w:hint="cs"/>
          <w:rtl/>
        </w:rPr>
        <w:t>,</w:t>
      </w:r>
      <w:r w:rsidRPr="0040257E">
        <w:rPr>
          <w:rFonts w:cs="Arial"/>
          <w:rtl/>
        </w:rPr>
        <w:t xml:space="preserve"> וצל"ע</w:t>
      </w:r>
      <w:r w:rsidR="006F6760">
        <w:rPr>
          <w:rFonts w:cs="Arial" w:hint="cs"/>
          <w:rtl/>
        </w:rPr>
        <w:t>, ב"ש (סקי"ח)</w:t>
      </w:r>
      <w:r>
        <w:rPr>
          <w:rFonts w:cs="Arial" w:hint="cs"/>
          <w:rtl/>
        </w:rPr>
        <w:t>.</w:t>
      </w:r>
      <w:r w:rsidRPr="0040257E">
        <w:rPr>
          <w:rFonts w:cs="Arial"/>
          <w:rtl/>
        </w:rPr>
        <w:t xml:space="preserve"> </w:t>
      </w:r>
    </w:p>
  </w:footnote>
  <w:footnote w:id="1473">
    <w:p w14:paraId="2C4CC3AE" w14:textId="4A6F47F1" w:rsidR="00DE2F5F" w:rsidRDefault="00DE2F5F" w:rsidP="00D33625">
      <w:pPr>
        <w:pStyle w:val="a5"/>
        <w:rPr>
          <w:rtl/>
        </w:rPr>
      </w:pPr>
      <w:r>
        <w:rPr>
          <w:rStyle w:val="a7"/>
        </w:rPr>
        <w:footnoteRef/>
      </w:r>
      <w:r>
        <w:rPr>
          <w:rtl/>
        </w:rPr>
        <w:t xml:space="preserve"> </w:t>
      </w:r>
      <w:r w:rsidRPr="00D33625">
        <w:rPr>
          <w:rFonts w:cs="Arial"/>
          <w:rtl/>
        </w:rPr>
        <w:t xml:space="preserve">ולא תני </w:t>
      </w:r>
      <w:r>
        <w:rPr>
          <w:rFonts w:cs="Arial" w:hint="cs"/>
          <w:rtl/>
        </w:rPr>
        <w:t>'</w:t>
      </w:r>
      <w:r w:rsidRPr="00D33625">
        <w:rPr>
          <w:rFonts w:cs="Arial"/>
          <w:rtl/>
        </w:rPr>
        <w:t>כותב</w:t>
      </w:r>
      <w:r>
        <w:rPr>
          <w:rFonts w:cs="Arial" w:hint="cs"/>
          <w:rtl/>
        </w:rPr>
        <w:t>',</w:t>
      </w:r>
      <w:r w:rsidRPr="00D33625">
        <w:rPr>
          <w:rFonts w:cs="Arial"/>
          <w:rtl/>
        </w:rPr>
        <w:t xml:space="preserve"> דאשמועינן דבאמירה בעלמא נמי סליק נפשיה בלא שום קנין וכתיבה</w:t>
      </w:r>
      <w:r>
        <w:rPr>
          <w:rFonts w:hint="cs"/>
          <w:rtl/>
        </w:rPr>
        <w:t>, רש"י.</w:t>
      </w:r>
    </w:p>
  </w:footnote>
  <w:footnote w:id="1474">
    <w:p w14:paraId="5FEEA227" w14:textId="1CA98B21" w:rsidR="00DE2F5F" w:rsidRDefault="00DE2F5F" w:rsidP="00BF2308">
      <w:pPr>
        <w:pStyle w:val="a5"/>
        <w:rPr>
          <w:rtl/>
        </w:rPr>
      </w:pPr>
      <w:r>
        <w:rPr>
          <w:rStyle w:val="a7"/>
        </w:rPr>
        <w:footnoteRef/>
      </w:r>
      <w:r>
        <w:rPr>
          <w:rtl/>
        </w:rPr>
        <w:t xml:space="preserve"> </w:t>
      </w:r>
      <w:r>
        <w:rPr>
          <w:rFonts w:cs="Arial"/>
          <w:rtl/>
        </w:rPr>
        <w:t>ודאי מי שהקרקע שלו ובא ליתנו לחבירו צריך לשון מתנה ומתניתין בכותב לה עד שלא זכה בנכסים ומתנה על מנת שלא יזכה בהם לכשישאנה ואין צריך לשון מתנה שהרי אין לו עכשיו רשות בהם</w:t>
      </w:r>
      <w:r>
        <w:rPr>
          <w:rFonts w:hint="cs"/>
          <w:rtl/>
        </w:rPr>
        <w:t>, רש"י.</w:t>
      </w:r>
    </w:p>
  </w:footnote>
  <w:footnote w:id="1475">
    <w:p w14:paraId="0B4CF346" w14:textId="511BCCA4" w:rsidR="00DE2F5F" w:rsidRDefault="00DE2F5F" w:rsidP="00BF2308">
      <w:pPr>
        <w:pStyle w:val="a5"/>
        <w:rPr>
          <w:rtl/>
        </w:rPr>
      </w:pPr>
      <w:r>
        <w:rPr>
          <w:rStyle w:val="a7"/>
        </w:rPr>
        <w:footnoteRef/>
      </w:r>
      <w:r>
        <w:rPr>
          <w:rtl/>
        </w:rPr>
        <w:t xml:space="preserve"> </w:t>
      </w:r>
      <w:r w:rsidRPr="00BF2308">
        <w:rPr>
          <w:rFonts w:cs="Arial"/>
          <w:rtl/>
        </w:rPr>
        <w:t>שאינה ירושת אבותיו אלא ע"י מעשיו תבא לו כגון נחלת אשתו הבאה לו ע"י נשואין שלו דהואיל ומשום תקנתא דידיה תקון רבנן והוא בא למחול עליה מוחל וכדרב הונא</w:t>
      </w:r>
      <w:r>
        <w:rPr>
          <w:rFonts w:hint="cs"/>
          <w:rtl/>
        </w:rPr>
        <w:t>, רש"י.</w:t>
      </w:r>
    </w:p>
  </w:footnote>
  <w:footnote w:id="1476">
    <w:p w14:paraId="4F037CF5" w14:textId="0713CB29" w:rsidR="00DE2F5F" w:rsidRDefault="00DE2F5F" w:rsidP="00BF2308">
      <w:pPr>
        <w:pStyle w:val="a5"/>
        <w:rPr>
          <w:rtl/>
        </w:rPr>
      </w:pPr>
      <w:r>
        <w:rPr>
          <w:rStyle w:val="a7"/>
        </w:rPr>
        <w:footnoteRef/>
      </w:r>
      <w:r>
        <w:rPr>
          <w:rtl/>
        </w:rPr>
        <w:t xml:space="preserve"> </w:t>
      </w:r>
      <w:r w:rsidRPr="00BF2308">
        <w:rPr>
          <w:rFonts w:cs="Arial"/>
          <w:rtl/>
        </w:rPr>
        <w:t>שתיקנו לטובתי ואינה טובה לי</w:t>
      </w:r>
      <w:r>
        <w:rPr>
          <w:rFonts w:hint="cs"/>
          <w:rtl/>
        </w:rPr>
        <w:t>, רש"י.</w:t>
      </w:r>
    </w:p>
  </w:footnote>
  <w:footnote w:id="1477">
    <w:p w14:paraId="17C1BD4E" w14:textId="4E970177" w:rsidR="00DE2F5F" w:rsidRDefault="00DE2F5F" w:rsidP="00BF2308">
      <w:pPr>
        <w:pStyle w:val="a5"/>
        <w:rPr>
          <w:rtl/>
        </w:rPr>
      </w:pPr>
      <w:r>
        <w:rPr>
          <w:rStyle w:val="a7"/>
        </w:rPr>
        <w:footnoteRef/>
      </w:r>
      <w:r>
        <w:rPr>
          <w:rtl/>
        </w:rPr>
        <w:t xml:space="preserve"> </w:t>
      </w:r>
      <w:r>
        <w:rPr>
          <w:rFonts w:cs="Arial"/>
          <w:rtl/>
        </w:rPr>
        <w:t>דטעמא משום דתקנתה דידיה היא ויכול למחול עליה אמאי איצטריך דבי רבי ינאי לאוקומה בכותב לה ועודה ארוסה אפילו נשואה נמי</w:t>
      </w:r>
      <w:r>
        <w:rPr>
          <w:rFonts w:hint="cs"/>
          <w:rtl/>
        </w:rPr>
        <w:t>, רש"י.</w:t>
      </w:r>
    </w:p>
  </w:footnote>
  <w:footnote w:id="1478">
    <w:p w14:paraId="43550543" w14:textId="33F03251" w:rsidR="00DE2F5F" w:rsidRDefault="00DE2F5F" w:rsidP="00BF2308">
      <w:pPr>
        <w:pStyle w:val="a5"/>
        <w:rPr>
          <w:rtl/>
        </w:rPr>
      </w:pPr>
      <w:r>
        <w:rPr>
          <w:rStyle w:val="a7"/>
        </w:rPr>
        <w:footnoteRef/>
      </w:r>
      <w:r>
        <w:rPr>
          <w:rtl/>
        </w:rPr>
        <w:t xml:space="preserve"> </w:t>
      </w:r>
      <w:r>
        <w:rPr>
          <w:rFonts w:cs="Arial"/>
          <w:rtl/>
        </w:rPr>
        <w:t>והרי הוא כשותף בהן וכיון שנכסים שלו צריך לשון מתנה ואין מועיל לשון דין ודברים</w:t>
      </w:r>
      <w:r>
        <w:rPr>
          <w:rFonts w:hint="cs"/>
          <w:rtl/>
        </w:rPr>
        <w:t>, רש"י.</w:t>
      </w:r>
    </w:p>
  </w:footnote>
  <w:footnote w:id="1479">
    <w:p w14:paraId="546729B0" w14:textId="5CFC07DE" w:rsidR="00DE2F5F" w:rsidRDefault="00DE2F5F" w:rsidP="003009B8">
      <w:pPr>
        <w:pStyle w:val="a5"/>
        <w:rPr>
          <w:rtl/>
        </w:rPr>
      </w:pPr>
      <w:r>
        <w:rPr>
          <w:rStyle w:val="a7"/>
        </w:rPr>
        <w:footnoteRef/>
      </w:r>
      <w:r>
        <w:rPr>
          <w:rtl/>
        </w:rPr>
        <w:t xml:space="preserve"> </w:t>
      </w:r>
      <w:r w:rsidRPr="003009B8">
        <w:rPr>
          <w:rFonts w:cs="Arial"/>
          <w:rtl/>
        </w:rPr>
        <w:t>אברייתא דהאומר לחבירו דין ודברים אין לי על שדה זו קאי אבל אמתניתין לא מהניא קנין ליפות כחה דהא באמירה בלא לשון מתנה סגי לאסתלוקי אפילו מגופה של קרקע היכא דפריש כדקתני סיפא</w:t>
      </w:r>
      <w:r>
        <w:rPr>
          <w:rFonts w:hint="cs"/>
          <w:rtl/>
        </w:rPr>
        <w:t>..., רש"י.</w:t>
      </w:r>
      <w:r w:rsidRPr="00233EB8">
        <w:rPr>
          <w:rFonts w:cs="Arial"/>
          <w:rtl/>
        </w:rPr>
        <w:t xml:space="preserve"> </w:t>
      </w:r>
      <w:r w:rsidRPr="00F31ACB">
        <w:rPr>
          <w:rFonts w:cs="Arial"/>
          <w:rtl/>
        </w:rPr>
        <w:t>והתוספות (כתובות שם ד"ה קנו) הקשו על פירוש רש"י</w:t>
      </w:r>
      <w:r>
        <w:rPr>
          <w:rFonts w:cs="Arial" w:hint="cs"/>
          <w:rtl/>
        </w:rPr>
        <w:t>,</w:t>
      </w:r>
      <w:r w:rsidRPr="00F31ACB">
        <w:rPr>
          <w:rFonts w:cs="Arial"/>
          <w:rtl/>
        </w:rPr>
        <w:t xml:space="preserve"> וכתבו דנראה לר"י דאנשואה קאי דאמרינן דידו כידה אי מהני לה שום קנין. והרא"ש (שם) כתב על פירוש רש"י</w:t>
      </w:r>
      <w:r>
        <w:rPr>
          <w:rFonts w:cs="Arial" w:hint="cs"/>
          <w:rtl/>
        </w:rPr>
        <w:t>-</w:t>
      </w:r>
      <w:r w:rsidRPr="00F31ACB">
        <w:rPr>
          <w:rFonts w:cs="Arial"/>
          <w:rtl/>
        </w:rPr>
        <w:t xml:space="preserve"> וקשה מה הועיל שם קנין</w:t>
      </w:r>
      <w:r>
        <w:rPr>
          <w:rFonts w:cs="Arial" w:hint="cs"/>
          <w:rtl/>
        </w:rPr>
        <w:t>,</w:t>
      </w:r>
      <w:r w:rsidRPr="00F31ACB">
        <w:rPr>
          <w:rFonts w:cs="Arial"/>
          <w:rtl/>
        </w:rPr>
        <w:t xml:space="preserve"> למי הוא מקנה אותה</w:t>
      </w:r>
      <w:r>
        <w:rPr>
          <w:rFonts w:cs="Arial" w:hint="cs"/>
          <w:rtl/>
        </w:rPr>
        <w:t>.</w:t>
      </w:r>
      <w:r w:rsidRPr="00F31ACB">
        <w:rPr>
          <w:rFonts w:cs="Arial"/>
          <w:rtl/>
        </w:rPr>
        <w:t xml:space="preserve"> דדין ודברים אין לי בה אינו אלא לשון הפקר</w:t>
      </w:r>
      <w:r>
        <w:rPr>
          <w:rFonts w:cs="Arial" w:hint="cs"/>
          <w:rtl/>
        </w:rPr>
        <w:t>.</w:t>
      </w:r>
      <w:r w:rsidRPr="00F31ACB">
        <w:rPr>
          <w:rFonts w:cs="Arial"/>
          <w:rtl/>
        </w:rPr>
        <w:t xml:space="preserve"> הילכך נראה דאנשואה קאי דלא מהני דין ודברים משום דידו כידה</w:t>
      </w:r>
      <w:r>
        <w:rPr>
          <w:rFonts w:cs="Arial" w:hint="cs"/>
          <w:rtl/>
        </w:rPr>
        <w:t>,</w:t>
      </w:r>
      <w:r w:rsidRPr="00F31ACB">
        <w:rPr>
          <w:rFonts w:cs="Arial"/>
          <w:rtl/>
        </w:rPr>
        <w:t xml:space="preserve"> ומיבעי להו אי מהני קנין</w:t>
      </w:r>
      <w:r>
        <w:rPr>
          <w:rFonts w:cs="Arial" w:hint="cs"/>
          <w:rtl/>
        </w:rPr>
        <w:t>.</w:t>
      </w:r>
      <w:r w:rsidRPr="00F31ACB">
        <w:rPr>
          <w:rFonts w:cs="Arial"/>
          <w:rtl/>
        </w:rPr>
        <w:t xml:space="preserve"> ויש לקיים פירוש רש"י דכיון שאומר לחבירו שהוא שותף עמו והקנה לו</w:t>
      </w:r>
      <w:r>
        <w:rPr>
          <w:rFonts w:cs="Arial" w:hint="cs"/>
          <w:rtl/>
        </w:rPr>
        <w:t>,</w:t>
      </w:r>
      <w:r w:rsidRPr="00F31ACB">
        <w:rPr>
          <w:rFonts w:cs="Arial"/>
          <w:rtl/>
        </w:rPr>
        <w:t xml:space="preserve"> מוכח שהוא מקנה לו השדה</w:t>
      </w:r>
      <w:r>
        <w:rPr>
          <w:rFonts w:cs="Arial" w:hint="cs"/>
          <w:rtl/>
        </w:rPr>
        <w:t>.</w:t>
      </w:r>
      <w:r w:rsidRPr="00F31ACB">
        <w:rPr>
          <w:rFonts w:cs="Arial"/>
          <w:rtl/>
        </w:rPr>
        <w:t xml:space="preserve"> ורב אלפס (מא:) כתב קנו מידו של בעל ועודה ארוסה מהו</w:t>
      </w:r>
      <w:r>
        <w:rPr>
          <w:rFonts w:cs="Arial" w:hint="cs"/>
          <w:rtl/>
        </w:rPr>
        <w:t>.</w:t>
      </w:r>
      <w:r w:rsidRPr="00F31ACB">
        <w:rPr>
          <w:rFonts w:cs="Arial"/>
          <w:rtl/>
        </w:rPr>
        <w:t xml:space="preserve"> וקשה</w:t>
      </w:r>
      <w:r>
        <w:rPr>
          <w:rFonts w:cs="Arial" w:hint="cs"/>
          <w:rtl/>
        </w:rPr>
        <w:t>,</w:t>
      </w:r>
      <w:r w:rsidRPr="00F31ACB">
        <w:rPr>
          <w:rFonts w:cs="Arial"/>
          <w:rtl/>
        </w:rPr>
        <w:t xml:space="preserve"> דהא אפילו באמירה מועיל</w:t>
      </w:r>
      <w:r>
        <w:rPr>
          <w:rFonts w:cs="Arial" w:hint="cs"/>
          <w:rtl/>
        </w:rPr>
        <w:t>.</w:t>
      </w:r>
      <w:r w:rsidRPr="00F31ACB">
        <w:rPr>
          <w:rFonts w:cs="Arial"/>
          <w:rtl/>
        </w:rPr>
        <w:t xml:space="preserve"> וכוונתו שאם אמר דין ודברים אין לי בנכסיך וקנו מידו אם נסתלק גם מפירות וירושה</w:t>
      </w:r>
      <w:r>
        <w:rPr>
          <w:rFonts w:cs="Arial" w:hint="cs"/>
          <w:rtl/>
        </w:rPr>
        <w:t>.</w:t>
      </w:r>
      <w:r w:rsidRPr="00F31ACB">
        <w:rPr>
          <w:rFonts w:cs="Arial"/>
          <w:rtl/>
        </w:rPr>
        <w:t xml:space="preserve"> וקשה</w:t>
      </w:r>
      <w:r>
        <w:rPr>
          <w:rFonts w:cs="Arial" w:hint="cs"/>
          <w:rtl/>
        </w:rPr>
        <w:t>,</w:t>
      </w:r>
      <w:r w:rsidRPr="00F31ACB">
        <w:rPr>
          <w:rFonts w:cs="Arial"/>
          <w:rtl/>
        </w:rPr>
        <w:t xml:space="preserve"> כיון דטעמא דלא נסתלק משום דיד בעל השטר על התחתונה</w:t>
      </w:r>
      <w:r>
        <w:rPr>
          <w:rFonts w:cs="Arial" w:hint="cs"/>
          <w:rtl/>
        </w:rPr>
        <w:t>,</w:t>
      </w:r>
      <w:r w:rsidRPr="00F31ACB">
        <w:rPr>
          <w:rFonts w:cs="Arial"/>
          <w:rtl/>
        </w:rPr>
        <w:t xml:space="preserve"> או מדקדוק הלשון דבנכסייך ולא בפירות בנכסייך ולא לאחר מיתה לרב אשי</w:t>
      </w:r>
      <w:r>
        <w:rPr>
          <w:rFonts w:cs="Arial" w:hint="cs"/>
          <w:rtl/>
        </w:rPr>
        <w:t>,</w:t>
      </w:r>
      <w:r w:rsidRPr="00F31ACB">
        <w:rPr>
          <w:rFonts w:cs="Arial"/>
          <w:rtl/>
        </w:rPr>
        <w:t xml:space="preserve"> מאי מהני קנין לדבר שאינו שלו ממשמעות הלשון</w:t>
      </w:r>
      <w:r>
        <w:rPr>
          <w:rFonts w:cs="Arial" w:hint="cs"/>
          <w:rtl/>
        </w:rPr>
        <w:t>.</w:t>
      </w:r>
      <w:r w:rsidRPr="00F31ACB">
        <w:rPr>
          <w:rFonts w:cs="Arial"/>
          <w:rtl/>
        </w:rPr>
        <w:t xml:space="preserve"> ופירוש רש"י עיקר</w:t>
      </w:r>
      <w:r>
        <w:rPr>
          <w:rFonts w:cs="Arial" w:hint="cs"/>
          <w:rtl/>
        </w:rPr>
        <w:t>.</w:t>
      </w:r>
      <w:r w:rsidRPr="00F31ACB">
        <w:rPr>
          <w:rFonts w:cs="Arial"/>
          <w:rtl/>
        </w:rPr>
        <w:t xml:space="preserve"> עכ"ל</w:t>
      </w:r>
      <w:r>
        <w:rPr>
          <w:rFonts w:hint="cs"/>
          <w:rtl/>
        </w:rPr>
        <w:t>.</w:t>
      </w:r>
    </w:p>
  </w:footnote>
  <w:footnote w:id="1480">
    <w:p w14:paraId="7DF0E4B6" w14:textId="2286DC14" w:rsidR="00DE2F5F" w:rsidRDefault="00DE2F5F" w:rsidP="007E16F2">
      <w:pPr>
        <w:pStyle w:val="a5"/>
        <w:rPr>
          <w:rtl/>
        </w:rPr>
      </w:pPr>
      <w:r>
        <w:rPr>
          <w:rStyle w:val="a7"/>
        </w:rPr>
        <w:footnoteRef/>
      </w:r>
      <w:r>
        <w:rPr>
          <w:rtl/>
        </w:rPr>
        <w:t xml:space="preserve"> </w:t>
      </w:r>
      <w:r w:rsidRPr="007E16F2">
        <w:rPr>
          <w:rFonts w:cs="Arial"/>
          <w:rtl/>
        </w:rPr>
        <w:t>מי אמרי' לא הקנה בחליפין הללו כלום ולא אמר עליה אלא לשון דין ודברים</w:t>
      </w:r>
      <w:r>
        <w:rPr>
          <w:rFonts w:cs="Arial" w:hint="cs"/>
          <w:rtl/>
        </w:rPr>
        <w:t>.</w:t>
      </w:r>
      <w:r w:rsidRPr="007E16F2">
        <w:rPr>
          <w:rFonts w:cs="Arial"/>
          <w:rtl/>
        </w:rPr>
        <w:t xml:space="preserve"> או דלמא אין חליפין באים אלא לדבר שיש בו ממש שזה קונה את הסודר ומקנה לו חפץ המכר או המתנה</w:t>
      </w:r>
      <w:r>
        <w:rPr>
          <w:rFonts w:cs="Arial" w:hint="cs"/>
          <w:rtl/>
        </w:rPr>
        <w:t>,</w:t>
      </w:r>
      <w:r w:rsidRPr="007E16F2">
        <w:rPr>
          <w:rFonts w:cs="Arial"/>
          <w:rtl/>
        </w:rPr>
        <w:t xml:space="preserve"> ועל גופה של קרקע קנו מידו ומתנה גמורה היא</w:t>
      </w:r>
      <w:r>
        <w:rPr>
          <w:rFonts w:hint="cs"/>
          <w:rtl/>
        </w:rPr>
        <w:t>, רש"י.</w:t>
      </w:r>
    </w:p>
  </w:footnote>
  <w:footnote w:id="1481">
    <w:p w14:paraId="517A9A93" w14:textId="421082FD" w:rsidR="00DE2F5F" w:rsidRDefault="00DE2F5F" w:rsidP="003009B8">
      <w:pPr>
        <w:pStyle w:val="a5"/>
        <w:rPr>
          <w:rtl/>
        </w:rPr>
      </w:pPr>
      <w:r>
        <w:rPr>
          <w:rStyle w:val="a7"/>
        </w:rPr>
        <w:footnoteRef/>
      </w:r>
      <w:r>
        <w:rPr>
          <w:rtl/>
        </w:rPr>
        <w:t xml:space="preserve"> </w:t>
      </w:r>
      <w:r w:rsidRPr="007E16F2">
        <w:rPr>
          <w:rFonts w:cs="Arial"/>
          <w:rtl/>
        </w:rPr>
        <w:t>מה שפירש על הקנין קנו מידו והוא לשון דין ודברים ואינו כלום</w:t>
      </w:r>
      <w:r>
        <w:rPr>
          <w:rFonts w:hint="cs"/>
          <w:rtl/>
        </w:rPr>
        <w:t>, רש"י.</w:t>
      </w:r>
    </w:p>
  </w:footnote>
  <w:footnote w:id="1482">
    <w:p w14:paraId="599AADDD" w14:textId="31E8A084" w:rsidR="00DE2F5F" w:rsidRDefault="00DE2F5F" w:rsidP="003009B8">
      <w:pPr>
        <w:pStyle w:val="a5"/>
        <w:rPr>
          <w:rtl/>
        </w:rPr>
      </w:pPr>
      <w:r>
        <w:rPr>
          <w:rStyle w:val="a7"/>
        </w:rPr>
        <w:footnoteRef/>
      </w:r>
      <w:r>
        <w:rPr>
          <w:rtl/>
        </w:rPr>
        <w:t xml:space="preserve"> </w:t>
      </w:r>
      <w:r w:rsidRPr="007E16F2">
        <w:rPr>
          <w:rFonts w:cs="Arial"/>
          <w:rtl/>
        </w:rPr>
        <w:t>כשבא חברו זה להחזיק בחלקו מיד עמד וערער על המתנה ואמר לא נתתי לך את השדה ודין ודברים בעלמא אמרתי לך שלא אריב עמך</w:t>
      </w:r>
      <w:r>
        <w:rPr>
          <w:rFonts w:hint="cs"/>
          <w:rtl/>
        </w:rPr>
        <w:t>, רש"י.</w:t>
      </w:r>
    </w:p>
  </w:footnote>
  <w:footnote w:id="1483">
    <w:p w14:paraId="6D3564FE" w14:textId="2A7FAF21" w:rsidR="00DE2F5F" w:rsidRDefault="00DE2F5F" w:rsidP="003009B8">
      <w:pPr>
        <w:pStyle w:val="a5"/>
        <w:rPr>
          <w:rtl/>
        </w:rPr>
      </w:pPr>
      <w:r>
        <w:rPr>
          <w:rStyle w:val="a7"/>
        </w:rPr>
        <w:footnoteRef/>
      </w:r>
      <w:r>
        <w:rPr>
          <w:rtl/>
        </w:rPr>
        <w:t xml:space="preserve"> </w:t>
      </w:r>
      <w:r w:rsidRPr="007E16F2">
        <w:rPr>
          <w:rFonts w:cs="Arial"/>
          <w:rtl/>
        </w:rPr>
        <w:t>יום או יומים ואח"כ ערער לא דהשתא הוא דקא הדר ביה ולמדוהו לטעון כך</w:t>
      </w:r>
      <w:r>
        <w:rPr>
          <w:rFonts w:hint="cs"/>
          <w:rtl/>
        </w:rPr>
        <w:t>, רש"י.</w:t>
      </w:r>
    </w:p>
  </w:footnote>
  <w:footnote w:id="1484">
    <w:p w14:paraId="463BCFEF" w14:textId="28A8E4F3" w:rsidR="00DE2F5F" w:rsidRDefault="00DE2F5F">
      <w:pPr>
        <w:pStyle w:val="a5"/>
      </w:pPr>
      <w:r>
        <w:rPr>
          <w:rStyle w:val="a7"/>
        </w:rPr>
        <w:footnoteRef/>
      </w:r>
      <w:r>
        <w:rPr>
          <w:rtl/>
        </w:rPr>
        <w:t xml:space="preserve"> </w:t>
      </w:r>
      <w:r w:rsidRPr="003171A6">
        <w:rPr>
          <w:rFonts w:cs="Arial"/>
          <w:rtl/>
        </w:rPr>
        <w:t xml:space="preserve">בהגהות אלפסי (מא. אות א) </w:t>
      </w:r>
      <w:r>
        <w:rPr>
          <w:rFonts w:cs="Arial" w:hint="cs"/>
          <w:rtl/>
        </w:rPr>
        <w:t xml:space="preserve">כתב </w:t>
      </w:r>
      <w:r w:rsidRPr="003171A6">
        <w:rPr>
          <w:rFonts w:cs="Arial"/>
          <w:rtl/>
        </w:rPr>
        <w:t>דאין לבעל כלום במעות שקבלה מן המכירה</w:t>
      </w:r>
      <w:r>
        <w:rPr>
          <w:rFonts w:cs="Arial" w:hint="cs"/>
          <w:rtl/>
        </w:rPr>
        <w:t>.</w:t>
      </w:r>
      <w:r w:rsidRPr="003171A6">
        <w:rPr>
          <w:rFonts w:cs="Arial"/>
          <w:rtl/>
        </w:rPr>
        <w:t xml:space="preserve"> ואם לקחה בהן קרקע הבעל אוכל פירות</w:t>
      </w:r>
      <w:r>
        <w:rPr>
          <w:rFonts w:cs="Arial" w:hint="cs"/>
          <w:rtl/>
        </w:rPr>
        <w:t>, דרכ"מ (אות א).</w:t>
      </w:r>
      <w:r w:rsidRPr="00C14D0E">
        <w:rPr>
          <w:rFonts w:cs="Arial" w:hint="cs"/>
          <w:color w:val="00B0F0"/>
          <w:rtl/>
        </w:rPr>
        <w:t xml:space="preserve"> </w:t>
      </w:r>
      <w:r w:rsidRPr="00234CC7">
        <w:rPr>
          <w:rFonts w:cs="Arial" w:hint="cs"/>
          <w:color w:val="00B0F0"/>
          <w:rtl/>
        </w:rPr>
        <w:t>(וכ"</w:t>
      </w:r>
      <w:r>
        <w:rPr>
          <w:rFonts w:cs="Arial" w:hint="cs"/>
          <w:color w:val="00B0F0"/>
          <w:rtl/>
        </w:rPr>
        <w:t>פ</w:t>
      </w:r>
      <w:r w:rsidRPr="00234CC7">
        <w:rPr>
          <w:rFonts w:cs="Arial" w:hint="cs"/>
          <w:color w:val="00B0F0"/>
          <w:rtl/>
        </w:rPr>
        <w:t xml:space="preserve"> </w:t>
      </w:r>
      <w:r>
        <w:rPr>
          <w:rFonts w:cs="Arial" w:hint="cs"/>
          <w:color w:val="00B0F0"/>
          <w:rtl/>
        </w:rPr>
        <w:t>בהג"ה)</w:t>
      </w:r>
    </w:p>
  </w:footnote>
  <w:footnote w:id="1485">
    <w:p w14:paraId="5A669013" w14:textId="241D9491" w:rsidR="00DE2F5F" w:rsidRDefault="00DE2F5F" w:rsidP="00D73933">
      <w:pPr>
        <w:pStyle w:val="a5"/>
        <w:rPr>
          <w:rtl/>
        </w:rPr>
      </w:pPr>
      <w:r>
        <w:rPr>
          <w:rStyle w:val="a7"/>
        </w:rPr>
        <w:footnoteRef/>
      </w:r>
      <w:r>
        <w:rPr>
          <w:rtl/>
        </w:rPr>
        <w:t xml:space="preserve"> </w:t>
      </w:r>
      <w:r w:rsidRPr="00D73933">
        <w:rPr>
          <w:rFonts w:cs="Arial"/>
          <w:rtl/>
        </w:rPr>
        <w:t xml:space="preserve">יצא לו ממ"ש בפרק חזקת </w:t>
      </w:r>
      <w:r>
        <w:rPr>
          <w:rFonts w:cs="Arial" w:hint="cs"/>
          <w:rtl/>
        </w:rPr>
        <w:t xml:space="preserve">(ב"ב מג.) </w:t>
      </w:r>
      <w:r w:rsidRPr="00D73933">
        <w:rPr>
          <w:rFonts w:cs="Arial"/>
          <w:rtl/>
        </w:rPr>
        <w:t>גבי הא דהאומר לחבירו דין ודברים אין לי על שדה זו שאם קנו מידו דקנה חבירו ולא יהא כח הבעל גדול בנכסי אשתו מכח השותף בחלקו וזה פשוט ומוסכם</w:t>
      </w:r>
      <w:r>
        <w:rPr>
          <w:rFonts w:cs="Arial" w:hint="cs"/>
          <w:rtl/>
        </w:rPr>
        <w:t>, הה"מ (שם).</w:t>
      </w:r>
      <w:r w:rsidRPr="00D73933">
        <w:rPr>
          <w:rFonts w:cs="Arial"/>
          <w:rtl/>
        </w:rPr>
        <w:t xml:space="preserve"> </w:t>
      </w:r>
    </w:p>
  </w:footnote>
  <w:footnote w:id="1486">
    <w:p w14:paraId="4D8FF199" w14:textId="3C2092E5" w:rsidR="00DE2F5F" w:rsidRDefault="00DE2F5F" w:rsidP="00233EB8">
      <w:pPr>
        <w:pStyle w:val="a5"/>
        <w:rPr>
          <w:rtl/>
        </w:rPr>
      </w:pPr>
      <w:r>
        <w:rPr>
          <w:rStyle w:val="a7"/>
        </w:rPr>
        <w:footnoteRef/>
      </w:r>
      <w:r>
        <w:rPr>
          <w:rtl/>
        </w:rPr>
        <w:t xml:space="preserve"> </w:t>
      </w:r>
      <w:r>
        <w:rPr>
          <w:rFonts w:cs="Arial" w:hint="cs"/>
          <w:rtl/>
        </w:rPr>
        <w:t>הטור כתב על דברי הרמב"ם</w:t>
      </w:r>
      <w:r w:rsidR="00E21A58">
        <w:rPr>
          <w:rFonts w:cs="Arial" w:hint="cs"/>
          <w:rtl/>
        </w:rPr>
        <w:t>:</w:t>
      </w:r>
      <w:r>
        <w:rPr>
          <w:rFonts w:cs="Arial" w:hint="cs"/>
          <w:rtl/>
        </w:rPr>
        <w:t xml:space="preserve"> ולא נהירא לא"א הרא"ש. עכ"ל. וכתב הב"י ד</w:t>
      </w:r>
      <w:r w:rsidRPr="00F31ACB">
        <w:rPr>
          <w:rFonts w:cs="Arial"/>
          <w:rtl/>
        </w:rPr>
        <w:t>יש לתמוה על רבינו שכתב</w:t>
      </w:r>
      <w:r>
        <w:rPr>
          <w:rFonts w:cs="Arial" w:hint="cs"/>
          <w:rtl/>
        </w:rPr>
        <w:t xml:space="preserve"> כך,</w:t>
      </w:r>
      <w:r w:rsidRPr="00F31ACB">
        <w:rPr>
          <w:rFonts w:cs="Arial"/>
          <w:rtl/>
        </w:rPr>
        <w:t xml:space="preserve"> שהרי ה</w:t>
      </w:r>
      <w:r>
        <w:rPr>
          <w:rFonts w:cs="Arial" w:hint="cs"/>
          <w:rtl/>
        </w:rPr>
        <w:t>רא"ש</w:t>
      </w:r>
      <w:r w:rsidRPr="00F31ACB">
        <w:rPr>
          <w:rFonts w:cs="Arial"/>
          <w:rtl/>
        </w:rPr>
        <w:t xml:space="preserve"> ז"ל בתחלה הקשה על פירוש רש"י וכתב כפר"י</w:t>
      </w:r>
      <w:r>
        <w:rPr>
          <w:rFonts w:cs="Arial" w:hint="cs"/>
          <w:rtl/>
        </w:rPr>
        <w:t>,</w:t>
      </w:r>
      <w:r w:rsidRPr="00F31ACB">
        <w:rPr>
          <w:rFonts w:cs="Arial"/>
          <w:rtl/>
        </w:rPr>
        <w:t xml:space="preserve"> ואע</w:t>
      </w:r>
      <w:r w:rsidR="00E21A58">
        <w:rPr>
          <w:rFonts w:cs="Arial" w:hint="cs"/>
          <w:rtl/>
        </w:rPr>
        <w:t>"</w:t>
      </w:r>
      <w:r w:rsidRPr="00F31ACB">
        <w:rPr>
          <w:rFonts w:cs="Arial"/>
          <w:rtl/>
        </w:rPr>
        <w:t>פ שאח"כ חזר לקיים פירוש רש"י מכל מקום לא סתר פר"י ולא הקשה עליו</w:t>
      </w:r>
      <w:r>
        <w:rPr>
          <w:rFonts w:cs="Arial" w:hint="cs"/>
          <w:rtl/>
        </w:rPr>
        <w:t>.</w:t>
      </w:r>
      <w:r w:rsidRPr="00F31ACB">
        <w:rPr>
          <w:rFonts w:cs="Arial"/>
          <w:rtl/>
        </w:rPr>
        <w:t xml:space="preserve"> וצ"ל שסובר רבינו שכיון שבסוף דבריו כתב שפירוש רש"י עיקר משמע שהוא סובר דליתיה לפר"י</w:t>
      </w:r>
      <w:r>
        <w:rPr>
          <w:rFonts w:cs="Arial" w:hint="cs"/>
          <w:rtl/>
        </w:rPr>
        <w:t>.</w:t>
      </w:r>
    </w:p>
  </w:footnote>
  <w:footnote w:id="1487">
    <w:p w14:paraId="212CFDED" w14:textId="05CBD03F" w:rsidR="00DE2F5F" w:rsidRDefault="00DE2F5F">
      <w:pPr>
        <w:pStyle w:val="a5"/>
        <w:rPr>
          <w:rtl/>
        </w:rPr>
      </w:pPr>
      <w:r>
        <w:rPr>
          <w:rStyle w:val="a7"/>
        </w:rPr>
        <w:footnoteRef/>
      </w:r>
      <w:r>
        <w:rPr>
          <w:rtl/>
        </w:rPr>
        <w:t xml:space="preserve"> </w:t>
      </w:r>
      <w:r w:rsidRPr="009D7965">
        <w:rPr>
          <w:rFonts w:cs="Arial"/>
          <w:rtl/>
        </w:rPr>
        <w:t>הב"י וב"ח וח"מ דייקו מדברי המגיד דמהני הקנין דאין לו זכות בפירות</w:t>
      </w:r>
      <w:r>
        <w:rPr>
          <w:rFonts w:cs="Arial" w:hint="cs"/>
          <w:rtl/>
        </w:rPr>
        <w:t>.</w:t>
      </w:r>
      <w:r w:rsidRPr="009D7965">
        <w:rPr>
          <w:rFonts w:cs="Arial"/>
          <w:rtl/>
        </w:rPr>
        <w:t xml:space="preserve"> והטור חולק ע"ז וס"ל דלא מהני אלא לענין המכירה</w:t>
      </w:r>
      <w:r>
        <w:rPr>
          <w:rFonts w:cs="Arial" w:hint="cs"/>
          <w:rtl/>
        </w:rPr>
        <w:t>.</w:t>
      </w:r>
      <w:r w:rsidRPr="009D7965">
        <w:rPr>
          <w:rFonts w:cs="Arial"/>
          <w:rtl/>
        </w:rPr>
        <w:t xml:space="preserve"> ואפש' דל</w:t>
      </w:r>
      <w:r>
        <w:rPr>
          <w:rFonts w:cs="Arial" w:hint="cs"/>
          <w:rtl/>
        </w:rPr>
        <w:t xml:space="preserve">א </w:t>
      </w:r>
      <w:r w:rsidRPr="009D7965">
        <w:rPr>
          <w:rFonts w:cs="Arial"/>
          <w:rtl/>
        </w:rPr>
        <w:t>פ</w:t>
      </w:r>
      <w:r>
        <w:rPr>
          <w:rFonts w:cs="Arial" w:hint="cs"/>
          <w:rtl/>
        </w:rPr>
        <w:t>ליגי,</w:t>
      </w:r>
      <w:r w:rsidRPr="009D7965">
        <w:rPr>
          <w:rFonts w:cs="Arial"/>
          <w:rtl/>
        </w:rPr>
        <w:t xml:space="preserve"> אלא הטור איירי כשאומר או כותב דין ודברים אין לי בנכסיך </w:t>
      </w:r>
      <w:r>
        <w:rPr>
          <w:rFonts w:cs="Arial" w:hint="cs"/>
          <w:rtl/>
        </w:rPr>
        <w:t xml:space="preserve">- </w:t>
      </w:r>
      <w:r w:rsidRPr="009D7965">
        <w:rPr>
          <w:rFonts w:cs="Arial"/>
          <w:rtl/>
        </w:rPr>
        <w:t>אז לא סילק מפירו</w:t>
      </w:r>
      <w:r>
        <w:rPr>
          <w:rFonts w:cs="Arial" w:hint="cs"/>
          <w:rtl/>
        </w:rPr>
        <w:t>ת</w:t>
      </w:r>
      <w:r w:rsidRPr="009D7965">
        <w:rPr>
          <w:rFonts w:cs="Arial"/>
          <w:rtl/>
        </w:rPr>
        <w:t xml:space="preserve"> אלא הקנין מהני לענין המכירה</w:t>
      </w:r>
      <w:r>
        <w:rPr>
          <w:rFonts w:cs="Arial" w:hint="cs"/>
          <w:rtl/>
        </w:rPr>
        <w:t>.</w:t>
      </w:r>
      <w:r w:rsidRPr="009D7965">
        <w:rPr>
          <w:rFonts w:cs="Arial"/>
          <w:rtl/>
        </w:rPr>
        <w:t xml:space="preserve"> אבל כשלא אמר נכסייך </w:t>
      </w:r>
      <w:r>
        <w:rPr>
          <w:rFonts w:cs="Arial" w:hint="cs"/>
          <w:rtl/>
        </w:rPr>
        <w:t xml:space="preserve">- </w:t>
      </w:r>
      <w:r w:rsidRPr="009D7965">
        <w:rPr>
          <w:rFonts w:cs="Arial"/>
          <w:rtl/>
        </w:rPr>
        <w:t>ס"ל להטור נמי דמהני אפילו לענין פירו</w:t>
      </w:r>
      <w:r>
        <w:rPr>
          <w:rFonts w:cs="Arial" w:hint="cs"/>
          <w:rtl/>
        </w:rPr>
        <w:t>ת</w:t>
      </w:r>
      <w:r>
        <w:rPr>
          <w:rFonts w:hint="cs"/>
          <w:rtl/>
        </w:rPr>
        <w:t>, ב"ש (סק"ד).</w:t>
      </w:r>
    </w:p>
  </w:footnote>
  <w:footnote w:id="1488">
    <w:p w14:paraId="7DA10A36" w14:textId="4E7AE146" w:rsidR="00DE2F5F" w:rsidRDefault="00DE2F5F" w:rsidP="00C14D0E">
      <w:pPr>
        <w:pStyle w:val="a5"/>
        <w:rPr>
          <w:rtl/>
        </w:rPr>
      </w:pPr>
      <w:r>
        <w:rPr>
          <w:rStyle w:val="a7"/>
        </w:rPr>
        <w:footnoteRef/>
      </w:r>
      <w:r>
        <w:rPr>
          <w:rtl/>
        </w:rPr>
        <w:t xml:space="preserve"> </w:t>
      </w:r>
      <w:r w:rsidRPr="00D82822">
        <w:rPr>
          <w:rFonts w:cs="Arial"/>
          <w:rtl/>
        </w:rPr>
        <w:t>פי' אפילו לאחר נשואין</w:t>
      </w:r>
      <w:r>
        <w:rPr>
          <w:rFonts w:cs="Arial" w:hint="cs"/>
          <w:rtl/>
        </w:rPr>
        <w:t>.</w:t>
      </w:r>
      <w:r w:rsidRPr="00D82822">
        <w:rPr>
          <w:rFonts w:cs="Arial"/>
          <w:rtl/>
        </w:rPr>
        <w:t xml:space="preserve"> דאלו קודם נשואין כבר נתבאר לעיל </w:t>
      </w:r>
      <w:r w:rsidR="00B74956">
        <w:rPr>
          <w:rFonts w:cs="Arial" w:hint="cs"/>
          <w:rtl/>
        </w:rPr>
        <w:t>(</w:t>
      </w:r>
      <w:r w:rsidRPr="00D82822">
        <w:rPr>
          <w:rFonts w:cs="Arial"/>
          <w:rtl/>
        </w:rPr>
        <w:t>סי' צ סע יא</w:t>
      </w:r>
      <w:r w:rsidR="00B74956">
        <w:rPr>
          <w:rFonts w:cs="Arial" w:hint="cs"/>
          <w:rtl/>
        </w:rPr>
        <w:t>)</w:t>
      </w:r>
      <w:r w:rsidRPr="00D82822">
        <w:rPr>
          <w:rFonts w:cs="Arial"/>
          <w:rtl/>
        </w:rPr>
        <w:t xml:space="preserve"> שארוסה מכרה קיים אפי' בלא תנאי</w:t>
      </w:r>
      <w:r>
        <w:rPr>
          <w:rFonts w:cs="Arial" w:hint="cs"/>
          <w:rtl/>
        </w:rPr>
        <w:t>.</w:t>
      </w:r>
      <w:r w:rsidRPr="00D82822">
        <w:rPr>
          <w:rFonts w:cs="Arial"/>
          <w:rtl/>
        </w:rPr>
        <w:t xml:space="preserve"> ומ"מ מיירי כאן בנכסים שהיו בשעת התנאי</w:t>
      </w:r>
      <w:r>
        <w:rPr>
          <w:rFonts w:cs="Arial" w:hint="cs"/>
          <w:rtl/>
        </w:rPr>
        <w:t>,</w:t>
      </w:r>
      <w:r w:rsidRPr="00D82822">
        <w:rPr>
          <w:rFonts w:cs="Arial"/>
          <w:rtl/>
        </w:rPr>
        <w:t xml:space="preserve"> אבל בנכסים שיפלו לה לאחר מכאן יתבאר בסעיף שאחר זה אם סילוק מועיל אף לדבר שלא בא לעולם</w:t>
      </w:r>
      <w:r>
        <w:rPr>
          <w:rFonts w:cs="Arial" w:hint="cs"/>
          <w:rtl/>
        </w:rPr>
        <w:t xml:space="preserve">, </w:t>
      </w:r>
      <w:r w:rsidRPr="00B74956">
        <w:rPr>
          <w:rFonts w:cs="Arial" w:hint="cs"/>
          <w:b/>
          <w:bCs/>
          <w:rtl/>
        </w:rPr>
        <w:t>ח"מ</w:t>
      </w:r>
      <w:r>
        <w:rPr>
          <w:rFonts w:cs="Arial" w:hint="cs"/>
          <w:rtl/>
        </w:rPr>
        <w:t xml:space="preserve"> (סק"א).</w:t>
      </w:r>
      <w:r w:rsidR="00B74956">
        <w:rPr>
          <w:rFonts w:hint="cs"/>
          <w:rtl/>
        </w:rPr>
        <w:t xml:space="preserve">    </w:t>
      </w:r>
      <w:r w:rsidRPr="00DD4E90">
        <w:rPr>
          <w:rtl/>
        </w:rPr>
        <w:t xml:space="preserve"> </w:t>
      </w:r>
      <w:r w:rsidRPr="00DD4E90">
        <w:rPr>
          <w:rFonts w:cs="Arial"/>
          <w:rtl/>
        </w:rPr>
        <w:t>ודוקא אם מכרה כבר א"י הוא לערער על המכירה אבל אם לא מכרה יכול לעכב</w:t>
      </w:r>
      <w:r>
        <w:rPr>
          <w:rFonts w:cs="Arial" w:hint="cs"/>
          <w:rtl/>
        </w:rPr>
        <w:t>,</w:t>
      </w:r>
      <w:r w:rsidRPr="00DD4E90">
        <w:rPr>
          <w:rFonts w:cs="Arial"/>
          <w:rtl/>
        </w:rPr>
        <w:t xml:space="preserve"> וכן משמע מל' מתני' ול' הפוסקים</w:t>
      </w:r>
      <w:r>
        <w:rPr>
          <w:rFonts w:cs="Arial" w:hint="cs"/>
          <w:rtl/>
        </w:rPr>
        <w:t>.</w:t>
      </w:r>
      <w:r w:rsidRPr="00DD4E90">
        <w:rPr>
          <w:rFonts w:cs="Arial"/>
          <w:rtl/>
        </w:rPr>
        <w:t xml:space="preserve"> וכן מוכח מתוס' והרא"ש </w:t>
      </w:r>
      <w:r>
        <w:rPr>
          <w:rFonts w:cs="Arial" w:hint="cs"/>
          <w:sz w:val="16"/>
          <w:szCs w:val="16"/>
          <w:rtl/>
        </w:rPr>
        <w:t>(</w:t>
      </w:r>
      <w:r w:rsidRPr="00652F18">
        <w:rPr>
          <w:rFonts w:cs="Arial"/>
          <w:sz w:val="16"/>
          <w:szCs w:val="16"/>
          <w:rtl/>
        </w:rPr>
        <w:t>דהקשו מה מהני הסילוק מה שיסלק מנכסים שיש בידה בעודה ארוסה דהא בלא סילוק נמי הנכסים שנפלו כשהיא ארוסה ומכרה אחר הנישואים מכרה קיים לדינא דמתניתין ושם מבואר לר"י דוקא בדיעבד המכירה קיים אבל לכתחילה א"י למכור אם כן אם אחר הסילוק יכולה למכור לכתחלה לק"מ אע</w:t>
      </w:r>
      <w:r>
        <w:rPr>
          <w:rFonts w:cs="Arial" w:hint="cs"/>
          <w:sz w:val="16"/>
          <w:szCs w:val="16"/>
          <w:rtl/>
        </w:rPr>
        <w:t>"</w:t>
      </w:r>
      <w:r w:rsidRPr="00652F18">
        <w:rPr>
          <w:rFonts w:cs="Arial"/>
          <w:sz w:val="16"/>
          <w:szCs w:val="16"/>
          <w:rtl/>
        </w:rPr>
        <w:t>ג לחנני' שם יכולה למכור לכתחלה מ"מ קשה מנ"ל דמתניתין אתיא כחנני' וכן מבואר בתוס' להדיא מ"ש אליבא דרב אשי</w:t>
      </w:r>
      <w:r w:rsidRPr="00652F18">
        <w:rPr>
          <w:rFonts w:cs="Arial" w:hint="cs"/>
          <w:sz w:val="16"/>
          <w:szCs w:val="16"/>
          <w:rtl/>
        </w:rPr>
        <w:t>)</w:t>
      </w:r>
      <w:r>
        <w:rPr>
          <w:rFonts w:cs="Arial" w:hint="cs"/>
          <w:rtl/>
        </w:rPr>
        <w:t xml:space="preserve">, </w:t>
      </w:r>
      <w:r w:rsidRPr="00B74956">
        <w:rPr>
          <w:rFonts w:cs="Arial" w:hint="cs"/>
          <w:b/>
          <w:bCs/>
          <w:rtl/>
        </w:rPr>
        <w:t>ב"ש</w:t>
      </w:r>
      <w:r w:rsidRPr="00B74956">
        <w:rPr>
          <w:rFonts w:cs="Arial" w:hint="cs"/>
          <w:b/>
          <w:bCs/>
          <w:sz w:val="16"/>
          <w:szCs w:val="16"/>
          <w:rtl/>
        </w:rPr>
        <w:t xml:space="preserve"> </w:t>
      </w:r>
      <w:r w:rsidRPr="000D79D3">
        <w:rPr>
          <w:rFonts w:cs="Arial" w:hint="cs"/>
          <w:sz w:val="16"/>
          <w:szCs w:val="16"/>
          <w:rtl/>
        </w:rPr>
        <w:t>(סק"א)</w:t>
      </w:r>
      <w:r>
        <w:rPr>
          <w:rFonts w:cs="Arial" w:hint="cs"/>
          <w:rtl/>
        </w:rPr>
        <w:t>.</w:t>
      </w:r>
    </w:p>
  </w:footnote>
  <w:footnote w:id="1489">
    <w:p w14:paraId="6EB2FB13" w14:textId="48459ACE" w:rsidR="00DE2F5F" w:rsidRDefault="00DE2F5F" w:rsidP="00D82822">
      <w:pPr>
        <w:pStyle w:val="a5"/>
        <w:rPr>
          <w:rtl/>
        </w:rPr>
      </w:pPr>
      <w:r>
        <w:rPr>
          <w:rStyle w:val="a7"/>
        </w:rPr>
        <w:footnoteRef/>
      </w:r>
      <w:r>
        <w:rPr>
          <w:rtl/>
        </w:rPr>
        <w:t xml:space="preserve"> </w:t>
      </w:r>
      <w:r w:rsidRPr="00D82822">
        <w:rPr>
          <w:rFonts w:cs="Arial"/>
          <w:rtl/>
        </w:rPr>
        <w:t>דמאחר שהרשות בידה ליתן הקרקע עצמה במתנה ה"ה המעות דאתי מחמתיה</w:t>
      </w:r>
      <w:r>
        <w:rPr>
          <w:rFonts w:cs="Arial" w:hint="cs"/>
          <w:rtl/>
        </w:rPr>
        <w:t>, ח"מ (סק"ב).</w:t>
      </w:r>
    </w:p>
  </w:footnote>
  <w:footnote w:id="1490">
    <w:p w14:paraId="230EEDDE" w14:textId="3D7DDE4E" w:rsidR="00DE2F5F" w:rsidRDefault="00DE2F5F" w:rsidP="00853009">
      <w:pPr>
        <w:pStyle w:val="a5"/>
        <w:rPr>
          <w:rtl/>
        </w:rPr>
      </w:pPr>
      <w:r>
        <w:rPr>
          <w:rStyle w:val="a7"/>
        </w:rPr>
        <w:footnoteRef/>
      </w:r>
      <w:r>
        <w:rPr>
          <w:rtl/>
        </w:rPr>
        <w:t xml:space="preserve"> </w:t>
      </w:r>
      <w:r w:rsidRPr="00853009">
        <w:rPr>
          <w:rFonts w:cs="Arial"/>
          <w:rtl/>
        </w:rPr>
        <w:t>והא דלא אמרי' מכל דבר סילק את עצמו</w:t>
      </w:r>
      <w:r w:rsidR="00B74956">
        <w:rPr>
          <w:rFonts w:cs="Arial" w:hint="cs"/>
          <w:rtl/>
        </w:rPr>
        <w:t>,</w:t>
      </w:r>
      <w:r w:rsidRPr="00853009">
        <w:rPr>
          <w:rFonts w:cs="Arial"/>
          <w:rtl/>
        </w:rPr>
        <w:t xml:space="preserve"> מתרץ אביי משום בעל השטר ידו על התחתונה</w:t>
      </w:r>
      <w:r w:rsidR="00B74956">
        <w:rPr>
          <w:rFonts w:cs="Arial" w:hint="cs"/>
          <w:rtl/>
        </w:rPr>
        <w:t>,</w:t>
      </w:r>
      <w:r w:rsidRPr="00853009">
        <w:rPr>
          <w:rFonts w:cs="Arial"/>
          <w:rtl/>
        </w:rPr>
        <w:t xml:space="preserve"> ורב אשי מתרץ מ</w:t>
      </w:r>
      <w:r w:rsidR="00B74956">
        <w:rPr>
          <w:rFonts w:cs="Arial" w:hint="cs"/>
          <w:rtl/>
        </w:rPr>
        <w:t>ה שכתב</w:t>
      </w:r>
      <w:r w:rsidRPr="00853009">
        <w:rPr>
          <w:rFonts w:cs="Arial"/>
          <w:rtl/>
        </w:rPr>
        <w:t xml:space="preserve"> לה </w:t>
      </w:r>
      <w:r w:rsidR="00B74956">
        <w:rPr>
          <w:rFonts w:cs="Arial" w:hint="cs"/>
          <w:rtl/>
        </w:rPr>
        <w:t>"</w:t>
      </w:r>
      <w:r w:rsidRPr="00853009">
        <w:rPr>
          <w:rFonts w:cs="Arial"/>
          <w:rtl/>
        </w:rPr>
        <w:t>אין לי בנכסיך</w:t>
      </w:r>
      <w:r w:rsidR="00B74956">
        <w:rPr>
          <w:rFonts w:cs="Arial" w:hint="cs"/>
          <w:rtl/>
        </w:rPr>
        <w:t>"</w:t>
      </w:r>
      <w:r w:rsidRPr="00853009">
        <w:rPr>
          <w:rFonts w:cs="Arial"/>
          <w:rtl/>
        </w:rPr>
        <w:t xml:space="preserve"> משמע דלא סילק את עצמו מפירות ולא מירושה</w:t>
      </w:r>
      <w:r w:rsidR="00B74956">
        <w:rPr>
          <w:rFonts w:cs="Arial" w:hint="cs"/>
          <w:rtl/>
        </w:rPr>
        <w:t>.</w:t>
      </w:r>
      <w:r w:rsidRPr="00853009">
        <w:rPr>
          <w:rFonts w:cs="Arial"/>
          <w:rtl/>
        </w:rPr>
        <w:t xml:space="preserve"> ונ</w:t>
      </w:r>
      <w:r w:rsidR="00B74956">
        <w:rPr>
          <w:rFonts w:cs="Arial" w:hint="cs"/>
          <w:rtl/>
        </w:rPr>
        <w:t>פ</w:t>
      </w:r>
      <w:r w:rsidRPr="00853009">
        <w:rPr>
          <w:rFonts w:cs="Arial"/>
          <w:rtl/>
        </w:rPr>
        <w:t>"מ אם כתב בשטר שיהיה ידו על העליונה או אם כתב בשאר לשון</w:t>
      </w:r>
      <w:r w:rsidR="00B74956">
        <w:rPr>
          <w:rFonts w:cs="Arial" w:hint="cs"/>
          <w:rtl/>
        </w:rPr>
        <w:t>.</w:t>
      </w:r>
      <w:r w:rsidRPr="00853009">
        <w:rPr>
          <w:rFonts w:cs="Arial"/>
          <w:rtl/>
        </w:rPr>
        <w:t xml:space="preserve"> ואם אמר </w:t>
      </w:r>
      <w:r w:rsidR="00B74956">
        <w:rPr>
          <w:rFonts w:cs="Arial" w:hint="cs"/>
          <w:rtl/>
        </w:rPr>
        <w:t>"</w:t>
      </w:r>
      <w:r w:rsidRPr="00853009">
        <w:rPr>
          <w:rFonts w:cs="Arial"/>
          <w:rtl/>
        </w:rPr>
        <w:t>מנכסייך</w:t>
      </w:r>
      <w:r w:rsidR="00B74956">
        <w:rPr>
          <w:rFonts w:cs="Arial" w:hint="cs"/>
          <w:rtl/>
        </w:rPr>
        <w:t>"</w:t>
      </w:r>
      <w:r w:rsidRPr="00853009">
        <w:rPr>
          <w:rFonts w:cs="Arial"/>
          <w:rtl/>
        </w:rPr>
        <w:t xml:space="preserve"> </w:t>
      </w:r>
      <w:r w:rsidR="00B74956">
        <w:rPr>
          <w:rFonts w:cs="Arial" w:hint="cs"/>
          <w:rtl/>
        </w:rPr>
        <w:t xml:space="preserve">- </w:t>
      </w:r>
      <w:r w:rsidRPr="00853009">
        <w:rPr>
          <w:rFonts w:cs="Arial"/>
          <w:rtl/>
        </w:rPr>
        <w:t>אפילו שטרות בכלל</w:t>
      </w:r>
      <w:r w:rsidR="00B74956">
        <w:rPr>
          <w:rFonts w:cs="Arial" w:hint="cs"/>
          <w:rtl/>
        </w:rPr>
        <w:t>.</w:t>
      </w:r>
      <w:r w:rsidRPr="00853009">
        <w:rPr>
          <w:rFonts w:cs="Arial"/>
          <w:rtl/>
        </w:rPr>
        <w:t xml:space="preserve"> ועיין מהרי"ק </w:t>
      </w:r>
      <w:r w:rsidR="00B74956">
        <w:rPr>
          <w:rFonts w:cs="Arial" w:hint="cs"/>
          <w:rtl/>
        </w:rPr>
        <w:t>(</w:t>
      </w:r>
      <w:r w:rsidRPr="00853009">
        <w:rPr>
          <w:rFonts w:cs="Arial"/>
          <w:rtl/>
        </w:rPr>
        <w:t>שורש יג</w:t>
      </w:r>
      <w:r w:rsidR="00B74956">
        <w:rPr>
          <w:rFonts w:cs="Arial" w:hint="cs"/>
          <w:rtl/>
        </w:rPr>
        <w:t>)</w:t>
      </w:r>
      <w:r>
        <w:rPr>
          <w:rFonts w:cs="Arial" w:hint="cs"/>
          <w:rtl/>
        </w:rPr>
        <w:t>, ב"ש (סק"ג).</w:t>
      </w:r>
    </w:p>
  </w:footnote>
  <w:footnote w:id="1491">
    <w:p w14:paraId="0D5E1A99" w14:textId="299D1088" w:rsidR="00DE2F5F" w:rsidRDefault="00DE2F5F">
      <w:pPr>
        <w:pStyle w:val="a5"/>
      </w:pPr>
      <w:r>
        <w:rPr>
          <w:rStyle w:val="a7"/>
        </w:rPr>
        <w:footnoteRef/>
      </w:r>
      <w:r>
        <w:rPr>
          <w:rtl/>
        </w:rPr>
        <w:t xml:space="preserve"> </w:t>
      </w:r>
      <w:r w:rsidRPr="00C86FA0">
        <w:rPr>
          <w:rFonts w:cs="Arial"/>
          <w:rtl/>
        </w:rPr>
        <w:t>ו</w:t>
      </w:r>
      <w:r>
        <w:rPr>
          <w:rFonts w:cs="Arial" w:hint="cs"/>
          <w:rtl/>
        </w:rPr>
        <w:t xml:space="preserve">מ"מ כשכותב לה </w:t>
      </w:r>
      <w:r w:rsidRPr="00C86FA0">
        <w:rPr>
          <w:rFonts w:cs="Arial"/>
          <w:rtl/>
        </w:rPr>
        <w:t xml:space="preserve">אחר הנשואין </w:t>
      </w:r>
      <w:r>
        <w:rPr>
          <w:rFonts w:cs="Arial" w:hint="cs"/>
          <w:rtl/>
        </w:rPr>
        <w:t>עם קנין</w:t>
      </w:r>
      <w:r w:rsidRPr="00C86FA0">
        <w:rPr>
          <w:rFonts w:cs="Arial"/>
          <w:rtl/>
        </w:rPr>
        <w:t xml:space="preserve"> לא מהני סילוק על נכסי</w:t>
      </w:r>
      <w:r>
        <w:rPr>
          <w:rFonts w:cs="Arial" w:hint="cs"/>
          <w:rtl/>
        </w:rPr>
        <w:t>ם</w:t>
      </w:r>
      <w:r w:rsidRPr="00C86FA0">
        <w:rPr>
          <w:rFonts w:cs="Arial"/>
          <w:rtl/>
        </w:rPr>
        <w:t xml:space="preserve"> שיפלו אח"כ</w:t>
      </w:r>
      <w:r>
        <w:rPr>
          <w:rFonts w:cs="Arial" w:hint="cs"/>
          <w:rtl/>
        </w:rPr>
        <w:t>.</w:t>
      </w:r>
      <w:r w:rsidRPr="00C86FA0">
        <w:rPr>
          <w:rFonts w:cs="Arial"/>
          <w:rtl/>
        </w:rPr>
        <w:t xml:space="preserve"> דהא קנין לא חל על דבר שאינו בידה</w:t>
      </w:r>
      <w:r>
        <w:rPr>
          <w:rFonts w:cs="Arial" w:hint="cs"/>
          <w:rtl/>
        </w:rPr>
        <w:t>.</w:t>
      </w:r>
      <w:r w:rsidRPr="00C86FA0">
        <w:rPr>
          <w:rFonts w:cs="Arial"/>
          <w:rtl/>
        </w:rPr>
        <w:t xml:space="preserve"> וכן כתבו הרא"ש והר"ן לפרש הירושלמי דתני' ויש אדם מתנה על דבר שברשותו וכו'</w:t>
      </w:r>
      <w:r>
        <w:rPr>
          <w:rFonts w:cs="Arial" w:hint="cs"/>
          <w:rtl/>
        </w:rPr>
        <w:t>,</w:t>
      </w:r>
      <w:r w:rsidRPr="00C86FA0">
        <w:rPr>
          <w:rFonts w:cs="Arial"/>
          <w:rtl/>
        </w:rPr>
        <w:t xml:space="preserve"> איירי בסילוק אחר הנישואין</w:t>
      </w:r>
      <w:r>
        <w:rPr>
          <w:rFonts w:cs="Arial" w:hint="cs"/>
          <w:rtl/>
        </w:rPr>
        <w:t>,</w:t>
      </w:r>
      <w:r w:rsidRPr="00C86FA0">
        <w:rPr>
          <w:rFonts w:cs="Arial"/>
          <w:rtl/>
        </w:rPr>
        <w:t xml:space="preserve"> ש"מ סילוק אחר הנישואין לא מהני לנכסי</w:t>
      </w:r>
      <w:r>
        <w:rPr>
          <w:rFonts w:cs="Arial" w:hint="cs"/>
          <w:rtl/>
        </w:rPr>
        <w:t>ם</w:t>
      </w:r>
      <w:r w:rsidRPr="00C86FA0">
        <w:rPr>
          <w:rFonts w:cs="Arial"/>
          <w:rtl/>
        </w:rPr>
        <w:t xml:space="preserve"> שיפלו אח"כ</w:t>
      </w:r>
      <w:r>
        <w:rPr>
          <w:rFonts w:cs="Arial" w:hint="cs"/>
          <w:rtl/>
        </w:rPr>
        <w:t>, ב"ש (סק"ו).</w:t>
      </w:r>
      <w:r>
        <w:rPr>
          <w:rFonts w:hint="cs"/>
          <w:rtl/>
        </w:rPr>
        <w:t xml:space="preserve"> וכ"כ הח"מ (סק"ה, וסק"ז).</w:t>
      </w:r>
    </w:p>
  </w:footnote>
  <w:footnote w:id="1492">
    <w:p w14:paraId="7E0CA7E3" w14:textId="55C2F460" w:rsidR="00DE2F5F" w:rsidRDefault="00DE2F5F">
      <w:pPr>
        <w:pStyle w:val="a5"/>
      </w:pPr>
      <w:r>
        <w:rPr>
          <w:rStyle w:val="a7"/>
        </w:rPr>
        <w:footnoteRef/>
      </w:r>
      <w:r>
        <w:rPr>
          <w:rtl/>
        </w:rPr>
        <w:t xml:space="preserve"> </w:t>
      </w:r>
      <w:r w:rsidRPr="00D82822">
        <w:rPr>
          <w:rFonts w:cs="Arial"/>
          <w:rtl/>
        </w:rPr>
        <w:t>משמע אפי' בקנין ל"מ מאחר דהוי דשב"ל (ועיין לעיל סי' צ' ס"ק ס') ועיין במרדכי פרק הכותב בדין איש חפץ לקנות בית ומתנ' עם אשתו שלא תעכב עליו מלמכור הבית אע</w:t>
      </w:r>
      <w:r w:rsidR="00B74956">
        <w:rPr>
          <w:rFonts w:cs="Arial" w:hint="cs"/>
          <w:rtl/>
        </w:rPr>
        <w:t>"</w:t>
      </w:r>
      <w:r w:rsidRPr="00D82822">
        <w:rPr>
          <w:rFonts w:cs="Arial"/>
          <w:rtl/>
        </w:rPr>
        <w:t>פ שבשעת התנאי הוה דשב"ל שעדיין לא לקח הבית מהני ע"ש ועיין בח"מ סי' ר"ט סעיף ח'</w:t>
      </w:r>
      <w:r>
        <w:rPr>
          <w:rFonts w:cs="Arial" w:hint="cs"/>
          <w:rtl/>
        </w:rPr>
        <w:t>, ח"מ (סק"ד).</w:t>
      </w:r>
      <w:r>
        <w:rPr>
          <w:rFonts w:hint="cs"/>
          <w:rtl/>
        </w:rPr>
        <w:t xml:space="preserve"> </w:t>
      </w:r>
    </w:p>
  </w:footnote>
  <w:footnote w:id="1493">
    <w:p w14:paraId="1C0F0831" w14:textId="68DB9385" w:rsidR="00DE2F5F" w:rsidRDefault="00DE2F5F" w:rsidP="00665EE6">
      <w:pPr>
        <w:pStyle w:val="a5"/>
        <w:rPr>
          <w:rtl/>
        </w:rPr>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D2753E">
        <w:rPr>
          <w:rFonts w:cs="Arial"/>
          <w:rtl/>
        </w:rPr>
        <w:t>אמרי דבי רבי ינאי בכותב לה ועודה ארוסה</w:t>
      </w:r>
      <w:r>
        <w:rPr>
          <w:rFonts w:cs="Arial" w:hint="cs"/>
          <w:rtl/>
        </w:rPr>
        <w:t>.</w:t>
      </w:r>
      <w:r w:rsidRPr="00D2753E">
        <w:rPr>
          <w:rFonts w:cs="Arial"/>
          <w:rtl/>
        </w:rPr>
        <w:t xml:space="preserve"> ומסתמא נמי מיירי דנפלו לה בעודה ארוסה</w:t>
      </w:r>
      <w:r>
        <w:rPr>
          <w:rFonts w:cs="Arial" w:hint="cs"/>
          <w:rtl/>
        </w:rPr>
        <w:t>.</w:t>
      </w:r>
      <w:r w:rsidRPr="00D2753E">
        <w:rPr>
          <w:rFonts w:cs="Arial"/>
          <w:rtl/>
        </w:rPr>
        <w:t xml:space="preserve"> וקשה</w:t>
      </w:r>
      <w:r>
        <w:rPr>
          <w:rFonts w:cs="Arial" w:hint="cs"/>
          <w:rtl/>
        </w:rPr>
        <w:t>,</w:t>
      </w:r>
      <w:r w:rsidRPr="00D2753E">
        <w:rPr>
          <w:rFonts w:cs="Arial"/>
          <w:rtl/>
        </w:rPr>
        <w:t xml:space="preserve"> דאם כן אפילו אם לא כתב לה נמי מכרה קיים</w:t>
      </w:r>
      <w:r>
        <w:rPr>
          <w:rFonts w:cs="Arial" w:hint="cs"/>
          <w:rtl/>
        </w:rPr>
        <w:t>.</w:t>
      </w:r>
      <w:r w:rsidRPr="00D2753E">
        <w:rPr>
          <w:rFonts w:cs="Arial"/>
          <w:rtl/>
        </w:rPr>
        <w:t xml:space="preserve"> דהא תנן לעיל (עח.) עד שלא נישאת ונישאת רבן גמליאל אומר אם מכרה ונתנה קיים</w:t>
      </w:r>
      <w:r>
        <w:rPr>
          <w:rFonts w:cs="Arial" w:hint="cs"/>
          <w:rtl/>
        </w:rPr>
        <w:t>.</w:t>
      </w:r>
      <w:r w:rsidRPr="00D2753E">
        <w:rPr>
          <w:rFonts w:cs="Arial"/>
          <w:rtl/>
        </w:rPr>
        <w:t xml:space="preserve"> וי"ל דמתניתין דהכא כתנאי דאמרו לו לר"ג הואיל וזכה באשה לא יזכה בנכסים</w:t>
      </w:r>
      <w:r>
        <w:rPr>
          <w:rFonts w:cs="Arial" w:hint="cs"/>
          <w:rtl/>
        </w:rPr>
        <w:t>.</w:t>
      </w:r>
      <w:r w:rsidRPr="00D2753E">
        <w:rPr>
          <w:rFonts w:cs="Arial"/>
          <w:rtl/>
        </w:rPr>
        <w:t xml:space="preserve"> והרמב"ן </w:t>
      </w:r>
      <w:r w:rsidRPr="00665EE6">
        <w:rPr>
          <w:rFonts w:cs="Arial"/>
          <w:sz w:val="16"/>
          <w:szCs w:val="16"/>
          <w:rtl/>
        </w:rPr>
        <w:t>(פג. ד"ה הא)</w:t>
      </w:r>
      <w:r w:rsidRPr="00D2753E">
        <w:rPr>
          <w:rFonts w:cs="Arial"/>
          <w:rtl/>
        </w:rPr>
        <w:t xml:space="preserve"> כתב דמסתלק הוא מנכסים שנפלו לה לאחר שתנשא דסילוק בעלמא הוא ובמה שאינו ראוי לו עדיין אדם מתנה שלא יזכה בו</w:t>
      </w:r>
      <w:r>
        <w:rPr>
          <w:rFonts w:cs="Arial" w:hint="cs"/>
          <w:rtl/>
        </w:rPr>
        <w:t>.</w:t>
      </w:r>
      <w:r w:rsidRPr="00D2753E">
        <w:rPr>
          <w:rFonts w:cs="Arial"/>
          <w:rtl/>
        </w:rPr>
        <w:t xml:space="preserve"> ומיהו בירושלמי (פ"ט ה"א) לא משמע הכי</w:t>
      </w:r>
      <w:r>
        <w:rPr>
          <w:rFonts w:cs="Arial" w:hint="cs"/>
          <w:rtl/>
        </w:rPr>
        <w:t>.</w:t>
      </w:r>
      <w:r w:rsidRPr="00D2753E">
        <w:rPr>
          <w:rFonts w:cs="Arial"/>
          <w:rtl/>
        </w:rPr>
        <w:t xml:space="preserve"> דגרסינן התם</w:t>
      </w:r>
      <w:r>
        <w:rPr>
          <w:rFonts w:cs="Arial" w:hint="cs"/>
          <w:rtl/>
        </w:rPr>
        <w:t>:</w:t>
      </w:r>
      <w:r w:rsidRPr="00D2753E">
        <w:rPr>
          <w:rFonts w:cs="Arial"/>
          <w:rtl/>
        </w:rPr>
        <w:t xml:space="preserve"> א"ר ירמיה בעו קמי דרבי זירא</w:t>
      </w:r>
      <w:r>
        <w:rPr>
          <w:rFonts w:cs="Arial" w:hint="cs"/>
          <w:rtl/>
        </w:rPr>
        <w:t>,</w:t>
      </w:r>
      <w:r w:rsidRPr="00D2753E">
        <w:rPr>
          <w:rFonts w:cs="Arial"/>
          <w:rtl/>
        </w:rPr>
        <w:t xml:space="preserve"> כתב לה דין ודברים אין לי בנכסיך</w:t>
      </w:r>
      <w:r>
        <w:rPr>
          <w:rFonts w:cs="Arial" w:hint="cs"/>
          <w:rtl/>
        </w:rPr>
        <w:t>,</w:t>
      </w:r>
      <w:r w:rsidRPr="00D2753E">
        <w:rPr>
          <w:rFonts w:cs="Arial"/>
          <w:rtl/>
        </w:rPr>
        <w:t xml:space="preserve"> ונפלו לה לאחר מכאן</w:t>
      </w:r>
      <w:r>
        <w:rPr>
          <w:rFonts w:cs="Arial" w:hint="cs"/>
          <w:rtl/>
        </w:rPr>
        <w:t>,</w:t>
      </w:r>
      <w:r w:rsidRPr="00D2753E">
        <w:rPr>
          <w:rFonts w:cs="Arial"/>
          <w:rtl/>
        </w:rPr>
        <w:t xml:space="preserve"> מהו</w:t>
      </w:r>
      <w:r>
        <w:rPr>
          <w:rFonts w:cs="Arial" w:hint="cs"/>
          <w:rtl/>
        </w:rPr>
        <w:t>?</w:t>
      </w:r>
      <w:r w:rsidRPr="00D2753E">
        <w:rPr>
          <w:rFonts w:cs="Arial"/>
          <w:rtl/>
        </w:rPr>
        <w:t xml:space="preserve"> ויש אדם מתנה על דבר שאינו ברשותו</w:t>
      </w:r>
      <w:r>
        <w:rPr>
          <w:rFonts w:cs="Arial" w:hint="cs"/>
          <w:sz w:val="16"/>
          <w:szCs w:val="16"/>
          <w:rtl/>
        </w:rPr>
        <w:t xml:space="preserve"> {ע"כ ל' הירושלמי}</w:t>
      </w:r>
      <w:r>
        <w:rPr>
          <w:rFonts w:cs="Arial" w:hint="cs"/>
          <w:rtl/>
        </w:rPr>
        <w:t>.</w:t>
      </w:r>
      <w:r w:rsidRPr="00D2753E">
        <w:rPr>
          <w:rFonts w:cs="Arial"/>
          <w:rtl/>
        </w:rPr>
        <w:t xml:space="preserve"> ולא דמי לכותב לה ועודה ארוסה</w:t>
      </w:r>
      <w:r>
        <w:rPr>
          <w:rFonts w:cs="Arial" w:hint="cs"/>
          <w:rtl/>
        </w:rPr>
        <w:t>,</w:t>
      </w:r>
      <w:r w:rsidRPr="00D2753E">
        <w:rPr>
          <w:rFonts w:cs="Arial"/>
          <w:rtl/>
        </w:rPr>
        <w:t xml:space="preserve"> דהתם הנכסים כבר ביד האשה</w:t>
      </w:r>
      <w:r>
        <w:rPr>
          <w:rFonts w:cs="Arial" w:hint="cs"/>
          <w:rtl/>
        </w:rPr>
        <w:t>.</w:t>
      </w:r>
      <w:r w:rsidRPr="00D2753E">
        <w:rPr>
          <w:rFonts w:cs="Arial"/>
          <w:rtl/>
        </w:rPr>
        <w:t xml:space="preserve"> וקצת יש לדחות דירושלמי איירי דכתב לה אחר נישואין</w:t>
      </w:r>
      <w:r>
        <w:rPr>
          <w:rFonts w:cs="Arial" w:hint="cs"/>
          <w:rtl/>
        </w:rPr>
        <w:t>,</w:t>
      </w:r>
      <w:r w:rsidRPr="00D2753E">
        <w:rPr>
          <w:rFonts w:cs="Arial"/>
          <w:rtl/>
        </w:rPr>
        <w:t xml:space="preserve"> דכיון דידו כידה אין הסילוק מועיל לדבר שאינו ברשותו</w:t>
      </w:r>
      <w:r>
        <w:rPr>
          <w:rFonts w:cs="Arial" w:hint="cs"/>
          <w:rtl/>
        </w:rPr>
        <w:t>.</w:t>
      </w:r>
      <w:r w:rsidRPr="00D2753E">
        <w:rPr>
          <w:rFonts w:cs="Arial"/>
          <w:rtl/>
        </w:rPr>
        <w:t xml:space="preserve"> אבל בעודה ארוסה מהני סילוק אפילו לנכסים שנפלו לה משנישאת</w:t>
      </w:r>
      <w:r w:rsidRPr="00D2753E">
        <w:rPr>
          <w:rFonts w:cs="Arial" w:hint="cs"/>
          <w:rtl/>
        </w:rPr>
        <w:t>.</w:t>
      </w:r>
    </w:p>
  </w:footnote>
  <w:footnote w:id="1494">
    <w:p w14:paraId="606F4772" w14:textId="06FC65C9" w:rsidR="00DE2F5F" w:rsidRDefault="00DE2F5F">
      <w:pPr>
        <w:pStyle w:val="a5"/>
      </w:pPr>
      <w:r>
        <w:rPr>
          <w:rStyle w:val="a7"/>
        </w:rPr>
        <w:footnoteRef/>
      </w:r>
      <w:r>
        <w:rPr>
          <w:rtl/>
        </w:rPr>
        <w:t xml:space="preserve"> </w:t>
      </w:r>
      <w:r>
        <w:rPr>
          <w:rFonts w:hint="cs"/>
          <w:rtl/>
        </w:rPr>
        <w:t xml:space="preserve">וכתב הב"ש (סק"ז) </w:t>
      </w:r>
      <w:r>
        <w:rPr>
          <w:rFonts w:cs="Arial" w:hint="cs"/>
          <w:rtl/>
        </w:rPr>
        <w:t>ד</w:t>
      </w:r>
      <w:r w:rsidRPr="00A31A43">
        <w:rPr>
          <w:rFonts w:cs="Arial"/>
          <w:rtl/>
        </w:rPr>
        <w:t>כן משמע מתוס' ריש הכותב</w:t>
      </w:r>
      <w:r>
        <w:rPr>
          <w:rFonts w:cs="Arial" w:hint="cs"/>
          <w:rtl/>
        </w:rPr>
        <w:t>.</w:t>
      </w:r>
      <w:r w:rsidRPr="00A31A43">
        <w:rPr>
          <w:rFonts w:cs="Arial"/>
          <w:rtl/>
        </w:rPr>
        <w:t xml:space="preserve"> וכן דעת המ</w:t>
      </w:r>
      <w:r>
        <w:rPr>
          <w:rFonts w:cs="Arial" w:hint="cs"/>
          <w:rtl/>
        </w:rPr>
        <w:t>רדכי,</w:t>
      </w:r>
      <w:r w:rsidRPr="00A31A43">
        <w:rPr>
          <w:rFonts w:cs="Arial"/>
          <w:rtl/>
        </w:rPr>
        <w:t xml:space="preserve"> ומביא ראיה מדמהני סילוק מפירו</w:t>
      </w:r>
      <w:r>
        <w:rPr>
          <w:rFonts w:cs="Arial" w:hint="cs"/>
          <w:rtl/>
        </w:rPr>
        <w:t>ת</w:t>
      </w:r>
      <w:r w:rsidRPr="00A31A43">
        <w:rPr>
          <w:rFonts w:cs="Arial"/>
          <w:rtl/>
        </w:rPr>
        <w:t xml:space="preserve"> אע</w:t>
      </w:r>
      <w:r w:rsidR="00F53F9A">
        <w:rPr>
          <w:rFonts w:cs="Arial" w:hint="cs"/>
          <w:rtl/>
        </w:rPr>
        <w:t>"</w:t>
      </w:r>
      <w:r w:rsidRPr="00A31A43">
        <w:rPr>
          <w:rFonts w:cs="Arial"/>
          <w:rtl/>
        </w:rPr>
        <w:t>ג עדיין לא בא לידו</w:t>
      </w:r>
      <w:r>
        <w:rPr>
          <w:rFonts w:cs="Arial" w:hint="cs"/>
          <w:rtl/>
        </w:rPr>
        <w:t>.</w:t>
      </w:r>
      <w:r w:rsidRPr="00A31A43">
        <w:rPr>
          <w:rFonts w:cs="Arial"/>
          <w:rtl/>
        </w:rPr>
        <w:t xml:space="preserve"> ואגודה והג</w:t>
      </w:r>
      <w:r>
        <w:rPr>
          <w:rFonts w:cs="Arial" w:hint="cs"/>
          <w:rtl/>
        </w:rPr>
        <w:t>ה"</w:t>
      </w:r>
      <w:r w:rsidRPr="00A31A43">
        <w:rPr>
          <w:rFonts w:cs="Arial"/>
          <w:rtl/>
        </w:rPr>
        <w:t>מ כמ"ש בסי' צ'</w:t>
      </w:r>
      <w:r>
        <w:rPr>
          <w:rFonts w:cs="Arial" w:hint="cs"/>
          <w:rtl/>
        </w:rPr>
        <w:t>.</w:t>
      </w:r>
      <w:r w:rsidRPr="00A31A43">
        <w:rPr>
          <w:rFonts w:cs="Arial"/>
          <w:rtl/>
        </w:rPr>
        <w:t xml:space="preserve"> וכן פסק בח"ה סי' ר"ט</w:t>
      </w:r>
      <w:r>
        <w:rPr>
          <w:rFonts w:cs="Arial" w:hint="cs"/>
          <w:rtl/>
        </w:rPr>
        <w:t>.</w:t>
      </w:r>
      <w:r w:rsidRPr="00A31A43">
        <w:rPr>
          <w:rFonts w:cs="Arial"/>
          <w:rtl/>
        </w:rPr>
        <w:t xml:space="preserve"> וכן עיקר</w:t>
      </w:r>
      <w:r>
        <w:rPr>
          <w:rFonts w:cs="Arial" w:hint="cs"/>
          <w:rtl/>
        </w:rPr>
        <w:t>.</w:t>
      </w:r>
    </w:p>
  </w:footnote>
  <w:footnote w:id="1495">
    <w:p w14:paraId="661B73D5" w14:textId="6CAFB6B6" w:rsidR="00DE2F5F" w:rsidRDefault="00DE2F5F">
      <w:pPr>
        <w:pStyle w:val="a5"/>
        <w:rPr>
          <w:rtl/>
        </w:rPr>
      </w:pPr>
      <w:r>
        <w:rPr>
          <w:rStyle w:val="a7"/>
        </w:rPr>
        <w:footnoteRef/>
      </w:r>
      <w:r>
        <w:rPr>
          <w:rtl/>
        </w:rPr>
        <w:t xml:space="preserve"> </w:t>
      </w:r>
      <w:r w:rsidRPr="00C86FA0">
        <w:rPr>
          <w:rFonts w:cs="Arial"/>
          <w:rtl/>
        </w:rPr>
        <w:t>כלומר דדין ודברים אין לי בנכסייך היינו מסתמא בנכסי מלוג</w:t>
      </w:r>
      <w:r w:rsidR="00F53F9A">
        <w:rPr>
          <w:rFonts w:cs="Arial" w:hint="cs"/>
          <w:rtl/>
        </w:rPr>
        <w:t>,</w:t>
      </w:r>
      <w:r w:rsidRPr="00C86FA0">
        <w:rPr>
          <w:rFonts w:cs="Arial"/>
          <w:rtl/>
        </w:rPr>
        <w:t xml:space="preserve"> אבל בנכסי צ"ב שהכניס' לו על אחריות שלו אין זה בכלל</w:t>
      </w:r>
      <w:r>
        <w:rPr>
          <w:rFonts w:hint="cs"/>
          <w:rtl/>
        </w:rPr>
        <w:t>, ח"מ (סק"ו). וכ"כ הב"ש (סק"ט).</w:t>
      </w:r>
    </w:p>
  </w:footnote>
  <w:footnote w:id="1496">
    <w:p w14:paraId="728D2996" w14:textId="2B30A1A2" w:rsidR="00DE2F5F" w:rsidRDefault="00DE2F5F">
      <w:pPr>
        <w:pStyle w:val="a5"/>
      </w:pPr>
      <w:r>
        <w:rPr>
          <w:rStyle w:val="a7"/>
        </w:rPr>
        <w:footnoteRef/>
      </w:r>
      <w:r>
        <w:rPr>
          <w:rtl/>
        </w:rPr>
        <w:t xml:space="preserve"> </w:t>
      </w:r>
      <w:r w:rsidRPr="00A31A43">
        <w:rPr>
          <w:rFonts w:cs="Arial"/>
          <w:rtl/>
        </w:rPr>
        <w:t>לכאורה קשה דלא משמע כן מרמב"ן והרא"ש והר"ן</w:t>
      </w:r>
      <w:r w:rsidR="00F53F9A">
        <w:rPr>
          <w:rFonts w:cs="Arial" w:hint="cs"/>
          <w:rtl/>
        </w:rPr>
        <w:t>,</w:t>
      </w:r>
      <w:r w:rsidRPr="00A31A43">
        <w:rPr>
          <w:rFonts w:cs="Arial"/>
          <w:rtl/>
        </w:rPr>
        <w:t xml:space="preserve"> דהא תירצו קושי' הנ"ל מה מהני הסילוק לדינ</w:t>
      </w:r>
      <w:r w:rsidR="00F53F9A">
        <w:rPr>
          <w:rFonts w:cs="Arial" w:hint="cs"/>
          <w:rtl/>
        </w:rPr>
        <w:t>א</w:t>
      </w:r>
      <w:r w:rsidRPr="00A31A43">
        <w:rPr>
          <w:rFonts w:cs="Arial"/>
          <w:rtl/>
        </w:rPr>
        <w:t xml:space="preserve"> דמתני' וכתבו דמהני לנכסים שיפלו אחר הנישואין</w:t>
      </w:r>
      <w:r w:rsidR="00F53F9A">
        <w:rPr>
          <w:rFonts w:cs="Arial" w:hint="cs"/>
          <w:rtl/>
        </w:rPr>
        <w:t>,</w:t>
      </w:r>
      <w:r w:rsidRPr="00A31A43">
        <w:rPr>
          <w:rFonts w:cs="Arial"/>
          <w:rtl/>
        </w:rPr>
        <w:t xml:space="preserve"> ובמתני' איירי בסילוק סתם ולא התנה בפירוש על הנכסים שיפלו אח"כ</w:t>
      </w:r>
      <w:r w:rsidR="00F53F9A">
        <w:rPr>
          <w:rFonts w:cs="Arial" w:hint="cs"/>
          <w:rtl/>
        </w:rPr>
        <w:t>.</w:t>
      </w:r>
      <w:r w:rsidRPr="00A31A43">
        <w:rPr>
          <w:rFonts w:cs="Arial"/>
          <w:rtl/>
        </w:rPr>
        <w:t xml:space="preserve"> וכן מוכח מתשו' מהר"ם שהביאו המרדכי והג"א דס"ל פירות הוי כנכסים שיפלו אח"כ</w:t>
      </w:r>
      <w:r w:rsidR="00F53F9A">
        <w:rPr>
          <w:rFonts w:cs="Arial" w:hint="cs"/>
          <w:rtl/>
        </w:rPr>
        <w:t>.</w:t>
      </w:r>
      <w:r w:rsidRPr="00A31A43">
        <w:rPr>
          <w:rFonts w:cs="Arial"/>
          <w:rtl/>
        </w:rPr>
        <w:t xml:space="preserve"> א"כ איך הקשה שם ואימ' מפירות סילק</w:t>
      </w:r>
      <w:r w:rsidR="00F53F9A">
        <w:rPr>
          <w:rFonts w:cs="Arial" w:hint="cs"/>
          <w:rtl/>
        </w:rPr>
        <w:t>,</w:t>
      </w:r>
      <w:r w:rsidRPr="00A31A43">
        <w:rPr>
          <w:rFonts w:cs="Arial"/>
          <w:rtl/>
        </w:rPr>
        <w:t xml:space="preserve"> איך ס"ד דסילוק סתם מהני לפירות</w:t>
      </w:r>
      <w:r w:rsidR="00F53F9A">
        <w:rPr>
          <w:rFonts w:cs="Arial" w:hint="cs"/>
          <w:rtl/>
        </w:rPr>
        <w:t>.</w:t>
      </w:r>
      <w:r w:rsidRPr="00A31A43">
        <w:rPr>
          <w:rFonts w:cs="Arial"/>
          <w:rtl/>
        </w:rPr>
        <w:t xml:space="preserve"> ואפשר לתרץ לדעת הרמב"ן והרא"ש דכתבו לדינ' דמתני' דמכירה קיים דלא סילק</w:t>
      </w:r>
      <w:r w:rsidR="00234381">
        <w:rPr>
          <w:rFonts w:cs="Arial" w:hint="cs"/>
          <w:rtl/>
        </w:rPr>
        <w:t>,</w:t>
      </w:r>
      <w:r w:rsidRPr="00A31A43">
        <w:rPr>
          <w:rFonts w:cs="Arial"/>
          <w:rtl/>
        </w:rPr>
        <w:t xml:space="preserve"> ואז מוכח דסילוק קאי על הנכסים שיפלו אח</w:t>
      </w:r>
      <w:r w:rsidR="00234381">
        <w:rPr>
          <w:rFonts w:cs="Arial" w:hint="cs"/>
          <w:rtl/>
        </w:rPr>
        <w:t>"</w:t>
      </w:r>
      <w:r w:rsidRPr="00A31A43">
        <w:rPr>
          <w:rFonts w:cs="Arial"/>
          <w:rtl/>
        </w:rPr>
        <w:t>כ והוי כפירש בהדיא</w:t>
      </w:r>
      <w:r w:rsidR="00234381">
        <w:rPr>
          <w:rFonts w:cs="Arial" w:hint="cs"/>
          <w:rtl/>
        </w:rPr>
        <w:t>,</w:t>
      </w:r>
      <w:r w:rsidRPr="00A31A43">
        <w:rPr>
          <w:rFonts w:cs="Arial"/>
          <w:rtl/>
        </w:rPr>
        <w:t xml:space="preserve"> משא"כ בעלמא</w:t>
      </w:r>
      <w:r w:rsidR="00234381">
        <w:rPr>
          <w:rFonts w:cs="Arial" w:hint="cs"/>
          <w:rtl/>
        </w:rPr>
        <w:t>.</w:t>
      </w:r>
      <w:r w:rsidRPr="00A31A43">
        <w:rPr>
          <w:rFonts w:cs="Arial"/>
          <w:rtl/>
        </w:rPr>
        <w:t xml:space="preserve"> מיהו מתשו' מהר"מ קשה</w:t>
      </w:r>
      <w:r>
        <w:rPr>
          <w:rFonts w:cs="Arial" w:hint="cs"/>
          <w:rtl/>
        </w:rPr>
        <w:t xml:space="preserve">, ב"ש (סק"י). </w:t>
      </w:r>
      <w:r>
        <w:rPr>
          <w:rFonts w:cs="Arial" w:hint="cs"/>
          <w:sz w:val="16"/>
          <w:szCs w:val="16"/>
          <w:rtl/>
        </w:rPr>
        <w:t>(</w:t>
      </w:r>
      <w:r w:rsidRPr="00662C2B">
        <w:rPr>
          <w:rFonts w:cs="Arial" w:hint="cs"/>
          <w:sz w:val="16"/>
          <w:szCs w:val="16"/>
          <w:rtl/>
        </w:rPr>
        <w:t xml:space="preserve">הרמ"א כתב בדרכ"מ </w:t>
      </w:r>
      <w:r w:rsidRPr="00662C2B">
        <w:rPr>
          <w:rFonts w:cs="Arial"/>
          <w:sz w:val="16"/>
          <w:szCs w:val="16"/>
          <w:rtl/>
        </w:rPr>
        <w:t>(</w:t>
      </w:r>
      <w:r w:rsidRPr="00662C2B">
        <w:rPr>
          <w:rFonts w:cs="Arial" w:hint="cs"/>
          <w:sz w:val="16"/>
          <w:szCs w:val="16"/>
          <w:rtl/>
        </w:rPr>
        <w:t xml:space="preserve">אות </w:t>
      </w:r>
      <w:r w:rsidRPr="00662C2B">
        <w:rPr>
          <w:rFonts w:cs="Arial"/>
          <w:sz w:val="16"/>
          <w:szCs w:val="16"/>
          <w:rtl/>
        </w:rPr>
        <w:t xml:space="preserve">ג) </w:t>
      </w:r>
      <w:r w:rsidR="0061020A">
        <w:rPr>
          <w:rFonts w:cs="Arial" w:hint="cs"/>
          <w:sz w:val="16"/>
          <w:szCs w:val="16"/>
          <w:rtl/>
        </w:rPr>
        <w:t>וז</w:t>
      </w:r>
      <w:r w:rsidR="0061020A">
        <w:rPr>
          <w:rFonts w:cs="Arial"/>
          <w:sz w:val="16"/>
          <w:szCs w:val="16"/>
          <w:rtl/>
        </w:rPr>
        <w:t>"</w:t>
      </w:r>
      <w:r w:rsidR="0061020A">
        <w:rPr>
          <w:rFonts w:cs="Arial" w:hint="cs"/>
          <w:sz w:val="16"/>
          <w:szCs w:val="16"/>
          <w:rtl/>
        </w:rPr>
        <w:t>ל:</w:t>
      </w:r>
      <w:r w:rsidRPr="00662C2B">
        <w:rPr>
          <w:rFonts w:cs="Arial" w:hint="cs"/>
          <w:sz w:val="16"/>
          <w:szCs w:val="16"/>
          <w:rtl/>
        </w:rPr>
        <w:t xml:space="preserve"> </w:t>
      </w:r>
      <w:r w:rsidRPr="00662C2B">
        <w:rPr>
          <w:rFonts w:cs="Arial"/>
          <w:sz w:val="16"/>
          <w:szCs w:val="16"/>
          <w:rtl/>
        </w:rPr>
        <w:t>כתב מהרי"ק שורש י"ג מי שסילק עצמו מנכסי אשתו ואח</w:t>
      </w:r>
      <w:r w:rsidR="00234381">
        <w:rPr>
          <w:rFonts w:cs="Arial" w:hint="cs"/>
          <w:sz w:val="16"/>
          <w:szCs w:val="16"/>
          <w:rtl/>
        </w:rPr>
        <w:t>"</w:t>
      </w:r>
      <w:r w:rsidRPr="00662C2B">
        <w:rPr>
          <w:rFonts w:cs="Arial"/>
          <w:sz w:val="16"/>
          <w:szCs w:val="16"/>
          <w:rtl/>
        </w:rPr>
        <w:t>כ נפל לה ירושה</w:t>
      </w:r>
      <w:r w:rsidR="00234381">
        <w:rPr>
          <w:rFonts w:cs="Arial" w:hint="cs"/>
          <w:sz w:val="16"/>
          <w:szCs w:val="16"/>
          <w:rtl/>
        </w:rPr>
        <w:t>,</w:t>
      </w:r>
      <w:r w:rsidRPr="00662C2B">
        <w:rPr>
          <w:rFonts w:cs="Arial"/>
          <w:sz w:val="16"/>
          <w:szCs w:val="16"/>
          <w:rtl/>
        </w:rPr>
        <w:t xml:space="preserve"> ואמר הבעל שלא סילק עצמו מאותן הנכסים, ופסק דתולה בלשון השטר וכו'</w:t>
      </w:r>
      <w:r w:rsidR="00234381">
        <w:rPr>
          <w:rFonts w:cs="Arial" w:hint="cs"/>
          <w:sz w:val="16"/>
          <w:szCs w:val="16"/>
          <w:rtl/>
        </w:rPr>
        <w:t>,</w:t>
      </w:r>
      <w:r w:rsidRPr="00662C2B">
        <w:rPr>
          <w:rFonts w:cs="Arial"/>
          <w:sz w:val="16"/>
          <w:szCs w:val="16"/>
          <w:rtl/>
        </w:rPr>
        <w:t xml:space="preserve"> וכתב ומיהו אם האב כתב לבתו שטר ירושה</w:t>
      </w:r>
      <w:r w:rsidR="00234381">
        <w:rPr>
          <w:rFonts w:cs="Arial" w:hint="cs"/>
          <w:sz w:val="16"/>
          <w:szCs w:val="16"/>
          <w:rtl/>
        </w:rPr>
        <w:t>,</w:t>
      </w:r>
      <w:r w:rsidRPr="00662C2B">
        <w:rPr>
          <w:rFonts w:cs="Arial"/>
          <w:sz w:val="16"/>
          <w:szCs w:val="16"/>
          <w:rtl/>
        </w:rPr>
        <w:t xml:space="preserve"> וכתב לה </w:t>
      </w:r>
      <w:r w:rsidR="00234381">
        <w:rPr>
          <w:rFonts w:cs="Arial" w:hint="cs"/>
          <w:sz w:val="14"/>
          <w:szCs w:val="14"/>
          <w:rtl/>
        </w:rPr>
        <w:t xml:space="preserve">{הארוס שלה} </w:t>
      </w:r>
      <w:r w:rsidRPr="00662C2B">
        <w:rPr>
          <w:rFonts w:cs="Arial"/>
          <w:sz w:val="16"/>
          <w:szCs w:val="16"/>
          <w:rtl/>
        </w:rPr>
        <w:t xml:space="preserve">אין לי בנכסיך </w:t>
      </w:r>
      <w:r w:rsidR="00234381">
        <w:rPr>
          <w:rFonts w:cs="Arial" w:hint="cs"/>
          <w:sz w:val="16"/>
          <w:szCs w:val="16"/>
          <w:rtl/>
        </w:rPr>
        <w:t xml:space="preserve">- </w:t>
      </w:r>
      <w:r w:rsidRPr="00662C2B">
        <w:rPr>
          <w:rFonts w:cs="Arial"/>
          <w:sz w:val="16"/>
          <w:szCs w:val="16"/>
          <w:rtl/>
        </w:rPr>
        <w:t>אין לו כלום באותה ירושה</w:t>
      </w:r>
      <w:r w:rsidR="00234381">
        <w:rPr>
          <w:rFonts w:cs="Arial" w:hint="cs"/>
          <w:sz w:val="16"/>
          <w:szCs w:val="16"/>
          <w:rtl/>
        </w:rPr>
        <w:t>.</w:t>
      </w:r>
      <w:r w:rsidRPr="00662C2B">
        <w:rPr>
          <w:rFonts w:cs="Arial"/>
          <w:sz w:val="16"/>
          <w:szCs w:val="16"/>
          <w:rtl/>
        </w:rPr>
        <w:t xml:space="preserve"> וע"ש שהאריך בדינים אלו הרבה</w:t>
      </w:r>
      <w:r w:rsidRPr="00662C2B">
        <w:rPr>
          <w:rFonts w:hint="cs"/>
          <w:sz w:val="16"/>
          <w:szCs w:val="16"/>
          <w:rtl/>
        </w:rPr>
        <w:t>. עכ"ל. ומדברי מהרי"ק שם נראה שרק נתלה לרבותא בזה שכתוב בשטר 'כל נכסיך' וכדו', והחשיב את זה כמפרש בהדיא שדעתו על כל הנכסים וגם מה שיפול אח"כ בכלל. אבל מהרי"ק לא גילה דעתו מה הדין אם לא היה כתוב 'כל נכסיך'. ולא הבנתי למה הכריח כן הרמ"א בדבריו. שהרי יותר קרוב לומר שמסכים מהרי"ק לדברי הרמב"ן ודעימה, ובתשובה שם נתלה לרבותא על מה שפירש הבעל בהדיא. וצל"ע)</w:t>
      </w:r>
      <w:r>
        <w:rPr>
          <w:rFonts w:hint="cs"/>
          <w:rtl/>
        </w:rPr>
        <w:t xml:space="preserve">. ומדברי רש"י (פג. ד"ה </w:t>
      </w:r>
      <w:r w:rsidRPr="00662C2B">
        <w:rPr>
          <w:rFonts w:cs="Arial"/>
          <w:rtl/>
        </w:rPr>
        <w:t>קנו מידו מהו</w:t>
      </w:r>
      <w:r>
        <w:rPr>
          <w:rFonts w:cs="Arial" w:hint="cs"/>
          <w:rtl/>
        </w:rPr>
        <w:t>) משמע כדברי הרמ"א כאן.</w:t>
      </w:r>
    </w:p>
  </w:footnote>
  <w:footnote w:id="1497">
    <w:p w14:paraId="7E384C76" w14:textId="77777777" w:rsidR="00DE2F5F" w:rsidRDefault="00DE2F5F" w:rsidP="00932476">
      <w:pPr>
        <w:pStyle w:val="a5"/>
        <w:rPr>
          <w:rtl/>
        </w:rPr>
      </w:pPr>
      <w:r>
        <w:rPr>
          <w:rStyle w:val="a7"/>
        </w:rPr>
        <w:footnoteRef/>
      </w:r>
      <w:r>
        <w:rPr>
          <w:rtl/>
        </w:rPr>
        <w:t xml:space="preserve"> </w:t>
      </w:r>
      <w:r w:rsidRPr="003009B8">
        <w:rPr>
          <w:rFonts w:cs="Arial"/>
          <w:rtl/>
        </w:rPr>
        <w:t>אברייתא דהאומר לחבירו דין ודברים אין לי על שדה זו קאי אבל אמתניתין לא מהניא קנין ליפות כחה דהא באמירה בלא לשון מתנה סגי לאסתלוקי אפילו מגופה של קרקע היכא דפריש כדקתני סיפא</w:t>
      </w:r>
      <w:r>
        <w:rPr>
          <w:rFonts w:hint="cs"/>
          <w:rtl/>
        </w:rPr>
        <w:t>..., רש"י.</w:t>
      </w:r>
      <w:r w:rsidRPr="00233EB8">
        <w:rPr>
          <w:rFonts w:cs="Arial"/>
          <w:rtl/>
        </w:rPr>
        <w:t xml:space="preserve"> </w:t>
      </w:r>
      <w:r w:rsidRPr="00F31ACB">
        <w:rPr>
          <w:rFonts w:cs="Arial"/>
          <w:rtl/>
        </w:rPr>
        <w:t>והתוספות (כתובות שם ד"ה קנו) הקשו על פירוש רש"י</w:t>
      </w:r>
      <w:r>
        <w:rPr>
          <w:rFonts w:cs="Arial" w:hint="cs"/>
          <w:rtl/>
        </w:rPr>
        <w:t>,</w:t>
      </w:r>
      <w:r w:rsidRPr="00F31ACB">
        <w:rPr>
          <w:rFonts w:cs="Arial"/>
          <w:rtl/>
        </w:rPr>
        <w:t xml:space="preserve"> וכתבו דנראה לר"י דאנשואה קאי דאמרינן דידו כידה אי מהני לה שום קנין. והרא"ש (שם) כתב על פירוש רש"י</w:t>
      </w:r>
      <w:r>
        <w:rPr>
          <w:rFonts w:cs="Arial" w:hint="cs"/>
          <w:rtl/>
        </w:rPr>
        <w:t>-</w:t>
      </w:r>
      <w:r w:rsidRPr="00F31ACB">
        <w:rPr>
          <w:rFonts w:cs="Arial"/>
          <w:rtl/>
        </w:rPr>
        <w:t xml:space="preserve"> וקשה מה הועיל שם קנין</w:t>
      </w:r>
      <w:r>
        <w:rPr>
          <w:rFonts w:cs="Arial" w:hint="cs"/>
          <w:rtl/>
        </w:rPr>
        <w:t>,</w:t>
      </w:r>
      <w:r w:rsidRPr="00F31ACB">
        <w:rPr>
          <w:rFonts w:cs="Arial"/>
          <w:rtl/>
        </w:rPr>
        <w:t xml:space="preserve"> למי הוא מקנה אותה</w:t>
      </w:r>
      <w:r>
        <w:rPr>
          <w:rFonts w:cs="Arial" w:hint="cs"/>
          <w:rtl/>
        </w:rPr>
        <w:t>.</w:t>
      </w:r>
      <w:r w:rsidRPr="00F31ACB">
        <w:rPr>
          <w:rFonts w:cs="Arial"/>
          <w:rtl/>
        </w:rPr>
        <w:t xml:space="preserve"> דדין ודברים אין לי בה אינו אלא לשון הפקר</w:t>
      </w:r>
      <w:r>
        <w:rPr>
          <w:rFonts w:cs="Arial" w:hint="cs"/>
          <w:rtl/>
        </w:rPr>
        <w:t>.</w:t>
      </w:r>
      <w:r w:rsidRPr="00F31ACB">
        <w:rPr>
          <w:rFonts w:cs="Arial"/>
          <w:rtl/>
        </w:rPr>
        <w:t xml:space="preserve"> הילכך נראה דאנשואה קאי דלא מהני דין ודברים משום דידו כידה</w:t>
      </w:r>
      <w:r>
        <w:rPr>
          <w:rFonts w:cs="Arial" w:hint="cs"/>
          <w:rtl/>
        </w:rPr>
        <w:t>,</w:t>
      </w:r>
      <w:r w:rsidRPr="00F31ACB">
        <w:rPr>
          <w:rFonts w:cs="Arial"/>
          <w:rtl/>
        </w:rPr>
        <w:t xml:space="preserve"> ומיבעי להו אי מהני קנין</w:t>
      </w:r>
      <w:r>
        <w:rPr>
          <w:rFonts w:cs="Arial" w:hint="cs"/>
          <w:rtl/>
        </w:rPr>
        <w:t>.</w:t>
      </w:r>
      <w:r w:rsidRPr="00F31ACB">
        <w:rPr>
          <w:rFonts w:cs="Arial"/>
          <w:rtl/>
        </w:rPr>
        <w:t xml:space="preserve"> ויש לקיים פירוש רש"י דכיון שאומר לחבירו שהוא שותף עמו והקנה לו</w:t>
      </w:r>
      <w:r>
        <w:rPr>
          <w:rFonts w:cs="Arial" w:hint="cs"/>
          <w:rtl/>
        </w:rPr>
        <w:t>,</w:t>
      </w:r>
      <w:r w:rsidRPr="00F31ACB">
        <w:rPr>
          <w:rFonts w:cs="Arial"/>
          <w:rtl/>
        </w:rPr>
        <w:t xml:space="preserve"> מוכח שהוא מקנה לו השדה</w:t>
      </w:r>
      <w:r>
        <w:rPr>
          <w:rFonts w:cs="Arial" w:hint="cs"/>
          <w:rtl/>
        </w:rPr>
        <w:t>.</w:t>
      </w:r>
      <w:r w:rsidRPr="00F31ACB">
        <w:rPr>
          <w:rFonts w:cs="Arial"/>
          <w:rtl/>
        </w:rPr>
        <w:t xml:space="preserve"> ורב אלפס (מא:) כתב קנו מידו של בעל ועודה ארוסה מהו</w:t>
      </w:r>
      <w:r>
        <w:rPr>
          <w:rFonts w:cs="Arial" w:hint="cs"/>
          <w:rtl/>
        </w:rPr>
        <w:t>.</w:t>
      </w:r>
      <w:r w:rsidRPr="00F31ACB">
        <w:rPr>
          <w:rFonts w:cs="Arial"/>
          <w:rtl/>
        </w:rPr>
        <w:t xml:space="preserve"> וקשה</w:t>
      </w:r>
      <w:r>
        <w:rPr>
          <w:rFonts w:cs="Arial" w:hint="cs"/>
          <w:rtl/>
        </w:rPr>
        <w:t>,</w:t>
      </w:r>
      <w:r w:rsidRPr="00F31ACB">
        <w:rPr>
          <w:rFonts w:cs="Arial"/>
          <w:rtl/>
        </w:rPr>
        <w:t xml:space="preserve"> דהא אפילו באמירה מועיל</w:t>
      </w:r>
      <w:r>
        <w:rPr>
          <w:rFonts w:cs="Arial" w:hint="cs"/>
          <w:rtl/>
        </w:rPr>
        <w:t>.</w:t>
      </w:r>
      <w:r w:rsidRPr="00F31ACB">
        <w:rPr>
          <w:rFonts w:cs="Arial"/>
          <w:rtl/>
        </w:rPr>
        <w:t xml:space="preserve"> וכוונתו שאם אמר דין ודברים אין לי בנכסיך וקנו מידו אם נסתלק גם מפירות וירושה</w:t>
      </w:r>
      <w:r>
        <w:rPr>
          <w:rFonts w:cs="Arial" w:hint="cs"/>
          <w:rtl/>
        </w:rPr>
        <w:t>.</w:t>
      </w:r>
      <w:r w:rsidRPr="00F31ACB">
        <w:rPr>
          <w:rFonts w:cs="Arial"/>
          <w:rtl/>
        </w:rPr>
        <w:t xml:space="preserve"> וקשה</w:t>
      </w:r>
      <w:r>
        <w:rPr>
          <w:rFonts w:cs="Arial" w:hint="cs"/>
          <w:rtl/>
        </w:rPr>
        <w:t>,</w:t>
      </w:r>
      <w:r w:rsidRPr="00F31ACB">
        <w:rPr>
          <w:rFonts w:cs="Arial"/>
          <w:rtl/>
        </w:rPr>
        <w:t xml:space="preserve"> כיון דטעמא דלא נסתלק משום דיד בעל השטר על התחתונה</w:t>
      </w:r>
      <w:r>
        <w:rPr>
          <w:rFonts w:cs="Arial" w:hint="cs"/>
          <w:rtl/>
        </w:rPr>
        <w:t>,</w:t>
      </w:r>
      <w:r w:rsidRPr="00F31ACB">
        <w:rPr>
          <w:rFonts w:cs="Arial"/>
          <w:rtl/>
        </w:rPr>
        <w:t xml:space="preserve"> או מדקדוק הלשון דבנכסייך ולא בפירות בנכסייך ולא לאחר מיתה לרב אשי</w:t>
      </w:r>
      <w:r>
        <w:rPr>
          <w:rFonts w:cs="Arial" w:hint="cs"/>
          <w:rtl/>
        </w:rPr>
        <w:t>,</w:t>
      </w:r>
      <w:r w:rsidRPr="00F31ACB">
        <w:rPr>
          <w:rFonts w:cs="Arial"/>
          <w:rtl/>
        </w:rPr>
        <w:t xml:space="preserve"> מאי מהני קנין לדבר שאינו שלו ממשמעות הלשון</w:t>
      </w:r>
      <w:r>
        <w:rPr>
          <w:rFonts w:cs="Arial" w:hint="cs"/>
          <w:rtl/>
        </w:rPr>
        <w:t>.</w:t>
      </w:r>
      <w:r w:rsidRPr="00F31ACB">
        <w:rPr>
          <w:rFonts w:cs="Arial"/>
          <w:rtl/>
        </w:rPr>
        <w:t xml:space="preserve"> ופירוש רש"י עיקר</w:t>
      </w:r>
      <w:r>
        <w:rPr>
          <w:rFonts w:cs="Arial" w:hint="cs"/>
          <w:rtl/>
        </w:rPr>
        <w:t>.</w:t>
      </w:r>
      <w:r w:rsidRPr="00F31ACB">
        <w:rPr>
          <w:rFonts w:cs="Arial"/>
          <w:rtl/>
        </w:rPr>
        <w:t xml:space="preserve"> עכ"ל</w:t>
      </w:r>
      <w:r>
        <w:rPr>
          <w:rFonts w:hint="cs"/>
          <w:rtl/>
        </w:rPr>
        <w:t>.</w:t>
      </w:r>
    </w:p>
  </w:footnote>
  <w:footnote w:id="1498">
    <w:p w14:paraId="50DA33EA" w14:textId="77777777" w:rsidR="00DE2F5F" w:rsidRDefault="00DE2F5F" w:rsidP="00932476">
      <w:pPr>
        <w:pStyle w:val="a5"/>
        <w:rPr>
          <w:rtl/>
        </w:rPr>
      </w:pPr>
      <w:r>
        <w:rPr>
          <w:rStyle w:val="a7"/>
        </w:rPr>
        <w:footnoteRef/>
      </w:r>
      <w:r>
        <w:rPr>
          <w:rtl/>
        </w:rPr>
        <w:t xml:space="preserve"> </w:t>
      </w:r>
      <w:r w:rsidRPr="007E16F2">
        <w:rPr>
          <w:rFonts w:cs="Arial"/>
          <w:rtl/>
        </w:rPr>
        <w:t>מי אמרי' לא הקנה בחליפין הללו כלום ולא אמר עליה אלא לשון דין ודברים</w:t>
      </w:r>
      <w:r>
        <w:rPr>
          <w:rFonts w:cs="Arial" w:hint="cs"/>
          <w:rtl/>
        </w:rPr>
        <w:t>.</w:t>
      </w:r>
      <w:r w:rsidRPr="007E16F2">
        <w:rPr>
          <w:rFonts w:cs="Arial"/>
          <w:rtl/>
        </w:rPr>
        <w:t xml:space="preserve"> או דלמא אין חליפין באים אלא לדבר שיש בו ממש שזה קונה את הסודר ומקנה לו חפץ המכר או המתנה</w:t>
      </w:r>
      <w:r>
        <w:rPr>
          <w:rFonts w:cs="Arial" w:hint="cs"/>
          <w:rtl/>
        </w:rPr>
        <w:t>,</w:t>
      </w:r>
      <w:r w:rsidRPr="007E16F2">
        <w:rPr>
          <w:rFonts w:cs="Arial"/>
          <w:rtl/>
        </w:rPr>
        <w:t xml:space="preserve"> ועל גופה של קרקע קנו מידו ומתנה גמורה היא</w:t>
      </w:r>
      <w:r>
        <w:rPr>
          <w:rFonts w:hint="cs"/>
          <w:rtl/>
        </w:rPr>
        <w:t>, רש"י.</w:t>
      </w:r>
    </w:p>
  </w:footnote>
  <w:footnote w:id="1499">
    <w:p w14:paraId="5E068B52" w14:textId="77777777" w:rsidR="00DE2F5F" w:rsidRDefault="00DE2F5F" w:rsidP="00932476">
      <w:pPr>
        <w:pStyle w:val="a5"/>
        <w:rPr>
          <w:rtl/>
        </w:rPr>
      </w:pPr>
      <w:r>
        <w:rPr>
          <w:rStyle w:val="a7"/>
        </w:rPr>
        <w:footnoteRef/>
      </w:r>
      <w:r>
        <w:rPr>
          <w:rtl/>
        </w:rPr>
        <w:t xml:space="preserve"> </w:t>
      </w:r>
      <w:r w:rsidRPr="007E16F2">
        <w:rPr>
          <w:rFonts w:cs="Arial"/>
          <w:rtl/>
        </w:rPr>
        <w:t>מה שפירש על הקנין קנו מידו והוא לשון דין ודברים ואינו כלום</w:t>
      </w:r>
      <w:r>
        <w:rPr>
          <w:rFonts w:hint="cs"/>
          <w:rtl/>
        </w:rPr>
        <w:t>, רש"י.</w:t>
      </w:r>
    </w:p>
  </w:footnote>
  <w:footnote w:id="1500">
    <w:p w14:paraId="1B955970" w14:textId="071FAFD8" w:rsidR="00DE2F5F" w:rsidRDefault="00DE2F5F" w:rsidP="00662C2B">
      <w:pPr>
        <w:pStyle w:val="a5"/>
        <w:rPr>
          <w:rtl/>
        </w:rPr>
      </w:pPr>
      <w:r>
        <w:rPr>
          <w:rStyle w:val="a7"/>
        </w:rPr>
        <w:footnoteRef/>
      </w:r>
      <w:r>
        <w:rPr>
          <w:rtl/>
        </w:rPr>
        <w:t xml:space="preserve"> </w:t>
      </w:r>
      <w:r w:rsidRPr="00F31ACB">
        <w:rPr>
          <w:rFonts w:cs="Arial"/>
          <w:rtl/>
        </w:rPr>
        <w:t>וטעמו מדגרסינן בפרק הכותב (פג.) איבעיא להו קנו מידו מהו ופי' הרי"ף (מא:) דאמתניתין דהכותב לאשתו דין ודברים אין לי בנכסיך קאי</w:t>
      </w:r>
      <w:r>
        <w:rPr>
          <w:rFonts w:cs="Arial" w:hint="cs"/>
          <w:rtl/>
        </w:rPr>
        <w:t>.</w:t>
      </w:r>
      <w:r w:rsidRPr="00F31ACB">
        <w:rPr>
          <w:rFonts w:cs="Arial"/>
          <w:rtl/>
        </w:rPr>
        <w:t xml:space="preserve"> ומיבעיא ליה אי קנו מידו של בעל בעודה ארוסה</w:t>
      </w:r>
      <w:r>
        <w:rPr>
          <w:rFonts w:cs="Arial" w:hint="cs"/>
          <w:rtl/>
        </w:rPr>
        <w:t>,</w:t>
      </w:r>
      <w:r w:rsidRPr="00F31ACB">
        <w:rPr>
          <w:rFonts w:cs="Arial"/>
          <w:rtl/>
        </w:rPr>
        <w:t xml:space="preserve"> אי אמרינן דקנין לטפויי אתי</w:t>
      </w:r>
      <w:r>
        <w:rPr>
          <w:rFonts w:cs="Arial" w:hint="cs"/>
          <w:rtl/>
        </w:rPr>
        <w:t>,</w:t>
      </w:r>
      <w:r w:rsidRPr="00F31ACB">
        <w:rPr>
          <w:rFonts w:cs="Arial"/>
          <w:rtl/>
        </w:rPr>
        <w:t xml:space="preserve"> ומגופה של קרקע קנו מידו שלא יהא לו זכות בקרקע כלל</w:t>
      </w:r>
      <w:r>
        <w:rPr>
          <w:rFonts w:cs="Arial" w:hint="cs"/>
          <w:rtl/>
        </w:rPr>
        <w:t>.</w:t>
      </w:r>
      <w:r w:rsidRPr="00F31ACB">
        <w:rPr>
          <w:rFonts w:cs="Arial"/>
          <w:rtl/>
        </w:rPr>
        <w:t xml:space="preserve"> וכיון שכן אינו אוכל פירות</w:t>
      </w:r>
      <w:r>
        <w:rPr>
          <w:rFonts w:cs="Arial" w:hint="cs"/>
          <w:rtl/>
        </w:rPr>
        <w:t>.</w:t>
      </w:r>
      <w:r w:rsidRPr="00F31ACB">
        <w:rPr>
          <w:rFonts w:cs="Arial"/>
          <w:rtl/>
        </w:rPr>
        <w:t xml:space="preserve"> ואסיקנא דמגופה של קרקע קנו מידו ואפילו בעורר</w:t>
      </w:r>
      <w:r>
        <w:rPr>
          <w:rFonts w:cs="Arial" w:hint="cs"/>
          <w:rtl/>
        </w:rPr>
        <w:t>.</w:t>
      </w:r>
      <w:r w:rsidRPr="00F31ACB">
        <w:rPr>
          <w:rFonts w:cs="Arial"/>
          <w:rtl/>
        </w:rPr>
        <w:t xml:space="preserve"> ורש"י (פג. ד"ה קנו מידו) פי' בענין אחר</w:t>
      </w:r>
      <w:r>
        <w:rPr>
          <w:rFonts w:cs="Arial" w:hint="cs"/>
          <w:rtl/>
        </w:rPr>
        <w:t>.</w:t>
      </w:r>
      <w:r w:rsidRPr="00F31ACB">
        <w:rPr>
          <w:rFonts w:cs="Arial"/>
          <w:rtl/>
        </w:rPr>
        <w:t xml:space="preserve"> והרא"ש (סי' א) הקשה על דברי הרי"ף וכתב שפירוש רש"י עיקר</w:t>
      </w:r>
      <w:r>
        <w:rPr>
          <w:rFonts w:cs="Arial" w:hint="cs"/>
          <w:rtl/>
        </w:rPr>
        <w:t xml:space="preserve">. </w:t>
      </w:r>
      <w:r w:rsidRPr="00F31ACB">
        <w:rPr>
          <w:rFonts w:cs="Arial"/>
          <w:rtl/>
        </w:rPr>
        <w:t>והראב"ד (פכ"ג מאישות ה"ב) כתב על דברי הרמב"ם כל מה שכתב כאן הבל ורעות רוח</w:t>
      </w:r>
      <w:r w:rsidR="006D377F">
        <w:rPr>
          <w:rFonts w:cs="Arial" w:hint="cs"/>
          <w:rtl/>
        </w:rPr>
        <w:t>,</w:t>
      </w:r>
      <w:r w:rsidRPr="00F31ACB">
        <w:rPr>
          <w:rFonts w:cs="Arial"/>
          <w:rtl/>
        </w:rPr>
        <w:t xml:space="preserve"> ותמה עליו הרב המגיד (שם ה"א)</w:t>
      </w:r>
      <w:r>
        <w:rPr>
          <w:rFonts w:cs="Arial" w:hint="cs"/>
          <w:rtl/>
        </w:rPr>
        <w:t>, ב"י.</w:t>
      </w:r>
    </w:p>
  </w:footnote>
  <w:footnote w:id="1501">
    <w:p w14:paraId="1F735DB1" w14:textId="4DA32718" w:rsidR="00DE2F5F" w:rsidRDefault="00DE2F5F" w:rsidP="00662C2B">
      <w:pPr>
        <w:pStyle w:val="a5"/>
        <w:rPr>
          <w:rtl/>
        </w:rPr>
      </w:pPr>
      <w:r>
        <w:rPr>
          <w:rStyle w:val="a7"/>
        </w:rPr>
        <w:footnoteRef/>
      </w:r>
      <w:r>
        <w:rPr>
          <w:rtl/>
        </w:rPr>
        <w:t xml:space="preserve"> </w:t>
      </w:r>
      <w:r>
        <w:rPr>
          <w:rFonts w:hint="cs"/>
          <w:rtl/>
        </w:rPr>
        <w:t xml:space="preserve">מהב"י משמע שדברי הרא"ש תלויים בפירוש רש"י. וא"כ צריך לדעת שהר"ן (מא: ד"ה קנו מידו) כתב שגם לפירוש רש"י מהני קניין על מנת להסתלק גם מהפירות </w:t>
      </w:r>
      <w:r w:rsidRPr="00A857C8">
        <w:rPr>
          <w:rFonts w:hint="cs"/>
          <w:sz w:val="16"/>
          <w:szCs w:val="16"/>
          <w:rtl/>
        </w:rPr>
        <w:t>(</w:t>
      </w:r>
      <w:r w:rsidR="0061020A">
        <w:rPr>
          <w:rFonts w:hint="cs"/>
          <w:sz w:val="16"/>
          <w:szCs w:val="16"/>
          <w:rtl/>
        </w:rPr>
        <w:t>וז</w:t>
      </w:r>
      <w:r w:rsidR="0061020A">
        <w:rPr>
          <w:sz w:val="16"/>
          <w:szCs w:val="16"/>
          <w:rtl/>
        </w:rPr>
        <w:t>"</w:t>
      </w:r>
      <w:r w:rsidR="0061020A">
        <w:rPr>
          <w:rFonts w:hint="cs"/>
          <w:sz w:val="16"/>
          <w:szCs w:val="16"/>
          <w:rtl/>
        </w:rPr>
        <w:t>ל:</w:t>
      </w:r>
      <w:r w:rsidRPr="00A857C8">
        <w:rPr>
          <w:rFonts w:hint="cs"/>
          <w:sz w:val="16"/>
          <w:szCs w:val="16"/>
          <w:rtl/>
        </w:rPr>
        <w:t xml:space="preserve"> </w:t>
      </w:r>
      <w:r w:rsidRPr="00A857C8">
        <w:rPr>
          <w:rFonts w:cs="Arial"/>
          <w:sz w:val="16"/>
          <w:szCs w:val="16"/>
          <w:rtl/>
        </w:rPr>
        <w:t xml:space="preserve">קנו מידו מהו. פי' רש"י ז"ל דאברייתא דהאומר לחבירו דין ודברים אין לי על שדה זו קאי ומיבעיא לן אי קנו מידו אי אמרינן דמדין ודברים קנו מיניה או מגופה של קרקע קנו מידו דאין חליפין באין אלא בדבר שיש בו ממש שזה קונה את הסודר ומקנה לו את חפץ המכר או המתנה ועל גופה של קרקע קנו מידו ואסיקנא דמגופה של קרקע קנו מידו </w:t>
      </w:r>
      <w:r w:rsidRPr="00A857C8">
        <w:rPr>
          <w:rFonts w:cs="Arial"/>
          <w:sz w:val="16"/>
          <w:szCs w:val="16"/>
          <w:u w:val="single"/>
          <w:rtl/>
        </w:rPr>
        <w:t>והוא הדין בנשואה דמהני לפירות אם קנו מידו</w:t>
      </w:r>
      <w:r w:rsidRPr="00A857C8">
        <w:rPr>
          <w:rFonts w:cs="Arial" w:hint="cs"/>
          <w:sz w:val="16"/>
          <w:szCs w:val="16"/>
          <w:rtl/>
        </w:rPr>
        <w:t>.</w:t>
      </w:r>
      <w:r w:rsidRPr="00A857C8">
        <w:rPr>
          <w:rFonts w:cs="Arial"/>
          <w:sz w:val="16"/>
          <w:szCs w:val="16"/>
          <w:rtl/>
        </w:rPr>
        <w:t xml:space="preserve"> אבל הרי"ף ז"ל פירש דאמתני' קאי דקתני הכותב לאשתו דין ודברים אין לי בנכסיך דאוכל פירות ואם מתה יורשה וקא מיבעיא לן אם קנו מידו אי אמרי' דקנין לטפויי קא אתי ומגופה של קרקע קנו מידו שלא יהא לו זכות בקרקע כלל וכיון שכן אינו אוכל פירות</w:t>
      </w:r>
      <w:r w:rsidRPr="00A857C8">
        <w:rPr>
          <w:rFonts w:cs="Arial" w:hint="cs"/>
          <w:sz w:val="16"/>
          <w:szCs w:val="16"/>
          <w:rtl/>
        </w:rPr>
        <w:t>.</w:t>
      </w:r>
      <w:r w:rsidRPr="00A857C8">
        <w:rPr>
          <w:rFonts w:cs="Arial"/>
          <w:sz w:val="16"/>
          <w:szCs w:val="16"/>
          <w:rtl/>
        </w:rPr>
        <w:t xml:space="preserve"> ופירוש רש"י ז"ל מחוור יותר</w:t>
      </w:r>
      <w:r w:rsidRPr="00A857C8">
        <w:rPr>
          <w:rFonts w:cs="Arial" w:hint="cs"/>
          <w:sz w:val="16"/>
          <w:szCs w:val="16"/>
          <w:rtl/>
        </w:rPr>
        <w:t>.</w:t>
      </w:r>
      <w:r w:rsidRPr="00A857C8">
        <w:rPr>
          <w:rFonts w:cs="Arial"/>
          <w:sz w:val="16"/>
          <w:szCs w:val="16"/>
          <w:rtl/>
        </w:rPr>
        <w:t xml:space="preserve"> ומ"מ אף לפירוש הרי"ף ז"ל באומר לחבירו דין ודברים אין לי על שדה זו וקנו מידו מהני</w:t>
      </w:r>
      <w:r w:rsidRPr="00A857C8">
        <w:rPr>
          <w:rFonts w:cs="Arial" w:hint="cs"/>
          <w:sz w:val="16"/>
          <w:szCs w:val="16"/>
          <w:rtl/>
        </w:rPr>
        <w:t>.</w:t>
      </w:r>
      <w:r w:rsidRPr="00A857C8">
        <w:rPr>
          <w:rFonts w:cs="Arial"/>
          <w:sz w:val="16"/>
          <w:szCs w:val="16"/>
          <w:rtl/>
        </w:rPr>
        <w:t xml:space="preserve"> והכי איתא בהדיא בפ' ח"ה (מג</w:t>
      </w:r>
      <w:r w:rsidR="006D377F">
        <w:rPr>
          <w:rFonts w:cs="Arial" w:hint="cs"/>
          <w:sz w:val="16"/>
          <w:szCs w:val="16"/>
          <w:rtl/>
        </w:rPr>
        <w:t>.</w:t>
      </w:r>
      <w:r w:rsidRPr="00A857C8">
        <w:rPr>
          <w:rFonts w:cs="Arial"/>
          <w:sz w:val="16"/>
          <w:szCs w:val="16"/>
          <w:rtl/>
        </w:rPr>
        <w:t>) בההיא דהאומנין אין להן חזקה</w:t>
      </w:r>
      <w:r w:rsidRPr="00A857C8">
        <w:rPr>
          <w:rFonts w:cs="Arial" w:hint="cs"/>
          <w:sz w:val="16"/>
          <w:szCs w:val="16"/>
          <w:rtl/>
        </w:rPr>
        <w:t>)</w:t>
      </w:r>
      <w:r>
        <w:rPr>
          <w:rFonts w:cs="Arial" w:hint="cs"/>
          <w:rtl/>
        </w:rPr>
        <w:t>.</w:t>
      </w:r>
      <w:r>
        <w:rPr>
          <w:rFonts w:hint="cs"/>
          <w:rtl/>
        </w:rPr>
        <w:t xml:space="preserve"> </w:t>
      </w:r>
      <w:r w:rsidRPr="00A857C8">
        <w:rPr>
          <w:rFonts w:hint="cs"/>
          <w:color w:val="FF0000"/>
          <w:rtl/>
        </w:rPr>
        <w:t>וצל"ע ליישב הסתירה.</w:t>
      </w:r>
    </w:p>
  </w:footnote>
  <w:footnote w:id="1502">
    <w:p w14:paraId="382504CA" w14:textId="4B61477A" w:rsidR="00DE2F5F" w:rsidRDefault="00DE2F5F" w:rsidP="0057219F">
      <w:pPr>
        <w:pStyle w:val="a5"/>
        <w:rPr>
          <w:rtl/>
        </w:rPr>
      </w:pPr>
      <w:r>
        <w:rPr>
          <w:rStyle w:val="a7"/>
        </w:rPr>
        <w:footnoteRef/>
      </w:r>
      <w:r>
        <w:rPr>
          <w:rtl/>
        </w:rPr>
        <w:t xml:space="preserve"> </w:t>
      </w:r>
      <w:r w:rsidRPr="0057219F">
        <w:rPr>
          <w:rFonts w:cs="Arial"/>
          <w:rtl/>
        </w:rPr>
        <w:t xml:space="preserve">משמע </w:t>
      </w:r>
      <w:r>
        <w:rPr>
          <w:rFonts w:cs="Arial" w:hint="cs"/>
          <w:rtl/>
        </w:rPr>
        <w:t>ד</w:t>
      </w:r>
      <w:r w:rsidRPr="0057219F">
        <w:rPr>
          <w:rFonts w:cs="Arial"/>
          <w:rtl/>
        </w:rPr>
        <w:t>אפילו מפירי פירות סילק</w:t>
      </w:r>
      <w:r>
        <w:rPr>
          <w:rFonts w:cs="Arial" w:hint="cs"/>
          <w:rtl/>
        </w:rPr>
        <w:t>.</w:t>
      </w:r>
      <w:r w:rsidRPr="0057219F">
        <w:rPr>
          <w:rFonts w:cs="Arial"/>
          <w:rtl/>
        </w:rPr>
        <w:t xml:space="preserve"> והרא"ש כתב </w:t>
      </w:r>
      <w:r>
        <w:rPr>
          <w:rFonts w:cs="Arial" w:hint="cs"/>
          <w:sz w:val="16"/>
          <w:szCs w:val="16"/>
          <w:rtl/>
        </w:rPr>
        <w:t xml:space="preserve">{בפירוש דברי הרי"ף} </w:t>
      </w:r>
      <w:r>
        <w:rPr>
          <w:rFonts w:cs="Arial" w:hint="cs"/>
          <w:rtl/>
        </w:rPr>
        <w:t>ד</w:t>
      </w:r>
      <w:r w:rsidRPr="0057219F">
        <w:rPr>
          <w:rFonts w:cs="Arial"/>
          <w:rtl/>
        </w:rPr>
        <w:t>אפילו מירוש</w:t>
      </w:r>
      <w:r>
        <w:rPr>
          <w:rFonts w:cs="Arial" w:hint="cs"/>
          <w:rtl/>
        </w:rPr>
        <w:t>ה</w:t>
      </w:r>
      <w:r w:rsidRPr="0057219F">
        <w:rPr>
          <w:rFonts w:cs="Arial"/>
          <w:rtl/>
        </w:rPr>
        <w:t xml:space="preserve"> סילק כיון דא"צ קנין ועשה קנין אמרי</w:t>
      </w:r>
      <w:r>
        <w:rPr>
          <w:rFonts w:cs="Arial" w:hint="cs"/>
          <w:rtl/>
        </w:rPr>
        <w:t>נן</w:t>
      </w:r>
      <w:r w:rsidRPr="0057219F">
        <w:rPr>
          <w:rFonts w:cs="Arial"/>
          <w:rtl/>
        </w:rPr>
        <w:t xml:space="preserve"> דסילק מגוף הקרקע</w:t>
      </w:r>
      <w:r>
        <w:rPr>
          <w:rFonts w:cs="Arial" w:hint="cs"/>
          <w:rtl/>
        </w:rPr>
        <w:t>.</w:t>
      </w:r>
      <w:r w:rsidRPr="0057219F">
        <w:rPr>
          <w:rFonts w:cs="Arial"/>
          <w:rtl/>
        </w:rPr>
        <w:t xml:space="preserve"> מיהו מרמב"ם והר"ן והטור משמע דלא סילק אלא מפירות</w:t>
      </w:r>
      <w:r>
        <w:rPr>
          <w:rFonts w:cs="Arial" w:hint="cs"/>
          <w:rtl/>
        </w:rPr>
        <w:t>,</w:t>
      </w:r>
      <w:r w:rsidRPr="0057219F">
        <w:rPr>
          <w:rFonts w:hint="cs"/>
          <w:rtl/>
        </w:rPr>
        <w:t xml:space="preserve"> </w:t>
      </w:r>
      <w:r>
        <w:rPr>
          <w:rFonts w:hint="cs"/>
          <w:rtl/>
        </w:rPr>
        <w:t>ב"ש (סקי"א)</w:t>
      </w:r>
      <w:r>
        <w:rPr>
          <w:rFonts w:cs="Arial" w:hint="cs"/>
          <w:rtl/>
        </w:rPr>
        <w:t>.</w:t>
      </w:r>
    </w:p>
  </w:footnote>
  <w:footnote w:id="1503">
    <w:p w14:paraId="3A609FDD" w14:textId="1F05EB60" w:rsidR="00DE2F5F" w:rsidRDefault="00DE2F5F" w:rsidP="00F47BAE">
      <w:pPr>
        <w:pStyle w:val="a5"/>
        <w:rPr>
          <w:rtl/>
        </w:rPr>
      </w:pPr>
      <w:r>
        <w:rPr>
          <w:rStyle w:val="a7"/>
        </w:rPr>
        <w:footnoteRef/>
      </w:r>
      <w:r>
        <w:rPr>
          <w:rtl/>
        </w:rPr>
        <w:t xml:space="preserve"> </w:t>
      </w:r>
      <w:r w:rsidRPr="00F47BAE">
        <w:rPr>
          <w:rFonts w:cs="Arial"/>
          <w:rtl/>
        </w:rPr>
        <w:t>ומכרה קיים</w:t>
      </w:r>
      <w:r w:rsidR="006D377F">
        <w:rPr>
          <w:rFonts w:cs="Arial" w:hint="cs"/>
          <w:rtl/>
        </w:rPr>
        <w:t>,</w:t>
      </w:r>
      <w:r w:rsidRPr="00F47BAE">
        <w:rPr>
          <w:rFonts w:cs="Arial"/>
          <w:rtl/>
        </w:rPr>
        <w:t xml:space="preserve"> דהא אמר דין ודברים אין לי בנכסייך</w:t>
      </w:r>
      <w:r w:rsidR="006D377F">
        <w:rPr>
          <w:rFonts w:cs="Arial" w:hint="cs"/>
          <w:rtl/>
        </w:rPr>
        <w:t>.</w:t>
      </w:r>
      <w:r w:rsidRPr="00F47BAE">
        <w:rPr>
          <w:rFonts w:cs="Arial"/>
          <w:rtl/>
        </w:rPr>
        <w:t xml:space="preserve"> אלא כשאומר דין ודברים אין לי בפירות אז מכרה בטל כ"כ תוס' </w:t>
      </w:r>
      <w:r w:rsidR="006D377F">
        <w:rPr>
          <w:rFonts w:cs="Arial" w:hint="cs"/>
          <w:rtl/>
        </w:rPr>
        <w:t>בכתובות (</w:t>
      </w:r>
      <w:r w:rsidRPr="00F47BAE">
        <w:rPr>
          <w:rFonts w:cs="Arial"/>
          <w:rtl/>
        </w:rPr>
        <w:t>נ</w:t>
      </w:r>
      <w:r w:rsidR="006D377F">
        <w:rPr>
          <w:rFonts w:cs="Arial" w:hint="cs"/>
          <w:rtl/>
        </w:rPr>
        <w:t>.</w:t>
      </w:r>
      <w:r w:rsidR="00C501D0">
        <w:rPr>
          <w:rFonts w:cs="Arial" w:hint="cs"/>
          <w:rtl/>
        </w:rPr>
        <w:t xml:space="preserve"> ד"ה הבעל מוציא</w:t>
      </w:r>
      <w:r w:rsidR="006D377F">
        <w:rPr>
          <w:rFonts w:cs="Arial" w:hint="cs"/>
          <w:rtl/>
        </w:rPr>
        <w:t>),</w:t>
      </w:r>
      <w:r w:rsidRPr="00F47BAE">
        <w:rPr>
          <w:rFonts w:cs="Arial"/>
          <w:rtl/>
        </w:rPr>
        <w:t xml:space="preserve"> וע' ב"י וב"ח</w:t>
      </w:r>
      <w:r w:rsidR="00C501D0">
        <w:rPr>
          <w:rFonts w:cs="Arial" w:hint="cs"/>
          <w:rtl/>
        </w:rPr>
        <w:t>...</w:t>
      </w:r>
      <w:r>
        <w:rPr>
          <w:rFonts w:hint="cs"/>
          <w:rtl/>
        </w:rPr>
        <w:t>, ב"ש (סקי"ב).</w:t>
      </w:r>
      <w:r w:rsidR="00C501D0">
        <w:rPr>
          <w:rFonts w:hint="cs"/>
          <w:rtl/>
        </w:rPr>
        <w:t xml:space="preserve"> וכתב עוד הב"ש דהתוס' בב"ק (פח: ד"ה באושא התקינו) </w:t>
      </w:r>
      <w:r w:rsidR="005C36B3">
        <w:rPr>
          <w:rFonts w:hint="cs"/>
          <w:rtl/>
        </w:rPr>
        <w:t>חלוקים על התוס' בכתובות (שם),</w:t>
      </w:r>
      <w:r w:rsidR="00C501D0">
        <w:rPr>
          <w:rFonts w:hint="cs"/>
          <w:rtl/>
        </w:rPr>
        <w:t xml:space="preserve"> </w:t>
      </w:r>
      <w:r w:rsidR="005C36B3">
        <w:rPr>
          <w:rFonts w:hint="cs"/>
          <w:rtl/>
        </w:rPr>
        <w:t>ודעתם</w:t>
      </w:r>
      <w:r w:rsidR="00C501D0">
        <w:rPr>
          <w:rFonts w:hint="cs"/>
          <w:rtl/>
        </w:rPr>
        <w:t xml:space="preserve"> דאם כתב לה </w:t>
      </w:r>
      <w:r w:rsidR="005C36B3" w:rsidRPr="00F47BAE">
        <w:rPr>
          <w:rFonts w:cs="Arial"/>
          <w:rtl/>
        </w:rPr>
        <w:t>אמר דין ודברים אין לי בנכסייך</w:t>
      </w:r>
      <w:r w:rsidR="005C36B3">
        <w:rPr>
          <w:rFonts w:hint="cs"/>
          <w:rtl/>
        </w:rPr>
        <w:t xml:space="preserve"> ובפירותיהן - המכר בטל. אך חיפשתי שם ולא מצאתי התייחסות למכר, אלא רק לגבי פירות כתבו, ומסקנתם כדברי כל הפוסקים לעיל. </w:t>
      </w:r>
    </w:p>
  </w:footnote>
  <w:footnote w:id="1504">
    <w:p w14:paraId="1164AEBC" w14:textId="77777777" w:rsidR="00DE2F5F" w:rsidRDefault="00DE2F5F" w:rsidP="00992598">
      <w:pPr>
        <w:pStyle w:val="a5"/>
        <w:rPr>
          <w:rtl/>
        </w:rPr>
      </w:pPr>
      <w:r>
        <w:rPr>
          <w:rStyle w:val="a7"/>
        </w:rPr>
        <w:footnoteRef/>
      </w:r>
      <w:r>
        <w:rPr>
          <w:rtl/>
        </w:rPr>
        <w:t xml:space="preserve"> </w:t>
      </w:r>
      <w:r w:rsidRPr="00F0596B">
        <w:rPr>
          <w:rFonts w:cs="Arial"/>
          <w:rtl/>
        </w:rPr>
        <w:t>ואם מכרה הקרקע השניה או הפירות הרשות בידה דלא עדיפי הפירות מגוף הקרקע שאם מכרה ונתנה קיים</w:t>
      </w:r>
      <w:r>
        <w:rPr>
          <w:rFonts w:hint="cs"/>
          <w:rtl/>
        </w:rPr>
        <w:t xml:space="preserve">, ח"מ (סק"ט). אך הב"ש (סקי"ג) כתב </w:t>
      </w:r>
      <w:r>
        <w:rPr>
          <w:rFonts w:cs="Arial" w:hint="cs"/>
          <w:rtl/>
        </w:rPr>
        <w:t>ד</w:t>
      </w:r>
      <w:r w:rsidRPr="00F47BAE">
        <w:rPr>
          <w:rFonts w:cs="Arial"/>
          <w:rtl/>
        </w:rPr>
        <w:t>א</w:t>
      </w:r>
      <w:r>
        <w:rPr>
          <w:rFonts w:cs="Arial" w:hint="cs"/>
          <w:rtl/>
        </w:rPr>
        <w:t xml:space="preserve">ינו </w:t>
      </w:r>
      <w:r w:rsidRPr="00F47BAE">
        <w:rPr>
          <w:rFonts w:cs="Arial"/>
          <w:rtl/>
        </w:rPr>
        <w:t>נ</w:t>
      </w:r>
      <w:r>
        <w:rPr>
          <w:rFonts w:cs="Arial" w:hint="cs"/>
          <w:rtl/>
        </w:rPr>
        <w:t>ראה,</w:t>
      </w:r>
      <w:r w:rsidRPr="00F47BAE">
        <w:rPr>
          <w:rFonts w:cs="Arial"/>
          <w:rtl/>
        </w:rPr>
        <w:t xml:space="preserve"> ד</w:t>
      </w:r>
      <w:r>
        <w:rPr>
          <w:rFonts w:cs="Arial" w:hint="cs"/>
          <w:rtl/>
        </w:rPr>
        <w:t xml:space="preserve">הרי </w:t>
      </w:r>
      <w:r w:rsidRPr="00F47BAE">
        <w:rPr>
          <w:rFonts w:cs="Arial"/>
          <w:rtl/>
        </w:rPr>
        <w:t>לא סילק את עצמו אלא מקרקע הראשונה אבל הפירות אין בידה למכור אלא הוא מוכר ולוקח קרקע כמ"ש בתוס' דא"י למכור קרקע שניה מכ"ש דא"י למכור הפירות דהא פירות מקרקע שניה שלו הם וכן הוא בסילוק פירי פירות אא"כ שסילק עד עולם אז מה שלקחה בעד הפירות יכולה למכור אלא אם לא מכרה יורש אותה אא"כ התנה על הירושה כנ"ל</w:t>
      </w:r>
      <w:r>
        <w:rPr>
          <w:rFonts w:hint="cs"/>
          <w:rtl/>
        </w:rPr>
        <w:t>.</w:t>
      </w:r>
    </w:p>
  </w:footnote>
  <w:footnote w:id="1505">
    <w:p w14:paraId="58D3DC46" w14:textId="77777777" w:rsidR="00DE2F5F" w:rsidRDefault="00DE2F5F" w:rsidP="00992598">
      <w:pPr>
        <w:pStyle w:val="a5"/>
        <w:rPr>
          <w:rtl/>
        </w:rPr>
      </w:pPr>
      <w:r>
        <w:rPr>
          <w:rStyle w:val="a7"/>
        </w:rPr>
        <w:footnoteRef/>
      </w:r>
      <w:r>
        <w:rPr>
          <w:rtl/>
        </w:rPr>
        <w:t xml:space="preserve"> </w:t>
      </w:r>
      <w:r w:rsidRPr="00F0596B">
        <w:rPr>
          <w:rFonts w:cs="Arial"/>
          <w:rtl/>
        </w:rPr>
        <w:t>דהרשות בידה לאכול הפירות או ליתנם במתנה אבל אם רוצה היא להחזיק הפירות אז כופין אותה למכור כדי שיהנה הוא מפירותיהן</w:t>
      </w:r>
      <w:r>
        <w:rPr>
          <w:rFonts w:hint="cs"/>
          <w:rtl/>
        </w:rPr>
        <w:t>, ח"מ (סק"י).</w:t>
      </w:r>
    </w:p>
  </w:footnote>
  <w:footnote w:id="1506">
    <w:p w14:paraId="74E52EB7" w14:textId="081521AE" w:rsidR="00DE2F5F" w:rsidRDefault="00DE2F5F" w:rsidP="00992598">
      <w:pPr>
        <w:pStyle w:val="a5"/>
        <w:rPr>
          <w:rtl/>
        </w:rPr>
      </w:pPr>
      <w:r>
        <w:rPr>
          <w:rStyle w:val="a7"/>
        </w:rPr>
        <w:footnoteRef/>
      </w:r>
      <w:r>
        <w:rPr>
          <w:rtl/>
        </w:rPr>
        <w:t xml:space="preserve"> </w:t>
      </w:r>
      <w:r w:rsidRPr="00904FA2">
        <w:rPr>
          <w:rFonts w:cs="Arial"/>
          <w:rtl/>
        </w:rPr>
        <w:t>גם בכאן לפי דעת הרא"ש אין כופין אותה למכור אם לא בדשיירה וכנ"ל בסעיף שלפני זה</w:t>
      </w:r>
      <w:r>
        <w:rPr>
          <w:rFonts w:hint="cs"/>
          <w:rtl/>
        </w:rPr>
        <w:t>, ח"מ (סקי"א).</w:t>
      </w:r>
    </w:p>
  </w:footnote>
  <w:footnote w:id="1507">
    <w:p w14:paraId="16A9AFB3" w14:textId="72E9C612" w:rsidR="00DE2F5F" w:rsidRDefault="00DE2F5F" w:rsidP="00904FA2">
      <w:pPr>
        <w:pStyle w:val="a5"/>
        <w:rPr>
          <w:rtl/>
        </w:rPr>
      </w:pPr>
      <w:r>
        <w:rPr>
          <w:rStyle w:val="a7"/>
        </w:rPr>
        <w:footnoteRef/>
      </w:r>
      <w:r>
        <w:rPr>
          <w:rtl/>
        </w:rPr>
        <w:t xml:space="preserve"> </w:t>
      </w:r>
      <w:r w:rsidRPr="00904FA2">
        <w:rPr>
          <w:rFonts w:cs="Arial"/>
          <w:rtl/>
        </w:rPr>
        <w:t>עד עולם אבל אם אמר פירות עד עולם אמרי' פירות לא יאכל לעולם אבל השתא בהתנה פירי פירות עד עולם כיון דנחית למנינ' אמרי' עד עולם קאי על כולם וע' בהמאור ובמלחמות ה'</w:t>
      </w:r>
      <w:r>
        <w:rPr>
          <w:rFonts w:hint="cs"/>
          <w:rtl/>
        </w:rPr>
        <w:t>, ב"ש (סקי"ד).</w:t>
      </w:r>
    </w:p>
  </w:footnote>
  <w:footnote w:id="1508">
    <w:p w14:paraId="120CB053" w14:textId="4543B580" w:rsidR="00DE2F5F" w:rsidRDefault="00DE2F5F" w:rsidP="00D527B4">
      <w:pPr>
        <w:pStyle w:val="a5"/>
        <w:rPr>
          <w:rtl/>
        </w:rPr>
      </w:pPr>
      <w:r>
        <w:rPr>
          <w:rStyle w:val="a7"/>
        </w:rPr>
        <w:footnoteRef/>
      </w:r>
      <w:r>
        <w:rPr>
          <w:rtl/>
        </w:rPr>
        <w:t xml:space="preserve"> </w:t>
      </w:r>
      <w:r>
        <w:rPr>
          <w:rFonts w:cs="Arial" w:hint="cs"/>
          <w:rtl/>
        </w:rPr>
        <w:t>וכתב הה"מ (פכ"ג ה"ג)</w:t>
      </w:r>
      <w:r w:rsidR="00CF0ADE">
        <w:rPr>
          <w:rFonts w:cs="Arial" w:hint="cs"/>
          <w:rtl/>
        </w:rPr>
        <w:t>:</w:t>
      </w:r>
      <w:r w:rsidRPr="00EC3F1D">
        <w:rPr>
          <w:rFonts w:cs="Arial"/>
          <w:rtl/>
        </w:rPr>
        <w:t xml:space="preserve"> יש מהגאונים שפסקו דכיון דבעיין לא איפשיטא יד בעל השטר על התחתונה</w:t>
      </w:r>
      <w:r w:rsidRPr="00EC3F1D">
        <w:rPr>
          <w:rFonts w:cs="Arial" w:hint="cs"/>
          <w:rtl/>
        </w:rPr>
        <w:t>.</w:t>
      </w:r>
      <w:r w:rsidRPr="00EC3F1D">
        <w:rPr>
          <w:rFonts w:cs="Arial"/>
          <w:rtl/>
        </w:rPr>
        <w:t xml:space="preserve"> </w:t>
      </w:r>
      <w:r w:rsidRPr="00D527B4">
        <w:rPr>
          <w:rFonts w:cs="Arial"/>
          <w:rtl/>
        </w:rPr>
        <w:t>ויש מהם שפסק כפשיטות הגמרא</w:t>
      </w:r>
      <w:r>
        <w:rPr>
          <w:rFonts w:cs="Arial" w:hint="cs"/>
          <w:rtl/>
        </w:rPr>
        <w:t>.</w:t>
      </w:r>
      <w:r w:rsidRPr="00D527B4">
        <w:rPr>
          <w:rFonts w:cs="Arial"/>
          <w:rtl/>
        </w:rPr>
        <w:t xml:space="preserve"> וזה דעת רשב"א ז"ל (פג: ד"ה ולענין</w:t>
      </w:r>
      <w:r w:rsidR="00CF0ADE">
        <w:rPr>
          <w:rFonts w:cs="Arial" w:hint="cs"/>
          <w:rtl/>
        </w:rPr>
        <w:t>)</w:t>
      </w:r>
      <w:r>
        <w:rPr>
          <w:rFonts w:cs="Arial" w:hint="cs"/>
          <w:rtl/>
        </w:rPr>
        <w:t xml:space="preserve"> </w:t>
      </w:r>
      <w:r w:rsidR="00CF0ADE" w:rsidRPr="00CF0ADE">
        <w:rPr>
          <w:rFonts w:cs="Arial" w:hint="cs"/>
          <w:color w:val="FF0000"/>
          <w:sz w:val="16"/>
          <w:szCs w:val="16"/>
          <w:rtl/>
        </w:rPr>
        <w:t>{</w:t>
      </w:r>
      <w:r w:rsidRPr="00CF0ADE">
        <w:rPr>
          <w:rFonts w:cs="Arial" w:hint="cs"/>
          <w:color w:val="FF0000"/>
          <w:sz w:val="16"/>
          <w:szCs w:val="16"/>
          <w:rtl/>
        </w:rPr>
        <w:t>צל"ע מדוע כתב כן בדעת הרשב"א, שהרי הרשב"א הביא את דברי ר"ח ואת דברי רב האי ולא הכריע</w:t>
      </w:r>
      <w:r w:rsidR="00CF0ADE" w:rsidRPr="00CF0ADE">
        <w:rPr>
          <w:rFonts w:cs="Arial" w:hint="cs"/>
          <w:color w:val="FF0000"/>
          <w:sz w:val="16"/>
          <w:szCs w:val="16"/>
          <w:rtl/>
        </w:rPr>
        <w:t>}</w:t>
      </w:r>
      <w:r w:rsidRPr="00D527B4">
        <w:rPr>
          <w:rFonts w:cs="Arial" w:hint="cs"/>
          <w:rtl/>
        </w:rPr>
        <w:t>.</w:t>
      </w:r>
      <w:r w:rsidRPr="00D527B4">
        <w:rPr>
          <w:rFonts w:cs="Arial"/>
          <w:rtl/>
        </w:rPr>
        <w:t xml:space="preserve"> נראה שהם מפרשים אותה אליבא דרבי יהודה וכשאמר עד עולם</w:t>
      </w:r>
      <w:r w:rsidRPr="00D527B4">
        <w:rPr>
          <w:rFonts w:cs="Arial" w:hint="cs"/>
          <w:rtl/>
        </w:rPr>
        <w:t>.</w:t>
      </w:r>
      <w:r w:rsidRPr="00D527B4">
        <w:rPr>
          <w:rFonts w:cs="Arial"/>
          <w:rtl/>
        </w:rPr>
        <w:t xml:space="preserve"> ולא נזכרה בעיא זו בהלכות ובדברי רבינו</w:t>
      </w:r>
      <w:r w:rsidRPr="00D527B4">
        <w:rPr>
          <w:rFonts w:cs="Arial" w:hint="cs"/>
          <w:rtl/>
        </w:rPr>
        <w:t>,</w:t>
      </w:r>
      <w:r w:rsidRPr="00D527B4">
        <w:rPr>
          <w:rFonts w:cs="Arial"/>
          <w:rtl/>
        </w:rPr>
        <w:t xml:space="preserve"> ואולי שדעתם לפרשה אליבא דת"ק והלכה כרבי יהודה ולזה לא הזכירוה עכ"ל</w:t>
      </w:r>
      <w:r>
        <w:rPr>
          <w:rFonts w:hint="cs"/>
          <w:rtl/>
        </w:rPr>
        <w:t>.</w:t>
      </w:r>
    </w:p>
  </w:footnote>
  <w:footnote w:id="1509">
    <w:p w14:paraId="46A9AB91" w14:textId="5F136EB7" w:rsidR="00DE2F5F" w:rsidRDefault="00DE2F5F" w:rsidP="00D527B4">
      <w:pPr>
        <w:pStyle w:val="a5"/>
        <w:rPr>
          <w:rtl/>
        </w:rPr>
      </w:pPr>
      <w:r>
        <w:rPr>
          <w:rStyle w:val="a7"/>
        </w:rPr>
        <w:footnoteRef/>
      </w:r>
      <w:r>
        <w:rPr>
          <w:rtl/>
        </w:rPr>
        <w:t xml:space="preserve"> </w:t>
      </w:r>
      <w:r w:rsidRPr="00D527B4">
        <w:rPr>
          <w:rFonts w:cs="Arial"/>
          <w:rtl/>
        </w:rPr>
        <w:t>כלומר אם שיירה הפירות וקנת' בהם קרקע אינו אוכל פירותיו שהם פירי פירות אבל פירי דפירי פירות אוכל לכ"ע אם לא בכותב ג"כ עד עולם וכנ"ל</w:t>
      </w:r>
      <w:r>
        <w:rPr>
          <w:rFonts w:hint="cs"/>
          <w:rtl/>
        </w:rPr>
        <w:t>, ח"מ (סקי"ג).</w:t>
      </w:r>
    </w:p>
  </w:footnote>
  <w:footnote w:id="1510">
    <w:p w14:paraId="785A266A" w14:textId="34C12BF2" w:rsidR="00DE2F5F" w:rsidRDefault="00DE2F5F" w:rsidP="00BA16CC">
      <w:pPr>
        <w:pStyle w:val="a5"/>
        <w:rPr>
          <w:rtl/>
        </w:rPr>
      </w:pPr>
      <w:r>
        <w:rPr>
          <w:rStyle w:val="a7"/>
        </w:rPr>
        <w:footnoteRef/>
      </w:r>
      <w:r>
        <w:rPr>
          <w:rtl/>
        </w:rPr>
        <w:t xml:space="preserve"> </w:t>
      </w:r>
      <w:r w:rsidRPr="00F31ACB">
        <w:rPr>
          <w:rFonts w:cs="Arial"/>
          <w:rtl/>
        </w:rPr>
        <w:t>וע"ל סוף סימן קי"ח תשובת הרשב"א בדין זה</w:t>
      </w:r>
      <w:r>
        <w:rPr>
          <w:rFonts w:cs="Arial" w:hint="cs"/>
          <w:rtl/>
        </w:rPr>
        <w:t>, דרכ"מ (אות ד).</w:t>
      </w:r>
    </w:p>
  </w:footnote>
  <w:footnote w:id="1511">
    <w:p w14:paraId="03D7DB9A" w14:textId="6444C570" w:rsidR="00DE2F5F" w:rsidRDefault="00DE2F5F" w:rsidP="00E13090">
      <w:pPr>
        <w:pStyle w:val="a5"/>
        <w:rPr>
          <w:rtl/>
        </w:rPr>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E13090">
        <w:rPr>
          <w:rFonts w:cs="Arial"/>
          <w:rtl/>
        </w:rPr>
        <w:t>רשב"ג אומר אם מתה יירשנה מפני שהתנה על מה שכתוב בתורה אמר רב הלכה כרשב"ג ולית הלכתא כוותיה דקי"ל [דף נ"ו ע"א] דבר שבממון תנאו קיים: ירושלמי א"ר יוסי אלין דכתבין לנשיהן אי מיתה בלא בני כל מאי דילה תהדר לבי נשא תנאי ממון הוא וקיים</w:t>
      </w:r>
      <w:r>
        <w:rPr>
          <w:rFonts w:cs="Arial" w:hint="cs"/>
          <w:rtl/>
        </w:rPr>
        <w:t xml:space="preserve">. עכ"ל. ונחלקו באיזה מקרה דיבר הרי"ף, הרמב"ם (בתשו', הביאו הה"מ פכ"ג מאישות ה"ה) סובר דהרי"ף מפרש </w:t>
      </w:r>
      <w:r w:rsidRPr="00105C77">
        <w:rPr>
          <w:rFonts w:cs="Arial"/>
          <w:rtl/>
        </w:rPr>
        <w:t xml:space="preserve">שדין המשנה הוא במתנה אחר נישואין ואף בזה אמרו בהלכות שהתנאי קיים </w:t>
      </w:r>
      <w:r>
        <w:rPr>
          <w:rFonts w:cs="Arial" w:hint="cs"/>
          <w:rtl/>
        </w:rPr>
        <w:t>(</w:t>
      </w:r>
      <w:r w:rsidRPr="00105C77">
        <w:rPr>
          <w:rFonts w:cs="Arial"/>
          <w:rtl/>
        </w:rPr>
        <w:t>וה</w:t>
      </w:r>
      <w:r>
        <w:rPr>
          <w:rFonts w:cs="Arial" w:hint="cs"/>
          <w:rtl/>
        </w:rPr>
        <w:t>רמב"ם</w:t>
      </w:r>
      <w:r w:rsidRPr="00105C77">
        <w:rPr>
          <w:rFonts w:cs="Arial"/>
          <w:rtl/>
        </w:rPr>
        <w:t xml:space="preserve"> חולק על ההלכות בזה</w:t>
      </w:r>
      <w:r>
        <w:rPr>
          <w:rFonts w:cs="Arial" w:hint="cs"/>
          <w:rtl/>
        </w:rPr>
        <w:t>). והרמב"ן והרשב"א פירשו את דברי הרי"ף שדין המשנה הוא בכותב לה בעודה ארוסה. ומכל מקום לעיקר הדין כולם כיוונו לדעת אחת.</w:t>
      </w:r>
    </w:p>
  </w:footnote>
  <w:footnote w:id="1512">
    <w:p w14:paraId="0DCA19AA" w14:textId="1B05FE6B" w:rsidR="00DE2F5F" w:rsidRDefault="00DE2F5F" w:rsidP="008E1FAE">
      <w:pPr>
        <w:pStyle w:val="a5"/>
        <w:rPr>
          <w:rtl/>
        </w:rPr>
      </w:pPr>
      <w:r>
        <w:rPr>
          <w:rStyle w:val="a7"/>
        </w:rPr>
        <w:footnoteRef/>
      </w:r>
      <w:r>
        <w:rPr>
          <w:rtl/>
        </w:rPr>
        <w:t xml:space="preserve"> </w:t>
      </w:r>
      <w:r>
        <w:rPr>
          <w:rFonts w:cs="Arial" w:hint="cs"/>
          <w:rtl/>
        </w:rPr>
        <w:t xml:space="preserve">רי"ף </w:t>
      </w:r>
      <w:r>
        <w:rPr>
          <w:rFonts w:cs="Arial" w:hint="cs"/>
          <w:sz w:val="16"/>
          <w:szCs w:val="16"/>
          <w:rtl/>
        </w:rPr>
        <w:t xml:space="preserve">(מב.) </w:t>
      </w:r>
      <w:r>
        <w:rPr>
          <w:rFonts w:cs="Arial" w:hint="cs"/>
          <w:rtl/>
        </w:rPr>
        <w:t xml:space="preserve">רמב"ם </w:t>
      </w:r>
      <w:r>
        <w:rPr>
          <w:rFonts w:cs="Arial" w:hint="cs"/>
          <w:sz w:val="16"/>
          <w:szCs w:val="16"/>
          <w:rtl/>
        </w:rPr>
        <w:t>(פכ"ג מאישות ה"ה-ו, וכן בפי"ב ה"ט)</w:t>
      </w:r>
      <w:r>
        <w:rPr>
          <w:rFonts w:cs="Arial" w:hint="cs"/>
          <w:rtl/>
        </w:rPr>
        <w:t xml:space="preserve"> רמב"ן </w:t>
      </w:r>
      <w:r>
        <w:rPr>
          <w:rFonts w:cs="Arial" w:hint="cs"/>
          <w:sz w:val="16"/>
          <w:szCs w:val="16"/>
          <w:rtl/>
        </w:rPr>
        <w:t>(כ"כ הה"מ בשמו)</w:t>
      </w:r>
      <w:r>
        <w:rPr>
          <w:rFonts w:cs="Arial" w:hint="cs"/>
          <w:rtl/>
        </w:rPr>
        <w:t xml:space="preserve"> רשב"א </w:t>
      </w:r>
      <w:r>
        <w:rPr>
          <w:rFonts w:cs="Arial" w:hint="cs"/>
          <w:sz w:val="16"/>
          <w:szCs w:val="16"/>
          <w:rtl/>
        </w:rPr>
        <w:t>(כ"כ הה"מ בשמו)</w:t>
      </w:r>
      <w:r>
        <w:rPr>
          <w:rFonts w:cs="Arial" w:hint="cs"/>
          <w:rtl/>
        </w:rPr>
        <w:t xml:space="preserve"> רא"ש </w:t>
      </w:r>
      <w:r>
        <w:rPr>
          <w:rFonts w:cs="Arial" w:hint="cs"/>
          <w:sz w:val="16"/>
          <w:szCs w:val="16"/>
          <w:rtl/>
        </w:rPr>
        <w:t>(כ"כ הטור בשמו)</w:t>
      </w:r>
      <w:r>
        <w:rPr>
          <w:rFonts w:cs="Arial" w:hint="cs"/>
          <w:rtl/>
        </w:rPr>
        <w:t xml:space="preserve"> טור ור"ן</w:t>
      </w:r>
      <w:r>
        <w:rPr>
          <w:rFonts w:cs="Arial" w:hint="cs"/>
          <w:sz w:val="16"/>
          <w:szCs w:val="16"/>
          <w:rtl/>
        </w:rPr>
        <w:t xml:space="preserve"> (מב.)</w:t>
      </w:r>
      <w:r>
        <w:rPr>
          <w:rFonts w:hint="cs"/>
          <w:rtl/>
        </w:rPr>
        <w:t>.</w:t>
      </w:r>
    </w:p>
  </w:footnote>
  <w:footnote w:id="1513">
    <w:p w14:paraId="5AF60512" w14:textId="30AB956D" w:rsidR="00DE2F5F" w:rsidRDefault="00DE2F5F" w:rsidP="008E1FAE">
      <w:pPr>
        <w:pStyle w:val="a5"/>
        <w:rPr>
          <w:rtl/>
        </w:rPr>
      </w:pPr>
      <w:r>
        <w:rPr>
          <w:rStyle w:val="a7"/>
        </w:rPr>
        <w:footnoteRef/>
      </w:r>
      <w:r>
        <w:rPr>
          <w:rtl/>
        </w:rPr>
        <w:t xml:space="preserve"> </w:t>
      </w:r>
      <w:r>
        <w:rPr>
          <w:rFonts w:cs="Arial"/>
          <w:rtl/>
        </w:rPr>
        <w:t>לכאורה נראה דלא דק</w:t>
      </w:r>
      <w:r>
        <w:rPr>
          <w:rFonts w:cs="Arial" w:hint="cs"/>
          <w:sz w:val="16"/>
          <w:szCs w:val="16"/>
          <w:rtl/>
        </w:rPr>
        <w:t xml:space="preserve"> {הטור שכתב בשמם דהוי דאורייתא}</w:t>
      </w:r>
      <w:r>
        <w:rPr>
          <w:rFonts w:cs="Arial" w:hint="cs"/>
          <w:rtl/>
        </w:rPr>
        <w:t>,</w:t>
      </w:r>
      <w:r>
        <w:rPr>
          <w:rFonts w:cs="Arial"/>
          <w:rtl/>
        </w:rPr>
        <w:t xml:space="preserve"> דבפרק הכותב (פג: פד.) אמרינן דסבר רב ירושת הבעל דרבנן</w:t>
      </w:r>
      <w:r>
        <w:rPr>
          <w:rFonts w:cs="Arial" w:hint="cs"/>
          <w:rtl/>
        </w:rPr>
        <w:t>.</w:t>
      </w:r>
      <w:r>
        <w:rPr>
          <w:rFonts w:cs="Arial"/>
          <w:rtl/>
        </w:rPr>
        <w:t xml:space="preserve"> וכ</w:t>
      </w:r>
      <w:r>
        <w:rPr>
          <w:rFonts w:cs="Arial" w:hint="cs"/>
          <w:rtl/>
        </w:rPr>
        <w:t>"</w:t>
      </w:r>
      <w:r>
        <w:rPr>
          <w:rFonts w:cs="Arial"/>
          <w:rtl/>
        </w:rPr>
        <w:t>כ הרמב"ם בפ"א מהל</w:t>
      </w:r>
      <w:r>
        <w:rPr>
          <w:rFonts w:cs="Arial" w:hint="cs"/>
          <w:rtl/>
        </w:rPr>
        <w:t>'</w:t>
      </w:r>
      <w:r>
        <w:rPr>
          <w:rFonts w:cs="Arial"/>
          <w:rtl/>
        </w:rPr>
        <w:t xml:space="preserve"> נחלות (ה"ח)</w:t>
      </w:r>
      <w:r>
        <w:rPr>
          <w:rFonts w:cs="Arial" w:hint="cs"/>
          <w:rtl/>
        </w:rPr>
        <w:t>.</w:t>
      </w:r>
      <w:r>
        <w:rPr>
          <w:rFonts w:cs="Arial"/>
          <w:rtl/>
        </w:rPr>
        <w:t xml:space="preserve"> אלא שהה</w:t>
      </w:r>
      <w:r>
        <w:rPr>
          <w:rFonts w:cs="Arial" w:hint="cs"/>
          <w:rtl/>
        </w:rPr>
        <w:t>"</w:t>
      </w:r>
      <w:r>
        <w:rPr>
          <w:rFonts w:cs="Arial"/>
          <w:rtl/>
        </w:rPr>
        <w:t>מ כתב דבס"פ מי שמת (ב"ב קנט:) משמע שהיא מן התורה</w:t>
      </w:r>
      <w:r>
        <w:rPr>
          <w:rFonts w:cs="Arial" w:hint="cs"/>
          <w:rtl/>
        </w:rPr>
        <w:t>,</w:t>
      </w:r>
      <w:r>
        <w:rPr>
          <w:rFonts w:cs="Arial"/>
          <w:rtl/>
        </w:rPr>
        <w:t xml:space="preserve"> ושזה דעת הראב"ד (שם) והרשב"א ז"ל</w:t>
      </w:r>
      <w:r>
        <w:rPr>
          <w:rFonts w:cs="Arial" w:hint="cs"/>
          <w:rtl/>
        </w:rPr>
        <w:t>, ב"י.</w:t>
      </w:r>
    </w:p>
  </w:footnote>
  <w:footnote w:id="1514">
    <w:p w14:paraId="61FD068F" w14:textId="18E428AA" w:rsidR="00DE2F5F" w:rsidRDefault="00DE2F5F" w:rsidP="00E24A66">
      <w:pPr>
        <w:pStyle w:val="a5"/>
        <w:rPr>
          <w:rtl/>
        </w:rPr>
      </w:pPr>
      <w:r>
        <w:rPr>
          <w:rStyle w:val="a7"/>
        </w:rPr>
        <w:footnoteRef/>
      </w:r>
      <w:r>
        <w:rPr>
          <w:rtl/>
        </w:rPr>
        <w:t xml:space="preserve"> </w:t>
      </w:r>
      <w:r w:rsidRPr="00E24A66">
        <w:rPr>
          <w:rFonts w:cs="Arial"/>
          <w:rtl/>
        </w:rPr>
        <w:t>אם תפס הבעל י"ל קים לי כהני פוסקים</w:t>
      </w:r>
      <w:r>
        <w:rPr>
          <w:rFonts w:hint="cs"/>
          <w:rtl/>
        </w:rPr>
        <w:t>, ב"ש (סקט"ז).</w:t>
      </w:r>
    </w:p>
  </w:footnote>
  <w:footnote w:id="1515">
    <w:p w14:paraId="04C153C3" w14:textId="526B887B" w:rsidR="00832F21" w:rsidRDefault="00832F21">
      <w:pPr>
        <w:pStyle w:val="a5"/>
        <w:rPr>
          <w:rtl/>
        </w:rPr>
      </w:pPr>
      <w:r>
        <w:rPr>
          <w:rStyle w:val="a7"/>
        </w:rPr>
        <w:footnoteRef/>
      </w:r>
      <w:r>
        <w:rPr>
          <w:rtl/>
        </w:rPr>
        <w:t xml:space="preserve"> </w:t>
      </w:r>
      <w:r>
        <w:rPr>
          <w:rFonts w:hint="cs"/>
          <w:rtl/>
        </w:rPr>
        <w:t>כתב הטור וז"ל</w:t>
      </w:r>
      <w:r>
        <w:rPr>
          <w:rFonts w:hint="cs"/>
          <w:sz w:val="14"/>
          <w:szCs w:val="14"/>
          <w:rtl/>
        </w:rPr>
        <w:t xml:space="preserve"> </w:t>
      </w:r>
      <w:r>
        <w:rPr>
          <w:rFonts w:hint="cs"/>
          <w:sz w:val="16"/>
          <w:szCs w:val="16"/>
          <w:rtl/>
        </w:rPr>
        <w:t>(דבריו אלו נצרכים כדי להבין את דברי הב"י ב הערה הבאה)</w:t>
      </w:r>
      <w:r>
        <w:rPr>
          <w:rFonts w:hint="cs"/>
          <w:rtl/>
        </w:rPr>
        <w:t xml:space="preserve">: </w:t>
      </w:r>
      <w:r w:rsidRPr="003171A6">
        <w:rPr>
          <w:rFonts w:cs="Arial"/>
          <w:rtl/>
        </w:rPr>
        <w:t xml:space="preserve">כתב לה </w:t>
      </w:r>
      <w:r>
        <w:rPr>
          <w:rFonts w:cs="Arial" w:hint="cs"/>
          <w:rtl/>
        </w:rPr>
        <w:t>"</w:t>
      </w:r>
      <w:r w:rsidRPr="003171A6">
        <w:rPr>
          <w:rFonts w:cs="Arial"/>
          <w:rtl/>
        </w:rPr>
        <w:t>דין ודברים אין לי בנכסייך ובפירותיהם ובפירי פירותיהן בחייך ובמותיך</w:t>
      </w:r>
      <w:r>
        <w:rPr>
          <w:rFonts w:cs="Arial" w:hint="cs"/>
          <w:rtl/>
        </w:rPr>
        <w:t>"</w:t>
      </w:r>
      <w:r w:rsidRPr="003171A6">
        <w:rPr>
          <w:rFonts w:cs="Arial"/>
          <w:rtl/>
        </w:rPr>
        <w:t xml:space="preserve"> </w:t>
      </w:r>
      <w:r>
        <w:rPr>
          <w:rFonts w:cs="Arial" w:hint="cs"/>
          <w:rtl/>
        </w:rPr>
        <w:t xml:space="preserve">- </w:t>
      </w:r>
      <w:r w:rsidRPr="003171A6">
        <w:rPr>
          <w:rFonts w:cs="Arial"/>
          <w:rtl/>
        </w:rPr>
        <w:t>אינו אוכל פירות ולא פירי פירות</w:t>
      </w:r>
      <w:r>
        <w:rPr>
          <w:rFonts w:cs="Arial" w:hint="cs"/>
          <w:rtl/>
        </w:rPr>
        <w:t>.</w:t>
      </w:r>
      <w:r w:rsidRPr="003171A6">
        <w:rPr>
          <w:rFonts w:cs="Arial"/>
          <w:rtl/>
        </w:rPr>
        <w:t xml:space="preserve"> ואם מתה </w:t>
      </w:r>
      <w:r>
        <w:rPr>
          <w:rFonts w:cs="Arial" w:hint="cs"/>
          <w:rtl/>
        </w:rPr>
        <w:t xml:space="preserve">- </w:t>
      </w:r>
      <w:r w:rsidRPr="003171A6">
        <w:rPr>
          <w:rFonts w:cs="Arial"/>
          <w:rtl/>
        </w:rPr>
        <w:t>אינו יורשה</w:t>
      </w:r>
      <w:r>
        <w:rPr>
          <w:rFonts w:cs="Arial" w:hint="cs"/>
          <w:rtl/>
        </w:rPr>
        <w:t>.</w:t>
      </w:r>
      <w:r w:rsidRPr="003171A6">
        <w:rPr>
          <w:rFonts w:cs="Arial"/>
          <w:rtl/>
        </w:rPr>
        <w:t xml:space="preserve"> ואם לא הזכיר פירות אלא </w:t>
      </w:r>
      <w:r>
        <w:rPr>
          <w:rFonts w:cs="Arial" w:hint="cs"/>
          <w:rtl/>
        </w:rPr>
        <w:t>"</w:t>
      </w:r>
      <w:r w:rsidRPr="003171A6">
        <w:rPr>
          <w:rFonts w:cs="Arial"/>
          <w:rtl/>
        </w:rPr>
        <w:t>דין ודברים אין לי בנכסייך בחייך ובמותיך</w:t>
      </w:r>
      <w:r>
        <w:rPr>
          <w:rFonts w:cs="Arial" w:hint="cs"/>
          <w:rtl/>
        </w:rPr>
        <w:t>" -</w:t>
      </w:r>
      <w:r w:rsidRPr="003171A6">
        <w:rPr>
          <w:rFonts w:cs="Arial"/>
          <w:rtl/>
        </w:rPr>
        <w:t xml:space="preserve"> אוכל פירות</w:t>
      </w:r>
      <w:r>
        <w:rPr>
          <w:rFonts w:cs="Arial" w:hint="cs"/>
          <w:rtl/>
        </w:rPr>
        <w:t>.</w:t>
      </w:r>
      <w:r w:rsidRPr="003171A6">
        <w:rPr>
          <w:rFonts w:cs="Arial"/>
          <w:rtl/>
        </w:rPr>
        <w:t xml:space="preserve"> ואם מתה </w:t>
      </w:r>
      <w:r>
        <w:rPr>
          <w:rFonts w:cs="Arial" w:hint="cs"/>
          <w:rtl/>
        </w:rPr>
        <w:t xml:space="preserve">- </w:t>
      </w:r>
      <w:r w:rsidRPr="003171A6">
        <w:rPr>
          <w:rFonts w:cs="Arial"/>
          <w:rtl/>
        </w:rPr>
        <w:t>אינו יורשה</w:t>
      </w:r>
      <w:r>
        <w:rPr>
          <w:rFonts w:cs="Arial" w:hint="cs"/>
          <w:rtl/>
        </w:rPr>
        <w:t>.</w:t>
      </w:r>
      <w:r w:rsidRPr="003171A6">
        <w:rPr>
          <w:rFonts w:cs="Arial"/>
          <w:rtl/>
        </w:rPr>
        <w:t xml:space="preserve"> ו</w:t>
      </w:r>
      <w:r>
        <w:rPr>
          <w:rFonts w:hint="cs"/>
          <w:rtl/>
        </w:rPr>
        <w:t>-...</w:t>
      </w:r>
    </w:p>
  </w:footnote>
  <w:footnote w:id="1516">
    <w:p w14:paraId="1A8F6480" w14:textId="57711AF0" w:rsidR="00DE2F5F" w:rsidRDefault="00DE2F5F" w:rsidP="000E0B96">
      <w:pPr>
        <w:pStyle w:val="a5"/>
        <w:rPr>
          <w:rtl/>
        </w:rPr>
      </w:pPr>
      <w:r>
        <w:rPr>
          <w:rStyle w:val="a7"/>
        </w:rPr>
        <w:footnoteRef/>
      </w:r>
      <w:r>
        <w:rPr>
          <w:rtl/>
        </w:rPr>
        <w:t xml:space="preserve"> </w:t>
      </w:r>
      <w:r>
        <w:rPr>
          <w:rFonts w:cs="Arial" w:hint="cs"/>
          <w:rtl/>
        </w:rPr>
        <w:t xml:space="preserve">וכתב הב"י (על </w:t>
      </w:r>
      <w:r w:rsidRPr="00B15469">
        <w:rPr>
          <w:rFonts w:cs="Arial"/>
          <w:rtl/>
        </w:rPr>
        <w:t>מ"ש</w:t>
      </w:r>
      <w:r>
        <w:rPr>
          <w:rFonts w:cs="Arial" w:hint="cs"/>
          <w:rtl/>
        </w:rPr>
        <w:t xml:space="preserve"> הטור</w:t>
      </w:r>
      <w:r w:rsidRPr="00B15469">
        <w:rPr>
          <w:rFonts w:cs="Arial"/>
          <w:rtl/>
        </w:rPr>
        <w:t xml:space="preserve"> </w:t>
      </w:r>
      <w:r>
        <w:rPr>
          <w:rFonts w:cs="Arial" w:hint="cs"/>
          <w:rtl/>
        </w:rPr>
        <w:t>'</w:t>
      </w:r>
      <w:r w:rsidRPr="00B15469">
        <w:rPr>
          <w:rFonts w:cs="Arial"/>
          <w:rtl/>
        </w:rPr>
        <w:t>ואם מכרה ונתנה קיים</w:t>
      </w:r>
      <w:r>
        <w:rPr>
          <w:rFonts w:cs="Arial" w:hint="cs"/>
          <w:rtl/>
        </w:rPr>
        <w:t>')</w:t>
      </w:r>
      <w:r w:rsidRPr="00B15469">
        <w:rPr>
          <w:rFonts w:cs="Arial"/>
          <w:rtl/>
        </w:rPr>
        <w:t xml:space="preserve"> </w:t>
      </w:r>
      <w:r>
        <w:rPr>
          <w:rFonts w:cs="Arial" w:hint="cs"/>
          <w:rtl/>
        </w:rPr>
        <w:t>ד</w:t>
      </w:r>
      <w:r>
        <w:rPr>
          <w:rFonts w:cs="Arial"/>
          <w:rtl/>
        </w:rPr>
        <w:t>משמע מדברי רבינו שכתב זה בבבא זו</w:t>
      </w:r>
      <w:r>
        <w:rPr>
          <w:rFonts w:cs="Arial" w:hint="cs"/>
          <w:rtl/>
        </w:rPr>
        <w:t>,</w:t>
      </w:r>
      <w:r>
        <w:rPr>
          <w:rFonts w:cs="Arial"/>
          <w:rtl/>
        </w:rPr>
        <w:t xml:space="preserve"> דדוקא בשלא סילק עצמו מהפירות הוא דאם מכרה ונתנה קיים</w:t>
      </w:r>
      <w:r>
        <w:rPr>
          <w:rFonts w:cs="Arial" w:hint="cs"/>
          <w:rtl/>
        </w:rPr>
        <w:t>,</w:t>
      </w:r>
      <w:r>
        <w:rPr>
          <w:rFonts w:cs="Arial"/>
          <w:rtl/>
        </w:rPr>
        <w:t xml:space="preserve"> וכדדייק לכאורה לישנא</w:t>
      </w:r>
      <w:r>
        <w:rPr>
          <w:rFonts w:cs="Arial" w:hint="cs"/>
          <w:rtl/>
        </w:rPr>
        <w:t>,</w:t>
      </w:r>
      <w:r>
        <w:rPr>
          <w:rFonts w:cs="Arial"/>
          <w:rtl/>
        </w:rPr>
        <w:t xml:space="preserve"> דאם כן למה כתב לה דין ודברים אין לי בנכסייך</w:t>
      </w:r>
      <w:r>
        <w:rPr>
          <w:rFonts w:cs="Arial" w:hint="cs"/>
          <w:rtl/>
        </w:rPr>
        <w:t>.</w:t>
      </w:r>
      <w:r>
        <w:rPr>
          <w:rFonts w:cs="Arial"/>
          <w:rtl/>
        </w:rPr>
        <w:t xml:space="preserve"> אבל במסלק עצמו מפירות אם מכרה ונתנה אינו קיים</w:t>
      </w:r>
      <w:r>
        <w:rPr>
          <w:rFonts w:cs="Arial" w:hint="cs"/>
          <w:rtl/>
        </w:rPr>
        <w:t>.</w:t>
      </w:r>
      <w:r>
        <w:rPr>
          <w:rFonts w:cs="Arial"/>
          <w:rtl/>
        </w:rPr>
        <w:t xml:space="preserve"> ולי נראה דאף במסלק עצמו מפירות אם מכרה ונתנה </w:t>
      </w:r>
      <w:r>
        <w:rPr>
          <w:rFonts w:cs="Arial" w:hint="cs"/>
          <w:rtl/>
        </w:rPr>
        <w:t xml:space="preserve">- </w:t>
      </w:r>
      <w:r>
        <w:rPr>
          <w:rFonts w:cs="Arial"/>
          <w:rtl/>
        </w:rPr>
        <w:t>קיים</w:t>
      </w:r>
      <w:r>
        <w:rPr>
          <w:rFonts w:cs="Arial" w:hint="cs"/>
          <w:rtl/>
        </w:rPr>
        <w:t>,</w:t>
      </w:r>
      <w:r>
        <w:rPr>
          <w:rFonts w:cs="Arial"/>
          <w:rtl/>
        </w:rPr>
        <w:t xml:space="preserve"> דאם לא כן למה ליה למימר דין ודברים אין לי בנכסייך</w:t>
      </w:r>
      <w:r>
        <w:rPr>
          <w:rFonts w:cs="Arial" w:hint="cs"/>
          <w:rtl/>
        </w:rPr>
        <w:t>,</w:t>
      </w:r>
      <w:r>
        <w:rPr>
          <w:rFonts w:cs="Arial"/>
          <w:rtl/>
        </w:rPr>
        <w:t xml:space="preserve"> הכי ה"ל למימר </w:t>
      </w:r>
      <w:r>
        <w:rPr>
          <w:rFonts w:cs="Arial" w:hint="cs"/>
          <w:rtl/>
        </w:rPr>
        <w:t>'</w:t>
      </w:r>
      <w:r>
        <w:rPr>
          <w:rFonts w:cs="Arial"/>
          <w:rtl/>
        </w:rPr>
        <w:t>דין ודברים אין לי בפירות נכסייך</w:t>
      </w:r>
      <w:r>
        <w:rPr>
          <w:rFonts w:cs="Arial" w:hint="cs"/>
          <w:rtl/>
        </w:rPr>
        <w:t>'</w:t>
      </w:r>
      <w:r>
        <w:rPr>
          <w:rFonts w:hint="cs"/>
          <w:rtl/>
        </w:rPr>
        <w:t>.</w:t>
      </w:r>
      <w:r w:rsidR="00832F21">
        <w:rPr>
          <w:rFonts w:hint="cs"/>
          <w:rtl/>
        </w:rPr>
        <w:t xml:space="preserve"> עכ"ל. (וצל"ע מדוע הכריח כן בלשונו).</w:t>
      </w:r>
    </w:p>
  </w:footnote>
  <w:footnote w:id="1517">
    <w:p w14:paraId="7AFCB2CD" w14:textId="1A0A3A9D" w:rsidR="00DE2F5F" w:rsidRDefault="00DE2F5F" w:rsidP="007C5223">
      <w:pPr>
        <w:pStyle w:val="a5"/>
        <w:rPr>
          <w:rtl/>
        </w:rPr>
      </w:pPr>
      <w:r>
        <w:rPr>
          <w:rStyle w:val="a7"/>
        </w:rPr>
        <w:footnoteRef/>
      </w:r>
      <w:r>
        <w:rPr>
          <w:rtl/>
        </w:rPr>
        <w:t xml:space="preserve"> </w:t>
      </w:r>
      <w:r w:rsidRPr="007C5223">
        <w:rPr>
          <w:rFonts w:cs="Arial"/>
          <w:rtl/>
        </w:rPr>
        <w:t>ואם מכרה או נתנה אינו קיים כל זמן שלא אמר דין ודברים אין לי בנכסייך</w:t>
      </w:r>
      <w:r>
        <w:rPr>
          <w:rFonts w:hint="cs"/>
          <w:rtl/>
        </w:rPr>
        <w:t>, ב"ש (סקי"ז). וכ"כ הח"מ (סקי"ד).</w:t>
      </w:r>
    </w:p>
  </w:footnote>
  <w:footnote w:id="1518">
    <w:p w14:paraId="2517899B" w14:textId="3A2C6F9A" w:rsidR="00DE2F5F" w:rsidRDefault="00DE2F5F" w:rsidP="007C5223">
      <w:pPr>
        <w:pStyle w:val="a5"/>
        <w:rPr>
          <w:rtl/>
        </w:rPr>
      </w:pPr>
      <w:r>
        <w:rPr>
          <w:rStyle w:val="a7"/>
        </w:rPr>
        <w:footnoteRef/>
      </w:r>
      <w:r>
        <w:rPr>
          <w:rtl/>
        </w:rPr>
        <w:t xml:space="preserve"> </w:t>
      </w:r>
      <w:r w:rsidRPr="00E24A66">
        <w:rPr>
          <w:rFonts w:cs="Arial"/>
          <w:rtl/>
        </w:rPr>
        <w:t>דאז ראוי לירש</w:t>
      </w:r>
      <w:r>
        <w:rPr>
          <w:rFonts w:cs="Arial" w:hint="cs"/>
          <w:rtl/>
        </w:rPr>
        <w:t>,</w:t>
      </w:r>
      <w:r w:rsidRPr="00E24A66">
        <w:rPr>
          <w:rFonts w:cs="Arial"/>
          <w:rtl/>
        </w:rPr>
        <w:t xml:space="preserve"> והוי כבן שסילק את עצמו מירושת אביו דלא מהני דיבור בעלמ</w:t>
      </w:r>
      <w:r>
        <w:rPr>
          <w:rFonts w:cs="Arial" w:hint="cs"/>
          <w:rtl/>
        </w:rPr>
        <w:t>א</w:t>
      </w:r>
      <w:r w:rsidRPr="00E24A66">
        <w:rPr>
          <w:rFonts w:cs="Arial"/>
          <w:rtl/>
        </w:rPr>
        <w:t xml:space="preserve"> לסלק את עצמו דראוי לירש הוא</w:t>
      </w:r>
      <w:r>
        <w:rPr>
          <w:rFonts w:cs="Arial" w:hint="cs"/>
          <w:rtl/>
        </w:rPr>
        <w:t>.</w:t>
      </w:r>
      <w:r w:rsidRPr="00E24A66">
        <w:rPr>
          <w:rFonts w:cs="Arial"/>
          <w:rtl/>
        </w:rPr>
        <w:t xml:space="preserve"> ובקנין לא מהני</w:t>
      </w:r>
      <w:r>
        <w:rPr>
          <w:rFonts w:cs="Arial" w:hint="cs"/>
          <w:rtl/>
        </w:rPr>
        <w:t>,</w:t>
      </w:r>
      <w:r w:rsidRPr="00E24A66">
        <w:rPr>
          <w:rFonts w:cs="Arial"/>
          <w:rtl/>
        </w:rPr>
        <w:t xml:space="preserve"> דהא הירושה לאו בידו הוא</w:t>
      </w:r>
      <w:r>
        <w:rPr>
          <w:rFonts w:cs="Arial" w:hint="cs"/>
          <w:rtl/>
        </w:rPr>
        <w:t>,</w:t>
      </w:r>
      <w:r w:rsidRPr="00E24A66">
        <w:rPr>
          <w:rFonts w:cs="Arial"/>
          <w:rtl/>
        </w:rPr>
        <w:t xml:space="preserve"> כן ה"נ בירושת הבעל ואפי' אם עשתה יורש אחר והוא מרוצה לא מהני</w:t>
      </w:r>
      <w:r>
        <w:rPr>
          <w:rFonts w:cs="Arial" w:hint="cs"/>
          <w:rtl/>
        </w:rPr>
        <w:t>.</w:t>
      </w:r>
      <w:r w:rsidRPr="00E24A66">
        <w:rPr>
          <w:rFonts w:cs="Arial"/>
          <w:rtl/>
        </w:rPr>
        <w:t xml:space="preserve"> ורמב"ם פי"ב כתב הטעם משום שנא' בה לחוקת משפט לדורות</w:t>
      </w:r>
      <w:r>
        <w:rPr>
          <w:rFonts w:cs="Arial" w:hint="cs"/>
          <w:rtl/>
        </w:rPr>
        <w:t>.</w:t>
      </w:r>
      <w:r w:rsidRPr="00E24A66">
        <w:rPr>
          <w:rFonts w:cs="Arial"/>
          <w:rtl/>
        </w:rPr>
        <w:t xml:space="preserve"> ופי' המגיד כוונתו</w:t>
      </w:r>
      <w:r w:rsidR="001918FE">
        <w:rPr>
          <w:rFonts w:cs="Arial" w:hint="cs"/>
          <w:rtl/>
        </w:rPr>
        <w:t>:</w:t>
      </w:r>
      <w:r w:rsidRPr="00E24A66">
        <w:rPr>
          <w:rFonts w:cs="Arial"/>
          <w:rtl/>
        </w:rPr>
        <w:t xml:space="preserve"> אע</w:t>
      </w:r>
      <w:r w:rsidR="001918FE">
        <w:rPr>
          <w:rFonts w:cs="Arial" w:hint="cs"/>
          <w:rtl/>
        </w:rPr>
        <w:t>"</w:t>
      </w:r>
      <w:r w:rsidRPr="00E24A66">
        <w:rPr>
          <w:rFonts w:cs="Arial"/>
          <w:rtl/>
        </w:rPr>
        <w:t xml:space="preserve">ג </w:t>
      </w:r>
      <w:r w:rsidR="001918FE">
        <w:rPr>
          <w:rFonts w:cs="Arial" w:hint="cs"/>
          <w:rtl/>
        </w:rPr>
        <w:t>ד</w:t>
      </w:r>
      <w:r w:rsidRPr="00E24A66">
        <w:rPr>
          <w:rFonts w:cs="Arial"/>
          <w:rtl/>
        </w:rPr>
        <w:t xml:space="preserve">היא מתנה שהוא הבעל לא ירש אלא אחר </w:t>
      </w:r>
      <w:r w:rsidR="001918FE">
        <w:rPr>
          <w:rFonts w:cs="Arial" w:hint="cs"/>
          <w:rtl/>
        </w:rPr>
        <w:t xml:space="preserve">- </w:t>
      </w:r>
      <w:r w:rsidRPr="00E24A66">
        <w:rPr>
          <w:rFonts w:cs="Arial"/>
          <w:rtl/>
        </w:rPr>
        <w:t>לא זכה האחר משום דכתיב לחוקת משפט</w:t>
      </w:r>
      <w:r>
        <w:rPr>
          <w:rFonts w:hint="cs"/>
          <w:rtl/>
        </w:rPr>
        <w:t>, ב"ש (סקי"ח).</w:t>
      </w:r>
    </w:p>
  </w:footnote>
  <w:footnote w:id="1519">
    <w:p w14:paraId="5B8FE08A" w14:textId="51064B43" w:rsidR="00DE2F5F" w:rsidRDefault="00DE2F5F" w:rsidP="007C5223">
      <w:pPr>
        <w:pStyle w:val="a5"/>
        <w:rPr>
          <w:rtl/>
        </w:rPr>
      </w:pPr>
      <w:r>
        <w:rPr>
          <w:rStyle w:val="a7"/>
        </w:rPr>
        <w:footnoteRef/>
      </w:r>
      <w:r>
        <w:rPr>
          <w:rtl/>
        </w:rPr>
        <w:t xml:space="preserve"> </w:t>
      </w:r>
      <w:r w:rsidRPr="004F3A03">
        <w:rPr>
          <w:rFonts w:cs="Arial"/>
          <w:rtl/>
        </w:rPr>
        <w:t xml:space="preserve">נ"ל שחסר מכאן </w:t>
      </w:r>
      <w:r>
        <w:rPr>
          <w:rFonts w:cs="Arial" w:hint="cs"/>
          <w:sz w:val="16"/>
          <w:szCs w:val="16"/>
          <w:rtl/>
        </w:rPr>
        <w:t xml:space="preserve">{בדברי הרמב"ם לעיל} </w:t>
      </w:r>
      <w:r>
        <w:rPr>
          <w:rFonts w:cs="Arial" w:hint="cs"/>
          <w:rtl/>
        </w:rPr>
        <w:t>'</w:t>
      </w:r>
      <w:r w:rsidRPr="004F3A03">
        <w:rPr>
          <w:rFonts w:cs="Arial"/>
          <w:rtl/>
        </w:rPr>
        <w:t>וקנו מידו</w:t>
      </w:r>
      <w:r>
        <w:rPr>
          <w:rFonts w:cs="Arial" w:hint="cs"/>
          <w:rtl/>
        </w:rPr>
        <w:t>'</w:t>
      </w:r>
      <w:r w:rsidRPr="004F3A03">
        <w:rPr>
          <w:rFonts w:cs="Arial"/>
          <w:rtl/>
        </w:rPr>
        <w:t>, ואע</w:t>
      </w:r>
      <w:r w:rsidR="001918FE">
        <w:rPr>
          <w:rFonts w:cs="Arial" w:hint="cs"/>
          <w:rtl/>
        </w:rPr>
        <w:t>"</w:t>
      </w:r>
      <w:r w:rsidRPr="004F3A03">
        <w:rPr>
          <w:rFonts w:cs="Arial"/>
          <w:rtl/>
        </w:rPr>
        <w:t xml:space="preserve">פ שקנו מידו לסלוק הירושה </w:t>
      </w:r>
      <w:r>
        <w:rPr>
          <w:rFonts w:cs="Arial" w:hint="cs"/>
          <w:rtl/>
        </w:rPr>
        <w:t xml:space="preserve">- </w:t>
      </w:r>
      <w:r w:rsidRPr="004F3A03">
        <w:rPr>
          <w:rFonts w:cs="Arial"/>
          <w:rtl/>
        </w:rPr>
        <w:t>אינו מועיל אחר נישואין</w:t>
      </w:r>
      <w:r>
        <w:rPr>
          <w:rFonts w:cs="Arial" w:hint="cs"/>
          <w:rtl/>
        </w:rPr>
        <w:t>.</w:t>
      </w:r>
      <w:r w:rsidRPr="004F3A03">
        <w:rPr>
          <w:rFonts w:cs="Arial"/>
          <w:rtl/>
        </w:rPr>
        <w:t xml:space="preserve"> לפי שסלוק הירושה לאחר מותה היא</w:t>
      </w:r>
      <w:r>
        <w:rPr>
          <w:rFonts w:cs="Arial" w:hint="cs"/>
          <w:rtl/>
        </w:rPr>
        <w:t>,</w:t>
      </w:r>
      <w:r w:rsidRPr="004F3A03">
        <w:rPr>
          <w:rFonts w:cs="Arial"/>
          <w:rtl/>
        </w:rPr>
        <w:t xml:space="preserve"> ואינו הקנאה לשום אדם</w:t>
      </w:r>
      <w:r>
        <w:rPr>
          <w:rFonts w:cs="Arial" w:hint="cs"/>
          <w:rtl/>
        </w:rPr>
        <w:t>,</w:t>
      </w:r>
      <w:r w:rsidRPr="004F3A03">
        <w:rPr>
          <w:rFonts w:cs="Arial"/>
          <w:rtl/>
        </w:rPr>
        <w:t xml:space="preserve"> והוה ליה כקנין דברים והנישואין כבר חלו על הכל</w:t>
      </w:r>
      <w:r>
        <w:rPr>
          <w:rFonts w:cs="Arial" w:hint="cs"/>
          <w:rtl/>
        </w:rPr>
        <w:t>.</w:t>
      </w:r>
      <w:r w:rsidRPr="004F3A03">
        <w:rPr>
          <w:rFonts w:cs="Arial"/>
          <w:rtl/>
        </w:rPr>
        <w:t xml:space="preserve"> אבל תנאי דקודם נישואין לא חלו הנישואין אלא על מנת שלא יירשנה ותנאי ממון קיים</w:t>
      </w:r>
      <w:r>
        <w:rPr>
          <w:rFonts w:cs="Arial" w:hint="cs"/>
          <w:rtl/>
        </w:rPr>
        <w:t>, ראב"ד (שם בהשגות)</w:t>
      </w:r>
      <w:r w:rsidRPr="004F3A03">
        <w:rPr>
          <w:rFonts w:cs="Arial"/>
          <w:rtl/>
        </w:rPr>
        <w:t>.</w:t>
      </w:r>
      <w:r>
        <w:rPr>
          <w:rFonts w:cs="Arial" w:hint="cs"/>
          <w:rtl/>
        </w:rPr>
        <w:t xml:space="preserve"> וכ"כ הה"מ,</w:t>
      </w:r>
      <w:r w:rsidRPr="007C5223">
        <w:rPr>
          <w:rFonts w:cs="Arial"/>
          <w:rtl/>
        </w:rPr>
        <w:t xml:space="preserve"> שכל תנאי שאחר נשואין צריך קנין</w:t>
      </w:r>
      <w:r>
        <w:rPr>
          <w:rFonts w:cs="Arial" w:hint="cs"/>
          <w:rtl/>
        </w:rPr>
        <w:t>,</w:t>
      </w:r>
      <w:r w:rsidRPr="007C5223">
        <w:rPr>
          <w:rFonts w:cs="Arial"/>
          <w:rtl/>
        </w:rPr>
        <w:t xml:space="preserve"> כמו שנתבאר סעיף א'</w:t>
      </w:r>
      <w:r>
        <w:rPr>
          <w:rFonts w:cs="Arial" w:hint="cs"/>
          <w:rtl/>
        </w:rPr>
        <w:t>. וכ"כ הח"מ (סקט"ו-טז) והב"ש (סקי"ט).</w:t>
      </w:r>
    </w:p>
  </w:footnote>
  <w:footnote w:id="1520">
    <w:p w14:paraId="5CB800A7" w14:textId="63C78026" w:rsidR="00DE2F5F" w:rsidRDefault="00DE2F5F" w:rsidP="00644913">
      <w:pPr>
        <w:pStyle w:val="a5"/>
        <w:rPr>
          <w:rtl/>
        </w:rPr>
      </w:pPr>
      <w:r>
        <w:rPr>
          <w:rStyle w:val="a7"/>
        </w:rPr>
        <w:footnoteRef/>
      </w:r>
      <w:r>
        <w:rPr>
          <w:rtl/>
        </w:rPr>
        <w:t xml:space="preserve"> </w:t>
      </w:r>
      <w:r>
        <w:rPr>
          <w:rFonts w:cs="Arial"/>
          <w:rtl/>
        </w:rPr>
        <w:t>הכותב שטר סילוק לאשתו בשעת החופה מסולק גם משטר ירושה. כתב האב לבתו בשעת החופה מהרי"ק בשורש י"ג. העושה פיטור לאשתו אם יש במשמעות כל מיני תביעות וערעורים. מהרי"ק בשורש י"ג</w:t>
      </w:r>
      <w:r>
        <w:rPr>
          <w:rFonts w:hint="cs"/>
          <w:rtl/>
        </w:rPr>
        <w:t>, ב"י.</w:t>
      </w:r>
    </w:p>
  </w:footnote>
  <w:footnote w:id="1521">
    <w:p w14:paraId="50D48BCA" w14:textId="637E3D88" w:rsidR="00DE2F5F" w:rsidRDefault="00DE2F5F" w:rsidP="007C5223">
      <w:pPr>
        <w:pStyle w:val="a5"/>
        <w:rPr>
          <w:rtl/>
        </w:rPr>
      </w:pPr>
      <w:r>
        <w:rPr>
          <w:rStyle w:val="a7"/>
        </w:rPr>
        <w:footnoteRef/>
      </w:r>
      <w:r>
        <w:rPr>
          <w:rtl/>
        </w:rPr>
        <w:t xml:space="preserve"> </w:t>
      </w:r>
      <w:r w:rsidRPr="007C5223">
        <w:rPr>
          <w:rFonts w:cs="Arial"/>
          <w:rtl/>
        </w:rPr>
        <w:t>ואם מכרה או נתנה קיים</w:t>
      </w:r>
      <w:r>
        <w:rPr>
          <w:rFonts w:hint="cs"/>
          <w:rtl/>
        </w:rPr>
        <w:t>..., ח"מ (סקי"ז).</w:t>
      </w:r>
    </w:p>
  </w:footnote>
  <w:footnote w:id="1522">
    <w:p w14:paraId="02C8AA8D" w14:textId="77777777" w:rsidR="00392DBB" w:rsidRDefault="00392DBB" w:rsidP="00392DBB">
      <w:pPr>
        <w:pStyle w:val="a5"/>
      </w:pPr>
      <w:r>
        <w:rPr>
          <w:rStyle w:val="a7"/>
        </w:rPr>
        <w:footnoteRef/>
      </w:r>
      <w:r>
        <w:rPr>
          <w:rtl/>
        </w:rPr>
        <w:t xml:space="preserve"> </w:t>
      </w:r>
      <w:r w:rsidRPr="00DF6B51">
        <w:rPr>
          <w:rFonts w:cs="Arial"/>
          <w:rtl/>
        </w:rPr>
        <w:t>ועיין בש"ג דף תק"י כתב חליצה כ"ז שהיא זקוקה ליבם אינה גובה הכתובה ואם נתן לה גט אף על גב דצריכה עוד חליצה מ"מ הואיל דאסורה להנשא לאחי' גובה כתובתה</w:t>
      </w:r>
      <w:r>
        <w:rPr>
          <w:rFonts w:cs="Arial" w:hint="cs"/>
          <w:rtl/>
        </w:rPr>
        <w:t>, ב"ש (סק"א).</w:t>
      </w:r>
    </w:p>
  </w:footnote>
  <w:footnote w:id="1523">
    <w:p w14:paraId="67438E01" w14:textId="77777777" w:rsidR="00392DBB" w:rsidRDefault="00392DBB" w:rsidP="00392DBB">
      <w:pPr>
        <w:pStyle w:val="a5"/>
      </w:pPr>
      <w:r>
        <w:rPr>
          <w:rStyle w:val="a7"/>
        </w:rPr>
        <w:footnoteRef/>
      </w:r>
      <w:r>
        <w:rPr>
          <w:rtl/>
        </w:rPr>
        <w:t xml:space="preserve"> </w:t>
      </w:r>
      <w:r w:rsidRPr="00E533FD">
        <w:rPr>
          <w:rFonts w:cs="Arial"/>
          <w:rtl/>
        </w:rPr>
        <w:t>אבל הראב"ד בהשגות כתב בפ"ז מהל' נחלות דאע"פ דהיורשין יורדין לנחלה אינה נוטלת כתובת</w:t>
      </w:r>
      <w:r>
        <w:rPr>
          <w:rFonts w:cs="Arial" w:hint="cs"/>
          <w:rtl/>
        </w:rPr>
        <w:t>ה</w:t>
      </w:r>
      <w:r w:rsidRPr="00E533FD">
        <w:rPr>
          <w:rFonts w:cs="Arial"/>
          <w:rtl/>
        </w:rPr>
        <w:t xml:space="preserve"> שאין אני קורא בה כשתנשא לאחר תטלי מה שכתוב ליכי</w:t>
      </w:r>
      <w:r>
        <w:rPr>
          <w:rFonts w:cs="Arial" w:hint="cs"/>
          <w:rtl/>
        </w:rPr>
        <w:t>,</w:t>
      </w:r>
      <w:r w:rsidRPr="00E533FD">
        <w:rPr>
          <w:rFonts w:cs="Arial"/>
          <w:rtl/>
        </w:rPr>
        <w:t xml:space="preserve"> וכן הסכים שם במ"מ</w:t>
      </w:r>
      <w:r>
        <w:rPr>
          <w:rFonts w:cs="Arial" w:hint="cs"/>
          <w:rtl/>
        </w:rPr>
        <w:t>, ח"מ (סק"א).</w:t>
      </w:r>
      <w:r w:rsidRPr="009D384A">
        <w:rPr>
          <w:rFonts w:cs="Arial"/>
          <w:rtl/>
        </w:rPr>
        <w:t xml:space="preserve"> </w:t>
      </w:r>
      <w:r w:rsidRPr="00DF6B51">
        <w:rPr>
          <w:rFonts w:cs="Arial"/>
          <w:rtl/>
        </w:rPr>
        <w:t>אבל היכא דידוע שתהיה מותרת לאחר זמן גובה הכתובה לאלתר</w:t>
      </w:r>
      <w:r>
        <w:rPr>
          <w:rFonts w:hint="cs"/>
          <w:rtl/>
        </w:rPr>
        <w:t>.</w:t>
      </w:r>
      <w:r w:rsidRPr="009D384A">
        <w:rPr>
          <w:rFonts w:cs="Arial"/>
          <w:rtl/>
        </w:rPr>
        <w:t xml:space="preserve"> </w:t>
      </w:r>
      <w:r w:rsidRPr="00DF6B51">
        <w:rPr>
          <w:rFonts w:cs="Arial"/>
          <w:rtl/>
        </w:rPr>
        <w:t>ובסי' י"ז כתבתי אם ע"א מעיד דטבע אינה גובה כתובתה אבל אם שנים מעידים גובה הכתובה</w:t>
      </w:r>
      <w:r>
        <w:rPr>
          <w:rFonts w:hint="cs"/>
          <w:rtl/>
        </w:rPr>
        <w:t>, ב"ש (סק"א).</w:t>
      </w:r>
    </w:p>
  </w:footnote>
  <w:footnote w:id="1524">
    <w:p w14:paraId="25ABB1B5" w14:textId="77777777" w:rsidR="00392DBB" w:rsidRDefault="00392DBB" w:rsidP="00392DBB">
      <w:pPr>
        <w:pStyle w:val="a5"/>
      </w:pPr>
      <w:r>
        <w:rPr>
          <w:rStyle w:val="a7"/>
        </w:rPr>
        <w:footnoteRef/>
      </w:r>
      <w:r>
        <w:rPr>
          <w:rtl/>
        </w:rPr>
        <w:t xml:space="preserve"> </w:t>
      </w:r>
      <w:r w:rsidRPr="00E533FD">
        <w:rPr>
          <w:rFonts w:cs="Arial"/>
          <w:rtl/>
        </w:rPr>
        <w:t>ו</w:t>
      </w:r>
      <w:r>
        <w:rPr>
          <w:rFonts w:cs="Arial" w:hint="cs"/>
          <w:rtl/>
        </w:rPr>
        <w:t>כ"כ הח"מ (סק"א) ד</w:t>
      </w:r>
      <w:r w:rsidRPr="00E533FD">
        <w:rPr>
          <w:rFonts w:cs="Arial"/>
          <w:rtl/>
        </w:rPr>
        <w:t>מעוברת ומניקת ותוך ג' חדשים למיתת הבעל אע</w:t>
      </w:r>
      <w:r>
        <w:rPr>
          <w:rFonts w:cs="Arial" w:hint="cs"/>
          <w:rtl/>
        </w:rPr>
        <w:t>"</w:t>
      </w:r>
      <w:r w:rsidRPr="00E533FD">
        <w:rPr>
          <w:rFonts w:cs="Arial"/>
          <w:rtl/>
        </w:rPr>
        <w:t>פ שאסור' להנשא מ"מ נוטלת כתובתה מיד דקרינן בה כשתנשא לאחר כשיגיע הזמן הקצוב ועיין במ"מ פי"ח מהל' אישות</w:t>
      </w:r>
      <w:r>
        <w:rPr>
          <w:rFonts w:cs="Arial" w:hint="cs"/>
          <w:rtl/>
        </w:rPr>
        <w:t>,</w:t>
      </w:r>
      <w:r w:rsidRPr="00E533FD">
        <w:rPr>
          <w:rFonts w:cs="Arial"/>
          <w:rtl/>
        </w:rPr>
        <w:t xml:space="preserve"> ועיין לקמן סי' צ"ה סעיף</w:t>
      </w:r>
      <w:r>
        <w:rPr>
          <w:rFonts w:cs="Arial" w:hint="cs"/>
          <w:rtl/>
        </w:rPr>
        <w:t>,</w:t>
      </w:r>
      <w:r w:rsidRPr="00E533FD">
        <w:rPr>
          <w:rFonts w:cs="Arial"/>
          <w:rtl/>
        </w:rPr>
        <w:t xml:space="preserve"> ב' ועיין בהגהות אלפסי </w:t>
      </w:r>
      <w:r>
        <w:rPr>
          <w:rFonts w:cs="Arial" w:hint="cs"/>
          <w:rtl/>
        </w:rPr>
        <w:t>(</w:t>
      </w:r>
      <w:r w:rsidRPr="00E533FD">
        <w:rPr>
          <w:rFonts w:cs="Arial"/>
          <w:rtl/>
        </w:rPr>
        <w:t>פרק האשה דף תק"י</w:t>
      </w:r>
      <w:r>
        <w:rPr>
          <w:rFonts w:cs="Arial" w:hint="cs"/>
          <w:rtl/>
        </w:rPr>
        <w:t>)</w:t>
      </w:r>
      <w:r w:rsidRPr="00E533FD">
        <w:rPr>
          <w:rFonts w:cs="Arial"/>
          <w:rtl/>
        </w:rPr>
        <w:t xml:space="preserve"> זה לשונו ול"נ שכל אשה ראויה לגבות כתובתה מיד כשתתאלמן או תתגרש אלא אם זקוקה וכ"ש במקום שכותבים</w:t>
      </w:r>
      <w:r>
        <w:rPr>
          <w:rFonts w:cs="Arial" w:hint="cs"/>
          <w:rtl/>
        </w:rPr>
        <w:t xml:space="preserve"> וכו'.</w:t>
      </w:r>
    </w:p>
  </w:footnote>
  <w:footnote w:id="1525">
    <w:p w14:paraId="46CD221A" w14:textId="77777777" w:rsidR="00392DBB" w:rsidRDefault="00392DBB" w:rsidP="00392DBB">
      <w:pPr>
        <w:pStyle w:val="a5"/>
      </w:pPr>
      <w:r>
        <w:rPr>
          <w:rStyle w:val="a7"/>
        </w:rPr>
        <w:footnoteRef/>
      </w:r>
      <w:r w:rsidRPr="00C94C46">
        <w:rPr>
          <w:rFonts w:cs="Arial"/>
          <w:rtl/>
        </w:rPr>
        <w:t xml:space="preserve"> ובהגמ</w:t>
      </w:r>
      <w:r>
        <w:rPr>
          <w:rFonts w:cs="Arial" w:hint="cs"/>
          <w:rtl/>
        </w:rPr>
        <w:t>"</w:t>
      </w:r>
      <w:r w:rsidRPr="00C94C46">
        <w:rPr>
          <w:rFonts w:cs="Arial"/>
          <w:rtl/>
        </w:rPr>
        <w:t>ר דכתובות (סי' שט) משמע דיכולה לומר לו בחייו שיתן לה נכסי צאן ברזל והתוספת לקנות בהן תכשיטין</w:t>
      </w:r>
      <w:r>
        <w:rPr>
          <w:rFonts w:cs="Arial" w:hint="cs"/>
          <w:rtl/>
        </w:rPr>
        <w:t>.</w:t>
      </w:r>
      <w:r w:rsidRPr="00C94C46">
        <w:rPr>
          <w:rFonts w:cs="Arial"/>
          <w:rtl/>
        </w:rPr>
        <w:t xml:space="preserve"> וצ"ע שם</w:t>
      </w:r>
      <w:r>
        <w:rPr>
          <w:rFonts w:cs="Arial" w:hint="cs"/>
          <w:rtl/>
        </w:rPr>
        <w:t>.</w:t>
      </w:r>
      <w:r w:rsidRPr="00C94C46">
        <w:rPr>
          <w:rFonts w:cs="Arial"/>
          <w:rtl/>
        </w:rPr>
        <w:t xml:space="preserve"> ועיין לעיל סוף סימן פ"ה (אות ו) אם יכולה לתפוס נדונייתה בחיי בעלה</w:t>
      </w:r>
      <w:r>
        <w:rPr>
          <w:rFonts w:cs="Arial" w:hint="cs"/>
          <w:rtl/>
        </w:rPr>
        <w:t>.</w:t>
      </w:r>
      <w:r w:rsidRPr="00C94C46">
        <w:rPr>
          <w:rFonts w:cs="Arial"/>
          <w:rtl/>
        </w:rPr>
        <w:t xml:space="preserve"> גם לעיל סימן ס"ו כתבתי מדינים אלו</w:t>
      </w:r>
      <w:r>
        <w:rPr>
          <w:rFonts w:cs="Arial" w:hint="cs"/>
          <w:rtl/>
        </w:rPr>
        <w:t>, דרכ"מ (אות ב).</w:t>
      </w:r>
    </w:p>
  </w:footnote>
  <w:footnote w:id="1526">
    <w:p w14:paraId="46A225DF" w14:textId="42D4C73A" w:rsidR="00392DBB" w:rsidRDefault="00392DBB" w:rsidP="00392DBB">
      <w:pPr>
        <w:pStyle w:val="a5"/>
      </w:pPr>
      <w:r>
        <w:rPr>
          <w:rStyle w:val="a7"/>
        </w:rPr>
        <w:footnoteRef/>
      </w:r>
      <w:r>
        <w:rPr>
          <w:rtl/>
        </w:rPr>
        <w:t xml:space="preserve"> </w:t>
      </w:r>
      <w:r w:rsidRPr="00C7104C">
        <w:rPr>
          <w:rFonts w:cs="Arial"/>
          <w:rtl/>
        </w:rPr>
        <w:t>ומה שכתבתי למעלה מהרשב"א חולק על זה</w:t>
      </w:r>
      <w:r w:rsidR="006019A6">
        <w:rPr>
          <w:rFonts w:cs="Arial" w:hint="cs"/>
          <w:rtl/>
        </w:rPr>
        <w:t>,</w:t>
      </w:r>
      <w:r w:rsidRPr="00C7104C">
        <w:rPr>
          <w:rFonts w:cs="Arial"/>
          <w:rtl/>
        </w:rPr>
        <w:t xml:space="preserve"> זולתי אם היה המנהג בימיו כך</w:t>
      </w:r>
      <w:r w:rsidR="006019A6">
        <w:rPr>
          <w:rFonts w:cs="Arial" w:hint="cs"/>
          <w:rtl/>
        </w:rPr>
        <w:t>,</w:t>
      </w:r>
      <w:r w:rsidRPr="00C7104C">
        <w:rPr>
          <w:rFonts w:cs="Arial"/>
          <w:rtl/>
        </w:rPr>
        <w:t xml:space="preserve"> אבל הוא לא כתב ולא תלה הדב' במנהג</w:t>
      </w:r>
      <w:r>
        <w:rPr>
          <w:rFonts w:cs="Arial" w:hint="cs"/>
          <w:rtl/>
        </w:rPr>
        <w:t>, רי"ו</w:t>
      </w:r>
      <w:r w:rsidRPr="008E4921">
        <w:rPr>
          <w:rFonts w:cs="Arial" w:hint="cs"/>
          <w:sz w:val="16"/>
          <w:szCs w:val="16"/>
          <w:rtl/>
        </w:rPr>
        <w:t xml:space="preserve"> (שם)</w:t>
      </w:r>
      <w:r>
        <w:rPr>
          <w:rFonts w:cs="Arial" w:hint="cs"/>
          <w:rtl/>
        </w:rPr>
        <w:t>.</w:t>
      </w:r>
    </w:p>
  </w:footnote>
  <w:footnote w:id="1527">
    <w:p w14:paraId="5593C177" w14:textId="5F8EDB6C" w:rsidR="00392DBB" w:rsidRDefault="00392DBB" w:rsidP="00392DBB">
      <w:pPr>
        <w:pStyle w:val="a5"/>
      </w:pPr>
      <w:r>
        <w:rPr>
          <w:rStyle w:val="a7"/>
        </w:rPr>
        <w:footnoteRef/>
      </w:r>
      <w:r>
        <w:rPr>
          <w:rtl/>
        </w:rPr>
        <w:t xml:space="preserve"> </w:t>
      </w:r>
      <w:r w:rsidRPr="00E533FD">
        <w:rPr>
          <w:rFonts w:cs="Arial"/>
          <w:rtl/>
        </w:rPr>
        <w:t>ומ"מ אם הנדוני</w:t>
      </w:r>
      <w:r w:rsidR="008E1C3E">
        <w:rPr>
          <w:rFonts w:cs="Arial" w:hint="cs"/>
          <w:rtl/>
        </w:rPr>
        <w:t>א</w:t>
      </w:r>
      <w:r w:rsidRPr="00E533FD">
        <w:rPr>
          <w:rFonts w:cs="Arial"/>
          <w:rtl/>
        </w:rPr>
        <w:t xml:space="preserve"> עדיין בידה או ביד אביה יכולה להחזיק למזונות</w:t>
      </w:r>
      <w:r w:rsidR="008E1C3E">
        <w:rPr>
          <w:rFonts w:cs="Arial" w:hint="cs"/>
          <w:rtl/>
        </w:rPr>
        <w:t>,</w:t>
      </w:r>
      <w:r w:rsidRPr="00E533FD">
        <w:rPr>
          <w:rFonts w:cs="Arial"/>
          <w:rtl/>
        </w:rPr>
        <w:t xml:space="preserve"> ועיין בח</w:t>
      </w:r>
      <w:r w:rsidR="008E1C3E">
        <w:rPr>
          <w:rFonts w:cs="Arial" w:hint="cs"/>
          <w:rtl/>
        </w:rPr>
        <w:t>ו</w:t>
      </w:r>
      <w:r w:rsidRPr="00E533FD">
        <w:rPr>
          <w:rFonts w:cs="Arial"/>
          <w:rtl/>
        </w:rPr>
        <w:t xml:space="preserve">"מ </w:t>
      </w:r>
      <w:r w:rsidR="008E1C3E">
        <w:rPr>
          <w:rFonts w:cs="Arial" w:hint="cs"/>
          <w:rtl/>
        </w:rPr>
        <w:t>(</w:t>
      </w:r>
      <w:r w:rsidRPr="00E533FD">
        <w:rPr>
          <w:rFonts w:cs="Arial"/>
          <w:rtl/>
        </w:rPr>
        <w:t>סי' צז סע</w:t>
      </w:r>
      <w:r w:rsidR="008E1C3E">
        <w:rPr>
          <w:rFonts w:cs="Arial" w:hint="cs"/>
          <w:rtl/>
        </w:rPr>
        <w:t>'</w:t>
      </w:r>
      <w:r w:rsidRPr="00E533FD">
        <w:rPr>
          <w:rFonts w:cs="Arial"/>
          <w:rtl/>
        </w:rPr>
        <w:t xml:space="preserve"> כד וסע</w:t>
      </w:r>
      <w:r w:rsidR="008E1C3E">
        <w:rPr>
          <w:rFonts w:cs="Arial" w:hint="cs"/>
          <w:rtl/>
        </w:rPr>
        <w:t>'</w:t>
      </w:r>
      <w:r w:rsidRPr="00E533FD">
        <w:rPr>
          <w:rFonts w:cs="Arial"/>
          <w:rtl/>
        </w:rPr>
        <w:t xml:space="preserve"> כו</w:t>
      </w:r>
      <w:r w:rsidR="008E1C3E">
        <w:rPr>
          <w:rFonts w:cs="Arial" w:hint="cs"/>
          <w:rtl/>
        </w:rPr>
        <w:t>)</w:t>
      </w:r>
      <w:r>
        <w:rPr>
          <w:rFonts w:cs="Arial" w:hint="cs"/>
          <w:rtl/>
        </w:rPr>
        <w:t xml:space="preserve">, </w:t>
      </w:r>
      <w:r w:rsidRPr="008E1C3E">
        <w:rPr>
          <w:rFonts w:cs="Arial" w:hint="cs"/>
          <w:b/>
          <w:bCs/>
          <w:rtl/>
        </w:rPr>
        <w:t>ח"מ</w:t>
      </w:r>
      <w:r>
        <w:rPr>
          <w:rFonts w:cs="Arial" w:hint="cs"/>
          <w:rtl/>
        </w:rPr>
        <w:t xml:space="preserve"> (סק"ב).</w:t>
      </w:r>
      <w:r>
        <w:rPr>
          <w:rFonts w:hint="cs"/>
          <w:rtl/>
        </w:rPr>
        <w:t xml:space="preserve"> </w:t>
      </w:r>
      <w:r w:rsidR="008E1C3E">
        <w:rPr>
          <w:rFonts w:hint="cs"/>
          <w:rtl/>
        </w:rPr>
        <w:t xml:space="preserve">     </w:t>
      </w:r>
      <w:r>
        <w:rPr>
          <w:rFonts w:cs="Arial" w:hint="cs"/>
          <w:rtl/>
        </w:rPr>
        <w:t xml:space="preserve">וכתב </w:t>
      </w:r>
      <w:r w:rsidRPr="008E1C3E">
        <w:rPr>
          <w:rFonts w:cs="Arial" w:hint="cs"/>
          <w:b/>
          <w:bCs/>
          <w:rtl/>
        </w:rPr>
        <w:t>הבאה"ט</w:t>
      </w:r>
      <w:r>
        <w:rPr>
          <w:rFonts w:cs="Arial" w:hint="cs"/>
          <w:rtl/>
        </w:rPr>
        <w:t xml:space="preserve"> (סק"ב)</w:t>
      </w:r>
      <w:r w:rsidR="008E1C3E">
        <w:rPr>
          <w:rFonts w:cs="Arial" w:hint="cs"/>
          <w:rtl/>
        </w:rPr>
        <w:t>:</w:t>
      </w:r>
      <w:r>
        <w:rPr>
          <w:rFonts w:cs="Arial" w:hint="cs"/>
          <w:rtl/>
        </w:rPr>
        <w:t xml:space="preserve"> </w:t>
      </w:r>
      <w:r w:rsidRPr="003A11F1">
        <w:rPr>
          <w:rFonts w:cs="Arial"/>
          <w:rtl/>
        </w:rPr>
        <w:t xml:space="preserve">כ' מהר"י הלוי </w:t>
      </w:r>
      <w:r>
        <w:rPr>
          <w:rFonts w:cs="Arial" w:hint="cs"/>
          <w:rtl/>
        </w:rPr>
        <w:t>(</w:t>
      </w:r>
      <w:r w:rsidRPr="003A11F1">
        <w:rPr>
          <w:rFonts w:cs="Arial"/>
          <w:rtl/>
        </w:rPr>
        <w:t>סי' טז</w:t>
      </w:r>
      <w:r>
        <w:rPr>
          <w:rFonts w:cs="Arial" w:hint="cs"/>
          <w:rtl/>
        </w:rPr>
        <w:t>)</w:t>
      </w:r>
      <w:r w:rsidRPr="003A11F1">
        <w:rPr>
          <w:rFonts w:cs="Arial"/>
          <w:rtl/>
        </w:rPr>
        <w:t xml:space="preserve"> אם אנו רואים כוונת הבעל לאכול לה כל הממון ואח"כ לקום וללכת חוץ מהעיר כדי שתצטרך על כרחה להתרצות ממנו בגט בלבד</w:t>
      </w:r>
      <w:r>
        <w:rPr>
          <w:rFonts w:cs="Arial" w:hint="cs"/>
          <w:rtl/>
        </w:rPr>
        <w:t xml:space="preserve"> -</w:t>
      </w:r>
      <w:r w:rsidRPr="003A11F1">
        <w:rPr>
          <w:rFonts w:cs="Arial"/>
          <w:rtl/>
        </w:rPr>
        <w:t xml:space="preserve"> נתנה כתובה לגבות מחיים ע"ש. התנה הבעל שתגבה כתובתה מחיים</w:t>
      </w:r>
      <w:r>
        <w:rPr>
          <w:rFonts w:cs="Arial" w:hint="cs"/>
          <w:rtl/>
        </w:rPr>
        <w:t>,</w:t>
      </w:r>
      <w:r w:rsidRPr="003A11F1">
        <w:rPr>
          <w:rFonts w:cs="Arial"/>
          <w:rtl/>
        </w:rPr>
        <w:t xml:space="preserve"> עיין כנה"ג </w:t>
      </w:r>
      <w:r>
        <w:rPr>
          <w:rFonts w:cs="Arial" w:hint="cs"/>
          <w:rtl/>
        </w:rPr>
        <w:t>(</w:t>
      </w:r>
      <w:r w:rsidRPr="003A11F1">
        <w:rPr>
          <w:rFonts w:cs="Arial"/>
          <w:rtl/>
        </w:rPr>
        <w:t>דף קי"ב ע"א ס"ד</w:t>
      </w:r>
      <w:r>
        <w:rPr>
          <w:rFonts w:cs="Arial" w:hint="cs"/>
          <w:rtl/>
        </w:rPr>
        <w:t>)</w:t>
      </w:r>
      <w:r w:rsidRPr="003A11F1">
        <w:rPr>
          <w:rFonts w:cs="Arial"/>
          <w:rtl/>
        </w:rPr>
        <w:t>. אשת משומד מנהג הוא להגבות כתובתה מיד אפילו בלא שבועה</w:t>
      </w:r>
      <w:r>
        <w:rPr>
          <w:rFonts w:cs="Arial" w:hint="cs"/>
          <w:rtl/>
        </w:rPr>
        <w:t>,</w:t>
      </w:r>
      <w:r w:rsidRPr="003A11F1">
        <w:rPr>
          <w:rFonts w:cs="Arial"/>
          <w:rtl/>
        </w:rPr>
        <w:t xml:space="preserve"> אגרת הרמב"ם </w:t>
      </w:r>
      <w:r>
        <w:rPr>
          <w:rFonts w:cs="Arial" w:hint="cs"/>
          <w:rtl/>
        </w:rPr>
        <w:t>(</w:t>
      </w:r>
      <w:r w:rsidRPr="003A11F1">
        <w:rPr>
          <w:rFonts w:cs="Arial"/>
          <w:rtl/>
        </w:rPr>
        <w:t>סי' כ</w:t>
      </w:r>
      <w:r>
        <w:rPr>
          <w:rFonts w:cs="Arial" w:hint="cs"/>
          <w:rtl/>
        </w:rPr>
        <w:t>)</w:t>
      </w:r>
      <w:r w:rsidRPr="003A11F1">
        <w:rPr>
          <w:rFonts w:cs="Arial"/>
          <w:rtl/>
        </w:rPr>
        <w:t xml:space="preserve"> וש"ג </w:t>
      </w:r>
      <w:r>
        <w:rPr>
          <w:rFonts w:cs="Arial" w:hint="cs"/>
          <w:rtl/>
        </w:rPr>
        <w:t>(</w:t>
      </w:r>
      <w:r w:rsidRPr="003A11F1">
        <w:rPr>
          <w:rFonts w:cs="Arial"/>
          <w:rtl/>
        </w:rPr>
        <w:t>פרק המקבל</w:t>
      </w:r>
      <w:r>
        <w:rPr>
          <w:rFonts w:cs="Arial" w:hint="cs"/>
          <w:rtl/>
        </w:rPr>
        <w:t>)</w:t>
      </w:r>
      <w:r w:rsidRPr="003A11F1">
        <w:rPr>
          <w:rFonts w:cs="Arial"/>
          <w:rtl/>
        </w:rPr>
        <w:t>. אשה שרוצה לתת לבתה סך כך</w:t>
      </w:r>
      <w:r>
        <w:rPr>
          <w:rFonts w:cs="Arial" w:hint="cs"/>
          <w:rtl/>
        </w:rPr>
        <w:t>,</w:t>
      </w:r>
      <w:r w:rsidRPr="003A11F1">
        <w:rPr>
          <w:rFonts w:cs="Arial"/>
          <w:rtl/>
        </w:rPr>
        <w:t xml:space="preserve"> והבעל אינו רוצה</w:t>
      </w:r>
      <w:r>
        <w:rPr>
          <w:rFonts w:cs="Arial" w:hint="cs"/>
          <w:rtl/>
        </w:rPr>
        <w:t>,</w:t>
      </w:r>
      <w:r w:rsidRPr="003A11F1">
        <w:rPr>
          <w:rFonts w:cs="Arial"/>
          <w:rtl/>
        </w:rPr>
        <w:t xml:space="preserve"> והיא טוענת שיתן לה הסך והיא תכתוב בשטר כתובתה שקבלה סך ההוא מבעלה</w:t>
      </w:r>
      <w:r>
        <w:rPr>
          <w:rFonts w:cs="Arial" w:hint="cs"/>
          <w:rtl/>
        </w:rPr>
        <w:t>,</w:t>
      </w:r>
      <w:r w:rsidRPr="003A11F1">
        <w:rPr>
          <w:rFonts w:cs="Arial"/>
          <w:rtl/>
        </w:rPr>
        <w:t xml:space="preserve"> ובעלה אינו רוצה </w:t>
      </w:r>
      <w:r>
        <w:rPr>
          <w:rFonts w:cs="Arial" w:hint="cs"/>
          <w:rtl/>
        </w:rPr>
        <w:t xml:space="preserve">- </w:t>
      </w:r>
      <w:r w:rsidRPr="003A11F1">
        <w:rPr>
          <w:rFonts w:cs="Arial"/>
          <w:rtl/>
        </w:rPr>
        <w:t>הדין עמו שלא נתנה כתובתה לגבות מחיים</w:t>
      </w:r>
      <w:r>
        <w:rPr>
          <w:rFonts w:cs="Arial" w:hint="cs"/>
          <w:rtl/>
        </w:rPr>
        <w:t>,</w:t>
      </w:r>
      <w:r w:rsidRPr="003A11F1">
        <w:rPr>
          <w:rFonts w:cs="Arial"/>
          <w:rtl/>
        </w:rPr>
        <w:t xml:space="preserve"> הרש"ך </w:t>
      </w:r>
      <w:r>
        <w:rPr>
          <w:rFonts w:cs="Arial" w:hint="cs"/>
          <w:rtl/>
        </w:rPr>
        <w:t>(</w:t>
      </w:r>
      <w:r w:rsidRPr="003A11F1">
        <w:rPr>
          <w:rFonts w:cs="Arial"/>
          <w:rtl/>
        </w:rPr>
        <w:t>ח"ב סי' קסו</w:t>
      </w:r>
      <w:r>
        <w:rPr>
          <w:rFonts w:cs="Arial" w:hint="cs"/>
          <w:rtl/>
        </w:rPr>
        <w:t>)</w:t>
      </w:r>
      <w:r w:rsidRPr="003A11F1">
        <w:rPr>
          <w:rFonts w:cs="Arial"/>
          <w:rtl/>
        </w:rPr>
        <w:t>. עיין בספר מקור ברוך סי' נ"ט ועיין כנה"ג. ל</w:t>
      </w:r>
      <w:r>
        <w:rPr>
          <w:rFonts w:cs="Arial" w:hint="cs"/>
          <w:rtl/>
        </w:rPr>
        <w:t xml:space="preserve">א </w:t>
      </w:r>
      <w:r w:rsidRPr="003A11F1">
        <w:rPr>
          <w:rFonts w:cs="Arial"/>
          <w:rtl/>
        </w:rPr>
        <w:t>מ</w:t>
      </w:r>
      <w:r>
        <w:rPr>
          <w:rFonts w:cs="Arial" w:hint="cs"/>
          <w:rtl/>
        </w:rPr>
        <w:t>בעיא</w:t>
      </w:r>
      <w:r w:rsidRPr="003A11F1">
        <w:rPr>
          <w:rFonts w:cs="Arial"/>
          <w:rtl/>
        </w:rPr>
        <w:t xml:space="preserve"> שלא ניתנה כתובתה לגבות מחיים אלא אפילו שואלת לבעלה שיעשה לה בטחון אינה יכולה להכריחו שיעשה לה בטחון</w:t>
      </w:r>
      <w:r>
        <w:rPr>
          <w:rFonts w:cs="Arial" w:hint="cs"/>
          <w:rtl/>
        </w:rPr>
        <w:t>,</w:t>
      </w:r>
      <w:r w:rsidRPr="003A11F1">
        <w:rPr>
          <w:rFonts w:cs="Arial"/>
          <w:rtl/>
        </w:rPr>
        <w:t xml:space="preserve"> הריב"ש </w:t>
      </w:r>
      <w:r>
        <w:rPr>
          <w:rFonts w:cs="Arial" w:hint="cs"/>
          <w:rtl/>
        </w:rPr>
        <w:t>(</w:t>
      </w:r>
      <w:r w:rsidRPr="003A11F1">
        <w:rPr>
          <w:rFonts w:cs="Arial"/>
          <w:rtl/>
        </w:rPr>
        <w:t>סי' צא</w:t>
      </w:r>
      <w:r>
        <w:rPr>
          <w:rFonts w:cs="Arial" w:hint="cs"/>
          <w:rtl/>
        </w:rPr>
        <w:t>)</w:t>
      </w:r>
      <w:r w:rsidRPr="003A11F1">
        <w:rPr>
          <w:rFonts w:cs="Arial"/>
          <w:rtl/>
        </w:rPr>
        <w:t>. אשה שנתעלם בעלה זה יו"ד שנים וקרוב לודאי שמת ואבדה כתובתה נרא' שיש ליתן הממון ביד בתו מטעם אפטרופס ותפרנס את אמה</w:t>
      </w:r>
      <w:r>
        <w:rPr>
          <w:rFonts w:cs="Arial" w:hint="cs"/>
          <w:rtl/>
        </w:rPr>
        <w:t>,</w:t>
      </w:r>
      <w:r w:rsidRPr="003A11F1">
        <w:rPr>
          <w:rFonts w:cs="Arial"/>
          <w:rtl/>
        </w:rPr>
        <w:t xml:space="preserve"> הר"ם מינץ </w:t>
      </w:r>
      <w:r>
        <w:rPr>
          <w:rFonts w:cs="Arial" w:hint="cs"/>
          <w:rtl/>
        </w:rPr>
        <w:t>(</w:t>
      </w:r>
      <w:r w:rsidRPr="003A11F1">
        <w:rPr>
          <w:rFonts w:cs="Arial"/>
          <w:rtl/>
        </w:rPr>
        <w:t>סי' מא</w:t>
      </w:r>
      <w:r>
        <w:rPr>
          <w:rFonts w:cs="Arial" w:hint="cs"/>
          <w:rtl/>
        </w:rPr>
        <w:t>).</w:t>
      </w:r>
      <w:r>
        <w:rPr>
          <w:rFonts w:hint="cs"/>
          <w:rtl/>
        </w:rPr>
        <w:t xml:space="preserve"> עכ"ל הבאה"ט.</w:t>
      </w:r>
      <w:r w:rsidR="008E1C3E">
        <w:rPr>
          <w:rFonts w:hint="cs"/>
          <w:rtl/>
        </w:rPr>
        <w:t xml:space="preserve">      </w:t>
      </w:r>
      <w:r>
        <w:rPr>
          <w:rFonts w:hint="cs"/>
          <w:rtl/>
        </w:rPr>
        <w:t xml:space="preserve"> וכתב </w:t>
      </w:r>
      <w:r w:rsidRPr="008E1C3E">
        <w:rPr>
          <w:rFonts w:hint="cs"/>
          <w:b/>
          <w:bCs/>
          <w:rtl/>
        </w:rPr>
        <w:t>הפת"ש</w:t>
      </w:r>
      <w:r>
        <w:rPr>
          <w:rFonts w:hint="cs"/>
          <w:rtl/>
        </w:rPr>
        <w:t xml:space="preserve"> (סק"א) </w:t>
      </w:r>
      <w:r>
        <w:rPr>
          <w:rFonts w:cs="Arial" w:hint="cs"/>
          <w:rtl/>
        </w:rPr>
        <w:t>ש</w:t>
      </w:r>
      <w:r w:rsidRPr="00E533FD">
        <w:rPr>
          <w:rFonts w:cs="Arial"/>
          <w:rtl/>
        </w:rPr>
        <w:t>בס' בית מאיר כ</w:t>
      </w:r>
      <w:r>
        <w:rPr>
          <w:rFonts w:cs="Arial" w:hint="cs"/>
          <w:rtl/>
        </w:rPr>
        <w:t>תב</w:t>
      </w:r>
      <w:r w:rsidR="008E1C3E">
        <w:rPr>
          <w:rFonts w:cs="Arial" w:hint="cs"/>
          <w:rtl/>
        </w:rPr>
        <w:t>:</w:t>
      </w:r>
      <w:r w:rsidRPr="00E533FD">
        <w:rPr>
          <w:rFonts w:cs="Arial"/>
          <w:rtl/>
        </w:rPr>
        <w:t xml:space="preserve"> ויראה לע"ד נהי לא קיי"ל כהעיטור שבב"י</w:t>
      </w:r>
      <w:r>
        <w:rPr>
          <w:rFonts w:cs="Arial" w:hint="cs"/>
          <w:rtl/>
        </w:rPr>
        <w:t>,</w:t>
      </w:r>
      <w:r w:rsidRPr="00E533FD">
        <w:rPr>
          <w:rFonts w:cs="Arial"/>
          <w:rtl/>
        </w:rPr>
        <w:t xml:space="preserve"> ואפי' אם נשתטה הבעל איתא בתשו' רמב"ן </w:t>
      </w:r>
      <w:r>
        <w:rPr>
          <w:rFonts w:cs="Arial" w:hint="cs"/>
          <w:rtl/>
        </w:rPr>
        <w:t>(</w:t>
      </w:r>
      <w:r w:rsidRPr="00E533FD">
        <w:rPr>
          <w:rFonts w:cs="Arial"/>
          <w:rtl/>
        </w:rPr>
        <w:t>סי' צט</w:t>
      </w:r>
      <w:r>
        <w:rPr>
          <w:rFonts w:cs="Arial" w:hint="cs"/>
          <w:rtl/>
        </w:rPr>
        <w:t>)</w:t>
      </w:r>
      <w:r w:rsidRPr="00E533FD">
        <w:rPr>
          <w:rFonts w:cs="Arial"/>
          <w:rtl/>
        </w:rPr>
        <w:t xml:space="preserve"> דאין לה תקנה ואינה יכולה לקחת נדוניית' ויתפרנס הוא מצדקה אלא ב"ד יורדין לנכסיו ומפרנסין לו ולאשתו ובניו ע"ש</w:t>
      </w:r>
      <w:r>
        <w:rPr>
          <w:rFonts w:cs="Arial" w:hint="cs"/>
          <w:rtl/>
        </w:rPr>
        <w:t>,</w:t>
      </w:r>
      <w:r w:rsidRPr="00E533FD">
        <w:rPr>
          <w:rFonts w:cs="Arial"/>
          <w:rtl/>
        </w:rPr>
        <w:t xml:space="preserve"> מ"מ אם מבזבז נכסיו בשחוק וזנות וכדומה דפסקינן בח"מ סימן ע"ג גבי לוה ומלוה דיכול לתבוע תוך הזמן אף דאפשר אשה גרועה דאולי לא תבא כלל לידי גוביינא</w:t>
      </w:r>
      <w:r>
        <w:rPr>
          <w:rFonts w:cs="Arial" w:hint="cs"/>
          <w:rtl/>
        </w:rPr>
        <w:t xml:space="preserve"> -</w:t>
      </w:r>
      <w:r w:rsidRPr="00E533FD">
        <w:rPr>
          <w:rFonts w:cs="Arial"/>
          <w:rtl/>
        </w:rPr>
        <w:t xml:space="preserve"> מ"מ בכי הא ודאי יש לסמוך על העיטור ופשטות משמעות הרמב"ם</w:t>
      </w:r>
      <w:r>
        <w:rPr>
          <w:rFonts w:cs="Arial" w:hint="cs"/>
          <w:rtl/>
        </w:rPr>
        <w:t>.</w:t>
      </w:r>
      <w:r w:rsidRPr="00E533FD">
        <w:rPr>
          <w:rFonts w:cs="Arial"/>
          <w:rtl/>
        </w:rPr>
        <w:t xml:space="preserve"> ואפילו אינה כלל מורדת ויושבת תחתיו יכולה לתבוע להוציא הממון ולעשות מהן נ"מ ע"י ענין בטוח והוא יאכל הפירות</w:t>
      </w:r>
      <w:r>
        <w:rPr>
          <w:rFonts w:cs="Arial" w:hint="cs"/>
          <w:rtl/>
        </w:rPr>
        <w:t>,</w:t>
      </w:r>
      <w:r w:rsidRPr="00E533FD">
        <w:rPr>
          <w:rFonts w:cs="Arial"/>
          <w:rtl/>
        </w:rPr>
        <w:t xml:space="preserve"> דהא להרבה ענינים נדוני' לחוב לזמן דמי עכ"ל</w:t>
      </w:r>
      <w:r>
        <w:rPr>
          <w:rFonts w:hint="cs"/>
          <w:rtl/>
        </w:rPr>
        <w:t>.</w:t>
      </w:r>
    </w:p>
  </w:footnote>
  <w:footnote w:id="1528">
    <w:p w14:paraId="2071C9D3" w14:textId="77777777" w:rsidR="00392DBB" w:rsidRDefault="00392DBB" w:rsidP="00392DBB">
      <w:pPr>
        <w:pStyle w:val="a5"/>
      </w:pPr>
      <w:r>
        <w:rPr>
          <w:rStyle w:val="a7"/>
        </w:rPr>
        <w:footnoteRef/>
      </w:r>
      <w:r>
        <w:rPr>
          <w:rtl/>
        </w:rPr>
        <w:t xml:space="preserve"> </w:t>
      </w:r>
      <w:r w:rsidRPr="00E533FD">
        <w:rPr>
          <w:rFonts w:cs="Arial"/>
          <w:rtl/>
        </w:rPr>
        <w:t>כלו' שהוא נותן לה הנדוניא או שהיא קטנה שהיא ברשותו אזי יכול להתנות עם הבעל לגרוע כח בתו ועיין בריב"ש סי' ק"ב</w:t>
      </w:r>
      <w:r>
        <w:rPr>
          <w:rFonts w:cs="Arial" w:hint="cs"/>
          <w:rtl/>
        </w:rPr>
        <w:t>, ח"מ (סק"ג).</w:t>
      </w:r>
    </w:p>
  </w:footnote>
  <w:footnote w:id="1529">
    <w:p w14:paraId="49F4C76C" w14:textId="77777777" w:rsidR="00022954" w:rsidRDefault="00022954" w:rsidP="00022954">
      <w:pPr>
        <w:pStyle w:val="a5"/>
      </w:pPr>
      <w:r>
        <w:rPr>
          <w:rStyle w:val="a7"/>
        </w:rPr>
        <w:footnoteRef/>
      </w:r>
      <w:r>
        <w:rPr>
          <w:rtl/>
        </w:rPr>
        <w:t xml:space="preserve"> </w:t>
      </w:r>
      <w:r w:rsidRPr="003E717B">
        <w:rPr>
          <w:rFonts w:cs="Arial"/>
          <w:rtl/>
        </w:rPr>
        <w:t>כגון זרק לה גיטה, ספק קרוב לה ספק קרוב לו ברשות הרבים</w:t>
      </w:r>
      <w:r>
        <w:rPr>
          <w:rFonts w:cs="Arial" w:hint="cs"/>
          <w:rtl/>
        </w:rPr>
        <w:t>, רש"י.</w:t>
      </w:r>
    </w:p>
  </w:footnote>
  <w:footnote w:id="1530">
    <w:p w14:paraId="4E934862" w14:textId="77777777" w:rsidR="00022954" w:rsidRDefault="00022954" w:rsidP="00022954">
      <w:pPr>
        <w:pStyle w:val="a5"/>
        <w:rPr>
          <w:rtl/>
        </w:rPr>
      </w:pPr>
      <w:r>
        <w:rPr>
          <w:rStyle w:val="a7"/>
        </w:rPr>
        <w:footnoteRef/>
      </w:r>
      <w:r>
        <w:rPr>
          <w:rtl/>
        </w:rPr>
        <w:t xml:space="preserve"> </w:t>
      </w:r>
      <w:r w:rsidRPr="003E717B">
        <w:rPr>
          <w:rFonts w:cs="Arial"/>
          <w:rtl/>
        </w:rPr>
        <w:t>דוקא בחייו</w:t>
      </w:r>
      <w:r>
        <w:rPr>
          <w:rFonts w:cs="Arial" w:hint="cs"/>
          <w:rtl/>
        </w:rPr>
        <w:t>,</w:t>
      </w:r>
      <w:r w:rsidRPr="003E717B">
        <w:rPr>
          <w:rFonts w:cs="Arial"/>
          <w:rtl/>
        </w:rPr>
        <w:t xml:space="preserve"> משום דמעוכבת בשבילו להנשא</w:t>
      </w:r>
      <w:r>
        <w:rPr>
          <w:rFonts w:cs="Arial" w:hint="cs"/>
          <w:rtl/>
        </w:rPr>
        <w:t>,</w:t>
      </w:r>
      <w:r w:rsidRPr="003E717B">
        <w:rPr>
          <w:rFonts w:cs="Arial"/>
          <w:rtl/>
        </w:rPr>
        <w:t xml:space="preserve"> אבל לאחר מיתה לא</w:t>
      </w:r>
      <w:r>
        <w:rPr>
          <w:rFonts w:cs="Arial" w:hint="cs"/>
          <w:rtl/>
        </w:rPr>
        <w:t>,</w:t>
      </w:r>
      <w:r w:rsidRPr="003E717B">
        <w:rPr>
          <w:rFonts w:cs="Arial"/>
          <w:rtl/>
        </w:rPr>
        <w:t xml:space="preserve"> דדלמא גרושין הוו</w:t>
      </w:r>
      <w:r>
        <w:rPr>
          <w:rFonts w:cs="Arial" w:hint="cs"/>
          <w:rtl/>
        </w:rPr>
        <w:t>,</w:t>
      </w:r>
      <w:r w:rsidRPr="003E717B">
        <w:rPr>
          <w:rFonts w:cs="Arial"/>
          <w:rtl/>
        </w:rPr>
        <w:t xml:space="preserve"> ואין לה מזונות דמספיקא לא מפקי' ממונא</w:t>
      </w:r>
      <w:r>
        <w:rPr>
          <w:rFonts w:cs="Arial" w:hint="cs"/>
          <w:rtl/>
        </w:rPr>
        <w:t>,</w:t>
      </w:r>
      <w:r w:rsidRPr="003E717B">
        <w:rPr>
          <w:rFonts w:cs="Arial"/>
          <w:rtl/>
        </w:rPr>
        <w:t xml:space="preserve"> </w:t>
      </w:r>
      <w:r>
        <w:rPr>
          <w:rFonts w:cs="Arial"/>
          <w:rtl/>
        </w:rPr>
        <w:t>רש"י</w:t>
      </w:r>
      <w:r>
        <w:rPr>
          <w:rFonts w:cs="Arial" w:hint="cs"/>
          <w:rtl/>
        </w:rPr>
        <w:t>.</w:t>
      </w:r>
      <w:r>
        <w:rPr>
          <w:rFonts w:cs="Arial"/>
          <w:rtl/>
        </w:rPr>
        <w:t xml:space="preserve"> </w:t>
      </w:r>
    </w:p>
  </w:footnote>
  <w:footnote w:id="1531">
    <w:p w14:paraId="0204A84A" w14:textId="0AF73197" w:rsidR="00392DBB" w:rsidRDefault="00392DBB" w:rsidP="00392DBB">
      <w:pPr>
        <w:pStyle w:val="a5"/>
      </w:pPr>
      <w:r>
        <w:rPr>
          <w:rStyle w:val="a7"/>
        </w:rPr>
        <w:footnoteRef/>
      </w:r>
      <w:r>
        <w:rPr>
          <w:rtl/>
        </w:rPr>
        <w:t xml:space="preserve"> </w:t>
      </w:r>
      <w:r>
        <w:rPr>
          <w:rFonts w:cs="Arial" w:hint="cs"/>
          <w:rtl/>
        </w:rPr>
        <w:t>כ</w:t>
      </w:r>
      <w:r w:rsidR="00935741">
        <w:rPr>
          <w:rFonts w:cs="Arial" w:hint="cs"/>
          <w:rtl/>
        </w:rPr>
        <w:t>ן גרס</w:t>
      </w:r>
      <w:r>
        <w:rPr>
          <w:rFonts w:cs="Arial" w:hint="cs"/>
          <w:rtl/>
        </w:rPr>
        <w:t xml:space="preserve"> הרי"ף [שם] </w:t>
      </w:r>
      <w:r w:rsidR="00935741">
        <w:rPr>
          <w:rFonts w:cs="Arial" w:hint="cs"/>
          <w:rtl/>
        </w:rPr>
        <w:t>ב</w:t>
      </w:r>
      <w:r>
        <w:rPr>
          <w:rFonts w:cs="Arial" w:hint="cs"/>
          <w:rtl/>
        </w:rPr>
        <w:t>דברי הירושלמי.</w:t>
      </w:r>
    </w:p>
  </w:footnote>
  <w:footnote w:id="1532">
    <w:p w14:paraId="306A8747" w14:textId="77777777" w:rsidR="00B21DBF" w:rsidRDefault="00B21DBF" w:rsidP="00B21DBF">
      <w:pPr>
        <w:pStyle w:val="a5"/>
        <w:rPr>
          <w:rtl/>
        </w:rPr>
      </w:pPr>
      <w:r>
        <w:rPr>
          <w:rStyle w:val="a7"/>
        </w:rPr>
        <w:footnoteRef/>
      </w:r>
      <w:r>
        <w:rPr>
          <w:rtl/>
        </w:rPr>
        <w:t xml:space="preserve"> </w:t>
      </w:r>
      <w:r w:rsidRPr="00C21207">
        <w:rPr>
          <w:rFonts w:cs="Arial"/>
          <w:rtl/>
        </w:rPr>
        <w:t>טעמא דבני מערבא דחייב במזונותיה עד שיפרע לה כל כתובתה כדי ליפות כח האשה שיפרעו לה כתובתה בעין יפה בבת אחת ולא יתנו על יד על יד</w:t>
      </w:r>
      <w:r>
        <w:rPr>
          <w:rFonts w:cs="Arial" w:hint="cs"/>
          <w:rtl/>
        </w:rPr>
        <w:t>,</w:t>
      </w:r>
      <w:r w:rsidRPr="00C21207">
        <w:rPr>
          <w:rFonts w:cs="Arial"/>
          <w:rtl/>
        </w:rPr>
        <w:t xml:space="preserve"> תקנו חכמים שיתחייב במזונות עד שיתנו לה פרוטה אחרונה. דאל"כ אמאי חייב לזונה יותר משאר בעלי חובות. והאי טעמא לא שייך באשה הבאה ממדינת הים ואומרת גירשני בעלי</w:t>
      </w:r>
      <w:r>
        <w:rPr>
          <w:rFonts w:cs="Arial" w:hint="cs"/>
          <w:rtl/>
        </w:rPr>
        <w:t>,</w:t>
      </w:r>
      <w:r w:rsidRPr="00C21207">
        <w:rPr>
          <w:rFonts w:cs="Arial"/>
          <w:rtl/>
        </w:rPr>
        <w:t xml:space="preserve"> דאי אפשר לפרוע כתובתה בבת אחת שמא יבא ויאמר לא גירשתיה והיא לא תעיז פניה להכחישו בפניו. הלכך עד כדי כתובתה ניזונית ממ"נ ותו לא</w:t>
      </w:r>
      <w:r>
        <w:rPr>
          <w:rFonts w:cs="Arial" w:hint="cs"/>
          <w:rtl/>
        </w:rPr>
        <w:t>,</w:t>
      </w:r>
      <w:r w:rsidRPr="00C21207">
        <w:rPr>
          <w:rFonts w:cs="Arial"/>
          <w:rtl/>
        </w:rPr>
        <w:t xml:space="preserve"> הרי אמרה גירשני בעלי</w:t>
      </w:r>
      <w:r>
        <w:rPr>
          <w:rFonts w:hint="cs"/>
          <w:rtl/>
        </w:rPr>
        <w:t>, רא"ש (פ"ק דב"מ סי' לד).</w:t>
      </w:r>
    </w:p>
  </w:footnote>
  <w:footnote w:id="1533">
    <w:p w14:paraId="07B8E1DF" w14:textId="6F8FE273" w:rsidR="00392DBB" w:rsidRPr="00E167F2" w:rsidRDefault="00392DBB" w:rsidP="00392DBB">
      <w:pPr>
        <w:pStyle w:val="a5"/>
      </w:pPr>
      <w:r>
        <w:rPr>
          <w:rStyle w:val="a7"/>
        </w:rPr>
        <w:footnoteRef/>
      </w:r>
      <w:r>
        <w:rPr>
          <w:rtl/>
        </w:rPr>
        <w:t xml:space="preserve"> </w:t>
      </w:r>
      <w:r w:rsidRPr="00E167F2">
        <w:rPr>
          <w:rFonts w:cs="Arial"/>
          <w:rtl/>
        </w:rPr>
        <w:t>דעת קצת מן האחרונים ז"ל לסמוך על הירושלמי וכתב הרנב"ר ז"ל שאין לזוז מדברי הרי"ף ז"ל שדבריו דברי קבלה וכל שכן לאפוקי ממונא</w:t>
      </w:r>
      <w:r>
        <w:rPr>
          <w:rFonts w:cs="Arial" w:hint="cs"/>
          <w:rtl/>
        </w:rPr>
        <w:t>,</w:t>
      </w:r>
      <w:r w:rsidRPr="00E167F2">
        <w:rPr>
          <w:rFonts w:cs="Arial"/>
          <w:rtl/>
        </w:rPr>
        <w:t xml:space="preserve"> </w:t>
      </w:r>
      <w:r w:rsidRPr="004E1DCB">
        <w:rPr>
          <w:rFonts w:cs="Arial"/>
          <w:b/>
          <w:bCs/>
          <w:rtl/>
        </w:rPr>
        <w:t>נמוק</w:t>
      </w:r>
      <w:r w:rsidRPr="004E1DCB">
        <w:rPr>
          <w:rFonts w:cs="Arial" w:hint="cs"/>
          <w:b/>
          <w:bCs/>
          <w:rtl/>
        </w:rPr>
        <w:t>"</w:t>
      </w:r>
      <w:r w:rsidRPr="004E1DCB">
        <w:rPr>
          <w:rFonts w:cs="Arial"/>
          <w:b/>
          <w:bCs/>
          <w:rtl/>
        </w:rPr>
        <w:t xml:space="preserve">י </w:t>
      </w:r>
      <w:r w:rsidRPr="00E167F2">
        <w:rPr>
          <w:rFonts w:cs="Arial"/>
          <w:sz w:val="16"/>
          <w:szCs w:val="16"/>
          <w:rtl/>
        </w:rPr>
        <w:t>(ב"מ ו. ד"ה גמ')</w:t>
      </w:r>
      <w:r>
        <w:rPr>
          <w:rFonts w:cs="Arial" w:hint="cs"/>
          <w:rtl/>
        </w:rPr>
        <w:t>.</w:t>
      </w:r>
      <w:r w:rsidRPr="00C908E9">
        <w:rPr>
          <w:rFonts w:cs="Arial"/>
          <w:rtl/>
        </w:rPr>
        <w:t xml:space="preserve"> </w:t>
      </w:r>
      <w:r w:rsidRPr="00E167F2">
        <w:rPr>
          <w:rFonts w:cs="Arial"/>
          <w:rtl/>
        </w:rPr>
        <w:t>וכן דעת הרמב"ם</w:t>
      </w:r>
      <w:r>
        <w:rPr>
          <w:rFonts w:cs="Arial" w:hint="cs"/>
          <w:rtl/>
        </w:rPr>
        <w:t>,</w:t>
      </w:r>
      <w:r w:rsidRPr="00E167F2">
        <w:rPr>
          <w:rFonts w:cs="Arial"/>
          <w:rtl/>
        </w:rPr>
        <w:t xml:space="preserve"> שהשמיט הירושלמי הזה</w:t>
      </w:r>
      <w:r>
        <w:rPr>
          <w:rFonts w:cs="Arial" w:hint="cs"/>
          <w:rtl/>
        </w:rPr>
        <w:t>.</w:t>
      </w:r>
      <w:r w:rsidRPr="00E167F2">
        <w:rPr>
          <w:rFonts w:cs="Arial"/>
          <w:rtl/>
        </w:rPr>
        <w:t xml:space="preserve"> וכן דעת הריב"ש בתשובה (סי' שג)</w:t>
      </w:r>
      <w:r>
        <w:rPr>
          <w:rFonts w:cs="Arial" w:hint="cs"/>
          <w:rtl/>
        </w:rPr>
        <w:t>,</w:t>
      </w:r>
      <w:r w:rsidRPr="00E167F2">
        <w:rPr>
          <w:rFonts w:cs="Arial"/>
          <w:rtl/>
        </w:rPr>
        <w:t xml:space="preserve"> וכתב שכן כתב הרשב"א בתשובה בפשיטות</w:t>
      </w:r>
      <w:r>
        <w:rPr>
          <w:rFonts w:cs="Arial" w:hint="cs"/>
          <w:rtl/>
        </w:rPr>
        <w:t>,</w:t>
      </w:r>
      <w:r w:rsidRPr="00E167F2">
        <w:rPr>
          <w:rFonts w:cs="Arial"/>
          <w:rtl/>
        </w:rPr>
        <w:t xml:space="preserve"> וכן כתב בתשובות להרמב"ן (במיוחסות) סימן ע"ב</w:t>
      </w:r>
      <w:r>
        <w:rPr>
          <w:rFonts w:cs="Arial" w:hint="cs"/>
          <w:rtl/>
        </w:rPr>
        <w:t xml:space="preserve">, </w:t>
      </w:r>
      <w:r w:rsidRPr="004E1DCB">
        <w:rPr>
          <w:rFonts w:cs="Arial" w:hint="cs"/>
          <w:b/>
          <w:bCs/>
          <w:rtl/>
        </w:rPr>
        <w:t>ב"י</w:t>
      </w:r>
      <w:r>
        <w:rPr>
          <w:rFonts w:cs="Arial" w:hint="cs"/>
          <w:rtl/>
        </w:rPr>
        <w:t>.</w:t>
      </w:r>
    </w:p>
  </w:footnote>
  <w:footnote w:id="1534">
    <w:p w14:paraId="411C2DA8" w14:textId="74C838AC" w:rsidR="00392DBB" w:rsidRDefault="00392DBB" w:rsidP="00392DBB">
      <w:pPr>
        <w:pStyle w:val="a5"/>
      </w:pPr>
      <w:r>
        <w:rPr>
          <w:rStyle w:val="a7"/>
        </w:rPr>
        <w:footnoteRef/>
      </w:r>
      <w:r>
        <w:rPr>
          <w:rtl/>
        </w:rPr>
        <w:t xml:space="preserve"> </w:t>
      </w:r>
      <w:r w:rsidRPr="00974416">
        <w:rPr>
          <w:rFonts w:cs="Arial"/>
          <w:rtl/>
        </w:rPr>
        <w:t>וכשנתגרשה לגמרי אף שלא נתן לה כתובה אפ"ה אין לה מזונות</w:t>
      </w:r>
      <w:r w:rsidR="004E1DCB">
        <w:rPr>
          <w:rFonts w:cs="Arial" w:hint="cs"/>
          <w:rtl/>
        </w:rPr>
        <w:t>,</w:t>
      </w:r>
      <w:r w:rsidRPr="00974416">
        <w:rPr>
          <w:rFonts w:cs="Arial"/>
          <w:rtl/>
        </w:rPr>
        <w:t xml:space="preserve"> ודלא כהחולקין שיש לה מזונות עד שישלם לה כתובה עד פרוטה אחרונה</w:t>
      </w:r>
      <w:r w:rsidR="004E1DCB">
        <w:rPr>
          <w:rFonts w:cs="Arial" w:hint="cs"/>
          <w:rtl/>
        </w:rPr>
        <w:t>,</w:t>
      </w:r>
      <w:r w:rsidRPr="00974416">
        <w:rPr>
          <w:rFonts w:cs="Arial"/>
          <w:rtl/>
        </w:rPr>
        <w:t xml:space="preserve"> עיין בטור ובב"י</w:t>
      </w:r>
      <w:r>
        <w:rPr>
          <w:rFonts w:cs="Arial" w:hint="cs"/>
          <w:rtl/>
        </w:rPr>
        <w:t xml:space="preserve">, </w:t>
      </w:r>
      <w:r w:rsidRPr="00B21DBF">
        <w:rPr>
          <w:rFonts w:cs="Arial" w:hint="cs"/>
          <w:b/>
          <w:bCs/>
          <w:rtl/>
        </w:rPr>
        <w:t>ח"מ</w:t>
      </w:r>
      <w:r>
        <w:rPr>
          <w:rFonts w:cs="Arial" w:hint="cs"/>
          <w:rtl/>
        </w:rPr>
        <w:t xml:space="preserve"> (סק"ד).</w:t>
      </w:r>
      <w:r w:rsidRPr="00257D1B">
        <w:rPr>
          <w:rtl/>
        </w:rPr>
        <w:t xml:space="preserve"> </w:t>
      </w:r>
      <w:r>
        <w:rPr>
          <w:rFonts w:cs="Arial" w:hint="cs"/>
          <w:rtl/>
        </w:rPr>
        <w:t xml:space="preserve">וכ"כ </w:t>
      </w:r>
      <w:r w:rsidRPr="00257D1B">
        <w:rPr>
          <w:rFonts w:cs="Arial"/>
          <w:rtl/>
        </w:rPr>
        <w:t>בס' ישועו</w:t>
      </w:r>
      <w:r w:rsidR="004E1DCB">
        <w:rPr>
          <w:rFonts w:cs="Arial" w:hint="cs"/>
          <w:rtl/>
        </w:rPr>
        <w:t>ת</w:t>
      </w:r>
      <w:r w:rsidRPr="00257D1B">
        <w:rPr>
          <w:rFonts w:cs="Arial"/>
          <w:rtl/>
        </w:rPr>
        <w:t xml:space="preserve"> יעקב</w:t>
      </w:r>
      <w:r>
        <w:rPr>
          <w:rFonts w:cs="Arial" w:hint="cs"/>
          <w:rtl/>
        </w:rPr>
        <w:t>,</w:t>
      </w:r>
      <w:r w:rsidRPr="00257D1B">
        <w:rPr>
          <w:rFonts w:cs="Arial"/>
          <w:rtl/>
        </w:rPr>
        <w:t xml:space="preserve"> שכ' ולדינא נראה שאין להוציא מן הבעל ע"ש</w:t>
      </w:r>
      <w:r>
        <w:rPr>
          <w:rFonts w:cs="Arial" w:hint="cs"/>
          <w:rtl/>
        </w:rPr>
        <w:t>.</w:t>
      </w:r>
      <w:r w:rsidRPr="00257D1B">
        <w:rPr>
          <w:rFonts w:cs="Arial"/>
          <w:rtl/>
        </w:rPr>
        <w:t xml:space="preserve"> ופשוט הוא</w:t>
      </w:r>
      <w:r>
        <w:rPr>
          <w:rFonts w:cs="Arial" w:hint="cs"/>
          <w:rtl/>
        </w:rPr>
        <w:t xml:space="preserve">, </w:t>
      </w:r>
      <w:r w:rsidRPr="00B21DBF">
        <w:rPr>
          <w:rFonts w:cs="Arial" w:hint="cs"/>
          <w:b/>
          <w:bCs/>
          <w:rtl/>
        </w:rPr>
        <w:t>פת"ש</w:t>
      </w:r>
      <w:r>
        <w:rPr>
          <w:rFonts w:cs="Arial" w:hint="cs"/>
          <w:rtl/>
        </w:rPr>
        <w:t xml:space="preserve"> (סק"ג).</w:t>
      </w:r>
    </w:p>
  </w:footnote>
  <w:footnote w:id="1535">
    <w:p w14:paraId="44E76E89" w14:textId="57181F53" w:rsidR="00BD7CE6" w:rsidRDefault="00BD7CE6" w:rsidP="00BD7CE6">
      <w:pPr>
        <w:pStyle w:val="a5"/>
      </w:pPr>
      <w:r>
        <w:rPr>
          <w:rStyle w:val="a7"/>
        </w:rPr>
        <w:footnoteRef/>
      </w:r>
      <w:r>
        <w:rPr>
          <w:rtl/>
        </w:rPr>
        <w:t xml:space="preserve"> </w:t>
      </w:r>
      <w:r>
        <w:rPr>
          <w:rFonts w:hint="cs"/>
          <w:rtl/>
        </w:rPr>
        <w:t>סימן - נשארת בבית.</w:t>
      </w:r>
      <w:r w:rsidR="00C43520">
        <w:rPr>
          <w:rFonts w:hint="cs"/>
          <w:rtl/>
        </w:rPr>
        <w:t xml:space="preserve"> וכן - נחשב בפנים.</w:t>
      </w:r>
    </w:p>
  </w:footnote>
  <w:footnote w:id="1536">
    <w:p w14:paraId="7110506F" w14:textId="77777777" w:rsidR="00392DBB" w:rsidRDefault="00392DBB" w:rsidP="00392DBB">
      <w:pPr>
        <w:pStyle w:val="a5"/>
      </w:pPr>
      <w:r>
        <w:rPr>
          <w:rStyle w:val="a7"/>
        </w:rPr>
        <w:footnoteRef/>
      </w:r>
      <w:r>
        <w:rPr>
          <w:rtl/>
        </w:rPr>
        <w:t xml:space="preserve"> </w:t>
      </w:r>
      <w:r>
        <w:rPr>
          <w:rFonts w:cs="Arial"/>
          <w:rtl/>
        </w:rPr>
        <w:t>פי</w:t>
      </w:r>
      <w:r>
        <w:rPr>
          <w:rFonts w:cs="Arial" w:hint="cs"/>
          <w:rtl/>
        </w:rPr>
        <w:t>רוש</w:t>
      </w:r>
      <w:r>
        <w:rPr>
          <w:rFonts w:cs="Arial"/>
          <w:rtl/>
        </w:rPr>
        <w:t xml:space="preserve"> </w:t>
      </w:r>
      <w:r>
        <w:rPr>
          <w:rFonts w:cs="Arial" w:hint="cs"/>
          <w:rtl/>
        </w:rPr>
        <w:t>'</w:t>
      </w:r>
      <w:r>
        <w:rPr>
          <w:rFonts w:cs="Arial"/>
          <w:rtl/>
        </w:rPr>
        <w:t>כל ימי מיגד אלמנותיך</w:t>
      </w:r>
      <w:r>
        <w:rPr>
          <w:rFonts w:cs="Arial" w:hint="cs"/>
          <w:rtl/>
        </w:rPr>
        <w:t>' -</w:t>
      </w:r>
      <w:r>
        <w:rPr>
          <w:rFonts w:cs="Arial"/>
          <w:rtl/>
        </w:rPr>
        <w:t xml:space="preserve"> כל ימי משך אלמנותיך</w:t>
      </w:r>
      <w:r>
        <w:rPr>
          <w:rFonts w:cs="Arial" w:hint="cs"/>
          <w:rtl/>
        </w:rPr>
        <w:t>, ב"י.</w:t>
      </w:r>
    </w:p>
  </w:footnote>
  <w:footnote w:id="1537">
    <w:p w14:paraId="19EA9A54" w14:textId="796CA4D6" w:rsidR="00392DBB" w:rsidRDefault="00392DBB" w:rsidP="00392DBB">
      <w:pPr>
        <w:pStyle w:val="a5"/>
      </w:pPr>
      <w:r>
        <w:rPr>
          <w:rStyle w:val="a7"/>
        </w:rPr>
        <w:footnoteRef/>
      </w:r>
      <w:r>
        <w:rPr>
          <w:rtl/>
        </w:rPr>
        <w:t xml:space="preserve"> </w:t>
      </w:r>
      <w:r>
        <w:rPr>
          <w:rFonts w:cs="Arial"/>
          <w:rtl/>
        </w:rPr>
        <w:t>והוא פשוט שאין בידו להפקיע חוב שנשתעבדו נכסיו לו</w:t>
      </w:r>
      <w:r w:rsidR="00E041CB">
        <w:rPr>
          <w:rFonts w:cs="Arial" w:hint="cs"/>
          <w:rtl/>
        </w:rPr>
        <w:t>.</w:t>
      </w:r>
      <w:r>
        <w:rPr>
          <w:rFonts w:cs="Arial"/>
          <w:rtl/>
        </w:rPr>
        <w:t xml:space="preserve"> ודוגמת זה אמרינן בסוף פרק מציאת האשה (סח:) האומר אל יזונו בנותי מנכסי אין שומעין לו</w:t>
      </w:r>
      <w:r>
        <w:rPr>
          <w:rFonts w:cs="Arial" w:hint="cs"/>
          <w:rtl/>
        </w:rPr>
        <w:t>, ב"י.</w:t>
      </w:r>
    </w:p>
  </w:footnote>
  <w:footnote w:id="1538">
    <w:p w14:paraId="4D3D1C1A" w14:textId="4AB1C251" w:rsidR="00BD7CE6" w:rsidRDefault="00BD7CE6">
      <w:pPr>
        <w:pStyle w:val="a5"/>
      </w:pPr>
      <w:r>
        <w:rPr>
          <w:rStyle w:val="a7"/>
        </w:rPr>
        <w:footnoteRef/>
      </w:r>
      <w:r>
        <w:rPr>
          <w:rtl/>
        </w:rPr>
        <w:t xml:space="preserve"> </w:t>
      </w:r>
      <w:r>
        <w:rPr>
          <w:rFonts w:hint="cs"/>
          <w:rtl/>
        </w:rPr>
        <w:t>סימן - נשארת בבית. וכן - נותנים בנים.</w:t>
      </w:r>
    </w:p>
  </w:footnote>
  <w:footnote w:id="1539">
    <w:p w14:paraId="582F407C" w14:textId="77777777" w:rsidR="00392DBB" w:rsidRDefault="00392DBB" w:rsidP="00392DBB">
      <w:pPr>
        <w:pStyle w:val="a5"/>
      </w:pPr>
      <w:r>
        <w:rPr>
          <w:rStyle w:val="a7"/>
        </w:rPr>
        <w:footnoteRef/>
      </w:r>
      <w:r>
        <w:rPr>
          <w:rtl/>
        </w:rPr>
        <w:t xml:space="preserve"> </w:t>
      </w:r>
      <w:r>
        <w:rPr>
          <w:rFonts w:cs="Arial"/>
          <w:rtl/>
        </w:rPr>
        <w:t>הכי משמע מפשטא דמתני'</w:t>
      </w:r>
      <w:r>
        <w:rPr>
          <w:rFonts w:cs="Arial" w:hint="cs"/>
          <w:rtl/>
        </w:rPr>
        <w:t>, ב"י.</w:t>
      </w:r>
    </w:p>
  </w:footnote>
  <w:footnote w:id="1540">
    <w:p w14:paraId="27C9C930" w14:textId="570720B4" w:rsidR="00392DBB" w:rsidRDefault="00392DBB" w:rsidP="00392DBB">
      <w:pPr>
        <w:pStyle w:val="a5"/>
        <w:rPr>
          <w:rtl/>
        </w:rPr>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Pr>
          <w:rFonts w:cs="Arial"/>
          <w:rtl/>
        </w:rPr>
        <w:t>וששאלתם אם הלכה כאנשי יהודה או כאנשי גליל [כתובות נב</w:t>
      </w:r>
      <w:r>
        <w:rPr>
          <w:rFonts w:cs="Arial" w:hint="cs"/>
          <w:rtl/>
        </w:rPr>
        <w:t>:</w:t>
      </w:r>
      <w:r>
        <w:rPr>
          <w:rFonts w:cs="Arial"/>
          <w:rtl/>
        </w:rPr>
        <w:t>]</w:t>
      </w:r>
      <w:r>
        <w:rPr>
          <w:rFonts w:cs="Arial" w:hint="cs"/>
          <w:rtl/>
        </w:rPr>
        <w:t>.</w:t>
      </w:r>
      <w:r>
        <w:rPr>
          <w:rFonts w:cs="Arial"/>
          <w:rtl/>
        </w:rPr>
        <w:t xml:space="preserve"> אני איני כדי להכריע בזה, דבר זה נפתח בגדולים ורבו מחלוקות בדבר זה. אמנם מנהגינו לפסוק בכל דבר כדברי רבינו האלפיסי בדבר שלא נחלקו עליו התוספות. אמנם איני זכור בשום דבר שהתוס' חלוקין עליו כי כל דרכיו משפט צדק, וכ"ש בנדון זה שהתוס' פסקו בהדיא כמותו דהלכה כאנשי גליל. </w:t>
      </w:r>
    </w:p>
    <w:p w14:paraId="0337FEBF" w14:textId="77777777" w:rsidR="00392DBB" w:rsidRDefault="00392DBB" w:rsidP="00392DBB">
      <w:pPr>
        <w:pStyle w:val="a5"/>
        <w:rPr>
          <w:rtl/>
        </w:rPr>
      </w:pPr>
      <w:r>
        <w:rPr>
          <w:rFonts w:cs="Arial"/>
          <w:rtl/>
        </w:rPr>
        <w:t>ואין להביא ראיה ממנהג עירכם שיש בני אדם שנים ושלשה שכתבו לנשותיהם שכל זמן שהיו רוצים לישב כך באלמנות חיות להתחזק בכל נכסיהם, זו אינה ראיה כלל לומר שנהגתם כאנשי יהודה מדהוצרכו לכתוב כך. חדא, וכי מפני שכתבו כך לייפות את כחה בעלמא נביא ראיה מזה. ועוד, אפילו לאנשי גליל מועיל מה שכותב לה כך, דאפילו לאנשי גליל נהי דניזונית בעל כרחן של היתומים ואין יכולין לסלקה בכתובתה, מ"מ אין מחזיקין אותה בכל הנכסים. להכי אהני מה שכותב לה כך, דלכתחילה מחזיקין לה בכל הנכסים לשאת ולתת בהו. ואי לא כתב לה לא יהבינן בידה אלא כדי ל' יום כל שעה ושעה מל' לל' כדמפרש בפרק אלמנה [כתובות צז</w:t>
      </w:r>
      <w:r>
        <w:rPr>
          <w:rFonts w:cs="Arial" w:hint="cs"/>
          <w:rtl/>
        </w:rPr>
        <w:t>.</w:t>
      </w:r>
      <w:r>
        <w:rPr>
          <w:rFonts w:cs="Arial"/>
          <w:rtl/>
        </w:rPr>
        <w:t>]. גם אין ראייה ממה שכמה פעמים נתנו היתומים לאלמנה וסילקוה, דשמא מרצונה היה. ועוד, אטו כולהו נשי דינא גמירן דידעי דלא יכלו לסלקן בעל כרחן, מה שלא מיחו הנשים לפי שהיו סבורות דדינא הכי.</w:t>
      </w:r>
    </w:p>
  </w:footnote>
  <w:footnote w:id="1541">
    <w:p w14:paraId="1634A3BB" w14:textId="77777777" w:rsidR="00392DBB" w:rsidRDefault="00392DBB" w:rsidP="00392DBB">
      <w:pPr>
        <w:pStyle w:val="a5"/>
      </w:pPr>
      <w:r>
        <w:rPr>
          <w:rStyle w:val="a7"/>
        </w:rPr>
        <w:footnoteRef/>
      </w:r>
      <w:r>
        <w:rPr>
          <w:rtl/>
        </w:rPr>
        <w:t xml:space="preserve"> </w:t>
      </w:r>
      <w:r>
        <w:rPr>
          <w:rFonts w:cs="Arial"/>
          <w:rtl/>
        </w:rPr>
        <w:t xml:space="preserve">ר"ח </w:t>
      </w:r>
      <w:r w:rsidRPr="005D5D84">
        <w:rPr>
          <w:rFonts w:cs="Arial" w:hint="cs"/>
          <w:sz w:val="16"/>
          <w:szCs w:val="16"/>
          <w:rtl/>
        </w:rPr>
        <w:t>(</w:t>
      </w:r>
      <w:r w:rsidRPr="005D5D84">
        <w:rPr>
          <w:rFonts w:cs="Arial"/>
          <w:sz w:val="16"/>
          <w:szCs w:val="16"/>
          <w:rtl/>
        </w:rPr>
        <w:t>בתוס' שם ד"ה ושמואל</w:t>
      </w:r>
      <w:r w:rsidRPr="005D5D84">
        <w:rPr>
          <w:rFonts w:cs="Arial" w:hint="cs"/>
          <w:sz w:val="16"/>
          <w:szCs w:val="16"/>
          <w:rtl/>
        </w:rPr>
        <w:t>)</w:t>
      </w:r>
      <w:r w:rsidRPr="005D5D84">
        <w:rPr>
          <w:rFonts w:cs="Arial"/>
          <w:sz w:val="16"/>
          <w:szCs w:val="16"/>
          <w:rtl/>
        </w:rPr>
        <w:t xml:space="preserve"> </w:t>
      </w:r>
      <w:r>
        <w:rPr>
          <w:rFonts w:cs="Arial"/>
          <w:rtl/>
        </w:rPr>
        <w:t xml:space="preserve">רי"ף </w:t>
      </w:r>
      <w:r w:rsidRPr="005D5D84">
        <w:rPr>
          <w:rFonts w:cs="Arial" w:hint="cs"/>
          <w:sz w:val="16"/>
          <w:szCs w:val="16"/>
          <w:rtl/>
        </w:rPr>
        <w:t>(</w:t>
      </w:r>
      <w:r w:rsidRPr="005D5D84">
        <w:rPr>
          <w:rFonts w:cs="Arial"/>
          <w:sz w:val="16"/>
          <w:szCs w:val="16"/>
          <w:rtl/>
        </w:rPr>
        <w:t xml:space="preserve">כ:) </w:t>
      </w:r>
      <w:r>
        <w:rPr>
          <w:rFonts w:cs="Arial"/>
          <w:rtl/>
        </w:rPr>
        <w:t xml:space="preserve">רמב"ם </w:t>
      </w:r>
      <w:r w:rsidRPr="005D5D84">
        <w:rPr>
          <w:rFonts w:cs="Arial" w:hint="cs"/>
          <w:sz w:val="16"/>
          <w:szCs w:val="16"/>
          <w:rtl/>
        </w:rPr>
        <w:t>(</w:t>
      </w:r>
      <w:r w:rsidRPr="005D5D84">
        <w:rPr>
          <w:rFonts w:cs="Arial"/>
          <w:sz w:val="16"/>
          <w:szCs w:val="16"/>
          <w:rtl/>
        </w:rPr>
        <w:t xml:space="preserve">פי"ח מאישות ה"א) </w:t>
      </w:r>
      <w:r>
        <w:rPr>
          <w:rFonts w:cs="Arial" w:hint="cs"/>
          <w:rtl/>
        </w:rPr>
        <w:t xml:space="preserve">מהר"ם </w:t>
      </w:r>
      <w:r>
        <w:rPr>
          <w:rFonts w:cs="Arial" w:hint="cs"/>
          <w:sz w:val="16"/>
          <w:szCs w:val="16"/>
          <w:rtl/>
        </w:rPr>
        <w:t>(</w:t>
      </w:r>
      <w:r w:rsidRPr="0057573F">
        <w:rPr>
          <w:rFonts w:cs="Arial"/>
          <w:sz w:val="16"/>
          <w:szCs w:val="16"/>
          <w:rtl/>
        </w:rPr>
        <w:t>ספר סיני וליקוטים סי</w:t>
      </w:r>
      <w:r>
        <w:rPr>
          <w:rFonts w:cs="Arial" w:hint="cs"/>
          <w:sz w:val="16"/>
          <w:szCs w:val="16"/>
          <w:rtl/>
        </w:rPr>
        <w:t>'</w:t>
      </w:r>
      <w:r w:rsidRPr="0057573F">
        <w:rPr>
          <w:rFonts w:cs="Arial"/>
          <w:sz w:val="16"/>
          <w:szCs w:val="16"/>
          <w:rtl/>
        </w:rPr>
        <w:t xml:space="preserve"> קטו</w:t>
      </w:r>
      <w:r>
        <w:rPr>
          <w:rFonts w:cs="Arial" w:hint="cs"/>
          <w:sz w:val="16"/>
          <w:szCs w:val="16"/>
          <w:rtl/>
        </w:rPr>
        <w:t xml:space="preserve">, הביאו המרדכי [כתובות סי' קע]) </w:t>
      </w:r>
      <w:r>
        <w:rPr>
          <w:rFonts w:cs="Arial"/>
          <w:rtl/>
        </w:rPr>
        <w:t xml:space="preserve">רא"ש </w:t>
      </w:r>
      <w:r w:rsidRPr="005D5D84">
        <w:rPr>
          <w:rFonts w:cs="Arial"/>
          <w:sz w:val="16"/>
          <w:szCs w:val="16"/>
          <w:rtl/>
        </w:rPr>
        <w:t>(סי' לא)</w:t>
      </w:r>
      <w:r w:rsidRPr="005D5D84">
        <w:rPr>
          <w:rFonts w:cs="Arial" w:hint="cs"/>
          <w:sz w:val="16"/>
          <w:szCs w:val="16"/>
          <w:rtl/>
        </w:rPr>
        <w:t xml:space="preserve"> </w:t>
      </w:r>
      <w:r>
        <w:rPr>
          <w:rFonts w:cs="Arial" w:hint="cs"/>
          <w:rtl/>
        </w:rPr>
        <w:t>וטור.</w:t>
      </w:r>
    </w:p>
  </w:footnote>
  <w:footnote w:id="1542">
    <w:p w14:paraId="5DEFFE9A" w14:textId="1B27CC25" w:rsidR="00E02B36" w:rsidRDefault="00E02B36">
      <w:pPr>
        <w:pStyle w:val="a5"/>
      </w:pPr>
      <w:r>
        <w:rPr>
          <w:rStyle w:val="a7"/>
        </w:rPr>
        <w:footnoteRef/>
      </w:r>
      <w:r>
        <w:rPr>
          <w:rtl/>
        </w:rPr>
        <w:t xml:space="preserve"> </w:t>
      </w:r>
      <w:r w:rsidRPr="00B7753B">
        <w:rPr>
          <w:rFonts w:cs="Arial"/>
          <w:rtl/>
        </w:rPr>
        <w:t>אם יש אלמנה נזונת מנכסי ארוסה מן האירוסין אכתוב בסימן קי"ב בס"ד (קסג. ד"ה כתב הרמב"ם)</w:t>
      </w:r>
      <w:r>
        <w:rPr>
          <w:rFonts w:cs="Arial" w:hint="cs"/>
          <w:rtl/>
        </w:rPr>
        <w:t>, ב"י.</w:t>
      </w:r>
    </w:p>
  </w:footnote>
  <w:footnote w:id="1543">
    <w:p w14:paraId="33FD6FD7" w14:textId="7EC6BD9C" w:rsidR="00D85EAD" w:rsidRDefault="00D85EAD">
      <w:pPr>
        <w:pStyle w:val="a5"/>
      </w:pPr>
      <w:r>
        <w:rPr>
          <w:rStyle w:val="a7"/>
        </w:rPr>
        <w:footnoteRef/>
      </w:r>
      <w:r>
        <w:rPr>
          <w:rtl/>
        </w:rPr>
        <w:t xml:space="preserve"> </w:t>
      </w:r>
      <w:r>
        <w:rPr>
          <w:rFonts w:hint="cs"/>
          <w:rtl/>
        </w:rPr>
        <w:t>סימן - נהרדעא דירתו.</w:t>
      </w:r>
    </w:p>
  </w:footnote>
  <w:footnote w:id="1544">
    <w:p w14:paraId="7C79F534" w14:textId="77777777" w:rsidR="00392DBB" w:rsidRDefault="00392DBB" w:rsidP="00392DBB">
      <w:pPr>
        <w:pStyle w:val="a5"/>
        <w:rPr>
          <w:rtl/>
        </w:rPr>
      </w:pPr>
      <w:r>
        <w:rPr>
          <w:rStyle w:val="a7"/>
        </w:rPr>
        <w:footnoteRef/>
      </w:r>
      <w:r>
        <w:rPr>
          <w:rtl/>
        </w:rPr>
        <w:t xml:space="preserve"> </w:t>
      </w:r>
      <w:r w:rsidRPr="00410A12">
        <w:rPr>
          <w:rFonts w:cs="Arial"/>
          <w:rtl/>
        </w:rPr>
        <w:t>ועיין עוד במיוחסות סי</w:t>
      </w:r>
      <w:r>
        <w:rPr>
          <w:rFonts w:cs="Arial" w:hint="cs"/>
          <w:rtl/>
        </w:rPr>
        <w:t>'</w:t>
      </w:r>
      <w:r w:rsidRPr="00410A12">
        <w:rPr>
          <w:rFonts w:cs="Arial"/>
          <w:rtl/>
        </w:rPr>
        <w:t xml:space="preserve"> מ"ב ובתשובת הרשב"א (ח"א) סימן תתקצ"ו מדינים אלו</w:t>
      </w:r>
      <w:r>
        <w:rPr>
          <w:rFonts w:cs="Arial" w:hint="cs"/>
          <w:rtl/>
        </w:rPr>
        <w:t>,</w:t>
      </w:r>
      <w:r w:rsidRPr="00410A12">
        <w:rPr>
          <w:rFonts w:cs="Arial"/>
          <w:rtl/>
        </w:rPr>
        <w:t xml:space="preserve"> ועיין בחושן המשפט סימן ס"ב וס"ד מקצת דינים אלו</w:t>
      </w:r>
      <w:r>
        <w:rPr>
          <w:rFonts w:cs="Arial" w:hint="cs"/>
          <w:rtl/>
        </w:rPr>
        <w:t>, דרכ"מ (אות ז).</w:t>
      </w:r>
    </w:p>
  </w:footnote>
  <w:footnote w:id="1545">
    <w:p w14:paraId="6DC0CC8A" w14:textId="5162DA1A" w:rsidR="00392DBB" w:rsidRDefault="00392DBB" w:rsidP="00392DBB">
      <w:pPr>
        <w:pStyle w:val="a5"/>
      </w:pPr>
      <w:r>
        <w:rPr>
          <w:rStyle w:val="a7"/>
        </w:rPr>
        <w:footnoteRef/>
      </w:r>
      <w:r>
        <w:rPr>
          <w:rtl/>
        </w:rPr>
        <w:t xml:space="preserve"> </w:t>
      </w:r>
      <w:r>
        <w:rPr>
          <w:rFonts w:cs="Arial" w:hint="cs"/>
          <w:rtl/>
        </w:rPr>
        <w:t>וזו תחילת לשון ה</w:t>
      </w:r>
      <w:r w:rsidR="00FE210D">
        <w:rPr>
          <w:rFonts w:cs="Arial" w:hint="cs"/>
          <w:rtl/>
        </w:rPr>
        <w:t>תשובה:</w:t>
      </w:r>
      <w:r>
        <w:rPr>
          <w:rFonts w:cs="Arial" w:hint="cs"/>
          <w:rtl/>
        </w:rPr>
        <w:t xml:space="preserve"> </w:t>
      </w:r>
      <w:r w:rsidRPr="00DD7578">
        <w:rPr>
          <w:rFonts w:cs="Arial"/>
          <w:rtl/>
        </w:rPr>
        <w:t>כך אירע מעשה שמת אדם אחד שהיה אמוד אמיד בממון ולא הניח בנים ולא אחין</w:t>
      </w:r>
      <w:r>
        <w:rPr>
          <w:rFonts w:cs="Arial" w:hint="cs"/>
          <w:rtl/>
        </w:rPr>
        <w:t>,</w:t>
      </w:r>
      <w:r w:rsidRPr="00DD7578">
        <w:rPr>
          <w:rFonts w:cs="Arial"/>
          <w:rtl/>
        </w:rPr>
        <w:t xml:space="preserve"> ואלמנתו תפסה הנכסים ואמרה שרוצה לזון מהם ואינה רוצה להוציאם מת"י אולי יפסדו ויחסרו לה מזונות</w:t>
      </w:r>
      <w:r>
        <w:rPr>
          <w:rFonts w:cs="Arial" w:hint="cs"/>
          <w:rtl/>
        </w:rPr>
        <w:t>.</w:t>
      </w:r>
      <w:r w:rsidRPr="00DD7578">
        <w:rPr>
          <w:rFonts w:cs="Arial"/>
          <w:rtl/>
        </w:rPr>
        <w:t xml:space="preserve"> ולפיכך נתעוררו אנשים מן הקהל לתקן שכל אשה לא תהיה נזונית מנכסי בעלה רק ג' חדשים ואז תהיה מוכרחת לישבע וליטול כתובתה ואני אומר לפענ"ד כי אין כח ביד ב"ד לתקן זה</w:t>
      </w:r>
      <w:r>
        <w:rPr>
          <w:rFonts w:cs="Arial" w:hint="cs"/>
          <w:rtl/>
        </w:rPr>
        <w:t>...</w:t>
      </w:r>
    </w:p>
  </w:footnote>
  <w:footnote w:id="1546">
    <w:p w14:paraId="1873C5B1" w14:textId="0ED80D99" w:rsidR="00392DBB" w:rsidRDefault="00392DBB" w:rsidP="00392DBB">
      <w:pPr>
        <w:pStyle w:val="a5"/>
        <w:rPr>
          <w:rtl/>
        </w:rPr>
      </w:pPr>
      <w:r>
        <w:rPr>
          <w:rStyle w:val="a7"/>
        </w:rPr>
        <w:footnoteRef/>
      </w:r>
      <w:r>
        <w:rPr>
          <w:rtl/>
        </w:rPr>
        <w:t xml:space="preserve"> </w:t>
      </w:r>
      <w:r w:rsidRPr="00DE524A">
        <w:rPr>
          <w:rFonts w:cs="Arial"/>
          <w:rtl/>
        </w:rPr>
        <w:t>והאריך בדבר</w:t>
      </w:r>
      <w:r w:rsidR="00D85EAD">
        <w:rPr>
          <w:rFonts w:cs="Arial" w:hint="cs"/>
          <w:rtl/>
        </w:rPr>
        <w:t xml:space="preserve"> -</w:t>
      </w:r>
      <w:r w:rsidRPr="00DE524A">
        <w:rPr>
          <w:rFonts w:cs="Arial"/>
          <w:rtl/>
        </w:rPr>
        <w:t xml:space="preserve"> ואין דבריו נראין בעיני</w:t>
      </w:r>
      <w:r w:rsidR="00D85EAD">
        <w:rPr>
          <w:rFonts w:cs="Arial" w:hint="cs"/>
          <w:rtl/>
        </w:rPr>
        <w:t>,</w:t>
      </w:r>
      <w:r w:rsidRPr="00DE524A">
        <w:rPr>
          <w:rFonts w:cs="Arial"/>
          <w:rtl/>
        </w:rPr>
        <w:t xml:space="preserve"> אלא יכולים הם לתקן כן</w:t>
      </w:r>
      <w:r w:rsidR="00E26025">
        <w:rPr>
          <w:rFonts w:cs="Arial" w:hint="cs"/>
          <w:rtl/>
        </w:rPr>
        <w:t>,</w:t>
      </w:r>
      <w:r w:rsidRPr="00DE524A">
        <w:rPr>
          <w:rFonts w:cs="Arial"/>
          <w:rtl/>
        </w:rPr>
        <w:t xml:space="preserve"> ותקנה הגונה וראויה היא</w:t>
      </w:r>
      <w:r w:rsidR="00E26025">
        <w:rPr>
          <w:rFonts w:cs="Arial" w:hint="cs"/>
          <w:rtl/>
        </w:rPr>
        <w:t>,</w:t>
      </w:r>
      <w:r w:rsidRPr="00DE524A">
        <w:rPr>
          <w:rFonts w:cs="Arial"/>
          <w:rtl/>
        </w:rPr>
        <w:t xml:space="preserve"> וכן כתב הריב"ש בתשובה סימן ק"ז שזו אחת מהתקנות שהתקינו במקומו</w:t>
      </w:r>
      <w:r>
        <w:rPr>
          <w:rFonts w:cs="Arial" w:hint="cs"/>
          <w:rtl/>
        </w:rPr>
        <w:t>, ב"י.</w:t>
      </w:r>
    </w:p>
  </w:footnote>
  <w:footnote w:id="1547">
    <w:p w14:paraId="2C73DF02" w14:textId="77777777" w:rsidR="00392DBB" w:rsidRDefault="00392DBB" w:rsidP="00392DBB">
      <w:pPr>
        <w:pStyle w:val="a5"/>
        <w:rPr>
          <w:rtl/>
        </w:rPr>
      </w:pPr>
      <w:r>
        <w:rPr>
          <w:rStyle w:val="a7"/>
        </w:rPr>
        <w:footnoteRef/>
      </w:r>
      <w:r w:rsidRPr="00C94137">
        <w:rPr>
          <w:rFonts w:cs="Arial"/>
          <w:rtl/>
        </w:rPr>
        <w:t xml:space="preserve"> וע"ל סימן קי"ח (עמ' פח) תשובת הרא"ש (כלל נ סי' ט) אם הברירה ביד היתומים ליתן לה כתובה או חצי הנכסים אי יכולין לסלקה בעל כרחה</w:t>
      </w:r>
      <w:r>
        <w:rPr>
          <w:rFonts w:cs="Arial" w:hint="cs"/>
          <w:rtl/>
        </w:rPr>
        <w:t xml:space="preserve">, דרכ"מ </w:t>
      </w:r>
      <w:r w:rsidRPr="00C94137">
        <w:rPr>
          <w:rFonts w:cs="Arial"/>
          <w:rtl/>
        </w:rPr>
        <w:t>(</w:t>
      </w:r>
      <w:r>
        <w:rPr>
          <w:rFonts w:cs="Arial" w:hint="cs"/>
          <w:rtl/>
        </w:rPr>
        <w:t xml:space="preserve">אות </w:t>
      </w:r>
      <w:r w:rsidRPr="00C94137">
        <w:rPr>
          <w:rFonts w:cs="Arial"/>
          <w:rtl/>
        </w:rPr>
        <w:t>טז)</w:t>
      </w:r>
      <w:r>
        <w:rPr>
          <w:rFonts w:cs="Arial" w:hint="cs"/>
          <w:rtl/>
        </w:rPr>
        <w:t>.</w:t>
      </w:r>
    </w:p>
  </w:footnote>
  <w:footnote w:id="1548">
    <w:p w14:paraId="743F230B" w14:textId="77777777" w:rsidR="00392DBB" w:rsidRDefault="00392DBB" w:rsidP="00392DBB">
      <w:pPr>
        <w:pStyle w:val="a5"/>
      </w:pPr>
      <w:r>
        <w:rPr>
          <w:rStyle w:val="a7"/>
        </w:rPr>
        <w:footnoteRef/>
      </w:r>
      <w:r>
        <w:rPr>
          <w:rtl/>
        </w:rPr>
        <w:t xml:space="preserve"> </w:t>
      </w:r>
      <w:r>
        <w:rPr>
          <w:rFonts w:cs="Arial"/>
          <w:rtl/>
        </w:rPr>
        <w:t xml:space="preserve">עיי' בתשו' אא"ז פנים מאירות </w:t>
      </w:r>
      <w:r>
        <w:rPr>
          <w:rFonts w:cs="Arial" w:hint="cs"/>
          <w:rtl/>
        </w:rPr>
        <w:t>(</w:t>
      </w:r>
      <w:r>
        <w:rPr>
          <w:rFonts w:cs="Arial"/>
          <w:rtl/>
        </w:rPr>
        <w:t>ח"ב סי' ק</w:t>
      </w:r>
      <w:r>
        <w:rPr>
          <w:rFonts w:cs="Arial" w:hint="cs"/>
          <w:rtl/>
        </w:rPr>
        <w:t>)</w:t>
      </w:r>
      <w:r>
        <w:rPr>
          <w:rFonts w:cs="Arial"/>
          <w:rtl/>
        </w:rPr>
        <w:t xml:space="preserve"> שכ' דהדבר ברור דדוקא אם לא תבעה האלמנה כתובה בב"ד</w:t>
      </w:r>
      <w:r>
        <w:rPr>
          <w:rFonts w:cs="Arial" w:hint="cs"/>
          <w:rtl/>
        </w:rPr>
        <w:t>,</w:t>
      </w:r>
      <w:r>
        <w:rPr>
          <w:rFonts w:cs="Arial"/>
          <w:rtl/>
        </w:rPr>
        <w:t xml:space="preserve"> אבל אם תבעה כתוב</w:t>
      </w:r>
      <w:r>
        <w:rPr>
          <w:rFonts w:cs="Arial" w:hint="cs"/>
          <w:rtl/>
        </w:rPr>
        <w:t>ה</w:t>
      </w:r>
      <w:r>
        <w:rPr>
          <w:rFonts w:cs="Arial"/>
          <w:rtl/>
        </w:rPr>
        <w:t xml:space="preserve"> בב"ד מזה לא דיבר הריב"ש</w:t>
      </w:r>
      <w:r>
        <w:rPr>
          <w:rFonts w:cs="Arial" w:hint="cs"/>
          <w:rtl/>
        </w:rPr>
        <w:t>,</w:t>
      </w:r>
      <w:r>
        <w:rPr>
          <w:rFonts w:cs="Arial"/>
          <w:rtl/>
        </w:rPr>
        <w:t xml:space="preserve"> וכ"ע מודו דאין לה מזונות</w:t>
      </w:r>
      <w:r>
        <w:rPr>
          <w:rFonts w:cs="Arial" w:hint="cs"/>
          <w:rtl/>
        </w:rPr>
        <w:t xml:space="preserve">... </w:t>
      </w:r>
      <w:r>
        <w:rPr>
          <w:rFonts w:cs="Arial"/>
          <w:rtl/>
        </w:rPr>
        <w:t>אפי' בג"ח הראשונים. וסיים שדבר זה הוא פשוט ולא כתבתי אלא להוצי' מדיין א' שרצה לפסוק אף בדתבעה כתובו' ליתן לה מזונות משך ג' חדשי' ראשונים ודבר ברור שאין הדין כן עכ"ד ע"ש. וכ"כ בגליון ש"ע דהגאון רע"ק זצ"ל</w:t>
      </w:r>
      <w:r>
        <w:rPr>
          <w:rFonts w:cs="Arial" w:hint="cs"/>
          <w:rtl/>
        </w:rPr>
        <w:t>, פת"ש (סק"ו).</w:t>
      </w:r>
    </w:p>
  </w:footnote>
  <w:footnote w:id="1549">
    <w:p w14:paraId="35305C9A" w14:textId="2D50EAB5" w:rsidR="00392DBB" w:rsidRDefault="00392DBB" w:rsidP="00392DBB">
      <w:pPr>
        <w:pStyle w:val="a5"/>
        <w:rPr>
          <w:rtl/>
        </w:rPr>
      </w:pPr>
      <w:r>
        <w:rPr>
          <w:rStyle w:val="a7"/>
        </w:rPr>
        <w:footnoteRef/>
      </w:r>
      <w:r>
        <w:rPr>
          <w:rtl/>
        </w:rPr>
        <w:t xml:space="preserve"> </w:t>
      </w:r>
      <w:r w:rsidRPr="000E1495">
        <w:rPr>
          <w:rFonts w:cs="Arial"/>
          <w:rtl/>
        </w:rPr>
        <w:t>ובגרושה היא להיפך כ"ז שלא תתבע אין לה מזונות לכ</w:t>
      </w:r>
      <w:r w:rsidR="004A6FA7">
        <w:rPr>
          <w:rFonts w:cs="Arial" w:hint="cs"/>
          <w:rtl/>
        </w:rPr>
        <w:t>ו</w:t>
      </w:r>
      <w:r w:rsidRPr="000E1495">
        <w:rPr>
          <w:rFonts w:cs="Arial"/>
          <w:rtl/>
        </w:rPr>
        <w:t>"ע</w:t>
      </w:r>
      <w:r w:rsidR="004A6FA7">
        <w:rPr>
          <w:rFonts w:cs="Arial" w:hint="cs"/>
          <w:rtl/>
        </w:rPr>
        <w:t>,</w:t>
      </w:r>
      <w:r w:rsidRPr="000E1495">
        <w:rPr>
          <w:rFonts w:cs="Arial"/>
          <w:rtl/>
        </w:rPr>
        <w:t xml:space="preserve"> ואם תתבע יש לה מזונות לשיטת הרא"ש אם לא סילק לה אחר התביע</w:t>
      </w:r>
      <w:r w:rsidR="004A6FA7">
        <w:rPr>
          <w:rFonts w:cs="Arial" w:hint="cs"/>
          <w:rtl/>
        </w:rPr>
        <w:t>ה</w:t>
      </w:r>
      <w:r w:rsidRPr="000E1495">
        <w:rPr>
          <w:rFonts w:cs="Arial"/>
          <w:rtl/>
        </w:rPr>
        <w:t xml:space="preserve"> </w:t>
      </w:r>
      <w:r w:rsidR="004A6FA7">
        <w:rPr>
          <w:rFonts w:cs="Arial" w:hint="cs"/>
          <w:rtl/>
        </w:rPr>
        <w:t>[</w:t>
      </w:r>
      <w:r w:rsidRPr="000E1495">
        <w:rPr>
          <w:rFonts w:cs="Arial"/>
          <w:rtl/>
        </w:rPr>
        <w:t>פרישה</w:t>
      </w:r>
      <w:r w:rsidR="004A6FA7">
        <w:rPr>
          <w:rFonts w:cs="Arial" w:hint="cs"/>
          <w:rtl/>
        </w:rPr>
        <w:t>]</w:t>
      </w:r>
      <w:r>
        <w:rPr>
          <w:rFonts w:hint="cs"/>
          <w:rtl/>
        </w:rPr>
        <w:t>, ב"ש (סק"ה).</w:t>
      </w:r>
    </w:p>
  </w:footnote>
  <w:footnote w:id="1550">
    <w:p w14:paraId="1B5D4050" w14:textId="1448FBBF" w:rsidR="00392DBB" w:rsidRDefault="00392DBB" w:rsidP="00392DBB">
      <w:pPr>
        <w:pStyle w:val="a5"/>
      </w:pPr>
      <w:r>
        <w:rPr>
          <w:rStyle w:val="a7"/>
        </w:rPr>
        <w:footnoteRef/>
      </w:r>
      <w:r>
        <w:rPr>
          <w:rtl/>
        </w:rPr>
        <w:t xml:space="preserve"> </w:t>
      </w:r>
      <w:r w:rsidRPr="000E1495">
        <w:rPr>
          <w:rFonts w:cs="Arial"/>
          <w:rtl/>
        </w:rPr>
        <w:t>אם היה התנאי בשעת נשואין פשיטא דמהני</w:t>
      </w:r>
      <w:r w:rsidR="004A6FA7">
        <w:rPr>
          <w:rFonts w:cs="Arial" w:hint="cs"/>
          <w:rtl/>
        </w:rPr>
        <w:t>,</w:t>
      </w:r>
      <w:r w:rsidRPr="000E1495">
        <w:rPr>
          <w:rFonts w:cs="Arial"/>
          <w:rtl/>
        </w:rPr>
        <w:t xml:space="preserve"> ואם מחלה תנאי כתובתה אחר הנשואין אפשר דג"כ מהני בלא קנין כמו שיתבאר לקמן בסי' ק"ה במוחלת כתובתה לבעלה</w:t>
      </w:r>
      <w:r>
        <w:rPr>
          <w:rFonts w:cs="Arial" w:hint="cs"/>
          <w:rtl/>
        </w:rPr>
        <w:t>, ח"מ (סק"ה).</w:t>
      </w:r>
      <w:r>
        <w:rPr>
          <w:rFonts w:hint="cs"/>
          <w:rtl/>
        </w:rPr>
        <w:t xml:space="preserve"> והעתיק הב"ש (סק"ו) דבריו.</w:t>
      </w:r>
    </w:p>
  </w:footnote>
  <w:footnote w:id="1551">
    <w:p w14:paraId="6378F1A9" w14:textId="176C72F1" w:rsidR="00392DBB" w:rsidRDefault="00392DBB" w:rsidP="00392DBB">
      <w:pPr>
        <w:pStyle w:val="a5"/>
      </w:pPr>
      <w:r>
        <w:rPr>
          <w:rStyle w:val="a7"/>
        </w:rPr>
        <w:footnoteRef/>
      </w:r>
      <w:r>
        <w:rPr>
          <w:rtl/>
        </w:rPr>
        <w:t xml:space="preserve"> </w:t>
      </w:r>
      <w:r>
        <w:rPr>
          <w:rFonts w:cs="Arial" w:hint="cs"/>
          <w:rtl/>
        </w:rPr>
        <w:t>ו</w:t>
      </w:r>
      <w:r w:rsidRPr="00261097">
        <w:rPr>
          <w:rFonts w:cs="Arial"/>
          <w:rtl/>
        </w:rPr>
        <w:t>כתב בס' ישועות יעקב דכעת נהגו בתי דינים שבישראל לסלק להאלמנה כתובת</w:t>
      </w:r>
      <w:r>
        <w:rPr>
          <w:rFonts w:cs="Arial" w:hint="cs"/>
          <w:rtl/>
        </w:rPr>
        <w:t>ה</w:t>
      </w:r>
      <w:r w:rsidRPr="00261097">
        <w:rPr>
          <w:rFonts w:cs="Arial"/>
          <w:rtl/>
        </w:rPr>
        <w:t xml:space="preserve"> כל זמן שירצו היורשים</w:t>
      </w:r>
      <w:r>
        <w:rPr>
          <w:rFonts w:cs="Arial" w:hint="cs"/>
          <w:rtl/>
        </w:rPr>
        <w:t>.</w:t>
      </w:r>
      <w:r w:rsidRPr="00261097">
        <w:rPr>
          <w:rFonts w:cs="Arial"/>
          <w:rtl/>
        </w:rPr>
        <w:t xml:space="preserve"> וכל הנשאת על דעת המנהג היא נשאת</w:t>
      </w:r>
      <w:r>
        <w:rPr>
          <w:rFonts w:cs="Arial" w:hint="cs"/>
          <w:rtl/>
        </w:rPr>
        <w:t>.</w:t>
      </w:r>
      <w:r w:rsidRPr="00261097">
        <w:rPr>
          <w:rFonts w:cs="Arial"/>
          <w:rtl/>
        </w:rPr>
        <w:t xml:space="preserve"> וטעמא דמלתא כיון שהמזונות ביוקר מאד מן מה שהי</w:t>
      </w:r>
      <w:r>
        <w:rPr>
          <w:rFonts w:cs="Arial" w:hint="cs"/>
          <w:rtl/>
        </w:rPr>
        <w:t>ה</w:t>
      </w:r>
      <w:r w:rsidRPr="00261097">
        <w:rPr>
          <w:rFonts w:cs="Arial"/>
          <w:rtl/>
        </w:rPr>
        <w:t xml:space="preserve"> מלפנים</w:t>
      </w:r>
      <w:r>
        <w:rPr>
          <w:rFonts w:cs="Arial" w:hint="cs"/>
          <w:rtl/>
        </w:rPr>
        <w:t>,</w:t>
      </w:r>
      <w:r w:rsidRPr="00261097">
        <w:rPr>
          <w:rFonts w:cs="Arial"/>
          <w:rtl/>
        </w:rPr>
        <w:t xml:space="preserve"> וסך הכתוב</w:t>
      </w:r>
      <w:r>
        <w:rPr>
          <w:rFonts w:cs="Arial" w:hint="cs"/>
          <w:rtl/>
        </w:rPr>
        <w:t>ה</w:t>
      </w:r>
      <w:r w:rsidRPr="00261097">
        <w:rPr>
          <w:rFonts w:cs="Arial"/>
          <w:rtl/>
        </w:rPr>
        <w:t xml:space="preserve"> כמו שהי</w:t>
      </w:r>
      <w:r>
        <w:rPr>
          <w:rFonts w:cs="Arial" w:hint="cs"/>
          <w:rtl/>
        </w:rPr>
        <w:t>ה</w:t>
      </w:r>
      <w:r w:rsidRPr="00261097">
        <w:rPr>
          <w:rFonts w:cs="Arial"/>
          <w:rtl/>
        </w:rPr>
        <w:t xml:space="preserve"> מקדם</w:t>
      </w:r>
      <w:r>
        <w:rPr>
          <w:rFonts w:cs="Arial" w:hint="cs"/>
          <w:rtl/>
        </w:rPr>
        <w:t>,</w:t>
      </w:r>
      <w:r w:rsidRPr="00261097">
        <w:rPr>
          <w:rFonts w:cs="Arial"/>
          <w:rtl/>
        </w:rPr>
        <w:t xml:space="preserve"> וא"כ כל אחת לא תרצה לקבל כתובתה רק הנדוני</w:t>
      </w:r>
      <w:r>
        <w:rPr>
          <w:rFonts w:cs="Arial" w:hint="cs"/>
          <w:rtl/>
        </w:rPr>
        <w:t>ה</w:t>
      </w:r>
      <w:r w:rsidRPr="00261097">
        <w:rPr>
          <w:rFonts w:cs="Arial"/>
          <w:rtl/>
        </w:rPr>
        <w:t xml:space="preserve"> ותהי</w:t>
      </w:r>
      <w:r>
        <w:rPr>
          <w:rFonts w:cs="Arial" w:hint="cs"/>
          <w:rtl/>
        </w:rPr>
        <w:t>ה</w:t>
      </w:r>
      <w:r w:rsidRPr="00261097">
        <w:rPr>
          <w:rFonts w:cs="Arial"/>
          <w:rtl/>
        </w:rPr>
        <w:t xml:space="preserve"> כ"א נוטלת נדוני</w:t>
      </w:r>
      <w:r>
        <w:rPr>
          <w:rFonts w:cs="Arial" w:hint="cs"/>
          <w:rtl/>
        </w:rPr>
        <w:t>ה</w:t>
      </w:r>
      <w:r w:rsidRPr="00261097">
        <w:rPr>
          <w:rFonts w:cs="Arial"/>
          <w:rtl/>
        </w:rPr>
        <w:t xml:space="preserve"> שלה ותרצ</w:t>
      </w:r>
      <w:r>
        <w:rPr>
          <w:rFonts w:cs="Arial" w:hint="cs"/>
          <w:rtl/>
        </w:rPr>
        <w:t>ה</w:t>
      </w:r>
      <w:r w:rsidRPr="00261097">
        <w:rPr>
          <w:rFonts w:cs="Arial"/>
          <w:rtl/>
        </w:rPr>
        <w:t xml:space="preserve"> להיות ניזונית</w:t>
      </w:r>
      <w:r>
        <w:rPr>
          <w:rFonts w:cs="Arial" w:hint="cs"/>
          <w:rtl/>
        </w:rPr>
        <w:t>.</w:t>
      </w:r>
      <w:r w:rsidRPr="00261097">
        <w:rPr>
          <w:rFonts w:cs="Arial"/>
          <w:rtl/>
        </w:rPr>
        <w:t xml:space="preserve"> לכך עשו בזה תקנה</w:t>
      </w:r>
      <w:r>
        <w:rPr>
          <w:rFonts w:cs="Arial" w:hint="cs"/>
          <w:rtl/>
        </w:rPr>
        <w:t>.</w:t>
      </w:r>
      <w:r w:rsidRPr="00261097">
        <w:rPr>
          <w:rFonts w:cs="Arial"/>
          <w:rtl/>
        </w:rPr>
        <w:t xml:space="preserve"> </w:t>
      </w:r>
      <w:r w:rsidRPr="00D91A3C">
        <w:rPr>
          <w:rFonts w:cs="Arial"/>
          <w:rtl/>
        </w:rPr>
        <w:t xml:space="preserve">עכ"ל. וכ"כ בתשו' שבו"י </w:t>
      </w:r>
      <w:r>
        <w:rPr>
          <w:rFonts w:cs="Arial" w:hint="cs"/>
          <w:rtl/>
        </w:rPr>
        <w:t>(</w:t>
      </w:r>
      <w:r w:rsidRPr="00D91A3C">
        <w:rPr>
          <w:rFonts w:cs="Arial"/>
          <w:rtl/>
        </w:rPr>
        <w:t>ח"ב סי' קכד</w:t>
      </w:r>
      <w:r>
        <w:rPr>
          <w:rFonts w:cs="Arial" w:hint="cs"/>
          <w:rtl/>
        </w:rPr>
        <w:t>).</w:t>
      </w:r>
      <w:r w:rsidRPr="00D91A3C">
        <w:rPr>
          <w:rFonts w:cs="Arial"/>
          <w:rtl/>
        </w:rPr>
        <w:t xml:space="preserve"> והובא ג"כ בס</w:t>
      </w:r>
      <w:r>
        <w:rPr>
          <w:rFonts w:cs="Arial" w:hint="cs"/>
          <w:rtl/>
        </w:rPr>
        <w:t xml:space="preserve">פר </w:t>
      </w:r>
      <w:r w:rsidRPr="00D91A3C">
        <w:rPr>
          <w:rFonts w:cs="Arial"/>
          <w:rtl/>
        </w:rPr>
        <w:t>ב</w:t>
      </w:r>
      <w:r>
        <w:rPr>
          <w:rFonts w:cs="Arial" w:hint="cs"/>
          <w:rtl/>
        </w:rPr>
        <w:t>ית מאיר</w:t>
      </w:r>
      <w:r w:rsidRPr="00D91A3C">
        <w:rPr>
          <w:rFonts w:cs="Arial"/>
          <w:rtl/>
        </w:rPr>
        <w:t xml:space="preserve"> דכך נתפשט המנהג במדינות אלו</w:t>
      </w:r>
      <w:r>
        <w:rPr>
          <w:rFonts w:cs="Arial" w:hint="cs"/>
          <w:rtl/>
        </w:rPr>
        <w:t>,</w:t>
      </w:r>
      <w:r w:rsidRPr="00D91A3C">
        <w:rPr>
          <w:rFonts w:cs="Arial"/>
          <w:rtl/>
        </w:rPr>
        <w:t xml:space="preserve"> וכן עשו הלכה למעש</w:t>
      </w:r>
      <w:r>
        <w:rPr>
          <w:rFonts w:cs="Arial" w:hint="cs"/>
          <w:rtl/>
        </w:rPr>
        <w:t>ה</w:t>
      </w:r>
      <w:r w:rsidRPr="00D91A3C">
        <w:rPr>
          <w:rFonts w:cs="Arial"/>
          <w:rtl/>
        </w:rPr>
        <w:t xml:space="preserve"> בק"ק פראג. וע"ש עוד שכ' דכן המנהג ג"כ להוציאה מהמדור</w:t>
      </w:r>
      <w:r>
        <w:rPr>
          <w:rFonts w:cs="Arial" w:hint="cs"/>
          <w:rtl/>
        </w:rPr>
        <w:t>.</w:t>
      </w:r>
      <w:r w:rsidRPr="00D91A3C">
        <w:rPr>
          <w:rFonts w:cs="Arial"/>
          <w:rtl/>
        </w:rPr>
        <w:t xml:space="preserve"> ובס' בית מאיר פקפק ע"ז דהוא נגד ההלכ</w:t>
      </w:r>
      <w:r>
        <w:rPr>
          <w:rFonts w:cs="Arial" w:hint="cs"/>
          <w:rtl/>
        </w:rPr>
        <w:t>ה</w:t>
      </w:r>
      <w:r w:rsidRPr="00D91A3C">
        <w:rPr>
          <w:rFonts w:cs="Arial"/>
          <w:rtl/>
        </w:rPr>
        <w:t xml:space="preserve"> ומה</w:t>
      </w:r>
      <w:r w:rsidR="008C769F">
        <w:rPr>
          <w:rFonts w:cs="Arial" w:hint="cs"/>
          <w:rtl/>
        </w:rPr>
        <w:t xml:space="preserve">יכא </w:t>
      </w:r>
      <w:r w:rsidRPr="00D91A3C">
        <w:rPr>
          <w:rFonts w:cs="Arial"/>
          <w:rtl/>
        </w:rPr>
        <w:t>ת</w:t>
      </w:r>
      <w:r w:rsidR="008C769F">
        <w:rPr>
          <w:rFonts w:cs="Arial" w:hint="cs"/>
          <w:rtl/>
        </w:rPr>
        <w:t>יתי</w:t>
      </w:r>
      <w:r w:rsidRPr="00D91A3C">
        <w:rPr>
          <w:rFonts w:cs="Arial"/>
          <w:rtl/>
        </w:rPr>
        <w:t xml:space="preserve"> לתקן זאת</w:t>
      </w:r>
      <w:r>
        <w:rPr>
          <w:rFonts w:cs="Arial" w:hint="cs"/>
          <w:rtl/>
        </w:rPr>
        <w:t>,</w:t>
      </w:r>
      <w:r w:rsidRPr="00D91A3C">
        <w:rPr>
          <w:rFonts w:cs="Arial"/>
          <w:rtl/>
        </w:rPr>
        <w:t xml:space="preserve"> וכן הורו ישישי דייני ק"ק פ"פ דמיין ואין לזוז מדבריהם</w:t>
      </w:r>
      <w:r w:rsidR="00564BF7">
        <w:rPr>
          <w:rFonts w:cs="Arial" w:hint="cs"/>
          <w:rtl/>
        </w:rPr>
        <w:t>,</w:t>
      </w:r>
      <w:r w:rsidRPr="00D91A3C">
        <w:rPr>
          <w:rFonts w:cs="Arial"/>
          <w:rtl/>
        </w:rPr>
        <w:t xml:space="preserve"> ואין לגרש נשי עמינו מבית תענוגיהם כל ימי מיגר אלמנות' בעל כרחה כל כמה שהיא לא תבעה כתובה בב"ד עכ"ד ע"ש</w:t>
      </w:r>
      <w:r>
        <w:rPr>
          <w:rFonts w:cs="Arial" w:hint="cs"/>
          <w:rtl/>
        </w:rPr>
        <w:t>, פת"ש (סק"ה).</w:t>
      </w:r>
    </w:p>
  </w:footnote>
  <w:footnote w:id="1552">
    <w:p w14:paraId="31DBCDDE" w14:textId="060EBAB8" w:rsidR="00392DBB" w:rsidRDefault="00392DBB" w:rsidP="00392DBB">
      <w:pPr>
        <w:pStyle w:val="a5"/>
      </w:pPr>
      <w:r>
        <w:rPr>
          <w:rStyle w:val="a7"/>
        </w:rPr>
        <w:footnoteRef/>
      </w:r>
      <w:r>
        <w:rPr>
          <w:rtl/>
        </w:rPr>
        <w:t xml:space="preserve"> </w:t>
      </w:r>
      <w:r w:rsidRPr="000E1495">
        <w:rPr>
          <w:rFonts w:cs="Arial"/>
          <w:rtl/>
        </w:rPr>
        <w:t>שם בריב"ש כתב שהתקנה היתה שהרשות ביד היתומים לסלקה מזכות מזונותיה זולתי בג' חדשים הראשונים</w:t>
      </w:r>
      <w:r>
        <w:rPr>
          <w:rFonts w:cs="Arial" w:hint="cs"/>
          <w:rtl/>
        </w:rPr>
        <w:t>, ח"מ (סק"ו).</w:t>
      </w:r>
      <w:r>
        <w:rPr>
          <w:rFonts w:hint="cs"/>
          <w:rtl/>
        </w:rPr>
        <w:t xml:space="preserve"> וכ"כ הב"ש (סק"ז), והוסיף </w:t>
      </w:r>
      <w:r>
        <w:rPr>
          <w:rFonts w:cs="Arial" w:hint="cs"/>
          <w:rtl/>
        </w:rPr>
        <w:t>ש</w:t>
      </w:r>
      <w:r w:rsidRPr="000E1495">
        <w:rPr>
          <w:rFonts w:cs="Arial"/>
          <w:rtl/>
        </w:rPr>
        <w:t xml:space="preserve">הטעם משמע הואיל </w:t>
      </w:r>
      <w:r w:rsidR="00473203">
        <w:rPr>
          <w:rFonts w:cs="Arial" w:hint="cs"/>
          <w:rtl/>
        </w:rPr>
        <w:t>ד</w:t>
      </w:r>
      <w:r w:rsidRPr="000E1495">
        <w:rPr>
          <w:rFonts w:cs="Arial"/>
          <w:rtl/>
        </w:rPr>
        <w:t>היא אסורה להנש</w:t>
      </w:r>
      <w:r>
        <w:rPr>
          <w:rFonts w:cs="Arial" w:hint="cs"/>
          <w:rtl/>
        </w:rPr>
        <w:t>א</w:t>
      </w:r>
      <w:r w:rsidRPr="000E1495">
        <w:rPr>
          <w:rFonts w:cs="Arial"/>
          <w:rtl/>
        </w:rPr>
        <w:t xml:space="preserve"> מחמתו יש ל</w:t>
      </w:r>
      <w:r w:rsidR="00473203">
        <w:rPr>
          <w:rFonts w:cs="Arial" w:hint="cs"/>
          <w:rtl/>
        </w:rPr>
        <w:t>ה</w:t>
      </w:r>
      <w:r w:rsidRPr="000E1495">
        <w:rPr>
          <w:rFonts w:cs="Arial"/>
          <w:rtl/>
        </w:rPr>
        <w:t xml:space="preserve"> מזונות בע"כ</w:t>
      </w:r>
      <w:r w:rsidR="00473203">
        <w:rPr>
          <w:rFonts w:cs="Arial" w:hint="cs"/>
          <w:rtl/>
        </w:rPr>
        <w:t>,</w:t>
      </w:r>
      <w:r w:rsidRPr="000E1495">
        <w:rPr>
          <w:rFonts w:cs="Arial"/>
          <w:rtl/>
        </w:rPr>
        <w:t xml:space="preserve"> לפ"ז ה"ה כל היכא דאסורה מחמתו א"י לתקן לסלקה ולהפסיד לה מזונות</w:t>
      </w:r>
      <w:r>
        <w:rPr>
          <w:rFonts w:cs="Arial" w:hint="cs"/>
          <w:rtl/>
        </w:rPr>
        <w:t>.</w:t>
      </w:r>
      <w:r w:rsidRPr="000E1495">
        <w:rPr>
          <w:rFonts w:cs="Arial"/>
          <w:rtl/>
        </w:rPr>
        <w:t xml:space="preserve"> ונשמע נמי דנותנים מזונות מיד אפי' תוך ג"ח אע</w:t>
      </w:r>
      <w:r w:rsidR="00473203">
        <w:rPr>
          <w:rFonts w:cs="Arial" w:hint="cs"/>
          <w:rtl/>
        </w:rPr>
        <w:t>"</w:t>
      </w:r>
      <w:r w:rsidRPr="000E1495">
        <w:rPr>
          <w:rFonts w:cs="Arial"/>
          <w:rtl/>
        </w:rPr>
        <w:t xml:space="preserve">ג </w:t>
      </w:r>
      <w:r w:rsidR="00473203">
        <w:rPr>
          <w:rFonts w:cs="Arial" w:hint="cs"/>
          <w:rtl/>
        </w:rPr>
        <w:t>ד</w:t>
      </w:r>
      <w:r w:rsidRPr="000E1495">
        <w:rPr>
          <w:rFonts w:cs="Arial"/>
          <w:rtl/>
        </w:rPr>
        <w:t>מי שהלך למ</w:t>
      </w:r>
      <w:r w:rsidR="00473203">
        <w:rPr>
          <w:rFonts w:cs="Arial" w:hint="cs"/>
          <w:rtl/>
        </w:rPr>
        <w:t>ה</w:t>
      </w:r>
      <w:r w:rsidRPr="000E1495">
        <w:rPr>
          <w:rFonts w:cs="Arial"/>
          <w:rtl/>
        </w:rPr>
        <w:t>"י אין פוסקים לה מזונו</w:t>
      </w:r>
      <w:r>
        <w:rPr>
          <w:rFonts w:cs="Arial" w:hint="cs"/>
          <w:rtl/>
        </w:rPr>
        <w:t>ת</w:t>
      </w:r>
      <w:r w:rsidRPr="000E1495">
        <w:rPr>
          <w:rFonts w:cs="Arial"/>
          <w:rtl/>
        </w:rPr>
        <w:t xml:space="preserve"> תוך ג"ח עי' סי' ע'</w:t>
      </w:r>
      <w:r>
        <w:rPr>
          <w:rFonts w:hint="cs"/>
          <w:rtl/>
        </w:rPr>
        <w:t>.</w:t>
      </w:r>
    </w:p>
  </w:footnote>
  <w:footnote w:id="1553">
    <w:p w14:paraId="320F7E0E" w14:textId="7046DC1C" w:rsidR="00843FDE" w:rsidRDefault="00843FDE">
      <w:pPr>
        <w:pStyle w:val="a5"/>
      </w:pPr>
      <w:r>
        <w:rPr>
          <w:rStyle w:val="a7"/>
        </w:rPr>
        <w:footnoteRef/>
      </w:r>
      <w:r>
        <w:rPr>
          <w:rtl/>
        </w:rPr>
        <w:t xml:space="preserve"> </w:t>
      </w:r>
      <w:r>
        <w:rPr>
          <w:rFonts w:hint="cs"/>
          <w:rtl/>
        </w:rPr>
        <w:t>סימן - ק</w:t>
      </w:r>
      <w:r w:rsidR="002F0648">
        <w:rPr>
          <w:rFonts w:hint="cs"/>
          <w:rtl/>
        </w:rPr>
        <w:t>שישה</w:t>
      </w:r>
      <w:r>
        <w:rPr>
          <w:rFonts w:hint="cs"/>
          <w:rtl/>
        </w:rPr>
        <w:t xml:space="preserve"> לוקחת טרף.</w:t>
      </w:r>
      <w:r w:rsidR="003020AB">
        <w:rPr>
          <w:rFonts w:hint="cs"/>
          <w:rtl/>
        </w:rPr>
        <w:t xml:space="preserve"> וכן - קצת טרף למי.</w:t>
      </w:r>
    </w:p>
  </w:footnote>
  <w:footnote w:id="1554">
    <w:p w14:paraId="58757F96" w14:textId="77777777" w:rsidR="00392DBB" w:rsidRDefault="00392DBB" w:rsidP="00392DBB">
      <w:pPr>
        <w:pStyle w:val="a5"/>
      </w:pPr>
      <w:r>
        <w:rPr>
          <w:rStyle w:val="a7"/>
        </w:rPr>
        <w:footnoteRef/>
      </w:r>
      <w:r>
        <w:rPr>
          <w:rtl/>
        </w:rPr>
        <w:t xml:space="preserve"> </w:t>
      </w:r>
      <w:r>
        <w:rPr>
          <w:rFonts w:hint="cs"/>
          <w:rtl/>
        </w:rPr>
        <w:t>עיין לקמן שבפירוש איבעיא זו נחלקו המפרשים.</w:t>
      </w:r>
    </w:p>
  </w:footnote>
  <w:footnote w:id="1555">
    <w:p w14:paraId="2EAC7157" w14:textId="77777777" w:rsidR="00392DBB" w:rsidRDefault="00392DBB" w:rsidP="00392DBB">
      <w:pPr>
        <w:pStyle w:val="a5"/>
      </w:pPr>
      <w:r>
        <w:rPr>
          <w:rStyle w:val="a7"/>
        </w:rPr>
        <w:footnoteRef/>
      </w:r>
      <w:r>
        <w:rPr>
          <w:rtl/>
        </w:rPr>
        <w:t xml:space="preserve"> </w:t>
      </w:r>
      <w:r>
        <w:rPr>
          <w:rFonts w:hint="cs"/>
          <w:rtl/>
        </w:rPr>
        <w:t>וכן הוא בירושלמי מסכות כתובות פי"ג ה"ג.</w:t>
      </w:r>
    </w:p>
  </w:footnote>
  <w:footnote w:id="1556">
    <w:p w14:paraId="2884D3E6" w14:textId="5A39C30B" w:rsidR="00392DBB" w:rsidRDefault="00392DBB" w:rsidP="00392DBB">
      <w:pPr>
        <w:pStyle w:val="a5"/>
        <w:rPr>
          <w:rtl/>
        </w:rPr>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847732">
        <w:rPr>
          <w:rFonts w:cs="Arial"/>
          <w:rtl/>
        </w:rPr>
        <w:t>נראה לפרש דודאי אם אין כאן אלא אלמנה אצל הבנים שניהם שוין בנכסים</w:t>
      </w:r>
      <w:r>
        <w:rPr>
          <w:rFonts w:cs="Arial" w:hint="cs"/>
          <w:rtl/>
        </w:rPr>
        <w:t>.</w:t>
      </w:r>
      <w:r w:rsidRPr="00847732">
        <w:rPr>
          <w:rFonts w:cs="Arial"/>
          <w:rtl/>
        </w:rPr>
        <w:t xml:space="preserve"> וכן אם אין כאן אלא אלמנה ובנות </w:t>
      </w:r>
      <w:r w:rsidRPr="00847732">
        <w:rPr>
          <w:rFonts w:cs="Arial" w:hint="cs"/>
          <w:sz w:val="16"/>
          <w:szCs w:val="16"/>
          <w:rtl/>
        </w:rPr>
        <w:t>(</w:t>
      </w:r>
      <w:r w:rsidRPr="00847732">
        <w:rPr>
          <w:rFonts w:cs="Arial"/>
          <w:sz w:val="16"/>
          <w:szCs w:val="16"/>
          <w:rtl/>
        </w:rPr>
        <w:t>דלא תקנו נכסים מועטים אלא לבנות שהן יוצאי יריכו והם בנות ירושה במקום שאין בנים ואע</w:t>
      </w:r>
      <w:r w:rsidRPr="00847732">
        <w:rPr>
          <w:rFonts w:cs="Arial" w:hint="cs"/>
          <w:sz w:val="16"/>
          <w:szCs w:val="16"/>
          <w:rtl/>
        </w:rPr>
        <w:t>"</w:t>
      </w:r>
      <w:r w:rsidRPr="00847732">
        <w:rPr>
          <w:rFonts w:cs="Arial"/>
          <w:sz w:val="16"/>
          <w:szCs w:val="16"/>
          <w:rtl/>
        </w:rPr>
        <w:t>ג</w:t>
      </w:r>
      <w:r w:rsidRPr="00847732">
        <w:rPr>
          <w:rFonts w:cs="Arial" w:hint="cs"/>
          <w:sz w:val="16"/>
          <w:szCs w:val="16"/>
          <w:rtl/>
        </w:rPr>
        <w:t xml:space="preserve"> </w:t>
      </w:r>
      <w:r w:rsidRPr="00847732">
        <w:rPr>
          <w:rFonts w:cs="Arial"/>
          <w:sz w:val="16"/>
          <w:szCs w:val="16"/>
          <w:rtl/>
        </w:rPr>
        <w:t>דמיחסרא גוביינא ואי מינסבא לית לה אבל לאלמנה אצל הבנים או אצל בנות לא רצו חכמים לתקן דין נכסים מועטים אצל האלמנה שלא רצו לעקר דין ירושה מן הבנים אצל האלמנה</w:t>
      </w:r>
      <w:r>
        <w:rPr>
          <w:rFonts w:cs="Arial" w:hint="cs"/>
          <w:sz w:val="16"/>
          <w:szCs w:val="16"/>
          <w:rtl/>
        </w:rPr>
        <w:t>)</w:t>
      </w:r>
      <w:r w:rsidRPr="00847732">
        <w:rPr>
          <w:rFonts w:cs="Arial"/>
          <w:rtl/>
        </w:rPr>
        <w:t xml:space="preserve"> והשתא מיבעי ליה כשיש בנים ובנות שיש כבר דין נכסים מועטין בשביל בנות</w:t>
      </w:r>
      <w:r>
        <w:rPr>
          <w:rFonts w:cs="Arial" w:hint="cs"/>
          <w:rtl/>
        </w:rPr>
        <w:t>,</w:t>
      </w:r>
      <w:r w:rsidRPr="00847732">
        <w:rPr>
          <w:rFonts w:cs="Arial"/>
          <w:rtl/>
        </w:rPr>
        <w:t xml:space="preserve"> אם ממעטא נמי אלמנה</w:t>
      </w:r>
      <w:r>
        <w:rPr>
          <w:rFonts w:cs="Arial" w:hint="cs"/>
          <w:rtl/>
        </w:rPr>
        <w:t>.</w:t>
      </w:r>
      <w:r w:rsidRPr="008C687A">
        <w:rPr>
          <w:rtl/>
        </w:rPr>
        <w:t xml:space="preserve"> </w:t>
      </w:r>
      <w:r w:rsidRPr="008C687A">
        <w:rPr>
          <w:rFonts w:cs="Arial"/>
          <w:rtl/>
        </w:rPr>
        <w:t>(הג"ה, וכן כתוב בתוס'</w:t>
      </w:r>
      <w:r>
        <w:rPr>
          <w:rFonts w:cs="Arial" w:hint="cs"/>
          <w:rtl/>
        </w:rPr>
        <w:t xml:space="preserve"> -</w:t>
      </w:r>
      <w:r w:rsidRPr="008C687A">
        <w:rPr>
          <w:rFonts w:cs="Arial"/>
          <w:rtl/>
        </w:rPr>
        <w:t xml:space="preserve"> ותיזון האלמנה עם הבנות</w:t>
      </w:r>
      <w:r>
        <w:rPr>
          <w:rFonts w:cs="Arial" w:hint="cs"/>
          <w:rtl/>
        </w:rPr>
        <w:t>,</w:t>
      </w:r>
      <w:r w:rsidRPr="008C687A">
        <w:rPr>
          <w:rFonts w:cs="Arial"/>
          <w:rtl/>
        </w:rPr>
        <w:t xml:space="preserve"> או דלמא כיון דאי מינסבא לית לה מזוני השתא נמי לית לה אלא הכל יהיה לבנות</w:t>
      </w:r>
      <w:r>
        <w:rPr>
          <w:rFonts w:cs="Arial" w:hint="cs"/>
          <w:rtl/>
        </w:rPr>
        <w:t>.</w:t>
      </w:r>
      <w:r w:rsidRPr="008C687A">
        <w:rPr>
          <w:rFonts w:cs="Arial"/>
          <w:rtl/>
        </w:rPr>
        <w:t xml:space="preserve"> ואי ממעטא מ"מ לא תיזון האלמנה עמהן אלא עד שיבגרו הבנות, ע"כ הג"ה)</w:t>
      </w:r>
      <w:r>
        <w:rPr>
          <w:rFonts w:cs="Arial" w:hint="cs"/>
          <w:rtl/>
        </w:rPr>
        <w:t>.</w:t>
      </w:r>
      <w:r w:rsidRPr="00847732">
        <w:rPr>
          <w:rFonts w:cs="Arial"/>
          <w:rtl/>
        </w:rPr>
        <w:t xml:space="preserve"> והא דקאמר בסמוך דאלמנה אצל הבת אלמנה ניזונת והבת תשאל על הפתחים היינו שיש שם בנים עם הבנות שיש כאן דין נכסים מועטים אצל בנות אבל אי ליתנהו לבנים לא תטול האלמנה כלום יותר מהבת</w:t>
      </w:r>
      <w:r>
        <w:rPr>
          <w:rFonts w:cs="Arial" w:hint="cs"/>
          <w:rtl/>
        </w:rPr>
        <w:t>...</w:t>
      </w:r>
      <w:r w:rsidRPr="00847732">
        <w:rPr>
          <w:rFonts w:cs="Arial"/>
          <w:rtl/>
        </w:rPr>
        <w:t xml:space="preserve"> ואור"י שכן משמע בירושל</w:t>
      </w:r>
      <w:r>
        <w:rPr>
          <w:rFonts w:cs="Arial" w:hint="cs"/>
          <w:rtl/>
        </w:rPr>
        <w:t>מי (ב"ב פ"ט ה"א, כתובות פי"ג ה"ג)...</w:t>
      </w:r>
    </w:p>
  </w:footnote>
  <w:footnote w:id="1557">
    <w:p w14:paraId="0AC1E85D" w14:textId="1068383C" w:rsidR="00392DBB" w:rsidRDefault="00392DBB" w:rsidP="00392DBB">
      <w:pPr>
        <w:pStyle w:val="a5"/>
        <w:rPr>
          <w:rtl/>
        </w:rPr>
      </w:pPr>
      <w:r>
        <w:rPr>
          <w:rStyle w:val="a7"/>
        </w:rPr>
        <w:footnoteRef/>
      </w:r>
      <w:r>
        <w:rPr>
          <w:rtl/>
        </w:rPr>
        <w:t xml:space="preserve"> </w:t>
      </w:r>
      <w:r w:rsidR="0061020A">
        <w:rPr>
          <w:rFonts w:cs="Arial"/>
          <w:rtl/>
        </w:rPr>
        <w:t>וז"ל:</w:t>
      </w:r>
      <w:r w:rsidRPr="006872FF">
        <w:rPr>
          <w:rFonts w:cs="Arial"/>
          <w:rtl/>
        </w:rPr>
        <w:t xml:space="preserve"> פירש הר</w:t>
      </w:r>
      <w:r>
        <w:rPr>
          <w:rFonts w:cs="Arial" w:hint="cs"/>
          <w:rtl/>
        </w:rPr>
        <w:t>יב"ם</w:t>
      </w:r>
      <w:r w:rsidRPr="006872FF">
        <w:rPr>
          <w:rFonts w:cs="Arial"/>
          <w:rtl/>
        </w:rPr>
        <w:t xml:space="preserve"> </w:t>
      </w:r>
      <w:r>
        <w:rPr>
          <w:rFonts w:cs="Arial" w:hint="cs"/>
          <w:sz w:val="16"/>
          <w:szCs w:val="16"/>
          <w:rtl/>
        </w:rPr>
        <w:t>{</w:t>
      </w:r>
      <w:r w:rsidRPr="00D4069D">
        <w:rPr>
          <w:rFonts w:cs="Arial" w:hint="cs"/>
          <w:sz w:val="16"/>
          <w:szCs w:val="16"/>
          <w:rtl/>
        </w:rPr>
        <w:t>שהוא מבעלי התוס'</w:t>
      </w:r>
      <w:r>
        <w:rPr>
          <w:rFonts w:cs="Arial" w:hint="cs"/>
          <w:sz w:val="16"/>
          <w:szCs w:val="16"/>
          <w:rtl/>
        </w:rPr>
        <w:t>,</w:t>
      </w:r>
      <w:r w:rsidRPr="005A37BD">
        <w:rPr>
          <w:rFonts w:cs="Arial" w:hint="cs"/>
          <w:sz w:val="16"/>
          <w:szCs w:val="16"/>
          <w:rtl/>
        </w:rPr>
        <w:t xml:space="preserve"> </w:t>
      </w:r>
      <w:r>
        <w:rPr>
          <w:rFonts w:cs="Arial" w:hint="cs"/>
          <w:sz w:val="16"/>
          <w:szCs w:val="16"/>
          <w:rtl/>
        </w:rPr>
        <w:t>וכן גרס הפלפולא חריפתא [שם אות כ], אך הב"י גרס הרמב"ן. ונראה שזו ט"ס בב"י,</w:t>
      </w:r>
      <w:r w:rsidRPr="00D4069D">
        <w:rPr>
          <w:rFonts w:cs="Arial" w:hint="cs"/>
          <w:sz w:val="16"/>
          <w:szCs w:val="16"/>
          <w:rtl/>
        </w:rPr>
        <w:t xml:space="preserve"> שהרי הרמב"ן בסוף דבריו כתב שדעתו נוטה לדברי הרמב"ם, </w:t>
      </w:r>
      <w:r>
        <w:rPr>
          <w:rFonts w:cs="Arial" w:hint="cs"/>
          <w:sz w:val="16"/>
          <w:szCs w:val="16"/>
          <w:rtl/>
        </w:rPr>
        <w:t xml:space="preserve">והב"י עצמו הביאו, </w:t>
      </w:r>
      <w:r w:rsidRPr="00D4069D">
        <w:rPr>
          <w:rFonts w:cs="Arial" w:hint="cs"/>
          <w:sz w:val="16"/>
          <w:szCs w:val="16"/>
          <w:rtl/>
        </w:rPr>
        <w:t>וא"כ איך יביא הרא"ש את הדברים בשמו בצורה חלקית</w:t>
      </w:r>
      <w:r>
        <w:rPr>
          <w:rFonts w:cs="Arial" w:hint="cs"/>
          <w:sz w:val="16"/>
          <w:szCs w:val="16"/>
          <w:rtl/>
        </w:rPr>
        <w:t>. ועוד שאין הלשון דומה ללשון הרמב"ן אלא ללשון התוס'}</w:t>
      </w:r>
      <w:r w:rsidRPr="006872FF">
        <w:rPr>
          <w:rFonts w:cs="Arial"/>
          <w:rtl/>
        </w:rPr>
        <w:t xml:space="preserve"> דפשיטא ליה שאם הניח אלמנה ובנים בלא בנות</w:t>
      </w:r>
      <w:r>
        <w:rPr>
          <w:rFonts w:cs="Arial" w:hint="cs"/>
          <w:rtl/>
        </w:rPr>
        <w:t xml:space="preserve"> -</w:t>
      </w:r>
      <w:r w:rsidRPr="006872FF">
        <w:rPr>
          <w:rFonts w:cs="Arial"/>
          <w:rtl/>
        </w:rPr>
        <w:t xml:space="preserve"> דאין שייך לומר באלמנה נכסים מועטים לומר האלמנה תיזון והבנים ישאלו על הפתחים</w:t>
      </w:r>
      <w:r>
        <w:rPr>
          <w:rFonts w:cs="Arial" w:hint="cs"/>
          <w:rtl/>
        </w:rPr>
        <w:t>.</w:t>
      </w:r>
      <w:r w:rsidRPr="006872FF">
        <w:rPr>
          <w:rFonts w:cs="Arial"/>
          <w:rtl/>
        </w:rPr>
        <w:t xml:space="preserve"> וכן נמי אם לא הניח אלא אלמנה ובת </w:t>
      </w:r>
      <w:r>
        <w:rPr>
          <w:rFonts w:cs="Arial" w:hint="cs"/>
          <w:rtl/>
        </w:rPr>
        <w:t xml:space="preserve">- </w:t>
      </w:r>
      <w:r w:rsidRPr="006872FF">
        <w:rPr>
          <w:rFonts w:cs="Arial"/>
          <w:rtl/>
        </w:rPr>
        <w:t>לא אמרינן האלמנה תיזון והבת תשאל על הפתחים</w:t>
      </w:r>
      <w:r>
        <w:rPr>
          <w:rFonts w:cs="Arial" w:hint="cs"/>
          <w:rtl/>
        </w:rPr>
        <w:t>.</w:t>
      </w:r>
      <w:r w:rsidRPr="006872FF">
        <w:rPr>
          <w:rFonts w:cs="Arial"/>
          <w:rtl/>
        </w:rPr>
        <w:t xml:space="preserve"> והיינו טעמא לפי שאין שיעור קצוב לאלמנה לפי שפעמים נישאת ברחוק זמן ופעמים בקרוב ואין לדבר קצבה עד אימת הוו מרובים ואימת הוו מועטין</w:t>
      </w:r>
      <w:r>
        <w:rPr>
          <w:rFonts w:cs="Arial" w:hint="cs"/>
          <w:rtl/>
        </w:rPr>
        <w:t>,</w:t>
      </w:r>
      <w:r w:rsidRPr="006872FF">
        <w:rPr>
          <w:rFonts w:cs="Arial"/>
          <w:rtl/>
        </w:rPr>
        <w:t xml:space="preserve"> הילכך לא תיקנו לעקור מן התורה דבר בשביל מזונות האלמנה</w:t>
      </w:r>
      <w:r>
        <w:rPr>
          <w:rFonts w:cs="Arial" w:hint="cs"/>
          <w:rtl/>
        </w:rPr>
        <w:t>.</w:t>
      </w:r>
      <w:r w:rsidRPr="006872FF">
        <w:rPr>
          <w:rFonts w:cs="Arial"/>
          <w:rtl/>
        </w:rPr>
        <w:t xml:space="preserve"> אבל בנות יש להן קצבה עד שיבגרו</w:t>
      </w:r>
      <w:r>
        <w:rPr>
          <w:rFonts w:cs="Arial" w:hint="cs"/>
          <w:rtl/>
        </w:rPr>
        <w:t>.</w:t>
      </w:r>
      <w:r w:rsidRPr="006872FF">
        <w:rPr>
          <w:rFonts w:cs="Arial"/>
          <w:rtl/>
        </w:rPr>
        <w:t xml:space="preserve"> והך בעיא מיירי בשיש בנים ובנות ואלמנה</w:t>
      </w:r>
      <w:r>
        <w:rPr>
          <w:rFonts w:cs="Arial" w:hint="cs"/>
          <w:rtl/>
        </w:rPr>
        <w:t>,</w:t>
      </w:r>
      <w:r w:rsidRPr="006872FF">
        <w:rPr>
          <w:rFonts w:cs="Arial"/>
          <w:rtl/>
        </w:rPr>
        <w:t xml:space="preserve"> ואין מזון לבנים ובנות עד שיבגרו</w:t>
      </w:r>
      <w:r>
        <w:rPr>
          <w:rFonts w:cs="Arial" w:hint="cs"/>
          <w:rtl/>
        </w:rPr>
        <w:t>.</w:t>
      </w:r>
      <w:r w:rsidRPr="006872FF">
        <w:rPr>
          <w:rFonts w:cs="Arial"/>
          <w:rtl/>
        </w:rPr>
        <w:t xml:space="preserve"> הילכך בלא האלמנה נעשו הנכסים מועטים ונסתלקו הבנים</w:t>
      </w:r>
      <w:r>
        <w:rPr>
          <w:rFonts w:cs="Arial" w:hint="cs"/>
          <w:rtl/>
        </w:rPr>
        <w:t>,</w:t>
      </w:r>
      <w:r w:rsidRPr="006872FF">
        <w:rPr>
          <w:rFonts w:cs="Arial"/>
          <w:rtl/>
        </w:rPr>
        <w:t xml:space="preserve"> ומיבעיא ליה כיון דאלמנה ובנות באות מכח תנאי כתובה איזו מהן קודמת</w:t>
      </w:r>
      <w:r>
        <w:rPr>
          <w:rFonts w:hint="cs"/>
          <w:rtl/>
        </w:rPr>
        <w:t>.</w:t>
      </w:r>
    </w:p>
  </w:footnote>
  <w:footnote w:id="1558">
    <w:p w14:paraId="4BFBE80A" w14:textId="77777777" w:rsidR="00392DBB" w:rsidRDefault="00392DBB" w:rsidP="00392DBB">
      <w:pPr>
        <w:pStyle w:val="a5"/>
        <w:rPr>
          <w:rtl/>
        </w:rPr>
      </w:pPr>
      <w:r>
        <w:rPr>
          <w:rStyle w:val="a7"/>
        </w:rPr>
        <w:footnoteRef/>
      </w:r>
      <w:r>
        <w:rPr>
          <w:rtl/>
        </w:rPr>
        <w:t xml:space="preserve"> </w:t>
      </w:r>
      <w:r w:rsidRPr="003632FA">
        <w:rPr>
          <w:rFonts w:cs="Arial"/>
          <w:rtl/>
        </w:rPr>
        <w:t>דהא אלמנה לא ממעטא להו וקרינן בהו הבנים יירשו והבנות יזונו ומחלק הבנות לא תזון האלמנה עמהם והיינו דאיכא בין ממעטא ללא ממעטא דאי ממעטא הבנים ישאלו והאלמנה תזון ואי לא ממעטא יזונו יחד האלמנה והבנים אבל הבנות אין להן להפסיד במזונותיהם כלל בין ממעטא בין לא ממעטא דהא בין בנכסים מרובין בין בנכסים מועטין תנן הבנות יזונו אי נמי היכא דלא ממעטא מיקרו נכסים מרובין ואף על פי שנתעכבה היום או למחר מלינשא הרי הוא כמרובין ונתמעטו דאמרינן כבר זכו בהן יורשין ויזונו שלשתן יחד בנים ובנות ואלמנה</w:t>
      </w:r>
      <w:r>
        <w:rPr>
          <w:rFonts w:hint="cs"/>
          <w:rtl/>
        </w:rPr>
        <w:t>, רשב"ם (שם).</w:t>
      </w:r>
    </w:p>
  </w:footnote>
  <w:footnote w:id="1559">
    <w:p w14:paraId="1A01A093" w14:textId="77777777" w:rsidR="00392DBB" w:rsidRDefault="00392DBB" w:rsidP="00392DBB">
      <w:pPr>
        <w:pStyle w:val="a5"/>
      </w:pPr>
      <w:r>
        <w:rPr>
          <w:rStyle w:val="a7"/>
        </w:rPr>
        <w:footnoteRef/>
      </w:r>
      <w:r>
        <w:rPr>
          <w:rtl/>
        </w:rPr>
        <w:t xml:space="preserve"> </w:t>
      </w:r>
      <w:r w:rsidRPr="00217F3F">
        <w:rPr>
          <w:rFonts w:cs="Arial"/>
          <w:rtl/>
        </w:rPr>
        <w:t>ומיהו ה"ה תמיהא מילתא שאם כן לא שבקת חיי ליורש במקום אלמנה</w:t>
      </w:r>
      <w:r w:rsidRPr="00217F3F">
        <w:rPr>
          <w:rFonts w:cs="Arial" w:hint="cs"/>
          <w:rtl/>
        </w:rPr>
        <w:t>,</w:t>
      </w:r>
      <w:r w:rsidRPr="00217F3F">
        <w:rPr>
          <w:rFonts w:cs="Arial"/>
          <w:rtl/>
        </w:rPr>
        <w:t xml:space="preserve"> דהא כתיבנא לעיל דכל היכא דקודמת מוציאין לה מעכשיו דמי פרנסתה כל ימי חייה</w:t>
      </w:r>
      <w:r w:rsidRPr="00217F3F">
        <w:rPr>
          <w:rFonts w:cs="Arial" w:hint="cs"/>
          <w:rtl/>
        </w:rPr>
        <w:t>,</w:t>
      </w:r>
      <w:r w:rsidRPr="00217F3F">
        <w:rPr>
          <w:rFonts w:cs="Arial"/>
          <w:rtl/>
        </w:rPr>
        <w:t xml:space="preserve"> ונמצאו רובן של יורשים הולכים בפחי נפש</w:t>
      </w:r>
      <w:r w:rsidRPr="00217F3F">
        <w:rPr>
          <w:rFonts w:cs="Arial" w:hint="cs"/>
          <w:rtl/>
        </w:rPr>
        <w:t>.</w:t>
      </w:r>
      <w:r w:rsidRPr="00217F3F">
        <w:rPr>
          <w:rFonts w:cs="Arial"/>
          <w:rtl/>
        </w:rPr>
        <w:t xml:space="preserve"> אבל בירושלמי משמע שאין אלמנה קודמת אלא עם בת במקום בן</w:t>
      </w:r>
      <w:r w:rsidRPr="00217F3F">
        <w:rPr>
          <w:rFonts w:cs="Arial" w:hint="cs"/>
          <w:rtl/>
        </w:rPr>
        <w:t>.</w:t>
      </w:r>
      <w:r w:rsidRPr="00217F3F">
        <w:rPr>
          <w:rFonts w:cs="Arial"/>
          <w:rtl/>
        </w:rPr>
        <w:t xml:space="preserve"> אבל אלמנה עם הבן בלבד או עם הבת בלבד אינה קודמת אלא שניהם נזונים ביחד</w:t>
      </w:r>
      <w:r w:rsidRPr="00217F3F">
        <w:rPr>
          <w:rFonts w:cs="Arial" w:hint="cs"/>
          <w:rtl/>
        </w:rPr>
        <w:t>.</w:t>
      </w:r>
      <w:r w:rsidRPr="00217F3F">
        <w:rPr>
          <w:rFonts w:cs="Arial"/>
          <w:rtl/>
        </w:rPr>
        <w:t xml:space="preserve"> וסמכו עליו רוב המפרשים ז"ל</w:t>
      </w:r>
      <w:r w:rsidRPr="00217F3F">
        <w:rPr>
          <w:rFonts w:cs="Arial" w:hint="cs"/>
          <w:rtl/>
        </w:rPr>
        <w:t>.</w:t>
      </w:r>
      <w:r w:rsidRPr="00217F3F">
        <w:rPr>
          <w:rFonts w:cs="Arial"/>
          <w:rtl/>
        </w:rPr>
        <w:t xml:space="preserve"> אבל הרמב"ם ז"ל נראה שלא סמך עליו ואף דעת הרמב"ן נוטה לו עכ"ל</w:t>
      </w:r>
      <w:r>
        <w:rPr>
          <w:rFonts w:cs="Arial" w:hint="cs"/>
          <w:sz w:val="16"/>
          <w:szCs w:val="16"/>
          <w:rtl/>
        </w:rPr>
        <w:t xml:space="preserve"> [הר"ן]</w:t>
      </w:r>
      <w:r>
        <w:rPr>
          <w:rFonts w:cs="Arial" w:hint="cs"/>
          <w:rtl/>
        </w:rPr>
        <w:t>, ב"י.</w:t>
      </w:r>
    </w:p>
  </w:footnote>
  <w:footnote w:id="1560">
    <w:p w14:paraId="37DD315B" w14:textId="4BAD62D5" w:rsidR="006D4F27" w:rsidRDefault="006D4F27">
      <w:pPr>
        <w:pStyle w:val="a5"/>
      </w:pPr>
      <w:r>
        <w:rPr>
          <w:rStyle w:val="a7"/>
        </w:rPr>
        <w:footnoteRef/>
      </w:r>
      <w:r>
        <w:rPr>
          <w:rtl/>
        </w:rPr>
        <w:t xml:space="preserve"> </w:t>
      </w:r>
      <w:r>
        <w:rPr>
          <w:rFonts w:hint="cs"/>
          <w:rtl/>
        </w:rPr>
        <w:t>סימן - קשישה לוקחת טרף. וכן - קבעו לפי טובתו</w:t>
      </w:r>
      <w:r>
        <w:rPr>
          <w:rFonts w:hint="cs"/>
          <w:sz w:val="16"/>
          <w:szCs w:val="16"/>
          <w:rtl/>
        </w:rPr>
        <w:t xml:space="preserve"> (פעם כלוקח ופעם כיורש)</w:t>
      </w:r>
      <w:r>
        <w:rPr>
          <w:rFonts w:hint="cs"/>
          <w:rtl/>
        </w:rPr>
        <w:t>.</w:t>
      </w:r>
    </w:p>
  </w:footnote>
  <w:footnote w:id="1561">
    <w:p w14:paraId="4B79F22E" w14:textId="77777777" w:rsidR="00392DBB" w:rsidRDefault="00392DBB" w:rsidP="00392DBB">
      <w:pPr>
        <w:pStyle w:val="a5"/>
      </w:pPr>
      <w:r>
        <w:rPr>
          <w:rStyle w:val="a7"/>
        </w:rPr>
        <w:footnoteRef/>
      </w:r>
      <w:r>
        <w:rPr>
          <w:rtl/>
        </w:rPr>
        <w:t xml:space="preserve"> </w:t>
      </w:r>
      <w:r w:rsidRPr="00556503">
        <w:rPr>
          <w:rFonts w:cs="Arial"/>
          <w:rtl/>
        </w:rPr>
        <w:t>והכניסה הנכסים לבעלה אלמנתו נזונת מנכסיו</w:t>
      </w:r>
      <w:r>
        <w:rPr>
          <w:rFonts w:cs="Arial" w:hint="cs"/>
          <w:rtl/>
        </w:rPr>
        <w:t>, רשב"ם.</w:t>
      </w:r>
    </w:p>
  </w:footnote>
  <w:footnote w:id="1562">
    <w:p w14:paraId="204CB331" w14:textId="77777777" w:rsidR="00392DBB" w:rsidRDefault="00392DBB" w:rsidP="00392DBB">
      <w:pPr>
        <w:pStyle w:val="a5"/>
      </w:pPr>
      <w:r>
        <w:rPr>
          <w:rStyle w:val="a7"/>
        </w:rPr>
        <w:footnoteRef/>
      </w:r>
      <w:r>
        <w:rPr>
          <w:rtl/>
        </w:rPr>
        <w:t xml:space="preserve"> </w:t>
      </w:r>
      <w:r w:rsidRPr="00556503">
        <w:rPr>
          <w:rFonts w:cs="Arial"/>
          <w:rtl/>
        </w:rPr>
        <w:t>בעל בנכסי אשתו אפילו בחייה יורש הוי משום הכי קתני נישאת הבת אלמנתו נזונת מנכסיו דאע"ג דמזון האשה והבנות לא טרפא ממשעבדי דהיינו לקוחות מיורשין מיהא גביא</w:t>
      </w:r>
      <w:r>
        <w:rPr>
          <w:rFonts w:cs="Arial" w:hint="cs"/>
          <w:rtl/>
        </w:rPr>
        <w:t>, רשב"ם.</w:t>
      </w:r>
    </w:p>
  </w:footnote>
  <w:footnote w:id="1563">
    <w:p w14:paraId="39832888" w14:textId="77777777" w:rsidR="00392DBB" w:rsidRDefault="00392DBB" w:rsidP="00392DBB">
      <w:pPr>
        <w:pStyle w:val="a5"/>
      </w:pPr>
      <w:r>
        <w:rPr>
          <w:rStyle w:val="a7"/>
        </w:rPr>
        <w:footnoteRef/>
      </w:r>
      <w:r>
        <w:rPr>
          <w:rtl/>
        </w:rPr>
        <w:t xml:space="preserve"> </w:t>
      </w:r>
      <w:r w:rsidRPr="00EB6D18">
        <w:rPr>
          <w:rFonts w:cs="Arial"/>
          <w:rtl/>
        </w:rPr>
        <w:t>ומכ"ש אלמנה לגבי בן דהבן ישאל על הפתחים ק"ו מבת ומה בת שדוחה את הבנים אלמנה דוחה אותה בנים שנדחין מפני הבת אינו דין שידחו מפני האלמנה כך נראה לפי דעת הרמב"ם</w:t>
      </w:r>
      <w:r>
        <w:rPr>
          <w:rFonts w:cs="Arial" w:hint="cs"/>
          <w:rtl/>
        </w:rPr>
        <w:t>, ח"מ (סק"ז).</w:t>
      </w:r>
    </w:p>
  </w:footnote>
  <w:footnote w:id="1564">
    <w:p w14:paraId="77B6B90D" w14:textId="77777777" w:rsidR="00392DBB" w:rsidRDefault="00392DBB" w:rsidP="00392DBB">
      <w:pPr>
        <w:pStyle w:val="a5"/>
      </w:pPr>
      <w:r>
        <w:rPr>
          <w:rStyle w:val="a7"/>
        </w:rPr>
        <w:footnoteRef/>
      </w:r>
      <w:r>
        <w:rPr>
          <w:rtl/>
        </w:rPr>
        <w:t xml:space="preserve"> </w:t>
      </w:r>
      <w:r w:rsidRPr="00EB6D18">
        <w:rPr>
          <w:rFonts w:cs="Arial"/>
          <w:rtl/>
        </w:rPr>
        <w:t>לבת יש שיעור עד דתבגר אבל לאלמנה צריך לשער עד זמן שראויה לחיות וכמ"ש הרב בהג"ה אח"ז אם לא במקום שיש תיקון עד מתי האלמנה ניזונית</w:t>
      </w:r>
      <w:r>
        <w:rPr>
          <w:rFonts w:cs="Arial" w:hint="cs"/>
          <w:rtl/>
        </w:rPr>
        <w:t>, ח"מ (סק"ח).</w:t>
      </w:r>
    </w:p>
  </w:footnote>
  <w:footnote w:id="1565">
    <w:p w14:paraId="37E62B26" w14:textId="77777777" w:rsidR="00392DBB" w:rsidRDefault="00392DBB" w:rsidP="00392DBB">
      <w:pPr>
        <w:pStyle w:val="a5"/>
        <w:rPr>
          <w:rtl/>
        </w:rPr>
      </w:pPr>
      <w:r>
        <w:rPr>
          <w:rStyle w:val="a7"/>
        </w:rPr>
        <w:footnoteRef/>
      </w:r>
      <w:r>
        <w:rPr>
          <w:rtl/>
        </w:rPr>
        <w:t xml:space="preserve"> </w:t>
      </w:r>
      <w:r w:rsidRPr="00EB6D18">
        <w:rPr>
          <w:rFonts w:cs="Arial"/>
          <w:rtl/>
        </w:rPr>
        <w:t>טעם הי"א שאין כח באלמנ' לדחות ירושה דאו</w:t>
      </w:r>
      <w:r>
        <w:rPr>
          <w:rFonts w:cs="Arial" w:hint="cs"/>
          <w:rtl/>
        </w:rPr>
        <w:t>'</w:t>
      </w:r>
      <w:r w:rsidRPr="00EB6D18">
        <w:rPr>
          <w:rFonts w:cs="Arial"/>
          <w:rtl/>
        </w:rPr>
        <w:t xml:space="preserve"> אבל כשיש שם בת ובן דהואיל וניתן כח לבת מכח התקנה לדחות הבן בנכסים מועטים שגם היא יורשת נקראת כשאין בן ואז יש כח באלמנה לדחות גם הבת הואיל ושניהם מכח התקנה אוכלין</w:t>
      </w:r>
      <w:r>
        <w:rPr>
          <w:rFonts w:hint="cs"/>
          <w:rtl/>
        </w:rPr>
        <w:t>, ח"מ (סק"ט).</w:t>
      </w:r>
    </w:p>
  </w:footnote>
  <w:footnote w:id="1566">
    <w:p w14:paraId="14121B5D" w14:textId="77777777" w:rsidR="00392DBB" w:rsidRDefault="00392DBB" w:rsidP="00392DBB">
      <w:pPr>
        <w:pStyle w:val="a5"/>
      </w:pPr>
      <w:r>
        <w:rPr>
          <w:rStyle w:val="a7"/>
        </w:rPr>
        <w:footnoteRef/>
      </w:r>
      <w:r>
        <w:rPr>
          <w:rtl/>
        </w:rPr>
        <w:t xml:space="preserve"> </w:t>
      </w:r>
      <w:r w:rsidRPr="00311F2C">
        <w:rPr>
          <w:rFonts w:cs="Arial"/>
          <w:rtl/>
        </w:rPr>
        <w:t>דין זה לא קאי לדעת הי"א דהא גמרא ערוכה היא בפרק יש נוחלין שלח רבין באיגרתיה וכו' נשאת הבת אלמנתו ניזונת מנכסיו וכו'</w:t>
      </w:r>
      <w:r>
        <w:rPr>
          <w:rFonts w:cs="Arial" w:hint="cs"/>
          <w:rtl/>
        </w:rPr>
        <w:t xml:space="preserve">, </w:t>
      </w:r>
      <w:r w:rsidRPr="00714D37">
        <w:rPr>
          <w:rFonts w:cs="Arial" w:hint="cs"/>
          <w:b/>
          <w:bCs/>
          <w:rtl/>
        </w:rPr>
        <w:t xml:space="preserve">ח"מ </w:t>
      </w:r>
      <w:r>
        <w:rPr>
          <w:rFonts w:cs="Arial" w:hint="cs"/>
          <w:rtl/>
        </w:rPr>
        <w:t>(סק"י).</w:t>
      </w:r>
      <w:r>
        <w:rPr>
          <w:rFonts w:hint="cs"/>
          <w:rtl/>
        </w:rPr>
        <w:t xml:space="preserve"> והוסיף </w:t>
      </w:r>
      <w:r w:rsidRPr="00714D37">
        <w:rPr>
          <w:rFonts w:hint="cs"/>
          <w:b/>
          <w:bCs/>
          <w:rtl/>
        </w:rPr>
        <w:t>הב"ש</w:t>
      </w:r>
      <w:r>
        <w:rPr>
          <w:rFonts w:hint="cs"/>
          <w:rtl/>
        </w:rPr>
        <w:t xml:space="preserve"> (סק"י) </w:t>
      </w:r>
      <w:r w:rsidRPr="00CD5EDE">
        <w:rPr>
          <w:rFonts w:cs="Arial"/>
          <w:rtl/>
        </w:rPr>
        <w:t xml:space="preserve">בשם מהרי"ק </w:t>
      </w:r>
      <w:r>
        <w:rPr>
          <w:rFonts w:cs="Arial" w:hint="cs"/>
          <w:rtl/>
        </w:rPr>
        <w:t>ד</w:t>
      </w:r>
      <w:r w:rsidRPr="00CD5EDE">
        <w:rPr>
          <w:rFonts w:cs="Arial"/>
          <w:rtl/>
        </w:rPr>
        <w:t>כל הסוגיא שם איירי בנ"מ</w:t>
      </w:r>
      <w:r>
        <w:rPr>
          <w:rFonts w:cs="Arial" w:hint="cs"/>
          <w:rtl/>
        </w:rPr>
        <w:t>,</w:t>
      </w:r>
      <w:r w:rsidRPr="00CD5EDE">
        <w:rPr>
          <w:rFonts w:cs="Arial"/>
          <w:rtl/>
        </w:rPr>
        <w:t xml:space="preserve"> אבל בנצ"ב הוא לוקח גמור ואין מוציאים מן הבעל</w:t>
      </w:r>
      <w:r>
        <w:rPr>
          <w:rFonts w:cs="Arial" w:hint="cs"/>
          <w:rtl/>
        </w:rPr>
        <w:t>.</w:t>
      </w:r>
      <w:r w:rsidRPr="00CD5EDE">
        <w:rPr>
          <w:rFonts w:cs="Arial"/>
          <w:rtl/>
        </w:rPr>
        <w:t xml:space="preserve"> </w:t>
      </w:r>
      <w:r>
        <w:rPr>
          <w:rFonts w:cs="Arial" w:hint="cs"/>
          <w:rtl/>
        </w:rPr>
        <w:t>ו</w:t>
      </w:r>
      <w:r w:rsidRPr="00CD5EDE">
        <w:rPr>
          <w:rFonts w:cs="Arial"/>
          <w:rtl/>
        </w:rPr>
        <w:t xml:space="preserve">אע"ג </w:t>
      </w:r>
      <w:r>
        <w:rPr>
          <w:rFonts w:cs="Arial" w:hint="cs"/>
          <w:rtl/>
        </w:rPr>
        <w:t>ד</w:t>
      </w:r>
      <w:r w:rsidRPr="00CD5EDE">
        <w:rPr>
          <w:rFonts w:cs="Arial"/>
          <w:rtl/>
        </w:rPr>
        <w:t>אם הכניסה דבר שאינה שלה בתורת נצ"ב צריך להחזיר כמ"ש בס"ס צ"א</w:t>
      </w:r>
      <w:r>
        <w:rPr>
          <w:rFonts w:cs="Arial" w:hint="cs"/>
          <w:rtl/>
        </w:rPr>
        <w:t>,</w:t>
      </w:r>
      <w:r w:rsidRPr="00CD5EDE">
        <w:rPr>
          <w:rFonts w:cs="Arial"/>
          <w:rtl/>
        </w:rPr>
        <w:t xml:space="preserve"> היינו משום דהוי כגזל</w:t>
      </w:r>
      <w:r>
        <w:rPr>
          <w:rFonts w:cs="Arial" w:hint="cs"/>
          <w:rtl/>
        </w:rPr>
        <w:t>,</w:t>
      </w:r>
      <w:r w:rsidRPr="00CD5EDE">
        <w:rPr>
          <w:rFonts w:cs="Arial"/>
          <w:rtl/>
        </w:rPr>
        <w:t xml:space="preserve"> אבל כאן מזונות אלמנה ליתא אלא חיוב ואין מוציאים</w:t>
      </w:r>
      <w:r>
        <w:rPr>
          <w:rFonts w:cs="Arial" w:hint="cs"/>
          <w:rtl/>
        </w:rPr>
        <w:t>.</w:t>
      </w:r>
      <w:r w:rsidRPr="00CD5EDE">
        <w:rPr>
          <w:rFonts w:cs="Arial"/>
          <w:rtl/>
        </w:rPr>
        <w:t xml:space="preserve"> ואי</w:t>
      </w:r>
      <w:r>
        <w:rPr>
          <w:rFonts w:cs="Arial" w:hint="cs"/>
          <w:rtl/>
        </w:rPr>
        <w:t>ני יודע</w:t>
      </w:r>
      <w:r w:rsidRPr="00CD5EDE">
        <w:rPr>
          <w:rFonts w:cs="Arial"/>
          <w:rtl/>
        </w:rPr>
        <w:t xml:space="preserve"> למה לא פירשו כל האחרונים דאיירי בנ"מ</w:t>
      </w:r>
      <w:r>
        <w:rPr>
          <w:rFonts w:cs="Arial" w:hint="cs"/>
          <w:rtl/>
        </w:rPr>
        <w:t>.</w:t>
      </w:r>
    </w:p>
  </w:footnote>
  <w:footnote w:id="1567">
    <w:p w14:paraId="7F1F546C" w14:textId="6A7945BE" w:rsidR="00537038" w:rsidRDefault="00537038">
      <w:pPr>
        <w:pStyle w:val="a5"/>
      </w:pPr>
      <w:r>
        <w:rPr>
          <w:rStyle w:val="a7"/>
        </w:rPr>
        <w:footnoteRef/>
      </w:r>
      <w:r>
        <w:rPr>
          <w:rtl/>
        </w:rPr>
        <w:t xml:space="preserve"> </w:t>
      </w:r>
      <w:r>
        <w:rPr>
          <w:rFonts w:hint="cs"/>
          <w:rtl/>
        </w:rPr>
        <w:t>סימן - דרשה, נגמר. וכן - ניזונת דורשת. וכן - ניזונת די.</w:t>
      </w:r>
    </w:p>
  </w:footnote>
  <w:footnote w:id="1568">
    <w:p w14:paraId="4A3CD7A4" w14:textId="6DA2857F" w:rsidR="00F96609" w:rsidRDefault="00F96609" w:rsidP="00F96609">
      <w:pPr>
        <w:pStyle w:val="a5"/>
        <w:rPr>
          <w:rtl/>
        </w:rPr>
      </w:pPr>
      <w:r>
        <w:rPr>
          <w:rStyle w:val="a7"/>
        </w:rPr>
        <w:footnoteRef/>
      </w:r>
      <w:r>
        <w:rPr>
          <w:rtl/>
        </w:rPr>
        <w:t xml:space="preserve"> </w:t>
      </w:r>
      <w:r w:rsidRPr="00C94C46">
        <w:rPr>
          <w:rFonts w:cs="Arial"/>
          <w:rtl/>
        </w:rPr>
        <w:t>ובהגהות אלפסי (ע"א סוף פרק נערה</w:t>
      </w:r>
      <w:r>
        <w:rPr>
          <w:rFonts w:cs="Arial" w:hint="cs"/>
          <w:rtl/>
        </w:rPr>
        <w:t>)</w:t>
      </w:r>
      <w:r w:rsidRPr="00C94C46">
        <w:rPr>
          <w:rFonts w:cs="Arial"/>
          <w:rtl/>
        </w:rPr>
        <w:t xml:space="preserve"> אלמנה שבאת לבית דין ונשבעת שבועת אלמנה לא מיקרי תובעת כתובתה ולא אבדה מזונות</w:t>
      </w:r>
      <w:r>
        <w:rPr>
          <w:rFonts w:cs="Arial" w:hint="cs"/>
          <w:rtl/>
        </w:rPr>
        <w:t>.</w:t>
      </w:r>
      <w:r w:rsidRPr="00C94C46">
        <w:rPr>
          <w:rFonts w:cs="Arial"/>
          <w:rtl/>
        </w:rPr>
        <w:t xml:space="preserve"> וכן משמע בהר"ן פרק אלמנה נזונת (נז. ד"ה גמ'), ועיין עוד מזה לקמן סימן צ"ט</w:t>
      </w:r>
      <w:r>
        <w:rPr>
          <w:rFonts w:cs="Arial" w:hint="cs"/>
          <w:rtl/>
        </w:rPr>
        <w:t>, דרכ"מ (אות ה).</w:t>
      </w:r>
      <w:r w:rsidR="00C0043E">
        <w:rPr>
          <w:rFonts w:hint="cs"/>
          <w:rtl/>
        </w:rPr>
        <w:t xml:space="preserve"> </w:t>
      </w:r>
      <w:r w:rsidR="00C0043E" w:rsidRPr="00C0043E">
        <w:rPr>
          <w:rFonts w:hint="cs"/>
          <w:color w:val="00B0F0"/>
          <w:rtl/>
        </w:rPr>
        <w:t>(וכ"פ בהג"ה)</w:t>
      </w:r>
    </w:p>
  </w:footnote>
  <w:footnote w:id="1569">
    <w:p w14:paraId="68D7584A" w14:textId="367521B8" w:rsidR="00CD700A" w:rsidRDefault="00CD700A">
      <w:pPr>
        <w:pStyle w:val="a5"/>
      </w:pPr>
      <w:r>
        <w:rPr>
          <w:rStyle w:val="a7"/>
        </w:rPr>
        <w:footnoteRef/>
      </w:r>
      <w:r>
        <w:rPr>
          <w:rtl/>
        </w:rPr>
        <w:t xml:space="preserve"> </w:t>
      </w:r>
      <w:r w:rsidRPr="001A0B50">
        <w:rPr>
          <w:rFonts w:cs="Arial"/>
          <w:rtl/>
        </w:rPr>
        <w:t>היינו אם פרעו</w:t>
      </w:r>
      <w:r>
        <w:rPr>
          <w:rFonts w:cs="Arial" w:hint="cs"/>
          <w:rtl/>
        </w:rPr>
        <w:t>ה</w:t>
      </w:r>
      <w:r w:rsidRPr="001A0B50">
        <w:rPr>
          <w:rFonts w:cs="Arial"/>
          <w:rtl/>
        </w:rPr>
        <w:t xml:space="preserve"> אח"כ אז למפרע מיום התביע</w:t>
      </w:r>
      <w:r>
        <w:rPr>
          <w:rFonts w:cs="Arial" w:hint="cs"/>
          <w:rtl/>
        </w:rPr>
        <w:t>ה</w:t>
      </w:r>
      <w:r w:rsidRPr="001A0B50">
        <w:rPr>
          <w:rFonts w:cs="Arial"/>
          <w:rtl/>
        </w:rPr>
        <w:t xml:space="preserve"> אין לה מזונו</w:t>
      </w:r>
      <w:r>
        <w:rPr>
          <w:rFonts w:cs="Arial" w:hint="cs"/>
          <w:rtl/>
        </w:rPr>
        <w:t>ת,</w:t>
      </w:r>
      <w:r w:rsidRPr="001A0B50">
        <w:rPr>
          <w:rFonts w:cs="Arial"/>
          <w:rtl/>
        </w:rPr>
        <w:t xml:space="preserve"> אבל אם אין להם לשלם או שאינן רוצי</w:t>
      </w:r>
      <w:r>
        <w:rPr>
          <w:rFonts w:cs="Arial" w:hint="cs"/>
          <w:rtl/>
        </w:rPr>
        <w:t>ם</w:t>
      </w:r>
      <w:r w:rsidRPr="001A0B50">
        <w:rPr>
          <w:rFonts w:cs="Arial"/>
          <w:rtl/>
        </w:rPr>
        <w:t xml:space="preserve"> לשלם יש לה מזונו</w:t>
      </w:r>
      <w:r>
        <w:rPr>
          <w:rFonts w:cs="Arial" w:hint="cs"/>
          <w:rtl/>
        </w:rPr>
        <w:t>ת,</w:t>
      </w:r>
      <w:r w:rsidRPr="001A0B50">
        <w:rPr>
          <w:rFonts w:cs="Arial"/>
          <w:rtl/>
        </w:rPr>
        <w:t xml:space="preserve"> ועיין תשו' רש"ך </w:t>
      </w:r>
      <w:r>
        <w:rPr>
          <w:rFonts w:cs="Arial" w:hint="cs"/>
          <w:rtl/>
        </w:rPr>
        <w:t>(</w:t>
      </w:r>
      <w:r w:rsidRPr="001A0B50">
        <w:rPr>
          <w:rFonts w:cs="Arial"/>
          <w:rtl/>
        </w:rPr>
        <w:t>סי' רד</w:t>
      </w:r>
      <w:r>
        <w:rPr>
          <w:rFonts w:cs="Arial" w:hint="cs"/>
          <w:rtl/>
        </w:rPr>
        <w:t xml:space="preserve">), </w:t>
      </w:r>
      <w:r w:rsidRPr="00CD700A">
        <w:rPr>
          <w:rFonts w:cs="Arial" w:hint="cs"/>
          <w:b/>
          <w:bCs/>
          <w:rtl/>
        </w:rPr>
        <w:t>ב"ש</w:t>
      </w:r>
      <w:r>
        <w:rPr>
          <w:rFonts w:cs="Arial" w:hint="cs"/>
          <w:rtl/>
        </w:rPr>
        <w:t xml:space="preserve"> (סקי"ג).</w:t>
      </w:r>
      <w:r w:rsidRPr="001A0B50">
        <w:rPr>
          <w:rFonts w:cs="Arial"/>
          <w:rtl/>
        </w:rPr>
        <w:t xml:space="preserve"> </w:t>
      </w:r>
      <w:r>
        <w:rPr>
          <w:rFonts w:cs="Arial" w:hint="cs"/>
          <w:rtl/>
        </w:rPr>
        <w:t xml:space="preserve">     </w:t>
      </w:r>
      <w:r>
        <w:rPr>
          <w:rFonts w:cs="Arial"/>
          <w:rtl/>
        </w:rPr>
        <w:t xml:space="preserve">ועיין בס' קרבן נתנאל </w:t>
      </w:r>
      <w:r>
        <w:rPr>
          <w:rFonts w:cs="Arial" w:hint="cs"/>
          <w:rtl/>
        </w:rPr>
        <w:t>(</w:t>
      </w:r>
      <w:r>
        <w:rPr>
          <w:rFonts w:cs="Arial"/>
          <w:rtl/>
        </w:rPr>
        <w:t>פ"ד דכתובות אות ל"א</w:t>
      </w:r>
      <w:r>
        <w:rPr>
          <w:rFonts w:cs="Arial" w:hint="cs"/>
          <w:rtl/>
        </w:rPr>
        <w:t>)</w:t>
      </w:r>
      <w:r>
        <w:rPr>
          <w:rFonts w:cs="Arial"/>
          <w:rtl/>
        </w:rPr>
        <w:t xml:space="preserve"> שכ</w:t>
      </w:r>
      <w:r>
        <w:rPr>
          <w:rFonts w:cs="Arial" w:hint="cs"/>
          <w:rtl/>
        </w:rPr>
        <w:t>תב</w:t>
      </w:r>
      <w:r>
        <w:rPr>
          <w:rFonts w:cs="Arial"/>
          <w:rtl/>
        </w:rPr>
        <w:t xml:space="preserve"> עליו</w:t>
      </w:r>
      <w:r>
        <w:rPr>
          <w:rFonts w:cs="Arial" w:hint="cs"/>
          <w:rtl/>
        </w:rPr>
        <w:t>:</w:t>
      </w:r>
      <w:r>
        <w:rPr>
          <w:rFonts w:cs="Arial"/>
          <w:rtl/>
        </w:rPr>
        <w:t xml:space="preserve"> </w:t>
      </w:r>
      <w:r>
        <w:rPr>
          <w:rFonts w:cs="Arial" w:hint="cs"/>
          <w:rtl/>
        </w:rPr>
        <w:t xml:space="preserve">אין </w:t>
      </w:r>
      <w:r>
        <w:rPr>
          <w:rFonts w:cs="Arial"/>
          <w:rtl/>
        </w:rPr>
        <w:t>דבריו נראים להלכה</w:t>
      </w:r>
      <w:r>
        <w:rPr>
          <w:rFonts w:cs="Arial" w:hint="cs"/>
          <w:rtl/>
        </w:rPr>
        <w:t>,</w:t>
      </w:r>
      <w:r>
        <w:rPr>
          <w:rFonts w:cs="Arial"/>
          <w:rtl/>
        </w:rPr>
        <w:t xml:space="preserve"> דהא בהך איתתא דאתיא קמי' דרבה בר"ה בפ' השולח לא פרעו לה כתובת</w:t>
      </w:r>
      <w:r>
        <w:rPr>
          <w:rFonts w:cs="Arial" w:hint="cs"/>
          <w:rtl/>
        </w:rPr>
        <w:t>ה</w:t>
      </w:r>
      <w:r>
        <w:rPr>
          <w:rFonts w:cs="Arial"/>
          <w:rtl/>
        </w:rPr>
        <w:t xml:space="preserve"> ומ"מ אין לה מזונות משעת תביע</w:t>
      </w:r>
      <w:r>
        <w:rPr>
          <w:rFonts w:cs="Arial" w:hint="cs"/>
          <w:rtl/>
        </w:rPr>
        <w:t>ה,</w:t>
      </w:r>
      <w:r>
        <w:rPr>
          <w:rFonts w:cs="Arial"/>
          <w:rtl/>
        </w:rPr>
        <w:t xml:space="preserve"> וכמו שפירש"י</w:t>
      </w:r>
      <w:r>
        <w:rPr>
          <w:rFonts w:cs="Arial" w:hint="cs"/>
          <w:rtl/>
        </w:rPr>
        <w:t>,</w:t>
      </w:r>
      <w:r>
        <w:rPr>
          <w:rFonts w:cs="Arial"/>
          <w:rtl/>
        </w:rPr>
        <w:t xml:space="preserve"> דגליא דעתה דבעי לאינסובא ואיהו לא אתני בהד</w:t>
      </w:r>
      <w:r>
        <w:rPr>
          <w:rFonts w:cs="Arial" w:hint="cs"/>
          <w:rtl/>
        </w:rPr>
        <w:t>ה</w:t>
      </w:r>
      <w:r>
        <w:rPr>
          <w:rFonts w:cs="Arial"/>
          <w:rtl/>
        </w:rPr>
        <w:t xml:space="preserve"> אלא כל ימי מיגר ארמלותיך בביתי שהיא אלמנה בשביל כבודו</w:t>
      </w:r>
      <w:r>
        <w:rPr>
          <w:rFonts w:cs="Arial" w:hint="cs"/>
          <w:rtl/>
        </w:rPr>
        <w:t>,</w:t>
      </w:r>
      <w:r>
        <w:rPr>
          <w:rFonts w:cs="Arial"/>
          <w:rtl/>
        </w:rPr>
        <w:t xml:space="preserve"> א"כ מעתה בנד"ז אף אם אין להם או אינם רוצים לשלם מ"מ היא סברה בדעת</w:t>
      </w:r>
      <w:r>
        <w:rPr>
          <w:rFonts w:cs="Arial" w:hint="cs"/>
          <w:rtl/>
        </w:rPr>
        <w:t>ה</w:t>
      </w:r>
      <w:r>
        <w:rPr>
          <w:rFonts w:cs="Arial"/>
          <w:rtl/>
        </w:rPr>
        <w:t xml:space="preserve"> שיגיע לה פרעון כתובתה ע"י תביע</w:t>
      </w:r>
      <w:r>
        <w:rPr>
          <w:rFonts w:cs="Arial" w:hint="cs"/>
          <w:rtl/>
        </w:rPr>
        <w:t>ה</w:t>
      </w:r>
      <w:r>
        <w:rPr>
          <w:rFonts w:cs="Arial"/>
          <w:rtl/>
        </w:rPr>
        <w:t xml:space="preserve"> בב"ד וגלת</w:t>
      </w:r>
      <w:r>
        <w:rPr>
          <w:rFonts w:cs="Arial" w:hint="cs"/>
          <w:rtl/>
        </w:rPr>
        <w:t>ה</w:t>
      </w:r>
      <w:r>
        <w:rPr>
          <w:rFonts w:cs="Arial"/>
          <w:rtl/>
        </w:rPr>
        <w:t xml:space="preserve"> דעתה דבעיא לאינסובי ולא חשה לכבודו </w:t>
      </w:r>
      <w:r>
        <w:rPr>
          <w:rFonts w:cs="Arial" w:hint="cs"/>
          <w:rtl/>
        </w:rPr>
        <w:t xml:space="preserve">- </w:t>
      </w:r>
      <w:r>
        <w:rPr>
          <w:rFonts w:cs="Arial"/>
          <w:rtl/>
        </w:rPr>
        <w:t>אבדה מזונותי</w:t>
      </w:r>
      <w:r>
        <w:rPr>
          <w:rFonts w:cs="Arial" w:hint="cs"/>
          <w:rtl/>
        </w:rPr>
        <w:t>ה,</w:t>
      </w:r>
      <w:r>
        <w:rPr>
          <w:rFonts w:cs="Arial"/>
          <w:rtl/>
        </w:rPr>
        <w:t xml:space="preserve"> וזה ברור לדעתי עכ"ל. גם בס' ישועות יעקב </w:t>
      </w:r>
      <w:r>
        <w:rPr>
          <w:rFonts w:cs="Arial" w:hint="cs"/>
          <w:rtl/>
        </w:rPr>
        <w:t>(</w:t>
      </w:r>
      <w:r>
        <w:rPr>
          <w:rFonts w:cs="Arial"/>
          <w:rtl/>
        </w:rPr>
        <w:t>סק"ג</w:t>
      </w:r>
      <w:r>
        <w:rPr>
          <w:rFonts w:cs="Arial" w:hint="cs"/>
          <w:rtl/>
        </w:rPr>
        <w:t>)</w:t>
      </w:r>
      <w:r>
        <w:rPr>
          <w:rFonts w:cs="Arial"/>
          <w:rtl/>
        </w:rPr>
        <w:t xml:space="preserve"> חולק על הב"ש בזה ע"ש</w:t>
      </w:r>
      <w:r>
        <w:rPr>
          <w:rFonts w:cs="Arial" w:hint="cs"/>
          <w:rtl/>
        </w:rPr>
        <w:t xml:space="preserve">, </w:t>
      </w:r>
      <w:r w:rsidRPr="00CD700A">
        <w:rPr>
          <w:rFonts w:cs="Arial" w:hint="cs"/>
          <w:b/>
          <w:bCs/>
          <w:rtl/>
        </w:rPr>
        <w:t>פת"ש</w:t>
      </w:r>
      <w:r>
        <w:rPr>
          <w:rFonts w:cs="Arial" w:hint="cs"/>
          <w:rtl/>
        </w:rPr>
        <w:t xml:space="preserve"> (סק"ז).</w:t>
      </w:r>
    </w:p>
  </w:footnote>
  <w:footnote w:id="1570">
    <w:p w14:paraId="3A286891" w14:textId="39E8FCA4" w:rsidR="00537038" w:rsidRDefault="00537038">
      <w:pPr>
        <w:pStyle w:val="a5"/>
      </w:pPr>
      <w:r>
        <w:rPr>
          <w:rStyle w:val="a7"/>
        </w:rPr>
        <w:footnoteRef/>
      </w:r>
      <w:r>
        <w:rPr>
          <w:rtl/>
        </w:rPr>
        <w:t xml:space="preserve"> </w:t>
      </w:r>
      <w:r>
        <w:rPr>
          <w:rFonts w:hint="cs"/>
          <w:rtl/>
        </w:rPr>
        <w:t>סימן - ניזונת די.</w:t>
      </w:r>
    </w:p>
  </w:footnote>
  <w:footnote w:id="1571">
    <w:p w14:paraId="593D9C9D" w14:textId="77777777" w:rsidR="00D47568" w:rsidRDefault="00D47568" w:rsidP="00D47568">
      <w:pPr>
        <w:pStyle w:val="a5"/>
        <w:rPr>
          <w:rtl/>
        </w:rPr>
      </w:pPr>
      <w:r>
        <w:rPr>
          <w:rStyle w:val="a7"/>
        </w:rPr>
        <w:footnoteRef/>
      </w:r>
      <w:r>
        <w:rPr>
          <w:rtl/>
        </w:rPr>
        <w:t xml:space="preserve"> </w:t>
      </w:r>
      <w:r w:rsidRPr="00F825D3">
        <w:rPr>
          <w:rFonts w:cs="Arial"/>
          <w:rtl/>
        </w:rPr>
        <w:t>בתמיה ואפילו אין העכבה מחמת כבוד בעלה אלא שלא היה תובעה הגון לה</w:t>
      </w:r>
      <w:r>
        <w:rPr>
          <w:rFonts w:hint="cs"/>
          <w:rtl/>
        </w:rPr>
        <w:t>, רש"י.</w:t>
      </w:r>
    </w:p>
  </w:footnote>
  <w:footnote w:id="1572">
    <w:p w14:paraId="2BAE2394" w14:textId="77777777" w:rsidR="00D47568" w:rsidRDefault="00D47568" w:rsidP="00D47568">
      <w:pPr>
        <w:pStyle w:val="a5"/>
        <w:rPr>
          <w:rtl/>
        </w:rPr>
      </w:pPr>
      <w:r>
        <w:rPr>
          <w:rStyle w:val="a7"/>
        </w:rPr>
        <w:footnoteRef/>
      </w:r>
      <w:r>
        <w:rPr>
          <w:rtl/>
        </w:rPr>
        <w:t xml:space="preserve"> </w:t>
      </w:r>
      <w:r w:rsidRPr="00EE18D0">
        <w:rPr>
          <w:rFonts w:cs="Arial"/>
          <w:rtl/>
        </w:rPr>
        <w:t>גליא דעתה דלא מחמת כבוד בעלה מעכבת לינשא</w:t>
      </w:r>
      <w:r>
        <w:rPr>
          <w:rFonts w:hint="cs"/>
          <w:rtl/>
        </w:rPr>
        <w:t>, רש"י.</w:t>
      </w:r>
    </w:p>
  </w:footnote>
  <w:footnote w:id="1573">
    <w:p w14:paraId="62CD8F42" w14:textId="46A35713" w:rsidR="008A2B2C" w:rsidRDefault="008A2B2C">
      <w:pPr>
        <w:pStyle w:val="a5"/>
        <w:rPr>
          <w:rtl/>
        </w:rPr>
      </w:pPr>
      <w:r>
        <w:rPr>
          <w:rStyle w:val="a7"/>
        </w:rPr>
        <w:footnoteRef/>
      </w:r>
      <w:r>
        <w:rPr>
          <w:rtl/>
        </w:rPr>
        <w:t xml:space="preserve"> </w:t>
      </w:r>
      <w:r>
        <w:rPr>
          <w:rFonts w:cs="Arial"/>
          <w:rtl/>
        </w:rPr>
        <w:t>וכתב ה</w:t>
      </w:r>
      <w:r w:rsidR="009B508F">
        <w:rPr>
          <w:rFonts w:cs="Arial" w:hint="cs"/>
          <w:rtl/>
        </w:rPr>
        <w:t>ה"מ</w:t>
      </w:r>
      <w:r>
        <w:rPr>
          <w:rFonts w:cs="Arial"/>
          <w:rtl/>
        </w:rPr>
        <w:t xml:space="preserve"> שהוא פשוט</w:t>
      </w:r>
      <w:r>
        <w:rPr>
          <w:rFonts w:cs="Arial" w:hint="cs"/>
          <w:rtl/>
        </w:rPr>
        <w:t>,</w:t>
      </w:r>
      <w:r>
        <w:rPr>
          <w:rFonts w:cs="Arial"/>
          <w:rtl/>
        </w:rPr>
        <w:t xml:space="preserve"> שהרי תנאי במזונות אינו אלא משך ימי אלמנותה</w:t>
      </w:r>
      <w:r>
        <w:rPr>
          <w:rFonts w:cs="Arial" w:hint="cs"/>
          <w:rtl/>
        </w:rPr>
        <w:t>,</w:t>
      </w:r>
      <w:r>
        <w:rPr>
          <w:rFonts w:cs="Arial"/>
          <w:rtl/>
        </w:rPr>
        <w:t xml:space="preserve"> וכיון שנתארסה אשת איש נקראת ולא אלמנה. ולפי דבריו אם שידכה עצמה עדיין יש לה מזונות</w:t>
      </w:r>
      <w:r>
        <w:rPr>
          <w:rFonts w:cs="Arial" w:hint="cs"/>
          <w:rtl/>
        </w:rPr>
        <w:t>,</w:t>
      </w:r>
      <w:r>
        <w:rPr>
          <w:rFonts w:cs="Arial"/>
          <w:rtl/>
        </w:rPr>
        <w:t xml:space="preserve"> דמשודכת אינה נקראת אשת איש</w:t>
      </w:r>
      <w:r>
        <w:rPr>
          <w:rFonts w:cs="Arial" w:hint="cs"/>
          <w:rtl/>
        </w:rPr>
        <w:t>.</w:t>
      </w:r>
      <w:r>
        <w:rPr>
          <w:rFonts w:cs="Arial"/>
          <w:rtl/>
        </w:rPr>
        <w:t xml:space="preserve"> וזה דבר תימא דכיון ששידכה עצמה לאחר כבר הפקיעה מעליה כבוד בעלה הראשון</w:t>
      </w:r>
      <w:r>
        <w:rPr>
          <w:rFonts w:cs="Arial" w:hint="cs"/>
          <w:rtl/>
        </w:rPr>
        <w:t>,</w:t>
      </w:r>
      <w:r>
        <w:rPr>
          <w:rFonts w:cs="Arial"/>
          <w:rtl/>
        </w:rPr>
        <w:t xml:space="preserve"> ואיך יתכן שתהיה נזונת מנכסיו</w:t>
      </w:r>
      <w:r>
        <w:rPr>
          <w:rFonts w:cs="Arial" w:hint="cs"/>
          <w:rtl/>
        </w:rPr>
        <w:t>.</w:t>
      </w:r>
      <w:r>
        <w:rPr>
          <w:rFonts w:cs="Arial"/>
          <w:rtl/>
        </w:rPr>
        <w:t xml:space="preserve"> לכך נראה לי דאע</w:t>
      </w:r>
      <w:r>
        <w:rPr>
          <w:rFonts w:cs="Arial" w:hint="cs"/>
          <w:rtl/>
        </w:rPr>
        <w:t>"</w:t>
      </w:r>
      <w:r>
        <w:rPr>
          <w:rFonts w:cs="Arial"/>
          <w:rtl/>
        </w:rPr>
        <w:t>ג דבדוכתי אחריני לא קרי ארוסה אלא למקודשת</w:t>
      </w:r>
      <w:r>
        <w:rPr>
          <w:rFonts w:cs="Arial" w:hint="cs"/>
          <w:rtl/>
        </w:rPr>
        <w:t>,</w:t>
      </w:r>
      <w:r>
        <w:rPr>
          <w:rFonts w:cs="Arial"/>
          <w:rtl/>
        </w:rPr>
        <w:t xml:space="preserve"> הכא למשודכת קרי ארוסה דימי אלמנותיך משמע כל זמן ששם בעלה הראשון נקרא עליה שאומרים זו אלמנתו של פלוני</w:t>
      </w:r>
      <w:r>
        <w:rPr>
          <w:rFonts w:cs="Arial" w:hint="cs"/>
          <w:rtl/>
        </w:rPr>
        <w:t>,</w:t>
      </w:r>
      <w:r>
        <w:rPr>
          <w:rFonts w:cs="Arial"/>
          <w:rtl/>
        </w:rPr>
        <w:t xml:space="preserve"> אבל כיון ששידכה עצמה לאחר אין שם בעלה הראשון נקרא עליה שאינה נקראת אלא משודכתו של פלוני</w:t>
      </w:r>
      <w:r>
        <w:rPr>
          <w:rFonts w:cs="Arial" w:hint="cs"/>
          <w:rtl/>
        </w:rPr>
        <w:t>, ב"י.</w:t>
      </w:r>
      <w:r w:rsidRPr="008A2B2C">
        <w:rPr>
          <w:rFonts w:hint="cs"/>
          <w:color w:val="00B0F0"/>
          <w:rtl/>
        </w:rPr>
        <w:t xml:space="preserve"> (וכ"</w:t>
      </w:r>
      <w:r>
        <w:rPr>
          <w:rFonts w:hint="cs"/>
          <w:color w:val="00B0F0"/>
          <w:rtl/>
        </w:rPr>
        <w:t>כ</w:t>
      </w:r>
      <w:r w:rsidRPr="008A2B2C">
        <w:rPr>
          <w:rFonts w:hint="cs"/>
          <w:color w:val="00B0F0"/>
          <w:rtl/>
        </w:rPr>
        <w:t xml:space="preserve"> הרמ"א)</w:t>
      </w:r>
    </w:p>
  </w:footnote>
  <w:footnote w:id="1574">
    <w:p w14:paraId="44CEB451" w14:textId="77777777" w:rsidR="00420937" w:rsidRDefault="00420937" w:rsidP="00420937">
      <w:pPr>
        <w:pStyle w:val="a5"/>
        <w:rPr>
          <w:rtl/>
        </w:rPr>
      </w:pPr>
      <w:r>
        <w:rPr>
          <w:rStyle w:val="a7"/>
        </w:rPr>
        <w:footnoteRef/>
      </w:r>
      <w:r>
        <w:rPr>
          <w:rtl/>
        </w:rPr>
        <w:t xml:space="preserve"> </w:t>
      </w:r>
      <w:r w:rsidRPr="003A36A1">
        <w:rPr>
          <w:rFonts w:cs="Arial"/>
          <w:rtl/>
        </w:rPr>
        <w:t>קרקע המיוחדת לכתובתה עשתה אפותיקי לבעל חוב שלה</w:t>
      </w:r>
      <w:r>
        <w:rPr>
          <w:rFonts w:hint="cs"/>
          <w:rtl/>
        </w:rPr>
        <w:t>, רש"י.</w:t>
      </w:r>
    </w:p>
  </w:footnote>
  <w:footnote w:id="1575">
    <w:p w14:paraId="06A406A4" w14:textId="1987A1AF" w:rsidR="00902604" w:rsidRDefault="00902604">
      <w:pPr>
        <w:pStyle w:val="a5"/>
      </w:pPr>
      <w:r>
        <w:rPr>
          <w:rStyle w:val="a7"/>
        </w:rPr>
        <w:footnoteRef/>
      </w:r>
      <w:r>
        <w:rPr>
          <w:rtl/>
        </w:rPr>
        <w:t xml:space="preserve"> </w:t>
      </w:r>
      <w:r>
        <w:rPr>
          <w:rFonts w:cs="Arial"/>
          <w:rtl/>
        </w:rPr>
        <w:t>פירש רש"י (נג.) אין לה מזונות באלמנותה דתנאי כתובה ככתובה עכ"ל</w:t>
      </w:r>
      <w:r>
        <w:rPr>
          <w:rFonts w:cs="Arial" w:hint="cs"/>
          <w:rtl/>
        </w:rPr>
        <w:t>,</w:t>
      </w:r>
      <w:r>
        <w:rPr>
          <w:rFonts w:cs="Arial"/>
          <w:rtl/>
        </w:rPr>
        <w:t xml:space="preserve"> וטעמא משום דבחייו לאו תנאי כתובה נינהו</w:t>
      </w:r>
      <w:r>
        <w:rPr>
          <w:rFonts w:cs="Arial" w:hint="cs"/>
          <w:rtl/>
        </w:rPr>
        <w:t>,</w:t>
      </w:r>
      <w:r>
        <w:rPr>
          <w:rFonts w:cs="Arial"/>
          <w:rtl/>
        </w:rPr>
        <w:t xml:space="preserve"> דהא תקנו מזונות תחת מעשה ידיה</w:t>
      </w:r>
      <w:r>
        <w:rPr>
          <w:rFonts w:cs="Arial" w:hint="cs"/>
          <w:rtl/>
        </w:rPr>
        <w:t>, ב"י.</w:t>
      </w:r>
    </w:p>
  </w:footnote>
  <w:footnote w:id="1576">
    <w:p w14:paraId="30B5048D" w14:textId="43CC1122" w:rsidR="00067B0B" w:rsidRDefault="00067B0B">
      <w:pPr>
        <w:pStyle w:val="a5"/>
      </w:pPr>
      <w:r>
        <w:rPr>
          <w:rStyle w:val="a7"/>
        </w:rPr>
        <w:footnoteRef/>
      </w:r>
      <w:r>
        <w:rPr>
          <w:rtl/>
        </w:rPr>
        <w:t xml:space="preserve"> </w:t>
      </w:r>
      <w:r>
        <w:rPr>
          <w:rFonts w:hint="cs"/>
          <w:rtl/>
        </w:rPr>
        <w:t>וכתבו הה"מ (שם) והטור (סי' קה ס"ד) שנראה מדבריו שהפסידה מזונות גם בחיי בעלה.</w:t>
      </w:r>
    </w:p>
  </w:footnote>
  <w:footnote w:id="1577">
    <w:p w14:paraId="05672A93" w14:textId="57AF8628" w:rsidR="00104786" w:rsidRDefault="00104786">
      <w:pPr>
        <w:pStyle w:val="a5"/>
        <w:rPr>
          <w:rtl/>
        </w:rPr>
      </w:pPr>
      <w:r>
        <w:rPr>
          <w:rStyle w:val="a7"/>
        </w:rPr>
        <w:footnoteRef/>
      </w:r>
      <w:r>
        <w:rPr>
          <w:rtl/>
        </w:rPr>
        <w:t xml:space="preserve"> </w:t>
      </w:r>
      <w:r w:rsidRPr="0013407E">
        <w:rPr>
          <w:rFonts w:cs="Arial"/>
          <w:rtl/>
        </w:rPr>
        <w:t>ולפי מה שכתבתי (קלז: ד"ה ומ"ש מחלה) שהסכמת גדולי המורים לפסוק הלכה כרבי אלעזר דאמר מוחלת כתובתה לבעלה אין לה מזונות כ"ש דמוחלת ליתומים אין לה מזונות</w:t>
      </w:r>
      <w:r>
        <w:rPr>
          <w:rFonts w:cs="Arial" w:hint="cs"/>
          <w:rtl/>
        </w:rPr>
        <w:t>, ב"י.</w:t>
      </w:r>
    </w:p>
  </w:footnote>
  <w:footnote w:id="1578">
    <w:p w14:paraId="733339BB" w14:textId="726A50A6" w:rsidR="00EF64D5" w:rsidRDefault="00EF64D5">
      <w:pPr>
        <w:pStyle w:val="a5"/>
      </w:pPr>
      <w:r>
        <w:rPr>
          <w:rStyle w:val="a7"/>
        </w:rPr>
        <w:footnoteRef/>
      </w:r>
      <w:r>
        <w:rPr>
          <w:rtl/>
        </w:rPr>
        <w:t xml:space="preserve"> </w:t>
      </w:r>
      <w:r>
        <w:rPr>
          <w:rFonts w:hint="cs"/>
          <w:rtl/>
        </w:rPr>
        <w:t>סימן - צריכה חצי.</w:t>
      </w:r>
    </w:p>
  </w:footnote>
  <w:footnote w:id="1579">
    <w:p w14:paraId="08DBE2EC" w14:textId="77777777" w:rsidR="00E82F98" w:rsidRDefault="00E82F98" w:rsidP="00E82F98">
      <w:pPr>
        <w:pStyle w:val="a5"/>
        <w:rPr>
          <w:rtl/>
        </w:rPr>
      </w:pPr>
      <w:r>
        <w:rPr>
          <w:rStyle w:val="a7"/>
        </w:rPr>
        <w:footnoteRef/>
      </w:r>
      <w:r>
        <w:rPr>
          <w:rtl/>
        </w:rPr>
        <w:t xml:space="preserve"> </w:t>
      </w:r>
      <w:r w:rsidRPr="001F1D12">
        <w:rPr>
          <w:rFonts w:cs="Arial"/>
          <w:rtl/>
        </w:rPr>
        <w:t>ר"ש קאמר לה דאמר אין מוכרת שלא בב"ד אלא למזונות</w:t>
      </w:r>
      <w:r>
        <w:rPr>
          <w:rFonts w:cs="Arial" w:hint="cs"/>
          <w:rtl/>
        </w:rPr>
        <w:t>,</w:t>
      </w:r>
      <w:r w:rsidRPr="001F1D12">
        <w:rPr>
          <w:rFonts w:cs="Arial"/>
          <w:rtl/>
        </w:rPr>
        <w:t xml:space="preserve"> וזו מכיון שגבתה מקצתה אין לה מזונות</w:t>
      </w:r>
      <w:r>
        <w:rPr>
          <w:rFonts w:cs="Arial" w:hint="cs"/>
          <w:rtl/>
        </w:rPr>
        <w:t>,</w:t>
      </w:r>
      <w:r w:rsidRPr="001F1D12">
        <w:rPr>
          <w:rFonts w:cs="Arial"/>
          <w:rtl/>
        </w:rPr>
        <w:t xml:space="preserve"> והכי מוקי לה בגמרא כרבי שמעון</w:t>
      </w:r>
      <w:r>
        <w:rPr>
          <w:rFonts w:hint="cs"/>
          <w:rtl/>
        </w:rPr>
        <w:t>, רש"י.</w:t>
      </w:r>
    </w:p>
  </w:footnote>
  <w:footnote w:id="1580">
    <w:p w14:paraId="769D2C55" w14:textId="77777777" w:rsidR="00E82F98" w:rsidRDefault="00E82F98" w:rsidP="00E82F98">
      <w:pPr>
        <w:pStyle w:val="a5"/>
      </w:pPr>
      <w:r>
        <w:rPr>
          <w:rStyle w:val="a7"/>
        </w:rPr>
        <w:footnoteRef/>
      </w:r>
      <w:r>
        <w:rPr>
          <w:rtl/>
        </w:rPr>
        <w:t xml:space="preserve"> </w:t>
      </w:r>
      <w:r w:rsidRPr="006E2349">
        <w:rPr>
          <w:rFonts w:cs="Arial"/>
          <w:rtl/>
        </w:rPr>
        <w:t>לכתובתה אפילו לפרקים ואעפ</w:t>
      </w:r>
      <w:r>
        <w:rPr>
          <w:rFonts w:cs="Arial" w:hint="cs"/>
          <w:rtl/>
        </w:rPr>
        <w:t>"</w:t>
      </w:r>
      <w:r w:rsidRPr="006E2349">
        <w:rPr>
          <w:rFonts w:cs="Arial"/>
          <w:rtl/>
        </w:rPr>
        <w:t>כ מוכרת בינתיים למזונות שלא בב"ד</w:t>
      </w:r>
      <w:r>
        <w:rPr>
          <w:rFonts w:cs="Arial" w:hint="cs"/>
          <w:rtl/>
        </w:rPr>
        <w:t>, רש"י.</w:t>
      </w:r>
    </w:p>
  </w:footnote>
  <w:footnote w:id="1581">
    <w:p w14:paraId="06BAA65A" w14:textId="77777777" w:rsidR="00E82F98" w:rsidRDefault="00E82F98" w:rsidP="00E82F98">
      <w:pPr>
        <w:pStyle w:val="a5"/>
      </w:pPr>
      <w:r>
        <w:rPr>
          <w:rStyle w:val="a7"/>
        </w:rPr>
        <w:footnoteRef/>
      </w:r>
      <w:r>
        <w:rPr>
          <w:rtl/>
        </w:rPr>
        <w:t xml:space="preserve"> </w:t>
      </w:r>
      <w:r w:rsidRPr="003367FD">
        <w:rPr>
          <w:rFonts w:cs="Arial"/>
          <w:rtl/>
        </w:rPr>
        <w:t>ת"ק דמתני'</w:t>
      </w:r>
      <w:r>
        <w:rPr>
          <w:rFonts w:cs="Arial" w:hint="cs"/>
          <w:rtl/>
        </w:rPr>
        <w:t>, רש"י.</w:t>
      </w:r>
    </w:p>
  </w:footnote>
  <w:footnote w:id="1582">
    <w:p w14:paraId="418C8CB5" w14:textId="77777777" w:rsidR="00E82F98" w:rsidRDefault="00E82F98" w:rsidP="00E82F98">
      <w:pPr>
        <w:pStyle w:val="a5"/>
      </w:pPr>
      <w:r>
        <w:rPr>
          <w:rStyle w:val="a7"/>
        </w:rPr>
        <w:footnoteRef/>
      </w:r>
      <w:r>
        <w:rPr>
          <w:rtl/>
        </w:rPr>
        <w:t xml:space="preserve"> </w:t>
      </w:r>
      <w:r w:rsidRPr="003367FD">
        <w:rPr>
          <w:rFonts w:cs="Arial"/>
          <w:rtl/>
        </w:rPr>
        <w:t>כולה אין לה מזונות דברי ר"מ</w:t>
      </w:r>
      <w:r>
        <w:rPr>
          <w:rFonts w:cs="Arial" w:hint="cs"/>
          <w:rtl/>
        </w:rPr>
        <w:t>,</w:t>
      </w:r>
      <w:r w:rsidRPr="003367FD">
        <w:rPr>
          <w:rFonts w:cs="Arial"/>
          <w:rtl/>
        </w:rPr>
        <w:t xml:space="preserve"> אבל מכרה מקצתה יש לה מזונות</w:t>
      </w:r>
      <w:r>
        <w:rPr>
          <w:rFonts w:cs="Arial" w:hint="cs"/>
          <w:rtl/>
        </w:rPr>
        <w:t>, רש"י.</w:t>
      </w:r>
    </w:p>
  </w:footnote>
  <w:footnote w:id="1583">
    <w:p w14:paraId="47FED691" w14:textId="77777777" w:rsidR="00E82F98" w:rsidRDefault="00E82F98" w:rsidP="00E82F98">
      <w:pPr>
        <w:pStyle w:val="a5"/>
      </w:pPr>
      <w:r>
        <w:rPr>
          <w:rStyle w:val="a7"/>
        </w:rPr>
        <w:footnoteRef/>
      </w:r>
      <w:r>
        <w:rPr>
          <w:rtl/>
        </w:rPr>
        <w:t xml:space="preserve"> </w:t>
      </w:r>
      <w:r w:rsidRPr="00E75AAE">
        <w:rPr>
          <w:rFonts w:cs="Arial"/>
          <w:rtl/>
        </w:rPr>
        <w:t>מוהר הבתולות שיש לה עדיין עליהם הרי הוא ככולו ויתן לה מזונות</w:t>
      </w:r>
      <w:r>
        <w:rPr>
          <w:rFonts w:cs="Arial" w:hint="cs"/>
          <w:rtl/>
        </w:rPr>
        <w:t>, רש"י.</w:t>
      </w:r>
    </w:p>
  </w:footnote>
  <w:footnote w:id="1584">
    <w:p w14:paraId="34BF1952" w14:textId="58DC6049" w:rsidR="009771DB" w:rsidRDefault="009771DB">
      <w:pPr>
        <w:pStyle w:val="a5"/>
      </w:pPr>
      <w:r>
        <w:rPr>
          <w:rStyle w:val="a7"/>
        </w:rPr>
        <w:footnoteRef/>
      </w:r>
      <w:r>
        <w:rPr>
          <w:rtl/>
        </w:rPr>
        <w:t xml:space="preserve"> </w:t>
      </w:r>
      <w:r>
        <w:rPr>
          <w:rFonts w:hint="cs"/>
          <w:rtl/>
        </w:rPr>
        <w:t>סימן - נכסים דומים.</w:t>
      </w:r>
    </w:p>
  </w:footnote>
  <w:footnote w:id="1585">
    <w:p w14:paraId="0CF4F85F" w14:textId="3A40CE0D" w:rsidR="00E8456E" w:rsidRDefault="00E8456E">
      <w:pPr>
        <w:pStyle w:val="a5"/>
      </w:pPr>
      <w:r>
        <w:rPr>
          <w:rStyle w:val="a7"/>
        </w:rPr>
        <w:footnoteRef/>
      </w:r>
      <w:r>
        <w:rPr>
          <w:rtl/>
        </w:rPr>
        <w:t xml:space="preserve"> </w:t>
      </w:r>
      <w:r w:rsidRPr="00E8456E">
        <w:rPr>
          <w:rFonts w:cs="Arial"/>
          <w:rtl/>
        </w:rPr>
        <w:t>אי תנא לכתוב לא הוה שמעינן מינה שיהיה התוספת קרוי כתובה אלא כמתנה מדעתו ואין שם כתובה עליו השתא דתנן להוסיף משמע נוסף על הכתובה שתקנו חכמים ושם כתובה עליו גם הוא מסייע ליה כו'</w:t>
      </w:r>
      <w:r>
        <w:rPr>
          <w:rFonts w:cs="Arial" w:hint="cs"/>
          <w:rtl/>
        </w:rPr>
        <w:t>, רש"י.</w:t>
      </w:r>
    </w:p>
  </w:footnote>
  <w:footnote w:id="1586">
    <w:p w14:paraId="674F70AA" w14:textId="04258DD0" w:rsidR="00E8456E" w:rsidRDefault="00E8456E">
      <w:pPr>
        <w:pStyle w:val="a5"/>
      </w:pPr>
      <w:r>
        <w:rPr>
          <w:rStyle w:val="a7"/>
        </w:rPr>
        <w:footnoteRef/>
      </w:r>
      <w:r>
        <w:rPr>
          <w:rtl/>
        </w:rPr>
        <w:t xml:space="preserve"> </w:t>
      </w:r>
      <w:r w:rsidRPr="00E8456E">
        <w:rPr>
          <w:rFonts w:cs="Arial"/>
          <w:rtl/>
        </w:rPr>
        <w:t>תוספת שהוא מתנה להוסיף לה וכן מזונות וכל הנך דתנן בפרקין דלעיל</w:t>
      </w:r>
      <w:r>
        <w:rPr>
          <w:rFonts w:cs="Arial" w:hint="cs"/>
          <w:rtl/>
        </w:rPr>
        <w:t>, רש"י.</w:t>
      </w:r>
    </w:p>
  </w:footnote>
  <w:footnote w:id="1587">
    <w:p w14:paraId="112E7412" w14:textId="46EA3D4C" w:rsidR="00302D33" w:rsidRDefault="00302D33">
      <w:pPr>
        <w:pStyle w:val="a5"/>
      </w:pPr>
      <w:r>
        <w:rPr>
          <w:rStyle w:val="a7"/>
        </w:rPr>
        <w:footnoteRef/>
      </w:r>
      <w:r>
        <w:rPr>
          <w:rtl/>
        </w:rPr>
        <w:t xml:space="preserve"> </w:t>
      </w:r>
      <w:r w:rsidRPr="00302D33">
        <w:rPr>
          <w:rFonts w:cs="Arial"/>
          <w:rtl/>
        </w:rPr>
        <w:t>מוכרת כתובתה או מוחלת כתובתה מחלה ומכרה את הכל לפי שהכל קרוי כתובה ולא אמרינן לא מיקרי כתובה אלא מנה מאתים</w:t>
      </w:r>
      <w:r>
        <w:rPr>
          <w:rFonts w:cs="Arial" w:hint="cs"/>
          <w:rtl/>
        </w:rPr>
        <w:t>, רש"י.</w:t>
      </w:r>
    </w:p>
  </w:footnote>
  <w:footnote w:id="1588">
    <w:p w14:paraId="2C96B3D2" w14:textId="5433EE44" w:rsidR="00302D33" w:rsidRDefault="00302D33">
      <w:pPr>
        <w:pStyle w:val="a5"/>
      </w:pPr>
      <w:r>
        <w:rPr>
          <w:rStyle w:val="a7"/>
        </w:rPr>
        <w:footnoteRef/>
      </w:r>
      <w:r>
        <w:rPr>
          <w:rtl/>
        </w:rPr>
        <w:t xml:space="preserve"> </w:t>
      </w:r>
      <w:r w:rsidRPr="00302D33">
        <w:rPr>
          <w:rFonts w:cs="Arial"/>
          <w:rtl/>
        </w:rPr>
        <w:t>שאמרו חכמים התובעת כתובתה בב"ד אין לה מזונות</w:t>
      </w:r>
      <w:r w:rsidR="00D362E9">
        <w:rPr>
          <w:rFonts w:cs="Arial" w:hint="cs"/>
          <w:rtl/>
        </w:rPr>
        <w:t>,</w:t>
      </w:r>
      <w:r w:rsidRPr="00302D33">
        <w:rPr>
          <w:rFonts w:cs="Arial"/>
          <w:rtl/>
        </w:rPr>
        <w:t xml:space="preserve"> תובעת תוספת נמי אין לה מזונות</w:t>
      </w:r>
      <w:r>
        <w:rPr>
          <w:rFonts w:cs="Arial" w:hint="cs"/>
          <w:rtl/>
        </w:rPr>
        <w:t xml:space="preserve">, </w:t>
      </w:r>
      <w:r w:rsidRPr="00AC7B2D">
        <w:rPr>
          <w:rFonts w:cs="Arial" w:hint="cs"/>
          <w:b/>
          <w:bCs/>
          <w:rtl/>
        </w:rPr>
        <w:t>רש"י</w:t>
      </w:r>
      <w:r>
        <w:rPr>
          <w:rFonts w:cs="Arial" w:hint="cs"/>
          <w:rtl/>
        </w:rPr>
        <w:t>.</w:t>
      </w:r>
      <w:r w:rsidR="002B2D70">
        <w:rPr>
          <w:rFonts w:hint="cs"/>
          <w:rtl/>
        </w:rPr>
        <w:t xml:space="preserve">    </w:t>
      </w:r>
      <w:r w:rsidR="00AC7B2D">
        <w:rPr>
          <w:rFonts w:cs="Arial" w:hint="cs"/>
          <w:rtl/>
        </w:rPr>
        <w:t>ו</w:t>
      </w:r>
      <w:r w:rsidR="00FB7FEE" w:rsidRPr="00FB7FEE">
        <w:rPr>
          <w:rFonts w:cs="Arial"/>
          <w:rtl/>
        </w:rPr>
        <w:t>לא יתכן פירושו אליבא דרבנן דאמרי לקמן בפרק אלמנה (צז:) משכנה או נתנה מקצת כתובתה יש לה מזונות אלא יש לפרש ולתובעת שאם תבעה מנה מאתים ושיירה תוספת דיש לה מזונות כיון דתנאי כתובה ככתובה הרי לא תבעה כי אם מקצת כתובה</w:t>
      </w:r>
      <w:r w:rsidR="00AC7B2D">
        <w:rPr>
          <w:rFonts w:hint="cs"/>
          <w:rtl/>
        </w:rPr>
        <w:t>,</w:t>
      </w:r>
      <w:r w:rsidR="00AC7B2D" w:rsidRPr="00AC7B2D">
        <w:rPr>
          <w:rFonts w:hint="cs"/>
          <w:rtl/>
        </w:rPr>
        <w:t xml:space="preserve"> </w:t>
      </w:r>
      <w:r w:rsidR="00AC7B2D" w:rsidRPr="00AC7B2D">
        <w:rPr>
          <w:rFonts w:hint="cs"/>
          <w:b/>
          <w:bCs/>
          <w:rtl/>
        </w:rPr>
        <w:t>תוס'</w:t>
      </w:r>
      <w:r w:rsidR="00AC7B2D">
        <w:rPr>
          <w:rFonts w:hint="cs"/>
          <w:rtl/>
        </w:rPr>
        <w:t xml:space="preserve"> (ד"ה ולעוברת).</w:t>
      </w:r>
      <w:r w:rsidR="007F04E9">
        <w:rPr>
          <w:rFonts w:hint="cs"/>
          <w:rtl/>
        </w:rPr>
        <w:t xml:space="preserve"> וכ"כ </w:t>
      </w:r>
      <w:r w:rsidR="007F04E9" w:rsidRPr="007F04E9">
        <w:rPr>
          <w:rFonts w:hint="cs"/>
          <w:b/>
          <w:bCs/>
          <w:rtl/>
        </w:rPr>
        <w:t>הרא"ש</w:t>
      </w:r>
      <w:r w:rsidR="007F04E9">
        <w:rPr>
          <w:rFonts w:hint="cs"/>
          <w:rtl/>
        </w:rPr>
        <w:t xml:space="preserve"> (פ"ה סי' א), והוסיף: </w:t>
      </w:r>
      <w:r w:rsidR="007F04E9" w:rsidRPr="007F04E9">
        <w:rPr>
          <w:rFonts w:cs="Arial"/>
          <w:rtl/>
        </w:rPr>
        <w:t>א</w:t>
      </w:r>
      <w:r w:rsidR="007F04E9">
        <w:rPr>
          <w:rFonts w:cs="Arial" w:hint="cs"/>
          <w:rtl/>
        </w:rPr>
        <w:t>י נמי</w:t>
      </w:r>
      <w:r w:rsidR="007F04E9" w:rsidRPr="007F04E9">
        <w:rPr>
          <w:rFonts w:cs="Arial"/>
          <w:rtl/>
        </w:rPr>
        <w:t xml:space="preserve"> אם תבעה כתובתה בסתם התוספת בכלל ואבדה מזונותיה.</w:t>
      </w:r>
      <w:r w:rsidR="000647A3">
        <w:rPr>
          <w:rFonts w:hint="cs"/>
          <w:rtl/>
        </w:rPr>
        <w:t xml:space="preserve"> עכ"ל. וכ"כ הרשב"א (במיוחסות </w:t>
      </w:r>
      <w:r w:rsidR="003D4C75">
        <w:rPr>
          <w:rFonts w:hint="cs"/>
          <w:rtl/>
        </w:rPr>
        <w:t>סי' מח).</w:t>
      </w:r>
    </w:p>
  </w:footnote>
  <w:footnote w:id="1589">
    <w:p w14:paraId="44FF6663" w14:textId="643CC3C0" w:rsidR="000823F6" w:rsidRDefault="000823F6">
      <w:pPr>
        <w:pStyle w:val="a5"/>
        <w:rPr>
          <w:rtl/>
        </w:rPr>
      </w:pPr>
      <w:r>
        <w:rPr>
          <w:rStyle w:val="a7"/>
        </w:rPr>
        <w:footnoteRef/>
      </w:r>
      <w:r>
        <w:rPr>
          <w:rtl/>
        </w:rPr>
        <w:t xml:space="preserve"> </w:t>
      </w:r>
      <w:r w:rsidRPr="000823F6">
        <w:rPr>
          <w:rFonts w:cs="Arial"/>
          <w:rtl/>
        </w:rPr>
        <w:t>ולא יתכן פירושו אליבא דרבנן דאמרי לקמן בפרק אלמנה (צז:) משכנה או נתנה מקצת כתובתה יש לה מזונות</w:t>
      </w:r>
      <w:r>
        <w:rPr>
          <w:rFonts w:hint="cs"/>
          <w:rtl/>
        </w:rPr>
        <w:t>, תוס' (ד"ה ולתובעת). וכן דחה הרא"ש (</w:t>
      </w:r>
      <w:r w:rsidR="00F91B90">
        <w:rPr>
          <w:rFonts w:hint="cs"/>
          <w:rtl/>
        </w:rPr>
        <w:t>פ"ה סי' א</w:t>
      </w:r>
      <w:r>
        <w:rPr>
          <w:rFonts w:hint="cs"/>
          <w:rtl/>
        </w:rPr>
        <w:t>) את דברי רש"י.</w:t>
      </w:r>
    </w:p>
  </w:footnote>
  <w:footnote w:id="1590">
    <w:p w14:paraId="774D59D9" w14:textId="5B2134C6" w:rsidR="00397B9E" w:rsidRDefault="00397B9E">
      <w:pPr>
        <w:pStyle w:val="a5"/>
        <w:rPr>
          <w:rtl/>
        </w:rPr>
      </w:pPr>
      <w:r>
        <w:rPr>
          <w:rStyle w:val="a7"/>
        </w:rPr>
        <w:footnoteRef/>
      </w:r>
      <w:r>
        <w:rPr>
          <w:rtl/>
        </w:rPr>
        <w:t xml:space="preserve"> </w:t>
      </w:r>
      <w:r w:rsidRPr="00397B9E">
        <w:rPr>
          <w:rFonts w:cs="Arial"/>
          <w:rtl/>
        </w:rPr>
        <w:t>ואיכא למידק דהא אסיקנא בפרק אלמנה ניזונת (צז</w:t>
      </w:r>
      <w:r w:rsidR="001A6493">
        <w:rPr>
          <w:rFonts w:cs="Arial" w:hint="cs"/>
          <w:rtl/>
        </w:rPr>
        <w:t>:</w:t>
      </w:r>
      <w:r w:rsidRPr="00397B9E">
        <w:rPr>
          <w:rFonts w:cs="Arial"/>
          <w:rtl/>
        </w:rPr>
        <w:t>) דמקצת כסף ככל כסף</w:t>
      </w:r>
      <w:r w:rsidR="001A6493">
        <w:rPr>
          <w:rFonts w:cs="Arial" w:hint="cs"/>
          <w:rtl/>
        </w:rPr>
        <w:t>,</w:t>
      </w:r>
      <w:r w:rsidRPr="00397B9E">
        <w:rPr>
          <w:rFonts w:cs="Arial"/>
          <w:rtl/>
        </w:rPr>
        <w:t xml:space="preserve"> כלומר שאפילו נפרעה ממקצת כתובתה יש לה מזונות בשביל אותו מקצת כסף שנשאר בכתובתה</w:t>
      </w:r>
      <w:r w:rsidR="001A6493">
        <w:rPr>
          <w:rFonts w:cs="Arial" w:hint="cs"/>
          <w:rtl/>
        </w:rPr>
        <w:t>...</w:t>
      </w:r>
      <w:r w:rsidRPr="00397B9E">
        <w:rPr>
          <w:rFonts w:cs="Arial"/>
          <w:rtl/>
        </w:rPr>
        <w:t xml:space="preserve"> </w:t>
      </w:r>
      <w:r w:rsidRPr="005541E1">
        <w:rPr>
          <w:rFonts w:cs="Arial"/>
          <w:b/>
          <w:bCs/>
          <w:rtl/>
        </w:rPr>
        <w:t>ואפשר</w:t>
      </w:r>
      <w:r w:rsidRPr="00397B9E">
        <w:rPr>
          <w:rFonts w:cs="Arial"/>
          <w:rtl/>
        </w:rPr>
        <w:t xml:space="preserve"> דתובעת שאני</w:t>
      </w:r>
      <w:r w:rsidR="001A6493">
        <w:rPr>
          <w:rFonts w:cs="Arial" w:hint="cs"/>
          <w:rtl/>
        </w:rPr>
        <w:t>,</w:t>
      </w:r>
      <w:r w:rsidRPr="00397B9E">
        <w:rPr>
          <w:rFonts w:cs="Arial"/>
          <w:rtl/>
        </w:rPr>
        <w:t xml:space="preserve"> שכל כך היא מעיזה פניה בבית דין</w:t>
      </w:r>
      <w:r w:rsidR="005522EF">
        <w:rPr>
          <w:rFonts w:cs="Arial" w:hint="cs"/>
          <w:rtl/>
        </w:rPr>
        <w:t>,</w:t>
      </w:r>
      <w:r w:rsidRPr="00397B9E">
        <w:rPr>
          <w:rFonts w:cs="Arial"/>
          <w:rtl/>
        </w:rPr>
        <w:t xml:space="preserve"> דתובעת מקצת כאילו תבעה כולה ולפיכך הפסידה מזונותיה</w:t>
      </w:r>
      <w:r w:rsidR="003B11A2">
        <w:rPr>
          <w:rFonts w:cs="Arial" w:hint="cs"/>
          <w:rtl/>
        </w:rPr>
        <w:t xml:space="preserve"> </w:t>
      </w:r>
      <w:r w:rsidR="003B11A2">
        <w:rPr>
          <w:rFonts w:cs="Arial" w:hint="cs"/>
          <w:sz w:val="16"/>
          <w:szCs w:val="16"/>
          <w:rtl/>
        </w:rPr>
        <w:t>{</w:t>
      </w:r>
      <w:r w:rsidR="00C534F0">
        <w:rPr>
          <w:rFonts w:cs="Arial" w:hint="cs"/>
          <w:sz w:val="16"/>
          <w:szCs w:val="16"/>
          <w:rtl/>
        </w:rPr>
        <w:t>אך</w:t>
      </w:r>
      <w:r w:rsidR="003B11A2" w:rsidRPr="003B11A2">
        <w:rPr>
          <w:rFonts w:cs="Arial"/>
          <w:sz w:val="16"/>
          <w:szCs w:val="16"/>
          <w:rtl/>
        </w:rPr>
        <w:t xml:space="preserve"> </w:t>
      </w:r>
      <w:r w:rsidR="003B11A2">
        <w:rPr>
          <w:rFonts w:cs="Arial" w:hint="cs"/>
          <w:sz w:val="16"/>
          <w:szCs w:val="16"/>
          <w:rtl/>
        </w:rPr>
        <w:t xml:space="preserve">השלט"ג </w:t>
      </w:r>
      <w:r w:rsidR="00E54668">
        <w:rPr>
          <w:rFonts w:cs="Arial" w:hint="cs"/>
          <w:sz w:val="16"/>
          <w:szCs w:val="16"/>
          <w:rtl/>
        </w:rPr>
        <w:t>(</w:t>
      </w:r>
      <w:r w:rsidR="003B11A2" w:rsidRPr="003B11A2">
        <w:rPr>
          <w:rFonts w:cs="Arial"/>
          <w:sz w:val="16"/>
          <w:szCs w:val="16"/>
          <w:rtl/>
        </w:rPr>
        <w:t>פרק נערה</w:t>
      </w:r>
      <w:r w:rsidR="00E54668">
        <w:rPr>
          <w:rFonts w:cs="Arial" w:hint="cs"/>
          <w:sz w:val="16"/>
          <w:szCs w:val="16"/>
          <w:rtl/>
        </w:rPr>
        <w:t>)</w:t>
      </w:r>
      <w:r w:rsidR="00C534F0">
        <w:rPr>
          <w:rFonts w:cs="Arial" w:hint="cs"/>
          <w:sz w:val="16"/>
          <w:szCs w:val="16"/>
          <w:rtl/>
        </w:rPr>
        <w:t xml:space="preserve"> כתב</w:t>
      </w:r>
      <w:r w:rsidR="003B11A2" w:rsidRPr="003B11A2">
        <w:rPr>
          <w:rFonts w:cs="Arial"/>
          <w:sz w:val="16"/>
          <w:szCs w:val="16"/>
          <w:rtl/>
        </w:rPr>
        <w:t xml:space="preserve"> דאפילו תבעה כל הכתובה פחות מדינר א' בתוספת נזונת בשביל אותו הדינר</w:t>
      </w:r>
      <w:r w:rsidR="00E54668">
        <w:rPr>
          <w:rFonts w:cs="Arial" w:hint="cs"/>
          <w:sz w:val="16"/>
          <w:szCs w:val="16"/>
          <w:rtl/>
        </w:rPr>
        <w:t>, ודלא כסברת הר"ן,</w:t>
      </w:r>
      <w:r w:rsidR="00E54668" w:rsidRPr="00E54668">
        <w:rPr>
          <w:rFonts w:cs="Arial" w:hint="cs"/>
          <w:sz w:val="16"/>
          <w:szCs w:val="16"/>
          <w:rtl/>
        </w:rPr>
        <w:t xml:space="preserve"> </w:t>
      </w:r>
      <w:r w:rsidR="00E54668">
        <w:rPr>
          <w:rFonts w:cs="Arial" w:hint="cs"/>
          <w:sz w:val="16"/>
          <w:szCs w:val="16"/>
          <w:rtl/>
        </w:rPr>
        <w:t>דרכ"מ (אות ו)</w:t>
      </w:r>
      <w:r w:rsidR="00C534F0">
        <w:rPr>
          <w:rFonts w:cs="Arial" w:hint="cs"/>
          <w:sz w:val="16"/>
          <w:szCs w:val="16"/>
          <w:rtl/>
        </w:rPr>
        <w:t>}</w:t>
      </w:r>
      <w:r w:rsidR="005522EF">
        <w:rPr>
          <w:rFonts w:cs="Arial" w:hint="cs"/>
          <w:rtl/>
        </w:rPr>
        <w:t>.</w:t>
      </w:r>
      <w:r w:rsidRPr="00397B9E">
        <w:rPr>
          <w:rFonts w:cs="Arial"/>
          <w:rtl/>
        </w:rPr>
        <w:t xml:space="preserve"> </w:t>
      </w:r>
      <w:r w:rsidRPr="005541E1">
        <w:rPr>
          <w:rFonts w:cs="Arial"/>
          <w:b/>
          <w:bCs/>
          <w:rtl/>
        </w:rPr>
        <w:t>והרמב"ן</w:t>
      </w:r>
      <w:r w:rsidRPr="00397B9E">
        <w:rPr>
          <w:rFonts w:cs="Arial"/>
          <w:rtl/>
        </w:rPr>
        <w:t xml:space="preserve"> ז"ל </w:t>
      </w:r>
      <w:r w:rsidR="005541E1">
        <w:rPr>
          <w:rFonts w:cs="Arial" w:hint="cs"/>
          <w:sz w:val="16"/>
          <w:szCs w:val="16"/>
          <w:rtl/>
        </w:rPr>
        <w:t xml:space="preserve">{וכ"כ הה"מ </w:t>
      </w:r>
      <w:r w:rsidR="00E54668">
        <w:rPr>
          <w:rFonts w:cs="Arial" w:hint="cs"/>
          <w:sz w:val="16"/>
          <w:szCs w:val="16"/>
          <w:rtl/>
        </w:rPr>
        <w:t xml:space="preserve">(שם) </w:t>
      </w:r>
      <w:r w:rsidR="005541E1">
        <w:rPr>
          <w:rFonts w:cs="Arial" w:hint="cs"/>
          <w:sz w:val="16"/>
          <w:szCs w:val="16"/>
          <w:rtl/>
        </w:rPr>
        <w:t xml:space="preserve">בשם הרמב"ם} </w:t>
      </w:r>
      <w:r w:rsidRPr="00397B9E">
        <w:rPr>
          <w:rFonts w:cs="Arial"/>
          <w:rtl/>
        </w:rPr>
        <w:t>כ' שדעת הרי"ף היה לומר שכשם שמפסדת מזונות בתביעת עיקר אע</w:t>
      </w:r>
      <w:r w:rsidR="005522EF">
        <w:rPr>
          <w:rFonts w:cs="Arial" w:hint="cs"/>
          <w:rtl/>
        </w:rPr>
        <w:t>"</w:t>
      </w:r>
      <w:r w:rsidRPr="00397B9E">
        <w:rPr>
          <w:rFonts w:cs="Arial"/>
          <w:rtl/>
        </w:rPr>
        <w:t>פ שלא גבאתו</w:t>
      </w:r>
      <w:r w:rsidR="005522EF">
        <w:rPr>
          <w:rFonts w:cs="Arial" w:hint="cs"/>
          <w:rtl/>
        </w:rPr>
        <w:t>,</w:t>
      </w:r>
      <w:r w:rsidRPr="00397B9E">
        <w:rPr>
          <w:rFonts w:cs="Arial"/>
          <w:rtl/>
        </w:rPr>
        <w:t xml:space="preserve"> כך מי שנפרעה כתובתה וניזונת מחמת תוספת אם תובעתו בב"ד הפסידה מזונותיה כאילו גבאתו</w:t>
      </w:r>
      <w:r w:rsidR="000335AD">
        <w:rPr>
          <w:rFonts w:cs="Arial" w:hint="cs"/>
          <w:rtl/>
        </w:rPr>
        <w:t>,</w:t>
      </w:r>
      <w:r w:rsidRPr="00397B9E">
        <w:rPr>
          <w:rFonts w:cs="Arial"/>
          <w:rtl/>
        </w:rPr>
        <w:t xml:space="preserve"> שלא תאמר דוקא בעיקר כתובה שהוא תנאי ב"ד הויא תביעה כגביה אבל תוספת כיון דמדעתה יהב לה אינו אלא חוב בעלמא ולא תהא תביעה כגביה ותזון עד שעת גוביאנא קמ"ל</w:t>
      </w:r>
      <w:r w:rsidR="000335AD">
        <w:rPr>
          <w:rFonts w:cs="Arial" w:hint="cs"/>
          <w:rtl/>
        </w:rPr>
        <w:t>.</w:t>
      </w:r>
      <w:r w:rsidRPr="00397B9E">
        <w:rPr>
          <w:rFonts w:cs="Arial"/>
          <w:rtl/>
        </w:rPr>
        <w:t xml:space="preserve"> אבל </w:t>
      </w:r>
      <w:r w:rsidRPr="005541E1">
        <w:rPr>
          <w:rFonts w:cs="Arial"/>
          <w:b/>
          <w:bCs/>
          <w:rtl/>
        </w:rPr>
        <w:t>אחרים</w:t>
      </w:r>
      <w:r w:rsidRPr="00397B9E">
        <w:rPr>
          <w:rFonts w:cs="Arial"/>
          <w:rtl/>
        </w:rPr>
        <w:t xml:space="preserve"> פירשו בהפך לומר שאם תבעה עיקר כתובתה עדיין יש לה מזונות בשביל התוספת דלא תימא דתוספת כחוב בעלמא דמי קמ"ל דככתובה דמי ומשום מקצת כתובה יש לה מזונות</w:t>
      </w:r>
      <w:r w:rsidR="003B0B98">
        <w:rPr>
          <w:rFonts w:cs="Arial" w:hint="cs"/>
          <w:rtl/>
        </w:rPr>
        <w:t>.</w:t>
      </w:r>
      <w:r w:rsidRPr="00397B9E">
        <w:rPr>
          <w:rFonts w:cs="Arial"/>
          <w:rtl/>
        </w:rPr>
        <w:t xml:space="preserve"> ואין הלשון מתיישב לפירוש זה דלתובעת משמע שעיקר הדבר בשביל התביעה ומה שאמרו אינו בשביל התביעה אלא בשביל מה שלא תבעה והוה לן למימר לניזונית</w:t>
      </w:r>
      <w:r w:rsidR="003B0B98">
        <w:rPr>
          <w:rFonts w:cs="Arial" w:hint="cs"/>
          <w:rtl/>
        </w:rPr>
        <w:t>.</w:t>
      </w:r>
      <w:r w:rsidRPr="00397B9E">
        <w:rPr>
          <w:rFonts w:cs="Arial"/>
          <w:rtl/>
        </w:rPr>
        <w:t xml:space="preserve"> </w:t>
      </w:r>
      <w:r w:rsidRPr="005541E1">
        <w:rPr>
          <w:rFonts w:cs="Arial"/>
          <w:b/>
          <w:bCs/>
          <w:rtl/>
        </w:rPr>
        <w:t>אבל הנכון</w:t>
      </w:r>
      <w:r w:rsidRPr="00397B9E">
        <w:rPr>
          <w:rFonts w:cs="Arial"/>
          <w:rtl/>
        </w:rPr>
        <w:t xml:space="preserve"> דה"ק ולתובעת שאם תבעה כתובתה סתם הרי היא כאילו תבעה בפירוש עיקר ותוספת ושוב אין לה מזונות</w:t>
      </w:r>
      <w:r>
        <w:rPr>
          <w:rFonts w:hint="cs"/>
          <w:rtl/>
        </w:rPr>
        <w:t xml:space="preserve">, ר"ן </w:t>
      </w:r>
      <w:r w:rsidR="001A6493">
        <w:rPr>
          <w:rFonts w:hint="cs"/>
          <w:rtl/>
        </w:rPr>
        <w:t>(כא:).</w:t>
      </w:r>
    </w:p>
  </w:footnote>
  <w:footnote w:id="1591">
    <w:p w14:paraId="1BF0F553" w14:textId="0F239D58" w:rsidR="00F40D6A" w:rsidRDefault="00F40D6A" w:rsidP="00F40D6A">
      <w:pPr>
        <w:pStyle w:val="a5"/>
      </w:pPr>
      <w:r>
        <w:rPr>
          <w:rStyle w:val="a7"/>
        </w:rPr>
        <w:footnoteRef/>
      </w:r>
      <w:r>
        <w:rPr>
          <w:rtl/>
        </w:rPr>
        <w:t xml:space="preserve"> </w:t>
      </w:r>
      <w:r>
        <w:rPr>
          <w:rFonts w:hint="cs"/>
          <w:rtl/>
        </w:rPr>
        <w:t xml:space="preserve">וז"ל: </w:t>
      </w:r>
      <w:r w:rsidRPr="000A1431">
        <w:rPr>
          <w:rFonts w:cs="Arial"/>
          <w:rtl/>
        </w:rPr>
        <w:t>ודוקא שמכרה או שמשכנה או שמחלה כל הכתובה</w:t>
      </w:r>
      <w:r>
        <w:rPr>
          <w:rFonts w:cs="Arial" w:hint="cs"/>
          <w:rtl/>
        </w:rPr>
        <w:t>,</w:t>
      </w:r>
      <w:r w:rsidRPr="000A1431">
        <w:rPr>
          <w:rFonts w:cs="Arial"/>
          <w:rtl/>
        </w:rPr>
        <w:t xml:space="preserve"> אבל שיירה מקצתה </w:t>
      </w:r>
      <w:r>
        <w:rPr>
          <w:rFonts w:cs="Arial" w:hint="cs"/>
          <w:rtl/>
        </w:rPr>
        <w:t xml:space="preserve">- </w:t>
      </w:r>
      <w:r w:rsidRPr="000A1431">
        <w:rPr>
          <w:rFonts w:cs="Arial"/>
          <w:rtl/>
        </w:rPr>
        <w:t>ניזונת</w:t>
      </w:r>
      <w:r>
        <w:rPr>
          <w:rFonts w:cs="Arial" w:hint="cs"/>
          <w:rtl/>
        </w:rPr>
        <w:t>.</w:t>
      </w:r>
      <w:r w:rsidRPr="000A1431">
        <w:rPr>
          <w:rFonts w:cs="Arial"/>
          <w:rtl/>
        </w:rPr>
        <w:t xml:space="preserve"> אפי' לא שיירה אלא תוספת ומכרה או מחלה כל העיקר</w:t>
      </w:r>
      <w:r>
        <w:rPr>
          <w:rFonts w:cs="Arial" w:hint="cs"/>
          <w:rtl/>
        </w:rPr>
        <w:t>,</w:t>
      </w:r>
      <w:r w:rsidRPr="000A1431">
        <w:rPr>
          <w:rFonts w:cs="Arial"/>
          <w:rtl/>
        </w:rPr>
        <w:t xml:space="preserve"> ניזונת בשביל התוספת</w:t>
      </w:r>
      <w:r>
        <w:rPr>
          <w:rFonts w:cs="Arial" w:hint="cs"/>
          <w:rtl/>
        </w:rPr>
        <w:t>.</w:t>
      </w:r>
    </w:p>
  </w:footnote>
  <w:footnote w:id="1592">
    <w:p w14:paraId="41AA9BD9" w14:textId="77777777" w:rsidR="005541E1" w:rsidRDefault="005541E1" w:rsidP="005541E1">
      <w:pPr>
        <w:pStyle w:val="a5"/>
      </w:pPr>
      <w:r>
        <w:rPr>
          <w:rStyle w:val="a7"/>
        </w:rPr>
        <w:footnoteRef/>
      </w:r>
      <w:r>
        <w:rPr>
          <w:rtl/>
        </w:rPr>
        <w:t xml:space="preserve"> </w:t>
      </w:r>
      <w:r>
        <w:rPr>
          <w:rFonts w:cs="Arial" w:hint="cs"/>
          <w:rtl/>
        </w:rPr>
        <w:t xml:space="preserve">וכתב הה"מ (שם) </w:t>
      </w:r>
      <w:r w:rsidRPr="00A863BC">
        <w:rPr>
          <w:rFonts w:cs="Arial"/>
          <w:rtl/>
        </w:rPr>
        <w:t>נראה שהוא ז"ל מפרש הא דאמרינן נפקא מינה לתובעת כמו שפירש הרמב"ן ז"ל דעת ההלכות</w:t>
      </w:r>
      <w:r>
        <w:rPr>
          <w:rFonts w:cs="Arial" w:hint="cs"/>
          <w:rtl/>
        </w:rPr>
        <w:t>,</w:t>
      </w:r>
      <w:r w:rsidRPr="00A863BC">
        <w:rPr>
          <w:rFonts w:cs="Arial"/>
          <w:rtl/>
        </w:rPr>
        <w:t xml:space="preserve"> ועיקר</w:t>
      </w:r>
      <w:r>
        <w:rPr>
          <w:rFonts w:cs="Arial" w:hint="cs"/>
          <w:rtl/>
        </w:rPr>
        <w:t>, ב"י.</w:t>
      </w:r>
    </w:p>
  </w:footnote>
  <w:footnote w:id="1593">
    <w:p w14:paraId="7427314E" w14:textId="4689ED46" w:rsidR="001348B7" w:rsidRPr="0096328F" w:rsidRDefault="001348B7" w:rsidP="001348B7">
      <w:pPr>
        <w:pStyle w:val="a5"/>
        <w:rPr>
          <w:b/>
          <w:bCs/>
        </w:rPr>
      </w:pPr>
      <w:r>
        <w:rPr>
          <w:rStyle w:val="a7"/>
        </w:rPr>
        <w:footnoteRef/>
      </w:r>
      <w:r>
        <w:rPr>
          <w:rtl/>
        </w:rPr>
        <w:t xml:space="preserve"> </w:t>
      </w:r>
      <w:r>
        <w:rPr>
          <w:rFonts w:hint="cs"/>
          <w:rtl/>
        </w:rPr>
        <w:t xml:space="preserve">וכן אם </w:t>
      </w:r>
      <w:r w:rsidRPr="000A1431">
        <w:rPr>
          <w:rFonts w:cs="Arial"/>
          <w:rtl/>
        </w:rPr>
        <w:t>אם תבעה כתובתה בסתם לא אמרינן אין דעתה אלא העיקר</w:t>
      </w:r>
      <w:r>
        <w:rPr>
          <w:rFonts w:cs="Arial" w:hint="cs"/>
          <w:rtl/>
        </w:rPr>
        <w:t>,</w:t>
      </w:r>
      <w:r w:rsidRPr="000A1431">
        <w:rPr>
          <w:rFonts w:cs="Arial"/>
          <w:rtl/>
        </w:rPr>
        <w:t xml:space="preserve"> אלא מסתמא הכל תבעה ואין לה מזונות</w:t>
      </w:r>
      <w:r>
        <w:rPr>
          <w:rFonts w:cs="Arial" w:hint="cs"/>
          <w:rtl/>
        </w:rPr>
        <w:t>, טור.</w:t>
      </w:r>
      <w:r w:rsidR="0096328F">
        <w:rPr>
          <w:rFonts w:hint="cs"/>
          <w:rtl/>
        </w:rPr>
        <w:t xml:space="preserve"> </w:t>
      </w:r>
      <w:r w:rsidR="0096328F" w:rsidRPr="0096328F">
        <w:rPr>
          <w:rFonts w:hint="cs"/>
          <w:color w:val="00B0F0"/>
          <w:rtl/>
        </w:rPr>
        <w:t>(וכ"פ הרמ"א</w:t>
      </w:r>
      <w:r w:rsidR="0096328F" w:rsidRPr="0096328F">
        <w:rPr>
          <w:rFonts w:hint="cs"/>
          <w:color w:val="00B0F0"/>
          <w:sz w:val="16"/>
          <w:szCs w:val="16"/>
          <w:rtl/>
        </w:rPr>
        <w:t xml:space="preserve"> </w:t>
      </w:r>
      <w:r w:rsidR="0096328F">
        <w:rPr>
          <w:rFonts w:hint="cs"/>
          <w:sz w:val="16"/>
          <w:szCs w:val="16"/>
          <w:rtl/>
        </w:rPr>
        <w:t>[בסע' יב]</w:t>
      </w:r>
      <w:r w:rsidR="0096328F" w:rsidRPr="0096328F">
        <w:rPr>
          <w:rFonts w:hint="cs"/>
          <w:color w:val="00B0F0"/>
          <w:rtl/>
        </w:rPr>
        <w:t>)</w:t>
      </w:r>
      <w:r w:rsidR="0096328F">
        <w:rPr>
          <w:rFonts w:hint="cs"/>
          <w:rtl/>
        </w:rPr>
        <w:t>. וכן משמע לי מלשון הרמב"ם.</w:t>
      </w:r>
    </w:p>
  </w:footnote>
  <w:footnote w:id="1594">
    <w:p w14:paraId="07312F94" w14:textId="1B02E03F" w:rsidR="0003322E" w:rsidRDefault="0003322E">
      <w:pPr>
        <w:pStyle w:val="a5"/>
      </w:pPr>
      <w:r>
        <w:rPr>
          <w:rStyle w:val="a7"/>
        </w:rPr>
        <w:footnoteRef/>
      </w:r>
      <w:r>
        <w:rPr>
          <w:rtl/>
        </w:rPr>
        <w:t xml:space="preserve"> </w:t>
      </w:r>
      <w:r>
        <w:rPr>
          <w:rFonts w:cs="Arial" w:hint="cs"/>
          <w:rtl/>
        </w:rPr>
        <w:t xml:space="preserve">וז"ל: </w:t>
      </w:r>
      <w:r w:rsidRPr="00397D58">
        <w:rPr>
          <w:rFonts w:cs="Arial"/>
          <w:rtl/>
        </w:rPr>
        <w:t>קרוב הדבר שכל שלא מחלה כל מה שכתוב בכתובתה לא מחלה מזונותיה</w:t>
      </w:r>
      <w:r>
        <w:rPr>
          <w:rFonts w:cs="Arial" w:hint="cs"/>
          <w:rtl/>
        </w:rPr>
        <w:t>,</w:t>
      </w:r>
      <w:r w:rsidRPr="00397D58">
        <w:rPr>
          <w:rFonts w:cs="Arial"/>
          <w:rtl/>
        </w:rPr>
        <w:t xml:space="preserve"> ואין אומרים שהמזונות תלויים בעיקר הכתובה בלבד שהם מנה וק"ק וכל שמחלה מנה וק"ק אבדה מזונותיה</w:t>
      </w:r>
      <w:r>
        <w:rPr>
          <w:rFonts w:cs="Arial" w:hint="cs"/>
          <w:rtl/>
        </w:rPr>
        <w:t>,</w:t>
      </w:r>
      <w:r w:rsidRPr="00397D58">
        <w:rPr>
          <w:rFonts w:cs="Arial"/>
          <w:rtl/>
        </w:rPr>
        <w:t xml:space="preserve"> שהרי אפילו לא מחלה מה שהוסיף לה יותר על מנה וק"ק לא אבדה מזונותיה</w:t>
      </w:r>
      <w:r>
        <w:rPr>
          <w:rFonts w:cs="Arial" w:hint="cs"/>
          <w:rtl/>
        </w:rPr>
        <w:t>,</w:t>
      </w:r>
      <w:r w:rsidRPr="00397D58">
        <w:rPr>
          <w:rFonts w:cs="Arial"/>
          <w:rtl/>
        </w:rPr>
        <w:t xml:space="preserve"> ואע</w:t>
      </w:r>
      <w:r>
        <w:rPr>
          <w:rFonts w:cs="Arial" w:hint="cs"/>
          <w:rtl/>
        </w:rPr>
        <w:t>"</w:t>
      </w:r>
      <w:r w:rsidRPr="00397D58">
        <w:rPr>
          <w:rFonts w:cs="Arial"/>
          <w:rtl/>
        </w:rPr>
        <w:t>פ שאין התוספת מעיקר תקנת חכמים אף אנו נאמר כן בנדוניא</w:t>
      </w:r>
      <w:r>
        <w:rPr>
          <w:rFonts w:cs="Arial" w:hint="cs"/>
          <w:rtl/>
        </w:rPr>
        <w:t>.</w:t>
      </w:r>
      <w:r w:rsidRPr="00397D58">
        <w:rPr>
          <w:rFonts w:cs="Arial"/>
          <w:rtl/>
        </w:rPr>
        <w:t xml:space="preserve"> ואי נפשכם לומר דשאני תוספת דאמר רבי ינאי תוספת כתובה ככתובה</w:t>
      </w:r>
      <w:r>
        <w:rPr>
          <w:rFonts w:cs="Arial" w:hint="cs"/>
          <w:rtl/>
        </w:rPr>
        <w:t>,</w:t>
      </w:r>
      <w:r w:rsidRPr="00397D58">
        <w:rPr>
          <w:rFonts w:cs="Arial"/>
          <w:rtl/>
        </w:rPr>
        <w:t xml:space="preserve"> י"ל דאף נדוניא בכלל דברי רבי ינאי</w:t>
      </w:r>
      <w:r>
        <w:rPr>
          <w:rFonts w:cs="Arial" w:hint="cs"/>
          <w:rtl/>
        </w:rPr>
        <w:t>,</w:t>
      </w:r>
      <w:r w:rsidRPr="00397D58">
        <w:rPr>
          <w:rFonts w:cs="Arial"/>
          <w:rtl/>
        </w:rPr>
        <w:t xml:space="preserve"> וכן פירשו קצת מפרשים</w:t>
      </w:r>
      <w:r>
        <w:rPr>
          <w:rFonts w:cs="Arial" w:hint="cs"/>
          <w:rtl/>
        </w:rPr>
        <w:t>,</w:t>
      </w:r>
      <w:r w:rsidRPr="00397D58">
        <w:rPr>
          <w:rFonts w:cs="Arial"/>
          <w:rtl/>
        </w:rPr>
        <w:t xml:space="preserve"> ועל כרחנו יש לנו להודות להם במקצת מה שאמר רבי ינאי</w:t>
      </w:r>
      <w:r>
        <w:rPr>
          <w:rFonts w:cs="Arial" w:hint="cs"/>
          <w:rtl/>
        </w:rPr>
        <w:t>,</w:t>
      </w:r>
      <w:r w:rsidRPr="00397D58">
        <w:rPr>
          <w:rFonts w:cs="Arial"/>
          <w:rtl/>
        </w:rPr>
        <w:t xml:space="preserve"> דהא אמרינן נפקא מינה למוכרת ולמוחלת</w:t>
      </w:r>
      <w:r>
        <w:rPr>
          <w:rFonts w:cs="Arial" w:hint="cs"/>
          <w:rtl/>
        </w:rPr>
        <w:t>,</w:t>
      </w:r>
      <w:r w:rsidRPr="00397D58">
        <w:rPr>
          <w:rFonts w:cs="Arial"/>
          <w:rtl/>
        </w:rPr>
        <w:t xml:space="preserve"> ועל כרחנו אם מחלה כתובתה סתם או מכרה סתם גם הנדוניא בכלל</w:t>
      </w:r>
      <w:r>
        <w:rPr>
          <w:rFonts w:cs="Arial" w:hint="cs"/>
          <w:rtl/>
        </w:rPr>
        <w:t>.</w:t>
      </w:r>
      <w:r w:rsidRPr="00397D58">
        <w:rPr>
          <w:rFonts w:cs="Arial"/>
          <w:rtl/>
        </w:rPr>
        <w:t xml:space="preserve"> ואם כן י"ל דמאי דאמר רבין בר חנינא מוחלת כתובתה לבעלה אבדה מזונותיה </w:t>
      </w:r>
      <w:r>
        <w:rPr>
          <w:rFonts w:cs="Arial" w:hint="cs"/>
          <w:rtl/>
        </w:rPr>
        <w:t xml:space="preserve">(כתובות נג.), </w:t>
      </w:r>
      <w:r w:rsidRPr="00397D58">
        <w:rPr>
          <w:rFonts w:cs="Arial"/>
          <w:rtl/>
        </w:rPr>
        <w:t>כל מה שכתוב בכתובתה קאמר</w:t>
      </w:r>
      <w:r>
        <w:rPr>
          <w:rFonts w:cs="Arial" w:hint="cs"/>
          <w:rtl/>
        </w:rPr>
        <w:t>,</w:t>
      </w:r>
      <w:r w:rsidRPr="00397D58">
        <w:rPr>
          <w:rFonts w:cs="Arial"/>
          <w:rtl/>
        </w:rPr>
        <w:t xml:space="preserve"> והבו דלא לוסיף עלה</w:t>
      </w:r>
      <w:r>
        <w:rPr>
          <w:rFonts w:cs="Arial" w:hint="cs"/>
          <w:rtl/>
        </w:rPr>
        <w:t>,</w:t>
      </w:r>
      <w:r w:rsidRPr="00397D58">
        <w:rPr>
          <w:rFonts w:cs="Arial"/>
          <w:rtl/>
        </w:rPr>
        <w:t xml:space="preserve"> דהא אמר רב חסדא אי לאו דאמרת לה משמיה דגברא רבה וכו'</w:t>
      </w:r>
      <w:r>
        <w:rPr>
          <w:rFonts w:cs="Arial" w:hint="cs"/>
          <w:rtl/>
        </w:rPr>
        <w:t>.</w:t>
      </w:r>
      <w:r w:rsidRPr="00397D58">
        <w:rPr>
          <w:rFonts w:cs="Arial"/>
          <w:rtl/>
        </w:rPr>
        <w:t xml:space="preserve"> ועוד שכל שמחלה סתם מקצת מכתובתה</w:t>
      </w:r>
      <w:r>
        <w:rPr>
          <w:rFonts w:cs="Arial" w:hint="cs"/>
          <w:rtl/>
        </w:rPr>
        <w:t>,</w:t>
      </w:r>
      <w:r w:rsidRPr="00397D58">
        <w:rPr>
          <w:rFonts w:cs="Arial"/>
          <w:rtl/>
        </w:rPr>
        <w:t xml:space="preserve"> אני אומר מהנדוניא מחלה</w:t>
      </w:r>
      <w:r>
        <w:rPr>
          <w:rFonts w:cs="Arial" w:hint="cs"/>
          <w:rtl/>
        </w:rPr>
        <w:t>.</w:t>
      </w:r>
      <w:r w:rsidRPr="00397D58">
        <w:rPr>
          <w:rFonts w:cs="Arial"/>
          <w:rtl/>
        </w:rPr>
        <w:t xml:space="preserve"> שאם תאמר כדברי הטוען שכל שלא טרחה בו כגון מנה וק"ק או תוספת מוחלת תחלה</w:t>
      </w:r>
      <w:r>
        <w:rPr>
          <w:rFonts w:cs="Arial" w:hint="cs"/>
          <w:rtl/>
        </w:rPr>
        <w:t>,</w:t>
      </w:r>
      <w:r w:rsidRPr="00397D58">
        <w:rPr>
          <w:rFonts w:cs="Arial"/>
          <w:rtl/>
        </w:rPr>
        <w:t xml:space="preserve"> אדרבה</w:t>
      </w:r>
      <w:r>
        <w:rPr>
          <w:rFonts w:cs="Arial" w:hint="cs"/>
          <w:rtl/>
        </w:rPr>
        <w:t>,</w:t>
      </w:r>
      <w:r w:rsidRPr="00397D58">
        <w:rPr>
          <w:rFonts w:cs="Arial"/>
          <w:rtl/>
        </w:rPr>
        <w:t xml:space="preserve"> בא ונאמר דכל שלא תפסיד בה מזונות מחלה ולא מחלה מה שתפסיד בו מזונות</w:t>
      </w:r>
      <w:r>
        <w:rPr>
          <w:rFonts w:cs="Arial" w:hint="cs"/>
          <w:rtl/>
        </w:rPr>
        <w:t>.</w:t>
      </w:r>
      <w:r w:rsidRPr="00397D58">
        <w:rPr>
          <w:rFonts w:cs="Arial"/>
          <w:rtl/>
        </w:rPr>
        <w:t xml:space="preserve"> וא"ת שאין האשה בקיאה</w:t>
      </w:r>
      <w:r>
        <w:rPr>
          <w:rFonts w:cs="Arial" w:hint="cs"/>
          <w:rtl/>
        </w:rPr>
        <w:t>,</w:t>
      </w:r>
      <w:r w:rsidRPr="00397D58">
        <w:rPr>
          <w:rFonts w:cs="Arial"/>
          <w:rtl/>
        </w:rPr>
        <w:t xml:space="preserve"> אף אנו נאמר שאינה יודעת מה בין עיקר כתובה ותוספת לנדוניא. ועוד מה שטען הטוען שמן הסתם ידה על התחתונה שהיא קרויה בעל השטר</w:t>
      </w:r>
      <w:r>
        <w:rPr>
          <w:rFonts w:cs="Arial" w:hint="cs"/>
          <w:rtl/>
        </w:rPr>
        <w:t>,</w:t>
      </w:r>
      <w:r w:rsidRPr="00397D58">
        <w:rPr>
          <w:rFonts w:cs="Arial"/>
          <w:rtl/>
        </w:rPr>
        <w:t xml:space="preserve"> מסתברא דבמקום הזה הבעל קרוי בעל השטר וידו על התחתונה לפי שהבעל לא פרע לה כלום והיא משלה היא מוחלת וכל מקבל מתנה או לוקח קרוי בעל השטר להיות ידו על התחתונה</w:t>
      </w:r>
      <w:r>
        <w:rPr>
          <w:rFonts w:cs="Arial" w:hint="cs"/>
          <w:rtl/>
        </w:rPr>
        <w:t>.</w:t>
      </w:r>
      <w:r w:rsidRPr="00397D58">
        <w:rPr>
          <w:rFonts w:cs="Arial"/>
          <w:rtl/>
        </w:rPr>
        <w:t xml:space="preserve"> ואינו דומה למה שאמרו בפרק גט פשוט (ב"ב קעג.) שטר לך בידי פרוע הגדול פרוע והקטן אינו פרוע</w:t>
      </w:r>
      <w:r>
        <w:rPr>
          <w:rFonts w:cs="Arial" w:hint="cs"/>
          <w:rtl/>
        </w:rPr>
        <w:t>,</w:t>
      </w:r>
      <w:r w:rsidRPr="00397D58">
        <w:rPr>
          <w:rFonts w:cs="Arial"/>
          <w:rtl/>
        </w:rPr>
        <w:t xml:space="preserve"> שאני התם שהלוה פרע וכיון שהמלוה מודה שפרע לו שטר אחד אם טען שלא פרע אלא הקטן עליו להביא ראיה אבל בנותן או מוחל שטר שיש לו על ראובן נ"ל דראובן מקבל מתנה הוא ועליו להביא ראיה מה נתן לו או מה מחל לו</w:t>
      </w:r>
      <w:r>
        <w:rPr>
          <w:rFonts w:cs="Arial" w:hint="cs"/>
          <w:rtl/>
        </w:rPr>
        <w:t>.</w:t>
      </w:r>
      <w:r w:rsidRPr="00397D58">
        <w:rPr>
          <w:rFonts w:cs="Arial"/>
          <w:rtl/>
        </w:rPr>
        <w:t xml:space="preserve"> ותדע מדא"ל התם רבינא לרבא אלא מעתה שדי מכורה לך שדה גדולה מכורה לו וא"ל שאני התם דיד בעל השטר על התחתונה</w:t>
      </w:r>
      <w:r>
        <w:rPr>
          <w:rFonts w:cs="Arial" w:hint="cs"/>
          <w:rtl/>
        </w:rPr>
        <w:t>,</w:t>
      </w:r>
      <w:r w:rsidRPr="00397D58">
        <w:rPr>
          <w:rFonts w:cs="Arial"/>
          <w:rtl/>
        </w:rPr>
        <w:t xml:space="preserve"> אלמא יש הפרש בין אומר שטר לך בידי פרוע לנותן שטרו וכן יש לומר שה"ה במוחל</w:t>
      </w:r>
      <w:r>
        <w:rPr>
          <w:rFonts w:cs="Arial" w:hint="cs"/>
          <w:rtl/>
        </w:rPr>
        <w:t>.</w:t>
      </w:r>
    </w:p>
  </w:footnote>
  <w:footnote w:id="1595">
    <w:p w14:paraId="79168C60" w14:textId="569C6D22" w:rsidR="00366471" w:rsidRDefault="00366471">
      <w:pPr>
        <w:pStyle w:val="a5"/>
      </w:pPr>
      <w:r>
        <w:rPr>
          <w:rStyle w:val="a7"/>
        </w:rPr>
        <w:footnoteRef/>
      </w:r>
      <w:r>
        <w:rPr>
          <w:rtl/>
        </w:rPr>
        <w:t xml:space="preserve"> </w:t>
      </w:r>
      <w:r>
        <w:rPr>
          <w:rFonts w:cs="Arial"/>
          <w:rtl/>
        </w:rPr>
        <w:t>בגליון ש"ע ר</w:t>
      </w:r>
      <w:r>
        <w:rPr>
          <w:rFonts w:cs="Arial" w:hint="cs"/>
          <w:rtl/>
        </w:rPr>
        <w:t>עק"א</w:t>
      </w:r>
      <w:r>
        <w:rPr>
          <w:rFonts w:cs="Arial"/>
          <w:rtl/>
        </w:rPr>
        <w:t xml:space="preserve"> זצ"ל נ"ב אם כתובתה היה ר' ר"ט ונדונייתה ג"כ סך ר' ר"ט והיא מחלה ר' ר"ט יכולה לומר מחלתי הנדוניא וניזונת בשביל הכתובה כנלע"ד ע' בתשו' הרשב"א הובא בב"י עכ"ל</w:t>
      </w:r>
      <w:r>
        <w:rPr>
          <w:rFonts w:cs="Arial" w:hint="cs"/>
          <w:rtl/>
        </w:rPr>
        <w:t>, פת"ש (סק"י</w:t>
      </w:r>
      <w:r>
        <w:rPr>
          <w:rFonts w:cs="Arial"/>
          <w:rtl/>
        </w:rPr>
        <w:t>)</w:t>
      </w:r>
    </w:p>
  </w:footnote>
  <w:footnote w:id="1596">
    <w:p w14:paraId="2AC48306" w14:textId="77777777" w:rsidR="006D41C9" w:rsidRDefault="006D41C9" w:rsidP="006D41C9">
      <w:pPr>
        <w:pStyle w:val="a5"/>
        <w:rPr>
          <w:rtl/>
        </w:rPr>
      </w:pPr>
      <w:r>
        <w:rPr>
          <w:rStyle w:val="a7"/>
        </w:rPr>
        <w:footnoteRef/>
      </w:r>
      <w:r>
        <w:rPr>
          <w:rtl/>
        </w:rPr>
        <w:t xml:space="preserve"> </w:t>
      </w:r>
      <w:r w:rsidRPr="008D3B49">
        <w:rPr>
          <w:rFonts w:cs="Arial"/>
          <w:rtl/>
        </w:rPr>
        <w:t>אותם הקרקעות עצמן</w:t>
      </w:r>
      <w:r>
        <w:rPr>
          <w:rFonts w:cs="Arial" w:hint="cs"/>
          <w:rtl/>
        </w:rPr>
        <w:t>, רש"י.</w:t>
      </w:r>
    </w:p>
  </w:footnote>
  <w:footnote w:id="1597">
    <w:p w14:paraId="4153679C" w14:textId="77777777" w:rsidR="00D12F23" w:rsidRDefault="00D12F23" w:rsidP="00D12F23">
      <w:pPr>
        <w:pStyle w:val="a5"/>
      </w:pPr>
      <w:r>
        <w:rPr>
          <w:rStyle w:val="a7"/>
        </w:rPr>
        <w:footnoteRef/>
      </w:r>
      <w:r>
        <w:rPr>
          <w:rtl/>
        </w:rPr>
        <w:t xml:space="preserve"> </w:t>
      </w:r>
      <w:r>
        <w:rPr>
          <w:rFonts w:hint="cs"/>
          <w:rtl/>
        </w:rPr>
        <w:t>סימן - צנועה ויתרה.</w:t>
      </w:r>
    </w:p>
  </w:footnote>
  <w:footnote w:id="1598">
    <w:p w14:paraId="37BAA895" w14:textId="77777777" w:rsidR="00D12F23" w:rsidRDefault="00D12F23" w:rsidP="00D12F23">
      <w:pPr>
        <w:pStyle w:val="a5"/>
        <w:rPr>
          <w:rtl/>
        </w:rPr>
      </w:pPr>
      <w:r>
        <w:rPr>
          <w:rStyle w:val="a7"/>
        </w:rPr>
        <w:footnoteRef/>
      </w:r>
      <w:r>
        <w:rPr>
          <w:rtl/>
        </w:rPr>
        <w:t xml:space="preserve"> </w:t>
      </w:r>
      <w:r w:rsidRPr="00A34CA3">
        <w:rPr>
          <w:rFonts w:cs="Arial"/>
          <w:rtl/>
        </w:rPr>
        <w:t>היכולת בידה להמתין</w:t>
      </w:r>
      <w:r>
        <w:rPr>
          <w:rFonts w:cs="Arial" w:hint="cs"/>
          <w:rtl/>
        </w:rPr>
        <w:t>,</w:t>
      </w:r>
      <w:r w:rsidRPr="00A34CA3">
        <w:rPr>
          <w:rFonts w:cs="Arial"/>
          <w:rtl/>
        </w:rPr>
        <w:t xml:space="preserve"> הלכך אי נמי לא תבעה לאו מחילה היא עד שלש שנים אבל ענייה מדלא תבעתן מחלתן</w:t>
      </w:r>
      <w:r>
        <w:rPr>
          <w:rFonts w:hint="cs"/>
          <w:rtl/>
        </w:rPr>
        <w:t>, רש"י.</w:t>
      </w:r>
    </w:p>
  </w:footnote>
  <w:footnote w:id="1599">
    <w:p w14:paraId="0EE23EF6" w14:textId="77777777" w:rsidR="00D12F23" w:rsidRDefault="00D12F23" w:rsidP="00D12F23">
      <w:pPr>
        <w:pStyle w:val="a5"/>
      </w:pPr>
      <w:r>
        <w:rPr>
          <w:rStyle w:val="a7"/>
        </w:rPr>
        <w:footnoteRef/>
      </w:r>
      <w:r>
        <w:rPr>
          <w:rtl/>
        </w:rPr>
        <w:t xml:space="preserve"> </w:t>
      </w:r>
      <w:r w:rsidRPr="00A34CA3">
        <w:rPr>
          <w:rFonts w:cs="Arial"/>
          <w:rtl/>
        </w:rPr>
        <w:t>בושה לבא לב"ד הלכך בשתי שנים לאו מחילה היא</w:t>
      </w:r>
      <w:r>
        <w:rPr>
          <w:rFonts w:cs="Arial" w:hint="cs"/>
          <w:rtl/>
        </w:rPr>
        <w:t>, רש"י.</w:t>
      </w:r>
    </w:p>
  </w:footnote>
  <w:footnote w:id="1600">
    <w:p w14:paraId="18962D40" w14:textId="77777777" w:rsidR="00D12F23" w:rsidRDefault="00D12F23" w:rsidP="00D12F23">
      <w:pPr>
        <w:pStyle w:val="a5"/>
      </w:pPr>
      <w:r>
        <w:rPr>
          <w:rStyle w:val="a7"/>
        </w:rPr>
        <w:footnoteRef/>
      </w:r>
      <w:r>
        <w:rPr>
          <w:rtl/>
        </w:rPr>
        <w:t xml:space="preserve"> </w:t>
      </w:r>
      <w:r w:rsidRPr="001E44F9">
        <w:rPr>
          <w:rFonts w:cs="Arial"/>
          <w:rtl/>
        </w:rPr>
        <w:t>אותן שתי שנים שעברו איבדה</w:t>
      </w:r>
      <w:r>
        <w:rPr>
          <w:rFonts w:cs="Arial" w:hint="cs"/>
          <w:rtl/>
        </w:rPr>
        <w:t>, רש"י.</w:t>
      </w:r>
    </w:p>
  </w:footnote>
  <w:footnote w:id="1601">
    <w:p w14:paraId="4FBCFD59" w14:textId="3DEA927F" w:rsidR="00862C2A" w:rsidRDefault="00862C2A" w:rsidP="00862C2A">
      <w:pPr>
        <w:pStyle w:val="a5"/>
      </w:pPr>
      <w:r>
        <w:rPr>
          <w:rStyle w:val="a7"/>
        </w:rPr>
        <w:footnoteRef/>
      </w:r>
      <w:r>
        <w:rPr>
          <w:rtl/>
        </w:rPr>
        <w:t xml:space="preserve"> </w:t>
      </w:r>
      <w:r w:rsidRPr="00F22E6E">
        <w:rPr>
          <w:rFonts w:cs="Arial"/>
          <w:rtl/>
        </w:rPr>
        <w:t>וע"ל סימן ע' (אות ט) אשת איש ששתקה לבעלה אימת הוי מחילה</w:t>
      </w:r>
      <w:r>
        <w:rPr>
          <w:rFonts w:cs="Arial" w:hint="cs"/>
          <w:rtl/>
        </w:rPr>
        <w:t>, דרכ"מ (אות ח).</w:t>
      </w:r>
    </w:p>
  </w:footnote>
  <w:footnote w:id="1602">
    <w:p w14:paraId="7BEC2A0C" w14:textId="089D51FB" w:rsidR="00077DF1" w:rsidRPr="00A91D9C" w:rsidRDefault="00077DF1">
      <w:pPr>
        <w:pStyle w:val="a5"/>
        <w:rPr>
          <w:b/>
          <w:bCs/>
        </w:rPr>
      </w:pPr>
      <w:r>
        <w:rPr>
          <w:rStyle w:val="a7"/>
        </w:rPr>
        <w:footnoteRef/>
      </w:r>
      <w:r>
        <w:rPr>
          <w:rtl/>
        </w:rPr>
        <w:t xml:space="preserve"> </w:t>
      </w:r>
      <w:r>
        <w:rPr>
          <w:rFonts w:cs="Arial"/>
          <w:rtl/>
        </w:rPr>
        <w:t>וכן ראיתי למורי הרב ז"ל שדן אפילו לאשה שהלכה לבית אביה מפני מריבה שהיה לה עם בעלה</w:t>
      </w:r>
      <w:r>
        <w:rPr>
          <w:rFonts w:cs="Arial" w:hint="cs"/>
          <w:rtl/>
        </w:rPr>
        <w:t>,</w:t>
      </w:r>
      <w:r>
        <w:rPr>
          <w:rFonts w:cs="Arial"/>
          <w:rtl/>
        </w:rPr>
        <w:t xml:space="preserve"> כיון שלא מסרה מודעא בפני עדים שלא מחלה אותם</w:t>
      </w:r>
      <w:r>
        <w:rPr>
          <w:rFonts w:cs="Arial" w:hint="cs"/>
          <w:rtl/>
        </w:rPr>
        <w:t>,</w:t>
      </w:r>
      <w:r w:rsidRPr="00077DF1">
        <w:rPr>
          <w:rFonts w:cs="Arial"/>
          <w:rtl/>
        </w:rPr>
        <w:t xml:space="preserve"> </w:t>
      </w:r>
      <w:r>
        <w:rPr>
          <w:rFonts w:cs="Arial"/>
          <w:rtl/>
        </w:rPr>
        <w:t>ריטב"א (צו. ד"ה מעש</w:t>
      </w:r>
      <w:r w:rsidR="00A91D9C">
        <w:rPr>
          <w:rFonts w:cs="Arial" w:hint="cs"/>
          <w:rtl/>
        </w:rPr>
        <w:t>ה</w:t>
      </w:r>
      <w:r>
        <w:rPr>
          <w:rFonts w:cs="Arial"/>
          <w:rtl/>
        </w:rPr>
        <w:t>)</w:t>
      </w:r>
      <w:r>
        <w:rPr>
          <w:rFonts w:cs="Arial" w:hint="cs"/>
          <w:rtl/>
        </w:rPr>
        <w:t>.</w:t>
      </w:r>
      <w:r w:rsidR="00A91D9C" w:rsidRPr="00A91D9C">
        <w:rPr>
          <w:rFonts w:cs="Arial"/>
          <w:rtl/>
        </w:rPr>
        <w:t xml:space="preserve"> </w:t>
      </w:r>
      <w:r w:rsidR="00A91D9C">
        <w:rPr>
          <w:rFonts w:cs="Arial"/>
          <w:rtl/>
        </w:rPr>
        <w:t>וכתב עוד (הריטב"א שם ד"ה אמר רבא) ומסתבר שדין רפואה כדין מזונות דהא חיוב רפואה מדין מזונות היא כדכתיבנא בפרק נערה (נב: ד"ה במתני' נשבית וד"ה א"נ) עכ"ל</w:t>
      </w:r>
      <w:r w:rsidR="00A91D9C">
        <w:rPr>
          <w:rFonts w:cs="Arial" w:hint="cs"/>
          <w:rtl/>
        </w:rPr>
        <w:t>, ב"י.</w:t>
      </w:r>
    </w:p>
  </w:footnote>
  <w:footnote w:id="1603">
    <w:p w14:paraId="564D3370" w14:textId="77777777" w:rsidR="00650457" w:rsidRDefault="00650457" w:rsidP="00650457">
      <w:pPr>
        <w:pStyle w:val="a5"/>
      </w:pPr>
      <w:r>
        <w:rPr>
          <w:rStyle w:val="a7"/>
        </w:rPr>
        <w:footnoteRef/>
      </w:r>
      <w:r>
        <w:rPr>
          <w:rtl/>
        </w:rPr>
        <w:t xml:space="preserve"> </w:t>
      </w:r>
      <w:r w:rsidRPr="004B38E4">
        <w:rPr>
          <w:rFonts w:cs="Arial"/>
          <w:rtl/>
        </w:rPr>
        <w:t>וכתב הר"ן ע</w:t>
      </w:r>
      <w:r>
        <w:rPr>
          <w:rFonts w:cs="Arial" w:hint="cs"/>
          <w:rtl/>
        </w:rPr>
        <w:t>ל זה:</w:t>
      </w:r>
      <w:r w:rsidRPr="004B38E4">
        <w:rPr>
          <w:rFonts w:cs="Arial"/>
          <w:rtl/>
        </w:rPr>
        <w:t xml:space="preserve"> ודינו ז"ל במכרה בנכסי מלוג צל"ע דכיון דמפלגינן בין עשירה לעניה ובין צנועה לפרוצה אדרבה א"ל דדוקא באלמנה הוא דהפסידה לפי שאם לא מחלה המזונות לא היתה בושה לתבוע היורשים אבל באשת איש שעושה נחת רוח לבעלה איכא למימר שלא הפסידה לעולם ומשום הכי נקט אלמנה עכ"ל</w:t>
      </w:r>
      <w:r>
        <w:rPr>
          <w:rFonts w:cs="Arial" w:hint="cs"/>
          <w:rtl/>
        </w:rPr>
        <w:t>, ב"י</w:t>
      </w:r>
      <w:r w:rsidRPr="004B38E4">
        <w:rPr>
          <w:rFonts w:cs="Arial"/>
          <w:rtl/>
        </w:rPr>
        <w:t>.</w:t>
      </w:r>
    </w:p>
  </w:footnote>
  <w:footnote w:id="1604">
    <w:p w14:paraId="23F2EA88" w14:textId="2CCF4255" w:rsidR="00571687" w:rsidRDefault="00571687">
      <w:pPr>
        <w:pStyle w:val="a5"/>
      </w:pPr>
      <w:r>
        <w:rPr>
          <w:rStyle w:val="a7"/>
        </w:rPr>
        <w:footnoteRef/>
      </w:r>
      <w:r>
        <w:rPr>
          <w:rtl/>
        </w:rPr>
        <w:t xml:space="preserve"> </w:t>
      </w:r>
      <w:r>
        <w:rPr>
          <w:rFonts w:cs="Arial"/>
          <w:rtl/>
        </w:rPr>
        <w:t>וכתב הה</w:t>
      </w:r>
      <w:r>
        <w:rPr>
          <w:rFonts w:cs="Arial" w:hint="cs"/>
          <w:rtl/>
        </w:rPr>
        <w:t>"</w:t>
      </w:r>
      <w:r>
        <w:rPr>
          <w:rFonts w:cs="Arial"/>
          <w:rtl/>
        </w:rPr>
        <w:t>מ</w:t>
      </w:r>
      <w:r>
        <w:rPr>
          <w:rFonts w:cs="Arial" w:hint="cs"/>
          <w:rtl/>
        </w:rPr>
        <w:t xml:space="preserve"> (שם):</w:t>
      </w:r>
      <w:r>
        <w:rPr>
          <w:rFonts w:cs="Arial"/>
          <w:rtl/>
        </w:rPr>
        <w:t xml:space="preserve"> נראה לי טעם לדבריו שהצריכה היסת</w:t>
      </w:r>
      <w:r>
        <w:rPr>
          <w:rFonts w:cs="Arial" w:hint="cs"/>
          <w:rtl/>
        </w:rPr>
        <w:t>,</w:t>
      </w:r>
      <w:r>
        <w:rPr>
          <w:rFonts w:cs="Arial"/>
          <w:rtl/>
        </w:rPr>
        <w:t xml:space="preserve"> מפני שכיון שהנכסים בחזקתה הרי היתומים כבאים להוציא</w:t>
      </w:r>
      <w:r>
        <w:rPr>
          <w:rFonts w:cs="Arial" w:hint="cs"/>
          <w:rtl/>
        </w:rPr>
        <w:t>,</w:t>
      </w:r>
      <w:r>
        <w:rPr>
          <w:rFonts w:cs="Arial"/>
          <w:rtl/>
        </w:rPr>
        <w:t xml:space="preserve"> וכמי שטוען לחבירו מנה לי בידך והלה כופר בכל בידוע שהנתבע נשבע היסת ונפטר</w:t>
      </w:r>
      <w:r>
        <w:rPr>
          <w:rFonts w:cs="Arial" w:hint="cs"/>
          <w:rtl/>
        </w:rPr>
        <w:t>,</w:t>
      </w:r>
      <w:r>
        <w:rPr>
          <w:rFonts w:cs="Arial"/>
          <w:rtl/>
        </w:rPr>
        <w:t xml:space="preserve"> אף כאן היא נשבעת ונשארים הנכסים בחזקתה ומוכרת מהם למזונות</w:t>
      </w:r>
      <w:r>
        <w:rPr>
          <w:rFonts w:cs="Arial" w:hint="cs"/>
          <w:rtl/>
        </w:rPr>
        <w:t>,</w:t>
      </w:r>
      <w:r>
        <w:rPr>
          <w:rFonts w:cs="Arial"/>
          <w:rtl/>
        </w:rPr>
        <w:t xml:space="preserve"> וכשנשאת הוא בהפך עכ"ל. וכ</w:t>
      </w:r>
      <w:r>
        <w:rPr>
          <w:rFonts w:cs="Arial" w:hint="cs"/>
          <w:rtl/>
        </w:rPr>
        <w:t>"</w:t>
      </w:r>
      <w:r>
        <w:rPr>
          <w:rFonts w:cs="Arial"/>
          <w:rtl/>
        </w:rPr>
        <w:t>כ הר"ן (נו. דיבור ראשון)</w:t>
      </w:r>
      <w:r>
        <w:rPr>
          <w:rFonts w:cs="Arial" w:hint="cs"/>
          <w:rtl/>
        </w:rPr>
        <w:t>...</w:t>
      </w:r>
      <w:r w:rsidRPr="00A65A73">
        <w:rPr>
          <w:rFonts w:cs="Arial"/>
          <w:rtl/>
        </w:rPr>
        <w:t xml:space="preserve"> </w:t>
      </w:r>
      <w:r>
        <w:rPr>
          <w:rFonts w:cs="Arial"/>
          <w:rtl/>
        </w:rPr>
        <w:t>וכ</w:t>
      </w:r>
      <w:r>
        <w:rPr>
          <w:rFonts w:cs="Arial" w:hint="cs"/>
          <w:rtl/>
        </w:rPr>
        <w:t>"</w:t>
      </w:r>
      <w:r>
        <w:rPr>
          <w:rFonts w:cs="Arial"/>
          <w:rtl/>
        </w:rPr>
        <w:t>כ</w:t>
      </w:r>
      <w:r>
        <w:rPr>
          <w:rFonts w:cs="Arial" w:hint="cs"/>
          <w:rtl/>
        </w:rPr>
        <w:t xml:space="preserve"> </w:t>
      </w:r>
      <w:r>
        <w:rPr>
          <w:rFonts w:cs="Arial"/>
          <w:rtl/>
        </w:rPr>
        <w:t>בהעי</w:t>
      </w:r>
      <w:r>
        <w:rPr>
          <w:rFonts w:cs="Arial" w:hint="cs"/>
          <w:rtl/>
        </w:rPr>
        <w:t>"</w:t>
      </w:r>
      <w:r>
        <w:rPr>
          <w:rFonts w:cs="Arial"/>
          <w:rtl/>
        </w:rPr>
        <w:t>ט (אות כ כתובות לה ע"ב)</w:t>
      </w:r>
      <w:r>
        <w:rPr>
          <w:rFonts w:cs="Arial" w:hint="cs"/>
          <w:rtl/>
        </w:rPr>
        <w:t>, ב"י.      ויש לציין שלפני הרשב"א (הביאו הר"ן שם) ו</w:t>
      </w:r>
      <w:r>
        <w:rPr>
          <w:rFonts w:cs="Arial"/>
          <w:rtl/>
        </w:rPr>
        <w:t xml:space="preserve">הריטב"א (צו: ד"ה דין והלכתא) </w:t>
      </w:r>
      <w:r>
        <w:rPr>
          <w:rFonts w:cs="Arial" w:hint="cs"/>
          <w:rtl/>
        </w:rPr>
        <w:t xml:space="preserve">היה כתוב בדברי </w:t>
      </w:r>
      <w:r>
        <w:rPr>
          <w:rFonts w:cs="Arial"/>
          <w:rtl/>
        </w:rPr>
        <w:t>הרמב"ם שנשבעת כעין של תורה</w:t>
      </w:r>
      <w:r>
        <w:rPr>
          <w:rFonts w:cs="Arial" w:hint="cs"/>
          <w:rtl/>
        </w:rPr>
        <w:t>. וניסו הרשב"א והריטב"א ליתן טעם לדבריו למה נשבעת כעין של תורה, ודחה הר"ן את דבריהם.</w:t>
      </w:r>
    </w:p>
  </w:footnote>
  <w:footnote w:id="1605">
    <w:p w14:paraId="07F57F15" w14:textId="77777777" w:rsidR="0098097B" w:rsidRDefault="0098097B" w:rsidP="0098097B">
      <w:pPr>
        <w:pStyle w:val="a5"/>
      </w:pPr>
      <w:r>
        <w:rPr>
          <w:rStyle w:val="a7"/>
        </w:rPr>
        <w:footnoteRef/>
      </w:r>
      <w:r>
        <w:rPr>
          <w:rtl/>
        </w:rPr>
        <w:t xml:space="preserve"> </w:t>
      </w:r>
      <w:r w:rsidRPr="00FB669E">
        <w:rPr>
          <w:rFonts w:cs="Arial"/>
          <w:rtl/>
        </w:rPr>
        <w:t>מרבה לאכול</w:t>
      </w:r>
      <w:r>
        <w:rPr>
          <w:rFonts w:cs="Arial" w:hint="cs"/>
          <w:rtl/>
        </w:rPr>
        <w:t>, רש"י.</w:t>
      </w:r>
    </w:p>
  </w:footnote>
  <w:footnote w:id="1606">
    <w:p w14:paraId="7018F210" w14:textId="77777777" w:rsidR="0098097B" w:rsidRDefault="0098097B" w:rsidP="0098097B">
      <w:pPr>
        <w:pStyle w:val="a5"/>
      </w:pPr>
      <w:r>
        <w:rPr>
          <w:rStyle w:val="a7"/>
        </w:rPr>
        <w:footnoteRef/>
      </w:r>
      <w:r>
        <w:rPr>
          <w:rtl/>
        </w:rPr>
        <w:t xml:space="preserve"> </w:t>
      </w:r>
      <w:r w:rsidRPr="00E67B4D">
        <w:rPr>
          <w:rFonts w:cs="Arial"/>
          <w:rtl/>
        </w:rPr>
        <w:t>בצוואת שכיב מרע ובעדים אולי תקבל עליה</w:t>
      </w:r>
      <w:r>
        <w:rPr>
          <w:rFonts w:cs="Arial" w:hint="cs"/>
          <w:rtl/>
        </w:rPr>
        <w:t>,</w:t>
      </w:r>
      <w:r w:rsidRPr="00E67B4D">
        <w:rPr>
          <w:rFonts w:cs="Arial"/>
          <w:rtl/>
        </w:rPr>
        <w:t xml:space="preserve"> דאפי' גבי כתובה תנן (פאה פ"ג מ"ז) הכותב כל נכסיו לבניו וכתב לאשתו קרקע כל שהוא אבדה כתובתה</w:t>
      </w:r>
      <w:r>
        <w:rPr>
          <w:rFonts w:cs="Arial" w:hint="cs"/>
          <w:rtl/>
        </w:rPr>
        <w:t>,</w:t>
      </w:r>
      <w:r w:rsidRPr="00E67B4D">
        <w:rPr>
          <w:rFonts w:cs="Arial"/>
          <w:rtl/>
        </w:rPr>
        <w:t xml:space="preserve"> רבי יוסי אומר אם קבלה עליה אע</w:t>
      </w:r>
      <w:r>
        <w:rPr>
          <w:rFonts w:cs="Arial" w:hint="cs"/>
          <w:rtl/>
        </w:rPr>
        <w:t>"</w:t>
      </w:r>
      <w:r w:rsidRPr="00E67B4D">
        <w:rPr>
          <w:rFonts w:cs="Arial"/>
          <w:rtl/>
        </w:rPr>
        <w:t>פ שלא כתב לה</w:t>
      </w:r>
      <w:r>
        <w:rPr>
          <w:rFonts w:cs="Arial" w:hint="cs"/>
          <w:rtl/>
        </w:rPr>
        <w:t>..., רש"י.</w:t>
      </w:r>
    </w:p>
  </w:footnote>
  <w:footnote w:id="1607">
    <w:p w14:paraId="080B3AD0" w14:textId="77777777" w:rsidR="0098097B" w:rsidRDefault="0098097B" w:rsidP="0098097B">
      <w:pPr>
        <w:pStyle w:val="a5"/>
      </w:pPr>
      <w:r>
        <w:rPr>
          <w:rStyle w:val="a7"/>
        </w:rPr>
        <w:footnoteRef/>
      </w:r>
      <w:r>
        <w:rPr>
          <w:rtl/>
        </w:rPr>
        <w:t xml:space="preserve"> </w:t>
      </w:r>
      <w:r w:rsidRPr="00EF5DBB">
        <w:rPr>
          <w:rFonts w:cs="Arial"/>
          <w:rtl/>
        </w:rPr>
        <w:t xml:space="preserve">אם אמר קרקע זו למזונותיך אין זה אלא </w:t>
      </w:r>
      <w:r>
        <w:rPr>
          <w:rFonts w:cs="Arial" w:hint="cs"/>
          <w:rtl/>
        </w:rPr>
        <w:t>"</w:t>
      </w:r>
      <w:r w:rsidRPr="00EF5DBB">
        <w:rPr>
          <w:rFonts w:cs="Arial"/>
          <w:rtl/>
        </w:rPr>
        <w:t>אם לא יתנו ליך מזונות מרווחים אלא מצומצמים טלי קרקע זו להעדפה</w:t>
      </w:r>
      <w:r>
        <w:rPr>
          <w:rFonts w:cs="Arial" w:hint="cs"/>
          <w:rtl/>
        </w:rPr>
        <w:t>",</w:t>
      </w:r>
      <w:r w:rsidRPr="00EF5DBB">
        <w:rPr>
          <w:rFonts w:cs="Arial"/>
          <w:rtl/>
        </w:rPr>
        <w:t xml:space="preserve"> דאי לשעבדה למזונותיה הרי כל נכסיו משועבדים לכך</w:t>
      </w:r>
      <w:r>
        <w:rPr>
          <w:rFonts w:cs="Arial" w:hint="cs"/>
          <w:rtl/>
        </w:rPr>
        <w:t>, רש"י.</w:t>
      </w:r>
    </w:p>
  </w:footnote>
  <w:footnote w:id="1608">
    <w:p w14:paraId="31DBFFBA" w14:textId="77777777" w:rsidR="0098097B" w:rsidRDefault="0098097B" w:rsidP="0098097B">
      <w:pPr>
        <w:pStyle w:val="a5"/>
      </w:pPr>
      <w:r>
        <w:rPr>
          <w:rStyle w:val="a7"/>
        </w:rPr>
        <w:footnoteRef/>
      </w:r>
      <w:r>
        <w:rPr>
          <w:rtl/>
        </w:rPr>
        <w:t xml:space="preserve"> </w:t>
      </w:r>
      <w:r w:rsidRPr="00F07973">
        <w:rPr>
          <w:rFonts w:cs="Arial"/>
          <w:rtl/>
        </w:rPr>
        <w:t>אנוש כערכי וראוי לחלוק עלי</w:t>
      </w:r>
      <w:r>
        <w:rPr>
          <w:rFonts w:cs="Arial" w:hint="cs"/>
          <w:rtl/>
        </w:rPr>
        <w:t>, רש"י.</w:t>
      </w:r>
    </w:p>
  </w:footnote>
  <w:footnote w:id="1609">
    <w:p w14:paraId="5FEE44F5" w14:textId="77777777" w:rsidR="0098097B" w:rsidRDefault="0098097B" w:rsidP="0098097B">
      <w:pPr>
        <w:pStyle w:val="a5"/>
      </w:pPr>
      <w:r>
        <w:rPr>
          <w:rStyle w:val="a7"/>
        </w:rPr>
        <w:footnoteRef/>
      </w:r>
      <w:r>
        <w:rPr>
          <w:rtl/>
        </w:rPr>
        <w:t xml:space="preserve"> </w:t>
      </w:r>
      <w:r w:rsidRPr="00F07973">
        <w:rPr>
          <w:rFonts w:cs="Arial"/>
          <w:rtl/>
        </w:rPr>
        <w:t>בחוב מזונות שיש ליך עלי משמע שזו תהא פרעון לכך</w:t>
      </w:r>
      <w:r>
        <w:rPr>
          <w:rFonts w:cs="Arial" w:hint="cs"/>
          <w:rtl/>
        </w:rPr>
        <w:t>, רש"י.</w:t>
      </w:r>
    </w:p>
  </w:footnote>
  <w:footnote w:id="1610">
    <w:p w14:paraId="5165EBA3" w14:textId="4D47F491" w:rsidR="0098097B" w:rsidRDefault="0098097B">
      <w:pPr>
        <w:pStyle w:val="a5"/>
      </w:pPr>
      <w:r>
        <w:rPr>
          <w:rStyle w:val="a7"/>
        </w:rPr>
        <w:footnoteRef/>
      </w:r>
      <w:r>
        <w:rPr>
          <w:rtl/>
        </w:rPr>
        <w:t xml:space="preserve"> </w:t>
      </w:r>
      <w:r>
        <w:rPr>
          <w:rFonts w:cs="Arial"/>
          <w:rtl/>
        </w:rPr>
        <w:t>וכך מתבאר מדברי רש"י שכתבתי בסמוך</w:t>
      </w:r>
      <w:r>
        <w:rPr>
          <w:rFonts w:cs="Arial" w:hint="cs"/>
          <w:rtl/>
        </w:rPr>
        <w:t>,</w:t>
      </w:r>
      <w:r>
        <w:rPr>
          <w:rFonts w:cs="Arial"/>
          <w:rtl/>
        </w:rPr>
        <w:t xml:space="preserve"> דדוקא בהיתה שם ושתקה</w:t>
      </w:r>
      <w:r>
        <w:rPr>
          <w:rFonts w:cs="Arial" w:hint="cs"/>
          <w:rtl/>
        </w:rPr>
        <w:t>,</w:t>
      </w:r>
      <w:r>
        <w:rPr>
          <w:rFonts w:cs="Arial"/>
          <w:rtl/>
        </w:rPr>
        <w:t xml:space="preserve"> אבל אם לא היתה שם</w:t>
      </w:r>
      <w:r>
        <w:rPr>
          <w:rFonts w:cs="Arial" w:hint="cs"/>
          <w:rtl/>
        </w:rPr>
        <w:t>,</w:t>
      </w:r>
      <w:r>
        <w:rPr>
          <w:rFonts w:cs="Arial"/>
          <w:rtl/>
        </w:rPr>
        <w:t xml:space="preserve"> או שהיתה שם ומיחת</w:t>
      </w:r>
      <w:r>
        <w:rPr>
          <w:rFonts w:cs="Arial" w:hint="cs"/>
          <w:rtl/>
        </w:rPr>
        <w:t>,</w:t>
      </w:r>
      <w:r>
        <w:rPr>
          <w:rFonts w:cs="Arial"/>
          <w:rtl/>
        </w:rPr>
        <w:t xml:space="preserve"> אם אותו מקום שייחד לה אינו מספיק למזונותיה לאו כל הימינו של בעל לגרוע מזונותיה בעל כרחה</w:t>
      </w:r>
      <w:r>
        <w:rPr>
          <w:rFonts w:cs="Arial" w:hint="cs"/>
          <w:rtl/>
        </w:rPr>
        <w:t>,</w:t>
      </w:r>
      <w:r>
        <w:rPr>
          <w:rFonts w:cs="Arial"/>
          <w:rtl/>
        </w:rPr>
        <w:t xml:space="preserve"> ופשוט הוא</w:t>
      </w:r>
      <w:r>
        <w:rPr>
          <w:rFonts w:cs="Arial" w:hint="cs"/>
          <w:rtl/>
        </w:rPr>
        <w:t>, ב"י.</w:t>
      </w:r>
    </w:p>
  </w:footnote>
  <w:footnote w:id="1611">
    <w:p w14:paraId="626E2D0C" w14:textId="243A1DB0" w:rsidR="005C6D67" w:rsidRDefault="005C6D67">
      <w:pPr>
        <w:pStyle w:val="a5"/>
      </w:pPr>
      <w:r>
        <w:rPr>
          <w:rStyle w:val="a7"/>
        </w:rPr>
        <w:footnoteRef/>
      </w:r>
      <w:r>
        <w:rPr>
          <w:rtl/>
        </w:rPr>
        <w:t xml:space="preserve"> </w:t>
      </w:r>
      <w:r w:rsidRPr="005C6D67">
        <w:rPr>
          <w:rFonts w:cs="Arial"/>
          <w:rtl/>
        </w:rPr>
        <w:t>כתובתה לא גביא שמא לא גירשה</w:t>
      </w:r>
      <w:r>
        <w:rPr>
          <w:rFonts w:cs="Arial" w:hint="cs"/>
          <w:rtl/>
        </w:rPr>
        <w:t>,</w:t>
      </w:r>
      <w:r w:rsidRPr="005C6D67">
        <w:rPr>
          <w:rFonts w:cs="Arial"/>
          <w:rtl/>
        </w:rPr>
        <w:t xml:space="preserve"> ובגירושין לא האמינוה</w:t>
      </w:r>
      <w:r>
        <w:rPr>
          <w:rFonts w:cs="Arial" w:hint="cs"/>
          <w:rtl/>
        </w:rPr>
        <w:t>,</w:t>
      </w:r>
      <w:r w:rsidRPr="005C6D67">
        <w:rPr>
          <w:rFonts w:cs="Arial"/>
          <w:rtl/>
        </w:rPr>
        <w:t xml:space="preserve"> אבל מזוני יהבינן לה ובפרעון כתובה ממה נפשך</w:t>
      </w:r>
      <w:r>
        <w:rPr>
          <w:rFonts w:cs="Arial" w:hint="cs"/>
          <w:rtl/>
        </w:rPr>
        <w:t>,</w:t>
      </w:r>
      <w:r w:rsidRPr="005C6D67">
        <w:rPr>
          <w:rFonts w:cs="Arial"/>
          <w:rtl/>
        </w:rPr>
        <w:t xml:space="preserve"> אם גירשה הרי נטלתן בכתובתה</w:t>
      </w:r>
      <w:r>
        <w:rPr>
          <w:rFonts w:cs="Arial" w:hint="cs"/>
          <w:rtl/>
        </w:rPr>
        <w:t>,</w:t>
      </w:r>
      <w:r w:rsidRPr="005C6D67">
        <w:rPr>
          <w:rFonts w:cs="Arial"/>
          <w:rtl/>
        </w:rPr>
        <w:t xml:space="preserve"> ואם לאו הרי הוא חייב במזונותיה</w:t>
      </w:r>
      <w:r>
        <w:rPr>
          <w:rFonts w:cs="Arial" w:hint="cs"/>
          <w:rtl/>
        </w:rPr>
        <w:t>, רש"י.</w:t>
      </w:r>
    </w:p>
  </w:footnote>
  <w:footnote w:id="1612">
    <w:p w14:paraId="16F49FF2" w14:textId="4642DFD0" w:rsidR="006A6867" w:rsidRDefault="006A6867">
      <w:pPr>
        <w:pStyle w:val="a5"/>
        <w:rPr>
          <w:rtl/>
        </w:rPr>
      </w:pPr>
      <w:r>
        <w:rPr>
          <w:rStyle w:val="a7"/>
        </w:rPr>
        <w:footnoteRef/>
      </w:r>
      <w:r>
        <w:rPr>
          <w:rtl/>
        </w:rPr>
        <w:t xml:space="preserve"> </w:t>
      </w:r>
      <w:r w:rsidRPr="006A6867">
        <w:rPr>
          <w:rFonts w:cs="Arial"/>
          <w:rtl/>
        </w:rPr>
        <w:t>שאמרה גרשני וגרושה אין לה מזונות</w:t>
      </w:r>
      <w:r>
        <w:rPr>
          <w:rFonts w:cs="Arial" w:hint="cs"/>
          <w:rtl/>
        </w:rPr>
        <w:t>.</w:t>
      </w:r>
      <w:r w:rsidRPr="006A6867">
        <w:rPr>
          <w:rFonts w:cs="Arial"/>
          <w:rtl/>
        </w:rPr>
        <w:t xml:space="preserve"> וכי תימא כיון דשמעה שמת תגבה כתובתה יחד </w:t>
      </w:r>
      <w:r>
        <w:rPr>
          <w:rFonts w:cs="Arial" w:hint="cs"/>
          <w:rtl/>
        </w:rPr>
        <w:t xml:space="preserve">- </w:t>
      </w:r>
      <w:r w:rsidRPr="006A6867">
        <w:rPr>
          <w:rFonts w:cs="Arial"/>
          <w:rtl/>
        </w:rPr>
        <w:t>אין הכי נמי</w:t>
      </w:r>
      <w:r>
        <w:rPr>
          <w:rFonts w:cs="Arial" w:hint="cs"/>
          <w:rtl/>
        </w:rPr>
        <w:t>,</w:t>
      </w:r>
      <w:r w:rsidRPr="006A6867">
        <w:rPr>
          <w:rFonts w:cs="Arial"/>
          <w:rtl/>
        </w:rPr>
        <w:t xml:space="preserve"> והאי דקאמר מתפרנסת והולכת </w:t>
      </w:r>
      <w:r>
        <w:rPr>
          <w:rFonts w:cs="Arial" w:hint="cs"/>
          <w:rtl/>
        </w:rPr>
        <w:t xml:space="preserve">- </w:t>
      </w:r>
      <w:r w:rsidRPr="006A6867">
        <w:rPr>
          <w:rFonts w:cs="Arial"/>
          <w:rtl/>
        </w:rPr>
        <w:t>אם אינה רוצה ליטול כתובתה</w:t>
      </w:r>
      <w:r>
        <w:rPr>
          <w:rFonts w:cs="Arial" w:hint="cs"/>
          <w:rtl/>
        </w:rPr>
        <w:t>,</w:t>
      </w:r>
      <w:r w:rsidRPr="006A6867">
        <w:rPr>
          <w:rFonts w:cs="Arial"/>
          <w:rtl/>
        </w:rPr>
        <w:t xml:space="preserve"> דסבורה שמא לא מת</w:t>
      </w:r>
      <w:r>
        <w:rPr>
          <w:rFonts w:cs="Arial" w:hint="cs"/>
          <w:rtl/>
        </w:rPr>
        <w:t>,</w:t>
      </w:r>
      <w:r w:rsidRPr="006A6867">
        <w:rPr>
          <w:rFonts w:cs="Arial"/>
          <w:rtl/>
        </w:rPr>
        <w:t xml:space="preserve"> ונוח לה ליטול לשם מזונות שאם יבא בעלה תהא כל כתובתה קיימת</w:t>
      </w:r>
      <w:r w:rsidR="00CA66E1">
        <w:rPr>
          <w:rFonts w:cs="Arial" w:hint="cs"/>
          <w:rtl/>
        </w:rPr>
        <w:t>.</w:t>
      </w:r>
      <w:r w:rsidRPr="006A6867">
        <w:rPr>
          <w:rFonts w:cs="Arial"/>
          <w:rtl/>
        </w:rPr>
        <w:t xml:space="preserve"> ומתפרנסת עד כדי כתובתה ותו לא יהבינן לה</w:t>
      </w:r>
      <w:r>
        <w:rPr>
          <w:rFonts w:hint="cs"/>
          <w:rtl/>
        </w:rPr>
        <w:t>, רש"י.</w:t>
      </w:r>
    </w:p>
  </w:footnote>
  <w:footnote w:id="1613">
    <w:p w14:paraId="6BC145F7" w14:textId="16292801" w:rsidR="00466266" w:rsidRDefault="00466266">
      <w:pPr>
        <w:pStyle w:val="a5"/>
      </w:pPr>
      <w:r>
        <w:rPr>
          <w:rStyle w:val="a7"/>
        </w:rPr>
        <w:footnoteRef/>
      </w:r>
      <w:r>
        <w:rPr>
          <w:rtl/>
        </w:rPr>
        <w:t xml:space="preserve"> </w:t>
      </w:r>
      <w:r w:rsidRPr="00466266">
        <w:rPr>
          <w:rFonts w:cs="Arial"/>
          <w:rtl/>
        </w:rPr>
        <w:t>אמנם זהו אם באה להוציא מיד אחרים או לגבות מקרקע, אבל במטלטלין שהם תחת ידיה תשבע כמה היתה כתובתה בין נדוניא ותוספת, שהעיקר ידוע הוא, ותשבע שלא מחלה לבעלה ולא מכרה, ותגבה מהמטלטלין שתחת ידיה</w:t>
      </w:r>
      <w:r>
        <w:rPr>
          <w:rFonts w:cs="Arial" w:hint="cs"/>
          <w:rtl/>
        </w:rPr>
        <w:t>, רשב"</w:t>
      </w:r>
      <w:r w:rsidR="003809E2">
        <w:rPr>
          <w:rFonts w:cs="Arial" w:hint="cs"/>
          <w:rtl/>
        </w:rPr>
        <w:t>ש (שם). וכתב עוד (שם) שכן הסכמת האחרונים. וצל"ע מדוע הב"י לא הביא דבריו.</w:t>
      </w:r>
    </w:p>
  </w:footnote>
  <w:footnote w:id="1614">
    <w:p w14:paraId="3375F036" w14:textId="2B14E569" w:rsidR="00B75E2D" w:rsidRDefault="00B75E2D">
      <w:pPr>
        <w:pStyle w:val="a5"/>
      </w:pPr>
      <w:r>
        <w:rPr>
          <w:rStyle w:val="a7"/>
        </w:rPr>
        <w:footnoteRef/>
      </w:r>
      <w:r>
        <w:rPr>
          <w:rtl/>
        </w:rPr>
        <w:t xml:space="preserve"> </w:t>
      </w:r>
      <w:r>
        <w:rPr>
          <w:rFonts w:hint="cs"/>
          <w:rtl/>
        </w:rPr>
        <w:t>סימן - דו קונם?</w:t>
      </w:r>
    </w:p>
  </w:footnote>
  <w:footnote w:id="1615">
    <w:p w14:paraId="2D95CDCB" w14:textId="77777777" w:rsidR="004559D6" w:rsidRDefault="004559D6" w:rsidP="004559D6">
      <w:pPr>
        <w:pStyle w:val="a5"/>
      </w:pPr>
      <w:r>
        <w:rPr>
          <w:rStyle w:val="a7"/>
        </w:rPr>
        <w:footnoteRef/>
      </w:r>
      <w:r>
        <w:rPr>
          <w:rtl/>
        </w:rPr>
        <w:t xml:space="preserve"> </w:t>
      </w:r>
      <w:r w:rsidRPr="0045731D">
        <w:rPr>
          <w:rFonts w:cs="Arial"/>
          <w:rtl/>
        </w:rPr>
        <w:t>כשישמעו בו שמת ותבא לגבות כתובתה תשבע שלא עכבה בידה משל בעלה כלום</w:t>
      </w:r>
      <w:r>
        <w:rPr>
          <w:rFonts w:cs="Arial" w:hint="cs"/>
          <w:rtl/>
        </w:rPr>
        <w:t>, רש"י.</w:t>
      </w:r>
    </w:p>
  </w:footnote>
  <w:footnote w:id="1616">
    <w:p w14:paraId="6704BA89" w14:textId="77777777" w:rsidR="004559D6" w:rsidRDefault="004559D6" w:rsidP="004559D6">
      <w:pPr>
        <w:pStyle w:val="a5"/>
      </w:pPr>
      <w:r>
        <w:rPr>
          <w:rStyle w:val="a7"/>
        </w:rPr>
        <w:footnoteRef/>
      </w:r>
      <w:r>
        <w:rPr>
          <w:rtl/>
        </w:rPr>
        <w:t xml:space="preserve"> </w:t>
      </w:r>
      <w:r w:rsidRPr="0045731D">
        <w:rPr>
          <w:rFonts w:cs="Arial"/>
          <w:rtl/>
        </w:rPr>
        <w:t>בשעת גיבוי מזונות</w:t>
      </w:r>
      <w:r>
        <w:rPr>
          <w:rFonts w:cs="Arial" w:hint="cs"/>
          <w:rtl/>
        </w:rPr>
        <w:t>, רש"י.</w:t>
      </w:r>
    </w:p>
  </w:footnote>
  <w:footnote w:id="1617">
    <w:p w14:paraId="1652988E" w14:textId="77777777" w:rsidR="004559D6" w:rsidRDefault="004559D6" w:rsidP="004559D6">
      <w:pPr>
        <w:pStyle w:val="a5"/>
      </w:pPr>
      <w:r>
        <w:rPr>
          <w:rStyle w:val="a7"/>
        </w:rPr>
        <w:footnoteRef/>
      </w:r>
      <w:r>
        <w:rPr>
          <w:rtl/>
        </w:rPr>
        <w:t xml:space="preserve"> </w:t>
      </w:r>
      <w:r w:rsidRPr="000A1431">
        <w:rPr>
          <w:rFonts w:cs="Arial"/>
          <w:rtl/>
        </w:rPr>
        <w:t>שלא תפסה משל בעלה כלום</w:t>
      </w:r>
      <w:r>
        <w:rPr>
          <w:rFonts w:cs="Arial" w:hint="cs"/>
          <w:rtl/>
        </w:rPr>
        <w:t>, טור.</w:t>
      </w:r>
    </w:p>
  </w:footnote>
  <w:footnote w:id="1618">
    <w:p w14:paraId="00319E31" w14:textId="29C2CDEB" w:rsidR="005B7021" w:rsidRDefault="005B7021">
      <w:pPr>
        <w:pStyle w:val="a5"/>
      </w:pPr>
      <w:r>
        <w:rPr>
          <w:rStyle w:val="a7"/>
        </w:rPr>
        <w:footnoteRef/>
      </w:r>
      <w:r>
        <w:rPr>
          <w:rtl/>
        </w:rPr>
        <w:t xml:space="preserve"> </w:t>
      </w:r>
      <w:r>
        <w:rPr>
          <w:rFonts w:hint="cs"/>
          <w:rtl/>
        </w:rPr>
        <w:t xml:space="preserve">סימן - מזונות </w:t>
      </w:r>
      <w:r w:rsidRPr="005B7021">
        <w:rPr>
          <w:rFonts w:hint="cs"/>
          <w:sz w:val="16"/>
          <w:szCs w:val="16"/>
          <w:rtl/>
        </w:rPr>
        <w:t>(מנכסים</w:t>
      </w:r>
      <w:r w:rsidR="009E24BB">
        <w:rPr>
          <w:rFonts w:hint="cs"/>
          <w:sz w:val="16"/>
          <w:szCs w:val="16"/>
          <w:rtl/>
        </w:rPr>
        <w:t>/מטלטלין/מקרקעין</w:t>
      </w:r>
      <w:r w:rsidRPr="005B7021">
        <w:rPr>
          <w:rFonts w:hint="cs"/>
          <w:sz w:val="16"/>
          <w:szCs w:val="16"/>
          <w:rtl/>
        </w:rPr>
        <w:t>)</w:t>
      </w:r>
      <w:r>
        <w:rPr>
          <w:rFonts w:hint="cs"/>
          <w:rtl/>
        </w:rPr>
        <w:t xml:space="preserve"> חופשיים.</w:t>
      </w:r>
    </w:p>
  </w:footnote>
  <w:footnote w:id="1619">
    <w:p w14:paraId="3A8543AE" w14:textId="12E17C12" w:rsidR="003E4AB0" w:rsidRDefault="003E4AB0">
      <w:pPr>
        <w:pStyle w:val="a5"/>
      </w:pPr>
      <w:r>
        <w:rPr>
          <w:rStyle w:val="a7"/>
        </w:rPr>
        <w:footnoteRef/>
      </w:r>
      <w:r>
        <w:rPr>
          <w:rtl/>
        </w:rPr>
        <w:t xml:space="preserve"> </w:t>
      </w:r>
      <w:r>
        <w:rPr>
          <w:rFonts w:cs="Arial"/>
          <w:rtl/>
        </w:rPr>
        <w:t>כ</w:t>
      </w:r>
      <w:r>
        <w:rPr>
          <w:rFonts w:cs="Arial" w:hint="cs"/>
          <w:rtl/>
        </w:rPr>
        <w:t>"</w:t>
      </w:r>
      <w:r>
        <w:rPr>
          <w:rFonts w:cs="Arial"/>
          <w:rtl/>
        </w:rPr>
        <w:t>כ הרי"ף בפרק יש נוחלין (ב"ב ס:) גבי הא דאמרינן (שם קלג.) השתא מיגרע גרע בירושה דאורייתא אלמנתו נזונת מנכסיו</w:t>
      </w:r>
      <w:r>
        <w:rPr>
          <w:rFonts w:cs="Arial" w:hint="cs"/>
          <w:rtl/>
        </w:rPr>
        <w:t>,</w:t>
      </w:r>
      <w:r>
        <w:rPr>
          <w:rFonts w:cs="Arial"/>
          <w:rtl/>
        </w:rPr>
        <w:t xml:space="preserve"> במתנה דרבנן לא כל שכן</w:t>
      </w:r>
      <w:r>
        <w:rPr>
          <w:rFonts w:cs="Arial" w:hint="cs"/>
          <w:rtl/>
        </w:rPr>
        <w:t>.</w:t>
      </w:r>
      <w:r>
        <w:rPr>
          <w:rFonts w:cs="Arial"/>
          <w:rtl/>
        </w:rPr>
        <w:t xml:space="preserve"> וכ</w:t>
      </w:r>
      <w:r>
        <w:rPr>
          <w:rFonts w:cs="Arial" w:hint="cs"/>
          <w:rtl/>
        </w:rPr>
        <w:t>"</w:t>
      </w:r>
      <w:r>
        <w:rPr>
          <w:rFonts w:cs="Arial"/>
          <w:rtl/>
        </w:rPr>
        <w:t>פ הרמב"ם בפי"ט מהל</w:t>
      </w:r>
      <w:r>
        <w:rPr>
          <w:rFonts w:cs="Arial" w:hint="cs"/>
          <w:rtl/>
        </w:rPr>
        <w:t>'</w:t>
      </w:r>
      <w:r>
        <w:rPr>
          <w:rFonts w:cs="Arial"/>
          <w:rtl/>
        </w:rPr>
        <w:t xml:space="preserve"> אישות (הי"ג)</w:t>
      </w:r>
      <w:r>
        <w:rPr>
          <w:rFonts w:cs="Arial" w:hint="cs"/>
          <w:rtl/>
        </w:rPr>
        <w:t>.</w:t>
      </w:r>
      <w:r>
        <w:rPr>
          <w:rFonts w:cs="Arial"/>
          <w:rtl/>
        </w:rPr>
        <w:t xml:space="preserve"> וכ</w:t>
      </w:r>
      <w:r>
        <w:rPr>
          <w:rFonts w:cs="Arial" w:hint="cs"/>
          <w:rtl/>
        </w:rPr>
        <w:t>"כ</w:t>
      </w:r>
      <w:r>
        <w:rPr>
          <w:rFonts w:cs="Arial"/>
          <w:rtl/>
        </w:rPr>
        <w:t xml:space="preserve"> הרא"ש בפסקיו בקידושין סוף פרק האומר (סי' יד) מהכרח דקדוק סוגיית התלמוד</w:t>
      </w:r>
      <w:r>
        <w:rPr>
          <w:rFonts w:cs="Arial" w:hint="cs"/>
          <w:rtl/>
        </w:rPr>
        <w:t>.</w:t>
      </w:r>
      <w:r>
        <w:rPr>
          <w:rFonts w:cs="Arial"/>
          <w:rtl/>
        </w:rPr>
        <w:t xml:space="preserve"> ועיין במרדכי פרק יש נוחלין (סי' תקפט) ופרק נערה שנתפתתה (סי' קס, קסא) ובתוספות ובטור חושן משפט סימן רנ"ב (ס"א) אכתוב דין מתנת בריא שהיא מהיום ולאחר מיתה אם מוציאין ממנה למזון האשה והבנות ולכתובה</w:t>
      </w:r>
      <w:r>
        <w:rPr>
          <w:rFonts w:cs="Arial" w:hint="cs"/>
          <w:rtl/>
        </w:rPr>
        <w:t xml:space="preserve">, ב"י. וכתב הדרכ"מ </w:t>
      </w:r>
      <w:r w:rsidRPr="00C94137">
        <w:rPr>
          <w:rFonts w:cs="Arial"/>
          <w:rtl/>
        </w:rPr>
        <w:t>(</w:t>
      </w:r>
      <w:r>
        <w:rPr>
          <w:rFonts w:cs="Arial" w:hint="cs"/>
          <w:rtl/>
        </w:rPr>
        <w:t xml:space="preserve">אות </w:t>
      </w:r>
      <w:r w:rsidRPr="00C94137">
        <w:rPr>
          <w:rFonts w:cs="Arial"/>
          <w:rtl/>
        </w:rPr>
        <w:t xml:space="preserve">י) </w:t>
      </w:r>
      <w:r>
        <w:rPr>
          <w:rFonts w:cs="Arial" w:hint="cs"/>
          <w:rtl/>
        </w:rPr>
        <w:t>ד</w:t>
      </w:r>
      <w:r w:rsidRPr="00C94137">
        <w:rPr>
          <w:rFonts w:cs="Arial"/>
          <w:rtl/>
        </w:rPr>
        <w:t xml:space="preserve">כן פסק הריב"ש </w:t>
      </w:r>
      <w:r>
        <w:rPr>
          <w:rFonts w:cs="Arial" w:hint="cs"/>
          <w:rtl/>
        </w:rPr>
        <w:t>(</w:t>
      </w:r>
      <w:r w:rsidRPr="00C94137">
        <w:rPr>
          <w:rFonts w:cs="Arial"/>
          <w:rtl/>
        </w:rPr>
        <w:t>סי</w:t>
      </w:r>
      <w:r>
        <w:rPr>
          <w:rFonts w:cs="Arial" w:hint="cs"/>
          <w:rtl/>
        </w:rPr>
        <w:t>'</w:t>
      </w:r>
      <w:r w:rsidRPr="00C94137">
        <w:rPr>
          <w:rFonts w:cs="Arial"/>
          <w:rtl/>
        </w:rPr>
        <w:t xml:space="preserve"> קז</w:t>
      </w:r>
      <w:r>
        <w:rPr>
          <w:rFonts w:cs="Arial" w:hint="cs"/>
          <w:rtl/>
        </w:rPr>
        <w:t>)</w:t>
      </w:r>
      <w:r w:rsidRPr="00C94137">
        <w:rPr>
          <w:rFonts w:cs="Arial"/>
          <w:rtl/>
        </w:rPr>
        <w:t xml:space="preserve"> דנזונת ממתנת שכיב מרע במקום דליכא בני חורין</w:t>
      </w:r>
      <w:r>
        <w:rPr>
          <w:rFonts w:cs="Arial" w:hint="cs"/>
          <w:rtl/>
        </w:rPr>
        <w:t>.</w:t>
      </w:r>
    </w:p>
  </w:footnote>
  <w:footnote w:id="1620">
    <w:p w14:paraId="08F44DCC" w14:textId="045FE3B9" w:rsidR="00394F99" w:rsidRDefault="00394F99">
      <w:pPr>
        <w:pStyle w:val="a5"/>
        <w:rPr>
          <w:rtl/>
        </w:rPr>
      </w:pPr>
      <w:r>
        <w:rPr>
          <w:rStyle w:val="a7"/>
        </w:rPr>
        <w:footnoteRef/>
      </w:r>
      <w:r>
        <w:rPr>
          <w:rFonts w:cs="Arial"/>
          <w:rtl/>
        </w:rPr>
        <w:t xml:space="preserve"> משמו של רש"י אמרו דאלמנה שתפסה מטלטלין דאמרינן דוקא דתפסה לה מרשות הרבים או מסימטא</w:t>
      </w:r>
      <w:r>
        <w:rPr>
          <w:rFonts w:cs="Arial" w:hint="cs"/>
          <w:rtl/>
        </w:rPr>
        <w:t>,</w:t>
      </w:r>
      <w:r>
        <w:rPr>
          <w:rFonts w:cs="Arial"/>
          <w:rtl/>
        </w:rPr>
        <w:t xml:space="preserve"> אבל מרשות היורש לא</w:t>
      </w:r>
      <w:r>
        <w:rPr>
          <w:rFonts w:cs="Arial" w:hint="cs"/>
          <w:rtl/>
        </w:rPr>
        <w:t>,</w:t>
      </w:r>
      <w:r>
        <w:rPr>
          <w:rFonts w:cs="Arial"/>
          <w:rtl/>
        </w:rPr>
        <w:t xml:space="preserve"> דכי היכי דלרבי טרפון דמהניא תפיסה דלאחר מיתה לכתובה לא מהני אלא בהני גווני</w:t>
      </w:r>
      <w:r>
        <w:rPr>
          <w:rFonts w:cs="Arial" w:hint="cs"/>
          <w:rtl/>
        </w:rPr>
        <w:t>,</w:t>
      </w:r>
      <w:r>
        <w:rPr>
          <w:rFonts w:cs="Arial"/>
          <w:rtl/>
        </w:rPr>
        <w:t xml:space="preserve"> הכי נמי לדידן בתפיסה דמחיים</w:t>
      </w:r>
      <w:r>
        <w:rPr>
          <w:rFonts w:cs="Arial" w:hint="cs"/>
          <w:rtl/>
        </w:rPr>
        <w:t>.</w:t>
      </w:r>
      <w:r>
        <w:rPr>
          <w:rFonts w:cs="Arial"/>
          <w:rtl/>
        </w:rPr>
        <w:t xml:space="preserve"> מיהו כל הני מילי לדינא דגמרא</w:t>
      </w:r>
      <w:r>
        <w:rPr>
          <w:rFonts w:cs="Arial" w:hint="cs"/>
          <w:rtl/>
        </w:rPr>
        <w:t>,</w:t>
      </w:r>
      <w:r>
        <w:rPr>
          <w:rFonts w:cs="Arial"/>
          <w:rtl/>
        </w:rPr>
        <w:t xml:space="preserve"> אבל עכשיו כבר תיקן הגאון דכתובה גביא ממטלטלי והוא הדין נמי דאית לה מזוני ממטלטלי</w:t>
      </w:r>
      <w:r>
        <w:rPr>
          <w:rFonts w:cs="Arial" w:hint="cs"/>
          <w:rtl/>
        </w:rPr>
        <w:t>,</w:t>
      </w:r>
      <w:r>
        <w:rPr>
          <w:rFonts w:cs="Arial"/>
          <w:rtl/>
        </w:rPr>
        <w:t xml:space="preserve"> ואפילו לא תפסה גביא מהם דתנאי כתובה ככתובה וכמו שכתב הרי"ף ז"ל</w:t>
      </w:r>
      <w:r>
        <w:rPr>
          <w:rFonts w:cs="Arial" w:hint="cs"/>
          <w:rtl/>
        </w:rPr>
        <w:t>,</w:t>
      </w:r>
      <w:r w:rsidRPr="00394F99">
        <w:rPr>
          <w:rFonts w:cs="Arial"/>
          <w:rtl/>
        </w:rPr>
        <w:t xml:space="preserve"> </w:t>
      </w:r>
      <w:r>
        <w:rPr>
          <w:rFonts w:cs="Arial"/>
          <w:rtl/>
        </w:rPr>
        <w:t>ר"ן (נה: סוף דיבור ראשון)</w:t>
      </w:r>
      <w:r>
        <w:rPr>
          <w:rFonts w:cs="Arial" w:hint="cs"/>
          <w:rtl/>
        </w:rPr>
        <w:t>.</w:t>
      </w:r>
    </w:p>
  </w:footnote>
  <w:footnote w:id="1621">
    <w:p w14:paraId="42F042F1" w14:textId="694F212E" w:rsidR="0030387E" w:rsidRDefault="0030387E">
      <w:pPr>
        <w:pStyle w:val="a5"/>
      </w:pPr>
      <w:r>
        <w:rPr>
          <w:rStyle w:val="a7"/>
        </w:rPr>
        <w:footnoteRef/>
      </w:r>
      <w:r>
        <w:rPr>
          <w:rtl/>
        </w:rPr>
        <w:t xml:space="preserve"> </w:t>
      </w:r>
      <w:r>
        <w:rPr>
          <w:rFonts w:cs="Arial"/>
          <w:rtl/>
        </w:rPr>
        <w:t>כך כתב הרי"ף בר"פ אלמנה נזונת (נה:)</w:t>
      </w:r>
      <w:r>
        <w:rPr>
          <w:rFonts w:cs="Arial" w:hint="cs"/>
          <w:rtl/>
        </w:rPr>
        <w:t>,</w:t>
      </w:r>
      <w:r>
        <w:rPr>
          <w:rFonts w:cs="Arial"/>
          <w:rtl/>
        </w:rPr>
        <w:t xml:space="preserve"> וכן כתב הרמב"ם בפי"ח (ה"י)</w:t>
      </w:r>
      <w:r>
        <w:rPr>
          <w:rFonts w:cs="Arial" w:hint="cs"/>
          <w:rtl/>
        </w:rPr>
        <w:t>, ב"י</w:t>
      </w:r>
      <w:r>
        <w:rPr>
          <w:rFonts w:cs="Arial"/>
          <w:rtl/>
        </w:rPr>
        <w:t>.</w:t>
      </w:r>
    </w:p>
  </w:footnote>
  <w:footnote w:id="1622">
    <w:p w14:paraId="4572CF00" w14:textId="77777777" w:rsidR="001E7C1A" w:rsidRDefault="001E7C1A" w:rsidP="001E7C1A">
      <w:pPr>
        <w:pStyle w:val="a5"/>
        <w:rPr>
          <w:rtl/>
        </w:rPr>
      </w:pPr>
      <w:r>
        <w:rPr>
          <w:rStyle w:val="a7"/>
        </w:rPr>
        <w:footnoteRef/>
      </w:r>
      <w:r>
        <w:rPr>
          <w:rtl/>
        </w:rPr>
        <w:t xml:space="preserve"> </w:t>
      </w:r>
      <w:r w:rsidRPr="007B1A3E">
        <w:rPr>
          <w:rFonts w:cs="Arial"/>
          <w:rtl/>
        </w:rPr>
        <w:t>וע"ל סימן ק"ו (אות ט) שאם צוה לפניה מתנת שכיב מרע ושתקה הוי מחילה</w:t>
      </w:r>
      <w:r>
        <w:rPr>
          <w:rFonts w:hint="cs"/>
          <w:rtl/>
        </w:rPr>
        <w:t>, דרכ"מ (אות י).</w:t>
      </w:r>
    </w:p>
  </w:footnote>
  <w:footnote w:id="1623">
    <w:p w14:paraId="10714502" w14:textId="1CC908E4" w:rsidR="00650FC7" w:rsidRDefault="00650FC7">
      <w:pPr>
        <w:pStyle w:val="a5"/>
      </w:pPr>
      <w:r>
        <w:rPr>
          <w:rStyle w:val="a7"/>
        </w:rPr>
        <w:footnoteRef/>
      </w:r>
      <w:r>
        <w:rPr>
          <w:rtl/>
        </w:rPr>
        <w:t xml:space="preserve"> </w:t>
      </w:r>
      <w:r>
        <w:rPr>
          <w:rFonts w:cs="Arial"/>
          <w:rtl/>
        </w:rPr>
        <w:t>עב"ש שכ' ואם הקדיש בחליו ע' בח</w:t>
      </w:r>
      <w:r>
        <w:rPr>
          <w:rFonts w:cs="Arial" w:hint="cs"/>
          <w:rtl/>
        </w:rPr>
        <w:t>ו"מ</w:t>
      </w:r>
      <w:r>
        <w:rPr>
          <w:rFonts w:cs="Arial"/>
          <w:rtl/>
        </w:rPr>
        <w:t xml:space="preserve"> סי' ר"</w:t>
      </w:r>
      <w:r>
        <w:rPr>
          <w:rFonts w:cs="Arial" w:hint="cs"/>
          <w:rtl/>
        </w:rPr>
        <w:t>נ</w:t>
      </w:r>
      <w:r>
        <w:rPr>
          <w:rFonts w:cs="Arial"/>
          <w:rtl/>
        </w:rPr>
        <w:t xml:space="preserve"> דאין הקדש עד אחר מיתתו</w:t>
      </w:r>
      <w:r>
        <w:rPr>
          <w:rFonts w:cs="Arial" w:hint="cs"/>
          <w:rtl/>
        </w:rPr>
        <w:t>,</w:t>
      </w:r>
      <w:r>
        <w:rPr>
          <w:rFonts w:cs="Arial"/>
          <w:rtl/>
        </w:rPr>
        <w:t xml:space="preserve"> לפ"ז נראה דניזונת מהם כו'</w:t>
      </w:r>
      <w:r>
        <w:rPr>
          <w:rFonts w:cs="Arial" w:hint="cs"/>
          <w:rtl/>
        </w:rPr>
        <w:t>.</w:t>
      </w:r>
      <w:r>
        <w:rPr>
          <w:rFonts w:cs="Arial"/>
          <w:rtl/>
        </w:rPr>
        <w:t xml:space="preserve"> ובגליון ש"ע דהג</w:t>
      </w:r>
      <w:r>
        <w:rPr>
          <w:rFonts w:cs="Arial" w:hint="cs"/>
          <w:rtl/>
        </w:rPr>
        <w:t>רעק"א</w:t>
      </w:r>
      <w:r>
        <w:rPr>
          <w:rFonts w:cs="Arial"/>
          <w:rtl/>
        </w:rPr>
        <w:t xml:space="preserve"> זצ"ל נ"ב הא אינו מבואר דהוא איבעיא דלא איפשטא</w:t>
      </w:r>
      <w:r>
        <w:rPr>
          <w:rFonts w:cs="Arial" w:hint="cs"/>
          <w:rtl/>
        </w:rPr>
        <w:t>,</w:t>
      </w:r>
      <w:r>
        <w:rPr>
          <w:rFonts w:cs="Arial"/>
          <w:rtl/>
        </w:rPr>
        <w:t xml:space="preserve"> ומספיקא אמרינן דאם עמד חוזר</w:t>
      </w:r>
      <w:r>
        <w:rPr>
          <w:rFonts w:cs="Arial" w:hint="cs"/>
          <w:rtl/>
        </w:rPr>
        <w:t>.</w:t>
      </w:r>
      <w:r>
        <w:rPr>
          <w:rFonts w:cs="Arial"/>
          <w:rtl/>
        </w:rPr>
        <w:t xml:space="preserve"> וא"כ הכא במת דהקדש זכה בודאי והוי ספק אם מחיים או לאח"מ</w:t>
      </w:r>
      <w:r w:rsidR="00840DEF">
        <w:rPr>
          <w:rFonts w:cs="Arial" w:hint="cs"/>
          <w:rtl/>
        </w:rPr>
        <w:t>,</w:t>
      </w:r>
      <w:r>
        <w:rPr>
          <w:rFonts w:cs="Arial"/>
          <w:rtl/>
        </w:rPr>
        <w:t xml:space="preserve"> אם כן מספק א</w:t>
      </w:r>
      <w:r w:rsidR="00840DEF">
        <w:rPr>
          <w:rFonts w:cs="Arial" w:hint="cs"/>
          <w:rtl/>
        </w:rPr>
        <w:t>ינה יכולה</w:t>
      </w:r>
      <w:r>
        <w:rPr>
          <w:rFonts w:cs="Arial"/>
          <w:rtl/>
        </w:rPr>
        <w:t xml:space="preserve"> לטרוף מההקדש</w:t>
      </w:r>
      <w:r w:rsidR="00840DEF">
        <w:rPr>
          <w:rFonts w:cs="Arial" w:hint="cs"/>
          <w:rtl/>
        </w:rPr>
        <w:t>.</w:t>
      </w:r>
      <w:r>
        <w:rPr>
          <w:rFonts w:cs="Arial"/>
          <w:rtl/>
        </w:rPr>
        <w:t xml:space="preserve"> ובזה מיושב קושיית הח"מ סקל"א דשפיר סתם הרמ"א דכל הקדש הוי כמתנת בריא</w:t>
      </w:r>
      <w:r w:rsidR="00840DEF">
        <w:rPr>
          <w:rFonts w:cs="Arial" w:hint="cs"/>
          <w:rtl/>
        </w:rPr>
        <w:t>,</w:t>
      </w:r>
      <w:r>
        <w:rPr>
          <w:rFonts w:cs="Arial"/>
          <w:rtl/>
        </w:rPr>
        <w:t xml:space="preserve"> והיינו מספק דשמא לגבי הקדש גמר ומקדיש מחיים עכ"ל</w:t>
      </w:r>
      <w:r>
        <w:rPr>
          <w:rFonts w:cs="Arial" w:hint="cs"/>
          <w:rtl/>
        </w:rPr>
        <w:t>, פת"ש (סקי"ב).</w:t>
      </w:r>
    </w:p>
  </w:footnote>
  <w:footnote w:id="1624">
    <w:p w14:paraId="757569D7" w14:textId="4A4AF347" w:rsidR="00317189" w:rsidRDefault="00317189">
      <w:pPr>
        <w:pStyle w:val="a5"/>
      </w:pPr>
      <w:r>
        <w:rPr>
          <w:rStyle w:val="a7"/>
        </w:rPr>
        <w:footnoteRef/>
      </w:r>
      <w:r>
        <w:rPr>
          <w:rtl/>
        </w:rPr>
        <w:t xml:space="preserve"> </w:t>
      </w:r>
      <w:r w:rsidRPr="00317189">
        <w:rPr>
          <w:rFonts w:cs="Arial"/>
          <w:rtl/>
        </w:rPr>
        <w:t>זה אף לדינ</w:t>
      </w:r>
      <w:r>
        <w:rPr>
          <w:rFonts w:cs="Arial" w:hint="cs"/>
          <w:rtl/>
        </w:rPr>
        <w:t>א</w:t>
      </w:r>
      <w:r w:rsidRPr="00317189">
        <w:rPr>
          <w:rFonts w:cs="Arial"/>
          <w:rtl/>
        </w:rPr>
        <w:t xml:space="preserve"> דגמ' דמטלטלי לא משתעבדי מ"מ תפיסה מהני</w:t>
      </w:r>
      <w:r>
        <w:rPr>
          <w:rFonts w:cs="Arial" w:hint="cs"/>
          <w:rtl/>
        </w:rPr>
        <w:t>, ח"מ (סקל"ב).</w:t>
      </w:r>
      <w:r>
        <w:rPr>
          <w:rFonts w:hint="cs"/>
          <w:rtl/>
        </w:rPr>
        <w:t xml:space="preserve"> </w:t>
      </w:r>
      <w:r>
        <w:rPr>
          <w:rFonts w:cs="Arial"/>
          <w:rtl/>
        </w:rPr>
        <w:t>ובגליון ש"ע דהגר"ע זצ"ל נ"ב היינו מר"ה או מסימטא אבל מרשות יורשים הוי ספיקא דרבוותא כדבסמוך סכ"ג בהגה</w:t>
      </w:r>
      <w:r w:rsidR="001474C4">
        <w:rPr>
          <w:rFonts w:cs="Arial" w:hint="cs"/>
          <w:rtl/>
        </w:rPr>
        <w:t>.</w:t>
      </w:r>
      <w:r>
        <w:rPr>
          <w:rFonts w:cs="Arial"/>
          <w:rtl/>
        </w:rPr>
        <w:t xml:space="preserve"> ואם היה פקדון ביד אחר י"ל דלכ"ע מהני תפיסתה עכ"ל</w:t>
      </w:r>
      <w:r>
        <w:rPr>
          <w:rFonts w:cs="Arial" w:hint="cs"/>
          <w:rtl/>
        </w:rPr>
        <w:t>, פת"ש (סקי"ג).</w:t>
      </w:r>
    </w:p>
  </w:footnote>
  <w:footnote w:id="1625">
    <w:p w14:paraId="246F8033" w14:textId="77777777" w:rsidR="009E24BB" w:rsidRDefault="009E24BB" w:rsidP="009E24BB">
      <w:pPr>
        <w:pStyle w:val="a5"/>
      </w:pPr>
      <w:r>
        <w:rPr>
          <w:rStyle w:val="a7"/>
        </w:rPr>
        <w:footnoteRef/>
      </w:r>
      <w:r>
        <w:rPr>
          <w:rtl/>
        </w:rPr>
        <w:t xml:space="preserve"> </w:t>
      </w:r>
      <w:r>
        <w:rPr>
          <w:rFonts w:hint="cs"/>
          <w:rtl/>
        </w:rPr>
        <w:t xml:space="preserve">סימן - מזונות </w:t>
      </w:r>
      <w:r w:rsidRPr="005B7021">
        <w:rPr>
          <w:rFonts w:hint="cs"/>
          <w:sz w:val="16"/>
          <w:szCs w:val="16"/>
          <w:rtl/>
        </w:rPr>
        <w:t>(מנכסים</w:t>
      </w:r>
      <w:r>
        <w:rPr>
          <w:rFonts w:hint="cs"/>
          <w:sz w:val="16"/>
          <w:szCs w:val="16"/>
          <w:rtl/>
        </w:rPr>
        <w:t>/מטלטלין/מקרקעין</w:t>
      </w:r>
      <w:r w:rsidRPr="005B7021">
        <w:rPr>
          <w:rFonts w:hint="cs"/>
          <w:sz w:val="16"/>
          <w:szCs w:val="16"/>
          <w:rtl/>
        </w:rPr>
        <w:t>)</w:t>
      </w:r>
      <w:r>
        <w:rPr>
          <w:rFonts w:hint="cs"/>
          <w:rtl/>
        </w:rPr>
        <w:t xml:space="preserve"> חופשיים.</w:t>
      </w:r>
    </w:p>
  </w:footnote>
  <w:footnote w:id="1626">
    <w:p w14:paraId="1A0214A6" w14:textId="77777777" w:rsidR="001E7C1A" w:rsidRDefault="001E7C1A" w:rsidP="001E7C1A">
      <w:pPr>
        <w:pStyle w:val="a5"/>
      </w:pPr>
      <w:r>
        <w:rPr>
          <w:rStyle w:val="a7"/>
        </w:rPr>
        <w:footnoteRef/>
      </w:r>
      <w:r>
        <w:rPr>
          <w:rtl/>
        </w:rPr>
        <w:t xml:space="preserve"> </w:t>
      </w:r>
      <w:r w:rsidRPr="000A1C4D">
        <w:rPr>
          <w:rFonts w:cs="Arial"/>
          <w:rtl/>
        </w:rPr>
        <w:t>שלא ייפו הגאונים כל כך את תקנת</w:t>
      </w:r>
      <w:r>
        <w:rPr>
          <w:rFonts w:cs="Arial" w:hint="cs"/>
          <w:rtl/>
        </w:rPr>
        <w:t>ה,</w:t>
      </w:r>
      <w:r w:rsidRPr="000A1C4D">
        <w:rPr>
          <w:rFonts w:cs="Arial"/>
          <w:rtl/>
        </w:rPr>
        <w:t xml:space="preserve"> ברור הוא שלא ליפות כחה במטלטלין כל כך</w:t>
      </w:r>
      <w:r>
        <w:rPr>
          <w:rFonts w:cs="Arial" w:hint="cs"/>
          <w:rtl/>
        </w:rPr>
        <w:t>,</w:t>
      </w:r>
      <w:r w:rsidRPr="000A1C4D">
        <w:rPr>
          <w:rFonts w:cs="Arial"/>
          <w:rtl/>
        </w:rPr>
        <w:t xml:space="preserve"> שהרי אפילו בקרקע שבדין התלמוד היא נזונת ממנו אם מכרו אינה מוציאה מיד הלקוחות כמו שיתבאר בסמוך</w:t>
      </w:r>
      <w:r w:rsidRPr="000A1C4D">
        <w:rPr>
          <w:rFonts w:cs="Arial" w:hint="cs"/>
          <w:rtl/>
        </w:rPr>
        <w:t>,</w:t>
      </w:r>
      <w:r w:rsidRPr="000A1C4D">
        <w:rPr>
          <w:rFonts w:cs="Arial"/>
          <w:rtl/>
        </w:rPr>
        <w:t xml:space="preserve"> ואם כן במטלטלין אינו נראה שלא יוכלו למכור אפילו לכתחלה</w:t>
      </w:r>
      <w:r w:rsidRPr="000A1C4D">
        <w:rPr>
          <w:rFonts w:cs="Arial" w:hint="cs"/>
          <w:rtl/>
        </w:rPr>
        <w:t>,</w:t>
      </w:r>
      <w:r w:rsidRPr="000A1C4D">
        <w:rPr>
          <w:rFonts w:cs="Arial"/>
          <w:rtl/>
        </w:rPr>
        <w:t xml:space="preserve"> וכבר העיד רבינו שכן דנין תמיד בכל בתי דינין</w:t>
      </w:r>
      <w:r w:rsidRPr="000A1C4D">
        <w:rPr>
          <w:rFonts w:cs="Arial" w:hint="cs"/>
          <w:rtl/>
        </w:rPr>
        <w:t>,</w:t>
      </w:r>
      <w:r w:rsidRPr="000A1C4D">
        <w:rPr>
          <w:rFonts w:cs="Arial"/>
          <w:rtl/>
        </w:rPr>
        <w:t xml:space="preserve"> וכן מבואר בעיטור (אות כ' כתובות לד סוע"ד) שבתשובת הגאון ז"ל כתוב כן</w:t>
      </w:r>
      <w:r>
        <w:rPr>
          <w:rFonts w:cs="Arial" w:hint="cs"/>
          <w:rtl/>
        </w:rPr>
        <w:t>, הה"מ (שם).</w:t>
      </w:r>
    </w:p>
  </w:footnote>
  <w:footnote w:id="1627">
    <w:p w14:paraId="5CDEDEAC" w14:textId="77777777" w:rsidR="001E7C1A" w:rsidRDefault="001E7C1A" w:rsidP="001E7C1A">
      <w:pPr>
        <w:pStyle w:val="a5"/>
        <w:rPr>
          <w:rtl/>
        </w:rPr>
      </w:pPr>
      <w:r>
        <w:rPr>
          <w:rStyle w:val="a7"/>
        </w:rPr>
        <w:footnoteRef/>
      </w:r>
      <w:r>
        <w:rPr>
          <w:rtl/>
        </w:rPr>
        <w:t xml:space="preserve"> </w:t>
      </w:r>
      <w:r w:rsidRPr="00FF77BB">
        <w:rPr>
          <w:rFonts w:cs="Arial"/>
          <w:rtl/>
        </w:rPr>
        <w:t xml:space="preserve">וכתוב במישרים </w:t>
      </w:r>
      <w:r>
        <w:rPr>
          <w:rFonts w:cs="Arial" w:hint="cs"/>
          <w:rtl/>
        </w:rPr>
        <w:t>(</w:t>
      </w:r>
      <w:r w:rsidRPr="00FF77BB">
        <w:rPr>
          <w:rFonts w:cs="Arial"/>
          <w:rtl/>
        </w:rPr>
        <w:t>נכ"ג חי"א סה ע"א) על דברי הרמב"ם</w:t>
      </w:r>
      <w:r>
        <w:rPr>
          <w:rFonts w:cs="Arial" w:hint="cs"/>
          <w:rtl/>
        </w:rPr>
        <w:t>:</w:t>
      </w:r>
      <w:r w:rsidRPr="00FF77BB">
        <w:rPr>
          <w:rFonts w:cs="Arial"/>
          <w:rtl/>
        </w:rPr>
        <w:t xml:space="preserve"> וכן כתב רב אלפס בתשובה (סי' מו) כהרמב"ם</w:t>
      </w:r>
      <w:r>
        <w:rPr>
          <w:rFonts w:cs="Arial" w:hint="cs"/>
          <w:rtl/>
        </w:rPr>
        <w:t>,</w:t>
      </w:r>
      <w:r w:rsidRPr="00FF77BB">
        <w:rPr>
          <w:rFonts w:cs="Arial"/>
          <w:rtl/>
        </w:rPr>
        <w:t xml:space="preserve"> זולת שנראה לפי תשובת רב אלפס שאם התנה בפירוש שתזון מן המטלטלין מוציאין מן היורשים ונותנים אותם ביד נאמן</w:t>
      </w:r>
      <w:r>
        <w:rPr>
          <w:rFonts w:cs="Arial" w:hint="cs"/>
          <w:rtl/>
        </w:rPr>
        <w:t>,</w:t>
      </w:r>
      <w:r w:rsidRPr="00FF77BB">
        <w:rPr>
          <w:rFonts w:cs="Arial"/>
          <w:rtl/>
        </w:rPr>
        <w:t xml:space="preserve"> ודברי הרמב"ם נראה עיקר עכ"ל</w:t>
      </w:r>
      <w:r>
        <w:rPr>
          <w:rFonts w:hint="cs"/>
          <w:rtl/>
        </w:rPr>
        <w:t>, ב"י.</w:t>
      </w:r>
    </w:p>
  </w:footnote>
  <w:footnote w:id="1628">
    <w:p w14:paraId="6D11596D" w14:textId="77777777" w:rsidR="001E7C1A" w:rsidRDefault="001E7C1A" w:rsidP="001E7C1A">
      <w:pPr>
        <w:pStyle w:val="a5"/>
      </w:pPr>
      <w:r>
        <w:rPr>
          <w:rStyle w:val="a7"/>
        </w:rPr>
        <w:footnoteRef/>
      </w:r>
      <w:r>
        <w:rPr>
          <w:rtl/>
        </w:rPr>
        <w:t xml:space="preserve"> </w:t>
      </w:r>
      <w:r w:rsidRPr="000A1C4D">
        <w:rPr>
          <w:rFonts w:cs="Arial"/>
          <w:rtl/>
        </w:rPr>
        <w:t>גם זה מבואר בתשובה הנזכרת שאין להם למכור קרקעות וכן נראה קצת מן הגמרא</w:t>
      </w:r>
      <w:r>
        <w:rPr>
          <w:rFonts w:cs="Arial" w:hint="cs"/>
          <w:rtl/>
        </w:rPr>
        <w:t>, הה"מ (שם).</w:t>
      </w:r>
    </w:p>
  </w:footnote>
  <w:footnote w:id="1629">
    <w:p w14:paraId="4DA0AED8" w14:textId="77777777" w:rsidR="001E7C1A" w:rsidRDefault="001E7C1A" w:rsidP="001E7C1A">
      <w:pPr>
        <w:pStyle w:val="a5"/>
      </w:pPr>
      <w:r>
        <w:rPr>
          <w:rStyle w:val="a7"/>
        </w:rPr>
        <w:footnoteRef/>
      </w:r>
      <w:r>
        <w:rPr>
          <w:rtl/>
        </w:rPr>
        <w:t xml:space="preserve"> </w:t>
      </w:r>
      <w:r w:rsidRPr="000A1C4D">
        <w:rPr>
          <w:rFonts w:cs="Arial"/>
          <w:rtl/>
        </w:rPr>
        <w:t xml:space="preserve">משנה פרק הניזקין </w:t>
      </w:r>
      <w:r w:rsidRPr="00590859">
        <w:rPr>
          <w:rFonts w:cs="Arial"/>
          <w:sz w:val="16"/>
          <w:szCs w:val="16"/>
          <w:rtl/>
        </w:rPr>
        <w:t>(גיטין מח:</w:t>
      </w:r>
      <w:r w:rsidRPr="00590859">
        <w:rPr>
          <w:rFonts w:cs="Arial" w:hint="cs"/>
          <w:sz w:val="16"/>
          <w:szCs w:val="16"/>
          <w:rtl/>
        </w:rPr>
        <w:t>, והב"י כתב דהוא דינא דגמרא [כתובות סט.]</w:t>
      </w:r>
      <w:r w:rsidRPr="00590859">
        <w:rPr>
          <w:rFonts w:cs="Arial"/>
          <w:sz w:val="16"/>
          <w:szCs w:val="16"/>
          <w:rtl/>
        </w:rPr>
        <w:t>)</w:t>
      </w:r>
      <w:r>
        <w:rPr>
          <w:rFonts w:cs="Arial" w:hint="cs"/>
          <w:rtl/>
        </w:rPr>
        <w:t>,</w:t>
      </w:r>
      <w:r w:rsidRPr="000A1C4D">
        <w:rPr>
          <w:rFonts w:cs="Arial"/>
          <w:rtl/>
        </w:rPr>
        <w:t xml:space="preserve"> ומכל מקום העלה הרשב"א </w:t>
      </w:r>
      <w:r w:rsidRPr="00590859">
        <w:rPr>
          <w:rFonts w:cs="Arial"/>
          <w:sz w:val="16"/>
          <w:szCs w:val="16"/>
          <w:rtl/>
        </w:rPr>
        <w:t>(גיטין נא. ד"ה וקיי"ל</w:t>
      </w:r>
      <w:r w:rsidRPr="00590859">
        <w:rPr>
          <w:rFonts w:cs="Arial" w:hint="cs"/>
          <w:sz w:val="16"/>
          <w:szCs w:val="16"/>
          <w:rtl/>
        </w:rPr>
        <w:t>, ובמיוחסות סי' מט, וע"ע בסי' נז</w:t>
      </w:r>
      <w:r w:rsidRPr="00590859">
        <w:rPr>
          <w:rFonts w:cs="Arial"/>
          <w:sz w:val="16"/>
          <w:szCs w:val="16"/>
          <w:rtl/>
        </w:rPr>
        <w:t>)</w:t>
      </w:r>
      <w:r w:rsidRPr="000A1C4D">
        <w:rPr>
          <w:rFonts w:cs="Arial"/>
          <w:rtl/>
        </w:rPr>
        <w:t xml:space="preserve"> שאם קנו מידו על מזונות האשה</w:t>
      </w:r>
      <w:r>
        <w:rPr>
          <w:rFonts w:cs="Arial" w:hint="cs"/>
          <w:rtl/>
        </w:rPr>
        <w:t xml:space="preserve"> -</w:t>
      </w:r>
      <w:r w:rsidRPr="000A1C4D">
        <w:rPr>
          <w:rFonts w:cs="Arial"/>
          <w:rtl/>
        </w:rPr>
        <w:t xml:space="preserve"> שהיא נזונת מן המשועבדים</w:t>
      </w:r>
      <w:r>
        <w:rPr>
          <w:rFonts w:cs="Arial" w:hint="cs"/>
          <w:rtl/>
        </w:rPr>
        <w:t>,</w:t>
      </w:r>
      <w:r w:rsidRPr="000A1C4D">
        <w:rPr>
          <w:rFonts w:cs="Arial"/>
          <w:rtl/>
        </w:rPr>
        <w:t xml:space="preserve"> והוכיח שם כן</w:t>
      </w:r>
      <w:r>
        <w:rPr>
          <w:rFonts w:cs="Arial" w:hint="cs"/>
          <w:rtl/>
        </w:rPr>
        <w:t>.</w:t>
      </w:r>
      <w:r w:rsidRPr="000A1C4D">
        <w:rPr>
          <w:rFonts w:cs="Arial"/>
          <w:rtl/>
        </w:rPr>
        <w:t xml:space="preserve"> ודע שאין הקנין הנזכר בשטרי כתובות שלנו מועיל לכך</w:t>
      </w:r>
      <w:r>
        <w:rPr>
          <w:rFonts w:cs="Arial" w:hint="cs"/>
          <w:rtl/>
        </w:rPr>
        <w:t>,</w:t>
      </w:r>
      <w:r w:rsidRPr="000A1C4D">
        <w:rPr>
          <w:rFonts w:cs="Arial"/>
          <w:rtl/>
        </w:rPr>
        <w:t xml:space="preserve"> לפי שאין מזכירין בכתובות מזונות לאחר מיתת הבעל</w:t>
      </w:r>
      <w:r>
        <w:rPr>
          <w:rFonts w:cs="Arial" w:hint="cs"/>
          <w:rtl/>
        </w:rPr>
        <w:t>,</w:t>
      </w:r>
      <w:r w:rsidRPr="000A1C4D">
        <w:rPr>
          <w:rFonts w:cs="Arial"/>
          <w:rtl/>
        </w:rPr>
        <w:t xml:space="preserve"> והמזונות הכתובים בכתובה שלנו הוא מזונות דמחיים</w:t>
      </w:r>
      <w:r>
        <w:rPr>
          <w:rFonts w:hint="cs"/>
          <w:rtl/>
        </w:rPr>
        <w:t>, הה"מ (שם).</w:t>
      </w:r>
    </w:p>
  </w:footnote>
  <w:footnote w:id="1630">
    <w:p w14:paraId="2860853D" w14:textId="77777777" w:rsidR="001E7C1A" w:rsidRDefault="001E7C1A" w:rsidP="001E7C1A">
      <w:pPr>
        <w:pStyle w:val="a5"/>
      </w:pPr>
      <w:r>
        <w:rPr>
          <w:rStyle w:val="a7"/>
        </w:rPr>
        <w:footnoteRef/>
      </w:r>
      <w:r>
        <w:rPr>
          <w:rtl/>
        </w:rPr>
        <w:t xml:space="preserve"> </w:t>
      </w:r>
      <w:r>
        <w:rPr>
          <w:rFonts w:hint="cs"/>
          <w:rtl/>
        </w:rPr>
        <w:t>וכן פסק הרשב"א (במיחסות סי' מט).</w:t>
      </w:r>
    </w:p>
  </w:footnote>
  <w:footnote w:id="1631">
    <w:p w14:paraId="19E436CD" w14:textId="77777777" w:rsidR="001E7C1A" w:rsidRDefault="001E7C1A" w:rsidP="001E7C1A">
      <w:pPr>
        <w:pStyle w:val="a5"/>
      </w:pPr>
      <w:r>
        <w:rPr>
          <w:rStyle w:val="a7"/>
        </w:rPr>
        <w:footnoteRef/>
      </w:r>
      <w:r>
        <w:rPr>
          <w:rtl/>
        </w:rPr>
        <w:t xml:space="preserve"> </w:t>
      </w:r>
      <w:r>
        <w:rPr>
          <w:rFonts w:cs="Arial"/>
          <w:rtl/>
        </w:rPr>
        <w:t>מחלוקת רב האיי והרא"ש (ב"ב פ"ט סי' ב) כתבו רבינו בסימן קי"ב (קסד סוע"א)</w:t>
      </w:r>
      <w:r>
        <w:rPr>
          <w:rFonts w:cs="Arial" w:hint="cs"/>
          <w:rtl/>
        </w:rPr>
        <w:t>,</w:t>
      </w:r>
      <w:r>
        <w:rPr>
          <w:rFonts w:cs="Arial"/>
          <w:rtl/>
        </w:rPr>
        <w:t xml:space="preserve"> ודבר פשוט הוא שיש ללמוד משם לדין זה</w:t>
      </w:r>
      <w:r>
        <w:rPr>
          <w:rFonts w:hint="cs"/>
          <w:rtl/>
        </w:rPr>
        <w:t>, ב"י</w:t>
      </w:r>
      <w:r>
        <w:rPr>
          <w:rFonts w:cs="Arial" w:hint="cs"/>
          <w:rtl/>
        </w:rPr>
        <w:t>.</w:t>
      </w:r>
    </w:p>
  </w:footnote>
  <w:footnote w:id="1632">
    <w:p w14:paraId="2E84076F" w14:textId="77777777" w:rsidR="001E7C1A" w:rsidRDefault="001E7C1A" w:rsidP="001E7C1A">
      <w:pPr>
        <w:pStyle w:val="a5"/>
        <w:rPr>
          <w:rtl/>
        </w:rPr>
      </w:pPr>
      <w:r>
        <w:rPr>
          <w:rStyle w:val="a7"/>
        </w:rPr>
        <w:footnoteRef/>
      </w:r>
      <w:r>
        <w:rPr>
          <w:rtl/>
        </w:rPr>
        <w:t xml:space="preserve"> </w:t>
      </w:r>
      <w:r w:rsidRPr="00DD4651">
        <w:rPr>
          <w:rFonts w:cs="Arial"/>
          <w:rtl/>
        </w:rPr>
        <w:t>וכן הוא בתוספתא (כתובות פ"י ה"א)</w:t>
      </w:r>
      <w:r>
        <w:rPr>
          <w:rFonts w:cs="Arial" w:hint="cs"/>
          <w:rtl/>
        </w:rPr>
        <w:t>.</w:t>
      </w:r>
    </w:p>
  </w:footnote>
  <w:footnote w:id="1633">
    <w:p w14:paraId="1A1E09B7" w14:textId="77777777" w:rsidR="001E7C1A" w:rsidRDefault="001E7C1A" w:rsidP="001E7C1A">
      <w:pPr>
        <w:pStyle w:val="a5"/>
      </w:pPr>
      <w:r>
        <w:rPr>
          <w:rStyle w:val="a7"/>
        </w:rPr>
        <w:footnoteRef/>
      </w:r>
      <w:r>
        <w:rPr>
          <w:rtl/>
        </w:rPr>
        <w:t xml:space="preserve"> </w:t>
      </w:r>
      <w:r w:rsidRPr="00DD4651">
        <w:rPr>
          <w:rFonts w:cs="Arial"/>
          <w:rtl/>
        </w:rPr>
        <w:t>ובספרי הרמב"ם שבידנו</w:t>
      </w:r>
      <w:r>
        <w:rPr>
          <w:rFonts w:cs="Arial" w:hint="cs"/>
          <w:rtl/>
        </w:rPr>
        <w:t>...</w:t>
      </w:r>
      <w:r w:rsidRPr="00DD4651">
        <w:rPr>
          <w:rFonts w:cs="Arial"/>
          <w:rtl/>
        </w:rPr>
        <w:t xml:space="preserve"> אין כתוב בהם </w:t>
      </w:r>
      <w:r>
        <w:rPr>
          <w:rFonts w:cs="Arial" w:hint="cs"/>
          <w:rtl/>
        </w:rPr>
        <w:t>"</w:t>
      </w:r>
      <w:r w:rsidRPr="00DD4651">
        <w:rPr>
          <w:rFonts w:cs="Arial"/>
          <w:rtl/>
        </w:rPr>
        <w:t>שאין דין קדימה במטלטלין</w:t>
      </w:r>
      <w:r>
        <w:rPr>
          <w:rFonts w:cs="Arial" w:hint="cs"/>
          <w:rtl/>
        </w:rPr>
        <w:t>"</w:t>
      </w:r>
      <w:r w:rsidRPr="00DD4651">
        <w:rPr>
          <w:rFonts w:cs="Arial"/>
          <w:rtl/>
        </w:rPr>
        <w:t xml:space="preserve"> אלא כך כתוב בהם </w:t>
      </w:r>
      <w:r>
        <w:rPr>
          <w:rFonts w:cs="Arial" w:hint="cs"/>
          <w:rtl/>
        </w:rPr>
        <w:t>"</w:t>
      </w:r>
      <w:r w:rsidRPr="00DD4651">
        <w:rPr>
          <w:rFonts w:cs="Arial"/>
          <w:rtl/>
        </w:rPr>
        <w:t>שאין דין קדימה במזונות</w:t>
      </w:r>
      <w:r>
        <w:rPr>
          <w:rFonts w:cs="Arial" w:hint="cs"/>
          <w:rtl/>
        </w:rPr>
        <w:t>", ב"י</w:t>
      </w:r>
      <w:r w:rsidRPr="00DD4651">
        <w:rPr>
          <w:rFonts w:cs="Arial"/>
          <w:rtl/>
        </w:rPr>
        <w:t>.</w:t>
      </w:r>
    </w:p>
  </w:footnote>
  <w:footnote w:id="1634">
    <w:p w14:paraId="0D677A8A" w14:textId="77777777" w:rsidR="001E7C1A" w:rsidRDefault="001E7C1A" w:rsidP="001E7C1A">
      <w:pPr>
        <w:pStyle w:val="a5"/>
      </w:pPr>
      <w:r>
        <w:rPr>
          <w:rStyle w:val="a7"/>
        </w:rPr>
        <w:footnoteRef/>
      </w:r>
      <w:r>
        <w:rPr>
          <w:rtl/>
        </w:rPr>
        <w:t xml:space="preserve"> </w:t>
      </w:r>
      <w:r w:rsidRPr="00C94137">
        <w:rPr>
          <w:rFonts w:cs="Arial"/>
          <w:rtl/>
        </w:rPr>
        <w:t>וכן פסק הר"ן ריש מי שהיה נשוי (מט. ד"ה וגרסינן בירושלמי)</w:t>
      </w:r>
      <w:r>
        <w:rPr>
          <w:rFonts w:cs="Arial" w:hint="cs"/>
          <w:rtl/>
        </w:rPr>
        <w:t>, דרכ"מ (אות יב).</w:t>
      </w:r>
    </w:p>
  </w:footnote>
  <w:footnote w:id="1635">
    <w:p w14:paraId="55D4B76E" w14:textId="77777777" w:rsidR="001E7C1A" w:rsidRDefault="001E7C1A" w:rsidP="001E7C1A">
      <w:pPr>
        <w:pStyle w:val="a5"/>
        <w:rPr>
          <w:rtl/>
        </w:rPr>
      </w:pPr>
      <w:r>
        <w:rPr>
          <w:rStyle w:val="a7"/>
        </w:rPr>
        <w:footnoteRef/>
      </w:r>
      <w:r>
        <w:rPr>
          <w:rtl/>
        </w:rPr>
        <w:t xml:space="preserve"> </w:t>
      </w:r>
      <w:r w:rsidRPr="00DD4651">
        <w:rPr>
          <w:rFonts w:cs="Arial"/>
          <w:rtl/>
        </w:rPr>
        <w:t>ולי נראה שאף דעת רבינו כן הוא שאפילו נזונת מן הקרקע נזונת בשוה</w:t>
      </w:r>
      <w:r>
        <w:rPr>
          <w:rFonts w:cs="Arial" w:hint="cs"/>
          <w:rtl/>
        </w:rPr>
        <w:t>,</w:t>
      </w:r>
      <w:r w:rsidRPr="00DD4651">
        <w:rPr>
          <w:rFonts w:cs="Arial"/>
          <w:rtl/>
        </w:rPr>
        <w:t xml:space="preserve"> שאל"כ היה לו לומר מן המטלטלין בשוה ומן הקרקע לפי קדימתן</w:t>
      </w:r>
      <w:r>
        <w:rPr>
          <w:rFonts w:cs="Arial" w:hint="cs"/>
          <w:rtl/>
        </w:rPr>
        <w:t>.</w:t>
      </w:r>
      <w:r w:rsidRPr="00DD4651">
        <w:rPr>
          <w:rFonts w:cs="Arial"/>
          <w:rtl/>
        </w:rPr>
        <w:t xml:space="preserve"> ולפי זה ראוי להיות בספרו </w:t>
      </w:r>
      <w:r>
        <w:rPr>
          <w:rFonts w:cs="Arial" w:hint="cs"/>
          <w:rtl/>
        </w:rPr>
        <w:t>"</w:t>
      </w:r>
      <w:r w:rsidRPr="00DD4651">
        <w:rPr>
          <w:rFonts w:cs="Arial"/>
          <w:rtl/>
        </w:rPr>
        <w:t>כמו שאין דין קדימה במטלטלין</w:t>
      </w:r>
      <w:r>
        <w:rPr>
          <w:rFonts w:cs="Arial" w:hint="cs"/>
          <w:rtl/>
        </w:rPr>
        <w:t>",</w:t>
      </w:r>
      <w:r w:rsidRPr="00DD4651">
        <w:rPr>
          <w:rFonts w:cs="Arial"/>
          <w:rtl/>
        </w:rPr>
        <w:t xml:space="preserve"> ורצה רבינו לומר שכשם שלא אמרו חכמים קדימה במטלטלין לפי שיש ללוה למכרן ולהפקיען מידי שעבוד המלוה</w:t>
      </w:r>
      <w:r>
        <w:rPr>
          <w:rFonts w:cs="Arial" w:hint="cs"/>
          <w:rtl/>
        </w:rPr>
        <w:t>,</w:t>
      </w:r>
      <w:r w:rsidRPr="00DD4651">
        <w:rPr>
          <w:rFonts w:cs="Arial"/>
          <w:rtl/>
        </w:rPr>
        <w:t xml:space="preserve"> כך לא אמרו קדימה במזונות לפי שאם רצה הבעל למכור נכסיו הרי הוא מפקיען מידי שעבוד מזונות</w:t>
      </w:r>
      <w:r>
        <w:rPr>
          <w:rFonts w:cs="Arial" w:hint="cs"/>
          <w:rtl/>
        </w:rPr>
        <w:t>,</w:t>
      </w:r>
      <w:r w:rsidRPr="00DD4651">
        <w:rPr>
          <w:rFonts w:cs="Arial"/>
          <w:rtl/>
        </w:rPr>
        <w:t xml:space="preserve"> כנ"ל</w:t>
      </w:r>
      <w:r>
        <w:rPr>
          <w:rFonts w:cs="Arial" w:hint="cs"/>
          <w:rtl/>
        </w:rPr>
        <w:t>, הה"מ (שם).</w:t>
      </w:r>
    </w:p>
  </w:footnote>
  <w:footnote w:id="1636">
    <w:p w14:paraId="5B0B7649" w14:textId="4999CA54" w:rsidR="002805FF" w:rsidRDefault="002805FF">
      <w:pPr>
        <w:pStyle w:val="a5"/>
        <w:rPr>
          <w:rtl/>
        </w:rPr>
      </w:pPr>
      <w:r>
        <w:rPr>
          <w:rStyle w:val="a7"/>
        </w:rPr>
        <w:footnoteRef/>
      </w:r>
      <w:r>
        <w:rPr>
          <w:rtl/>
        </w:rPr>
        <w:t xml:space="preserve"> </w:t>
      </w:r>
      <w:r>
        <w:rPr>
          <w:rFonts w:hint="cs"/>
          <w:rtl/>
        </w:rPr>
        <w:t xml:space="preserve">סימן - צוותה </w:t>
      </w:r>
      <w:r>
        <w:rPr>
          <w:rFonts w:hint="cs"/>
          <w:sz w:val="16"/>
          <w:szCs w:val="16"/>
          <w:rtl/>
        </w:rPr>
        <w:t>(היינו תפסה)</w:t>
      </w:r>
      <w:r>
        <w:rPr>
          <w:rFonts w:hint="cs"/>
          <w:rtl/>
        </w:rPr>
        <w:t>.</w:t>
      </w:r>
    </w:p>
  </w:footnote>
  <w:footnote w:id="1637">
    <w:p w14:paraId="189E0F4D" w14:textId="77777777" w:rsidR="001E7C1A" w:rsidRPr="00582AD0" w:rsidRDefault="001E7C1A" w:rsidP="001E7C1A">
      <w:pPr>
        <w:pStyle w:val="a5"/>
      </w:pPr>
      <w:r w:rsidRPr="00582AD0">
        <w:rPr>
          <w:rStyle w:val="a7"/>
        </w:rPr>
        <w:footnoteRef/>
      </w:r>
      <w:r w:rsidRPr="00582AD0">
        <w:rPr>
          <w:rtl/>
        </w:rPr>
        <w:t xml:space="preserve"> </w:t>
      </w:r>
      <w:r w:rsidRPr="00582AD0">
        <w:rPr>
          <w:rFonts w:cs="Arial"/>
          <w:rtl/>
        </w:rPr>
        <w:t>ומתוך דברי הרמב"ם ז"ל משמע שפסק כתלמידי דרבי' יונה דאמרי' לה חוי מה שבידך</w:t>
      </w:r>
      <w:r w:rsidRPr="00582AD0">
        <w:rPr>
          <w:rFonts w:cs="Arial" w:hint="cs"/>
          <w:rtl/>
        </w:rPr>
        <w:t>,</w:t>
      </w:r>
      <w:r w:rsidRPr="00582AD0">
        <w:rPr>
          <w:rFonts w:cs="Arial"/>
          <w:rtl/>
        </w:rPr>
        <w:t xml:space="preserve"> וכן מסתבר</w:t>
      </w:r>
      <w:r>
        <w:rPr>
          <w:rFonts w:cs="Arial" w:hint="cs"/>
          <w:rtl/>
        </w:rPr>
        <w:t xml:space="preserve">, </w:t>
      </w:r>
      <w:r w:rsidRPr="00716BDD">
        <w:rPr>
          <w:rFonts w:cs="Arial" w:hint="cs"/>
          <w:b/>
          <w:bCs/>
          <w:rtl/>
        </w:rPr>
        <w:t>רא"ש</w:t>
      </w:r>
      <w:r>
        <w:rPr>
          <w:rFonts w:cs="Arial" w:hint="cs"/>
          <w:rtl/>
        </w:rPr>
        <w:t xml:space="preserve"> (שם). </w:t>
      </w:r>
      <w:r w:rsidRPr="000A1431">
        <w:rPr>
          <w:rFonts w:cs="Arial"/>
          <w:rtl/>
        </w:rPr>
        <w:t>אבל לעולם אין משביעין אותה עתה עד שתתבע יותר</w:t>
      </w:r>
      <w:r>
        <w:rPr>
          <w:rFonts w:hint="cs"/>
          <w:rtl/>
        </w:rPr>
        <w:t xml:space="preserve">, </w:t>
      </w:r>
      <w:r w:rsidRPr="00716BDD">
        <w:rPr>
          <w:rFonts w:hint="cs"/>
          <w:b/>
          <w:bCs/>
          <w:rtl/>
        </w:rPr>
        <w:t>טור</w:t>
      </w:r>
      <w:r>
        <w:rPr>
          <w:rFonts w:hint="cs"/>
          <w:rtl/>
        </w:rPr>
        <w:t xml:space="preserve">.     </w:t>
      </w:r>
      <w:r>
        <w:rPr>
          <w:rFonts w:cs="Arial"/>
          <w:rtl/>
        </w:rPr>
        <w:t>ומשמע לרבינו שבא לחלוק על דברי ר"מ מרוטנבורק שהצריכה שבועה ונסתייע מדברי הרמב"ם</w:t>
      </w:r>
      <w:r>
        <w:rPr>
          <w:rFonts w:cs="Arial" w:hint="cs"/>
          <w:rtl/>
        </w:rPr>
        <w:t>,</w:t>
      </w:r>
      <w:r>
        <w:rPr>
          <w:rFonts w:cs="Arial"/>
          <w:rtl/>
        </w:rPr>
        <w:t xml:space="preserve"> דהא מתוך דברי הרמב"ם נראה שפוסק כתלמידי ר' יונה דאמרי דאמרינן לה חוי מה בידיך ומשמע דאין משביעין אותה</w:t>
      </w:r>
      <w:r>
        <w:rPr>
          <w:rFonts w:cs="Arial" w:hint="cs"/>
          <w:rtl/>
        </w:rPr>
        <w:t>,</w:t>
      </w:r>
      <w:r>
        <w:rPr>
          <w:rFonts w:cs="Arial"/>
          <w:rtl/>
        </w:rPr>
        <w:t xml:space="preserve"> ולא דמיא להא דאלמנה שבאה לב"ד לתבוע מזונות דקאמר הרמב"ם דמשביעין אותה</w:t>
      </w:r>
      <w:r>
        <w:rPr>
          <w:rFonts w:cs="Arial" w:hint="cs"/>
          <w:rtl/>
        </w:rPr>
        <w:t>,</w:t>
      </w:r>
      <w:r>
        <w:rPr>
          <w:rFonts w:cs="Arial"/>
          <w:rtl/>
        </w:rPr>
        <w:t xml:space="preserve"> דשאני הכא שאינה באה לבית דין לתבוע כתובה</w:t>
      </w:r>
      <w:r>
        <w:rPr>
          <w:rFonts w:cs="Arial" w:hint="cs"/>
          <w:rtl/>
        </w:rPr>
        <w:t>,</w:t>
      </w:r>
      <w:r>
        <w:rPr>
          <w:rFonts w:cs="Arial"/>
          <w:rtl/>
        </w:rPr>
        <w:t xml:space="preserve"> וזהו שסיים רבינו בדברי הרא"ש וכתב אבל לעולם אין משביעין אותה עתה עד שתתבע יותר. [בדק הבית] ואע</w:t>
      </w:r>
      <w:r>
        <w:rPr>
          <w:rFonts w:cs="Arial" w:hint="cs"/>
          <w:rtl/>
        </w:rPr>
        <w:t>"</w:t>
      </w:r>
      <w:r>
        <w:rPr>
          <w:rFonts w:cs="Arial"/>
          <w:rtl/>
        </w:rPr>
        <w:t>פ שכתב רבינו לעיל בסימן זה (קלט.) דלהרא"ש אלמנה ניזונת בלא שבועה</w:t>
      </w:r>
      <w:r>
        <w:rPr>
          <w:rFonts w:cs="Arial" w:hint="cs"/>
          <w:rtl/>
        </w:rPr>
        <w:t>,</w:t>
      </w:r>
      <w:r>
        <w:rPr>
          <w:rFonts w:cs="Arial"/>
          <w:rtl/>
        </w:rPr>
        <w:t xml:space="preserve"> שאני הכא שתפסה</w:t>
      </w:r>
      <w:r>
        <w:rPr>
          <w:rFonts w:cs="Arial" w:hint="cs"/>
          <w:rtl/>
        </w:rPr>
        <w:t>,</w:t>
      </w:r>
      <w:r>
        <w:rPr>
          <w:rFonts w:cs="Arial"/>
          <w:rtl/>
        </w:rPr>
        <w:t xml:space="preserve"> ומשום הכי כשבאה לתבוע יותר משביעין אותה</w:t>
      </w:r>
      <w:r>
        <w:rPr>
          <w:rFonts w:cs="Arial" w:hint="cs"/>
          <w:rtl/>
        </w:rPr>
        <w:t>,</w:t>
      </w:r>
      <w:r>
        <w:rPr>
          <w:rFonts w:cs="Arial"/>
          <w:rtl/>
        </w:rPr>
        <w:t xml:space="preserve"> ומכל מקום מאי דמשמע ליה מדברי הרמב"ם יש מקום לבעל דין לחלוק</w:t>
      </w:r>
      <w:r>
        <w:rPr>
          <w:rFonts w:cs="Arial" w:hint="cs"/>
          <w:rtl/>
        </w:rPr>
        <w:t>,</w:t>
      </w:r>
      <w:r>
        <w:rPr>
          <w:rFonts w:cs="Arial"/>
          <w:rtl/>
        </w:rPr>
        <w:t xml:space="preserve"> שהרמב"ם כתב שטעם השבועה הוא מפני שהיא באה להפרע מנכסי יתומים וכשתפסה אע</w:t>
      </w:r>
      <w:r>
        <w:rPr>
          <w:rFonts w:cs="Arial" w:hint="cs"/>
          <w:rtl/>
        </w:rPr>
        <w:t>"</w:t>
      </w:r>
      <w:r>
        <w:rPr>
          <w:rFonts w:cs="Arial"/>
          <w:rtl/>
        </w:rPr>
        <w:t>פ שהיא נזונת ממה שבידה סוף סוף מידי נפרעת מנכסי יתומים לא נפקא [עד כאן]</w:t>
      </w:r>
      <w:r>
        <w:rPr>
          <w:rFonts w:cs="Arial" w:hint="cs"/>
          <w:rtl/>
        </w:rPr>
        <w:t>.</w:t>
      </w:r>
      <w:r w:rsidRPr="001107E9">
        <w:rPr>
          <w:rFonts w:cs="Arial"/>
          <w:rtl/>
        </w:rPr>
        <w:t xml:space="preserve"> </w:t>
      </w:r>
      <w:r>
        <w:rPr>
          <w:rFonts w:cs="Arial"/>
          <w:rtl/>
        </w:rPr>
        <w:t>וז"ל הריטב"א (כתובות צו. ד"ה מעשה)</w:t>
      </w:r>
      <w:r>
        <w:rPr>
          <w:rFonts w:cs="Arial" w:hint="cs"/>
          <w:rtl/>
        </w:rPr>
        <w:t>:</w:t>
      </w:r>
      <w:r>
        <w:rPr>
          <w:rFonts w:cs="Arial"/>
          <w:rtl/>
        </w:rPr>
        <w:t xml:space="preserve"> הרמב"ם פסק דאמרינן לה אחוי מה בידיך כדקתני (צו.) ולא היה כח ביד חכמים להוציא מידה ולא קתני שמחשבין עמה ואין זה ראיה עכ"ל</w:t>
      </w:r>
      <w:r>
        <w:rPr>
          <w:rFonts w:cs="Arial" w:hint="cs"/>
          <w:rtl/>
        </w:rPr>
        <w:t xml:space="preserve">, </w:t>
      </w:r>
      <w:r w:rsidRPr="00716BDD">
        <w:rPr>
          <w:rFonts w:cs="Arial" w:hint="cs"/>
          <w:b/>
          <w:bCs/>
          <w:rtl/>
        </w:rPr>
        <w:t>ב"י</w:t>
      </w:r>
      <w:r>
        <w:rPr>
          <w:rFonts w:cs="Arial" w:hint="cs"/>
          <w:rtl/>
        </w:rPr>
        <w:t>.</w:t>
      </w:r>
    </w:p>
  </w:footnote>
  <w:footnote w:id="1638">
    <w:p w14:paraId="02BDB46C" w14:textId="77777777" w:rsidR="001E7C1A" w:rsidRDefault="001E7C1A" w:rsidP="001E7C1A">
      <w:pPr>
        <w:pStyle w:val="a5"/>
        <w:rPr>
          <w:rtl/>
        </w:rPr>
      </w:pPr>
      <w:r>
        <w:rPr>
          <w:rStyle w:val="a7"/>
        </w:rPr>
        <w:footnoteRef/>
      </w:r>
      <w:r>
        <w:rPr>
          <w:rtl/>
        </w:rPr>
        <w:t xml:space="preserve"> </w:t>
      </w:r>
      <w:r w:rsidRPr="00924F79">
        <w:rPr>
          <w:rFonts w:cs="Arial"/>
          <w:rtl/>
        </w:rPr>
        <w:t>ונ"ל שטענתו מפני שתפיסה זו אינה כלום משום דלאחר מיתה היא</w:t>
      </w:r>
      <w:r w:rsidRPr="00924F79">
        <w:rPr>
          <w:rFonts w:cs="Arial" w:hint="cs"/>
          <w:rtl/>
        </w:rPr>
        <w:t>,</w:t>
      </w:r>
      <w:r w:rsidRPr="00924F79">
        <w:rPr>
          <w:rFonts w:cs="Arial"/>
          <w:rtl/>
        </w:rPr>
        <w:t xml:space="preserve"> ואפילו למ"ד (כתובות פד.) תפיסה דלאחר מיתה מהניא הני מילי במונחים ברשות הרבים או בסימטא אבל מרשות המת לאו תפיסה היא לדברי הכל וכמבואר במרדכי פרק אלמנה נזונת (סי' רנב)</w:t>
      </w:r>
      <w:r>
        <w:rPr>
          <w:rFonts w:cs="Arial" w:hint="cs"/>
          <w:rtl/>
        </w:rPr>
        <w:t xml:space="preserve">, </w:t>
      </w:r>
      <w:r w:rsidRPr="00170D6C">
        <w:rPr>
          <w:rFonts w:cs="Arial" w:hint="cs"/>
          <w:b/>
          <w:bCs/>
          <w:rtl/>
        </w:rPr>
        <w:t>ב"י</w:t>
      </w:r>
      <w:r>
        <w:rPr>
          <w:rFonts w:cs="Arial" w:hint="cs"/>
          <w:rtl/>
        </w:rPr>
        <w:t>.</w:t>
      </w:r>
      <w:r w:rsidRPr="00170D6C">
        <w:rPr>
          <w:rFonts w:cs="Arial"/>
          <w:rtl/>
        </w:rPr>
        <w:t xml:space="preserve"> </w:t>
      </w:r>
      <w:r w:rsidRPr="00C94137">
        <w:rPr>
          <w:rFonts w:cs="Arial"/>
          <w:rtl/>
        </w:rPr>
        <w:t xml:space="preserve">אמנם בריב"ש </w:t>
      </w:r>
      <w:r>
        <w:rPr>
          <w:rFonts w:cs="Arial" w:hint="cs"/>
          <w:rtl/>
        </w:rPr>
        <w:t>(</w:t>
      </w:r>
      <w:r w:rsidRPr="00C94137">
        <w:rPr>
          <w:rFonts w:cs="Arial"/>
          <w:rtl/>
        </w:rPr>
        <w:t>סי</w:t>
      </w:r>
      <w:r>
        <w:rPr>
          <w:rFonts w:cs="Arial" w:hint="cs"/>
          <w:rtl/>
        </w:rPr>
        <w:t>'</w:t>
      </w:r>
      <w:r w:rsidRPr="00C94137">
        <w:rPr>
          <w:rFonts w:cs="Arial"/>
          <w:rtl/>
        </w:rPr>
        <w:t xml:space="preserve"> שסד</w:t>
      </w:r>
      <w:r>
        <w:rPr>
          <w:rFonts w:cs="Arial" w:hint="cs"/>
          <w:rtl/>
        </w:rPr>
        <w:t>)</w:t>
      </w:r>
      <w:r w:rsidRPr="00C94137">
        <w:rPr>
          <w:rFonts w:cs="Arial"/>
          <w:rtl/>
        </w:rPr>
        <w:t xml:space="preserve"> שהביא הב"י לעיל (עמ' תטו ד"ה כתב הריב"ש) משמע דאף בבית מהני תפיסה</w:t>
      </w:r>
      <w:r>
        <w:rPr>
          <w:rFonts w:cs="Arial" w:hint="cs"/>
          <w:rtl/>
        </w:rPr>
        <w:t xml:space="preserve">, </w:t>
      </w:r>
      <w:r w:rsidRPr="00170D6C">
        <w:rPr>
          <w:rFonts w:cs="Arial" w:hint="cs"/>
          <w:b/>
          <w:bCs/>
          <w:rtl/>
        </w:rPr>
        <w:t>דרכ"מ</w:t>
      </w:r>
      <w:r>
        <w:rPr>
          <w:rFonts w:cs="Arial" w:hint="cs"/>
          <w:rtl/>
        </w:rPr>
        <w:t xml:space="preserve"> (אות טו).</w:t>
      </w:r>
      <w:r w:rsidRPr="00C94137">
        <w:rPr>
          <w:rFonts w:cs="Arial"/>
          <w:rtl/>
        </w:rPr>
        <w:t xml:space="preserve"> </w:t>
      </w:r>
    </w:p>
  </w:footnote>
  <w:footnote w:id="1639">
    <w:p w14:paraId="42BF5698" w14:textId="77777777" w:rsidR="001E7C1A" w:rsidRDefault="001E7C1A" w:rsidP="001E7C1A">
      <w:pPr>
        <w:pStyle w:val="a5"/>
      </w:pPr>
      <w:r>
        <w:rPr>
          <w:rStyle w:val="a7"/>
        </w:rPr>
        <w:footnoteRef/>
      </w:r>
      <w:r>
        <w:rPr>
          <w:rtl/>
        </w:rPr>
        <w:t xml:space="preserve"> </w:t>
      </w:r>
      <w:r>
        <w:rPr>
          <w:rFonts w:hint="cs"/>
          <w:rtl/>
        </w:rPr>
        <w:t>וכן נראה מדברי הריב"ש (סי' שסה).</w:t>
      </w:r>
    </w:p>
  </w:footnote>
  <w:footnote w:id="1640">
    <w:p w14:paraId="4169EA60" w14:textId="77777777" w:rsidR="001E7C1A" w:rsidRDefault="001E7C1A" w:rsidP="001E7C1A">
      <w:pPr>
        <w:pStyle w:val="a5"/>
      </w:pPr>
      <w:r>
        <w:rPr>
          <w:rStyle w:val="a7"/>
        </w:rPr>
        <w:footnoteRef/>
      </w:r>
      <w:r>
        <w:rPr>
          <w:rtl/>
        </w:rPr>
        <w:t xml:space="preserve"> </w:t>
      </w:r>
      <w:r w:rsidRPr="00E9317D">
        <w:rPr>
          <w:rFonts w:cs="Arial"/>
          <w:rtl/>
        </w:rPr>
        <w:t>ובסמוך אכתוב דברי תשובת הריב"ש</w:t>
      </w:r>
      <w:r>
        <w:rPr>
          <w:rFonts w:cs="Arial" w:hint="cs"/>
          <w:rtl/>
        </w:rPr>
        <w:t>,</w:t>
      </w:r>
      <w:r w:rsidRPr="00E9317D">
        <w:rPr>
          <w:rFonts w:cs="Arial"/>
          <w:rtl/>
        </w:rPr>
        <w:t xml:space="preserve"> ועיין בהגה</w:t>
      </w:r>
      <w:r>
        <w:rPr>
          <w:rFonts w:cs="Arial" w:hint="cs"/>
          <w:rtl/>
        </w:rPr>
        <w:t xml:space="preserve">"מ </w:t>
      </w:r>
      <w:r w:rsidRPr="00E9317D">
        <w:rPr>
          <w:rFonts w:cs="Arial"/>
          <w:rtl/>
        </w:rPr>
        <w:t>פ"א מהלכות זכייה (אות ה) והרמב"ם פי"א מהלכות מלוה (ה"ח)</w:t>
      </w:r>
      <w:r>
        <w:rPr>
          <w:rFonts w:cs="Arial" w:hint="cs"/>
          <w:rtl/>
        </w:rPr>
        <w:t>, ב"י.    וכתב הדרכ"מ (אות יא) דאכן</w:t>
      </w:r>
      <w:r w:rsidRPr="00C94137">
        <w:rPr>
          <w:rFonts w:cs="Arial"/>
          <w:rtl/>
        </w:rPr>
        <w:t xml:space="preserve"> בהגה</w:t>
      </w:r>
      <w:r>
        <w:rPr>
          <w:rFonts w:cs="Arial" w:hint="cs"/>
          <w:rtl/>
        </w:rPr>
        <w:t>"</w:t>
      </w:r>
      <w:r w:rsidRPr="00C94137">
        <w:rPr>
          <w:rFonts w:cs="Arial"/>
          <w:rtl/>
        </w:rPr>
        <w:t xml:space="preserve">מ </w:t>
      </w:r>
      <w:r>
        <w:rPr>
          <w:rFonts w:cs="Arial" w:hint="cs"/>
          <w:rtl/>
        </w:rPr>
        <w:t>(</w:t>
      </w:r>
      <w:r w:rsidRPr="00C94137">
        <w:rPr>
          <w:rFonts w:cs="Arial"/>
          <w:rtl/>
        </w:rPr>
        <w:t>פי"ח מאישות אות ט</w:t>
      </w:r>
      <w:r>
        <w:rPr>
          <w:rFonts w:cs="Arial" w:hint="cs"/>
          <w:rtl/>
        </w:rPr>
        <w:t>, ובפ"א מהל' זכיה אות ה</w:t>
      </w:r>
      <w:r w:rsidRPr="00C94137">
        <w:rPr>
          <w:rFonts w:cs="Arial"/>
          <w:rtl/>
        </w:rPr>
        <w:t>) משמע דלא מהני תפיסה בשטרות</w:t>
      </w:r>
      <w:r>
        <w:rPr>
          <w:rFonts w:cs="Arial" w:hint="cs"/>
          <w:rtl/>
        </w:rPr>
        <w:t>,</w:t>
      </w:r>
      <w:r w:rsidRPr="00C94137">
        <w:rPr>
          <w:rFonts w:cs="Arial"/>
          <w:rtl/>
        </w:rPr>
        <w:t xml:space="preserve"> וכן משמע מדברי הרמב"ם בפי"א מהלכות מלוה (ה"ח)</w:t>
      </w:r>
      <w:r>
        <w:rPr>
          <w:rFonts w:cs="Arial" w:hint="cs"/>
          <w:rtl/>
        </w:rPr>
        <w:t>.</w:t>
      </w:r>
    </w:p>
  </w:footnote>
  <w:footnote w:id="1641">
    <w:p w14:paraId="7DA4FE57" w14:textId="05AF5832" w:rsidR="00313AC8" w:rsidRDefault="00313AC8">
      <w:pPr>
        <w:pStyle w:val="a5"/>
        <w:rPr>
          <w:rtl/>
        </w:rPr>
      </w:pPr>
      <w:r>
        <w:rPr>
          <w:rStyle w:val="a7"/>
        </w:rPr>
        <w:footnoteRef/>
      </w:r>
      <w:r>
        <w:rPr>
          <w:rtl/>
        </w:rPr>
        <w:t xml:space="preserve"> </w:t>
      </w:r>
      <w:r w:rsidRPr="00313AC8">
        <w:rPr>
          <w:rFonts w:cs="Arial"/>
          <w:rtl/>
        </w:rPr>
        <w:t>ומיהו כל ה"מ דוקא לדינא דגמרא אבל עכשיו כבר תקנו הגאונים ז"ל דכתובה גביא ממטלטלי והוא הדין נמי דאית לה מזוני ממטלטלי ואפילו לא תפסה גביא מהם דתנאי כתובה ככתובה</w:t>
      </w:r>
      <w:r>
        <w:rPr>
          <w:rFonts w:hint="cs"/>
          <w:rtl/>
        </w:rPr>
        <w:t>, ר"ן (שם).</w:t>
      </w:r>
    </w:p>
  </w:footnote>
  <w:footnote w:id="1642">
    <w:p w14:paraId="42BA7AE9" w14:textId="7A2312DE" w:rsidR="00DF7E66" w:rsidRDefault="00DF7E66">
      <w:pPr>
        <w:pStyle w:val="a5"/>
      </w:pPr>
      <w:r>
        <w:rPr>
          <w:rStyle w:val="a7"/>
        </w:rPr>
        <w:footnoteRef/>
      </w:r>
      <w:r>
        <w:rPr>
          <w:rtl/>
        </w:rPr>
        <w:t xml:space="preserve"> </w:t>
      </w:r>
      <w:r w:rsidRPr="002C6F7B">
        <w:rPr>
          <w:rFonts w:cs="Arial"/>
          <w:rtl/>
        </w:rPr>
        <w:t>ועיין בתשובת רעק</w:t>
      </w:r>
      <w:r>
        <w:rPr>
          <w:rFonts w:cs="Arial" w:hint="cs"/>
          <w:rtl/>
        </w:rPr>
        <w:t>"</w:t>
      </w:r>
      <w:r w:rsidRPr="002C6F7B">
        <w:rPr>
          <w:rFonts w:cs="Arial"/>
          <w:rtl/>
        </w:rPr>
        <w:t xml:space="preserve">א ז"ל </w:t>
      </w:r>
      <w:r>
        <w:rPr>
          <w:rFonts w:cs="Arial" w:hint="cs"/>
          <w:rtl/>
        </w:rPr>
        <w:t>(</w:t>
      </w:r>
      <w:r w:rsidRPr="002C6F7B">
        <w:rPr>
          <w:rFonts w:cs="Arial"/>
          <w:rtl/>
        </w:rPr>
        <w:t>סי</w:t>
      </w:r>
      <w:r>
        <w:rPr>
          <w:rFonts w:cs="Arial" w:hint="cs"/>
          <w:rtl/>
        </w:rPr>
        <w:t>'</w:t>
      </w:r>
      <w:r w:rsidRPr="002C6F7B">
        <w:rPr>
          <w:rFonts w:cs="Arial"/>
          <w:rtl/>
        </w:rPr>
        <w:t xml:space="preserve"> קלג</w:t>
      </w:r>
      <w:r>
        <w:rPr>
          <w:rFonts w:cs="Arial" w:hint="cs"/>
          <w:rtl/>
        </w:rPr>
        <w:t>)</w:t>
      </w:r>
      <w:r w:rsidRPr="002C6F7B">
        <w:rPr>
          <w:rFonts w:cs="Arial"/>
          <w:rtl/>
        </w:rPr>
        <w:t xml:space="preserve"> דהגאון בעל בית מאיר תמה ע"ד הריב"ש והרמ"א הנ"ל</w:t>
      </w:r>
      <w:r>
        <w:rPr>
          <w:rFonts w:cs="Arial" w:hint="cs"/>
          <w:rtl/>
        </w:rPr>
        <w:t>,</w:t>
      </w:r>
      <w:r w:rsidRPr="002C6F7B">
        <w:rPr>
          <w:rFonts w:cs="Arial"/>
          <w:rtl/>
        </w:rPr>
        <w:t xml:space="preserve"> דמאיזה טעם לא יהיה זה תפיסה כיון דמונחים בחצירו דהא יש לה זכות דירה מתנאי ב"ד והיא כשוכר</w:t>
      </w:r>
      <w:r>
        <w:rPr>
          <w:rFonts w:cs="Arial" w:hint="cs"/>
          <w:rtl/>
        </w:rPr>
        <w:t>,</w:t>
      </w:r>
      <w:r w:rsidRPr="002C6F7B">
        <w:rPr>
          <w:rFonts w:cs="Arial"/>
          <w:rtl/>
        </w:rPr>
        <w:t xml:space="preserve"> ובודאי לא היה הריב"ש סותם דבריו רק לפסקא דהרמב"ם (שהובא בח</w:t>
      </w:r>
      <w:r>
        <w:rPr>
          <w:rFonts w:cs="Arial" w:hint="cs"/>
          <w:rtl/>
        </w:rPr>
        <w:t>ו</w:t>
      </w:r>
      <w:r w:rsidRPr="002C6F7B">
        <w:rPr>
          <w:rFonts w:cs="Arial"/>
          <w:rtl/>
        </w:rPr>
        <w:t>"מ סי' שי"ג ועמ"ש בפ"ת שם) דהוי חצירו דהמשכיר</w:t>
      </w:r>
      <w:r>
        <w:rPr>
          <w:rFonts w:cs="Arial" w:hint="cs"/>
          <w:rtl/>
        </w:rPr>
        <w:t>.</w:t>
      </w:r>
      <w:r w:rsidRPr="002C6F7B">
        <w:rPr>
          <w:rFonts w:cs="Arial"/>
          <w:rtl/>
        </w:rPr>
        <w:t xml:space="preserve"> ולכן כ' דצריך לדחוק דהריב"ש מיירי בחפצים המונחים בבית באותן חדרים שלא היו משועבדים לדירת האשה כדאיתא בסי' צ"ד. והוא ז"ל השיב לו בזה"ל</w:t>
      </w:r>
      <w:r>
        <w:rPr>
          <w:rFonts w:cs="Arial" w:hint="cs"/>
          <w:rtl/>
        </w:rPr>
        <w:t>:</w:t>
      </w:r>
      <w:r w:rsidRPr="002C6F7B">
        <w:rPr>
          <w:rFonts w:cs="Arial"/>
          <w:rtl/>
        </w:rPr>
        <w:t xml:space="preserve"> גם אנכי הייתי מתמיה על סתימת הריב"ש והרמ"א דלא מקרי תפיסה</w:t>
      </w:r>
      <w:r>
        <w:rPr>
          <w:rFonts w:cs="Arial" w:hint="cs"/>
          <w:rtl/>
        </w:rPr>
        <w:t>,</w:t>
      </w:r>
      <w:r w:rsidRPr="002C6F7B">
        <w:rPr>
          <w:rFonts w:cs="Arial"/>
          <w:rtl/>
        </w:rPr>
        <w:t xml:space="preserve"> אולם נ"ל אף אם בעלמא הוי חצירו דהשוכר מ"מ י"ל דדירת אלמנה גרע</w:t>
      </w:r>
      <w:r>
        <w:rPr>
          <w:rFonts w:cs="Arial" w:hint="cs"/>
          <w:rtl/>
        </w:rPr>
        <w:t>,</w:t>
      </w:r>
      <w:r w:rsidRPr="002C6F7B">
        <w:rPr>
          <w:rFonts w:cs="Arial"/>
          <w:rtl/>
        </w:rPr>
        <w:t xml:space="preserve"> לא מבעיא לשיטת ר"ת בתוס' </w:t>
      </w:r>
      <w:r>
        <w:rPr>
          <w:rFonts w:cs="Arial" w:hint="cs"/>
          <w:rtl/>
        </w:rPr>
        <w:t>(</w:t>
      </w:r>
      <w:r w:rsidRPr="002C6F7B">
        <w:rPr>
          <w:rFonts w:cs="Arial"/>
          <w:rtl/>
        </w:rPr>
        <w:t>ב"ב נא</w:t>
      </w:r>
      <w:r>
        <w:rPr>
          <w:rFonts w:cs="Arial" w:hint="cs"/>
          <w:rtl/>
        </w:rPr>
        <w:t>:</w:t>
      </w:r>
      <w:r w:rsidRPr="002C6F7B">
        <w:rPr>
          <w:rFonts w:cs="Arial"/>
          <w:rtl/>
        </w:rPr>
        <w:t xml:space="preserve"> ד"ה במתנה</w:t>
      </w:r>
      <w:r>
        <w:rPr>
          <w:rFonts w:cs="Arial" w:hint="cs"/>
          <w:rtl/>
        </w:rPr>
        <w:t>)</w:t>
      </w:r>
      <w:r w:rsidRPr="002C6F7B">
        <w:rPr>
          <w:rFonts w:cs="Arial"/>
          <w:rtl/>
        </w:rPr>
        <w:t xml:space="preserve"> דדוקא שוכר דיכול להוריש זכותו ליורשיו הוי חצירו</w:t>
      </w:r>
      <w:r>
        <w:rPr>
          <w:rFonts w:cs="Arial" w:hint="cs"/>
          <w:rtl/>
        </w:rPr>
        <w:t>.</w:t>
      </w:r>
      <w:r w:rsidRPr="002C6F7B">
        <w:rPr>
          <w:rFonts w:cs="Arial"/>
          <w:rtl/>
        </w:rPr>
        <w:t xml:space="preserve"> אבל היכא דאינו מוריש</w:t>
      </w:r>
      <w:r>
        <w:rPr>
          <w:rFonts w:cs="Arial" w:hint="cs"/>
          <w:rtl/>
        </w:rPr>
        <w:t>,</w:t>
      </w:r>
      <w:r w:rsidRPr="002C6F7B">
        <w:rPr>
          <w:rFonts w:cs="Arial"/>
          <w:rtl/>
        </w:rPr>
        <w:t xml:space="preserve"> לא</w:t>
      </w:r>
      <w:r>
        <w:rPr>
          <w:rFonts w:cs="Arial" w:hint="cs"/>
          <w:rtl/>
        </w:rPr>
        <w:t>.</w:t>
      </w:r>
      <w:r w:rsidRPr="002C6F7B">
        <w:rPr>
          <w:rFonts w:cs="Arial"/>
          <w:rtl/>
        </w:rPr>
        <w:t xml:space="preserve"> אלא אף לאינך פוסקים דדוקא בנ"מ שלה כו' אבל הכא בדירת אלמנה דאין לה שום זכות ליתן זכותה לאחר</w:t>
      </w:r>
      <w:r>
        <w:rPr>
          <w:rFonts w:cs="Arial" w:hint="cs"/>
          <w:rtl/>
        </w:rPr>
        <w:t>,</w:t>
      </w:r>
      <w:r w:rsidRPr="002C6F7B">
        <w:rPr>
          <w:rFonts w:cs="Arial"/>
          <w:rtl/>
        </w:rPr>
        <w:t xml:space="preserve"> לא להשכיר ולא להוריש</w:t>
      </w:r>
      <w:r>
        <w:rPr>
          <w:rFonts w:cs="Arial" w:hint="cs"/>
          <w:rtl/>
        </w:rPr>
        <w:t>,</w:t>
      </w:r>
      <w:r w:rsidRPr="002C6F7B">
        <w:rPr>
          <w:rFonts w:cs="Arial"/>
          <w:rtl/>
        </w:rPr>
        <w:t xml:space="preserve"> רק שיש לה זכות בעצמה מתנאי ב"ד</w:t>
      </w:r>
      <w:r>
        <w:rPr>
          <w:rFonts w:cs="Arial" w:hint="cs"/>
          <w:rtl/>
        </w:rPr>
        <w:t>,</w:t>
      </w:r>
      <w:r w:rsidRPr="002C6F7B">
        <w:rPr>
          <w:rFonts w:cs="Arial"/>
          <w:rtl/>
        </w:rPr>
        <w:t xml:space="preserve"> י"ל דלא מקרי חצירה</w:t>
      </w:r>
      <w:r>
        <w:rPr>
          <w:rFonts w:cs="Arial" w:hint="cs"/>
          <w:rtl/>
        </w:rPr>
        <w:t>.</w:t>
      </w:r>
      <w:r w:rsidRPr="002C6F7B">
        <w:rPr>
          <w:rFonts w:cs="Arial"/>
          <w:rtl/>
        </w:rPr>
        <w:t xml:space="preserve"> וגם כיון דלא הקנו לה ענין זכות בדירה זו רק שמוטל בתנאי ב"ד להניחה לדור בתוכה אבל לא לענין דבר אחר שיהיה לה פירות החצר לזכות בנפילת מציאה לתוכה</w:t>
      </w:r>
      <w:r>
        <w:rPr>
          <w:rFonts w:cs="Arial" w:hint="cs"/>
          <w:rtl/>
        </w:rPr>
        <w:t>,</w:t>
      </w:r>
      <w:r w:rsidRPr="002C6F7B">
        <w:rPr>
          <w:rFonts w:cs="Arial"/>
          <w:rtl/>
        </w:rPr>
        <w:t xml:space="preserve"> עש"ך </w:t>
      </w:r>
      <w:r>
        <w:rPr>
          <w:rFonts w:cs="Arial" w:hint="cs"/>
          <w:rtl/>
        </w:rPr>
        <w:t>(</w:t>
      </w:r>
      <w:r w:rsidRPr="002C6F7B">
        <w:rPr>
          <w:rFonts w:cs="Arial"/>
          <w:rtl/>
        </w:rPr>
        <w:t>חו"מ סי</w:t>
      </w:r>
      <w:r>
        <w:rPr>
          <w:rFonts w:cs="Arial" w:hint="cs"/>
          <w:rtl/>
        </w:rPr>
        <w:t>'</w:t>
      </w:r>
      <w:r w:rsidRPr="002C6F7B">
        <w:rPr>
          <w:rFonts w:cs="Arial"/>
          <w:rtl/>
        </w:rPr>
        <w:t xml:space="preserve"> קלח סק"ב</w:t>
      </w:r>
      <w:r>
        <w:rPr>
          <w:rFonts w:cs="Arial" w:hint="cs"/>
          <w:rtl/>
        </w:rPr>
        <w:t>)</w:t>
      </w:r>
      <w:r w:rsidRPr="002C6F7B">
        <w:rPr>
          <w:rFonts w:cs="Arial"/>
          <w:rtl/>
        </w:rPr>
        <w:t xml:space="preserve"> עכ"ל</w:t>
      </w:r>
      <w:r>
        <w:rPr>
          <w:rFonts w:cs="Arial" w:hint="cs"/>
          <w:rtl/>
        </w:rPr>
        <w:t>,</w:t>
      </w:r>
      <w:r w:rsidRPr="002C6F7B">
        <w:rPr>
          <w:rFonts w:cs="Arial"/>
          <w:rtl/>
        </w:rPr>
        <w:t xml:space="preserve"> ע"ש</w:t>
      </w:r>
      <w:r>
        <w:rPr>
          <w:rFonts w:cs="Arial" w:hint="cs"/>
          <w:rtl/>
        </w:rPr>
        <w:t>, פת"ש (סקט"ו).</w:t>
      </w:r>
    </w:p>
  </w:footnote>
  <w:footnote w:id="1643">
    <w:p w14:paraId="259ABB9F" w14:textId="03C191AC" w:rsidR="00975145" w:rsidRDefault="00975145">
      <w:pPr>
        <w:pStyle w:val="a5"/>
      </w:pPr>
      <w:r>
        <w:rPr>
          <w:rStyle w:val="a7"/>
        </w:rPr>
        <w:footnoteRef/>
      </w:r>
      <w:r>
        <w:rPr>
          <w:rtl/>
        </w:rPr>
        <w:t xml:space="preserve"> </w:t>
      </w:r>
      <w:r w:rsidRPr="00975145">
        <w:rPr>
          <w:rFonts w:cs="Arial"/>
          <w:rtl/>
        </w:rPr>
        <w:t>לפרוע למלך כסף גולגלתא דיתמי</w:t>
      </w:r>
      <w:r>
        <w:rPr>
          <w:rFonts w:cs="Arial" w:hint="cs"/>
          <w:rtl/>
        </w:rPr>
        <w:t>, רש"י.</w:t>
      </w:r>
    </w:p>
  </w:footnote>
  <w:footnote w:id="1644">
    <w:p w14:paraId="3A4304DB" w14:textId="5E452ACC" w:rsidR="00975145" w:rsidRDefault="00975145">
      <w:pPr>
        <w:pStyle w:val="a5"/>
        <w:rPr>
          <w:rtl/>
        </w:rPr>
      </w:pPr>
      <w:r>
        <w:rPr>
          <w:rStyle w:val="a7"/>
        </w:rPr>
        <w:footnoteRef/>
      </w:r>
      <w:r>
        <w:rPr>
          <w:rtl/>
        </w:rPr>
        <w:t xml:space="preserve"> </w:t>
      </w:r>
      <w:r w:rsidRPr="00975145">
        <w:rPr>
          <w:rFonts w:cs="Arial"/>
          <w:rtl/>
        </w:rPr>
        <w:t>מזון האשה והבנות והיתומים</w:t>
      </w:r>
      <w:r>
        <w:rPr>
          <w:rFonts w:hint="cs"/>
          <w:rtl/>
        </w:rPr>
        <w:t>, רש"י.</w:t>
      </w:r>
    </w:p>
  </w:footnote>
  <w:footnote w:id="1645">
    <w:p w14:paraId="57FD9FDE" w14:textId="4C07F426" w:rsidR="00975145" w:rsidRDefault="00975145">
      <w:pPr>
        <w:pStyle w:val="a5"/>
      </w:pPr>
      <w:r>
        <w:rPr>
          <w:rStyle w:val="a7"/>
        </w:rPr>
        <w:footnoteRef/>
      </w:r>
      <w:r>
        <w:rPr>
          <w:rtl/>
        </w:rPr>
        <w:t xml:space="preserve"> </w:t>
      </w:r>
      <w:r w:rsidRPr="00975145">
        <w:rPr>
          <w:rFonts w:cs="Arial"/>
          <w:rtl/>
        </w:rPr>
        <w:t>לקבורת המת או היתומים</w:t>
      </w:r>
      <w:r>
        <w:rPr>
          <w:rFonts w:cs="Arial" w:hint="cs"/>
          <w:rtl/>
        </w:rPr>
        <w:t>, רש"י.</w:t>
      </w:r>
    </w:p>
  </w:footnote>
  <w:footnote w:id="1646">
    <w:p w14:paraId="4E03944B" w14:textId="5217F159" w:rsidR="00975145" w:rsidRDefault="00975145">
      <w:pPr>
        <w:pStyle w:val="a5"/>
        <w:rPr>
          <w:rtl/>
        </w:rPr>
      </w:pPr>
      <w:r>
        <w:rPr>
          <w:rStyle w:val="a7"/>
        </w:rPr>
        <w:footnoteRef/>
      </w:r>
      <w:r>
        <w:rPr>
          <w:rtl/>
        </w:rPr>
        <w:t xml:space="preserve"> </w:t>
      </w:r>
      <w:r w:rsidRPr="00975145">
        <w:rPr>
          <w:rFonts w:cs="Arial"/>
          <w:rtl/>
        </w:rPr>
        <w:t>נכסי דיתמי בלא אכרזתא</w:t>
      </w:r>
      <w:r>
        <w:rPr>
          <w:rFonts w:cs="Arial" w:hint="cs"/>
          <w:rtl/>
        </w:rPr>
        <w:t>,</w:t>
      </w:r>
      <w:r w:rsidRPr="00975145">
        <w:rPr>
          <w:rFonts w:cs="Arial"/>
          <w:rtl/>
        </w:rPr>
        <w:t xml:space="preserve"> שאין שהות ומתון לדבר</w:t>
      </w:r>
      <w:r w:rsidR="00BE267F">
        <w:rPr>
          <w:rFonts w:cs="Arial" w:hint="cs"/>
          <w:rtl/>
        </w:rPr>
        <w:t>...</w:t>
      </w:r>
      <w:r>
        <w:rPr>
          <w:rFonts w:hint="cs"/>
          <w:rtl/>
        </w:rPr>
        <w:t>, רש"י.</w:t>
      </w:r>
    </w:p>
  </w:footnote>
  <w:footnote w:id="1647">
    <w:p w14:paraId="2FECDC69" w14:textId="77777777" w:rsidR="00D31416" w:rsidRDefault="00D31416" w:rsidP="00D31416">
      <w:pPr>
        <w:pStyle w:val="a5"/>
      </w:pPr>
      <w:r>
        <w:rPr>
          <w:rStyle w:val="a7"/>
        </w:rPr>
        <w:footnoteRef/>
      </w:r>
      <w:r>
        <w:rPr>
          <w:rtl/>
        </w:rPr>
        <w:t xml:space="preserve"> </w:t>
      </w:r>
      <w:r w:rsidRPr="00936F3C">
        <w:rPr>
          <w:rFonts w:cs="Arial"/>
          <w:rtl/>
        </w:rPr>
        <w:t>שאין לה מזונות ומוכרת לכתובה</w:t>
      </w:r>
      <w:r>
        <w:rPr>
          <w:rFonts w:cs="Arial" w:hint="cs"/>
          <w:rtl/>
        </w:rPr>
        <w:t>, רש"י.</w:t>
      </w:r>
    </w:p>
  </w:footnote>
  <w:footnote w:id="1648">
    <w:p w14:paraId="2CD07A7E" w14:textId="77777777" w:rsidR="00D31416" w:rsidRPr="00D31416" w:rsidRDefault="00D31416" w:rsidP="00D31416">
      <w:pPr>
        <w:pStyle w:val="a5"/>
        <w:rPr>
          <w:color w:val="000000" w:themeColor="text1"/>
          <w:rtl/>
        </w:rPr>
      </w:pPr>
      <w:r w:rsidRPr="00D31416">
        <w:rPr>
          <w:rStyle w:val="a7"/>
          <w:color w:val="000000" w:themeColor="text1"/>
        </w:rPr>
        <w:footnoteRef/>
      </w:r>
      <w:r w:rsidRPr="00D31416">
        <w:rPr>
          <w:color w:val="000000" w:themeColor="text1"/>
          <w:rtl/>
        </w:rPr>
        <w:t xml:space="preserve"> </w:t>
      </w:r>
      <w:r w:rsidRPr="00D31416">
        <w:rPr>
          <w:rFonts w:cs="Arial"/>
          <w:color w:val="000000" w:themeColor="text1"/>
          <w:rtl/>
        </w:rPr>
        <w:t>שהיא מוכרת למזונות מוכרת שלא בבית דין</w:t>
      </w:r>
      <w:r w:rsidRPr="00D31416">
        <w:rPr>
          <w:rFonts w:hint="cs"/>
          <w:color w:val="000000" w:themeColor="text1"/>
          <w:rtl/>
        </w:rPr>
        <w:t>, רש"י.</w:t>
      </w:r>
    </w:p>
  </w:footnote>
  <w:footnote w:id="1649">
    <w:p w14:paraId="451BB03F" w14:textId="370753E4" w:rsidR="002805FF" w:rsidRDefault="002805FF">
      <w:pPr>
        <w:pStyle w:val="a5"/>
      </w:pPr>
      <w:r>
        <w:rPr>
          <w:rStyle w:val="a7"/>
        </w:rPr>
        <w:footnoteRef/>
      </w:r>
      <w:r>
        <w:rPr>
          <w:rtl/>
        </w:rPr>
        <w:t xml:space="preserve"> </w:t>
      </w:r>
      <w:r>
        <w:rPr>
          <w:rFonts w:hint="cs"/>
          <w:rtl/>
        </w:rPr>
        <w:t>סימן - לפחות בקיאים.</w:t>
      </w:r>
    </w:p>
  </w:footnote>
  <w:footnote w:id="1650">
    <w:p w14:paraId="54F7FF26" w14:textId="77777777" w:rsidR="00D31416" w:rsidRPr="00D31416" w:rsidRDefault="00D31416" w:rsidP="00D31416">
      <w:pPr>
        <w:pStyle w:val="a5"/>
        <w:rPr>
          <w:color w:val="000000" w:themeColor="text1"/>
        </w:rPr>
      </w:pPr>
      <w:r w:rsidRPr="00D31416">
        <w:rPr>
          <w:rStyle w:val="a7"/>
          <w:color w:val="000000" w:themeColor="text1"/>
        </w:rPr>
        <w:footnoteRef/>
      </w:r>
      <w:r w:rsidRPr="00D31416">
        <w:rPr>
          <w:color w:val="000000" w:themeColor="text1"/>
          <w:rtl/>
        </w:rPr>
        <w:t xml:space="preserve"> </w:t>
      </w:r>
      <w:r w:rsidRPr="00D31416">
        <w:rPr>
          <w:rFonts w:hint="cs"/>
          <w:color w:val="000000" w:themeColor="text1"/>
          <w:rtl/>
        </w:rPr>
        <w:t>הב"י הבין שרש"י סובר כן להלכה (וכן כתב הב"י בסי' קג ס"א), וצל"ע מדוע, דהרי רש"י לא כתב כן אלא על פי סברת רב ספרא שרצה להוכיח משם שלא צריך למכור בפני ב"ד. ועוד שמפשט דברי הגמ' מוכח שצריך ג' הדיוטות, וא"כ איך יעלה על הדעת שרש"י פירש להיפך דברי הגמ'. וצל"ע.</w:t>
      </w:r>
    </w:p>
  </w:footnote>
  <w:footnote w:id="1651">
    <w:p w14:paraId="3A895B82" w14:textId="193A7430" w:rsidR="00F6703F" w:rsidRDefault="00F6703F">
      <w:pPr>
        <w:pStyle w:val="a5"/>
      </w:pPr>
      <w:r>
        <w:rPr>
          <w:rStyle w:val="a7"/>
        </w:rPr>
        <w:footnoteRef/>
      </w:r>
      <w:r>
        <w:rPr>
          <w:rtl/>
        </w:rPr>
        <w:t xml:space="preserve"> </w:t>
      </w:r>
      <w:r>
        <w:rPr>
          <w:rFonts w:hint="cs"/>
          <w:rtl/>
        </w:rPr>
        <w:t>וכ"כ הרמב"ן (ב"מ לב.) וז"ל:</w:t>
      </w:r>
      <w:r w:rsidRPr="00F6703F">
        <w:rPr>
          <w:rtl/>
        </w:rPr>
        <w:t xml:space="preserve"> </w:t>
      </w:r>
      <w:r w:rsidRPr="00F6703F">
        <w:rPr>
          <w:rFonts w:cs="Arial"/>
          <w:rtl/>
        </w:rPr>
        <w:t>תמה אני פשיטא דבדיני ממונות לא בעינן מומחין, ועוד גרושה שלא תמכור אלא בב"ד מי בעיא ב"ד מומחין מאי שנא משאר דיני ממונות, ואיכא למימר האי הדיוטות לאו כשאר הדיוטות דעלמא לומר שאינן מומחין, אלא אפי' הדיוטות גמורים דליכא בינייהו חד דגמיר דינא כלל כיון שהם בקיאין בשומא כשאר בני אדם מה שמכרה בפניהם מכור, ואינה צריכה לב"ד דאיכא חד מינייהו דגמיר, וכן מומחין לאו דוקא</w:t>
      </w:r>
      <w:r>
        <w:rPr>
          <w:rFonts w:cs="Arial" w:hint="cs"/>
          <w:rtl/>
        </w:rPr>
        <w:t>.</w:t>
      </w:r>
    </w:p>
  </w:footnote>
  <w:footnote w:id="1652">
    <w:p w14:paraId="7D9E0A86" w14:textId="3665D5F5" w:rsidR="002805FF" w:rsidRDefault="002805FF">
      <w:pPr>
        <w:pStyle w:val="a5"/>
        <w:rPr>
          <w:rtl/>
        </w:rPr>
      </w:pPr>
      <w:r>
        <w:rPr>
          <w:rStyle w:val="a7"/>
        </w:rPr>
        <w:footnoteRef/>
      </w:r>
      <w:r>
        <w:rPr>
          <w:rtl/>
        </w:rPr>
        <w:t xml:space="preserve"> </w:t>
      </w:r>
      <w:r>
        <w:rPr>
          <w:rFonts w:hint="cs"/>
          <w:rtl/>
        </w:rPr>
        <w:t>סימן - צריך חקירה.</w:t>
      </w:r>
    </w:p>
  </w:footnote>
  <w:footnote w:id="1653">
    <w:p w14:paraId="5B727DD8" w14:textId="77777777" w:rsidR="00D8769A" w:rsidRDefault="00D8769A" w:rsidP="00D8769A">
      <w:pPr>
        <w:pStyle w:val="a5"/>
      </w:pPr>
      <w:r>
        <w:rPr>
          <w:rStyle w:val="a7"/>
        </w:rPr>
        <w:footnoteRef/>
      </w:r>
      <w:r>
        <w:rPr>
          <w:rtl/>
        </w:rPr>
        <w:t xml:space="preserve"> </w:t>
      </w:r>
      <w:r w:rsidRPr="001D66A0">
        <w:rPr>
          <w:rFonts w:cs="Arial"/>
          <w:rtl/>
        </w:rPr>
        <w:t>לקחה שדה היתומים לעצמה בשומת כתובתה</w:t>
      </w:r>
      <w:r>
        <w:rPr>
          <w:rFonts w:cs="Arial" w:hint="cs"/>
          <w:rtl/>
        </w:rPr>
        <w:t>, רש"י.</w:t>
      </w:r>
    </w:p>
  </w:footnote>
  <w:footnote w:id="1654">
    <w:p w14:paraId="5252A3A1" w14:textId="77777777" w:rsidR="00D8769A" w:rsidRDefault="00D8769A" w:rsidP="00D8769A">
      <w:pPr>
        <w:pStyle w:val="a5"/>
      </w:pPr>
      <w:r>
        <w:rPr>
          <w:rStyle w:val="a7"/>
        </w:rPr>
        <w:footnoteRef/>
      </w:r>
      <w:r>
        <w:rPr>
          <w:rtl/>
        </w:rPr>
        <w:t xml:space="preserve"> </w:t>
      </w:r>
      <w:r w:rsidRPr="001D66A0">
        <w:rPr>
          <w:rFonts w:cs="Arial"/>
          <w:rtl/>
        </w:rPr>
        <w:t>ואם רצו היתומים להגבותה מעות לאחר זמן חוזרין ונוטלין אותה</w:t>
      </w:r>
      <w:r>
        <w:rPr>
          <w:rFonts w:cs="Arial" w:hint="cs"/>
          <w:rtl/>
        </w:rPr>
        <w:t>, רש"י.</w:t>
      </w:r>
    </w:p>
  </w:footnote>
  <w:footnote w:id="1655">
    <w:p w14:paraId="475C415D" w14:textId="77777777" w:rsidR="00D8769A" w:rsidRPr="00CA236B" w:rsidRDefault="00D8769A" w:rsidP="00D8769A">
      <w:pPr>
        <w:pStyle w:val="a5"/>
        <w:rPr>
          <w:rFonts w:cs="Arial"/>
        </w:rPr>
      </w:pPr>
      <w:r>
        <w:rPr>
          <w:rStyle w:val="a7"/>
        </w:rPr>
        <w:footnoteRef/>
      </w:r>
      <w:r>
        <w:rPr>
          <w:rtl/>
        </w:rPr>
        <w:t xml:space="preserve"> </w:t>
      </w:r>
      <w:r>
        <w:rPr>
          <w:rFonts w:cs="Arial"/>
          <w:rtl/>
        </w:rPr>
        <w:t>ופירש הרא"ש (סי' יג) כלומר מי החזיקך באלו הנכסים שאין אדם יכול לזכות במקח אלא מיד המקנה לו</w:t>
      </w:r>
      <w:r>
        <w:rPr>
          <w:rFonts w:cs="Arial" w:hint="cs"/>
          <w:rtl/>
        </w:rPr>
        <w:t>, ב"י.</w:t>
      </w:r>
      <w:r>
        <w:rPr>
          <w:rFonts w:cs="Arial"/>
          <w:rtl/>
        </w:rPr>
        <w:t xml:space="preserve"> ואין לפרש דשומא ממש קאמר</w:t>
      </w:r>
      <w:r>
        <w:rPr>
          <w:rFonts w:cs="Arial" w:hint="cs"/>
          <w:rtl/>
        </w:rPr>
        <w:t>,</w:t>
      </w:r>
      <w:r>
        <w:rPr>
          <w:rFonts w:cs="Arial"/>
          <w:rtl/>
        </w:rPr>
        <w:t xml:space="preserve"> דאע"ג דליכא ב"ד מומחין</w:t>
      </w:r>
      <w:r>
        <w:rPr>
          <w:rFonts w:cs="Arial" w:hint="cs"/>
          <w:rtl/>
        </w:rPr>
        <w:t>,</w:t>
      </w:r>
      <w:r>
        <w:rPr>
          <w:rFonts w:cs="Arial"/>
          <w:rtl/>
        </w:rPr>
        <w:t xml:space="preserve"> ב"ד הדיוטות מיהא איכא כדאיתא בפרק אלו מציאות (ב"מ לב.)</w:t>
      </w:r>
      <w:r>
        <w:rPr>
          <w:rFonts w:cs="Arial" w:hint="cs"/>
          <w:rtl/>
        </w:rPr>
        <w:t>.</w:t>
      </w:r>
      <w:r>
        <w:rPr>
          <w:rFonts w:cs="Arial"/>
          <w:rtl/>
        </w:rPr>
        <w:t xml:space="preserve"> ומה שהחזיקוה ב"ד הדיוטות אינה חזקה</w:t>
      </w:r>
      <w:r>
        <w:rPr>
          <w:rFonts w:cs="Arial" w:hint="cs"/>
          <w:rtl/>
        </w:rPr>
        <w:t>,</w:t>
      </w:r>
      <w:r>
        <w:rPr>
          <w:rFonts w:cs="Arial"/>
          <w:rtl/>
        </w:rPr>
        <w:t xml:space="preserve"> דיושבי קרנות הם</w:t>
      </w:r>
      <w:r>
        <w:rPr>
          <w:rFonts w:cs="Arial" w:hint="cs"/>
          <w:rtl/>
        </w:rPr>
        <w:t>,</w:t>
      </w:r>
      <w:r>
        <w:rPr>
          <w:rFonts w:cs="Arial"/>
          <w:rtl/>
        </w:rPr>
        <w:t xml:space="preserve"> ואינו אלא לשומא בעלמא</w:t>
      </w:r>
      <w:r>
        <w:rPr>
          <w:rFonts w:cs="Arial" w:hint="cs"/>
          <w:rtl/>
        </w:rPr>
        <w:t>, ב"י (סי' קג ס"ה).</w:t>
      </w:r>
    </w:p>
  </w:footnote>
  <w:footnote w:id="1656">
    <w:p w14:paraId="39445983" w14:textId="77777777" w:rsidR="00D8769A" w:rsidRDefault="00D8769A" w:rsidP="00D8769A">
      <w:pPr>
        <w:pStyle w:val="a5"/>
      </w:pPr>
      <w:r>
        <w:rPr>
          <w:rStyle w:val="a7"/>
        </w:rPr>
        <w:footnoteRef/>
      </w:r>
      <w:r>
        <w:rPr>
          <w:rtl/>
        </w:rPr>
        <w:t xml:space="preserve"> </w:t>
      </w:r>
      <w:r w:rsidRPr="001D66A0">
        <w:rPr>
          <w:rFonts w:cs="Arial"/>
          <w:rtl/>
        </w:rPr>
        <w:t>מספוא לשון אחר כסיתא גרס עצי אלמוגים שקורין קורא"ל</w:t>
      </w:r>
      <w:r>
        <w:rPr>
          <w:rFonts w:cs="Arial" w:hint="cs"/>
          <w:rtl/>
        </w:rPr>
        <w:t>, רש"י.</w:t>
      </w:r>
    </w:p>
  </w:footnote>
  <w:footnote w:id="1657">
    <w:p w14:paraId="024C110E" w14:textId="77777777" w:rsidR="008500F1" w:rsidRDefault="008500F1" w:rsidP="008500F1">
      <w:pPr>
        <w:pStyle w:val="a5"/>
      </w:pPr>
      <w:r>
        <w:rPr>
          <w:rStyle w:val="a7"/>
        </w:rPr>
        <w:footnoteRef/>
      </w:r>
      <w:r>
        <w:rPr>
          <w:rtl/>
        </w:rPr>
        <w:t xml:space="preserve"> </w:t>
      </w:r>
      <w:r w:rsidRPr="008069F7">
        <w:rPr>
          <w:rFonts w:cs="Arial"/>
          <w:rtl/>
        </w:rPr>
        <w:t>אחריות הלקוחות חוזר על היתומים שהרי עליהן היה החוב</w:t>
      </w:r>
      <w:r>
        <w:rPr>
          <w:rFonts w:cs="Arial" w:hint="cs"/>
          <w:rtl/>
        </w:rPr>
        <w:t>, רש"י.</w:t>
      </w:r>
    </w:p>
  </w:footnote>
  <w:footnote w:id="1658">
    <w:p w14:paraId="332B8219" w14:textId="3E581877" w:rsidR="00AC5B36" w:rsidRDefault="00AC5B36">
      <w:pPr>
        <w:pStyle w:val="a5"/>
      </w:pPr>
      <w:r>
        <w:rPr>
          <w:rStyle w:val="a7"/>
        </w:rPr>
        <w:footnoteRef/>
      </w:r>
      <w:r>
        <w:rPr>
          <w:rtl/>
        </w:rPr>
        <w:t xml:space="preserve"> </w:t>
      </w:r>
      <w:r>
        <w:rPr>
          <w:rFonts w:cs="Arial"/>
          <w:rtl/>
        </w:rPr>
        <w:t xml:space="preserve">כבר נתבאר בסימן זה </w:t>
      </w:r>
      <w:r>
        <w:rPr>
          <w:rFonts w:cs="Arial" w:hint="cs"/>
          <w:rtl/>
        </w:rPr>
        <w:t xml:space="preserve">(סע' יט) </w:t>
      </w:r>
      <w:r>
        <w:rPr>
          <w:rFonts w:cs="Arial"/>
          <w:rtl/>
        </w:rPr>
        <w:t>שזהו דעת הרא"ש והאחרונים ז"ל</w:t>
      </w:r>
      <w:r>
        <w:rPr>
          <w:rFonts w:cs="Arial" w:hint="cs"/>
          <w:rtl/>
        </w:rPr>
        <w:t>,</w:t>
      </w:r>
      <w:r>
        <w:rPr>
          <w:rFonts w:cs="Arial"/>
          <w:rtl/>
        </w:rPr>
        <w:t xml:space="preserve"> ושאין כן דעת הרמז"ל</w:t>
      </w:r>
      <w:r>
        <w:rPr>
          <w:rFonts w:cs="Arial" w:hint="cs"/>
          <w:rtl/>
        </w:rPr>
        <w:t>, ב"י.</w:t>
      </w:r>
    </w:p>
  </w:footnote>
  <w:footnote w:id="1659">
    <w:p w14:paraId="65D2232A" w14:textId="77777777" w:rsidR="00CB78BA" w:rsidRDefault="00CB78BA" w:rsidP="00CB78BA">
      <w:pPr>
        <w:pStyle w:val="a5"/>
      </w:pPr>
      <w:r>
        <w:rPr>
          <w:rStyle w:val="a7"/>
        </w:rPr>
        <w:footnoteRef/>
      </w:r>
      <w:r>
        <w:rPr>
          <w:rtl/>
        </w:rPr>
        <w:t xml:space="preserve"> </w:t>
      </w:r>
      <w:r>
        <w:rPr>
          <w:rFonts w:hint="cs"/>
          <w:rtl/>
        </w:rPr>
        <w:t>וז"ל:</w:t>
      </w:r>
      <w:r w:rsidRPr="00CB78BA">
        <w:rPr>
          <w:rFonts w:cs="Arial"/>
          <w:rtl/>
        </w:rPr>
        <w:t xml:space="preserve"> </w:t>
      </w:r>
      <w:r w:rsidRPr="00E24894">
        <w:rPr>
          <w:rFonts w:cs="Arial"/>
          <w:rtl/>
        </w:rPr>
        <w:t>להאי פירושא דכתיבנא דהני הדיוטות לא גמירי דינא איכא למימר דהתם כיון דלעצמה שמה</w:t>
      </w:r>
      <w:r>
        <w:rPr>
          <w:rFonts w:cs="Arial" w:hint="cs"/>
          <w:rtl/>
        </w:rPr>
        <w:t>,</w:t>
      </w:r>
      <w:r w:rsidRPr="00E24894">
        <w:rPr>
          <w:rFonts w:cs="Arial"/>
          <w:rtl/>
        </w:rPr>
        <w:t xml:space="preserve"> אינהו לא שמו לה כמה דשוי</w:t>
      </w:r>
      <w:r>
        <w:rPr>
          <w:rFonts w:cs="Arial" w:hint="cs"/>
          <w:rtl/>
        </w:rPr>
        <w:t>,</w:t>
      </w:r>
      <w:r w:rsidRPr="00E24894">
        <w:rPr>
          <w:rFonts w:cs="Arial"/>
          <w:rtl/>
        </w:rPr>
        <w:t xml:space="preserve"> דלא איכפת להו בהפסידא דיתמי דהא לא גמירי דינא</w:t>
      </w:r>
      <w:r>
        <w:rPr>
          <w:rFonts w:cs="Arial" w:hint="cs"/>
          <w:rtl/>
        </w:rPr>
        <w:t xml:space="preserve"> </w:t>
      </w:r>
      <w:r>
        <w:rPr>
          <w:rFonts w:cs="Arial" w:hint="cs"/>
          <w:sz w:val="16"/>
          <w:szCs w:val="16"/>
          <w:rtl/>
        </w:rPr>
        <w:t>{ולכן לא עשתה ולא כלום}</w:t>
      </w:r>
      <w:r>
        <w:rPr>
          <w:rFonts w:cs="Arial" w:hint="cs"/>
          <w:rtl/>
        </w:rPr>
        <w:t>.</w:t>
      </w:r>
      <w:r w:rsidRPr="00E24894">
        <w:rPr>
          <w:rFonts w:cs="Arial"/>
          <w:rtl/>
        </w:rPr>
        <w:t xml:space="preserve"> אבל כששמה לאחרים שהיא אינה רוצה למכור אלא בכדי דמיהן ועל פיהן של אלו, מה שעשתה עשוי דהא בקיאי בשומא</w:t>
      </w:r>
      <w:r>
        <w:rPr>
          <w:rFonts w:cs="Arial" w:hint="cs"/>
          <w:rtl/>
        </w:rPr>
        <w:t>.</w:t>
      </w:r>
    </w:p>
  </w:footnote>
  <w:footnote w:id="1660">
    <w:p w14:paraId="2088C61B" w14:textId="19B38856" w:rsidR="00CB78BA" w:rsidRDefault="00CB78BA">
      <w:pPr>
        <w:pStyle w:val="a5"/>
      </w:pPr>
      <w:r>
        <w:rPr>
          <w:rStyle w:val="a7"/>
        </w:rPr>
        <w:footnoteRef/>
      </w:r>
      <w:r>
        <w:rPr>
          <w:rtl/>
        </w:rPr>
        <w:t xml:space="preserve"> </w:t>
      </w:r>
      <w:r>
        <w:rPr>
          <w:rFonts w:cs="Arial" w:hint="cs"/>
          <w:rtl/>
        </w:rPr>
        <w:t xml:space="preserve">וז"ל: </w:t>
      </w:r>
      <w:r w:rsidRPr="00BF6B72">
        <w:rPr>
          <w:rFonts w:cs="Arial"/>
          <w:rtl/>
        </w:rPr>
        <w:t>אלמנה שמכרה קרקע בכתובתה בינה לבין עצמה, אם מכרה שוה בשוה מכרה קיים ונשבעת שבועת אלמנה אחר שמכרה, והוא שמכרה לאחר אבל אם שמה לעצמה לא עשת כלום ואפילו הכריזה.</w:t>
      </w:r>
    </w:p>
  </w:footnote>
  <w:footnote w:id="1661">
    <w:p w14:paraId="6AE86BE0" w14:textId="372CAAB8" w:rsidR="00216388" w:rsidRDefault="00216388">
      <w:pPr>
        <w:pStyle w:val="a5"/>
      </w:pPr>
      <w:r>
        <w:rPr>
          <w:rStyle w:val="a7"/>
        </w:rPr>
        <w:footnoteRef/>
      </w:r>
      <w:r>
        <w:rPr>
          <w:rtl/>
        </w:rPr>
        <w:t xml:space="preserve"> </w:t>
      </w:r>
      <w:r>
        <w:rPr>
          <w:rFonts w:hint="cs"/>
          <w:rtl/>
        </w:rPr>
        <w:t xml:space="preserve">המחלוקת </w:t>
      </w:r>
      <w:r w:rsidR="009020A7">
        <w:rPr>
          <w:rFonts w:hint="cs"/>
          <w:rtl/>
        </w:rPr>
        <w:t xml:space="preserve">בדין זה תלויה בהא </w:t>
      </w:r>
      <w:r>
        <w:rPr>
          <w:rFonts w:hint="cs"/>
          <w:rtl/>
        </w:rPr>
        <w:t xml:space="preserve">דאמר רב נחמן (צח.) אלמנה ששמה לעצמה לא עשתה ולא כלום, </w:t>
      </w:r>
      <w:r w:rsidR="009020A7">
        <w:rPr>
          <w:rFonts w:hint="cs"/>
          <w:rtl/>
        </w:rPr>
        <w:t xml:space="preserve">ונחלקו </w:t>
      </w:r>
      <w:r>
        <w:rPr>
          <w:rFonts w:hint="cs"/>
          <w:rtl/>
        </w:rPr>
        <w:t xml:space="preserve">האם מיירי ששמה ממש בעצמה </w:t>
      </w:r>
      <w:r w:rsidR="009020A7">
        <w:rPr>
          <w:rFonts w:hint="cs"/>
          <w:rtl/>
        </w:rPr>
        <w:t>ולעצמה</w:t>
      </w:r>
      <w:r>
        <w:rPr>
          <w:rFonts w:hint="cs"/>
          <w:rtl/>
        </w:rPr>
        <w:t xml:space="preserve"> (רמב"ם), או ששמה</w:t>
      </w:r>
      <w:r w:rsidR="009020A7">
        <w:rPr>
          <w:rFonts w:hint="cs"/>
          <w:rtl/>
        </w:rPr>
        <w:t xml:space="preserve"> לעצמה</w:t>
      </w:r>
      <w:r>
        <w:rPr>
          <w:rFonts w:hint="cs"/>
          <w:rtl/>
        </w:rPr>
        <w:t xml:space="preserve"> בפני ב"ד הדיוטות ומכיון שלאו דינא גמירי אין ש</w:t>
      </w:r>
      <w:r w:rsidR="00B12A45">
        <w:rPr>
          <w:rFonts w:hint="cs"/>
          <w:rtl/>
        </w:rPr>
        <w:t>ומתן</w:t>
      </w:r>
      <w:r>
        <w:rPr>
          <w:rFonts w:hint="cs"/>
          <w:rtl/>
        </w:rPr>
        <w:t xml:space="preserve"> מוע</w:t>
      </w:r>
      <w:r w:rsidR="00B12A45">
        <w:rPr>
          <w:rFonts w:hint="cs"/>
          <w:rtl/>
        </w:rPr>
        <w:t>י</w:t>
      </w:r>
      <w:r>
        <w:rPr>
          <w:rFonts w:hint="cs"/>
          <w:rtl/>
        </w:rPr>
        <w:t>לה לה (ר"ח ורמב"ן).</w:t>
      </w:r>
    </w:p>
  </w:footnote>
  <w:footnote w:id="1662">
    <w:p w14:paraId="31BEA327" w14:textId="77777777" w:rsidR="00757C8F" w:rsidRDefault="00757C8F" w:rsidP="00757C8F">
      <w:pPr>
        <w:pStyle w:val="a5"/>
      </w:pPr>
      <w:r>
        <w:rPr>
          <w:rStyle w:val="a7"/>
        </w:rPr>
        <w:footnoteRef/>
      </w:r>
      <w:r>
        <w:rPr>
          <w:rtl/>
        </w:rPr>
        <w:t xml:space="preserve"> </w:t>
      </w:r>
      <w:r>
        <w:rPr>
          <w:rFonts w:hint="cs"/>
          <w:rtl/>
        </w:rPr>
        <w:t>וז"ל:</w:t>
      </w:r>
      <w:r w:rsidRPr="00757C8F">
        <w:rPr>
          <w:rFonts w:cs="Arial"/>
          <w:rtl/>
        </w:rPr>
        <w:t xml:space="preserve"> </w:t>
      </w:r>
      <w:r w:rsidRPr="009819B5">
        <w:rPr>
          <w:rFonts w:cs="Arial"/>
          <w:rtl/>
        </w:rPr>
        <w:t xml:space="preserve">אלמנה שמכרה קרקע בכתובתה בינה לבין עצמה, אם מכרה שוה בשוה </w:t>
      </w:r>
      <w:r>
        <w:rPr>
          <w:rFonts w:cs="Arial" w:hint="cs"/>
          <w:rtl/>
        </w:rPr>
        <w:t xml:space="preserve">- </w:t>
      </w:r>
      <w:r w:rsidRPr="009819B5">
        <w:rPr>
          <w:rFonts w:cs="Arial"/>
          <w:rtl/>
        </w:rPr>
        <w:t>מכרה קיים</w:t>
      </w:r>
      <w:r>
        <w:rPr>
          <w:rFonts w:cs="Arial" w:hint="cs"/>
          <w:rtl/>
        </w:rPr>
        <w:t>.</w:t>
      </w:r>
      <w:r w:rsidRPr="009819B5">
        <w:rPr>
          <w:rFonts w:cs="Arial"/>
          <w:rtl/>
        </w:rPr>
        <w:t xml:space="preserve"> ונשבעת שבועת אלמנה אחר שמכרה</w:t>
      </w:r>
      <w:r>
        <w:rPr>
          <w:rFonts w:cs="Arial" w:hint="cs"/>
          <w:rtl/>
        </w:rPr>
        <w:t>.</w:t>
      </w:r>
      <w:r w:rsidRPr="009819B5">
        <w:rPr>
          <w:rFonts w:cs="Arial"/>
          <w:rtl/>
        </w:rPr>
        <w:t xml:space="preserve"> והוא שמכרה לאחר אבל אם שמה לעצמה לא עשת כלום ואפילו הכריזה</w:t>
      </w:r>
      <w:r>
        <w:rPr>
          <w:rFonts w:cs="Arial" w:hint="cs"/>
          <w:rtl/>
        </w:rPr>
        <w:t>.</w:t>
      </w:r>
    </w:p>
  </w:footnote>
  <w:footnote w:id="1663">
    <w:p w14:paraId="4ABC8DBA" w14:textId="77777777" w:rsidR="00EB4DFC" w:rsidRPr="00F9535C" w:rsidRDefault="00EB4DFC" w:rsidP="00EB4DFC">
      <w:pPr>
        <w:pStyle w:val="a5"/>
        <w:rPr>
          <w:rFonts w:cs="Arial"/>
          <w:rtl/>
        </w:rPr>
      </w:pPr>
      <w:r>
        <w:rPr>
          <w:rStyle w:val="a7"/>
        </w:rPr>
        <w:footnoteRef/>
      </w:r>
      <w:r>
        <w:rPr>
          <w:rtl/>
        </w:rPr>
        <w:t xml:space="preserve"> </w:t>
      </w:r>
      <w:r>
        <w:rPr>
          <w:rFonts w:cs="Arial"/>
          <w:rtl/>
        </w:rPr>
        <w:t>אמכרה לאחרים קאי</w:t>
      </w:r>
      <w:r>
        <w:rPr>
          <w:rFonts w:cs="Arial" w:hint="cs"/>
          <w:rtl/>
        </w:rPr>
        <w:t>,</w:t>
      </w:r>
      <w:r>
        <w:rPr>
          <w:rFonts w:cs="Arial"/>
          <w:rtl/>
        </w:rPr>
        <w:t xml:space="preserve"> דאי בלקחה לעצמה מאי איריא טעתה אפילו לא טעתה נמי</w:t>
      </w:r>
      <w:r>
        <w:rPr>
          <w:rFonts w:cs="Arial" w:hint="cs"/>
          <w:rtl/>
        </w:rPr>
        <w:t>.</w:t>
      </w:r>
      <w:r>
        <w:rPr>
          <w:rFonts w:cs="Arial"/>
          <w:rtl/>
        </w:rPr>
        <w:t xml:space="preserve"> והדין זה שכתב רבינו נראה שהוא ממה ששנינו במשנה פרק אלמנה נזונת (שם) היתה כתובתה מנה ומכרה שוה מנה ודינר במנה מכרה בטל</w:t>
      </w:r>
      <w:r>
        <w:rPr>
          <w:rFonts w:cs="Arial" w:hint="cs"/>
          <w:rtl/>
        </w:rPr>
        <w:t>,</w:t>
      </w:r>
      <w:r>
        <w:rPr>
          <w:rFonts w:cs="Arial"/>
          <w:rtl/>
        </w:rPr>
        <w:t xml:space="preserve"> ומשמע לרבינו דהוא הדין במכרה למזונות </w:t>
      </w:r>
      <w:r w:rsidRPr="00F9535C">
        <w:rPr>
          <w:rFonts w:cs="Arial" w:hint="cs"/>
          <w:sz w:val="16"/>
          <w:szCs w:val="16"/>
          <w:rtl/>
        </w:rPr>
        <w:t>(</w:t>
      </w:r>
      <w:r w:rsidRPr="00F9535C">
        <w:rPr>
          <w:rFonts w:cs="Arial"/>
          <w:sz w:val="16"/>
          <w:szCs w:val="16"/>
          <w:rtl/>
        </w:rPr>
        <w:t>אבל אין נראה כן מדברי רש"י שכתב מכרה בטל שאותו דבר אין לה רשות למכור</w:t>
      </w:r>
      <w:r w:rsidRPr="00F9535C">
        <w:rPr>
          <w:rFonts w:cs="Arial" w:hint="cs"/>
          <w:sz w:val="16"/>
          <w:szCs w:val="16"/>
          <w:rtl/>
        </w:rPr>
        <w:t>,</w:t>
      </w:r>
      <w:r w:rsidRPr="00F9535C">
        <w:rPr>
          <w:rFonts w:cs="Arial"/>
          <w:sz w:val="16"/>
          <w:szCs w:val="16"/>
          <w:rtl/>
        </w:rPr>
        <w:t xml:space="preserve"> נמצא שכל המכר טעות שהרי בבת אחת היה ע"כ</w:t>
      </w:r>
      <w:r w:rsidRPr="00F9535C">
        <w:rPr>
          <w:rFonts w:cs="Arial" w:hint="cs"/>
          <w:sz w:val="16"/>
          <w:szCs w:val="16"/>
          <w:rtl/>
        </w:rPr>
        <w:t>.</w:t>
      </w:r>
      <w:r w:rsidRPr="00F9535C">
        <w:rPr>
          <w:rFonts w:cs="Arial"/>
          <w:sz w:val="16"/>
          <w:szCs w:val="16"/>
          <w:rtl/>
        </w:rPr>
        <w:t xml:space="preserve"> וטעם זה לא שייך במזונות</w:t>
      </w:r>
      <w:r w:rsidRPr="00F9535C">
        <w:rPr>
          <w:rFonts w:cs="Arial" w:hint="cs"/>
          <w:sz w:val="16"/>
          <w:szCs w:val="16"/>
          <w:rtl/>
        </w:rPr>
        <w:t>.</w:t>
      </w:r>
      <w:r w:rsidRPr="00F9535C">
        <w:rPr>
          <w:rFonts w:cs="Arial"/>
          <w:sz w:val="16"/>
          <w:szCs w:val="16"/>
          <w:rtl/>
        </w:rPr>
        <w:t xml:space="preserve"> וגם הרמב"ם לא כתב כן בפרק י"ח מהלכות אישות</w:t>
      </w:r>
      <w:r w:rsidRPr="00F9535C">
        <w:rPr>
          <w:rFonts w:cs="Arial" w:hint="cs"/>
          <w:sz w:val="16"/>
          <w:szCs w:val="16"/>
          <w:rtl/>
        </w:rPr>
        <w:t>.</w:t>
      </w:r>
      <w:r w:rsidRPr="00F9535C">
        <w:rPr>
          <w:rFonts w:cs="Arial"/>
          <w:sz w:val="16"/>
          <w:szCs w:val="16"/>
          <w:rtl/>
        </w:rPr>
        <w:t xml:space="preserve"> ולפיכך היה נראה לי דאלקחה לעצמה קאי</w:t>
      </w:r>
      <w:r w:rsidRPr="00F9535C">
        <w:rPr>
          <w:rFonts w:cs="Arial" w:hint="cs"/>
          <w:sz w:val="16"/>
          <w:szCs w:val="16"/>
          <w:rtl/>
        </w:rPr>
        <w:t>,</w:t>
      </w:r>
      <w:r w:rsidRPr="00F9535C">
        <w:rPr>
          <w:rFonts w:cs="Arial"/>
          <w:sz w:val="16"/>
          <w:szCs w:val="16"/>
          <w:rtl/>
        </w:rPr>
        <w:t xml:space="preserve"> ואע</w:t>
      </w:r>
      <w:r w:rsidRPr="00F9535C">
        <w:rPr>
          <w:rFonts w:cs="Arial" w:hint="cs"/>
          <w:sz w:val="16"/>
          <w:szCs w:val="16"/>
          <w:rtl/>
        </w:rPr>
        <w:t>"</w:t>
      </w:r>
      <w:r w:rsidRPr="00F9535C">
        <w:rPr>
          <w:rFonts w:cs="Arial"/>
          <w:sz w:val="16"/>
          <w:szCs w:val="16"/>
          <w:rtl/>
        </w:rPr>
        <w:t>ג דבלא טעתה נמי אין המכר כלום</w:t>
      </w:r>
      <w:r w:rsidRPr="00F9535C">
        <w:rPr>
          <w:rFonts w:cs="Arial" w:hint="cs"/>
          <w:sz w:val="16"/>
          <w:szCs w:val="16"/>
          <w:rtl/>
        </w:rPr>
        <w:t>,</w:t>
      </w:r>
      <w:r w:rsidRPr="00F9535C">
        <w:rPr>
          <w:rFonts w:cs="Arial"/>
          <w:sz w:val="16"/>
          <w:szCs w:val="16"/>
          <w:rtl/>
        </w:rPr>
        <w:t xml:space="preserve"> היינו לומר שאם ירצו היורשים יבטלוהו</w:t>
      </w:r>
      <w:r w:rsidRPr="00F9535C">
        <w:rPr>
          <w:rFonts w:cs="Arial" w:hint="cs"/>
          <w:sz w:val="16"/>
          <w:szCs w:val="16"/>
          <w:rtl/>
        </w:rPr>
        <w:t>,</w:t>
      </w:r>
      <w:r w:rsidRPr="00F9535C">
        <w:rPr>
          <w:rFonts w:cs="Arial"/>
          <w:sz w:val="16"/>
          <w:szCs w:val="16"/>
          <w:rtl/>
        </w:rPr>
        <w:t xml:space="preserve"> אבל היא אינה יכולה לבטלו</w:t>
      </w:r>
      <w:r w:rsidRPr="00F9535C">
        <w:rPr>
          <w:rFonts w:cs="Arial" w:hint="cs"/>
          <w:sz w:val="16"/>
          <w:szCs w:val="16"/>
          <w:rtl/>
        </w:rPr>
        <w:t>.</w:t>
      </w:r>
      <w:r w:rsidRPr="00F9535C">
        <w:rPr>
          <w:rFonts w:cs="Arial"/>
          <w:sz w:val="16"/>
          <w:szCs w:val="16"/>
          <w:rtl/>
        </w:rPr>
        <w:t xml:space="preserve"> אבל בטעתה מכרה בטל</w:t>
      </w:r>
      <w:r w:rsidRPr="00F9535C">
        <w:rPr>
          <w:rFonts w:cs="Arial" w:hint="cs"/>
          <w:sz w:val="16"/>
          <w:szCs w:val="16"/>
          <w:rtl/>
        </w:rPr>
        <w:t>,</w:t>
      </w:r>
      <w:r w:rsidRPr="00F9535C">
        <w:rPr>
          <w:rFonts w:cs="Arial"/>
          <w:sz w:val="16"/>
          <w:szCs w:val="16"/>
          <w:rtl/>
        </w:rPr>
        <w:t xml:space="preserve"> כלומר ואף היא יכולה לבטלו</w:t>
      </w:r>
      <w:r w:rsidRPr="00F9535C">
        <w:rPr>
          <w:rFonts w:cs="Arial" w:hint="cs"/>
          <w:sz w:val="16"/>
          <w:szCs w:val="16"/>
          <w:rtl/>
        </w:rPr>
        <w:t>.</w:t>
      </w:r>
      <w:r w:rsidRPr="00F9535C">
        <w:rPr>
          <w:rFonts w:cs="Arial"/>
          <w:sz w:val="16"/>
          <w:szCs w:val="16"/>
          <w:rtl/>
        </w:rPr>
        <w:t xml:space="preserve"> אלא שק"ל מנ"ל לחלק בכך וצ"ע</w:t>
      </w:r>
      <w:r w:rsidRPr="00F9535C">
        <w:rPr>
          <w:rFonts w:cs="Arial" w:hint="cs"/>
          <w:sz w:val="16"/>
          <w:szCs w:val="16"/>
          <w:rtl/>
        </w:rPr>
        <w:t>.</w:t>
      </w:r>
      <w:r w:rsidRPr="00F9535C">
        <w:rPr>
          <w:rFonts w:cs="Arial"/>
          <w:sz w:val="16"/>
          <w:szCs w:val="16"/>
          <w:rtl/>
        </w:rPr>
        <w:t xml:space="preserve"> [בדק הבית] ולכן נראה דאמכרה לאחרים קאי והוא ממתניתין דהיתה כתובתה מנה ומכרה שוה מנה ודינר במנה מכרה בטל</w:t>
      </w:r>
      <w:r w:rsidRPr="00F9535C">
        <w:rPr>
          <w:rFonts w:cs="Arial" w:hint="cs"/>
          <w:sz w:val="16"/>
          <w:szCs w:val="16"/>
          <w:rtl/>
        </w:rPr>
        <w:t>,</w:t>
      </w:r>
      <w:r w:rsidRPr="00F9535C">
        <w:rPr>
          <w:rFonts w:cs="Arial"/>
          <w:sz w:val="16"/>
          <w:szCs w:val="16"/>
          <w:rtl/>
        </w:rPr>
        <w:t xml:space="preserve"> ומשמע ליה דהוא הדין למזונות</w:t>
      </w:r>
      <w:r w:rsidRPr="00F9535C">
        <w:rPr>
          <w:rFonts w:cs="Arial" w:hint="cs"/>
          <w:sz w:val="16"/>
          <w:szCs w:val="16"/>
          <w:rtl/>
        </w:rPr>
        <w:t>,</w:t>
      </w:r>
      <w:r w:rsidRPr="00F9535C">
        <w:rPr>
          <w:rFonts w:cs="Arial"/>
          <w:sz w:val="16"/>
          <w:szCs w:val="16"/>
          <w:rtl/>
        </w:rPr>
        <w:t xml:space="preserve"> וטעמא משום דחיישינן להפסידא דיתמי אפילו היא אומרת אני אחזיר את הדינר ליורשים מכל מקום כיון שהיה טעות במכר הרי הוא בטל [עד כאן]</w:t>
      </w:r>
      <w:r>
        <w:rPr>
          <w:rFonts w:cs="Arial" w:hint="cs"/>
          <w:sz w:val="16"/>
          <w:szCs w:val="16"/>
          <w:rtl/>
        </w:rPr>
        <w:t>)</w:t>
      </w:r>
      <w:r>
        <w:rPr>
          <w:rFonts w:cs="Arial" w:hint="cs"/>
          <w:rtl/>
        </w:rPr>
        <w:t>, ב"י.</w:t>
      </w:r>
      <w:r w:rsidRPr="00554FA8">
        <w:rPr>
          <w:rFonts w:cs="Arial"/>
          <w:rtl/>
        </w:rPr>
        <w:t xml:space="preserve"> </w:t>
      </w:r>
    </w:p>
  </w:footnote>
  <w:footnote w:id="1664">
    <w:p w14:paraId="3E95EBE4" w14:textId="77777777" w:rsidR="00EB4DFC" w:rsidRDefault="00EB4DFC" w:rsidP="00EB4DFC">
      <w:pPr>
        <w:pStyle w:val="a5"/>
      </w:pPr>
      <w:r>
        <w:rPr>
          <w:rStyle w:val="a7"/>
        </w:rPr>
        <w:footnoteRef/>
      </w:r>
      <w:r>
        <w:rPr>
          <w:rtl/>
        </w:rPr>
        <w:t xml:space="preserve"> </w:t>
      </w:r>
      <w:r>
        <w:rPr>
          <w:rFonts w:cs="Arial"/>
          <w:rtl/>
        </w:rPr>
        <w:t>הא ודאי פשיטא דבמוכרת לאחרים קאמר</w:t>
      </w:r>
      <w:r>
        <w:rPr>
          <w:rFonts w:cs="Arial" w:hint="cs"/>
          <w:rtl/>
        </w:rPr>
        <w:t>, רש"י.</w:t>
      </w:r>
    </w:p>
  </w:footnote>
  <w:footnote w:id="1665">
    <w:p w14:paraId="18876312" w14:textId="77777777" w:rsidR="00EB4DFC" w:rsidRDefault="00EB4DFC" w:rsidP="00EB4DFC">
      <w:pPr>
        <w:pStyle w:val="a5"/>
      </w:pPr>
      <w:r>
        <w:rPr>
          <w:rStyle w:val="a7"/>
        </w:rPr>
        <w:footnoteRef/>
      </w:r>
      <w:r>
        <w:rPr>
          <w:rtl/>
        </w:rPr>
        <w:t xml:space="preserve"> </w:t>
      </w:r>
      <w:r w:rsidRPr="00C94137">
        <w:rPr>
          <w:rFonts w:cs="Arial"/>
          <w:rtl/>
        </w:rPr>
        <w:t xml:space="preserve">וכתב ריב"ש </w:t>
      </w:r>
      <w:r>
        <w:rPr>
          <w:rFonts w:cs="Arial" w:hint="cs"/>
          <w:rtl/>
        </w:rPr>
        <w:t>(</w:t>
      </w:r>
      <w:r w:rsidRPr="00C94137">
        <w:rPr>
          <w:rFonts w:cs="Arial"/>
          <w:rtl/>
        </w:rPr>
        <w:t>סי</w:t>
      </w:r>
      <w:r>
        <w:rPr>
          <w:rFonts w:cs="Arial" w:hint="cs"/>
          <w:rtl/>
        </w:rPr>
        <w:t>'</w:t>
      </w:r>
      <w:r w:rsidRPr="00C94137">
        <w:rPr>
          <w:rFonts w:cs="Arial"/>
          <w:rtl/>
        </w:rPr>
        <w:t xml:space="preserve"> רמד</w:t>
      </w:r>
      <w:r>
        <w:rPr>
          <w:rFonts w:cs="Arial" w:hint="cs"/>
          <w:rtl/>
        </w:rPr>
        <w:t>)</w:t>
      </w:r>
      <w:r w:rsidRPr="00C94137">
        <w:rPr>
          <w:rFonts w:cs="Arial"/>
          <w:rtl/>
        </w:rPr>
        <w:t xml:space="preserve"> דוקא אלמנה המוכרת</w:t>
      </w:r>
      <w:r>
        <w:rPr>
          <w:rFonts w:cs="Arial" w:hint="cs"/>
          <w:rtl/>
        </w:rPr>
        <w:t>,</w:t>
      </w:r>
      <w:r w:rsidRPr="00C94137">
        <w:rPr>
          <w:rFonts w:cs="Arial"/>
          <w:rtl/>
        </w:rPr>
        <w:t xml:space="preserve"> אבל אפוטרופוס או בית דין שמכרו </w:t>
      </w:r>
      <w:r>
        <w:rPr>
          <w:rFonts w:cs="Arial" w:hint="cs"/>
          <w:rtl/>
        </w:rPr>
        <w:t xml:space="preserve">- </w:t>
      </w:r>
      <w:r w:rsidRPr="00C94137">
        <w:rPr>
          <w:rFonts w:cs="Arial"/>
          <w:rtl/>
        </w:rPr>
        <w:t>לא אבדו זכותן שיש להן על הקרקע ההוא מחמת חוב ושעבוד עכ"ל</w:t>
      </w:r>
      <w:r>
        <w:rPr>
          <w:rFonts w:cs="Arial" w:hint="cs"/>
          <w:rtl/>
        </w:rPr>
        <w:t>, דרכ"מ (אות יח)</w:t>
      </w:r>
      <w:r w:rsidRPr="00C94137">
        <w:rPr>
          <w:rFonts w:cs="Arial"/>
          <w:rtl/>
        </w:rPr>
        <w:t xml:space="preserve">. </w:t>
      </w:r>
    </w:p>
  </w:footnote>
  <w:footnote w:id="1666">
    <w:p w14:paraId="253FAE9A" w14:textId="1E0B4F5C" w:rsidR="002805FF" w:rsidRDefault="002805FF">
      <w:pPr>
        <w:pStyle w:val="a5"/>
      </w:pPr>
      <w:r>
        <w:rPr>
          <w:rStyle w:val="a7"/>
        </w:rPr>
        <w:footnoteRef/>
      </w:r>
      <w:r>
        <w:rPr>
          <w:rtl/>
        </w:rPr>
        <w:t xml:space="preserve"> </w:t>
      </w:r>
      <w:r>
        <w:rPr>
          <w:rFonts w:hint="cs"/>
          <w:rtl/>
        </w:rPr>
        <w:t>סימן - לפחות בקיאים.</w:t>
      </w:r>
    </w:p>
  </w:footnote>
  <w:footnote w:id="1667">
    <w:p w14:paraId="22D37760" w14:textId="4EDF51DD" w:rsidR="00E90994" w:rsidRDefault="00E90994">
      <w:pPr>
        <w:pStyle w:val="a5"/>
      </w:pPr>
      <w:r>
        <w:rPr>
          <w:rStyle w:val="a7"/>
        </w:rPr>
        <w:footnoteRef/>
      </w:r>
      <w:r>
        <w:rPr>
          <w:rtl/>
        </w:rPr>
        <w:t xml:space="preserve"> </w:t>
      </w:r>
      <w:r w:rsidRPr="00E90994">
        <w:rPr>
          <w:rFonts w:cs="Arial"/>
          <w:rtl/>
        </w:rPr>
        <w:t>כדי מזונות של שנה תמכור יחד</w:t>
      </w:r>
      <w:r>
        <w:rPr>
          <w:rFonts w:cs="Arial" w:hint="cs"/>
          <w:rtl/>
        </w:rPr>
        <w:t>, רש"י.</w:t>
      </w:r>
    </w:p>
  </w:footnote>
  <w:footnote w:id="1668">
    <w:p w14:paraId="0D341A96" w14:textId="0AD10E3E" w:rsidR="00361991" w:rsidRDefault="00361991">
      <w:pPr>
        <w:pStyle w:val="a5"/>
      </w:pPr>
      <w:r>
        <w:rPr>
          <w:rStyle w:val="a7"/>
        </w:rPr>
        <w:footnoteRef/>
      </w:r>
      <w:r>
        <w:rPr>
          <w:rtl/>
        </w:rPr>
        <w:t xml:space="preserve"> </w:t>
      </w:r>
      <w:r w:rsidRPr="00361991">
        <w:rPr>
          <w:rFonts w:cs="Arial"/>
          <w:rtl/>
        </w:rPr>
        <w:t>לא ימסור לה כל המעות אלא דמי מזונות של חדש בחדש שאם תינשא יחזיר מה שבידו ליורשים</w:t>
      </w:r>
      <w:r>
        <w:rPr>
          <w:rFonts w:cs="Arial" w:hint="cs"/>
          <w:rtl/>
        </w:rPr>
        <w:t>, רש"י.</w:t>
      </w:r>
    </w:p>
  </w:footnote>
  <w:footnote w:id="1669">
    <w:p w14:paraId="4FC1EA64" w14:textId="6B9B3304" w:rsidR="00F01BC0" w:rsidRDefault="00F01BC0">
      <w:pPr>
        <w:pStyle w:val="a5"/>
      </w:pPr>
      <w:r>
        <w:rPr>
          <w:rStyle w:val="a7"/>
        </w:rPr>
        <w:footnoteRef/>
      </w:r>
      <w:r>
        <w:rPr>
          <w:rtl/>
        </w:rPr>
        <w:t xml:space="preserve"> </w:t>
      </w:r>
      <w:r w:rsidRPr="00F01BC0">
        <w:rPr>
          <w:rFonts w:cs="Arial"/>
          <w:rtl/>
        </w:rPr>
        <w:t>פירוש אפילו יהיב רשות</w:t>
      </w:r>
      <w:r>
        <w:rPr>
          <w:rFonts w:cs="Arial" w:hint="cs"/>
          <w:rtl/>
        </w:rPr>
        <w:t>, פרישה (אות סו).</w:t>
      </w:r>
    </w:p>
  </w:footnote>
  <w:footnote w:id="1670">
    <w:p w14:paraId="43649C7C" w14:textId="48139201" w:rsidR="002805FF" w:rsidRDefault="002805FF">
      <w:pPr>
        <w:pStyle w:val="a5"/>
      </w:pPr>
      <w:r>
        <w:rPr>
          <w:rStyle w:val="a7"/>
        </w:rPr>
        <w:footnoteRef/>
      </w:r>
      <w:r>
        <w:rPr>
          <w:rtl/>
        </w:rPr>
        <w:t xml:space="preserve"> </w:t>
      </w:r>
      <w:r>
        <w:rPr>
          <w:rFonts w:hint="cs"/>
          <w:rtl/>
        </w:rPr>
        <w:t>סימן - קורת גג. וכן - קורת גלמודה.</w:t>
      </w:r>
    </w:p>
  </w:footnote>
  <w:footnote w:id="1671">
    <w:p w14:paraId="112C24BC" w14:textId="77777777" w:rsidR="00FB0EDC" w:rsidRDefault="00FB0EDC" w:rsidP="00FB0EDC">
      <w:pPr>
        <w:pStyle w:val="a5"/>
      </w:pPr>
      <w:r>
        <w:rPr>
          <w:rStyle w:val="a7"/>
        </w:rPr>
        <w:footnoteRef/>
      </w:r>
      <w:r>
        <w:rPr>
          <w:rtl/>
        </w:rPr>
        <w:t xml:space="preserve"> </w:t>
      </w:r>
      <w:r w:rsidRPr="00114B8B">
        <w:rPr>
          <w:rFonts w:cs="Arial"/>
          <w:rtl/>
        </w:rPr>
        <w:t xml:space="preserve">אם בנות המשפחה רגילות בשתים או שלש שפחות </w:t>
      </w:r>
      <w:r>
        <w:rPr>
          <w:rFonts w:cs="Arial" w:hint="cs"/>
          <w:rtl/>
        </w:rPr>
        <w:t xml:space="preserve">- </w:t>
      </w:r>
      <w:r w:rsidRPr="00114B8B">
        <w:rPr>
          <w:rFonts w:cs="Arial"/>
          <w:rtl/>
        </w:rPr>
        <w:t>נותנים גם לאלמנה כן</w:t>
      </w:r>
      <w:r>
        <w:rPr>
          <w:rFonts w:cs="Arial" w:hint="cs"/>
          <w:rtl/>
        </w:rPr>
        <w:t>,</w:t>
      </w:r>
      <w:r w:rsidRPr="00114B8B">
        <w:rPr>
          <w:rFonts w:cs="Arial"/>
          <w:rtl/>
        </w:rPr>
        <w:t xml:space="preserve"> לפי שאינה יורדת עמו</w:t>
      </w:r>
      <w:r>
        <w:rPr>
          <w:rFonts w:cs="Arial" w:hint="cs"/>
          <w:rtl/>
        </w:rPr>
        <w:t>.</w:t>
      </w:r>
      <w:r w:rsidRPr="00114B8B">
        <w:rPr>
          <w:rFonts w:cs="Arial"/>
          <w:rtl/>
        </w:rPr>
        <w:t xml:space="preserve"> אבל אם היא ומשפחתה אינן רגילות בכך</w:t>
      </w:r>
      <w:r>
        <w:rPr>
          <w:rFonts w:cs="Arial" w:hint="cs"/>
          <w:rtl/>
        </w:rPr>
        <w:t>,</w:t>
      </w:r>
      <w:r w:rsidRPr="00114B8B">
        <w:rPr>
          <w:rFonts w:cs="Arial"/>
          <w:rtl/>
        </w:rPr>
        <w:t xml:space="preserve"> אע</w:t>
      </w:r>
      <w:r>
        <w:rPr>
          <w:rFonts w:cs="Arial" w:hint="cs"/>
          <w:rtl/>
        </w:rPr>
        <w:t>"</w:t>
      </w:r>
      <w:r w:rsidRPr="00114B8B">
        <w:rPr>
          <w:rFonts w:cs="Arial"/>
          <w:rtl/>
        </w:rPr>
        <w:t xml:space="preserve">פ שהיו לה שתים ושלש בחיי בעלה משתמשות בבית בעלה </w:t>
      </w:r>
      <w:r>
        <w:rPr>
          <w:rFonts w:cs="Arial" w:hint="cs"/>
          <w:rtl/>
        </w:rPr>
        <w:t xml:space="preserve">- </w:t>
      </w:r>
      <w:r w:rsidRPr="00114B8B">
        <w:rPr>
          <w:rFonts w:cs="Arial"/>
          <w:rtl/>
        </w:rPr>
        <w:t>אין נותנים לה אלא אחת</w:t>
      </w:r>
      <w:r>
        <w:rPr>
          <w:rFonts w:cs="Arial" w:hint="cs"/>
          <w:rtl/>
        </w:rPr>
        <w:t>,</w:t>
      </w:r>
      <w:r w:rsidRPr="00114B8B">
        <w:rPr>
          <w:rFonts w:cs="Arial"/>
          <w:rtl/>
        </w:rPr>
        <w:t xml:space="preserve"> שאינה משתמשת בכל מה שהיתה משתמשת בבית בעלה בחיי בעלה</w:t>
      </w:r>
      <w:r>
        <w:rPr>
          <w:rFonts w:cs="Arial" w:hint="cs"/>
          <w:rtl/>
        </w:rPr>
        <w:t>, רשב"א (ח"א סי' תתקכג, הביאו הב"י).</w:t>
      </w:r>
      <w:r w:rsidRPr="00EB7813">
        <w:rPr>
          <w:rFonts w:cs="Arial"/>
          <w:rtl/>
        </w:rPr>
        <w:t xml:space="preserve"> </w:t>
      </w:r>
      <w:r>
        <w:rPr>
          <w:rFonts w:cs="Arial" w:hint="cs"/>
          <w:rtl/>
        </w:rPr>
        <w:t xml:space="preserve">וכתב הדרכ"מ </w:t>
      </w:r>
      <w:r w:rsidRPr="00EB7813">
        <w:rPr>
          <w:rFonts w:cs="Arial"/>
          <w:rtl/>
        </w:rPr>
        <w:t>(</w:t>
      </w:r>
      <w:r>
        <w:rPr>
          <w:rFonts w:cs="Arial" w:hint="cs"/>
          <w:rtl/>
        </w:rPr>
        <w:t xml:space="preserve">אות </w:t>
      </w:r>
      <w:r w:rsidRPr="00EB7813">
        <w:rPr>
          <w:rFonts w:cs="Arial"/>
          <w:rtl/>
        </w:rPr>
        <w:t xml:space="preserve">א*) </w:t>
      </w:r>
      <w:r>
        <w:rPr>
          <w:rFonts w:cs="Arial" w:hint="cs"/>
          <w:rtl/>
        </w:rPr>
        <w:t>ד</w:t>
      </w:r>
      <w:r w:rsidRPr="00EB7813">
        <w:rPr>
          <w:rFonts w:cs="Arial"/>
          <w:rtl/>
        </w:rPr>
        <w:t>כן במדור</w:t>
      </w:r>
      <w:r>
        <w:rPr>
          <w:rFonts w:cs="Arial" w:hint="cs"/>
          <w:rtl/>
        </w:rPr>
        <w:t>.</w:t>
      </w:r>
    </w:p>
  </w:footnote>
  <w:footnote w:id="1672">
    <w:p w14:paraId="157E79DA" w14:textId="1B49FE2A" w:rsidR="00AF5117" w:rsidRDefault="00AF5117">
      <w:pPr>
        <w:pStyle w:val="a5"/>
      </w:pPr>
      <w:r>
        <w:rPr>
          <w:rStyle w:val="a7"/>
        </w:rPr>
        <w:footnoteRef/>
      </w:r>
      <w:r>
        <w:rPr>
          <w:rtl/>
        </w:rPr>
        <w:t xml:space="preserve"> </w:t>
      </w:r>
      <w:r w:rsidRPr="00EB7813">
        <w:rPr>
          <w:rFonts w:cs="Arial"/>
          <w:rtl/>
        </w:rPr>
        <w:t>עוד כתב הר"ן</w:t>
      </w:r>
      <w:r>
        <w:rPr>
          <w:rFonts w:cs="Arial" w:hint="cs"/>
          <w:rtl/>
        </w:rPr>
        <w:t>:</w:t>
      </w:r>
      <w:r w:rsidRPr="00EB7813">
        <w:rPr>
          <w:rFonts w:cs="Arial"/>
          <w:rtl/>
        </w:rPr>
        <w:t xml:space="preserve"> ירושלמי (פי"ב ה"ג) דרה בבתים כמו שהיתה דרה בהן ובעלה במדינת הים ומשתמשת בכלי זהב וכסף כשם שהיתה משתמשת ובעלה במדינת הים עכ"ל</w:t>
      </w:r>
      <w:r>
        <w:rPr>
          <w:rFonts w:cs="Arial" w:hint="cs"/>
          <w:sz w:val="16"/>
          <w:szCs w:val="16"/>
          <w:rtl/>
        </w:rPr>
        <w:t xml:space="preserve"> [הר"ן]</w:t>
      </w:r>
      <w:r>
        <w:rPr>
          <w:rFonts w:cs="Arial" w:hint="cs"/>
          <w:rtl/>
        </w:rPr>
        <w:t>.</w:t>
      </w:r>
      <w:r w:rsidRPr="00EB7813">
        <w:rPr>
          <w:rFonts w:cs="Arial"/>
          <w:rtl/>
        </w:rPr>
        <w:t xml:space="preserve"> ומשמע מדבריהם שצריכים לייחד לה מדור שנותנין לה בבית בעלה</w:t>
      </w:r>
      <w:r>
        <w:rPr>
          <w:rFonts w:cs="Arial" w:hint="cs"/>
          <w:sz w:val="16"/>
          <w:szCs w:val="16"/>
          <w:rtl/>
        </w:rPr>
        <w:t xml:space="preserve"> {צל"ע, דאפשר לפרש אחרת}</w:t>
      </w:r>
      <w:r>
        <w:rPr>
          <w:rFonts w:cs="Arial" w:hint="cs"/>
          <w:rtl/>
        </w:rPr>
        <w:t>,</w:t>
      </w:r>
      <w:r w:rsidRPr="00EB7813">
        <w:rPr>
          <w:rFonts w:cs="Arial"/>
          <w:rtl/>
        </w:rPr>
        <w:t xml:space="preserve"> ולא משמע כן במרדכי פרק הנושא (סי' רסד) אלא יכולים ליתן לה מדור בבית אחר וע"ש</w:t>
      </w:r>
      <w:r>
        <w:rPr>
          <w:rFonts w:cs="Arial" w:hint="cs"/>
          <w:rtl/>
        </w:rPr>
        <w:t>,</w:t>
      </w:r>
      <w:r w:rsidRPr="00EB7813">
        <w:rPr>
          <w:rFonts w:cs="Arial"/>
          <w:rtl/>
        </w:rPr>
        <w:t xml:space="preserve"> וכן הוא במרדכי סוף נערה שנתפתתה (סי' קסז). וכתב עוד הר"ן פרק הנושא (סא: ד"ה מתני') שאין נותנין מדור לאלמנה אא</w:t>
      </w:r>
      <w:r>
        <w:rPr>
          <w:rFonts w:cs="Arial" w:hint="cs"/>
          <w:rtl/>
        </w:rPr>
        <w:t>"</w:t>
      </w:r>
      <w:r w:rsidRPr="00EB7813">
        <w:rPr>
          <w:rFonts w:cs="Arial"/>
          <w:rtl/>
        </w:rPr>
        <w:t>כ קבלה עליה לדור שמא תשכירנו לאחרים עכ"ל, וכן הוא בתשובת הרשב"א (ח"א סי' אלף נג) שאלמנה אינה יכולה להשכיר מדור שלה</w:t>
      </w:r>
      <w:r>
        <w:rPr>
          <w:rFonts w:cs="Arial" w:hint="cs"/>
          <w:rtl/>
        </w:rPr>
        <w:t xml:space="preserve">, דרכ"מ (אות </w:t>
      </w:r>
      <w:r w:rsidRPr="00EB7813">
        <w:rPr>
          <w:rFonts w:cs="Arial"/>
          <w:rtl/>
        </w:rPr>
        <w:t>א)</w:t>
      </w:r>
      <w:r>
        <w:rPr>
          <w:rFonts w:cs="Arial" w:hint="cs"/>
          <w:rtl/>
        </w:rPr>
        <w:t>.</w:t>
      </w:r>
      <w:r w:rsidR="003B7BC8">
        <w:rPr>
          <w:rFonts w:cs="Arial" w:hint="cs"/>
          <w:rtl/>
        </w:rPr>
        <w:t xml:space="preserve"> </w:t>
      </w:r>
      <w:r w:rsidR="003B7BC8" w:rsidRPr="003B7BC8">
        <w:rPr>
          <w:rFonts w:cs="Arial" w:hint="cs"/>
          <w:color w:val="00B0F0"/>
          <w:rtl/>
        </w:rPr>
        <w:t>(וכ"פ בהג"ה)</w:t>
      </w:r>
    </w:p>
  </w:footnote>
  <w:footnote w:id="1673">
    <w:p w14:paraId="13617046" w14:textId="77777777" w:rsidR="005763E2" w:rsidRDefault="005763E2" w:rsidP="005763E2">
      <w:pPr>
        <w:pStyle w:val="a5"/>
      </w:pPr>
      <w:r>
        <w:rPr>
          <w:rStyle w:val="a7"/>
        </w:rPr>
        <w:footnoteRef/>
      </w:r>
      <w:r>
        <w:rPr>
          <w:rtl/>
        </w:rPr>
        <w:t xml:space="preserve"> </w:t>
      </w:r>
      <w:r w:rsidRPr="0067285B">
        <w:rPr>
          <w:rFonts w:cs="Arial"/>
          <w:rtl/>
        </w:rPr>
        <w:t>חזקה בדקיה</w:t>
      </w:r>
      <w:r>
        <w:rPr>
          <w:rFonts w:cs="Arial" w:hint="cs"/>
          <w:rtl/>
        </w:rPr>
        <w:t>, רש"י. אך התוס' (ד"ה ה"ג) כתבו</w:t>
      </w:r>
      <w:r w:rsidRPr="00DD479A">
        <w:rPr>
          <w:rtl/>
        </w:rPr>
        <w:t xml:space="preserve"> </w:t>
      </w:r>
      <w:r>
        <w:rPr>
          <w:rFonts w:cs="Arial" w:hint="cs"/>
          <w:rtl/>
        </w:rPr>
        <w:t>ד</w:t>
      </w:r>
      <w:r w:rsidRPr="00DD479A">
        <w:rPr>
          <w:rFonts w:cs="Arial"/>
          <w:rtl/>
        </w:rPr>
        <w:t>ה</w:t>
      </w:r>
      <w:r>
        <w:rPr>
          <w:rFonts w:cs="Arial" w:hint="cs"/>
          <w:rtl/>
        </w:rPr>
        <w:t xml:space="preserve">כי </w:t>
      </w:r>
      <w:r w:rsidRPr="00DD479A">
        <w:rPr>
          <w:rFonts w:cs="Arial"/>
          <w:rtl/>
        </w:rPr>
        <w:t>ג</w:t>
      </w:r>
      <w:r>
        <w:rPr>
          <w:rFonts w:cs="Arial" w:hint="cs"/>
          <w:rtl/>
        </w:rPr>
        <w:t>רסינן</w:t>
      </w:r>
      <w:r w:rsidRPr="00DD479A">
        <w:rPr>
          <w:rFonts w:cs="Arial"/>
          <w:rtl/>
        </w:rPr>
        <w:t xml:space="preserve"> </w:t>
      </w:r>
      <w:r>
        <w:rPr>
          <w:rFonts w:cs="Arial" w:hint="cs"/>
          <w:rtl/>
        </w:rPr>
        <w:t>"</w:t>
      </w:r>
      <w:r w:rsidRPr="00DD479A">
        <w:rPr>
          <w:rFonts w:cs="Arial"/>
          <w:rtl/>
        </w:rPr>
        <w:t>שיפצא מאי</w:t>
      </w:r>
      <w:r>
        <w:rPr>
          <w:rFonts w:cs="Arial" w:hint="cs"/>
          <w:rtl/>
        </w:rPr>
        <w:t>"</w:t>
      </w:r>
      <w:r w:rsidRPr="00DD479A">
        <w:rPr>
          <w:rFonts w:cs="Arial"/>
          <w:rtl/>
        </w:rPr>
        <w:t xml:space="preserve"> - ושם דבר הוא כלומר מהו שתשפץ וכן פי' ר"ח</w:t>
      </w:r>
      <w:r>
        <w:rPr>
          <w:rFonts w:cs="Arial" w:hint="cs"/>
          <w:rtl/>
        </w:rPr>
        <w:t>.</w:t>
      </w:r>
      <w:r>
        <w:rPr>
          <w:rFonts w:hint="cs"/>
          <w:rtl/>
        </w:rPr>
        <w:t xml:space="preserve"> עכ"ל התוס'.</w:t>
      </w:r>
      <w:r w:rsidRPr="005763E2">
        <w:rPr>
          <w:rFonts w:cs="Arial"/>
          <w:rtl/>
        </w:rPr>
        <w:t xml:space="preserve"> </w:t>
      </w:r>
      <w:r w:rsidRPr="006547DB">
        <w:rPr>
          <w:rFonts w:cs="Arial"/>
          <w:rtl/>
        </w:rPr>
        <w:t>וכן גורסין הרי"ף (סא:) והרא"ש (סי' ו) וידוע דכל תיקו דממונא הוי קולא לנתבע</w:t>
      </w:r>
      <w:r>
        <w:rPr>
          <w:rFonts w:cs="Arial" w:hint="cs"/>
          <w:rtl/>
        </w:rPr>
        <w:t>,</w:t>
      </w:r>
      <w:r w:rsidRPr="006547DB">
        <w:rPr>
          <w:rFonts w:cs="Arial"/>
          <w:rtl/>
        </w:rPr>
        <w:t xml:space="preserve"> ולפיכך כתב רבינו שאפילו תאמר אני אחזקנו וכו' </w:t>
      </w:r>
      <w:r>
        <w:rPr>
          <w:rFonts w:cs="Arial" w:hint="cs"/>
          <w:rtl/>
        </w:rPr>
        <w:t xml:space="preserve">- </w:t>
      </w:r>
      <w:r w:rsidRPr="006547DB">
        <w:rPr>
          <w:rFonts w:cs="Arial"/>
          <w:rtl/>
        </w:rPr>
        <w:t>אין שומעין לה</w:t>
      </w:r>
      <w:r>
        <w:rPr>
          <w:rFonts w:cs="Arial" w:hint="cs"/>
          <w:rtl/>
        </w:rPr>
        <w:t>.</w:t>
      </w:r>
      <w:r w:rsidRPr="006547DB">
        <w:rPr>
          <w:rFonts w:cs="Arial"/>
          <w:rtl/>
        </w:rPr>
        <w:t xml:space="preserve"> וכן כתבו הרי"ף והרא"ש</w:t>
      </w:r>
      <w:r>
        <w:rPr>
          <w:rFonts w:cs="Arial" w:hint="cs"/>
          <w:rtl/>
        </w:rPr>
        <w:t>.</w:t>
      </w:r>
      <w:r w:rsidRPr="006547DB">
        <w:rPr>
          <w:rFonts w:cs="Arial"/>
          <w:rtl/>
        </w:rPr>
        <w:t xml:space="preserve"> וכן כתב הרמב"ם בפי"ח (שם) לא תחזק בדקו ולא תטחה אותו אלא או תשב בו כמו שהוא או תצא</w:t>
      </w:r>
      <w:r>
        <w:rPr>
          <w:rFonts w:cs="Arial" w:hint="cs"/>
          <w:rtl/>
        </w:rPr>
        <w:t>, ב"י.</w:t>
      </w:r>
    </w:p>
  </w:footnote>
  <w:footnote w:id="1674">
    <w:p w14:paraId="51B8EBE4" w14:textId="3D459523" w:rsidR="006547DB" w:rsidRDefault="006547DB">
      <w:pPr>
        <w:pStyle w:val="a5"/>
        <w:rPr>
          <w:rtl/>
        </w:rPr>
      </w:pPr>
      <w:r>
        <w:rPr>
          <w:rStyle w:val="a7"/>
        </w:rPr>
        <w:footnoteRef/>
      </w:r>
      <w:r>
        <w:rPr>
          <w:rtl/>
        </w:rPr>
        <w:t xml:space="preserve"> </w:t>
      </w:r>
      <w:r w:rsidRPr="006547DB">
        <w:rPr>
          <w:rFonts w:cs="Arial"/>
          <w:rtl/>
        </w:rPr>
        <w:t>וכתב בהגהות אלפסי שם (כ: אות ה) מיהו אם היתומים רוצים לבנות כדי שאינן צריכין לזונה בבית אביה הרשות בידם עכ"ל</w:t>
      </w:r>
      <w:r w:rsidR="00B63502">
        <w:rPr>
          <w:rFonts w:cs="Arial" w:hint="cs"/>
          <w:rtl/>
        </w:rPr>
        <w:t>, דרכ"מ (אות ב).</w:t>
      </w:r>
    </w:p>
  </w:footnote>
  <w:footnote w:id="1675">
    <w:p w14:paraId="36323388" w14:textId="77777777" w:rsidR="002805FF" w:rsidRDefault="002805FF" w:rsidP="002805FF">
      <w:pPr>
        <w:pStyle w:val="a5"/>
      </w:pPr>
      <w:r>
        <w:rPr>
          <w:rStyle w:val="a7"/>
        </w:rPr>
        <w:footnoteRef/>
      </w:r>
      <w:r>
        <w:rPr>
          <w:rtl/>
        </w:rPr>
        <w:t xml:space="preserve"> </w:t>
      </w:r>
      <w:r>
        <w:rPr>
          <w:rFonts w:hint="cs"/>
          <w:rtl/>
        </w:rPr>
        <w:t>סימן - קורת גג. וכן - קורת גלמודה.</w:t>
      </w:r>
    </w:p>
  </w:footnote>
  <w:footnote w:id="1676">
    <w:p w14:paraId="0C105E30" w14:textId="77777777" w:rsidR="002805FF" w:rsidRDefault="002805FF" w:rsidP="002805FF">
      <w:pPr>
        <w:pStyle w:val="a5"/>
      </w:pPr>
      <w:r>
        <w:rPr>
          <w:rStyle w:val="a7"/>
        </w:rPr>
        <w:footnoteRef/>
      </w:r>
      <w:r>
        <w:rPr>
          <w:rtl/>
        </w:rPr>
        <w:t xml:space="preserve"> </w:t>
      </w:r>
      <w:r>
        <w:rPr>
          <w:rFonts w:hint="cs"/>
          <w:rtl/>
        </w:rPr>
        <w:t>סימן - קורת גג. וכן - קורת גלמודה.</w:t>
      </w:r>
    </w:p>
  </w:footnote>
  <w:footnote w:id="1677">
    <w:p w14:paraId="0D0958D1" w14:textId="04EEA115" w:rsidR="005314D6" w:rsidRDefault="005314D6" w:rsidP="005314D6">
      <w:pPr>
        <w:pStyle w:val="a5"/>
      </w:pPr>
      <w:r>
        <w:rPr>
          <w:rStyle w:val="a7"/>
        </w:rPr>
        <w:footnoteRef/>
      </w:r>
      <w:r>
        <w:rPr>
          <w:rtl/>
        </w:rPr>
        <w:t xml:space="preserve"> </w:t>
      </w:r>
      <w:r w:rsidRPr="00377B15">
        <w:rPr>
          <w:rFonts w:cs="Arial"/>
          <w:rtl/>
        </w:rPr>
        <w:t>בית צר כעין צריף</w:t>
      </w:r>
      <w:r w:rsidR="00A055F6" w:rsidRPr="00A055F6">
        <w:rPr>
          <w:rtl/>
        </w:rPr>
        <w:t xml:space="preserve"> </w:t>
      </w:r>
      <w:r w:rsidR="00A055F6" w:rsidRPr="00A055F6">
        <w:rPr>
          <w:rFonts w:cs="Arial"/>
          <w:rtl/>
        </w:rPr>
        <w:t>כדאמרינן במסכת שבת (עז</w:t>
      </w:r>
      <w:r w:rsidR="00A055F6">
        <w:rPr>
          <w:rFonts w:cs="Arial" w:hint="cs"/>
          <w:rtl/>
        </w:rPr>
        <w:t>.</w:t>
      </w:r>
      <w:r w:rsidR="00A055F6" w:rsidRPr="00A055F6">
        <w:rPr>
          <w:rFonts w:cs="Arial"/>
          <w:rtl/>
        </w:rPr>
        <w:t>) בקתא בי עקתא</w:t>
      </w:r>
      <w:r w:rsidR="00A055F6">
        <w:rPr>
          <w:rFonts w:cs="Arial" w:hint="cs"/>
          <w:rtl/>
        </w:rPr>
        <w:t>.</w:t>
      </w:r>
      <w:r w:rsidR="00A055F6" w:rsidRPr="00A055F6">
        <w:rPr>
          <w:rFonts w:cs="Arial"/>
          <w:rtl/>
        </w:rPr>
        <w:t xml:space="preserve"> אם היה מדור שלו צר </w:t>
      </w:r>
      <w:r w:rsidR="00A055F6">
        <w:rPr>
          <w:rFonts w:cs="Arial" w:hint="cs"/>
          <w:rtl/>
        </w:rPr>
        <w:t xml:space="preserve">- </w:t>
      </w:r>
      <w:r w:rsidR="00A055F6" w:rsidRPr="00A055F6">
        <w:rPr>
          <w:rFonts w:cs="Arial"/>
          <w:rtl/>
        </w:rPr>
        <w:t>לא קבל עליו להוציא את בניו ולהושיבה</w:t>
      </w:r>
      <w:r>
        <w:rPr>
          <w:rFonts w:cs="Arial" w:hint="cs"/>
          <w:rtl/>
        </w:rPr>
        <w:t>, רש"י.</w:t>
      </w:r>
    </w:p>
  </w:footnote>
  <w:footnote w:id="1678">
    <w:p w14:paraId="41CF5777" w14:textId="69BC8634" w:rsidR="00486F06" w:rsidRDefault="00486F06">
      <w:pPr>
        <w:pStyle w:val="a5"/>
        <w:rPr>
          <w:rtl/>
        </w:rPr>
      </w:pPr>
      <w:r>
        <w:rPr>
          <w:rStyle w:val="a7"/>
        </w:rPr>
        <w:footnoteRef/>
      </w:r>
      <w:r>
        <w:rPr>
          <w:rtl/>
        </w:rPr>
        <w:t xml:space="preserve"> </w:t>
      </w:r>
      <w:r w:rsidRPr="00486F06">
        <w:rPr>
          <w:rFonts w:cs="Arial"/>
          <w:rtl/>
        </w:rPr>
        <w:t>אם יש לו בית כופין את היורשין לתת לה מדור לפי כבודה ואין יכולין לומר לה לכי לבית אביך ואנו זנין אותך שם</w:t>
      </w:r>
      <w:r w:rsidR="000F1AA4">
        <w:rPr>
          <w:rFonts w:cs="Arial" w:hint="cs"/>
          <w:rtl/>
        </w:rPr>
        <w:t>.</w:t>
      </w:r>
      <w:r w:rsidRPr="00486F06">
        <w:rPr>
          <w:rFonts w:cs="Arial"/>
          <w:rtl/>
        </w:rPr>
        <w:t xml:space="preserve"> אבל אין לו בית אלא ביקתא בעלמא</w:t>
      </w:r>
      <w:r w:rsidR="000F1AA4">
        <w:rPr>
          <w:rFonts w:cs="Arial" w:hint="cs"/>
          <w:rtl/>
        </w:rPr>
        <w:t>,</w:t>
      </w:r>
      <w:r w:rsidRPr="00486F06">
        <w:rPr>
          <w:rFonts w:cs="Arial"/>
          <w:rtl/>
        </w:rPr>
        <w:t xml:space="preserve"> צריף צר וקטן ולשון ביקתא בי עקתא (שבת עז)</w:t>
      </w:r>
      <w:r w:rsidR="000F1AA4">
        <w:rPr>
          <w:rFonts w:cs="Arial" w:hint="cs"/>
          <w:rtl/>
        </w:rPr>
        <w:t xml:space="preserve"> -</w:t>
      </w:r>
      <w:r w:rsidRPr="00486F06">
        <w:rPr>
          <w:rFonts w:cs="Arial"/>
          <w:rtl/>
        </w:rPr>
        <w:t xml:space="preserve"> יכולין לומר לכי מאצלנו</w:t>
      </w:r>
      <w:r w:rsidR="000F1AA4">
        <w:rPr>
          <w:rFonts w:cs="Arial" w:hint="cs"/>
          <w:rtl/>
        </w:rPr>
        <w:t>,</w:t>
      </w:r>
      <w:r w:rsidRPr="00486F06">
        <w:rPr>
          <w:rFonts w:cs="Arial"/>
          <w:rtl/>
        </w:rPr>
        <w:t xml:space="preserve"> דאת תהא יתבא בביתי כתב לך</w:t>
      </w:r>
      <w:r w:rsidR="000F1AA4">
        <w:rPr>
          <w:rFonts w:cs="Arial" w:hint="cs"/>
          <w:rtl/>
        </w:rPr>
        <w:t>,</w:t>
      </w:r>
      <w:r w:rsidRPr="00486F06">
        <w:rPr>
          <w:rFonts w:cs="Arial"/>
          <w:rtl/>
        </w:rPr>
        <w:t xml:space="preserve"> ולא בביקתי</w:t>
      </w:r>
      <w:r>
        <w:rPr>
          <w:rFonts w:cs="Arial" w:hint="cs"/>
          <w:rtl/>
        </w:rPr>
        <w:t>, רש"י.</w:t>
      </w:r>
    </w:p>
  </w:footnote>
  <w:footnote w:id="1679">
    <w:p w14:paraId="235B51E0" w14:textId="786A721B" w:rsidR="00190F4A" w:rsidRDefault="00190F4A">
      <w:pPr>
        <w:pStyle w:val="a5"/>
        <w:rPr>
          <w:rtl/>
        </w:rPr>
      </w:pPr>
      <w:r>
        <w:rPr>
          <w:rStyle w:val="a7"/>
        </w:rPr>
        <w:footnoteRef/>
      </w:r>
      <w:r>
        <w:rPr>
          <w:rtl/>
        </w:rPr>
        <w:t xml:space="preserve"> </w:t>
      </w:r>
      <w:r>
        <w:rPr>
          <w:rFonts w:cs="Arial" w:hint="cs"/>
          <w:rtl/>
        </w:rPr>
        <w:t xml:space="preserve">אחרי שהטור הביא את דברי הרמב"ם, כתב ז"ל: </w:t>
      </w:r>
      <w:r w:rsidRPr="00DA71B9">
        <w:rPr>
          <w:rFonts w:cs="Arial"/>
          <w:rtl/>
        </w:rPr>
        <w:t>וכן הוא מסקנת א"א הרא"ש ז"ל</w:t>
      </w:r>
      <w:r>
        <w:rPr>
          <w:rFonts w:cs="Arial" w:hint="cs"/>
          <w:rtl/>
        </w:rPr>
        <w:t>. עכ"ל.</w:t>
      </w:r>
      <w:r>
        <w:rPr>
          <w:rFonts w:cs="Arial"/>
          <w:rtl/>
        </w:rPr>
        <w:t xml:space="preserve"> </w:t>
      </w:r>
      <w:r>
        <w:rPr>
          <w:rFonts w:cs="Arial" w:hint="cs"/>
          <w:rtl/>
        </w:rPr>
        <w:t>וכתב הב"י: ו</w:t>
      </w:r>
      <w:r>
        <w:rPr>
          <w:rFonts w:cs="Arial"/>
          <w:rtl/>
        </w:rPr>
        <w:t>איני רואה בדברי הרא"ש (שם) שהוא מכריע בין שני הפירושים</w:t>
      </w:r>
      <w:r>
        <w:rPr>
          <w:rFonts w:cs="Arial" w:hint="cs"/>
          <w:rtl/>
        </w:rPr>
        <w:t>,</w:t>
      </w:r>
      <w:r>
        <w:rPr>
          <w:rFonts w:cs="Arial"/>
          <w:rtl/>
        </w:rPr>
        <w:t xml:space="preserve"> ואיפשר דמשמע לרבינו שהפי' שכתב אחרון הוא תופס עיקר.</w:t>
      </w:r>
    </w:p>
  </w:footnote>
  <w:footnote w:id="1680">
    <w:p w14:paraId="24A91C2A" w14:textId="05996064" w:rsidR="00800BF5" w:rsidRDefault="00800BF5">
      <w:pPr>
        <w:pStyle w:val="a5"/>
      </w:pPr>
      <w:r>
        <w:rPr>
          <w:rStyle w:val="a7"/>
        </w:rPr>
        <w:footnoteRef/>
      </w:r>
      <w:r>
        <w:rPr>
          <w:rtl/>
        </w:rPr>
        <w:t xml:space="preserve"> </w:t>
      </w:r>
      <w:r>
        <w:rPr>
          <w:rFonts w:cs="Arial" w:hint="cs"/>
          <w:rtl/>
        </w:rPr>
        <w:t xml:space="preserve">וכן </w:t>
      </w:r>
      <w:r w:rsidRPr="00DA71B9">
        <w:rPr>
          <w:rFonts w:cs="Arial"/>
          <w:rtl/>
        </w:rPr>
        <w:t xml:space="preserve">אם הבית קטן מהכיל </w:t>
      </w:r>
      <w:r>
        <w:rPr>
          <w:rFonts w:cs="Arial" w:hint="cs"/>
          <w:rtl/>
        </w:rPr>
        <w:t xml:space="preserve">- </w:t>
      </w:r>
      <w:r w:rsidRPr="00DA71B9">
        <w:rPr>
          <w:rFonts w:cs="Arial"/>
          <w:rtl/>
        </w:rPr>
        <w:t>צריכין לשכור לה בית וליתן לה בו מזונותיה משלם</w:t>
      </w:r>
      <w:r>
        <w:rPr>
          <w:rFonts w:cs="Arial" w:hint="cs"/>
          <w:rtl/>
        </w:rPr>
        <w:t>,</w:t>
      </w:r>
      <w:r w:rsidRPr="00DA71B9">
        <w:rPr>
          <w:rFonts w:cs="Arial"/>
          <w:rtl/>
        </w:rPr>
        <w:t xml:space="preserve"> אלא שבזה יפה כח היורשים</w:t>
      </w:r>
      <w:r>
        <w:rPr>
          <w:rFonts w:cs="Arial" w:hint="cs"/>
          <w:rtl/>
        </w:rPr>
        <w:t>,</w:t>
      </w:r>
      <w:r w:rsidRPr="00DA71B9">
        <w:rPr>
          <w:rFonts w:cs="Arial"/>
          <w:rtl/>
        </w:rPr>
        <w:t xml:space="preserve"> שאם היא אומרת תשכרו אתם ואני אדור בבית בעלי </w:t>
      </w:r>
      <w:r>
        <w:rPr>
          <w:rFonts w:cs="Arial" w:hint="cs"/>
          <w:rtl/>
        </w:rPr>
        <w:t xml:space="preserve">- </w:t>
      </w:r>
      <w:r w:rsidRPr="00DA71B9">
        <w:rPr>
          <w:rFonts w:cs="Arial"/>
          <w:rtl/>
        </w:rPr>
        <w:t>אין שומעין לה</w:t>
      </w:r>
      <w:r>
        <w:rPr>
          <w:rFonts w:cs="Arial" w:hint="cs"/>
          <w:rtl/>
        </w:rPr>
        <w:t>,</w:t>
      </w:r>
      <w:r w:rsidRPr="00DA71B9">
        <w:rPr>
          <w:rFonts w:cs="Arial"/>
          <w:rtl/>
        </w:rPr>
        <w:t xml:space="preserve"> אבל לעולם צריכין ליתן לה או בית בעלה או לשכור לה אחר</w:t>
      </w:r>
      <w:r>
        <w:rPr>
          <w:rFonts w:cs="Arial" w:hint="cs"/>
          <w:rtl/>
        </w:rPr>
        <w:t>, טור בשם הרא"ש (שם).</w:t>
      </w:r>
    </w:p>
  </w:footnote>
  <w:footnote w:id="1681">
    <w:p w14:paraId="78E7CF3F" w14:textId="1929364A" w:rsidR="00190F4A" w:rsidRPr="000367DB" w:rsidRDefault="00190F4A">
      <w:pPr>
        <w:pStyle w:val="a5"/>
      </w:pPr>
      <w:r>
        <w:rPr>
          <w:rStyle w:val="a7"/>
        </w:rPr>
        <w:footnoteRef/>
      </w:r>
      <w:r>
        <w:rPr>
          <w:rtl/>
        </w:rPr>
        <w:t xml:space="preserve"> </w:t>
      </w:r>
      <w:r>
        <w:rPr>
          <w:rFonts w:cs="Arial"/>
          <w:rtl/>
        </w:rPr>
        <w:t>וכתב הה</w:t>
      </w:r>
      <w:r w:rsidR="005B60EC">
        <w:rPr>
          <w:rFonts w:cs="Arial" w:hint="cs"/>
          <w:rtl/>
        </w:rPr>
        <w:t>"</w:t>
      </w:r>
      <w:r>
        <w:rPr>
          <w:rFonts w:cs="Arial"/>
          <w:rtl/>
        </w:rPr>
        <w:t>מ</w:t>
      </w:r>
      <w:r w:rsidR="005B60EC">
        <w:rPr>
          <w:rFonts w:cs="Arial" w:hint="cs"/>
          <w:rtl/>
        </w:rPr>
        <w:t>:</w:t>
      </w:r>
      <w:r>
        <w:rPr>
          <w:rFonts w:cs="Arial"/>
          <w:rtl/>
        </w:rPr>
        <w:t xml:space="preserve"> זה דעת הרבה מן הראשונים ומבואר בירושלמי וכן הסכימו הרמב"ן והרשב"א ז"ל (בחי' נד.)</w:t>
      </w:r>
      <w:r>
        <w:rPr>
          <w:rFonts w:cs="Arial" w:hint="cs"/>
          <w:rtl/>
        </w:rPr>
        <w:t xml:space="preserve">, </w:t>
      </w:r>
      <w:r w:rsidRPr="000367DB">
        <w:rPr>
          <w:rFonts w:cs="Arial" w:hint="cs"/>
          <w:b/>
          <w:bCs/>
          <w:rtl/>
        </w:rPr>
        <w:t>ב"י</w:t>
      </w:r>
      <w:r>
        <w:rPr>
          <w:rFonts w:cs="Arial" w:hint="cs"/>
          <w:rtl/>
        </w:rPr>
        <w:t>.</w:t>
      </w:r>
      <w:r w:rsidR="000367DB">
        <w:rPr>
          <w:rFonts w:cs="Arial" w:hint="cs"/>
          <w:rtl/>
        </w:rPr>
        <w:t xml:space="preserve">   </w:t>
      </w:r>
      <w:r w:rsidR="005B60EC" w:rsidRPr="005B60EC">
        <w:rPr>
          <w:rFonts w:cs="Arial"/>
          <w:rtl/>
        </w:rPr>
        <w:t xml:space="preserve"> </w:t>
      </w:r>
      <w:r w:rsidR="005B60EC" w:rsidRPr="00D32CDD">
        <w:rPr>
          <w:rFonts w:cs="Arial"/>
          <w:rtl/>
        </w:rPr>
        <w:t>וכ"כ הר"ן פרק נערה (כ: ד"ה אבל)</w:t>
      </w:r>
      <w:r w:rsidR="000367DB">
        <w:rPr>
          <w:rFonts w:cs="Arial" w:hint="cs"/>
          <w:rtl/>
        </w:rPr>
        <w:t>,</w:t>
      </w:r>
      <w:r w:rsidR="005B60EC" w:rsidRPr="00D32CDD">
        <w:rPr>
          <w:rFonts w:cs="Arial"/>
          <w:rtl/>
        </w:rPr>
        <w:t xml:space="preserve"> ומיהו כתב (שם ד"ה וגרסי') ואפשר דאינו חייב לשכור אלא כששוכרין גם לעצמן שלא היה להם בית מעולם אבל כשיש להם בית קטן אפשר דאין חייבים לשכור</w:t>
      </w:r>
      <w:r w:rsidR="000367DB">
        <w:rPr>
          <w:rFonts w:cs="Arial" w:hint="cs"/>
          <w:rtl/>
        </w:rPr>
        <w:t>.</w:t>
      </w:r>
      <w:r w:rsidR="005B60EC" w:rsidRPr="00D32CDD">
        <w:rPr>
          <w:rFonts w:cs="Arial"/>
          <w:rtl/>
        </w:rPr>
        <w:t xml:space="preserve"> וכתב בשם הרמב"ן (בהשמטות סוף כתובות) דאפילו במקום שצריכים לשכור אין צריך לטרוח לשכור לה אלא נותנים המעות והיא תשכור לעצמה</w:t>
      </w:r>
      <w:r w:rsidR="005B60EC">
        <w:rPr>
          <w:rFonts w:cs="Arial" w:hint="cs"/>
          <w:b/>
          <w:bCs/>
          <w:rtl/>
        </w:rPr>
        <w:t xml:space="preserve">, דרכ"מ </w:t>
      </w:r>
      <w:r w:rsidR="000367DB">
        <w:rPr>
          <w:rFonts w:cs="Arial" w:hint="cs"/>
          <w:rtl/>
        </w:rPr>
        <w:t>(אות ג).</w:t>
      </w:r>
    </w:p>
  </w:footnote>
  <w:footnote w:id="1682">
    <w:p w14:paraId="6957FD61" w14:textId="3727976E" w:rsidR="00190F4A" w:rsidRDefault="00190F4A">
      <w:pPr>
        <w:pStyle w:val="a5"/>
      </w:pPr>
      <w:r>
        <w:rPr>
          <w:rStyle w:val="a7"/>
        </w:rPr>
        <w:footnoteRef/>
      </w:r>
      <w:r>
        <w:rPr>
          <w:rtl/>
        </w:rPr>
        <w:t xml:space="preserve"> </w:t>
      </w:r>
      <w:r>
        <w:rPr>
          <w:rFonts w:cs="Arial"/>
          <w:rtl/>
        </w:rPr>
        <w:t>הכי משמע בגמרא פרק הנושא (קג.) ופרק נערה שנתפתתה (מח.)</w:t>
      </w:r>
      <w:r>
        <w:rPr>
          <w:rFonts w:cs="Arial" w:hint="cs"/>
          <w:rtl/>
        </w:rPr>
        <w:t xml:space="preserve">, </w:t>
      </w:r>
      <w:r w:rsidR="004E6B7F">
        <w:rPr>
          <w:rFonts w:cs="Arial" w:hint="cs"/>
          <w:rtl/>
        </w:rPr>
        <w:t>הה"מ (שם).</w:t>
      </w:r>
    </w:p>
  </w:footnote>
  <w:footnote w:id="1683">
    <w:p w14:paraId="233D034A" w14:textId="77777777" w:rsidR="00B77B1F" w:rsidRDefault="00B77B1F" w:rsidP="00B77B1F">
      <w:pPr>
        <w:pStyle w:val="a5"/>
      </w:pPr>
      <w:r>
        <w:rPr>
          <w:rStyle w:val="a7"/>
        </w:rPr>
        <w:footnoteRef/>
      </w:r>
      <w:r>
        <w:rPr>
          <w:rtl/>
        </w:rPr>
        <w:t xml:space="preserve"> </w:t>
      </w:r>
      <w:r>
        <w:rPr>
          <w:rFonts w:hint="cs"/>
          <w:rtl/>
        </w:rPr>
        <w:t>סימן - קורת גג. וכן - קורת גלמודה.</w:t>
      </w:r>
    </w:p>
  </w:footnote>
  <w:footnote w:id="1684">
    <w:p w14:paraId="30A44269" w14:textId="48C1BD30" w:rsidR="00835288" w:rsidRDefault="00835288" w:rsidP="00835288">
      <w:pPr>
        <w:pStyle w:val="a5"/>
      </w:pPr>
      <w:r>
        <w:rPr>
          <w:rStyle w:val="a7"/>
        </w:rPr>
        <w:footnoteRef/>
      </w:r>
      <w:r>
        <w:rPr>
          <w:rtl/>
        </w:rPr>
        <w:t xml:space="preserve"> </w:t>
      </w:r>
      <w:r w:rsidRPr="00D32CDD">
        <w:rPr>
          <w:rFonts w:cs="Arial"/>
          <w:rtl/>
        </w:rPr>
        <w:t>וכן כתבו התוספות (קג. ד"ה ברכת)</w:t>
      </w:r>
      <w:r w:rsidR="00B77B1F">
        <w:rPr>
          <w:rFonts w:cs="Arial" w:hint="cs"/>
          <w:rtl/>
        </w:rPr>
        <w:t>,</w:t>
      </w:r>
      <w:r w:rsidRPr="00D32CDD">
        <w:rPr>
          <w:rFonts w:cs="Arial"/>
          <w:rtl/>
        </w:rPr>
        <w:t xml:space="preserve"> והביאן המרדכי פרק הנושא (סי' רסה)</w:t>
      </w:r>
      <w:r w:rsidR="00B77B1F">
        <w:rPr>
          <w:rFonts w:cs="Arial" w:hint="cs"/>
          <w:rtl/>
        </w:rPr>
        <w:t>,</w:t>
      </w:r>
      <w:r w:rsidRPr="00D32CDD">
        <w:rPr>
          <w:rFonts w:cs="Arial"/>
          <w:rtl/>
        </w:rPr>
        <w:t xml:space="preserve"> ודלא כהר"ן שם (סא: ד"ה גמ') שפירש בענין אחר</w:t>
      </w:r>
      <w:r w:rsidR="00B77B1F">
        <w:rPr>
          <w:rFonts w:cs="Arial" w:hint="cs"/>
          <w:sz w:val="16"/>
          <w:szCs w:val="16"/>
          <w:rtl/>
        </w:rPr>
        <w:t xml:space="preserve"> {וז"ל שם:</w:t>
      </w:r>
      <w:r w:rsidR="00B77B1F">
        <w:rPr>
          <w:rFonts w:hint="cs"/>
          <w:rtl/>
        </w:rPr>
        <w:t xml:space="preserve"> </w:t>
      </w:r>
      <w:r w:rsidR="00B77B1F" w:rsidRPr="00B77B1F">
        <w:rPr>
          <w:rFonts w:cs="Arial"/>
          <w:sz w:val="16"/>
          <w:szCs w:val="16"/>
          <w:rtl/>
        </w:rPr>
        <w:t>ברכת הבית ברובה. בני אדם שעוזרין זה את זה ומשתכרין ומזלא דרבים עדיף</w:t>
      </w:r>
      <w:r w:rsidR="00B77B1F">
        <w:rPr>
          <w:rFonts w:cs="Arial" w:hint="cs"/>
          <w:sz w:val="16"/>
          <w:szCs w:val="16"/>
          <w:rtl/>
        </w:rPr>
        <w:t>}</w:t>
      </w:r>
      <w:r w:rsidR="00B77B1F">
        <w:rPr>
          <w:rFonts w:cs="Arial" w:hint="cs"/>
          <w:rtl/>
        </w:rPr>
        <w:t>, דרכ"מ (אות ד).</w:t>
      </w:r>
    </w:p>
  </w:footnote>
  <w:footnote w:id="1685">
    <w:p w14:paraId="692E19AE" w14:textId="186B95FB" w:rsidR="009A637D" w:rsidRDefault="009A637D">
      <w:pPr>
        <w:pStyle w:val="a5"/>
      </w:pPr>
      <w:r>
        <w:rPr>
          <w:rStyle w:val="a7"/>
        </w:rPr>
        <w:footnoteRef/>
      </w:r>
      <w:r>
        <w:rPr>
          <w:rtl/>
        </w:rPr>
        <w:t xml:space="preserve"> </w:t>
      </w:r>
      <w:r>
        <w:rPr>
          <w:rFonts w:cs="Arial"/>
          <w:rtl/>
        </w:rPr>
        <w:t>בסימן ע"ח (קיט:) וע"ט (קיט:) ופ"ט (קכט:)</w:t>
      </w:r>
      <w:r>
        <w:rPr>
          <w:rFonts w:cs="Arial" w:hint="cs"/>
          <w:rtl/>
        </w:rPr>
        <w:t>, ב"י.</w:t>
      </w:r>
    </w:p>
  </w:footnote>
  <w:footnote w:id="1686">
    <w:p w14:paraId="67CA6F40" w14:textId="4FC31B9F" w:rsidR="006C1F84" w:rsidRDefault="006C1F84">
      <w:pPr>
        <w:pStyle w:val="a5"/>
        <w:rPr>
          <w:rtl/>
        </w:rPr>
      </w:pPr>
      <w:r>
        <w:rPr>
          <w:rStyle w:val="a7"/>
        </w:rPr>
        <w:footnoteRef/>
      </w:r>
      <w:r>
        <w:rPr>
          <w:rtl/>
        </w:rPr>
        <w:t xml:space="preserve"> </w:t>
      </w:r>
      <w:r>
        <w:rPr>
          <w:rFonts w:cs="Arial"/>
          <w:rtl/>
        </w:rPr>
        <w:t>כן כתב הרמב"ם בפי"ח (מאישות ה"ו)</w:t>
      </w:r>
      <w:r>
        <w:rPr>
          <w:rFonts w:cs="Arial" w:hint="cs"/>
          <w:rtl/>
        </w:rPr>
        <w:t>.</w:t>
      </w:r>
      <w:r>
        <w:rPr>
          <w:rFonts w:cs="Arial"/>
          <w:rtl/>
        </w:rPr>
        <w:t xml:space="preserve"> וכתב הה</w:t>
      </w:r>
      <w:r>
        <w:rPr>
          <w:rFonts w:cs="Arial" w:hint="cs"/>
          <w:rtl/>
        </w:rPr>
        <w:t>"</w:t>
      </w:r>
      <w:r>
        <w:rPr>
          <w:rFonts w:cs="Arial"/>
          <w:rtl/>
        </w:rPr>
        <w:t>מ</w:t>
      </w:r>
      <w:r>
        <w:rPr>
          <w:rFonts w:cs="Arial" w:hint="cs"/>
          <w:rtl/>
        </w:rPr>
        <w:t>:</w:t>
      </w:r>
      <w:r>
        <w:rPr>
          <w:rFonts w:cs="Arial"/>
          <w:rtl/>
        </w:rPr>
        <w:t xml:space="preserve"> זה פשוט שדין היורשין עמה כדין הבעל עם אשתו כנזכר בפי"ב (ה"ד) וכן משמע בגמרא ע"כ</w:t>
      </w:r>
      <w:r>
        <w:rPr>
          <w:rFonts w:hint="cs"/>
          <w:rtl/>
        </w:rPr>
        <w:t>, ב"י.</w:t>
      </w:r>
    </w:p>
  </w:footnote>
  <w:footnote w:id="1687">
    <w:p w14:paraId="7A12D6FB" w14:textId="2979EB14" w:rsidR="00B523E9" w:rsidRDefault="00B523E9">
      <w:pPr>
        <w:pStyle w:val="a5"/>
      </w:pPr>
      <w:r>
        <w:rPr>
          <w:rStyle w:val="a7"/>
        </w:rPr>
        <w:footnoteRef/>
      </w:r>
      <w:r>
        <w:rPr>
          <w:rtl/>
        </w:rPr>
        <w:t xml:space="preserve"> </w:t>
      </w:r>
      <w:r>
        <w:rPr>
          <w:rFonts w:hint="cs"/>
          <w:rtl/>
        </w:rPr>
        <w:t>סימן - סחבות הלכו.</w:t>
      </w:r>
    </w:p>
  </w:footnote>
  <w:footnote w:id="1688">
    <w:p w14:paraId="2246718D" w14:textId="77777777" w:rsidR="00B67509" w:rsidRDefault="00B67509" w:rsidP="00B67509">
      <w:pPr>
        <w:pStyle w:val="a5"/>
      </w:pPr>
      <w:r>
        <w:rPr>
          <w:rStyle w:val="a7"/>
        </w:rPr>
        <w:footnoteRef/>
      </w:r>
      <w:r>
        <w:rPr>
          <w:rtl/>
        </w:rPr>
        <w:t xml:space="preserve"> </w:t>
      </w:r>
      <w:r w:rsidRPr="009370C0">
        <w:rPr>
          <w:rFonts w:cs="Arial"/>
          <w:rtl/>
        </w:rPr>
        <w:t>כגון אשה שמזונות האמורים במשנתנו עודפין לה שאינה רעבתנית</w:t>
      </w:r>
      <w:r>
        <w:rPr>
          <w:rFonts w:cs="Arial" w:hint="cs"/>
          <w:rtl/>
        </w:rPr>
        <w:t>, רש"י.</w:t>
      </w:r>
    </w:p>
  </w:footnote>
  <w:footnote w:id="1689">
    <w:p w14:paraId="037EF4CF" w14:textId="77777777" w:rsidR="00B67509" w:rsidRDefault="00B67509" w:rsidP="00B67509">
      <w:pPr>
        <w:pStyle w:val="a5"/>
      </w:pPr>
      <w:r>
        <w:rPr>
          <w:rStyle w:val="a7"/>
        </w:rPr>
        <w:footnoteRef/>
      </w:r>
      <w:r>
        <w:rPr>
          <w:rtl/>
        </w:rPr>
        <w:t xml:space="preserve"> </w:t>
      </w:r>
      <w:r w:rsidRPr="00702A84">
        <w:rPr>
          <w:rFonts w:cs="Arial"/>
          <w:rtl/>
        </w:rPr>
        <w:t>בימי טהרתה בלובשת בגדים שלבשה בימי נדות</w:t>
      </w:r>
      <w:r>
        <w:rPr>
          <w:rFonts w:cs="Arial" w:hint="cs"/>
          <w:rtl/>
        </w:rPr>
        <w:t>, רש"י.</w:t>
      </w:r>
    </w:p>
  </w:footnote>
  <w:footnote w:id="1690">
    <w:p w14:paraId="388260B9" w14:textId="77777777" w:rsidR="00B67509" w:rsidRDefault="00B67509" w:rsidP="00B67509">
      <w:pPr>
        <w:pStyle w:val="a5"/>
      </w:pPr>
      <w:r>
        <w:rPr>
          <w:rStyle w:val="a7"/>
        </w:rPr>
        <w:footnoteRef/>
      </w:r>
      <w:r>
        <w:rPr>
          <w:rtl/>
        </w:rPr>
        <w:t xml:space="preserve"> </w:t>
      </w:r>
      <w:r w:rsidRPr="00702A84">
        <w:rPr>
          <w:rFonts w:cs="Arial"/>
          <w:rtl/>
        </w:rPr>
        <w:t>אלמנה הנזונת מנכסי יתומים ועליהן ליתן לה כלים של חמשים זוז משנה לשנה</w:t>
      </w:r>
      <w:r>
        <w:rPr>
          <w:rFonts w:cs="Arial" w:hint="cs"/>
          <w:rtl/>
        </w:rPr>
        <w:t>, רש"י.</w:t>
      </w:r>
    </w:p>
  </w:footnote>
  <w:footnote w:id="1691">
    <w:p w14:paraId="0D9D3829" w14:textId="63DDB5A5" w:rsidR="009D0E3B" w:rsidRDefault="009D0E3B">
      <w:pPr>
        <w:pStyle w:val="a5"/>
      </w:pPr>
      <w:r>
        <w:rPr>
          <w:rStyle w:val="a7"/>
        </w:rPr>
        <w:footnoteRef/>
      </w:r>
      <w:r>
        <w:rPr>
          <w:rtl/>
        </w:rPr>
        <w:t xml:space="preserve"> </w:t>
      </w:r>
      <w:r w:rsidRPr="00E07581">
        <w:rPr>
          <w:rFonts w:cs="Arial"/>
          <w:rtl/>
        </w:rPr>
        <w:t>וכבר הכריע הרשב"א (סה: ד"ה אמר) דשטת גמרא שלנו מכרעת כדברי רבינו דאם איתא דמותר מזונותיה שלה הוה ליה לאביי למימר וחילופה באלמנה</w:t>
      </w:r>
      <w:r>
        <w:rPr>
          <w:rFonts w:cs="Arial" w:hint="cs"/>
          <w:rtl/>
        </w:rPr>
        <w:t xml:space="preserve">, </w:t>
      </w:r>
      <w:r w:rsidRPr="00B67509">
        <w:rPr>
          <w:rFonts w:cs="Arial" w:hint="cs"/>
          <w:b/>
          <w:bCs/>
          <w:rtl/>
        </w:rPr>
        <w:t xml:space="preserve">הה"מ </w:t>
      </w:r>
      <w:r>
        <w:rPr>
          <w:rFonts w:cs="Arial" w:hint="cs"/>
          <w:rtl/>
        </w:rPr>
        <w:t>(שם).</w:t>
      </w:r>
      <w:r w:rsidR="00B67509">
        <w:rPr>
          <w:rFonts w:cs="Arial" w:hint="cs"/>
          <w:rtl/>
        </w:rPr>
        <w:t xml:space="preserve">      ו</w:t>
      </w:r>
      <w:r w:rsidR="00045E2C">
        <w:rPr>
          <w:rFonts w:cs="Arial" w:hint="cs"/>
          <w:rtl/>
        </w:rPr>
        <w:t>כתב הטור: אבל</w:t>
      </w:r>
      <w:r w:rsidR="00B67509" w:rsidRPr="00AB751F">
        <w:rPr>
          <w:rFonts w:cs="Arial"/>
          <w:rtl/>
        </w:rPr>
        <w:t xml:space="preserve"> אם הותירה מכסותה ובגדיה לדברי הכל הוא ליורשים</w:t>
      </w:r>
      <w:r w:rsidR="00045E2C">
        <w:rPr>
          <w:rFonts w:cs="Arial" w:hint="cs"/>
          <w:rtl/>
        </w:rPr>
        <w:t xml:space="preserve"> עכ"ל</w:t>
      </w:r>
      <w:r w:rsidR="00B67509">
        <w:rPr>
          <w:rFonts w:cs="Arial" w:hint="cs"/>
          <w:rtl/>
        </w:rPr>
        <w:t>.</w:t>
      </w:r>
      <w:r w:rsidR="00045E2C">
        <w:rPr>
          <w:rFonts w:cs="Arial" w:hint="cs"/>
          <w:rtl/>
        </w:rPr>
        <w:t xml:space="preserve"> וצל"ע ד</w:t>
      </w:r>
      <w:r w:rsidR="00337ABF">
        <w:rPr>
          <w:rFonts w:cs="Arial" w:hint="cs"/>
          <w:rtl/>
        </w:rPr>
        <w:t>אף ד</w:t>
      </w:r>
      <w:r w:rsidR="00045E2C">
        <w:rPr>
          <w:rFonts w:cs="Arial" w:hint="cs"/>
          <w:rtl/>
        </w:rPr>
        <w:t>הראב"ד לא גילה דעתו ל</w:t>
      </w:r>
      <w:r w:rsidR="006D11A1">
        <w:rPr>
          <w:rFonts w:cs="Arial" w:hint="cs"/>
          <w:rtl/>
        </w:rPr>
        <w:t xml:space="preserve">גבי </w:t>
      </w:r>
      <w:r w:rsidR="00045E2C">
        <w:rPr>
          <w:rFonts w:cs="Arial" w:hint="cs"/>
          <w:rtl/>
        </w:rPr>
        <w:t>בלאות,</w:t>
      </w:r>
      <w:r w:rsidR="00337ABF">
        <w:rPr>
          <w:rFonts w:cs="Arial" w:hint="cs"/>
          <w:rtl/>
        </w:rPr>
        <w:t xml:space="preserve"> ומדסתם משמע דמודה בזה לרמב"ם,</w:t>
      </w:r>
      <w:r w:rsidR="00045E2C">
        <w:rPr>
          <w:rFonts w:cs="Arial" w:hint="cs"/>
          <w:rtl/>
        </w:rPr>
        <w:t xml:space="preserve"> </w:t>
      </w:r>
      <w:r w:rsidR="00337ABF">
        <w:rPr>
          <w:rFonts w:cs="Arial" w:hint="cs"/>
          <w:rtl/>
        </w:rPr>
        <w:t xml:space="preserve">מכל מקום </w:t>
      </w:r>
      <w:r w:rsidR="00045E2C">
        <w:rPr>
          <w:rFonts w:cs="Arial" w:hint="cs"/>
          <w:rtl/>
        </w:rPr>
        <w:t>מכיון שהביא דברי היר</w:t>
      </w:r>
      <w:r w:rsidR="00337ABF">
        <w:rPr>
          <w:rFonts w:cs="Arial" w:hint="cs"/>
          <w:rtl/>
        </w:rPr>
        <w:t>ושלמי אולי ס"ל כוותיה בכל, ובירושלמי מפורש שהבלאות שלה.</w:t>
      </w:r>
    </w:p>
  </w:footnote>
  <w:footnote w:id="1692">
    <w:p w14:paraId="6405C645" w14:textId="100ADA93" w:rsidR="00F80E5F" w:rsidRDefault="00F80E5F">
      <w:pPr>
        <w:pStyle w:val="a5"/>
        <w:rPr>
          <w:rtl/>
        </w:rPr>
      </w:pPr>
      <w:r>
        <w:rPr>
          <w:rStyle w:val="a7"/>
        </w:rPr>
        <w:footnoteRef/>
      </w:r>
      <w:r>
        <w:rPr>
          <w:rtl/>
        </w:rPr>
        <w:t xml:space="preserve"> </w:t>
      </w:r>
      <w:r>
        <w:rPr>
          <w:rFonts w:hint="cs"/>
          <w:rtl/>
        </w:rPr>
        <w:t>סימן - קודם זנים.</w:t>
      </w:r>
    </w:p>
  </w:footnote>
  <w:footnote w:id="1693">
    <w:p w14:paraId="1E021667" w14:textId="57D86DF7" w:rsidR="001A36CF" w:rsidRDefault="001A36CF" w:rsidP="001A36CF">
      <w:pPr>
        <w:pStyle w:val="a5"/>
      </w:pPr>
      <w:r>
        <w:rPr>
          <w:rStyle w:val="a7"/>
        </w:rPr>
        <w:footnoteRef/>
      </w:r>
      <w:r>
        <w:rPr>
          <w:rtl/>
        </w:rPr>
        <w:t xml:space="preserve"> </w:t>
      </w:r>
      <w:r>
        <w:rPr>
          <w:rFonts w:cs="Arial"/>
          <w:rtl/>
        </w:rPr>
        <w:t>וכתב הה</w:t>
      </w:r>
      <w:r>
        <w:rPr>
          <w:rFonts w:cs="Arial" w:hint="cs"/>
          <w:rtl/>
        </w:rPr>
        <w:t>"</w:t>
      </w:r>
      <w:r>
        <w:rPr>
          <w:rFonts w:cs="Arial"/>
          <w:rtl/>
        </w:rPr>
        <w:t xml:space="preserve">מ כבר נתבאר בפי"ב </w:t>
      </w:r>
      <w:r>
        <w:rPr>
          <w:rFonts w:cs="Arial" w:hint="cs"/>
          <w:rtl/>
        </w:rPr>
        <w:t>(</w:t>
      </w:r>
      <w:r>
        <w:rPr>
          <w:rFonts w:cs="Arial"/>
          <w:rtl/>
        </w:rPr>
        <w:t>הט"ז) שהאשה שהלך בעלה למדינת הים שבית דין פוסקין לה מזונות ואין מחשבין על מעשה ידיה</w:t>
      </w:r>
      <w:r>
        <w:rPr>
          <w:rFonts w:cs="Arial" w:hint="cs"/>
          <w:rtl/>
        </w:rPr>
        <w:t>,</w:t>
      </w:r>
      <w:r>
        <w:rPr>
          <w:rFonts w:cs="Arial"/>
          <w:rtl/>
        </w:rPr>
        <w:t xml:space="preserve"> וכן הדין באלמנה</w:t>
      </w:r>
      <w:r>
        <w:rPr>
          <w:rFonts w:cs="Arial" w:hint="cs"/>
          <w:rtl/>
        </w:rPr>
        <w:t>,</w:t>
      </w:r>
      <w:r>
        <w:rPr>
          <w:rFonts w:cs="Arial"/>
          <w:rtl/>
        </w:rPr>
        <w:t xml:space="preserve"> וכן נראה מהגמרא והסוגיא שבפרק שני דייני גזילות (כתובות קז.) שאמרו בששמעו בו שמת כולי עלמא לא פליגי שפוסקין לה מזונות</w:t>
      </w:r>
      <w:r>
        <w:rPr>
          <w:rFonts w:cs="Arial" w:hint="cs"/>
          <w:rtl/>
        </w:rPr>
        <w:t>,</w:t>
      </w:r>
      <w:r>
        <w:rPr>
          <w:rFonts w:cs="Arial"/>
          <w:rtl/>
        </w:rPr>
        <w:t xml:space="preserve"> ומשמע התם אפילו בדספקי מעשה ידיה</w:t>
      </w:r>
      <w:r>
        <w:rPr>
          <w:rFonts w:cs="Arial" w:hint="cs"/>
          <w:rtl/>
        </w:rPr>
        <w:t>,</w:t>
      </w:r>
      <w:r>
        <w:rPr>
          <w:rFonts w:cs="Arial"/>
          <w:rtl/>
        </w:rPr>
        <w:t xml:space="preserve"> וכן כתב הרשב"א ז"ל והביא ראיה לזה מן הסוגיא</w:t>
      </w:r>
      <w:r>
        <w:rPr>
          <w:rFonts w:cs="Arial" w:hint="cs"/>
          <w:rtl/>
        </w:rPr>
        <w:t xml:space="preserve"> [עכ"ל], </w:t>
      </w:r>
      <w:r w:rsidRPr="001A36CF">
        <w:rPr>
          <w:rFonts w:cs="Arial" w:hint="cs"/>
          <w:b/>
          <w:bCs/>
          <w:rtl/>
        </w:rPr>
        <w:t>ב"י</w:t>
      </w:r>
      <w:r>
        <w:rPr>
          <w:rFonts w:cs="Arial" w:hint="cs"/>
          <w:rtl/>
        </w:rPr>
        <w:t xml:space="preserve">.     </w:t>
      </w:r>
      <w:r w:rsidRPr="00C63AA7">
        <w:rPr>
          <w:rFonts w:cs="Arial"/>
          <w:rtl/>
        </w:rPr>
        <w:t>וכ"כ הר"ן ריש דייני גזירות (סב: ד"ה והוי) וכתב דיש חולקין</w:t>
      </w:r>
      <w:r>
        <w:rPr>
          <w:rFonts w:cs="Arial" w:hint="cs"/>
          <w:rtl/>
        </w:rPr>
        <w:t xml:space="preserve">, </w:t>
      </w:r>
      <w:r w:rsidRPr="001A36CF">
        <w:rPr>
          <w:rFonts w:cs="Arial" w:hint="cs"/>
          <w:b/>
          <w:bCs/>
          <w:rtl/>
        </w:rPr>
        <w:t>דרכ"מ</w:t>
      </w:r>
      <w:r>
        <w:rPr>
          <w:rFonts w:cs="Arial" w:hint="cs"/>
          <w:rtl/>
        </w:rPr>
        <w:t xml:space="preserve"> (אות ב).</w:t>
      </w:r>
    </w:p>
  </w:footnote>
  <w:footnote w:id="1694">
    <w:p w14:paraId="25B5462A" w14:textId="204591D2" w:rsidR="006E1B37" w:rsidRDefault="006E1B37">
      <w:pPr>
        <w:pStyle w:val="a5"/>
      </w:pPr>
      <w:r>
        <w:rPr>
          <w:rStyle w:val="a7"/>
        </w:rPr>
        <w:footnoteRef/>
      </w:r>
      <w:r>
        <w:rPr>
          <w:rtl/>
        </w:rPr>
        <w:t xml:space="preserve"> </w:t>
      </w:r>
      <w:r>
        <w:rPr>
          <w:rFonts w:cs="Arial"/>
          <w:rtl/>
        </w:rPr>
        <w:t>סברא נכונה היא וראיה אליו שבית דין אביהם של קטנים (גיטין לז.) וכן כתב הרשב"א ז"ל</w:t>
      </w:r>
      <w:r>
        <w:rPr>
          <w:rFonts w:cs="Arial" w:hint="cs"/>
          <w:rtl/>
        </w:rPr>
        <w:t>, הה"מ (שם).</w:t>
      </w:r>
    </w:p>
  </w:footnote>
  <w:footnote w:id="1695">
    <w:p w14:paraId="61607414" w14:textId="7C8DB959" w:rsidR="00F80E5F" w:rsidRDefault="00F80E5F">
      <w:pPr>
        <w:pStyle w:val="a5"/>
      </w:pPr>
      <w:r>
        <w:rPr>
          <w:rStyle w:val="a7"/>
        </w:rPr>
        <w:footnoteRef/>
      </w:r>
      <w:r>
        <w:rPr>
          <w:rtl/>
        </w:rPr>
        <w:t xml:space="preserve"> </w:t>
      </w:r>
      <w:r>
        <w:rPr>
          <w:rFonts w:hint="cs"/>
          <w:rtl/>
        </w:rPr>
        <w:t>סימן - קנתה מעשה גדילה. וכן - גדלה מנכסיו קנתה.</w:t>
      </w:r>
    </w:p>
  </w:footnote>
  <w:footnote w:id="1696">
    <w:p w14:paraId="5DB12CCD" w14:textId="68148FB3" w:rsidR="00E10AAA" w:rsidRDefault="00E10AAA">
      <w:pPr>
        <w:pStyle w:val="a5"/>
        <w:rPr>
          <w:rtl/>
        </w:rPr>
      </w:pPr>
      <w:r>
        <w:rPr>
          <w:rStyle w:val="a7"/>
        </w:rPr>
        <w:footnoteRef/>
      </w:r>
      <w:r>
        <w:rPr>
          <w:rtl/>
        </w:rPr>
        <w:t xml:space="preserve"> </w:t>
      </w:r>
      <w:r w:rsidRPr="00E10AAA">
        <w:rPr>
          <w:rFonts w:cs="Arial"/>
          <w:rtl/>
        </w:rPr>
        <w:t>ולא נהירא דדוקא אשה יורשת דאחיל הוא דמחלי אהדדי אבל אשה שאינה יורשת הוי אצל הבנים כיורדת בנכסי אחר ונוטלת שכר טירחה אך שידה על התחתונה ליקח בשדה שאינה עשויה ליטע את ההוצאה אם השבח מרובה ואם הן מעות אינה נוטלת רק שכר טרחה דבר מועט כיון שלא קבלה עליה אחריות</w:t>
      </w:r>
      <w:r>
        <w:rPr>
          <w:rFonts w:hint="cs"/>
          <w:rtl/>
        </w:rPr>
        <w:t>, רא"ש (שם).</w:t>
      </w:r>
    </w:p>
  </w:footnote>
  <w:footnote w:id="1697">
    <w:p w14:paraId="629A0155" w14:textId="42E62659" w:rsidR="008E3143" w:rsidRDefault="008E3143">
      <w:pPr>
        <w:pStyle w:val="a5"/>
        <w:rPr>
          <w:rtl/>
        </w:rPr>
      </w:pPr>
      <w:r>
        <w:rPr>
          <w:rStyle w:val="a7"/>
        </w:rPr>
        <w:footnoteRef/>
      </w:r>
      <w:r>
        <w:rPr>
          <w:rtl/>
        </w:rPr>
        <w:t xml:space="preserve"> </w:t>
      </w:r>
      <w:r w:rsidRPr="008E3143">
        <w:rPr>
          <w:rFonts w:cs="Arial"/>
          <w:rtl/>
        </w:rPr>
        <w:t>לא נהירא לי</w:t>
      </w:r>
      <w:r>
        <w:rPr>
          <w:rFonts w:cs="Arial" w:hint="cs"/>
          <w:rtl/>
        </w:rPr>
        <w:t>,</w:t>
      </w:r>
      <w:r w:rsidRPr="008E3143">
        <w:rPr>
          <w:rFonts w:cs="Arial"/>
          <w:rtl/>
        </w:rPr>
        <w:t xml:space="preserve"> דלא מצינו שע"י ראו יהא השבח לעצמו אלא למי שיש לו חלק בגוף הנכסים אבל בעל חוב ואשה בכתובתה אין להם לירד לנכסים אלא על פי ב"ד ואמרי' בכתובות פרק אלמנה (צח</w:t>
      </w:r>
      <w:r>
        <w:rPr>
          <w:rFonts w:cs="Arial" w:hint="cs"/>
          <w:rtl/>
        </w:rPr>
        <w:t>.</w:t>
      </w:r>
      <w:r w:rsidRPr="008E3143">
        <w:rPr>
          <w:rFonts w:cs="Arial"/>
          <w:rtl/>
        </w:rPr>
        <w:t>) אמר רב נחמן אלמנה ששמה לעצמה לא עשתה ולא כלום ואפילו עשו לה ב"ד הכרזה ואי אייקור ברשותא דיתמי אייקור</w:t>
      </w:r>
      <w:r>
        <w:rPr>
          <w:rFonts w:hint="cs"/>
          <w:rtl/>
        </w:rPr>
        <w:t>, רא"ש (שם).</w:t>
      </w:r>
    </w:p>
  </w:footnote>
  <w:footnote w:id="1698">
    <w:p w14:paraId="6AF0551E" w14:textId="3E5405A9" w:rsidR="00582A12" w:rsidRDefault="00582A12">
      <w:pPr>
        <w:pStyle w:val="a5"/>
        <w:rPr>
          <w:rtl/>
        </w:rPr>
      </w:pPr>
      <w:r>
        <w:rPr>
          <w:rStyle w:val="a7"/>
        </w:rPr>
        <w:footnoteRef/>
      </w:r>
      <w:r>
        <w:rPr>
          <w:rtl/>
        </w:rPr>
        <w:t xml:space="preserve"> </w:t>
      </w:r>
      <w:r w:rsidRPr="00582A12">
        <w:rPr>
          <w:rFonts w:cs="Arial"/>
          <w:rtl/>
        </w:rPr>
        <w:t>לא נהירא</w:t>
      </w:r>
      <w:r>
        <w:rPr>
          <w:rFonts w:cs="Arial" w:hint="cs"/>
          <w:rtl/>
        </w:rPr>
        <w:t>,</w:t>
      </w:r>
      <w:r w:rsidRPr="00582A12">
        <w:rPr>
          <w:rFonts w:cs="Arial"/>
          <w:rtl/>
        </w:rPr>
        <w:t xml:space="preserve"> דכיון שהשבח ליתומים משום דלא אמרה ראו</w:t>
      </w:r>
      <w:r>
        <w:rPr>
          <w:rFonts w:cs="Arial" w:hint="cs"/>
          <w:rtl/>
        </w:rPr>
        <w:t xml:space="preserve"> -</w:t>
      </w:r>
      <w:r w:rsidRPr="00582A12">
        <w:rPr>
          <w:rFonts w:cs="Arial"/>
          <w:rtl/>
        </w:rPr>
        <w:t xml:space="preserve"> אינה גובה כתובתה ממנו</w:t>
      </w:r>
      <w:r>
        <w:rPr>
          <w:rFonts w:cs="Arial" w:hint="cs"/>
          <w:rtl/>
        </w:rPr>
        <w:t>,</w:t>
      </w:r>
      <w:r w:rsidRPr="00582A12">
        <w:rPr>
          <w:rFonts w:cs="Arial"/>
          <w:rtl/>
        </w:rPr>
        <w:t xml:space="preserve"> דתנן בפ' יש בכור (נ</w:t>
      </w:r>
      <w:r>
        <w:rPr>
          <w:rFonts w:cs="Arial" w:hint="cs"/>
          <w:rtl/>
        </w:rPr>
        <w:t>ב:</w:t>
      </w:r>
      <w:r w:rsidRPr="00582A12">
        <w:rPr>
          <w:rFonts w:cs="Arial"/>
          <w:rtl/>
        </w:rPr>
        <w:t>) דאין אשה גובה כתובתה מן השבח</w:t>
      </w:r>
      <w:r>
        <w:rPr>
          <w:rFonts w:cs="Arial" w:hint="cs"/>
          <w:rtl/>
        </w:rPr>
        <w:t>.</w:t>
      </w:r>
      <w:r w:rsidRPr="00582A12">
        <w:rPr>
          <w:rFonts w:cs="Arial"/>
          <w:rtl/>
        </w:rPr>
        <w:t xml:space="preserve"> ו</w:t>
      </w:r>
      <w:r>
        <w:rPr>
          <w:rFonts w:cs="Arial" w:hint="cs"/>
          <w:rtl/>
        </w:rPr>
        <w:t>א</w:t>
      </w:r>
      <w:r w:rsidRPr="00582A12">
        <w:rPr>
          <w:rFonts w:cs="Arial"/>
          <w:rtl/>
        </w:rPr>
        <w:t>ע</w:t>
      </w:r>
      <w:r>
        <w:rPr>
          <w:rFonts w:cs="Arial" w:hint="cs"/>
          <w:rtl/>
        </w:rPr>
        <w:t>"</w:t>
      </w:r>
      <w:r w:rsidRPr="00582A12">
        <w:rPr>
          <w:rFonts w:cs="Arial"/>
          <w:rtl/>
        </w:rPr>
        <w:t>פ שגובה עכשיו כתובתה ממטלטלין</w:t>
      </w:r>
      <w:r>
        <w:rPr>
          <w:rFonts w:cs="Arial" w:hint="cs"/>
          <w:rtl/>
        </w:rPr>
        <w:t>,</w:t>
      </w:r>
      <w:r w:rsidRPr="00582A12">
        <w:rPr>
          <w:rFonts w:cs="Arial"/>
          <w:rtl/>
        </w:rPr>
        <w:t xml:space="preserve"> היינו מתקנת הגאונים שגובה ממטלטלי כמו ממקרקעי</w:t>
      </w:r>
      <w:r>
        <w:rPr>
          <w:rFonts w:cs="Arial" w:hint="cs"/>
          <w:rtl/>
        </w:rPr>
        <w:t>,</w:t>
      </w:r>
      <w:r w:rsidRPr="00582A12">
        <w:rPr>
          <w:rFonts w:cs="Arial"/>
          <w:rtl/>
        </w:rPr>
        <w:t xml:space="preserve"> אבל שבח אפילו ממקרקעי לא גביא</w:t>
      </w:r>
      <w:r>
        <w:rPr>
          <w:rFonts w:cs="Arial" w:hint="cs"/>
          <w:rtl/>
        </w:rPr>
        <w:t>, רא"ש (שם).</w:t>
      </w:r>
    </w:p>
  </w:footnote>
  <w:footnote w:id="1699">
    <w:p w14:paraId="7F39FB97" w14:textId="77777777" w:rsidR="004A61CA" w:rsidRDefault="004A61CA" w:rsidP="004A61CA">
      <w:pPr>
        <w:pStyle w:val="a5"/>
      </w:pPr>
      <w:r>
        <w:rPr>
          <w:rStyle w:val="a7"/>
        </w:rPr>
        <w:footnoteRef/>
      </w:r>
      <w:r>
        <w:rPr>
          <w:rtl/>
        </w:rPr>
        <w:t xml:space="preserve"> </w:t>
      </w:r>
      <w:r w:rsidRPr="00C63AA7">
        <w:rPr>
          <w:rFonts w:cs="Arial"/>
          <w:rtl/>
        </w:rPr>
        <w:t>וכן הוא במרדכי פרק מי שמת (סי' תרו) בתשובה שאלמנה שהשביחה הנכסים וטוענת שאחרים הלוו לה מעות והשביחה בהן דהכל ליתומים ואינה גובה לא כתובה ולא מזונות מן השבח, גם מה שהניח בעלה לא תגבה בכתובתה כי כבר הוציאה הכל במזונותיה</w:t>
      </w:r>
      <w:r>
        <w:rPr>
          <w:rFonts w:cs="Arial" w:hint="cs"/>
          <w:rtl/>
        </w:rPr>
        <w:t>,</w:t>
      </w:r>
      <w:r w:rsidRPr="00C63AA7">
        <w:rPr>
          <w:rFonts w:cs="Arial"/>
          <w:rtl/>
        </w:rPr>
        <w:t xml:space="preserve"> וע"ש כי האריך בזה</w:t>
      </w:r>
      <w:r>
        <w:rPr>
          <w:rFonts w:cs="Arial" w:hint="cs"/>
          <w:rtl/>
        </w:rPr>
        <w:t>.</w:t>
      </w:r>
      <w:r w:rsidRPr="00C63AA7">
        <w:rPr>
          <w:rFonts w:cs="Arial"/>
          <w:rtl/>
        </w:rPr>
        <w:t xml:space="preserve"> וכן פסק מהרי"ו בתשובותיו </w:t>
      </w:r>
      <w:r>
        <w:rPr>
          <w:rFonts w:cs="Arial" w:hint="cs"/>
          <w:rtl/>
        </w:rPr>
        <w:t>(</w:t>
      </w:r>
      <w:r w:rsidRPr="00C63AA7">
        <w:rPr>
          <w:rFonts w:cs="Arial"/>
          <w:rtl/>
        </w:rPr>
        <w:t>סי</w:t>
      </w:r>
      <w:r>
        <w:rPr>
          <w:rFonts w:cs="Arial" w:hint="cs"/>
          <w:rtl/>
        </w:rPr>
        <w:t>'</w:t>
      </w:r>
      <w:r w:rsidRPr="00C63AA7">
        <w:rPr>
          <w:rFonts w:cs="Arial"/>
          <w:rtl/>
        </w:rPr>
        <w:t xml:space="preserve"> קעו</w:t>
      </w:r>
      <w:r>
        <w:rPr>
          <w:rFonts w:cs="Arial" w:hint="cs"/>
          <w:rtl/>
        </w:rPr>
        <w:t>).</w:t>
      </w:r>
      <w:r w:rsidRPr="00C63AA7">
        <w:rPr>
          <w:rFonts w:cs="Arial"/>
          <w:rtl/>
        </w:rPr>
        <w:t xml:space="preserve"> ובתשובות מהרי"ל </w:t>
      </w:r>
      <w:r>
        <w:rPr>
          <w:rFonts w:cs="Arial" w:hint="cs"/>
          <w:rtl/>
        </w:rPr>
        <w:t>(</w:t>
      </w:r>
      <w:r w:rsidRPr="00C63AA7">
        <w:rPr>
          <w:rFonts w:cs="Arial"/>
          <w:rtl/>
        </w:rPr>
        <w:t>סי</w:t>
      </w:r>
      <w:r>
        <w:rPr>
          <w:rFonts w:cs="Arial" w:hint="cs"/>
          <w:rtl/>
        </w:rPr>
        <w:t>'</w:t>
      </w:r>
      <w:r w:rsidRPr="00C63AA7">
        <w:rPr>
          <w:rFonts w:cs="Arial"/>
          <w:rtl/>
        </w:rPr>
        <w:t xml:space="preserve"> מו</w:t>
      </w:r>
      <w:r>
        <w:rPr>
          <w:rFonts w:cs="Arial" w:hint="cs"/>
          <w:rtl/>
        </w:rPr>
        <w:t>)</w:t>
      </w:r>
      <w:r w:rsidRPr="00C63AA7">
        <w:rPr>
          <w:rFonts w:cs="Arial"/>
          <w:rtl/>
        </w:rPr>
        <w:t xml:space="preserve"> לא משמע כן</w:t>
      </w:r>
      <w:r>
        <w:rPr>
          <w:rFonts w:cs="Arial" w:hint="cs"/>
          <w:rtl/>
        </w:rPr>
        <w:t>,</w:t>
      </w:r>
      <w:r w:rsidRPr="00C63AA7">
        <w:rPr>
          <w:rFonts w:cs="Arial"/>
          <w:rtl/>
        </w:rPr>
        <w:t xml:space="preserve"> אלא מחשבין ההוצאות על השבח וגובה כתובתה מן הקרן וע"ש</w:t>
      </w:r>
      <w:r>
        <w:rPr>
          <w:rFonts w:cs="Arial" w:hint="cs"/>
          <w:rtl/>
        </w:rPr>
        <w:t>.</w:t>
      </w:r>
      <w:r w:rsidRPr="00C63AA7">
        <w:rPr>
          <w:rFonts w:cs="Arial"/>
          <w:rtl/>
        </w:rPr>
        <w:t xml:space="preserve"> ובהג</w:t>
      </w:r>
      <w:r>
        <w:rPr>
          <w:rFonts w:cs="Arial" w:hint="cs"/>
          <w:rtl/>
        </w:rPr>
        <w:t>מ"ר</w:t>
      </w:r>
      <w:r w:rsidRPr="00C63AA7">
        <w:rPr>
          <w:rFonts w:cs="Arial"/>
          <w:rtl/>
        </w:rPr>
        <w:t xml:space="preserve"> </w:t>
      </w:r>
      <w:r>
        <w:rPr>
          <w:rFonts w:cs="Arial" w:hint="cs"/>
          <w:rtl/>
        </w:rPr>
        <w:t>(</w:t>
      </w:r>
      <w:r w:rsidRPr="00C63AA7">
        <w:rPr>
          <w:rFonts w:cs="Arial"/>
          <w:rtl/>
        </w:rPr>
        <w:t>ב</w:t>
      </w:r>
      <w:r>
        <w:rPr>
          <w:rFonts w:cs="Arial" w:hint="cs"/>
          <w:rtl/>
        </w:rPr>
        <w:t>"</w:t>
      </w:r>
      <w:r w:rsidRPr="00C63AA7">
        <w:rPr>
          <w:rFonts w:cs="Arial"/>
          <w:rtl/>
        </w:rPr>
        <w:t>ב</w:t>
      </w:r>
      <w:r>
        <w:rPr>
          <w:rFonts w:cs="Arial" w:hint="cs"/>
          <w:rtl/>
        </w:rPr>
        <w:t xml:space="preserve"> </w:t>
      </w:r>
      <w:r w:rsidRPr="00C63AA7">
        <w:rPr>
          <w:rFonts w:cs="Arial"/>
          <w:rtl/>
        </w:rPr>
        <w:t>סי' תרסה) דאלמנה נאמנת לומר שכל מה שבידה נשאר לה מבעלה הראשון שהיה לה</w:t>
      </w:r>
      <w:r>
        <w:rPr>
          <w:rFonts w:cs="Arial" w:hint="cs"/>
          <w:rtl/>
        </w:rPr>
        <w:t>,</w:t>
      </w:r>
      <w:r w:rsidRPr="00C63AA7">
        <w:rPr>
          <w:rFonts w:cs="Arial"/>
          <w:rtl/>
        </w:rPr>
        <w:t xml:space="preserve"> והאריך שם בתשובה על זה</w:t>
      </w:r>
      <w:r>
        <w:rPr>
          <w:rFonts w:cs="Arial" w:hint="cs"/>
          <w:rtl/>
        </w:rPr>
        <w:t xml:space="preserve">, דרכ"מ </w:t>
      </w:r>
      <w:r w:rsidRPr="00C63AA7">
        <w:rPr>
          <w:rFonts w:cs="Arial"/>
          <w:rtl/>
        </w:rPr>
        <w:t>(</w:t>
      </w:r>
      <w:r>
        <w:rPr>
          <w:rFonts w:cs="Arial" w:hint="cs"/>
          <w:rtl/>
        </w:rPr>
        <w:t xml:space="preserve">אות </w:t>
      </w:r>
      <w:r w:rsidRPr="00C63AA7">
        <w:rPr>
          <w:rFonts w:cs="Arial"/>
          <w:rtl/>
        </w:rPr>
        <w:t>ד)</w:t>
      </w:r>
      <w:r>
        <w:rPr>
          <w:rFonts w:cs="Arial" w:hint="cs"/>
          <w:rtl/>
        </w:rPr>
        <w:t>.</w:t>
      </w:r>
    </w:p>
  </w:footnote>
  <w:footnote w:id="1700">
    <w:p w14:paraId="4C74FB3B" w14:textId="77777777" w:rsidR="00F60B0E" w:rsidRDefault="00F60B0E" w:rsidP="00F60B0E">
      <w:pPr>
        <w:pStyle w:val="a5"/>
      </w:pPr>
      <w:r>
        <w:rPr>
          <w:rStyle w:val="a7"/>
        </w:rPr>
        <w:footnoteRef/>
      </w:r>
      <w:r>
        <w:rPr>
          <w:rtl/>
        </w:rPr>
        <w:t xml:space="preserve"> </w:t>
      </w:r>
      <w:r w:rsidRPr="00DA3E6C">
        <w:rPr>
          <w:rFonts w:cs="Arial"/>
          <w:rtl/>
        </w:rPr>
        <w:t>וכן הוא בחושן המשפט סימן ק"ח (סכ"ו) לענין מלוה</w:t>
      </w:r>
      <w:r>
        <w:rPr>
          <w:rFonts w:cs="Arial" w:hint="cs"/>
          <w:rtl/>
        </w:rPr>
        <w:t>, דרכ"מ (אות א).</w:t>
      </w:r>
    </w:p>
  </w:footnote>
  <w:footnote w:id="1701">
    <w:p w14:paraId="3ED6E3DF" w14:textId="77777777" w:rsidR="00F60B0E" w:rsidRDefault="00F60B0E" w:rsidP="00F60B0E">
      <w:pPr>
        <w:pStyle w:val="a5"/>
      </w:pPr>
      <w:r>
        <w:rPr>
          <w:rStyle w:val="a7"/>
        </w:rPr>
        <w:footnoteRef/>
      </w:r>
      <w:r>
        <w:rPr>
          <w:rtl/>
        </w:rPr>
        <w:t xml:space="preserve"> </w:t>
      </w:r>
      <w:r w:rsidRPr="00A913B2">
        <w:rPr>
          <w:rFonts w:cs="Arial"/>
          <w:rtl/>
        </w:rPr>
        <w:t>ועיין במרדכי פרק שבועת הדיינים ופרק חזקת ובמהרי"ק שורש צ"א ועיין במה שכתבתי בסוף סימן צ"ח (קמט.). אלמנה שנישאת ואחר כך באה לטרוף לקוחות בעד כתובתה על בעלה הראשון בתשובות (מיימוניות) שבסוף ספר נשים (סי' ה)</w:t>
      </w:r>
      <w:r>
        <w:rPr>
          <w:rFonts w:cs="Arial" w:hint="cs"/>
          <w:rtl/>
        </w:rPr>
        <w:t>, ב"י</w:t>
      </w:r>
      <w:r w:rsidRPr="00A913B2">
        <w:rPr>
          <w:rFonts w:cs="Arial"/>
          <w:rtl/>
        </w:rPr>
        <w:t>.</w:t>
      </w:r>
    </w:p>
  </w:footnote>
  <w:footnote w:id="1702">
    <w:p w14:paraId="5C99AE66" w14:textId="5B943971" w:rsidR="00370D91" w:rsidRDefault="00370D91">
      <w:pPr>
        <w:pStyle w:val="a5"/>
        <w:rPr>
          <w:rtl/>
        </w:rPr>
      </w:pPr>
      <w:r>
        <w:rPr>
          <w:rStyle w:val="a7"/>
        </w:rPr>
        <w:footnoteRef/>
      </w:r>
      <w:r>
        <w:rPr>
          <w:rtl/>
        </w:rPr>
        <w:t xml:space="preserve"> </w:t>
      </w:r>
      <w:r w:rsidRPr="00F60B0E">
        <w:rPr>
          <w:rFonts w:cs="Arial"/>
          <w:rtl/>
        </w:rPr>
        <w:t>וע"ל סוף סימן צ"ח (עמ' כ - כא) איזה מקרי יחוד</w:t>
      </w:r>
      <w:r>
        <w:rPr>
          <w:rFonts w:cs="Arial" w:hint="cs"/>
          <w:rtl/>
        </w:rPr>
        <w:t>, דרכ"מ (אות ב).</w:t>
      </w:r>
    </w:p>
  </w:footnote>
  <w:footnote w:id="1703">
    <w:p w14:paraId="78AD2C12" w14:textId="77777777" w:rsidR="00D96B47" w:rsidRDefault="00D96B47" w:rsidP="00D96B47">
      <w:pPr>
        <w:pStyle w:val="a5"/>
      </w:pPr>
      <w:r>
        <w:rPr>
          <w:rStyle w:val="a7"/>
        </w:rPr>
        <w:footnoteRef/>
      </w:r>
      <w:r>
        <w:rPr>
          <w:rtl/>
        </w:rPr>
        <w:t xml:space="preserve"> </w:t>
      </w:r>
      <w:r>
        <w:rPr>
          <w:rFonts w:hint="cs"/>
          <w:rtl/>
        </w:rPr>
        <w:t>סימן - קדמת דנא.</w:t>
      </w:r>
    </w:p>
  </w:footnote>
  <w:footnote w:id="1704">
    <w:p w14:paraId="02DEDF1B" w14:textId="77777777" w:rsidR="005076E4" w:rsidRDefault="005076E4" w:rsidP="005076E4">
      <w:pPr>
        <w:pStyle w:val="a5"/>
      </w:pPr>
      <w:r>
        <w:rPr>
          <w:rStyle w:val="a7"/>
        </w:rPr>
        <w:footnoteRef/>
      </w:r>
      <w:r>
        <w:rPr>
          <w:rtl/>
        </w:rPr>
        <w:t xml:space="preserve"> </w:t>
      </w:r>
      <w:r w:rsidRPr="00146485">
        <w:rPr>
          <w:rFonts w:cs="Arial"/>
          <w:rtl/>
        </w:rPr>
        <w:t>והיורשים זנוה שם</w:t>
      </w:r>
      <w:r>
        <w:rPr>
          <w:rFonts w:cs="Arial" w:hint="cs"/>
          <w:rtl/>
        </w:rPr>
        <w:t>, רש"י.</w:t>
      </w:r>
    </w:p>
  </w:footnote>
  <w:footnote w:id="1705">
    <w:p w14:paraId="3B21D132" w14:textId="77777777" w:rsidR="005076E4" w:rsidRDefault="005076E4" w:rsidP="005076E4">
      <w:pPr>
        <w:pStyle w:val="a5"/>
      </w:pPr>
      <w:r>
        <w:rPr>
          <w:rStyle w:val="a7"/>
        </w:rPr>
        <w:footnoteRef/>
      </w:r>
      <w:r>
        <w:rPr>
          <w:rtl/>
        </w:rPr>
        <w:t xml:space="preserve"> </w:t>
      </w:r>
      <w:r w:rsidRPr="00146485">
        <w:rPr>
          <w:rFonts w:cs="Arial"/>
          <w:rtl/>
        </w:rPr>
        <w:t>כשתרצה</w:t>
      </w:r>
      <w:r>
        <w:rPr>
          <w:rFonts w:cs="Arial" w:hint="cs"/>
          <w:rtl/>
        </w:rPr>
        <w:t>, רש"י.</w:t>
      </w:r>
    </w:p>
  </w:footnote>
  <w:footnote w:id="1706">
    <w:p w14:paraId="1B634276" w14:textId="77777777" w:rsidR="005076E4" w:rsidRDefault="005076E4" w:rsidP="005076E4">
      <w:pPr>
        <w:pStyle w:val="a5"/>
        <w:rPr>
          <w:rtl/>
        </w:rPr>
      </w:pPr>
      <w:r>
        <w:rPr>
          <w:rStyle w:val="a7"/>
        </w:rPr>
        <w:footnoteRef/>
      </w:r>
      <w:r>
        <w:rPr>
          <w:rtl/>
        </w:rPr>
        <w:t xml:space="preserve"> </w:t>
      </w:r>
      <w:r w:rsidRPr="00146485">
        <w:rPr>
          <w:rFonts w:cs="Arial"/>
          <w:rtl/>
        </w:rPr>
        <w:t>מנכסי יתומים נותנת לחם ומלח לשכניה</w:t>
      </w:r>
      <w:r>
        <w:rPr>
          <w:rFonts w:hint="cs"/>
          <w:rtl/>
        </w:rPr>
        <w:t>, רש"י.</w:t>
      </w:r>
    </w:p>
  </w:footnote>
  <w:footnote w:id="1707">
    <w:p w14:paraId="49F9646F" w14:textId="77777777" w:rsidR="005076E4" w:rsidRDefault="005076E4" w:rsidP="005076E4">
      <w:pPr>
        <w:pStyle w:val="a5"/>
        <w:rPr>
          <w:rtl/>
        </w:rPr>
      </w:pPr>
      <w:r>
        <w:rPr>
          <w:rStyle w:val="a7"/>
        </w:rPr>
        <w:footnoteRef/>
      </w:r>
      <w:r>
        <w:rPr>
          <w:rtl/>
        </w:rPr>
        <w:t xml:space="preserve"> </w:t>
      </w:r>
      <w:r w:rsidRPr="00146485">
        <w:rPr>
          <w:rFonts w:cs="Arial"/>
          <w:rtl/>
        </w:rPr>
        <w:t>לא הוזכרו עשרים וחמש לענין הטובה שתעשה ולא אפסדוה רבנן כתובה וכשהוזכרו עשרים וחמש לענין המחילה הוזכרו דהואיל ושתקה ולא תבעה כל השנים הללו מחלתה הלכך כל זמן שהיא בבית בעלה אין שתיקתה מחילה אלא מפני שמכבדין אותה היא בושה למחות על כתובתה אבל בבית אביה מששתקה כ"ה שנים מחילה היא</w:t>
      </w:r>
      <w:r>
        <w:rPr>
          <w:rFonts w:hint="cs"/>
          <w:rtl/>
        </w:rPr>
        <w:t>, רש"י.</w:t>
      </w:r>
    </w:p>
  </w:footnote>
  <w:footnote w:id="1708">
    <w:p w14:paraId="7F8EDFAB" w14:textId="01111FF5" w:rsidR="005076E4" w:rsidRPr="00662F2C" w:rsidRDefault="005076E4" w:rsidP="005076E4">
      <w:pPr>
        <w:pStyle w:val="a5"/>
        <w:rPr>
          <w:rFonts w:cs="Arial"/>
          <w:rtl/>
        </w:rPr>
      </w:pPr>
      <w:r>
        <w:rPr>
          <w:rStyle w:val="a7"/>
        </w:rPr>
        <w:footnoteRef/>
      </w:r>
      <w:r>
        <w:rPr>
          <w:rtl/>
        </w:rPr>
        <w:t xml:space="preserve"> </w:t>
      </w:r>
      <w:r w:rsidRPr="00146485">
        <w:rPr>
          <w:rFonts w:cs="Arial"/>
          <w:rtl/>
        </w:rPr>
        <w:t>כלומר צריכ</w:t>
      </w:r>
      <w:r>
        <w:rPr>
          <w:rFonts w:cs="Arial" w:hint="cs"/>
          <w:rtl/>
        </w:rPr>
        <w:t>ים</w:t>
      </w:r>
      <w:r w:rsidRPr="00146485">
        <w:rPr>
          <w:rFonts w:cs="Arial"/>
          <w:rtl/>
        </w:rPr>
        <w:t xml:space="preserve"> למחות על כתובתה בתוך כ"ה שנים</w:t>
      </w:r>
      <w:r>
        <w:rPr>
          <w:rFonts w:hint="cs"/>
          <w:rtl/>
        </w:rPr>
        <w:t xml:space="preserve">, </w:t>
      </w:r>
      <w:r w:rsidRPr="00B92757">
        <w:rPr>
          <w:rFonts w:hint="cs"/>
          <w:b/>
          <w:bCs/>
          <w:rtl/>
        </w:rPr>
        <w:t>רש"י</w:t>
      </w:r>
      <w:r>
        <w:rPr>
          <w:rFonts w:hint="cs"/>
          <w:rtl/>
        </w:rPr>
        <w:t>.</w:t>
      </w:r>
      <w:r w:rsidRPr="00662F2C">
        <w:rPr>
          <w:rFonts w:cs="Arial"/>
          <w:rtl/>
        </w:rPr>
        <w:t xml:space="preserve"> </w:t>
      </w:r>
      <w:r>
        <w:rPr>
          <w:rFonts w:cs="Arial" w:hint="cs"/>
          <w:rtl/>
        </w:rPr>
        <w:t>ו</w:t>
      </w:r>
      <w:r>
        <w:rPr>
          <w:rFonts w:cs="Arial"/>
          <w:rtl/>
        </w:rPr>
        <w:t>כתבו הרי"ף (סב.) והרא"ש (סי' ז) הא דקתני יורשיה מזכירין כתובתה עד כ"ה שנה אוקימנא בפרק כל הנשבעין (שבועות מח.) שנשבעה ומתה</w:t>
      </w:r>
      <w:r>
        <w:rPr>
          <w:rFonts w:cs="Arial" w:hint="cs"/>
          <w:rtl/>
        </w:rPr>
        <w:t>,</w:t>
      </w:r>
      <w:r>
        <w:rPr>
          <w:rFonts w:cs="Arial"/>
          <w:rtl/>
        </w:rPr>
        <w:t xml:space="preserve"> דאין אדם מוריש שבועה לבניו</w:t>
      </w:r>
      <w:r>
        <w:rPr>
          <w:rFonts w:cs="Arial" w:hint="cs"/>
          <w:rtl/>
        </w:rPr>
        <w:t>,</w:t>
      </w:r>
      <w:r w:rsidR="00B92757">
        <w:rPr>
          <w:rFonts w:cs="Arial" w:hint="cs"/>
          <w:rtl/>
        </w:rPr>
        <w:t xml:space="preserve"> </w:t>
      </w:r>
      <w:r w:rsidR="00B92757" w:rsidRPr="00B92757">
        <w:rPr>
          <w:rFonts w:cs="Arial" w:hint="cs"/>
          <w:b/>
          <w:bCs/>
          <w:rtl/>
        </w:rPr>
        <w:t xml:space="preserve">ב"י </w:t>
      </w:r>
      <w:r w:rsidR="00B92757">
        <w:rPr>
          <w:rFonts w:cs="Arial" w:hint="cs"/>
          <w:rtl/>
        </w:rPr>
        <w:t>(סי' קא).</w:t>
      </w:r>
      <w:r>
        <w:rPr>
          <w:rFonts w:cs="Arial"/>
          <w:rtl/>
        </w:rPr>
        <w:t xml:space="preserve"> </w:t>
      </w:r>
    </w:p>
  </w:footnote>
  <w:footnote w:id="1709">
    <w:p w14:paraId="2727B229" w14:textId="77777777" w:rsidR="005076E4" w:rsidRDefault="005076E4" w:rsidP="005076E4">
      <w:pPr>
        <w:pStyle w:val="a5"/>
      </w:pPr>
      <w:r>
        <w:rPr>
          <w:rStyle w:val="a7"/>
        </w:rPr>
        <w:footnoteRef/>
      </w:r>
      <w:r>
        <w:rPr>
          <w:rtl/>
        </w:rPr>
        <w:t xml:space="preserve"> </w:t>
      </w:r>
      <w:r w:rsidRPr="0048018E">
        <w:rPr>
          <w:rFonts w:cs="Arial"/>
          <w:rtl/>
        </w:rPr>
        <w:t>ומונה כ"ה שנים משעת תביעה</w:t>
      </w:r>
      <w:r>
        <w:rPr>
          <w:rFonts w:cs="Arial" w:hint="cs"/>
          <w:rtl/>
        </w:rPr>
        <w:t>, רש"י.</w:t>
      </w:r>
    </w:p>
  </w:footnote>
  <w:footnote w:id="1710">
    <w:p w14:paraId="38EA9F4B" w14:textId="77777777" w:rsidR="005076E4" w:rsidRDefault="005076E4" w:rsidP="005076E4">
      <w:pPr>
        <w:pStyle w:val="a5"/>
      </w:pPr>
      <w:r>
        <w:rPr>
          <w:rStyle w:val="a7"/>
        </w:rPr>
        <w:footnoteRef/>
      </w:r>
      <w:r>
        <w:rPr>
          <w:rtl/>
        </w:rPr>
        <w:t xml:space="preserve"> </w:t>
      </w:r>
      <w:r w:rsidRPr="0048018E">
        <w:rPr>
          <w:rFonts w:cs="Arial"/>
          <w:rtl/>
        </w:rPr>
        <w:t>כדברי ר' מאיר או כדברי חכמים</w:t>
      </w:r>
      <w:r>
        <w:rPr>
          <w:rFonts w:cs="Arial" w:hint="cs"/>
          <w:rtl/>
        </w:rPr>
        <w:t>, רש"י.</w:t>
      </w:r>
    </w:p>
  </w:footnote>
  <w:footnote w:id="1711">
    <w:p w14:paraId="1CC61474" w14:textId="7CDFCA41" w:rsidR="00C2682D" w:rsidRDefault="00C2682D">
      <w:pPr>
        <w:pStyle w:val="a5"/>
      </w:pPr>
      <w:r>
        <w:rPr>
          <w:rStyle w:val="a7"/>
        </w:rPr>
        <w:footnoteRef/>
      </w:r>
      <w:r>
        <w:rPr>
          <w:rtl/>
        </w:rPr>
        <w:t xml:space="preserve"> </w:t>
      </w:r>
      <w:r w:rsidRPr="00370D91">
        <w:rPr>
          <w:rFonts w:cs="Arial"/>
          <w:rtl/>
        </w:rPr>
        <w:t>ורש"י בפרק שום היתומים (ערכין כב. ד"ה משום חינא) ובפרק הכותב פירש משום חינא בע</w:t>
      </w:r>
      <w:r>
        <w:rPr>
          <w:rFonts w:cs="Arial" w:hint="cs"/>
          <w:rtl/>
        </w:rPr>
        <w:t>ניין אחר,</w:t>
      </w:r>
      <w:r w:rsidRPr="00370D91">
        <w:rPr>
          <w:rFonts w:cs="Arial"/>
          <w:rtl/>
        </w:rPr>
        <w:t xml:space="preserve"> ולפי פירושו אפילו קפצה ונישאת נזקקין</w:t>
      </w:r>
      <w:r>
        <w:rPr>
          <w:rFonts w:cs="Arial" w:hint="cs"/>
          <w:rtl/>
        </w:rPr>
        <w:t>.</w:t>
      </w:r>
      <w:r w:rsidRPr="00370D91">
        <w:rPr>
          <w:rFonts w:cs="Arial"/>
          <w:rtl/>
        </w:rPr>
        <w:t xml:space="preserve"> ומיהו כתבו שר"ח מפרש כהרמב"ם וכן בערוך (ערך חן ג') ובירושלמי (כתובות פ"ט ה"ז, גיטין פ"ה ה"ב)</w:t>
      </w:r>
      <w:r>
        <w:rPr>
          <w:rFonts w:cs="Arial" w:hint="cs"/>
          <w:rtl/>
        </w:rPr>
        <w:t>,</w:t>
      </w:r>
      <w:r w:rsidRPr="00370D91">
        <w:rPr>
          <w:rFonts w:cs="Arial"/>
          <w:rtl/>
        </w:rPr>
        <w:t xml:space="preserve"> והכי נקטינן</w:t>
      </w:r>
      <w:r>
        <w:rPr>
          <w:rFonts w:cs="Arial" w:hint="cs"/>
          <w:rtl/>
        </w:rPr>
        <w:t>, ב"י</w:t>
      </w:r>
      <w:r w:rsidRPr="00370D91">
        <w:rPr>
          <w:rFonts w:cs="Arial"/>
          <w:rtl/>
        </w:rPr>
        <w:t>.</w:t>
      </w:r>
    </w:p>
  </w:footnote>
  <w:footnote w:id="1712">
    <w:p w14:paraId="46AAD8D2" w14:textId="1FCA4270" w:rsidR="00C2348B" w:rsidRDefault="00C2348B">
      <w:pPr>
        <w:pStyle w:val="a5"/>
        <w:rPr>
          <w:rtl/>
        </w:rPr>
      </w:pPr>
      <w:r>
        <w:rPr>
          <w:rStyle w:val="a7"/>
        </w:rPr>
        <w:footnoteRef/>
      </w:r>
      <w:r>
        <w:rPr>
          <w:rtl/>
        </w:rPr>
        <w:t xml:space="preserve"> </w:t>
      </w:r>
      <w:r w:rsidRPr="00370D91">
        <w:rPr>
          <w:rFonts w:cs="Arial"/>
          <w:rtl/>
        </w:rPr>
        <w:t>וכתב ה</w:t>
      </w:r>
      <w:r>
        <w:rPr>
          <w:rFonts w:cs="Arial" w:hint="cs"/>
          <w:rtl/>
        </w:rPr>
        <w:t xml:space="preserve">ה"מ </w:t>
      </w:r>
      <w:r w:rsidRPr="00370D91">
        <w:rPr>
          <w:rFonts w:cs="Arial"/>
          <w:rtl/>
        </w:rPr>
        <w:t>(ה"ד) שנתכוון לומר שאותם הגאונים לא כיוונו לפסק הלכה בשלא חשו לחן האשה</w:t>
      </w:r>
      <w:r>
        <w:rPr>
          <w:rFonts w:cs="Arial" w:hint="cs"/>
          <w:rtl/>
        </w:rPr>
        <w:t>,</w:t>
      </w:r>
      <w:r w:rsidRPr="00370D91">
        <w:rPr>
          <w:rFonts w:cs="Arial"/>
          <w:rtl/>
        </w:rPr>
        <w:t xml:space="preserve"> ודעתו לחוש</w:t>
      </w:r>
      <w:r>
        <w:rPr>
          <w:rFonts w:cs="Arial" w:hint="cs"/>
          <w:rtl/>
        </w:rPr>
        <w:t>,</w:t>
      </w:r>
      <w:r w:rsidRPr="00370D91">
        <w:rPr>
          <w:rFonts w:cs="Arial"/>
          <w:rtl/>
        </w:rPr>
        <w:t xml:space="preserve"> וזה דעת האחרונים</w:t>
      </w:r>
      <w:r>
        <w:rPr>
          <w:rFonts w:cs="Arial" w:hint="cs"/>
          <w:rtl/>
        </w:rPr>
        <w:t>,</w:t>
      </w:r>
      <w:r w:rsidRPr="00370D91">
        <w:rPr>
          <w:rFonts w:cs="Arial"/>
          <w:rtl/>
        </w:rPr>
        <w:t xml:space="preserve"> וכ"כ הראב"ד</w:t>
      </w:r>
      <w:r>
        <w:rPr>
          <w:rFonts w:cs="Arial" w:hint="cs"/>
          <w:rtl/>
        </w:rPr>
        <w:t>,</w:t>
      </w:r>
      <w:r w:rsidRPr="00370D91">
        <w:rPr>
          <w:rFonts w:cs="Arial"/>
          <w:rtl/>
        </w:rPr>
        <w:t xml:space="preserve"> ועיקר עכ"ל</w:t>
      </w:r>
      <w:r>
        <w:rPr>
          <w:rFonts w:cs="Arial" w:hint="cs"/>
          <w:rtl/>
        </w:rPr>
        <w:t>, ב"י</w:t>
      </w:r>
      <w:r w:rsidRPr="00370D91">
        <w:rPr>
          <w:rFonts w:cs="Arial"/>
          <w:rtl/>
        </w:rPr>
        <w:t>.</w:t>
      </w:r>
    </w:p>
  </w:footnote>
  <w:footnote w:id="1713">
    <w:p w14:paraId="5ACCA262" w14:textId="608B04F2" w:rsidR="00D022E4" w:rsidRDefault="00D022E4">
      <w:pPr>
        <w:pStyle w:val="a5"/>
      </w:pPr>
      <w:r>
        <w:rPr>
          <w:rStyle w:val="a7"/>
        </w:rPr>
        <w:footnoteRef/>
      </w:r>
      <w:r>
        <w:rPr>
          <w:rtl/>
        </w:rPr>
        <w:t xml:space="preserve"> </w:t>
      </w:r>
      <w:r w:rsidRPr="00D022E4">
        <w:rPr>
          <w:rFonts w:cs="Arial"/>
          <w:rtl/>
        </w:rPr>
        <w:t xml:space="preserve">דקתני </w:t>
      </w:r>
      <w:r w:rsidR="00F12332">
        <w:rPr>
          <w:rFonts w:cs="Arial" w:hint="cs"/>
          <w:rtl/>
        </w:rPr>
        <w:t>"</w:t>
      </w:r>
      <w:r w:rsidRPr="00D022E4">
        <w:rPr>
          <w:rFonts w:cs="Arial"/>
          <w:rtl/>
        </w:rPr>
        <w:t>יורשיו משביעין אותה</w:t>
      </w:r>
      <w:r w:rsidR="00F12332">
        <w:rPr>
          <w:rFonts w:cs="Arial" w:hint="cs"/>
          <w:rtl/>
        </w:rPr>
        <w:t>"</w:t>
      </w:r>
      <w:r w:rsidRPr="00D022E4">
        <w:rPr>
          <w:rFonts w:cs="Arial"/>
          <w:rtl/>
        </w:rPr>
        <w:t xml:space="preserve"> מתוקמא אפי' באלמנה</w:t>
      </w:r>
      <w:r>
        <w:rPr>
          <w:rFonts w:cs="Arial" w:hint="cs"/>
          <w:rtl/>
        </w:rPr>
        <w:t>,</w:t>
      </w:r>
      <w:r w:rsidRPr="00D022E4">
        <w:rPr>
          <w:rFonts w:cs="Arial"/>
          <w:rtl/>
        </w:rPr>
        <w:t xml:space="preserve"> אבל </w:t>
      </w:r>
      <w:r>
        <w:rPr>
          <w:rFonts w:cs="Arial" w:hint="cs"/>
          <w:rtl/>
        </w:rPr>
        <w:t>"</w:t>
      </w:r>
      <w:r w:rsidRPr="00D022E4">
        <w:rPr>
          <w:rFonts w:cs="Arial"/>
          <w:rtl/>
        </w:rPr>
        <w:t>ואת יורשיה</w:t>
      </w:r>
      <w:r>
        <w:rPr>
          <w:rFonts w:cs="Arial" w:hint="cs"/>
          <w:rtl/>
        </w:rPr>
        <w:t>"</w:t>
      </w:r>
      <w:r w:rsidRPr="00D022E4">
        <w:rPr>
          <w:rFonts w:cs="Arial"/>
          <w:rtl/>
        </w:rPr>
        <w:t xml:space="preserve"> דקתני מוקי לה רב ושמואל בגרושה</w:t>
      </w:r>
      <w:r w:rsidR="00F12332">
        <w:rPr>
          <w:rFonts w:cs="Arial" w:hint="cs"/>
          <w:rtl/>
        </w:rPr>
        <w:t>,</w:t>
      </w:r>
      <w:r w:rsidRPr="00D022E4">
        <w:rPr>
          <w:rFonts w:cs="Arial"/>
          <w:rtl/>
        </w:rPr>
        <w:t xml:space="preserve"> אם גירשה זה נתחייב לה כתובתה בלא שבועה שהרי פטורה היא מן הנדר ומן השבועה ומתה בחייו ואח</w:t>
      </w:r>
      <w:r w:rsidR="00F12332">
        <w:rPr>
          <w:rFonts w:cs="Arial" w:hint="cs"/>
          <w:rtl/>
        </w:rPr>
        <w:t>"</w:t>
      </w:r>
      <w:r w:rsidRPr="00D022E4">
        <w:rPr>
          <w:rFonts w:cs="Arial"/>
          <w:rtl/>
        </w:rPr>
        <w:t>כ מת הוא דהוה ליה מת מלוה בחיי לוה שכשמתה היא יש לה ממון גמור עליו בלא שבועה לפיכך הורישתו לבניה ויורשיה הבאין ליפרע מיורשיו צריכין לישבע כדתנן (מה</w:t>
      </w:r>
      <w:r w:rsidR="00E45E97">
        <w:rPr>
          <w:rFonts w:cs="Arial" w:hint="cs"/>
          <w:rtl/>
        </w:rPr>
        <w:t>.</w:t>
      </w:r>
      <w:r w:rsidRPr="00D022E4">
        <w:rPr>
          <w:rFonts w:cs="Arial"/>
          <w:rtl/>
        </w:rPr>
        <w:t>) היתומין מן היתומין לא יפרעו אלא בשבועה</w:t>
      </w:r>
      <w:r>
        <w:rPr>
          <w:rFonts w:cs="Arial" w:hint="cs"/>
          <w:rtl/>
        </w:rPr>
        <w:t xml:space="preserve">, </w:t>
      </w:r>
      <w:r w:rsidRPr="00E45E97">
        <w:rPr>
          <w:rFonts w:cs="Arial" w:hint="cs"/>
          <w:b/>
          <w:bCs/>
          <w:rtl/>
        </w:rPr>
        <w:t>רש"י</w:t>
      </w:r>
      <w:r>
        <w:rPr>
          <w:rFonts w:cs="Arial" w:hint="cs"/>
          <w:rtl/>
        </w:rPr>
        <w:t>.</w:t>
      </w:r>
      <w:r w:rsidR="00E45E97">
        <w:rPr>
          <w:rFonts w:hint="cs"/>
          <w:rtl/>
        </w:rPr>
        <w:t xml:space="preserve">     </w:t>
      </w:r>
      <w:r w:rsidR="00E45E97" w:rsidRPr="00591AC7">
        <w:rPr>
          <w:rFonts w:cs="Arial"/>
          <w:rtl/>
        </w:rPr>
        <w:t>וזה שלא כדברי הרשב"א (ח"א סי</w:t>
      </w:r>
      <w:r w:rsidR="00E45E97">
        <w:rPr>
          <w:rFonts w:cs="Arial" w:hint="cs"/>
          <w:rtl/>
        </w:rPr>
        <w:t>'</w:t>
      </w:r>
      <w:r w:rsidR="00E45E97" w:rsidRPr="00591AC7">
        <w:rPr>
          <w:rFonts w:cs="Arial"/>
          <w:rtl/>
        </w:rPr>
        <w:t xml:space="preserve"> אלף צג</w:t>
      </w:r>
      <w:r w:rsidR="00E45E97">
        <w:rPr>
          <w:rFonts w:cs="Arial" w:hint="cs"/>
          <w:rtl/>
        </w:rPr>
        <w:t xml:space="preserve">), </w:t>
      </w:r>
      <w:r w:rsidR="00E45E97" w:rsidRPr="00E45E97">
        <w:rPr>
          <w:rFonts w:cs="Arial" w:hint="cs"/>
          <w:b/>
          <w:bCs/>
          <w:rtl/>
        </w:rPr>
        <w:t>ב"י</w:t>
      </w:r>
      <w:r w:rsidR="00E45E97">
        <w:rPr>
          <w:rFonts w:cs="Arial" w:hint="cs"/>
          <w:rtl/>
        </w:rPr>
        <w:t>.</w:t>
      </w:r>
      <w:r w:rsidR="00E45E97">
        <w:rPr>
          <w:rFonts w:hint="cs"/>
          <w:rtl/>
        </w:rPr>
        <w:t xml:space="preserve">     </w:t>
      </w:r>
      <w:r w:rsidR="00E45E97" w:rsidRPr="00DA44C7">
        <w:rPr>
          <w:rFonts w:cs="Arial"/>
          <w:rtl/>
        </w:rPr>
        <w:t>ועיין דיני שבועה זו בח"מ (סי' קח)</w:t>
      </w:r>
      <w:r w:rsidR="00E45E97">
        <w:rPr>
          <w:rFonts w:cs="Arial" w:hint="cs"/>
          <w:rtl/>
        </w:rPr>
        <w:t xml:space="preserve">, </w:t>
      </w:r>
      <w:r w:rsidR="00E45E97" w:rsidRPr="00E45E97">
        <w:rPr>
          <w:rFonts w:cs="Arial" w:hint="cs"/>
          <w:b/>
          <w:bCs/>
          <w:rtl/>
        </w:rPr>
        <w:t>דרכ"מ</w:t>
      </w:r>
      <w:r w:rsidR="00E45E97">
        <w:rPr>
          <w:rFonts w:cs="Arial" w:hint="cs"/>
          <w:rtl/>
        </w:rPr>
        <w:t xml:space="preserve"> (אות ג).</w:t>
      </w:r>
    </w:p>
  </w:footnote>
  <w:footnote w:id="1714">
    <w:p w14:paraId="15FB35B1" w14:textId="77777777" w:rsidR="0070353C" w:rsidRDefault="0070353C" w:rsidP="0070353C">
      <w:pPr>
        <w:pStyle w:val="a5"/>
      </w:pPr>
      <w:r>
        <w:rPr>
          <w:rStyle w:val="a7"/>
        </w:rPr>
        <w:footnoteRef/>
      </w:r>
      <w:r>
        <w:rPr>
          <w:rtl/>
        </w:rPr>
        <w:t xml:space="preserve"> </w:t>
      </w:r>
      <w:r>
        <w:rPr>
          <w:rFonts w:cs="Arial" w:hint="cs"/>
          <w:rtl/>
        </w:rPr>
        <w:t xml:space="preserve">וז"ל: </w:t>
      </w:r>
      <w:r w:rsidRPr="00F60B0E">
        <w:rPr>
          <w:rFonts w:cs="Arial"/>
          <w:rtl/>
        </w:rPr>
        <w:t>כל נכסיה</w:t>
      </w:r>
      <w:r w:rsidRPr="00F60B0E">
        <w:rPr>
          <w:rFonts w:cs="Arial" w:hint="cs"/>
          <w:rtl/>
        </w:rPr>
        <w:t>,</w:t>
      </w:r>
      <w:r w:rsidRPr="00F60B0E">
        <w:rPr>
          <w:rFonts w:cs="Arial"/>
          <w:rtl/>
        </w:rPr>
        <w:t xml:space="preserve"> בין נכסי מלוג בין נכסי צאן ברזל </w:t>
      </w:r>
      <w:r w:rsidRPr="00F60B0E">
        <w:rPr>
          <w:rFonts w:cs="Arial" w:hint="cs"/>
          <w:rtl/>
        </w:rPr>
        <w:t xml:space="preserve">- </w:t>
      </w:r>
      <w:r w:rsidRPr="00F60B0E">
        <w:rPr>
          <w:rFonts w:cs="Arial"/>
          <w:rtl/>
        </w:rPr>
        <w:t>יורשיה יורשין אותה אפי' נתאלמנה</w:t>
      </w:r>
      <w:r w:rsidRPr="00F60B0E">
        <w:rPr>
          <w:rFonts w:cs="Arial" w:hint="cs"/>
          <w:rtl/>
        </w:rPr>
        <w:t>,</w:t>
      </w:r>
      <w:r w:rsidRPr="00F60B0E">
        <w:rPr>
          <w:rFonts w:cs="Arial"/>
          <w:rtl/>
        </w:rPr>
        <w:t xml:space="preserve"> שאינה צריכה לישבע עליהם</w:t>
      </w:r>
      <w:r w:rsidRPr="00F60B0E">
        <w:rPr>
          <w:rFonts w:cs="Arial" w:hint="cs"/>
          <w:rtl/>
        </w:rPr>
        <w:t>.</w:t>
      </w:r>
    </w:p>
  </w:footnote>
  <w:footnote w:id="1715">
    <w:p w14:paraId="0D9893D4" w14:textId="020E9111" w:rsidR="00333151" w:rsidRDefault="00333151">
      <w:pPr>
        <w:pStyle w:val="a5"/>
        <w:rPr>
          <w:rtl/>
        </w:rPr>
      </w:pPr>
      <w:r>
        <w:rPr>
          <w:rStyle w:val="a7"/>
        </w:rPr>
        <w:footnoteRef/>
      </w:r>
      <w:r>
        <w:rPr>
          <w:rtl/>
        </w:rPr>
        <w:t xml:space="preserve"> </w:t>
      </w:r>
      <w:r w:rsidRPr="00AC7A94">
        <w:rPr>
          <w:rFonts w:cs="Arial"/>
          <w:rtl/>
        </w:rPr>
        <w:t>ונראה דהוא הדין אם נמכרו נכסי צאן ברזל ולקחו בהם מטלטלין אחרים ונודע שאלו השניים מנכסי צאן ברזל הן</w:t>
      </w:r>
      <w:r>
        <w:rPr>
          <w:rFonts w:cs="Arial" w:hint="cs"/>
          <w:rtl/>
        </w:rPr>
        <w:t xml:space="preserve"> -</w:t>
      </w:r>
      <w:r w:rsidRPr="00AC7A94">
        <w:rPr>
          <w:rFonts w:cs="Arial"/>
          <w:rtl/>
        </w:rPr>
        <w:t xml:space="preserve"> נוטלתן בלא שבועה</w:t>
      </w:r>
      <w:r>
        <w:rPr>
          <w:rFonts w:cs="Arial" w:hint="cs"/>
          <w:rtl/>
        </w:rPr>
        <w:t>,</w:t>
      </w:r>
      <w:r w:rsidRPr="00AC7A94">
        <w:rPr>
          <w:rFonts w:cs="Arial"/>
          <w:rtl/>
        </w:rPr>
        <w:t xml:space="preserve"> וכן כתב הריב"ש בסימן קס"ט</w:t>
      </w:r>
      <w:r>
        <w:rPr>
          <w:rFonts w:hint="cs"/>
          <w:rtl/>
        </w:rPr>
        <w:t>, ב"י (בבדה"ב).</w:t>
      </w:r>
    </w:p>
  </w:footnote>
  <w:footnote w:id="1716">
    <w:p w14:paraId="3DC679DC" w14:textId="775EB335" w:rsidR="00FC6042" w:rsidRDefault="00FC6042">
      <w:pPr>
        <w:pStyle w:val="a5"/>
        <w:rPr>
          <w:rtl/>
        </w:rPr>
      </w:pPr>
      <w:r>
        <w:rPr>
          <w:rStyle w:val="a7"/>
        </w:rPr>
        <w:footnoteRef/>
      </w:r>
      <w:r>
        <w:rPr>
          <w:rtl/>
        </w:rPr>
        <w:t xml:space="preserve"> </w:t>
      </w:r>
      <w:r w:rsidRPr="00FC6042">
        <w:rPr>
          <w:rFonts w:cs="Arial"/>
          <w:rtl/>
        </w:rPr>
        <w:t>הם דברי הגמרא והרי"ף בפ' אף על פי (גמ' נה:, רי"ף כב)</w:t>
      </w:r>
      <w:r>
        <w:rPr>
          <w:rFonts w:cs="Arial" w:hint="cs"/>
          <w:rtl/>
        </w:rPr>
        <w:t>, ב"י.</w:t>
      </w:r>
    </w:p>
  </w:footnote>
  <w:footnote w:id="1717">
    <w:p w14:paraId="1D0212FD" w14:textId="3A71C449" w:rsidR="00B9007D" w:rsidRDefault="00B9007D">
      <w:pPr>
        <w:pStyle w:val="a5"/>
        <w:rPr>
          <w:rtl/>
        </w:rPr>
      </w:pPr>
      <w:r>
        <w:rPr>
          <w:rStyle w:val="a7"/>
        </w:rPr>
        <w:footnoteRef/>
      </w:r>
      <w:r>
        <w:rPr>
          <w:rtl/>
        </w:rPr>
        <w:t xml:space="preserve"> </w:t>
      </w:r>
      <w:r w:rsidRPr="00B9007D">
        <w:rPr>
          <w:rFonts w:cs="Arial"/>
          <w:rtl/>
        </w:rPr>
        <w:t>וכן כתב נמוק</w:t>
      </w:r>
      <w:r w:rsidR="00FC6042">
        <w:rPr>
          <w:rFonts w:cs="Arial" w:hint="cs"/>
          <w:rtl/>
        </w:rPr>
        <w:t>"</w:t>
      </w:r>
      <w:r w:rsidRPr="00B9007D">
        <w:rPr>
          <w:rFonts w:cs="Arial"/>
          <w:rtl/>
        </w:rPr>
        <w:t>י פרק מי שמת (עד: דיבור ראשון)</w:t>
      </w:r>
      <w:r w:rsidR="00FC6042">
        <w:rPr>
          <w:rFonts w:cs="Arial" w:hint="cs"/>
          <w:rtl/>
        </w:rPr>
        <w:t>,</w:t>
      </w:r>
      <w:r w:rsidRPr="00B9007D">
        <w:rPr>
          <w:rFonts w:cs="Arial"/>
          <w:rtl/>
        </w:rPr>
        <w:t xml:space="preserve"> וכן הוא בתוספות פרק החולץ (יבמות לח. ד"ה ובית הלל)</w:t>
      </w:r>
      <w:r w:rsidR="00FC6042">
        <w:rPr>
          <w:rFonts w:cs="Arial" w:hint="cs"/>
          <w:rtl/>
        </w:rPr>
        <w:t>.</w:t>
      </w:r>
      <w:r w:rsidRPr="00B9007D">
        <w:rPr>
          <w:rFonts w:cs="Arial"/>
          <w:rtl/>
        </w:rPr>
        <w:t xml:space="preserve"> ובהר"ן ריש אלמנה נזונת (נה. ד"ה אלמנה) משמע דאף נכסי צאן ברזל אין יורשיה יורשין אם מתה בלא שבועה</w:t>
      </w:r>
      <w:r w:rsidR="00252F30">
        <w:rPr>
          <w:rFonts w:cs="Arial" w:hint="cs"/>
          <w:rtl/>
        </w:rPr>
        <w:t>,</w:t>
      </w:r>
      <w:r w:rsidRPr="00B9007D">
        <w:rPr>
          <w:rFonts w:cs="Arial"/>
          <w:rtl/>
        </w:rPr>
        <w:t xml:space="preserve"> ואפשר דלא מיירי אלא כשאינו בעין</w:t>
      </w:r>
      <w:r w:rsidR="00252F30">
        <w:rPr>
          <w:rFonts w:cs="Arial" w:hint="cs"/>
          <w:rtl/>
        </w:rPr>
        <w:t>...</w:t>
      </w:r>
      <w:r w:rsidRPr="00B9007D">
        <w:rPr>
          <w:rFonts w:cs="Arial"/>
          <w:rtl/>
        </w:rPr>
        <w:t xml:space="preserve"> וע"ל סימן צ"ח (עמ' כא) אימת נקראין איתנהו בעינייהו</w:t>
      </w:r>
      <w:r w:rsidR="00252F30">
        <w:rPr>
          <w:rFonts w:cs="Arial" w:hint="cs"/>
          <w:rtl/>
        </w:rPr>
        <w:t>.</w:t>
      </w:r>
      <w:r w:rsidRPr="00B9007D">
        <w:rPr>
          <w:rFonts w:cs="Arial"/>
          <w:rtl/>
        </w:rPr>
        <w:t xml:space="preserve"> ובמרדכי פרק מי שמת (סי' תרז) משמע מתשובת ר"ג ומוהר"ם דאף נכסי צאן ברזל שלה אין יורשיה יורשין אם לא גבתה אותן או מכרה אותן בחייה</w:t>
      </w:r>
      <w:r w:rsidR="00252F30">
        <w:rPr>
          <w:rFonts w:cs="Arial" w:hint="cs"/>
          <w:rtl/>
        </w:rPr>
        <w:t>.</w:t>
      </w:r>
      <w:r w:rsidRPr="00B9007D">
        <w:rPr>
          <w:rFonts w:cs="Arial"/>
          <w:rtl/>
        </w:rPr>
        <w:t xml:space="preserve"> וכן משמע קצת בדברי תרוה</w:t>
      </w:r>
      <w:r w:rsidR="007F679A">
        <w:rPr>
          <w:rFonts w:cs="Arial" w:hint="cs"/>
          <w:rtl/>
        </w:rPr>
        <w:t>"</w:t>
      </w:r>
      <w:r w:rsidRPr="00B9007D">
        <w:rPr>
          <w:rFonts w:cs="Arial"/>
          <w:rtl/>
        </w:rPr>
        <w:t xml:space="preserve">ד </w:t>
      </w:r>
      <w:r w:rsidR="007F679A">
        <w:rPr>
          <w:rFonts w:cs="Arial" w:hint="cs"/>
          <w:rtl/>
        </w:rPr>
        <w:t>(</w:t>
      </w:r>
      <w:r w:rsidRPr="00B9007D">
        <w:rPr>
          <w:rFonts w:cs="Arial"/>
          <w:rtl/>
        </w:rPr>
        <w:t>סי</w:t>
      </w:r>
      <w:r w:rsidR="007F679A">
        <w:rPr>
          <w:rFonts w:cs="Arial" w:hint="cs"/>
          <w:rtl/>
        </w:rPr>
        <w:t>'</w:t>
      </w:r>
      <w:r w:rsidRPr="00B9007D">
        <w:rPr>
          <w:rFonts w:cs="Arial"/>
          <w:rtl/>
        </w:rPr>
        <w:t xml:space="preserve"> של</w:t>
      </w:r>
      <w:r w:rsidR="007F679A">
        <w:rPr>
          <w:rFonts w:cs="Arial" w:hint="cs"/>
          <w:rtl/>
        </w:rPr>
        <w:t>)</w:t>
      </w:r>
      <w:r w:rsidRPr="00B9007D">
        <w:rPr>
          <w:rFonts w:cs="Arial"/>
          <w:rtl/>
        </w:rPr>
        <w:t xml:space="preserve"> וצ"ע</w:t>
      </w:r>
      <w:r w:rsidR="00D3507C">
        <w:rPr>
          <w:rFonts w:cs="Arial" w:hint="cs"/>
          <w:rtl/>
        </w:rPr>
        <w:t>, דרכ"מ (אות ה)</w:t>
      </w:r>
      <w:r w:rsidRPr="00B9007D">
        <w:rPr>
          <w:rFonts w:cs="Arial"/>
          <w:rtl/>
        </w:rPr>
        <w:t>.</w:t>
      </w:r>
    </w:p>
  </w:footnote>
  <w:footnote w:id="1718">
    <w:p w14:paraId="45227092" w14:textId="3A44F44D" w:rsidR="00722B82" w:rsidRDefault="00722B82">
      <w:pPr>
        <w:pStyle w:val="a5"/>
        <w:rPr>
          <w:rtl/>
        </w:rPr>
      </w:pPr>
      <w:r>
        <w:rPr>
          <w:rStyle w:val="a7"/>
        </w:rPr>
        <w:footnoteRef/>
      </w:r>
      <w:r>
        <w:rPr>
          <w:rtl/>
        </w:rPr>
        <w:t xml:space="preserve"> </w:t>
      </w:r>
      <w:r>
        <w:rPr>
          <w:rFonts w:hint="cs"/>
          <w:rtl/>
        </w:rPr>
        <w:t>פירוש, היורשים רוצים לומר שלא ניחא להם מה שתיקנו חז"ל לאלמנה להישבע, משום שהם רוצים לירש את הכסף הנשאר דווקא דרך כתובת אמם כדי להיפטר מהחוב שיש על נכסי אביהם (וכגון שנשארו מקרקעי, או שנשארו מטלטלי והיורשים מוחזקים, עי' ר"ס קב).</w:t>
      </w:r>
    </w:p>
  </w:footnote>
  <w:footnote w:id="1719">
    <w:p w14:paraId="21990883" w14:textId="4F891189" w:rsidR="00567704" w:rsidRDefault="00567704">
      <w:pPr>
        <w:pStyle w:val="a5"/>
        <w:rPr>
          <w:rtl/>
        </w:rPr>
      </w:pPr>
      <w:r>
        <w:rPr>
          <w:rStyle w:val="a7"/>
        </w:rPr>
        <w:footnoteRef/>
      </w:r>
      <w:r>
        <w:rPr>
          <w:rtl/>
        </w:rPr>
        <w:t xml:space="preserve"> </w:t>
      </w:r>
      <w:r>
        <w:rPr>
          <w:rFonts w:cs="Arial"/>
          <w:rtl/>
        </w:rPr>
        <w:t>ובגליון ש"ע דהגרע</w:t>
      </w:r>
      <w:r>
        <w:rPr>
          <w:rFonts w:cs="Arial" w:hint="cs"/>
          <w:rtl/>
        </w:rPr>
        <w:t>"א</w:t>
      </w:r>
      <w:r>
        <w:rPr>
          <w:rFonts w:cs="Arial"/>
          <w:rtl/>
        </w:rPr>
        <w:t xml:space="preserve"> זצ"ל נ"ב</w:t>
      </w:r>
      <w:r w:rsidR="00FB63D6">
        <w:rPr>
          <w:rFonts w:cs="Arial" w:hint="cs"/>
          <w:rtl/>
        </w:rPr>
        <w:t>:</w:t>
      </w:r>
      <w:r>
        <w:rPr>
          <w:rFonts w:cs="Arial"/>
          <w:rtl/>
        </w:rPr>
        <w:t xml:space="preserve"> וע' באורך מזה בשו"ת מהרי"ט </w:t>
      </w:r>
      <w:r>
        <w:rPr>
          <w:rFonts w:cs="Arial" w:hint="cs"/>
          <w:rtl/>
        </w:rPr>
        <w:t>(</w:t>
      </w:r>
      <w:r>
        <w:rPr>
          <w:rFonts w:cs="Arial"/>
          <w:rtl/>
        </w:rPr>
        <w:t>ח"ב חח"מ סי' ט' וי'</w:t>
      </w:r>
      <w:r>
        <w:rPr>
          <w:rFonts w:cs="Arial" w:hint="cs"/>
          <w:rtl/>
        </w:rPr>
        <w:t>),</w:t>
      </w:r>
      <w:r>
        <w:rPr>
          <w:rFonts w:cs="Arial"/>
          <w:rtl/>
        </w:rPr>
        <w:t xml:space="preserve"> וכן הסכים להלכה בתשו' פנים מאירות </w:t>
      </w:r>
      <w:r>
        <w:rPr>
          <w:rFonts w:cs="Arial" w:hint="cs"/>
          <w:rtl/>
        </w:rPr>
        <w:t>(</w:t>
      </w:r>
      <w:r>
        <w:rPr>
          <w:rFonts w:cs="Arial"/>
          <w:rtl/>
        </w:rPr>
        <w:t>ח"א סי' נא</w:t>
      </w:r>
      <w:r>
        <w:rPr>
          <w:rFonts w:cs="Arial" w:hint="cs"/>
          <w:rtl/>
        </w:rPr>
        <w:t>)</w:t>
      </w:r>
      <w:r>
        <w:rPr>
          <w:rFonts w:cs="Arial"/>
          <w:rtl/>
        </w:rPr>
        <w:t xml:space="preserve"> עכ"ל</w:t>
      </w:r>
      <w:r>
        <w:rPr>
          <w:rFonts w:cs="Arial" w:hint="cs"/>
          <w:rtl/>
        </w:rPr>
        <w:t>.</w:t>
      </w:r>
      <w:r>
        <w:rPr>
          <w:rFonts w:cs="Arial"/>
          <w:rtl/>
        </w:rPr>
        <w:t xml:space="preserve"> וע' בס' ישועות יעקב </w:t>
      </w:r>
      <w:r>
        <w:rPr>
          <w:rFonts w:cs="Arial" w:hint="cs"/>
          <w:rtl/>
        </w:rPr>
        <w:t>(</w:t>
      </w:r>
      <w:r>
        <w:rPr>
          <w:rFonts w:cs="Arial"/>
          <w:rtl/>
        </w:rPr>
        <w:t>סק"ג</w:t>
      </w:r>
      <w:r>
        <w:rPr>
          <w:rFonts w:cs="Arial" w:hint="cs"/>
          <w:rtl/>
        </w:rPr>
        <w:t>)</w:t>
      </w:r>
      <w:r>
        <w:rPr>
          <w:rFonts w:cs="Arial"/>
          <w:rtl/>
        </w:rPr>
        <w:t xml:space="preserve"> שתמה על הרב ש"י ועל הב"ש שהביאו בפשיטות שנעלם משניהם תשובת מהר"ם בר ברוך סי' תתנ"ט דמבואר שם דאין ביד היורשים למחול השבועה ולהפסיד לבע"ח</w:t>
      </w:r>
      <w:r>
        <w:rPr>
          <w:rFonts w:cs="Arial" w:hint="cs"/>
          <w:rtl/>
        </w:rPr>
        <w:t>,</w:t>
      </w:r>
      <w:r>
        <w:rPr>
          <w:rFonts w:cs="Arial"/>
          <w:rtl/>
        </w:rPr>
        <w:t xml:space="preserve"> וכן מבואר בתשו' מהר"ר יחיאל באסאן כו'</w:t>
      </w:r>
      <w:r>
        <w:rPr>
          <w:rFonts w:cs="Arial" w:hint="cs"/>
          <w:rtl/>
        </w:rPr>
        <w:t>.</w:t>
      </w:r>
      <w:r>
        <w:rPr>
          <w:rFonts w:cs="Arial"/>
          <w:rtl/>
        </w:rPr>
        <w:t xml:space="preserve"> ומסיק לדינא אי מעשה כזאת בא לידי הייתי מפשר אף שלא מרצון הצדדים ע"ש. וע' בתשו' דרכי נועם </w:t>
      </w:r>
      <w:r>
        <w:rPr>
          <w:rFonts w:cs="Arial" w:hint="cs"/>
          <w:rtl/>
        </w:rPr>
        <w:t>(או"ח</w:t>
      </w:r>
      <w:r>
        <w:rPr>
          <w:rFonts w:cs="Arial"/>
          <w:rtl/>
        </w:rPr>
        <w:t xml:space="preserve"> סי' כה</w:t>
      </w:r>
      <w:r>
        <w:rPr>
          <w:rFonts w:cs="Arial" w:hint="cs"/>
          <w:rtl/>
        </w:rPr>
        <w:t>)</w:t>
      </w:r>
      <w:r>
        <w:rPr>
          <w:rFonts w:cs="Arial"/>
          <w:rtl/>
        </w:rPr>
        <w:t xml:space="preserve"> שהאריך ג"כ בדין זה וכ' דהוי ספיקא דדינא ואין להוציא מיד מוחזק והיכא דאין כאן מוחזק ראוי והגון לעשות כעין פשרה ע"ש. וע' בת' שבו"י </w:t>
      </w:r>
      <w:r>
        <w:rPr>
          <w:rFonts w:cs="Arial" w:hint="cs"/>
          <w:rtl/>
        </w:rPr>
        <w:t>(</w:t>
      </w:r>
      <w:r>
        <w:rPr>
          <w:rFonts w:cs="Arial"/>
          <w:rtl/>
        </w:rPr>
        <w:t>ח"ג סי' קכד</w:t>
      </w:r>
      <w:r>
        <w:rPr>
          <w:rFonts w:cs="Arial" w:hint="cs"/>
          <w:rtl/>
        </w:rPr>
        <w:t>)</w:t>
      </w:r>
      <w:r>
        <w:rPr>
          <w:rFonts w:cs="Arial"/>
          <w:rtl/>
        </w:rPr>
        <w:t xml:space="preserve"> שנשאל על שאלה כזו ממש והזכיר שם ת' דרכי נועם הנ"ל ושוב הביא ת' מהר"ש הלוי </w:t>
      </w:r>
      <w:r>
        <w:rPr>
          <w:rFonts w:cs="Arial" w:hint="cs"/>
          <w:rtl/>
        </w:rPr>
        <w:t>(</w:t>
      </w:r>
      <w:r>
        <w:rPr>
          <w:rFonts w:cs="Arial"/>
          <w:rtl/>
        </w:rPr>
        <w:t>ח"ב סי' לז</w:t>
      </w:r>
      <w:r>
        <w:rPr>
          <w:rFonts w:cs="Arial" w:hint="cs"/>
          <w:rtl/>
        </w:rPr>
        <w:t>)</w:t>
      </w:r>
      <w:r>
        <w:rPr>
          <w:rFonts w:cs="Arial"/>
          <w:rtl/>
        </w:rPr>
        <w:t xml:space="preserve"> דמסיק להורות דנדוני' שהיא הכניסה לו דהוית כבע"ח דעלמא יורשיה נוטלים אף שלא נשבעה משא"כ תוספת כתובתה אין להגבות ליורשים כיון שלא נשבעה</w:t>
      </w:r>
      <w:r>
        <w:rPr>
          <w:rFonts w:cs="Arial" w:hint="cs"/>
          <w:rtl/>
        </w:rPr>
        <w:t>.</w:t>
      </w:r>
      <w:r>
        <w:rPr>
          <w:rFonts w:cs="Arial"/>
          <w:rtl/>
        </w:rPr>
        <w:t xml:space="preserve"> וכן מסיק בס' חוסן ישועות </w:t>
      </w:r>
      <w:r>
        <w:rPr>
          <w:rFonts w:cs="Arial" w:hint="cs"/>
          <w:rtl/>
        </w:rPr>
        <w:t>(</w:t>
      </w:r>
      <w:r>
        <w:rPr>
          <w:rFonts w:cs="Arial"/>
          <w:rtl/>
        </w:rPr>
        <w:t>א</w:t>
      </w:r>
      <w:r>
        <w:rPr>
          <w:rFonts w:cs="Arial" w:hint="cs"/>
          <w:rtl/>
        </w:rPr>
        <w:t>ו"ח</w:t>
      </w:r>
      <w:r>
        <w:rPr>
          <w:rFonts w:cs="Arial"/>
          <w:rtl/>
        </w:rPr>
        <w:t xml:space="preserve"> סי' צו</w:t>
      </w:r>
      <w:r>
        <w:rPr>
          <w:rFonts w:cs="Arial" w:hint="cs"/>
          <w:rtl/>
        </w:rPr>
        <w:t>)</w:t>
      </w:r>
      <w:r>
        <w:rPr>
          <w:rFonts w:cs="Arial"/>
          <w:rtl/>
        </w:rPr>
        <w:t xml:space="preserve"> והוא ז"ל הסכים ג"כ לזה וכ' דכן נ"ל עיקר שזהו פשרה ע"פ הדין</w:t>
      </w:r>
      <w:r>
        <w:rPr>
          <w:rFonts w:cs="Arial" w:hint="cs"/>
          <w:rtl/>
        </w:rPr>
        <w:t>,</w:t>
      </w:r>
      <w:r>
        <w:rPr>
          <w:rFonts w:cs="Arial"/>
          <w:rtl/>
        </w:rPr>
        <w:t xml:space="preserve"> וקרוב לזה מצאתי בסוף ספר מסגרת השלחן בתקנות ד"א דפולין בענין הבורחים שאשתו בנדונייתה קודמת לכל בע"ח וזהו מלתא דמסתבר והסכימו עמי בי דינא ועשינו כן הלכה למעשה ע"ש</w:t>
      </w:r>
      <w:r>
        <w:rPr>
          <w:rFonts w:cs="Arial" w:hint="cs"/>
          <w:rtl/>
        </w:rPr>
        <w:t>, פת"ש (סק"ג).</w:t>
      </w:r>
    </w:p>
  </w:footnote>
  <w:footnote w:id="1720">
    <w:p w14:paraId="7D6603D2" w14:textId="5B71C4AE" w:rsidR="005762CE" w:rsidRDefault="005762CE">
      <w:pPr>
        <w:pStyle w:val="a5"/>
        <w:rPr>
          <w:rtl/>
        </w:rPr>
      </w:pPr>
      <w:r>
        <w:rPr>
          <w:rStyle w:val="a7"/>
        </w:rPr>
        <w:footnoteRef/>
      </w:r>
      <w:r>
        <w:rPr>
          <w:rtl/>
        </w:rPr>
        <w:t xml:space="preserve"> </w:t>
      </w:r>
      <w:r w:rsidRPr="005762CE">
        <w:rPr>
          <w:rFonts w:cs="Arial"/>
          <w:rtl/>
        </w:rPr>
        <w:t>והנה בח"מ לא נזכר כלל זה רק בכנה"ג בכללי מיגו שנדפס בס' או"ת הביא כן בשם גידולי תרומה שהוציא זה מהך דהכא</w:t>
      </w:r>
      <w:r w:rsidR="00C5410D">
        <w:rPr>
          <w:rFonts w:cs="Arial" w:hint="cs"/>
          <w:rtl/>
        </w:rPr>
        <w:t>.</w:t>
      </w:r>
      <w:r w:rsidRPr="005762CE">
        <w:rPr>
          <w:rFonts w:cs="Arial"/>
          <w:rtl/>
        </w:rPr>
        <w:t xml:space="preserve"> ובתומים שם רוצה לדחות ראייתו ע"ש</w:t>
      </w:r>
      <w:r w:rsidR="00C5410D">
        <w:rPr>
          <w:rFonts w:cs="Arial" w:hint="cs"/>
          <w:rtl/>
        </w:rPr>
        <w:t>.</w:t>
      </w:r>
      <w:r w:rsidRPr="005762CE">
        <w:rPr>
          <w:rFonts w:cs="Arial"/>
          <w:rtl/>
        </w:rPr>
        <w:t xml:space="preserve"> אך לכאורה כלל זה מוכרח מח</w:t>
      </w:r>
      <w:r w:rsidR="00C5410D">
        <w:rPr>
          <w:rFonts w:cs="Arial" w:hint="cs"/>
          <w:rtl/>
        </w:rPr>
        <w:t>ו</w:t>
      </w:r>
      <w:r w:rsidRPr="005762CE">
        <w:rPr>
          <w:rFonts w:cs="Arial"/>
          <w:rtl/>
        </w:rPr>
        <w:t>"מ סי' פ"ב ס"י בהוציא שטר מקויים וטוען אמנה או רבית א"י להשביעו אף בטוען השבע לי</w:t>
      </w:r>
      <w:r w:rsidR="00C5410D">
        <w:rPr>
          <w:rFonts w:cs="Arial" w:hint="cs"/>
          <w:rtl/>
        </w:rPr>
        <w:t>,</w:t>
      </w:r>
      <w:r w:rsidRPr="005762CE">
        <w:rPr>
          <w:rFonts w:cs="Arial"/>
          <w:rtl/>
        </w:rPr>
        <w:t xml:space="preserve"> אף דבטוען פרעתי אם אמר השבע לי מחוייב לישבע כמבואר שם ס"א</w:t>
      </w:r>
      <w:r w:rsidR="00C5410D">
        <w:rPr>
          <w:rFonts w:cs="Arial" w:hint="cs"/>
          <w:rtl/>
        </w:rPr>
        <w:t>,</w:t>
      </w:r>
      <w:r w:rsidRPr="005762CE">
        <w:rPr>
          <w:rFonts w:cs="Arial"/>
          <w:rtl/>
        </w:rPr>
        <w:t xml:space="preserve"> וע"כ דא"א מגו להשביע</w:t>
      </w:r>
      <w:r w:rsidR="00C5410D">
        <w:rPr>
          <w:rFonts w:cs="Arial" w:hint="cs"/>
          <w:rtl/>
        </w:rPr>
        <w:t>.</w:t>
      </w:r>
      <w:r w:rsidRPr="005762CE">
        <w:rPr>
          <w:rFonts w:cs="Arial"/>
          <w:rtl/>
        </w:rPr>
        <w:t xml:space="preserve"> אך נראה דכלל זה הוא דוקא שהנתבע א"י להשביע להתובע שיהא נשבע ונוטל</w:t>
      </w:r>
      <w:r w:rsidR="00105E48">
        <w:rPr>
          <w:rFonts w:cs="Arial" w:hint="cs"/>
          <w:rtl/>
        </w:rPr>
        <w:t>,</w:t>
      </w:r>
      <w:r w:rsidRPr="005762CE">
        <w:rPr>
          <w:rFonts w:cs="Arial"/>
          <w:rtl/>
        </w:rPr>
        <w:t xml:space="preserve"> אבל בתובע שטוען טענה גרוע ויש לו מגו יכול להשביע להנתבע מאחר דאיכא ג"כ חזקה אין אדם תובע כו'</w:t>
      </w:r>
      <w:r w:rsidR="00105E48">
        <w:rPr>
          <w:rFonts w:cs="Arial" w:hint="cs"/>
          <w:rtl/>
        </w:rPr>
        <w:t>,</w:t>
      </w:r>
      <w:r w:rsidRPr="005762CE">
        <w:rPr>
          <w:rFonts w:cs="Arial"/>
          <w:rtl/>
        </w:rPr>
        <w:t xml:space="preserve"> ומש"ה אחר הפרעון יכול להשביע בטענת אמנה או רבית כיון שעתה הוא התובע ודו"ק</w:t>
      </w:r>
      <w:r w:rsidR="00C5410D">
        <w:rPr>
          <w:rFonts w:cs="Arial" w:hint="cs"/>
          <w:rtl/>
        </w:rPr>
        <w:t>.</w:t>
      </w:r>
      <w:r w:rsidRPr="005762CE">
        <w:rPr>
          <w:rFonts w:cs="Arial"/>
          <w:rtl/>
        </w:rPr>
        <w:t xml:space="preserve"> וע' בח"מ ס"ס פ"ז בהגה</w:t>
      </w:r>
      <w:r>
        <w:rPr>
          <w:rFonts w:hint="cs"/>
          <w:rtl/>
        </w:rPr>
        <w:t>, פת"ש (סק"ד).</w:t>
      </w:r>
    </w:p>
  </w:footnote>
  <w:footnote w:id="1721">
    <w:p w14:paraId="003BE71B" w14:textId="29717E27" w:rsidR="004C16B3" w:rsidRDefault="004C16B3">
      <w:pPr>
        <w:pStyle w:val="a5"/>
        <w:rPr>
          <w:rtl/>
        </w:rPr>
      </w:pPr>
      <w:r>
        <w:rPr>
          <w:rStyle w:val="a7"/>
        </w:rPr>
        <w:footnoteRef/>
      </w:r>
      <w:r>
        <w:rPr>
          <w:rtl/>
        </w:rPr>
        <w:t xml:space="preserve"> </w:t>
      </w:r>
      <w:r>
        <w:rPr>
          <w:rFonts w:cs="Arial"/>
          <w:rtl/>
        </w:rPr>
        <w:t>זה פשוט בכמה מקומות דמשום האי חששא משביעין לה</w:t>
      </w:r>
      <w:r>
        <w:rPr>
          <w:rFonts w:hint="cs"/>
          <w:rtl/>
        </w:rPr>
        <w:t>, ב"י.</w:t>
      </w:r>
    </w:p>
  </w:footnote>
  <w:footnote w:id="1722">
    <w:p w14:paraId="6F5587CE" w14:textId="5954D584" w:rsidR="004C16B3" w:rsidRDefault="004C16B3">
      <w:pPr>
        <w:pStyle w:val="a5"/>
      </w:pPr>
      <w:r>
        <w:rPr>
          <w:rStyle w:val="a7"/>
        </w:rPr>
        <w:footnoteRef/>
      </w:r>
      <w:r>
        <w:rPr>
          <w:rtl/>
        </w:rPr>
        <w:t xml:space="preserve"> </w:t>
      </w:r>
      <w:r>
        <w:rPr>
          <w:rFonts w:cs="Arial"/>
          <w:rtl/>
        </w:rPr>
        <w:t xml:space="preserve">פשוט הוא וכן נראה מדברי התוספות בסוף פרק מי שמת (קנח. </w:t>
      </w:r>
      <w:r w:rsidR="00F26549">
        <w:rPr>
          <w:rFonts w:cs="Arial" w:hint="cs"/>
          <w:rtl/>
        </w:rPr>
        <w:t>ס</w:t>
      </w:r>
      <w:r>
        <w:rPr>
          <w:rFonts w:cs="Arial"/>
          <w:rtl/>
        </w:rPr>
        <w:t xml:space="preserve">ד"ה ובית </w:t>
      </w:r>
      <w:r w:rsidR="00F26549">
        <w:rPr>
          <w:rFonts w:cs="Arial" w:hint="cs"/>
          <w:rtl/>
        </w:rPr>
        <w:t xml:space="preserve">הלל </w:t>
      </w:r>
      <w:r>
        <w:rPr>
          <w:rFonts w:cs="Arial"/>
          <w:rtl/>
        </w:rPr>
        <w:t>[השני])</w:t>
      </w:r>
      <w:r>
        <w:rPr>
          <w:rFonts w:cs="Arial" w:hint="cs"/>
          <w:rtl/>
        </w:rPr>
        <w:t>, ב"י.</w:t>
      </w:r>
    </w:p>
  </w:footnote>
  <w:footnote w:id="1723">
    <w:p w14:paraId="0887A496" w14:textId="5062A092" w:rsidR="0048635C" w:rsidRDefault="0048635C">
      <w:pPr>
        <w:pStyle w:val="a5"/>
        <w:rPr>
          <w:rtl/>
        </w:rPr>
      </w:pPr>
      <w:r>
        <w:rPr>
          <w:rStyle w:val="a7"/>
        </w:rPr>
        <w:footnoteRef/>
      </w:r>
      <w:r>
        <w:rPr>
          <w:rtl/>
        </w:rPr>
        <w:t xml:space="preserve"> </w:t>
      </w:r>
      <w:r>
        <w:rPr>
          <w:rFonts w:cs="Arial"/>
          <w:rtl/>
        </w:rPr>
        <w:t>אינו מוכרח</w:t>
      </w:r>
      <w:r>
        <w:rPr>
          <w:rFonts w:cs="Arial" w:hint="cs"/>
          <w:rtl/>
        </w:rPr>
        <w:t>,</w:t>
      </w:r>
      <w:r>
        <w:rPr>
          <w:rFonts w:cs="Arial"/>
          <w:rtl/>
        </w:rPr>
        <w:t xml:space="preserve"> שכבר איפשר שכתבה לו שטר מכר או מחילה ולפי</w:t>
      </w:r>
      <w:r>
        <w:rPr>
          <w:rFonts w:cs="Arial" w:hint="cs"/>
          <w:rtl/>
        </w:rPr>
        <w:t>כך</w:t>
      </w:r>
      <w:r>
        <w:rPr>
          <w:rFonts w:cs="Arial"/>
          <w:rtl/>
        </w:rPr>
        <w:t xml:space="preserve"> לא חשש ליקח מידה שטר הכתובה</w:t>
      </w:r>
      <w:r>
        <w:rPr>
          <w:rFonts w:hint="cs"/>
          <w:rtl/>
        </w:rPr>
        <w:t>, ב"י.</w:t>
      </w:r>
    </w:p>
  </w:footnote>
  <w:footnote w:id="1724">
    <w:p w14:paraId="5CC31F19" w14:textId="073AFF88" w:rsidR="0072527E" w:rsidRDefault="0072527E" w:rsidP="0072527E">
      <w:pPr>
        <w:pStyle w:val="a5"/>
      </w:pPr>
      <w:r>
        <w:rPr>
          <w:rStyle w:val="a7"/>
        </w:rPr>
        <w:footnoteRef/>
      </w:r>
      <w:r>
        <w:rPr>
          <w:rtl/>
        </w:rPr>
        <w:t xml:space="preserve"> </w:t>
      </w:r>
      <w:r w:rsidR="00A407B1">
        <w:rPr>
          <w:rFonts w:hint="cs"/>
          <w:rtl/>
        </w:rPr>
        <w:t xml:space="preserve">וז"ל הב"י: </w:t>
      </w:r>
      <w:r w:rsidRPr="00AB34B6">
        <w:rPr>
          <w:rFonts w:cs="Arial"/>
          <w:rtl/>
        </w:rPr>
        <w:t>רש"י פירש בפרק שום היתומים (כב. ד"ה צררי אתפסה) דחיישינן לצררי היינו שמא בשעת מיתה אתפיס צררי</w:t>
      </w:r>
      <w:r w:rsidRPr="00AB34B6">
        <w:rPr>
          <w:rFonts w:cs="Arial" w:hint="cs"/>
          <w:rtl/>
        </w:rPr>
        <w:t>.</w:t>
      </w:r>
      <w:r w:rsidRPr="00AB34B6">
        <w:rPr>
          <w:rFonts w:cs="Arial"/>
          <w:rtl/>
        </w:rPr>
        <w:t xml:space="preserve"> ומצאתי כתוב על דבריו</w:t>
      </w:r>
      <w:r>
        <w:rPr>
          <w:rFonts w:cs="Arial" w:hint="cs"/>
          <w:rtl/>
        </w:rPr>
        <w:t>:</w:t>
      </w:r>
      <w:r w:rsidRPr="00AB34B6">
        <w:rPr>
          <w:rFonts w:cs="Arial"/>
          <w:rtl/>
        </w:rPr>
        <w:t xml:space="preserve"> משמע מתוך פירושו דמקמי מיתה זמן ארוך אין לחוש לכך</w:t>
      </w:r>
      <w:r>
        <w:rPr>
          <w:rFonts w:cs="Arial" w:hint="cs"/>
          <w:rtl/>
        </w:rPr>
        <w:t>,</w:t>
      </w:r>
      <w:r w:rsidRPr="00AB34B6">
        <w:rPr>
          <w:rFonts w:cs="Arial"/>
          <w:rtl/>
        </w:rPr>
        <w:t xml:space="preserve"> ואפילו חלה ונתיירא למות כיון שנתרפא חזר ונטל הצררי</w:t>
      </w:r>
      <w:r>
        <w:rPr>
          <w:rFonts w:cs="Arial" w:hint="cs"/>
          <w:rtl/>
        </w:rPr>
        <w:t>,</w:t>
      </w:r>
      <w:r w:rsidRPr="00AB34B6">
        <w:rPr>
          <w:rFonts w:cs="Arial"/>
          <w:rtl/>
        </w:rPr>
        <w:t xml:space="preserve"> לפי פירוש זה אם נהרג או מת מיתה חטופה או נטרפה דעתו אין לחוש לצררי</w:t>
      </w:r>
      <w:r>
        <w:rPr>
          <w:rFonts w:cs="Arial" w:hint="cs"/>
          <w:rtl/>
        </w:rPr>
        <w:t xml:space="preserve"> עכ"ל</w:t>
      </w:r>
      <w:r w:rsidR="00A407B1">
        <w:rPr>
          <w:rFonts w:cs="Arial" w:hint="cs"/>
          <w:sz w:val="16"/>
          <w:szCs w:val="16"/>
          <w:rtl/>
        </w:rPr>
        <w:t xml:space="preserve"> [מה שמצא כתוב]</w:t>
      </w:r>
      <w:r w:rsidRPr="00AB34B6">
        <w:rPr>
          <w:rFonts w:cs="Arial" w:hint="cs"/>
          <w:rtl/>
        </w:rPr>
        <w:t>.</w:t>
      </w:r>
    </w:p>
  </w:footnote>
  <w:footnote w:id="1725">
    <w:p w14:paraId="09BBE67E" w14:textId="3032CE10" w:rsidR="004F6510" w:rsidRDefault="004F6510" w:rsidP="004F6510">
      <w:pPr>
        <w:pStyle w:val="a5"/>
        <w:rPr>
          <w:rtl/>
        </w:rPr>
      </w:pPr>
      <w:r>
        <w:rPr>
          <w:rStyle w:val="a7"/>
        </w:rPr>
        <w:footnoteRef/>
      </w:r>
      <w:r>
        <w:rPr>
          <w:rtl/>
        </w:rPr>
        <w:t xml:space="preserve"> </w:t>
      </w:r>
      <w:r>
        <w:rPr>
          <w:rFonts w:hint="cs"/>
          <w:rtl/>
        </w:rPr>
        <w:t xml:space="preserve">וז"ל התוס': </w:t>
      </w:r>
      <w:r w:rsidRPr="009035A3">
        <w:rPr>
          <w:rFonts w:cs="Arial"/>
          <w:rtl/>
        </w:rPr>
        <w:t>ובשם הר"ר שמשון מ"כ שמעתי דלא שייך הכא טעמא דאין אדם מוריש שבועה לבניו דהא אין טעונה שבועה אלא משום דחיישינן דלמא מתפיס לה צררי והיינו כגון שהלך למ"ה דאז מתפיס לה צררי אבל נפל עליו כו' שהוא לפתע פתאום ליכא למיחש להתפסת צררי</w:t>
      </w:r>
      <w:r>
        <w:rPr>
          <w:rFonts w:cs="Arial" w:hint="cs"/>
          <w:rtl/>
        </w:rPr>
        <w:t>.</w:t>
      </w:r>
      <w:r w:rsidRPr="009035A3">
        <w:rPr>
          <w:rFonts w:cs="Arial"/>
          <w:rtl/>
        </w:rPr>
        <w:t xml:space="preserve"> ואין נראה לר"י כי למה אין לחוש שתפסה מחיים כדאמרי' באלמנה נזונית (כתובות צו. ושם) אלמנה שתפסה מטלטלין למזונותיה מה שתפסה תפסה ואמרינן דהיינו למזונותיה אבל לכתובה מפקינן מינה ומיירי כגון שתפסה מחיים דאמרי' בפרק הכותב (שם פה.) התפיסה לאחר מיתה לאו כלום היא ולמה אין לנו לחוש לתפיסה מחיים ואמרינן נמי בהשולח (גיטין ד' לה. ושם) רב לא מגביה כתובה לארמלתא דחייש לצררי</w:t>
      </w:r>
      <w:r>
        <w:rPr>
          <w:rFonts w:hint="cs"/>
          <w:rtl/>
        </w:rPr>
        <w:t>.</w:t>
      </w:r>
    </w:p>
  </w:footnote>
  <w:footnote w:id="1726">
    <w:p w14:paraId="22ACC22C" w14:textId="7DD6E9F1" w:rsidR="004F6510" w:rsidRDefault="004F6510">
      <w:pPr>
        <w:pStyle w:val="a5"/>
        <w:rPr>
          <w:rtl/>
        </w:rPr>
      </w:pPr>
      <w:r>
        <w:rPr>
          <w:rStyle w:val="a7"/>
        </w:rPr>
        <w:footnoteRef/>
      </w:r>
      <w:r>
        <w:rPr>
          <w:rtl/>
        </w:rPr>
        <w:t xml:space="preserve"> </w:t>
      </w:r>
      <w:r>
        <w:rPr>
          <w:rFonts w:cs="Arial" w:hint="cs"/>
          <w:rtl/>
        </w:rPr>
        <w:t xml:space="preserve">וגם </w:t>
      </w:r>
      <w:r w:rsidRPr="00B27B68">
        <w:rPr>
          <w:rFonts w:cs="Arial"/>
          <w:rtl/>
        </w:rPr>
        <w:t>בנ</w:t>
      </w:r>
      <w:r>
        <w:rPr>
          <w:rFonts w:cs="Arial" w:hint="cs"/>
          <w:rtl/>
        </w:rPr>
        <w:t>מוק</w:t>
      </w:r>
      <w:r w:rsidRPr="00B27B68">
        <w:rPr>
          <w:rFonts w:cs="Arial"/>
          <w:rtl/>
        </w:rPr>
        <w:t xml:space="preserve">"י כתב </w:t>
      </w:r>
      <w:r>
        <w:rPr>
          <w:rFonts w:cs="Arial" w:hint="cs"/>
          <w:rtl/>
        </w:rPr>
        <w:t xml:space="preserve">(פ"ק דב"מ </w:t>
      </w:r>
      <w:r w:rsidRPr="00B27B68">
        <w:rPr>
          <w:rFonts w:cs="Arial"/>
          <w:rtl/>
        </w:rPr>
        <w:t>ד. בסוף העמוד) דאין לחלק</w:t>
      </w:r>
      <w:r>
        <w:rPr>
          <w:rFonts w:cs="Arial" w:hint="cs"/>
          <w:rtl/>
        </w:rPr>
        <w:t>,</w:t>
      </w:r>
      <w:r w:rsidRPr="00B27B68">
        <w:rPr>
          <w:rFonts w:cs="Arial"/>
          <w:rtl/>
        </w:rPr>
        <w:t xml:space="preserve"> וכן משמע בתוספות פרק החולץ (לח. ד"ה וב"ה)</w:t>
      </w:r>
      <w:r>
        <w:rPr>
          <w:rFonts w:cs="Arial" w:hint="cs"/>
          <w:rtl/>
        </w:rPr>
        <w:t>,</w:t>
      </w:r>
      <w:r w:rsidRPr="00B27B68">
        <w:rPr>
          <w:rFonts w:cs="Arial"/>
          <w:rtl/>
        </w:rPr>
        <w:t xml:space="preserve"> וכן משמע לעיל סימן צ' (עמ' שפח) גבי נפל הבית עליו ועל אשתו דאין לחלק</w:t>
      </w:r>
      <w:r>
        <w:rPr>
          <w:rFonts w:cs="Arial" w:hint="cs"/>
          <w:rtl/>
        </w:rPr>
        <w:t>.</w:t>
      </w:r>
      <w:r w:rsidRPr="00B27B68">
        <w:rPr>
          <w:rFonts w:cs="Arial"/>
          <w:rtl/>
        </w:rPr>
        <w:t xml:space="preserve"> ועיין בתשובות מהרי"ו </w:t>
      </w:r>
      <w:r>
        <w:rPr>
          <w:rFonts w:cs="Arial" w:hint="cs"/>
          <w:rtl/>
        </w:rPr>
        <w:t>(</w:t>
      </w:r>
      <w:r w:rsidRPr="00B27B68">
        <w:rPr>
          <w:rFonts w:cs="Arial"/>
          <w:rtl/>
        </w:rPr>
        <w:t>סי</w:t>
      </w:r>
      <w:r>
        <w:rPr>
          <w:rFonts w:cs="Arial" w:hint="cs"/>
          <w:rtl/>
        </w:rPr>
        <w:t xml:space="preserve">' </w:t>
      </w:r>
      <w:r w:rsidRPr="00B27B68">
        <w:rPr>
          <w:rFonts w:cs="Arial"/>
          <w:rtl/>
        </w:rPr>
        <w:t>צח</w:t>
      </w:r>
      <w:r>
        <w:rPr>
          <w:rFonts w:cs="Arial" w:hint="cs"/>
          <w:rtl/>
        </w:rPr>
        <w:t>)</w:t>
      </w:r>
      <w:r w:rsidRPr="00B27B68">
        <w:rPr>
          <w:rFonts w:cs="Arial"/>
          <w:rtl/>
        </w:rPr>
        <w:t xml:space="preserve"> ועיין בתשובות מהרי"ל </w:t>
      </w:r>
      <w:r>
        <w:rPr>
          <w:rFonts w:cs="Arial" w:hint="cs"/>
          <w:rtl/>
        </w:rPr>
        <w:t>(</w:t>
      </w:r>
      <w:r w:rsidRPr="00B27B68">
        <w:rPr>
          <w:rFonts w:cs="Arial"/>
          <w:rtl/>
        </w:rPr>
        <w:t>סי</w:t>
      </w:r>
      <w:r>
        <w:rPr>
          <w:rFonts w:cs="Arial" w:hint="cs"/>
          <w:rtl/>
        </w:rPr>
        <w:t>'</w:t>
      </w:r>
      <w:r w:rsidRPr="00B27B68">
        <w:rPr>
          <w:rFonts w:cs="Arial"/>
          <w:rtl/>
        </w:rPr>
        <w:t xml:space="preserve"> סג</w:t>
      </w:r>
      <w:r>
        <w:rPr>
          <w:rFonts w:cs="Arial" w:hint="cs"/>
          <w:rtl/>
        </w:rPr>
        <w:t>), דרכ"מ (אות ז).</w:t>
      </w:r>
    </w:p>
  </w:footnote>
  <w:footnote w:id="1727">
    <w:p w14:paraId="39EEDC4D" w14:textId="20FDC485" w:rsidR="00716830" w:rsidRDefault="00716830">
      <w:pPr>
        <w:pStyle w:val="a5"/>
        <w:rPr>
          <w:rtl/>
        </w:rPr>
      </w:pPr>
      <w:r>
        <w:rPr>
          <w:rStyle w:val="a7"/>
        </w:rPr>
        <w:footnoteRef/>
      </w:r>
      <w:r>
        <w:rPr>
          <w:rtl/>
        </w:rPr>
        <w:t xml:space="preserve"> </w:t>
      </w:r>
      <w:r w:rsidRPr="00716830">
        <w:rPr>
          <w:rFonts w:cs="Arial"/>
          <w:rtl/>
        </w:rPr>
        <w:t>וצריך לדקדק שלא להשביעה אלא בענין שכשתצא שבועה מפיה לא תהא לשקר וכמו שכתבתי בסמוך בשם ר"י</w:t>
      </w:r>
      <w:r>
        <w:rPr>
          <w:rFonts w:hint="cs"/>
          <w:rtl/>
        </w:rPr>
        <w:t>, ב"י.</w:t>
      </w:r>
    </w:p>
  </w:footnote>
  <w:footnote w:id="1728">
    <w:p w14:paraId="7CA48DA3" w14:textId="7A5DD04E" w:rsidR="0040394C" w:rsidRDefault="0040394C">
      <w:pPr>
        <w:pStyle w:val="a5"/>
        <w:rPr>
          <w:rtl/>
        </w:rPr>
      </w:pPr>
      <w:r>
        <w:rPr>
          <w:rStyle w:val="a7"/>
        </w:rPr>
        <w:footnoteRef/>
      </w:r>
      <w:r>
        <w:rPr>
          <w:rtl/>
        </w:rPr>
        <w:t xml:space="preserve"> </w:t>
      </w:r>
      <w:r>
        <w:rPr>
          <w:rFonts w:cs="Arial"/>
          <w:rtl/>
        </w:rPr>
        <w:t>ע' בס' בית מאיר שכתב דיש למנוע מלהשביע שבועה זו כי בלי ספק שאשה שהיתה עם בעלה שנים רבות אי אפשר לה לצאת ידי שבועה זו כי בשעת מעשה נעשה לה כהיתר גמור ושוב הוי מלתא דלא רמיא</w:t>
      </w:r>
      <w:r>
        <w:rPr>
          <w:rFonts w:cs="Arial" w:hint="cs"/>
          <w:rtl/>
        </w:rPr>
        <w:t>,</w:t>
      </w:r>
      <w:r>
        <w:rPr>
          <w:rFonts w:cs="Arial"/>
          <w:rtl/>
        </w:rPr>
        <w:t xml:space="preserve"> ואי איישר חילי אבטלינא</w:t>
      </w:r>
      <w:r>
        <w:rPr>
          <w:rFonts w:cs="Arial" w:hint="cs"/>
          <w:rtl/>
        </w:rPr>
        <w:t>,</w:t>
      </w:r>
      <w:r>
        <w:rPr>
          <w:rFonts w:cs="Arial"/>
          <w:rtl/>
        </w:rPr>
        <w:t xml:space="preserve"> ולכל הפחות הרוצה להשביעה יפרוט שאינו כולל מה שבזבזה על נפשה במותרות מזונות או לבוש ואפילו מתנות קטנות שנתנה פעם לקרוביה או לצדקה</w:t>
      </w:r>
      <w:r>
        <w:rPr>
          <w:rFonts w:cs="Arial" w:hint="cs"/>
          <w:rtl/>
        </w:rPr>
        <w:t>,</w:t>
      </w:r>
      <w:r>
        <w:rPr>
          <w:rFonts w:cs="Arial"/>
          <w:rtl/>
        </w:rPr>
        <w:t xml:space="preserve"> אלא שלא בזבזה במתנה מרובה סך מסויים עשרה ר"ט לפ"ע המדינה ולפ"ע עושר בעלה. אבל סתם לשון זה שלא בזבזה כלום בלא רשות בעלה ודאי אין לנו עכ"ד</w:t>
      </w:r>
      <w:r>
        <w:rPr>
          <w:rFonts w:hint="cs"/>
          <w:rtl/>
        </w:rPr>
        <w:t>, פת"ש (סק"ו).</w:t>
      </w:r>
    </w:p>
  </w:footnote>
  <w:footnote w:id="1729">
    <w:p w14:paraId="622094F0" w14:textId="77777777" w:rsidR="00FF6F73" w:rsidRDefault="00FF6F73" w:rsidP="00FF6F73">
      <w:pPr>
        <w:pStyle w:val="a5"/>
        <w:rPr>
          <w:rtl/>
        </w:rPr>
      </w:pPr>
      <w:r>
        <w:rPr>
          <w:rStyle w:val="a7"/>
        </w:rPr>
        <w:footnoteRef/>
      </w:r>
      <w:r>
        <w:rPr>
          <w:rtl/>
        </w:rPr>
        <w:t xml:space="preserve"> </w:t>
      </w:r>
      <w:r w:rsidRPr="00574E2D">
        <w:rPr>
          <w:rFonts w:cs="Arial"/>
          <w:rtl/>
        </w:rPr>
        <w:t>וכתב עוד הרשב"א בתשובה (ח"ד סי' קמב) ולא עוד אלא כל זמן שהיא נושאת ונותנת בתוך הבית אפילו היו אונות ושטרות יוצאות על שמה אינה נאמנת לומר שלי הן עד שתביא ראיה על דבריה שהיו לה נכסים ממקום אחר</w:t>
      </w:r>
      <w:r>
        <w:rPr>
          <w:rFonts w:hint="cs"/>
          <w:rtl/>
        </w:rPr>
        <w:t>, ב"י.</w:t>
      </w:r>
    </w:p>
  </w:footnote>
  <w:footnote w:id="1730">
    <w:p w14:paraId="2717B761" w14:textId="67644F83" w:rsidR="007C6819" w:rsidRDefault="007C6819">
      <w:pPr>
        <w:pStyle w:val="a5"/>
      </w:pPr>
      <w:r>
        <w:rPr>
          <w:rStyle w:val="a7"/>
        </w:rPr>
        <w:footnoteRef/>
      </w:r>
      <w:r>
        <w:rPr>
          <w:rtl/>
        </w:rPr>
        <w:t xml:space="preserve"> </w:t>
      </w:r>
      <w:r w:rsidR="00574E2D" w:rsidRPr="004B3951">
        <w:rPr>
          <w:rFonts w:cs="Arial"/>
          <w:rtl/>
        </w:rPr>
        <w:t>ומיהו אם אומרת שנתנו לה במתנת שכיב מרע משמע דנאמנת לדברי הרמב"ם (זכיה פ"י ה"ב) והרא"ש (שו"ת עה סי' ב, כלל פג סי' ד) שסוברים שאם נתנם במתנת שכיב מרע אין צריך לומר קני לך איהו וכל שעבודא דאית ביה</w:t>
      </w:r>
      <w:r w:rsidR="00574E2D">
        <w:rPr>
          <w:rFonts w:cs="Arial" w:hint="cs"/>
          <w:rtl/>
        </w:rPr>
        <w:t>,</w:t>
      </w:r>
      <w:r w:rsidR="00574E2D" w:rsidRPr="004B3951">
        <w:rPr>
          <w:rFonts w:cs="Arial"/>
          <w:rtl/>
        </w:rPr>
        <w:t xml:space="preserve"> וכמו שיתבאר בטור חשן משפט (סי' רמח סט"ז)</w:t>
      </w:r>
      <w:r w:rsidR="00574E2D">
        <w:rPr>
          <w:rFonts w:cs="Arial" w:hint="cs"/>
          <w:rtl/>
        </w:rPr>
        <w:t xml:space="preserve">, </w:t>
      </w:r>
      <w:r w:rsidR="00574E2D" w:rsidRPr="00574E2D">
        <w:rPr>
          <w:rFonts w:cs="Arial" w:hint="cs"/>
          <w:b/>
          <w:bCs/>
          <w:rtl/>
        </w:rPr>
        <w:t>ב"י</w:t>
      </w:r>
      <w:r w:rsidR="00574E2D">
        <w:rPr>
          <w:rFonts w:cs="Arial" w:hint="cs"/>
          <w:rtl/>
        </w:rPr>
        <w:t xml:space="preserve">.     </w:t>
      </w:r>
      <w:r w:rsidR="00B656BA" w:rsidRPr="00B656BA">
        <w:rPr>
          <w:rFonts w:cs="Arial"/>
          <w:rtl/>
        </w:rPr>
        <w:t>ופשוט הוא דרצה לומר דנאמנת אם יש לה מגו אבל בלא מגו לא עדיף שטר חוב הנקנה במתנת שכיב מרע ממעות הנקנים במסירה לחוד</w:t>
      </w:r>
      <w:r w:rsidR="00574E2D">
        <w:rPr>
          <w:rFonts w:cs="Arial" w:hint="cs"/>
          <w:rtl/>
        </w:rPr>
        <w:t xml:space="preserve">, </w:t>
      </w:r>
      <w:r w:rsidR="00574E2D" w:rsidRPr="00574E2D">
        <w:rPr>
          <w:rFonts w:cs="Arial" w:hint="cs"/>
          <w:b/>
          <w:bCs/>
          <w:rtl/>
        </w:rPr>
        <w:t>דרכ"מ</w:t>
      </w:r>
      <w:r w:rsidR="00574E2D">
        <w:rPr>
          <w:rFonts w:cs="Arial" w:hint="cs"/>
          <w:rtl/>
        </w:rPr>
        <w:t xml:space="preserve"> (אות ח).</w:t>
      </w:r>
    </w:p>
  </w:footnote>
  <w:footnote w:id="1731">
    <w:p w14:paraId="2244C9D0" w14:textId="0282F358" w:rsidR="002721C2" w:rsidRDefault="002721C2">
      <w:pPr>
        <w:pStyle w:val="a5"/>
        <w:rPr>
          <w:rtl/>
        </w:rPr>
      </w:pPr>
      <w:r>
        <w:rPr>
          <w:rStyle w:val="a7"/>
        </w:rPr>
        <w:footnoteRef/>
      </w:r>
      <w:r>
        <w:rPr>
          <w:rtl/>
        </w:rPr>
        <w:t xml:space="preserve"> </w:t>
      </w:r>
      <w:r w:rsidRPr="00574E2D">
        <w:rPr>
          <w:rFonts w:cs="Arial"/>
          <w:rtl/>
        </w:rPr>
        <w:t>וכן כתב הרשב"א בתשובה (ח"ד סי' קמב) אם הבתים ידועים לבעל</w:t>
      </w:r>
      <w:r>
        <w:rPr>
          <w:rFonts w:cs="Arial" w:hint="cs"/>
          <w:rtl/>
        </w:rPr>
        <w:t>,</w:t>
      </w:r>
      <w:r w:rsidRPr="00574E2D">
        <w:rPr>
          <w:rFonts w:cs="Arial"/>
          <w:rtl/>
        </w:rPr>
        <w:t xml:space="preserve"> אע</w:t>
      </w:r>
      <w:r>
        <w:rPr>
          <w:rFonts w:cs="Arial" w:hint="cs"/>
          <w:rtl/>
        </w:rPr>
        <w:t>"</w:t>
      </w:r>
      <w:r w:rsidRPr="00574E2D">
        <w:rPr>
          <w:rFonts w:cs="Arial"/>
          <w:rtl/>
        </w:rPr>
        <w:t>פ שהחזיקה האלמנה שנים הרבה אין לה חזקה לפי שהאלמנה יש לה דירה במדור שהיה בעלה דר מתנאי הכתובה (כתובות נב:)</w:t>
      </w:r>
      <w:r>
        <w:rPr>
          <w:rFonts w:cs="Arial" w:hint="cs"/>
          <w:rtl/>
        </w:rPr>
        <w:t>, ב"י.</w:t>
      </w:r>
    </w:p>
  </w:footnote>
  <w:footnote w:id="1732">
    <w:p w14:paraId="71F099A7" w14:textId="77777777" w:rsidR="00A13F3F" w:rsidRDefault="00A13F3F" w:rsidP="00A13F3F">
      <w:pPr>
        <w:pStyle w:val="a5"/>
      </w:pPr>
      <w:r>
        <w:rPr>
          <w:rStyle w:val="a7"/>
        </w:rPr>
        <w:footnoteRef/>
      </w:r>
      <w:r>
        <w:rPr>
          <w:rtl/>
        </w:rPr>
        <w:t xml:space="preserve"> </w:t>
      </w:r>
      <w:r>
        <w:rPr>
          <w:rFonts w:cs="Arial" w:hint="cs"/>
          <w:rtl/>
        </w:rPr>
        <w:t xml:space="preserve">וז"ל: </w:t>
      </w:r>
      <w:r w:rsidRPr="00DE7003">
        <w:rPr>
          <w:rFonts w:cs="Arial"/>
          <w:rtl/>
        </w:rPr>
        <w:t>אלמנה זו</w:t>
      </w:r>
      <w:r w:rsidRPr="00DE7003">
        <w:rPr>
          <w:rFonts w:cs="Arial" w:hint="cs"/>
          <w:rtl/>
        </w:rPr>
        <w:t>,</w:t>
      </w:r>
      <w:r w:rsidRPr="00DE7003">
        <w:rPr>
          <w:rFonts w:cs="Arial"/>
          <w:rtl/>
        </w:rPr>
        <w:t xml:space="preserve"> אלו נשבעה אפילו בסוף </w:t>
      </w:r>
      <w:r w:rsidRPr="00DE7003">
        <w:rPr>
          <w:rFonts w:cs="Arial" w:hint="cs"/>
          <w:rtl/>
        </w:rPr>
        <w:t xml:space="preserve">- </w:t>
      </w:r>
      <w:r w:rsidRPr="00DE7003">
        <w:rPr>
          <w:rFonts w:cs="Arial"/>
          <w:rtl/>
        </w:rPr>
        <w:t>ממכרה ממכר ומתנתה מתנה</w:t>
      </w:r>
      <w:r w:rsidRPr="00DE7003">
        <w:rPr>
          <w:rFonts w:cs="Arial" w:hint="cs"/>
          <w:rtl/>
        </w:rPr>
        <w:t>,</w:t>
      </w:r>
      <w:r w:rsidRPr="00DE7003">
        <w:rPr>
          <w:rFonts w:cs="Arial"/>
          <w:rtl/>
        </w:rPr>
        <w:t xml:space="preserve"> אע</w:t>
      </w:r>
      <w:r w:rsidRPr="00DE7003">
        <w:rPr>
          <w:rFonts w:cs="Arial" w:hint="cs"/>
          <w:rtl/>
        </w:rPr>
        <w:t>"</w:t>
      </w:r>
      <w:r w:rsidRPr="00DE7003">
        <w:rPr>
          <w:rFonts w:cs="Arial"/>
          <w:rtl/>
        </w:rPr>
        <w:t>פ שבשעה שמכרה או שנתנה עדיין לא היתה ראויה לגבות. דמכל מקום כיון שנשבעה לבסוף ממכרה ומתנתה קיימין. וכן כתב הרב אלפסי ז"ל בתשובה</w:t>
      </w:r>
      <w:r w:rsidRPr="00DE7003">
        <w:rPr>
          <w:rFonts w:cs="Arial" w:hint="cs"/>
          <w:rtl/>
        </w:rPr>
        <w:t xml:space="preserve"> (סי' נה)</w:t>
      </w:r>
      <w:r>
        <w:rPr>
          <w:rFonts w:cs="Arial" w:hint="cs"/>
          <w:rtl/>
        </w:rPr>
        <w:t>...</w:t>
      </w:r>
    </w:p>
  </w:footnote>
  <w:footnote w:id="1733">
    <w:p w14:paraId="0E67C652" w14:textId="77777777" w:rsidR="00A13F3F" w:rsidRDefault="00A13F3F" w:rsidP="00A13F3F">
      <w:pPr>
        <w:pStyle w:val="a5"/>
      </w:pPr>
      <w:r>
        <w:rPr>
          <w:rStyle w:val="a7"/>
        </w:rPr>
        <w:footnoteRef/>
      </w:r>
      <w:r>
        <w:rPr>
          <w:rtl/>
        </w:rPr>
        <w:t xml:space="preserve"> </w:t>
      </w:r>
      <w:r w:rsidRPr="00DE7003">
        <w:rPr>
          <w:rFonts w:cs="Arial"/>
          <w:rtl/>
        </w:rPr>
        <w:t>ודוקא בששמו לה ב"ד הדיוטות</w:t>
      </w:r>
      <w:r w:rsidRPr="00DE7003">
        <w:rPr>
          <w:rFonts w:cs="Arial" w:hint="cs"/>
          <w:rtl/>
        </w:rPr>
        <w:t>,</w:t>
      </w:r>
      <w:r w:rsidRPr="00DE7003">
        <w:rPr>
          <w:rFonts w:cs="Arial"/>
          <w:rtl/>
        </w:rPr>
        <w:t xml:space="preserve"> וכדאיתמר בפרק אלו מציאות</w:t>
      </w:r>
      <w:r w:rsidRPr="00DE7003">
        <w:rPr>
          <w:rFonts w:cs="Arial" w:hint="cs"/>
          <w:rtl/>
        </w:rPr>
        <w:t xml:space="preserve"> </w:t>
      </w:r>
      <w:r w:rsidRPr="00DE7003">
        <w:rPr>
          <w:rFonts w:cs="Arial"/>
          <w:rtl/>
        </w:rPr>
        <w:t>(ב"מ לב.)</w:t>
      </w:r>
      <w:r>
        <w:rPr>
          <w:rFonts w:cs="Arial" w:hint="cs"/>
          <w:rtl/>
        </w:rPr>
        <w:t xml:space="preserve">, </w:t>
      </w:r>
      <w:r w:rsidRPr="00BA2ED2">
        <w:rPr>
          <w:rFonts w:cs="Arial" w:hint="cs"/>
          <w:b/>
          <w:bCs/>
          <w:rtl/>
        </w:rPr>
        <w:t>רשב"א</w:t>
      </w:r>
      <w:r>
        <w:rPr>
          <w:rFonts w:cs="Arial" w:hint="cs"/>
          <w:rtl/>
        </w:rPr>
        <w:t xml:space="preserve"> (ח"ב סי' רכב)</w:t>
      </w:r>
      <w:r w:rsidRPr="00DE7003">
        <w:rPr>
          <w:rFonts w:cs="Arial"/>
          <w:rtl/>
        </w:rPr>
        <w:t>.</w:t>
      </w:r>
      <w:r>
        <w:rPr>
          <w:rFonts w:cs="Arial" w:hint="cs"/>
          <w:rtl/>
        </w:rPr>
        <w:t xml:space="preserve"> </w:t>
      </w:r>
      <w:r>
        <w:rPr>
          <w:rFonts w:cs="Arial"/>
          <w:rtl/>
        </w:rPr>
        <w:t>ובתשובה אחרת (ח"ד סי' קמב) כתב שיש לו על דברי הרי"ף בדבר זה כמה גמגומין</w:t>
      </w:r>
      <w:r>
        <w:rPr>
          <w:rFonts w:cs="Arial" w:hint="cs"/>
          <w:rtl/>
        </w:rPr>
        <w:t>,</w:t>
      </w:r>
      <w:r>
        <w:rPr>
          <w:rFonts w:cs="Arial"/>
          <w:rtl/>
        </w:rPr>
        <w:t xml:space="preserve"> ואף הרב ז"ל נראה שלא כתב כן אלא כשנשבעה לבסוף על כתובתה שע"ז נשאלה שאלה מלפניו עכ"ל. ועיין בתשובות הרשב"א (ח"א) סימן אלף וע"ח</w:t>
      </w:r>
      <w:r>
        <w:rPr>
          <w:rFonts w:cs="Arial" w:hint="cs"/>
          <w:rtl/>
        </w:rPr>
        <w:t xml:space="preserve">, </w:t>
      </w:r>
      <w:r w:rsidRPr="00BA2ED2">
        <w:rPr>
          <w:rFonts w:cs="Arial" w:hint="cs"/>
          <w:b/>
          <w:bCs/>
          <w:rtl/>
        </w:rPr>
        <w:t>ב"י</w:t>
      </w:r>
      <w:r>
        <w:rPr>
          <w:rFonts w:cs="Arial" w:hint="cs"/>
          <w:rtl/>
        </w:rPr>
        <w:t>.</w:t>
      </w:r>
    </w:p>
  </w:footnote>
  <w:footnote w:id="1734">
    <w:p w14:paraId="0CA8D79C" w14:textId="6CA95410" w:rsidR="001A50BC" w:rsidRDefault="001A50BC">
      <w:pPr>
        <w:pStyle w:val="a5"/>
      </w:pPr>
      <w:r>
        <w:rPr>
          <w:rStyle w:val="a7"/>
        </w:rPr>
        <w:footnoteRef/>
      </w:r>
      <w:r>
        <w:rPr>
          <w:rtl/>
        </w:rPr>
        <w:t xml:space="preserve"> </w:t>
      </w:r>
      <w:r>
        <w:rPr>
          <w:rFonts w:cs="Arial"/>
          <w:rtl/>
        </w:rPr>
        <w:t xml:space="preserve">ז"ל בתשובה </w:t>
      </w:r>
      <w:r>
        <w:rPr>
          <w:rFonts w:cs="Arial" w:hint="cs"/>
          <w:rtl/>
        </w:rPr>
        <w:t>(</w:t>
      </w:r>
      <w:r>
        <w:rPr>
          <w:rFonts w:cs="Arial"/>
          <w:rtl/>
        </w:rPr>
        <w:t>כלל נ סי</w:t>
      </w:r>
      <w:r>
        <w:rPr>
          <w:rFonts w:cs="Arial" w:hint="cs"/>
          <w:rtl/>
        </w:rPr>
        <w:t>'</w:t>
      </w:r>
      <w:r>
        <w:rPr>
          <w:rFonts w:cs="Arial"/>
          <w:rtl/>
        </w:rPr>
        <w:t xml:space="preserve"> ו</w:t>
      </w:r>
      <w:r>
        <w:rPr>
          <w:rFonts w:cs="Arial" w:hint="cs"/>
          <w:rtl/>
        </w:rPr>
        <w:t>):</w:t>
      </w:r>
      <w:r>
        <w:rPr>
          <w:rFonts w:cs="Arial"/>
          <w:rtl/>
        </w:rPr>
        <w:t xml:space="preserve"> ראובן שמת והניח בנים ובנות</w:t>
      </w:r>
      <w:r>
        <w:rPr>
          <w:rFonts w:cs="Arial" w:hint="cs"/>
          <w:rtl/>
        </w:rPr>
        <w:t>,</w:t>
      </w:r>
      <w:r>
        <w:rPr>
          <w:rFonts w:cs="Arial"/>
          <w:rtl/>
        </w:rPr>
        <w:t xml:space="preserve"> ואלמנתו היתה נושאת ונותנת בנכסים</w:t>
      </w:r>
      <w:r>
        <w:rPr>
          <w:rFonts w:cs="Arial" w:hint="cs"/>
          <w:rtl/>
        </w:rPr>
        <w:t>,</w:t>
      </w:r>
      <w:r>
        <w:rPr>
          <w:rFonts w:cs="Arial"/>
          <w:rtl/>
        </w:rPr>
        <w:t xml:space="preserve"> ונתנה מהם מתנות אחרי מותו</w:t>
      </w:r>
      <w:r>
        <w:rPr>
          <w:rFonts w:cs="Arial" w:hint="cs"/>
          <w:rtl/>
        </w:rPr>
        <w:t>,</w:t>
      </w:r>
      <w:r>
        <w:rPr>
          <w:rFonts w:cs="Arial"/>
          <w:rtl/>
        </w:rPr>
        <w:t xml:space="preserve"> ומתה קודם שהשביעוה על כתובתה</w:t>
      </w:r>
      <w:r>
        <w:rPr>
          <w:rFonts w:cs="Arial" w:hint="cs"/>
          <w:rtl/>
        </w:rPr>
        <w:t xml:space="preserve"> -</w:t>
      </w:r>
      <w:r>
        <w:rPr>
          <w:rFonts w:cs="Arial"/>
          <w:rtl/>
        </w:rPr>
        <w:t xml:space="preserve"> מתנותיה קיימות במטלטלי</w:t>
      </w:r>
      <w:r>
        <w:rPr>
          <w:rFonts w:cs="Arial" w:hint="cs"/>
          <w:rtl/>
        </w:rPr>
        <w:t>,</w:t>
      </w:r>
      <w:r>
        <w:rPr>
          <w:rFonts w:cs="Arial"/>
          <w:rtl/>
        </w:rPr>
        <w:t xml:space="preserve"> אבל במקרקעי בחזקת יורשים קיימי ואין בידה לתתם עד שיגבו לה אותם בית דין בכתובתה עכ"ל</w:t>
      </w:r>
      <w:r>
        <w:rPr>
          <w:rFonts w:cs="Arial" w:hint="cs"/>
          <w:rtl/>
        </w:rPr>
        <w:t>.</w:t>
      </w:r>
      <w:r>
        <w:rPr>
          <w:rFonts w:cs="Arial"/>
          <w:rtl/>
        </w:rPr>
        <w:t xml:space="preserve"> </w:t>
      </w:r>
      <w:r>
        <w:rPr>
          <w:rFonts w:cs="Arial" w:hint="cs"/>
          <w:rtl/>
        </w:rPr>
        <w:t xml:space="preserve">   </w:t>
      </w:r>
      <w:r>
        <w:rPr>
          <w:rFonts w:cs="Arial"/>
          <w:rtl/>
        </w:rPr>
        <w:t>ו</w:t>
      </w:r>
      <w:r>
        <w:rPr>
          <w:rFonts w:cs="Arial" w:hint="cs"/>
          <w:rtl/>
        </w:rPr>
        <w:t xml:space="preserve">כתב </w:t>
      </w:r>
      <w:r w:rsidRPr="00333760">
        <w:rPr>
          <w:rFonts w:cs="Arial" w:hint="cs"/>
          <w:b/>
          <w:bCs/>
          <w:rtl/>
        </w:rPr>
        <w:t>הב"י</w:t>
      </w:r>
      <w:r>
        <w:rPr>
          <w:rFonts w:cs="Arial" w:hint="cs"/>
          <w:rtl/>
        </w:rPr>
        <w:t xml:space="preserve"> ד</w:t>
      </w:r>
      <w:r>
        <w:rPr>
          <w:rFonts w:cs="Arial"/>
          <w:rtl/>
        </w:rPr>
        <w:t>איפשר שאין תשובה זו סותרת למאי דכתב דמשמע מדברי רב אלפס דאפילו במקרקעי מכרה ומתנתה קיימת</w:t>
      </w:r>
      <w:r>
        <w:rPr>
          <w:rFonts w:cs="Arial" w:hint="cs"/>
          <w:rtl/>
        </w:rPr>
        <w:t>,</w:t>
      </w:r>
      <w:r>
        <w:rPr>
          <w:rFonts w:cs="Arial"/>
          <w:rtl/>
        </w:rPr>
        <w:t xml:space="preserve"> דשאני התם שאח</w:t>
      </w:r>
      <w:r>
        <w:rPr>
          <w:rFonts w:cs="Arial" w:hint="cs"/>
          <w:rtl/>
        </w:rPr>
        <w:t>"</w:t>
      </w:r>
      <w:r>
        <w:rPr>
          <w:rFonts w:cs="Arial"/>
          <w:rtl/>
        </w:rPr>
        <w:t>כ השביעוה וניכו לה בכתובתה אותו קרקע שמכרה או נתנה</w:t>
      </w:r>
      <w:r>
        <w:rPr>
          <w:rFonts w:cs="Arial" w:hint="cs"/>
          <w:rtl/>
        </w:rPr>
        <w:t>.</w:t>
      </w:r>
      <w:r>
        <w:rPr>
          <w:rFonts w:cs="Arial"/>
          <w:rtl/>
        </w:rPr>
        <w:t xml:space="preserve"> ובתשוב</w:t>
      </w:r>
      <w:r>
        <w:rPr>
          <w:rFonts w:cs="Arial" w:hint="cs"/>
          <w:rtl/>
        </w:rPr>
        <w:t>ה</w:t>
      </w:r>
      <w:r>
        <w:rPr>
          <w:rFonts w:cs="Arial"/>
          <w:rtl/>
        </w:rPr>
        <w:t xml:space="preserve"> הנז</w:t>
      </w:r>
      <w:r>
        <w:rPr>
          <w:rFonts w:cs="Arial" w:hint="cs"/>
          <w:rtl/>
        </w:rPr>
        <w:t>כרת</w:t>
      </w:r>
      <w:r>
        <w:rPr>
          <w:rFonts w:cs="Arial"/>
          <w:rtl/>
        </w:rPr>
        <w:t xml:space="preserve"> בכלל הנזכר (סי' ח) כתב אלמנה שנתנה מנכסי בעלה לאחר</w:t>
      </w:r>
      <w:r>
        <w:rPr>
          <w:rFonts w:cs="Arial" w:hint="cs"/>
          <w:rtl/>
        </w:rPr>
        <w:t>,</w:t>
      </w:r>
      <w:r>
        <w:rPr>
          <w:rFonts w:cs="Arial"/>
          <w:rtl/>
        </w:rPr>
        <w:t xml:space="preserve"> קודם שנשבעה על כתובתה</w:t>
      </w:r>
      <w:r>
        <w:rPr>
          <w:rFonts w:cs="Arial" w:hint="cs"/>
          <w:rtl/>
        </w:rPr>
        <w:t>,</w:t>
      </w:r>
      <w:r>
        <w:rPr>
          <w:rFonts w:cs="Arial"/>
          <w:rtl/>
        </w:rPr>
        <w:t xml:space="preserve"> והגבוה ב"ד הראוי לה לגבות </w:t>
      </w:r>
      <w:r>
        <w:rPr>
          <w:rFonts w:cs="Arial" w:hint="cs"/>
          <w:rtl/>
        </w:rPr>
        <w:t xml:space="preserve">- </w:t>
      </w:r>
      <w:r>
        <w:rPr>
          <w:rFonts w:cs="Arial"/>
          <w:rtl/>
        </w:rPr>
        <w:t>אין מתנתה מתנה</w:t>
      </w:r>
      <w:r>
        <w:rPr>
          <w:rFonts w:cs="Arial" w:hint="cs"/>
          <w:rtl/>
        </w:rPr>
        <w:t>,</w:t>
      </w:r>
      <w:r>
        <w:rPr>
          <w:rFonts w:cs="Arial"/>
          <w:rtl/>
        </w:rPr>
        <w:t xml:space="preserve"> דאין לה בגוף נכסי בעלה כלום אלא שעבוד בעלמא</w:t>
      </w:r>
      <w:r>
        <w:rPr>
          <w:rFonts w:cs="Arial" w:hint="cs"/>
          <w:rtl/>
        </w:rPr>
        <w:t>,</w:t>
      </w:r>
      <w:r>
        <w:rPr>
          <w:rFonts w:cs="Arial"/>
          <w:rtl/>
        </w:rPr>
        <w:t xml:space="preserve"> ואי בעו יורשים מסלקי לה בזוזי</w:t>
      </w:r>
      <w:r>
        <w:rPr>
          <w:rFonts w:cs="Arial" w:hint="cs"/>
          <w:rtl/>
        </w:rPr>
        <w:t>.</w:t>
      </w:r>
      <w:r>
        <w:rPr>
          <w:rFonts w:cs="Arial"/>
          <w:rtl/>
        </w:rPr>
        <w:t xml:space="preserve"> וראיה מפרק כל שעה (פסחים ל:) בעל חוב אמר אביי למפרע הוא גובה וכו'</w:t>
      </w:r>
      <w:r>
        <w:rPr>
          <w:rFonts w:cs="Arial" w:hint="cs"/>
          <w:rtl/>
        </w:rPr>
        <w:t>,</w:t>
      </w:r>
      <w:r>
        <w:rPr>
          <w:rFonts w:cs="Arial"/>
          <w:rtl/>
        </w:rPr>
        <w:t xml:space="preserve"> הכי נמי אין לאשה על נכסי בעלה אלא שעבוד כתובתה כשאר בעל חוב</w:t>
      </w:r>
      <w:r>
        <w:rPr>
          <w:rFonts w:cs="Arial" w:hint="cs"/>
          <w:rtl/>
        </w:rPr>
        <w:t>,</w:t>
      </w:r>
      <w:r>
        <w:rPr>
          <w:rFonts w:cs="Arial"/>
          <w:rtl/>
        </w:rPr>
        <w:t xml:space="preserve"> ועוד גריע טפי דאינה נפרעת אלא בשבועה ושמא לא תשבע</w:t>
      </w:r>
      <w:r>
        <w:rPr>
          <w:rFonts w:cs="Arial" w:hint="cs"/>
          <w:rtl/>
        </w:rPr>
        <w:t>,</w:t>
      </w:r>
      <w:r>
        <w:rPr>
          <w:rFonts w:cs="Arial"/>
          <w:rtl/>
        </w:rPr>
        <w:t xml:space="preserve"> הילכך אפילו נשבע</w:t>
      </w:r>
      <w:r>
        <w:rPr>
          <w:rFonts w:cs="Arial" w:hint="cs"/>
          <w:rtl/>
        </w:rPr>
        <w:t>ה</w:t>
      </w:r>
      <w:r>
        <w:rPr>
          <w:rFonts w:cs="Arial"/>
          <w:rtl/>
        </w:rPr>
        <w:t xml:space="preserve"> אח"כ לא חיילא המתנה למפרע ע"כ</w:t>
      </w:r>
      <w:r>
        <w:rPr>
          <w:rFonts w:cs="Arial" w:hint="cs"/>
          <w:sz w:val="16"/>
          <w:szCs w:val="16"/>
          <w:rtl/>
        </w:rPr>
        <w:t xml:space="preserve"> [לשון הרא"ש]</w:t>
      </w:r>
      <w:r>
        <w:rPr>
          <w:rFonts w:cs="Arial"/>
          <w:rtl/>
        </w:rPr>
        <w:t>. ואיפשר שמה שכתב בתשובה ראשונה דבמטלטלי מתנתה קיימת אע"פ שלא נשבעה</w:t>
      </w:r>
      <w:r>
        <w:rPr>
          <w:rFonts w:cs="Arial" w:hint="cs"/>
          <w:rtl/>
        </w:rPr>
        <w:t xml:space="preserve"> -</w:t>
      </w:r>
      <w:r>
        <w:rPr>
          <w:rFonts w:cs="Arial"/>
          <w:rtl/>
        </w:rPr>
        <w:t xml:space="preserve"> במטלטלין הידועים שאינה יכולה להטמין ולהכחיש היא בדוקא</w:t>
      </w:r>
      <w:r>
        <w:rPr>
          <w:rFonts w:cs="Arial" w:hint="cs"/>
          <w:rtl/>
        </w:rPr>
        <w:t>,</w:t>
      </w:r>
      <w:r>
        <w:rPr>
          <w:rFonts w:cs="Arial"/>
          <w:rtl/>
        </w:rPr>
        <w:t xml:space="preserve"> אבל במטלטלין הידועים שלא היתה יכולה לטעון אין בידי כלום מודה דאין מתנתה כלום. ועוד אני אומר שאיפשר לומר שמה שכתב דבמטלטלי מתנתה קיימת</w:t>
      </w:r>
      <w:r>
        <w:rPr>
          <w:rFonts w:cs="Arial" w:hint="cs"/>
          <w:rtl/>
        </w:rPr>
        <w:t>,</w:t>
      </w:r>
      <w:r>
        <w:rPr>
          <w:rFonts w:cs="Arial"/>
          <w:rtl/>
        </w:rPr>
        <w:t xml:space="preserve"> לא בשלא נשבעת כלל מיירי</w:t>
      </w:r>
      <w:r>
        <w:rPr>
          <w:rFonts w:cs="Arial" w:hint="cs"/>
          <w:rtl/>
        </w:rPr>
        <w:t>,</w:t>
      </w:r>
      <w:r>
        <w:rPr>
          <w:rFonts w:cs="Arial"/>
          <w:rtl/>
        </w:rPr>
        <w:t xml:space="preserve"> דאם כן לא היה במתנתה ממש מהטעמים שהוכיח בתשובה השנית</w:t>
      </w:r>
      <w:r>
        <w:rPr>
          <w:rFonts w:cs="Arial" w:hint="cs"/>
          <w:rtl/>
        </w:rPr>
        <w:t>,</w:t>
      </w:r>
      <w:r>
        <w:rPr>
          <w:rFonts w:cs="Arial"/>
          <w:rtl/>
        </w:rPr>
        <w:t xml:space="preserve"> אלא בשנשבעה מעצמה מיירי אלא שלא השביעוה בית דין ולא הגבו לה אותם נכסים</w:t>
      </w:r>
      <w:r>
        <w:rPr>
          <w:rFonts w:cs="Arial" w:hint="cs"/>
          <w:rtl/>
        </w:rPr>
        <w:t>.</w:t>
      </w:r>
      <w:r>
        <w:rPr>
          <w:rFonts w:cs="Arial"/>
          <w:rtl/>
        </w:rPr>
        <w:t xml:space="preserve"> ומדקדוק לשונו יש ללמוד כן</w:t>
      </w:r>
      <w:r>
        <w:rPr>
          <w:rFonts w:cs="Arial" w:hint="cs"/>
          <w:rtl/>
        </w:rPr>
        <w:t xml:space="preserve">. עכ"ל הב"י.     </w:t>
      </w:r>
    </w:p>
  </w:footnote>
  <w:footnote w:id="1735">
    <w:p w14:paraId="24FE0AA8" w14:textId="572C5F74" w:rsidR="00C71A82" w:rsidRDefault="00C71A82">
      <w:pPr>
        <w:pStyle w:val="a5"/>
        <w:rPr>
          <w:rtl/>
        </w:rPr>
      </w:pPr>
      <w:r>
        <w:rPr>
          <w:rStyle w:val="a7"/>
        </w:rPr>
        <w:footnoteRef/>
      </w:r>
      <w:r>
        <w:rPr>
          <w:rtl/>
        </w:rPr>
        <w:t xml:space="preserve"> </w:t>
      </w:r>
      <w:r>
        <w:rPr>
          <w:rFonts w:cs="Arial" w:hint="cs"/>
          <w:rtl/>
        </w:rPr>
        <w:t xml:space="preserve">כתב הטור וז"ל: </w:t>
      </w:r>
      <w:r w:rsidRPr="007F14E0">
        <w:rPr>
          <w:rFonts w:cs="Arial"/>
          <w:rtl/>
        </w:rPr>
        <w:t>כתב רי"ף שאם מכרה או נתנה מנכסי יתומים קודם שנשבעה</w:t>
      </w:r>
      <w:r>
        <w:rPr>
          <w:rFonts w:cs="Arial" w:hint="cs"/>
          <w:rtl/>
        </w:rPr>
        <w:t>,</w:t>
      </w:r>
      <w:r w:rsidRPr="007F14E0">
        <w:rPr>
          <w:rFonts w:cs="Arial"/>
          <w:rtl/>
        </w:rPr>
        <w:t xml:space="preserve"> מה שמכרה ונתנה קיים</w:t>
      </w:r>
      <w:r>
        <w:rPr>
          <w:rFonts w:cs="Arial" w:hint="cs"/>
          <w:rtl/>
        </w:rPr>
        <w:t>,</w:t>
      </w:r>
      <w:r w:rsidRPr="007F14E0">
        <w:rPr>
          <w:rFonts w:cs="Arial"/>
          <w:rtl/>
        </w:rPr>
        <w:t xml:space="preserve"> ומנכין אותו בכתובתה</w:t>
      </w:r>
      <w:r>
        <w:rPr>
          <w:rFonts w:cs="Arial" w:hint="cs"/>
          <w:rtl/>
        </w:rPr>
        <w:t>.</w:t>
      </w:r>
      <w:r w:rsidRPr="007F14E0">
        <w:rPr>
          <w:rFonts w:cs="Arial"/>
          <w:rtl/>
        </w:rPr>
        <w:t xml:space="preserve"> ומשמע מדבריו אפילו מקרקע</w:t>
      </w:r>
      <w:r>
        <w:rPr>
          <w:rFonts w:cs="Arial" w:hint="cs"/>
          <w:rtl/>
        </w:rPr>
        <w:t>.</w:t>
      </w:r>
      <w:r w:rsidRPr="007F14E0">
        <w:rPr>
          <w:rFonts w:cs="Arial"/>
          <w:rtl/>
        </w:rPr>
        <w:t xml:space="preserve"> ו</w:t>
      </w:r>
      <w:r>
        <w:rPr>
          <w:rFonts w:cs="Arial" w:hint="cs"/>
          <w:rtl/>
        </w:rPr>
        <w:t>אדוני אבי</w:t>
      </w:r>
      <w:r>
        <w:rPr>
          <w:rFonts w:hint="cs"/>
          <w:rtl/>
        </w:rPr>
        <w:t>-...</w:t>
      </w:r>
    </w:p>
  </w:footnote>
  <w:footnote w:id="1736">
    <w:p w14:paraId="2A2A4AB2" w14:textId="77777777" w:rsidR="0058116F" w:rsidRDefault="0058116F" w:rsidP="0058116F">
      <w:pPr>
        <w:pStyle w:val="a5"/>
        <w:rPr>
          <w:rtl/>
        </w:rPr>
      </w:pPr>
      <w:r>
        <w:rPr>
          <w:rStyle w:val="a7"/>
        </w:rPr>
        <w:footnoteRef/>
      </w:r>
      <w:r>
        <w:rPr>
          <w:rtl/>
        </w:rPr>
        <w:t xml:space="preserve"> </w:t>
      </w:r>
      <w:r>
        <w:rPr>
          <w:rFonts w:cs="Arial"/>
          <w:rtl/>
        </w:rPr>
        <w:t>וגם הר"ן בפרק הנזכר (נז. ד"ה גמ') הביא דברים אלו שכתב הרי"ף בתשובה ודחה ראייתו</w:t>
      </w:r>
      <w:r>
        <w:rPr>
          <w:rFonts w:hint="cs"/>
          <w:rtl/>
        </w:rPr>
        <w:t>, ב"י.</w:t>
      </w:r>
    </w:p>
  </w:footnote>
  <w:footnote w:id="1737">
    <w:p w14:paraId="02A69E7D" w14:textId="4805C937" w:rsidR="00903516" w:rsidRDefault="00903516">
      <w:pPr>
        <w:pStyle w:val="a5"/>
      </w:pPr>
      <w:r>
        <w:rPr>
          <w:rStyle w:val="a7"/>
        </w:rPr>
        <w:footnoteRef/>
      </w:r>
      <w:r>
        <w:rPr>
          <w:rtl/>
        </w:rPr>
        <w:t xml:space="preserve"> </w:t>
      </w:r>
      <w:r w:rsidRPr="00903516">
        <w:rPr>
          <w:rFonts w:cs="Arial"/>
          <w:rtl/>
        </w:rPr>
        <w:t>(ט*) וכן נראה שם מסקנת המרדכי, וריש אלמנה ניזונת (סי' רנ) כתב שם כי ה"ג כתב דבין במקרקעי בין במטלטלי אין מכירתה ומתנתה כלום אפי' נשבע לבסוף וכתב שכן פסקו מוהר"ם, וכן פסק הרשב"א סי' אלף ע"ח וכן הוא בתשובת רש"י במרדכי פרק הכותב (סי' רכז)</w:t>
      </w:r>
      <w:r w:rsidR="009A37A6">
        <w:rPr>
          <w:rFonts w:cs="Arial" w:hint="cs"/>
          <w:rtl/>
        </w:rPr>
        <w:t>.</w:t>
      </w:r>
    </w:p>
  </w:footnote>
  <w:footnote w:id="1738">
    <w:p w14:paraId="60105431" w14:textId="19F25BD7" w:rsidR="00D7237F" w:rsidRDefault="00D7237F">
      <w:pPr>
        <w:pStyle w:val="a5"/>
      </w:pPr>
      <w:r>
        <w:rPr>
          <w:rStyle w:val="a7"/>
        </w:rPr>
        <w:footnoteRef/>
      </w:r>
      <w:r>
        <w:rPr>
          <w:rtl/>
        </w:rPr>
        <w:t xml:space="preserve"> </w:t>
      </w:r>
      <w:r>
        <w:rPr>
          <w:rFonts w:cs="Arial" w:hint="cs"/>
          <w:rtl/>
        </w:rPr>
        <w:t xml:space="preserve">וכתב </w:t>
      </w:r>
      <w:r w:rsidRPr="00333760">
        <w:rPr>
          <w:rFonts w:cs="Arial" w:hint="cs"/>
          <w:b/>
          <w:bCs/>
          <w:rtl/>
        </w:rPr>
        <w:t>הדרכ"מ</w:t>
      </w:r>
      <w:r>
        <w:rPr>
          <w:rFonts w:cs="Arial" w:hint="cs"/>
          <w:rtl/>
        </w:rPr>
        <w:t xml:space="preserve"> </w:t>
      </w:r>
      <w:r w:rsidRPr="00B656BA">
        <w:rPr>
          <w:rFonts w:cs="Arial"/>
          <w:rtl/>
        </w:rPr>
        <w:t>(</w:t>
      </w:r>
      <w:r>
        <w:rPr>
          <w:rFonts w:cs="Arial" w:hint="cs"/>
          <w:rtl/>
        </w:rPr>
        <w:t xml:space="preserve">אות </w:t>
      </w:r>
      <w:r w:rsidRPr="00B656BA">
        <w:rPr>
          <w:rFonts w:cs="Arial"/>
          <w:rtl/>
        </w:rPr>
        <w:t>ט) שפירוש זה שפירש בו דברי הרא"ש הוא דחוק מאוד ואין הדעת סובלתו</w:t>
      </w:r>
      <w:r>
        <w:rPr>
          <w:rFonts w:cs="Arial" w:hint="cs"/>
          <w:rtl/>
        </w:rPr>
        <w:t>.</w:t>
      </w:r>
      <w:r w:rsidRPr="00B656BA">
        <w:rPr>
          <w:rFonts w:cs="Arial"/>
          <w:rtl/>
        </w:rPr>
        <w:t xml:space="preserve"> מיהו לעיקר דינא משמע מדברי מהרא"י (תרו</w:t>
      </w:r>
      <w:r>
        <w:rPr>
          <w:rFonts w:cs="Arial" w:hint="cs"/>
          <w:rtl/>
        </w:rPr>
        <w:t>ה"ד</w:t>
      </w:r>
      <w:r w:rsidRPr="00B656BA">
        <w:rPr>
          <w:rFonts w:cs="Arial"/>
          <w:rtl/>
        </w:rPr>
        <w:t xml:space="preserve"> סי</w:t>
      </w:r>
      <w:r>
        <w:rPr>
          <w:rFonts w:cs="Arial" w:hint="cs"/>
          <w:rtl/>
        </w:rPr>
        <w:t>'</w:t>
      </w:r>
      <w:r w:rsidRPr="00B656BA">
        <w:rPr>
          <w:rFonts w:cs="Arial"/>
          <w:rtl/>
        </w:rPr>
        <w:t xml:space="preserve"> של</w:t>
      </w:r>
      <w:r>
        <w:rPr>
          <w:rFonts w:cs="Arial" w:hint="cs"/>
          <w:rtl/>
        </w:rPr>
        <w:t>)</w:t>
      </w:r>
      <w:r w:rsidRPr="00B656BA">
        <w:rPr>
          <w:rFonts w:cs="Arial"/>
          <w:rtl/>
        </w:rPr>
        <w:t xml:space="preserve"> דנקטינן כדעת מוהר"ם דהמכירה והמתנה בטלה</w:t>
      </w:r>
      <w:r>
        <w:rPr>
          <w:rFonts w:cs="Arial" w:hint="cs"/>
          <w:rtl/>
        </w:rPr>
        <w:t>.</w:t>
      </w:r>
      <w:r w:rsidRPr="00B656BA">
        <w:rPr>
          <w:rFonts w:cs="Arial"/>
          <w:rtl/>
        </w:rPr>
        <w:t xml:space="preserve"> והמרדכי כתב פרק הכותב (סי' רכז) דיש לראות</w:t>
      </w:r>
      <w:r>
        <w:rPr>
          <w:rFonts w:cs="Arial" w:hint="cs"/>
          <w:rtl/>
        </w:rPr>
        <w:t>,</w:t>
      </w:r>
      <w:r w:rsidRPr="00B656BA">
        <w:rPr>
          <w:rFonts w:cs="Arial"/>
          <w:rtl/>
        </w:rPr>
        <w:t xml:space="preserve"> אם האלמנה מחזיקין אותה בעושר גדול</w:t>
      </w:r>
      <w:r>
        <w:rPr>
          <w:rFonts w:cs="Arial" w:hint="cs"/>
          <w:rtl/>
        </w:rPr>
        <w:t>,</w:t>
      </w:r>
      <w:r w:rsidRPr="00B656BA">
        <w:rPr>
          <w:rFonts w:cs="Arial"/>
          <w:rtl/>
        </w:rPr>
        <w:t xml:space="preserve"> כיון דאיכא פלוגתא דרבוותא לפי הענין שיראו הדיינים צריכין לדון עכ"ל</w:t>
      </w:r>
      <w:r>
        <w:rPr>
          <w:rFonts w:cs="Arial" w:hint="cs"/>
          <w:rtl/>
        </w:rPr>
        <w:t>.</w:t>
      </w:r>
      <w:r w:rsidRPr="00B656BA">
        <w:rPr>
          <w:rFonts w:cs="Arial"/>
          <w:rtl/>
        </w:rPr>
        <w:t xml:space="preserve"> וכן נראה לי</w:t>
      </w:r>
      <w:r>
        <w:rPr>
          <w:rFonts w:cs="Arial" w:hint="cs"/>
          <w:rtl/>
        </w:rPr>
        <w:t>,</w:t>
      </w:r>
      <w:r w:rsidRPr="00B656BA">
        <w:rPr>
          <w:rFonts w:cs="Arial"/>
          <w:rtl/>
        </w:rPr>
        <w:t xml:space="preserve"> דיש לחוש להרבה גדולים</w:t>
      </w:r>
      <w:r>
        <w:rPr>
          <w:rFonts w:cs="Arial" w:hint="cs"/>
          <w:rtl/>
        </w:rPr>
        <w:t>,</w:t>
      </w:r>
      <w:r w:rsidRPr="00B656BA">
        <w:rPr>
          <w:rFonts w:cs="Arial"/>
          <w:rtl/>
        </w:rPr>
        <w:t xml:space="preserve"> בפרט הרי"ף והרא"ש והמרדכי דאזלינן בתרייהו ברוב דוכתי והם סוברים דהמתנה והמכירה קיימת</w:t>
      </w:r>
      <w:r>
        <w:rPr>
          <w:rFonts w:cs="Arial" w:hint="cs"/>
          <w:rtl/>
        </w:rPr>
        <w:t>,</w:t>
      </w:r>
      <w:r w:rsidRPr="00B656BA">
        <w:rPr>
          <w:rFonts w:cs="Arial"/>
          <w:rtl/>
        </w:rPr>
        <w:t xml:space="preserve"> כל שכן שכתבתי לעיל (אות ו*) בשם תשובת הרא"ש דבזמנים אלו לא שכיחא התפסת צררי</w:t>
      </w:r>
      <w:r>
        <w:rPr>
          <w:rFonts w:cs="Arial" w:hint="cs"/>
          <w:rtl/>
        </w:rPr>
        <w:t>,</w:t>
      </w:r>
      <w:r w:rsidRPr="00B656BA">
        <w:rPr>
          <w:rFonts w:cs="Arial"/>
          <w:rtl/>
        </w:rPr>
        <w:t xml:space="preserve"> לכן נראה דאם נראה לדיין שלא התפיסה צררי</w:t>
      </w:r>
      <w:r>
        <w:rPr>
          <w:rFonts w:cs="Arial" w:hint="cs"/>
          <w:rtl/>
        </w:rPr>
        <w:t>,</w:t>
      </w:r>
      <w:r w:rsidRPr="00B656BA">
        <w:rPr>
          <w:rFonts w:cs="Arial"/>
          <w:rtl/>
        </w:rPr>
        <w:t xml:space="preserve"> ושמה שמכרה או נתנה ראוי להיות שלה בגיבוי כתובתה</w:t>
      </w:r>
      <w:r>
        <w:rPr>
          <w:rFonts w:cs="Arial" w:hint="cs"/>
          <w:rtl/>
        </w:rPr>
        <w:t xml:space="preserve"> -</w:t>
      </w:r>
      <w:r w:rsidRPr="00B656BA">
        <w:rPr>
          <w:rFonts w:cs="Arial"/>
          <w:rtl/>
        </w:rPr>
        <w:t xml:space="preserve"> שמכירתה ומתנתה קיימת</w:t>
      </w:r>
      <w:r>
        <w:rPr>
          <w:rFonts w:cs="Arial" w:hint="cs"/>
          <w:rtl/>
        </w:rPr>
        <w:t>,</w:t>
      </w:r>
      <w:r w:rsidRPr="00B656BA">
        <w:rPr>
          <w:rFonts w:cs="Arial"/>
          <w:rtl/>
        </w:rPr>
        <w:t xml:space="preserve"> וכל שכן במקום שהמקבל והלוקח מוחזקים דאין להוציא מידם בכה"ג</w:t>
      </w:r>
      <w:r>
        <w:rPr>
          <w:rFonts w:cs="Arial" w:hint="cs"/>
          <w:rtl/>
        </w:rPr>
        <w:t>.</w:t>
      </w:r>
      <w:r w:rsidRPr="00B656BA">
        <w:rPr>
          <w:rFonts w:cs="Arial"/>
          <w:rtl/>
        </w:rPr>
        <w:t xml:space="preserve"> ומהרי"ק </w:t>
      </w:r>
      <w:r>
        <w:rPr>
          <w:rFonts w:cs="Arial" w:hint="cs"/>
          <w:rtl/>
        </w:rPr>
        <w:t>(</w:t>
      </w:r>
      <w:r w:rsidRPr="00B656BA">
        <w:rPr>
          <w:rFonts w:cs="Arial"/>
          <w:rtl/>
        </w:rPr>
        <w:t>שורש יח</w:t>
      </w:r>
      <w:r>
        <w:rPr>
          <w:rFonts w:cs="Arial" w:hint="cs"/>
          <w:rtl/>
        </w:rPr>
        <w:t>)</w:t>
      </w:r>
      <w:r w:rsidRPr="00B656BA">
        <w:rPr>
          <w:rFonts w:cs="Arial"/>
          <w:rtl/>
        </w:rPr>
        <w:t xml:space="preserve"> כתב סתם דאם הלוקח והמקבל מוחזקין אין להוציא מידן ע"ש. וכתב מהרי"ק </w:t>
      </w:r>
      <w:r>
        <w:rPr>
          <w:rFonts w:cs="Arial" w:hint="cs"/>
          <w:rtl/>
        </w:rPr>
        <w:t>(</w:t>
      </w:r>
      <w:r w:rsidRPr="00B656BA">
        <w:rPr>
          <w:rFonts w:cs="Arial"/>
          <w:rtl/>
        </w:rPr>
        <w:t>שורש יח</w:t>
      </w:r>
      <w:r>
        <w:rPr>
          <w:rFonts w:cs="Arial" w:hint="cs"/>
          <w:rtl/>
        </w:rPr>
        <w:t>)</w:t>
      </w:r>
      <w:r w:rsidRPr="00B656BA">
        <w:rPr>
          <w:rFonts w:cs="Arial"/>
          <w:rtl/>
        </w:rPr>
        <w:t xml:space="preserve"> דאף למ"ד בטלה היינו אם האשה חוזרת</w:t>
      </w:r>
      <w:r>
        <w:rPr>
          <w:rFonts w:cs="Arial" w:hint="cs"/>
          <w:rtl/>
        </w:rPr>
        <w:t>,</w:t>
      </w:r>
      <w:r w:rsidRPr="00B656BA">
        <w:rPr>
          <w:rFonts w:cs="Arial"/>
          <w:rtl/>
        </w:rPr>
        <w:t xml:space="preserve"> אבל אם אינה חוזרת ונשבעה על כתובתה המתנה או המכירה קיימים מעכשיו</w:t>
      </w:r>
      <w:r>
        <w:rPr>
          <w:rFonts w:cs="Arial" w:hint="cs"/>
          <w:rtl/>
        </w:rPr>
        <w:t>,</w:t>
      </w:r>
      <w:r w:rsidRPr="00B656BA">
        <w:rPr>
          <w:rFonts w:cs="Arial"/>
          <w:rtl/>
        </w:rPr>
        <w:t xml:space="preserve"> ופשוט הוא</w:t>
      </w:r>
      <w:r>
        <w:rPr>
          <w:rFonts w:cs="Arial" w:hint="cs"/>
          <w:rtl/>
        </w:rPr>
        <w:t>.</w:t>
      </w:r>
      <w:r w:rsidRPr="00B656BA">
        <w:rPr>
          <w:rFonts w:cs="Arial"/>
          <w:rtl/>
        </w:rPr>
        <w:t xml:space="preserve"> ובהגמ</w:t>
      </w:r>
      <w:r>
        <w:rPr>
          <w:rFonts w:cs="Arial" w:hint="cs"/>
          <w:rtl/>
        </w:rPr>
        <w:t>"</w:t>
      </w:r>
      <w:r w:rsidRPr="00B656BA">
        <w:rPr>
          <w:rFonts w:cs="Arial"/>
          <w:rtl/>
        </w:rPr>
        <w:t>ר דכתובות (סי' שי) אלמנה שלקחה כל נכסי בעלה ונשאת תשבע עדיין שכל מה שתפסה לא היה יתר על כתובתה</w:t>
      </w:r>
      <w:r>
        <w:rPr>
          <w:rFonts w:cs="Arial" w:hint="cs"/>
          <w:rtl/>
        </w:rPr>
        <w:t>,</w:t>
      </w:r>
      <w:r w:rsidRPr="00B656BA">
        <w:rPr>
          <w:rFonts w:cs="Arial"/>
          <w:rtl/>
        </w:rPr>
        <w:t xml:space="preserve"> ואם מתה אצל הבעל השני בלא שבועה הבעל השני הוא יורש שלה, וכבר נתבאר לעיל (אות ב) דין אם תפסו יורשיה</w:t>
      </w:r>
      <w:r>
        <w:rPr>
          <w:rFonts w:cs="Arial" w:hint="cs"/>
          <w:rtl/>
        </w:rPr>
        <w:t>.</w:t>
      </w:r>
      <w:r w:rsidRPr="00B656BA">
        <w:rPr>
          <w:rFonts w:cs="Arial"/>
          <w:rtl/>
        </w:rPr>
        <w:t xml:space="preserve"> ועיין בתרוה</w:t>
      </w:r>
      <w:r>
        <w:rPr>
          <w:rFonts w:cs="Arial" w:hint="cs"/>
          <w:rtl/>
        </w:rPr>
        <w:t>"</w:t>
      </w:r>
      <w:r w:rsidRPr="00B656BA">
        <w:rPr>
          <w:rFonts w:cs="Arial"/>
          <w:rtl/>
        </w:rPr>
        <w:t xml:space="preserve">ד </w:t>
      </w:r>
      <w:r>
        <w:rPr>
          <w:rFonts w:cs="Arial" w:hint="cs"/>
          <w:rtl/>
        </w:rPr>
        <w:t>(</w:t>
      </w:r>
      <w:r w:rsidRPr="00B656BA">
        <w:rPr>
          <w:rFonts w:cs="Arial"/>
          <w:rtl/>
        </w:rPr>
        <w:t>סי</w:t>
      </w:r>
      <w:r>
        <w:rPr>
          <w:rFonts w:cs="Arial" w:hint="cs"/>
          <w:rtl/>
        </w:rPr>
        <w:t>'</w:t>
      </w:r>
      <w:r w:rsidRPr="00B656BA">
        <w:rPr>
          <w:rFonts w:cs="Arial"/>
          <w:rtl/>
        </w:rPr>
        <w:t xml:space="preserve"> של</w:t>
      </w:r>
      <w:r>
        <w:rPr>
          <w:rFonts w:cs="Arial" w:hint="cs"/>
          <w:rtl/>
        </w:rPr>
        <w:t>)</w:t>
      </w:r>
      <w:r w:rsidRPr="00B656BA">
        <w:rPr>
          <w:rFonts w:cs="Arial"/>
          <w:rtl/>
        </w:rPr>
        <w:t xml:space="preserve"> ובמהרי"ק </w:t>
      </w:r>
      <w:r>
        <w:rPr>
          <w:rFonts w:cs="Arial" w:hint="cs"/>
          <w:rtl/>
        </w:rPr>
        <w:t>(</w:t>
      </w:r>
      <w:r w:rsidRPr="00B656BA">
        <w:rPr>
          <w:rFonts w:cs="Arial"/>
          <w:rtl/>
        </w:rPr>
        <w:t>שורש יח</w:t>
      </w:r>
      <w:r>
        <w:rPr>
          <w:rFonts w:cs="Arial" w:hint="cs"/>
          <w:rtl/>
        </w:rPr>
        <w:t>).</w:t>
      </w:r>
      <w:r w:rsidR="00692F59">
        <w:rPr>
          <w:rFonts w:hint="cs"/>
          <w:rtl/>
        </w:rPr>
        <w:t xml:space="preserve"> </w:t>
      </w:r>
      <w:r w:rsidR="00692F59" w:rsidRPr="00692F59">
        <w:rPr>
          <w:rFonts w:hint="cs"/>
          <w:color w:val="00B0F0"/>
          <w:rtl/>
        </w:rPr>
        <w:t>(וכ"פ בהג"ה</w:t>
      </w:r>
      <w:r w:rsidR="00692F59">
        <w:rPr>
          <w:rFonts w:hint="cs"/>
          <w:color w:val="000000" w:themeColor="text1"/>
          <w:sz w:val="16"/>
          <w:szCs w:val="16"/>
          <w:rtl/>
        </w:rPr>
        <w:t xml:space="preserve"> </w:t>
      </w:r>
      <w:r w:rsidR="00692F59" w:rsidRPr="00692F59">
        <w:rPr>
          <w:rFonts w:hint="cs"/>
          <w:color w:val="000000" w:themeColor="text1"/>
          <w:sz w:val="16"/>
          <w:szCs w:val="16"/>
          <w:rtl/>
        </w:rPr>
        <w:t>[</w:t>
      </w:r>
      <w:r w:rsidR="00692F59">
        <w:rPr>
          <w:rFonts w:hint="cs"/>
          <w:color w:val="000000" w:themeColor="text1"/>
          <w:sz w:val="16"/>
          <w:szCs w:val="16"/>
          <w:rtl/>
        </w:rPr>
        <w:t>ככל מה שכתב כאן</w:t>
      </w:r>
      <w:r w:rsidR="00692F59" w:rsidRPr="00692F59">
        <w:rPr>
          <w:rFonts w:hint="cs"/>
          <w:color w:val="000000" w:themeColor="text1"/>
          <w:sz w:val="16"/>
          <w:szCs w:val="16"/>
          <w:rtl/>
        </w:rPr>
        <w:t>]</w:t>
      </w:r>
      <w:r w:rsidR="00692F59" w:rsidRPr="00692F59">
        <w:rPr>
          <w:rFonts w:hint="cs"/>
          <w:color w:val="00B0F0"/>
          <w:rtl/>
        </w:rPr>
        <w:t>)</w:t>
      </w:r>
    </w:p>
  </w:footnote>
  <w:footnote w:id="1739">
    <w:p w14:paraId="272B267F" w14:textId="3DF0DF28" w:rsidR="003871C2" w:rsidRDefault="003871C2">
      <w:pPr>
        <w:pStyle w:val="a5"/>
      </w:pPr>
      <w:r>
        <w:rPr>
          <w:rStyle w:val="a7"/>
        </w:rPr>
        <w:footnoteRef/>
      </w:r>
      <w:r>
        <w:rPr>
          <w:rtl/>
        </w:rPr>
        <w:t xml:space="preserve"> </w:t>
      </w:r>
      <w:r w:rsidRPr="005F69E9">
        <w:rPr>
          <w:rFonts w:cs="Arial"/>
          <w:rtl/>
        </w:rPr>
        <w:t xml:space="preserve">עב"ש ומ"ש בשם ב"י לישב הסתירה בדברי הרא"ש. ע' בזה בתשו' הרש"ך </w:t>
      </w:r>
      <w:r>
        <w:rPr>
          <w:rFonts w:cs="Arial" w:hint="cs"/>
          <w:rtl/>
        </w:rPr>
        <w:t>(</w:t>
      </w:r>
      <w:r w:rsidRPr="005F69E9">
        <w:rPr>
          <w:rFonts w:cs="Arial"/>
          <w:rtl/>
        </w:rPr>
        <w:t>ח"ב סי' א</w:t>
      </w:r>
      <w:r>
        <w:rPr>
          <w:rFonts w:cs="Arial" w:hint="cs"/>
          <w:rtl/>
        </w:rPr>
        <w:t>).</w:t>
      </w:r>
      <w:r w:rsidRPr="005F69E9">
        <w:rPr>
          <w:rFonts w:cs="Arial"/>
          <w:rtl/>
        </w:rPr>
        <w:t xml:space="preserve"> וע' בתשו' הרמ"ע מפאנו </w:t>
      </w:r>
      <w:r>
        <w:rPr>
          <w:rFonts w:cs="Arial" w:hint="cs"/>
          <w:rtl/>
        </w:rPr>
        <w:t>(</w:t>
      </w:r>
      <w:r w:rsidRPr="005F69E9">
        <w:rPr>
          <w:rFonts w:cs="Arial"/>
          <w:rtl/>
        </w:rPr>
        <w:t>סי' קד</w:t>
      </w:r>
      <w:r>
        <w:rPr>
          <w:rFonts w:cs="Arial" w:hint="cs"/>
          <w:rtl/>
        </w:rPr>
        <w:t>)</w:t>
      </w:r>
      <w:r w:rsidRPr="005F69E9">
        <w:rPr>
          <w:rFonts w:cs="Arial"/>
          <w:rtl/>
        </w:rPr>
        <w:t xml:space="preserve"> שהוא ז"ל כ' ליישב הסתירה באופן אחר</w:t>
      </w:r>
      <w:r>
        <w:rPr>
          <w:rFonts w:cs="Arial" w:hint="cs"/>
          <w:rtl/>
        </w:rPr>
        <w:t>,</w:t>
      </w:r>
      <w:r w:rsidRPr="005F69E9">
        <w:rPr>
          <w:rFonts w:cs="Arial"/>
          <w:rtl/>
        </w:rPr>
        <w:t xml:space="preserve"> דבתשו' הראשונה הוה עובדא באשה הנו"נ בתוך הבית ומכרה קיים אפילו בנכסים ידועים לבעל</w:t>
      </w:r>
      <w:r>
        <w:rPr>
          <w:rFonts w:cs="Arial" w:hint="cs"/>
          <w:rtl/>
        </w:rPr>
        <w:t>,</w:t>
      </w:r>
      <w:r w:rsidRPr="005F69E9">
        <w:rPr>
          <w:rFonts w:cs="Arial"/>
          <w:rtl/>
        </w:rPr>
        <w:t xml:space="preserve"> שהרי נעשית אפטרופא עליהם ודוקא במטלטלי</w:t>
      </w:r>
      <w:r>
        <w:rPr>
          <w:rFonts w:cs="Arial" w:hint="cs"/>
          <w:rtl/>
        </w:rPr>
        <w:t>,</w:t>
      </w:r>
      <w:r w:rsidRPr="005F69E9">
        <w:rPr>
          <w:rFonts w:cs="Arial"/>
          <w:rtl/>
        </w:rPr>
        <w:t xml:space="preserve"> אבל במקרקעי לא דלא שייך למימר בהו נושאת ונותנת ואין מורידין אשה לנכסי קטן</w:t>
      </w:r>
      <w:r>
        <w:rPr>
          <w:rFonts w:cs="Arial" w:hint="cs"/>
          <w:rtl/>
        </w:rPr>
        <w:t>.</w:t>
      </w:r>
      <w:r w:rsidRPr="005F69E9">
        <w:rPr>
          <w:rFonts w:cs="Arial"/>
          <w:rtl/>
        </w:rPr>
        <w:t xml:space="preserve"> ובתשו' הב' מיירי כשלא נעשית אפטרופא כלל</w:t>
      </w:r>
      <w:r>
        <w:rPr>
          <w:rFonts w:cs="Arial" w:hint="cs"/>
          <w:rtl/>
        </w:rPr>
        <w:t>.</w:t>
      </w:r>
      <w:r w:rsidRPr="005F69E9">
        <w:rPr>
          <w:rFonts w:cs="Arial"/>
          <w:rtl/>
        </w:rPr>
        <w:t xml:space="preserve"> וזו וזו כשלא נשבעה לא בתחלה ולא בסוף</w:t>
      </w:r>
      <w:r>
        <w:rPr>
          <w:rFonts w:cs="Arial" w:hint="cs"/>
          <w:rtl/>
        </w:rPr>
        <w:t>.</w:t>
      </w:r>
      <w:r w:rsidRPr="005F69E9">
        <w:rPr>
          <w:rFonts w:cs="Arial"/>
          <w:rtl/>
        </w:rPr>
        <w:t xml:space="preserve"> ובזה א"ש פסק המרדכי בפרק הכותב בשם בה"ג ואחרים עמו דלא פליג כלל על הרא"ש</w:t>
      </w:r>
      <w:r>
        <w:rPr>
          <w:rFonts w:cs="Arial" w:hint="cs"/>
          <w:rtl/>
        </w:rPr>
        <w:t>,</w:t>
      </w:r>
      <w:r w:rsidRPr="005F69E9">
        <w:rPr>
          <w:rFonts w:cs="Arial"/>
          <w:rtl/>
        </w:rPr>
        <w:t xml:space="preserve"> כי האשה שנשאלו עליה ולא היתה נו"נ ולא נשבעה כו' ע"ש</w:t>
      </w:r>
      <w:r>
        <w:rPr>
          <w:rFonts w:cs="Arial" w:hint="cs"/>
          <w:rtl/>
        </w:rPr>
        <w:t>, פת"ש (סק"ז).</w:t>
      </w:r>
    </w:p>
  </w:footnote>
  <w:footnote w:id="1740">
    <w:p w14:paraId="4FFEB1B0" w14:textId="23BA014F" w:rsidR="00FA4DE1" w:rsidRDefault="00FA4DE1">
      <w:pPr>
        <w:pStyle w:val="a5"/>
      </w:pPr>
      <w:r>
        <w:rPr>
          <w:rStyle w:val="a7"/>
        </w:rPr>
        <w:footnoteRef/>
      </w:r>
      <w:r>
        <w:rPr>
          <w:rtl/>
        </w:rPr>
        <w:t xml:space="preserve"> </w:t>
      </w:r>
      <w:r>
        <w:rPr>
          <w:rFonts w:hint="cs"/>
          <w:rtl/>
        </w:rPr>
        <w:t>סימן - פגמה זוזים.</w:t>
      </w:r>
    </w:p>
  </w:footnote>
  <w:footnote w:id="1741">
    <w:p w14:paraId="6557D4CF" w14:textId="54A06E36" w:rsidR="001070E9" w:rsidRDefault="001070E9">
      <w:pPr>
        <w:pStyle w:val="a5"/>
      </w:pPr>
      <w:r>
        <w:rPr>
          <w:rStyle w:val="a7"/>
        </w:rPr>
        <w:footnoteRef/>
      </w:r>
      <w:r>
        <w:rPr>
          <w:rtl/>
        </w:rPr>
        <w:t xml:space="preserve"> </w:t>
      </w:r>
      <w:r w:rsidRPr="001070E9">
        <w:rPr>
          <w:rFonts w:cs="Arial"/>
          <w:rtl/>
        </w:rPr>
        <w:t>משום דאי הוה גבי מן הלוה גופיה והוה טעין לוה אשתבע לי דלא פרעתיך אמרינן בשבועות</w:t>
      </w:r>
      <w:r w:rsidR="00114F4F">
        <w:rPr>
          <w:rFonts w:cs="Arial" w:hint="cs"/>
          <w:rtl/>
        </w:rPr>
        <w:t xml:space="preserve"> </w:t>
      </w:r>
      <w:r w:rsidR="00114F4F">
        <w:rPr>
          <w:rFonts w:cs="Arial"/>
          <w:rtl/>
        </w:rPr>
        <w:t>(מא.)</w:t>
      </w:r>
      <w:r w:rsidRPr="001070E9">
        <w:rPr>
          <w:rFonts w:cs="Arial"/>
          <w:rtl/>
        </w:rPr>
        <w:t xml:space="preserve"> דמשבעינן ליה</w:t>
      </w:r>
      <w:r>
        <w:rPr>
          <w:rFonts w:cs="Arial" w:hint="cs"/>
          <w:rtl/>
        </w:rPr>
        <w:t>,</w:t>
      </w:r>
      <w:r w:rsidRPr="001070E9">
        <w:rPr>
          <w:rFonts w:cs="Arial"/>
          <w:rtl/>
        </w:rPr>
        <w:t xml:space="preserve"> ואי לא טעין לא טענינן ליה הואיל ונקיט שטרא</w:t>
      </w:r>
      <w:r>
        <w:rPr>
          <w:rFonts w:cs="Arial" w:hint="cs"/>
          <w:rtl/>
        </w:rPr>
        <w:t>,</w:t>
      </w:r>
      <w:r w:rsidRPr="001070E9">
        <w:rPr>
          <w:rFonts w:cs="Arial"/>
          <w:rtl/>
        </w:rPr>
        <w:t xml:space="preserve"> אבל בשביל לקוחות אנן טענינן דלמא אי הוה גבית מן הלוה הוה טעין לך אישתבע לי דלא פרעתיך ובעית אישתבועי</w:t>
      </w:r>
      <w:r>
        <w:rPr>
          <w:rFonts w:cs="Arial" w:hint="cs"/>
          <w:rtl/>
        </w:rPr>
        <w:t>,</w:t>
      </w:r>
      <w:r w:rsidRPr="001070E9">
        <w:rPr>
          <w:rFonts w:cs="Arial"/>
          <w:rtl/>
        </w:rPr>
        <w:t xml:space="preserve"> השתא אנן טענינן דפתח פיך לאלם הוא</w:t>
      </w:r>
      <w:r w:rsidR="00114F4F">
        <w:rPr>
          <w:rFonts w:cs="Arial" w:hint="cs"/>
          <w:rtl/>
        </w:rPr>
        <w:t>.</w:t>
      </w:r>
      <w:r w:rsidRPr="001070E9">
        <w:rPr>
          <w:rFonts w:cs="Arial"/>
          <w:rtl/>
        </w:rPr>
        <w:t xml:space="preserve"> ומנכסי יתומים ונפרעת שלא בפניו כולהו משום האי טעמא</w:t>
      </w:r>
      <w:r w:rsidR="00114F4F">
        <w:rPr>
          <w:rFonts w:cs="Arial" w:hint="cs"/>
          <w:rtl/>
        </w:rPr>
        <w:t>, רש"י.</w:t>
      </w:r>
    </w:p>
  </w:footnote>
  <w:footnote w:id="1742">
    <w:p w14:paraId="08A86B80" w14:textId="1F039643" w:rsidR="008F16AF" w:rsidRDefault="008F16AF">
      <w:pPr>
        <w:pStyle w:val="a5"/>
        <w:rPr>
          <w:rtl/>
        </w:rPr>
      </w:pPr>
      <w:r>
        <w:rPr>
          <w:rStyle w:val="a7"/>
        </w:rPr>
        <w:footnoteRef/>
      </w:r>
      <w:r>
        <w:rPr>
          <w:rtl/>
        </w:rPr>
        <w:t xml:space="preserve"> </w:t>
      </w:r>
      <w:r>
        <w:rPr>
          <w:rFonts w:cs="Arial"/>
          <w:rtl/>
        </w:rPr>
        <w:t>וידוע דכל ספיקא דממונא הוי קולא לנתבע</w:t>
      </w:r>
      <w:r>
        <w:rPr>
          <w:rFonts w:hint="cs"/>
          <w:rtl/>
        </w:rPr>
        <w:t>, ב"י.</w:t>
      </w:r>
    </w:p>
  </w:footnote>
  <w:footnote w:id="1743">
    <w:p w14:paraId="7CC34AB2" w14:textId="77777777" w:rsidR="00677DD4" w:rsidRDefault="00677DD4" w:rsidP="00677DD4">
      <w:pPr>
        <w:pStyle w:val="a5"/>
      </w:pPr>
      <w:r>
        <w:rPr>
          <w:rStyle w:val="a7"/>
        </w:rPr>
        <w:footnoteRef/>
      </w:r>
      <w:r>
        <w:rPr>
          <w:rtl/>
        </w:rPr>
        <w:t xml:space="preserve"> </w:t>
      </w:r>
      <w:r w:rsidRPr="001070E9">
        <w:rPr>
          <w:rFonts w:cs="Arial"/>
          <w:rtl/>
        </w:rPr>
        <w:t>משום דאי הוה גבי מן הלוה גופיה והוה טעין לוה אשתבע לי דלא פרעתיך אמרינן בשבועות</w:t>
      </w:r>
      <w:r>
        <w:rPr>
          <w:rFonts w:cs="Arial" w:hint="cs"/>
          <w:rtl/>
        </w:rPr>
        <w:t xml:space="preserve"> </w:t>
      </w:r>
      <w:r>
        <w:rPr>
          <w:rFonts w:cs="Arial"/>
          <w:rtl/>
        </w:rPr>
        <w:t>(מא.)</w:t>
      </w:r>
      <w:r w:rsidRPr="001070E9">
        <w:rPr>
          <w:rFonts w:cs="Arial"/>
          <w:rtl/>
        </w:rPr>
        <w:t xml:space="preserve"> דמשבעינן ליה</w:t>
      </w:r>
      <w:r>
        <w:rPr>
          <w:rFonts w:cs="Arial" w:hint="cs"/>
          <w:rtl/>
        </w:rPr>
        <w:t>,</w:t>
      </w:r>
      <w:r w:rsidRPr="001070E9">
        <w:rPr>
          <w:rFonts w:cs="Arial"/>
          <w:rtl/>
        </w:rPr>
        <w:t xml:space="preserve"> ואי לא טעין לא טענינן ליה הואיל ונקיט שטרא</w:t>
      </w:r>
      <w:r>
        <w:rPr>
          <w:rFonts w:cs="Arial" w:hint="cs"/>
          <w:rtl/>
        </w:rPr>
        <w:t>,</w:t>
      </w:r>
      <w:r w:rsidRPr="001070E9">
        <w:rPr>
          <w:rFonts w:cs="Arial"/>
          <w:rtl/>
        </w:rPr>
        <w:t xml:space="preserve"> אבל בשביל לקוחות אנן טענינן דלמא אי הוה גבית מן הלוה הוה טעין לך אישתבע לי דלא פרעתיך ובעית אישתבועי</w:t>
      </w:r>
      <w:r>
        <w:rPr>
          <w:rFonts w:cs="Arial" w:hint="cs"/>
          <w:rtl/>
        </w:rPr>
        <w:t>,</w:t>
      </w:r>
      <w:r w:rsidRPr="001070E9">
        <w:rPr>
          <w:rFonts w:cs="Arial"/>
          <w:rtl/>
        </w:rPr>
        <w:t xml:space="preserve"> השתא אנן טענינן דפתח פיך לאלם הוא</w:t>
      </w:r>
      <w:r>
        <w:rPr>
          <w:rFonts w:cs="Arial" w:hint="cs"/>
          <w:rtl/>
        </w:rPr>
        <w:t>.</w:t>
      </w:r>
      <w:r w:rsidRPr="001070E9">
        <w:rPr>
          <w:rFonts w:cs="Arial"/>
          <w:rtl/>
        </w:rPr>
        <w:t xml:space="preserve"> ומנכסי יתומים ונפרעת שלא בפניו כולהו משום האי טעמא</w:t>
      </w:r>
      <w:r>
        <w:rPr>
          <w:rFonts w:cs="Arial" w:hint="cs"/>
          <w:rtl/>
        </w:rPr>
        <w:t>, רש"י.</w:t>
      </w:r>
    </w:p>
  </w:footnote>
  <w:footnote w:id="1744">
    <w:p w14:paraId="67B464AD" w14:textId="49BF7D13" w:rsidR="00250965" w:rsidRDefault="00250965" w:rsidP="00250965">
      <w:pPr>
        <w:pStyle w:val="a5"/>
      </w:pPr>
      <w:r>
        <w:rPr>
          <w:rStyle w:val="a7"/>
        </w:rPr>
        <w:footnoteRef/>
      </w:r>
      <w:r>
        <w:rPr>
          <w:rtl/>
        </w:rPr>
        <w:t xml:space="preserve"> </w:t>
      </w:r>
      <w:r>
        <w:rPr>
          <w:rFonts w:hint="cs"/>
          <w:rtl/>
        </w:rPr>
        <w:t>הב"י הביא את דברי הגמרא מכאן והלאה, וצל"ע מדוע לא העתיק את תחילת דברי הגמרא שהבאתי.</w:t>
      </w:r>
    </w:p>
  </w:footnote>
  <w:footnote w:id="1745">
    <w:p w14:paraId="6B157756" w14:textId="77777777" w:rsidR="00677DD4" w:rsidRDefault="00677DD4" w:rsidP="00677DD4">
      <w:pPr>
        <w:pStyle w:val="a5"/>
        <w:rPr>
          <w:rtl/>
        </w:rPr>
      </w:pPr>
      <w:r>
        <w:rPr>
          <w:rStyle w:val="a7"/>
        </w:rPr>
        <w:footnoteRef/>
      </w:r>
      <w:r>
        <w:rPr>
          <w:rtl/>
        </w:rPr>
        <w:t xml:space="preserve"> </w:t>
      </w:r>
      <w:r w:rsidRPr="00494106">
        <w:rPr>
          <w:rFonts w:cs="Arial"/>
          <w:rtl/>
        </w:rPr>
        <w:t>פירש בקונטרס דנפקא לן מינה בין שבועה דאורייתא לשבועה דרבנן דבדאורייתא מנקט חפצא ובדרבנן לא נקיט והוא עצמו סותר דבריו דאמרי' בהשולח (גיטין לה. ושם) א"ל רב לרב ירמיה מדפתי אדרה בב"ד ואשבעה חוץ לב"ד ופי' בקונט' התם דה"ק ליה דלא לאשבעה בב"ד דחמירה באנקוטי חפצא</w:t>
      </w:r>
      <w:r>
        <w:rPr>
          <w:rFonts w:cs="Arial" w:hint="cs"/>
          <w:rtl/>
        </w:rPr>
        <w:t xml:space="preserve">..., תוס' (ד"ה מייתי לה). </w:t>
      </w:r>
      <w:r>
        <w:rPr>
          <w:rFonts w:cs="Arial"/>
          <w:rtl/>
        </w:rPr>
        <w:t>ו</w:t>
      </w:r>
      <w:r>
        <w:rPr>
          <w:rFonts w:cs="Arial" w:hint="cs"/>
          <w:rtl/>
        </w:rPr>
        <w:t xml:space="preserve">כ"כ </w:t>
      </w:r>
      <w:r>
        <w:rPr>
          <w:rFonts w:cs="Arial"/>
          <w:rtl/>
        </w:rPr>
        <w:t>הרא"ש (סי' כה) והר"ן (מח. ד"ה ואיכא)</w:t>
      </w:r>
      <w:r>
        <w:rPr>
          <w:rFonts w:cs="Arial" w:hint="cs"/>
          <w:rtl/>
        </w:rPr>
        <w:t xml:space="preserve"> על דברי רש"י.</w:t>
      </w:r>
      <w:r>
        <w:rPr>
          <w:rFonts w:cs="Arial"/>
          <w:rtl/>
        </w:rPr>
        <w:t xml:space="preserve"> וכן כתב הרי"ף (מח.) דבנקיטת חפצא היא שכך דין כל שבועות המשנה</w:t>
      </w:r>
      <w:r>
        <w:rPr>
          <w:rFonts w:cs="Arial" w:hint="cs"/>
          <w:rtl/>
        </w:rPr>
        <w:t>.</w:t>
      </w:r>
    </w:p>
  </w:footnote>
  <w:footnote w:id="1746">
    <w:p w14:paraId="756F4011" w14:textId="28CAC522" w:rsidR="008631A7" w:rsidRDefault="008631A7">
      <w:pPr>
        <w:pStyle w:val="a5"/>
        <w:rPr>
          <w:rtl/>
        </w:rPr>
      </w:pPr>
      <w:r>
        <w:rPr>
          <w:rStyle w:val="a7"/>
        </w:rPr>
        <w:footnoteRef/>
      </w:r>
      <w:r>
        <w:rPr>
          <w:rtl/>
        </w:rPr>
        <w:t xml:space="preserve"> </w:t>
      </w:r>
      <w:r>
        <w:rPr>
          <w:rFonts w:cs="Arial"/>
          <w:rtl/>
        </w:rPr>
        <w:t>וכתב הר"ן (שם) בשם הרמב"ן (פח. ד"ה אי) דהא דאי קדמה ותפסה לא מפקינן מינה מסתברא דדוקא בדתפסה מעות</w:t>
      </w:r>
      <w:r>
        <w:rPr>
          <w:rFonts w:cs="Arial" w:hint="cs"/>
          <w:rtl/>
        </w:rPr>
        <w:t>,</w:t>
      </w:r>
      <w:r>
        <w:rPr>
          <w:rFonts w:cs="Arial"/>
          <w:rtl/>
        </w:rPr>
        <w:t xml:space="preserve"> אבל תפסה מטלטלי כיון דגופייהו לא מקנו לה </w:t>
      </w:r>
      <w:r>
        <w:rPr>
          <w:rFonts w:cs="Arial" w:hint="cs"/>
          <w:rtl/>
        </w:rPr>
        <w:t xml:space="preserve">- </w:t>
      </w:r>
      <w:r>
        <w:rPr>
          <w:rFonts w:cs="Arial"/>
          <w:rtl/>
        </w:rPr>
        <w:t>מפקינן מינה והדר לא גביא אלא בשבועה</w:t>
      </w:r>
      <w:r>
        <w:rPr>
          <w:rFonts w:cs="Arial" w:hint="cs"/>
          <w:rtl/>
        </w:rPr>
        <w:t>, ב"י.</w:t>
      </w:r>
      <w:r>
        <w:rPr>
          <w:rFonts w:hint="cs"/>
          <w:rtl/>
        </w:rPr>
        <w:t xml:space="preserve"> </w:t>
      </w:r>
      <w:r w:rsidRPr="008631A7">
        <w:rPr>
          <w:rFonts w:hint="cs"/>
          <w:color w:val="E36C0A" w:themeColor="accent6" w:themeShade="BF"/>
          <w:rtl/>
        </w:rPr>
        <w:t>(וכ"פ בשו"ע)</w:t>
      </w:r>
    </w:p>
  </w:footnote>
  <w:footnote w:id="1747">
    <w:p w14:paraId="3120DD37" w14:textId="5719BA09" w:rsidR="008631A7" w:rsidRDefault="008631A7">
      <w:pPr>
        <w:pStyle w:val="a5"/>
      </w:pPr>
      <w:r>
        <w:rPr>
          <w:rStyle w:val="a7"/>
        </w:rPr>
        <w:footnoteRef/>
      </w:r>
      <w:r>
        <w:rPr>
          <w:rtl/>
        </w:rPr>
        <w:t xml:space="preserve"> </w:t>
      </w:r>
      <w:r w:rsidRPr="005F69E9">
        <w:rPr>
          <w:rFonts w:cs="Arial"/>
          <w:rtl/>
        </w:rPr>
        <w:t>ובס' כרם שלמה כתב וז"ל וה"ה אם מכרה המטלטלין הוי כמטלטלין ולא כמעות אא"כ הניח הבעל מעות ותפסום כ"כ בגליון הש"ע של הגאון מהרמ"ם עכ"ל ועבס' בית מאיר</w:t>
      </w:r>
      <w:r>
        <w:rPr>
          <w:rFonts w:cs="Arial" w:hint="cs"/>
          <w:rtl/>
        </w:rPr>
        <w:t xml:space="preserve">, פת"ש </w:t>
      </w:r>
      <w:r w:rsidRPr="005F69E9">
        <w:rPr>
          <w:rFonts w:cs="Arial"/>
          <w:rtl/>
        </w:rPr>
        <w:t>(</w:t>
      </w:r>
      <w:r>
        <w:rPr>
          <w:rFonts w:cs="Arial" w:hint="cs"/>
          <w:rtl/>
        </w:rPr>
        <w:t>סק"</w:t>
      </w:r>
      <w:r w:rsidRPr="005F69E9">
        <w:rPr>
          <w:rFonts w:cs="Arial"/>
          <w:rtl/>
        </w:rPr>
        <w:t>ז*)</w:t>
      </w:r>
      <w:r>
        <w:rPr>
          <w:rFonts w:cs="Arial" w:hint="cs"/>
          <w:rtl/>
        </w:rPr>
        <w:t>.</w:t>
      </w:r>
    </w:p>
  </w:footnote>
  <w:footnote w:id="1748">
    <w:p w14:paraId="21F3CC2F" w14:textId="6C56F6B0" w:rsidR="00CC4F20" w:rsidRDefault="00CC4F20" w:rsidP="00CC4F20">
      <w:pPr>
        <w:pStyle w:val="a5"/>
      </w:pPr>
      <w:r>
        <w:rPr>
          <w:rStyle w:val="a7"/>
        </w:rPr>
        <w:footnoteRef/>
      </w:r>
      <w:r>
        <w:rPr>
          <w:rtl/>
        </w:rPr>
        <w:t xml:space="preserve"> </w:t>
      </w:r>
      <w:r>
        <w:rPr>
          <w:rFonts w:hint="cs"/>
          <w:rtl/>
        </w:rPr>
        <w:t xml:space="preserve">וז"ל: </w:t>
      </w:r>
      <w:r>
        <w:rPr>
          <w:rFonts w:cs="Arial"/>
          <w:rtl/>
        </w:rPr>
        <w:t>שאלה</w:t>
      </w:r>
      <w:r>
        <w:rPr>
          <w:rFonts w:cs="Arial" w:hint="cs"/>
          <w:rtl/>
        </w:rPr>
        <w:t>:</w:t>
      </w:r>
      <w:r>
        <w:rPr>
          <w:rFonts w:cs="Arial"/>
          <w:rtl/>
        </w:rPr>
        <w:t xml:space="preserve"> מי שהיה מן הנשבעין ונוטלין חשוד על השבועה תחזור השבועה בעצמה על הנתבע ויפטר הפרעון או לא.</w:t>
      </w:r>
      <w:r>
        <w:rPr>
          <w:rFonts w:cs="Arial" w:hint="cs"/>
          <w:rtl/>
        </w:rPr>
        <w:t xml:space="preserve">   </w:t>
      </w:r>
      <w:r>
        <w:rPr>
          <w:rFonts w:cs="Arial"/>
          <w:rtl/>
        </w:rPr>
        <w:t xml:space="preserve"> תשובה</w:t>
      </w:r>
      <w:r>
        <w:rPr>
          <w:rFonts w:cs="Arial" w:hint="cs"/>
          <w:rtl/>
        </w:rPr>
        <w:t>:</w:t>
      </w:r>
      <w:r>
        <w:rPr>
          <w:rFonts w:cs="Arial"/>
          <w:rtl/>
        </w:rPr>
        <w:t xml:space="preserve"> אם היה אחד מן הנשבעין ונוטלין חשוד אין הופכין את השבועה בעצמה על הנתבע לפי שהיא תקנתא דרבנן וכשם שאין הופכין שבועת היסת מתקנתא לתקנתא כך אין הופכין את התקנה לאחרת אלא תחזור השבועה על הנתבע בהיסת.</w:t>
      </w:r>
    </w:p>
  </w:footnote>
  <w:footnote w:id="1749">
    <w:p w14:paraId="5D1CB79B" w14:textId="43158D2A" w:rsidR="00765B27" w:rsidRDefault="00765B27">
      <w:pPr>
        <w:pStyle w:val="a5"/>
      </w:pPr>
      <w:r>
        <w:rPr>
          <w:rStyle w:val="a7"/>
        </w:rPr>
        <w:footnoteRef/>
      </w:r>
      <w:r>
        <w:rPr>
          <w:rtl/>
        </w:rPr>
        <w:t xml:space="preserve"> </w:t>
      </w:r>
      <w:r>
        <w:rPr>
          <w:rFonts w:hint="cs"/>
          <w:rtl/>
        </w:rPr>
        <w:t>סימן - חיוב פיקח.</w:t>
      </w:r>
    </w:p>
  </w:footnote>
  <w:footnote w:id="1750">
    <w:p w14:paraId="436DF1CB" w14:textId="7A5F6FCD" w:rsidR="00CD736C" w:rsidRDefault="00CD736C">
      <w:pPr>
        <w:pStyle w:val="a5"/>
      </w:pPr>
      <w:r>
        <w:rPr>
          <w:rStyle w:val="a7"/>
        </w:rPr>
        <w:footnoteRef/>
      </w:r>
      <w:r>
        <w:rPr>
          <w:rtl/>
        </w:rPr>
        <w:t xml:space="preserve"> </w:t>
      </w:r>
      <w:r>
        <w:rPr>
          <w:rFonts w:cs="Arial"/>
          <w:rtl/>
        </w:rPr>
        <w:t xml:space="preserve">וכתב הרמב"ם </w:t>
      </w:r>
      <w:r>
        <w:rPr>
          <w:rFonts w:cs="Arial" w:hint="cs"/>
          <w:rtl/>
        </w:rPr>
        <w:t xml:space="preserve">(פט"ז </w:t>
      </w:r>
      <w:r>
        <w:rPr>
          <w:rFonts w:cs="Arial"/>
          <w:rtl/>
        </w:rPr>
        <w:t>הי"ז) דהיכא דלא אמרה אמנה היתה ביני לבינו [בדק הבית] אלא אמרה אין בשטר כתובתי אלא חמש מאות אינה נפרעת בשטר זה שיש בו אלף כלום משום [עד כאן] דהוי שטרא חספא בעלמא</w:t>
      </w:r>
      <w:r w:rsidR="003302F6">
        <w:rPr>
          <w:rFonts w:cs="Arial" w:hint="cs"/>
          <w:rtl/>
        </w:rPr>
        <w:t>,</w:t>
      </w:r>
      <w:r>
        <w:rPr>
          <w:rFonts w:cs="Arial"/>
          <w:rtl/>
        </w:rPr>
        <w:t xml:space="preserve"> נשבע היסת ונפטר</w:t>
      </w:r>
      <w:r w:rsidR="003302F6">
        <w:rPr>
          <w:rFonts w:cs="Arial" w:hint="cs"/>
          <w:rtl/>
        </w:rPr>
        <w:t>.</w:t>
      </w:r>
      <w:r>
        <w:rPr>
          <w:rFonts w:cs="Arial"/>
          <w:rtl/>
        </w:rPr>
        <w:t xml:space="preserve"> ופשוט הוא</w:t>
      </w:r>
      <w:r>
        <w:rPr>
          <w:rFonts w:cs="Arial" w:hint="cs"/>
          <w:rtl/>
        </w:rPr>
        <w:t>, ב"י.</w:t>
      </w:r>
      <w:r w:rsidR="003302F6">
        <w:rPr>
          <w:rFonts w:cs="Arial" w:hint="cs"/>
          <w:rtl/>
        </w:rPr>
        <w:t xml:space="preserve"> </w:t>
      </w:r>
      <w:r w:rsidR="003302F6" w:rsidRPr="003302F6">
        <w:rPr>
          <w:rFonts w:cs="Arial" w:hint="cs"/>
          <w:color w:val="00B0F0"/>
          <w:rtl/>
        </w:rPr>
        <w:t>(וכ"פ הרמ"א)</w:t>
      </w:r>
    </w:p>
  </w:footnote>
  <w:footnote w:id="1751">
    <w:p w14:paraId="6E145131" w14:textId="121E2C51" w:rsidR="001B44B8" w:rsidRDefault="001B44B8">
      <w:pPr>
        <w:pStyle w:val="a5"/>
      </w:pPr>
      <w:r>
        <w:rPr>
          <w:rStyle w:val="a7"/>
        </w:rPr>
        <w:footnoteRef/>
      </w:r>
      <w:r>
        <w:rPr>
          <w:rtl/>
        </w:rPr>
        <w:t xml:space="preserve"> </w:t>
      </w:r>
      <w:r>
        <w:rPr>
          <w:rFonts w:hint="cs"/>
          <w:rtl/>
        </w:rPr>
        <w:t>סימן - חזה כהן.</w:t>
      </w:r>
    </w:p>
  </w:footnote>
  <w:footnote w:id="1752">
    <w:p w14:paraId="13EE9C6B" w14:textId="77777777" w:rsidR="007239EB" w:rsidRDefault="007239EB" w:rsidP="007239EB">
      <w:pPr>
        <w:pStyle w:val="a5"/>
      </w:pPr>
      <w:r>
        <w:rPr>
          <w:rStyle w:val="a7"/>
        </w:rPr>
        <w:footnoteRef/>
      </w:r>
      <w:r>
        <w:rPr>
          <w:rtl/>
        </w:rPr>
        <w:t xml:space="preserve"> </w:t>
      </w:r>
      <w:r>
        <w:rPr>
          <w:rFonts w:cs="Arial"/>
          <w:rtl/>
        </w:rPr>
        <w:t>פירוש שהוא מצטרף עם עד אחד שהיה גדול כשראה כן</w:t>
      </w:r>
      <w:r>
        <w:rPr>
          <w:rFonts w:cs="Arial" w:hint="cs"/>
          <w:rtl/>
        </w:rPr>
        <w:t>, ב"י.</w:t>
      </w:r>
    </w:p>
  </w:footnote>
  <w:footnote w:id="1753">
    <w:p w14:paraId="2B83BAAC" w14:textId="105B9627" w:rsidR="007239EB" w:rsidRDefault="007239EB">
      <w:pPr>
        <w:pStyle w:val="a5"/>
      </w:pPr>
      <w:r>
        <w:rPr>
          <w:rStyle w:val="a7"/>
        </w:rPr>
        <w:footnoteRef/>
      </w:r>
      <w:r>
        <w:rPr>
          <w:rtl/>
        </w:rPr>
        <w:t xml:space="preserve"> </w:t>
      </w:r>
      <w:r>
        <w:rPr>
          <w:rFonts w:cs="Arial"/>
          <w:rtl/>
        </w:rPr>
        <w:t>וכתב הה</w:t>
      </w:r>
      <w:r>
        <w:rPr>
          <w:rFonts w:cs="Arial" w:hint="cs"/>
          <w:rtl/>
        </w:rPr>
        <w:t>"</w:t>
      </w:r>
      <w:r>
        <w:rPr>
          <w:rFonts w:cs="Arial"/>
          <w:rtl/>
        </w:rPr>
        <w:t>מ שנראה שהוא ז"ל מפרש דלא קיימא הא דרב הונא אלא אזה כתב ידו של אבא ושל רבי ושל אחי בלבד השנויים שם באותה משנה</w:t>
      </w:r>
      <w:r>
        <w:rPr>
          <w:rFonts w:cs="Arial" w:hint="cs"/>
          <w:rtl/>
        </w:rPr>
        <w:t>,</w:t>
      </w:r>
      <w:r>
        <w:rPr>
          <w:rFonts w:cs="Arial"/>
          <w:rtl/>
        </w:rPr>
        <w:t xml:space="preserve"> אבל הרבה מן המפרשים ראיתי שפירשוה אהא דיצתה בהינומא עכ"ל</w:t>
      </w:r>
      <w:r>
        <w:rPr>
          <w:rFonts w:cs="Arial" w:hint="cs"/>
          <w:rtl/>
        </w:rPr>
        <w:t>, ב"י.</w:t>
      </w:r>
    </w:p>
  </w:footnote>
  <w:footnote w:id="1754">
    <w:p w14:paraId="24633CBE" w14:textId="5AF8B0A9" w:rsidR="00974AEC" w:rsidRDefault="00974AEC">
      <w:pPr>
        <w:pStyle w:val="a5"/>
        <w:rPr>
          <w:rtl/>
        </w:rPr>
      </w:pPr>
      <w:r>
        <w:rPr>
          <w:rStyle w:val="a7"/>
        </w:rPr>
        <w:footnoteRef/>
      </w:r>
      <w:r>
        <w:rPr>
          <w:rtl/>
        </w:rPr>
        <w:t xml:space="preserve"> </w:t>
      </w:r>
      <w:r>
        <w:rPr>
          <w:rFonts w:cs="Arial"/>
          <w:rtl/>
        </w:rPr>
        <w:t>וכתב עליו הראב"ד</w:t>
      </w:r>
      <w:r w:rsidR="003F4DCB">
        <w:rPr>
          <w:rFonts w:cs="Arial" w:hint="cs"/>
          <w:rtl/>
        </w:rPr>
        <w:t>:</w:t>
      </w:r>
      <w:r>
        <w:rPr>
          <w:rFonts w:cs="Arial"/>
          <w:rtl/>
        </w:rPr>
        <w:t xml:space="preserve"> שבועת התורה אין כאן שהרי כפירת שיעבוד קרקעות היא</w:t>
      </w:r>
      <w:r w:rsidR="003F4DCB">
        <w:rPr>
          <w:rFonts w:cs="Arial" w:hint="cs"/>
          <w:rtl/>
        </w:rPr>
        <w:t>.</w:t>
      </w:r>
      <w:r>
        <w:rPr>
          <w:rFonts w:cs="Arial"/>
          <w:rtl/>
        </w:rPr>
        <w:t xml:space="preserve"> וכתב עליו הרב המגיד</w:t>
      </w:r>
      <w:r w:rsidR="003F4DCB">
        <w:rPr>
          <w:rFonts w:cs="Arial" w:hint="cs"/>
          <w:rtl/>
        </w:rPr>
        <w:t>:</w:t>
      </w:r>
      <w:r>
        <w:rPr>
          <w:rFonts w:cs="Arial"/>
          <w:rtl/>
        </w:rPr>
        <w:t xml:space="preserve"> והכוונה לפי שאין הכתובה נגבית מן המטלטלין</w:t>
      </w:r>
      <w:r w:rsidR="003F4DCB">
        <w:rPr>
          <w:rFonts w:cs="Arial" w:hint="cs"/>
          <w:rtl/>
        </w:rPr>
        <w:t>,</w:t>
      </w:r>
      <w:r>
        <w:rPr>
          <w:rFonts w:cs="Arial"/>
          <w:rtl/>
        </w:rPr>
        <w:t xml:space="preserve"> ואני אומר שאין זו קושיא</w:t>
      </w:r>
      <w:r w:rsidR="003F4DCB">
        <w:rPr>
          <w:rFonts w:cs="Arial" w:hint="cs"/>
          <w:rtl/>
        </w:rPr>
        <w:t>,</w:t>
      </w:r>
      <w:r>
        <w:rPr>
          <w:rFonts w:cs="Arial"/>
          <w:rtl/>
        </w:rPr>
        <w:t xml:space="preserve"> שכיון שהגאונים תיקנו שתגבה כתובה ממטלטלין חזרה כתובה שאינה כפירת שעבוד קרקעות בלבד</w:t>
      </w:r>
      <w:r w:rsidR="003F4DCB">
        <w:rPr>
          <w:rFonts w:cs="Arial" w:hint="cs"/>
          <w:rtl/>
        </w:rPr>
        <w:t>.</w:t>
      </w:r>
      <w:r>
        <w:rPr>
          <w:rFonts w:cs="Arial"/>
          <w:rtl/>
        </w:rPr>
        <w:t xml:space="preserve"> ומ"מ ק"ל</w:t>
      </w:r>
      <w:r w:rsidR="003F4DCB">
        <w:rPr>
          <w:rFonts w:cs="Arial" w:hint="cs"/>
          <w:rtl/>
        </w:rPr>
        <w:t>,</w:t>
      </w:r>
      <w:r>
        <w:rPr>
          <w:rFonts w:cs="Arial"/>
          <w:rtl/>
        </w:rPr>
        <w:t xml:space="preserve"> שהרי רבינו דבריו בכאן הם במקום שאין כותבין כתובה וכמו שכתב</w:t>
      </w:r>
      <w:r w:rsidR="003F4DCB">
        <w:rPr>
          <w:rFonts w:cs="Arial" w:hint="cs"/>
          <w:rtl/>
        </w:rPr>
        <w:t>,</w:t>
      </w:r>
      <w:r>
        <w:rPr>
          <w:rFonts w:cs="Arial"/>
          <w:rtl/>
        </w:rPr>
        <w:t xml:space="preserve"> ובמקומות ההם אינו נאמן לומר פרעתי בעיקר הכתובה אא</w:t>
      </w:r>
      <w:r w:rsidR="003F4DCB">
        <w:rPr>
          <w:rFonts w:cs="Arial" w:hint="cs"/>
          <w:rtl/>
        </w:rPr>
        <w:t>"</w:t>
      </w:r>
      <w:r>
        <w:rPr>
          <w:rFonts w:cs="Arial"/>
          <w:rtl/>
        </w:rPr>
        <w:t>כ הביא ראיה וכמו שנתבאר (הכ"ב)</w:t>
      </w:r>
      <w:r w:rsidR="003F4DCB">
        <w:rPr>
          <w:rFonts w:cs="Arial" w:hint="cs"/>
          <w:rtl/>
        </w:rPr>
        <w:t>,</w:t>
      </w:r>
      <w:r>
        <w:rPr>
          <w:rFonts w:cs="Arial"/>
          <w:rtl/>
        </w:rPr>
        <w:t xml:space="preserve"> וכיון שכן היאך יקרא זה מודה מקצת</w:t>
      </w:r>
      <w:r w:rsidR="00607BF2">
        <w:rPr>
          <w:rFonts w:cs="Arial" w:hint="cs"/>
          <w:rtl/>
        </w:rPr>
        <w:t>,</w:t>
      </w:r>
      <w:r>
        <w:rPr>
          <w:rFonts w:cs="Arial"/>
          <w:rtl/>
        </w:rPr>
        <w:t xml:space="preserve"> וכבר נתבאר פ"ד מהלכות טוען (ה"ד) שאין מודה מקצת חייב שבועת התורה אלא בדבר שאיפשר לכפור בו</w:t>
      </w:r>
      <w:r w:rsidR="00607BF2">
        <w:rPr>
          <w:rFonts w:cs="Arial" w:hint="cs"/>
          <w:rtl/>
        </w:rPr>
        <w:t>.</w:t>
      </w:r>
      <w:r>
        <w:rPr>
          <w:rFonts w:cs="Arial"/>
          <w:rtl/>
        </w:rPr>
        <w:t xml:space="preserve"> אבל ודאי במקום שכותבין כתובה ונאבדה כיון שהבעל יכול לטעון ולומר פרעתי</w:t>
      </w:r>
      <w:r w:rsidR="00607BF2">
        <w:rPr>
          <w:rFonts w:cs="Arial" w:hint="cs"/>
          <w:rtl/>
        </w:rPr>
        <w:t>,</w:t>
      </w:r>
      <w:r>
        <w:rPr>
          <w:rFonts w:cs="Arial"/>
          <w:rtl/>
        </w:rPr>
        <w:t xml:space="preserve"> כשהוא מודה ואומר לא פרעתיה ואומר אלמנה נשאתיה</w:t>
      </w:r>
      <w:r w:rsidR="00607BF2">
        <w:rPr>
          <w:rFonts w:cs="Arial" w:hint="cs"/>
          <w:rtl/>
        </w:rPr>
        <w:t>,</w:t>
      </w:r>
      <w:r>
        <w:rPr>
          <w:rFonts w:cs="Arial"/>
          <w:rtl/>
        </w:rPr>
        <w:t xml:space="preserve"> והיא אומרת בתולה </w:t>
      </w:r>
      <w:r w:rsidR="00607BF2">
        <w:rPr>
          <w:rFonts w:cs="Arial" w:hint="cs"/>
          <w:rtl/>
        </w:rPr>
        <w:t xml:space="preserve">- </w:t>
      </w:r>
      <w:r>
        <w:rPr>
          <w:rFonts w:cs="Arial"/>
          <w:rtl/>
        </w:rPr>
        <w:t>יש כאן שבועת התורה כיון שמתקנת הגאונים נגבית אף מן המטלטלין כנ"ל עכ"ל</w:t>
      </w:r>
      <w:r>
        <w:rPr>
          <w:rFonts w:hint="cs"/>
          <w:rtl/>
        </w:rPr>
        <w:t>, ב"י.</w:t>
      </w:r>
      <w:r w:rsidR="00514AE5">
        <w:rPr>
          <w:rFonts w:hint="cs"/>
          <w:rtl/>
        </w:rPr>
        <w:t xml:space="preserve"> </w:t>
      </w:r>
      <w:r w:rsidR="00514AE5" w:rsidRPr="00514AE5">
        <w:rPr>
          <w:rFonts w:hint="cs"/>
          <w:color w:val="00B0F0"/>
          <w:rtl/>
        </w:rPr>
        <w:t>(וכ"כ הרמ"א)</w:t>
      </w:r>
    </w:p>
  </w:footnote>
  <w:footnote w:id="1755">
    <w:p w14:paraId="5B094BB2" w14:textId="1FC25FEA" w:rsidR="004F6DD3" w:rsidRDefault="004F6DD3">
      <w:pPr>
        <w:pStyle w:val="a5"/>
        <w:rPr>
          <w:rtl/>
        </w:rPr>
      </w:pPr>
      <w:r>
        <w:rPr>
          <w:rStyle w:val="a7"/>
        </w:rPr>
        <w:footnoteRef/>
      </w:r>
      <w:r>
        <w:rPr>
          <w:rtl/>
        </w:rPr>
        <w:t xml:space="preserve"> </w:t>
      </w:r>
      <w:r>
        <w:rPr>
          <w:rFonts w:cs="Arial" w:hint="cs"/>
          <w:rtl/>
        </w:rPr>
        <w:t>ו</w:t>
      </w:r>
      <w:r w:rsidRPr="005340A6">
        <w:rPr>
          <w:rFonts w:cs="Arial"/>
          <w:rtl/>
        </w:rPr>
        <w:t>שבועה דאורייתא לא בעי אע</w:t>
      </w:r>
      <w:r>
        <w:rPr>
          <w:rFonts w:cs="Arial" w:hint="cs"/>
          <w:rtl/>
        </w:rPr>
        <w:t>"</w:t>
      </w:r>
      <w:r w:rsidRPr="005340A6">
        <w:rPr>
          <w:rFonts w:cs="Arial"/>
          <w:rtl/>
        </w:rPr>
        <w:t>פ שהיא תובעת מאתים והוא מודה לה במנה</w:t>
      </w:r>
      <w:r>
        <w:rPr>
          <w:rFonts w:cs="Arial" w:hint="cs"/>
          <w:rtl/>
        </w:rPr>
        <w:t>,</w:t>
      </w:r>
      <w:r w:rsidRPr="005340A6">
        <w:rPr>
          <w:rFonts w:cs="Arial"/>
          <w:rtl/>
        </w:rPr>
        <w:t xml:space="preserve"> ולא חשבינן ליה כמודה מקצת משום דהוה ליה כהודאת שיעבוד קרקעות דכתובה שיעבוד קרקע היא. ואפילו לבתר דתקינו דכתובה גובה ממטלטלי לפי שאינו יכול לומר פרעתי</w:t>
      </w:r>
      <w:r>
        <w:rPr>
          <w:rFonts w:cs="Arial" w:hint="cs"/>
          <w:rtl/>
        </w:rPr>
        <w:t>,</w:t>
      </w:r>
      <w:r w:rsidRPr="005340A6">
        <w:rPr>
          <w:rFonts w:cs="Arial"/>
          <w:rtl/>
        </w:rPr>
        <w:t xml:space="preserve"> כרבי יוחנן דאמר הטוען אחר מעשה ב"ד לא אמר כלום</w:t>
      </w:r>
      <w:r>
        <w:rPr>
          <w:rFonts w:cs="Arial" w:hint="cs"/>
          <w:rtl/>
        </w:rPr>
        <w:t>,</w:t>
      </w:r>
      <w:r w:rsidRPr="005340A6">
        <w:rPr>
          <w:rFonts w:cs="Arial"/>
          <w:rtl/>
        </w:rPr>
        <w:t xml:space="preserve"> הלכך האי מנה דמודה ביה הוה ליה הילך כיון דאין לו טענה ליפטר הימנו</w:t>
      </w:r>
      <w:r>
        <w:rPr>
          <w:rFonts w:cs="Arial" w:hint="cs"/>
          <w:rtl/>
        </w:rPr>
        <w:t>,</w:t>
      </w:r>
      <w:r w:rsidRPr="005340A6">
        <w:rPr>
          <w:rFonts w:cs="Arial"/>
          <w:rtl/>
        </w:rPr>
        <w:t xml:space="preserve"> ואאידך מנה הוה ליה כופר הכל ופטור משבועה. והכי איתא בירושלמי דפרקין </w:t>
      </w:r>
      <w:r>
        <w:rPr>
          <w:rFonts w:cs="Arial"/>
          <w:rtl/>
        </w:rPr>
        <w:t>(ה"א)</w:t>
      </w:r>
      <w:r>
        <w:rPr>
          <w:rFonts w:hint="cs"/>
          <w:rtl/>
        </w:rPr>
        <w:t>, רא"ש (שם).</w:t>
      </w:r>
    </w:p>
  </w:footnote>
  <w:footnote w:id="1756">
    <w:p w14:paraId="197A8CBE" w14:textId="24049FD0" w:rsidR="00BC27F0" w:rsidRDefault="00BC27F0">
      <w:pPr>
        <w:pStyle w:val="a5"/>
        <w:rPr>
          <w:rtl/>
        </w:rPr>
      </w:pPr>
      <w:r>
        <w:rPr>
          <w:rStyle w:val="a7"/>
        </w:rPr>
        <w:footnoteRef/>
      </w:r>
      <w:r>
        <w:rPr>
          <w:rtl/>
        </w:rPr>
        <w:t xml:space="preserve"> </w:t>
      </w:r>
      <w:r>
        <w:rPr>
          <w:rFonts w:hint="cs"/>
          <w:rtl/>
        </w:rPr>
        <w:t>סימן - ג' צריכות. וכן - גם צריכה.</w:t>
      </w:r>
    </w:p>
  </w:footnote>
  <w:footnote w:id="1757">
    <w:p w14:paraId="25062E5F" w14:textId="77777777" w:rsidR="00CD0FFC" w:rsidRDefault="00CD0FFC" w:rsidP="00CD0FFC">
      <w:pPr>
        <w:pStyle w:val="a5"/>
      </w:pPr>
      <w:r>
        <w:rPr>
          <w:rStyle w:val="a7"/>
        </w:rPr>
        <w:footnoteRef/>
      </w:r>
      <w:r>
        <w:rPr>
          <w:rtl/>
        </w:rPr>
        <w:t xml:space="preserve"> </w:t>
      </w:r>
      <w:r w:rsidRPr="00F42F53">
        <w:rPr>
          <w:rFonts w:cs="Arial"/>
          <w:rtl/>
        </w:rPr>
        <w:t>אם שניה טוענת הואיל ואת באת ליטול תחלה השבעי לי שלא גבית משל בעלי כלום</w:t>
      </w:r>
      <w:r>
        <w:rPr>
          <w:rFonts w:cs="Arial" w:hint="cs"/>
          <w:rtl/>
        </w:rPr>
        <w:t>,</w:t>
      </w:r>
      <w:r w:rsidRPr="00F42F53">
        <w:rPr>
          <w:rFonts w:cs="Arial"/>
          <w:rtl/>
        </w:rPr>
        <w:t xml:space="preserve"> דלמא לא משתייר לי נכסים כשיעור כתובתי</w:t>
      </w:r>
      <w:r>
        <w:rPr>
          <w:rFonts w:cs="Arial" w:hint="cs"/>
          <w:rtl/>
        </w:rPr>
        <w:t>.</w:t>
      </w:r>
      <w:r w:rsidRPr="00F42F53">
        <w:rPr>
          <w:rFonts w:cs="Arial"/>
          <w:rtl/>
        </w:rPr>
        <w:t xml:space="preserve"> ואף שלישית תאמר כן לשניה</w:t>
      </w:r>
      <w:r>
        <w:rPr>
          <w:rFonts w:cs="Arial" w:hint="cs"/>
          <w:rtl/>
        </w:rPr>
        <w:t>,</w:t>
      </w:r>
      <w:r w:rsidRPr="00F42F53">
        <w:rPr>
          <w:rFonts w:cs="Arial"/>
          <w:rtl/>
        </w:rPr>
        <w:t xml:space="preserve"> ורביעית לשלישית</w:t>
      </w:r>
      <w:r>
        <w:rPr>
          <w:rFonts w:cs="Arial" w:hint="cs"/>
          <w:rtl/>
        </w:rPr>
        <w:t>.</w:t>
      </w:r>
      <w:r w:rsidRPr="00F42F53">
        <w:rPr>
          <w:rFonts w:cs="Arial"/>
          <w:rtl/>
        </w:rPr>
        <w:t xml:space="preserve"> אבל הרביעית נפרעת שלא בשבועה</w:t>
      </w:r>
      <w:r>
        <w:rPr>
          <w:rFonts w:cs="Arial" w:hint="cs"/>
          <w:rtl/>
        </w:rPr>
        <w:t>,</w:t>
      </w:r>
      <w:r w:rsidRPr="00F42F53">
        <w:rPr>
          <w:rFonts w:cs="Arial"/>
          <w:rtl/>
        </w:rPr>
        <w:t xml:space="preserve"> וכגון שהיתומים גדולים</w:t>
      </w:r>
      <w:r>
        <w:rPr>
          <w:rFonts w:cs="Arial" w:hint="cs"/>
          <w:rtl/>
        </w:rPr>
        <w:t>,</w:t>
      </w:r>
      <w:r w:rsidRPr="00F42F53">
        <w:rPr>
          <w:rFonts w:cs="Arial"/>
          <w:rtl/>
        </w:rPr>
        <w:t xml:space="preserve"> וקסבר האי תנא כי אמרו רבנן </w:t>
      </w:r>
      <w:r w:rsidRPr="00A45E0C">
        <w:rPr>
          <w:rFonts w:cs="Arial"/>
          <w:rtl/>
        </w:rPr>
        <w:t>(כתובות פז.)</w:t>
      </w:r>
      <w:r>
        <w:rPr>
          <w:rFonts w:cs="Arial" w:hint="cs"/>
          <w:rtl/>
        </w:rPr>
        <w:t xml:space="preserve"> </w:t>
      </w:r>
      <w:r w:rsidRPr="00F42F53">
        <w:rPr>
          <w:rFonts w:cs="Arial"/>
          <w:rtl/>
        </w:rPr>
        <w:t>הבא ליפרע מנכסי יתומים לא יפרע אלא בשבועה ביתומים קטנים אמרו ולא בגדולים</w:t>
      </w:r>
      <w:r>
        <w:rPr>
          <w:rFonts w:cs="Arial" w:hint="cs"/>
          <w:rtl/>
        </w:rPr>
        <w:t>, רש"י.</w:t>
      </w:r>
    </w:p>
  </w:footnote>
  <w:footnote w:id="1758">
    <w:p w14:paraId="503C077C" w14:textId="0114781C" w:rsidR="00FD167C" w:rsidRDefault="00FD167C">
      <w:pPr>
        <w:pStyle w:val="a5"/>
        <w:rPr>
          <w:rtl/>
        </w:rPr>
      </w:pPr>
      <w:r>
        <w:rPr>
          <w:rStyle w:val="a7"/>
        </w:rPr>
        <w:footnoteRef/>
      </w:r>
      <w:r>
        <w:rPr>
          <w:rtl/>
        </w:rPr>
        <w:t xml:space="preserve"> </w:t>
      </w:r>
      <w:r w:rsidRPr="00FD167C">
        <w:rPr>
          <w:rFonts w:cs="Arial"/>
          <w:rtl/>
        </w:rPr>
        <w:t>והיתומים באים להשביעה</w:t>
      </w:r>
      <w:r>
        <w:rPr>
          <w:rFonts w:cs="Arial" w:hint="cs"/>
          <w:rtl/>
        </w:rPr>
        <w:t>...</w:t>
      </w:r>
      <w:r>
        <w:rPr>
          <w:rFonts w:hint="cs"/>
          <w:rtl/>
        </w:rPr>
        <w:t>, רש"י.</w:t>
      </w:r>
    </w:p>
  </w:footnote>
  <w:footnote w:id="1759">
    <w:p w14:paraId="6E926AC1" w14:textId="2254EDAC" w:rsidR="00FD167C" w:rsidRDefault="00FD167C">
      <w:pPr>
        <w:pStyle w:val="a5"/>
      </w:pPr>
      <w:r>
        <w:rPr>
          <w:rStyle w:val="a7"/>
        </w:rPr>
        <w:footnoteRef/>
      </w:r>
      <w:r>
        <w:rPr>
          <w:rtl/>
        </w:rPr>
        <w:t xml:space="preserve"> </w:t>
      </w:r>
      <w:r w:rsidRPr="00FD167C">
        <w:rPr>
          <w:rFonts w:cs="Arial"/>
          <w:rtl/>
        </w:rPr>
        <w:t>הבא ליפרע מהם לא יפרע אלא בשבועה אף בגדולים אמרו</w:t>
      </w:r>
      <w:r>
        <w:rPr>
          <w:rFonts w:hint="cs"/>
          <w:rtl/>
        </w:rPr>
        <w:t>, רש"י.</w:t>
      </w:r>
    </w:p>
  </w:footnote>
  <w:footnote w:id="1760">
    <w:p w14:paraId="3858FCD5" w14:textId="358A53BC" w:rsidR="009D1D5B" w:rsidRDefault="009D1D5B">
      <w:pPr>
        <w:pStyle w:val="a5"/>
        <w:rPr>
          <w:rtl/>
        </w:rPr>
      </w:pPr>
      <w:r>
        <w:rPr>
          <w:rStyle w:val="a7"/>
        </w:rPr>
        <w:footnoteRef/>
      </w:r>
      <w:r>
        <w:rPr>
          <w:rtl/>
        </w:rPr>
        <w:t xml:space="preserve"> </w:t>
      </w:r>
      <w:r w:rsidRPr="009D1D5B">
        <w:rPr>
          <w:rFonts w:cs="Arial"/>
          <w:rtl/>
        </w:rPr>
        <w:t>הוא כבן ננס שאמר במשנה שאף האחרונה נשבעת</w:t>
      </w:r>
      <w:r w:rsidR="00FC4EBE">
        <w:rPr>
          <w:rFonts w:cs="Arial" w:hint="cs"/>
          <w:rtl/>
        </w:rPr>
        <w:t>,</w:t>
      </w:r>
      <w:r w:rsidRPr="009D1D5B">
        <w:rPr>
          <w:rFonts w:cs="Arial"/>
          <w:rtl/>
        </w:rPr>
        <w:t xml:space="preserve"> ואע</w:t>
      </w:r>
      <w:r w:rsidR="00185E92">
        <w:rPr>
          <w:rFonts w:cs="Arial" w:hint="cs"/>
          <w:rtl/>
        </w:rPr>
        <w:t>"</w:t>
      </w:r>
      <w:r w:rsidRPr="009D1D5B">
        <w:rPr>
          <w:rFonts w:cs="Arial"/>
          <w:rtl/>
        </w:rPr>
        <w:t>פ שבאה לגבות ממנו</w:t>
      </w:r>
      <w:r w:rsidR="00FC4EBE">
        <w:rPr>
          <w:rFonts w:cs="Arial" w:hint="cs"/>
          <w:rtl/>
        </w:rPr>
        <w:t>,</w:t>
      </w:r>
      <w:r w:rsidRPr="009D1D5B">
        <w:rPr>
          <w:rFonts w:cs="Arial"/>
          <w:rtl/>
        </w:rPr>
        <w:t xml:space="preserve"> וכגון שהן גרושות כולן נשבעות</w:t>
      </w:r>
      <w:r>
        <w:rPr>
          <w:rFonts w:cs="Arial" w:hint="cs"/>
          <w:rtl/>
        </w:rPr>
        <w:t>, הה"מ (שם).</w:t>
      </w:r>
      <w:r w:rsidR="00FC4EBE" w:rsidRPr="00FC4EBE">
        <w:rPr>
          <w:rFonts w:cs="Arial"/>
          <w:rtl/>
        </w:rPr>
        <w:t xml:space="preserve"> </w:t>
      </w:r>
      <w:r w:rsidR="00FC4EBE">
        <w:rPr>
          <w:rFonts w:cs="Arial" w:hint="cs"/>
          <w:rtl/>
        </w:rPr>
        <w:t xml:space="preserve">    </w:t>
      </w:r>
      <w:r w:rsidR="00FC4EBE" w:rsidRPr="00A45E0C">
        <w:rPr>
          <w:rFonts w:cs="Arial"/>
          <w:rtl/>
        </w:rPr>
        <w:t>ומשמע דא"א לומר דלאחרונה קאי</w:t>
      </w:r>
      <w:r w:rsidR="00FC4EBE">
        <w:rPr>
          <w:rFonts w:cs="Arial" w:hint="cs"/>
          <w:rtl/>
        </w:rPr>
        <w:t>,</w:t>
      </w:r>
      <w:r w:rsidR="00FC4EBE" w:rsidRPr="00A45E0C">
        <w:rPr>
          <w:rFonts w:cs="Arial"/>
          <w:rtl/>
        </w:rPr>
        <w:t xml:space="preserve"> דכיון דבאה לגבות ממנו למה צריכה לישבע</w:t>
      </w:r>
      <w:r w:rsidR="00FC4EBE">
        <w:rPr>
          <w:rFonts w:cs="Arial" w:hint="cs"/>
          <w:rtl/>
        </w:rPr>
        <w:t xml:space="preserve"> </w:t>
      </w:r>
      <w:r w:rsidR="00FC4EBE">
        <w:rPr>
          <w:rFonts w:cs="Arial" w:hint="cs"/>
          <w:sz w:val="16"/>
          <w:szCs w:val="16"/>
          <w:rtl/>
        </w:rPr>
        <w:t>{</w:t>
      </w:r>
      <w:r w:rsidR="00FC4EBE" w:rsidRPr="009D1D5B">
        <w:rPr>
          <w:rFonts w:cs="Arial"/>
          <w:sz w:val="16"/>
          <w:szCs w:val="16"/>
          <w:rtl/>
        </w:rPr>
        <w:t>כמו שנתבאר לעיל (עמ' ג) דגרושה א"צ שבועה</w:t>
      </w:r>
      <w:r w:rsidR="00FC4EBE">
        <w:rPr>
          <w:rFonts w:cs="Arial" w:hint="cs"/>
          <w:sz w:val="16"/>
          <w:szCs w:val="16"/>
          <w:rtl/>
        </w:rPr>
        <w:t>, דרכ"מ [אות י]}</w:t>
      </w:r>
      <w:r w:rsidR="00FC4EBE">
        <w:rPr>
          <w:rFonts w:cs="Arial" w:hint="cs"/>
          <w:rtl/>
        </w:rPr>
        <w:t>,</w:t>
      </w:r>
      <w:r w:rsidR="00FC4EBE" w:rsidRPr="00A45E0C">
        <w:rPr>
          <w:rFonts w:cs="Arial"/>
          <w:rtl/>
        </w:rPr>
        <w:t xml:space="preserve"> אלא אג' ראשונות בלבד קאי</w:t>
      </w:r>
      <w:r w:rsidR="00FC4EBE">
        <w:rPr>
          <w:rFonts w:cs="Arial" w:hint="cs"/>
          <w:rtl/>
        </w:rPr>
        <w:t>, ב"י.</w:t>
      </w:r>
    </w:p>
  </w:footnote>
  <w:footnote w:id="1761">
    <w:p w14:paraId="50979A3C" w14:textId="18147A37" w:rsidR="00BC27F0" w:rsidRDefault="00BC27F0">
      <w:pPr>
        <w:pStyle w:val="a5"/>
      </w:pPr>
      <w:r>
        <w:rPr>
          <w:rStyle w:val="a7"/>
        </w:rPr>
        <w:footnoteRef/>
      </w:r>
      <w:r>
        <w:rPr>
          <w:rtl/>
        </w:rPr>
        <w:t xml:space="preserve"> </w:t>
      </w:r>
      <w:r>
        <w:rPr>
          <w:rFonts w:hint="cs"/>
          <w:rtl/>
        </w:rPr>
        <w:t>סימן - גורשו בצוותא.</w:t>
      </w:r>
    </w:p>
  </w:footnote>
  <w:footnote w:id="1762">
    <w:p w14:paraId="76114415" w14:textId="494DB13C" w:rsidR="00D82514" w:rsidRDefault="00D82514">
      <w:pPr>
        <w:pStyle w:val="a5"/>
      </w:pPr>
      <w:r>
        <w:rPr>
          <w:rStyle w:val="a7"/>
        </w:rPr>
        <w:footnoteRef/>
      </w:r>
      <w:r>
        <w:rPr>
          <w:rtl/>
        </w:rPr>
        <w:t xml:space="preserve"> </w:t>
      </w:r>
      <w:r w:rsidRPr="00D82514">
        <w:rPr>
          <w:rFonts w:cs="Arial"/>
          <w:rtl/>
        </w:rPr>
        <w:t>כלומר יוצאות לפנינו ומלמדות שכולן נכתבו ביום אחד</w:t>
      </w:r>
      <w:r>
        <w:rPr>
          <w:rFonts w:cs="Arial" w:hint="cs"/>
          <w:rtl/>
        </w:rPr>
        <w:t>, רש"י.</w:t>
      </w:r>
    </w:p>
  </w:footnote>
  <w:footnote w:id="1763">
    <w:p w14:paraId="6B2E1186" w14:textId="77777777" w:rsidR="00425354" w:rsidRDefault="00425354" w:rsidP="00425354">
      <w:pPr>
        <w:pStyle w:val="a5"/>
      </w:pPr>
      <w:r>
        <w:rPr>
          <w:rStyle w:val="a7"/>
        </w:rPr>
        <w:footnoteRef/>
      </w:r>
      <w:r>
        <w:rPr>
          <w:rtl/>
        </w:rPr>
        <w:t xml:space="preserve"> </w:t>
      </w:r>
      <w:r w:rsidRPr="00134EAE">
        <w:rPr>
          <w:rFonts w:cs="Arial"/>
          <w:rtl/>
        </w:rPr>
        <w:t>ושלשתן נחתמו ביום אחד דאי בתלתא יומי הקודמת בשטר קודמת בגיבוי</w:t>
      </w:r>
      <w:r>
        <w:rPr>
          <w:rFonts w:cs="Arial" w:hint="cs"/>
          <w:rtl/>
        </w:rPr>
        <w:t>, רש"י.</w:t>
      </w:r>
    </w:p>
  </w:footnote>
  <w:footnote w:id="1764">
    <w:p w14:paraId="61632748" w14:textId="77777777" w:rsidR="00425354" w:rsidRDefault="00425354" w:rsidP="00425354">
      <w:pPr>
        <w:pStyle w:val="a5"/>
        <w:rPr>
          <w:rtl/>
        </w:rPr>
      </w:pPr>
      <w:r>
        <w:rPr>
          <w:rStyle w:val="a7"/>
        </w:rPr>
        <w:footnoteRef/>
      </w:r>
      <w:r>
        <w:rPr>
          <w:rtl/>
        </w:rPr>
        <w:t xml:space="preserve"> </w:t>
      </w:r>
      <w:r w:rsidRPr="00134EAE">
        <w:rPr>
          <w:rFonts w:cs="Arial"/>
          <w:rtl/>
        </w:rPr>
        <w:t>שהרי כח שלשתן שוה בשעבוד מנה דבכולהו איכא מנה</w:t>
      </w:r>
      <w:r>
        <w:rPr>
          <w:rFonts w:hint="cs"/>
          <w:rtl/>
        </w:rPr>
        <w:t>, רש"י.</w:t>
      </w:r>
    </w:p>
  </w:footnote>
  <w:footnote w:id="1765">
    <w:p w14:paraId="33E6DAAF" w14:textId="77777777" w:rsidR="00425354" w:rsidRDefault="00425354" w:rsidP="00425354">
      <w:pPr>
        <w:pStyle w:val="a5"/>
        <w:rPr>
          <w:rtl/>
        </w:rPr>
      </w:pPr>
      <w:r>
        <w:rPr>
          <w:rStyle w:val="a7"/>
        </w:rPr>
        <w:footnoteRef/>
      </w:r>
      <w:r>
        <w:rPr>
          <w:rtl/>
        </w:rPr>
        <w:t xml:space="preserve"> </w:t>
      </w:r>
      <w:r w:rsidRPr="000D783C">
        <w:rPr>
          <w:rFonts w:cs="Arial"/>
          <w:rtl/>
        </w:rPr>
        <w:t>אין לבעלת מנה שעבוד אלא במנה ראשון אבל במנה שני אין שעבוד לשטרה של מנה</w:t>
      </w:r>
      <w:r>
        <w:rPr>
          <w:rFonts w:hint="cs"/>
          <w:rtl/>
        </w:rPr>
        <w:t>, רש"י.</w:t>
      </w:r>
    </w:p>
  </w:footnote>
  <w:footnote w:id="1766">
    <w:p w14:paraId="3A604A22" w14:textId="77777777" w:rsidR="00425354" w:rsidRDefault="00425354" w:rsidP="00425354">
      <w:pPr>
        <w:pStyle w:val="a5"/>
      </w:pPr>
      <w:r>
        <w:rPr>
          <w:rStyle w:val="a7"/>
        </w:rPr>
        <w:footnoteRef/>
      </w:r>
      <w:r>
        <w:rPr>
          <w:rtl/>
        </w:rPr>
        <w:t xml:space="preserve"> </w:t>
      </w:r>
      <w:r w:rsidRPr="00F12543">
        <w:rPr>
          <w:rFonts w:cs="Arial"/>
          <w:rtl/>
        </w:rPr>
        <w:t>שלשה דינרי זהב וכל דינר זהב עשרים וחמשה דינרי כסף כדאמר בהזהב (ב"מ דף מה:) ושל מאתים כחה שוה במאתים לבעלת שלש מאות שהרי מאתים משועבדים לשטרה</w:t>
      </w:r>
      <w:r>
        <w:rPr>
          <w:rFonts w:cs="Arial" w:hint="cs"/>
          <w:rtl/>
        </w:rPr>
        <w:t>, רש"י.</w:t>
      </w:r>
    </w:p>
  </w:footnote>
  <w:footnote w:id="1767">
    <w:p w14:paraId="1B08DD09" w14:textId="77777777" w:rsidR="00425354" w:rsidRDefault="00425354" w:rsidP="00425354">
      <w:pPr>
        <w:pStyle w:val="a5"/>
        <w:rPr>
          <w:rtl/>
        </w:rPr>
      </w:pPr>
      <w:r>
        <w:rPr>
          <w:rStyle w:val="a7"/>
        </w:rPr>
        <w:footnoteRef/>
      </w:r>
      <w:r>
        <w:rPr>
          <w:rtl/>
        </w:rPr>
        <w:t xml:space="preserve"> </w:t>
      </w:r>
      <w:r w:rsidRPr="00D6029A">
        <w:rPr>
          <w:rFonts w:cs="Arial"/>
          <w:rtl/>
        </w:rPr>
        <w:t>מנה ראשון משועבד לכולן והשני לבעלת מאתים ולבעלת שלש מאות והשלישי לבעלת שלש מאות לבדה</w:t>
      </w:r>
      <w:r>
        <w:rPr>
          <w:rFonts w:hint="cs"/>
          <w:rtl/>
        </w:rPr>
        <w:t>, רש"י.</w:t>
      </w:r>
    </w:p>
  </w:footnote>
  <w:footnote w:id="1768">
    <w:p w14:paraId="3E145E36" w14:textId="77777777" w:rsidR="00425354" w:rsidRDefault="00425354" w:rsidP="00425354">
      <w:pPr>
        <w:pStyle w:val="a5"/>
      </w:pPr>
      <w:r>
        <w:rPr>
          <w:rStyle w:val="a7"/>
        </w:rPr>
        <w:footnoteRef/>
      </w:r>
      <w:r>
        <w:rPr>
          <w:rtl/>
        </w:rPr>
        <w:t xml:space="preserve"> </w:t>
      </w:r>
      <w:r w:rsidRPr="00D6029A">
        <w:rPr>
          <w:rFonts w:cs="Arial"/>
          <w:rtl/>
        </w:rPr>
        <w:t>הם מאה וחמשים זוז</w:t>
      </w:r>
      <w:r>
        <w:rPr>
          <w:rFonts w:cs="Arial" w:hint="cs"/>
          <w:rtl/>
        </w:rPr>
        <w:t>, רש"י.</w:t>
      </w:r>
    </w:p>
  </w:footnote>
  <w:footnote w:id="1769">
    <w:p w14:paraId="0DBC779F" w14:textId="43F97F74" w:rsidR="00BA0136" w:rsidRDefault="00BA0136">
      <w:pPr>
        <w:pStyle w:val="a5"/>
      </w:pPr>
      <w:r>
        <w:rPr>
          <w:rStyle w:val="a7"/>
        </w:rPr>
        <w:footnoteRef/>
      </w:r>
      <w:r>
        <w:rPr>
          <w:rtl/>
        </w:rPr>
        <w:t xml:space="preserve"> </w:t>
      </w:r>
      <w:r>
        <w:rPr>
          <w:rFonts w:hint="cs"/>
          <w:rtl/>
        </w:rPr>
        <w:t>סימן - דחו לטוטא.</w:t>
      </w:r>
    </w:p>
  </w:footnote>
  <w:footnote w:id="1770">
    <w:p w14:paraId="71F37EA5" w14:textId="797BC8DF" w:rsidR="00872B02" w:rsidRDefault="00872B02">
      <w:pPr>
        <w:pStyle w:val="a5"/>
        <w:rPr>
          <w:rtl/>
        </w:rPr>
      </w:pPr>
      <w:r>
        <w:rPr>
          <w:rStyle w:val="a7"/>
        </w:rPr>
        <w:footnoteRef/>
      </w:r>
      <w:r>
        <w:rPr>
          <w:rtl/>
        </w:rPr>
        <w:t xml:space="preserve"> </w:t>
      </w:r>
      <w:r>
        <w:rPr>
          <w:rFonts w:cs="Arial"/>
          <w:rtl/>
        </w:rPr>
        <w:t>וכיון שנמנעו מלהשביעה ונמצאת מפסדת כתובתה התקין רבן גמליאל שתהא נודרת ליתומים כל מה שירצו</w:t>
      </w:r>
      <w:r>
        <w:rPr>
          <w:rFonts w:cs="Arial" w:hint="cs"/>
          <w:rtl/>
        </w:rPr>
        <w:t>,</w:t>
      </w:r>
      <w:r>
        <w:rPr>
          <w:rFonts w:cs="Arial"/>
          <w:rtl/>
        </w:rPr>
        <w:t xml:space="preserve"> יבחרו להם היתומים דבר קשה להדירה בו כגון קונם מיני מזונות עלי אם נהניתי מכתובתי</w:t>
      </w:r>
      <w:r>
        <w:rPr>
          <w:rFonts w:cs="Arial" w:hint="cs"/>
          <w:rtl/>
        </w:rPr>
        <w:t>,</w:t>
      </w:r>
      <w:r>
        <w:rPr>
          <w:rFonts w:cs="Arial"/>
          <w:rtl/>
        </w:rPr>
        <w:t xml:space="preserve"> וגובה כתובתה</w:t>
      </w:r>
      <w:r>
        <w:rPr>
          <w:rFonts w:cs="Arial" w:hint="cs"/>
          <w:rtl/>
        </w:rPr>
        <w:t>,</w:t>
      </w:r>
      <w:r>
        <w:rPr>
          <w:rFonts w:cs="Arial"/>
          <w:rtl/>
        </w:rPr>
        <w:t xml:space="preserve"> ואם נתקבלה תחלה הרי היא נאסרת במזון הילכך לא הדרא שקלה</w:t>
      </w:r>
      <w:r>
        <w:rPr>
          <w:rFonts w:cs="Arial" w:hint="cs"/>
          <w:rtl/>
        </w:rPr>
        <w:t>.</w:t>
      </w:r>
      <w:r>
        <w:rPr>
          <w:rFonts w:cs="Arial"/>
          <w:rtl/>
        </w:rPr>
        <w:t xml:space="preserve"> ולא חשידא לעבור על נדרה</w:t>
      </w:r>
      <w:r>
        <w:rPr>
          <w:rFonts w:cs="Arial" w:hint="cs"/>
          <w:rtl/>
        </w:rPr>
        <w:t>,</w:t>
      </w:r>
      <w:r>
        <w:rPr>
          <w:rFonts w:cs="Arial"/>
          <w:rtl/>
        </w:rPr>
        <w:t xml:space="preserve"> ואפילו תעבור אין ענשן של נדרים חמור כל כך כענשן של שבועות שנפרעין ממנו ומכל העולם</w:t>
      </w:r>
      <w:r>
        <w:rPr>
          <w:rFonts w:cs="Arial" w:hint="cs"/>
          <w:rtl/>
        </w:rPr>
        <w:t>,</w:t>
      </w:r>
      <w:r>
        <w:rPr>
          <w:rFonts w:cs="Arial"/>
          <w:rtl/>
        </w:rPr>
        <w:t xml:space="preserve"> ובירושלמי (גיטין פ"ד ה"ג) אמרו בראשונה היו נשבעות לשקר וקובעות את בניהם ולא עוד אלא שאימת נדרים עליהם יותר מן השבועה עכ"ל הר"ן ז"ל (יח. ד"ה מתני')</w:t>
      </w:r>
      <w:r>
        <w:rPr>
          <w:rFonts w:cs="Arial" w:hint="cs"/>
          <w:rtl/>
        </w:rPr>
        <w:t>, ב"י.</w:t>
      </w:r>
    </w:p>
  </w:footnote>
  <w:footnote w:id="1771">
    <w:p w14:paraId="7B3CA9F1" w14:textId="30D2588C" w:rsidR="005213C8" w:rsidRDefault="005213C8">
      <w:pPr>
        <w:pStyle w:val="a5"/>
      </w:pPr>
      <w:r>
        <w:rPr>
          <w:rStyle w:val="a7"/>
        </w:rPr>
        <w:footnoteRef/>
      </w:r>
      <w:r>
        <w:rPr>
          <w:rtl/>
        </w:rPr>
        <w:t xml:space="preserve"> </w:t>
      </w:r>
      <w:r w:rsidRPr="005213C8">
        <w:rPr>
          <w:rFonts w:cs="Arial"/>
          <w:rtl/>
        </w:rPr>
        <w:t>ששבועת הדיינין של תורה היא ונקט ס"ת בידיה או תפילין ומשביע לה בשם או בכינוי כדאשכחן באברהם שים נא ידך וגו' ואשביעך בה' (בראשית כד) ועונשה מרובה</w:t>
      </w:r>
      <w:r>
        <w:rPr>
          <w:rFonts w:cs="Arial" w:hint="cs"/>
          <w:rtl/>
        </w:rPr>
        <w:t>.</w:t>
      </w:r>
      <w:r w:rsidRPr="005213C8">
        <w:rPr>
          <w:rFonts w:cs="Arial"/>
          <w:rtl/>
        </w:rPr>
        <w:t xml:space="preserve"> וחוץ לב"ד שבועה דרבנן בקללת ארור ולא נקיט מידי ואין עונשה כל כך</w:t>
      </w:r>
      <w:r>
        <w:rPr>
          <w:rFonts w:hint="cs"/>
          <w:rtl/>
        </w:rPr>
        <w:t>, רש"י.</w:t>
      </w:r>
    </w:p>
  </w:footnote>
  <w:footnote w:id="1772">
    <w:p w14:paraId="3FB67736" w14:textId="6813BBFB" w:rsidR="00384208" w:rsidRDefault="00384208">
      <w:pPr>
        <w:pStyle w:val="a5"/>
        <w:rPr>
          <w:rtl/>
        </w:rPr>
      </w:pPr>
      <w:r>
        <w:rPr>
          <w:rStyle w:val="a7"/>
        </w:rPr>
        <w:footnoteRef/>
      </w:r>
      <w:r>
        <w:rPr>
          <w:rtl/>
        </w:rPr>
        <w:t xml:space="preserve"> </w:t>
      </w:r>
      <w:r w:rsidRPr="00384208">
        <w:rPr>
          <w:rFonts w:cs="Arial"/>
          <w:rtl/>
        </w:rPr>
        <w:t>כל מה שירצו יתומים</w:t>
      </w:r>
      <w:r>
        <w:rPr>
          <w:rFonts w:hint="cs"/>
          <w:rtl/>
        </w:rPr>
        <w:t>, רש"י.</w:t>
      </w:r>
    </w:p>
  </w:footnote>
  <w:footnote w:id="1773">
    <w:p w14:paraId="4DFC5594" w14:textId="2BCFDD70" w:rsidR="006C235D" w:rsidRDefault="006C235D">
      <w:pPr>
        <w:pStyle w:val="a5"/>
        <w:rPr>
          <w:rtl/>
        </w:rPr>
      </w:pPr>
      <w:r>
        <w:rPr>
          <w:rStyle w:val="a7"/>
        </w:rPr>
        <w:footnoteRef/>
      </w:r>
      <w:r>
        <w:rPr>
          <w:rtl/>
        </w:rPr>
        <w:t xml:space="preserve"> </w:t>
      </w:r>
      <w:r w:rsidRPr="00E4482A">
        <w:rPr>
          <w:rFonts w:cs="Arial"/>
          <w:rtl/>
        </w:rPr>
        <w:t>יש מי שאומר דמדירין אותה בבית דין ועוד משביעין אותה חוץ לבית דין שלא בנקיטת חפץ והיינו דאמר ליה רב יהודה לרבי ירמיה ביראה אדרה בבית דין ואשבעה חוץ לבית דין</w:t>
      </w:r>
      <w:r>
        <w:rPr>
          <w:rFonts w:cs="Arial" w:hint="cs"/>
          <w:rtl/>
        </w:rPr>
        <w:t>.</w:t>
      </w:r>
      <w:r w:rsidRPr="00E4482A">
        <w:rPr>
          <w:rFonts w:cs="Arial"/>
          <w:rtl/>
        </w:rPr>
        <w:t xml:space="preserve"> ואני סבור דאין צריך אלא או זה או זה</w:t>
      </w:r>
      <w:r>
        <w:rPr>
          <w:rFonts w:cs="Arial" w:hint="cs"/>
          <w:rtl/>
        </w:rPr>
        <w:t>,</w:t>
      </w:r>
      <w:r w:rsidRPr="00E4482A">
        <w:rPr>
          <w:rFonts w:cs="Arial"/>
          <w:rtl/>
        </w:rPr>
        <w:t xml:space="preserve"> אי זה שירצו היתומים</w:t>
      </w:r>
      <w:r>
        <w:rPr>
          <w:rFonts w:cs="Arial" w:hint="cs"/>
          <w:rtl/>
        </w:rPr>
        <w:t>,</w:t>
      </w:r>
      <w:r w:rsidRPr="00E4482A">
        <w:rPr>
          <w:rFonts w:cs="Arial"/>
          <w:rtl/>
        </w:rPr>
        <w:t xml:space="preserve"> ורב יהודה הכי קאמר לרב ירמיה אדרה בבית דין אם ירצו היתומים או אשבעה חוץ לבית דין ושלא בנקיטת חפץ אם ירצו יותר היתומים בכך</w:t>
      </w:r>
      <w:r>
        <w:rPr>
          <w:rFonts w:hint="cs"/>
          <w:rtl/>
        </w:rPr>
        <w:t>, רשב"א (במיוחסות סי' מח).</w:t>
      </w:r>
    </w:p>
  </w:footnote>
  <w:footnote w:id="1774">
    <w:p w14:paraId="4CB88AE1" w14:textId="548A4639" w:rsidR="00384208" w:rsidRDefault="00384208">
      <w:pPr>
        <w:pStyle w:val="a5"/>
      </w:pPr>
      <w:r>
        <w:rPr>
          <w:rStyle w:val="a7"/>
        </w:rPr>
        <w:footnoteRef/>
      </w:r>
      <w:r>
        <w:rPr>
          <w:rtl/>
        </w:rPr>
        <w:t xml:space="preserve"> </w:t>
      </w:r>
      <w:r w:rsidRPr="00384208">
        <w:rPr>
          <w:rFonts w:cs="Arial"/>
          <w:rtl/>
        </w:rPr>
        <w:t>חפץ אני שישמע הקול באזני שהוגבה כתובה בימי</w:t>
      </w:r>
      <w:r>
        <w:rPr>
          <w:rFonts w:cs="Arial" w:hint="cs"/>
          <w:rtl/>
        </w:rPr>
        <w:t>, רש"י.</w:t>
      </w:r>
    </w:p>
  </w:footnote>
  <w:footnote w:id="1775">
    <w:p w14:paraId="608241C0" w14:textId="756461F2" w:rsidR="00811FEC" w:rsidRDefault="00811FEC">
      <w:pPr>
        <w:pStyle w:val="a5"/>
        <w:rPr>
          <w:rtl/>
        </w:rPr>
      </w:pPr>
      <w:r>
        <w:rPr>
          <w:rStyle w:val="a7"/>
        </w:rPr>
        <w:footnoteRef/>
      </w:r>
      <w:r>
        <w:rPr>
          <w:rtl/>
        </w:rPr>
        <w:t xml:space="preserve"> </w:t>
      </w:r>
      <w:r w:rsidRPr="00811FEC">
        <w:rPr>
          <w:rFonts w:cs="Arial"/>
          <w:rtl/>
        </w:rPr>
        <w:t>כשמואל רבי להוציא מלבן של תלמידיו של רב</w:t>
      </w:r>
      <w:r>
        <w:rPr>
          <w:rFonts w:cs="Arial" w:hint="cs"/>
          <w:rtl/>
        </w:rPr>
        <w:t>,</w:t>
      </w:r>
      <w:r w:rsidRPr="00811FEC">
        <w:rPr>
          <w:rFonts w:cs="Arial"/>
          <w:rtl/>
        </w:rPr>
        <w:t xml:space="preserve"> כגון רב הונא ובית דינו שלא היו מגבין כתובות אלמנה</w:t>
      </w:r>
      <w:r>
        <w:rPr>
          <w:rFonts w:hint="cs"/>
          <w:rtl/>
        </w:rPr>
        <w:t>, רש"י.</w:t>
      </w:r>
    </w:p>
  </w:footnote>
  <w:footnote w:id="1776">
    <w:p w14:paraId="5832A289" w14:textId="77777777" w:rsidR="00FF1267" w:rsidRDefault="00FF1267" w:rsidP="00FF1267">
      <w:pPr>
        <w:pStyle w:val="a5"/>
      </w:pPr>
      <w:r>
        <w:rPr>
          <w:rStyle w:val="a7"/>
        </w:rPr>
        <w:footnoteRef/>
      </w:r>
      <w:r w:rsidRPr="000727D9">
        <w:rPr>
          <w:rFonts w:cs="Arial"/>
          <w:rtl/>
        </w:rPr>
        <w:t xml:space="preserve"> וכן הוא לקמן בטור סימן ק"א (עמ' לב)</w:t>
      </w:r>
      <w:r>
        <w:rPr>
          <w:rFonts w:cs="Arial" w:hint="cs"/>
          <w:rtl/>
        </w:rPr>
        <w:t>,</w:t>
      </w:r>
      <w:r w:rsidRPr="000727D9">
        <w:rPr>
          <w:rFonts w:cs="Arial"/>
          <w:rtl/>
        </w:rPr>
        <w:t xml:space="preserve"> וכ"כ הרא"ש בתשובה </w:t>
      </w:r>
      <w:r>
        <w:rPr>
          <w:rFonts w:cs="Arial" w:hint="cs"/>
          <w:rtl/>
        </w:rPr>
        <w:t>(</w:t>
      </w:r>
      <w:r w:rsidRPr="000727D9">
        <w:rPr>
          <w:rFonts w:cs="Arial"/>
          <w:rtl/>
        </w:rPr>
        <w:t>כלל לו סי</w:t>
      </w:r>
      <w:r>
        <w:rPr>
          <w:rFonts w:cs="Arial" w:hint="cs"/>
          <w:rtl/>
        </w:rPr>
        <w:t>'</w:t>
      </w:r>
      <w:r w:rsidRPr="000727D9">
        <w:rPr>
          <w:rFonts w:cs="Arial"/>
          <w:rtl/>
        </w:rPr>
        <w:t xml:space="preserve"> ב</w:t>
      </w:r>
      <w:r>
        <w:rPr>
          <w:rFonts w:cs="Arial" w:hint="cs"/>
          <w:rtl/>
        </w:rPr>
        <w:t>)</w:t>
      </w:r>
      <w:r w:rsidRPr="000727D9">
        <w:rPr>
          <w:rFonts w:cs="Arial"/>
          <w:rtl/>
        </w:rPr>
        <w:t xml:space="preserve"> ובמרדכי ס</w:t>
      </w:r>
      <w:r>
        <w:rPr>
          <w:rFonts w:cs="Arial" w:hint="cs"/>
          <w:rtl/>
        </w:rPr>
        <w:t>"</w:t>
      </w:r>
      <w:r w:rsidRPr="000727D9">
        <w:rPr>
          <w:rFonts w:cs="Arial"/>
          <w:rtl/>
        </w:rPr>
        <w:t>פ הנושא (סי' רסה)</w:t>
      </w:r>
      <w:r>
        <w:rPr>
          <w:rFonts w:cs="Arial" w:hint="cs"/>
          <w:rtl/>
        </w:rPr>
        <w:t>, דרכ"מ (אות טו).</w:t>
      </w:r>
    </w:p>
  </w:footnote>
  <w:footnote w:id="1777">
    <w:p w14:paraId="5320ACF1" w14:textId="35740CF6" w:rsidR="00FF4FC3" w:rsidRDefault="00FF4FC3">
      <w:pPr>
        <w:pStyle w:val="a5"/>
      </w:pPr>
      <w:r>
        <w:rPr>
          <w:rStyle w:val="a7"/>
        </w:rPr>
        <w:footnoteRef/>
      </w:r>
      <w:r>
        <w:rPr>
          <w:rtl/>
        </w:rPr>
        <w:t xml:space="preserve"> </w:t>
      </w:r>
      <w:r w:rsidRPr="00F2680F">
        <w:rPr>
          <w:rFonts w:cs="Arial"/>
          <w:rtl/>
        </w:rPr>
        <w:t xml:space="preserve">כתב הר"ן </w:t>
      </w:r>
      <w:r>
        <w:rPr>
          <w:rFonts w:cs="Arial" w:hint="cs"/>
          <w:rtl/>
        </w:rPr>
        <w:t>(</w:t>
      </w:r>
      <w:r w:rsidRPr="00F2680F">
        <w:rPr>
          <w:rFonts w:cs="Arial"/>
          <w:rtl/>
        </w:rPr>
        <w:t>פ</w:t>
      </w:r>
      <w:r>
        <w:rPr>
          <w:rFonts w:cs="Arial" w:hint="cs"/>
          <w:rtl/>
        </w:rPr>
        <w:t>'</w:t>
      </w:r>
      <w:r w:rsidRPr="00F2680F">
        <w:rPr>
          <w:rFonts w:cs="Arial"/>
          <w:rtl/>
        </w:rPr>
        <w:t xml:space="preserve"> השולח יח. ד"ה גרסי') דאם נשבעה מעצמה בבית דין סגי בהכי</w:t>
      </w:r>
      <w:r>
        <w:rPr>
          <w:rFonts w:cs="Arial" w:hint="cs"/>
          <w:rtl/>
        </w:rPr>
        <w:t>,</w:t>
      </w:r>
      <w:r w:rsidRPr="00F2680F">
        <w:rPr>
          <w:rFonts w:cs="Arial"/>
          <w:rtl/>
        </w:rPr>
        <w:t xml:space="preserve"> וכן הוא בגמרא שם (לה</w:t>
      </w:r>
      <w:r>
        <w:rPr>
          <w:rFonts w:cs="Arial" w:hint="cs"/>
          <w:rtl/>
        </w:rPr>
        <w:t>.</w:t>
      </w:r>
      <w:r w:rsidRPr="00F2680F">
        <w:rPr>
          <w:rFonts w:cs="Arial"/>
          <w:rtl/>
        </w:rPr>
        <w:t>)</w:t>
      </w:r>
      <w:r>
        <w:rPr>
          <w:rFonts w:cs="Arial" w:hint="cs"/>
          <w:rtl/>
        </w:rPr>
        <w:t>.</w:t>
      </w:r>
      <w:r w:rsidRPr="00F2680F">
        <w:rPr>
          <w:rFonts w:cs="Arial"/>
          <w:rtl/>
        </w:rPr>
        <w:t xml:space="preserve"> כתב עוד הר"ן (ד"ה ומדאמרינן) אם נשבעה בלשון זה </w:t>
      </w:r>
      <w:r>
        <w:rPr>
          <w:rFonts w:cs="Arial" w:hint="cs"/>
          <w:rtl/>
        </w:rPr>
        <w:t>"</w:t>
      </w:r>
      <w:r w:rsidRPr="00F2680F">
        <w:rPr>
          <w:rFonts w:cs="Arial"/>
          <w:rtl/>
        </w:rPr>
        <w:t>אם נהניתי מכתובתי</w:t>
      </w:r>
      <w:r>
        <w:rPr>
          <w:rFonts w:cs="Arial" w:hint="cs"/>
          <w:rtl/>
        </w:rPr>
        <w:t>" -</w:t>
      </w:r>
      <w:r w:rsidRPr="00F2680F">
        <w:rPr>
          <w:rFonts w:cs="Arial"/>
          <w:rtl/>
        </w:rPr>
        <w:t xml:space="preserve"> סגי</w:t>
      </w:r>
      <w:r>
        <w:rPr>
          <w:rFonts w:cs="Arial" w:hint="cs"/>
          <w:rtl/>
        </w:rPr>
        <w:t>,</w:t>
      </w:r>
      <w:r w:rsidRPr="00F2680F">
        <w:rPr>
          <w:rFonts w:cs="Arial"/>
          <w:rtl/>
        </w:rPr>
        <w:t xml:space="preserve"> דאף גניבה בכלל הזה</w:t>
      </w:r>
      <w:r>
        <w:rPr>
          <w:rFonts w:cs="Arial" w:hint="cs"/>
          <w:rtl/>
        </w:rPr>
        <w:t>.</w:t>
      </w:r>
      <w:r w:rsidRPr="00F2680F">
        <w:rPr>
          <w:rFonts w:cs="Arial"/>
          <w:rtl/>
        </w:rPr>
        <w:t xml:space="preserve"> וכתב עוד </w:t>
      </w:r>
      <w:r>
        <w:rPr>
          <w:rFonts w:cs="Arial" w:hint="cs"/>
          <w:rtl/>
        </w:rPr>
        <w:t>(</w:t>
      </w:r>
      <w:r w:rsidRPr="00F2680F">
        <w:rPr>
          <w:rFonts w:cs="Arial"/>
          <w:rtl/>
        </w:rPr>
        <w:t>ר</w:t>
      </w:r>
      <w:r>
        <w:rPr>
          <w:rFonts w:cs="Arial" w:hint="cs"/>
          <w:rtl/>
        </w:rPr>
        <w:t>"פ</w:t>
      </w:r>
      <w:r w:rsidRPr="00F2680F">
        <w:rPr>
          <w:rFonts w:cs="Arial"/>
          <w:rtl/>
        </w:rPr>
        <w:t xml:space="preserve"> אף על פי כא: ד"ה לשבועה) אם נשבעה על כתובתה אין צריכה לישבע על התוספת</w:t>
      </w:r>
      <w:r>
        <w:rPr>
          <w:rFonts w:cs="Arial" w:hint="cs"/>
          <w:rtl/>
        </w:rPr>
        <w:t>, דרכ"מ (אות יב)</w:t>
      </w:r>
      <w:r w:rsidRPr="00F2680F">
        <w:rPr>
          <w:rFonts w:cs="Arial"/>
          <w:rtl/>
        </w:rPr>
        <w:t>.</w:t>
      </w:r>
    </w:p>
  </w:footnote>
  <w:footnote w:id="1778">
    <w:p w14:paraId="1B479E42" w14:textId="39C0A5A0" w:rsidR="00D5328B" w:rsidRDefault="00D5328B">
      <w:pPr>
        <w:pStyle w:val="a5"/>
        <w:rPr>
          <w:rtl/>
        </w:rPr>
      </w:pPr>
      <w:r>
        <w:rPr>
          <w:rStyle w:val="a7"/>
        </w:rPr>
        <w:footnoteRef/>
      </w:r>
      <w:r>
        <w:rPr>
          <w:rtl/>
        </w:rPr>
        <w:t xml:space="preserve"> </w:t>
      </w:r>
      <w:r>
        <w:rPr>
          <w:rFonts w:cs="Arial"/>
          <w:rtl/>
        </w:rPr>
        <w:t xml:space="preserve">כך כתבו התוספות </w:t>
      </w:r>
      <w:r w:rsidR="00C0309E">
        <w:rPr>
          <w:rFonts w:cs="Arial" w:hint="cs"/>
          <w:rtl/>
        </w:rPr>
        <w:t xml:space="preserve">(לה. ד"ה ונודרת, לה: ד"ה אבל נשאת) </w:t>
      </w:r>
      <w:r>
        <w:rPr>
          <w:rFonts w:cs="Arial"/>
          <w:rtl/>
        </w:rPr>
        <w:t>והרא"ש בפרק השולח. וכתב שם הר"ן (יח. ד"ה מתני') בגמרא אמרו נודרת ואוסרת כל פירות העולם</w:t>
      </w:r>
      <w:r>
        <w:rPr>
          <w:rFonts w:cs="Arial" w:hint="cs"/>
          <w:rtl/>
        </w:rPr>
        <w:t>,</w:t>
      </w:r>
      <w:r>
        <w:rPr>
          <w:rFonts w:cs="Arial"/>
          <w:rtl/>
        </w:rPr>
        <w:t xml:space="preserve"> ואמרו דכל פירות לאו דוקא דכיון שהוא דבר שאי אפשר לעמוד עליו ה"ל כאומר שבועה שלא אישן ג' ימים דמלקין אותו וישן לאלתר כדאיתא בפרק שבועות שתים בתרא (שבועות כה.)</w:t>
      </w:r>
      <w:r>
        <w:rPr>
          <w:rFonts w:cs="Arial" w:hint="cs"/>
          <w:rtl/>
        </w:rPr>
        <w:t>,</w:t>
      </w:r>
      <w:r>
        <w:rPr>
          <w:rFonts w:cs="Arial"/>
          <w:rtl/>
        </w:rPr>
        <w:t xml:space="preserve"> אלא צריכה שתשייר דבר שתוכל לחיות בו ע"כ</w:t>
      </w:r>
      <w:r>
        <w:rPr>
          <w:rFonts w:cs="Arial" w:hint="cs"/>
          <w:rtl/>
        </w:rPr>
        <w:t>.</w:t>
      </w:r>
      <w:r>
        <w:rPr>
          <w:rFonts w:cs="Arial"/>
          <w:rtl/>
        </w:rPr>
        <w:t xml:space="preserve"> וכן כתבו שם התוספות</w:t>
      </w:r>
      <w:r>
        <w:rPr>
          <w:rFonts w:cs="Arial" w:hint="cs"/>
          <w:rtl/>
        </w:rPr>
        <w:t>,</w:t>
      </w:r>
      <w:r>
        <w:rPr>
          <w:rFonts w:cs="Arial"/>
          <w:rtl/>
        </w:rPr>
        <w:t xml:space="preserve"> וכן כתב הרשב"א בתשובה </w:t>
      </w:r>
      <w:r>
        <w:rPr>
          <w:rFonts w:cs="Arial" w:hint="cs"/>
          <w:rtl/>
        </w:rPr>
        <w:t>(במיוחסות סי' מח), ב"י.</w:t>
      </w:r>
    </w:p>
  </w:footnote>
  <w:footnote w:id="1779">
    <w:p w14:paraId="0B592C82" w14:textId="43A14E60" w:rsidR="00FF1267" w:rsidRDefault="00FF1267">
      <w:pPr>
        <w:pStyle w:val="a5"/>
        <w:rPr>
          <w:rtl/>
        </w:rPr>
      </w:pPr>
      <w:r>
        <w:rPr>
          <w:rStyle w:val="a7"/>
        </w:rPr>
        <w:footnoteRef/>
      </w:r>
      <w:r>
        <w:rPr>
          <w:rtl/>
        </w:rPr>
        <w:t xml:space="preserve"> </w:t>
      </w:r>
      <w:r>
        <w:rPr>
          <w:rFonts w:cs="Arial"/>
          <w:rtl/>
        </w:rPr>
        <w:t>כ"כ שם התוספות (ד"ה אבל נשאת) והרא"ש (סי' ח) שהבעל יכול להפר אפילו נדר שהודר ע"ד רבים משום דכל הנודרת ע"ד בעלה היא נודרת (נדרים עג:)</w:t>
      </w:r>
      <w:r>
        <w:rPr>
          <w:rFonts w:cs="Arial" w:hint="cs"/>
          <w:rtl/>
        </w:rPr>
        <w:t>, ב"י.</w:t>
      </w:r>
    </w:p>
  </w:footnote>
  <w:footnote w:id="1780">
    <w:p w14:paraId="31BF0144" w14:textId="1A07CBFE" w:rsidR="00F2680F" w:rsidRDefault="00F2680F">
      <w:pPr>
        <w:pStyle w:val="a5"/>
      </w:pPr>
      <w:r>
        <w:rPr>
          <w:rStyle w:val="a7"/>
        </w:rPr>
        <w:footnoteRef/>
      </w:r>
      <w:r>
        <w:rPr>
          <w:rtl/>
        </w:rPr>
        <w:t xml:space="preserve"> </w:t>
      </w:r>
      <w:r w:rsidR="00817E86" w:rsidRPr="002A3EEE">
        <w:rPr>
          <w:rFonts w:cs="Arial"/>
          <w:rtl/>
        </w:rPr>
        <w:t>ודעת רבינו אין נראה כן שלא ביאר</w:t>
      </w:r>
      <w:r w:rsidR="00817E86">
        <w:rPr>
          <w:rFonts w:cs="Arial" w:hint="cs"/>
          <w:rtl/>
        </w:rPr>
        <w:t xml:space="preserve">, </w:t>
      </w:r>
      <w:r w:rsidR="00817E86" w:rsidRPr="0010105F">
        <w:rPr>
          <w:rFonts w:cs="Arial" w:hint="cs"/>
          <w:b/>
          <w:bCs/>
          <w:rtl/>
        </w:rPr>
        <w:t>הה"מ</w:t>
      </w:r>
      <w:r w:rsidR="00817E86">
        <w:rPr>
          <w:rFonts w:cs="Arial" w:hint="cs"/>
          <w:rtl/>
        </w:rPr>
        <w:t xml:space="preserve"> (שם).</w:t>
      </w:r>
      <w:r w:rsidRPr="00F2680F">
        <w:rPr>
          <w:rFonts w:cs="Arial"/>
          <w:rtl/>
        </w:rPr>
        <w:t xml:space="preserve"> </w:t>
      </w:r>
      <w:r w:rsidR="00817E86">
        <w:rPr>
          <w:rFonts w:cs="Arial" w:hint="cs"/>
          <w:rtl/>
        </w:rPr>
        <w:t xml:space="preserve">    </w:t>
      </w:r>
      <w:r w:rsidRPr="00F2680F">
        <w:rPr>
          <w:rFonts w:cs="Arial"/>
          <w:rtl/>
        </w:rPr>
        <w:t xml:space="preserve">ובהגהות </w:t>
      </w:r>
      <w:r w:rsidR="0010105F">
        <w:rPr>
          <w:rFonts w:cs="Arial" w:hint="cs"/>
          <w:rtl/>
        </w:rPr>
        <w:t>(</w:t>
      </w:r>
      <w:r w:rsidRPr="00F2680F">
        <w:rPr>
          <w:rFonts w:cs="Arial"/>
          <w:rtl/>
        </w:rPr>
        <w:t>פי"ו דאישות אות ז) משמע כדברי הרמב"ם שכתב אשה שתקעה כפה שאין לה משל בניה כלום לא סגי בהכי אלא צריכה נקיטת חפץ</w:t>
      </w:r>
      <w:r w:rsidR="0010105F">
        <w:rPr>
          <w:rFonts w:cs="Arial" w:hint="cs"/>
          <w:rtl/>
        </w:rPr>
        <w:t>,</w:t>
      </w:r>
      <w:r w:rsidRPr="00F2680F">
        <w:rPr>
          <w:rFonts w:cs="Arial"/>
          <w:rtl/>
        </w:rPr>
        <w:t xml:space="preserve"> וכן משמע קצת במרדכי פרק השולח (גיטין סי' שעא)</w:t>
      </w:r>
      <w:r w:rsidR="00817E86">
        <w:rPr>
          <w:rFonts w:cs="Arial" w:hint="cs"/>
          <w:rtl/>
        </w:rPr>
        <w:t xml:space="preserve">, </w:t>
      </w:r>
      <w:r w:rsidR="00817E86" w:rsidRPr="0010105F">
        <w:rPr>
          <w:rFonts w:cs="Arial" w:hint="cs"/>
          <w:b/>
          <w:bCs/>
          <w:rtl/>
        </w:rPr>
        <w:t>דרכ"מ</w:t>
      </w:r>
      <w:r w:rsidR="00817E86">
        <w:rPr>
          <w:rFonts w:cs="Arial" w:hint="cs"/>
          <w:rtl/>
        </w:rPr>
        <w:t xml:space="preserve"> (אות יג).</w:t>
      </w:r>
    </w:p>
  </w:footnote>
  <w:footnote w:id="1781">
    <w:p w14:paraId="0909CF65" w14:textId="3C730C92" w:rsidR="00770821" w:rsidRDefault="00770821">
      <w:pPr>
        <w:pStyle w:val="a5"/>
      </w:pPr>
      <w:r>
        <w:rPr>
          <w:rStyle w:val="a7"/>
        </w:rPr>
        <w:footnoteRef/>
      </w:r>
      <w:r>
        <w:rPr>
          <w:rtl/>
        </w:rPr>
        <w:t xml:space="preserve"> </w:t>
      </w:r>
      <w:r>
        <w:rPr>
          <w:rFonts w:hint="cs"/>
          <w:rtl/>
        </w:rPr>
        <w:t>צל"ע, דהרי כתב במיוחסות (</w:t>
      </w:r>
      <w:r w:rsidR="00C15722">
        <w:rPr>
          <w:rFonts w:hint="cs"/>
          <w:rtl/>
        </w:rPr>
        <w:t>סי' מח) דצריכה לידור לאסור עצמה מקצת פירות כדי שתוכל לעמוד בזה</w:t>
      </w:r>
      <w:r w:rsidR="00705A1F">
        <w:rPr>
          <w:rFonts w:hint="cs"/>
          <w:rtl/>
        </w:rPr>
        <w:t xml:space="preserve"> אם שיקרה, וכ"כ הר"ן. ונראה שגם הב"י הרגיש בסתירה זו.</w:t>
      </w:r>
    </w:p>
  </w:footnote>
  <w:footnote w:id="1782">
    <w:p w14:paraId="74A86310" w14:textId="4A0B6D5F" w:rsidR="00B73ECB" w:rsidRDefault="00B73ECB">
      <w:pPr>
        <w:pStyle w:val="a5"/>
      </w:pPr>
      <w:r>
        <w:rPr>
          <w:rStyle w:val="a7"/>
        </w:rPr>
        <w:footnoteRef/>
      </w:r>
      <w:r>
        <w:rPr>
          <w:rtl/>
        </w:rPr>
        <w:t xml:space="preserve"> </w:t>
      </w:r>
      <w:r w:rsidRPr="008940A0">
        <w:rPr>
          <w:rFonts w:cs="Arial"/>
          <w:rtl/>
        </w:rPr>
        <w:t>נראה פשוט דאף במקום דלא שייך לומר דמוריא היתרא בהאי הנאה דקא טרחא קמי יתמי אעפ"כ אין משביעין אותה אלא חוץ לב"ד דלא פלוג והכי מוכח בגמ' שם בהא דמשני ההוא גט יבמין הוה ע"ש</w:t>
      </w:r>
      <w:r>
        <w:rPr>
          <w:rFonts w:cs="Arial" w:hint="cs"/>
          <w:rtl/>
        </w:rPr>
        <w:t>, פת"ש (סק"ח).</w:t>
      </w:r>
    </w:p>
  </w:footnote>
  <w:footnote w:id="1783">
    <w:p w14:paraId="3ED67D38" w14:textId="462262F2" w:rsidR="00AA0DCE" w:rsidRDefault="00AA0DCE">
      <w:pPr>
        <w:pStyle w:val="a5"/>
        <w:rPr>
          <w:rtl/>
        </w:rPr>
      </w:pPr>
      <w:r>
        <w:rPr>
          <w:rStyle w:val="a7"/>
        </w:rPr>
        <w:footnoteRef/>
      </w:r>
      <w:r>
        <w:rPr>
          <w:rtl/>
        </w:rPr>
        <w:t xml:space="preserve"> </w:t>
      </w:r>
      <w:r w:rsidRPr="00AA0DCE">
        <w:rPr>
          <w:rFonts w:cs="Arial"/>
          <w:rtl/>
        </w:rPr>
        <w:t>בדבר מועט וסבורה שאין פרעון לה שבשכר טורחה נוטלתו</w:t>
      </w:r>
      <w:r>
        <w:rPr>
          <w:rFonts w:hint="cs"/>
          <w:rtl/>
        </w:rPr>
        <w:t>, רש"י.</w:t>
      </w:r>
    </w:p>
  </w:footnote>
  <w:footnote w:id="1784">
    <w:p w14:paraId="61B2C55E" w14:textId="77777777" w:rsidR="008B6A82" w:rsidRDefault="008B6A82" w:rsidP="008B6A82">
      <w:pPr>
        <w:pStyle w:val="a5"/>
      </w:pPr>
      <w:r>
        <w:rPr>
          <w:rStyle w:val="a7"/>
        </w:rPr>
        <w:footnoteRef/>
      </w:r>
      <w:r>
        <w:rPr>
          <w:rtl/>
        </w:rPr>
        <w:t xml:space="preserve"> </w:t>
      </w:r>
      <w:r>
        <w:rPr>
          <w:rFonts w:cs="Arial" w:hint="cs"/>
          <w:rtl/>
        </w:rPr>
        <w:t xml:space="preserve">וז"ל: </w:t>
      </w:r>
      <w:r w:rsidRPr="00A059F5">
        <w:rPr>
          <w:rFonts w:cs="Arial"/>
          <w:rtl/>
        </w:rPr>
        <w:t>ומצאתי נראה לר"י דהכא ה"פ לא שאנו אלא בב"ד שלא ישביעוה ב"ד</w:t>
      </w:r>
      <w:r w:rsidRPr="00983888">
        <w:rPr>
          <w:rtl/>
        </w:rPr>
        <w:t xml:space="preserve"> </w:t>
      </w:r>
      <w:r w:rsidRPr="00983888">
        <w:rPr>
          <w:rFonts w:cs="Arial"/>
          <w:rtl/>
        </w:rPr>
        <w:t>אבל אם תקבץ ג' בני אדם ותשבע בפניהם שפיר גביא מינייהו</w:t>
      </w:r>
      <w:r>
        <w:rPr>
          <w:rFonts w:cs="Arial" w:hint="cs"/>
          <w:rtl/>
        </w:rPr>
        <w:t>,</w:t>
      </w:r>
      <w:r w:rsidRPr="00983888">
        <w:rPr>
          <w:rFonts w:cs="Arial"/>
          <w:rtl/>
        </w:rPr>
        <w:t xml:space="preserve"> עיין באלפסי פרק הכותב ולא יקשה</w:t>
      </w:r>
      <w:r>
        <w:rPr>
          <w:rFonts w:cs="Arial" w:hint="cs"/>
          <w:rtl/>
        </w:rPr>
        <w:t xml:space="preserve"> </w:t>
      </w:r>
      <w:r w:rsidRPr="00FA51D5">
        <w:rPr>
          <w:rFonts w:cs="Arial" w:hint="cs"/>
          <w:sz w:val="16"/>
          <w:szCs w:val="16"/>
          <w:rtl/>
        </w:rPr>
        <w:t>{וכן הוא בהגמ"ר [גיטין סי' תנט], דרכ"מ אות טז]}</w:t>
      </w:r>
      <w:r w:rsidRPr="00983888">
        <w:rPr>
          <w:rFonts w:cs="Arial"/>
          <w:rtl/>
        </w:rPr>
        <w:t>. והאידנא משביעין אפילו בב"ד דשבועה שלנו אינה חמורה כל כך משום דשבועה שלהם משביעין שאומר אמת עכשיו ונמצא כשהוא משקר בשעת השבועה והרי זה שבועת שוא</w:t>
      </w:r>
      <w:r>
        <w:rPr>
          <w:rFonts w:cs="Arial" w:hint="cs"/>
          <w:rtl/>
        </w:rPr>
        <w:t>,</w:t>
      </w:r>
      <w:r w:rsidRPr="00983888">
        <w:rPr>
          <w:rFonts w:cs="Arial"/>
          <w:rtl/>
        </w:rPr>
        <w:t xml:space="preserve"> אבל השתא משביעין אותה שתאמר אמת אח"כ ממה שישאלו לה</w:t>
      </w:r>
      <w:r>
        <w:rPr>
          <w:rFonts w:cs="Arial" w:hint="cs"/>
          <w:rtl/>
        </w:rPr>
        <w:t>,</w:t>
      </w:r>
      <w:r w:rsidRPr="00983888">
        <w:rPr>
          <w:rFonts w:cs="Arial"/>
          <w:rtl/>
        </w:rPr>
        <w:t xml:space="preserve"> וכשהיא משקרת לאחר השבועה הרי זה שבועת שקר ואינה חמורה כ"כ משום דבשעת שבועה שמא היה בדעתה לומר אמת</w:t>
      </w:r>
      <w:r>
        <w:rPr>
          <w:rFonts w:cs="Arial" w:hint="cs"/>
          <w:rtl/>
        </w:rPr>
        <w:t>.</w:t>
      </w:r>
    </w:p>
  </w:footnote>
  <w:footnote w:id="1785">
    <w:p w14:paraId="224A99A4" w14:textId="77777777" w:rsidR="008B6A82" w:rsidRDefault="008B6A82" w:rsidP="008B6A82">
      <w:pPr>
        <w:pStyle w:val="a5"/>
      </w:pPr>
      <w:r>
        <w:rPr>
          <w:rStyle w:val="a7"/>
        </w:rPr>
        <w:footnoteRef/>
      </w:r>
      <w:r>
        <w:rPr>
          <w:rtl/>
        </w:rPr>
        <w:t xml:space="preserve"> </w:t>
      </w:r>
      <w:r w:rsidRPr="00805B74">
        <w:rPr>
          <w:rFonts w:cs="Arial"/>
          <w:rtl/>
        </w:rPr>
        <w:t>ולענין שכנגדו חשוד על השבועה תנא בפ' כל הנשבעין (מו</w:t>
      </w:r>
      <w:r>
        <w:rPr>
          <w:rFonts w:cs="Arial" w:hint="cs"/>
          <w:rtl/>
        </w:rPr>
        <w:t>:</w:t>
      </w:r>
      <w:r w:rsidRPr="00805B74">
        <w:rPr>
          <w:rFonts w:cs="Arial"/>
          <w:rtl/>
        </w:rPr>
        <w:t>) אחד שבועת העדות ואחד שבועת הפקדון ואפי' שבועת שוא ופריך וליתני נמי שבועת ביטוי ומשני כי קתני שבועה דכי קא מישתבע לשיקרא קא מישתבע אבל שבועת ביטוי דאיכא למימר דבקושטא מישתבע לא קתני ולא מיקרי בכך חשוד בשבועה ומיהו רבינו תם פירש שאם הצבור הטילו חרם ועבר אדם עליו או עבר על שבועת ביטוי דאוכל ולא אוכל חשוד הוא על השבועה</w:t>
      </w:r>
      <w:r>
        <w:rPr>
          <w:rFonts w:cs="Arial" w:hint="cs"/>
          <w:rtl/>
        </w:rPr>
        <w:t>...</w:t>
      </w:r>
      <w:r w:rsidRPr="00805B74">
        <w:rPr>
          <w:rFonts w:cs="Arial"/>
          <w:rtl/>
        </w:rPr>
        <w:t xml:space="preserve"> מיהו אף לדברי רבינו תם דחשיב חשוד על השבועה אפשר דאיתא להא דר"י דלענין עונש לא נפיש עונשה כמו היכא דיוצא שבועה לשקר מפיה</w:t>
      </w:r>
      <w:r>
        <w:rPr>
          <w:rFonts w:cs="Arial" w:hint="cs"/>
          <w:rtl/>
        </w:rPr>
        <w:t>, רא"ש (שם).</w:t>
      </w:r>
    </w:p>
  </w:footnote>
  <w:footnote w:id="1786">
    <w:p w14:paraId="22F4F109" w14:textId="77777777" w:rsidR="008B6A82" w:rsidRDefault="008B6A82" w:rsidP="008B6A82">
      <w:pPr>
        <w:pStyle w:val="a5"/>
      </w:pPr>
      <w:r>
        <w:rPr>
          <w:rStyle w:val="a7"/>
        </w:rPr>
        <w:footnoteRef/>
      </w:r>
      <w:r>
        <w:rPr>
          <w:rtl/>
        </w:rPr>
        <w:t xml:space="preserve"> </w:t>
      </w:r>
      <w:r>
        <w:rPr>
          <w:rFonts w:cs="Arial" w:hint="cs"/>
          <w:rtl/>
        </w:rPr>
        <w:t>וכתב המרדכי (סי' שעב) על פי דברי ה</w:t>
      </w:r>
      <w:r w:rsidRPr="00983888">
        <w:rPr>
          <w:rFonts w:cs="Arial"/>
          <w:rtl/>
        </w:rPr>
        <w:t>תוס'</w:t>
      </w:r>
      <w:r>
        <w:rPr>
          <w:rFonts w:cs="Arial" w:hint="cs"/>
          <w:rtl/>
        </w:rPr>
        <w:t xml:space="preserve"> הללו</w:t>
      </w:r>
      <w:r w:rsidRPr="00983888">
        <w:rPr>
          <w:rFonts w:cs="Arial"/>
          <w:rtl/>
        </w:rPr>
        <w:t xml:space="preserve"> </w:t>
      </w:r>
      <w:r>
        <w:rPr>
          <w:rFonts w:cs="Arial" w:hint="cs"/>
          <w:rtl/>
        </w:rPr>
        <w:t>ד</w:t>
      </w:r>
      <w:r w:rsidRPr="00983888">
        <w:rPr>
          <w:rFonts w:cs="Arial"/>
          <w:rtl/>
        </w:rPr>
        <w:t>האידנא אין אנו משביעין אפילו בבית דין אלא חרמות</w:t>
      </w:r>
      <w:r>
        <w:rPr>
          <w:rFonts w:cs="Arial" w:hint="cs"/>
          <w:rtl/>
        </w:rPr>
        <w:t>. עכ"ל. וצל"ע מדוע הב"י מנה את דברי התוס' והרא"ש בשם ר"י בחדא מחתא.</w:t>
      </w:r>
    </w:p>
  </w:footnote>
  <w:footnote w:id="1787">
    <w:p w14:paraId="6966DFCF" w14:textId="099BFE29" w:rsidR="00653FA9" w:rsidRDefault="00653FA9">
      <w:pPr>
        <w:pStyle w:val="a5"/>
      </w:pPr>
      <w:r>
        <w:rPr>
          <w:rStyle w:val="a7"/>
        </w:rPr>
        <w:footnoteRef/>
      </w:r>
      <w:r>
        <w:rPr>
          <w:rtl/>
        </w:rPr>
        <w:t xml:space="preserve"> </w:t>
      </w:r>
      <w:r w:rsidRPr="00AC7A94">
        <w:rPr>
          <w:rFonts w:cs="Arial"/>
          <w:rtl/>
        </w:rPr>
        <w:t>ו</w:t>
      </w:r>
      <w:r w:rsidR="00C43AC4">
        <w:rPr>
          <w:rFonts w:cs="Arial" w:hint="cs"/>
          <w:rtl/>
        </w:rPr>
        <w:t xml:space="preserve">כן </w:t>
      </w:r>
      <w:r w:rsidRPr="00AC7A94">
        <w:rPr>
          <w:rFonts w:cs="Arial"/>
          <w:rtl/>
        </w:rPr>
        <w:t>בתשובות שבסוף ספר הפלאה במיימוני (סי' א) כתב בשם תשובת מוהר"ם (ד"פ סי' רלא וד"ל סי' שפב) באחת שנשבעה שלא בפני היתומים</w:t>
      </w:r>
      <w:r>
        <w:rPr>
          <w:rFonts w:cs="Arial" w:hint="cs"/>
          <w:rtl/>
        </w:rPr>
        <w:t>,</w:t>
      </w:r>
      <w:r w:rsidRPr="00AC7A94">
        <w:rPr>
          <w:rFonts w:cs="Arial"/>
          <w:rtl/>
        </w:rPr>
        <w:t xml:space="preserve"> ופסק דאם השביעוה הכשרים לה על דעת המקום ועל דעת ב"ד </w:t>
      </w:r>
      <w:r>
        <w:rPr>
          <w:rFonts w:cs="Arial" w:hint="cs"/>
          <w:rtl/>
        </w:rPr>
        <w:t xml:space="preserve">- </w:t>
      </w:r>
      <w:r w:rsidRPr="00AC7A94">
        <w:rPr>
          <w:rFonts w:cs="Arial"/>
          <w:rtl/>
        </w:rPr>
        <w:t>אין כאן בית מיחוש א</w:t>
      </w:r>
      <w:r>
        <w:rPr>
          <w:rFonts w:cs="Arial" w:hint="cs"/>
          <w:rtl/>
        </w:rPr>
        <w:t>ע"ג</w:t>
      </w:r>
      <w:r w:rsidRPr="00AC7A94">
        <w:rPr>
          <w:rFonts w:cs="Arial"/>
          <w:rtl/>
        </w:rPr>
        <w:t xml:space="preserve"> דלכתחלה תשבע בפני היתומים</w:t>
      </w:r>
      <w:r>
        <w:rPr>
          <w:rFonts w:cs="Arial" w:hint="cs"/>
          <w:rtl/>
        </w:rPr>
        <w:t>,</w:t>
      </w:r>
      <w:r w:rsidRPr="00AC7A94">
        <w:rPr>
          <w:rFonts w:cs="Arial"/>
          <w:rtl/>
        </w:rPr>
        <w:t xml:space="preserve"> אם כבר נשבעה </w:t>
      </w:r>
      <w:r>
        <w:rPr>
          <w:rFonts w:cs="Arial" w:hint="cs"/>
          <w:rtl/>
        </w:rPr>
        <w:t xml:space="preserve">- </w:t>
      </w:r>
      <w:r w:rsidRPr="00AC7A94">
        <w:rPr>
          <w:rFonts w:cs="Arial"/>
          <w:rtl/>
        </w:rPr>
        <w:t>אין צריך לחזור ולישבע</w:t>
      </w:r>
      <w:r>
        <w:rPr>
          <w:rFonts w:cs="Arial" w:hint="cs"/>
          <w:rtl/>
        </w:rPr>
        <w:t>.</w:t>
      </w:r>
      <w:r w:rsidRPr="00AC7A94">
        <w:rPr>
          <w:rFonts w:cs="Arial"/>
          <w:rtl/>
        </w:rPr>
        <w:t xml:space="preserve"> וע"ש גם בהגהות אלפסי</w:t>
      </w:r>
      <w:r>
        <w:rPr>
          <w:rFonts w:cs="Arial" w:hint="cs"/>
          <w:rtl/>
        </w:rPr>
        <w:t xml:space="preserve"> </w:t>
      </w:r>
      <w:r w:rsidRPr="00AC7A94">
        <w:rPr>
          <w:rFonts w:cs="Arial"/>
          <w:rtl/>
        </w:rPr>
        <w:t>(שלטי הגיבורים במרדכי כתובות סי' רכו אות פ)</w:t>
      </w:r>
      <w:r>
        <w:rPr>
          <w:rFonts w:cs="Arial" w:hint="cs"/>
          <w:rtl/>
        </w:rPr>
        <w:t>, דרכ"מ (אות ד).</w:t>
      </w:r>
    </w:p>
  </w:footnote>
  <w:footnote w:id="1788">
    <w:p w14:paraId="05A1218D" w14:textId="43557DEA" w:rsidR="00D474B9" w:rsidRDefault="00D474B9">
      <w:pPr>
        <w:pStyle w:val="a5"/>
      </w:pPr>
      <w:r>
        <w:rPr>
          <w:rStyle w:val="a7"/>
        </w:rPr>
        <w:footnoteRef/>
      </w:r>
      <w:r>
        <w:rPr>
          <w:rtl/>
        </w:rPr>
        <w:t xml:space="preserve"> </w:t>
      </w:r>
      <w:r w:rsidRPr="002056DB">
        <w:rPr>
          <w:rFonts w:cs="Arial"/>
          <w:rtl/>
        </w:rPr>
        <w:t>וכן הוא לקמן בחשן משפט סימן ק"ח (ב"י מחודש ה) בדין אין אדם מוריש שבועה לבניו</w:t>
      </w:r>
      <w:r w:rsidRPr="002056DB">
        <w:rPr>
          <w:rFonts w:cs="Arial" w:hint="cs"/>
          <w:rtl/>
        </w:rPr>
        <w:t>.</w:t>
      </w:r>
      <w:r w:rsidRPr="002056DB">
        <w:rPr>
          <w:rFonts w:cs="Arial"/>
          <w:rtl/>
        </w:rPr>
        <w:t xml:space="preserve"> ועיין גם שם (סכ"ח) אם גבתה שלא בשבועה מה דינה ויתבאר עוד לקמן סימן זה</w:t>
      </w:r>
      <w:r>
        <w:rPr>
          <w:rFonts w:cs="Arial" w:hint="cs"/>
          <w:rtl/>
        </w:rPr>
        <w:t>, דרכ"מ (אות ו).</w:t>
      </w:r>
    </w:p>
  </w:footnote>
  <w:footnote w:id="1789">
    <w:p w14:paraId="42529298" w14:textId="77777777" w:rsidR="00A23EEC" w:rsidRDefault="00A23EEC" w:rsidP="00A23EEC">
      <w:pPr>
        <w:pStyle w:val="a5"/>
      </w:pPr>
      <w:r>
        <w:rPr>
          <w:rStyle w:val="a7"/>
        </w:rPr>
        <w:footnoteRef/>
      </w:r>
      <w:r>
        <w:rPr>
          <w:rtl/>
        </w:rPr>
        <w:t xml:space="preserve"> </w:t>
      </w:r>
      <w:r w:rsidRPr="000C607F">
        <w:rPr>
          <w:rFonts w:cs="Arial"/>
          <w:rtl/>
        </w:rPr>
        <w:t>כלומר לא תימא ר"ש אכתב לה נדר ושבועה לחוד פליג</w:t>
      </w:r>
      <w:r>
        <w:rPr>
          <w:rFonts w:cs="Arial" w:hint="cs"/>
          <w:rtl/>
        </w:rPr>
        <w:t>,</w:t>
      </w:r>
      <w:r w:rsidRPr="000C607F">
        <w:rPr>
          <w:rFonts w:cs="Arial"/>
          <w:rtl/>
        </w:rPr>
        <w:t xml:space="preserve"> אלא אכולי מלתא דר"א ובני מחלוקתו פליג</w:t>
      </w:r>
      <w:r>
        <w:rPr>
          <w:rFonts w:cs="Arial" w:hint="cs"/>
          <w:rtl/>
        </w:rPr>
        <w:t>,</w:t>
      </w:r>
      <w:r w:rsidRPr="000C607F">
        <w:rPr>
          <w:rFonts w:cs="Arial"/>
          <w:rtl/>
        </w:rPr>
        <w:t xml:space="preserve"> ארישא וסיפא שמעינהו דקאמרי ר"א ורבנן משביעה כ"ז שירצה שבועת אפוטרופיא היכא דלא פטרה מן הנדר ומן השבועה ואפילו שלא בשעת תביעת כתובתה</w:t>
      </w:r>
      <w:r>
        <w:rPr>
          <w:rFonts w:cs="Arial" w:hint="cs"/>
          <w:rtl/>
        </w:rPr>
        <w:t>.</w:t>
      </w:r>
      <w:r w:rsidRPr="000C607F">
        <w:rPr>
          <w:rFonts w:cs="Arial"/>
          <w:rtl/>
        </w:rPr>
        <w:t xml:space="preserve"> ואם פטרה מן השבועה אפילו יורשין אין משביעין אותה כשנפרעת מהם</w:t>
      </w:r>
      <w:r>
        <w:rPr>
          <w:rFonts w:cs="Arial" w:hint="cs"/>
          <w:rtl/>
        </w:rPr>
        <w:t>,</w:t>
      </w:r>
      <w:r w:rsidRPr="000C607F">
        <w:rPr>
          <w:rFonts w:cs="Arial"/>
          <w:rtl/>
        </w:rPr>
        <w:t xml:space="preserve"> כדקתני נדר ושבועה אין לי ליורשי כו'</w:t>
      </w:r>
      <w:r>
        <w:rPr>
          <w:rFonts w:cs="Arial" w:hint="cs"/>
          <w:rtl/>
        </w:rPr>
        <w:t>.</w:t>
      </w:r>
      <w:r w:rsidRPr="000C607F">
        <w:rPr>
          <w:rFonts w:cs="Arial"/>
          <w:rtl/>
        </w:rPr>
        <w:t xml:space="preserve"> ואתא ר"ש למימר כל זמן שתובעת כתובתה יורשין משביעין אותה</w:t>
      </w:r>
      <w:r>
        <w:rPr>
          <w:rFonts w:cs="Arial" w:hint="cs"/>
          <w:rtl/>
        </w:rPr>
        <w:t>,</w:t>
      </w:r>
      <w:r w:rsidRPr="000C607F">
        <w:rPr>
          <w:rFonts w:cs="Arial"/>
          <w:rtl/>
        </w:rPr>
        <w:t xml:space="preserve"> ואפילו כתב לה נדר ושבועה אין ליורשי עליך כאבא שאול אינה תובעת כתובתה אין היורשין משביעין על אפוטרופיא שבחיי בעלה</w:t>
      </w:r>
      <w:r>
        <w:rPr>
          <w:rFonts w:cs="Arial" w:hint="cs"/>
          <w:rtl/>
        </w:rPr>
        <w:t>,</w:t>
      </w:r>
      <w:r w:rsidRPr="000C607F">
        <w:rPr>
          <w:rFonts w:cs="Arial"/>
          <w:rtl/>
        </w:rPr>
        <w:t xml:space="preserve"> ואפי' לא פטרה מן השבועה דלית ליה דר"א ומחלוקתו דאמרי משביעה כל זמן שירצה</w:t>
      </w:r>
      <w:r>
        <w:rPr>
          <w:rFonts w:cs="Arial" w:hint="cs"/>
          <w:rtl/>
        </w:rPr>
        <w:t>, רש"י.</w:t>
      </w:r>
    </w:p>
  </w:footnote>
  <w:footnote w:id="1790">
    <w:p w14:paraId="703CF2E2" w14:textId="706D6A95" w:rsidR="00B825DD" w:rsidRDefault="00B825DD">
      <w:pPr>
        <w:pStyle w:val="a5"/>
      </w:pPr>
      <w:r>
        <w:rPr>
          <w:rStyle w:val="a7"/>
        </w:rPr>
        <w:footnoteRef/>
      </w:r>
      <w:r>
        <w:rPr>
          <w:rtl/>
        </w:rPr>
        <w:t xml:space="preserve"> </w:t>
      </w:r>
      <w:r>
        <w:rPr>
          <w:rFonts w:cs="Arial"/>
          <w:rtl/>
        </w:rPr>
        <w:t>הוא מדאמרינן בפרק כל הנשבעין (שבועות מח:) גבי נשבעין בטענת שמא והוא שיש ביניהם טענת שתי כסף</w:t>
      </w:r>
      <w:r>
        <w:rPr>
          <w:rFonts w:cs="Arial" w:hint="cs"/>
          <w:rtl/>
        </w:rPr>
        <w:t xml:space="preserve">, </w:t>
      </w:r>
      <w:r w:rsidRPr="00392B23">
        <w:rPr>
          <w:rFonts w:cs="Arial" w:hint="cs"/>
          <w:b/>
          <w:bCs/>
          <w:rtl/>
        </w:rPr>
        <w:t>ב"י</w:t>
      </w:r>
      <w:r>
        <w:rPr>
          <w:rFonts w:cs="Arial" w:hint="cs"/>
          <w:rtl/>
        </w:rPr>
        <w:t>.</w:t>
      </w:r>
      <w:r w:rsidR="00024E1C" w:rsidRPr="00024E1C">
        <w:rPr>
          <w:rFonts w:cs="Arial"/>
          <w:rtl/>
        </w:rPr>
        <w:t xml:space="preserve"> </w:t>
      </w:r>
      <w:r w:rsidR="00024E1C">
        <w:rPr>
          <w:rFonts w:cs="Arial"/>
          <w:rtl/>
        </w:rPr>
        <w:t>ו</w:t>
      </w:r>
      <w:r w:rsidR="00392B23">
        <w:rPr>
          <w:rFonts w:cs="Arial" w:hint="cs"/>
          <w:rtl/>
        </w:rPr>
        <w:t xml:space="preserve">דוקא </w:t>
      </w:r>
      <w:r w:rsidR="00024E1C">
        <w:rPr>
          <w:rFonts w:cs="Arial"/>
          <w:rtl/>
        </w:rPr>
        <w:t xml:space="preserve">קודם שחלקו אבל אם חלקו כבר ונסתלקו ממנה </w:t>
      </w:r>
      <w:r w:rsidR="00392B23">
        <w:rPr>
          <w:rFonts w:cs="Arial" w:hint="cs"/>
          <w:rtl/>
        </w:rPr>
        <w:t xml:space="preserve">- </w:t>
      </w:r>
      <w:r w:rsidR="00024E1C">
        <w:rPr>
          <w:rFonts w:cs="Arial"/>
          <w:rtl/>
        </w:rPr>
        <w:t>אין יכולים להשביעה על טענת שמא</w:t>
      </w:r>
      <w:r w:rsidR="00024E1C">
        <w:rPr>
          <w:rFonts w:cs="Arial" w:hint="cs"/>
          <w:rtl/>
        </w:rPr>
        <w:t xml:space="preserve">, </w:t>
      </w:r>
      <w:r w:rsidR="00024E1C" w:rsidRPr="00392B23">
        <w:rPr>
          <w:rFonts w:cs="Arial" w:hint="cs"/>
          <w:b/>
          <w:bCs/>
          <w:rtl/>
        </w:rPr>
        <w:t>רי"ו</w:t>
      </w:r>
      <w:r w:rsidR="00024E1C">
        <w:rPr>
          <w:rFonts w:cs="Arial" w:hint="cs"/>
          <w:rtl/>
        </w:rPr>
        <w:t xml:space="preserve"> (</w:t>
      </w:r>
      <w:r w:rsidR="00024E1C">
        <w:rPr>
          <w:rFonts w:cs="Arial"/>
          <w:rtl/>
        </w:rPr>
        <w:t>מישרים נכ"ג חי"א סה ע"א</w:t>
      </w:r>
      <w:r w:rsidR="00392B23">
        <w:rPr>
          <w:rFonts w:cs="Arial" w:hint="cs"/>
          <w:rtl/>
        </w:rPr>
        <w:t>, הביאו הב"י [לקמן] והדרכ"מ [אות א]</w:t>
      </w:r>
      <w:r w:rsidR="00024E1C">
        <w:rPr>
          <w:rFonts w:cs="Arial"/>
          <w:rtl/>
        </w:rPr>
        <w:t>)</w:t>
      </w:r>
      <w:r w:rsidR="00024E1C">
        <w:rPr>
          <w:rFonts w:cs="Arial" w:hint="cs"/>
          <w:rtl/>
        </w:rPr>
        <w:t>.</w:t>
      </w:r>
    </w:p>
  </w:footnote>
  <w:footnote w:id="1791">
    <w:p w14:paraId="153DB67D" w14:textId="3BF9B651" w:rsidR="0047064C" w:rsidRDefault="0047064C">
      <w:pPr>
        <w:pStyle w:val="a5"/>
        <w:rPr>
          <w:rtl/>
        </w:rPr>
      </w:pPr>
      <w:r>
        <w:rPr>
          <w:rStyle w:val="a7"/>
        </w:rPr>
        <w:footnoteRef/>
      </w:r>
      <w:r>
        <w:rPr>
          <w:rtl/>
        </w:rPr>
        <w:t xml:space="preserve"> </w:t>
      </w:r>
      <w:r w:rsidRPr="0047064C">
        <w:rPr>
          <w:rFonts w:cs="Arial"/>
          <w:rtl/>
        </w:rPr>
        <w:t>וכן נראה דעת המרדכי פרק הכותב (סי' רכג)</w:t>
      </w:r>
      <w:r w:rsidR="007E7489">
        <w:rPr>
          <w:rFonts w:cs="Arial" w:hint="cs"/>
          <w:rtl/>
        </w:rPr>
        <w:t>, דרכ"מ (אות ב).</w:t>
      </w:r>
    </w:p>
  </w:footnote>
  <w:footnote w:id="1792">
    <w:p w14:paraId="61893B04" w14:textId="3DA80866" w:rsidR="007E7489" w:rsidRDefault="007E7489">
      <w:pPr>
        <w:pStyle w:val="a5"/>
      </w:pPr>
      <w:r>
        <w:rPr>
          <w:rStyle w:val="a7"/>
        </w:rPr>
        <w:footnoteRef/>
      </w:r>
      <w:r>
        <w:rPr>
          <w:rtl/>
        </w:rPr>
        <w:t xml:space="preserve"> </w:t>
      </w:r>
      <w:r w:rsidRPr="0047064C">
        <w:rPr>
          <w:rFonts w:cs="Arial"/>
          <w:rtl/>
        </w:rPr>
        <w:t>וכתב ב"י סוף סימן פ"ה (עמ' שעז ד"ה כתב הרשב"א) בשם תשובת הרשב"א (ח"ב סי' קח) דמאחר שאין הבעל יכול להשביעה על כל מה שעבר שלא גנבה ממנו</w:t>
      </w:r>
      <w:r>
        <w:rPr>
          <w:rFonts w:cs="Arial" w:hint="cs"/>
          <w:rtl/>
        </w:rPr>
        <w:t>,</w:t>
      </w:r>
      <w:r w:rsidRPr="0047064C">
        <w:rPr>
          <w:rFonts w:cs="Arial"/>
          <w:rtl/>
        </w:rPr>
        <w:t xml:space="preserve"> כל שכן שאין יכול להשביעה על העתיד שלא תגנוב ושלא תבריח ממנו</w:t>
      </w:r>
      <w:r>
        <w:rPr>
          <w:rFonts w:cs="Arial" w:hint="cs"/>
          <w:rtl/>
        </w:rPr>
        <w:t>.</w:t>
      </w:r>
      <w:r w:rsidRPr="0047064C">
        <w:rPr>
          <w:rFonts w:cs="Arial"/>
          <w:rtl/>
        </w:rPr>
        <w:t xml:space="preserve"> מיהו אם רוצה להחרים חרם סתם על מי שנטל משלו כלום בלא ידיעתו</w:t>
      </w:r>
      <w:r>
        <w:rPr>
          <w:rFonts w:cs="Arial" w:hint="cs"/>
          <w:rtl/>
        </w:rPr>
        <w:t>,</w:t>
      </w:r>
      <w:r w:rsidRPr="0047064C">
        <w:rPr>
          <w:rFonts w:cs="Arial"/>
          <w:rtl/>
        </w:rPr>
        <w:t xml:space="preserve"> מחרים</w:t>
      </w:r>
      <w:r>
        <w:rPr>
          <w:rFonts w:cs="Arial" w:hint="cs"/>
          <w:rtl/>
        </w:rPr>
        <w:t>.</w:t>
      </w:r>
      <w:r w:rsidRPr="0047064C">
        <w:rPr>
          <w:rFonts w:cs="Arial"/>
          <w:rtl/>
        </w:rPr>
        <w:t xml:space="preserve"> אבל לא יוכל להחרים על כל מי שיש לו נכסים משל אשתו שיגיד לו</w:t>
      </w:r>
      <w:r>
        <w:rPr>
          <w:rFonts w:cs="Arial" w:hint="cs"/>
          <w:rtl/>
        </w:rPr>
        <w:t>,</w:t>
      </w:r>
      <w:r w:rsidRPr="0047064C">
        <w:rPr>
          <w:rFonts w:cs="Arial"/>
          <w:rtl/>
        </w:rPr>
        <w:t xml:space="preserve"> שאפילו מי שקיבל מן האשה יחזיר לאשה ולא לבעל כמבואר לעיל סימן פ"ו</w:t>
      </w:r>
      <w:r>
        <w:rPr>
          <w:rFonts w:cs="Arial" w:hint="cs"/>
          <w:rtl/>
        </w:rPr>
        <w:t>,</w:t>
      </w:r>
      <w:r w:rsidRPr="0047064C">
        <w:rPr>
          <w:rFonts w:cs="Arial"/>
          <w:rtl/>
        </w:rPr>
        <w:t xml:space="preserve"> ולמה ישמעו קול אלתו בחנם</w:t>
      </w:r>
      <w:r>
        <w:rPr>
          <w:rFonts w:cs="Arial" w:hint="cs"/>
          <w:rtl/>
        </w:rPr>
        <w:t>.</w:t>
      </w:r>
      <w:r w:rsidRPr="0047064C">
        <w:rPr>
          <w:rFonts w:cs="Arial"/>
          <w:rtl/>
        </w:rPr>
        <w:t xml:space="preserve"> לכן יכולין למחות בידו אם ירצו עכ"ל</w:t>
      </w:r>
      <w:r>
        <w:rPr>
          <w:rFonts w:cs="Arial" w:hint="cs"/>
          <w:rtl/>
        </w:rPr>
        <w:t>, דרכ"מ (אות ב).</w:t>
      </w:r>
    </w:p>
  </w:footnote>
  <w:footnote w:id="1793">
    <w:p w14:paraId="60BDCD50" w14:textId="7EE335C0" w:rsidR="008721CD" w:rsidRDefault="008721CD">
      <w:pPr>
        <w:pStyle w:val="a5"/>
        <w:rPr>
          <w:rtl/>
        </w:rPr>
      </w:pPr>
      <w:r>
        <w:rPr>
          <w:rStyle w:val="a7"/>
        </w:rPr>
        <w:footnoteRef/>
      </w:r>
      <w:r>
        <w:rPr>
          <w:rtl/>
        </w:rPr>
        <w:t xml:space="preserve"> </w:t>
      </w:r>
      <w:r>
        <w:rPr>
          <w:rFonts w:hint="cs"/>
          <w:rtl/>
        </w:rPr>
        <w:t>סימן - פט</w:t>
      </w:r>
      <w:r w:rsidR="0094206C">
        <w:rPr>
          <w:rFonts w:hint="cs"/>
          <w:rtl/>
        </w:rPr>
        <w:t>ו</w:t>
      </w:r>
      <w:r>
        <w:rPr>
          <w:rFonts w:hint="cs"/>
          <w:rtl/>
        </w:rPr>
        <w:t xml:space="preserve">ר </w:t>
      </w:r>
      <w:r w:rsidR="0094206C">
        <w:rPr>
          <w:rFonts w:hint="cs"/>
          <w:rtl/>
        </w:rPr>
        <w:t>מ-</w:t>
      </w:r>
      <w:r>
        <w:rPr>
          <w:rFonts w:hint="cs"/>
          <w:rtl/>
        </w:rPr>
        <w:t>וואו (</w:t>
      </w:r>
      <w:r>
        <w:t>wow</w:t>
      </w:r>
      <w:r>
        <w:rPr>
          <w:rFonts w:hint="cs"/>
          <w:rtl/>
        </w:rPr>
        <w:t xml:space="preserve"> = שבועה).</w:t>
      </w:r>
    </w:p>
  </w:footnote>
  <w:footnote w:id="1794">
    <w:p w14:paraId="73658310" w14:textId="77777777" w:rsidR="005538BE" w:rsidRDefault="005538BE" w:rsidP="005538BE">
      <w:pPr>
        <w:pStyle w:val="a5"/>
      </w:pPr>
      <w:r>
        <w:rPr>
          <w:rStyle w:val="a7"/>
        </w:rPr>
        <w:footnoteRef/>
      </w:r>
      <w:r>
        <w:rPr>
          <w:rtl/>
        </w:rPr>
        <w:t xml:space="preserve"> </w:t>
      </w:r>
      <w:r w:rsidRPr="008C0C3F">
        <w:rPr>
          <w:rFonts w:cs="Arial"/>
          <w:rtl/>
        </w:rPr>
        <w:t>אם גירשה ומתה ויורשיה תובעין הימנו כתובתה</w:t>
      </w:r>
      <w:r>
        <w:rPr>
          <w:rFonts w:cs="Arial" w:hint="cs"/>
          <w:rtl/>
        </w:rPr>
        <w:t>,</w:t>
      </w:r>
      <w:r w:rsidRPr="008C0C3F">
        <w:rPr>
          <w:rFonts w:cs="Arial"/>
          <w:rtl/>
        </w:rPr>
        <w:t xml:space="preserve"> נשבעים שבועת יורשין המפורשת במסכת שבועות (מה</w:t>
      </w:r>
      <w:r>
        <w:rPr>
          <w:rFonts w:cs="Arial" w:hint="cs"/>
          <w:rtl/>
        </w:rPr>
        <w:t>.</w:t>
      </w:r>
      <w:r w:rsidRPr="008C0C3F">
        <w:rPr>
          <w:rFonts w:cs="Arial"/>
          <w:rtl/>
        </w:rPr>
        <w:t>) שבועה שלא פקדתנו בשעת מיתה ולא אמרה לנו קודם לכן ולא מצאנו בין שטרותיה ששטר כתובתה פרוע</w:t>
      </w:r>
      <w:r>
        <w:rPr>
          <w:rFonts w:cs="Arial" w:hint="cs"/>
          <w:rtl/>
        </w:rPr>
        <w:t>, רש"י.</w:t>
      </w:r>
    </w:p>
  </w:footnote>
  <w:footnote w:id="1795">
    <w:p w14:paraId="1861F6CC" w14:textId="31646440" w:rsidR="005538BE" w:rsidRDefault="005538BE" w:rsidP="005538BE">
      <w:pPr>
        <w:pStyle w:val="a5"/>
      </w:pPr>
      <w:r>
        <w:rPr>
          <w:rStyle w:val="a7"/>
        </w:rPr>
        <w:footnoteRef/>
      </w:r>
      <w:r>
        <w:rPr>
          <w:rtl/>
        </w:rPr>
        <w:t xml:space="preserve"> </w:t>
      </w:r>
      <w:r w:rsidRPr="009B0FCD">
        <w:rPr>
          <w:rFonts w:cs="Arial"/>
          <w:rtl/>
        </w:rPr>
        <w:t>אם מכרה כתובתה לאחרים ונתגרשה ומתה והלקוחות תובעין אותו נשבעין אף הן שבועת היורשין</w:t>
      </w:r>
      <w:r>
        <w:rPr>
          <w:rFonts w:cs="Arial" w:hint="cs"/>
          <w:rtl/>
        </w:rPr>
        <w:t xml:space="preserve">, </w:t>
      </w:r>
      <w:r w:rsidRPr="00894807">
        <w:rPr>
          <w:rFonts w:cs="Arial" w:hint="cs"/>
          <w:b/>
          <w:bCs/>
          <w:rtl/>
        </w:rPr>
        <w:t>רש"י</w:t>
      </w:r>
      <w:r>
        <w:rPr>
          <w:rFonts w:cs="Arial" w:hint="cs"/>
          <w:rtl/>
        </w:rPr>
        <w:t>.</w:t>
      </w:r>
      <w:r>
        <w:rPr>
          <w:rFonts w:hint="cs"/>
          <w:rtl/>
        </w:rPr>
        <w:t xml:space="preserve">    </w:t>
      </w:r>
      <w:r w:rsidRPr="002C5D6A">
        <w:rPr>
          <w:rFonts w:cs="Arial"/>
          <w:rtl/>
        </w:rPr>
        <w:t>ודוקא אם מתה</w:t>
      </w:r>
      <w:r>
        <w:rPr>
          <w:rFonts w:cs="Arial" w:hint="cs"/>
          <w:rtl/>
        </w:rPr>
        <w:t>,</w:t>
      </w:r>
      <w:r w:rsidRPr="002C5D6A">
        <w:rPr>
          <w:rFonts w:cs="Arial"/>
          <w:rtl/>
        </w:rPr>
        <w:t xml:space="preserve"> אבל אם היא קיימת </w:t>
      </w:r>
      <w:r>
        <w:rPr>
          <w:rFonts w:cs="Arial" w:hint="cs"/>
          <w:rtl/>
        </w:rPr>
        <w:t xml:space="preserve">- </w:t>
      </w:r>
      <w:r w:rsidRPr="002C5D6A">
        <w:rPr>
          <w:rFonts w:cs="Arial"/>
          <w:rtl/>
        </w:rPr>
        <w:t>היא צריכה לישבע שלא נפרעת</w:t>
      </w:r>
      <w:r>
        <w:rPr>
          <w:rFonts w:cs="Arial" w:hint="cs"/>
          <w:rtl/>
        </w:rPr>
        <w:t>.</w:t>
      </w:r>
      <w:r w:rsidRPr="002C5D6A">
        <w:rPr>
          <w:rFonts w:cs="Arial"/>
          <w:rtl/>
        </w:rPr>
        <w:t xml:space="preserve"> ואם אינה רוצה לישבע</w:t>
      </w:r>
      <w:r>
        <w:rPr>
          <w:rFonts w:cs="Arial" w:hint="cs"/>
          <w:rtl/>
        </w:rPr>
        <w:t>,</w:t>
      </w:r>
      <w:r w:rsidRPr="002C5D6A">
        <w:rPr>
          <w:rFonts w:cs="Arial"/>
          <w:rtl/>
        </w:rPr>
        <w:t xml:space="preserve"> יפסידו הלקוחות</w:t>
      </w:r>
      <w:r>
        <w:rPr>
          <w:rFonts w:cs="Arial" w:hint="cs"/>
          <w:rtl/>
        </w:rPr>
        <w:t>.</w:t>
      </w:r>
      <w:r w:rsidRPr="002C5D6A">
        <w:rPr>
          <w:rFonts w:cs="Arial"/>
          <w:rtl/>
        </w:rPr>
        <w:t xml:space="preserve"> ואם היא אומרת שנפרעה אחר שמכרה</w:t>
      </w:r>
      <w:r>
        <w:rPr>
          <w:rFonts w:cs="Arial" w:hint="cs"/>
          <w:rtl/>
        </w:rPr>
        <w:t>,</w:t>
      </w:r>
      <w:r w:rsidRPr="002C5D6A">
        <w:rPr>
          <w:rFonts w:cs="Arial"/>
          <w:rtl/>
        </w:rPr>
        <w:t xml:space="preserve"> נאמנת במיגו שיכולה למחול</w:t>
      </w:r>
      <w:r>
        <w:rPr>
          <w:rFonts w:cs="Arial" w:hint="cs"/>
          <w:rtl/>
        </w:rPr>
        <w:t>...</w:t>
      </w:r>
      <w:r w:rsidRPr="002C5D6A">
        <w:rPr>
          <w:rFonts w:cs="Arial"/>
          <w:rtl/>
        </w:rPr>
        <w:t xml:space="preserve"> אבל אם אמרה שנפרעה קודם המכר לא מהימנא במיגו דאי בעי מחלה</w:t>
      </w:r>
      <w:r>
        <w:rPr>
          <w:rFonts w:cs="Arial" w:hint="cs"/>
          <w:rtl/>
        </w:rPr>
        <w:t>,</w:t>
      </w:r>
      <w:r w:rsidRPr="002C5D6A">
        <w:rPr>
          <w:rFonts w:cs="Arial"/>
          <w:rtl/>
        </w:rPr>
        <w:t xml:space="preserve"> דאין זה מיגו טוב</w:t>
      </w:r>
      <w:r>
        <w:rPr>
          <w:rFonts w:cs="Arial" w:hint="cs"/>
          <w:rtl/>
        </w:rPr>
        <w:t>,</w:t>
      </w:r>
      <w:r w:rsidRPr="002C5D6A">
        <w:rPr>
          <w:rFonts w:cs="Arial"/>
          <w:rtl/>
        </w:rPr>
        <w:t xml:space="preserve"> דאי מחלה השתא היתה צריכה לשלם דמי שטרא מעליא</w:t>
      </w:r>
      <w:r>
        <w:rPr>
          <w:rFonts w:cs="Arial" w:hint="cs"/>
          <w:rtl/>
        </w:rPr>
        <w:t>,</w:t>
      </w:r>
      <w:r w:rsidRPr="002C5D6A">
        <w:rPr>
          <w:rFonts w:cs="Arial"/>
          <w:rtl/>
        </w:rPr>
        <w:t xml:space="preserve"> אבל אם נפרעה קודם אינה חייבת לשלם אלא הדמים שקבלה מן המכר ומחזרת הדמים</w:t>
      </w:r>
      <w:r>
        <w:rPr>
          <w:rFonts w:cs="Arial" w:hint="cs"/>
          <w:rtl/>
        </w:rPr>
        <w:t>.</w:t>
      </w:r>
      <w:r w:rsidRPr="002C5D6A">
        <w:rPr>
          <w:rFonts w:cs="Arial"/>
          <w:rtl/>
        </w:rPr>
        <w:t xml:space="preserve"> ואף לדברי המפרשים דכל מוחל שטר חוב אינו חייב לשלם אלא דמי המכר מכל מקום כו</w:t>
      </w:r>
      <w:r>
        <w:rPr>
          <w:rFonts w:cs="Arial" w:hint="cs"/>
          <w:rtl/>
        </w:rPr>
        <w:t>"</w:t>
      </w:r>
      <w:r w:rsidRPr="002C5D6A">
        <w:rPr>
          <w:rFonts w:cs="Arial"/>
          <w:rtl/>
        </w:rPr>
        <w:t>ע לאו דינא גמירי והיא יראה למחול שמא תתחייב לשלם כל דמי השטר</w:t>
      </w:r>
      <w:r>
        <w:rPr>
          <w:rFonts w:cs="Arial" w:hint="cs"/>
          <w:rtl/>
        </w:rPr>
        <w:t>,</w:t>
      </w:r>
      <w:r w:rsidRPr="002C5D6A">
        <w:rPr>
          <w:rFonts w:cs="Arial"/>
          <w:rtl/>
        </w:rPr>
        <w:t xml:space="preserve"> אבל מה שאומרת שנפרעה קודם המכר דבר ידוע הוא כיון שמקח טעות היה הדמים חוזרין</w:t>
      </w:r>
      <w:r>
        <w:rPr>
          <w:rFonts w:cs="Arial" w:hint="cs"/>
          <w:rtl/>
        </w:rPr>
        <w:t xml:space="preserve">, </w:t>
      </w:r>
      <w:r w:rsidRPr="00894807">
        <w:rPr>
          <w:rFonts w:cs="Arial" w:hint="cs"/>
          <w:b/>
          <w:bCs/>
          <w:rtl/>
        </w:rPr>
        <w:t>רא"ש</w:t>
      </w:r>
      <w:r>
        <w:rPr>
          <w:rFonts w:cs="Arial" w:hint="cs"/>
          <w:rtl/>
        </w:rPr>
        <w:t xml:space="preserve"> (סי' כח).</w:t>
      </w:r>
    </w:p>
  </w:footnote>
  <w:footnote w:id="1796">
    <w:p w14:paraId="0145BEDD" w14:textId="77777777" w:rsidR="005538BE" w:rsidRDefault="005538BE" w:rsidP="005538BE">
      <w:pPr>
        <w:pStyle w:val="a5"/>
      </w:pPr>
      <w:r>
        <w:rPr>
          <w:rStyle w:val="a7"/>
        </w:rPr>
        <w:footnoteRef/>
      </w:r>
      <w:r>
        <w:rPr>
          <w:rtl/>
        </w:rPr>
        <w:t xml:space="preserve"> </w:t>
      </w:r>
      <w:r w:rsidRPr="00A71C05">
        <w:rPr>
          <w:rFonts w:cs="Arial"/>
          <w:rtl/>
        </w:rPr>
        <w:t>איזו שבועה סתם שאשה חייבת לבעלה או ליורשיו דקתני דכי לא פטרה משביעה וכי פטרה אין משביעה</w:t>
      </w:r>
      <w:r>
        <w:rPr>
          <w:rFonts w:cs="Arial" w:hint="cs"/>
          <w:rtl/>
        </w:rPr>
        <w:t>, רש"י.</w:t>
      </w:r>
    </w:p>
  </w:footnote>
  <w:footnote w:id="1797">
    <w:p w14:paraId="6BB7D416" w14:textId="77777777" w:rsidR="005538BE" w:rsidRDefault="005538BE" w:rsidP="005538BE">
      <w:pPr>
        <w:pStyle w:val="a5"/>
      </w:pPr>
      <w:r>
        <w:rPr>
          <w:rStyle w:val="a7"/>
        </w:rPr>
        <w:footnoteRef/>
      </w:r>
      <w:r>
        <w:rPr>
          <w:rtl/>
        </w:rPr>
        <w:t xml:space="preserve"> </w:t>
      </w:r>
      <w:r w:rsidRPr="00765775">
        <w:rPr>
          <w:rFonts w:cs="Arial"/>
          <w:rtl/>
        </w:rPr>
        <w:t>פוטרה בכתיבה זאת משבועת אפוטרופוס אם יושיבנה חנוונית אבל אם פגמה כתובתה דתנן במתני' הפוגמת כתובתה לא תפרע אלא בשבועה לא נפטרה מאותה שבועה ע"י תנאי זה דכי פטר לה משבועה דקא רמי הוא עלה אבל שבועה דהיא גרמה לנפשה לא פטר לה</w:t>
      </w:r>
      <w:r>
        <w:rPr>
          <w:rFonts w:cs="Arial" w:hint="cs"/>
          <w:rtl/>
        </w:rPr>
        <w:t>, רש"י.</w:t>
      </w:r>
    </w:p>
  </w:footnote>
  <w:footnote w:id="1798">
    <w:p w14:paraId="06504BDB" w14:textId="77777777" w:rsidR="005538BE" w:rsidRDefault="005538BE" w:rsidP="005538BE">
      <w:pPr>
        <w:pStyle w:val="a5"/>
        <w:rPr>
          <w:rtl/>
        </w:rPr>
      </w:pPr>
      <w:r>
        <w:rPr>
          <w:rStyle w:val="a7"/>
        </w:rPr>
        <w:footnoteRef/>
      </w:r>
      <w:r>
        <w:rPr>
          <w:rtl/>
        </w:rPr>
        <w:t xml:space="preserve"> </w:t>
      </w:r>
      <w:r w:rsidRPr="00765775">
        <w:rPr>
          <w:rFonts w:cs="Arial"/>
          <w:rtl/>
        </w:rPr>
        <w:t>וכ"ש משבועת אפוטרופיא דמכל שבועה פטרה</w:t>
      </w:r>
      <w:r>
        <w:rPr>
          <w:rFonts w:hint="cs"/>
          <w:rtl/>
        </w:rPr>
        <w:t>, רש"י.</w:t>
      </w:r>
    </w:p>
  </w:footnote>
  <w:footnote w:id="1799">
    <w:p w14:paraId="3F19D90D" w14:textId="512DCCD6" w:rsidR="00483FAD" w:rsidRDefault="00483FAD" w:rsidP="00483FAD">
      <w:pPr>
        <w:pStyle w:val="a5"/>
      </w:pPr>
      <w:r>
        <w:rPr>
          <w:rStyle w:val="a7"/>
        </w:rPr>
        <w:footnoteRef/>
      </w:r>
      <w:r>
        <w:rPr>
          <w:rtl/>
        </w:rPr>
        <w:t xml:space="preserve"> </w:t>
      </w:r>
      <w:r w:rsidRPr="00483FAD">
        <w:rPr>
          <w:rFonts w:cs="Arial"/>
          <w:rtl/>
        </w:rPr>
        <w:t>כתב לה לאו דוקא</w:t>
      </w:r>
      <w:r>
        <w:rPr>
          <w:rFonts w:cs="Arial" w:hint="cs"/>
          <w:rtl/>
        </w:rPr>
        <w:t>,</w:t>
      </w:r>
      <w:r w:rsidRPr="00483FAD">
        <w:rPr>
          <w:rFonts w:cs="Arial"/>
          <w:rtl/>
        </w:rPr>
        <w:t xml:space="preserve"> והוא הדין באמירה</w:t>
      </w:r>
      <w:r>
        <w:rPr>
          <w:rFonts w:cs="Arial" w:hint="cs"/>
          <w:rtl/>
        </w:rPr>
        <w:t xml:space="preserve">, </w:t>
      </w:r>
      <w:r w:rsidRPr="00483FAD">
        <w:rPr>
          <w:rFonts w:cs="Arial"/>
          <w:rtl/>
        </w:rPr>
        <w:t xml:space="preserve">דכל שהוא פטור או מחילה </w:t>
      </w:r>
      <w:r>
        <w:rPr>
          <w:rFonts w:cs="Arial" w:hint="cs"/>
          <w:rtl/>
        </w:rPr>
        <w:t xml:space="preserve">- </w:t>
      </w:r>
      <w:r w:rsidRPr="00483FAD">
        <w:rPr>
          <w:rFonts w:cs="Arial"/>
          <w:rtl/>
        </w:rPr>
        <w:t>באמירה בעלמא סגי כדאיתא פ"ק דקדושין (טז</w:t>
      </w:r>
      <w:r>
        <w:rPr>
          <w:rFonts w:cs="Arial" w:hint="cs"/>
          <w:rtl/>
        </w:rPr>
        <w:t>.</w:t>
      </w:r>
      <w:r w:rsidRPr="00483FAD">
        <w:rPr>
          <w:rFonts w:cs="Arial"/>
          <w:rtl/>
        </w:rPr>
        <w:t>)</w:t>
      </w:r>
      <w:r>
        <w:rPr>
          <w:rFonts w:cs="Arial" w:hint="cs"/>
          <w:rtl/>
        </w:rPr>
        <w:t>,</w:t>
      </w:r>
      <w:r w:rsidRPr="00483FAD">
        <w:rPr>
          <w:rFonts w:cs="Arial"/>
          <w:rtl/>
        </w:rPr>
        <w:t xml:space="preserve"> וכן כתב הריטב"א ז"ל</w:t>
      </w:r>
      <w:r>
        <w:rPr>
          <w:rFonts w:cs="Arial" w:hint="cs"/>
          <w:rtl/>
        </w:rPr>
        <w:t xml:space="preserve"> </w:t>
      </w:r>
      <w:r w:rsidRPr="00D71C6B">
        <w:rPr>
          <w:rFonts w:cs="Arial"/>
          <w:rtl/>
        </w:rPr>
        <w:t>(פו: ד"ה שם מתני')</w:t>
      </w:r>
      <w:r>
        <w:rPr>
          <w:rFonts w:cs="Arial" w:hint="cs"/>
          <w:rtl/>
        </w:rPr>
        <w:t>, ר"ן (</w:t>
      </w:r>
      <w:r w:rsidRPr="00D71C6B">
        <w:rPr>
          <w:rFonts w:cs="Arial"/>
          <w:rtl/>
        </w:rPr>
        <w:t>פרק הכותב מו: ד"ה מתני'</w:t>
      </w:r>
      <w:r w:rsidR="00822106">
        <w:rPr>
          <w:rFonts w:cs="Arial" w:hint="cs"/>
          <w:rtl/>
        </w:rPr>
        <w:t xml:space="preserve">, הביאו הדרכ"מ [אות </w:t>
      </w:r>
      <w:r w:rsidR="00611D2D">
        <w:rPr>
          <w:rFonts w:cs="Arial" w:hint="cs"/>
          <w:rtl/>
        </w:rPr>
        <w:t>א</w:t>
      </w:r>
      <w:r w:rsidR="00822106">
        <w:rPr>
          <w:rFonts w:cs="Arial" w:hint="cs"/>
          <w:rtl/>
        </w:rPr>
        <w:t>]</w:t>
      </w:r>
      <w:r w:rsidRPr="00D71C6B">
        <w:rPr>
          <w:rFonts w:cs="Arial"/>
          <w:rtl/>
        </w:rPr>
        <w:t>)</w:t>
      </w:r>
      <w:r>
        <w:rPr>
          <w:rFonts w:cs="Arial" w:hint="cs"/>
          <w:rtl/>
        </w:rPr>
        <w:t>.</w:t>
      </w:r>
      <w:r w:rsidRPr="00D71C6B">
        <w:rPr>
          <w:rFonts w:cs="Arial"/>
          <w:rtl/>
        </w:rPr>
        <w:t xml:space="preserve"> </w:t>
      </w:r>
    </w:p>
  </w:footnote>
  <w:footnote w:id="1800">
    <w:p w14:paraId="5AD1C740" w14:textId="658590BC" w:rsidR="00822106" w:rsidRDefault="00822106">
      <w:pPr>
        <w:pStyle w:val="a5"/>
        <w:rPr>
          <w:rtl/>
        </w:rPr>
      </w:pPr>
      <w:r>
        <w:rPr>
          <w:rStyle w:val="a7"/>
        </w:rPr>
        <w:footnoteRef/>
      </w:r>
      <w:r>
        <w:rPr>
          <w:rtl/>
        </w:rPr>
        <w:t xml:space="preserve"> </w:t>
      </w:r>
      <w:r w:rsidRPr="00822106">
        <w:rPr>
          <w:rFonts w:cs="Arial"/>
          <w:rtl/>
        </w:rPr>
        <w:t>אע</w:t>
      </w:r>
      <w:r>
        <w:rPr>
          <w:rFonts w:cs="Arial" w:hint="cs"/>
          <w:rtl/>
        </w:rPr>
        <w:t>"</w:t>
      </w:r>
      <w:r w:rsidRPr="00822106">
        <w:rPr>
          <w:rFonts w:cs="Arial"/>
          <w:rtl/>
        </w:rPr>
        <w:t>ג דנדר לא תקנוהו אלא לאלמנה מפני שהיתה מקילה בשבועה</w:t>
      </w:r>
      <w:r>
        <w:rPr>
          <w:rFonts w:cs="Arial" w:hint="cs"/>
          <w:rtl/>
        </w:rPr>
        <w:t>...</w:t>
      </w:r>
      <w:r w:rsidRPr="00822106">
        <w:rPr>
          <w:rFonts w:cs="Arial"/>
          <w:rtl/>
        </w:rPr>
        <w:t xml:space="preserve"> ואילו הכא אמרינן </w:t>
      </w:r>
      <w:r>
        <w:rPr>
          <w:rFonts w:cs="Arial" w:hint="cs"/>
          <w:rtl/>
        </w:rPr>
        <w:t>"</w:t>
      </w:r>
      <w:r w:rsidRPr="00822106">
        <w:rPr>
          <w:rFonts w:cs="Arial"/>
          <w:rtl/>
        </w:rPr>
        <w:t>עליך</w:t>
      </w:r>
      <w:r>
        <w:rPr>
          <w:rFonts w:cs="Arial" w:hint="cs"/>
          <w:rtl/>
        </w:rPr>
        <w:t>"</w:t>
      </w:r>
      <w:r w:rsidRPr="00822106">
        <w:rPr>
          <w:rFonts w:cs="Arial"/>
          <w:rtl/>
        </w:rPr>
        <w:t xml:space="preserve"> דמשמע גרושה</w:t>
      </w:r>
      <w:r>
        <w:rPr>
          <w:rFonts w:cs="Arial" w:hint="cs"/>
          <w:rtl/>
        </w:rPr>
        <w:t>,</w:t>
      </w:r>
      <w:r w:rsidRPr="00822106">
        <w:rPr>
          <w:rFonts w:cs="Arial"/>
          <w:rtl/>
        </w:rPr>
        <w:t xml:space="preserve"> מכל מקום כיון שהנדר הוא להקל עליה ודינה הוא בשבועה אם לא פטרה בפירוש משתיהם היה יכול לומר לה לא פטרתיך אלא מן השבועה</w:t>
      </w:r>
      <w:r>
        <w:rPr>
          <w:rFonts w:cs="Arial" w:hint="cs"/>
          <w:rtl/>
        </w:rPr>
        <w:t>.</w:t>
      </w:r>
      <w:r w:rsidRPr="00822106">
        <w:rPr>
          <w:rFonts w:cs="Arial"/>
          <w:rtl/>
        </w:rPr>
        <w:t xml:space="preserve"> אבל בעלמא כל שחייב לחבירו שבועה ופטרו ממנה הרי פטור מכל נדר</w:t>
      </w:r>
      <w:r>
        <w:rPr>
          <w:rFonts w:cs="Arial" w:hint="cs"/>
          <w:rtl/>
        </w:rPr>
        <w:t>,</w:t>
      </w:r>
      <w:r w:rsidRPr="00822106">
        <w:rPr>
          <w:rFonts w:cs="Arial"/>
          <w:rtl/>
        </w:rPr>
        <w:t xml:space="preserve"> וכן איפכא</w:t>
      </w:r>
      <w:r>
        <w:rPr>
          <w:rFonts w:cs="Arial" w:hint="cs"/>
          <w:rtl/>
        </w:rPr>
        <w:t>,</w:t>
      </w:r>
      <w:r w:rsidRPr="00822106">
        <w:rPr>
          <w:rFonts w:cs="Arial"/>
          <w:rtl/>
        </w:rPr>
        <w:t xml:space="preserve"> וכן כתב הריטב"א ז"ל</w:t>
      </w:r>
      <w:r>
        <w:rPr>
          <w:rFonts w:hint="cs"/>
          <w:rtl/>
        </w:rPr>
        <w:t xml:space="preserve">, </w:t>
      </w:r>
      <w:r w:rsidRPr="00822106">
        <w:rPr>
          <w:rFonts w:hint="cs"/>
          <w:b/>
          <w:bCs/>
          <w:rtl/>
        </w:rPr>
        <w:t>ר"ן</w:t>
      </w:r>
      <w:r>
        <w:rPr>
          <w:rFonts w:hint="cs"/>
          <w:rtl/>
        </w:rPr>
        <w:t xml:space="preserve"> (שם ד"ה נדר</w:t>
      </w:r>
      <w:r>
        <w:rPr>
          <w:rFonts w:cs="Arial" w:hint="cs"/>
          <w:rtl/>
        </w:rPr>
        <w:t xml:space="preserve">, הביאו הדרכ"מ [אות </w:t>
      </w:r>
      <w:r w:rsidR="00611D2D">
        <w:rPr>
          <w:rFonts w:cs="Arial" w:hint="cs"/>
          <w:rtl/>
        </w:rPr>
        <w:t>א</w:t>
      </w:r>
      <w:r>
        <w:rPr>
          <w:rFonts w:cs="Arial" w:hint="cs"/>
          <w:rtl/>
        </w:rPr>
        <w:t>]</w:t>
      </w:r>
      <w:r>
        <w:rPr>
          <w:rFonts w:hint="cs"/>
          <w:rtl/>
        </w:rPr>
        <w:t>).</w:t>
      </w:r>
      <w:r w:rsidRPr="00822106">
        <w:rPr>
          <w:rFonts w:cs="Arial"/>
          <w:rtl/>
        </w:rPr>
        <w:t xml:space="preserve"> </w:t>
      </w:r>
      <w:r>
        <w:rPr>
          <w:rFonts w:cs="Arial" w:hint="cs"/>
          <w:rtl/>
        </w:rPr>
        <w:t xml:space="preserve">      </w:t>
      </w:r>
      <w:r w:rsidRPr="00D71C6B">
        <w:rPr>
          <w:rFonts w:cs="Arial"/>
          <w:rtl/>
        </w:rPr>
        <w:t>ובריש אף על פי (בר"ן כב. ד"ה לשבועה) כתב דאם פטרה משבועה על הכתובה אף התוספת בכלל</w:t>
      </w:r>
      <w:r>
        <w:rPr>
          <w:rFonts w:cs="Arial" w:hint="cs"/>
          <w:rtl/>
        </w:rPr>
        <w:t xml:space="preserve">, </w:t>
      </w:r>
      <w:r w:rsidRPr="00822106">
        <w:rPr>
          <w:rFonts w:cs="Arial" w:hint="cs"/>
          <w:b/>
          <w:bCs/>
          <w:rtl/>
        </w:rPr>
        <w:t>דרכ"מ</w:t>
      </w:r>
      <w:r>
        <w:rPr>
          <w:rFonts w:cs="Arial" w:hint="cs"/>
          <w:rtl/>
        </w:rPr>
        <w:t xml:space="preserve"> (אות </w:t>
      </w:r>
      <w:r w:rsidR="00611D2D">
        <w:rPr>
          <w:rFonts w:cs="Arial" w:hint="cs"/>
          <w:rtl/>
        </w:rPr>
        <w:t>א</w:t>
      </w:r>
      <w:r>
        <w:rPr>
          <w:rFonts w:cs="Arial" w:hint="cs"/>
          <w:rtl/>
        </w:rPr>
        <w:t>).</w:t>
      </w:r>
    </w:p>
  </w:footnote>
  <w:footnote w:id="1801">
    <w:p w14:paraId="313CD75B" w14:textId="35D0C1CE" w:rsidR="00611D2D" w:rsidRDefault="00611D2D" w:rsidP="00611D2D">
      <w:pPr>
        <w:pStyle w:val="a5"/>
      </w:pPr>
      <w:r>
        <w:rPr>
          <w:rStyle w:val="a7"/>
        </w:rPr>
        <w:footnoteRef/>
      </w:r>
      <w:r>
        <w:rPr>
          <w:rtl/>
        </w:rPr>
        <w:t xml:space="preserve"> </w:t>
      </w:r>
      <w:r w:rsidRPr="00D71C6B">
        <w:rPr>
          <w:rFonts w:cs="Arial"/>
          <w:rtl/>
        </w:rPr>
        <w:t>אבל לדעת הרי"ף (מו</w:t>
      </w:r>
      <w:r>
        <w:rPr>
          <w:rFonts w:cs="Arial" w:hint="cs"/>
          <w:rtl/>
        </w:rPr>
        <w:t>:</w:t>
      </w:r>
      <w:r w:rsidRPr="00D71C6B">
        <w:rPr>
          <w:rFonts w:cs="Arial"/>
          <w:rtl/>
        </w:rPr>
        <w:t>) משביעין אותה על שבועת אפוטרופסות אם נושאת ונותנת</w:t>
      </w:r>
      <w:r>
        <w:rPr>
          <w:rFonts w:cs="Arial" w:hint="cs"/>
          <w:rtl/>
        </w:rPr>
        <w:t>,</w:t>
      </w:r>
      <w:r w:rsidRPr="00D71C6B">
        <w:rPr>
          <w:rFonts w:cs="Arial"/>
          <w:rtl/>
        </w:rPr>
        <w:t xml:space="preserve"> וע"ל סוף הסימן (עמ' יז ב"י ד"ה ומ"ש ול"נ) מדין זה</w:t>
      </w:r>
      <w:r>
        <w:rPr>
          <w:rFonts w:cs="Arial" w:hint="cs"/>
          <w:rtl/>
        </w:rPr>
        <w:t>, דרכ"מ (אות ב).</w:t>
      </w:r>
    </w:p>
  </w:footnote>
  <w:footnote w:id="1802">
    <w:p w14:paraId="76FAEAD2" w14:textId="77777777" w:rsidR="00A16699" w:rsidRDefault="00A16699" w:rsidP="00A16699">
      <w:pPr>
        <w:pStyle w:val="a5"/>
        <w:rPr>
          <w:rtl/>
        </w:rPr>
      </w:pPr>
      <w:r>
        <w:rPr>
          <w:rStyle w:val="a7"/>
        </w:rPr>
        <w:footnoteRef/>
      </w:r>
      <w:r>
        <w:rPr>
          <w:rtl/>
        </w:rPr>
        <w:t xml:space="preserve"> </w:t>
      </w:r>
      <w:r w:rsidRPr="004654AB">
        <w:rPr>
          <w:rFonts w:cs="Arial"/>
          <w:rtl/>
        </w:rPr>
        <w:t>ואין נראה לי כן מדברי שאר הפוסקים</w:t>
      </w:r>
      <w:r>
        <w:rPr>
          <w:rFonts w:cs="Arial" w:hint="cs"/>
          <w:rtl/>
        </w:rPr>
        <w:t>, דרכ"מ</w:t>
      </w:r>
      <w:r w:rsidRPr="004654AB">
        <w:rPr>
          <w:rFonts w:cs="Arial"/>
          <w:rtl/>
        </w:rPr>
        <w:t xml:space="preserve"> (</w:t>
      </w:r>
      <w:r>
        <w:rPr>
          <w:rFonts w:cs="Arial" w:hint="cs"/>
          <w:rtl/>
        </w:rPr>
        <w:t xml:space="preserve">אות </w:t>
      </w:r>
      <w:r w:rsidRPr="004654AB">
        <w:rPr>
          <w:rFonts w:cs="Arial"/>
          <w:rtl/>
        </w:rPr>
        <w:t>ו)</w:t>
      </w:r>
      <w:r>
        <w:rPr>
          <w:rFonts w:cs="Arial" w:hint="cs"/>
          <w:rtl/>
        </w:rPr>
        <w:t>.</w:t>
      </w:r>
    </w:p>
  </w:footnote>
  <w:footnote w:id="1803">
    <w:p w14:paraId="6F1737C3" w14:textId="318A3B75" w:rsidR="001F4529" w:rsidRDefault="001F4529">
      <w:pPr>
        <w:pStyle w:val="a5"/>
        <w:rPr>
          <w:rtl/>
        </w:rPr>
      </w:pPr>
      <w:r>
        <w:rPr>
          <w:rStyle w:val="a7"/>
        </w:rPr>
        <w:footnoteRef/>
      </w:r>
      <w:r>
        <w:rPr>
          <w:rtl/>
        </w:rPr>
        <w:t xml:space="preserve"> </w:t>
      </w:r>
      <w:r w:rsidRPr="001F4529">
        <w:rPr>
          <w:rFonts w:cs="Arial"/>
          <w:rtl/>
        </w:rPr>
        <w:t>וע"ש ובתשובת הרשב"א (ח"א סי</w:t>
      </w:r>
      <w:r w:rsidR="005E32AA">
        <w:rPr>
          <w:rFonts w:cs="Arial" w:hint="cs"/>
          <w:rtl/>
        </w:rPr>
        <w:t>'</w:t>
      </w:r>
      <w:r w:rsidRPr="001F4529">
        <w:rPr>
          <w:rFonts w:cs="Arial"/>
          <w:rtl/>
        </w:rPr>
        <w:t xml:space="preserve"> אלף נט</w:t>
      </w:r>
      <w:r w:rsidR="005E32AA">
        <w:rPr>
          <w:rFonts w:cs="Arial" w:hint="cs"/>
          <w:rtl/>
        </w:rPr>
        <w:t>)</w:t>
      </w:r>
      <w:r w:rsidR="00D94AD8">
        <w:rPr>
          <w:rFonts w:cs="Arial" w:hint="cs"/>
          <w:rtl/>
        </w:rPr>
        <w:t>.</w:t>
      </w:r>
      <w:r w:rsidRPr="001F4529">
        <w:rPr>
          <w:rFonts w:cs="Arial"/>
          <w:rtl/>
        </w:rPr>
        <w:t xml:space="preserve"> וב"י כתב תשובת הרא"ש הנ"ל סוף סי' קי"ח (עמ' צו ד"ה מצאתי) ומסיק שם ואי האמינה כשני עדים נאמנת בכל מה שתאמר, ונראה לי שעשאה ג"כ נאמן על כל דבר</w:t>
      </w:r>
      <w:r w:rsidR="00D94AD8">
        <w:rPr>
          <w:rFonts w:cs="Arial" w:hint="cs"/>
          <w:rtl/>
        </w:rPr>
        <w:t>,</w:t>
      </w:r>
      <w:r w:rsidRPr="001F4529">
        <w:rPr>
          <w:rFonts w:cs="Arial"/>
          <w:rtl/>
        </w:rPr>
        <w:t xml:space="preserve"> ולכן אי אמרה שבעלה צוה לה כך נאמנת נגד עדים</w:t>
      </w:r>
      <w:r w:rsidR="00D94AD8">
        <w:rPr>
          <w:rFonts w:cs="Arial" w:hint="cs"/>
          <w:rtl/>
        </w:rPr>
        <w:t>,</w:t>
      </w:r>
      <w:r w:rsidRPr="001F4529">
        <w:rPr>
          <w:rFonts w:cs="Arial"/>
          <w:rtl/>
        </w:rPr>
        <w:t xml:space="preserve"> אבל בלאו הכי אע</w:t>
      </w:r>
      <w:r w:rsidR="00D94AD8">
        <w:rPr>
          <w:rFonts w:cs="Arial" w:hint="cs"/>
          <w:rtl/>
        </w:rPr>
        <w:t>"</w:t>
      </w:r>
      <w:r w:rsidRPr="001F4529">
        <w:rPr>
          <w:rFonts w:cs="Arial"/>
          <w:rtl/>
        </w:rPr>
        <w:t>פ שפטרה מן השבועה לא מהני אם אבדה הנכסים אע</w:t>
      </w:r>
      <w:r w:rsidR="00D94AD8">
        <w:rPr>
          <w:rFonts w:cs="Arial" w:hint="cs"/>
          <w:rtl/>
        </w:rPr>
        <w:t>"</w:t>
      </w:r>
      <w:r w:rsidRPr="001F4529">
        <w:rPr>
          <w:rFonts w:cs="Arial"/>
          <w:rtl/>
        </w:rPr>
        <w:t>פ שעשאה נאמן כב' עדים</w:t>
      </w:r>
      <w:r w:rsidR="005E32AA">
        <w:rPr>
          <w:rFonts w:cs="Arial" w:hint="cs"/>
          <w:rtl/>
        </w:rPr>
        <w:t>, דרכ"מ (אות ח).</w:t>
      </w:r>
      <w:r w:rsidR="008721CD" w:rsidRPr="008721CD">
        <w:rPr>
          <w:rFonts w:hint="cs"/>
          <w:color w:val="00B0F0"/>
          <w:rtl/>
        </w:rPr>
        <w:t xml:space="preserve"> </w:t>
      </w:r>
      <w:r w:rsidR="008721CD" w:rsidRPr="00D443BB">
        <w:rPr>
          <w:rFonts w:hint="cs"/>
          <w:color w:val="00B0F0"/>
          <w:rtl/>
        </w:rPr>
        <w:t xml:space="preserve">(וכ"פ </w:t>
      </w:r>
      <w:r w:rsidR="008721CD">
        <w:rPr>
          <w:rFonts w:hint="cs"/>
          <w:color w:val="00B0F0"/>
          <w:rtl/>
        </w:rPr>
        <w:t>בהג"ה</w:t>
      </w:r>
      <w:r w:rsidR="008721CD" w:rsidRPr="00D443BB">
        <w:rPr>
          <w:rFonts w:hint="cs"/>
          <w:color w:val="00B0F0"/>
          <w:rtl/>
        </w:rPr>
        <w:t>)</w:t>
      </w:r>
    </w:p>
  </w:footnote>
  <w:footnote w:id="1804">
    <w:p w14:paraId="0ED423CE" w14:textId="77777777" w:rsidR="0094206C" w:rsidRDefault="0094206C" w:rsidP="0094206C">
      <w:pPr>
        <w:pStyle w:val="a5"/>
        <w:rPr>
          <w:rtl/>
        </w:rPr>
      </w:pPr>
      <w:r>
        <w:rPr>
          <w:rStyle w:val="a7"/>
        </w:rPr>
        <w:footnoteRef/>
      </w:r>
      <w:r>
        <w:rPr>
          <w:rtl/>
        </w:rPr>
        <w:t xml:space="preserve"> </w:t>
      </w:r>
      <w:r>
        <w:rPr>
          <w:rFonts w:hint="cs"/>
          <w:rtl/>
        </w:rPr>
        <w:t>סימן - פטור מ-וואו (</w:t>
      </w:r>
      <w:r>
        <w:t>wow</w:t>
      </w:r>
      <w:r>
        <w:rPr>
          <w:rFonts w:hint="cs"/>
          <w:rtl/>
        </w:rPr>
        <w:t xml:space="preserve"> = שבועה).</w:t>
      </w:r>
    </w:p>
  </w:footnote>
  <w:footnote w:id="1805">
    <w:p w14:paraId="510A2894" w14:textId="77777777" w:rsidR="007252DA" w:rsidRDefault="007252DA" w:rsidP="007252DA">
      <w:pPr>
        <w:pStyle w:val="a5"/>
      </w:pPr>
      <w:r>
        <w:rPr>
          <w:rStyle w:val="a7"/>
        </w:rPr>
        <w:footnoteRef/>
      </w:r>
      <w:r>
        <w:rPr>
          <w:rtl/>
        </w:rPr>
        <w:t xml:space="preserve"> </w:t>
      </w:r>
      <w:r w:rsidRPr="008C0C3F">
        <w:rPr>
          <w:rFonts w:cs="Arial"/>
          <w:rtl/>
        </w:rPr>
        <w:t>אם גירשה ומתה ויורשיה תובעין הימנו כתובתה</w:t>
      </w:r>
      <w:r>
        <w:rPr>
          <w:rFonts w:cs="Arial" w:hint="cs"/>
          <w:rtl/>
        </w:rPr>
        <w:t>,</w:t>
      </w:r>
      <w:r w:rsidRPr="008C0C3F">
        <w:rPr>
          <w:rFonts w:cs="Arial"/>
          <w:rtl/>
        </w:rPr>
        <w:t xml:space="preserve"> נשבעים שבועת יורשין המפורשת במסכת שבועות (מה</w:t>
      </w:r>
      <w:r>
        <w:rPr>
          <w:rFonts w:cs="Arial" w:hint="cs"/>
          <w:rtl/>
        </w:rPr>
        <w:t>.</w:t>
      </w:r>
      <w:r w:rsidRPr="008C0C3F">
        <w:rPr>
          <w:rFonts w:cs="Arial"/>
          <w:rtl/>
        </w:rPr>
        <w:t>) שבועה שלא פקדתנו בשעת מיתה ולא אמרה לנו קודם לכן ולא מצאנו בין שטרותיה ששטר כתובתה פרוע</w:t>
      </w:r>
      <w:r>
        <w:rPr>
          <w:rFonts w:cs="Arial" w:hint="cs"/>
          <w:rtl/>
        </w:rPr>
        <w:t>, רש"י.</w:t>
      </w:r>
    </w:p>
  </w:footnote>
  <w:footnote w:id="1806">
    <w:p w14:paraId="0DC3A616" w14:textId="5232E5E5" w:rsidR="007252DA" w:rsidRDefault="007252DA" w:rsidP="007252DA">
      <w:pPr>
        <w:pStyle w:val="a5"/>
      </w:pPr>
      <w:r>
        <w:rPr>
          <w:rStyle w:val="a7"/>
        </w:rPr>
        <w:footnoteRef/>
      </w:r>
      <w:r>
        <w:rPr>
          <w:rtl/>
        </w:rPr>
        <w:t xml:space="preserve"> </w:t>
      </w:r>
      <w:r w:rsidRPr="009B0FCD">
        <w:rPr>
          <w:rFonts w:cs="Arial"/>
          <w:rtl/>
        </w:rPr>
        <w:t>אם מכרה כתובתה לאחרים ונתגרשה ומתה והלקוחות תובעין אותו</w:t>
      </w:r>
      <w:r w:rsidR="0094206C">
        <w:rPr>
          <w:rFonts w:cs="Arial" w:hint="cs"/>
          <w:rtl/>
        </w:rPr>
        <w:t>,</w:t>
      </w:r>
      <w:r w:rsidRPr="009B0FCD">
        <w:rPr>
          <w:rFonts w:cs="Arial"/>
          <w:rtl/>
        </w:rPr>
        <w:t xml:space="preserve"> נשבעין אף הן שבועת היורשין</w:t>
      </w:r>
      <w:r>
        <w:rPr>
          <w:rFonts w:cs="Arial" w:hint="cs"/>
          <w:rtl/>
        </w:rPr>
        <w:t xml:space="preserve">, </w:t>
      </w:r>
      <w:r w:rsidRPr="00894807">
        <w:rPr>
          <w:rFonts w:cs="Arial" w:hint="cs"/>
          <w:b/>
          <w:bCs/>
          <w:rtl/>
        </w:rPr>
        <w:t>רש"י</w:t>
      </w:r>
      <w:r>
        <w:rPr>
          <w:rFonts w:cs="Arial" w:hint="cs"/>
          <w:rtl/>
        </w:rPr>
        <w:t>.</w:t>
      </w:r>
      <w:r>
        <w:rPr>
          <w:rFonts w:hint="cs"/>
          <w:rtl/>
        </w:rPr>
        <w:t xml:space="preserve">    </w:t>
      </w:r>
      <w:r w:rsidRPr="002C5D6A">
        <w:rPr>
          <w:rFonts w:cs="Arial"/>
          <w:rtl/>
        </w:rPr>
        <w:t>ודוקא אם מתה</w:t>
      </w:r>
      <w:r>
        <w:rPr>
          <w:rFonts w:cs="Arial" w:hint="cs"/>
          <w:rtl/>
        </w:rPr>
        <w:t>,</w:t>
      </w:r>
      <w:r w:rsidRPr="002C5D6A">
        <w:rPr>
          <w:rFonts w:cs="Arial"/>
          <w:rtl/>
        </w:rPr>
        <w:t xml:space="preserve"> אבל אם היא קיימת </w:t>
      </w:r>
      <w:r>
        <w:rPr>
          <w:rFonts w:cs="Arial" w:hint="cs"/>
          <w:rtl/>
        </w:rPr>
        <w:t xml:space="preserve">- </w:t>
      </w:r>
      <w:r w:rsidRPr="002C5D6A">
        <w:rPr>
          <w:rFonts w:cs="Arial"/>
          <w:rtl/>
        </w:rPr>
        <w:t>היא צריכה לישבע שלא נפרעת</w:t>
      </w:r>
      <w:r>
        <w:rPr>
          <w:rFonts w:cs="Arial" w:hint="cs"/>
          <w:rtl/>
        </w:rPr>
        <w:t>.</w:t>
      </w:r>
      <w:r w:rsidRPr="002C5D6A">
        <w:rPr>
          <w:rFonts w:cs="Arial"/>
          <w:rtl/>
        </w:rPr>
        <w:t xml:space="preserve"> ואם אינה רוצה לישבע</w:t>
      </w:r>
      <w:r>
        <w:rPr>
          <w:rFonts w:cs="Arial" w:hint="cs"/>
          <w:rtl/>
        </w:rPr>
        <w:t>,</w:t>
      </w:r>
      <w:r w:rsidRPr="002C5D6A">
        <w:rPr>
          <w:rFonts w:cs="Arial"/>
          <w:rtl/>
        </w:rPr>
        <w:t xml:space="preserve"> יפסידו הלקוחות</w:t>
      </w:r>
      <w:r>
        <w:rPr>
          <w:rFonts w:cs="Arial" w:hint="cs"/>
          <w:rtl/>
        </w:rPr>
        <w:t>.</w:t>
      </w:r>
      <w:r w:rsidRPr="002C5D6A">
        <w:rPr>
          <w:rFonts w:cs="Arial"/>
          <w:rtl/>
        </w:rPr>
        <w:t xml:space="preserve"> ואם היא אומרת שנפרעה אחר שמכרה</w:t>
      </w:r>
      <w:r>
        <w:rPr>
          <w:rFonts w:cs="Arial" w:hint="cs"/>
          <w:rtl/>
        </w:rPr>
        <w:t>,</w:t>
      </w:r>
      <w:r w:rsidRPr="002C5D6A">
        <w:rPr>
          <w:rFonts w:cs="Arial"/>
          <w:rtl/>
        </w:rPr>
        <w:t xml:space="preserve"> נאמנת במיגו שיכולה למחול</w:t>
      </w:r>
      <w:r>
        <w:rPr>
          <w:rFonts w:cs="Arial" w:hint="cs"/>
          <w:rtl/>
        </w:rPr>
        <w:t>...</w:t>
      </w:r>
      <w:r w:rsidRPr="002C5D6A">
        <w:rPr>
          <w:rFonts w:cs="Arial"/>
          <w:rtl/>
        </w:rPr>
        <w:t xml:space="preserve"> אבל אם אמרה שנפרעה קודם המכר לא מהימנא במיגו דאי בעי מחלה</w:t>
      </w:r>
      <w:r>
        <w:rPr>
          <w:rFonts w:cs="Arial" w:hint="cs"/>
          <w:rtl/>
        </w:rPr>
        <w:t>,</w:t>
      </w:r>
      <w:r w:rsidRPr="002C5D6A">
        <w:rPr>
          <w:rFonts w:cs="Arial"/>
          <w:rtl/>
        </w:rPr>
        <w:t xml:space="preserve"> דאין זה מיגו טוב</w:t>
      </w:r>
      <w:r>
        <w:rPr>
          <w:rFonts w:cs="Arial" w:hint="cs"/>
          <w:rtl/>
        </w:rPr>
        <w:t>,</w:t>
      </w:r>
      <w:r w:rsidRPr="002C5D6A">
        <w:rPr>
          <w:rFonts w:cs="Arial"/>
          <w:rtl/>
        </w:rPr>
        <w:t xml:space="preserve"> דאי מחלה השתא היתה צריכה לשלם דמי שטרא מעליא</w:t>
      </w:r>
      <w:r>
        <w:rPr>
          <w:rFonts w:cs="Arial" w:hint="cs"/>
          <w:rtl/>
        </w:rPr>
        <w:t>,</w:t>
      </w:r>
      <w:r w:rsidRPr="002C5D6A">
        <w:rPr>
          <w:rFonts w:cs="Arial"/>
          <w:rtl/>
        </w:rPr>
        <w:t xml:space="preserve"> אבל אם נפרעה קודם אינה חייבת לשלם אלא הדמים שקבלה מן המכר ומחזרת הדמים</w:t>
      </w:r>
      <w:r>
        <w:rPr>
          <w:rFonts w:cs="Arial" w:hint="cs"/>
          <w:rtl/>
        </w:rPr>
        <w:t>.</w:t>
      </w:r>
      <w:r w:rsidRPr="002C5D6A">
        <w:rPr>
          <w:rFonts w:cs="Arial"/>
          <w:rtl/>
        </w:rPr>
        <w:t xml:space="preserve"> ואף לדברי המפרשים דכל מוחל שטר חוב אינו חייב לשלם אלא דמי המכר מכל מקום כו</w:t>
      </w:r>
      <w:r>
        <w:rPr>
          <w:rFonts w:cs="Arial" w:hint="cs"/>
          <w:rtl/>
        </w:rPr>
        <w:t>"</w:t>
      </w:r>
      <w:r w:rsidRPr="002C5D6A">
        <w:rPr>
          <w:rFonts w:cs="Arial"/>
          <w:rtl/>
        </w:rPr>
        <w:t>ע לאו דינא גמירי והיא יראה למחול שמא תתחייב לשלם כל דמי השטר</w:t>
      </w:r>
      <w:r>
        <w:rPr>
          <w:rFonts w:cs="Arial" w:hint="cs"/>
          <w:rtl/>
        </w:rPr>
        <w:t>,</w:t>
      </w:r>
      <w:r w:rsidRPr="002C5D6A">
        <w:rPr>
          <w:rFonts w:cs="Arial"/>
          <w:rtl/>
        </w:rPr>
        <w:t xml:space="preserve"> אבל מה שאומרת שנפרעה קודם המכר דבר ידוע הוא כיון שמקח טעות היה הדמים חוזרין</w:t>
      </w:r>
      <w:r>
        <w:rPr>
          <w:rFonts w:cs="Arial" w:hint="cs"/>
          <w:rtl/>
        </w:rPr>
        <w:t xml:space="preserve">, </w:t>
      </w:r>
      <w:r w:rsidRPr="00894807">
        <w:rPr>
          <w:rFonts w:cs="Arial" w:hint="cs"/>
          <w:b/>
          <w:bCs/>
          <w:rtl/>
        </w:rPr>
        <w:t>רא"ש</w:t>
      </w:r>
      <w:r>
        <w:rPr>
          <w:rFonts w:cs="Arial" w:hint="cs"/>
          <w:rtl/>
        </w:rPr>
        <w:t xml:space="preserve"> (סי' כח).</w:t>
      </w:r>
    </w:p>
  </w:footnote>
  <w:footnote w:id="1807">
    <w:p w14:paraId="25C763A6" w14:textId="77777777" w:rsidR="007252DA" w:rsidRDefault="007252DA" w:rsidP="007252DA">
      <w:pPr>
        <w:pStyle w:val="a5"/>
      </w:pPr>
      <w:r>
        <w:rPr>
          <w:rStyle w:val="a7"/>
        </w:rPr>
        <w:footnoteRef/>
      </w:r>
      <w:r>
        <w:rPr>
          <w:rtl/>
        </w:rPr>
        <w:t xml:space="preserve"> </w:t>
      </w:r>
      <w:r w:rsidRPr="00A71C05">
        <w:rPr>
          <w:rFonts w:cs="Arial"/>
          <w:rtl/>
        </w:rPr>
        <w:t>איזו שבועה סתם שאשה חייבת לבעלה או ליורשיו דקתני דכי לא פטרה משביעה וכי פטרה אין משביעה</w:t>
      </w:r>
      <w:r>
        <w:rPr>
          <w:rFonts w:cs="Arial" w:hint="cs"/>
          <w:rtl/>
        </w:rPr>
        <w:t>, רש"י.</w:t>
      </w:r>
    </w:p>
  </w:footnote>
  <w:footnote w:id="1808">
    <w:p w14:paraId="6D469FFC" w14:textId="77777777" w:rsidR="007252DA" w:rsidRDefault="007252DA" w:rsidP="007252DA">
      <w:pPr>
        <w:pStyle w:val="a5"/>
      </w:pPr>
      <w:r>
        <w:rPr>
          <w:rStyle w:val="a7"/>
        </w:rPr>
        <w:footnoteRef/>
      </w:r>
      <w:r>
        <w:rPr>
          <w:rtl/>
        </w:rPr>
        <w:t xml:space="preserve"> </w:t>
      </w:r>
      <w:r w:rsidRPr="00765775">
        <w:rPr>
          <w:rFonts w:cs="Arial"/>
          <w:rtl/>
        </w:rPr>
        <w:t>פוטרה בכתיבה זאת משבועת אפוטרופוס אם יושיבנה חנוונית אבל אם פגמה כתובתה דתנן במתני' הפוגמת כתובתה לא תפרע אלא בשבועה לא נפטרה מאותה שבועה ע"י תנאי זה דכי פטר לה משבועה דקא רמי הוא עלה אבל שבועה דהיא גרמה לנפשה לא פטר לה</w:t>
      </w:r>
      <w:r>
        <w:rPr>
          <w:rFonts w:cs="Arial" w:hint="cs"/>
          <w:rtl/>
        </w:rPr>
        <w:t>, רש"י.</w:t>
      </w:r>
    </w:p>
  </w:footnote>
  <w:footnote w:id="1809">
    <w:p w14:paraId="497467BB" w14:textId="77777777" w:rsidR="007252DA" w:rsidRDefault="007252DA" w:rsidP="007252DA">
      <w:pPr>
        <w:pStyle w:val="a5"/>
        <w:rPr>
          <w:rtl/>
        </w:rPr>
      </w:pPr>
      <w:r>
        <w:rPr>
          <w:rStyle w:val="a7"/>
        </w:rPr>
        <w:footnoteRef/>
      </w:r>
      <w:r>
        <w:rPr>
          <w:rtl/>
        </w:rPr>
        <w:t xml:space="preserve"> </w:t>
      </w:r>
      <w:r w:rsidRPr="00765775">
        <w:rPr>
          <w:rFonts w:cs="Arial"/>
          <w:rtl/>
        </w:rPr>
        <w:t>וכ"ש משבועת אפוטרופיא דמכל שבועה פטרה</w:t>
      </w:r>
      <w:r>
        <w:rPr>
          <w:rFonts w:hint="cs"/>
          <w:rtl/>
        </w:rPr>
        <w:t>, רש"י.</w:t>
      </w:r>
    </w:p>
  </w:footnote>
  <w:footnote w:id="1810">
    <w:p w14:paraId="2BA37EA6" w14:textId="77777777" w:rsidR="00CA0623" w:rsidRDefault="00CA0623" w:rsidP="00CA0623">
      <w:pPr>
        <w:pStyle w:val="a5"/>
        <w:rPr>
          <w:rtl/>
        </w:rPr>
      </w:pPr>
      <w:r>
        <w:rPr>
          <w:rStyle w:val="a7"/>
        </w:rPr>
        <w:footnoteRef/>
      </w:r>
      <w:r>
        <w:rPr>
          <w:rtl/>
        </w:rPr>
        <w:t xml:space="preserve"> </w:t>
      </w:r>
      <w:r>
        <w:rPr>
          <w:rFonts w:hint="cs"/>
          <w:rtl/>
        </w:rPr>
        <w:t>סימן - פטור מ-וואו (</w:t>
      </w:r>
      <w:r>
        <w:t>wow</w:t>
      </w:r>
      <w:r>
        <w:rPr>
          <w:rFonts w:hint="cs"/>
          <w:rtl/>
        </w:rPr>
        <w:t xml:space="preserve"> = שבועה).</w:t>
      </w:r>
    </w:p>
  </w:footnote>
  <w:footnote w:id="1811">
    <w:p w14:paraId="5AE2989A" w14:textId="665BB371" w:rsidR="0068598A" w:rsidRDefault="0068598A">
      <w:pPr>
        <w:pStyle w:val="a5"/>
      </w:pPr>
      <w:r>
        <w:rPr>
          <w:rStyle w:val="a7"/>
        </w:rPr>
        <w:footnoteRef/>
      </w:r>
      <w:r>
        <w:rPr>
          <w:rtl/>
        </w:rPr>
        <w:t xml:space="preserve"> </w:t>
      </w:r>
      <w:r>
        <w:rPr>
          <w:rFonts w:cs="Arial"/>
          <w:rtl/>
        </w:rPr>
        <w:t>כלומר דאילו בלא גלגול אפילו לא פטרה אין עליה שום שבועה לדעת הרא"ש שפסק כרבי שמעון דכל זמן שאינה תובעת כתובתה אין היורשים משביעין אותה וכמו שנתבאר בסימן שקודם זה (קמו: ד"ה ומ"ש ורבי)</w:t>
      </w:r>
      <w:r>
        <w:rPr>
          <w:rFonts w:cs="Arial" w:hint="cs"/>
          <w:rtl/>
        </w:rPr>
        <w:t>, ב"י.</w:t>
      </w:r>
    </w:p>
  </w:footnote>
  <w:footnote w:id="1812">
    <w:p w14:paraId="1DF69FF9" w14:textId="0E3F5A9D" w:rsidR="00AE3F2D" w:rsidRDefault="00AE3F2D">
      <w:pPr>
        <w:pStyle w:val="a5"/>
      </w:pPr>
      <w:r>
        <w:rPr>
          <w:rStyle w:val="a7"/>
        </w:rPr>
        <w:footnoteRef/>
      </w:r>
      <w:r>
        <w:rPr>
          <w:rtl/>
        </w:rPr>
        <w:t xml:space="preserve"> </w:t>
      </w:r>
      <w:r w:rsidRPr="001F4D9D">
        <w:rPr>
          <w:rFonts w:cs="Arial"/>
          <w:rtl/>
        </w:rPr>
        <w:t>ומשמע בנמוק</w:t>
      </w:r>
      <w:r>
        <w:rPr>
          <w:rFonts w:cs="Arial" w:hint="cs"/>
          <w:rtl/>
        </w:rPr>
        <w:t>"</w:t>
      </w:r>
      <w:r w:rsidRPr="001F4D9D">
        <w:rPr>
          <w:rFonts w:cs="Arial"/>
          <w:rtl/>
        </w:rPr>
        <w:t>י פרק הכותב (שם סוד"ה הלכה מקבר) דאם היתה אפוטרופא בחיי בעלה ונמשך כך לאחר מותו או שמינה האב בחייו שתהא אפוטרופא על ממונו לאחר מותו דזהו מיקרי אפטרפוס של חיי בעלה</w:t>
      </w:r>
      <w:r w:rsidR="00CA0623">
        <w:rPr>
          <w:rFonts w:cs="Arial" w:hint="cs"/>
          <w:rtl/>
        </w:rPr>
        <w:t>,</w:t>
      </w:r>
      <w:r w:rsidRPr="001F4D9D">
        <w:rPr>
          <w:rFonts w:cs="Arial"/>
          <w:rtl/>
        </w:rPr>
        <w:t xml:space="preserve"> אבל אם מינוה יתומים הוי דלאחר מותו</w:t>
      </w:r>
      <w:r w:rsidR="00CA0623">
        <w:rPr>
          <w:rFonts w:cs="Arial" w:hint="cs"/>
          <w:rtl/>
        </w:rPr>
        <w:t>.</w:t>
      </w:r>
      <w:r w:rsidRPr="001F4D9D">
        <w:rPr>
          <w:rFonts w:cs="Arial"/>
          <w:rtl/>
        </w:rPr>
        <w:t xml:space="preserve"> וצ"ע שם</w:t>
      </w:r>
      <w:r>
        <w:rPr>
          <w:rFonts w:cs="Arial" w:hint="cs"/>
          <w:rtl/>
        </w:rPr>
        <w:t>, דרכ"מ (אות ה).</w:t>
      </w:r>
    </w:p>
  </w:footnote>
  <w:footnote w:id="1813">
    <w:p w14:paraId="1C51BA77" w14:textId="666501FA" w:rsidR="001F4529" w:rsidRPr="00AE3F2D" w:rsidRDefault="001F4529" w:rsidP="00AE3F2D">
      <w:pPr>
        <w:pStyle w:val="a5"/>
        <w:rPr>
          <w:rFonts w:cs="Arial"/>
        </w:rPr>
      </w:pPr>
      <w:r>
        <w:rPr>
          <w:rStyle w:val="a7"/>
        </w:rPr>
        <w:footnoteRef/>
      </w:r>
      <w:r>
        <w:rPr>
          <w:rtl/>
        </w:rPr>
        <w:t xml:space="preserve"> </w:t>
      </w:r>
      <w:r w:rsidR="00982D7E">
        <w:rPr>
          <w:rFonts w:cs="Arial"/>
          <w:rtl/>
        </w:rPr>
        <w:t>בפרק הנזכר אהא דאמרינן שבועה מאי עיבידתה אמר רב יהודה אמר רב על אפטרופא שנעשית בחיי בעלה כתב הרי"ף (מו:) הא דרב יהודה אמר רב אסיפא מתנינן לה דתנן (פו:) הלכה מקבר בעלה לבית אביה או שחזרה לבית חמיה ולא נעשית אפטרופא אין היורשין משביעין אותה ואם נעשית אפוטרופא היורשין משביעין אותה על העתיד לבא ואין משביעין אותה על שעבר שבועה מאי עיבידתא אמר רב יהודה אמר רב על אפטרופא שנעשית בחיי בעלה. וטעמו משום דבגמרא איתמר הא דרב יהודה אמר רב אמתניתין דכתב לה נדר ושבועה אין לי עליך ואותיב רב מרדכי קמיה דרב אשי מי הות ידעא דמותיב לה אפטרופא דאמרה ליה כתוב לי דלא משבעת לי א"ל אתון אהא מתניתו לה אנן אהא מתנינן לה הלכה מקבר בעלה לבית אביה וכו'</w:t>
      </w:r>
      <w:r w:rsidR="00946CAC">
        <w:rPr>
          <w:rFonts w:cs="Arial" w:hint="cs"/>
          <w:rtl/>
        </w:rPr>
        <w:t>.</w:t>
      </w:r>
      <w:r w:rsidR="00982D7E">
        <w:rPr>
          <w:rFonts w:cs="Arial"/>
          <w:rtl/>
        </w:rPr>
        <w:t xml:space="preserve"> ומשמע לרבינו דכיון דהרי"ף מתני לה אסיפא משום קושיא דמי הות ידעא דמותיב לה אפטרופא אם כן הא דאין משביעין אותה על שעבר לא מטעם פיטור שפטרה הבעל הוא דמי הות ידעא וכו' אלא טעמא משום דאין ליורשים יכולת להשביעה על אפטרופא דבחיי הבעל ואפילו לא פטרה נמי</w:t>
      </w:r>
      <w:r w:rsidR="00982D7E">
        <w:rPr>
          <w:rFonts w:cs="Arial" w:hint="cs"/>
          <w:rtl/>
        </w:rPr>
        <w:t>, ב"י.</w:t>
      </w:r>
      <w:r w:rsidR="00982D7E" w:rsidRPr="001F4D9D">
        <w:rPr>
          <w:rFonts w:cs="Arial"/>
          <w:rtl/>
        </w:rPr>
        <w:t xml:space="preserve"> </w:t>
      </w:r>
    </w:p>
  </w:footnote>
  <w:footnote w:id="1814">
    <w:p w14:paraId="11038293" w14:textId="5353B452" w:rsidR="00AE3F2D" w:rsidRDefault="00AE3F2D">
      <w:pPr>
        <w:pStyle w:val="a5"/>
        <w:rPr>
          <w:rtl/>
        </w:rPr>
      </w:pPr>
      <w:r>
        <w:rPr>
          <w:rStyle w:val="a7"/>
        </w:rPr>
        <w:footnoteRef/>
      </w:r>
      <w:r>
        <w:rPr>
          <w:rtl/>
        </w:rPr>
        <w:t xml:space="preserve"> </w:t>
      </w:r>
      <w:r>
        <w:rPr>
          <w:rFonts w:cs="Arial"/>
          <w:rtl/>
        </w:rPr>
        <w:t>הוא משום דאמתניתין דכתב לה נדר ושבועה אין לי עליך וכו' כתב (סי' כח) דפטרה נמי משבועת אפטרופא ומ"מ ק"ל שה"ל לרבינו לכתוב בסימן זה לעיל דלרב אלפס אע</w:t>
      </w:r>
      <w:r>
        <w:rPr>
          <w:rFonts w:cs="Arial" w:hint="cs"/>
          <w:rtl/>
        </w:rPr>
        <w:t>"</w:t>
      </w:r>
      <w:r>
        <w:rPr>
          <w:rFonts w:cs="Arial"/>
          <w:rtl/>
        </w:rPr>
        <w:t>פ שפטרה מנדר ושבועה יכול הוא להשביעה על אפטרופוסות אם היתה נושאת ונותנת</w:t>
      </w:r>
      <w:r>
        <w:rPr>
          <w:rFonts w:cs="Arial" w:hint="cs"/>
          <w:rtl/>
        </w:rPr>
        <w:t>, ב"י.</w:t>
      </w:r>
    </w:p>
  </w:footnote>
  <w:footnote w:id="1815">
    <w:p w14:paraId="6E1BDE0F" w14:textId="20B93499" w:rsidR="0054147C" w:rsidRPr="00BB4E8B" w:rsidRDefault="0054147C">
      <w:pPr>
        <w:pStyle w:val="a5"/>
        <w:rPr>
          <w:rtl/>
        </w:rPr>
      </w:pPr>
      <w:r w:rsidRPr="00BB4E8B">
        <w:rPr>
          <w:rStyle w:val="a7"/>
        </w:rPr>
        <w:footnoteRef/>
      </w:r>
      <w:r w:rsidRPr="00BB4E8B">
        <w:rPr>
          <w:rtl/>
        </w:rPr>
        <w:t xml:space="preserve"> </w:t>
      </w:r>
      <w:r w:rsidRPr="00BB4E8B">
        <w:rPr>
          <w:rFonts w:hint="cs"/>
          <w:rtl/>
        </w:rPr>
        <w:t>מה שפטר</w:t>
      </w:r>
      <w:r w:rsidR="00BB4E8B" w:rsidRPr="00BB4E8B">
        <w:rPr>
          <w:rFonts w:hint="cs"/>
          <w:rtl/>
        </w:rPr>
        <w:t xml:space="preserve"> אותה</w:t>
      </w:r>
      <w:r w:rsidRPr="00BB4E8B">
        <w:rPr>
          <w:rFonts w:hint="cs"/>
          <w:rtl/>
        </w:rPr>
        <w:t xml:space="preserve"> הבעל</w:t>
      </w:r>
      <w:r w:rsidR="00BB4E8B" w:rsidRPr="00BB4E8B">
        <w:rPr>
          <w:rFonts w:hint="cs"/>
          <w:rtl/>
        </w:rPr>
        <w:t xml:space="preserve">. וכתב הב"י </w:t>
      </w:r>
      <w:r w:rsidR="00BB4E8B" w:rsidRPr="00BB4E8B">
        <w:rPr>
          <w:rFonts w:cs="Arial" w:hint="cs"/>
          <w:rtl/>
        </w:rPr>
        <w:t>ד</w:t>
      </w:r>
      <w:r w:rsidR="00BB4E8B" w:rsidRPr="00BB4E8B">
        <w:rPr>
          <w:rFonts w:cs="Arial"/>
          <w:rtl/>
        </w:rPr>
        <w:t xml:space="preserve">יש לתמוה על </w:t>
      </w:r>
      <w:r w:rsidR="00BB4E8B" w:rsidRPr="00BB4E8B">
        <w:rPr>
          <w:rFonts w:cs="Arial" w:hint="cs"/>
          <w:rtl/>
        </w:rPr>
        <w:t>זה,</w:t>
      </w:r>
      <w:r w:rsidR="00BB4E8B" w:rsidRPr="00BB4E8B">
        <w:rPr>
          <w:rFonts w:cs="Arial"/>
          <w:rtl/>
        </w:rPr>
        <w:t xml:space="preserve"> דמאי איריא שפטרה אפילו לא פטרה נמי</w:t>
      </w:r>
      <w:r w:rsidR="00BB4E8B" w:rsidRPr="00BB4E8B">
        <w:rPr>
          <w:rFonts w:cs="Arial" w:hint="cs"/>
          <w:rtl/>
        </w:rPr>
        <w:t>, וכדמשמע מהגמרא לעיל.</w:t>
      </w:r>
    </w:p>
  </w:footnote>
  <w:footnote w:id="1816">
    <w:p w14:paraId="6AFA35CE" w14:textId="77777777" w:rsidR="007B4E6C" w:rsidRDefault="007B4E6C" w:rsidP="007B4E6C">
      <w:pPr>
        <w:pStyle w:val="a5"/>
      </w:pPr>
      <w:r>
        <w:rPr>
          <w:rStyle w:val="a7"/>
        </w:rPr>
        <w:footnoteRef/>
      </w:r>
      <w:r>
        <w:rPr>
          <w:rtl/>
        </w:rPr>
        <w:t xml:space="preserve"> </w:t>
      </w:r>
      <w:r>
        <w:rPr>
          <w:rFonts w:hint="cs"/>
          <w:rtl/>
        </w:rPr>
        <w:t>וז"ל:</w:t>
      </w:r>
      <w:r w:rsidRPr="007B4E6C">
        <w:rPr>
          <w:rFonts w:cs="Arial"/>
          <w:rtl/>
        </w:rPr>
        <w:t xml:space="preserve"> </w:t>
      </w:r>
      <w:r>
        <w:rPr>
          <w:rFonts w:cs="Arial"/>
          <w:rtl/>
        </w:rPr>
        <w:t>אם יש נאמנות בכתובתה ופטרה הבעל בפי' בין ממנו בין מיורשיו נוטלת היא אפילו שלא בשבועה כמשנתינו בפרק הכותב דאבא שאול דאמר מה אעשה שהרי אמרו חכמים הבא ליפרע מנכסי יתומים לא יפרע אלא בשבועה לא אמר אלא בנקי נדר בין מנכסי בין מנכסיא אילין שלא האמינה בפי' על היתומים כמשנתנו וכן דעת הרי"ף ור"ח וכל שכן אם קנו מידו וכ"כ ר"ח וכ"כ הרמב"ן בר"פ הניזקין (גיטין נ. ד"ה שטר חוב) גבי כתוב בו שבח</w:t>
      </w:r>
      <w:r>
        <w:rPr>
          <w:rFonts w:cs="Arial" w:hint="cs"/>
          <w:rtl/>
        </w:rPr>
        <w:t>.</w:t>
      </w:r>
      <w:r>
        <w:rPr>
          <w:rFonts w:cs="Arial"/>
          <w:rtl/>
        </w:rPr>
        <w:t xml:space="preserve"> וכן מורי ה"ר יונה ז"ל וכן דעתי נוטה</w:t>
      </w:r>
      <w:r>
        <w:rPr>
          <w:rFonts w:cs="Arial" w:hint="cs"/>
          <w:rtl/>
        </w:rPr>
        <w:t>.</w:t>
      </w:r>
      <w:r>
        <w:rPr>
          <w:rFonts w:cs="Arial"/>
          <w:rtl/>
        </w:rPr>
        <w:t xml:space="preserve"> ואף על פי שהרב בעל המאור (שבועות לא: ד"ה ומכלל) כתב כאבא שאול אפילו באומר בין ממני בין מיורשי ויש לו ראיה מדאמרינן התם גבי מתניתין דרבי שמעון אומר כל זמן שתובעת כתובתה היורשים משביעין אותה דהא דרבי שמעון פליגא אמתני' דנדר ושבועה אין לי ולא ליורשי עליך ואמרינן דרבי שמעון כאבא שאול אלמא אבא שאול אפילו במפרש פליג ולית ליה מתני' ואני אומר אין משם ראיה גמורה דהתם ה"ק רבי שמעון כאבא שאול דאמר אין פיטור מועיל ומי' הא דרבי שמעון עדיפא מדאבא שאול דאילו אבא שאול דוקא בדלא נדר ונקי נדר ודרבי שמעון אפילו בנדר ושבועה אין לי ולא ליורשי עליך ורבנן כרבנן דברייתא דאבא שאול דמסתמא</w:t>
      </w:r>
      <w:r>
        <w:rPr>
          <w:rFonts w:cs="Arial" w:hint="cs"/>
          <w:rtl/>
        </w:rPr>
        <w:t xml:space="preserve"> </w:t>
      </w:r>
      <w:r>
        <w:rPr>
          <w:rFonts w:cs="Arial"/>
          <w:rtl/>
        </w:rPr>
        <w:t>פליג עליה וכמו שפירש רש"י ז"ל על כל שפטרה מן השבועה בין ממנו בין מן היורשים גובה בלא שבועה</w:t>
      </w:r>
      <w:r>
        <w:rPr>
          <w:rFonts w:cs="Arial" w:hint="cs"/>
          <w:rtl/>
        </w:rPr>
        <w:t>.</w:t>
      </w:r>
    </w:p>
  </w:footnote>
  <w:footnote w:id="1817">
    <w:p w14:paraId="4384E503" w14:textId="1554109B" w:rsidR="003E3371" w:rsidRDefault="003E3371">
      <w:pPr>
        <w:pStyle w:val="a5"/>
        <w:rPr>
          <w:rtl/>
        </w:rPr>
      </w:pPr>
      <w:r>
        <w:rPr>
          <w:rStyle w:val="a7"/>
        </w:rPr>
        <w:footnoteRef/>
      </w:r>
      <w:r>
        <w:rPr>
          <w:rtl/>
        </w:rPr>
        <w:t xml:space="preserve"> </w:t>
      </w:r>
      <w:r w:rsidRPr="00D71C6B">
        <w:rPr>
          <w:rFonts w:cs="Arial"/>
          <w:rtl/>
        </w:rPr>
        <w:t>אבל לא פירש</w:t>
      </w:r>
      <w:r w:rsidR="006F6C63">
        <w:rPr>
          <w:rFonts w:cs="Arial" w:hint="cs"/>
          <w:rtl/>
        </w:rPr>
        <w:t>,</w:t>
      </w:r>
      <w:r w:rsidRPr="00D71C6B">
        <w:rPr>
          <w:rFonts w:cs="Arial"/>
          <w:rtl/>
        </w:rPr>
        <w:t xml:space="preserve"> אע</w:t>
      </w:r>
      <w:r>
        <w:rPr>
          <w:rFonts w:cs="Arial" w:hint="cs"/>
          <w:rtl/>
        </w:rPr>
        <w:t>"</w:t>
      </w:r>
      <w:r w:rsidRPr="00D71C6B">
        <w:rPr>
          <w:rFonts w:cs="Arial"/>
          <w:rtl/>
        </w:rPr>
        <w:t xml:space="preserve">פ שכתב </w:t>
      </w:r>
      <w:r w:rsidR="006F6C63">
        <w:rPr>
          <w:rFonts w:cs="Arial" w:hint="cs"/>
          <w:rtl/>
        </w:rPr>
        <w:t>"</w:t>
      </w:r>
      <w:r w:rsidRPr="00D71C6B">
        <w:rPr>
          <w:rFonts w:cs="Arial"/>
          <w:rtl/>
        </w:rPr>
        <w:t>נקי נדר נקי שבועה מנכסי אילין</w:t>
      </w:r>
      <w:r w:rsidR="006F6C63">
        <w:rPr>
          <w:rFonts w:cs="Arial" w:hint="cs"/>
          <w:rtl/>
        </w:rPr>
        <w:t>" -</w:t>
      </w:r>
      <w:r w:rsidRPr="00D71C6B">
        <w:rPr>
          <w:rFonts w:cs="Arial"/>
          <w:rtl/>
        </w:rPr>
        <w:t xml:space="preserve"> לא מהני וצריכה שבועה</w:t>
      </w:r>
      <w:r>
        <w:rPr>
          <w:rFonts w:hint="cs"/>
          <w:rtl/>
        </w:rPr>
        <w:t>, טור בשם הרי"ף.</w:t>
      </w:r>
    </w:p>
  </w:footnote>
  <w:footnote w:id="1818">
    <w:p w14:paraId="2F467130" w14:textId="0B32A9A4" w:rsidR="006C632E" w:rsidRDefault="006C632E">
      <w:pPr>
        <w:pStyle w:val="a5"/>
        <w:rPr>
          <w:rtl/>
        </w:rPr>
      </w:pPr>
      <w:r>
        <w:rPr>
          <w:rStyle w:val="a7"/>
        </w:rPr>
        <w:footnoteRef/>
      </w:r>
      <w:r>
        <w:rPr>
          <w:rtl/>
        </w:rPr>
        <w:t xml:space="preserve"> </w:t>
      </w:r>
      <w:r w:rsidRPr="006C632E">
        <w:rPr>
          <w:rFonts w:cs="Arial"/>
          <w:rtl/>
        </w:rPr>
        <w:t>דקתני נדר ושבועה אין לי ולא ליורשי ולא לבאים ברשותי אינו יכול להשביעה לא הוא ולא יורשיו וכו' ואמרינן שבועה מאי עיבידתה אמר רב נחמן אמר רבה בר אבוה אפוגמת כתובתה עכ"ל. משמע בהדיא שהוא ז"ל סובר דלא פליג אבא שאול אתנא דמתני'</w:t>
      </w:r>
      <w:r w:rsidRPr="006C632E">
        <w:rPr>
          <w:rFonts w:cs="Arial" w:hint="cs"/>
          <w:rtl/>
        </w:rPr>
        <w:t>,</w:t>
      </w:r>
      <w:r w:rsidRPr="006C632E">
        <w:rPr>
          <w:rFonts w:cs="Arial"/>
          <w:rtl/>
        </w:rPr>
        <w:t xml:space="preserve"> דתנא דמתני' דאמר דמהני פיטור אף ליורשי' מיירי במפרש שפוטרה בין ממנו בין מיורשיו</w:t>
      </w:r>
      <w:r w:rsidRPr="006C632E">
        <w:rPr>
          <w:rFonts w:cs="Arial" w:hint="cs"/>
          <w:rtl/>
        </w:rPr>
        <w:t>.</w:t>
      </w:r>
      <w:r w:rsidRPr="006C632E">
        <w:rPr>
          <w:rFonts w:cs="Arial"/>
          <w:rtl/>
        </w:rPr>
        <w:t xml:space="preserve"> ואבא שאול דאמר דלא מהני פיטור ליורשי' מיירי בשלא פירש שפוטרה אף מיורשיו</w:t>
      </w:r>
      <w:r w:rsidRPr="006C632E">
        <w:rPr>
          <w:rFonts w:cs="Arial" w:hint="cs"/>
          <w:rtl/>
        </w:rPr>
        <w:t>.</w:t>
      </w:r>
      <w:r w:rsidRPr="006C632E">
        <w:rPr>
          <w:rFonts w:cs="Arial"/>
          <w:rtl/>
        </w:rPr>
        <w:t xml:space="preserve"> ומר אמר חדא ומר אמר חדא ולא פליגי</w:t>
      </w:r>
      <w:r w:rsidRPr="006C632E">
        <w:rPr>
          <w:rFonts w:cs="Arial" w:hint="cs"/>
          <w:rtl/>
        </w:rPr>
        <w:t>.</w:t>
      </w:r>
      <w:r w:rsidRPr="006C632E">
        <w:rPr>
          <w:rFonts w:cs="Arial"/>
          <w:rtl/>
        </w:rPr>
        <w:t xml:space="preserve"> והא דאיצטריך רב נחמן למיפסק הלכה כאבא שאול לא לאפוקי מתנא דמתני' איצטריך</w:t>
      </w:r>
      <w:r w:rsidRPr="006C632E">
        <w:rPr>
          <w:rFonts w:cs="Arial" w:hint="cs"/>
          <w:rtl/>
        </w:rPr>
        <w:t>,</w:t>
      </w:r>
      <w:r w:rsidRPr="006C632E">
        <w:rPr>
          <w:rFonts w:cs="Arial"/>
          <w:rtl/>
        </w:rPr>
        <w:t xml:space="preserve"> דהא לא פליגי אהדדי כדאמרן</w:t>
      </w:r>
      <w:r w:rsidRPr="006C632E">
        <w:rPr>
          <w:rFonts w:cs="Arial" w:hint="cs"/>
          <w:rtl/>
        </w:rPr>
        <w:t>,</w:t>
      </w:r>
      <w:r w:rsidRPr="006C632E">
        <w:rPr>
          <w:rFonts w:cs="Arial"/>
          <w:rtl/>
        </w:rPr>
        <w:t xml:space="preserve"> אלא לאפוקי מדשלח רבי זכאי למר עוקבא ומאינך אמוראי דאיתא התם דסברי דאע"ג דלא פירש שפוטרה אף מיורשיו פטורה</w:t>
      </w:r>
      <w:r w:rsidRPr="006C632E">
        <w:rPr>
          <w:rFonts w:cs="Arial" w:hint="cs"/>
          <w:rtl/>
        </w:rPr>
        <w:t>.</w:t>
      </w:r>
      <w:r w:rsidRPr="006C632E">
        <w:rPr>
          <w:rFonts w:cs="Arial"/>
          <w:rtl/>
        </w:rPr>
        <w:t xml:space="preserve"> זה נראה ברור בדברי רב אלפס</w:t>
      </w:r>
      <w:r>
        <w:rPr>
          <w:rFonts w:cs="Arial" w:hint="cs"/>
          <w:rtl/>
        </w:rPr>
        <w:t>, ב"י</w:t>
      </w:r>
      <w:r w:rsidRPr="006C632E">
        <w:rPr>
          <w:rFonts w:cs="Arial" w:hint="cs"/>
          <w:rtl/>
        </w:rPr>
        <w:t>.</w:t>
      </w:r>
    </w:p>
  </w:footnote>
  <w:footnote w:id="1819">
    <w:p w14:paraId="712CF89F" w14:textId="51419CFD" w:rsidR="00C051AE" w:rsidRDefault="00C051AE">
      <w:pPr>
        <w:pStyle w:val="a5"/>
      </w:pPr>
      <w:r>
        <w:rPr>
          <w:rStyle w:val="a7"/>
        </w:rPr>
        <w:footnoteRef/>
      </w:r>
      <w:r>
        <w:rPr>
          <w:rtl/>
        </w:rPr>
        <w:t xml:space="preserve"> </w:t>
      </w:r>
      <w:r>
        <w:rPr>
          <w:rFonts w:cs="Arial" w:hint="cs"/>
          <w:rtl/>
        </w:rPr>
        <w:t xml:space="preserve">וז"ל: </w:t>
      </w:r>
      <w:r w:rsidRPr="007172F8">
        <w:rPr>
          <w:rFonts w:cs="Arial"/>
          <w:rtl/>
        </w:rPr>
        <w:t>דעת הרי"ף דאבא שאול כי היכי דלא פליג עם רבנן דמתני' ברישא דמתני' שאם כתב לה נדר ושבועה אין לי שהוא אינו יכול להשביעה אבל יורשיו משביעים אותה ה"נ לא פליג בסיפא דמתני' דכתב לה נדר ושבועה אין לי ולא ליורשי עליך ואבא שאול דינא חדתא אתא לאשמועינן שאם לא כתב בפירוש פיטור יורשים אלא שאמר לה אחד מאלו הלשונות כגון דלא נדר מנכסי וכו' קאמר אבא שאול שאף על פי שבשאר מקומות יש במשמעות אלו הלשונות אפילו היורשים מה אעשה כלומר היאך אדקדק כן שהרי אמרו חכמים וכו' והיאך אומר שכוונתן היתה לעקור תקנת חכמים לפטרה משבוע' היורשים אלא כיון שהדברים סתומים יש לי לומר שלא נתכוון לפטרה אלא ממנו אבל לא מיורשיו</w:t>
      </w:r>
      <w:r>
        <w:rPr>
          <w:rFonts w:cs="Arial" w:hint="cs"/>
          <w:rtl/>
        </w:rPr>
        <w:t>.</w:t>
      </w:r>
      <w:r w:rsidRPr="007172F8">
        <w:rPr>
          <w:rFonts w:cs="Arial"/>
          <w:rtl/>
        </w:rPr>
        <w:t xml:space="preserve"> ולא נתחוור פירושו אצל רבותינו המפרשים ז"ל משום דלשון הגמרא מוכיח דאבא שאול ורבנן פליגי ודעת הראב"ד והרמב"ן (מלחמת ה' מז:) ובעל העיטור (ח"א מאמר חמישי נאמנות כג ע"ב) דאבא שאול ורבנן בסופה דמתני' פליגי דרבנן דמתני' אמרי שאם כתב אין לי וליורשי עליך מהני ואבא שאול פליג ואמר בין דלא נדר וכו' כל אלו הלשונות הרי הוא כאילו פטרה בפירוש מן היורשים אבל מה אעשה שאין תנאי זה מועיל שהרי אמרו חכמים הבא ליפרע וכו' והוא אינו יכול להתנו' ולעקור תקנת חכמים דקא סבר אבא שאול דפיטורא לא מהני לגבי יורשים כלל</w:t>
      </w:r>
      <w:r>
        <w:rPr>
          <w:rFonts w:cs="Arial" w:hint="cs"/>
          <w:rtl/>
        </w:rPr>
        <w:t>.</w:t>
      </w:r>
      <w:r w:rsidRPr="007172F8">
        <w:rPr>
          <w:rFonts w:cs="Arial"/>
          <w:rtl/>
        </w:rPr>
        <w:t xml:space="preserve"> וקרוב לדרך זה דברי ר"ח ז"ל והוא מפרש מימרא דאבא שאול בין דלא נדר וכו' ודאי אפילו מן היורשים פטרה שלא ישביעוה אלא שלא פטרה אלא משבועת פוגמת ואפטרופא הנזכרות במתניתין לעיל מינה אבל לא משבועת אלמנה הבאה לגבות כתובתה ועל זה קאמר אבל מה אעשה כלומר מה יועיל לה זה השטר אח' שלא פטרה משבועת אלמנה שהרי סופה שתבא לגבות כתובתה ותשבע כדין הבא ליפרע מנכסי יתומים ומגלגלין עליה פוגמת ואפטרופא דמגלגול לא פטרה והרב בעל העיטור גלגל בתוך פירושו סברא זו דר"ח ואח"כ כתב הא דאמר אבא שאול הני מילי בשלא קנו וכו'</w:t>
      </w:r>
      <w:r>
        <w:rPr>
          <w:rFonts w:cs="Arial" w:hint="cs"/>
          <w:rtl/>
        </w:rPr>
        <w:t>.</w:t>
      </w:r>
      <w:r w:rsidRPr="007172F8">
        <w:rPr>
          <w:rFonts w:cs="Arial"/>
          <w:rtl/>
        </w:rPr>
        <w:t xml:space="preserve"> ויש לך להזכר דהאי מימרא דמרן ז"ל לאו אסברא דסמיך ליה קאי דהא לא שייך ביה כלל שהרי ר"ח אומר דפוגמת ואפטרופא שפטרה בפירוש פטורה ואפילו בלא קנין ולשבועת אלמנה שלא פירש ואינה פטורה הא לא מהני בה קנין עד שיפרש ואם פירש לדבריו דר"ח אין צרי' לקנין דבלא קנין נמי בפוגמת ואפטרופא מהני אלא האי מימרא אפירושא ואסברא דיליה שכתב ברישא קאי דכתב דאבא שאול סבר דפיטורא לא מהני לגבי יורשים</w:t>
      </w:r>
      <w:r>
        <w:rPr>
          <w:rFonts w:cs="Arial" w:hint="cs"/>
          <w:rtl/>
        </w:rPr>
        <w:t>.</w:t>
      </w:r>
      <w:r w:rsidRPr="007172F8">
        <w:rPr>
          <w:rFonts w:cs="Arial"/>
          <w:rtl/>
        </w:rPr>
        <w:t xml:space="preserve"> וה"פ דמילתיה</w:t>
      </w:r>
      <w:r>
        <w:rPr>
          <w:rFonts w:cs="Arial" w:hint="cs"/>
          <w:rtl/>
        </w:rPr>
        <w:t>:</w:t>
      </w:r>
      <w:r w:rsidRPr="007172F8">
        <w:rPr>
          <w:rFonts w:cs="Arial"/>
          <w:rtl/>
        </w:rPr>
        <w:t xml:space="preserve"> הא דאמר אבא שאול דלא מהני פיטורא לגבי יורשים הני מילי בדלא קנו מיניה על שבועת היורשים דמשום כתיבה בעלמא אף על פי שהיא בשעת נישואין שהדברים ההם נקנים באמירה (קב.) אפילו הכי לא דחינן תקנתא דרבנן דהבא ליפרע וכו' בשבילה דילמא לא גמר ואקני לעקור תקנת חכמים אבל קנו מיניה כבר גמר והקנה ומהני פיטורא בידיה. הדין הוא פירושא דמימרא דיליה בביאור וכבר טעו רבים בפירושה</w:t>
      </w:r>
      <w:r>
        <w:rPr>
          <w:rFonts w:cs="Arial" w:hint="cs"/>
          <w:rtl/>
        </w:rPr>
        <w:t>.</w:t>
      </w:r>
    </w:p>
  </w:footnote>
  <w:footnote w:id="1820">
    <w:p w14:paraId="5987EC69" w14:textId="2EE020AC" w:rsidR="00642B81" w:rsidRDefault="00642B81">
      <w:pPr>
        <w:pStyle w:val="a5"/>
      </w:pPr>
      <w:r>
        <w:rPr>
          <w:rStyle w:val="a7"/>
        </w:rPr>
        <w:footnoteRef/>
      </w:r>
      <w:r>
        <w:rPr>
          <w:rtl/>
        </w:rPr>
        <w:t xml:space="preserve"> </w:t>
      </w:r>
      <w:r>
        <w:rPr>
          <w:rFonts w:cs="Arial" w:hint="cs"/>
          <w:rtl/>
        </w:rPr>
        <w:t xml:space="preserve">וכתב הב"י (בבדה"ב) על דברי הרא"ש שם: </w:t>
      </w:r>
      <w:r>
        <w:rPr>
          <w:rFonts w:cs="Arial"/>
          <w:rtl/>
        </w:rPr>
        <w:t>משמע מדבריו אלה שהוא סובר כרבינו חננאל והתוספות ויש לתמוה על זה שבתשובותיו כלל ע"א סימן ו' משמע שהוא סובר בהפך</w:t>
      </w:r>
      <w:r>
        <w:rPr>
          <w:rFonts w:hint="cs"/>
          <w:rtl/>
        </w:rPr>
        <w:t>.</w:t>
      </w:r>
    </w:p>
  </w:footnote>
  <w:footnote w:id="1821">
    <w:p w14:paraId="3C5C0EA0" w14:textId="531BB004" w:rsidR="009441B5" w:rsidRDefault="009441B5">
      <w:pPr>
        <w:pStyle w:val="a5"/>
        <w:rPr>
          <w:rtl/>
        </w:rPr>
      </w:pPr>
      <w:r>
        <w:rPr>
          <w:rStyle w:val="a7"/>
        </w:rPr>
        <w:footnoteRef/>
      </w:r>
      <w:r>
        <w:rPr>
          <w:rtl/>
        </w:rPr>
        <w:t xml:space="preserve"> </w:t>
      </w:r>
      <w:r w:rsidRPr="007172F8">
        <w:rPr>
          <w:rFonts w:cs="Arial"/>
          <w:rtl/>
        </w:rPr>
        <w:t>וכתב שאפילו היא חשודה על השבועה גובה והאריך בדבר</w:t>
      </w:r>
      <w:r>
        <w:rPr>
          <w:rFonts w:hint="cs"/>
          <w:rtl/>
        </w:rPr>
        <w:t>, ב"י.</w:t>
      </w:r>
    </w:p>
  </w:footnote>
  <w:footnote w:id="1822">
    <w:p w14:paraId="4A67E64C" w14:textId="0E54F6EA" w:rsidR="008C084C" w:rsidRDefault="008C084C">
      <w:pPr>
        <w:pStyle w:val="a5"/>
      </w:pPr>
      <w:r>
        <w:rPr>
          <w:rStyle w:val="a7"/>
        </w:rPr>
        <w:footnoteRef/>
      </w:r>
      <w:r>
        <w:rPr>
          <w:rtl/>
        </w:rPr>
        <w:t xml:space="preserve"> </w:t>
      </w:r>
      <w:r>
        <w:rPr>
          <w:rFonts w:hint="cs"/>
          <w:rtl/>
        </w:rPr>
        <w:t>כן הבין הרמ"א, אך צל"ע, משום דלא משמע לי כן מדברי ר"ח תוס' ורא"ש הנ"ל.</w:t>
      </w:r>
    </w:p>
  </w:footnote>
  <w:footnote w:id="1823">
    <w:p w14:paraId="0D9A01AB" w14:textId="77777777" w:rsidR="007172F8" w:rsidRDefault="007172F8" w:rsidP="007172F8">
      <w:pPr>
        <w:pStyle w:val="a5"/>
      </w:pPr>
      <w:r>
        <w:rPr>
          <w:rStyle w:val="a7"/>
        </w:rPr>
        <w:footnoteRef/>
      </w:r>
      <w:r w:rsidRPr="000910E1">
        <w:rPr>
          <w:rFonts w:cs="Arial"/>
          <w:rtl/>
        </w:rPr>
        <w:t xml:space="preserve"> </w:t>
      </w:r>
      <w:r>
        <w:rPr>
          <w:rFonts w:cs="Arial"/>
          <w:rtl/>
        </w:rPr>
        <w:t>וכבר כתבתי בסימן צ"ו (קמג. ד"ה כתב הריב"ש בתשובה) שכן דעת הרשב"א והר"ן</w:t>
      </w:r>
      <w:r>
        <w:rPr>
          <w:rFonts w:cs="Arial" w:hint="cs"/>
          <w:rtl/>
        </w:rPr>
        <w:t xml:space="preserve">, </w:t>
      </w:r>
      <w:r w:rsidRPr="00EF34DC">
        <w:rPr>
          <w:rFonts w:cs="Arial" w:hint="cs"/>
          <w:b/>
          <w:bCs/>
          <w:rtl/>
        </w:rPr>
        <w:t>ב"י</w:t>
      </w:r>
      <w:r>
        <w:rPr>
          <w:rFonts w:cs="Arial" w:hint="cs"/>
          <w:rtl/>
        </w:rPr>
        <w:t>.</w:t>
      </w:r>
      <w:r w:rsidRPr="000910E1">
        <w:rPr>
          <w:rFonts w:cs="Arial"/>
          <w:rtl/>
        </w:rPr>
        <w:t xml:space="preserve"> וכן כתב הר"ן פרק כל הנשבעין (לב: בדיבור הראשון) בשם הר"ז וגדולי נרבונא</w:t>
      </w:r>
      <w:r>
        <w:rPr>
          <w:rFonts w:cs="Arial" w:hint="cs"/>
          <w:rtl/>
        </w:rPr>
        <w:t xml:space="preserve">, </w:t>
      </w:r>
      <w:r w:rsidRPr="00EF34DC">
        <w:rPr>
          <w:rFonts w:cs="Arial" w:hint="cs"/>
          <w:b/>
          <w:bCs/>
          <w:rtl/>
        </w:rPr>
        <w:t>דרכ"מ</w:t>
      </w:r>
      <w:r>
        <w:rPr>
          <w:rFonts w:cs="Arial" w:hint="cs"/>
          <w:rtl/>
        </w:rPr>
        <w:t xml:space="preserve"> </w:t>
      </w:r>
      <w:r w:rsidRPr="000910E1">
        <w:rPr>
          <w:rFonts w:cs="Arial"/>
          <w:rtl/>
        </w:rPr>
        <w:t>(</w:t>
      </w:r>
      <w:r>
        <w:rPr>
          <w:rFonts w:cs="Arial" w:hint="cs"/>
          <w:rtl/>
        </w:rPr>
        <w:t xml:space="preserve">אות </w:t>
      </w:r>
      <w:r w:rsidRPr="000910E1">
        <w:rPr>
          <w:rFonts w:cs="Arial"/>
          <w:rtl/>
        </w:rPr>
        <w:t>ו*)</w:t>
      </w:r>
      <w:r>
        <w:rPr>
          <w:rFonts w:cs="Arial" w:hint="cs"/>
          <w:rtl/>
        </w:rPr>
        <w:t>.</w:t>
      </w:r>
    </w:p>
  </w:footnote>
  <w:footnote w:id="1824">
    <w:p w14:paraId="16885996" w14:textId="77777777" w:rsidR="00B82284" w:rsidRDefault="00B82284" w:rsidP="00B82284">
      <w:pPr>
        <w:pStyle w:val="a5"/>
      </w:pPr>
      <w:r>
        <w:rPr>
          <w:rStyle w:val="a7"/>
        </w:rPr>
        <w:footnoteRef/>
      </w:r>
      <w:r>
        <w:rPr>
          <w:rtl/>
        </w:rPr>
        <w:t xml:space="preserve"> </w:t>
      </w:r>
      <w:r w:rsidRPr="001070E9">
        <w:rPr>
          <w:rFonts w:cs="Arial"/>
          <w:rtl/>
        </w:rPr>
        <w:t>משום דאי הוה גבי מן הלוה גופיה והוה טעין לוה אשתבע לי דלא פרעתיך אמרינן בשבועות</w:t>
      </w:r>
      <w:r>
        <w:rPr>
          <w:rFonts w:cs="Arial" w:hint="cs"/>
          <w:rtl/>
        </w:rPr>
        <w:t xml:space="preserve"> </w:t>
      </w:r>
      <w:r>
        <w:rPr>
          <w:rFonts w:cs="Arial"/>
          <w:rtl/>
        </w:rPr>
        <w:t>(מא.)</w:t>
      </w:r>
      <w:r w:rsidRPr="001070E9">
        <w:rPr>
          <w:rFonts w:cs="Arial"/>
          <w:rtl/>
        </w:rPr>
        <w:t xml:space="preserve"> דמשבעינן ליה</w:t>
      </w:r>
      <w:r>
        <w:rPr>
          <w:rFonts w:cs="Arial" w:hint="cs"/>
          <w:rtl/>
        </w:rPr>
        <w:t>,</w:t>
      </w:r>
      <w:r w:rsidRPr="001070E9">
        <w:rPr>
          <w:rFonts w:cs="Arial"/>
          <w:rtl/>
        </w:rPr>
        <w:t xml:space="preserve"> ואי לא טעין לא טענינן ליה הואיל ונקיט שטרא</w:t>
      </w:r>
      <w:r>
        <w:rPr>
          <w:rFonts w:cs="Arial" w:hint="cs"/>
          <w:rtl/>
        </w:rPr>
        <w:t>,</w:t>
      </w:r>
      <w:r w:rsidRPr="001070E9">
        <w:rPr>
          <w:rFonts w:cs="Arial"/>
          <w:rtl/>
        </w:rPr>
        <w:t xml:space="preserve"> אבל בשביל לקוחות אנן טענינן דלמא אי הוה גבית מן הלוה הוה טעין לך אישתבע לי דלא פרעתיך ובעית אישתבועי</w:t>
      </w:r>
      <w:r>
        <w:rPr>
          <w:rFonts w:cs="Arial" w:hint="cs"/>
          <w:rtl/>
        </w:rPr>
        <w:t>,</w:t>
      </w:r>
      <w:r w:rsidRPr="001070E9">
        <w:rPr>
          <w:rFonts w:cs="Arial"/>
          <w:rtl/>
        </w:rPr>
        <w:t xml:space="preserve"> השתא אנן טענינן דפתח פיך לאלם הוא</w:t>
      </w:r>
      <w:r>
        <w:rPr>
          <w:rFonts w:cs="Arial" w:hint="cs"/>
          <w:rtl/>
        </w:rPr>
        <w:t>.</w:t>
      </w:r>
      <w:r w:rsidRPr="001070E9">
        <w:rPr>
          <w:rFonts w:cs="Arial"/>
          <w:rtl/>
        </w:rPr>
        <w:t xml:space="preserve"> ומנכסי יתומים ונפרעת שלא בפניו כולהו משום האי טעמא</w:t>
      </w:r>
      <w:r>
        <w:rPr>
          <w:rFonts w:cs="Arial" w:hint="cs"/>
          <w:rtl/>
        </w:rPr>
        <w:t>, רש"י.</w:t>
      </w:r>
    </w:p>
  </w:footnote>
  <w:footnote w:id="1825">
    <w:p w14:paraId="67F0F193" w14:textId="2C489067" w:rsidR="002910D4" w:rsidRDefault="002910D4">
      <w:pPr>
        <w:pStyle w:val="a5"/>
      </w:pPr>
      <w:r>
        <w:rPr>
          <w:rStyle w:val="a7"/>
        </w:rPr>
        <w:footnoteRef/>
      </w:r>
      <w:r>
        <w:rPr>
          <w:rtl/>
        </w:rPr>
        <w:t xml:space="preserve"> </w:t>
      </w:r>
      <w:r w:rsidRPr="00A33D7A">
        <w:rPr>
          <w:rFonts w:cs="Arial"/>
          <w:rtl/>
        </w:rPr>
        <w:t xml:space="preserve">ומסתייע הדין סברא מהא דגרסי' פרק האשה שנתאלמנה </w:t>
      </w:r>
      <w:r>
        <w:rPr>
          <w:rFonts w:cs="Arial" w:hint="cs"/>
          <w:rtl/>
        </w:rPr>
        <w:t>(</w:t>
      </w:r>
      <w:r w:rsidRPr="00A33D7A">
        <w:rPr>
          <w:rFonts w:cs="Arial"/>
          <w:rtl/>
        </w:rPr>
        <w:t>יט</w:t>
      </w:r>
      <w:r>
        <w:rPr>
          <w:rFonts w:cs="Arial" w:hint="cs"/>
          <w:rtl/>
        </w:rPr>
        <w:t>.)</w:t>
      </w:r>
      <w:r w:rsidRPr="00A33D7A">
        <w:rPr>
          <w:rFonts w:cs="Arial"/>
          <w:rtl/>
        </w:rPr>
        <w:t xml:space="preserve"> אמר רב יהודה אמר רב האומר שטר אמנה הוא זה אינו נאמן</w:t>
      </w:r>
      <w:r>
        <w:rPr>
          <w:rFonts w:cs="Arial" w:hint="cs"/>
          <w:rtl/>
        </w:rPr>
        <w:t>,</w:t>
      </w:r>
      <w:r w:rsidRPr="00A33D7A">
        <w:rPr>
          <w:rFonts w:cs="Arial"/>
          <w:rtl/>
        </w:rPr>
        <w:t xml:space="preserve"> ואמרינן דקאמר מאן</w:t>
      </w:r>
      <w:r w:rsidR="005B0959">
        <w:rPr>
          <w:rFonts w:cs="Arial" w:hint="cs"/>
          <w:rtl/>
        </w:rPr>
        <w:t xml:space="preserve">... </w:t>
      </w:r>
      <w:r w:rsidRPr="00A33D7A">
        <w:rPr>
          <w:rFonts w:cs="Arial"/>
          <w:rtl/>
        </w:rPr>
        <w:t>אביי אמר לעולם דקאמר מלוה וכגון שחב לאחרים וכדר' נתן</w:t>
      </w:r>
      <w:r>
        <w:rPr>
          <w:rFonts w:cs="Arial" w:hint="cs"/>
          <w:rtl/>
        </w:rPr>
        <w:t>,</w:t>
      </w:r>
      <w:r w:rsidRPr="00A33D7A">
        <w:rPr>
          <w:rFonts w:cs="Arial"/>
          <w:rtl/>
        </w:rPr>
        <w:t xml:space="preserve"> דאמר ר' נתן מניין לנושה בחבירו מנה וחבירו בחבירו מניין שמוציאין מזה ונותנין לזה ת"ל ונתן לאשר אשם לו</w:t>
      </w:r>
      <w:r>
        <w:rPr>
          <w:rFonts w:cs="Arial" w:hint="cs"/>
          <w:rtl/>
        </w:rPr>
        <w:t>,</w:t>
      </w:r>
      <w:r w:rsidRPr="00A33D7A">
        <w:rPr>
          <w:rFonts w:cs="Arial"/>
          <w:rtl/>
        </w:rPr>
        <w:t xml:space="preserve"> אלמא כל היכא דחב לאחרים וליכא גביה מהיכא דפרע אין הודאתו הודאה</w:t>
      </w:r>
      <w:r>
        <w:rPr>
          <w:rFonts w:cs="Arial" w:hint="cs"/>
          <w:rtl/>
        </w:rPr>
        <w:t>,</w:t>
      </w:r>
      <w:r w:rsidRPr="00A33D7A">
        <w:rPr>
          <w:rFonts w:cs="Arial"/>
          <w:rtl/>
        </w:rPr>
        <w:t xml:space="preserve"> והא נמי דכותה</w:t>
      </w:r>
      <w:r>
        <w:rPr>
          <w:rFonts w:cs="Arial" w:hint="cs"/>
          <w:rtl/>
        </w:rPr>
        <w:t xml:space="preserve">, </w:t>
      </w:r>
      <w:r w:rsidRPr="005B0959">
        <w:rPr>
          <w:rFonts w:cs="Arial" w:hint="cs"/>
          <w:b/>
          <w:bCs/>
          <w:rtl/>
        </w:rPr>
        <w:t>רי"ף</w:t>
      </w:r>
      <w:r>
        <w:rPr>
          <w:rFonts w:cs="Arial" w:hint="cs"/>
          <w:rtl/>
        </w:rPr>
        <w:t xml:space="preserve"> (שם).</w:t>
      </w:r>
      <w:r w:rsidR="005B0959">
        <w:rPr>
          <w:rFonts w:hint="cs"/>
          <w:rtl/>
        </w:rPr>
        <w:t xml:space="preserve">     </w:t>
      </w:r>
      <w:r w:rsidR="005B0959">
        <w:rPr>
          <w:rFonts w:cs="Arial"/>
          <w:rtl/>
        </w:rPr>
        <w:t>וכתב הרא"ש (סי' כב) מקשים על דבריו מהא דתנן במתניתין דמועיל נאמנות שכתב לאשה אף על הבאים ברשותה ותניא בתוס' (תוספתא פ"ט ה"ה) אלו הן הבאים ברשותה כל שמכרה או נתנה לאחר וא"כ הבאים ברשותו נמי הוי שמכר נכסיו לאחרים וקתני דמועיל נאמנות וגובה האשה מהם בלא שבועה. ויש לתרץ דבריו דהא דקאמר דלא מהני נאמנות היינו אחר שמכר נכסיו</w:t>
      </w:r>
      <w:r w:rsidR="005B0959">
        <w:rPr>
          <w:rFonts w:cs="Arial" w:hint="cs"/>
          <w:rtl/>
        </w:rPr>
        <w:t>,</w:t>
      </w:r>
      <w:r w:rsidR="005B0959">
        <w:rPr>
          <w:rFonts w:cs="Arial"/>
          <w:rtl/>
        </w:rPr>
        <w:t xml:space="preserve"> דומיא דשטר אמנה דלאו כל כמיניה לגרועי כח הלקוחות אחר שמכר להם כבר</w:t>
      </w:r>
      <w:r w:rsidR="005B0959">
        <w:rPr>
          <w:rFonts w:cs="Arial" w:hint="cs"/>
          <w:rtl/>
        </w:rPr>
        <w:t>.</w:t>
      </w:r>
      <w:r w:rsidR="005B0959">
        <w:rPr>
          <w:rFonts w:cs="Arial"/>
          <w:rtl/>
        </w:rPr>
        <w:t xml:space="preserve"> אבל אם קדם הנאמנות ללקוחות </w:t>
      </w:r>
      <w:r w:rsidR="005B0959">
        <w:rPr>
          <w:rFonts w:cs="Arial" w:hint="cs"/>
          <w:rtl/>
        </w:rPr>
        <w:t xml:space="preserve">- </w:t>
      </w:r>
      <w:r w:rsidR="005B0959">
        <w:rPr>
          <w:rFonts w:cs="Arial"/>
          <w:rtl/>
        </w:rPr>
        <w:t>לא פקע בשביל שמכר נכסיו לאחרים</w:t>
      </w:r>
      <w:r w:rsidR="005B0959">
        <w:rPr>
          <w:rFonts w:cs="Arial" w:hint="cs"/>
          <w:rtl/>
        </w:rPr>
        <w:t>.</w:t>
      </w:r>
      <w:r w:rsidR="005B0959">
        <w:rPr>
          <w:rFonts w:cs="Arial"/>
          <w:rtl/>
        </w:rPr>
        <w:t xml:space="preserve"> וכן חילק בעל המאור (מז:)</w:t>
      </w:r>
      <w:r w:rsidR="005B0959">
        <w:rPr>
          <w:rFonts w:cs="Arial" w:hint="cs"/>
          <w:rtl/>
        </w:rPr>
        <w:t>.</w:t>
      </w:r>
      <w:r w:rsidR="005B0959">
        <w:rPr>
          <w:rFonts w:cs="Arial"/>
          <w:rtl/>
        </w:rPr>
        <w:t xml:space="preserve"> אבל מתוך דברי רב אלפס ז"ל משמ</w:t>
      </w:r>
      <w:r w:rsidR="005B0959">
        <w:rPr>
          <w:rFonts w:cs="Arial" w:hint="cs"/>
          <w:rtl/>
        </w:rPr>
        <w:t>ע</w:t>
      </w:r>
      <w:r w:rsidR="005B0959">
        <w:rPr>
          <w:rFonts w:cs="Arial"/>
          <w:rtl/>
        </w:rPr>
        <w:t xml:space="preserve"> שלא ירד לחילוק זה</w:t>
      </w:r>
      <w:r w:rsidR="005B0959">
        <w:rPr>
          <w:rFonts w:cs="Arial" w:hint="cs"/>
          <w:rtl/>
        </w:rPr>
        <w:t>,</w:t>
      </w:r>
      <w:r w:rsidR="005B0959">
        <w:rPr>
          <w:rFonts w:cs="Arial"/>
          <w:rtl/>
        </w:rPr>
        <w:t xml:space="preserve"> דמשמע דמפליג בין ירתיה ללקוחות דומיא דירתיה</w:t>
      </w:r>
      <w:r w:rsidR="005B0959">
        <w:rPr>
          <w:rFonts w:cs="Arial" w:hint="cs"/>
          <w:rtl/>
        </w:rPr>
        <w:t>.</w:t>
      </w:r>
      <w:r w:rsidR="005B0959">
        <w:rPr>
          <w:rFonts w:cs="Arial"/>
          <w:rtl/>
        </w:rPr>
        <w:t xml:space="preserve"> וכן כתב ר"ח ז"ל מעשים בכל יום שאין נפרעין מן המשועבדים אע</w:t>
      </w:r>
      <w:r w:rsidR="005B0959">
        <w:rPr>
          <w:rFonts w:cs="Arial" w:hint="cs"/>
          <w:rtl/>
        </w:rPr>
        <w:t>"</w:t>
      </w:r>
      <w:r w:rsidR="005B0959">
        <w:rPr>
          <w:rFonts w:cs="Arial"/>
          <w:rtl/>
        </w:rPr>
        <w:t>פ שיש להם נאמנות בשבועה ומן היתומים שלא בשבועה</w:t>
      </w:r>
      <w:r w:rsidR="005B0959">
        <w:rPr>
          <w:rFonts w:cs="Arial" w:hint="cs"/>
          <w:rtl/>
        </w:rPr>
        <w:t>.</w:t>
      </w:r>
      <w:r w:rsidR="005B0959">
        <w:rPr>
          <w:rFonts w:cs="Arial"/>
          <w:rtl/>
        </w:rPr>
        <w:t xml:space="preserve"> ואיפשר דטעמיה משום דחיישינן לקנוניא שמא פרעו והחזיר לו השטר</w:t>
      </w:r>
      <w:r w:rsidR="005B0959">
        <w:rPr>
          <w:rFonts w:cs="Arial" w:hint="cs"/>
          <w:rtl/>
        </w:rPr>
        <w:t>,</w:t>
      </w:r>
      <w:r w:rsidR="005B0959">
        <w:rPr>
          <w:rFonts w:cs="Arial"/>
          <w:rtl/>
        </w:rPr>
        <w:t xml:space="preserve"> אע</w:t>
      </w:r>
      <w:r w:rsidR="005B0959">
        <w:rPr>
          <w:rFonts w:cs="Arial" w:hint="cs"/>
          <w:rtl/>
        </w:rPr>
        <w:t>"</w:t>
      </w:r>
      <w:r w:rsidR="005B0959">
        <w:rPr>
          <w:rFonts w:cs="Arial"/>
          <w:rtl/>
        </w:rPr>
        <w:t>ג דמפרש בתוספתא דבאים ברשותה היינו לקוחות הבאים ברשותו לאו היינו לקוחות אלא אפוטרופוס שמינה על נכסיו</w:t>
      </w:r>
      <w:r w:rsidR="005B0959">
        <w:rPr>
          <w:rFonts w:cs="Arial" w:hint="cs"/>
          <w:rtl/>
        </w:rPr>
        <w:t>.</w:t>
      </w:r>
      <w:r w:rsidR="005B0959">
        <w:rPr>
          <w:rFonts w:cs="Arial"/>
          <w:rtl/>
        </w:rPr>
        <w:t xml:space="preserve"> והראב"ד והרמ"ה ז"ל חילקו גם הם בין קדמו הלקוחות ובין קדם הנאמנות</w:t>
      </w:r>
      <w:r w:rsidR="005B0959">
        <w:rPr>
          <w:rFonts w:cs="Arial" w:hint="cs"/>
          <w:rtl/>
        </w:rPr>
        <w:t>.</w:t>
      </w:r>
      <w:r w:rsidR="005B0959">
        <w:rPr>
          <w:rFonts w:cs="Arial"/>
          <w:rtl/>
        </w:rPr>
        <w:t xml:space="preserve"> והאידנא דנפישי רמאי נכון להחמיר כדברי ר"ח והרי"ף עכ"ל</w:t>
      </w:r>
      <w:r w:rsidR="005B0959">
        <w:rPr>
          <w:rFonts w:cs="Arial" w:hint="cs"/>
          <w:rtl/>
        </w:rPr>
        <w:t xml:space="preserve">, </w:t>
      </w:r>
      <w:r w:rsidR="005B0959" w:rsidRPr="005B0959">
        <w:rPr>
          <w:rFonts w:cs="Arial" w:hint="cs"/>
          <w:b/>
          <w:bCs/>
          <w:rtl/>
        </w:rPr>
        <w:t>ב"י</w:t>
      </w:r>
      <w:r w:rsidR="005B0959">
        <w:rPr>
          <w:rFonts w:cs="Arial" w:hint="cs"/>
          <w:rtl/>
        </w:rPr>
        <w:t>.</w:t>
      </w:r>
    </w:p>
  </w:footnote>
  <w:footnote w:id="1826">
    <w:p w14:paraId="2337895E" w14:textId="409EECC2" w:rsidR="00A22F0A" w:rsidRDefault="00A22F0A">
      <w:pPr>
        <w:pStyle w:val="a5"/>
        <w:rPr>
          <w:rtl/>
        </w:rPr>
      </w:pPr>
      <w:r>
        <w:rPr>
          <w:rStyle w:val="a7"/>
        </w:rPr>
        <w:footnoteRef/>
      </w:r>
      <w:r>
        <w:rPr>
          <w:rtl/>
        </w:rPr>
        <w:t xml:space="preserve"> </w:t>
      </w:r>
      <w:r w:rsidRPr="002E6E13">
        <w:rPr>
          <w:rFonts w:cs="Arial"/>
          <w:rtl/>
        </w:rPr>
        <w:t>והיינו מתני' דתנן נדר ושבועה אין לי ולא ליורשי ולא לבאים ברשותי לא עליך ולא על יורשיך ולא על הבאים ברשותך אינו יכול להשביעה לא הוא ולא יורשיו ולא הבאים ברשותו לא היא ולא יורשיה ולא הבאים ברשותה ומפורש בתוספתא אלו הן הבאים ברשותה כל שמכרה או שנתנה להם במתנה</w:t>
      </w:r>
      <w:r>
        <w:rPr>
          <w:rFonts w:cs="Arial" w:hint="cs"/>
          <w:rtl/>
        </w:rPr>
        <w:t>,</w:t>
      </w:r>
      <w:r w:rsidRPr="002E6E13">
        <w:rPr>
          <w:rFonts w:cs="Arial"/>
          <w:rtl/>
        </w:rPr>
        <w:t xml:space="preserve"> וכן אתה מפרש הבאים ברשותו כל שמכר או שנתן להם במתנה</w:t>
      </w:r>
      <w:r>
        <w:rPr>
          <w:rFonts w:hint="cs"/>
          <w:rtl/>
        </w:rPr>
        <w:t xml:space="preserve">, </w:t>
      </w:r>
      <w:r w:rsidRPr="0093255D">
        <w:rPr>
          <w:rFonts w:hint="cs"/>
          <w:b/>
          <w:bCs/>
          <w:rtl/>
        </w:rPr>
        <w:t>רז"ה</w:t>
      </w:r>
      <w:r>
        <w:rPr>
          <w:rFonts w:hint="cs"/>
          <w:rtl/>
        </w:rPr>
        <w:t xml:space="preserve"> (שם).</w:t>
      </w:r>
      <w:r w:rsidR="0093255D">
        <w:rPr>
          <w:rFonts w:hint="cs"/>
          <w:rtl/>
        </w:rPr>
        <w:t xml:space="preserve">     </w:t>
      </w:r>
      <w:r w:rsidR="0093255D" w:rsidRPr="00D71C6B">
        <w:rPr>
          <w:rFonts w:cs="Arial"/>
          <w:rtl/>
        </w:rPr>
        <w:t>וי"א דהיינו דוקא שכתב לה הנאמנות בשטר וקנו מיניה שאז מועיל אף גבי לקוחות משום דאית ליה קלא</w:t>
      </w:r>
      <w:r w:rsidR="0093255D">
        <w:rPr>
          <w:rFonts w:cs="Arial" w:hint="cs"/>
          <w:rtl/>
        </w:rPr>
        <w:t xml:space="preserve">, </w:t>
      </w:r>
      <w:r w:rsidR="0093255D" w:rsidRPr="0093255D">
        <w:rPr>
          <w:rFonts w:cs="Arial" w:hint="cs"/>
          <w:b/>
          <w:bCs/>
          <w:rtl/>
        </w:rPr>
        <w:t>טור</w:t>
      </w:r>
      <w:r w:rsidR="0093255D">
        <w:rPr>
          <w:rFonts w:cs="Arial" w:hint="cs"/>
          <w:rtl/>
        </w:rPr>
        <w:t>.</w:t>
      </w:r>
    </w:p>
  </w:footnote>
  <w:footnote w:id="1827">
    <w:p w14:paraId="6D1D72E3" w14:textId="48CE9834" w:rsidR="00A22F0A" w:rsidRDefault="00A22F0A">
      <w:pPr>
        <w:pStyle w:val="a5"/>
        <w:rPr>
          <w:rtl/>
        </w:rPr>
      </w:pPr>
      <w:r>
        <w:rPr>
          <w:rStyle w:val="a7"/>
        </w:rPr>
        <w:footnoteRef/>
      </w:r>
      <w:r>
        <w:rPr>
          <w:rtl/>
        </w:rPr>
        <w:t xml:space="preserve"> </w:t>
      </w:r>
      <w:r w:rsidRPr="002E6E13">
        <w:rPr>
          <w:rFonts w:cs="Arial"/>
          <w:rtl/>
        </w:rPr>
        <w:t>והיינו דאמרי' בפ' האשה שנתארמלה אר"י אמר רב האומר שטר אמנה הוא זה אינו נאמן וכו'</w:t>
      </w:r>
      <w:r>
        <w:rPr>
          <w:rFonts w:hint="cs"/>
          <w:rtl/>
        </w:rPr>
        <w:t>, רז"ה (שם).</w:t>
      </w:r>
      <w:r w:rsidR="00AB11EA">
        <w:rPr>
          <w:rFonts w:hint="cs"/>
          <w:rtl/>
        </w:rPr>
        <w:t xml:space="preserve">     </w:t>
      </w:r>
    </w:p>
  </w:footnote>
  <w:footnote w:id="1828">
    <w:p w14:paraId="7C0ED4A5" w14:textId="4BDA9222" w:rsidR="0093255D" w:rsidRDefault="0093255D">
      <w:pPr>
        <w:pStyle w:val="a5"/>
        <w:rPr>
          <w:rtl/>
        </w:rPr>
      </w:pPr>
      <w:r>
        <w:rPr>
          <w:rStyle w:val="a7"/>
        </w:rPr>
        <w:footnoteRef/>
      </w:r>
      <w:r>
        <w:rPr>
          <w:rtl/>
        </w:rPr>
        <w:t xml:space="preserve"> </w:t>
      </w:r>
      <w:r>
        <w:rPr>
          <w:rFonts w:cs="Arial" w:hint="cs"/>
          <w:rtl/>
        </w:rPr>
        <w:t xml:space="preserve">וגם הרא"ש (שם) כתב בסוף דבריו: </w:t>
      </w:r>
      <w:r>
        <w:rPr>
          <w:rFonts w:cs="Arial"/>
          <w:rtl/>
        </w:rPr>
        <w:t>והאידנא דנפישי רמאי נכון להחמיר כדברי ר"ח והרי"ף</w:t>
      </w:r>
      <w:r>
        <w:rPr>
          <w:rFonts w:hint="cs"/>
          <w:rtl/>
        </w:rPr>
        <w:t>.</w:t>
      </w:r>
    </w:p>
  </w:footnote>
  <w:footnote w:id="1829">
    <w:p w14:paraId="41C37244" w14:textId="77777777" w:rsidR="006C048D" w:rsidRDefault="006C048D" w:rsidP="006C048D">
      <w:pPr>
        <w:pStyle w:val="a5"/>
      </w:pPr>
      <w:r>
        <w:rPr>
          <w:rStyle w:val="a7"/>
        </w:rPr>
        <w:footnoteRef/>
      </w:r>
      <w:r>
        <w:rPr>
          <w:rtl/>
        </w:rPr>
        <w:t xml:space="preserve"> </w:t>
      </w:r>
      <w:r w:rsidRPr="00334E99">
        <w:rPr>
          <w:rFonts w:cs="Arial"/>
          <w:rtl/>
        </w:rPr>
        <w:t xml:space="preserve">כתב המרדכי </w:t>
      </w:r>
      <w:r>
        <w:rPr>
          <w:rFonts w:cs="Arial" w:hint="cs"/>
          <w:rtl/>
        </w:rPr>
        <w:t>שם</w:t>
      </w:r>
      <w:r w:rsidRPr="00334E99">
        <w:rPr>
          <w:rFonts w:cs="Arial"/>
          <w:rtl/>
        </w:rPr>
        <w:t xml:space="preserve"> (סי' רכד) תשובת מוהר"ם דאף אם באה לגבות לא מיקרי תובעת לענין שצריכה לישבע על אפוטרופסות שנעשית בחיי בעלה דלא מיקרי גביית כתובה הואיל ויחד לה קרקע וע"ש שהאריך בזה</w:t>
      </w:r>
      <w:r>
        <w:rPr>
          <w:rFonts w:cs="Arial" w:hint="cs"/>
          <w:rtl/>
        </w:rPr>
        <w:t>, דרכ"מ (אות ז).</w:t>
      </w:r>
    </w:p>
  </w:footnote>
  <w:footnote w:id="1830">
    <w:p w14:paraId="4F67FB67" w14:textId="0E5A0511" w:rsidR="0041441D" w:rsidRDefault="0041441D">
      <w:pPr>
        <w:pStyle w:val="a5"/>
        <w:rPr>
          <w:rtl/>
        </w:rPr>
      </w:pPr>
      <w:r>
        <w:rPr>
          <w:rStyle w:val="a7"/>
        </w:rPr>
        <w:footnoteRef/>
      </w:r>
      <w:r>
        <w:rPr>
          <w:rtl/>
        </w:rPr>
        <w:t xml:space="preserve"> </w:t>
      </w:r>
      <w:r w:rsidRPr="0041441D">
        <w:rPr>
          <w:rFonts w:cs="Arial"/>
          <w:rtl/>
        </w:rPr>
        <w:t xml:space="preserve">המייחד מטלטלין לכתובת אשתו ומת והן בעין והיא נפרעת מהן </w:t>
      </w:r>
      <w:r>
        <w:rPr>
          <w:rFonts w:cs="Arial" w:hint="cs"/>
          <w:rtl/>
        </w:rPr>
        <w:t xml:space="preserve">- </w:t>
      </w:r>
      <w:r w:rsidRPr="0041441D">
        <w:rPr>
          <w:rFonts w:cs="Arial"/>
          <w:rtl/>
        </w:rPr>
        <w:t>נוטלתן שלא בשבועה</w:t>
      </w:r>
      <w:r>
        <w:rPr>
          <w:rFonts w:cs="Arial" w:hint="cs"/>
          <w:rtl/>
        </w:rPr>
        <w:t>,</w:t>
      </w:r>
      <w:r w:rsidRPr="0041441D">
        <w:rPr>
          <w:rFonts w:cs="Arial"/>
          <w:rtl/>
        </w:rPr>
        <w:t xml:space="preserve"> דטעמא מאי אמור רבנן מנכסי יתומין לא תפרע אלא בשבועה דחיישינן דלמא צררי אתפסה</w:t>
      </w:r>
      <w:r>
        <w:rPr>
          <w:rFonts w:cs="Arial" w:hint="cs"/>
          <w:rtl/>
        </w:rPr>
        <w:t>,</w:t>
      </w:r>
      <w:r w:rsidRPr="0041441D">
        <w:rPr>
          <w:rFonts w:cs="Arial"/>
          <w:rtl/>
        </w:rPr>
        <w:t xml:space="preserve"> והכא היינו צררי דאתפסה</w:t>
      </w:r>
      <w:r>
        <w:rPr>
          <w:rFonts w:cs="Arial" w:hint="cs"/>
          <w:rtl/>
        </w:rPr>
        <w:t>, רש"י.</w:t>
      </w:r>
    </w:p>
  </w:footnote>
  <w:footnote w:id="1831">
    <w:p w14:paraId="29F276A0" w14:textId="75E4B5B5" w:rsidR="0041441D" w:rsidRDefault="0041441D">
      <w:pPr>
        <w:pStyle w:val="a5"/>
      </w:pPr>
      <w:r>
        <w:rPr>
          <w:rStyle w:val="a7"/>
        </w:rPr>
        <w:footnoteRef/>
      </w:r>
      <w:r>
        <w:rPr>
          <w:rtl/>
        </w:rPr>
        <w:t xml:space="preserve"> </w:t>
      </w:r>
      <w:r w:rsidRPr="0041441D">
        <w:rPr>
          <w:rFonts w:cs="Arial"/>
          <w:rtl/>
        </w:rPr>
        <w:t>כגון שאבדו</w:t>
      </w:r>
      <w:r>
        <w:rPr>
          <w:rFonts w:cs="Arial" w:hint="cs"/>
          <w:rtl/>
        </w:rPr>
        <w:t>, רש"י.</w:t>
      </w:r>
    </w:p>
  </w:footnote>
  <w:footnote w:id="1832">
    <w:p w14:paraId="46C1CEA5" w14:textId="77777777" w:rsidR="00D30FE4" w:rsidRDefault="00D30FE4" w:rsidP="00D30FE4">
      <w:pPr>
        <w:pStyle w:val="a5"/>
        <w:rPr>
          <w:rtl/>
        </w:rPr>
      </w:pPr>
      <w:r>
        <w:rPr>
          <w:rStyle w:val="a7"/>
        </w:rPr>
        <w:footnoteRef/>
      </w:r>
      <w:r>
        <w:rPr>
          <w:rtl/>
        </w:rPr>
        <w:t xml:space="preserve"> </w:t>
      </w:r>
      <w:r>
        <w:rPr>
          <w:rFonts w:cs="Arial"/>
          <w:rtl/>
        </w:rPr>
        <w:t>ומכל מקום מה שהקשה על הרי"ף אינה קושיא</w:t>
      </w:r>
      <w:r>
        <w:rPr>
          <w:rFonts w:cs="Arial" w:hint="cs"/>
          <w:rtl/>
        </w:rPr>
        <w:t>,</w:t>
      </w:r>
      <w:r>
        <w:rPr>
          <w:rFonts w:cs="Arial"/>
          <w:rtl/>
        </w:rPr>
        <w:t xml:space="preserve"> דטעמא דבני מתא מחסיא משום דכשהבעל בא למכור מטלטלין שייחד לה אע</w:t>
      </w:r>
      <w:r>
        <w:rPr>
          <w:rFonts w:cs="Arial" w:hint="cs"/>
          <w:rtl/>
        </w:rPr>
        <w:t>"</w:t>
      </w:r>
      <w:r>
        <w:rPr>
          <w:rFonts w:cs="Arial"/>
          <w:rtl/>
        </w:rPr>
        <w:t>פ שדעתו לקנות בדמיהם מטלטלים אחרים לא סמכא דעתה דאיתתא</w:t>
      </w:r>
      <w:r>
        <w:rPr>
          <w:rFonts w:cs="Arial" w:hint="cs"/>
          <w:rtl/>
        </w:rPr>
        <w:t>,</w:t>
      </w:r>
      <w:r>
        <w:rPr>
          <w:rFonts w:cs="Arial"/>
          <w:rtl/>
        </w:rPr>
        <w:t xml:space="preserve"> ומסתמא לא יהבה ליה עד דמייחד לה אחריני</w:t>
      </w:r>
      <w:r>
        <w:rPr>
          <w:rFonts w:cs="Arial" w:hint="cs"/>
          <w:rtl/>
        </w:rPr>
        <w:t>,</w:t>
      </w:r>
      <w:r>
        <w:rPr>
          <w:rFonts w:cs="Arial"/>
          <w:rtl/>
        </w:rPr>
        <w:t xml:space="preserve"> וכתב הרמב"ם </w:t>
      </w:r>
      <w:r>
        <w:rPr>
          <w:rFonts w:cs="Arial" w:hint="cs"/>
          <w:rtl/>
        </w:rPr>
        <w:t>(</w:t>
      </w:r>
      <w:r>
        <w:rPr>
          <w:rFonts w:cs="Arial"/>
          <w:rtl/>
        </w:rPr>
        <w:t>פי"ח ה"ט) הנכסים עצמם שהם נדוניתה נוטלת אותם האלמנה בלא שבועה</w:t>
      </w:r>
      <w:r>
        <w:rPr>
          <w:rFonts w:cs="Arial" w:hint="cs"/>
          <w:rtl/>
        </w:rPr>
        <w:t>,</w:t>
      </w:r>
      <w:r>
        <w:rPr>
          <w:rFonts w:cs="Arial"/>
          <w:rtl/>
        </w:rPr>
        <w:t xml:space="preserve"> ואם מתה בלא שבועה יורשיה יורשים כתובתה שהיא נכסי צאן ברזל</w:t>
      </w:r>
      <w:r>
        <w:rPr>
          <w:rFonts w:cs="Arial" w:hint="cs"/>
          <w:rtl/>
        </w:rPr>
        <w:t>.</w:t>
      </w:r>
      <w:r>
        <w:rPr>
          <w:rFonts w:cs="Arial"/>
          <w:rtl/>
        </w:rPr>
        <w:t xml:space="preserve"> וביאר הה</w:t>
      </w:r>
      <w:r>
        <w:rPr>
          <w:rFonts w:cs="Arial" w:hint="cs"/>
          <w:rtl/>
        </w:rPr>
        <w:t>"</w:t>
      </w:r>
      <w:r>
        <w:rPr>
          <w:rFonts w:cs="Arial"/>
          <w:rtl/>
        </w:rPr>
        <w:t>מ שאם נאבדה הנדוניא או נפחתה ובאה לגבות מן היורשים צריכה לישבע</w:t>
      </w:r>
      <w:r>
        <w:rPr>
          <w:rFonts w:cs="Arial" w:hint="cs"/>
          <w:rtl/>
        </w:rPr>
        <w:t>,</w:t>
      </w:r>
      <w:r>
        <w:rPr>
          <w:rFonts w:cs="Arial"/>
          <w:rtl/>
        </w:rPr>
        <w:t xml:space="preserve"> ואם מתה בלא שבועה ודאי אין יורשיה נוטלים דלא עדיף מחוב בעלמא</w:t>
      </w:r>
      <w:r>
        <w:rPr>
          <w:rFonts w:cs="Arial" w:hint="cs"/>
          <w:rtl/>
        </w:rPr>
        <w:t>.</w:t>
      </w:r>
      <w:r>
        <w:rPr>
          <w:rFonts w:cs="Arial"/>
          <w:rtl/>
        </w:rPr>
        <w:t xml:space="preserve"> וכתב הריב"ש </w:t>
      </w:r>
      <w:r>
        <w:rPr>
          <w:rFonts w:cs="Arial" w:hint="cs"/>
          <w:rtl/>
        </w:rPr>
        <w:t>(</w:t>
      </w:r>
      <w:r>
        <w:rPr>
          <w:rFonts w:cs="Arial"/>
          <w:rtl/>
        </w:rPr>
        <w:t>סי' קסט) דהוא הדין אם נמכרו נכסי נדוניתה ולקחו אחרים בדמיהם</w:t>
      </w:r>
      <w:r>
        <w:rPr>
          <w:rFonts w:cs="Arial" w:hint="cs"/>
          <w:rtl/>
        </w:rPr>
        <w:t>,</w:t>
      </w:r>
      <w:r>
        <w:rPr>
          <w:rFonts w:cs="Arial"/>
          <w:rtl/>
        </w:rPr>
        <w:t xml:space="preserve"> כיון שאם לא מתה היתה נוטלת אותם בלא שבועה</w:t>
      </w:r>
      <w:r>
        <w:rPr>
          <w:rFonts w:cs="Arial" w:hint="cs"/>
          <w:rtl/>
        </w:rPr>
        <w:t>,</w:t>
      </w:r>
      <w:r>
        <w:rPr>
          <w:rFonts w:cs="Arial"/>
          <w:rtl/>
        </w:rPr>
        <w:t xml:space="preserve"> אין לומר כשמתה כבר נתחייבה שבועה</w:t>
      </w:r>
      <w:r>
        <w:rPr>
          <w:rFonts w:cs="Arial" w:hint="cs"/>
          <w:rtl/>
        </w:rPr>
        <w:t>.</w:t>
      </w:r>
      <w:r>
        <w:rPr>
          <w:rFonts w:cs="Arial"/>
          <w:rtl/>
        </w:rPr>
        <w:t xml:space="preserve"> ואע</w:t>
      </w:r>
      <w:r>
        <w:rPr>
          <w:rFonts w:cs="Arial" w:hint="cs"/>
          <w:rtl/>
        </w:rPr>
        <w:t>"</w:t>
      </w:r>
      <w:r>
        <w:rPr>
          <w:rFonts w:cs="Arial"/>
          <w:rtl/>
        </w:rPr>
        <w:t>ג דבההיא דר</w:t>
      </w:r>
      <w:r>
        <w:rPr>
          <w:rFonts w:cs="Arial" w:hint="cs"/>
          <w:rtl/>
        </w:rPr>
        <w:t>"</w:t>
      </w:r>
      <w:r>
        <w:rPr>
          <w:rFonts w:cs="Arial"/>
          <w:rtl/>
        </w:rPr>
        <w:t>פ אף על פי מיירי בשייחדו לה הבעל לאחריות כתובתה</w:t>
      </w:r>
      <w:r>
        <w:rPr>
          <w:rFonts w:cs="Arial" w:hint="cs"/>
          <w:rtl/>
        </w:rPr>
        <w:t>,</w:t>
      </w:r>
      <w:r>
        <w:rPr>
          <w:rFonts w:cs="Arial"/>
          <w:rtl/>
        </w:rPr>
        <w:t xml:space="preserve"> כל שהם מנדוניתה הרי הם מיוחדים לה שהרי יכולה לומר כלי אני נוטלת ואין הבעל יכול לסלקה משום שבח בית אביה עכ"ל</w:t>
      </w:r>
      <w:r>
        <w:rPr>
          <w:rFonts w:cs="Arial" w:hint="cs"/>
          <w:rtl/>
        </w:rPr>
        <w:t>, ב"י.</w:t>
      </w:r>
    </w:p>
  </w:footnote>
  <w:footnote w:id="1833">
    <w:p w14:paraId="0A3A5F8F" w14:textId="7B3B9E15" w:rsidR="008C084C" w:rsidRDefault="008C084C">
      <w:pPr>
        <w:pStyle w:val="a5"/>
      </w:pPr>
      <w:r>
        <w:rPr>
          <w:rStyle w:val="a7"/>
        </w:rPr>
        <w:footnoteRef/>
      </w:r>
      <w:r>
        <w:rPr>
          <w:rtl/>
        </w:rPr>
        <w:t xml:space="preserve"> </w:t>
      </w:r>
      <w:r w:rsidRPr="007C62DE">
        <w:rPr>
          <w:rFonts w:cs="Arial"/>
          <w:rtl/>
        </w:rPr>
        <w:t>עבה"ט ועיין בס' ישועות יעקב שהסכים עם הב"ש וכ' מאחר דבלא"ה רבו החולקים וס"ל דפטור בפירוש מהני לגבי יורשים (עיין בח"מ סי' ע"א סי"ז ובש"ך שם) א"כ עכ"פ בקנין יש לסמוך עליהם עיין שם</w:t>
      </w:r>
      <w:r>
        <w:rPr>
          <w:rFonts w:cs="Arial" w:hint="cs"/>
          <w:rtl/>
        </w:rPr>
        <w:t>, פת"ש (סק"ג).</w:t>
      </w:r>
    </w:p>
  </w:footnote>
  <w:footnote w:id="1834">
    <w:p w14:paraId="22B8FE89" w14:textId="0461D756" w:rsidR="00DC2E21" w:rsidRDefault="00DC2E21">
      <w:pPr>
        <w:pStyle w:val="a5"/>
        <w:rPr>
          <w:rtl/>
        </w:rPr>
      </w:pPr>
      <w:r>
        <w:rPr>
          <w:rStyle w:val="a7"/>
        </w:rPr>
        <w:footnoteRef/>
      </w:r>
      <w:r>
        <w:rPr>
          <w:rtl/>
        </w:rPr>
        <w:t xml:space="preserve"> </w:t>
      </w:r>
      <w:r>
        <w:rPr>
          <w:rFonts w:cs="Arial"/>
          <w:rtl/>
        </w:rPr>
        <w:t xml:space="preserve">וכתב </w:t>
      </w:r>
      <w:r>
        <w:rPr>
          <w:rFonts w:cs="Arial" w:hint="cs"/>
          <w:rtl/>
        </w:rPr>
        <w:t>הריב"ש</w:t>
      </w:r>
      <w:r>
        <w:rPr>
          <w:rFonts w:cs="Arial"/>
          <w:rtl/>
        </w:rPr>
        <w:t xml:space="preserve"> (סי' שב) דחלוצה דינה כאלמנה</w:t>
      </w:r>
      <w:r>
        <w:rPr>
          <w:rFonts w:cs="Arial" w:hint="cs"/>
          <w:rtl/>
        </w:rPr>
        <w:t xml:space="preserve">, ב"י. </w:t>
      </w:r>
      <w:r w:rsidRPr="00DC2E21">
        <w:rPr>
          <w:rFonts w:cs="Arial" w:hint="cs"/>
          <w:color w:val="00B0F0"/>
          <w:rtl/>
        </w:rPr>
        <w:t>(וכ"פ הרמ"א)</w:t>
      </w:r>
    </w:p>
  </w:footnote>
  <w:footnote w:id="1835">
    <w:p w14:paraId="0078660C" w14:textId="686306CA" w:rsidR="007D7C99" w:rsidRDefault="007D7C99" w:rsidP="007D7C99">
      <w:pPr>
        <w:pStyle w:val="a5"/>
      </w:pPr>
      <w:r>
        <w:rPr>
          <w:rStyle w:val="a7"/>
        </w:rPr>
        <w:footnoteRef/>
      </w:r>
      <w:r>
        <w:rPr>
          <w:rtl/>
        </w:rPr>
        <w:t xml:space="preserve"> </w:t>
      </w:r>
      <w:r>
        <w:rPr>
          <w:rFonts w:cs="Arial" w:hint="cs"/>
          <w:rtl/>
        </w:rPr>
        <w:t>ו</w:t>
      </w:r>
      <w:r w:rsidRPr="00F12046">
        <w:rPr>
          <w:rFonts w:cs="Arial"/>
          <w:rtl/>
        </w:rPr>
        <w:t>כששמין לאשה הכתובה שמין לה כפי מה ששוה למכור ביום השוק ולא כפי מה ששוה</w:t>
      </w:r>
      <w:r>
        <w:rPr>
          <w:rFonts w:cs="Arial" w:hint="cs"/>
          <w:rtl/>
        </w:rPr>
        <w:t>, רא"ש (כלל פ סי' ד, הביאו הדרכ"מ אות א).</w:t>
      </w:r>
      <w:r w:rsidR="00DC2E21" w:rsidRPr="00DC2E21">
        <w:rPr>
          <w:rFonts w:cs="Arial" w:hint="cs"/>
          <w:color w:val="00B0F0"/>
          <w:rtl/>
        </w:rPr>
        <w:t xml:space="preserve"> (וכ"פ הרמ"א)</w:t>
      </w:r>
    </w:p>
  </w:footnote>
  <w:footnote w:id="1836">
    <w:p w14:paraId="20E5F7CC" w14:textId="0997C0EE" w:rsidR="00DB7B91" w:rsidRDefault="00DB7B91">
      <w:pPr>
        <w:pStyle w:val="a5"/>
        <w:rPr>
          <w:rtl/>
        </w:rPr>
      </w:pPr>
      <w:r>
        <w:rPr>
          <w:rStyle w:val="a7"/>
        </w:rPr>
        <w:footnoteRef/>
      </w:r>
      <w:r>
        <w:rPr>
          <w:rtl/>
        </w:rPr>
        <w:t xml:space="preserve"> </w:t>
      </w:r>
      <w:r>
        <w:rPr>
          <w:rFonts w:cs="Arial"/>
          <w:rtl/>
        </w:rPr>
        <w:t>כ"כ שם הרא"ש</w:t>
      </w:r>
      <w:r>
        <w:rPr>
          <w:rFonts w:cs="Arial" w:hint="cs"/>
          <w:rtl/>
        </w:rPr>
        <w:t>,</w:t>
      </w:r>
      <w:r>
        <w:rPr>
          <w:rFonts w:cs="Arial"/>
          <w:rtl/>
        </w:rPr>
        <w:t xml:space="preserve"> וגם הר"ן (כא. ד"ה לכאורה) כתב בשם הרשב"א שי"א כן</w:t>
      </w:r>
      <w:r>
        <w:rPr>
          <w:rFonts w:cs="Arial" w:hint="cs"/>
          <w:rtl/>
        </w:rPr>
        <w:t>,</w:t>
      </w:r>
      <w:r>
        <w:rPr>
          <w:rFonts w:cs="Arial"/>
          <w:rtl/>
        </w:rPr>
        <w:t xml:space="preserve"> ולא דמי לההיא (ב"ק יא:) דהאחין שחלקו אין שמין מה שעל בניהם ועל נשיהם ופי' עלה בירושלמי (קידושין פ"א ה"ד) דכלי חול וכלי שבת דסתם אחים לא מיקנו אלא בגדי חול כדי שלא יפשיטוה ערומה אבל בגדי שבת דלהתיקר עשויין לא</w:t>
      </w:r>
      <w:r>
        <w:rPr>
          <w:rFonts w:cs="Arial" w:hint="cs"/>
          <w:rtl/>
        </w:rPr>
        <w:t>,</w:t>
      </w:r>
      <w:r>
        <w:rPr>
          <w:rFonts w:cs="Arial"/>
          <w:rtl/>
        </w:rPr>
        <w:t xml:space="preserve"> אבל בעל לאשתו אקנויי אקני לה בין דחול בין דשבת</w:t>
      </w:r>
      <w:r>
        <w:rPr>
          <w:rFonts w:cs="Arial" w:hint="cs"/>
          <w:rtl/>
        </w:rPr>
        <w:t>,</w:t>
      </w:r>
      <w:r>
        <w:rPr>
          <w:rFonts w:cs="Arial"/>
          <w:rtl/>
        </w:rPr>
        <w:t xml:space="preserve"> ואם הקדיש והעריך עצמו אין לו בכסו' ואפילו דשבת</w:t>
      </w:r>
      <w:r>
        <w:rPr>
          <w:rFonts w:cs="Arial" w:hint="cs"/>
          <w:rtl/>
        </w:rPr>
        <w:t>,</w:t>
      </w:r>
      <w:r>
        <w:rPr>
          <w:rFonts w:cs="Arial"/>
          <w:rtl/>
        </w:rPr>
        <w:t xml:space="preserve"> דכיון דשלהם הן אינו יכול למשכנם וליתן לאחר ע"כ</w:t>
      </w:r>
      <w:r>
        <w:rPr>
          <w:rFonts w:cs="Arial" w:hint="cs"/>
          <w:rtl/>
        </w:rPr>
        <w:t>, ב"י.</w:t>
      </w:r>
    </w:p>
  </w:footnote>
  <w:footnote w:id="1837">
    <w:p w14:paraId="7089B98C" w14:textId="17E84BD4" w:rsidR="00133DDD" w:rsidRDefault="00133DDD" w:rsidP="00133DDD">
      <w:pPr>
        <w:pStyle w:val="a5"/>
      </w:pPr>
      <w:r>
        <w:rPr>
          <w:rStyle w:val="a7"/>
        </w:rPr>
        <w:footnoteRef/>
      </w:r>
      <w:r>
        <w:rPr>
          <w:rtl/>
        </w:rPr>
        <w:t xml:space="preserve"> </w:t>
      </w:r>
      <w:r>
        <w:rPr>
          <w:rFonts w:cs="Arial" w:hint="cs"/>
          <w:rtl/>
        </w:rPr>
        <w:t>ו</w:t>
      </w:r>
      <w:r>
        <w:rPr>
          <w:rFonts w:cs="Arial"/>
          <w:rtl/>
        </w:rPr>
        <w:t>אינם יכולים לסלקה מהם במעות</w:t>
      </w:r>
      <w:r w:rsidR="005368BB">
        <w:rPr>
          <w:rFonts w:cs="Arial" w:hint="cs"/>
          <w:rtl/>
        </w:rPr>
        <w:t>,</w:t>
      </w:r>
      <w:r>
        <w:rPr>
          <w:rFonts w:cs="Arial"/>
          <w:rtl/>
        </w:rPr>
        <w:t xml:space="preserve"> שאינו בדין שיפשיטוה ערומה ותלך</w:t>
      </w:r>
      <w:r w:rsidR="005368BB">
        <w:rPr>
          <w:rFonts w:cs="Arial" w:hint="cs"/>
          <w:rtl/>
        </w:rPr>
        <w:t>.</w:t>
      </w:r>
      <w:r>
        <w:rPr>
          <w:rFonts w:cs="Arial"/>
          <w:rtl/>
        </w:rPr>
        <w:t xml:space="preserve"> והא דקאמר בגמרא ארמלתא שלח ופוק</w:t>
      </w:r>
      <w:r w:rsidR="005368BB">
        <w:rPr>
          <w:rFonts w:cs="Arial" w:hint="cs"/>
          <w:rtl/>
        </w:rPr>
        <w:t>,</w:t>
      </w:r>
      <w:r>
        <w:rPr>
          <w:rFonts w:cs="Arial"/>
          <w:rtl/>
        </w:rPr>
        <w:t xml:space="preserve"> לישנא בעלמא הוו אמרי</w:t>
      </w:r>
      <w:r w:rsidR="005368BB">
        <w:rPr>
          <w:rFonts w:cs="Arial" w:hint="cs"/>
          <w:rtl/>
        </w:rPr>
        <w:t>,</w:t>
      </w:r>
      <w:r>
        <w:rPr>
          <w:rFonts w:cs="Arial"/>
          <w:rtl/>
        </w:rPr>
        <w:t xml:space="preserve"> לומר שאינם שלה לגמרי או תקבלם בדמיהם או תפשיטם</w:t>
      </w:r>
      <w:r>
        <w:rPr>
          <w:rFonts w:cs="Arial" w:hint="cs"/>
          <w:rtl/>
        </w:rPr>
        <w:t>,</w:t>
      </w:r>
      <w:r w:rsidRPr="00133DDD">
        <w:rPr>
          <w:rFonts w:cs="Arial"/>
          <w:rtl/>
        </w:rPr>
        <w:t xml:space="preserve"> </w:t>
      </w:r>
      <w:r>
        <w:rPr>
          <w:rFonts w:cs="Arial"/>
          <w:rtl/>
        </w:rPr>
        <w:t>ריטב"א (שם ד"ה אתמר אלמנה)</w:t>
      </w:r>
      <w:r>
        <w:rPr>
          <w:rFonts w:cs="Arial" w:hint="cs"/>
          <w:rtl/>
        </w:rPr>
        <w:t>.</w:t>
      </w:r>
      <w:r w:rsidR="00DC2E21" w:rsidRPr="00DC2E21">
        <w:rPr>
          <w:rFonts w:cs="Arial" w:hint="cs"/>
          <w:color w:val="00B0F0"/>
          <w:rtl/>
        </w:rPr>
        <w:t xml:space="preserve"> (וכ"פ הרמ"א)</w:t>
      </w:r>
    </w:p>
  </w:footnote>
  <w:footnote w:id="1838">
    <w:p w14:paraId="5866652E" w14:textId="03D98DA4" w:rsidR="00113C79" w:rsidRDefault="00113C79">
      <w:pPr>
        <w:pStyle w:val="a5"/>
      </w:pPr>
      <w:r>
        <w:rPr>
          <w:rStyle w:val="a7"/>
        </w:rPr>
        <w:footnoteRef/>
      </w:r>
      <w:r>
        <w:rPr>
          <w:rtl/>
        </w:rPr>
        <w:t xml:space="preserve"> </w:t>
      </w:r>
      <w:r>
        <w:rPr>
          <w:rFonts w:hint="cs"/>
          <w:rtl/>
        </w:rPr>
        <w:t xml:space="preserve">וז"ל: </w:t>
      </w:r>
      <w:r w:rsidRPr="00113C79">
        <w:rPr>
          <w:rFonts w:cs="Arial"/>
          <w:rtl/>
        </w:rPr>
        <w:t xml:space="preserve">ושמעינן מינה דמאן דגריש לאתתיה מדעתא דנפשיה </w:t>
      </w:r>
      <w:r>
        <w:rPr>
          <w:rFonts w:cs="Arial" w:hint="cs"/>
          <w:rtl/>
        </w:rPr>
        <w:t xml:space="preserve">- </w:t>
      </w:r>
      <w:r w:rsidRPr="00113C79">
        <w:rPr>
          <w:rFonts w:cs="Arial"/>
          <w:rtl/>
        </w:rPr>
        <w:t>אין שמין לו מה שעליה</w:t>
      </w:r>
      <w:r>
        <w:rPr>
          <w:rFonts w:cs="Arial" w:hint="cs"/>
          <w:rtl/>
        </w:rPr>
        <w:t>,</w:t>
      </w:r>
      <w:r w:rsidRPr="00113C79">
        <w:rPr>
          <w:rFonts w:cs="Arial"/>
          <w:rtl/>
        </w:rPr>
        <w:t xml:space="preserve"> דלאו איהי בעיא למיפק אלא איהו בעי לאפוקה</w:t>
      </w:r>
      <w:r>
        <w:rPr>
          <w:rFonts w:cs="Arial" w:hint="cs"/>
          <w:rtl/>
        </w:rPr>
        <w:t>.</w:t>
      </w:r>
    </w:p>
  </w:footnote>
  <w:footnote w:id="1839">
    <w:p w14:paraId="44E18FAB" w14:textId="39B99081" w:rsidR="004C3E8E" w:rsidRDefault="004C3E8E">
      <w:pPr>
        <w:pStyle w:val="a5"/>
      </w:pPr>
      <w:r>
        <w:rPr>
          <w:rStyle w:val="a7"/>
        </w:rPr>
        <w:footnoteRef/>
      </w:r>
      <w:r>
        <w:rPr>
          <w:rtl/>
        </w:rPr>
        <w:t xml:space="preserve"> </w:t>
      </w:r>
      <w:r>
        <w:rPr>
          <w:rFonts w:hint="cs"/>
          <w:rtl/>
        </w:rPr>
        <w:t xml:space="preserve">וז"ל: </w:t>
      </w:r>
      <w:r w:rsidRPr="004C3E8E">
        <w:rPr>
          <w:rFonts w:cs="Arial"/>
          <w:rtl/>
        </w:rPr>
        <w:t>וכן התקינו שכשתבוא לגבות כתובתה אחר מותו</w:t>
      </w:r>
      <w:r>
        <w:rPr>
          <w:rFonts w:cs="Arial" w:hint="cs"/>
          <w:rtl/>
        </w:rPr>
        <w:t>...</w:t>
      </w:r>
      <w:r w:rsidRPr="004C3E8E">
        <w:rPr>
          <w:rFonts w:cs="Arial"/>
          <w:rtl/>
        </w:rPr>
        <w:t xml:space="preserve"> ושמין לה כל מה שעליה ופוחתין אותו מכתובתה</w:t>
      </w:r>
      <w:r>
        <w:rPr>
          <w:rFonts w:cs="Arial" w:hint="cs"/>
          <w:rtl/>
        </w:rPr>
        <w:t>.</w:t>
      </w:r>
      <w:r w:rsidRPr="004C3E8E">
        <w:rPr>
          <w:rFonts w:cs="Arial"/>
          <w:rtl/>
        </w:rPr>
        <w:t xml:space="preserve"> אבל אם גירשה לרצונו </w:t>
      </w:r>
      <w:r>
        <w:rPr>
          <w:rFonts w:cs="Arial" w:hint="cs"/>
          <w:rtl/>
        </w:rPr>
        <w:t xml:space="preserve">- </w:t>
      </w:r>
      <w:r w:rsidRPr="004C3E8E">
        <w:rPr>
          <w:rFonts w:cs="Arial"/>
          <w:rtl/>
        </w:rPr>
        <w:t>גובה בלא שבועה ואין שמין כסות שעליה</w:t>
      </w:r>
      <w:r>
        <w:rPr>
          <w:rFonts w:cs="Arial" w:hint="cs"/>
          <w:rtl/>
        </w:rPr>
        <w:t>,</w:t>
      </w:r>
      <w:r w:rsidRPr="004C3E8E">
        <w:rPr>
          <w:rFonts w:cs="Arial"/>
          <w:rtl/>
        </w:rPr>
        <w:t xml:space="preserve"> שהרי לקחן לה וזכתה בהן והוא רוצה להוציאה לא היא.</w:t>
      </w:r>
      <w:r>
        <w:rPr>
          <w:rFonts w:hint="cs"/>
          <w:rtl/>
        </w:rPr>
        <w:t xml:space="preserve"> </w:t>
      </w:r>
    </w:p>
  </w:footnote>
  <w:footnote w:id="1840">
    <w:p w14:paraId="66B0E243" w14:textId="0A3417B3" w:rsidR="008D7D9D" w:rsidRDefault="008D7D9D" w:rsidP="008D7D9D">
      <w:pPr>
        <w:pStyle w:val="a5"/>
      </w:pPr>
      <w:r>
        <w:rPr>
          <w:rStyle w:val="a7"/>
        </w:rPr>
        <w:footnoteRef/>
      </w:r>
      <w:r>
        <w:rPr>
          <w:rtl/>
        </w:rPr>
        <w:t xml:space="preserve"> </w:t>
      </w:r>
      <w:r w:rsidRPr="00DB7B91">
        <w:rPr>
          <w:rFonts w:cs="Arial"/>
          <w:rtl/>
        </w:rPr>
        <w:t xml:space="preserve">מה שכתב דהא אלמנה נמי לאו איהי נפקא וכו' </w:t>
      </w:r>
      <w:r>
        <w:rPr>
          <w:rFonts w:cs="Arial" w:hint="cs"/>
          <w:rtl/>
        </w:rPr>
        <w:t>לא קשיא</w:t>
      </w:r>
      <w:r w:rsidRPr="00DB7B91">
        <w:rPr>
          <w:rFonts w:cs="Arial"/>
          <w:rtl/>
        </w:rPr>
        <w:t xml:space="preserve"> מידי</w:t>
      </w:r>
      <w:r w:rsidR="00113C79">
        <w:rPr>
          <w:rFonts w:cs="Arial" w:hint="cs"/>
          <w:rtl/>
        </w:rPr>
        <w:t>,</w:t>
      </w:r>
      <w:r w:rsidRPr="00DB7B91">
        <w:rPr>
          <w:rFonts w:cs="Arial"/>
          <w:rtl/>
        </w:rPr>
        <w:t xml:space="preserve"> דאלמנה אע</w:t>
      </w:r>
      <w:r>
        <w:rPr>
          <w:rFonts w:cs="Arial" w:hint="cs"/>
          <w:rtl/>
        </w:rPr>
        <w:t>"</w:t>
      </w:r>
      <w:r w:rsidRPr="00DB7B91">
        <w:rPr>
          <w:rFonts w:cs="Arial"/>
          <w:rtl/>
        </w:rPr>
        <w:t>ג דאיהי לא נפקא</w:t>
      </w:r>
      <w:r w:rsidR="00113C79">
        <w:rPr>
          <w:rFonts w:cs="Arial" w:hint="cs"/>
          <w:rtl/>
        </w:rPr>
        <w:t>,</w:t>
      </w:r>
      <w:r w:rsidRPr="00DB7B91">
        <w:rPr>
          <w:rFonts w:cs="Arial"/>
          <w:rtl/>
        </w:rPr>
        <w:t xml:space="preserve"> אלא מן שמיא הוא דמפקי לה</w:t>
      </w:r>
      <w:r w:rsidR="00113C79">
        <w:rPr>
          <w:rFonts w:cs="Arial" w:hint="cs"/>
          <w:rtl/>
        </w:rPr>
        <w:t>,</w:t>
      </w:r>
      <w:r w:rsidRPr="00DB7B91">
        <w:rPr>
          <w:rFonts w:cs="Arial"/>
          <w:rtl/>
        </w:rPr>
        <w:t xml:space="preserve"> מכל מקום איהו לא מפיק לה מדעתיה</w:t>
      </w:r>
      <w:r w:rsidR="00113C79">
        <w:rPr>
          <w:rFonts w:cs="Arial" w:hint="cs"/>
          <w:rtl/>
        </w:rPr>
        <w:t>,</w:t>
      </w:r>
      <w:r w:rsidRPr="00DB7B91">
        <w:rPr>
          <w:rFonts w:cs="Arial"/>
          <w:rtl/>
        </w:rPr>
        <w:t xml:space="preserve"> מ</w:t>
      </w:r>
      <w:r w:rsidR="00113C79">
        <w:rPr>
          <w:rFonts w:cs="Arial" w:hint="cs"/>
          <w:rtl/>
        </w:rPr>
        <w:t>שא"</w:t>
      </w:r>
      <w:r w:rsidRPr="00DB7B91">
        <w:rPr>
          <w:rFonts w:cs="Arial"/>
          <w:rtl/>
        </w:rPr>
        <w:t>כ בגרושה דאיהו מדעתיה מפיק לה</w:t>
      </w:r>
      <w:r>
        <w:rPr>
          <w:rFonts w:cs="Arial" w:hint="cs"/>
          <w:rtl/>
        </w:rPr>
        <w:t>, ב"י.</w:t>
      </w:r>
    </w:p>
  </w:footnote>
  <w:footnote w:id="1841">
    <w:p w14:paraId="228B7D21" w14:textId="78C46449" w:rsidR="00FC4F1C" w:rsidRDefault="00FC4F1C">
      <w:pPr>
        <w:pStyle w:val="a5"/>
        <w:rPr>
          <w:rtl/>
        </w:rPr>
      </w:pPr>
      <w:r>
        <w:rPr>
          <w:rStyle w:val="a7"/>
        </w:rPr>
        <w:footnoteRef/>
      </w:r>
      <w:r>
        <w:rPr>
          <w:rtl/>
        </w:rPr>
        <w:t xml:space="preserve"> </w:t>
      </w:r>
      <w:r w:rsidRPr="00DB7B91">
        <w:rPr>
          <w:rFonts w:cs="Arial"/>
          <w:rtl/>
        </w:rPr>
        <w:t>והריב"ש בסימן ש"א כתב דמדברי הרמב"ם בפ"א מהלכות מלוה (ה"ה) נראה שסובר דשמין לגרושה בגדי רגל ושבת. ועיין בתשובות להרמב"ן (במיוחסות) סימן קט"ו</w:t>
      </w:r>
      <w:r>
        <w:rPr>
          <w:rFonts w:cs="Arial" w:hint="cs"/>
          <w:rtl/>
        </w:rPr>
        <w:t>, ב"י</w:t>
      </w:r>
      <w:r w:rsidRPr="00DB7B91">
        <w:rPr>
          <w:rFonts w:cs="Arial"/>
          <w:rtl/>
        </w:rPr>
        <w:t>.</w:t>
      </w:r>
    </w:p>
  </w:footnote>
  <w:footnote w:id="1842">
    <w:p w14:paraId="70B8C657" w14:textId="129E9E7F" w:rsidR="00AC13F7" w:rsidRDefault="00AC13F7">
      <w:pPr>
        <w:pStyle w:val="a5"/>
        <w:rPr>
          <w:rtl/>
        </w:rPr>
      </w:pPr>
      <w:r>
        <w:rPr>
          <w:rStyle w:val="a7"/>
        </w:rPr>
        <w:footnoteRef/>
      </w:r>
      <w:r>
        <w:rPr>
          <w:rtl/>
        </w:rPr>
        <w:t xml:space="preserve"> </w:t>
      </w:r>
      <w:r>
        <w:rPr>
          <w:rFonts w:cs="Arial" w:hint="cs"/>
          <w:rtl/>
        </w:rPr>
        <w:t>וז"ל הטור בשמו:</w:t>
      </w:r>
      <w:r w:rsidRPr="00F12046">
        <w:rPr>
          <w:rFonts w:cs="Arial"/>
          <w:rtl/>
        </w:rPr>
        <w:t xml:space="preserve"> דוקא שמוציאה מדעתו בלא טענה רק שמוצא אחרת נאה הימנה</w:t>
      </w:r>
      <w:r>
        <w:rPr>
          <w:rFonts w:cs="Arial" w:hint="cs"/>
          <w:rtl/>
        </w:rPr>
        <w:t>,</w:t>
      </w:r>
      <w:r w:rsidRPr="00F12046">
        <w:rPr>
          <w:rFonts w:cs="Arial"/>
          <w:rtl/>
        </w:rPr>
        <w:t xml:space="preserve"> אבל סרחה עליו אדעתא דהכי לא אקני לה</w:t>
      </w:r>
      <w:r>
        <w:rPr>
          <w:rFonts w:cs="Arial" w:hint="cs"/>
          <w:rtl/>
        </w:rPr>
        <w:t>.</w:t>
      </w:r>
    </w:p>
  </w:footnote>
  <w:footnote w:id="1843">
    <w:p w14:paraId="2E344D2A" w14:textId="39A017A9" w:rsidR="00CF10FC" w:rsidRDefault="00CF10FC">
      <w:pPr>
        <w:pStyle w:val="a5"/>
        <w:rPr>
          <w:rtl/>
        </w:rPr>
      </w:pPr>
      <w:r>
        <w:rPr>
          <w:rStyle w:val="a7"/>
        </w:rPr>
        <w:footnoteRef/>
      </w:r>
      <w:r>
        <w:rPr>
          <w:rtl/>
        </w:rPr>
        <w:t xml:space="preserve"> </w:t>
      </w:r>
      <w:r w:rsidRPr="00CF10FC">
        <w:rPr>
          <w:rFonts w:cs="Arial"/>
          <w:rtl/>
        </w:rPr>
        <w:t>והרא"ש והטור כתבו דאין שמין</w:t>
      </w:r>
      <w:r>
        <w:rPr>
          <w:rFonts w:cs="Arial" w:hint="cs"/>
          <w:rtl/>
        </w:rPr>
        <w:t>.</w:t>
      </w:r>
      <w:r w:rsidRPr="00CF10FC">
        <w:rPr>
          <w:rFonts w:cs="Arial"/>
          <w:rtl/>
        </w:rPr>
        <w:t xml:space="preserve"> אלא הריב"ש כתב בשם הרמב"ם דשמין</w:t>
      </w:r>
      <w:r>
        <w:rPr>
          <w:rFonts w:cs="Arial" w:hint="cs"/>
          <w:rtl/>
        </w:rPr>
        <w:t>.</w:t>
      </w:r>
      <w:r w:rsidRPr="00CF10FC">
        <w:rPr>
          <w:rFonts w:cs="Arial"/>
          <w:rtl/>
        </w:rPr>
        <w:t xml:space="preserve"> וכ"פ הריטב"א וכ"כ הבעל המאור</w:t>
      </w:r>
      <w:r>
        <w:rPr>
          <w:rFonts w:cs="Arial" w:hint="cs"/>
          <w:rtl/>
        </w:rPr>
        <w:t>.</w:t>
      </w:r>
      <w:r w:rsidRPr="00CF10FC">
        <w:rPr>
          <w:rFonts w:cs="Arial"/>
          <w:rtl/>
        </w:rPr>
        <w:t xml:space="preserve"> והרשב"א הביא פלוגת' אם שמין</w:t>
      </w:r>
      <w:r>
        <w:rPr>
          <w:rFonts w:cs="Arial" w:hint="cs"/>
          <w:rtl/>
        </w:rPr>
        <w:t>.</w:t>
      </w:r>
      <w:r w:rsidRPr="00CF10FC">
        <w:rPr>
          <w:rFonts w:cs="Arial"/>
          <w:rtl/>
        </w:rPr>
        <w:t xml:space="preserve"> והמחבר פוסק דשמין משום דאין מוציאין מיורשים במקום פלוגת' ואם היא מוחזקת י"ל קים לי כהני פוסקים דאין שמין</w:t>
      </w:r>
      <w:r>
        <w:rPr>
          <w:rFonts w:cs="Arial" w:hint="cs"/>
          <w:rtl/>
        </w:rPr>
        <w:t>,</w:t>
      </w:r>
      <w:r w:rsidRPr="00CF10FC">
        <w:rPr>
          <w:rFonts w:cs="Arial"/>
          <w:rtl/>
        </w:rPr>
        <w:t xml:space="preserve"> וכ"ה בח"מ</w:t>
      </w:r>
      <w:r>
        <w:rPr>
          <w:rFonts w:cs="Arial" w:hint="cs"/>
          <w:rtl/>
        </w:rPr>
        <w:t>.</w:t>
      </w:r>
      <w:r w:rsidRPr="00CF10FC">
        <w:rPr>
          <w:rFonts w:cs="Arial"/>
          <w:rtl/>
        </w:rPr>
        <w:t xml:space="preserve"> ובאמת ברמב"ם אינו מבואר דשמין</w:t>
      </w:r>
      <w:r>
        <w:rPr>
          <w:rFonts w:cs="Arial" w:hint="cs"/>
          <w:rtl/>
        </w:rPr>
        <w:t>,</w:t>
      </w:r>
      <w:r w:rsidRPr="00CF10FC">
        <w:rPr>
          <w:rFonts w:cs="Arial"/>
          <w:rtl/>
        </w:rPr>
        <w:t xml:space="preserve"> אלא הריב"ש מדמה דין זה לגביות ב"ח דגובה בגדי שבת</w:t>
      </w:r>
      <w:r>
        <w:rPr>
          <w:rFonts w:cs="Arial" w:hint="cs"/>
          <w:rtl/>
        </w:rPr>
        <w:t>,</w:t>
      </w:r>
      <w:r w:rsidRPr="00CF10FC">
        <w:rPr>
          <w:rFonts w:cs="Arial"/>
          <w:rtl/>
        </w:rPr>
        <w:t xml:space="preserve"> מיהו בטור משמע דס"ל דיש לחלק ביניהם</w:t>
      </w:r>
      <w:r>
        <w:rPr>
          <w:rFonts w:cs="Arial" w:hint="cs"/>
          <w:rtl/>
        </w:rPr>
        <w:t>,</w:t>
      </w:r>
      <w:r w:rsidRPr="00CF10FC">
        <w:rPr>
          <w:rFonts w:cs="Arial"/>
          <w:rtl/>
        </w:rPr>
        <w:t xml:space="preserve"> דהא בסי' זה פסק דאין שמין ולענין ב"ח הביא פלוגת' בח"ה סי' צ"ז</w:t>
      </w:r>
      <w:r>
        <w:rPr>
          <w:rFonts w:cs="Arial" w:hint="cs"/>
          <w:rtl/>
        </w:rPr>
        <w:t>.</w:t>
      </w:r>
      <w:r w:rsidRPr="00CF10FC">
        <w:rPr>
          <w:rFonts w:cs="Arial"/>
          <w:rtl/>
        </w:rPr>
        <w:t xml:space="preserve"> ובמהרי"ק שורש י' מבואר דס"ל כריב"ש</w:t>
      </w:r>
      <w:r>
        <w:rPr>
          <w:rFonts w:cs="Arial" w:hint="cs"/>
          <w:rtl/>
        </w:rPr>
        <w:t>,</w:t>
      </w:r>
      <w:r w:rsidRPr="00CF10FC">
        <w:rPr>
          <w:rFonts w:cs="Arial"/>
          <w:rtl/>
        </w:rPr>
        <w:t xml:space="preserve"> וכתב דין גרושה וב"ח והקדש אם גובה מבגדי אשתו</w:t>
      </w:r>
      <w:r>
        <w:rPr>
          <w:rFonts w:cs="Arial" w:hint="cs"/>
          <w:rtl/>
        </w:rPr>
        <w:t>,</w:t>
      </w:r>
      <w:r w:rsidRPr="00CF10FC">
        <w:rPr>
          <w:rFonts w:cs="Arial"/>
          <w:rtl/>
        </w:rPr>
        <w:t xml:space="preserve"> וכן אם יכול למכור בגדי אשתו דין ארבעה אלו שוין</w:t>
      </w:r>
      <w:r>
        <w:rPr>
          <w:rFonts w:hint="cs"/>
          <w:rtl/>
        </w:rPr>
        <w:t>, ב"ש (סק"ג).</w:t>
      </w:r>
    </w:p>
  </w:footnote>
  <w:footnote w:id="1844">
    <w:p w14:paraId="402ED93E" w14:textId="413FC95F" w:rsidR="00A06B6D" w:rsidRDefault="00A06B6D">
      <w:pPr>
        <w:pStyle w:val="a5"/>
      </w:pPr>
      <w:r>
        <w:rPr>
          <w:rStyle w:val="a7"/>
        </w:rPr>
        <w:footnoteRef/>
      </w:r>
      <w:r>
        <w:rPr>
          <w:rtl/>
        </w:rPr>
        <w:t xml:space="preserve"> </w:t>
      </w:r>
      <w:r>
        <w:rPr>
          <w:rFonts w:hint="cs"/>
          <w:rtl/>
        </w:rPr>
        <w:t>וז"ל:</w:t>
      </w:r>
      <w:r w:rsidRPr="00A06B6D">
        <w:rPr>
          <w:rFonts w:cs="Arial"/>
          <w:rtl/>
        </w:rPr>
        <w:t xml:space="preserve"> </w:t>
      </w:r>
      <w:r w:rsidRPr="00F12046">
        <w:rPr>
          <w:rFonts w:cs="Arial"/>
          <w:rtl/>
        </w:rPr>
        <w:t>אפילו לדבריו</w:t>
      </w:r>
      <w:r>
        <w:rPr>
          <w:rFonts w:cs="Arial" w:hint="cs"/>
          <w:sz w:val="16"/>
          <w:szCs w:val="16"/>
          <w:rtl/>
        </w:rPr>
        <w:t xml:space="preserve"> {של בהעי"ט</w:t>
      </w:r>
      <w:r w:rsidR="002F3516">
        <w:rPr>
          <w:rFonts w:cs="Arial" w:hint="cs"/>
          <w:sz w:val="16"/>
          <w:szCs w:val="16"/>
          <w:rtl/>
        </w:rPr>
        <w:t xml:space="preserve"> שהובאו</w:t>
      </w:r>
      <w:r>
        <w:rPr>
          <w:rFonts w:cs="Arial" w:hint="cs"/>
          <w:sz w:val="16"/>
          <w:szCs w:val="16"/>
          <w:rtl/>
        </w:rPr>
        <w:t xml:space="preserve"> בסעיף הקודם}</w:t>
      </w:r>
      <w:r w:rsidRPr="00F12046">
        <w:rPr>
          <w:rFonts w:cs="Arial"/>
          <w:rtl/>
        </w:rPr>
        <w:t xml:space="preserve"> נראה שאין לחלק בין סרחה עליו למוציאה מדעתו אלא בגדיה שקנה לה</w:t>
      </w:r>
      <w:r>
        <w:rPr>
          <w:rFonts w:cs="Arial" w:hint="cs"/>
          <w:rtl/>
        </w:rPr>
        <w:t>,</w:t>
      </w:r>
      <w:r w:rsidRPr="00F12046">
        <w:rPr>
          <w:rFonts w:cs="Arial"/>
          <w:rtl/>
        </w:rPr>
        <w:t xml:space="preserve"> אבל מתנה שכתב לה </w:t>
      </w:r>
      <w:r w:rsidR="00CF10FC">
        <w:rPr>
          <w:rFonts w:cs="Arial" w:hint="cs"/>
          <w:rtl/>
        </w:rPr>
        <w:t xml:space="preserve">- </w:t>
      </w:r>
      <w:r w:rsidRPr="00F12046">
        <w:rPr>
          <w:rFonts w:cs="Arial"/>
          <w:rtl/>
        </w:rPr>
        <w:t>גובה לעולם</w:t>
      </w:r>
      <w:r w:rsidR="00CF10FC">
        <w:rPr>
          <w:rFonts w:cs="Arial" w:hint="cs"/>
          <w:rtl/>
        </w:rPr>
        <w:t>,</w:t>
      </w:r>
      <w:r w:rsidRPr="00F12046">
        <w:rPr>
          <w:rFonts w:cs="Arial"/>
          <w:rtl/>
        </w:rPr>
        <w:t xml:space="preserve"> וכן כתבו הגאונים</w:t>
      </w:r>
      <w:r>
        <w:rPr>
          <w:rFonts w:cs="Arial" w:hint="cs"/>
          <w:rtl/>
        </w:rPr>
        <w:t>.</w:t>
      </w:r>
    </w:p>
  </w:footnote>
  <w:footnote w:id="1845">
    <w:p w14:paraId="368F4074" w14:textId="5F7209C1" w:rsidR="00F7421F" w:rsidRDefault="00F7421F">
      <w:pPr>
        <w:pStyle w:val="a5"/>
      </w:pPr>
      <w:r>
        <w:rPr>
          <w:rStyle w:val="a7"/>
        </w:rPr>
        <w:footnoteRef/>
      </w:r>
      <w:r>
        <w:rPr>
          <w:rtl/>
        </w:rPr>
        <w:t xml:space="preserve"> </w:t>
      </w:r>
      <w:r>
        <w:rPr>
          <w:rFonts w:hint="cs"/>
          <w:rtl/>
        </w:rPr>
        <w:t>סימן - נכסים דומים.</w:t>
      </w:r>
    </w:p>
  </w:footnote>
  <w:footnote w:id="1846">
    <w:p w14:paraId="742C6736" w14:textId="772A0C7C" w:rsidR="00392DBB" w:rsidRDefault="00392DBB" w:rsidP="00392DBB">
      <w:pPr>
        <w:pStyle w:val="a5"/>
      </w:pPr>
      <w:r>
        <w:rPr>
          <w:rStyle w:val="a7"/>
        </w:rPr>
        <w:footnoteRef/>
      </w:r>
      <w:r>
        <w:rPr>
          <w:rtl/>
        </w:rPr>
        <w:t xml:space="preserve"> </w:t>
      </w:r>
      <w:r w:rsidRPr="00BF47E4">
        <w:rPr>
          <w:rFonts w:cs="Arial"/>
          <w:rtl/>
        </w:rPr>
        <w:t>לא בשבח שהשביחו אם אינם שוין הנכסים בשעת מיתת בעלה כדי שיעור כתובה ואח"כ השביחו אינה נוטלת אלא כמה שהיו שוין</w:t>
      </w:r>
      <w:r w:rsidR="00710E18">
        <w:rPr>
          <w:rFonts w:cs="Arial" w:hint="cs"/>
          <w:rtl/>
        </w:rPr>
        <w:t>,</w:t>
      </w:r>
      <w:r w:rsidRPr="00BF47E4">
        <w:rPr>
          <w:rFonts w:cs="Arial"/>
          <w:rtl/>
        </w:rPr>
        <w:t xml:space="preserve"> ולא בראוי כבמוחזק</w:t>
      </w:r>
      <w:r>
        <w:rPr>
          <w:rFonts w:cs="Arial" w:hint="cs"/>
          <w:rtl/>
        </w:rPr>
        <w:t>, רש"י.</w:t>
      </w:r>
    </w:p>
  </w:footnote>
  <w:footnote w:id="1847">
    <w:p w14:paraId="6680696B" w14:textId="77777777" w:rsidR="00392DBB" w:rsidRDefault="00392DBB" w:rsidP="00392DBB">
      <w:pPr>
        <w:pStyle w:val="a5"/>
      </w:pPr>
      <w:r>
        <w:rPr>
          <w:rStyle w:val="a7"/>
        </w:rPr>
        <w:footnoteRef/>
      </w:r>
      <w:r>
        <w:rPr>
          <w:rtl/>
        </w:rPr>
        <w:t xml:space="preserve"> </w:t>
      </w:r>
      <w:r w:rsidRPr="00BF47E4">
        <w:rPr>
          <w:rFonts w:cs="Arial"/>
          <w:rtl/>
        </w:rPr>
        <w:t>שהלוה לחבירו מעות ומכר לוה הנכסים והשביחום לקוחות טורף בעל חוב הגוף והשבח והך אשה נמי בעלת חוב היא</w:t>
      </w:r>
      <w:r>
        <w:rPr>
          <w:rFonts w:cs="Arial" w:hint="cs"/>
          <w:rtl/>
        </w:rPr>
        <w:t>, רש"י.</w:t>
      </w:r>
    </w:p>
  </w:footnote>
  <w:footnote w:id="1848">
    <w:p w14:paraId="67590FCD" w14:textId="77777777" w:rsidR="00392DBB" w:rsidRDefault="00392DBB" w:rsidP="00392DBB">
      <w:pPr>
        <w:pStyle w:val="a5"/>
      </w:pPr>
      <w:r>
        <w:rPr>
          <w:rStyle w:val="a7"/>
        </w:rPr>
        <w:footnoteRef/>
      </w:r>
      <w:r>
        <w:rPr>
          <w:rtl/>
        </w:rPr>
        <w:t xml:space="preserve"> </w:t>
      </w:r>
      <w:r w:rsidRPr="00BF47E4">
        <w:rPr>
          <w:rFonts w:cs="Arial"/>
          <w:rtl/>
        </w:rPr>
        <w:t>זה אחד מקולי כתובה</w:t>
      </w:r>
      <w:r>
        <w:rPr>
          <w:rFonts w:cs="Arial" w:hint="cs"/>
          <w:rtl/>
        </w:rPr>
        <w:t>, רש"י.</w:t>
      </w:r>
    </w:p>
  </w:footnote>
  <w:footnote w:id="1849">
    <w:p w14:paraId="5EC014D2" w14:textId="47813C0C" w:rsidR="00392DBB" w:rsidRDefault="00392DBB" w:rsidP="00392DBB">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Pr>
          <w:rFonts w:cs="Arial"/>
          <w:rtl/>
        </w:rPr>
        <w:t>אע</w:t>
      </w:r>
      <w:r>
        <w:rPr>
          <w:rFonts w:cs="Arial" w:hint="cs"/>
          <w:rtl/>
        </w:rPr>
        <w:t>"</w:t>
      </w:r>
      <w:r>
        <w:rPr>
          <w:rFonts w:cs="Arial"/>
          <w:rtl/>
        </w:rPr>
        <w:t>פ שהורע כח הבכור והבעל לענין מלוה דהוי ראוי לגבייהו</w:t>
      </w:r>
      <w:r>
        <w:rPr>
          <w:rFonts w:cs="Arial" w:hint="cs"/>
          <w:rtl/>
        </w:rPr>
        <w:t>,</w:t>
      </w:r>
      <w:r>
        <w:rPr>
          <w:rFonts w:cs="Arial"/>
          <w:rtl/>
        </w:rPr>
        <w:t xml:space="preserve"> לגבי כתובת אשה הויא כמוחזק</w:t>
      </w:r>
      <w:r>
        <w:rPr>
          <w:rFonts w:cs="Arial" w:hint="cs"/>
          <w:rtl/>
        </w:rPr>
        <w:t>,</w:t>
      </w:r>
      <w:r>
        <w:rPr>
          <w:rFonts w:cs="Arial"/>
          <w:rtl/>
        </w:rPr>
        <w:t xml:space="preserve"> וגובה כתובתה ממנה</w:t>
      </w:r>
      <w:r>
        <w:rPr>
          <w:rFonts w:cs="Arial" w:hint="cs"/>
          <w:rtl/>
        </w:rPr>
        <w:t>,</w:t>
      </w:r>
      <w:r>
        <w:rPr>
          <w:rFonts w:cs="Arial"/>
          <w:rtl/>
        </w:rPr>
        <w:t xml:space="preserve"> כדתנן בפרק הכותב (כתובות פד.) מי שמת והניח אשה ובעל חוב ויורשים והיה לו פקדון או מלוה ביד אחרים וכו'</w:t>
      </w:r>
      <w:r>
        <w:rPr>
          <w:rFonts w:cs="Arial" w:hint="cs"/>
          <w:rtl/>
        </w:rPr>
        <w:t>.</w:t>
      </w:r>
      <w:r>
        <w:rPr>
          <w:rFonts w:cs="Arial"/>
          <w:rtl/>
        </w:rPr>
        <w:t xml:space="preserve"> ומיהו אין ראיה דלעולם אם גבו יתומים את המלוה בין גבו מעות בין גבו קרקע אינה גובה מהם משום דהוי ראוי אבל בעוד שלא גבו יפה כחה לגבות אף על פי שהוא ראוי כי היכי דיפה כח המלוה והאשה לגבות אף על גב דמטלטלי דיתמי לא משתעבדי לבעל חוב והוא הדין לענין ראוי נמי כיון שהם ביד אחרים יפה כחן לגבות</w:t>
      </w:r>
      <w:r>
        <w:rPr>
          <w:rFonts w:cs="Arial" w:hint="cs"/>
          <w:rtl/>
        </w:rPr>
        <w:t>.</w:t>
      </w:r>
      <w:r>
        <w:rPr>
          <w:rFonts w:cs="Arial"/>
          <w:rtl/>
        </w:rPr>
        <w:t xml:space="preserve"> וקצת יש להביא ראיה מהא דאמר רב נחמן לעיל (ב"ב קכה.) יתומים שגבו קרקע בחובת אביהם בעל חוב חוזר וגובה אותה מהם לרבא דמפרש טעמא (פסחים לא.) דא"ל כי היכי דמשעבדנא לאבוהון משתעבדנא ליה מדרבי נתן</w:t>
      </w:r>
      <w:r>
        <w:rPr>
          <w:rFonts w:cs="Arial" w:hint="cs"/>
          <w:rtl/>
        </w:rPr>
        <w:t>.</w:t>
      </w:r>
      <w:r>
        <w:rPr>
          <w:rFonts w:cs="Arial"/>
          <w:rtl/>
        </w:rPr>
        <w:t xml:space="preserve"> והאי טעמא נמי שייך בכתובת אשה אף על גב דלא ניתנה ליגבות בחיי הבעל</w:t>
      </w:r>
      <w:r>
        <w:rPr>
          <w:rFonts w:cs="Arial" w:hint="cs"/>
          <w:rtl/>
        </w:rPr>
        <w:t>,</w:t>
      </w:r>
      <w:r>
        <w:rPr>
          <w:rFonts w:cs="Arial"/>
          <w:rtl/>
        </w:rPr>
        <w:t xml:space="preserve"> מכל מקום ה"ל שעבוד על כל בעלי חובין</w:t>
      </w:r>
      <w:r>
        <w:rPr>
          <w:rFonts w:cs="Arial" w:hint="cs"/>
          <w:rtl/>
        </w:rPr>
        <w:t>.</w:t>
      </w:r>
      <w:r>
        <w:rPr>
          <w:rFonts w:cs="Arial"/>
          <w:rtl/>
        </w:rPr>
        <w:t xml:space="preserve"> ומצינו למימר דיש חילוק בין כתובת אשה לבעל חוב משום דאקילו רבנן בכתובת אשה</w:t>
      </w:r>
      <w:r>
        <w:rPr>
          <w:rFonts w:cs="Arial" w:hint="cs"/>
          <w:rtl/>
        </w:rPr>
        <w:t>,</w:t>
      </w:r>
      <w:r>
        <w:rPr>
          <w:rFonts w:cs="Arial"/>
          <w:rtl/>
        </w:rPr>
        <w:t xml:space="preserve"> כדאמרינן בפרק יש בכור מקולי כתובה שנו כאן</w:t>
      </w:r>
      <w:r>
        <w:rPr>
          <w:rFonts w:cs="Arial" w:hint="cs"/>
          <w:rtl/>
        </w:rPr>
        <w:t>.</w:t>
      </w:r>
      <w:r>
        <w:rPr>
          <w:rFonts w:cs="Arial"/>
          <w:rtl/>
        </w:rPr>
        <w:t xml:space="preserve"> ומיהו למאי דאמור רבנן דאקיל כמו גבי שבח אמור</w:t>
      </w:r>
      <w:r>
        <w:rPr>
          <w:rFonts w:cs="Arial" w:hint="cs"/>
          <w:rtl/>
        </w:rPr>
        <w:t>,</w:t>
      </w:r>
      <w:r>
        <w:rPr>
          <w:rFonts w:cs="Arial"/>
          <w:rtl/>
        </w:rPr>
        <w:t xml:space="preserve"> ובמאי דלא אמור לא אמור</w:t>
      </w:r>
      <w:r>
        <w:rPr>
          <w:rFonts w:cs="Arial" w:hint="cs"/>
          <w:rtl/>
        </w:rPr>
        <w:t>.</w:t>
      </w:r>
      <w:r>
        <w:rPr>
          <w:rFonts w:cs="Arial"/>
          <w:rtl/>
        </w:rPr>
        <w:t xml:space="preserve"> ועוד ראיה מהא דאמרינן בפרק האשה שנפלו (כתובות פא:) הרי שהיה נושה באחיו מנה וכו' אלמא אף על גב שכבר המלוה ביד היורש גובה ממנה כתובה</w:t>
      </w:r>
      <w:r>
        <w:rPr>
          <w:rFonts w:cs="Arial" w:hint="cs"/>
          <w:rtl/>
        </w:rPr>
        <w:t>.</w:t>
      </w:r>
      <w:r>
        <w:rPr>
          <w:rFonts w:cs="Arial"/>
          <w:rtl/>
        </w:rPr>
        <w:t xml:space="preserve"> והאידנא דתקינו הגאונים דבעל חוב וכתובה גבו ממטלטלי דיתמי</w:t>
      </w:r>
      <w:r>
        <w:rPr>
          <w:rFonts w:cs="Arial" w:hint="cs"/>
          <w:rtl/>
        </w:rPr>
        <w:t>,</w:t>
      </w:r>
      <w:r>
        <w:rPr>
          <w:rFonts w:cs="Arial"/>
          <w:rtl/>
        </w:rPr>
        <w:t xml:space="preserve"> אם גבו מטלטלין בחובת אביהם הרי הן כמקרקעי ובעל חוב וכתובת אשה גובה מהם</w:t>
      </w:r>
      <w:r>
        <w:rPr>
          <w:rFonts w:cs="Arial" w:hint="cs"/>
          <w:rtl/>
        </w:rPr>
        <w:t>.</w:t>
      </w:r>
      <w:r>
        <w:rPr>
          <w:rFonts w:cs="Arial"/>
          <w:rtl/>
        </w:rPr>
        <w:t xml:space="preserve"> וכן עמא דבר</w:t>
      </w:r>
      <w:r>
        <w:rPr>
          <w:rFonts w:cs="Arial" w:hint="cs"/>
          <w:rtl/>
        </w:rPr>
        <w:t>.</w:t>
      </w:r>
      <w:r>
        <w:rPr>
          <w:rFonts w:cs="Arial"/>
          <w:rtl/>
        </w:rPr>
        <w:t xml:space="preserve"> ואפילו ממלוה דגוי</w:t>
      </w:r>
      <w:r>
        <w:rPr>
          <w:rFonts w:cs="Arial" w:hint="cs"/>
          <w:rtl/>
        </w:rPr>
        <w:t>.</w:t>
      </w:r>
      <w:r>
        <w:rPr>
          <w:rFonts w:cs="Arial"/>
          <w:rtl/>
        </w:rPr>
        <w:t xml:space="preserve"> והיינו טעמא דלענין בעל חוב וכתובת אשה לא חשיבא מלוה ראוי משום דמשתעבדא להו בחיי אבוהון מדרבי נתן</w:t>
      </w:r>
      <w:r>
        <w:rPr>
          <w:rFonts w:cs="Arial" w:hint="cs"/>
          <w:rtl/>
        </w:rPr>
        <w:t>.</w:t>
      </w:r>
    </w:p>
  </w:footnote>
  <w:footnote w:id="1850">
    <w:p w14:paraId="09EBA4F8" w14:textId="406D48ED" w:rsidR="00392DBB" w:rsidRDefault="00392DBB" w:rsidP="00392DBB">
      <w:pPr>
        <w:pStyle w:val="a5"/>
        <w:rPr>
          <w:rtl/>
        </w:rPr>
      </w:pPr>
      <w:r>
        <w:rPr>
          <w:rStyle w:val="a7"/>
        </w:rPr>
        <w:footnoteRef/>
      </w:r>
      <w:r>
        <w:rPr>
          <w:rtl/>
        </w:rPr>
        <w:t xml:space="preserve"> </w:t>
      </w:r>
      <w:r>
        <w:rPr>
          <w:rFonts w:cs="Arial"/>
          <w:rtl/>
        </w:rPr>
        <w:t>כ"כ הרמב"ם בפי"ו מהלכות אישות (ה"ה). וכתב הרב המגיד</w:t>
      </w:r>
      <w:r w:rsidR="005A59E8">
        <w:rPr>
          <w:rFonts w:cs="Arial" w:hint="cs"/>
          <w:rtl/>
        </w:rPr>
        <w:t>:</w:t>
      </w:r>
      <w:r>
        <w:rPr>
          <w:rFonts w:cs="Arial"/>
          <w:rtl/>
        </w:rPr>
        <w:t xml:space="preserve"> דע שאין נכסי צאן ברזל בכלל זה</w:t>
      </w:r>
      <w:r w:rsidR="005A59E8">
        <w:rPr>
          <w:rFonts w:cs="Arial" w:hint="cs"/>
          <w:rtl/>
        </w:rPr>
        <w:t>,</w:t>
      </w:r>
      <w:r>
        <w:rPr>
          <w:rFonts w:cs="Arial"/>
          <w:rtl/>
        </w:rPr>
        <w:t xml:space="preserve"> אלא הרי הן נגבין משבח שהשביח לוקח</w:t>
      </w:r>
      <w:r w:rsidR="005A59E8">
        <w:rPr>
          <w:rFonts w:cs="Arial" w:hint="cs"/>
          <w:rtl/>
        </w:rPr>
        <w:t>,</w:t>
      </w:r>
      <w:r>
        <w:rPr>
          <w:rFonts w:cs="Arial"/>
          <w:rtl/>
        </w:rPr>
        <w:t xml:space="preserve"> אבל לא מן היתומים כמו החוב</w:t>
      </w:r>
      <w:r>
        <w:rPr>
          <w:rFonts w:cs="Arial" w:hint="cs"/>
          <w:rtl/>
        </w:rPr>
        <w:t>,</w:t>
      </w:r>
      <w:r>
        <w:rPr>
          <w:rFonts w:cs="Arial"/>
          <w:rtl/>
        </w:rPr>
        <w:t xml:space="preserve"> ודין החוב נזכר פכ"א מהלכות מלוה</w:t>
      </w:r>
      <w:r>
        <w:rPr>
          <w:rFonts w:cs="Arial" w:hint="cs"/>
          <w:rtl/>
        </w:rPr>
        <w:t>.</w:t>
      </w:r>
      <w:r>
        <w:rPr>
          <w:rFonts w:cs="Arial"/>
          <w:rtl/>
        </w:rPr>
        <w:t xml:space="preserve"> זהו דעת רבינו וכן הסכים הרשב"א ז"ל בתשובה (ח"ד סי' קנב ד"ה ולענין מה שטענו) עכ"ל</w:t>
      </w:r>
      <w:r>
        <w:rPr>
          <w:rFonts w:hint="cs"/>
          <w:sz w:val="16"/>
          <w:szCs w:val="16"/>
          <w:rtl/>
        </w:rPr>
        <w:t xml:space="preserve"> [הה"מ]</w:t>
      </w:r>
      <w:r>
        <w:rPr>
          <w:rFonts w:hint="cs"/>
          <w:rtl/>
        </w:rPr>
        <w:t>, ב"י.</w:t>
      </w:r>
    </w:p>
  </w:footnote>
  <w:footnote w:id="1851">
    <w:p w14:paraId="3024680E" w14:textId="3B937527" w:rsidR="00392DBB" w:rsidRDefault="00392DBB" w:rsidP="00392DBB">
      <w:pPr>
        <w:pStyle w:val="a5"/>
      </w:pPr>
      <w:r>
        <w:rPr>
          <w:rStyle w:val="a7"/>
        </w:rPr>
        <w:footnoteRef/>
      </w:r>
      <w:r>
        <w:rPr>
          <w:rtl/>
        </w:rPr>
        <w:t xml:space="preserve"> </w:t>
      </w:r>
      <w:r w:rsidRPr="003D2914">
        <w:rPr>
          <w:rFonts w:cs="Arial"/>
          <w:rtl/>
        </w:rPr>
        <w:t>וכן פסק המרדכי ריש יש נוחלין (סי' תקעד)</w:t>
      </w:r>
      <w:r>
        <w:rPr>
          <w:rFonts w:cs="Arial" w:hint="cs"/>
          <w:rtl/>
        </w:rPr>
        <w:t>,</w:t>
      </w:r>
      <w:r w:rsidRPr="003D2914">
        <w:rPr>
          <w:rFonts w:cs="Arial"/>
          <w:rtl/>
        </w:rPr>
        <w:t xml:space="preserve"> ואפילו גבו כבר היתומים בין מקרקעי בין מטלטלין</w:t>
      </w:r>
      <w:r>
        <w:rPr>
          <w:rFonts w:cs="Arial" w:hint="cs"/>
          <w:rtl/>
        </w:rPr>
        <w:t>.</w:t>
      </w:r>
      <w:r w:rsidRPr="003D2914">
        <w:rPr>
          <w:rFonts w:cs="Arial"/>
          <w:rtl/>
        </w:rPr>
        <w:t xml:space="preserve"> ודלא כמ"ד שכתב המרדכי ריש הכותב (סי' רטו) דאינה גובאת ממלוה</w:t>
      </w:r>
      <w:r>
        <w:rPr>
          <w:rFonts w:cs="Arial" w:hint="cs"/>
          <w:rtl/>
        </w:rPr>
        <w:t>.</w:t>
      </w:r>
      <w:r w:rsidRPr="003D2914">
        <w:rPr>
          <w:rFonts w:cs="Arial"/>
          <w:rtl/>
        </w:rPr>
        <w:t xml:space="preserve"> וכתב עוד במרדכי דיש נוחלין (שם) דשכר פעולתו שלא היה מעולם בידו דבעל</w:t>
      </w:r>
      <w:r w:rsidR="005A59E8">
        <w:rPr>
          <w:rFonts w:cs="Arial" w:hint="cs"/>
          <w:rtl/>
        </w:rPr>
        <w:t>,</w:t>
      </w:r>
      <w:r w:rsidRPr="003D2914">
        <w:rPr>
          <w:rFonts w:cs="Arial"/>
          <w:rtl/>
        </w:rPr>
        <w:t xml:space="preserve"> אין אשה גובאת ממנו כתובתה דמיקרי ראוי</w:t>
      </w:r>
      <w:r>
        <w:rPr>
          <w:rFonts w:cs="Arial" w:hint="cs"/>
          <w:rtl/>
        </w:rPr>
        <w:t>.</w:t>
      </w:r>
      <w:r w:rsidRPr="003D2914">
        <w:rPr>
          <w:rFonts w:cs="Arial"/>
          <w:rtl/>
        </w:rPr>
        <w:t xml:space="preserve"> ומוהר"ם השיב על ספר שגנבו גוי ואחר מיתת הבעל הוחזר דזה מיקרי מוחזק ולא ראוי ולא גרע ממלוה</w:t>
      </w:r>
      <w:r>
        <w:rPr>
          <w:rFonts w:cs="Arial" w:hint="cs"/>
          <w:rtl/>
        </w:rPr>
        <w:t>.</w:t>
      </w:r>
      <w:r w:rsidRPr="003D2914">
        <w:rPr>
          <w:rFonts w:cs="Arial"/>
          <w:rtl/>
        </w:rPr>
        <w:t xml:space="preserve"> וכתב עוד (המרדכי שם) דמי שכתב לבנו גוף הבית</w:t>
      </w:r>
      <w:r>
        <w:rPr>
          <w:rFonts w:cs="Arial" w:hint="cs"/>
          <w:rtl/>
        </w:rPr>
        <w:t>,</w:t>
      </w:r>
      <w:r w:rsidRPr="003D2914">
        <w:rPr>
          <w:rFonts w:cs="Arial"/>
          <w:rtl/>
        </w:rPr>
        <w:t xml:space="preserve"> ולאלמנתו הפירות</w:t>
      </w:r>
      <w:r>
        <w:rPr>
          <w:rFonts w:cs="Arial" w:hint="cs"/>
          <w:rtl/>
        </w:rPr>
        <w:t>,</w:t>
      </w:r>
      <w:r w:rsidRPr="003D2914">
        <w:rPr>
          <w:rFonts w:cs="Arial"/>
          <w:rtl/>
        </w:rPr>
        <w:t xml:space="preserve"> נקרא הבן מוחזק בבית ואם מת גובאת אלמנתו כתובתה מן הבית וכן עשו מעשה בקלוני"א</w:t>
      </w:r>
      <w:r>
        <w:rPr>
          <w:rFonts w:cs="Arial" w:hint="cs"/>
          <w:rtl/>
        </w:rPr>
        <w:t>, דרכ"מ (אות ג).</w:t>
      </w:r>
    </w:p>
  </w:footnote>
  <w:footnote w:id="1852">
    <w:p w14:paraId="7FB8B022" w14:textId="77777777" w:rsidR="00392DBB" w:rsidRDefault="00392DBB" w:rsidP="00392DBB">
      <w:pPr>
        <w:pStyle w:val="a5"/>
      </w:pPr>
      <w:r>
        <w:rPr>
          <w:rStyle w:val="a7"/>
        </w:rPr>
        <w:footnoteRef/>
      </w:r>
      <w:r>
        <w:rPr>
          <w:rtl/>
        </w:rPr>
        <w:t xml:space="preserve"> </w:t>
      </w:r>
      <w:r>
        <w:rPr>
          <w:rFonts w:cs="Arial"/>
          <w:rtl/>
        </w:rPr>
        <w:t>תקנה זו כתבה</w:t>
      </w:r>
      <w:r>
        <w:rPr>
          <w:rFonts w:cs="Arial" w:hint="cs"/>
          <w:rtl/>
        </w:rPr>
        <w:t xml:space="preserve"> גם</w:t>
      </w:r>
      <w:r>
        <w:rPr>
          <w:rFonts w:cs="Arial"/>
          <w:rtl/>
        </w:rPr>
        <w:t xml:space="preserve"> הרא"ש </w:t>
      </w:r>
      <w:r w:rsidRPr="0068098A">
        <w:rPr>
          <w:rFonts w:cs="Arial" w:hint="cs"/>
          <w:sz w:val="16"/>
          <w:szCs w:val="16"/>
          <w:rtl/>
        </w:rPr>
        <w:t>(</w:t>
      </w:r>
      <w:r w:rsidRPr="0068098A">
        <w:rPr>
          <w:rFonts w:cs="Arial"/>
          <w:sz w:val="16"/>
          <w:szCs w:val="16"/>
          <w:rtl/>
        </w:rPr>
        <w:t xml:space="preserve">קידושין פרק האומר סי' יד) </w:t>
      </w:r>
      <w:r>
        <w:rPr>
          <w:rFonts w:cs="Arial"/>
          <w:rtl/>
        </w:rPr>
        <w:t xml:space="preserve">והרי"ף </w:t>
      </w:r>
      <w:r w:rsidRPr="0068098A">
        <w:rPr>
          <w:rFonts w:cs="Arial" w:hint="cs"/>
          <w:sz w:val="16"/>
          <w:szCs w:val="16"/>
          <w:rtl/>
        </w:rPr>
        <w:t xml:space="preserve">(פ' מציאת האשה ל:) </w:t>
      </w:r>
      <w:r>
        <w:rPr>
          <w:rFonts w:cs="Arial"/>
          <w:rtl/>
        </w:rPr>
        <w:t xml:space="preserve">והתוספות </w:t>
      </w:r>
      <w:r w:rsidRPr="0068098A">
        <w:rPr>
          <w:rFonts w:cs="Arial" w:hint="cs"/>
          <w:sz w:val="16"/>
          <w:szCs w:val="16"/>
          <w:rtl/>
        </w:rPr>
        <w:t>(</w:t>
      </w:r>
      <w:r w:rsidRPr="0068098A">
        <w:rPr>
          <w:rFonts w:cs="Arial"/>
          <w:sz w:val="16"/>
          <w:szCs w:val="16"/>
          <w:rtl/>
        </w:rPr>
        <w:t>פ</w:t>
      </w:r>
      <w:r>
        <w:rPr>
          <w:rFonts w:cs="Arial" w:hint="cs"/>
          <w:sz w:val="16"/>
          <w:szCs w:val="16"/>
          <w:rtl/>
        </w:rPr>
        <w:t>'</w:t>
      </w:r>
      <w:r w:rsidRPr="0068098A">
        <w:rPr>
          <w:rFonts w:cs="Arial"/>
          <w:sz w:val="16"/>
          <w:szCs w:val="16"/>
          <w:rtl/>
        </w:rPr>
        <w:t xml:space="preserve"> מציאת האשה סז. ד"ה גמלים</w:t>
      </w:r>
      <w:r w:rsidRPr="0068098A">
        <w:rPr>
          <w:rFonts w:cs="Arial" w:hint="cs"/>
          <w:sz w:val="16"/>
          <w:szCs w:val="16"/>
          <w:rtl/>
        </w:rPr>
        <w:t>, ובבכורות נב. דיבור ראשון מעמוד הקודם</w:t>
      </w:r>
      <w:r w:rsidRPr="0068098A">
        <w:rPr>
          <w:rFonts w:cs="Arial"/>
          <w:sz w:val="16"/>
          <w:szCs w:val="16"/>
          <w:rtl/>
        </w:rPr>
        <w:t>)</w:t>
      </w:r>
      <w:r>
        <w:rPr>
          <w:rFonts w:cs="Arial" w:hint="cs"/>
          <w:rtl/>
        </w:rPr>
        <w:t>, ב"י.</w:t>
      </w:r>
    </w:p>
  </w:footnote>
  <w:footnote w:id="1853">
    <w:p w14:paraId="6B49FA64" w14:textId="6DDA5FAE" w:rsidR="00392DBB" w:rsidRDefault="00392DBB" w:rsidP="00392DBB">
      <w:pPr>
        <w:pStyle w:val="a5"/>
        <w:rPr>
          <w:rtl/>
        </w:rPr>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9B35D3">
        <w:rPr>
          <w:rFonts w:cs="Arial"/>
          <w:rtl/>
        </w:rPr>
        <w:t xml:space="preserve">ודאי כי תקינו דורות האחרונים </w:t>
      </w:r>
      <w:r>
        <w:rPr>
          <w:rFonts w:cs="Arial" w:hint="cs"/>
          <w:rtl/>
        </w:rPr>
        <w:t xml:space="preserve">לגבות </w:t>
      </w:r>
      <w:r w:rsidRPr="009B35D3">
        <w:rPr>
          <w:rFonts w:cs="Arial"/>
          <w:rtl/>
        </w:rPr>
        <w:t xml:space="preserve">כתובה </w:t>
      </w:r>
      <w:r>
        <w:rPr>
          <w:rFonts w:cs="Arial" w:hint="cs"/>
          <w:rtl/>
        </w:rPr>
        <w:t>מ</w:t>
      </w:r>
      <w:r w:rsidRPr="009B35D3">
        <w:rPr>
          <w:rFonts w:cs="Arial"/>
          <w:rtl/>
        </w:rPr>
        <w:t>מטלטלין מפני שאין להם שדות וכרמים בזמן הזה, דומיא דמקרקעי תיקנו מטלטלין שהן בעין לאחר מיתה וסמכו בשעת הדחק על ר' מאיר שאמר [כתובות פא</w:t>
      </w:r>
      <w:r>
        <w:rPr>
          <w:rFonts w:cs="Arial" w:hint="cs"/>
          <w:rtl/>
        </w:rPr>
        <w:t>:</w:t>
      </w:r>
      <w:r w:rsidRPr="009B35D3">
        <w:rPr>
          <w:rFonts w:cs="Arial"/>
          <w:rtl/>
        </w:rPr>
        <w:t>] מטלטלין משתעבדי לכתובה אפי' בזמן דאיכא מקרקעי, דתיקנו דומיא דגמלים של ערביא [שם סז</w:t>
      </w:r>
      <w:r>
        <w:rPr>
          <w:rFonts w:cs="Arial" w:hint="cs"/>
          <w:rtl/>
        </w:rPr>
        <w:t>.</w:t>
      </w:r>
      <w:r w:rsidRPr="009B35D3">
        <w:rPr>
          <w:rFonts w:cs="Arial"/>
          <w:rtl/>
        </w:rPr>
        <w:t>] ותותבי דבי מיכסי ושקי דתמרוריא ואשלי דקמחוניא שהן מטלטלין שהן בעין</w:t>
      </w:r>
      <w:r>
        <w:rPr>
          <w:rFonts w:cs="Arial" w:hint="cs"/>
          <w:rtl/>
        </w:rPr>
        <w:t>.</w:t>
      </w:r>
      <w:r w:rsidRPr="009B35D3">
        <w:rPr>
          <w:rFonts w:cs="Arial"/>
          <w:rtl/>
        </w:rPr>
        <w:t xml:space="preserve"> ואפילו מטלטלין שאינן בעין והיא תופסת אותן כשמת </w:t>
      </w:r>
      <w:r>
        <w:rPr>
          <w:rFonts w:cs="Arial" w:hint="cs"/>
          <w:rtl/>
        </w:rPr>
        <w:t xml:space="preserve">נשבעת </w:t>
      </w:r>
      <w:r w:rsidRPr="009B35D3">
        <w:rPr>
          <w:rFonts w:cs="Arial"/>
          <w:rtl/>
        </w:rPr>
        <w:t>כמה שיש בידה וגובה השאר מן המטלטלין שהוא בעין כשומת בית דין אע</w:t>
      </w:r>
      <w:r>
        <w:rPr>
          <w:rFonts w:cs="Arial" w:hint="cs"/>
          <w:rtl/>
        </w:rPr>
        <w:t>"</w:t>
      </w:r>
      <w:r w:rsidRPr="009B35D3">
        <w:rPr>
          <w:rFonts w:cs="Arial"/>
          <w:rtl/>
        </w:rPr>
        <w:t>ג דתפסה לאחר מיתה דהכי אמרינן [שם צו</w:t>
      </w:r>
      <w:r>
        <w:rPr>
          <w:rFonts w:cs="Arial" w:hint="cs"/>
          <w:rtl/>
        </w:rPr>
        <w:t>.</w:t>
      </w:r>
      <w:r w:rsidRPr="009B35D3">
        <w:rPr>
          <w:rFonts w:cs="Arial"/>
          <w:rtl/>
        </w:rPr>
        <w:t>] אלמנה שתפסה מטלטלין בכתובה מה שתפסה תפסה ואין כח ביד הב"ד להוציא מידה אפי' בזמן שהיה שיעבודא על הקרקעים וכל שכן ששיעבודא על המטלטלין, אבל להוציא מטלטלין שהן ביד היתומין ליתן לה לא ראיתי מימי אפי' בזמן הזה. ואם מה שחייבו את שמעון משום דר' נתן דאמר [שם יט</w:t>
      </w:r>
      <w:r>
        <w:rPr>
          <w:rFonts w:cs="Arial" w:hint="cs"/>
          <w:rtl/>
        </w:rPr>
        <w:t>.</w:t>
      </w:r>
      <w:r w:rsidRPr="009B35D3">
        <w:rPr>
          <w:rFonts w:cs="Arial"/>
          <w:rtl/>
        </w:rPr>
        <w:t>] מוציאין מזה ונותנין לזה, הא אמרינן [שם פב</w:t>
      </w:r>
      <w:r>
        <w:rPr>
          <w:rFonts w:cs="Arial" w:hint="cs"/>
          <w:rtl/>
        </w:rPr>
        <w:t>.</w:t>
      </w:r>
      <w:r w:rsidRPr="009B35D3">
        <w:rPr>
          <w:rFonts w:cs="Arial"/>
          <w:rtl/>
        </w:rPr>
        <w:t xml:space="preserve">] </w:t>
      </w:r>
      <w:r w:rsidRPr="007B6154">
        <w:rPr>
          <w:rFonts w:cs="Arial"/>
          <w:rtl/>
        </w:rPr>
        <w:t>לא אשכחן תנא דמיקל תרי קולי בכתובה</w:t>
      </w:r>
      <w:r w:rsidRPr="009B35D3">
        <w:rPr>
          <w:rFonts w:cs="Arial"/>
          <w:rtl/>
        </w:rPr>
        <w:t>, דר' מאיר דאית ליה מטלטלי משתעבדי לית ליה דר' נתן ור' נתן לית ליה דר"מ, הילכך אפי' היה ביד שמעון הכסף לא היה להם להוציא מידו ולתת לה וכל שכן שנתן לראובן שאין לחייבו ליתן לה.</w:t>
      </w:r>
    </w:p>
  </w:footnote>
  <w:footnote w:id="1854">
    <w:p w14:paraId="1017B9DA" w14:textId="77777777" w:rsidR="00392DBB" w:rsidRPr="0085652D" w:rsidRDefault="00392DBB" w:rsidP="00392DBB">
      <w:pPr>
        <w:pStyle w:val="a5"/>
        <w:rPr>
          <w:rtl/>
        </w:rPr>
      </w:pPr>
      <w:r>
        <w:rPr>
          <w:rStyle w:val="a7"/>
        </w:rPr>
        <w:footnoteRef/>
      </w:r>
      <w:r>
        <w:rPr>
          <w:rtl/>
        </w:rPr>
        <w:t xml:space="preserve"> </w:t>
      </w:r>
      <w:r>
        <w:rPr>
          <w:rFonts w:hint="cs"/>
          <w:rtl/>
        </w:rPr>
        <w:t>ו</w:t>
      </w:r>
      <w:r w:rsidRPr="00F02E86">
        <w:rPr>
          <w:rFonts w:cs="Arial"/>
          <w:rtl/>
        </w:rPr>
        <w:t>לא קיי"ל הכי</w:t>
      </w:r>
      <w:r>
        <w:rPr>
          <w:rFonts w:cs="Arial" w:hint="cs"/>
          <w:rtl/>
        </w:rPr>
        <w:t>,</w:t>
      </w:r>
      <w:r w:rsidRPr="00F02E86">
        <w:rPr>
          <w:rFonts w:cs="Arial"/>
          <w:rtl/>
        </w:rPr>
        <w:t xml:space="preserve"> אלא דגביא ממטלטלין בני חורין</w:t>
      </w:r>
      <w:r>
        <w:rPr>
          <w:rFonts w:cs="Arial" w:hint="cs"/>
          <w:rtl/>
        </w:rPr>
        <w:t>.</w:t>
      </w:r>
      <w:r w:rsidRPr="00F02E86">
        <w:rPr>
          <w:rFonts w:cs="Arial"/>
          <w:rtl/>
        </w:rPr>
        <w:t xml:space="preserve"> וכן פסק הרי"ף (ל</w:t>
      </w:r>
      <w:r>
        <w:rPr>
          <w:rFonts w:cs="Arial" w:hint="cs"/>
          <w:rtl/>
        </w:rPr>
        <w:t>:</w:t>
      </w:r>
      <w:r w:rsidRPr="00F02E86">
        <w:rPr>
          <w:rFonts w:cs="Arial"/>
          <w:rtl/>
        </w:rPr>
        <w:t>) ותוספות (סז. ד"ה גמלים) פרק מציאת האשה והרא"ש פרק האומר (סי' יד) והרמב"ם פי"ו דהלכות אישות (ה"ז) וכן המנהג פשוט. כתב המרדכי ריש הכותב (סי' רטו) דאשה גובה כתובתה ממטלטלין ואין חילוק בין אם תפסו יתמי או לא</w:t>
      </w:r>
      <w:r>
        <w:rPr>
          <w:rFonts w:cs="Arial" w:hint="cs"/>
          <w:rtl/>
        </w:rPr>
        <w:t>,</w:t>
      </w:r>
      <w:r w:rsidRPr="0085652D">
        <w:rPr>
          <w:rFonts w:hint="cs"/>
          <w:rtl/>
        </w:rPr>
        <w:t xml:space="preserve"> </w:t>
      </w:r>
      <w:r>
        <w:rPr>
          <w:rFonts w:hint="cs"/>
          <w:rtl/>
        </w:rPr>
        <w:t>דרכ"מ (אות י).</w:t>
      </w:r>
    </w:p>
  </w:footnote>
  <w:footnote w:id="1855">
    <w:p w14:paraId="0AC681D5" w14:textId="77777777" w:rsidR="00392DBB" w:rsidRDefault="00392DBB" w:rsidP="00392DBB">
      <w:pPr>
        <w:pStyle w:val="a5"/>
        <w:rPr>
          <w:rtl/>
        </w:rPr>
      </w:pPr>
      <w:r>
        <w:rPr>
          <w:rStyle w:val="a7"/>
        </w:rPr>
        <w:footnoteRef/>
      </w:r>
      <w:r>
        <w:rPr>
          <w:rtl/>
        </w:rPr>
        <w:t xml:space="preserve"> </w:t>
      </w:r>
      <w:r w:rsidRPr="0071190C">
        <w:rPr>
          <w:rFonts w:cs="Arial"/>
          <w:rtl/>
        </w:rPr>
        <w:t>ומ"ש רבינו ואם מכרום היורשים אחר מותו גובה מהם. נראה שדבר פשוט הוא שהרי משמת נפלו הנכסים לפני האלמנה ואין כח ביד היתומים ליתנם</w:t>
      </w:r>
      <w:r>
        <w:rPr>
          <w:rFonts w:cs="Arial" w:hint="cs"/>
          <w:rtl/>
        </w:rPr>
        <w:t>.</w:t>
      </w:r>
      <w:r w:rsidRPr="0071190C">
        <w:rPr>
          <w:rFonts w:cs="Arial"/>
          <w:rtl/>
        </w:rPr>
        <w:t xml:space="preserve"> [בדק הבית] זה פשוט ואף על גב דאמרינן בפרק מציאת האשה (סט.) האחים שמכרו או שמשכנו אין מוציאין למזונות דוקא למזונות אבל לכתובה מוציאין דחוב היא [עד כאן]</w:t>
      </w:r>
      <w:r>
        <w:rPr>
          <w:rFonts w:cs="Arial" w:hint="cs"/>
          <w:rtl/>
        </w:rPr>
        <w:t>, ב"י.</w:t>
      </w:r>
    </w:p>
  </w:footnote>
  <w:footnote w:id="1856">
    <w:p w14:paraId="7C6F91E1" w14:textId="4DE4779B"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Pr>
          <w:rFonts w:cs="Arial"/>
          <w:rtl/>
        </w:rPr>
        <w:t>ומזונות לא גביא אפילו ממקרקעי כי היכי דלא גביא מלקוחות כדפרישית</w:t>
      </w:r>
      <w:r>
        <w:rPr>
          <w:rFonts w:cs="Arial" w:hint="cs"/>
          <w:rtl/>
        </w:rPr>
        <w:t>.</w:t>
      </w:r>
      <w:r>
        <w:rPr>
          <w:rFonts w:cs="Arial"/>
          <w:rtl/>
        </w:rPr>
        <w:t xml:space="preserve"> ולא מיבעיא נתן הוא</w:t>
      </w:r>
      <w:r>
        <w:rPr>
          <w:rFonts w:cs="Arial" w:hint="cs"/>
          <w:rtl/>
        </w:rPr>
        <w:t>,</w:t>
      </w:r>
      <w:r>
        <w:rPr>
          <w:rFonts w:cs="Arial"/>
          <w:rtl/>
        </w:rPr>
        <w:t xml:space="preserve"> אלא אפילו נתנו יתומים</w:t>
      </w:r>
      <w:r>
        <w:rPr>
          <w:rFonts w:cs="Arial" w:hint="cs"/>
          <w:rtl/>
        </w:rPr>
        <w:t>,</w:t>
      </w:r>
      <w:r>
        <w:rPr>
          <w:rFonts w:cs="Arial"/>
          <w:rtl/>
        </w:rPr>
        <w:t xml:space="preserve"> אף על גב שכבר משמת נשתעבדו הנכסים</w:t>
      </w:r>
      <w:r>
        <w:rPr>
          <w:rFonts w:cs="Arial" w:hint="cs"/>
          <w:rtl/>
        </w:rPr>
        <w:t>.</w:t>
      </w:r>
    </w:p>
  </w:footnote>
  <w:footnote w:id="1857">
    <w:p w14:paraId="5F3C6C35" w14:textId="77777777" w:rsidR="00392DBB" w:rsidRDefault="00392DBB" w:rsidP="00392DBB">
      <w:pPr>
        <w:pStyle w:val="a5"/>
      </w:pPr>
      <w:r>
        <w:rPr>
          <w:rStyle w:val="a7"/>
        </w:rPr>
        <w:footnoteRef/>
      </w:r>
      <w:r>
        <w:rPr>
          <w:rtl/>
        </w:rPr>
        <w:t xml:space="preserve"> </w:t>
      </w:r>
      <w:r>
        <w:rPr>
          <w:rFonts w:hint="cs"/>
          <w:rtl/>
        </w:rPr>
        <w:t>וכתב הב"ש (סק"ח) דכ"כ הנמוק"י בפרק מי שמת (ב"ב ע: מדפה"ר).</w:t>
      </w:r>
    </w:p>
  </w:footnote>
  <w:footnote w:id="1858">
    <w:p w14:paraId="2E80D642" w14:textId="1DAB7236" w:rsidR="00780041" w:rsidRDefault="00780041" w:rsidP="00780041">
      <w:pPr>
        <w:pStyle w:val="a5"/>
      </w:pPr>
      <w:r>
        <w:rPr>
          <w:rStyle w:val="a7"/>
        </w:rPr>
        <w:footnoteRef/>
      </w:r>
      <w:r>
        <w:rPr>
          <w:rtl/>
        </w:rPr>
        <w:t xml:space="preserve"> </w:t>
      </w:r>
      <w:r>
        <w:rPr>
          <w:rFonts w:cs="Arial"/>
          <w:rtl/>
        </w:rPr>
        <w:t>וז"ל: ולפי מה שתקנו הגאונים דאשה גובה כתובה ומזונות ממטלטלי דיתמי</w:t>
      </w:r>
      <w:r>
        <w:rPr>
          <w:rFonts w:cs="Arial" w:hint="cs"/>
          <w:rtl/>
        </w:rPr>
        <w:t>,</w:t>
      </w:r>
      <w:r>
        <w:rPr>
          <w:rFonts w:cs="Arial"/>
          <w:rtl/>
        </w:rPr>
        <w:t xml:space="preserve"> אע</w:t>
      </w:r>
      <w:r>
        <w:rPr>
          <w:rFonts w:cs="Arial" w:hint="cs"/>
          <w:rtl/>
        </w:rPr>
        <w:t>"</w:t>
      </w:r>
      <w:r>
        <w:rPr>
          <w:rFonts w:cs="Arial"/>
          <w:rtl/>
        </w:rPr>
        <w:t>ג דירושה הויא דאורייתא</w:t>
      </w:r>
      <w:r>
        <w:rPr>
          <w:rFonts w:cs="Arial" w:hint="cs"/>
          <w:rtl/>
        </w:rPr>
        <w:t>,</w:t>
      </w:r>
      <w:r>
        <w:rPr>
          <w:rFonts w:cs="Arial"/>
          <w:rtl/>
        </w:rPr>
        <w:t xml:space="preserve"> כל שכן דגביא ממטלטלי דמתנת שכיב מרע דרבנן</w:t>
      </w:r>
      <w:r>
        <w:rPr>
          <w:rFonts w:cs="Arial" w:hint="cs"/>
          <w:rtl/>
        </w:rPr>
        <w:t>,</w:t>
      </w:r>
      <w:r>
        <w:rPr>
          <w:rFonts w:cs="Arial"/>
          <w:rtl/>
        </w:rPr>
        <w:t xml:space="preserve"> דכה</w:t>
      </w:r>
      <w:r>
        <w:rPr>
          <w:rFonts w:cs="Arial" w:hint="cs"/>
          <w:rtl/>
        </w:rPr>
        <w:t>"</w:t>
      </w:r>
      <w:r>
        <w:rPr>
          <w:rFonts w:cs="Arial"/>
          <w:rtl/>
        </w:rPr>
        <w:t>ג אמרינן בפרק יש נוחלין (קלג.)</w:t>
      </w:r>
      <w:r>
        <w:rPr>
          <w:rFonts w:cs="Arial" w:hint="cs"/>
          <w:rtl/>
        </w:rPr>
        <w:t>.</w:t>
      </w:r>
      <w:r>
        <w:rPr>
          <w:rFonts w:cs="Arial"/>
          <w:rtl/>
        </w:rPr>
        <w:t xml:space="preserve"> אבל מטלטלי דמתנת בריא דהויא דאורייתא </w:t>
      </w:r>
      <w:r>
        <w:rPr>
          <w:rFonts w:cs="Arial" w:hint="cs"/>
          <w:rtl/>
        </w:rPr>
        <w:t xml:space="preserve">- </w:t>
      </w:r>
      <w:r>
        <w:rPr>
          <w:rFonts w:cs="Arial"/>
          <w:rtl/>
        </w:rPr>
        <w:t>לא גביא כתובתה</w:t>
      </w:r>
      <w:r>
        <w:rPr>
          <w:rFonts w:cs="Arial" w:hint="cs"/>
          <w:rtl/>
        </w:rPr>
        <w:t>.</w:t>
      </w:r>
    </w:p>
  </w:footnote>
  <w:footnote w:id="1859">
    <w:p w14:paraId="6C7A564B" w14:textId="785ADF4A" w:rsidR="00780041" w:rsidRDefault="00780041" w:rsidP="00780041">
      <w:pPr>
        <w:pStyle w:val="a5"/>
      </w:pPr>
      <w:r>
        <w:rPr>
          <w:rStyle w:val="a7"/>
        </w:rPr>
        <w:footnoteRef/>
      </w:r>
      <w:r>
        <w:rPr>
          <w:rtl/>
        </w:rPr>
        <w:t xml:space="preserve"> </w:t>
      </w:r>
      <w:r>
        <w:rPr>
          <w:rFonts w:cs="Arial"/>
          <w:rtl/>
        </w:rPr>
        <w:t>בקידושין פרק האומר (שם) נסתפק הרא"ש אי גביא כתובה ממתנה</w:t>
      </w:r>
      <w:r>
        <w:rPr>
          <w:rFonts w:cs="Arial" w:hint="cs"/>
          <w:rtl/>
        </w:rPr>
        <w:t>,</w:t>
      </w:r>
      <w:r>
        <w:rPr>
          <w:rFonts w:cs="Arial"/>
          <w:rtl/>
        </w:rPr>
        <w:t xml:space="preserve"> והאריך בדבר</w:t>
      </w:r>
      <w:r>
        <w:rPr>
          <w:rFonts w:cs="Arial" w:hint="cs"/>
          <w:rtl/>
        </w:rPr>
        <w:t>.</w:t>
      </w:r>
      <w:r>
        <w:rPr>
          <w:rFonts w:cs="Arial"/>
          <w:rtl/>
        </w:rPr>
        <w:t xml:space="preserve"> ובסוף כתב וז"ל</w:t>
      </w:r>
      <w:r>
        <w:rPr>
          <w:rFonts w:cs="Arial" w:hint="cs"/>
          <w:rtl/>
        </w:rPr>
        <w:t>:</w:t>
      </w:r>
      <w:r>
        <w:rPr>
          <w:rFonts w:cs="Arial"/>
          <w:rtl/>
        </w:rPr>
        <w:t xml:space="preserve"> ולענין פסק הלכה</w:t>
      </w:r>
      <w:r>
        <w:rPr>
          <w:rFonts w:cs="Arial" w:hint="cs"/>
          <w:rtl/>
        </w:rPr>
        <w:t>,</w:t>
      </w:r>
      <w:r>
        <w:rPr>
          <w:rFonts w:cs="Arial"/>
          <w:rtl/>
        </w:rPr>
        <w:t xml:space="preserve"> הכי הלכתא דעדיפא כח מתנה מכח ירושה</w:t>
      </w:r>
      <w:r>
        <w:rPr>
          <w:rFonts w:cs="Arial" w:hint="cs"/>
          <w:rtl/>
        </w:rPr>
        <w:t>,</w:t>
      </w:r>
      <w:r>
        <w:rPr>
          <w:rFonts w:cs="Arial"/>
          <w:rtl/>
        </w:rPr>
        <w:t xml:space="preserve"> כדמוכחא ההיא דפרק שנים אוחזים (ב"מ יב:)</w:t>
      </w:r>
      <w:r>
        <w:rPr>
          <w:rFonts w:cs="Arial" w:hint="cs"/>
          <w:rtl/>
        </w:rPr>
        <w:t>.</w:t>
      </w:r>
      <w:r>
        <w:rPr>
          <w:rFonts w:cs="Arial"/>
          <w:rtl/>
        </w:rPr>
        <w:t xml:space="preserve"> וההיא דפרק נושאים (יבמות צט.) איכא לאוקמי במתנת שכיב מרע</w:t>
      </w:r>
      <w:r>
        <w:rPr>
          <w:rFonts w:cs="Arial" w:hint="cs"/>
          <w:rtl/>
        </w:rPr>
        <w:t>.</w:t>
      </w:r>
      <w:r>
        <w:rPr>
          <w:rFonts w:cs="Arial"/>
          <w:rtl/>
        </w:rPr>
        <w:t xml:space="preserve"> הילכך אפילו כשתקנו הגאונים דכתובה ומזונות גבו ממטלטלי דיתמי</w:t>
      </w:r>
      <w:r>
        <w:rPr>
          <w:rFonts w:cs="Arial" w:hint="cs"/>
          <w:rtl/>
        </w:rPr>
        <w:t>,</w:t>
      </w:r>
      <w:r>
        <w:rPr>
          <w:rFonts w:cs="Arial"/>
          <w:rtl/>
        </w:rPr>
        <w:t xml:space="preserve"> ממתנת בריא לא גבו עכ"ל</w:t>
      </w:r>
      <w:r>
        <w:rPr>
          <w:rFonts w:cs="Arial" w:hint="cs"/>
          <w:rtl/>
        </w:rPr>
        <w:t>, ב"י.</w:t>
      </w:r>
    </w:p>
  </w:footnote>
  <w:footnote w:id="1860">
    <w:p w14:paraId="3512016E" w14:textId="77777777" w:rsidR="00092CB2" w:rsidRDefault="00092CB2" w:rsidP="00092CB2">
      <w:pPr>
        <w:pStyle w:val="a5"/>
      </w:pPr>
      <w:r>
        <w:rPr>
          <w:rStyle w:val="a7"/>
        </w:rPr>
        <w:footnoteRef/>
      </w:r>
      <w:r>
        <w:rPr>
          <w:rtl/>
        </w:rPr>
        <w:t xml:space="preserve"> </w:t>
      </w:r>
      <w:r>
        <w:rPr>
          <w:rFonts w:cs="Arial" w:hint="cs"/>
          <w:rtl/>
        </w:rPr>
        <w:t xml:space="preserve">כן </w:t>
      </w:r>
      <w:r>
        <w:rPr>
          <w:rFonts w:cs="Arial"/>
          <w:rtl/>
        </w:rPr>
        <w:t>כתבו התוספות (</w:t>
      </w:r>
      <w:r>
        <w:rPr>
          <w:rFonts w:cs="Arial" w:hint="cs"/>
          <w:rtl/>
        </w:rPr>
        <w:t>פ' מציאת האשה סז.</w:t>
      </w:r>
      <w:r>
        <w:rPr>
          <w:rFonts w:cs="Arial"/>
          <w:rtl/>
        </w:rPr>
        <w:t>) והרא"ש (</w:t>
      </w:r>
      <w:r>
        <w:rPr>
          <w:rFonts w:cs="Arial" w:hint="cs"/>
          <w:rtl/>
        </w:rPr>
        <w:t xml:space="preserve">פ' מציאת האשה </w:t>
      </w:r>
      <w:r>
        <w:rPr>
          <w:rFonts w:cs="Arial"/>
          <w:rtl/>
        </w:rPr>
        <w:t>סי' ה) בפשיטות דאין האשה גובה ממטלטלין שמכר הבעל</w:t>
      </w:r>
      <w:r>
        <w:rPr>
          <w:rFonts w:cs="Arial" w:hint="cs"/>
          <w:rtl/>
        </w:rPr>
        <w:t>.</w:t>
      </w:r>
      <w:r>
        <w:rPr>
          <w:rFonts w:cs="Arial"/>
          <w:rtl/>
        </w:rPr>
        <w:t xml:space="preserve"> ובקידושין פרק האומר (שם) נסתפק הרא"ש אי גביא כתובה ממתנה</w:t>
      </w:r>
      <w:r>
        <w:rPr>
          <w:rFonts w:cs="Arial" w:hint="cs"/>
          <w:rtl/>
        </w:rPr>
        <w:t>,</w:t>
      </w:r>
      <w:r>
        <w:rPr>
          <w:rFonts w:cs="Arial"/>
          <w:rtl/>
        </w:rPr>
        <w:t xml:space="preserve"> והאריך בדבר</w:t>
      </w:r>
      <w:r>
        <w:rPr>
          <w:rFonts w:cs="Arial" w:hint="cs"/>
          <w:rtl/>
        </w:rPr>
        <w:t>.</w:t>
      </w:r>
      <w:r>
        <w:rPr>
          <w:rFonts w:cs="Arial"/>
          <w:rtl/>
        </w:rPr>
        <w:t xml:space="preserve"> ובסוף כתב וז"ל</w:t>
      </w:r>
      <w:r>
        <w:rPr>
          <w:rFonts w:cs="Arial" w:hint="cs"/>
          <w:rtl/>
        </w:rPr>
        <w:t>:</w:t>
      </w:r>
      <w:r>
        <w:rPr>
          <w:rFonts w:cs="Arial"/>
          <w:rtl/>
        </w:rPr>
        <w:t xml:space="preserve"> ולענין פסק הלכה</w:t>
      </w:r>
      <w:r>
        <w:rPr>
          <w:rFonts w:cs="Arial" w:hint="cs"/>
          <w:rtl/>
        </w:rPr>
        <w:t>,</w:t>
      </w:r>
      <w:r>
        <w:rPr>
          <w:rFonts w:cs="Arial"/>
          <w:rtl/>
        </w:rPr>
        <w:t xml:space="preserve"> הכי הלכתא דעדיפא כח מתנה מכח ירושה</w:t>
      </w:r>
      <w:r>
        <w:rPr>
          <w:rFonts w:cs="Arial" w:hint="cs"/>
          <w:rtl/>
        </w:rPr>
        <w:t>,</w:t>
      </w:r>
      <w:r>
        <w:rPr>
          <w:rFonts w:cs="Arial"/>
          <w:rtl/>
        </w:rPr>
        <w:t xml:space="preserve"> כדמוכחא ההיא דפרק שנים אוחזים (ב"מ יב:)</w:t>
      </w:r>
      <w:r>
        <w:rPr>
          <w:rFonts w:cs="Arial" w:hint="cs"/>
          <w:rtl/>
        </w:rPr>
        <w:t>.</w:t>
      </w:r>
      <w:r>
        <w:rPr>
          <w:rFonts w:cs="Arial"/>
          <w:rtl/>
        </w:rPr>
        <w:t xml:space="preserve"> וההיא דפרק נושאים (יבמות צט.) איכא לאוקמי במתנת שכיב מרע</w:t>
      </w:r>
      <w:r>
        <w:rPr>
          <w:rFonts w:cs="Arial" w:hint="cs"/>
          <w:rtl/>
        </w:rPr>
        <w:t>.</w:t>
      </w:r>
      <w:r>
        <w:rPr>
          <w:rFonts w:cs="Arial"/>
          <w:rtl/>
        </w:rPr>
        <w:t xml:space="preserve"> הילכך אפילו כשתקנו הגאונים דכתובה ומזונות גבו ממטלטלי דיתמי</w:t>
      </w:r>
      <w:r>
        <w:rPr>
          <w:rFonts w:cs="Arial" w:hint="cs"/>
          <w:rtl/>
        </w:rPr>
        <w:t>,</w:t>
      </w:r>
      <w:r>
        <w:rPr>
          <w:rFonts w:cs="Arial"/>
          <w:rtl/>
        </w:rPr>
        <w:t xml:space="preserve"> ממתנת בריא לא גבו עכ"ל. וכ"כ התוספות בפרק נערה שנתפתתה (מט: ד"ה הוא) וז"ל: ולפי מה שתקנו הגאונים דאשה גובה כתובה ומזונות ממטלטלי דיתמי</w:t>
      </w:r>
      <w:r>
        <w:rPr>
          <w:rFonts w:cs="Arial" w:hint="cs"/>
          <w:rtl/>
        </w:rPr>
        <w:t>,</w:t>
      </w:r>
      <w:r>
        <w:rPr>
          <w:rFonts w:cs="Arial"/>
          <w:rtl/>
        </w:rPr>
        <w:t xml:space="preserve"> אע</w:t>
      </w:r>
      <w:r>
        <w:rPr>
          <w:rFonts w:cs="Arial" w:hint="cs"/>
          <w:rtl/>
        </w:rPr>
        <w:t>"</w:t>
      </w:r>
      <w:r>
        <w:rPr>
          <w:rFonts w:cs="Arial"/>
          <w:rtl/>
        </w:rPr>
        <w:t>ג דירושה הויא דאורייתא</w:t>
      </w:r>
      <w:r>
        <w:rPr>
          <w:rFonts w:cs="Arial" w:hint="cs"/>
          <w:rtl/>
        </w:rPr>
        <w:t>,</w:t>
      </w:r>
      <w:r>
        <w:rPr>
          <w:rFonts w:cs="Arial"/>
          <w:rtl/>
        </w:rPr>
        <w:t xml:space="preserve"> כל שכן דגביא ממטלטלי דמתנת שכיב מרע דרבנן</w:t>
      </w:r>
      <w:r>
        <w:rPr>
          <w:rFonts w:cs="Arial" w:hint="cs"/>
          <w:rtl/>
        </w:rPr>
        <w:t>,</w:t>
      </w:r>
      <w:r>
        <w:rPr>
          <w:rFonts w:cs="Arial"/>
          <w:rtl/>
        </w:rPr>
        <w:t xml:space="preserve"> דכה</w:t>
      </w:r>
      <w:r>
        <w:rPr>
          <w:rFonts w:cs="Arial" w:hint="cs"/>
          <w:rtl/>
        </w:rPr>
        <w:t>"</w:t>
      </w:r>
      <w:r>
        <w:rPr>
          <w:rFonts w:cs="Arial"/>
          <w:rtl/>
        </w:rPr>
        <w:t>ג אמרינן בפרק יש נוחלין (קלג.)</w:t>
      </w:r>
      <w:r>
        <w:rPr>
          <w:rFonts w:cs="Arial" w:hint="cs"/>
          <w:rtl/>
        </w:rPr>
        <w:t>.</w:t>
      </w:r>
      <w:r>
        <w:rPr>
          <w:rFonts w:cs="Arial"/>
          <w:rtl/>
        </w:rPr>
        <w:t xml:space="preserve"> אבל מטלטלי דמתנת בריא דהויא דאורייתא </w:t>
      </w:r>
      <w:r>
        <w:rPr>
          <w:rFonts w:cs="Arial" w:hint="cs"/>
          <w:rtl/>
        </w:rPr>
        <w:t xml:space="preserve">- </w:t>
      </w:r>
      <w:r>
        <w:rPr>
          <w:rFonts w:cs="Arial"/>
          <w:rtl/>
        </w:rPr>
        <w:t>לא גביא כתובתה</w:t>
      </w:r>
      <w:r>
        <w:rPr>
          <w:rFonts w:cs="Arial" w:hint="cs"/>
          <w:rtl/>
        </w:rPr>
        <w:t>...</w:t>
      </w:r>
      <w:r>
        <w:rPr>
          <w:rFonts w:cs="Arial"/>
          <w:rtl/>
        </w:rPr>
        <w:t xml:space="preserve"> עכ"ל</w:t>
      </w:r>
      <w:r>
        <w:rPr>
          <w:rFonts w:cs="Arial" w:hint="cs"/>
          <w:rtl/>
        </w:rPr>
        <w:t>, ב"י.</w:t>
      </w:r>
    </w:p>
  </w:footnote>
  <w:footnote w:id="1861">
    <w:p w14:paraId="18AF35E7" w14:textId="2BDAB57D" w:rsidR="00780041" w:rsidRPr="003D10C3" w:rsidRDefault="00780041" w:rsidP="00780041">
      <w:pPr>
        <w:pStyle w:val="a5"/>
        <w:rPr>
          <w:rFonts w:cs="Arial"/>
        </w:rPr>
      </w:pPr>
      <w:r>
        <w:rPr>
          <w:rStyle w:val="a7"/>
        </w:rPr>
        <w:footnoteRef/>
      </w:r>
      <w:r>
        <w:rPr>
          <w:rtl/>
        </w:rPr>
        <w:t xml:space="preserve"> </w:t>
      </w:r>
      <w:r w:rsidRPr="00E40325">
        <w:rPr>
          <w:rFonts w:cs="Arial"/>
          <w:rtl/>
        </w:rPr>
        <w:t xml:space="preserve">וכן פסק המרדכי </w:t>
      </w:r>
      <w:r w:rsidRPr="00E40325">
        <w:rPr>
          <w:rFonts w:cs="Arial" w:hint="cs"/>
          <w:sz w:val="16"/>
          <w:szCs w:val="16"/>
          <w:rtl/>
        </w:rPr>
        <w:t>(</w:t>
      </w:r>
      <w:r w:rsidRPr="00E40325">
        <w:rPr>
          <w:rFonts w:cs="Arial"/>
          <w:sz w:val="16"/>
          <w:szCs w:val="16"/>
          <w:rtl/>
        </w:rPr>
        <w:t>פ</w:t>
      </w:r>
      <w:r w:rsidRPr="00E40325">
        <w:rPr>
          <w:rFonts w:cs="Arial" w:hint="cs"/>
          <w:sz w:val="16"/>
          <w:szCs w:val="16"/>
          <w:rtl/>
        </w:rPr>
        <w:t>'</w:t>
      </w:r>
      <w:r w:rsidRPr="00E40325">
        <w:rPr>
          <w:rFonts w:cs="Arial"/>
          <w:sz w:val="16"/>
          <w:szCs w:val="16"/>
          <w:rtl/>
        </w:rPr>
        <w:t xml:space="preserve"> ב' דייני גזירות סי' ער</w:t>
      </w:r>
      <w:r w:rsidRPr="00E40325">
        <w:rPr>
          <w:rFonts w:cs="Arial" w:hint="cs"/>
          <w:sz w:val="16"/>
          <w:szCs w:val="16"/>
          <w:rtl/>
        </w:rPr>
        <w:t>,</w:t>
      </w:r>
      <w:r w:rsidRPr="00E40325">
        <w:rPr>
          <w:rFonts w:cs="Arial"/>
          <w:sz w:val="16"/>
          <w:szCs w:val="16"/>
          <w:rtl/>
        </w:rPr>
        <w:t xml:space="preserve"> ופרק מי שמת ב"ב סי' תרל</w:t>
      </w:r>
      <w:r w:rsidRPr="00E40325">
        <w:rPr>
          <w:rFonts w:cs="Arial" w:hint="cs"/>
          <w:sz w:val="16"/>
          <w:szCs w:val="16"/>
          <w:rtl/>
        </w:rPr>
        <w:t>,</w:t>
      </w:r>
      <w:r w:rsidRPr="00E40325">
        <w:rPr>
          <w:rFonts w:cs="Arial"/>
          <w:sz w:val="16"/>
          <w:szCs w:val="16"/>
          <w:rtl/>
        </w:rPr>
        <w:t xml:space="preserve"> ופרק נערה שם)</w:t>
      </w:r>
      <w:r w:rsidRPr="00E40325">
        <w:rPr>
          <w:rFonts w:cs="Arial"/>
          <w:rtl/>
        </w:rPr>
        <w:t xml:space="preserve"> בשם מוהר"ם</w:t>
      </w:r>
      <w:r>
        <w:rPr>
          <w:rFonts w:cs="Arial" w:hint="cs"/>
          <w:rtl/>
        </w:rPr>
        <w:t>.</w:t>
      </w:r>
      <w:r w:rsidRPr="00E40325">
        <w:rPr>
          <w:rFonts w:cs="Arial"/>
          <w:rtl/>
        </w:rPr>
        <w:t xml:space="preserve"> ובהגהות דב"ב (סי' תרסח)</w:t>
      </w:r>
      <w:r>
        <w:rPr>
          <w:rFonts w:cs="Arial" w:hint="cs"/>
          <w:rtl/>
        </w:rPr>
        <w:t>.</w:t>
      </w:r>
      <w:r w:rsidRPr="00E40325">
        <w:rPr>
          <w:rFonts w:cs="Arial"/>
          <w:rtl/>
        </w:rPr>
        <w:t xml:space="preserve"> וכן הוא בחו</w:t>
      </w:r>
      <w:r>
        <w:rPr>
          <w:rFonts w:cs="Arial" w:hint="cs"/>
          <w:rtl/>
        </w:rPr>
        <w:t>"</w:t>
      </w:r>
      <w:r w:rsidRPr="00E40325">
        <w:rPr>
          <w:rFonts w:cs="Arial"/>
          <w:rtl/>
        </w:rPr>
        <w:t>מ סימן רנ"ב (ס"א עמ' עא) ועיין שם</w:t>
      </w:r>
      <w:r>
        <w:rPr>
          <w:rFonts w:cs="Arial" w:hint="cs"/>
          <w:rtl/>
        </w:rPr>
        <w:t>..</w:t>
      </w:r>
      <w:r w:rsidRPr="00E40325">
        <w:rPr>
          <w:rFonts w:cs="Arial"/>
          <w:rtl/>
        </w:rPr>
        <w:t>. ו</w:t>
      </w:r>
      <w:r>
        <w:rPr>
          <w:rFonts w:cs="Arial" w:hint="cs"/>
          <w:rtl/>
        </w:rPr>
        <w:t xml:space="preserve">כ"פ </w:t>
      </w:r>
      <w:r w:rsidRPr="00E40325">
        <w:rPr>
          <w:rFonts w:cs="Arial"/>
          <w:rtl/>
        </w:rPr>
        <w:t>מהרא"י בפסקיו (תרו</w:t>
      </w:r>
      <w:r>
        <w:rPr>
          <w:rFonts w:cs="Arial" w:hint="cs"/>
          <w:rtl/>
        </w:rPr>
        <w:t>ה"ד</w:t>
      </w:r>
      <w:r w:rsidRPr="00E40325">
        <w:rPr>
          <w:rFonts w:cs="Arial"/>
          <w:rtl/>
        </w:rPr>
        <w:t xml:space="preserve"> ח"ב סי' פו</w:t>
      </w:r>
      <w:r>
        <w:rPr>
          <w:rFonts w:cs="Arial" w:hint="cs"/>
          <w:rtl/>
        </w:rPr>
        <w:t>)...</w:t>
      </w:r>
      <w:r w:rsidRPr="00E40325">
        <w:rPr>
          <w:rFonts w:cs="Arial"/>
          <w:rtl/>
        </w:rPr>
        <w:t xml:space="preserve"> וע"ש ולקמן סימן ק"ו (אות ב) יתבאר דאם צוה לפניה מתנת שכ"מ ושתקה הוי מחילה</w:t>
      </w:r>
      <w:r>
        <w:rPr>
          <w:rFonts w:cs="Arial" w:hint="cs"/>
          <w:rtl/>
        </w:rPr>
        <w:t>.</w:t>
      </w:r>
      <w:r w:rsidRPr="00E40325">
        <w:rPr>
          <w:rFonts w:cs="Arial"/>
          <w:rtl/>
        </w:rPr>
        <w:t xml:space="preserve"> ועיין מדינים אלו </w:t>
      </w:r>
      <w:r>
        <w:rPr>
          <w:rFonts w:cs="Arial" w:hint="cs"/>
          <w:rtl/>
        </w:rPr>
        <w:t>בחו"מ</w:t>
      </w:r>
      <w:r w:rsidRPr="00E40325">
        <w:rPr>
          <w:rFonts w:cs="Arial"/>
          <w:rtl/>
        </w:rPr>
        <w:t xml:space="preserve"> סי</w:t>
      </w:r>
      <w:r>
        <w:rPr>
          <w:rFonts w:cs="Arial" w:hint="cs"/>
          <w:rtl/>
        </w:rPr>
        <w:t>'</w:t>
      </w:r>
      <w:r w:rsidRPr="00E40325">
        <w:rPr>
          <w:rFonts w:cs="Arial"/>
          <w:rtl/>
        </w:rPr>
        <w:t xml:space="preserve"> רנ"ה (אות א)</w:t>
      </w:r>
      <w:r>
        <w:rPr>
          <w:rFonts w:cs="Arial" w:hint="cs"/>
          <w:rtl/>
        </w:rPr>
        <w:t>, דרכ"מ (אות ז).</w:t>
      </w:r>
    </w:p>
  </w:footnote>
  <w:footnote w:id="1862">
    <w:p w14:paraId="4561E30A" w14:textId="77777777" w:rsidR="00306455" w:rsidRDefault="00306455" w:rsidP="00306455">
      <w:pPr>
        <w:pStyle w:val="a5"/>
        <w:rPr>
          <w:rtl/>
        </w:rPr>
      </w:pPr>
      <w:r>
        <w:rPr>
          <w:rStyle w:val="a7"/>
        </w:rPr>
        <w:footnoteRef/>
      </w:r>
      <w:r>
        <w:rPr>
          <w:rtl/>
        </w:rPr>
        <w:t xml:space="preserve"> </w:t>
      </w:r>
      <w:r w:rsidRPr="00E40325">
        <w:rPr>
          <w:rFonts w:cs="Arial"/>
          <w:rtl/>
        </w:rPr>
        <w:t xml:space="preserve">ובתשובת ראב"ן במרדכי </w:t>
      </w:r>
      <w:r>
        <w:rPr>
          <w:rFonts w:cs="Arial" w:hint="cs"/>
          <w:rtl/>
        </w:rPr>
        <w:t>(</w:t>
      </w:r>
      <w:r w:rsidRPr="00E40325">
        <w:rPr>
          <w:rFonts w:cs="Arial"/>
          <w:rtl/>
        </w:rPr>
        <w:t>פרק אלמנה נזונת סי' רמח</w:t>
      </w:r>
      <w:r>
        <w:rPr>
          <w:rFonts w:cs="Arial" w:hint="cs"/>
          <w:rtl/>
        </w:rPr>
        <w:t>,</w:t>
      </w:r>
      <w:r w:rsidRPr="00E40325">
        <w:rPr>
          <w:rFonts w:cs="Arial"/>
          <w:rtl/>
        </w:rPr>
        <w:t xml:space="preserve"> ופרק מי שמת סי' תרלא) משמע </w:t>
      </w:r>
      <w:r>
        <w:rPr>
          <w:rFonts w:cs="Arial" w:hint="cs"/>
          <w:rtl/>
        </w:rPr>
        <w:t>ד</w:t>
      </w:r>
      <w:r w:rsidRPr="00E40325">
        <w:rPr>
          <w:rFonts w:cs="Arial"/>
          <w:rtl/>
        </w:rPr>
        <w:t xml:space="preserve">במתנת שכיב מרע </w:t>
      </w:r>
      <w:r>
        <w:rPr>
          <w:rFonts w:cs="Arial" w:hint="cs"/>
          <w:rtl/>
        </w:rPr>
        <w:t xml:space="preserve">רק </w:t>
      </w:r>
      <w:r w:rsidRPr="00E40325">
        <w:rPr>
          <w:rFonts w:cs="Arial"/>
          <w:rtl/>
        </w:rPr>
        <w:t>אם תפסו המקבלין אין מוציאין מהם</w:t>
      </w:r>
      <w:r>
        <w:rPr>
          <w:rFonts w:cs="Arial" w:hint="cs"/>
          <w:rtl/>
        </w:rPr>
        <w:t>, ע"פ דרכ"מ (אות ז).</w:t>
      </w:r>
      <w:r w:rsidRPr="00E40325">
        <w:rPr>
          <w:rFonts w:cs="Arial"/>
          <w:rtl/>
        </w:rPr>
        <w:t xml:space="preserve"> </w:t>
      </w:r>
    </w:p>
  </w:footnote>
  <w:footnote w:id="1863">
    <w:p w14:paraId="25CE11CD" w14:textId="69E9A50F" w:rsidR="005E5840" w:rsidRDefault="005E5840" w:rsidP="005E5840">
      <w:pPr>
        <w:pStyle w:val="a5"/>
        <w:rPr>
          <w:rtl/>
        </w:rPr>
      </w:pPr>
      <w:r>
        <w:rPr>
          <w:rStyle w:val="a7"/>
        </w:rPr>
        <w:footnoteRef/>
      </w:r>
      <w:r>
        <w:rPr>
          <w:rtl/>
        </w:rPr>
        <w:t xml:space="preserve"> </w:t>
      </w:r>
      <w:r w:rsidRPr="00F02E86">
        <w:rPr>
          <w:rFonts w:cs="Arial"/>
          <w:rtl/>
        </w:rPr>
        <w:t>וכן הוא בהגה</w:t>
      </w:r>
      <w:r>
        <w:rPr>
          <w:rFonts w:cs="Arial" w:hint="cs"/>
          <w:rtl/>
        </w:rPr>
        <w:t>"</w:t>
      </w:r>
      <w:r w:rsidRPr="00F02E86">
        <w:rPr>
          <w:rFonts w:cs="Arial"/>
          <w:rtl/>
        </w:rPr>
        <w:t xml:space="preserve">מ </w:t>
      </w:r>
      <w:r w:rsidR="000304DD">
        <w:rPr>
          <w:rFonts w:cs="Arial" w:hint="cs"/>
          <w:rtl/>
        </w:rPr>
        <w:t>(</w:t>
      </w:r>
      <w:r w:rsidRPr="00F02E86">
        <w:rPr>
          <w:rFonts w:cs="Arial"/>
          <w:rtl/>
        </w:rPr>
        <w:t>פי"ו דאישות אות ד) דאין מתנת בריא מפקיע מידי כתובה אלא בנתן לאחר אבל לא ליורשיו</w:t>
      </w:r>
      <w:r>
        <w:rPr>
          <w:rFonts w:cs="Arial" w:hint="cs"/>
          <w:rtl/>
        </w:rPr>
        <w:t>.</w:t>
      </w:r>
      <w:r w:rsidRPr="00F02E86">
        <w:rPr>
          <w:rFonts w:cs="Arial"/>
          <w:rtl/>
        </w:rPr>
        <w:t xml:space="preserve"> וכ"כ מהרא"י </w:t>
      </w:r>
      <w:r>
        <w:rPr>
          <w:rFonts w:cs="Arial" w:hint="cs"/>
          <w:rtl/>
        </w:rPr>
        <w:t>(</w:t>
      </w:r>
      <w:r w:rsidRPr="00F02E86">
        <w:rPr>
          <w:rFonts w:cs="Arial"/>
          <w:rtl/>
        </w:rPr>
        <w:t>סי' פו</w:t>
      </w:r>
      <w:r>
        <w:rPr>
          <w:rFonts w:cs="Arial" w:hint="cs"/>
          <w:rtl/>
        </w:rPr>
        <w:t>).</w:t>
      </w:r>
      <w:r w:rsidRPr="00F02E86">
        <w:rPr>
          <w:rFonts w:cs="Arial"/>
          <w:rtl/>
        </w:rPr>
        <w:t xml:space="preserve"> וכ"כ מהרי"ו </w:t>
      </w:r>
      <w:r>
        <w:rPr>
          <w:rFonts w:cs="Arial" w:hint="cs"/>
          <w:rtl/>
        </w:rPr>
        <w:t>(</w:t>
      </w:r>
      <w:r w:rsidRPr="00F02E86">
        <w:rPr>
          <w:rFonts w:cs="Arial"/>
          <w:rtl/>
        </w:rPr>
        <w:t>בתשובה סי</w:t>
      </w:r>
      <w:r>
        <w:rPr>
          <w:rFonts w:cs="Arial" w:hint="cs"/>
          <w:rtl/>
        </w:rPr>
        <w:t xml:space="preserve">' </w:t>
      </w:r>
      <w:r w:rsidRPr="00F02E86">
        <w:rPr>
          <w:rFonts w:cs="Arial"/>
          <w:rtl/>
        </w:rPr>
        <w:t>קנו</w:t>
      </w:r>
      <w:r>
        <w:rPr>
          <w:rFonts w:cs="Arial" w:hint="cs"/>
          <w:rtl/>
        </w:rPr>
        <w:t>)</w:t>
      </w:r>
      <w:r w:rsidRPr="00F02E86">
        <w:rPr>
          <w:rFonts w:cs="Arial"/>
          <w:rtl/>
        </w:rPr>
        <w:t xml:space="preserve"> וכתב שם דמכל שכן אם צוה לקברו ולהזכיר נשמתו מנכסיו</w:t>
      </w:r>
      <w:r>
        <w:rPr>
          <w:rFonts w:cs="Arial" w:hint="cs"/>
          <w:rtl/>
        </w:rPr>
        <w:t>,</w:t>
      </w:r>
      <w:r w:rsidRPr="00F02E86">
        <w:rPr>
          <w:rFonts w:cs="Arial"/>
          <w:rtl/>
        </w:rPr>
        <w:t xml:space="preserve"> דלא מהני</w:t>
      </w:r>
      <w:r>
        <w:rPr>
          <w:rFonts w:cs="Arial" w:hint="cs"/>
          <w:rtl/>
        </w:rPr>
        <w:t>,</w:t>
      </w:r>
      <w:r w:rsidRPr="00F02E86">
        <w:rPr>
          <w:rFonts w:cs="Arial"/>
          <w:rtl/>
        </w:rPr>
        <w:t xml:space="preserve"> ואשה גובה כתובתה מהן</w:t>
      </w:r>
      <w:r>
        <w:rPr>
          <w:rFonts w:hint="cs"/>
          <w:rtl/>
        </w:rPr>
        <w:t>, דרכ"מ (אות יא).</w:t>
      </w:r>
    </w:p>
  </w:footnote>
  <w:footnote w:id="1864">
    <w:p w14:paraId="3440C72D" w14:textId="77777777" w:rsidR="000304DD" w:rsidRDefault="000304DD" w:rsidP="000304DD">
      <w:pPr>
        <w:pStyle w:val="a5"/>
        <w:rPr>
          <w:rtl/>
        </w:rPr>
      </w:pPr>
      <w:r>
        <w:rPr>
          <w:rStyle w:val="a7"/>
        </w:rPr>
        <w:footnoteRef/>
      </w:r>
      <w:r>
        <w:rPr>
          <w:rtl/>
        </w:rPr>
        <w:t xml:space="preserve"> </w:t>
      </w:r>
      <w:r w:rsidRPr="00F02E86">
        <w:rPr>
          <w:rFonts w:cs="Arial"/>
          <w:rtl/>
        </w:rPr>
        <w:t>וצ"ע דבסוף פ</w:t>
      </w:r>
      <w:r>
        <w:rPr>
          <w:rFonts w:cs="Arial" w:hint="cs"/>
          <w:rtl/>
        </w:rPr>
        <w:t>'</w:t>
      </w:r>
      <w:r w:rsidRPr="00F02E86">
        <w:rPr>
          <w:rFonts w:cs="Arial"/>
          <w:rtl/>
        </w:rPr>
        <w:t xml:space="preserve"> יש נוחלין (</w:t>
      </w:r>
      <w:r>
        <w:rPr>
          <w:rFonts w:cs="Arial" w:hint="cs"/>
          <w:rtl/>
        </w:rPr>
        <w:t>ב</w:t>
      </w:r>
      <w:r w:rsidRPr="00F02E86">
        <w:rPr>
          <w:rFonts w:cs="Arial"/>
          <w:rtl/>
        </w:rPr>
        <w:t>מרדכי סי' תקצט) משמע שם דעדיפא מתנה זו מירושה וע"ל סימן קי"א (אות א)</w:t>
      </w:r>
      <w:r>
        <w:rPr>
          <w:rFonts w:cs="Arial" w:hint="cs"/>
          <w:rtl/>
        </w:rPr>
        <w:t>, דרכ"מ (אות יא)</w:t>
      </w:r>
      <w:r w:rsidRPr="00F02E86">
        <w:rPr>
          <w:rFonts w:cs="Arial"/>
          <w:rtl/>
        </w:rPr>
        <w:t>.</w:t>
      </w:r>
    </w:p>
  </w:footnote>
  <w:footnote w:id="1865">
    <w:p w14:paraId="6D8DBEEF" w14:textId="13AA8456" w:rsidR="005E5840" w:rsidRDefault="005E5840" w:rsidP="005E5840">
      <w:pPr>
        <w:pStyle w:val="a5"/>
        <w:rPr>
          <w:rtl/>
        </w:rPr>
      </w:pPr>
      <w:r>
        <w:rPr>
          <w:rStyle w:val="a7"/>
        </w:rPr>
        <w:footnoteRef/>
      </w:r>
      <w:r>
        <w:rPr>
          <w:rtl/>
        </w:rPr>
        <w:t xml:space="preserve"> </w:t>
      </w:r>
      <w:r w:rsidRPr="00F02E86">
        <w:rPr>
          <w:rFonts w:cs="Arial"/>
          <w:rtl/>
        </w:rPr>
        <w:t>וצ"ע דמשמע דאם זיכה לו מחיים מפקינן מידי כתובה וזה סותר דבריו שבפרק נערה ובהגהות מיימוני כמו שכתבתי בסמוך</w:t>
      </w:r>
      <w:r>
        <w:rPr>
          <w:rFonts w:cs="Arial" w:hint="cs"/>
          <w:rtl/>
        </w:rPr>
        <w:t>, דרכ"מ (אות יא)</w:t>
      </w:r>
      <w:r w:rsidRPr="00F02E86">
        <w:rPr>
          <w:rFonts w:cs="Arial"/>
          <w:rtl/>
        </w:rPr>
        <w:t>.</w:t>
      </w:r>
      <w:r w:rsidR="000304DD">
        <w:rPr>
          <w:rFonts w:hint="cs"/>
          <w:rtl/>
        </w:rPr>
        <w:t xml:space="preserve"> ולא הבנתי דבריו, דהרי מהר"ם כתב בפירוש שלא זיכה לו אלא לכשישא אשה, ואז היה כבר מת, א"כ לא זיכה לו מחיים וסתירה ליכא. וצל"ע.</w:t>
      </w:r>
    </w:p>
  </w:footnote>
  <w:footnote w:id="1866">
    <w:p w14:paraId="011A7708" w14:textId="77777777" w:rsidR="00C24BC5" w:rsidRDefault="00C24BC5" w:rsidP="00C24BC5">
      <w:pPr>
        <w:pStyle w:val="a5"/>
      </w:pPr>
      <w:r>
        <w:rPr>
          <w:rStyle w:val="a7"/>
        </w:rPr>
        <w:footnoteRef/>
      </w:r>
      <w:r>
        <w:rPr>
          <w:rtl/>
        </w:rPr>
        <w:t xml:space="preserve"> </w:t>
      </w:r>
      <w:r w:rsidRPr="00A42E68">
        <w:rPr>
          <w:rFonts w:cs="Arial"/>
          <w:rtl/>
        </w:rPr>
        <w:t xml:space="preserve">וכתב הרב המגיד מדברי רבינו נראה שאע"פ שלא כתב לה </w:t>
      </w:r>
      <w:r>
        <w:rPr>
          <w:rFonts w:cs="Arial" w:hint="cs"/>
          <w:rtl/>
        </w:rPr>
        <w:t>'</w:t>
      </w:r>
      <w:r w:rsidRPr="00A42E68">
        <w:rPr>
          <w:rFonts w:cs="Arial"/>
          <w:rtl/>
        </w:rPr>
        <w:t>מטלטלי אגב מקרקעי</w:t>
      </w:r>
      <w:r>
        <w:rPr>
          <w:rFonts w:cs="Arial" w:hint="cs"/>
          <w:rtl/>
        </w:rPr>
        <w:t>'</w:t>
      </w:r>
      <w:r w:rsidRPr="00A42E68">
        <w:rPr>
          <w:rFonts w:cs="Arial"/>
          <w:rtl/>
        </w:rPr>
        <w:t xml:space="preserve"> אלא </w:t>
      </w:r>
      <w:r>
        <w:rPr>
          <w:rFonts w:cs="Arial" w:hint="cs"/>
          <w:rtl/>
        </w:rPr>
        <w:t>'</w:t>
      </w:r>
      <w:r w:rsidRPr="00A42E68">
        <w:rPr>
          <w:rFonts w:cs="Arial"/>
          <w:rtl/>
        </w:rPr>
        <w:t>מקרקעי ומטלטלי</w:t>
      </w:r>
      <w:r>
        <w:rPr>
          <w:rFonts w:cs="Arial" w:hint="cs"/>
          <w:rtl/>
        </w:rPr>
        <w:t>' -</w:t>
      </w:r>
      <w:r w:rsidRPr="00A42E68">
        <w:rPr>
          <w:rFonts w:cs="Arial"/>
          <w:rtl/>
        </w:rPr>
        <w:t xml:space="preserve"> גובה היא מן הדין מן היורשים אפילו מטלטלין</w:t>
      </w:r>
      <w:r>
        <w:rPr>
          <w:rFonts w:cs="Arial" w:hint="cs"/>
          <w:rtl/>
        </w:rPr>
        <w:t>.</w:t>
      </w:r>
      <w:r w:rsidRPr="00A42E68">
        <w:rPr>
          <w:rFonts w:cs="Arial"/>
          <w:rtl/>
        </w:rPr>
        <w:t xml:space="preserve"> וכ"כ הרשב"א בסוף כתובות</w:t>
      </w:r>
      <w:r>
        <w:rPr>
          <w:rFonts w:cs="Arial" w:hint="cs"/>
          <w:rtl/>
        </w:rPr>
        <w:t>.</w:t>
      </w:r>
      <w:r w:rsidRPr="00A42E68">
        <w:rPr>
          <w:rFonts w:cs="Arial"/>
          <w:rtl/>
        </w:rPr>
        <w:t xml:space="preserve"> ואם כתב לה מטלטלי אגב מקרקעי אפילו מן הלקוחות גובה מטלטלין כמבואר פי"ח מהלכות מלוה (ה"ב)</w:t>
      </w:r>
      <w:r>
        <w:rPr>
          <w:rFonts w:cs="Arial" w:hint="cs"/>
          <w:rtl/>
        </w:rPr>
        <w:t>, ב"י. וכתב עוד הב"י (בבדה"ב) ל</w:t>
      </w:r>
      <w:r w:rsidRPr="00A42E68">
        <w:rPr>
          <w:rFonts w:cs="Arial"/>
          <w:rtl/>
        </w:rPr>
        <w:t>עיין בהרי</w:t>
      </w:r>
      <w:r>
        <w:rPr>
          <w:rFonts w:cs="Arial" w:hint="cs"/>
          <w:rtl/>
        </w:rPr>
        <w:t>ב"ש</w:t>
      </w:r>
      <w:r w:rsidRPr="00A42E68">
        <w:rPr>
          <w:rFonts w:cs="Arial"/>
          <w:rtl/>
        </w:rPr>
        <w:t xml:space="preserve"> </w:t>
      </w:r>
      <w:r>
        <w:rPr>
          <w:rFonts w:cs="Arial" w:hint="cs"/>
          <w:rtl/>
        </w:rPr>
        <w:t>(סי' שצב).</w:t>
      </w:r>
    </w:p>
  </w:footnote>
  <w:footnote w:id="1867">
    <w:p w14:paraId="33B9C260" w14:textId="1B64C4AC" w:rsidR="00C24BC5" w:rsidRDefault="00C24BC5" w:rsidP="00F47859">
      <w:pPr>
        <w:pStyle w:val="a5"/>
        <w:rPr>
          <w:rtl/>
        </w:rPr>
      </w:pPr>
      <w:r>
        <w:rPr>
          <w:rStyle w:val="a7"/>
        </w:rPr>
        <w:footnoteRef/>
      </w:r>
      <w:r>
        <w:rPr>
          <w:rtl/>
        </w:rPr>
        <w:t xml:space="preserve"> </w:t>
      </w:r>
      <w:r w:rsidRPr="00A42E68">
        <w:rPr>
          <w:rFonts w:cs="Arial"/>
          <w:rtl/>
        </w:rPr>
        <w:t>דעת רבינו הוא שאין לומר בזה אע</w:t>
      </w:r>
      <w:r>
        <w:rPr>
          <w:rFonts w:cs="Arial" w:hint="cs"/>
          <w:rtl/>
        </w:rPr>
        <w:t>"</w:t>
      </w:r>
      <w:r w:rsidRPr="00A42E68">
        <w:rPr>
          <w:rFonts w:cs="Arial"/>
          <w:rtl/>
        </w:rPr>
        <w:t>פ שלא נכתב כמי שנכתב דמי</w:t>
      </w:r>
      <w:r w:rsidR="00F47859">
        <w:rPr>
          <w:rFonts w:cs="Arial" w:hint="cs"/>
          <w:rtl/>
        </w:rPr>
        <w:t>,</w:t>
      </w:r>
      <w:r w:rsidRPr="00A42E68">
        <w:rPr>
          <w:rFonts w:cs="Arial"/>
          <w:rtl/>
        </w:rPr>
        <w:t xml:space="preserve"> שאין זה תנאי ב"ד כיון שנתחדש אחר התלמוד ע</w:t>
      </w:r>
      <w:r>
        <w:rPr>
          <w:rFonts w:cs="Arial" w:hint="cs"/>
          <w:rtl/>
        </w:rPr>
        <w:t>כ"ל</w:t>
      </w:r>
      <w:r>
        <w:rPr>
          <w:rFonts w:cs="Arial" w:hint="cs"/>
          <w:sz w:val="16"/>
          <w:szCs w:val="16"/>
          <w:rtl/>
        </w:rPr>
        <w:t xml:space="preserve"> [הה"מ]</w:t>
      </w:r>
      <w:r>
        <w:rPr>
          <w:rFonts w:cs="Arial" w:hint="cs"/>
          <w:rtl/>
        </w:rPr>
        <w:t xml:space="preserve">, </w:t>
      </w:r>
      <w:r w:rsidRPr="00F47859">
        <w:rPr>
          <w:rFonts w:cs="Arial" w:hint="cs"/>
          <w:b/>
          <w:bCs/>
          <w:rtl/>
        </w:rPr>
        <w:t>ב"י</w:t>
      </w:r>
      <w:r>
        <w:rPr>
          <w:rFonts w:cs="Arial" w:hint="cs"/>
          <w:rtl/>
        </w:rPr>
        <w:t>.</w:t>
      </w:r>
      <w:r w:rsidRPr="002E5679">
        <w:rPr>
          <w:rtl/>
        </w:rPr>
        <w:t xml:space="preserve"> </w:t>
      </w:r>
      <w:r w:rsidR="00F47859">
        <w:rPr>
          <w:rFonts w:cs="Arial" w:hint="cs"/>
          <w:rtl/>
        </w:rPr>
        <w:t xml:space="preserve">     </w:t>
      </w:r>
      <w:r w:rsidRPr="002E5679">
        <w:rPr>
          <w:rFonts w:cs="Arial"/>
          <w:rtl/>
        </w:rPr>
        <w:t>מיהו בכ</w:t>
      </w:r>
      <w:r>
        <w:rPr>
          <w:rFonts w:cs="Arial" w:hint="cs"/>
          <w:rtl/>
        </w:rPr>
        <w:t>ס</w:t>
      </w:r>
      <w:r w:rsidRPr="002E5679">
        <w:rPr>
          <w:rFonts w:cs="Arial"/>
          <w:rtl/>
        </w:rPr>
        <w:t>"מ כתב בשם הריב"ש דרמב"ם איירי במקום היכא דמנהג הוא לכתוב בפי' מטלטלין</w:t>
      </w:r>
      <w:r w:rsidR="00F47859">
        <w:rPr>
          <w:rFonts w:cs="Arial" w:hint="cs"/>
          <w:rtl/>
        </w:rPr>
        <w:t>,</w:t>
      </w:r>
      <w:r w:rsidRPr="002E5679">
        <w:rPr>
          <w:rFonts w:cs="Arial"/>
          <w:rtl/>
        </w:rPr>
        <w:t xml:space="preserve"> אז אם לא כתב לא נשתעבדו המטלטלים אא"כ דידע התיקון הגאונים</w:t>
      </w:r>
      <w:r w:rsidR="00F47859">
        <w:rPr>
          <w:rFonts w:cs="Arial" w:hint="cs"/>
          <w:rtl/>
        </w:rPr>
        <w:t>.</w:t>
      </w:r>
      <w:r w:rsidRPr="002E5679">
        <w:rPr>
          <w:rFonts w:cs="Arial"/>
          <w:rtl/>
        </w:rPr>
        <w:t xml:space="preserve"> ואם נתפשט התיקון בכל ישראל אמרי' אף שלא נכתב כנכת' דמי</w:t>
      </w:r>
      <w:r w:rsidR="00F47859">
        <w:rPr>
          <w:rFonts w:cs="Arial" w:hint="cs"/>
          <w:rtl/>
        </w:rPr>
        <w:t>,</w:t>
      </w:r>
      <w:r w:rsidRPr="002E5679">
        <w:rPr>
          <w:rFonts w:cs="Arial"/>
          <w:rtl/>
        </w:rPr>
        <w:t xml:space="preserve"> אלא בימי הרמב"ם עדיין לא נתפשט התיקון</w:t>
      </w:r>
      <w:r w:rsidR="00F47859">
        <w:rPr>
          <w:rFonts w:cs="Arial" w:hint="cs"/>
          <w:rtl/>
        </w:rPr>
        <w:t>.</w:t>
      </w:r>
      <w:r w:rsidRPr="002E5679">
        <w:rPr>
          <w:rFonts w:cs="Arial"/>
          <w:rtl/>
        </w:rPr>
        <w:t xml:space="preserve"> לפ"ז בזה"ז שנתפשט התיקון אמרינן אף שלא נכתב כנכתב דמי </w:t>
      </w:r>
      <w:r w:rsidR="00F47859" w:rsidRPr="00F47859">
        <w:rPr>
          <w:rFonts w:cs="Arial" w:hint="cs"/>
          <w:sz w:val="16"/>
          <w:szCs w:val="16"/>
          <w:rtl/>
        </w:rPr>
        <w:t>(</w:t>
      </w:r>
      <w:r w:rsidRPr="00F47859">
        <w:rPr>
          <w:rFonts w:cs="Arial"/>
          <w:sz w:val="16"/>
          <w:szCs w:val="16"/>
          <w:rtl/>
        </w:rPr>
        <w:t>והרא"ש פ' מציאות האשה כתב בשם ר"ת דגובין מן מטלטלין משום דכותבין מטלטלין</w:t>
      </w:r>
      <w:r w:rsidR="00F47859" w:rsidRPr="00F47859">
        <w:rPr>
          <w:rFonts w:cs="Arial" w:hint="cs"/>
          <w:sz w:val="16"/>
          <w:szCs w:val="16"/>
          <w:rtl/>
        </w:rPr>
        <w:t>,</w:t>
      </w:r>
      <w:r w:rsidRPr="00F47859">
        <w:rPr>
          <w:rFonts w:cs="Arial"/>
          <w:sz w:val="16"/>
          <w:szCs w:val="16"/>
          <w:rtl/>
        </w:rPr>
        <w:t xml:space="preserve"> ובפ' נ"ש הביא תקנו' הגאונים</w:t>
      </w:r>
      <w:r w:rsidR="00F47859" w:rsidRPr="00F47859">
        <w:rPr>
          <w:rFonts w:cs="Arial" w:hint="cs"/>
          <w:sz w:val="16"/>
          <w:szCs w:val="16"/>
          <w:rtl/>
        </w:rPr>
        <w:t>,</w:t>
      </w:r>
      <w:r w:rsidRPr="00F47859">
        <w:rPr>
          <w:rFonts w:cs="Arial"/>
          <w:sz w:val="16"/>
          <w:szCs w:val="16"/>
          <w:rtl/>
        </w:rPr>
        <w:t xml:space="preserve"> ובפ"ק דב"ק כתב מטלטלין דינם כקרקע בדורות הללו מדינ' דש"ס הואיל כל משא ומתן בהם והוי כגמל' דערבי', וכן בטח"ה סי' תי"ט כתב הטעם הואיל כל מו"מ בהם ובסי' זה כתב הטעם מחמת תקנות הגאונים או מחמת שכותבין בפירוש וצריך ישוב</w:t>
      </w:r>
      <w:r w:rsidR="00F47859">
        <w:rPr>
          <w:rFonts w:cs="Arial" w:hint="cs"/>
          <w:sz w:val="16"/>
          <w:szCs w:val="16"/>
          <w:rtl/>
        </w:rPr>
        <w:t>)</w:t>
      </w:r>
      <w:r>
        <w:rPr>
          <w:rFonts w:hint="cs"/>
          <w:rtl/>
        </w:rPr>
        <w:t xml:space="preserve">, </w:t>
      </w:r>
      <w:r w:rsidRPr="00F47859">
        <w:rPr>
          <w:rFonts w:hint="cs"/>
          <w:b/>
          <w:bCs/>
          <w:rtl/>
        </w:rPr>
        <w:t>ב"ש</w:t>
      </w:r>
      <w:r>
        <w:rPr>
          <w:rFonts w:hint="cs"/>
          <w:rtl/>
        </w:rPr>
        <w:t xml:space="preserve"> (סק"ב).</w:t>
      </w:r>
      <w:r w:rsidR="00F47859">
        <w:rPr>
          <w:rFonts w:hint="cs"/>
          <w:rtl/>
        </w:rPr>
        <w:t xml:space="preserve">     אך </w:t>
      </w:r>
      <w:r w:rsidR="00F47859" w:rsidRPr="00F47859">
        <w:rPr>
          <w:rFonts w:hint="cs"/>
          <w:b/>
          <w:bCs/>
          <w:rtl/>
        </w:rPr>
        <w:t>הש"ך</w:t>
      </w:r>
      <w:r w:rsidR="00F47859">
        <w:rPr>
          <w:rFonts w:hint="cs"/>
          <w:rtl/>
        </w:rPr>
        <w:t xml:space="preserve"> (חו"מ סי' מב סקל"ו) הבין שדברי הרמב"ם שייכים גם לאחר שנתפשתה תקנת הגאונים. ועיין בהפלאה (קו"א סי' ק).     ויש להעיר ש</w:t>
      </w:r>
      <w:r w:rsidR="00F47859" w:rsidRPr="00F47859">
        <w:rPr>
          <w:rFonts w:cs="Arial" w:hint="cs"/>
          <w:rtl/>
        </w:rPr>
        <w:t>הב"ש כתב כ</w:t>
      </w:r>
      <w:r w:rsidR="00F47859">
        <w:rPr>
          <w:rFonts w:cs="Arial" w:hint="cs"/>
          <w:rtl/>
        </w:rPr>
        <w:t>נ"ל</w:t>
      </w:r>
      <w:r w:rsidR="00F47859" w:rsidRPr="00F47859">
        <w:rPr>
          <w:rFonts w:cs="Arial" w:hint="cs"/>
          <w:rtl/>
        </w:rPr>
        <w:t xml:space="preserve"> לפי שגרס ברמב"ם כהטור</w:t>
      </w:r>
      <w:r w:rsidR="00616DAE">
        <w:rPr>
          <w:rFonts w:cs="Arial" w:hint="cs"/>
          <w:rtl/>
        </w:rPr>
        <w:t>,</w:t>
      </w:r>
      <w:r w:rsidR="00F47859" w:rsidRPr="00F47859">
        <w:rPr>
          <w:rFonts w:cs="Arial" w:hint="cs"/>
          <w:rtl/>
        </w:rPr>
        <w:t xml:space="preserve"> וז"ל הטור בשם הרמב"ם: </w:t>
      </w:r>
      <w:r w:rsidR="00F47859" w:rsidRPr="00F47859">
        <w:rPr>
          <w:rFonts w:cs="Arial"/>
          <w:rtl/>
        </w:rPr>
        <w:t>שאין כח בתקנת הגאונים לדון בה לפי שלא נתפרסם הדבר בדין תנאי כתובה שהוא תקנת סנהדרי גדולה ועד שנוציא בה ממון מן היורשים</w:t>
      </w:r>
      <w:r w:rsidR="00616DAE">
        <w:rPr>
          <w:rFonts w:cs="Arial" w:hint="cs"/>
          <w:rtl/>
        </w:rPr>
        <w:t>. עכ"ל. והגירסא שכתבתי למעלה היא הגירסא המדוייקת המובאת במהדורת הר"י קאפח והרב שילת.</w:t>
      </w:r>
    </w:p>
  </w:footnote>
  <w:footnote w:id="1868">
    <w:p w14:paraId="131761A3" w14:textId="7EB9C7A1" w:rsidR="00C24BC5" w:rsidRDefault="00C24BC5" w:rsidP="00C24BC5">
      <w:pPr>
        <w:pStyle w:val="a5"/>
      </w:pPr>
      <w:r>
        <w:rPr>
          <w:rStyle w:val="a7"/>
        </w:rPr>
        <w:footnoteRef/>
      </w:r>
      <w:r>
        <w:rPr>
          <w:rtl/>
        </w:rPr>
        <w:t xml:space="preserve"> </w:t>
      </w:r>
      <w:r>
        <w:rPr>
          <w:rFonts w:hint="cs"/>
          <w:rtl/>
        </w:rPr>
        <w:t>ו</w:t>
      </w:r>
      <w:r w:rsidR="000100D5">
        <w:rPr>
          <w:rFonts w:hint="cs"/>
          <w:rtl/>
        </w:rPr>
        <w:t>עיין לקמן ש</w:t>
      </w:r>
      <w:r>
        <w:rPr>
          <w:rFonts w:hint="cs"/>
          <w:rtl/>
        </w:rPr>
        <w:t xml:space="preserve">הרשב"א הרא"ש והר"ן (שמובאים בסמוך) חולקים על </w:t>
      </w:r>
      <w:r w:rsidR="000100D5">
        <w:rPr>
          <w:rFonts w:hint="cs"/>
          <w:rtl/>
        </w:rPr>
        <w:t>מסקנת</w:t>
      </w:r>
      <w:r>
        <w:rPr>
          <w:rFonts w:hint="cs"/>
          <w:rtl/>
        </w:rPr>
        <w:t xml:space="preserve"> הרמב"ם</w:t>
      </w:r>
      <w:r w:rsidR="000100D5">
        <w:rPr>
          <w:rFonts w:hint="cs"/>
          <w:rtl/>
        </w:rPr>
        <w:t xml:space="preserve"> מטעם אחר</w:t>
      </w:r>
      <w:r>
        <w:rPr>
          <w:rFonts w:hint="cs"/>
          <w:rtl/>
        </w:rPr>
        <w:t>. וגם השו"ע לא פסק כדבריו הרמב"ם בזה.</w:t>
      </w:r>
    </w:p>
  </w:footnote>
  <w:footnote w:id="1869">
    <w:p w14:paraId="460139C5" w14:textId="77777777" w:rsidR="00DD6900" w:rsidRDefault="00DD6900" w:rsidP="00DD6900">
      <w:pPr>
        <w:pStyle w:val="a5"/>
      </w:pPr>
      <w:r>
        <w:rPr>
          <w:rStyle w:val="a7"/>
        </w:rPr>
        <w:footnoteRef/>
      </w:r>
      <w:r>
        <w:rPr>
          <w:rtl/>
        </w:rPr>
        <w:t xml:space="preserve"> </w:t>
      </w:r>
      <w:r w:rsidRPr="00DD6900">
        <w:rPr>
          <w:rFonts w:cs="Arial"/>
          <w:rtl/>
        </w:rPr>
        <w:t>חבלים</w:t>
      </w:r>
      <w:r>
        <w:rPr>
          <w:rFonts w:hint="cs"/>
          <w:rtl/>
        </w:rPr>
        <w:t>, רש"י.</w:t>
      </w:r>
    </w:p>
  </w:footnote>
  <w:footnote w:id="1870">
    <w:p w14:paraId="04FD47F7" w14:textId="486CD533" w:rsidR="00DD6900" w:rsidRDefault="00DD6900">
      <w:pPr>
        <w:pStyle w:val="a5"/>
      </w:pPr>
      <w:r>
        <w:rPr>
          <w:rStyle w:val="a7"/>
        </w:rPr>
        <w:footnoteRef/>
      </w:r>
      <w:r>
        <w:rPr>
          <w:rtl/>
        </w:rPr>
        <w:t xml:space="preserve"> </w:t>
      </w:r>
      <w:r w:rsidRPr="00DD6900">
        <w:rPr>
          <w:rFonts w:cs="Arial"/>
          <w:rtl/>
        </w:rPr>
        <w:t>שמלות של אותו מקום</w:t>
      </w:r>
      <w:r>
        <w:rPr>
          <w:rFonts w:hint="cs"/>
          <w:rtl/>
        </w:rPr>
        <w:t>, רש"י.</w:t>
      </w:r>
    </w:p>
  </w:footnote>
  <w:footnote w:id="1871">
    <w:p w14:paraId="75426CC1" w14:textId="4E0A01A0" w:rsidR="00DD6900" w:rsidRDefault="00DD6900" w:rsidP="00DD6900">
      <w:pPr>
        <w:pStyle w:val="a5"/>
      </w:pPr>
      <w:r>
        <w:rPr>
          <w:rStyle w:val="a7"/>
        </w:rPr>
        <w:footnoteRef/>
      </w:r>
      <w:r>
        <w:rPr>
          <w:rtl/>
        </w:rPr>
        <w:t xml:space="preserve"> </w:t>
      </w:r>
      <w:r w:rsidRPr="00DD6900">
        <w:rPr>
          <w:rFonts w:cs="Arial"/>
          <w:rtl/>
        </w:rPr>
        <w:t>פי' בקונט' ריוח שליש</w:t>
      </w:r>
      <w:r>
        <w:rPr>
          <w:rFonts w:cs="Arial" w:hint="cs"/>
          <w:rtl/>
        </w:rPr>
        <w:t>,</w:t>
      </w:r>
      <w:r w:rsidRPr="00DD6900">
        <w:rPr>
          <w:rFonts w:cs="Arial"/>
          <w:rtl/>
        </w:rPr>
        <w:t xml:space="preserve"> שהם ככספים שמוסיף הבעל שליש</w:t>
      </w:r>
      <w:r>
        <w:rPr>
          <w:rFonts w:cs="Arial" w:hint="cs"/>
          <w:rtl/>
        </w:rPr>
        <w:t>.</w:t>
      </w:r>
      <w:r w:rsidRPr="00DD6900">
        <w:rPr>
          <w:rFonts w:cs="Arial"/>
          <w:rtl/>
        </w:rPr>
        <w:t xml:space="preserve"> וקשה לר"ת דה"ל למימר הרי הן ככספים כדקאמר רבי ינאי</w:t>
      </w:r>
      <w:r>
        <w:rPr>
          <w:rFonts w:cs="Arial" w:hint="cs"/>
          <w:rtl/>
        </w:rPr>
        <w:t>.</w:t>
      </w:r>
      <w:r w:rsidRPr="00DD6900">
        <w:rPr>
          <w:rFonts w:cs="Arial"/>
          <w:rtl/>
        </w:rPr>
        <w:t xml:space="preserve"> ונראה לו דבכתובה איירי שהאשה גובה כתובתה מהן דאסמכתייהו עלייהו</w:t>
      </w:r>
      <w:r>
        <w:rPr>
          <w:rFonts w:cs="Arial" w:hint="cs"/>
          <w:rtl/>
        </w:rPr>
        <w:t>,</w:t>
      </w:r>
      <w:r w:rsidRPr="00DD6900">
        <w:rPr>
          <w:rFonts w:cs="Arial"/>
          <w:rtl/>
        </w:rPr>
        <w:t xml:space="preserve"> כמו שפי' בקונטרס עצמו גבי ארנקי דמחוזא</w:t>
      </w:r>
      <w:r>
        <w:rPr>
          <w:rFonts w:cs="Arial" w:hint="cs"/>
          <w:rtl/>
        </w:rPr>
        <w:t>.</w:t>
      </w:r>
      <w:r w:rsidRPr="00DD6900">
        <w:rPr>
          <w:rFonts w:cs="Arial"/>
          <w:rtl/>
        </w:rPr>
        <w:t xml:space="preserve"> ומכאן פוסקין דמטלטלי דידן משתעבדי לכתובה דהוו כגמלים דערבי' ואשלי דקמחוניא דאסמכתייהו עלייהו</w:t>
      </w:r>
      <w:r>
        <w:rPr>
          <w:rFonts w:cs="Arial" w:hint="cs"/>
          <w:rtl/>
        </w:rPr>
        <w:t>.</w:t>
      </w:r>
      <w:r w:rsidRPr="00DD6900">
        <w:rPr>
          <w:rFonts w:cs="Arial"/>
          <w:rtl/>
        </w:rPr>
        <w:t xml:space="preserve"> ואין נראה לר"ת</w:t>
      </w:r>
      <w:r>
        <w:rPr>
          <w:rFonts w:cs="Arial" w:hint="cs"/>
          <w:rtl/>
        </w:rPr>
        <w:t>,</w:t>
      </w:r>
      <w:r w:rsidRPr="00DD6900">
        <w:rPr>
          <w:rFonts w:cs="Arial"/>
          <w:rtl/>
        </w:rPr>
        <w:t xml:space="preserve"> דאי כקרקע דמו כהני דשמעתתא א"כ אם מכרם הבעל תוציא אשתו מיד הלקוחות לאחר מותו</w:t>
      </w:r>
      <w:r>
        <w:rPr>
          <w:rFonts w:cs="Arial" w:hint="cs"/>
          <w:rtl/>
        </w:rPr>
        <w:t>,</w:t>
      </w:r>
      <w:r w:rsidRPr="00DD6900">
        <w:rPr>
          <w:rFonts w:cs="Arial"/>
          <w:rtl/>
        </w:rPr>
        <w:t xml:space="preserve"> ואם כן לדבריהם בטלה תקנת השוק</w:t>
      </w:r>
      <w:r>
        <w:rPr>
          <w:rFonts w:cs="Arial" w:hint="cs"/>
          <w:rtl/>
        </w:rPr>
        <w:t>.</w:t>
      </w:r>
      <w:r w:rsidRPr="00DD6900">
        <w:rPr>
          <w:rFonts w:cs="Arial"/>
          <w:rtl/>
        </w:rPr>
        <w:t xml:space="preserve"> אלא מחמת תקנת הגאונים גביא ממטלטלי דיתמי</w:t>
      </w:r>
      <w:r>
        <w:rPr>
          <w:rFonts w:cs="Arial" w:hint="cs"/>
          <w:rtl/>
        </w:rPr>
        <w:t>,</w:t>
      </w:r>
      <w:r w:rsidRPr="00DD6900">
        <w:rPr>
          <w:rFonts w:cs="Arial"/>
          <w:rtl/>
        </w:rPr>
        <w:t xml:space="preserve"> כמו שכתוב בכתב רב שרירא גאון</w:t>
      </w:r>
      <w:r>
        <w:rPr>
          <w:rFonts w:hint="cs"/>
          <w:rtl/>
        </w:rPr>
        <w:t>, תוס' (ד"ה גמלים).</w:t>
      </w:r>
    </w:p>
  </w:footnote>
  <w:footnote w:id="1872">
    <w:p w14:paraId="5EBD79F0" w14:textId="3CFFB84E" w:rsidR="00DD6900" w:rsidRDefault="00DD6900" w:rsidP="00DD6900">
      <w:pPr>
        <w:pStyle w:val="a5"/>
      </w:pPr>
      <w:r>
        <w:rPr>
          <w:rStyle w:val="a7"/>
        </w:rPr>
        <w:footnoteRef/>
      </w:r>
      <w:r>
        <w:rPr>
          <w:rtl/>
        </w:rPr>
        <w:t xml:space="preserve"> </w:t>
      </w:r>
      <w:r w:rsidRPr="00DD6900">
        <w:rPr>
          <w:rFonts w:cs="Arial"/>
          <w:rtl/>
        </w:rPr>
        <w:t>כיסין מלאין מעות</w:t>
      </w:r>
      <w:r>
        <w:rPr>
          <w:rFonts w:hint="cs"/>
          <w:rtl/>
        </w:rPr>
        <w:t>, רש"י.</w:t>
      </w:r>
    </w:p>
  </w:footnote>
  <w:footnote w:id="1873">
    <w:p w14:paraId="0D501E96" w14:textId="5D2E7C4C" w:rsidR="00DD6900" w:rsidRDefault="00DD6900">
      <w:pPr>
        <w:pStyle w:val="a5"/>
        <w:rPr>
          <w:rtl/>
        </w:rPr>
      </w:pPr>
      <w:r>
        <w:rPr>
          <w:rStyle w:val="a7"/>
        </w:rPr>
        <w:footnoteRef/>
      </w:r>
      <w:r>
        <w:rPr>
          <w:rtl/>
        </w:rPr>
        <w:t xml:space="preserve"> </w:t>
      </w:r>
      <w:r w:rsidRPr="00DD6900">
        <w:rPr>
          <w:rFonts w:cs="Arial"/>
          <w:rtl/>
        </w:rPr>
        <w:t>לזה שמעתי כתובה מנכסי יתומים ולא אמרינן מטלטלי דיתמי לא משתעבדי לבעל חוב</w:t>
      </w:r>
      <w:r>
        <w:rPr>
          <w:rFonts w:hint="cs"/>
          <w:rtl/>
        </w:rPr>
        <w:t>, רש"י.</w:t>
      </w:r>
    </w:p>
  </w:footnote>
  <w:footnote w:id="1874">
    <w:p w14:paraId="5FD389D7" w14:textId="1E3B9CA6" w:rsidR="00DD6900" w:rsidRDefault="00DD6900" w:rsidP="00DD6900">
      <w:pPr>
        <w:pStyle w:val="a5"/>
      </w:pPr>
      <w:r>
        <w:rPr>
          <w:rStyle w:val="a7"/>
        </w:rPr>
        <w:footnoteRef/>
      </w:r>
      <w:r>
        <w:rPr>
          <w:rtl/>
        </w:rPr>
        <w:t xml:space="preserve"> </w:t>
      </w:r>
      <w:r w:rsidRPr="00DD6900">
        <w:rPr>
          <w:rFonts w:cs="Arial"/>
          <w:rtl/>
        </w:rPr>
        <w:t>וגביין מטלטלי כי הני שהן להן במקום קרקעות לפי שבעל סחורה הם</w:t>
      </w:r>
      <w:r>
        <w:rPr>
          <w:rFonts w:hint="cs"/>
          <w:rtl/>
        </w:rPr>
        <w:t>, רש"י.</w:t>
      </w:r>
    </w:p>
  </w:footnote>
  <w:footnote w:id="1875">
    <w:p w14:paraId="4D995955" w14:textId="593ED59A" w:rsidR="00DD6900" w:rsidRDefault="00DD6900" w:rsidP="00DD6900">
      <w:pPr>
        <w:pStyle w:val="a5"/>
      </w:pPr>
      <w:r>
        <w:rPr>
          <w:rStyle w:val="a7"/>
        </w:rPr>
        <w:footnoteRef/>
      </w:r>
      <w:r>
        <w:rPr>
          <w:rtl/>
        </w:rPr>
        <w:t xml:space="preserve"> </w:t>
      </w:r>
      <w:r w:rsidRPr="00DD6900">
        <w:rPr>
          <w:rFonts w:cs="Arial"/>
          <w:rtl/>
        </w:rPr>
        <w:t>הנשים האלמנות והגרושות שגובות כתובתן</w:t>
      </w:r>
      <w:r>
        <w:rPr>
          <w:rFonts w:hint="cs"/>
          <w:rtl/>
        </w:rPr>
        <w:t>, רש"י.</w:t>
      </w:r>
    </w:p>
  </w:footnote>
  <w:footnote w:id="1876">
    <w:p w14:paraId="4BDF177D" w14:textId="33DAFE31" w:rsidR="00DD6900" w:rsidRDefault="00DD6900" w:rsidP="00DD6900">
      <w:pPr>
        <w:pStyle w:val="a5"/>
      </w:pPr>
      <w:r>
        <w:rPr>
          <w:rStyle w:val="a7"/>
        </w:rPr>
        <w:footnoteRef/>
      </w:r>
      <w:r>
        <w:rPr>
          <w:rtl/>
        </w:rPr>
        <w:t xml:space="preserve"> </w:t>
      </w:r>
      <w:r w:rsidRPr="00DD6900">
        <w:rPr>
          <w:rFonts w:cs="Arial"/>
          <w:rtl/>
        </w:rPr>
        <w:t>ואין גובות אלא מן הקרקע מן היתומים</w:t>
      </w:r>
      <w:r>
        <w:rPr>
          <w:rFonts w:hint="cs"/>
          <w:rtl/>
        </w:rPr>
        <w:t>, רש"י.</w:t>
      </w:r>
    </w:p>
  </w:footnote>
  <w:footnote w:id="1877">
    <w:p w14:paraId="4178F7EB" w14:textId="253E4698" w:rsidR="000100D5" w:rsidRDefault="000100D5">
      <w:pPr>
        <w:pStyle w:val="a5"/>
      </w:pPr>
      <w:r>
        <w:rPr>
          <w:rStyle w:val="a7"/>
        </w:rPr>
        <w:footnoteRef/>
      </w:r>
      <w:r>
        <w:rPr>
          <w:rtl/>
        </w:rPr>
        <w:t xml:space="preserve"> </w:t>
      </w:r>
      <w:r>
        <w:rPr>
          <w:rFonts w:cs="Arial" w:hint="cs"/>
          <w:rtl/>
        </w:rPr>
        <w:t>היינו ד</w:t>
      </w:r>
      <w:r w:rsidRPr="00D75497">
        <w:rPr>
          <w:rFonts w:cs="Arial"/>
          <w:rtl/>
        </w:rPr>
        <w:t>אשה גובה כתובתה מהן מדינא דגמרא</w:t>
      </w:r>
      <w:r>
        <w:rPr>
          <w:rFonts w:hint="cs"/>
          <w:rtl/>
        </w:rPr>
        <w:t>, ולא מכח תקנת הגאונים. וכתב הדרכ"מ (אות ה*) ד</w:t>
      </w:r>
      <w:r w:rsidRPr="003D2914">
        <w:rPr>
          <w:rFonts w:cs="Arial"/>
          <w:rtl/>
        </w:rPr>
        <w:t>כן הוא בחשן המשפט סוף סי' תי"ט</w:t>
      </w:r>
      <w:r>
        <w:rPr>
          <w:rFonts w:cs="Arial" w:hint="cs"/>
          <w:rtl/>
        </w:rPr>
        <w:t>.</w:t>
      </w:r>
    </w:p>
  </w:footnote>
  <w:footnote w:id="1878">
    <w:p w14:paraId="1DF3CC6E" w14:textId="2C2610D0" w:rsidR="00392DBB" w:rsidRDefault="00392DBB" w:rsidP="00392DBB">
      <w:pPr>
        <w:pStyle w:val="a5"/>
      </w:pPr>
      <w:r>
        <w:rPr>
          <w:rStyle w:val="a7"/>
        </w:rPr>
        <w:footnoteRef/>
      </w:r>
      <w:r>
        <w:rPr>
          <w:rtl/>
        </w:rPr>
        <w:t xml:space="preserve"> </w:t>
      </w:r>
      <w:r w:rsidRPr="00A8631B">
        <w:rPr>
          <w:rFonts w:cs="Arial"/>
          <w:rtl/>
        </w:rPr>
        <w:t>ונראה דאיצטריך להאי טעמא לאותם שאינם משעבדים בכתובה מטלטלי אגב מקרקעי וגם אינם נוהגים ע"פ תקנת הגאונים</w:t>
      </w:r>
      <w:r>
        <w:rPr>
          <w:rFonts w:cs="Arial" w:hint="cs"/>
          <w:rtl/>
        </w:rPr>
        <w:t>.</w:t>
      </w:r>
      <w:r w:rsidRPr="00A8631B">
        <w:rPr>
          <w:rFonts w:cs="Arial"/>
          <w:rtl/>
        </w:rPr>
        <w:t xml:space="preserve"> אבל לדידן דמשעבדי'</w:t>
      </w:r>
      <w:r>
        <w:rPr>
          <w:rFonts w:cs="Arial" w:hint="cs"/>
          <w:rtl/>
        </w:rPr>
        <w:t>,</w:t>
      </w:r>
      <w:r w:rsidRPr="00A8631B">
        <w:rPr>
          <w:rFonts w:cs="Arial"/>
          <w:rtl/>
        </w:rPr>
        <w:t xml:space="preserve"> בלאו האי טעמא נמי גביא מהחובות</w:t>
      </w:r>
      <w:r>
        <w:rPr>
          <w:rFonts w:cs="Arial" w:hint="cs"/>
          <w:rtl/>
        </w:rPr>
        <w:t>, ב"י.</w:t>
      </w:r>
      <w:r w:rsidRPr="00A678C2">
        <w:rPr>
          <w:rFonts w:cs="Arial"/>
          <w:rtl/>
        </w:rPr>
        <w:t xml:space="preserve"> </w:t>
      </w:r>
      <w:r w:rsidR="000100D5">
        <w:rPr>
          <w:rFonts w:cs="Arial" w:hint="cs"/>
          <w:rtl/>
        </w:rPr>
        <w:t xml:space="preserve">    </w:t>
      </w:r>
      <w:r>
        <w:rPr>
          <w:rFonts w:cs="Arial" w:hint="cs"/>
          <w:rtl/>
        </w:rPr>
        <w:t>עוד כתב הב"י</w:t>
      </w:r>
      <w:r w:rsidR="000100D5">
        <w:rPr>
          <w:rFonts w:cs="Arial" w:hint="cs"/>
          <w:rtl/>
        </w:rPr>
        <w:t>:</w:t>
      </w:r>
      <w:r>
        <w:rPr>
          <w:rFonts w:cs="Arial" w:hint="cs"/>
          <w:rtl/>
        </w:rPr>
        <w:t xml:space="preserve"> </w:t>
      </w:r>
      <w:r>
        <w:rPr>
          <w:rFonts w:cs="Arial"/>
          <w:rtl/>
        </w:rPr>
        <w:t>אם כתובה נגבית מעיסקא שנתנו לו להתעסק</w:t>
      </w:r>
      <w:r w:rsidR="000100D5">
        <w:rPr>
          <w:rFonts w:cs="Arial" w:hint="cs"/>
          <w:rtl/>
        </w:rPr>
        <w:t>,</w:t>
      </w:r>
      <w:r>
        <w:rPr>
          <w:rFonts w:cs="Arial"/>
          <w:rtl/>
        </w:rPr>
        <w:t xml:space="preserve"> עיין בפרק המקבל (ב"מ קד:).</w:t>
      </w:r>
    </w:p>
  </w:footnote>
  <w:footnote w:id="1879">
    <w:p w14:paraId="2CF669EF" w14:textId="77777777" w:rsidR="00392DBB" w:rsidRDefault="00392DBB" w:rsidP="00392DBB">
      <w:pPr>
        <w:pStyle w:val="a5"/>
      </w:pPr>
      <w:r>
        <w:rPr>
          <w:rStyle w:val="a7"/>
        </w:rPr>
        <w:footnoteRef/>
      </w:r>
      <w:r>
        <w:rPr>
          <w:rFonts w:cs="Arial" w:hint="cs"/>
          <w:rtl/>
        </w:rPr>
        <w:t xml:space="preserve"> </w:t>
      </w:r>
      <w:r w:rsidRPr="00750F97">
        <w:rPr>
          <w:rFonts w:cs="Arial"/>
          <w:rtl/>
        </w:rPr>
        <w:t xml:space="preserve">ולדידן דכתבינן מטלטלי אגב מקרקעי דקנאי ודאקנה </w:t>
      </w:r>
      <w:r>
        <w:rPr>
          <w:rFonts w:cs="Arial" w:hint="cs"/>
          <w:rtl/>
        </w:rPr>
        <w:t xml:space="preserve">- </w:t>
      </w:r>
      <w:r w:rsidRPr="00750F97">
        <w:rPr>
          <w:rFonts w:cs="Arial"/>
          <w:rtl/>
        </w:rPr>
        <w:t>גובה ממטלטלין שמכר כמו מן הקרקעות</w:t>
      </w:r>
      <w:r>
        <w:rPr>
          <w:rFonts w:cs="Arial" w:hint="cs"/>
          <w:rtl/>
        </w:rPr>
        <w:t>.</w:t>
      </w:r>
      <w:r w:rsidRPr="00750F97">
        <w:rPr>
          <w:rFonts w:cs="Arial"/>
          <w:rtl/>
        </w:rPr>
        <w:t xml:space="preserve"> ועיין בחשן משפט סימן ס'</w:t>
      </w:r>
      <w:r>
        <w:rPr>
          <w:rFonts w:hint="cs"/>
          <w:rtl/>
        </w:rPr>
        <w:t xml:space="preserve">, ב"י. וכתב הדרכ"מ (אות י*) </w:t>
      </w:r>
      <w:r>
        <w:rPr>
          <w:rFonts w:cs="Arial" w:hint="cs"/>
          <w:rtl/>
        </w:rPr>
        <w:t>ד</w:t>
      </w:r>
      <w:r w:rsidRPr="00F02E86">
        <w:rPr>
          <w:rFonts w:cs="Arial"/>
          <w:rtl/>
        </w:rPr>
        <w:t>כן כתב המ"מ פי"ו דאישות (ה"ח)</w:t>
      </w:r>
      <w:r>
        <w:rPr>
          <w:rFonts w:cs="Arial" w:hint="cs"/>
          <w:rtl/>
        </w:rPr>
        <w:t>.</w:t>
      </w:r>
    </w:p>
  </w:footnote>
  <w:footnote w:id="1880">
    <w:p w14:paraId="4D8FB750" w14:textId="77777777" w:rsidR="00392DBB" w:rsidRDefault="00392DBB" w:rsidP="00392DBB">
      <w:pPr>
        <w:pStyle w:val="a5"/>
      </w:pPr>
      <w:r>
        <w:rPr>
          <w:rStyle w:val="a7"/>
        </w:rPr>
        <w:footnoteRef/>
      </w:r>
      <w:r w:rsidRPr="00F02E86">
        <w:rPr>
          <w:rFonts w:cs="Arial"/>
          <w:rtl/>
        </w:rPr>
        <w:t xml:space="preserve"> ונראה הא דאינו נאמן לומר פקדון יש לו בידו דהיינו בהקנה לה מטלטלי באגב</w:t>
      </w:r>
      <w:r>
        <w:rPr>
          <w:rFonts w:cs="Arial" w:hint="cs"/>
          <w:rtl/>
        </w:rPr>
        <w:t>,</w:t>
      </w:r>
      <w:r w:rsidRPr="00F02E86">
        <w:rPr>
          <w:rFonts w:cs="Arial"/>
          <w:rtl/>
        </w:rPr>
        <w:t xml:space="preserve"> אבל בלאו הכי נאמן כמו שכת' בתחלה</w:t>
      </w:r>
      <w:r>
        <w:rPr>
          <w:rFonts w:cs="Arial" w:hint="cs"/>
          <w:rtl/>
        </w:rPr>
        <w:t>.</w:t>
      </w:r>
      <w:r w:rsidRPr="00F02E86">
        <w:rPr>
          <w:rFonts w:cs="Arial"/>
          <w:rtl/>
        </w:rPr>
        <w:t xml:space="preserve"> ועיין בדינים אלו בחושן המשפט סימן צ"ט (סע' י ובדמ"ק אות ד)</w:t>
      </w:r>
      <w:r>
        <w:rPr>
          <w:rFonts w:cs="Arial" w:hint="cs"/>
          <w:rtl/>
        </w:rPr>
        <w:t>, דרכ"מ (אות יב).</w:t>
      </w:r>
    </w:p>
  </w:footnote>
  <w:footnote w:id="1881">
    <w:p w14:paraId="2D7A6A9D" w14:textId="77777777" w:rsidR="00392DBB" w:rsidRDefault="00392DBB" w:rsidP="00392DBB">
      <w:pPr>
        <w:pStyle w:val="a5"/>
      </w:pPr>
      <w:r>
        <w:rPr>
          <w:rStyle w:val="a7"/>
        </w:rPr>
        <w:footnoteRef/>
      </w:r>
      <w:r>
        <w:rPr>
          <w:rtl/>
        </w:rPr>
        <w:t xml:space="preserve"> </w:t>
      </w:r>
      <w:r w:rsidRPr="006A6FF0">
        <w:rPr>
          <w:rFonts w:cs="Arial"/>
          <w:rtl/>
        </w:rPr>
        <w:t>ועיין בדין זה בחושן המשפט סימן רמ"ח (ס"ה)</w:t>
      </w:r>
      <w:r>
        <w:rPr>
          <w:rFonts w:cs="Arial" w:hint="cs"/>
          <w:rtl/>
        </w:rPr>
        <w:t>, דרכ"מ (אות ב).</w:t>
      </w:r>
    </w:p>
  </w:footnote>
  <w:footnote w:id="1882">
    <w:p w14:paraId="236DBFDC" w14:textId="77777777" w:rsidR="00392DBB" w:rsidRDefault="00392DBB" w:rsidP="00392DBB">
      <w:pPr>
        <w:pStyle w:val="a5"/>
      </w:pPr>
      <w:r>
        <w:rPr>
          <w:rStyle w:val="a7"/>
        </w:rPr>
        <w:footnoteRef/>
      </w:r>
      <w:r>
        <w:rPr>
          <w:rtl/>
        </w:rPr>
        <w:t xml:space="preserve"> </w:t>
      </w:r>
      <w:r w:rsidRPr="00D610BB">
        <w:rPr>
          <w:rFonts w:cs="Arial"/>
          <w:rtl/>
        </w:rPr>
        <w:t>כלו</w:t>
      </w:r>
      <w:r>
        <w:rPr>
          <w:rFonts w:cs="Arial" w:hint="cs"/>
          <w:rtl/>
        </w:rPr>
        <w:t>מר</w:t>
      </w:r>
      <w:r w:rsidRPr="00D610BB">
        <w:rPr>
          <w:rFonts w:cs="Arial"/>
          <w:rtl/>
        </w:rPr>
        <w:t xml:space="preserve"> אפילו מן הבעל עצמו</w:t>
      </w:r>
      <w:r>
        <w:rPr>
          <w:rFonts w:cs="Arial" w:hint="cs"/>
          <w:rtl/>
        </w:rPr>
        <w:t>,</w:t>
      </w:r>
      <w:r w:rsidRPr="00D610BB">
        <w:rPr>
          <w:rFonts w:cs="Arial"/>
          <w:rtl/>
        </w:rPr>
        <w:t xml:space="preserve"> כגון גרושה אינה נגבית אלא מן הקרקע</w:t>
      </w:r>
      <w:r>
        <w:rPr>
          <w:rFonts w:cs="Arial" w:hint="cs"/>
          <w:rtl/>
        </w:rPr>
        <w:t>..., ח"מ (סק"א).</w:t>
      </w:r>
    </w:p>
  </w:footnote>
  <w:footnote w:id="1883">
    <w:p w14:paraId="44660D46" w14:textId="5F6C84E2" w:rsidR="00392DBB" w:rsidRDefault="00392DBB" w:rsidP="00392DBB">
      <w:pPr>
        <w:pStyle w:val="a5"/>
      </w:pPr>
      <w:r>
        <w:rPr>
          <w:rStyle w:val="a7"/>
        </w:rPr>
        <w:footnoteRef/>
      </w:r>
      <w:r>
        <w:rPr>
          <w:rtl/>
        </w:rPr>
        <w:t xml:space="preserve"> </w:t>
      </w:r>
      <w:r w:rsidRPr="00D610BB">
        <w:rPr>
          <w:rFonts w:cs="Arial"/>
          <w:rtl/>
        </w:rPr>
        <w:t>עיין לקמן סי' קי"א סי"ד</w:t>
      </w:r>
      <w:r>
        <w:rPr>
          <w:rFonts w:cs="Arial" w:hint="cs"/>
          <w:rtl/>
        </w:rPr>
        <w:t>,</w:t>
      </w:r>
      <w:r w:rsidRPr="00D610BB">
        <w:rPr>
          <w:rFonts w:cs="Arial"/>
          <w:rtl/>
        </w:rPr>
        <w:t xml:space="preserve"> ולדעת הרא"ש והרשב"א </w:t>
      </w:r>
      <w:r w:rsidR="00674FAE">
        <w:rPr>
          <w:rFonts w:cs="Arial" w:hint="cs"/>
          <w:sz w:val="16"/>
          <w:szCs w:val="16"/>
          <w:rtl/>
        </w:rPr>
        <w:t xml:space="preserve">{צל"ע, דהרי הרשב"א לא החליט הדבר, ואדרבה סיים שהוא מתקנת הגאוננים ולא מדינא דגמ'} </w:t>
      </w:r>
      <w:r w:rsidRPr="00D610BB">
        <w:rPr>
          <w:rFonts w:cs="Arial"/>
          <w:rtl/>
        </w:rPr>
        <w:t>שכתבתי בסמוך אף כתובת בנין דכרין נוהגת במטלטלין דבדורו</w:t>
      </w:r>
      <w:r>
        <w:rPr>
          <w:rFonts w:cs="Arial" w:hint="cs"/>
          <w:rtl/>
        </w:rPr>
        <w:t>ת</w:t>
      </w:r>
      <w:r w:rsidRPr="00D610BB">
        <w:rPr>
          <w:rFonts w:cs="Arial"/>
          <w:rtl/>
        </w:rPr>
        <w:t xml:space="preserve"> הללו מטלטלי כמו מקרקעי</w:t>
      </w:r>
      <w:r>
        <w:rPr>
          <w:rFonts w:cs="Arial" w:hint="cs"/>
          <w:rtl/>
        </w:rPr>
        <w:t>, ח"מ (סק"ג).</w:t>
      </w:r>
    </w:p>
  </w:footnote>
  <w:footnote w:id="1884">
    <w:p w14:paraId="1A1812AB" w14:textId="77777777" w:rsidR="00392DBB" w:rsidRDefault="00392DBB" w:rsidP="00392DBB">
      <w:pPr>
        <w:pStyle w:val="a5"/>
      </w:pPr>
      <w:r>
        <w:rPr>
          <w:rStyle w:val="a7"/>
        </w:rPr>
        <w:footnoteRef/>
      </w:r>
      <w:r>
        <w:rPr>
          <w:rtl/>
        </w:rPr>
        <w:t xml:space="preserve"> </w:t>
      </w:r>
      <w:r w:rsidRPr="00ED4741">
        <w:rPr>
          <w:rFonts w:cs="Arial"/>
          <w:rtl/>
        </w:rPr>
        <w:t>ה"ה אם לא גבו היורשים עדיין גובה כתובה מן הש"ח שהניח בעלה דש"ח נקרא מטלטלין וכ"כ בסמ"ע בסי' ק"ז</w:t>
      </w:r>
      <w:r>
        <w:rPr>
          <w:rFonts w:cs="Arial" w:hint="cs"/>
          <w:rtl/>
        </w:rPr>
        <w:t>, ח"מ (סק"ד).</w:t>
      </w:r>
    </w:p>
  </w:footnote>
  <w:footnote w:id="1885">
    <w:p w14:paraId="2890F49A" w14:textId="77777777" w:rsidR="00392DBB" w:rsidRDefault="00392DBB" w:rsidP="00392DBB">
      <w:pPr>
        <w:pStyle w:val="a5"/>
        <w:rPr>
          <w:rtl/>
        </w:rPr>
      </w:pPr>
      <w:r>
        <w:rPr>
          <w:rStyle w:val="a7"/>
        </w:rPr>
        <w:footnoteRef/>
      </w:r>
      <w:r>
        <w:rPr>
          <w:rtl/>
        </w:rPr>
        <w:t xml:space="preserve"> </w:t>
      </w:r>
      <w:r w:rsidRPr="00D62F40">
        <w:rPr>
          <w:rFonts w:cs="Arial"/>
          <w:rtl/>
        </w:rPr>
        <w:t>לאו דוקא יורשים דהא גם מבעל לדינא דגמ' אין כתובה נגבית מן המטלטלין וכ"כ בהגהות אלפסי אם רצה בעל או יורשיו להגבות קרקע הרשות בידו ואם הקרקע שוה י' והיא רוצה לקבלה בכ' והיורשים רוצים לסלקה בי' דמי הקרקע הדין עמה עיין בר"ן פ' נערה</w:t>
      </w:r>
      <w:r>
        <w:rPr>
          <w:rFonts w:hint="cs"/>
          <w:rtl/>
        </w:rPr>
        <w:t>, ח"מ (סק"ה).</w:t>
      </w:r>
    </w:p>
  </w:footnote>
  <w:footnote w:id="1886">
    <w:p w14:paraId="5C04808D" w14:textId="0D92286F" w:rsidR="00392DBB" w:rsidRDefault="00392DBB" w:rsidP="00392DBB">
      <w:pPr>
        <w:pStyle w:val="a5"/>
      </w:pPr>
      <w:r>
        <w:rPr>
          <w:rStyle w:val="a7"/>
        </w:rPr>
        <w:footnoteRef/>
      </w:r>
      <w:r>
        <w:rPr>
          <w:rtl/>
        </w:rPr>
        <w:t xml:space="preserve"> </w:t>
      </w:r>
      <w:r w:rsidRPr="00D62F40">
        <w:rPr>
          <w:rFonts w:cs="Arial"/>
          <w:rtl/>
        </w:rPr>
        <w:t>עיין במרדכי פ' נערה שכ"כ בשם מהר"ם</w:t>
      </w:r>
      <w:r>
        <w:rPr>
          <w:rFonts w:cs="Arial" w:hint="cs"/>
          <w:rtl/>
        </w:rPr>
        <w:t>.</w:t>
      </w:r>
      <w:r w:rsidRPr="00D62F40">
        <w:rPr>
          <w:rFonts w:cs="Arial"/>
          <w:rtl/>
        </w:rPr>
        <w:t xml:space="preserve"> ועיין בתשובת מהר"ם סי' קצ"ב שהאריך בזה להוכיח כן מן הגמר</w:t>
      </w:r>
      <w:r>
        <w:rPr>
          <w:rFonts w:cs="Arial" w:hint="cs"/>
          <w:rtl/>
        </w:rPr>
        <w:t>א.</w:t>
      </w:r>
      <w:r w:rsidRPr="00D62F40">
        <w:rPr>
          <w:rFonts w:cs="Arial"/>
          <w:rtl/>
        </w:rPr>
        <w:t xml:space="preserve"> ועיין במרדכי </w:t>
      </w:r>
      <w:r>
        <w:rPr>
          <w:rFonts w:cs="Arial" w:hint="cs"/>
          <w:rtl/>
        </w:rPr>
        <w:t>(</w:t>
      </w:r>
      <w:r w:rsidRPr="00D62F40">
        <w:rPr>
          <w:rFonts w:cs="Arial"/>
          <w:rtl/>
        </w:rPr>
        <w:t>פ' יש נוחלין סי' תרכ"ט ותר"ל</w:t>
      </w:r>
      <w:r>
        <w:rPr>
          <w:rFonts w:cs="Arial" w:hint="cs"/>
          <w:rtl/>
        </w:rPr>
        <w:t>)</w:t>
      </w:r>
      <w:r w:rsidRPr="00D62F40">
        <w:rPr>
          <w:rFonts w:cs="Arial"/>
          <w:rtl/>
        </w:rPr>
        <w:t xml:space="preserve"> משמע דלא עבדינן עובד</w:t>
      </w:r>
      <w:r>
        <w:rPr>
          <w:rFonts w:cs="Arial" w:hint="cs"/>
          <w:rtl/>
        </w:rPr>
        <w:t>א</w:t>
      </w:r>
      <w:r w:rsidRPr="00D62F40">
        <w:rPr>
          <w:rFonts w:cs="Arial"/>
          <w:rtl/>
        </w:rPr>
        <w:t xml:space="preserve"> לגבות ממתנות בריא דחיילא מחיים</w:t>
      </w:r>
      <w:r>
        <w:rPr>
          <w:rFonts w:cs="Arial" w:hint="cs"/>
          <w:rtl/>
        </w:rPr>
        <w:t>.</w:t>
      </w:r>
      <w:r w:rsidRPr="00D62F40">
        <w:rPr>
          <w:rFonts w:cs="Arial"/>
          <w:rtl/>
        </w:rPr>
        <w:t xml:space="preserve"> וכן משמע בת"ה </w:t>
      </w:r>
      <w:r>
        <w:rPr>
          <w:rFonts w:cs="Arial" w:hint="cs"/>
          <w:rtl/>
        </w:rPr>
        <w:t>(</w:t>
      </w:r>
      <w:r w:rsidRPr="00D62F40">
        <w:rPr>
          <w:rFonts w:cs="Arial"/>
          <w:rtl/>
        </w:rPr>
        <w:t>סי' פו</w:t>
      </w:r>
      <w:r>
        <w:rPr>
          <w:rFonts w:cs="Arial" w:hint="cs"/>
          <w:rtl/>
        </w:rPr>
        <w:t>).</w:t>
      </w:r>
      <w:r w:rsidRPr="00D62F40">
        <w:rPr>
          <w:rFonts w:cs="Arial"/>
          <w:rtl/>
        </w:rPr>
        <w:t xml:space="preserve"> וגם בתשוב' מהרי"ו להלכה אמר ולא למעשה</w:t>
      </w:r>
      <w:r>
        <w:rPr>
          <w:rFonts w:cs="Arial" w:hint="cs"/>
          <w:rtl/>
        </w:rPr>
        <w:t>.</w:t>
      </w:r>
      <w:r w:rsidRPr="00D62F40">
        <w:rPr>
          <w:rFonts w:cs="Arial"/>
          <w:rtl/>
        </w:rPr>
        <w:t xml:space="preserve"> וכ"מ קצת בתשובת מהר"ם הנ"ל סי' קצ"ב דלא אמר זה רק לסניף ולא למעשה</w:t>
      </w:r>
      <w:r>
        <w:rPr>
          <w:rFonts w:cs="Arial" w:hint="cs"/>
          <w:rtl/>
        </w:rPr>
        <w:t>.</w:t>
      </w:r>
      <w:r w:rsidRPr="00D62F40">
        <w:rPr>
          <w:rFonts w:cs="Arial"/>
          <w:rtl/>
        </w:rPr>
        <w:t xml:space="preserve"> וגם בד"מ כתב דברי מהר"מ סתרי אהדדי</w:t>
      </w:r>
      <w:r>
        <w:rPr>
          <w:rFonts w:cs="Arial" w:hint="cs"/>
          <w:rtl/>
        </w:rPr>
        <w:t xml:space="preserve">, </w:t>
      </w:r>
      <w:r w:rsidRPr="00674FAE">
        <w:rPr>
          <w:rFonts w:cs="Arial" w:hint="cs"/>
          <w:b/>
          <w:bCs/>
          <w:rtl/>
        </w:rPr>
        <w:t>ח"מ</w:t>
      </w:r>
      <w:r>
        <w:rPr>
          <w:rFonts w:cs="Arial" w:hint="cs"/>
          <w:rtl/>
        </w:rPr>
        <w:t xml:space="preserve"> (סק"ז).</w:t>
      </w:r>
      <w:r w:rsidRPr="002E5679">
        <w:rPr>
          <w:rtl/>
        </w:rPr>
        <w:t xml:space="preserve"> </w:t>
      </w:r>
      <w:r w:rsidR="00674FAE">
        <w:rPr>
          <w:rFonts w:hint="cs"/>
          <w:rtl/>
        </w:rPr>
        <w:t xml:space="preserve">      </w:t>
      </w:r>
      <w:r w:rsidRPr="002E5679">
        <w:rPr>
          <w:rFonts w:cs="Arial"/>
          <w:rtl/>
        </w:rPr>
        <w:t>וא</w:t>
      </w:r>
      <w:r>
        <w:rPr>
          <w:rFonts w:cs="Arial" w:hint="cs"/>
          <w:rtl/>
        </w:rPr>
        <w:t xml:space="preserve">יני </w:t>
      </w:r>
      <w:r w:rsidRPr="002E5679">
        <w:rPr>
          <w:rFonts w:cs="Arial"/>
          <w:rtl/>
        </w:rPr>
        <w:t>י</w:t>
      </w:r>
      <w:r>
        <w:rPr>
          <w:rFonts w:cs="Arial" w:hint="cs"/>
          <w:rtl/>
        </w:rPr>
        <w:t>ודע</w:t>
      </w:r>
      <w:r w:rsidRPr="002E5679">
        <w:rPr>
          <w:rFonts w:cs="Arial"/>
          <w:rtl/>
        </w:rPr>
        <w:t xml:space="preserve"> מנ"ל</w:t>
      </w:r>
      <w:r>
        <w:rPr>
          <w:rFonts w:cs="Arial" w:hint="cs"/>
          <w:sz w:val="16"/>
          <w:szCs w:val="16"/>
          <w:rtl/>
        </w:rPr>
        <w:t xml:space="preserve"> {אה דאמר הח"מ להלכה ולא למעשה}</w:t>
      </w:r>
      <w:r>
        <w:rPr>
          <w:rFonts w:cs="Arial" w:hint="cs"/>
          <w:rtl/>
        </w:rPr>
        <w:t>,</w:t>
      </w:r>
      <w:r w:rsidRPr="002E5679">
        <w:rPr>
          <w:rFonts w:cs="Arial"/>
          <w:rtl/>
        </w:rPr>
        <w:t xml:space="preserve"> וכן מוכח בפסקי מהרא"י </w:t>
      </w:r>
      <w:r w:rsidR="00674FAE">
        <w:rPr>
          <w:rFonts w:cs="Arial" w:hint="cs"/>
          <w:rtl/>
        </w:rPr>
        <w:t>(</w:t>
      </w:r>
      <w:r w:rsidRPr="002E5679">
        <w:rPr>
          <w:rFonts w:cs="Arial"/>
          <w:rtl/>
        </w:rPr>
        <w:t>סי</w:t>
      </w:r>
      <w:r w:rsidR="00674FAE">
        <w:rPr>
          <w:rFonts w:cs="Arial" w:hint="cs"/>
          <w:rtl/>
        </w:rPr>
        <w:t>'</w:t>
      </w:r>
      <w:r w:rsidRPr="002E5679">
        <w:rPr>
          <w:rFonts w:cs="Arial"/>
          <w:rtl/>
        </w:rPr>
        <w:t xml:space="preserve"> פו</w:t>
      </w:r>
      <w:r w:rsidR="00674FAE">
        <w:rPr>
          <w:rFonts w:cs="Arial" w:hint="cs"/>
          <w:rtl/>
        </w:rPr>
        <w:t>)</w:t>
      </w:r>
      <w:r w:rsidRPr="002E5679">
        <w:rPr>
          <w:rFonts w:cs="Arial"/>
          <w:rtl/>
        </w:rPr>
        <w:t xml:space="preserve"> אע</w:t>
      </w:r>
      <w:r w:rsidR="00674FAE">
        <w:rPr>
          <w:rFonts w:cs="Arial" w:hint="cs"/>
          <w:rtl/>
        </w:rPr>
        <w:t>"</w:t>
      </w:r>
      <w:r w:rsidRPr="002E5679">
        <w:rPr>
          <w:rFonts w:cs="Arial"/>
          <w:rtl/>
        </w:rPr>
        <w:t>ג דשם איירי במ</w:t>
      </w:r>
      <w:r>
        <w:rPr>
          <w:rFonts w:cs="Arial" w:hint="cs"/>
          <w:rtl/>
        </w:rPr>
        <w:t xml:space="preserve">תנת </w:t>
      </w:r>
      <w:r w:rsidRPr="002E5679">
        <w:rPr>
          <w:rFonts w:cs="Arial"/>
          <w:rtl/>
        </w:rPr>
        <w:t>ש"מ מכל מקום נשמע זאת</w:t>
      </w:r>
      <w:r w:rsidR="00674FAE">
        <w:rPr>
          <w:rFonts w:cs="Arial" w:hint="cs"/>
          <w:rtl/>
        </w:rPr>
        <w:t>,</w:t>
      </w:r>
      <w:r w:rsidRPr="002E5679">
        <w:rPr>
          <w:rFonts w:cs="Arial"/>
          <w:rtl/>
        </w:rPr>
        <w:t xml:space="preserve"> דהא כתב כן לדעת הפוסקים דסבירא להו מתנת ש"מ מפקיע הכתובה מחלק לדעתם בין אם נתן לאחרים לבין אם נתן לבניו</w:t>
      </w:r>
      <w:r w:rsidR="00674FAE">
        <w:rPr>
          <w:rFonts w:cs="Arial" w:hint="cs"/>
          <w:rtl/>
        </w:rPr>
        <w:t>,</w:t>
      </w:r>
      <w:r w:rsidRPr="002E5679">
        <w:rPr>
          <w:rFonts w:cs="Arial"/>
          <w:rtl/>
        </w:rPr>
        <w:t xml:space="preserve"> מזה נשמע למתנות בריא</w:t>
      </w:r>
      <w:r w:rsidR="00674FAE">
        <w:rPr>
          <w:rFonts w:cs="Arial" w:hint="cs"/>
          <w:rtl/>
        </w:rPr>
        <w:t>.</w:t>
      </w:r>
      <w:r w:rsidRPr="002E5679">
        <w:rPr>
          <w:rFonts w:cs="Arial"/>
          <w:rtl/>
        </w:rPr>
        <w:t xml:space="preserve"> גם מסיים שם מהרי"א וכתב כדכתב מור"ם בפרק נערה</w:t>
      </w:r>
      <w:r w:rsidR="00674FAE">
        <w:rPr>
          <w:rFonts w:cs="Arial" w:hint="cs"/>
          <w:rtl/>
        </w:rPr>
        <w:t>,</w:t>
      </w:r>
      <w:r w:rsidRPr="002E5679">
        <w:rPr>
          <w:rFonts w:cs="Arial"/>
          <w:rtl/>
        </w:rPr>
        <w:t xml:space="preserve"> ושם איירי במתנות בריא</w:t>
      </w:r>
      <w:r w:rsidR="00674FAE">
        <w:rPr>
          <w:rFonts w:cs="Arial" w:hint="cs"/>
          <w:rtl/>
        </w:rPr>
        <w:t>.</w:t>
      </w:r>
      <w:r w:rsidRPr="002E5679">
        <w:rPr>
          <w:rFonts w:cs="Arial"/>
          <w:rtl/>
        </w:rPr>
        <w:t xml:space="preserve"> מיהו בתשובת רש"ך </w:t>
      </w:r>
      <w:r w:rsidR="00674FAE">
        <w:rPr>
          <w:rFonts w:cs="Arial" w:hint="cs"/>
          <w:rtl/>
        </w:rPr>
        <w:t>(</w:t>
      </w:r>
      <w:r w:rsidRPr="002E5679">
        <w:rPr>
          <w:rFonts w:cs="Arial"/>
          <w:rtl/>
        </w:rPr>
        <w:t>ס"א סי' לד</w:t>
      </w:r>
      <w:r w:rsidR="00674FAE">
        <w:rPr>
          <w:rFonts w:cs="Arial" w:hint="cs"/>
          <w:rtl/>
        </w:rPr>
        <w:t>)</w:t>
      </w:r>
      <w:r w:rsidRPr="002E5679">
        <w:rPr>
          <w:rFonts w:cs="Arial"/>
          <w:rtl/>
        </w:rPr>
        <w:t xml:space="preserve"> כתב</w:t>
      </w:r>
      <w:r w:rsidR="00674FAE">
        <w:rPr>
          <w:rFonts w:cs="Arial" w:hint="cs"/>
          <w:rtl/>
        </w:rPr>
        <w:t>:</w:t>
      </w:r>
      <w:r w:rsidRPr="002E5679">
        <w:rPr>
          <w:rFonts w:cs="Arial"/>
          <w:rtl/>
        </w:rPr>
        <w:t xml:space="preserve"> היורשים י</w:t>
      </w:r>
      <w:r w:rsidR="00674FAE">
        <w:rPr>
          <w:rFonts w:cs="Arial" w:hint="cs"/>
          <w:rtl/>
        </w:rPr>
        <w:t>כולים לומר</w:t>
      </w:r>
      <w:r w:rsidRPr="002E5679">
        <w:rPr>
          <w:rFonts w:cs="Arial"/>
          <w:rtl/>
        </w:rPr>
        <w:t xml:space="preserve"> קים לנו כהני פוסקים דאין חילוק בין אם נתן ליורשיו לבין אם נתן לאחרים גם כתב שם מלוה בע"פ אינו גובה מיורשים</w:t>
      </w:r>
      <w:r>
        <w:rPr>
          <w:rFonts w:hint="cs"/>
          <w:rtl/>
        </w:rPr>
        <w:t xml:space="preserve">, </w:t>
      </w:r>
      <w:r w:rsidRPr="00674FAE">
        <w:rPr>
          <w:rFonts w:hint="cs"/>
          <w:b/>
          <w:bCs/>
          <w:rtl/>
        </w:rPr>
        <w:t>ב"ש</w:t>
      </w:r>
      <w:r>
        <w:rPr>
          <w:rFonts w:hint="cs"/>
          <w:rtl/>
        </w:rPr>
        <w:t xml:space="preserve"> (סק"ו).</w:t>
      </w:r>
    </w:p>
  </w:footnote>
  <w:footnote w:id="1887">
    <w:p w14:paraId="33C47B70" w14:textId="77777777" w:rsidR="00392DBB" w:rsidRDefault="00392DBB" w:rsidP="00392DBB">
      <w:pPr>
        <w:pStyle w:val="a5"/>
      </w:pPr>
      <w:r>
        <w:rPr>
          <w:rStyle w:val="a7"/>
        </w:rPr>
        <w:footnoteRef/>
      </w:r>
      <w:r>
        <w:rPr>
          <w:rtl/>
        </w:rPr>
        <w:t xml:space="preserve"> </w:t>
      </w:r>
      <w:r w:rsidRPr="00D62F40">
        <w:rPr>
          <w:rFonts w:cs="Arial"/>
          <w:rtl/>
        </w:rPr>
        <w:t>צ"ל שהיה קנין בצוא</w:t>
      </w:r>
      <w:r>
        <w:rPr>
          <w:rFonts w:cs="Arial" w:hint="cs"/>
          <w:rtl/>
        </w:rPr>
        <w:t>ה</w:t>
      </w:r>
      <w:r w:rsidRPr="00D62F40">
        <w:rPr>
          <w:rFonts w:cs="Arial"/>
          <w:rtl/>
        </w:rPr>
        <w:t xml:space="preserve"> זו או שמסר ביד שליש דחייב השליש לקיים משום מצוה לקיים דברי המת</w:t>
      </w:r>
      <w:r>
        <w:rPr>
          <w:rFonts w:cs="Arial" w:hint="cs"/>
          <w:rtl/>
        </w:rPr>
        <w:t>,</w:t>
      </w:r>
      <w:r w:rsidRPr="00D62F40">
        <w:rPr>
          <w:rFonts w:cs="Arial"/>
          <w:rtl/>
        </w:rPr>
        <w:t xml:space="preserve"> דאי לאו הכי אין בצואה זו ממש</w:t>
      </w:r>
      <w:r>
        <w:rPr>
          <w:rFonts w:cs="Arial" w:hint="cs"/>
          <w:rtl/>
        </w:rPr>
        <w:t>.</w:t>
      </w:r>
      <w:r w:rsidRPr="00D62F40">
        <w:rPr>
          <w:rFonts w:cs="Arial"/>
          <w:rtl/>
        </w:rPr>
        <w:t xml:space="preserve"> ועיין בתשו' מהר"ם פדו' סי' נ"ב</w:t>
      </w:r>
      <w:r>
        <w:rPr>
          <w:rFonts w:cs="Arial" w:hint="cs"/>
          <w:rtl/>
        </w:rPr>
        <w:t>.</w:t>
      </w:r>
      <w:r w:rsidRPr="00D62F40">
        <w:rPr>
          <w:rFonts w:cs="Arial"/>
          <w:rtl/>
        </w:rPr>
        <w:t xml:space="preserve"> ועיין בח"מ סוף סי' רנ"ז</w:t>
      </w:r>
      <w:r>
        <w:rPr>
          <w:rFonts w:cs="Arial" w:hint="cs"/>
          <w:rtl/>
        </w:rPr>
        <w:t>, ח"מ (סק"ח).</w:t>
      </w:r>
    </w:p>
  </w:footnote>
  <w:footnote w:id="1888">
    <w:p w14:paraId="13C045D7" w14:textId="77777777" w:rsidR="00392DBB" w:rsidRPr="00334651" w:rsidRDefault="00392DBB" w:rsidP="00392DBB">
      <w:pPr>
        <w:pStyle w:val="a5"/>
        <w:rPr>
          <w:rFonts w:cs="Arial"/>
        </w:rPr>
      </w:pPr>
      <w:r>
        <w:rPr>
          <w:rStyle w:val="a7"/>
        </w:rPr>
        <w:footnoteRef/>
      </w:r>
      <w:r>
        <w:rPr>
          <w:rtl/>
        </w:rPr>
        <w:t xml:space="preserve"> </w:t>
      </w:r>
      <w:r w:rsidRPr="00C256FE">
        <w:rPr>
          <w:rFonts w:cs="Arial"/>
          <w:rtl/>
        </w:rPr>
        <w:t>משום דאינה אלא כמתנת ש"מ</w:t>
      </w:r>
      <w:r>
        <w:rPr>
          <w:rFonts w:cs="Arial" w:hint="cs"/>
          <w:rtl/>
        </w:rPr>
        <w:t>.</w:t>
      </w:r>
      <w:r w:rsidRPr="00C256FE">
        <w:rPr>
          <w:rFonts w:cs="Arial"/>
          <w:rtl/>
        </w:rPr>
        <w:t xml:space="preserve"> אי מיירי דהשליש ביד שליש וצווה לו ליתן לאחר מיתה</w:t>
      </w:r>
      <w:r>
        <w:rPr>
          <w:rFonts w:cs="Arial" w:hint="cs"/>
          <w:rtl/>
        </w:rPr>
        <w:t>,</w:t>
      </w:r>
      <w:r w:rsidRPr="00C256FE">
        <w:rPr>
          <w:rFonts w:cs="Arial"/>
          <w:rtl/>
        </w:rPr>
        <w:t xml:space="preserve"> ניחא דהאשה גובה כתובתה</w:t>
      </w:r>
      <w:r>
        <w:rPr>
          <w:rFonts w:cs="Arial" w:hint="cs"/>
          <w:rtl/>
        </w:rPr>
        <w:t>,</w:t>
      </w:r>
      <w:r w:rsidRPr="00C256FE">
        <w:rPr>
          <w:rFonts w:cs="Arial"/>
          <w:rtl/>
        </w:rPr>
        <w:t xml:space="preserve"> דכל שקנה מכח מצוה לקיים דברי המת הוי כמתנת ש"מ ואינו קונה עד לאחר מיתה</w:t>
      </w:r>
      <w:r>
        <w:rPr>
          <w:rFonts w:cs="Arial" w:hint="cs"/>
          <w:rtl/>
        </w:rPr>
        <w:t>,</w:t>
      </w:r>
      <w:r w:rsidRPr="00C256FE">
        <w:rPr>
          <w:rFonts w:cs="Arial"/>
          <w:rtl/>
        </w:rPr>
        <w:t xml:space="preserve"> וכמו שפסק המרדכי בפ' מי שמת בשם מהר"מ סי' תר"ל</w:t>
      </w:r>
      <w:r>
        <w:rPr>
          <w:rFonts w:cs="Arial" w:hint="cs"/>
          <w:rtl/>
        </w:rPr>
        <w:t>.</w:t>
      </w:r>
      <w:r w:rsidRPr="00C256FE">
        <w:rPr>
          <w:rFonts w:cs="Arial"/>
          <w:rtl/>
        </w:rPr>
        <w:t xml:space="preserve"> אבל אם הקנה בקנין דהוי מתנה ברי</w:t>
      </w:r>
      <w:r>
        <w:rPr>
          <w:rFonts w:cs="Arial" w:hint="cs"/>
          <w:rtl/>
        </w:rPr>
        <w:t>א</w:t>
      </w:r>
      <w:r w:rsidRPr="00C256FE">
        <w:rPr>
          <w:rFonts w:cs="Arial"/>
          <w:rtl/>
        </w:rPr>
        <w:t xml:space="preserve"> מעכשיו</w:t>
      </w:r>
      <w:r>
        <w:rPr>
          <w:rFonts w:cs="Arial" w:hint="cs"/>
          <w:rtl/>
        </w:rPr>
        <w:t>,</w:t>
      </w:r>
      <w:r w:rsidRPr="00C256FE">
        <w:rPr>
          <w:rFonts w:cs="Arial"/>
          <w:rtl/>
        </w:rPr>
        <w:t xml:space="preserve"> אף שלא צוה ליתן רק לאחר מיתה מ"מ קנה הגוף מיד</w:t>
      </w:r>
      <w:r>
        <w:rPr>
          <w:rFonts w:cs="Arial" w:hint="cs"/>
          <w:rtl/>
        </w:rPr>
        <w:t>,</w:t>
      </w:r>
      <w:r w:rsidRPr="00C256FE">
        <w:rPr>
          <w:rFonts w:cs="Arial"/>
          <w:rtl/>
        </w:rPr>
        <w:t xml:space="preserve"> וקשה למה תטול האשה הכתובה ממה שנתן במתנת ברי</w:t>
      </w:r>
      <w:r>
        <w:rPr>
          <w:rFonts w:cs="Arial" w:hint="cs"/>
          <w:rtl/>
        </w:rPr>
        <w:t>.</w:t>
      </w:r>
      <w:r w:rsidRPr="00C256FE">
        <w:rPr>
          <w:rFonts w:cs="Arial"/>
          <w:rtl/>
        </w:rPr>
        <w:t xml:space="preserve"> ועיין במרדכי פ' יש נוחלין סי' תקצ"ט</w:t>
      </w:r>
      <w:r>
        <w:rPr>
          <w:rFonts w:cs="Arial" w:hint="cs"/>
          <w:rtl/>
        </w:rPr>
        <w:t>.</w:t>
      </w:r>
      <w:r w:rsidRPr="00C256FE">
        <w:rPr>
          <w:rFonts w:cs="Arial"/>
          <w:rtl/>
        </w:rPr>
        <w:t xml:space="preserve"> הן אמת ראיתי במרדכי פ' י"נ בסי' תקפ"ד פסק היכא דכתב לחתנו ולבתו ליטול כח' מחלק הזכרים דפסק ר"מ דכתובה נגבית ממתנה זו דלעולם לא יטול יותר מן היורשים</w:t>
      </w:r>
      <w:r>
        <w:rPr>
          <w:rFonts w:cs="Arial" w:hint="cs"/>
          <w:rtl/>
        </w:rPr>
        <w:t>,</w:t>
      </w:r>
      <w:r w:rsidRPr="00C256FE">
        <w:rPr>
          <w:rFonts w:cs="Arial"/>
          <w:rtl/>
        </w:rPr>
        <w:t xml:space="preserve"> משום דהזכיר במתנה ליטול כא' מן הזכרים</w:t>
      </w:r>
      <w:r>
        <w:rPr>
          <w:rFonts w:cs="Arial" w:hint="cs"/>
          <w:rtl/>
        </w:rPr>
        <w:t>.</w:t>
      </w:r>
      <w:r w:rsidRPr="00C256FE">
        <w:rPr>
          <w:rFonts w:cs="Arial"/>
          <w:rtl/>
        </w:rPr>
        <w:t xml:space="preserve"> אבל אם צוה בקנין כשהיה בריא ליתן לא</w:t>
      </w:r>
      <w:r>
        <w:rPr>
          <w:rFonts w:cs="Arial" w:hint="cs"/>
          <w:rtl/>
        </w:rPr>
        <w:t>חד</w:t>
      </w:r>
      <w:r w:rsidRPr="00C256FE">
        <w:rPr>
          <w:rFonts w:cs="Arial"/>
          <w:rtl/>
        </w:rPr>
        <w:t xml:space="preserve"> לאחר מותו וכל קנין מעכשיו הוא אם כן קנה המקבל הגוף מיד אין טעם לומר שתטול האשה כתובתה ממתנת ברי</w:t>
      </w:r>
      <w:r>
        <w:rPr>
          <w:rFonts w:cs="Arial" w:hint="cs"/>
          <w:rtl/>
        </w:rPr>
        <w:t>א.</w:t>
      </w:r>
      <w:r w:rsidRPr="00C256FE">
        <w:rPr>
          <w:rFonts w:cs="Arial"/>
          <w:rtl/>
        </w:rPr>
        <w:t xml:space="preserve"> ובמרדכי סי' תר"ל כתב דלא עבדינ</w:t>
      </w:r>
      <w:r>
        <w:rPr>
          <w:rFonts w:cs="Arial" w:hint="cs"/>
          <w:rtl/>
        </w:rPr>
        <w:t>א</w:t>
      </w:r>
      <w:r w:rsidRPr="00C256FE">
        <w:rPr>
          <w:rFonts w:cs="Arial"/>
          <w:rtl/>
        </w:rPr>
        <w:t xml:space="preserve"> עובדא לגבות ממתנת בריא דחיילא מחיים ומשמע אפילו מן היורש ומכ"ש אם נתן במתנת בריא לאחר ומה בכך שלא צוה ליתן לידו עד לאחר מיתה סוף סוף קנו מידו</w:t>
      </w:r>
      <w:r>
        <w:rPr>
          <w:rFonts w:cs="Arial" w:hint="cs"/>
          <w:rtl/>
        </w:rPr>
        <w:t>, ח"מ (סק"ט).</w:t>
      </w:r>
    </w:p>
  </w:footnote>
  <w:footnote w:id="1889">
    <w:p w14:paraId="52440DE4" w14:textId="77777777" w:rsidR="00392DBB" w:rsidRDefault="00392DBB" w:rsidP="00392DBB">
      <w:pPr>
        <w:pStyle w:val="a5"/>
      </w:pPr>
      <w:r>
        <w:rPr>
          <w:rStyle w:val="a7"/>
        </w:rPr>
        <w:footnoteRef/>
      </w:r>
      <w:r>
        <w:rPr>
          <w:rtl/>
        </w:rPr>
        <w:t xml:space="preserve"> </w:t>
      </w:r>
      <w:r w:rsidRPr="00334651">
        <w:rPr>
          <w:rFonts w:cs="Arial"/>
          <w:rtl/>
        </w:rPr>
        <w:t>משמע דגובה מן המטלטלין שמכרו</w:t>
      </w:r>
      <w:r>
        <w:rPr>
          <w:rFonts w:cs="Arial" w:hint="cs"/>
          <w:rtl/>
        </w:rPr>
        <w:t>,</w:t>
      </w:r>
      <w:r w:rsidRPr="00334651">
        <w:rPr>
          <w:rFonts w:cs="Arial"/>
          <w:rtl/>
        </w:rPr>
        <w:t xml:space="preserve"> מכ"ש אם נתנו המטלטלין </w:t>
      </w:r>
      <w:r>
        <w:rPr>
          <w:rFonts w:cs="Arial" w:hint="cs"/>
          <w:sz w:val="16"/>
          <w:szCs w:val="16"/>
          <w:rtl/>
        </w:rPr>
        <w:t>(</w:t>
      </w:r>
      <w:r w:rsidRPr="00413A05">
        <w:rPr>
          <w:rFonts w:cs="Arial"/>
          <w:sz w:val="16"/>
          <w:szCs w:val="16"/>
          <w:rtl/>
        </w:rPr>
        <w:t>והרא"ש פרק האומר כת</w:t>
      </w:r>
      <w:r w:rsidRPr="00413A05">
        <w:rPr>
          <w:rFonts w:cs="Arial" w:hint="cs"/>
          <w:sz w:val="16"/>
          <w:szCs w:val="16"/>
          <w:rtl/>
        </w:rPr>
        <w:t>ב</w:t>
      </w:r>
      <w:r w:rsidRPr="00413A05">
        <w:rPr>
          <w:rFonts w:cs="Arial"/>
          <w:sz w:val="16"/>
          <w:szCs w:val="16"/>
          <w:rtl/>
        </w:rPr>
        <w:t xml:space="preserve"> להדיא דאם נתנו היתומים לא גבו והרב בב"ח כתב שהרא"ש לא מיירי רק לענין מזונות אבל לענין כתובה גובה ממה שמכרו היתומי</w:t>
      </w:r>
      <w:r w:rsidRPr="00413A05">
        <w:rPr>
          <w:rFonts w:cs="Arial" w:hint="cs"/>
          <w:sz w:val="16"/>
          <w:szCs w:val="16"/>
          <w:rtl/>
        </w:rPr>
        <w:t>ם</w:t>
      </w:r>
      <w:r w:rsidRPr="00413A05">
        <w:rPr>
          <w:rFonts w:cs="Arial"/>
          <w:sz w:val="16"/>
          <w:szCs w:val="16"/>
          <w:rtl/>
        </w:rPr>
        <w:t xml:space="preserve"> וכן ראיתי בקיצור פסקי הרא"ש ואם נתנו היתומים מוציאין לכתובה ולא מזונו' וכו'</w:t>
      </w:r>
      <w:r w:rsidRPr="00413A05">
        <w:rPr>
          <w:rFonts w:cs="Arial" w:hint="cs"/>
          <w:sz w:val="16"/>
          <w:szCs w:val="16"/>
          <w:rtl/>
        </w:rPr>
        <w:t>)</w:t>
      </w:r>
      <w:r>
        <w:rPr>
          <w:rFonts w:cs="Arial" w:hint="cs"/>
          <w:rtl/>
        </w:rPr>
        <w:t>.</w:t>
      </w:r>
      <w:r w:rsidRPr="00334651">
        <w:rPr>
          <w:rFonts w:cs="Arial"/>
          <w:rtl/>
        </w:rPr>
        <w:t xml:space="preserve"> ובח"מ סי' ק"ז כתב הטור שאם מכרו מטלטלין</w:t>
      </w:r>
      <w:r>
        <w:rPr>
          <w:rFonts w:cs="Arial" w:hint="cs"/>
          <w:rtl/>
        </w:rPr>
        <w:t>,</w:t>
      </w:r>
      <w:r w:rsidRPr="00334651">
        <w:rPr>
          <w:rFonts w:cs="Arial"/>
          <w:rtl/>
        </w:rPr>
        <w:t xml:space="preserve"> ולא שיעבד למלוה מטלטלי</w:t>
      </w:r>
      <w:r>
        <w:rPr>
          <w:rFonts w:cs="Arial" w:hint="cs"/>
          <w:rtl/>
        </w:rPr>
        <w:t>,</w:t>
      </w:r>
      <w:r w:rsidRPr="00334651">
        <w:rPr>
          <w:rFonts w:cs="Arial"/>
          <w:rtl/>
        </w:rPr>
        <w:t xml:space="preserve"> אין יכול לטרוף מן המטלטלין וגם מן הדמים שבידם ע"ש</w:t>
      </w:r>
      <w:r>
        <w:rPr>
          <w:rFonts w:cs="Arial" w:hint="cs"/>
          <w:rtl/>
        </w:rPr>
        <w:t>.</w:t>
      </w:r>
      <w:r w:rsidRPr="00334651">
        <w:rPr>
          <w:rFonts w:cs="Arial"/>
          <w:rtl/>
        </w:rPr>
        <w:t xml:space="preserve"> והרא"ש בתשו' כלל ע"ט סי' י' כתב כי מאחר דק"ל ב"ח מכאן ולהב</w:t>
      </w:r>
      <w:r>
        <w:rPr>
          <w:rFonts w:cs="Arial" w:hint="cs"/>
          <w:rtl/>
        </w:rPr>
        <w:t>א</w:t>
      </w:r>
      <w:r w:rsidRPr="00334651">
        <w:rPr>
          <w:rFonts w:cs="Arial"/>
          <w:rtl/>
        </w:rPr>
        <w:t xml:space="preserve"> גובה</w:t>
      </w:r>
      <w:r>
        <w:rPr>
          <w:rFonts w:cs="Arial" w:hint="cs"/>
          <w:rtl/>
        </w:rPr>
        <w:t>,</w:t>
      </w:r>
      <w:r w:rsidRPr="00334651">
        <w:rPr>
          <w:rFonts w:cs="Arial"/>
          <w:rtl/>
        </w:rPr>
        <w:t xml:space="preserve"> כל מה שמכרו היתומים קודם טריפא שלהם</w:t>
      </w:r>
      <w:r>
        <w:rPr>
          <w:rFonts w:cs="Arial" w:hint="cs"/>
          <w:rtl/>
        </w:rPr>
        <w:t>,</w:t>
      </w:r>
      <w:r w:rsidRPr="00334651">
        <w:rPr>
          <w:rFonts w:cs="Arial"/>
          <w:rtl/>
        </w:rPr>
        <w:t xml:space="preserve"> מכרו</w:t>
      </w:r>
      <w:r>
        <w:rPr>
          <w:rFonts w:cs="Arial" w:hint="cs"/>
          <w:rtl/>
        </w:rPr>
        <w:t>,</w:t>
      </w:r>
      <w:r w:rsidRPr="00334651">
        <w:rPr>
          <w:rFonts w:cs="Arial"/>
          <w:rtl/>
        </w:rPr>
        <w:t xml:space="preserve"> ואין עליהם דין מזיק שעבודו של חבירו</w:t>
      </w:r>
      <w:r>
        <w:rPr>
          <w:rFonts w:cs="Arial" w:hint="cs"/>
          <w:rtl/>
        </w:rPr>
        <w:t>,</w:t>
      </w:r>
      <w:r w:rsidRPr="00334651">
        <w:rPr>
          <w:rFonts w:cs="Arial"/>
          <w:rtl/>
        </w:rPr>
        <w:t xml:space="preserve"> ע"ש</w:t>
      </w:r>
      <w:r>
        <w:rPr>
          <w:rFonts w:cs="Arial" w:hint="cs"/>
          <w:rtl/>
        </w:rPr>
        <w:t>.</w:t>
      </w:r>
      <w:r w:rsidRPr="00334651">
        <w:rPr>
          <w:rFonts w:cs="Arial"/>
          <w:rtl/>
        </w:rPr>
        <w:t xml:space="preserve"> וטעם זה שייך גם גבי מתנה שנתנו היתומים</w:t>
      </w:r>
      <w:r>
        <w:rPr>
          <w:rFonts w:cs="Arial" w:hint="cs"/>
          <w:rtl/>
        </w:rPr>
        <w:t>, ח"מ (סק'"י).</w:t>
      </w:r>
    </w:p>
  </w:footnote>
  <w:footnote w:id="1890">
    <w:p w14:paraId="17D5B3EE" w14:textId="77777777" w:rsidR="00392DBB" w:rsidRDefault="00392DBB" w:rsidP="00392DBB">
      <w:pPr>
        <w:pStyle w:val="a5"/>
      </w:pPr>
      <w:r>
        <w:rPr>
          <w:rStyle w:val="a7"/>
        </w:rPr>
        <w:footnoteRef/>
      </w:r>
      <w:r>
        <w:rPr>
          <w:rtl/>
        </w:rPr>
        <w:t xml:space="preserve"> </w:t>
      </w:r>
      <w:r w:rsidRPr="00334651">
        <w:rPr>
          <w:rFonts w:cs="Arial"/>
          <w:rtl/>
        </w:rPr>
        <w:t>מדנקט גבי דידי</w:t>
      </w:r>
      <w:r>
        <w:rPr>
          <w:rFonts w:cs="Arial" w:hint="cs"/>
          <w:rtl/>
        </w:rPr>
        <w:t>ה</w:t>
      </w:r>
      <w:r w:rsidRPr="00334651">
        <w:rPr>
          <w:rFonts w:cs="Arial"/>
          <w:rtl/>
        </w:rPr>
        <w:t xml:space="preserve"> שמכר או נתן</w:t>
      </w:r>
      <w:r>
        <w:rPr>
          <w:rFonts w:cs="Arial" w:hint="cs"/>
          <w:rtl/>
        </w:rPr>
        <w:t>,</w:t>
      </w:r>
      <w:r w:rsidRPr="00334651">
        <w:rPr>
          <w:rFonts w:cs="Arial"/>
          <w:rtl/>
        </w:rPr>
        <w:t xml:space="preserve"> וגבי יורשים לא נקט שמכרו או נתנו</w:t>
      </w:r>
      <w:r>
        <w:rPr>
          <w:rFonts w:cs="Arial" w:hint="cs"/>
          <w:rtl/>
        </w:rPr>
        <w:t>.</w:t>
      </w:r>
      <w:r w:rsidRPr="00334651">
        <w:rPr>
          <w:rFonts w:cs="Arial"/>
          <w:rtl/>
        </w:rPr>
        <w:t xml:space="preserve"> משמע דגבי יורשים שנתנו ליכא תקנת השוק</w:t>
      </w:r>
      <w:r>
        <w:rPr>
          <w:rFonts w:cs="Arial" w:hint="cs"/>
          <w:rtl/>
        </w:rPr>
        <w:t>.</w:t>
      </w:r>
      <w:r w:rsidRPr="00334651">
        <w:rPr>
          <w:rFonts w:cs="Arial"/>
          <w:rtl/>
        </w:rPr>
        <w:t xml:space="preserve"> ולא ידעתי למה גבי דידיה שוה מתנה למכר ולא גבי יורשים</w:t>
      </w:r>
      <w:r>
        <w:rPr>
          <w:rFonts w:cs="Arial" w:hint="cs"/>
          <w:rtl/>
        </w:rPr>
        <w:t>.</w:t>
      </w:r>
      <w:r w:rsidRPr="00334651">
        <w:rPr>
          <w:rFonts w:cs="Arial"/>
          <w:rtl/>
        </w:rPr>
        <w:t xml:space="preserve"> ועיין בח"מ סי' ס' בב"י</w:t>
      </w:r>
      <w:r>
        <w:rPr>
          <w:rFonts w:cs="Arial" w:hint="cs"/>
          <w:rtl/>
        </w:rPr>
        <w:t>.</w:t>
      </w:r>
      <w:r w:rsidRPr="00334651">
        <w:rPr>
          <w:rFonts w:cs="Arial"/>
          <w:rtl/>
        </w:rPr>
        <w:t xml:space="preserve"> ואפשר דאם נתנו היתומים המטלטלין יש לחוש דכל היתומים יעשו</w:t>
      </w:r>
      <w:r>
        <w:rPr>
          <w:rFonts w:cs="Arial" w:hint="cs"/>
          <w:rtl/>
        </w:rPr>
        <w:t>,</w:t>
      </w:r>
      <w:r w:rsidRPr="00334651">
        <w:rPr>
          <w:rFonts w:cs="Arial"/>
          <w:rtl/>
        </w:rPr>
        <w:t xml:space="preserve"> כן ומה הועילו הגאונים בתקנתן</w:t>
      </w:r>
      <w:r>
        <w:rPr>
          <w:rFonts w:cs="Arial" w:hint="cs"/>
          <w:rtl/>
        </w:rPr>
        <w:t>.</w:t>
      </w:r>
      <w:r w:rsidRPr="00334651">
        <w:rPr>
          <w:rFonts w:cs="Arial"/>
          <w:rtl/>
        </w:rPr>
        <w:t xml:space="preserve"> ואם גובה מן הדמים שביד היתומים אם מכרו הנכסים עיין בח"מ מחלוק' רב האי והרא"ש בסי' ק"ז</w:t>
      </w:r>
      <w:r>
        <w:rPr>
          <w:rFonts w:cs="Arial" w:hint="cs"/>
          <w:rtl/>
        </w:rPr>
        <w:t>, ח"מ (סקי"א).</w:t>
      </w:r>
    </w:p>
  </w:footnote>
  <w:footnote w:id="1891">
    <w:p w14:paraId="7C646B9A" w14:textId="77777777" w:rsidR="00392DBB" w:rsidRDefault="00392DBB" w:rsidP="00392DBB">
      <w:pPr>
        <w:pStyle w:val="a5"/>
        <w:rPr>
          <w:rtl/>
        </w:rPr>
      </w:pPr>
      <w:r>
        <w:rPr>
          <w:rStyle w:val="a7"/>
        </w:rPr>
        <w:footnoteRef/>
      </w:r>
      <w:r>
        <w:rPr>
          <w:rtl/>
        </w:rPr>
        <w:t xml:space="preserve"> </w:t>
      </w:r>
      <w:r w:rsidRPr="007D572F">
        <w:rPr>
          <w:rFonts w:cs="Arial"/>
          <w:rtl/>
        </w:rPr>
        <w:t>כ"כ ע"פ תשובת הרא"ש כמ"ש בח"ה סי' ס' וכבר כתבתי בסמוך דעת הרשב"א בזה ונראה לכ"ע אם כ' לה מטלטלין אג"ק ועדיין בידה המטלטלין והוא מכר או נתן לאחר א"צ ליתן להם ובכה"ג לא שייך תקנות השוק כיון דעדיין בידה המטלטלין</w:t>
      </w:r>
      <w:r>
        <w:rPr>
          <w:rFonts w:hint="cs"/>
          <w:rtl/>
        </w:rPr>
        <w:t>, ב"ש (סק"ט).</w:t>
      </w:r>
    </w:p>
  </w:footnote>
  <w:footnote w:id="1892">
    <w:p w14:paraId="3C05E219" w14:textId="77777777" w:rsidR="00E87FA1" w:rsidRDefault="00E87FA1" w:rsidP="00E87FA1">
      <w:pPr>
        <w:pStyle w:val="a5"/>
      </w:pPr>
      <w:r>
        <w:rPr>
          <w:rStyle w:val="a7"/>
        </w:rPr>
        <w:footnoteRef/>
      </w:r>
      <w:r>
        <w:rPr>
          <w:rtl/>
        </w:rPr>
        <w:t xml:space="preserve"> </w:t>
      </w:r>
      <w:r w:rsidRPr="003D2914">
        <w:rPr>
          <w:rFonts w:cs="Arial"/>
          <w:rtl/>
        </w:rPr>
        <w:t>וסיים שם</w:t>
      </w:r>
      <w:r>
        <w:rPr>
          <w:rFonts w:cs="Arial" w:hint="cs"/>
          <w:rtl/>
        </w:rPr>
        <w:t xml:space="preserve">- </w:t>
      </w:r>
      <w:r w:rsidRPr="003D2914">
        <w:rPr>
          <w:rFonts w:cs="Arial"/>
          <w:rtl/>
        </w:rPr>
        <w:t>הוה ליה עדיין ראוי אע</w:t>
      </w:r>
      <w:r>
        <w:rPr>
          <w:rFonts w:cs="Arial" w:hint="cs"/>
          <w:rtl/>
        </w:rPr>
        <w:t>"</w:t>
      </w:r>
      <w:r w:rsidRPr="003D2914">
        <w:rPr>
          <w:rFonts w:cs="Arial"/>
          <w:rtl/>
        </w:rPr>
        <w:t>ג דהנכסים יותר מכדי כתובתה משום דהלכה כאנשי גליל (כתובות נד</w:t>
      </w:r>
      <w:r>
        <w:rPr>
          <w:rFonts w:cs="Arial" w:hint="cs"/>
          <w:rtl/>
        </w:rPr>
        <w:t>.</w:t>
      </w:r>
      <w:r w:rsidRPr="003D2914">
        <w:rPr>
          <w:rFonts w:cs="Arial"/>
          <w:rtl/>
        </w:rPr>
        <w:t>) דס"ל דאין יכולין לסלק האלמנה ממזונות</w:t>
      </w:r>
      <w:r>
        <w:rPr>
          <w:rFonts w:cs="Arial" w:hint="cs"/>
          <w:rtl/>
        </w:rPr>
        <w:t>.</w:t>
      </w:r>
      <w:r w:rsidRPr="003D2914">
        <w:rPr>
          <w:rFonts w:cs="Arial"/>
          <w:rtl/>
        </w:rPr>
        <w:t xml:space="preserve"> וכן הוא בתשובת מיימוני </w:t>
      </w:r>
      <w:r>
        <w:rPr>
          <w:rFonts w:cs="Arial" w:hint="cs"/>
          <w:rtl/>
        </w:rPr>
        <w:t>(</w:t>
      </w:r>
      <w:r w:rsidRPr="003D2914">
        <w:rPr>
          <w:rFonts w:cs="Arial"/>
          <w:rtl/>
        </w:rPr>
        <w:t>סוף ספר משפטים סי</w:t>
      </w:r>
      <w:r>
        <w:rPr>
          <w:rFonts w:cs="Arial" w:hint="cs"/>
          <w:rtl/>
        </w:rPr>
        <w:t>'</w:t>
      </w:r>
      <w:r w:rsidRPr="003D2914">
        <w:rPr>
          <w:rFonts w:cs="Arial"/>
          <w:rtl/>
        </w:rPr>
        <w:t xml:space="preserve"> ז</w:t>
      </w:r>
      <w:r>
        <w:rPr>
          <w:rFonts w:cs="Arial" w:hint="cs"/>
          <w:rtl/>
        </w:rPr>
        <w:t>).</w:t>
      </w:r>
      <w:r w:rsidRPr="003D2914">
        <w:rPr>
          <w:rFonts w:cs="Arial"/>
          <w:rtl/>
        </w:rPr>
        <w:t xml:space="preserve"> וצ"ע דבמרדכי פרק כל הנשבעי</w:t>
      </w:r>
      <w:r>
        <w:rPr>
          <w:rFonts w:cs="Arial" w:hint="cs"/>
          <w:rtl/>
        </w:rPr>
        <w:t>ן</w:t>
      </w:r>
      <w:r w:rsidRPr="003D2914">
        <w:rPr>
          <w:rFonts w:cs="Arial"/>
          <w:rtl/>
        </w:rPr>
        <w:t xml:space="preserve"> (שבועות סי' תשפ) תשובת מוהר"ם (ד"ל סי' רכו) סותרת לזה דכתב שם דהבעל יורש נכסי אשתו שנפלו לה מאביה אף על גב שעדיין היו משועבדים לאלמנת אביה</w:t>
      </w:r>
      <w:r>
        <w:rPr>
          <w:rFonts w:cs="Arial" w:hint="cs"/>
          <w:rtl/>
        </w:rPr>
        <w:t>.</w:t>
      </w:r>
      <w:r w:rsidRPr="003D2914">
        <w:rPr>
          <w:rFonts w:cs="Arial"/>
          <w:rtl/>
        </w:rPr>
        <w:t xml:space="preserve"> ואע</w:t>
      </w:r>
      <w:r>
        <w:rPr>
          <w:rFonts w:cs="Arial" w:hint="cs"/>
          <w:rtl/>
        </w:rPr>
        <w:t>"</w:t>
      </w:r>
      <w:r w:rsidRPr="003D2914">
        <w:rPr>
          <w:rFonts w:cs="Arial"/>
          <w:rtl/>
        </w:rPr>
        <w:t>ג דאין הבעל יורש את אשתו בראוי</w:t>
      </w:r>
      <w:r>
        <w:rPr>
          <w:rFonts w:cs="Arial" w:hint="cs"/>
          <w:rtl/>
        </w:rPr>
        <w:t>,</w:t>
      </w:r>
      <w:r w:rsidRPr="003D2914">
        <w:rPr>
          <w:rFonts w:cs="Arial"/>
          <w:rtl/>
        </w:rPr>
        <w:t xml:space="preserve"> כתב שם דזה מיקרי מוחזק</w:t>
      </w:r>
      <w:r>
        <w:rPr>
          <w:rFonts w:cs="Arial" w:hint="cs"/>
          <w:rtl/>
        </w:rPr>
        <w:t>.</w:t>
      </w:r>
      <w:r w:rsidRPr="003D2914">
        <w:rPr>
          <w:rFonts w:cs="Arial"/>
          <w:rtl/>
        </w:rPr>
        <w:t xml:space="preserve"> ואפשר לומר דכאן מיירי במקום שנוהגין כאנשי יהודה דמסלקין האלמנה</w:t>
      </w:r>
      <w:r>
        <w:rPr>
          <w:rFonts w:cs="Arial" w:hint="cs"/>
          <w:rtl/>
        </w:rPr>
        <w:t>,</w:t>
      </w:r>
      <w:r w:rsidRPr="003D2914">
        <w:rPr>
          <w:rFonts w:cs="Arial"/>
          <w:rtl/>
        </w:rPr>
        <w:t xml:space="preserve"> ולכן נקרא מוחזק</w:t>
      </w:r>
      <w:r>
        <w:rPr>
          <w:rFonts w:cs="Arial" w:hint="cs"/>
          <w:rtl/>
        </w:rPr>
        <w:t>,</w:t>
      </w:r>
      <w:r w:rsidRPr="003D2914">
        <w:rPr>
          <w:rFonts w:cs="Arial"/>
          <w:rtl/>
        </w:rPr>
        <w:t xml:space="preserve"> וע"ש ולעיל סימן צ"ג (עמ' תז)</w:t>
      </w:r>
      <w:r>
        <w:rPr>
          <w:rFonts w:cs="Arial" w:hint="cs"/>
          <w:rtl/>
        </w:rPr>
        <w:t>.</w:t>
      </w:r>
      <w:r w:rsidRPr="003D2914">
        <w:rPr>
          <w:rFonts w:cs="Arial"/>
          <w:rtl/>
        </w:rPr>
        <w:t xml:space="preserve"> ועיין בתשובת מהרי"ל סוף סימן ע"ה מדין ראוי אצל כתובה</w:t>
      </w:r>
      <w:r>
        <w:rPr>
          <w:rFonts w:cs="Arial" w:hint="cs"/>
          <w:rtl/>
        </w:rPr>
        <w:t>, דרכ"מ (אות ה).</w:t>
      </w:r>
    </w:p>
  </w:footnote>
  <w:footnote w:id="1893">
    <w:p w14:paraId="48BFA283" w14:textId="77777777" w:rsidR="00E87FA1" w:rsidRDefault="00E87FA1" w:rsidP="00E87FA1">
      <w:pPr>
        <w:pStyle w:val="a5"/>
      </w:pPr>
      <w:r>
        <w:rPr>
          <w:rStyle w:val="a7"/>
        </w:rPr>
        <w:footnoteRef/>
      </w:r>
      <w:r>
        <w:rPr>
          <w:rtl/>
        </w:rPr>
        <w:t xml:space="preserve"> </w:t>
      </w:r>
      <w:r w:rsidRPr="003D2914">
        <w:rPr>
          <w:rFonts w:cs="Arial"/>
          <w:rtl/>
        </w:rPr>
        <w:t>והמגיד משנה פי"ו דאישות (הל' א, ג) הזכיר ב' הסברות והאריך בדבר זה אימת הנדוניא בכלל כתובה</w:t>
      </w:r>
      <w:r>
        <w:rPr>
          <w:rFonts w:cs="Arial" w:hint="cs"/>
          <w:rtl/>
        </w:rPr>
        <w:t>, דרכ"מ (אות א).</w:t>
      </w:r>
    </w:p>
  </w:footnote>
  <w:footnote w:id="1894">
    <w:p w14:paraId="3380F15A" w14:textId="77777777" w:rsidR="00392DBB" w:rsidRDefault="00392DBB" w:rsidP="00392DBB">
      <w:pPr>
        <w:pStyle w:val="a5"/>
      </w:pPr>
      <w:r>
        <w:rPr>
          <w:rStyle w:val="a7"/>
        </w:rPr>
        <w:footnoteRef/>
      </w:r>
      <w:r>
        <w:rPr>
          <w:rtl/>
        </w:rPr>
        <w:t xml:space="preserve"> </w:t>
      </w:r>
      <w:r w:rsidRPr="00413A05">
        <w:rPr>
          <w:rFonts w:cs="Arial"/>
          <w:rtl/>
        </w:rPr>
        <w:t>כלו' אפילו שבח דממילא כגון אם נתיקרו הנכסים או עלו בה אילנו' ומכ"ש מה שהשביחו היורשים והלקוחות ע"י הוצאה וטרחא שלהם ואם השביחה האלמנה עיין לעיל סי' צ"ה כמה חלוקים בזה</w:t>
      </w:r>
      <w:r>
        <w:rPr>
          <w:rFonts w:cs="Arial" w:hint="cs"/>
          <w:rtl/>
        </w:rPr>
        <w:t>, ח"מ (סקי"ב).</w:t>
      </w:r>
      <w:r w:rsidRPr="00795280">
        <w:rPr>
          <w:rtl/>
        </w:rPr>
        <w:t xml:space="preserve"> </w:t>
      </w:r>
      <w:r w:rsidRPr="00795280">
        <w:rPr>
          <w:rFonts w:cs="Arial"/>
          <w:rtl/>
        </w:rPr>
        <w:t xml:space="preserve">ועיין בס' ב"מ שכ' דהוא תמוה דודאי לא גרעה מבכור (בח"מ סי' רעח ס"ו) וגביא משבחא דממילא דלא נשתנה כגון ארעא ואסקה שרטון או דיקלא ואלים ומכ"ש נתיקרה כדמוכח בבכורות </w:t>
      </w:r>
      <w:r>
        <w:rPr>
          <w:rFonts w:cs="Arial" w:hint="cs"/>
          <w:rtl/>
        </w:rPr>
        <w:t>(</w:t>
      </w:r>
      <w:r w:rsidRPr="00795280">
        <w:rPr>
          <w:rFonts w:cs="Arial"/>
          <w:rtl/>
        </w:rPr>
        <w:t>נב</w:t>
      </w:r>
      <w:r>
        <w:rPr>
          <w:rFonts w:cs="Arial" w:hint="cs"/>
          <w:rtl/>
        </w:rPr>
        <w:t>.)</w:t>
      </w:r>
      <w:r w:rsidRPr="00795280">
        <w:rPr>
          <w:rFonts w:cs="Arial"/>
          <w:rtl/>
        </w:rPr>
        <w:t xml:space="preserve"> כו'</w:t>
      </w:r>
      <w:r>
        <w:rPr>
          <w:rFonts w:cs="Arial" w:hint="cs"/>
          <w:rtl/>
        </w:rPr>
        <w:t>.</w:t>
      </w:r>
      <w:r w:rsidRPr="00795280">
        <w:rPr>
          <w:rFonts w:cs="Arial"/>
          <w:rtl/>
        </w:rPr>
        <w:t xml:space="preserve"> וכן מצאתי להדיא בש"ך </w:t>
      </w:r>
      <w:r>
        <w:rPr>
          <w:rFonts w:cs="Arial" w:hint="cs"/>
          <w:rtl/>
        </w:rPr>
        <w:t>(</w:t>
      </w:r>
      <w:r w:rsidRPr="00795280">
        <w:rPr>
          <w:rFonts w:cs="Arial"/>
          <w:rtl/>
        </w:rPr>
        <w:t>ח</w:t>
      </w:r>
      <w:r>
        <w:rPr>
          <w:rFonts w:cs="Arial" w:hint="cs"/>
          <w:rtl/>
        </w:rPr>
        <w:t>ו</w:t>
      </w:r>
      <w:r w:rsidRPr="00795280">
        <w:rPr>
          <w:rFonts w:cs="Arial"/>
          <w:rtl/>
        </w:rPr>
        <w:t>"מ סי' קטו ססקל"ב</w:t>
      </w:r>
      <w:r>
        <w:rPr>
          <w:rFonts w:cs="Arial" w:hint="cs"/>
          <w:rtl/>
        </w:rPr>
        <w:t>)</w:t>
      </w:r>
      <w:r w:rsidRPr="00795280">
        <w:rPr>
          <w:rFonts w:cs="Arial"/>
          <w:rtl/>
        </w:rPr>
        <w:t xml:space="preserve"> שכ' וז"ל דהא אפילו בכור וכתובת אשה גובה משבח דנתיקרה לכ"ע עכ"ל ועיין בת' נו"ב חח"מ סי' ט'</w:t>
      </w:r>
      <w:r>
        <w:rPr>
          <w:rFonts w:hint="cs"/>
          <w:rtl/>
        </w:rPr>
        <w:t>, פת"ש (סק"ה).</w:t>
      </w:r>
    </w:p>
  </w:footnote>
  <w:footnote w:id="1895">
    <w:p w14:paraId="74B7CDA7" w14:textId="77777777" w:rsidR="00392DBB" w:rsidRDefault="00392DBB" w:rsidP="00392DBB">
      <w:pPr>
        <w:pStyle w:val="a5"/>
      </w:pPr>
      <w:r>
        <w:rPr>
          <w:rStyle w:val="a7"/>
        </w:rPr>
        <w:footnoteRef/>
      </w:r>
      <w:r>
        <w:rPr>
          <w:rtl/>
        </w:rPr>
        <w:t xml:space="preserve"> </w:t>
      </w:r>
      <w:r w:rsidRPr="00795280">
        <w:rPr>
          <w:rFonts w:cs="Arial"/>
          <w:rtl/>
        </w:rPr>
        <w:t xml:space="preserve">עבה"ט </w:t>
      </w:r>
      <w:r>
        <w:rPr>
          <w:rFonts w:cs="Arial" w:hint="cs"/>
          <w:rtl/>
        </w:rPr>
        <w:t xml:space="preserve">(סק"י) </w:t>
      </w:r>
      <w:r w:rsidRPr="00795280">
        <w:rPr>
          <w:rFonts w:cs="Arial"/>
          <w:rtl/>
        </w:rPr>
        <w:t>שכ' אפי' מבעל עצמו מהרי"ו סי' מ'. ועיין בס' ב"מ שכ' דאף שמבואר שם הכי מ"מ לע"ד בכיון גדול השמיט הרמ"א ז"ל דברים אלו כי המה תמוהים כו' ע"ש</w:t>
      </w:r>
      <w:r>
        <w:rPr>
          <w:rFonts w:cs="Arial" w:hint="cs"/>
          <w:rtl/>
        </w:rPr>
        <w:t>, פת"ש (סק"ו).</w:t>
      </w:r>
    </w:p>
  </w:footnote>
  <w:footnote w:id="1896">
    <w:p w14:paraId="4A597634" w14:textId="77777777" w:rsidR="00392DBB" w:rsidRDefault="00392DBB" w:rsidP="00392DBB">
      <w:pPr>
        <w:pStyle w:val="a5"/>
      </w:pPr>
      <w:r>
        <w:rPr>
          <w:rStyle w:val="a7"/>
        </w:rPr>
        <w:footnoteRef/>
      </w:r>
      <w:r>
        <w:rPr>
          <w:rtl/>
        </w:rPr>
        <w:t xml:space="preserve"> </w:t>
      </w:r>
      <w:r w:rsidRPr="00413A05">
        <w:rPr>
          <w:rFonts w:cs="Arial"/>
          <w:rtl/>
        </w:rPr>
        <w:t>לאו דוקא נקט הרב מהרי"ו</w:t>
      </w:r>
      <w:r>
        <w:rPr>
          <w:rFonts w:cs="Arial" w:hint="cs"/>
          <w:rtl/>
        </w:rPr>
        <w:t>...</w:t>
      </w:r>
      <w:r w:rsidRPr="00413A05">
        <w:rPr>
          <w:rFonts w:cs="Arial"/>
          <w:rtl/>
        </w:rPr>
        <w:t xml:space="preserve"> לפרוע לאחר שנתים</w:t>
      </w:r>
      <w:r>
        <w:rPr>
          <w:rFonts w:cs="Arial" w:hint="cs"/>
          <w:rtl/>
        </w:rPr>
        <w:t>,</w:t>
      </w:r>
      <w:r w:rsidRPr="00413A05">
        <w:rPr>
          <w:rFonts w:cs="Arial"/>
          <w:rtl/>
        </w:rPr>
        <w:t xml:space="preserve"> רק דקושטא דמילתא נקט שמעשה כך היה שם אבל לדינא אף שצוה ליתן לבנו מתנה מיד ומת הבן ולא גבה הוה ליה כשכר פעול' ומיקרי ראוי</w:t>
      </w:r>
      <w:r>
        <w:rPr>
          <w:rFonts w:cs="Arial" w:hint="cs"/>
          <w:rtl/>
        </w:rPr>
        <w:t>, ח"מ (סקי"ג).</w:t>
      </w:r>
    </w:p>
  </w:footnote>
  <w:footnote w:id="1897">
    <w:p w14:paraId="65189084" w14:textId="77777777" w:rsidR="00392DBB" w:rsidRDefault="00392DBB" w:rsidP="00392DBB">
      <w:pPr>
        <w:pStyle w:val="a5"/>
      </w:pPr>
      <w:r>
        <w:rPr>
          <w:rStyle w:val="a7"/>
        </w:rPr>
        <w:footnoteRef/>
      </w:r>
      <w:r>
        <w:rPr>
          <w:rtl/>
        </w:rPr>
        <w:t xml:space="preserve"> </w:t>
      </w:r>
      <w:r w:rsidRPr="00B67DE7">
        <w:rPr>
          <w:rFonts w:cs="Arial"/>
          <w:rtl/>
        </w:rPr>
        <w:t>כלומר אפי' מת יעקב קודם ראובן ומכ"ש מת ראובן תחלה דפשיטא דהוי נכסי יעקב ראוי</w:t>
      </w:r>
      <w:r>
        <w:rPr>
          <w:rFonts w:cs="Arial" w:hint="cs"/>
          <w:rtl/>
        </w:rPr>
        <w:t>, ח"מ (סקט"ו).</w:t>
      </w:r>
    </w:p>
  </w:footnote>
  <w:footnote w:id="1898">
    <w:p w14:paraId="7A6CF9CE" w14:textId="77777777" w:rsidR="00392DBB" w:rsidRDefault="00392DBB" w:rsidP="00392DBB">
      <w:pPr>
        <w:pStyle w:val="a5"/>
        <w:rPr>
          <w:rtl/>
        </w:rPr>
      </w:pPr>
      <w:r>
        <w:rPr>
          <w:rStyle w:val="a7"/>
        </w:rPr>
        <w:footnoteRef/>
      </w:r>
      <w:r>
        <w:rPr>
          <w:rtl/>
        </w:rPr>
        <w:t xml:space="preserve"> </w:t>
      </w:r>
      <w:r w:rsidRPr="00B67DE7">
        <w:rPr>
          <w:rFonts w:cs="Arial"/>
          <w:rtl/>
        </w:rPr>
        <w:t>משמע אף שלאחר שמת ראובן מתה ג"כ אלמנת יעקב אפ"ה מיקרי ראוי דהכל תלוי בשעת מיתת ראובן ודוקא לענין כתובה מקרי ראוי לגבי אשת ראובן הואיל והנכסים היו משועבדי' לאלמנת יעקב לכתובה ולמזונות וכתובת אלמנת יעקב מבטל כתובת אלמנת ראובן אבל לענין ירושת הבעל כגון אם מת יעקב בחיי דינה בתו ואח"כ מתה דינה אזי בעלה של דינה יורש אותה מה שירשה מיעקב אביה אף שהיו הנכסים משועבדים לאלמנת יעקב אפ"ה נקראים הנכסים מוחזקי' לבת כמו שפסק לעיל בסי' צ' סעיף ח' והטעם מבואר בתשובת מהרי"ל</w:t>
      </w:r>
      <w:r>
        <w:rPr>
          <w:rFonts w:cs="Arial" w:hint="cs"/>
          <w:rtl/>
        </w:rPr>
        <w:t xml:space="preserve"> (שם)...</w:t>
      </w:r>
      <w:r>
        <w:rPr>
          <w:rFonts w:hint="cs"/>
          <w:rtl/>
        </w:rPr>
        <w:t>, ח"מ (סקט"ז).</w:t>
      </w:r>
    </w:p>
  </w:footnote>
  <w:footnote w:id="1899">
    <w:p w14:paraId="41B85C95" w14:textId="69359B6C" w:rsidR="00392DBB" w:rsidRDefault="00392DBB" w:rsidP="00392DBB">
      <w:pPr>
        <w:pStyle w:val="a5"/>
      </w:pPr>
      <w:r>
        <w:rPr>
          <w:rStyle w:val="a7"/>
        </w:rPr>
        <w:footnoteRef/>
      </w:r>
      <w:r>
        <w:rPr>
          <w:rtl/>
        </w:rPr>
        <w:t xml:space="preserve"> </w:t>
      </w:r>
      <w:r w:rsidRPr="00416DF6">
        <w:rPr>
          <w:rFonts w:cs="Arial"/>
          <w:rtl/>
        </w:rPr>
        <w:t>זה לשון מהר"מ אלמנה שמת חמיה קודם בעלה אין לה לגבות כתובתה מנכסי חמיה מחלק ירושת הבעל דכיון דחמיה הניח אלמנה וק"ל הלכה כאנשי גליל (דניזונית האלמנה בע"כ של היתומים כמבואר לעיל ריש סי' צ"ה בחלק' מחוקק) הוי להו כל נכסי חמיה ראוי לגבי בעלה ואינה נוטל' בראוי ואפי' יש במוחזק יותר על כתובת חמותה משמע במקום שק"ל כאנשי יהודה (דביד היורשים לסלק' בעל כרח' וכמבואר ג"כ לעיל ריש סי' צ"ה) אי יש במוחזק יותר על כתובת חמותה גובה כתובתה מן המותר אבל מה שכנגד כתובת חמותה ודאי הוי ראוי אף אם מתה חמות' דכתוב' מבטל כתובה וכמ"ש לעיל בס"ק לפני זה ובב"ח השיג כאן על דברי הרב ואין דבריו ברורים</w:t>
      </w:r>
      <w:r w:rsidR="00374566">
        <w:rPr>
          <w:rFonts w:cs="Arial" w:hint="cs"/>
          <w:rtl/>
        </w:rPr>
        <w:t>.</w:t>
      </w:r>
      <w:r w:rsidRPr="00416DF6">
        <w:rPr>
          <w:rFonts w:cs="Arial"/>
          <w:rtl/>
        </w:rPr>
        <w:t xml:space="preserve"> וכדברי הרב מוכח במרדכי פ' נערה וכמו שהעתקתי לעיל לשונו</w:t>
      </w:r>
      <w:r>
        <w:rPr>
          <w:rFonts w:cs="Arial" w:hint="cs"/>
          <w:rtl/>
        </w:rPr>
        <w:t>, ח"מ (סקי"ז).</w:t>
      </w:r>
    </w:p>
  </w:footnote>
  <w:footnote w:id="1900">
    <w:p w14:paraId="58C486A3" w14:textId="422449A9" w:rsidR="00392DBB" w:rsidRDefault="00392DBB" w:rsidP="00392DBB">
      <w:pPr>
        <w:pStyle w:val="a5"/>
      </w:pPr>
      <w:r>
        <w:rPr>
          <w:rStyle w:val="a7"/>
        </w:rPr>
        <w:footnoteRef/>
      </w:r>
      <w:r>
        <w:rPr>
          <w:rtl/>
        </w:rPr>
        <w:t xml:space="preserve"> </w:t>
      </w:r>
      <w:r w:rsidRPr="00416DF6">
        <w:rPr>
          <w:rFonts w:cs="Arial"/>
          <w:rtl/>
        </w:rPr>
        <w:t>ומיירי דלא נתייאש מן הגניבה וכן הוא במרדכי וכן הוא בתשו' מהרי"ל הנ"ל וכי מייאש הוי ראוי אע</w:t>
      </w:r>
      <w:r w:rsidR="00374566">
        <w:rPr>
          <w:rFonts w:cs="Arial" w:hint="cs"/>
          <w:rtl/>
        </w:rPr>
        <w:t>"</w:t>
      </w:r>
      <w:r w:rsidRPr="00416DF6">
        <w:rPr>
          <w:rFonts w:cs="Arial"/>
          <w:rtl/>
        </w:rPr>
        <w:t>ג שהי' מוחזק נעשה ראוי וע' עוד במרדכי על אשה שמת בעלה והניח לבנו גוף הבית ולאלמנתו הפירות ומת הבן בחיי אמו נקרא הבן מוחזק בבית ואשת הבן גובה כתובתה מן הבית וכן עשו מעשה בקלוני'</w:t>
      </w:r>
      <w:r>
        <w:rPr>
          <w:rFonts w:cs="Arial" w:hint="cs"/>
          <w:rtl/>
        </w:rPr>
        <w:t>, ח"מ (סקי"ח).</w:t>
      </w:r>
    </w:p>
  </w:footnote>
  <w:footnote w:id="1901">
    <w:p w14:paraId="066DF223" w14:textId="77777777" w:rsidR="00392DBB" w:rsidRDefault="00392DBB" w:rsidP="00392DBB">
      <w:pPr>
        <w:pStyle w:val="a5"/>
      </w:pPr>
      <w:r>
        <w:rPr>
          <w:rStyle w:val="a7"/>
        </w:rPr>
        <w:footnoteRef/>
      </w:r>
      <w:r>
        <w:rPr>
          <w:rtl/>
        </w:rPr>
        <w:t xml:space="preserve"> </w:t>
      </w:r>
      <w:r w:rsidRPr="00416DF6">
        <w:rPr>
          <w:rFonts w:cs="Arial"/>
          <w:rtl/>
        </w:rPr>
        <w:t>לעיל סי' צ לענין ירושת הבעל לא הוי מלוה שלה מוחזק לגבי דידי' וכן לענין בכור מבואר בח"מ סי' רע"ח דאין הבכור נוטל פי שנים במלוה אפילו בשטר אף על פי שגבו קרקע בחוב אביהם מ"מ כתובה עדיפא לענין זה ומקרי מוחזק לגבי כתובת אשה וב"ח משום דמשתעבדא להו מחיים מדר' נתן וע' בב"י שהעתיק דברי הרא"ש ודוקא מלוה שחייבים לבעל אבל מלוה שירש הבעל ממורישיו ולא בא עדיין לידו ולא היה בידו מעולם מיקרי ראוי לענין כתובה וע' בתשוב' מהרי"ו סי' מ'</w:t>
      </w:r>
      <w:r>
        <w:rPr>
          <w:rFonts w:cs="Arial" w:hint="cs"/>
          <w:rtl/>
        </w:rPr>
        <w:t>, ח"מ (סקי"ט).</w:t>
      </w:r>
    </w:p>
  </w:footnote>
  <w:footnote w:id="1902">
    <w:p w14:paraId="42EED0CD" w14:textId="77777777" w:rsidR="00392DBB" w:rsidRDefault="00392DBB" w:rsidP="00392DBB">
      <w:pPr>
        <w:pStyle w:val="a5"/>
      </w:pPr>
      <w:r>
        <w:rPr>
          <w:rStyle w:val="a7"/>
        </w:rPr>
        <w:footnoteRef/>
      </w:r>
      <w:r>
        <w:rPr>
          <w:rtl/>
        </w:rPr>
        <w:t xml:space="preserve"> </w:t>
      </w:r>
      <w:r w:rsidRPr="00416DF6">
        <w:rPr>
          <w:rFonts w:cs="Arial"/>
          <w:rtl/>
        </w:rPr>
        <w:t>כלומר ונגבין מן הבינונים ולענין שבח דינו כמו שנתבאר בח"מ סי' קט"ו בדין ראוי אצל ב"ח ע' בח"מ סי' ק"ד ובסי' ק"ז ובסי' קי"א ובתשוב' מהרש"ל מה שנחלק עם הרב מהרמ"א בדין ראוי ואין כאן מקום להאריך מה ששייך לח"מ</w:t>
      </w:r>
      <w:r>
        <w:rPr>
          <w:rFonts w:cs="Arial" w:hint="cs"/>
          <w:rtl/>
        </w:rPr>
        <w:t>, ח"מ (סק"כ).</w:t>
      </w:r>
    </w:p>
  </w:footnote>
  <w:footnote w:id="1903">
    <w:p w14:paraId="5ECD2921" w14:textId="77777777" w:rsidR="00392DBB" w:rsidRDefault="00392DBB" w:rsidP="00392DBB">
      <w:pPr>
        <w:pStyle w:val="a5"/>
      </w:pPr>
      <w:r>
        <w:rPr>
          <w:rStyle w:val="a7"/>
        </w:rPr>
        <w:footnoteRef/>
      </w:r>
      <w:r>
        <w:rPr>
          <w:rtl/>
        </w:rPr>
        <w:t xml:space="preserve"> </w:t>
      </w:r>
      <w:r w:rsidRPr="006E41F4">
        <w:rPr>
          <w:rFonts w:cs="Arial"/>
          <w:rtl/>
        </w:rPr>
        <w:t>דטעמ</w:t>
      </w:r>
      <w:r>
        <w:rPr>
          <w:rFonts w:cs="Arial" w:hint="cs"/>
          <w:rtl/>
        </w:rPr>
        <w:t>א</w:t>
      </w:r>
      <w:r w:rsidRPr="006E41F4">
        <w:rPr>
          <w:rFonts w:cs="Arial"/>
          <w:rtl/>
        </w:rPr>
        <w:t xml:space="preserve"> דב</w:t>
      </w:r>
      <w:r>
        <w:rPr>
          <w:rFonts w:cs="Arial" w:hint="cs"/>
          <w:rtl/>
        </w:rPr>
        <w:t>ע"</w:t>
      </w:r>
      <w:r w:rsidRPr="006E41F4">
        <w:rPr>
          <w:rFonts w:cs="Arial"/>
          <w:rtl/>
        </w:rPr>
        <w:t>ח בבינונית משום נעילת דלת</w:t>
      </w:r>
      <w:r>
        <w:rPr>
          <w:rFonts w:cs="Arial" w:hint="cs"/>
          <w:rtl/>
        </w:rPr>
        <w:t>,</w:t>
      </w:r>
      <w:r w:rsidRPr="006E41F4">
        <w:rPr>
          <w:rFonts w:cs="Arial"/>
          <w:rtl/>
        </w:rPr>
        <w:t xml:space="preserve"> וזה לא שייך באשה ואדינא מוקמינן דכל ב</w:t>
      </w:r>
      <w:r>
        <w:rPr>
          <w:rFonts w:cs="Arial" w:hint="cs"/>
          <w:rtl/>
        </w:rPr>
        <w:t>ע</w:t>
      </w:r>
      <w:r w:rsidRPr="006E41F4">
        <w:rPr>
          <w:rFonts w:cs="Arial"/>
          <w:rtl/>
        </w:rPr>
        <w:t>"ח מן התורה בזיבורית</w:t>
      </w:r>
      <w:r>
        <w:rPr>
          <w:rFonts w:cs="Arial" w:hint="cs"/>
          <w:rtl/>
        </w:rPr>
        <w:t>.</w:t>
      </w:r>
      <w:r w:rsidRPr="006E41F4">
        <w:rPr>
          <w:rFonts w:cs="Arial"/>
          <w:rtl/>
        </w:rPr>
        <w:t xml:space="preserve"> והדעה הראשונה סוברת דאף דק"ל דיותר משהאיש רוצה לישא האשה רוצה להנשא היינו לענין מה שהבעל נותן לה משלו אבל במה שהביאה מביתה אם תוציאנה בזיבורית ממנעי ולא נסבי</w:t>
      </w:r>
      <w:r>
        <w:rPr>
          <w:rFonts w:cs="Arial" w:hint="cs"/>
          <w:rtl/>
        </w:rPr>
        <w:t>.</w:t>
      </w:r>
      <w:r w:rsidRPr="006E41F4">
        <w:rPr>
          <w:rFonts w:cs="Arial"/>
          <w:rtl/>
        </w:rPr>
        <w:t xml:space="preserve"> וכתב הר"ן שלזה הדעת נוטה</w:t>
      </w:r>
      <w:r>
        <w:rPr>
          <w:rFonts w:cs="Arial" w:hint="cs"/>
          <w:rtl/>
        </w:rPr>
        <w:t>.</w:t>
      </w:r>
      <w:r w:rsidRPr="006E41F4">
        <w:rPr>
          <w:rFonts w:cs="Arial"/>
          <w:rtl/>
        </w:rPr>
        <w:t xml:space="preserve"> גם המ"מ הביא שני הדעות פט"ז מה"א וכ' שמן הירוש</w:t>
      </w:r>
      <w:r>
        <w:rPr>
          <w:rFonts w:cs="Arial" w:hint="cs"/>
          <w:rtl/>
        </w:rPr>
        <w:t>למי</w:t>
      </w:r>
      <w:r w:rsidRPr="006E41F4">
        <w:rPr>
          <w:rFonts w:cs="Arial"/>
          <w:rtl/>
        </w:rPr>
        <w:t xml:space="preserve"> נראה דנצ"ב בבינונית</w:t>
      </w:r>
      <w:r>
        <w:rPr>
          <w:rFonts w:cs="Arial" w:hint="cs"/>
          <w:rtl/>
        </w:rPr>
        <w:t>, ח"מ (סקכ"א).</w:t>
      </w:r>
    </w:p>
  </w:footnote>
  <w:footnote w:id="1904">
    <w:p w14:paraId="0B3B7676" w14:textId="173B350C" w:rsidR="009F3B6E" w:rsidRDefault="009F3B6E" w:rsidP="009F3B6E">
      <w:pPr>
        <w:pStyle w:val="a5"/>
      </w:pPr>
      <w:r>
        <w:rPr>
          <w:rStyle w:val="a7"/>
        </w:rPr>
        <w:footnoteRef/>
      </w:r>
      <w:r>
        <w:rPr>
          <w:rtl/>
        </w:rPr>
        <w:t xml:space="preserve"> </w:t>
      </w:r>
      <w:r>
        <w:rPr>
          <w:rFonts w:hint="cs"/>
          <w:rtl/>
        </w:rPr>
        <w:t>סימן - מ</w:t>
      </w:r>
      <w:r w:rsidR="006E4974">
        <w:rPr>
          <w:rFonts w:hint="cs"/>
          <w:rtl/>
        </w:rPr>
        <w:t>וכרים</w:t>
      </w:r>
      <w:r>
        <w:rPr>
          <w:rFonts w:hint="cs"/>
          <w:rtl/>
        </w:rPr>
        <w:t xml:space="preserve"> ביחד. וכן - מכרו טוגדר (לדף מט). וכן - נחת.</w:t>
      </w:r>
    </w:p>
  </w:footnote>
  <w:footnote w:id="1905">
    <w:p w14:paraId="7FAFBCF6" w14:textId="77777777" w:rsidR="00392DBB" w:rsidRDefault="00392DBB" w:rsidP="00392DBB">
      <w:pPr>
        <w:pStyle w:val="a5"/>
        <w:rPr>
          <w:rtl/>
        </w:rPr>
      </w:pPr>
      <w:r>
        <w:rPr>
          <w:rStyle w:val="a7"/>
        </w:rPr>
        <w:footnoteRef/>
      </w:r>
      <w:r>
        <w:rPr>
          <w:rFonts w:hint="cs"/>
          <w:rtl/>
        </w:rPr>
        <w:t xml:space="preserve"> </w:t>
      </w:r>
      <w:r>
        <w:rPr>
          <w:rFonts w:cs="Arial"/>
          <w:rtl/>
        </w:rPr>
        <w:t>ראיית עדים או שטר תועיל לו לקיים מכירתה דאם מכרה לו אשתו נכסי מלוג שלה קנה</w:t>
      </w:r>
      <w:r>
        <w:rPr>
          <w:rFonts w:hint="cs"/>
          <w:rtl/>
        </w:rPr>
        <w:t>, רשב"ם.</w:t>
      </w:r>
    </w:p>
  </w:footnote>
  <w:footnote w:id="1906">
    <w:p w14:paraId="13F131BD" w14:textId="77777777" w:rsidR="00392DBB" w:rsidRDefault="00392DBB" w:rsidP="00392DBB">
      <w:pPr>
        <w:pStyle w:val="a5"/>
        <w:rPr>
          <w:rtl/>
        </w:rPr>
      </w:pPr>
      <w:r>
        <w:rPr>
          <w:rStyle w:val="a7"/>
        </w:rPr>
        <w:footnoteRef/>
      </w:r>
      <w:r>
        <w:rPr>
          <w:rFonts w:hint="cs"/>
          <w:rtl/>
        </w:rPr>
        <w:t xml:space="preserve"> </w:t>
      </w:r>
      <w:r>
        <w:rPr>
          <w:rFonts w:cs="Arial"/>
          <w:rtl/>
        </w:rPr>
        <w:t>שמכרתי לו שלא יכעוס עלי אבל לא היה בדעתי להקנותו</w:t>
      </w:r>
      <w:r>
        <w:rPr>
          <w:rFonts w:hint="cs"/>
          <w:rtl/>
        </w:rPr>
        <w:t>, רשב"ם.</w:t>
      </w:r>
    </w:p>
  </w:footnote>
  <w:footnote w:id="1907">
    <w:p w14:paraId="270DE99E" w14:textId="77777777" w:rsidR="00392DBB" w:rsidRDefault="00392DBB" w:rsidP="00392DBB">
      <w:pPr>
        <w:pStyle w:val="a5"/>
        <w:rPr>
          <w:rtl/>
        </w:rPr>
      </w:pPr>
      <w:r>
        <w:rPr>
          <w:rStyle w:val="a7"/>
        </w:rPr>
        <w:footnoteRef/>
      </w:r>
      <w:r>
        <w:rPr>
          <w:rFonts w:hint="cs"/>
          <w:rtl/>
        </w:rPr>
        <w:t xml:space="preserve"> </w:t>
      </w:r>
      <w:r>
        <w:rPr>
          <w:rFonts w:cs="Arial"/>
          <w:rtl/>
        </w:rPr>
        <w:t>דכי הך טענה יכולה אשה שתטעון לאחרים שקנו מבעלה וכל שכן שמכרה לבעל עצמו</w:t>
      </w:r>
      <w:r>
        <w:rPr>
          <w:rFonts w:hint="cs"/>
          <w:rtl/>
        </w:rPr>
        <w:t>, רשב"ם.</w:t>
      </w:r>
    </w:p>
  </w:footnote>
  <w:footnote w:id="1908">
    <w:p w14:paraId="5BC81096" w14:textId="77777777" w:rsidR="00392DBB" w:rsidRDefault="00392DBB" w:rsidP="00392DBB">
      <w:pPr>
        <w:pStyle w:val="a5"/>
        <w:rPr>
          <w:rtl/>
        </w:rPr>
      </w:pPr>
      <w:r>
        <w:rPr>
          <w:rStyle w:val="a7"/>
        </w:rPr>
        <w:footnoteRef/>
      </w:r>
      <w:r>
        <w:rPr>
          <w:rFonts w:hint="cs"/>
          <w:rtl/>
        </w:rPr>
        <w:t xml:space="preserve"> </w:t>
      </w:r>
      <w:r>
        <w:rPr>
          <w:rFonts w:cs="Arial"/>
          <w:rtl/>
        </w:rPr>
        <w:t>מן הבעל כל קרקעותיו משועבדים לכתובת אשתו והיום או למחר אם ימות או יגרשנה תטרוף מלקוחות אם לא תמצא בני חורין</w:t>
      </w:r>
      <w:r>
        <w:rPr>
          <w:rFonts w:hint="cs"/>
          <w:rtl/>
        </w:rPr>
        <w:t>, רשב"ם.</w:t>
      </w:r>
    </w:p>
  </w:footnote>
  <w:footnote w:id="1909">
    <w:p w14:paraId="2531418E" w14:textId="77777777" w:rsidR="00392DBB" w:rsidRDefault="00392DBB" w:rsidP="00392DBB">
      <w:pPr>
        <w:pStyle w:val="a5"/>
        <w:rPr>
          <w:rtl/>
        </w:rPr>
      </w:pPr>
      <w:r>
        <w:rPr>
          <w:rStyle w:val="a7"/>
        </w:rPr>
        <w:footnoteRef/>
      </w:r>
      <w:r>
        <w:rPr>
          <w:rFonts w:hint="cs"/>
          <w:rtl/>
        </w:rPr>
        <w:t xml:space="preserve"> </w:t>
      </w:r>
      <w:r>
        <w:rPr>
          <w:rFonts w:cs="Arial"/>
          <w:rtl/>
        </w:rPr>
        <w:t>זה הלוקח</w:t>
      </w:r>
      <w:r>
        <w:rPr>
          <w:rFonts w:hint="cs"/>
          <w:rtl/>
        </w:rPr>
        <w:t>, רשב"ם.</w:t>
      </w:r>
    </w:p>
  </w:footnote>
  <w:footnote w:id="1910">
    <w:p w14:paraId="6DACB01C" w14:textId="77777777" w:rsidR="00392DBB" w:rsidRDefault="00392DBB" w:rsidP="00392DBB">
      <w:pPr>
        <w:pStyle w:val="a5"/>
        <w:rPr>
          <w:rtl/>
        </w:rPr>
      </w:pPr>
      <w:r>
        <w:rPr>
          <w:rStyle w:val="a7"/>
        </w:rPr>
        <w:footnoteRef/>
      </w:r>
      <w:r>
        <w:rPr>
          <w:rFonts w:hint="cs"/>
          <w:rtl/>
        </w:rPr>
        <w:t xml:space="preserve"> </w:t>
      </w:r>
      <w:r>
        <w:rPr>
          <w:rFonts w:cs="Arial"/>
          <w:rtl/>
        </w:rPr>
        <w:t>נתן לה דבר מועט והקנתו לו כדי שלא תטרוף ממנו חוב כתובתה</w:t>
      </w:r>
      <w:r>
        <w:rPr>
          <w:rFonts w:hint="cs"/>
          <w:rtl/>
        </w:rPr>
        <w:t>, רשב"ם.</w:t>
      </w:r>
    </w:p>
  </w:footnote>
  <w:footnote w:id="1911">
    <w:p w14:paraId="14ED25F9" w14:textId="77777777" w:rsidR="00392DBB" w:rsidRDefault="00392DBB" w:rsidP="00392DBB">
      <w:pPr>
        <w:pStyle w:val="a5"/>
        <w:rPr>
          <w:rtl/>
        </w:rPr>
      </w:pPr>
      <w:r>
        <w:rPr>
          <w:rStyle w:val="a7"/>
        </w:rPr>
        <w:footnoteRef/>
      </w:r>
      <w:r>
        <w:rPr>
          <w:rFonts w:hint="cs"/>
          <w:rtl/>
        </w:rPr>
        <w:t xml:space="preserve"> </w:t>
      </w:r>
      <w:r>
        <w:rPr>
          <w:rFonts w:cs="Arial"/>
          <w:rtl/>
        </w:rPr>
        <w:t>לא בטל ממש שכל זמן שיחיה הבעל יאכל זה הלוקח פירות אלא האי מקחו בטל אחזר ולקח מן האשה קאי דהוי בטל לגמרי ההוא מקח וכשתבוא לגבות כתובתה תטרוף ממנו</w:t>
      </w:r>
      <w:r>
        <w:rPr>
          <w:rFonts w:hint="cs"/>
          <w:rtl/>
        </w:rPr>
        <w:t>, רשב"ם.</w:t>
      </w:r>
    </w:p>
  </w:footnote>
  <w:footnote w:id="1912">
    <w:p w14:paraId="68D68869" w14:textId="77777777" w:rsidR="00392DBB" w:rsidRDefault="00392DBB" w:rsidP="00392DBB">
      <w:pPr>
        <w:pStyle w:val="a5"/>
        <w:rPr>
          <w:rtl/>
        </w:rPr>
      </w:pPr>
      <w:r>
        <w:rPr>
          <w:rStyle w:val="a7"/>
        </w:rPr>
        <w:footnoteRef/>
      </w:r>
      <w:r>
        <w:rPr>
          <w:rFonts w:hint="cs"/>
          <w:rtl/>
        </w:rPr>
        <w:t xml:space="preserve"> </w:t>
      </w:r>
      <w:r>
        <w:rPr>
          <w:rFonts w:cs="Arial"/>
          <w:rtl/>
        </w:rPr>
        <w:t>למיתני מקחו בטל היכא דחזר ולקח מן האשה אלא באותן ג' שדות המשועבדות לה יותר משאר נכסים ודעתה סמכה עלייהו טפי דודאי לא גמרה ואקנייה אלא נחת רוח עשתה לבעלה</w:t>
      </w:r>
      <w:r>
        <w:rPr>
          <w:rFonts w:hint="cs"/>
          <w:rtl/>
        </w:rPr>
        <w:t>, רשב"ם.</w:t>
      </w:r>
    </w:p>
  </w:footnote>
  <w:footnote w:id="1913">
    <w:p w14:paraId="093C24E0" w14:textId="77777777" w:rsidR="00392DBB" w:rsidRDefault="00392DBB" w:rsidP="00392DBB">
      <w:pPr>
        <w:pStyle w:val="a5"/>
        <w:rPr>
          <w:rtl/>
        </w:rPr>
      </w:pPr>
      <w:r>
        <w:rPr>
          <w:rStyle w:val="a7"/>
        </w:rPr>
        <w:footnoteRef/>
      </w:r>
      <w:r>
        <w:rPr>
          <w:rFonts w:hint="cs"/>
          <w:rtl/>
        </w:rPr>
        <w:t xml:space="preserve"> </w:t>
      </w:r>
      <w:r>
        <w:rPr>
          <w:rFonts w:cs="Arial"/>
          <w:rtl/>
        </w:rPr>
        <w:t>כלומר א' מהג' שדות הוא שדה ששיעבד לה בפירוש והזכירו בשטר הכתובה וסמכה דעתה עליה טפי משאר נכסים</w:t>
      </w:r>
      <w:r>
        <w:rPr>
          <w:rFonts w:hint="cs"/>
          <w:rtl/>
        </w:rPr>
        <w:t>, רשב"ם.</w:t>
      </w:r>
    </w:p>
  </w:footnote>
  <w:footnote w:id="1914">
    <w:p w14:paraId="635F5B19" w14:textId="77777777" w:rsidR="00392DBB" w:rsidRDefault="00392DBB" w:rsidP="00392DBB">
      <w:pPr>
        <w:pStyle w:val="a5"/>
        <w:rPr>
          <w:rtl/>
        </w:rPr>
      </w:pPr>
      <w:r>
        <w:rPr>
          <w:rStyle w:val="a7"/>
        </w:rPr>
        <w:footnoteRef/>
      </w:r>
      <w:r>
        <w:rPr>
          <w:rFonts w:hint="cs"/>
          <w:rtl/>
        </w:rPr>
        <w:t xml:space="preserve"> </w:t>
      </w:r>
      <w:r>
        <w:rPr>
          <w:rFonts w:cs="Arial"/>
          <w:rtl/>
        </w:rPr>
        <w:t>לא נכתב בתוך השטר אלא לאחר הנישואין ייחד לה א' משדותיו ועשאו אפותיקי לגבות ממנו כתובתה</w:t>
      </w:r>
      <w:r>
        <w:rPr>
          <w:rFonts w:hint="cs"/>
          <w:rtl/>
        </w:rPr>
        <w:t>, רשב"ם.</w:t>
      </w:r>
    </w:p>
  </w:footnote>
  <w:footnote w:id="1915">
    <w:p w14:paraId="5C36B0FC" w14:textId="77777777" w:rsidR="00392DBB" w:rsidRDefault="00392DBB" w:rsidP="00392DBB">
      <w:pPr>
        <w:pStyle w:val="a5"/>
        <w:rPr>
          <w:rtl/>
        </w:rPr>
      </w:pPr>
      <w:r>
        <w:rPr>
          <w:rStyle w:val="a7"/>
        </w:rPr>
        <w:footnoteRef/>
      </w:r>
      <w:r>
        <w:rPr>
          <w:rFonts w:hint="cs"/>
          <w:rtl/>
        </w:rPr>
        <w:t xml:space="preserve">  </w:t>
      </w:r>
      <w:r>
        <w:rPr>
          <w:rFonts w:cs="Arial"/>
          <w:rtl/>
        </w:rPr>
        <w:t>שדה שהכניסה לו מבית אביה ושמו אותו וכתבו שוויו בשטר הכתובה והם נכסי צאן ברזל</w:t>
      </w:r>
      <w:r>
        <w:rPr>
          <w:rFonts w:hint="cs"/>
          <w:rtl/>
        </w:rPr>
        <w:t>, רשב"ם.</w:t>
      </w:r>
    </w:p>
  </w:footnote>
  <w:footnote w:id="1916">
    <w:p w14:paraId="3930AAC2" w14:textId="77777777" w:rsidR="00392DBB" w:rsidRDefault="00392DBB" w:rsidP="00392DBB">
      <w:pPr>
        <w:pStyle w:val="a5"/>
        <w:rPr>
          <w:rtl/>
        </w:rPr>
      </w:pPr>
      <w:r>
        <w:rPr>
          <w:rStyle w:val="a7"/>
        </w:rPr>
        <w:footnoteRef/>
      </w:r>
      <w:r>
        <w:rPr>
          <w:rFonts w:hint="cs"/>
          <w:rtl/>
        </w:rPr>
        <w:t xml:space="preserve">  </w:t>
      </w:r>
      <w:r>
        <w:rPr>
          <w:rFonts w:cs="Arial"/>
          <w:rtl/>
        </w:rPr>
        <w:t>נקט ג' שדות הללו דהוי מקחו בטל ולא שדה אחרת</w:t>
      </w:r>
      <w:r>
        <w:rPr>
          <w:rFonts w:hint="cs"/>
          <w:rtl/>
        </w:rPr>
        <w:t>, רשב"ם.</w:t>
      </w:r>
    </w:p>
  </w:footnote>
  <w:footnote w:id="1917">
    <w:p w14:paraId="1B13ADF2" w14:textId="77777777" w:rsidR="00392DBB" w:rsidRDefault="00392DBB" w:rsidP="00392DBB">
      <w:pPr>
        <w:pStyle w:val="a5"/>
        <w:rPr>
          <w:rtl/>
        </w:rPr>
      </w:pPr>
      <w:r>
        <w:rPr>
          <w:rStyle w:val="a7"/>
        </w:rPr>
        <w:footnoteRef/>
      </w:r>
      <w:r>
        <w:rPr>
          <w:rFonts w:hint="cs"/>
          <w:rtl/>
        </w:rPr>
        <w:t xml:space="preserve">  </w:t>
      </w:r>
      <w:r>
        <w:rPr>
          <w:rFonts w:cs="Arial"/>
          <w:rtl/>
        </w:rPr>
        <w:t>וקרקעות של בעל המשועבדים לה</w:t>
      </w:r>
      <w:r>
        <w:rPr>
          <w:rFonts w:hint="cs"/>
          <w:rtl/>
        </w:rPr>
        <w:t>, רשב"ם.</w:t>
      </w:r>
    </w:p>
  </w:footnote>
  <w:footnote w:id="1918">
    <w:p w14:paraId="5D04CBBE" w14:textId="77777777" w:rsidR="00392DBB" w:rsidRDefault="00392DBB" w:rsidP="00392DBB">
      <w:pPr>
        <w:pStyle w:val="a5"/>
        <w:rPr>
          <w:rtl/>
        </w:rPr>
      </w:pPr>
      <w:r>
        <w:rPr>
          <w:rStyle w:val="a7"/>
        </w:rPr>
        <w:footnoteRef/>
      </w:r>
      <w:r>
        <w:rPr>
          <w:rFonts w:hint="cs"/>
          <w:rtl/>
        </w:rPr>
        <w:t xml:space="preserve">  </w:t>
      </w:r>
      <w:r>
        <w:rPr>
          <w:rFonts w:cs="Arial"/>
          <w:rtl/>
        </w:rPr>
        <w:t>דמציא אמרה נחת רוח עשיתי לבעלי דאי לא כתבה ללוקח ה"ל איבה דא"ל בעלה עינך נתת בגרושין או מיתה ולכך אין את מנחת למכור מנכסי כלום אבל בהנך ג' שדות לא אמר לה בעל דמאחר שייחדם לה דין הוא שתערער במכירתן ואפילו הכי מקחו בטל דכיון דמכל מקום אינם שלה לגמרי כי אם של בעל מציא אמרה נחת רוח עשיתי לבעלי</w:t>
      </w:r>
      <w:r>
        <w:rPr>
          <w:rFonts w:hint="cs"/>
          <w:rtl/>
        </w:rPr>
        <w:t>, רשב"ם.</w:t>
      </w:r>
    </w:p>
  </w:footnote>
  <w:footnote w:id="1919">
    <w:p w14:paraId="1C092605" w14:textId="77777777" w:rsidR="00392DBB" w:rsidRDefault="00392DBB" w:rsidP="00392DBB">
      <w:pPr>
        <w:pStyle w:val="a5"/>
        <w:rPr>
          <w:rtl/>
        </w:rPr>
      </w:pPr>
      <w:r>
        <w:rPr>
          <w:rStyle w:val="a7"/>
        </w:rPr>
        <w:footnoteRef/>
      </w:r>
      <w:r>
        <w:rPr>
          <w:rFonts w:hint="cs"/>
          <w:rtl/>
        </w:rPr>
        <w:t xml:space="preserve">  </w:t>
      </w:r>
      <w:r>
        <w:rPr>
          <w:rFonts w:cs="Arial"/>
          <w:rtl/>
        </w:rPr>
        <w:t>דכיון דשלה הם אינה יגורה מבעלה למחות בו שלא ימכור ולא מציא למימר נחת רוח עשיתי לבעלי</w:t>
      </w:r>
      <w:r>
        <w:rPr>
          <w:rFonts w:hint="cs"/>
          <w:rtl/>
        </w:rPr>
        <w:t>, רשב"ם.</w:t>
      </w:r>
    </w:p>
  </w:footnote>
  <w:footnote w:id="1920">
    <w:p w14:paraId="26045A2C" w14:textId="77777777" w:rsidR="00392DBB" w:rsidRDefault="00392DBB" w:rsidP="00392DBB">
      <w:pPr>
        <w:pStyle w:val="a5"/>
        <w:rPr>
          <w:rtl/>
        </w:rPr>
      </w:pPr>
      <w:r>
        <w:rPr>
          <w:rStyle w:val="a7"/>
        </w:rPr>
        <w:footnoteRef/>
      </w:r>
      <w:r>
        <w:rPr>
          <w:rtl/>
        </w:rPr>
        <w:t xml:space="preserve"> </w:t>
      </w:r>
      <w:r w:rsidRPr="006C343E">
        <w:rPr>
          <w:rFonts w:cs="Arial"/>
          <w:rtl/>
        </w:rPr>
        <w:t>המשועבד לכתובות</w:t>
      </w:r>
      <w:r>
        <w:rPr>
          <w:rFonts w:hint="cs"/>
          <w:rtl/>
        </w:rPr>
        <w:t>, רש"י.</w:t>
      </w:r>
    </w:p>
  </w:footnote>
  <w:footnote w:id="1921">
    <w:p w14:paraId="100400FC" w14:textId="77777777" w:rsidR="00392DBB" w:rsidRDefault="00392DBB" w:rsidP="00392DBB">
      <w:pPr>
        <w:pStyle w:val="a5"/>
        <w:rPr>
          <w:rtl/>
        </w:rPr>
      </w:pPr>
      <w:r>
        <w:rPr>
          <w:rStyle w:val="a7"/>
        </w:rPr>
        <w:footnoteRef/>
      </w:r>
      <w:r>
        <w:rPr>
          <w:rtl/>
        </w:rPr>
        <w:t xml:space="preserve"> </w:t>
      </w:r>
      <w:r w:rsidRPr="006C343E">
        <w:rPr>
          <w:rFonts w:cs="Arial"/>
          <w:rtl/>
        </w:rPr>
        <w:t>שנשא תחלה</w:t>
      </w:r>
      <w:r>
        <w:rPr>
          <w:rFonts w:hint="cs"/>
          <w:rtl/>
        </w:rPr>
        <w:t>, רש"י.</w:t>
      </w:r>
    </w:p>
  </w:footnote>
  <w:footnote w:id="1922">
    <w:p w14:paraId="04A68377" w14:textId="77777777" w:rsidR="00392DBB" w:rsidRDefault="00392DBB" w:rsidP="00392DBB">
      <w:pPr>
        <w:pStyle w:val="a5"/>
        <w:rPr>
          <w:rtl/>
        </w:rPr>
      </w:pPr>
      <w:r>
        <w:rPr>
          <w:rStyle w:val="a7"/>
        </w:rPr>
        <w:footnoteRef/>
      </w:r>
      <w:r>
        <w:rPr>
          <w:rtl/>
        </w:rPr>
        <w:t xml:space="preserve"> </w:t>
      </w:r>
      <w:r w:rsidRPr="006C343E">
        <w:rPr>
          <w:rFonts w:cs="Arial"/>
          <w:rtl/>
        </w:rPr>
        <w:t>כשימות בעלה</w:t>
      </w:r>
      <w:r>
        <w:rPr>
          <w:rFonts w:hint="cs"/>
          <w:rtl/>
        </w:rPr>
        <w:t>, רש"י.</w:t>
      </w:r>
    </w:p>
  </w:footnote>
  <w:footnote w:id="1923">
    <w:p w14:paraId="030E1D63" w14:textId="77777777" w:rsidR="00392DBB" w:rsidRDefault="00392DBB" w:rsidP="00392DBB">
      <w:pPr>
        <w:pStyle w:val="a5"/>
        <w:rPr>
          <w:rtl/>
        </w:rPr>
      </w:pPr>
      <w:r>
        <w:rPr>
          <w:rStyle w:val="a7"/>
        </w:rPr>
        <w:footnoteRef/>
      </w:r>
      <w:r>
        <w:rPr>
          <w:rtl/>
        </w:rPr>
        <w:t xml:space="preserve"> </w:t>
      </w:r>
      <w:r w:rsidRPr="006C343E">
        <w:rPr>
          <w:rFonts w:cs="Arial"/>
          <w:rtl/>
        </w:rPr>
        <w:t>ואמרי' בהכותב לאשתו דהיכא דקנו מידו מגופה של קרקע קנו מידו</w:t>
      </w:r>
      <w:r>
        <w:rPr>
          <w:rFonts w:hint="cs"/>
          <w:rtl/>
        </w:rPr>
        <w:t>, רש"י.</w:t>
      </w:r>
    </w:p>
  </w:footnote>
  <w:footnote w:id="1924">
    <w:p w14:paraId="4F8A186F" w14:textId="77777777" w:rsidR="00392DBB" w:rsidRDefault="00392DBB" w:rsidP="00392DBB">
      <w:pPr>
        <w:pStyle w:val="a5"/>
        <w:rPr>
          <w:rtl/>
        </w:rPr>
      </w:pPr>
      <w:r>
        <w:rPr>
          <w:rStyle w:val="a7"/>
        </w:rPr>
        <w:footnoteRef/>
      </w:r>
      <w:r>
        <w:rPr>
          <w:rtl/>
        </w:rPr>
        <w:t xml:space="preserve"> </w:t>
      </w:r>
      <w:r w:rsidRPr="006C343E">
        <w:rPr>
          <w:rFonts w:cs="Arial"/>
          <w:rtl/>
        </w:rPr>
        <w:t>שטר מכר על שדה אחת</w:t>
      </w:r>
      <w:r>
        <w:rPr>
          <w:rFonts w:hint="cs"/>
          <w:rtl/>
        </w:rPr>
        <w:t>, רש"י.</w:t>
      </w:r>
    </w:p>
  </w:footnote>
  <w:footnote w:id="1925">
    <w:p w14:paraId="7FD84060" w14:textId="77777777" w:rsidR="00392DBB" w:rsidRDefault="00392DBB" w:rsidP="00392DBB">
      <w:pPr>
        <w:pStyle w:val="a5"/>
        <w:rPr>
          <w:rtl/>
        </w:rPr>
      </w:pPr>
      <w:r>
        <w:rPr>
          <w:rStyle w:val="a7"/>
        </w:rPr>
        <w:footnoteRef/>
      </w:r>
      <w:r>
        <w:rPr>
          <w:rtl/>
        </w:rPr>
        <w:t xml:space="preserve"> </w:t>
      </w:r>
      <w:r w:rsidRPr="006C343E">
        <w:rPr>
          <w:rFonts w:cs="Arial"/>
          <w:rtl/>
        </w:rPr>
        <w:t>לא הודית באותו מכר וכתב שטר אחר ללוקח שני על שדה אחרת וחתמה לו</w:t>
      </w:r>
      <w:r>
        <w:rPr>
          <w:rFonts w:hint="cs"/>
          <w:rtl/>
        </w:rPr>
        <w:t>, רש"י.</w:t>
      </w:r>
    </w:p>
  </w:footnote>
  <w:footnote w:id="1926">
    <w:p w14:paraId="262AA2DB" w14:textId="77777777" w:rsidR="00392DBB" w:rsidRDefault="00392DBB" w:rsidP="00392DBB">
      <w:pPr>
        <w:pStyle w:val="a5"/>
        <w:rPr>
          <w:rtl/>
        </w:rPr>
      </w:pPr>
      <w:r>
        <w:rPr>
          <w:rStyle w:val="a7"/>
        </w:rPr>
        <w:footnoteRef/>
      </w:r>
      <w:r>
        <w:rPr>
          <w:rtl/>
        </w:rPr>
        <w:t xml:space="preserve"> </w:t>
      </w:r>
      <w:r w:rsidRPr="006C343E">
        <w:rPr>
          <w:rFonts w:cs="Arial"/>
          <w:rtl/>
        </w:rPr>
        <w:t>אם אין שם בני חורין שהרי הראשון אומר הנחתי ליך מקום לגבות הימנו</w:t>
      </w:r>
      <w:r>
        <w:rPr>
          <w:rFonts w:hint="cs"/>
          <w:rtl/>
        </w:rPr>
        <w:t>, רש"י.</w:t>
      </w:r>
    </w:p>
  </w:footnote>
  <w:footnote w:id="1927">
    <w:p w14:paraId="4CB66853" w14:textId="77777777" w:rsidR="00392DBB" w:rsidRDefault="00392DBB" w:rsidP="00392DBB">
      <w:pPr>
        <w:pStyle w:val="a5"/>
        <w:rPr>
          <w:rtl/>
        </w:rPr>
      </w:pPr>
      <w:r>
        <w:rPr>
          <w:rStyle w:val="a7"/>
        </w:rPr>
        <w:footnoteRef/>
      </w:r>
      <w:r>
        <w:rPr>
          <w:rtl/>
        </w:rPr>
        <w:t xml:space="preserve"> </w:t>
      </w:r>
      <w:r w:rsidRPr="006C343E">
        <w:rPr>
          <w:rFonts w:cs="Arial"/>
          <w:rtl/>
        </w:rPr>
        <w:t>מן השני תגבה</w:t>
      </w:r>
      <w:r>
        <w:rPr>
          <w:rFonts w:hint="cs"/>
          <w:rtl/>
        </w:rPr>
        <w:t>, רש"י.</w:t>
      </w:r>
    </w:p>
  </w:footnote>
  <w:footnote w:id="1928">
    <w:p w14:paraId="0CCD1DE9" w14:textId="77777777" w:rsidR="00392DBB" w:rsidRDefault="00392DBB" w:rsidP="00392DBB">
      <w:pPr>
        <w:pStyle w:val="a5"/>
        <w:rPr>
          <w:rtl/>
        </w:rPr>
      </w:pPr>
      <w:r>
        <w:rPr>
          <w:rStyle w:val="a7"/>
        </w:rPr>
        <w:footnoteRef/>
      </w:r>
      <w:r>
        <w:rPr>
          <w:rtl/>
        </w:rPr>
        <w:t xml:space="preserve"> </w:t>
      </w:r>
      <w:r w:rsidRPr="006C343E">
        <w:rPr>
          <w:rFonts w:cs="Arial"/>
          <w:rtl/>
        </w:rPr>
        <w:t>דסתמינהו למשניות הכא בכתובות סתם לן כר"מ ובמס' גיטין סתם לן מקחו בטל כר' יהודה</w:t>
      </w:r>
      <w:r>
        <w:rPr>
          <w:rFonts w:hint="cs"/>
          <w:rtl/>
        </w:rPr>
        <w:t>, רש"י.</w:t>
      </w:r>
    </w:p>
  </w:footnote>
  <w:footnote w:id="1929">
    <w:p w14:paraId="34011A62" w14:textId="77777777" w:rsidR="00392DBB" w:rsidRDefault="00392DBB" w:rsidP="00392DBB">
      <w:pPr>
        <w:pStyle w:val="a5"/>
        <w:rPr>
          <w:rtl/>
        </w:rPr>
      </w:pPr>
      <w:r>
        <w:rPr>
          <w:rStyle w:val="a7"/>
        </w:rPr>
        <w:footnoteRef/>
      </w:r>
      <w:r>
        <w:rPr>
          <w:rtl/>
        </w:rPr>
        <w:t xml:space="preserve"> </w:t>
      </w:r>
      <w:r w:rsidRPr="006C343E">
        <w:rPr>
          <w:rFonts w:cs="Arial"/>
          <w:rtl/>
        </w:rPr>
        <w:t>מתני' כשהיתה גרושה ואחר כך כתבה לו ללוקח כן</w:t>
      </w:r>
      <w:r>
        <w:rPr>
          <w:rFonts w:hint="cs"/>
          <w:rtl/>
        </w:rPr>
        <w:t>, רש"י.</w:t>
      </w:r>
    </w:p>
  </w:footnote>
  <w:footnote w:id="1930">
    <w:p w14:paraId="295DF7EC" w14:textId="77777777" w:rsidR="00392DBB" w:rsidRDefault="00392DBB" w:rsidP="00392DBB">
      <w:pPr>
        <w:pStyle w:val="a5"/>
        <w:rPr>
          <w:rtl/>
        </w:rPr>
      </w:pPr>
      <w:r>
        <w:rPr>
          <w:rStyle w:val="a7"/>
        </w:rPr>
        <w:footnoteRef/>
      </w:r>
      <w:r>
        <w:rPr>
          <w:rtl/>
        </w:rPr>
        <w:t xml:space="preserve"> </w:t>
      </w:r>
      <w:r w:rsidRPr="006C343E">
        <w:rPr>
          <w:rFonts w:cs="Arial"/>
          <w:rtl/>
        </w:rPr>
        <w:t>אפי' ביושבת תחתיו ותרוייהו סתמי כר"מ ומתני' דגיטין דלקח מן האיש וחזר ולקח מן האשה להכי מקחו בטל דעד כאן לא קאמר ר"מ בבריית' איבדה כתובתה אלא בשני לקוחות והא חזינן דבראשון לא עשתה נחת רוח לבעלה הלכך לא מצית למימר כי חתמה לשני נחת רוח עשיתי לבעלי</w:t>
      </w:r>
      <w:r>
        <w:rPr>
          <w:rFonts w:hint="cs"/>
          <w:rtl/>
        </w:rPr>
        <w:t>, רש"י.</w:t>
      </w:r>
    </w:p>
  </w:footnote>
  <w:footnote w:id="1931">
    <w:p w14:paraId="14FCD5CE" w14:textId="77777777" w:rsidR="00392DBB" w:rsidRDefault="00392DBB" w:rsidP="00392DBB">
      <w:pPr>
        <w:pStyle w:val="a5"/>
        <w:rPr>
          <w:rtl/>
        </w:rPr>
      </w:pPr>
      <w:r>
        <w:rPr>
          <w:rStyle w:val="a7"/>
        </w:rPr>
        <w:footnoteRef/>
      </w:r>
      <w:r>
        <w:rPr>
          <w:rtl/>
        </w:rPr>
        <w:t xml:space="preserve"> </w:t>
      </w:r>
      <w:r w:rsidRPr="006C343E">
        <w:rPr>
          <w:rFonts w:cs="Arial"/>
          <w:rtl/>
        </w:rPr>
        <w:t>דהכא דאשמעינן מינה חתימתה קיימת</w:t>
      </w:r>
      <w:r>
        <w:rPr>
          <w:rFonts w:hint="cs"/>
          <w:rtl/>
        </w:rPr>
        <w:t>, רש"י.</w:t>
      </w:r>
    </w:p>
  </w:footnote>
  <w:footnote w:id="1932">
    <w:p w14:paraId="42A2F4BC" w14:textId="77777777" w:rsidR="00392DBB" w:rsidRDefault="00392DBB" w:rsidP="00392DBB">
      <w:pPr>
        <w:pStyle w:val="a5"/>
        <w:rPr>
          <w:rtl/>
        </w:rPr>
      </w:pPr>
      <w:r>
        <w:rPr>
          <w:rStyle w:val="a7"/>
        </w:rPr>
        <w:footnoteRef/>
      </w:r>
      <w:r>
        <w:rPr>
          <w:rtl/>
        </w:rPr>
        <w:t xml:space="preserve"> </w:t>
      </w:r>
      <w:r w:rsidRPr="006C343E">
        <w:rPr>
          <w:rFonts w:cs="Arial"/>
          <w:rtl/>
        </w:rPr>
        <w:t>הבעל לאחר קודם לזה ולא חתמה לו ולזה חתמה</w:t>
      </w:r>
      <w:r>
        <w:rPr>
          <w:rFonts w:hint="cs"/>
          <w:rtl/>
        </w:rPr>
        <w:t>, רש"י.</w:t>
      </w:r>
    </w:p>
  </w:footnote>
  <w:footnote w:id="1933">
    <w:p w14:paraId="0093B348" w14:textId="710023DA" w:rsidR="00392DBB" w:rsidRDefault="00392DBB" w:rsidP="00392DBB">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8472CD">
        <w:rPr>
          <w:rFonts w:cs="Arial"/>
          <w:rtl/>
        </w:rPr>
        <w:t>הבעל שמכר נכסיו ואחר כך כתבה אשתו ללוקח דין ודברים אין לי עמך והסכימה למעשיו אף על פי שקנו ממנה הרי זו טורפת, שלא כתבה לו אלא שלא תהיה בינה ובין בעלה קטטה ויש לה לומר נחת רוח עשיתי לבעלי, אבל אם קנו מיד האשה תחלה שאין לה שיעבוד על מקום זה ואחר כך מכר אותו הבעל אינה טורפת אותו.</w:t>
      </w:r>
    </w:p>
  </w:footnote>
  <w:footnote w:id="1934">
    <w:p w14:paraId="3D51829C" w14:textId="2F44949E" w:rsidR="00392DBB" w:rsidRDefault="00392DBB" w:rsidP="00392DBB">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3D2914">
        <w:rPr>
          <w:rFonts w:cs="Arial"/>
          <w:rtl/>
        </w:rPr>
        <w:t>מכר לאחד קרקע</w:t>
      </w:r>
      <w:r>
        <w:rPr>
          <w:rFonts w:cs="Arial" w:hint="cs"/>
          <w:rtl/>
        </w:rPr>
        <w:t>,</w:t>
      </w:r>
      <w:r w:rsidRPr="003D2914">
        <w:rPr>
          <w:rFonts w:cs="Arial"/>
          <w:rtl/>
        </w:rPr>
        <w:t xml:space="preserve"> ולא נתרצית שלא רצתה לחתום לו</w:t>
      </w:r>
      <w:r>
        <w:rPr>
          <w:rFonts w:cs="Arial" w:hint="cs"/>
          <w:rtl/>
        </w:rPr>
        <w:t>.</w:t>
      </w:r>
      <w:r w:rsidRPr="003D2914">
        <w:rPr>
          <w:rFonts w:cs="Arial"/>
          <w:rtl/>
        </w:rPr>
        <w:t xml:space="preserve"> ואחרי כן מכר לאחר</w:t>
      </w:r>
      <w:r>
        <w:rPr>
          <w:rFonts w:cs="Arial" w:hint="cs"/>
          <w:rtl/>
        </w:rPr>
        <w:t>,</w:t>
      </w:r>
      <w:r w:rsidRPr="003D2914">
        <w:rPr>
          <w:rFonts w:cs="Arial"/>
          <w:rtl/>
        </w:rPr>
        <w:t xml:space="preserve"> לא שנא אותו קרקע ולא שנא קרקע אחרת</w:t>
      </w:r>
      <w:r>
        <w:rPr>
          <w:rFonts w:cs="Arial" w:hint="cs"/>
          <w:rtl/>
        </w:rPr>
        <w:t xml:space="preserve">, </w:t>
      </w:r>
      <w:r w:rsidRPr="003D2914">
        <w:rPr>
          <w:rFonts w:cs="Arial"/>
          <w:rtl/>
        </w:rPr>
        <w:t xml:space="preserve">וחתמה לו </w:t>
      </w:r>
      <w:r>
        <w:rPr>
          <w:rFonts w:cs="Arial" w:hint="cs"/>
          <w:rtl/>
        </w:rPr>
        <w:t xml:space="preserve">- </w:t>
      </w:r>
      <w:r w:rsidRPr="003D2914">
        <w:rPr>
          <w:rFonts w:cs="Arial"/>
          <w:rtl/>
        </w:rPr>
        <w:t>קנה ואינה גובה ממנו</w:t>
      </w:r>
      <w:r>
        <w:rPr>
          <w:rFonts w:cs="Arial" w:hint="cs"/>
          <w:rtl/>
        </w:rPr>
        <w:t>,</w:t>
      </w:r>
      <w:r w:rsidRPr="003D2914">
        <w:rPr>
          <w:rFonts w:cs="Arial"/>
          <w:rtl/>
        </w:rPr>
        <w:t xml:space="preserve"> שאינה יכולה לומר נחת רוח עשיתי לבעלי</w:t>
      </w:r>
      <w:r>
        <w:rPr>
          <w:rFonts w:cs="Arial" w:hint="cs"/>
          <w:rtl/>
        </w:rPr>
        <w:t>,</w:t>
      </w:r>
      <w:r w:rsidRPr="003D2914">
        <w:rPr>
          <w:rFonts w:cs="Arial"/>
          <w:rtl/>
        </w:rPr>
        <w:t xml:space="preserve"> שאם היתה רוצה לעשות נחת רוח היתה עושה לראשון</w:t>
      </w:r>
      <w:r w:rsidRPr="007C1187">
        <w:rPr>
          <w:rFonts w:cs="Arial"/>
          <w:rtl/>
        </w:rPr>
        <w:t>.</w:t>
      </w:r>
    </w:p>
  </w:footnote>
  <w:footnote w:id="1935">
    <w:p w14:paraId="7B0C7003" w14:textId="77777777" w:rsidR="00392DBB" w:rsidRDefault="00392DBB" w:rsidP="00392DBB">
      <w:pPr>
        <w:pStyle w:val="a5"/>
      </w:pPr>
      <w:r>
        <w:rPr>
          <w:rStyle w:val="a7"/>
        </w:rPr>
        <w:footnoteRef/>
      </w:r>
      <w:r>
        <w:rPr>
          <w:rtl/>
        </w:rPr>
        <w:t xml:space="preserve"> </w:t>
      </w:r>
      <w:r w:rsidRPr="007C1187">
        <w:rPr>
          <w:rFonts w:cs="Arial"/>
          <w:rtl/>
        </w:rPr>
        <w:t>וכתב הרב המגיד כתב רבינו ונפסד המכר ונראה מדבריו שאם לא נתבטל המכר מחמת שלא חתמה לו יכולה היא לומר לשני כשחתמה לו נחת רוח עשיתי לבעלי ומה שלא עשיתי כן לראשון לפי שלא היה לו צורך בכך שהרי אפילו בלא חתימתי נתקיים המכר ודברי טעם הם</w:t>
      </w:r>
      <w:r w:rsidRPr="007C1187">
        <w:rPr>
          <w:rFonts w:cs="Arial" w:hint="cs"/>
          <w:rtl/>
        </w:rPr>
        <w:t>.</w:t>
      </w:r>
      <w:r w:rsidRPr="007C1187">
        <w:rPr>
          <w:rFonts w:cs="Arial"/>
          <w:rtl/>
        </w:rPr>
        <w:t xml:space="preserve"> אלא שקשה לזה</w:t>
      </w:r>
      <w:r w:rsidRPr="007C1187">
        <w:rPr>
          <w:rFonts w:cs="Arial" w:hint="cs"/>
          <w:rtl/>
        </w:rPr>
        <w:t>,</w:t>
      </w:r>
      <w:r w:rsidRPr="007C1187">
        <w:rPr>
          <w:rFonts w:cs="Arial"/>
          <w:rtl/>
        </w:rPr>
        <w:t xml:space="preserve"> דהתם בבעיא דאשתדיף בני חרי משמע בהדיא דברייתא דכתבה לראשון ולא חתמה לשני וחתמה איבדה כתובתה היא אפילו בשנתקיים המכר הראשון וכוונת רבינו במה שכתב ונפסד המכר צריכה תלמוד עכ"ל</w:t>
      </w:r>
      <w:r>
        <w:rPr>
          <w:rFonts w:cs="Arial" w:hint="cs"/>
          <w:rtl/>
        </w:rPr>
        <w:t>, ב"י</w:t>
      </w:r>
      <w:r w:rsidRPr="007C1187">
        <w:rPr>
          <w:rFonts w:cs="Arial"/>
          <w:rtl/>
        </w:rPr>
        <w:t>.</w:t>
      </w:r>
      <w:r w:rsidRPr="00881E59">
        <w:rPr>
          <w:rFonts w:cs="Arial"/>
          <w:rtl/>
        </w:rPr>
        <w:t xml:space="preserve"> </w:t>
      </w:r>
      <w:r w:rsidRPr="00843F99">
        <w:rPr>
          <w:rFonts w:cs="Arial"/>
          <w:rtl/>
        </w:rPr>
        <w:t>וכ"כ הר"ן פרק מי שהיה נשוי (נד: ד"ה גמ') דלא בעינן שנתבטל מקח הראשון וע"ל סימן ק' מדינים אלו</w:t>
      </w:r>
      <w:r>
        <w:rPr>
          <w:rFonts w:cs="Arial" w:hint="cs"/>
          <w:rtl/>
        </w:rPr>
        <w:t>, דרכ"מ (אות יח).</w:t>
      </w:r>
      <w:r w:rsidRPr="005C5D4E">
        <w:rPr>
          <w:rtl/>
        </w:rPr>
        <w:t xml:space="preserve"> </w:t>
      </w:r>
      <w:r w:rsidRPr="005C5D4E">
        <w:rPr>
          <w:rFonts w:cs="Arial"/>
          <w:rtl/>
        </w:rPr>
        <w:t>וכן בטור השמיט תיבות אלו</w:t>
      </w:r>
      <w:r>
        <w:rPr>
          <w:rFonts w:cs="Arial" w:hint="cs"/>
          <w:sz w:val="16"/>
          <w:szCs w:val="16"/>
          <w:rtl/>
        </w:rPr>
        <w:t xml:space="preserve"> {'ונפסד המכר'}</w:t>
      </w:r>
      <w:r>
        <w:rPr>
          <w:rFonts w:cs="Arial" w:hint="cs"/>
          <w:rtl/>
        </w:rPr>
        <w:t>,</w:t>
      </w:r>
      <w:r w:rsidRPr="005C5D4E">
        <w:rPr>
          <w:rFonts w:cs="Arial"/>
          <w:rtl/>
        </w:rPr>
        <w:t xml:space="preserve"> ובב"ח נדחק לקיים דברי הרמב"ם שהם דוקא ואין דבריו ברורים</w:t>
      </w:r>
      <w:r>
        <w:rPr>
          <w:rFonts w:cs="Arial" w:hint="cs"/>
          <w:rtl/>
        </w:rPr>
        <w:t>, ח"מ (סקנ"ח).</w:t>
      </w:r>
    </w:p>
  </w:footnote>
  <w:footnote w:id="1936">
    <w:p w14:paraId="27322A7D" w14:textId="77777777" w:rsidR="00392DBB" w:rsidRDefault="00392DBB" w:rsidP="00392DBB">
      <w:pPr>
        <w:pStyle w:val="a5"/>
      </w:pPr>
      <w:r>
        <w:rPr>
          <w:rStyle w:val="a7"/>
        </w:rPr>
        <w:footnoteRef/>
      </w:r>
      <w:r>
        <w:rPr>
          <w:rtl/>
        </w:rPr>
        <w:t xml:space="preserve"> </w:t>
      </w:r>
      <w:r w:rsidRPr="004C001E">
        <w:rPr>
          <w:rFonts w:cs="Arial"/>
          <w:rtl/>
        </w:rPr>
        <w:t>ה"ה מכר לראשון פעם אחרת ונתרצית ג"כ יש טענה זו דלמה לא עשתה נחת רוח לבעלה בפעם הראשון</w:t>
      </w:r>
      <w:r>
        <w:rPr>
          <w:rFonts w:cs="Arial" w:hint="cs"/>
          <w:rtl/>
        </w:rPr>
        <w:t>, ח"מ (סקכ"ג).</w:t>
      </w:r>
    </w:p>
  </w:footnote>
  <w:footnote w:id="1937">
    <w:p w14:paraId="4A94B994" w14:textId="77777777" w:rsidR="00392DBB" w:rsidRDefault="00392DBB" w:rsidP="00392DBB">
      <w:pPr>
        <w:pStyle w:val="a5"/>
      </w:pPr>
      <w:r>
        <w:rPr>
          <w:rStyle w:val="a7"/>
        </w:rPr>
        <w:footnoteRef/>
      </w:r>
      <w:r>
        <w:rPr>
          <w:rtl/>
        </w:rPr>
        <w:t xml:space="preserve"> </w:t>
      </w:r>
      <w:r w:rsidRPr="004C001E">
        <w:rPr>
          <w:rFonts w:cs="Arial"/>
          <w:rtl/>
        </w:rPr>
        <w:t xml:space="preserve">אף על גב דיכול לומר לה הנחתי לך מקום לגבות שדה השניה </w:t>
      </w:r>
      <w:r w:rsidRPr="007363DE">
        <w:rPr>
          <w:rFonts w:cs="Arial" w:hint="cs"/>
          <w:sz w:val="16"/>
          <w:szCs w:val="16"/>
          <w:rtl/>
        </w:rPr>
        <w:t>(</w:t>
      </w:r>
      <w:r w:rsidRPr="007363DE">
        <w:rPr>
          <w:rFonts w:cs="Arial"/>
          <w:sz w:val="16"/>
          <w:szCs w:val="16"/>
          <w:rtl/>
        </w:rPr>
        <w:t>וכן הדין גבי מלוה שכתב ללוקח שני דין ודברים אין לי עמך אין לו על לוקח ראשון כלום מפני שיכול לומר הנחתי לך מקום לגבות וכמו שנתבאר בח"מ סי' קי"א וקי"ח</w:t>
      </w:r>
      <w:r w:rsidRPr="007363DE">
        <w:rPr>
          <w:rFonts w:cs="Arial" w:hint="cs"/>
          <w:sz w:val="16"/>
          <w:szCs w:val="16"/>
          <w:rtl/>
        </w:rPr>
        <w:t>)</w:t>
      </w:r>
      <w:r w:rsidRPr="007363DE">
        <w:rPr>
          <w:rFonts w:cs="Arial"/>
          <w:sz w:val="16"/>
          <w:szCs w:val="16"/>
          <w:rtl/>
        </w:rPr>
        <w:t xml:space="preserve"> </w:t>
      </w:r>
      <w:r>
        <w:rPr>
          <w:rFonts w:cs="Arial" w:hint="cs"/>
          <w:rtl/>
        </w:rPr>
        <w:t xml:space="preserve">- </w:t>
      </w:r>
      <w:r w:rsidRPr="004C001E">
        <w:rPr>
          <w:rFonts w:cs="Arial"/>
          <w:rtl/>
        </w:rPr>
        <w:t>שאני אשה דלא ניתנה כתובה לגבות מחיים ולא שייך בה למימר את היא דאפסדת אנפשך וכמ"ש התוס' דף צ"ח בשם ר"ת ור"ח וכמ"ש הרא"ש</w:t>
      </w:r>
      <w:r>
        <w:rPr>
          <w:rFonts w:cs="Arial" w:hint="cs"/>
          <w:rtl/>
        </w:rPr>
        <w:t>, ח"מ (סקכ"ד).</w:t>
      </w:r>
    </w:p>
  </w:footnote>
  <w:footnote w:id="1938">
    <w:p w14:paraId="744E0FF5" w14:textId="258A08E5" w:rsidR="00AD6C2D" w:rsidRDefault="00AD6C2D">
      <w:pPr>
        <w:pStyle w:val="a5"/>
        <w:rPr>
          <w:rtl/>
        </w:rPr>
      </w:pPr>
      <w:r>
        <w:rPr>
          <w:rStyle w:val="a7"/>
        </w:rPr>
        <w:footnoteRef/>
      </w:r>
      <w:r>
        <w:rPr>
          <w:rtl/>
        </w:rPr>
        <w:t xml:space="preserve"> </w:t>
      </w:r>
      <w:r>
        <w:rPr>
          <w:rFonts w:hint="cs"/>
          <w:rtl/>
        </w:rPr>
        <w:t>סימן - צריך הסכמה.</w:t>
      </w:r>
    </w:p>
  </w:footnote>
  <w:footnote w:id="1939">
    <w:p w14:paraId="46A03723" w14:textId="77777777" w:rsidR="00392DBB" w:rsidRDefault="00392DBB" w:rsidP="00392DBB">
      <w:pPr>
        <w:pStyle w:val="a5"/>
        <w:rPr>
          <w:rtl/>
        </w:rPr>
      </w:pPr>
      <w:r>
        <w:rPr>
          <w:rStyle w:val="a7"/>
        </w:rPr>
        <w:footnoteRef/>
      </w:r>
      <w:r>
        <w:rPr>
          <w:rtl/>
        </w:rPr>
        <w:t xml:space="preserve"> </w:t>
      </w:r>
      <w:r w:rsidRPr="006C343E">
        <w:rPr>
          <w:rFonts w:cs="Arial"/>
          <w:rtl/>
        </w:rPr>
        <w:t>המשועבד לכתובות</w:t>
      </w:r>
      <w:r>
        <w:rPr>
          <w:rFonts w:hint="cs"/>
          <w:rtl/>
        </w:rPr>
        <w:t>, רש"י.</w:t>
      </w:r>
    </w:p>
  </w:footnote>
  <w:footnote w:id="1940">
    <w:p w14:paraId="0B70016D" w14:textId="77777777" w:rsidR="00392DBB" w:rsidRDefault="00392DBB" w:rsidP="00392DBB">
      <w:pPr>
        <w:pStyle w:val="a5"/>
        <w:rPr>
          <w:rtl/>
        </w:rPr>
      </w:pPr>
      <w:r>
        <w:rPr>
          <w:rStyle w:val="a7"/>
        </w:rPr>
        <w:footnoteRef/>
      </w:r>
      <w:r>
        <w:rPr>
          <w:rtl/>
        </w:rPr>
        <w:t xml:space="preserve"> </w:t>
      </w:r>
      <w:r w:rsidRPr="006C343E">
        <w:rPr>
          <w:rFonts w:cs="Arial"/>
          <w:rtl/>
        </w:rPr>
        <w:t>שנשא תחלה</w:t>
      </w:r>
      <w:r>
        <w:rPr>
          <w:rFonts w:hint="cs"/>
          <w:rtl/>
        </w:rPr>
        <w:t>, רש"י.</w:t>
      </w:r>
    </w:p>
  </w:footnote>
  <w:footnote w:id="1941">
    <w:p w14:paraId="62F35F8E" w14:textId="77777777" w:rsidR="00392DBB" w:rsidRDefault="00392DBB" w:rsidP="00392DBB">
      <w:pPr>
        <w:pStyle w:val="a5"/>
        <w:rPr>
          <w:rtl/>
        </w:rPr>
      </w:pPr>
      <w:r>
        <w:rPr>
          <w:rStyle w:val="a7"/>
        </w:rPr>
        <w:footnoteRef/>
      </w:r>
      <w:r>
        <w:rPr>
          <w:rtl/>
        </w:rPr>
        <w:t xml:space="preserve"> </w:t>
      </w:r>
      <w:r w:rsidRPr="006C343E">
        <w:rPr>
          <w:rFonts w:cs="Arial"/>
          <w:rtl/>
        </w:rPr>
        <w:t>כשימות בעלה</w:t>
      </w:r>
      <w:r>
        <w:rPr>
          <w:rFonts w:hint="cs"/>
          <w:rtl/>
        </w:rPr>
        <w:t>, רש"י.</w:t>
      </w:r>
    </w:p>
  </w:footnote>
  <w:footnote w:id="1942">
    <w:p w14:paraId="2DA5A3D4" w14:textId="41C35B95" w:rsidR="00392DBB" w:rsidRDefault="00392DBB" w:rsidP="00392DBB">
      <w:pPr>
        <w:pStyle w:val="a5"/>
      </w:pPr>
      <w:r>
        <w:rPr>
          <w:rStyle w:val="a7"/>
        </w:rPr>
        <w:footnoteRef/>
      </w:r>
      <w:r>
        <w:rPr>
          <w:rtl/>
        </w:rPr>
        <w:t xml:space="preserve"> </w:t>
      </w:r>
      <w:r w:rsidRPr="006B67C9">
        <w:rPr>
          <w:rFonts w:cs="Arial"/>
          <w:rtl/>
        </w:rPr>
        <w:t>לא נתבאר בגמ' אופן הפשר שיעשו</w:t>
      </w:r>
      <w:r>
        <w:rPr>
          <w:rFonts w:cs="Arial" w:hint="cs"/>
          <w:rtl/>
        </w:rPr>
        <w:t>.</w:t>
      </w:r>
      <w:r w:rsidRPr="006B67C9">
        <w:rPr>
          <w:rFonts w:cs="Arial"/>
          <w:rtl/>
        </w:rPr>
        <w:t xml:space="preserve"> ונראה</w:t>
      </w:r>
      <w:r>
        <w:rPr>
          <w:rFonts w:cs="Arial" w:hint="cs"/>
          <w:rtl/>
        </w:rPr>
        <w:t>,</w:t>
      </w:r>
      <w:r w:rsidRPr="006B67C9">
        <w:rPr>
          <w:rFonts w:cs="Arial"/>
          <w:rtl/>
        </w:rPr>
        <w:t xml:space="preserve"> אם השניה רוצה לעשות פשר עם הלוקח </w:t>
      </w:r>
      <w:r>
        <w:rPr>
          <w:rFonts w:cs="Arial" w:hint="cs"/>
          <w:rtl/>
        </w:rPr>
        <w:t xml:space="preserve">- </w:t>
      </w:r>
      <w:r w:rsidRPr="006B67C9">
        <w:rPr>
          <w:rFonts w:cs="Arial"/>
          <w:rtl/>
        </w:rPr>
        <w:t>אז אבדה הראשונה זכותה</w:t>
      </w:r>
      <w:r>
        <w:rPr>
          <w:rFonts w:cs="Arial" w:hint="cs"/>
          <w:rtl/>
        </w:rPr>
        <w:t>,</w:t>
      </w:r>
      <w:r w:rsidRPr="006B67C9">
        <w:rPr>
          <w:rFonts w:cs="Arial"/>
          <w:rtl/>
        </w:rPr>
        <w:t xml:space="preserve"> כי השניה לא תטרוף מן הלוקח</w:t>
      </w:r>
      <w:r>
        <w:rPr>
          <w:rFonts w:cs="Arial" w:hint="cs"/>
          <w:rtl/>
        </w:rPr>
        <w:t>.</w:t>
      </w:r>
      <w:r w:rsidRPr="006B67C9">
        <w:rPr>
          <w:rFonts w:cs="Arial"/>
          <w:rtl/>
        </w:rPr>
        <w:t xml:space="preserve"> ואם הראשונ</w:t>
      </w:r>
      <w:r>
        <w:rPr>
          <w:rFonts w:cs="Arial" w:hint="cs"/>
          <w:rtl/>
        </w:rPr>
        <w:t>ה</w:t>
      </w:r>
      <w:r w:rsidRPr="006B67C9">
        <w:rPr>
          <w:rFonts w:cs="Arial"/>
          <w:rtl/>
        </w:rPr>
        <w:t xml:space="preserve"> תרצה לעשות פשר עם הלוקח </w:t>
      </w:r>
      <w:r>
        <w:rPr>
          <w:rFonts w:cs="Arial" w:hint="cs"/>
          <w:rtl/>
        </w:rPr>
        <w:t xml:space="preserve">- </w:t>
      </w:r>
      <w:r w:rsidRPr="006B67C9">
        <w:rPr>
          <w:rFonts w:cs="Arial"/>
          <w:rtl/>
        </w:rPr>
        <w:t>אז אבדה השני</w:t>
      </w:r>
      <w:r>
        <w:rPr>
          <w:rFonts w:cs="Arial" w:hint="cs"/>
          <w:rtl/>
        </w:rPr>
        <w:t>ה</w:t>
      </w:r>
      <w:r w:rsidRPr="006B67C9">
        <w:rPr>
          <w:rFonts w:cs="Arial"/>
          <w:rtl/>
        </w:rPr>
        <w:t xml:space="preserve"> זכותה</w:t>
      </w:r>
      <w:r>
        <w:rPr>
          <w:rFonts w:cs="Arial" w:hint="cs"/>
          <w:rtl/>
        </w:rPr>
        <w:t>,</w:t>
      </w:r>
      <w:r w:rsidRPr="006B67C9">
        <w:rPr>
          <w:rFonts w:cs="Arial"/>
          <w:rtl/>
        </w:rPr>
        <w:t xml:space="preserve"> כי הלוקח לא יטרוף מן הראשונה</w:t>
      </w:r>
      <w:r>
        <w:rPr>
          <w:rFonts w:cs="Arial" w:hint="cs"/>
          <w:rtl/>
        </w:rPr>
        <w:t>.</w:t>
      </w:r>
      <w:r w:rsidRPr="006B67C9">
        <w:rPr>
          <w:rFonts w:cs="Arial"/>
          <w:rtl/>
        </w:rPr>
        <w:t xml:space="preserve"> ואם הראשונ</w:t>
      </w:r>
      <w:r>
        <w:rPr>
          <w:rFonts w:cs="Arial" w:hint="cs"/>
          <w:rtl/>
        </w:rPr>
        <w:t>ה</w:t>
      </w:r>
      <w:r w:rsidRPr="006B67C9">
        <w:rPr>
          <w:rFonts w:cs="Arial"/>
          <w:rtl/>
        </w:rPr>
        <w:t xml:space="preserve"> והשני</w:t>
      </w:r>
      <w:r>
        <w:rPr>
          <w:rFonts w:cs="Arial" w:hint="cs"/>
          <w:rtl/>
        </w:rPr>
        <w:t>ה</w:t>
      </w:r>
      <w:r w:rsidRPr="006B67C9">
        <w:rPr>
          <w:rFonts w:cs="Arial"/>
          <w:rtl/>
        </w:rPr>
        <w:t xml:space="preserve"> יעשו פשר </w:t>
      </w:r>
      <w:r>
        <w:rPr>
          <w:rFonts w:cs="Arial" w:hint="cs"/>
          <w:rtl/>
        </w:rPr>
        <w:t xml:space="preserve">- </w:t>
      </w:r>
      <w:r w:rsidRPr="006B67C9">
        <w:rPr>
          <w:rFonts w:cs="Arial"/>
          <w:rtl/>
        </w:rPr>
        <w:t>אבד הלוקח זכותו</w:t>
      </w:r>
      <w:r>
        <w:rPr>
          <w:rFonts w:cs="Arial" w:hint="cs"/>
          <w:rtl/>
        </w:rPr>
        <w:t>,</w:t>
      </w:r>
      <w:r w:rsidRPr="006B67C9">
        <w:rPr>
          <w:rFonts w:cs="Arial"/>
          <w:rtl/>
        </w:rPr>
        <w:t xml:space="preserve"> כי הראשונ</w:t>
      </w:r>
      <w:r w:rsidR="00AD6C2D">
        <w:rPr>
          <w:rFonts w:cs="Arial" w:hint="cs"/>
          <w:rtl/>
        </w:rPr>
        <w:t>ה</w:t>
      </w:r>
      <w:r w:rsidRPr="006B67C9">
        <w:rPr>
          <w:rFonts w:cs="Arial"/>
          <w:rtl/>
        </w:rPr>
        <w:t xml:space="preserve"> לא תטרוף מן השניה</w:t>
      </w:r>
      <w:r>
        <w:rPr>
          <w:rFonts w:cs="Arial" w:hint="cs"/>
          <w:rtl/>
        </w:rPr>
        <w:t>, ח"מ (סקכ"ו).</w:t>
      </w:r>
    </w:p>
  </w:footnote>
  <w:footnote w:id="1943">
    <w:p w14:paraId="52C92142" w14:textId="3A0240A5" w:rsidR="00C64643" w:rsidRDefault="00C64643">
      <w:pPr>
        <w:pStyle w:val="a5"/>
        <w:rPr>
          <w:rtl/>
        </w:rPr>
      </w:pPr>
      <w:r>
        <w:rPr>
          <w:rStyle w:val="a7"/>
        </w:rPr>
        <w:footnoteRef/>
      </w:r>
      <w:r>
        <w:rPr>
          <w:rtl/>
        </w:rPr>
        <w:t xml:space="preserve"> </w:t>
      </w:r>
      <w:r>
        <w:rPr>
          <w:rFonts w:hint="cs"/>
          <w:rtl/>
        </w:rPr>
        <w:t>סימן - קפוטקיא ישלם/ישראל.</w:t>
      </w:r>
    </w:p>
  </w:footnote>
  <w:footnote w:id="1944">
    <w:p w14:paraId="468ABC4E" w14:textId="77777777" w:rsidR="00392DBB" w:rsidRDefault="00392DBB" w:rsidP="00392DBB">
      <w:pPr>
        <w:pStyle w:val="a5"/>
      </w:pPr>
      <w:r>
        <w:rPr>
          <w:rStyle w:val="a7"/>
        </w:rPr>
        <w:footnoteRef/>
      </w:r>
      <w:r>
        <w:rPr>
          <w:rtl/>
        </w:rPr>
        <w:t xml:space="preserve"> </w:t>
      </w:r>
      <w:r>
        <w:rPr>
          <w:rFonts w:cs="Arial"/>
          <w:rtl/>
        </w:rPr>
        <w:t>גדולות ושוקלות יותר משל ארץ ישראל</w:t>
      </w:r>
      <w:r>
        <w:rPr>
          <w:rFonts w:cs="Arial" w:hint="cs"/>
          <w:rtl/>
        </w:rPr>
        <w:t>, רש"י.</w:t>
      </w:r>
    </w:p>
  </w:footnote>
  <w:footnote w:id="1945">
    <w:p w14:paraId="5366D054" w14:textId="77777777" w:rsidR="00392DBB" w:rsidRDefault="00392DBB" w:rsidP="00392DBB">
      <w:pPr>
        <w:pStyle w:val="a5"/>
      </w:pPr>
      <w:r>
        <w:rPr>
          <w:rStyle w:val="a7"/>
        </w:rPr>
        <w:footnoteRef/>
      </w:r>
      <w:r>
        <w:rPr>
          <w:rtl/>
        </w:rPr>
        <w:t xml:space="preserve"> </w:t>
      </w:r>
      <w:r>
        <w:rPr>
          <w:rFonts w:cs="Arial"/>
          <w:rtl/>
        </w:rPr>
        <w:t>כאן הקילו בכתובתה וזו אחת מקולי כתובה</w:t>
      </w:r>
      <w:r>
        <w:rPr>
          <w:rFonts w:cs="Arial" w:hint="cs"/>
          <w:rtl/>
        </w:rPr>
        <w:t>, רש"י.</w:t>
      </w:r>
    </w:p>
  </w:footnote>
  <w:footnote w:id="1946">
    <w:p w14:paraId="2A53181C" w14:textId="77777777" w:rsidR="00392DBB" w:rsidRDefault="00392DBB" w:rsidP="00392DBB">
      <w:pPr>
        <w:pStyle w:val="a5"/>
        <w:rPr>
          <w:rtl/>
        </w:rPr>
      </w:pPr>
      <w:r>
        <w:rPr>
          <w:rStyle w:val="a7"/>
        </w:rPr>
        <w:footnoteRef/>
      </w:r>
      <w:r>
        <w:rPr>
          <w:rtl/>
        </w:rPr>
        <w:t xml:space="preserve"> </w:t>
      </w:r>
      <w:r w:rsidRPr="00667CE7">
        <w:rPr>
          <w:rFonts w:cs="Arial"/>
          <w:rtl/>
        </w:rPr>
        <w:t>הילכך בתר שיעבוד אזלינן כדין כל שטרי חוב</w:t>
      </w:r>
      <w:r>
        <w:rPr>
          <w:rFonts w:hint="cs"/>
          <w:rtl/>
        </w:rPr>
        <w:t>, רש"י.</w:t>
      </w:r>
    </w:p>
  </w:footnote>
  <w:footnote w:id="1947">
    <w:p w14:paraId="50D0ABBC" w14:textId="6A97791F" w:rsidR="00392DBB" w:rsidRDefault="00392DBB" w:rsidP="00392DBB">
      <w:pPr>
        <w:pStyle w:val="a5"/>
      </w:pPr>
      <w:r>
        <w:rPr>
          <w:rStyle w:val="a7"/>
        </w:rPr>
        <w:footnoteRef/>
      </w:r>
      <w:r>
        <w:rPr>
          <w:rtl/>
        </w:rPr>
        <w:t xml:space="preserve"> </w:t>
      </w:r>
      <w:r>
        <w:rPr>
          <w:rFonts w:cs="Arial"/>
          <w:rtl/>
        </w:rPr>
        <w:t xml:space="preserve">וכתב הרב המגיד </w:t>
      </w:r>
      <w:r>
        <w:rPr>
          <w:rFonts w:cs="Arial" w:hint="cs"/>
          <w:rtl/>
        </w:rPr>
        <w:t>(פט"ז ה"ו)</w:t>
      </w:r>
      <w:r>
        <w:rPr>
          <w:rFonts w:cs="Arial"/>
          <w:rtl/>
        </w:rPr>
        <w:t xml:space="preserve"> על דברי הרמב"ם</w:t>
      </w:r>
      <w:r w:rsidR="00C64643">
        <w:rPr>
          <w:rFonts w:cs="Arial" w:hint="cs"/>
          <w:rtl/>
        </w:rPr>
        <w:t>:</w:t>
      </w:r>
      <w:r>
        <w:rPr>
          <w:rFonts w:cs="Arial"/>
          <w:rtl/>
        </w:rPr>
        <w:t xml:space="preserve"> דע שכל זה הוא כשיש בשיווי המטבע שהוא מגבה לה כדי מאתים ומנה שתקנו חכמים</w:t>
      </w:r>
      <w:r>
        <w:rPr>
          <w:rFonts w:cs="Arial" w:hint="cs"/>
          <w:rtl/>
        </w:rPr>
        <w:t>.</w:t>
      </w:r>
      <w:r>
        <w:rPr>
          <w:rFonts w:cs="Arial"/>
          <w:rtl/>
        </w:rPr>
        <w:t xml:space="preserve"> אבל פחות מכאן א</w:t>
      </w:r>
      <w:r>
        <w:rPr>
          <w:rFonts w:cs="Arial" w:hint="cs"/>
          <w:rtl/>
        </w:rPr>
        <w:t xml:space="preserve">י </w:t>
      </w:r>
      <w:r>
        <w:rPr>
          <w:rFonts w:cs="Arial"/>
          <w:rtl/>
        </w:rPr>
        <w:t>א</w:t>
      </w:r>
      <w:r>
        <w:rPr>
          <w:rFonts w:cs="Arial" w:hint="cs"/>
          <w:rtl/>
        </w:rPr>
        <w:t>פשר</w:t>
      </w:r>
      <w:r>
        <w:rPr>
          <w:rFonts w:cs="Arial"/>
          <w:rtl/>
        </w:rPr>
        <w:t xml:space="preserve"> לפחות</w:t>
      </w:r>
      <w:r w:rsidR="0012006C">
        <w:rPr>
          <w:rFonts w:cs="Arial" w:hint="cs"/>
          <w:rtl/>
        </w:rPr>
        <w:t xml:space="preserve"> </w:t>
      </w:r>
      <w:r w:rsidR="0012006C" w:rsidRPr="00DC5F45">
        <w:rPr>
          <w:rFonts w:hint="cs"/>
          <w:color w:val="E36C0A" w:themeColor="accent6" w:themeShade="BF"/>
          <w:rtl/>
        </w:rPr>
        <w:t>(וכ"פ בשו"ע)</w:t>
      </w:r>
      <w:r>
        <w:rPr>
          <w:rFonts w:cs="Arial" w:hint="cs"/>
          <w:rtl/>
        </w:rPr>
        <w:t>.</w:t>
      </w:r>
      <w:r>
        <w:rPr>
          <w:rFonts w:cs="Arial"/>
          <w:rtl/>
        </w:rPr>
        <w:t xml:space="preserve"> ולא הוצרך רבינו לפרש זה שכבר נתבאר </w:t>
      </w:r>
      <w:r w:rsidR="00C64643">
        <w:rPr>
          <w:rFonts w:cs="Arial" w:hint="cs"/>
          <w:rtl/>
        </w:rPr>
        <w:t>(</w:t>
      </w:r>
      <w:r>
        <w:rPr>
          <w:rFonts w:cs="Arial"/>
          <w:rtl/>
        </w:rPr>
        <w:t>פ</w:t>
      </w:r>
      <w:r w:rsidR="00C64643">
        <w:rPr>
          <w:rFonts w:cs="Arial" w:hint="cs"/>
          <w:rtl/>
        </w:rPr>
        <w:t>"</w:t>
      </w:r>
      <w:r>
        <w:rPr>
          <w:rFonts w:cs="Arial"/>
          <w:rtl/>
        </w:rPr>
        <w:t>י ה"ט) שכל הפוחת לבתולה מק"ק ולאלמנה מק' הרי בעילתו בעילת זנות</w:t>
      </w:r>
      <w:r>
        <w:rPr>
          <w:rFonts w:cs="Arial" w:hint="cs"/>
          <w:rtl/>
        </w:rPr>
        <w:t xml:space="preserve">... </w:t>
      </w:r>
      <w:r w:rsidRPr="00EA4E15">
        <w:rPr>
          <w:rFonts w:cs="Arial"/>
          <w:rtl/>
        </w:rPr>
        <w:t>ודע שנכסי צאן ברזל לדעת רבינו הרי הן כדין החוב בדבר זה</w:t>
      </w:r>
      <w:r w:rsidRPr="00EA4E15">
        <w:rPr>
          <w:rFonts w:cs="Arial" w:hint="cs"/>
          <w:rtl/>
        </w:rPr>
        <w:t>,</w:t>
      </w:r>
      <w:r w:rsidRPr="00EA4E15">
        <w:rPr>
          <w:rFonts w:cs="Arial"/>
          <w:rtl/>
        </w:rPr>
        <w:t xml:space="preserve"> וכבר נתבאר דין החוב פי"ז מהלכות מלוה (ה"ט)</w:t>
      </w:r>
      <w:r>
        <w:rPr>
          <w:rFonts w:cs="Arial" w:hint="cs"/>
          <w:rtl/>
        </w:rPr>
        <w:t>.</w:t>
      </w:r>
      <w:r w:rsidRPr="00EA4E15">
        <w:rPr>
          <w:rFonts w:cs="Arial"/>
          <w:rtl/>
        </w:rPr>
        <w:t xml:space="preserve"> וכן דעת הרשב"א ז"ל בתשובה (ח"ד סי' קנב ד"ה ולענין מה שטענו) שכל מה שהוא מקולי כתובה אין נכסי צאן ברזל בכלל אלא הרי הן כדין החוב</w:t>
      </w:r>
      <w:r>
        <w:rPr>
          <w:rFonts w:cs="Arial" w:hint="cs"/>
          <w:sz w:val="16"/>
          <w:szCs w:val="16"/>
          <w:rtl/>
        </w:rPr>
        <w:t xml:space="preserve"> [עכ"ל הה"מ]</w:t>
      </w:r>
      <w:r w:rsidRPr="00EA4E15">
        <w:rPr>
          <w:rFonts w:cs="Arial"/>
          <w:rtl/>
        </w:rPr>
        <w:t xml:space="preserve">. </w:t>
      </w:r>
      <w:r w:rsidRPr="00BB642E">
        <w:rPr>
          <w:rFonts w:hint="cs"/>
          <w:color w:val="00B0F0"/>
          <w:rtl/>
        </w:rPr>
        <w:t>(וכ"פ הרמ"א)</w:t>
      </w:r>
      <w:r>
        <w:rPr>
          <w:rFonts w:cs="Arial" w:hint="cs"/>
          <w:rtl/>
        </w:rPr>
        <w:t xml:space="preserve">. </w:t>
      </w:r>
      <w:r w:rsidRPr="00EA4E15">
        <w:rPr>
          <w:rFonts w:cs="Arial"/>
          <w:rtl/>
        </w:rPr>
        <w:t>ו</w:t>
      </w:r>
      <w:r>
        <w:rPr>
          <w:rFonts w:cs="Arial" w:hint="cs"/>
          <w:rtl/>
        </w:rPr>
        <w:t>כתב הב"י ד</w:t>
      </w:r>
      <w:r w:rsidRPr="00EA4E15">
        <w:rPr>
          <w:rFonts w:cs="Arial"/>
          <w:rtl/>
        </w:rPr>
        <w:t>כל זה ביאר יפה הריב"ש בתשוב</w:t>
      </w:r>
      <w:r>
        <w:rPr>
          <w:rFonts w:cs="Arial" w:hint="cs"/>
          <w:rtl/>
        </w:rPr>
        <w:t>ה</w:t>
      </w:r>
      <w:r w:rsidRPr="00EA4E15">
        <w:rPr>
          <w:rFonts w:cs="Arial"/>
          <w:rtl/>
        </w:rPr>
        <w:t xml:space="preserve"> סימן שי"ב</w:t>
      </w:r>
      <w:r>
        <w:rPr>
          <w:rFonts w:cs="Arial" w:hint="cs"/>
          <w:rtl/>
        </w:rPr>
        <w:t>.</w:t>
      </w:r>
      <w:r w:rsidRPr="00F02E86">
        <w:rPr>
          <w:rFonts w:cs="Arial"/>
          <w:rtl/>
        </w:rPr>
        <w:t xml:space="preserve"> </w:t>
      </w:r>
      <w:r>
        <w:rPr>
          <w:rFonts w:cs="Arial" w:hint="cs"/>
          <w:rtl/>
        </w:rPr>
        <w:t xml:space="preserve">וכתב הדרכ"מ </w:t>
      </w:r>
      <w:r w:rsidRPr="00F02E86">
        <w:rPr>
          <w:rFonts w:cs="Arial"/>
          <w:rtl/>
        </w:rPr>
        <w:t>(</w:t>
      </w:r>
      <w:r>
        <w:rPr>
          <w:rFonts w:cs="Arial" w:hint="cs"/>
          <w:rtl/>
        </w:rPr>
        <w:t xml:space="preserve">אות </w:t>
      </w:r>
      <w:r w:rsidRPr="00F02E86">
        <w:rPr>
          <w:rFonts w:cs="Arial"/>
          <w:rtl/>
        </w:rPr>
        <w:t xml:space="preserve">יג) </w:t>
      </w:r>
      <w:r>
        <w:rPr>
          <w:rFonts w:cs="Arial" w:hint="cs"/>
          <w:rtl/>
        </w:rPr>
        <w:t>ל</w:t>
      </w:r>
      <w:r w:rsidRPr="00F02E86">
        <w:rPr>
          <w:rFonts w:cs="Arial"/>
          <w:rtl/>
        </w:rPr>
        <w:t>עיין בתשובות מיימוני שם (אישות) סימן י"ג</w:t>
      </w:r>
      <w:r>
        <w:rPr>
          <w:rFonts w:cs="Arial" w:hint="cs"/>
          <w:rtl/>
        </w:rPr>
        <w:t>.</w:t>
      </w:r>
    </w:p>
  </w:footnote>
  <w:footnote w:id="1948">
    <w:p w14:paraId="705922A9" w14:textId="500E78E5" w:rsidR="00392DBB" w:rsidRPr="00EA4E15" w:rsidRDefault="00392DBB" w:rsidP="00392DBB">
      <w:pPr>
        <w:pStyle w:val="a5"/>
        <w:rPr>
          <w:rFonts w:cs="Arial"/>
          <w:rtl/>
        </w:rPr>
      </w:pPr>
      <w:r>
        <w:rPr>
          <w:rStyle w:val="a7"/>
        </w:rPr>
        <w:footnoteRef/>
      </w:r>
      <w:r>
        <w:rPr>
          <w:rtl/>
        </w:rPr>
        <w:t xml:space="preserve"> </w:t>
      </w:r>
      <w:r w:rsidRPr="00823CA2">
        <w:rPr>
          <w:rFonts w:cs="Arial"/>
          <w:rtl/>
        </w:rPr>
        <w:t>ואין כן דעת רבינו</w:t>
      </w:r>
      <w:r>
        <w:rPr>
          <w:rFonts w:cs="Arial" w:hint="cs"/>
          <w:rtl/>
        </w:rPr>
        <w:t>,</w:t>
      </w:r>
      <w:r w:rsidRPr="00823CA2">
        <w:rPr>
          <w:rFonts w:cs="Arial"/>
          <w:rtl/>
        </w:rPr>
        <w:t xml:space="preserve"> אלא אף בכותב סתם יש לה בפחות שבמטבעות שבמקום הנישואין והגי</w:t>
      </w:r>
      <w:r w:rsidR="0012006C">
        <w:rPr>
          <w:rFonts w:cs="Arial" w:hint="cs"/>
          <w:rtl/>
        </w:rPr>
        <w:t xml:space="preserve"> </w:t>
      </w:r>
      <w:r w:rsidRPr="00823CA2">
        <w:rPr>
          <w:rFonts w:cs="Arial"/>
          <w:rtl/>
        </w:rPr>
        <w:t>רושין</w:t>
      </w:r>
      <w:r>
        <w:rPr>
          <w:rFonts w:cs="Arial" w:hint="cs"/>
          <w:rtl/>
        </w:rPr>
        <w:t>,</w:t>
      </w:r>
      <w:r w:rsidRPr="00823CA2">
        <w:rPr>
          <w:rFonts w:cs="Arial"/>
          <w:rtl/>
        </w:rPr>
        <w:t xml:space="preserve"> אע</w:t>
      </w:r>
      <w:r>
        <w:rPr>
          <w:rFonts w:cs="Arial" w:hint="cs"/>
          <w:rtl/>
        </w:rPr>
        <w:t>"</w:t>
      </w:r>
      <w:r w:rsidRPr="00823CA2">
        <w:rPr>
          <w:rFonts w:cs="Arial"/>
          <w:rtl/>
        </w:rPr>
        <w:t>פ שהוא יותר משיעור חכמים</w:t>
      </w:r>
      <w:r>
        <w:rPr>
          <w:rFonts w:cs="Arial" w:hint="cs"/>
          <w:rtl/>
        </w:rPr>
        <w:t>.</w:t>
      </w:r>
      <w:r w:rsidRPr="00823CA2">
        <w:rPr>
          <w:rFonts w:cs="Arial"/>
          <w:rtl/>
        </w:rPr>
        <w:t xml:space="preserve"> וכן הסכימו הרמב"ן </w:t>
      </w:r>
      <w:r w:rsidRPr="00823CA2">
        <w:rPr>
          <w:rFonts w:cs="Arial"/>
          <w:sz w:val="16"/>
          <w:szCs w:val="16"/>
          <w:rtl/>
        </w:rPr>
        <w:t xml:space="preserve">(קי: ד"ה ויש) </w:t>
      </w:r>
      <w:r w:rsidRPr="00823CA2">
        <w:rPr>
          <w:rFonts w:cs="Arial"/>
          <w:rtl/>
        </w:rPr>
        <w:t xml:space="preserve">והרשב"א ז"ל ודחו סברת הר"א ז"ל. וכתב הרשב"א ז"ל שאם כתב לה </w:t>
      </w:r>
      <w:r>
        <w:rPr>
          <w:rFonts w:cs="Arial" w:hint="cs"/>
          <w:rtl/>
        </w:rPr>
        <w:t>'</w:t>
      </w:r>
      <w:r w:rsidRPr="00823CA2">
        <w:rPr>
          <w:rFonts w:cs="Arial"/>
          <w:rtl/>
        </w:rPr>
        <w:t>מאתים דינרים דחזו ליכי</w:t>
      </w:r>
      <w:r>
        <w:rPr>
          <w:rFonts w:cs="Arial" w:hint="cs"/>
          <w:rtl/>
        </w:rPr>
        <w:t>'</w:t>
      </w:r>
      <w:r w:rsidRPr="00823CA2">
        <w:rPr>
          <w:rFonts w:cs="Arial"/>
          <w:rtl/>
        </w:rPr>
        <w:t xml:space="preserve"> שהם מאתים של מדינה</w:t>
      </w:r>
      <w:r>
        <w:rPr>
          <w:rFonts w:cs="Arial" w:hint="cs"/>
          <w:rtl/>
        </w:rPr>
        <w:t>,</w:t>
      </w:r>
      <w:r w:rsidRPr="00823CA2">
        <w:rPr>
          <w:rFonts w:cs="Arial"/>
          <w:rtl/>
        </w:rPr>
        <w:t xml:space="preserve"> שהרי לא פירש אי אלו מאתים אותן דחזו לה עכ"ל</w:t>
      </w:r>
      <w:r>
        <w:rPr>
          <w:rFonts w:cs="Arial" w:hint="cs"/>
          <w:sz w:val="16"/>
          <w:szCs w:val="16"/>
          <w:rtl/>
        </w:rPr>
        <w:t xml:space="preserve"> [הרשב"א]</w:t>
      </w:r>
      <w:r>
        <w:rPr>
          <w:rFonts w:cs="Arial" w:hint="cs"/>
          <w:rtl/>
        </w:rPr>
        <w:t>, הה"מ (שם)</w:t>
      </w:r>
      <w:r>
        <w:rPr>
          <w:rFonts w:cs="Arial"/>
          <w:rtl/>
        </w:rPr>
        <w:t>.</w:t>
      </w:r>
    </w:p>
  </w:footnote>
  <w:footnote w:id="1949">
    <w:p w14:paraId="2693A5A8" w14:textId="20A2CC09" w:rsidR="00392DBB" w:rsidRDefault="00392DBB" w:rsidP="00392DBB">
      <w:pPr>
        <w:pStyle w:val="a5"/>
        <w:rPr>
          <w:rtl/>
        </w:rPr>
      </w:pPr>
      <w:r>
        <w:rPr>
          <w:rStyle w:val="a7"/>
        </w:rPr>
        <w:footnoteRef/>
      </w:r>
      <w:r>
        <w:rPr>
          <w:rtl/>
        </w:rPr>
        <w:t xml:space="preserve"> </w:t>
      </w:r>
      <w:r>
        <w:rPr>
          <w:rFonts w:cs="Arial"/>
          <w:rtl/>
        </w:rPr>
        <w:t>ואין דבריו נראים לי</w:t>
      </w:r>
      <w:r>
        <w:rPr>
          <w:rFonts w:cs="Arial" w:hint="cs"/>
          <w:rtl/>
        </w:rPr>
        <w:t xml:space="preserve">, </w:t>
      </w:r>
      <w:r w:rsidRPr="0012006C">
        <w:rPr>
          <w:rFonts w:cs="Arial" w:hint="cs"/>
          <w:b/>
          <w:bCs/>
          <w:rtl/>
        </w:rPr>
        <w:t>ב"י</w:t>
      </w:r>
      <w:r>
        <w:rPr>
          <w:rFonts w:cs="Arial" w:hint="cs"/>
          <w:rtl/>
        </w:rPr>
        <w:t>.</w:t>
      </w:r>
      <w:r w:rsidRPr="00F02E86">
        <w:rPr>
          <w:rFonts w:cs="Arial"/>
          <w:rtl/>
        </w:rPr>
        <w:t xml:space="preserve"> </w:t>
      </w:r>
      <w:r w:rsidR="0012006C">
        <w:rPr>
          <w:rFonts w:cs="Arial" w:hint="cs"/>
          <w:rtl/>
        </w:rPr>
        <w:t xml:space="preserve">     </w:t>
      </w:r>
      <w:r>
        <w:rPr>
          <w:rFonts w:cs="Arial" w:hint="cs"/>
          <w:rtl/>
        </w:rPr>
        <w:t xml:space="preserve">וכתב </w:t>
      </w:r>
      <w:r w:rsidRPr="0012006C">
        <w:rPr>
          <w:rFonts w:cs="Arial" w:hint="cs"/>
          <w:b/>
          <w:bCs/>
          <w:rtl/>
        </w:rPr>
        <w:t xml:space="preserve">הדרכ"מ </w:t>
      </w:r>
      <w:r w:rsidRPr="00F02E86">
        <w:rPr>
          <w:rFonts w:cs="Arial"/>
          <w:rtl/>
        </w:rPr>
        <w:t>(</w:t>
      </w:r>
      <w:r>
        <w:rPr>
          <w:rFonts w:cs="Arial" w:hint="cs"/>
          <w:rtl/>
        </w:rPr>
        <w:t xml:space="preserve">אות </w:t>
      </w:r>
      <w:r w:rsidRPr="00F02E86">
        <w:rPr>
          <w:rFonts w:cs="Arial"/>
          <w:rtl/>
        </w:rPr>
        <w:t>יד)</w:t>
      </w:r>
      <w:r w:rsidR="0012006C">
        <w:rPr>
          <w:rFonts w:cs="Arial" w:hint="cs"/>
          <w:rtl/>
        </w:rPr>
        <w:t>:</w:t>
      </w:r>
      <w:r w:rsidRPr="00F02E86">
        <w:rPr>
          <w:rFonts w:cs="Arial"/>
          <w:rtl/>
        </w:rPr>
        <w:t xml:space="preserve"> ולא ידעתי טעמו</w:t>
      </w:r>
      <w:r>
        <w:rPr>
          <w:rFonts w:cs="Arial" w:hint="cs"/>
          <w:rtl/>
        </w:rPr>
        <w:t>,</w:t>
      </w:r>
      <w:r w:rsidRPr="00F02E86">
        <w:rPr>
          <w:rFonts w:cs="Arial"/>
          <w:rtl/>
        </w:rPr>
        <w:t xml:space="preserve"> כי סברת מהרי"ק נראית נכונה</w:t>
      </w:r>
      <w:r>
        <w:rPr>
          <w:rFonts w:cs="Arial" w:hint="cs"/>
          <w:rtl/>
        </w:rPr>
        <w:t>,</w:t>
      </w:r>
      <w:r w:rsidRPr="00F02E86">
        <w:rPr>
          <w:rFonts w:cs="Arial"/>
          <w:rtl/>
        </w:rPr>
        <w:t xml:space="preserve"> כי השליש שמוסיפים הוא משום דאמרו חכמים שיכול להרויח בנדוניא שליש</w:t>
      </w:r>
      <w:r>
        <w:rPr>
          <w:rFonts w:cs="Arial" w:hint="cs"/>
          <w:rtl/>
        </w:rPr>
        <w:t>,</w:t>
      </w:r>
      <w:r w:rsidRPr="00F02E86">
        <w:rPr>
          <w:rFonts w:cs="Arial"/>
          <w:rtl/>
        </w:rPr>
        <w:t xml:space="preserve"> כדאיתא במשנה פרק מציאת האשה (סו</w:t>
      </w:r>
      <w:r>
        <w:rPr>
          <w:rFonts w:cs="Arial" w:hint="cs"/>
          <w:rtl/>
        </w:rPr>
        <w:t>.</w:t>
      </w:r>
      <w:r w:rsidRPr="00F02E86">
        <w:rPr>
          <w:rFonts w:cs="Arial"/>
          <w:rtl/>
        </w:rPr>
        <w:t>) ומחוייב להוסיף לה במקום שנהגו כדאיתא לעיל סימן ס"ו (עמ' רצז)</w:t>
      </w:r>
      <w:r>
        <w:rPr>
          <w:rFonts w:cs="Arial" w:hint="cs"/>
          <w:rtl/>
        </w:rPr>
        <w:t>.</w:t>
      </w:r>
      <w:r w:rsidRPr="00F02E86">
        <w:rPr>
          <w:rFonts w:cs="Arial"/>
          <w:rtl/>
        </w:rPr>
        <w:t xml:space="preserve"> אם כן הוי זה השליש כאילו הכניסה לו כ"כ, מה שאין כן בתוספת שברצונו תליא מילתא</w:t>
      </w:r>
      <w:r>
        <w:rPr>
          <w:rFonts w:cs="Arial" w:hint="cs"/>
          <w:rtl/>
        </w:rPr>
        <w:t>.</w:t>
      </w:r>
      <w:r w:rsidRPr="00F02E86">
        <w:rPr>
          <w:rFonts w:cs="Arial"/>
          <w:rtl/>
        </w:rPr>
        <w:t xml:space="preserve"> כן נראה לי</w:t>
      </w:r>
      <w:r>
        <w:rPr>
          <w:rFonts w:cs="Arial" w:hint="cs"/>
          <w:rtl/>
        </w:rPr>
        <w:t>.</w:t>
      </w:r>
      <w:r w:rsidR="0012006C" w:rsidRPr="0012006C">
        <w:rPr>
          <w:rFonts w:hint="cs"/>
          <w:color w:val="00B0F0"/>
          <w:rtl/>
        </w:rPr>
        <w:t xml:space="preserve"> </w:t>
      </w:r>
      <w:r w:rsidR="0012006C" w:rsidRPr="00BB642E">
        <w:rPr>
          <w:rFonts w:hint="cs"/>
          <w:color w:val="00B0F0"/>
          <w:rtl/>
        </w:rPr>
        <w:t xml:space="preserve">(וכ"פ </w:t>
      </w:r>
      <w:r w:rsidR="0012006C">
        <w:rPr>
          <w:rFonts w:hint="cs"/>
          <w:color w:val="00B0F0"/>
          <w:rtl/>
        </w:rPr>
        <w:t>בהג"ה</w:t>
      </w:r>
      <w:r w:rsidR="0012006C" w:rsidRPr="00BB642E">
        <w:rPr>
          <w:rFonts w:hint="cs"/>
          <w:color w:val="00B0F0"/>
          <w:rtl/>
        </w:rPr>
        <w:t>)</w:t>
      </w:r>
    </w:p>
  </w:footnote>
  <w:footnote w:id="1950">
    <w:p w14:paraId="0946E60A" w14:textId="77777777" w:rsidR="00392DBB" w:rsidRDefault="00392DBB" w:rsidP="00392DBB">
      <w:pPr>
        <w:pStyle w:val="a5"/>
      </w:pPr>
      <w:r>
        <w:rPr>
          <w:rStyle w:val="a7"/>
        </w:rPr>
        <w:footnoteRef/>
      </w:r>
      <w:r>
        <w:rPr>
          <w:rtl/>
        </w:rPr>
        <w:t xml:space="preserve"> </w:t>
      </w:r>
      <w:r>
        <w:rPr>
          <w:rFonts w:hint="cs"/>
          <w:rtl/>
        </w:rPr>
        <w:t>ופשוט הוא, ב"י.</w:t>
      </w:r>
    </w:p>
  </w:footnote>
  <w:footnote w:id="1951">
    <w:p w14:paraId="7FF3D676" w14:textId="353D432A" w:rsidR="00392DBB" w:rsidRDefault="00392DBB" w:rsidP="00392DBB">
      <w:pPr>
        <w:pStyle w:val="a5"/>
      </w:pPr>
      <w:r>
        <w:rPr>
          <w:rStyle w:val="a7"/>
        </w:rPr>
        <w:footnoteRef/>
      </w:r>
      <w:r>
        <w:rPr>
          <w:rtl/>
        </w:rPr>
        <w:t xml:space="preserve"> </w:t>
      </w:r>
      <w:r w:rsidRPr="005F6D41">
        <w:rPr>
          <w:rFonts w:cs="Arial"/>
          <w:rtl/>
        </w:rPr>
        <w:t>דין זה הוא מתשו' הרשב"א</w:t>
      </w:r>
      <w:r>
        <w:rPr>
          <w:rFonts w:cs="Arial" w:hint="cs"/>
          <w:rtl/>
        </w:rPr>
        <w:t>,</w:t>
      </w:r>
      <w:r w:rsidRPr="005F6D41">
        <w:rPr>
          <w:rFonts w:cs="Arial"/>
          <w:rtl/>
        </w:rPr>
        <w:t xml:space="preserve"> והרשב"א אזיל לטעמי' דס"ל שגביית הכתובה הוא במקום הגירושין</w:t>
      </w:r>
      <w:r>
        <w:rPr>
          <w:rFonts w:cs="Arial" w:hint="cs"/>
          <w:rtl/>
        </w:rPr>
        <w:t>.</w:t>
      </w:r>
      <w:r w:rsidRPr="005F6D41">
        <w:rPr>
          <w:rFonts w:cs="Arial"/>
          <w:rtl/>
        </w:rPr>
        <w:t xml:space="preserve"> שכ' בתשו' </w:t>
      </w:r>
      <w:r>
        <w:rPr>
          <w:rFonts w:cs="Arial" w:hint="cs"/>
          <w:rtl/>
        </w:rPr>
        <w:t>(</w:t>
      </w:r>
      <w:r w:rsidRPr="005F6D41">
        <w:rPr>
          <w:rFonts w:cs="Arial"/>
          <w:rtl/>
        </w:rPr>
        <w:t>סי' אלף רנד</w:t>
      </w:r>
      <w:r>
        <w:rPr>
          <w:rFonts w:cs="Arial" w:hint="cs"/>
          <w:rtl/>
        </w:rPr>
        <w:t>)</w:t>
      </w:r>
      <w:r w:rsidRPr="005F6D41">
        <w:rPr>
          <w:rFonts w:cs="Arial"/>
          <w:rtl/>
        </w:rPr>
        <w:t xml:space="preserve"> דא</w:t>
      </w:r>
      <w:r>
        <w:rPr>
          <w:rFonts w:cs="Arial" w:hint="cs"/>
          <w:rtl/>
        </w:rPr>
        <w:t xml:space="preserve">ינה </w:t>
      </w:r>
      <w:r w:rsidRPr="005F6D41">
        <w:rPr>
          <w:rFonts w:cs="Arial"/>
          <w:rtl/>
        </w:rPr>
        <w:t>צ</w:t>
      </w:r>
      <w:r>
        <w:rPr>
          <w:rFonts w:cs="Arial" w:hint="cs"/>
          <w:rtl/>
        </w:rPr>
        <w:t>ריכה</w:t>
      </w:r>
      <w:r w:rsidRPr="005F6D41">
        <w:rPr>
          <w:rFonts w:cs="Arial"/>
          <w:rtl/>
        </w:rPr>
        <w:t xml:space="preserve"> לקבל גט כל שאין כתובה מוכנת</w:t>
      </w:r>
      <w:r>
        <w:rPr>
          <w:rFonts w:cs="Arial" w:hint="cs"/>
          <w:rtl/>
        </w:rPr>
        <w:t>.</w:t>
      </w:r>
      <w:r w:rsidRPr="005F6D41">
        <w:rPr>
          <w:rFonts w:cs="Arial"/>
          <w:rtl/>
        </w:rPr>
        <w:t xml:space="preserve"> והביא ראי</w:t>
      </w:r>
      <w:r>
        <w:rPr>
          <w:rFonts w:cs="Arial" w:hint="cs"/>
          <w:rtl/>
        </w:rPr>
        <w:t>ה</w:t>
      </w:r>
      <w:r w:rsidRPr="005F6D41">
        <w:rPr>
          <w:rFonts w:cs="Arial"/>
          <w:rtl/>
        </w:rPr>
        <w:t xml:space="preserve"> מל' המשנה </w:t>
      </w:r>
      <w:r w:rsidRPr="000C6B1E">
        <w:rPr>
          <w:rFonts w:cs="Arial" w:hint="cs"/>
          <w:sz w:val="16"/>
          <w:szCs w:val="16"/>
          <w:rtl/>
        </w:rPr>
        <w:t>(</w:t>
      </w:r>
      <w:r w:rsidRPr="000C6B1E">
        <w:rPr>
          <w:rFonts w:cs="Arial"/>
          <w:sz w:val="16"/>
          <w:szCs w:val="16"/>
          <w:rtl/>
        </w:rPr>
        <w:t xml:space="preserve">וכ"מ קצת מל' הרא"ש </w:t>
      </w:r>
      <w:r w:rsidRPr="000C6B1E">
        <w:rPr>
          <w:rFonts w:cs="Arial" w:hint="cs"/>
          <w:sz w:val="16"/>
          <w:szCs w:val="16"/>
          <w:rtl/>
        </w:rPr>
        <w:t>(</w:t>
      </w:r>
      <w:r w:rsidRPr="000C6B1E">
        <w:rPr>
          <w:rFonts w:cs="Arial"/>
          <w:sz w:val="16"/>
          <w:szCs w:val="16"/>
          <w:rtl/>
        </w:rPr>
        <w:t>כלל מב</w:t>
      </w:r>
      <w:r w:rsidRPr="000C6B1E">
        <w:rPr>
          <w:rFonts w:cs="Arial" w:hint="cs"/>
          <w:sz w:val="16"/>
          <w:szCs w:val="16"/>
          <w:rtl/>
        </w:rPr>
        <w:t>)</w:t>
      </w:r>
      <w:r w:rsidRPr="000C6B1E">
        <w:rPr>
          <w:rFonts w:cs="Arial"/>
          <w:sz w:val="16"/>
          <w:szCs w:val="16"/>
          <w:rtl/>
        </w:rPr>
        <w:t xml:space="preserve"> שכ' כיון שמן הדין היא חייבת לקבל גט נמצא פריעת חוב כתובה כשאר חוב</w:t>
      </w:r>
      <w:r w:rsidRPr="000C6B1E">
        <w:rPr>
          <w:rFonts w:cs="Arial" w:hint="cs"/>
          <w:sz w:val="16"/>
          <w:szCs w:val="16"/>
          <w:rtl/>
        </w:rPr>
        <w:t>.</w:t>
      </w:r>
      <w:r w:rsidRPr="000C6B1E">
        <w:rPr>
          <w:rFonts w:cs="Arial"/>
          <w:sz w:val="16"/>
          <w:szCs w:val="16"/>
          <w:rtl/>
        </w:rPr>
        <w:t xml:space="preserve"> משמע הא כל שאין חייבת לקבל גט רק שהוא מגרשה מרצונ</w:t>
      </w:r>
      <w:r w:rsidRPr="000C6B1E">
        <w:rPr>
          <w:rFonts w:cs="Arial" w:hint="cs"/>
          <w:sz w:val="16"/>
          <w:szCs w:val="16"/>
          <w:rtl/>
        </w:rPr>
        <w:t>ה</w:t>
      </w:r>
      <w:r w:rsidRPr="000C6B1E">
        <w:rPr>
          <w:rFonts w:cs="Arial"/>
          <w:sz w:val="16"/>
          <w:szCs w:val="16"/>
          <w:rtl/>
        </w:rPr>
        <w:t xml:space="preserve"> </w:t>
      </w:r>
      <w:r w:rsidRPr="000C6B1E">
        <w:rPr>
          <w:rFonts w:cs="Arial" w:hint="cs"/>
          <w:sz w:val="16"/>
          <w:szCs w:val="16"/>
          <w:rtl/>
        </w:rPr>
        <w:t xml:space="preserve">- </w:t>
      </w:r>
      <w:r w:rsidRPr="000C6B1E">
        <w:rPr>
          <w:rFonts w:cs="Arial"/>
          <w:sz w:val="16"/>
          <w:szCs w:val="16"/>
          <w:rtl/>
        </w:rPr>
        <w:t>צריך ליתן לה כתובה</w:t>
      </w:r>
      <w:r w:rsidRPr="000C6B1E">
        <w:rPr>
          <w:rFonts w:cs="Arial" w:hint="cs"/>
          <w:sz w:val="16"/>
          <w:szCs w:val="16"/>
          <w:rtl/>
        </w:rPr>
        <w:t>.</w:t>
      </w:r>
      <w:r w:rsidRPr="000C6B1E">
        <w:rPr>
          <w:rFonts w:cs="Arial"/>
          <w:sz w:val="16"/>
          <w:szCs w:val="16"/>
          <w:rtl/>
        </w:rPr>
        <w:t xml:space="preserve"> אבל כל שחייבת לקבל גט </w:t>
      </w:r>
      <w:r w:rsidRPr="000C6B1E">
        <w:rPr>
          <w:rFonts w:cs="Arial" w:hint="cs"/>
          <w:sz w:val="16"/>
          <w:szCs w:val="16"/>
          <w:rtl/>
        </w:rPr>
        <w:t xml:space="preserve">- </w:t>
      </w:r>
      <w:r w:rsidRPr="000C6B1E">
        <w:rPr>
          <w:rFonts w:cs="Arial"/>
          <w:sz w:val="16"/>
          <w:szCs w:val="16"/>
          <w:rtl/>
        </w:rPr>
        <w:t>יכול לגרשה ואח"כ תתבע היא אותו</w:t>
      </w:r>
      <w:r w:rsidRPr="000C6B1E">
        <w:rPr>
          <w:rFonts w:cs="Arial" w:hint="cs"/>
          <w:sz w:val="16"/>
          <w:szCs w:val="16"/>
          <w:rtl/>
        </w:rPr>
        <w:t>,</w:t>
      </w:r>
      <w:r w:rsidRPr="000C6B1E">
        <w:rPr>
          <w:rFonts w:cs="Arial"/>
          <w:sz w:val="16"/>
          <w:szCs w:val="16"/>
          <w:rtl/>
        </w:rPr>
        <w:t xml:space="preserve"> ואם יש לו</w:t>
      </w:r>
      <w:r w:rsidRPr="000C6B1E">
        <w:rPr>
          <w:rFonts w:cs="Arial" w:hint="cs"/>
          <w:sz w:val="16"/>
          <w:szCs w:val="16"/>
          <w:rtl/>
        </w:rPr>
        <w:t>,</w:t>
      </w:r>
      <w:r w:rsidRPr="000C6B1E">
        <w:rPr>
          <w:rFonts w:cs="Arial"/>
          <w:sz w:val="16"/>
          <w:szCs w:val="16"/>
          <w:rtl/>
        </w:rPr>
        <w:t xml:space="preserve"> ישלם לה</w:t>
      </w:r>
      <w:r w:rsidRPr="000C6B1E">
        <w:rPr>
          <w:rFonts w:cs="Arial" w:hint="cs"/>
          <w:sz w:val="16"/>
          <w:szCs w:val="16"/>
          <w:rtl/>
        </w:rPr>
        <w:t>,</w:t>
      </w:r>
      <w:r w:rsidRPr="000C6B1E">
        <w:rPr>
          <w:rFonts w:cs="Arial"/>
          <w:sz w:val="16"/>
          <w:szCs w:val="16"/>
          <w:rtl/>
        </w:rPr>
        <w:t xml:space="preserve"> וא"כ צריכ</w:t>
      </w:r>
      <w:r w:rsidRPr="000C6B1E">
        <w:rPr>
          <w:rFonts w:cs="Arial" w:hint="cs"/>
          <w:sz w:val="16"/>
          <w:szCs w:val="16"/>
          <w:rtl/>
        </w:rPr>
        <w:t>ה</w:t>
      </w:r>
      <w:r w:rsidRPr="000C6B1E">
        <w:rPr>
          <w:rFonts w:cs="Arial"/>
          <w:sz w:val="16"/>
          <w:szCs w:val="16"/>
          <w:rtl/>
        </w:rPr>
        <w:t xml:space="preserve"> היא לילך אחריו ונותן לה מעות מקום שהוא דר שם</w:t>
      </w:r>
      <w:r>
        <w:rPr>
          <w:rFonts w:cs="Arial" w:hint="cs"/>
          <w:sz w:val="16"/>
          <w:szCs w:val="16"/>
          <w:rtl/>
        </w:rPr>
        <w:t>)</w:t>
      </w:r>
      <w:r>
        <w:rPr>
          <w:rFonts w:cs="Arial" w:hint="cs"/>
          <w:rtl/>
        </w:rPr>
        <w:t>.</w:t>
      </w:r>
      <w:r w:rsidRPr="005F6D41">
        <w:rPr>
          <w:rFonts w:cs="Arial"/>
          <w:rtl/>
        </w:rPr>
        <w:t xml:space="preserve"> וע' בתשו' הריב"ש </w:t>
      </w:r>
      <w:r>
        <w:rPr>
          <w:rFonts w:cs="Arial" w:hint="cs"/>
          <w:rtl/>
        </w:rPr>
        <w:t>(</w:t>
      </w:r>
      <w:r w:rsidRPr="005F6D41">
        <w:rPr>
          <w:rFonts w:cs="Arial"/>
          <w:rtl/>
        </w:rPr>
        <w:t>סי' צא</w:t>
      </w:r>
      <w:r>
        <w:rPr>
          <w:rFonts w:cs="Arial" w:hint="cs"/>
          <w:rtl/>
        </w:rPr>
        <w:t>)</w:t>
      </w:r>
      <w:r w:rsidRPr="005F6D41">
        <w:rPr>
          <w:rFonts w:cs="Arial"/>
          <w:rtl/>
        </w:rPr>
        <w:t xml:space="preserve"> משמע קצת דכל אשה צריכ</w:t>
      </w:r>
      <w:r>
        <w:rPr>
          <w:rFonts w:cs="Arial" w:hint="cs"/>
          <w:rtl/>
        </w:rPr>
        <w:t>ה</w:t>
      </w:r>
      <w:r w:rsidRPr="005F6D41">
        <w:rPr>
          <w:rFonts w:cs="Arial"/>
          <w:rtl/>
        </w:rPr>
        <w:t xml:space="preserve"> לקבל גט תחלה ואח"כ תתבע הכתוב</w:t>
      </w:r>
      <w:r>
        <w:rPr>
          <w:rFonts w:cs="Arial" w:hint="cs"/>
          <w:rtl/>
        </w:rPr>
        <w:t>ה,</w:t>
      </w:r>
      <w:r w:rsidRPr="005F6D41">
        <w:rPr>
          <w:rFonts w:cs="Arial"/>
          <w:rtl/>
        </w:rPr>
        <w:t xml:space="preserve"> וא"כ לפי דבריו אף ששלח לה גט למקום הנשואין צריכה היא לילך אחריו ולתבוע כתובה במקום שהוא דר</w:t>
      </w:r>
      <w:r>
        <w:rPr>
          <w:rFonts w:cs="Arial" w:hint="cs"/>
          <w:rtl/>
        </w:rPr>
        <w:t xml:space="preserve">, </w:t>
      </w:r>
      <w:r w:rsidRPr="0012006C">
        <w:rPr>
          <w:rFonts w:cs="Arial" w:hint="cs"/>
          <w:b/>
          <w:bCs/>
          <w:rtl/>
        </w:rPr>
        <w:t>ח"מ</w:t>
      </w:r>
      <w:r>
        <w:rPr>
          <w:rFonts w:cs="Arial" w:hint="cs"/>
          <w:rtl/>
        </w:rPr>
        <w:t xml:space="preserve"> (סקכ"ז).</w:t>
      </w:r>
      <w:r>
        <w:rPr>
          <w:rFonts w:hint="cs"/>
          <w:rtl/>
        </w:rPr>
        <w:t xml:space="preserve"> </w:t>
      </w:r>
      <w:r w:rsidR="0012006C">
        <w:rPr>
          <w:rFonts w:hint="cs"/>
          <w:rtl/>
        </w:rPr>
        <w:t xml:space="preserve">    </w:t>
      </w:r>
      <w:r>
        <w:rPr>
          <w:rFonts w:hint="cs"/>
          <w:rtl/>
        </w:rPr>
        <w:t xml:space="preserve">וכתב </w:t>
      </w:r>
      <w:r w:rsidRPr="0012006C">
        <w:rPr>
          <w:rFonts w:hint="cs"/>
          <w:b/>
          <w:bCs/>
          <w:rtl/>
        </w:rPr>
        <w:t>הב"ש</w:t>
      </w:r>
      <w:r>
        <w:rPr>
          <w:rFonts w:hint="cs"/>
          <w:rtl/>
        </w:rPr>
        <w:t xml:space="preserve"> (סקכ"ד) ל</w:t>
      </w:r>
      <w:r w:rsidRPr="000C6B1E">
        <w:rPr>
          <w:rFonts w:cs="Arial"/>
          <w:rtl/>
        </w:rPr>
        <w:t>ע</w:t>
      </w:r>
      <w:r>
        <w:rPr>
          <w:rFonts w:cs="Arial" w:hint="cs"/>
          <w:rtl/>
        </w:rPr>
        <w:t>י</w:t>
      </w:r>
      <w:r w:rsidRPr="000C6B1E">
        <w:rPr>
          <w:rFonts w:cs="Arial"/>
          <w:rtl/>
        </w:rPr>
        <w:t xml:space="preserve">' </w:t>
      </w:r>
      <w:r>
        <w:rPr>
          <w:rFonts w:cs="Arial" w:hint="cs"/>
          <w:rtl/>
        </w:rPr>
        <w:t>ב</w:t>
      </w:r>
      <w:r w:rsidRPr="000C6B1E">
        <w:rPr>
          <w:rFonts w:cs="Arial"/>
          <w:rtl/>
        </w:rPr>
        <w:t>סימן קי"ט שם מבואר פלוגתת הפוסקים אם היא יכולה לומר לא אקבל הגט עד שיסלק לי הכתובה</w:t>
      </w:r>
      <w:r>
        <w:rPr>
          <w:rFonts w:cs="Arial" w:hint="cs"/>
          <w:rtl/>
        </w:rPr>
        <w:t xml:space="preserve">... </w:t>
      </w:r>
      <w:r w:rsidRPr="000C6B1E">
        <w:rPr>
          <w:rFonts w:cs="Arial"/>
          <w:rtl/>
        </w:rPr>
        <w:t>ולכאורה נ"ל ע"כ לא פליגי שם אלא כשאין לו לשלם</w:t>
      </w:r>
      <w:r w:rsidR="0012006C">
        <w:rPr>
          <w:rFonts w:cs="Arial" w:hint="cs"/>
          <w:rtl/>
        </w:rPr>
        <w:t>,</w:t>
      </w:r>
      <w:r w:rsidRPr="000C6B1E">
        <w:rPr>
          <w:rFonts w:cs="Arial"/>
          <w:rtl/>
        </w:rPr>
        <w:t xml:space="preserve"> אבל כשיש לו לשלם לכ"ע חל הזמן פרעון בעת הנתינת הגט</w:t>
      </w:r>
      <w:r>
        <w:rPr>
          <w:rFonts w:cs="Arial" w:hint="cs"/>
          <w:rtl/>
        </w:rPr>
        <w:t>.</w:t>
      </w:r>
      <w:r w:rsidRPr="000C6B1E">
        <w:rPr>
          <w:rFonts w:cs="Arial"/>
          <w:rtl/>
        </w:rPr>
        <w:t xml:space="preserve"> ושם במקום הגט הוא מקום הוצאות השטר חוב היינו הכתובה</w:t>
      </w:r>
      <w:r>
        <w:rPr>
          <w:rFonts w:cs="Arial" w:hint="cs"/>
          <w:rtl/>
        </w:rPr>
        <w:t>.</w:t>
      </w:r>
      <w:r w:rsidRPr="000C6B1E">
        <w:rPr>
          <w:rFonts w:cs="Arial"/>
          <w:rtl/>
        </w:rPr>
        <w:t xml:space="preserve"> ואפי' אם אין לו לשלם י"ל מ"מ בעת נתינת הגט חל הז</w:t>
      </w:r>
      <w:r>
        <w:rPr>
          <w:rFonts w:cs="Arial" w:hint="cs"/>
          <w:rtl/>
        </w:rPr>
        <w:t xml:space="preserve">מן </w:t>
      </w:r>
      <w:r w:rsidRPr="000C6B1E">
        <w:rPr>
          <w:rFonts w:cs="Arial"/>
          <w:rtl/>
        </w:rPr>
        <w:t>פ</w:t>
      </w:r>
      <w:r>
        <w:rPr>
          <w:rFonts w:cs="Arial" w:hint="cs"/>
          <w:rtl/>
        </w:rPr>
        <w:t>רעון,</w:t>
      </w:r>
      <w:r w:rsidRPr="000C6B1E">
        <w:rPr>
          <w:rFonts w:cs="Arial"/>
          <w:rtl/>
        </w:rPr>
        <w:t xml:space="preserve"> ואז הוי מקום הוצאות השטר חוב</w:t>
      </w:r>
      <w:r>
        <w:rPr>
          <w:rFonts w:hint="cs"/>
          <w:rtl/>
        </w:rPr>
        <w:t>.</w:t>
      </w:r>
    </w:p>
  </w:footnote>
  <w:footnote w:id="1952">
    <w:p w14:paraId="727E3A63" w14:textId="05CE1C15" w:rsidR="00D27616" w:rsidRDefault="00D27616">
      <w:pPr>
        <w:pStyle w:val="a5"/>
      </w:pPr>
      <w:r>
        <w:rPr>
          <w:rStyle w:val="a7"/>
        </w:rPr>
        <w:footnoteRef/>
      </w:r>
      <w:r>
        <w:rPr>
          <w:rtl/>
        </w:rPr>
        <w:t xml:space="preserve"> </w:t>
      </w:r>
      <w:r>
        <w:rPr>
          <w:rFonts w:hint="cs"/>
          <w:rtl/>
        </w:rPr>
        <w:t>סימן - פורע תמיד.</w:t>
      </w:r>
    </w:p>
  </w:footnote>
  <w:footnote w:id="1953">
    <w:p w14:paraId="48775BFC" w14:textId="77777777" w:rsidR="00392DBB" w:rsidRDefault="00392DBB" w:rsidP="00392DBB">
      <w:pPr>
        <w:pStyle w:val="a5"/>
      </w:pPr>
      <w:r>
        <w:rPr>
          <w:rStyle w:val="a7"/>
        </w:rPr>
        <w:footnoteRef/>
      </w:r>
      <w:r>
        <w:rPr>
          <w:rtl/>
        </w:rPr>
        <w:t xml:space="preserve"> </w:t>
      </w:r>
      <w:r w:rsidRPr="00A72F05">
        <w:rPr>
          <w:rFonts w:cs="Arial"/>
          <w:rtl/>
        </w:rPr>
        <w:t>דלעולם אין כותבין שובר והיינו טעמא דגובה כתובתה דאי מקום שאין כותבין הוא והוא אומר כתבתי וירא אני שמא תחזור ותוציאנה עליו להביא ראיה ואי מייתי ראיה עדים שכתב לא גביא ואי לא מייתי ראיה קתני מתניתין גובה כתובתה ואינו נאמן לומר שניתי מנהג העיר ואי מקום שכותבין הוא והיא אמרה לא כתב לי עליה להביא ראיה וכי קתני מתניתין גובה כתובתה שהביאה ראיה שלא כתב לה</w:t>
      </w:r>
      <w:r>
        <w:rPr>
          <w:rFonts w:cs="Arial" w:hint="cs"/>
          <w:rtl/>
        </w:rPr>
        <w:t>, רש"י.</w:t>
      </w:r>
    </w:p>
  </w:footnote>
  <w:footnote w:id="1954">
    <w:p w14:paraId="2610BAC6" w14:textId="77777777" w:rsidR="00392DBB" w:rsidRDefault="00392DBB" w:rsidP="00392DBB">
      <w:pPr>
        <w:pStyle w:val="a5"/>
      </w:pPr>
      <w:r>
        <w:rPr>
          <w:rStyle w:val="a7"/>
        </w:rPr>
        <w:footnoteRef/>
      </w:r>
      <w:r>
        <w:rPr>
          <w:rtl/>
        </w:rPr>
        <w:t xml:space="preserve"> </w:t>
      </w:r>
      <w:r w:rsidRPr="00A72F05">
        <w:rPr>
          <w:rFonts w:cs="Arial"/>
          <w:rtl/>
        </w:rPr>
        <w:t>ואוקי מתני' בטעמא אחרינא ואמר בין במקום שכותבין ובין במקום שאין כותבין כי מפקא גט בלא כתובה גובה עיקר כתובתה דהיינו מנה ומאתים וגובה דקתני מתני' עיקר קאמר ולא תוספת וכי מפקא כתובה בלא גט גובה תוספת ולא עיקר חיישינן שמא גבאתו על פי הגט</w:t>
      </w:r>
      <w:r>
        <w:rPr>
          <w:rFonts w:cs="Arial" w:hint="cs"/>
          <w:rtl/>
        </w:rPr>
        <w:t>, רש"י.</w:t>
      </w:r>
    </w:p>
  </w:footnote>
  <w:footnote w:id="1955">
    <w:p w14:paraId="6ADA0ACE" w14:textId="77777777" w:rsidR="00392DBB" w:rsidRDefault="00392DBB" w:rsidP="00392DBB">
      <w:pPr>
        <w:pStyle w:val="a5"/>
      </w:pPr>
      <w:r>
        <w:rPr>
          <w:rStyle w:val="a7"/>
        </w:rPr>
        <w:footnoteRef/>
      </w:r>
      <w:r>
        <w:rPr>
          <w:rtl/>
        </w:rPr>
        <w:t xml:space="preserve"> </w:t>
      </w:r>
      <w:r w:rsidRPr="00BF051A">
        <w:rPr>
          <w:rFonts w:cs="Arial"/>
          <w:rtl/>
        </w:rPr>
        <w:t>דבר שהוא תנאי בית דין, כגון כתובה ומזון האשה והבנות, הטוען ואמר פרעתי שלא בעדים - לא אמר כלום</w:t>
      </w:r>
      <w:r>
        <w:rPr>
          <w:rFonts w:cs="Arial" w:hint="cs"/>
          <w:rtl/>
        </w:rPr>
        <w:t>, רש"י.</w:t>
      </w:r>
    </w:p>
  </w:footnote>
  <w:footnote w:id="1956">
    <w:p w14:paraId="49DD689D" w14:textId="77777777" w:rsidR="00392DBB" w:rsidRDefault="00392DBB" w:rsidP="00392DBB">
      <w:pPr>
        <w:pStyle w:val="a5"/>
      </w:pPr>
      <w:r>
        <w:rPr>
          <w:rStyle w:val="a7"/>
        </w:rPr>
        <w:footnoteRef/>
      </w:r>
      <w:r>
        <w:rPr>
          <w:rtl/>
        </w:rPr>
        <w:t xml:space="preserve"> </w:t>
      </w:r>
      <w:r w:rsidRPr="00BF051A">
        <w:rPr>
          <w:rFonts w:cs="Arial"/>
          <w:rtl/>
        </w:rPr>
        <w:t>אם לא שהגבהתי לך את החרס, לא היית מוצא את המרגלית שהיתה חבויה תחתיה. כלומר, אם לא שאמרתי את הכלל ש"הטוען אחר מעשה בית דין לא אמר כלום", לא היית מבין מעצמך דין זה מתוך המשנה</w:t>
      </w:r>
      <w:r>
        <w:rPr>
          <w:rFonts w:cs="Arial" w:hint="cs"/>
          <w:rtl/>
        </w:rPr>
        <w:t xml:space="preserve"> (פירוש חברותא).</w:t>
      </w:r>
    </w:p>
  </w:footnote>
  <w:footnote w:id="1957">
    <w:p w14:paraId="4E03188A" w14:textId="77777777" w:rsidR="00392DBB" w:rsidRDefault="00392DBB" w:rsidP="00392DBB">
      <w:pPr>
        <w:pStyle w:val="a5"/>
      </w:pPr>
      <w:r>
        <w:rPr>
          <w:rStyle w:val="a7"/>
        </w:rPr>
        <w:footnoteRef/>
      </w:r>
      <w:r>
        <w:rPr>
          <w:rtl/>
        </w:rPr>
        <w:t xml:space="preserve"> </w:t>
      </w:r>
      <w:r w:rsidRPr="00BF051A">
        <w:rPr>
          <w:rFonts w:cs="Arial"/>
          <w:rtl/>
        </w:rPr>
        <w:t>אלא סומכין על תנאי בית דין, ותגבה לעולם עד שיוציא הבעל שובר, דגט שמעיד שגירשה הוא מוכיח שחייב הוא לה כתובה</w:t>
      </w:r>
      <w:r>
        <w:rPr>
          <w:rFonts w:cs="Arial" w:hint="cs"/>
          <w:rtl/>
        </w:rPr>
        <w:t>, רש"י.</w:t>
      </w:r>
    </w:p>
  </w:footnote>
  <w:footnote w:id="1958">
    <w:p w14:paraId="67D1473D" w14:textId="77777777" w:rsidR="00392DBB" w:rsidRDefault="00392DBB" w:rsidP="00392DBB">
      <w:pPr>
        <w:pStyle w:val="a5"/>
        <w:rPr>
          <w:rtl/>
        </w:rPr>
      </w:pPr>
      <w:r>
        <w:rPr>
          <w:rStyle w:val="a7"/>
        </w:rPr>
        <w:footnoteRef/>
      </w:r>
      <w:r>
        <w:rPr>
          <w:rtl/>
        </w:rPr>
        <w:t xml:space="preserve"> </w:t>
      </w:r>
      <w:r>
        <w:rPr>
          <w:rFonts w:hint="cs"/>
          <w:rtl/>
        </w:rPr>
        <w:t>יורש, ולומר פרעתיה, רש"י.</w:t>
      </w:r>
    </w:p>
  </w:footnote>
  <w:footnote w:id="1959">
    <w:p w14:paraId="62A6D895" w14:textId="77777777" w:rsidR="00392DBB" w:rsidRDefault="00392DBB" w:rsidP="00392DBB">
      <w:pPr>
        <w:pStyle w:val="a5"/>
      </w:pPr>
      <w:r>
        <w:rPr>
          <w:rStyle w:val="a7"/>
        </w:rPr>
        <w:footnoteRef/>
      </w:r>
      <w:r>
        <w:rPr>
          <w:rtl/>
        </w:rPr>
        <w:t xml:space="preserve"> </w:t>
      </w:r>
      <w:r w:rsidRPr="006F1DF9">
        <w:rPr>
          <w:rFonts w:cs="Arial"/>
          <w:rtl/>
        </w:rPr>
        <w:t>שתקנו כתובה לארוסה, והלא הכל יטענו פרעתי</w:t>
      </w:r>
      <w:r>
        <w:rPr>
          <w:rFonts w:cs="Arial" w:hint="cs"/>
          <w:rtl/>
        </w:rPr>
        <w:t>, רש"י.</w:t>
      </w:r>
    </w:p>
  </w:footnote>
  <w:footnote w:id="1960">
    <w:p w14:paraId="35CFBBC6" w14:textId="229B0933" w:rsidR="00392DBB" w:rsidRDefault="00392DBB" w:rsidP="00392DBB">
      <w:pPr>
        <w:pStyle w:val="a5"/>
      </w:pPr>
      <w:r>
        <w:rPr>
          <w:rStyle w:val="a7"/>
        </w:rPr>
        <w:footnoteRef/>
      </w:r>
      <w:r>
        <w:rPr>
          <w:rtl/>
        </w:rPr>
        <w:t xml:space="preserve"> </w:t>
      </w:r>
      <w:r>
        <w:rPr>
          <w:rFonts w:hint="cs"/>
          <w:rtl/>
        </w:rPr>
        <w:t>וז"ל שם</w:t>
      </w:r>
      <w:r w:rsidR="008B25DF">
        <w:rPr>
          <w:rFonts w:hint="cs"/>
          <w:rtl/>
        </w:rPr>
        <w:t>:</w:t>
      </w:r>
      <w:r>
        <w:rPr>
          <w:rFonts w:hint="cs"/>
          <w:rtl/>
        </w:rPr>
        <w:t xml:space="preserve"> </w:t>
      </w:r>
      <w:r w:rsidRPr="00DF7DC4">
        <w:rPr>
          <w:rFonts w:cs="Arial"/>
          <w:rtl/>
        </w:rPr>
        <w:t xml:space="preserve">הוציאה גט ואין בידה שטר כתובה, אם דרך אותו מקום שלא יכתבו כתובה </w:t>
      </w:r>
      <w:r w:rsidRPr="00DF7DC4">
        <w:rPr>
          <w:rFonts w:cs="Arial" w:hint="cs"/>
          <w:rtl/>
        </w:rPr>
        <w:t xml:space="preserve">- </w:t>
      </w:r>
      <w:r w:rsidRPr="00DF7DC4">
        <w:rPr>
          <w:rFonts w:cs="Arial"/>
          <w:rtl/>
        </w:rPr>
        <w:t xml:space="preserve">גובה עיקר כתובה בגט שבידה, ואם דרכן לכתוב כתובה </w:t>
      </w:r>
      <w:r w:rsidRPr="00DF7DC4">
        <w:rPr>
          <w:rFonts w:cs="Arial" w:hint="cs"/>
          <w:rtl/>
        </w:rPr>
        <w:t xml:space="preserve">- </w:t>
      </w:r>
      <w:r w:rsidRPr="00DF7DC4">
        <w:rPr>
          <w:rFonts w:cs="Arial"/>
          <w:rtl/>
        </w:rPr>
        <w:t>אפילו עיקר אין לה עד שתוציא שטר כתובה כמו שביארנו, ונשבע הבעל שבועת הסת על טענתה ונפטר</w:t>
      </w:r>
      <w:r>
        <w:rPr>
          <w:rFonts w:cs="Arial" w:hint="cs"/>
          <w:rtl/>
        </w:rPr>
        <w:t>.</w:t>
      </w:r>
    </w:p>
  </w:footnote>
  <w:footnote w:id="1961">
    <w:p w14:paraId="7D636721" w14:textId="0B2E2F9B" w:rsidR="00392DBB" w:rsidRDefault="00392DBB" w:rsidP="00392DBB">
      <w:pPr>
        <w:pStyle w:val="a5"/>
        <w:rPr>
          <w:rtl/>
        </w:rPr>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3D2914">
        <w:rPr>
          <w:rFonts w:cs="Arial"/>
          <w:rtl/>
        </w:rPr>
        <w:t xml:space="preserve">במקום שכותבין כתובה </w:t>
      </w:r>
      <w:r>
        <w:rPr>
          <w:rFonts w:cs="Arial" w:hint="cs"/>
          <w:rtl/>
        </w:rPr>
        <w:t xml:space="preserve">- </w:t>
      </w:r>
      <w:r w:rsidRPr="003D2914">
        <w:rPr>
          <w:rFonts w:cs="Arial"/>
          <w:rtl/>
        </w:rPr>
        <w:t>אינה נגבית אלא אם כן יהיה שטר כתובה בידה</w:t>
      </w:r>
      <w:r>
        <w:rPr>
          <w:rFonts w:cs="Arial" w:hint="cs"/>
          <w:rtl/>
        </w:rPr>
        <w:t>.</w:t>
      </w:r>
      <w:r w:rsidRPr="003D2914">
        <w:rPr>
          <w:rFonts w:cs="Arial"/>
          <w:rtl/>
        </w:rPr>
        <w:t xml:space="preserve"> אלא נשבע שבועת היסת ונפטר</w:t>
      </w:r>
      <w:r>
        <w:rPr>
          <w:rFonts w:cs="Arial" w:hint="cs"/>
          <w:rtl/>
        </w:rPr>
        <w:t>.</w:t>
      </w:r>
      <w:r w:rsidRPr="003D2914">
        <w:rPr>
          <w:rFonts w:cs="Arial"/>
          <w:rtl/>
        </w:rPr>
        <w:t xml:space="preserve"> ובמקום שאין כותבין </w:t>
      </w:r>
      <w:r>
        <w:rPr>
          <w:rFonts w:cs="Arial" w:hint="cs"/>
          <w:rtl/>
        </w:rPr>
        <w:t xml:space="preserve">- </w:t>
      </w:r>
      <w:r w:rsidRPr="003D2914">
        <w:rPr>
          <w:rFonts w:cs="Arial"/>
          <w:rtl/>
        </w:rPr>
        <w:t>עיקר כתובה גובה בלא כתובה בתנאי ב"ד בעדי מיתה</w:t>
      </w:r>
      <w:r>
        <w:rPr>
          <w:rFonts w:cs="Arial" w:hint="cs"/>
          <w:rtl/>
        </w:rPr>
        <w:t>,</w:t>
      </w:r>
      <w:r w:rsidRPr="003D2914">
        <w:rPr>
          <w:rFonts w:cs="Arial"/>
          <w:rtl/>
        </w:rPr>
        <w:t xml:space="preserve"> או אפי' בלא עדים</w:t>
      </w:r>
      <w:r>
        <w:rPr>
          <w:rFonts w:cs="Arial" w:hint="cs"/>
          <w:rtl/>
        </w:rPr>
        <w:t>,</w:t>
      </w:r>
      <w:r w:rsidRPr="003D2914">
        <w:rPr>
          <w:rFonts w:cs="Arial"/>
          <w:rtl/>
        </w:rPr>
        <w:t xml:space="preserve"> </w:t>
      </w:r>
      <w:r w:rsidRPr="00D664B6">
        <w:rPr>
          <w:rFonts w:cs="Arial"/>
          <w:color w:val="000000" w:themeColor="text1"/>
          <w:rtl/>
        </w:rPr>
        <w:t>שהאשה שאומרת מת בעלי נאמנת כדפירש' לעיל</w:t>
      </w:r>
      <w:r>
        <w:rPr>
          <w:rFonts w:cs="Arial" w:hint="cs"/>
          <w:color w:val="000000" w:themeColor="text1"/>
          <w:rtl/>
        </w:rPr>
        <w:t>.</w:t>
      </w:r>
    </w:p>
  </w:footnote>
  <w:footnote w:id="1962">
    <w:p w14:paraId="697852C6" w14:textId="2DF9F44C" w:rsidR="00392DBB" w:rsidRDefault="00392DBB" w:rsidP="00392DBB">
      <w:pPr>
        <w:pStyle w:val="a5"/>
        <w:rPr>
          <w:rtl/>
        </w:rPr>
      </w:pPr>
      <w:r>
        <w:rPr>
          <w:rStyle w:val="a7"/>
        </w:rPr>
        <w:footnoteRef/>
      </w:r>
      <w:r>
        <w:rPr>
          <w:rtl/>
        </w:rPr>
        <w:t xml:space="preserve"> </w:t>
      </w:r>
      <w:r w:rsidRPr="00F02E86">
        <w:rPr>
          <w:rFonts w:cs="Arial"/>
          <w:rtl/>
        </w:rPr>
        <w:t>זה מוסכם</w:t>
      </w:r>
      <w:r w:rsidR="008B25DF">
        <w:rPr>
          <w:rFonts w:cs="Arial" w:hint="cs"/>
          <w:rtl/>
        </w:rPr>
        <w:t>,</w:t>
      </w:r>
      <w:r w:rsidRPr="00F02E86">
        <w:rPr>
          <w:rFonts w:cs="Arial"/>
          <w:rtl/>
        </w:rPr>
        <w:t xml:space="preserve"> דבמקום שאין כותבין וסומכין על תנאי ב"ד הרי הבעל צריך להביא ראיה שנפרעה וכן מתבאר במשנה ובגמרא פרק הכותב (פט.) ופרק הנושא (קד.)</w:t>
      </w:r>
      <w:r>
        <w:rPr>
          <w:rFonts w:hint="cs"/>
          <w:rtl/>
        </w:rPr>
        <w:t>, הה"מ (שם).</w:t>
      </w:r>
    </w:p>
  </w:footnote>
  <w:footnote w:id="1963">
    <w:p w14:paraId="480C6473" w14:textId="254E918D" w:rsidR="00392DBB" w:rsidRDefault="00392DBB" w:rsidP="00392DBB">
      <w:pPr>
        <w:pStyle w:val="a5"/>
      </w:pPr>
      <w:r>
        <w:rPr>
          <w:rStyle w:val="a7"/>
        </w:rPr>
        <w:footnoteRef/>
      </w:r>
      <w:r>
        <w:rPr>
          <w:rtl/>
        </w:rPr>
        <w:t xml:space="preserve"> </w:t>
      </w:r>
      <w:r w:rsidRPr="00F02E86">
        <w:rPr>
          <w:rFonts w:cs="Arial"/>
          <w:rtl/>
        </w:rPr>
        <w:t>שהתוספת אינו מתנאי ב"ד שנאמר אע</w:t>
      </w:r>
      <w:r w:rsidR="008B25DF">
        <w:rPr>
          <w:rFonts w:cs="Arial" w:hint="cs"/>
          <w:rtl/>
        </w:rPr>
        <w:t>"</w:t>
      </w:r>
      <w:r w:rsidRPr="00F02E86">
        <w:rPr>
          <w:rFonts w:cs="Arial"/>
          <w:rtl/>
        </w:rPr>
        <w:t>פ שלא נכתב כמו שנכתב הוא</w:t>
      </w:r>
      <w:r>
        <w:rPr>
          <w:rFonts w:cs="Arial" w:hint="cs"/>
          <w:rtl/>
        </w:rPr>
        <w:t>.</w:t>
      </w:r>
      <w:r w:rsidRPr="00F02E86">
        <w:rPr>
          <w:rFonts w:cs="Arial"/>
          <w:rtl/>
        </w:rPr>
        <w:t xml:space="preserve"> וקל וחומר הוא מדין העיקר במקום שכותבין</w:t>
      </w:r>
      <w:r>
        <w:rPr>
          <w:rFonts w:cs="Arial" w:hint="cs"/>
          <w:rtl/>
        </w:rPr>
        <w:t>.</w:t>
      </w:r>
      <w:r w:rsidRPr="00F02E86">
        <w:rPr>
          <w:rFonts w:cs="Arial"/>
          <w:rtl/>
        </w:rPr>
        <w:t xml:space="preserve"> ודבר פשוט הוא לפי שיטת ההלכות ורבינו</w:t>
      </w:r>
      <w:r w:rsidR="008B25DF">
        <w:rPr>
          <w:rFonts w:cs="Arial" w:hint="cs"/>
          <w:rtl/>
        </w:rPr>
        <w:t>,</w:t>
      </w:r>
      <w:r w:rsidRPr="00F02E86">
        <w:rPr>
          <w:rFonts w:cs="Arial"/>
          <w:rtl/>
        </w:rPr>
        <w:t xml:space="preserve"> וכן כתב הרמב"ן ז"ל בפ"ק דמציעא (יז. ד"ה אבל)</w:t>
      </w:r>
      <w:r>
        <w:rPr>
          <w:rFonts w:cs="Arial" w:hint="cs"/>
          <w:rtl/>
        </w:rPr>
        <w:t>, הה"מ (שם).</w:t>
      </w:r>
    </w:p>
  </w:footnote>
  <w:footnote w:id="1964">
    <w:p w14:paraId="1E76668C" w14:textId="5C6E80E2" w:rsidR="00392DBB" w:rsidRDefault="00392DBB" w:rsidP="00392DBB">
      <w:pPr>
        <w:pStyle w:val="a5"/>
      </w:pPr>
      <w:r>
        <w:rPr>
          <w:rStyle w:val="a7"/>
        </w:rPr>
        <w:footnoteRef/>
      </w:r>
      <w:r>
        <w:rPr>
          <w:rtl/>
        </w:rPr>
        <w:t xml:space="preserve"> </w:t>
      </w:r>
      <w:r w:rsidRPr="00F02E86">
        <w:rPr>
          <w:rFonts w:cs="Arial"/>
          <w:rtl/>
        </w:rPr>
        <w:t>וכתב ה</w:t>
      </w:r>
      <w:r w:rsidR="008B25DF">
        <w:rPr>
          <w:rFonts w:cs="Arial" w:hint="cs"/>
          <w:rtl/>
        </w:rPr>
        <w:t>ה"מ</w:t>
      </w:r>
      <w:r w:rsidRPr="00F02E86">
        <w:rPr>
          <w:rFonts w:cs="Arial"/>
          <w:rtl/>
        </w:rPr>
        <w:t xml:space="preserve"> בפט"ז מהל</w:t>
      </w:r>
      <w:r>
        <w:rPr>
          <w:rFonts w:cs="Arial" w:hint="cs"/>
          <w:rtl/>
        </w:rPr>
        <w:t>'</w:t>
      </w:r>
      <w:r w:rsidRPr="00F02E86">
        <w:rPr>
          <w:rFonts w:cs="Arial"/>
          <w:rtl/>
        </w:rPr>
        <w:t xml:space="preserve"> אישות (הכ"א) שדעת הרבה מפרשים וגאונים כדעת הרי"ף והרמב"ם</w:t>
      </w:r>
      <w:r>
        <w:rPr>
          <w:rFonts w:cs="Arial" w:hint="cs"/>
          <w:rtl/>
        </w:rPr>
        <w:t>,</w:t>
      </w:r>
      <w:r w:rsidRPr="00F02E86">
        <w:rPr>
          <w:rFonts w:cs="Arial"/>
          <w:rtl/>
        </w:rPr>
        <w:t xml:space="preserve"> ועיקר</w:t>
      </w:r>
      <w:r>
        <w:rPr>
          <w:rFonts w:cs="Arial" w:hint="cs"/>
          <w:rtl/>
        </w:rPr>
        <w:t>.</w:t>
      </w:r>
      <w:r w:rsidRPr="00F02E86">
        <w:rPr>
          <w:rFonts w:cs="Arial"/>
          <w:rtl/>
        </w:rPr>
        <w:t xml:space="preserve"> ודוקא כשהבעל טוען פרעתי או מחלה לי</w:t>
      </w:r>
      <w:r>
        <w:rPr>
          <w:rFonts w:cs="Arial" w:hint="cs"/>
          <w:rtl/>
        </w:rPr>
        <w:t>,</w:t>
      </w:r>
      <w:r w:rsidRPr="00F02E86">
        <w:rPr>
          <w:rFonts w:cs="Arial"/>
          <w:rtl/>
        </w:rPr>
        <w:t xml:space="preserve"> אבל אם מודה</w:t>
      </w:r>
      <w:r w:rsidR="008B25DF">
        <w:rPr>
          <w:rFonts w:cs="Arial" w:hint="cs"/>
          <w:rtl/>
        </w:rPr>
        <w:t xml:space="preserve"> -</w:t>
      </w:r>
      <w:r w:rsidRPr="00F02E86">
        <w:rPr>
          <w:rFonts w:cs="Arial"/>
          <w:rtl/>
        </w:rPr>
        <w:t xml:space="preserve"> ודאי חייב לפורעה</w:t>
      </w:r>
      <w:r>
        <w:rPr>
          <w:rFonts w:cs="Arial" w:hint="cs"/>
          <w:rtl/>
        </w:rPr>
        <w:t>.</w:t>
      </w:r>
      <w:r w:rsidRPr="00F02E86">
        <w:rPr>
          <w:rFonts w:cs="Arial"/>
          <w:rtl/>
        </w:rPr>
        <w:t xml:space="preserve"> וכן יתבאר זה בדברי רבינו</w:t>
      </w:r>
      <w:r>
        <w:rPr>
          <w:rFonts w:cs="Arial" w:hint="cs"/>
          <w:rtl/>
        </w:rPr>
        <w:t>.</w:t>
      </w:r>
      <w:r w:rsidRPr="00F02E86">
        <w:rPr>
          <w:rFonts w:cs="Arial"/>
          <w:rtl/>
        </w:rPr>
        <w:t xml:space="preserve"> וידוע שלעולם טוענין ליורש ע"כ</w:t>
      </w:r>
      <w:r>
        <w:rPr>
          <w:rFonts w:cs="Arial" w:hint="cs"/>
          <w:rtl/>
        </w:rPr>
        <w:t xml:space="preserve">, </w:t>
      </w:r>
      <w:r w:rsidRPr="008B25DF">
        <w:rPr>
          <w:rFonts w:cs="Arial" w:hint="cs"/>
          <w:b/>
          <w:bCs/>
          <w:rtl/>
        </w:rPr>
        <w:t>ב"י</w:t>
      </w:r>
      <w:r>
        <w:rPr>
          <w:rFonts w:cs="Arial" w:hint="cs"/>
          <w:rtl/>
        </w:rPr>
        <w:t>.</w:t>
      </w:r>
      <w:r>
        <w:rPr>
          <w:rFonts w:hint="cs"/>
          <w:rtl/>
        </w:rPr>
        <w:t xml:space="preserve"> </w:t>
      </w:r>
      <w:r w:rsidRPr="00814509">
        <w:rPr>
          <w:rFonts w:hint="cs"/>
          <w:color w:val="E36C0A" w:themeColor="accent6" w:themeShade="BF"/>
          <w:rtl/>
        </w:rPr>
        <w:t>(וכ"פ בשו"ע)</w:t>
      </w:r>
      <w:r>
        <w:rPr>
          <w:rFonts w:hint="cs"/>
          <w:rtl/>
        </w:rPr>
        <w:t xml:space="preserve">. </w:t>
      </w:r>
      <w:r w:rsidR="008B25DF">
        <w:rPr>
          <w:rFonts w:hint="cs"/>
          <w:rtl/>
        </w:rPr>
        <w:t xml:space="preserve">    </w:t>
      </w:r>
      <w:r>
        <w:rPr>
          <w:rFonts w:hint="cs"/>
          <w:rtl/>
        </w:rPr>
        <w:t xml:space="preserve">ועל הא דכתב הה"מ דאם מודה ודאי חייב לפורעה כתב </w:t>
      </w:r>
      <w:r w:rsidRPr="008B25DF">
        <w:rPr>
          <w:rFonts w:hint="cs"/>
          <w:b/>
          <w:bCs/>
          <w:rtl/>
        </w:rPr>
        <w:t>הב"ש</w:t>
      </w:r>
      <w:r>
        <w:rPr>
          <w:rFonts w:hint="cs"/>
          <w:rtl/>
        </w:rPr>
        <w:t xml:space="preserve"> (סקכ"ח)</w:t>
      </w:r>
      <w:r w:rsidR="008B25DF">
        <w:rPr>
          <w:rFonts w:hint="cs"/>
          <w:rtl/>
        </w:rPr>
        <w:t>:</w:t>
      </w:r>
      <w:r>
        <w:rPr>
          <w:rFonts w:hint="cs"/>
          <w:rtl/>
        </w:rPr>
        <w:t xml:space="preserve"> </w:t>
      </w:r>
      <w:r w:rsidRPr="00C95EDC">
        <w:rPr>
          <w:rFonts w:cs="Arial"/>
          <w:rtl/>
        </w:rPr>
        <w:t>וקשה מאי קמ"ל פשיטא אם הוא מודה חייב לשלם</w:t>
      </w:r>
      <w:r>
        <w:rPr>
          <w:rFonts w:cs="Arial" w:hint="cs"/>
          <w:rtl/>
        </w:rPr>
        <w:t>.</w:t>
      </w:r>
      <w:r w:rsidRPr="00C95EDC">
        <w:rPr>
          <w:rFonts w:cs="Arial"/>
          <w:rtl/>
        </w:rPr>
        <w:t xml:space="preserve"> ונראה דקמ"ל חידוש גדול דכותבים שובר על הכתוב</w:t>
      </w:r>
      <w:r>
        <w:rPr>
          <w:rFonts w:cs="Arial" w:hint="cs"/>
          <w:rtl/>
        </w:rPr>
        <w:t>ה.</w:t>
      </w:r>
      <w:r w:rsidRPr="00C95EDC">
        <w:rPr>
          <w:rFonts w:cs="Arial"/>
          <w:rtl/>
        </w:rPr>
        <w:t xml:space="preserve"> ולא כדעת הש"ג שכתב אע</w:t>
      </w:r>
      <w:r>
        <w:rPr>
          <w:rFonts w:cs="Arial" w:hint="cs"/>
          <w:rtl/>
        </w:rPr>
        <w:t>"</w:t>
      </w:r>
      <w:r w:rsidRPr="00C95EDC">
        <w:rPr>
          <w:rFonts w:cs="Arial"/>
          <w:rtl/>
        </w:rPr>
        <w:t>ג דקי"ל דכותבים שובר ללו' משום עבד לוה למלוה</w:t>
      </w:r>
      <w:r w:rsidR="001419D3">
        <w:rPr>
          <w:rFonts w:cs="Arial" w:hint="cs"/>
          <w:rtl/>
        </w:rPr>
        <w:t>,</w:t>
      </w:r>
      <w:r w:rsidRPr="00C95EDC">
        <w:rPr>
          <w:rFonts w:cs="Arial"/>
          <w:rtl/>
        </w:rPr>
        <w:t xml:space="preserve"> אבל בכתובה אם נאבדה א"צ לשלם שמא תמצא הכתוב' והוא יאבד השובר</w:t>
      </w:r>
      <w:r>
        <w:rPr>
          <w:rFonts w:cs="Arial" w:hint="cs"/>
          <w:rtl/>
        </w:rPr>
        <w:t>.</w:t>
      </w:r>
      <w:r w:rsidRPr="00C95EDC">
        <w:rPr>
          <w:rFonts w:cs="Arial"/>
          <w:rtl/>
        </w:rPr>
        <w:t xml:space="preserve"> ותוס' והג"א ס"פ הכותב והר"ן ס"ל ג"כ דכותבים שובר על כתובה</w:t>
      </w:r>
      <w:r>
        <w:rPr>
          <w:rFonts w:cs="Arial" w:hint="cs"/>
          <w:rtl/>
        </w:rPr>
        <w:t>.</w:t>
      </w:r>
      <w:r w:rsidRPr="00C95EDC">
        <w:rPr>
          <w:rFonts w:cs="Arial"/>
          <w:rtl/>
        </w:rPr>
        <w:t xml:space="preserve"> וא</w:t>
      </w:r>
      <w:r>
        <w:rPr>
          <w:rFonts w:cs="Arial" w:hint="cs"/>
          <w:rtl/>
        </w:rPr>
        <w:t xml:space="preserve">ין </w:t>
      </w:r>
      <w:r w:rsidRPr="00C95EDC">
        <w:rPr>
          <w:rFonts w:cs="Arial"/>
          <w:rtl/>
        </w:rPr>
        <w:t>ל</w:t>
      </w:r>
      <w:r>
        <w:rPr>
          <w:rFonts w:cs="Arial" w:hint="cs"/>
          <w:rtl/>
        </w:rPr>
        <w:t>ומר</w:t>
      </w:r>
      <w:r w:rsidRPr="00C95EDC">
        <w:rPr>
          <w:rFonts w:cs="Arial"/>
          <w:rtl/>
        </w:rPr>
        <w:t xml:space="preserve"> שאר הפוסקים איירי כשנשרף הכתובה אז כותבים שובר משום דאין חשש שתמצא הכתובה משא"כ בנאבד</w:t>
      </w:r>
      <w:r>
        <w:rPr>
          <w:rFonts w:cs="Arial" w:hint="cs"/>
          <w:rtl/>
        </w:rPr>
        <w:t xml:space="preserve"> -</w:t>
      </w:r>
      <w:r w:rsidRPr="00C95EDC">
        <w:rPr>
          <w:rFonts w:cs="Arial"/>
          <w:rtl/>
        </w:rPr>
        <w:t xml:space="preserve"> דהא בנשרף ליכ</w:t>
      </w:r>
      <w:r>
        <w:rPr>
          <w:rFonts w:cs="Arial" w:hint="cs"/>
          <w:rtl/>
        </w:rPr>
        <w:t>א</w:t>
      </w:r>
      <w:r w:rsidRPr="00C95EDC">
        <w:rPr>
          <w:rFonts w:cs="Arial"/>
          <w:rtl/>
        </w:rPr>
        <w:t xml:space="preserve"> פלוגת</w:t>
      </w:r>
      <w:r>
        <w:rPr>
          <w:rFonts w:cs="Arial" w:hint="cs"/>
          <w:rtl/>
        </w:rPr>
        <w:t>א</w:t>
      </w:r>
      <w:r w:rsidRPr="00C95EDC">
        <w:rPr>
          <w:rFonts w:cs="Arial"/>
          <w:rtl/>
        </w:rPr>
        <w:t xml:space="preserve"> כלל וע</w:t>
      </w:r>
      <w:r>
        <w:rPr>
          <w:rFonts w:cs="Arial" w:hint="cs"/>
          <w:rtl/>
        </w:rPr>
        <w:t xml:space="preserve">ל </w:t>
      </w:r>
      <w:r w:rsidRPr="00C95EDC">
        <w:rPr>
          <w:rFonts w:cs="Arial"/>
          <w:rtl/>
        </w:rPr>
        <w:t>כ</w:t>
      </w:r>
      <w:r>
        <w:rPr>
          <w:rFonts w:cs="Arial" w:hint="cs"/>
          <w:rtl/>
        </w:rPr>
        <w:t>רחך</w:t>
      </w:r>
      <w:r w:rsidRPr="00C95EDC">
        <w:rPr>
          <w:rFonts w:cs="Arial"/>
          <w:rtl/>
        </w:rPr>
        <w:t xml:space="preserve"> דאיירי אפילו אם נאבדה הכתובה כותבים שובר</w:t>
      </w:r>
      <w:r>
        <w:rPr>
          <w:rFonts w:cs="Arial" w:hint="cs"/>
          <w:rtl/>
        </w:rPr>
        <w:t>.</w:t>
      </w:r>
      <w:r w:rsidRPr="00C95EDC">
        <w:rPr>
          <w:rFonts w:cs="Arial"/>
          <w:rtl/>
        </w:rPr>
        <w:t xml:space="preserve"> </w:t>
      </w:r>
      <w:r w:rsidRPr="00C95EDC">
        <w:rPr>
          <w:rFonts w:cs="Arial" w:hint="cs"/>
          <w:sz w:val="16"/>
          <w:szCs w:val="16"/>
          <w:rtl/>
        </w:rPr>
        <w:t>(</w:t>
      </w:r>
      <w:r w:rsidRPr="00C95EDC">
        <w:rPr>
          <w:rFonts w:cs="Arial"/>
          <w:sz w:val="16"/>
          <w:szCs w:val="16"/>
          <w:rtl/>
        </w:rPr>
        <w:t>ולפי דברי הש"ג יש לישב דברי הרי"ף הא שפסק פ"ק דב"ק כר' יוחנן דאמר הטוען אחר מעשה ב"ד לא אמר כלום ובס"פ הכותב הביא אוקימת' דשמואל דמתני' שם איירי במקום שאין כותבים כתובה אז צריך לשלם לה כשאין הכתובה בידה אבל במקום שכותבים כתובה א"צ לשלם והקשו הפוסקים עליו כיון שפסק כר' יוחנן היה לו לפסוק אפילו במקום שכותבין כתובה ואין הכתובה בידה צריך הוא לשלם וא"י לו' פרעתי כיון שמעשה ב"ד הוא ולדברי הש"ג י"ל אף על גב דא"י לומר פרעתי מ"מ אם נאבד א"צ לשלם דחיישינן שמא תמצ' הכתובה ואין כותבים שובר לכן צ"ל המתניתין איירי במקום שאין כותבים כתובה ומדין ר"י נ"מ נשרפה הכתובה דאז ליכ' חשש שמא תמצ' הכתובה וטוען פרעתי א</w:t>
      </w:r>
      <w:r w:rsidRPr="00C95EDC">
        <w:rPr>
          <w:rFonts w:cs="Arial" w:hint="cs"/>
          <w:sz w:val="16"/>
          <w:szCs w:val="16"/>
          <w:rtl/>
        </w:rPr>
        <w:t>ינו יכול</w:t>
      </w:r>
      <w:r w:rsidRPr="00C95EDC">
        <w:rPr>
          <w:rFonts w:cs="Arial"/>
          <w:sz w:val="16"/>
          <w:szCs w:val="16"/>
          <w:rtl/>
        </w:rPr>
        <w:t xml:space="preserve"> לטעון אחר מעשה ב"ד</w:t>
      </w:r>
      <w:r>
        <w:rPr>
          <w:rFonts w:hint="cs"/>
          <w:sz w:val="16"/>
          <w:szCs w:val="16"/>
          <w:rtl/>
        </w:rPr>
        <w:t>).</w:t>
      </w:r>
    </w:p>
  </w:footnote>
  <w:footnote w:id="1965">
    <w:p w14:paraId="3F48C95F" w14:textId="77777777" w:rsidR="00392DBB" w:rsidRDefault="00392DBB" w:rsidP="00392DBB">
      <w:pPr>
        <w:pStyle w:val="a5"/>
      </w:pPr>
      <w:r>
        <w:rPr>
          <w:rStyle w:val="a7"/>
        </w:rPr>
        <w:footnoteRef/>
      </w:r>
      <w:r>
        <w:rPr>
          <w:rtl/>
        </w:rPr>
        <w:t xml:space="preserve"> </w:t>
      </w:r>
      <w:r>
        <w:rPr>
          <w:rFonts w:hint="cs"/>
          <w:rtl/>
        </w:rPr>
        <w:t xml:space="preserve">וכ"כ </w:t>
      </w:r>
      <w:r w:rsidRPr="007A28AB">
        <w:rPr>
          <w:rFonts w:hint="cs"/>
          <w:rtl/>
        </w:rPr>
        <w:t>הסמ"ג (</w:t>
      </w:r>
      <w:r w:rsidRPr="007A28AB">
        <w:rPr>
          <w:rtl/>
        </w:rPr>
        <w:t>עשין מח קכז ע"א</w:t>
      </w:r>
      <w:r w:rsidRPr="007A28AB">
        <w:rPr>
          <w:rFonts w:hint="cs"/>
          <w:rtl/>
        </w:rPr>
        <w:t>)</w:t>
      </w:r>
      <w:r>
        <w:rPr>
          <w:rFonts w:hint="cs"/>
          <w:rtl/>
        </w:rPr>
        <w:t xml:space="preserve"> והמרדכי (כתובות סי' רסה)</w:t>
      </w:r>
      <w:r w:rsidRPr="007A28AB">
        <w:rPr>
          <w:rFonts w:hint="cs"/>
          <w:rtl/>
        </w:rPr>
        <w:t xml:space="preserve"> בשם ר' שמשון ב"א בשם ר"י</w:t>
      </w:r>
      <w:r>
        <w:rPr>
          <w:rFonts w:hint="cs"/>
          <w:rtl/>
        </w:rPr>
        <w:t>.</w:t>
      </w:r>
    </w:p>
  </w:footnote>
  <w:footnote w:id="1966">
    <w:p w14:paraId="66622A69" w14:textId="77777777" w:rsidR="00392DBB" w:rsidRDefault="00392DBB" w:rsidP="00392DBB">
      <w:pPr>
        <w:pStyle w:val="a5"/>
      </w:pPr>
      <w:r>
        <w:rPr>
          <w:rStyle w:val="a7"/>
        </w:rPr>
        <w:footnoteRef/>
      </w:r>
      <w:r>
        <w:rPr>
          <w:rtl/>
        </w:rPr>
        <w:t xml:space="preserve"> </w:t>
      </w:r>
      <w:r w:rsidRPr="00814509">
        <w:rPr>
          <w:rFonts w:cs="Arial"/>
          <w:rtl/>
        </w:rPr>
        <w:t>וכן פסק הר"ם הלכה למעשה וכל גדולי אשכנז</w:t>
      </w:r>
      <w:r>
        <w:rPr>
          <w:rFonts w:cs="Arial" w:hint="cs"/>
          <w:rtl/>
        </w:rPr>
        <w:t>...</w:t>
      </w:r>
      <w:r w:rsidRPr="00814509">
        <w:rPr>
          <w:rFonts w:cs="Arial"/>
          <w:rtl/>
        </w:rPr>
        <w:t xml:space="preserve"> וכתב ה"ר יצחק ברבי מנוח דכן עשו מעשה כל גדולי צרפת וכן כתבתי לעיל פרק הכותב משום ספר חפץ וכן כתב ראבי"ה במשפטי הכתובה</w:t>
      </w:r>
      <w:r>
        <w:rPr>
          <w:rFonts w:hint="cs"/>
          <w:rtl/>
        </w:rPr>
        <w:t xml:space="preserve">, מרדכי (סי' רסה). וכתב הדרכ"מ </w:t>
      </w:r>
      <w:r>
        <w:rPr>
          <w:rFonts w:cs="Arial" w:hint="cs"/>
          <w:rtl/>
        </w:rPr>
        <w:t xml:space="preserve">דכן משמע בהגמ"ר (ב"מ </w:t>
      </w:r>
      <w:r w:rsidRPr="00D602DC">
        <w:rPr>
          <w:rFonts w:cs="Arial"/>
          <w:rtl/>
        </w:rPr>
        <w:t>סי' תכג)</w:t>
      </w:r>
      <w:r>
        <w:rPr>
          <w:rFonts w:hint="cs"/>
          <w:rtl/>
        </w:rPr>
        <w:t>,</w:t>
      </w:r>
      <w:r w:rsidRPr="008E6249">
        <w:rPr>
          <w:rFonts w:cs="Arial"/>
          <w:rtl/>
        </w:rPr>
        <w:t xml:space="preserve"> </w:t>
      </w:r>
      <w:r w:rsidRPr="00D602DC">
        <w:rPr>
          <w:rFonts w:cs="Arial"/>
          <w:rtl/>
        </w:rPr>
        <w:t>ו</w:t>
      </w:r>
      <w:r>
        <w:rPr>
          <w:rFonts w:cs="Arial" w:hint="cs"/>
          <w:rtl/>
        </w:rPr>
        <w:t>ש</w:t>
      </w:r>
      <w:r w:rsidRPr="00D602DC">
        <w:rPr>
          <w:rFonts w:cs="Arial"/>
          <w:rtl/>
        </w:rPr>
        <w:t xml:space="preserve">כן פסק מהרי"ק </w:t>
      </w:r>
      <w:r>
        <w:rPr>
          <w:rFonts w:cs="Arial" w:hint="cs"/>
          <w:rtl/>
        </w:rPr>
        <w:t>(</w:t>
      </w:r>
      <w:r w:rsidRPr="00D602DC">
        <w:rPr>
          <w:rFonts w:cs="Arial"/>
          <w:rtl/>
        </w:rPr>
        <w:t>שורש קיד</w:t>
      </w:r>
      <w:r>
        <w:rPr>
          <w:rFonts w:cs="Arial" w:hint="cs"/>
          <w:rtl/>
        </w:rPr>
        <w:t xml:space="preserve">, ושורש </w:t>
      </w:r>
      <w:r w:rsidRPr="00D602DC">
        <w:rPr>
          <w:rFonts w:cs="Arial"/>
          <w:rtl/>
        </w:rPr>
        <w:t>יט</w:t>
      </w:r>
      <w:r>
        <w:rPr>
          <w:rFonts w:cs="Arial" w:hint="cs"/>
          <w:rtl/>
        </w:rPr>
        <w:t>),</w:t>
      </w:r>
      <w:r w:rsidRPr="008E6249">
        <w:rPr>
          <w:rFonts w:cs="Arial"/>
          <w:rtl/>
        </w:rPr>
        <w:t xml:space="preserve"> </w:t>
      </w:r>
      <w:r w:rsidRPr="00D602DC">
        <w:rPr>
          <w:rFonts w:cs="Arial"/>
          <w:rtl/>
        </w:rPr>
        <w:t xml:space="preserve">וכן משמע בכתבי מהרא"י </w:t>
      </w:r>
      <w:r>
        <w:rPr>
          <w:rFonts w:cs="Arial" w:hint="cs"/>
          <w:rtl/>
        </w:rPr>
        <w:t>(</w:t>
      </w:r>
      <w:r w:rsidRPr="00D602DC">
        <w:rPr>
          <w:rFonts w:cs="Arial"/>
          <w:rtl/>
        </w:rPr>
        <w:t>סי</w:t>
      </w:r>
      <w:r>
        <w:rPr>
          <w:rFonts w:cs="Arial" w:hint="cs"/>
          <w:rtl/>
        </w:rPr>
        <w:t>'</w:t>
      </w:r>
      <w:r w:rsidRPr="00D602DC">
        <w:rPr>
          <w:rFonts w:cs="Arial"/>
          <w:rtl/>
        </w:rPr>
        <w:t xml:space="preserve"> רכט</w:t>
      </w:r>
      <w:r>
        <w:rPr>
          <w:rFonts w:cs="Arial" w:hint="cs"/>
          <w:rtl/>
        </w:rPr>
        <w:t>)</w:t>
      </w:r>
      <w:r>
        <w:rPr>
          <w:rFonts w:hint="cs"/>
          <w:rtl/>
        </w:rPr>
        <w:t>.</w:t>
      </w:r>
    </w:p>
  </w:footnote>
  <w:footnote w:id="1967">
    <w:p w14:paraId="5F01E35F" w14:textId="77777777" w:rsidR="00392DBB" w:rsidRDefault="00392DBB" w:rsidP="00392DBB">
      <w:pPr>
        <w:pStyle w:val="a5"/>
        <w:rPr>
          <w:rtl/>
        </w:rPr>
      </w:pPr>
      <w:r>
        <w:rPr>
          <w:rStyle w:val="a7"/>
        </w:rPr>
        <w:footnoteRef/>
      </w:r>
      <w:r>
        <w:rPr>
          <w:rtl/>
        </w:rPr>
        <w:t xml:space="preserve"> </w:t>
      </w:r>
      <w:r w:rsidRPr="00D602DC">
        <w:rPr>
          <w:rFonts w:cs="Arial"/>
          <w:rtl/>
        </w:rPr>
        <w:t>ו</w:t>
      </w:r>
      <w:r>
        <w:rPr>
          <w:rFonts w:cs="Arial" w:hint="cs"/>
          <w:rtl/>
        </w:rPr>
        <w:t>כתב הדרכ"מ (אות טז) ד</w:t>
      </w:r>
      <w:r w:rsidRPr="00D602DC">
        <w:rPr>
          <w:rFonts w:cs="Arial"/>
          <w:rtl/>
        </w:rPr>
        <w:t xml:space="preserve">כן פסק מהרי"ק </w:t>
      </w:r>
      <w:r>
        <w:rPr>
          <w:rFonts w:cs="Arial" w:hint="cs"/>
          <w:rtl/>
        </w:rPr>
        <w:t>(</w:t>
      </w:r>
      <w:r w:rsidRPr="00D602DC">
        <w:rPr>
          <w:rFonts w:cs="Arial"/>
          <w:rtl/>
        </w:rPr>
        <w:t>שורש קיד</w:t>
      </w:r>
      <w:r>
        <w:rPr>
          <w:rFonts w:cs="Arial" w:hint="cs"/>
          <w:rtl/>
        </w:rPr>
        <w:t xml:space="preserve">, ושורש </w:t>
      </w:r>
      <w:r w:rsidRPr="00D602DC">
        <w:rPr>
          <w:rFonts w:cs="Arial"/>
          <w:rtl/>
        </w:rPr>
        <w:t>יט</w:t>
      </w:r>
      <w:r>
        <w:rPr>
          <w:rFonts w:cs="Arial" w:hint="cs"/>
          <w:rtl/>
        </w:rPr>
        <w:t>).</w:t>
      </w:r>
      <w:r w:rsidRPr="00D602DC">
        <w:rPr>
          <w:rFonts w:cs="Arial"/>
          <w:rtl/>
        </w:rPr>
        <w:t xml:space="preserve"> וכן משמע בכתבי מהרא"י </w:t>
      </w:r>
      <w:r>
        <w:rPr>
          <w:rFonts w:cs="Arial" w:hint="cs"/>
          <w:rtl/>
        </w:rPr>
        <w:t>(</w:t>
      </w:r>
      <w:r w:rsidRPr="00D602DC">
        <w:rPr>
          <w:rFonts w:cs="Arial"/>
          <w:rtl/>
        </w:rPr>
        <w:t>סי</w:t>
      </w:r>
      <w:r>
        <w:rPr>
          <w:rFonts w:cs="Arial" w:hint="cs"/>
          <w:rtl/>
        </w:rPr>
        <w:t>'</w:t>
      </w:r>
      <w:r w:rsidRPr="00D602DC">
        <w:rPr>
          <w:rFonts w:cs="Arial"/>
          <w:rtl/>
        </w:rPr>
        <w:t xml:space="preserve"> רכט</w:t>
      </w:r>
      <w:r>
        <w:rPr>
          <w:rFonts w:cs="Arial" w:hint="cs"/>
          <w:rtl/>
        </w:rPr>
        <w:t xml:space="preserve"> וסי' רלב),</w:t>
      </w:r>
      <w:r w:rsidRPr="00D602DC">
        <w:rPr>
          <w:rFonts w:cs="Arial"/>
          <w:rtl/>
        </w:rPr>
        <w:t xml:space="preserve"> וכתב שם דכן היה המנהג באוסטרייך להגבות לה הכתובה שהיו נוהגים לכתוב בכל הנשים</w:t>
      </w:r>
      <w:r>
        <w:rPr>
          <w:rFonts w:cs="Arial" w:hint="cs"/>
          <w:rtl/>
        </w:rPr>
        <w:t>...</w:t>
      </w:r>
      <w:r w:rsidRPr="00D602DC">
        <w:rPr>
          <w:rFonts w:cs="Arial"/>
          <w:rtl/>
        </w:rPr>
        <w:t xml:space="preserve"> </w:t>
      </w:r>
      <w:r w:rsidRPr="008E6249">
        <w:rPr>
          <w:rFonts w:cs="Arial"/>
          <w:rtl/>
        </w:rPr>
        <w:t xml:space="preserve">וכן הוא בתשובות מיימוני </w:t>
      </w:r>
      <w:r>
        <w:rPr>
          <w:rFonts w:cs="Arial" w:hint="cs"/>
          <w:rtl/>
        </w:rPr>
        <w:t>(</w:t>
      </w:r>
      <w:r w:rsidRPr="008E6249">
        <w:rPr>
          <w:rFonts w:cs="Arial"/>
          <w:rtl/>
        </w:rPr>
        <w:t>סוף הל</w:t>
      </w:r>
      <w:r>
        <w:rPr>
          <w:rFonts w:cs="Arial" w:hint="cs"/>
          <w:rtl/>
        </w:rPr>
        <w:t>'</w:t>
      </w:r>
      <w:r w:rsidRPr="008E6249">
        <w:rPr>
          <w:rFonts w:cs="Arial"/>
          <w:rtl/>
        </w:rPr>
        <w:t xml:space="preserve"> אישות סי' יז) בשם ר"ת דגובאת אף התוספת אם מנהג קבוע בעיר ויודעין מה הוסיף לה</w:t>
      </w:r>
      <w:r>
        <w:rPr>
          <w:rFonts w:cs="Arial" w:hint="cs"/>
          <w:rtl/>
        </w:rPr>
        <w:t>.</w:t>
      </w:r>
      <w:r w:rsidRPr="008E6249">
        <w:rPr>
          <w:rFonts w:cs="Arial"/>
          <w:rtl/>
        </w:rPr>
        <w:t xml:space="preserve"> ואם אין מנהג קבוע הבעל צריך לישבע שלא הוסיף לה אם טוענת ברי</w:t>
      </w:r>
      <w:r>
        <w:rPr>
          <w:rFonts w:cs="Arial" w:hint="cs"/>
          <w:rtl/>
        </w:rPr>
        <w:t>.</w:t>
      </w:r>
      <w:r w:rsidRPr="008E6249">
        <w:rPr>
          <w:rFonts w:cs="Arial"/>
          <w:rtl/>
        </w:rPr>
        <w:t xml:space="preserve"> ובאלמנה אין היתומים צריכים לישבע, מיהו אם תפסה לא מפקינן מינה ונשבעת ונפטרת</w:t>
      </w:r>
      <w:r>
        <w:rPr>
          <w:rFonts w:cs="Arial" w:hint="cs"/>
          <w:rtl/>
        </w:rPr>
        <w:t xml:space="preserve">. </w:t>
      </w:r>
      <w:r w:rsidRPr="008E6249">
        <w:rPr>
          <w:rFonts w:cs="Arial"/>
          <w:rtl/>
        </w:rPr>
        <w:t xml:space="preserve">וכן הוא במרדכי </w:t>
      </w:r>
      <w:r>
        <w:rPr>
          <w:rFonts w:cs="Arial" w:hint="cs"/>
          <w:rtl/>
        </w:rPr>
        <w:t>(</w:t>
      </w:r>
      <w:r w:rsidRPr="008E6249">
        <w:rPr>
          <w:rFonts w:cs="Arial"/>
          <w:rtl/>
        </w:rPr>
        <w:t>פרק אלמנה נזונת סי' רנג)</w:t>
      </w:r>
      <w:r>
        <w:rPr>
          <w:rFonts w:cs="Arial" w:hint="cs"/>
          <w:rtl/>
        </w:rPr>
        <w:t>,</w:t>
      </w:r>
      <w:r w:rsidRPr="008E6249">
        <w:rPr>
          <w:rFonts w:cs="Arial"/>
          <w:rtl/>
        </w:rPr>
        <w:t xml:space="preserve"> וכתב שם דדוקא עד שלא נשאת</w:t>
      </w:r>
      <w:r>
        <w:rPr>
          <w:rFonts w:cs="Arial" w:hint="cs"/>
          <w:rtl/>
        </w:rPr>
        <w:t>,</w:t>
      </w:r>
      <w:r w:rsidRPr="008E6249">
        <w:rPr>
          <w:rFonts w:cs="Arial"/>
          <w:rtl/>
        </w:rPr>
        <w:t xml:space="preserve"> אבל משנשאת נאמן לומר פרעתי אם אין שטר כתובה יוצא מתחת ידה</w:t>
      </w:r>
      <w:r>
        <w:rPr>
          <w:rFonts w:cs="Arial" w:hint="cs"/>
          <w:rtl/>
        </w:rPr>
        <w:t xml:space="preserve"> </w:t>
      </w:r>
      <w:r w:rsidRPr="0070440F">
        <w:rPr>
          <w:rFonts w:hint="cs"/>
          <w:color w:val="00B0F0"/>
          <w:rtl/>
        </w:rPr>
        <w:t>(וכ"</w:t>
      </w:r>
      <w:r>
        <w:rPr>
          <w:rFonts w:hint="cs"/>
          <w:color w:val="00B0F0"/>
          <w:rtl/>
        </w:rPr>
        <w:t>כ</w:t>
      </w:r>
      <w:r w:rsidRPr="0070440F">
        <w:rPr>
          <w:rFonts w:hint="cs"/>
          <w:color w:val="00B0F0"/>
          <w:rtl/>
        </w:rPr>
        <w:t xml:space="preserve"> </w:t>
      </w:r>
      <w:r>
        <w:rPr>
          <w:rFonts w:hint="cs"/>
          <w:color w:val="00B0F0"/>
          <w:rtl/>
        </w:rPr>
        <w:t>בהג"ה</w:t>
      </w:r>
      <w:r w:rsidRPr="0070440F">
        <w:rPr>
          <w:rFonts w:hint="cs"/>
          <w:color w:val="00B0F0"/>
          <w:rtl/>
        </w:rPr>
        <w:t>)</w:t>
      </w:r>
      <w:r w:rsidRPr="008E6249">
        <w:rPr>
          <w:rFonts w:cs="Arial"/>
          <w:rtl/>
        </w:rPr>
        <w:t xml:space="preserve">. וכתב מהרא"י </w:t>
      </w:r>
      <w:r>
        <w:rPr>
          <w:rFonts w:cs="Arial" w:hint="cs"/>
          <w:rtl/>
        </w:rPr>
        <w:t>(</w:t>
      </w:r>
      <w:r w:rsidRPr="008E6249">
        <w:rPr>
          <w:rFonts w:cs="Arial"/>
          <w:rtl/>
        </w:rPr>
        <w:t>בכתביו סי</w:t>
      </w:r>
      <w:r>
        <w:rPr>
          <w:rFonts w:cs="Arial" w:hint="cs"/>
          <w:rtl/>
        </w:rPr>
        <w:t>'</w:t>
      </w:r>
      <w:r w:rsidRPr="008E6249">
        <w:rPr>
          <w:rFonts w:cs="Arial"/>
          <w:rtl/>
        </w:rPr>
        <w:t xml:space="preserve"> רכט ו</w:t>
      </w:r>
      <w:r>
        <w:rPr>
          <w:rFonts w:cs="Arial" w:hint="cs"/>
          <w:rtl/>
        </w:rPr>
        <w:t>-</w:t>
      </w:r>
      <w:r w:rsidRPr="008E6249">
        <w:rPr>
          <w:rFonts w:cs="Arial"/>
          <w:rtl/>
        </w:rPr>
        <w:t>רלב</w:t>
      </w:r>
      <w:r>
        <w:rPr>
          <w:rFonts w:cs="Arial" w:hint="cs"/>
          <w:rtl/>
        </w:rPr>
        <w:t>)</w:t>
      </w:r>
      <w:r w:rsidRPr="008E6249">
        <w:rPr>
          <w:rFonts w:cs="Arial"/>
          <w:rtl/>
        </w:rPr>
        <w:t xml:space="preserve"> דבמקום שנוהגין לכתוב תוספת בשוה גובה אפילו אין שטר כתובתה בידה</w:t>
      </w:r>
      <w:r>
        <w:rPr>
          <w:rFonts w:cs="Arial" w:hint="cs"/>
          <w:rtl/>
        </w:rPr>
        <w:t>.</w:t>
      </w:r>
      <w:r w:rsidRPr="008E6249">
        <w:rPr>
          <w:rFonts w:cs="Arial"/>
          <w:rtl/>
        </w:rPr>
        <w:t xml:space="preserve"> ואם אין מנהג לכתוב בשוה אע</w:t>
      </w:r>
      <w:r>
        <w:rPr>
          <w:rFonts w:cs="Arial" w:hint="cs"/>
          <w:rtl/>
        </w:rPr>
        <w:t>"</w:t>
      </w:r>
      <w:r w:rsidRPr="008E6249">
        <w:rPr>
          <w:rFonts w:cs="Arial"/>
          <w:rtl/>
        </w:rPr>
        <w:t>ג דרוב נוהגין לכתוב בשוה כיון שאינו מנהג פשוט אינה גובה התוספת אע</w:t>
      </w:r>
      <w:r>
        <w:rPr>
          <w:rFonts w:cs="Arial" w:hint="cs"/>
          <w:rtl/>
        </w:rPr>
        <w:t>"</w:t>
      </w:r>
      <w:r w:rsidRPr="008E6249">
        <w:rPr>
          <w:rFonts w:cs="Arial"/>
          <w:rtl/>
        </w:rPr>
        <w:t>פ ששטר כתובה יוצא מתחת ידה</w:t>
      </w:r>
      <w:r>
        <w:rPr>
          <w:rFonts w:cs="Arial" w:hint="cs"/>
          <w:rtl/>
        </w:rPr>
        <w:t>,</w:t>
      </w:r>
      <w:r w:rsidRPr="008E6249">
        <w:rPr>
          <w:rFonts w:cs="Arial"/>
          <w:rtl/>
        </w:rPr>
        <w:t xml:space="preserve"> אא</w:t>
      </w:r>
      <w:r>
        <w:rPr>
          <w:rFonts w:cs="Arial" w:hint="cs"/>
          <w:rtl/>
        </w:rPr>
        <w:t>"</w:t>
      </w:r>
      <w:r w:rsidRPr="008E6249">
        <w:rPr>
          <w:rFonts w:cs="Arial"/>
          <w:rtl/>
        </w:rPr>
        <w:t>כ הכתובה מקויימת או שהחתן בעצמו חתום עליה ומכירין חתימתו</w:t>
      </w:r>
      <w:r>
        <w:rPr>
          <w:rFonts w:cs="Arial" w:hint="cs"/>
          <w:rtl/>
        </w:rPr>
        <w:t>.</w:t>
      </w:r>
      <w:r w:rsidRPr="008E6249">
        <w:rPr>
          <w:rFonts w:cs="Arial"/>
          <w:rtl/>
        </w:rPr>
        <w:t xml:space="preserve"> אבל כשאין מקויימת חיישינן שמא מזוייפת היא</w:t>
      </w:r>
      <w:r>
        <w:rPr>
          <w:rFonts w:cs="Arial" w:hint="cs"/>
          <w:rtl/>
        </w:rPr>
        <w:t xml:space="preserve">  </w:t>
      </w:r>
      <w:r w:rsidRPr="0070440F">
        <w:rPr>
          <w:rFonts w:hint="cs"/>
          <w:color w:val="00B0F0"/>
          <w:rtl/>
        </w:rPr>
        <w:t>(וכ"</w:t>
      </w:r>
      <w:r>
        <w:rPr>
          <w:rFonts w:hint="cs"/>
          <w:color w:val="00B0F0"/>
          <w:rtl/>
        </w:rPr>
        <w:t>פ</w:t>
      </w:r>
      <w:r w:rsidRPr="0070440F">
        <w:rPr>
          <w:rFonts w:hint="cs"/>
          <w:color w:val="00B0F0"/>
          <w:rtl/>
        </w:rPr>
        <w:t xml:space="preserve"> </w:t>
      </w:r>
      <w:r>
        <w:rPr>
          <w:rFonts w:hint="cs"/>
          <w:color w:val="00B0F0"/>
          <w:rtl/>
        </w:rPr>
        <w:t>בהג"ה</w:t>
      </w:r>
      <w:r w:rsidRPr="0070440F">
        <w:rPr>
          <w:rFonts w:hint="cs"/>
          <w:color w:val="00B0F0"/>
          <w:rtl/>
        </w:rPr>
        <w:t>)</w:t>
      </w:r>
      <w:r>
        <w:rPr>
          <w:rFonts w:cs="Arial" w:hint="cs"/>
          <w:rtl/>
        </w:rPr>
        <w:t>.</w:t>
      </w:r>
      <w:r w:rsidRPr="008E6249">
        <w:rPr>
          <w:rFonts w:cs="Arial"/>
          <w:rtl/>
        </w:rPr>
        <w:t xml:space="preserve"> וכן הוא בתשובת מהרי"ו </w:t>
      </w:r>
      <w:r>
        <w:rPr>
          <w:rFonts w:cs="Arial" w:hint="cs"/>
          <w:rtl/>
        </w:rPr>
        <w:t>(</w:t>
      </w:r>
      <w:r w:rsidRPr="008E6249">
        <w:rPr>
          <w:rFonts w:cs="Arial"/>
          <w:rtl/>
        </w:rPr>
        <w:t>סי</w:t>
      </w:r>
      <w:r>
        <w:rPr>
          <w:rFonts w:cs="Arial" w:hint="cs"/>
          <w:rtl/>
        </w:rPr>
        <w:t>'</w:t>
      </w:r>
      <w:r w:rsidRPr="008E6249">
        <w:rPr>
          <w:rFonts w:cs="Arial"/>
          <w:rtl/>
        </w:rPr>
        <w:t xml:space="preserve"> קיג</w:t>
      </w:r>
      <w:r>
        <w:rPr>
          <w:rFonts w:cs="Arial" w:hint="cs"/>
          <w:rtl/>
        </w:rPr>
        <w:t>).</w:t>
      </w:r>
      <w:r w:rsidRPr="008E6249">
        <w:rPr>
          <w:rFonts w:cs="Arial"/>
          <w:rtl/>
        </w:rPr>
        <w:t xml:space="preserve"> וכן משמע ממהרי"ק </w:t>
      </w:r>
      <w:r>
        <w:rPr>
          <w:rFonts w:cs="Arial" w:hint="cs"/>
          <w:rtl/>
        </w:rPr>
        <w:t>(</w:t>
      </w:r>
      <w:r w:rsidRPr="008E6249">
        <w:rPr>
          <w:rFonts w:cs="Arial"/>
          <w:rtl/>
        </w:rPr>
        <w:t>שורש יט</w:t>
      </w:r>
      <w:r>
        <w:rPr>
          <w:rFonts w:cs="Arial" w:hint="cs"/>
          <w:rtl/>
        </w:rPr>
        <w:t>).</w:t>
      </w:r>
      <w:r w:rsidRPr="008E6249">
        <w:rPr>
          <w:rFonts w:cs="Arial"/>
          <w:rtl/>
        </w:rPr>
        <w:t xml:space="preserve"> וכתב </w:t>
      </w:r>
      <w:r>
        <w:rPr>
          <w:rFonts w:cs="Arial" w:hint="cs"/>
          <w:rtl/>
        </w:rPr>
        <w:t>מהרא"י (שם ב</w:t>
      </w:r>
      <w:r w:rsidRPr="008E6249">
        <w:rPr>
          <w:rFonts w:cs="Arial"/>
          <w:rtl/>
        </w:rPr>
        <w:t>סי</w:t>
      </w:r>
      <w:r>
        <w:rPr>
          <w:rFonts w:cs="Arial" w:hint="cs"/>
          <w:rtl/>
        </w:rPr>
        <w:t>'</w:t>
      </w:r>
      <w:r w:rsidRPr="008E6249">
        <w:rPr>
          <w:rFonts w:cs="Arial"/>
          <w:rtl/>
        </w:rPr>
        <w:t xml:space="preserve"> רכט</w:t>
      </w:r>
      <w:r>
        <w:rPr>
          <w:rFonts w:cs="Arial" w:hint="cs"/>
          <w:rtl/>
        </w:rPr>
        <w:t>)</w:t>
      </w:r>
      <w:r w:rsidRPr="008E6249">
        <w:rPr>
          <w:rFonts w:cs="Arial"/>
          <w:rtl/>
        </w:rPr>
        <w:t xml:space="preserve"> דאם המנהג קבוע רק שלפעמים על ידי שינוי הזוג כגון שזקן עשיר נושא ענייה כדי לשמשו שרגילין לפעמים לכתוב לה סך מועט </w:t>
      </w:r>
      <w:r>
        <w:rPr>
          <w:rFonts w:cs="Arial" w:hint="cs"/>
          <w:rtl/>
        </w:rPr>
        <w:t xml:space="preserve">- </w:t>
      </w:r>
      <w:r w:rsidRPr="008E6249">
        <w:rPr>
          <w:rFonts w:cs="Arial"/>
          <w:rtl/>
        </w:rPr>
        <w:t>אז גובה בלא שטר כתובה כי זה מיקרי מנהג קבוע</w:t>
      </w:r>
      <w:r>
        <w:rPr>
          <w:rFonts w:cs="Arial" w:hint="cs"/>
          <w:rtl/>
        </w:rPr>
        <w:t xml:space="preserve">. </w:t>
      </w:r>
      <w:r w:rsidRPr="008E6249">
        <w:rPr>
          <w:rFonts w:cs="Arial"/>
          <w:rtl/>
        </w:rPr>
        <w:t>ו</w:t>
      </w:r>
      <w:r>
        <w:rPr>
          <w:rFonts w:cs="Arial" w:hint="cs"/>
          <w:rtl/>
        </w:rPr>
        <w:t>כתב עוד (</w:t>
      </w:r>
      <w:r w:rsidRPr="008E6249">
        <w:rPr>
          <w:rFonts w:cs="Arial"/>
          <w:rtl/>
        </w:rPr>
        <w:t>בסי</w:t>
      </w:r>
      <w:r>
        <w:rPr>
          <w:rFonts w:cs="Arial" w:hint="cs"/>
          <w:rtl/>
        </w:rPr>
        <w:t>'</w:t>
      </w:r>
      <w:r w:rsidRPr="008E6249">
        <w:rPr>
          <w:rFonts w:cs="Arial"/>
          <w:rtl/>
        </w:rPr>
        <w:t xml:space="preserve"> רלב</w:t>
      </w:r>
      <w:r>
        <w:rPr>
          <w:rFonts w:cs="Arial" w:hint="cs"/>
          <w:rtl/>
        </w:rPr>
        <w:t>)</w:t>
      </w:r>
      <w:r w:rsidRPr="008E6249">
        <w:rPr>
          <w:rFonts w:cs="Arial"/>
          <w:rtl/>
        </w:rPr>
        <w:t xml:space="preserve"> </w:t>
      </w:r>
      <w:r>
        <w:rPr>
          <w:rFonts w:cs="Arial" w:hint="cs"/>
          <w:rtl/>
        </w:rPr>
        <w:t>ד</w:t>
      </w:r>
      <w:r w:rsidRPr="008E6249">
        <w:rPr>
          <w:rFonts w:cs="Arial"/>
          <w:rtl/>
        </w:rPr>
        <w:t>אם אין מנהג קבוע והאלמנה תפסה הנכסים</w:t>
      </w:r>
      <w:r>
        <w:rPr>
          <w:rFonts w:cs="Arial" w:hint="cs"/>
          <w:rtl/>
        </w:rPr>
        <w:t>,</w:t>
      </w:r>
      <w:r w:rsidRPr="008E6249">
        <w:rPr>
          <w:rFonts w:cs="Arial"/>
          <w:rtl/>
        </w:rPr>
        <w:t xml:space="preserve"> אם יש לה מגו להחזיק בנכסים נאמנת לומר שהוסיף לה</w:t>
      </w:r>
      <w:r>
        <w:rPr>
          <w:rFonts w:cs="Arial" w:hint="cs"/>
          <w:rtl/>
        </w:rPr>
        <w:t>,</w:t>
      </w:r>
      <w:r w:rsidRPr="008E6249">
        <w:rPr>
          <w:rFonts w:cs="Arial"/>
          <w:rtl/>
        </w:rPr>
        <w:t xml:space="preserve"> אבל הדבר צריך דקדוק גדול כי בכל דהו אין לה מגו</w:t>
      </w:r>
      <w:r>
        <w:rPr>
          <w:rFonts w:cs="Arial" w:hint="cs"/>
          <w:rtl/>
        </w:rPr>
        <w:t xml:space="preserve"> </w:t>
      </w:r>
      <w:r w:rsidRPr="0070440F">
        <w:rPr>
          <w:rFonts w:hint="cs"/>
          <w:color w:val="00B0F0"/>
          <w:rtl/>
        </w:rPr>
        <w:t>(וכ"</w:t>
      </w:r>
      <w:r>
        <w:rPr>
          <w:rFonts w:hint="cs"/>
          <w:color w:val="00B0F0"/>
          <w:rtl/>
        </w:rPr>
        <w:t>פ</w:t>
      </w:r>
      <w:r w:rsidRPr="0070440F">
        <w:rPr>
          <w:rFonts w:hint="cs"/>
          <w:color w:val="00B0F0"/>
          <w:rtl/>
        </w:rPr>
        <w:t xml:space="preserve"> </w:t>
      </w:r>
      <w:r>
        <w:rPr>
          <w:rFonts w:hint="cs"/>
          <w:color w:val="00B0F0"/>
          <w:rtl/>
        </w:rPr>
        <w:t>בהג"ה</w:t>
      </w:r>
      <w:r w:rsidRPr="0070440F">
        <w:rPr>
          <w:rFonts w:hint="cs"/>
          <w:color w:val="00B0F0"/>
          <w:rtl/>
        </w:rPr>
        <w:t>)</w:t>
      </w:r>
      <w:r>
        <w:rPr>
          <w:rFonts w:cs="Arial" w:hint="cs"/>
          <w:rtl/>
        </w:rPr>
        <w:t>.</w:t>
      </w:r>
      <w:r w:rsidRPr="008E6249">
        <w:rPr>
          <w:rFonts w:cs="Arial"/>
          <w:rtl/>
        </w:rPr>
        <w:t xml:space="preserve"> וכ"כ מהרי"ו </w:t>
      </w:r>
      <w:r>
        <w:rPr>
          <w:rFonts w:cs="Arial" w:hint="cs"/>
          <w:rtl/>
        </w:rPr>
        <w:t>(</w:t>
      </w:r>
      <w:r w:rsidRPr="008E6249">
        <w:rPr>
          <w:rFonts w:cs="Arial"/>
          <w:rtl/>
        </w:rPr>
        <w:t>בתשובה ס</w:t>
      </w:r>
      <w:r>
        <w:rPr>
          <w:rFonts w:cs="Arial" w:hint="cs"/>
          <w:rtl/>
        </w:rPr>
        <w:t>י'</w:t>
      </w:r>
      <w:r w:rsidRPr="008E6249">
        <w:rPr>
          <w:rFonts w:cs="Arial"/>
          <w:rtl/>
        </w:rPr>
        <w:t xml:space="preserve"> קיג</w:t>
      </w:r>
      <w:r>
        <w:rPr>
          <w:rFonts w:cs="Arial" w:hint="cs"/>
          <w:rtl/>
        </w:rPr>
        <w:t>)</w:t>
      </w:r>
      <w:r w:rsidRPr="008E6249">
        <w:rPr>
          <w:rFonts w:cs="Arial"/>
          <w:rtl/>
        </w:rPr>
        <w:t>.</w:t>
      </w:r>
    </w:p>
  </w:footnote>
  <w:footnote w:id="1968">
    <w:p w14:paraId="667C9C8F" w14:textId="77777777" w:rsidR="00392DBB" w:rsidRDefault="00392DBB" w:rsidP="00392DBB">
      <w:pPr>
        <w:pStyle w:val="a5"/>
      </w:pPr>
      <w:r>
        <w:rPr>
          <w:rStyle w:val="a7"/>
        </w:rPr>
        <w:footnoteRef/>
      </w:r>
      <w:r>
        <w:rPr>
          <w:rtl/>
        </w:rPr>
        <w:t xml:space="preserve"> </w:t>
      </w:r>
      <w:r w:rsidRPr="00FD573D">
        <w:rPr>
          <w:rFonts w:cs="Arial"/>
          <w:rtl/>
        </w:rPr>
        <w:t>ואפשר דכה"ג א"צ לקיים כלל וגובה אף התוספת, וצ"ע בדברי מהרי"ו ומהרא"י בתשובות הנ"ל</w:t>
      </w:r>
      <w:r>
        <w:rPr>
          <w:rFonts w:cs="Arial" w:hint="cs"/>
          <w:rtl/>
        </w:rPr>
        <w:t>, דרכ"מ (אות טז).</w:t>
      </w:r>
    </w:p>
  </w:footnote>
  <w:footnote w:id="1969">
    <w:p w14:paraId="558F0D1D" w14:textId="77777777" w:rsidR="00392DBB" w:rsidRDefault="00392DBB" w:rsidP="00392DBB">
      <w:pPr>
        <w:pStyle w:val="a5"/>
        <w:rPr>
          <w:rtl/>
        </w:rPr>
      </w:pPr>
      <w:r>
        <w:rPr>
          <w:rStyle w:val="a7"/>
        </w:rPr>
        <w:footnoteRef/>
      </w:r>
      <w:r>
        <w:rPr>
          <w:rtl/>
        </w:rPr>
        <w:t xml:space="preserve"> </w:t>
      </w:r>
      <w:r w:rsidRPr="00D602DC">
        <w:rPr>
          <w:rFonts w:cs="Arial"/>
          <w:rtl/>
        </w:rPr>
        <w:t>ועיין בתשובת מהרי"ל סימן ע"ג בדינים אלו</w:t>
      </w:r>
      <w:r>
        <w:rPr>
          <w:rFonts w:hint="cs"/>
          <w:rtl/>
        </w:rPr>
        <w:t>, דרכ"מ (אות טז).</w:t>
      </w:r>
    </w:p>
  </w:footnote>
  <w:footnote w:id="1970">
    <w:p w14:paraId="6BF6F257" w14:textId="77777777" w:rsidR="00392DBB" w:rsidRDefault="00392DBB" w:rsidP="00392DBB">
      <w:pPr>
        <w:pStyle w:val="a5"/>
        <w:rPr>
          <w:rtl/>
        </w:rPr>
      </w:pPr>
      <w:r>
        <w:rPr>
          <w:rStyle w:val="a7"/>
        </w:rPr>
        <w:footnoteRef/>
      </w:r>
      <w:r>
        <w:rPr>
          <w:rtl/>
        </w:rPr>
        <w:t xml:space="preserve"> </w:t>
      </w:r>
      <w:r>
        <w:rPr>
          <w:rFonts w:cs="Arial" w:hint="cs"/>
          <w:rtl/>
        </w:rPr>
        <w:t xml:space="preserve">ר' יצחק הלוי </w:t>
      </w:r>
      <w:r>
        <w:rPr>
          <w:rFonts w:cs="Arial" w:hint="cs"/>
          <w:sz w:val="16"/>
          <w:szCs w:val="16"/>
          <w:rtl/>
        </w:rPr>
        <w:t>(כ"כ הראב"ן בשמו [סי' קז])</w:t>
      </w:r>
      <w:r>
        <w:rPr>
          <w:rFonts w:cs="Arial" w:hint="cs"/>
          <w:rtl/>
        </w:rPr>
        <w:t xml:space="preserve"> </w:t>
      </w:r>
      <w:r w:rsidRPr="00D24FB5">
        <w:rPr>
          <w:rFonts w:cs="Arial"/>
          <w:rtl/>
        </w:rPr>
        <w:t>ריב"א</w:t>
      </w:r>
      <w:r>
        <w:rPr>
          <w:rFonts w:cs="Arial" w:hint="cs"/>
          <w:sz w:val="16"/>
          <w:szCs w:val="16"/>
          <w:rtl/>
        </w:rPr>
        <w:t xml:space="preserve"> (כ"כ בשמו מרדכי [סי' רנג] והג"א [פי"א סי' ה])</w:t>
      </w:r>
      <w:r>
        <w:rPr>
          <w:rFonts w:cs="Arial" w:hint="cs"/>
          <w:rtl/>
        </w:rPr>
        <w:t xml:space="preserve"> ומהר"ם</w:t>
      </w:r>
      <w:r w:rsidRPr="00D512B4">
        <w:rPr>
          <w:rtl/>
        </w:rPr>
        <w:t xml:space="preserve"> </w:t>
      </w:r>
      <w:r w:rsidRPr="00D512B4">
        <w:rPr>
          <w:rFonts w:cs="Arial" w:hint="cs"/>
          <w:sz w:val="16"/>
          <w:szCs w:val="16"/>
          <w:rtl/>
        </w:rPr>
        <w:t>(</w:t>
      </w:r>
      <w:r w:rsidRPr="00D512B4">
        <w:rPr>
          <w:rFonts w:cs="Arial"/>
          <w:sz w:val="16"/>
          <w:szCs w:val="16"/>
          <w:rtl/>
        </w:rPr>
        <w:t>ספר סיני וליקוטים סי</w:t>
      </w:r>
      <w:r>
        <w:rPr>
          <w:rFonts w:cs="Arial" w:hint="cs"/>
          <w:sz w:val="16"/>
          <w:szCs w:val="16"/>
          <w:rtl/>
        </w:rPr>
        <w:t>'</w:t>
      </w:r>
      <w:r w:rsidRPr="00D512B4">
        <w:rPr>
          <w:rFonts w:cs="Arial"/>
          <w:sz w:val="16"/>
          <w:szCs w:val="16"/>
          <w:rtl/>
        </w:rPr>
        <w:t xml:space="preserve"> תקעא</w:t>
      </w:r>
      <w:r>
        <w:rPr>
          <w:rFonts w:cs="Arial" w:hint="cs"/>
          <w:sz w:val="16"/>
          <w:szCs w:val="16"/>
          <w:rtl/>
        </w:rPr>
        <w:t>)</w:t>
      </w:r>
      <w:r>
        <w:rPr>
          <w:rFonts w:hint="cs"/>
          <w:rtl/>
        </w:rPr>
        <w:t>.</w:t>
      </w:r>
    </w:p>
  </w:footnote>
  <w:footnote w:id="1971">
    <w:p w14:paraId="7BBBE784" w14:textId="5DC34EA3" w:rsidR="00392DBB" w:rsidRDefault="00392DBB" w:rsidP="00392DBB">
      <w:pPr>
        <w:pStyle w:val="a5"/>
      </w:pPr>
      <w:r>
        <w:rPr>
          <w:rStyle w:val="a7"/>
        </w:rPr>
        <w:footnoteRef/>
      </w:r>
      <w:r>
        <w:rPr>
          <w:rtl/>
        </w:rPr>
        <w:t xml:space="preserve"> </w:t>
      </w:r>
      <w:r w:rsidRPr="00C95EDC">
        <w:rPr>
          <w:rFonts w:cs="Arial"/>
          <w:rtl/>
        </w:rPr>
        <w:t>הש"ג לא כתב דין זה אלא כתב אם נשרפה הכתובה</w:t>
      </w:r>
      <w:r>
        <w:rPr>
          <w:rFonts w:cs="Arial" w:hint="cs"/>
          <w:rtl/>
        </w:rPr>
        <w:t>.</w:t>
      </w:r>
      <w:r w:rsidRPr="00C95EDC">
        <w:rPr>
          <w:rFonts w:cs="Arial"/>
          <w:rtl/>
        </w:rPr>
        <w:t xml:space="preserve"> והקשה בח"מ </w:t>
      </w:r>
      <w:r>
        <w:rPr>
          <w:rFonts w:cs="Arial" w:hint="cs"/>
          <w:rtl/>
        </w:rPr>
        <w:t xml:space="preserve">(סקל"א) </w:t>
      </w:r>
      <w:r w:rsidRPr="00C95EDC">
        <w:rPr>
          <w:rFonts w:cs="Arial"/>
          <w:rtl/>
        </w:rPr>
        <w:t>מנ"ל להרב רמ"א אם נאבדה דצריך לשלם דהא יש לחוש שמא תמצא הכתובה</w:t>
      </w:r>
      <w:r>
        <w:rPr>
          <w:rFonts w:cs="Arial" w:hint="cs"/>
          <w:rtl/>
        </w:rPr>
        <w:t>.</w:t>
      </w:r>
      <w:r w:rsidRPr="00C95EDC">
        <w:rPr>
          <w:rFonts w:cs="Arial"/>
          <w:rtl/>
        </w:rPr>
        <w:t xml:space="preserve"> ובאמת לק"מ</w:t>
      </w:r>
      <w:r>
        <w:rPr>
          <w:rFonts w:cs="Arial" w:hint="cs"/>
          <w:rtl/>
        </w:rPr>
        <w:t>,</w:t>
      </w:r>
      <w:r w:rsidRPr="00C95EDC">
        <w:rPr>
          <w:rFonts w:cs="Arial"/>
          <w:rtl/>
        </w:rPr>
        <w:t xml:space="preserve"> כי הש"ג לטעמו דס"ל דאין כותבים שובר על הכתובה</w:t>
      </w:r>
      <w:r>
        <w:rPr>
          <w:rFonts w:cs="Arial" w:hint="cs"/>
          <w:rtl/>
        </w:rPr>
        <w:t>,</w:t>
      </w:r>
      <w:r w:rsidRPr="00C95EDC">
        <w:rPr>
          <w:rFonts w:cs="Arial"/>
          <w:rtl/>
        </w:rPr>
        <w:t xml:space="preserve"> לכן כתב דינו רק בנשרף ולא בנאבד</w:t>
      </w:r>
      <w:r>
        <w:rPr>
          <w:rFonts w:cs="Arial" w:hint="cs"/>
          <w:rtl/>
        </w:rPr>
        <w:t>.</w:t>
      </w:r>
      <w:r w:rsidRPr="00C95EDC">
        <w:rPr>
          <w:rFonts w:cs="Arial"/>
          <w:rtl/>
        </w:rPr>
        <w:t xml:space="preserve"> אבל למה דקי"ל דכותבים שובר צריך לשלם אפילו אם נאבדה הכתובה וא</w:t>
      </w:r>
      <w:r>
        <w:rPr>
          <w:rFonts w:cs="Arial" w:hint="cs"/>
          <w:rtl/>
        </w:rPr>
        <w:t xml:space="preserve">ינו יכול לומר </w:t>
      </w:r>
      <w:r w:rsidRPr="00C95EDC">
        <w:rPr>
          <w:rFonts w:cs="Arial"/>
          <w:rtl/>
        </w:rPr>
        <w:t>פרעתי אא"כ כשיש ריעות'</w:t>
      </w:r>
      <w:r>
        <w:rPr>
          <w:rFonts w:cs="Arial" w:hint="cs"/>
          <w:rtl/>
        </w:rPr>
        <w:t>,</w:t>
      </w:r>
      <w:r w:rsidRPr="00C95EDC">
        <w:rPr>
          <w:rFonts w:cs="Arial"/>
          <w:rtl/>
        </w:rPr>
        <w:t xml:space="preserve"> היינו שאין הכתובה בידה</w:t>
      </w:r>
      <w:r>
        <w:rPr>
          <w:rFonts w:cs="Arial" w:hint="cs"/>
          <w:rtl/>
        </w:rPr>
        <w:t>.</w:t>
      </w:r>
      <w:r w:rsidRPr="00C95EDC">
        <w:rPr>
          <w:rFonts w:cs="Arial"/>
          <w:rtl/>
        </w:rPr>
        <w:t xml:space="preserve"> אבל אם ידוע דנאבדה או נשרפה ליכא ריעות' </w:t>
      </w:r>
      <w:r>
        <w:rPr>
          <w:rFonts w:cs="Arial" w:hint="cs"/>
          <w:rtl/>
        </w:rPr>
        <w:t>ואינו יכול לומר</w:t>
      </w:r>
      <w:r w:rsidRPr="00C95EDC">
        <w:rPr>
          <w:rFonts w:cs="Arial"/>
          <w:rtl/>
        </w:rPr>
        <w:t xml:space="preserve"> פרעתי</w:t>
      </w:r>
      <w:r>
        <w:rPr>
          <w:rFonts w:cs="Arial" w:hint="cs"/>
          <w:rtl/>
        </w:rPr>
        <w:t xml:space="preserve">, </w:t>
      </w:r>
      <w:r w:rsidRPr="003D6C28">
        <w:rPr>
          <w:rFonts w:cs="Arial" w:hint="cs"/>
          <w:b/>
          <w:bCs/>
          <w:rtl/>
        </w:rPr>
        <w:t>ב"ש</w:t>
      </w:r>
      <w:r>
        <w:rPr>
          <w:rFonts w:cs="Arial" w:hint="cs"/>
          <w:rtl/>
        </w:rPr>
        <w:t xml:space="preserve"> (סקכ"ט).</w:t>
      </w:r>
      <w:r w:rsidR="003D6C28">
        <w:rPr>
          <w:rFonts w:cs="Arial" w:hint="cs"/>
          <w:rtl/>
        </w:rPr>
        <w:t xml:space="preserve">    </w:t>
      </w:r>
      <w:r>
        <w:rPr>
          <w:rFonts w:cs="Arial" w:hint="cs"/>
          <w:rtl/>
        </w:rPr>
        <w:t xml:space="preserve"> וכתב </w:t>
      </w:r>
      <w:r w:rsidRPr="003D6C28">
        <w:rPr>
          <w:rFonts w:cs="Arial" w:hint="cs"/>
          <w:b/>
          <w:bCs/>
          <w:rtl/>
        </w:rPr>
        <w:t>הח"מ</w:t>
      </w:r>
      <w:r>
        <w:rPr>
          <w:rFonts w:cs="Arial" w:hint="cs"/>
          <w:rtl/>
        </w:rPr>
        <w:t xml:space="preserve"> (סקל"א) ל</w:t>
      </w:r>
      <w:r w:rsidRPr="00C25A24">
        <w:rPr>
          <w:rFonts w:cs="Arial"/>
          <w:rtl/>
        </w:rPr>
        <w:t>עיין בח"מ סי' מא</w:t>
      </w:r>
      <w:r>
        <w:rPr>
          <w:rFonts w:cs="Arial" w:hint="cs"/>
          <w:rtl/>
        </w:rPr>
        <w:t xml:space="preserve"> (סע' ג)</w:t>
      </w:r>
      <w:r w:rsidRPr="00C25A24">
        <w:rPr>
          <w:rFonts w:cs="Arial"/>
          <w:rtl/>
        </w:rPr>
        <w:t xml:space="preserve"> דמחלק שם ג"כ בין נאבדה לנשרפה</w:t>
      </w:r>
      <w:r>
        <w:rPr>
          <w:rFonts w:cs="Arial" w:hint="cs"/>
          <w:rtl/>
        </w:rPr>
        <w:t>.</w:t>
      </w:r>
      <w:r w:rsidRPr="00C25A24">
        <w:rPr>
          <w:rFonts w:cs="Arial"/>
          <w:rtl/>
        </w:rPr>
        <w:t xml:space="preserve"> </w:t>
      </w:r>
      <w:r>
        <w:rPr>
          <w:rFonts w:cs="Arial" w:hint="cs"/>
          <w:rtl/>
        </w:rPr>
        <w:t>וכתב עוד ד</w:t>
      </w:r>
      <w:r w:rsidRPr="00C25A24">
        <w:rPr>
          <w:rFonts w:cs="Arial"/>
          <w:rtl/>
        </w:rPr>
        <w:t>נראה דאם נשרפה הכתובה בחיי הבעל והבעל טוען מאחר שאסור לשהות עם אשתו בלא כתובה כתבתי לה כתובה אחר</w:t>
      </w:r>
      <w:r>
        <w:rPr>
          <w:rFonts w:cs="Arial" w:hint="cs"/>
          <w:rtl/>
        </w:rPr>
        <w:t>ת</w:t>
      </w:r>
      <w:r w:rsidRPr="00C25A24">
        <w:rPr>
          <w:rFonts w:cs="Arial"/>
          <w:rtl/>
        </w:rPr>
        <w:t xml:space="preserve"> </w:t>
      </w:r>
      <w:r>
        <w:rPr>
          <w:rFonts w:cs="Arial" w:hint="cs"/>
          <w:rtl/>
        </w:rPr>
        <w:t xml:space="preserve">- </w:t>
      </w:r>
      <w:r w:rsidRPr="00C25A24">
        <w:rPr>
          <w:rFonts w:cs="Arial"/>
          <w:rtl/>
        </w:rPr>
        <w:t>טענתו טענה</w:t>
      </w:r>
      <w:r>
        <w:rPr>
          <w:rFonts w:cs="Arial" w:hint="cs"/>
          <w:rtl/>
        </w:rPr>
        <w:t>,</w:t>
      </w:r>
      <w:r w:rsidRPr="00C25A24">
        <w:rPr>
          <w:rFonts w:cs="Arial"/>
          <w:rtl/>
        </w:rPr>
        <w:t xml:space="preserve"> וכן אנן טוענין כן בעד היתומים</w:t>
      </w:r>
      <w:r>
        <w:rPr>
          <w:rFonts w:cs="Arial" w:hint="cs"/>
          <w:rtl/>
        </w:rPr>
        <w:t>,</w:t>
      </w:r>
      <w:r w:rsidRPr="00C25A24">
        <w:rPr>
          <w:rFonts w:cs="Arial"/>
          <w:rtl/>
        </w:rPr>
        <w:t xml:space="preserve"> אם לא שהיא תביא עדים שנשרפה סמוך לגירושין ולמיתה ואז הוי כמקום שאין כותבין כתובה</w:t>
      </w:r>
      <w:r>
        <w:rPr>
          <w:rFonts w:cs="Arial" w:hint="cs"/>
          <w:rtl/>
        </w:rPr>
        <w:t>.</w:t>
      </w:r>
      <w:r w:rsidRPr="00C25A24">
        <w:rPr>
          <w:rFonts w:cs="Arial"/>
          <w:rtl/>
        </w:rPr>
        <w:t xml:space="preserve"> ועיין לעיל סי' ס"ו סעיף ג' משמע באבדה כתובתה גובה כתובתה שם מיירי בידוע שלא פרע</w:t>
      </w:r>
      <w:r>
        <w:rPr>
          <w:rFonts w:hint="cs"/>
          <w:rtl/>
        </w:rPr>
        <w:t>.</w:t>
      </w:r>
    </w:p>
  </w:footnote>
  <w:footnote w:id="1972">
    <w:p w14:paraId="72ADB327" w14:textId="77777777" w:rsidR="00392DBB" w:rsidRDefault="00392DBB" w:rsidP="00392DBB">
      <w:pPr>
        <w:pStyle w:val="a5"/>
      </w:pPr>
      <w:r>
        <w:rPr>
          <w:rStyle w:val="a7"/>
        </w:rPr>
        <w:footnoteRef/>
      </w:r>
      <w:r>
        <w:rPr>
          <w:rtl/>
        </w:rPr>
        <w:t xml:space="preserve"> </w:t>
      </w:r>
      <w:r w:rsidRPr="00A0251F">
        <w:rPr>
          <w:rFonts w:cs="Arial"/>
          <w:rtl/>
        </w:rPr>
        <w:t xml:space="preserve">הנה תוס' </w:t>
      </w:r>
      <w:r>
        <w:rPr>
          <w:rFonts w:cs="Arial" w:hint="cs"/>
          <w:rtl/>
        </w:rPr>
        <w:t>(</w:t>
      </w:r>
      <w:r w:rsidRPr="00A0251F">
        <w:rPr>
          <w:rFonts w:cs="Arial"/>
          <w:rtl/>
        </w:rPr>
        <w:t>ב"מ יז</w:t>
      </w:r>
      <w:r>
        <w:rPr>
          <w:rFonts w:cs="Arial" w:hint="cs"/>
          <w:rtl/>
        </w:rPr>
        <w:t>)</w:t>
      </w:r>
      <w:r w:rsidRPr="00A0251F">
        <w:rPr>
          <w:rFonts w:cs="Arial"/>
          <w:rtl/>
        </w:rPr>
        <w:t xml:space="preserve"> והרמב"ם </w:t>
      </w:r>
      <w:r>
        <w:rPr>
          <w:rFonts w:cs="Arial" w:hint="cs"/>
          <w:rtl/>
        </w:rPr>
        <w:t>(</w:t>
      </w:r>
      <w:r w:rsidRPr="00A0251F">
        <w:rPr>
          <w:rFonts w:cs="Arial"/>
          <w:rtl/>
        </w:rPr>
        <w:t>פט"ז</w:t>
      </w:r>
      <w:r>
        <w:rPr>
          <w:rFonts w:cs="Arial" w:hint="cs"/>
          <w:rtl/>
        </w:rPr>
        <w:t>)</w:t>
      </w:r>
      <w:r w:rsidRPr="00A0251F">
        <w:rPr>
          <w:rFonts w:cs="Arial"/>
          <w:rtl/>
        </w:rPr>
        <w:t xml:space="preserve"> והר"ן כתבו להדי</w:t>
      </w:r>
      <w:r>
        <w:rPr>
          <w:rFonts w:cs="Arial" w:hint="cs"/>
          <w:rtl/>
        </w:rPr>
        <w:t>א</w:t>
      </w:r>
      <w:r w:rsidRPr="00A0251F">
        <w:rPr>
          <w:rFonts w:cs="Arial"/>
          <w:rtl/>
        </w:rPr>
        <w:t xml:space="preserve"> דאינו גובה ת</w:t>
      </w:r>
      <w:r>
        <w:rPr>
          <w:rFonts w:cs="Arial" w:hint="cs"/>
          <w:rtl/>
        </w:rPr>
        <w:t xml:space="preserve">וספת </w:t>
      </w:r>
      <w:r w:rsidRPr="00A0251F">
        <w:rPr>
          <w:rFonts w:cs="Arial"/>
          <w:rtl/>
        </w:rPr>
        <w:t>כ</w:t>
      </w:r>
      <w:r>
        <w:rPr>
          <w:rFonts w:cs="Arial" w:hint="cs"/>
          <w:rtl/>
        </w:rPr>
        <w:t>תובה</w:t>
      </w:r>
      <w:r w:rsidRPr="00A0251F">
        <w:rPr>
          <w:rFonts w:cs="Arial"/>
          <w:rtl/>
        </w:rPr>
        <w:t xml:space="preserve"> אפילו במקום דאין כותבים כתובה הואיל ולאו תנאי ב"ד הוא ואינו אלא מלוה</w:t>
      </w:r>
      <w:r>
        <w:rPr>
          <w:rFonts w:cs="Arial" w:hint="cs"/>
          <w:rtl/>
        </w:rPr>
        <w:t>.</w:t>
      </w:r>
      <w:r w:rsidRPr="00A0251F">
        <w:rPr>
          <w:rFonts w:cs="Arial"/>
          <w:rtl/>
        </w:rPr>
        <w:t xml:space="preserve"> מיהו תוספו</w:t>
      </w:r>
      <w:r>
        <w:rPr>
          <w:rFonts w:cs="Arial" w:hint="cs"/>
          <w:rtl/>
        </w:rPr>
        <w:t>ת</w:t>
      </w:r>
      <w:r w:rsidRPr="00A0251F">
        <w:rPr>
          <w:rFonts w:cs="Arial"/>
          <w:rtl/>
        </w:rPr>
        <w:t xml:space="preserve"> שליש לאו תוספת הוא</w:t>
      </w:r>
      <w:r>
        <w:rPr>
          <w:rFonts w:cs="Arial" w:hint="cs"/>
          <w:rtl/>
        </w:rPr>
        <w:t>,</w:t>
      </w:r>
      <w:r w:rsidRPr="00A0251F">
        <w:rPr>
          <w:rFonts w:cs="Arial"/>
          <w:rtl/>
        </w:rPr>
        <w:t xml:space="preserve"> אלא הוי כאלו הכניסה לו השליש זה הואיל שיכול להרויח בנדוני</w:t>
      </w:r>
      <w:r>
        <w:rPr>
          <w:rFonts w:cs="Arial" w:hint="cs"/>
          <w:rtl/>
        </w:rPr>
        <w:t>א</w:t>
      </w:r>
      <w:r w:rsidRPr="00A0251F">
        <w:rPr>
          <w:rFonts w:cs="Arial"/>
          <w:rtl/>
        </w:rPr>
        <w:t xml:space="preserve"> כ"כ</w:t>
      </w:r>
      <w:r>
        <w:rPr>
          <w:rFonts w:cs="Arial" w:hint="cs"/>
          <w:rtl/>
        </w:rPr>
        <w:t>,</w:t>
      </w:r>
      <w:r w:rsidRPr="00A0251F">
        <w:rPr>
          <w:rFonts w:cs="Arial"/>
          <w:rtl/>
        </w:rPr>
        <w:t xml:space="preserve"> א"כ אם יש בידה שטר או התנאים כמה הכניסה לו גובה אותה סך והוספה שליש</w:t>
      </w:r>
      <w:r>
        <w:rPr>
          <w:rFonts w:cs="Arial" w:hint="cs"/>
          <w:sz w:val="16"/>
          <w:szCs w:val="16"/>
          <w:rtl/>
        </w:rPr>
        <w:t xml:space="preserve"> (</w:t>
      </w:r>
      <w:r w:rsidRPr="002D122A">
        <w:rPr>
          <w:rFonts w:cs="Arial"/>
          <w:sz w:val="16"/>
          <w:szCs w:val="16"/>
          <w:rtl/>
        </w:rPr>
        <w:t>ועיין בס' ב"מ שתמה עליו וכ' שטר זה א</w:t>
      </w:r>
      <w:r>
        <w:rPr>
          <w:rFonts w:cs="Arial" w:hint="cs"/>
          <w:sz w:val="16"/>
          <w:szCs w:val="16"/>
          <w:rtl/>
        </w:rPr>
        <w:t>יני יודע</w:t>
      </w:r>
      <w:r w:rsidRPr="002D122A">
        <w:rPr>
          <w:rFonts w:cs="Arial"/>
          <w:sz w:val="16"/>
          <w:szCs w:val="16"/>
          <w:rtl/>
        </w:rPr>
        <w:t xml:space="preserve"> מה טיבו</w:t>
      </w:r>
      <w:r>
        <w:rPr>
          <w:rFonts w:cs="Arial" w:hint="cs"/>
          <w:sz w:val="16"/>
          <w:szCs w:val="16"/>
          <w:rtl/>
        </w:rPr>
        <w:t>,</w:t>
      </w:r>
      <w:r w:rsidRPr="002D122A">
        <w:rPr>
          <w:rFonts w:cs="Arial"/>
          <w:sz w:val="16"/>
          <w:szCs w:val="16"/>
          <w:rtl/>
        </w:rPr>
        <w:t xml:space="preserve"> והתנאים ג"כ צ"ע</w:t>
      </w:r>
      <w:r>
        <w:rPr>
          <w:rFonts w:cs="Arial" w:hint="cs"/>
          <w:sz w:val="16"/>
          <w:szCs w:val="16"/>
          <w:rtl/>
        </w:rPr>
        <w:t>,</w:t>
      </w:r>
      <w:r w:rsidRPr="002D122A">
        <w:rPr>
          <w:rFonts w:cs="Arial"/>
          <w:sz w:val="16"/>
          <w:szCs w:val="16"/>
          <w:rtl/>
        </w:rPr>
        <w:t xml:space="preserve"> לא מבעיא תנאים ראשונים הנכתבים בשעת שדוכין זה ודאי אינו ראיה</w:t>
      </w:r>
      <w:r>
        <w:rPr>
          <w:rFonts w:cs="Arial" w:hint="cs"/>
          <w:sz w:val="16"/>
          <w:szCs w:val="16"/>
          <w:rtl/>
        </w:rPr>
        <w:t>,</w:t>
      </w:r>
      <w:r w:rsidRPr="002D122A">
        <w:rPr>
          <w:rFonts w:cs="Arial"/>
          <w:sz w:val="16"/>
          <w:szCs w:val="16"/>
          <w:rtl/>
        </w:rPr>
        <w:t xml:space="preserve"> אלא אפילו תנאים אחרונים כו' ע"ש באורך</w:t>
      </w:r>
      <w:r>
        <w:rPr>
          <w:rFonts w:cs="Arial" w:hint="cs"/>
          <w:sz w:val="16"/>
          <w:szCs w:val="16"/>
          <w:rtl/>
        </w:rPr>
        <w:t>, פת"ש [סקי"ב])</w:t>
      </w:r>
      <w:r>
        <w:rPr>
          <w:rFonts w:cs="Arial" w:hint="cs"/>
          <w:rtl/>
        </w:rPr>
        <w:t>...</w:t>
      </w:r>
      <w:r w:rsidRPr="00A0251F">
        <w:rPr>
          <w:rFonts w:cs="Arial"/>
          <w:rtl/>
        </w:rPr>
        <w:t xml:space="preserve"> אבל מה שהוסיף לה תליא בפלוגת' זו אם גובה בלא הכתובה ועיין בהג"ה דרישה</w:t>
      </w:r>
      <w:r>
        <w:rPr>
          <w:rFonts w:cs="Arial" w:hint="cs"/>
          <w:rtl/>
        </w:rPr>
        <w:t>, ב"ש (סק"ל).</w:t>
      </w:r>
    </w:p>
  </w:footnote>
  <w:footnote w:id="1973">
    <w:p w14:paraId="0CBED748" w14:textId="77777777" w:rsidR="00392DBB" w:rsidRDefault="00392DBB" w:rsidP="00392DBB">
      <w:pPr>
        <w:pStyle w:val="a5"/>
        <w:rPr>
          <w:rtl/>
        </w:rPr>
      </w:pPr>
      <w:r>
        <w:rPr>
          <w:rStyle w:val="a7"/>
        </w:rPr>
        <w:footnoteRef/>
      </w:r>
      <w:r>
        <w:rPr>
          <w:rtl/>
        </w:rPr>
        <w:t xml:space="preserve"> </w:t>
      </w:r>
      <w:r w:rsidRPr="00C25A24">
        <w:rPr>
          <w:rFonts w:cs="Arial"/>
          <w:rtl/>
        </w:rPr>
        <w:t>בב"ח כתב שמהרש"ל העיד שנוהגין לגבו' בלא כתובה עיקר כתובה וכל תנאיה בתנאי ב"ד אף במקום שכותבין ובב"ח כתב שיש להשוות דעת מהרמ"א עם דעת מהרש"ל שזה מעיד שנהגו לגבות עיקר כתובה מנה מאתים בלא כתובה ועדות מהרמ"א קאי על התוס' ול"נ שיש לדון בזה לפי ראות עיני הדיין כי באמת בזמן הזה לא שכיח לפרוע הכתובה או למחול בלא ידיעת ב"ד</w:t>
      </w:r>
      <w:r>
        <w:rPr>
          <w:rFonts w:hint="cs"/>
          <w:rtl/>
        </w:rPr>
        <w:t xml:space="preserve">, ח"מ (סקל"ב). וכתב הב"ש (סקל"א) </w:t>
      </w:r>
      <w:r>
        <w:rPr>
          <w:rFonts w:cs="Arial" w:hint="cs"/>
          <w:rtl/>
        </w:rPr>
        <w:t>ל</w:t>
      </w:r>
      <w:r w:rsidRPr="00A0251F">
        <w:rPr>
          <w:rFonts w:cs="Arial"/>
          <w:rtl/>
        </w:rPr>
        <w:t>עיין סי' צ"ג שם אית' אפילו לשיטו' הפוסקים דאין לה כתובה מ"מ אית לה מזונו' ועיין ס"ס קי"א ועיין בהרא"ש פ' שני דייני שם נשמע דס"ל דגובה בלא כתובה אפילו במקום שכותבים כתובה דהא הדין של הרמב"ם שהבי' הרא"ש בענין מזונו' איירי במקום שכותבים כמ"ש בפ' י"ח דין כ"ג להדי'</w:t>
      </w:r>
      <w:r>
        <w:rPr>
          <w:rFonts w:cs="Arial" w:hint="cs"/>
          <w:rtl/>
        </w:rPr>
        <w:t>.</w:t>
      </w:r>
    </w:p>
  </w:footnote>
  <w:footnote w:id="1974">
    <w:p w14:paraId="10559F3B" w14:textId="77777777" w:rsidR="00392DBB" w:rsidRDefault="00392DBB" w:rsidP="00392DBB">
      <w:pPr>
        <w:pStyle w:val="a5"/>
      </w:pPr>
      <w:r>
        <w:rPr>
          <w:rStyle w:val="a7"/>
        </w:rPr>
        <w:footnoteRef/>
      </w:r>
      <w:r>
        <w:rPr>
          <w:rtl/>
        </w:rPr>
        <w:t xml:space="preserve"> </w:t>
      </w:r>
      <w:r w:rsidRPr="00C25A24">
        <w:rPr>
          <w:rFonts w:cs="Arial"/>
          <w:rtl/>
        </w:rPr>
        <w:t>כלו' אפילו לדעת הסוברים שגובין בלא כתובה אפי' תוספו' היינו שמנהג פשוט בכל המדינה לגבות תוספו' זה אבל בשאין המנהג פשוט אין זה דומה לתנאי ב"ד ונראה אף אם תביא ראיה שכתב לה מ"מ יכול לטעון פרעתי מאחר שאין הכתובה מקויימת ומשמע מל' הרב דבאין המנהג פשוט אינה גובה בלא קיום מכ"ש בלא כתובה אבל אם המנהג פשוט בזה נחלקו הפוסקים אם גובה בלא כתובה או בלא קיום אבל במהרי"ק סי' י"ט כתב שאף שנחלקו הפוסקים היינו בדלא נקיטא כתובה דאז ריעא טענתה דידה מאחר שאין הכתובה בידה אבל אם הכתובה בידה רק שאינה מקויימת ומתוך אורך הזמן לא נמצאו לה עדי קיום נלע"ד דבהא מודו כל הפוסקים דמהימנ' וכו' ועיין לעיל סי' ס"ו סעי' י"א דאם אומרת שהוסיף לה יותר מן המנהג ויש בידה שטר כתובתה בלא קיום אינה גובה אלא כמנהג משמע לסך שהמנהג פשוט א"צ קיום וכדעת מהרי"ק</w:t>
      </w:r>
      <w:r>
        <w:rPr>
          <w:rFonts w:cs="Arial" w:hint="cs"/>
          <w:rtl/>
        </w:rPr>
        <w:t>, ח"מ (סקל"ג).</w:t>
      </w:r>
    </w:p>
  </w:footnote>
  <w:footnote w:id="1975">
    <w:p w14:paraId="3FCA4525" w14:textId="77777777" w:rsidR="00392DBB" w:rsidRDefault="00392DBB" w:rsidP="00392DBB">
      <w:pPr>
        <w:pStyle w:val="a5"/>
      </w:pPr>
      <w:r>
        <w:rPr>
          <w:rStyle w:val="a7"/>
        </w:rPr>
        <w:footnoteRef/>
      </w:r>
      <w:r>
        <w:rPr>
          <w:rtl/>
        </w:rPr>
        <w:t xml:space="preserve"> </w:t>
      </w:r>
      <w:r w:rsidRPr="002D122A">
        <w:rPr>
          <w:rFonts w:cs="Arial"/>
          <w:rtl/>
        </w:rPr>
        <w:t>במהרי"ק שורש י"ט מבואר אף שנחלקו הפוסקים אם גובה בלא כתובה לא נחלקו אלא כשאין הכתובה בידה דאז איכ' ריעות' אבל אם הכתובה בידה אלא דאינה מקוים ומתוך אותו הזמן לא נמצאו עדי קיום מודים כל הפוסקים דהיא נאמנת כיון דליכ' ריעות', ומה שאין מנהג פשוט אז אפילו אם יש בידה הכתובה ואינה מקוים אינה גובה וכן יש לפרש דברי רמ"א</w:t>
      </w:r>
      <w:r>
        <w:rPr>
          <w:rFonts w:cs="Arial" w:hint="cs"/>
          <w:rtl/>
        </w:rPr>
        <w:t>, ב"ש (סקל"ב).</w:t>
      </w:r>
    </w:p>
  </w:footnote>
  <w:footnote w:id="1976">
    <w:p w14:paraId="4DCB6472" w14:textId="77777777" w:rsidR="00392DBB" w:rsidRDefault="00392DBB" w:rsidP="00392DBB">
      <w:pPr>
        <w:pStyle w:val="a5"/>
      </w:pPr>
      <w:r>
        <w:rPr>
          <w:rStyle w:val="a7"/>
        </w:rPr>
        <w:footnoteRef/>
      </w:r>
      <w:r>
        <w:rPr>
          <w:rtl/>
        </w:rPr>
        <w:t xml:space="preserve"> </w:t>
      </w:r>
      <w:r w:rsidRPr="00C25A24">
        <w:rPr>
          <w:rFonts w:cs="Arial"/>
          <w:rtl/>
        </w:rPr>
        <w:t>עיין בסי' ס"ו סעיף יוד שם כתב בפשיטות אם אבדה כתובתה דגובה כתובתה כפי מנהג בני משפחתה או משפחתו וצ"ל דמיירי שם בידוע שלא נפרעת כתובתה רק שאין יודעים סך הכתובה</w:t>
      </w:r>
      <w:r>
        <w:rPr>
          <w:rFonts w:cs="Arial" w:hint="cs"/>
          <w:rtl/>
        </w:rPr>
        <w:t>, ח"מ (סקל"ה).</w:t>
      </w:r>
    </w:p>
  </w:footnote>
  <w:footnote w:id="1977">
    <w:p w14:paraId="0ED9589C" w14:textId="77777777" w:rsidR="00392DBB" w:rsidRDefault="00392DBB" w:rsidP="00392DBB">
      <w:pPr>
        <w:pStyle w:val="a5"/>
      </w:pPr>
      <w:r>
        <w:rPr>
          <w:rStyle w:val="a7"/>
        </w:rPr>
        <w:footnoteRef/>
      </w:r>
      <w:r>
        <w:rPr>
          <w:rtl/>
        </w:rPr>
        <w:t xml:space="preserve"> </w:t>
      </w:r>
      <w:r w:rsidRPr="00A0251F">
        <w:rPr>
          <w:rFonts w:cs="Arial"/>
          <w:rtl/>
        </w:rPr>
        <w:t>כלו' בזה מודו דאינה גובה בלא כתובה ומיירי בדלא תפסה ונראה דאם קודם שנשאת מצעת דבריה בפני ב"ד שלא נפרע' מכתובתה והיא מוכנ' לשבע ושלא תפסיד זכות שלה אף אם תנשא לאיש נראה דמהני לה תנאי זה ודינה כאלו לא נשא</w:t>
      </w:r>
      <w:r>
        <w:rPr>
          <w:rFonts w:cs="Arial" w:hint="cs"/>
          <w:rtl/>
        </w:rPr>
        <w:t>ת, ח"מ (סקל"ו).</w:t>
      </w:r>
    </w:p>
  </w:footnote>
  <w:footnote w:id="1978">
    <w:p w14:paraId="4329216D" w14:textId="77777777" w:rsidR="00392DBB" w:rsidRDefault="00392DBB" w:rsidP="00392DBB">
      <w:pPr>
        <w:pStyle w:val="a5"/>
      </w:pPr>
      <w:r>
        <w:rPr>
          <w:rStyle w:val="a7"/>
        </w:rPr>
        <w:footnoteRef/>
      </w:r>
      <w:r>
        <w:rPr>
          <w:rtl/>
        </w:rPr>
        <w:t xml:space="preserve"> </w:t>
      </w:r>
      <w:r w:rsidRPr="00A0251F">
        <w:rPr>
          <w:rFonts w:cs="Arial"/>
          <w:rtl/>
        </w:rPr>
        <w:t>עיין בח"מ סי' נ"ב</w:t>
      </w:r>
      <w:r>
        <w:rPr>
          <w:rFonts w:cs="Arial" w:hint="cs"/>
          <w:rtl/>
        </w:rPr>
        <w:t>, עיין בחו"מ סי' נב, ח"מ (סקל"ח).</w:t>
      </w:r>
    </w:p>
  </w:footnote>
  <w:footnote w:id="1979">
    <w:p w14:paraId="3C1C72F4" w14:textId="39FB8187" w:rsidR="003B6D5F" w:rsidRDefault="003B6D5F">
      <w:pPr>
        <w:pStyle w:val="a5"/>
        <w:rPr>
          <w:rtl/>
        </w:rPr>
      </w:pPr>
      <w:r>
        <w:rPr>
          <w:rStyle w:val="a7"/>
        </w:rPr>
        <w:footnoteRef/>
      </w:r>
      <w:r>
        <w:rPr>
          <w:rtl/>
        </w:rPr>
        <w:t xml:space="preserve"> </w:t>
      </w:r>
      <w:r>
        <w:rPr>
          <w:rFonts w:hint="cs"/>
          <w:rtl/>
        </w:rPr>
        <w:t>סימן - קידושין טרם זוזים. וכן - קובלת ישר זוזים. וכן - קידושין יחד (עם) זוזים.</w:t>
      </w:r>
    </w:p>
  </w:footnote>
  <w:footnote w:id="1980">
    <w:p w14:paraId="1BF43AC0" w14:textId="6B9BA1DE" w:rsidR="00392DBB" w:rsidRDefault="00392DBB" w:rsidP="00392DBB">
      <w:pPr>
        <w:pStyle w:val="a5"/>
        <w:rPr>
          <w:rtl/>
        </w:rPr>
      </w:pPr>
      <w:r>
        <w:rPr>
          <w:rStyle w:val="a7"/>
        </w:rPr>
        <w:footnoteRef/>
      </w:r>
      <w:r>
        <w:rPr>
          <w:rtl/>
        </w:rPr>
        <w:t xml:space="preserve"> </w:t>
      </w:r>
      <w:r>
        <w:rPr>
          <w:rFonts w:cs="Arial" w:hint="cs"/>
          <w:rtl/>
        </w:rPr>
        <w:t>משנה זו היא המשך עקיף לתחילת הפרק, ששם כתוב במשנה</w:t>
      </w:r>
      <w:r w:rsidR="003D6C28">
        <w:rPr>
          <w:rFonts w:cs="Arial" w:hint="cs"/>
          <w:rtl/>
        </w:rPr>
        <w:t>:</w:t>
      </w:r>
      <w:r>
        <w:rPr>
          <w:rFonts w:cs="Arial" w:hint="cs"/>
          <w:rtl/>
        </w:rPr>
        <w:t xml:space="preserve"> </w:t>
      </w:r>
      <w:r w:rsidRPr="00531E96">
        <w:rPr>
          <w:rFonts w:cs="Arial"/>
          <w:rtl/>
        </w:rPr>
        <w:t>האשה שהלכה היא ובעלה למדינת הים, שלום בינו לבינה ושלום בעולם, ובאה ואמרה מת בעלי</w:t>
      </w:r>
      <w:r>
        <w:rPr>
          <w:rFonts w:hint="cs"/>
          <w:rtl/>
        </w:rPr>
        <w:t>-....</w:t>
      </w:r>
    </w:p>
  </w:footnote>
  <w:footnote w:id="1981">
    <w:p w14:paraId="037E9DAA" w14:textId="77777777" w:rsidR="00392DBB" w:rsidRDefault="00392DBB" w:rsidP="00392DBB">
      <w:pPr>
        <w:pStyle w:val="a5"/>
        <w:rPr>
          <w:rtl/>
        </w:rPr>
      </w:pPr>
      <w:r>
        <w:rPr>
          <w:rStyle w:val="a7"/>
        </w:rPr>
        <w:footnoteRef/>
      </w:r>
      <w:r>
        <w:rPr>
          <w:rtl/>
        </w:rPr>
        <w:t xml:space="preserve"> </w:t>
      </w:r>
      <w:r>
        <w:rPr>
          <w:rFonts w:cs="Arial"/>
          <w:rtl/>
        </w:rPr>
        <w:t>כבר נתבאר בסמוך בדברי הרמב"ם והרב המגיד שתוספת אינו בכלל הטוען אחר מעשה בית דין והוא הדין לנדוניא</w:t>
      </w:r>
      <w:r>
        <w:rPr>
          <w:rFonts w:cs="Arial" w:hint="cs"/>
          <w:rtl/>
        </w:rPr>
        <w:t xml:space="preserve">, </w:t>
      </w:r>
      <w:r w:rsidRPr="00315CA6">
        <w:rPr>
          <w:rFonts w:cs="Arial" w:hint="cs"/>
          <w:b/>
          <w:bCs/>
          <w:rtl/>
        </w:rPr>
        <w:t>ב"י</w:t>
      </w:r>
      <w:r>
        <w:rPr>
          <w:rFonts w:cs="Arial" w:hint="cs"/>
          <w:rtl/>
        </w:rPr>
        <w:t xml:space="preserve">. וכתב </w:t>
      </w:r>
      <w:r w:rsidRPr="00315CA6">
        <w:rPr>
          <w:rFonts w:cs="Arial" w:hint="cs"/>
          <w:b/>
          <w:bCs/>
          <w:rtl/>
        </w:rPr>
        <w:t>הדרכ"מ</w:t>
      </w:r>
      <w:r>
        <w:rPr>
          <w:rFonts w:cs="Arial" w:hint="cs"/>
          <w:rtl/>
        </w:rPr>
        <w:t xml:space="preserve"> (אות טו)</w:t>
      </w:r>
      <w:r w:rsidRPr="00F02E86">
        <w:rPr>
          <w:rFonts w:cs="Arial"/>
          <w:rtl/>
        </w:rPr>
        <w:t xml:space="preserve"> כתב </w:t>
      </w:r>
      <w:r>
        <w:rPr>
          <w:rFonts w:cs="Arial" w:hint="cs"/>
          <w:rtl/>
        </w:rPr>
        <w:t>ה</w:t>
      </w:r>
      <w:r w:rsidRPr="00F02E86">
        <w:rPr>
          <w:rFonts w:cs="Arial"/>
          <w:rtl/>
        </w:rPr>
        <w:t>נמוק</w:t>
      </w:r>
      <w:r>
        <w:rPr>
          <w:rFonts w:cs="Arial" w:hint="cs"/>
          <w:rtl/>
        </w:rPr>
        <w:t>"</w:t>
      </w:r>
      <w:r w:rsidRPr="00F02E86">
        <w:rPr>
          <w:rFonts w:cs="Arial"/>
          <w:rtl/>
        </w:rPr>
        <w:t xml:space="preserve">י </w:t>
      </w:r>
      <w:r>
        <w:rPr>
          <w:rFonts w:cs="Arial" w:hint="cs"/>
          <w:rtl/>
        </w:rPr>
        <w:t>(</w:t>
      </w:r>
      <w:r w:rsidRPr="00F02E86">
        <w:rPr>
          <w:rFonts w:cs="Arial"/>
          <w:rtl/>
        </w:rPr>
        <w:t>פ</w:t>
      </w:r>
      <w:r>
        <w:rPr>
          <w:rFonts w:cs="Arial" w:hint="cs"/>
          <w:rtl/>
        </w:rPr>
        <w:t xml:space="preserve">' </w:t>
      </w:r>
      <w:r w:rsidRPr="00F02E86">
        <w:rPr>
          <w:rFonts w:cs="Arial"/>
          <w:rtl/>
        </w:rPr>
        <w:t xml:space="preserve">האשה שלום מג: ד"ה מתני' ותטול) </w:t>
      </w:r>
      <w:r>
        <w:rPr>
          <w:rFonts w:cs="Arial" w:hint="cs"/>
          <w:rtl/>
        </w:rPr>
        <w:t>דה"ה ל</w:t>
      </w:r>
      <w:r w:rsidRPr="00F02E86">
        <w:rPr>
          <w:rFonts w:cs="Arial"/>
          <w:rtl/>
        </w:rPr>
        <w:t>נכסי צאן ברזל</w:t>
      </w:r>
      <w:r>
        <w:rPr>
          <w:rFonts w:cs="Arial" w:hint="cs"/>
          <w:rtl/>
        </w:rPr>
        <w:t>.</w:t>
      </w:r>
      <w:r w:rsidRPr="00F02E86">
        <w:rPr>
          <w:rFonts w:cs="Arial"/>
          <w:rtl/>
        </w:rPr>
        <w:t xml:space="preserve"> </w:t>
      </w:r>
    </w:p>
  </w:footnote>
  <w:footnote w:id="1982">
    <w:p w14:paraId="2B7321EE" w14:textId="77777777" w:rsidR="00392DBB" w:rsidRDefault="00392DBB" w:rsidP="00392DBB">
      <w:pPr>
        <w:pStyle w:val="a5"/>
      </w:pPr>
      <w:r>
        <w:rPr>
          <w:rStyle w:val="a7"/>
        </w:rPr>
        <w:footnoteRef/>
      </w:r>
      <w:r>
        <w:rPr>
          <w:rtl/>
        </w:rPr>
        <w:t xml:space="preserve"> </w:t>
      </w:r>
      <w:r>
        <w:rPr>
          <w:rFonts w:cs="Arial"/>
          <w:rtl/>
        </w:rPr>
        <w:t>פשוט הוא</w:t>
      </w:r>
      <w:r>
        <w:rPr>
          <w:rFonts w:cs="Arial" w:hint="cs"/>
          <w:rtl/>
        </w:rPr>
        <w:t>,</w:t>
      </w:r>
      <w:r>
        <w:rPr>
          <w:rFonts w:cs="Arial"/>
          <w:rtl/>
        </w:rPr>
        <w:t xml:space="preserve"> דהוה ליה כמלוה על פה שהוא נאמן לומר פרעתי</w:t>
      </w:r>
      <w:r>
        <w:rPr>
          <w:rFonts w:cs="Arial" w:hint="cs"/>
          <w:rtl/>
        </w:rPr>
        <w:t>, ב"י.</w:t>
      </w:r>
    </w:p>
  </w:footnote>
  <w:footnote w:id="1983">
    <w:p w14:paraId="7AE97083" w14:textId="77777777" w:rsidR="00392DBB" w:rsidRDefault="00392DBB" w:rsidP="00392DBB">
      <w:pPr>
        <w:pStyle w:val="a5"/>
      </w:pPr>
      <w:r>
        <w:rPr>
          <w:rStyle w:val="a7"/>
        </w:rPr>
        <w:footnoteRef/>
      </w:r>
      <w:r>
        <w:rPr>
          <w:rtl/>
        </w:rPr>
        <w:t xml:space="preserve"> </w:t>
      </w:r>
      <w:r>
        <w:rPr>
          <w:rFonts w:hint="cs"/>
          <w:rtl/>
        </w:rPr>
        <w:t xml:space="preserve">וכתב </w:t>
      </w:r>
      <w:r w:rsidRPr="00315CA6">
        <w:rPr>
          <w:rFonts w:hint="cs"/>
          <w:b/>
          <w:bCs/>
          <w:rtl/>
        </w:rPr>
        <w:t>הטור</w:t>
      </w:r>
      <w:r>
        <w:rPr>
          <w:rFonts w:hint="cs"/>
          <w:rtl/>
        </w:rPr>
        <w:t xml:space="preserve"> שכוונת הרמב"ם </w:t>
      </w:r>
      <w:r w:rsidRPr="00C93750">
        <w:rPr>
          <w:rFonts w:cs="Arial"/>
          <w:rtl/>
        </w:rPr>
        <w:t>שצריכה לישבע שמת</w:t>
      </w:r>
      <w:r>
        <w:rPr>
          <w:rFonts w:cs="Arial" w:hint="cs"/>
          <w:rtl/>
        </w:rPr>
        <w:t xml:space="preserve">. וכתב </w:t>
      </w:r>
      <w:r w:rsidRPr="00315CA6">
        <w:rPr>
          <w:rFonts w:cs="Arial" w:hint="cs"/>
          <w:b/>
          <w:bCs/>
          <w:rtl/>
        </w:rPr>
        <w:t>הב"י</w:t>
      </w:r>
      <w:r>
        <w:rPr>
          <w:rFonts w:cs="Arial" w:hint="cs"/>
          <w:rtl/>
        </w:rPr>
        <w:t xml:space="preserve"> (בבדה"ב) שהבנת הטור היא</w:t>
      </w:r>
      <w:r>
        <w:rPr>
          <w:rFonts w:cs="Arial"/>
          <w:rtl/>
        </w:rPr>
        <w:t xml:space="preserve"> דבר תימה</w:t>
      </w:r>
      <w:r>
        <w:rPr>
          <w:rFonts w:cs="Arial" w:hint="cs"/>
          <w:rtl/>
        </w:rPr>
        <w:t>,</w:t>
      </w:r>
      <w:r>
        <w:rPr>
          <w:rFonts w:cs="Arial"/>
          <w:rtl/>
        </w:rPr>
        <w:t xml:space="preserve"> שמאחר שמתירין אותה לינשא ממילא גובה כתובתה שהרי הוא כותב לה שאם תנשאי לאחר תטלי מה שכתוב ליכי</w:t>
      </w:r>
      <w:r>
        <w:rPr>
          <w:rFonts w:cs="Arial" w:hint="cs"/>
          <w:rtl/>
        </w:rPr>
        <w:t>,</w:t>
      </w:r>
      <w:r>
        <w:rPr>
          <w:rFonts w:cs="Arial"/>
          <w:rtl/>
        </w:rPr>
        <w:t xml:space="preserve"> וכמו ששנינו בפרק האשה שלום (קיז.)</w:t>
      </w:r>
      <w:r>
        <w:rPr>
          <w:rFonts w:cs="Arial" w:hint="cs"/>
          <w:rtl/>
        </w:rPr>
        <w:t>,</w:t>
      </w:r>
      <w:r>
        <w:rPr>
          <w:rFonts w:cs="Arial"/>
          <w:rtl/>
        </w:rPr>
        <w:t xml:space="preserve"> ואם כן אין מקום לשבועה זו</w:t>
      </w:r>
      <w:r>
        <w:rPr>
          <w:rFonts w:cs="Arial" w:hint="cs"/>
          <w:rtl/>
        </w:rPr>
        <w:t>.</w:t>
      </w:r>
      <w:r>
        <w:rPr>
          <w:rFonts w:cs="Arial"/>
          <w:rtl/>
        </w:rPr>
        <w:t xml:space="preserve"> ומ"ש שמשביעין אותה </w:t>
      </w:r>
      <w:r>
        <w:rPr>
          <w:rFonts w:cs="Arial" w:hint="cs"/>
          <w:rtl/>
        </w:rPr>
        <w:t xml:space="preserve">- </w:t>
      </w:r>
      <w:r>
        <w:rPr>
          <w:rFonts w:cs="Arial"/>
          <w:rtl/>
        </w:rPr>
        <w:t>שבועת אלמנה</w:t>
      </w:r>
      <w:r>
        <w:rPr>
          <w:rFonts w:cs="Arial" w:hint="cs"/>
          <w:rtl/>
        </w:rPr>
        <w:t>,</w:t>
      </w:r>
      <w:r>
        <w:rPr>
          <w:rFonts w:cs="Arial"/>
          <w:rtl/>
        </w:rPr>
        <w:t xml:space="preserve"> כשאר אלמנו</w:t>
      </w:r>
      <w:r>
        <w:rPr>
          <w:rFonts w:cs="Arial" w:hint="cs"/>
          <w:rtl/>
        </w:rPr>
        <w:t>ת.</w:t>
      </w:r>
      <w:r>
        <w:rPr>
          <w:rFonts w:hint="cs"/>
          <w:rtl/>
        </w:rPr>
        <w:t xml:space="preserve"> עכ"ל הב"י. וכתב </w:t>
      </w:r>
      <w:r w:rsidRPr="00315CA6">
        <w:rPr>
          <w:rFonts w:hint="cs"/>
          <w:b/>
          <w:bCs/>
          <w:rtl/>
        </w:rPr>
        <w:t>הח"מ</w:t>
      </w:r>
      <w:r>
        <w:rPr>
          <w:rFonts w:hint="cs"/>
          <w:rtl/>
        </w:rPr>
        <w:t xml:space="preserve"> (סקל"ט) ד</w:t>
      </w:r>
      <w:r w:rsidRPr="00145006">
        <w:rPr>
          <w:rFonts w:cs="Arial"/>
          <w:rtl/>
        </w:rPr>
        <w:t>מ</w:t>
      </w:r>
      <w:r>
        <w:rPr>
          <w:rFonts w:cs="Arial" w:hint="cs"/>
          <w:rtl/>
        </w:rPr>
        <w:t xml:space="preserve">כל מקום </w:t>
      </w:r>
      <w:r w:rsidRPr="00145006">
        <w:rPr>
          <w:rFonts w:cs="Arial"/>
          <w:rtl/>
        </w:rPr>
        <w:t>אפשר לו</w:t>
      </w:r>
      <w:r>
        <w:rPr>
          <w:rFonts w:cs="Arial" w:hint="cs"/>
          <w:rtl/>
        </w:rPr>
        <w:t>מר</w:t>
      </w:r>
      <w:r>
        <w:rPr>
          <w:rFonts w:cs="Arial" w:hint="cs"/>
          <w:sz w:val="16"/>
          <w:szCs w:val="16"/>
          <w:rtl/>
        </w:rPr>
        <w:t xml:space="preserve"> {בפירוש הבנת הטור}</w:t>
      </w:r>
      <w:r w:rsidRPr="00145006">
        <w:rPr>
          <w:rFonts w:cs="Arial"/>
          <w:rtl/>
        </w:rPr>
        <w:t xml:space="preserve"> שע"י גלגול צריכה לישבע שהגיע זמנה לגבות</w:t>
      </w:r>
      <w:r>
        <w:rPr>
          <w:rFonts w:cs="Arial" w:hint="cs"/>
          <w:rtl/>
        </w:rPr>
        <w:t xml:space="preserve"> (וכ"כ הב"ש סקל"ה).</w:t>
      </w:r>
      <w:r w:rsidRPr="00145006">
        <w:rPr>
          <w:rFonts w:cs="Arial"/>
          <w:rtl/>
        </w:rPr>
        <w:t xml:space="preserve"> ועיין לעיל סי' יז סע</w:t>
      </w:r>
      <w:r>
        <w:rPr>
          <w:rFonts w:cs="Arial" w:hint="cs"/>
          <w:rtl/>
        </w:rPr>
        <w:t>'</w:t>
      </w:r>
      <w:r w:rsidRPr="00145006">
        <w:rPr>
          <w:rFonts w:cs="Arial"/>
          <w:rtl/>
        </w:rPr>
        <w:t xml:space="preserve"> מג</w:t>
      </w:r>
      <w:r>
        <w:rPr>
          <w:rFonts w:cs="Arial" w:hint="cs"/>
          <w:rtl/>
        </w:rPr>
        <w:t>-</w:t>
      </w:r>
      <w:r w:rsidRPr="00145006">
        <w:rPr>
          <w:rFonts w:cs="Arial"/>
          <w:rtl/>
        </w:rPr>
        <w:t>מד</w:t>
      </w:r>
      <w:r>
        <w:rPr>
          <w:rFonts w:cs="Arial" w:hint="cs"/>
          <w:rtl/>
        </w:rPr>
        <w:t>,</w:t>
      </w:r>
      <w:r w:rsidRPr="00145006">
        <w:rPr>
          <w:rFonts w:cs="Arial"/>
          <w:rtl/>
        </w:rPr>
        <w:t xml:space="preserve"> ומ"ש שם על זה</w:t>
      </w:r>
      <w:r>
        <w:rPr>
          <w:rFonts w:cs="Arial" w:hint="cs"/>
          <w:rtl/>
        </w:rPr>
        <w:t>.</w:t>
      </w:r>
    </w:p>
  </w:footnote>
  <w:footnote w:id="1984">
    <w:p w14:paraId="377743F9" w14:textId="77777777" w:rsidR="00392DBB" w:rsidRDefault="00392DBB" w:rsidP="00392DBB">
      <w:pPr>
        <w:pStyle w:val="a5"/>
        <w:rPr>
          <w:rtl/>
        </w:rPr>
      </w:pPr>
      <w:r>
        <w:rPr>
          <w:rStyle w:val="a7"/>
        </w:rPr>
        <w:footnoteRef/>
      </w:r>
      <w:r>
        <w:rPr>
          <w:rtl/>
        </w:rPr>
        <w:t xml:space="preserve"> </w:t>
      </w:r>
      <w:r w:rsidRPr="00C120DC">
        <w:rPr>
          <w:rFonts w:cs="Arial"/>
          <w:rtl/>
        </w:rPr>
        <w:t>ואין דבריו נראין בעיני</w:t>
      </w:r>
      <w:r>
        <w:rPr>
          <w:rFonts w:hint="cs"/>
          <w:rtl/>
        </w:rPr>
        <w:t>, ב"י.</w:t>
      </w:r>
    </w:p>
  </w:footnote>
  <w:footnote w:id="1985">
    <w:p w14:paraId="39185D21" w14:textId="75A96EC6" w:rsidR="003B6D5F" w:rsidRDefault="003B6D5F" w:rsidP="003B6D5F">
      <w:pPr>
        <w:pStyle w:val="a5"/>
        <w:rPr>
          <w:rtl/>
        </w:rPr>
      </w:pPr>
      <w:r>
        <w:rPr>
          <w:rStyle w:val="a7"/>
        </w:rPr>
        <w:footnoteRef/>
      </w:r>
      <w:r>
        <w:rPr>
          <w:rtl/>
        </w:rPr>
        <w:t xml:space="preserve"> </w:t>
      </w:r>
      <w:r>
        <w:rPr>
          <w:rFonts w:hint="cs"/>
          <w:rtl/>
        </w:rPr>
        <w:t>סימן - קובלת/קידושין יחד (עם) זוזים.</w:t>
      </w:r>
    </w:p>
  </w:footnote>
  <w:footnote w:id="1986">
    <w:p w14:paraId="75777C6C" w14:textId="77777777" w:rsidR="00392DBB" w:rsidRDefault="00392DBB" w:rsidP="00392DBB">
      <w:pPr>
        <w:pStyle w:val="a5"/>
      </w:pPr>
      <w:r>
        <w:rPr>
          <w:rStyle w:val="a7"/>
        </w:rPr>
        <w:footnoteRef/>
      </w:r>
      <w:r>
        <w:rPr>
          <w:rtl/>
        </w:rPr>
        <w:t xml:space="preserve"> </w:t>
      </w:r>
      <w:r>
        <w:rPr>
          <w:rFonts w:hint="cs"/>
          <w:rtl/>
        </w:rPr>
        <w:t>כן היא גירסת הרי"ף (מג:) והרמב"ם (פט"ז מאישות הל"א). אך הרא"ש (פט"ו סי' ז) לא גרס סוגריים אלו.</w:t>
      </w:r>
    </w:p>
  </w:footnote>
  <w:footnote w:id="1987">
    <w:p w14:paraId="03ED3AB1" w14:textId="77777777" w:rsidR="00392DBB" w:rsidRDefault="00392DBB" w:rsidP="00392DBB">
      <w:pPr>
        <w:pStyle w:val="a5"/>
      </w:pPr>
      <w:r>
        <w:rPr>
          <w:rStyle w:val="a7"/>
        </w:rPr>
        <w:footnoteRef/>
      </w:r>
      <w:r>
        <w:rPr>
          <w:rtl/>
        </w:rPr>
        <w:t xml:space="preserve"> </w:t>
      </w:r>
      <w:r w:rsidRPr="00452BE0">
        <w:rPr>
          <w:rFonts w:cs="Arial"/>
          <w:rtl/>
        </w:rPr>
        <w:t>וכתב הה</w:t>
      </w:r>
      <w:r>
        <w:rPr>
          <w:rFonts w:cs="Arial" w:hint="cs"/>
          <w:rtl/>
        </w:rPr>
        <w:t>"</w:t>
      </w:r>
      <w:r w:rsidRPr="00452BE0">
        <w:rPr>
          <w:rFonts w:cs="Arial"/>
          <w:rtl/>
        </w:rPr>
        <w:t xml:space="preserve">מ דבאמרה </w:t>
      </w:r>
      <w:r>
        <w:rPr>
          <w:rFonts w:cs="Arial" w:hint="cs"/>
          <w:rtl/>
        </w:rPr>
        <w:t>'</w:t>
      </w:r>
      <w:r w:rsidRPr="00452BE0">
        <w:rPr>
          <w:rFonts w:cs="Arial"/>
          <w:rtl/>
        </w:rPr>
        <w:t>התירוני לינשא ותנו לי את כתובתי</w:t>
      </w:r>
      <w:r>
        <w:rPr>
          <w:rFonts w:cs="Arial" w:hint="cs"/>
          <w:rtl/>
        </w:rPr>
        <w:t>'</w:t>
      </w:r>
      <w:r w:rsidRPr="00452BE0">
        <w:rPr>
          <w:rFonts w:cs="Arial"/>
          <w:rtl/>
        </w:rPr>
        <w:t xml:space="preserve"> פסק כאת"ל כדרכו בכל התלמוד</w:t>
      </w:r>
      <w:r>
        <w:rPr>
          <w:rFonts w:cs="Arial" w:hint="cs"/>
          <w:rtl/>
        </w:rPr>
        <w:t>.</w:t>
      </w:r>
      <w:r w:rsidRPr="00452BE0">
        <w:rPr>
          <w:rFonts w:cs="Arial"/>
          <w:rtl/>
        </w:rPr>
        <w:t xml:space="preserve"> ובאמרה </w:t>
      </w:r>
      <w:r>
        <w:rPr>
          <w:rFonts w:cs="Arial" w:hint="cs"/>
          <w:rtl/>
        </w:rPr>
        <w:t>'</w:t>
      </w:r>
      <w:r w:rsidRPr="00452BE0">
        <w:rPr>
          <w:rFonts w:cs="Arial"/>
          <w:rtl/>
        </w:rPr>
        <w:t>תנו לי את כתובתי והתירוני לינשא</w:t>
      </w:r>
      <w:r>
        <w:rPr>
          <w:rFonts w:cs="Arial" w:hint="cs"/>
          <w:rtl/>
        </w:rPr>
        <w:t>',</w:t>
      </w:r>
      <w:r w:rsidRPr="00452BE0">
        <w:rPr>
          <w:rFonts w:cs="Arial"/>
          <w:rtl/>
        </w:rPr>
        <w:t xml:space="preserve"> היא בעיא דלא איפשיטא</w:t>
      </w:r>
      <w:r>
        <w:rPr>
          <w:rFonts w:cs="Arial" w:hint="cs"/>
          <w:rtl/>
        </w:rPr>
        <w:t>,</w:t>
      </w:r>
      <w:r w:rsidRPr="00452BE0">
        <w:rPr>
          <w:rFonts w:cs="Arial"/>
          <w:rtl/>
        </w:rPr>
        <w:t xml:space="preserve"> ופסק ככל תיקו שבממון שאם תפסה אין מוציאין מידה כדעתו ז"ל עכ"ל</w:t>
      </w:r>
      <w:r>
        <w:rPr>
          <w:rFonts w:cs="Arial" w:hint="cs"/>
          <w:rtl/>
        </w:rPr>
        <w:t>.</w:t>
      </w:r>
      <w:r w:rsidRPr="00452BE0">
        <w:rPr>
          <w:rFonts w:cs="Arial"/>
          <w:rtl/>
        </w:rPr>
        <w:t xml:space="preserve"> ולא שת לבו ליישב למה באמרה </w:t>
      </w:r>
      <w:r>
        <w:rPr>
          <w:rFonts w:cs="Arial" w:hint="cs"/>
          <w:rtl/>
        </w:rPr>
        <w:t>'</w:t>
      </w:r>
      <w:r w:rsidRPr="00452BE0">
        <w:rPr>
          <w:rFonts w:cs="Arial"/>
          <w:rtl/>
        </w:rPr>
        <w:t>תנו לי כתובתי והתירוני לינשא</w:t>
      </w:r>
      <w:r>
        <w:rPr>
          <w:rFonts w:cs="Arial" w:hint="cs"/>
          <w:rtl/>
        </w:rPr>
        <w:t>'</w:t>
      </w:r>
      <w:r w:rsidRPr="00452BE0">
        <w:rPr>
          <w:rFonts w:cs="Arial"/>
          <w:rtl/>
        </w:rPr>
        <w:t xml:space="preserve"> פסק דמתירין אותה</w:t>
      </w:r>
      <w:r>
        <w:rPr>
          <w:rFonts w:cs="Arial" w:hint="cs"/>
          <w:rtl/>
        </w:rPr>
        <w:t>,</w:t>
      </w:r>
      <w:r w:rsidRPr="00452BE0">
        <w:rPr>
          <w:rFonts w:cs="Arial"/>
          <w:rtl/>
        </w:rPr>
        <w:t xml:space="preserve"> והלא כיון דסלקא בתיקו ה"ל למיפסק בה לחומרא</w:t>
      </w:r>
      <w:r>
        <w:rPr>
          <w:rFonts w:cs="Arial" w:hint="cs"/>
          <w:rtl/>
        </w:rPr>
        <w:t>.</w:t>
      </w:r>
      <w:r w:rsidRPr="00452BE0">
        <w:rPr>
          <w:rFonts w:cs="Arial"/>
          <w:rtl/>
        </w:rPr>
        <w:t xml:space="preserve"> ושמא יש לומר דסבירא ליה ז"ל דכיון דמדינא איתתא מהימנא לומר מת בעלי </w:t>
      </w:r>
      <w:r w:rsidRPr="00145006">
        <w:rPr>
          <w:rFonts w:cs="Arial" w:hint="cs"/>
          <w:sz w:val="16"/>
          <w:szCs w:val="16"/>
          <w:rtl/>
        </w:rPr>
        <w:t>(</w:t>
      </w:r>
      <w:r w:rsidRPr="00145006">
        <w:rPr>
          <w:rFonts w:cs="Arial"/>
          <w:sz w:val="16"/>
          <w:szCs w:val="16"/>
          <w:rtl/>
        </w:rPr>
        <w:t>אי משום דמילתא דעבידא לאיגלויי היא</w:t>
      </w:r>
      <w:r w:rsidRPr="00145006">
        <w:rPr>
          <w:rFonts w:cs="Arial" w:hint="cs"/>
          <w:sz w:val="16"/>
          <w:szCs w:val="16"/>
          <w:rtl/>
        </w:rPr>
        <w:t>,</w:t>
      </w:r>
      <w:r w:rsidRPr="00145006">
        <w:rPr>
          <w:rFonts w:cs="Arial"/>
          <w:sz w:val="16"/>
          <w:szCs w:val="16"/>
          <w:rtl/>
        </w:rPr>
        <w:t xml:space="preserve"> אי משום מתוך חומר שהחמרת עליה בסופה וכו'</w:t>
      </w:r>
      <w:r w:rsidRPr="00145006">
        <w:rPr>
          <w:rFonts w:cs="Arial" w:hint="cs"/>
          <w:sz w:val="16"/>
          <w:szCs w:val="16"/>
          <w:rtl/>
        </w:rPr>
        <w:t>)</w:t>
      </w:r>
      <w:r w:rsidRPr="00452BE0">
        <w:rPr>
          <w:rFonts w:cs="Arial"/>
          <w:rtl/>
        </w:rPr>
        <w:t xml:space="preserve"> כי איבעיא לן בתנו לי כתובתי והתירוני לינשא אי חיישינן דמשום כתובה קאמרה</w:t>
      </w:r>
      <w:r>
        <w:rPr>
          <w:rFonts w:cs="Arial" w:hint="cs"/>
          <w:rtl/>
        </w:rPr>
        <w:t>,</w:t>
      </w:r>
      <w:r w:rsidRPr="00452BE0">
        <w:rPr>
          <w:rFonts w:cs="Arial"/>
          <w:rtl/>
        </w:rPr>
        <w:t xml:space="preserve"> ספיקא בדרבנן היא ולקולא</w:t>
      </w:r>
      <w:r>
        <w:rPr>
          <w:rFonts w:cs="Arial" w:hint="cs"/>
          <w:rtl/>
        </w:rPr>
        <w:t>, ב"י.</w:t>
      </w:r>
    </w:p>
  </w:footnote>
  <w:footnote w:id="1988">
    <w:p w14:paraId="3EF14ABA" w14:textId="77777777" w:rsidR="00392DBB" w:rsidRDefault="00392DBB" w:rsidP="00392DBB">
      <w:pPr>
        <w:pStyle w:val="a5"/>
      </w:pPr>
      <w:r>
        <w:rPr>
          <w:rStyle w:val="a7"/>
        </w:rPr>
        <w:footnoteRef/>
      </w:r>
      <w:r>
        <w:rPr>
          <w:rtl/>
        </w:rPr>
        <w:t xml:space="preserve"> </w:t>
      </w:r>
      <w:r w:rsidRPr="00452BE0">
        <w:rPr>
          <w:rFonts w:cs="Arial"/>
          <w:rtl/>
        </w:rPr>
        <w:t>הרא"ש (סי' ז) לא גריס אם תמצא לומר</w:t>
      </w:r>
      <w:r>
        <w:rPr>
          <w:rFonts w:cs="Arial" w:hint="cs"/>
          <w:rtl/>
        </w:rPr>
        <w:t>,</w:t>
      </w:r>
      <w:r w:rsidRPr="00452BE0">
        <w:rPr>
          <w:rFonts w:cs="Arial"/>
          <w:rtl/>
        </w:rPr>
        <w:t xml:space="preserve"> ואם כן קמו להו תרי בעיי בתיקו</w:t>
      </w:r>
      <w:r>
        <w:rPr>
          <w:rFonts w:cs="Arial" w:hint="cs"/>
          <w:rtl/>
        </w:rPr>
        <w:t>,</w:t>
      </w:r>
      <w:r w:rsidRPr="00452BE0">
        <w:rPr>
          <w:rFonts w:cs="Arial"/>
          <w:rtl/>
        </w:rPr>
        <w:t xml:space="preserve"> ומשמע לרבינו דספיקא בדאו</w:t>
      </w:r>
      <w:r>
        <w:rPr>
          <w:rFonts w:cs="Arial" w:hint="cs"/>
          <w:rtl/>
        </w:rPr>
        <w:t>'</w:t>
      </w:r>
      <w:r w:rsidRPr="00452BE0">
        <w:rPr>
          <w:rFonts w:cs="Arial"/>
          <w:rtl/>
        </w:rPr>
        <w:t xml:space="preserve"> היא ולחומרא</w:t>
      </w:r>
      <w:r>
        <w:rPr>
          <w:rFonts w:cs="Arial" w:hint="cs"/>
          <w:rtl/>
        </w:rPr>
        <w:t>, ב"י.</w:t>
      </w:r>
    </w:p>
  </w:footnote>
  <w:footnote w:id="1989">
    <w:p w14:paraId="49CCA4C6" w14:textId="77777777" w:rsidR="00392DBB" w:rsidRDefault="00392DBB" w:rsidP="00392DBB">
      <w:pPr>
        <w:pStyle w:val="a5"/>
      </w:pPr>
      <w:r>
        <w:rPr>
          <w:rStyle w:val="a7"/>
        </w:rPr>
        <w:footnoteRef/>
      </w:r>
      <w:r>
        <w:rPr>
          <w:rtl/>
        </w:rPr>
        <w:t xml:space="preserve"> </w:t>
      </w:r>
      <w:r w:rsidRPr="00C12380">
        <w:rPr>
          <w:rFonts w:cs="Arial"/>
          <w:rtl/>
        </w:rPr>
        <w:t>ובמקום שכותבים כתובה והביאה ראיה שלא כתב לה אז לכ"ע אינו נאמן לומר פרעתי והיינו אוקימתא דשמואל וכמ"ש לעיל כיון דאין ריעות' לפנינו אינו נאמן לו' פרעתי גם אינו נאמן לו' כתבתי לה כתובה אחרת תוספו' שם</w:t>
      </w:r>
      <w:r>
        <w:rPr>
          <w:rFonts w:cs="Arial" w:hint="cs"/>
          <w:rtl/>
        </w:rPr>
        <w:t>, ב"ש (סקל"ו).</w:t>
      </w:r>
    </w:p>
  </w:footnote>
  <w:footnote w:id="1990">
    <w:p w14:paraId="4ADA2CA6" w14:textId="77777777" w:rsidR="00392DBB" w:rsidRDefault="00392DBB" w:rsidP="00392DBB">
      <w:pPr>
        <w:pStyle w:val="a5"/>
      </w:pPr>
      <w:r>
        <w:rPr>
          <w:rStyle w:val="a7"/>
        </w:rPr>
        <w:footnoteRef/>
      </w:r>
      <w:r>
        <w:rPr>
          <w:rtl/>
        </w:rPr>
        <w:t xml:space="preserve"> </w:t>
      </w:r>
      <w:r w:rsidRPr="00626D21">
        <w:rPr>
          <w:rFonts w:cs="Arial"/>
          <w:rtl/>
        </w:rPr>
        <w:t xml:space="preserve">שגזרו </w:t>
      </w:r>
      <w:r>
        <w:rPr>
          <w:rFonts w:cs="Arial" w:hint="cs"/>
          <w:rtl/>
        </w:rPr>
        <w:t>גוים</w:t>
      </w:r>
      <w:r w:rsidRPr="00626D21">
        <w:rPr>
          <w:rFonts w:cs="Arial"/>
          <w:rtl/>
        </w:rPr>
        <w:t xml:space="preserve"> על המצות והיו יראים לשמור גיטיהן ומשקיבלתו שורפתו וכן פרוזבוליהן</w:t>
      </w:r>
      <w:r>
        <w:rPr>
          <w:rFonts w:cs="Arial" w:hint="cs"/>
          <w:rtl/>
        </w:rPr>
        <w:t>, רש"י.</w:t>
      </w:r>
    </w:p>
  </w:footnote>
  <w:footnote w:id="1991">
    <w:p w14:paraId="2EEFCBA6" w14:textId="77777777" w:rsidR="00392DBB" w:rsidRDefault="00392DBB" w:rsidP="00392DBB">
      <w:pPr>
        <w:pStyle w:val="a5"/>
      </w:pPr>
      <w:r>
        <w:rPr>
          <w:rStyle w:val="a7"/>
        </w:rPr>
        <w:footnoteRef/>
      </w:r>
      <w:r>
        <w:rPr>
          <w:rtl/>
        </w:rPr>
        <w:t xml:space="preserve"> </w:t>
      </w:r>
      <w:r w:rsidRPr="00A72F05">
        <w:rPr>
          <w:rFonts w:cs="Arial"/>
          <w:rtl/>
        </w:rPr>
        <w:t>דלעולם אין כותבין שובר והיינו טעמא דגובה כתובתה דאי מקום שאין כותבין הוא והוא אומר כתבתי וירא אני שמא תחזור ותוציאנה עליו להביא ראיה ואי מייתי ראיה עדים שכתב לא גביא ואי לא מייתי ראיה קתני מתניתין גובה כתובתה ואינו נאמן לומר שניתי מנהג העיר ואי מקום שכותבין הוא והיא אמרה לא כתב לי עליה להביא ראיה וכי קתני מתניתין גובה כתובתה שהביאה ראיה שלא כתב לה</w:t>
      </w:r>
      <w:r>
        <w:rPr>
          <w:rFonts w:cs="Arial" w:hint="cs"/>
          <w:rtl/>
        </w:rPr>
        <w:t>, רש"י.</w:t>
      </w:r>
    </w:p>
  </w:footnote>
  <w:footnote w:id="1992">
    <w:p w14:paraId="406475FF" w14:textId="77777777" w:rsidR="00392DBB" w:rsidRDefault="00392DBB" w:rsidP="00392DBB">
      <w:pPr>
        <w:pStyle w:val="a5"/>
      </w:pPr>
      <w:r>
        <w:rPr>
          <w:rStyle w:val="a7"/>
        </w:rPr>
        <w:footnoteRef/>
      </w:r>
      <w:r>
        <w:rPr>
          <w:rtl/>
        </w:rPr>
        <w:t xml:space="preserve"> </w:t>
      </w:r>
      <w:r w:rsidRPr="00A72F05">
        <w:rPr>
          <w:rFonts w:cs="Arial"/>
          <w:rtl/>
        </w:rPr>
        <w:t>ואוקי מתני' בטעמא אחרינא ואמר בין במקום שכותבין ובין במקום שאין כותבין כי מפקא גט בלא כתובה גובה עיקר כתובתה דהיינו מנה ומאתים וגובה דקתני מתני' עיקר קאמר ולא תוספת וכי מפקא כתובה בלא גט גובה תוספת ולא עיקר חיישינן שמא גבאתו על פי הגט</w:t>
      </w:r>
      <w:r>
        <w:rPr>
          <w:rFonts w:cs="Arial" w:hint="cs"/>
          <w:rtl/>
        </w:rPr>
        <w:t>, רש"י.</w:t>
      </w:r>
    </w:p>
  </w:footnote>
  <w:footnote w:id="1993">
    <w:p w14:paraId="690F978B" w14:textId="77777777" w:rsidR="00392DBB" w:rsidRDefault="00392DBB" w:rsidP="00392DBB">
      <w:pPr>
        <w:pStyle w:val="a5"/>
      </w:pPr>
      <w:r>
        <w:rPr>
          <w:rStyle w:val="a7"/>
        </w:rPr>
        <w:footnoteRef/>
      </w:r>
      <w:r>
        <w:rPr>
          <w:rtl/>
        </w:rPr>
        <w:t xml:space="preserve"> </w:t>
      </w:r>
      <w:r w:rsidRPr="00D1259F">
        <w:rPr>
          <w:rFonts w:cs="Arial"/>
          <w:rtl/>
        </w:rPr>
        <w:t>דאמר בין עיקר בין תוספת נפרעין על פי הגט</w:t>
      </w:r>
      <w:r>
        <w:rPr>
          <w:rFonts w:cs="Arial" w:hint="cs"/>
          <w:rtl/>
        </w:rPr>
        <w:t>, רש"י.</w:t>
      </w:r>
    </w:p>
  </w:footnote>
  <w:footnote w:id="1994">
    <w:p w14:paraId="16359C85" w14:textId="77777777" w:rsidR="00392DBB" w:rsidRDefault="00392DBB" w:rsidP="00392DBB">
      <w:pPr>
        <w:pStyle w:val="a5"/>
        <w:rPr>
          <w:rtl/>
        </w:rPr>
      </w:pPr>
      <w:r>
        <w:rPr>
          <w:rStyle w:val="a7"/>
        </w:rPr>
        <w:footnoteRef/>
      </w:r>
      <w:r>
        <w:rPr>
          <w:rtl/>
        </w:rPr>
        <w:t xml:space="preserve"> </w:t>
      </w:r>
      <w:r w:rsidRPr="00D1259F">
        <w:rPr>
          <w:rFonts w:cs="Arial"/>
          <w:rtl/>
        </w:rPr>
        <w:t>הא דקתני לא יפרעו</w:t>
      </w:r>
      <w:r>
        <w:rPr>
          <w:rFonts w:hint="cs"/>
          <w:rtl/>
        </w:rPr>
        <w:t>, רש"י.</w:t>
      </w:r>
    </w:p>
  </w:footnote>
  <w:footnote w:id="1995">
    <w:p w14:paraId="21C258CF" w14:textId="77777777" w:rsidR="00392DBB" w:rsidRDefault="00392DBB" w:rsidP="00392DBB">
      <w:pPr>
        <w:pStyle w:val="a5"/>
        <w:rPr>
          <w:rtl/>
        </w:rPr>
      </w:pPr>
      <w:r>
        <w:rPr>
          <w:rStyle w:val="a7"/>
        </w:rPr>
        <w:footnoteRef/>
      </w:r>
      <w:r>
        <w:rPr>
          <w:rtl/>
        </w:rPr>
        <w:t xml:space="preserve"> </w:t>
      </w:r>
      <w:r w:rsidRPr="00D1259F">
        <w:rPr>
          <w:rFonts w:cs="Arial"/>
          <w:rtl/>
        </w:rPr>
        <w:t>ומשום הכי מהימן במאי דאמר פרעתי ע"פ הגט דאמר כשתבעתני על פי הגט אמרתי בבית דין כתבתי לה כתובה וירא אני שלא תחזור ותוציאנה ואמרו לי הבא ראיה ולא מצאתי ראיה ואמרו לי פרע ובקשתי מהן שיכתבו לי שובר הואיל ועל כרחי אני זקוק לפרוע טוב לי שיהיה לי שובר וכתבוהו לי ואבד</w:t>
      </w:r>
      <w:r>
        <w:rPr>
          <w:rFonts w:hint="cs"/>
          <w:rtl/>
        </w:rPr>
        <w:t>, רש"י.</w:t>
      </w:r>
    </w:p>
  </w:footnote>
  <w:footnote w:id="1996">
    <w:p w14:paraId="37D5C368" w14:textId="77777777" w:rsidR="00392DBB" w:rsidRDefault="00392DBB" w:rsidP="00392DBB">
      <w:pPr>
        <w:pStyle w:val="a5"/>
      </w:pPr>
      <w:r>
        <w:rPr>
          <w:rStyle w:val="a7"/>
        </w:rPr>
        <w:footnoteRef/>
      </w:r>
      <w:r>
        <w:rPr>
          <w:rtl/>
        </w:rPr>
        <w:t xml:space="preserve"> </w:t>
      </w:r>
      <w:r w:rsidRPr="00D1259F">
        <w:rPr>
          <w:rFonts w:cs="Arial"/>
          <w:rtl/>
        </w:rPr>
        <w:t>דאמר אין נפרעין על פי הגט אלא עיקר אמאי לא יפרעו נהי דעיקר לא גביא כו'</w:t>
      </w:r>
      <w:r>
        <w:rPr>
          <w:rFonts w:cs="Arial" w:hint="cs"/>
          <w:rtl/>
        </w:rPr>
        <w:t>, רש"י.</w:t>
      </w:r>
    </w:p>
  </w:footnote>
  <w:footnote w:id="1997">
    <w:p w14:paraId="1EB64E31" w14:textId="77777777" w:rsidR="00392DBB" w:rsidRDefault="00392DBB" w:rsidP="00392DBB">
      <w:pPr>
        <w:pStyle w:val="a5"/>
        <w:rPr>
          <w:rtl/>
        </w:rPr>
      </w:pPr>
      <w:r>
        <w:rPr>
          <w:rStyle w:val="a7"/>
        </w:rPr>
        <w:footnoteRef/>
      </w:r>
      <w:r>
        <w:rPr>
          <w:rtl/>
        </w:rPr>
        <w:t xml:space="preserve"> </w:t>
      </w:r>
      <w:r w:rsidRPr="00196901">
        <w:rPr>
          <w:rFonts w:cs="Arial"/>
          <w:rtl/>
        </w:rPr>
        <w:t>ורבי יוחנן נמי מפרש הכי כדפרישית לעיל ואם תאמר והאמר רב המנונא (כתובות כב:) האשה שאמרה לבעלה גירשתני נאמנת ורבי יוחנן אית ליה דרב המנונא וי"ל דלא מהימנא אלא דוקא היכא דאינה תובעת כתובתה אבל תובעת כתובתה לא מהימנא דשמא מחמת חימוד ממון אמרה כן</w:t>
      </w:r>
      <w:r>
        <w:rPr>
          <w:rFonts w:hint="cs"/>
          <w:rtl/>
        </w:rPr>
        <w:t xml:space="preserve">, </w:t>
      </w:r>
      <w:r w:rsidRPr="00087D26">
        <w:rPr>
          <w:rFonts w:hint="cs"/>
          <w:b/>
          <w:bCs/>
          <w:rtl/>
        </w:rPr>
        <w:t xml:space="preserve">תוס' </w:t>
      </w:r>
      <w:r>
        <w:rPr>
          <w:rFonts w:hint="cs"/>
          <w:rtl/>
        </w:rPr>
        <w:t>(פט. ד"ה מיגו). וכן פסק הטור כאן. אך אין כן דעת הרמב"ם. עיין בסמוך בדבריו.</w:t>
      </w:r>
    </w:p>
  </w:footnote>
  <w:footnote w:id="1998">
    <w:p w14:paraId="52E2665F" w14:textId="77777777" w:rsidR="00392DBB" w:rsidRDefault="00392DBB" w:rsidP="00392DBB">
      <w:pPr>
        <w:pStyle w:val="a5"/>
      </w:pPr>
      <w:r>
        <w:rPr>
          <w:rStyle w:val="a7"/>
        </w:rPr>
        <w:footnoteRef/>
      </w:r>
      <w:r>
        <w:rPr>
          <w:rtl/>
        </w:rPr>
        <w:t xml:space="preserve"> </w:t>
      </w:r>
      <w:r w:rsidRPr="009357DA">
        <w:rPr>
          <w:rFonts w:cs="Arial"/>
          <w:rtl/>
        </w:rPr>
        <w:t>וא"ת א"כ היה מחויב בשאר כסות ועונה</w:t>
      </w:r>
      <w:r>
        <w:rPr>
          <w:rFonts w:cs="Arial" w:hint="cs"/>
          <w:rtl/>
        </w:rPr>
        <w:t>.</w:t>
      </w:r>
      <w:r w:rsidRPr="009357DA">
        <w:rPr>
          <w:rFonts w:cs="Arial"/>
          <w:rtl/>
        </w:rPr>
        <w:t xml:space="preserve"> וי"ל דטענו חטים והודה לו בשעורים פטור אף מדמי שעורים אא"כ תפס כדאיתא פ' המניח</w:t>
      </w:r>
      <w:r>
        <w:rPr>
          <w:rFonts w:cs="Arial" w:hint="cs"/>
          <w:rtl/>
        </w:rPr>
        <w:t xml:space="preserve">, הגמ"ר (סי' תכג, כ"כ בשמו הדרכ"מ אות </w:t>
      </w:r>
      <w:r w:rsidRPr="003D2914">
        <w:rPr>
          <w:rFonts w:cs="Arial"/>
          <w:rtl/>
        </w:rPr>
        <w:t>יט)</w:t>
      </w:r>
      <w:r>
        <w:rPr>
          <w:rFonts w:cs="Arial" w:hint="cs"/>
          <w:rtl/>
        </w:rPr>
        <w:t>.</w:t>
      </w:r>
      <w:r>
        <w:rPr>
          <w:rFonts w:hint="cs"/>
          <w:rtl/>
        </w:rPr>
        <w:t xml:space="preserve"> אך לשיטת הרמב"ם </w:t>
      </w:r>
      <w:r w:rsidRPr="009357DA">
        <w:rPr>
          <w:rFonts w:cs="Arial"/>
          <w:rtl/>
        </w:rPr>
        <w:t>לק"מ דהא אפילו אם יאמר לא גרשתיך היא נאמנת דגירש אותה ופטור משכ"ו ופטור מת"כ</w:t>
      </w:r>
      <w:r>
        <w:rPr>
          <w:rFonts w:cs="Arial" w:hint="cs"/>
          <w:rtl/>
        </w:rPr>
        <w:t>, ב"ש (סקל"ט).</w:t>
      </w:r>
    </w:p>
  </w:footnote>
  <w:footnote w:id="1999">
    <w:p w14:paraId="527E29AB" w14:textId="41B0FA6A" w:rsidR="00392DBB" w:rsidRDefault="00392DBB" w:rsidP="00392DBB">
      <w:pPr>
        <w:pStyle w:val="a5"/>
        <w:rPr>
          <w:rtl/>
        </w:rPr>
      </w:pPr>
      <w:r>
        <w:rPr>
          <w:rStyle w:val="a7"/>
        </w:rPr>
        <w:footnoteRef/>
      </w:r>
      <w:r>
        <w:rPr>
          <w:rtl/>
        </w:rPr>
        <w:t xml:space="preserve"> </w:t>
      </w:r>
      <w:r w:rsidR="00A37B48">
        <w:rPr>
          <w:rFonts w:cs="Arial" w:hint="cs"/>
          <w:rtl/>
        </w:rPr>
        <w:t xml:space="preserve">וכ"כ התוס' (פט. ד"ה מיגו דיכול). </w:t>
      </w:r>
      <w:r w:rsidRPr="003D2914">
        <w:rPr>
          <w:rFonts w:cs="Arial"/>
          <w:rtl/>
        </w:rPr>
        <w:t>וכ</w:t>
      </w:r>
      <w:r>
        <w:rPr>
          <w:rFonts w:cs="Arial" w:hint="cs"/>
          <w:rtl/>
        </w:rPr>
        <w:t>"כ</w:t>
      </w:r>
      <w:r w:rsidRPr="003D2914">
        <w:rPr>
          <w:rFonts w:cs="Arial"/>
          <w:rtl/>
        </w:rPr>
        <w:t xml:space="preserve"> ה</w:t>
      </w:r>
      <w:r>
        <w:rPr>
          <w:rFonts w:cs="Arial" w:hint="cs"/>
          <w:rtl/>
        </w:rPr>
        <w:t>ה"</w:t>
      </w:r>
      <w:r w:rsidRPr="003D2914">
        <w:rPr>
          <w:rFonts w:cs="Arial"/>
          <w:rtl/>
        </w:rPr>
        <w:t>מ</w:t>
      </w:r>
      <w:r>
        <w:rPr>
          <w:rFonts w:cs="Arial" w:hint="cs"/>
          <w:rtl/>
        </w:rPr>
        <w:t xml:space="preserve"> </w:t>
      </w:r>
      <w:r w:rsidRPr="00BF4C34">
        <w:rPr>
          <w:rFonts w:cs="Arial" w:hint="cs"/>
          <w:sz w:val="16"/>
          <w:szCs w:val="16"/>
          <w:rtl/>
        </w:rPr>
        <w:t>(פט"ז מ</w:t>
      </w:r>
      <w:r w:rsidRPr="00BF4C34">
        <w:rPr>
          <w:rFonts w:cs="Arial"/>
          <w:sz w:val="16"/>
          <w:szCs w:val="16"/>
          <w:rtl/>
        </w:rPr>
        <w:t>אישות הכ"ו)</w:t>
      </w:r>
      <w:r>
        <w:rPr>
          <w:rFonts w:cs="Arial" w:hint="cs"/>
          <w:rtl/>
        </w:rPr>
        <w:t>,</w:t>
      </w:r>
      <w:r w:rsidRPr="003D2914">
        <w:rPr>
          <w:rFonts w:cs="Arial"/>
          <w:rtl/>
        </w:rPr>
        <w:t xml:space="preserve"> וכתב </w:t>
      </w:r>
      <w:r>
        <w:rPr>
          <w:rFonts w:cs="Arial" w:hint="cs"/>
          <w:rtl/>
        </w:rPr>
        <w:t>ד</w:t>
      </w:r>
      <w:r w:rsidRPr="003D2914">
        <w:rPr>
          <w:rFonts w:cs="Arial"/>
          <w:rtl/>
        </w:rPr>
        <w:t>א</w:t>
      </w:r>
      <w:r>
        <w:rPr>
          <w:rFonts w:cs="Arial" w:hint="cs"/>
          <w:rtl/>
        </w:rPr>
        <w:t>ע"ג</w:t>
      </w:r>
      <w:r w:rsidRPr="003D2914">
        <w:rPr>
          <w:rFonts w:cs="Arial"/>
          <w:rtl/>
        </w:rPr>
        <w:t xml:space="preserve"> דהרמב"ם חולק בזה מכל מקום יש לחוש לסברא זו</w:t>
      </w:r>
      <w:r>
        <w:rPr>
          <w:rFonts w:cs="Arial" w:hint="cs"/>
          <w:rtl/>
        </w:rPr>
        <w:t xml:space="preserve">, דרכ"מ (אות כ). </w:t>
      </w:r>
      <w:r w:rsidRPr="00BF4C34">
        <w:rPr>
          <w:rFonts w:cs="Arial" w:hint="cs"/>
          <w:color w:val="00B0F0"/>
          <w:rtl/>
        </w:rPr>
        <w:t>(וכ"פ בהג"ה)</w:t>
      </w:r>
    </w:p>
  </w:footnote>
  <w:footnote w:id="2000">
    <w:p w14:paraId="4D11792F" w14:textId="77777777" w:rsidR="00392DBB" w:rsidRDefault="00392DBB" w:rsidP="00392DBB">
      <w:pPr>
        <w:pStyle w:val="a5"/>
      </w:pPr>
      <w:r>
        <w:rPr>
          <w:rStyle w:val="a7"/>
        </w:rPr>
        <w:footnoteRef/>
      </w:r>
      <w:r>
        <w:rPr>
          <w:rtl/>
        </w:rPr>
        <w:t xml:space="preserve"> </w:t>
      </w:r>
      <w:r w:rsidRPr="00196901">
        <w:rPr>
          <w:rFonts w:cs="Arial"/>
          <w:rtl/>
        </w:rPr>
        <w:t xml:space="preserve">דברי רבינו </w:t>
      </w:r>
      <w:r>
        <w:rPr>
          <w:rFonts w:cs="Arial" w:hint="cs"/>
          <w:rtl/>
        </w:rPr>
        <w:t xml:space="preserve">בזה לא נתבארו... </w:t>
      </w:r>
      <w:r w:rsidRPr="00196901">
        <w:rPr>
          <w:rFonts w:cs="Arial"/>
          <w:rtl/>
        </w:rPr>
        <w:t>דהא בגמרא לא קאמר דמן הסכנה ואילך אלא דאע"ג דלא מפקא גיטא גביא כלומר גובה תוספת ועיקר ובדאיכא עידי גירושין אבל אי ליכא עידי גירושין אפילו מן הסכנה ואילך לא יפרעו</w:t>
      </w:r>
      <w:r>
        <w:rPr>
          <w:rFonts w:cs="Arial" w:hint="cs"/>
          <w:rtl/>
        </w:rPr>
        <w:t>, ב"י.</w:t>
      </w:r>
    </w:p>
  </w:footnote>
  <w:footnote w:id="2001">
    <w:p w14:paraId="3262E7C7" w14:textId="67EFC46F" w:rsidR="00392DBB" w:rsidRDefault="00392DBB" w:rsidP="00392DBB">
      <w:pPr>
        <w:pStyle w:val="a5"/>
      </w:pPr>
      <w:r>
        <w:rPr>
          <w:rStyle w:val="a7"/>
        </w:rPr>
        <w:footnoteRef/>
      </w:r>
      <w:r>
        <w:rPr>
          <w:rtl/>
        </w:rPr>
        <w:t xml:space="preserve"> </w:t>
      </w:r>
      <w:r w:rsidRPr="003D2914">
        <w:rPr>
          <w:rFonts w:cs="Arial"/>
          <w:rtl/>
        </w:rPr>
        <w:t>ולא נהירא שאם הוא נאמן למה יתן לה עיקר</w:t>
      </w:r>
      <w:r>
        <w:rPr>
          <w:rFonts w:cs="Arial" w:hint="cs"/>
          <w:rtl/>
        </w:rPr>
        <w:t>,</w:t>
      </w:r>
      <w:r w:rsidRPr="003D2914">
        <w:rPr>
          <w:rFonts w:cs="Arial"/>
          <w:rtl/>
        </w:rPr>
        <w:t xml:space="preserve"> ואם אינו נאמן יתן לה הכל שהרי כתובה בידה</w:t>
      </w:r>
      <w:r>
        <w:rPr>
          <w:rFonts w:cs="Arial" w:hint="cs"/>
          <w:rtl/>
        </w:rPr>
        <w:t>,</w:t>
      </w:r>
      <w:r w:rsidRPr="003D2914">
        <w:rPr>
          <w:rFonts w:cs="Arial"/>
          <w:rtl/>
        </w:rPr>
        <w:t xml:space="preserve"> וכן השיג עליו הראב"ד</w:t>
      </w:r>
      <w:r>
        <w:rPr>
          <w:rFonts w:cs="Arial" w:hint="cs"/>
          <w:rtl/>
        </w:rPr>
        <w:t xml:space="preserve">, </w:t>
      </w:r>
      <w:r w:rsidRPr="00304AC3">
        <w:rPr>
          <w:rFonts w:cs="Arial" w:hint="cs"/>
          <w:b/>
          <w:bCs/>
          <w:rtl/>
        </w:rPr>
        <w:t>טור</w:t>
      </w:r>
      <w:r>
        <w:rPr>
          <w:rFonts w:cs="Arial" w:hint="cs"/>
          <w:rtl/>
        </w:rPr>
        <w:t>.</w:t>
      </w:r>
      <w:r w:rsidR="00304AC3">
        <w:rPr>
          <w:rFonts w:cs="Arial" w:hint="cs"/>
          <w:rtl/>
        </w:rPr>
        <w:t xml:space="preserve">     </w:t>
      </w:r>
      <w:r w:rsidRPr="00AF0123">
        <w:rPr>
          <w:rFonts w:cs="Arial"/>
          <w:rtl/>
        </w:rPr>
        <w:t xml:space="preserve"> </w:t>
      </w:r>
      <w:r>
        <w:rPr>
          <w:rFonts w:cs="Arial" w:hint="cs"/>
          <w:rtl/>
        </w:rPr>
        <w:t xml:space="preserve">וכתב </w:t>
      </w:r>
      <w:r w:rsidRPr="00304AC3">
        <w:rPr>
          <w:rFonts w:cs="Arial" w:hint="cs"/>
          <w:b/>
          <w:bCs/>
          <w:rtl/>
        </w:rPr>
        <w:t>הב"י</w:t>
      </w:r>
      <w:r>
        <w:rPr>
          <w:rFonts w:cs="Arial" w:hint="cs"/>
          <w:rtl/>
        </w:rPr>
        <w:t xml:space="preserve"> ד</w:t>
      </w:r>
      <w:r>
        <w:rPr>
          <w:rFonts w:cs="Arial"/>
          <w:rtl/>
        </w:rPr>
        <w:t xml:space="preserve">מה שהקשה </w:t>
      </w:r>
      <w:r>
        <w:rPr>
          <w:rFonts w:cs="Arial" w:hint="cs"/>
          <w:rtl/>
        </w:rPr>
        <w:t xml:space="preserve">הטור על הרמב"ם כבר נתבאר </w:t>
      </w:r>
      <w:r>
        <w:rPr>
          <w:rFonts w:cs="Arial"/>
          <w:rtl/>
        </w:rPr>
        <w:t>הטעם בדברי הרב המגיד שכתב לענין גביית הכתובה דברי הרמב"ן (פט. ד"ה מיגו) כדברי רבינו</w:t>
      </w:r>
      <w:r>
        <w:rPr>
          <w:rFonts w:cs="Arial" w:hint="cs"/>
          <w:rtl/>
        </w:rPr>
        <w:t>,</w:t>
      </w:r>
      <w:r>
        <w:rPr>
          <w:rFonts w:cs="Arial"/>
          <w:rtl/>
        </w:rPr>
        <w:t xml:space="preserve"> והביא ראיה לזה בפ"ב דכתובות</w:t>
      </w:r>
      <w:r>
        <w:rPr>
          <w:rFonts w:cs="Arial" w:hint="cs"/>
          <w:rtl/>
        </w:rPr>
        <w:t>,</w:t>
      </w:r>
      <w:r>
        <w:rPr>
          <w:rFonts w:cs="Arial"/>
          <w:rtl/>
        </w:rPr>
        <w:t xml:space="preserve"> והטעם מפני מדרש כתובה </w:t>
      </w:r>
      <w:r>
        <w:rPr>
          <w:rFonts w:cs="Arial" w:hint="cs"/>
          <w:rtl/>
        </w:rPr>
        <w:t>'</w:t>
      </w:r>
      <w:r>
        <w:rPr>
          <w:rFonts w:cs="Arial"/>
          <w:rtl/>
        </w:rPr>
        <w:t>לכשתנשאי לאחר תטלי מה שכתוב ליכי</w:t>
      </w:r>
      <w:r>
        <w:rPr>
          <w:rFonts w:cs="Arial" w:hint="cs"/>
          <w:rtl/>
        </w:rPr>
        <w:t>',</w:t>
      </w:r>
      <w:r>
        <w:rPr>
          <w:rFonts w:cs="Arial"/>
          <w:rtl/>
        </w:rPr>
        <w:t xml:space="preserve"> אבל בתוספת לא</w:t>
      </w:r>
      <w:r>
        <w:rPr>
          <w:rFonts w:cs="Arial" w:hint="cs"/>
          <w:rtl/>
        </w:rPr>
        <w:t>,</w:t>
      </w:r>
      <w:r>
        <w:rPr>
          <w:rFonts w:cs="Arial"/>
          <w:rtl/>
        </w:rPr>
        <w:t xml:space="preserve"> לפי שאין מדרש בתוספת</w:t>
      </w:r>
      <w:r>
        <w:rPr>
          <w:rFonts w:cs="Arial" w:hint="cs"/>
          <w:rtl/>
        </w:rPr>
        <w:t>,</w:t>
      </w:r>
      <w:r>
        <w:rPr>
          <w:rFonts w:cs="Arial"/>
          <w:rtl/>
        </w:rPr>
        <w:t xml:space="preserve"> ואין צריך לומר בנכסי צאן ברזל ע"כ. ועל מ"ש הרמב"ם (הכ"ז) אמר לה הבעל כך היה וכו' כתב</w:t>
      </w:r>
      <w:r w:rsidR="00304AC3">
        <w:rPr>
          <w:rFonts w:cs="Arial" w:hint="cs"/>
          <w:rtl/>
        </w:rPr>
        <w:t>:</w:t>
      </w:r>
      <w:r>
        <w:rPr>
          <w:rFonts w:cs="Arial"/>
          <w:rtl/>
        </w:rPr>
        <w:t xml:space="preserve"> זה יצא לרבינו ממה שאמרו הכא במאי עסקינן בשאין שם עידי גירושין מתוך שיכול לומר לא גירשתיה וכו' ומפרש רבינו שהוא לענין תוספת</w:t>
      </w:r>
      <w:r w:rsidR="00304AC3">
        <w:rPr>
          <w:rFonts w:cs="Arial" w:hint="cs"/>
          <w:rtl/>
        </w:rPr>
        <w:t>,</w:t>
      </w:r>
      <w:r>
        <w:rPr>
          <w:rFonts w:cs="Arial"/>
          <w:rtl/>
        </w:rPr>
        <w:t xml:space="preserve"> לפי שבעיקר כתובה אין שם מגו</w:t>
      </w:r>
      <w:r w:rsidR="00304AC3">
        <w:rPr>
          <w:rFonts w:cs="Arial" w:hint="cs"/>
          <w:rtl/>
        </w:rPr>
        <w:t>,</w:t>
      </w:r>
      <w:r>
        <w:rPr>
          <w:rFonts w:cs="Arial"/>
          <w:rtl/>
        </w:rPr>
        <w:t xml:space="preserve"> וכמו שנתבאר בדעת רבינו עכ"ל</w:t>
      </w:r>
      <w:r>
        <w:rPr>
          <w:rFonts w:hint="cs"/>
          <w:sz w:val="16"/>
          <w:szCs w:val="16"/>
          <w:rtl/>
        </w:rPr>
        <w:t xml:space="preserve"> [הה"מ]</w:t>
      </w:r>
      <w:r>
        <w:rPr>
          <w:rFonts w:hint="cs"/>
          <w:rtl/>
        </w:rPr>
        <w:t>.</w:t>
      </w:r>
    </w:p>
  </w:footnote>
  <w:footnote w:id="2002">
    <w:p w14:paraId="17627FC2" w14:textId="77777777" w:rsidR="00392DBB" w:rsidRDefault="00392DBB" w:rsidP="00392DBB">
      <w:pPr>
        <w:pStyle w:val="a5"/>
      </w:pPr>
      <w:r>
        <w:rPr>
          <w:rStyle w:val="a7"/>
        </w:rPr>
        <w:footnoteRef/>
      </w:r>
      <w:r>
        <w:rPr>
          <w:rtl/>
        </w:rPr>
        <w:t xml:space="preserve"> </w:t>
      </w:r>
      <w:r w:rsidRPr="001F0643">
        <w:rPr>
          <w:rFonts w:cs="Arial"/>
          <w:rtl/>
        </w:rPr>
        <w:t>עמ"ש שם ע"ז ושם נתבאר דעה שלישית בשם מהרי"ק דאינ' נאמנת לענין ממון כלל אף שנאמנת להנשא</w:t>
      </w:r>
      <w:r>
        <w:rPr>
          <w:rFonts w:cs="Arial" w:hint="cs"/>
          <w:rtl/>
        </w:rPr>
        <w:t>, ח"מ (סק"מ).</w:t>
      </w:r>
    </w:p>
  </w:footnote>
  <w:footnote w:id="2003">
    <w:p w14:paraId="38CBED60" w14:textId="77777777" w:rsidR="00392DBB" w:rsidRDefault="00392DBB" w:rsidP="00392DBB">
      <w:pPr>
        <w:pStyle w:val="a5"/>
        <w:rPr>
          <w:rtl/>
        </w:rPr>
      </w:pPr>
      <w:r>
        <w:rPr>
          <w:rStyle w:val="a7"/>
        </w:rPr>
        <w:footnoteRef/>
      </w:r>
      <w:r>
        <w:rPr>
          <w:rtl/>
        </w:rPr>
        <w:t xml:space="preserve"> </w:t>
      </w:r>
      <w:r w:rsidRPr="001F0643">
        <w:rPr>
          <w:rFonts w:cs="Arial"/>
          <w:rtl/>
        </w:rPr>
        <w:t>זה הוא לשון הרמב"ם ולטעמיה אזל שאין לו מיגו על העיקר דהיא נאמנת ליטול עיקר מאחר שנאמנת על הגירושין ומספר כתוב' נלמוד אבל לדעת החולקים עליו וכמו שהכריע הרב לפני זה שכן עיקר וא"כ אף על העיקר נשבע הוא היסת דכל זמן שאין לה עדי גרושין נאמן במיגו דלא גרשתיך וכן פסק הטור ומיהו בטור כתב והוא במקום שאין כותבין דמשמע דוקא במקום שאין כותבין יכול לטעון פרעתי כשהוציאה הגט כי לא האמינו לו שכתב כתובה אבל במקום שכותבין כתובה ריעא טענתא דידי' דאיך שילם לה והכתובה בידה אף שיכול לטעון הוכרחתי לשלם מאחר שטענה אבדתי הכתובה וקי"ל כותבין שובר מ"מ טענה דידה עדיפא וכתובתה בידה ואפשר מאחר דיש לו מיגו דלא גרשתיך אינה יכולה להוציא מידו בלא ראיה ועיין בב"ח דלמסקנא דגמרא אין חילוק</w:t>
      </w:r>
      <w:r>
        <w:rPr>
          <w:rFonts w:hint="cs"/>
          <w:rtl/>
        </w:rPr>
        <w:t>, ח"מ (סקמ"א).</w:t>
      </w:r>
    </w:p>
  </w:footnote>
  <w:footnote w:id="2004">
    <w:p w14:paraId="025E42B0" w14:textId="77777777" w:rsidR="00392DBB" w:rsidRDefault="00392DBB" w:rsidP="00392DBB">
      <w:pPr>
        <w:pStyle w:val="a5"/>
      </w:pPr>
      <w:r>
        <w:rPr>
          <w:rStyle w:val="a7"/>
        </w:rPr>
        <w:footnoteRef/>
      </w:r>
      <w:r>
        <w:rPr>
          <w:rtl/>
        </w:rPr>
        <w:t xml:space="preserve"> </w:t>
      </w:r>
      <w:r w:rsidRPr="00A72F05">
        <w:rPr>
          <w:rFonts w:cs="Arial"/>
          <w:rtl/>
        </w:rPr>
        <w:t>דלעולם אין כותבין שובר והיינו טעמא דגובה כתובתה דאי מקום שאין כותבין הוא והוא אומר כתבתי וירא אני שמא תחזור ותוציאנה עליו להביא ראיה ואי מייתי ראיה עדים שכתב לא גביא ואי לא מייתי ראיה קתני מתניתין גובה כתובתה ואינו נאמן לומר שניתי מנהג העיר ואי מקום שכותבין הוא והיא אמרה לא כתב לי עליה להביא ראיה וכי קתני מתניתין גובה כתובתה שהביאה ראיה שלא כתב לה</w:t>
      </w:r>
      <w:r>
        <w:rPr>
          <w:rFonts w:cs="Arial" w:hint="cs"/>
          <w:rtl/>
        </w:rPr>
        <w:t>, רש"י.</w:t>
      </w:r>
    </w:p>
  </w:footnote>
  <w:footnote w:id="2005">
    <w:p w14:paraId="75310000" w14:textId="77777777" w:rsidR="00392DBB" w:rsidRDefault="00392DBB" w:rsidP="00392DBB">
      <w:pPr>
        <w:pStyle w:val="a5"/>
      </w:pPr>
      <w:r>
        <w:rPr>
          <w:rStyle w:val="a7"/>
        </w:rPr>
        <w:footnoteRef/>
      </w:r>
      <w:r>
        <w:rPr>
          <w:rtl/>
        </w:rPr>
        <w:t xml:space="preserve"> </w:t>
      </w:r>
      <w:r w:rsidRPr="00A72F05">
        <w:rPr>
          <w:rFonts w:cs="Arial"/>
          <w:rtl/>
        </w:rPr>
        <w:t>ואוקי מתני' בטעמא אחרינא ואמר בין במקום שכותבין ובין במקום שאין כותבין כי מפקא גט בלא כתובה גובה עיקר כתובתה דהיינו מנה ומאתים וגובה דקתני מתני' עיקר קאמר ולא תוספת וכי מפקא כתובה בלא גט גובה תוספת ולא עיקר חיישינן שמא גבאתו על פי הגט</w:t>
      </w:r>
      <w:r>
        <w:rPr>
          <w:rFonts w:cs="Arial" w:hint="cs"/>
          <w:rtl/>
        </w:rPr>
        <w:t>, רש"י.</w:t>
      </w:r>
    </w:p>
  </w:footnote>
  <w:footnote w:id="2006">
    <w:p w14:paraId="73D9E454" w14:textId="3EA961B1"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3D2914">
        <w:rPr>
          <w:rFonts w:cs="Arial"/>
          <w:rtl/>
        </w:rPr>
        <w:t>הוציאה גט ואין בידה כתובה</w:t>
      </w:r>
      <w:r>
        <w:rPr>
          <w:rFonts w:cs="Arial" w:hint="cs"/>
          <w:rtl/>
        </w:rPr>
        <w:t>,</w:t>
      </w:r>
      <w:r w:rsidRPr="003D2914">
        <w:rPr>
          <w:rFonts w:cs="Arial"/>
          <w:rtl/>
        </w:rPr>
        <w:t xml:space="preserve"> דינו כמו אלמנה</w:t>
      </w:r>
      <w:r>
        <w:rPr>
          <w:rFonts w:cs="Arial" w:hint="cs"/>
          <w:rtl/>
        </w:rPr>
        <w:t>,</w:t>
      </w:r>
      <w:r w:rsidRPr="003D2914">
        <w:rPr>
          <w:rFonts w:cs="Arial"/>
          <w:rtl/>
        </w:rPr>
        <w:t xml:space="preserve"> שבמקום שאין כותבין </w:t>
      </w:r>
      <w:r>
        <w:rPr>
          <w:rFonts w:cs="Arial" w:hint="cs"/>
          <w:rtl/>
        </w:rPr>
        <w:t xml:space="preserve">- </w:t>
      </w:r>
      <w:r w:rsidRPr="003D2914">
        <w:rPr>
          <w:rFonts w:cs="Arial"/>
          <w:rtl/>
        </w:rPr>
        <w:t>גובה עיקר ולא נדוניא ותוספת</w:t>
      </w:r>
      <w:r>
        <w:rPr>
          <w:rFonts w:cs="Arial" w:hint="cs"/>
          <w:rtl/>
        </w:rPr>
        <w:t>.</w:t>
      </w:r>
      <w:r w:rsidRPr="003D2914">
        <w:rPr>
          <w:rFonts w:cs="Arial"/>
          <w:rtl/>
        </w:rPr>
        <w:t xml:space="preserve"> ובמקום שכותבין </w:t>
      </w:r>
      <w:r>
        <w:rPr>
          <w:rFonts w:cs="Arial" w:hint="cs"/>
          <w:rtl/>
        </w:rPr>
        <w:t xml:space="preserve">- </w:t>
      </w:r>
      <w:r w:rsidRPr="003D2914">
        <w:rPr>
          <w:rFonts w:cs="Arial"/>
          <w:rtl/>
        </w:rPr>
        <w:t>אינה גובה כלל</w:t>
      </w:r>
      <w:r>
        <w:rPr>
          <w:rFonts w:cs="Arial" w:hint="cs"/>
          <w:rtl/>
        </w:rPr>
        <w:t>.</w:t>
      </w:r>
    </w:p>
  </w:footnote>
  <w:footnote w:id="2007">
    <w:p w14:paraId="091963AE" w14:textId="77777777" w:rsidR="00392DBB" w:rsidRDefault="00392DBB" w:rsidP="00392DBB">
      <w:pPr>
        <w:pStyle w:val="a5"/>
      </w:pPr>
      <w:r>
        <w:rPr>
          <w:rStyle w:val="a7"/>
        </w:rPr>
        <w:footnoteRef/>
      </w:r>
      <w:r>
        <w:rPr>
          <w:rtl/>
        </w:rPr>
        <w:t xml:space="preserve"> </w:t>
      </w:r>
      <w:r w:rsidRPr="00F02E86">
        <w:rPr>
          <w:rFonts w:cs="Arial"/>
          <w:rtl/>
        </w:rPr>
        <w:t>ונתבאר גם כן בדברי הרמב"ם (פט"ז הכ"ב) והה</w:t>
      </w:r>
      <w:r>
        <w:rPr>
          <w:rFonts w:cs="Arial" w:hint="cs"/>
          <w:rtl/>
        </w:rPr>
        <w:t>"</w:t>
      </w:r>
      <w:r w:rsidRPr="00F02E86">
        <w:rPr>
          <w:rFonts w:cs="Arial"/>
          <w:rtl/>
        </w:rPr>
        <w:t>מ שתוספת ונדוניא אינו בכלל הטוען אחר מעשה בית דין</w:t>
      </w:r>
      <w:r>
        <w:rPr>
          <w:rFonts w:cs="Arial" w:hint="cs"/>
          <w:rtl/>
        </w:rPr>
        <w:t>,</w:t>
      </w:r>
      <w:r w:rsidRPr="00F02E86">
        <w:rPr>
          <w:rFonts w:cs="Arial"/>
          <w:rtl/>
        </w:rPr>
        <w:t xml:space="preserve"> וכ"כ הר"ן שם (מט. דיבור ראשון)</w:t>
      </w:r>
      <w:r>
        <w:rPr>
          <w:rFonts w:cs="Arial" w:hint="cs"/>
          <w:rtl/>
        </w:rPr>
        <w:t>, ב"י.</w:t>
      </w:r>
    </w:p>
  </w:footnote>
  <w:footnote w:id="2008">
    <w:p w14:paraId="78593BA9" w14:textId="77777777" w:rsidR="00A37B48" w:rsidRDefault="00A37B48" w:rsidP="00A37B48">
      <w:pPr>
        <w:pStyle w:val="a5"/>
      </w:pPr>
      <w:r>
        <w:rPr>
          <w:rStyle w:val="a7"/>
        </w:rPr>
        <w:footnoteRef/>
      </w:r>
      <w:r>
        <w:rPr>
          <w:rtl/>
        </w:rPr>
        <w:t xml:space="preserve"> </w:t>
      </w:r>
      <w:r>
        <w:rPr>
          <w:rFonts w:hint="cs"/>
          <w:rtl/>
        </w:rPr>
        <w:t xml:space="preserve">וכ"כ </w:t>
      </w:r>
      <w:r w:rsidRPr="007A28AB">
        <w:rPr>
          <w:rFonts w:hint="cs"/>
          <w:rtl/>
        </w:rPr>
        <w:t>הסמ"ג (</w:t>
      </w:r>
      <w:r w:rsidRPr="007A28AB">
        <w:rPr>
          <w:rtl/>
        </w:rPr>
        <w:t>עשין מח קכז ע"א</w:t>
      </w:r>
      <w:r w:rsidRPr="007A28AB">
        <w:rPr>
          <w:rFonts w:hint="cs"/>
          <w:rtl/>
        </w:rPr>
        <w:t>)</w:t>
      </w:r>
      <w:r>
        <w:rPr>
          <w:rFonts w:hint="cs"/>
          <w:rtl/>
        </w:rPr>
        <w:t xml:space="preserve"> והמרדכי (כתובות סי' רסה)</w:t>
      </w:r>
      <w:r w:rsidRPr="007A28AB">
        <w:rPr>
          <w:rFonts w:hint="cs"/>
          <w:rtl/>
        </w:rPr>
        <w:t xml:space="preserve"> בשם ר' שמשון ב"א בשם ר"י</w:t>
      </w:r>
      <w:r>
        <w:rPr>
          <w:rFonts w:hint="cs"/>
          <w:rtl/>
        </w:rPr>
        <w:t>.</w:t>
      </w:r>
    </w:p>
  </w:footnote>
  <w:footnote w:id="2009">
    <w:p w14:paraId="1252BD6E" w14:textId="77777777" w:rsidR="00A37B48" w:rsidRDefault="00A37B48" w:rsidP="00A37B48">
      <w:pPr>
        <w:pStyle w:val="a5"/>
      </w:pPr>
      <w:r>
        <w:rPr>
          <w:rStyle w:val="a7"/>
        </w:rPr>
        <w:footnoteRef/>
      </w:r>
      <w:r>
        <w:rPr>
          <w:rtl/>
        </w:rPr>
        <w:t xml:space="preserve"> </w:t>
      </w:r>
      <w:r w:rsidRPr="00814509">
        <w:rPr>
          <w:rFonts w:cs="Arial"/>
          <w:rtl/>
        </w:rPr>
        <w:t>וכן פסק הר"ם הלכה למעשה וכל גדולי אשכנז</w:t>
      </w:r>
      <w:r>
        <w:rPr>
          <w:rFonts w:cs="Arial" w:hint="cs"/>
          <w:rtl/>
        </w:rPr>
        <w:t>...</w:t>
      </w:r>
      <w:r w:rsidRPr="00814509">
        <w:rPr>
          <w:rFonts w:cs="Arial"/>
          <w:rtl/>
        </w:rPr>
        <w:t xml:space="preserve"> וכתב ה"ר יצחק ברבי מנוח דכן עשו מעשה כל גדולי צרפת וכן כתבתי לעיל פרק הכותב משום ספר חפץ וכן כתב ראבי"ה במשפטי הכתובה</w:t>
      </w:r>
      <w:r>
        <w:rPr>
          <w:rFonts w:hint="cs"/>
          <w:rtl/>
        </w:rPr>
        <w:t xml:space="preserve">, מרדכי (סי' רסה). וכתב הדרכ"מ </w:t>
      </w:r>
      <w:r>
        <w:rPr>
          <w:rFonts w:cs="Arial" w:hint="cs"/>
          <w:rtl/>
        </w:rPr>
        <w:t xml:space="preserve">דכן משמע בהגמ"ר (ב"מ </w:t>
      </w:r>
      <w:r w:rsidRPr="00D602DC">
        <w:rPr>
          <w:rFonts w:cs="Arial"/>
          <w:rtl/>
        </w:rPr>
        <w:t>סי' תכג)</w:t>
      </w:r>
      <w:r>
        <w:rPr>
          <w:rFonts w:hint="cs"/>
          <w:rtl/>
        </w:rPr>
        <w:t>,</w:t>
      </w:r>
      <w:r w:rsidRPr="008E6249">
        <w:rPr>
          <w:rFonts w:cs="Arial"/>
          <w:rtl/>
        </w:rPr>
        <w:t xml:space="preserve"> </w:t>
      </w:r>
      <w:r w:rsidRPr="00D602DC">
        <w:rPr>
          <w:rFonts w:cs="Arial"/>
          <w:rtl/>
        </w:rPr>
        <w:t>ו</w:t>
      </w:r>
      <w:r>
        <w:rPr>
          <w:rFonts w:cs="Arial" w:hint="cs"/>
          <w:rtl/>
        </w:rPr>
        <w:t>ש</w:t>
      </w:r>
      <w:r w:rsidRPr="00D602DC">
        <w:rPr>
          <w:rFonts w:cs="Arial"/>
          <w:rtl/>
        </w:rPr>
        <w:t xml:space="preserve">כן פסק מהרי"ק </w:t>
      </w:r>
      <w:r>
        <w:rPr>
          <w:rFonts w:cs="Arial" w:hint="cs"/>
          <w:rtl/>
        </w:rPr>
        <w:t>(</w:t>
      </w:r>
      <w:r w:rsidRPr="00D602DC">
        <w:rPr>
          <w:rFonts w:cs="Arial"/>
          <w:rtl/>
        </w:rPr>
        <w:t>שורש קיד</w:t>
      </w:r>
      <w:r>
        <w:rPr>
          <w:rFonts w:cs="Arial" w:hint="cs"/>
          <w:rtl/>
        </w:rPr>
        <w:t xml:space="preserve">, ושורש </w:t>
      </w:r>
      <w:r w:rsidRPr="00D602DC">
        <w:rPr>
          <w:rFonts w:cs="Arial"/>
          <w:rtl/>
        </w:rPr>
        <w:t>יט</w:t>
      </w:r>
      <w:r>
        <w:rPr>
          <w:rFonts w:cs="Arial" w:hint="cs"/>
          <w:rtl/>
        </w:rPr>
        <w:t>),</w:t>
      </w:r>
      <w:r w:rsidRPr="008E6249">
        <w:rPr>
          <w:rFonts w:cs="Arial"/>
          <w:rtl/>
        </w:rPr>
        <w:t xml:space="preserve"> </w:t>
      </w:r>
      <w:r w:rsidRPr="00D602DC">
        <w:rPr>
          <w:rFonts w:cs="Arial"/>
          <w:rtl/>
        </w:rPr>
        <w:t xml:space="preserve">וכן משמע בכתבי מהרא"י </w:t>
      </w:r>
      <w:r>
        <w:rPr>
          <w:rFonts w:cs="Arial" w:hint="cs"/>
          <w:rtl/>
        </w:rPr>
        <w:t>(</w:t>
      </w:r>
      <w:r w:rsidRPr="00D602DC">
        <w:rPr>
          <w:rFonts w:cs="Arial"/>
          <w:rtl/>
        </w:rPr>
        <w:t>סי</w:t>
      </w:r>
      <w:r>
        <w:rPr>
          <w:rFonts w:cs="Arial" w:hint="cs"/>
          <w:rtl/>
        </w:rPr>
        <w:t>'</w:t>
      </w:r>
      <w:r w:rsidRPr="00D602DC">
        <w:rPr>
          <w:rFonts w:cs="Arial"/>
          <w:rtl/>
        </w:rPr>
        <w:t xml:space="preserve"> רכט</w:t>
      </w:r>
      <w:r>
        <w:rPr>
          <w:rFonts w:cs="Arial" w:hint="cs"/>
          <w:rtl/>
        </w:rPr>
        <w:t>)</w:t>
      </w:r>
      <w:r>
        <w:rPr>
          <w:rFonts w:hint="cs"/>
          <w:rtl/>
        </w:rPr>
        <w:t>.</w:t>
      </w:r>
    </w:p>
  </w:footnote>
  <w:footnote w:id="2010">
    <w:p w14:paraId="2E11B2C0" w14:textId="3CD4C236" w:rsidR="00392DBB" w:rsidRDefault="00392DBB" w:rsidP="00392DBB">
      <w:pPr>
        <w:pStyle w:val="a5"/>
      </w:pPr>
      <w:r>
        <w:rPr>
          <w:rStyle w:val="a7"/>
        </w:rPr>
        <w:footnoteRef/>
      </w:r>
      <w:r>
        <w:rPr>
          <w:rtl/>
        </w:rPr>
        <w:t xml:space="preserve"> </w:t>
      </w:r>
      <w:r w:rsidRPr="0086008F">
        <w:rPr>
          <w:rFonts w:cs="Arial"/>
          <w:rtl/>
        </w:rPr>
        <w:t>ובתו</w:t>
      </w:r>
      <w:r>
        <w:rPr>
          <w:rFonts w:cs="Arial" w:hint="cs"/>
          <w:rtl/>
        </w:rPr>
        <w:t>ס</w:t>
      </w:r>
      <w:r w:rsidRPr="0086008F">
        <w:rPr>
          <w:rFonts w:cs="Arial"/>
          <w:rtl/>
        </w:rPr>
        <w:t>' לא משמע כן</w:t>
      </w:r>
      <w:r>
        <w:rPr>
          <w:rFonts w:cs="Arial" w:hint="cs"/>
          <w:rtl/>
        </w:rPr>
        <w:t>.</w:t>
      </w:r>
      <w:r w:rsidRPr="0086008F">
        <w:rPr>
          <w:rFonts w:cs="Arial"/>
          <w:rtl/>
        </w:rPr>
        <w:t xml:space="preserve"> ונרא</w:t>
      </w:r>
      <w:r>
        <w:rPr>
          <w:rFonts w:cs="Arial" w:hint="cs"/>
          <w:rtl/>
        </w:rPr>
        <w:t>ה</w:t>
      </w:r>
      <w:r w:rsidRPr="0086008F">
        <w:rPr>
          <w:rFonts w:cs="Arial"/>
          <w:rtl/>
        </w:rPr>
        <w:t xml:space="preserve"> </w:t>
      </w:r>
      <w:r>
        <w:rPr>
          <w:rFonts w:cs="Arial" w:hint="cs"/>
          <w:rtl/>
        </w:rPr>
        <w:t>ד</w:t>
      </w:r>
      <w:r w:rsidRPr="0086008F">
        <w:rPr>
          <w:rFonts w:cs="Arial"/>
          <w:rtl/>
        </w:rPr>
        <w:t>דין זה תליא בפלוגת</w:t>
      </w:r>
      <w:r>
        <w:rPr>
          <w:rFonts w:cs="Arial" w:hint="cs"/>
          <w:rtl/>
        </w:rPr>
        <w:t>א</w:t>
      </w:r>
      <w:r w:rsidRPr="0086008F">
        <w:rPr>
          <w:rFonts w:cs="Arial"/>
          <w:rtl/>
        </w:rPr>
        <w:t xml:space="preserve"> הנ"ל אם גוב</w:t>
      </w:r>
      <w:r>
        <w:rPr>
          <w:rFonts w:cs="Arial" w:hint="cs"/>
          <w:rtl/>
        </w:rPr>
        <w:t>ה</w:t>
      </w:r>
      <w:r w:rsidRPr="0086008F">
        <w:rPr>
          <w:rFonts w:cs="Arial"/>
          <w:rtl/>
        </w:rPr>
        <w:t xml:space="preserve"> בלא כתובה במקום שכותבין כתובה</w:t>
      </w:r>
      <w:r>
        <w:rPr>
          <w:rFonts w:cs="Arial" w:hint="cs"/>
          <w:rtl/>
        </w:rPr>
        <w:t>.</w:t>
      </w:r>
      <w:r w:rsidRPr="0086008F">
        <w:rPr>
          <w:rFonts w:cs="Arial"/>
          <w:rtl/>
        </w:rPr>
        <w:t xml:space="preserve"> ותו</w:t>
      </w:r>
      <w:r>
        <w:rPr>
          <w:rFonts w:cs="Arial" w:hint="cs"/>
          <w:rtl/>
        </w:rPr>
        <w:t>ס</w:t>
      </w:r>
      <w:r w:rsidRPr="0086008F">
        <w:rPr>
          <w:rFonts w:cs="Arial"/>
          <w:rtl/>
        </w:rPr>
        <w:t>' לטעמי</w:t>
      </w:r>
      <w:r>
        <w:rPr>
          <w:rFonts w:cs="Arial" w:hint="cs"/>
          <w:rtl/>
        </w:rPr>
        <w:t>ה,</w:t>
      </w:r>
      <w:r w:rsidRPr="0086008F">
        <w:rPr>
          <w:rFonts w:cs="Arial"/>
          <w:rtl/>
        </w:rPr>
        <w:t xml:space="preserve"> דס"ל דגובה אפילו במקום שכותבים כתובה ואיכ</w:t>
      </w:r>
      <w:r>
        <w:rPr>
          <w:rFonts w:cs="Arial" w:hint="cs"/>
          <w:rtl/>
        </w:rPr>
        <w:t>א</w:t>
      </w:r>
      <w:r w:rsidRPr="0086008F">
        <w:rPr>
          <w:rFonts w:cs="Arial"/>
          <w:rtl/>
        </w:rPr>
        <w:t xml:space="preserve"> ריעות</w:t>
      </w:r>
      <w:r>
        <w:rPr>
          <w:rFonts w:cs="Arial" w:hint="cs"/>
          <w:rtl/>
        </w:rPr>
        <w:t>א</w:t>
      </w:r>
      <w:r w:rsidRPr="0086008F">
        <w:rPr>
          <w:rFonts w:cs="Arial"/>
          <w:rtl/>
        </w:rPr>
        <w:t xml:space="preserve"> בפנינו מ"מ אינו נאמן לו</w:t>
      </w:r>
      <w:r>
        <w:rPr>
          <w:rFonts w:cs="Arial" w:hint="cs"/>
          <w:rtl/>
        </w:rPr>
        <w:t>מר</w:t>
      </w:r>
      <w:r w:rsidRPr="0086008F">
        <w:rPr>
          <w:rFonts w:cs="Arial"/>
          <w:rtl/>
        </w:rPr>
        <w:t xml:space="preserve"> פרעתי</w:t>
      </w:r>
      <w:r>
        <w:rPr>
          <w:rFonts w:cs="Arial" w:hint="cs"/>
          <w:rtl/>
        </w:rPr>
        <w:t>,</w:t>
      </w:r>
      <w:r w:rsidRPr="0086008F">
        <w:rPr>
          <w:rFonts w:cs="Arial"/>
          <w:rtl/>
        </w:rPr>
        <w:t xml:space="preserve"> כן ה</w:t>
      </w:r>
      <w:r>
        <w:rPr>
          <w:rFonts w:cs="Arial" w:hint="cs"/>
          <w:rtl/>
        </w:rPr>
        <w:t xml:space="preserve">כא </w:t>
      </w:r>
      <w:r w:rsidRPr="0086008F">
        <w:rPr>
          <w:rFonts w:cs="Arial"/>
          <w:rtl/>
        </w:rPr>
        <w:t>נ</w:t>
      </w:r>
      <w:r>
        <w:rPr>
          <w:rFonts w:cs="Arial" w:hint="cs"/>
          <w:rtl/>
        </w:rPr>
        <w:t>מי</w:t>
      </w:r>
      <w:r w:rsidRPr="0086008F">
        <w:rPr>
          <w:rFonts w:cs="Arial"/>
          <w:rtl/>
        </w:rPr>
        <w:t xml:space="preserve"> אינו נאמן כשאין הגט בידה</w:t>
      </w:r>
      <w:r>
        <w:rPr>
          <w:rFonts w:cs="Arial" w:hint="cs"/>
          <w:rtl/>
        </w:rPr>
        <w:t>.</w:t>
      </w:r>
      <w:r w:rsidRPr="0086008F">
        <w:rPr>
          <w:rFonts w:cs="Arial"/>
          <w:rtl/>
        </w:rPr>
        <w:t xml:space="preserve"> אבל לשיטות הרי"ף כיון דאיכ</w:t>
      </w:r>
      <w:r>
        <w:rPr>
          <w:rFonts w:cs="Arial" w:hint="cs"/>
          <w:rtl/>
        </w:rPr>
        <w:t>א</w:t>
      </w:r>
      <w:r w:rsidRPr="0086008F">
        <w:rPr>
          <w:rFonts w:cs="Arial"/>
          <w:rtl/>
        </w:rPr>
        <w:t xml:space="preserve"> ריעות</w:t>
      </w:r>
      <w:r>
        <w:rPr>
          <w:rFonts w:cs="Arial" w:hint="cs"/>
          <w:rtl/>
        </w:rPr>
        <w:t>א</w:t>
      </w:r>
      <w:r w:rsidRPr="0086008F">
        <w:rPr>
          <w:rFonts w:cs="Arial"/>
          <w:rtl/>
        </w:rPr>
        <w:t xml:space="preserve"> אינה נאמנת</w:t>
      </w:r>
      <w:r>
        <w:rPr>
          <w:rFonts w:cs="Arial" w:hint="cs"/>
          <w:rtl/>
        </w:rPr>
        <w:t>.</w:t>
      </w:r>
      <w:r w:rsidRPr="0086008F">
        <w:rPr>
          <w:rFonts w:cs="Arial"/>
          <w:rtl/>
        </w:rPr>
        <w:t xml:space="preserve"> </w:t>
      </w:r>
      <w:r w:rsidRPr="006252FF">
        <w:rPr>
          <w:rFonts w:cs="Arial" w:hint="cs"/>
          <w:sz w:val="16"/>
          <w:szCs w:val="16"/>
          <w:rtl/>
        </w:rPr>
        <w:t>(</w:t>
      </w:r>
      <w:r w:rsidRPr="006252FF">
        <w:rPr>
          <w:rFonts w:cs="Arial"/>
          <w:sz w:val="16"/>
          <w:szCs w:val="16"/>
          <w:rtl/>
        </w:rPr>
        <w:t>וא</w:t>
      </w:r>
      <w:r w:rsidRPr="006252FF">
        <w:rPr>
          <w:rFonts w:cs="Arial" w:hint="cs"/>
          <w:sz w:val="16"/>
          <w:szCs w:val="16"/>
          <w:rtl/>
        </w:rPr>
        <w:t xml:space="preserve">ין </w:t>
      </w:r>
      <w:r w:rsidRPr="006252FF">
        <w:rPr>
          <w:rFonts w:cs="Arial"/>
          <w:sz w:val="16"/>
          <w:szCs w:val="16"/>
          <w:rtl/>
        </w:rPr>
        <w:t>ל</w:t>
      </w:r>
      <w:r w:rsidRPr="006252FF">
        <w:rPr>
          <w:rFonts w:cs="Arial" w:hint="cs"/>
          <w:sz w:val="16"/>
          <w:szCs w:val="16"/>
          <w:rtl/>
        </w:rPr>
        <w:t>הקשות</w:t>
      </w:r>
      <w:r w:rsidRPr="006252FF">
        <w:rPr>
          <w:rFonts w:cs="Arial"/>
          <w:sz w:val="16"/>
          <w:szCs w:val="16"/>
          <w:rtl/>
        </w:rPr>
        <w:t xml:space="preserve"> על הטור דס"ל נמי במקום שכותבים כתוב</w:t>
      </w:r>
      <w:r w:rsidRPr="006252FF">
        <w:rPr>
          <w:rFonts w:cs="Arial" w:hint="cs"/>
          <w:sz w:val="16"/>
          <w:szCs w:val="16"/>
          <w:rtl/>
        </w:rPr>
        <w:t>ה</w:t>
      </w:r>
      <w:r w:rsidRPr="006252FF">
        <w:rPr>
          <w:rFonts w:cs="Arial"/>
          <w:sz w:val="16"/>
          <w:szCs w:val="16"/>
          <w:rtl/>
        </w:rPr>
        <w:t xml:space="preserve"> אינו גובה בלא כתובה</w:t>
      </w:r>
      <w:r w:rsidRPr="006252FF">
        <w:rPr>
          <w:rFonts w:cs="Arial" w:hint="cs"/>
          <w:sz w:val="16"/>
          <w:szCs w:val="16"/>
          <w:rtl/>
        </w:rPr>
        <w:t>,</w:t>
      </w:r>
      <w:r w:rsidRPr="006252FF">
        <w:rPr>
          <w:rFonts w:cs="Arial"/>
          <w:sz w:val="16"/>
          <w:szCs w:val="16"/>
          <w:rtl/>
        </w:rPr>
        <w:t xml:space="preserve"> וע</w:t>
      </w:r>
      <w:r>
        <w:rPr>
          <w:rFonts w:cs="Arial" w:hint="cs"/>
          <w:sz w:val="16"/>
          <w:szCs w:val="16"/>
          <w:rtl/>
        </w:rPr>
        <w:t xml:space="preserve">ל </w:t>
      </w:r>
      <w:r w:rsidRPr="006252FF">
        <w:rPr>
          <w:rFonts w:cs="Arial"/>
          <w:sz w:val="16"/>
          <w:szCs w:val="16"/>
          <w:rtl/>
        </w:rPr>
        <w:t>כ</w:t>
      </w:r>
      <w:r>
        <w:rPr>
          <w:rFonts w:cs="Arial" w:hint="cs"/>
          <w:sz w:val="16"/>
          <w:szCs w:val="16"/>
          <w:rtl/>
        </w:rPr>
        <w:t>רחך</w:t>
      </w:r>
      <w:r w:rsidRPr="006252FF">
        <w:rPr>
          <w:rFonts w:cs="Arial"/>
          <w:sz w:val="16"/>
          <w:szCs w:val="16"/>
          <w:rtl/>
        </w:rPr>
        <w:t xml:space="preserve"> הטעם הוא משום דאיכא ריעות</w:t>
      </w:r>
      <w:r w:rsidRPr="006252FF">
        <w:rPr>
          <w:rFonts w:cs="Arial" w:hint="cs"/>
          <w:sz w:val="16"/>
          <w:szCs w:val="16"/>
          <w:rtl/>
        </w:rPr>
        <w:t>א</w:t>
      </w:r>
      <w:r w:rsidRPr="006252FF">
        <w:rPr>
          <w:rFonts w:cs="Arial"/>
          <w:sz w:val="16"/>
          <w:szCs w:val="16"/>
          <w:rtl/>
        </w:rPr>
        <w:t xml:space="preserve"> דאין הכתוב</w:t>
      </w:r>
      <w:r w:rsidRPr="006252FF">
        <w:rPr>
          <w:rFonts w:cs="Arial" w:hint="cs"/>
          <w:sz w:val="16"/>
          <w:szCs w:val="16"/>
          <w:rtl/>
        </w:rPr>
        <w:t>ה</w:t>
      </w:r>
      <w:r w:rsidRPr="006252FF">
        <w:rPr>
          <w:rFonts w:cs="Arial"/>
          <w:sz w:val="16"/>
          <w:szCs w:val="16"/>
          <w:rtl/>
        </w:rPr>
        <w:t xml:space="preserve"> בידה</w:t>
      </w:r>
      <w:r>
        <w:rPr>
          <w:rFonts w:cs="Arial" w:hint="cs"/>
          <w:sz w:val="16"/>
          <w:szCs w:val="16"/>
          <w:rtl/>
        </w:rPr>
        <w:t>,</w:t>
      </w:r>
      <w:r w:rsidRPr="006252FF">
        <w:rPr>
          <w:rFonts w:cs="Arial"/>
          <w:sz w:val="16"/>
          <w:szCs w:val="16"/>
          <w:rtl/>
        </w:rPr>
        <w:t xml:space="preserve"> א"כ קשה למה ס"ל כשהכתוב</w:t>
      </w:r>
      <w:r w:rsidRPr="006252FF">
        <w:rPr>
          <w:rFonts w:cs="Arial" w:hint="cs"/>
          <w:sz w:val="16"/>
          <w:szCs w:val="16"/>
          <w:rtl/>
        </w:rPr>
        <w:t>ה</w:t>
      </w:r>
      <w:r w:rsidRPr="006252FF">
        <w:rPr>
          <w:rFonts w:cs="Arial"/>
          <w:sz w:val="16"/>
          <w:szCs w:val="16"/>
          <w:rtl/>
        </w:rPr>
        <w:t xml:space="preserve"> בידה ואין הגט בידה אלא יש לה עידי גט גובה הכתוב</w:t>
      </w:r>
      <w:r w:rsidRPr="006252FF">
        <w:rPr>
          <w:rFonts w:cs="Arial" w:hint="cs"/>
          <w:sz w:val="16"/>
          <w:szCs w:val="16"/>
          <w:rtl/>
        </w:rPr>
        <w:t>ה,</w:t>
      </w:r>
      <w:r w:rsidRPr="006252FF">
        <w:rPr>
          <w:rFonts w:cs="Arial"/>
          <w:sz w:val="16"/>
          <w:szCs w:val="16"/>
          <w:rtl/>
        </w:rPr>
        <w:t xml:space="preserve"> אמאי</w:t>
      </w:r>
      <w:r w:rsidRPr="006252FF">
        <w:rPr>
          <w:rFonts w:cs="Arial" w:hint="cs"/>
          <w:sz w:val="16"/>
          <w:szCs w:val="16"/>
          <w:rtl/>
        </w:rPr>
        <w:t>,</w:t>
      </w:r>
      <w:r w:rsidRPr="006252FF">
        <w:rPr>
          <w:rFonts w:cs="Arial"/>
          <w:sz w:val="16"/>
          <w:szCs w:val="16"/>
          <w:rtl/>
        </w:rPr>
        <w:t xml:space="preserve"> הא יש ריעות</w:t>
      </w:r>
      <w:r w:rsidRPr="006252FF">
        <w:rPr>
          <w:rFonts w:cs="Arial" w:hint="cs"/>
          <w:sz w:val="16"/>
          <w:szCs w:val="16"/>
          <w:rtl/>
        </w:rPr>
        <w:t>א</w:t>
      </w:r>
      <w:r w:rsidRPr="006252FF">
        <w:rPr>
          <w:rFonts w:cs="Arial"/>
          <w:sz w:val="16"/>
          <w:szCs w:val="16"/>
          <w:rtl/>
        </w:rPr>
        <w:t xml:space="preserve"> דאין הגט בידה</w:t>
      </w:r>
      <w:r>
        <w:rPr>
          <w:rFonts w:cs="Arial" w:hint="cs"/>
          <w:sz w:val="16"/>
          <w:szCs w:val="16"/>
          <w:rtl/>
        </w:rPr>
        <w:t xml:space="preserve"> </w:t>
      </w:r>
      <w:r w:rsidR="00F97626">
        <w:rPr>
          <w:rFonts w:cs="Arial"/>
          <w:sz w:val="16"/>
          <w:szCs w:val="16"/>
          <w:rtl/>
        </w:rPr>
        <w:t>-</w:t>
      </w:r>
      <w:r w:rsidRPr="006252FF">
        <w:rPr>
          <w:rFonts w:cs="Arial"/>
          <w:sz w:val="16"/>
          <w:szCs w:val="16"/>
          <w:rtl/>
        </w:rPr>
        <w:t xml:space="preserve"> די</w:t>
      </w:r>
      <w:r>
        <w:rPr>
          <w:rFonts w:cs="Arial" w:hint="cs"/>
          <w:sz w:val="16"/>
          <w:szCs w:val="16"/>
          <w:rtl/>
        </w:rPr>
        <w:t xml:space="preserve">ש </w:t>
      </w:r>
      <w:r w:rsidRPr="006252FF">
        <w:rPr>
          <w:rFonts w:cs="Arial"/>
          <w:sz w:val="16"/>
          <w:szCs w:val="16"/>
          <w:rtl/>
        </w:rPr>
        <w:t>ל</w:t>
      </w:r>
      <w:r>
        <w:rPr>
          <w:rFonts w:cs="Arial" w:hint="cs"/>
          <w:sz w:val="16"/>
          <w:szCs w:val="16"/>
          <w:rtl/>
        </w:rPr>
        <w:t>ומר</w:t>
      </w:r>
      <w:r w:rsidRPr="006252FF">
        <w:rPr>
          <w:rFonts w:cs="Arial"/>
          <w:sz w:val="16"/>
          <w:szCs w:val="16"/>
          <w:rtl/>
        </w:rPr>
        <w:t xml:space="preserve"> כיון דהכתוב</w:t>
      </w:r>
      <w:r w:rsidRPr="006252FF">
        <w:rPr>
          <w:rFonts w:cs="Arial" w:hint="cs"/>
          <w:sz w:val="16"/>
          <w:szCs w:val="16"/>
          <w:rtl/>
        </w:rPr>
        <w:t>ה</w:t>
      </w:r>
      <w:r w:rsidRPr="006252FF">
        <w:rPr>
          <w:rFonts w:cs="Arial"/>
          <w:sz w:val="16"/>
          <w:szCs w:val="16"/>
          <w:rtl/>
        </w:rPr>
        <w:t xml:space="preserve"> בידה הוי כאלו ליכ</w:t>
      </w:r>
      <w:r w:rsidRPr="006252FF">
        <w:rPr>
          <w:rFonts w:cs="Arial" w:hint="cs"/>
          <w:sz w:val="16"/>
          <w:szCs w:val="16"/>
          <w:rtl/>
        </w:rPr>
        <w:t>א</w:t>
      </w:r>
      <w:r w:rsidRPr="006252FF">
        <w:rPr>
          <w:rFonts w:cs="Arial"/>
          <w:sz w:val="16"/>
          <w:szCs w:val="16"/>
          <w:rtl/>
        </w:rPr>
        <w:t xml:space="preserve"> שום ריעות</w:t>
      </w:r>
      <w:r w:rsidRPr="006252FF">
        <w:rPr>
          <w:rFonts w:cs="Arial" w:hint="cs"/>
          <w:sz w:val="16"/>
          <w:szCs w:val="16"/>
          <w:rtl/>
        </w:rPr>
        <w:t>א</w:t>
      </w:r>
      <w:r>
        <w:rPr>
          <w:rFonts w:cs="Arial" w:hint="cs"/>
          <w:sz w:val="16"/>
          <w:szCs w:val="16"/>
          <w:rtl/>
        </w:rPr>
        <w:t>)</w:t>
      </w:r>
      <w:r>
        <w:rPr>
          <w:rFonts w:cs="Arial" w:hint="cs"/>
          <w:rtl/>
        </w:rPr>
        <w:t>, ב"ש (סקמ"א).</w:t>
      </w:r>
    </w:p>
  </w:footnote>
  <w:footnote w:id="2011">
    <w:p w14:paraId="78032D7D" w14:textId="77777777" w:rsidR="00392DBB" w:rsidRDefault="00392DBB" w:rsidP="00392DBB">
      <w:pPr>
        <w:pStyle w:val="a5"/>
        <w:rPr>
          <w:rtl/>
        </w:rPr>
      </w:pPr>
      <w:r>
        <w:rPr>
          <w:rStyle w:val="a7"/>
        </w:rPr>
        <w:footnoteRef/>
      </w:r>
      <w:r>
        <w:rPr>
          <w:rtl/>
        </w:rPr>
        <w:t xml:space="preserve"> </w:t>
      </w:r>
      <w:r w:rsidRPr="00F02E86">
        <w:rPr>
          <w:rFonts w:cs="Arial"/>
          <w:rtl/>
        </w:rPr>
        <w:t>ועיין בזה בתשובת הרשב"א (ח"א) סימן אלף קע"א</w:t>
      </w:r>
      <w:r>
        <w:rPr>
          <w:rFonts w:hint="cs"/>
          <w:rtl/>
        </w:rPr>
        <w:t>, דרכ"מ (אות יח).</w:t>
      </w:r>
    </w:p>
  </w:footnote>
  <w:footnote w:id="2012">
    <w:p w14:paraId="2CF50807" w14:textId="77777777" w:rsidR="00392DBB" w:rsidRDefault="00392DBB" w:rsidP="00392DBB">
      <w:pPr>
        <w:pStyle w:val="a5"/>
      </w:pPr>
      <w:r>
        <w:rPr>
          <w:rStyle w:val="a7"/>
        </w:rPr>
        <w:footnoteRef/>
      </w:r>
      <w:r>
        <w:rPr>
          <w:rtl/>
        </w:rPr>
        <w:t xml:space="preserve"> </w:t>
      </w:r>
      <w:r w:rsidRPr="005C3ED7">
        <w:rPr>
          <w:rFonts w:cs="Arial"/>
          <w:rtl/>
        </w:rPr>
        <w:t xml:space="preserve">ולוקח ממנה שובר כי היכא דלא </w:t>
      </w:r>
      <w:r>
        <w:rPr>
          <w:rFonts w:cs="Arial" w:hint="cs"/>
          <w:rtl/>
        </w:rPr>
        <w:t>לי</w:t>
      </w:r>
      <w:r w:rsidRPr="005C3ED7">
        <w:rPr>
          <w:rFonts w:cs="Arial"/>
          <w:rtl/>
        </w:rPr>
        <w:t>גב</w:t>
      </w:r>
      <w:r>
        <w:rPr>
          <w:rFonts w:cs="Arial" w:hint="cs"/>
          <w:rtl/>
        </w:rPr>
        <w:t>י</w:t>
      </w:r>
      <w:r w:rsidRPr="005C3ED7">
        <w:rPr>
          <w:rFonts w:cs="Arial"/>
          <w:rtl/>
        </w:rPr>
        <w:t xml:space="preserve"> בעידי </w:t>
      </w:r>
      <w:r>
        <w:rPr>
          <w:rFonts w:cs="Arial" w:hint="cs"/>
          <w:rtl/>
        </w:rPr>
        <w:t>גט</w:t>
      </w:r>
      <w:r>
        <w:rPr>
          <w:rFonts w:cs="Arial" w:hint="cs"/>
          <w:sz w:val="16"/>
          <w:szCs w:val="16"/>
          <w:rtl/>
        </w:rPr>
        <w:t xml:space="preserve"> {יש שהגיהו כאן בעדי מיתה, אבל אין צריך לזה, שהרי הב"ש אזיל לשיטתיה [סקמ"א] שלדעת התוס' גובה כתובה בעדי גט}</w:t>
      </w:r>
      <w:r>
        <w:rPr>
          <w:rFonts w:cs="Arial" w:hint="cs"/>
          <w:rtl/>
        </w:rPr>
        <w:t>, ב"ש (סקמ"ב).</w:t>
      </w:r>
    </w:p>
  </w:footnote>
  <w:footnote w:id="2013">
    <w:p w14:paraId="0FE3234B" w14:textId="5CCD7EF2" w:rsidR="00B94223" w:rsidRDefault="00B94223">
      <w:pPr>
        <w:pStyle w:val="a5"/>
      </w:pPr>
      <w:r>
        <w:rPr>
          <w:rStyle w:val="a7"/>
        </w:rPr>
        <w:footnoteRef/>
      </w:r>
      <w:r>
        <w:rPr>
          <w:rtl/>
        </w:rPr>
        <w:t xml:space="preserve"> </w:t>
      </w:r>
      <w:r>
        <w:rPr>
          <w:rFonts w:hint="cs"/>
          <w:rtl/>
        </w:rPr>
        <w:t>סימן - טו פיטורין. טו פרנקים.</w:t>
      </w:r>
    </w:p>
  </w:footnote>
  <w:footnote w:id="2014">
    <w:p w14:paraId="4F41B282" w14:textId="77777777" w:rsidR="00392DBB" w:rsidRDefault="00392DBB" w:rsidP="00392DBB">
      <w:pPr>
        <w:pStyle w:val="a5"/>
      </w:pPr>
      <w:r>
        <w:rPr>
          <w:rStyle w:val="a7"/>
        </w:rPr>
        <w:footnoteRef/>
      </w:r>
      <w:r>
        <w:rPr>
          <w:rtl/>
        </w:rPr>
        <w:t xml:space="preserve"> </w:t>
      </w:r>
      <w:r w:rsidRPr="00EC0B80">
        <w:rPr>
          <w:rFonts w:cs="Arial"/>
          <w:rtl/>
        </w:rPr>
        <w:t>זמן ראשונה קודם לזמן גט ראשון</w:t>
      </w:r>
      <w:r>
        <w:rPr>
          <w:rFonts w:cs="Arial" w:hint="cs"/>
          <w:rtl/>
        </w:rPr>
        <w:t>,</w:t>
      </w:r>
      <w:r w:rsidRPr="00EC0B80">
        <w:rPr>
          <w:rFonts w:cs="Arial"/>
          <w:rtl/>
        </w:rPr>
        <w:t xml:space="preserve"> וזמן כתובה שנייה קודם לגט שני</w:t>
      </w:r>
      <w:r>
        <w:rPr>
          <w:rFonts w:cs="Arial" w:hint="cs"/>
          <w:rtl/>
        </w:rPr>
        <w:t>, רש"י.</w:t>
      </w:r>
    </w:p>
  </w:footnote>
  <w:footnote w:id="2015">
    <w:p w14:paraId="266A0762" w14:textId="77777777" w:rsidR="00392DBB" w:rsidRDefault="00392DBB" w:rsidP="00392DBB">
      <w:pPr>
        <w:pStyle w:val="a5"/>
      </w:pPr>
      <w:r>
        <w:rPr>
          <w:rStyle w:val="a7"/>
        </w:rPr>
        <w:footnoteRef/>
      </w:r>
      <w:r>
        <w:rPr>
          <w:rtl/>
        </w:rPr>
        <w:t xml:space="preserve"> </w:t>
      </w:r>
      <w:r w:rsidRPr="00EC0B80">
        <w:rPr>
          <w:rFonts w:cs="Arial"/>
          <w:rtl/>
        </w:rPr>
        <w:t>שהרי גירשה והחזירה וכתב לה כתובה שנייה אבל קדמו ב' הכתובות לגט ראשון לא שהרי כשהחזירה לא כתב לה כתובה ותנן בסיפא ב' כתובות אינה גובה אלא אחת שעל מנת כתובה הראשונה החזירה</w:t>
      </w:r>
      <w:r>
        <w:rPr>
          <w:rFonts w:cs="Arial" w:hint="cs"/>
          <w:rtl/>
        </w:rPr>
        <w:t>, רש"י.</w:t>
      </w:r>
    </w:p>
  </w:footnote>
  <w:footnote w:id="2016">
    <w:p w14:paraId="4CAA127E" w14:textId="77777777" w:rsidR="00392DBB" w:rsidRDefault="00392DBB" w:rsidP="00392DBB">
      <w:pPr>
        <w:pStyle w:val="a5"/>
        <w:rPr>
          <w:rtl/>
        </w:rPr>
      </w:pPr>
      <w:r>
        <w:rPr>
          <w:rStyle w:val="a7"/>
        </w:rPr>
        <w:footnoteRef/>
      </w:r>
      <w:r>
        <w:rPr>
          <w:rtl/>
        </w:rPr>
        <w:t xml:space="preserve"> </w:t>
      </w:r>
      <w:r w:rsidRPr="00775DD6">
        <w:rPr>
          <w:rFonts w:cs="Arial"/>
          <w:rtl/>
        </w:rPr>
        <w:t>בתמיה ואשתי כתובות וגט קאי דקתני אין לה אלא כתובה אחת ולא קתני אין לה אלא כתובה אחרונה אלמא אי ניחא לה למיטרף לקוחות מזמן ראשון טרפה</w:t>
      </w:r>
      <w:r>
        <w:rPr>
          <w:rFonts w:hint="cs"/>
          <w:rtl/>
        </w:rPr>
        <w:t>, רש"י.</w:t>
      </w:r>
    </w:p>
  </w:footnote>
  <w:footnote w:id="2017">
    <w:p w14:paraId="33944816" w14:textId="77777777" w:rsidR="00392DBB" w:rsidRDefault="00392DBB" w:rsidP="00392DBB">
      <w:pPr>
        <w:pStyle w:val="a5"/>
      </w:pPr>
      <w:r>
        <w:rPr>
          <w:rStyle w:val="a7"/>
        </w:rPr>
        <w:footnoteRef/>
      </w:r>
      <w:r>
        <w:rPr>
          <w:rtl/>
        </w:rPr>
        <w:t xml:space="preserve"> </w:t>
      </w:r>
      <w:r>
        <w:rPr>
          <w:rFonts w:cs="Arial"/>
          <w:rtl/>
        </w:rPr>
        <w:t>זמנו של זה קודם לזה ושניהם על הלואה אחת או על מכר אחד</w:t>
      </w:r>
      <w:r>
        <w:rPr>
          <w:rFonts w:cs="Arial" w:hint="cs"/>
          <w:rtl/>
        </w:rPr>
        <w:t>, רש"י.</w:t>
      </w:r>
    </w:p>
  </w:footnote>
  <w:footnote w:id="2018">
    <w:p w14:paraId="5A9E4570" w14:textId="77777777" w:rsidR="00392DBB" w:rsidRDefault="00392DBB" w:rsidP="00392DBB">
      <w:pPr>
        <w:pStyle w:val="a5"/>
      </w:pPr>
      <w:r>
        <w:rPr>
          <w:rStyle w:val="a7"/>
        </w:rPr>
        <w:footnoteRef/>
      </w:r>
      <w:r>
        <w:rPr>
          <w:rtl/>
        </w:rPr>
        <w:t xml:space="preserve"> </w:t>
      </w:r>
      <w:r w:rsidRPr="00775DD6">
        <w:rPr>
          <w:rFonts w:cs="Arial"/>
          <w:rtl/>
        </w:rPr>
        <w:t>ואינו טורף אלא מזמן שני דכיון דכתב לשטרא בתרא אחליה לשיעבוד קמא</w:t>
      </w:r>
      <w:r>
        <w:rPr>
          <w:rFonts w:cs="Arial" w:hint="cs"/>
          <w:rtl/>
        </w:rPr>
        <w:t>, רש"י.</w:t>
      </w:r>
    </w:p>
  </w:footnote>
  <w:footnote w:id="2019">
    <w:p w14:paraId="04DAC48A" w14:textId="77777777" w:rsidR="00392DBB" w:rsidRDefault="00392DBB" w:rsidP="00392DBB">
      <w:pPr>
        <w:pStyle w:val="a5"/>
        <w:rPr>
          <w:rtl/>
        </w:rPr>
      </w:pPr>
      <w:r>
        <w:rPr>
          <w:rStyle w:val="a7"/>
        </w:rPr>
        <w:footnoteRef/>
      </w:r>
      <w:r>
        <w:rPr>
          <w:rtl/>
        </w:rPr>
        <w:t xml:space="preserve"> </w:t>
      </w:r>
      <w:r w:rsidRPr="00775DD6">
        <w:rPr>
          <w:rFonts w:cs="Arial"/>
          <w:rtl/>
        </w:rPr>
        <w:t>ולא אחליה לשיעבוד לבטל זמן שטר ראשון</w:t>
      </w:r>
      <w:r>
        <w:rPr>
          <w:rFonts w:cs="Arial" w:hint="cs"/>
          <w:rtl/>
        </w:rPr>
        <w:t>.</w:t>
      </w:r>
      <w:r w:rsidRPr="00775DD6">
        <w:rPr>
          <w:rFonts w:cs="Arial"/>
          <w:rtl/>
        </w:rPr>
        <w:t xml:space="preserve"> ותרוייהו מיהא לא גביא</w:t>
      </w:r>
      <w:r>
        <w:rPr>
          <w:rFonts w:cs="Arial" w:hint="cs"/>
          <w:rtl/>
        </w:rPr>
        <w:t>,</w:t>
      </w:r>
      <w:r w:rsidRPr="00775DD6">
        <w:rPr>
          <w:rFonts w:cs="Arial"/>
          <w:rtl/>
        </w:rPr>
        <w:t xml:space="preserve"> מדלא כתב לה צביתי ואוסיפית לה הך אקמייתא</w:t>
      </w:r>
      <w:r>
        <w:rPr>
          <w:rFonts w:cs="Arial" w:hint="cs"/>
          <w:rtl/>
        </w:rPr>
        <w:t>.</w:t>
      </w:r>
      <w:r w:rsidRPr="00775DD6">
        <w:rPr>
          <w:rFonts w:cs="Arial"/>
          <w:rtl/>
        </w:rPr>
        <w:t xml:space="preserve"> אלא שטר כתובה יתירא כתב לה</w:t>
      </w:r>
      <w:r>
        <w:rPr>
          <w:rFonts w:cs="Arial" w:hint="cs"/>
          <w:rtl/>
        </w:rPr>
        <w:t>,</w:t>
      </w:r>
      <w:r w:rsidRPr="00775DD6">
        <w:rPr>
          <w:rFonts w:cs="Arial"/>
          <w:rtl/>
        </w:rPr>
        <w:t xml:space="preserve"> ולא הזכיר בה את הראשונה</w:t>
      </w:r>
      <w:r>
        <w:rPr>
          <w:rFonts w:cs="Arial" w:hint="cs"/>
          <w:rtl/>
        </w:rPr>
        <w:t>.</w:t>
      </w:r>
      <w:r w:rsidRPr="00775DD6">
        <w:rPr>
          <w:rFonts w:cs="Arial"/>
          <w:rtl/>
        </w:rPr>
        <w:t xml:space="preserve"> הכי קאמר</w:t>
      </w:r>
      <w:r>
        <w:rPr>
          <w:rFonts w:cs="Arial" w:hint="cs"/>
          <w:rtl/>
        </w:rPr>
        <w:t>,</w:t>
      </w:r>
      <w:r w:rsidRPr="00775DD6">
        <w:rPr>
          <w:rFonts w:cs="Arial"/>
          <w:rtl/>
        </w:rPr>
        <w:t xml:space="preserve"> אם תתרצי למחול שיעבוד של ראשונה </w:t>
      </w:r>
      <w:r>
        <w:rPr>
          <w:rFonts w:cs="Arial" w:hint="cs"/>
          <w:rtl/>
        </w:rPr>
        <w:t xml:space="preserve">- </w:t>
      </w:r>
      <w:r w:rsidRPr="00775DD6">
        <w:rPr>
          <w:rFonts w:cs="Arial"/>
          <w:rtl/>
        </w:rPr>
        <w:t>גבי כתובה זו המרובה</w:t>
      </w:r>
      <w:r>
        <w:rPr>
          <w:rFonts w:cs="Arial" w:hint="cs"/>
          <w:rtl/>
        </w:rPr>
        <w:t>.</w:t>
      </w:r>
      <w:r w:rsidRPr="00775DD6">
        <w:rPr>
          <w:rFonts w:cs="Arial"/>
          <w:rtl/>
        </w:rPr>
        <w:t xml:space="preserve"> ואם לאו </w:t>
      </w:r>
      <w:r>
        <w:rPr>
          <w:rFonts w:cs="Arial" w:hint="cs"/>
          <w:rtl/>
        </w:rPr>
        <w:t xml:space="preserve">- </w:t>
      </w:r>
      <w:r w:rsidRPr="00775DD6">
        <w:rPr>
          <w:rFonts w:cs="Arial"/>
          <w:rtl/>
        </w:rPr>
        <w:t>גבי הראשונה המועטת</w:t>
      </w:r>
      <w:r>
        <w:rPr>
          <w:rFonts w:cs="Arial" w:hint="cs"/>
          <w:rtl/>
        </w:rPr>
        <w:t>.</w:t>
      </w:r>
      <w:r w:rsidRPr="00775DD6">
        <w:rPr>
          <w:rFonts w:cs="Arial"/>
          <w:rtl/>
        </w:rPr>
        <w:t xml:space="preserve"> הלכך הי מינייהו דבעיא גביא</w:t>
      </w:r>
      <w:r>
        <w:rPr>
          <w:rFonts w:cs="Arial" w:hint="cs"/>
          <w:rtl/>
        </w:rPr>
        <w:t>.</w:t>
      </w:r>
      <w:r w:rsidRPr="00775DD6">
        <w:rPr>
          <w:rFonts w:cs="Arial"/>
          <w:rtl/>
        </w:rPr>
        <w:t xml:space="preserve"> והכי פרשינן בפירקין קמאי</w:t>
      </w:r>
      <w:r>
        <w:rPr>
          <w:rFonts w:cs="Arial" w:hint="cs"/>
          <w:rtl/>
        </w:rPr>
        <w:t>.</w:t>
      </w:r>
      <w:r w:rsidRPr="00775DD6">
        <w:rPr>
          <w:rFonts w:cs="Arial"/>
          <w:rtl/>
        </w:rPr>
        <w:t xml:space="preserve"> וכי אמר רב נחמן ביטל שני את הראשון בדלא אוסיף ביה מידי</w:t>
      </w:r>
      <w:r>
        <w:rPr>
          <w:rFonts w:cs="Arial" w:hint="cs"/>
          <w:rtl/>
        </w:rPr>
        <w:t>,</w:t>
      </w:r>
      <w:r w:rsidRPr="00775DD6">
        <w:rPr>
          <w:rFonts w:cs="Arial"/>
          <w:rtl/>
        </w:rPr>
        <w:t xml:space="preserve"> דאי לאו לבטולי קמא אתא למאי כתביה</w:t>
      </w:r>
      <w:r>
        <w:rPr>
          <w:rFonts w:hint="cs"/>
          <w:rtl/>
        </w:rPr>
        <w:t>, רש"י.</w:t>
      </w:r>
    </w:p>
  </w:footnote>
  <w:footnote w:id="2020">
    <w:p w14:paraId="57B2965B" w14:textId="77777777" w:rsidR="00392DBB" w:rsidRDefault="00392DBB" w:rsidP="00392DBB">
      <w:pPr>
        <w:pStyle w:val="a5"/>
        <w:rPr>
          <w:rtl/>
        </w:rPr>
      </w:pPr>
      <w:r>
        <w:rPr>
          <w:rStyle w:val="a7"/>
        </w:rPr>
        <w:footnoteRef/>
      </w:r>
      <w:r>
        <w:rPr>
          <w:rtl/>
        </w:rPr>
        <w:t xml:space="preserve"> </w:t>
      </w:r>
      <w:r w:rsidRPr="0069419D">
        <w:rPr>
          <w:rFonts w:cs="Arial"/>
          <w:rtl/>
        </w:rPr>
        <w:t>כתובתה של אב - כתובה שהיא גובה משני ארוסין הללו וקסבר יש כתובה לארוסה ובימי נערות וקטנות קאמר</w:t>
      </w:r>
      <w:r>
        <w:rPr>
          <w:rFonts w:hint="cs"/>
          <w:rtl/>
        </w:rPr>
        <w:t>, רש"י.</w:t>
      </w:r>
    </w:p>
  </w:footnote>
  <w:footnote w:id="2021">
    <w:p w14:paraId="793F120C" w14:textId="77777777" w:rsidR="00392DBB" w:rsidRDefault="00392DBB" w:rsidP="00392DBB">
      <w:pPr>
        <w:pStyle w:val="a5"/>
        <w:rPr>
          <w:rtl/>
        </w:rPr>
      </w:pPr>
      <w:r>
        <w:rPr>
          <w:rStyle w:val="a7"/>
        </w:rPr>
        <w:footnoteRef/>
      </w:r>
      <w:r>
        <w:rPr>
          <w:rtl/>
        </w:rPr>
        <w:t xml:space="preserve"> </w:t>
      </w:r>
      <w:r w:rsidRPr="0069419D">
        <w:rPr>
          <w:rFonts w:cs="Arial"/>
          <w:rtl/>
        </w:rPr>
        <w:t>דמשהשיאה פקעה רשותו ובתר גוביינא אזלינן וגוביינא בתר הכי הוא ולא אזלינן בתר כתיבה לומר הואיל והראשונה נכתבה בעודה ברשות האב תיהוי דאב</w:t>
      </w:r>
      <w:r>
        <w:rPr>
          <w:rFonts w:hint="cs"/>
          <w:rtl/>
        </w:rPr>
        <w:t>, רש"י.</w:t>
      </w:r>
    </w:p>
  </w:footnote>
  <w:footnote w:id="2022">
    <w:p w14:paraId="03A45345" w14:textId="77777777" w:rsidR="00392DBB" w:rsidRDefault="00392DBB" w:rsidP="00392DBB">
      <w:pPr>
        <w:pStyle w:val="a5"/>
      </w:pPr>
      <w:r>
        <w:rPr>
          <w:rStyle w:val="a7"/>
        </w:rPr>
        <w:footnoteRef/>
      </w:r>
      <w:r>
        <w:rPr>
          <w:rtl/>
        </w:rPr>
        <w:t xml:space="preserve"> </w:t>
      </w:r>
      <w:r w:rsidRPr="00E07240">
        <w:rPr>
          <w:rFonts w:cs="Arial"/>
          <w:rtl/>
        </w:rPr>
        <w:t>כתובה הראשונה שהיה לפני הנשואין</w:t>
      </w:r>
      <w:r>
        <w:rPr>
          <w:rFonts w:cs="Arial" w:hint="cs"/>
          <w:rtl/>
        </w:rPr>
        <w:t>,</w:t>
      </w:r>
      <w:r w:rsidRPr="00E07240">
        <w:rPr>
          <w:rFonts w:cs="Arial"/>
          <w:rtl/>
        </w:rPr>
        <w:t xml:space="preserve"> והלכך בגרה קודם נשואין לא נכתב ברשותו</w:t>
      </w:r>
      <w:r>
        <w:rPr>
          <w:rFonts w:cs="Arial" w:hint="cs"/>
          <w:rtl/>
        </w:rPr>
        <w:t>.</w:t>
      </w:r>
      <w:r w:rsidRPr="00E07240">
        <w:rPr>
          <w:rFonts w:cs="Arial"/>
          <w:rtl/>
        </w:rPr>
        <w:t xml:space="preserve"> הא דגרסינן נכתבים לשון רבים אמנה ומאתים דכתובה קאי</w:t>
      </w:r>
      <w:r>
        <w:rPr>
          <w:rFonts w:hint="cs"/>
          <w:rtl/>
        </w:rPr>
        <w:t>, רש"י.</w:t>
      </w:r>
    </w:p>
  </w:footnote>
  <w:footnote w:id="2023">
    <w:p w14:paraId="521B29C0" w14:textId="77777777" w:rsidR="00392DBB" w:rsidRDefault="00392DBB" w:rsidP="00392DBB">
      <w:pPr>
        <w:pStyle w:val="a5"/>
      </w:pPr>
      <w:r>
        <w:rPr>
          <w:rStyle w:val="a7"/>
        </w:rPr>
        <w:footnoteRef/>
      </w:r>
      <w:r>
        <w:rPr>
          <w:rtl/>
        </w:rPr>
        <w:t xml:space="preserve"> </w:t>
      </w:r>
      <w:r w:rsidRPr="00B37682">
        <w:rPr>
          <w:rFonts w:cs="Arial"/>
          <w:rtl/>
        </w:rPr>
        <w:t>כלומר לענין זכייה דאב דהא חזינן דלאו בתר אירוסין אזלינן אפי' לר"י כדקתני ומודה ר"י במארס את בתו ובגרה כו' אלמא בתר כתיבה אזיל לענין מטרף לקוחות מאימת טרפא ממשעבדי משעת אירוסין דהא מההיא שעתא איחייב בתקנתא דרבנן או דלמא עד שעת כתיבה דהויא מלוה בשטר לא טרפא</w:t>
      </w:r>
      <w:r>
        <w:rPr>
          <w:rFonts w:cs="Arial" w:hint="cs"/>
          <w:rtl/>
        </w:rPr>
        <w:t>, רש"י.</w:t>
      </w:r>
    </w:p>
  </w:footnote>
  <w:footnote w:id="2024">
    <w:p w14:paraId="771D809D" w14:textId="77777777" w:rsidR="00392DBB" w:rsidRDefault="00392DBB" w:rsidP="00392DBB">
      <w:pPr>
        <w:pStyle w:val="a5"/>
      </w:pPr>
      <w:r>
        <w:rPr>
          <w:rStyle w:val="a7"/>
        </w:rPr>
        <w:footnoteRef/>
      </w:r>
      <w:r>
        <w:rPr>
          <w:rtl/>
        </w:rPr>
        <w:t xml:space="preserve"> </w:t>
      </w:r>
      <w:r w:rsidRPr="00B37682">
        <w:rPr>
          <w:rFonts w:cs="Arial"/>
          <w:rtl/>
        </w:rPr>
        <w:t xml:space="preserve">דמתקנתא דרבנן </w:t>
      </w:r>
      <w:r>
        <w:rPr>
          <w:rFonts w:cs="Arial" w:hint="cs"/>
          <w:rtl/>
        </w:rPr>
        <w:t xml:space="preserve">- </w:t>
      </w:r>
      <w:r w:rsidRPr="00B37682">
        <w:rPr>
          <w:rFonts w:cs="Arial"/>
          <w:rtl/>
        </w:rPr>
        <w:t>מחייב טרפא מזמן אירוסין</w:t>
      </w:r>
      <w:r>
        <w:rPr>
          <w:rFonts w:cs="Arial" w:hint="cs"/>
          <w:rtl/>
        </w:rPr>
        <w:t>.</w:t>
      </w:r>
      <w:r w:rsidRPr="00B37682">
        <w:rPr>
          <w:rFonts w:cs="Arial"/>
          <w:rtl/>
        </w:rPr>
        <w:t xml:space="preserve"> אם מת או גרשה לאחר נשואין טורפת לקוחות שלקחו מנכסיו מזמן אירוסין ואילך דמההיא שעתא אשתעבד</w:t>
      </w:r>
      <w:r>
        <w:rPr>
          <w:rFonts w:cs="Arial" w:hint="cs"/>
          <w:rtl/>
        </w:rPr>
        <w:t>, רש"י.</w:t>
      </w:r>
    </w:p>
  </w:footnote>
  <w:footnote w:id="2025">
    <w:p w14:paraId="41DC0D62" w14:textId="77777777" w:rsidR="00392DBB" w:rsidRDefault="00392DBB" w:rsidP="00392DBB">
      <w:pPr>
        <w:pStyle w:val="a5"/>
      </w:pPr>
      <w:r>
        <w:rPr>
          <w:rStyle w:val="a7"/>
        </w:rPr>
        <w:footnoteRef/>
      </w:r>
      <w:r>
        <w:rPr>
          <w:rtl/>
        </w:rPr>
        <w:t xml:space="preserve"> </w:t>
      </w:r>
      <w:r w:rsidRPr="00B37682">
        <w:rPr>
          <w:rFonts w:cs="Arial"/>
          <w:rtl/>
        </w:rPr>
        <w:t>שמעלמא היא באה לה לא נשתעבד עד זמן כתיבת הכתובה שקנו מידו וכתב</w:t>
      </w:r>
      <w:r>
        <w:rPr>
          <w:rFonts w:cs="Arial" w:hint="cs"/>
          <w:rtl/>
        </w:rPr>
        <w:t>, רש"י.</w:t>
      </w:r>
    </w:p>
  </w:footnote>
  <w:footnote w:id="2026">
    <w:p w14:paraId="31FA364E" w14:textId="77777777" w:rsidR="00392DBB" w:rsidRDefault="00392DBB" w:rsidP="00392DBB">
      <w:pPr>
        <w:pStyle w:val="a5"/>
      </w:pPr>
      <w:r>
        <w:rPr>
          <w:rStyle w:val="a7"/>
        </w:rPr>
        <w:footnoteRef/>
      </w:r>
      <w:r>
        <w:rPr>
          <w:rtl/>
        </w:rPr>
        <w:t xml:space="preserve"> </w:t>
      </w:r>
      <w:r w:rsidRPr="00B37682">
        <w:rPr>
          <w:rFonts w:cs="Arial"/>
          <w:rtl/>
        </w:rPr>
        <w:t>דהיא גופה מחלה לשעבודא קמא ונתרצתה בזמן הכתוב בשטר הכתובה ככל המפורש בה בין עיקר בין תוספת</w:t>
      </w:r>
      <w:r>
        <w:rPr>
          <w:rFonts w:cs="Arial" w:hint="cs"/>
          <w:rtl/>
        </w:rPr>
        <w:t>, רש"י.</w:t>
      </w:r>
    </w:p>
  </w:footnote>
  <w:footnote w:id="2027">
    <w:p w14:paraId="67020FAC" w14:textId="77777777" w:rsidR="00392DBB" w:rsidRDefault="00392DBB" w:rsidP="00392DBB">
      <w:pPr>
        <w:pStyle w:val="a5"/>
        <w:rPr>
          <w:rtl/>
        </w:rPr>
      </w:pPr>
      <w:r>
        <w:rPr>
          <w:rStyle w:val="a7"/>
        </w:rPr>
        <w:footnoteRef/>
      </w:r>
      <w:r>
        <w:rPr>
          <w:rtl/>
        </w:rPr>
        <w:t xml:space="preserve"> </w:t>
      </w:r>
      <w:r w:rsidRPr="00053678">
        <w:rPr>
          <w:rFonts w:cs="Arial"/>
          <w:rtl/>
        </w:rPr>
        <w:t>והיא מוקדמת דדוקא כסדר נקט</w:t>
      </w:r>
      <w:r>
        <w:rPr>
          <w:rFonts w:hint="cs"/>
          <w:rtl/>
        </w:rPr>
        <w:t>, רש"י.</w:t>
      </w:r>
    </w:p>
  </w:footnote>
  <w:footnote w:id="2028">
    <w:p w14:paraId="5520224F" w14:textId="77777777" w:rsidR="00392DBB" w:rsidRDefault="00392DBB" w:rsidP="00392DBB">
      <w:pPr>
        <w:pStyle w:val="a5"/>
      </w:pPr>
      <w:r>
        <w:rPr>
          <w:rStyle w:val="a7"/>
        </w:rPr>
        <w:footnoteRef/>
      </w:r>
      <w:r>
        <w:rPr>
          <w:rtl/>
        </w:rPr>
        <w:t xml:space="preserve"> </w:t>
      </w:r>
      <w:r w:rsidRPr="00053678">
        <w:rPr>
          <w:rFonts w:cs="Arial"/>
          <w:rtl/>
        </w:rPr>
        <w:t>כלומר אין לה אלא אחד מהן ויפה כחה לגבות איזה שתרצה באתה לגבות מאתים דניחא לה בהכי וכגון שמכר נכסיו בין זמן ראשון לזמן שני דאי מפקא למיגבי בשל שלש מאות נמצאו שטרי הלקוחות קודמי</w:t>
      </w:r>
      <w:r>
        <w:rPr>
          <w:rFonts w:cs="Arial" w:hint="cs"/>
          <w:rtl/>
        </w:rPr>
        <w:t>ן, רש"י.</w:t>
      </w:r>
    </w:p>
  </w:footnote>
  <w:footnote w:id="2029">
    <w:p w14:paraId="4CD10EF5" w14:textId="77777777" w:rsidR="00392DBB" w:rsidRDefault="00392DBB" w:rsidP="00392DBB">
      <w:pPr>
        <w:pStyle w:val="a5"/>
      </w:pPr>
      <w:r>
        <w:rPr>
          <w:rStyle w:val="a7"/>
        </w:rPr>
        <w:footnoteRef/>
      </w:r>
      <w:r>
        <w:rPr>
          <w:rtl/>
        </w:rPr>
        <w:t xml:space="preserve"> </w:t>
      </w:r>
      <w:r w:rsidRPr="00053678">
        <w:rPr>
          <w:rFonts w:cs="Arial"/>
          <w:rtl/>
        </w:rPr>
        <w:t>מאתים וטורפת לקוחות מזמן הכתוב</w:t>
      </w:r>
      <w:r>
        <w:rPr>
          <w:rFonts w:cs="Arial" w:hint="cs"/>
          <w:rtl/>
        </w:rPr>
        <w:t>, רש"י.</w:t>
      </w:r>
    </w:p>
  </w:footnote>
  <w:footnote w:id="2030">
    <w:p w14:paraId="0B37BA2E" w14:textId="77777777" w:rsidR="00392DBB" w:rsidRDefault="00392DBB" w:rsidP="00392DBB">
      <w:pPr>
        <w:pStyle w:val="a5"/>
      </w:pPr>
      <w:r>
        <w:rPr>
          <w:rStyle w:val="a7"/>
        </w:rPr>
        <w:footnoteRef/>
      </w:r>
      <w:r>
        <w:rPr>
          <w:rtl/>
        </w:rPr>
        <w:t xml:space="preserve"> </w:t>
      </w:r>
      <w:r w:rsidRPr="00053678">
        <w:rPr>
          <w:rFonts w:cs="Arial"/>
          <w:rtl/>
        </w:rPr>
        <w:t>דסבר רב הונא חוב ראשון מזמן ראשון ותוספת מזמן שני ה"נ תיגבי מאתים מזמן ראשון ומאה מזמן שני</w:t>
      </w:r>
      <w:r>
        <w:rPr>
          <w:rFonts w:cs="Arial" w:hint="cs"/>
          <w:rtl/>
        </w:rPr>
        <w:t>, רש"י.</w:t>
      </w:r>
    </w:p>
  </w:footnote>
  <w:footnote w:id="2031">
    <w:p w14:paraId="73EE1CC6" w14:textId="200B8D18" w:rsidR="00392DBB" w:rsidRDefault="00392DBB" w:rsidP="00392DBB">
      <w:pPr>
        <w:pStyle w:val="a5"/>
      </w:pPr>
      <w:r>
        <w:rPr>
          <w:rStyle w:val="a7"/>
        </w:rPr>
        <w:footnoteRef/>
      </w:r>
      <w:r>
        <w:rPr>
          <w:rtl/>
        </w:rPr>
        <w:t xml:space="preserve"> </w:t>
      </w:r>
      <w:r>
        <w:rPr>
          <w:rFonts w:hint="cs"/>
          <w:rtl/>
        </w:rPr>
        <w:t xml:space="preserve">שאתה מחשיב את הכתובה הראשונה כעיקר כתובה (וטורף בה מאתים מזמן ראשון), וכתובה שניה כתוספת (וטורף בה מזמן שני) </w:t>
      </w:r>
      <w:r w:rsidR="00F97626">
        <w:rPr>
          <w:rtl/>
        </w:rPr>
        <w:t>-</w:t>
      </w:r>
      <w:r>
        <w:rPr>
          <w:rFonts w:hint="cs"/>
          <w:rtl/>
        </w:rPr>
        <w:t xml:space="preserve"> תחשיב כבר את כל השלש מאות של הכתובה השניה כתוספת ותגבה את כולה.</w:t>
      </w:r>
    </w:p>
  </w:footnote>
  <w:footnote w:id="2032">
    <w:p w14:paraId="10D2BC43" w14:textId="77777777" w:rsidR="00392DBB" w:rsidRDefault="00392DBB" w:rsidP="00392DBB">
      <w:pPr>
        <w:pStyle w:val="a5"/>
      </w:pPr>
      <w:r>
        <w:rPr>
          <w:rStyle w:val="a7"/>
        </w:rPr>
        <w:footnoteRef/>
      </w:r>
      <w:r>
        <w:rPr>
          <w:rtl/>
        </w:rPr>
        <w:t xml:space="preserve"> </w:t>
      </w:r>
      <w:r w:rsidRPr="002E7D1A">
        <w:rPr>
          <w:rFonts w:cs="Arial"/>
          <w:rtl/>
        </w:rPr>
        <w:t>בכתובה שניה</w:t>
      </w:r>
      <w:r>
        <w:rPr>
          <w:rFonts w:cs="Arial" w:hint="cs"/>
          <w:rtl/>
        </w:rPr>
        <w:t>, רש"י.</w:t>
      </w:r>
    </w:p>
  </w:footnote>
  <w:footnote w:id="2033">
    <w:p w14:paraId="7F8D1234" w14:textId="77777777" w:rsidR="00392DBB" w:rsidRDefault="00392DBB" w:rsidP="00392DBB">
      <w:pPr>
        <w:pStyle w:val="a5"/>
      </w:pPr>
      <w:r>
        <w:rPr>
          <w:rStyle w:val="a7"/>
        </w:rPr>
        <w:footnoteRef/>
      </w:r>
      <w:r>
        <w:rPr>
          <w:rtl/>
        </w:rPr>
        <w:t xml:space="preserve"> </w:t>
      </w:r>
      <w:r w:rsidRPr="002E7D1A">
        <w:rPr>
          <w:rFonts w:cs="Arial"/>
          <w:rtl/>
        </w:rPr>
        <w:t>ש"מ לא להוסיף על הראשונה בא ולא תגבה השניה אא"כ הראשונה בטלה</w:t>
      </w:r>
      <w:r>
        <w:rPr>
          <w:rFonts w:cs="Arial" w:hint="cs"/>
          <w:rtl/>
        </w:rPr>
        <w:t>, רש"י.</w:t>
      </w:r>
    </w:p>
  </w:footnote>
  <w:footnote w:id="2034">
    <w:p w14:paraId="62005A1D" w14:textId="77777777" w:rsidR="00392DBB" w:rsidRDefault="00392DBB" w:rsidP="00392DBB">
      <w:pPr>
        <w:pStyle w:val="a5"/>
        <w:rPr>
          <w:rtl/>
        </w:rPr>
      </w:pPr>
      <w:r>
        <w:rPr>
          <w:rStyle w:val="a7"/>
        </w:rPr>
        <w:footnoteRef/>
      </w:r>
      <w:r>
        <w:rPr>
          <w:rtl/>
        </w:rPr>
        <w:t xml:space="preserve"> </w:t>
      </w:r>
      <w:r w:rsidRPr="002E7D1A">
        <w:rPr>
          <w:rFonts w:cs="Arial"/>
          <w:rtl/>
        </w:rPr>
        <w:t>מדלא כתב ואוסיפית לה מאה אמאתים קמאי אלא כתב זמן שני לכל השלש מאות ולא בלשון מוסיף על השטר הראשון ש"מ אחילתיה לשעבודא קמא ואם באת לגבות שטר השני תגבה מזמן שני</w:t>
      </w:r>
      <w:r>
        <w:rPr>
          <w:rFonts w:cs="Arial" w:hint="cs"/>
          <w:rtl/>
        </w:rPr>
        <w:t>.</w:t>
      </w:r>
      <w:r w:rsidRPr="002E7D1A">
        <w:rPr>
          <w:rFonts w:cs="Arial"/>
          <w:rtl/>
        </w:rPr>
        <w:t xml:space="preserve"> אבל גבי תוספת המוסיף בכל כתובות על מנה מאתים </w:t>
      </w:r>
      <w:r>
        <w:rPr>
          <w:rFonts w:cs="Arial" w:hint="cs"/>
          <w:sz w:val="16"/>
          <w:szCs w:val="16"/>
          <w:rtl/>
        </w:rPr>
        <w:t>{היינו מקרה אחר, שהוסיף לה כבר בכתובה ראשונה, ולא כשהוסיף לה [כמו בגמ' לעיל] בכתובה שניה בזמן שני}</w:t>
      </w:r>
      <w:r>
        <w:rPr>
          <w:rFonts w:cs="Arial" w:hint="cs"/>
          <w:rtl/>
        </w:rPr>
        <w:t xml:space="preserve"> </w:t>
      </w:r>
      <w:r w:rsidRPr="002E7D1A">
        <w:rPr>
          <w:rFonts w:cs="Arial"/>
          <w:rtl/>
        </w:rPr>
        <w:t>כותבין בו ואוסיפית לה על מאי דתקון רבנן הלכך לא אחילתיה לשעבודא קמא וכדקאי קאי</w:t>
      </w:r>
      <w:r>
        <w:rPr>
          <w:rFonts w:hint="cs"/>
          <w:rtl/>
        </w:rPr>
        <w:t>, רש"י.</w:t>
      </w:r>
    </w:p>
  </w:footnote>
  <w:footnote w:id="2035">
    <w:p w14:paraId="428DE2E0" w14:textId="77777777" w:rsidR="00392DBB" w:rsidRDefault="00392DBB" w:rsidP="00392DBB">
      <w:pPr>
        <w:pStyle w:val="a5"/>
      </w:pPr>
      <w:r>
        <w:rPr>
          <w:rStyle w:val="a7"/>
        </w:rPr>
        <w:footnoteRef/>
      </w:r>
      <w:r>
        <w:rPr>
          <w:rtl/>
        </w:rPr>
        <w:t xml:space="preserve"> </w:t>
      </w:r>
      <w:r w:rsidRPr="00814741">
        <w:rPr>
          <w:rFonts w:cs="Arial"/>
          <w:rtl/>
        </w:rPr>
        <w:t>אדרב הונא קאי דאמר אם באת לגבות מאתים כו'</w:t>
      </w:r>
      <w:r>
        <w:rPr>
          <w:rFonts w:cs="Arial" w:hint="cs"/>
          <w:rtl/>
        </w:rPr>
        <w:t>, רש"י.</w:t>
      </w:r>
    </w:p>
  </w:footnote>
  <w:footnote w:id="2036">
    <w:p w14:paraId="58458B22" w14:textId="77777777" w:rsidR="00392DBB" w:rsidRDefault="00392DBB" w:rsidP="00392DBB">
      <w:pPr>
        <w:pStyle w:val="a5"/>
        <w:rPr>
          <w:rtl/>
        </w:rPr>
      </w:pPr>
      <w:r>
        <w:rPr>
          <w:rStyle w:val="a7"/>
        </w:rPr>
        <w:footnoteRef/>
      </w:r>
      <w:r>
        <w:rPr>
          <w:rtl/>
        </w:rPr>
        <w:t xml:space="preserve"> </w:t>
      </w:r>
      <w:r w:rsidRPr="00F2712D">
        <w:rPr>
          <w:rFonts w:cs="Arial"/>
          <w:rtl/>
        </w:rPr>
        <w:t>כתובה בנשואין הראשונים וגירשה והחזירה ולא כתב לה כתובה וחזר וגירשה</w:t>
      </w:r>
      <w:r>
        <w:rPr>
          <w:rFonts w:hint="cs"/>
          <w:rtl/>
        </w:rPr>
        <w:t>, רש"י.</w:t>
      </w:r>
    </w:p>
  </w:footnote>
  <w:footnote w:id="2037">
    <w:p w14:paraId="76876D6B" w14:textId="324EE2C8" w:rsidR="00392DBB" w:rsidRDefault="00392DBB" w:rsidP="00392DBB">
      <w:pPr>
        <w:pStyle w:val="a5"/>
      </w:pPr>
      <w:r>
        <w:rPr>
          <w:rStyle w:val="a7"/>
        </w:rPr>
        <w:footnoteRef/>
      </w:r>
      <w:r>
        <w:rPr>
          <w:rtl/>
        </w:rPr>
        <w:t xml:space="preserve"> </w:t>
      </w:r>
      <w:r w:rsidRPr="00F2712D">
        <w:rPr>
          <w:rFonts w:cs="Arial"/>
          <w:rtl/>
        </w:rPr>
        <w:t>פ</w:t>
      </w:r>
      <w:r>
        <w:rPr>
          <w:rFonts w:cs="Arial" w:hint="cs"/>
          <w:rtl/>
        </w:rPr>
        <w:t>ירוש</w:t>
      </w:r>
      <w:r w:rsidR="00275B60">
        <w:rPr>
          <w:rFonts w:cs="Arial" w:hint="cs"/>
          <w:rtl/>
        </w:rPr>
        <w:t>,</w:t>
      </w:r>
      <w:r w:rsidRPr="00F2712D">
        <w:rPr>
          <w:rFonts w:cs="Arial"/>
          <w:rtl/>
        </w:rPr>
        <w:t xml:space="preserve"> וזמן הכתובה קדם לגט ראשון</w:t>
      </w:r>
      <w:r>
        <w:rPr>
          <w:rFonts w:cs="Arial" w:hint="cs"/>
          <w:rtl/>
        </w:rPr>
        <w:t>.</w:t>
      </w:r>
      <w:r w:rsidRPr="00F2712D">
        <w:rPr>
          <w:rFonts w:cs="Arial"/>
          <w:rtl/>
        </w:rPr>
        <w:t xml:space="preserve"> אבל זמן הכתובה אחר גט ראשון</w:t>
      </w:r>
      <w:r>
        <w:rPr>
          <w:rFonts w:cs="Arial" w:hint="cs"/>
          <w:rtl/>
        </w:rPr>
        <w:t>,</w:t>
      </w:r>
      <w:r w:rsidRPr="00F2712D">
        <w:rPr>
          <w:rFonts w:cs="Arial"/>
          <w:rtl/>
        </w:rPr>
        <w:t xml:space="preserve"> והוא במקום שאין כותבין כתובה </w:t>
      </w:r>
      <w:r>
        <w:rPr>
          <w:rFonts w:cs="Arial" w:hint="cs"/>
          <w:rtl/>
        </w:rPr>
        <w:t xml:space="preserve">- </w:t>
      </w:r>
      <w:r w:rsidRPr="00F2712D">
        <w:rPr>
          <w:rFonts w:cs="Arial"/>
          <w:rtl/>
        </w:rPr>
        <w:t>גובה בגט כתובה ראשונה ובכתובה גובת השניה</w:t>
      </w:r>
      <w:r>
        <w:rPr>
          <w:rFonts w:cs="Arial" w:hint="cs"/>
          <w:rtl/>
        </w:rPr>
        <w:t>.</w:t>
      </w:r>
      <w:r w:rsidRPr="00F2712D">
        <w:rPr>
          <w:rFonts w:cs="Arial"/>
          <w:rtl/>
        </w:rPr>
        <w:t xml:space="preserve"> וכן הוא בב"ח וכמו שיתבאר בסעיף שאח"ז</w:t>
      </w:r>
      <w:r>
        <w:rPr>
          <w:rFonts w:cs="Arial" w:hint="cs"/>
          <w:rtl/>
        </w:rPr>
        <w:t>, ח"מ (סקמ"ג).</w:t>
      </w:r>
    </w:p>
  </w:footnote>
  <w:footnote w:id="2038">
    <w:p w14:paraId="447D8DB1" w14:textId="77777777" w:rsidR="00392DBB" w:rsidRDefault="00392DBB" w:rsidP="00392DBB">
      <w:pPr>
        <w:pStyle w:val="a5"/>
      </w:pPr>
      <w:r>
        <w:rPr>
          <w:rStyle w:val="a7"/>
        </w:rPr>
        <w:footnoteRef/>
      </w:r>
      <w:r>
        <w:rPr>
          <w:rtl/>
        </w:rPr>
        <w:t xml:space="preserve"> </w:t>
      </w:r>
      <w:r w:rsidRPr="00076C39">
        <w:rPr>
          <w:rFonts w:cs="Arial"/>
          <w:rtl/>
        </w:rPr>
        <w:t>ועדי מיתה ובאה לגבות שתי כתובות אחת בתורת גרושין ואחת בתורת אלמנות</w:t>
      </w:r>
      <w:r>
        <w:rPr>
          <w:rFonts w:cs="Arial" w:hint="cs"/>
          <w:rtl/>
        </w:rPr>
        <w:t>, רש"י.</w:t>
      </w:r>
    </w:p>
  </w:footnote>
  <w:footnote w:id="2039">
    <w:p w14:paraId="1FB1A7D4" w14:textId="77777777" w:rsidR="00392DBB" w:rsidRDefault="00392DBB" w:rsidP="00392DBB">
      <w:pPr>
        <w:pStyle w:val="a5"/>
      </w:pPr>
      <w:r>
        <w:rPr>
          <w:rStyle w:val="a7"/>
        </w:rPr>
        <w:footnoteRef/>
      </w:r>
      <w:r>
        <w:rPr>
          <w:rtl/>
        </w:rPr>
        <w:t xml:space="preserve"> </w:t>
      </w:r>
      <w:r w:rsidRPr="00076C39">
        <w:rPr>
          <w:rFonts w:cs="Arial"/>
          <w:rtl/>
        </w:rPr>
        <w:t>הרי כתב לה כתובה שנית כשהחזירה</w:t>
      </w:r>
      <w:r>
        <w:rPr>
          <w:rFonts w:cs="Arial" w:hint="cs"/>
          <w:rtl/>
        </w:rPr>
        <w:t>, רש"י.</w:t>
      </w:r>
    </w:p>
  </w:footnote>
  <w:footnote w:id="2040">
    <w:p w14:paraId="2E45391E" w14:textId="77777777" w:rsidR="00D96B47" w:rsidRDefault="00D96B47" w:rsidP="00D96B47">
      <w:pPr>
        <w:pStyle w:val="a5"/>
      </w:pPr>
      <w:r>
        <w:rPr>
          <w:rStyle w:val="a7"/>
        </w:rPr>
        <w:footnoteRef/>
      </w:r>
      <w:r>
        <w:rPr>
          <w:rtl/>
        </w:rPr>
        <w:t xml:space="preserve"> </w:t>
      </w:r>
      <w:r>
        <w:rPr>
          <w:rFonts w:hint="cs"/>
          <w:rtl/>
        </w:rPr>
        <w:t>סימן - קדמת דנא.</w:t>
      </w:r>
    </w:p>
  </w:footnote>
  <w:footnote w:id="2041">
    <w:p w14:paraId="78865869" w14:textId="5E39B0BD" w:rsidR="00CD55CA" w:rsidRDefault="00CD55CA">
      <w:pPr>
        <w:pStyle w:val="a5"/>
        <w:rPr>
          <w:rtl/>
        </w:rPr>
      </w:pPr>
      <w:r>
        <w:rPr>
          <w:rStyle w:val="a7"/>
        </w:rPr>
        <w:footnoteRef/>
      </w:r>
      <w:r>
        <w:rPr>
          <w:rtl/>
        </w:rPr>
        <w:t xml:space="preserve"> </w:t>
      </w:r>
      <w:r>
        <w:rPr>
          <w:rFonts w:hint="cs"/>
          <w:rtl/>
        </w:rPr>
        <w:t>ומונה כ"ה שנים משעת תביעה, רש"י.</w:t>
      </w:r>
    </w:p>
  </w:footnote>
  <w:footnote w:id="2042">
    <w:p w14:paraId="7D803266" w14:textId="6C829F0B"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417EA4">
        <w:rPr>
          <w:rFonts w:cs="Arial"/>
          <w:rtl/>
        </w:rPr>
        <w:t>אלמנה שהיה שטר כתובה יוצא מתחת ידה נשבעת וגובה כתובתה לעולם אפילו אחר מאה שנה, בין שהיתה בבית בעלה בין שהיתה בבית אביה</w:t>
      </w:r>
      <w:r>
        <w:rPr>
          <w:rFonts w:cs="Arial" w:hint="cs"/>
          <w:rtl/>
        </w:rPr>
        <w:t>...</w:t>
      </w:r>
    </w:p>
  </w:footnote>
  <w:footnote w:id="2043">
    <w:p w14:paraId="3A1A70B6" w14:textId="510705DF" w:rsidR="00392DBB" w:rsidRDefault="00392DBB" w:rsidP="00392DBB">
      <w:pPr>
        <w:pStyle w:val="a5"/>
      </w:pPr>
      <w:r>
        <w:rPr>
          <w:rStyle w:val="a7"/>
        </w:rPr>
        <w:footnoteRef/>
      </w:r>
      <w:r>
        <w:rPr>
          <w:rtl/>
        </w:rPr>
        <w:t xml:space="preserve"> </w:t>
      </w:r>
      <w:r w:rsidRPr="00417EA4">
        <w:rPr>
          <w:rFonts w:cs="Arial"/>
          <w:rtl/>
        </w:rPr>
        <w:t>לדעת ר"ת והמ</w:t>
      </w:r>
      <w:r w:rsidR="001A5542">
        <w:rPr>
          <w:rFonts w:cs="Arial" w:hint="cs"/>
          <w:rtl/>
        </w:rPr>
        <w:t>רדכי</w:t>
      </w:r>
      <w:r w:rsidRPr="00417EA4">
        <w:rPr>
          <w:rFonts w:cs="Arial"/>
          <w:rtl/>
        </w:rPr>
        <w:t xml:space="preserve"> בשם הראב"ן והג"א ס"ל כל שנותנים לה מזונו</w:t>
      </w:r>
      <w:r w:rsidR="001A5542">
        <w:rPr>
          <w:rFonts w:cs="Arial" w:hint="cs"/>
          <w:rtl/>
        </w:rPr>
        <w:t>ת</w:t>
      </w:r>
      <w:r w:rsidRPr="00417EA4">
        <w:rPr>
          <w:rFonts w:cs="Arial"/>
          <w:rtl/>
        </w:rPr>
        <w:t xml:space="preserve"> לא מחלה הכתובה לעולם</w:t>
      </w:r>
      <w:r w:rsidR="001A5542">
        <w:rPr>
          <w:rFonts w:cs="Arial" w:hint="cs"/>
          <w:rtl/>
        </w:rPr>
        <w:t>,</w:t>
      </w:r>
      <w:r w:rsidRPr="00417EA4">
        <w:rPr>
          <w:rFonts w:cs="Arial"/>
          <w:rtl/>
        </w:rPr>
        <w:t xml:space="preserve"> ואין חילוק בין אם נתנו לה בבית אביה לבין אם נתנו לה בבית בעלה אלא הכל תליא במזונו</w:t>
      </w:r>
      <w:r>
        <w:rPr>
          <w:rFonts w:cs="Arial" w:hint="cs"/>
          <w:rtl/>
        </w:rPr>
        <w:t>ת</w:t>
      </w:r>
      <w:r w:rsidR="001A5542">
        <w:rPr>
          <w:rFonts w:cs="Arial" w:hint="cs"/>
          <w:rtl/>
        </w:rPr>
        <w:t>.</w:t>
      </w:r>
      <w:r w:rsidRPr="00417EA4">
        <w:rPr>
          <w:rFonts w:cs="Arial"/>
          <w:rtl/>
        </w:rPr>
        <w:t xml:space="preserve"> והא דמחלק הש"ס בין בית בעלה לבית אביה משום בבית בעלה מסתמא אית לה מזונו</w:t>
      </w:r>
      <w:r>
        <w:rPr>
          <w:rFonts w:cs="Arial" w:hint="cs"/>
          <w:rtl/>
        </w:rPr>
        <w:t>ת.</w:t>
      </w:r>
      <w:r w:rsidRPr="00417EA4">
        <w:rPr>
          <w:rtl/>
        </w:rPr>
        <w:t xml:space="preserve"> </w:t>
      </w:r>
      <w:r w:rsidRPr="00417EA4">
        <w:rPr>
          <w:rFonts w:cs="Arial"/>
          <w:rtl/>
        </w:rPr>
        <w:t>ולרמב"ם פי"ו והרא"ש והטור ס"ל אפילו אם נותנים לה מזונו</w:t>
      </w:r>
      <w:r w:rsidR="001A5542">
        <w:rPr>
          <w:rFonts w:cs="Arial" w:hint="cs"/>
          <w:rtl/>
        </w:rPr>
        <w:t>ת</w:t>
      </w:r>
      <w:r w:rsidRPr="00417EA4">
        <w:rPr>
          <w:rFonts w:cs="Arial"/>
          <w:rtl/>
        </w:rPr>
        <w:t xml:space="preserve"> בבית אביה הפסידה הכתובה אם שתקה כ"ה שנים אא"כ כשמכבדים אותה</w:t>
      </w:r>
      <w:r>
        <w:rPr>
          <w:rFonts w:cs="Arial" w:hint="cs"/>
          <w:rtl/>
        </w:rPr>
        <w:t>.</w:t>
      </w:r>
      <w:r w:rsidRPr="00417EA4">
        <w:rPr>
          <w:rFonts w:cs="Arial"/>
          <w:rtl/>
        </w:rPr>
        <w:t xml:space="preserve"> ומשמע ברמב"ם דס"ל בבית בעלה אפי' לא נתנו לה מזונו</w:t>
      </w:r>
      <w:r w:rsidR="001A5542">
        <w:rPr>
          <w:rFonts w:cs="Arial" w:hint="cs"/>
          <w:rtl/>
        </w:rPr>
        <w:t>ת</w:t>
      </w:r>
      <w:r w:rsidRPr="00417EA4">
        <w:rPr>
          <w:rFonts w:cs="Arial"/>
          <w:rtl/>
        </w:rPr>
        <w:t xml:space="preserve"> לא הפסידה ואמרי' דלא תבעה הכתובה מחמת כסופא</w:t>
      </w:r>
      <w:r>
        <w:rPr>
          <w:rFonts w:cs="Arial" w:hint="cs"/>
          <w:rtl/>
        </w:rPr>
        <w:t>, ב"ש (סק"ה).</w:t>
      </w:r>
    </w:p>
  </w:footnote>
  <w:footnote w:id="2044">
    <w:p w14:paraId="2362C11F" w14:textId="77777777" w:rsidR="00392DBB" w:rsidRDefault="00392DBB" w:rsidP="00392DBB">
      <w:pPr>
        <w:pStyle w:val="a5"/>
        <w:rPr>
          <w:rtl/>
        </w:rPr>
      </w:pPr>
      <w:r>
        <w:rPr>
          <w:rStyle w:val="a7"/>
        </w:rPr>
        <w:footnoteRef/>
      </w:r>
      <w:r>
        <w:rPr>
          <w:rtl/>
        </w:rPr>
        <w:t xml:space="preserve"> </w:t>
      </w:r>
      <w:r w:rsidRPr="003A77B0">
        <w:rPr>
          <w:rFonts w:cs="Arial"/>
          <w:rtl/>
        </w:rPr>
        <w:t>שלא נתקבלה כלום</w:t>
      </w:r>
      <w:r>
        <w:rPr>
          <w:rFonts w:hint="cs"/>
          <w:rtl/>
        </w:rPr>
        <w:t>, רש"י.</w:t>
      </w:r>
    </w:p>
  </w:footnote>
  <w:footnote w:id="2045">
    <w:p w14:paraId="1E979549" w14:textId="77777777" w:rsidR="00392DBB" w:rsidRDefault="00392DBB" w:rsidP="00392DBB">
      <w:pPr>
        <w:pStyle w:val="a5"/>
        <w:rPr>
          <w:rtl/>
        </w:rPr>
      </w:pPr>
      <w:r>
        <w:rPr>
          <w:rStyle w:val="a7"/>
        </w:rPr>
        <w:footnoteRef/>
      </w:r>
      <w:r>
        <w:rPr>
          <w:rtl/>
        </w:rPr>
        <w:t xml:space="preserve"> </w:t>
      </w:r>
      <w:r w:rsidRPr="00A10132">
        <w:rPr>
          <w:rFonts w:cs="Arial"/>
          <w:rtl/>
        </w:rPr>
        <w:t>והיתה מפסדת כתובתה</w:t>
      </w:r>
      <w:r>
        <w:rPr>
          <w:rFonts w:cs="Arial" w:hint="cs"/>
          <w:rtl/>
        </w:rPr>
        <w:t>,</w:t>
      </w:r>
      <w:r w:rsidRPr="00844E4C">
        <w:rPr>
          <w:rFonts w:cs="Arial"/>
          <w:rtl/>
        </w:rPr>
        <w:t xml:space="preserve"> </w:t>
      </w:r>
      <w:r w:rsidRPr="00A10132">
        <w:rPr>
          <w:rFonts w:cs="Arial"/>
          <w:rtl/>
        </w:rPr>
        <w:t xml:space="preserve">ובגמרא מפרש </w:t>
      </w:r>
      <w:r>
        <w:rPr>
          <w:rFonts w:cs="Arial" w:hint="cs"/>
          <w:rtl/>
        </w:rPr>
        <w:t xml:space="preserve">מאי </w:t>
      </w:r>
      <w:r w:rsidRPr="00A10132">
        <w:rPr>
          <w:rFonts w:cs="Arial"/>
          <w:rtl/>
        </w:rPr>
        <w:t>טעמא</w:t>
      </w:r>
      <w:r>
        <w:rPr>
          <w:rFonts w:cs="Arial" w:hint="cs"/>
          <w:rtl/>
        </w:rPr>
        <w:t>, רש"י.</w:t>
      </w:r>
      <w:r w:rsidRPr="00A10132">
        <w:rPr>
          <w:rFonts w:cs="Arial"/>
          <w:rtl/>
        </w:rPr>
        <w:t xml:space="preserve"> ובגמרא מפרש טעמא </w:t>
      </w:r>
      <w:r w:rsidRPr="003A77B0">
        <w:rPr>
          <w:rFonts w:cs="Arial"/>
          <w:rtl/>
        </w:rPr>
        <w:t>דבההיא הנאה דקא טרחה קמי דיתמי אתיא לאורויי היתרא</w:t>
      </w:r>
      <w:r>
        <w:rPr>
          <w:rFonts w:cs="Arial" w:hint="cs"/>
          <w:rtl/>
        </w:rPr>
        <w:t>, ונשבעת שלא קיבלה כלום אך בפועל לקחה ולאו אדעתה.</w:t>
      </w:r>
    </w:p>
  </w:footnote>
  <w:footnote w:id="2046">
    <w:p w14:paraId="3846CEE3" w14:textId="77777777" w:rsidR="00392DBB" w:rsidRDefault="00392DBB" w:rsidP="00392DBB">
      <w:pPr>
        <w:pStyle w:val="a5"/>
        <w:rPr>
          <w:rtl/>
        </w:rPr>
      </w:pPr>
      <w:r>
        <w:rPr>
          <w:rStyle w:val="a7"/>
        </w:rPr>
        <w:footnoteRef/>
      </w:r>
      <w:r>
        <w:rPr>
          <w:rtl/>
        </w:rPr>
        <w:t xml:space="preserve"> </w:t>
      </w:r>
      <w:r w:rsidRPr="00A10132">
        <w:rPr>
          <w:rFonts w:cs="Arial"/>
          <w:rtl/>
        </w:rPr>
        <w:t>יבחרו להם דבר קשה להדירה בו כגון קונם מיני מזונות עלי אם נהניתי מכתובתי</w:t>
      </w:r>
      <w:r>
        <w:rPr>
          <w:rFonts w:hint="cs"/>
          <w:rtl/>
        </w:rPr>
        <w:t>, רש"י.</w:t>
      </w:r>
    </w:p>
  </w:footnote>
  <w:footnote w:id="2047">
    <w:p w14:paraId="0F7BAB3E" w14:textId="448C92D9" w:rsidR="00392DBB" w:rsidRDefault="00392DBB" w:rsidP="00392DBB">
      <w:pPr>
        <w:pStyle w:val="a5"/>
        <w:rPr>
          <w:rtl/>
        </w:rPr>
      </w:pPr>
      <w:r>
        <w:rPr>
          <w:rStyle w:val="a7"/>
        </w:rPr>
        <w:footnoteRef/>
      </w:r>
      <w:r>
        <w:rPr>
          <w:rtl/>
        </w:rPr>
        <w:t xml:space="preserve"> </w:t>
      </w:r>
      <w:r w:rsidRPr="00B97831">
        <w:rPr>
          <w:rFonts w:cs="Arial"/>
          <w:rtl/>
        </w:rPr>
        <w:t>דטעמא דנזקקין לכתובה</w:t>
      </w:r>
      <w:r>
        <w:rPr>
          <w:rFonts w:cs="Arial" w:hint="cs"/>
          <w:rtl/>
        </w:rPr>
        <w:t>,</w:t>
      </w:r>
      <w:r w:rsidRPr="00B97831">
        <w:rPr>
          <w:rFonts w:cs="Arial"/>
          <w:rtl/>
        </w:rPr>
        <w:t xml:space="preserve"> משום חינא שיהא לה נדוניא להנשא</w:t>
      </w:r>
      <w:r>
        <w:rPr>
          <w:rFonts w:cs="Arial" w:hint="cs"/>
          <w:rtl/>
        </w:rPr>
        <w:t>,</w:t>
      </w:r>
      <w:r w:rsidRPr="00B97831">
        <w:rPr>
          <w:rFonts w:cs="Arial"/>
          <w:rtl/>
        </w:rPr>
        <w:t xml:space="preserve"> ואם כבר נשאת שוב אין נזקקין</w:t>
      </w:r>
      <w:r>
        <w:rPr>
          <w:rFonts w:cs="Arial" w:hint="cs"/>
          <w:rtl/>
        </w:rPr>
        <w:t>.</w:t>
      </w:r>
      <w:r w:rsidRPr="00B97831">
        <w:rPr>
          <w:rFonts w:cs="Arial"/>
          <w:rtl/>
        </w:rPr>
        <w:t xml:space="preserve"> וכתב ב"י סימן צ"ו</w:t>
      </w:r>
      <w:r w:rsidRPr="00A4756C">
        <w:rPr>
          <w:rFonts w:cs="Arial"/>
          <w:sz w:val="16"/>
          <w:szCs w:val="16"/>
          <w:rtl/>
        </w:rPr>
        <w:t xml:space="preserve"> (עמ' ב טור א ד"ה ורש"י) </w:t>
      </w:r>
      <w:r w:rsidRPr="00B97831">
        <w:rPr>
          <w:rFonts w:cs="Arial"/>
          <w:rtl/>
        </w:rPr>
        <w:t>דהכי נקטינן כי התוס</w:t>
      </w:r>
      <w:r w:rsidR="001A5542">
        <w:rPr>
          <w:rFonts w:cs="Arial" w:hint="cs"/>
          <w:rtl/>
        </w:rPr>
        <w:t>'</w:t>
      </w:r>
      <w:r w:rsidRPr="00B97831">
        <w:rPr>
          <w:rFonts w:cs="Arial"/>
          <w:rtl/>
        </w:rPr>
        <w:t xml:space="preserve"> פירשו </w:t>
      </w:r>
      <w:r w:rsidRPr="00A4756C">
        <w:rPr>
          <w:rFonts w:cs="Arial" w:hint="cs"/>
          <w:sz w:val="16"/>
          <w:szCs w:val="16"/>
          <w:rtl/>
        </w:rPr>
        <w:t>(</w:t>
      </w:r>
      <w:r w:rsidRPr="00A4756C">
        <w:rPr>
          <w:rFonts w:cs="Arial"/>
          <w:sz w:val="16"/>
          <w:szCs w:val="16"/>
          <w:rtl/>
        </w:rPr>
        <w:t xml:space="preserve">פרק הכותב </w:t>
      </w:r>
      <w:r w:rsidRPr="00A4756C">
        <w:rPr>
          <w:rFonts w:cs="Arial" w:hint="cs"/>
          <w:sz w:val="16"/>
          <w:szCs w:val="16"/>
          <w:rtl/>
        </w:rPr>
        <w:t>[</w:t>
      </w:r>
      <w:r w:rsidRPr="00A4756C">
        <w:rPr>
          <w:rFonts w:cs="Arial"/>
          <w:sz w:val="16"/>
          <w:szCs w:val="16"/>
          <w:rtl/>
        </w:rPr>
        <w:t>פד. ד"ה לכתובת</w:t>
      </w:r>
      <w:r w:rsidRPr="00A4756C">
        <w:rPr>
          <w:rFonts w:cs="Arial" w:hint="cs"/>
          <w:sz w:val="16"/>
          <w:szCs w:val="16"/>
          <w:rtl/>
        </w:rPr>
        <w:t>]</w:t>
      </w:r>
      <w:r w:rsidRPr="00A4756C">
        <w:rPr>
          <w:rFonts w:cs="Arial"/>
          <w:sz w:val="16"/>
          <w:szCs w:val="16"/>
          <w:rtl/>
        </w:rPr>
        <w:t xml:space="preserve"> ופרק שום היתומים</w:t>
      </w:r>
      <w:r w:rsidRPr="00A4756C">
        <w:rPr>
          <w:rFonts w:cs="Arial" w:hint="cs"/>
          <w:sz w:val="16"/>
          <w:szCs w:val="16"/>
          <w:rtl/>
        </w:rPr>
        <w:t>)</w:t>
      </w:r>
      <w:r w:rsidRPr="00B97831">
        <w:rPr>
          <w:rFonts w:cs="Arial"/>
          <w:rtl/>
        </w:rPr>
        <w:t xml:space="preserve"> בשם ר"ח והערוך </w:t>
      </w:r>
      <w:r w:rsidRPr="00A4756C">
        <w:rPr>
          <w:rFonts w:cs="Arial"/>
          <w:sz w:val="16"/>
          <w:szCs w:val="16"/>
          <w:rtl/>
        </w:rPr>
        <w:t xml:space="preserve">(ערך חן) </w:t>
      </w:r>
      <w:r w:rsidRPr="00B97831">
        <w:rPr>
          <w:rFonts w:cs="Arial"/>
          <w:rtl/>
        </w:rPr>
        <w:t>כדברי הרמב"ם</w:t>
      </w:r>
      <w:r>
        <w:rPr>
          <w:rFonts w:cs="Arial" w:hint="cs"/>
          <w:rtl/>
        </w:rPr>
        <w:t>.</w:t>
      </w:r>
      <w:r w:rsidRPr="00B97831">
        <w:rPr>
          <w:rFonts w:cs="Arial"/>
          <w:rtl/>
        </w:rPr>
        <w:t xml:space="preserve"> ואע</w:t>
      </w:r>
      <w:r>
        <w:rPr>
          <w:rFonts w:cs="Arial" w:hint="cs"/>
          <w:rtl/>
        </w:rPr>
        <w:t>"</w:t>
      </w:r>
      <w:r w:rsidRPr="00B97831">
        <w:rPr>
          <w:rFonts w:cs="Arial"/>
          <w:rtl/>
        </w:rPr>
        <w:t xml:space="preserve">ג דרש"י פירש שם </w:t>
      </w:r>
      <w:r w:rsidRPr="001A5542">
        <w:rPr>
          <w:rFonts w:cs="Arial"/>
          <w:sz w:val="16"/>
          <w:szCs w:val="16"/>
          <w:rtl/>
        </w:rPr>
        <w:t>(כתובות פד. ודף צז:</w:t>
      </w:r>
      <w:r w:rsidRPr="001A5542">
        <w:rPr>
          <w:rFonts w:cs="Arial" w:hint="cs"/>
          <w:sz w:val="16"/>
          <w:szCs w:val="16"/>
          <w:rtl/>
        </w:rPr>
        <w:t>,</w:t>
      </w:r>
      <w:r w:rsidRPr="001A5542">
        <w:rPr>
          <w:rFonts w:cs="Arial"/>
          <w:sz w:val="16"/>
          <w:szCs w:val="16"/>
          <w:rtl/>
        </w:rPr>
        <w:t xml:space="preserve"> ערכין כב. ד"ה משום חינא) </w:t>
      </w:r>
      <w:r w:rsidRPr="00B97831">
        <w:rPr>
          <w:rFonts w:cs="Arial"/>
          <w:rtl/>
        </w:rPr>
        <w:t>בענין אחר</w:t>
      </w:r>
      <w:r>
        <w:rPr>
          <w:rFonts w:cs="Arial" w:hint="cs"/>
          <w:rtl/>
        </w:rPr>
        <w:t>.</w:t>
      </w:r>
      <w:r w:rsidRPr="00B97831">
        <w:rPr>
          <w:rFonts w:cs="Arial"/>
          <w:rtl/>
        </w:rPr>
        <w:t xml:space="preserve"> מיהו בתשובת הרא"ש </w:t>
      </w:r>
      <w:r w:rsidRPr="00A4756C">
        <w:rPr>
          <w:rFonts w:cs="Arial" w:hint="cs"/>
          <w:sz w:val="16"/>
          <w:szCs w:val="16"/>
          <w:rtl/>
        </w:rPr>
        <w:t>(</w:t>
      </w:r>
      <w:r w:rsidRPr="00A4756C">
        <w:rPr>
          <w:rFonts w:cs="Arial"/>
          <w:sz w:val="16"/>
          <w:szCs w:val="16"/>
          <w:rtl/>
        </w:rPr>
        <w:t>סי</w:t>
      </w:r>
      <w:r w:rsidRPr="00A4756C">
        <w:rPr>
          <w:rFonts w:cs="Arial" w:hint="cs"/>
          <w:sz w:val="16"/>
          <w:szCs w:val="16"/>
          <w:rtl/>
        </w:rPr>
        <w:t>'</w:t>
      </w:r>
      <w:r w:rsidRPr="00A4756C">
        <w:rPr>
          <w:rFonts w:cs="Arial"/>
          <w:sz w:val="16"/>
          <w:szCs w:val="16"/>
          <w:rtl/>
        </w:rPr>
        <w:t xml:space="preserve"> א כלל פה</w:t>
      </w:r>
      <w:r w:rsidRPr="00A4756C">
        <w:rPr>
          <w:rFonts w:cs="Arial" w:hint="cs"/>
          <w:sz w:val="16"/>
          <w:szCs w:val="16"/>
          <w:rtl/>
        </w:rPr>
        <w:t>)</w:t>
      </w:r>
      <w:r w:rsidRPr="00A4756C">
        <w:rPr>
          <w:rFonts w:cs="Arial"/>
          <w:sz w:val="16"/>
          <w:szCs w:val="16"/>
          <w:rtl/>
        </w:rPr>
        <w:t xml:space="preserve"> </w:t>
      </w:r>
      <w:r w:rsidRPr="00B97831">
        <w:rPr>
          <w:rFonts w:cs="Arial"/>
          <w:rtl/>
        </w:rPr>
        <w:t>כתב דבזמן הזה לא חיישינן לצררי ומגבין לה אפילו לדעת הרמב"ם אף משנשאת וע"ש</w:t>
      </w:r>
      <w:r>
        <w:rPr>
          <w:rFonts w:cs="Arial" w:hint="cs"/>
          <w:sz w:val="16"/>
          <w:szCs w:val="16"/>
          <w:rtl/>
        </w:rPr>
        <w:t xml:space="preserve"> {צל"ע שהח"מ [סק"ב] כתב אחרת </w:t>
      </w:r>
      <w:r w:rsidR="0061020A">
        <w:rPr>
          <w:rFonts w:cs="Arial" w:hint="cs"/>
          <w:sz w:val="16"/>
          <w:szCs w:val="16"/>
          <w:rtl/>
        </w:rPr>
        <w:t>וז</w:t>
      </w:r>
      <w:r w:rsidR="0061020A">
        <w:rPr>
          <w:rFonts w:cs="Arial"/>
          <w:sz w:val="16"/>
          <w:szCs w:val="16"/>
          <w:rtl/>
        </w:rPr>
        <w:t>"</w:t>
      </w:r>
      <w:r w:rsidR="0061020A">
        <w:rPr>
          <w:rFonts w:cs="Arial" w:hint="cs"/>
          <w:sz w:val="16"/>
          <w:szCs w:val="16"/>
          <w:rtl/>
        </w:rPr>
        <w:t>ל:</w:t>
      </w:r>
      <w:r>
        <w:rPr>
          <w:rFonts w:cs="Arial" w:hint="cs"/>
          <w:sz w:val="16"/>
          <w:szCs w:val="16"/>
          <w:rtl/>
        </w:rPr>
        <w:t xml:space="preserve"> </w:t>
      </w:r>
      <w:r w:rsidRPr="00A4756C">
        <w:rPr>
          <w:rFonts w:cs="Arial"/>
          <w:sz w:val="16"/>
          <w:szCs w:val="16"/>
          <w:rtl/>
        </w:rPr>
        <w:t>ועיין בתשובת הרא"ש כלל פ"ה סי' א' היכא דמת פתאום דלא חיישי' צררי מודה הרמב"ם דגובין מיתומים קטנים אפילו נשאת</w:t>
      </w:r>
      <w:r>
        <w:rPr>
          <w:rFonts w:cs="Arial" w:hint="cs"/>
          <w:sz w:val="16"/>
          <w:szCs w:val="16"/>
          <w:rtl/>
        </w:rPr>
        <w:t>}</w:t>
      </w:r>
      <w:r>
        <w:rPr>
          <w:rFonts w:hint="cs"/>
          <w:rtl/>
        </w:rPr>
        <w:t>.</w:t>
      </w:r>
      <w:r w:rsidRPr="00EE72ED">
        <w:rPr>
          <w:rFonts w:cs="Arial"/>
          <w:rtl/>
        </w:rPr>
        <w:t xml:space="preserve"> </w:t>
      </w:r>
      <w:r>
        <w:rPr>
          <w:rFonts w:cs="Arial" w:hint="cs"/>
          <w:rtl/>
        </w:rPr>
        <w:t>ו</w:t>
      </w:r>
      <w:r w:rsidRPr="00B97831">
        <w:rPr>
          <w:rFonts w:cs="Arial"/>
          <w:rtl/>
        </w:rPr>
        <w:t xml:space="preserve">כתב ב"י עוד בסימן צ"ו </w:t>
      </w:r>
      <w:r w:rsidRPr="00A4756C">
        <w:rPr>
          <w:rFonts w:cs="Arial"/>
          <w:sz w:val="16"/>
          <w:szCs w:val="16"/>
          <w:rtl/>
        </w:rPr>
        <w:t>(שם</w:t>
      </w:r>
      <w:r w:rsidRPr="00A4756C">
        <w:rPr>
          <w:rFonts w:cs="Arial" w:hint="cs"/>
          <w:sz w:val="16"/>
          <w:szCs w:val="16"/>
          <w:rtl/>
        </w:rPr>
        <w:t>, בשם הרשב"א, הביאו הח"מ [סק"א] כאן</w:t>
      </w:r>
      <w:r w:rsidRPr="00A4756C">
        <w:rPr>
          <w:rFonts w:cs="Arial"/>
          <w:sz w:val="16"/>
          <w:szCs w:val="16"/>
          <w:rtl/>
        </w:rPr>
        <w:t>)</w:t>
      </w:r>
      <w:r w:rsidRPr="00B97831">
        <w:rPr>
          <w:rFonts w:cs="Arial"/>
          <w:rtl/>
        </w:rPr>
        <w:t xml:space="preserve"> ומיהו כל זמן שלא נשאת מגבין אותה אפילו היא זקנה שאינה ראויה להנשא.</w:t>
      </w:r>
      <w:r w:rsidRPr="0040053F">
        <w:rPr>
          <w:rFonts w:cs="Arial"/>
          <w:rtl/>
        </w:rPr>
        <w:t xml:space="preserve"> </w:t>
      </w:r>
      <w:r w:rsidRPr="00B97831">
        <w:rPr>
          <w:rFonts w:cs="Arial"/>
          <w:rtl/>
        </w:rPr>
        <w:t xml:space="preserve">ומצאתי כתוב פרק אלמנה נזונת </w:t>
      </w:r>
      <w:r w:rsidRPr="00A4756C">
        <w:rPr>
          <w:rFonts w:cs="Arial"/>
          <w:sz w:val="16"/>
          <w:szCs w:val="16"/>
          <w:rtl/>
        </w:rPr>
        <w:t>(שלטי הגבורים נט. דיבור ראשון)</w:t>
      </w:r>
      <w:r w:rsidRPr="00B97831">
        <w:rPr>
          <w:rFonts w:cs="Arial"/>
          <w:rtl/>
        </w:rPr>
        <w:t xml:space="preserve"> דאם נשאת על מנת שתתן לו הכתובה נזקקין לה דהא בזה נמי הוי משום חינא שאם לא יפרעו לה יגרשנה בעלה ואין לך חן גדול מזה עכ"ל, ובתשובות מיימוני סוף ספר נשים</w:t>
      </w:r>
      <w:r>
        <w:rPr>
          <w:rFonts w:cs="Arial" w:hint="cs"/>
          <w:rtl/>
        </w:rPr>
        <w:t xml:space="preserve"> </w:t>
      </w:r>
      <w:r w:rsidRPr="00A4756C">
        <w:rPr>
          <w:rFonts w:cs="Arial"/>
          <w:sz w:val="16"/>
          <w:szCs w:val="16"/>
          <w:rtl/>
        </w:rPr>
        <w:t xml:space="preserve">(סי' ה) </w:t>
      </w:r>
      <w:r w:rsidRPr="00B97831">
        <w:rPr>
          <w:rFonts w:cs="Arial"/>
          <w:rtl/>
        </w:rPr>
        <w:t>דאפילו משנשאת גובה כתובתה וטורפת אפילו ממשעבדי</w:t>
      </w:r>
      <w:r>
        <w:rPr>
          <w:rFonts w:cs="Arial" w:hint="cs"/>
          <w:rtl/>
        </w:rPr>
        <w:t>.</w:t>
      </w:r>
      <w:r w:rsidRPr="00B97831">
        <w:rPr>
          <w:rFonts w:cs="Arial"/>
          <w:rtl/>
        </w:rPr>
        <w:t xml:space="preserve"> וע"ש שהאריך בזה</w:t>
      </w:r>
      <w:r>
        <w:rPr>
          <w:rFonts w:cs="Arial" w:hint="cs"/>
          <w:rtl/>
        </w:rPr>
        <w:t>.</w:t>
      </w:r>
      <w:r w:rsidRPr="00B97831">
        <w:rPr>
          <w:rFonts w:cs="Arial"/>
          <w:rtl/>
        </w:rPr>
        <w:t xml:space="preserve"> וע"ל סוף סימן צ"ו כיצד נשבעת משנשאת</w:t>
      </w:r>
      <w:r>
        <w:rPr>
          <w:rFonts w:cs="Arial" w:hint="cs"/>
          <w:rtl/>
        </w:rPr>
        <w:t>,</w:t>
      </w:r>
      <w:r>
        <w:rPr>
          <w:rFonts w:hint="cs"/>
          <w:rtl/>
        </w:rPr>
        <w:t xml:space="preserve"> דרכ"מ (אות א).</w:t>
      </w:r>
    </w:p>
  </w:footnote>
  <w:footnote w:id="2048">
    <w:p w14:paraId="2714D3C5" w14:textId="77777777" w:rsidR="00F7421F" w:rsidRDefault="00F7421F" w:rsidP="00F7421F">
      <w:pPr>
        <w:pStyle w:val="a5"/>
      </w:pPr>
      <w:r>
        <w:rPr>
          <w:rStyle w:val="a7"/>
        </w:rPr>
        <w:footnoteRef/>
      </w:r>
      <w:r>
        <w:rPr>
          <w:rtl/>
        </w:rPr>
        <w:t xml:space="preserve"> </w:t>
      </w:r>
      <w:r>
        <w:rPr>
          <w:rFonts w:hint="cs"/>
          <w:rtl/>
        </w:rPr>
        <w:t>סימן - נכסים דומים.</w:t>
      </w:r>
    </w:p>
  </w:footnote>
  <w:footnote w:id="2049">
    <w:p w14:paraId="166515A9" w14:textId="77777777" w:rsidR="00392DBB" w:rsidRDefault="00392DBB" w:rsidP="00392DBB">
      <w:pPr>
        <w:pStyle w:val="a5"/>
      </w:pPr>
      <w:r>
        <w:rPr>
          <w:rStyle w:val="a7"/>
        </w:rPr>
        <w:footnoteRef/>
      </w:r>
      <w:r>
        <w:rPr>
          <w:rtl/>
        </w:rPr>
        <w:t xml:space="preserve"> </w:t>
      </w:r>
      <w:r w:rsidRPr="009D72AE">
        <w:rPr>
          <w:rFonts w:cs="Arial"/>
          <w:rtl/>
        </w:rPr>
        <w:t>שאין שביעית משמטת כתובה כשאר שטרות אא</w:t>
      </w:r>
      <w:r>
        <w:rPr>
          <w:rFonts w:cs="Arial" w:hint="cs"/>
          <w:rtl/>
        </w:rPr>
        <w:t>"</w:t>
      </w:r>
      <w:r w:rsidRPr="009D72AE">
        <w:rPr>
          <w:rFonts w:cs="Arial"/>
          <w:rtl/>
        </w:rPr>
        <w:t>כ פגמה וזקפה כדאמרינן במסכת גיטין (יח</w:t>
      </w:r>
      <w:r>
        <w:rPr>
          <w:rFonts w:cs="Arial" w:hint="cs"/>
          <w:rtl/>
        </w:rPr>
        <w:t>.</w:t>
      </w:r>
      <w:r w:rsidRPr="009D72AE">
        <w:rPr>
          <w:rFonts w:cs="Arial"/>
          <w:rtl/>
        </w:rPr>
        <w:t>)</w:t>
      </w:r>
      <w:r>
        <w:rPr>
          <w:rFonts w:cs="Arial" w:hint="cs"/>
          <w:rtl/>
        </w:rPr>
        <w:t>,</w:t>
      </w:r>
      <w:r w:rsidRPr="009D72AE">
        <w:rPr>
          <w:rFonts w:cs="Arial"/>
          <w:rtl/>
        </w:rPr>
        <w:t xml:space="preserve"> ותוספת נמי לא משמט</w:t>
      </w:r>
      <w:r>
        <w:rPr>
          <w:rFonts w:cs="Arial" w:hint="cs"/>
          <w:rtl/>
        </w:rPr>
        <w:t>, רש"י.</w:t>
      </w:r>
    </w:p>
  </w:footnote>
  <w:footnote w:id="2050">
    <w:p w14:paraId="020F0140" w14:textId="791FE829" w:rsidR="00D96B47" w:rsidRDefault="00D96B47">
      <w:pPr>
        <w:pStyle w:val="a5"/>
      </w:pPr>
      <w:r>
        <w:rPr>
          <w:rStyle w:val="a7"/>
        </w:rPr>
        <w:footnoteRef/>
      </w:r>
      <w:r>
        <w:rPr>
          <w:rtl/>
        </w:rPr>
        <w:t xml:space="preserve"> </w:t>
      </w:r>
      <w:r>
        <w:rPr>
          <w:rFonts w:hint="cs"/>
          <w:rtl/>
        </w:rPr>
        <w:t>סימן - יקרא/יהפך לחוב.</w:t>
      </w:r>
    </w:p>
  </w:footnote>
  <w:footnote w:id="2051">
    <w:p w14:paraId="3EFCA759" w14:textId="77777777" w:rsidR="00392DBB" w:rsidRDefault="00392DBB" w:rsidP="00392DBB">
      <w:pPr>
        <w:pStyle w:val="a5"/>
      </w:pPr>
      <w:r>
        <w:rPr>
          <w:rStyle w:val="a7"/>
        </w:rPr>
        <w:footnoteRef/>
      </w:r>
      <w:r>
        <w:rPr>
          <w:rtl/>
        </w:rPr>
        <w:t xml:space="preserve"> </w:t>
      </w:r>
      <w:r w:rsidRPr="009D72AE">
        <w:rPr>
          <w:rFonts w:cs="Arial"/>
          <w:rtl/>
        </w:rPr>
        <w:t>שתפרע קצת דגלי דעתה דעומדת ליגוש וליפרע</w:t>
      </w:r>
      <w:r>
        <w:rPr>
          <w:rFonts w:cs="Arial" w:hint="cs"/>
          <w:rtl/>
        </w:rPr>
        <w:t>, רש"י.</w:t>
      </w:r>
    </w:p>
  </w:footnote>
  <w:footnote w:id="2052">
    <w:p w14:paraId="7DACC896" w14:textId="77777777" w:rsidR="00392DBB" w:rsidRDefault="00392DBB" w:rsidP="00392DBB">
      <w:pPr>
        <w:pStyle w:val="a5"/>
      </w:pPr>
      <w:r>
        <w:rPr>
          <w:rStyle w:val="a7"/>
        </w:rPr>
        <w:footnoteRef/>
      </w:r>
      <w:r>
        <w:rPr>
          <w:rtl/>
        </w:rPr>
        <w:t xml:space="preserve"> </w:t>
      </w:r>
      <w:r w:rsidRPr="009D72AE">
        <w:rPr>
          <w:rFonts w:cs="Arial"/>
          <w:rtl/>
        </w:rPr>
        <w:t>עליו המותר במלוה דנפקא לה משום כתובה ומעשה ב"ד שאינו משמט וחל עלה שם שטר חוב</w:t>
      </w:r>
      <w:r>
        <w:rPr>
          <w:rFonts w:cs="Arial" w:hint="cs"/>
          <w:rtl/>
        </w:rPr>
        <w:t>, רש"י.</w:t>
      </w:r>
      <w:r w:rsidRPr="00BA605F">
        <w:rPr>
          <w:rtl/>
        </w:rPr>
        <w:t xml:space="preserve"> </w:t>
      </w:r>
      <w:r w:rsidRPr="00BA605F">
        <w:rPr>
          <w:rFonts w:cs="Arial"/>
          <w:rtl/>
        </w:rPr>
        <w:t>ומאימתי אתה קורא אותם נזקפים במלוה משעת העמדה בדין</w:t>
      </w:r>
      <w:r>
        <w:rPr>
          <w:rFonts w:hint="cs"/>
          <w:rtl/>
        </w:rPr>
        <w:t>, מאירי (יח. ד"ה הכתובה).</w:t>
      </w:r>
    </w:p>
  </w:footnote>
  <w:footnote w:id="2053">
    <w:p w14:paraId="689818BA" w14:textId="77777777" w:rsidR="00392DBB" w:rsidRDefault="00392DBB" w:rsidP="00392DBB">
      <w:pPr>
        <w:pStyle w:val="a5"/>
      </w:pPr>
      <w:r>
        <w:rPr>
          <w:rStyle w:val="a7"/>
        </w:rPr>
        <w:footnoteRef/>
      </w:r>
      <w:r>
        <w:rPr>
          <w:rtl/>
        </w:rPr>
        <w:t xml:space="preserve"> </w:t>
      </w:r>
      <w:r w:rsidRPr="00957DBB">
        <w:rPr>
          <w:rFonts w:cs="Arial"/>
          <w:rtl/>
        </w:rPr>
        <w:t>כיון דגלי דעתיה בפרעון קרינא ביה לא יגוש</w:t>
      </w:r>
      <w:r>
        <w:rPr>
          <w:rFonts w:cs="Arial" w:hint="cs"/>
          <w:rtl/>
        </w:rPr>
        <w:t>, רש"י.</w:t>
      </w:r>
    </w:p>
  </w:footnote>
  <w:footnote w:id="2054">
    <w:p w14:paraId="2DF989B0" w14:textId="77777777" w:rsidR="00392DBB" w:rsidRDefault="00392DBB" w:rsidP="00392DBB">
      <w:pPr>
        <w:pStyle w:val="a5"/>
      </w:pPr>
      <w:r>
        <w:rPr>
          <w:rStyle w:val="a7"/>
        </w:rPr>
        <w:footnoteRef/>
      </w:r>
      <w:r>
        <w:rPr>
          <w:rtl/>
        </w:rPr>
        <w:t xml:space="preserve"> </w:t>
      </w:r>
      <w:r w:rsidRPr="00957DBB">
        <w:rPr>
          <w:rFonts w:cs="Arial"/>
          <w:rtl/>
        </w:rPr>
        <w:t>במלוה</w:t>
      </w:r>
      <w:r>
        <w:rPr>
          <w:rFonts w:cs="Arial" w:hint="cs"/>
          <w:rtl/>
        </w:rPr>
        <w:t>, רש"י.</w:t>
      </w:r>
    </w:p>
  </w:footnote>
  <w:footnote w:id="2055">
    <w:p w14:paraId="5923F0EA" w14:textId="58029C68" w:rsidR="00392DBB" w:rsidRDefault="00392DBB" w:rsidP="00392DBB">
      <w:pPr>
        <w:pStyle w:val="a5"/>
        <w:rPr>
          <w:rtl/>
        </w:rPr>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Pr>
          <w:rFonts w:cs="Arial"/>
          <w:rtl/>
        </w:rPr>
        <w:t>והרי"ף</w:t>
      </w:r>
      <w:r>
        <w:rPr>
          <w:rFonts w:cs="Arial" w:hint="cs"/>
          <w:rtl/>
        </w:rPr>
        <w:t>,</w:t>
      </w:r>
      <w:r>
        <w:rPr>
          <w:rFonts w:cs="Arial"/>
          <w:rtl/>
        </w:rPr>
        <w:t xml:space="preserve"> אע</w:t>
      </w:r>
      <w:r>
        <w:rPr>
          <w:rFonts w:cs="Arial" w:hint="cs"/>
          <w:rtl/>
        </w:rPr>
        <w:t>"</w:t>
      </w:r>
      <w:r>
        <w:rPr>
          <w:rFonts w:cs="Arial"/>
          <w:rtl/>
        </w:rPr>
        <w:t xml:space="preserve">פ שכתב בר"פ אף על פי (כב.) </w:t>
      </w:r>
      <w:r>
        <w:rPr>
          <w:rFonts w:cs="Arial" w:hint="cs"/>
          <w:rtl/>
        </w:rPr>
        <w:t>"</w:t>
      </w:r>
      <w:r>
        <w:rPr>
          <w:rFonts w:cs="Arial"/>
          <w:rtl/>
        </w:rPr>
        <w:t>לשביעית</w:t>
      </w:r>
      <w:r>
        <w:rPr>
          <w:rFonts w:cs="Arial" w:hint="cs"/>
          <w:rtl/>
        </w:rPr>
        <w:t>,</w:t>
      </w:r>
      <w:r>
        <w:rPr>
          <w:rFonts w:cs="Arial"/>
          <w:rtl/>
        </w:rPr>
        <w:t xml:space="preserve"> שאם פגמה וזקפה משמטת הכל כתובה ותוספת</w:t>
      </w:r>
      <w:r>
        <w:rPr>
          <w:rFonts w:cs="Arial" w:hint="cs"/>
          <w:rtl/>
        </w:rPr>
        <w:t>" -</w:t>
      </w:r>
      <w:r>
        <w:rPr>
          <w:rFonts w:cs="Arial"/>
          <w:rtl/>
        </w:rPr>
        <w:t xml:space="preserve"> לאו משום דליבעי פגימה וזקיפה כרב</w:t>
      </w:r>
      <w:r>
        <w:rPr>
          <w:rFonts w:cs="Arial" w:hint="cs"/>
          <w:rtl/>
        </w:rPr>
        <w:t>.</w:t>
      </w:r>
      <w:r>
        <w:rPr>
          <w:rFonts w:cs="Arial"/>
          <w:rtl/>
        </w:rPr>
        <w:t xml:space="preserve"> דהא ודאי הלכה כשמואל בדיני</w:t>
      </w:r>
      <w:r>
        <w:rPr>
          <w:rFonts w:cs="Arial" w:hint="cs"/>
          <w:rtl/>
        </w:rPr>
        <w:t>.</w:t>
      </w:r>
      <w:r>
        <w:rPr>
          <w:rFonts w:cs="Arial"/>
          <w:rtl/>
        </w:rPr>
        <w:t xml:space="preserve"> אלא לדוגמא בעלמא נקטיה</w:t>
      </w:r>
      <w:r>
        <w:rPr>
          <w:rFonts w:cs="Arial" w:hint="cs"/>
          <w:rtl/>
        </w:rPr>
        <w:t>,</w:t>
      </w:r>
      <w:r>
        <w:rPr>
          <w:rFonts w:cs="Arial"/>
          <w:rtl/>
        </w:rPr>
        <w:t xml:space="preserve"> לומר דלענין פגימה וזקיפה הוא דנפקא מינה</w:t>
      </w:r>
      <w:r>
        <w:rPr>
          <w:rFonts w:cs="Arial" w:hint="cs"/>
          <w:rtl/>
        </w:rPr>
        <w:t>,</w:t>
      </w:r>
      <w:r>
        <w:rPr>
          <w:rFonts w:cs="Arial"/>
          <w:rtl/>
        </w:rPr>
        <w:t xml:space="preserve"> ולא ללמד</w:t>
      </w:r>
      <w:r>
        <w:rPr>
          <w:rFonts w:cs="Arial" w:hint="cs"/>
          <w:rtl/>
        </w:rPr>
        <w:t>.</w:t>
      </w:r>
      <w:r>
        <w:rPr>
          <w:rFonts w:cs="Arial"/>
          <w:rtl/>
        </w:rPr>
        <w:t xml:space="preserve"> דכשם שאין שביעית משמטת עיקר כתובה מפני שהוא תנאי ב"ד כל שלא פגמה או זקפה</w:t>
      </w:r>
      <w:r>
        <w:rPr>
          <w:rFonts w:cs="Arial" w:hint="cs"/>
          <w:rtl/>
        </w:rPr>
        <w:t>,</w:t>
      </w:r>
      <w:r>
        <w:rPr>
          <w:rFonts w:cs="Arial"/>
          <w:rtl/>
        </w:rPr>
        <w:t xml:space="preserve"> הוא הדין לתוספת</w:t>
      </w:r>
      <w:r>
        <w:rPr>
          <w:rFonts w:cs="Arial" w:hint="cs"/>
          <w:rtl/>
        </w:rPr>
        <w:t>,</w:t>
      </w:r>
      <w:r>
        <w:rPr>
          <w:rFonts w:cs="Arial"/>
          <w:rtl/>
        </w:rPr>
        <w:t xml:space="preserve"> וכדפירש רש"י </w:t>
      </w:r>
      <w:r w:rsidRPr="00BF76B1">
        <w:rPr>
          <w:rFonts w:cs="Arial"/>
          <w:sz w:val="16"/>
          <w:szCs w:val="16"/>
          <w:rtl/>
        </w:rPr>
        <w:t>(כתובות נה. ד"ה ולשביעית)</w:t>
      </w:r>
      <w:r>
        <w:rPr>
          <w:rFonts w:cs="Arial" w:hint="cs"/>
          <w:rtl/>
        </w:rPr>
        <w:t>.</w:t>
      </w:r>
      <w:r>
        <w:rPr>
          <w:rFonts w:cs="Arial"/>
          <w:rtl/>
        </w:rPr>
        <w:t xml:space="preserve"> משום דקשה כמו שהקשה הר"ן </w:t>
      </w:r>
      <w:r w:rsidRPr="00BF76B1">
        <w:rPr>
          <w:rFonts w:cs="Arial"/>
          <w:sz w:val="16"/>
          <w:szCs w:val="16"/>
          <w:rtl/>
        </w:rPr>
        <w:t>(כב. ד"ה לשביעית)</w:t>
      </w:r>
      <w:r>
        <w:rPr>
          <w:rFonts w:cs="Arial" w:hint="cs"/>
          <w:rtl/>
        </w:rPr>
        <w:t>,</w:t>
      </w:r>
      <w:r>
        <w:rPr>
          <w:rFonts w:cs="Arial"/>
          <w:rtl/>
        </w:rPr>
        <w:t xml:space="preserve"> דאם כן </w:t>
      </w:r>
      <w:r>
        <w:rPr>
          <w:rFonts w:cs="Arial" w:hint="cs"/>
          <w:sz w:val="16"/>
          <w:szCs w:val="16"/>
          <w:rtl/>
        </w:rPr>
        <w:t xml:space="preserve">{היינו, דאם שביעית משמטת את התוספת} </w:t>
      </w:r>
      <w:r>
        <w:rPr>
          <w:rFonts w:cs="Arial"/>
          <w:rtl/>
        </w:rPr>
        <w:t>מאי איריא תנאי כתובה</w:t>
      </w:r>
      <w:r>
        <w:rPr>
          <w:rFonts w:cs="Arial" w:hint="cs"/>
          <w:rtl/>
        </w:rPr>
        <w:t>,</w:t>
      </w:r>
      <w:r>
        <w:rPr>
          <w:rFonts w:cs="Arial"/>
          <w:rtl/>
        </w:rPr>
        <w:t xml:space="preserve"> הרי כל חיוב שאדם מתחייב לחבירו שלא ע"ד מלוה הכי דיניה</w:t>
      </w:r>
      <w:r>
        <w:rPr>
          <w:rFonts w:cs="Arial" w:hint="cs"/>
          <w:rtl/>
        </w:rPr>
        <w:t>,</w:t>
      </w:r>
      <w:r>
        <w:rPr>
          <w:rFonts w:cs="Arial"/>
          <w:rtl/>
        </w:rPr>
        <w:t xml:space="preserve"> כדתנן בפרק בתרא דשביעית (מ"א) הקפת חנות אינה משמטת</w:t>
      </w:r>
      <w:r>
        <w:rPr>
          <w:rFonts w:cs="Arial" w:hint="cs"/>
          <w:rtl/>
        </w:rPr>
        <w:t>.</w:t>
      </w:r>
      <w:r>
        <w:rPr>
          <w:rFonts w:cs="Arial"/>
          <w:rtl/>
        </w:rPr>
        <w:t xml:space="preserve"> והרא"ש דקדק בדבריו</w:t>
      </w:r>
      <w:r>
        <w:rPr>
          <w:rFonts w:cs="Arial" w:hint="cs"/>
          <w:rtl/>
        </w:rPr>
        <w:t>,</w:t>
      </w:r>
      <w:r>
        <w:rPr>
          <w:rFonts w:cs="Arial"/>
          <w:rtl/>
        </w:rPr>
        <w:t xml:space="preserve"> שכתב בר"פ אף על פי (סי' א)</w:t>
      </w:r>
      <w:r>
        <w:rPr>
          <w:rFonts w:cs="Arial" w:hint="cs"/>
          <w:rtl/>
        </w:rPr>
        <w:t>-</w:t>
      </w:r>
      <w:r>
        <w:rPr>
          <w:rFonts w:cs="Arial"/>
          <w:rtl/>
        </w:rPr>
        <w:t xml:space="preserve"> נפקא מינה לשביעית שאם פגמה הכתובה ולא פגמה התוספת משמטת הכל כאילו פגמה גם התוספת</w:t>
      </w:r>
      <w:r>
        <w:rPr>
          <w:rFonts w:cs="Arial" w:hint="cs"/>
          <w:rtl/>
        </w:rPr>
        <w:t>.</w:t>
      </w:r>
      <w:r>
        <w:rPr>
          <w:rFonts w:cs="Arial"/>
          <w:rtl/>
        </w:rPr>
        <w:t xml:space="preserve"> ע</w:t>
      </w:r>
      <w:r>
        <w:rPr>
          <w:rFonts w:cs="Arial" w:hint="cs"/>
          <w:rtl/>
        </w:rPr>
        <w:t xml:space="preserve">ד </w:t>
      </w:r>
      <w:r>
        <w:rPr>
          <w:rFonts w:cs="Arial"/>
          <w:rtl/>
        </w:rPr>
        <w:t>כ</w:t>
      </w:r>
      <w:r>
        <w:rPr>
          <w:rFonts w:cs="Arial" w:hint="cs"/>
          <w:rtl/>
        </w:rPr>
        <w:t>אן.</w:t>
      </w:r>
      <w:r>
        <w:rPr>
          <w:rFonts w:cs="Arial"/>
          <w:rtl/>
        </w:rPr>
        <w:t xml:space="preserve"> הרי שלא הזכיר אלא פגימה בלבד</w:t>
      </w:r>
      <w:r>
        <w:rPr>
          <w:rFonts w:cs="Arial" w:hint="cs"/>
          <w:rtl/>
        </w:rPr>
        <w:t>,</w:t>
      </w:r>
      <w:r>
        <w:rPr>
          <w:rFonts w:cs="Arial"/>
          <w:rtl/>
        </w:rPr>
        <w:t xml:space="preserve"> דמשמע דבפגימה או זקיפה סגי.</w:t>
      </w:r>
    </w:p>
  </w:footnote>
  <w:footnote w:id="2056">
    <w:p w14:paraId="52DE21E4" w14:textId="77777777" w:rsidR="00392DBB" w:rsidRDefault="00392DBB" w:rsidP="00392DBB">
      <w:pPr>
        <w:pStyle w:val="a5"/>
      </w:pPr>
      <w:r>
        <w:rPr>
          <w:rStyle w:val="a7"/>
        </w:rPr>
        <w:footnoteRef/>
      </w:r>
      <w:r>
        <w:rPr>
          <w:rtl/>
        </w:rPr>
        <w:t xml:space="preserve"> </w:t>
      </w:r>
      <w:r>
        <w:rPr>
          <w:rFonts w:cs="Arial" w:hint="cs"/>
          <w:rtl/>
        </w:rPr>
        <w:t xml:space="preserve">לאו דוקא משום שהוא מעשה בית דין אלא הוא </w:t>
      </w:r>
      <w:r w:rsidRPr="00E82D05">
        <w:rPr>
          <w:rFonts w:cs="Arial"/>
          <w:rtl/>
        </w:rPr>
        <w:t>הדין בכל החיוב שאדם חייב שלא ע"ד מלוה</w:t>
      </w:r>
      <w:r>
        <w:rPr>
          <w:rFonts w:cs="Arial" w:hint="cs"/>
          <w:rtl/>
        </w:rPr>
        <w:t>,</w:t>
      </w:r>
      <w:r w:rsidRPr="00E82D05">
        <w:rPr>
          <w:rFonts w:cs="Arial"/>
          <w:rtl/>
        </w:rPr>
        <w:t xml:space="preserve"> כ"כ תוס' והר"ן</w:t>
      </w:r>
      <w:r>
        <w:rPr>
          <w:rFonts w:cs="Arial" w:hint="cs"/>
          <w:rtl/>
        </w:rPr>
        <w:t>.</w:t>
      </w:r>
      <w:r w:rsidRPr="00E82D05">
        <w:rPr>
          <w:rFonts w:cs="Arial"/>
          <w:rtl/>
        </w:rPr>
        <w:t xml:space="preserve"> ולא כרש"י </w:t>
      </w:r>
      <w:r>
        <w:rPr>
          <w:rFonts w:cs="Arial" w:hint="cs"/>
          <w:rtl/>
        </w:rPr>
        <w:t>(גיטין יח. ד"ה ותזקוף) ו</w:t>
      </w:r>
      <w:r w:rsidRPr="00E82D05">
        <w:rPr>
          <w:rFonts w:cs="Arial"/>
          <w:rtl/>
        </w:rPr>
        <w:t>הטור שכתב</w:t>
      </w:r>
      <w:r>
        <w:rPr>
          <w:rFonts w:cs="Arial" w:hint="cs"/>
          <w:rtl/>
        </w:rPr>
        <w:t>ו</w:t>
      </w:r>
      <w:r w:rsidRPr="00E82D05">
        <w:rPr>
          <w:rFonts w:cs="Arial"/>
          <w:rtl/>
        </w:rPr>
        <w:t xml:space="preserve"> </w:t>
      </w:r>
      <w:r>
        <w:rPr>
          <w:rFonts w:cs="Arial" w:hint="cs"/>
          <w:rtl/>
        </w:rPr>
        <w:t>ש</w:t>
      </w:r>
      <w:r w:rsidRPr="00E82D05">
        <w:rPr>
          <w:rFonts w:cs="Arial"/>
          <w:rtl/>
        </w:rPr>
        <w:t>הטעם דאינו משמט משו</w:t>
      </w:r>
      <w:r>
        <w:rPr>
          <w:rFonts w:cs="Arial" w:hint="cs"/>
          <w:rtl/>
        </w:rPr>
        <w:t>ם</w:t>
      </w:r>
      <w:r w:rsidRPr="00E82D05">
        <w:rPr>
          <w:rFonts w:cs="Arial"/>
          <w:rtl/>
        </w:rPr>
        <w:t xml:space="preserve"> תנאי ב"ד</w:t>
      </w:r>
      <w:r>
        <w:rPr>
          <w:rFonts w:cs="Arial" w:hint="cs"/>
          <w:rtl/>
        </w:rPr>
        <w:t>, ע"פ ב"ש (סק"ו).</w:t>
      </w:r>
    </w:p>
  </w:footnote>
  <w:footnote w:id="2057">
    <w:p w14:paraId="3FB72849" w14:textId="2009595B" w:rsidR="00D96B47" w:rsidRDefault="00D96B47">
      <w:pPr>
        <w:pStyle w:val="a5"/>
      </w:pPr>
      <w:r>
        <w:rPr>
          <w:rStyle w:val="a7"/>
        </w:rPr>
        <w:footnoteRef/>
      </w:r>
      <w:r>
        <w:rPr>
          <w:rtl/>
        </w:rPr>
        <w:t xml:space="preserve"> </w:t>
      </w:r>
      <w:r>
        <w:rPr>
          <w:rFonts w:hint="cs"/>
          <w:rtl/>
        </w:rPr>
        <w:t>סימן - קדמת דנא.</w:t>
      </w:r>
    </w:p>
  </w:footnote>
  <w:footnote w:id="2058">
    <w:p w14:paraId="2EC6FC59" w14:textId="77777777" w:rsidR="00392DBB" w:rsidRDefault="00392DBB" w:rsidP="00392DBB">
      <w:pPr>
        <w:pStyle w:val="a5"/>
      </w:pPr>
      <w:r>
        <w:rPr>
          <w:rStyle w:val="a7"/>
        </w:rPr>
        <w:footnoteRef/>
      </w:r>
      <w:r>
        <w:rPr>
          <w:rtl/>
        </w:rPr>
        <w:t xml:space="preserve"> </w:t>
      </w:r>
      <w:r w:rsidRPr="00146485">
        <w:rPr>
          <w:rFonts w:cs="Arial"/>
          <w:rtl/>
        </w:rPr>
        <w:t>והיורשים זנוה שם</w:t>
      </w:r>
      <w:r>
        <w:rPr>
          <w:rFonts w:cs="Arial" w:hint="cs"/>
          <w:rtl/>
        </w:rPr>
        <w:t>, רש"י.</w:t>
      </w:r>
    </w:p>
  </w:footnote>
  <w:footnote w:id="2059">
    <w:p w14:paraId="22CBB7FA" w14:textId="77777777" w:rsidR="00392DBB" w:rsidRDefault="00392DBB" w:rsidP="00392DBB">
      <w:pPr>
        <w:pStyle w:val="a5"/>
      </w:pPr>
      <w:r>
        <w:rPr>
          <w:rStyle w:val="a7"/>
        </w:rPr>
        <w:footnoteRef/>
      </w:r>
      <w:r>
        <w:rPr>
          <w:rtl/>
        </w:rPr>
        <w:t xml:space="preserve"> </w:t>
      </w:r>
      <w:r w:rsidRPr="00146485">
        <w:rPr>
          <w:rFonts w:cs="Arial"/>
          <w:rtl/>
        </w:rPr>
        <w:t>כשתרצה</w:t>
      </w:r>
      <w:r>
        <w:rPr>
          <w:rFonts w:cs="Arial" w:hint="cs"/>
          <w:rtl/>
        </w:rPr>
        <w:t>, רש"י.</w:t>
      </w:r>
    </w:p>
  </w:footnote>
  <w:footnote w:id="2060">
    <w:p w14:paraId="7C5DBCE5" w14:textId="77777777" w:rsidR="00392DBB" w:rsidRDefault="00392DBB" w:rsidP="00392DBB">
      <w:pPr>
        <w:pStyle w:val="a5"/>
        <w:rPr>
          <w:rtl/>
        </w:rPr>
      </w:pPr>
      <w:r>
        <w:rPr>
          <w:rStyle w:val="a7"/>
        </w:rPr>
        <w:footnoteRef/>
      </w:r>
      <w:r>
        <w:rPr>
          <w:rtl/>
        </w:rPr>
        <w:t xml:space="preserve"> </w:t>
      </w:r>
      <w:r w:rsidRPr="00146485">
        <w:rPr>
          <w:rFonts w:cs="Arial"/>
          <w:rtl/>
        </w:rPr>
        <w:t>מנכסי יתומים נותנת לחם ומלח לשכניה</w:t>
      </w:r>
      <w:r>
        <w:rPr>
          <w:rFonts w:hint="cs"/>
          <w:rtl/>
        </w:rPr>
        <w:t>, רש"י.</w:t>
      </w:r>
    </w:p>
  </w:footnote>
  <w:footnote w:id="2061">
    <w:p w14:paraId="33249D8B" w14:textId="77777777" w:rsidR="00392DBB" w:rsidRDefault="00392DBB" w:rsidP="00392DBB">
      <w:pPr>
        <w:pStyle w:val="a5"/>
        <w:rPr>
          <w:rtl/>
        </w:rPr>
      </w:pPr>
      <w:r>
        <w:rPr>
          <w:rStyle w:val="a7"/>
        </w:rPr>
        <w:footnoteRef/>
      </w:r>
      <w:r>
        <w:rPr>
          <w:rtl/>
        </w:rPr>
        <w:t xml:space="preserve"> </w:t>
      </w:r>
      <w:r w:rsidRPr="00146485">
        <w:rPr>
          <w:rFonts w:cs="Arial"/>
          <w:rtl/>
        </w:rPr>
        <w:t>לא הוזכרו עשרים וחמש לענין הטובה שתעשה ולא אפסדוה רבנן כתובה וכשהוזכרו עשרים וחמש לענין המחילה הוזכרו דהואיל ושתקה ולא תבעה כל השנים הללו מחלתה הלכך כל זמן שהיא בבית בעלה אין שתיקתה מחילה אלא מפני שמכבדין אותה היא בושה למחות על כתובתה אבל בבית אביה מששתקה כ"ה שנים מחילה היא</w:t>
      </w:r>
      <w:r>
        <w:rPr>
          <w:rFonts w:hint="cs"/>
          <w:rtl/>
        </w:rPr>
        <w:t>, רש"י.</w:t>
      </w:r>
    </w:p>
  </w:footnote>
  <w:footnote w:id="2062">
    <w:p w14:paraId="1EBCBD2F" w14:textId="09D51E74" w:rsidR="00392DBB" w:rsidRPr="00662F2C" w:rsidRDefault="00392DBB" w:rsidP="00392DBB">
      <w:pPr>
        <w:pStyle w:val="a5"/>
        <w:rPr>
          <w:rFonts w:cs="Arial"/>
          <w:rtl/>
        </w:rPr>
      </w:pPr>
      <w:r>
        <w:rPr>
          <w:rStyle w:val="a7"/>
        </w:rPr>
        <w:footnoteRef/>
      </w:r>
      <w:r>
        <w:rPr>
          <w:rtl/>
        </w:rPr>
        <w:t xml:space="preserve"> </w:t>
      </w:r>
      <w:r w:rsidRPr="00146485">
        <w:rPr>
          <w:rFonts w:cs="Arial"/>
          <w:rtl/>
        </w:rPr>
        <w:t>כלומר צריכ</w:t>
      </w:r>
      <w:r>
        <w:rPr>
          <w:rFonts w:cs="Arial" w:hint="cs"/>
          <w:rtl/>
        </w:rPr>
        <w:t>ים</w:t>
      </w:r>
      <w:r w:rsidRPr="00146485">
        <w:rPr>
          <w:rFonts w:cs="Arial"/>
          <w:rtl/>
        </w:rPr>
        <w:t xml:space="preserve"> למחות על כתובתה בתוך כ"ה שנים</w:t>
      </w:r>
      <w:r>
        <w:rPr>
          <w:rFonts w:hint="cs"/>
          <w:rtl/>
        </w:rPr>
        <w:t>, רש"י.</w:t>
      </w:r>
      <w:r w:rsidRPr="00662F2C">
        <w:rPr>
          <w:rFonts w:cs="Arial"/>
          <w:rtl/>
        </w:rPr>
        <w:t xml:space="preserve"> </w:t>
      </w:r>
      <w:r>
        <w:rPr>
          <w:rFonts w:cs="Arial" w:hint="cs"/>
          <w:rtl/>
        </w:rPr>
        <w:t>וכתב הב"י</w:t>
      </w:r>
      <w:r w:rsidR="00D96B47">
        <w:rPr>
          <w:rFonts w:cs="Arial" w:hint="cs"/>
          <w:rtl/>
        </w:rPr>
        <w:t>:</w:t>
      </w:r>
      <w:r>
        <w:rPr>
          <w:rFonts w:cs="Arial" w:hint="cs"/>
          <w:rtl/>
        </w:rPr>
        <w:t xml:space="preserve"> </w:t>
      </w:r>
      <w:r>
        <w:rPr>
          <w:rFonts w:cs="Arial"/>
          <w:rtl/>
        </w:rPr>
        <w:t>כתבו הרי"ף (סב.) והרא"ש (סי' ז) הא דקתני יורשיה מזכירין כתובתה עד כ"ה שנה אוקימנא בפרק כל הנשבעין (שבועות מח.) שנשבעה ומתה</w:t>
      </w:r>
      <w:r>
        <w:rPr>
          <w:rFonts w:cs="Arial" w:hint="cs"/>
          <w:rtl/>
        </w:rPr>
        <w:t>,</w:t>
      </w:r>
      <w:r>
        <w:rPr>
          <w:rFonts w:cs="Arial"/>
          <w:rtl/>
        </w:rPr>
        <w:t xml:space="preserve"> דאין אדם מוריש שבועה לבניו</w:t>
      </w:r>
      <w:r>
        <w:rPr>
          <w:rFonts w:cs="Arial" w:hint="cs"/>
          <w:rtl/>
        </w:rPr>
        <w:t>,</w:t>
      </w:r>
      <w:r>
        <w:rPr>
          <w:rFonts w:cs="Arial"/>
          <w:rtl/>
        </w:rPr>
        <w:t xml:space="preserve"> וכבר נתבאר זה בסימן צ"ו (קמג.)</w:t>
      </w:r>
      <w:r>
        <w:rPr>
          <w:rFonts w:cs="Arial" w:hint="cs"/>
          <w:rtl/>
        </w:rPr>
        <w:t>.</w:t>
      </w:r>
    </w:p>
  </w:footnote>
  <w:footnote w:id="2063">
    <w:p w14:paraId="49B265D4" w14:textId="77777777" w:rsidR="00392DBB" w:rsidRDefault="00392DBB" w:rsidP="00392DBB">
      <w:pPr>
        <w:pStyle w:val="a5"/>
      </w:pPr>
      <w:r>
        <w:rPr>
          <w:rStyle w:val="a7"/>
        </w:rPr>
        <w:footnoteRef/>
      </w:r>
      <w:r>
        <w:rPr>
          <w:rtl/>
        </w:rPr>
        <w:t xml:space="preserve"> </w:t>
      </w:r>
      <w:r w:rsidRPr="0048018E">
        <w:rPr>
          <w:rFonts w:cs="Arial"/>
          <w:rtl/>
        </w:rPr>
        <w:t>ומונה כ"ה שנים משעת תביעה</w:t>
      </w:r>
      <w:r>
        <w:rPr>
          <w:rFonts w:cs="Arial" w:hint="cs"/>
          <w:rtl/>
        </w:rPr>
        <w:t>, רש"י.</w:t>
      </w:r>
    </w:p>
  </w:footnote>
  <w:footnote w:id="2064">
    <w:p w14:paraId="5BF940DE" w14:textId="77777777" w:rsidR="00392DBB" w:rsidRDefault="00392DBB" w:rsidP="00392DBB">
      <w:pPr>
        <w:pStyle w:val="a5"/>
      </w:pPr>
      <w:r>
        <w:rPr>
          <w:rStyle w:val="a7"/>
        </w:rPr>
        <w:footnoteRef/>
      </w:r>
      <w:r>
        <w:rPr>
          <w:rtl/>
        </w:rPr>
        <w:t xml:space="preserve"> </w:t>
      </w:r>
      <w:r w:rsidRPr="0048018E">
        <w:rPr>
          <w:rFonts w:cs="Arial"/>
          <w:rtl/>
        </w:rPr>
        <w:t>כדברי ר' מאיר או כדברי חכמים</w:t>
      </w:r>
      <w:r>
        <w:rPr>
          <w:rFonts w:cs="Arial" w:hint="cs"/>
          <w:rtl/>
        </w:rPr>
        <w:t>, רש"י.</w:t>
      </w:r>
    </w:p>
  </w:footnote>
  <w:footnote w:id="2065">
    <w:p w14:paraId="043A7019" w14:textId="77777777" w:rsidR="00392DBB" w:rsidRDefault="00392DBB" w:rsidP="00392DBB">
      <w:pPr>
        <w:pStyle w:val="a5"/>
      </w:pPr>
      <w:r>
        <w:rPr>
          <w:rStyle w:val="a7"/>
        </w:rPr>
        <w:footnoteRef/>
      </w:r>
      <w:r>
        <w:rPr>
          <w:rtl/>
        </w:rPr>
        <w:t xml:space="preserve"> </w:t>
      </w:r>
      <w:r w:rsidRPr="00401992">
        <w:rPr>
          <w:rFonts w:cs="Arial"/>
          <w:rtl/>
        </w:rPr>
        <w:t>אלמנה שלא גבתה כתובתה</w:t>
      </w:r>
      <w:r>
        <w:rPr>
          <w:rFonts w:cs="Arial" w:hint="cs"/>
          <w:rtl/>
        </w:rPr>
        <w:t>, רש"י.</w:t>
      </w:r>
    </w:p>
  </w:footnote>
  <w:footnote w:id="2066">
    <w:p w14:paraId="50EB34B1" w14:textId="77777777" w:rsidR="00392DBB" w:rsidRDefault="00392DBB" w:rsidP="00392DBB">
      <w:pPr>
        <w:pStyle w:val="a5"/>
      </w:pPr>
      <w:r>
        <w:rPr>
          <w:rStyle w:val="a7"/>
        </w:rPr>
        <w:footnoteRef/>
      </w:r>
      <w:r>
        <w:rPr>
          <w:rtl/>
        </w:rPr>
        <w:t xml:space="preserve"> </w:t>
      </w:r>
      <w:r w:rsidRPr="00401992">
        <w:rPr>
          <w:rFonts w:cs="Arial"/>
          <w:rtl/>
        </w:rPr>
        <w:t>ותובעין וגובין כתובתה</w:t>
      </w:r>
      <w:r>
        <w:rPr>
          <w:rFonts w:cs="Arial" w:hint="cs"/>
          <w:rtl/>
        </w:rPr>
        <w:t>, רש"י.</w:t>
      </w:r>
    </w:p>
  </w:footnote>
  <w:footnote w:id="2067">
    <w:p w14:paraId="6A513A52" w14:textId="5C09E0D2" w:rsidR="00392DBB" w:rsidRDefault="00392DBB" w:rsidP="00392DBB">
      <w:pPr>
        <w:pStyle w:val="a5"/>
      </w:pPr>
      <w:r>
        <w:rPr>
          <w:rStyle w:val="a7"/>
        </w:rPr>
        <w:footnoteRef/>
      </w:r>
      <w:r>
        <w:rPr>
          <w:rtl/>
        </w:rPr>
        <w:t xml:space="preserve"> </w:t>
      </w:r>
      <w:r w:rsidRPr="00401992">
        <w:rPr>
          <w:rFonts w:cs="Arial"/>
          <w:rtl/>
        </w:rPr>
        <w:t>משמת בעלה ואם עברו כ"ה שנים ולא תבעוה הפסידוה דהכי תנן בכתובות בהנושא (קד</w:t>
      </w:r>
      <w:r w:rsidR="00D96B47">
        <w:rPr>
          <w:rFonts w:cs="Arial" w:hint="cs"/>
          <w:rtl/>
        </w:rPr>
        <w:t>.</w:t>
      </w:r>
      <w:r w:rsidRPr="00401992">
        <w:rPr>
          <w:rFonts w:cs="Arial"/>
          <w:rtl/>
        </w:rPr>
        <w:t>) כל זמן שהיא בבית אביה שלא נטלה מזונות מן היתומין גובה כתובתה עד כ"ה שנים ואם לא תבעה מחלתה קתני מיהת יורשין גובין כתובתה ועל כרחך בשבועת יורשין יגבוה מן היתומין אף על גב דמית לוה בחיי מלוה שהוא מת בחייה ונתחייבה שבועה ליורשין אלמא הורישה שבועה ליורשיה</w:t>
      </w:r>
      <w:r>
        <w:rPr>
          <w:rFonts w:cs="Arial" w:hint="cs"/>
          <w:rtl/>
        </w:rPr>
        <w:t xml:space="preserve">, רש"י. </w:t>
      </w:r>
    </w:p>
  </w:footnote>
  <w:footnote w:id="2068">
    <w:p w14:paraId="49375BB1" w14:textId="77777777" w:rsidR="00392DBB" w:rsidRDefault="00392DBB" w:rsidP="00392DBB">
      <w:pPr>
        <w:pStyle w:val="a5"/>
        <w:rPr>
          <w:rtl/>
        </w:rPr>
      </w:pPr>
      <w:r>
        <w:rPr>
          <w:rStyle w:val="a7"/>
        </w:rPr>
        <w:footnoteRef/>
      </w:r>
      <w:r>
        <w:rPr>
          <w:rtl/>
        </w:rPr>
        <w:t xml:space="preserve"> </w:t>
      </w:r>
      <w:r w:rsidRPr="00B97831">
        <w:rPr>
          <w:rFonts w:cs="Arial"/>
          <w:rtl/>
        </w:rPr>
        <w:t xml:space="preserve">ובמרדכי </w:t>
      </w:r>
      <w:r>
        <w:rPr>
          <w:rFonts w:cs="Arial" w:hint="cs"/>
          <w:rtl/>
        </w:rPr>
        <w:t>(</w:t>
      </w:r>
      <w:r w:rsidRPr="00B97831">
        <w:rPr>
          <w:rFonts w:cs="Arial"/>
          <w:rtl/>
        </w:rPr>
        <w:t>ס</w:t>
      </w:r>
      <w:r>
        <w:rPr>
          <w:rFonts w:cs="Arial" w:hint="cs"/>
          <w:rtl/>
        </w:rPr>
        <w:t>"פ</w:t>
      </w:r>
      <w:r w:rsidRPr="00B97831">
        <w:rPr>
          <w:rFonts w:cs="Arial"/>
          <w:rtl/>
        </w:rPr>
        <w:t xml:space="preserve"> הנושא סי' רסה)</w:t>
      </w:r>
      <w:r>
        <w:rPr>
          <w:rFonts w:cs="Arial" w:hint="cs"/>
          <w:rtl/>
        </w:rPr>
        <w:t xml:space="preserve"> כתב</w:t>
      </w:r>
      <w:r w:rsidRPr="00B97831">
        <w:rPr>
          <w:rFonts w:cs="Arial"/>
          <w:rtl/>
        </w:rPr>
        <w:t xml:space="preserve"> </w:t>
      </w:r>
      <w:r>
        <w:rPr>
          <w:rFonts w:cs="Arial" w:hint="cs"/>
          <w:rtl/>
        </w:rPr>
        <w:t>ד</w:t>
      </w:r>
      <w:r w:rsidRPr="00B97831">
        <w:rPr>
          <w:rFonts w:cs="Arial"/>
          <w:rtl/>
        </w:rPr>
        <w:t>הוא הדין אם נשאת לאחר</w:t>
      </w:r>
      <w:r>
        <w:rPr>
          <w:rFonts w:cs="Arial" w:hint="cs"/>
          <w:rtl/>
        </w:rPr>
        <w:t>, דרכ"מ (אות ב).</w:t>
      </w:r>
      <w:r w:rsidRPr="005D6764">
        <w:rPr>
          <w:rFonts w:cs="Arial" w:hint="cs"/>
          <w:color w:val="00B0F0"/>
          <w:rtl/>
        </w:rPr>
        <w:t xml:space="preserve"> (וכ"פ בהג"ה)</w:t>
      </w:r>
    </w:p>
  </w:footnote>
  <w:footnote w:id="2069">
    <w:p w14:paraId="6BC57176" w14:textId="77777777" w:rsidR="00392DBB" w:rsidRDefault="00392DBB" w:rsidP="00392DBB">
      <w:pPr>
        <w:pStyle w:val="a5"/>
      </w:pPr>
      <w:r>
        <w:rPr>
          <w:rStyle w:val="a7"/>
        </w:rPr>
        <w:footnoteRef/>
      </w:r>
      <w:r>
        <w:rPr>
          <w:rtl/>
        </w:rPr>
        <w:t xml:space="preserve"> </w:t>
      </w:r>
      <w:r>
        <w:rPr>
          <w:rFonts w:cs="Arial" w:hint="cs"/>
          <w:rtl/>
        </w:rPr>
        <w:t xml:space="preserve">וכתב </w:t>
      </w:r>
      <w:r w:rsidRPr="00B97831">
        <w:rPr>
          <w:rFonts w:cs="Arial"/>
          <w:rtl/>
        </w:rPr>
        <w:t xml:space="preserve">הר"ן </w:t>
      </w:r>
      <w:r>
        <w:rPr>
          <w:rFonts w:cs="Arial" w:hint="cs"/>
          <w:rtl/>
        </w:rPr>
        <w:t>(</w:t>
      </w:r>
      <w:r w:rsidRPr="00B97831">
        <w:rPr>
          <w:rFonts w:cs="Arial"/>
          <w:rtl/>
        </w:rPr>
        <w:t>פ</w:t>
      </w:r>
      <w:r>
        <w:rPr>
          <w:rFonts w:cs="Arial" w:hint="cs"/>
          <w:rtl/>
        </w:rPr>
        <w:t>'</w:t>
      </w:r>
      <w:r w:rsidRPr="00B97831">
        <w:rPr>
          <w:rFonts w:cs="Arial"/>
          <w:rtl/>
        </w:rPr>
        <w:t xml:space="preserve"> הנושא סב. ד"ה יורשיה) דלאו דוקא תבעה אלא בזכירה בעלמא שתאמר ליורשים דמה ששותקת אינו משום מחילה סגי</w:t>
      </w:r>
      <w:r>
        <w:rPr>
          <w:rFonts w:cs="Arial" w:hint="cs"/>
          <w:rtl/>
        </w:rPr>
        <w:t>,</w:t>
      </w:r>
      <w:r w:rsidRPr="00B97831">
        <w:rPr>
          <w:rFonts w:cs="Arial"/>
          <w:rtl/>
        </w:rPr>
        <w:t xml:space="preserve"> וכן הוא בירושלמי (פי"ב ה"ה)</w:t>
      </w:r>
      <w:r>
        <w:rPr>
          <w:rFonts w:cs="Arial" w:hint="cs"/>
          <w:rtl/>
        </w:rPr>
        <w:t xml:space="preserve">, דרכ"מ (אות ג). </w:t>
      </w:r>
      <w:r w:rsidRPr="005D6764">
        <w:rPr>
          <w:rFonts w:cs="Arial" w:hint="cs"/>
          <w:color w:val="00B0F0"/>
          <w:rtl/>
        </w:rPr>
        <w:t>(וכ"פ בהג"ה)</w:t>
      </w:r>
    </w:p>
  </w:footnote>
  <w:footnote w:id="2070">
    <w:p w14:paraId="109EA5BE" w14:textId="77777777" w:rsidR="00392DBB" w:rsidRDefault="00392DBB" w:rsidP="00392DBB">
      <w:pPr>
        <w:pStyle w:val="a5"/>
      </w:pPr>
      <w:r>
        <w:rPr>
          <w:rStyle w:val="a7"/>
        </w:rPr>
        <w:footnoteRef/>
      </w:r>
      <w:r>
        <w:rPr>
          <w:rtl/>
        </w:rPr>
        <w:t xml:space="preserve"> </w:t>
      </w:r>
      <w:r w:rsidRPr="00EE72ED">
        <w:rPr>
          <w:rFonts w:cs="Arial"/>
          <w:rtl/>
        </w:rPr>
        <w:t>ה"ה אם אין נותנין לה מזונות כלל ג"כ גובה כתובתה כל זמן שהכתובה בידה</w:t>
      </w:r>
      <w:r>
        <w:rPr>
          <w:rFonts w:cs="Arial" w:hint="cs"/>
          <w:rtl/>
        </w:rPr>
        <w:t>..., ח"מ (סק"א).</w:t>
      </w:r>
      <w:r>
        <w:rPr>
          <w:rFonts w:hint="cs"/>
          <w:rtl/>
        </w:rPr>
        <w:t xml:space="preserve"> וכ"כ ב"ש (סק"ב).</w:t>
      </w:r>
    </w:p>
  </w:footnote>
  <w:footnote w:id="2071">
    <w:p w14:paraId="314936D3" w14:textId="77777777" w:rsidR="00392DBB" w:rsidRDefault="00392DBB" w:rsidP="00392DBB">
      <w:pPr>
        <w:pStyle w:val="a5"/>
      </w:pPr>
      <w:r>
        <w:rPr>
          <w:rStyle w:val="a7"/>
        </w:rPr>
        <w:footnoteRef/>
      </w:r>
      <w:r>
        <w:rPr>
          <w:rtl/>
        </w:rPr>
        <w:t xml:space="preserve"> </w:t>
      </w:r>
      <w:r w:rsidRPr="006C7F06">
        <w:rPr>
          <w:rFonts w:cs="Arial"/>
          <w:rtl/>
        </w:rPr>
        <w:t>כלו' אע</w:t>
      </w:r>
      <w:r>
        <w:rPr>
          <w:rFonts w:cs="Arial" w:hint="cs"/>
          <w:rtl/>
        </w:rPr>
        <w:t>"</w:t>
      </w:r>
      <w:r w:rsidRPr="006C7F06">
        <w:rPr>
          <w:rFonts w:cs="Arial"/>
          <w:rtl/>
        </w:rPr>
        <w:t>פ שנותנין לה מזונות בבית אביה אפ"ה אינה בושה מהם לתבוע כתובתה וכל שלא תבעה כ"ה שנים מחלה</w:t>
      </w:r>
      <w:r>
        <w:rPr>
          <w:rFonts w:cs="Arial" w:hint="cs"/>
          <w:rtl/>
        </w:rPr>
        <w:t>..., ח"מ</w:t>
      </w:r>
      <w:r w:rsidRPr="006C7F06">
        <w:rPr>
          <w:rFonts w:cs="Arial" w:hint="cs"/>
          <w:sz w:val="16"/>
          <w:szCs w:val="16"/>
          <w:rtl/>
        </w:rPr>
        <w:t xml:space="preserve"> (סק"ה)</w:t>
      </w:r>
      <w:r>
        <w:rPr>
          <w:rFonts w:cs="Arial" w:hint="cs"/>
          <w:rtl/>
        </w:rPr>
        <w:t>.</w:t>
      </w:r>
    </w:p>
  </w:footnote>
  <w:footnote w:id="2072">
    <w:p w14:paraId="60C91D75" w14:textId="77777777" w:rsidR="00392DBB" w:rsidRDefault="00392DBB" w:rsidP="00392DBB">
      <w:pPr>
        <w:pStyle w:val="a5"/>
      </w:pPr>
      <w:r>
        <w:rPr>
          <w:rStyle w:val="a7"/>
        </w:rPr>
        <w:footnoteRef/>
      </w:r>
      <w:r>
        <w:rPr>
          <w:rtl/>
        </w:rPr>
        <w:t xml:space="preserve"> </w:t>
      </w:r>
      <w:r w:rsidRPr="00417EA4">
        <w:rPr>
          <w:rFonts w:cs="Arial"/>
          <w:rtl/>
        </w:rPr>
        <w:t>אע</w:t>
      </w:r>
      <w:r>
        <w:rPr>
          <w:rFonts w:cs="Arial" w:hint="cs"/>
          <w:rtl/>
        </w:rPr>
        <w:t>"</w:t>
      </w:r>
      <w:r w:rsidRPr="00417EA4">
        <w:rPr>
          <w:rFonts w:cs="Arial"/>
          <w:rtl/>
        </w:rPr>
        <w:t>ג דאז אין לה מזונו</w:t>
      </w:r>
      <w:r>
        <w:rPr>
          <w:rFonts w:cs="Arial" w:hint="cs"/>
          <w:rtl/>
        </w:rPr>
        <w:t>ת</w:t>
      </w:r>
      <w:r w:rsidRPr="00417EA4">
        <w:rPr>
          <w:rFonts w:cs="Arial"/>
          <w:rtl/>
        </w:rPr>
        <w:t xml:space="preserve"> כלל מ"מ לכ</w:t>
      </w:r>
      <w:r>
        <w:rPr>
          <w:rFonts w:cs="Arial" w:hint="cs"/>
          <w:rtl/>
        </w:rPr>
        <w:t>ו</w:t>
      </w:r>
      <w:r w:rsidRPr="00417EA4">
        <w:rPr>
          <w:rFonts w:cs="Arial"/>
          <w:rtl/>
        </w:rPr>
        <w:t>"ע תוך כ"ה שנים לא הפסידה והנה בסי' הקודם מבואר כשנשאת לאחר ואין הכתובה בידה אינה גובה ובד"מ כתב רס"ז דאינה גובה אפילו במקום שאין כותבים כתובה לפ"ז צ"ל מ"ש כאן אחר שנשאת דגובה היינו כשהם מודים דחייבים לה וקמ"ל דלא תימא דמחלה להם אבל במרדכי ס"פ הנושא לכאורה לא משמע כן דהא הביא על דין זה דברי הסמ"ג שכ' דוקא במקום שאין כותבין אבל במקום שכותבין לא גביא והיינו מטעם די"ל פרענו מכלל דדין זה איירי אפי' אם אמרו פרענו אינן נאמנים במקום שאין כותבין אף לאחר שנשאת וכן מוכח ממ"ש בסי' הקודם גט ומיתה וכתובה כמ"ש שם והמרדכי דכתב בפ' אלמנה ניזונית אחר שנשאת אינה נאמנת אא"כ הכתובה בידה אין ראיה די"ל דס"ל כשיטות הפוסקים דס"ל אפי' במקום שכותבים כתובה גובה בלא כתובה מ"ה אחר שנשאת ס"ל אינה גובה אבל במקום שאין כותבין כתובה י"ל דמודים דגובה בלא כתובה והסוגי' שני גיטין איירי במקום שאין כותבין</w:t>
      </w:r>
      <w:r>
        <w:rPr>
          <w:rFonts w:cs="Arial" w:hint="cs"/>
          <w:rtl/>
        </w:rPr>
        <w:t>, ב"ש (סק"ו).</w:t>
      </w:r>
    </w:p>
  </w:footnote>
  <w:footnote w:id="2073">
    <w:p w14:paraId="1E7C056C" w14:textId="77777777" w:rsidR="00392DBB" w:rsidRDefault="00392DBB" w:rsidP="00392DBB">
      <w:pPr>
        <w:pStyle w:val="a5"/>
        <w:rPr>
          <w:rtl/>
        </w:rPr>
      </w:pPr>
      <w:r>
        <w:rPr>
          <w:rStyle w:val="a7"/>
        </w:rPr>
        <w:footnoteRef/>
      </w:r>
      <w:r>
        <w:rPr>
          <w:rtl/>
        </w:rPr>
        <w:t xml:space="preserve"> </w:t>
      </w:r>
      <w:r w:rsidRPr="00F81FD2">
        <w:rPr>
          <w:rFonts w:cs="Arial"/>
          <w:rtl/>
        </w:rPr>
        <w:t>עיין בתשו' אא"ז פנים מאירות ח"ב ר"ס קע"ד שכ' דמדברי הגמ' כתובות דף ק"ד יש ללמוד דמיד אחר שכלה יום אחרון של כ"ה שנה אפי' קודם צה"כ לאחר שקיעת החמה כיון דהוי בין השמשות והוא ספק ליל' מעמידין הממון בחזקת יורשי הבעל. ושם בסוף התשובה מבואר דחודש העיבור בכלל שנה וה"ה בכל השטרות ותקנו' שנזכר שנה חודש העיבור בכלל ע"ש ועמ"ש לעיל סי' נ"ג ס"ק י"א</w:t>
      </w:r>
      <w:r>
        <w:rPr>
          <w:rFonts w:hint="cs"/>
          <w:rtl/>
        </w:rPr>
        <w:t>, פת"ש (סק'"א).</w:t>
      </w:r>
    </w:p>
  </w:footnote>
  <w:footnote w:id="2074">
    <w:p w14:paraId="16E8B3A3" w14:textId="77777777" w:rsidR="00392DBB" w:rsidRDefault="00392DBB" w:rsidP="00392DBB">
      <w:pPr>
        <w:pStyle w:val="a5"/>
      </w:pPr>
      <w:r>
        <w:rPr>
          <w:rStyle w:val="a7"/>
        </w:rPr>
        <w:footnoteRef/>
      </w:r>
      <w:r>
        <w:rPr>
          <w:rtl/>
        </w:rPr>
        <w:t xml:space="preserve"> </w:t>
      </w:r>
      <w:r w:rsidRPr="00F81FD2">
        <w:rPr>
          <w:rFonts w:cs="Arial"/>
          <w:rtl/>
        </w:rPr>
        <w:t>עיין בס' ישועות יעקב שכ' יש להסתפק בדבר אם היא אומרת שזכרה והם מכחישים אותה איך הדין נוטה אי נאמנת או לא. והאריך קצת בזה ומסיים ויותר נראה שאינה נאמנת בזה ע"ש</w:t>
      </w:r>
      <w:r>
        <w:rPr>
          <w:rFonts w:cs="Arial" w:hint="cs"/>
          <w:rtl/>
        </w:rPr>
        <w:t>.</w:t>
      </w:r>
      <w:r w:rsidRPr="00F81FD2">
        <w:rPr>
          <w:rFonts w:cs="Arial"/>
          <w:rtl/>
        </w:rPr>
        <w:t xml:space="preserve"> ועיין בספר בית מאיר מזה</w:t>
      </w:r>
      <w:r>
        <w:rPr>
          <w:rFonts w:cs="Arial" w:hint="cs"/>
          <w:rtl/>
        </w:rPr>
        <w:t>, פת"ש (סק"ב).</w:t>
      </w:r>
    </w:p>
  </w:footnote>
  <w:footnote w:id="2075">
    <w:p w14:paraId="78403EEA" w14:textId="77777777" w:rsidR="00392DBB" w:rsidRDefault="00392DBB" w:rsidP="00392DBB">
      <w:pPr>
        <w:pStyle w:val="a5"/>
      </w:pPr>
      <w:r>
        <w:rPr>
          <w:rStyle w:val="a7"/>
        </w:rPr>
        <w:footnoteRef/>
      </w:r>
      <w:r>
        <w:rPr>
          <w:rtl/>
        </w:rPr>
        <w:t xml:space="preserve"> </w:t>
      </w:r>
      <w:r w:rsidRPr="005104B9">
        <w:rPr>
          <w:rFonts w:cs="Arial"/>
          <w:rtl/>
        </w:rPr>
        <w:t>ומת בלא בנים וירשו רב חייא אחיו</w:t>
      </w:r>
      <w:r>
        <w:rPr>
          <w:rFonts w:cs="Arial" w:hint="cs"/>
          <w:rtl/>
        </w:rPr>
        <w:t>, רש"י.</w:t>
      </w:r>
    </w:p>
  </w:footnote>
  <w:footnote w:id="2076">
    <w:p w14:paraId="53BA9AE1" w14:textId="77777777" w:rsidR="00392DBB" w:rsidRDefault="00392DBB" w:rsidP="00392DBB">
      <w:pPr>
        <w:pStyle w:val="a5"/>
      </w:pPr>
      <w:r>
        <w:rPr>
          <w:rStyle w:val="a7"/>
        </w:rPr>
        <w:footnoteRef/>
      </w:r>
      <w:r>
        <w:rPr>
          <w:rtl/>
        </w:rPr>
        <w:t xml:space="preserve"> </w:t>
      </w:r>
      <w:r w:rsidRPr="005104B9">
        <w:rPr>
          <w:rFonts w:cs="Arial"/>
          <w:rtl/>
        </w:rPr>
        <w:t>דאלמנה בבית אביה אינה גובה אלא עד כ"ה שנים כרבנן</w:t>
      </w:r>
      <w:r>
        <w:rPr>
          <w:rFonts w:cs="Arial" w:hint="cs"/>
          <w:rtl/>
        </w:rPr>
        <w:t>, רש"י.</w:t>
      </w:r>
    </w:p>
  </w:footnote>
  <w:footnote w:id="2077">
    <w:p w14:paraId="38D49DF4" w14:textId="77777777" w:rsidR="00392DBB" w:rsidRDefault="00392DBB" w:rsidP="00392DBB">
      <w:pPr>
        <w:pStyle w:val="a5"/>
      </w:pPr>
      <w:r>
        <w:rPr>
          <w:rStyle w:val="a7"/>
        </w:rPr>
        <w:footnoteRef/>
      </w:r>
      <w:r>
        <w:rPr>
          <w:rtl/>
        </w:rPr>
        <w:t xml:space="preserve"> </w:t>
      </w:r>
      <w:r w:rsidRPr="005104B9">
        <w:rPr>
          <w:rFonts w:cs="Arial"/>
          <w:rtl/>
        </w:rPr>
        <w:t>מזונותיה מיום ליום</w:t>
      </w:r>
      <w:r>
        <w:rPr>
          <w:rFonts w:cs="Arial" w:hint="cs"/>
          <w:rtl/>
        </w:rPr>
        <w:t>, רש"י.</w:t>
      </w:r>
    </w:p>
  </w:footnote>
  <w:footnote w:id="2078">
    <w:p w14:paraId="4FBC68EA" w14:textId="77777777" w:rsidR="00392DBB" w:rsidRDefault="00392DBB" w:rsidP="00392DBB">
      <w:pPr>
        <w:pStyle w:val="a5"/>
      </w:pPr>
      <w:r>
        <w:rPr>
          <w:rStyle w:val="a7"/>
        </w:rPr>
        <w:footnoteRef/>
      </w:r>
      <w:r>
        <w:rPr>
          <w:rtl/>
        </w:rPr>
        <w:t xml:space="preserve"> </w:t>
      </w:r>
      <w:r w:rsidRPr="005104B9">
        <w:rPr>
          <w:rFonts w:cs="Arial"/>
          <w:rtl/>
        </w:rPr>
        <w:t>מחמת הכבוד הזה שעשית לה</w:t>
      </w:r>
      <w:r>
        <w:rPr>
          <w:rFonts w:cs="Arial" w:hint="cs"/>
          <w:rtl/>
        </w:rPr>
        <w:t>, רש"י.</w:t>
      </w:r>
    </w:p>
  </w:footnote>
  <w:footnote w:id="2079">
    <w:p w14:paraId="0A11B998" w14:textId="1A44FC41"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B97831">
        <w:rPr>
          <w:rFonts w:cs="Arial"/>
          <w:rtl/>
        </w:rPr>
        <w:t>אם היה היורש עצמו מוליך מזונותיה לבית אביה ומיטפל בה יש לה לתבוע כתובתה אפילו אחר כ"ה שנה מפני שזה ששתקה ולא תבעה מפני שהיא בושה מן היורשים</w:t>
      </w:r>
      <w:r>
        <w:rPr>
          <w:rFonts w:cs="Arial" w:hint="cs"/>
          <w:rtl/>
        </w:rPr>
        <w:t>.</w:t>
      </w:r>
    </w:p>
  </w:footnote>
  <w:footnote w:id="2080">
    <w:p w14:paraId="6509B4DD" w14:textId="1C3BDCFF" w:rsidR="00392DBB" w:rsidRDefault="00392DBB" w:rsidP="00392DBB">
      <w:pPr>
        <w:pStyle w:val="a5"/>
        <w:rPr>
          <w:rtl/>
        </w:rPr>
      </w:pPr>
      <w:r>
        <w:rPr>
          <w:rStyle w:val="a7"/>
        </w:rPr>
        <w:footnoteRef/>
      </w:r>
      <w:r>
        <w:rPr>
          <w:rFonts w:hint="cs"/>
          <w:rtl/>
        </w:rPr>
        <w:t xml:space="preserve"> וכתב הרא"ש על דבריו</w:t>
      </w:r>
      <w:r w:rsidR="00DE413D">
        <w:rPr>
          <w:rFonts w:hint="cs"/>
          <w:rtl/>
        </w:rPr>
        <w:t>:</w:t>
      </w:r>
      <w:r>
        <w:rPr>
          <w:rtl/>
        </w:rPr>
        <w:t xml:space="preserve"> </w:t>
      </w:r>
      <w:r w:rsidRPr="005104B9">
        <w:rPr>
          <w:rFonts w:cs="Arial"/>
          <w:rtl/>
        </w:rPr>
        <w:t>ומיהו י"ל דשאני התם דבכתפיה אמטי לה</w:t>
      </w:r>
      <w:r w:rsidRPr="005104B9">
        <w:rPr>
          <w:rFonts w:cs="Arial" w:hint="cs"/>
          <w:rtl/>
        </w:rPr>
        <w:t>,</w:t>
      </w:r>
      <w:r w:rsidRPr="005104B9">
        <w:rPr>
          <w:rFonts w:cs="Arial"/>
          <w:rtl/>
        </w:rPr>
        <w:t xml:space="preserve"> אבל אם נתנו לה דמי מזונות אינה גובה</w:t>
      </w:r>
      <w:r>
        <w:rPr>
          <w:rFonts w:cs="Arial" w:hint="cs"/>
          <w:rtl/>
        </w:rPr>
        <w:t xml:space="preserve">. </w:t>
      </w:r>
    </w:p>
  </w:footnote>
  <w:footnote w:id="2081">
    <w:p w14:paraId="406C686A" w14:textId="77777777" w:rsidR="00392DBB" w:rsidRDefault="00392DBB" w:rsidP="00392DBB">
      <w:pPr>
        <w:pStyle w:val="a5"/>
      </w:pPr>
      <w:r>
        <w:rPr>
          <w:rStyle w:val="a7"/>
        </w:rPr>
        <w:footnoteRef/>
      </w:r>
      <w:r>
        <w:rPr>
          <w:rtl/>
        </w:rPr>
        <w:t xml:space="preserve"> </w:t>
      </w:r>
      <w:r w:rsidRPr="00B5497E">
        <w:rPr>
          <w:rFonts w:cs="Arial"/>
          <w:rtl/>
        </w:rPr>
        <w:t>משמע דתרתי בעי' שאין נותנין לה דמים רק מזונות מוכנים וגם שמביאים לה בעצמם ולא שולחין לה ע"י שליח</w:t>
      </w:r>
      <w:r>
        <w:rPr>
          <w:rFonts w:cs="Arial" w:hint="cs"/>
          <w:rtl/>
        </w:rPr>
        <w:t>, ח"מ (סק"ח).</w:t>
      </w:r>
    </w:p>
  </w:footnote>
  <w:footnote w:id="2082">
    <w:p w14:paraId="19EE7417" w14:textId="77777777" w:rsidR="00392DBB" w:rsidRDefault="00392DBB" w:rsidP="00392DBB">
      <w:pPr>
        <w:pStyle w:val="a5"/>
        <w:rPr>
          <w:rtl/>
        </w:rPr>
      </w:pPr>
      <w:r>
        <w:rPr>
          <w:rStyle w:val="a7"/>
        </w:rPr>
        <w:footnoteRef/>
      </w:r>
      <w:r>
        <w:rPr>
          <w:rtl/>
        </w:rPr>
        <w:t xml:space="preserve"> </w:t>
      </w:r>
      <w:r w:rsidRPr="00E31458">
        <w:rPr>
          <w:rFonts w:cs="Arial"/>
          <w:rtl/>
        </w:rPr>
        <w:t>דבכ"ה שנים מחלה</w:t>
      </w:r>
      <w:r>
        <w:rPr>
          <w:rFonts w:hint="cs"/>
          <w:rtl/>
        </w:rPr>
        <w:t>, רש"י.</w:t>
      </w:r>
    </w:p>
  </w:footnote>
  <w:footnote w:id="2083">
    <w:p w14:paraId="6BE85811" w14:textId="77777777" w:rsidR="00392DBB" w:rsidRDefault="00392DBB" w:rsidP="00392DBB">
      <w:pPr>
        <w:pStyle w:val="a5"/>
      </w:pPr>
      <w:r>
        <w:rPr>
          <w:rStyle w:val="a7"/>
        </w:rPr>
        <w:footnoteRef/>
      </w:r>
      <w:r>
        <w:rPr>
          <w:rtl/>
        </w:rPr>
        <w:t xml:space="preserve"> </w:t>
      </w:r>
      <w:r w:rsidRPr="00E31458">
        <w:rPr>
          <w:rFonts w:cs="Arial"/>
          <w:rtl/>
        </w:rPr>
        <w:t>שהם שם כתובה</w:t>
      </w:r>
      <w:r>
        <w:rPr>
          <w:rFonts w:cs="Arial" w:hint="cs"/>
          <w:rtl/>
        </w:rPr>
        <w:t>, רש"י.</w:t>
      </w:r>
    </w:p>
  </w:footnote>
  <w:footnote w:id="2084">
    <w:p w14:paraId="4B87697A" w14:textId="77777777" w:rsidR="00392DBB" w:rsidRDefault="00392DBB" w:rsidP="00392DBB">
      <w:pPr>
        <w:pStyle w:val="a5"/>
      </w:pPr>
      <w:r>
        <w:rPr>
          <w:rStyle w:val="a7"/>
        </w:rPr>
        <w:footnoteRef/>
      </w:r>
      <w:r>
        <w:rPr>
          <w:rtl/>
        </w:rPr>
        <w:t xml:space="preserve"> </w:t>
      </w:r>
      <w:r w:rsidRPr="00E31458">
        <w:rPr>
          <w:rFonts w:cs="Arial"/>
          <w:rtl/>
        </w:rPr>
        <w:t>דמתנה היא ולאו כתובה</w:t>
      </w:r>
      <w:r>
        <w:rPr>
          <w:rFonts w:cs="Arial" w:hint="cs"/>
          <w:rtl/>
        </w:rPr>
        <w:t>, רש"י.</w:t>
      </w:r>
    </w:p>
  </w:footnote>
  <w:footnote w:id="2085">
    <w:p w14:paraId="24E65D57" w14:textId="77777777" w:rsidR="00392DBB" w:rsidRDefault="00392DBB" w:rsidP="00392DBB">
      <w:pPr>
        <w:pStyle w:val="a5"/>
      </w:pPr>
      <w:r>
        <w:rPr>
          <w:rStyle w:val="a7"/>
        </w:rPr>
        <w:footnoteRef/>
      </w:r>
      <w:r>
        <w:rPr>
          <w:rtl/>
        </w:rPr>
        <w:t xml:space="preserve"> </w:t>
      </w:r>
      <w:r>
        <w:rPr>
          <w:rFonts w:hint="cs"/>
          <w:rtl/>
        </w:rPr>
        <w:t>תוספת, רש"י.</w:t>
      </w:r>
    </w:p>
  </w:footnote>
  <w:footnote w:id="2086">
    <w:p w14:paraId="34979B49" w14:textId="77777777" w:rsidR="00392DBB" w:rsidRDefault="00392DBB" w:rsidP="00392DBB">
      <w:pPr>
        <w:pStyle w:val="a5"/>
      </w:pPr>
      <w:r>
        <w:rPr>
          <w:rStyle w:val="a7"/>
        </w:rPr>
        <w:footnoteRef/>
      </w:r>
      <w:r>
        <w:rPr>
          <w:rtl/>
        </w:rPr>
        <w:t xml:space="preserve"> </w:t>
      </w:r>
      <w:r w:rsidRPr="00D53987">
        <w:rPr>
          <w:rFonts w:cs="Arial"/>
          <w:rtl/>
        </w:rPr>
        <w:t>האי דמתמהת ואמרת אמר רב הכי משום דלא סבירא לך הוא ולאשתיקן קאמרת או משום דחביבה עלך ולאשקיין קאמרת דאי אמרה רב משקית לי חמרא דשפיר אמר</w:t>
      </w:r>
      <w:r>
        <w:rPr>
          <w:rFonts w:cs="Arial" w:hint="cs"/>
          <w:rtl/>
        </w:rPr>
        <w:t>, רש"י.</w:t>
      </w:r>
    </w:p>
  </w:footnote>
  <w:footnote w:id="2087">
    <w:p w14:paraId="372D20B4" w14:textId="77777777" w:rsidR="00392DBB" w:rsidRDefault="00392DBB" w:rsidP="00392DBB">
      <w:pPr>
        <w:pStyle w:val="a5"/>
        <w:rPr>
          <w:rtl/>
        </w:rPr>
      </w:pPr>
      <w:r>
        <w:rPr>
          <w:rStyle w:val="a7"/>
        </w:rPr>
        <w:footnoteRef/>
      </w:r>
      <w:r>
        <w:rPr>
          <w:rtl/>
        </w:rPr>
        <w:t xml:space="preserve"> </w:t>
      </w:r>
      <w:r>
        <w:rPr>
          <w:rFonts w:cs="Arial"/>
          <w:rtl/>
        </w:rPr>
        <w:t>שהוא ז"ל גורס אמר רבי יהושע בן לוי משום בר קפרא לא שנו אלא מנה ומאתים אבל תוספת אין לה ורבי אבהו אמר רבי יוחנן אפילו תוספת יש לה דאמר רבי איבו אמר רבי ינאי תנאי כתובה ככתובה דמי וכן הלכתא. וכתב הר"ן (שם) ה"פ ל"ש דגובה לעולם בששטר כתובה יוצא מתחת ידה אלא מנה מאתים דמשעבדי לה בתקנתא דרבנן אבל תוספת מכ"ה שנה ואילך לית לה כיון שלא תבעתו בתוך כ"ה שנה ורבי יוחנן אמר אפילו תוספת יש לה דתנאי כתובה ככתובה דמי וכיון דאית לה מנה ומאתים אית לה נמי תוספת ואין גירסא זו מחוורת דהיכי לימא רבי יהושע בן לוי שיהא דין התוספת גרוע מן העיקר דאדרבה תוספת דמי לחוב שדינו לגבות לעולם ומצינו שייפו כחו מן העיקר דהא אמרינן בפרק אלמנה נזונת (קא.) אין להם מנה מאתים אבל תוספת יש להם לפיכך נראה העיקר כגירסת רש"י (קד:) שגורס ל"ש אלא מנה מאתים אבל תוספת יש לה ורבי אבהו אמר רבי יוחנן אפילו תוספת אין לה והכי איתא בהדיא בירושלמי (כתובות פי"ב ה"ה) עכ"ל</w:t>
      </w:r>
      <w:r>
        <w:rPr>
          <w:rFonts w:hint="cs"/>
          <w:sz w:val="16"/>
          <w:szCs w:val="16"/>
          <w:rtl/>
        </w:rPr>
        <w:t xml:space="preserve"> [הר"ן]</w:t>
      </w:r>
      <w:r>
        <w:rPr>
          <w:rFonts w:hint="cs"/>
          <w:rtl/>
        </w:rPr>
        <w:t>, ב"י.</w:t>
      </w:r>
    </w:p>
  </w:footnote>
  <w:footnote w:id="2088">
    <w:p w14:paraId="594C636B" w14:textId="00ECE888" w:rsidR="00392DBB" w:rsidRDefault="00392DBB" w:rsidP="00392DBB">
      <w:pPr>
        <w:pStyle w:val="a5"/>
        <w:rPr>
          <w:rtl/>
        </w:rPr>
      </w:pPr>
      <w:r>
        <w:rPr>
          <w:rStyle w:val="a7"/>
        </w:rPr>
        <w:footnoteRef/>
      </w:r>
      <w:r>
        <w:rPr>
          <w:rtl/>
        </w:rPr>
        <w:t xml:space="preserve"> </w:t>
      </w:r>
      <w:r>
        <w:rPr>
          <w:rFonts w:cs="Arial"/>
          <w:rtl/>
        </w:rPr>
        <w:t>נראה שדקדק כך רבינו מדכתב הרמב"ם בפרק י"ו (הכ"ג) כלשון הזה</w:t>
      </w:r>
      <w:r w:rsidR="001D576F">
        <w:rPr>
          <w:rFonts w:cs="Arial" w:hint="cs"/>
          <w:rtl/>
        </w:rPr>
        <w:t>:</w:t>
      </w:r>
      <w:r>
        <w:rPr>
          <w:rFonts w:cs="Arial"/>
          <w:rtl/>
        </w:rPr>
        <w:t xml:space="preserve"> ועד כמה תגבה האלמנה העיקר במקום שאין כותבין כתובה אם היתה בבית בעלה גובה לעולם ואם היתה בבית אביה עד כ"ה שנה ואם באה לתבוע אחר כ"ה שנה אין לה כלום שאילו לא מחלה לא שתקה כל זמן זה</w:t>
      </w:r>
      <w:r>
        <w:rPr>
          <w:rFonts w:cs="Arial" w:hint="cs"/>
          <w:sz w:val="16"/>
          <w:szCs w:val="16"/>
          <w:rtl/>
        </w:rPr>
        <w:t xml:space="preserve"> [עכ"ל הרמב"ם]</w:t>
      </w:r>
      <w:r>
        <w:rPr>
          <w:rFonts w:cs="Arial" w:hint="cs"/>
          <w:rtl/>
        </w:rPr>
        <w:t>.</w:t>
      </w:r>
      <w:r>
        <w:rPr>
          <w:rFonts w:cs="Arial"/>
          <w:rtl/>
        </w:rPr>
        <w:t xml:space="preserve"> ומשמע לרבינו דמחילה דאחר כ"ה שנה כשהיא בבית אביה אגביית עיקר שכת' ברישא קאי ולא אתוספת</w:t>
      </w:r>
      <w:r>
        <w:rPr>
          <w:rFonts w:cs="Arial" w:hint="cs"/>
          <w:rtl/>
        </w:rPr>
        <w:t>.</w:t>
      </w:r>
      <w:r>
        <w:rPr>
          <w:rFonts w:cs="Arial"/>
          <w:rtl/>
        </w:rPr>
        <w:t xml:space="preserve"> ולי נראה דאיכא למימר דאין הכי נמי דתוספת נמי הויא שתיקה מחילה</w:t>
      </w:r>
      <w:r>
        <w:rPr>
          <w:rFonts w:cs="Arial" w:hint="cs"/>
          <w:rtl/>
        </w:rPr>
        <w:t>,</w:t>
      </w:r>
      <w:r>
        <w:rPr>
          <w:rFonts w:cs="Arial"/>
          <w:rtl/>
        </w:rPr>
        <w:t xml:space="preserve"> ומה שלא הזכיר אלא העיקר משום דבמקו' שאין כותבין מיירי</w:t>
      </w:r>
      <w:r>
        <w:rPr>
          <w:rFonts w:cs="Arial" w:hint="cs"/>
          <w:rtl/>
        </w:rPr>
        <w:t>,</w:t>
      </w:r>
      <w:r>
        <w:rPr>
          <w:rFonts w:cs="Arial"/>
          <w:rtl/>
        </w:rPr>
        <w:t xml:space="preserve"> וכבר כתב (שם הכ"ב) דתוספת אין לה בכל מקום אלא בראיה ברורה</w:t>
      </w:r>
      <w:r>
        <w:rPr>
          <w:rFonts w:cs="Arial" w:hint="cs"/>
          <w:rtl/>
        </w:rPr>
        <w:t>,</w:t>
      </w:r>
      <w:r>
        <w:rPr>
          <w:rFonts w:cs="Arial"/>
          <w:rtl/>
        </w:rPr>
        <w:t xml:space="preserve"> ואם כן בלא טענת מחילה נמי לית לה תוספת כל שאין לה ראיה ברורה</w:t>
      </w:r>
      <w:r>
        <w:rPr>
          <w:rFonts w:cs="Arial" w:hint="cs"/>
          <w:rtl/>
        </w:rPr>
        <w:t>,</w:t>
      </w:r>
      <w:r>
        <w:rPr>
          <w:rFonts w:cs="Arial"/>
          <w:rtl/>
        </w:rPr>
        <w:t xml:space="preserve"> אבל עיקר לעולם יש לה</w:t>
      </w:r>
      <w:r>
        <w:rPr>
          <w:rFonts w:cs="Arial" w:hint="cs"/>
          <w:rtl/>
        </w:rPr>
        <w:t>,</w:t>
      </w:r>
      <w:r>
        <w:rPr>
          <w:rFonts w:cs="Arial"/>
          <w:rtl/>
        </w:rPr>
        <w:t xml:space="preserve"> אלא היכא ששהתה כ"ה שנה ומשום טענת מחילה</w:t>
      </w:r>
      <w:r>
        <w:rPr>
          <w:rFonts w:cs="Arial" w:hint="cs"/>
          <w:rtl/>
        </w:rPr>
        <w:t>.</w:t>
      </w:r>
      <w:r>
        <w:rPr>
          <w:rFonts w:cs="Arial"/>
          <w:rtl/>
        </w:rPr>
        <w:t xml:space="preserve"> ומטעם זה נקט עיקר</w:t>
      </w:r>
      <w:r>
        <w:rPr>
          <w:rFonts w:cs="Arial" w:hint="cs"/>
          <w:rtl/>
        </w:rPr>
        <w:t>,</w:t>
      </w:r>
      <w:r>
        <w:rPr>
          <w:rFonts w:cs="Arial"/>
          <w:rtl/>
        </w:rPr>
        <w:t xml:space="preserve"> אבל אין הכי נמי דהיכא דאית לה ראיה ברורה על התוספת אם היא בבית אביה ושתקה כ"ה שנה מחלה נמי תוספת</w:t>
      </w:r>
      <w:r>
        <w:rPr>
          <w:rFonts w:cs="Arial" w:hint="cs"/>
          <w:rtl/>
        </w:rPr>
        <w:t>.</w:t>
      </w:r>
      <w:r>
        <w:rPr>
          <w:rFonts w:cs="Arial"/>
          <w:rtl/>
        </w:rPr>
        <w:t xml:space="preserve"> וכן כתב הרב המגיד ז"ל</w:t>
      </w:r>
      <w:r>
        <w:rPr>
          <w:rFonts w:cs="Arial" w:hint="cs"/>
          <w:rtl/>
        </w:rPr>
        <w:t>, ב"י.</w:t>
      </w:r>
    </w:p>
  </w:footnote>
  <w:footnote w:id="2089">
    <w:p w14:paraId="628EEB64" w14:textId="297E7D3C" w:rsidR="00392DBB" w:rsidRDefault="00392DBB" w:rsidP="00392DBB">
      <w:pPr>
        <w:pStyle w:val="a5"/>
        <w:rPr>
          <w:rtl/>
        </w:rPr>
      </w:pPr>
      <w:r>
        <w:rPr>
          <w:rStyle w:val="a7"/>
        </w:rPr>
        <w:footnoteRef/>
      </w:r>
      <w:r>
        <w:rPr>
          <w:rtl/>
        </w:rPr>
        <w:t xml:space="preserve"> </w:t>
      </w:r>
      <w:r w:rsidRPr="00D654CC">
        <w:rPr>
          <w:rFonts w:cs="Arial"/>
          <w:rtl/>
        </w:rPr>
        <w:t>קשה אי מיירי בשטר כתובה יוצא מתחת ידה אף כתובה אינה מוחלת ואי אין כתובה בידה אינה יכולה לגבות הנדוניא</w:t>
      </w:r>
      <w:r w:rsidR="001D576F">
        <w:rPr>
          <w:rFonts w:cs="Arial" w:hint="cs"/>
          <w:rtl/>
        </w:rPr>
        <w:t>.</w:t>
      </w:r>
      <w:r w:rsidRPr="00D654CC">
        <w:rPr>
          <w:rFonts w:cs="Arial"/>
          <w:rtl/>
        </w:rPr>
        <w:t xml:space="preserve"> והמ"מ כתב דמיירי שהיורשים מודים שלא פרעוה אע</w:t>
      </w:r>
      <w:r w:rsidR="001D576F">
        <w:rPr>
          <w:rFonts w:cs="Arial" w:hint="cs"/>
          <w:rtl/>
        </w:rPr>
        <w:t>"</w:t>
      </w:r>
      <w:r w:rsidRPr="00D654CC">
        <w:rPr>
          <w:rFonts w:cs="Arial"/>
          <w:rtl/>
        </w:rPr>
        <w:t>פ שאבדה כתובתה עיקר ותוספות לא אבדה הנדוניא</w:t>
      </w:r>
      <w:r>
        <w:rPr>
          <w:rFonts w:hint="cs"/>
          <w:rtl/>
        </w:rPr>
        <w:t>, ח"מ (סק"ט).</w:t>
      </w:r>
    </w:p>
  </w:footnote>
  <w:footnote w:id="2090">
    <w:p w14:paraId="1FE94E45" w14:textId="77777777" w:rsidR="00392DBB" w:rsidRDefault="00392DBB" w:rsidP="00392DBB">
      <w:pPr>
        <w:pStyle w:val="a5"/>
      </w:pPr>
      <w:r>
        <w:rPr>
          <w:rStyle w:val="a7"/>
        </w:rPr>
        <w:footnoteRef/>
      </w:r>
      <w:r>
        <w:rPr>
          <w:rtl/>
        </w:rPr>
        <w:t xml:space="preserve"> </w:t>
      </w:r>
      <w:r w:rsidRPr="00B97831">
        <w:rPr>
          <w:rFonts w:cs="Arial"/>
          <w:rtl/>
        </w:rPr>
        <w:t>חוב לגבות לעולם שלא בהזכרה דודאי לא מחלה</w:t>
      </w:r>
      <w:r>
        <w:rPr>
          <w:rFonts w:cs="Arial" w:hint="cs"/>
          <w:rtl/>
        </w:rPr>
        <w:t>, רש"י.</w:t>
      </w:r>
    </w:p>
  </w:footnote>
  <w:footnote w:id="2091">
    <w:p w14:paraId="79AA452E" w14:textId="169F98D4" w:rsidR="007C7A00" w:rsidRDefault="007C7A00">
      <w:pPr>
        <w:pStyle w:val="a5"/>
      </w:pPr>
      <w:r>
        <w:rPr>
          <w:rStyle w:val="a7"/>
        </w:rPr>
        <w:footnoteRef/>
      </w:r>
      <w:r>
        <w:rPr>
          <w:rtl/>
        </w:rPr>
        <w:t xml:space="preserve"> </w:t>
      </w:r>
      <w:r>
        <w:rPr>
          <w:rFonts w:hint="cs"/>
          <w:rtl/>
        </w:rPr>
        <w:t>סימן - פווווו (מעיף אותה).</w:t>
      </w:r>
    </w:p>
  </w:footnote>
  <w:footnote w:id="2092">
    <w:p w14:paraId="546C78F8" w14:textId="77777777" w:rsidR="00392DBB" w:rsidRDefault="00392DBB" w:rsidP="00392DBB">
      <w:pPr>
        <w:pStyle w:val="a5"/>
      </w:pPr>
      <w:r>
        <w:rPr>
          <w:rStyle w:val="a7"/>
        </w:rPr>
        <w:footnoteRef/>
      </w:r>
      <w:r>
        <w:rPr>
          <w:rtl/>
        </w:rPr>
        <w:t xml:space="preserve"> </w:t>
      </w:r>
      <w:r w:rsidRPr="00BF6CFA">
        <w:rPr>
          <w:rFonts w:cs="Arial"/>
          <w:rtl/>
        </w:rPr>
        <w:t>שלא תנעול דלת</w:t>
      </w:r>
      <w:r>
        <w:rPr>
          <w:rFonts w:cs="Arial" w:hint="cs"/>
          <w:rtl/>
        </w:rPr>
        <w:t>, רש"י.</w:t>
      </w:r>
    </w:p>
  </w:footnote>
  <w:footnote w:id="2093">
    <w:p w14:paraId="60699C02" w14:textId="47EE8D88" w:rsidR="00392DBB" w:rsidRDefault="00392DBB" w:rsidP="00392DBB">
      <w:pPr>
        <w:pStyle w:val="a5"/>
      </w:pPr>
      <w:r>
        <w:rPr>
          <w:rStyle w:val="a7"/>
        </w:rPr>
        <w:footnoteRef/>
      </w:r>
      <w:r>
        <w:rPr>
          <w:rtl/>
        </w:rPr>
        <w:t xml:space="preserve"> </w:t>
      </w:r>
      <w:r w:rsidRPr="00BF6CFA">
        <w:rPr>
          <w:rFonts w:cs="Arial"/>
          <w:rtl/>
        </w:rPr>
        <w:t>ולא חיישינן לומר משום חינא</w:t>
      </w:r>
      <w:r w:rsidR="001F0FCA">
        <w:rPr>
          <w:rFonts w:cs="Arial" w:hint="cs"/>
          <w:rtl/>
        </w:rPr>
        <w:t>.</w:t>
      </w:r>
      <w:r w:rsidRPr="00BF6CFA">
        <w:rPr>
          <w:rFonts w:cs="Arial"/>
          <w:rtl/>
        </w:rPr>
        <w:t xml:space="preserve"> ודוקא שהשטרות נכתבו ביום אחד</w:t>
      </w:r>
      <w:r w:rsidR="001F0FCA">
        <w:rPr>
          <w:rFonts w:cs="Arial" w:hint="cs"/>
          <w:rtl/>
        </w:rPr>
        <w:t>,</w:t>
      </w:r>
      <w:r w:rsidRPr="00BF6CFA">
        <w:rPr>
          <w:rFonts w:cs="Arial"/>
          <w:rtl/>
        </w:rPr>
        <w:t xml:space="preserve"> אבל אם קדמה זמן הכתובה היא גובה</w:t>
      </w:r>
      <w:r>
        <w:rPr>
          <w:rFonts w:cs="Arial" w:hint="cs"/>
          <w:rtl/>
        </w:rPr>
        <w:t>, רש"י.</w:t>
      </w:r>
    </w:p>
  </w:footnote>
  <w:footnote w:id="2094">
    <w:p w14:paraId="60E6CBE7" w14:textId="77777777" w:rsidR="00FF595A" w:rsidRDefault="00FF595A" w:rsidP="00FF595A">
      <w:pPr>
        <w:pStyle w:val="a5"/>
      </w:pPr>
      <w:r>
        <w:rPr>
          <w:rStyle w:val="a7"/>
        </w:rPr>
        <w:footnoteRef/>
      </w:r>
      <w:r>
        <w:rPr>
          <w:rtl/>
        </w:rPr>
        <w:t xml:space="preserve"> </w:t>
      </w:r>
      <w:r w:rsidRPr="00F42F53">
        <w:rPr>
          <w:rFonts w:cs="Arial"/>
          <w:rtl/>
        </w:rPr>
        <w:t>אם שניה טוענת הואיל ואת באת ליטול תחלה השבעי לי שלא גבית משל בעלי כלום</w:t>
      </w:r>
      <w:r>
        <w:rPr>
          <w:rFonts w:cs="Arial" w:hint="cs"/>
          <w:rtl/>
        </w:rPr>
        <w:t>,</w:t>
      </w:r>
      <w:r w:rsidRPr="00F42F53">
        <w:rPr>
          <w:rFonts w:cs="Arial"/>
          <w:rtl/>
        </w:rPr>
        <w:t xml:space="preserve"> דלמא לא משתייר לי נכסים כשיעור כתובתי</w:t>
      </w:r>
      <w:r>
        <w:rPr>
          <w:rFonts w:cs="Arial" w:hint="cs"/>
          <w:rtl/>
        </w:rPr>
        <w:t>.</w:t>
      </w:r>
      <w:r w:rsidRPr="00F42F53">
        <w:rPr>
          <w:rFonts w:cs="Arial"/>
          <w:rtl/>
        </w:rPr>
        <w:t xml:space="preserve"> ואף שלישית תאמר כן לשניה</w:t>
      </w:r>
      <w:r>
        <w:rPr>
          <w:rFonts w:cs="Arial" w:hint="cs"/>
          <w:rtl/>
        </w:rPr>
        <w:t>,</w:t>
      </w:r>
      <w:r w:rsidRPr="00F42F53">
        <w:rPr>
          <w:rFonts w:cs="Arial"/>
          <w:rtl/>
        </w:rPr>
        <w:t xml:space="preserve"> ורביעית לשלישית</w:t>
      </w:r>
      <w:r>
        <w:rPr>
          <w:rFonts w:cs="Arial" w:hint="cs"/>
          <w:rtl/>
        </w:rPr>
        <w:t>.</w:t>
      </w:r>
      <w:r w:rsidRPr="00F42F53">
        <w:rPr>
          <w:rFonts w:cs="Arial"/>
          <w:rtl/>
        </w:rPr>
        <w:t xml:space="preserve"> אבל הרביעית נפרעת שלא בשבועה</w:t>
      </w:r>
      <w:r>
        <w:rPr>
          <w:rFonts w:cs="Arial" w:hint="cs"/>
          <w:rtl/>
        </w:rPr>
        <w:t>,</w:t>
      </w:r>
      <w:r w:rsidRPr="00F42F53">
        <w:rPr>
          <w:rFonts w:cs="Arial"/>
          <w:rtl/>
        </w:rPr>
        <w:t xml:space="preserve"> וכגון שהיתומים גדולים</w:t>
      </w:r>
      <w:r>
        <w:rPr>
          <w:rFonts w:cs="Arial" w:hint="cs"/>
          <w:rtl/>
        </w:rPr>
        <w:t>,</w:t>
      </w:r>
      <w:r w:rsidRPr="00F42F53">
        <w:rPr>
          <w:rFonts w:cs="Arial"/>
          <w:rtl/>
        </w:rPr>
        <w:t xml:space="preserve"> וקסבר האי תנא כי אמרו רבנן הבא ליפרע מנכסי יתומים לא יפרע אלא בשבועה ביתומים קטנים אמרו ולא בגדולים</w:t>
      </w:r>
      <w:r>
        <w:rPr>
          <w:rFonts w:cs="Arial" w:hint="cs"/>
          <w:rtl/>
        </w:rPr>
        <w:t>, רש"י.</w:t>
      </w:r>
    </w:p>
  </w:footnote>
  <w:footnote w:id="2095">
    <w:p w14:paraId="4E92D15E" w14:textId="77777777" w:rsidR="00392DBB" w:rsidRDefault="00392DBB" w:rsidP="00392DBB">
      <w:pPr>
        <w:pStyle w:val="a5"/>
      </w:pPr>
      <w:r>
        <w:rPr>
          <w:rStyle w:val="a7"/>
        </w:rPr>
        <w:footnoteRef/>
      </w:r>
      <w:r>
        <w:rPr>
          <w:rtl/>
        </w:rPr>
        <w:t xml:space="preserve"> </w:t>
      </w:r>
      <w:r w:rsidRPr="003A4B45">
        <w:rPr>
          <w:rFonts w:cs="Arial"/>
          <w:rtl/>
        </w:rPr>
        <w:t>מן השלש שדות שגבו ג' נשים ראשונות</w:t>
      </w:r>
      <w:r>
        <w:rPr>
          <w:rFonts w:cs="Arial" w:hint="cs"/>
          <w:rtl/>
        </w:rPr>
        <w:t>, רש"י.</w:t>
      </w:r>
    </w:p>
  </w:footnote>
  <w:footnote w:id="2096">
    <w:p w14:paraId="7176D86A" w14:textId="77777777" w:rsidR="00392DBB" w:rsidRDefault="00392DBB" w:rsidP="00392DBB">
      <w:pPr>
        <w:pStyle w:val="a5"/>
      </w:pPr>
      <w:r>
        <w:rPr>
          <w:rStyle w:val="a7"/>
        </w:rPr>
        <w:footnoteRef/>
      </w:r>
      <w:r>
        <w:rPr>
          <w:rtl/>
        </w:rPr>
        <w:t xml:space="preserve"> </w:t>
      </w:r>
      <w:r w:rsidRPr="003A4B45">
        <w:rPr>
          <w:rFonts w:cs="Arial"/>
          <w:rtl/>
        </w:rPr>
        <w:t>שנודע שגזלה וסוף שיבואו בעלים ויטלוה ממנה וכשבאה רביעית לגבות כתובתה משדה רביעית באה זו ועומדת לאמר למחר יבא הנגזל ויטול שדהו מידי ונמצאתי קרחת רצוני שתשבעי שלא גבית כתובתיך בחיי הבעל</w:t>
      </w:r>
      <w:r>
        <w:rPr>
          <w:rFonts w:cs="Arial" w:hint="cs"/>
          <w:rtl/>
        </w:rPr>
        <w:t>, רש"י.</w:t>
      </w:r>
    </w:p>
  </w:footnote>
  <w:footnote w:id="2097">
    <w:p w14:paraId="77594F78" w14:textId="77777777" w:rsidR="00392DBB" w:rsidRDefault="00392DBB" w:rsidP="00392DBB">
      <w:pPr>
        <w:pStyle w:val="a5"/>
      </w:pPr>
      <w:r>
        <w:rPr>
          <w:rStyle w:val="a7"/>
        </w:rPr>
        <w:footnoteRef/>
      </w:r>
      <w:r>
        <w:rPr>
          <w:rtl/>
        </w:rPr>
        <w:t xml:space="preserve"> </w:t>
      </w:r>
      <w:r w:rsidRPr="003A4B45">
        <w:rPr>
          <w:rFonts w:cs="Arial"/>
          <w:rtl/>
        </w:rPr>
        <w:t>הלכך למה תשבע אם יבא הנגזל ויטרוף מזו תחזור היא על הרביעית ותטול ממנה מה שגבתה דהויא לה רביעית בעל חוב מאוחר</w:t>
      </w:r>
      <w:r>
        <w:rPr>
          <w:rFonts w:cs="Arial" w:hint="cs"/>
          <w:rtl/>
        </w:rPr>
        <w:t>, רש"י.</w:t>
      </w:r>
    </w:p>
  </w:footnote>
  <w:footnote w:id="2098">
    <w:p w14:paraId="384A9D43" w14:textId="77777777" w:rsidR="00392DBB" w:rsidRDefault="00392DBB" w:rsidP="00392DBB">
      <w:pPr>
        <w:pStyle w:val="a5"/>
      </w:pPr>
      <w:r>
        <w:rPr>
          <w:rStyle w:val="a7"/>
        </w:rPr>
        <w:footnoteRef/>
      </w:r>
      <w:r>
        <w:rPr>
          <w:rtl/>
        </w:rPr>
        <w:t xml:space="preserve"> </w:t>
      </w:r>
      <w:r w:rsidRPr="003A4B45">
        <w:rPr>
          <w:rFonts w:cs="Arial"/>
          <w:rtl/>
        </w:rPr>
        <w:t>ואין השלישית חוזרת עליה לפיכך יכולה להשביעה</w:t>
      </w:r>
      <w:r>
        <w:rPr>
          <w:rFonts w:cs="Arial" w:hint="cs"/>
          <w:rtl/>
        </w:rPr>
        <w:t>, רש"י.</w:t>
      </w:r>
    </w:p>
  </w:footnote>
  <w:footnote w:id="2099">
    <w:p w14:paraId="217FF81F" w14:textId="77777777" w:rsidR="00392DBB" w:rsidRDefault="00392DBB" w:rsidP="00392DBB">
      <w:pPr>
        <w:pStyle w:val="a5"/>
      </w:pPr>
      <w:r>
        <w:rPr>
          <w:rStyle w:val="a7"/>
        </w:rPr>
        <w:footnoteRef/>
      </w:r>
      <w:r>
        <w:rPr>
          <w:rtl/>
        </w:rPr>
        <w:t xml:space="preserve"> </w:t>
      </w:r>
      <w:r>
        <w:rPr>
          <w:rFonts w:hint="cs"/>
          <w:rtl/>
        </w:rPr>
        <w:t>הטור כתב דמיירי במי שמת כדי לאפוקי מתירוץ ר"ת (בתוס' כתובות פו. ד"ה לאשה לא) שכתב שאם מת הלוה יהבינן (כשזמן השטר והכתובה שוים) לאשה בכתובתה משום חינא, ע"פ ב"ח (כאן, דיבור ראשון). וכתב הב"ש (סק"א)</w:t>
      </w:r>
      <w:r w:rsidRPr="00B520B4">
        <w:rPr>
          <w:rtl/>
        </w:rPr>
        <w:t xml:space="preserve"> </w:t>
      </w:r>
      <w:r>
        <w:rPr>
          <w:rFonts w:hint="cs"/>
          <w:rtl/>
        </w:rPr>
        <w:t>ד</w:t>
      </w:r>
      <w:r w:rsidRPr="00B520B4">
        <w:rPr>
          <w:rFonts w:cs="Arial"/>
          <w:rtl/>
        </w:rPr>
        <w:t>גם י"ל דלא תימ</w:t>
      </w:r>
      <w:r>
        <w:rPr>
          <w:rFonts w:cs="Arial" w:hint="cs"/>
          <w:rtl/>
        </w:rPr>
        <w:t>ה</w:t>
      </w:r>
      <w:r w:rsidRPr="00B520B4">
        <w:rPr>
          <w:rFonts w:cs="Arial"/>
          <w:rtl/>
        </w:rPr>
        <w:t xml:space="preserve"> דדוקא כשהוא חי דאז המטלטלין משועבדים מדינ</w:t>
      </w:r>
      <w:r>
        <w:rPr>
          <w:rFonts w:cs="Arial" w:hint="cs"/>
          <w:rtl/>
        </w:rPr>
        <w:t>א</w:t>
      </w:r>
      <w:r w:rsidRPr="00B520B4">
        <w:rPr>
          <w:rFonts w:cs="Arial"/>
          <w:rtl/>
        </w:rPr>
        <w:t xml:space="preserve"> לב"ח ולה אינם משועבדים אלא מצד התקנה אז מיפים כח ב"ח ולא אחר מותו </w:t>
      </w:r>
      <w:r>
        <w:rPr>
          <w:rFonts w:cs="Arial" w:hint="cs"/>
          <w:rtl/>
        </w:rPr>
        <w:t xml:space="preserve">- </w:t>
      </w:r>
      <w:r w:rsidRPr="00B520B4">
        <w:rPr>
          <w:rFonts w:cs="Arial"/>
          <w:rtl/>
        </w:rPr>
        <w:t>קמ"ל</w:t>
      </w:r>
      <w:r>
        <w:rPr>
          <w:rFonts w:cs="Arial" w:hint="cs"/>
          <w:rtl/>
        </w:rPr>
        <w:t>.</w:t>
      </w:r>
      <w:r w:rsidRPr="00B520B4">
        <w:rPr>
          <w:rFonts w:cs="Arial"/>
          <w:rtl/>
        </w:rPr>
        <w:t xml:space="preserve"> וכעין זה ס"ל לראב"י</w:t>
      </w:r>
      <w:r>
        <w:rPr>
          <w:rFonts w:cs="Arial" w:hint="cs"/>
          <w:rtl/>
        </w:rPr>
        <w:t>.</w:t>
      </w:r>
    </w:p>
  </w:footnote>
  <w:footnote w:id="2100">
    <w:p w14:paraId="455E7C80" w14:textId="77777777" w:rsidR="00392DBB" w:rsidRDefault="00392DBB" w:rsidP="00392DBB">
      <w:pPr>
        <w:pStyle w:val="a5"/>
      </w:pPr>
      <w:r>
        <w:rPr>
          <w:rStyle w:val="a7"/>
        </w:rPr>
        <w:footnoteRef/>
      </w:r>
      <w:r>
        <w:rPr>
          <w:rtl/>
        </w:rPr>
        <w:t xml:space="preserve"> </w:t>
      </w:r>
      <w:r w:rsidRPr="00A167C1">
        <w:rPr>
          <w:rFonts w:cs="Arial"/>
          <w:rtl/>
        </w:rPr>
        <w:t>והוא הדין בגרושה</w:t>
      </w:r>
      <w:r>
        <w:rPr>
          <w:rFonts w:cs="Arial" w:hint="cs"/>
          <w:rtl/>
        </w:rPr>
        <w:t>, דרכ"מ (אות א) בשם ה</w:t>
      </w:r>
      <w:r w:rsidRPr="00A167C1">
        <w:rPr>
          <w:rFonts w:cs="Arial"/>
          <w:rtl/>
        </w:rPr>
        <w:t xml:space="preserve">מרדכי </w:t>
      </w:r>
      <w:r>
        <w:rPr>
          <w:rFonts w:cs="Arial" w:hint="cs"/>
          <w:rtl/>
        </w:rPr>
        <w:t>(</w:t>
      </w:r>
      <w:r w:rsidRPr="00A167C1">
        <w:rPr>
          <w:rFonts w:cs="Arial"/>
          <w:rtl/>
        </w:rPr>
        <w:t>פרק הכותב</w:t>
      </w:r>
      <w:r>
        <w:rPr>
          <w:rFonts w:cs="Arial" w:hint="cs"/>
          <w:rtl/>
        </w:rPr>
        <w:t xml:space="preserve"> </w:t>
      </w:r>
      <w:r w:rsidRPr="00A167C1">
        <w:rPr>
          <w:rFonts w:cs="Arial"/>
          <w:rtl/>
        </w:rPr>
        <w:t>סי' רכ)</w:t>
      </w:r>
      <w:r>
        <w:rPr>
          <w:rFonts w:cs="Arial" w:hint="cs"/>
          <w:rtl/>
        </w:rPr>
        <w:t>. וכ"כ הרמב"ם (פי"ז ה"ד-ה).</w:t>
      </w:r>
      <w:r w:rsidRPr="00A167C1">
        <w:rPr>
          <w:rFonts w:cs="Arial"/>
          <w:rtl/>
        </w:rPr>
        <w:t xml:space="preserve"> </w:t>
      </w:r>
      <w:r>
        <w:rPr>
          <w:rFonts w:cs="Arial" w:hint="cs"/>
          <w:rtl/>
        </w:rPr>
        <w:t>וכתב עוד הדרכ"מ (שם) ל</w:t>
      </w:r>
      <w:r w:rsidRPr="00A167C1">
        <w:rPr>
          <w:rFonts w:cs="Arial"/>
          <w:rtl/>
        </w:rPr>
        <w:t xml:space="preserve">עיין בדינים אלו בתשובת </w:t>
      </w:r>
      <w:r>
        <w:rPr>
          <w:rFonts w:cs="Arial" w:hint="cs"/>
          <w:rtl/>
        </w:rPr>
        <w:t>הרשב"א (ב</w:t>
      </w:r>
      <w:r w:rsidRPr="00A167C1">
        <w:rPr>
          <w:rFonts w:cs="Arial"/>
          <w:rtl/>
        </w:rPr>
        <w:t>מיוחסות</w:t>
      </w:r>
      <w:r>
        <w:rPr>
          <w:rFonts w:cs="Arial" w:hint="cs"/>
          <w:rtl/>
        </w:rPr>
        <w:t xml:space="preserve"> סי'</w:t>
      </w:r>
      <w:r w:rsidRPr="00A167C1">
        <w:rPr>
          <w:rFonts w:cs="Arial"/>
          <w:rtl/>
        </w:rPr>
        <w:t xml:space="preserve"> פא</w:t>
      </w:r>
      <w:r>
        <w:rPr>
          <w:rFonts w:cs="Arial" w:hint="cs"/>
          <w:rtl/>
        </w:rPr>
        <w:t>-</w:t>
      </w:r>
      <w:r w:rsidRPr="00A167C1">
        <w:rPr>
          <w:rFonts w:cs="Arial"/>
          <w:rtl/>
        </w:rPr>
        <w:t>פב</w:t>
      </w:r>
      <w:r>
        <w:rPr>
          <w:rFonts w:cs="Arial" w:hint="cs"/>
          <w:rtl/>
        </w:rPr>
        <w:t>).</w:t>
      </w:r>
    </w:p>
  </w:footnote>
  <w:footnote w:id="2101">
    <w:p w14:paraId="54DB2007" w14:textId="77777777" w:rsidR="00392DBB" w:rsidRDefault="00392DBB" w:rsidP="00392DBB">
      <w:pPr>
        <w:pStyle w:val="a5"/>
        <w:rPr>
          <w:rtl/>
        </w:rPr>
      </w:pPr>
      <w:r>
        <w:rPr>
          <w:rStyle w:val="a7"/>
        </w:rPr>
        <w:footnoteRef/>
      </w:r>
      <w:r>
        <w:rPr>
          <w:rtl/>
        </w:rPr>
        <w:t xml:space="preserve"> </w:t>
      </w:r>
      <w:r w:rsidRPr="00B520B4">
        <w:rPr>
          <w:rFonts w:cs="Arial"/>
          <w:rtl/>
        </w:rPr>
        <w:t>אע"ג דקי"ל הברירה בידה לגבות הכתובה מ"מ במקום שחב לאחרים אי</w:t>
      </w:r>
      <w:r>
        <w:rPr>
          <w:rFonts w:cs="Arial" w:hint="cs"/>
          <w:rtl/>
        </w:rPr>
        <w:t>נה יכולה</w:t>
      </w:r>
      <w:r w:rsidRPr="00B520B4">
        <w:rPr>
          <w:rFonts w:cs="Arial"/>
          <w:rtl/>
        </w:rPr>
        <w:t xml:space="preserve"> לו</w:t>
      </w:r>
      <w:r>
        <w:rPr>
          <w:rFonts w:cs="Arial" w:hint="cs"/>
          <w:rtl/>
        </w:rPr>
        <w:t>מר</w:t>
      </w:r>
      <w:r w:rsidRPr="00B520B4">
        <w:rPr>
          <w:rFonts w:cs="Arial"/>
          <w:rtl/>
        </w:rPr>
        <w:t xml:space="preserve"> לא אגבה</w:t>
      </w:r>
      <w:r>
        <w:rPr>
          <w:rFonts w:hint="cs"/>
          <w:rtl/>
        </w:rPr>
        <w:t>, ב"ש (סק"ב).</w:t>
      </w:r>
    </w:p>
  </w:footnote>
  <w:footnote w:id="2102">
    <w:p w14:paraId="12D72433" w14:textId="77777777" w:rsidR="00FB009B" w:rsidRDefault="00FB009B" w:rsidP="00FB009B">
      <w:pPr>
        <w:pStyle w:val="a5"/>
      </w:pPr>
      <w:r>
        <w:rPr>
          <w:rStyle w:val="a7"/>
        </w:rPr>
        <w:footnoteRef/>
      </w:r>
      <w:r>
        <w:rPr>
          <w:rtl/>
        </w:rPr>
        <w:t xml:space="preserve"> </w:t>
      </w:r>
      <w:r>
        <w:rPr>
          <w:rFonts w:hint="cs"/>
          <w:rtl/>
        </w:rPr>
        <w:t>סימן - פווווו (מעיף אותה).</w:t>
      </w:r>
    </w:p>
  </w:footnote>
  <w:footnote w:id="2103">
    <w:p w14:paraId="75688B19" w14:textId="77777777" w:rsidR="00392DBB" w:rsidRDefault="00392DBB" w:rsidP="00392DBB">
      <w:pPr>
        <w:pStyle w:val="a5"/>
      </w:pPr>
      <w:r>
        <w:rPr>
          <w:rStyle w:val="a7"/>
        </w:rPr>
        <w:footnoteRef/>
      </w:r>
      <w:r>
        <w:rPr>
          <w:rtl/>
        </w:rPr>
        <w:t xml:space="preserve"> </w:t>
      </w:r>
      <w:r w:rsidRPr="00BF6CFA">
        <w:rPr>
          <w:rFonts w:cs="Arial"/>
          <w:rtl/>
        </w:rPr>
        <w:t>שלא תנעול דלת</w:t>
      </w:r>
      <w:r>
        <w:rPr>
          <w:rFonts w:cs="Arial" w:hint="cs"/>
          <w:rtl/>
        </w:rPr>
        <w:t>, רש"י.</w:t>
      </w:r>
    </w:p>
  </w:footnote>
  <w:footnote w:id="2104">
    <w:p w14:paraId="46AD4720" w14:textId="77777777" w:rsidR="00392DBB" w:rsidRDefault="00392DBB" w:rsidP="00392DBB">
      <w:pPr>
        <w:pStyle w:val="a5"/>
      </w:pPr>
      <w:r>
        <w:rPr>
          <w:rStyle w:val="a7"/>
        </w:rPr>
        <w:footnoteRef/>
      </w:r>
      <w:r>
        <w:rPr>
          <w:rtl/>
        </w:rPr>
        <w:t xml:space="preserve"> </w:t>
      </w:r>
      <w:r w:rsidRPr="00BF6CFA">
        <w:rPr>
          <w:rFonts w:cs="Arial"/>
          <w:rtl/>
        </w:rPr>
        <w:t>ולא חיישינן לומר משום חינא ודוקא שהשטרות נכתבו ביום אחד אבל אם קדמה זמן הכתובה היא גובה</w:t>
      </w:r>
      <w:r>
        <w:rPr>
          <w:rFonts w:cs="Arial" w:hint="cs"/>
          <w:rtl/>
        </w:rPr>
        <w:t>, רש"י.</w:t>
      </w:r>
    </w:p>
  </w:footnote>
  <w:footnote w:id="2105">
    <w:p w14:paraId="008E7903" w14:textId="77777777" w:rsidR="00392DBB" w:rsidRDefault="00392DBB" w:rsidP="00392DBB">
      <w:pPr>
        <w:pStyle w:val="a5"/>
        <w:rPr>
          <w:rtl/>
        </w:rPr>
      </w:pPr>
      <w:r>
        <w:rPr>
          <w:rStyle w:val="a7"/>
        </w:rPr>
        <w:footnoteRef/>
      </w:r>
      <w:r>
        <w:rPr>
          <w:rtl/>
        </w:rPr>
        <w:t xml:space="preserve"> </w:t>
      </w:r>
      <w:r>
        <w:rPr>
          <w:rFonts w:cs="Arial"/>
          <w:rtl/>
        </w:rPr>
        <w:t>ולא חילקו בזה בין אלמנה לגרושה</w:t>
      </w:r>
      <w:r>
        <w:rPr>
          <w:rFonts w:cs="Arial" w:hint="cs"/>
          <w:rtl/>
        </w:rPr>
        <w:t>.</w:t>
      </w:r>
      <w:r>
        <w:rPr>
          <w:rFonts w:cs="Arial"/>
          <w:rtl/>
        </w:rPr>
        <w:t xml:space="preserve"> ודלא כמרדכי פרק הכותב (שם) דכתב בשם ראבי"ה (סי' תתקיט) דדוקא בגרושה הוי דינא הכי אבל באלמנה שבאה לגבות מן היתומים חולקין</w:t>
      </w:r>
      <w:r>
        <w:rPr>
          <w:rFonts w:cs="Arial" w:hint="cs"/>
          <w:rtl/>
        </w:rPr>
        <w:t>.</w:t>
      </w:r>
      <w:r>
        <w:rPr>
          <w:rFonts w:cs="Arial"/>
          <w:rtl/>
        </w:rPr>
        <w:t xml:space="preserve"> וע"ש במרדכי שהאריך בזה</w:t>
      </w:r>
      <w:r>
        <w:rPr>
          <w:rFonts w:cs="Arial" w:hint="cs"/>
          <w:rtl/>
        </w:rPr>
        <w:t>.</w:t>
      </w:r>
      <w:r>
        <w:rPr>
          <w:rFonts w:cs="Arial"/>
          <w:rtl/>
        </w:rPr>
        <w:t xml:space="preserve"> וע"ל סימן פ"ה (אות ו) ב"ח ואשה בנכסיה שהכניסה לו איזה מהן קודם</w:t>
      </w:r>
      <w:r>
        <w:rPr>
          <w:rFonts w:cs="Arial" w:hint="cs"/>
          <w:rtl/>
        </w:rPr>
        <w:t>, דרכ"מ (אות ב).</w:t>
      </w:r>
    </w:p>
  </w:footnote>
  <w:footnote w:id="2106">
    <w:p w14:paraId="74C50828" w14:textId="77777777" w:rsidR="00392DBB" w:rsidRDefault="00392DBB" w:rsidP="00392DBB">
      <w:pPr>
        <w:pStyle w:val="a5"/>
      </w:pPr>
      <w:r>
        <w:rPr>
          <w:rStyle w:val="a7"/>
        </w:rPr>
        <w:footnoteRef/>
      </w:r>
      <w:r>
        <w:rPr>
          <w:rtl/>
        </w:rPr>
        <w:t xml:space="preserve"> </w:t>
      </w:r>
      <w:r>
        <w:rPr>
          <w:rFonts w:hint="cs"/>
          <w:rtl/>
        </w:rPr>
        <w:t>הח"מ (סק"ט) כתב שכן דעת הרמב"ם (עיין בפ"כ ממלוה הי"ב, ובפי"ז מאישות ה"ג). אך הב"ש (סק"ז) כתב שאינו מוכרח.</w:t>
      </w:r>
    </w:p>
  </w:footnote>
  <w:footnote w:id="2107">
    <w:p w14:paraId="45D6DCD8" w14:textId="73F69EEE" w:rsidR="00392DBB" w:rsidRDefault="00392DBB" w:rsidP="00392DBB">
      <w:pPr>
        <w:pStyle w:val="a5"/>
        <w:rPr>
          <w:rtl/>
        </w:rPr>
      </w:pPr>
      <w:r>
        <w:rPr>
          <w:rStyle w:val="a7"/>
        </w:rPr>
        <w:footnoteRef/>
      </w:r>
      <w:r>
        <w:rPr>
          <w:rtl/>
        </w:rPr>
        <w:t xml:space="preserve"> </w:t>
      </w:r>
      <w:r>
        <w:rPr>
          <w:rFonts w:cs="Arial" w:hint="cs"/>
          <w:rtl/>
        </w:rPr>
        <w:t xml:space="preserve">וכן פסק </w:t>
      </w:r>
      <w:r w:rsidRPr="00A167C1">
        <w:rPr>
          <w:rFonts w:cs="Arial"/>
          <w:rtl/>
        </w:rPr>
        <w:t>מהרי"ו</w:t>
      </w:r>
      <w:r>
        <w:rPr>
          <w:rFonts w:cs="Arial" w:hint="cs"/>
          <w:rtl/>
        </w:rPr>
        <w:t xml:space="preserve"> </w:t>
      </w:r>
      <w:r w:rsidRPr="004A11E7">
        <w:rPr>
          <w:rFonts w:cs="Arial" w:hint="cs"/>
          <w:sz w:val="16"/>
          <w:szCs w:val="16"/>
          <w:rtl/>
        </w:rPr>
        <w:t>(</w:t>
      </w:r>
      <w:r w:rsidRPr="004A11E7">
        <w:rPr>
          <w:rFonts w:cs="Arial"/>
          <w:sz w:val="16"/>
          <w:szCs w:val="16"/>
          <w:rtl/>
        </w:rPr>
        <w:t>סי</w:t>
      </w:r>
      <w:r w:rsidRPr="004A11E7">
        <w:rPr>
          <w:rFonts w:cs="Arial" w:hint="cs"/>
          <w:sz w:val="16"/>
          <w:szCs w:val="16"/>
          <w:rtl/>
        </w:rPr>
        <w:t>'</w:t>
      </w:r>
      <w:r w:rsidRPr="004A11E7">
        <w:rPr>
          <w:rFonts w:cs="Arial"/>
          <w:sz w:val="16"/>
          <w:szCs w:val="16"/>
          <w:rtl/>
        </w:rPr>
        <w:t xml:space="preserve"> ל</w:t>
      </w:r>
      <w:r w:rsidRPr="004A11E7">
        <w:rPr>
          <w:rFonts w:cs="Arial" w:hint="cs"/>
          <w:sz w:val="16"/>
          <w:szCs w:val="16"/>
          <w:rtl/>
        </w:rPr>
        <w:t>)</w:t>
      </w:r>
      <w:r>
        <w:rPr>
          <w:rFonts w:cs="Arial" w:hint="cs"/>
          <w:rtl/>
        </w:rPr>
        <w:t>.</w:t>
      </w:r>
      <w:r w:rsidRPr="00A167C1">
        <w:rPr>
          <w:rFonts w:cs="Arial"/>
          <w:rtl/>
        </w:rPr>
        <w:t xml:space="preserve"> </w:t>
      </w:r>
      <w:r w:rsidRPr="00553E22">
        <w:rPr>
          <w:rFonts w:cs="Arial"/>
          <w:rtl/>
        </w:rPr>
        <w:t xml:space="preserve">וכתב שכן היה דן </w:t>
      </w:r>
      <w:r w:rsidRPr="00553E22">
        <w:rPr>
          <w:rFonts w:cs="Arial" w:hint="cs"/>
          <w:rtl/>
        </w:rPr>
        <w:t>מהרי"ל</w:t>
      </w:r>
      <w:r>
        <w:rPr>
          <w:rFonts w:hint="cs"/>
          <w:rtl/>
        </w:rPr>
        <w:t xml:space="preserve">, </w:t>
      </w:r>
      <w:r w:rsidRPr="003C59B9">
        <w:rPr>
          <w:rFonts w:hint="cs"/>
          <w:b/>
          <w:bCs/>
          <w:rtl/>
        </w:rPr>
        <w:t>דרכ"מ</w:t>
      </w:r>
      <w:r>
        <w:rPr>
          <w:rFonts w:hint="cs"/>
          <w:rtl/>
        </w:rPr>
        <w:t xml:space="preserve"> (אות ג).</w:t>
      </w:r>
      <w:r w:rsidR="003C59B9">
        <w:rPr>
          <w:rFonts w:hint="cs"/>
          <w:rtl/>
        </w:rPr>
        <w:t xml:space="preserve">     </w:t>
      </w:r>
      <w:r w:rsidRPr="00F27D80">
        <w:rPr>
          <w:rtl/>
        </w:rPr>
        <w:t xml:space="preserve"> </w:t>
      </w:r>
      <w:r>
        <w:rPr>
          <w:rFonts w:hint="cs"/>
          <w:rtl/>
        </w:rPr>
        <w:t xml:space="preserve">וכתבו </w:t>
      </w:r>
      <w:r w:rsidRPr="003C59B9">
        <w:rPr>
          <w:rFonts w:hint="cs"/>
          <w:b/>
          <w:bCs/>
          <w:rtl/>
        </w:rPr>
        <w:t>הח"מ</w:t>
      </w:r>
      <w:r>
        <w:rPr>
          <w:rFonts w:hint="cs"/>
          <w:rtl/>
        </w:rPr>
        <w:t xml:space="preserve"> (סק"ט) </w:t>
      </w:r>
      <w:r w:rsidRPr="003C59B9">
        <w:rPr>
          <w:rFonts w:hint="cs"/>
          <w:b/>
          <w:bCs/>
          <w:rtl/>
        </w:rPr>
        <w:t>והב"ש</w:t>
      </w:r>
      <w:r>
        <w:rPr>
          <w:rFonts w:hint="cs"/>
          <w:rtl/>
        </w:rPr>
        <w:t xml:space="preserve"> </w:t>
      </w:r>
      <w:r w:rsidRPr="00F27D80">
        <w:rPr>
          <w:rFonts w:cs="Arial"/>
          <w:rtl/>
        </w:rPr>
        <w:t>דאפי</w:t>
      </w:r>
      <w:r>
        <w:rPr>
          <w:rFonts w:cs="Arial" w:hint="cs"/>
          <w:rtl/>
        </w:rPr>
        <w:t>לו לדעת מהר"ם</w:t>
      </w:r>
      <w:r w:rsidRPr="00F27D80">
        <w:rPr>
          <w:rFonts w:cs="Arial"/>
          <w:rtl/>
        </w:rPr>
        <w:t xml:space="preserve"> והאחרונים שהורו</w:t>
      </w:r>
      <w:r>
        <w:rPr>
          <w:rFonts w:cs="Arial" w:hint="cs"/>
          <w:rtl/>
        </w:rPr>
        <w:t xml:space="preserve"> כמותו</w:t>
      </w:r>
      <w:r w:rsidRPr="00F27D80">
        <w:rPr>
          <w:rFonts w:cs="Arial"/>
          <w:rtl/>
        </w:rPr>
        <w:t xml:space="preserve"> </w:t>
      </w:r>
      <w:r w:rsidRPr="007577F9">
        <w:rPr>
          <w:rFonts w:cs="Arial" w:hint="cs"/>
          <w:sz w:val="16"/>
          <w:szCs w:val="16"/>
          <w:rtl/>
        </w:rPr>
        <w:t>(</w:t>
      </w:r>
      <w:r w:rsidRPr="007577F9">
        <w:rPr>
          <w:rFonts w:cs="Arial"/>
          <w:sz w:val="16"/>
          <w:szCs w:val="16"/>
          <w:rtl/>
        </w:rPr>
        <w:t>בסעיף ב' בהג"ה דבתפס</w:t>
      </w:r>
      <w:r w:rsidRPr="007577F9">
        <w:rPr>
          <w:rFonts w:cs="Arial" w:hint="cs"/>
          <w:sz w:val="16"/>
          <w:szCs w:val="16"/>
          <w:rtl/>
        </w:rPr>
        <w:t>ה</w:t>
      </w:r>
      <w:r w:rsidRPr="007577F9">
        <w:rPr>
          <w:rFonts w:cs="Arial"/>
          <w:sz w:val="16"/>
          <w:szCs w:val="16"/>
          <w:rtl/>
        </w:rPr>
        <w:t xml:space="preserve"> מוציאין מידה</w:t>
      </w:r>
      <w:r w:rsidRPr="007577F9">
        <w:rPr>
          <w:rFonts w:cs="Arial" w:hint="cs"/>
          <w:sz w:val="16"/>
          <w:szCs w:val="16"/>
          <w:rtl/>
        </w:rPr>
        <w:t>)</w:t>
      </w:r>
      <w:r w:rsidRPr="00F27D80">
        <w:rPr>
          <w:rFonts w:cs="Arial"/>
          <w:rtl/>
        </w:rPr>
        <w:t xml:space="preserve"> </w:t>
      </w:r>
      <w:r>
        <w:rPr>
          <w:rFonts w:cs="Arial" w:hint="cs"/>
          <w:rtl/>
        </w:rPr>
        <w:t xml:space="preserve">- </w:t>
      </w:r>
      <w:r w:rsidRPr="00F27D80">
        <w:rPr>
          <w:rFonts w:cs="Arial"/>
          <w:rtl/>
        </w:rPr>
        <w:t>היינו דוקא ב</w:t>
      </w:r>
      <w:r>
        <w:rPr>
          <w:rFonts w:cs="Arial" w:hint="cs"/>
          <w:rtl/>
        </w:rPr>
        <w:t xml:space="preserve">תפסה מעצמה, אבל אי תפשה ע"פ בית דין </w:t>
      </w:r>
      <w:r w:rsidR="00F97626">
        <w:rPr>
          <w:rFonts w:cs="Arial"/>
          <w:rtl/>
        </w:rPr>
        <w:t>-</w:t>
      </w:r>
      <w:r>
        <w:rPr>
          <w:rFonts w:cs="Arial" w:hint="cs"/>
          <w:rtl/>
        </w:rPr>
        <w:t xml:space="preserve"> אין מוציאין מידה.</w:t>
      </w:r>
      <w:r>
        <w:rPr>
          <w:rFonts w:hint="cs"/>
          <w:rtl/>
        </w:rPr>
        <w:t xml:space="preserve"> </w:t>
      </w:r>
    </w:p>
  </w:footnote>
  <w:footnote w:id="2108">
    <w:p w14:paraId="5EE328A7" w14:textId="0249853D" w:rsidR="00392DBB" w:rsidRDefault="00392DBB" w:rsidP="00392DBB">
      <w:pPr>
        <w:pStyle w:val="a5"/>
      </w:pPr>
      <w:r>
        <w:rPr>
          <w:rStyle w:val="a7"/>
        </w:rPr>
        <w:footnoteRef/>
      </w:r>
      <w:r>
        <w:rPr>
          <w:rtl/>
        </w:rPr>
        <w:t xml:space="preserve"> </w:t>
      </w:r>
      <w:r>
        <w:rPr>
          <w:rFonts w:cs="Arial" w:hint="cs"/>
          <w:rtl/>
        </w:rPr>
        <w:t>ו</w:t>
      </w:r>
      <w:r w:rsidRPr="00DA51FB">
        <w:rPr>
          <w:rFonts w:cs="Arial"/>
          <w:rtl/>
        </w:rPr>
        <w:t>לפ"ז אפי' אם היא מוקד</w:t>
      </w:r>
      <w:r>
        <w:rPr>
          <w:rFonts w:cs="Arial" w:hint="cs"/>
          <w:rtl/>
        </w:rPr>
        <w:t>מת</w:t>
      </w:r>
      <w:r w:rsidRPr="00DA51FB">
        <w:rPr>
          <w:rFonts w:cs="Arial"/>
          <w:rtl/>
        </w:rPr>
        <w:t xml:space="preserve"> ויש קרקע </w:t>
      </w:r>
      <w:r>
        <w:rPr>
          <w:rFonts w:cs="Arial" w:hint="cs"/>
          <w:rtl/>
        </w:rPr>
        <w:t xml:space="preserve">- </w:t>
      </w:r>
      <w:r w:rsidRPr="00DA51FB">
        <w:rPr>
          <w:rFonts w:cs="Arial"/>
          <w:rtl/>
        </w:rPr>
        <w:t>חייבת לשלם</w:t>
      </w:r>
      <w:r>
        <w:rPr>
          <w:rFonts w:cs="Arial" w:hint="cs"/>
          <w:rtl/>
        </w:rPr>
        <w:t>,</w:t>
      </w:r>
      <w:r w:rsidRPr="00DA51FB">
        <w:rPr>
          <w:rFonts w:cs="Arial"/>
          <w:rtl/>
        </w:rPr>
        <w:t xml:space="preserve"> א</w:t>
      </w:r>
      <w:r>
        <w:rPr>
          <w:rFonts w:cs="Arial" w:hint="cs"/>
          <w:rtl/>
        </w:rPr>
        <w:t>ע"ג</w:t>
      </w:r>
      <w:r w:rsidRPr="00DA51FB">
        <w:rPr>
          <w:rFonts w:cs="Arial"/>
          <w:rtl/>
        </w:rPr>
        <w:t xml:space="preserve"> </w:t>
      </w:r>
      <w:r>
        <w:rPr>
          <w:rFonts w:cs="Arial" w:hint="cs"/>
          <w:rtl/>
        </w:rPr>
        <w:t>ש</w:t>
      </w:r>
      <w:r w:rsidRPr="00DA51FB">
        <w:rPr>
          <w:rFonts w:cs="Arial"/>
          <w:rtl/>
        </w:rPr>
        <w:t xml:space="preserve">בח"ה סוף סי' צ"ו פסק בנושאת בבית וחייבת לאחר </w:t>
      </w:r>
      <w:r>
        <w:rPr>
          <w:rFonts w:cs="Arial" w:hint="cs"/>
          <w:rtl/>
        </w:rPr>
        <w:t>ד</w:t>
      </w:r>
      <w:r w:rsidRPr="00DA51FB">
        <w:rPr>
          <w:rFonts w:cs="Arial"/>
          <w:rtl/>
        </w:rPr>
        <w:t>א"צ הבעל לשלם בעבורה</w:t>
      </w:r>
      <w:r>
        <w:rPr>
          <w:rFonts w:cs="Arial" w:hint="cs"/>
          <w:rtl/>
        </w:rPr>
        <w:t>,</w:t>
      </w:r>
      <w:r w:rsidRPr="00DA51FB">
        <w:rPr>
          <w:rFonts w:cs="Arial"/>
          <w:rtl/>
        </w:rPr>
        <w:t xml:space="preserve"> דשם לא בא המעות ליד הבעל רק לידה</w:t>
      </w:r>
      <w:r>
        <w:rPr>
          <w:rFonts w:cs="Arial" w:hint="cs"/>
          <w:rtl/>
        </w:rPr>
        <w:t xml:space="preserve">, </w:t>
      </w:r>
      <w:r w:rsidRPr="003C59B9">
        <w:rPr>
          <w:rFonts w:cs="Arial" w:hint="cs"/>
          <w:b/>
          <w:bCs/>
          <w:rtl/>
        </w:rPr>
        <w:t>ב"ש</w:t>
      </w:r>
      <w:r>
        <w:rPr>
          <w:rFonts w:cs="Arial" w:hint="cs"/>
          <w:rtl/>
        </w:rPr>
        <w:t xml:space="preserve"> (סק"ח).</w:t>
      </w:r>
      <w:r w:rsidRPr="00871745">
        <w:rPr>
          <w:rFonts w:cs="Arial"/>
          <w:rtl/>
        </w:rPr>
        <w:t xml:space="preserve"> </w:t>
      </w:r>
      <w:r w:rsidR="003C59B9">
        <w:rPr>
          <w:rFonts w:cs="Arial" w:hint="cs"/>
          <w:rtl/>
        </w:rPr>
        <w:t xml:space="preserve">    </w:t>
      </w:r>
      <w:r w:rsidRPr="0042649F">
        <w:rPr>
          <w:rFonts w:cs="Arial"/>
          <w:rtl/>
        </w:rPr>
        <w:t>וע' בס' בית מאיר שתמה ע"ז וכ' דאף שבד"מ כ' ג"כ הכי בשם מהרי"ו (עבה"ט סק"ו) מ"מ יש לתמוה כו'</w:t>
      </w:r>
      <w:r>
        <w:rPr>
          <w:rFonts w:cs="Arial" w:hint="cs"/>
          <w:rtl/>
        </w:rPr>
        <w:t>...</w:t>
      </w:r>
      <w:r w:rsidRPr="0042649F">
        <w:rPr>
          <w:rFonts w:cs="Arial"/>
          <w:rtl/>
        </w:rPr>
        <w:t xml:space="preserve"> ומסיים</w:t>
      </w:r>
      <w:r>
        <w:rPr>
          <w:rFonts w:cs="Arial" w:hint="cs"/>
          <w:rtl/>
        </w:rPr>
        <w:t>-</w:t>
      </w:r>
      <w:r w:rsidRPr="0042649F">
        <w:rPr>
          <w:rFonts w:cs="Arial"/>
          <w:rtl/>
        </w:rPr>
        <w:t xml:space="preserve"> לכן הברור לע"ד דלא כתב מהרי"ו ז"ל זה אלא לסניף ולדינא אין לחלק בין נו"נ לאין נו"נ</w:t>
      </w:r>
      <w:r>
        <w:rPr>
          <w:rFonts w:cs="Arial" w:hint="cs"/>
          <w:rtl/>
        </w:rPr>
        <w:t>,</w:t>
      </w:r>
      <w:r w:rsidRPr="0042649F">
        <w:rPr>
          <w:rFonts w:cs="Arial"/>
          <w:rtl/>
        </w:rPr>
        <w:t xml:space="preserve"> ומכ"ש שתהא ערב ושתתחייב לשלם מדידה חליל</w:t>
      </w:r>
      <w:r>
        <w:rPr>
          <w:rFonts w:cs="Arial" w:hint="cs"/>
          <w:rtl/>
        </w:rPr>
        <w:t>ה</w:t>
      </w:r>
      <w:r w:rsidRPr="0042649F">
        <w:rPr>
          <w:rFonts w:cs="Arial"/>
          <w:rtl/>
        </w:rPr>
        <w:t xml:space="preserve"> להעלות כן בדעת מהרי"ו</w:t>
      </w:r>
      <w:r>
        <w:rPr>
          <w:rFonts w:cs="Arial" w:hint="cs"/>
          <w:rtl/>
        </w:rPr>
        <w:t>,</w:t>
      </w:r>
      <w:r w:rsidRPr="0042649F">
        <w:rPr>
          <w:rFonts w:cs="Arial"/>
          <w:rtl/>
        </w:rPr>
        <w:t xml:space="preserve"> זולת בנידון דידיה שנתערב</w:t>
      </w:r>
      <w:r>
        <w:rPr>
          <w:rFonts w:cs="Arial" w:hint="cs"/>
          <w:rtl/>
        </w:rPr>
        <w:t>ה</w:t>
      </w:r>
      <w:r w:rsidRPr="0042649F">
        <w:rPr>
          <w:rFonts w:cs="Arial"/>
          <w:rtl/>
        </w:rPr>
        <w:t xml:space="preserve"> בפירוש אלא שהי</w:t>
      </w:r>
      <w:r>
        <w:rPr>
          <w:rFonts w:cs="Arial" w:hint="cs"/>
          <w:rtl/>
        </w:rPr>
        <w:t>ה</w:t>
      </w:r>
      <w:r w:rsidRPr="0042649F">
        <w:rPr>
          <w:rFonts w:cs="Arial"/>
          <w:rtl/>
        </w:rPr>
        <w:t xml:space="preserve"> לאחר מתן מעות</w:t>
      </w:r>
      <w:r>
        <w:rPr>
          <w:rFonts w:cs="Arial" w:hint="cs"/>
          <w:rtl/>
        </w:rPr>
        <w:t>,</w:t>
      </w:r>
      <w:r w:rsidRPr="0042649F">
        <w:rPr>
          <w:rFonts w:cs="Arial"/>
          <w:rtl/>
        </w:rPr>
        <w:t xml:space="preserve"> וכמועתק בשמו בח"מ סי' קכ"ט ס"ג בהגה ע"ש בש"ך</w:t>
      </w:r>
      <w:r>
        <w:rPr>
          <w:rFonts w:cs="Arial" w:hint="cs"/>
          <w:rtl/>
        </w:rPr>
        <w:t xml:space="preserve">, </w:t>
      </w:r>
      <w:r w:rsidRPr="003C59B9">
        <w:rPr>
          <w:rFonts w:cs="Arial" w:hint="cs"/>
          <w:b/>
          <w:bCs/>
          <w:rtl/>
        </w:rPr>
        <w:t>פת"ש</w:t>
      </w:r>
      <w:r>
        <w:rPr>
          <w:rFonts w:cs="Arial" w:hint="cs"/>
          <w:rtl/>
        </w:rPr>
        <w:t xml:space="preserve"> (סק"ה).</w:t>
      </w:r>
    </w:p>
  </w:footnote>
  <w:footnote w:id="2109">
    <w:p w14:paraId="4B9B74DF" w14:textId="6826FB35" w:rsidR="00392DBB" w:rsidRDefault="00392DBB" w:rsidP="00392DBB">
      <w:pPr>
        <w:pStyle w:val="a5"/>
        <w:rPr>
          <w:rtl/>
        </w:rPr>
      </w:pPr>
      <w:r>
        <w:rPr>
          <w:rStyle w:val="a7"/>
        </w:rPr>
        <w:footnoteRef/>
      </w:r>
      <w:r>
        <w:rPr>
          <w:rtl/>
        </w:rPr>
        <w:t xml:space="preserve"> </w:t>
      </w:r>
      <w:r w:rsidRPr="00A167C1">
        <w:rPr>
          <w:rFonts w:cs="Arial"/>
          <w:rtl/>
        </w:rPr>
        <w:t xml:space="preserve">מיהו כתב מהרי"ו בתשובה </w:t>
      </w:r>
      <w:r>
        <w:rPr>
          <w:rFonts w:cs="Arial" w:hint="cs"/>
          <w:rtl/>
        </w:rPr>
        <w:t>(סי' ל)</w:t>
      </w:r>
      <w:r w:rsidRPr="00A167C1">
        <w:rPr>
          <w:rFonts w:cs="Arial"/>
          <w:rtl/>
        </w:rPr>
        <w:t xml:space="preserve"> בשם הרא"ש (כלל עט סי' א) והגה</w:t>
      </w:r>
      <w:r>
        <w:rPr>
          <w:rFonts w:cs="Arial" w:hint="cs"/>
          <w:rtl/>
        </w:rPr>
        <w:t>"</w:t>
      </w:r>
      <w:r w:rsidRPr="00A167C1">
        <w:rPr>
          <w:rFonts w:cs="Arial"/>
          <w:rtl/>
        </w:rPr>
        <w:t>מ (שם) והמרדכי (שם) דמלוה ע"פ הידוע הוי דינו כמלוה בשטר וקודם לאשה</w:t>
      </w:r>
      <w:r w:rsidR="003C59B9">
        <w:rPr>
          <w:rFonts w:cs="Arial" w:hint="cs"/>
          <w:rtl/>
        </w:rPr>
        <w:t>.</w:t>
      </w:r>
      <w:r w:rsidRPr="00A167C1">
        <w:rPr>
          <w:rFonts w:cs="Arial"/>
          <w:rtl/>
        </w:rPr>
        <w:t xml:space="preserve"> ועיין בזה בתשובת הרא"ש </w:t>
      </w:r>
      <w:r w:rsidR="003C59B9">
        <w:rPr>
          <w:rFonts w:cs="Arial" w:hint="cs"/>
          <w:rtl/>
        </w:rPr>
        <w:t>(</w:t>
      </w:r>
      <w:r w:rsidRPr="00A167C1">
        <w:rPr>
          <w:rFonts w:cs="Arial"/>
          <w:rtl/>
        </w:rPr>
        <w:t>כלל לו סי</w:t>
      </w:r>
      <w:r w:rsidR="003C59B9">
        <w:rPr>
          <w:rFonts w:cs="Arial" w:hint="cs"/>
          <w:rtl/>
        </w:rPr>
        <w:t>'</w:t>
      </w:r>
      <w:r w:rsidRPr="00A167C1">
        <w:rPr>
          <w:rFonts w:cs="Arial"/>
          <w:rtl/>
        </w:rPr>
        <w:t xml:space="preserve"> ד</w:t>
      </w:r>
      <w:r w:rsidR="003C59B9">
        <w:rPr>
          <w:rFonts w:cs="Arial" w:hint="cs"/>
          <w:rtl/>
        </w:rPr>
        <w:t xml:space="preserve"> - </w:t>
      </w:r>
      <w:r w:rsidRPr="00A167C1">
        <w:rPr>
          <w:rFonts w:cs="Arial"/>
          <w:rtl/>
        </w:rPr>
        <w:t>ה</w:t>
      </w:r>
      <w:r w:rsidR="003C59B9">
        <w:rPr>
          <w:rFonts w:cs="Arial" w:hint="cs"/>
          <w:rtl/>
        </w:rPr>
        <w:t>)</w:t>
      </w:r>
      <w:r>
        <w:rPr>
          <w:rFonts w:hint="cs"/>
          <w:rtl/>
        </w:rPr>
        <w:t>, דרכ"מ (אות ג).</w:t>
      </w:r>
      <w:r w:rsidRPr="008911E0">
        <w:rPr>
          <w:rFonts w:hint="cs"/>
          <w:color w:val="00B0F0"/>
          <w:rtl/>
        </w:rPr>
        <w:t xml:space="preserve"> (וכ"</w:t>
      </w:r>
      <w:r w:rsidR="003C59B9">
        <w:rPr>
          <w:rFonts w:hint="cs"/>
          <w:color w:val="00B0F0"/>
          <w:rtl/>
        </w:rPr>
        <w:t>פ</w:t>
      </w:r>
      <w:r w:rsidRPr="008911E0">
        <w:rPr>
          <w:rFonts w:hint="cs"/>
          <w:color w:val="00B0F0"/>
          <w:rtl/>
        </w:rPr>
        <w:t xml:space="preserve"> </w:t>
      </w:r>
      <w:r>
        <w:rPr>
          <w:rFonts w:hint="cs"/>
          <w:color w:val="00B0F0"/>
          <w:rtl/>
        </w:rPr>
        <w:t>בהג</w:t>
      </w:r>
      <w:r w:rsidRPr="008911E0">
        <w:rPr>
          <w:rFonts w:hint="cs"/>
          <w:color w:val="00B0F0"/>
          <w:rtl/>
        </w:rPr>
        <w:t>"</w:t>
      </w:r>
      <w:r>
        <w:rPr>
          <w:rFonts w:hint="cs"/>
          <w:color w:val="00B0F0"/>
          <w:rtl/>
        </w:rPr>
        <w:t>ה</w:t>
      </w:r>
      <w:r w:rsidRPr="008911E0">
        <w:rPr>
          <w:rFonts w:hint="cs"/>
          <w:color w:val="00B0F0"/>
          <w:rtl/>
        </w:rPr>
        <w:t>)</w:t>
      </w:r>
    </w:p>
  </w:footnote>
  <w:footnote w:id="2110">
    <w:p w14:paraId="25DF5F90" w14:textId="77777777" w:rsidR="00392DBB" w:rsidRDefault="00392DBB" w:rsidP="00392DBB">
      <w:pPr>
        <w:pStyle w:val="a5"/>
      </w:pPr>
      <w:r>
        <w:rPr>
          <w:rStyle w:val="a7"/>
        </w:rPr>
        <w:footnoteRef/>
      </w:r>
      <w:r>
        <w:rPr>
          <w:rtl/>
        </w:rPr>
        <w:t xml:space="preserve"> </w:t>
      </w:r>
      <w:r w:rsidRPr="00A167C1">
        <w:rPr>
          <w:rFonts w:cs="Arial"/>
          <w:rtl/>
        </w:rPr>
        <w:t>וכן הוא בכתבי מהרא"י סימן ר"ס וכתב דאם היה אומדנות שהוא פקדון כגון שלא היה אמוד או כה"ג צריכה להחזיר</w:t>
      </w:r>
      <w:r>
        <w:rPr>
          <w:rFonts w:cs="Arial" w:hint="cs"/>
          <w:rtl/>
        </w:rPr>
        <w:t>, דרכ"מ (אות ג).</w:t>
      </w:r>
      <w:r w:rsidRPr="00E76BC8">
        <w:rPr>
          <w:rFonts w:hint="cs"/>
          <w:rtl/>
        </w:rPr>
        <w:t xml:space="preserve"> </w:t>
      </w:r>
      <w:r>
        <w:rPr>
          <w:rFonts w:hint="cs"/>
          <w:rtl/>
        </w:rPr>
        <w:t>(וכ"כ ח"מ</w:t>
      </w:r>
      <w:r>
        <w:rPr>
          <w:rFonts w:hint="cs"/>
          <w:sz w:val="16"/>
          <w:szCs w:val="16"/>
          <w:rtl/>
        </w:rPr>
        <w:t xml:space="preserve"> [סק"ו]</w:t>
      </w:r>
      <w:r>
        <w:rPr>
          <w:rFonts w:hint="cs"/>
          <w:rtl/>
        </w:rPr>
        <w:t>)</w:t>
      </w:r>
    </w:p>
  </w:footnote>
  <w:footnote w:id="2111">
    <w:p w14:paraId="0561D4E8" w14:textId="7768A0C1" w:rsidR="00392DBB" w:rsidRDefault="00392DBB" w:rsidP="00392DBB">
      <w:pPr>
        <w:pStyle w:val="a5"/>
      </w:pPr>
      <w:r>
        <w:rPr>
          <w:rStyle w:val="a7"/>
        </w:rPr>
        <w:footnoteRef/>
      </w:r>
      <w:r>
        <w:rPr>
          <w:rtl/>
        </w:rPr>
        <w:t xml:space="preserve"> </w:t>
      </w:r>
      <w:r w:rsidRPr="00D8413A">
        <w:rPr>
          <w:rFonts w:cs="Arial"/>
          <w:rtl/>
        </w:rPr>
        <w:t>כלל הוא כל שאין בו דין קדימה כגון מטלטלין</w:t>
      </w:r>
      <w:r>
        <w:rPr>
          <w:rFonts w:cs="Arial" w:hint="cs"/>
          <w:rtl/>
        </w:rPr>
        <w:t>,</w:t>
      </w:r>
      <w:r w:rsidRPr="00D8413A">
        <w:rPr>
          <w:rFonts w:cs="Arial"/>
          <w:rtl/>
        </w:rPr>
        <w:t xml:space="preserve"> או הזמן שניהם ביום א'</w:t>
      </w:r>
      <w:r>
        <w:rPr>
          <w:rFonts w:cs="Arial" w:hint="cs"/>
          <w:rtl/>
        </w:rPr>
        <w:t>,</w:t>
      </w:r>
      <w:r w:rsidRPr="00D8413A">
        <w:rPr>
          <w:rFonts w:cs="Arial"/>
          <w:rtl/>
        </w:rPr>
        <w:t xml:space="preserve"> או שקנה אחר שלוה ונישואין</w:t>
      </w:r>
      <w:r>
        <w:rPr>
          <w:rFonts w:cs="Arial" w:hint="cs"/>
          <w:rtl/>
        </w:rPr>
        <w:t>,</w:t>
      </w:r>
      <w:r w:rsidRPr="00D8413A">
        <w:rPr>
          <w:rFonts w:cs="Arial"/>
          <w:rtl/>
        </w:rPr>
        <w:t xml:space="preserve"> דקי"ל בעלמ</w:t>
      </w:r>
      <w:r>
        <w:rPr>
          <w:rFonts w:cs="Arial" w:hint="cs"/>
          <w:rtl/>
        </w:rPr>
        <w:t>א</w:t>
      </w:r>
      <w:r w:rsidRPr="00D8413A">
        <w:rPr>
          <w:rFonts w:cs="Arial"/>
          <w:rtl/>
        </w:rPr>
        <w:t xml:space="preserve"> מי שתפס אין מוציאין מידו </w:t>
      </w:r>
      <w:r>
        <w:rPr>
          <w:rFonts w:cs="Arial" w:hint="cs"/>
          <w:rtl/>
        </w:rPr>
        <w:t xml:space="preserve">- </w:t>
      </w:r>
      <w:r w:rsidRPr="00D8413A">
        <w:rPr>
          <w:rFonts w:cs="Arial"/>
          <w:rtl/>
        </w:rPr>
        <w:t>אז מיפים כח ב"ח אפי' לא תפיס נותנים לב"ח</w:t>
      </w:r>
      <w:r>
        <w:rPr>
          <w:rFonts w:cs="Arial" w:hint="cs"/>
          <w:rtl/>
        </w:rPr>
        <w:t>.</w:t>
      </w:r>
      <w:r w:rsidRPr="00D8413A">
        <w:rPr>
          <w:rFonts w:cs="Arial"/>
          <w:rtl/>
        </w:rPr>
        <w:t xml:space="preserve"> ול"ח לנעילת דלת כי יותר ממה שהאיש רוצה לישא אשה רוצה להנש</w:t>
      </w:r>
      <w:r>
        <w:rPr>
          <w:rFonts w:cs="Arial" w:hint="cs"/>
          <w:rtl/>
        </w:rPr>
        <w:t>א.</w:t>
      </w:r>
      <w:r w:rsidRPr="00D8413A">
        <w:rPr>
          <w:rFonts w:cs="Arial"/>
          <w:rtl/>
        </w:rPr>
        <w:t xml:space="preserve"> אבל היכא דבעלמ</w:t>
      </w:r>
      <w:r>
        <w:rPr>
          <w:rFonts w:cs="Arial" w:hint="cs"/>
          <w:rtl/>
        </w:rPr>
        <w:t>א</w:t>
      </w:r>
      <w:r w:rsidRPr="00D8413A">
        <w:rPr>
          <w:rFonts w:cs="Arial"/>
          <w:rtl/>
        </w:rPr>
        <w:t xml:space="preserve"> לא מהני התפיסה </w:t>
      </w:r>
      <w:r>
        <w:rPr>
          <w:rFonts w:cs="Arial" w:hint="cs"/>
          <w:rtl/>
        </w:rPr>
        <w:t xml:space="preserve">- </w:t>
      </w:r>
      <w:r w:rsidRPr="00D8413A">
        <w:rPr>
          <w:rFonts w:cs="Arial"/>
          <w:rtl/>
        </w:rPr>
        <w:t>אין מיפים כאן כח ב"ח</w:t>
      </w:r>
      <w:r>
        <w:rPr>
          <w:rFonts w:cs="Arial" w:hint="cs"/>
          <w:rtl/>
        </w:rPr>
        <w:t>.</w:t>
      </w:r>
      <w:r w:rsidRPr="00D8413A">
        <w:rPr>
          <w:rFonts w:cs="Arial"/>
          <w:rtl/>
        </w:rPr>
        <w:t xml:space="preserve"> כ"כ הרא"ש והר"ן</w:t>
      </w:r>
      <w:r>
        <w:rPr>
          <w:rFonts w:cs="Arial" w:hint="cs"/>
          <w:rtl/>
        </w:rPr>
        <w:t>.</w:t>
      </w:r>
      <w:r w:rsidRPr="00D8413A">
        <w:rPr>
          <w:rFonts w:cs="Arial"/>
          <w:rtl/>
        </w:rPr>
        <w:t xml:space="preserve"> וע' סי' קי"ג ס"א</w:t>
      </w:r>
      <w:r>
        <w:rPr>
          <w:rFonts w:cs="Arial" w:hint="cs"/>
          <w:rtl/>
        </w:rPr>
        <w:t xml:space="preserve">, </w:t>
      </w:r>
      <w:r w:rsidRPr="00BB0C6B">
        <w:rPr>
          <w:rFonts w:cs="Arial" w:hint="cs"/>
          <w:b/>
          <w:bCs/>
          <w:rtl/>
        </w:rPr>
        <w:t>ב"ש</w:t>
      </w:r>
      <w:r>
        <w:rPr>
          <w:rFonts w:cs="Arial" w:hint="cs"/>
          <w:rtl/>
        </w:rPr>
        <w:t xml:space="preserve"> (סק"ג).</w:t>
      </w:r>
      <w:r w:rsidRPr="00EC3EB6">
        <w:rPr>
          <w:rFonts w:cs="Arial"/>
          <w:rtl/>
        </w:rPr>
        <w:t xml:space="preserve"> </w:t>
      </w:r>
      <w:r w:rsidR="00BB0C6B">
        <w:rPr>
          <w:rFonts w:cs="Arial" w:hint="cs"/>
          <w:rtl/>
        </w:rPr>
        <w:t xml:space="preserve">    </w:t>
      </w:r>
      <w:r w:rsidRPr="0042649F">
        <w:rPr>
          <w:rFonts w:cs="Arial"/>
          <w:rtl/>
        </w:rPr>
        <w:t>אבל היכא שיש פוסקים שהאשה קודמת ויש פוסקים שהבע"ח קודם</w:t>
      </w:r>
      <w:r>
        <w:rPr>
          <w:rFonts w:cs="Arial" w:hint="cs"/>
          <w:rtl/>
        </w:rPr>
        <w:t>,</w:t>
      </w:r>
      <w:r w:rsidRPr="0042649F">
        <w:rPr>
          <w:rFonts w:cs="Arial"/>
          <w:rtl/>
        </w:rPr>
        <w:t xml:space="preserve"> וק"ו במקום שלכ"ע האשה קודמת רק אם קדם ותפס יש פוסקים שאין מוציאין מידו בזה </w:t>
      </w:r>
      <w:r>
        <w:rPr>
          <w:rFonts w:cs="Arial" w:hint="cs"/>
          <w:rtl/>
        </w:rPr>
        <w:t xml:space="preserve">- </w:t>
      </w:r>
      <w:r w:rsidRPr="0042649F">
        <w:rPr>
          <w:rFonts w:cs="Arial"/>
          <w:rtl/>
        </w:rPr>
        <w:t>ודאי ליכא שום ה"א שכל זמן שלא תפס ליפות כחו כלל</w:t>
      </w:r>
      <w:r>
        <w:rPr>
          <w:rFonts w:cs="Arial" w:hint="cs"/>
          <w:rtl/>
        </w:rPr>
        <w:t>,</w:t>
      </w:r>
      <w:r w:rsidRPr="0042649F">
        <w:rPr>
          <w:rFonts w:cs="Arial"/>
          <w:rtl/>
        </w:rPr>
        <w:t xml:space="preserve"> ודי אם תפס יכול לומר קים לי אבל אנן איך ניפה כחו לגזול האשה.</w:t>
      </w:r>
      <w:r>
        <w:rPr>
          <w:rFonts w:cs="Arial" w:hint="cs"/>
          <w:rtl/>
        </w:rPr>
        <w:t>..</w:t>
      </w:r>
      <w:r w:rsidRPr="0042649F">
        <w:rPr>
          <w:rFonts w:cs="Arial"/>
          <w:rtl/>
        </w:rPr>
        <w:t xml:space="preserve"> ואף דכל הני כללי דכייל הב"ש ז"ל ליפות כח הבע"ח נגד האשה המה בין בגרוש</w:t>
      </w:r>
      <w:r>
        <w:rPr>
          <w:rFonts w:cs="Arial" w:hint="cs"/>
          <w:rtl/>
        </w:rPr>
        <w:t>ה</w:t>
      </w:r>
      <w:r w:rsidRPr="0042649F">
        <w:rPr>
          <w:rFonts w:cs="Arial"/>
          <w:rtl/>
        </w:rPr>
        <w:t xml:space="preserve"> בין באלמנ</w:t>
      </w:r>
      <w:r>
        <w:rPr>
          <w:rFonts w:cs="Arial" w:hint="cs"/>
          <w:rtl/>
        </w:rPr>
        <w:t>ה</w:t>
      </w:r>
      <w:r w:rsidRPr="0042649F">
        <w:rPr>
          <w:rFonts w:cs="Arial"/>
          <w:rtl/>
        </w:rPr>
        <w:t xml:space="preserve"> וכן הוא באמת הסכמת רוב הפוסקים (זולת המרדכי בפ' הכותב) מ"מ בכתובות נשי דידן שנוהגין לכתוב בהם מטלטלין אג"ק (לאו דוקא הוא וה"ה אפי' לא כתוב אגב רק כתוב סתם מטלטלי ומקרקעי בחיי</w:t>
      </w:r>
      <w:r>
        <w:rPr>
          <w:rFonts w:cs="Arial" w:hint="cs"/>
          <w:rtl/>
        </w:rPr>
        <w:t>ם</w:t>
      </w:r>
      <w:r w:rsidRPr="0042649F">
        <w:rPr>
          <w:rFonts w:cs="Arial"/>
          <w:rtl/>
        </w:rPr>
        <w:t xml:space="preserve"> ובמות</w:t>
      </w:r>
      <w:r>
        <w:rPr>
          <w:rFonts w:cs="Arial" w:hint="cs"/>
          <w:rtl/>
        </w:rPr>
        <w:t>...</w:t>
      </w:r>
      <w:r w:rsidRPr="0042649F">
        <w:rPr>
          <w:rFonts w:cs="Arial"/>
          <w:rtl/>
        </w:rPr>
        <w:t xml:space="preserve">) וכתוב מפורש בחייו ובמותו ונמצאו נשי דידן גובין ממטלטלי דיתמי ע"פ דין הש"ס ואם בשטרו של הבע"ח לא נכתב בו בחייו ובמותו אף שכ' בו מטלטלין אג"ק מ"מ אינו גובה אלא מתקנת הגאונים </w:t>
      </w:r>
      <w:r>
        <w:rPr>
          <w:rFonts w:cs="Arial" w:hint="cs"/>
          <w:rtl/>
        </w:rPr>
        <w:t xml:space="preserve">- </w:t>
      </w:r>
      <w:r w:rsidRPr="0042649F">
        <w:rPr>
          <w:rFonts w:cs="Arial"/>
          <w:rtl/>
        </w:rPr>
        <w:t>יש מקום לפקפק דאין ליפות כח הבע"ח נגד האלמנה</w:t>
      </w:r>
      <w:r>
        <w:rPr>
          <w:rFonts w:cs="Arial" w:hint="cs"/>
          <w:rtl/>
        </w:rPr>
        <w:t>.</w:t>
      </w:r>
      <w:r w:rsidRPr="0042649F">
        <w:rPr>
          <w:rFonts w:cs="Arial"/>
          <w:rtl/>
        </w:rPr>
        <w:t xml:space="preserve"> וצריך להתיישב בזה ע"ש</w:t>
      </w:r>
      <w:r>
        <w:rPr>
          <w:rFonts w:cs="Arial" w:hint="cs"/>
          <w:rtl/>
        </w:rPr>
        <w:t>...,</w:t>
      </w:r>
      <w:r w:rsidRPr="0042649F">
        <w:rPr>
          <w:rFonts w:cs="Arial"/>
          <w:rtl/>
        </w:rPr>
        <w:t xml:space="preserve"> </w:t>
      </w:r>
      <w:r w:rsidRPr="00BB0C6B">
        <w:rPr>
          <w:rFonts w:cs="Arial"/>
          <w:b/>
          <w:bCs/>
          <w:rtl/>
        </w:rPr>
        <w:t>נו"ב</w:t>
      </w:r>
      <w:r w:rsidRPr="0042649F">
        <w:rPr>
          <w:rFonts w:cs="Arial"/>
          <w:rtl/>
        </w:rPr>
        <w:t xml:space="preserve"> </w:t>
      </w:r>
      <w:r>
        <w:rPr>
          <w:rFonts w:cs="Arial" w:hint="cs"/>
          <w:rtl/>
        </w:rPr>
        <w:t>(</w:t>
      </w:r>
      <w:r w:rsidRPr="0042649F">
        <w:rPr>
          <w:rFonts w:cs="Arial"/>
          <w:rtl/>
        </w:rPr>
        <w:t>תניינא ח</w:t>
      </w:r>
      <w:r>
        <w:rPr>
          <w:rFonts w:cs="Arial" w:hint="cs"/>
          <w:rtl/>
        </w:rPr>
        <w:t>ו</w:t>
      </w:r>
      <w:r w:rsidRPr="0042649F">
        <w:rPr>
          <w:rFonts w:cs="Arial"/>
          <w:rtl/>
        </w:rPr>
        <w:t>"מ סי' לא</w:t>
      </w:r>
      <w:r>
        <w:rPr>
          <w:rFonts w:cs="Arial" w:hint="cs"/>
          <w:rtl/>
        </w:rPr>
        <w:t>).</w:t>
      </w:r>
      <w:r w:rsidR="00BB0C6B">
        <w:rPr>
          <w:rFonts w:cs="Arial" w:hint="cs"/>
          <w:rtl/>
        </w:rPr>
        <w:t xml:space="preserve">    </w:t>
      </w:r>
      <w:r w:rsidRPr="0042649F">
        <w:rPr>
          <w:rFonts w:cs="Arial"/>
          <w:rtl/>
        </w:rPr>
        <w:t xml:space="preserve"> ולכאורה מדברי הח"מ סק"ב לא נראה כן אך עמ"ש בס"ק שאח"ז</w:t>
      </w:r>
      <w:r>
        <w:rPr>
          <w:rFonts w:cs="Arial" w:hint="cs"/>
          <w:rtl/>
        </w:rPr>
        <w:t xml:space="preserve"> </w:t>
      </w:r>
      <w:r w:rsidRPr="00FF4EDE">
        <w:rPr>
          <w:rFonts w:cs="Arial" w:hint="cs"/>
          <w:sz w:val="16"/>
          <w:szCs w:val="16"/>
          <w:rtl/>
        </w:rPr>
        <w:t>{בשם רעק"א ובית מאיר}</w:t>
      </w:r>
      <w:r>
        <w:rPr>
          <w:rFonts w:cs="Arial" w:hint="cs"/>
          <w:rtl/>
        </w:rPr>
        <w:t xml:space="preserve">, </w:t>
      </w:r>
      <w:r w:rsidRPr="00BB0C6B">
        <w:rPr>
          <w:rFonts w:cs="Arial" w:hint="cs"/>
          <w:b/>
          <w:bCs/>
          <w:rtl/>
        </w:rPr>
        <w:t>פת"ש</w:t>
      </w:r>
      <w:r>
        <w:rPr>
          <w:rFonts w:cs="Arial" w:hint="cs"/>
          <w:rtl/>
        </w:rPr>
        <w:t xml:space="preserve"> (סק"ב).</w:t>
      </w:r>
    </w:p>
  </w:footnote>
  <w:footnote w:id="2112">
    <w:p w14:paraId="15318799" w14:textId="77777777" w:rsidR="00392DBB" w:rsidRDefault="00392DBB" w:rsidP="00392DBB">
      <w:pPr>
        <w:pStyle w:val="a5"/>
        <w:rPr>
          <w:rtl/>
        </w:rPr>
      </w:pPr>
      <w:r>
        <w:rPr>
          <w:rStyle w:val="a7"/>
        </w:rPr>
        <w:footnoteRef/>
      </w:r>
      <w:r>
        <w:rPr>
          <w:rtl/>
        </w:rPr>
        <w:t xml:space="preserve"> </w:t>
      </w:r>
      <w:r w:rsidRPr="009B73EF">
        <w:rPr>
          <w:rFonts w:cs="Arial"/>
          <w:rtl/>
        </w:rPr>
        <w:t>אע</w:t>
      </w:r>
      <w:r>
        <w:rPr>
          <w:rFonts w:cs="Arial" w:hint="cs"/>
          <w:rtl/>
        </w:rPr>
        <w:t>"</w:t>
      </w:r>
      <w:r w:rsidRPr="009B73EF">
        <w:rPr>
          <w:rFonts w:cs="Arial"/>
          <w:rtl/>
        </w:rPr>
        <w:t>ג דקי"ל דאין טורפין מטלטלין אפי' אם כתב אג"ק</w:t>
      </w:r>
      <w:r>
        <w:rPr>
          <w:rFonts w:cs="Arial" w:hint="cs"/>
          <w:rtl/>
        </w:rPr>
        <w:t>,</w:t>
      </w:r>
      <w:r w:rsidRPr="009B73EF">
        <w:rPr>
          <w:rFonts w:cs="Arial"/>
          <w:rtl/>
        </w:rPr>
        <w:t xml:space="preserve"> מ"מ לענין ב"ח נותנים למוקדם כשכ' אג"ק כמ"ש בח"ה סימן קי"ג</w:t>
      </w:r>
      <w:r>
        <w:rPr>
          <w:rFonts w:cs="Arial" w:hint="cs"/>
          <w:rtl/>
        </w:rPr>
        <w:t>.</w:t>
      </w:r>
      <w:r w:rsidRPr="009B73EF">
        <w:rPr>
          <w:rFonts w:cs="Arial"/>
          <w:rtl/>
        </w:rPr>
        <w:t xml:space="preserve"> ומ"ש ותדחה האשה ע' בח"ה בב"י סי' ק"ד</w:t>
      </w:r>
      <w:r>
        <w:rPr>
          <w:rFonts w:hint="cs"/>
          <w:rtl/>
        </w:rPr>
        <w:t>, ב"ש (סק"ד).</w:t>
      </w:r>
    </w:p>
  </w:footnote>
  <w:footnote w:id="2113">
    <w:p w14:paraId="282BBEB7" w14:textId="507C29BD" w:rsidR="00392DBB" w:rsidRDefault="00392DBB" w:rsidP="00392DBB">
      <w:pPr>
        <w:pStyle w:val="a5"/>
        <w:rPr>
          <w:rtl/>
        </w:rPr>
      </w:pPr>
      <w:r>
        <w:rPr>
          <w:rStyle w:val="a7"/>
        </w:rPr>
        <w:footnoteRef/>
      </w:r>
      <w:r>
        <w:rPr>
          <w:rtl/>
        </w:rPr>
        <w:t xml:space="preserve"> </w:t>
      </w:r>
      <w:r w:rsidRPr="00E76BC8">
        <w:rPr>
          <w:rFonts w:cs="Arial"/>
          <w:rtl/>
        </w:rPr>
        <w:t>ואע</w:t>
      </w:r>
      <w:r>
        <w:rPr>
          <w:rFonts w:cs="Arial" w:hint="cs"/>
          <w:rtl/>
        </w:rPr>
        <w:t>"</w:t>
      </w:r>
      <w:r w:rsidRPr="00E76BC8">
        <w:rPr>
          <w:rFonts w:cs="Arial"/>
          <w:rtl/>
        </w:rPr>
        <w:t xml:space="preserve">ג שכ' לה מטלטלי ומקרקעי דנמצא דגובה מן המטלטלין מדינא מטעם תנאי שבממון ולא מטעם תקנת הגאונים אפ"ה ב"ח עדיף </w:t>
      </w:r>
      <w:r w:rsidRPr="0002305A">
        <w:rPr>
          <w:rFonts w:cs="Arial"/>
          <w:rtl/>
        </w:rPr>
        <w:t>מטעם שכ' הרמב"ם שהב"ח הוציא מעותיו והאשה לא חסרה דבר</w:t>
      </w:r>
      <w:r>
        <w:rPr>
          <w:rFonts w:cs="Arial" w:hint="cs"/>
          <w:rtl/>
        </w:rPr>
        <w:t>.</w:t>
      </w:r>
      <w:r w:rsidRPr="0002305A">
        <w:rPr>
          <w:rFonts w:cs="Arial"/>
          <w:rtl/>
        </w:rPr>
        <w:t xml:space="preserve"> אבל אם כתב מטלטלי אגב מקרקע דין המטלטלי כדין הקרקע ושייך בהו קדימה</w:t>
      </w:r>
      <w:r>
        <w:rPr>
          <w:rFonts w:hint="cs"/>
          <w:rtl/>
        </w:rPr>
        <w:t xml:space="preserve">, </w:t>
      </w:r>
      <w:r w:rsidRPr="00BB0C6B">
        <w:rPr>
          <w:rFonts w:hint="cs"/>
          <w:b/>
          <w:bCs/>
          <w:rtl/>
        </w:rPr>
        <w:t>ח"מ</w:t>
      </w:r>
      <w:r>
        <w:rPr>
          <w:rFonts w:hint="cs"/>
          <w:rtl/>
        </w:rPr>
        <w:t xml:space="preserve"> (סק"ב).</w:t>
      </w:r>
      <w:r w:rsidRPr="0002305A">
        <w:rPr>
          <w:rFonts w:cs="Arial"/>
          <w:rtl/>
        </w:rPr>
        <w:t xml:space="preserve"> </w:t>
      </w:r>
      <w:r w:rsidR="00BB0C6B">
        <w:rPr>
          <w:rFonts w:cs="Arial" w:hint="cs"/>
          <w:rtl/>
        </w:rPr>
        <w:t xml:space="preserve">      </w:t>
      </w:r>
      <w:r w:rsidRPr="0042649F">
        <w:rPr>
          <w:rFonts w:cs="Arial"/>
          <w:rtl/>
        </w:rPr>
        <w:t xml:space="preserve">וע' בתשובת רבינו עקיבא איגר ז"ל </w:t>
      </w:r>
      <w:r>
        <w:rPr>
          <w:rFonts w:cs="Arial" w:hint="cs"/>
          <w:rtl/>
        </w:rPr>
        <w:t>(</w:t>
      </w:r>
      <w:r w:rsidRPr="0042649F">
        <w:rPr>
          <w:rFonts w:cs="Arial"/>
          <w:rtl/>
        </w:rPr>
        <w:t>סי' קלג</w:t>
      </w:r>
      <w:r>
        <w:rPr>
          <w:rFonts w:cs="Arial" w:hint="cs"/>
          <w:rtl/>
        </w:rPr>
        <w:t>)</w:t>
      </w:r>
      <w:r w:rsidRPr="0042649F">
        <w:rPr>
          <w:rFonts w:cs="Arial"/>
          <w:rtl/>
        </w:rPr>
        <w:t xml:space="preserve"> שכ' דדברי ח"מ אלו </w:t>
      </w:r>
      <w:r>
        <w:rPr>
          <w:rFonts w:cs="Arial" w:hint="cs"/>
          <w:sz w:val="16"/>
          <w:szCs w:val="16"/>
          <w:rtl/>
        </w:rPr>
        <w:t xml:space="preserve">{דאע"ג דכתב לה מטלטלי ומקרקעי </w:t>
      </w:r>
      <w:r w:rsidR="00F97626">
        <w:rPr>
          <w:rFonts w:cs="Arial"/>
          <w:sz w:val="16"/>
          <w:szCs w:val="16"/>
          <w:rtl/>
        </w:rPr>
        <w:t>-</w:t>
      </w:r>
      <w:r>
        <w:rPr>
          <w:rFonts w:cs="Arial" w:hint="cs"/>
          <w:sz w:val="16"/>
          <w:szCs w:val="16"/>
          <w:rtl/>
        </w:rPr>
        <w:t xml:space="preserve"> בע"ח עדיף} </w:t>
      </w:r>
      <w:r w:rsidRPr="0042649F">
        <w:rPr>
          <w:rFonts w:cs="Arial"/>
          <w:rtl/>
        </w:rPr>
        <w:t>צריכים ראי</w:t>
      </w:r>
      <w:r>
        <w:rPr>
          <w:rFonts w:cs="Arial" w:hint="cs"/>
          <w:rtl/>
        </w:rPr>
        <w:t>ה</w:t>
      </w:r>
      <w:r w:rsidRPr="0042649F">
        <w:rPr>
          <w:rFonts w:cs="Arial"/>
          <w:rtl/>
        </w:rPr>
        <w:t xml:space="preserve"> גדולה</w:t>
      </w:r>
      <w:r>
        <w:rPr>
          <w:rFonts w:cs="Arial" w:hint="cs"/>
          <w:rtl/>
        </w:rPr>
        <w:t>,</w:t>
      </w:r>
      <w:r w:rsidRPr="0042649F">
        <w:rPr>
          <w:rFonts w:cs="Arial"/>
          <w:rtl/>
        </w:rPr>
        <w:t xml:space="preserve"> דדילמא כיון דלה משתעבדא מדינא ולבע"ח רק מתקנה איהי עדיפא</w:t>
      </w:r>
      <w:r>
        <w:rPr>
          <w:rFonts w:cs="Arial" w:hint="cs"/>
          <w:rtl/>
        </w:rPr>
        <w:t>.</w:t>
      </w:r>
      <w:r w:rsidRPr="0042649F">
        <w:rPr>
          <w:rFonts w:cs="Arial"/>
          <w:rtl/>
        </w:rPr>
        <w:t xml:space="preserve"> והאריך להביא ראיות וכ' דגם להח"מ מ"מ מודה דאם קדמה האשה ותפסה מהני</w:t>
      </w:r>
      <w:r>
        <w:rPr>
          <w:rFonts w:cs="Arial" w:hint="cs"/>
          <w:rtl/>
        </w:rPr>
        <w:t>.</w:t>
      </w:r>
      <w:r w:rsidRPr="0042649F">
        <w:rPr>
          <w:rFonts w:cs="Arial"/>
          <w:rtl/>
        </w:rPr>
        <w:t xml:space="preserve"> עש"ב. גם בס' בית מאיר עמד בזה על דברי הח"מ הנ"ל וכ' </w:t>
      </w:r>
      <w:r w:rsidR="0061020A">
        <w:rPr>
          <w:rFonts w:cs="Arial"/>
          <w:rtl/>
        </w:rPr>
        <w:t>וז"ל:</w:t>
      </w:r>
      <w:r w:rsidRPr="0042649F">
        <w:rPr>
          <w:rFonts w:cs="Arial"/>
          <w:rtl/>
        </w:rPr>
        <w:t xml:space="preserve"> ולע"ד זה אינו אלא בגרושה</w:t>
      </w:r>
      <w:r>
        <w:rPr>
          <w:rFonts w:cs="Arial" w:hint="cs"/>
          <w:rtl/>
        </w:rPr>
        <w:t>,</w:t>
      </w:r>
      <w:r w:rsidRPr="0042649F">
        <w:rPr>
          <w:rFonts w:cs="Arial"/>
          <w:rtl/>
        </w:rPr>
        <w:t xml:space="preserve"> דאז שעבוד הבע"ח מיניה</w:t>
      </w:r>
      <w:r>
        <w:rPr>
          <w:rFonts w:cs="Arial" w:hint="cs"/>
          <w:rtl/>
        </w:rPr>
        <w:t>,</w:t>
      </w:r>
      <w:r w:rsidRPr="0042649F">
        <w:rPr>
          <w:rFonts w:cs="Arial"/>
          <w:rtl/>
        </w:rPr>
        <w:t xml:space="preserve"> ולתרווייהו משתעבדי מדינא בלא קדימה</w:t>
      </w:r>
      <w:r>
        <w:rPr>
          <w:rFonts w:cs="Arial" w:hint="cs"/>
          <w:rtl/>
        </w:rPr>
        <w:t>.</w:t>
      </w:r>
      <w:r w:rsidRPr="0042649F">
        <w:rPr>
          <w:rFonts w:cs="Arial"/>
          <w:rtl/>
        </w:rPr>
        <w:t xml:space="preserve"> אבל באלמנה עם ב"ח שאז שעבוד הב"ח לדין הש"ס מטלטלי דיתמי לא משתעבדי ואינם אלא מתקנה</w:t>
      </w:r>
      <w:r>
        <w:rPr>
          <w:rFonts w:cs="Arial" w:hint="cs"/>
          <w:rtl/>
        </w:rPr>
        <w:t>,</w:t>
      </w:r>
      <w:r w:rsidRPr="0042649F">
        <w:rPr>
          <w:rFonts w:cs="Arial"/>
          <w:rtl/>
        </w:rPr>
        <w:t xml:space="preserve"> ולדידה מדינא אם נכתב לה בחייה ובמות</w:t>
      </w:r>
      <w:r>
        <w:rPr>
          <w:rFonts w:cs="Arial" w:hint="cs"/>
          <w:rtl/>
        </w:rPr>
        <w:t xml:space="preserve"> -</w:t>
      </w:r>
      <w:r w:rsidRPr="0042649F">
        <w:rPr>
          <w:rFonts w:cs="Arial"/>
          <w:rtl/>
        </w:rPr>
        <w:t xml:space="preserve"> הרי שעבודה אלים והיא גביא ולא הוא כו' עכ"ל</w:t>
      </w:r>
      <w:r>
        <w:rPr>
          <w:rFonts w:cs="Arial" w:hint="cs"/>
          <w:rtl/>
        </w:rPr>
        <w:t xml:space="preserve">, </w:t>
      </w:r>
      <w:r w:rsidRPr="00BB0C6B">
        <w:rPr>
          <w:rFonts w:cs="Arial" w:hint="cs"/>
          <w:b/>
          <w:bCs/>
          <w:rtl/>
        </w:rPr>
        <w:t>פת"ש</w:t>
      </w:r>
      <w:r>
        <w:rPr>
          <w:rFonts w:cs="Arial" w:hint="cs"/>
          <w:rtl/>
        </w:rPr>
        <w:t xml:space="preserve"> (סק"ג).</w:t>
      </w:r>
    </w:p>
  </w:footnote>
  <w:footnote w:id="2114">
    <w:p w14:paraId="31404CEC" w14:textId="616DB33C" w:rsidR="00392DBB" w:rsidRDefault="00392DBB" w:rsidP="00392DBB">
      <w:pPr>
        <w:pStyle w:val="a5"/>
      </w:pPr>
      <w:r>
        <w:rPr>
          <w:rStyle w:val="a7"/>
        </w:rPr>
        <w:footnoteRef/>
      </w:r>
      <w:r>
        <w:rPr>
          <w:rtl/>
        </w:rPr>
        <w:t xml:space="preserve"> </w:t>
      </w:r>
      <w:r w:rsidRPr="00E76BC8">
        <w:rPr>
          <w:rFonts w:cs="Arial"/>
          <w:rtl/>
        </w:rPr>
        <w:t>כלו</w:t>
      </w:r>
      <w:r>
        <w:rPr>
          <w:rFonts w:cs="Arial" w:hint="cs"/>
          <w:rtl/>
        </w:rPr>
        <w:t>מר</w:t>
      </w:r>
      <w:r w:rsidRPr="00E76BC8">
        <w:rPr>
          <w:rFonts w:cs="Arial"/>
          <w:rtl/>
        </w:rPr>
        <w:t xml:space="preserve"> אבל לא נדוניא דהנע</w:t>
      </w:r>
      <w:r>
        <w:rPr>
          <w:rFonts w:cs="Arial" w:hint="cs"/>
          <w:rtl/>
        </w:rPr>
        <w:t>לת</w:t>
      </w:r>
      <w:r w:rsidRPr="00E76BC8">
        <w:rPr>
          <w:rFonts w:cs="Arial"/>
          <w:rtl/>
        </w:rPr>
        <w:t xml:space="preserve"> ליה שבזה דינה כמו ב"ח וכמו שנתבאר בסמוך סעיף ט' והטעם מבואר שהיא נתנה לו נכסיה כמו הב"ח ועמ"ש סי' ק' סעיף ב'</w:t>
      </w:r>
      <w:r>
        <w:rPr>
          <w:rFonts w:cs="Arial" w:hint="cs"/>
          <w:rtl/>
        </w:rPr>
        <w:t xml:space="preserve">, </w:t>
      </w:r>
      <w:r w:rsidRPr="00BB0C6B">
        <w:rPr>
          <w:rFonts w:cs="Arial" w:hint="cs"/>
          <w:b/>
          <w:bCs/>
          <w:rtl/>
        </w:rPr>
        <w:t>ח"מ</w:t>
      </w:r>
      <w:r>
        <w:rPr>
          <w:rFonts w:cs="Arial" w:hint="cs"/>
          <w:rtl/>
        </w:rPr>
        <w:t xml:space="preserve"> (סק"ג).</w:t>
      </w:r>
      <w:r>
        <w:rPr>
          <w:rFonts w:hint="cs"/>
          <w:rtl/>
        </w:rPr>
        <w:t xml:space="preserve"> וכ"כ </w:t>
      </w:r>
      <w:r w:rsidRPr="00BB0C6B">
        <w:rPr>
          <w:rFonts w:hint="cs"/>
          <w:b/>
          <w:bCs/>
          <w:rtl/>
        </w:rPr>
        <w:t>הב"ש</w:t>
      </w:r>
      <w:r>
        <w:rPr>
          <w:rFonts w:hint="cs"/>
          <w:rtl/>
        </w:rPr>
        <w:t xml:space="preserve"> (סק"ה), והוסיף </w:t>
      </w:r>
      <w:r>
        <w:rPr>
          <w:rFonts w:cs="Arial" w:hint="cs"/>
          <w:rtl/>
        </w:rPr>
        <w:t xml:space="preserve">לכתוב דלגבי </w:t>
      </w:r>
      <w:r w:rsidRPr="00EC3210">
        <w:rPr>
          <w:rFonts w:cs="Arial"/>
          <w:rtl/>
        </w:rPr>
        <w:t>הוספות שליש כתבתי כמה פעמים דדינו כנדוני</w:t>
      </w:r>
      <w:r>
        <w:rPr>
          <w:rFonts w:cs="Arial" w:hint="cs"/>
          <w:rtl/>
        </w:rPr>
        <w:t>א,</w:t>
      </w:r>
      <w:r w:rsidRPr="00EC3210">
        <w:rPr>
          <w:rFonts w:cs="Arial"/>
          <w:rtl/>
        </w:rPr>
        <w:t xml:space="preserve"> וכאן י"ל בתוס' שליש דינו ככתובה</w:t>
      </w:r>
      <w:r>
        <w:rPr>
          <w:rFonts w:cs="Arial" w:hint="cs"/>
          <w:rtl/>
        </w:rPr>
        <w:t>.</w:t>
      </w:r>
      <w:r w:rsidRPr="00EC3210">
        <w:rPr>
          <w:rFonts w:cs="Arial"/>
          <w:rtl/>
        </w:rPr>
        <w:t xml:space="preserve"> דהא כתב הרמב"ם הטעם דמייפה כח הב"ח משום דהוציא את מעותיו</w:t>
      </w:r>
      <w:r>
        <w:rPr>
          <w:rFonts w:cs="Arial" w:hint="cs"/>
          <w:rtl/>
        </w:rPr>
        <w:t>,</w:t>
      </w:r>
      <w:r w:rsidRPr="00EC3210">
        <w:rPr>
          <w:rFonts w:cs="Arial"/>
          <w:rtl/>
        </w:rPr>
        <w:t xml:space="preserve"> ובתוספת שליש לא שייך טעם זה</w:t>
      </w:r>
      <w:r>
        <w:rPr>
          <w:rFonts w:hint="cs"/>
          <w:rtl/>
        </w:rPr>
        <w:t>. עכ"ל הב"ש.</w:t>
      </w:r>
      <w:r w:rsidR="00BB0C6B">
        <w:rPr>
          <w:rFonts w:hint="cs"/>
          <w:rtl/>
        </w:rPr>
        <w:t xml:space="preserve">     </w:t>
      </w:r>
      <w:r>
        <w:rPr>
          <w:rFonts w:hint="cs"/>
          <w:rtl/>
        </w:rPr>
        <w:t xml:space="preserve"> ו</w:t>
      </w:r>
      <w:r w:rsidRPr="0042649F">
        <w:rPr>
          <w:rFonts w:cs="Arial"/>
          <w:rtl/>
        </w:rPr>
        <w:t xml:space="preserve">בגליון ש"ע דהגר"ע איגר זצ"ל נ"ב עי' תשובת בעי חיי לבעל כנה"ג </w:t>
      </w:r>
      <w:r>
        <w:rPr>
          <w:rFonts w:cs="Arial" w:hint="cs"/>
          <w:rtl/>
        </w:rPr>
        <w:t>(</w:t>
      </w:r>
      <w:r w:rsidRPr="0042649F">
        <w:rPr>
          <w:rFonts w:cs="Arial"/>
          <w:rtl/>
        </w:rPr>
        <w:t>חח"מ סי' רב</w:t>
      </w:r>
      <w:r>
        <w:rPr>
          <w:rFonts w:cs="Arial" w:hint="cs"/>
          <w:rtl/>
        </w:rPr>
        <w:t>)</w:t>
      </w:r>
      <w:r w:rsidRPr="0042649F">
        <w:rPr>
          <w:rFonts w:cs="Arial"/>
          <w:rtl/>
        </w:rPr>
        <w:t xml:space="preserve"> כ' דגם בזה תליא בפלוגתא דרבוותא אם הוספת שליש הוא בכלל תוספת או בכלל נצ"ב וע' תשו' מהרמ"א סי' נד</w:t>
      </w:r>
      <w:r>
        <w:rPr>
          <w:rFonts w:cs="Arial" w:hint="cs"/>
          <w:rtl/>
        </w:rPr>
        <w:t>, פת"ש (סק"ד).</w:t>
      </w:r>
      <w:r w:rsidRPr="00383948">
        <w:rPr>
          <w:rtl/>
        </w:rPr>
        <w:t xml:space="preserve"> </w:t>
      </w:r>
      <w:r w:rsidRPr="00383948">
        <w:rPr>
          <w:rFonts w:cs="Arial"/>
          <w:rtl/>
        </w:rPr>
        <w:t xml:space="preserve">וז"ל הרדב"ז </w:t>
      </w:r>
      <w:r>
        <w:rPr>
          <w:rFonts w:cs="Arial" w:hint="cs"/>
          <w:rtl/>
        </w:rPr>
        <w:t>(</w:t>
      </w:r>
      <w:r w:rsidRPr="00383948">
        <w:rPr>
          <w:rFonts w:cs="Arial"/>
          <w:rtl/>
        </w:rPr>
        <w:t>ח"א סי' עא</w:t>
      </w:r>
      <w:r>
        <w:rPr>
          <w:rFonts w:cs="Arial" w:hint="cs"/>
          <w:rtl/>
        </w:rPr>
        <w:t>)</w:t>
      </w:r>
      <w:r w:rsidRPr="00383948">
        <w:rPr>
          <w:rFonts w:cs="Arial"/>
          <w:rtl/>
        </w:rPr>
        <w:t xml:space="preserve"> נ"מ שלה נוטלת</w:t>
      </w:r>
      <w:r>
        <w:rPr>
          <w:rFonts w:cs="Arial" w:hint="cs"/>
          <w:rtl/>
        </w:rPr>
        <w:t>,</w:t>
      </w:r>
      <w:r w:rsidRPr="00383948">
        <w:rPr>
          <w:rFonts w:cs="Arial"/>
          <w:rtl/>
        </w:rPr>
        <w:t xml:space="preserve"> וכן נצ"ב דהיינו נכסי נדוניא אם הם בעין</w:t>
      </w:r>
      <w:r>
        <w:rPr>
          <w:rFonts w:cs="Arial" w:hint="cs"/>
          <w:rtl/>
        </w:rPr>
        <w:t>,</w:t>
      </w:r>
      <w:r w:rsidRPr="00383948">
        <w:rPr>
          <w:rFonts w:cs="Arial"/>
          <w:rtl/>
        </w:rPr>
        <w:t xml:space="preserve"> או תמורתם שיש עדים או ראיה שאלו באו מכח אותם הנכסים שהיו מנדונייתה נוטלתן</w:t>
      </w:r>
      <w:r>
        <w:rPr>
          <w:rFonts w:cs="Arial" w:hint="cs"/>
          <w:rtl/>
        </w:rPr>
        <w:t>,</w:t>
      </w:r>
      <w:r w:rsidRPr="00383948">
        <w:rPr>
          <w:rFonts w:cs="Arial"/>
          <w:rtl/>
        </w:rPr>
        <w:t xml:space="preserve"> ואין לבע"ח בהם כלום</w:t>
      </w:r>
      <w:r>
        <w:rPr>
          <w:rFonts w:cs="Arial" w:hint="cs"/>
          <w:rtl/>
        </w:rPr>
        <w:t>.</w:t>
      </w:r>
      <w:r w:rsidRPr="00383948">
        <w:rPr>
          <w:rFonts w:cs="Arial"/>
          <w:rtl/>
        </w:rPr>
        <w:t xml:space="preserve"> ואם אכלן הבעל או שנאבדו</w:t>
      </w:r>
      <w:r>
        <w:rPr>
          <w:rFonts w:cs="Arial" w:hint="cs"/>
          <w:rtl/>
        </w:rPr>
        <w:t>,</w:t>
      </w:r>
      <w:r w:rsidRPr="00383948">
        <w:rPr>
          <w:rFonts w:cs="Arial"/>
          <w:rtl/>
        </w:rPr>
        <w:t xml:space="preserve"> כיון שהוא חייב באחריותן הרי הוא בהם כשאר בע"ח</w:t>
      </w:r>
      <w:r>
        <w:rPr>
          <w:rFonts w:cs="Arial" w:hint="cs"/>
          <w:rtl/>
        </w:rPr>
        <w:t>,</w:t>
      </w:r>
      <w:r w:rsidRPr="00383948">
        <w:rPr>
          <w:rFonts w:cs="Arial"/>
          <w:rtl/>
        </w:rPr>
        <w:t xml:space="preserve"> וחולקין. ומנה ומאתיים ותוספת</w:t>
      </w:r>
      <w:r>
        <w:rPr>
          <w:rFonts w:cs="Arial" w:hint="cs"/>
          <w:rtl/>
        </w:rPr>
        <w:t>,</w:t>
      </w:r>
      <w:r w:rsidRPr="00383948">
        <w:rPr>
          <w:rFonts w:cs="Arial"/>
          <w:rtl/>
        </w:rPr>
        <w:t xml:space="preserve"> בע"ח קודם ע"ש. ועיין בח"מ סי' צ"ז סעיף כ"ו. והרח"ש </w:t>
      </w:r>
      <w:r>
        <w:rPr>
          <w:rFonts w:cs="Arial" w:hint="cs"/>
          <w:rtl/>
        </w:rPr>
        <w:t>(</w:t>
      </w:r>
      <w:r w:rsidRPr="00383948">
        <w:rPr>
          <w:rFonts w:cs="Arial"/>
          <w:rtl/>
        </w:rPr>
        <w:t>בתשו' סי' נד</w:t>
      </w:r>
      <w:r>
        <w:rPr>
          <w:rFonts w:cs="Arial" w:hint="cs"/>
          <w:rtl/>
        </w:rPr>
        <w:t>)</w:t>
      </w:r>
      <w:r w:rsidRPr="00383948">
        <w:rPr>
          <w:rFonts w:cs="Arial"/>
          <w:rtl/>
        </w:rPr>
        <w:t xml:space="preserve"> כתב דתוס</w:t>
      </w:r>
      <w:r>
        <w:rPr>
          <w:rFonts w:cs="Arial" w:hint="cs"/>
          <w:rtl/>
        </w:rPr>
        <w:t>פת</w:t>
      </w:r>
      <w:r w:rsidRPr="00383948">
        <w:rPr>
          <w:rFonts w:cs="Arial"/>
          <w:rtl/>
        </w:rPr>
        <w:t xml:space="preserve"> דידן דינו כנדוניא אפי' כאן. חפץ הקנויה ממעשה ידיה וכן פירות נ"מ שלה שהם בעין </w:t>
      </w:r>
      <w:r>
        <w:rPr>
          <w:rFonts w:cs="Arial" w:hint="cs"/>
          <w:rtl/>
        </w:rPr>
        <w:t xml:space="preserve">- </w:t>
      </w:r>
      <w:r w:rsidRPr="00383948">
        <w:rPr>
          <w:rFonts w:cs="Arial"/>
          <w:rtl/>
        </w:rPr>
        <w:t>נוטלתן האשה וישומו לה לנדוניי</w:t>
      </w:r>
      <w:r>
        <w:rPr>
          <w:rFonts w:cs="Arial" w:hint="cs"/>
          <w:rtl/>
        </w:rPr>
        <w:t>תה</w:t>
      </w:r>
      <w:r w:rsidRPr="00383948">
        <w:rPr>
          <w:rFonts w:cs="Arial"/>
          <w:rtl/>
        </w:rPr>
        <w:t xml:space="preserve"> ולא תועיל קדימה או תפיסה לבע"ח</w:t>
      </w:r>
      <w:r>
        <w:rPr>
          <w:rFonts w:cs="Arial" w:hint="cs"/>
          <w:rtl/>
        </w:rPr>
        <w:t>,</w:t>
      </w:r>
      <w:r w:rsidRPr="00383948">
        <w:rPr>
          <w:rFonts w:cs="Arial"/>
          <w:rtl/>
        </w:rPr>
        <w:t xml:space="preserve"> הר"ם מטראני </w:t>
      </w:r>
      <w:r>
        <w:rPr>
          <w:rFonts w:cs="Arial" w:hint="cs"/>
          <w:rtl/>
        </w:rPr>
        <w:t>(</w:t>
      </w:r>
      <w:r w:rsidRPr="00383948">
        <w:rPr>
          <w:rFonts w:cs="Arial"/>
          <w:rtl/>
        </w:rPr>
        <w:t>ח"ג סי</w:t>
      </w:r>
      <w:r>
        <w:rPr>
          <w:rFonts w:cs="Arial" w:hint="cs"/>
          <w:rtl/>
        </w:rPr>
        <w:t>'</w:t>
      </w:r>
      <w:r w:rsidRPr="00383948">
        <w:rPr>
          <w:rFonts w:cs="Arial"/>
          <w:rtl/>
        </w:rPr>
        <w:t xml:space="preserve"> קפד</w:t>
      </w:r>
      <w:r>
        <w:rPr>
          <w:rFonts w:cs="Arial" w:hint="cs"/>
          <w:rtl/>
        </w:rPr>
        <w:t>)</w:t>
      </w:r>
      <w:r w:rsidRPr="00383948">
        <w:rPr>
          <w:rFonts w:cs="Arial"/>
          <w:rtl/>
        </w:rPr>
        <w:t>. החשבון מהנדוני</w:t>
      </w:r>
      <w:r>
        <w:rPr>
          <w:rFonts w:cs="Arial" w:hint="cs"/>
          <w:rtl/>
        </w:rPr>
        <w:t>א</w:t>
      </w:r>
      <w:r w:rsidRPr="00383948">
        <w:rPr>
          <w:rFonts w:cs="Arial"/>
          <w:rtl/>
        </w:rPr>
        <w:t xml:space="preserve"> שחוזר ליורשי האשה כשמתה בלי זרע של קיימא לפי התקנה או המנהג או התנאי דינו כנדוני'</w:t>
      </w:r>
      <w:r>
        <w:rPr>
          <w:rFonts w:cs="Arial" w:hint="cs"/>
          <w:rtl/>
        </w:rPr>
        <w:t>,</w:t>
      </w:r>
      <w:r w:rsidRPr="00383948">
        <w:rPr>
          <w:rFonts w:cs="Arial"/>
          <w:rtl/>
        </w:rPr>
        <w:t xml:space="preserve"> הרא"ש</w:t>
      </w:r>
      <w:r>
        <w:rPr>
          <w:rFonts w:cs="Arial" w:hint="cs"/>
          <w:rtl/>
        </w:rPr>
        <w:t xml:space="preserve">, </w:t>
      </w:r>
      <w:r w:rsidRPr="00BB0C6B">
        <w:rPr>
          <w:rFonts w:cs="Arial" w:hint="cs"/>
          <w:b/>
          <w:bCs/>
          <w:rtl/>
        </w:rPr>
        <w:t>באה"ט</w:t>
      </w:r>
      <w:r>
        <w:rPr>
          <w:rFonts w:cs="Arial" w:hint="cs"/>
          <w:rtl/>
        </w:rPr>
        <w:t xml:space="preserve"> (סק"ד).</w:t>
      </w:r>
    </w:p>
  </w:footnote>
  <w:footnote w:id="2115">
    <w:p w14:paraId="0AD3B66E" w14:textId="1A489979" w:rsidR="00392DBB" w:rsidRDefault="00392DBB" w:rsidP="00392DBB">
      <w:pPr>
        <w:pStyle w:val="a5"/>
      </w:pPr>
      <w:r>
        <w:rPr>
          <w:rStyle w:val="a7"/>
        </w:rPr>
        <w:footnoteRef/>
      </w:r>
      <w:r>
        <w:rPr>
          <w:rtl/>
        </w:rPr>
        <w:t xml:space="preserve"> </w:t>
      </w:r>
      <w:r w:rsidRPr="004F0837">
        <w:rPr>
          <w:rFonts w:cs="Arial"/>
          <w:rtl/>
        </w:rPr>
        <w:t>כלומר שמא פרע לך אבל אם ידוע שלא פרע לו אע</w:t>
      </w:r>
      <w:r w:rsidR="00BB0C6B">
        <w:rPr>
          <w:rFonts w:cs="Arial" w:hint="cs"/>
          <w:rtl/>
        </w:rPr>
        <w:t>"</w:t>
      </w:r>
      <w:r w:rsidRPr="004F0837">
        <w:rPr>
          <w:rFonts w:cs="Arial"/>
          <w:rtl/>
        </w:rPr>
        <w:t xml:space="preserve">ג די"ל דלמא לא היה חייב לו מ"מ יכול לחייבה דהא יכול ליתן מתנה לכל מי שירצה כמ"ש בסימן ק' </w:t>
      </w:r>
      <w:r>
        <w:rPr>
          <w:rFonts w:cs="Arial" w:hint="cs"/>
          <w:rtl/>
        </w:rPr>
        <w:t xml:space="preserve">(ס"א). </w:t>
      </w:r>
      <w:r w:rsidRPr="004F0837">
        <w:rPr>
          <w:rFonts w:cs="Arial"/>
          <w:rtl/>
        </w:rPr>
        <w:t xml:space="preserve">וראיתי בתשובת רש"ך </w:t>
      </w:r>
      <w:r>
        <w:rPr>
          <w:rFonts w:cs="Arial" w:hint="cs"/>
          <w:rtl/>
        </w:rPr>
        <w:t>(</w:t>
      </w:r>
      <w:r w:rsidRPr="004F0837">
        <w:rPr>
          <w:rFonts w:cs="Arial"/>
          <w:rtl/>
        </w:rPr>
        <w:t>ח"א סי</w:t>
      </w:r>
      <w:r>
        <w:rPr>
          <w:rFonts w:cs="Arial" w:hint="cs"/>
          <w:rtl/>
        </w:rPr>
        <w:t>'</w:t>
      </w:r>
      <w:r w:rsidRPr="004F0837">
        <w:rPr>
          <w:rFonts w:cs="Arial"/>
          <w:rtl/>
        </w:rPr>
        <w:t xml:space="preserve"> לה</w:t>
      </w:r>
      <w:r>
        <w:rPr>
          <w:rFonts w:cs="Arial" w:hint="cs"/>
          <w:rtl/>
        </w:rPr>
        <w:t>)</w:t>
      </w:r>
      <w:r w:rsidRPr="004F0837">
        <w:rPr>
          <w:rFonts w:cs="Arial"/>
          <w:rtl/>
        </w:rPr>
        <w:t xml:space="preserve"> דכתב דאי</w:t>
      </w:r>
      <w:r>
        <w:rPr>
          <w:rFonts w:cs="Arial" w:hint="cs"/>
          <w:rtl/>
        </w:rPr>
        <w:t>נו יכול</w:t>
      </w:r>
      <w:r w:rsidRPr="004F0837">
        <w:rPr>
          <w:rFonts w:cs="Arial"/>
          <w:rtl/>
        </w:rPr>
        <w:t xml:space="preserve"> לחייבה</w:t>
      </w:r>
      <w:r>
        <w:rPr>
          <w:rFonts w:cs="Arial" w:hint="cs"/>
          <w:rtl/>
        </w:rPr>
        <w:t>,</w:t>
      </w:r>
      <w:r w:rsidRPr="004F0837">
        <w:rPr>
          <w:rFonts w:cs="Arial"/>
          <w:rtl/>
        </w:rPr>
        <w:t xml:space="preserve"> ולמד כן מתשובת הרשב"א שהבאתי בסימן ק'</w:t>
      </w:r>
      <w:r>
        <w:rPr>
          <w:rFonts w:cs="Arial" w:hint="cs"/>
          <w:rtl/>
        </w:rPr>
        <w:t>.</w:t>
      </w:r>
      <w:r w:rsidRPr="004F0837">
        <w:rPr>
          <w:rFonts w:cs="Arial"/>
          <w:rtl/>
        </w:rPr>
        <w:t xml:space="preserve"> ולית</w:t>
      </w:r>
      <w:r>
        <w:rPr>
          <w:rFonts w:cs="Arial" w:hint="cs"/>
          <w:rtl/>
        </w:rPr>
        <w:t>א,</w:t>
      </w:r>
      <w:r w:rsidRPr="004F0837">
        <w:rPr>
          <w:rFonts w:cs="Arial"/>
          <w:rtl/>
        </w:rPr>
        <w:t xml:space="preserve"> כמ"ש שם</w:t>
      </w:r>
      <w:r>
        <w:rPr>
          <w:rFonts w:cs="Arial" w:hint="cs"/>
          <w:rtl/>
        </w:rPr>
        <w:t>, ב"ש (סק"ט).</w:t>
      </w:r>
    </w:p>
  </w:footnote>
  <w:footnote w:id="2116">
    <w:p w14:paraId="770A5261" w14:textId="77777777" w:rsidR="00392DBB" w:rsidRDefault="00392DBB" w:rsidP="00392DBB">
      <w:pPr>
        <w:pStyle w:val="a5"/>
        <w:rPr>
          <w:rtl/>
        </w:rPr>
      </w:pPr>
      <w:r>
        <w:rPr>
          <w:rStyle w:val="a7"/>
        </w:rPr>
        <w:footnoteRef/>
      </w:r>
      <w:r>
        <w:rPr>
          <w:rtl/>
        </w:rPr>
        <w:t xml:space="preserve"> </w:t>
      </w:r>
      <w:r w:rsidRPr="00D8413A">
        <w:rPr>
          <w:rFonts w:cs="Arial"/>
          <w:rtl/>
        </w:rPr>
        <w:t>דין זה פשוט דמהי תיתי שתתפוס פקדון של אחרים ואפי' עיסקא דהוי פלגא מלוה פסק בי"ד סי' קע"ז דאין ב"ח ואשה נוטלים כלום מן הקרן ומחלק ריוח של הנותן</w:t>
      </w:r>
      <w:r>
        <w:rPr>
          <w:rFonts w:hint="cs"/>
          <w:rtl/>
        </w:rPr>
        <w:t>, ח"מ (סק"ו).</w:t>
      </w:r>
    </w:p>
  </w:footnote>
  <w:footnote w:id="2117">
    <w:p w14:paraId="62074AD2" w14:textId="77777777" w:rsidR="00392DBB" w:rsidRDefault="00392DBB" w:rsidP="00392DBB">
      <w:pPr>
        <w:pStyle w:val="a5"/>
      </w:pPr>
      <w:r>
        <w:rPr>
          <w:rStyle w:val="a7"/>
        </w:rPr>
        <w:footnoteRef/>
      </w:r>
      <w:r>
        <w:rPr>
          <w:rtl/>
        </w:rPr>
        <w:t xml:space="preserve"> </w:t>
      </w:r>
      <w:r w:rsidRPr="00D8413A">
        <w:rPr>
          <w:rFonts w:cs="Arial"/>
          <w:rtl/>
        </w:rPr>
        <w:t>כדי שלא תטרוף מטלטלי שמכר הבעל או שנתן במתנת בריא</w:t>
      </w:r>
      <w:r>
        <w:rPr>
          <w:rFonts w:cs="Arial" w:hint="cs"/>
          <w:rtl/>
        </w:rPr>
        <w:t>, ח"מ (סק"ז).</w:t>
      </w:r>
    </w:p>
  </w:footnote>
  <w:footnote w:id="2118">
    <w:p w14:paraId="4CCE5698" w14:textId="7D737491" w:rsidR="00392DBB" w:rsidRDefault="00392DBB" w:rsidP="00392DBB">
      <w:pPr>
        <w:pStyle w:val="a5"/>
      </w:pPr>
      <w:r>
        <w:rPr>
          <w:rStyle w:val="a7"/>
        </w:rPr>
        <w:footnoteRef/>
      </w:r>
      <w:r>
        <w:rPr>
          <w:rtl/>
        </w:rPr>
        <w:t xml:space="preserve"> </w:t>
      </w:r>
      <w:r w:rsidRPr="00D8413A">
        <w:rPr>
          <w:rFonts w:cs="Arial"/>
          <w:rtl/>
        </w:rPr>
        <w:t>כלו' משום תקנת השוק אין נוהגים לגבות מן הלקוחו' שמכר או נתן במתנת בריא</w:t>
      </w:r>
      <w:r w:rsidR="001B61A7">
        <w:rPr>
          <w:rFonts w:cs="Arial" w:hint="cs"/>
          <w:rtl/>
        </w:rPr>
        <w:t>.</w:t>
      </w:r>
      <w:r w:rsidRPr="00D8413A">
        <w:rPr>
          <w:rFonts w:cs="Arial"/>
          <w:rtl/>
        </w:rPr>
        <w:t xml:space="preserve"> ומ"מ אם כתב אגב בכתוב' מועיל לענין ב"ח הבא לגבות ממטלטלי דיש לה קדימה וכמו שנתבאר בח"מ סי' ק"ג דלגבי שני ב"ח הבאים לגבו' ליכא תקנת השוק וע"כ כתב לפני זה כגון דלא אקני לה מטלטלי אגב מקרקעי</w:t>
      </w:r>
      <w:r>
        <w:rPr>
          <w:rFonts w:cs="Arial" w:hint="cs"/>
          <w:rtl/>
        </w:rPr>
        <w:t>, ח"מ (סק"ח).</w:t>
      </w:r>
    </w:p>
  </w:footnote>
  <w:footnote w:id="2119">
    <w:p w14:paraId="22DCEC2C" w14:textId="77777777" w:rsidR="00392DBB" w:rsidRDefault="00392DBB" w:rsidP="00392DBB">
      <w:pPr>
        <w:pStyle w:val="a5"/>
        <w:rPr>
          <w:rtl/>
        </w:rPr>
      </w:pPr>
      <w:r>
        <w:rPr>
          <w:rStyle w:val="a7"/>
        </w:rPr>
        <w:footnoteRef/>
      </w:r>
      <w:r>
        <w:rPr>
          <w:rtl/>
        </w:rPr>
        <w:t xml:space="preserve"> </w:t>
      </w:r>
      <w:r w:rsidRPr="00103C93">
        <w:rPr>
          <w:rFonts w:cs="Arial"/>
          <w:rtl/>
        </w:rPr>
        <w:t>עיין כנה"ג חח"מ סי' ק"ד. ובש"ך שם</w:t>
      </w:r>
      <w:r>
        <w:rPr>
          <w:rFonts w:hint="cs"/>
          <w:rtl/>
        </w:rPr>
        <w:t>, באה"ט (סק"ג).</w:t>
      </w:r>
    </w:p>
  </w:footnote>
  <w:footnote w:id="2120">
    <w:p w14:paraId="105D1D7E" w14:textId="77777777" w:rsidR="00392DBB" w:rsidRDefault="00392DBB" w:rsidP="00392DBB">
      <w:pPr>
        <w:pStyle w:val="a5"/>
      </w:pPr>
      <w:r>
        <w:rPr>
          <w:rStyle w:val="a7"/>
        </w:rPr>
        <w:footnoteRef/>
      </w:r>
      <w:r>
        <w:rPr>
          <w:rtl/>
        </w:rPr>
        <w:t xml:space="preserve"> </w:t>
      </w:r>
      <w:r w:rsidRPr="0042649F">
        <w:rPr>
          <w:rFonts w:cs="Arial"/>
          <w:rtl/>
        </w:rPr>
        <w:t xml:space="preserve">וע' בתשו' רבינו עקיבא איגר ז"ל </w:t>
      </w:r>
      <w:r>
        <w:rPr>
          <w:rFonts w:cs="Arial" w:hint="cs"/>
          <w:rtl/>
        </w:rPr>
        <w:t>(</w:t>
      </w:r>
      <w:r w:rsidRPr="0042649F">
        <w:rPr>
          <w:rFonts w:cs="Arial"/>
          <w:rtl/>
        </w:rPr>
        <w:t>סי' קלג</w:t>
      </w:r>
      <w:r>
        <w:rPr>
          <w:rFonts w:cs="Arial" w:hint="cs"/>
          <w:rtl/>
        </w:rPr>
        <w:t>)</w:t>
      </w:r>
      <w:r w:rsidRPr="0042649F">
        <w:rPr>
          <w:rFonts w:cs="Arial"/>
          <w:rtl/>
        </w:rPr>
        <w:t xml:space="preserve"> עובדא כזו ממש ומסתפק שם בדין זה אם מקרי המשכיר קדם ותפס</w:t>
      </w:r>
      <w:r>
        <w:rPr>
          <w:rFonts w:cs="Arial" w:hint="cs"/>
          <w:rtl/>
        </w:rPr>
        <w:t>, פת"ש (סק"ד).</w:t>
      </w:r>
    </w:p>
  </w:footnote>
  <w:footnote w:id="2121">
    <w:p w14:paraId="35793EEC" w14:textId="77777777" w:rsidR="00BB0C6B" w:rsidRDefault="00BB0C6B" w:rsidP="00BB0C6B">
      <w:pPr>
        <w:pStyle w:val="a5"/>
      </w:pPr>
      <w:r>
        <w:rPr>
          <w:rStyle w:val="a7"/>
        </w:rPr>
        <w:footnoteRef/>
      </w:r>
      <w:r>
        <w:rPr>
          <w:rtl/>
        </w:rPr>
        <w:t xml:space="preserve"> </w:t>
      </w:r>
      <w:r>
        <w:rPr>
          <w:rFonts w:hint="cs"/>
          <w:rtl/>
        </w:rPr>
        <w:t>סימן - פווווו (מעיף אותה).</w:t>
      </w:r>
    </w:p>
  </w:footnote>
  <w:footnote w:id="2122">
    <w:p w14:paraId="5F412584" w14:textId="77777777" w:rsidR="00392DBB" w:rsidRDefault="00392DBB" w:rsidP="00392DBB">
      <w:pPr>
        <w:pStyle w:val="a5"/>
        <w:rPr>
          <w:rtl/>
        </w:rPr>
      </w:pPr>
      <w:r>
        <w:rPr>
          <w:rStyle w:val="a7"/>
        </w:rPr>
        <w:footnoteRef/>
      </w:r>
      <w:r>
        <w:rPr>
          <w:rtl/>
        </w:rPr>
        <w:t xml:space="preserve"> </w:t>
      </w:r>
      <w:r w:rsidRPr="001C1C7A">
        <w:rPr>
          <w:rFonts w:cs="Arial"/>
          <w:rtl/>
        </w:rPr>
        <w:t>זה הלוה מעות</w:t>
      </w:r>
      <w:r>
        <w:rPr>
          <w:rFonts w:cs="Arial" w:hint="cs"/>
          <w:rtl/>
        </w:rPr>
        <w:t>,</w:t>
      </w:r>
      <w:r w:rsidRPr="001C1C7A">
        <w:rPr>
          <w:rFonts w:cs="Arial"/>
          <w:rtl/>
        </w:rPr>
        <w:t xml:space="preserve"> וזו סמכה על שיעבוד הקרקע והיא לא נתנה כלום</w:t>
      </w:r>
      <w:r>
        <w:rPr>
          <w:rFonts w:cs="Arial" w:hint="cs"/>
          <w:rtl/>
        </w:rPr>
        <w:t>.</w:t>
      </w:r>
      <w:r w:rsidRPr="001C1C7A">
        <w:rPr>
          <w:rFonts w:cs="Arial"/>
          <w:rtl/>
        </w:rPr>
        <w:t xml:space="preserve"> ואם בשביל נכסי צאן ברזל הנישומין בכתובה</w:t>
      </w:r>
      <w:r>
        <w:rPr>
          <w:rFonts w:cs="Arial" w:hint="cs"/>
          <w:rtl/>
        </w:rPr>
        <w:t>,</w:t>
      </w:r>
      <w:r w:rsidRPr="001C1C7A">
        <w:rPr>
          <w:rFonts w:cs="Arial"/>
          <w:rtl/>
        </w:rPr>
        <w:t xml:space="preserve"> הוא זכה בהן מיד</w:t>
      </w:r>
      <w:r>
        <w:rPr>
          <w:rFonts w:cs="Arial" w:hint="cs"/>
          <w:rtl/>
        </w:rPr>
        <w:t>,</w:t>
      </w:r>
      <w:r w:rsidRPr="001C1C7A">
        <w:rPr>
          <w:rFonts w:cs="Arial"/>
          <w:rtl/>
        </w:rPr>
        <w:t xml:space="preserve"> וזו צירפתן עם הכתובה על שיעבוד הקרקע</w:t>
      </w:r>
      <w:r>
        <w:rPr>
          <w:rFonts w:hint="cs"/>
          <w:rtl/>
        </w:rPr>
        <w:t>, רש"י.</w:t>
      </w:r>
    </w:p>
  </w:footnote>
  <w:footnote w:id="2123">
    <w:p w14:paraId="61492260" w14:textId="77777777" w:rsidR="00392DBB" w:rsidRDefault="00392DBB" w:rsidP="00392DBB">
      <w:pPr>
        <w:pStyle w:val="a5"/>
      </w:pPr>
      <w:r>
        <w:rPr>
          <w:rStyle w:val="a7"/>
        </w:rPr>
        <w:footnoteRef/>
      </w:r>
      <w:r>
        <w:rPr>
          <w:rtl/>
        </w:rPr>
        <w:t xml:space="preserve"> </w:t>
      </w:r>
      <w:r w:rsidRPr="00BF6CFA">
        <w:rPr>
          <w:rFonts w:cs="Arial"/>
          <w:rtl/>
        </w:rPr>
        <w:t>שלא תנעול דלת</w:t>
      </w:r>
      <w:r>
        <w:rPr>
          <w:rFonts w:cs="Arial" w:hint="cs"/>
          <w:rtl/>
        </w:rPr>
        <w:t>, רש"י.</w:t>
      </w:r>
    </w:p>
  </w:footnote>
  <w:footnote w:id="2124">
    <w:p w14:paraId="4DB8AC85" w14:textId="77777777" w:rsidR="00392DBB" w:rsidRDefault="00392DBB" w:rsidP="00392DBB">
      <w:pPr>
        <w:pStyle w:val="a5"/>
      </w:pPr>
      <w:r>
        <w:rPr>
          <w:rStyle w:val="a7"/>
        </w:rPr>
        <w:footnoteRef/>
      </w:r>
      <w:r>
        <w:rPr>
          <w:rtl/>
        </w:rPr>
        <w:t xml:space="preserve"> </w:t>
      </w:r>
      <w:r w:rsidRPr="00BF6CFA">
        <w:rPr>
          <w:rFonts w:cs="Arial"/>
          <w:rtl/>
        </w:rPr>
        <w:t>ולא חיישינן לומר משום חינא ודוקא שהשטרות נכתבו ביום אחד אבל אם קדמה זמן הכתובה היא גובה</w:t>
      </w:r>
      <w:r>
        <w:rPr>
          <w:rFonts w:cs="Arial" w:hint="cs"/>
          <w:rtl/>
        </w:rPr>
        <w:t>, רש"י.</w:t>
      </w:r>
    </w:p>
  </w:footnote>
  <w:footnote w:id="2125">
    <w:p w14:paraId="40BF3685" w14:textId="77777777" w:rsidR="00392DBB" w:rsidRDefault="00392DBB" w:rsidP="00392DBB">
      <w:pPr>
        <w:pStyle w:val="a5"/>
      </w:pPr>
      <w:r>
        <w:rPr>
          <w:rStyle w:val="a7"/>
        </w:rPr>
        <w:footnoteRef/>
      </w:r>
      <w:r>
        <w:rPr>
          <w:rtl/>
        </w:rPr>
        <w:t xml:space="preserve"> </w:t>
      </w:r>
      <w:r>
        <w:rPr>
          <w:rFonts w:cs="Arial"/>
          <w:rtl/>
        </w:rPr>
        <w:t>והאי מימרא לאו מימרא מעליא הוא</w:t>
      </w:r>
      <w:r>
        <w:rPr>
          <w:rFonts w:cs="Arial" w:hint="cs"/>
          <w:rtl/>
        </w:rPr>
        <w:t>.</w:t>
      </w:r>
      <w:r>
        <w:rPr>
          <w:rFonts w:cs="Arial"/>
          <w:rtl/>
        </w:rPr>
        <w:t xml:space="preserve"> חדא</w:t>
      </w:r>
      <w:r>
        <w:rPr>
          <w:rFonts w:cs="Arial" w:hint="cs"/>
          <w:rtl/>
        </w:rPr>
        <w:t>,</w:t>
      </w:r>
      <w:r>
        <w:rPr>
          <w:rFonts w:cs="Arial"/>
          <w:rtl/>
        </w:rPr>
        <w:t xml:space="preserve"> דלא אמרינן בגמרא דזמנם ביום אחד</w:t>
      </w:r>
      <w:r>
        <w:rPr>
          <w:rFonts w:cs="Arial" w:hint="cs"/>
          <w:rtl/>
        </w:rPr>
        <w:t>,</w:t>
      </w:r>
      <w:r>
        <w:rPr>
          <w:rFonts w:cs="Arial"/>
          <w:rtl/>
        </w:rPr>
        <w:t xml:space="preserve"> אלא סתמא קאמר האי מאן דאיכא עליה כתובת אשה ובעל חוב למימרא</w:t>
      </w:r>
      <w:r>
        <w:rPr>
          <w:rFonts w:cs="Arial" w:hint="cs"/>
          <w:rtl/>
        </w:rPr>
        <w:t>,</w:t>
      </w:r>
      <w:r>
        <w:rPr>
          <w:rFonts w:cs="Arial"/>
          <w:rtl/>
        </w:rPr>
        <w:t xml:space="preserve"> דכל היכא דכי הדדי נינהו וליכא דינא דקדימה</w:t>
      </w:r>
      <w:r>
        <w:rPr>
          <w:rFonts w:cs="Arial" w:hint="cs"/>
          <w:rtl/>
        </w:rPr>
        <w:t>,</w:t>
      </w:r>
      <w:r>
        <w:rPr>
          <w:rFonts w:cs="Arial"/>
          <w:rtl/>
        </w:rPr>
        <w:t xml:space="preserve"> לבעל חוב יהבינן</w:t>
      </w:r>
      <w:r>
        <w:rPr>
          <w:rFonts w:cs="Arial" w:hint="cs"/>
          <w:rtl/>
        </w:rPr>
        <w:t>,</w:t>
      </w:r>
      <w:r>
        <w:rPr>
          <w:rFonts w:cs="Arial"/>
          <w:rtl/>
        </w:rPr>
        <w:t xml:space="preserve"> לאשה לא יהבינן</w:t>
      </w:r>
      <w:r>
        <w:rPr>
          <w:rFonts w:cs="Arial" w:hint="cs"/>
          <w:rtl/>
        </w:rPr>
        <w:t>.</w:t>
      </w:r>
      <w:r>
        <w:rPr>
          <w:rFonts w:cs="Arial"/>
          <w:rtl/>
        </w:rPr>
        <w:t xml:space="preserve"> ועוד</w:t>
      </w:r>
      <w:r>
        <w:rPr>
          <w:rFonts w:cs="Arial" w:hint="cs"/>
          <w:rtl/>
        </w:rPr>
        <w:t>,</w:t>
      </w:r>
      <w:r>
        <w:rPr>
          <w:rFonts w:cs="Arial"/>
          <w:rtl/>
        </w:rPr>
        <w:t xml:space="preserve"> דהא דאמר שמואל וכו'</w:t>
      </w:r>
      <w:r>
        <w:rPr>
          <w:rFonts w:cs="Arial" w:hint="cs"/>
          <w:rtl/>
        </w:rPr>
        <w:t>...</w:t>
      </w:r>
      <w:r>
        <w:rPr>
          <w:rFonts w:cs="Arial"/>
          <w:rtl/>
        </w:rPr>
        <w:t xml:space="preserve"> הילכך בין שטר חוב וכתובה יוצאים ביום אחד</w:t>
      </w:r>
      <w:r>
        <w:rPr>
          <w:rFonts w:cs="Arial" w:hint="cs"/>
          <w:rtl/>
        </w:rPr>
        <w:t>,</w:t>
      </w:r>
      <w:r>
        <w:rPr>
          <w:rFonts w:cs="Arial"/>
          <w:rtl/>
        </w:rPr>
        <w:t xml:space="preserve"> בין ששניהם כעין לוה ולוה ואח"כ קנה בין מטלטלי בזמן הזה</w:t>
      </w:r>
      <w:r>
        <w:rPr>
          <w:rFonts w:cs="Arial" w:hint="cs"/>
          <w:rtl/>
        </w:rPr>
        <w:t>,</w:t>
      </w:r>
      <w:r>
        <w:rPr>
          <w:rFonts w:cs="Arial"/>
          <w:rtl/>
        </w:rPr>
        <w:t xml:space="preserve"> הואיל ושעבוד תרוייהו בהדי הדדי אתו וליכא דינא דקדימה לחד מינייהו</w:t>
      </w:r>
      <w:r>
        <w:rPr>
          <w:rFonts w:cs="Arial" w:hint="cs"/>
          <w:rtl/>
        </w:rPr>
        <w:t>,</w:t>
      </w:r>
      <w:r>
        <w:rPr>
          <w:rFonts w:cs="Arial"/>
          <w:rtl/>
        </w:rPr>
        <w:t xml:space="preserve"> אי ליכא אלא מאי דשקיל חד מינייהו </w:t>
      </w:r>
      <w:r>
        <w:rPr>
          <w:rFonts w:cs="Arial" w:hint="cs"/>
          <w:rtl/>
        </w:rPr>
        <w:t xml:space="preserve">- </w:t>
      </w:r>
      <w:r>
        <w:rPr>
          <w:rFonts w:cs="Arial"/>
          <w:rtl/>
        </w:rPr>
        <w:t>לבעל חוב יהבינן לאשה לא יהבינן</w:t>
      </w:r>
      <w:r>
        <w:rPr>
          <w:rFonts w:cs="Arial" w:hint="cs"/>
          <w:rtl/>
        </w:rPr>
        <w:t>,</w:t>
      </w:r>
      <w:r>
        <w:rPr>
          <w:rFonts w:cs="Arial"/>
          <w:rtl/>
        </w:rPr>
        <w:t xml:space="preserve"> דיותר משהאיש רוצה לישא האשה רוצה לינשא</w:t>
      </w:r>
      <w:r>
        <w:rPr>
          <w:rFonts w:cs="Arial" w:hint="cs"/>
          <w:rtl/>
        </w:rPr>
        <w:t>, רי"ף (שם).</w:t>
      </w:r>
    </w:p>
  </w:footnote>
  <w:footnote w:id="2126">
    <w:p w14:paraId="029B5BBF" w14:textId="77777777" w:rsidR="00392DBB" w:rsidRDefault="00392DBB" w:rsidP="00392DBB">
      <w:pPr>
        <w:pStyle w:val="a5"/>
      </w:pPr>
      <w:r>
        <w:rPr>
          <w:rStyle w:val="a7"/>
        </w:rPr>
        <w:footnoteRef/>
      </w:r>
      <w:r>
        <w:rPr>
          <w:rtl/>
        </w:rPr>
        <w:t xml:space="preserve"> </w:t>
      </w:r>
      <w:r w:rsidRPr="000E19D1">
        <w:rPr>
          <w:rFonts w:cs="Arial"/>
          <w:rtl/>
        </w:rPr>
        <w:t>ומשמע שאין זה אלא בעיקר כתובה אבל נדוניא דינה כחוב והיכא דשעבודה ושעבוד החוב שוים חולקים ביניהם</w:t>
      </w:r>
      <w:r w:rsidRPr="000E19D1">
        <w:rPr>
          <w:rFonts w:cs="Arial" w:hint="cs"/>
          <w:rtl/>
        </w:rPr>
        <w:t>.</w:t>
      </w:r>
      <w:r w:rsidRPr="000E19D1">
        <w:rPr>
          <w:rFonts w:cs="Arial"/>
          <w:rtl/>
        </w:rPr>
        <w:t xml:space="preserve"> וכן מתבאר מדברי הרמב"ם שכתב רבינו בסמוך וכ"כ בספר התרומות שער מ"ג (ח"ד אות יג) וכתב שכן כתבו חכמי לוניל</w:t>
      </w:r>
      <w:r>
        <w:rPr>
          <w:rFonts w:cs="Arial" w:hint="cs"/>
          <w:rtl/>
        </w:rPr>
        <w:t xml:space="preserve">, ב"י. וכתב הדרכ"מ (אות </w:t>
      </w:r>
      <w:r w:rsidRPr="00A167C1">
        <w:rPr>
          <w:rFonts w:cs="Arial"/>
          <w:rtl/>
        </w:rPr>
        <w:t xml:space="preserve">ד) </w:t>
      </w:r>
      <w:r>
        <w:rPr>
          <w:rFonts w:cs="Arial" w:hint="cs"/>
          <w:rtl/>
        </w:rPr>
        <w:t>ש</w:t>
      </w:r>
      <w:r w:rsidRPr="00A167C1">
        <w:rPr>
          <w:rFonts w:cs="Arial"/>
          <w:rtl/>
        </w:rPr>
        <w:t>בסימן ק' (אות א) כתבתי שכן דעת הרשב"א (שו"ת ח"ד סי' קנב) דדין נכסי צאן ברזל לכל דבר הוי כשאר חוב ועיין למטה בסימן זה</w:t>
      </w:r>
      <w:r>
        <w:rPr>
          <w:rFonts w:cs="Arial" w:hint="cs"/>
          <w:rtl/>
        </w:rPr>
        <w:t>.</w:t>
      </w:r>
    </w:p>
  </w:footnote>
  <w:footnote w:id="2127">
    <w:p w14:paraId="1D1B502F" w14:textId="77777777" w:rsidR="00392DBB" w:rsidRDefault="00392DBB" w:rsidP="00392DBB">
      <w:pPr>
        <w:pStyle w:val="a5"/>
        <w:rPr>
          <w:rtl/>
        </w:rPr>
      </w:pPr>
      <w:r>
        <w:rPr>
          <w:rStyle w:val="a7"/>
        </w:rPr>
        <w:footnoteRef/>
      </w:r>
      <w:r>
        <w:rPr>
          <w:rtl/>
        </w:rPr>
        <w:t xml:space="preserve"> </w:t>
      </w:r>
      <w:r w:rsidRPr="006E41BB">
        <w:rPr>
          <w:rFonts w:cs="Arial"/>
          <w:rtl/>
        </w:rPr>
        <w:t xml:space="preserve">וכן משמע מתוך דברי רב אלפס </w:t>
      </w:r>
      <w:r w:rsidRPr="006E41BB">
        <w:rPr>
          <w:rFonts w:cs="Arial"/>
          <w:sz w:val="16"/>
          <w:szCs w:val="16"/>
          <w:rtl/>
        </w:rPr>
        <w:t>(מה</w:t>
      </w:r>
      <w:r>
        <w:rPr>
          <w:rFonts w:cs="Arial" w:hint="cs"/>
          <w:sz w:val="16"/>
          <w:szCs w:val="16"/>
          <w:rtl/>
        </w:rPr>
        <w:t>:)</w:t>
      </w:r>
      <w:r>
        <w:rPr>
          <w:rFonts w:cs="Arial" w:hint="cs"/>
          <w:rtl/>
        </w:rPr>
        <w:t>, רא"ש (שם).</w:t>
      </w:r>
    </w:p>
  </w:footnote>
  <w:footnote w:id="2128">
    <w:p w14:paraId="3BDFCB7B" w14:textId="77777777" w:rsidR="00392DBB" w:rsidRDefault="00392DBB" w:rsidP="00392DBB">
      <w:pPr>
        <w:pStyle w:val="a5"/>
        <w:rPr>
          <w:rtl/>
        </w:rPr>
      </w:pPr>
      <w:r>
        <w:rPr>
          <w:rStyle w:val="a7"/>
        </w:rPr>
        <w:footnoteRef/>
      </w:r>
      <w:r>
        <w:rPr>
          <w:rtl/>
        </w:rPr>
        <w:t xml:space="preserve"> </w:t>
      </w:r>
      <w:r w:rsidRPr="001C1C7A">
        <w:rPr>
          <w:rFonts w:cs="Arial"/>
          <w:rtl/>
        </w:rPr>
        <w:t>ונראין דבריו במקרקעי</w:t>
      </w:r>
      <w:r>
        <w:rPr>
          <w:rFonts w:cs="Arial" w:hint="cs"/>
          <w:rtl/>
        </w:rPr>
        <w:t>,</w:t>
      </w:r>
      <w:r w:rsidRPr="001C1C7A">
        <w:rPr>
          <w:rFonts w:cs="Arial"/>
          <w:rtl/>
        </w:rPr>
        <w:t xml:space="preserve"> אבל במטלטלי מה שגבה גבה אפילו שלא בבית דין</w:t>
      </w:r>
      <w:r>
        <w:rPr>
          <w:rFonts w:cs="Arial" w:hint="cs"/>
          <w:rtl/>
        </w:rPr>
        <w:t>,</w:t>
      </w:r>
      <w:r w:rsidRPr="001C1C7A">
        <w:rPr>
          <w:rFonts w:cs="Arial"/>
          <w:rtl/>
        </w:rPr>
        <w:t xml:space="preserve"> כדאמרינן לעיל בפירקין (פד.) לרבי טרפון בפירות תלושין דכל הקודם בהן זכה אע</w:t>
      </w:r>
      <w:r>
        <w:rPr>
          <w:rFonts w:cs="Arial" w:hint="cs"/>
          <w:rtl/>
        </w:rPr>
        <w:t>"</w:t>
      </w:r>
      <w:r w:rsidRPr="001C1C7A">
        <w:rPr>
          <w:rFonts w:cs="Arial"/>
          <w:rtl/>
        </w:rPr>
        <w:t>ג דהיכא דלא תפיס חד מינייהו יהבינן לבעל חוב</w:t>
      </w:r>
      <w:r>
        <w:rPr>
          <w:rFonts w:cs="Arial" w:hint="cs"/>
          <w:rtl/>
        </w:rPr>
        <w:t>,</w:t>
      </w:r>
      <w:r w:rsidRPr="001C1C7A">
        <w:rPr>
          <w:rFonts w:cs="Arial"/>
          <w:rtl/>
        </w:rPr>
        <w:t xml:space="preserve"> אפילו הכי אי קדמה האשה ותפסה זכתה</w:t>
      </w:r>
      <w:r>
        <w:rPr>
          <w:rFonts w:cs="Arial" w:hint="cs"/>
          <w:rtl/>
        </w:rPr>
        <w:t xml:space="preserve">..., רא"ש (שם). </w:t>
      </w:r>
      <w:r w:rsidRPr="001C1C7A">
        <w:rPr>
          <w:rFonts w:cs="Arial"/>
          <w:rtl/>
        </w:rPr>
        <w:t>ועיין בחושן המשפט סימן ק"ד (ס"י)</w:t>
      </w:r>
      <w:r>
        <w:rPr>
          <w:rFonts w:hint="cs"/>
          <w:rtl/>
        </w:rPr>
        <w:t>, ב"י (בבדה"ב).</w:t>
      </w:r>
    </w:p>
  </w:footnote>
  <w:footnote w:id="2129">
    <w:p w14:paraId="138E0534" w14:textId="175972FF" w:rsidR="00392DBB" w:rsidRDefault="00392DBB" w:rsidP="00392DBB">
      <w:pPr>
        <w:pStyle w:val="a5"/>
        <w:rPr>
          <w:rtl/>
        </w:rPr>
      </w:pPr>
      <w:r>
        <w:rPr>
          <w:rStyle w:val="a7"/>
        </w:rPr>
        <w:footnoteRef/>
      </w:r>
      <w:r>
        <w:rPr>
          <w:rtl/>
        </w:rPr>
        <w:t xml:space="preserve"> </w:t>
      </w:r>
      <w:r>
        <w:rPr>
          <w:rFonts w:cs="Arial" w:hint="cs"/>
          <w:rtl/>
        </w:rPr>
        <w:t xml:space="preserve">וכן פסק </w:t>
      </w:r>
      <w:r w:rsidRPr="00A167C1">
        <w:rPr>
          <w:rFonts w:cs="Arial"/>
          <w:rtl/>
        </w:rPr>
        <w:t>מהרי"ו</w:t>
      </w:r>
      <w:r>
        <w:rPr>
          <w:rFonts w:cs="Arial" w:hint="cs"/>
          <w:rtl/>
        </w:rPr>
        <w:t xml:space="preserve"> </w:t>
      </w:r>
      <w:r w:rsidRPr="004A11E7">
        <w:rPr>
          <w:rFonts w:cs="Arial" w:hint="cs"/>
          <w:sz w:val="16"/>
          <w:szCs w:val="16"/>
          <w:rtl/>
        </w:rPr>
        <w:t>(</w:t>
      </w:r>
      <w:r w:rsidRPr="004A11E7">
        <w:rPr>
          <w:rFonts w:cs="Arial"/>
          <w:sz w:val="16"/>
          <w:szCs w:val="16"/>
          <w:rtl/>
        </w:rPr>
        <w:t>סי</w:t>
      </w:r>
      <w:r w:rsidRPr="004A11E7">
        <w:rPr>
          <w:rFonts w:cs="Arial" w:hint="cs"/>
          <w:sz w:val="16"/>
          <w:szCs w:val="16"/>
          <w:rtl/>
        </w:rPr>
        <w:t>'</w:t>
      </w:r>
      <w:r w:rsidRPr="004A11E7">
        <w:rPr>
          <w:rFonts w:cs="Arial"/>
          <w:sz w:val="16"/>
          <w:szCs w:val="16"/>
          <w:rtl/>
        </w:rPr>
        <w:t xml:space="preserve"> ל</w:t>
      </w:r>
      <w:r w:rsidRPr="004A11E7">
        <w:rPr>
          <w:rFonts w:cs="Arial" w:hint="cs"/>
          <w:sz w:val="16"/>
          <w:szCs w:val="16"/>
          <w:rtl/>
        </w:rPr>
        <w:t>)</w:t>
      </w:r>
      <w:r>
        <w:rPr>
          <w:rFonts w:cs="Arial" w:hint="cs"/>
          <w:rtl/>
        </w:rPr>
        <w:t>.</w:t>
      </w:r>
      <w:r w:rsidRPr="00A167C1">
        <w:rPr>
          <w:rFonts w:cs="Arial"/>
          <w:rtl/>
        </w:rPr>
        <w:t xml:space="preserve"> </w:t>
      </w:r>
      <w:r w:rsidRPr="00553E22">
        <w:rPr>
          <w:rFonts w:cs="Arial"/>
          <w:rtl/>
        </w:rPr>
        <w:t xml:space="preserve">וכתב שכן היה דן </w:t>
      </w:r>
      <w:r w:rsidRPr="00553E22">
        <w:rPr>
          <w:rFonts w:cs="Arial" w:hint="cs"/>
          <w:rtl/>
        </w:rPr>
        <w:t>מהרי"ל</w:t>
      </w:r>
      <w:r>
        <w:rPr>
          <w:rFonts w:hint="cs"/>
          <w:rtl/>
        </w:rPr>
        <w:t>, דרכ"מ (אות ג).</w:t>
      </w:r>
      <w:r w:rsidRPr="00F27D80">
        <w:rPr>
          <w:rtl/>
        </w:rPr>
        <w:t xml:space="preserve"> </w:t>
      </w:r>
      <w:r>
        <w:rPr>
          <w:rFonts w:hint="cs"/>
          <w:rtl/>
        </w:rPr>
        <w:t xml:space="preserve">וכתבו הח"מ (סק"ט) והב"ש </w:t>
      </w:r>
      <w:r w:rsidRPr="00F27D80">
        <w:rPr>
          <w:rFonts w:cs="Arial"/>
          <w:rtl/>
        </w:rPr>
        <w:t>דאפי</w:t>
      </w:r>
      <w:r>
        <w:rPr>
          <w:rFonts w:cs="Arial" w:hint="cs"/>
          <w:rtl/>
        </w:rPr>
        <w:t>לו לדעת מהר"ם</w:t>
      </w:r>
      <w:r w:rsidRPr="00F27D80">
        <w:rPr>
          <w:rFonts w:cs="Arial"/>
          <w:rtl/>
        </w:rPr>
        <w:t xml:space="preserve"> והאחרונים שהורו</w:t>
      </w:r>
      <w:r>
        <w:rPr>
          <w:rFonts w:cs="Arial" w:hint="cs"/>
          <w:rtl/>
        </w:rPr>
        <w:t xml:space="preserve"> כמותו</w:t>
      </w:r>
      <w:r w:rsidRPr="00F27D80">
        <w:rPr>
          <w:rFonts w:cs="Arial"/>
          <w:rtl/>
        </w:rPr>
        <w:t xml:space="preserve"> </w:t>
      </w:r>
      <w:r w:rsidRPr="007577F9">
        <w:rPr>
          <w:rFonts w:cs="Arial" w:hint="cs"/>
          <w:sz w:val="16"/>
          <w:szCs w:val="16"/>
          <w:rtl/>
        </w:rPr>
        <w:t>(</w:t>
      </w:r>
      <w:r w:rsidRPr="007577F9">
        <w:rPr>
          <w:rFonts w:cs="Arial"/>
          <w:sz w:val="16"/>
          <w:szCs w:val="16"/>
          <w:rtl/>
        </w:rPr>
        <w:t>בסעיף ב' בהג"ה דבתפס</w:t>
      </w:r>
      <w:r w:rsidRPr="007577F9">
        <w:rPr>
          <w:rFonts w:cs="Arial" w:hint="cs"/>
          <w:sz w:val="16"/>
          <w:szCs w:val="16"/>
          <w:rtl/>
        </w:rPr>
        <w:t>ה</w:t>
      </w:r>
      <w:r w:rsidRPr="007577F9">
        <w:rPr>
          <w:rFonts w:cs="Arial"/>
          <w:sz w:val="16"/>
          <w:szCs w:val="16"/>
          <w:rtl/>
        </w:rPr>
        <w:t xml:space="preserve"> מוציאין מידה</w:t>
      </w:r>
      <w:r w:rsidRPr="007577F9">
        <w:rPr>
          <w:rFonts w:cs="Arial" w:hint="cs"/>
          <w:sz w:val="16"/>
          <w:szCs w:val="16"/>
          <w:rtl/>
        </w:rPr>
        <w:t>)</w:t>
      </w:r>
      <w:r w:rsidRPr="00F27D80">
        <w:rPr>
          <w:rFonts w:cs="Arial"/>
          <w:rtl/>
        </w:rPr>
        <w:t xml:space="preserve"> </w:t>
      </w:r>
      <w:r>
        <w:rPr>
          <w:rFonts w:cs="Arial" w:hint="cs"/>
          <w:rtl/>
        </w:rPr>
        <w:t xml:space="preserve">- </w:t>
      </w:r>
      <w:r w:rsidRPr="00F27D80">
        <w:rPr>
          <w:rFonts w:cs="Arial"/>
          <w:rtl/>
        </w:rPr>
        <w:t>היינו דוקא ב</w:t>
      </w:r>
      <w:r>
        <w:rPr>
          <w:rFonts w:cs="Arial" w:hint="cs"/>
          <w:rtl/>
        </w:rPr>
        <w:t xml:space="preserve">תפסה מעצמה, אבל אי תפשה ע"פ בית דין </w:t>
      </w:r>
      <w:r w:rsidR="00F97626">
        <w:rPr>
          <w:rFonts w:cs="Arial"/>
          <w:rtl/>
        </w:rPr>
        <w:t>-</w:t>
      </w:r>
      <w:r>
        <w:rPr>
          <w:rFonts w:cs="Arial" w:hint="cs"/>
          <w:rtl/>
        </w:rPr>
        <w:t xml:space="preserve"> אין מוציאין מידה.</w:t>
      </w:r>
      <w:r>
        <w:rPr>
          <w:rFonts w:hint="cs"/>
          <w:rtl/>
        </w:rPr>
        <w:t xml:space="preserve"> </w:t>
      </w:r>
    </w:p>
  </w:footnote>
  <w:footnote w:id="2130">
    <w:p w14:paraId="4A6A555C" w14:textId="77777777" w:rsidR="00392DBB" w:rsidRDefault="00392DBB" w:rsidP="00392DBB">
      <w:pPr>
        <w:pStyle w:val="a5"/>
        <w:rPr>
          <w:rtl/>
        </w:rPr>
      </w:pPr>
      <w:r>
        <w:rPr>
          <w:rStyle w:val="a7"/>
        </w:rPr>
        <w:footnoteRef/>
      </w:r>
      <w:r>
        <w:rPr>
          <w:rtl/>
        </w:rPr>
        <w:t xml:space="preserve"> </w:t>
      </w:r>
      <w:r w:rsidRPr="00A167C1">
        <w:rPr>
          <w:rFonts w:cs="Arial"/>
          <w:rtl/>
        </w:rPr>
        <w:t xml:space="preserve">ומשמע בגמרא </w:t>
      </w:r>
      <w:r w:rsidRPr="00D7404B">
        <w:rPr>
          <w:rFonts w:cs="Arial"/>
          <w:sz w:val="16"/>
          <w:szCs w:val="16"/>
          <w:rtl/>
        </w:rPr>
        <w:t>(פו</w:t>
      </w:r>
      <w:r w:rsidRPr="00D7404B">
        <w:rPr>
          <w:rFonts w:cs="Arial" w:hint="cs"/>
          <w:sz w:val="16"/>
          <w:szCs w:val="16"/>
          <w:rtl/>
        </w:rPr>
        <w:t>.</w:t>
      </w:r>
      <w:r w:rsidRPr="00D7404B">
        <w:rPr>
          <w:rFonts w:cs="Arial"/>
          <w:sz w:val="16"/>
          <w:szCs w:val="16"/>
          <w:rtl/>
        </w:rPr>
        <w:t xml:space="preserve">) </w:t>
      </w:r>
      <w:r w:rsidRPr="00A167C1">
        <w:rPr>
          <w:rFonts w:cs="Arial"/>
          <w:rtl/>
        </w:rPr>
        <w:t>דאין חילוק בין גרושה לאלמנה</w:t>
      </w:r>
      <w:r>
        <w:rPr>
          <w:rFonts w:cs="Arial" w:hint="cs"/>
          <w:rtl/>
        </w:rPr>
        <w:t>.</w:t>
      </w:r>
      <w:r w:rsidRPr="00A167C1">
        <w:rPr>
          <w:rFonts w:cs="Arial"/>
          <w:rtl/>
        </w:rPr>
        <w:t xml:space="preserve"> וכן הוא בהגהות אלפסי פ</w:t>
      </w:r>
      <w:r>
        <w:rPr>
          <w:rFonts w:cs="Arial" w:hint="cs"/>
          <w:rtl/>
        </w:rPr>
        <w:t>'</w:t>
      </w:r>
      <w:r w:rsidRPr="00A167C1">
        <w:rPr>
          <w:rFonts w:cs="Arial"/>
          <w:rtl/>
        </w:rPr>
        <w:t xml:space="preserve"> הכותב </w:t>
      </w:r>
      <w:r w:rsidRPr="00D7404B">
        <w:rPr>
          <w:rFonts w:cs="Arial"/>
          <w:sz w:val="16"/>
          <w:szCs w:val="16"/>
          <w:rtl/>
        </w:rPr>
        <w:t>(מה: אות א ריא"ז)</w:t>
      </w:r>
      <w:r w:rsidRPr="00A167C1">
        <w:rPr>
          <w:rFonts w:cs="Arial"/>
          <w:rtl/>
        </w:rPr>
        <w:t xml:space="preserve"> בהדיא</w:t>
      </w:r>
      <w:r>
        <w:rPr>
          <w:rFonts w:cs="Arial" w:hint="cs"/>
          <w:rtl/>
        </w:rPr>
        <w:t>, דרכ"מ (אות ה).</w:t>
      </w:r>
    </w:p>
  </w:footnote>
  <w:footnote w:id="2131">
    <w:p w14:paraId="6C599079" w14:textId="77777777" w:rsidR="00392DBB" w:rsidRDefault="00392DBB" w:rsidP="00392DBB">
      <w:pPr>
        <w:pStyle w:val="a5"/>
        <w:rPr>
          <w:rtl/>
        </w:rPr>
      </w:pPr>
      <w:r>
        <w:rPr>
          <w:rStyle w:val="a7"/>
        </w:rPr>
        <w:footnoteRef/>
      </w:r>
      <w:r>
        <w:rPr>
          <w:rtl/>
        </w:rPr>
        <w:t xml:space="preserve"> </w:t>
      </w:r>
      <w:r>
        <w:rPr>
          <w:rFonts w:cs="Arial"/>
          <w:rtl/>
        </w:rPr>
        <w:t>דבר פשוט הוא דקאי למה שכתב ואם יש שם כדי לפרוע לשניהם בקרקע ומעות אם זמנן שוה נותנין לבעל חוב מעות ולאשה קרקע דהיינו ההיא</w:t>
      </w:r>
      <w:r>
        <w:rPr>
          <w:rFonts w:cs="Arial" w:hint="cs"/>
          <w:rtl/>
        </w:rPr>
        <w:t>...</w:t>
      </w:r>
      <w:r>
        <w:rPr>
          <w:rFonts w:cs="Arial"/>
          <w:rtl/>
        </w:rPr>
        <w:t xml:space="preserve"> האי כדיניה והאי כדיניה</w:t>
      </w:r>
      <w:r>
        <w:rPr>
          <w:rFonts w:cs="Arial" w:hint="cs"/>
          <w:rtl/>
        </w:rPr>
        <w:t>..</w:t>
      </w:r>
      <w:r>
        <w:rPr>
          <w:rFonts w:cs="Arial"/>
          <w:rtl/>
        </w:rPr>
        <w:t>. וקאמר רבינו שלא אמרו חכמים כן אלא מפני תקנת בעל חוב כדי שלא תנעול דלת</w:t>
      </w:r>
      <w:r>
        <w:rPr>
          <w:rFonts w:cs="Arial" w:hint="cs"/>
          <w:rtl/>
        </w:rPr>
        <w:t>.</w:t>
      </w:r>
      <w:r>
        <w:rPr>
          <w:rFonts w:cs="Arial"/>
          <w:rtl/>
        </w:rPr>
        <w:t xml:space="preserve"> ואם כן היכא דבעל חוב חפץ בקרקע יותר מבמעות</w:t>
      </w:r>
      <w:r>
        <w:rPr>
          <w:rFonts w:cs="Arial" w:hint="cs"/>
          <w:rtl/>
        </w:rPr>
        <w:t>,</w:t>
      </w:r>
      <w:r>
        <w:rPr>
          <w:rFonts w:cs="Arial"/>
          <w:rtl/>
        </w:rPr>
        <w:t xml:space="preserve"> והאשה גם כן חפצה בקרקע </w:t>
      </w:r>
      <w:r>
        <w:rPr>
          <w:rFonts w:cs="Arial" w:hint="cs"/>
          <w:rtl/>
        </w:rPr>
        <w:t xml:space="preserve">- </w:t>
      </w:r>
      <w:r>
        <w:rPr>
          <w:rFonts w:cs="Arial"/>
          <w:rtl/>
        </w:rPr>
        <w:t>לבעל חוב שומעין</w:t>
      </w:r>
      <w:r>
        <w:rPr>
          <w:rFonts w:cs="Arial" w:hint="cs"/>
          <w:rtl/>
        </w:rPr>
        <w:t>, ב"י</w:t>
      </w:r>
      <w:r>
        <w:rPr>
          <w:rFonts w:cs="Arial"/>
          <w:rtl/>
        </w:rPr>
        <w:t>.</w:t>
      </w:r>
    </w:p>
  </w:footnote>
  <w:footnote w:id="2132">
    <w:p w14:paraId="43085AEF" w14:textId="77777777" w:rsidR="00392DBB" w:rsidRDefault="00392DBB" w:rsidP="00392DBB">
      <w:pPr>
        <w:pStyle w:val="a5"/>
      </w:pPr>
      <w:r>
        <w:rPr>
          <w:rStyle w:val="a7"/>
        </w:rPr>
        <w:footnoteRef/>
      </w:r>
      <w:r>
        <w:rPr>
          <w:rtl/>
        </w:rPr>
        <w:t xml:space="preserve"> </w:t>
      </w:r>
      <w:r>
        <w:rPr>
          <w:rFonts w:cs="Arial"/>
          <w:rtl/>
        </w:rPr>
        <w:t>וטעמו משום דמשמע ליה ז"ל דלאו משום נעילת דלת נגעו בה אלא משום דהאי כדיניה והאי כדיניה</w:t>
      </w:r>
      <w:r>
        <w:rPr>
          <w:rFonts w:cs="Arial" w:hint="cs"/>
          <w:rtl/>
        </w:rPr>
        <w:t>.</w:t>
      </w:r>
      <w:r>
        <w:rPr>
          <w:rFonts w:cs="Arial"/>
          <w:rtl/>
        </w:rPr>
        <w:t xml:space="preserve"> הילכך כ"כ יפה כח האשה לענין זה כמו הבעל חוב</w:t>
      </w:r>
      <w:r>
        <w:rPr>
          <w:rFonts w:cs="Arial" w:hint="cs"/>
          <w:rtl/>
        </w:rPr>
        <w:t>, ב"י.</w:t>
      </w:r>
    </w:p>
  </w:footnote>
  <w:footnote w:id="2133">
    <w:p w14:paraId="329548BC" w14:textId="77777777" w:rsidR="00392DBB" w:rsidRDefault="00392DBB" w:rsidP="00392DBB">
      <w:pPr>
        <w:pStyle w:val="a5"/>
      </w:pPr>
      <w:r>
        <w:rPr>
          <w:rStyle w:val="a7"/>
        </w:rPr>
        <w:footnoteRef/>
      </w:r>
      <w:r w:rsidRPr="00A167C1">
        <w:rPr>
          <w:rFonts w:cs="Arial"/>
          <w:rtl/>
        </w:rPr>
        <w:t xml:space="preserve"> </w:t>
      </w:r>
      <w:r>
        <w:rPr>
          <w:rFonts w:cs="Arial"/>
          <w:rtl/>
        </w:rPr>
        <w:t>נראה דלטעמיה אזיל דטעמא דלבעל חוב יהבי</w:t>
      </w:r>
      <w:r>
        <w:rPr>
          <w:rFonts w:cs="Arial" w:hint="cs"/>
          <w:rtl/>
        </w:rPr>
        <w:t>נן</w:t>
      </w:r>
      <w:r>
        <w:rPr>
          <w:rFonts w:cs="Arial"/>
          <w:rtl/>
        </w:rPr>
        <w:t xml:space="preserve"> מעות הוא משום שלא תנעול דלת</w:t>
      </w:r>
      <w:r>
        <w:rPr>
          <w:rFonts w:cs="Arial" w:hint="cs"/>
          <w:rtl/>
        </w:rPr>
        <w:t>,</w:t>
      </w:r>
      <w:r>
        <w:rPr>
          <w:rFonts w:cs="Arial"/>
          <w:rtl/>
        </w:rPr>
        <w:t xml:space="preserve"> והיינו בשזמנן שוה</w:t>
      </w:r>
      <w:r>
        <w:rPr>
          <w:rFonts w:cs="Arial" w:hint="cs"/>
          <w:rtl/>
        </w:rPr>
        <w:t>.</w:t>
      </w:r>
      <w:r>
        <w:rPr>
          <w:rFonts w:cs="Arial"/>
          <w:rtl/>
        </w:rPr>
        <w:t xml:space="preserve"> אבל אם זמן הכתובה מוקדם ליכא תו משום נעילת דלת</w:t>
      </w:r>
      <w:r>
        <w:rPr>
          <w:rFonts w:cs="Arial" w:hint="cs"/>
          <w:rtl/>
        </w:rPr>
        <w:t>,</w:t>
      </w:r>
      <w:r>
        <w:rPr>
          <w:rFonts w:cs="Arial"/>
          <w:rtl/>
        </w:rPr>
        <w:t xml:space="preserve"> דהוא</w:t>
      </w:r>
      <w:r>
        <w:rPr>
          <w:rFonts w:cs="Arial" w:hint="cs"/>
          <w:sz w:val="16"/>
          <w:szCs w:val="16"/>
          <w:rtl/>
        </w:rPr>
        <w:t xml:space="preserve"> {המלוה}</w:t>
      </w:r>
      <w:r>
        <w:rPr>
          <w:rFonts w:cs="Arial"/>
          <w:rtl/>
        </w:rPr>
        <w:t xml:space="preserve"> אפסיד אנפשיה</w:t>
      </w:r>
      <w:r>
        <w:rPr>
          <w:rFonts w:cs="Arial" w:hint="cs"/>
          <w:rtl/>
        </w:rPr>
        <w:t>,</w:t>
      </w:r>
      <w:r>
        <w:rPr>
          <w:rFonts w:cs="Arial"/>
          <w:rtl/>
        </w:rPr>
        <w:t xml:space="preserve"> הילכך המוקדם נוטל מעות</w:t>
      </w:r>
      <w:r>
        <w:rPr>
          <w:rFonts w:cs="Arial" w:hint="cs"/>
          <w:rtl/>
        </w:rPr>
        <w:t>.</w:t>
      </w:r>
      <w:r>
        <w:rPr>
          <w:rFonts w:cs="Arial"/>
          <w:rtl/>
        </w:rPr>
        <w:t xml:space="preserve"> אבל למאי דכתבינן לדעת הרמ"ה</w:t>
      </w:r>
      <w:r>
        <w:rPr>
          <w:rFonts w:cs="Arial" w:hint="cs"/>
          <w:rtl/>
        </w:rPr>
        <w:t>,</w:t>
      </w:r>
      <w:r>
        <w:rPr>
          <w:rFonts w:cs="Arial"/>
          <w:rtl/>
        </w:rPr>
        <w:t xml:space="preserve"> שאינו משום נעילת דלת אלא משום דהאי כדיניה והאי כדיניה</w:t>
      </w:r>
      <w:r>
        <w:rPr>
          <w:rFonts w:cs="Arial" w:hint="cs"/>
          <w:rtl/>
        </w:rPr>
        <w:t>,</w:t>
      </w:r>
      <w:r>
        <w:rPr>
          <w:rFonts w:cs="Arial"/>
          <w:rtl/>
        </w:rPr>
        <w:t xml:space="preserve"> איפשר שאף אם כתובת האשה מוקדמת לא תטול אלא קרקע</w:t>
      </w:r>
      <w:r>
        <w:rPr>
          <w:rFonts w:cs="Arial" w:hint="cs"/>
          <w:rtl/>
        </w:rPr>
        <w:t xml:space="preserve">, </w:t>
      </w:r>
      <w:r w:rsidRPr="005C7F9F">
        <w:rPr>
          <w:rFonts w:cs="Arial" w:hint="cs"/>
          <w:b/>
          <w:bCs/>
          <w:rtl/>
        </w:rPr>
        <w:t>ב"י</w:t>
      </w:r>
      <w:r>
        <w:rPr>
          <w:rFonts w:cs="Arial" w:hint="cs"/>
          <w:rtl/>
        </w:rPr>
        <w:t xml:space="preserve">. </w:t>
      </w:r>
      <w:r w:rsidRPr="00A167C1">
        <w:rPr>
          <w:rFonts w:cs="Arial"/>
          <w:rtl/>
        </w:rPr>
        <w:t>ו</w:t>
      </w:r>
      <w:r>
        <w:rPr>
          <w:rFonts w:cs="Arial" w:hint="cs"/>
          <w:rtl/>
        </w:rPr>
        <w:t xml:space="preserve">כתב </w:t>
      </w:r>
      <w:r w:rsidRPr="005C7F9F">
        <w:rPr>
          <w:rFonts w:cs="Arial" w:hint="cs"/>
          <w:b/>
          <w:bCs/>
          <w:rtl/>
        </w:rPr>
        <w:t>הדרכ"מ</w:t>
      </w:r>
      <w:r>
        <w:rPr>
          <w:rFonts w:cs="Arial" w:hint="cs"/>
          <w:rtl/>
        </w:rPr>
        <w:t xml:space="preserve"> (אות ו) ד</w:t>
      </w:r>
      <w:r w:rsidRPr="00A167C1">
        <w:rPr>
          <w:rFonts w:cs="Arial"/>
          <w:rtl/>
        </w:rPr>
        <w:t>משמע מפירוש רש"י בגמרא (פו. ד"ה האי</w:t>
      </w:r>
      <w:r>
        <w:rPr>
          <w:rFonts w:cs="Arial" w:hint="cs"/>
          <w:rtl/>
        </w:rPr>
        <w:t xml:space="preserve"> כי דיניה</w:t>
      </w:r>
      <w:r w:rsidRPr="00A167C1">
        <w:rPr>
          <w:rFonts w:cs="Arial"/>
          <w:rtl/>
        </w:rPr>
        <w:t>) דאפילו יש לה נכסי צאן ברזל אפילו הכי האשה נוטלת הקרקע ובעל חוב המעות מאחר שצירפתן עם הכתובה על שיעבוד הקרקע</w:t>
      </w:r>
      <w:r>
        <w:rPr>
          <w:rFonts w:cs="Arial" w:hint="cs"/>
          <w:rtl/>
        </w:rPr>
        <w:t>.</w:t>
      </w:r>
      <w:r>
        <w:rPr>
          <w:rFonts w:hint="cs"/>
          <w:rtl/>
        </w:rPr>
        <w:t xml:space="preserve"> </w:t>
      </w:r>
      <w:r w:rsidRPr="00033E31">
        <w:rPr>
          <w:rFonts w:hint="cs"/>
          <w:color w:val="00B0F0"/>
          <w:rtl/>
        </w:rPr>
        <w:t>(וכ"פ בהג"ה)</w:t>
      </w:r>
    </w:p>
  </w:footnote>
  <w:footnote w:id="2134">
    <w:p w14:paraId="241419D5" w14:textId="77777777" w:rsidR="00392DBB" w:rsidRDefault="00392DBB" w:rsidP="00392DBB">
      <w:pPr>
        <w:pStyle w:val="a5"/>
      </w:pPr>
      <w:r>
        <w:rPr>
          <w:rStyle w:val="a7"/>
        </w:rPr>
        <w:footnoteRef/>
      </w:r>
      <w:r>
        <w:rPr>
          <w:rtl/>
        </w:rPr>
        <w:t xml:space="preserve"> </w:t>
      </w:r>
      <w:r>
        <w:rPr>
          <w:rFonts w:hint="cs"/>
          <w:rtl/>
        </w:rPr>
        <w:t xml:space="preserve">וגם הח"מ (סקי"ג) כתב שדברי הטור תמוהים </w:t>
      </w:r>
      <w:r w:rsidRPr="00A62B90">
        <w:rPr>
          <w:rFonts w:hint="cs"/>
          <w:sz w:val="16"/>
          <w:szCs w:val="16"/>
          <w:rtl/>
        </w:rPr>
        <w:t xml:space="preserve">(וכתב עוד </w:t>
      </w:r>
      <w:r w:rsidRPr="00A62B90">
        <w:rPr>
          <w:rFonts w:cs="Arial" w:hint="cs"/>
          <w:sz w:val="16"/>
          <w:szCs w:val="16"/>
          <w:rtl/>
        </w:rPr>
        <w:t>ל</w:t>
      </w:r>
      <w:r w:rsidRPr="00A62B90">
        <w:rPr>
          <w:rFonts w:cs="Arial"/>
          <w:sz w:val="16"/>
          <w:szCs w:val="16"/>
          <w:rtl/>
        </w:rPr>
        <w:t xml:space="preserve">עיין ברמב"ם וברא"ש </w:t>
      </w:r>
      <w:r w:rsidRPr="00A62B90">
        <w:rPr>
          <w:rFonts w:cs="Arial" w:hint="cs"/>
          <w:sz w:val="16"/>
          <w:szCs w:val="16"/>
          <w:rtl/>
        </w:rPr>
        <w:t xml:space="preserve">ולראות שם </w:t>
      </w:r>
      <w:r w:rsidRPr="00A62B90">
        <w:rPr>
          <w:rFonts w:cs="Arial"/>
          <w:sz w:val="16"/>
          <w:szCs w:val="16"/>
          <w:rtl/>
        </w:rPr>
        <w:t>שאין לדברי הטור עיקר</w:t>
      </w:r>
      <w:r>
        <w:rPr>
          <w:rFonts w:cs="Arial" w:hint="cs"/>
          <w:sz w:val="16"/>
          <w:szCs w:val="16"/>
          <w:rtl/>
        </w:rPr>
        <w:t>)</w:t>
      </w:r>
      <w:r>
        <w:rPr>
          <w:rFonts w:cs="Arial" w:hint="cs"/>
          <w:rtl/>
        </w:rPr>
        <w:t>.</w:t>
      </w:r>
      <w:r w:rsidRPr="00A62B90">
        <w:rPr>
          <w:rFonts w:cs="Arial"/>
          <w:rtl/>
        </w:rPr>
        <w:t xml:space="preserve"> </w:t>
      </w:r>
      <w:r>
        <w:rPr>
          <w:rFonts w:hint="cs"/>
          <w:rtl/>
        </w:rPr>
        <w:t>וכתב הב"י שאפשר שדעת הרמ"ה חלוקה גם כן על הטור.</w:t>
      </w:r>
    </w:p>
  </w:footnote>
  <w:footnote w:id="2135">
    <w:p w14:paraId="322FC96F" w14:textId="77777777" w:rsidR="00392DBB" w:rsidRDefault="00392DBB" w:rsidP="00392DBB">
      <w:pPr>
        <w:pStyle w:val="a5"/>
        <w:rPr>
          <w:rtl/>
        </w:rPr>
      </w:pPr>
      <w:r>
        <w:rPr>
          <w:rStyle w:val="a7"/>
        </w:rPr>
        <w:footnoteRef/>
      </w:r>
      <w:r>
        <w:rPr>
          <w:rtl/>
        </w:rPr>
        <w:t xml:space="preserve"> </w:t>
      </w:r>
      <w:r>
        <w:rPr>
          <w:rFonts w:cs="Arial"/>
          <w:rtl/>
        </w:rPr>
        <w:t>לפי מה שסובר רבינו דטעמא משום נעילת דלת ודאי דכן נראה</w:t>
      </w:r>
      <w:r>
        <w:rPr>
          <w:rFonts w:cs="Arial" w:hint="cs"/>
          <w:rtl/>
        </w:rPr>
        <w:t>.</w:t>
      </w:r>
      <w:r>
        <w:rPr>
          <w:rFonts w:cs="Arial"/>
          <w:rtl/>
        </w:rPr>
        <w:t xml:space="preserve"> אבל כבר כתבתי דלהרמ"ה לא הוי טעמא אלא משום דהאי כדיניה והאי כדיניה</w:t>
      </w:r>
      <w:r>
        <w:rPr>
          <w:rFonts w:hint="cs"/>
          <w:rtl/>
        </w:rPr>
        <w:t>, ב"י.</w:t>
      </w:r>
    </w:p>
  </w:footnote>
  <w:footnote w:id="2136">
    <w:p w14:paraId="6E4F84FB" w14:textId="77777777" w:rsidR="00392DBB" w:rsidRPr="001F6BC8" w:rsidRDefault="00392DBB" w:rsidP="00392DBB">
      <w:pPr>
        <w:pStyle w:val="a5"/>
      </w:pPr>
      <w:r>
        <w:rPr>
          <w:rStyle w:val="a7"/>
        </w:rPr>
        <w:footnoteRef/>
      </w:r>
      <w:r>
        <w:rPr>
          <w:rtl/>
        </w:rPr>
        <w:t xml:space="preserve"> </w:t>
      </w:r>
      <w:r>
        <w:rPr>
          <w:rFonts w:cs="Arial" w:hint="cs"/>
          <w:rtl/>
        </w:rPr>
        <w:t>וכעין זה עיין ב</w:t>
      </w:r>
      <w:r w:rsidRPr="001F6BC8">
        <w:rPr>
          <w:rFonts w:cs="Arial" w:hint="cs"/>
          <w:rtl/>
        </w:rPr>
        <w:t xml:space="preserve">רשב"א </w:t>
      </w:r>
      <w:r w:rsidRPr="001F6BC8">
        <w:rPr>
          <w:rFonts w:cs="Arial"/>
          <w:sz w:val="16"/>
          <w:szCs w:val="16"/>
          <w:rtl/>
        </w:rPr>
        <w:t>(במיוחסות סי</w:t>
      </w:r>
      <w:r w:rsidRPr="001F6BC8">
        <w:rPr>
          <w:rFonts w:cs="Arial" w:hint="cs"/>
          <w:sz w:val="16"/>
          <w:szCs w:val="16"/>
          <w:rtl/>
        </w:rPr>
        <w:t>'</w:t>
      </w:r>
      <w:r w:rsidRPr="001F6BC8">
        <w:rPr>
          <w:rFonts w:cs="Arial"/>
          <w:sz w:val="16"/>
          <w:szCs w:val="16"/>
          <w:rtl/>
        </w:rPr>
        <w:t xml:space="preserve"> פ</w:t>
      </w:r>
      <w:r>
        <w:rPr>
          <w:rFonts w:cs="Arial" w:hint="cs"/>
          <w:sz w:val="16"/>
          <w:szCs w:val="16"/>
          <w:rtl/>
        </w:rPr>
        <w:t>ב</w:t>
      </w:r>
      <w:r w:rsidRPr="001F6BC8">
        <w:rPr>
          <w:rFonts w:cs="Arial" w:hint="cs"/>
          <w:sz w:val="16"/>
          <w:szCs w:val="16"/>
          <w:rtl/>
        </w:rPr>
        <w:t>)</w:t>
      </w:r>
      <w:r w:rsidRPr="001F6BC8">
        <w:rPr>
          <w:rFonts w:cs="Arial"/>
          <w:rtl/>
        </w:rPr>
        <w:t xml:space="preserve"> </w:t>
      </w:r>
      <w:r>
        <w:rPr>
          <w:rFonts w:cs="Arial" w:hint="cs"/>
          <w:rtl/>
        </w:rPr>
        <w:t>ש</w:t>
      </w:r>
      <w:r w:rsidRPr="001F6BC8">
        <w:rPr>
          <w:rFonts w:cs="Arial"/>
          <w:rtl/>
        </w:rPr>
        <w:t>כתב אם שמעו בו שמת אפילו בעד אחד ימכרו בית דין הקרקע לכתובה משום חשש ב"ח מוקדמים שלא כדעת מקצת הראשונים</w:t>
      </w:r>
      <w:r>
        <w:rPr>
          <w:rFonts w:cs="Arial" w:hint="cs"/>
          <w:rtl/>
        </w:rPr>
        <w:t xml:space="preserve">. ועיין עוד בדבריו </w:t>
      </w:r>
      <w:r>
        <w:rPr>
          <w:rFonts w:cs="Arial" w:hint="cs"/>
          <w:sz w:val="16"/>
          <w:szCs w:val="16"/>
          <w:rtl/>
        </w:rPr>
        <w:t>(סי' פא)</w:t>
      </w:r>
      <w:r>
        <w:rPr>
          <w:rFonts w:cs="Arial" w:hint="cs"/>
          <w:rtl/>
        </w:rPr>
        <w:t xml:space="preserve"> </w:t>
      </w:r>
      <w:r w:rsidRPr="001F6BC8">
        <w:rPr>
          <w:rFonts w:cs="Arial"/>
          <w:rtl/>
        </w:rPr>
        <w:t xml:space="preserve">שנשאל אם האלמנה יש לה ב"ח ובא להפרע מקרקע שמכרו בית דין לכתובתה או למזונותיה אם מוציאין אותו מיד הלוקח והאריך בדבר. </w:t>
      </w:r>
    </w:p>
  </w:footnote>
  <w:footnote w:id="2137">
    <w:p w14:paraId="7BAD9355" w14:textId="77777777" w:rsidR="00392DBB" w:rsidRDefault="00392DBB" w:rsidP="00392DBB">
      <w:pPr>
        <w:pStyle w:val="a5"/>
        <w:rPr>
          <w:rtl/>
        </w:rPr>
      </w:pPr>
      <w:r>
        <w:rPr>
          <w:rStyle w:val="a7"/>
        </w:rPr>
        <w:footnoteRef/>
      </w:r>
      <w:r>
        <w:rPr>
          <w:rtl/>
        </w:rPr>
        <w:t xml:space="preserve"> </w:t>
      </w:r>
      <w:r w:rsidRPr="001D593E">
        <w:rPr>
          <w:rFonts w:cs="Arial"/>
          <w:rtl/>
        </w:rPr>
        <w:t xml:space="preserve">כבר כתבתי </w:t>
      </w:r>
      <w:r>
        <w:rPr>
          <w:rFonts w:cs="Arial" w:hint="cs"/>
          <w:rtl/>
        </w:rPr>
        <w:t>(סק"ז) ד</w:t>
      </w:r>
      <w:r w:rsidRPr="001D593E">
        <w:rPr>
          <w:rFonts w:cs="Arial"/>
          <w:rtl/>
        </w:rPr>
        <w:t>נראה לכ"ע מה שגבתה בבית דין אין מוציאין מידה</w:t>
      </w:r>
      <w:r>
        <w:rPr>
          <w:rFonts w:hint="cs"/>
          <w:rtl/>
        </w:rPr>
        <w:t>, ב"ש (סקי"ב).</w:t>
      </w:r>
    </w:p>
  </w:footnote>
  <w:footnote w:id="2138">
    <w:p w14:paraId="4CFA1159" w14:textId="77777777" w:rsidR="00392DBB" w:rsidRDefault="00392DBB" w:rsidP="00392DBB">
      <w:pPr>
        <w:pStyle w:val="a5"/>
      </w:pPr>
      <w:r>
        <w:rPr>
          <w:rStyle w:val="a7"/>
        </w:rPr>
        <w:footnoteRef/>
      </w:r>
      <w:r>
        <w:rPr>
          <w:rtl/>
        </w:rPr>
        <w:t xml:space="preserve"> </w:t>
      </w:r>
      <w:r w:rsidRPr="00C110D1">
        <w:rPr>
          <w:rFonts w:cs="Arial"/>
          <w:rtl/>
        </w:rPr>
        <w:t>אתיא אליב' הפוסקים של דעה קמיית</w:t>
      </w:r>
      <w:r>
        <w:rPr>
          <w:rFonts w:cs="Arial" w:hint="cs"/>
          <w:rtl/>
        </w:rPr>
        <w:t xml:space="preserve">א </w:t>
      </w:r>
      <w:r>
        <w:rPr>
          <w:rFonts w:cs="Arial" w:hint="cs"/>
          <w:sz w:val="16"/>
          <w:szCs w:val="16"/>
          <w:rtl/>
        </w:rPr>
        <w:t>{בסע' ב, היינו הרא"ש וסיעתו}</w:t>
      </w:r>
      <w:r>
        <w:rPr>
          <w:rFonts w:cs="Arial" w:hint="cs"/>
          <w:rtl/>
        </w:rPr>
        <w:t>, ב"ש (סק"ח).</w:t>
      </w:r>
    </w:p>
  </w:footnote>
  <w:footnote w:id="2139">
    <w:p w14:paraId="30786BB5" w14:textId="77777777" w:rsidR="00392DBB" w:rsidRDefault="00392DBB" w:rsidP="00392DBB">
      <w:pPr>
        <w:pStyle w:val="a5"/>
        <w:rPr>
          <w:rtl/>
        </w:rPr>
      </w:pPr>
      <w:r>
        <w:rPr>
          <w:rStyle w:val="a7"/>
        </w:rPr>
        <w:footnoteRef/>
      </w:r>
      <w:r>
        <w:rPr>
          <w:rtl/>
        </w:rPr>
        <w:t xml:space="preserve"> </w:t>
      </w:r>
      <w:r w:rsidRPr="00A56F7B">
        <w:rPr>
          <w:rFonts w:cs="Arial"/>
          <w:rtl/>
        </w:rPr>
        <w:t>לדין זה כתב הריב"ש הטעם דאין שומעין להם דאם גבתה קרקע הרי הב"ח יטרוף ממנה ואם גבתה מטלטלין מה שגבתה גבתה ואם מכרו נכסים לפריעת כתובתה אין הב"ח חוזר על האלמנה רק על הלוקח הקרקע והוא יחוש לעצמו ואחריות שלו על היתומים והנה לפי מה שפסקו האחרונים דלעיל בסעיף ב' דאם תפסה האלמנה מטלטלין מוציאין מידה אם לא נחלק בין תפסה לגבתה בב"ד א"כ היתה צריכ' ליתן ערבו' וא"כ היה קשה על הרב איך כתב לעיל דהכרעת האחרונים דמוציאין מידה וכאן העתיק תשו' הריב"ש שהוא מטעם דאם גבתה גבתה ע"כ צ"ל דס"ל להרב דהכרע' האחרונים הוא דוקא בתפסה מעצמ' וכבר כתבתי דגם בזה יש לפקפק הואיל והוא נגד הכרעת הרא"ש ואפשר שהאחרונים לא הכריעו אלא בידוע שבא ממון ההלוא' לידה עיין בגוף התשובו'</w:t>
      </w:r>
      <w:r>
        <w:rPr>
          <w:rFonts w:hint="cs"/>
          <w:rtl/>
        </w:rPr>
        <w:t>, ח"מ (סק"י). וכ"כ הב"ש (סקי"ג).</w:t>
      </w:r>
    </w:p>
  </w:footnote>
  <w:footnote w:id="2140">
    <w:p w14:paraId="055CC94D" w14:textId="77777777" w:rsidR="006A4B54" w:rsidRDefault="006A4B54" w:rsidP="006A4B54">
      <w:pPr>
        <w:pStyle w:val="a5"/>
      </w:pPr>
      <w:r>
        <w:rPr>
          <w:rStyle w:val="a7"/>
        </w:rPr>
        <w:footnoteRef/>
      </w:r>
      <w:r>
        <w:rPr>
          <w:rtl/>
        </w:rPr>
        <w:t xml:space="preserve"> </w:t>
      </w:r>
      <w:r>
        <w:rPr>
          <w:rFonts w:cs="Arial"/>
          <w:rtl/>
        </w:rPr>
        <w:t>וכתב הרב המגיד זה ברור לדעת רבינו</w:t>
      </w:r>
      <w:r>
        <w:rPr>
          <w:rFonts w:cs="Arial" w:hint="cs"/>
          <w:rtl/>
        </w:rPr>
        <w:t>,</w:t>
      </w:r>
      <w:r>
        <w:rPr>
          <w:rFonts w:cs="Arial"/>
          <w:rtl/>
        </w:rPr>
        <w:t xml:space="preserve"> שלא הורע כח האשה אלא בעיקר הכתובה שהרי לא חסרה בה כלום</w:t>
      </w:r>
      <w:r>
        <w:rPr>
          <w:rFonts w:cs="Arial" w:hint="cs"/>
          <w:rtl/>
        </w:rPr>
        <w:t>,</w:t>
      </w:r>
      <w:r>
        <w:rPr>
          <w:rFonts w:cs="Arial"/>
          <w:rtl/>
        </w:rPr>
        <w:t xml:space="preserve"> אבל נדוניתא הרי הוא כחוב דעלמא עכ"ל</w:t>
      </w:r>
      <w:r>
        <w:rPr>
          <w:rFonts w:cs="Arial" w:hint="cs"/>
          <w:rtl/>
        </w:rPr>
        <w:t>.</w:t>
      </w:r>
      <w:r>
        <w:rPr>
          <w:rFonts w:cs="Arial"/>
          <w:rtl/>
        </w:rPr>
        <w:t xml:space="preserve"> והדבר פשוט הוא דקאי אכל מה שכתב בסימן זה להקל על הכתובה דאין נדוניא בכלל</w:t>
      </w:r>
      <w:r>
        <w:rPr>
          <w:rFonts w:cs="Arial" w:hint="cs"/>
          <w:rtl/>
        </w:rPr>
        <w:t>,</w:t>
      </w:r>
      <w:r>
        <w:rPr>
          <w:rFonts w:cs="Arial"/>
          <w:rtl/>
        </w:rPr>
        <w:t xml:space="preserve"> אלא הרי היא כבעל חוב דעלמא</w:t>
      </w:r>
      <w:r>
        <w:rPr>
          <w:rFonts w:cs="Arial" w:hint="cs"/>
          <w:rtl/>
        </w:rPr>
        <w:t>.</w:t>
      </w:r>
      <w:r>
        <w:rPr>
          <w:rFonts w:cs="Arial"/>
          <w:rtl/>
        </w:rPr>
        <w:t xml:space="preserve"> וכבר נתבאר בסימן ק' </w:t>
      </w:r>
      <w:r w:rsidRPr="00320E25">
        <w:rPr>
          <w:rFonts w:cs="Arial"/>
          <w:sz w:val="16"/>
          <w:szCs w:val="16"/>
          <w:rtl/>
        </w:rPr>
        <w:t xml:space="preserve">(קנ. ד"ה ומ"ש ולא) </w:t>
      </w:r>
      <w:r>
        <w:rPr>
          <w:rFonts w:cs="Arial"/>
          <w:rtl/>
        </w:rPr>
        <w:t>שדעת הרשב"א בזה כדעת הרמב"ם. ודברים נכונים בטעמם הם</w:t>
      </w:r>
      <w:r>
        <w:rPr>
          <w:rFonts w:cs="Arial" w:hint="cs"/>
          <w:rtl/>
        </w:rPr>
        <w:t>, ב"י.</w:t>
      </w:r>
      <w:r>
        <w:rPr>
          <w:rFonts w:hint="cs"/>
          <w:rtl/>
        </w:rPr>
        <w:t xml:space="preserve"> וכתב הדרכ"מ (אות ד ואות ו*) שכן דעת חכמי לוניל.</w:t>
      </w:r>
    </w:p>
  </w:footnote>
  <w:footnote w:id="2141">
    <w:p w14:paraId="53A34572" w14:textId="77777777" w:rsidR="006A4B54" w:rsidRDefault="006A4B54" w:rsidP="006A4B54">
      <w:pPr>
        <w:pStyle w:val="a5"/>
        <w:rPr>
          <w:rtl/>
        </w:rPr>
      </w:pPr>
      <w:r>
        <w:rPr>
          <w:rStyle w:val="a7"/>
        </w:rPr>
        <w:footnoteRef/>
      </w:r>
      <w:r>
        <w:rPr>
          <w:rtl/>
        </w:rPr>
        <w:t xml:space="preserve"> </w:t>
      </w:r>
      <w:r>
        <w:rPr>
          <w:rFonts w:cs="Arial"/>
          <w:rtl/>
        </w:rPr>
        <w:t>כבר כתבתי לשונו בסמוך גבי ההיא דאמימר</w:t>
      </w:r>
      <w:r>
        <w:rPr>
          <w:rFonts w:cs="Arial" w:hint="cs"/>
          <w:rtl/>
        </w:rPr>
        <w:t>,</w:t>
      </w:r>
      <w:r>
        <w:rPr>
          <w:rFonts w:cs="Arial"/>
          <w:rtl/>
        </w:rPr>
        <w:t xml:space="preserve"> ואיפשר דלא השוה רש"י דין נכסי צאן ברזל לדין הכתובה אלא להיכא דאיכא זוזי וארעא</w:t>
      </w:r>
      <w:r>
        <w:rPr>
          <w:rFonts w:cs="Arial" w:hint="cs"/>
          <w:rtl/>
        </w:rPr>
        <w:t>,</w:t>
      </w:r>
      <w:r>
        <w:rPr>
          <w:rFonts w:cs="Arial"/>
          <w:rtl/>
        </w:rPr>
        <w:t xml:space="preserve"> דלבעל חוב יהבינן זוזי ולאשה ארעא משום דהאי כדיניה והאי כדיניה</w:t>
      </w:r>
      <w:r>
        <w:rPr>
          <w:rFonts w:cs="Arial" w:hint="cs"/>
          <w:rtl/>
        </w:rPr>
        <w:t>.</w:t>
      </w:r>
      <w:r>
        <w:rPr>
          <w:rFonts w:cs="Arial"/>
          <w:rtl/>
        </w:rPr>
        <w:t xml:space="preserve"> אבל היכא דליכא אלא לחד מינייהו דאמרינן דלבעל חוב יהבינן לאשה לא יהבינן</w:t>
      </w:r>
      <w:r>
        <w:rPr>
          <w:rFonts w:cs="Arial" w:hint="cs"/>
          <w:rtl/>
        </w:rPr>
        <w:t>,</w:t>
      </w:r>
      <w:r>
        <w:rPr>
          <w:rFonts w:cs="Arial"/>
          <w:rtl/>
        </w:rPr>
        <w:t xml:space="preserve"> איפשר דאף לרש"י היינו דוקא בעיקר כתובה</w:t>
      </w:r>
      <w:r>
        <w:rPr>
          <w:rFonts w:cs="Arial" w:hint="cs"/>
          <w:rtl/>
        </w:rPr>
        <w:t>,</w:t>
      </w:r>
      <w:r>
        <w:rPr>
          <w:rFonts w:cs="Arial"/>
          <w:rtl/>
        </w:rPr>
        <w:t xml:space="preserve"> אבל בנדוניא הרי היא כבעלת חוב ואם זמנה שוה לזמן הבעל חוב חולקת עמו</w:t>
      </w:r>
      <w:r>
        <w:rPr>
          <w:rFonts w:hint="cs"/>
          <w:rtl/>
        </w:rPr>
        <w:t>, ב"י.</w:t>
      </w:r>
    </w:p>
  </w:footnote>
  <w:footnote w:id="2142">
    <w:p w14:paraId="16C8D992" w14:textId="77777777" w:rsidR="00392DBB" w:rsidRDefault="00392DBB" w:rsidP="00392DBB">
      <w:pPr>
        <w:pStyle w:val="a5"/>
      </w:pPr>
      <w:r>
        <w:rPr>
          <w:rStyle w:val="a7"/>
        </w:rPr>
        <w:footnoteRef/>
      </w:r>
      <w:r>
        <w:rPr>
          <w:rtl/>
        </w:rPr>
        <w:t xml:space="preserve"> </w:t>
      </w:r>
      <w:r w:rsidRPr="00A84FFF">
        <w:rPr>
          <w:rFonts w:cs="Arial"/>
          <w:rtl/>
        </w:rPr>
        <w:t>כ"כ רש"י והר"ן</w:t>
      </w:r>
      <w:r>
        <w:rPr>
          <w:rFonts w:cs="Arial" w:hint="cs"/>
          <w:rtl/>
        </w:rPr>
        <w:t>.</w:t>
      </w:r>
      <w:r w:rsidRPr="00A84FFF">
        <w:rPr>
          <w:rFonts w:cs="Arial"/>
          <w:rtl/>
        </w:rPr>
        <w:t xml:space="preserve"> ולא מצינו שום חולק ע"ז</w:t>
      </w:r>
      <w:r>
        <w:rPr>
          <w:rFonts w:cs="Arial" w:hint="cs"/>
          <w:rtl/>
        </w:rPr>
        <w:t>.</w:t>
      </w:r>
      <w:r w:rsidRPr="00A84FFF">
        <w:rPr>
          <w:rFonts w:cs="Arial"/>
          <w:rtl/>
        </w:rPr>
        <w:t xml:space="preserve"> אף לדעת הפוסקים דס"ל נדוני' היא כחוב</w:t>
      </w:r>
      <w:r>
        <w:rPr>
          <w:rFonts w:cs="Arial" w:hint="cs"/>
          <w:rtl/>
        </w:rPr>
        <w:t>,</w:t>
      </w:r>
      <w:r w:rsidRPr="00A84FFF">
        <w:rPr>
          <w:rFonts w:cs="Arial"/>
          <w:rtl/>
        </w:rPr>
        <w:t xml:space="preserve"> כמ"ש בסעיף ה'</w:t>
      </w:r>
      <w:r>
        <w:rPr>
          <w:rFonts w:cs="Arial" w:hint="cs"/>
          <w:rtl/>
        </w:rPr>
        <w:t>,</w:t>
      </w:r>
      <w:r w:rsidRPr="00A84FFF">
        <w:rPr>
          <w:rFonts w:cs="Arial"/>
          <w:rtl/>
        </w:rPr>
        <w:t xml:space="preserve"> היינו לענין אם אין לשלם לשניהם אז נדוני</w:t>
      </w:r>
      <w:r>
        <w:rPr>
          <w:rFonts w:cs="Arial" w:hint="cs"/>
          <w:rtl/>
        </w:rPr>
        <w:t>א</w:t>
      </w:r>
      <w:r w:rsidRPr="00A84FFF">
        <w:rPr>
          <w:rFonts w:cs="Arial"/>
          <w:rtl/>
        </w:rPr>
        <w:t xml:space="preserve"> וב"ח שוין</w:t>
      </w:r>
      <w:r>
        <w:rPr>
          <w:rFonts w:cs="Arial" w:hint="cs"/>
          <w:rtl/>
        </w:rPr>
        <w:t>.</w:t>
      </w:r>
      <w:r w:rsidRPr="00A84FFF">
        <w:rPr>
          <w:rFonts w:cs="Arial"/>
          <w:rtl/>
        </w:rPr>
        <w:t xml:space="preserve"> משא"כ כאן דיש לשלם שניהם</w:t>
      </w:r>
      <w:r>
        <w:rPr>
          <w:rFonts w:cs="Arial" w:hint="cs"/>
          <w:rtl/>
        </w:rPr>
        <w:t>.</w:t>
      </w:r>
      <w:r w:rsidRPr="00A84FFF">
        <w:rPr>
          <w:rFonts w:cs="Arial"/>
          <w:rtl/>
        </w:rPr>
        <w:t xml:space="preserve"> וכן מחלק הב"י</w:t>
      </w:r>
      <w:r>
        <w:rPr>
          <w:rFonts w:cs="Arial" w:hint="cs"/>
          <w:rtl/>
        </w:rPr>
        <w:t>.</w:t>
      </w:r>
      <w:r w:rsidRPr="00A84FFF">
        <w:rPr>
          <w:rFonts w:cs="Arial"/>
          <w:rtl/>
        </w:rPr>
        <w:t xml:space="preserve"> לפ"ז מ"ש הרמב"ם </w:t>
      </w:r>
      <w:r>
        <w:rPr>
          <w:rFonts w:cs="Arial" w:hint="cs"/>
          <w:rtl/>
        </w:rPr>
        <w:t>(</w:t>
      </w:r>
      <w:r w:rsidRPr="00A84FFF">
        <w:rPr>
          <w:rFonts w:cs="Arial"/>
          <w:rtl/>
        </w:rPr>
        <w:t>פי"ז</w:t>
      </w:r>
      <w:r>
        <w:rPr>
          <w:rFonts w:cs="Arial" w:hint="cs"/>
          <w:rtl/>
        </w:rPr>
        <w:t xml:space="preserve"> ה"ז)</w:t>
      </w:r>
      <w:r w:rsidRPr="00A84FFF">
        <w:rPr>
          <w:rFonts w:cs="Arial"/>
          <w:rtl/>
        </w:rPr>
        <w:t xml:space="preserve"> </w:t>
      </w:r>
      <w:r>
        <w:rPr>
          <w:rFonts w:cs="Arial" w:hint="cs"/>
          <w:rtl/>
        </w:rPr>
        <w:t>'</w:t>
      </w:r>
      <w:r w:rsidRPr="00A84FFF">
        <w:rPr>
          <w:rFonts w:cs="Arial"/>
          <w:rtl/>
        </w:rPr>
        <w:t>נדוני</w:t>
      </w:r>
      <w:r>
        <w:rPr>
          <w:rFonts w:cs="Arial" w:hint="cs"/>
          <w:rtl/>
        </w:rPr>
        <w:t>א</w:t>
      </w:r>
      <w:r w:rsidRPr="00A84FFF">
        <w:rPr>
          <w:rFonts w:cs="Arial"/>
          <w:rtl/>
        </w:rPr>
        <w:t xml:space="preserve"> דינו כחוב</w:t>
      </w:r>
      <w:r>
        <w:rPr>
          <w:rFonts w:cs="Arial" w:hint="cs"/>
          <w:rtl/>
        </w:rPr>
        <w:t>' -</w:t>
      </w:r>
      <w:r w:rsidRPr="00A84FFF">
        <w:rPr>
          <w:rFonts w:cs="Arial"/>
          <w:rtl/>
        </w:rPr>
        <w:t xml:space="preserve"> בעלמ</w:t>
      </w:r>
      <w:r>
        <w:rPr>
          <w:rFonts w:cs="Arial" w:hint="cs"/>
          <w:rtl/>
        </w:rPr>
        <w:t>א</w:t>
      </w:r>
      <w:r w:rsidRPr="00A84FFF">
        <w:rPr>
          <w:rFonts w:cs="Arial"/>
          <w:rtl/>
        </w:rPr>
        <w:t xml:space="preserve"> קאמר</w:t>
      </w:r>
      <w:r>
        <w:rPr>
          <w:rFonts w:cs="Arial" w:hint="cs"/>
          <w:rtl/>
        </w:rPr>
        <w:t>.</w:t>
      </w:r>
      <w:r w:rsidRPr="00A84FFF">
        <w:rPr>
          <w:rFonts w:cs="Arial"/>
          <w:rtl/>
        </w:rPr>
        <w:t xml:space="preserve"> וכאן י"ל דמודה דנוטלת קרקע בעד הנדוניא</w:t>
      </w:r>
      <w:r>
        <w:rPr>
          <w:rFonts w:cs="Arial" w:hint="cs"/>
          <w:rtl/>
        </w:rPr>
        <w:t>.</w:t>
      </w:r>
      <w:r w:rsidRPr="00A84FFF">
        <w:rPr>
          <w:rFonts w:cs="Arial"/>
          <w:rtl/>
        </w:rPr>
        <w:t xml:space="preserve"> אע</w:t>
      </w:r>
      <w:r>
        <w:rPr>
          <w:rFonts w:cs="Arial" w:hint="cs"/>
          <w:rtl/>
        </w:rPr>
        <w:t>"</w:t>
      </w:r>
      <w:r w:rsidRPr="00A84FFF">
        <w:rPr>
          <w:rFonts w:cs="Arial"/>
          <w:rtl/>
        </w:rPr>
        <w:t xml:space="preserve">ג </w:t>
      </w:r>
      <w:r>
        <w:rPr>
          <w:rFonts w:cs="Arial" w:hint="cs"/>
          <w:rtl/>
        </w:rPr>
        <w:t>ד</w:t>
      </w:r>
      <w:r w:rsidRPr="00A84FFF">
        <w:rPr>
          <w:rFonts w:cs="Arial"/>
          <w:rtl/>
        </w:rPr>
        <w:t xml:space="preserve">הטור כתב </w:t>
      </w:r>
      <w:r>
        <w:rPr>
          <w:rFonts w:cs="Arial" w:hint="cs"/>
          <w:rtl/>
        </w:rPr>
        <w:t>ד</w:t>
      </w:r>
      <w:r w:rsidRPr="00A84FFF">
        <w:rPr>
          <w:rFonts w:cs="Arial"/>
          <w:rtl/>
        </w:rPr>
        <w:t>הרמב"ם חולק עם רש"י בזה</w:t>
      </w:r>
      <w:r>
        <w:rPr>
          <w:rFonts w:cs="Arial" w:hint="cs"/>
          <w:rtl/>
        </w:rPr>
        <w:t>,</w:t>
      </w:r>
      <w:r w:rsidRPr="00A84FFF">
        <w:rPr>
          <w:rFonts w:cs="Arial"/>
          <w:rtl/>
        </w:rPr>
        <w:t xml:space="preserve"> אין מוכרח</w:t>
      </w:r>
      <w:r>
        <w:rPr>
          <w:rFonts w:cs="Arial" w:hint="cs"/>
          <w:rtl/>
        </w:rPr>
        <w:t>,</w:t>
      </w:r>
      <w:r w:rsidRPr="00A84FFF">
        <w:rPr>
          <w:rFonts w:cs="Arial"/>
          <w:rtl/>
        </w:rPr>
        <w:t xml:space="preserve"> כי מנ"ל לעשות פלוגת</w:t>
      </w:r>
      <w:r>
        <w:rPr>
          <w:rFonts w:cs="Arial" w:hint="cs"/>
          <w:rtl/>
        </w:rPr>
        <w:t>א</w:t>
      </w:r>
      <w:r w:rsidRPr="00A84FFF">
        <w:rPr>
          <w:rFonts w:cs="Arial"/>
          <w:rtl/>
        </w:rPr>
        <w:t xml:space="preserve"> בין הפוסקים בלי הכרח</w:t>
      </w:r>
      <w:r>
        <w:rPr>
          <w:rFonts w:cs="Arial" w:hint="cs"/>
          <w:rtl/>
        </w:rPr>
        <w:t>.</w:t>
      </w:r>
      <w:r w:rsidRPr="00A84FFF">
        <w:rPr>
          <w:rFonts w:cs="Arial"/>
          <w:rtl/>
        </w:rPr>
        <w:t xml:space="preserve"> לכן הכריע הרב רמ"א כרש"י</w:t>
      </w:r>
      <w:r>
        <w:rPr>
          <w:rFonts w:cs="Arial" w:hint="cs"/>
          <w:rtl/>
        </w:rPr>
        <w:t>.</w:t>
      </w:r>
      <w:r w:rsidRPr="00A84FFF">
        <w:rPr>
          <w:rFonts w:cs="Arial"/>
          <w:rtl/>
        </w:rPr>
        <w:t xml:space="preserve"> ונכון הוא</w:t>
      </w:r>
      <w:r>
        <w:rPr>
          <w:rFonts w:cs="Arial" w:hint="cs"/>
          <w:rtl/>
        </w:rPr>
        <w:t>, ב"ש (סקי"ד).</w:t>
      </w:r>
    </w:p>
  </w:footnote>
  <w:footnote w:id="2143">
    <w:p w14:paraId="324F6F36" w14:textId="77777777" w:rsidR="00392DBB" w:rsidRDefault="00392DBB" w:rsidP="00392DBB">
      <w:pPr>
        <w:pStyle w:val="a5"/>
      </w:pPr>
      <w:r>
        <w:rPr>
          <w:rStyle w:val="a7"/>
        </w:rPr>
        <w:footnoteRef/>
      </w:r>
      <w:r>
        <w:rPr>
          <w:rtl/>
        </w:rPr>
        <w:t xml:space="preserve"> </w:t>
      </w:r>
      <w:r w:rsidRPr="00B27768">
        <w:rPr>
          <w:rFonts w:cs="Arial"/>
          <w:rtl/>
        </w:rPr>
        <w:t>כ"כ הרא"ש אע</w:t>
      </w:r>
      <w:r>
        <w:rPr>
          <w:rFonts w:cs="Arial" w:hint="cs"/>
          <w:rtl/>
        </w:rPr>
        <w:t>"</w:t>
      </w:r>
      <w:r w:rsidRPr="00B27768">
        <w:rPr>
          <w:rFonts w:cs="Arial"/>
          <w:rtl/>
        </w:rPr>
        <w:t xml:space="preserve">ג </w:t>
      </w:r>
      <w:r>
        <w:rPr>
          <w:rFonts w:cs="Arial" w:hint="cs"/>
          <w:rtl/>
        </w:rPr>
        <w:t>ש</w:t>
      </w:r>
      <w:r w:rsidRPr="00B27768">
        <w:rPr>
          <w:rFonts w:cs="Arial"/>
          <w:rtl/>
        </w:rPr>
        <w:t>בדבר שאין בו דין קדימה ס"ל אם תפסה אין מוציאין מידה כמ"ש בסעיף ב' מ"מ בכה"ג דיש לשלם שניהם ס"ל דמוציאין</w:t>
      </w:r>
      <w:r>
        <w:rPr>
          <w:rFonts w:cs="Arial" w:hint="cs"/>
          <w:rtl/>
        </w:rPr>
        <w:t>.</w:t>
      </w:r>
      <w:r w:rsidRPr="00B27768">
        <w:rPr>
          <w:rFonts w:cs="Arial"/>
          <w:rtl/>
        </w:rPr>
        <w:t xml:space="preserve"> ולא הביא הב"י שום פוסק דחולק ע"ז</w:t>
      </w:r>
      <w:r>
        <w:rPr>
          <w:rFonts w:cs="Arial" w:hint="cs"/>
          <w:rtl/>
        </w:rPr>
        <w:t>.</w:t>
      </w:r>
      <w:r w:rsidRPr="00B27768">
        <w:rPr>
          <w:rFonts w:cs="Arial"/>
          <w:rtl/>
        </w:rPr>
        <w:t xml:space="preserve"> ולדעת הרמ"ה גם כן י"ל מוציאין כיון דדינה דוק' בקרקע ולא במעות</w:t>
      </w:r>
      <w:r>
        <w:rPr>
          <w:rFonts w:cs="Arial" w:hint="cs"/>
          <w:rtl/>
        </w:rPr>
        <w:t>.</w:t>
      </w:r>
      <w:r w:rsidRPr="00B27768">
        <w:rPr>
          <w:rFonts w:cs="Arial"/>
          <w:rtl/>
        </w:rPr>
        <w:t xml:space="preserve"> מיהו בש"ג פסק אם תפסה אין מוציאין</w:t>
      </w:r>
      <w:r>
        <w:rPr>
          <w:rFonts w:cs="Arial" w:hint="cs"/>
          <w:rtl/>
        </w:rPr>
        <w:t>, ב"ש (סקט"ו).</w:t>
      </w:r>
    </w:p>
  </w:footnote>
  <w:footnote w:id="2144">
    <w:p w14:paraId="2C6A34CC" w14:textId="77777777" w:rsidR="00392DBB" w:rsidRDefault="00392DBB" w:rsidP="00392DBB">
      <w:pPr>
        <w:pStyle w:val="a5"/>
        <w:rPr>
          <w:rtl/>
        </w:rPr>
      </w:pPr>
      <w:r>
        <w:rPr>
          <w:rStyle w:val="a7"/>
        </w:rPr>
        <w:footnoteRef/>
      </w:r>
      <w:r>
        <w:rPr>
          <w:rtl/>
        </w:rPr>
        <w:t xml:space="preserve"> </w:t>
      </w:r>
      <w:r w:rsidRPr="00B27768">
        <w:rPr>
          <w:rFonts w:cs="Arial"/>
          <w:rtl/>
        </w:rPr>
        <w:t>נמשך הרב אחר דברי ב"י שהטור לא ביטל דעתו מפני דעת הרמ"ה</w:t>
      </w:r>
      <w:r>
        <w:rPr>
          <w:rFonts w:cs="Arial" w:hint="cs"/>
          <w:rtl/>
        </w:rPr>
        <w:t>.</w:t>
      </w:r>
      <w:r w:rsidRPr="00B27768">
        <w:rPr>
          <w:rFonts w:cs="Arial"/>
          <w:rtl/>
        </w:rPr>
        <w:t xml:space="preserve"> אבל לשון </w:t>
      </w:r>
      <w:r>
        <w:rPr>
          <w:rFonts w:cs="Arial" w:hint="cs"/>
          <w:rtl/>
        </w:rPr>
        <w:t>'</w:t>
      </w:r>
      <w:r w:rsidRPr="00B27768">
        <w:rPr>
          <w:rFonts w:cs="Arial"/>
          <w:rtl/>
        </w:rPr>
        <w:t>לכאורה</w:t>
      </w:r>
      <w:r>
        <w:rPr>
          <w:rFonts w:cs="Arial" w:hint="cs"/>
          <w:rtl/>
        </w:rPr>
        <w:t>'</w:t>
      </w:r>
      <w:r w:rsidRPr="00B27768">
        <w:rPr>
          <w:rFonts w:cs="Arial"/>
          <w:rtl/>
        </w:rPr>
        <w:t xml:space="preserve"> שכ' הטור משמע שביטל דעתו נגד הרמ"ה</w:t>
      </w:r>
      <w:r>
        <w:rPr>
          <w:rFonts w:cs="Arial" w:hint="cs"/>
          <w:rtl/>
        </w:rPr>
        <w:t>.</w:t>
      </w:r>
      <w:r w:rsidRPr="00B27768">
        <w:rPr>
          <w:rFonts w:cs="Arial"/>
          <w:rtl/>
        </w:rPr>
        <w:t xml:space="preserve"> וכן הוא בב"ח</w:t>
      </w:r>
      <w:r>
        <w:rPr>
          <w:rFonts w:cs="Arial" w:hint="cs"/>
          <w:rtl/>
        </w:rPr>
        <w:t>...</w:t>
      </w:r>
      <w:r>
        <w:rPr>
          <w:rFonts w:hint="cs"/>
          <w:rtl/>
        </w:rPr>
        <w:t>, ח"מ (סקי"ב).</w:t>
      </w:r>
    </w:p>
  </w:footnote>
  <w:footnote w:id="2145">
    <w:p w14:paraId="01784936" w14:textId="77777777" w:rsidR="00392DBB" w:rsidRDefault="00392DBB" w:rsidP="00392DBB">
      <w:pPr>
        <w:pStyle w:val="a5"/>
      </w:pPr>
      <w:r>
        <w:rPr>
          <w:rStyle w:val="a7"/>
        </w:rPr>
        <w:footnoteRef/>
      </w:r>
      <w:r>
        <w:rPr>
          <w:rtl/>
        </w:rPr>
        <w:t xml:space="preserve"> </w:t>
      </w:r>
      <w:r>
        <w:rPr>
          <w:rFonts w:hint="cs"/>
          <w:rtl/>
        </w:rPr>
        <w:t>כן היא דעת הטור, ועיין במקורות בסעיף הקודם שהב"ש (סקי"ז) והח"מ (סקי"ג) חולקים על זה.</w:t>
      </w:r>
    </w:p>
  </w:footnote>
  <w:footnote w:id="2146">
    <w:p w14:paraId="7E9D3A96" w14:textId="77777777" w:rsidR="00392DBB" w:rsidRDefault="00392DBB" w:rsidP="00392DBB">
      <w:pPr>
        <w:pStyle w:val="a5"/>
      </w:pPr>
      <w:r>
        <w:rPr>
          <w:rStyle w:val="a7"/>
        </w:rPr>
        <w:footnoteRef/>
      </w:r>
      <w:r>
        <w:rPr>
          <w:rtl/>
        </w:rPr>
        <w:t xml:space="preserve"> </w:t>
      </w:r>
      <w:r w:rsidRPr="00BA671E">
        <w:rPr>
          <w:rFonts w:cs="Arial"/>
          <w:rtl/>
        </w:rPr>
        <w:t>דין זה יותר תמוה שאם הב"ח מאוחר ותפס מעות מוציאין מידו אף שדינו במעות ונותנין ליד האשה המוקדמת שדינה בקרקע ודבר זה אין לו שחר</w:t>
      </w:r>
      <w:r>
        <w:rPr>
          <w:rFonts w:cs="Arial" w:hint="cs"/>
          <w:rtl/>
        </w:rPr>
        <w:t>, ח"מ (סקי"ד).</w:t>
      </w:r>
      <w:r>
        <w:rPr>
          <w:rFonts w:hint="cs"/>
          <w:rtl/>
        </w:rPr>
        <w:t xml:space="preserve"> וגם הגר"א (סקי"ז) תמה על דין זה.</w:t>
      </w:r>
    </w:p>
  </w:footnote>
  <w:footnote w:id="2147">
    <w:p w14:paraId="28CA2DE8" w14:textId="4A188C13" w:rsidR="00392DBB" w:rsidRDefault="00392DBB" w:rsidP="00392DBB">
      <w:pPr>
        <w:pStyle w:val="a5"/>
      </w:pPr>
      <w:r>
        <w:rPr>
          <w:rStyle w:val="a7"/>
        </w:rPr>
        <w:footnoteRef/>
      </w:r>
      <w:r>
        <w:rPr>
          <w:rtl/>
        </w:rPr>
        <w:t xml:space="preserve"> </w:t>
      </w:r>
      <w:r w:rsidRPr="00102E9F">
        <w:rPr>
          <w:rFonts w:cs="Arial"/>
          <w:rtl/>
        </w:rPr>
        <w:t>כבר כתבתי שמלשון זה משמע דלכל דבר היא כב"ח ואם יש כאן מעות וקרקע נוטלת חלק במעות כשאר ב"ח ולא כדעת רש"י</w:t>
      </w:r>
      <w:r w:rsidR="00CC57A4">
        <w:rPr>
          <w:rFonts w:cs="Arial" w:hint="cs"/>
          <w:rtl/>
        </w:rPr>
        <w:t>,</w:t>
      </w:r>
      <w:r w:rsidRPr="00102E9F">
        <w:rPr>
          <w:rFonts w:cs="Arial"/>
          <w:rtl/>
        </w:rPr>
        <w:t xml:space="preserve"> וכ"כ הכ"מ</w:t>
      </w:r>
      <w:r w:rsidR="00CC57A4">
        <w:rPr>
          <w:rFonts w:cs="Arial" w:hint="cs"/>
          <w:rtl/>
        </w:rPr>
        <w:t>.</w:t>
      </w:r>
      <w:r w:rsidRPr="00102E9F">
        <w:rPr>
          <w:rFonts w:cs="Arial"/>
          <w:rtl/>
        </w:rPr>
        <w:t xml:space="preserve"> ודלא כאשר סתם הרב בהג"ה לעיל כדעת רש"י דדין נדונייתא כדין הכתובה בזה</w:t>
      </w:r>
      <w:r w:rsidR="00CC57A4">
        <w:rPr>
          <w:rFonts w:cs="Arial" w:hint="cs"/>
          <w:rtl/>
        </w:rPr>
        <w:t>,</w:t>
      </w:r>
      <w:r w:rsidRPr="00102E9F">
        <w:rPr>
          <w:rFonts w:cs="Arial"/>
          <w:rtl/>
        </w:rPr>
        <w:t xml:space="preserve"> וכבר כתבתי בסקי"א שהר"ן העתיק לשון רש"י</w:t>
      </w:r>
      <w:r>
        <w:rPr>
          <w:rFonts w:cs="Arial" w:hint="cs"/>
          <w:rtl/>
        </w:rPr>
        <w:t>, ח"מ (סקט"ו).</w:t>
      </w:r>
    </w:p>
  </w:footnote>
  <w:footnote w:id="2148">
    <w:p w14:paraId="4DD8BC29" w14:textId="3F2B7F60" w:rsidR="00927771" w:rsidRDefault="00927771">
      <w:pPr>
        <w:pStyle w:val="a5"/>
      </w:pPr>
      <w:r>
        <w:rPr>
          <w:rStyle w:val="a7"/>
        </w:rPr>
        <w:footnoteRef/>
      </w:r>
      <w:r>
        <w:rPr>
          <w:rtl/>
        </w:rPr>
        <w:t xml:space="preserve"> </w:t>
      </w:r>
      <w:r>
        <w:rPr>
          <w:rFonts w:hint="cs"/>
          <w:rtl/>
        </w:rPr>
        <w:t>סימן - גובה מערב קבלן.</w:t>
      </w:r>
    </w:p>
  </w:footnote>
  <w:footnote w:id="2149">
    <w:p w14:paraId="6F4FE463" w14:textId="77777777" w:rsidR="00392DBB" w:rsidRDefault="00392DBB" w:rsidP="00392DBB">
      <w:pPr>
        <w:pStyle w:val="a5"/>
      </w:pPr>
      <w:r>
        <w:rPr>
          <w:rStyle w:val="a7"/>
        </w:rPr>
        <w:footnoteRef/>
      </w:r>
      <w:r>
        <w:rPr>
          <w:rtl/>
        </w:rPr>
        <w:t xml:space="preserve"> </w:t>
      </w:r>
      <w:r>
        <w:rPr>
          <w:rFonts w:cs="Arial"/>
          <w:rtl/>
        </w:rPr>
        <w:t>ופסקו הרי"ף (פא:) והרא"ש (סי' מד) כהאי תירוצא בתרא דאבא לגבי בריה שעבודי משעביד נפשיה</w:t>
      </w:r>
      <w:r>
        <w:rPr>
          <w:rFonts w:cs="Arial" w:hint="cs"/>
          <w:rtl/>
        </w:rPr>
        <w:t>.</w:t>
      </w:r>
      <w:r>
        <w:rPr>
          <w:rFonts w:cs="Arial"/>
          <w:rtl/>
        </w:rPr>
        <w:t xml:space="preserve"> וכן פסק הרמב"ם בפי"ז מהלכות אישות (ה"ט) ובפכ"ה מהלכות מלוה (ה"ו)</w:t>
      </w:r>
      <w:r>
        <w:rPr>
          <w:rFonts w:cs="Arial" w:hint="cs"/>
          <w:rtl/>
        </w:rPr>
        <w:t>, ב"י</w:t>
      </w:r>
    </w:p>
  </w:footnote>
  <w:footnote w:id="2150">
    <w:p w14:paraId="66F99243" w14:textId="77777777" w:rsidR="00392DBB" w:rsidRDefault="00392DBB" w:rsidP="00392DBB">
      <w:pPr>
        <w:pStyle w:val="a5"/>
      </w:pPr>
      <w:r>
        <w:rPr>
          <w:rStyle w:val="a7"/>
        </w:rPr>
        <w:footnoteRef/>
      </w:r>
      <w:r>
        <w:rPr>
          <w:rtl/>
        </w:rPr>
        <w:t xml:space="preserve"> </w:t>
      </w:r>
      <w:r w:rsidRPr="009521FA">
        <w:rPr>
          <w:rFonts w:cs="Arial"/>
          <w:rtl/>
        </w:rPr>
        <w:t>דלא גמר בלבו לשעבד נפשיה ואינו אלא פטומי מילי שירא להפסיד ואיכא למימר אמוראי פליגי בהא מילתא ושמעתייהו לא איתפרשו בגמ'</w:t>
      </w:r>
      <w:r>
        <w:rPr>
          <w:rFonts w:cs="Arial" w:hint="cs"/>
          <w:rtl/>
        </w:rPr>
        <w:t>, רשב"ם.</w:t>
      </w:r>
    </w:p>
  </w:footnote>
  <w:footnote w:id="2151">
    <w:p w14:paraId="0F6D0E8D" w14:textId="77777777" w:rsidR="00392DBB" w:rsidRDefault="00392DBB" w:rsidP="00392DBB">
      <w:pPr>
        <w:pStyle w:val="a5"/>
      </w:pPr>
      <w:r>
        <w:rPr>
          <w:rStyle w:val="a7"/>
        </w:rPr>
        <w:footnoteRef/>
      </w:r>
      <w:r>
        <w:rPr>
          <w:rtl/>
        </w:rPr>
        <w:t xml:space="preserve"> </w:t>
      </w:r>
      <w:r w:rsidRPr="009521FA">
        <w:rPr>
          <w:rFonts w:cs="Arial"/>
          <w:rtl/>
        </w:rPr>
        <w:t>אף על גב דלית ליה נכסי</w:t>
      </w:r>
      <w:r>
        <w:rPr>
          <w:rFonts w:cs="Arial" w:hint="cs"/>
          <w:rtl/>
        </w:rPr>
        <w:t>, רשב"ם.</w:t>
      </w:r>
    </w:p>
  </w:footnote>
  <w:footnote w:id="2152">
    <w:p w14:paraId="65D3F483" w14:textId="77777777" w:rsidR="00392DBB" w:rsidRDefault="00392DBB" w:rsidP="00392DBB">
      <w:pPr>
        <w:pStyle w:val="a5"/>
        <w:rPr>
          <w:rtl/>
        </w:rPr>
      </w:pPr>
      <w:r>
        <w:rPr>
          <w:rStyle w:val="a7"/>
        </w:rPr>
        <w:footnoteRef/>
      </w:r>
      <w:r>
        <w:rPr>
          <w:rtl/>
        </w:rPr>
        <w:t xml:space="preserve"> </w:t>
      </w:r>
      <w:r w:rsidRPr="00A16411">
        <w:rPr>
          <w:rFonts w:cs="Arial"/>
          <w:rtl/>
        </w:rPr>
        <w:t>המשדך בזיווגן אין דעתו לפרוע הערבות אבל מתכוין לזווגן שע"י ערבות זו מתרצין ולא מידי חסרה לאשה דהא טב למיתב טן דו ולטובתה נתכוין</w:t>
      </w:r>
      <w:r>
        <w:rPr>
          <w:rFonts w:hint="cs"/>
          <w:rtl/>
        </w:rPr>
        <w:t>, רשב"ם.</w:t>
      </w:r>
    </w:p>
  </w:footnote>
  <w:footnote w:id="2153">
    <w:p w14:paraId="0F5835C3" w14:textId="77777777" w:rsidR="00392DBB" w:rsidRDefault="00392DBB" w:rsidP="00392DBB">
      <w:pPr>
        <w:pStyle w:val="a5"/>
      </w:pPr>
      <w:r>
        <w:rPr>
          <w:rStyle w:val="a7"/>
        </w:rPr>
        <w:footnoteRef/>
      </w:r>
      <w:r>
        <w:rPr>
          <w:rtl/>
        </w:rPr>
        <w:t xml:space="preserve"> </w:t>
      </w:r>
      <w:r>
        <w:rPr>
          <w:rFonts w:cs="Arial"/>
          <w:rtl/>
        </w:rPr>
        <w:t>הראב"ד השיג על הרמב"ם במה שכתב דערב דכתובה אינו מתחייב אפילו בקנין שהראב"ד ז"ל סבור דכל שיש שם קנין נשתעבד</w:t>
      </w:r>
      <w:r>
        <w:rPr>
          <w:rFonts w:cs="Arial" w:hint="cs"/>
          <w:rtl/>
        </w:rPr>
        <w:t>.</w:t>
      </w:r>
      <w:r>
        <w:rPr>
          <w:rFonts w:cs="Arial"/>
          <w:rtl/>
        </w:rPr>
        <w:t xml:space="preserve"> ואני אומר דלדעת רבינו בפי"א מהל</w:t>
      </w:r>
      <w:r>
        <w:rPr>
          <w:rFonts w:cs="Arial" w:hint="cs"/>
          <w:rtl/>
        </w:rPr>
        <w:t>'</w:t>
      </w:r>
      <w:r>
        <w:rPr>
          <w:rFonts w:cs="Arial"/>
          <w:rtl/>
        </w:rPr>
        <w:t xml:space="preserve"> מכירה (הי"ג) שאסמכתא היא אפילו בקנין</w:t>
      </w:r>
      <w:r>
        <w:rPr>
          <w:rFonts w:cs="Arial" w:hint="cs"/>
          <w:rtl/>
        </w:rPr>
        <w:t>,</w:t>
      </w:r>
      <w:r>
        <w:rPr>
          <w:rFonts w:cs="Arial"/>
          <w:rtl/>
        </w:rPr>
        <w:t xml:space="preserve"> דינו בכאן מחוור</w:t>
      </w:r>
      <w:r>
        <w:rPr>
          <w:rFonts w:cs="Arial" w:hint="cs"/>
          <w:rtl/>
        </w:rPr>
        <w:t>.</w:t>
      </w:r>
      <w:r>
        <w:rPr>
          <w:rFonts w:cs="Arial"/>
          <w:rtl/>
        </w:rPr>
        <w:t xml:space="preserve"> שהרי ערב אסמכתא היא</w:t>
      </w:r>
      <w:r>
        <w:rPr>
          <w:rFonts w:cs="Arial" w:hint="cs"/>
          <w:rtl/>
        </w:rPr>
        <w:t>,</w:t>
      </w:r>
      <w:r>
        <w:rPr>
          <w:rFonts w:cs="Arial"/>
          <w:rtl/>
        </w:rPr>
        <w:t xml:space="preserve"> אלא דמשום דאית ליה הנאה דקא מהימני ליה</w:t>
      </w:r>
      <w:r>
        <w:rPr>
          <w:rFonts w:cs="Arial" w:hint="cs"/>
          <w:rtl/>
        </w:rPr>
        <w:t>,</w:t>
      </w:r>
      <w:r>
        <w:rPr>
          <w:rFonts w:cs="Arial"/>
          <w:rtl/>
        </w:rPr>
        <w:t xml:space="preserve"> גמר ומשעביד נפשיה</w:t>
      </w:r>
      <w:r>
        <w:rPr>
          <w:rFonts w:cs="Arial" w:hint="cs"/>
          <w:rtl/>
        </w:rPr>
        <w:t>,</w:t>
      </w:r>
      <w:r>
        <w:rPr>
          <w:rFonts w:cs="Arial"/>
          <w:rtl/>
        </w:rPr>
        <w:t xml:space="preserve"> כדאיתא בגמרא (ב"ב קעג:)</w:t>
      </w:r>
      <w:r>
        <w:rPr>
          <w:rFonts w:cs="Arial" w:hint="cs"/>
          <w:rtl/>
        </w:rPr>
        <w:t>.</w:t>
      </w:r>
      <w:r>
        <w:rPr>
          <w:rFonts w:cs="Arial"/>
          <w:rtl/>
        </w:rPr>
        <w:t xml:space="preserve"> ומשום הכי בכתובתה דלא מידי מחסר בהימנותיה לא גמר ומשעבד נפשיה</w:t>
      </w:r>
      <w:r>
        <w:rPr>
          <w:rFonts w:cs="Arial" w:hint="cs"/>
          <w:rtl/>
        </w:rPr>
        <w:t>,</w:t>
      </w:r>
      <w:r>
        <w:rPr>
          <w:rFonts w:cs="Arial"/>
          <w:rtl/>
        </w:rPr>
        <w:t xml:space="preserve"> וה"ל אסמכתא והיא אפילו בקנין</w:t>
      </w:r>
      <w:r>
        <w:rPr>
          <w:rFonts w:cs="Arial" w:hint="cs"/>
          <w:rtl/>
        </w:rPr>
        <w:t>.</w:t>
      </w:r>
      <w:r>
        <w:rPr>
          <w:rFonts w:cs="Arial"/>
          <w:rtl/>
        </w:rPr>
        <w:t xml:space="preserve"> וקצת נראה כן ממה שהקשו בכמה מקומות (שם קעד:, גיטין מט:) והא ערב דכתובה לא משתעבד</w:t>
      </w:r>
      <w:r>
        <w:rPr>
          <w:rFonts w:cs="Arial" w:hint="cs"/>
          <w:rtl/>
        </w:rPr>
        <w:t>,</w:t>
      </w:r>
      <w:r>
        <w:rPr>
          <w:rFonts w:cs="Arial"/>
          <w:rtl/>
        </w:rPr>
        <w:t xml:space="preserve"> ותרצו בקבלן</w:t>
      </w:r>
      <w:r>
        <w:rPr>
          <w:rFonts w:cs="Arial" w:hint="cs"/>
          <w:rtl/>
        </w:rPr>
        <w:t>,</w:t>
      </w:r>
      <w:r>
        <w:rPr>
          <w:rFonts w:cs="Arial"/>
          <w:rtl/>
        </w:rPr>
        <w:t xml:space="preserve"> ולא תרצו בשקנו מידו</w:t>
      </w:r>
      <w:r>
        <w:rPr>
          <w:rFonts w:cs="Arial" w:hint="cs"/>
          <w:rtl/>
        </w:rPr>
        <w:t>,</w:t>
      </w:r>
      <w:r>
        <w:rPr>
          <w:rFonts w:cs="Arial"/>
          <w:rtl/>
        </w:rPr>
        <w:t xml:space="preserve"> שמע מינה שאין קנין מועיל</w:t>
      </w:r>
      <w:r>
        <w:rPr>
          <w:rFonts w:cs="Arial" w:hint="cs"/>
          <w:rtl/>
        </w:rPr>
        <w:t>.</w:t>
      </w:r>
      <w:r>
        <w:rPr>
          <w:rFonts w:cs="Arial"/>
          <w:rtl/>
        </w:rPr>
        <w:t xml:space="preserve"> זה נראה לי בדעת רבינו</w:t>
      </w:r>
      <w:r>
        <w:rPr>
          <w:rFonts w:cs="Arial" w:hint="cs"/>
          <w:rtl/>
        </w:rPr>
        <w:t>, הה"מ (שם, ושם).</w:t>
      </w:r>
    </w:p>
  </w:footnote>
  <w:footnote w:id="2154">
    <w:p w14:paraId="46132A18" w14:textId="5DAA5A5E" w:rsidR="00392DBB" w:rsidRDefault="00392DBB" w:rsidP="00392DBB">
      <w:pPr>
        <w:pStyle w:val="a5"/>
      </w:pPr>
      <w:r>
        <w:rPr>
          <w:rStyle w:val="a7"/>
        </w:rPr>
        <w:footnoteRef/>
      </w:r>
      <w:r>
        <w:rPr>
          <w:rtl/>
        </w:rPr>
        <w:t xml:space="preserve"> </w:t>
      </w:r>
      <w:r>
        <w:rPr>
          <w:rFonts w:cs="Arial"/>
          <w:rtl/>
        </w:rPr>
        <w:t>דעת הר"א ז"ל לומר דכל שיש קנין מועיל</w:t>
      </w:r>
      <w:r w:rsidR="006F2C99">
        <w:rPr>
          <w:rFonts w:cs="Arial" w:hint="cs"/>
          <w:rtl/>
        </w:rPr>
        <w:t>,</w:t>
      </w:r>
      <w:r>
        <w:rPr>
          <w:rFonts w:cs="Arial"/>
          <w:rtl/>
        </w:rPr>
        <w:t xml:space="preserve"> או מפני שאין אסמכתא בקנין</w:t>
      </w:r>
      <w:r w:rsidR="006F2C99">
        <w:rPr>
          <w:rFonts w:cs="Arial" w:hint="cs"/>
          <w:rtl/>
        </w:rPr>
        <w:t>,</w:t>
      </w:r>
      <w:r>
        <w:rPr>
          <w:rFonts w:cs="Arial"/>
          <w:rtl/>
        </w:rPr>
        <w:t xml:space="preserve"> או משום דלא גרע מערב דלאחר מתן מעות שאע</w:t>
      </w:r>
      <w:r w:rsidR="006F2C99">
        <w:rPr>
          <w:rFonts w:cs="Arial" w:hint="cs"/>
          <w:rtl/>
        </w:rPr>
        <w:t>"</w:t>
      </w:r>
      <w:r>
        <w:rPr>
          <w:rFonts w:cs="Arial"/>
          <w:rtl/>
        </w:rPr>
        <w:t>פ שלא על אמונתו הלוהו כשקנו מידו חל הערבות. ויש לדחות טעם זה דשאני התם דמכל מקום היתה שם הלואה וחסרון כיס למלוה מעיקרא</w:t>
      </w:r>
      <w:r>
        <w:rPr>
          <w:rFonts w:cs="Arial" w:hint="cs"/>
          <w:rtl/>
        </w:rPr>
        <w:t>.</w:t>
      </w:r>
      <w:r>
        <w:rPr>
          <w:rFonts w:cs="Arial"/>
          <w:rtl/>
        </w:rPr>
        <w:t xml:space="preserve"> ודעת קצת הגאונים כדעת רבינו</w:t>
      </w:r>
      <w:r w:rsidR="006A4B54">
        <w:rPr>
          <w:rFonts w:cs="Arial" w:hint="cs"/>
          <w:rtl/>
        </w:rPr>
        <w:t>.</w:t>
      </w:r>
      <w:r>
        <w:rPr>
          <w:rFonts w:cs="Arial"/>
          <w:rtl/>
        </w:rPr>
        <w:t xml:space="preserve"> ודעת בהעי</w:t>
      </w:r>
      <w:r>
        <w:rPr>
          <w:rFonts w:cs="Arial" w:hint="cs"/>
          <w:rtl/>
        </w:rPr>
        <w:t>"</w:t>
      </w:r>
      <w:r>
        <w:rPr>
          <w:rFonts w:cs="Arial"/>
          <w:rtl/>
        </w:rPr>
        <w:t>ט (אות א ערב יב ע"א בח"א) כדברי הר"א ז"ל</w:t>
      </w:r>
      <w:r>
        <w:rPr>
          <w:rFonts w:cs="Arial" w:hint="cs"/>
          <w:rtl/>
        </w:rPr>
        <w:t>, הה"מ (שם, ושם).</w:t>
      </w:r>
    </w:p>
  </w:footnote>
  <w:footnote w:id="2155">
    <w:p w14:paraId="6842B3A8" w14:textId="3EBA7AE9"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1F3F89">
        <w:rPr>
          <w:rFonts w:cs="Arial"/>
          <w:rtl/>
        </w:rPr>
        <w:t>בד"א בערב דעלמא</w:t>
      </w:r>
      <w:r>
        <w:rPr>
          <w:rFonts w:cs="Arial" w:hint="cs"/>
          <w:rtl/>
        </w:rPr>
        <w:t>,</w:t>
      </w:r>
      <w:r w:rsidRPr="001F3F89">
        <w:rPr>
          <w:rFonts w:cs="Arial"/>
          <w:rtl/>
        </w:rPr>
        <w:t xml:space="preserve"> אבל בקבלן שאמר לה הנשאי לזה ואני קבלן או אני אתן לך</w:t>
      </w:r>
      <w:r>
        <w:rPr>
          <w:rFonts w:cs="Arial" w:hint="cs"/>
          <w:rtl/>
        </w:rPr>
        <w:t xml:space="preserve"> -</w:t>
      </w:r>
      <w:r w:rsidRPr="001F3F89">
        <w:rPr>
          <w:rFonts w:cs="Arial"/>
          <w:rtl/>
        </w:rPr>
        <w:t xml:space="preserve"> משתעבד</w:t>
      </w:r>
      <w:r>
        <w:rPr>
          <w:rFonts w:cs="Arial" w:hint="cs"/>
          <w:rtl/>
        </w:rPr>
        <w:t>...</w:t>
      </w:r>
      <w:r w:rsidRPr="001F3F89">
        <w:rPr>
          <w:rFonts w:cs="Arial"/>
          <w:rtl/>
        </w:rPr>
        <w:t xml:space="preserve"> אפילו בלא קנין</w:t>
      </w:r>
      <w:r>
        <w:rPr>
          <w:rFonts w:cs="Arial" w:hint="cs"/>
          <w:rtl/>
        </w:rPr>
        <w:t>.</w:t>
      </w:r>
      <w:r>
        <w:rPr>
          <w:rFonts w:hint="cs"/>
          <w:rtl/>
        </w:rPr>
        <w:t xml:space="preserve"> עכ"ל. וכתב הב"י דדברי הטור הם </w:t>
      </w:r>
      <w:r>
        <w:rPr>
          <w:rFonts w:cs="Arial"/>
          <w:rtl/>
        </w:rPr>
        <w:t>על פי מה שכתב בח</w:t>
      </w:r>
      <w:r>
        <w:rPr>
          <w:rFonts w:cs="Arial" w:hint="cs"/>
          <w:rtl/>
        </w:rPr>
        <w:t>ו</w:t>
      </w:r>
      <w:r>
        <w:rPr>
          <w:rFonts w:cs="Arial"/>
          <w:rtl/>
        </w:rPr>
        <w:t>"מ סימן קכ"ט לדעת הרא"ש</w:t>
      </w:r>
      <w:r>
        <w:rPr>
          <w:rFonts w:cs="Arial" w:hint="cs"/>
          <w:rtl/>
        </w:rPr>
        <w:t>.</w:t>
      </w:r>
      <w:r>
        <w:rPr>
          <w:rFonts w:cs="Arial"/>
          <w:rtl/>
        </w:rPr>
        <w:t xml:space="preserve"> וכבר כתב שם שדעת בעל התרומות שאינו אלא ערב</w:t>
      </w:r>
      <w:r>
        <w:rPr>
          <w:rFonts w:cs="Arial" w:hint="cs"/>
          <w:rtl/>
        </w:rPr>
        <w:t>,</w:t>
      </w:r>
      <w:r>
        <w:rPr>
          <w:rFonts w:cs="Arial"/>
          <w:rtl/>
        </w:rPr>
        <w:t xml:space="preserve"> וכאן סתם דבריו כדעת הרא"ש</w:t>
      </w:r>
      <w:r>
        <w:rPr>
          <w:rFonts w:cs="Arial" w:hint="cs"/>
          <w:rtl/>
        </w:rPr>
        <w:t>.</w:t>
      </w:r>
    </w:p>
  </w:footnote>
  <w:footnote w:id="2156">
    <w:p w14:paraId="61F3252C" w14:textId="77777777" w:rsidR="00392DBB" w:rsidRDefault="00392DBB" w:rsidP="00392DBB">
      <w:pPr>
        <w:pStyle w:val="a5"/>
      </w:pPr>
      <w:r>
        <w:rPr>
          <w:rStyle w:val="a7"/>
        </w:rPr>
        <w:footnoteRef/>
      </w:r>
      <w:r>
        <w:rPr>
          <w:rtl/>
        </w:rPr>
        <w:t xml:space="preserve"> </w:t>
      </w:r>
      <w:r w:rsidRPr="00247D4E">
        <w:rPr>
          <w:rFonts w:cs="Arial"/>
          <w:rtl/>
        </w:rPr>
        <w:t>והכי מסתבר דהוי כמו ערב בשעת מתן מעות דלא בעי קנין</w:t>
      </w:r>
      <w:r>
        <w:rPr>
          <w:rFonts w:cs="Arial" w:hint="cs"/>
          <w:rtl/>
        </w:rPr>
        <w:t>, טור.</w:t>
      </w:r>
    </w:p>
  </w:footnote>
  <w:footnote w:id="2157">
    <w:p w14:paraId="47E5ED77" w14:textId="202567DB" w:rsidR="00392DBB" w:rsidRDefault="00392DBB" w:rsidP="00392DBB">
      <w:pPr>
        <w:pStyle w:val="a5"/>
      </w:pPr>
      <w:r>
        <w:rPr>
          <w:rStyle w:val="a7"/>
        </w:rPr>
        <w:footnoteRef/>
      </w:r>
      <w:r>
        <w:rPr>
          <w:rtl/>
        </w:rPr>
        <w:t xml:space="preserve"> </w:t>
      </w:r>
      <w:r>
        <w:rPr>
          <w:rFonts w:cs="Arial"/>
          <w:rtl/>
        </w:rPr>
        <w:t>וכתב הה</w:t>
      </w:r>
      <w:r>
        <w:rPr>
          <w:rFonts w:cs="Arial" w:hint="cs"/>
          <w:rtl/>
        </w:rPr>
        <w:t>"</w:t>
      </w:r>
      <w:r>
        <w:rPr>
          <w:rFonts w:cs="Arial"/>
          <w:rtl/>
        </w:rPr>
        <w:t>מ</w:t>
      </w:r>
      <w:r>
        <w:rPr>
          <w:rFonts w:cs="Arial" w:hint="cs"/>
          <w:rtl/>
        </w:rPr>
        <w:t xml:space="preserve"> </w:t>
      </w:r>
      <w:r w:rsidRPr="00D50519">
        <w:rPr>
          <w:rFonts w:cs="Arial" w:hint="cs"/>
          <w:sz w:val="16"/>
          <w:szCs w:val="16"/>
          <w:rtl/>
        </w:rPr>
        <w:t>(פי"ז מאישות ה"ט)</w:t>
      </w:r>
      <w:r w:rsidR="006F2C99">
        <w:rPr>
          <w:rFonts w:cs="Arial" w:hint="cs"/>
          <w:rtl/>
        </w:rPr>
        <w:t>:</w:t>
      </w:r>
      <w:r>
        <w:rPr>
          <w:rFonts w:cs="Arial"/>
          <w:rtl/>
        </w:rPr>
        <w:t xml:space="preserve"> כבר כתבתי </w:t>
      </w:r>
      <w:r>
        <w:rPr>
          <w:rFonts w:cs="Arial" w:hint="cs"/>
          <w:rtl/>
        </w:rPr>
        <w:t xml:space="preserve">שם </w:t>
      </w:r>
      <w:r w:rsidRPr="00D50519">
        <w:rPr>
          <w:rFonts w:cs="Arial" w:hint="cs"/>
          <w:sz w:val="16"/>
          <w:szCs w:val="16"/>
          <w:rtl/>
        </w:rPr>
        <w:t>(</w:t>
      </w:r>
      <w:r w:rsidRPr="00D50519">
        <w:rPr>
          <w:rFonts w:cs="Arial"/>
          <w:sz w:val="16"/>
          <w:szCs w:val="16"/>
          <w:rtl/>
        </w:rPr>
        <w:t xml:space="preserve">פכ"ה ממלוה ה"ו) </w:t>
      </w:r>
      <w:r>
        <w:rPr>
          <w:rFonts w:cs="Arial"/>
          <w:rtl/>
        </w:rPr>
        <w:t xml:space="preserve">שיש מי שאומר דבכתובה דלא שייך בה </w:t>
      </w:r>
      <w:r>
        <w:rPr>
          <w:rFonts w:cs="Arial" w:hint="cs"/>
          <w:rtl/>
        </w:rPr>
        <w:t>'</w:t>
      </w:r>
      <w:r>
        <w:rPr>
          <w:rFonts w:cs="Arial"/>
          <w:rtl/>
        </w:rPr>
        <w:t>תן לו</w:t>
      </w:r>
      <w:r>
        <w:rPr>
          <w:rFonts w:cs="Arial" w:hint="cs"/>
          <w:rtl/>
        </w:rPr>
        <w:t>',</w:t>
      </w:r>
      <w:r>
        <w:rPr>
          <w:rFonts w:cs="Arial"/>
          <w:rtl/>
        </w:rPr>
        <w:t xml:space="preserve"> שהרי אינה נותנת כלום</w:t>
      </w:r>
      <w:r>
        <w:rPr>
          <w:rFonts w:cs="Arial" w:hint="cs"/>
          <w:rtl/>
        </w:rPr>
        <w:t>,</w:t>
      </w:r>
      <w:r>
        <w:rPr>
          <w:rFonts w:cs="Arial"/>
          <w:rtl/>
        </w:rPr>
        <w:t xml:space="preserve"> שצריך שיתן לה הבעל כסף כתובתה ויאמר לה</w:t>
      </w:r>
      <w:r>
        <w:rPr>
          <w:rFonts w:cs="Arial" w:hint="cs"/>
          <w:sz w:val="16"/>
          <w:szCs w:val="16"/>
          <w:rtl/>
        </w:rPr>
        <w:t xml:space="preserve"> {הערב קבלן}</w:t>
      </w:r>
      <w:r>
        <w:rPr>
          <w:rFonts w:cs="Arial" w:hint="cs"/>
          <w:rtl/>
        </w:rPr>
        <w:t xml:space="preserve"> -</w:t>
      </w:r>
      <w:r>
        <w:rPr>
          <w:rFonts w:cs="Arial"/>
          <w:rtl/>
        </w:rPr>
        <w:t xml:space="preserve"> </w:t>
      </w:r>
      <w:r>
        <w:rPr>
          <w:rFonts w:cs="Arial" w:hint="cs"/>
          <w:rtl/>
        </w:rPr>
        <w:t>'</w:t>
      </w:r>
      <w:r>
        <w:rPr>
          <w:rFonts w:cs="Arial"/>
          <w:rtl/>
        </w:rPr>
        <w:t>תני לו</w:t>
      </w:r>
      <w:r>
        <w:rPr>
          <w:rFonts w:cs="Arial" w:hint="cs"/>
          <w:sz w:val="16"/>
          <w:szCs w:val="16"/>
          <w:rtl/>
        </w:rPr>
        <w:t xml:space="preserve"> {את הכסף חזרה}</w:t>
      </w:r>
      <w:r>
        <w:rPr>
          <w:rFonts w:cs="Arial"/>
          <w:rtl/>
        </w:rPr>
        <w:t xml:space="preserve"> ואני קבלן</w:t>
      </w:r>
      <w:r>
        <w:rPr>
          <w:rFonts w:cs="Arial" w:hint="cs"/>
          <w:rtl/>
        </w:rPr>
        <w:t>'.</w:t>
      </w:r>
      <w:r>
        <w:rPr>
          <w:rFonts w:cs="Arial"/>
          <w:rtl/>
        </w:rPr>
        <w:t xml:space="preserve"> ואין כן דעת רבינו</w:t>
      </w:r>
      <w:r>
        <w:rPr>
          <w:rFonts w:cs="Arial" w:hint="cs"/>
          <w:rtl/>
        </w:rPr>
        <w:t>,</w:t>
      </w:r>
      <w:r>
        <w:rPr>
          <w:rFonts w:cs="Arial"/>
          <w:rtl/>
        </w:rPr>
        <w:t xml:space="preserve"> אלא כל שאמר </w:t>
      </w:r>
      <w:r>
        <w:rPr>
          <w:rFonts w:cs="Arial" w:hint="cs"/>
          <w:rtl/>
        </w:rPr>
        <w:t>'</w:t>
      </w:r>
      <w:r>
        <w:rPr>
          <w:rFonts w:cs="Arial"/>
          <w:rtl/>
        </w:rPr>
        <w:t>הנשאי לו ואני נותן</w:t>
      </w:r>
      <w:r>
        <w:rPr>
          <w:rFonts w:cs="Arial" w:hint="cs"/>
          <w:rtl/>
        </w:rPr>
        <w:t>'</w:t>
      </w:r>
      <w:r>
        <w:rPr>
          <w:rFonts w:cs="Arial"/>
          <w:rtl/>
        </w:rPr>
        <w:t xml:space="preserve"> הרי זה כאומר בעלמא </w:t>
      </w:r>
      <w:r>
        <w:rPr>
          <w:rFonts w:cs="Arial" w:hint="cs"/>
          <w:rtl/>
        </w:rPr>
        <w:t>'</w:t>
      </w:r>
      <w:r>
        <w:rPr>
          <w:rFonts w:cs="Arial"/>
          <w:rtl/>
        </w:rPr>
        <w:t>תן לו ואני נותן</w:t>
      </w:r>
      <w:r>
        <w:rPr>
          <w:rFonts w:cs="Arial" w:hint="cs"/>
          <w:rtl/>
        </w:rPr>
        <w:t>'.</w:t>
      </w:r>
      <w:r>
        <w:rPr>
          <w:rFonts w:cs="Arial"/>
          <w:rtl/>
        </w:rPr>
        <w:t xml:space="preserve"> וזה דעת הרמב"ן ז"ל </w:t>
      </w:r>
      <w:r w:rsidRPr="00D50519">
        <w:rPr>
          <w:rFonts w:cs="Arial"/>
          <w:sz w:val="16"/>
          <w:szCs w:val="16"/>
          <w:rtl/>
        </w:rPr>
        <w:t>(גיטין מט: ד"ה אי)</w:t>
      </w:r>
      <w:r>
        <w:rPr>
          <w:rFonts w:cs="Arial" w:hint="cs"/>
          <w:rtl/>
        </w:rPr>
        <w:t>.</w:t>
      </w:r>
      <w:r>
        <w:rPr>
          <w:rFonts w:cs="Arial"/>
          <w:rtl/>
        </w:rPr>
        <w:t xml:space="preserve"> ועיקר</w:t>
      </w:r>
      <w:r>
        <w:rPr>
          <w:rFonts w:cs="Arial" w:hint="cs"/>
          <w:rtl/>
        </w:rPr>
        <w:t>.</w:t>
      </w:r>
      <w:r>
        <w:rPr>
          <w:rFonts w:cs="Arial"/>
          <w:rtl/>
        </w:rPr>
        <w:t xml:space="preserve"> עכ"ל</w:t>
      </w:r>
      <w:r>
        <w:rPr>
          <w:rFonts w:cs="Arial" w:hint="cs"/>
          <w:rtl/>
        </w:rPr>
        <w:t>, ב"י.</w:t>
      </w:r>
    </w:p>
  </w:footnote>
  <w:footnote w:id="2158">
    <w:p w14:paraId="07452805" w14:textId="065515FB"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7F5A29">
        <w:rPr>
          <w:rFonts w:cs="Arial"/>
          <w:rtl/>
        </w:rPr>
        <w:t xml:space="preserve">ואיכא מרבואתא דאמרי דדוקא כתובה דאיכא תרי טעמי, מצוה ולאו מידי חסרה, אבל אם הוא ערב בקנין גמור מחמיו או מן האשה להכניס לחתן נדונית האשה </w:t>
      </w:r>
      <w:r>
        <w:rPr>
          <w:rFonts w:cs="Arial" w:hint="cs"/>
          <w:rtl/>
        </w:rPr>
        <w:t xml:space="preserve">- </w:t>
      </w:r>
      <w:r w:rsidRPr="007F5A29">
        <w:rPr>
          <w:rFonts w:cs="Arial"/>
          <w:rtl/>
        </w:rPr>
        <w:t>משתעבד, דהא חסרה, שהרי כנגד השום הוא מוסיף חומש, והוא מתחייב לאשתו בכמה דברים שהבעל מתחייב לה. מיהו אם קודם שנשאה חזר ואמר לו אל תתחייב עצמך אצלה בשביל ערבותי, כי חוזרני בי, מיד נפטר הערב</w:t>
      </w:r>
      <w:r>
        <w:rPr>
          <w:rFonts w:cs="Arial" w:hint="cs"/>
          <w:rtl/>
        </w:rPr>
        <w:t>.</w:t>
      </w:r>
    </w:p>
  </w:footnote>
  <w:footnote w:id="2159">
    <w:p w14:paraId="5CE1DD6F" w14:textId="5BCADE85" w:rsidR="006F2C99" w:rsidRDefault="006F2C99" w:rsidP="006F2C99">
      <w:pPr>
        <w:pStyle w:val="a5"/>
        <w:rPr>
          <w:rtl/>
        </w:rPr>
      </w:pPr>
      <w:r>
        <w:rPr>
          <w:rStyle w:val="a7"/>
        </w:rPr>
        <w:footnoteRef/>
      </w:r>
      <w:r>
        <w:rPr>
          <w:rtl/>
        </w:rPr>
        <w:t xml:space="preserve"> </w:t>
      </w:r>
      <w:r>
        <w:rPr>
          <w:rFonts w:hint="cs"/>
          <w:rtl/>
        </w:rPr>
        <w:t>וז</w:t>
      </w:r>
      <w:r>
        <w:rPr>
          <w:rtl/>
        </w:rPr>
        <w:t>"</w:t>
      </w:r>
      <w:r>
        <w:rPr>
          <w:rFonts w:hint="cs"/>
          <w:rtl/>
        </w:rPr>
        <w:t xml:space="preserve">ל הנמוק"י בשמו: </w:t>
      </w:r>
      <w:r w:rsidRPr="00DC0E8B">
        <w:rPr>
          <w:rFonts w:cs="Arial"/>
          <w:rtl/>
        </w:rPr>
        <w:t>אמר המחבר מצוה עבד ולא מידי חסריה. פירש מורי ז"ל בשם רבותיו ז"ל וכן בתוספות</w:t>
      </w:r>
      <w:r w:rsidRPr="00DC0E8B">
        <w:rPr>
          <w:rtl/>
        </w:rPr>
        <w:t xml:space="preserve"> </w:t>
      </w:r>
      <w:r w:rsidRPr="00DC0E8B">
        <w:rPr>
          <w:rFonts w:cs="Arial"/>
          <w:rtl/>
        </w:rPr>
        <w:t>דתרוייהו בעי' להו ולאפוקי ערבות דנדוניא שהביא דהא חסריה</w:t>
      </w:r>
      <w:r>
        <w:rPr>
          <w:rFonts w:cs="Arial" w:hint="cs"/>
          <w:rtl/>
        </w:rPr>
        <w:t>,</w:t>
      </w:r>
      <w:r w:rsidRPr="00DC0E8B">
        <w:rPr>
          <w:rFonts w:cs="Arial"/>
          <w:rtl/>
        </w:rPr>
        <w:t xml:space="preserve"> ולאפוקי המתחייב לחבירו ונכנס זה ערב דלא עביד מצוה דמשתעבד אף על גב דלא חסריה. וכולהו אם קנו מידו משתעבד. הריטב"א ז"ל</w:t>
      </w:r>
      <w:r>
        <w:rPr>
          <w:rFonts w:hint="cs"/>
          <w:rtl/>
        </w:rPr>
        <w:t>.</w:t>
      </w:r>
    </w:p>
  </w:footnote>
  <w:footnote w:id="2160">
    <w:p w14:paraId="711DED83" w14:textId="77777777" w:rsidR="006F2C99" w:rsidRDefault="006F2C99" w:rsidP="006F2C99">
      <w:pPr>
        <w:pStyle w:val="a5"/>
        <w:rPr>
          <w:rtl/>
        </w:rPr>
      </w:pPr>
      <w:r>
        <w:rPr>
          <w:rStyle w:val="a7"/>
        </w:rPr>
        <w:footnoteRef/>
      </w:r>
      <w:r>
        <w:rPr>
          <w:rtl/>
        </w:rPr>
        <w:t xml:space="preserve"> </w:t>
      </w:r>
      <w:r>
        <w:rPr>
          <w:rFonts w:hint="cs"/>
          <w:rtl/>
        </w:rPr>
        <w:t xml:space="preserve">בעל התרומות </w:t>
      </w:r>
      <w:r w:rsidRPr="007F5A29">
        <w:rPr>
          <w:rFonts w:hint="cs"/>
          <w:sz w:val="16"/>
          <w:szCs w:val="16"/>
          <w:rtl/>
        </w:rPr>
        <w:t xml:space="preserve">(שער לה ח"א ד"ה </w:t>
      </w:r>
      <w:r w:rsidRPr="007F5A29">
        <w:rPr>
          <w:rFonts w:cs="Arial"/>
          <w:sz w:val="16"/>
          <w:szCs w:val="16"/>
          <w:rtl/>
        </w:rPr>
        <w:t>ואיכא</w:t>
      </w:r>
      <w:r w:rsidRPr="007F5A29">
        <w:rPr>
          <w:rFonts w:cs="Arial" w:hint="cs"/>
          <w:sz w:val="16"/>
          <w:szCs w:val="16"/>
          <w:rtl/>
        </w:rPr>
        <w:t>)</w:t>
      </w:r>
      <w:r>
        <w:rPr>
          <w:rFonts w:cs="Arial" w:hint="cs"/>
          <w:rtl/>
        </w:rPr>
        <w:t xml:space="preserve"> רא"ם ורבותיו</w:t>
      </w:r>
      <w:r>
        <w:rPr>
          <w:rFonts w:cs="Arial" w:hint="cs"/>
          <w:sz w:val="16"/>
          <w:szCs w:val="16"/>
          <w:rtl/>
        </w:rPr>
        <w:t xml:space="preserve"> (כ"כ המרדכי [שם] בשמם)</w:t>
      </w:r>
      <w:r>
        <w:rPr>
          <w:rFonts w:cs="Arial" w:hint="cs"/>
          <w:rtl/>
        </w:rPr>
        <w:t xml:space="preserve"> ריטב"א </w:t>
      </w:r>
      <w:r w:rsidRPr="00282A8B">
        <w:rPr>
          <w:rFonts w:cs="Arial"/>
          <w:sz w:val="16"/>
          <w:szCs w:val="16"/>
          <w:rtl/>
        </w:rPr>
        <w:t>(ב"ב קעד: ד"ה מאי)</w:t>
      </w:r>
      <w:r>
        <w:rPr>
          <w:rFonts w:cs="Arial" w:hint="cs"/>
          <w:rtl/>
        </w:rPr>
        <w:t xml:space="preserve"> הה"מ </w:t>
      </w:r>
      <w:r>
        <w:rPr>
          <w:rFonts w:cs="Arial" w:hint="cs"/>
          <w:sz w:val="16"/>
          <w:szCs w:val="16"/>
          <w:rtl/>
        </w:rPr>
        <w:t>(שם, ושם)</w:t>
      </w:r>
      <w:r w:rsidRPr="00ED06B8">
        <w:rPr>
          <w:rFonts w:cs="Arial" w:hint="cs"/>
          <w:rtl/>
        </w:rPr>
        <w:t xml:space="preserve"> </w:t>
      </w:r>
      <w:r>
        <w:rPr>
          <w:rFonts w:cs="Arial" w:hint="cs"/>
          <w:rtl/>
        </w:rPr>
        <w:t xml:space="preserve">רי"ו </w:t>
      </w:r>
      <w:r w:rsidRPr="00282A8B">
        <w:rPr>
          <w:rFonts w:cs="Arial"/>
          <w:sz w:val="16"/>
          <w:szCs w:val="16"/>
          <w:rtl/>
        </w:rPr>
        <w:t>(מישרים נכ"ג ח"ג נו ע"ב)</w:t>
      </w:r>
      <w:r>
        <w:rPr>
          <w:rFonts w:cs="Arial" w:hint="cs"/>
          <w:sz w:val="14"/>
          <w:szCs w:val="14"/>
          <w:rtl/>
        </w:rPr>
        <w:t xml:space="preserve"> </w:t>
      </w:r>
      <w:r>
        <w:rPr>
          <w:rFonts w:cs="Arial" w:hint="cs"/>
          <w:rtl/>
        </w:rPr>
        <w:t xml:space="preserve">ונמוק"י </w:t>
      </w:r>
      <w:r>
        <w:rPr>
          <w:rFonts w:cs="Arial" w:hint="cs"/>
          <w:sz w:val="16"/>
          <w:szCs w:val="16"/>
          <w:rtl/>
        </w:rPr>
        <w:t>(פא: דיבור אחרון [אמר המחבר])</w:t>
      </w:r>
      <w:r>
        <w:rPr>
          <w:rFonts w:hint="cs"/>
          <w:rtl/>
        </w:rPr>
        <w:t>.</w:t>
      </w:r>
    </w:p>
  </w:footnote>
  <w:footnote w:id="2161">
    <w:p w14:paraId="26E50310" w14:textId="77777777" w:rsidR="00392DBB" w:rsidRDefault="00392DBB" w:rsidP="00392DBB">
      <w:pPr>
        <w:pStyle w:val="a5"/>
      </w:pPr>
      <w:r>
        <w:rPr>
          <w:rStyle w:val="a7"/>
        </w:rPr>
        <w:footnoteRef/>
      </w:r>
      <w:r>
        <w:rPr>
          <w:rtl/>
        </w:rPr>
        <w:t xml:space="preserve"> </w:t>
      </w:r>
      <w:r>
        <w:rPr>
          <w:rFonts w:cs="Arial" w:hint="cs"/>
          <w:rtl/>
        </w:rPr>
        <w:t>ש</w:t>
      </w:r>
      <w:r w:rsidRPr="00C86DD5">
        <w:rPr>
          <w:rFonts w:cs="Arial"/>
          <w:rtl/>
        </w:rPr>
        <w:t>שם</w:t>
      </w:r>
      <w:r>
        <w:rPr>
          <w:rFonts w:cs="Arial" w:hint="cs"/>
          <w:rtl/>
        </w:rPr>
        <w:t xml:space="preserve"> כתב בשם</w:t>
      </w:r>
      <w:r w:rsidRPr="00C86DD5">
        <w:rPr>
          <w:rFonts w:cs="Arial"/>
          <w:rtl/>
        </w:rPr>
        <w:t xml:space="preserve"> ר' יואל וראב"ן שעשו מעשה בזה ופטרו הער</w:t>
      </w:r>
      <w:r>
        <w:rPr>
          <w:rFonts w:cs="Arial" w:hint="cs"/>
          <w:rtl/>
        </w:rPr>
        <w:t>ב, דרכ"מ (אות ח).</w:t>
      </w:r>
    </w:p>
  </w:footnote>
  <w:footnote w:id="2162">
    <w:p w14:paraId="3AB34BC7" w14:textId="7A6AA5E0" w:rsidR="00392DBB" w:rsidRDefault="00392DBB" w:rsidP="00392DBB">
      <w:pPr>
        <w:pStyle w:val="a5"/>
      </w:pPr>
      <w:r>
        <w:rPr>
          <w:rStyle w:val="a7"/>
        </w:rPr>
        <w:footnoteRef/>
      </w:r>
      <w:r>
        <w:rPr>
          <w:rtl/>
        </w:rPr>
        <w:t xml:space="preserve"> </w:t>
      </w:r>
      <w:r w:rsidRPr="007F5A29">
        <w:rPr>
          <w:rFonts w:cs="Arial"/>
          <w:rtl/>
        </w:rPr>
        <w:t>ולכולי עלמא מיהא לא עדיף מערב דכתובה</w:t>
      </w:r>
      <w:r>
        <w:rPr>
          <w:rFonts w:cs="Arial" w:hint="cs"/>
          <w:rtl/>
        </w:rPr>
        <w:t>,</w:t>
      </w:r>
      <w:r w:rsidRPr="007F5A29">
        <w:rPr>
          <w:rFonts w:cs="Arial"/>
          <w:rtl/>
        </w:rPr>
        <w:t xml:space="preserve"> ובמקום דערב דכתובה משתעבד</w:t>
      </w:r>
      <w:r>
        <w:rPr>
          <w:rFonts w:cs="Arial" w:hint="cs"/>
          <w:rtl/>
        </w:rPr>
        <w:t>,</w:t>
      </w:r>
      <w:r w:rsidRPr="007F5A29">
        <w:rPr>
          <w:rFonts w:cs="Arial"/>
          <w:rtl/>
        </w:rPr>
        <w:t xml:space="preserve"> כגון בקנין או בערב קבלן</w:t>
      </w:r>
      <w:r>
        <w:rPr>
          <w:rFonts w:cs="Arial" w:hint="cs"/>
          <w:rtl/>
        </w:rPr>
        <w:t xml:space="preserve">, </w:t>
      </w:r>
      <w:r w:rsidRPr="007F5A29">
        <w:rPr>
          <w:rFonts w:cs="Arial"/>
          <w:rtl/>
        </w:rPr>
        <w:t>נדוניא נמי משתעבד</w:t>
      </w:r>
      <w:r>
        <w:rPr>
          <w:rFonts w:cs="Arial" w:hint="cs"/>
          <w:rtl/>
        </w:rPr>
        <w:t>.</w:t>
      </w:r>
      <w:r w:rsidRPr="007F5A29">
        <w:rPr>
          <w:rFonts w:cs="Arial"/>
          <w:rtl/>
        </w:rPr>
        <w:t xml:space="preserve"> וזה פשוט</w:t>
      </w:r>
      <w:r>
        <w:rPr>
          <w:rFonts w:cs="Arial" w:hint="cs"/>
          <w:rtl/>
        </w:rPr>
        <w:t>.</w:t>
      </w:r>
      <w:r w:rsidRPr="007F5A29">
        <w:rPr>
          <w:rFonts w:cs="Arial"/>
          <w:rtl/>
        </w:rPr>
        <w:t xml:space="preserve"> ולא כתבתי אלא להוציא מלבן של טועין ותולין עצמן בדברי המרדכי ואומרים שערב דנדוניא בכל ענין פטור</w:t>
      </w:r>
      <w:r>
        <w:rPr>
          <w:rFonts w:cs="Arial" w:hint="cs"/>
          <w:rtl/>
        </w:rPr>
        <w:t>,</w:t>
      </w:r>
      <w:r w:rsidRPr="007F5A29">
        <w:rPr>
          <w:rFonts w:cs="Arial"/>
          <w:rtl/>
        </w:rPr>
        <w:t xml:space="preserve"> ואינו כן</w:t>
      </w:r>
      <w:r>
        <w:rPr>
          <w:rFonts w:cs="Arial" w:hint="cs"/>
          <w:rtl/>
        </w:rPr>
        <w:t>,</w:t>
      </w:r>
      <w:r w:rsidRPr="007F5A29">
        <w:rPr>
          <w:rFonts w:cs="Arial"/>
          <w:rtl/>
        </w:rPr>
        <w:t xml:space="preserve"> וכן הוא משמע בדברי המרדכי עצמו</w:t>
      </w:r>
      <w:r>
        <w:rPr>
          <w:rFonts w:cs="Arial" w:hint="cs"/>
          <w:rtl/>
        </w:rPr>
        <w:t>, דרכ"מ (אות ח).</w:t>
      </w:r>
      <w:r w:rsidR="006F2C99">
        <w:rPr>
          <w:rFonts w:hint="cs"/>
          <w:rtl/>
        </w:rPr>
        <w:t xml:space="preserve"> וצל"ע, דהרי ההגמ"ר כתב במפורש דאפילו בקנין לא משתעבד.</w:t>
      </w:r>
    </w:p>
  </w:footnote>
  <w:footnote w:id="2163">
    <w:p w14:paraId="4C129A59" w14:textId="77777777" w:rsidR="00927771" w:rsidRDefault="00927771" w:rsidP="00927771">
      <w:pPr>
        <w:pStyle w:val="a5"/>
      </w:pPr>
      <w:r>
        <w:rPr>
          <w:rStyle w:val="a7"/>
        </w:rPr>
        <w:footnoteRef/>
      </w:r>
      <w:r>
        <w:rPr>
          <w:rtl/>
        </w:rPr>
        <w:t xml:space="preserve"> </w:t>
      </w:r>
      <w:r>
        <w:rPr>
          <w:rFonts w:cs="Arial"/>
          <w:rtl/>
        </w:rPr>
        <w:t>ו</w:t>
      </w:r>
      <w:r>
        <w:rPr>
          <w:rFonts w:cs="Arial" w:hint="cs"/>
          <w:rtl/>
        </w:rPr>
        <w:t xml:space="preserve">כן איתא </w:t>
      </w:r>
      <w:r>
        <w:rPr>
          <w:rFonts w:cs="Arial"/>
          <w:rtl/>
        </w:rPr>
        <w:t>בפרק שום היתומים (ערכין כג.)</w:t>
      </w:r>
      <w:r>
        <w:rPr>
          <w:rFonts w:cs="Arial" w:hint="cs"/>
          <w:rtl/>
        </w:rPr>
        <w:t>, ב"י.</w:t>
      </w:r>
    </w:p>
  </w:footnote>
  <w:footnote w:id="2164">
    <w:p w14:paraId="398B758F" w14:textId="77777777" w:rsidR="00392DBB" w:rsidRDefault="00392DBB" w:rsidP="00392DBB">
      <w:pPr>
        <w:pStyle w:val="a5"/>
      </w:pPr>
      <w:r>
        <w:rPr>
          <w:rStyle w:val="a7"/>
        </w:rPr>
        <w:footnoteRef/>
      </w:r>
      <w:r>
        <w:rPr>
          <w:rtl/>
        </w:rPr>
        <w:t xml:space="preserve"> </w:t>
      </w:r>
      <w:r w:rsidRPr="005B1BE9">
        <w:rPr>
          <w:rFonts w:cs="Arial"/>
          <w:rtl/>
        </w:rPr>
        <w:t>הבעל הנאה על דעת רבים נדר שאין לו הפרה שלא יוכל להחזירה דחיישינן שמא דעתו להחזיר את אשתו ולאכול כתובתה לאחר שנתקבלה כתובתה מן הערב וקנוניא בעלמא הוא דעבדי בעל ואשתו על נכסיו של ערב</w:t>
      </w:r>
      <w:r>
        <w:rPr>
          <w:rFonts w:cs="Arial" w:hint="cs"/>
          <w:rtl/>
        </w:rPr>
        <w:t>, רשב"ם.</w:t>
      </w:r>
    </w:p>
  </w:footnote>
  <w:footnote w:id="2165">
    <w:p w14:paraId="3629CABD" w14:textId="77777777" w:rsidR="00392DBB" w:rsidRDefault="00392DBB" w:rsidP="00392DBB">
      <w:pPr>
        <w:pStyle w:val="a5"/>
      </w:pPr>
      <w:r>
        <w:rPr>
          <w:rStyle w:val="a7"/>
        </w:rPr>
        <w:footnoteRef/>
      </w:r>
      <w:r>
        <w:rPr>
          <w:rtl/>
        </w:rPr>
        <w:t xml:space="preserve"> </w:t>
      </w:r>
      <w:r>
        <w:rPr>
          <w:rFonts w:cs="Arial"/>
          <w:rtl/>
        </w:rPr>
        <w:t>ופסקו הרי"ף (פא:) והרא"ש (סי' מד) כהאי תירוצא בתרא דאבא לגבי בריה שעבודי משעביד נפשיה</w:t>
      </w:r>
      <w:r>
        <w:rPr>
          <w:rFonts w:cs="Arial" w:hint="cs"/>
          <w:rtl/>
        </w:rPr>
        <w:t>.</w:t>
      </w:r>
      <w:r>
        <w:rPr>
          <w:rFonts w:cs="Arial"/>
          <w:rtl/>
        </w:rPr>
        <w:t xml:space="preserve"> וכן פסק הרמב"ם בפי"ז מהלכות אישות (ה"ט) ובפכ"ה מהלכות מלוה (ה"ו)</w:t>
      </w:r>
      <w:r>
        <w:rPr>
          <w:rFonts w:cs="Arial" w:hint="cs"/>
          <w:rtl/>
        </w:rPr>
        <w:t>, ב"י</w:t>
      </w:r>
    </w:p>
  </w:footnote>
  <w:footnote w:id="2166">
    <w:p w14:paraId="7C537BB0" w14:textId="77777777" w:rsidR="00392DBB" w:rsidRDefault="00392DBB" w:rsidP="00392DBB">
      <w:pPr>
        <w:pStyle w:val="a5"/>
      </w:pPr>
      <w:r>
        <w:rPr>
          <w:rStyle w:val="a7"/>
        </w:rPr>
        <w:footnoteRef/>
      </w:r>
      <w:r>
        <w:rPr>
          <w:rtl/>
        </w:rPr>
        <w:t xml:space="preserve"> </w:t>
      </w:r>
      <w:r w:rsidRPr="009521FA">
        <w:rPr>
          <w:rFonts w:cs="Arial"/>
          <w:rtl/>
        </w:rPr>
        <w:t>דלא גמר בלבו לשעבד נפשיה ואינו אלא פטומי מילי שירא להפסיד ואיכא למימר אמוראי פליגי בהא מילתא ושמעתייהו לא איתפרשו בגמ'</w:t>
      </w:r>
      <w:r>
        <w:rPr>
          <w:rFonts w:cs="Arial" w:hint="cs"/>
          <w:rtl/>
        </w:rPr>
        <w:t>, רשב"ם.</w:t>
      </w:r>
    </w:p>
  </w:footnote>
  <w:footnote w:id="2167">
    <w:p w14:paraId="29BD16A2" w14:textId="77777777" w:rsidR="00392DBB" w:rsidRDefault="00392DBB" w:rsidP="00392DBB">
      <w:pPr>
        <w:pStyle w:val="a5"/>
      </w:pPr>
      <w:r>
        <w:rPr>
          <w:rStyle w:val="a7"/>
        </w:rPr>
        <w:footnoteRef/>
      </w:r>
      <w:r>
        <w:rPr>
          <w:rtl/>
        </w:rPr>
        <w:t xml:space="preserve"> </w:t>
      </w:r>
      <w:r w:rsidRPr="009521FA">
        <w:rPr>
          <w:rFonts w:cs="Arial"/>
          <w:rtl/>
        </w:rPr>
        <w:t>אף על גב דלית ליה נכסי</w:t>
      </w:r>
      <w:r>
        <w:rPr>
          <w:rFonts w:cs="Arial" w:hint="cs"/>
          <w:rtl/>
        </w:rPr>
        <w:t>, רשב"ם.</w:t>
      </w:r>
    </w:p>
  </w:footnote>
  <w:footnote w:id="2168">
    <w:p w14:paraId="561A1CE4" w14:textId="77777777" w:rsidR="00392DBB" w:rsidRDefault="00392DBB" w:rsidP="00392DBB">
      <w:pPr>
        <w:pStyle w:val="a5"/>
        <w:rPr>
          <w:rtl/>
        </w:rPr>
      </w:pPr>
      <w:r>
        <w:rPr>
          <w:rStyle w:val="a7"/>
        </w:rPr>
        <w:footnoteRef/>
      </w:r>
      <w:r>
        <w:rPr>
          <w:rtl/>
        </w:rPr>
        <w:t xml:space="preserve"> </w:t>
      </w:r>
      <w:r w:rsidRPr="00A16411">
        <w:rPr>
          <w:rFonts w:cs="Arial"/>
          <w:rtl/>
        </w:rPr>
        <w:t>המשדך בזיווגן אין דעתו לפרוע הערבות אבל מתכוין לזווגן שע"י ערבות זו מתרצין ולא מידי חסרה לאשה דהא טב למיתב טן דו ולטובתה נתכוין</w:t>
      </w:r>
      <w:r>
        <w:rPr>
          <w:rFonts w:hint="cs"/>
          <w:rtl/>
        </w:rPr>
        <w:t>, רשב"ם.</w:t>
      </w:r>
    </w:p>
  </w:footnote>
  <w:footnote w:id="2169">
    <w:p w14:paraId="42D34114" w14:textId="77777777" w:rsidR="00392DBB" w:rsidRDefault="00392DBB" w:rsidP="00392DBB">
      <w:pPr>
        <w:pStyle w:val="a5"/>
      </w:pPr>
      <w:r>
        <w:rPr>
          <w:rStyle w:val="a7"/>
        </w:rPr>
        <w:footnoteRef/>
      </w:r>
      <w:r>
        <w:rPr>
          <w:rtl/>
        </w:rPr>
        <w:t xml:space="preserve"> </w:t>
      </w:r>
      <w:r w:rsidRPr="007C06B1">
        <w:rPr>
          <w:rFonts w:cs="Arial"/>
          <w:rtl/>
        </w:rPr>
        <w:t>בגליון ש"ע דהגר"ע זצ"ל נ"ב עי' תשו' הרמ"א סי' ל"ג דנראה דס"ל בפשיטות דדוקא לכתחל</w:t>
      </w:r>
      <w:r>
        <w:rPr>
          <w:rFonts w:cs="Arial" w:hint="cs"/>
          <w:rtl/>
        </w:rPr>
        <w:t>ה</w:t>
      </w:r>
      <w:r w:rsidRPr="007C06B1">
        <w:rPr>
          <w:rFonts w:cs="Arial"/>
          <w:rtl/>
        </w:rPr>
        <w:t xml:space="preserve"> שהב"ד שמגרש לפניהם יזהרו בזה אבל אם גירשה ולא הדירה ודאי גובאת כתובת' ע"ש וצ"ע עכ"ל</w:t>
      </w:r>
      <w:r>
        <w:rPr>
          <w:rFonts w:cs="Arial" w:hint="cs"/>
          <w:rtl/>
        </w:rPr>
        <w:t>, פת"ש (סק"ז).</w:t>
      </w:r>
    </w:p>
  </w:footnote>
  <w:footnote w:id="2170">
    <w:p w14:paraId="3D746579" w14:textId="77777777" w:rsidR="00392DBB" w:rsidRDefault="00392DBB" w:rsidP="00392DBB">
      <w:pPr>
        <w:pStyle w:val="a5"/>
        <w:rPr>
          <w:rtl/>
        </w:rPr>
      </w:pPr>
      <w:r>
        <w:rPr>
          <w:rStyle w:val="a7"/>
        </w:rPr>
        <w:footnoteRef/>
      </w:r>
      <w:r>
        <w:rPr>
          <w:rtl/>
        </w:rPr>
        <w:t xml:space="preserve"> </w:t>
      </w:r>
      <w:r w:rsidRPr="00E92556">
        <w:rPr>
          <w:rFonts w:cs="Arial"/>
          <w:rtl/>
        </w:rPr>
        <w:t>כלומר אולי לא ידע האב דין זה שצריך להדיר הנאה ומשמע ודאי אם האב פקח צריך להדיר הנאה ממנה קודם שישלם לה הכתובה</w:t>
      </w:r>
      <w:r>
        <w:rPr>
          <w:rFonts w:hint="cs"/>
          <w:rtl/>
        </w:rPr>
        <w:t>, ח"מ (סקכ"א).</w:t>
      </w:r>
    </w:p>
  </w:footnote>
  <w:footnote w:id="2171">
    <w:p w14:paraId="35659831" w14:textId="77777777" w:rsidR="00392DBB" w:rsidRDefault="00392DBB" w:rsidP="00392DBB">
      <w:pPr>
        <w:pStyle w:val="a5"/>
      </w:pPr>
      <w:r>
        <w:rPr>
          <w:rStyle w:val="a7"/>
        </w:rPr>
        <w:footnoteRef/>
      </w:r>
      <w:r>
        <w:rPr>
          <w:rtl/>
        </w:rPr>
        <w:t xml:space="preserve"> </w:t>
      </w:r>
      <w:r w:rsidRPr="00E92556">
        <w:rPr>
          <w:rFonts w:cs="Arial"/>
          <w:rtl/>
        </w:rPr>
        <w:t>הכוונה היתה שלא יתן לבעל חצי החוב בלי רצונה וגם לא יתן לה חצי החוב בלי רצון בעלה עד שיסכימו שניהם בגביית החוב ואז הרשות בידם לגבות אף בלא עת גביית כתובתה אבל כל שתבא היא לגבות כתובתה הדבר ברור שיכולה לגבות החוב דאם לא כן אין כאן ערבות דבמיתת הבעל אינו שיתבע ובגירושין ודאי לא יסכים עמה וא"כ נפל פתא בבירא וכו' גדולה מזו וכו' בין בחייו בין במותו וכו' ותביעת האשה כתביעת הבעל וכו' עיין בגוף התשובה שהאריך וכתב מילת' בטעמ' בסי' תפ"א</w:t>
      </w:r>
      <w:r>
        <w:rPr>
          <w:rFonts w:cs="Arial" w:hint="cs"/>
          <w:rtl/>
        </w:rPr>
        <w:t>, ח"מ (סקכ"ב).</w:t>
      </w:r>
    </w:p>
  </w:footnote>
  <w:footnote w:id="2172">
    <w:p w14:paraId="158C6359" w14:textId="77777777" w:rsidR="00392DBB" w:rsidRDefault="00392DBB" w:rsidP="00392DBB">
      <w:pPr>
        <w:pStyle w:val="a5"/>
      </w:pPr>
      <w:r>
        <w:rPr>
          <w:rStyle w:val="a7"/>
        </w:rPr>
        <w:footnoteRef/>
      </w:r>
      <w:r>
        <w:rPr>
          <w:rtl/>
        </w:rPr>
        <w:t xml:space="preserve"> </w:t>
      </w:r>
      <w:r w:rsidRPr="00E05F1F">
        <w:rPr>
          <w:rFonts w:cs="Arial"/>
          <w:rtl/>
        </w:rPr>
        <w:t>ידור שלא יחזירנה לעולם דשמא משום ערמה מגרש לה שתגבה כתובתה מן ההקדש ויחזירנה</w:t>
      </w:r>
      <w:r>
        <w:rPr>
          <w:rFonts w:cs="Arial" w:hint="cs"/>
          <w:rtl/>
        </w:rPr>
        <w:t>, רש"י</w:t>
      </w:r>
      <w:r w:rsidRPr="00E05F1F">
        <w:rPr>
          <w:rFonts w:cs="Arial"/>
          <w:rtl/>
        </w:rPr>
        <w:t>.</w:t>
      </w:r>
    </w:p>
  </w:footnote>
  <w:footnote w:id="2173">
    <w:p w14:paraId="45CC151D" w14:textId="77777777" w:rsidR="00392DBB" w:rsidRDefault="00392DBB" w:rsidP="00392DBB">
      <w:pPr>
        <w:pStyle w:val="a5"/>
        <w:rPr>
          <w:rtl/>
        </w:rPr>
      </w:pPr>
      <w:r>
        <w:rPr>
          <w:rStyle w:val="a7"/>
        </w:rPr>
        <w:footnoteRef/>
      </w:r>
      <w:r>
        <w:rPr>
          <w:rtl/>
        </w:rPr>
        <w:t xml:space="preserve"> </w:t>
      </w:r>
      <w:r w:rsidRPr="00D85951">
        <w:rPr>
          <w:rFonts w:cs="Arial"/>
          <w:rtl/>
        </w:rPr>
        <w:t>בניחותא דבשאלה פליגי</w:t>
      </w:r>
      <w:r>
        <w:rPr>
          <w:rFonts w:hint="cs"/>
          <w:rtl/>
        </w:rPr>
        <w:t>, רש"י.</w:t>
      </w:r>
    </w:p>
  </w:footnote>
  <w:footnote w:id="2174">
    <w:p w14:paraId="4152D3D3" w14:textId="77777777" w:rsidR="00392DBB" w:rsidRDefault="00392DBB" w:rsidP="00392DBB">
      <w:pPr>
        <w:pStyle w:val="a5"/>
      </w:pPr>
      <w:r>
        <w:rPr>
          <w:rStyle w:val="a7"/>
        </w:rPr>
        <w:footnoteRef/>
      </w:r>
      <w:r>
        <w:rPr>
          <w:rtl/>
        </w:rPr>
        <w:t xml:space="preserve"> </w:t>
      </w:r>
      <w:r w:rsidRPr="00D85951">
        <w:rPr>
          <w:rFonts w:cs="Arial"/>
          <w:rtl/>
        </w:rPr>
        <w:t>מחלוקת ר"א ורבי יהושע היינו נמי מחלוקת ב"ש וב"ה</w:t>
      </w:r>
      <w:r>
        <w:rPr>
          <w:rFonts w:cs="Arial" w:hint="cs"/>
          <w:rtl/>
        </w:rPr>
        <w:t>, רש"י.</w:t>
      </w:r>
    </w:p>
  </w:footnote>
  <w:footnote w:id="2175">
    <w:p w14:paraId="21951AC6" w14:textId="77777777" w:rsidR="00392DBB" w:rsidRDefault="00392DBB" w:rsidP="00392DBB">
      <w:pPr>
        <w:pStyle w:val="a5"/>
      </w:pPr>
      <w:r>
        <w:rPr>
          <w:rStyle w:val="a7"/>
        </w:rPr>
        <w:footnoteRef/>
      </w:r>
      <w:r>
        <w:rPr>
          <w:rtl/>
        </w:rPr>
        <w:t xml:space="preserve"> </w:t>
      </w:r>
      <w:r w:rsidRPr="00D85951">
        <w:rPr>
          <w:rFonts w:cs="Arial"/>
          <w:rtl/>
        </w:rPr>
        <w:t>ואין שאלה להקדש</w:t>
      </w:r>
      <w:r>
        <w:rPr>
          <w:rFonts w:cs="Arial" w:hint="cs"/>
          <w:rtl/>
        </w:rPr>
        <w:t>.</w:t>
      </w:r>
      <w:r w:rsidRPr="00D85951">
        <w:rPr>
          <w:rFonts w:cs="Arial"/>
          <w:rtl/>
        </w:rPr>
        <w:t xml:space="preserve"> הקדש טעות </w:t>
      </w:r>
      <w:r>
        <w:rPr>
          <w:rFonts w:cs="Arial" w:hint="cs"/>
          <w:rtl/>
        </w:rPr>
        <w:t xml:space="preserve">- </w:t>
      </w:r>
      <w:r w:rsidRPr="00D85951">
        <w:rPr>
          <w:rFonts w:cs="Arial"/>
          <w:rtl/>
        </w:rPr>
        <w:t>כגון שור לבן היוצא מביתי הקדש</w:t>
      </w:r>
      <w:r>
        <w:rPr>
          <w:rFonts w:cs="Arial" w:hint="cs"/>
          <w:rtl/>
        </w:rPr>
        <w:t>,</w:t>
      </w:r>
      <w:r w:rsidRPr="00D85951">
        <w:rPr>
          <w:rFonts w:cs="Arial"/>
          <w:rtl/>
        </w:rPr>
        <w:t xml:space="preserve"> ונמצא שחור</w:t>
      </w:r>
      <w:r>
        <w:rPr>
          <w:rFonts w:cs="Arial" w:hint="cs"/>
          <w:rtl/>
        </w:rPr>
        <w:t>, רש"י.</w:t>
      </w:r>
    </w:p>
  </w:footnote>
  <w:footnote w:id="2176">
    <w:p w14:paraId="7030DE97" w14:textId="6807A122"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F12D69">
        <w:rPr>
          <w:rFonts w:cs="Arial"/>
          <w:rtl/>
        </w:rPr>
        <w:t>יש כאן מקום עיון ולפי המסקנ' בערכין שם פליגי בזה ר"א ור"י במקדיש נכסיו צריך להדירה וקמפלגי בפלוגת' ב"ש וב"ה ר"י ס"ל כב"ה הקדש בטעו' לא הוי הקדש ויכול לשאול ולהתיר לעצמו א"כ אין צריך להדירה ולא חיישינן לקנוני' דהא יש בידו להתיר ולשאול על הקדש ור"א ס"ל כב"ש דאין שאלה בהקדש מ"ה חיישינן לקנוני' וצריך לנדר לפ"ז הלכה כב"ה וכר"י דאין חוששין לקנוני' ואין צריך לנדר והמחבר פסק לא תגבה עד שידירנה וכן כתבו תוס' וקשה למה לא פסק כב"ה ול"ד לברי' דחיישינן לקנוני' כמ"ש בח"ה סי' רנ"ה משום שם אינו עושה שום מעשה משא"כ לגרש אין מגרש בשביל כן כיון בידו לשאול וכן קשה ברמב"ם פי"ז ה"א ופ"ז ה' ערכין ובהרא"ש פרק אלמנה ניזונת וכן תמה עליו הר"ן ועיין בכ"מ שם ובתשובת רבינו בצלאל סי' ט"ו ובתי"ט בערכין ובש"ד סי' רנ"ה</w:t>
      </w:r>
      <w:r>
        <w:rPr>
          <w:rFonts w:cs="Arial" w:hint="cs"/>
          <w:rtl/>
        </w:rPr>
        <w:t>.</w:t>
      </w:r>
    </w:p>
  </w:footnote>
  <w:footnote w:id="2177">
    <w:p w14:paraId="1DD83DB2" w14:textId="0DAF4AD1"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cs="Arial" w:hint="cs"/>
          <w:rtl/>
        </w:rPr>
        <w:t xml:space="preserve"> </w:t>
      </w:r>
      <w:r w:rsidRPr="00E959CB">
        <w:rPr>
          <w:rFonts w:cs="Arial"/>
          <w:rtl/>
        </w:rPr>
        <w:t>נ"ל מההוא עובדא דההוא גברא דזביננהו ואמרו שם (כג</w:t>
      </w:r>
      <w:r>
        <w:rPr>
          <w:rFonts w:cs="Arial" w:hint="cs"/>
          <w:rtl/>
        </w:rPr>
        <w:t>:</w:t>
      </w:r>
      <w:r w:rsidRPr="00E959CB">
        <w:rPr>
          <w:rFonts w:cs="Arial"/>
          <w:rtl/>
        </w:rPr>
        <w:t>) ערב תנן הקדש תנן משמע דפסק כמ"ד דידירנה הנאה</w:t>
      </w:r>
      <w:r>
        <w:rPr>
          <w:rFonts w:cs="Arial" w:hint="cs"/>
          <w:rtl/>
        </w:rPr>
        <w:t>.</w:t>
      </w:r>
    </w:p>
  </w:footnote>
  <w:footnote w:id="2178">
    <w:p w14:paraId="3E639178" w14:textId="40CF5402" w:rsidR="003142AF" w:rsidRDefault="003142AF">
      <w:pPr>
        <w:pStyle w:val="a5"/>
      </w:pPr>
      <w:r>
        <w:rPr>
          <w:rStyle w:val="a7"/>
        </w:rPr>
        <w:footnoteRef/>
      </w:r>
      <w:r>
        <w:rPr>
          <w:rtl/>
        </w:rPr>
        <w:t xml:space="preserve"> </w:t>
      </w:r>
      <w:r>
        <w:rPr>
          <w:rFonts w:hint="cs"/>
          <w:rtl/>
        </w:rPr>
        <w:t xml:space="preserve">וז"ל: </w:t>
      </w:r>
      <w:r w:rsidRPr="00A167C1">
        <w:rPr>
          <w:rFonts w:cs="Arial"/>
          <w:rtl/>
        </w:rPr>
        <w:t xml:space="preserve">וכן אם הקדיש כל נכסיו ומגרשה </w:t>
      </w:r>
      <w:r>
        <w:rPr>
          <w:rFonts w:cs="Arial" w:hint="cs"/>
          <w:rtl/>
        </w:rPr>
        <w:t xml:space="preserve">- </w:t>
      </w:r>
      <w:r w:rsidRPr="00A167C1">
        <w:rPr>
          <w:rFonts w:cs="Arial"/>
          <w:rtl/>
        </w:rPr>
        <w:t>לא תגבה מן ההקדש אא"כ ידירנה</w:t>
      </w:r>
      <w:r>
        <w:rPr>
          <w:rFonts w:cs="Arial" w:hint="cs"/>
          <w:rtl/>
        </w:rPr>
        <w:t>.</w:t>
      </w:r>
    </w:p>
  </w:footnote>
  <w:footnote w:id="2179">
    <w:p w14:paraId="0BC38C71" w14:textId="77777777" w:rsidR="00392DBB" w:rsidRDefault="00392DBB" w:rsidP="00392DBB">
      <w:pPr>
        <w:pStyle w:val="a5"/>
      </w:pPr>
      <w:r>
        <w:rPr>
          <w:rStyle w:val="a7"/>
        </w:rPr>
        <w:footnoteRef/>
      </w:r>
      <w:r>
        <w:rPr>
          <w:rtl/>
        </w:rPr>
        <w:t xml:space="preserve"> </w:t>
      </w:r>
      <w:r w:rsidRPr="00E959CB">
        <w:rPr>
          <w:rFonts w:cs="Arial"/>
          <w:rtl/>
        </w:rPr>
        <w:t xml:space="preserve">וכתב רבינו </w:t>
      </w:r>
      <w:r>
        <w:rPr>
          <w:rFonts w:cs="Arial" w:hint="cs"/>
          <w:rtl/>
        </w:rPr>
        <w:t>'</w:t>
      </w:r>
      <w:r w:rsidRPr="00E959CB">
        <w:rPr>
          <w:rFonts w:cs="Arial"/>
          <w:rtl/>
        </w:rPr>
        <w:t>ואח"כ תפרע מן הפודה מיד ההקדש</w:t>
      </w:r>
      <w:r>
        <w:rPr>
          <w:rFonts w:cs="Arial" w:hint="cs"/>
          <w:rtl/>
        </w:rPr>
        <w:t>'</w:t>
      </w:r>
      <w:r w:rsidRPr="00E959CB">
        <w:rPr>
          <w:rFonts w:cs="Arial"/>
          <w:rtl/>
        </w:rPr>
        <w:t xml:space="preserve"> לפי שמן ההקדש עצמו אינה נפרעת אלא אחר שיצא לפדיון על הדרך שנתבאר פי"ח מהלכות מלוה ולוה</w:t>
      </w:r>
      <w:r>
        <w:rPr>
          <w:rFonts w:cs="Arial" w:hint="cs"/>
          <w:rtl/>
        </w:rPr>
        <w:t>, הה"מ (שם).</w:t>
      </w:r>
      <w:r>
        <w:rPr>
          <w:rFonts w:hint="cs"/>
          <w:rtl/>
        </w:rPr>
        <w:t xml:space="preserve"> וז"ל הרמב"ם שם (פי"ח ממלוה ה"ז)- </w:t>
      </w:r>
      <w:r w:rsidRPr="00CD7E2D">
        <w:rPr>
          <w:rFonts w:cs="Arial"/>
          <w:rtl/>
        </w:rPr>
        <w:t>המקדיש נכסיו אין בעל חוב יכול לטרוף מן ההקדש שההקדש מפקיע השיעבוד וכשפודין הקרקע מיד ההקדש אומדין כמה אדם רוצה ליתן בשדה זו על מנת שיתן לבעל חוב את חובו ולאשה כתובתה, לפיכך לכשתפדה ותצא לחולין ביד הלוקח יבא בעל חוב ויטרוף אותה או האשה בכתובתה כמו שביארנו בערכין.</w:t>
      </w:r>
    </w:p>
  </w:footnote>
  <w:footnote w:id="2180">
    <w:p w14:paraId="67EF760F" w14:textId="77777777" w:rsidR="00392DBB" w:rsidRDefault="00392DBB" w:rsidP="00392DBB">
      <w:pPr>
        <w:pStyle w:val="a5"/>
      </w:pPr>
      <w:r>
        <w:rPr>
          <w:rStyle w:val="a7"/>
        </w:rPr>
        <w:footnoteRef/>
      </w:r>
      <w:r>
        <w:rPr>
          <w:rtl/>
        </w:rPr>
        <w:t xml:space="preserve"> </w:t>
      </w:r>
      <w:r w:rsidRPr="00F12D69">
        <w:rPr>
          <w:rFonts w:cs="Arial"/>
          <w:rtl/>
        </w:rPr>
        <w:t>וכשבא לגבות מן ההקדש צריך לפדות תחלה ע"מ לשלם לב"ח וכמבואר בח"מ סי' קיז</w:t>
      </w:r>
      <w:r>
        <w:rPr>
          <w:rFonts w:cs="Arial" w:hint="cs"/>
          <w:rtl/>
        </w:rPr>
        <w:t xml:space="preserve">, ח"מ </w:t>
      </w:r>
      <w:r w:rsidRPr="00540F3E">
        <w:rPr>
          <w:rFonts w:cs="Arial" w:hint="cs"/>
          <w:sz w:val="16"/>
          <w:szCs w:val="16"/>
          <w:rtl/>
        </w:rPr>
        <w:t>(סקכ"ג)</w:t>
      </w:r>
      <w:r>
        <w:rPr>
          <w:rFonts w:cs="Arial" w:hint="cs"/>
          <w:rtl/>
        </w:rPr>
        <w:t>.</w:t>
      </w:r>
      <w:r>
        <w:rPr>
          <w:rFonts w:hint="cs"/>
          <w:rtl/>
        </w:rPr>
        <w:t xml:space="preserve"> </w:t>
      </w:r>
      <w:r>
        <w:rPr>
          <w:rFonts w:cs="Arial" w:hint="cs"/>
          <w:rtl/>
        </w:rPr>
        <w:t>ו</w:t>
      </w:r>
      <w:r w:rsidRPr="00540F3E">
        <w:rPr>
          <w:rFonts w:cs="Arial"/>
          <w:rtl/>
        </w:rPr>
        <w:t xml:space="preserve">עי' בס' ישועות יעקב </w:t>
      </w:r>
      <w:r w:rsidRPr="00540F3E">
        <w:rPr>
          <w:rFonts w:cs="Arial" w:hint="cs"/>
          <w:sz w:val="16"/>
          <w:szCs w:val="16"/>
          <w:rtl/>
        </w:rPr>
        <w:t>(</w:t>
      </w:r>
      <w:r w:rsidRPr="00540F3E">
        <w:rPr>
          <w:rFonts w:cs="Arial"/>
          <w:sz w:val="16"/>
          <w:szCs w:val="16"/>
          <w:rtl/>
        </w:rPr>
        <w:t>סק"ה</w:t>
      </w:r>
      <w:r>
        <w:rPr>
          <w:rFonts w:cs="Arial" w:hint="cs"/>
          <w:sz w:val="16"/>
          <w:szCs w:val="16"/>
          <w:rtl/>
        </w:rPr>
        <w:t>)</w:t>
      </w:r>
      <w:r w:rsidRPr="00540F3E">
        <w:rPr>
          <w:rFonts w:cs="Arial"/>
          <w:sz w:val="16"/>
          <w:szCs w:val="16"/>
          <w:rtl/>
        </w:rPr>
        <w:t xml:space="preserve"> </w:t>
      </w:r>
      <w:r w:rsidRPr="00540F3E">
        <w:rPr>
          <w:rFonts w:cs="Arial"/>
          <w:rtl/>
        </w:rPr>
        <w:t>שכ' טעם נכון למה בסע</w:t>
      </w:r>
      <w:r>
        <w:rPr>
          <w:rFonts w:cs="Arial" w:hint="cs"/>
          <w:rtl/>
        </w:rPr>
        <w:t>'</w:t>
      </w:r>
      <w:r w:rsidRPr="00540F3E">
        <w:rPr>
          <w:rFonts w:cs="Arial"/>
          <w:rtl/>
        </w:rPr>
        <w:t xml:space="preserve"> הקודם כתב בש"ע שידירנה הנאה ע"ד רבים וכאן נקט סתם ידירנה ולא הזכיר ע"ד רבים</w:t>
      </w:r>
      <w:r>
        <w:rPr>
          <w:rFonts w:cs="Arial" w:hint="cs"/>
          <w:rtl/>
        </w:rPr>
        <w:t>, פת"ש</w:t>
      </w:r>
      <w:r w:rsidRPr="00540F3E">
        <w:rPr>
          <w:rFonts w:cs="Arial" w:hint="cs"/>
          <w:sz w:val="16"/>
          <w:szCs w:val="16"/>
          <w:rtl/>
        </w:rPr>
        <w:t xml:space="preserve"> (סק"ח)</w:t>
      </w:r>
      <w:r>
        <w:rPr>
          <w:rFonts w:cs="Arial" w:hint="cs"/>
          <w:rtl/>
        </w:rPr>
        <w:t>.</w:t>
      </w:r>
    </w:p>
  </w:footnote>
  <w:footnote w:id="2181">
    <w:p w14:paraId="68910154" w14:textId="77777777" w:rsidR="00392DBB" w:rsidRDefault="00392DBB" w:rsidP="00392DBB">
      <w:pPr>
        <w:pStyle w:val="a5"/>
      </w:pPr>
      <w:r>
        <w:rPr>
          <w:rStyle w:val="a7"/>
        </w:rPr>
        <w:footnoteRef/>
      </w:r>
      <w:r>
        <w:rPr>
          <w:rtl/>
        </w:rPr>
        <w:t xml:space="preserve"> </w:t>
      </w:r>
      <w:r w:rsidRPr="00936F3C">
        <w:rPr>
          <w:rFonts w:cs="Arial"/>
          <w:rtl/>
        </w:rPr>
        <w:t>שאין לה מזונות ומוכרת לכתובה</w:t>
      </w:r>
      <w:r>
        <w:rPr>
          <w:rFonts w:cs="Arial" w:hint="cs"/>
          <w:rtl/>
        </w:rPr>
        <w:t>, רש"י.</w:t>
      </w:r>
    </w:p>
  </w:footnote>
  <w:footnote w:id="2182">
    <w:p w14:paraId="1DECD23A" w14:textId="77777777" w:rsidR="00392DBB" w:rsidRDefault="00392DBB" w:rsidP="00392DBB">
      <w:pPr>
        <w:pStyle w:val="a5"/>
        <w:rPr>
          <w:rtl/>
        </w:rPr>
      </w:pPr>
      <w:r>
        <w:rPr>
          <w:rStyle w:val="a7"/>
        </w:rPr>
        <w:footnoteRef/>
      </w:r>
      <w:r>
        <w:rPr>
          <w:rtl/>
        </w:rPr>
        <w:t xml:space="preserve"> </w:t>
      </w:r>
      <w:r w:rsidRPr="00936F3C">
        <w:rPr>
          <w:rFonts w:cs="Arial"/>
          <w:rtl/>
        </w:rPr>
        <w:t>שהיא מוכרת למזונות מוכרת שלא בבית דין</w:t>
      </w:r>
      <w:r>
        <w:rPr>
          <w:rFonts w:hint="cs"/>
          <w:rtl/>
        </w:rPr>
        <w:t>, רש"י.</w:t>
      </w:r>
    </w:p>
  </w:footnote>
  <w:footnote w:id="2183">
    <w:p w14:paraId="2149C554" w14:textId="77777777" w:rsidR="00392DBB" w:rsidRDefault="00392DBB" w:rsidP="00392DBB">
      <w:pPr>
        <w:pStyle w:val="a5"/>
      </w:pPr>
      <w:r>
        <w:rPr>
          <w:rStyle w:val="a7"/>
        </w:rPr>
        <w:footnoteRef/>
      </w:r>
      <w:r>
        <w:rPr>
          <w:rtl/>
        </w:rPr>
        <w:t xml:space="preserve"> </w:t>
      </w:r>
      <w:r w:rsidRPr="00936F3C">
        <w:rPr>
          <w:rFonts w:cs="Arial"/>
          <w:rtl/>
        </w:rPr>
        <w:t>שהיא מוכרת למזונות</w:t>
      </w:r>
      <w:r>
        <w:rPr>
          <w:rFonts w:cs="Arial" w:hint="cs"/>
          <w:rtl/>
        </w:rPr>
        <w:t>, רש"י.</w:t>
      </w:r>
    </w:p>
  </w:footnote>
  <w:footnote w:id="2184">
    <w:p w14:paraId="2623DB38" w14:textId="77777777" w:rsidR="00392DBB" w:rsidRDefault="00392DBB" w:rsidP="00392DBB">
      <w:pPr>
        <w:pStyle w:val="a5"/>
      </w:pPr>
      <w:r>
        <w:rPr>
          <w:rStyle w:val="a7"/>
        </w:rPr>
        <w:footnoteRef/>
      </w:r>
      <w:r>
        <w:rPr>
          <w:rtl/>
        </w:rPr>
        <w:t xml:space="preserve"> </w:t>
      </w:r>
      <w:r w:rsidRPr="00936F3C">
        <w:rPr>
          <w:rFonts w:cs="Arial"/>
          <w:rtl/>
        </w:rPr>
        <w:t>שאי אפשר לה להיות יושבת ומתענה עד שיזדקקו לה בית דין אבל מן האירוסין שאין מכירתה אלא לכתובה לא תמכור אלא בבית דין</w:t>
      </w:r>
      <w:r>
        <w:rPr>
          <w:rFonts w:cs="Arial" w:hint="cs"/>
          <w:rtl/>
        </w:rPr>
        <w:t>, רשי.</w:t>
      </w:r>
    </w:p>
  </w:footnote>
  <w:footnote w:id="2185">
    <w:p w14:paraId="489DB38F" w14:textId="3725F260" w:rsidR="00392DBB" w:rsidRDefault="00392DBB" w:rsidP="00392DBB">
      <w:pPr>
        <w:pStyle w:val="a5"/>
      </w:pPr>
      <w:r>
        <w:rPr>
          <w:rStyle w:val="a7"/>
        </w:rPr>
        <w:footnoteRef/>
      </w:r>
      <w:r>
        <w:rPr>
          <w:rtl/>
        </w:rPr>
        <w:t xml:space="preserve"> </w:t>
      </w:r>
      <w:r>
        <w:rPr>
          <w:rFonts w:hint="cs"/>
          <w:rtl/>
        </w:rPr>
        <w:t xml:space="preserve">לפנינו בגמרא איתא </w:t>
      </w:r>
      <w:r w:rsidR="00F97626">
        <w:rPr>
          <w:rtl/>
        </w:rPr>
        <w:t>-</w:t>
      </w:r>
      <w:r>
        <w:rPr>
          <w:rFonts w:hint="cs"/>
          <w:rtl/>
        </w:rPr>
        <w:t xml:space="preserve"> ר' יוחנן. אך הרי"ף (נו:) הר"ן (שם) והב"י כתבו </w:t>
      </w:r>
      <w:r w:rsidR="00F97626">
        <w:rPr>
          <w:rtl/>
        </w:rPr>
        <w:t>-</w:t>
      </w:r>
      <w:r>
        <w:rPr>
          <w:rFonts w:hint="cs"/>
          <w:rtl/>
        </w:rPr>
        <w:t xml:space="preserve"> 'רב יהודה'.</w:t>
      </w:r>
    </w:p>
  </w:footnote>
  <w:footnote w:id="2186">
    <w:p w14:paraId="64FE41F9" w14:textId="77777777" w:rsidR="00392DBB" w:rsidRDefault="00392DBB" w:rsidP="00392DBB">
      <w:pPr>
        <w:pStyle w:val="a5"/>
      </w:pPr>
      <w:r>
        <w:rPr>
          <w:rStyle w:val="a7"/>
        </w:rPr>
        <w:footnoteRef/>
      </w:r>
      <w:r>
        <w:rPr>
          <w:rtl/>
        </w:rPr>
        <w:t xml:space="preserve"> </w:t>
      </w:r>
      <w:r w:rsidRPr="001D66A0">
        <w:rPr>
          <w:rFonts w:cs="Arial"/>
          <w:rtl/>
        </w:rPr>
        <w:t>שלא גבתה יותר</w:t>
      </w:r>
      <w:r>
        <w:rPr>
          <w:rFonts w:cs="Arial" w:hint="cs"/>
          <w:rtl/>
        </w:rPr>
        <w:t>, רש"י.</w:t>
      </w:r>
    </w:p>
  </w:footnote>
  <w:footnote w:id="2187">
    <w:p w14:paraId="0935E32C" w14:textId="77777777" w:rsidR="00392DBB" w:rsidRDefault="00392DBB" w:rsidP="00392DBB">
      <w:pPr>
        <w:pStyle w:val="a5"/>
      </w:pPr>
      <w:r>
        <w:rPr>
          <w:rStyle w:val="a7"/>
        </w:rPr>
        <w:footnoteRef/>
      </w:r>
      <w:r>
        <w:rPr>
          <w:rtl/>
        </w:rPr>
        <w:t xml:space="preserve"> </w:t>
      </w:r>
      <w:r w:rsidRPr="001D66A0">
        <w:rPr>
          <w:rFonts w:cs="Arial"/>
          <w:rtl/>
        </w:rPr>
        <w:t>לקחה שדה היתומים לעצמה בשומת כתובתה</w:t>
      </w:r>
      <w:r>
        <w:rPr>
          <w:rFonts w:cs="Arial" w:hint="cs"/>
          <w:rtl/>
        </w:rPr>
        <w:t>, רש"י.</w:t>
      </w:r>
    </w:p>
  </w:footnote>
  <w:footnote w:id="2188">
    <w:p w14:paraId="7358D02B" w14:textId="77777777" w:rsidR="00392DBB" w:rsidRDefault="00392DBB" w:rsidP="00392DBB">
      <w:pPr>
        <w:pStyle w:val="a5"/>
      </w:pPr>
      <w:r>
        <w:rPr>
          <w:rStyle w:val="a7"/>
        </w:rPr>
        <w:footnoteRef/>
      </w:r>
      <w:r>
        <w:rPr>
          <w:rtl/>
        </w:rPr>
        <w:t xml:space="preserve"> </w:t>
      </w:r>
      <w:r w:rsidRPr="001D66A0">
        <w:rPr>
          <w:rFonts w:cs="Arial"/>
          <w:rtl/>
        </w:rPr>
        <w:t>ואם רצו היתומים להגבותה מעות לאחר זמן חוזרין ונוטלין אותה</w:t>
      </w:r>
      <w:r>
        <w:rPr>
          <w:rFonts w:cs="Arial" w:hint="cs"/>
          <w:rtl/>
        </w:rPr>
        <w:t>, רש"י.</w:t>
      </w:r>
    </w:p>
  </w:footnote>
  <w:footnote w:id="2189">
    <w:p w14:paraId="313702E0" w14:textId="77777777" w:rsidR="00392DBB" w:rsidRDefault="00392DBB" w:rsidP="00392DBB">
      <w:pPr>
        <w:pStyle w:val="a5"/>
      </w:pPr>
      <w:r>
        <w:rPr>
          <w:rStyle w:val="a7"/>
        </w:rPr>
        <w:footnoteRef/>
      </w:r>
      <w:r>
        <w:rPr>
          <w:rtl/>
        </w:rPr>
        <w:t xml:space="preserve"> </w:t>
      </w:r>
      <w:r w:rsidRPr="001D66A0">
        <w:rPr>
          <w:rFonts w:cs="Arial"/>
          <w:rtl/>
        </w:rPr>
        <w:t>ממי קבלת מכירה זו לא מבית דין ולא מיתומין לפיכך לא יצא הקרקע מרשות היתומין אבל היכא דשמת לאחריני נפק מרשות היורשין שהרי נתנו לה חכמים רשות למכור</w:t>
      </w:r>
      <w:r>
        <w:rPr>
          <w:rFonts w:cs="Arial" w:hint="cs"/>
          <w:rtl/>
        </w:rPr>
        <w:t>, רש"י.</w:t>
      </w:r>
    </w:p>
  </w:footnote>
  <w:footnote w:id="2190">
    <w:p w14:paraId="26760B97" w14:textId="77777777" w:rsidR="00392DBB" w:rsidRDefault="00392DBB" w:rsidP="00392DBB">
      <w:pPr>
        <w:pStyle w:val="a5"/>
      </w:pPr>
      <w:r>
        <w:rPr>
          <w:rStyle w:val="a7"/>
        </w:rPr>
        <w:footnoteRef/>
      </w:r>
      <w:r>
        <w:rPr>
          <w:rtl/>
        </w:rPr>
        <w:t xml:space="preserve"> </w:t>
      </w:r>
      <w:r w:rsidRPr="001D66A0">
        <w:rPr>
          <w:rFonts w:cs="Arial"/>
          <w:rtl/>
        </w:rPr>
        <w:t>מספוא לשון אחר כסיתא גרס עצי אלמוגים שקורין קורא"ל</w:t>
      </w:r>
      <w:r>
        <w:rPr>
          <w:rFonts w:cs="Arial" w:hint="cs"/>
          <w:rtl/>
        </w:rPr>
        <w:t>, רש"י.</w:t>
      </w:r>
    </w:p>
  </w:footnote>
  <w:footnote w:id="2191">
    <w:p w14:paraId="19A76CE2" w14:textId="77777777" w:rsidR="00392DBB" w:rsidRDefault="00392DBB" w:rsidP="00392DBB">
      <w:pPr>
        <w:pStyle w:val="a5"/>
        <w:rPr>
          <w:rtl/>
        </w:rPr>
      </w:pPr>
      <w:r>
        <w:rPr>
          <w:rStyle w:val="a7"/>
        </w:rPr>
        <w:footnoteRef/>
      </w:r>
      <w:r>
        <w:rPr>
          <w:rtl/>
        </w:rPr>
        <w:t xml:space="preserve"> </w:t>
      </w:r>
      <w:r w:rsidRPr="00B95108">
        <w:rPr>
          <w:rFonts w:cs="Arial"/>
          <w:rtl/>
        </w:rPr>
        <w:t>בסחורה, ולא היו מעות, אלא דבר הצריך שומא</w:t>
      </w:r>
      <w:r>
        <w:rPr>
          <w:rFonts w:hint="cs"/>
          <w:rtl/>
        </w:rPr>
        <w:t>, רש"י.</w:t>
      </w:r>
    </w:p>
  </w:footnote>
  <w:footnote w:id="2192">
    <w:p w14:paraId="4708E973" w14:textId="77777777" w:rsidR="00392DBB" w:rsidRDefault="00392DBB" w:rsidP="00392DBB">
      <w:pPr>
        <w:pStyle w:val="a5"/>
        <w:rPr>
          <w:rtl/>
        </w:rPr>
      </w:pPr>
      <w:r>
        <w:rPr>
          <w:rStyle w:val="a7"/>
        </w:rPr>
        <w:footnoteRef/>
      </w:r>
      <w:r>
        <w:rPr>
          <w:rtl/>
        </w:rPr>
        <w:t xml:space="preserve"> </w:t>
      </w:r>
      <w:r>
        <w:rPr>
          <w:rFonts w:hint="cs"/>
          <w:rtl/>
        </w:rPr>
        <w:t>בדף ל ע"ב. וז"ל ה</w:t>
      </w:r>
      <w:r w:rsidRPr="00B95108">
        <w:rPr>
          <w:rFonts w:cs="Arial"/>
          <w:rtl/>
        </w:rPr>
        <w:t>משנה</w:t>
      </w:r>
      <w:r>
        <w:rPr>
          <w:rFonts w:cs="Arial" w:hint="cs"/>
          <w:rtl/>
        </w:rPr>
        <w:t>-</w:t>
      </w:r>
      <w:r w:rsidRPr="00B95108">
        <w:rPr>
          <w:rFonts w:cs="Arial"/>
          <w:rtl/>
        </w:rPr>
        <w:t xml:space="preserve"> אי זו היא אבידה? מצא חמור או פרה רועין בדרך - אין זו אבידה, חמור וכליו הפוכין, פרה רצה בין הכרמים - הרי זו אבידה. החזירה וברחה, החזירה וברחה, אפילו ארבעה וחמישה פעמים - חייב להחזירה, שנאמר השב תשיבם. היה בטל מסלע לא יאמר לו תן לי סלע, אלא נותן לו שכרו כפועל. אם יש שם בית דין - מתנה בפני בית דין, אם אין שם בית דין בפני מי יתנה? שלו קודם.</w:t>
      </w:r>
    </w:p>
  </w:footnote>
  <w:footnote w:id="2193">
    <w:p w14:paraId="3BF0C854" w14:textId="77777777" w:rsidR="00392DBB" w:rsidRDefault="00392DBB" w:rsidP="00392DBB">
      <w:pPr>
        <w:pStyle w:val="a5"/>
      </w:pPr>
      <w:r>
        <w:rPr>
          <w:rStyle w:val="a7"/>
        </w:rPr>
        <w:footnoteRef/>
      </w:r>
      <w:r>
        <w:rPr>
          <w:rtl/>
        </w:rPr>
        <w:t xml:space="preserve"> </w:t>
      </w:r>
      <w:r w:rsidRPr="00672572">
        <w:rPr>
          <w:rFonts w:cs="Arial"/>
          <w:rtl/>
        </w:rPr>
        <w:t>שידעו שחלקתי בשוה</w:t>
      </w:r>
      <w:r>
        <w:rPr>
          <w:rFonts w:cs="Arial" w:hint="cs"/>
          <w:rtl/>
        </w:rPr>
        <w:t>, רש"י.</w:t>
      </w:r>
    </w:p>
  </w:footnote>
  <w:footnote w:id="2194">
    <w:p w14:paraId="1F421968" w14:textId="77777777" w:rsidR="00392DBB" w:rsidRDefault="00392DBB" w:rsidP="00392DBB">
      <w:pPr>
        <w:pStyle w:val="a5"/>
        <w:rPr>
          <w:rtl/>
        </w:rPr>
      </w:pPr>
      <w:r>
        <w:rPr>
          <w:rStyle w:val="a7"/>
        </w:rPr>
        <w:footnoteRef/>
      </w:r>
      <w:r>
        <w:rPr>
          <w:rtl/>
        </w:rPr>
        <w:t xml:space="preserve"> </w:t>
      </w:r>
      <w:r w:rsidRPr="00672572">
        <w:rPr>
          <w:rFonts w:cs="Arial"/>
          <w:rtl/>
        </w:rPr>
        <w:t>הניזונת מנכסי יתומים מוכרת למזונות</w:t>
      </w:r>
      <w:r>
        <w:rPr>
          <w:rFonts w:hint="cs"/>
          <w:rtl/>
        </w:rPr>
        <w:t>, רש"י.</w:t>
      </w:r>
    </w:p>
  </w:footnote>
  <w:footnote w:id="2195">
    <w:p w14:paraId="45D56AEB" w14:textId="77777777" w:rsidR="00392DBB" w:rsidRDefault="00392DBB" w:rsidP="00392DBB">
      <w:pPr>
        <w:pStyle w:val="a5"/>
      </w:pPr>
      <w:r>
        <w:rPr>
          <w:rStyle w:val="a7"/>
        </w:rPr>
        <w:footnoteRef/>
      </w:r>
      <w:r>
        <w:rPr>
          <w:rtl/>
        </w:rPr>
        <w:t xml:space="preserve"> </w:t>
      </w:r>
      <w:r w:rsidRPr="00672572">
        <w:rPr>
          <w:rFonts w:cs="Arial"/>
          <w:rtl/>
        </w:rPr>
        <w:t>ובלבד שיראו שנים שלא תמכור בזול</w:t>
      </w:r>
      <w:r>
        <w:rPr>
          <w:rFonts w:cs="Arial" w:hint="cs"/>
          <w:rtl/>
        </w:rPr>
        <w:t>, רש"י.</w:t>
      </w:r>
    </w:p>
  </w:footnote>
  <w:footnote w:id="2196">
    <w:p w14:paraId="2773A5CB" w14:textId="77777777" w:rsidR="00392DBB" w:rsidRPr="003C5FB2" w:rsidRDefault="00392DBB" w:rsidP="00392DBB">
      <w:pPr>
        <w:pStyle w:val="a5"/>
        <w:rPr>
          <w:color w:val="000000" w:themeColor="text1"/>
        </w:rPr>
      </w:pPr>
      <w:r w:rsidRPr="003C5FB2">
        <w:rPr>
          <w:rStyle w:val="a7"/>
          <w:color w:val="000000" w:themeColor="text1"/>
        </w:rPr>
        <w:footnoteRef/>
      </w:r>
      <w:r w:rsidRPr="003C5FB2">
        <w:rPr>
          <w:color w:val="000000" w:themeColor="text1"/>
          <w:rtl/>
        </w:rPr>
        <w:t xml:space="preserve"> </w:t>
      </w:r>
      <w:r w:rsidRPr="003C5FB2">
        <w:rPr>
          <w:rFonts w:hint="cs"/>
          <w:color w:val="000000" w:themeColor="text1"/>
          <w:rtl/>
        </w:rPr>
        <w:t>וצל"ע מדוע כתב הב"י כן. והרי רש"י לא כתב כן אלא על פי סברת רב ספרא שרצה להוכיח משם שלא צריך למכור בפני ב"ד. ועוד שמפשט דברי הגמ' מוכח שצריך ג' הדיוטות, וא"כ איך יעלה על הדעת שרש"י פירש להיפך דברי הגמ'. וצל"ע.</w:t>
      </w:r>
    </w:p>
  </w:footnote>
  <w:footnote w:id="2197">
    <w:p w14:paraId="1AAC3038" w14:textId="77777777" w:rsidR="00392DBB" w:rsidRDefault="00392DBB" w:rsidP="00392DBB">
      <w:pPr>
        <w:pStyle w:val="a5"/>
      </w:pPr>
      <w:r>
        <w:rPr>
          <w:rStyle w:val="a7"/>
        </w:rPr>
        <w:footnoteRef/>
      </w:r>
      <w:r>
        <w:rPr>
          <w:rtl/>
        </w:rPr>
        <w:t xml:space="preserve"> </w:t>
      </w:r>
      <w:r>
        <w:rPr>
          <w:rFonts w:cs="Arial"/>
          <w:rtl/>
        </w:rPr>
        <w:t xml:space="preserve">וכתב המרדכי </w:t>
      </w:r>
      <w:r>
        <w:rPr>
          <w:rFonts w:cs="Arial" w:hint="cs"/>
          <w:rtl/>
        </w:rPr>
        <w:t>(</w:t>
      </w:r>
      <w:r>
        <w:rPr>
          <w:rFonts w:cs="Arial"/>
          <w:rtl/>
        </w:rPr>
        <w:t>פ</w:t>
      </w:r>
      <w:r>
        <w:rPr>
          <w:rFonts w:cs="Arial" w:hint="cs"/>
          <w:rtl/>
        </w:rPr>
        <w:t>'</w:t>
      </w:r>
      <w:r>
        <w:rPr>
          <w:rFonts w:cs="Arial"/>
          <w:rtl/>
        </w:rPr>
        <w:t xml:space="preserve"> הכותב סי' רכד) דדוקא במכרה היא בעצמה שלא בבית דין הוא דאינה צריכה הכרזה הואיל והפסידה לעצמה אם יפחות אבל היכא דבית דין מגבין ובית דין צריכין למכור התם צריך הכרזה משום דאם יטעו בפחות משתות הוי פסידא דיתמי</w:t>
      </w:r>
      <w:r>
        <w:rPr>
          <w:rFonts w:cs="Arial" w:hint="cs"/>
          <w:rtl/>
        </w:rPr>
        <w:t>, ב"י.</w:t>
      </w:r>
      <w:r w:rsidRPr="00031435">
        <w:rPr>
          <w:rFonts w:cs="Arial"/>
          <w:rtl/>
        </w:rPr>
        <w:t xml:space="preserve"> וכמו שכתב הטור לקמן (ריש) סימן ק"ד וכן הוא במשנה פרק שום היתומים (ערכין כא</w:t>
      </w:r>
      <w:r>
        <w:rPr>
          <w:rFonts w:cs="Arial" w:hint="cs"/>
          <w:rtl/>
        </w:rPr>
        <w:t>:</w:t>
      </w:r>
      <w:r w:rsidRPr="00031435">
        <w:rPr>
          <w:rFonts w:cs="Arial"/>
          <w:rtl/>
        </w:rPr>
        <w:t>)</w:t>
      </w:r>
      <w:r>
        <w:rPr>
          <w:rFonts w:cs="Arial" w:hint="cs"/>
          <w:rtl/>
        </w:rPr>
        <w:t>, דרכ"מ (אות א).</w:t>
      </w:r>
    </w:p>
  </w:footnote>
  <w:footnote w:id="2198">
    <w:p w14:paraId="5AC29528" w14:textId="5F99FD6B" w:rsidR="00392DBB" w:rsidRDefault="00392DBB" w:rsidP="00392DBB">
      <w:pPr>
        <w:pStyle w:val="a5"/>
        <w:rPr>
          <w:rtl/>
        </w:rPr>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9C33F7">
        <w:rPr>
          <w:rFonts w:cs="Arial"/>
          <w:rtl/>
        </w:rPr>
        <w:t>אם מכרה למזונות בינה לבין עצמה שוה בשוה מכרה קיים, וכשיבאו היורשין להשביע אותה נשבעת.</w:t>
      </w:r>
    </w:p>
  </w:footnote>
  <w:footnote w:id="2199">
    <w:p w14:paraId="75E0FDF0" w14:textId="77777777" w:rsidR="00392DBB" w:rsidRDefault="00392DBB" w:rsidP="00392DBB">
      <w:pPr>
        <w:pStyle w:val="a5"/>
      </w:pPr>
      <w:r>
        <w:rPr>
          <w:rStyle w:val="a7"/>
        </w:rPr>
        <w:footnoteRef/>
      </w:r>
      <w:r>
        <w:rPr>
          <w:rtl/>
        </w:rPr>
        <w:t xml:space="preserve"> </w:t>
      </w:r>
      <w:r>
        <w:rPr>
          <w:rFonts w:hint="cs"/>
          <w:rtl/>
        </w:rPr>
        <w:t>השו"ע הביא דין שבועה זו בסע' ד.</w:t>
      </w:r>
    </w:p>
  </w:footnote>
  <w:footnote w:id="2200">
    <w:p w14:paraId="537ADB4B" w14:textId="77777777" w:rsidR="00392DBB" w:rsidRDefault="00392DBB" w:rsidP="00392DBB">
      <w:pPr>
        <w:pStyle w:val="a5"/>
      </w:pPr>
      <w:r>
        <w:rPr>
          <w:rStyle w:val="a7"/>
        </w:rPr>
        <w:footnoteRef/>
      </w:r>
      <w:r>
        <w:rPr>
          <w:rtl/>
        </w:rPr>
        <w:t xml:space="preserve"> </w:t>
      </w:r>
      <w:r>
        <w:rPr>
          <w:rFonts w:hint="cs"/>
          <w:rtl/>
        </w:rPr>
        <w:t>השו"ע הביא חילוק זה בסע' ה.</w:t>
      </w:r>
    </w:p>
  </w:footnote>
  <w:footnote w:id="2201">
    <w:p w14:paraId="2B3BB6DF" w14:textId="43163D71"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F71E3F">
        <w:rPr>
          <w:rFonts w:cs="Arial"/>
          <w:rtl/>
        </w:rPr>
        <w:t>היתה כתובתה ארבע מאות וכו'. משנה שם</w:t>
      </w:r>
      <w:r>
        <w:rPr>
          <w:rFonts w:cs="Arial" w:hint="cs"/>
          <w:rtl/>
        </w:rPr>
        <w:t>.</w:t>
      </w:r>
      <w:r w:rsidRPr="00F71E3F">
        <w:rPr>
          <w:rFonts w:cs="Arial"/>
          <w:rtl/>
        </w:rPr>
        <w:t xml:space="preserve"> ודין צאן ברזל בדברים אלו נראה שהוא כדין העיקר והתוספת</w:t>
      </w:r>
      <w:r>
        <w:rPr>
          <w:rFonts w:cs="Arial" w:hint="cs"/>
          <w:rtl/>
        </w:rPr>
        <w:t>,</w:t>
      </w:r>
      <w:r w:rsidRPr="00F71E3F">
        <w:rPr>
          <w:rFonts w:cs="Arial"/>
          <w:rtl/>
        </w:rPr>
        <w:t xml:space="preserve"> לפי שיפוי כח הוא לאשה</w:t>
      </w:r>
      <w:r>
        <w:rPr>
          <w:rFonts w:cs="Arial" w:hint="cs"/>
          <w:rtl/>
        </w:rPr>
        <w:t>,</w:t>
      </w:r>
      <w:r w:rsidRPr="00F71E3F">
        <w:rPr>
          <w:rFonts w:cs="Arial"/>
          <w:rtl/>
        </w:rPr>
        <w:t xml:space="preserve"> מפני שאדם רוצה שלא תתבזה אשתו בב"ד</w:t>
      </w:r>
      <w:r>
        <w:rPr>
          <w:rFonts w:cs="Arial" w:hint="cs"/>
          <w:rtl/>
        </w:rPr>
        <w:t>,</w:t>
      </w:r>
      <w:r w:rsidRPr="00F71E3F">
        <w:rPr>
          <w:rFonts w:cs="Arial"/>
          <w:rtl/>
        </w:rPr>
        <w:t xml:space="preserve"> וכמו שנזכר בגמרא וכמ"ש למעלה</w:t>
      </w:r>
      <w:r>
        <w:rPr>
          <w:rFonts w:cs="Arial" w:hint="cs"/>
          <w:rtl/>
        </w:rPr>
        <w:t>.</w:t>
      </w:r>
      <w:r w:rsidRPr="00F71E3F">
        <w:rPr>
          <w:rFonts w:cs="Arial"/>
          <w:rtl/>
        </w:rPr>
        <w:t xml:space="preserve"> ואם במה שלא חסר הוא בו כלום אמרו כן</w:t>
      </w:r>
      <w:r>
        <w:rPr>
          <w:rFonts w:cs="Arial" w:hint="cs"/>
          <w:rtl/>
        </w:rPr>
        <w:t>,</w:t>
      </w:r>
      <w:r w:rsidRPr="00F71E3F">
        <w:rPr>
          <w:rFonts w:cs="Arial"/>
          <w:rtl/>
        </w:rPr>
        <w:t xml:space="preserve"> כ"ש בנכסי צאן ברזל שהביאה משלה</w:t>
      </w:r>
      <w:r>
        <w:rPr>
          <w:rFonts w:cs="Arial" w:hint="cs"/>
          <w:rtl/>
        </w:rPr>
        <w:t>.</w:t>
      </w:r>
      <w:r w:rsidRPr="00F71E3F">
        <w:rPr>
          <w:rFonts w:cs="Arial"/>
          <w:rtl/>
        </w:rPr>
        <w:t xml:space="preserve"> כך נראה לי</w:t>
      </w:r>
      <w:r>
        <w:rPr>
          <w:rFonts w:cs="Arial" w:hint="cs"/>
          <w:rtl/>
        </w:rPr>
        <w:t xml:space="preserve">, </w:t>
      </w:r>
      <w:r w:rsidRPr="00F71E3F">
        <w:rPr>
          <w:rFonts w:cs="Arial"/>
          <w:rtl/>
        </w:rPr>
        <w:t>ואפי' לדעת רבינו שהוא מחלק בשאר דברים בין נכסי צאן ברזל לעיקר ותוספת כמו שנתבאר</w:t>
      </w:r>
      <w:r>
        <w:rPr>
          <w:rFonts w:cs="Arial" w:hint="cs"/>
          <w:rtl/>
        </w:rPr>
        <w:t>.</w:t>
      </w:r>
    </w:p>
  </w:footnote>
  <w:footnote w:id="2202">
    <w:p w14:paraId="2CE34EB2" w14:textId="77777777" w:rsidR="00392DBB" w:rsidRDefault="00392DBB" w:rsidP="00392DBB">
      <w:pPr>
        <w:pStyle w:val="a5"/>
      </w:pPr>
      <w:r>
        <w:rPr>
          <w:rStyle w:val="a7"/>
        </w:rPr>
        <w:footnoteRef/>
      </w:r>
      <w:r>
        <w:rPr>
          <w:rtl/>
        </w:rPr>
        <w:t xml:space="preserve"> </w:t>
      </w:r>
      <w:r w:rsidRPr="000A6955">
        <w:rPr>
          <w:rFonts w:cs="Arial"/>
          <w:rtl/>
        </w:rPr>
        <w:t>דכבר נתבאר לעיל סי' נ"ד סעיף ו' דארוסה אין לה כתובה אם לא כתב לה ושי"א דארוסה יש לה כתובה אבל המנהג כסבר' הראשונה</w:t>
      </w:r>
      <w:r>
        <w:rPr>
          <w:rFonts w:cs="Arial" w:hint="cs"/>
          <w:rtl/>
        </w:rPr>
        <w:t>, ח"מ (סק"א).</w:t>
      </w:r>
    </w:p>
  </w:footnote>
  <w:footnote w:id="2203">
    <w:p w14:paraId="274ED9A8" w14:textId="77777777" w:rsidR="00392DBB" w:rsidRDefault="00392DBB" w:rsidP="00392DBB">
      <w:pPr>
        <w:pStyle w:val="a5"/>
      </w:pPr>
      <w:r>
        <w:rPr>
          <w:rStyle w:val="a7"/>
        </w:rPr>
        <w:footnoteRef/>
      </w:r>
      <w:r>
        <w:rPr>
          <w:rtl/>
        </w:rPr>
        <w:t xml:space="preserve"> </w:t>
      </w:r>
      <w:r w:rsidRPr="002F7161">
        <w:rPr>
          <w:rFonts w:cs="Arial"/>
          <w:rtl/>
        </w:rPr>
        <w:t>הטעם מבואר בש"ס</w:t>
      </w:r>
      <w:r>
        <w:rPr>
          <w:rFonts w:cs="Arial" w:hint="cs"/>
          <w:rtl/>
        </w:rPr>
        <w:t>,</w:t>
      </w:r>
      <w:r w:rsidRPr="002F7161">
        <w:rPr>
          <w:rFonts w:cs="Arial"/>
          <w:rtl/>
        </w:rPr>
        <w:t xml:space="preserve"> טעם א'</w:t>
      </w:r>
      <w:r>
        <w:rPr>
          <w:rFonts w:cs="Arial" w:hint="cs"/>
          <w:rtl/>
        </w:rPr>
        <w:t>-</w:t>
      </w:r>
      <w:r w:rsidRPr="002F7161">
        <w:rPr>
          <w:rFonts w:cs="Arial"/>
          <w:rtl/>
        </w:rPr>
        <w:t xml:space="preserve"> מש</w:t>
      </w:r>
      <w:r>
        <w:rPr>
          <w:rFonts w:cs="Arial" w:hint="cs"/>
          <w:rtl/>
        </w:rPr>
        <w:t>ו</w:t>
      </w:r>
      <w:r w:rsidRPr="002F7161">
        <w:rPr>
          <w:rFonts w:cs="Arial"/>
          <w:rtl/>
        </w:rPr>
        <w:t>ם חינא</w:t>
      </w:r>
      <w:r>
        <w:rPr>
          <w:rFonts w:cs="Arial" w:hint="cs"/>
          <w:rtl/>
        </w:rPr>
        <w:t>,</w:t>
      </w:r>
      <w:r w:rsidRPr="002F7161">
        <w:rPr>
          <w:rFonts w:cs="Arial"/>
          <w:rtl/>
        </w:rPr>
        <w:t xml:space="preserve"> היינו שיהיה לה חן היינו ממון לישא בעל</w:t>
      </w:r>
      <w:r>
        <w:rPr>
          <w:rFonts w:cs="Arial" w:hint="cs"/>
          <w:rtl/>
        </w:rPr>
        <w:t>.</w:t>
      </w:r>
      <w:r w:rsidRPr="002F7161">
        <w:rPr>
          <w:rFonts w:cs="Arial"/>
          <w:rtl/>
        </w:rPr>
        <w:t xml:space="preserve"> ב'</w:t>
      </w:r>
      <w:r>
        <w:rPr>
          <w:rFonts w:cs="Arial" w:hint="cs"/>
          <w:rtl/>
        </w:rPr>
        <w:t>-</w:t>
      </w:r>
      <w:r w:rsidRPr="002F7161">
        <w:rPr>
          <w:rFonts w:cs="Arial"/>
          <w:rtl/>
        </w:rPr>
        <w:t xml:space="preserve"> כדי שלא תתבזה בב"ד</w:t>
      </w:r>
      <w:r>
        <w:rPr>
          <w:rFonts w:cs="Arial" w:hint="cs"/>
          <w:rtl/>
        </w:rPr>
        <w:t>.</w:t>
      </w:r>
      <w:r w:rsidRPr="002F7161">
        <w:rPr>
          <w:rFonts w:cs="Arial"/>
          <w:rtl/>
        </w:rPr>
        <w:t xml:space="preserve"> ונ"מ מטעם א' גרושה דאינו מקפיד על ביזוי שלה אבל משום חן איכ</w:t>
      </w:r>
      <w:r>
        <w:rPr>
          <w:rFonts w:cs="Arial" w:hint="cs"/>
          <w:rtl/>
        </w:rPr>
        <w:t>א.</w:t>
      </w:r>
      <w:r w:rsidRPr="002F7161">
        <w:rPr>
          <w:rFonts w:cs="Arial"/>
          <w:rtl/>
        </w:rPr>
        <w:t xml:space="preserve"> ולדעת הטור אם כבר נשאת לאחד אינו מקפיד על ביזוי שלה וכן לא שייך חן אא"כ דנשאת על סמך מעות זה כמ"ש בש"ג</w:t>
      </w:r>
      <w:r>
        <w:rPr>
          <w:rFonts w:cs="Arial" w:hint="cs"/>
          <w:rtl/>
        </w:rPr>
        <w:t>.</w:t>
      </w:r>
      <w:r w:rsidRPr="002F7161">
        <w:rPr>
          <w:rFonts w:cs="Arial"/>
          <w:rtl/>
        </w:rPr>
        <w:t xml:space="preserve"> ואפשר אם נשתדך לאחר ג"כ אינו מקפיד על ביזוי שלה</w:t>
      </w:r>
      <w:r>
        <w:rPr>
          <w:rFonts w:cs="Arial" w:hint="cs"/>
          <w:rtl/>
        </w:rPr>
        <w:t>.</w:t>
      </w:r>
      <w:r w:rsidRPr="002F7161">
        <w:rPr>
          <w:rFonts w:cs="Arial"/>
          <w:rtl/>
        </w:rPr>
        <w:t xml:space="preserve"> ופסק הרמב"ם והרא"ש משום דאל תתבזה אע"ג </w:t>
      </w:r>
      <w:r>
        <w:rPr>
          <w:rFonts w:cs="Arial" w:hint="cs"/>
          <w:rtl/>
        </w:rPr>
        <w:t>ד</w:t>
      </w:r>
      <w:r w:rsidRPr="002F7161">
        <w:rPr>
          <w:rFonts w:cs="Arial"/>
          <w:rtl/>
        </w:rPr>
        <w:t>לענין אין נזקקים לנכסי יתומים קי"ל משום חינא כמ"ש בסי' צ"ו הכא אין לה שום הפסד פסקו הטעם משום אל תתבזה</w:t>
      </w:r>
      <w:r>
        <w:rPr>
          <w:rFonts w:cs="Arial" w:hint="cs"/>
          <w:rtl/>
        </w:rPr>
        <w:t>.</w:t>
      </w:r>
      <w:r w:rsidRPr="002F7161">
        <w:rPr>
          <w:rFonts w:cs="Arial"/>
          <w:rtl/>
        </w:rPr>
        <w:t xml:space="preserve"> והרשב"א פסק הטעם משום חינא</w:t>
      </w:r>
      <w:r>
        <w:rPr>
          <w:rFonts w:cs="Arial" w:hint="cs"/>
          <w:rtl/>
        </w:rPr>
        <w:t>.</w:t>
      </w:r>
      <w:r w:rsidRPr="002F7161">
        <w:rPr>
          <w:rFonts w:cs="Arial"/>
          <w:rtl/>
        </w:rPr>
        <w:t xml:space="preserve"> ועוד נ"מ מטעמים הללו לטעם שלא תתבזה </w:t>
      </w:r>
      <w:r>
        <w:rPr>
          <w:rFonts w:cs="Arial" w:hint="cs"/>
          <w:rtl/>
        </w:rPr>
        <w:t>ד</w:t>
      </w:r>
      <w:r w:rsidRPr="002F7161">
        <w:rPr>
          <w:rFonts w:cs="Arial"/>
          <w:rtl/>
        </w:rPr>
        <w:t>אז יורשים בין זכרים ובין נקבות מוכרים שלא בב"ד</w:t>
      </w:r>
      <w:r>
        <w:rPr>
          <w:rFonts w:cs="Arial" w:hint="cs"/>
          <w:rtl/>
        </w:rPr>
        <w:t>.</w:t>
      </w:r>
      <w:r w:rsidRPr="002F7161">
        <w:rPr>
          <w:rFonts w:cs="Arial"/>
          <w:rtl/>
        </w:rPr>
        <w:t xml:space="preserve"> אבל לפי הטעם משום חן דוק</w:t>
      </w:r>
      <w:r>
        <w:rPr>
          <w:rFonts w:cs="Arial" w:hint="cs"/>
          <w:rtl/>
        </w:rPr>
        <w:t>א</w:t>
      </w:r>
      <w:r w:rsidRPr="002F7161">
        <w:rPr>
          <w:rFonts w:cs="Arial"/>
          <w:rtl/>
        </w:rPr>
        <w:t xml:space="preserve"> נקבות מוכרים בלא ב"ד כמ"ש בש"ס</w:t>
      </w:r>
      <w:r>
        <w:rPr>
          <w:rFonts w:cs="Arial" w:hint="cs"/>
          <w:rtl/>
        </w:rPr>
        <w:t>.</w:t>
      </w:r>
      <w:r w:rsidRPr="002F7161">
        <w:rPr>
          <w:rFonts w:cs="Arial"/>
          <w:rtl/>
        </w:rPr>
        <w:t xml:space="preserve"> והא דא"צ הכרזה כתב הרא"ש גם כן הטעם שאל תתבזה</w:t>
      </w:r>
      <w:r>
        <w:rPr>
          <w:rFonts w:cs="Arial" w:hint="cs"/>
          <w:rtl/>
        </w:rPr>
        <w:t>.</w:t>
      </w:r>
      <w:r w:rsidRPr="002F7161">
        <w:rPr>
          <w:rFonts w:cs="Arial"/>
          <w:rtl/>
        </w:rPr>
        <w:t xml:space="preserve"> ולהריטב"א איירי כל זה כשאין לה מזונות</w:t>
      </w:r>
      <w:r>
        <w:rPr>
          <w:rFonts w:cs="Arial" w:hint="cs"/>
          <w:rtl/>
        </w:rPr>
        <w:t>,</w:t>
      </w:r>
      <w:r w:rsidRPr="002F7161">
        <w:rPr>
          <w:rFonts w:cs="Arial"/>
          <w:rtl/>
        </w:rPr>
        <w:t xml:space="preserve"> אבל אם יש לה מזונות רשאי למכור בלא ב"ד לגבות הכתובה כדי שאל תהיה לה מזונות אפי' היכ' דלא שייך טעמים אלו ואז צריכה למכור לצורך כל הכתובה כדי שתפסיד המזונות</w:t>
      </w:r>
      <w:r>
        <w:rPr>
          <w:rFonts w:cs="Arial" w:hint="cs"/>
          <w:rtl/>
        </w:rPr>
        <w:t>, ב"ש (סק"א).</w:t>
      </w:r>
    </w:p>
  </w:footnote>
  <w:footnote w:id="2204">
    <w:p w14:paraId="1700D774" w14:textId="77777777" w:rsidR="00392DBB" w:rsidRDefault="00392DBB" w:rsidP="00392DBB">
      <w:pPr>
        <w:pStyle w:val="a5"/>
      </w:pPr>
      <w:r>
        <w:rPr>
          <w:rStyle w:val="a7"/>
        </w:rPr>
        <w:footnoteRef/>
      </w:r>
      <w:r>
        <w:rPr>
          <w:rtl/>
        </w:rPr>
        <w:t xml:space="preserve"> </w:t>
      </w:r>
      <w:r>
        <w:rPr>
          <w:rFonts w:cs="Arial" w:hint="cs"/>
          <w:rtl/>
        </w:rPr>
        <w:t>ו</w:t>
      </w:r>
      <w:r w:rsidRPr="000A6955">
        <w:rPr>
          <w:rFonts w:cs="Arial"/>
          <w:rtl/>
        </w:rPr>
        <w:t>עכ"פ צריכה שבועה קודם שתמכור</w:t>
      </w:r>
      <w:r>
        <w:rPr>
          <w:rFonts w:cs="Arial" w:hint="cs"/>
          <w:rtl/>
        </w:rPr>
        <w:t>,</w:t>
      </w:r>
      <w:r w:rsidRPr="000A6955">
        <w:rPr>
          <w:rFonts w:cs="Arial"/>
          <w:rtl/>
        </w:rPr>
        <w:t xml:space="preserve"> כדמסקינן בגמ' מוכרה שלא בב"ד צריכה שבועה ואינה צריכה הכרזה</w:t>
      </w:r>
      <w:r>
        <w:rPr>
          <w:rFonts w:cs="Arial" w:hint="cs"/>
          <w:rtl/>
        </w:rPr>
        <w:t>,</w:t>
      </w:r>
      <w:r w:rsidRPr="000A6955">
        <w:rPr>
          <w:rFonts w:cs="Arial"/>
          <w:rtl/>
        </w:rPr>
        <w:t xml:space="preserve"> וכבר נתבאר בסימן צ"ו דין השבועה ואם מכרה קודם השבועה</w:t>
      </w:r>
      <w:r>
        <w:rPr>
          <w:rFonts w:cs="Arial" w:hint="cs"/>
          <w:rtl/>
        </w:rPr>
        <w:t>, ח"מ (סק"ב).</w:t>
      </w:r>
    </w:p>
  </w:footnote>
  <w:footnote w:id="2205">
    <w:p w14:paraId="16563351" w14:textId="77777777" w:rsidR="00392DBB" w:rsidRDefault="00392DBB" w:rsidP="00392DBB">
      <w:pPr>
        <w:pStyle w:val="a5"/>
        <w:rPr>
          <w:rtl/>
        </w:rPr>
      </w:pPr>
      <w:r>
        <w:rPr>
          <w:rStyle w:val="a7"/>
        </w:rPr>
        <w:footnoteRef/>
      </w:r>
      <w:r>
        <w:rPr>
          <w:rtl/>
        </w:rPr>
        <w:t xml:space="preserve"> </w:t>
      </w:r>
      <w:r w:rsidRPr="000A6955">
        <w:rPr>
          <w:rFonts w:cs="Arial"/>
          <w:rtl/>
        </w:rPr>
        <w:t>וכתב המ"מ ופי' אע</w:t>
      </w:r>
      <w:r>
        <w:rPr>
          <w:rFonts w:cs="Arial" w:hint="cs"/>
          <w:rtl/>
        </w:rPr>
        <w:t>"</w:t>
      </w:r>
      <w:r w:rsidRPr="000A6955">
        <w:rPr>
          <w:rFonts w:cs="Arial"/>
          <w:rtl/>
        </w:rPr>
        <w:t>ג דליכא בינייהו מאן דגמיר וסביר ואינם ראוים לדון דיני ממונות</w:t>
      </w:r>
      <w:r>
        <w:rPr>
          <w:rFonts w:cs="Arial" w:hint="cs"/>
          <w:rtl/>
        </w:rPr>
        <w:t>,</w:t>
      </w:r>
      <w:r w:rsidRPr="000A6955">
        <w:rPr>
          <w:rFonts w:cs="Arial"/>
          <w:rtl/>
        </w:rPr>
        <w:t xml:space="preserve"> שאל"כ במה יפה כחם יותר משאר דיינין</w:t>
      </w:r>
      <w:r>
        <w:rPr>
          <w:rFonts w:cs="Arial" w:hint="cs"/>
          <w:rtl/>
        </w:rPr>
        <w:t>, ח"מ (סק"ב).</w:t>
      </w:r>
      <w:r>
        <w:rPr>
          <w:rFonts w:hint="cs"/>
          <w:rtl/>
        </w:rPr>
        <w:t xml:space="preserve"> וכ"כ הב"ש (סק"ב) בשם הר"ן, וכתב </w:t>
      </w:r>
      <w:r>
        <w:rPr>
          <w:rFonts w:cs="Arial" w:hint="cs"/>
          <w:rtl/>
        </w:rPr>
        <w:t>ד</w:t>
      </w:r>
      <w:r w:rsidRPr="002F7161">
        <w:rPr>
          <w:rFonts w:cs="Arial"/>
          <w:rtl/>
        </w:rPr>
        <w:t>מה שנקרא בעלמ</w:t>
      </w:r>
      <w:r>
        <w:rPr>
          <w:rFonts w:cs="Arial" w:hint="cs"/>
          <w:rtl/>
        </w:rPr>
        <w:t>א</w:t>
      </w:r>
      <w:r w:rsidRPr="002F7161">
        <w:rPr>
          <w:rFonts w:cs="Arial"/>
          <w:rtl/>
        </w:rPr>
        <w:t xml:space="preserve"> ב"ד הדיוטים נקרא כאן ב"ד מומחין והדיוטים כאן הם הדיוטים ממש דלית בהו גמיר וסביר אלא בקיאין בשומא</w:t>
      </w:r>
      <w:r>
        <w:rPr>
          <w:rFonts w:cs="Arial" w:hint="cs"/>
          <w:rtl/>
        </w:rPr>
        <w:t>.</w:t>
      </w:r>
    </w:p>
  </w:footnote>
  <w:footnote w:id="2206">
    <w:p w14:paraId="03FB6A6B" w14:textId="77777777" w:rsidR="00392DBB" w:rsidRDefault="00392DBB" w:rsidP="00392DBB">
      <w:pPr>
        <w:pStyle w:val="a5"/>
      </w:pPr>
      <w:r>
        <w:rPr>
          <w:rStyle w:val="a7"/>
        </w:rPr>
        <w:footnoteRef/>
      </w:r>
      <w:r>
        <w:rPr>
          <w:rtl/>
        </w:rPr>
        <w:t xml:space="preserve"> </w:t>
      </w:r>
      <w:r w:rsidRPr="000A6955">
        <w:rPr>
          <w:rFonts w:cs="Arial"/>
          <w:rtl/>
        </w:rPr>
        <w:t>נראה דלאו דוק</w:t>
      </w:r>
      <w:r>
        <w:rPr>
          <w:rFonts w:cs="Arial" w:hint="cs"/>
          <w:rtl/>
        </w:rPr>
        <w:t>א</w:t>
      </w:r>
      <w:r w:rsidRPr="000A6955">
        <w:rPr>
          <w:rFonts w:cs="Arial"/>
          <w:rtl/>
        </w:rPr>
        <w:t xml:space="preserve"> קרקע</w:t>
      </w:r>
      <w:r>
        <w:rPr>
          <w:rFonts w:cs="Arial" w:hint="cs"/>
          <w:rtl/>
        </w:rPr>
        <w:t>,</w:t>
      </w:r>
      <w:r w:rsidRPr="000A6955">
        <w:rPr>
          <w:rFonts w:cs="Arial"/>
          <w:rtl/>
        </w:rPr>
        <w:t xml:space="preserve"> דה"ה אם מוכרת מטלטלין לאחר תקנת הגאונים צריכה ג' אנשים בקיאים בשומ</w:t>
      </w:r>
      <w:r>
        <w:rPr>
          <w:rFonts w:cs="Arial" w:hint="cs"/>
          <w:rtl/>
        </w:rPr>
        <w:t>א.</w:t>
      </w:r>
      <w:r w:rsidRPr="000A6955">
        <w:rPr>
          <w:rFonts w:cs="Arial"/>
          <w:rtl/>
        </w:rPr>
        <w:t xml:space="preserve"> וכ"כ הרי"ף והרא"ש כגון גברי מהימנ' ובקיאי בשומ</w:t>
      </w:r>
      <w:r>
        <w:rPr>
          <w:rFonts w:cs="Arial" w:hint="cs"/>
          <w:rtl/>
        </w:rPr>
        <w:t>א..., ח"מ (סק"ב).</w:t>
      </w:r>
    </w:p>
  </w:footnote>
  <w:footnote w:id="2207">
    <w:p w14:paraId="5F2E42FE" w14:textId="77777777" w:rsidR="00392DBB" w:rsidRDefault="00392DBB" w:rsidP="00392DBB">
      <w:pPr>
        <w:pStyle w:val="a5"/>
      </w:pPr>
      <w:r>
        <w:rPr>
          <w:rStyle w:val="a7"/>
        </w:rPr>
        <w:footnoteRef/>
      </w:r>
      <w:r>
        <w:rPr>
          <w:rtl/>
        </w:rPr>
        <w:t xml:space="preserve"> </w:t>
      </w:r>
      <w:r w:rsidRPr="000935A8">
        <w:rPr>
          <w:rFonts w:cs="Arial"/>
          <w:rtl/>
        </w:rPr>
        <w:t>הנה הריטב"א ס"ל לעיקר כתובה מוכרת בלא ב"ד אבל לא לצורך תוס' כתובה או לצורך נדוני</w:t>
      </w:r>
      <w:r>
        <w:rPr>
          <w:rFonts w:cs="Arial" w:hint="cs"/>
          <w:rtl/>
        </w:rPr>
        <w:t>א.</w:t>
      </w:r>
      <w:r w:rsidRPr="000935A8">
        <w:rPr>
          <w:rFonts w:cs="Arial"/>
          <w:rtl/>
        </w:rPr>
        <w:t xml:space="preserve"> והמגיד חולק ע"ז וס"ל אם הקילו בדבר שאין לה חסרון מכ"ש בנדוני</w:t>
      </w:r>
      <w:r>
        <w:rPr>
          <w:rFonts w:cs="Arial" w:hint="cs"/>
          <w:rtl/>
        </w:rPr>
        <w:t>א.</w:t>
      </w:r>
      <w:r w:rsidRPr="000935A8">
        <w:rPr>
          <w:rFonts w:cs="Arial"/>
          <w:rtl/>
        </w:rPr>
        <w:t xml:space="preserve"> ורמ"א שפסק כריטב"א ופסק אף תוס' כתובה מוכרת בלא ב"ד</w:t>
      </w:r>
      <w:r>
        <w:rPr>
          <w:rFonts w:cs="Arial" w:hint="cs"/>
          <w:rtl/>
        </w:rPr>
        <w:t>,</w:t>
      </w:r>
      <w:r w:rsidRPr="000935A8">
        <w:rPr>
          <w:rFonts w:cs="Arial"/>
          <w:rtl/>
        </w:rPr>
        <w:t xml:space="preserve"> אפשר משום הריטב"א איירי באשה שאין לה מזונות והרב רמ"א איירי באשה שיש לה מזונות</w:t>
      </w:r>
      <w:r>
        <w:rPr>
          <w:rFonts w:cs="Arial" w:hint="cs"/>
          <w:rtl/>
        </w:rPr>
        <w:t>.</w:t>
      </w:r>
      <w:r w:rsidRPr="000935A8">
        <w:rPr>
          <w:rFonts w:cs="Arial"/>
          <w:rtl/>
        </w:rPr>
        <w:t xml:space="preserve"> גם י"ל הריטב"א לא הכריע סבר</w:t>
      </w:r>
      <w:r>
        <w:rPr>
          <w:rFonts w:cs="Arial" w:hint="cs"/>
          <w:rtl/>
        </w:rPr>
        <w:t>א</w:t>
      </w:r>
      <w:r w:rsidRPr="000935A8">
        <w:rPr>
          <w:rFonts w:cs="Arial"/>
          <w:rtl/>
        </w:rPr>
        <w:t xml:space="preserve"> זו אלא כתב </w:t>
      </w:r>
      <w:r>
        <w:rPr>
          <w:rFonts w:cs="Arial" w:hint="cs"/>
          <w:rtl/>
        </w:rPr>
        <w:t>"</w:t>
      </w:r>
      <w:r w:rsidRPr="000935A8">
        <w:rPr>
          <w:rFonts w:cs="Arial"/>
          <w:rtl/>
        </w:rPr>
        <w:t>אפי' תימא תוס' כתובת ליכ</w:t>
      </w:r>
      <w:r>
        <w:rPr>
          <w:rFonts w:cs="Arial" w:hint="cs"/>
          <w:rtl/>
        </w:rPr>
        <w:t>א</w:t>
      </w:r>
      <w:r w:rsidRPr="000935A8">
        <w:rPr>
          <w:rFonts w:cs="Arial"/>
          <w:rtl/>
        </w:rPr>
        <w:t xml:space="preserve"> משום בזיון וליכא משום חינ</w:t>
      </w:r>
      <w:r>
        <w:rPr>
          <w:rFonts w:cs="Arial" w:hint="cs"/>
          <w:rtl/>
        </w:rPr>
        <w:t>א</w:t>
      </w:r>
      <w:r w:rsidRPr="000935A8">
        <w:rPr>
          <w:rFonts w:cs="Arial"/>
          <w:rtl/>
        </w:rPr>
        <w:t xml:space="preserve"> הא איכ</w:t>
      </w:r>
      <w:r>
        <w:rPr>
          <w:rFonts w:cs="Arial" w:hint="cs"/>
          <w:rtl/>
        </w:rPr>
        <w:t>א</w:t>
      </w:r>
      <w:r w:rsidRPr="000935A8">
        <w:rPr>
          <w:rFonts w:cs="Arial"/>
          <w:rtl/>
        </w:rPr>
        <w:t xml:space="preserve"> משום מזוני</w:t>
      </w:r>
      <w:r>
        <w:rPr>
          <w:rFonts w:cs="Arial" w:hint="cs"/>
          <w:rtl/>
        </w:rPr>
        <w:t>",</w:t>
      </w:r>
      <w:r w:rsidRPr="000935A8">
        <w:rPr>
          <w:rFonts w:cs="Arial"/>
          <w:rtl/>
        </w:rPr>
        <w:t xml:space="preserve"> משום הכי פוסק בזה כשיטת</w:t>
      </w:r>
      <w:r>
        <w:rPr>
          <w:rFonts w:cs="Arial" w:hint="cs"/>
          <w:rtl/>
        </w:rPr>
        <w:t>ו</w:t>
      </w:r>
      <w:r w:rsidRPr="000935A8">
        <w:rPr>
          <w:rFonts w:cs="Arial"/>
          <w:rtl/>
        </w:rPr>
        <w:t xml:space="preserve"> של המגיד</w:t>
      </w:r>
      <w:r>
        <w:rPr>
          <w:rFonts w:cs="Arial" w:hint="cs"/>
          <w:rtl/>
        </w:rPr>
        <w:t>, ב"ש (סק"ג).</w:t>
      </w:r>
    </w:p>
  </w:footnote>
  <w:footnote w:id="2208">
    <w:p w14:paraId="0CCCE5FD" w14:textId="77777777" w:rsidR="00392DBB" w:rsidRDefault="00392DBB" w:rsidP="00392DBB">
      <w:pPr>
        <w:pStyle w:val="a5"/>
      </w:pPr>
      <w:r>
        <w:rPr>
          <w:rStyle w:val="a7"/>
        </w:rPr>
        <w:footnoteRef/>
      </w:r>
      <w:r>
        <w:rPr>
          <w:rtl/>
        </w:rPr>
        <w:t xml:space="preserve"> </w:t>
      </w:r>
      <w:r w:rsidRPr="00DF144D">
        <w:rPr>
          <w:rFonts w:cs="Arial"/>
          <w:rtl/>
        </w:rPr>
        <w:t>אותם הקרקעות עצמן</w:t>
      </w:r>
      <w:r>
        <w:rPr>
          <w:rFonts w:cs="Arial" w:hint="cs"/>
          <w:rtl/>
        </w:rPr>
        <w:t>, רש"י.</w:t>
      </w:r>
    </w:p>
  </w:footnote>
  <w:footnote w:id="2209">
    <w:p w14:paraId="2B9FDAFA" w14:textId="77777777" w:rsidR="00392DBB" w:rsidRDefault="00392DBB" w:rsidP="00392DBB">
      <w:pPr>
        <w:pStyle w:val="a5"/>
      </w:pPr>
      <w:r>
        <w:rPr>
          <w:rStyle w:val="a7"/>
        </w:rPr>
        <w:footnoteRef/>
      </w:r>
      <w:r>
        <w:rPr>
          <w:rtl/>
        </w:rPr>
        <w:t xml:space="preserve"> </w:t>
      </w:r>
      <w:r w:rsidRPr="00DF144D">
        <w:rPr>
          <w:rFonts w:cs="Arial"/>
          <w:rtl/>
        </w:rPr>
        <w:t>שדה יתומים למזונות או לכתובה וקבלה עליה אחריות</w:t>
      </w:r>
      <w:r>
        <w:rPr>
          <w:rFonts w:cs="Arial" w:hint="cs"/>
          <w:rtl/>
        </w:rPr>
        <w:t>, רש"י.</w:t>
      </w:r>
    </w:p>
  </w:footnote>
  <w:footnote w:id="2210">
    <w:p w14:paraId="2EA067E9" w14:textId="77777777" w:rsidR="00392DBB" w:rsidRDefault="00392DBB" w:rsidP="00392DBB">
      <w:pPr>
        <w:pStyle w:val="a5"/>
        <w:rPr>
          <w:rtl/>
        </w:rPr>
      </w:pPr>
      <w:r>
        <w:rPr>
          <w:rStyle w:val="a7"/>
        </w:rPr>
        <w:footnoteRef/>
      </w:r>
      <w:r>
        <w:rPr>
          <w:rtl/>
        </w:rPr>
        <w:t xml:space="preserve"> </w:t>
      </w:r>
      <w:r w:rsidRPr="00DF144D">
        <w:rPr>
          <w:rFonts w:cs="Arial"/>
          <w:rtl/>
        </w:rPr>
        <w:t>אחריות הלקוחות חוזר על היתומים שהרי עליהן היה החוב</w:t>
      </w:r>
      <w:r>
        <w:rPr>
          <w:rFonts w:hint="cs"/>
          <w:rtl/>
        </w:rPr>
        <w:t>, רש"י.</w:t>
      </w:r>
    </w:p>
  </w:footnote>
  <w:footnote w:id="2211">
    <w:p w14:paraId="5ABF2D3C" w14:textId="77777777" w:rsidR="00392DBB" w:rsidRDefault="00392DBB" w:rsidP="00392DBB">
      <w:pPr>
        <w:pStyle w:val="a5"/>
      </w:pPr>
      <w:r>
        <w:rPr>
          <w:rStyle w:val="a7"/>
        </w:rPr>
        <w:footnoteRef/>
      </w:r>
      <w:r>
        <w:rPr>
          <w:rtl/>
        </w:rPr>
        <w:t xml:space="preserve"> </w:t>
      </w:r>
      <w:r w:rsidRPr="00DF144D">
        <w:rPr>
          <w:rFonts w:cs="Arial"/>
          <w:rtl/>
        </w:rPr>
        <w:t>והם יחזרו על היתומים</w:t>
      </w:r>
      <w:r>
        <w:rPr>
          <w:rFonts w:cs="Arial" w:hint="cs"/>
          <w:rtl/>
        </w:rPr>
        <w:t>, רש"י.</w:t>
      </w:r>
    </w:p>
  </w:footnote>
  <w:footnote w:id="2212">
    <w:p w14:paraId="73373D98" w14:textId="77777777" w:rsidR="00392DBB" w:rsidRDefault="00392DBB" w:rsidP="00392DBB">
      <w:pPr>
        <w:pStyle w:val="a5"/>
      </w:pPr>
      <w:r>
        <w:rPr>
          <w:rStyle w:val="a7"/>
        </w:rPr>
        <w:footnoteRef/>
      </w:r>
      <w:r>
        <w:rPr>
          <w:rtl/>
        </w:rPr>
        <w:t xml:space="preserve"> </w:t>
      </w:r>
      <w:r w:rsidRPr="00DF144D">
        <w:rPr>
          <w:rFonts w:cs="Arial"/>
          <w:rtl/>
        </w:rPr>
        <w:t>למזונות</w:t>
      </w:r>
      <w:r>
        <w:rPr>
          <w:rFonts w:cs="Arial" w:hint="cs"/>
          <w:rtl/>
        </w:rPr>
        <w:t>, רש"י.</w:t>
      </w:r>
    </w:p>
  </w:footnote>
  <w:footnote w:id="2213">
    <w:p w14:paraId="2942F884" w14:textId="77777777" w:rsidR="00392DBB" w:rsidRDefault="00392DBB" w:rsidP="00392DBB">
      <w:pPr>
        <w:pStyle w:val="a5"/>
        <w:rPr>
          <w:rtl/>
        </w:rPr>
      </w:pPr>
      <w:r>
        <w:rPr>
          <w:rStyle w:val="a7"/>
        </w:rPr>
        <w:footnoteRef/>
      </w:r>
      <w:r>
        <w:rPr>
          <w:rtl/>
        </w:rPr>
        <w:t xml:space="preserve"> </w:t>
      </w:r>
      <w:r w:rsidRPr="00DF144D">
        <w:rPr>
          <w:rFonts w:cs="Arial"/>
          <w:rtl/>
        </w:rPr>
        <w:t>שלא יותר קרקע ליורשים אלא שיעור כתובתה</w:t>
      </w:r>
      <w:r>
        <w:rPr>
          <w:rFonts w:hint="cs"/>
          <w:rtl/>
        </w:rPr>
        <w:t>, רש"י.</w:t>
      </w:r>
    </w:p>
  </w:footnote>
  <w:footnote w:id="2214">
    <w:p w14:paraId="0944A305" w14:textId="77777777" w:rsidR="00392DBB" w:rsidRDefault="00392DBB" w:rsidP="00392DBB">
      <w:pPr>
        <w:pStyle w:val="a5"/>
      </w:pPr>
      <w:r>
        <w:rPr>
          <w:rStyle w:val="a7"/>
        </w:rPr>
        <w:footnoteRef/>
      </w:r>
      <w:r>
        <w:rPr>
          <w:rtl/>
        </w:rPr>
        <w:t xml:space="preserve"> </w:t>
      </w:r>
      <w:r w:rsidRPr="00DF144D">
        <w:rPr>
          <w:rFonts w:cs="Arial"/>
          <w:rtl/>
        </w:rPr>
        <w:t>ואותו השאר יהא סמך לה לגבות משם כתובתה</w:t>
      </w:r>
      <w:r>
        <w:rPr>
          <w:rFonts w:cs="Arial" w:hint="cs"/>
          <w:rtl/>
        </w:rPr>
        <w:t>, רש"י.</w:t>
      </w:r>
    </w:p>
  </w:footnote>
  <w:footnote w:id="2215">
    <w:p w14:paraId="292E99BC" w14:textId="77777777" w:rsidR="00392DBB" w:rsidRDefault="00392DBB" w:rsidP="00392DBB">
      <w:pPr>
        <w:pStyle w:val="a5"/>
      </w:pPr>
      <w:r>
        <w:rPr>
          <w:rStyle w:val="a7"/>
        </w:rPr>
        <w:footnoteRef/>
      </w:r>
      <w:r>
        <w:rPr>
          <w:rtl/>
        </w:rPr>
        <w:t xml:space="preserve"> </w:t>
      </w:r>
      <w:r w:rsidRPr="00957BFA">
        <w:rPr>
          <w:rFonts w:cs="Arial"/>
          <w:rtl/>
        </w:rPr>
        <w:t>אבל אם היתומים לא ידעו מן המחיל</w:t>
      </w:r>
      <w:r>
        <w:rPr>
          <w:rFonts w:cs="Arial" w:hint="cs"/>
          <w:rtl/>
        </w:rPr>
        <w:t>ה,</w:t>
      </w:r>
      <w:r w:rsidRPr="00957BFA">
        <w:rPr>
          <w:rFonts w:cs="Arial"/>
          <w:rtl/>
        </w:rPr>
        <w:t xml:space="preserve"> כגון שמחל</w:t>
      </w:r>
      <w:r>
        <w:rPr>
          <w:rFonts w:cs="Arial" w:hint="cs"/>
          <w:rtl/>
        </w:rPr>
        <w:t>ה</w:t>
      </w:r>
      <w:r w:rsidRPr="00957BFA">
        <w:rPr>
          <w:rFonts w:cs="Arial"/>
          <w:rtl/>
        </w:rPr>
        <w:t xml:space="preserve"> לאביהם</w:t>
      </w:r>
      <w:r>
        <w:rPr>
          <w:rFonts w:cs="Arial" w:hint="cs"/>
          <w:rtl/>
        </w:rPr>
        <w:t>.</w:t>
      </w:r>
      <w:r w:rsidRPr="00957BFA">
        <w:rPr>
          <w:rFonts w:cs="Arial"/>
          <w:rtl/>
        </w:rPr>
        <w:t xml:space="preserve"> והם האמינו לה ולא השביעו</w:t>
      </w:r>
      <w:r>
        <w:rPr>
          <w:rFonts w:cs="Arial" w:hint="cs"/>
          <w:rtl/>
        </w:rPr>
        <w:t>ה,</w:t>
      </w:r>
      <w:r w:rsidRPr="00957BFA">
        <w:rPr>
          <w:rFonts w:cs="Arial"/>
          <w:rtl/>
        </w:rPr>
        <w:t xml:space="preserve"> ומכרו קרקע לצורך פרעון הכתוב</w:t>
      </w:r>
      <w:r>
        <w:rPr>
          <w:rFonts w:cs="Arial" w:hint="cs"/>
          <w:rtl/>
        </w:rPr>
        <w:t>ה</w:t>
      </w:r>
      <w:r w:rsidRPr="00957BFA">
        <w:rPr>
          <w:rFonts w:cs="Arial"/>
          <w:rtl/>
        </w:rPr>
        <w:t xml:space="preserve"> ע"פ ב"ד</w:t>
      </w:r>
      <w:r>
        <w:rPr>
          <w:rFonts w:cs="Arial" w:hint="cs"/>
          <w:rtl/>
        </w:rPr>
        <w:t>.</w:t>
      </w:r>
      <w:r w:rsidRPr="00957BFA">
        <w:rPr>
          <w:rFonts w:cs="Arial"/>
          <w:rtl/>
        </w:rPr>
        <w:t xml:space="preserve"> ואח"כ נודע שמחל</w:t>
      </w:r>
      <w:r>
        <w:rPr>
          <w:rFonts w:cs="Arial" w:hint="cs"/>
          <w:rtl/>
        </w:rPr>
        <w:t>ה</w:t>
      </w:r>
      <w:r w:rsidRPr="00957BFA">
        <w:rPr>
          <w:rFonts w:cs="Arial"/>
          <w:rtl/>
        </w:rPr>
        <w:t xml:space="preserve"> הכתובה</w:t>
      </w:r>
      <w:r>
        <w:rPr>
          <w:rFonts w:cs="Arial" w:hint="cs"/>
          <w:rtl/>
        </w:rPr>
        <w:t>,</w:t>
      </w:r>
      <w:r w:rsidRPr="00957BFA">
        <w:rPr>
          <w:rFonts w:cs="Arial"/>
          <w:rtl/>
        </w:rPr>
        <w:t xml:space="preserve"> וא"כ מה שמכרו הב"ד היה בטעות</w:t>
      </w:r>
      <w:r>
        <w:rPr>
          <w:rFonts w:cs="Arial" w:hint="cs"/>
          <w:rtl/>
        </w:rPr>
        <w:t>,</w:t>
      </w:r>
      <w:r w:rsidRPr="00957BFA">
        <w:rPr>
          <w:rFonts w:cs="Arial"/>
          <w:rtl/>
        </w:rPr>
        <w:t xml:space="preserve"> למה לא נאמר הדר זביני ויחזרו ללוקח מעותיו</w:t>
      </w:r>
      <w:r>
        <w:rPr>
          <w:rFonts w:cs="Arial" w:hint="cs"/>
          <w:rtl/>
        </w:rPr>
        <w:t>,</w:t>
      </w:r>
      <w:r w:rsidRPr="00957BFA">
        <w:rPr>
          <w:rFonts w:cs="Arial"/>
          <w:rtl/>
        </w:rPr>
        <w:t xml:space="preserve"> כי כל מכירה בטעו</w:t>
      </w:r>
      <w:r>
        <w:rPr>
          <w:rFonts w:cs="Arial" w:hint="cs"/>
          <w:rtl/>
        </w:rPr>
        <w:t>ת</w:t>
      </w:r>
      <w:r w:rsidRPr="00957BFA">
        <w:rPr>
          <w:rFonts w:cs="Arial"/>
          <w:rtl/>
        </w:rPr>
        <w:t xml:space="preserve"> הדר</w:t>
      </w:r>
      <w:r>
        <w:rPr>
          <w:rFonts w:cs="Arial" w:hint="cs"/>
          <w:rtl/>
        </w:rPr>
        <w:t xml:space="preserve"> </w:t>
      </w:r>
      <w:r>
        <w:rPr>
          <w:rFonts w:cs="Arial" w:hint="cs"/>
          <w:sz w:val="16"/>
          <w:szCs w:val="16"/>
          <w:rtl/>
        </w:rPr>
        <w:t>{</w:t>
      </w:r>
      <w:r w:rsidRPr="001269C3">
        <w:rPr>
          <w:rFonts w:cs="Arial" w:hint="cs"/>
          <w:sz w:val="16"/>
          <w:szCs w:val="16"/>
          <w:rtl/>
        </w:rPr>
        <w:t>וכ"כ הפרישה [בסי' קד] והב"ש [כאן סק"ו]</w:t>
      </w:r>
      <w:r>
        <w:rPr>
          <w:rFonts w:cs="Arial" w:hint="cs"/>
          <w:sz w:val="16"/>
          <w:szCs w:val="16"/>
          <w:rtl/>
        </w:rPr>
        <w:t>}</w:t>
      </w:r>
      <w:r>
        <w:rPr>
          <w:rFonts w:cs="Arial" w:hint="cs"/>
          <w:rtl/>
        </w:rPr>
        <w:t>.</w:t>
      </w:r>
      <w:r w:rsidRPr="00957BFA">
        <w:rPr>
          <w:rFonts w:cs="Arial"/>
          <w:rtl/>
        </w:rPr>
        <w:t xml:space="preserve"> ובב"ח </w:t>
      </w:r>
      <w:r>
        <w:rPr>
          <w:rFonts w:cs="Arial" w:hint="cs"/>
          <w:rtl/>
        </w:rPr>
        <w:t>(</w:t>
      </w:r>
      <w:r w:rsidRPr="00957BFA">
        <w:rPr>
          <w:rFonts w:cs="Arial"/>
          <w:rtl/>
        </w:rPr>
        <w:t>ס"ס קד</w:t>
      </w:r>
      <w:r>
        <w:rPr>
          <w:rFonts w:cs="Arial" w:hint="cs"/>
          <w:rtl/>
        </w:rPr>
        <w:t>)</w:t>
      </w:r>
      <w:r w:rsidRPr="00957BFA">
        <w:rPr>
          <w:rFonts w:cs="Arial"/>
          <w:rtl/>
        </w:rPr>
        <w:t xml:space="preserve"> פי</w:t>
      </w:r>
      <w:r>
        <w:rPr>
          <w:rFonts w:cs="Arial" w:hint="cs"/>
          <w:rtl/>
        </w:rPr>
        <w:t>רש</w:t>
      </w:r>
      <w:r w:rsidRPr="00957BFA">
        <w:rPr>
          <w:rFonts w:cs="Arial"/>
          <w:rtl/>
        </w:rPr>
        <w:t xml:space="preserve"> התשו</w:t>
      </w:r>
      <w:r>
        <w:rPr>
          <w:rFonts w:cs="Arial" w:hint="cs"/>
          <w:rtl/>
        </w:rPr>
        <w:t>בה</w:t>
      </w:r>
      <w:r w:rsidRPr="00957BFA">
        <w:rPr>
          <w:rFonts w:cs="Arial"/>
          <w:rtl/>
        </w:rPr>
        <w:t xml:space="preserve"> של הרא"ש הנ"ל בזה הלשון</w:t>
      </w:r>
      <w:r>
        <w:rPr>
          <w:rFonts w:cs="Arial" w:hint="cs"/>
          <w:rtl/>
        </w:rPr>
        <w:t>-</w:t>
      </w:r>
      <w:r w:rsidRPr="00957BFA">
        <w:rPr>
          <w:rFonts w:cs="Arial"/>
          <w:rtl/>
        </w:rPr>
        <w:t xml:space="preserve"> פירוש מרמה עשו</w:t>
      </w:r>
      <w:r>
        <w:rPr>
          <w:rFonts w:cs="Arial" w:hint="cs"/>
          <w:rtl/>
        </w:rPr>
        <w:t>,</w:t>
      </w:r>
      <w:r w:rsidRPr="00957BFA">
        <w:rPr>
          <w:rFonts w:cs="Arial"/>
          <w:rtl/>
        </w:rPr>
        <w:t xml:space="preserve"> שרימו את האשה ואנסו</w:t>
      </w:r>
      <w:r>
        <w:rPr>
          <w:rFonts w:cs="Arial" w:hint="cs"/>
          <w:rtl/>
        </w:rPr>
        <w:t>ה</w:t>
      </w:r>
      <w:r w:rsidRPr="00957BFA">
        <w:rPr>
          <w:rFonts w:cs="Arial"/>
          <w:rtl/>
        </w:rPr>
        <w:t xml:space="preserve"> עד שמחל</w:t>
      </w:r>
      <w:r>
        <w:rPr>
          <w:rFonts w:cs="Arial" w:hint="cs"/>
          <w:rtl/>
        </w:rPr>
        <w:t>ה</w:t>
      </w:r>
      <w:r w:rsidRPr="00957BFA">
        <w:rPr>
          <w:rFonts w:cs="Arial"/>
          <w:rtl/>
        </w:rPr>
        <w:t xml:space="preserve"> להם הכתוב</w:t>
      </w:r>
      <w:r>
        <w:rPr>
          <w:rFonts w:cs="Arial" w:hint="cs"/>
          <w:rtl/>
        </w:rPr>
        <w:t>ה,</w:t>
      </w:r>
      <w:r w:rsidRPr="00957BFA">
        <w:rPr>
          <w:rFonts w:cs="Arial"/>
          <w:rtl/>
        </w:rPr>
        <w:t xml:space="preserve"> דכיון דכבר הכריזו עליה הב"ד היה להם לפרסם המחיל</w:t>
      </w:r>
      <w:r>
        <w:rPr>
          <w:rFonts w:cs="Arial" w:hint="cs"/>
          <w:rtl/>
        </w:rPr>
        <w:t>ה</w:t>
      </w:r>
      <w:r w:rsidRPr="00957BFA">
        <w:rPr>
          <w:rFonts w:cs="Arial"/>
          <w:rtl/>
        </w:rPr>
        <w:t xml:space="preserve"> מיד</w:t>
      </w:r>
      <w:r>
        <w:rPr>
          <w:rFonts w:cs="Arial" w:hint="cs"/>
          <w:rtl/>
        </w:rPr>
        <w:t>,</w:t>
      </w:r>
      <w:r w:rsidRPr="00957BFA">
        <w:rPr>
          <w:rFonts w:cs="Arial"/>
          <w:rtl/>
        </w:rPr>
        <w:t xml:space="preserve"> וכיון שלא עשו כן אין ספק שהיה שם שחוק או היתול</w:t>
      </w:r>
      <w:r>
        <w:rPr>
          <w:rFonts w:cs="Arial" w:hint="cs"/>
          <w:rtl/>
        </w:rPr>
        <w:t>.</w:t>
      </w:r>
      <w:r w:rsidRPr="00957BFA">
        <w:rPr>
          <w:rFonts w:cs="Arial"/>
          <w:rtl/>
        </w:rPr>
        <w:t xml:space="preserve"> עכ"ל</w:t>
      </w:r>
      <w:r>
        <w:rPr>
          <w:rFonts w:cs="Arial" w:hint="cs"/>
          <w:rtl/>
        </w:rPr>
        <w:t>.</w:t>
      </w:r>
      <w:r w:rsidRPr="00957BFA">
        <w:rPr>
          <w:rFonts w:cs="Arial"/>
          <w:rtl/>
        </w:rPr>
        <w:t xml:space="preserve"> ואם כן לפ"ד המחיל</w:t>
      </w:r>
      <w:r>
        <w:rPr>
          <w:rFonts w:cs="Arial" w:hint="cs"/>
          <w:rtl/>
        </w:rPr>
        <w:t>ה</w:t>
      </w:r>
      <w:r w:rsidRPr="00957BFA">
        <w:rPr>
          <w:rFonts w:cs="Arial"/>
          <w:rtl/>
        </w:rPr>
        <w:t xml:space="preserve"> בטיל</w:t>
      </w:r>
      <w:r>
        <w:rPr>
          <w:rFonts w:cs="Arial" w:hint="cs"/>
          <w:rtl/>
        </w:rPr>
        <w:t>ה,</w:t>
      </w:r>
      <w:r w:rsidRPr="00957BFA">
        <w:rPr>
          <w:rFonts w:cs="Arial"/>
          <w:rtl/>
        </w:rPr>
        <w:t xml:space="preserve"> ואם עדיין לא שלמו לאשה צריכין לשלם לה</w:t>
      </w:r>
      <w:r>
        <w:rPr>
          <w:rFonts w:cs="Arial" w:hint="cs"/>
          <w:rtl/>
        </w:rPr>
        <w:t>.</w:t>
      </w:r>
      <w:r w:rsidRPr="00957BFA">
        <w:rPr>
          <w:rFonts w:cs="Arial"/>
          <w:rtl/>
        </w:rPr>
        <w:t xml:space="preserve"> ולי נראה כמ</w:t>
      </w:r>
      <w:r>
        <w:rPr>
          <w:rFonts w:cs="Arial" w:hint="cs"/>
          <w:rtl/>
        </w:rPr>
        <w:t xml:space="preserve">ו </w:t>
      </w:r>
      <w:r w:rsidRPr="00957BFA">
        <w:rPr>
          <w:rFonts w:cs="Arial"/>
          <w:rtl/>
        </w:rPr>
        <w:t>ש</w:t>
      </w:r>
      <w:r>
        <w:rPr>
          <w:rFonts w:cs="Arial" w:hint="cs"/>
          <w:rtl/>
        </w:rPr>
        <w:t>כתבתי,</w:t>
      </w:r>
      <w:r w:rsidRPr="00957BFA">
        <w:rPr>
          <w:rFonts w:cs="Arial"/>
          <w:rtl/>
        </w:rPr>
        <w:t xml:space="preserve"> כי המחיל</w:t>
      </w:r>
      <w:r>
        <w:rPr>
          <w:rFonts w:cs="Arial" w:hint="cs"/>
          <w:rtl/>
        </w:rPr>
        <w:t>ה</w:t>
      </w:r>
      <w:r w:rsidRPr="00957BFA">
        <w:rPr>
          <w:rFonts w:cs="Arial"/>
          <w:rtl/>
        </w:rPr>
        <w:t xml:space="preserve"> טובה לגבי היתומים</w:t>
      </w:r>
      <w:r>
        <w:rPr>
          <w:rFonts w:cs="Arial" w:hint="cs"/>
          <w:rtl/>
        </w:rPr>
        <w:t>,</w:t>
      </w:r>
      <w:r w:rsidRPr="00957BFA">
        <w:rPr>
          <w:rFonts w:cs="Arial"/>
          <w:rtl/>
        </w:rPr>
        <w:t xml:space="preserve"> אך לגבי לוקח הוי מרמה</w:t>
      </w:r>
      <w:r>
        <w:rPr>
          <w:rFonts w:cs="Arial" w:hint="cs"/>
          <w:rtl/>
        </w:rPr>
        <w:t>,</w:t>
      </w:r>
      <w:r w:rsidRPr="00957BFA">
        <w:rPr>
          <w:rFonts w:cs="Arial"/>
          <w:rtl/>
        </w:rPr>
        <w:t xml:space="preserve"> ע"כ לא מהני</w:t>
      </w:r>
      <w:r>
        <w:rPr>
          <w:rFonts w:cs="Arial" w:hint="cs"/>
          <w:rtl/>
        </w:rPr>
        <w:t>.</w:t>
      </w:r>
      <w:r w:rsidRPr="00957BFA">
        <w:rPr>
          <w:rFonts w:cs="Arial"/>
          <w:rtl/>
        </w:rPr>
        <w:t xml:space="preserve"> אבל האלמנ</w:t>
      </w:r>
      <w:r>
        <w:rPr>
          <w:rFonts w:cs="Arial" w:hint="cs"/>
          <w:rtl/>
        </w:rPr>
        <w:t>ה</w:t>
      </w:r>
      <w:r w:rsidRPr="00957BFA">
        <w:rPr>
          <w:rFonts w:cs="Arial"/>
          <w:rtl/>
        </w:rPr>
        <w:t xml:space="preserve"> אם לקח</w:t>
      </w:r>
      <w:r>
        <w:rPr>
          <w:rFonts w:cs="Arial" w:hint="cs"/>
          <w:rtl/>
        </w:rPr>
        <w:t>ה</w:t>
      </w:r>
      <w:r w:rsidRPr="00957BFA">
        <w:rPr>
          <w:rFonts w:cs="Arial"/>
          <w:rtl/>
        </w:rPr>
        <w:t xml:space="preserve"> מעות אחר המחיל</w:t>
      </w:r>
      <w:r>
        <w:rPr>
          <w:rFonts w:cs="Arial" w:hint="cs"/>
          <w:rtl/>
        </w:rPr>
        <w:t>ה</w:t>
      </w:r>
      <w:r w:rsidRPr="00957BFA">
        <w:rPr>
          <w:rFonts w:cs="Arial"/>
          <w:rtl/>
        </w:rPr>
        <w:t xml:space="preserve"> </w:t>
      </w:r>
      <w:r>
        <w:rPr>
          <w:rFonts w:cs="Arial" w:hint="cs"/>
          <w:rtl/>
        </w:rPr>
        <w:t xml:space="preserve">- </w:t>
      </w:r>
      <w:r w:rsidRPr="00957BFA">
        <w:rPr>
          <w:rFonts w:cs="Arial"/>
          <w:rtl/>
        </w:rPr>
        <w:t>תחזיר</w:t>
      </w:r>
      <w:r>
        <w:rPr>
          <w:rFonts w:cs="Arial" w:hint="cs"/>
          <w:rtl/>
        </w:rPr>
        <w:t>,</w:t>
      </w:r>
      <w:r w:rsidRPr="00957BFA">
        <w:rPr>
          <w:rFonts w:cs="Arial"/>
          <w:rtl/>
        </w:rPr>
        <w:t xml:space="preserve"> ואם לא לקחה </w:t>
      </w:r>
      <w:r>
        <w:rPr>
          <w:rFonts w:cs="Arial" w:hint="cs"/>
          <w:rtl/>
        </w:rPr>
        <w:t xml:space="preserve">- </w:t>
      </w:r>
      <w:r w:rsidRPr="00957BFA">
        <w:rPr>
          <w:rFonts w:cs="Arial"/>
          <w:rtl/>
        </w:rPr>
        <w:t>לא תטול</w:t>
      </w:r>
      <w:r>
        <w:rPr>
          <w:rFonts w:cs="Arial" w:hint="cs"/>
          <w:rtl/>
        </w:rPr>
        <w:t>, ח"מ (סק"ו).</w:t>
      </w:r>
      <w:r>
        <w:rPr>
          <w:rFonts w:hint="cs"/>
          <w:rtl/>
        </w:rPr>
        <w:t xml:space="preserve"> </w:t>
      </w:r>
    </w:p>
  </w:footnote>
  <w:footnote w:id="2216">
    <w:p w14:paraId="7BCC8D7F" w14:textId="77777777" w:rsidR="00392DBB" w:rsidRDefault="00392DBB" w:rsidP="00392DBB">
      <w:pPr>
        <w:pStyle w:val="a5"/>
      </w:pPr>
      <w:r>
        <w:rPr>
          <w:rStyle w:val="a7"/>
        </w:rPr>
        <w:footnoteRef/>
      </w:r>
      <w:r>
        <w:rPr>
          <w:rtl/>
        </w:rPr>
        <w:t xml:space="preserve"> </w:t>
      </w:r>
      <w:r w:rsidRPr="001269C3">
        <w:rPr>
          <w:rFonts w:cs="Arial"/>
          <w:rtl/>
        </w:rPr>
        <w:t>היינו ב"ח מוקדם לכתובה יכול לטרוף ולא ב"ח מאוחר כיון שנמכר לצורך פרעון כתובה יש ללוקח הזכות שלה כמ"ש בח"ה סי' ק"ד וע' בטור שכתב עצה טובה שתפרש מה שמכרה לכתובה שלא יאמרו שמכרה הכל למזונות ויקראו אותה רעבתנית ואם אינה חוששת לזה טוב לה שלא תפרש כדי שתוכל לומר שמכרה למזונות ותטרף בכתובה מן הלקוחות שלקחו מן הבעל אבל מה שמכרה היא א"י לטרוף כי אחריות דנפשה קבלה וע' בתוס' בסוגי' זו דאין זו אונאה ושקר משום ע"פ הדין גם מזונות יכולה לטרוף אלא תקנות חז"ל היא שלא תטרוף והכא ה"ל ללקוחות לאסוקי דעתם ולהניח לב"ח כשיעור הכתובה</w:t>
      </w:r>
      <w:r>
        <w:rPr>
          <w:rFonts w:cs="Arial" w:hint="cs"/>
          <w:rtl/>
        </w:rPr>
        <w:t>, ב"ש (סק"ה).</w:t>
      </w:r>
    </w:p>
  </w:footnote>
  <w:footnote w:id="2217">
    <w:p w14:paraId="715D36EC" w14:textId="77777777" w:rsidR="00392DBB" w:rsidRDefault="00392DBB" w:rsidP="00392DBB">
      <w:pPr>
        <w:pStyle w:val="a5"/>
      </w:pPr>
      <w:r>
        <w:rPr>
          <w:rStyle w:val="a7"/>
        </w:rPr>
        <w:footnoteRef/>
      </w:r>
      <w:r>
        <w:rPr>
          <w:rtl/>
        </w:rPr>
        <w:t xml:space="preserve"> </w:t>
      </w:r>
      <w:r w:rsidRPr="00936F3C">
        <w:rPr>
          <w:rFonts w:cs="Arial"/>
          <w:rtl/>
        </w:rPr>
        <w:t>שאין לה מזונות ומוכרת לכתובה</w:t>
      </w:r>
      <w:r>
        <w:rPr>
          <w:rFonts w:cs="Arial" w:hint="cs"/>
          <w:rtl/>
        </w:rPr>
        <w:t>, רש"י.</w:t>
      </w:r>
    </w:p>
  </w:footnote>
  <w:footnote w:id="2218">
    <w:p w14:paraId="2010EA42" w14:textId="77777777" w:rsidR="00392DBB" w:rsidRDefault="00392DBB" w:rsidP="00392DBB">
      <w:pPr>
        <w:pStyle w:val="a5"/>
        <w:rPr>
          <w:rtl/>
        </w:rPr>
      </w:pPr>
      <w:r>
        <w:rPr>
          <w:rStyle w:val="a7"/>
        </w:rPr>
        <w:footnoteRef/>
      </w:r>
      <w:r>
        <w:rPr>
          <w:rtl/>
        </w:rPr>
        <w:t xml:space="preserve"> </w:t>
      </w:r>
      <w:r w:rsidRPr="00936F3C">
        <w:rPr>
          <w:rFonts w:cs="Arial"/>
          <w:rtl/>
        </w:rPr>
        <w:t>שהיא מוכרת למזונות מוכרת שלא בבית דין</w:t>
      </w:r>
      <w:r>
        <w:rPr>
          <w:rFonts w:hint="cs"/>
          <w:rtl/>
        </w:rPr>
        <w:t>, רש"י.</w:t>
      </w:r>
    </w:p>
  </w:footnote>
  <w:footnote w:id="2219">
    <w:p w14:paraId="43F79675" w14:textId="77777777" w:rsidR="00392DBB" w:rsidRDefault="00392DBB" w:rsidP="00392DBB">
      <w:pPr>
        <w:pStyle w:val="a5"/>
      </w:pPr>
      <w:r>
        <w:rPr>
          <w:rStyle w:val="a7"/>
        </w:rPr>
        <w:footnoteRef/>
      </w:r>
      <w:r>
        <w:rPr>
          <w:rtl/>
        </w:rPr>
        <w:t xml:space="preserve"> </w:t>
      </w:r>
      <w:r w:rsidRPr="00936F3C">
        <w:rPr>
          <w:rFonts w:cs="Arial"/>
          <w:rtl/>
        </w:rPr>
        <w:t>שהיא מוכרת למזונות</w:t>
      </w:r>
      <w:r>
        <w:rPr>
          <w:rFonts w:cs="Arial" w:hint="cs"/>
          <w:rtl/>
        </w:rPr>
        <w:t>, רש"י.</w:t>
      </w:r>
    </w:p>
  </w:footnote>
  <w:footnote w:id="2220">
    <w:p w14:paraId="0C53CDFD" w14:textId="77777777" w:rsidR="00392DBB" w:rsidRDefault="00392DBB" w:rsidP="00392DBB">
      <w:pPr>
        <w:pStyle w:val="a5"/>
      </w:pPr>
      <w:r>
        <w:rPr>
          <w:rStyle w:val="a7"/>
        </w:rPr>
        <w:footnoteRef/>
      </w:r>
      <w:r>
        <w:rPr>
          <w:rtl/>
        </w:rPr>
        <w:t xml:space="preserve"> </w:t>
      </w:r>
      <w:r w:rsidRPr="00936F3C">
        <w:rPr>
          <w:rFonts w:cs="Arial"/>
          <w:rtl/>
        </w:rPr>
        <w:t>שאי אפשר לה להיות יושבת ומתענה עד שיזדקקו לה בית דין אבל מן האירוסין שאין מכירתה אלא לכתובה לא תמכור אלא בבית דין</w:t>
      </w:r>
      <w:r>
        <w:rPr>
          <w:rFonts w:cs="Arial" w:hint="cs"/>
          <w:rtl/>
        </w:rPr>
        <w:t>, רשי.</w:t>
      </w:r>
    </w:p>
  </w:footnote>
  <w:footnote w:id="2221">
    <w:p w14:paraId="06122154" w14:textId="77777777" w:rsidR="00392DBB" w:rsidRDefault="00392DBB" w:rsidP="00392DBB">
      <w:pPr>
        <w:pStyle w:val="a5"/>
        <w:rPr>
          <w:rtl/>
        </w:rPr>
      </w:pPr>
      <w:r>
        <w:rPr>
          <w:rStyle w:val="a7"/>
        </w:rPr>
        <w:footnoteRef/>
      </w:r>
      <w:r>
        <w:rPr>
          <w:rtl/>
        </w:rPr>
        <w:t xml:space="preserve"> </w:t>
      </w:r>
      <w:r w:rsidRPr="004303EE">
        <w:rPr>
          <w:rFonts w:cs="Arial"/>
          <w:rtl/>
        </w:rPr>
        <w:t>פרש"י ז"ל שיהו בעליהן לחן בעיניהם ולא ימנעו הנשים מלינשא לאנשים</w:t>
      </w:r>
      <w:r>
        <w:rPr>
          <w:rFonts w:cs="Arial" w:hint="cs"/>
          <w:rtl/>
        </w:rPr>
        <w:t>.</w:t>
      </w:r>
      <w:r w:rsidRPr="004303EE">
        <w:rPr>
          <w:rFonts w:cs="Arial"/>
          <w:rtl/>
        </w:rPr>
        <w:t xml:space="preserve"> ורבינו חננאל ז"ל פירש כדי שתהא נדוניא לנשים שבשבילה ימצאו חן בעיני האנשים וישאו אותם</w:t>
      </w:r>
      <w:r>
        <w:rPr>
          <w:rFonts w:cs="Arial" w:hint="cs"/>
          <w:rtl/>
        </w:rPr>
        <w:t>.</w:t>
      </w:r>
      <w:r w:rsidRPr="004303EE">
        <w:rPr>
          <w:rFonts w:cs="Arial"/>
          <w:rtl/>
        </w:rPr>
        <w:t xml:space="preserve"> וכן פירש הרי"ף ז"ל לקמן בפרקין</w:t>
      </w:r>
      <w:r>
        <w:rPr>
          <w:rFonts w:cs="Arial" w:hint="cs"/>
          <w:rtl/>
        </w:rPr>
        <w:t>.</w:t>
      </w:r>
      <w:r w:rsidRPr="004303EE">
        <w:rPr>
          <w:rFonts w:cs="Arial"/>
          <w:rtl/>
        </w:rPr>
        <w:t xml:space="preserve"> וכ"כ הרמב"ם ז"ל בפי"ב מהלכות מלוה ולוה ועיקר</w:t>
      </w:r>
      <w:r>
        <w:rPr>
          <w:rFonts w:cs="Arial" w:hint="cs"/>
          <w:rtl/>
        </w:rPr>
        <w:t>, ר"ן (נו: מדפה"ר). וכפירוש ר"ח כן פירש הערוך (מובא בתוס' [כתובות פד. ד"ה לכתובת, השני])</w:t>
      </w:r>
      <w:r>
        <w:rPr>
          <w:rFonts w:hint="cs"/>
          <w:rtl/>
        </w:rPr>
        <w:t xml:space="preserve"> וכן משמע בירושלמי.</w:t>
      </w:r>
    </w:p>
  </w:footnote>
  <w:footnote w:id="2222">
    <w:p w14:paraId="009552C2" w14:textId="7BDE201A" w:rsidR="00392DBB" w:rsidRDefault="00392DBB" w:rsidP="00392DBB">
      <w:pPr>
        <w:pStyle w:val="a5"/>
      </w:pPr>
      <w:r>
        <w:rPr>
          <w:rStyle w:val="a7"/>
        </w:rPr>
        <w:footnoteRef/>
      </w:r>
      <w:r>
        <w:rPr>
          <w:rtl/>
        </w:rPr>
        <w:t xml:space="preserve"> </w:t>
      </w:r>
      <w:r>
        <w:rPr>
          <w:rFonts w:hint="cs"/>
          <w:rtl/>
        </w:rPr>
        <w:t xml:space="preserve">לפנינו בגמרא איתא </w:t>
      </w:r>
      <w:r w:rsidR="00F97626">
        <w:rPr>
          <w:rtl/>
        </w:rPr>
        <w:t>-</w:t>
      </w:r>
      <w:r>
        <w:rPr>
          <w:rFonts w:hint="cs"/>
          <w:rtl/>
        </w:rPr>
        <w:t xml:space="preserve"> ר' יוחנן. אך הרי"ף (נו:) הר"ן (שם) והב"י כתבו </w:t>
      </w:r>
      <w:r w:rsidR="00F97626">
        <w:rPr>
          <w:rtl/>
        </w:rPr>
        <w:t>-</w:t>
      </w:r>
      <w:r>
        <w:rPr>
          <w:rFonts w:hint="cs"/>
          <w:rtl/>
        </w:rPr>
        <w:t xml:space="preserve"> 'רב יהודה'.</w:t>
      </w:r>
    </w:p>
  </w:footnote>
  <w:footnote w:id="2223">
    <w:p w14:paraId="7B949BA3" w14:textId="77777777" w:rsidR="00392DBB" w:rsidRDefault="00392DBB" w:rsidP="00392DBB">
      <w:pPr>
        <w:pStyle w:val="a5"/>
      </w:pPr>
      <w:r>
        <w:rPr>
          <w:rStyle w:val="a7"/>
        </w:rPr>
        <w:footnoteRef/>
      </w:r>
      <w:r>
        <w:rPr>
          <w:rtl/>
        </w:rPr>
        <w:t xml:space="preserve"> </w:t>
      </w:r>
      <w:r w:rsidRPr="00D376E3">
        <w:rPr>
          <w:rFonts w:cs="Arial"/>
          <w:rtl/>
        </w:rPr>
        <w:t>דלית ליה חינא דגבי אלמנה מן האירוסין נמי משום דלכתובה קא מזבנה אמר לא תמכור אלא בב"ד</w:t>
      </w:r>
      <w:r>
        <w:rPr>
          <w:rFonts w:cs="Arial" w:hint="cs"/>
          <w:rtl/>
        </w:rPr>
        <w:t>, רש"י.</w:t>
      </w:r>
    </w:p>
  </w:footnote>
  <w:footnote w:id="2224">
    <w:p w14:paraId="0F23C124" w14:textId="10E3A7EA" w:rsidR="00392DBB" w:rsidRDefault="00392DBB" w:rsidP="00392DBB">
      <w:pPr>
        <w:pStyle w:val="a5"/>
      </w:pPr>
      <w:r>
        <w:rPr>
          <w:rStyle w:val="a7"/>
        </w:rPr>
        <w:footnoteRef/>
      </w:r>
      <w:r>
        <w:rPr>
          <w:rtl/>
        </w:rPr>
        <w:t xml:space="preserve"> </w:t>
      </w:r>
      <w:r>
        <w:rPr>
          <w:rFonts w:cs="Arial" w:hint="cs"/>
          <w:rtl/>
        </w:rPr>
        <w:t>ואע"ג ש</w:t>
      </w:r>
      <w:r w:rsidRPr="00D50507">
        <w:rPr>
          <w:rFonts w:cs="Arial"/>
          <w:rtl/>
        </w:rPr>
        <w:t xml:space="preserve">כתב </w:t>
      </w:r>
      <w:r>
        <w:rPr>
          <w:rFonts w:cs="Arial" w:hint="cs"/>
          <w:rtl/>
        </w:rPr>
        <w:t xml:space="preserve">הרמב"ם </w:t>
      </w:r>
      <w:r w:rsidRPr="00D50507">
        <w:rPr>
          <w:rFonts w:cs="Arial"/>
          <w:rtl/>
        </w:rPr>
        <w:t>בפי"ב מהלכות מלוה (ה"ג) דנזקקין לנכסי יתומים משום חינא</w:t>
      </w:r>
      <w:r>
        <w:rPr>
          <w:rFonts w:cs="Arial" w:hint="cs"/>
          <w:rtl/>
        </w:rPr>
        <w:t>, מכל מקום לא נמנע לכתוב</w:t>
      </w:r>
      <w:r w:rsidRPr="00D50507">
        <w:rPr>
          <w:rFonts w:cs="Arial"/>
          <w:rtl/>
        </w:rPr>
        <w:t xml:space="preserve"> בפי"ז מהלכות אישות (הי"ג)</w:t>
      </w:r>
      <w:r>
        <w:rPr>
          <w:rFonts w:cs="Arial" w:hint="cs"/>
          <w:rtl/>
        </w:rPr>
        <w:t>- '</w:t>
      </w:r>
      <w:r w:rsidRPr="00D50507">
        <w:rPr>
          <w:rFonts w:cs="Arial"/>
          <w:rtl/>
        </w:rPr>
        <w:t>וגרושה לא תמכור אלא בבית דין</w:t>
      </w:r>
      <w:r>
        <w:rPr>
          <w:rFonts w:cs="Arial" w:hint="cs"/>
          <w:rtl/>
        </w:rPr>
        <w:t>'</w:t>
      </w:r>
      <w:r w:rsidRPr="00D50507">
        <w:rPr>
          <w:rFonts w:cs="Arial"/>
          <w:rtl/>
        </w:rPr>
        <w:t>. וכתב הרב המגיד שטעמו משום דע"כ לא קיי"ל טענת חן אלא להזדקק לנכסי יתומים קטנים לפי שתפסיד בהמתנה</w:t>
      </w:r>
      <w:r w:rsidRPr="00D50507">
        <w:rPr>
          <w:rFonts w:cs="Arial" w:hint="cs"/>
          <w:rtl/>
        </w:rPr>
        <w:t>,</w:t>
      </w:r>
      <w:r w:rsidRPr="00D50507">
        <w:rPr>
          <w:rFonts w:cs="Arial"/>
          <w:rtl/>
        </w:rPr>
        <w:t xml:space="preserve"> אבל למכור שלא בבית דין לית לן ההוא טעמא שהרי איפשר לה בבית דין</w:t>
      </w:r>
      <w:r>
        <w:rPr>
          <w:rFonts w:cs="Arial" w:hint="cs"/>
          <w:rtl/>
        </w:rPr>
        <w:t>.</w:t>
      </w:r>
      <w:r w:rsidRPr="00D50507">
        <w:rPr>
          <w:rFonts w:cs="Arial"/>
          <w:rtl/>
        </w:rPr>
        <w:t xml:space="preserve"> אלא לא אמרו מוכרת שלא בבית דין אלא מפני שאדם רוצה שלא תתבזה אשתו בבית דין וכדברי האומר כן</w:t>
      </w:r>
      <w:r>
        <w:rPr>
          <w:rFonts w:cs="Arial" w:hint="cs"/>
          <w:rtl/>
        </w:rPr>
        <w:t>.</w:t>
      </w:r>
      <w:r w:rsidRPr="00D50507">
        <w:rPr>
          <w:rFonts w:cs="Arial"/>
          <w:rtl/>
        </w:rPr>
        <w:t xml:space="preserve"> ואין זה הטעם בגרושה</w:t>
      </w:r>
      <w:r>
        <w:rPr>
          <w:rFonts w:cs="Arial" w:hint="cs"/>
          <w:rtl/>
        </w:rPr>
        <w:t>.</w:t>
      </w:r>
      <w:r w:rsidRPr="00D50507">
        <w:rPr>
          <w:rFonts w:cs="Arial"/>
          <w:rtl/>
        </w:rPr>
        <w:t xml:space="preserve"> לפיכך לא תמכור אלא בבית דין</w:t>
      </w:r>
      <w:r>
        <w:rPr>
          <w:rFonts w:cs="Arial" w:hint="cs"/>
          <w:rtl/>
        </w:rPr>
        <w:t>.</w:t>
      </w:r>
      <w:r w:rsidRPr="00D50507">
        <w:rPr>
          <w:rFonts w:cs="Arial"/>
          <w:rtl/>
        </w:rPr>
        <w:t xml:space="preserve"> זהו דעת רבינו וקצת נראה מן ההלכות (רי"ף נו:) כן ועיקר עכ"ל.</w:t>
      </w:r>
      <w:r>
        <w:rPr>
          <w:rFonts w:cs="Arial" w:hint="cs"/>
          <w:rtl/>
        </w:rPr>
        <w:t xml:space="preserve"> ואמנם </w:t>
      </w:r>
      <w:r w:rsidRPr="00AC5956">
        <w:rPr>
          <w:rFonts w:cs="Arial"/>
          <w:rtl/>
        </w:rPr>
        <w:t xml:space="preserve">הר"ן (שם) כתב על טעם זה </w:t>
      </w:r>
      <w:r>
        <w:rPr>
          <w:rFonts w:cs="Arial" w:hint="cs"/>
          <w:rtl/>
        </w:rPr>
        <w:t>ש</w:t>
      </w:r>
      <w:r w:rsidRPr="00AC5956">
        <w:rPr>
          <w:rFonts w:cs="Arial"/>
          <w:rtl/>
        </w:rPr>
        <w:t>אינו מחוור</w:t>
      </w:r>
      <w:r w:rsidRPr="00AC5956">
        <w:rPr>
          <w:rFonts w:cs="Arial" w:hint="cs"/>
          <w:rtl/>
        </w:rPr>
        <w:t xml:space="preserve"> </w:t>
      </w:r>
      <w:r w:rsidRPr="00AC5956">
        <w:rPr>
          <w:rFonts w:cs="Arial" w:hint="cs"/>
          <w:sz w:val="16"/>
          <w:szCs w:val="16"/>
          <w:rtl/>
        </w:rPr>
        <w:t>(</w:t>
      </w:r>
      <w:r w:rsidR="0061020A">
        <w:rPr>
          <w:rFonts w:cs="Arial" w:hint="cs"/>
          <w:sz w:val="16"/>
          <w:szCs w:val="16"/>
          <w:rtl/>
        </w:rPr>
        <w:t>וז</w:t>
      </w:r>
      <w:r w:rsidR="0061020A">
        <w:rPr>
          <w:rFonts w:cs="Arial"/>
          <w:sz w:val="16"/>
          <w:szCs w:val="16"/>
          <w:rtl/>
        </w:rPr>
        <w:t>"</w:t>
      </w:r>
      <w:r w:rsidR="0061020A">
        <w:rPr>
          <w:rFonts w:cs="Arial" w:hint="cs"/>
          <w:sz w:val="16"/>
          <w:szCs w:val="16"/>
          <w:rtl/>
        </w:rPr>
        <w:t>ל:</w:t>
      </w:r>
      <w:r w:rsidRPr="00AC5956">
        <w:rPr>
          <w:rFonts w:cs="Arial" w:hint="cs"/>
          <w:sz w:val="16"/>
          <w:szCs w:val="16"/>
          <w:rtl/>
        </w:rPr>
        <w:t xml:space="preserve"> ו</w:t>
      </w:r>
      <w:r w:rsidRPr="00AC5956">
        <w:rPr>
          <w:rFonts w:cs="Arial"/>
          <w:sz w:val="16"/>
          <w:szCs w:val="16"/>
          <w:rtl/>
        </w:rPr>
        <w:t>אינו מחוור לי דבשלמא אי לא אמרה רב יהודה גופיה התם (ערכין כב.) אלא אמוראה אחרינא שפיר אבל כיון דחזינן דרב יהודה אפילו בנזקקין לא חייש לחינא משמע דהכא לטעמיה אזיל דלא חייש לחינא כלל וכיון דהתם לא קיי"ל כוותיה מאן פלג לן דלימא דבהא מיהא נקיטינן כוותיה וצ"ע</w:t>
      </w:r>
      <w:r>
        <w:rPr>
          <w:rFonts w:cs="Arial" w:hint="cs"/>
          <w:sz w:val="16"/>
          <w:szCs w:val="16"/>
          <w:rtl/>
        </w:rPr>
        <w:t>, עכ"ל)</w:t>
      </w:r>
      <w:r>
        <w:rPr>
          <w:rFonts w:cs="Arial" w:hint="cs"/>
          <w:rtl/>
        </w:rPr>
        <w:t>.</w:t>
      </w:r>
      <w:r w:rsidRPr="00AC5956">
        <w:rPr>
          <w:rFonts w:cs="Arial"/>
          <w:rtl/>
        </w:rPr>
        <w:t xml:space="preserve"> </w:t>
      </w:r>
      <w:r>
        <w:rPr>
          <w:rFonts w:cs="Arial" w:hint="cs"/>
          <w:rtl/>
        </w:rPr>
        <w:t xml:space="preserve">אבל לפי גירסתנו בגמרא שטעם זה (שאין רוצה שאשתו תתבזה בבית דין) אמרו ר' יוחנן </w:t>
      </w:r>
      <w:r w:rsidR="00F97626">
        <w:rPr>
          <w:rFonts w:cs="Arial"/>
          <w:rtl/>
        </w:rPr>
        <w:t>-</w:t>
      </w:r>
      <w:r>
        <w:rPr>
          <w:rFonts w:cs="Arial" w:hint="cs"/>
          <w:rtl/>
        </w:rPr>
        <w:t xml:space="preserve"> שפיר דמי ולא קשיא לן קושיית הר"ן. </w:t>
      </w:r>
      <w:r w:rsidRPr="0094692F">
        <w:rPr>
          <w:rFonts w:cs="Arial" w:hint="cs"/>
          <w:sz w:val="16"/>
          <w:szCs w:val="16"/>
          <w:rtl/>
        </w:rPr>
        <w:t xml:space="preserve">(אך הרשב"א (בתשו' ח"ד סי' מא) כתב </w:t>
      </w:r>
      <w:r w:rsidRPr="0094692F">
        <w:rPr>
          <w:rFonts w:cs="Arial"/>
          <w:sz w:val="16"/>
          <w:szCs w:val="16"/>
          <w:rtl/>
        </w:rPr>
        <w:t xml:space="preserve">לפי מה שכתב הרמב"ם </w:t>
      </w:r>
      <w:r w:rsidRPr="0094692F">
        <w:rPr>
          <w:rFonts w:cs="Arial" w:hint="cs"/>
          <w:sz w:val="16"/>
          <w:szCs w:val="16"/>
          <w:rtl/>
        </w:rPr>
        <w:t>ב</w:t>
      </w:r>
      <w:r w:rsidRPr="0094692F">
        <w:rPr>
          <w:rFonts w:cs="Arial"/>
          <w:sz w:val="16"/>
          <w:szCs w:val="16"/>
          <w:rtl/>
        </w:rPr>
        <w:t>פי"ב מהל</w:t>
      </w:r>
      <w:r w:rsidRPr="0094692F">
        <w:rPr>
          <w:rFonts w:cs="Arial" w:hint="cs"/>
          <w:sz w:val="16"/>
          <w:szCs w:val="16"/>
          <w:rtl/>
        </w:rPr>
        <w:t xml:space="preserve">' </w:t>
      </w:r>
      <w:r w:rsidRPr="0094692F">
        <w:rPr>
          <w:rFonts w:cs="Arial"/>
          <w:sz w:val="16"/>
          <w:szCs w:val="16"/>
          <w:rtl/>
        </w:rPr>
        <w:t>מלוה ולוה נראה שהוא סבור ששתי הלשונות שנאמרו בערכין פרק שום היתומים (כב</w:t>
      </w:r>
      <w:r w:rsidRPr="0094692F">
        <w:rPr>
          <w:rFonts w:cs="Arial" w:hint="cs"/>
          <w:sz w:val="16"/>
          <w:szCs w:val="16"/>
          <w:rtl/>
        </w:rPr>
        <w:t>.</w:t>
      </w:r>
      <w:r w:rsidRPr="0094692F">
        <w:rPr>
          <w:rFonts w:cs="Arial"/>
          <w:sz w:val="16"/>
          <w:szCs w:val="16"/>
          <w:rtl/>
        </w:rPr>
        <w:t>) בכתובת אשה</w:t>
      </w:r>
      <w:r w:rsidRPr="0094692F">
        <w:rPr>
          <w:rFonts w:cs="Arial" w:hint="cs"/>
          <w:sz w:val="16"/>
          <w:szCs w:val="16"/>
          <w:rtl/>
        </w:rPr>
        <w:t>,</w:t>
      </w:r>
      <w:r w:rsidRPr="0094692F">
        <w:rPr>
          <w:rFonts w:cs="Arial"/>
          <w:sz w:val="16"/>
          <w:szCs w:val="16"/>
          <w:rtl/>
        </w:rPr>
        <w:t xml:space="preserve"> משום מזוני</w:t>
      </w:r>
      <w:r w:rsidRPr="0094692F">
        <w:rPr>
          <w:rFonts w:cs="Arial" w:hint="cs"/>
          <w:sz w:val="16"/>
          <w:szCs w:val="16"/>
          <w:rtl/>
        </w:rPr>
        <w:t>,</w:t>
      </w:r>
      <w:r w:rsidRPr="0094692F">
        <w:rPr>
          <w:rFonts w:cs="Arial"/>
          <w:sz w:val="16"/>
          <w:szCs w:val="16"/>
          <w:rtl/>
        </w:rPr>
        <w:t xml:space="preserve"> ומרימר מתני לה משום חינה </w:t>
      </w:r>
      <w:r w:rsidRPr="0094692F">
        <w:rPr>
          <w:rFonts w:cs="Arial" w:hint="cs"/>
          <w:sz w:val="16"/>
          <w:szCs w:val="16"/>
          <w:rtl/>
        </w:rPr>
        <w:t xml:space="preserve">- </w:t>
      </w:r>
      <w:r w:rsidRPr="0094692F">
        <w:rPr>
          <w:rFonts w:cs="Arial"/>
          <w:sz w:val="16"/>
          <w:szCs w:val="16"/>
          <w:rtl/>
        </w:rPr>
        <w:t>ששניהם אמת. ומשו' מזוני איכא ומשו' חינה איכא.</w:t>
      </w:r>
      <w:r w:rsidRPr="0094692F">
        <w:rPr>
          <w:rFonts w:hint="cs"/>
          <w:sz w:val="16"/>
          <w:szCs w:val="16"/>
          <w:rtl/>
        </w:rPr>
        <w:t xml:space="preserve"> אך הכס"מ (בהל' מלוה פי"ב ה"ג) דחה דבריו</w:t>
      </w:r>
      <w:r>
        <w:rPr>
          <w:rFonts w:hint="cs"/>
          <w:sz w:val="16"/>
          <w:szCs w:val="16"/>
          <w:rtl/>
        </w:rPr>
        <w:t>)</w:t>
      </w:r>
      <w:r w:rsidRPr="0094692F">
        <w:rPr>
          <w:rFonts w:hint="cs"/>
          <w:sz w:val="16"/>
          <w:szCs w:val="16"/>
          <w:rtl/>
        </w:rPr>
        <w:t>.</w:t>
      </w:r>
    </w:p>
  </w:footnote>
  <w:footnote w:id="2225">
    <w:p w14:paraId="69B549EF" w14:textId="77777777" w:rsidR="00392DBB" w:rsidRDefault="00392DBB" w:rsidP="00392DBB">
      <w:pPr>
        <w:pStyle w:val="a5"/>
        <w:rPr>
          <w:rtl/>
        </w:rPr>
      </w:pPr>
      <w:r>
        <w:rPr>
          <w:rStyle w:val="a7"/>
        </w:rPr>
        <w:footnoteRef/>
      </w:r>
      <w:r>
        <w:rPr>
          <w:rtl/>
        </w:rPr>
        <w:t xml:space="preserve"> </w:t>
      </w:r>
      <w:r>
        <w:rPr>
          <w:rFonts w:cs="Arial"/>
          <w:rtl/>
        </w:rPr>
        <w:t>וטעם</w:t>
      </w:r>
      <w:r>
        <w:rPr>
          <w:rFonts w:cs="Arial" w:hint="cs"/>
          <w:rtl/>
        </w:rPr>
        <w:t xml:space="preserve"> הדבר כתב הר"ן (נו: מדפה"ר) </w:t>
      </w:r>
      <w:r>
        <w:rPr>
          <w:rFonts w:cs="Arial"/>
          <w:rtl/>
        </w:rPr>
        <w:t xml:space="preserve">דאהא דאמר עולא משום חינא </w:t>
      </w:r>
      <w:r w:rsidRPr="004303EE">
        <w:rPr>
          <w:rFonts w:cs="Arial"/>
          <w:rtl/>
        </w:rPr>
        <w:t>פרש"י ז"ל שיהו בעליהן לחן בעיניהם ולא ימנעו הנשים מלינשא לאנשים</w:t>
      </w:r>
      <w:r>
        <w:rPr>
          <w:rFonts w:cs="Arial" w:hint="cs"/>
          <w:rtl/>
        </w:rPr>
        <w:t>.</w:t>
      </w:r>
      <w:r w:rsidRPr="004303EE">
        <w:rPr>
          <w:rFonts w:cs="Arial"/>
          <w:rtl/>
        </w:rPr>
        <w:t xml:space="preserve"> ורבינו חננאל ז"ל פירש כדי שתהא נדוניא לנשים שבשבילה ימצאו חן בעיני האנשים וישאו אותם</w:t>
      </w:r>
      <w:r>
        <w:rPr>
          <w:rFonts w:cs="Arial" w:hint="cs"/>
          <w:rtl/>
        </w:rPr>
        <w:t>.</w:t>
      </w:r>
      <w:r w:rsidRPr="004303EE">
        <w:rPr>
          <w:rFonts w:cs="Arial"/>
          <w:rtl/>
        </w:rPr>
        <w:t xml:space="preserve"> וכן פירש הרי"ף ז"ל לקמן בפרקין</w:t>
      </w:r>
      <w:r>
        <w:rPr>
          <w:rFonts w:cs="Arial" w:hint="cs"/>
          <w:rtl/>
        </w:rPr>
        <w:t>.</w:t>
      </w:r>
      <w:r w:rsidRPr="004303EE">
        <w:rPr>
          <w:rFonts w:cs="Arial"/>
          <w:rtl/>
        </w:rPr>
        <w:t xml:space="preserve"> וכ"כ הרמב"ם ז"ל בפי"ב מהלכות מלוה ולוה ועיקר</w:t>
      </w:r>
      <w:r>
        <w:rPr>
          <w:rFonts w:cs="Arial" w:hint="cs"/>
          <w:rtl/>
        </w:rPr>
        <w:t>.</w:t>
      </w:r>
      <w:r w:rsidRPr="004303EE">
        <w:rPr>
          <w:rFonts w:cs="Arial"/>
          <w:rtl/>
        </w:rPr>
        <w:t xml:space="preserve"> </w:t>
      </w:r>
      <w:r>
        <w:rPr>
          <w:rFonts w:cs="Arial" w:hint="cs"/>
          <w:rtl/>
        </w:rPr>
        <w:t xml:space="preserve">והוסיף הר"ן </w:t>
      </w:r>
      <w:r w:rsidRPr="00FD2031">
        <w:rPr>
          <w:rFonts w:cs="Arial" w:hint="cs"/>
          <w:rtl/>
        </w:rPr>
        <w:t>ש</w:t>
      </w:r>
      <w:r w:rsidRPr="00FD2031">
        <w:rPr>
          <w:rFonts w:cs="Arial"/>
          <w:rtl/>
        </w:rPr>
        <w:t>נ</w:t>
      </w:r>
      <w:r w:rsidRPr="00FD2031">
        <w:rPr>
          <w:rFonts w:cs="Arial" w:hint="cs"/>
          <w:rtl/>
        </w:rPr>
        <w:t>פ</w:t>
      </w:r>
      <w:r w:rsidRPr="00FD2031">
        <w:rPr>
          <w:rFonts w:cs="Arial"/>
          <w:rtl/>
        </w:rPr>
        <w:t>"מ שאם נשאת אינה מוכרת אלא בב"ד שהרי ביטל חן שלה</w:t>
      </w:r>
      <w:r>
        <w:rPr>
          <w:rFonts w:cs="Arial" w:hint="cs"/>
          <w:sz w:val="16"/>
          <w:szCs w:val="16"/>
          <w:rtl/>
        </w:rPr>
        <w:t xml:space="preserve"> {</w:t>
      </w:r>
      <w:r w:rsidRPr="009A1165">
        <w:rPr>
          <w:rFonts w:cs="Arial"/>
          <w:sz w:val="16"/>
          <w:szCs w:val="16"/>
          <w:rtl/>
        </w:rPr>
        <w:t>אבל רש"י לא ס"ל הכי</w:t>
      </w:r>
      <w:r>
        <w:rPr>
          <w:rFonts w:cs="Arial" w:hint="cs"/>
          <w:sz w:val="16"/>
          <w:szCs w:val="16"/>
          <w:rtl/>
        </w:rPr>
        <w:t>, דרכ"מ [אות ג]}</w:t>
      </w:r>
      <w:r>
        <w:rPr>
          <w:rFonts w:cs="Arial" w:hint="cs"/>
          <w:rtl/>
        </w:rPr>
        <w:t>.</w:t>
      </w:r>
      <w:r w:rsidRPr="00FD2031">
        <w:rPr>
          <w:rFonts w:cs="Arial"/>
          <w:rtl/>
        </w:rPr>
        <w:t xml:space="preserve"> וכן נמי בהא דאמרי' התם [בערכין כב</w:t>
      </w:r>
      <w:r w:rsidRPr="00FD2031">
        <w:rPr>
          <w:rFonts w:cs="Arial" w:hint="cs"/>
          <w:rtl/>
        </w:rPr>
        <w:t>.</w:t>
      </w:r>
      <w:r w:rsidRPr="00FD2031">
        <w:rPr>
          <w:rFonts w:cs="Arial"/>
          <w:rtl/>
        </w:rPr>
        <w:t>] דאין נזקקין לנכסי יתומים קטנים אלא לבע"ח שיש בו רבית ולכתובת אשה משום חינא דוקא בשלא נשאת אבל נשאת לא שהרי ביטל חן שלה וכ"כ הרמב"ם ז"ל בפי"ב מהל' מלוה ולוה</w:t>
      </w:r>
      <w:r>
        <w:rPr>
          <w:rFonts w:cs="Arial" w:hint="cs"/>
          <w:rtl/>
        </w:rPr>
        <w:t>.</w:t>
      </w:r>
      <w:r>
        <w:rPr>
          <w:rFonts w:cs="Arial"/>
          <w:rtl/>
        </w:rPr>
        <w:t xml:space="preserve"> </w:t>
      </w:r>
      <w:r>
        <w:rPr>
          <w:rFonts w:cs="Arial" w:hint="cs"/>
          <w:rtl/>
        </w:rPr>
        <w:t>עכ"ל הר"ן. והעתיק הב"י את דבריו. אך קשה, שהרי הרמב"ם והטור פסקו ד</w:t>
      </w:r>
      <w:r w:rsidRPr="006D1A13">
        <w:rPr>
          <w:rFonts w:cs="Arial"/>
          <w:rtl/>
        </w:rPr>
        <w:t>גרושה לא תמכור אלא בבי"ד</w:t>
      </w:r>
      <w:r>
        <w:rPr>
          <w:rFonts w:cs="Arial" w:hint="cs"/>
          <w:rtl/>
        </w:rPr>
        <w:t>,</w:t>
      </w:r>
      <w:r w:rsidRPr="006D1A13">
        <w:rPr>
          <w:rFonts w:cs="Arial"/>
          <w:rtl/>
        </w:rPr>
        <w:t xml:space="preserve"> ש"מ דאין הטעם משום חינא</w:t>
      </w:r>
      <w:r>
        <w:rPr>
          <w:rFonts w:cs="Arial" w:hint="cs"/>
          <w:rtl/>
        </w:rPr>
        <w:t>.</w:t>
      </w:r>
      <w:r w:rsidRPr="006D1A13">
        <w:rPr>
          <w:rFonts w:cs="Arial"/>
          <w:rtl/>
        </w:rPr>
        <w:t xml:space="preserve"> ו</w:t>
      </w:r>
      <w:r>
        <w:rPr>
          <w:rFonts w:cs="Arial" w:hint="cs"/>
          <w:rtl/>
        </w:rPr>
        <w:t>כתב הבני אהובה (פי"ז מאישות הי"ג) ד</w:t>
      </w:r>
      <w:r w:rsidRPr="006D1A13">
        <w:rPr>
          <w:rFonts w:cs="Arial"/>
          <w:rtl/>
        </w:rPr>
        <w:t>על כרחך צ"ל כמ"ש הבית שמואל בסימן הנ"ל ס</w:t>
      </w:r>
      <w:r>
        <w:rPr>
          <w:rFonts w:cs="Arial" w:hint="cs"/>
          <w:rtl/>
        </w:rPr>
        <w:t>ק"</w:t>
      </w:r>
      <w:r w:rsidRPr="006D1A13">
        <w:rPr>
          <w:rFonts w:cs="Arial"/>
          <w:rtl/>
        </w:rPr>
        <w:t>א דאף למ"ד אין אדם רוצה שתתבזה אשתו בבי"ד בנשאת לאחר אינו מקפיד</w:t>
      </w:r>
      <w:r>
        <w:rPr>
          <w:rFonts w:cs="Arial" w:hint="cs"/>
          <w:rtl/>
        </w:rPr>
        <w:t>.</w:t>
      </w:r>
      <w:r w:rsidRPr="006D1A13">
        <w:rPr>
          <w:rFonts w:cs="Arial"/>
          <w:rtl/>
        </w:rPr>
        <w:t xml:space="preserve"> ואפשר לומר דלא ס"ל לב"י הך סברא וכמ"ש הר"ן רק דהך סברא בנשאת תליא אי הטעם משום חינא</w:t>
      </w:r>
      <w:r>
        <w:rPr>
          <w:rFonts w:cs="Arial" w:hint="cs"/>
          <w:rtl/>
        </w:rPr>
        <w:t>.</w:t>
      </w:r>
      <w:r w:rsidRPr="006D1A13">
        <w:rPr>
          <w:rFonts w:cs="Arial"/>
          <w:rtl/>
        </w:rPr>
        <w:t xml:space="preserve"> וגם ס"ל לב"י דלהטור מספקא ליה כמאן הלכתא אי כמ"ד משום חינא ואי כמאן דאמר שלא תתבזה</w:t>
      </w:r>
      <w:r>
        <w:rPr>
          <w:rFonts w:cs="Arial" w:hint="cs"/>
          <w:rtl/>
        </w:rPr>
        <w:t>,</w:t>
      </w:r>
      <w:r w:rsidRPr="006D1A13">
        <w:rPr>
          <w:rFonts w:cs="Arial"/>
          <w:rtl/>
        </w:rPr>
        <w:t xml:space="preserve"> ולכך בגרושה וגם בנשאת אין לה למכור שלא בבית דין</w:t>
      </w:r>
      <w:r>
        <w:rPr>
          <w:rFonts w:cs="Arial" w:hint="cs"/>
          <w:rtl/>
        </w:rPr>
        <w:t>.</w:t>
      </w:r>
      <w:r>
        <w:rPr>
          <w:rFonts w:hint="cs"/>
          <w:rtl/>
        </w:rPr>
        <w:t xml:space="preserve"> עכ"ל.</w:t>
      </w:r>
    </w:p>
  </w:footnote>
  <w:footnote w:id="2226">
    <w:p w14:paraId="6AE23714" w14:textId="77777777" w:rsidR="00392DBB" w:rsidRDefault="00392DBB" w:rsidP="00392DBB">
      <w:pPr>
        <w:pStyle w:val="a5"/>
        <w:rPr>
          <w:rtl/>
        </w:rPr>
      </w:pPr>
      <w:r>
        <w:rPr>
          <w:rStyle w:val="a7"/>
        </w:rPr>
        <w:footnoteRef/>
      </w:r>
      <w:r>
        <w:rPr>
          <w:rtl/>
        </w:rPr>
        <w:t xml:space="preserve"> </w:t>
      </w:r>
      <w:r w:rsidRPr="009A1165">
        <w:rPr>
          <w:rFonts w:cs="Arial"/>
          <w:rtl/>
        </w:rPr>
        <w:t>כבר כתבתי הטעם למה נשתנה הדין גרושה, וא"ל למה לי טעמים הללו ת"ל הא קי"ל הנכסים הם כמשכון ביד האלמנה ובח"ה סי' ע"ג מבואר מכירות משכנות מוכרים ע"פ ב"ד הדיוטים ואפשר לומר דוק' מטלטלין יכול למכור ע"פ ב"ד הדיוטים אבל קרקע לא או י"ל אע</w:t>
      </w:r>
      <w:r>
        <w:rPr>
          <w:rFonts w:cs="Arial" w:hint="cs"/>
          <w:rtl/>
        </w:rPr>
        <w:t>"</w:t>
      </w:r>
      <w:r w:rsidRPr="009A1165">
        <w:rPr>
          <w:rFonts w:cs="Arial"/>
          <w:rtl/>
        </w:rPr>
        <w:t>ג דקי"ל הנכסים של יתומים הם כמשכון ביד האלמנה מ"מ לא הוי כמשכון ממש דהא הנכסים אינן בידה</w:t>
      </w:r>
      <w:r>
        <w:rPr>
          <w:rFonts w:hint="cs"/>
          <w:rtl/>
        </w:rPr>
        <w:t>, ב"ש (סק"ז).</w:t>
      </w:r>
    </w:p>
  </w:footnote>
  <w:footnote w:id="2227">
    <w:p w14:paraId="0367F1A1" w14:textId="77777777" w:rsidR="00392DBB" w:rsidRDefault="00392DBB" w:rsidP="00392DBB">
      <w:pPr>
        <w:pStyle w:val="a5"/>
        <w:rPr>
          <w:rtl/>
        </w:rPr>
      </w:pPr>
      <w:r>
        <w:rPr>
          <w:rStyle w:val="a7"/>
        </w:rPr>
        <w:footnoteRef/>
      </w:r>
      <w:r>
        <w:rPr>
          <w:rtl/>
        </w:rPr>
        <w:t xml:space="preserve"> </w:t>
      </w:r>
      <w:r w:rsidRPr="009A1165">
        <w:rPr>
          <w:rFonts w:cs="Arial"/>
          <w:rtl/>
        </w:rPr>
        <w:t>כלו' ג' הדיוטו' הראוים לדון דמ"מ איכ' בינייהו חד דגמיר וסביר</w:t>
      </w:r>
      <w:r>
        <w:rPr>
          <w:rFonts w:hint="cs"/>
          <w:rtl/>
        </w:rPr>
        <w:t>, ח"מ (סק"ח).</w:t>
      </w:r>
    </w:p>
  </w:footnote>
  <w:footnote w:id="2228">
    <w:p w14:paraId="45AD6E9A" w14:textId="77777777" w:rsidR="00392DBB" w:rsidRDefault="00392DBB" w:rsidP="00392DBB">
      <w:pPr>
        <w:pStyle w:val="a5"/>
      </w:pPr>
      <w:r>
        <w:rPr>
          <w:rStyle w:val="a7"/>
        </w:rPr>
        <w:footnoteRef/>
      </w:r>
      <w:r>
        <w:rPr>
          <w:rtl/>
        </w:rPr>
        <w:t xml:space="preserve"> </w:t>
      </w:r>
      <w:r>
        <w:rPr>
          <w:rFonts w:cs="Arial" w:hint="cs"/>
          <w:rtl/>
        </w:rPr>
        <w:t>עיין לקמן באיזו שבועה מדובר.</w:t>
      </w:r>
    </w:p>
  </w:footnote>
  <w:footnote w:id="2229">
    <w:p w14:paraId="2978DDDE" w14:textId="77777777" w:rsidR="00392DBB" w:rsidRDefault="00392DBB" w:rsidP="00392DBB">
      <w:pPr>
        <w:pStyle w:val="a5"/>
      </w:pPr>
      <w:r>
        <w:rPr>
          <w:rStyle w:val="a7"/>
        </w:rPr>
        <w:footnoteRef/>
      </w:r>
      <w:r>
        <w:rPr>
          <w:rtl/>
        </w:rPr>
        <w:t xml:space="preserve"> </w:t>
      </w:r>
      <w:r w:rsidRPr="001D66A0">
        <w:rPr>
          <w:rFonts w:cs="Arial"/>
          <w:rtl/>
        </w:rPr>
        <w:t>לקחה שדה היתומים לעצמה בשומת כתובתה</w:t>
      </w:r>
      <w:r>
        <w:rPr>
          <w:rFonts w:cs="Arial" w:hint="cs"/>
          <w:rtl/>
        </w:rPr>
        <w:t>, רש"י.</w:t>
      </w:r>
    </w:p>
  </w:footnote>
  <w:footnote w:id="2230">
    <w:p w14:paraId="1CE451E9" w14:textId="77777777" w:rsidR="00392DBB" w:rsidRDefault="00392DBB" w:rsidP="00392DBB">
      <w:pPr>
        <w:pStyle w:val="a5"/>
      </w:pPr>
      <w:r>
        <w:rPr>
          <w:rStyle w:val="a7"/>
        </w:rPr>
        <w:footnoteRef/>
      </w:r>
      <w:r>
        <w:rPr>
          <w:rtl/>
        </w:rPr>
        <w:t xml:space="preserve"> </w:t>
      </w:r>
      <w:r w:rsidRPr="001D66A0">
        <w:rPr>
          <w:rFonts w:cs="Arial"/>
          <w:rtl/>
        </w:rPr>
        <w:t>ואם רצו היתומים להגבותה מעות לאחר זמן חוזרין ונוטלין אותה</w:t>
      </w:r>
      <w:r>
        <w:rPr>
          <w:rFonts w:cs="Arial" w:hint="cs"/>
          <w:rtl/>
        </w:rPr>
        <w:t>, רש"י.</w:t>
      </w:r>
    </w:p>
  </w:footnote>
  <w:footnote w:id="2231">
    <w:p w14:paraId="7E271D53" w14:textId="77777777" w:rsidR="00392DBB" w:rsidRDefault="00392DBB" w:rsidP="00392DBB">
      <w:pPr>
        <w:pStyle w:val="a5"/>
      </w:pPr>
      <w:r>
        <w:rPr>
          <w:rStyle w:val="a7"/>
        </w:rPr>
        <w:footnoteRef/>
      </w:r>
      <w:r>
        <w:rPr>
          <w:rtl/>
        </w:rPr>
        <w:t xml:space="preserve"> </w:t>
      </w:r>
      <w:r w:rsidRPr="001D66A0">
        <w:rPr>
          <w:rFonts w:cs="Arial"/>
          <w:rtl/>
        </w:rPr>
        <w:t>ממי קבלת מכירה זו לא מבית דין ולא מיתומין לפיכך לא יצא הקרקע מרשות היתומין אבל היכא דשמת לאחריני נפק מרשות היורשין שהרי נתנו לה חכמים רשות למכור</w:t>
      </w:r>
      <w:r>
        <w:rPr>
          <w:rFonts w:cs="Arial" w:hint="cs"/>
          <w:rtl/>
        </w:rPr>
        <w:t>, רש"י.</w:t>
      </w:r>
    </w:p>
  </w:footnote>
  <w:footnote w:id="2232">
    <w:p w14:paraId="3D9CF682" w14:textId="77777777" w:rsidR="00392DBB" w:rsidRDefault="00392DBB" w:rsidP="00392DBB">
      <w:pPr>
        <w:pStyle w:val="a5"/>
      </w:pPr>
      <w:r>
        <w:rPr>
          <w:rStyle w:val="a7"/>
        </w:rPr>
        <w:footnoteRef/>
      </w:r>
      <w:r>
        <w:rPr>
          <w:rtl/>
        </w:rPr>
        <w:t xml:space="preserve"> </w:t>
      </w:r>
      <w:r w:rsidRPr="001D66A0">
        <w:rPr>
          <w:rFonts w:cs="Arial"/>
          <w:rtl/>
        </w:rPr>
        <w:t>מספוא לשון אחר כסיתא גרס עצי אלמוגים שקורין קורא"ל</w:t>
      </w:r>
      <w:r>
        <w:rPr>
          <w:rFonts w:cs="Arial" w:hint="cs"/>
          <w:rtl/>
        </w:rPr>
        <w:t>, רש"י.</w:t>
      </w:r>
    </w:p>
  </w:footnote>
  <w:footnote w:id="2233">
    <w:p w14:paraId="2A7EA5C5" w14:textId="2B88BF4E" w:rsidR="00CA738E" w:rsidRDefault="00CA738E">
      <w:pPr>
        <w:pStyle w:val="a5"/>
      </w:pPr>
      <w:r>
        <w:rPr>
          <w:rStyle w:val="a7"/>
        </w:rPr>
        <w:footnoteRef/>
      </w:r>
      <w:r>
        <w:rPr>
          <w:rtl/>
        </w:rPr>
        <w:t xml:space="preserve"> </w:t>
      </w:r>
      <w:r w:rsidRPr="00E822E0">
        <w:rPr>
          <w:rFonts w:cs="Arial"/>
          <w:rtl/>
        </w:rPr>
        <w:t>וקא מיבעיא לן מי אמרינן תמכור לכתובה ואח"כ תשבע</w:t>
      </w:r>
      <w:r w:rsidRPr="00E822E0">
        <w:rPr>
          <w:rFonts w:cs="Arial" w:hint="cs"/>
          <w:rtl/>
        </w:rPr>
        <w:t>,</w:t>
      </w:r>
      <w:r w:rsidRPr="00E822E0">
        <w:rPr>
          <w:rFonts w:cs="Arial"/>
          <w:rtl/>
        </w:rPr>
        <w:t xml:space="preserve"> כדי שלא תשהה ותפסיד מהם מזונות בינתים</w:t>
      </w:r>
      <w:r w:rsidRPr="00E822E0">
        <w:rPr>
          <w:rFonts w:cs="Arial" w:hint="cs"/>
          <w:rtl/>
        </w:rPr>
        <w:t>.</w:t>
      </w:r>
      <w:r w:rsidRPr="00E822E0">
        <w:rPr>
          <w:rFonts w:cs="Arial"/>
          <w:rtl/>
        </w:rPr>
        <w:t xml:space="preserve"> דלאחר מכירה ודאי פשיטא לן דתשבע שבועה זו שמפני שמוכרת שלא בב"ד לא הפסידו יתומים תקנת בא ליפרע מנכסי יתומים שלא יפרע אלא בשבועה</w:t>
      </w:r>
      <w:r w:rsidRPr="00E822E0">
        <w:rPr>
          <w:rFonts w:cs="Arial" w:hint="cs"/>
          <w:rtl/>
        </w:rPr>
        <w:t>.</w:t>
      </w:r>
      <w:r w:rsidRPr="00E822E0">
        <w:rPr>
          <w:rFonts w:cs="Arial"/>
          <w:rtl/>
        </w:rPr>
        <w:t xml:space="preserve"> ומסקנא דצריכה שבועה תחלה לפי ששהות השבועה מועט ואינה צריכה הכרזה לפי ששהות ההכרזה מרובה ויש לחוש בה להפסד מזונות</w:t>
      </w:r>
      <w:r>
        <w:rPr>
          <w:rFonts w:hint="cs"/>
          <w:rtl/>
        </w:rPr>
        <w:t>, ר"ן (שם).</w:t>
      </w:r>
    </w:p>
  </w:footnote>
  <w:footnote w:id="2234">
    <w:p w14:paraId="49A9AEB8" w14:textId="4E306E3C"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sidRPr="000979E1">
        <w:rPr>
          <w:rtl/>
        </w:rPr>
        <w:t xml:space="preserve"> </w:t>
      </w:r>
      <w:r w:rsidRPr="000979E1">
        <w:rPr>
          <w:rFonts w:cs="Arial"/>
          <w:rtl/>
        </w:rPr>
        <w:t>נראה לרבי דבמוכרת לכתובה מיבעיא ליה</w:t>
      </w:r>
      <w:r>
        <w:rPr>
          <w:rFonts w:cs="Arial" w:hint="cs"/>
          <w:rtl/>
        </w:rPr>
        <w:t>,</w:t>
      </w:r>
      <w:r w:rsidRPr="000979E1">
        <w:rPr>
          <w:rFonts w:cs="Arial"/>
          <w:rtl/>
        </w:rPr>
        <w:t xml:space="preserve"> דתחלה קודם גביית כתובתה משביעין אותה שלא עכבה משל בעלה כלום</w:t>
      </w:r>
      <w:r>
        <w:rPr>
          <w:rFonts w:cs="Arial" w:hint="cs"/>
          <w:rtl/>
        </w:rPr>
        <w:t>.</w:t>
      </w:r>
      <w:r w:rsidRPr="000979E1">
        <w:rPr>
          <w:rFonts w:cs="Arial"/>
          <w:rtl/>
        </w:rPr>
        <w:t xml:space="preserve"> ולאחר שמכרה נכסים שלא בבית דין ליגבות מהן כתובתה מיבעיא ליה אם חוזרין ומשביעין אותה שלא גבתה יותר</w:t>
      </w:r>
      <w:r>
        <w:rPr>
          <w:rFonts w:cs="Arial" w:hint="cs"/>
          <w:rtl/>
        </w:rPr>
        <w:t>.</w:t>
      </w:r>
      <w:r w:rsidRPr="000979E1">
        <w:rPr>
          <w:rFonts w:cs="Arial"/>
          <w:rtl/>
        </w:rPr>
        <w:t xml:space="preserve"> ועוד אומר רבי דהך שבועה דמיבעיא ליה</w:t>
      </w:r>
      <w:r>
        <w:rPr>
          <w:rFonts w:cs="Arial" w:hint="cs"/>
          <w:rtl/>
        </w:rPr>
        <w:t>,</w:t>
      </w:r>
      <w:r w:rsidRPr="000979E1">
        <w:rPr>
          <w:rFonts w:cs="Arial"/>
          <w:rtl/>
        </w:rPr>
        <w:t xml:space="preserve"> לא כפ</w:t>
      </w:r>
      <w:r>
        <w:rPr>
          <w:rFonts w:cs="Arial" w:hint="cs"/>
          <w:rtl/>
        </w:rPr>
        <w:t xml:space="preserve">' </w:t>
      </w:r>
      <w:r w:rsidRPr="000979E1">
        <w:rPr>
          <w:rFonts w:cs="Arial"/>
          <w:rtl/>
        </w:rPr>
        <w:t>ה</w:t>
      </w:r>
      <w:r>
        <w:rPr>
          <w:rFonts w:cs="Arial" w:hint="cs"/>
          <w:rtl/>
        </w:rPr>
        <w:t>קונטרס</w:t>
      </w:r>
      <w:r w:rsidRPr="000979E1">
        <w:rPr>
          <w:rFonts w:cs="Arial"/>
          <w:rtl/>
        </w:rPr>
        <w:t xml:space="preserve"> שלא גבתה יותר</w:t>
      </w:r>
      <w:r>
        <w:rPr>
          <w:rFonts w:cs="Arial" w:hint="cs"/>
          <w:rtl/>
        </w:rPr>
        <w:t>,</w:t>
      </w:r>
      <w:r w:rsidRPr="000979E1">
        <w:rPr>
          <w:rFonts w:cs="Arial"/>
          <w:rtl/>
        </w:rPr>
        <w:t xml:space="preserve"> אלא מיבעיא ליה אי משביעין אותה שלא זלזלה בנכסים</w:t>
      </w:r>
      <w:r>
        <w:rPr>
          <w:rFonts w:cs="Arial" w:hint="cs"/>
          <w:rtl/>
        </w:rPr>
        <w:t>.</w:t>
      </w:r>
      <w:r w:rsidRPr="000979E1">
        <w:rPr>
          <w:rFonts w:cs="Arial"/>
          <w:rtl/>
        </w:rPr>
        <w:t xml:space="preserve"> וכן מוכח מדקאמר תיבעי לך הכרזה דהוי נמי שלא תזלזל</w:t>
      </w:r>
      <w:r>
        <w:rPr>
          <w:rFonts w:cs="Arial" w:hint="cs"/>
          <w:rtl/>
        </w:rPr>
        <w:t>.</w:t>
      </w:r>
      <w:r w:rsidRPr="000979E1">
        <w:rPr>
          <w:rFonts w:cs="Arial"/>
          <w:rtl/>
        </w:rPr>
        <w:t xml:space="preserve"> וכן פי' ר"ת</w:t>
      </w:r>
      <w:r>
        <w:rPr>
          <w:rFonts w:cs="Arial" w:hint="cs"/>
          <w:rtl/>
        </w:rPr>
        <w:t>.</w:t>
      </w:r>
      <w:r>
        <w:rPr>
          <w:rFonts w:hint="cs"/>
          <w:rtl/>
        </w:rPr>
        <w:t xml:space="preserve"> </w:t>
      </w:r>
    </w:p>
  </w:footnote>
  <w:footnote w:id="2235">
    <w:p w14:paraId="6B94C169" w14:textId="2F43207F" w:rsidR="00CA738E" w:rsidRDefault="00CA738E">
      <w:pPr>
        <w:pStyle w:val="a5"/>
        <w:rPr>
          <w:rtl/>
        </w:rPr>
      </w:pPr>
      <w:r>
        <w:rPr>
          <w:rStyle w:val="a7"/>
        </w:rPr>
        <w:footnoteRef/>
      </w:r>
      <w:r>
        <w:rPr>
          <w:rtl/>
        </w:rPr>
        <w:t xml:space="preserve"> </w:t>
      </w:r>
      <w:r>
        <w:rPr>
          <w:rFonts w:hint="cs"/>
          <w:rtl/>
        </w:rPr>
        <w:t>כתב הרא"ש וז"ל:</w:t>
      </w:r>
      <w:r w:rsidRPr="00CA738E">
        <w:rPr>
          <w:rFonts w:cs="Arial"/>
          <w:rtl/>
        </w:rPr>
        <w:t xml:space="preserve"> </w:t>
      </w:r>
      <w:r w:rsidRPr="005542BB">
        <w:rPr>
          <w:rFonts w:cs="Arial"/>
          <w:rtl/>
        </w:rPr>
        <w:t>ודאי במוכרת לכתובתה קא מיבעיא ליה</w:t>
      </w:r>
      <w:r>
        <w:rPr>
          <w:rFonts w:cs="Arial" w:hint="cs"/>
          <w:rtl/>
        </w:rPr>
        <w:t>.</w:t>
      </w:r>
      <w:r w:rsidRPr="005542BB">
        <w:rPr>
          <w:rFonts w:cs="Arial"/>
          <w:rtl/>
        </w:rPr>
        <w:t xml:space="preserve"> ולא מיבעיא ליה בשבועת צררי</w:t>
      </w:r>
      <w:r>
        <w:rPr>
          <w:rFonts w:cs="Arial" w:hint="cs"/>
          <w:rtl/>
        </w:rPr>
        <w:t>,</w:t>
      </w:r>
      <w:r w:rsidRPr="005542BB">
        <w:rPr>
          <w:rFonts w:cs="Arial"/>
          <w:rtl/>
        </w:rPr>
        <w:t xml:space="preserve"> דפשיטא דמשביעין אותה כדתנן בפרק השולח (לד</w:t>
      </w:r>
      <w:r>
        <w:rPr>
          <w:rFonts w:cs="Arial" w:hint="cs"/>
          <w:rtl/>
        </w:rPr>
        <w:t>:</w:t>
      </w:r>
      <w:r w:rsidRPr="005542BB">
        <w:rPr>
          <w:rFonts w:cs="Arial"/>
          <w:rtl/>
        </w:rPr>
        <w:t>) אין אלמנה נפרעת מנכסי יתומים אלא בשבועה</w:t>
      </w:r>
      <w:r>
        <w:rPr>
          <w:rFonts w:cs="Arial" w:hint="cs"/>
          <w:rtl/>
        </w:rPr>
        <w:t>.</w:t>
      </w:r>
      <w:r w:rsidRPr="005542BB">
        <w:rPr>
          <w:rFonts w:cs="Arial"/>
          <w:rtl/>
        </w:rPr>
        <w:t xml:space="preserve"> אלא מיבעיא ליה אחר שמכרה הנכסים שלא בב"ד אם משביעין שלא גבתה יותר</w:t>
      </w:r>
      <w:r>
        <w:rPr>
          <w:rFonts w:cs="Arial" w:hint="cs"/>
          <w:rtl/>
        </w:rPr>
        <w:t>.</w:t>
      </w:r>
      <w:r w:rsidRPr="005542BB">
        <w:rPr>
          <w:rFonts w:cs="Arial"/>
          <w:rtl/>
        </w:rPr>
        <w:t xml:space="preserve"> א"נ מיבעיא ליה אם משביעין אותה שלא זילזלה בנכסים</w:t>
      </w:r>
      <w:r>
        <w:rPr>
          <w:rFonts w:cs="Arial" w:hint="cs"/>
          <w:rtl/>
        </w:rPr>
        <w:t>.</w:t>
      </w:r>
      <w:r w:rsidRPr="005542BB">
        <w:rPr>
          <w:rFonts w:cs="Arial"/>
          <w:rtl/>
        </w:rPr>
        <w:t xml:space="preserve"> וכן מוכח מדקאמר ותיבעי לך הכרזה דהאי נמי משום דלא תזלזל.</w:t>
      </w:r>
      <w:r>
        <w:rPr>
          <w:rFonts w:cs="Arial" w:hint="cs"/>
          <w:rtl/>
        </w:rPr>
        <w:t>..</w:t>
      </w:r>
      <w:r w:rsidRPr="005542BB">
        <w:rPr>
          <w:rtl/>
        </w:rPr>
        <w:t xml:space="preserve"> </w:t>
      </w:r>
      <w:r>
        <w:rPr>
          <w:rFonts w:cs="Arial" w:hint="cs"/>
          <w:sz w:val="16"/>
          <w:szCs w:val="16"/>
          <w:rtl/>
        </w:rPr>
        <w:t xml:space="preserve">{וסיכם בסוף דבריו וכתב-} </w:t>
      </w:r>
      <w:r w:rsidRPr="005542BB">
        <w:rPr>
          <w:rFonts w:cs="Arial"/>
          <w:rtl/>
        </w:rPr>
        <w:t xml:space="preserve">הא דקאמר הכא צריכה שבועה </w:t>
      </w:r>
      <w:r>
        <w:rPr>
          <w:rFonts w:cs="Arial" w:hint="cs"/>
          <w:rtl/>
        </w:rPr>
        <w:t xml:space="preserve">- </w:t>
      </w:r>
      <w:r w:rsidRPr="005542BB">
        <w:rPr>
          <w:rFonts w:cs="Arial"/>
          <w:rtl/>
        </w:rPr>
        <w:t>אחר המכירה קאמר</w:t>
      </w:r>
      <w:r>
        <w:rPr>
          <w:rFonts w:cs="Arial" w:hint="cs"/>
          <w:rtl/>
        </w:rPr>
        <w:t>,</w:t>
      </w:r>
      <w:r w:rsidRPr="005542BB">
        <w:rPr>
          <w:rFonts w:cs="Arial"/>
          <w:rtl/>
        </w:rPr>
        <w:t xml:space="preserve"> ד</w:t>
      </w:r>
      <w:r>
        <w:rPr>
          <w:rFonts w:cs="Arial" w:hint="cs"/>
          <w:rtl/>
        </w:rPr>
        <w:t>-...</w:t>
      </w:r>
    </w:p>
  </w:footnote>
  <w:footnote w:id="2236">
    <w:p w14:paraId="7E1BD72B" w14:textId="77777777" w:rsidR="00392DBB" w:rsidRDefault="00392DBB" w:rsidP="00392DBB">
      <w:pPr>
        <w:pStyle w:val="a5"/>
      </w:pPr>
      <w:r>
        <w:rPr>
          <w:rStyle w:val="a7"/>
        </w:rPr>
        <w:footnoteRef/>
      </w:r>
      <w:r>
        <w:rPr>
          <w:rtl/>
        </w:rPr>
        <w:t xml:space="preserve"> </w:t>
      </w:r>
      <w:r w:rsidRPr="00E822E0">
        <w:rPr>
          <w:rFonts w:cs="Arial"/>
          <w:rtl/>
        </w:rPr>
        <w:t>כבר כתבתי בסי' צ"ז צ"ח דינים אלו באריכות אם נשבעת שבועה זו דוקא ע"י גלגול או אף בלא גלגול</w:t>
      </w:r>
      <w:r>
        <w:rPr>
          <w:rFonts w:cs="Arial" w:hint="cs"/>
          <w:rtl/>
        </w:rPr>
        <w:t>, ב"ש (סק"ח).</w:t>
      </w:r>
    </w:p>
  </w:footnote>
  <w:footnote w:id="2237">
    <w:p w14:paraId="0D1A8B2E" w14:textId="77777777" w:rsidR="00392DBB" w:rsidRDefault="00392DBB" w:rsidP="00392DBB">
      <w:pPr>
        <w:pStyle w:val="a5"/>
      </w:pPr>
      <w:r>
        <w:rPr>
          <w:rStyle w:val="a7"/>
        </w:rPr>
        <w:footnoteRef/>
      </w:r>
      <w:r>
        <w:rPr>
          <w:rtl/>
        </w:rPr>
        <w:t xml:space="preserve"> </w:t>
      </w:r>
      <w:r w:rsidRPr="00E822E0">
        <w:rPr>
          <w:rFonts w:cs="Arial"/>
          <w:rtl/>
        </w:rPr>
        <w:t>בהרא"ש ובהר"ן איתא דצריכה לשבע שלא גבתה יותר דהא הריווח שייך ליורשים א"י למה כתב כאן רק שבועה שלא זלזלה ולא כתב השבועה שלא גבת' יותר ולדעת כמה פוסקים שלא גבתה יותר צריכה לשבע ולא על שלא זלזלה</w:t>
      </w:r>
      <w:r>
        <w:rPr>
          <w:rFonts w:cs="Arial" w:hint="cs"/>
          <w:rtl/>
        </w:rPr>
        <w:t>, ב"ש (סק"י).</w:t>
      </w:r>
    </w:p>
  </w:footnote>
  <w:footnote w:id="2238">
    <w:p w14:paraId="4E5A0F3E" w14:textId="77777777" w:rsidR="00392DBB" w:rsidRDefault="00392DBB" w:rsidP="00392DBB">
      <w:pPr>
        <w:pStyle w:val="a5"/>
      </w:pPr>
      <w:r>
        <w:rPr>
          <w:rStyle w:val="a7"/>
        </w:rPr>
        <w:footnoteRef/>
      </w:r>
      <w:r>
        <w:rPr>
          <w:rtl/>
        </w:rPr>
        <w:t xml:space="preserve"> </w:t>
      </w:r>
      <w:r w:rsidRPr="00E822E0">
        <w:rPr>
          <w:rFonts w:cs="Arial"/>
          <w:rtl/>
        </w:rPr>
        <w:t>היינו קרקע</w:t>
      </w:r>
      <w:r>
        <w:rPr>
          <w:rFonts w:cs="Arial" w:hint="cs"/>
          <w:rtl/>
        </w:rPr>
        <w:t>.</w:t>
      </w:r>
      <w:r w:rsidRPr="00E822E0">
        <w:rPr>
          <w:rFonts w:cs="Arial"/>
          <w:rtl/>
        </w:rPr>
        <w:t xml:space="preserve"> וע"כ איירי דלא נשבעה על הכתוב</w:t>
      </w:r>
      <w:r>
        <w:rPr>
          <w:rFonts w:cs="Arial" w:hint="cs"/>
          <w:rtl/>
        </w:rPr>
        <w:t>ה</w:t>
      </w:r>
      <w:r w:rsidRPr="00E822E0">
        <w:rPr>
          <w:rFonts w:cs="Arial"/>
          <w:rtl/>
        </w:rPr>
        <w:t xml:space="preserve"> קודם המכירה</w:t>
      </w:r>
      <w:r>
        <w:rPr>
          <w:rFonts w:cs="Arial" w:hint="cs"/>
          <w:rtl/>
        </w:rPr>
        <w:t>,</w:t>
      </w:r>
      <w:r w:rsidRPr="00E822E0">
        <w:rPr>
          <w:rFonts w:cs="Arial"/>
          <w:rtl/>
        </w:rPr>
        <w:t xml:space="preserve"> ומ"מ המכירה קיימת</w:t>
      </w:r>
      <w:r>
        <w:rPr>
          <w:rFonts w:cs="Arial" w:hint="cs"/>
          <w:rtl/>
        </w:rPr>
        <w:t>.</w:t>
      </w:r>
      <w:r w:rsidRPr="00E822E0">
        <w:rPr>
          <w:rFonts w:cs="Arial"/>
          <w:rtl/>
        </w:rPr>
        <w:t xml:space="preserve"> ובסי' צ"ו פסק בקרקע המכירה בטלה</w:t>
      </w:r>
      <w:r>
        <w:rPr>
          <w:rFonts w:cs="Arial" w:hint="cs"/>
          <w:rtl/>
        </w:rPr>
        <w:t>.</w:t>
      </w:r>
      <w:r w:rsidRPr="00E822E0">
        <w:rPr>
          <w:rFonts w:cs="Arial"/>
          <w:rtl/>
        </w:rPr>
        <w:t xml:space="preserve"> וצ"ל דאיירי כאן דמכר</w:t>
      </w:r>
      <w:r>
        <w:rPr>
          <w:rFonts w:cs="Arial" w:hint="cs"/>
          <w:rtl/>
        </w:rPr>
        <w:t>ה</w:t>
      </w:r>
      <w:r w:rsidRPr="00E822E0">
        <w:rPr>
          <w:rFonts w:cs="Arial"/>
          <w:rtl/>
        </w:rPr>
        <w:t xml:space="preserve"> בלא ב"ד מומחין אלא ע"פ ב"ד הדיוטים</w:t>
      </w:r>
      <w:r>
        <w:rPr>
          <w:rFonts w:cs="Arial" w:hint="cs"/>
          <w:rtl/>
        </w:rPr>
        <w:t>.</w:t>
      </w:r>
      <w:r w:rsidRPr="00E822E0">
        <w:rPr>
          <w:rFonts w:cs="Arial"/>
          <w:rtl/>
        </w:rPr>
        <w:t xml:space="preserve"> ומ"מ צריכה לישבע שלא זלזלה כמ"ש בהראש והר"ן</w:t>
      </w:r>
      <w:r>
        <w:rPr>
          <w:rFonts w:cs="Arial" w:hint="cs"/>
          <w:rtl/>
        </w:rPr>
        <w:t>.</w:t>
      </w:r>
      <w:r w:rsidRPr="00E822E0">
        <w:rPr>
          <w:rFonts w:cs="Arial"/>
          <w:rtl/>
        </w:rPr>
        <w:t xml:space="preserve"> והמחבר פסק שם ג"כ ע"פ בית דין הדיוטים מכירה קיימת אף בקרקע</w:t>
      </w:r>
      <w:r>
        <w:rPr>
          <w:rFonts w:cs="Arial" w:hint="cs"/>
          <w:rtl/>
        </w:rPr>
        <w:t>.</w:t>
      </w:r>
      <w:r w:rsidRPr="00E822E0">
        <w:rPr>
          <w:rFonts w:cs="Arial"/>
          <w:rtl/>
        </w:rPr>
        <w:t xml:space="preserve"> גם נ"ל דאיירי הכא דלא ערערה על מכירה</w:t>
      </w:r>
      <w:r>
        <w:rPr>
          <w:rFonts w:cs="Arial" w:hint="cs"/>
          <w:rtl/>
        </w:rPr>
        <w:t>,</w:t>
      </w:r>
      <w:r w:rsidRPr="00E822E0">
        <w:rPr>
          <w:rFonts w:cs="Arial"/>
          <w:rtl/>
        </w:rPr>
        <w:t xml:space="preserve"> </w:t>
      </w:r>
      <w:r>
        <w:rPr>
          <w:rFonts w:cs="Arial" w:hint="cs"/>
          <w:rtl/>
        </w:rPr>
        <w:t>ד</w:t>
      </w:r>
      <w:r w:rsidRPr="00E822E0">
        <w:rPr>
          <w:rFonts w:cs="Arial"/>
          <w:rtl/>
        </w:rPr>
        <w:t>אז לכ"ע המכירה קיים בלא שבועה כמ"ש שם בהג"ה בשם מהרי"ק</w:t>
      </w:r>
      <w:r>
        <w:rPr>
          <w:rFonts w:cs="Arial" w:hint="cs"/>
          <w:rtl/>
        </w:rPr>
        <w:t>,</w:t>
      </w:r>
      <w:r w:rsidRPr="00E822E0">
        <w:rPr>
          <w:rFonts w:cs="Arial"/>
          <w:rtl/>
        </w:rPr>
        <w:t xml:space="preserve"> אע</w:t>
      </w:r>
      <w:r>
        <w:rPr>
          <w:rFonts w:cs="Arial" w:hint="cs"/>
          <w:rtl/>
        </w:rPr>
        <w:t>"</w:t>
      </w:r>
      <w:r w:rsidRPr="00E822E0">
        <w:rPr>
          <w:rFonts w:cs="Arial"/>
          <w:rtl/>
        </w:rPr>
        <w:t>ג המחבר לא הביא שם דעת מהרי"ק מ"מ ס"ל כן</w:t>
      </w:r>
      <w:r>
        <w:rPr>
          <w:rFonts w:cs="Arial" w:hint="cs"/>
          <w:rtl/>
        </w:rPr>
        <w:t>.</w:t>
      </w:r>
      <w:r w:rsidRPr="00E822E0">
        <w:rPr>
          <w:rFonts w:cs="Arial"/>
          <w:rtl/>
        </w:rPr>
        <w:t xml:space="preserve"> מיהו תוס' בסוגיא זו ובהרא"ש מבואר קודם המכירה משביעין אותה על הכתובה</w:t>
      </w:r>
      <w:r>
        <w:rPr>
          <w:rFonts w:cs="Arial" w:hint="cs"/>
          <w:rtl/>
        </w:rPr>
        <w:t>,</w:t>
      </w:r>
      <w:r w:rsidRPr="00E822E0">
        <w:rPr>
          <w:rFonts w:cs="Arial"/>
          <w:rtl/>
        </w:rPr>
        <w:t xml:space="preserve"> ואחר המכירה צריכה לשבע שלא זלזלה</w:t>
      </w:r>
      <w:r>
        <w:rPr>
          <w:rFonts w:cs="Arial" w:hint="cs"/>
          <w:rtl/>
        </w:rPr>
        <w:t>,</w:t>
      </w:r>
      <w:r w:rsidRPr="00E822E0">
        <w:rPr>
          <w:rFonts w:cs="Arial"/>
          <w:rtl/>
        </w:rPr>
        <w:t xml:space="preserve"> הואיל דמכרה בלא בית דין</w:t>
      </w:r>
      <w:r>
        <w:rPr>
          <w:rFonts w:cs="Arial" w:hint="cs"/>
          <w:rtl/>
        </w:rPr>
        <w:t>.</w:t>
      </w:r>
      <w:r w:rsidRPr="00E822E0">
        <w:rPr>
          <w:rFonts w:cs="Arial"/>
          <w:rtl/>
        </w:rPr>
        <w:t xml:space="preserve"> ומ"ש הרא"ש בסוף דבריו דמשביעים שבועת צררי </w:t>
      </w:r>
      <w:r>
        <w:rPr>
          <w:rFonts w:cs="Arial" w:hint="cs"/>
          <w:rtl/>
        </w:rPr>
        <w:t>ו</w:t>
      </w:r>
      <w:r w:rsidRPr="00E822E0">
        <w:rPr>
          <w:rFonts w:cs="Arial"/>
          <w:rtl/>
        </w:rPr>
        <w:t>גם שלא זלזלה</w:t>
      </w:r>
      <w:r>
        <w:rPr>
          <w:rFonts w:cs="Arial" w:hint="cs"/>
          <w:rtl/>
        </w:rPr>
        <w:t>,</w:t>
      </w:r>
      <w:r w:rsidRPr="00E822E0">
        <w:rPr>
          <w:rFonts w:cs="Arial"/>
          <w:rtl/>
        </w:rPr>
        <w:t xml:space="preserve"> כן כתב לדברי הרי"ף שם</w:t>
      </w:r>
      <w:r>
        <w:rPr>
          <w:rFonts w:cs="Arial" w:hint="cs"/>
          <w:rtl/>
        </w:rPr>
        <w:t>.</w:t>
      </w:r>
      <w:r w:rsidRPr="00E822E0">
        <w:rPr>
          <w:rFonts w:cs="Arial"/>
          <w:rtl/>
        </w:rPr>
        <w:t xml:space="preserve"> ולדעת הרמב"ם ורמב"ן א"צ לשבע כלל</w:t>
      </w:r>
      <w:r>
        <w:rPr>
          <w:rFonts w:cs="Arial" w:hint="cs"/>
          <w:rtl/>
        </w:rPr>
        <w:t>,</w:t>
      </w:r>
      <w:r w:rsidRPr="00E822E0">
        <w:rPr>
          <w:rFonts w:cs="Arial"/>
          <w:rtl/>
        </w:rPr>
        <w:t xml:space="preserve"> לא שלא זלזלה</w:t>
      </w:r>
      <w:r>
        <w:rPr>
          <w:rFonts w:cs="Arial" w:hint="cs"/>
          <w:rtl/>
        </w:rPr>
        <w:t>,</w:t>
      </w:r>
      <w:r w:rsidRPr="00E822E0">
        <w:rPr>
          <w:rFonts w:cs="Arial"/>
          <w:rtl/>
        </w:rPr>
        <w:t xml:space="preserve"> ולא שלא גבתה יותר</w:t>
      </w:r>
      <w:r>
        <w:rPr>
          <w:rFonts w:cs="Arial" w:hint="cs"/>
          <w:rtl/>
        </w:rPr>
        <w:t>.</w:t>
      </w:r>
      <w:r w:rsidRPr="00E822E0">
        <w:rPr>
          <w:rFonts w:cs="Arial"/>
          <w:rtl/>
        </w:rPr>
        <w:t xml:space="preserve"> כי ס"ל הבעיין בש"ס קאי על שבוע</w:t>
      </w:r>
      <w:r>
        <w:rPr>
          <w:rFonts w:cs="Arial" w:hint="cs"/>
          <w:rtl/>
        </w:rPr>
        <w:t>ת</w:t>
      </w:r>
      <w:r w:rsidRPr="00E822E0">
        <w:rPr>
          <w:rFonts w:cs="Arial"/>
          <w:rtl/>
        </w:rPr>
        <w:t xml:space="preserve"> אלמנה אם תשבע קודם המכירה או אח"כ</w:t>
      </w:r>
      <w:r>
        <w:rPr>
          <w:rFonts w:cs="Arial" w:hint="cs"/>
          <w:rtl/>
        </w:rPr>
        <w:t>.</w:t>
      </w:r>
      <w:r w:rsidRPr="00E822E0">
        <w:rPr>
          <w:rFonts w:cs="Arial"/>
          <w:rtl/>
        </w:rPr>
        <w:t xml:space="preserve"> ועלתה המסקנא שתשבע קודם המכירה ועיין בהר"ן</w:t>
      </w:r>
      <w:r>
        <w:rPr>
          <w:rFonts w:cs="Arial" w:hint="cs"/>
          <w:rtl/>
        </w:rPr>
        <w:t>, ב"ש (סק"ט).</w:t>
      </w:r>
    </w:p>
  </w:footnote>
  <w:footnote w:id="2239">
    <w:p w14:paraId="7007ABD1" w14:textId="77777777" w:rsidR="00392DBB" w:rsidRDefault="00392DBB" w:rsidP="00392DBB">
      <w:pPr>
        <w:pStyle w:val="a5"/>
      </w:pPr>
      <w:r>
        <w:rPr>
          <w:rStyle w:val="a7"/>
        </w:rPr>
        <w:footnoteRef/>
      </w:r>
      <w:r>
        <w:rPr>
          <w:rtl/>
        </w:rPr>
        <w:t xml:space="preserve"> </w:t>
      </w:r>
      <w:r w:rsidRPr="001D66A0">
        <w:rPr>
          <w:rFonts w:cs="Arial"/>
          <w:rtl/>
        </w:rPr>
        <w:t>לקחה שדה היתומים לעצמה בשומת כתובתה</w:t>
      </w:r>
      <w:r>
        <w:rPr>
          <w:rFonts w:cs="Arial" w:hint="cs"/>
          <w:rtl/>
        </w:rPr>
        <w:t>, רש"י.</w:t>
      </w:r>
    </w:p>
  </w:footnote>
  <w:footnote w:id="2240">
    <w:p w14:paraId="71575926" w14:textId="77777777" w:rsidR="00392DBB" w:rsidRDefault="00392DBB" w:rsidP="00392DBB">
      <w:pPr>
        <w:pStyle w:val="a5"/>
      </w:pPr>
      <w:r>
        <w:rPr>
          <w:rStyle w:val="a7"/>
        </w:rPr>
        <w:footnoteRef/>
      </w:r>
      <w:r>
        <w:rPr>
          <w:rtl/>
        </w:rPr>
        <w:t xml:space="preserve"> </w:t>
      </w:r>
      <w:r w:rsidRPr="001D66A0">
        <w:rPr>
          <w:rFonts w:cs="Arial"/>
          <w:rtl/>
        </w:rPr>
        <w:t>ואם רצו היתומים להגבותה מעות לאחר זמן חוזרין ונוטלין אותה</w:t>
      </w:r>
      <w:r>
        <w:rPr>
          <w:rFonts w:cs="Arial" w:hint="cs"/>
          <w:rtl/>
        </w:rPr>
        <w:t>, רש"י.</w:t>
      </w:r>
    </w:p>
  </w:footnote>
  <w:footnote w:id="2241">
    <w:p w14:paraId="3F03FA1F" w14:textId="77777777" w:rsidR="00392DBB" w:rsidRPr="00CA236B" w:rsidRDefault="00392DBB" w:rsidP="00392DBB">
      <w:pPr>
        <w:pStyle w:val="a5"/>
        <w:rPr>
          <w:rFonts w:cs="Arial"/>
        </w:rPr>
      </w:pPr>
      <w:r>
        <w:rPr>
          <w:rStyle w:val="a7"/>
        </w:rPr>
        <w:footnoteRef/>
      </w:r>
      <w:r>
        <w:rPr>
          <w:rtl/>
        </w:rPr>
        <w:t xml:space="preserve"> </w:t>
      </w:r>
      <w:r>
        <w:rPr>
          <w:rFonts w:cs="Arial"/>
          <w:rtl/>
        </w:rPr>
        <w:t>כלומר מי החזיקך באלו הנכסים</w:t>
      </w:r>
      <w:r>
        <w:rPr>
          <w:rFonts w:cs="Arial" w:hint="cs"/>
          <w:rtl/>
        </w:rPr>
        <w:t>.</w:t>
      </w:r>
      <w:r>
        <w:rPr>
          <w:rFonts w:cs="Arial"/>
          <w:rtl/>
        </w:rPr>
        <w:t xml:space="preserve"> שאין אדם יכול לזכות במקח אלא מיד המקנה לו</w:t>
      </w:r>
      <w:r>
        <w:rPr>
          <w:rFonts w:cs="Arial" w:hint="cs"/>
          <w:rtl/>
        </w:rPr>
        <w:t>.</w:t>
      </w:r>
      <w:r>
        <w:rPr>
          <w:rFonts w:cs="Arial"/>
          <w:rtl/>
        </w:rPr>
        <w:t xml:space="preserve"> ואין לפרש דשומא ממש קאמר</w:t>
      </w:r>
      <w:r>
        <w:rPr>
          <w:rFonts w:cs="Arial" w:hint="cs"/>
          <w:rtl/>
        </w:rPr>
        <w:t>,</w:t>
      </w:r>
      <w:r>
        <w:rPr>
          <w:rFonts w:cs="Arial"/>
          <w:rtl/>
        </w:rPr>
        <w:t xml:space="preserve"> דאע"ג דליכא ב"ד מומחין</w:t>
      </w:r>
      <w:r>
        <w:rPr>
          <w:rFonts w:cs="Arial" w:hint="cs"/>
          <w:rtl/>
        </w:rPr>
        <w:t>,</w:t>
      </w:r>
      <w:r>
        <w:rPr>
          <w:rFonts w:cs="Arial"/>
          <w:rtl/>
        </w:rPr>
        <w:t xml:space="preserve"> ב"ד הדיוטות מיהא איכא כדאיתא בפרק אלו מציאות (ב"מ לב.)</w:t>
      </w:r>
      <w:r>
        <w:rPr>
          <w:rFonts w:cs="Arial" w:hint="cs"/>
          <w:rtl/>
        </w:rPr>
        <w:t>.</w:t>
      </w:r>
      <w:r>
        <w:rPr>
          <w:rFonts w:cs="Arial"/>
          <w:rtl/>
        </w:rPr>
        <w:t xml:space="preserve"> ומה שהחזיקוה ב"ד הדיוטות אינה חזקה</w:t>
      </w:r>
      <w:r>
        <w:rPr>
          <w:rFonts w:cs="Arial" w:hint="cs"/>
          <w:rtl/>
        </w:rPr>
        <w:t>,</w:t>
      </w:r>
      <w:r>
        <w:rPr>
          <w:rFonts w:cs="Arial"/>
          <w:rtl/>
        </w:rPr>
        <w:t xml:space="preserve"> דיושבי קרנות הם</w:t>
      </w:r>
      <w:r>
        <w:rPr>
          <w:rFonts w:cs="Arial" w:hint="cs"/>
          <w:rtl/>
        </w:rPr>
        <w:t>,</w:t>
      </w:r>
      <w:r>
        <w:rPr>
          <w:rFonts w:cs="Arial"/>
          <w:rtl/>
        </w:rPr>
        <w:t xml:space="preserve"> ואינו אלא לשומא בעלמא</w:t>
      </w:r>
      <w:r>
        <w:rPr>
          <w:rFonts w:cs="Arial" w:hint="cs"/>
          <w:rtl/>
        </w:rPr>
        <w:t>, ב"י.</w:t>
      </w:r>
    </w:p>
  </w:footnote>
  <w:footnote w:id="2242">
    <w:p w14:paraId="169F3FB8" w14:textId="77777777" w:rsidR="00392DBB" w:rsidRDefault="00392DBB" w:rsidP="00392DBB">
      <w:pPr>
        <w:pStyle w:val="a5"/>
      </w:pPr>
      <w:r>
        <w:rPr>
          <w:rStyle w:val="a7"/>
        </w:rPr>
        <w:footnoteRef/>
      </w:r>
      <w:r>
        <w:rPr>
          <w:rtl/>
        </w:rPr>
        <w:t xml:space="preserve"> </w:t>
      </w:r>
      <w:r w:rsidRPr="001D66A0">
        <w:rPr>
          <w:rFonts w:cs="Arial"/>
          <w:rtl/>
        </w:rPr>
        <w:t>מספוא לשון אחר כסיתא גרס עצי אלמוגים שקורין קורא"ל</w:t>
      </w:r>
      <w:r>
        <w:rPr>
          <w:rFonts w:cs="Arial" w:hint="cs"/>
          <w:rtl/>
        </w:rPr>
        <w:t>, רש"י.</w:t>
      </w:r>
    </w:p>
  </w:footnote>
  <w:footnote w:id="2243">
    <w:p w14:paraId="765C421E" w14:textId="77777777" w:rsidR="00392DBB" w:rsidRDefault="00392DBB" w:rsidP="00392DBB">
      <w:pPr>
        <w:pStyle w:val="a5"/>
      </w:pPr>
      <w:r>
        <w:rPr>
          <w:rStyle w:val="a7"/>
        </w:rPr>
        <w:footnoteRef/>
      </w:r>
      <w:r>
        <w:rPr>
          <w:rtl/>
        </w:rPr>
        <w:t xml:space="preserve"> </w:t>
      </w:r>
      <w:r w:rsidRPr="00E4440F">
        <w:rPr>
          <w:rFonts w:cs="Arial"/>
          <w:rtl/>
        </w:rPr>
        <w:t>הסתם יפה לה מפני לקוחות שלקחו שדות מבעלה שאם יכלו כל נכסי היתומים תחשוב כל מה שמכרה למזונות ועל הלקוחות שלקחו מבעלה תחזור על כתובתה</w:t>
      </w:r>
      <w:r>
        <w:rPr>
          <w:rFonts w:cs="Arial" w:hint="cs"/>
          <w:rtl/>
        </w:rPr>
        <w:t>.</w:t>
      </w:r>
      <w:r w:rsidRPr="00E4440F">
        <w:rPr>
          <w:rFonts w:cs="Arial"/>
          <w:rtl/>
        </w:rPr>
        <w:t xml:space="preserve"> שאם תפרש לכתובה מכרתי לא תוכל שוב לנתקן למזונות</w:t>
      </w:r>
      <w:r>
        <w:rPr>
          <w:rFonts w:cs="Arial" w:hint="cs"/>
          <w:rtl/>
        </w:rPr>
        <w:t>.</w:t>
      </w:r>
      <w:r w:rsidRPr="00E4440F">
        <w:rPr>
          <w:rFonts w:cs="Arial"/>
          <w:rtl/>
        </w:rPr>
        <w:t xml:space="preserve"> ועל הלקוחות לא תחזור על מזונותיה דתנן (גיטין מח:) אין מוציאין למזון האשה והבנות מנכסים משועבדים</w:t>
      </w:r>
      <w:r>
        <w:rPr>
          <w:rFonts w:cs="Arial" w:hint="cs"/>
          <w:rtl/>
        </w:rPr>
        <w:t>, רש"י.</w:t>
      </w:r>
    </w:p>
  </w:footnote>
  <w:footnote w:id="2244">
    <w:p w14:paraId="4C6175A7" w14:textId="77777777" w:rsidR="00392DBB" w:rsidRDefault="00392DBB" w:rsidP="00392DBB">
      <w:pPr>
        <w:pStyle w:val="a5"/>
      </w:pPr>
      <w:r>
        <w:rPr>
          <w:rStyle w:val="a7"/>
        </w:rPr>
        <w:footnoteRef/>
      </w:r>
      <w:r>
        <w:rPr>
          <w:rtl/>
        </w:rPr>
        <w:t xml:space="preserve"> </w:t>
      </w:r>
      <w:r>
        <w:rPr>
          <w:rFonts w:cs="Arial" w:hint="cs"/>
          <w:rtl/>
        </w:rPr>
        <w:t>ו</w:t>
      </w:r>
      <w:r>
        <w:rPr>
          <w:rFonts w:cs="Arial"/>
          <w:rtl/>
        </w:rPr>
        <w:t>נאמנת לומר למזונות מכרתי דנכסי בחזקת אלמנה קיימי כל זמן שלא נישאת</w:t>
      </w:r>
      <w:r>
        <w:rPr>
          <w:rFonts w:cs="Arial" w:hint="cs"/>
          <w:rtl/>
        </w:rPr>
        <w:t>, ב"י.</w:t>
      </w:r>
    </w:p>
  </w:footnote>
  <w:footnote w:id="2245">
    <w:p w14:paraId="51EB7224" w14:textId="77777777" w:rsidR="00392DBB" w:rsidRDefault="00392DBB" w:rsidP="00392DBB">
      <w:pPr>
        <w:pStyle w:val="a5"/>
      </w:pPr>
      <w:r>
        <w:rPr>
          <w:rStyle w:val="a7"/>
        </w:rPr>
        <w:footnoteRef/>
      </w:r>
      <w:r>
        <w:rPr>
          <w:rtl/>
        </w:rPr>
        <w:t xml:space="preserve"> </w:t>
      </w:r>
      <w:r>
        <w:rPr>
          <w:rFonts w:cs="Arial" w:hint="cs"/>
          <w:rtl/>
        </w:rPr>
        <w:t xml:space="preserve">וכ"כ הטור (מובא בסמוך). וכתב הב"י- </w:t>
      </w:r>
      <w:r>
        <w:rPr>
          <w:rFonts w:cs="Arial"/>
          <w:rtl/>
        </w:rPr>
        <w:t>ומכל מקום זה שכתב רבינו אינו אלא לדעת ר"ת והרא"ש (ב"מ פ"ד סי' כא) דסברי דיש אונאה לקרקעות בדבר מופלג</w:t>
      </w:r>
      <w:r>
        <w:rPr>
          <w:rFonts w:cs="Arial" w:hint="cs"/>
          <w:rtl/>
        </w:rPr>
        <w:t>,</w:t>
      </w:r>
      <w:r>
        <w:rPr>
          <w:rFonts w:cs="Arial"/>
          <w:rtl/>
        </w:rPr>
        <w:t xml:space="preserve"> וכמו שנתבאר בטור חושן משפט סימן רכ"ז (סע' מ - מא)</w:t>
      </w:r>
      <w:r>
        <w:rPr>
          <w:rFonts w:cs="Arial" w:hint="cs"/>
          <w:rtl/>
        </w:rPr>
        <w:t>.</w:t>
      </w:r>
      <w:r>
        <w:rPr>
          <w:rFonts w:cs="Arial"/>
          <w:rtl/>
        </w:rPr>
        <w:t xml:space="preserve"> אבל להרי"ף (ב"מ לב.) והרמב"ם (פי"ג ממכירה ה"ח) דסברי דאין אונאה לקרקעות כלל מתניתין מיתוקמא כפשטה</w:t>
      </w:r>
      <w:r>
        <w:rPr>
          <w:rFonts w:cs="Arial" w:hint="cs"/>
          <w:rtl/>
        </w:rPr>
        <w:t>,</w:t>
      </w:r>
      <w:r>
        <w:rPr>
          <w:rFonts w:cs="Arial"/>
          <w:rtl/>
        </w:rPr>
        <w:t xml:space="preserve"> ולפי</w:t>
      </w:r>
      <w:r>
        <w:rPr>
          <w:rFonts w:cs="Arial" w:hint="cs"/>
          <w:rtl/>
        </w:rPr>
        <w:t>כך</w:t>
      </w:r>
      <w:r>
        <w:rPr>
          <w:rFonts w:cs="Arial"/>
          <w:rtl/>
        </w:rPr>
        <w:t xml:space="preserve"> הרי"ף (כתובות נז.) הביא משנתינו כצורתה</w:t>
      </w:r>
      <w:r>
        <w:rPr>
          <w:rFonts w:cs="Arial" w:hint="cs"/>
          <w:rtl/>
        </w:rPr>
        <w:t>.</w:t>
      </w:r>
      <w:r>
        <w:rPr>
          <w:rFonts w:cs="Arial"/>
          <w:rtl/>
        </w:rPr>
        <w:t xml:space="preserve"> וכן הרמב"ם בפי"ז מהלכות אישות (הט"ו) העתיק לשון המשנה בלבד וכתב </w:t>
      </w:r>
      <w:r>
        <w:rPr>
          <w:rFonts w:cs="Arial" w:hint="cs"/>
          <w:rtl/>
        </w:rPr>
        <w:t>'</w:t>
      </w:r>
      <w:r>
        <w:rPr>
          <w:rFonts w:cs="Arial"/>
          <w:rtl/>
        </w:rPr>
        <w:t>נתקבלה כתובתה ובלבד שתשבע שבועת אלמנה</w:t>
      </w:r>
      <w:r>
        <w:rPr>
          <w:rFonts w:cs="Arial" w:hint="cs"/>
          <w:rtl/>
        </w:rPr>
        <w:t>'.</w:t>
      </w:r>
    </w:p>
  </w:footnote>
  <w:footnote w:id="2246">
    <w:p w14:paraId="5086AD30" w14:textId="77777777" w:rsidR="00392DBB" w:rsidRDefault="00392DBB" w:rsidP="00392DBB">
      <w:pPr>
        <w:pStyle w:val="a5"/>
      </w:pPr>
      <w:r>
        <w:rPr>
          <w:rStyle w:val="a7"/>
        </w:rPr>
        <w:footnoteRef/>
      </w:r>
      <w:r>
        <w:rPr>
          <w:rtl/>
        </w:rPr>
        <w:t xml:space="preserve"> </w:t>
      </w:r>
      <w:r>
        <w:rPr>
          <w:rFonts w:cs="Arial"/>
          <w:rtl/>
        </w:rPr>
        <w:t>תימא דכיון דכתב דטעמא דרישא משום דכיון דבשעה שקיבלה הקרקע להכניסו לרשות הלוקח היה שוה ק"ק הוי כאילו כיוונה לקנות הקרקע אם כן מאי איריא רוצה לקיים המקח אפילו אינה רוצה נמי וצ"ע</w:t>
      </w:r>
      <w:r>
        <w:rPr>
          <w:rFonts w:cs="Arial" w:hint="cs"/>
          <w:rtl/>
        </w:rPr>
        <w:t>, ב"י.</w:t>
      </w:r>
      <w:r w:rsidRPr="00792B79">
        <w:rPr>
          <w:rFonts w:cs="Arial"/>
          <w:rtl/>
        </w:rPr>
        <w:t xml:space="preserve"> </w:t>
      </w:r>
      <w:r>
        <w:rPr>
          <w:rFonts w:cs="Arial" w:hint="cs"/>
          <w:rtl/>
        </w:rPr>
        <w:t xml:space="preserve">אך הדרכ"מ </w:t>
      </w:r>
      <w:r w:rsidRPr="003711AB">
        <w:rPr>
          <w:rFonts w:cs="Arial"/>
          <w:rtl/>
        </w:rPr>
        <w:t>(</w:t>
      </w:r>
      <w:r>
        <w:rPr>
          <w:rFonts w:cs="Arial" w:hint="cs"/>
          <w:rtl/>
        </w:rPr>
        <w:t xml:space="preserve">אות </w:t>
      </w:r>
      <w:r w:rsidRPr="003711AB">
        <w:rPr>
          <w:rFonts w:cs="Arial"/>
          <w:rtl/>
        </w:rPr>
        <w:t xml:space="preserve">ו) </w:t>
      </w:r>
      <w:r>
        <w:rPr>
          <w:rFonts w:cs="Arial" w:hint="cs"/>
          <w:rtl/>
        </w:rPr>
        <w:t xml:space="preserve">כתב- </w:t>
      </w:r>
      <w:r w:rsidRPr="003711AB">
        <w:rPr>
          <w:rFonts w:cs="Arial"/>
          <w:rtl/>
        </w:rPr>
        <w:t xml:space="preserve">ולי נראה דבודאי דרוצה דנקט </w:t>
      </w:r>
      <w:r>
        <w:rPr>
          <w:rFonts w:cs="Arial" w:hint="cs"/>
          <w:rtl/>
        </w:rPr>
        <w:t xml:space="preserve">- </w:t>
      </w:r>
      <w:r w:rsidRPr="003711AB">
        <w:rPr>
          <w:rFonts w:cs="Arial"/>
          <w:rtl/>
        </w:rPr>
        <w:t>לרבותא קאמר</w:t>
      </w:r>
      <w:r>
        <w:rPr>
          <w:rFonts w:cs="Arial" w:hint="cs"/>
          <w:rtl/>
        </w:rPr>
        <w:t>,</w:t>
      </w:r>
      <w:r w:rsidRPr="003711AB">
        <w:rPr>
          <w:rFonts w:cs="Arial"/>
          <w:rtl/>
        </w:rPr>
        <w:t xml:space="preserve"> דבאינה רוצה הרי יש לה קרקע ואפשר שתחזור ותעמוד על מאתים</w:t>
      </w:r>
      <w:r>
        <w:rPr>
          <w:rFonts w:cs="Arial" w:hint="cs"/>
          <w:rtl/>
        </w:rPr>
        <w:t>.</w:t>
      </w:r>
      <w:r w:rsidRPr="003711AB">
        <w:rPr>
          <w:rFonts w:cs="Arial"/>
          <w:rtl/>
        </w:rPr>
        <w:t xml:space="preserve"> אבל עכשיו דנתקיים המקח אם כן לעולם לא יהא לה רק מנה</w:t>
      </w:r>
      <w:r>
        <w:rPr>
          <w:rFonts w:cs="Arial" w:hint="cs"/>
          <w:rtl/>
        </w:rPr>
        <w:t>,</w:t>
      </w:r>
      <w:r w:rsidRPr="003711AB">
        <w:rPr>
          <w:rFonts w:cs="Arial"/>
          <w:rtl/>
        </w:rPr>
        <w:t xml:space="preserve"> אפילו הכי נתקבלה כתובתה</w:t>
      </w:r>
      <w:r>
        <w:rPr>
          <w:rFonts w:cs="Arial" w:hint="cs"/>
          <w:rtl/>
        </w:rPr>
        <w:t>.</w:t>
      </w:r>
      <w:r w:rsidRPr="003711AB">
        <w:rPr>
          <w:rFonts w:cs="Arial"/>
          <w:rtl/>
        </w:rPr>
        <w:t xml:space="preserve"> ועיין בטור חושן משפט סימן רכ"ז (סמ"א) אם אינה רוצה לקיים המקח אם הרשות בידה מאחר שאין אונאה לקרקעות</w:t>
      </w:r>
      <w:r>
        <w:rPr>
          <w:rFonts w:hint="cs"/>
          <w:rtl/>
        </w:rPr>
        <w:t>.</w:t>
      </w:r>
    </w:p>
  </w:footnote>
  <w:footnote w:id="2247">
    <w:p w14:paraId="59AEE9AC" w14:textId="77777777" w:rsidR="00392DBB" w:rsidRDefault="00392DBB" w:rsidP="00392DBB">
      <w:pPr>
        <w:pStyle w:val="a5"/>
      </w:pPr>
      <w:r>
        <w:rPr>
          <w:rStyle w:val="a7"/>
        </w:rPr>
        <w:footnoteRef/>
      </w:r>
      <w:r>
        <w:rPr>
          <w:rtl/>
        </w:rPr>
        <w:t xml:space="preserve"> </w:t>
      </w:r>
      <w:r>
        <w:rPr>
          <w:rFonts w:hint="cs"/>
          <w:rtl/>
        </w:rPr>
        <w:t>וכתב הב"ש (סקי"א) ד</w:t>
      </w:r>
      <w:r w:rsidRPr="000D738B">
        <w:rPr>
          <w:rFonts w:cs="Arial"/>
          <w:rtl/>
        </w:rPr>
        <w:t>באוקיר יכולים היורשים לחזור</w:t>
      </w:r>
      <w:r>
        <w:rPr>
          <w:rFonts w:cs="Arial" w:hint="cs"/>
          <w:rtl/>
        </w:rPr>
        <w:t>,</w:t>
      </w:r>
      <w:r w:rsidRPr="000D738B">
        <w:rPr>
          <w:rFonts w:cs="Arial"/>
          <w:rtl/>
        </w:rPr>
        <w:t xml:space="preserve"> כיון דמכרה בלא בית דין וקיימא ברשות</w:t>
      </w:r>
      <w:r>
        <w:rPr>
          <w:rFonts w:cs="Arial" w:hint="cs"/>
          <w:rtl/>
        </w:rPr>
        <w:t>ם.</w:t>
      </w:r>
      <w:r w:rsidRPr="000D738B">
        <w:rPr>
          <w:rFonts w:cs="Arial"/>
          <w:rtl/>
        </w:rPr>
        <w:t xml:space="preserve"> מ"מ בדאוזיל קיימא ברשות</w:t>
      </w:r>
      <w:r>
        <w:rPr>
          <w:rFonts w:cs="Arial" w:hint="cs"/>
          <w:rtl/>
        </w:rPr>
        <w:t>ה.</w:t>
      </w:r>
      <w:r w:rsidRPr="000D738B">
        <w:rPr>
          <w:rFonts w:cs="Arial"/>
          <w:rtl/>
        </w:rPr>
        <w:t xml:space="preserve"> ונשמע מזה אפילו אם מכרה בלא ב"ד מ"מ בדאוזיל קיימא ברשות</w:t>
      </w:r>
      <w:r>
        <w:rPr>
          <w:rFonts w:cs="Arial" w:hint="cs"/>
          <w:rtl/>
        </w:rPr>
        <w:t>ה</w:t>
      </w:r>
      <w:r w:rsidRPr="000D738B">
        <w:rPr>
          <w:rFonts w:cs="Arial"/>
          <w:rtl/>
        </w:rPr>
        <w:t xml:space="preserve"> אף לדע</w:t>
      </w:r>
      <w:r>
        <w:rPr>
          <w:rFonts w:cs="Arial" w:hint="cs"/>
          <w:rtl/>
        </w:rPr>
        <w:t>ת</w:t>
      </w:r>
      <w:r w:rsidRPr="000D738B">
        <w:rPr>
          <w:rFonts w:cs="Arial"/>
          <w:rtl/>
        </w:rPr>
        <w:t xml:space="preserve"> הפוסקים דס"ל אם מכרה בלא ב"ד המכר בטל היינו היורשים יכולים לבטל אבל בדאוזיל קיימא ברשותה</w:t>
      </w:r>
      <w:r>
        <w:rPr>
          <w:rFonts w:hint="cs"/>
          <w:rtl/>
        </w:rPr>
        <w:t>.</w:t>
      </w:r>
    </w:p>
  </w:footnote>
  <w:footnote w:id="2248">
    <w:p w14:paraId="26474028" w14:textId="77777777" w:rsidR="00392DBB" w:rsidRDefault="00392DBB" w:rsidP="00392DBB">
      <w:pPr>
        <w:pStyle w:val="a5"/>
      </w:pPr>
      <w:r>
        <w:rPr>
          <w:rStyle w:val="a7"/>
        </w:rPr>
        <w:footnoteRef/>
      </w:r>
      <w:r>
        <w:rPr>
          <w:rtl/>
        </w:rPr>
        <w:t xml:space="preserve"> </w:t>
      </w:r>
      <w:r>
        <w:rPr>
          <w:rFonts w:cs="Arial"/>
          <w:rtl/>
        </w:rPr>
        <w:t>לאו דוקא דינר הוא הדין בפחות</w:t>
      </w:r>
      <w:r>
        <w:rPr>
          <w:rFonts w:cs="Arial" w:hint="cs"/>
          <w:rtl/>
        </w:rPr>
        <w:t>.</w:t>
      </w:r>
      <w:r>
        <w:rPr>
          <w:rFonts w:cs="Arial"/>
          <w:rtl/>
        </w:rPr>
        <w:t xml:space="preserve"> ויש מפרשים דינר דוקא </w:t>
      </w:r>
      <w:r>
        <w:rPr>
          <w:rFonts w:cs="Arial" w:hint="cs"/>
          <w:rtl/>
        </w:rPr>
        <w:t xml:space="preserve">- </w:t>
      </w:r>
      <w:r>
        <w:rPr>
          <w:rFonts w:cs="Arial"/>
          <w:rtl/>
        </w:rPr>
        <w:t>ולא נהירא</w:t>
      </w:r>
      <w:r>
        <w:rPr>
          <w:rFonts w:cs="Arial" w:hint="cs"/>
          <w:rtl/>
        </w:rPr>
        <w:t>,</w:t>
      </w:r>
      <w:r>
        <w:rPr>
          <w:rFonts w:cs="Arial"/>
          <w:rtl/>
        </w:rPr>
        <w:t xml:space="preserve"> כיון דאפילו פחות מכדי אונאה בטל</w:t>
      </w:r>
      <w:r>
        <w:rPr>
          <w:rFonts w:cs="Arial" w:hint="cs"/>
          <w:rtl/>
        </w:rPr>
        <w:t>,</w:t>
      </w:r>
      <w:r>
        <w:rPr>
          <w:rFonts w:cs="Arial"/>
          <w:rtl/>
        </w:rPr>
        <w:t xml:space="preserve"> אין חילוק בין דינר לפחות</w:t>
      </w:r>
      <w:r>
        <w:rPr>
          <w:rFonts w:cs="Arial" w:hint="cs"/>
          <w:rtl/>
        </w:rPr>
        <w:t>,</w:t>
      </w:r>
      <w:r>
        <w:rPr>
          <w:rFonts w:cs="Arial"/>
          <w:rtl/>
        </w:rPr>
        <w:t xml:space="preserve"> רא"ש (</w:t>
      </w:r>
      <w:r>
        <w:rPr>
          <w:rFonts w:cs="Arial" w:hint="cs"/>
          <w:rtl/>
        </w:rPr>
        <w:t xml:space="preserve">פי"א </w:t>
      </w:r>
      <w:r>
        <w:rPr>
          <w:rFonts w:cs="Arial"/>
          <w:rtl/>
        </w:rPr>
        <w:t>סי' יז)</w:t>
      </w:r>
      <w:r>
        <w:rPr>
          <w:rFonts w:cs="Arial" w:hint="cs"/>
          <w:rtl/>
        </w:rPr>
        <w:t>.</w:t>
      </w:r>
      <w:r>
        <w:rPr>
          <w:rFonts w:hint="cs"/>
          <w:rtl/>
        </w:rPr>
        <w:t xml:space="preserve"> וכ"כ הטור.</w:t>
      </w:r>
    </w:p>
  </w:footnote>
  <w:footnote w:id="2249">
    <w:p w14:paraId="1674FBC0" w14:textId="77777777" w:rsidR="00392DBB" w:rsidRDefault="00392DBB" w:rsidP="00392DBB">
      <w:pPr>
        <w:pStyle w:val="a5"/>
      </w:pPr>
      <w:r>
        <w:rPr>
          <w:rStyle w:val="a7"/>
        </w:rPr>
        <w:footnoteRef/>
      </w:r>
      <w:r>
        <w:rPr>
          <w:rtl/>
        </w:rPr>
        <w:t xml:space="preserve"> </w:t>
      </w:r>
      <w:r w:rsidRPr="0082504A">
        <w:rPr>
          <w:rFonts w:cs="Arial"/>
          <w:rtl/>
        </w:rPr>
        <w:t>שאותו דינר אין לה רשות למכור נמצא שכל המכר טעות שהרי בבת אחת היה</w:t>
      </w:r>
      <w:r>
        <w:rPr>
          <w:rFonts w:cs="Arial" w:hint="cs"/>
          <w:rtl/>
        </w:rPr>
        <w:t>, רש"י.</w:t>
      </w:r>
    </w:p>
  </w:footnote>
  <w:footnote w:id="2250">
    <w:p w14:paraId="20EAB797" w14:textId="77777777" w:rsidR="00392DBB" w:rsidRDefault="00392DBB" w:rsidP="00392DBB">
      <w:pPr>
        <w:pStyle w:val="a5"/>
      </w:pPr>
      <w:r>
        <w:rPr>
          <w:rStyle w:val="a7"/>
        </w:rPr>
        <w:footnoteRef/>
      </w:r>
      <w:r>
        <w:rPr>
          <w:rtl/>
        </w:rPr>
        <w:t xml:space="preserve"> </w:t>
      </w:r>
      <w:r>
        <w:rPr>
          <w:rFonts w:cs="Arial"/>
          <w:rtl/>
        </w:rPr>
        <w:t>. דברים אלו כסותרים לדברים שקדמו שהרי כתב בסמוך שאם מכרה שוה ק"ק במנה נתקבלה כתובתה אלמא דכשמכרה בפחות משוויו המקח קיים וההפסד שלה</w:t>
      </w:r>
      <w:r>
        <w:rPr>
          <w:rFonts w:cs="Arial" w:hint="cs"/>
          <w:rtl/>
        </w:rPr>
        <w:t>.</w:t>
      </w:r>
      <w:r>
        <w:rPr>
          <w:rFonts w:cs="Arial"/>
          <w:rtl/>
        </w:rPr>
        <w:t xml:space="preserve"> וצ"ל דהב"ע בשאין כתובתה אלא מנה וכך היא שנויה בהדיא</w:t>
      </w:r>
      <w:r>
        <w:rPr>
          <w:rFonts w:cs="Arial" w:hint="cs"/>
          <w:rtl/>
        </w:rPr>
        <w:t xml:space="preserve"> </w:t>
      </w:r>
      <w:r>
        <w:rPr>
          <w:rFonts w:cs="Arial" w:hint="cs"/>
          <w:sz w:val="16"/>
          <w:szCs w:val="16"/>
          <w:rtl/>
        </w:rPr>
        <w:t>{במשנה דלעיל}</w:t>
      </w:r>
      <w:r>
        <w:rPr>
          <w:rFonts w:cs="Arial" w:hint="cs"/>
          <w:rtl/>
        </w:rPr>
        <w:t>..., ב"י.</w:t>
      </w:r>
    </w:p>
  </w:footnote>
  <w:footnote w:id="2251">
    <w:p w14:paraId="6791D03A" w14:textId="77777777" w:rsidR="00392DBB" w:rsidRDefault="00392DBB" w:rsidP="00392DBB">
      <w:pPr>
        <w:pStyle w:val="a5"/>
      </w:pPr>
      <w:r>
        <w:rPr>
          <w:rStyle w:val="a7"/>
        </w:rPr>
        <w:footnoteRef/>
      </w:r>
      <w:r>
        <w:rPr>
          <w:rtl/>
        </w:rPr>
        <w:t xml:space="preserve"> </w:t>
      </w:r>
      <w:r w:rsidRPr="004F61C5">
        <w:rPr>
          <w:rFonts w:cs="Arial"/>
          <w:rtl/>
        </w:rPr>
        <w:t>אבל אם מכרה בשוויה</w:t>
      </w:r>
      <w:r>
        <w:rPr>
          <w:rFonts w:cs="Arial" w:hint="cs"/>
          <w:rtl/>
        </w:rPr>
        <w:t>,</w:t>
      </w:r>
      <w:r w:rsidRPr="004F61C5">
        <w:rPr>
          <w:rFonts w:cs="Arial"/>
          <w:rtl/>
        </w:rPr>
        <w:t xml:space="preserve"> אע</w:t>
      </w:r>
      <w:r>
        <w:rPr>
          <w:rFonts w:cs="Arial" w:hint="cs"/>
          <w:rtl/>
        </w:rPr>
        <w:t>"</w:t>
      </w:r>
      <w:r w:rsidRPr="004F61C5">
        <w:rPr>
          <w:rFonts w:cs="Arial"/>
          <w:rtl/>
        </w:rPr>
        <w:t>ג דאין לה אלא מנה ומכר</w:t>
      </w:r>
      <w:r>
        <w:rPr>
          <w:rFonts w:cs="Arial" w:hint="cs"/>
          <w:rtl/>
        </w:rPr>
        <w:t>ה</w:t>
      </w:r>
      <w:r w:rsidRPr="004F61C5">
        <w:rPr>
          <w:rFonts w:cs="Arial"/>
          <w:rtl/>
        </w:rPr>
        <w:t xml:space="preserve"> ביותר </w:t>
      </w:r>
      <w:r>
        <w:rPr>
          <w:rFonts w:cs="Arial" w:hint="cs"/>
          <w:rtl/>
        </w:rPr>
        <w:t xml:space="preserve">- </w:t>
      </w:r>
      <w:r w:rsidRPr="004F61C5">
        <w:rPr>
          <w:rFonts w:cs="Arial"/>
          <w:rtl/>
        </w:rPr>
        <w:t>מכר</w:t>
      </w:r>
      <w:r>
        <w:rPr>
          <w:rFonts w:cs="Arial" w:hint="cs"/>
          <w:rtl/>
        </w:rPr>
        <w:t>ה</w:t>
      </w:r>
      <w:r w:rsidRPr="004F61C5">
        <w:rPr>
          <w:rFonts w:cs="Arial"/>
          <w:rtl/>
        </w:rPr>
        <w:t xml:space="preserve"> קיים</w:t>
      </w:r>
      <w:r>
        <w:rPr>
          <w:rFonts w:cs="Arial" w:hint="cs"/>
          <w:rtl/>
        </w:rPr>
        <w:t>,</w:t>
      </w:r>
      <w:r w:rsidRPr="004F61C5">
        <w:rPr>
          <w:rFonts w:cs="Arial"/>
          <w:rtl/>
        </w:rPr>
        <w:t xml:space="preserve"> כמ"ש בח"ה סי' קפ"ב</w:t>
      </w:r>
      <w:r>
        <w:rPr>
          <w:rFonts w:cs="Arial" w:hint="cs"/>
          <w:rtl/>
        </w:rPr>
        <w:t>, ב"ש (סקי"ב).</w:t>
      </w:r>
    </w:p>
  </w:footnote>
  <w:footnote w:id="2252">
    <w:p w14:paraId="5FEE3FFF" w14:textId="77777777" w:rsidR="00392DBB" w:rsidRDefault="00392DBB" w:rsidP="00392DBB">
      <w:pPr>
        <w:pStyle w:val="a5"/>
      </w:pPr>
      <w:r>
        <w:rPr>
          <w:rStyle w:val="a7"/>
        </w:rPr>
        <w:footnoteRef/>
      </w:r>
      <w:r>
        <w:rPr>
          <w:rtl/>
        </w:rPr>
        <w:t xml:space="preserve"> </w:t>
      </w:r>
      <w:r>
        <w:rPr>
          <w:rFonts w:hint="cs"/>
          <w:rtl/>
        </w:rPr>
        <w:t>חצי כור.</w:t>
      </w:r>
    </w:p>
  </w:footnote>
  <w:footnote w:id="2253">
    <w:p w14:paraId="521A0E4D" w14:textId="77777777" w:rsidR="00392DBB" w:rsidRDefault="00392DBB" w:rsidP="00392DBB">
      <w:pPr>
        <w:pStyle w:val="a5"/>
      </w:pPr>
      <w:r>
        <w:rPr>
          <w:rStyle w:val="a7"/>
        </w:rPr>
        <w:footnoteRef/>
      </w:r>
      <w:r>
        <w:rPr>
          <w:rtl/>
        </w:rPr>
        <w:t xml:space="preserve"> </w:t>
      </w:r>
      <w:r w:rsidRPr="00044BB5">
        <w:rPr>
          <w:rFonts w:cs="Arial"/>
          <w:rtl/>
        </w:rPr>
        <w:t>ותתחרט במכירתך לא היית יכול לחזור אם מכרתיה</w:t>
      </w:r>
      <w:r>
        <w:rPr>
          <w:rFonts w:cs="Arial" w:hint="cs"/>
          <w:rtl/>
        </w:rPr>
        <w:t>, רש"י.</w:t>
      </w:r>
    </w:p>
  </w:footnote>
  <w:footnote w:id="2254">
    <w:p w14:paraId="4CA372B1" w14:textId="77777777" w:rsidR="00392DBB" w:rsidRDefault="00392DBB" w:rsidP="00392DBB">
      <w:pPr>
        <w:pStyle w:val="a5"/>
      </w:pPr>
      <w:r>
        <w:rPr>
          <w:rStyle w:val="a7"/>
        </w:rPr>
        <w:footnoteRef/>
      </w:r>
      <w:r>
        <w:rPr>
          <w:rtl/>
        </w:rPr>
        <w:t xml:space="preserve"> </w:t>
      </w:r>
      <w:r w:rsidRPr="009139F8">
        <w:rPr>
          <w:rFonts w:cs="Arial"/>
          <w:rtl/>
        </w:rPr>
        <w:t>והא הכא דלזבוני בארבע מאה שדרוה ומכרה לראשון במנה דהיינו זבין לי כורא וזבין ליה ליתכא</w:t>
      </w:r>
      <w:r>
        <w:rPr>
          <w:rFonts w:cs="Arial" w:hint="cs"/>
          <w:rtl/>
        </w:rPr>
        <w:t>, רש"י.</w:t>
      </w:r>
    </w:p>
  </w:footnote>
  <w:footnote w:id="2255">
    <w:p w14:paraId="3573DE85" w14:textId="77777777" w:rsidR="00392DBB" w:rsidRDefault="00392DBB" w:rsidP="00392DBB">
      <w:pPr>
        <w:pStyle w:val="a5"/>
      </w:pPr>
      <w:r>
        <w:rPr>
          <w:rStyle w:val="a7"/>
        </w:rPr>
        <w:footnoteRef/>
      </w:r>
      <w:r>
        <w:rPr>
          <w:rtl/>
        </w:rPr>
        <w:t xml:space="preserve"> </w:t>
      </w:r>
      <w:r w:rsidRPr="009139F8">
        <w:rPr>
          <w:rFonts w:cs="Arial"/>
          <w:rtl/>
        </w:rPr>
        <w:t>לא היו שדות הללו יחד ואין ראוין לאדם אחד דמעיקרא אדעתא דהכי נעשית שליח</w:t>
      </w:r>
      <w:r>
        <w:rPr>
          <w:rFonts w:cs="Arial" w:hint="cs"/>
          <w:rtl/>
        </w:rPr>
        <w:t>, רש"י.</w:t>
      </w:r>
    </w:p>
  </w:footnote>
  <w:footnote w:id="2256">
    <w:p w14:paraId="392C7593" w14:textId="77777777" w:rsidR="00392DBB" w:rsidRDefault="00392DBB" w:rsidP="00392DBB">
      <w:pPr>
        <w:pStyle w:val="a5"/>
        <w:rPr>
          <w:rtl/>
        </w:rPr>
      </w:pPr>
      <w:r>
        <w:rPr>
          <w:rStyle w:val="a7"/>
        </w:rPr>
        <w:footnoteRef/>
      </w:r>
      <w:r>
        <w:rPr>
          <w:rtl/>
        </w:rPr>
        <w:t xml:space="preserve"> </w:t>
      </w:r>
      <w:r>
        <w:rPr>
          <w:rFonts w:cs="Arial"/>
          <w:rtl/>
        </w:rPr>
        <w:t>וסובר רבינו דכיון דפסק רב אלפס במכור לי כורא וזבין ליה ליתכא דמעביר על דבריו הוי</w:t>
      </w:r>
      <w:r>
        <w:rPr>
          <w:rFonts w:cs="Arial" w:hint="cs"/>
          <w:rtl/>
        </w:rPr>
        <w:t>,</w:t>
      </w:r>
      <w:r>
        <w:rPr>
          <w:rFonts w:cs="Arial"/>
          <w:rtl/>
        </w:rPr>
        <w:t xml:space="preserve"> ממילא איצטרכינן לאוקומי מתניתין בקטיני או במכרה לכולם בשטר אחד</w:t>
      </w:r>
      <w:r>
        <w:rPr>
          <w:rFonts w:cs="Arial" w:hint="cs"/>
          <w:rtl/>
        </w:rPr>
        <w:t>,</w:t>
      </w:r>
      <w:r>
        <w:rPr>
          <w:rFonts w:cs="Arial"/>
          <w:rtl/>
        </w:rPr>
        <w:t xml:space="preserve"> דליכא חששא דליפשו שטרי עילויה</w:t>
      </w:r>
      <w:r>
        <w:rPr>
          <w:rFonts w:cs="Arial" w:hint="cs"/>
          <w:rtl/>
        </w:rPr>
        <w:t>.</w:t>
      </w:r>
      <w:r>
        <w:rPr>
          <w:rFonts w:cs="Arial"/>
          <w:rtl/>
        </w:rPr>
        <w:t xml:space="preserve"> ולר</w:t>
      </w:r>
      <w:r>
        <w:rPr>
          <w:rFonts w:cs="Arial" w:hint="cs"/>
          <w:rtl/>
        </w:rPr>
        <w:t>ב האי</w:t>
      </w:r>
      <w:r>
        <w:rPr>
          <w:rFonts w:cs="Arial"/>
          <w:rtl/>
        </w:rPr>
        <w:t xml:space="preserve"> שפסק במכור לי כורא וזבין ליתכא שהמכר קיים מתניתין מיתוקמא בכל גוונא אפילו בשדה אחת ובד' שטרות</w:t>
      </w:r>
      <w:r>
        <w:rPr>
          <w:rFonts w:cs="Arial" w:hint="cs"/>
          <w:rtl/>
        </w:rPr>
        <w:t>, ב"י.</w:t>
      </w:r>
    </w:p>
  </w:footnote>
  <w:footnote w:id="2257">
    <w:p w14:paraId="79A75966" w14:textId="77777777" w:rsidR="00392DBB" w:rsidRDefault="00392DBB" w:rsidP="00392DBB">
      <w:pPr>
        <w:pStyle w:val="a5"/>
      </w:pPr>
      <w:r>
        <w:rPr>
          <w:rStyle w:val="a7"/>
        </w:rPr>
        <w:footnoteRef/>
      </w:r>
      <w:r>
        <w:rPr>
          <w:rtl/>
        </w:rPr>
        <w:t xml:space="preserve"> </w:t>
      </w:r>
      <w:r>
        <w:rPr>
          <w:rFonts w:cs="Arial"/>
          <w:rtl/>
        </w:rPr>
        <w:t>איני יודע היכן מצא כן והוא עצמו כתב בטור חושן משפט סימן קפ"ב (שם) על דברי רב אלפס ודברי רבינו האיי ואדוני אבי ז"ל הביא דברי שניהם ולא הכריע ואיפשר שטעמו כאן מפני שהביא הרא"ש דברי רבינו האיי לבסוף שכך דרך רבינו בהרבה מקומות לכתוב שהסכמת הרא"ש כאותה סברא שמביא לבסוף</w:t>
      </w:r>
      <w:r>
        <w:rPr>
          <w:rFonts w:cs="Arial" w:hint="cs"/>
          <w:rtl/>
        </w:rPr>
        <w:t>, ב"י.</w:t>
      </w:r>
      <w:r w:rsidRPr="003711AB">
        <w:rPr>
          <w:rFonts w:cs="Arial"/>
          <w:rtl/>
        </w:rPr>
        <w:t xml:space="preserve"> </w:t>
      </w:r>
      <w:r>
        <w:rPr>
          <w:rFonts w:cs="Arial" w:hint="cs"/>
          <w:rtl/>
        </w:rPr>
        <w:t xml:space="preserve">אך הדרכ"מ </w:t>
      </w:r>
      <w:r w:rsidRPr="003711AB">
        <w:rPr>
          <w:rFonts w:cs="Arial"/>
          <w:rtl/>
        </w:rPr>
        <w:t>(</w:t>
      </w:r>
      <w:r>
        <w:rPr>
          <w:rFonts w:cs="Arial" w:hint="cs"/>
          <w:rtl/>
        </w:rPr>
        <w:t xml:space="preserve">אות </w:t>
      </w:r>
      <w:r w:rsidRPr="003711AB">
        <w:rPr>
          <w:rFonts w:cs="Arial"/>
          <w:rtl/>
        </w:rPr>
        <w:t xml:space="preserve">ח) </w:t>
      </w:r>
      <w:r>
        <w:rPr>
          <w:rFonts w:cs="Arial" w:hint="cs"/>
          <w:rtl/>
        </w:rPr>
        <w:t>כתב ד</w:t>
      </w:r>
      <w:r w:rsidRPr="003711AB">
        <w:rPr>
          <w:rFonts w:cs="Arial"/>
          <w:rtl/>
        </w:rPr>
        <w:t>נראה דיש לחלק בין אלמנה המוכרת שהנכסים בחזקתה קיימים למכור</w:t>
      </w:r>
      <w:r>
        <w:rPr>
          <w:rFonts w:cs="Arial" w:hint="cs"/>
          <w:rtl/>
        </w:rPr>
        <w:t>,</w:t>
      </w:r>
      <w:r w:rsidRPr="003711AB">
        <w:rPr>
          <w:rFonts w:cs="Arial"/>
          <w:rtl/>
        </w:rPr>
        <w:t xml:space="preserve"> לשאר שליח המוכר</w:t>
      </w:r>
      <w:r>
        <w:rPr>
          <w:rFonts w:cs="Arial" w:hint="cs"/>
          <w:rtl/>
        </w:rPr>
        <w:t>.</w:t>
      </w:r>
      <w:r w:rsidRPr="003711AB">
        <w:rPr>
          <w:rFonts w:cs="Arial"/>
          <w:rtl/>
        </w:rPr>
        <w:t xml:space="preserve"> וכ"כ ב"י שדעת הרמב"ם ג"כ שאלמנה המוכרת לד' אפילו בד' שטרות מכרה קיים</w:t>
      </w:r>
      <w:r>
        <w:rPr>
          <w:rFonts w:cs="Arial" w:hint="cs"/>
          <w:rtl/>
        </w:rPr>
        <w:t>,</w:t>
      </w:r>
      <w:r w:rsidRPr="003711AB">
        <w:rPr>
          <w:rFonts w:cs="Arial"/>
          <w:rtl/>
        </w:rPr>
        <w:t xml:space="preserve"> וגבי שליח פסק פ"א מהלכות שלוחין כדברי רב אלפס</w:t>
      </w:r>
      <w:r>
        <w:rPr>
          <w:rFonts w:cs="Arial" w:hint="cs"/>
          <w:rtl/>
        </w:rPr>
        <w:t>.</w:t>
      </w:r>
      <w:r w:rsidRPr="003711AB">
        <w:rPr>
          <w:rFonts w:cs="Arial"/>
          <w:rtl/>
        </w:rPr>
        <w:t xml:space="preserve"> ותמיהני על ב"י שדחק עצמו בתירוץ קושיא זו וכתב דאע"ג דהרא"ש לא הכריע מכל מקום כתב רבינו כאן דמסקנתו כדברי רב האי מאחר שהביא סברתו באחרונה וכך דרך רבינו בהרבה מקומות לכתוב שהסכמת הרא"ש כאותה סברא שהביא באחרונה עכ"ל, ומכל מקום הקושיא במקומה עומדת למה כתב כאן דהרא"ש הסכים לסברא אחת ובחושן המשפט כתב דלא הכריע, ולכן נראה מה שכתבתי ותימה על ב"י שלא עלה זה על לבו וגם בדברי הרא"ש שהביא ב"י משמע כמו שכתבתי</w:t>
      </w:r>
      <w:r>
        <w:rPr>
          <w:rFonts w:cs="Arial" w:hint="cs"/>
          <w:rtl/>
        </w:rPr>
        <w:t>.</w:t>
      </w:r>
    </w:p>
  </w:footnote>
  <w:footnote w:id="2258">
    <w:p w14:paraId="241D8575" w14:textId="77777777" w:rsidR="00392DBB" w:rsidRDefault="00392DBB" w:rsidP="00392DBB">
      <w:pPr>
        <w:pStyle w:val="a5"/>
      </w:pPr>
      <w:r>
        <w:rPr>
          <w:rStyle w:val="a7"/>
        </w:rPr>
        <w:footnoteRef/>
      </w:r>
      <w:r>
        <w:rPr>
          <w:rtl/>
        </w:rPr>
        <w:t xml:space="preserve"> </w:t>
      </w:r>
      <w:r w:rsidRPr="00031435">
        <w:rPr>
          <w:rFonts w:cs="Arial"/>
          <w:rtl/>
        </w:rPr>
        <w:t>(ז) וכן הוא בהר"ן (דף תקכ"ח ע"ב) פרק אלמנה נזונת (נז: ד"ה איבעיא):</w:t>
      </w:r>
    </w:p>
  </w:footnote>
  <w:footnote w:id="2259">
    <w:p w14:paraId="1B95A675" w14:textId="66DBDC27" w:rsidR="00392DBB" w:rsidRDefault="00392DBB" w:rsidP="00392DBB">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0E61EB">
        <w:rPr>
          <w:rFonts w:cs="Arial"/>
          <w:rtl/>
        </w:rPr>
        <w:t>והרמב"ם אף על פי שבפ"א מהלכות שלוחין (ה"ד) פסק כרב אלפס דמעביר על דבריו הוי</w:t>
      </w:r>
      <w:r w:rsidRPr="000E61EB">
        <w:rPr>
          <w:rFonts w:cs="Arial" w:hint="cs"/>
          <w:rtl/>
        </w:rPr>
        <w:t>,</w:t>
      </w:r>
      <w:r w:rsidRPr="000E61EB">
        <w:rPr>
          <w:rFonts w:cs="Arial"/>
          <w:rtl/>
        </w:rPr>
        <w:t xml:space="preserve"> כתב בפרק י"ז מהלכות אישות (הט"ז) משנתינו כצורתה ולא חילק בין שדה אחת לד' שדות</w:t>
      </w:r>
      <w:r w:rsidRPr="000E61EB">
        <w:rPr>
          <w:rFonts w:cs="Arial" w:hint="cs"/>
          <w:rtl/>
        </w:rPr>
        <w:t>,</w:t>
      </w:r>
      <w:r w:rsidRPr="000E61EB">
        <w:rPr>
          <w:rFonts w:cs="Arial"/>
          <w:rtl/>
        </w:rPr>
        <w:t xml:space="preserve"> ובין מוכר בשטר אחד למוכר בד' שטרות</w:t>
      </w:r>
      <w:r w:rsidRPr="000E61EB">
        <w:rPr>
          <w:rFonts w:cs="Arial" w:hint="cs"/>
          <w:rtl/>
        </w:rPr>
        <w:t>.</w:t>
      </w:r>
      <w:r w:rsidRPr="000E61EB">
        <w:rPr>
          <w:rFonts w:cs="Arial"/>
          <w:rtl/>
        </w:rPr>
        <w:t xml:space="preserve"> ונ"ל דטעמא משום דאיכא למימר דלא דמיא מתניתין לשליח</w:t>
      </w:r>
      <w:r w:rsidRPr="000E61EB">
        <w:rPr>
          <w:rFonts w:cs="Arial" w:hint="cs"/>
          <w:rtl/>
        </w:rPr>
        <w:t>,</w:t>
      </w:r>
      <w:r w:rsidRPr="000E61EB">
        <w:rPr>
          <w:rFonts w:cs="Arial"/>
          <w:rtl/>
        </w:rPr>
        <w:t xml:space="preserve"> דאלמנה לאו שליחותא דיתמי קא עבדה דהא נכסי בחזקת אלמנה קיימי כדאמרינן בפרק אלמנה נזונת (צו:)</w:t>
      </w:r>
      <w:r w:rsidRPr="000E61EB">
        <w:rPr>
          <w:rFonts w:cs="Arial" w:hint="cs"/>
          <w:rtl/>
        </w:rPr>
        <w:t>.</w:t>
      </w:r>
      <w:r w:rsidRPr="000E61EB">
        <w:rPr>
          <w:rFonts w:cs="Arial"/>
          <w:rtl/>
        </w:rPr>
        <w:t xml:space="preserve"> ובלאו הכי לא דמיא אלמנה לשליח</w:t>
      </w:r>
      <w:r w:rsidRPr="000E61EB">
        <w:rPr>
          <w:rFonts w:cs="Arial" w:hint="cs"/>
          <w:rtl/>
        </w:rPr>
        <w:t>,</w:t>
      </w:r>
      <w:r w:rsidRPr="000E61EB">
        <w:rPr>
          <w:rFonts w:cs="Arial"/>
          <w:rtl/>
        </w:rPr>
        <w:t xml:space="preserve"> שהרי אם רצתה למכור לחצי כתובתה או לשליש ולרביע הרשות בידה</w:t>
      </w:r>
      <w:r w:rsidRPr="000E61EB">
        <w:rPr>
          <w:rFonts w:cs="Arial" w:hint="cs"/>
          <w:rtl/>
        </w:rPr>
        <w:t>,</w:t>
      </w:r>
      <w:r w:rsidRPr="000E61EB">
        <w:rPr>
          <w:rFonts w:cs="Arial"/>
          <w:rtl/>
        </w:rPr>
        <w:t xml:space="preserve"> וכדתנן (צז:) בהדיא מוכרת היא אפילו ד' וה' פעמים</w:t>
      </w:r>
      <w:r w:rsidRPr="000E61EB">
        <w:rPr>
          <w:rFonts w:cs="Arial" w:hint="cs"/>
          <w:rtl/>
        </w:rPr>
        <w:t>.</w:t>
      </w:r>
      <w:r w:rsidRPr="000E61EB">
        <w:rPr>
          <w:rFonts w:cs="Arial"/>
          <w:rtl/>
        </w:rPr>
        <w:t xml:space="preserve"> ועוד שהרי ר"ת (תוס' צט: ד"ה אמר) פירש דאפושי שטרי דלעיל לאו משום זילותא דנכסי הוא</w:t>
      </w:r>
      <w:r w:rsidRPr="000E61EB">
        <w:rPr>
          <w:rFonts w:cs="Arial" w:hint="cs"/>
          <w:rtl/>
        </w:rPr>
        <w:t>,</w:t>
      </w:r>
      <w:r w:rsidRPr="000E61EB">
        <w:rPr>
          <w:rFonts w:cs="Arial"/>
          <w:rtl/>
        </w:rPr>
        <w:t xml:space="preserve"> אלא משום שיצטרך לחזר בכל שטר ושטר אחר חתימת עדים וקנין</w:t>
      </w:r>
      <w:r w:rsidRPr="000E61EB">
        <w:rPr>
          <w:rFonts w:cs="Arial" w:hint="cs"/>
          <w:rtl/>
        </w:rPr>
        <w:t>.</w:t>
      </w:r>
      <w:r w:rsidRPr="000E61EB">
        <w:rPr>
          <w:rFonts w:cs="Arial"/>
          <w:rtl/>
        </w:rPr>
        <w:t xml:space="preserve"> וכתב הרא"ש (סי' טו) שרב אלפס (שם) צריך לחלק כמו שפירש ר"ת</w:t>
      </w:r>
      <w:r w:rsidRPr="000E61EB">
        <w:rPr>
          <w:rFonts w:cs="Arial" w:hint="cs"/>
          <w:rtl/>
        </w:rPr>
        <w:t>,</w:t>
      </w:r>
      <w:r w:rsidRPr="000E61EB">
        <w:rPr>
          <w:rFonts w:cs="Arial"/>
          <w:rtl/>
        </w:rPr>
        <w:t xml:space="preserve"> ולפי זה גבי אלמנה שמכרה ליכא למיחש לאפושי שטרי</w:t>
      </w:r>
      <w:r w:rsidRPr="000E61EB">
        <w:rPr>
          <w:rFonts w:cs="Arial" w:hint="cs"/>
          <w:rtl/>
        </w:rPr>
        <w:t>,</w:t>
      </w:r>
      <w:r w:rsidRPr="000E61EB">
        <w:rPr>
          <w:rFonts w:cs="Arial"/>
          <w:rtl/>
        </w:rPr>
        <w:t xml:space="preserve"> שהאלמנה היא המחתמת השטרות ואין ליתומים עסק בהם</w:t>
      </w:r>
      <w:r w:rsidRPr="000E61EB">
        <w:rPr>
          <w:rFonts w:cs="Arial" w:hint="cs"/>
          <w:rtl/>
        </w:rPr>
        <w:t>.</w:t>
      </w:r>
      <w:r w:rsidRPr="000E61EB">
        <w:rPr>
          <w:rFonts w:cs="Arial"/>
          <w:rtl/>
        </w:rPr>
        <w:t xml:space="preserve"> וכיון דליכא ליתמי חשש דאפושי שטרי אפילו מכרה שדה אחת לד' בני אדם בד' שטרות מכרה קיים ותלמודא הוה מצי לשנויי חד מהני שינויי אלא שרצה להשיב לו לפי דרכו</w:t>
      </w:r>
      <w:r w:rsidRPr="000E61EB">
        <w:rPr>
          <w:rFonts w:cs="Arial" w:hint="cs"/>
          <w:rtl/>
        </w:rPr>
        <w:t>.</w:t>
      </w:r>
      <w:r>
        <w:rPr>
          <w:rFonts w:hint="cs"/>
          <w:rtl/>
        </w:rPr>
        <w:t xml:space="preserve"> עכ"ל הב"י. והב"ש (סקי"ג) חלק על הבנת הב"י בדברי הרמב"ם וכתב- </w:t>
      </w:r>
      <w:r w:rsidRPr="00BB2C57">
        <w:rPr>
          <w:rFonts w:cs="Arial"/>
          <w:rtl/>
        </w:rPr>
        <w:t>ואנ"ל לדחות הסוגיא ויותר מסתברא דרמב"ם סומך את עצמו על מ"ש בה' שלוחין</w:t>
      </w:r>
      <w:r>
        <w:rPr>
          <w:rFonts w:cs="Arial" w:hint="cs"/>
          <w:rtl/>
        </w:rPr>
        <w:t>.</w:t>
      </w:r>
    </w:p>
  </w:footnote>
  <w:footnote w:id="2260">
    <w:p w14:paraId="311939BC" w14:textId="2AA1D095" w:rsidR="00B47529" w:rsidRDefault="00B47529">
      <w:pPr>
        <w:pStyle w:val="a5"/>
        <w:rPr>
          <w:rtl/>
        </w:rPr>
      </w:pPr>
      <w:r>
        <w:rPr>
          <w:rStyle w:val="a7"/>
        </w:rPr>
        <w:footnoteRef/>
      </w:r>
      <w:r>
        <w:rPr>
          <w:rtl/>
        </w:rPr>
        <w:t xml:space="preserve"> </w:t>
      </w:r>
      <w:r>
        <w:rPr>
          <w:rFonts w:hint="cs"/>
          <w:rtl/>
        </w:rPr>
        <w:t>סימן - כרוז ארוך.</w:t>
      </w:r>
    </w:p>
  </w:footnote>
  <w:footnote w:id="2261">
    <w:p w14:paraId="571F9EE2" w14:textId="77777777" w:rsidR="00392DBB" w:rsidRDefault="00392DBB" w:rsidP="00392DBB">
      <w:pPr>
        <w:pStyle w:val="a5"/>
      </w:pPr>
      <w:r>
        <w:rPr>
          <w:rStyle w:val="a7"/>
        </w:rPr>
        <w:footnoteRef/>
      </w:r>
      <w:r>
        <w:rPr>
          <w:rtl/>
        </w:rPr>
        <w:t xml:space="preserve"> </w:t>
      </w:r>
      <w:r>
        <w:rPr>
          <w:rFonts w:cs="Arial"/>
          <w:rtl/>
        </w:rPr>
        <w:t xml:space="preserve">ומשמע לרבינו </w:t>
      </w:r>
      <w:r>
        <w:rPr>
          <w:rFonts w:cs="Arial" w:hint="cs"/>
          <w:sz w:val="16"/>
          <w:szCs w:val="16"/>
          <w:rtl/>
        </w:rPr>
        <w:t xml:space="preserve">{הטור} </w:t>
      </w:r>
      <w:r>
        <w:rPr>
          <w:rFonts w:cs="Arial"/>
          <w:rtl/>
        </w:rPr>
        <w:t>בשעת הכנסת פועלים היינו בבקר</w:t>
      </w:r>
      <w:r>
        <w:rPr>
          <w:rFonts w:cs="Arial" w:hint="cs"/>
          <w:rtl/>
        </w:rPr>
        <w:t>,</w:t>
      </w:r>
      <w:r>
        <w:rPr>
          <w:rFonts w:cs="Arial"/>
          <w:rtl/>
        </w:rPr>
        <w:t xml:space="preserve"> וקרי ליה הכי מפני שבאותה שעה הם נכנסים למלאכה</w:t>
      </w:r>
      <w:r>
        <w:rPr>
          <w:rFonts w:cs="Arial" w:hint="cs"/>
          <w:rtl/>
        </w:rPr>
        <w:t>.</w:t>
      </w:r>
      <w:r>
        <w:rPr>
          <w:rFonts w:cs="Arial"/>
          <w:rtl/>
        </w:rPr>
        <w:t xml:space="preserve"> ושעת הוצאת פועלים היינו בערב</w:t>
      </w:r>
      <w:r>
        <w:rPr>
          <w:rFonts w:cs="Arial" w:hint="cs"/>
          <w:rtl/>
        </w:rPr>
        <w:t>,</w:t>
      </w:r>
      <w:r>
        <w:rPr>
          <w:rFonts w:cs="Arial"/>
          <w:rtl/>
        </w:rPr>
        <w:t xml:space="preserve"> שהם יוצאים ונפטרים ממלאכתם</w:t>
      </w:r>
      <w:r>
        <w:rPr>
          <w:rFonts w:cs="Arial" w:hint="cs"/>
          <w:rtl/>
        </w:rPr>
        <w:t>.</w:t>
      </w:r>
      <w:r>
        <w:rPr>
          <w:rFonts w:cs="Arial"/>
          <w:rtl/>
        </w:rPr>
        <w:t xml:space="preserve"> וכן פי' הר"ן (כתובות נח: ד"ה בשעת)</w:t>
      </w:r>
      <w:r>
        <w:rPr>
          <w:rFonts w:cs="Arial" w:hint="cs"/>
          <w:rtl/>
        </w:rPr>
        <w:t>.</w:t>
      </w:r>
      <w:r>
        <w:rPr>
          <w:rFonts w:cs="Arial"/>
          <w:rtl/>
        </w:rPr>
        <w:t xml:space="preserve"> ומוכרח הוא מדקאמר בשעת הוצאת פועלים אי איכא דניחא ליה למיזבן אמר זילו סיירו לה ניהלי</w:t>
      </w:r>
      <w:r>
        <w:rPr>
          <w:rFonts w:cs="Arial" w:hint="cs"/>
          <w:rtl/>
        </w:rPr>
        <w:t>,</w:t>
      </w:r>
      <w:r>
        <w:rPr>
          <w:rFonts w:cs="Arial"/>
          <w:rtl/>
        </w:rPr>
        <w:t xml:space="preserve"> דהיינו לומר דכשישמע ההכרזה יזכור שיאמר לפועליו כשנפטרים ממנו שילכו לבקר הקרקע הנמכר ובבקר בשעת הכנסת פועלים כשישמע ההכרזה יזכור לשאול אותם ענין הקרקע</w:t>
      </w:r>
      <w:r>
        <w:rPr>
          <w:rFonts w:cs="Arial" w:hint="cs"/>
          <w:rtl/>
        </w:rPr>
        <w:t>, ב"י</w:t>
      </w:r>
      <w:r>
        <w:rPr>
          <w:rFonts w:cs="Arial"/>
          <w:rtl/>
        </w:rPr>
        <w:t>.</w:t>
      </w:r>
    </w:p>
  </w:footnote>
  <w:footnote w:id="2262">
    <w:p w14:paraId="731F2FC5" w14:textId="77777777" w:rsidR="00392DBB" w:rsidRDefault="00392DBB" w:rsidP="00392DBB">
      <w:pPr>
        <w:pStyle w:val="a5"/>
      </w:pPr>
      <w:r>
        <w:rPr>
          <w:rStyle w:val="a7"/>
        </w:rPr>
        <w:footnoteRef/>
      </w:r>
      <w:r>
        <w:rPr>
          <w:rtl/>
        </w:rPr>
        <w:t xml:space="preserve"> </w:t>
      </w:r>
      <w:r w:rsidRPr="003F71F1">
        <w:rPr>
          <w:rFonts w:cs="Arial"/>
          <w:rtl/>
        </w:rPr>
        <w:t>כך וכך היא עושה תבואה</w:t>
      </w:r>
      <w:r>
        <w:rPr>
          <w:rFonts w:cs="Arial" w:hint="cs"/>
          <w:rtl/>
        </w:rPr>
        <w:t>, רש"י.</w:t>
      </w:r>
      <w:r w:rsidRPr="003F71F1">
        <w:rPr>
          <w:rFonts w:cs="Arial"/>
          <w:rtl/>
        </w:rPr>
        <w:t xml:space="preserve"> </w:t>
      </w:r>
      <w:r>
        <w:rPr>
          <w:rFonts w:cs="Arial"/>
          <w:rtl/>
        </w:rPr>
        <w:t>והה</w:t>
      </w:r>
      <w:r>
        <w:rPr>
          <w:rFonts w:cs="Arial" w:hint="cs"/>
          <w:rtl/>
        </w:rPr>
        <w:t>"</w:t>
      </w:r>
      <w:r>
        <w:rPr>
          <w:rFonts w:cs="Arial"/>
          <w:rtl/>
        </w:rPr>
        <w:t xml:space="preserve">מ פי' </w:t>
      </w:r>
      <w:r>
        <w:rPr>
          <w:rFonts w:cs="Arial" w:hint="cs"/>
          <w:rtl/>
        </w:rPr>
        <w:t>(</w:t>
      </w:r>
      <w:r>
        <w:rPr>
          <w:rFonts w:cs="Arial"/>
          <w:rtl/>
        </w:rPr>
        <w:t>פי"ב מהל</w:t>
      </w:r>
      <w:r>
        <w:rPr>
          <w:rFonts w:cs="Arial" w:hint="cs"/>
          <w:rtl/>
        </w:rPr>
        <w:t>'</w:t>
      </w:r>
      <w:r>
        <w:rPr>
          <w:rFonts w:cs="Arial"/>
          <w:rtl/>
        </w:rPr>
        <w:t xml:space="preserve"> מלוה ה"ח) דכך וכך היא יפה</w:t>
      </w:r>
      <w:r>
        <w:rPr>
          <w:rFonts w:cs="Arial" w:hint="cs"/>
          <w:rtl/>
        </w:rPr>
        <w:t>,</w:t>
      </w:r>
      <w:r>
        <w:rPr>
          <w:rFonts w:cs="Arial"/>
          <w:rtl/>
        </w:rPr>
        <w:t xml:space="preserve"> היינו </w:t>
      </w:r>
      <w:r>
        <w:rPr>
          <w:rFonts w:cs="Arial" w:hint="cs"/>
          <w:rtl/>
        </w:rPr>
        <w:t xml:space="preserve">- </w:t>
      </w:r>
      <w:r>
        <w:rPr>
          <w:rFonts w:cs="Arial"/>
          <w:rtl/>
        </w:rPr>
        <w:t>כמה מוצאין בה</w:t>
      </w:r>
      <w:r>
        <w:rPr>
          <w:rFonts w:cs="Arial" w:hint="cs"/>
          <w:rtl/>
        </w:rPr>
        <w:t xml:space="preserve">. והביא הב"י כאן את שני הפירושים, וצל"ע מה ההבדל בניהם. ובשו"ע (חו"מ סי' קט ס"א) כתב כפירוש הה"מ. וכ"כ כאן הח"מ (אהע"ז סי' קד סק"ד). ופירש הסמ"ע (חו"מ סי' קט סק"ג) </w:t>
      </w:r>
      <w:r w:rsidRPr="005B7292">
        <w:rPr>
          <w:rFonts w:cs="Arial"/>
          <w:rtl/>
        </w:rPr>
        <w:t>נראה דפירש כמה מוצאין, הוא כמה תבואה מוצאין בכל שנה ושנה באותה שדה אחר שנזרעה כדרך השדות, דבזה ניכר יופיה וטובה של השדה</w:t>
      </w:r>
      <w:r>
        <w:rPr>
          <w:rFonts w:cs="Arial" w:hint="cs"/>
          <w:rtl/>
        </w:rPr>
        <w:t>.</w:t>
      </w:r>
    </w:p>
  </w:footnote>
  <w:footnote w:id="2263">
    <w:p w14:paraId="0E789972" w14:textId="77777777" w:rsidR="00392DBB" w:rsidRDefault="00392DBB" w:rsidP="00392DBB">
      <w:pPr>
        <w:pStyle w:val="a5"/>
      </w:pPr>
      <w:r>
        <w:rPr>
          <w:rStyle w:val="a7"/>
        </w:rPr>
        <w:footnoteRef/>
      </w:r>
      <w:r>
        <w:rPr>
          <w:rtl/>
        </w:rPr>
        <w:t xml:space="preserve"> </w:t>
      </w:r>
      <w:r w:rsidRPr="003F71F1">
        <w:rPr>
          <w:rFonts w:cs="Arial"/>
          <w:rtl/>
        </w:rPr>
        <w:t>בכך וכך שמאוה ב"ד</w:t>
      </w:r>
      <w:r>
        <w:rPr>
          <w:rFonts w:cs="Arial" w:hint="cs"/>
          <w:rtl/>
        </w:rPr>
        <w:t>, רש"י.</w:t>
      </w:r>
    </w:p>
  </w:footnote>
  <w:footnote w:id="2264">
    <w:p w14:paraId="43A36E13" w14:textId="77777777" w:rsidR="00392DBB" w:rsidRDefault="00392DBB" w:rsidP="00392DBB">
      <w:pPr>
        <w:pStyle w:val="a5"/>
      </w:pPr>
      <w:r>
        <w:rPr>
          <w:rStyle w:val="a7"/>
        </w:rPr>
        <w:footnoteRef/>
      </w:r>
      <w:r>
        <w:rPr>
          <w:rtl/>
        </w:rPr>
        <w:t xml:space="preserve"> </w:t>
      </w:r>
      <w:r w:rsidRPr="003F71F1">
        <w:rPr>
          <w:rFonts w:cs="Arial"/>
          <w:rtl/>
        </w:rPr>
        <w:t>פורתא פורתא ואיכא לוקח דניחא ליה לפרוע לבעל חוב דמיקל בזוזי שנוטל זוזים שבורים וחסרים שאין דרך סוחרים מקפידין בכך</w:t>
      </w:r>
      <w:r>
        <w:rPr>
          <w:rFonts w:cs="Arial" w:hint="cs"/>
          <w:rtl/>
        </w:rPr>
        <w:t>, רש"י.</w:t>
      </w:r>
    </w:p>
  </w:footnote>
  <w:footnote w:id="2265">
    <w:p w14:paraId="4EFBDF00" w14:textId="35DE45B5" w:rsidR="00B47529" w:rsidRDefault="00B47529">
      <w:pPr>
        <w:pStyle w:val="a5"/>
        <w:rPr>
          <w:rtl/>
        </w:rPr>
      </w:pPr>
      <w:r>
        <w:rPr>
          <w:rStyle w:val="a7"/>
        </w:rPr>
        <w:footnoteRef/>
      </w:r>
      <w:r>
        <w:rPr>
          <w:rtl/>
        </w:rPr>
        <w:t xml:space="preserve"> </w:t>
      </w:r>
      <w:r>
        <w:rPr>
          <w:rFonts w:hint="cs"/>
          <w:rtl/>
        </w:rPr>
        <w:t>סימן - קול.</w:t>
      </w:r>
    </w:p>
  </w:footnote>
  <w:footnote w:id="2266">
    <w:p w14:paraId="6FC2A990" w14:textId="77777777" w:rsidR="00392DBB" w:rsidRDefault="00392DBB" w:rsidP="00392DBB">
      <w:pPr>
        <w:pStyle w:val="a5"/>
      </w:pPr>
      <w:r>
        <w:rPr>
          <w:rStyle w:val="a7"/>
        </w:rPr>
        <w:footnoteRef/>
      </w:r>
      <w:r>
        <w:rPr>
          <w:rtl/>
        </w:rPr>
        <w:t xml:space="preserve"> </w:t>
      </w:r>
      <w:r w:rsidRPr="005B7292">
        <w:rPr>
          <w:rFonts w:cs="Arial"/>
          <w:rtl/>
        </w:rPr>
        <w:t>אין חילוק בין אם באה לגבו</w:t>
      </w:r>
      <w:r>
        <w:rPr>
          <w:rFonts w:cs="Arial" w:hint="cs"/>
          <w:rtl/>
        </w:rPr>
        <w:t>ת</w:t>
      </w:r>
      <w:r w:rsidRPr="005B7292">
        <w:rPr>
          <w:rFonts w:cs="Arial"/>
          <w:rtl/>
        </w:rPr>
        <w:t xml:space="preserve"> מיתומים קטנים או גדולים</w:t>
      </w:r>
      <w:r>
        <w:rPr>
          <w:rFonts w:cs="Arial" w:hint="cs"/>
          <w:rtl/>
        </w:rPr>
        <w:t>,</w:t>
      </w:r>
      <w:r w:rsidRPr="005B7292">
        <w:rPr>
          <w:rFonts w:cs="Arial"/>
          <w:rtl/>
        </w:rPr>
        <w:t xml:space="preserve"> כל זמן שגוב</w:t>
      </w:r>
      <w:r>
        <w:rPr>
          <w:rFonts w:cs="Arial" w:hint="cs"/>
          <w:rtl/>
        </w:rPr>
        <w:t>ה</w:t>
      </w:r>
      <w:r w:rsidRPr="005B7292">
        <w:rPr>
          <w:rFonts w:cs="Arial"/>
          <w:rtl/>
        </w:rPr>
        <w:t xml:space="preserve"> כתובת</w:t>
      </w:r>
      <w:r>
        <w:rPr>
          <w:rFonts w:cs="Arial" w:hint="cs"/>
          <w:rtl/>
        </w:rPr>
        <w:t>ה</w:t>
      </w:r>
      <w:r w:rsidRPr="005B7292">
        <w:rPr>
          <w:rFonts w:cs="Arial"/>
          <w:rtl/>
        </w:rPr>
        <w:t xml:space="preserve"> ע"פ ב"ד</w:t>
      </w:r>
      <w:r>
        <w:rPr>
          <w:rFonts w:cs="Arial" w:hint="cs"/>
          <w:rtl/>
        </w:rPr>
        <w:t>,</w:t>
      </w:r>
      <w:r w:rsidRPr="005B7292">
        <w:rPr>
          <w:rFonts w:cs="Arial"/>
          <w:rtl/>
        </w:rPr>
        <w:t xml:space="preserve"> וה"ה לגרושה הבאה לגבות כתוב</w:t>
      </w:r>
      <w:r>
        <w:rPr>
          <w:rFonts w:cs="Arial" w:hint="cs"/>
          <w:rtl/>
        </w:rPr>
        <w:t>ה</w:t>
      </w:r>
      <w:r w:rsidRPr="005B7292">
        <w:rPr>
          <w:rFonts w:cs="Arial"/>
          <w:rtl/>
        </w:rPr>
        <w:t xml:space="preserve"> ע"פ ב"ד</w:t>
      </w:r>
      <w:r>
        <w:rPr>
          <w:rFonts w:cs="Arial" w:hint="cs"/>
          <w:rtl/>
        </w:rPr>
        <w:t>.</w:t>
      </w:r>
      <w:r w:rsidRPr="005B7292">
        <w:rPr>
          <w:rFonts w:cs="Arial"/>
          <w:rtl/>
        </w:rPr>
        <w:t xml:space="preserve"> רק שדעת הרמב"ם שכל שאין גובין מן היתומים או מן הלקוחו</w:t>
      </w:r>
      <w:r>
        <w:rPr>
          <w:rFonts w:cs="Arial" w:hint="cs"/>
          <w:rtl/>
        </w:rPr>
        <w:t>ת,</w:t>
      </w:r>
      <w:r w:rsidRPr="005B7292">
        <w:rPr>
          <w:rFonts w:cs="Arial"/>
          <w:rtl/>
        </w:rPr>
        <w:t xml:space="preserve"> אף שצריך הכרז</w:t>
      </w:r>
      <w:r>
        <w:rPr>
          <w:rFonts w:cs="Arial" w:hint="cs"/>
          <w:rtl/>
        </w:rPr>
        <w:t>ה -</w:t>
      </w:r>
      <w:r w:rsidRPr="005B7292">
        <w:rPr>
          <w:rFonts w:cs="Arial"/>
          <w:rtl/>
        </w:rPr>
        <w:t xml:space="preserve"> א"צ שלשים יום</w:t>
      </w:r>
      <w:r>
        <w:rPr>
          <w:rFonts w:cs="Arial" w:hint="cs"/>
          <w:rtl/>
        </w:rPr>
        <w:t>,</w:t>
      </w:r>
      <w:r w:rsidRPr="005B7292">
        <w:rPr>
          <w:rFonts w:cs="Arial"/>
          <w:rtl/>
        </w:rPr>
        <w:t xml:space="preserve"> רק מכריזין כפי מה שיראו עד שיפסקו המוסיפין</w:t>
      </w:r>
      <w:r>
        <w:rPr>
          <w:rFonts w:cs="Arial" w:hint="cs"/>
          <w:rtl/>
        </w:rPr>
        <w:t>.</w:t>
      </w:r>
      <w:r w:rsidRPr="005B7292">
        <w:rPr>
          <w:rFonts w:cs="Arial"/>
          <w:rtl/>
        </w:rPr>
        <w:t xml:space="preserve"> ודעת הטור דכל שב"ד גובין אין חילוק בין נפרעין מן הלוה בעצמו או מיתומים ומלקוחו</w:t>
      </w:r>
      <w:r>
        <w:rPr>
          <w:rFonts w:cs="Arial" w:hint="cs"/>
          <w:rtl/>
        </w:rPr>
        <w:t>ת -</w:t>
      </w:r>
      <w:r w:rsidRPr="005B7292">
        <w:rPr>
          <w:rFonts w:cs="Arial"/>
          <w:rtl/>
        </w:rPr>
        <w:t xml:space="preserve"> לעולם צריך שומא והכרזת שלשים</w:t>
      </w:r>
      <w:r>
        <w:rPr>
          <w:rFonts w:cs="Arial" w:hint="cs"/>
          <w:rtl/>
        </w:rPr>
        <w:t>,</w:t>
      </w:r>
      <w:r w:rsidRPr="005B7292">
        <w:rPr>
          <w:rFonts w:cs="Arial"/>
          <w:rtl/>
        </w:rPr>
        <w:t xml:space="preserve"> עיין בח"מ סי' ק"ג</w:t>
      </w:r>
      <w:r>
        <w:rPr>
          <w:rFonts w:cs="Arial" w:hint="cs"/>
          <w:rtl/>
        </w:rPr>
        <w:t>, ח"מ (סק"א).</w:t>
      </w:r>
    </w:p>
  </w:footnote>
  <w:footnote w:id="2267">
    <w:p w14:paraId="19EFF146" w14:textId="77777777" w:rsidR="00392DBB" w:rsidRDefault="00392DBB" w:rsidP="00392DBB">
      <w:pPr>
        <w:pStyle w:val="a5"/>
      </w:pPr>
      <w:r>
        <w:rPr>
          <w:rStyle w:val="a7"/>
        </w:rPr>
        <w:footnoteRef/>
      </w:r>
      <w:r>
        <w:rPr>
          <w:rtl/>
        </w:rPr>
        <w:t xml:space="preserve"> </w:t>
      </w:r>
      <w:r>
        <w:rPr>
          <w:rFonts w:cs="Arial"/>
          <w:rtl/>
        </w:rPr>
        <w:t xml:space="preserve">ופירש רש"י אגרת ביקורת </w:t>
      </w:r>
      <w:r>
        <w:rPr>
          <w:rFonts w:cs="Arial" w:hint="cs"/>
          <w:rtl/>
        </w:rPr>
        <w:t xml:space="preserve">- </w:t>
      </w:r>
      <w:r>
        <w:rPr>
          <w:rFonts w:cs="Arial"/>
          <w:rtl/>
        </w:rPr>
        <w:t xml:space="preserve">הכרזה ולשון ביקורת שמבקרין אותה בני אדם ע"י הכרזה. והרמב"ם כתב </w:t>
      </w:r>
      <w:r>
        <w:rPr>
          <w:rFonts w:cs="Arial" w:hint="cs"/>
          <w:rtl/>
        </w:rPr>
        <w:t>(</w:t>
      </w:r>
      <w:r>
        <w:rPr>
          <w:rFonts w:cs="Arial"/>
          <w:rtl/>
        </w:rPr>
        <w:t>פי"ב מהל</w:t>
      </w:r>
      <w:r>
        <w:rPr>
          <w:rFonts w:cs="Arial" w:hint="cs"/>
          <w:rtl/>
        </w:rPr>
        <w:t>'</w:t>
      </w:r>
      <w:r>
        <w:rPr>
          <w:rFonts w:cs="Arial"/>
          <w:rtl/>
        </w:rPr>
        <w:t xml:space="preserve"> מלוה הי"א) דאגרת ביקורת היינו כתיבת דקדוק השומא וההכרזה</w:t>
      </w:r>
      <w:r>
        <w:rPr>
          <w:rFonts w:cs="Arial" w:hint="cs"/>
          <w:rtl/>
        </w:rPr>
        <w:t>, ב"י.</w:t>
      </w:r>
    </w:p>
  </w:footnote>
  <w:footnote w:id="2268">
    <w:p w14:paraId="2507DCED" w14:textId="77777777" w:rsidR="00392DBB" w:rsidRDefault="00392DBB" w:rsidP="00392DBB">
      <w:pPr>
        <w:pStyle w:val="a5"/>
      </w:pPr>
      <w:r>
        <w:rPr>
          <w:rStyle w:val="a7"/>
        </w:rPr>
        <w:footnoteRef/>
      </w:r>
      <w:r>
        <w:rPr>
          <w:rtl/>
        </w:rPr>
        <w:t xml:space="preserve"> </w:t>
      </w:r>
      <w:r w:rsidRPr="00744AD3">
        <w:rPr>
          <w:rFonts w:cs="Arial"/>
          <w:rtl/>
        </w:rPr>
        <w:t>טוב לי ליטול חלקי במזרח שיש לי אצלה שדה שנפלה לי מבית אבי אמי</w:t>
      </w:r>
      <w:r>
        <w:rPr>
          <w:rFonts w:cs="Arial" w:hint="cs"/>
          <w:rtl/>
        </w:rPr>
        <w:t>, רש"י.</w:t>
      </w:r>
    </w:p>
  </w:footnote>
  <w:footnote w:id="2269">
    <w:p w14:paraId="39B3496A" w14:textId="77777777" w:rsidR="00392DBB" w:rsidRPr="001D0BF2" w:rsidRDefault="00392DBB" w:rsidP="00392DBB">
      <w:pPr>
        <w:pStyle w:val="a5"/>
      </w:pPr>
      <w:r>
        <w:rPr>
          <w:rStyle w:val="a7"/>
        </w:rPr>
        <w:footnoteRef/>
      </w:r>
      <w:r>
        <w:rPr>
          <w:rtl/>
        </w:rPr>
        <w:t xml:space="preserve"> </w:t>
      </w:r>
      <w:r w:rsidRPr="001D0BF2">
        <w:rPr>
          <w:rFonts w:hint="cs"/>
          <w:rtl/>
        </w:rPr>
        <w:t>וכתבו הרי"ף (נח.) והרא"ש (פי"א סי' יח) דהלכתא כרב נחמן</w:t>
      </w:r>
      <w:r>
        <w:rPr>
          <w:rFonts w:hint="cs"/>
          <w:rtl/>
        </w:rPr>
        <w:t>.</w:t>
      </w:r>
    </w:p>
  </w:footnote>
  <w:footnote w:id="2270">
    <w:p w14:paraId="2E142EC4" w14:textId="77777777" w:rsidR="00392DBB" w:rsidRPr="00FD09D2" w:rsidRDefault="00392DBB" w:rsidP="00392DBB">
      <w:pPr>
        <w:pStyle w:val="a5"/>
        <w:rPr>
          <w:rFonts w:cs="Arial"/>
          <w:u w:val="single"/>
          <w:rtl/>
        </w:rPr>
      </w:pPr>
      <w:r>
        <w:rPr>
          <w:rStyle w:val="a7"/>
        </w:rPr>
        <w:footnoteRef/>
      </w:r>
      <w:r>
        <w:rPr>
          <w:rtl/>
        </w:rPr>
        <w:t xml:space="preserve"> </w:t>
      </w:r>
      <w:r w:rsidRPr="00FD09D2">
        <w:rPr>
          <w:rFonts w:cs="Arial" w:hint="cs"/>
          <w:u w:val="single"/>
          <w:rtl/>
        </w:rPr>
        <w:t xml:space="preserve">בתירוץ </w:t>
      </w:r>
      <w:r>
        <w:rPr>
          <w:rFonts w:cs="Arial" w:hint="cs"/>
          <w:u w:val="single"/>
          <w:rtl/>
        </w:rPr>
        <w:t>זה של</w:t>
      </w:r>
      <w:r w:rsidRPr="00FD09D2">
        <w:rPr>
          <w:rFonts w:cs="Arial" w:hint="cs"/>
          <w:u w:val="single"/>
          <w:rtl/>
        </w:rPr>
        <w:t xml:space="preserve"> הגמרא ('לעולם בדלא אכרוז</w:t>
      </w:r>
      <w:r>
        <w:rPr>
          <w:rFonts w:cs="Arial" w:hint="cs"/>
          <w:u w:val="single"/>
          <w:rtl/>
        </w:rPr>
        <w:t>...</w:t>
      </w:r>
      <w:r w:rsidRPr="00FD09D2">
        <w:rPr>
          <w:rFonts w:cs="Arial" w:hint="cs"/>
          <w:u w:val="single"/>
          <w:rtl/>
        </w:rPr>
        <w:t xml:space="preserve">') </w:t>
      </w:r>
      <w:r>
        <w:rPr>
          <w:rFonts w:cs="Arial" w:hint="cs"/>
          <w:u w:val="single"/>
          <w:rtl/>
        </w:rPr>
        <w:t xml:space="preserve">יש </w:t>
      </w:r>
      <w:r w:rsidRPr="00FD09D2">
        <w:rPr>
          <w:rFonts w:cs="Arial" w:hint="cs"/>
          <w:u w:val="single"/>
          <w:rtl/>
        </w:rPr>
        <w:t>ג' פירושים:</w:t>
      </w:r>
    </w:p>
    <w:p w14:paraId="5752E513" w14:textId="77777777" w:rsidR="00392DBB" w:rsidRDefault="00392DBB" w:rsidP="009000E3">
      <w:pPr>
        <w:pStyle w:val="a5"/>
        <w:numPr>
          <w:ilvl w:val="0"/>
          <w:numId w:val="65"/>
        </w:numPr>
      </w:pPr>
      <w:r>
        <w:rPr>
          <w:rFonts w:cs="Arial" w:hint="cs"/>
          <w:rtl/>
        </w:rPr>
        <w:t xml:space="preserve">רי"ף </w:t>
      </w:r>
      <w:r w:rsidRPr="00FD09D2">
        <w:rPr>
          <w:rFonts w:cs="Arial" w:hint="cs"/>
          <w:sz w:val="16"/>
          <w:szCs w:val="16"/>
          <w:rtl/>
        </w:rPr>
        <w:t>(נח.)</w:t>
      </w:r>
      <w:r>
        <w:rPr>
          <w:rFonts w:cs="Arial" w:hint="cs"/>
          <w:rtl/>
        </w:rPr>
        <w:t xml:space="preserve"> ורמב"ם </w:t>
      </w:r>
      <w:r w:rsidRPr="00FD09D2">
        <w:rPr>
          <w:rFonts w:cs="Arial" w:hint="cs"/>
          <w:sz w:val="16"/>
          <w:szCs w:val="16"/>
          <w:rtl/>
        </w:rPr>
        <w:t>(פי"ב ממלוה הי"א)</w:t>
      </w:r>
      <w:r>
        <w:rPr>
          <w:rFonts w:cs="Arial" w:hint="cs"/>
          <w:rtl/>
        </w:rPr>
        <w:t xml:space="preserve">- </w:t>
      </w:r>
      <w:r>
        <w:rPr>
          <w:rFonts w:cs="Arial"/>
          <w:rtl/>
        </w:rPr>
        <w:t>רישא דקתני פיחתו שתות או הותירו שתות מכרן בטל ואע</w:t>
      </w:r>
      <w:r>
        <w:rPr>
          <w:rFonts w:cs="Arial" w:hint="cs"/>
          <w:rtl/>
        </w:rPr>
        <w:t>"</w:t>
      </w:r>
      <w:r>
        <w:rPr>
          <w:rFonts w:cs="Arial"/>
          <w:rtl/>
        </w:rPr>
        <w:t xml:space="preserve">ג דאכרוז </w:t>
      </w:r>
      <w:r>
        <w:rPr>
          <w:rFonts w:cs="Arial" w:hint="cs"/>
          <w:rtl/>
        </w:rPr>
        <w:t xml:space="preserve">- </w:t>
      </w:r>
      <w:r>
        <w:rPr>
          <w:rFonts w:cs="Arial"/>
          <w:rtl/>
        </w:rPr>
        <w:t>בדברים שאין מכריזין</w:t>
      </w:r>
      <w:r>
        <w:rPr>
          <w:rFonts w:cs="Arial" w:hint="cs"/>
          <w:rtl/>
        </w:rPr>
        <w:t>,</w:t>
      </w:r>
      <w:r>
        <w:rPr>
          <w:rFonts w:cs="Arial"/>
          <w:rtl/>
        </w:rPr>
        <w:t xml:space="preserve"> דכיון דלא בעו הכרזה בין אכרוז בין לא אכרוז חד דינא הוא</w:t>
      </w:r>
      <w:r>
        <w:rPr>
          <w:rFonts w:cs="Arial" w:hint="cs"/>
          <w:rtl/>
        </w:rPr>
        <w:t>,</w:t>
      </w:r>
      <w:r>
        <w:rPr>
          <w:rFonts w:cs="Arial"/>
          <w:rtl/>
        </w:rPr>
        <w:t xml:space="preserve"> ואם פיחת שתות או הותיר שתות מכרן בטל</w:t>
      </w:r>
      <w:r>
        <w:rPr>
          <w:rFonts w:cs="Arial" w:hint="cs"/>
          <w:rtl/>
        </w:rPr>
        <w:t>,</w:t>
      </w:r>
      <w:r>
        <w:rPr>
          <w:rFonts w:cs="Arial"/>
          <w:rtl/>
        </w:rPr>
        <w:t xml:space="preserve"> שוה בשוה מכרן קיים</w:t>
      </w:r>
      <w:r>
        <w:rPr>
          <w:rFonts w:cs="Arial" w:hint="cs"/>
          <w:rtl/>
        </w:rPr>
        <w:t>.</w:t>
      </w:r>
      <w:r>
        <w:rPr>
          <w:rFonts w:cs="Arial"/>
          <w:rtl/>
        </w:rPr>
        <w:t xml:space="preserve"> וסיפא דקתני אם עשו אגרת ביקורת אפילו מכרו שוה מנה בק"ק או שוה ק"ק במנה מכרן קיים </w:t>
      </w:r>
      <w:r>
        <w:rPr>
          <w:rFonts w:cs="Arial" w:hint="cs"/>
          <w:rtl/>
        </w:rPr>
        <w:t xml:space="preserve">- </w:t>
      </w:r>
      <w:r>
        <w:rPr>
          <w:rFonts w:cs="Arial"/>
          <w:rtl/>
        </w:rPr>
        <w:t>בדברים שמכריזין עליהם ובשעה שמכריזין ובמקום שמכריזין</w:t>
      </w:r>
      <w:r>
        <w:rPr>
          <w:rFonts w:cs="Arial" w:hint="cs"/>
          <w:rtl/>
        </w:rPr>
        <w:t>,</w:t>
      </w:r>
      <w:r>
        <w:rPr>
          <w:rFonts w:cs="Arial"/>
          <w:rtl/>
        </w:rPr>
        <w:t xml:space="preserve"> דכיון דאכרוז עלייהו כדחזי בין פחתו בין הותירו מכרן קיים</w:t>
      </w:r>
      <w:r>
        <w:rPr>
          <w:rFonts w:cs="Arial" w:hint="cs"/>
          <w:sz w:val="16"/>
          <w:szCs w:val="16"/>
          <w:rtl/>
        </w:rPr>
        <w:t xml:space="preserve"> (ל' הרי"ף)</w:t>
      </w:r>
      <w:r>
        <w:rPr>
          <w:rFonts w:cs="Arial"/>
          <w:rtl/>
        </w:rPr>
        <w:t>.</w:t>
      </w:r>
      <w:r w:rsidRPr="008B3407">
        <w:rPr>
          <w:rFonts w:cs="Arial" w:hint="cs"/>
          <w:sz w:val="16"/>
          <w:szCs w:val="16"/>
          <w:rtl/>
        </w:rPr>
        <w:t xml:space="preserve"> </w:t>
      </w:r>
      <w:r w:rsidRPr="00FD09D2">
        <w:rPr>
          <w:rFonts w:cs="Arial" w:hint="cs"/>
          <w:sz w:val="16"/>
          <w:szCs w:val="16"/>
          <w:rtl/>
        </w:rPr>
        <w:t>(</w:t>
      </w:r>
      <w:r>
        <w:rPr>
          <w:rFonts w:cs="Arial" w:hint="cs"/>
          <w:sz w:val="16"/>
          <w:szCs w:val="16"/>
          <w:rtl/>
        </w:rPr>
        <w:t xml:space="preserve">וכתב </w:t>
      </w:r>
      <w:r w:rsidRPr="00FD09D2">
        <w:rPr>
          <w:rFonts w:cs="Arial" w:hint="cs"/>
          <w:sz w:val="16"/>
          <w:szCs w:val="16"/>
          <w:rtl/>
        </w:rPr>
        <w:t>הרא"ש</w:t>
      </w:r>
      <w:r>
        <w:rPr>
          <w:rFonts w:cs="Arial" w:hint="cs"/>
          <w:sz w:val="16"/>
          <w:szCs w:val="16"/>
          <w:rtl/>
        </w:rPr>
        <w:t xml:space="preserve"> [</w:t>
      </w:r>
      <w:r w:rsidRPr="00FD09D2">
        <w:rPr>
          <w:rFonts w:cs="Arial"/>
          <w:sz w:val="16"/>
          <w:szCs w:val="16"/>
          <w:rtl/>
        </w:rPr>
        <w:t>פי"א ס"כ</w:t>
      </w:r>
      <w:r>
        <w:rPr>
          <w:rFonts w:cs="Arial" w:hint="cs"/>
          <w:sz w:val="16"/>
          <w:szCs w:val="16"/>
          <w:rtl/>
        </w:rPr>
        <w:t>]</w:t>
      </w:r>
      <w:r w:rsidRPr="00FD09D2">
        <w:rPr>
          <w:rFonts w:cs="Arial" w:hint="cs"/>
          <w:sz w:val="16"/>
          <w:szCs w:val="16"/>
          <w:rtl/>
        </w:rPr>
        <w:t xml:space="preserve"> על </w:t>
      </w:r>
      <w:r w:rsidRPr="00FD09D2">
        <w:rPr>
          <w:rFonts w:cs="Arial"/>
          <w:sz w:val="16"/>
          <w:szCs w:val="16"/>
          <w:rtl/>
        </w:rPr>
        <w:t xml:space="preserve">דברי הרי"ף </w:t>
      </w:r>
      <w:r>
        <w:rPr>
          <w:rFonts w:cs="Arial" w:hint="cs"/>
          <w:sz w:val="16"/>
          <w:szCs w:val="16"/>
          <w:rtl/>
        </w:rPr>
        <w:t>ד</w:t>
      </w:r>
      <w:r w:rsidRPr="00FD09D2">
        <w:rPr>
          <w:rFonts w:cs="Arial"/>
          <w:sz w:val="16"/>
          <w:szCs w:val="16"/>
          <w:rtl/>
        </w:rPr>
        <w:t>אין טעם הגון לחלק בין אם היתה ההכרזה מדרך החיוב ובין לא היתה מדרך החיוב, דטעמא דהכרזה היא כיון שדקדקו בית דין כל כך במתון ובפרסום בשומא זו אין לתלות בה שום טעות</w:t>
      </w:r>
      <w:r>
        <w:rPr>
          <w:rFonts w:cs="Arial" w:hint="cs"/>
          <w:sz w:val="22"/>
          <w:szCs w:val="22"/>
          <w:rtl/>
        </w:rPr>
        <w:t>,</w:t>
      </w:r>
      <w:r w:rsidRPr="008B3407">
        <w:rPr>
          <w:rFonts w:cs="Arial" w:hint="cs"/>
          <w:sz w:val="22"/>
          <w:szCs w:val="22"/>
          <w:rtl/>
        </w:rPr>
        <w:t xml:space="preserve"> </w:t>
      </w:r>
      <w:r w:rsidRPr="008B3407">
        <w:rPr>
          <w:rFonts w:cs="Arial" w:hint="cs"/>
          <w:sz w:val="16"/>
          <w:szCs w:val="16"/>
          <w:rtl/>
        </w:rPr>
        <w:t xml:space="preserve">הילכך </w:t>
      </w:r>
      <w:r w:rsidRPr="008B3407">
        <w:rPr>
          <w:rFonts w:cs="Arial"/>
          <w:sz w:val="16"/>
          <w:szCs w:val="16"/>
          <w:rtl/>
        </w:rPr>
        <w:t>אפילו אם עשו הכרזה בדברים שאין מכריזין עליהם האי טעמא מיהא איתא ביה אם הוסיפו לעשות</w:t>
      </w:r>
      <w:r>
        <w:rPr>
          <w:rFonts w:cs="Arial" w:hint="cs"/>
          <w:sz w:val="16"/>
          <w:szCs w:val="16"/>
          <w:rtl/>
        </w:rPr>
        <w:t>,</w:t>
      </w:r>
      <w:r w:rsidRPr="008B3407">
        <w:rPr>
          <w:rFonts w:cs="Arial"/>
          <w:sz w:val="16"/>
          <w:szCs w:val="16"/>
          <w:rtl/>
        </w:rPr>
        <w:t xml:space="preserve"> וכי בשביל זה גרע טפי</w:t>
      </w:r>
      <w:r>
        <w:rPr>
          <w:rFonts w:cs="Arial" w:hint="cs"/>
          <w:sz w:val="16"/>
          <w:szCs w:val="16"/>
          <w:rtl/>
        </w:rPr>
        <w:t>)</w:t>
      </w:r>
    </w:p>
    <w:p w14:paraId="222AFBDF" w14:textId="77777777" w:rsidR="00392DBB" w:rsidRDefault="00392DBB" w:rsidP="009000E3">
      <w:pPr>
        <w:pStyle w:val="a5"/>
        <w:numPr>
          <w:ilvl w:val="0"/>
          <w:numId w:val="65"/>
        </w:numPr>
        <w:rPr>
          <w:rtl/>
        </w:rPr>
      </w:pPr>
      <w:r>
        <w:rPr>
          <w:rFonts w:cs="Arial"/>
          <w:rtl/>
        </w:rPr>
        <w:t>רב האי</w:t>
      </w:r>
      <w:r w:rsidRPr="00FD09D2">
        <w:rPr>
          <w:rFonts w:cs="Arial"/>
          <w:sz w:val="16"/>
          <w:szCs w:val="16"/>
          <w:rtl/>
        </w:rPr>
        <w:t xml:space="preserve"> (ס' המקח והממכר שער ו</w:t>
      </w:r>
      <w:r w:rsidRPr="00FD09D2">
        <w:rPr>
          <w:rFonts w:cs="Arial" w:hint="cs"/>
          <w:sz w:val="16"/>
          <w:szCs w:val="16"/>
          <w:rtl/>
        </w:rPr>
        <w:t>, הביאן הר"ן [נח.] לאחר דברי הרי"ף)</w:t>
      </w:r>
      <w:r>
        <w:rPr>
          <w:rFonts w:cs="Arial" w:hint="cs"/>
          <w:rtl/>
        </w:rPr>
        <w:t>-</w:t>
      </w:r>
      <w:r>
        <w:rPr>
          <w:rFonts w:cs="Arial"/>
          <w:rtl/>
        </w:rPr>
        <w:t xml:space="preserve"> רישא בדברים שמכריזין עליהם והכריזו, ובהנך הוא דאמרינן דבשתות מכרן בטל. וסיפא בדברים שאין מכריזין עליהם והכריזו, דכיון שדקדקו כל כך שהכריזו בדברים שאין צריך להכריז עליהם אמרו דעד פלגא מכרן קיים</w:t>
      </w:r>
      <w:r>
        <w:rPr>
          <w:rFonts w:cs="Arial" w:hint="cs"/>
          <w:sz w:val="14"/>
          <w:szCs w:val="14"/>
          <w:rtl/>
        </w:rPr>
        <w:t xml:space="preserve"> (ל' הר"ן בשמו)</w:t>
      </w:r>
      <w:r>
        <w:rPr>
          <w:rFonts w:cs="Arial"/>
          <w:rtl/>
        </w:rPr>
        <w:t xml:space="preserve">. </w:t>
      </w:r>
    </w:p>
    <w:p w14:paraId="660D580D" w14:textId="77777777" w:rsidR="00392DBB" w:rsidRDefault="00392DBB" w:rsidP="009000E3">
      <w:pPr>
        <w:pStyle w:val="a5"/>
        <w:numPr>
          <w:ilvl w:val="0"/>
          <w:numId w:val="65"/>
        </w:numPr>
        <w:rPr>
          <w:rtl/>
        </w:rPr>
      </w:pPr>
      <w:r>
        <w:rPr>
          <w:rFonts w:cs="Arial"/>
          <w:rtl/>
        </w:rPr>
        <w:t xml:space="preserve">רא"ש </w:t>
      </w:r>
      <w:r w:rsidRPr="00FD09D2">
        <w:rPr>
          <w:rFonts w:cs="Arial"/>
          <w:sz w:val="16"/>
          <w:szCs w:val="16"/>
          <w:rtl/>
        </w:rPr>
        <w:t>(פי"א ס"כ)</w:t>
      </w:r>
      <w:r>
        <w:rPr>
          <w:rFonts w:cs="Arial" w:hint="cs"/>
          <w:rtl/>
        </w:rPr>
        <w:t>-</w:t>
      </w:r>
      <w:r>
        <w:rPr>
          <w:rFonts w:cs="Arial"/>
          <w:rtl/>
        </w:rPr>
        <w:t xml:space="preserve"> </w:t>
      </w:r>
      <w:r>
        <w:rPr>
          <w:rFonts w:cs="Arial" w:hint="cs"/>
          <w:rtl/>
        </w:rPr>
        <w:t xml:space="preserve">על כן </w:t>
      </w:r>
      <w:r>
        <w:rPr>
          <w:rFonts w:cs="Arial" w:hint="cs"/>
          <w:sz w:val="16"/>
          <w:szCs w:val="16"/>
          <w:rtl/>
        </w:rPr>
        <w:t xml:space="preserve">{היינו לאחר מה שהקשה על דברי הרי"ף} </w:t>
      </w:r>
      <w:r>
        <w:rPr>
          <w:rFonts w:cs="Arial"/>
          <w:rtl/>
        </w:rPr>
        <w:t>נראה לפרש רישא וסיפא בדאכרוז, כלומר רישא וסיפא מודו דבעי הכרזה, ואם לא הכריזו אפילו שוה בשוה מכרן בטל. והא דאמרינן ברישא שוה בשוה מכרן קיים - בדברים שאין מכריזין עליהם ולא הכריזו.</w:t>
      </w:r>
    </w:p>
  </w:footnote>
  <w:footnote w:id="2271">
    <w:p w14:paraId="28F7D3D9" w14:textId="77777777" w:rsidR="00392DBB" w:rsidRDefault="00392DBB" w:rsidP="00392DBB">
      <w:pPr>
        <w:pStyle w:val="a5"/>
      </w:pPr>
      <w:r>
        <w:rPr>
          <w:rStyle w:val="a7"/>
        </w:rPr>
        <w:footnoteRef/>
      </w:r>
      <w:r>
        <w:rPr>
          <w:rtl/>
        </w:rPr>
        <w:t xml:space="preserve"> </w:t>
      </w:r>
      <w:r>
        <w:rPr>
          <w:rFonts w:cs="Arial"/>
          <w:rtl/>
        </w:rPr>
        <w:t>פירוש קבורת האב והאם וכל מי שמוטל עליהם לקברו</w:t>
      </w:r>
      <w:r>
        <w:rPr>
          <w:rFonts w:cs="Arial" w:hint="cs"/>
          <w:rtl/>
        </w:rPr>
        <w:t>.</w:t>
      </w:r>
      <w:r>
        <w:rPr>
          <w:rFonts w:cs="Arial"/>
          <w:rtl/>
        </w:rPr>
        <w:t xml:space="preserve"> והקשו המפרשים פשיטא וכי יהא מוטל שלשים יום</w:t>
      </w:r>
      <w:r>
        <w:rPr>
          <w:rFonts w:cs="Arial" w:hint="cs"/>
          <w:rtl/>
        </w:rPr>
        <w:t>,</w:t>
      </w:r>
      <w:r>
        <w:rPr>
          <w:rFonts w:cs="Arial"/>
          <w:rtl/>
        </w:rPr>
        <w:t xml:space="preserve"> ותירצו דאפילו הכרזת שעה אין עושין</w:t>
      </w:r>
      <w:r>
        <w:rPr>
          <w:rFonts w:cs="Arial" w:hint="cs"/>
          <w:rtl/>
        </w:rPr>
        <w:t>.</w:t>
      </w:r>
      <w:r>
        <w:rPr>
          <w:rFonts w:cs="Arial"/>
          <w:rtl/>
        </w:rPr>
        <w:t xml:space="preserve"> והתוספות (כתובות פז. ד"ה ולקבורה) פירשו דאפילו לוו לצורך דברים אלו כשרוצים לפרוע אותו חוב אין משהין אותו עד דמכריזין שלשים יום</w:t>
      </w:r>
      <w:r>
        <w:rPr>
          <w:rFonts w:cs="Arial" w:hint="cs"/>
          <w:rtl/>
        </w:rPr>
        <w:t>,</w:t>
      </w:r>
      <w:r>
        <w:rPr>
          <w:rFonts w:cs="Arial"/>
          <w:rtl/>
        </w:rPr>
        <w:t xml:space="preserve"> כדי שלא תנעול דלת בפני גומלי חסדים המלוים לכך</w:t>
      </w:r>
      <w:r>
        <w:rPr>
          <w:rFonts w:cs="Arial" w:hint="cs"/>
          <w:rtl/>
        </w:rPr>
        <w:t>, הה"מ (פי"ב ממלוה ולוה הי"א, הביאו הב"י)</w:t>
      </w:r>
      <w:r>
        <w:rPr>
          <w:rFonts w:cs="Arial"/>
          <w:rtl/>
        </w:rPr>
        <w:t>.</w:t>
      </w:r>
      <w:r>
        <w:rPr>
          <w:rFonts w:cs="Arial" w:hint="cs"/>
          <w:rtl/>
        </w:rPr>
        <w:t xml:space="preserve"> וכתב הטור כדברי התוס'.</w:t>
      </w:r>
      <w:r w:rsidRPr="00CE0309">
        <w:rPr>
          <w:rFonts w:hint="cs"/>
          <w:color w:val="E36C0A" w:themeColor="accent6" w:themeShade="BF"/>
          <w:rtl/>
        </w:rPr>
        <w:t xml:space="preserve"> (וכ"פ בשו"ע</w:t>
      </w:r>
      <w:r w:rsidRPr="00CE0309">
        <w:rPr>
          <w:rFonts w:hint="cs"/>
          <w:color w:val="E36C0A" w:themeColor="accent6" w:themeShade="BF"/>
          <w:sz w:val="16"/>
          <w:szCs w:val="16"/>
          <w:rtl/>
        </w:rPr>
        <w:t xml:space="preserve"> </w:t>
      </w:r>
      <w:r>
        <w:rPr>
          <w:rFonts w:hint="cs"/>
          <w:sz w:val="16"/>
          <w:szCs w:val="16"/>
          <w:rtl/>
        </w:rPr>
        <w:t>[בסע' ג]</w:t>
      </w:r>
      <w:r w:rsidRPr="00CE0309">
        <w:rPr>
          <w:rFonts w:hint="cs"/>
          <w:color w:val="E36C0A" w:themeColor="accent6" w:themeShade="BF"/>
          <w:rtl/>
        </w:rPr>
        <w:t>)</w:t>
      </w:r>
    </w:p>
  </w:footnote>
  <w:footnote w:id="2272">
    <w:p w14:paraId="4686FF9A" w14:textId="77777777" w:rsidR="00392DBB" w:rsidRDefault="00392DBB" w:rsidP="00392DBB">
      <w:pPr>
        <w:pStyle w:val="a5"/>
      </w:pPr>
      <w:r>
        <w:rPr>
          <w:rStyle w:val="a7"/>
        </w:rPr>
        <w:footnoteRef/>
      </w:r>
      <w:r>
        <w:rPr>
          <w:rtl/>
        </w:rPr>
        <w:t xml:space="preserve"> </w:t>
      </w:r>
      <w:r w:rsidRPr="00C038A9">
        <w:rPr>
          <w:rFonts w:cs="Arial"/>
          <w:rtl/>
        </w:rPr>
        <w:t>גנאי וחרפה היא להם כשקונים נכסים שבית דין מוכרין לפי שמחמת דוחק שהנושה לוחץ את היתומים או את הלוה לוקחים הלקוחות בזול ומבזין אותן וקורין להן אוכלי שדות הכרזה</w:t>
      </w:r>
      <w:r>
        <w:rPr>
          <w:rFonts w:cs="Arial" w:hint="cs"/>
          <w:rtl/>
        </w:rPr>
        <w:t>, רש"י.</w:t>
      </w:r>
    </w:p>
  </w:footnote>
  <w:footnote w:id="2273">
    <w:p w14:paraId="440893A2" w14:textId="77777777" w:rsidR="00392DBB" w:rsidRDefault="00392DBB" w:rsidP="00392DBB">
      <w:pPr>
        <w:pStyle w:val="a5"/>
      </w:pPr>
      <w:r>
        <w:rPr>
          <w:rStyle w:val="a7"/>
        </w:rPr>
        <w:footnoteRef/>
      </w:r>
      <w:r>
        <w:rPr>
          <w:rtl/>
        </w:rPr>
        <w:t xml:space="preserve"> </w:t>
      </w:r>
      <w:r w:rsidRPr="006A1671">
        <w:rPr>
          <w:rFonts w:cs="Arial"/>
          <w:rtl/>
        </w:rPr>
        <w:t>סמוך למיתת אביהן שלא ירקבו</w:t>
      </w:r>
      <w:r>
        <w:rPr>
          <w:rFonts w:cs="Arial" w:hint="cs"/>
          <w:rtl/>
        </w:rPr>
        <w:t>, רש"י.</w:t>
      </w:r>
    </w:p>
  </w:footnote>
  <w:footnote w:id="2274">
    <w:p w14:paraId="18147BC8" w14:textId="027AC420" w:rsidR="00392DBB" w:rsidRDefault="00392DBB" w:rsidP="00392DBB">
      <w:pPr>
        <w:pStyle w:val="a5"/>
      </w:pPr>
      <w:r>
        <w:rPr>
          <w:rStyle w:val="a7"/>
        </w:rPr>
        <w:footnoteRef/>
      </w:r>
      <w:r>
        <w:rPr>
          <w:rtl/>
        </w:rPr>
        <w:t xml:space="preserve"> </w:t>
      </w:r>
      <w:r>
        <w:rPr>
          <w:rFonts w:hint="cs"/>
          <w:rtl/>
        </w:rPr>
        <w:t xml:space="preserve">הרמב"ם לא הזכיר מה הדין של מקום שלא נוהגים להכריז בו, וצל"ע למה. ומ"מ הרמ"א (בסע' ד) פסק את דברי הטור הללו (שבמקום שלא נוהגים להכריז </w:t>
      </w:r>
      <w:r w:rsidR="00F97626">
        <w:rPr>
          <w:rtl/>
        </w:rPr>
        <w:t>-</w:t>
      </w:r>
      <w:r>
        <w:rPr>
          <w:rFonts w:hint="cs"/>
          <w:rtl/>
        </w:rPr>
        <w:t xml:space="preserve"> הרי הם כדברים שאין מכריזים עליהם).</w:t>
      </w:r>
    </w:p>
  </w:footnote>
  <w:footnote w:id="2275">
    <w:p w14:paraId="64DD5789" w14:textId="77777777" w:rsidR="00392DBB" w:rsidRDefault="00392DBB" w:rsidP="00392DBB">
      <w:pPr>
        <w:pStyle w:val="a5"/>
        <w:rPr>
          <w:rtl/>
        </w:rPr>
      </w:pPr>
      <w:r>
        <w:rPr>
          <w:rStyle w:val="a7"/>
        </w:rPr>
        <w:footnoteRef/>
      </w:r>
      <w:r>
        <w:rPr>
          <w:rtl/>
        </w:rPr>
        <w:t xml:space="preserve"> </w:t>
      </w:r>
      <w:r>
        <w:rPr>
          <w:rFonts w:cs="Arial"/>
          <w:rtl/>
        </w:rPr>
        <w:t>מ"ש רבינו אם טעו אפילו בכפל המקח קיים. נראה שהוא כדברי הרמב"ן שכתב בסמוך</w:t>
      </w:r>
      <w:r>
        <w:rPr>
          <w:rFonts w:hint="cs"/>
          <w:rtl/>
        </w:rPr>
        <w:t>, ב"י.</w:t>
      </w:r>
    </w:p>
  </w:footnote>
  <w:footnote w:id="2276">
    <w:p w14:paraId="1A73FF3C" w14:textId="77777777" w:rsidR="00392DBB" w:rsidRDefault="00392DBB" w:rsidP="00392DBB">
      <w:pPr>
        <w:pStyle w:val="a5"/>
      </w:pPr>
      <w:r>
        <w:rPr>
          <w:rStyle w:val="a7"/>
        </w:rPr>
        <w:footnoteRef/>
      </w:r>
      <w:r>
        <w:rPr>
          <w:rtl/>
        </w:rPr>
        <w:t xml:space="preserve"> </w:t>
      </w:r>
      <w:r>
        <w:rPr>
          <w:rFonts w:hint="cs"/>
          <w:rtl/>
        </w:rPr>
        <w:t>ז"ל הרא"ש בשם ר"י-</w:t>
      </w:r>
      <w:r>
        <w:rPr>
          <w:rFonts w:cs="Arial" w:hint="cs"/>
          <w:rtl/>
        </w:rPr>
        <w:t xml:space="preserve"> </w:t>
      </w:r>
      <w:r w:rsidRPr="00D65942">
        <w:rPr>
          <w:rFonts w:cs="Arial"/>
          <w:rtl/>
        </w:rPr>
        <w:t>הא דאמר רב נחמן שליח כדיינין היינו לענין זה דהמקח קיים אבל האונאה מיהא צריך להחזיר וכן הדיינין דאין כח בדיינין כלל טפי משליח דעלמא</w:t>
      </w:r>
      <w:r>
        <w:rPr>
          <w:rFonts w:cs="Arial" w:hint="cs"/>
          <w:rtl/>
        </w:rPr>
        <w:t>.</w:t>
      </w:r>
    </w:p>
  </w:footnote>
  <w:footnote w:id="2277">
    <w:p w14:paraId="6F1359D1" w14:textId="77777777" w:rsidR="00392DBB" w:rsidRDefault="00392DBB" w:rsidP="00392DBB">
      <w:pPr>
        <w:pStyle w:val="a5"/>
        <w:rPr>
          <w:rtl/>
        </w:rPr>
      </w:pPr>
      <w:r>
        <w:rPr>
          <w:rStyle w:val="a7"/>
        </w:rPr>
        <w:footnoteRef/>
      </w:r>
      <w:r>
        <w:rPr>
          <w:rFonts w:cs="Arial" w:hint="cs"/>
          <w:rtl/>
        </w:rPr>
        <w:t xml:space="preserve"> הב"י הביא חלק מתשובה זו (סי' נא), ואח"כ כתב ש</w:t>
      </w:r>
      <w:r w:rsidRPr="00CD733A">
        <w:rPr>
          <w:rFonts w:cs="Arial"/>
          <w:rtl/>
        </w:rPr>
        <w:t xml:space="preserve">בסימן נ"ד כתב </w:t>
      </w:r>
      <w:r>
        <w:rPr>
          <w:rFonts w:cs="Arial" w:hint="cs"/>
          <w:rtl/>
        </w:rPr>
        <w:t xml:space="preserve">הרשב"א </w:t>
      </w:r>
      <w:r w:rsidRPr="00CD733A">
        <w:rPr>
          <w:rFonts w:cs="Arial"/>
          <w:rtl/>
        </w:rPr>
        <w:t>בהפך</w:t>
      </w:r>
      <w:r>
        <w:rPr>
          <w:rFonts w:cs="Arial" w:hint="cs"/>
          <w:rtl/>
        </w:rPr>
        <w:t>, ולא יישב הב"י את הסתירה. וכתב</w:t>
      </w:r>
      <w:r w:rsidRPr="004862B7">
        <w:rPr>
          <w:rFonts w:cs="Arial"/>
          <w:rtl/>
        </w:rPr>
        <w:t xml:space="preserve"> </w:t>
      </w:r>
      <w:r>
        <w:rPr>
          <w:rFonts w:hint="cs"/>
          <w:rtl/>
        </w:rPr>
        <w:t xml:space="preserve">כנה"ג </w:t>
      </w:r>
      <w:r w:rsidRPr="004862B7">
        <w:rPr>
          <w:rFonts w:hint="cs"/>
          <w:sz w:val="16"/>
          <w:szCs w:val="16"/>
          <w:rtl/>
        </w:rPr>
        <w:t>(הגב"י חו"מ סי' רא אות יט)</w:t>
      </w:r>
      <w:r>
        <w:rPr>
          <w:rFonts w:cs="Arial" w:hint="cs"/>
          <w:rtl/>
        </w:rPr>
        <w:t xml:space="preserve">- </w:t>
      </w:r>
      <w:r w:rsidRPr="004862B7">
        <w:rPr>
          <w:rFonts w:cs="Arial"/>
          <w:rtl/>
        </w:rPr>
        <w:t>ונ"ל דלא קשיין אהדדי דבסימן נ"א איירי כשלא נודע הטעם שנמנעו מלהכריז</w:t>
      </w:r>
      <w:r>
        <w:rPr>
          <w:rFonts w:cs="Arial" w:hint="cs"/>
          <w:rtl/>
        </w:rPr>
        <w:t>.</w:t>
      </w:r>
      <w:r w:rsidRPr="004862B7">
        <w:rPr>
          <w:rFonts w:cs="Arial"/>
          <w:rtl/>
        </w:rPr>
        <w:t xml:space="preserve"> ולפיכך בסתמא תלינן דלא בטעות נהגו</w:t>
      </w:r>
      <w:r>
        <w:rPr>
          <w:rFonts w:cs="Arial" w:hint="cs"/>
          <w:rtl/>
        </w:rPr>
        <w:t>.</w:t>
      </w:r>
      <w:r w:rsidRPr="004862B7">
        <w:rPr>
          <w:rFonts w:cs="Arial"/>
          <w:rtl/>
        </w:rPr>
        <w:t xml:space="preserve"> אבל בסימן נ"ד הודע בבירור שלא היה טעם במנהגם</w:t>
      </w:r>
      <w:r>
        <w:rPr>
          <w:rFonts w:cs="Arial" w:hint="cs"/>
          <w:rtl/>
        </w:rPr>
        <w:t>,</w:t>
      </w:r>
      <w:r w:rsidRPr="004862B7">
        <w:rPr>
          <w:rFonts w:cs="Arial"/>
          <w:rtl/>
        </w:rPr>
        <w:t xml:space="preserve"> אלא שנהגו כן בלא טעם</w:t>
      </w:r>
      <w:r>
        <w:rPr>
          <w:rFonts w:cs="Arial" w:hint="cs"/>
          <w:rtl/>
        </w:rPr>
        <w:t>,</w:t>
      </w:r>
      <w:r w:rsidRPr="004862B7">
        <w:rPr>
          <w:rFonts w:cs="Arial"/>
          <w:rtl/>
        </w:rPr>
        <w:t xml:space="preserve"> ולפיכך כתב שהם טועין </w:t>
      </w:r>
      <w:r w:rsidRPr="004862B7">
        <w:rPr>
          <w:rFonts w:cs="Arial" w:hint="cs"/>
          <w:sz w:val="16"/>
          <w:szCs w:val="16"/>
          <w:rtl/>
        </w:rPr>
        <w:t>(</w:t>
      </w:r>
      <w:r w:rsidRPr="004862B7">
        <w:rPr>
          <w:rFonts w:cs="Arial"/>
          <w:sz w:val="16"/>
          <w:szCs w:val="16"/>
          <w:rtl/>
        </w:rPr>
        <w:t xml:space="preserve">וזהו שכתב שם </w:t>
      </w:r>
      <w:r>
        <w:rPr>
          <w:rFonts w:cs="Arial" w:hint="cs"/>
          <w:sz w:val="16"/>
          <w:szCs w:val="16"/>
          <w:rtl/>
        </w:rPr>
        <w:t>'</w:t>
      </w:r>
      <w:r w:rsidRPr="004862B7">
        <w:rPr>
          <w:rFonts w:cs="Arial"/>
          <w:sz w:val="16"/>
          <w:szCs w:val="16"/>
          <w:rtl/>
        </w:rPr>
        <w:t>אבל בארץ ההיא שנמנעין להכריז כשמגבין לאלמנה בלא טעם</w:t>
      </w:r>
      <w:r>
        <w:rPr>
          <w:rFonts w:cs="Arial" w:hint="cs"/>
          <w:sz w:val="16"/>
          <w:szCs w:val="16"/>
          <w:rtl/>
        </w:rPr>
        <w:t>...',</w:t>
      </w:r>
      <w:r w:rsidRPr="004862B7">
        <w:rPr>
          <w:rFonts w:cs="Arial"/>
          <w:sz w:val="16"/>
          <w:szCs w:val="16"/>
          <w:rtl/>
        </w:rPr>
        <w:t xml:space="preserve"> שנראה שהיה ברור לו שבלא טעם נהגו כן</w:t>
      </w:r>
      <w:r>
        <w:rPr>
          <w:rFonts w:cs="Arial" w:hint="cs"/>
          <w:sz w:val="16"/>
          <w:szCs w:val="16"/>
          <w:rtl/>
        </w:rPr>
        <w:t>)</w:t>
      </w:r>
      <w:r w:rsidRPr="004862B7">
        <w:rPr>
          <w:rFonts w:cs="Arial"/>
          <w:rtl/>
        </w:rPr>
        <w:t>. א"נ בסי</w:t>
      </w:r>
      <w:r>
        <w:rPr>
          <w:rFonts w:cs="Arial" w:hint="cs"/>
          <w:rtl/>
        </w:rPr>
        <w:t>'</w:t>
      </w:r>
      <w:r w:rsidRPr="004862B7">
        <w:rPr>
          <w:rFonts w:cs="Arial"/>
          <w:rtl/>
        </w:rPr>
        <w:t xml:space="preserve"> נ"א איירי שהמנהג היה קדום מהראשו</w:t>
      </w:r>
      <w:r>
        <w:rPr>
          <w:rFonts w:cs="Arial" w:hint="cs"/>
          <w:rtl/>
        </w:rPr>
        <w:t>נים,</w:t>
      </w:r>
      <w:r w:rsidRPr="004862B7">
        <w:rPr>
          <w:rFonts w:cs="Arial"/>
          <w:rtl/>
        </w:rPr>
        <w:t xml:space="preserve"> אלא שלא נודע טעם הדבר</w:t>
      </w:r>
      <w:r>
        <w:rPr>
          <w:rFonts w:cs="Arial" w:hint="cs"/>
          <w:rtl/>
        </w:rPr>
        <w:t>.</w:t>
      </w:r>
      <w:r w:rsidRPr="004862B7">
        <w:rPr>
          <w:rFonts w:cs="Arial"/>
          <w:rtl/>
        </w:rPr>
        <w:t xml:space="preserve"> ובסימן נ"ד איירי כשהמנהג לא היה קדום</w:t>
      </w:r>
      <w:r>
        <w:rPr>
          <w:rFonts w:cs="Arial" w:hint="cs"/>
          <w:rtl/>
        </w:rPr>
        <w:t>,</w:t>
      </w:r>
      <w:r w:rsidRPr="004862B7">
        <w:rPr>
          <w:rFonts w:cs="Arial"/>
          <w:rtl/>
        </w:rPr>
        <w:t xml:space="preserve"> אלא שבאותו הדור נהגו כן</w:t>
      </w:r>
      <w:r>
        <w:rPr>
          <w:rFonts w:cs="Arial" w:hint="cs"/>
          <w:rtl/>
        </w:rPr>
        <w:t>,</w:t>
      </w:r>
      <w:r w:rsidRPr="004862B7">
        <w:rPr>
          <w:rFonts w:cs="Arial"/>
          <w:rtl/>
        </w:rPr>
        <w:t xml:space="preserve"> ולפיכך כתב דטועים הם</w:t>
      </w:r>
      <w:r>
        <w:rPr>
          <w:rFonts w:hint="cs"/>
          <w:rtl/>
        </w:rPr>
        <w:t>.</w:t>
      </w:r>
    </w:p>
  </w:footnote>
  <w:footnote w:id="2278">
    <w:p w14:paraId="54698988" w14:textId="77777777" w:rsidR="00392DBB" w:rsidRDefault="00392DBB" w:rsidP="00392DBB">
      <w:pPr>
        <w:pStyle w:val="a5"/>
      </w:pPr>
      <w:r>
        <w:rPr>
          <w:rStyle w:val="a7"/>
        </w:rPr>
        <w:footnoteRef/>
      </w:r>
      <w:r>
        <w:rPr>
          <w:rtl/>
        </w:rPr>
        <w:t xml:space="preserve"> </w:t>
      </w:r>
      <w:r w:rsidRPr="007E3F62">
        <w:rPr>
          <w:rFonts w:cs="Arial"/>
          <w:rtl/>
        </w:rPr>
        <w:t>כלומר</w:t>
      </w:r>
      <w:r>
        <w:rPr>
          <w:rFonts w:cs="Arial" w:hint="cs"/>
          <w:rtl/>
        </w:rPr>
        <w:t>,</w:t>
      </w:r>
      <w:r w:rsidRPr="007E3F62">
        <w:rPr>
          <w:rFonts w:cs="Arial"/>
          <w:rtl/>
        </w:rPr>
        <w:t xml:space="preserve"> אלו לא הכריזו כלל</w:t>
      </w:r>
      <w:r>
        <w:rPr>
          <w:rFonts w:cs="Arial" w:hint="cs"/>
          <w:rtl/>
        </w:rPr>
        <w:t xml:space="preserve"> -</w:t>
      </w:r>
      <w:r w:rsidRPr="007E3F62">
        <w:rPr>
          <w:rFonts w:cs="Arial"/>
          <w:rtl/>
        </w:rPr>
        <w:t xml:space="preserve"> נתבאר לפני זה אפילו לא טעו המכירה בטיל</w:t>
      </w:r>
      <w:r>
        <w:rPr>
          <w:rFonts w:cs="Arial" w:hint="cs"/>
          <w:rtl/>
        </w:rPr>
        <w:t>ה.</w:t>
      </w:r>
      <w:r w:rsidRPr="007E3F62">
        <w:rPr>
          <w:rFonts w:cs="Arial"/>
          <w:rtl/>
        </w:rPr>
        <w:t xml:space="preserve"> ואם מיירי במקום שאין מכריזין </w:t>
      </w:r>
      <w:r>
        <w:rPr>
          <w:rFonts w:cs="Arial" w:hint="cs"/>
          <w:rtl/>
        </w:rPr>
        <w:t xml:space="preserve">- </w:t>
      </w:r>
      <w:r w:rsidRPr="007E3F62">
        <w:rPr>
          <w:rFonts w:cs="Arial"/>
          <w:rtl/>
        </w:rPr>
        <w:t>הא כתב אח"כ וכן אם מכרו קרקע בעת שאינם צריכין וכו'</w:t>
      </w:r>
      <w:r>
        <w:rPr>
          <w:rFonts w:cs="Arial" w:hint="cs"/>
          <w:rtl/>
        </w:rPr>
        <w:t>.</w:t>
      </w:r>
      <w:r w:rsidRPr="007E3F62">
        <w:rPr>
          <w:rFonts w:cs="Arial"/>
          <w:rtl/>
        </w:rPr>
        <w:t xml:space="preserve"> אלא כאן מיירי אף שהכריזו אם לא כתבו איגרת ביקורת שהוא דקדוק השומ</w:t>
      </w:r>
      <w:r>
        <w:rPr>
          <w:rFonts w:cs="Arial" w:hint="cs"/>
          <w:rtl/>
        </w:rPr>
        <w:t>א</w:t>
      </w:r>
      <w:r w:rsidRPr="007E3F62">
        <w:rPr>
          <w:rFonts w:cs="Arial"/>
          <w:rtl/>
        </w:rPr>
        <w:t xml:space="preserve"> וההכרז</w:t>
      </w:r>
      <w:r>
        <w:rPr>
          <w:rFonts w:cs="Arial" w:hint="cs"/>
          <w:rtl/>
        </w:rPr>
        <w:t>ה</w:t>
      </w:r>
      <w:r w:rsidRPr="007E3F62">
        <w:rPr>
          <w:rFonts w:cs="Arial"/>
          <w:rtl/>
        </w:rPr>
        <w:t xml:space="preserve"> אז גם כן המכר בטל אם טעו בשתו</w:t>
      </w:r>
      <w:r>
        <w:rPr>
          <w:rFonts w:cs="Arial" w:hint="cs"/>
          <w:rtl/>
        </w:rPr>
        <w:t>ת,</w:t>
      </w:r>
      <w:r w:rsidRPr="007E3F62">
        <w:rPr>
          <w:rFonts w:cs="Arial"/>
          <w:rtl/>
        </w:rPr>
        <w:t xml:space="preserve"> וכן פי' הכ</w:t>
      </w:r>
      <w:r>
        <w:rPr>
          <w:rFonts w:cs="Arial" w:hint="cs"/>
          <w:rtl/>
        </w:rPr>
        <w:t>ס</w:t>
      </w:r>
      <w:r w:rsidRPr="007E3F62">
        <w:rPr>
          <w:rFonts w:cs="Arial"/>
          <w:rtl/>
        </w:rPr>
        <w:t>"מ</w:t>
      </w:r>
      <w:r>
        <w:rPr>
          <w:rFonts w:cs="Arial" w:hint="cs"/>
          <w:rtl/>
        </w:rPr>
        <w:t>,</w:t>
      </w:r>
      <w:r w:rsidRPr="007E3F62">
        <w:rPr>
          <w:rFonts w:cs="Arial"/>
          <w:rtl/>
        </w:rPr>
        <w:t xml:space="preserve"> דלא כהמ"מ</w:t>
      </w:r>
      <w:r>
        <w:rPr>
          <w:rFonts w:cs="Arial" w:hint="cs"/>
          <w:rtl/>
        </w:rPr>
        <w:t>, ח"מ (סק"ו). וכ"כ הב"ש (סק"ד).</w:t>
      </w:r>
    </w:p>
  </w:footnote>
  <w:footnote w:id="2279">
    <w:p w14:paraId="6FCE01BE" w14:textId="77777777" w:rsidR="00392DBB" w:rsidRDefault="00392DBB" w:rsidP="00392DBB">
      <w:pPr>
        <w:pStyle w:val="a5"/>
      </w:pPr>
      <w:r>
        <w:rPr>
          <w:rStyle w:val="a7"/>
        </w:rPr>
        <w:footnoteRef/>
      </w:r>
      <w:r>
        <w:rPr>
          <w:rtl/>
        </w:rPr>
        <w:t xml:space="preserve"> </w:t>
      </w:r>
      <w:r w:rsidRPr="00F1725F">
        <w:rPr>
          <w:rFonts w:cs="Arial"/>
          <w:rtl/>
        </w:rPr>
        <w:t>עיין בח"מ סי' ק"ט סעיף ה' שדעת הרמב"ן והרמב"ם דוק' ב"ד שהורידו לב"ח בשומת ב"ד וטעו בשומתן מכרן בטל אבל ב"ד שמכרו נכסי יתומי' לאינש דעלמ' לא יהיה כח הדיוט חמור מכח היתומי' דהא אין לקרקע אונא' וע"כ אם נתאנ' הלוקח אפי' הרבה אין יכול לחזור אבל אם נתאנו היתומי' שתות בטל המקח ואם ירצו לקיים המקח ולהחזיר אונא' הרשות בידם וא"כ לפ"ז גם כאן יהיה הדין כן דוקא שהורידו לאלמנה בשומא אבל אם מכרו ללוקח יהיה דינו כדין הדיוט ואין הלשון מורה כן ומן התימא שלא כתב חילוק זה כאן ומיהו הר"ר יונה והראב"ד והרא"ש חלוקים בזה ע"ש</w:t>
      </w:r>
      <w:r>
        <w:rPr>
          <w:rFonts w:cs="Arial" w:hint="cs"/>
          <w:rtl/>
        </w:rPr>
        <w:t>, ח"מ (סק"ז).</w:t>
      </w:r>
    </w:p>
  </w:footnote>
  <w:footnote w:id="2280">
    <w:p w14:paraId="4D25BFF9" w14:textId="77777777" w:rsidR="00392DBB" w:rsidRDefault="00392DBB" w:rsidP="00392DBB">
      <w:pPr>
        <w:pStyle w:val="a5"/>
      </w:pPr>
      <w:r>
        <w:rPr>
          <w:rStyle w:val="a7"/>
        </w:rPr>
        <w:footnoteRef/>
      </w:r>
      <w:r>
        <w:rPr>
          <w:rtl/>
        </w:rPr>
        <w:t xml:space="preserve"> </w:t>
      </w:r>
      <w:r w:rsidRPr="00F1725F">
        <w:rPr>
          <w:rFonts w:cs="Arial"/>
          <w:rtl/>
        </w:rPr>
        <w:t>כראוי ועשו אגרת ביקורת אפ"ה מאחר שאין מצד החיוב להכריז עליהם הוא כאלו לא הכריזו</w:t>
      </w:r>
      <w:r>
        <w:rPr>
          <w:rFonts w:cs="Arial" w:hint="cs"/>
          <w:rtl/>
        </w:rPr>
        <w:t>, ח"מ (סק"ח).</w:t>
      </w:r>
    </w:p>
  </w:footnote>
  <w:footnote w:id="2281">
    <w:p w14:paraId="3C42874D" w14:textId="72604117" w:rsidR="00392DBB" w:rsidRDefault="00392DBB" w:rsidP="00392DBB">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980853">
        <w:rPr>
          <w:rFonts w:cs="Arial"/>
          <w:rtl/>
        </w:rPr>
        <w:t>והרב ר' יונה ז"ל כתב</w:t>
      </w:r>
      <w:r>
        <w:rPr>
          <w:rFonts w:cs="Arial" w:hint="cs"/>
          <w:rtl/>
        </w:rPr>
        <w:t>...</w:t>
      </w:r>
      <w:r w:rsidRPr="00980853">
        <w:rPr>
          <w:rFonts w:cs="Arial"/>
          <w:rtl/>
        </w:rPr>
        <w:t xml:space="preserve"> שומת בית דין כמו שהיתומים סומכי</w:t>
      </w:r>
      <w:r>
        <w:rPr>
          <w:rFonts w:cs="Arial" w:hint="cs"/>
          <w:rtl/>
        </w:rPr>
        <w:t>ן</w:t>
      </w:r>
      <w:r w:rsidRPr="00980853">
        <w:rPr>
          <w:rFonts w:cs="Arial"/>
          <w:rtl/>
        </w:rPr>
        <w:t xml:space="preserve"> עליהם כך הלוקח סומך שלא יעשו עול ולא ירחמו והוו בית דין שלוחין של אלו ושל אלו הילכך בין פיחתו שתות ובין הותירו שתות מכרן בטל אבל בפחות משתות מכרן קיים וכן מסתבר וכן היה נראה היכא דנתאנו יתומים דהמקח בטל אין בית דין יכולין לקיים המקח אם ירצו ולהכריח הלוקח להחזיר האונאה דכיון שרצו בית דין לבטל המקח הרשות בידם ברשות הלוקח נמי לבטלו ומסתבר הני טפי דאי מייפים כח היתומים טפי מלוקח הא ריעא ליתמי ולא זבני מנייהו</w:t>
      </w:r>
      <w:r>
        <w:rPr>
          <w:rFonts w:cs="Arial" w:hint="cs"/>
          <w:rtl/>
        </w:rPr>
        <w:t>.</w:t>
      </w:r>
    </w:p>
  </w:footnote>
  <w:footnote w:id="2282">
    <w:p w14:paraId="5F4D78A0" w14:textId="77777777" w:rsidR="00392DBB" w:rsidRDefault="00392DBB" w:rsidP="00392DBB">
      <w:pPr>
        <w:pStyle w:val="a5"/>
        <w:rPr>
          <w:rtl/>
        </w:rPr>
      </w:pPr>
      <w:r>
        <w:rPr>
          <w:rStyle w:val="a7"/>
        </w:rPr>
        <w:footnoteRef/>
      </w:r>
      <w:r>
        <w:rPr>
          <w:rtl/>
        </w:rPr>
        <w:t xml:space="preserve"> </w:t>
      </w:r>
      <w:r w:rsidRPr="00363EFC">
        <w:rPr>
          <w:rFonts w:cs="Arial"/>
          <w:rtl/>
        </w:rPr>
        <w:t>שליח דטעה כמאן דיינינן ליה כאלמנה דיינינן ליה שבטעות כל דהו בטל כדתנן שוה מנה ודינר במנה מכרה בטל או כדיינין הוא ועד דטעה בשתות</w:t>
      </w:r>
      <w:r>
        <w:rPr>
          <w:rFonts w:hint="cs"/>
          <w:rtl/>
        </w:rPr>
        <w:t>, רש"י.</w:t>
      </w:r>
    </w:p>
  </w:footnote>
  <w:footnote w:id="2283">
    <w:p w14:paraId="3A19824B" w14:textId="77777777" w:rsidR="00392DBB" w:rsidRDefault="00392DBB" w:rsidP="00392DBB">
      <w:pPr>
        <w:pStyle w:val="a5"/>
      </w:pPr>
      <w:r>
        <w:rPr>
          <w:rStyle w:val="a7"/>
        </w:rPr>
        <w:footnoteRef/>
      </w:r>
      <w:r>
        <w:rPr>
          <w:rtl/>
        </w:rPr>
        <w:t xml:space="preserve"> </w:t>
      </w:r>
      <w:r>
        <w:rPr>
          <w:rFonts w:cs="Arial"/>
          <w:rtl/>
        </w:rPr>
        <w:t>וכן הוא בר"ן פרק האיש מקדש (יז. ד"ה ורב נחמן) דאם מכרו ב"ד ונתאנה הלוקח המקח קיים</w:t>
      </w:r>
      <w:r>
        <w:rPr>
          <w:rFonts w:cs="Arial" w:hint="cs"/>
          <w:rtl/>
        </w:rPr>
        <w:t>,</w:t>
      </w:r>
      <w:r>
        <w:rPr>
          <w:rFonts w:cs="Arial"/>
          <w:rtl/>
        </w:rPr>
        <w:t xml:space="preserve"> אבל אם שמו הקרקע לב"ח או לכתובה וטעו בשומא המכר בטל</w:t>
      </w:r>
      <w:r>
        <w:rPr>
          <w:rFonts w:cs="Arial" w:hint="cs"/>
          <w:rtl/>
        </w:rPr>
        <w:t>, דרכ"מ (אות ב).</w:t>
      </w:r>
    </w:p>
  </w:footnote>
  <w:footnote w:id="2284">
    <w:p w14:paraId="7FA84DDC" w14:textId="77777777" w:rsidR="00392DBB" w:rsidRDefault="00392DBB" w:rsidP="00392DBB">
      <w:pPr>
        <w:pStyle w:val="a5"/>
      </w:pPr>
      <w:r>
        <w:rPr>
          <w:rStyle w:val="a7"/>
        </w:rPr>
        <w:footnoteRef/>
      </w:r>
      <w:r>
        <w:rPr>
          <w:rtl/>
        </w:rPr>
        <w:t xml:space="preserve"> </w:t>
      </w:r>
      <w:r w:rsidRPr="00ED54A6">
        <w:rPr>
          <w:rFonts w:cs="Arial"/>
          <w:rtl/>
        </w:rPr>
        <w:t>היינו במטלטלין</w:t>
      </w:r>
      <w:r>
        <w:rPr>
          <w:rFonts w:cs="Arial" w:hint="cs"/>
          <w:rtl/>
        </w:rPr>
        <w:t>,</w:t>
      </w:r>
      <w:r w:rsidRPr="00ED54A6">
        <w:rPr>
          <w:rFonts w:cs="Arial"/>
          <w:rtl/>
        </w:rPr>
        <w:t xml:space="preserve"> אבל בקרקע אפי' מכר עד שוה מנה במאתים אין אונאה לקרקעות וזכה המשלח ביתרון</w:t>
      </w:r>
      <w:r>
        <w:rPr>
          <w:rFonts w:cs="Arial" w:hint="cs"/>
          <w:rtl/>
        </w:rPr>
        <w:t>.</w:t>
      </w:r>
      <w:r w:rsidRPr="00ED54A6">
        <w:rPr>
          <w:rFonts w:cs="Arial"/>
          <w:rtl/>
        </w:rPr>
        <w:t xml:space="preserve"> וגם אלמנה</w:t>
      </w:r>
      <w:r>
        <w:rPr>
          <w:rFonts w:cs="Arial" w:hint="cs"/>
          <w:rtl/>
        </w:rPr>
        <w:t>,</w:t>
      </w:r>
      <w:r w:rsidRPr="00ED54A6">
        <w:rPr>
          <w:rFonts w:cs="Arial"/>
          <w:rtl/>
        </w:rPr>
        <w:t xml:space="preserve"> אפילו מכרה שוה מנה במאתים ולא הוקר המקח למאי דקי"ל אין אונאה לקרקעות </w:t>
      </w:r>
      <w:r>
        <w:rPr>
          <w:rFonts w:cs="Arial" w:hint="cs"/>
          <w:rtl/>
        </w:rPr>
        <w:t xml:space="preserve">- </w:t>
      </w:r>
      <w:r w:rsidRPr="00ED54A6">
        <w:rPr>
          <w:rFonts w:cs="Arial"/>
          <w:rtl/>
        </w:rPr>
        <w:t>אין הלוקח יכול לחזור וזכו היתומים ביתרון</w:t>
      </w:r>
      <w:r>
        <w:rPr>
          <w:rFonts w:cs="Arial" w:hint="cs"/>
          <w:rtl/>
        </w:rPr>
        <w:t>, ח"מ (סקי"ב).</w:t>
      </w:r>
    </w:p>
  </w:footnote>
  <w:footnote w:id="2285">
    <w:p w14:paraId="76BFF039" w14:textId="77777777" w:rsidR="00392DBB" w:rsidRDefault="00392DBB" w:rsidP="00392DBB">
      <w:pPr>
        <w:pStyle w:val="a5"/>
      </w:pPr>
      <w:r>
        <w:rPr>
          <w:rStyle w:val="a7"/>
        </w:rPr>
        <w:footnoteRef/>
      </w:r>
      <w:r>
        <w:rPr>
          <w:rtl/>
        </w:rPr>
        <w:t xml:space="preserve"> </w:t>
      </w:r>
      <w:r w:rsidRPr="00E1629C">
        <w:rPr>
          <w:rFonts w:cs="Arial"/>
          <w:rtl/>
        </w:rPr>
        <w:t>כלומר דע"כ לא אסיקנ</w:t>
      </w:r>
      <w:r>
        <w:rPr>
          <w:rFonts w:cs="Arial" w:hint="cs"/>
          <w:rtl/>
        </w:rPr>
        <w:t>א</w:t>
      </w:r>
      <w:r w:rsidRPr="00E1629C">
        <w:rPr>
          <w:rFonts w:cs="Arial"/>
          <w:rtl/>
        </w:rPr>
        <w:t xml:space="preserve"> בגמ' דשליח הרי הוא כאלמנה אלא בשליח ב"ד של שלשה</w:t>
      </w:r>
      <w:r>
        <w:rPr>
          <w:rFonts w:cs="Arial" w:hint="cs"/>
          <w:rtl/>
        </w:rPr>
        <w:t>,</w:t>
      </w:r>
      <w:r w:rsidRPr="00E1629C">
        <w:rPr>
          <w:rFonts w:cs="Arial"/>
          <w:rtl/>
        </w:rPr>
        <w:t xml:space="preserve"> דאין לו כח יותר מן משלחיו</w:t>
      </w:r>
      <w:r>
        <w:rPr>
          <w:rFonts w:cs="Arial" w:hint="cs"/>
          <w:rtl/>
        </w:rPr>
        <w:t>.</w:t>
      </w:r>
      <w:r w:rsidRPr="00E1629C">
        <w:rPr>
          <w:rFonts w:cs="Arial"/>
          <w:rtl/>
        </w:rPr>
        <w:t xml:space="preserve"> ואלו ב"ד שאינו של ג' אין להם שום כח כך</w:t>
      </w:r>
      <w:r>
        <w:rPr>
          <w:rFonts w:cs="Arial" w:hint="cs"/>
          <w:rtl/>
        </w:rPr>
        <w:t>,</w:t>
      </w:r>
      <w:r w:rsidRPr="00E1629C">
        <w:rPr>
          <w:rFonts w:cs="Arial"/>
          <w:rtl/>
        </w:rPr>
        <w:t xml:space="preserve"> אין לשליח שלהם כח כשהוא יחידי</w:t>
      </w:r>
      <w:r>
        <w:rPr>
          <w:rFonts w:cs="Arial" w:hint="cs"/>
          <w:rtl/>
        </w:rPr>
        <w:t>,</w:t>
      </w:r>
      <w:r w:rsidRPr="00E1629C">
        <w:rPr>
          <w:rFonts w:cs="Arial"/>
          <w:rtl/>
        </w:rPr>
        <w:t xml:space="preserve"> ואינו רק כאלמנה שאם טעתה בכל שהו מכרה בטל</w:t>
      </w:r>
      <w:r>
        <w:rPr>
          <w:rFonts w:cs="Arial" w:hint="cs"/>
          <w:rtl/>
        </w:rPr>
        <w:t>,</w:t>
      </w:r>
      <w:r w:rsidRPr="00E1629C">
        <w:rPr>
          <w:rFonts w:cs="Arial"/>
          <w:rtl/>
        </w:rPr>
        <w:t xml:space="preserve"> ה"ה בשליח</w:t>
      </w:r>
      <w:r>
        <w:rPr>
          <w:rFonts w:cs="Arial" w:hint="cs"/>
          <w:rtl/>
        </w:rPr>
        <w:t>.</w:t>
      </w:r>
      <w:r w:rsidRPr="00E1629C">
        <w:rPr>
          <w:rFonts w:cs="Arial"/>
          <w:rtl/>
        </w:rPr>
        <w:t xml:space="preserve"> אבל דיין הממונה ע"פ המלך לדון ביחידי ולמכור קרקעות וכל מה שהוא עושה יהיה עשוי אפילו אם טעה</w:t>
      </w:r>
      <w:r>
        <w:rPr>
          <w:rFonts w:cs="Arial" w:hint="cs"/>
          <w:rtl/>
        </w:rPr>
        <w:t>,</w:t>
      </w:r>
      <w:r w:rsidRPr="00E1629C">
        <w:rPr>
          <w:rFonts w:cs="Arial"/>
          <w:rtl/>
        </w:rPr>
        <w:t xml:space="preserve"> אם השופט ממנה שלוחו תחתיו למכור וטעה השליח דינו כדין השופט</w:t>
      </w:r>
      <w:r>
        <w:rPr>
          <w:rFonts w:cs="Arial" w:hint="cs"/>
          <w:rtl/>
        </w:rPr>
        <w:t>,</w:t>
      </w:r>
      <w:r w:rsidRPr="00E1629C">
        <w:rPr>
          <w:rFonts w:cs="Arial"/>
          <w:rtl/>
        </w:rPr>
        <w:t xml:space="preserve"> ואף אם הוא יחיד</w:t>
      </w:r>
      <w:r>
        <w:rPr>
          <w:rFonts w:cs="Arial" w:hint="cs"/>
          <w:rtl/>
        </w:rPr>
        <w:t>,</w:t>
      </w:r>
      <w:r w:rsidRPr="00E1629C">
        <w:rPr>
          <w:rFonts w:cs="Arial"/>
          <w:rtl/>
        </w:rPr>
        <w:t xml:space="preserve"> הא גם השופט משלח שלו הוא יחיד</w:t>
      </w:r>
      <w:r>
        <w:rPr>
          <w:rFonts w:cs="Arial" w:hint="cs"/>
          <w:rtl/>
        </w:rPr>
        <w:t>.</w:t>
      </w:r>
      <w:r w:rsidRPr="00E1629C">
        <w:rPr>
          <w:rFonts w:cs="Arial"/>
          <w:rtl/>
        </w:rPr>
        <w:t xml:space="preserve"> ובאמת אם השופט רצה לבטל המכירה שעשה שלוחו יכול לבטל</w:t>
      </w:r>
      <w:r>
        <w:rPr>
          <w:rFonts w:cs="Arial" w:hint="cs"/>
          <w:rtl/>
        </w:rPr>
        <w:t>,</w:t>
      </w:r>
      <w:r w:rsidRPr="00E1629C">
        <w:rPr>
          <w:rFonts w:cs="Arial"/>
          <w:rtl/>
        </w:rPr>
        <w:t xml:space="preserve"> דיאמר לו לתקוני שדרתיך</w:t>
      </w:r>
      <w:r>
        <w:rPr>
          <w:rFonts w:cs="Arial" w:hint="cs"/>
          <w:rtl/>
        </w:rPr>
        <w:t>.</w:t>
      </w:r>
      <w:r w:rsidRPr="00E1629C">
        <w:rPr>
          <w:rFonts w:cs="Arial"/>
          <w:rtl/>
        </w:rPr>
        <w:t xml:space="preserve"> ואם מצד הורמנ</w:t>
      </w:r>
      <w:r>
        <w:rPr>
          <w:rFonts w:cs="Arial" w:hint="cs"/>
          <w:rtl/>
        </w:rPr>
        <w:t>א</w:t>
      </w:r>
      <w:r w:rsidRPr="00E1629C">
        <w:rPr>
          <w:rFonts w:cs="Arial"/>
          <w:rtl/>
        </w:rPr>
        <w:t xml:space="preserve"> דמלכא דין שליח השופט כדין השופט מעשיו קיימים</w:t>
      </w:r>
      <w:r>
        <w:rPr>
          <w:rFonts w:cs="Arial" w:hint="cs"/>
          <w:rtl/>
        </w:rPr>
        <w:t>.</w:t>
      </w:r>
      <w:r w:rsidRPr="00E1629C">
        <w:rPr>
          <w:rFonts w:cs="Arial"/>
          <w:rtl/>
        </w:rPr>
        <w:t xml:space="preserve"> וכ"ש אם מכר השופט בעצמו שלא ע"י שליח שמעשיו קיימין ע"פ הורמנ</w:t>
      </w:r>
      <w:r>
        <w:rPr>
          <w:rFonts w:cs="Arial" w:hint="cs"/>
          <w:rtl/>
        </w:rPr>
        <w:t>א</w:t>
      </w:r>
      <w:r w:rsidRPr="00E1629C">
        <w:rPr>
          <w:rFonts w:cs="Arial"/>
          <w:rtl/>
        </w:rPr>
        <w:t xml:space="preserve"> דמלכא</w:t>
      </w:r>
      <w:r>
        <w:rPr>
          <w:rFonts w:cs="Arial" w:hint="cs"/>
          <w:rtl/>
        </w:rPr>
        <w:t>.</w:t>
      </w:r>
      <w:r w:rsidRPr="00E1629C">
        <w:rPr>
          <w:rFonts w:cs="Arial"/>
          <w:rtl/>
        </w:rPr>
        <w:t xml:space="preserve"> זה הוא כוונת הרב בדין זה</w:t>
      </w:r>
      <w:r>
        <w:rPr>
          <w:rFonts w:cs="Arial" w:hint="cs"/>
          <w:rtl/>
        </w:rPr>
        <w:t xml:space="preserve">, </w:t>
      </w:r>
      <w:r w:rsidRPr="00E1629C">
        <w:rPr>
          <w:rFonts w:cs="Arial"/>
          <w:rtl/>
        </w:rPr>
        <w:t>והוא מועתק מתשובת הריב"ש סי' קע"ט</w:t>
      </w:r>
      <w:r>
        <w:rPr>
          <w:rFonts w:cs="Arial" w:hint="cs"/>
          <w:rtl/>
        </w:rPr>
        <w:t>.</w:t>
      </w:r>
      <w:r w:rsidRPr="00E1629C">
        <w:rPr>
          <w:rFonts w:cs="Arial"/>
          <w:rtl/>
        </w:rPr>
        <w:t xml:space="preserve"> ולא ידעתי למה העתיק דין זה</w:t>
      </w:r>
      <w:r>
        <w:rPr>
          <w:rFonts w:cs="Arial" w:hint="cs"/>
          <w:rtl/>
        </w:rPr>
        <w:t>,</w:t>
      </w:r>
      <w:r w:rsidRPr="00E1629C">
        <w:rPr>
          <w:rFonts w:cs="Arial"/>
          <w:rtl/>
        </w:rPr>
        <w:t xml:space="preserve"> ומי לא ידע דדינא דמלכות</w:t>
      </w:r>
      <w:r>
        <w:rPr>
          <w:rFonts w:cs="Arial" w:hint="cs"/>
          <w:rtl/>
        </w:rPr>
        <w:t>א</w:t>
      </w:r>
      <w:r w:rsidRPr="00E1629C">
        <w:rPr>
          <w:rFonts w:cs="Arial"/>
          <w:rtl/>
        </w:rPr>
        <w:t xml:space="preserve"> דינא מה שהוא חוק ומשפט המלוכה</w:t>
      </w:r>
      <w:r>
        <w:rPr>
          <w:rFonts w:cs="Arial" w:hint="cs"/>
          <w:rtl/>
        </w:rPr>
        <w:t>,</w:t>
      </w:r>
      <w:r w:rsidRPr="00E1629C">
        <w:rPr>
          <w:rFonts w:cs="Arial"/>
          <w:rtl/>
        </w:rPr>
        <w:t xml:space="preserve"> וכמ"ש בח"מ סי' ס"ח וסי' שס"ט</w:t>
      </w:r>
      <w:r>
        <w:rPr>
          <w:rFonts w:cs="Arial" w:hint="cs"/>
          <w:rtl/>
        </w:rPr>
        <w:t>.</w:t>
      </w:r>
      <w:r w:rsidRPr="00E1629C">
        <w:rPr>
          <w:rFonts w:cs="Arial"/>
          <w:rtl/>
        </w:rPr>
        <w:t xml:space="preserve"> ואם נאמר שאף שהורמנא דמלכ</w:t>
      </w:r>
      <w:r>
        <w:rPr>
          <w:rFonts w:cs="Arial" w:hint="cs"/>
          <w:rtl/>
        </w:rPr>
        <w:t>א</w:t>
      </w:r>
      <w:r w:rsidRPr="00E1629C">
        <w:rPr>
          <w:rFonts w:cs="Arial"/>
          <w:rtl/>
        </w:rPr>
        <w:t xml:space="preserve"> הוא רק על השופט לבדו</w:t>
      </w:r>
      <w:r>
        <w:rPr>
          <w:rFonts w:cs="Arial" w:hint="cs"/>
          <w:rtl/>
        </w:rPr>
        <w:t>,</w:t>
      </w:r>
      <w:r w:rsidRPr="00E1629C">
        <w:rPr>
          <w:rFonts w:cs="Arial"/>
          <w:rtl/>
        </w:rPr>
        <w:t xml:space="preserve"> מ"מ מסבר</w:t>
      </w:r>
      <w:r>
        <w:rPr>
          <w:rFonts w:cs="Arial" w:hint="cs"/>
          <w:rtl/>
        </w:rPr>
        <w:t>א</w:t>
      </w:r>
      <w:r w:rsidRPr="00E1629C">
        <w:rPr>
          <w:rFonts w:cs="Arial"/>
          <w:rtl/>
        </w:rPr>
        <w:t xml:space="preserve"> אמרי</w:t>
      </w:r>
      <w:r>
        <w:rPr>
          <w:rFonts w:cs="Arial" w:hint="cs"/>
          <w:rtl/>
        </w:rPr>
        <w:t>נן</w:t>
      </w:r>
      <w:r w:rsidRPr="00E1629C">
        <w:rPr>
          <w:rFonts w:cs="Arial"/>
          <w:rtl/>
        </w:rPr>
        <w:t xml:space="preserve"> ששלוחו כמותו</w:t>
      </w:r>
      <w:r>
        <w:rPr>
          <w:rFonts w:cs="Arial" w:hint="cs"/>
          <w:rtl/>
        </w:rPr>
        <w:t xml:space="preserve"> -</w:t>
      </w:r>
      <w:r w:rsidRPr="00E1629C">
        <w:rPr>
          <w:rFonts w:cs="Arial"/>
          <w:rtl/>
        </w:rPr>
        <w:t xml:space="preserve"> זה תימה</w:t>
      </w:r>
      <w:r>
        <w:rPr>
          <w:rFonts w:cs="Arial" w:hint="cs"/>
          <w:rtl/>
        </w:rPr>
        <w:t>,</w:t>
      </w:r>
      <w:r w:rsidRPr="00E1629C">
        <w:rPr>
          <w:rFonts w:cs="Arial"/>
          <w:rtl/>
        </w:rPr>
        <w:t xml:space="preserve"> דא"כ נאמר יחיד מומחה שדן ביחידי שלוחו שלו כמותו</w:t>
      </w:r>
      <w:r>
        <w:rPr>
          <w:rFonts w:cs="Arial" w:hint="cs"/>
          <w:rtl/>
        </w:rPr>
        <w:t>,</w:t>
      </w:r>
      <w:r w:rsidRPr="00E1629C">
        <w:rPr>
          <w:rFonts w:cs="Arial"/>
          <w:rtl/>
        </w:rPr>
        <w:t xml:space="preserve"> ודוקא שליח ב"ד של ג' הוא כאלמנה</w:t>
      </w:r>
      <w:r>
        <w:rPr>
          <w:rFonts w:cs="Arial" w:hint="cs"/>
          <w:rtl/>
        </w:rPr>
        <w:t xml:space="preserve"> -</w:t>
      </w:r>
      <w:r w:rsidRPr="00E1629C">
        <w:rPr>
          <w:rFonts w:cs="Arial"/>
          <w:rtl/>
        </w:rPr>
        <w:t xml:space="preserve"> וזה רחוק</w:t>
      </w:r>
      <w:r>
        <w:rPr>
          <w:rFonts w:cs="Arial" w:hint="cs"/>
          <w:rtl/>
        </w:rPr>
        <w:t>,</w:t>
      </w:r>
      <w:r w:rsidRPr="00E1629C">
        <w:rPr>
          <w:rFonts w:cs="Arial"/>
          <w:rtl/>
        </w:rPr>
        <w:t xml:space="preserve"> דאף אנו נאמר מה אלמנה אינה מומחה אף שליח אינה מומחה משא"כ הדיין דמומחה הוא</w:t>
      </w:r>
      <w:r>
        <w:rPr>
          <w:rFonts w:cs="Arial" w:hint="cs"/>
          <w:rtl/>
        </w:rPr>
        <w:t>.</w:t>
      </w:r>
      <w:r w:rsidRPr="00E1629C">
        <w:rPr>
          <w:rFonts w:cs="Arial"/>
          <w:rtl/>
        </w:rPr>
        <w:t xml:space="preserve"> ועוד לדבריו נאמר אם שלחו הב"ד ג' שלוחים דיהא דינם כדין הב"ד</w:t>
      </w:r>
      <w:r>
        <w:rPr>
          <w:rFonts w:cs="Arial" w:hint="cs"/>
          <w:rtl/>
        </w:rPr>
        <w:t xml:space="preserve"> -</w:t>
      </w:r>
      <w:r w:rsidRPr="00E1629C">
        <w:rPr>
          <w:rFonts w:cs="Arial"/>
          <w:rtl/>
        </w:rPr>
        <w:t xml:space="preserve"> וזה ודאי אינו</w:t>
      </w:r>
      <w:r>
        <w:rPr>
          <w:rFonts w:cs="Arial" w:hint="cs"/>
          <w:rtl/>
        </w:rPr>
        <w:t>,</w:t>
      </w:r>
      <w:r w:rsidRPr="00E1629C">
        <w:rPr>
          <w:rFonts w:cs="Arial"/>
          <w:rtl/>
        </w:rPr>
        <w:t xml:space="preserve"> דהא גם אלמנה יש לה בית דין הדיוטות ומכל מקום כחד חשיב להו וכמ"ש התוספות בכתובות </w:t>
      </w:r>
      <w:r>
        <w:rPr>
          <w:rFonts w:cs="Arial" w:hint="cs"/>
          <w:rtl/>
        </w:rPr>
        <w:t xml:space="preserve">בדף </w:t>
      </w:r>
      <w:r w:rsidRPr="00E1629C">
        <w:rPr>
          <w:rFonts w:cs="Arial"/>
          <w:rtl/>
        </w:rPr>
        <w:t>ק בד"ה מה אלמנה יחידאה וכו'</w:t>
      </w:r>
      <w:r>
        <w:rPr>
          <w:rFonts w:cs="Arial" w:hint="cs"/>
          <w:rtl/>
        </w:rPr>
        <w:t>, ח"מ (סקי"ג).</w:t>
      </w:r>
    </w:p>
  </w:footnote>
  <w:footnote w:id="2286">
    <w:p w14:paraId="056C48E2" w14:textId="4631B8DB" w:rsidR="00B47529" w:rsidRDefault="00B47529">
      <w:pPr>
        <w:pStyle w:val="a5"/>
      </w:pPr>
      <w:r>
        <w:rPr>
          <w:rStyle w:val="a7"/>
        </w:rPr>
        <w:footnoteRef/>
      </w:r>
      <w:r>
        <w:rPr>
          <w:rtl/>
        </w:rPr>
        <w:t xml:space="preserve"> </w:t>
      </w:r>
      <w:r>
        <w:rPr>
          <w:rFonts w:hint="cs"/>
          <w:rtl/>
        </w:rPr>
        <w:t>סימן - פוגעת טובה. וכן - טובת פירותיה.</w:t>
      </w:r>
    </w:p>
  </w:footnote>
  <w:footnote w:id="2287">
    <w:p w14:paraId="655EDF66" w14:textId="77777777" w:rsidR="007D4A23" w:rsidRDefault="007D4A23" w:rsidP="007D4A23">
      <w:pPr>
        <w:pStyle w:val="a5"/>
        <w:rPr>
          <w:rtl/>
        </w:rPr>
      </w:pPr>
      <w:r>
        <w:rPr>
          <w:rStyle w:val="a7"/>
        </w:rPr>
        <w:footnoteRef/>
      </w:r>
      <w:r>
        <w:rPr>
          <w:rtl/>
        </w:rPr>
        <w:t xml:space="preserve"> </w:t>
      </w:r>
      <w:r w:rsidRPr="00C567DC">
        <w:rPr>
          <w:rFonts w:cs="Arial"/>
          <w:rtl/>
        </w:rPr>
        <w:t>אשה המוכרת כתובתה לאחרים בטובת הנאה והדמים שלה הן ואין לבעל בהן כלום</w:t>
      </w:r>
      <w:r>
        <w:rPr>
          <w:rFonts w:cs="Arial" w:hint="cs"/>
          <w:rtl/>
        </w:rPr>
        <w:t>, רש"י.</w:t>
      </w:r>
    </w:p>
  </w:footnote>
  <w:footnote w:id="2288">
    <w:p w14:paraId="7B27D791" w14:textId="7DB94DB2" w:rsidR="0025007A" w:rsidRDefault="0025007A" w:rsidP="0025007A">
      <w:pPr>
        <w:pStyle w:val="a5"/>
      </w:pPr>
      <w:r>
        <w:rPr>
          <w:rStyle w:val="a7"/>
        </w:rPr>
        <w:footnoteRef/>
      </w:r>
      <w:r>
        <w:rPr>
          <w:rtl/>
        </w:rPr>
        <w:t xml:space="preserve"> </w:t>
      </w:r>
      <w:r>
        <w:rPr>
          <w:rFonts w:cs="Arial"/>
          <w:rtl/>
        </w:rPr>
        <w:t>דברים אלו נלמדים ממה שנתבאר בסימן צ</w:t>
      </w:r>
      <w:r>
        <w:rPr>
          <w:rFonts w:cs="Arial" w:hint="cs"/>
          <w:rtl/>
        </w:rPr>
        <w:t>"</w:t>
      </w:r>
      <w:r>
        <w:rPr>
          <w:rFonts w:cs="Arial"/>
          <w:rtl/>
        </w:rPr>
        <w:t>ו</w:t>
      </w:r>
      <w:r>
        <w:rPr>
          <w:rFonts w:cs="Arial" w:hint="cs"/>
          <w:rtl/>
        </w:rPr>
        <w:t xml:space="preserve"> (סע' א וסע' ז), ב"י.</w:t>
      </w:r>
    </w:p>
  </w:footnote>
  <w:footnote w:id="2289">
    <w:p w14:paraId="510C0320" w14:textId="0363F098" w:rsidR="0025007A" w:rsidRDefault="0025007A">
      <w:pPr>
        <w:pStyle w:val="a5"/>
      </w:pPr>
      <w:r>
        <w:rPr>
          <w:rStyle w:val="a7"/>
        </w:rPr>
        <w:footnoteRef/>
      </w:r>
      <w:r>
        <w:rPr>
          <w:rtl/>
        </w:rPr>
        <w:t xml:space="preserve"> </w:t>
      </w:r>
      <w:r>
        <w:rPr>
          <w:rFonts w:hint="cs"/>
          <w:rtl/>
        </w:rPr>
        <w:t>נתבאר בסימן צח סע' ב.</w:t>
      </w:r>
    </w:p>
  </w:footnote>
  <w:footnote w:id="2290">
    <w:p w14:paraId="25838BB8" w14:textId="6910442D" w:rsidR="0025007A" w:rsidRDefault="0025007A">
      <w:pPr>
        <w:pStyle w:val="a5"/>
      </w:pPr>
      <w:r>
        <w:rPr>
          <w:rStyle w:val="a7"/>
        </w:rPr>
        <w:footnoteRef/>
      </w:r>
      <w:r>
        <w:rPr>
          <w:rtl/>
        </w:rPr>
        <w:t xml:space="preserve"> </w:t>
      </w:r>
      <w:r w:rsidRPr="00FF3B55">
        <w:rPr>
          <w:rFonts w:cs="Arial"/>
          <w:rtl/>
        </w:rPr>
        <w:t>עי' בדגמ"ר שכ' ונ"מ היכא שכ' לה נדר ושבוע' אין לי עליך</w:t>
      </w:r>
      <w:r>
        <w:rPr>
          <w:rFonts w:cs="Arial" w:hint="cs"/>
          <w:rtl/>
        </w:rPr>
        <w:t>,</w:t>
      </w:r>
      <w:r w:rsidRPr="00FF3B55">
        <w:rPr>
          <w:rFonts w:cs="Arial"/>
          <w:rtl/>
        </w:rPr>
        <w:t xml:space="preserve"> אבל אם לא כ</w:t>
      </w:r>
      <w:r>
        <w:rPr>
          <w:rFonts w:cs="Arial" w:hint="cs"/>
          <w:rtl/>
        </w:rPr>
        <w:t>תב</w:t>
      </w:r>
      <w:r w:rsidRPr="00FF3B55">
        <w:rPr>
          <w:rFonts w:cs="Arial"/>
          <w:rtl/>
        </w:rPr>
        <w:t xml:space="preserve"> לה כך מה נ"מ אם אינה נאמנת הלא אין הלוקח יוכל להפרע מן הבעל עד שתשבע וכיון שהיא אומרת שנפרעת איך יגבה. כנה"ג בשם מהר"א ששון</w:t>
      </w:r>
      <w:r>
        <w:rPr>
          <w:rFonts w:cs="Arial" w:hint="cs"/>
          <w:rtl/>
        </w:rPr>
        <w:t xml:space="preserve">, </w:t>
      </w:r>
      <w:r w:rsidR="001E64C4">
        <w:rPr>
          <w:rFonts w:cs="Arial" w:hint="cs"/>
          <w:rtl/>
        </w:rPr>
        <w:t>פת"ש (סק"א).</w:t>
      </w:r>
    </w:p>
  </w:footnote>
  <w:footnote w:id="2291">
    <w:p w14:paraId="6C0DB213" w14:textId="77777777" w:rsidR="00DF7694" w:rsidRDefault="00DF7694" w:rsidP="00DF7694">
      <w:pPr>
        <w:pStyle w:val="a5"/>
      </w:pPr>
      <w:r>
        <w:rPr>
          <w:rStyle w:val="a7"/>
        </w:rPr>
        <w:footnoteRef/>
      </w:r>
      <w:r>
        <w:rPr>
          <w:rtl/>
        </w:rPr>
        <w:t xml:space="preserve"> </w:t>
      </w:r>
      <w:r w:rsidRPr="00CB1EB0">
        <w:rPr>
          <w:rFonts w:cs="Arial"/>
          <w:rtl/>
        </w:rPr>
        <w:t>בטובת הנאה שאם נתארמלה או נתגרשה יטלוה לקוחות ואם מתה ירשנה בעלה ומתה וירשה בעלה</w:t>
      </w:r>
      <w:r>
        <w:rPr>
          <w:rFonts w:cs="Arial" w:hint="cs"/>
          <w:rtl/>
        </w:rPr>
        <w:t>, רש"י.</w:t>
      </w:r>
    </w:p>
  </w:footnote>
  <w:footnote w:id="2292">
    <w:p w14:paraId="64756ECC" w14:textId="55476723" w:rsidR="00DF7694" w:rsidRDefault="00DF7694" w:rsidP="00DF7694">
      <w:pPr>
        <w:pStyle w:val="a5"/>
      </w:pPr>
      <w:r>
        <w:rPr>
          <w:rStyle w:val="a7"/>
        </w:rPr>
        <w:footnoteRef/>
      </w:r>
      <w:r>
        <w:rPr>
          <w:rtl/>
        </w:rPr>
        <w:t xml:space="preserve"> </w:t>
      </w:r>
      <w:r w:rsidRPr="004A0B46">
        <w:rPr>
          <w:rFonts w:cs="Arial"/>
          <w:rtl/>
        </w:rPr>
        <w:t>דהא כי לא זבינתה נמי ירית לה בעל</w:t>
      </w:r>
      <w:r w:rsidR="00F16F24">
        <w:rPr>
          <w:rFonts w:cs="Arial" w:hint="cs"/>
          <w:rtl/>
        </w:rPr>
        <w:t>,</w:t>
      </w:r>
      <w:r w:rsidRPr="004A0B46">
        <w:rPr>
          <w:rFonts w:cs="Arial"/>
          <w:rtl/>
        </w:rPr>
        <w:t xml:space="preserve"> ותקון לה רבנן השתא נמי לגבי בעל במוכרת לא פקעה זכותה</w:t>
      </w:r>
      <w:r w:rsidR="0020358E">
        <w:rPr>
          <w:rFonts w:cs="Arial" w:hint="cs"/>
          <w:rtl/>
        </w:rPr>
        <w:t>,</w:t>
      </w:r>
      <w:r w:rsidRPr="004A0B46">
        <w:rPr>
          <w:rFonts w:cs="Arial"/>
          <w:rtl/>
        </w:rPr>
        <w:t xml:space="preserve"> ואי משום דהוקל בעיניה למוכרה ולהפסיד את בניה אם נתארמלה או נתגרשה זוזי אנסוה שהוצרכה להם</w:t>
      </w:r>
      <w:r>
        <w:rPr>
          <w:rFonts w:cs="Arial" w:hint="cs"/>
          <w:rtl/>
        </w:rPr>
        <w:t>, רש"י.</w:t>
      </w:r>
    </w:p>
  </w:footnote>
  <w:footnote w:id="2293">
    <w:p w14:paraId="08287788" w14:textId="77777777" w:rsidR="00DF7694" w:rsidRDefault="00DF7694" w:rsidP="00DF7694">
      <w:pPr>
        <w:pStyle w:val="a5"/>
        <w:rPr>
          <w:rtl/>
        </w:rPr>
      </w:pPr>
      <w:r>
        <w:rPr>
          <w:rStyle w:val="a7"/>
        </w:rPr>
        <w:footnoteRef/>
      </w:r>
      <w:r>
        <w:rPr>
          <w:rtl/>
        </w:rPr>
        <w:t xml:space="preserve"> </w:t>
      </w:r>
      <w:r w:rsidRPr="004A0B46">
        <w:rPr>
          <w:rFonts w:cs="Arial"/>
          <w:rtl/>
        </w:rPr>
        <w:t>ונקל בעיניה להפסיד בניה מכתובתה חנם</w:t>
      </w:r>
      <w:r>
        <w:rPr>
          <w:rFonts w:hint="cs"/>
          <w:rtl/>
        </w:rPr>
        <w:t>, רש"י.</w:t>
      </w:r>
    </w:p>
  </w:footnote>
  <w:footnote w:id="2294">
    <w:p w14:paraId="137E53B5" w14:textId="77777777" w:rsidR="00DF7694" w:rsidRDefault="00DF7694" w:rsidP="00DF7694">
      <w:pPr>
        <w:pStyle w:val="a5"/>
        <w:rPr>
          <w:rtl/>
        </w:rPr>
      </w:pPr>
      <w:r>
        <w:rPr>
          <w:rStyle w:val="a7"/>
        </w:rPr>
        <w:footnoteRef/>
      </w:r>
      <w:r>
        <w:rPr>
          <w:rtl/>
        </w:rPr>
        <w:t xml:space="preserve"> </w:t>
      </w:r>
      <w:r w:rsidRPr="00CB1EB0">
        <w:rPr>
          <w:rFonts w:cs="Arial"/>
          <w:rtl/>
        </w:rPr>
        <w:t>נמי טובת הנאה בעלמא דבר מועט שהרי אם מתה יורשה ואינו לוקח ממנה אלא שאם מת הוא לא תגבה והרי לא מת ובא לידי ירושה הלכך כמוכרת לאחרים דמי</w:t>
      </w:r>
      <w:r>
        <w:rPr>
          <w:rFonts w:hint="cs"/>
          <w:rtl/>
        </w:rPr>
        <w:t>, רש"י.</w:t>
      </w:r>
    </w:p>
  </w:footnote>
  <w:footnote w:id="2295">
    <w:p w14:paraId="705DFC2D" w14:textId="77777777" w:rsidR="00DF7694" w:rsidRDefault="00DF7694" w:rsidP="00DF7694">
      <w:pPr>
        <w:pStyle w:val="a5"/>
        <w:rPr>
          <w:rtl/>
        </w:rPr>
      </w:pPr>
      <w:r>
        <w:rPr>
          <w:rStyle w:val="a7"/>
        </w:rPr>
        <w:footnoteRef/>
      </w:r>
      <w:r>
        <w:rPr>
          <w:rtl/>
        </w:rPr>
        <w:t xml:space="preserve"> </w:t>
      </w:r>
      <w:r w:rsidRPr="00CB1EB0">
        <w:rPr>
          <w:rFonts w:cs="Arial"/>
          <w:rtl/>
        </w:rPr>
        <w:t>הואיל ובידו הכתובה והוקל בעיניה להחליטה</w:t>
      </w:r>
      <w:r>
        <w:rPr>
          <w:rFonts w:cs="Arial" w:hint="cs"/>
          <w:rtl/>
        </w:rPr>
        <w:t>, רש"י</w:t>
      </w:r>
      <w:r w:rsidRPr="00CB1EB0">
        <w:rPr>
          <w:rFonts w:cs="Arial"/>
          <w:rtl/>
        </w:rPr>
        <w:t>.</w:t>
      </w:r>
    </w:p>
  </w:footnote>
  <w:footnote w:id="2296">
    <w:p w14:paraId="5684F75B" w14:textId="79929DD6" w:rsidR="00BB6C50" w:rsidRDefault="00BB6C50">
      <w:pPr>
        <w:pStyle w:val="a5"/>
        <w:rPr>
          <w:rtl/>
        </w:rPr>
      </w:pPr>
      <w:r>
        <w:rPr>
          <w:rStyle w:val="a7"/>
        </w:rPr>
        <w:footnoteRef/>
      </w:r>
      <w:r>
        <w:rPr>
          <w:rtl/>
        </w:rPr>
        <w:t xml:space="preserve"> </w:t>
      </w:r>
      <w:r>
        <w:rPr>
          <w:rFonts w:cs="Arial" w:hint="cs"/>
          <w:rtl/>
        </w:rPr>
        <w:t xml:space="preserve">וכתב הה"מ (שם) שכן דעת </w:t>
      </w:r>
      <w:r>
        <w:rPr>
          <w:rFonts w:cs="Arial"/>
          <w:rtl/>
        </w:rPr>
        <w:t xml:space="preserve">רש"י (נג. ד"ה אין לה) רמב"ן (נג. ד"ה מוכרת) </w:t>
      </w:r>
      <w:r>
        <w:rPr>
          <w:rFonts w:cs="Arial" w:hint="cs"/>
          <w:rtl/>
        </w:rPr>
        <w:t>ו</w:t>
      </w:r>
      <w:r>
        <w:rPr>
          <w:rFonts w:cs="Arial"/>
          <w:rtl/>
        </w:rPr>
        <w:t>רשב"א (נג. ד"ה הא)</w:t>
      </w:r>
      <w:r>
        <w:rPr>
          <w:rFonts w:hint="cs"/>
          <w:rtl/>
        </w:rPr>
        <w:t>.</w:t>
      </w:r>
    </w:p>
  </w:footnote>
  <w:footnote w:id="2297">
    <w:p w14:paraId="05CA0808" w14:textId="77777777" w:rsidR="00DC7AB1" w:rsidRDefault="00DC7AB1" w:rsidP="00DC7AB1">
      <w:pPr>
        <w:pStyle w:val="a5"/>
        <w:rPr>
          <w:rtl/>
        </w:rPr>
      </w:pPr>
      <w:r>
        <w:rPr>
          <w:rStyle w:val="a7"/>
        </w:rPr>
        <w:footnoteRef/>
      </w:r>
      <w:r w:rsidRPr="00AB6908">
        <w:rPr>
          <w:rFonts w:cs="Arial"/>
          <w:rtl/>
        </w:rPr>
        <w:t xml:space="preserve"> </w:t>
      </w:r>
      <w:r>
        <w:rPr>
          <w:rFonts w:cs="Arial" w:hint="cs"/>
          <w:rtl/>
        </w:rPr>
        <w:t xml:space="preserve">הביאם הריב"ש (סי' קמט) </w:t>
      </w:r>
      <w:r w:rsidRPr="00AB6908">
        <w:rPr>
          <w:rFonts w:cs="Arial"/>
          <w:rtl/>
        </w:rPr>
        <w:t>וכתב</w:t>
      </w:r>
      <w:r>
        <w:rPr>
          <w:rFonts w:cs="Arial" w:hint="cs"/>
          <w:rtl/>
        </w:rPr>
        <w:t xml:space="preserve"> </w:t>
      </w:r>
      <w:r w:rsidRPr="00AB6908">
        <w:rPr>
          <w:rFonts w:cs="Arial"/>
          <w:rtl/>
        </w:rPr>
        <w:t>דאף דעת הרמב"ם (פכ"ב מהל</w:t>
      </w:r>
      <w:r>
        <w:rPr>
          <w:rFonts w:cs="Arial" w:hint="cs"/>
          <w:rtl/>
        </w:rPr>
        <w:t>'</w:t>
      </w:r>
      <w:r w:rsidRPr="00AB6908">
        <w:rPr>
          <w:rFonts w:cs="Arial"/>
          <w:rtl/>
        </w:rPr>
        <w:t xml:space="preserve"> אישות הט"ו) כן</w:t>
      </w:r>
      <w:r>
        <w:rPr>
          <w:rFonts w:hint="cs"/>
          <w:rtl/>
        </w:rPr>
        <w:t>.</w:t>
      </w:r>
    </w:p>
  </w:footnote>
  <w:footnote w:id="2298">
    <w:p w14:paraId="18F50071" w14:textId="76FA3813" w:rsidR="0009636D" w:rsidRDefault="0009636D">
      <w:pPr>
        <w:pStyle w:val="a5"/>
        <w:rPr>
          <w:rtl/>
        </w:rPr>
      </w:pPr>
      <w:r>
        <w:rPr>
          <w:rStyle w:val="a7"/>
        </w:rPr>
        <w:footnoteRef/>
      </w:r>
      <w:r>
        <w:rPr>
          <w:rtl/>
        </w:rPr>
        <w:t xml:space="preserve"> </w:t>
      </w:r>
      <w:r w:rsidRPr="00AB6908">
        <w:rPr>
          <w:rFonts w:cs="Arial"/>
          <w:rtl/>
        </w:rPr>
        <w:t>וכתב הה</w:t>
      </w:r>
      <w:r>
        <w:rPr>
          <w:rFonts w:cs="Arial" w:hint="cs"/>
          <w:rtl/>
        </w:rPr>
        <w:t>"</w:t>
      </w:r>
      <w:r w:rsidRPr="00AB6908">
        <w:rPr>
          <w:rFonts w:cs="Arial"/>
          <w:rtl/>
        </w:rPr>
        <w:t>מ</w:t>
      </w:r>
      <w:r>
        <w:rPr>
          <w:rFonts w:cs="Arial" w:hint="cs"/>
          <w:rtl/>
        </w:rPr>
        <w:t>:</w:t>
      </w:r>
      <w:r w:rsidRPr="00AB6908">
        <w:rPr>
          <w:rFonts w:cs="Arial"/>
          <w:rtl/>
        </w:rPr>
        <w:t xml:space="preserve"> כבר נתבאר פ"ה מהלכות מכירה (הי"א) שאין המחילה צריכה קנין ושם הבאתי ראיה לזה</w:t>
      </w:r>
      <w:r>
        <w:rPr>
          <w:rFonts w:cs="Arial" w:hint="cs"/>
          <w:rtl/>
        </w:rPr>
        <w:t>,</w:t>
      </w:r>
      <w:r w:rsidRPr="00AB6908">
        <w:rPr>
          <w:rFonts w:cs="Arial"/>
          <w:rtl/>
        </w:rPr>
        <w:t xml:space="preserve"> וכן אין צרי</w:t>
      </w:r>
      <w:r>
        <w:rPr>
          <w:rFonts w:cs="Arial" w:hint="cs"/>
          <w:rtl/>
        </w:rPr>
        <w:t>ך</w:t>
      </w:r>
      <w:r w:rsidRPr="00AB6908">
        <w:rPr>
          <w:rFonts w:cs="Arial"/>
          <w:rtl/>
        </w:rPr>
        <w:t xml:space="preserve"> לעדים כל שהוא מודה</w:t>
      </w:r>
      <w:r>
        <w:rPr>
          <w:rFonts w:cs="Arial" w:hint="cs"/>
          <w:rtl/>
        </w:rPr>
        <w:t>,</w:t>
      </w:r>
      <w:r w:rsidRPr="00AB6908">
        <w:rPr>
          <w:rFonts w:cs="Arial"/>
          <w:rtl/>
        </w:rPr>
        <w:t xml:space="preserve"> דלא איברו סהדי אלא לשקרי כדאיתא בקידושין פרק האומר (סה:)</w:t>
      </w:r>
      <w:r w:rsidR="00CF79A0">
        <w:rPr>
          <w:rFonts w:cs="Arial" w:hint="cs"/>
          <w:rtl/>
        </w:rPr>
        <w:t xml:space="preserve"> </w:t>
      </w:r>
      <w:r w:rsidRPr="00AB6908">
        <w:rPr>
          <w:rFonts w:cs="Arial"/>
          <w:rtl/>
        </w:rPr>
        <w:t>עכ"ל</w:t>
      </w:r>
      <w:r w:rsidR="009657C9">
        <w:rPr>
          <w:rFonts w:cs="Arial" w:hint="cs"/>
          <w:rtl/>
        </w:rPr>
        <w:t>, ב"י.</w:t>
      </w:r>
    </w:p>
  </w:footnote>
  <w:footnote w:id="2299">
    <w:p w14:paraId="7B4135BA" w14:textId="77777777" w:rsidR="0009636D" w:rsidRPr="00351B7D" w:rsidRDefault="0009636D" w:rsidP="0009636D">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וז"ל</w:t>
      </w:r>
      <w:r>
        <w:rPr>
          <w:rFonts w:asciiTheme="minorBidi" w:hAnsiTheme="minorBidi" w:hint="cs"/>
          <w:rtl/>
        </w:rPr>
        <w:t xml:space="preserve">: </w:t>
      </w:r>
      <w:r w:rsidRPr="00351B7D">
        <w:rPr>
          <w:rFonts w:asciiTheme="minorBidi" w:hAnsiTheme="minorBidi"/>
          <w:rtl/>
        </w:rPr>
        <w:t xml:space="preserve">כל לגבי בעלה ודאי מחלה </w:t>
      </w:r>
      <w:r w:rsidRPr="0010757A">
        <w:rPr>
          <w:rFonts w:asciiTheme="minorBidi" w:hAnsiTheme="minorBidi"/>
          <w:rtl/>
        </w:rPr>
        <w:t>ודוקא ע"י שכותבת</w:t>
      </w:r>
      <w:r w:rsidRPr="00351B7D">
        <w:rPr>
          <w:rFonts w:asciiTheme="minorBidi" w:hAnsiTheme="minorBidi"/>
          <w:rtl/>
        </w:rPr>
        <w:t xml:space="preserve"> התקבלתי, אבל במחילה בעלמא לא הויא מחילה כשכבר נשואה. </w:t>
      </w:r>
      <w:r>
        <w:rPr>
          <w:rFonts w:asciiTheme="minorBidi" w:hAnsiTheme="minorBidi" w:hint="cs"/>
          <w:rtl/>
        </w:rPr>
        <w:t xml:space="preserve">עכ"ל. </w:t>
      </w:r>
      <w:r w:rsidRPr="00351B7D">
        <w:rPr>
          <w:rFonts w:asciiTheme="minorBidi" w:hAnsiTheme="minorBidi"/>
          <w:rtl/>
        </w:rPr>
        <w:t>ו</w:t>
      </w:r>
      <w:r>
        <w:rPr>
          <w:rFonts w:asciiTheme="minorBidi" w:hAnsiTheme="minorBidi" w:hint="cs"/>
          <w:rtl/>
        </w:rPr>
        <w:t xml:space="preserve">כתב </w:t>
      </w:r>
      <w:r w:rsidRPr="00351B7D">
        <w:rPr>
          <w:rFonts w:asciiTheme="minorBidi" w:hAnsiTheme="minorBidi"/>
          <w:rtl/>
        </w:rPr>
        <w:t xml:space="preserve">הגר"א </w:t>
      </w:r>
      <w:r w:rsidRPr="00351B7D">
        <w:rPr>
          <w:rFonts w:asciiTheme="minorBidi" w:hAnsiTheme="minorBidi"/>
          <w:sz w:val="16"/>
          <w:szCs w:val="16"/>
          <w:rtl/>
        </w:rPr>
        <w:t>(סקי"ד)</w:t>
      </w:r>
      <w:r w:rsidRPr="00351B7D">
        <w:rPr>
          <w:rFonts w:asciiTheme="minorBidi" w:hAnsiTheme="minorBidi"/>
          <w:rtl/>
        </w:rPr>
        <w:t xml:space="preserve"> דהמרדכי ס"ל כרבין </w:t>
      </w:r>
      <w:r w:rsidRPr="00351B7D">
        <w:rPr>
          <w:rFonts w:asciiTheme="minorBidi" w:hAnsiTheme="minorBidi"/>
          <w:sz w:val="16"/>
          <w:szCs w:val="16"/>
          <w:rtl/>
        </w:rPr>
        <w:t xml:space="preserve">(נז.) </w:t>
      </w:r>
      <w:r w:rsidRPr="00351B7D">
        <w:rPr>
          <w:rFonts w:asciiTheme="minorBidi" w:hAnsiTheme="minorBidi"/>
          <w:rtl/>
        </w:rPr>
        <w:t>דבתחילת חופה לכו"ע מוחלת, וזהו שכתב המרדכי "בשכבר נשואה".</w:t>
      </w:r>
    </w:p>
  </w:footnote>
  <w:footnote w:id="2300">
    <w:p w14:paraId="0FB71E14" w14:textId="29F957D9" w:rsidR="0009636D" w:rsidRPr="00351B7D" w:rsidRDefault="0009636D" w:rsidP="0009636D">
      <w:pPr>
        <w:pStyle w:val="a5"/>
        <w:rPr>
          <w:rFonts w:asciiTheme="minorBidi" w:hAnsiTheme="minorBidi"/>
          <w:rtl/>
        </w:rPr>
      </w:pPr>
      <w:r w:rsidRPr="00351B7D">
        <w:rPr>
          <w:rStyle w:val="a7"/>
          <w:rFonts w:asciiTheme="minorBidi" w:hAnsiTheme="minorBidi"/>
        </w:rPr>
        <w:footnoteRef/>
      </w:r>
      <w:r w:rsidRPr="00351B7D">
        <w:rPr>
          <w:rFonts w:asciiTheme="minorBidi" w:hAnsiTheme="minorBidi"/>
          <w:rtl/>
        </w:rPr>
        <w:t xml:space="preserve"> וכ' הב"ש </w:t>
      </w:r>
      <w:r w:rsidRPr="00351B7D">
        <w:rPr>
          <w:rFonts w:asciiTheme="minorBidi" w:hAnsiTheme="minorBidi"/>
          <w:sz w:val="16"/>
          <w:szCs w:val="16"/>
          <w:rtl/>
        </w:rPr>
        <w:t>(</w:t>
      </w:r>
      <w:r w:rsidR="000B4809">
        <w:rPr>
          <w:rFonts w:asciiTheme="minorBidi" w:hAnsiTheme="minorBidi" w:hint="cs"/>
          <w:sz w:val="16"/>
          <w:szCs w:val="16"/>
          <w:rtl/>
        </w:rPr>
        <w:t xml:space="preserve">סי' סו </w:t>
      </w:r>
      <w:r w:rsidRPr="00351B7D">
        <w:rPr>
          <w:rFonts w:asciiTheme="minorBidi" w:hAnsiTheme="minorBidi"/>
          <w:sz w:val="16"/>
          <w:szCs w:val="16"/>
          <w:rtl/>
        </w:rPr>
        <w:t xml:space="preserve">סק"ט) </w:t>
      </w:r>
      <w:r w:rsidRPr="00351B7D">
        <w:rPr>
          <w:rFonts w:asciiTheme="minorBidi" w:hAnsiTheme="minorBidi"/>
          <w:rtl/>
        </w:rPr>
        <w:t xml:space="preserve">דדוקא כשמוחלת לו ואינו מגרש אותה אז לא מהני מחילה בע"פ, משא"כ כשמגרש אותה או אלמנה שמחלה </w:t>
      </w:r>
      <w:r w:rsidRPr="00351B7D">
        <w:rPr>
          <w:rFonts w:asciiTheme="minorBidi" w:hAnsiTheme="minorBidi"/>
          <w:sz w:val="16"/>
          <w:szCs w:val="16"/>
          <w:rtl/>
        </w:rPr>
        <w:t>{בעבר לבעלה המנוח}</w:t>
      </w:r>
      <w:r w:rsidRPr="00351B7D">
        <w:rPr>
          <w:rFonts w:asciiTheme="minorBidi" w:hAnsiTheme="minorBidi"/>
          <w:rtl/>
        </w:rPr>
        <w:t xml:space="preserve"> שכן מועיל אפי' מחלה לו בע"פ </w:t>
      </w:r>
      <w:r w:rsidRPr="00351B7D">
        <w:rPr>
          <w:rFonts w:asciiTheme="minorBidi" w:hAnsiTheme="minorBidi"/>
          <w:sz w:val="16"/>
          <w:szCs w:val="16"/>
          <w:rtl/>
        </w:rPr>
        <w:t xml:space="preserve">(וכ"כ הר"ן </w:t>
      </w:r>
      <w:r w:rsidRPr="00351B7D">
        <w:rPr>
          <w:rFonts w:asciiTheme="minorBidi" w:hAnsiTheme="minorBidi"/>
          <w:sz w:val="14"/>
          <w:szCs w:val="14"/>
          <w:rtl/>
        </w:rPr>
        <w:t>[כג. דיבור ראשון]</w:t>
      </w:r>
      <w:r w:rsidRPr="00351B7D">
        <w:rPr>
          <w:rFonts w:asciiTheme="minorBidi" w:hAnsiTheme="minorBidi"/>
          <w:sz w:val="16"/>
          <w:szCs w:val="16"/>
          <w:rtl/>
        </w:rPr>
        <w:t xml:space="preserve"> והה"מ בדעת הרמב"ם)</w:t>
      </w:r>
      <w:r w:rsidRPr="00351B7D">
        <w:rPr>
          <w:rFonts w:asciiTheme="minorBidi" w:hAnsiTheme="minorBidi"/>
          <w:rtl/>
        </w:rPr>
        <w:t>.</w:t>
      </w:r>
      <w:r w:rsidR="000B4809">
        <w:rPr>
          <w:rFonts w:asciiTheme="minorBidi" w:hAnsiTheme="minorBidi" w:hint="cs"/>
          <w:rtl/>
        </w:rPr>
        <w:t xml:space="preserve"> עכ"ל. וכן נראה שצריך</w:t>
      </w:r>
      <w:r w:rsidR="00B8382C">
        <w:rPr>
          <w:rFonts w:asciiTheme="minorBidi" w:hAnsiTheme="minorBidi" w:hint="cs"/>
          <w:rtl/>
        </w:rPr>
        <w:t xml:space="preserve"> </w:t>
      </w:r>
      <w:r w:rsidR="00DC7AB1">
        <w:rPr>
          <w:rFonts w:asciiTheme="minorBidi" w:hAnsiTheme="minorBidi" w:hint="cs"/>
          <w:rtl/>
        </w:rPr>
        <w:t xml:space="preserve">לומר </w:t>
      </w:r>
      <w:r w:rsidR="00B8382C">
        <w:rPr>
          <w:rFonts w:asciiTheme="minorBidi" w:hAnsiTheme="minorBidi" w:hint="cs"/>
          <w:rtl/>
        </w:rPr>
        <w:t>מזה שדברי הטור סותרים זה את זה.</w:t>
      </w:r>
    </w:p>
  </w:footnote>
  <w:footnote w:id="2301">
    <w:p w14:paraId="1C3E7F3D" w14:textId="79242D89" w:rsidR="005D5266" w:rsidRDefault="005D5266">
      <w:pPr>
        <w:pStyle w:val="a5"/>
      </w:pPr>
      <w:r>
        <w:rPr>
          <w:rStyle w:val="a7"/>
        </w:rPr>
        <w:footnoteRef/>
      </w:r>
      <w:r>
        <w:rPr>
          <w:rtl/>
        </w:rPr>
        <w:t xml:space="preserve"> </w:t>
      </w:r>
      <w:r>
        <w:rPr>
          <w:rFonts w:hint="cs"/>
          <w:rtl/>
        </w:rPr>
        <w:t>וז"ל:</w:t>
      </w:r>
      <w:r w:rsidRPr="005D5266">
        <w:rPr>
          <w:rFonts w:asciiTheme="minorBidi" w:hAnsiTheme="minorBidi"/>
          <w:rtl/>
        </w:rPr>
        <w:t xml:space="preserve"> </w:t>
      </w:r>
      <w:r w:rsidRPr="00351B7D">
        <w:rPr>
          <w:rFonts w:asciiTheme="minorBidi" w:hAnsiTheme="minorBidi"/>
          <w:rtl/>
        </w:rPr>
        <w:t>אם כתב לה כתובה ונאבדה</w:t>
      </w:r>
      <w:r>
        <w:rPr>
          <w:rFonts w:asciiTheme="minorBidi" w:hAnsiTheme="minorBidi" w:hint="cs"/>
          <w:rtl/>
        </w:rPr>
        <w:t>,</w:t>
      </w:r>
      <w:r w:rsidRPr="00351B7D">
        <w:rPr>
          <w:rFonts w:asciiTheme="minorBidi" w:hAnsiTheme="minorBidi"/>
          <w:rtl/>
        </w:rPr>
        <w:t xml:space="preserve"> או שמחלה לו</w:t>
      </w:r>
      <w:r w:rsidRPr="00351B7D">
        <w:rPr>
          <w:rFonts w:asciiTheme="minorBidi" w:hAnsiTheme="minorBidi"/>
          <w:color w:val="000000"/>
          <w:sz w:val="16"/>
          <w:szCs w:val="16"/>
          <w:rtl/>
        </w:rPr>
        <w:t xml:space="preserve"> </w:t>
      </w:r>
      <w:r w:rsidRPr="00021BB4">
        <w:rPr>
          <w:rFonts w:asciiTheme="minorBidi" w:hAnsiTheme="minorBidi" w:hint="cs"/>
          <w:color w:val="000000"/>
          <w:sz w:val="16"/>
          <w:szCs w:val="16"/>
          <w:rtl/>
        </w:rPr>
        <w:t xml:space="preserve">[הגה] </w:t>
      </w:r>
      <w:r w:rsidRPr="00021BB4">
        <w:rPr>
          <w:rFonts w:asciiTheme="minorBidi" w:hAnsiTheme="minorBidi"/>
          <w:color w:val="000000"/>
          <w:sz w:val="16"/>
          <w:szCs w:val="16"/>
          <w:rtl/>
        </w:rPr>
        <w:t>ודוקא</w:t>
      </w:r>
      <w:r w:rsidRPr="00351B7D">
        <w:rPr>
          <w:rFonts w:asciiTheme="minorBidi" w:hAnsiTheme="minorBidi"/>
          <w:rtl/>
        </w:rPr>
        <w:t xml:space="preserve"> שכתבה לו התקבלתי כתובתי</w:t>
      </w:r>
      <w:r>
        <w:rPr>
          <w:rFonts w:asciiTheme="minorBidi" w:hAnsiTheme="minorBidi" w:hint="cs"/>
          <w:rtl/>
        </w:rPr>
        <w:t>,</w:t>
      </w:r>
      <w:r w:rsidRPr="00351B7D">
        <w:rPr>
          <w:rFonts w:asciiTheme="minorBidi" w:hAnsiTheme="minorBidi"/>
          <w:rtl/>
        </w:rPr>
        <w:t xml:space="preserve"> צריך לכתוב אחרת בעיקר הכתובה</w:t>
      </w:r>
      <w:r>
        <w:rPr>
          <w:rFonts w:asciiTheme="minorBidi" w:hAnsiTheme="minorBidi" w:hint="cs"/>
          <w:rtl/>
        </w:rPr>
        <w:t>,</w:t>
      </w:r>
      <w:r w:rsidRPr="00351B7D">
        <w:rPr>
          <w:rFonts w:asciiTheme="minorBidi" w:hAnsiTheme="minorBidi"/>
          <w:rtl/>
        </w:rPr>
        <w:t xml:space="preserve"> שאסור לאדם לדור עם אשתו שעה אחת בלא כתובה.</w:t>
      </w:r>
    </w:p>
  </w:footnote>
  <w:footnote w:id="2302">
    <w:p w14:paraId="60749FF6" w14:textId="0DB6535F" w:rsidR="005C6D52" w:rsidRDefault="005C6D52">
      <w:pPr>
        <w:pStyle w:val="a5"/>
      </w:pPr>
      <w:r>
        <w:rPr>
          <w:rStyle w:val="a7"/>
        </w:rPr>
        <w:footnoteRef/>
      </w:r>
      <w:r>
        <w:rPr>
          <w:rtl/>
        </w:rPr>
        <w:t xml:space="preserve"> </w:t>
      </w:r>
      <w:r w:rsidRPr="005C6D52">
        <w:rPr>
          <w:rFonts w:cs="Arial"/>
          <w:rtl/>
        </w:rPr>
        <w:t>עיין בח</w:t>
      </w:r>
      <w:r>
        <w:rPr>
          <w:rFonts w:cs="Arial" w:hint="cs"/>
          <w:rtl/>
        </w:rPr>
        <w:t>ו"מ</w:t>
      </w:r>
      <w:r w:rsidRPr="005C6D52">
        <w:rPr>
          <w:rFonts w:cs="Arial"/>
          <w:rtl/>
        </w:rPr>
        <w:t xml:space="preserve"> </w:t>
      </w:r>
      <w:r>
        <w:rPr>
          <w:rFonts w:cs="Arial" w:hint="cs"/>
          <w:rtl/>
        </w:rPr>
        <w:t>(</w:t>
      </w:r>
      <w:r w:rsidRPr="005C6D52">
        <w:rPr>
          <w:rFonts w:cs="Arial"/>
          <w:rtl/>
        </w:rPr>
        <w:t>סי</w:t>
      </w:r>
      <w:r>
        <w:rPr>
          <w:rFonts w:cs="Arial" w:hint="cs"/>
          <w:rtl/>
        </w:rPr>
        <w:t>'</w:t>
      </w:r>
      <w:r w:rsidRPr="005C6D52">
        <w:rPr>
          <w:rFonts w:cs="Arial"/>
          <w:rtl/>
        </w:rPr>
        <w:t xml:space="preserve"> יב וסי</w:t>
      </w:r>
      <w:r>
        <w:rPr>
          <w:rFonts w:cs="Arial" w:hint="cs"/>
          <w:rtl/>
        </w:rPr>
        <w:t>'</w:t>
      </w:r>
      <w:r w:rsidRPr="005C6D52">
        <w:rPr>
          <w:rFonts w:cs="Arial"/>
          <w:rtl/>
        </w:rPr>
        <w:t xml:space="preserve"> רמא</w:t>
      </w:r>
      <w:r>
        <w:rPr>
          <w:rFonts w:cs="Arial" w:hint="cs"/>
          <w:rtl/>
        </w:rPr>
        <w:t>)</w:t>
      </w:r>
      <w:r w:rsidRPr="005C6D52">
        <w:rPr>
          <w:rFonts w:cs="Arial"/>
          <w:rtl/>
        </w:rPr>
        <w:t xml:space="preserve"> המוחל והשטר בידו אם מהני המחילה</w:t>
      </w:r>
      <w:r>
        <w:rPr>
          <w:rFonts w:cs="Arial" w:hint="cs"/>
          <w:rtl/>
        </w:rPr>
        <w:t>,</w:t>
      </w:r>
      <w:r w:rsidRPr="005C6D52">
        <w:rPr>
          <w:rFonts w:cs="Arial"/>
          <w:rtl/>
        </w:rPr>
        <w:t xml:space="preserve"> מכאן יש להביא ראיה דמהני מחיל</w:t>
      </w:r>
      <w:r>
        <w:rPr>
          <w:rFonts w:cs="Arial" w:hint="cs"/>
          <w:rtl/>
        </w:rPr>
        <w:t>ה</w:t>
      </w:r>
      <w:r w:rsidRPr="005C6D52">
        <w:rPr>
          <w:rFonts w:cs="Arial"/>
          <w:rtl/>
        </w:rPr>
        <w:t xml:space="preserve"> אפי</w:t>
      </w:r>
      <w:r>
        <w:rPr>
          <w:rFonts w:cs="Arial" w:hint="cs"/>
          <w:rtl/>
        </w:rPr>
        <w:t>לו</w:t>
      </w:r>
      <w:r w:rsidRPr="005C6D52">
        <w:rPr>
          <w:rFonts w:cs="Arial"/>
          <w:rtl/>
        </w:rPr>
        <w:t xml:space="preserve"> כשהכתוב</w:t>
      </w:r>
      <w:r>
        <w:rPr>
          <w:rFonts w:cs="Arial" w:hint="cs"/>
          <w:rtl/>
        </w:rPr>
        <w:t>ה</w:t>
      </w:r>
      <w:r w:rsidRPr="005C6D52">
        <w:rPr>
          <w:rFonts w:cs="Arial"/>
          <w:rtl/>
        </w:rPr>
        <w:t xml:space="preserve"> בידה</w:t>
      </w:r>
      <w:r>
        <w:rPr>
          <w:rFonts w:cs="Arial" w:hint="cs"/>
          <w:rtl/>
        </w:rPr>
        <w:t>,</w:t>
      </w:r>
      <w:r w:rsidRPr="005C6D52">
        <w:rPr>
          <w:rFonts w:cs="Arial"/>
          <w:rtl/>
        </w:rPr>
        <w:t xml:space="preserve"> וכן כתב בח"מ</w:t>
      </w:r>
      <w:r w:rsidR="00380F70">
        <w:rPr>
          <w:rFonts w:cs="Arial" w:hint="cs"/>
          <w:rtl/>
        </w:rPr>
        <w:t xml:space="preserve"> (סקי"ד)...</w:t>
      </w:r>
      <w:r>
        <w:rPr>
          <w:rFonts w:cs="Arial" w:hint="cs"/>
          <w:rtl/>
        </w:rPr>
        <w:t>, ב"ש (סקי"ב).</w:t>
      </w:r>
    </w:p>
  </w:footnote>
  <w:footnote w:id="2303">
    <w:p w14:paraId="543EF122" w14:textId="2B282700" w:rsidR="00543C43" w:rsidRDefault="00543C43">
      <w:pPr>
        <w:pStyle w:val="a5"/>
        <w:rPr>
          <w:rtl/>
        </w:rPr>
      </w:pPr>
      <w:r>
        <w:rPr>
          <w:rStyle w:val="a7"/>
        </w:rPr>
        <w:footnoteRef/>
      </w:r>
      <w:r>
        <w:rPr>
          <w:rtl/>
        </w:rPr>
        <w:t xml:space="preserve"> </w:t>
      </w:r>
      <w:r>
        <w:rPr>
          <w:rFonts w:hint="cs"/>
          <w:rtl/>
        </w:rPr>
        <w:t>סימן - פוטרת הונה.</w:t>
      </w:r>
    </w:p>
  </w:footnote>
  <w:footnote w:id="2304">
    <w:p w14:paraId="127D5D70" w14:textId="7532E24B" w:rsidR="00056BE1" w:rsidRDefault="00056BE1">
      <w:pPr>
        <w:pStyle w:val="a5"/>
      </w:pPr>
      <w:r>
        <w:rPr>
          <w:rStyle w:val="a7"/>
        </w:rPr>
        <w:footnoteRef/>
      </w:r>
      <w:r>
        <w:rPr>
          <w:rtl/>
        </w:rPr>
        <w:t xml:space="preserve"> </w:t>
      </w:r>
      <w:r w:rsidRPr="00AB6908">
        <w:rPr>
          <w:rFonts w:cs="Arial"/>
          <w:rtl/>
        </w:rPr>
        <w:t>עיין במישרים (לרבינו ירוחם נכ"ג ח</w:t>
      </w:r>
      <w:r>
        <w:rPr>
          <w:rFonts w:cs="Arial" w:hint="cs"/>
          <w:rtl/>
        </w:rPr>
        <w:t>"</w:t>
      </w:r>
      <w:r w:rsidRPr="00AB6908">
        <w:rPr>
          <w:rFonts w:cs="Arial"/>
          <w:rtl/>
        </w:rPr>
        <w:t>ד נו ע"ד) דינים דשייכי לסימן זה</w:t>
      </w:r>
      <w:r>
        <w:rPr>
          <w:rFonts w:cs="Arial" w:hint="cs"/>
          <w:rtl/>
        </w:rPr>
        <w:t xml:space="preserve">, </w:t>
      </w:r>
      <w:r w:rsidRPr="001F1076">
        <w:rPr>
          <w:rFonts w:cs="Arial" w:hint="cs"/>
          <w:b/>
          <w:bCs/>
          <w:rtl/>
        </w:rPr>
        <w:t>ב"י</w:t>
      </w:r>
      <w:r>
        <w:rPr>
          <w:rFonts w:cs="Arial" w:hint="cs"/>
          <w:rtl/>
        </w:rPr>
        <w:t>.</w:t>
      </w:r>
      <w:r w:rsidR="001F1076">
        <w:rPr>
          <w:rFonts w:hint="cs"/>
          <w:rtl/>
        </w:rPr>
        <w:t xml:space="preserve">    </w:t>
      </w:r>
      <w:r w:rsidR="001F1076" w:rsidRPr="00AB6908">
        <w:rPr>
          <w:rFonts w:cs="Arial"/>
          <w:rtl/>
        </w:rPr>
        <w:t xml:space="preserve">וכתב שם (נז </w:t>
      </w:r>
      <w:r w:rsidR="001F1076">
        <w:rPr>
          <w:rFonts w:cs="Arial" w:hint="cs"/>
          <w:rtl/>
        </w:rPr>
        <w:t>ע"</w:t>
      </w:r>
      <w:r w:rsidR="001F1076" w:rsidRPr="00AB6908">
        <w:rPr>
          <w:rFonts w:cs="Arial"/>
          <w:rtl/>
        </w:rPr>
        <w:t>א) דאם כתב בכתובה לך ולכל הבאים מכחך אינה יכולה למחול אח"כ אבל בלאו הכי יכולה למחול בין כתובה בין נדוניא בין תוספת ועיין שם</w:t>
      </w:r>
      <w:r w:rsidR="001F1076">
        <w:rPr>
          <w:rFonts w:cs="Arial" w:hint="cs"/>
          <w:rtl/>
        </w:rPr>
        <w:t xml:space="preserve">, </w:t>
      </w:r>
      <w:r w:rsidR="001F1076" w:rsidRPr="001F1076">
        <w:rPr>
          <w:rFonts w:cs="Arial" w:hint="cs"/>
          <w:b/>
          <w:bCs/>
          <w:rtl/>
        </w:rPr>
        <w:t>דרכ"מ</w:t>
      </w:r>
      <w:r w:rsidR="001F1076">
        <w:rPr>
          <w:rFonts w:cs="Arial" w:hint="cs"/>
          <w:rtl/>
        </w:rPr>
        <w:t xml:space="preserve"> (אות ב).</w:t>
      </w:r>
    </w:p>
  </w:footnote>
  <w:footnote w:id="2305">
    <w:p w14:paraId="1496B102" w14:textId="1BE6994A" w:rsidR="00E65D20" w:rsidRDefault="00E65D20">
      <w:pPr>
        <w:pStyle w:val="a5"/>
        <w:rPr>
          <w:rFonts w:hint="cs"/>
        </w:rPr>
      </w:pPr>
      <w:r>
        <w:rPr>
          <w:rStyle w:val="a7"/>
        </w:rPr>
        <w:footnoteRef/>
      </w:r>
      <w:r>
        <w:rPr>
          <w:rtl/>
        </w:rPr>
        <w:t xml:space="preserve"> </w:t>
      </w:r>
      <w:r>
        <w:rPr>
          <w:rFonts w:hint="cs"/>
          <w:rtl/>
        </w:rPr>
        <w:t>סימן - קנה לה בחייה.</w:t>
      </w:r>
      <w:r w:rsidR="00B817DD">
        <w:rPr>
          <w:rFonts w:hint="cs"/>
          <w:rtl/>
        </w:rPr>
        <w:t xml:space="preserve"> וכן - קנה לביתו/לבניו.</w:t>
      </w:r>
    </w:p>
  </w:footnote>
  <w:footnote w:id="2306">
    <w:p w14:paraId="2475A85F" w14:textId="68146632" w:rsidR="007A6FF2" w:rsidRDefault="007A6FF2">
      <w:pPr>
        <w:pStyle w:val="a5"/>
      </w:pPr>
      <w:r>
        <w:rPr>
          <w:rStyle w:val="a7"/>
        </w:rPr>
        <w:footnoteRef/>
      </w:r>
      <w:r>
        <w:rPr>
          <w:rtl/>
        </w:rPr>
        <w:t xml:space="preserve"> </w:t>
      </w:r>
      <w:r>
        <w:rPr>
          <w:rFonts w:hint="cs"/>
          <w:rtl/>
        </w:rPr>
        <w:t>וכן הוא לפנינו.</w:t>
      </w:r>
      <w:r w:rsidR="00DA4823">
        <w:rPr>
          <w:rFonts w:hint="cs"/>
          <w:rtl/>
        </w:rPr>
        <w:t xml:space="preserve"> וכן כתב הרמב"ם בפיהמ"ש (פאה פ"ג מ"ז) וז"ל:</w:t>
      </w:r>
      <w:r w:rsidR="00DA4823" w:rsidRPr="00DA4823">
        <w:rPr>
          <w:rtl/>
        </w:rPr>
        <w:t xml:space="preserve"> </w:t>
      </w:r>
      <w:r w:rsidR="00DA4823" w:rsidRPr="00DA4823">
        <w:rPr>
          <w:rFonts w:cs="Arial"/>
          <w:rtl/>
        </w:rPr>
        <w:t>והתנאי השני שיהיה שכיב מרע. אבל אם היה בריא לוקחת כל מה שיש בכתובתה, אלא אם כן יביאו ראיה שמחלה או שקבלה.</w:t>
      </w:r>
      <w:r w:rsidR="00DA4823">
        <w:rPr>
          <w:rFonts w:cs="Arial" w:hint="cs"/>
          <w:rtl/>
        </w:rPr>
        <w:t xml:space="preserve"> עכ"ל.</w:t>
      </w:r>
      <w:r w:rsidR="003E6908">
        <w:rPr>
          <w:rFonts w:hint="cs"/>
          <w:rtl/>
        </w:rPr>
        <w:t xml:space="preserve"> אך</w:t>
      </w:r>
      <w:r w:rsidR="003E6908" w:rsidRPr="003E6908">
        <w:rPr>
          <w:rFonts w:cs="Arial"/>
          <w:rtl/>
        </w:rPr>
        <w:t xml:space="preserve"> מהר"י מטראני </w:t>
      </w:r>
      <w:r w:rsidR="003E6908">
        <w:rPr>
          <w:rFonts w:cs="Arial" w:hint="cs"/>
          <w:rtl/>
        </w:rPr>
        <w:t>(</w:t>
      </w:r>
      <w:r w:rsidR="003E6908" w:rsidRPr="003E6908">
        <w:rPr>
          <w:rFonts w:cs="Arial"/>
          <w:rtl/>
        </w:rPr>
        <w:t>ח"א סי</w:t>
      </w:r>
      <w:r w:rsidR="003E6908">
        <w:rPr>
          <w:rFonts w:cs="Arial" w:hint="cs"/>
          <w:rtl/>
        </w:rPr>
        <w:t>'</w:t>
      </w:r>
      <w:r w:rsidR="003E6908" w:rsidRPr="003E6908">
        <w:rPr>
          <w:rFonts w:cs="Arial"/>
          <w:rtl/>
        </w:rPr>
        <w:t xml:space="preserve"> קיט</w:t>
      </w:r>
      <w:r w:rsidR="000317F0">
        <w:rPr>
          <w:rFonts w:cs="Arial" w:hint="cs"/>
          <w:rtl/>
        </w:rPr>
        <w:t xml:space="preserve">, הביאו </w:t>
      </w:r>
      <w:r w:rsidR="00090FDC">
        <w:rPr>
          <w:rFonts w:cs="Arial" w:hint="cs"/>
          <w:rtl/>
        </w:rPr>
        <w:t>ב</w:t>
      </w:r>
      <w:r w:rsidR="00090FDC" w:rsidRPr="00090FDC">
        <w:rPr>
          <w:rFonts w:cs="Arial"/>
          <w:rtl/>
        </w:rPr>
        <w:t xml:space="preserve">שו"ת תורת משה </w:t>
      </w:r>
      <w:r w:rsidR="00090FDC">
        <w:rPr>
          <w:rFonts w:cs="Arial" w:hint="cs"/>
          <w:rtl/>
        </w:rPr>
        <w:t>[חו"מ סי' כא]</w:t>
      </w:r>
      <w:r w:rsidR="003E6908">
        <w:rPr>
          <w:rFonts w:cs="Arial" w:hint="cs"/>
          <w:rtl/>
        </w:rPr>
        <w:t>)</w:t>
      </w:r>
      <w:r w:rsidR="003E6908" w:rsidRPr="003E6908">
        <w:rPr>
          <w:rFonts w:cs="Arial"/>
          <w:rtl/>
        </w:rPr>
        <w:t xml:space="preserve"> כתב דדבר ברור דאין זו נוסח אמיתי דזו מן החזרות של הרי"ף, כמו שמצינו להרמב"ם שבילדותו כתב כן בפירוש המשנה ולבסוף חזר בו בחיבור, והראיה שהרא"ש מעתיק ההלכות לא הזכיר דברי הרי"ף, וגם הנמוקי שמפרש ההלכות כתב דהיא המוציאה כנראה שכך היתה נוסחת הרי"ף.</w:t>
      </w:r>
      <w:r w:rsidR="002B46D3">
        <w:rPr>
          <w:rFonts w:hint="cs"/>
          <w:rtl/>
        </w:rPr>
        <w:t xml:space="preserve"> עכ"ל. וגם אם נגיד שלא חזר בו אין לדייק מכאן שהאשה היא המ</w:t>
      </w:r>
      <w:r w:rsidR="00CA3D95">
        <w:rPr>
          <w:rFonts w:hint="cs"/>
          <w:rtl/>
        </w:rPr>
        <w:t xml:space="preserve">וחזקת כנגד הבעל, </w:t>
      </w:r>
      <w:r w:rsidR="00EB218B" w:rsidRPr="00EB218B">
        <w:rPr>
          <w:rFonts w:cs="Arial"/>
          <w:rtl/>
        </w:rPr>
        <w:t>דאדרבא היא המוציאה, דשטר העומד לגבות לאו כגבוי דמי לב"ה</w:t>
      </w:r>
      <w:r w:rsidR="00EB218B">
        <w:rPr>
          <w:rFonts w:cs="Arial" w:hint="cs"/>
          <w:rtl/>
        </w:rPr>
        <w:t>,</w:t>
      </w:r>
      <w:r w:rsidR="00EB218B" w:rsidRPr="00EB218B">
        <w:rPr>
          <w:rFonts w:cs="Arial"/>
          <w:rtl/>
        </w:rPr>
        <w:t xml:space="preserve"> </w:t>
      </w:r>
      <w:r w:rsidR="00EB218B">
        <w:rPr>
          <w:rFonts w:cs="Arial" w:hint="cs"/>
          <w:rtl/>
        </w:rPr>
        <w:t>דכתב האור שמח (פ"ו מהל' זכיה ה"ט) ד</w:t>
      </w:r>
      <w:r w:rsidR="00CA3D95" w:rsidRPr="00CA3D95">
        <w:rPr>
          <w:rFonts w:cs="Arial"/>
          <w:rtl/>
        </w:rPr>
        <w:t>נראה לפרש דהאלפסי סבר כפירוש תלמידו הרב אבן מיגש, דבשכ"מ דידעה דהוא שכ"מ, ולא יקנה עוד נכסים, ולכך מדלא מיחתה מחלה לגמרי חוב כתובתה אף אם יקנה עוד נכסים. אבל בבריא שסברה דיקנה עוד נכסים ותגבה תו לא מחלה כתובתה לגמרי רק מנכסים אלו שנתן לבניו, וע"ז קא מבעי ליה, וא"כ הכתובה שפיר בחזקתה וגביא מנכסים שיקנה הבעל אח"כ</w:t>
      </w:r>
      <w:r w:rsidR="000317F0">
        <w:rPr>
          <w:rFonts w:cs="Arial" w:hint="cs"/>
          <w:rtl/>
        </w:rPr>
        <w:t>. עכ"ל</w:t>
      </w:r>
      <w:r w:rsidR="00CA3D95">
        <w:rPr>
          <w:rFonts w:cs="Arial" w:hint="cs"/>
          <w:rtl/>
        </w:rPr>
        <w:t>.</w:t>
      </w:r>
    </w:p>
  </w:footnote>
  <w:footnote w:id="2307">
    <w:p w14:paraId="528BDBD1" w14:textId="7D7D5222" w:rsidR="00966A05" w:rsidRDefault="00966A05">
      <w:pPr>
        <w:pStyle w:val="a5"/>
      </w:pPr>
      <w:r>
        <w:rPr>
          <w:rStyle w:val="a7"/>
        </w:rPr>
        <w:footnoteRef/>
      </w:r>
      <w:r>
        <w:rPr>
          <w:rtl/>
        </w:rPr>
        <w:t xml:space="preserve"> </w:t>
      </w:r>
      <w:r>
        <w:rPr>
          <w:rFonts w:hint="cs"/>
          <w:rtl/>
        </w:rPr>
        <w:t>וז"ל:</w:t>
      </w:r>
      <w:r w:rsidRPr="00966A05">
        <w:rPr>
          <w:rtl/>
        </w:rPr>
        <w:t xml:space="preserve"> </w:t>
      </w:r>
      <w:r w:rsidRPr="00966A05">
        <w:rPr>
          <w:rFonts w:cs="Arial"/>
          <w:rtl/>
        </w:rPr>
        <w:t>וכן הכותב נכסיו לבניו בין זכרים בין נקבות בין בריא בין שכיב מרע וכתב לאשתו עמהן קרקע כל שהוא, הואיל ועשה אותה שותף בין הבנים ולא מחתה אבדה כתובתה ואינה טורפת מנכסים אלו כלום, אבל מנכסיו שיבואו לו אחר אלו נוטלת מהן כתובתה.</w:t>
      </w:r>
      <w:r w:rsidR="0055616C" w:rsidRPr="0055616C">
        <w:rPr>
          <w:rtl/>
        </w:rPr>
        <w:t xml:space="preserve"> </w:t>
      </w:r>
      <w:r w:rsidR="0055616C">
        <w:rPr>
          <w:rFonts w:hint="cs"/>
          <w:sz w:val="14"/>
          <w:szCs w:val="14"/>
          <w:rtl/>
        </w:rPr>
        <w:t xml:space="preserve">(ה"י) </w:t>
      </w:r>
      <w:r w:rsidR="0055616C" w:rsidRPr="0055616C">
        <w:rPr>
          <w:rFonts w:cs="Arial"/>
          <w:rtl/>
        </w:rPr>
        <w:t>כתב לה עמהן מטלטלין בלבד או ששייר לעצמו קרקע כל שהוא, כתובתה קיימת, ותקנת הגאונים היא שאפילו שייר מטלטלים כל שהוא, שהרי היא אומרת ממה ששייר אני גובה ומתוך שתרד למה ששייר תרד לשאר נכסים ותטרוף.</w:t>
      </w:r>
    </w:p>
  </w:footnote>
  <w:footnote w:id="2308">
    <w:p w14:paraId="210F6029" w14:textId="0BE37A6A" w:rsidR="00430364" w:rsidRDefault="00430364">
      <w:pPr>
        <w:pStyle w:val="a5"/>
        <w:rPr>
          <w:rtl/>
        </w:rPr>
      </w:pPr>
      <w:r>
        <w:rPr>
          <w:rStyle w:val="a7"/>
        </w:rPr>
        <w:footnoteRef/>
      </w:r>
      <w:r>
        <w:rPr>
          <w:rtl/>
        </w:rPr>
        <w:t xml:space="preserve"> </w:t>
      </w:r>
      <w:r w:rsidRPr="0055616C">
        <w:rPr>
          <w:rFonts w:cs="Arial"/>
          <w:rtl/>
        </w:rPr>
        <w:t>ותקנת הגאונים היא שאפילו שייר מטלטלים כל שהוא, שהרי היא אומרת ממה ששייר אני גובה ומתוך שתרד למה ששייר תרד לשאר נכסים ותטרוף</w:t>
      </w:r>
      <w:r>
        <w:rPr>
          <w:rFonts w:cs="Arial" w:hint="cs"/>
          <w:rtl/>
        </w:rPr>
        <w:t xml:space="preserve">, </w:t>
      </w:r>
      <w:r w:rsidRPr="00430364">
        <w:rPr>
          <w:rFonts w:cs="Arial" w:hint="cs"/>
          <w:b/>
          <w:bCs/>
          <w:rtl/>
        </w:rPr>
        <w:t>רמב"ם</w:t>
      </w:r>
      <w:r>
        <w:rPr>
          <w:rFonts w:cs="Arial" w:hint="cs"/>
          <w:rtl/>
        </w:rPr>
        <w:t xml:space="preserve"> (שם ה"י).</w:t>
      </w:r>
      <w:r>
        <w:rPr>
          <w:rFonts w:cs="Arial"/>
          <w:rtl/>
        </w:rPr>
        <w:t xml:space="preserve"> </w:t>
      </w:r>
      <w:r>
        <w:rPr>
          <w:rFonts w:cs="Arial" w:hint="cs"/>
          <w:rtl/>
        </w:rPr>
        <w:t xml:space="preserve">    </w:t>
      </w:r>
      <w:r>
        <w:rPr>
          <w:rFonts w:cs="Arial"/>
          <w:rtl/>
        </w:rPr>
        <w:t>פירוש כבר נתבאר בהל</w:t>
      </w:r>
      <w:r>
        <w:rPr>
          <w:rFonts w:cs="Arial" w:hint="cs"/>
          <w:rtl/>
        </w:rPr>
        <w:t>'</w:t>
      </w:r>
      <w:r>
        <w:rPr>
          <w:rFonts w:cs="Arial"/>
          <w:rtl/>
        </w:rPr>
        <w:t xml:space="preserve"> אישות </w:t>
      </w:r>
      <w:r>
        <w:rPr>
          <w:rFonts w:cs="Arial" w:hint="cs"/>
          <w:rtl/>
        </w:rPr>
        <w:t>(</w:t>
      </w:r>
      <w:r>
        <w:rPr>
          <w:rFonts w:cs="Arial"/>
          <w:rtl/>
        </w:rPr>
        <w:t>פ</w:t>
      </w:r>
      <w:r>
        <w:rPr>
          <w:rFonts w:cs="Arial" w:hint="cs"/>
          <w:rtl/>
        </w:rPr>
        <w:t>"י)</w:t>
      </w:r>
      <w:r>
        <w:rPr>
          <w:rFonts w:cs="Arial"/>
          <w:rtl/>
        </w:rPr>
        <w:t xml:space="preserve"> שאין האשה גובה ממטלטלין אחר מיתת בעלה מדין התלמוד</w:t>
      </w:r>
      <w:r>
        <w:rPr>
          <w:rFonts w:cs="Arial" w:hint="cs"/>
          <w:rtl/>
        </w:rPr>
        <w:t>,</w:t>
      </w:r>
      <w:r>
        <w:rPr>
          <w:rFonts w:cs="Arial"/>
          <w:rtl/>
        </w:rPr>
        <w:t xml:space="preserve"> וכיון שכן בששייר מטלטלין לבד איבדה כתובתה דליכא למימר בהו מגו</w:t>
      </w:r>
      <w:r>
        <w:rPr>
          <w:rFonts w:cs="Arial" w:hint="cs"/>
          <w:rtl/>
        </w:rPr>
        <w:t>,</w:t>
      </w:r>
      <w:r>
        <w:rPr>
          <w:rFonts w:cs="Arial"/>
          <w:rtl/>
        </w:rPr>
        <w:t xml:space="preserve"> דלא טרפא להו</w:t>
      </w:r>
      <w:r>
        <w:rPr>
          <w:rFonts w:cs="Arial" w:hint="cs"/>
          <w:rtl/>
        </w:rPr>
        <w:t>.</w:t>
      </w:r>
      <w:r>
        <w:rPr>
          <w:rFonts w:cs="Arial"/>
          <w:rtl/>
        </w:rPr>
        <w:t xml:space="preserve"> וזה נראה לי שהוא פירוש מה שאמרו בפרק מי שמת (ב"ב קנ:) בכולהו הוי שיור בר מכתובת אשה במקרקעי תקינו לה רבנן במטלטלי לא תקינו לה</w:t>
      </w:r>
      <w:r>
        <w:rPr>
          <w:rFonts w:cs="Arial" w:hint="cs"/>
          <w:rtl/>
        </w:rPr>
        <w:t>.</w:t>
      </w:r>
      <w:r>
        <w:rPr>
          <w:rFonts w:cs="Arial"/>
          <w:rtl/>
        </w:rPr>
        <w:t xml:space="preserve"> אבל הגאונים שהתקינו כתובה שתגבה אף מן המטלטלין יש לומר מגו דנחתא אמטלטלין דשייר נחתא אכולהו נכסי</w:t>
      </w:r>
      <w:r>
        <w:rPr>
          <w:rFonts w:cs="Arial" w:hint="cs"/>
          <w:rtl/>
        </w:rPr>
        <w:t>,</w:t>
      </w:r>
      <w:r>
        <w:rPr>
          <w:rFonts w:cs="Arial"/>
          <w:rtl/>
        </w:rPr>
        <w:t xml:space="preserve"> וזה פשוט</w:t>
      </w:r>
      <w:r>
        <w:rPr>
          <w:rFonts w:cs="Arial" w:hint="cs"/>
          <w:rtl/>
        </w:rPr>
        <w:t xml:space="preserve">, </w:t>
      </w:r>
      <w:r w:rsidRPr="00430364">
        <w:rPr>
          <w:rFonts w:cs="Arial" w:hint="cs"/>
          <w:b/>
          <w:bCs/>
          <w:rtl/>
        </w:rPr>
        <w:t>הה"מ</w:t>
      </w:r>
      <w:r>
        <w:rPr>
          <w:rFonts w:cs="Arial" w:hint="cs"/>
          <w:rtl/>
        </w:rPr>
        <w:t xml:space="preserve"> (שם</w:t>
      </w:r>
      <w:r w:rsidR="002C461B">
        <w:rPr>
          <w:rFonts w:cs="Arial" w:hint="cs"/>
          <w:rtl/>
        </w:rPr>
        <w:t>).</w:t>
      </w:r>
      <w:r w:rsidR="002C461B" w:rsidRPr="002C461B">
        <w:rPr>
          <w:rFonts w:cs="Arial" w:hint="cs"/>
          <w:rtl/>
        </w:rPr>
        <w:t xml:space="preserve"> </w:t>
      </w:r>
      <w:r w:rsidR="002C461B">
        <w:rPr>
          <w:rFonts w:cs="Arial" w:hint="cs"/>
          <w:rtl/>
        </w:rPr>
        <w:t>וכ"כ ה</w:t>
      </w:r>
      <w:r w:rsidR="002C461B" w:rsidRPr="0076432A">
        <w:rPr>
          <w:rFonts w:cs="Arial"/>
          <w:rtl/>
        </w:rPr>
        <w:t>רי"ף (ע</w:t>
      </w:r>
      <w:r w:rsidR="002C461B">
        <w:rPr>
          <w:rFonts w:cs="Arial" w:hint="cs"/>
          <w:rtl/>
        </w:rPr>
        <w:t>:</w:t>
      </w:r>
      <w:r w:rsidR="002C461B" w:rsidRPr="0076432A">
        <w:rPr>
          <w:rFonts w:cs="Arial"/>
          <w:rtl/>
        </w:rPr>
        <w:t>)</w:t>
      </w:r>
      <w:r w:rsidR="002C461B">
        <w:rPr>
          <w:rFonts w:cs="Arial" w:hint="cs"/>
          <w:rtl/>
        </w:rPr>
        <w:t xml:space="preserve"> והמרדכי</w:t>
      </w:r>
      <w:r w:rsidR="002C461B" w:rsidRPr="00E96CA0">
        <w:rPr>
          <w:rFonts w:cs="Arial"/>
          <w:rtl/>
        </w:rPr>
        <w:t xml:space="preserve"> </w:t>
      </w:r>
      <w:r w:rsidR="002C461B" w:rsidRPr="0076432A">
        <w:rPr>
          <w:rFonts w:cs="Arial"/>
          <w:rtl/>
        </w:rPr>
        <w:t>(סי' תקפח)</w:t>
      </w:r>
      <w:r>
        <w:rPr>
          <w:rFonts w:cs="Arial"/>
          <w:rtl/>
        </w:rPr>
        <w:t xml:space="preserve">. </w:t>
      </w:r>
      <w:r>
        <w:rPr>
          <w:rFonts w:cs="Arial" w:hint="cs"/>
          <w:rtl/>
        </w:rPr>
        <w:t xml:space="preserve">    </w:t>
      </w:r>
      <w:r>
        <w:rPr>
          <w:rFonts w:cs="Arial"/>
          <w:rtl/>
        </w:rPr>
        <w:t>וכן כתב הר"ן (קלב: ד"ה ומסקנא)</w:t>
      </w:r>
      <w:r>
        <w:rPr>
          <w:rFonts w:cs="Arial" w:hint="cs"/>
          <w:rtl/>
        </w:rPr>
        <w:t>..</w:t>
      </w:r>
      <w:r>
        <w:rPr>
          <w:rFonts w:cs="Arial"/>
          <w:rtl/>
        </w:rPr>
        <w:t>. ואע</w:t>
      </w:r>
      <w:r>
        <w:rPr>
          <w:rFonts w:cs="Arial" w:hint="cs"/>
          <w:rtl/>
        </w:rPr>
        <w:t>"</w:t>
      </w:r>
      <w:r>
        <w:rPr>
          <w:rFonts w:cs="Arial"/>
          <w:rtl/>
        </w:rPr>
        <w:t>פ שא</w:t>
      </w:r>
      <w:r>
        <w:rPr>
          <w:rFonts w:cs="Arial" w:hint="cs"/>
          <w:rtl/>
        </w:rPr>
        <w:t>ח"</w:t>
      </w:r>
      <w:r>
        <w:rPr>
          <w:rFonts w:cs="Arial"/>
          <w:rtl/>
        </w:rPr>
        <w:t xml:space="preserve">כ כתב </w:t>
      </w:r>
      <w:r>
        <w:rPr>
          <w:rFonts w:cs="Arial" w:hint="cs"/>
          <w:sz w:val="16"/>
          <w:szCs w:val="16"/>
          <w:rtl/>
        </w:rPr>
        <w:t xml:space="preserve">{הר"ן} </w:t>
      </w:r>
      <w:r>
        <w:rPr>
          <w:rFonts w:cs="Arial"/>
          <w:rtl/>
        </w:rPr>
        <w:t xml:space="preserve">וכי אמרינן דאיבדה כתובתה דוקא בשכתב לה קרקע אבל מטלטלי לא וכדאמרינן בסוגיין </w:t>
      </w:r>
      <w:r>
        <w:rPr>
          <w:rFonts w:cs="Arial" w:hint="cs"/>
          <w:rtl/>
        </w:rPr>
        <w:t>"</w:t>
      </w:r>
      <w:r>
        <w:rPr>
          <w:rFonts w:cs="Arial"/>
          <w:rtl/>
        </w:rPr>
        <w:t>מטלטלי ודאי לא קא אמינא</w:t>
      </w:r>
      <w:r>
        <w:rPr>
          <w:rFonts w:cs="Arial" w:hint="cs"/>
          <w:rtl/>
        </w:rPr>
        <w:t>" -</w:t>
      </w:r>
      <w:r>
        <w:rPr>
          <w:rFonts w:cs="Arial"/>
          <w:rtl/>
        </w:rPr>
        <w:t xml:space="preserve"> לפי דין התלמוד כתב כן</w:t>
      </w:r>
      <w:r>
        <w:rPr>
          <w:rFonts w:cs="Arial" w:hint="cs"/>
          <w:rtl/>
        </w:rPr>
        <w:t xml:space="preserve">, </w:t>
      </w:r>
      <w:r w:rsidRPr="00430364">
        <w:rPr>
          <w:rFonts w:cs="Arial" w:hint="cs"/>
          <w:b/>
          <w:bCs/>
          <w:rtl/>
        </w:rPr>
        <w:t>ב"י</w:t>
      </w:r>
      <w:r>
        <w:rPr>
          <w:rFonts w:cs="Arial" w:hint="cs"/>
          <w:rtl/>
        </w:rPr>
        <w:t>.</w:t>
      </w:r>
      <w:r w:rsidR="00CC40E8">
        <w:rPr>
          <w:rFonts w:hint="cs"/>
          <w:rtl/>
        </w:rPr>
        <w:t xml:space="preserve"> </w:t>
      </w:r>
      <w:r w:rsidR="00CC40E8" w:rsidRPr="00351B7D">
        <w:rPr>
          <w:rFonts w:asciiTheme="minorBidi" w:hAnsiTheme="minorBidi"/>
          <w:color w:val="E36C0A" w:themeColor="accent6" w:themeShade="BF"/>
          <w:rtl/>
        </w:rPr>
        <w:t>(וכ"</w:t>
      </w:r>
      <w:r w:rsidR="00CC40E8">
        <w:rPr>
          <w:rFonts w:asciiTheme="minorBidi" w:hAnsiTheme="minorBidi" w:hint="cs"/>
          <w:color w:val="E36C0A" w:themeColor="accent6" w:themeShade="BF"/>
          <w:rtl/>
        </w:rPr>
        <w:t>פ</w:t>
      </w:r>
      <w:r w:rsidR="00CC40E8" w:rsidRPr="00351B7D">
        <w:rPr>
          <w:rFonts w:asciiTheme="minorBidi" w:hAnsiTheme="minorBidi"/>
          <w:color w:val="E36C0A" w:themeColor="accent6" w:themeShade="BF"/>
          <w:rtl/>
        </w:rPr>
        <w:t xml:space="preserve"> בשו"ע</w:t>
      </w:r>
      <w:r w:rsidR="00CC40E8">
        <w:rPr>
          <w:rFonts w:asciiTheme="minorBidi" w:hAnsiTheme="minorBidi" w:hint="cs"/>
          <w:color w:val="E36C0A" w:themeColor="accent6" w:themeShade="BF"/>
          <w:sz w:val="16"/>
          <w:szCs w:val="16"/>
          <w:rtl/>
        </w:rPr>
        <w:t xml:space="preserve"> </w:t>
      </w:r>
      <w:r w:rsidR="00CC40E8" w:rsidRPr="00CC40E8">
        <w:rPr>
          <w:rFonts w:asciiTheme="minorBidi" w:hAnsiTheme="minorBidi" w:hint="cs"/>
          <w:color w:val="000000" w:themeColor="text1"/>
          <w:sz w:val="16"/>
          <w:szCs w:val="16"/>
          <w:rtl/>
        </w:rPr>
        <w:t>[</w:t>
      </w:r>
      <w:r w:rsidR="00CC40E8">
        <w:rPr>
          <w:rFonts w:asciiTheme="minorBidi" w:hAnsiTheme="minorBidi" w:hint="cs"/>
          <w:color w:val="000000" w:themeColor="text1"/>
          <w:sz w:val="16"/>
          <w:szCs w:val="16"/>
          <w:rtl/>
        </w:rPr>
        <w:t>בסע' ב</w:t>
      </w:r>
      <w:r w:rsidR="00CC40E8" w:rsidRPr="00CC40E8">
        <w:rPr>
          <w:rFonts w:asciiTheme="minorBidi" w:hAnsiTheme="minorBidi" w:hint="cs"/>
          <w:color w:val="000000" w:themeColor="text1"/>
          <w:sz w:val="16"/>
          <w:szCs w:val="16"/>
          <w:rtl/>
        </w:rPr>
        <w:t>]</w:t>
      </w:r>
      <w:r w:rsidR="00CC40E8" w:rsidRPr="00351B7D">
        <w:rPr>
          <w:rFonts w:asciiTheme="minorBidi" w:hAnsiTheme="minorBidi"/>
          <w:color w:val="E36C0A" w:themeColor="accent6" w:themeShade="BF"/>
          <w:rtl/>
        </w:rPr>
        <w:t>)</w:t>
      </w:r>
    </w:p>
  </w:footnote>
  <w:footnote w:id="2309">
    <w:p w14:paraId="153205B1" w14:textId="18FAB7E8" w:rsidR="00D50155" w:rsidRDefault="00D50155" w:rsidP="00D50155">
      <w:pPr>
        <w:pStyle w:val="a5"/>
      </w:pPr>
      <w:r>
        <w:rPr>
          <w:rStyle w:val="a7"/>
        </w:rPr>
        <w:footnoteRef/>
      </w:r>
      <w:r>
        <w:rPr>
          <w:rtl/>
        </w:rPr>
        <w:t xml:space="preserve"> </w:t>
      </w:r>
      <w:r>
        <w:rPr>
          <w:rFonts w:cs="Arial" w:hint="cs"/>
          <w:rtl/>
        </w:rPr>
        <w:t xml:space="preserve">כתב </w:t>
      </w:r>
      <w:r w:rsidRPr="00D50155">
        <w:rPr>
          <w:rFonts w:cs="Arial" w:hint="cs"/>
          <w:b/>
          <w:bCs/>
          <w:rtl/>
        </w:rPr>
        <w:t>הדרכ"מ</w:t>
      </w:r>
      <w:r>
        <w:rPr>
          <w:rFonts w:cs="Arial" w:hint="cs"/>
          <w:rtl/>
        </w:rPr>
        <w:t xml:space="preserve"> (אות א) ד</w:t>
      </w:r>
      <w:r w:rsidRPr="0076432A">
        <w:rPr>
          <w:rFonts w:cs="Arial"/>
          <w:rtl/>
        </w:rPr>
        <w:t xml:space="preserve">משמע </w:t>
      </w:r>
      <w:r>
        <w:rPr>
          <w:rFonts w:cs="Arial" w:hint="cs"/>
          <w:rtl/>
        </w:rPr>
        <w:t>מדברי הב"י (בסוף ההערה הקודמת) וה</w:t>
      </w:r>
      <w:r w:rsidRPr="0076432A">
        <w:rPr>
          <w:rFonts w:cs="Arial"/>
          <w:rtl/>
        </w:rPr>
        <w:t>נמוק</w:t>
      </w:r>
      <w:r>
        <w:rPr>
          <w:rFonts w:cs="Arial" w:hint="cs"/>
          <w:rtl/>
        </w:rPr>
        <w:t>"</w:t>
      </w:r>
      <w:r w:rsidRPr="0076432A">
        <w:rPr>
          <w:rFonts w:cs="Arial"/>
          <w:rtl/>
        </w:rPr>
        <w:t>י (ע</w:t>
      </w:r>
      <w:r>
        <w:rPr>
          <w:rFonts w:cs="Arial" w:hint="cs"/>
          <w:rtl/>
        </w:rPr>
        <w:t>.</w:t>
      </w:r>
      <w:r w:rsidRPr="0076432A">
        <w:rPr>
          <w:rFonts w:cs="Arial"/>
          <w:rtl/>
        </w:rPr>
        <w:t xml:space="preserve">) דהוא הדין אם כתב לה מטלטלין בזמן הזה </w:t>
      </w:r>
      <w:r>
        <w:rPr>
          <w:rFonts w:cs="Arial" w:hint="cs"/>
          <w:rtl/>
        </w:rPr>
        <w:t xml:space="preserve">- </w:t>
      </w:r>
      <w:r w:rsidRPr="0076432A">
        <w:rPr>
          <w:rFonts w:cs="Arial"/>
          <w:rtl/>
        </w:rPr>
        <w:t>אבדה כתובתה</w:t>
      </w:r>
      <w:r>
        <w:rPr>
          <w:rFonts w:cs="Arial" w:hint="cs"/>
          <w:rtl/>
        </w:rPr>
        <w:t xml:space="preserve">. </w:t>
      </w:r>
      <w:r w:rsidRPr="0076432A">
        <w:rPr>
          <w:rFonts w:cs="Arial"/>
          <w:rtl/>
        </w:rPr>
        <w:t xml:space="preserve">ולא נראה מדברי הרמב"ם </w:t>
      </w:r>
      <w:r>
        <w:rPr>
          <w:rFonts w:cs="Arial" w:hint="cs"/>
          <w:rtl/>
        </w:rPr>
        <w:t>(</w:t>
      </w:r>
      <w:r w:rsidRPr="0076432A">
        <w:rPr>
          <w:rFonts w:cs="Arial"/>
          <w:rtl/>
        </w:rPr>
        <w:t>פ"ו מהל</w:t>
      </w:r>
      <w:r>
        <w:rPr>
          <w:rFonts w:cs="Arial" w:hint="cs"/>
          <w:rtl/>
        </w:rPr>
        <w:t>'</w:t>
      </w:r>
      <w:r w:rsidRPr="0076432A">
        <w:rPr>
          <w:rFonts w:cs="Arial"/>
          <w:rtl/>
        </w:rPr>
        <w:t xml:space="preserve"> זכייה</w:t>
      </w:r>
      <w:r>
        <w:rPr>
          <w:rFonts w:cs="Arial" w:hint="cs"/>
          <w:rtl/>
        </w:rPr>
        <w:t>)</w:t>
      </w:r>
      <w:r w:rsidRPr="0076432A">
        <w:rPr>
          <w:rFonts w:cs="Arial"/>
          <w:rtl/>
        </w:rPr>
        <w:t xml:space="preserve"> ולא מדברי שאר הפוסקים</w:t>
      </w:r>
      <w:r>
        <w:rPr>
          <w:rFonts w:cs="Arial" w:hint="cs"/>
          <w:rtl/>
        </w:rPr>
        <w:t>.</w:t>
      </w:r>
      <w:r w:rsidRPr="0076432A">
        <w:rPr>
          <w:rFonts w:cs="Arial"/>
          <w:rtl/>
        </w:rPr>
        <w:t xml:space="preserve"> וטעם הדבר דדוקא שיור הוי מטלטלין מאחר דיכולה לגבות עדיין</w:t>
      </w:r>
      <w:r>
        <w:rPr>
          <w:rFonts w:cs="Arial" w:hint="cs"/>
          <w:rtl/>
        </w:rPr>
        <w:t>,</w:t>
      </w:r>
      <w:r w:rsidRPr="0076432A">
        <w:rPr>
          <w:rFonts w:cs="Arial"/>
          <w:rtl/>
        </w:rPr>
        <w:t xml:space="preserve"> אבל לא אמרינן דמחלה משום דכתב לה מטלטלין דאינן חשובין שנאמר שמחלה בעבורן</w:t>
      </w:r>
      <w:r>
        <w:rPr>
          <w:rFonts w:cs="Arial" w:hint="cs"/>
          <w:rtl/>
        </w:rPr>
        <w:t>.</w:t>
      </w:r>
      <w:r w:rsidRPr="0076432A">
        <w:rPr>
          <w:rFonts w:cs="Arial"/>
          <w:rtl/>
        </w:rPr>
        <w:t xml:space="preserve"> כן נראה לי</w:t>
      </w:r>
      <w:r>
        <w:rPr>
          <w:rFonts w:cs="Arial" w:hint="cs"/>
          <w:rtl/>
        </w:rPr>
        <w:t xml:space="preserve">. </w:t>
      </w:r>
    </w:p>
  </w:footnote>
  <w:footnote w:id="2310">
    <w:p w14:paraId="02695B0C" w14:textId="1B6F8190" w:rsidR="000E4AA5" w:rsidRDefault="000E4AA5">
      <w:pPr>
        <w:pStyle w:val="a5"/>
      </w:pPr>
      <w:r>
        <w:rPr>
          <w:rStyle w:val="a7"/>
        </w:rPr>
        <w:footnoteRef/>
      </w:r>
      <w:r>
        <w:rPr>
          <w:rtl/>
        </w:rPr>
        <w:t xml:space="preserve"> </w:t>
      </w:r>
      <w:r w:rsidRPr="000E4AA5">
        <w:rPr>
          <w:rFonts w:cs="Arial"/>
          <w:rtl/>
        </w:rPr>
        <w:t>ורב אלפס כתב כסברא הראשונה ולזה הסכים א"א הרא"ש ז"ל</w:t>
      </w:r>
      <w:r>
        <w:rPr>
          <w:rFonts w:cs="Arial" w:hint="cs"/>
          <w:rtl/>
        </w:rPr>
        <w:t>, טור.</w:t>
      </w:r>
    </w:p>
  </w:footnote>
  <w:footnote w:id="2311">
    <w:p w14:paraId="256048D8" w14:textId="4E863A6E" w:rsidR="00900EEB" w:rsidRDefault="00900EEB">
      <w:pPr>
        <w:pStyle w:val="a5"/>
        <w:rPr>
          <w:rtl/>
        </w:rPr>
      </w:pPr>
      <w:r>
        <w:rPr>
          <w:rStyle w:val="a7"/>
        </w:rPr>
        <w:footnoteRef/>
      </w:r>
      <w:r>
        <w:rPr>
          <w:rtl/>
        </w:rPr>
        <w:t xml:space="preserve"> </w:t>
      </w:r>
      <w:r w:rsidRPr="00911D12">
        <w:rPr>
          <w:rFonts w:cs="Arial"/>
          <w:rtl/>
        </w:rPr>
        <w:t>ודברים הללו קשים לאומרם בלי ראיה</w:t>
      </w:r>
      <w:r w:rsidRPr="00911D12">
        <w:rPr>
          <w:rFonts w:cs="Arial" w:hint="cs"/>
          <w:rtl/>
        </w:rPr>
        <w:t>,</w:t>
      </w:r>
      <w:r w:rsidRPr="00911D12">
        <w:rPr>
          <w:rFonts w:cs="Arial"/>
          <w:rtl/>
        </w:rPr>
        <w:t xml:space="preserve"> דלישנא דשעשאה שותף בין הבנים אינו מורה כן</w:t>
      </w:r>
      <w:r w:rsidRPr="00911D12">
        <w:rPr>
          <w:rFonts w:cs="Arial" w:hint="cs"/>
          <w:rtl/>
        </w:rPr>
        <w:t>,</w:t>
      </w:r>
      <w:r w:rsidRPr="00911D12">
        <w:rPr>
          <w:rFonts w:cs="Arial"/>
          <w:rtl/>
        </w:rPr>
        <w:t xml:space="preserve"> דמשמע דדוקא בשביל כבוד שעשה לה שחלק לה מנכסיו עם בניו שתקה ומחלה</w:t>
      </w:r>
      <w:r>
        <w:rPr>
          <w:rFonts w:cs="Arial" w:hint="cs"/>
          <w:rtl/>
        </w:rPr>
        <w:t>,</w:t>
      </w:r>
      <w:r w:rsidRPr="00911D12">
        <w:rPr>
          <w:rFonts w:cs="Arial"/>
          <w:rtl/>
        </w:rPr>
        <w:t xml:space="preserve"> אבל אם חלק נכסיו לאחרים מה לה לערער ומה כבוד עשה לה דאית לן למימר שמחלה כתובתה</w:t>
      </w:r>
      <w:r>
        <w:rPr>
          <w:rFonts w:cs="Arial" w:hint="cs"/>
          <w:rtl/>
        </w:rPr>
        <w:t>,</w:t>
      </w:r>
      <w:r w:rsidRPr="00911D12">
        <w:rPr>
          <w:rFonts w:cs="Arial"/>
          <w:rtl/>
        </w:rPr>
        <w:t xml:space="preserve"> ובשתיקה לא הפסידה כתובתה דמציא למימר נחת רוח עשיתי לבעלי</w:t>
      </w:r>
      <w:r>
        <w:rPr>
          <w:rFonts w:cs="Arial" w:hint="cs"/>
          <w:rtl/>
        </w:rPr>
        <w:t>,</w:t>
      </w:r>
      <w:r w:rsidRPr="00911D12">
        <w:rPr>
          <w:rFonts w:cs="Arial"/>
          <w:rtl/>
        </w:rPr>
        <w:t xml:space="preserve"> וגם מתני' מוכח כן דקתני הכותב נכסיו לבניו ולא קתני המחלק נכסיו סתם</w:t>
      </w:r>
      <w:r>
        <w:rPr>
          <w:rFonts w:cs="Arial" w:hint="cs"/>
          <w:rtl/>
        </w:rPr>
        <w:t xml:space="preserve">, </w:t>
      </w:r>
      <w:r w:rsidRPr="00900EEB">
        <w:rPr>
          <w:rFonts w:cs="Arial" w:hint="cs"/>
          <w:b/>
          <w:bCs/>
          <w:rtl/>
        </w:rPr>
        <w:t>רא"ש</w:t>
      </w:r>
      <w:r>
        <w:rPr>
          <w:rFonts w:cs="Arial" w:hint="cs"/>
          <w:rtl/>
        </w:rPr>
        <w:t xml:space="preserve"> (שם </w:t>
      </w:r>
      <w:r w:rsidRPr="00911D12">
        <w:rPr>
          <w:rFonts w:cs="Arial"/>
          <w:rtl/>
        </w:rPr>
        <w:t xml:space="preserve">סי' לד). </w:t>
      </w:r>
      <w:r>
        <w:rPr>
          <w:rFonts w:cs="Arial" w:hint="cs"/>
          <w:rtl/>
        </w:rPr>
        <w:t xml:space="preserve">    ו</w:t>
      </w:r>
      <w:r w:rsidRPr="00911D12">
        <w:rPr>
          <w:rFonts w:cs="Arial"/>
          <w:rtl/>
        </w:rPr>
        <w:t>אי מהא לא איריא</w:t>
      </w:r>
      <w:r>
        <w:rPr>
          <w:rFonts w:cs="Arial" w:hint="cs"/>
          <w:rtl/>
        </w:rPr>
        <w:t>,</w:t>
      </w:r>
      <w:r w:rsidRPr="00911D12">
        <w:rPr>
          <w:rFonts w:cs="Arial"/>
          <w:rtl/>
        </w:rPr>
        <w:t xml:space="preserve"> דרשב"ם לא קאמר אלא בכותב ליורשיו ואם כן מתניתין לא מצי למיתני המחלק נכסיו סתם דהוה משמע אפילו מחלק לשאינם יורשיו ומכל מקום מדברי הרמב"ם בפרק ו' מהלכות זכייה (ה"ט) נראה שסובר כדברי הרא"ש שכתב הכותב נכסיו לבניו בין זכרים בין נקבות</w:t>
      </w:r>
      <w:r>
        <w:rPr>
          <w:rFonts w:cs="Arial" w:hint="cs"/>
          <w:rtl/>
        </w:rPr>
        <w:t>,</w:t>
      </w:r>
      <w:r w:rsidRPr="00911D12">
        <w:rPr>
          <w:rFonts w:cs="Arial"/>
          <w:rtl/>
        </w:rPr>
        <w:t xml:space="preserve"> ומדנחית למימר בין זכרים בין נקבות משמע דבבניו דוקא קאמר</w:t>
      </w:r>
      <w:r>
        <w:rPr>
          <w:rFonts w:cs="Arial" w:hint="cs"/>
          <w:rtl/>
        </w:rPr>
        <w:t>.</w:t>
      </w:r>
      <w:r w:rsidRPr="00911D12">
        <w:rPr>
          <w:rFonts w:cs="Arial"/>
          <w:rtl/>
        </w:rPr>
        <w:t xml:space="preserve"> ויש לתמוה על הרב המגיד (הי"א) שכתב דברי רשב"ם ולא שת לבו לראות אם הרמב"ם חלוק עליו</w:t>
      </w:r>
      <w:r>
        <w:rPr>
          <w:rFonts w:cs="Arial" w:hint="cs"/>
          <w:rtl/>
        </w:rPr>
        <w:t xml:space="preserve">, </w:t>
      </w:r>
      <w:r w:rsidRPr="00900EEB">
        <w:rPr>
          <w:rFonts w:cs="Arial" w:hint="cs"/>
          <w:b/>
          <w:bCs/>
          <w:rtl/>
        </w:rPr>
        <w:t>ב"י</w:t>
      </w:r>
      <w:r w:rsidRPr="00911D12">
        <w:rPr>
          <w:rFonts w:cs="Arial"/>
          <w:rtl/>
        </w:rPr>
        <w:t>.</w:t>
      </w:r>
    </w:p>
  </w:footnote>
  <w:footnote w:id="2312">
    <w:p w14:paraId="49586856" w14:textId="77777777" w:rsidR="007D38CA" w:rsidRDefault="007D38CA" w:rsidP="007D38CA">
      <w:pPr>
        <w:pStyle w:val="a5"/>
        <w:rPr>
          <w:rtl/>
        </w:rPr>
      </w:pPr>
      <w:r>
        <w:rPr>
          <w:rStyle w:val="a7"/>
        </w:rPr>
        <w:footnoteRef/>
      </w:r>
      <w:r>
        <w:rPr>
          <w:rtl/>
        </w:rPr>
        <w:t xml:space="preserve"> </w:t>
      </w:r>
      <w:r>
        <w:rPr>
          <w:rFonts w:hint="cs"/>
          <w:rtl/>
        </w:rPr>
        <w:t>וז"ל:</w:t>
      </w:r>
      <w:r w:rsidRPr="007D38CA">
        <w:rPr>
          <w:rtl/>
        </w:rPr>
        <w:t xml:space="preserve"> </w:t>
      </w:r>
      <w:r>
        <w:rPr>
          <w:rFonts w:cs="Arial"/>
          <w:rtl/>
        </w:rPr>
        <w:t xml:space="preserve">עוד ילמדני המחלק נכסיו לאשתו ולבניו בפני אשתו והיא שותקת דקיי"ל שאבדה כתובתה אם אבדה נמי שטר נדוניתה מאחר שנדוניתה יכולה לגבות אף מחיים. </w:t>
      </w:r>
      <w:r>
        <w:rPr>
          <w:rFonts w:cs="Arial" w:hint="cs"/>
          <w:rtl/>
        </w:rPr>
        <w:t xml:space="preserve">  </w:t>
      </w:r>
      <w:r>
        <w:rPr>
          <w:rFonts w:cs="Arial"/>
          <w:rtl/>
        </w:rPr>
        <w:t>תשובה</w:t>
      </w:r>
      <w:r>
        <w:rPr>
          <w:rFonts w:cs="Arial" w:hint="cs"/>
          <w:rtl/>
        </w:rPr>
        <w:t>:</w:t>
      </w:r>
      <w:r>
        <w:rPr>
          <w:rFonts w:cs="Arial"/>
          <w:rtl/>
        </w:rPr>
        <w:t xml:space="preserve"> נראה לי כיון דקיי"ל התם מקולי כתובה שנו כאן דדוקא בכתובה קאמר ולא בשטר נדוניה שיש לה דלא חלקו חכמים בשטר חוב שיש לו עליו ואינו נקרא תנאי כתובה לומר ככתובה דמי.</w:t>
      </w:r>
    </w:p>
  </w:footnote>
  <w:footnote w:id="2313">
    <w:p w14:paraId="5FA79351" w14:textId="77777777" w:rsidR="007D38CA" w:rsidRDefault="007D38CA" w:rsidP="007D38CA">
      <w:pPr>
        <w:pStyle w:val="a5"/>
      </w:pPr>
      <w:r>
        <w:rPr>
          <w:rStyle w:val="a7"/>
        </w:rPr>
        <w:footnoteRef/>
      </w:r>
      <w:r>
        <w:rPr>
          <w:rtl/>
        </w:rPr>
        <w:t xml:space="preserve"> </w:t>
      </w:r>
      <w:r w:rsidRPr="007D38CA">
        <w:rPr>
          <w:rFonts w:cs="Arial"/>
          <w:rtl/>
        </w:rPr>
        <w:t>וז"ל</w:t>
      </w:r>
      <w:r>
        <w:rPr>
          <w:rFonts w:cs="Arial" w:hint="cs"/>
          <w:rtl/>
        </w:rPr>
        <w:t>:</w:t>
      </w:r>
      <w:r w:rsidRPr="007D38CA">
        <w:rPr>
          <w:rFonts w:cs="Arial"/>
          <w:rtl/>
        </w:rPr>
        <w:t xml:space="preserve"> מראים הדברים דדוקא בכתובה ומקולי כתובה אבל בבעל חוב אי נמי בנדוניא שהיא כב"ח לא</w:t>
      </w:r>
      <w:r>
        <w:rPr>
          <w:rFonts w:cs="Arial" w:hint="cs"/>
          <w:rtl/>
        </w:rPr>
        <w:t>.</w:t>
      </w:r>
    </w:p>
  </w:footnote>
  <w:footnote w:id="2314">
    <w:p w14:paraId="0B5CE859" w14:textId="77777777" w:rsidR="00125CEF" w:rsidRDefault="00125CEF" w:rsidP="00125CEF">
      <w:pPr>
        <w:pStyle w:val="a5"/>
      </w:pPr>
      <w:r>
        <w:rPr>
          <w:rStyle w:val="a7"/>
        </w:rPr>
        <w:footnoteRef/>
      </w:r>
      <w:r>
        <w:rPr>
          <w:rtl/>
        </w:rPr>
        <w:t xml:space="preserve"> </w:t>
      </w:r>
      <w:r w:rsidRPr="00B86E8E">
        <w:rPr>
          <w:rFonts w:cs="Arial"/>
          <w:rtl/>
        </w:rPr>
        <w:t>שהרי עשאה שותף בין הבנים בקרקע דהא יניקת קרקע אקני לה וה"ה לפירות מחוברין והאי דקאמר אילן לפירותיו לא למעט פירות מחוברין בלא אילן אלא רבותא הוא דאע"ג דגוף האילן אינו שלה לכשייבש והשתא לית ביה פרי אפ"ה כקרקע דמי וכ"ש היכא דאקני לה פירות גופייהו שגדלו כבר ומחוברין לקרקע</w:t>
      </w:r>
      <w:r>
        <w:rPr>
          <w:rFonts w:cs="Arial" w:hint="cs"/>
          <w:rtl/>
        </w:rPr>
        <w:t>, רשב"ם.</w:t>
      </w:r>
    </w:p>
  </w:footnote>
  <w:footnote w:id="2315">
    <w:p w14:paraId="7BBDA488" w14:textId="3FF81D6E" w:rsidR="005B2BDE" w:rsidRDefault="005B2BDE">
      <w:pPr>
        <w:pStyle w:val="a5"/>
        <w:rPr>
          <w:rtl/>
        </w:rPr>
      </w:pPr>
      <w:r>
        <w:rPr>
          <w:rStyle w:val="a7"/>
        </w:rPr>
        <w:footnoteRef/>
      </w:r>
      <w:r>
        <w:rPr>
          <w:rtl/>
        </w:rPr>
        <w:t xml:space="preserve"> </w:t>
      </w:r>
      <w:r w:rsidRPr="005B2BDE">
        <w:rPr>
          <w:rFonts w:cs="Arial"/>
          <w:rtl/>
        </w:rPr>
        <w:t>לית לה לאיתתא אלא תילתא דיהב לה בעלה דמהא תילתא דחזר וקנה לית לה מידי שהרי לא ממקום אחר בא לידו אלא מאותן נכסים עצמן של בנות שכבר מחלה האשה שעבודה עליהם והלכך לא הדרי משעבדי לה</w:t>
      </w:r>
      <w:r>
        <w:rPr>
          <w:rFonts w:cs="Arial" w:hint="cs"/>
          <w:rtl/>
        </w:rPr>
        <w:t>ף, רשב"ם.</w:t>
      </w:r>
    </w:p>
  </w:footnote>
  <w:footnote w:id="2316">
    <w:p w14:paraId="3DAE36F7" w14:textId="3F004077" w:rsidR="00AF270F" w:rsidRDefault="00AF270F" w:rsidP="00AF270F">
      <w:pPr>
        <w:pStyle w:val="a5"/>
        <w:rPr>
          <w:rtl/>
        </w:rPr>
      </w:pPr>
      <w:r>
        <w:rPr>
          <w:rStyle w:val="a7"/>
        </w:rPr>
        <w:footnoteRef/>
      </w:r>
      <w:r>
        <w:rPr>
          <w:rtl/>
        </w:rPr>
        <w:t xml:space="preserve"> </w:t>
      </w:r>
      <w:r>
        <w:rPr>
          <w:rFonts w:cs="Arial" w:hint="cs"/>
          <w:rtl/>
        </w:rPr>
        <w:t xml:space="preserve">אילו </w:t>
      </w:r>
      <w:r w:rsidRPr="00AF270F">
        <w:rPr>
          <w:rFonts w:cs="Arial"/>
          <w:rtl/>
        </w:rPr>
        <w:t>קנה נכסים אחרים בתר הכי לית לה לאשה בתמיה</w:t>
      </w:r>
      <w:r>
        <w:rPr>
          <w:rFonts w:cs="Arial" w:hint="cs"/>
          <w:rtl/>
        </w:rPr>
        <w:t>,</w:t>
      </w:r>
      <w:r w:rsidRPr="00AF270F">
        <w:rPr>
          <w:rFonts w:cs="Arial"/>
          <w:rtl/>
        </w:rPr>
        <w:t xml:space="preserve"> הא ודאי אית לה</w:t>
      </w:r>
      <w:r>
        <w:rPr>
          <w:rFonts w:cs="Arial" w:hint="cs"/>
          <w:rtl/>
        </w:rPr>
        <w:t>,</w:t>
      </w:r>
      <w:r w:rsidRPr="00AF270F">
        <w:rPr>
          <w:rFonts w:cs="Arial"/>
          <w:rtl/>
        </w:rPr>
        <w:t xml:space="preserve"> דנהי דמחלה שעבודה לבנות בשביל שעשאה שותף ביניהן</w:t>
      </w:r>
      <w:r>
        <w:rPr>
          <w:rFonts w:cs="Arial" w:hint="cs"/>
          <w:rtl/>
        </w:rPr>
        <w:t>,</w:t>
      </w:r>
      <w:r w:rsidRPr="00AF270F">
        <w:rPr>
          <w:rFonts w:cs="Arial"/>
          <w:rtl/>
        </w:rPr>
        <w:t xml:space="preserve"> חוב כתובתה מיהא לא מחלה</w:t>
      </w:r>
      <w:r w:rsidR="0059535C">
        <w:rPr>
          <w:rFonts w:cs="Arial" w:hint="cs"/>
          <w:rtl/>
        </w:rPr>
        <w:t>,</w:t>
      </w:r>
      <w:r w:rsidRPr="00AF270F">
        <w:rPr>
          <w:rFonts w:cs="Arial"/>
          <w:rtl/>
        </w:rPr>
        <w:t xml:space="preserve"> שאם תמצא מקום לטרוף כגון שיקנה נכסים </w:t>
      </w:r>
      <w:r w:rsidR="0059535C">
        <w:rPr>
          <w:rFonts w:cs="Arial" w:hint="cs"/>
          <w:rtl/>
        </w:rPr>
        <w:t xml:space="preserve">- </w:t>
      </w:r>
      <w:r w:rsidRPr="00AF270F">
        <w:rPr>
          <w:rFonts w:cs="Arial"/>
          <w:rtl/>
        </w:rPr>
        <w:t>טורפת מהם</w:t>
      </w:r>
      <w:r w:rsidR="0059535C">
        <w:rPr>
          <w:rFonts w:cs="Arial" w:hint="cs"/>
          <w:rtl/>
        </w:rPr>
        <w:t>.</w:t>
      </w:r>
      <w:r w:rsidRPr="00AF270F">
        <w:rPr>
          <w:rFonts w:cs="Arial"/>
          <w:rtl/>
        </w:rPr>
        <w:t xml:space="preserve"> וכדכתב ודעתיד אנא למיקני</w:t>
      </w:r>
      <w:r w:rsidR="0059535C">
        <w:rPr>
          <w:rFonts w:cs="Arial" w:hint="cs"/>
          <w:rtl/>
        </w:rPr>
        <w:t>,</w:t>
      </w:r>
      <w:r w:rsidRPr="00AF270F">
        <w:rPr>
          <w:rFonts w:cs="Arial"/>
          <w:rtl/>
        </w:rPr>
        <w:t xml:space="preserve"> שנכסים העתידין לבא ישתעבדו לה</w:t>
      </w:r>
      <w:r w:rsidR="0059535C">
        <w:rPr>
          <w:rFonts w:cs="Arial" w:hint="cs"/>
          <w:rtl/>
        </w:rPr>
        <w:t>,</w:t>
      </w:r>
      <w:r w:rsidRPr="00AF270F">
        <w:rPr>
          <w:rFonts w:cs="Arial"/>
          <w:rtl/>
        </w:rPr>
        <w:t xml:space="preserve"> וכיון דאילו הדר קני מאדם אחר או ממורישיו אית לה לאשה</w:t>
      </w:r>
      <w:r w:rsidR="0059535C">
        <w:rPr>
          <w:rFonts w:cs="Arial" w:hint="cs"/>
          <w:rtl/>
        </w:rPr>
        <w:t>,</w:t>
      </w:r>
      <w:r w:rsidRPr="00AF270F">
        <w:rPr>
          <w:rFonts w:cs="Arial"/>
          <w:rtl/>
        </w:rPr>
        <w:t xml:space="preserve"> השתא נמי כי נפלו לו מאותן נכסים עצמן אית לה</w:t>
      </w:r>
      <w:r w:rsidR="0059535C">
        <w:rPr>
          <w:rFonts w:cs="Arial" w:hint="cs"/>
          <w:rtl/>
        </w:rPr>
        <w:t>,</w:t>
      </w:r>
      <w:r w:rsidRPr="00AF270F">
        <w:rPr>
          <w:rFonts w:cs="Arial"/>
          <w:rtl/>
        </w:rPr>
        <w:t xml:space="preserve"> דמה לי אותן נכסים עצמן מה לי אחרים</w:t>
      </w:r>
      <w:r w:rsidR="004C1829">
        <w:rPr>
          <w:rFonts w:cs="Arial" w:hint="cs"/>
          <w:rtl/>
        </w:rPr>
        <w:t>,</w:t>
      </w:r>
      <w:r w:rsidRPr="00AF270F">
        <w:rPr>
          <w:rFonts w:cs="Arial"/>
          <w:rtl/>
        </w:rPr>
        <w:t xml:space="preserve"> שאם נתרצית להקנות המתנה לבנות ולמחול להם שעבודה לבעלה מיהא לא מחלה מידי אם תמצא מקום לגבות</w:t>
      </w:r>
      <w:r w:rsidR="004C1829">
        <w:rPr>
          <w:rFonts w:cs="Arial" w:hint="cs"/>
          <w:rtl/>
        </w:rPr>
        <w:t>,</w:t>
      </w:r>
      <w:r w:rsidRPr="00AF270F">
        <w:rPr>
          <w:rFonts w:cs="Arial"/>
          <w:rtl/>
        </w:rPr>
        <w:t xml:space="preserve"> וכן הלכה</w:t>
      </w:r>
      <w:r>
        <w:rPr>
          <w:rFonts w:hint="cs"/>
          <w:rtl/>
        </w:rPr>
        <w:t>, רשב"ם.</w:t>
      </w:r>
    </w:p>
  </w:footnote>
  <w:footnote w:id="2317">
    <w:p w14:paraId="6B808E87" w14:textId="77777777" w:rsidR="009E192F" w:rsidRDefault="009E192F" w:rsidP="009E192F">
      <w:pPr>
        <w:pStyle w:val="a5"/>
      </w:pPr>
      <w:r>
        <w:rPr>
          <w:rStyle w:val="a7"/>
        </w:rPr>
        <w:footnoteRef/>
      </w:r>
      <w:r>
        <w:rPr>
          <w:rtl/>
        </w:rPr>
        <w:t xml:space="preserve"> </w:t>
      </w:r>
      <w:r>
        <w:rPr>
          <w:rFonts w:hint="cs"/>
          <w:rtl/>
        </w:rPr>
        <w:t>וז"ל:</w:t>
      </w:r>
      <w:r w:rsidRPr="00966A05">
        <w:rPr>
          <w:rtl/>
        </w:rPr>
        <w:t xml:space="preserve"> </w:t>
      </w:r>
      <w:r w:rsidRPr="00966A05">
        <w:rPr>
          <w:rFonts w:cs="Arial"/>
          <w:rtl/>
        </w:rPr>
        <w:t>וכן הכותב נכסיו לבניו בין זכרים בין נקבות בין בריא בין שכיב מרע וכתב לאשתו עמהן קרקע כל שהוא, הואיל ועשה אותה שותף בין הבנים ולא מחתה אבדה כתובתה ואינה טורפת מנכסים אלו כלום, אבל מנכסיו שיבואו לו אחר אלו נוטלת מהן כתובתה.</w:t>
      </w:r>
      <w:r w:rsidRPr="0055616C">
        <w:rPr>
          <w:rtl/>
        </w:rPr>
        <w:t xml:space="preserve"> </w:t>
      </w:r>
      <w:r>
        <w:rPr>
          <w:rFonts w:hint="cs"/>
          <w:sz w:val="14"/>
          <w:szCs w:val="14"/>
          <w:rtl/>
        </w:rPr>
        <w:t xml:space="preserve">(ה"י) </w:t>
      </w:r>
      <w:r w:rsidRPr="0055616C">
        <w:rPr>
          <w:rFonts w:cs="Arial"/>
          <w:rtl/>
        </w:rPr>
        <w:t>כתב לה עמהן מטלטלין בלבד או ששייר לעצמו קרקע כל שהוא, כתובתה קיימת, ותקנת הגאונים היא שאפילו שייר מטלטלים כל שהוא, שהרי היא אומרת ממה ששייר אני גובה ומתוך שתרד למה ששייר תרד לשאר נכסים ותטרוף.</w:t>
      </w:r>
    </w:p>
  </w:footnote>
  <w:footnote w:id="2318">
    <w:p w14:paraId="3FC5842A" w14:textId="77777777" w:rsidR="007D38CA" w:rsidRDefault="007D38CA" w:rsidP="007D38CA">
      <w:pPr>
        <w:pStyle w:val="a5"/>
        <w:rPr>
          <w:rtl/>
        </w:rPr>
      </w:pPr>
      <w:r>
        <w:rPr>
          <w:rStyle w:val="a7"/>
        </w:rPr>
        <w:footnoteRef/>
      </w:r>
      <w:r>
        <w:rPr>
          <w:rtl/>
        </w:rPr>
        <w:t xml:space="preserve"> </w:t>
      </w:r>
      <w:r>
        <w:rPr>
          <w:rFonts w:hint="cs"/>
          <w:rtl/>
        </w:rPr>
        <w:t>וז"ל:</w:t>
      </w:r>
      <w:r w:rsidRPr="007D38CA">
        <w:rPr>
          <w:rtl/>
        </w:rPr>
        <w:t xml:space="preserve"> </w:t>
      </w:r>
      <w:r>
        <w:rPr>
          <w:rFonts w:cs="Arial"/>
          <w:rtl/>
        </w:rPr>
        <w:t xml:space="preserve">עוד ילמדני המחלק נכסיו לאשתו ולבניו בפני אשתו והיא שותקת דקיי"ל שאבדה כתובתה אם אבדה נמי שטר נדוניתה מאחר שנדוניתה יכולה לגבות אף מחיים. </w:t>
      </w:r>
      <w:r>
        <w:rPr>
          <w:rFonts w:cs="Arial" w:hint="cs"/>
          <w:rtl/>
        </w:rPr>
        <w:t xml:space="preserve">  </w:t>
      </w:r>
      <w:r>
        <w:rPr>
          <w:rFonts w:cs="Arial"/>
          <w:rtl/>
        </w:rPr>
        <w:t>תשובה</w:t>
      </w:r>
      <w:r>
        <w:rPr>
          <w:rFonts w:cs="Arial" w:hint="cs"/>
          <w:rtl/>
        </w:rPr>
        <w:t>:</w:t>
      </w:r>
      <w:r>
        <w:rPr>
          <w:rFonts w:cs="Arial"/>
          <w:rtl/>
        </w:rPr>
        <w:t xml:space="preserve"> נראה לי כיון דקיי"ל התם מקולי כתובה שנו כאן דדוקא בכתובה קאמר ולא בשטר נדוניה שיש לה דלא חלקו חכמים בשטר חוב שיש לו עליו ואינו נקרא תנאי כתובה לומר ככתובה דמי.</w:t>
      </w:r>
    </w:p>
  </w:footnote>
  <w:footnote w:id="2319">
    <w:p w14:paraId="16B35321" w14:textId="706D05E8" w:rsidR="00EF4FCE" w:rsidRDefault="00EF4FCE">
      <w:pPr>
        <w:pStyle w:val="a5"/>
      </w:pPr>
      <w:r>
        <w:rPr>
          <w:rStyle w:val="a7"/>
        </w:rPr>
        <w:footnoteRef/>
      </w:r>
      <w:r>
        <w:rPr>
          <w:rtl/>
        </w:rPr>
        <w:t xml:space="preserve"> </w:t>
      </w:r>
      <w:r w:rsidRPr="006348E4">
        <w:rPr>
          <w:rFonts w:cs="Arial"/>
          <w:rtl/>
        </w:rPr>
        <w:t xml:space="preserve">עי' בס' ישועות יעקב </w:t>
      </w:r>
      <w:r>
        <w:rPr>
          <w:rFonts w:cs="Arial" w:hint="cs"/>
          <w:rtl/>
        </w:rPr>
        <w:t>(</w:t>
      </w:r>
      <w:r w:rsidRPr="006348E4">
        <w:rPr>
          <w:rFonts w:cs="Arial"/>
          <w:rtl/>
        </w:rPr>
        <w:t>סק"ה</w:t>
      </w:r>
      <w:r>
        <w:rPr>
          <w:rFonts w:cs="Arial" w:hint="cs"/>
          <w:rtl/>
        </w:rPr>
        <w:t>)</w:t>
      </w:r>
      <w:r w:rsidRPr="006348E4">
        <w:rPr>
          <w:rFonts w:cs="Arial"/>
          <w:rtl/>
        </w:rPr>
        <w:t xml:space="preserve"> שכ' דאם כבר מכר נכסים קודם לכן נ"ל ברור דלא אמרי' דמחלה גם על אלו נכסים שכבר מכר</w:t>
      </w:r>
      <w:r>
        <w:rPr>
          <w:rFonts w:cs="Arial" w:hint="cs"/>
          <w:rtl/>
        </w:rPr>
        <w:t>,</w:t>
      </w:r>
      <w:r w:rsidRPr="006348E4">
        <w:rPr>
          <w:rFonts w:cs="Arial"/>
          <w:rtl/>
        </w:rPr>
        <w:t xml:space="preserve"> ודוקא על הנכסים שיש בעין ונתן אותו מתנה לבניו אמרי' דמחלה ולא על הנכסים שכבר נמכר והביא ע"ז ראי' ברורה ע"ש</w:t>
      </w:r>
      <w:r>
        <w:rPr>
          <w:rFonts w:cs="Arial" w:hint="cs"/>
          <w:rtl/>
        </w:rPr>
        <w:t xml:space="preserve">, </w:t>
      </w:r>
      <w:r w:rsidR="001F4092">
        <w:rPr>
          <w:rFonts w:cs="Arial" w:hint="cs"/>
          <w:rtl/>
        </w:rPr>
        <w:t>פת"ש (סק"א).</w:t>
      </w:r>
    </w:p>
  </w:footnote>
  <w:footnote w:id="2320">
    <w:p w14:paraId="3241FF4D" w14:textId="5B0A650B" w:rsidR="004E49F3" w:rsidRDefault="004E49F3">
      <w:pPr>
        <w:pStyle w:val="a5"/>
      </w:pPr>
      <w:r>
        <w:rPr>
          <w:rStyle w:val="a7"/>
        </w:rPr>
        <w:footnoteRef/>
      </w:r>
      <w:r>
        <w:rPr>
          <w:rtl/>
        </w:rPr>
        <w:t xml:space="preserve"> </w:t>
      </w:r>
      <w:r w:rsidRPr="004E49F3">
        <w:rPr>
          <w:rFonts w:cs="Arial"/>
          <w:rtl/>
        </w:rPr>
        <w:t>דאומד הדעת הוא דאין אדם מניח את בניו ונותן את הכל לאשתו ולא נתכוין אלא לעשותה אפוטרופא כדי שיחלקו לה בניו כבוד משום דאוקי אבוהון נכסי ברשותה לפרנסם מהם כפי אומד דעתה ויהיו כפופים לה ולקמן מני לה מהני תלת מילי דשוינהו רבנן כהלכתא בלא טעמא דדברי נבואה הם בפ' מי שמת לפי שאנו מניחין מה שכתוב בשטר בהדיא שנתן לה הכל לילך אחר אומד דעתנו</w:t>
      </w:r>
      <w:r>
        <w:rPr>
          <w:rFonts w:cs="Arial" w:hint="cs"/>
          <w:rtl/>
        </w:rPr>
        <w:t>..., רשב"ם.</w:t>
      </w:r>
    </w:p>
  </w:footnote>
  <w:footnote w:id="2321">
    <w:p w14:paraId="604A8F02" w14:textId="6D9F61D9" w:rsidR="00D777DC" w:rsidRDefault="00D777DC">
      <w:pPr>
        <w:pStyle w:val="a5"/>
        <w:rPr>
          <w:rtl/>
        </w:rPr>
      </w:pPr>
      <w:r>
        <w:rPr>
          <w:rStyle w:val="a7"/>
        </w:rPr>
        <w:footnoteRef/>
      </w:r>
      <w:r>
        <w:rPr>
          <w:rtl/>
        </w:rPr>
        <w:t xml:space="preserve"> </w:t>
      </w:r>
      <w:r w:rsidRPr="00D777DC">
        <w:rPr>
          <w:rFonts w:cs="Arial"/>
          <w:rtl/>
        </w:rPr>
        <w:t>דאינו חושש לכבודן זו מפני שגירשה וזו מפני שלא הכניסה עדיין,</w:t>
      </w:r>
      <w:r>
        <w:rPr>
          <w:rFonts w:hint="cs"/>
          <w:rtl/>
        </w:rPr>
        <w:t xml:space="preserve"> רשב"ם.</w:t>
      </w:r>
    </w:p>
  </w:footnote>
  <w:footnote w:id="2322">
    <w:p w14:paraId="050FBD12" w14:textId="1CE7024F" w:rsidR="003B1934" w:rsidRDefault="003B1934">
      <w:pPr>
        <w:pStyle w:val="a5"/>
      </w:pPr>
      <w:r>
        <w:rPr>
          <w:rStyle w:val="a7"/>
        </w:rPr>
        <w:footnoteRef/>
      </w:r>
      <w:r>
        <w:rPr>
          <w:rtl/>
        </w:rPr>
        <w:t xml:space="preserve"> </w:t>
      </w:r>
      <w:r w:rsidRPr="003B1934">
        <w:rPr>
          <w:rFonts w:cs="Arial"/>
          <w:rtl/>
        </w:rPr>
        <w:t>שאין לו בנים ואב אלא אחין וכיון דאחיו אינן חייבין בכבוד אשתו כלל אינו חושש שיכבדוה ומתנה הוא דיהב לה או דלמא כיון דאשתו כגופו דמיא רוצה שיכבדוה ואפוטרופא שויה</w:t>
      </w:r>
      <w:r>
        <w:rPr>
          <w:rFonts w:cs="Arial" w:hint="cs"/>
          <w:rtl/>
        </w:rPr>
        <w:t>, רשב"ם.</w:t>
      </w:r>
    </w:p>
  </w:footnote>
  <w:footnote w:id="2323">
    <w:p w14:paraId="1BFC3146" w14:textId="6240A7B0" w:rsidR="004E49F3" w:rsidRDefault="004E49F3">
      <w:pPr>
        <w:pStyle w:val="a5"/>
      </w:pPr>
      <w:r>
        <w:rPr>
          <w:rStyle w:val="a7"/>
        </w:rPr>
        <w:footnoteRef/>
      </w:r>
      <w:r>
        <w:rPr>
          <w:rtl/>
        </w:rPr>
        <w:t xml:space="preserve"> </w:t>
      </w:r>
      <w:r w:rsidRPr="004E49F3">
        <w:rPr>
          <w:rFonts w:cs="Arial"/>
          <w:rtl/>
        </w:rPr>
        <w:t>הנך חמש נשים לא קנו לבד מאשתו ארוסה ואשתו גרושה</w:t>
      </w:r>
      <w:r>
        <w:rPr>
          <w:rFonts w:cs="Arial" w:hint="cs"/>
          <w:rtl/>
        </w:rPr>
        <w:t>, רשב"ם.</w:t>
      </w:r>
    </w:p>
  </w:footnote>
  <w:footnote w:id="2324">
    <w:p w14:paraId="3D19AA06" w14:textId="0034BDB7" w:rsidR="0021681D" w:rsidRDefault="0021681D">
      <w:pPr>
        <w:pStyle w:val="a5"/>
        <w:rPr>
          <w:rtl/>
        </w:rPr>
      </w:pPr>
      <w:r>
        <w:rPr>
          <w:rStyle w:val="a7"/>
        </w:rPr>
        <w:footnoteRef/>
      </w:r>
      <w:r>
        <w:rPr>
          <w:rtl/>
        </w:rPr>
        <w:t xml:space="preserve"> </w:t>
      </w:r>
      <w:r w:rsidRPr="0021681D">
        <w:rPr>
          <w:rFonts w:cs="Arial"/>
          <w:rtl/>
        </w:rPr>
        <w:t>הנך חמש נשים קנו לבד מאשה אצל אחין ואשה אצל בני הבעל ובסברות בעלמא פליגי ובת אצל הבנים לבדה איכא בינייהו לרבינא לא קניא לרב עוירא קניא</w:t>
      </w:r>
      <w:r>
        <w:rPr>
          <w:rFonts w:hint="cs"/>
          <w:rtl/>
        </w:rPr>
        <w:t>, רשב"ם.</w:t>
      </w:r>
    </w:p>
  </w:footnote>
  <w:footnote w:id="2325">
    <w:p w14:paraId="12E581FD" w14:textId="77777777" w:rsidR="00E8501D" w:rsidRDefault="00E8501D" w:rsidP="00E8501D">
      <w:pPr>
        <w:pStyle w:val="a5"/>
      </w:pPr>
      <w:r>
        <w:rPr>
          <w:rStyle w:val="a7"/>
        </w:rPr>
        <w:footnoteRef/>
      </w:r>
      <w:r>
        <w:rPr>
          <w:rtl/>
        </w:rPr>
        <w:t xml:space="preserve"> </w:t>
      </w:r>
      <w:r w:rsidRPr="004C7C15">
        <w:rPr>
          <w:rFonts w:cs="Arial"/>
          <w:rtl/>
        </w:rPr>
        <w:t>שכתב כל נכסיו לאשתו ולכל הני דאיירי שמואל אם כתב להם במתנה מהיום לגמרי</w:t>
      </w:r>
      <w:r>
        <w:rPr>
          <w:rFonts w:cs="Arial" w:hint="cs"/>
          <w:rtl/>
        </w:rPr>
        <w:t>,</w:t>
      </w:r>
      <w:r w:rsidRPr="004C7C15">
        <w:rPr>
          <w:rFonts w:cs="Arial"/>
          <w:rtl/>
        </w:rPr>
        <w:t xml:space="preserve"> אי נמי מהיום ולאחר מיתה</w:t>
      </w:r>
      <w:r>
        <w:rPr>
          <w:rFonts w:cs="Arial" w:hint="cs"/>
          <w:rtl/>
        </w:rPr>
        <w:t>,</w:t>
      </w:r>
      <w:r w:rsidRPr="004C7C15">
        <w:rPr>
          <w:rFonts w:cs="Arial"/>
          <w:rtl/>
        </w:rPr>
        <w:t xml:space="preserve"> מי אמרינן מתנה גמורה היא</w:t>
      </w:r>
      <w:r>
        <w:rPr>
          <w:rFonts w:cs="Arial" w:hint="cs"/>
          <w:rtl/>
        </w:rPr>
        <w:t>,</w:t>
      </w:r>
      <w:r w:rsidRPr="004C7C15">
        <w:rPr>
          <w:rFonts w:cs="Arial"/>
          <w:rtl/>
        </w:rPr>
        <w:t xml:space="preserve"> דאי משום כבודה הא קאי הוא ויכבדוה מאימתו</w:t>
      </w:r>
      <w:r>
        <w:rPr>
          <w:rFonts w:cs="Arial" w:hint="cs"/>
          <w:rtl/>
        </w:rPr>
        <w:t>, רשב"ם.</w:t>
      </w:r>
    </w:p>
  </w:footnote>
  <w:footnote w:id="2326">
    <w:p w14:paraId="09B88721" w14:textId="77777777" w:rsidR="00E8501D" w:rsidRDefault="00E8501D" w:rsidP="00E8501D">
      <w:pPr>
        <w:pStyle w:val="a5"/>
      </w:pPr>
      <w:r>
        <w:rPr>
          <w:rStyle w:val="a7"/>
        </w:rPr>
        <w:footnoteRef/>
      </w:r>
      <w:r>
        <w:rPr>
          <w:rtl/>
        </w:rPr>
        <w:t xml:space="preserve"> </w:t>
      </w:r>
      <w:r w:rsidRPr="00E146D7">
        <w:rPr>
          <w:rFonts w:cs="Arial"/>
          <w:rtl/>
        </w:rPr>
        <w:t>שקדם למתנה זו ומיהו לכתובתה לא קדם</w:t>
      </w:r>
      <w:r>
        <w:rPr>
          <w:rFonts w:cs="Arial" w:hint="cs"/>
          <w:rtl/>
        </w:rPr>
        <w:t>, רשב"ם.</w:t>
      </w:r>
    </w:p>
  </w:footnote>
  <w:footnote w:id="2327">
    <w:p w14:paraId="0724A3A8" w14:textId="77777777" w:rsidR="00E8501D" w:rsidRDefault="00E8501D" w:rsidP="00E8501D">
      <w:pPr>
        <w:pStyle w:val="a5"/>
        <w:rPr>
          <w:rtl/>
        </w:rPr>
      </w:pPr>
      <w:r>
        <w:rPr>
          <w:rStyle w:val="a7"/>
        </w:rPr>
        <w:footnoteRef/>
      </w:r>
      <w:r>
        <w:rPr>
          <w:rtl/>
        </w:rPr>
        <w:t xml:space="preserve"> </w:t>
      </w:r>
      <w:r w:rsidRPr="00F04834">
        <w:rPr>
          <w:rFonts w:cs="Arial"/>
          <w:rtl/>
        </w:rPr>
        <w:t>דליפות כחה נכתבה מתנה זו לזכות במותר נכסים אבל היא לא מחלה שעבוד כתובתה שעל נכסים הללו בשביל מתנה זו</w:t>
      </w:r>
      <w:r>
        <w:rPr>
          <w:rFonts w:cs="Arial" w:hint="cs"/>
          <w:rtl/>
        </w:rPr>
        <w:t>,</w:t>
      </w:r>
      <w:r w:rsidRPr="00F04834">
        <w:rPr>
          <w:rFonts w:cs="Arial"/>
          <w:rtl/>
        </w:rPr>
        <w:t xml:space="preserve"> שאם תיבטל מתנה זו בשביל בעל חוב הקודם תחזור עליהם מכח שעבוד כתובתה</w:t>
      </w:r>
      <w:r>
        <w:rPr>
          <w:rFonts w:cs="Arial" w:hint="cs"/>
          <w:rtl/>
        </w:rPr>
        <w:t>,</w:t>
      </w:r>
      <w:r w:rsidRPr="00F04834">
        <w:rPr>
          <w:rFonts w:cs="Arial"/>
          <w:rtl/>
        </w:rPr>
        <w:t xml:space="preserve"> והלכך רוצה היא שתקרע מתנתה</w:t>
      </w:r>
      <w:r>
        <w:rPr>
          <w:rFonts w:hint="cs"/>
          <w:rtl/>
        </w:rPr>
        <w:t>, רשב"ם.</w:t>
      </w:r>
    </w:p>
  </w:footnote>
  <w:footnote w:id="2328">
    <w:p w14:paraId="23A70D05" w14:textId="77777777" w:rsidR="00E8501D" w:rsidRDefault="00E8501D" w:rsidP="00E8501D">
      <w:pPr>
        <w:pStyle w:val="a5"/>
      </w:pPr>
      <w:r>
        <w:rPr>
          <w:rStyle w:val="a7"/>
        </w:rPr>
        <w:footnoteRef/>
      </w:r>
      <w:r>
        <w:rPr>
          <w:rtl/>
        </w:rPr>
        <w:t xml:space="preserve"> </w:t>
      </w:r>
      <w:r w:rsidRPr="005E168D">
        <w:rPr>
          <w:rFonts w:cs="Arial"/>
          <w:rtl/>
        </w:rPr>
        <w:t>לאו דוקא שהרי אינה מוחלת כתובתה בשביל שום מתנה שנותן לה בעל דאי קנה נכסים אחרי כן תגבה מהן כתובתה כדאמרינן לקמן בשמעתין שהרי כך כתב לה דקנאי ודעתיד אנא למיקני אבל מהנהו נכסים דיהיב לה מחלה שעבוד כתובתה דמינייהו לא תגבי כתובתה הואיל ובמתנת חנם באו לידה דאינה נותנת אל לבה שמא יבא בעל חוב ויטרפם בחובו הלכך תקרע כתובתה לגבי הני נכסים שלא תטרוף</w:t>
      </w:r>
      <w:r>
        <w:rPr>
          <w:rFonts w:cs="Arial" w:hint="cs"/>
          <w:rtl/>
        </w:rPr>
        <w:t>, רשב"ם.</w:t>
      </w:r>
    </w:p>
  </w:footnote>
  <w:footnote w:id="2329">
    <w:p w14:paraId="5AAB3A01" w14:textId="77777777" w:rsidR="00E8501D" w:rsidRDefault="00E8501D" w:rsidP="00E8501D">
      <w:pPr>
        <w:pStyle w:val="a5"/>
      </w:pPr>
      <w:r>
        <w:rPr>
          <w:rStyle w:val="a7"/>
        </w:rPr>
        <w:footnoteRef/>
      </w:r>
      <w:r>
        <w:rPr>
          <w:rtl/>
        </w:rPr>
        <w:t xml:space="preserve"> </w:t>
      </w:r>
      <w:r w:rsidRPr="0051724C">
        <w:rPr>
          <w:rFonts w:cs="Arial"/>
          <w:rtl/>
        </w:rPr>
        <w:t>אם אפשר לה להתקיים הלכך כיון דלא הויא מתנה נמצאת קרחת מכאן ומכאן ומיהו מחילה בטעות ליתא דההיא מתנה גמורה היתה באותה שעה דהא אי בעי בעל מצי מסלק ליה בזוזי וכדאמר רבא בפסחים בפרק כל שעה (ל:) דבעל חוב מכאן ולהבא הוא גובה</w:t>
      </w:r>
      <w:r>
        <w:rPr>
          <w:rFonts w:cs="Arial" w:hint="cs"/>
          <w:rtl/>
        </w:rPr>
        <w:t>, רשב"ם.</w:t>
      </w:r>
    </w:p>
  </w:footnote>
  <w:footnote w:id="2330">
    <w:p w14:paraId="75DD1340" w14:textId="77777777" w:rsidR="00E8501D" w:rsidRDefault="00E8501D" w:rsidP="00E8501D">
      <w:pPr>
        <w:pStyle w:val="a5"/>
        <w:rPr>
          <w:rtl/>
        </w:rPr>
      </w:pPr>
      <w:r>
        <w:rPr>
          <w:rStyle w:val="a7"/>
        </w:rPr>
        <w:footnoteRef/>
      </w:r>
      <w:r>
        <w:rPr>
          <w:rtl/>
        </w:rPr>
        <w:t xml:space="preserve"> </w:t>
      </w:r>
      <w:r>
        <w:rPr>
          <w:rFonts w:cs="Arial"/>
          <w:rtl/>
        </w:rPr>
        <w:t>מאי טעמא</w:t>
      </w:r>
      <w:r>
        <w:rPr>
          <w:rFonts w:cs="Arial" w:hint="cs"/>
          <w:rtl/>
        </w:rPr>
        <w:t>?</w:t>
      </w:r>
      <w:r>
        <w:rPr>
          <w:rFonts w:cs="Arial"/>
          <w:rtl/>
        </w:rPr>
        <w:t xml:space="preserve"> אומדן דעתא הוא דניחא לה דליפוק עלה קלא דכתבינהו לה כולהו נכסי אפילו חד יומא</w:t>
      </w:r>
      <w:r>
        <w:rPr>
          <w:rFonts w:cs="Arial" w:hint="cs"/>
          <w:rtl/>
        </w:rPr>
        <w:t>, ב"י ע"פ המשך הגמרא.</w:t>
      </w:r>
    </w:p>
  </w:footnote>
  <w:footnote w:id="2331">
    <w:p w14:paraId="2AE3DC92" w14:textId="7AA899AB" w:rsidR="0031429E" w:rsidRDefault="0031429E">
      <w:pPr>
        <w:pStyle w:val="a5"/>
      </w:pPr>
      <w:r>
        <w:rPr>
          <w:rStyle w:val="a7"/>
        </w:rPr>
        <w:footnoteRef/>
      </w:r>
      <w:r>
        <w:rPr>
          <w:rtl/>
        </w:rPr>
        <w:t xml:space="preserve"> </w:t>
      </w:r>
      <w:r>
        <w:rPr>
          <w:rFonts w:cs="Arial" w:hint="cs"/>
          <w:rtl/>
        </w:rPr>
        <w:t xml:space="preserve">וז"ל: </w:t>
      </w:r>
      <w:r w:rsidRPr="004E478D">
        <w:rPr>
          <w:rFonts w:cs="Arial"/>
          <w:rtl/>
        </w:rPr>
        <w:t>הכותב כל נכסיו לאשתו</w:t>
      </w:r>
      <w:r>
        <w:rPr>
          <w:rFonts w:cs="Arial" w:hint="cs"/>
          <w:rtl/>
        </w:rPr>
        <w:t>,</w:t>
      </w:r>
      <w:r w:rsidRPr="004E478D">
        <w:rPr>
          <w:rFonts w:cs="Arial"/>
          <w:rtl/>
        </w:rPr>
        <w:t xml:space="preserve"> בין בריא בין שכיב מרע אע</w:t>
      </w:r>
      <w:r>
        <w:rPr>
          <w:rFonts w:cs="Arial" w:hint="cs"/>
          <w:rtl/>
        </w:rPr>
        <w:t>"</w:t>
      </w:r>
      <w:r w:rsidRPr="004E478D">
        <w:rPr>
          <w:rFonts w:cs="Arial"/>
          <w:rtl/>
        </w:rPr>
        <w:t xml:space="preserve">פ שקנו מידו </w:t>
      </w:r>
      <w:r>
        <w:rPr>
          <w:rFonts w:cs="Arial" w:hint="cs"/>
          <w:rtl/>
        </w:rPr>
        <w:t xml:space="preserve">- </w:t>
      </w:r>
      <w:r w:rsidRPr="004E478D">
        <w:rPr>
          <w:rFonts w:cs="Arial"/>
          <w:rtl/>
        </w:rPr>
        <w:t>לא עשאה אלא אפטרופא על יורשיו</w:t>
      </w:r>
      <w:r>
        <w:rPr>
          <w:rFonts w:cs="Arial" w:hint="cs"/>
          <w:rtl/>
        </w:rPr>
        <w:t>,</w:t>
      </w:r>
      <w:r w:rsidRPr="004E478D">
        <w:rPr>
          <w:rFonts w:cs="Arial"/>
          <w:rtl/>
        </w:rPr>
        <w:t xml:space="preserve"> בין שהיו יורשיו בניו ממנה או מאשה אחרת או אחיו או שאר יורשיו</w:t>
      </w:r>
      <w:r>
        <w:rPr>
          <w:rFonts w:cs="Arial" w:hint="cs"/>
          <w:rtl/>
        </w:rPr>
        <w:t>.</w:t>
      </w:r>
      <w:r w:rsidRPr="004E478D">
        <w:rPr>
          <w:rFonts w:cs="Arial"/>
          <w:rtl/>
        </w:rPr>
        <w:t xml:space="preserve"> ואם שייר כל שהו בין קרקע בין מטלטלין</w:t>
      </w:r>
      <w:r>
        <w:rPr>
          <w:rFonts w:cs="Arial" w:hint="cs"/>
          <w:rtl/>
        </w:rPr>
        <w:t xml:space="preserve"> -</w:t>
      </w:r>
      <w:r w:rsidRPr="004E478D">
        <w:rPr>
          <w:rFonts w:cs="Arial"/>
          <w:rtl/>
        </w:rPr>
        <w:t xml:space="preserve"> קנתה כל שכתב לה</w:t>
      </w:r>
      <w:r>
        <w:rPr>
          <w:rFonts w:cs="Arial" w:hint="cs"/>
          <w:rtl/>
        </w:rPr>
        <w:t>.</w:t>
      </w:r>
      <w:r w:rsidR="007343A7" w:rsidRPr="007343A7">
        <w:rPr>
          <w:rtl/>
        </w:rPr>
        <w:t xml:space="preserve"> </w:t>
      </w:r>
      <w:r w:rsidR="007343A7">
        <w:rPr>
          <w:rFonts w:hint="cs"/>
          <w:sz w:val="14"/>
          <w:szCs w:val="14"/>
          <w:rtl/>
        </w:rPr>
        <w:t xml:space="preserve">(ה"ה) </w:t>
      </w:r>
      <w:r w:rsidR="007343A7" w:rsidRPr="007343A7">
        <w:rPr>
          <w:rFonts w:cs="Arial"/>
          <w:rtl/>
        </w:rPr>
        <w:t>ב</w:t>
      </w:r>
      <w:r w:rsidR="007343A7">
        <w:rPr>
          <w:rFonts w:cs="Arial" w:hint="cs"/>
          <w:rtl/>
        </w:rPr>
        <w:t xml:space="preserve">ד"א </w:t>
      </w:r>
      <w:r w:rsidR="007343A7" w:rsidRPr="007343A7">
        <w:rPr>
          <w:rFonts w:cs="Arial"/>
          <w:rtl/>
        </w:rPr>
        <w:t>בנשואה</w:t>
      </w:r>
      <w:r w:rsidR="007343A7">
        <w:rPr>
          <w:rFonts w:cs="Arial" w:hint="cs"/>
          <w:rtl/>
        </w:rPr>
        <w:t>,</w:t>
      </w:r>
      <w:r w:rsidR="007343A7" w:rsidRPr="007343A7">
        <w:rPr>
          <w:rFonts w:cs="Arial"/>
          <w:rtl/>
        </w:rPr>
        <w:t xml:space="preserve"> אבל אם כתב כל נכסיו לאשתו ארוסה או לגרושה אע</w:t>
      </w:r>
      <w:r w:rsidR="007343A7">
        <w:rPr>
          <w:rFonts w:cs="Arial" w:hint="cs"/>
          <w:rtl/>
        </w:rPr>
        <w:t>"</w:t>
      </w:r>
      <w:r w:rsidR="007343A7" w:rsidRPr="007343A7">
        <w:rPr>
          <w:rFonts w:cs="Arial"/>
          <w:rtl/>
        </w:rPr>
        <w:t>פ שלא שייר כלום הרי היא כשאר בני אדם ומתנתו קיימת.</w:t>
      </w:r>
    </w:p>
  </w:footnote>
  <w:footnote w:id="2332">
    <w:p w14:paraId="67B91DA1" w14:textId="73080635" w:rsidR="007343A7" w:rsidRDefault="007343A7">
      <w:pPr>
        <w:pStyle w:val="a5"/>
      </w:pPr>
      <w:r>
        <w:rPr>
          <w:rStyle w:val="a7"/>
        </w:rPr>
        <w:footnoteRef/>
      </w:r>
      <w:r>
        <w:rPr>
          <w:rtl/>
        </w:rPr>
        <w:t xml:space="preserve"> </w:t>
      </w:r>
      <w:r>
        <w:rPr>
          <w:rFonts w:cs="Arial" w:hint="cs"/>
          <w:rtl/>
        </w:rPr>
        <w:t xml:space="preserve">וז"ל: </w:t>
      </w:r>
      <w:r w:rsidRPr="0031429E">
        <w:rPr>
          <w:rFonts w:cs="Arial"/>
          <w:rtl/>
        </w:rPr>
        <w:t>כל אשה שקנתה כל נכסי בעלה במתנה, אבדה כתובתה ותקרע</w:t>
      </w:r>
      <w:r w:rsidRPr="0031429E">
        <w:rPr>
          <w:rFonts w:cs="Arial" w:hint="cs"/>
          <w:rtl/>
        </w:rPr>
        <w:t>.</w:t>
      </w:r>
      <w:r w:rsidRPr="0031429E">
        <w:rPr>
          <w:rFonts w:cs="Arial"/>
          <w:rtl/>
        </w:rPr>
        <w:t xml:space="preserve"> לפיכך</w:t>
      </w:r>
      <w:r w:rsidRPr="0031429E">
        <w:rPr>
          <w:rFonts w:cs="Arial" w:hint="cs"/>
          <w:rtl/>
        </w:rPr>
        <w:t>,</w:t>
      </w:r>
      <w:r w:rsidRPr="0031429E">
        <w:rPr>
          <w:rFonts w:cs="Arial"/>
          <w:rtl/>
        </w:rPr>
        <w:t xml:space="preserve"> אם יצא שטר חוב עליו והלכו כל הנכסים בחובו שקדם המתנה </w:t>
      </w:r>
      <w:r w:rsidRPr="0031429E">
        <w:rPr>
          <w:rFonts w:cs="Arial" w:hint="cs"/>
          <w:rtl/>
        </w:rPr>
        <w:t xml:space="preserve">- </w:t>
      </w:r>
      <w:r w:rsidRPr="0031429E">
        <w:rPr>
          <w:rFonts w:cs="Arial"/>
          <w:rtl/>
        </w:rPr>
        <w:t>תשאר היא בלא כלום ולא תקח בכתובתה שקדמה החוב, שאומדן דעת הוא שבהנאה שבאה לה בשמועה זו שכתב לה כל נכסיו אבדה כל זכות שיש לה בנכסים חוץ ממתנה זו.</w:t>
      </w:r>
    </w:p>
  </w:footnote>
  <w:footnote w:id="2333">
    <w:p w14:paraId="3434C0E3" w14:textId="02D5820A" w:rsidR="00C734DC" w:rsidRDefault="00C734DC">
      <w:pPr>
        <w:pStyle w:val="a5"/>
        <w:rPr>
          <w:rtl/>
        </w:rPr>
      </w:pPr>
      <w:r>
        <w:rPr>
          <w:rStyle w:val="a7"/>
        </w:rPr>
        <w:footnoteRef/>
      </w:r>
      <w:r>
        <w:rPr>
          <w:rtl/>
        </w:rPr>
        <w:t xml:space="preserve"> </w:t>
      </w:r>
      <w:r>
        <w:rPr>
          <w:rFonts w:cs="Arial"/>
          <w:rtl/>
        </w:rPr>
        <w:t>שם (קלב.) בעי רבא בבריא היאך ולא איפשיטא</w:t>
      </w:r>
      <w:r>
        <w:rPr>
          <w:rFonts w:cs="Arial" w:hint="cs"/>
          <w:rtl/>
        </w:rPr>
        <w:t>,</w:t>
      </w:r>
      <w:r>
        <w:rPr>
          <w:rFonts w:cs="Arial"/>
          <w:rtl/>
        </w:rPr>
        <w:t xml:space="preserve"> וכתבו הרי"ף (נט:) והרא"ש (סי' לב) הילכך לא קנתה ולא עשאה אלא אפוטרופא</w:t>
      </w:r>
      <w:r>
        <w:rPr>
          <w:rFonts w:cs="Arial" w:hint="cs"/>
          <w:rtl/>
        </w:rPr>
        <w:t>.</w:t>
      </w:r>
      <w:r>
        <w:rPr>
          <w:rFonts w:cs="Arial"/>
          <w:rtl/>
        </w:rPr>
        <w:t xml:space="preserve"> וכן פסק הרמב"ם בפ</w:t>
      </w:r>
      <w:r>
        <w:rPr>
          <w:rFonts w:cs="Arial" w:hint="cs"/>
          <w:rtl/>
        </w:rPr>
        <w:t>"</w:t>
      </w:r>
      <w:r>
        <w:rPr>
          <w:rFonts w:cs="Arial"/>
          <w:rtl/>
        </w:rPr>
        <w:t>ו מהל</w:t>
      </w:r>
      <w:r>
        <w:rPr>
          <w:rFonts w:cs="Arial" w:hint="cs"/>
          <w:rtl/>
        </w:rPr>
        <w:t>'</w:t>
      </w:r>
      <w:r>
        <w:rPr>
          <w:rFonts w:cs="Arial"/>
          <w:rtl/>
        </w:rPr>
        <w:t xml:space="preserve"> זכיה (ה"ד). וכתב הרשב"א (ח"</w:t>
      </w:r>
      <w:r>
        <w:rPr>
          <w:rFonts w:cs="Arial" w:hint="cs"/>
          <w:rtl/>
        </w:rPr>
        <w:t>א</w:t>
      </w:r>
      <w:r>
        <w:rPr>
          <w:rFonts w:cs="Arial"/>
          <w:rtl/>
        </w:rPr>
        <w:t xml:space="preserve"> סי</w:t>
      </w:r>
      <w:r>
        <w:rPr>
          <w:rFonts w:cs="Arial" w:hint="cs"/>
          <w:rtl/>
        </w:rPr>
        <w:t>'</w:t>
      </w:r>
      <w:r>
        <w:rPr>
          <w:rFonts w:cs="Arial"/>
          <w:rtl/>
        </w:rPr>
        <w:t xml:space="preserve"> אלף מ</w:t>
      </w:r>
      <w:r>
        <w:rPr>
          <w:rFonts w:cs="Arial" w:hint="cs"/>
          <w:rtl/>
        </w:rPr>
        <w:t>ח, וכ"כ נמוק"י [ב"ב נט.])</w:t>
      </w:r>
      <w:r>
        <w:rPr>
          <w:rFonts w:cs="Arial"/>
          <w:rtl/>
        </w:rPr>
        <w:t xml:space="preserve"> אע</w:t>
      </w:r>
      <w:r>
        <w:rPr>
          <w:rFonts w:cs="Arial" w:hint="cs"/>
          <w:rtl/>
        </w:rPr>
        <w:t>"</w:t>
      </w:r>
      <w:r>
        <w:rPr>
          <w:rFonts w:cs="Arial"/>
          <w:rtl/>
        </w:rPr>
        <w:t xml:space="preserve">פ שיש מן הגדולים שכתבו דבריא שכתב בלשון מתנה וקנו מידו קנתה ובעיא דרבא בשכתב בלשון ירושה </w:t>
      </w:r>
      <w:r>
        <w:rPr>
          <w:rFonts w:cs="Arial" w:hint="cs"/>
          <w:rtl/>
        </w:rPr>
        <w:t xml:space="preserve">- </w:t>
      </w:r>
      <w:r>
        <w:rPr>
          <w:rFonts w:cs="Arial"/>
          <w:rtl/>
        </w:rPr>
        <w:t>לא נתחוורו דבריהם</w:t>
      </w:r>
      <w:r>
        <w:rPr>
          <w:rFonts w:cs="Arial" w:hint="cs"/>
          <w:rtl/>
        </w:rPr>
        <w:t>,</w:t>
      </w:r>
      <w:r>
        <w:rPr>
          <w:rFonts w:cs="Arial"/>
          <w:rtl/>
        </w:rPr>
        <w:t xml:space="preserve"> ובמה שעשאה אפוטרופא ודאי לא הפסידה כתובתה ואין חשש בדבר זה עכ"ל. ולקמן בסמוך אכתוב בזה. עיין במישרים נכ"ג חי"א (סה ע"ב)</w:t>
      </w:r>
      <w:r>
        <w:rPr>
          <w:rFonts w:hint="cs"/>
          <w:rtl/>
        </w:rPr>
        <w:t>, ב"י.</w:t>
      </w:r>
    </w:p>
  </w:footnote>
  <w:footnote w:id="2334">
    <w:p w14:paraId="47D33378" w14:textId="77777777" w:rsidR="0031429E" w:rsidRDefault="0031429E" w:rsidP="0031429E">
      <w:pPr>
        <w:pStyle w:val="a5"/>
      </w:pPr>
      <w:r>
        <w:rPr>
          <w:rStyle w:val="a7"/>
        </w:rPr>
        <w:footnoteRef/>
      </w:r>
      <w:r>
        <w:rPr>
          <w:rtl/>
        </w:rPr>
        <w:t xml:space="preserve"> </w:t>
      </w:r>
      <w:r>
        <w:rPr>
          <w:rFonts w:cs="Arial" w:hint="cs"/>
          <w:rtl/>
        </w:rPr>
        <w:t xml:space="preserve">וז"ל: </w:t>
      </w:r>
      <w:r>
        <w:rPr>
          <w:rFonts w:cs="Arial"/>
          <w:rtl/>
        </w:rPr>
        <w:t>אחד שכתב כל נכסיו לאשתו במתנת בריא ושייר לעצמו מקום ישיבתו בב"ה נשאת ונתת בדבר אי אמרינן בכהאי גוונא תקרע כתובתה ותעמוד על מתנתה כיון דשייר לעצמו מקום בב"ה והכרעת לעצמך דאמרינן שפיר תקרע כתובתה אף על גב דשייר ויפה הכרעת דלא בעינן מתנה בכל נכסיו דהא אמרינן בפרק מי שמת (ב"ב קנ:) ה' עד שיכתבו כל נכסיהם ואלו הם שכיב מרע וכו' ואילו כתב כל נכסיו לאשתו ויצא עליו שטר חוב לא קא חשיב ואי תיקשי לך הא קתני רישא למחצה לשליש ולרביע גובה כתובתה מן השאר אלמא לא מחלה עד שיכתוב לה כל נכסיו יש לומר כשכותב לה סכום בנכסיו כמו מחציתם שלישיתם או רביעיתם אפילו היו לו נכסים מרובים לא מחלה כתובתה אבל כשכתב לה כל נכסיו</w:t>
      </w:r>
      <w:r>
        <w:rPr>
          <w:rFonts w:cs="Arial" w:hint="cs"/>
          <w:rtl/>
        </w:rPr>
        <w:t>,</w:t>
      </w:r>
      <w:r>
        <w:rPr>
          <w:rFonts w:cs="Arial"/>
          <w:rtl/>
        </w:rPr>
        <w:t xml:space="preserve"> ופירש ששייר שיור הרבה </w:t>
      </w:r>
      <w:r>
        <w:rPr>
          <w:rFonts w:cs="Arial" w:hint="cs"/>
          <w:rtl/>
        </w:rPr>
        <w:t xml:space="preserve">- </w:t>
      </w:r>
      <w:r>
        <w:rPr>
          <w:rFonts w:cs="Arial"/>
          <w:rtl/>
        </w:rPr>
        <w:t>מחלה כתובתה</w:t>
      </w:r>
      <w:r>
        <w:rPr>
          <w:rFonts w:cs="Arial" w:hint="cs"/>
          <w:rtl/>
        </w:rPr>
        <w:t>,</w:t>
      </w:r>
      <w:r>
        <w:rPr>
          <w:rFonts w:cs="Arial"/>
          <w:rtl/>
        </w:rPr>
        <w:t xml:space="preserve"> דכבוד שעשה לה שכתב לה כל נכסיו גורם המחילה כדמשמע לישנא דתלמודא דניחא לה דתיפוק עלה קלא דכתבינהו ניהלה כולהו ניכסי</w:t>
      </w:r>
      <w:r>
        <w:rPr>
          <w:rFonts w:cs="Arial" w:hint="cs"/>
          <w:rtl/>
        </w:rPr>
        <w:t>.</w:t>
      </w:r>
      <w:r>
        <w:rPr>
          <w:rFonts w:cs="Arial"/>
          <w:rtl/>
        </w:rPr>
        <w:t xml:space="preserve"> וכל שכן בנדון זה שמוכיח שהשיור היה לטובתה שאם לא שייר לא קנתה שהכותב כל נכסיו לאשתו לא עשאה אלא אפטרופא.</w:t>
      </w:r>
      <w:r>
        <w:rPr>
          <w:rFonts w:cs="Arial" w:hint="cs"/>
          <w:rtl/>
        </w:rPr>
        <w:t xml:space="preserve">.. </w:t>
      </w:r>
      <w:r>
        <w:rPr>
          <w:rFonts w:cs="Arial"/>
          <w:rtl/>
        </w:rPr>
        <w:t>עוד כתבת דנכסי דאזדבנו מקמי מתנה ליכא למימר דסלקא שעבודא דכתובה מינייהו</w:t>
      </w:r>
      <w:r>
        <w:rPr>
          <w:rFonts w:cs="Arial" w:hint="cs"/>
          <w:rtl/>
        </w:rPr>
        <w:t>,</w:t>
      </w:r>
      <w:r>
        <w:rPr>
          <w:rFonts w:cs="Arial"/>
          <w:rtl/>
        </w:rPr>
        <w:t xml:space="preserve"> ודמית נכסים הללו שמכר קודם המתנה לנכסים שקנה אחר המתנה דודאי גובה כתובתה מהם</w:t>
      </w:r>
      <w:r>
        <w:rPr>
          <w:rFonts w:cs="Arial" w:hint="cs"/>
          <w:rtl/>
        </w:rPr>
        <w:t>.</w:t>
      </w:r>
      <w:r>
        <w:rPr>
          <w:rFonts w:cs="Arial"/>
          <w:rtl/>
        </w:rPr>
        <w:t xml:space="preserve"> נראה לי שאין הנדון דומה לראיה</w:t>
      </w:r>
      <w:r>
        <w:rPr>
          <w:rFonts w:cs="Arial" w:hint="cs"/>
          <w:rtl/>
        </w:rPr>
        <w:t>,</w:t>
      </w:r>
      <w:r>
        <w:rPr>
          <w:rFonts w:cs="Arial"/>
          <w:rtl/>
        </w:rPr>
        <w:t xml:space="preserve"> דודאי להבא לא מחלה מן הנכסים שיקנה</w:t>
      </w:r>
      <w:r>
        <w:rPr>
          <w:rFonts w:cs="Arial" w:hint="cs"/>
          <w:rtl/>
        </w:rPr>
        <w:t>,</w:t>
      </w:r>
      <w:r>
        <w:rPr>
          <w:rFonts w:cs="Arial"/>
          <w:rtl/>
        </w:rPr>
        <w:t xml:space="preserve"> אבל לשעבר כיון שמחלה שעבוד כתובתה מן הנכסים שנתן לה אף אם יטרפם בעל חוב כל שכן שמחלה שעבוד שהיה לה על נכסים שכבר יצאו מרשותו ונכנסו לרשות הלוקחים ולא היו משועבדים לכתובתה בעוד שהיו כל נכסיו בני חורין לפניה</w:t>
      </w:r>
      <w:r>
        <w:rPr>
          <w:rFonts w:cs="Arial" w:hint="cs"/>
          <w:rtl/>
        </w:rPr>
        <w:t>,</w:t>
      </w:r>
      <w:r>
        <w:rPr>
          <w:rFonts w:cs="Arial"/>
          <w:rtl/>
        </w:rPr>
        <w:t xml:space="preserve"> ואם מחלה שעבוד בני חורין שהניחו הלקוחות איהי דאפסידה אנפשה ובשביל זה לא תחזור על הלקוחות</w:t>
      </w:r>
      <w:r>
        <w:rPr>
          <w:rFonts w:cs="Arial" w:hint="cs"/>
          <w:rtl/>
        </w:rPr>
        <w:t>,</w:t>
      </w:r>
      <w:r>
        <w:rPr>
          <w:rFonts w:cs="Arial"/>
          <w:rtl/>
        </w:rPr>
        <w:t xml:space="preserve"> ובודאי אין מחילה לחצאין אלא מחלה כל שעבוד כתובתה שהיה לה על כל נכסיו שקודם המתנה</w:t>
      </w:r>
      <w:r>
        <w:rPr>
          <w:rFonts w:cs="Arial" w:hint="cs"/>
          <w:rtl/>
        </w:rPr>
        <w:t>.</w:t>
      </w:r>
    </w:p>
  </w:footnote>
  <w:footnote w:id="2335">
    <w:p w14:paraId="21D8B603" w14:textId="77777777" w:rsidR="00CA49CF" w:rsidRDefault="00CA49CF" w:rsidP="00CA49CF">
      <w:pPr>
        <w:pStyle w:val="a5"/>
      </w:pPr>
      <w:r>
        <w:rPr>
          <w:rStyle w:val="a7"/>
        </w:rPr>
        <w:footnoteRef/>
      </w:r>
      <w:r>
        <w:rPr>
          <w:rtl/>
        </w:rPr>
        <w:t xml:space="preserve"> </w:t>
      </w:r>
      <w:r w:rsidRPr="004105AA">
        <w:rPr>
          <w:rFonts w:cs="Arial"/>
          <w:rtl/>
        </w:rPr>
        <w:t>פירוש במתנה גמורה ולא במינוי אפטרופוסות</w:t>
      </w:r>
      <w:r w:rsidRPr="004105AA">
        <w:rPr>
          <w:rFonts w:cs="Arial" w:hint="cs"/>
          <w:rtl/>
        </w:rPr>
        <w:t>,</w:t>
      </w:r>
      <w:r w:rsidRPr="004105AA">
        <w:rPr>
          <w:rFonts w:cs="Arial"/>
          <w:rtl/>
        </w:rPr>
        <w:t xml:space="preserve"> דבמינוי אפטרופוסות לא אבדה כתובתה</w:t>
      </w:r>
      <w:r w:rsidRPr="004105AA">
        <w:rPr>
          <w:rFonts w:cs="Arial" w:hint="cs"/>
          <w:rtl/>
        </w:rPr>
        <w:t>.</w:t>
      </w:r>
      <w:r w:rsidRPr="004105AA">
        <w:rPr>
          <w:rFonts w:cs="Arial"/>
          <w:rtl/>
        </w:rPr>
        <w:t xml:space="preserve"> וזהו שאמרו שם כשרצו להוכיח בעיין דבריא מהא דהכותב כל נכסיו לאשתו</w:t>
      </w:r>
      <w:r w:rsidRPr="004105AA">
        <w:rPr>
          <w:rFonts w:cs="Arial" w:hint="cs"/>
          <w:rtl/>
        </w:rPr>
        <w:t>,</w:t>
      </w:r>
      <w:r w:rsidRPr="004105AA">
        <w:rPr>
          <w:rFonts w:cs="Arial"/>
          <w:rtl/>
        </w:rPr>
        <w:t xml:space="preserve"> אמרו במאי</w:t>
      </w:r>
      <w:r w:rsidRPr="004105AA">
        <w:rPr>
          <w:rFonts w:cs="Arial" w:hint="cs"/>
          <w:rtl/>
        </w:rPr>
        <w:t>,</w:t>
      </w:r>
      <w:r w:rsidRPr="004105AA">
        <w:rPr>
          <w:rFonts w:cs="Arial"/>
          <w:rtl/>
        </w:rPr>
        <w:t xml:space="preserve"> אלימא בשכיב מרע והא אמרת לא עשאה אלא אפטרופא</w:t>
      </w:r>
      <w:r w:rsidRPr="004105AA">
        <w:rPr>
          <w:rFonts w:cs="Arial" w:hint="cs"/>
          <w:rtl/>
        </w:rPr>
        <w:t>,</w:t>
      </w:r>
      <w:r w:rsidRPr="004105AA">
        <w:rPr>
          <w:rFonts w:cs="Arial"/>
          <w:rtl/>
        </w:rPr>
        <w:t xml:space="preserve"> פירוש ולא קנתה ולא תקנה ולא תקרע כתובתה</w:t>
      </w:r>
      <w:r w:rsidRPr="004105AA">
        <w:rPr>
          <w:rFonts w:cs="Arial" w:hint="cs"/>
          <w:rtl/>
        </w:rPr>
        <w:t>,</w:t>
      </w:r>
      <w:r w:rsidRPr="004105AA">
        <w:rPr>
          <w:rFonts w:cs="Arial"/>
          <w:rtl/>
        </w:rPr>
        <w:t xml:space="preserve"> וכן הסכימו ז"ל</w:t>
      </w:r>
      <w:r>
        <w:rPr>
          <w:rFonts w:cs="Arial" w:hint="cs"/>
          <w:rtl/>
        </w:rPr>
        <w:t>, הה"מ (שם)</w:t>
      </w:r>
      <w:r w:rsidRPr="004105AA">
        <w:rPr>
          <w:rFonts w:cs="Arial"/>
          <w:rtl/>
        </w:rPr>
        <w:t>. וכן כתב נמוק</w:t>
      </w:r>
      <w:r w:rsidRPr="004105AA">
        <w:rPr>
          <w:rFonts w:cs="Arial" w:hint="cs"/>
          <w:rtl/>
        </w:rPr>
        <w:t>"</w:t>
      </w:r>
      <w:r w:rsidRPr="004105AA">
        <w:rPr>
          <w:rFonts w:cs="Arial"/>
          <w:rtl/>
        </w:rPr>
        <w:t>י (נט.) בשם התוספות ובשם רבינו האיי גאון</w:t>
      </w:r>
      <w:r w:rsidRPr="004105AA">
        <w:rPr>
          <w:rFonts w:cs="Arial" w:hint="cs"/>
          <w:rtl/>
        </w:rPr>
        <w:t>,</w:t>
      </w:r>
      <w:r w:rsidRPr="004105AA">
        <w:rPr>
          <w:rFonts w:cs="Arial"/>
          <w:rtl/>
        </w:rPr>
        <w:t xml:space="preserve"> וכתב בשם הריטב"א (קלא: ד"ה הכותב) שאין לחוש לדברי החולקים על זה ושכן דעת רבו ז"ל</w:t>
      </w:r>
      <w:r>
        <w:rPr>
          <w:rFonts w:cs="Arial" w:hint="cs"/>
          <w:rtl/>
        </w:rPr>
        <w:t xml:space="preserve"> עכ"ל, ב"י.</w:t>
      </w:r>
    </w:p>
  </w:footnote>
  <w:footnote w:id="2336">
    <w:p w14:paraId="38F6DE40" w14:textId="6ED79F7C" w:rsidR="00534B17" w:rsidRDefault="00534B17" w:rsidP="00534B17">
      <w:pPr>
        <w:pStyle w:val="a5"/>
        <w:rPr>
          <w:rtl/>
        </w:rPr>
      </w:pPr>
      <w:r>
        <w:rPr>
          <w:rStyle w:val="a7"/>
        </w:rPr>
        <w:footnoteRef/>
      </w:r>
      <w:r>
        <w:rPr>
          <w:rtl/>
        </w:rPr>
        <w:t xml:space="preserve"> </w:t>
      </w:r>
      <w:r w:rsidRPr="001106DD">
        <w:rPr>
          <w:rFonts w:cs="Arial"/>
          <w:rtl/>
        </w:rPr>
        <w:t>ובהג</w:t>
      </w:r>
      <w:r w:rsidR="00BF0CD6">
        <w:rPr>
          <w:rFonts w:cs="Arial" w:hint="cs"/>
          <w:rtl/>
        </w:rPr>
        <w:t xml:space="preserve">מ"ר </w:t>
      </w:r>
      <w:r w:rsidR="009C7535">
        <w:rPr>
          <w:rFonts w:cs="Arial" w:hint="cs"/>
          <w:rtl/>
        </w:rPr>
        <w:t>(</w:t>
      </w:r>
      <w:r w:rsidRPr="001106DD">
        <w:rPr>
          <w:rFonts w:cs="Arial"/>
          <w:rtl/>
        </w:rPr>
        <w:t>ב"ב סי' תרסו) תשובה ארוכה באחד שכתב לאשתו כל נכסיו רק שצוה לתת לצדקה י' ליטרות וס"ת וטלית ופסק אחד מן הגדולים דלא הוי שיור</w:t>
      </w:r>
      <w:r w:rsidR="00BF0CD6">
        <w:rPr>
          <w:rFonts w:cs="Arial" w:hint="cs"/>
          <w:rtl/>
        </w:rPr>
        <w:t>,</w:t>
      </w:r>
      <w:r w:rsidRPr="001106DD">
        <w:rPr>
          <w:rFonts w:cs="Arial"/>
          <w:rtl/>
        </w:rPr>
        <w:t xml:space="preserve"> וריב"א חולק ופסק דהוי שיור</w:t>
      </w:r>
      <w:r w:rsidR="00BF0CD6">
        <w:rPr>
          <w:rFonts w:cs="Arial" w:hint="cs"/>
          <w:rtl/>
        </w:rPr>
        <w:t>, דרכ"מ (אות ב).</w:t>
      </w:r>
    </w:p>
  </w:footnote>
  <w:footnote w:id="2337">
    <w:p w14:paraId="7753F707" w14:textId="77777777" w:rsidR="00BF0CD6" w:rsidRDefault="00BF0CD6" w:rsidP="00BF0CD6">
      <w:pPr>
        <w:pStyle w:val="a5"/>
        <w:rPr>
          <w:rtl/>
        </w:rPr>
      </w:pPr>
      <w:r>
        <w:rPr>
          <w:rStyle w:val="a7"/>
        </w:rPr>
        <w:footnoteRef/>
      </w:r>
      <w:r w:rsidRPr="001106DD">
        <w:rPr>
          <w:rFonts w:cs="Arial"/>
          <w:rtl/>
        </w:rPr>
        <w:t xml:space="preserve"> אבל בנמוק</w:t>
      </w:r>
      <w:r>
        <w:rPr>
          <w:rFonts w:cs="Arial" w:hint="cs"/>
          <w:rtl/>
        </w:rPr>
        <w:t>"</w:t>
      </w:r>
      <w:r w:rsidRPr="001106DD">
        <w:rPr>
          <w:rFonts w:cs="Arial"/>
          <w:rtl/>
        </w:rPr>
        <w:t xml:space="preserve">י </w:t>
      </w:r>
      <w:r>
        <w:rPr>
          <w:rFonts w:cs="Arial" w:hint="cs"/>
          <w:rtl/>
        </w:rPr>
        <w:t>(</w:t>
      </w:r>
      <w:r w:rsidRPr="001106DD">
        <w:rPr>
          <w:rFonts w:cs="Arial"/>
          <w:rtl/>
        </w:rPr>
        <w:t>פ</w:t>
      </w:r>
      <w:r>
        <w:rPr>
          <w:rFonts w:cs="Arial" w:hint="cs"/>
          <w:rtl/>
        </w:rPr>
        <w:t>'</w:t>
      </w:r>
      <w:r w:rsidRPr="001106DD">
        <w:rPr>
          <w:rFonts w:cs="Arial"/>
          <w:rtl/>
        </w:rPr>
        <w:t xml:space="preserve"> יש נוחלין נט</w:t>
      </w:r>
      <w:r>
        <w:rPr>
          <w:rFonts w:cs="Arial" w:hint="cs"/>
          <w:rtl/>
        </w:rPr>
        <w:t>:</w:t>
      </w:r>
      <w:r w:rsidRPr="001106DD">
        <w:rPr>
          <w:rFonts w:cs="Arial"/>
          <w:rtl/>
        </w:rPr>
        <w:t>) כתב דאין חילוק בין יורש ליורש</w:t>
      </w:r>
      <w:r>
        <w:rPr>
          <w:rFonts w:cs="Arial" w:hint="cs"/>
          <w:rtl/>
        </w:rPr>
        <w:t>,</w:t>
      </w:r>
      <w:r w:rsidRPr="001106DD">
        <w:rPr>
          <w:rFonts w:cs="Arial"/>
          <w:rtl/>
        </w:rPr>
        <w:t xml:space="preserve"> וכן משמע מדברי הרמב"ם פ"ו מהלכות זכייה (ה"ד) והובא בב"י (עמ' נ ד"ה והרמב"ם כתב)</w:t>
      </w:r>
      <w:r>
        <w:rPr>
          <w:rFonts w:cs="Arial" w:hint="cs"/>
          <w:rtl/>
        </w:rPr>
        <w:t>, דרכ"מ (אות ג).</w:t>
      </w:r>
    </w:p>
  </w:footnote>
  <w:footnote w:id="2338">
    <w:p w14:paraId="36DC6CF8" w14:textId="69BECA42" w:rsidR="005B2059" w:rsidRDefault="005B2059">
      <w:pPr>
        <w:pStyle w:val="a5"/>
      </w:pPr>
      <w:r>
        <w:rPr>
          <w:rStyle w:val="a7"/>
        </w:rPr>
        <w:footnoteRef/>
      </w:r>
      <w:r>
        <w:rPr>
          <w:rtl/>
        </w:rPr>
        <w:t xml:space="preserve"> </w:t>
      </w:r>
      <w:r>
        <w:rPr>
          <w:rFonts w:cs="Arial"/>
          <w:rtl/>
        </w:rPr>
        <w:t>מ"ש דכל היכא שיש להוכיח מתוך השטר דהוי מתנה גמורה בטלה האומדנא. כן כתבו הרמב"ן (קלא: ד"ה הא דאמר) והר"ן (שם סוד"ה פשיטא) בשם רבינו האיי ורא"מ (ר"י מיגאש שם ד"ה כתב) ז"ל</w:t>
      </w:r>
      <w:r>
        <w:rPr>
          <w:rFonts w:cs="Arial" w:hint="cs"/>
          <w:rtl/>
        </w:rPr>
        <w:t>,</w:t>
      </w:r>
      <w:r>
        <w:rPr>
          <w:rFonts w:cs="Arial"/>
          <w:rtl/>
        </w:rPr>
        <w:t xml:space="preserve"> וכ"כ הרשב"א בתשובה (ח"ג סי' קכ)</w:t>
      </w:r>
      <w:r>
        <w:rPr>
          <w:rFonts w:cs="Arial" w:hint="cs"/>
          <w:rtl/>
        </w:rPr>
        <w:t>.</w:t>
      </w:r>
      <w:r>
        <w:rPr>
          <w:rFonts w:cs="Arial"/>
          <w:rtl/>
        </w:rPr>
        <w:t xml:space="preserve"> וכתוב בתשובות להרמב"ן (במיוחסות) סימן ל"ט שאע"פ שיש חולקים בדבר לזה דעתו נוטה</w:t>
      </w:r>
      <w:r>
        <w:rPr>
          <w:rFonts w:cs="Arial" w:hint="cs"/>
          <w:rtl/>
        </w:rPr>
        <w:t>.</w:t>
      </w:r>
      <w:r>
        <w:rPr>
          <w:rFonts w:cs="Arial"/>
          <w:rtl/>
        </w:rPr>
        <w:t xml:space="preserve"> וכ"כ נמוק</w:t>
      </w:r>
      <w:r>
        <w:rPr>
          <w:rFonts w:cs="Arial" w:hint="cs"/>
          <w:rtl/>
        </w:rPr>
        <w:t>"</w:t>
      </w:r>
      <w:r>
        <w:rPr>
          <w:rFonts w:cs="Arial"/>
          <w:rtl/>
        </w:rPr>
        <w:t>י (נט.) אם פי' בשטר שהוא מקנה לה הקנאה גמורה ולא בתורת אפוטרופוסות</w:t>
      </w:r>
      <w:r>
        <w:rPr>
          <w:rFonts w:cs="Arial" w:hint="cs"/>
          <w:rtl/>
        </w:rPr>
        <w:t>,</w:t>
      </w:r>
      <w:r>
        <w:rPr>
          <w:rFonts w:cs="Arial"/>
          <w:rtl/>
        </w:rPr>
        <w:t xml:space="preserve"> אי נמי שפירש בשטר שתהא רשאה למכור ולתת במתנה לאחרים ודאי קנתה ע"כ</w:t>
      </w:r>
      <w:r w:rsidR="003B4C7A">
        <w:rPr>
          <w:rFonts w:cs="Arial" w:hint="cs"/>
          <w:rtl/>
        </w:rPr>
        <w:t>.</w:t>
      </w:r>
      <w:r w:rsidR="003B4C7A" w:rsidRPr="003B4C7A">
        <w:rPr>
          <w:rFonts w:cs="Arial"/>
          <w:rtl/>
        </w:rPr>
        <w:t xml:space="preserve"> </w:t>
      </w:r>
      <w:r w:rsidR="003B4C7A">
        <w:rPr>
          <w:rFonts w:cs="Arial"/>
          <w:rtl/>
        </w:rPr>
        <w:t>וכתב הה</w:t>
      </w:r>
      <w:r w:rsidR="003B4C7A">
        <w:rPr>
          <w:rFonts w:cs="Arial" w:hint="cs"/>
          <w:rtl/>
        </w:rPr>
        <w:t>"</w:t>
      </w:r>
      <w:r w:rsidR="003B4C7A">
        <w:rPr>
          <w:rFonts w:cs="Arial"/>
          <w:rtl/>
        </w:rPr>
        <w:t xml:space="preserve">מ </w:t>
      </w:r>
      <w:r w:rsidR="003B4C7A">
        <w:rPr>
          <w:rFonts w:cs="Arial" w:hint="cs"/>
          <w:rtl/>
        </w:rPr>
        <w:t>(</w:t>
      </w:r>
      <w:r w:rsidR="003B4C7A">
        <w:rPr>
          <w:rFonts w:cs="Arial"/>
          <w:rtl/>
        </w:rPr>
        <w:t>פ"ו מהל</w:t>
      </w:r>
      <w:r w:rsidR="003B4C7A">
        <w:rPr>
          <w:rFonts w:cs="Arial" w:hint="cs"/>
          <w:rtl/>
        </w:rPr>
        <w:t>'</w:t>
      </w:r>
      <w:r w:rsidR="003B4C7A">
        <w:rPr>
          <w:rFonts w:cs="Arial"/>
          <w:rtl/>
        </w:rPr>
        <w:t xml:space="preserve"> זכייה ה"ג) יש מי שכתב שאם קנו מידו שאין קנין לאפטרופוסות ע</w:t>
      </w:r>
      <w:r w:rsidR="003B4C7A">
        <w:rPr>
          <w:rFonts w:cs="Arial" w:hint="cs"/>
          <w:rtl/>
        </w:rPr>
        <w:t>כ"ל</w:t>
      </w:r>
      <w:r w:rsidR="003B4C7A">
        <w:rPr>
          <w:rFonts w:cs="Arial"/>
          <w:rtl/>
        </w:rPr>
        <w:t>. ורבינו בטור חושן משפט סימן רמ"ו (ס"ו) כתב דעת ה"ר יונה (בעליותיו קלא: ד"ה ואם כתב) בזה. וכבר כתבתי (ד"ה ומ"ש רבינו) תשובת הרשב"א בסימן אלף (ר)מ"ח. ועיין בתשובות להרמב"ן (במיוחסות) סימן ע"א</w:t>
      </w:r>
      <w:r>
        <w:rPr>
          <w:rFonts w:cs="Arial" w:hint="cs"/>
          <w:rtl/>
        </w:rPr>
        <w:t>, ב"י</w:t>
      </w:r>
      <w:r>
        <w:rPr>
          <w:rFonts w:cs="Arial"/>
          <w:rtl/>
        </w:rPr>
        <w:t>.</w:t>
      </w:r>
    </w:p>
  </w:footnote>
  <w:footnote w:id="2339">
    <w:p w14:paraId="653311A7" w14:textId="4142E49B" w:rsidR="00BD2A12" w:rsidRDefault="00BD2A12">
      <w:pPr>
        <w:pStyle w:val="a5"/>
      </w:pPr>
      <w:r>
        <w:rPr>
          <w:rStyle w:val="a7"/>
        </w:rPr>
        <w:footnoteRef/>
      </w:r>
      <w:r>
        <w:rPr>
          <w:rtl/>
        </w:rPr>
        <w:t xml:space="preserve"> </w:t>
      </w:r>
      <w:r w:rsidRPr="00BD2A12">
        <w:rPr>
          <w:rFonts w:cs="Arial"/>
          <w:rtl/>
        </w:rPr>
        <w:t>והוא כדברי רבינו בעל הטור</w:t>
      </w:r>
      <w:r w:rsidR="002F2199">
        <w:rPr>
          <w:rFonts w:cs="Arial" w:hint="cs"/>
          <w:rtl/>
        </w:rPr>
        <w:t>,דרכ"מ (אות ו).</w:t>
      </w:r>
    </w:p>
  </w:footnote>
  <w:footnote w:id="2340">
    <w:p w14:paraId="177C460F" w14:textId="7BF1DA87" w:rsidR="00970960" w:rsidRDefault="00970960">
      <w:pPr>
        <w:pStyle w:val="a5"/>
        <w:rPr>
          <w:rFonts w:hint="cs"/>
        </w:rPr>
      </w:pPr>
      <w:r>
        <w:rPr>
          <w:rStyle w:val="a7"/>
        </w:rPr>
        <w:footnoteRef/>
      </w:r>
      <w:r>
        <w:rPr>
          <w:rtl/>
        </w:rPr>
        <w:t xml:space="preserve"> </w:t>
      </w:r>
      <w:r>
        <w:rPr>
          <w:rFonts w:hint="cs"/>
          <w:rtl/>
        </w:rPr>
        <w:t>סימן - קנתה כפי חייו.</w:t>
      </w:r>
    </w:p>
  </w:footnote>
  <w:footnote w:id="2341">
    <w:p w14:paraId="3167A562" w14:textId="3EB47D58" w:rsidR="00734D5F" w:rsidRDefault="00734D5F">
      <w:pPr>
        <w:pStyle w:val="a5"/>
        <w:rPr>
          <w:rtl/>
        </w:rPr>
      </w:pPr>
      <w:r>
        <w:rPr>
          <w:rStyle w:val="a7"/>
        </w:rPr>
        <w:footnoteRef/>
      </w:r>
      <w:r>
        <w:rPr>
          <w:rtl/>
        </w:rPr>
        <w:t xml:space="preserve"> </w:t>
      </w:r>
      <w:r w:rsidR="00385208" w:rsidRPr="00385208">
        <w:rPr>
          <w:rFonts w:cs="Arial"/>
          <w:rtl/>
        </w:rPr>
        <w:t>וקבלה שנתרצית כדלקמן בפירקין</w:t>
      </w:r>
      <w:r w:rsidR="00A25BFB">
        <w:rPr>
          <w:rFonts w:cs="Arial" w:hint="cs"/>
          <w:rtl/>
        </w:rPr>
        <w:t>,</w:t>
      </w:r>
      <w:r w:rsidR="00385208" w:rsidRPr="00385208">
        <w:rPr>
          <w:rFonts w:cs="Arial"/>
          <w:rtl/>
        </w:rPr>
        <w:t xml:space="preserve"> אי נמי לבר מכתובתה נתן לה חלק בנכסיו ובשכיב מרע מיירי דדבריו ככתובין וכמסורין אי נמי בבריא ועל ידי קנין</w:t>
      </w:r>
      <w:r w:rsidR="00385208">
        <w:rPr>
          <w:rFonts w:cs="Arial" w:hint="cs"/>
          <w:rtl/>
        </w:rPr>
        <w:t>,</w:t>
      </w:r>
      <w:r w:rsidR="00385208" w:rsidRPr="00385208">
        <w:rPr>
          <w:rFonts w:cs="Arial" w:hint="cs"/>
          <w:b/>
          <w:bCs/>
          <w:rtl/>
        </w:rPr>
        <w:t xml:space="preserve"> רשב"ם</w:t>
      </w:r>
      <w:r w:rsidR="00385208">
        <w:rPr>
          <w:rFonts w:cs="Arial" w:hint="cs"/>
          <w:rtl/>
        </w:rPr>
        <w:t>.</w:t>
      </w:r>
      <w:r w:rsidR="00385208" w:rsidRPr="00385208">
        <w:rPr>
          <w:rFonts w:cs="Arial"/>
          <w:rtl/>
        </w:rPr>
        <w:t xml:space="preserve"> </w:t>
      </w:r>
      <w:r w:rsidR="00385208">
        <w:rPr>
          <w:rFonts w:cs="Arial" w:hint="cs"/>
          <w:rtl/>
        </w:rPr>
        <w:t xml:space="preserve">    </w:t>
      </w:r>
      <w:r w:rsidRPr="006B2403">
        <w:rPr>
          <w:rFonts w:cs="Arial"/>
          <w:rtl/>
        </w:rPr>
        <w:t>וכ"כ נמוק</w:t>
      </w:r>
      <w:r>
        <w:rPr>
          <w:rFonts w:cs="Arial" w:hint="cs"/>
          <w:rtl/>
        </w:rPr>
        <w:t>"</w:t>
      </w:r>
      <w:r w:rsidRPr="006B2403">
        <w:rPr>
          <w:rFonts w:cs="Arial"/>
          <w:rtl/>
        </w:rPr>
        <w:t>י שם (נז</w:t>
      </w:r>
      <w:r>
        <w:rPr>
          <w:rFonts w:cs="Arial" w:hint="cs"/>
          <w:rtl/>
        </w:rPr>
        <w:t>.</w:t>
      </w:r>
      <w:r w:rsidRPr="006B2403">
        <w:rPr>
          <w:rFonts w:cs="Arial"/>
          <w:rtl/>
        </w:rPr>
        <w:t>)</w:t>
      </w:r>
      <w:r w:rsidR="00A25BFB">
        <w:rPr>
          <w:rFonts w:cs="Arial" w:hint="cs"/>
          <w:rtl/>
        </w:rPr>
        <w:t>,</w:t>
      </w:r>
      <w:r w:rsidRPr="006B2403">
        <w:rPr>
          <w:rFonts w:cs="Arial"/>
          <w:rtl/>
        </w:rPr>
        <w:t xml:space="preserve"> ולא נקט שכיב מרע אלא דשכיב מרע באמירה בעלמא סגי</w:t>
      </w:r>
      <w:r>
        <w:rPr>
          <w:rFonts w:cs="Arial" w:hint="cs"/>
          <w:rtl/>
        </w:rPr>
        <w:t xml:space="preserve">, </w:t>
      </w:r>
      <w:r w:rsidRPr="00385208">
        <w:rPr>
          <w:rFonts w:cs="Arial" w:hint="cs"/>
          <w:b/>
          <w:bCs/>
          <w:rtl/>
        </w:rPr>
        <w:t xml:space="preserve">דרכ"מ </w:t>
      </w:r>
      <w:r>
        <w:rPr>
          <w:rFonts w:cs="Arial" w:hint="cs"/>
          <w:rtl/>
        </w:rPr>
        <w:t>(אות א).</w:t>
      </w:r>
      <w:r w:rsidR="00A25BFB">
        <w:rPr>
          <w:rFonts w:hint="cs"/>
          <w:rtl/>
        </w:rPr>
        <w:t xml:space="preserve">    </w:t>
      </w:r>
      <w:r w:rsidR="00A25BFB" w:rsidRPr="006B2403">
        <w:rPr>
          <w:rFonts w:cs="Arial"/>
          <w:rtl/>
        </w:rPr>
        <w:t>וא"ת מאי קמ"ל ר' אבא</w:t>
      </w:r>
      <w:r w:rsidR="00A25BFB">
        <w:rPr>
          <w:rFonts w:cs="Arial" w:hint="cs"/>
          <w:rtl/>
        </w:rPr>
        <w:t>,</w:t>
      </w:r>
      <w:r w:rsidR="00A25BFB" w:rsidRPr="006B2403">
        <w:rPr>
          <w:rFonts w:cs="Arial"/>
          <w:rtl/>
        </w:rPr>
        <w:t xml:space="preserve"> כתב הראב"ד דהא קמ"ל שלא איבדה כתובתה באותו החלק אלא נוטלתו יתר על כתובתה</w:t>
      </w:r>
      <w:r w:rsidR="00A25BFB">
        <w:rPr>
          <w:rFonts w:cs="Arial" w:hint="cs"/>
          <w:rtl/>
        </w:rPr>
        <w:t>,</w:t>
      </w:r>
      <w:r w:rsidR="00A25BFB" w:rsidRPr="006B2403">
        <w:rPr>
          <w:rFonts w:cs="Arial"/>
          <w:rtl/>
        </w:rPr>
        <w:t xml:space="preserve"> ואפילו לרב נחמן (ב"ב קלב:) דאמר כיון שעשאה שותף בין הבנים איבדה כתובתה הני מילי במחלק נכסיו אבל זה אינו מחלק ולטפויי קאתי</w:t>
      </w:r>
      <w:r w:rsidR="00A25BFB">
        <w:rPr>
          <w:rFonts w:cs="Arial" w:hint="cs"/>
          <w:rtl/>
        </w:rPr>
        <w:t>.</w:t>
      </w:r>
      <w:r w:rsidR="00A25BFB" w:rsidRPr="006B2403">
        <w:rPr>
          <w:rFonts w:cs="Arial"/>
          <w:rtl/>
        </w:rPr>
        <w:t xml:space="preserve"> עוד י"ל דהא קמ"ל שאע"פ שאם עשאה יורשת לא אמר כלום אפילו הכי כי אמר </w:t>
      </w:r>
      <w:r w:rsidR="00A25BFB">
        <w:rPr>
          <w:rFonts w:cs="Arial" w:hint="cs"/>
          <w:rtl/>
        </w:rPr>
        <w:t>"</w:t>
      </w:r>
      <w:r w:rsidR="00A25BFB" w:rsidRPr="006B2403">
        <w:rPr>
          <w:rFonts w:cs="Arial"/>
          <w:rtl/>
        </w:rPr>
        <w:t>תטול</w:t>
      </w:r>
      <w:r w:rsidR="00A25BFB">
        <w:rPr>
          <w:rFonts w:cs="Arial" w:hint="cs"/>
          <w:rtl/>
        </w:rPr>
        <w:t>"</w:t>
      </w:r>
      <w:r w:rsidR="00A25BFB" w:rsidRPr="006B2403">
        <w:rPr>
          <w:rFonts w:cs="Arial"/>
          <w:rtl/>
        </w:rPr>
        <w:t xml:space="preserve"> לשון מתנה הוא ולא אתי </w:t>
      </w:r>
      <w:r w:rsidR="00A25BFB">
        <w:rPr>
          <w:rFonts w:cs="Arial" w:hint="cs"/>
          <w:rtl/>
        </w:rPr>
        <w:t>"</w:t>
      </w:r>
      <w:r w:rsidR="00A25BFB" w:rsidRPr="006B2403">
        <w:rPr>
          <w:rFonts w:cs="Arial"/>
          <w:rtl/>
        </w:rPr>
        <w:t>כאחד מן הבנים</w:t>
      </w:r>
      <w:r w:rsidR="00A25BFB">
        <w:rPr>
          <w:rFonts w:cs="Arial" w:hint="cs"/>
          <w:rtl/>
        </w:rPr>
        <w:t>"</w:t>
      </w:r>
      <w:r w:rsidR="00A25BFB" w:rsidRPr="006B2403">
        <w:rPr>
          <w:rFonts w:cs="Arial"/>
          <w:rtl/>
        </w:rPr>
        <w:t xml:space="preserve"> ומבטל ליה</w:t>
      </w:r>
      <w:r w:rsidR="00A25BFB">
        <w:rPr>
          <w:rFonts w:cs="Arial" w:hint="cs"/>
          <w:rtl/>
        </w:rPr>
        <w:t>,</w:t>
      </w:r>
      <w:r w:rsidR="00A25BFB" w:rsidRPr="00C2388A">
        <w:rPr>
          <w:rFonts w:cs="Arial"/>
          <w:rtl/>
        </w:rPr>
        <w:t xml:space="preserve"> </w:t>
      </w:r>
      <w:r w:rsidR="00A25BFB" w:rsidRPr="000B04CB">
        <w:rPr>
          <w:rFonts w:cs="Arial"/>
          <w:b/>
          <w:bCs/>
          <w:rtl/>
        </w:rPr>
        <w:t>ר"ן</w:t>
      </w:r>
      <w:r w:rsidR="00A25BFB" w:rsidRPr="006B2403">
        <w:rPr>
          <w:rFonts w:cs="Arial"/>
          <w:rtl/>
        </w:rPr>
        <w:t xml:space="preserve"> (קכח: ד"ה האומר</w:t>
      </w:r>
      <w:r w:rsidR="00A25BFB">
        <w:rPr>
          <w:rFonts w:cs="Arial" w:hint="cs"/>
          <w:rtl/>
        </w:rPr>
        <w:t>, הביאו הב"י</w:t>
      </w:r>
      <w:r w:rsidR="00A25BFB" w:rsidRPr="006B2403">
        <w:rPr>
          <w:rFonts w:cs="Arial"/>
          <w:rtl/>
        </w:rPr>
        <w:t>)</w:t>
      </w:r>
      <w:r w:rsidR="00A25BFB">
        <w:rPr>
          <w:rFonts w:cs="Arial" w:hint="cs"/>
          <w:rtl/>
        </w:rPr>
        <w:t xml:space="preserve">.     </w:t>
      </w:r>
      <w:r w:rsidR="00A25BFB" w:rsidRPr="00241944">
        <w:rPr>
          <w:rFonts w:cs="Arial"/>
          <w:rtl/>
        </w:rPr>
        <w:t>וכ"כ נמוק</w:t>
      </w:r>
      <w:r w:rsidR="00A25BFB">
        <w:rPr>
          <w:rFonts w:cs="Arial" w:hint="cs"/>
          <w:rtl/>
        </w:rPr>
        <w:t>"</w:t>
      </w:r>
      <w:r w:rsidR="00A25BFB" w:rsidRPr="00241944">
        <w:rPr>
          <w:rFonts w:cs="Arial"/>
          <w:rtl/>
        </w:rPr>
        <w:t>י (נז</w:t>
      </w:r>
      <w:r w:rsidR="00A25BFB">
        <w:rPr>
          <w:rFonts w:cs="Arial" w:hint="cs"/>
          <w:rtl/>
        </w:rPr>
        <w:t xml:space="preserve">.), </w:t>
      </w:r>
      <w:r w:rsidR="00A25BFB" w:rsidRPr="000B04CB">
        <w:rPr>
          <w:rFonts w:cs="Arial" w:hint="cs"/>
          <w:b/>
          <w:bCs/>
          <w:rtl/>
        </w:rPr>
        <w:t>דרכ"מ</w:t>
      </w:r>
      <w:r w:rsidR="00A25BFB">
        <w:rPr>
          <w:rFonts w:cs="Arial" w:hint="cs"/>
          <w:rtl/>
        </w:rPr>
        <w:t xml:space="preserve"> (אות ג).</w:t>
      </w:r>
    </w:p>
  </w:footnote>
  <w:footnote w:id="2342">
    <w:p w14:paraId="15DAD642" w14:textId="4FAABADD" w:rsidR="00BD74F1" w:rsidRDefault="00BD74F1">
      <w:pPr>
        <w:pStyle w:val="a5"/>
      </w:pPr>
      <w:r>
        <w:rPr>
          <w:rStyle w:val="a7"/>
        </w:rPr>
        <w:footnoteRef/>
      </w:r>
      <w:r>
        <w:rPr>
          <w:rtl/>
        </w:rPr>
        <w:t xml:space="preserve"> </w:t>
      </w:r>
      <w:r w:rsidRPr="00BD74F1">
        <w:rPr>
          <w:rFonts w:cs="Arial"/>
          <w:rtl/>
        </w:rPr>
        <w:t>שאם נתרבו הנכסים בשעת חלוקה אינה נוטלת כי אם באותן שהיו לו בשעת אמירה דאין אדם מקנה דבר שלא בא לעולם</w:t>
      </w:r>
      <w:r>
        <w:rPr>
          <w:rFonts w:cs="Arial" w:hint="cs"/>
          <w:rtl/>
        </w:rPr>
        <w:t>..., רשב"ם.</w:t>
      </w:r>
    </w:p>
  </w:footnote>
  <w:footnote w:id="2343">
    <w:p w14:paraId="40D2B84B" w14:textId="0B7FBE58" w:rsidR="009B2514" w:rsidRDefault="009B2514">
      <w:pPr>
        <w:pStyle w:val="a5"/>
        <w:rPr>
          <w:rtl/>
        </w:rPr>
      </w:pPr>
      <w:r>
        <w:rPr>
          <w:rStyle w:val="a7"/>
        </w:rPr>
        <w:footnoteRef/>
      </w:r>
      <w:r>
        <w:rPr>
          <w:rtl/>
        </w:rPr>
        <w:t xml:space="preserve"> </w:t>
      </w:r>
      <w:r w:rsidRPr="009B2514">
        <w:rPr>
          <w:rFonts w:cs="Arial"/>
          <w:rtl/>
        </w:rPr>
        <w:t>כלומר לא לפי חשבון הבנים שיש לו עכשיו לבד תחלוק לאחר מותו ותטול חלק גדול</w:t>
      </w:r>
      <w:r>
        <w:rPr>
          <w:rFonts w:cs="Arial" w:hint="cs"/>
          <w:rtl/>
        </w:rPr>
        <w:t>,</w:t>
      </w:r>
      <w:r w:rsidRPr="009B2514">
        <w:rPr>
          <w:rFonts w:cs="Arial"/>
          <w:rtl/>
        </w:rPr>
        <w:t xml:space="preserve"> אלא אף לפי חשבון כל הבנים של שעת חלוקה נתן לה</w:t>
      </w:r>
      <w:r w:rsidR="00DD5210">
        <w:rPr>
          <w:rFonts w:cs="Arial" w:hint="cs"/>
          <w:rtl/>
        </w:rPr>
        <w:t>...</w:t>
      </w:r>
      <w:r>
        <w:rPr>
          <w:rFonts w:hint="cs"/>
          <w:rtl/>
        </w:rPr>
        <w:t>, רשב"ם.</w:t>
      </w:r>
    </w:p>
  </w:footnote>
  <w:footnote w:id="2344">
    <w:p w14:paraId="36089365" w14:textId="05AD07E3" w:rsidR="00DD5210" w:rsidRDefault="00DD5210">
      <w:pPr>
        <w:pStyle w:val="a5"/>
      </w:pPr>
      <w:r>
        <w:rPr>
          <w:rStyle w:val="a7"/>
        </w:rPr>
        <w:footnoteRef/>
      </w:r>
      <w:r>
        <w:rPr>
          <w:rtl/>
        </w:rPr>
        <w:t xml:space="preserve"> </w:t>
      </w:r>
      <w:r>
        <w:rPr>
          <w:rFonts w:hint="cs"/>
          <w:rtl/>
        </w:rPr>
        <w:t>וז"ל:</w:t>
      </w:r>
      <w:r w:rsidRPr="00DD5210">
        <w:rPr>
          <w:rFonts w:cs="Arial"/>
          <w:rtl/>
        </w:rPr>
        <w:t xml:space="preserve"> </w:t>
      </w:r>
      <w:r w:rsidRPr="009B2514">
        <w:rPr>
          <w:rFonts w:cs="Arial"/>
          <w:rtl/>
        </w:rPr>
        <w:t>ונראה בעיני דאפילו אם היה לו בנים מרובים ונתמעטו בחיי האב</w:t>
      </w:r>
      <w:r>
        <w:rPr>
          <w:rFonts w:cs="Arial" w:hint="cs"/>
          <w:rtl/>
        </w:rPr>
        <w:t>,</w:t>
      </w:r>
      <w:r w:rsidRPr="009B2514">
        <w:rPr>
          <w:rFonts w:cs="Arial"/>
          <w:rtl/>
        </w:rPr>
        <w:t xml:space="preserve"> דשקלה חלק גדול כחשבון מיעוט הבנים הבאין לחלוק בנכסי האב לאחר מיתתו</w:t>
      </w:r>
      <w:r>
        <w:rPr>
          <w:rFonts w:cs="Arial" w:hint="cs"/>
          <w:rtl/>
        </w:rPr>
        <w:t>,</w:t>
      </w:r>
      <w:r w:rsidRPr="009B2514">
        <w:rPr>
          <w:rFonts w:cs="Arial"/>
          <w:rtl/>
        </w:rPr>
        <w:t xml:space="preserve"> דהא תטול כאחד מכל הבנים קאמר ולשעת חלוקה איכוין</w:t>
      </w:r>
      <w:r>
        <w:rPr>
          <w:rFonts w:cs="Arial" w:hint="cs"/>
          <w:rtl/>
        </w:rPr>
        <w:t>,</w:t>
      </w:r>
      <w:r w:rsidRPr="009B2514">
        <w:rPr>
          <w:rFonts w:cs="Arial"/>
          <w:rtl/>
        </w:rPr>
        <w:t xml:space="preserve"> דלפי חלוקת ההיא שעתא תטול לא שנא נתרבו ולא שנא נתמעטו דהא נוטלת אשתו כאחד מן הבנים קאמר רבי אבא</w:t>
      </w:r>
      <w:r>
        <w:rPr>
          <w:rFonts w:cs="Arial" w:hint="cs"/>
          <w:rtl/>
        </w:rPr>
        <w:t>.</w:t>
      </w:r>
    </w:p>
  </w:footnote>
  <w:footnote w:id="2345">
    <w:p w14:paraId="7A9D6357" w14:textId="5D25E66D" w:rsidR="00952C6A" w:rsidRDefault="00952C6A">
      <w:pPr>
        <w:pStyle w:val="a5"/>
      </w:pPr>
      <w:r>
        <w:rPr>
          <w:rStyle w:val="a7"/>
        </w:rPr>
        <w:footnoteRef/>
      </w:r>
      <w:r>
        <w:rPr>
          <w:rtl/>
        </w:rPr>
        <w:t xml:space="preserve"> </w:t>
      </w:r>
      <w:r>
        <w:rPr>
          <w:rFonts w:cs="Arial" w:hint="cs"/>
          <w:rtl/>
        </w:rPr>
        <w:t xml:space="preserve">וז"ל: </w:t>
      </w:r>
      <w:r w:rsidRPr="00DD5210">
        <w:rPr>
          <w:rFonts w:cs="Arial"/>
          <w:rtl/>
        </w:rPr>
        <w:t>שאלת אם הלכה למעשה כדברי רשב"ם לפי שהראב"ד נסתפק בדבר</w:t>
      </w:r>
      <w:r w:rsidRPr="00DD5210">
        <w:rPr>
          <w:rFonts w:cs="Arial" w:hint="cs"/>
          <w:rtl/>
        </w:rPr>
        <w:t>,</w:t>
      </w:r>
      <w:r w:rsidRPr="00DD5210">
        <w:rPr>
          <w:rFonts w:cs="Arial"/>
          <w:rtl/>
        </w:rPr>
        <w:t xml:space="preserve"> דברי רשב"ם אין להסתפק בהם כיון שנטילתה כאחד מהבנים אזלה בתר שעת חלוקת הבנים בין לרבות בין למעט</w:t>
      </w:r>
      <w:r w:rsidRPr="00DD5210">
        <w:rPr>
          <w:rFonts w:cs="Arial" w:hint="cs"/>
          <w:rtl/>
        </w:rPr>
        <w:t>,</w:t>
      </w:r>
      <w:r w:rsidRPr="00DD5210">
        <w:rPr>
          <w:rFonts w:cs="Arial"/>
          <w:rtl/>
        </w:rPr>
        <w:t xml:space="preserve"> דמאי זה טעם נחלק ביניהם</w:t>
      </w:r>
      <w:r>
        <w:rPr>
          <w:rFonts w:cs="Arial" w:hint="cs"/>
          <w:rtl/>
        </w:rPr>
        <w:t>.</w:t>
      </w:r>
    </w:p>
  </w:footnote>
  <w:footnote w:id="2346">
    <w:p w14:paraId="49636543" w14:textId="274BBA6C" w:rsidR="00727F9F" w:rsidRDefault="00727F9F">
      <w:pPr>
        <w:pStyle w:val="a5"/>
      </w:pPr>
      <w:r>
        <w:rPr>
          <w:rStyle w:val="a7"/>
        </w:rPr>
        <w:footnoteRef/>
      </w:r>
      <w:r>
        <w:rPr>
          <w:rtl/>
        </w:rPr>
        <w:t xml:space="preserve"> </w:t>
      </w:r>
      <w:r w:rsidRPr="007F2FB4">
        <w:rPr>
          <w:rFonts w:cs="Arial"/>
          <w:rtl/>
        </w:rPr>
        <w:t>כתב בקו"א לס' כתובה וז"ל היינו שנוטלת כא' מן הבנים פשוטים כדאיתא במרדכי פי"נ נמצא אם אין לו אלא בן אחד נוטלת מחצה</w:t>
      </w:r>
      <w:r w:rsidR="007967E3">
        <w:rPr>
          <w:rFonts w:cs="Arial" w:hint="cs"/>
          <w:rtl/>
        </w:rPr>
        <w:t>,</w:t>
      </w:r>
      <w:r w:rsidRPr="007F2FB4">
        <w:rPr>
          <w:rFonts w:cs="Arial"/>
          <w:rtl/>
        </w:rPr>
        <w:t xml:space="preserve"> דהיינו מי"ב זהובים נוטלת ששה</w:t>
      </w:r>
      <w:r w:rsidR="007967E3">
        <w:rPr>
          <w:rFonts w:cs="Arial" w:hint="cs"/>
          <w:rtl/>
        </w:rPr>
        <w:t>.</w:t>
      </w:r>
      <w:r w:rsidRPr="007F2FB4">
        <w:rPr>
          <w:rFonts w:cs="Arial"/>
          <w:rtl/>
        </w:rPr>
        <w:t xml:space="preserve"> ואם נולד עוד בן</w:t>
      </w:r>
      <w:r w:rsidR="007967E3">
        <w:rPr>
          <w:rFonts w:cs="Arial" w:hint="cs"/>
          <w:rtl/>
        </w:rPr>
        <w:t>,</w:t>
      </w:r>
      <w:r w:rsidRPr="007F2FB4">
        <w:rPr>
          <w:rFonts w:cs="Arial"/>
          <w:rtl/>
        </w:rPr>
        <w:t xml:space="preserve"> נראה דנוטל הבכור בתחלה חלק בכורה מכל הירושה דהיינו ד'</w:t>
      </w:r>
      <w:r w:rsidR="007967E3">
        <w:rPr>
          <w:rFonts w:cs="Arial" w:hint="cs"/>
          <w:rtl/>
        </w:rPr>
        <w:t>,</w:t>
      </w:r>
      <w:r w:rsidRPr="007F2FB4">
        <w:rPr>
          <w:rFonts w:cs="Arial"/>
          <w:rtl/>
        </w:rPr>
        <w:t xml:space="preserve"> זהובים שלא היה דעתו על חלק בכורה והמותר יתחלק לג' חלקים</w:t>
      </w:r>
      <w:r w:rsidR="007967E3">
        <w:rPr>
          <w:rFonts w:cs="Arial" w:hint="cs"/>
          <w:rtl/>
        </w:rPr>
        <w:t>.</w:t>
      </w:r>
      <w:r w:rsidRPr="007F2FB4">
        <w:rPr>
          <w:rFonts w:cs="Arial"/>
          <w:rtl/>
        </w:rPr>
        <w:t xml:space="preserve"> נמצא הבכור משתכר בלידת אחיו שני שלישי זהב</w:t>
      </w:r>
      <w:r w:rsidR="007967E3">
        <w:rPr>
          <w:rFonts w:cs="Arial" w:hint="cs"/>
          <w:rtl/>
        </w:rPr>
        <w:t>,</w:t>
      </w:r>
      <w:r w:rsidRPr="007F2FB4">
        <w:rPr>
          <w:rFonts w:cs="Arial"/>
          <w:rtl/>
        </w:rPr>
        <w:t xml:space="preserve"> דא"ל שיחולק לארבעה חלקים ויטול הבכור שני חלקים</w:t>
      </w:r>
      <w:r w:rsidR="007967E3">
        <w:rPr>
          <w:rFonts w:cs="Arial" w:hint="cs"/>
          <w:rtl/>
        </w:rPr>
        <w:t>,</w:t>
      </w:r>
      <w:r w:rsidRPr="007F2FB4">
        <w:rPr>
          <w:rFonts w:cs="Arial"/>
          <w:rtl/>
        </w:rPr>
        <w:t xml:space="preserve"> דא"כ מפסיד מחלק בכורה והוא לא אמר בלשון מתנה לבניו הפשוטים שיעבירו אותו מחלק בכורתו</w:t>
      </w:r>
      <w:r w:rsidR="007967E3">
        <w:rPr>
          <w:rFonts w:cs="Arial" w:hint="cs"/>
          <w:rtl/>
        </w:rPr>
        <w:t>,</w:t>
      </w:r>
      <w:r w:rsidRPr="007F2FB4">
        <w:rPr>
          <w:rFonts w:cs="Arial"/>
          <w:rtl/>
        </w:rPr>
        <w:t xml:space="preserve"> וצ"ע עכ"ל</w:t>
      </w:r>
      <w:r w:rsidR="007967E3">
        <w:rPr>
          <w:rFonts w:cs="Arial" w:hint="cs"/>
          <w:rtl/>
        </w:rPr>
        <w:t>.</w:t>
      </w:r>
      <w:r w:rsidRPr="007F2FB4">
        <w:rPr>
          <w:rFonts w:cs="Arial"/>
          <w:rtl/>
        </w:rPr>
        <w:t xml:space="preserve"> ע"ש</w:t>
      </w:r>
      <w:r>
        <w:rPr>
          <w:rFonts w:cs="Arial" w:hint="cs"/>
          <w:rtl/>
        </w:rPr>
        <w:t>, פת"ש (סק"א).</w:t>
      </w:r>
    </w:p>
  </w:footnote>
  <w:footnote w:id="2347">
    <w:p w14:paraId="6DCFDACE" w14:textId="5D37E61B" w:rsidR="00E90B83" w:rsidRDefault="00E90B83">
      <w:pPr>
        <w:pStyle w:val="a5"/>
      </w:pPr>
      <w:r>
        <w:rPr>
          <w:rStyle w:val="a7"/>
        </w:rPr>
        <w:footnoteRef/>
      </w:r>
      <w:r>
        <w:rPr>
          <w:rtl/>
        </w:rPr>
        <w:t xml:space="preserve"> </w:t>
      </w:r>
      <w:r>
        <w:rPr>
          <w:rFonts w:hint="cs"/>
          <w:rtl/>
        </w:rPr>
        <w:t xml:space="preserve">וז"ל: </w:t>
      </w:r>
      <w:r w:rsidRPr="006B2403">
        <w:rPr>
          <w:rFonts w:cs="Arial"/>
          <w:rtl/>
        </w:rPr>
        <w:t>יראה דאם מתו כל הבנים דשקלה כבנים דהשתא והשאר ליורשים</w:t>
      </w:r>
      <w:r>
        <w:rPr>
          <w:rFonts w:cs="Arial" w:hint="cs"/>
          <w:rtl/>
        </w:rPr>
        <w:t>.</w:t>
      </w:r>
      <w:r w:rsidRPr="006B2403">
        <w:rPr>
          <w:rFonts w:cs="Arial"/>
          <w:rtl/>
        </w:rPr>
        <w:t xml:space="preserve"> דאפילו נתרבו הבנים הוה מסתבר למימר דשקלה כבנים דהשתא אלא דאמידנא דעתיה דדעתו של אדם קרובה אצל בניו ואינו רוצה לפחות חלק הבנים שיולדו לו</w:t>
      </w:r>
      <w:r>
        <w:rPr>
          <w:rFonts w:cs="Arial" w:hint="cs"/>
          <w:rtl/>
        </w:rPr>
        <w:t>,</w:t>
      </w:r>
      <w:r w:rsidRPr="006B2403">
        <w:rPr>
          <w:rFonts w:cs="Arial"/>
          <w:rtl/>
        </w:rPr>
        <w:t xml:space="preserve"> אבל היכא דמתו כל בניו מסתברא דאזלינן בתר בנים דהשתא</w:t>
      </w:r>
      <w:r>
        <w:rPr>
          <w:rFonts w:cs="Arial" w:hint="cs"/>
          <w:rtl/>
        </w:rPr>
        <w:t>.</w:t>
      </w:r>
    </w:p>
  </w:footnote>
  <w:footnote w:id="2348">
    <w:p w14:paraId="68BDEECF" w14:textId="610D501F" w:rsidR="00E90B83" w:rsidRDefault="00E90B83">
      <w:pPr>
        <w:pStyle w:val="a5"/>
      </w:pPr>
      <w:r>
        <w:rPr>
          <w:rStyle w:val="a7"/>
        </w:rPr>
        <w:footnoteRef/>
      </w:r>
      <w:r>
        <w:rPr>
          <w:rtl/>
        </w:rPr>
        <w:t xml:space="preserve"> </w:t>
      </w:r>
      <w:r w:rsidRPr="006B2403">
        <w:rPr>
          <w:rFonts w:cs="Arial"/>
          <w:rtl/>
        </w:rPr>
        <w:t>עיין במישרים נכ"ג חי"א (סה ע"ב)</w:t>
      </w:r>
      <w:r>
        <w:rPr>
          <w:rFonts w:cs="Arial" w:hint="cs"/>
          <w:rtl/>
        </w:rPr>
        <w:t>, ב"י.</w:t>
      </w:r>
    </w:p>
  </w:footnote>
  <w:footnote w:id="2349">
    <w:p w14:paraId="42749328" w14:textId="35042CA8" w:rsidR="0075311D" w:rsidRDefault="0075311D" w:rsidP="0075311D">
      <w:pPr>
        <w:pStyle w:val="a5"/>
      </w:pPr>
      <w:r>
        <w:rPr>
          <w:rStyle w:val="a7"/>
        </w:rPr>
        <w:footnoteRef/>
      </w:r>
      <w:r>
        <w:rPr>
          <w:rtl/>
        </w:rPr>
        <w:t xml:space="preserve"> </w:t>
      </w:r>
      <w:r w:rsidRPr="000B24E8">
        <w:rPr>
          <w:rFonts w:cs="Arial"/>
          <w:rtl/>
        </w:rPr>
        <w:t>ועיין לקמן סי</w:t>
      </w:r>
      <w:r w:rsidR="00E37ACF">
        <w:rPr>
          <w:rFonts w:cs="Arial" w:hint="cs"/>
          <w:rtl/>
        </w:rPr>
        <w:t>'</w:t>
      </w:r>
      <w:r w:rsidRPr="000B24E8">
        <w:rPr>
          <w:rFonts w:cs="Arial"/>
          <w:rtl/>
        </w:rPr>
        <w:t xml:space="preserve"> קיג </w:t>
      </w:r>
      <w:r w:rsidR="00E37ACF">
        <w:rPr>
          <w:rFonts w:cs="Arial" w:hint="cs"/>
          <w:rtl/>
        </w:rPr>
        <w:t>(</w:t>
      </w:r>
      <w:r w:rsidRPr="000B24E8">
        <w:rPr>
          <w:rFonts w:cs="Arial"/>
          <w:rtl/>
        </w:rPr>
        <w:t xml:space="preserve">אות ה) אם יצא שטר חוב על היורשין אם רשות ביד הבנים לסלקו במטלטלין כדי להשאיר הקרקעות ולא יהיו לבנות חלק בהן לפי מה שנוהגין לכתוב שטר חצי זכר מלבד קרקעות. כתב מהרי"ו </w:t>
      </w:r>
      <w:r w:rsidR="00E37ACF">
        <w:rPr>
          <w:rFonts w:cs="Arial" w:hint="cs"/>
          <w:rtl/>
        </w:rPr>
        <w:t>(</w:t>
      </w:r>
      <w:r w:rsidRPr="000B24E8">
        <w:rPr>
          <w:rFonts w:cs="Arial"/>
          <w:rtl/>
        </w:rPr>
        <w:t>סי</w:t>
      </w:r>
      <w:r w:rsidR="00E37ACF">
        <w:rPr>
          <w:rFonts w:cs="Arial" w:hint="cs"/>
          <w:rtl/>
        </w:rPr>
        <w:t>'</w:t>
      </w:r>
      <w:r w:rsidRPr="000B24E8">
        <w:rPr>
          <w:rFonts w:cs="Arial"/>
          <w:rtl/>
        </w:rPr>
        <w:t xml:space="preserve"> קט בתשובה</w:t>
      </w:r>
      <w:r w:rsidR="00E37ACF">
        <w:rPr>
          <w:rFonts w:cs="Arial" w:hint="cs"/>
          <w:rtl/>
        </w:rPr>
        <w:t>)</w:t>
      </w:r>
      <w:r w:rsidRPr="000B24E8">
        <w:rPr>
          <w:rFonts w:cs="Arial"/>
          <w:rtl/>
        </w:rPr>
        <w:t xml:space="preserve"> מי שנתן לחתנו שטר שיטול כחצי זכר מלבד בקרקעות</w:t>
      </w:r>
      <w:r w:rsidR="00E37ACF">
        <w:rPr>
          <w:rFonts w:cs="Arial" w:hint="cs"/>
          <w:rtl/>
        </w:rPr>
        <w:t>,</w:t>
      </w:r>
      <w:r w:rsidRPr="000B24E8">
        <w:rPr>
          <w:rFonts w:cs="Arial"/>
          <w:rtl/>
        </w:rPr>
        <w:t xml:space="preserve"> וספריו כמנהג הארץ</w:t>
      </w:r>
      <w:r>
        <w:rPr>
          <w:rFonts w:cs="Arial" w:hint="cs"/>
          <w:rtl/>
        </w:rPr>
        <w:t>,</w:t>
      </w:r>
      <w:r w:rsidRPr="000B24E8">
        <w:rPr>
          <w:rFonts w:cs="Arial"/>
          <w:rtl/>
        </w:rPr>
        <w:t xml:space="preserve"> והיו ביד ראובן ספרים ממושכנים</w:t>
      </w:r>
      <w:r>
        <w:rPr>
          <w:rFonts w:cs="Arial" w:hint="cs"/>
          <w:rtl/>
        </w:rPr>
        <w:t>,</w:t>
      </w:r>
      <w:r w:rsidRPr="000B24E8">
        <w:rPr>
          <w:rFonts w:cs="Arial"/>
          <w:rtl/>
        </w:rPr>
        <w:t xml:space="preserve"> ופסק דאין בעל חוב קונה משכון לענין זה ויש לבנות חלק במעות, מיהו אם הלוה לו ואמר לו אם לא אפדנו לזמן פלוני יהיה הספרים שלך</w:t>
      </w:r>
      <w:r>
        <w:rPr>
          <w:rFonts w:cs="Arial" w:hint="cs"/>
          <w:rtl/>
        </w:rPr>
        <w:t>,</w:t>
      </w:r>
      <w:r w:rsidRPr="000B24E8">
        <w:rPr>
          <w:rFonts w:cs="Arial"/>
          <w:rtl/>
        </w:rPr>
        <w:t xml:space="preserve"> ועבר הזמן ולא פדאם</w:t>
      </w:r>
      <w:r>
        <w:rPr>
          <w:rFonts w:cs="Arial" w:hint="cs"/>
          <w:rtl/>
        </w:rPr>
        <w:t>,</w:t>
      </w:r>
      <w:r w:rsidRPr="000B24E8">
        <w:rPr>
          <w:rFonts w:cs="Arial"/>
          <w:rtl/>
        </w:rPr>
        <w:t xml:space="preserve"> אז קנה הספרים ואין לבנות חלק בהן</w:t>
      </w:r>
      <w:r>
        <w:rPr>
          <w:rFonts w:cs="Arial" w:hint="cs"/>
          <w:rtl/>
        </w:rPr>
        <w:t>.</w:t>
      </w:r>
      <w:r w:rsidRPr="000B24E8">
        <w:rPr>
          <w:rFonts w:cs="Arial"/>
          <w:rtl/>
        </w:rPr>
        <w:t xml:space="preserve"> ואם הדבר ספק כיצד משכן לו</w:t>
      </w:r>
      <w:r>
        <w:rPr>
          <w:rFonts w:cs="Arial" w:hint="cs"/>
          <w:rtl/>
        </w:rPr>
        <w:t>,</w:t>
      </w:r>
      <w:r w:rsidRPr="000B24E8">
        <w:rPr>
          <w:rFonts w:cs="Arial"/>
          <w:rtl/>
        </w:rPr>
        <w:t xml:space="preserve"> על הבנות להביא ראיה וכו', ועיין דינים אלו בחושן המשפט (סי' עב ס"ד) אימת בעל חוב קונה משכון וחילוק בין משכנתא דמסלקי למשכנתא דלא מסלקי. כתב בתשובת מהרי"ל </w:t>
      </w:r>
      <w:r w:rsidR="00E37ACF">
        <w:rPr>
          <w:rFonts w:cs="Arial" w:hint="cs"/>
          <w:rtl/>
        </w:rPr>
        <w:t>(</w:t>
      </w:r>
      <w:r w:rsidRPr="000B24E8">
        <w:rPr>
          <w:rFonts w:cs="Arial"/>
          <w:rtl/>
        </w:rPr>
        <w:t>סי</w:t>
      </w:r>
      <w:r w:rsidR="00E37ACF">
        <w:rPr>
          <w:rFonts w:cs="Arial" w:hint="cs"/>
          <w:rtl/>
        </w:rPr>
        <w:t>'</w:t>
      </w:r>
      <w:r w:rsidRPr="000B24E8">
        <w:rPr>
          <w:rFonts w:cs="Arial"/>
          <w:rtl/>
        </w:rPr>
        <w:t xml:space="preserve"> פח</w:t>
      </w:r>
      <w:r w:rsidR="00E37ACF">
        <w:rPr>
          <w:rFonts w:cs="Arial" w:hint="cs"/>
          <w:rtl/>
        </w:rPr>
        <w:t>)</w:t>
      </w:r>
      <w:r w:rsidRPr="000B24E8">
        <w:rPr>
          <w:rFonts w:cs="Arial"/>
          <w:rtl/>
        </w:rPr>
        <w:t xml:space="preserve"> מי שנתן שטר ח"ז לבנותיו אסור להפקיע ממנו על ידי שיתן לאשתו תוספת כתובה או כדומה לזה וע"ש</w:t>
      </w:r>
      <w:r>
        <w:rPr>
          <w:rFonts w:cs="Arial" w:hint="cs"/>
          <w:rtl/>
        </w:rPr>
        <w:t xml:space="preserve"> </w:t>
      </w:r>
      <w:r w:rsidRPr="0075311D">
        <w:rPr>
          <w:rFonts w:cs="Arial" w:hint="cs"/>
          <w:color w:val="00B0F0"/>
          <w:sz w:val="16"/>
          <w:szCs w:val="16"/>
          <w:rtl/>
        </w:rPr>
        <w:t xml:space="preserve">(וכ"פ </w:t>
      </w:r>
      <w:r>
        <w:rPr>
          <w:rFonts w:cs="Arial" w:hint="cs"/>
          <w:color w:val="00B0F0"/>
          <w:sz w:val="16"/>
          <w:szCs w:val="16"/>
          <w:rtl/>
        </w:rPr>
        <w:t>בהג"ה</w:t>
      </w:r>
      <w:r w:rsidRPr="0075311D">
        <w:rPr>
          <w:rFonts w:cs="Arial" w:hint="cs"/>
          <w:color w:val="00B0F0"/>
          <w:sz w:val="16"/>
          <w:szCs w:val="16"/>
          <w:rtl/>
        </w:rPr>
        <w:t>)</w:t>
      </w:r>
      <w:r>
        <w:rPr>
          <w:rFonts w:cs="Arial" w:hint="cs"/>
          <w:rtl/>
        </w:rPr>
        <w:t>, דרכ"מ (אות ב).</w:t>
      </w:r>
    </w:p>
  </w:footnote>
  <w:footnote w:id="2350">
    <w:p w14:paraId="38A74DA5" w14:textId="01A4270F" w:rsidR="00893925" w:rsidRDefault="00893925">
      <w:pPr>
        <w:pStyle w:val="a5"/>
      </w:pPr>
      <w:r>
        <w:rPr>
          <w:rStyle w:val="a7"/>
        </w:rPr>
        <w:footnoteRef/>
      </w:r>
      <w:r>
        <w:rPr>
          <w:rtl/>
        </w:rPr>
        <w:t xml:space="preserve"> </w:t>
      </w:r>
      <w:r>
        <w:rPr>
          <w:rFonts w:cs="Arial"/>
          <w:rtl/>
        </w:rPr>
        <w:t>עי' בס' ישועות יעקב שנשאל על שטח"ז שלא נכתב בדרך זה</w:t>
      </w:r>
      <w:r>
        <w:rPr>
          <w:rFonts w:cs="Arial" w:hint="cs"/>
          <w:rtl/>
        </w:rPr>
        <w:t>,</w:t>
      </w:r>
      <w:r>
        <w:rPr>
          <w:rFonts w:cs="Arial"/>
          <w:rtl/>
        </w:rPr>
        <w:t xml:space="preserve"> רק נכתב סתם שיטול כחלק חצי זכר</w:t>
      </w:r>
      <w:r>
        <w:rPr>
          <w:rFonts w:cs="Arial" w:hint="cs"/>
          <w:rtl/>
        </w:rPr>
        <w:t>,</w:t>
      </w:r>
      <w:r>
        <w:rPr>
          <w:rFonts w:cs="Arial"/>
          <w:rtl/>
        </w:rPr>
        <w:t xml:space="preserve"> אך בסוף השטר נאמר </w:t>
      </w:r>
      <w:r>
        <w:rPr>
          <w:rFonts w:cs="Arial" w:hint="cs"/>
          <w:rtl/>
        </w:rPr>
        <w:t>"</w:t>
      </w:r>
      <w:r>
        <w:rPr>
          <w:rFonts w:cs="Arial"/>
          <w:rtl/>
        </w:rPr>
        <w:t>וכל הא דלעיל קבלתי עלי בחיוב גמור לאשר ולקיים</w:t>
      </w:r>
      <w:r>
        <w:rPr>
          <w:rFonts w:cs="Arial" w:hint="cs"/>
          <w:rtl/>
        </w:rPr>
        <w:t>",</w:t>
      </w:r>
      <w:r>
        <w:rPr>
          <w:rFonts w:cs="Arial"/>
          <w:rtl/>
        </w:rPr>
        <w:t xml:space="preserve"> מה דין השטר הזה</w:t>
      </w:r>
      <w:r>
        <w:rPr>
          <w:rFonts w:cs="Arial" w:hint="cs"/>
          <w:rtl/>
        </w:rPr>
        <w:t>,</w:t>
      </w:r>
      <w:r>
        <w:rPr>
          <w:rFonts w:cs="Arial"/>
          <w:rtl/>
        </w:rPr>
        <w:t xml:space="preserve"> אי נימא מאחר שלא נכתב דרך הודאה לא יטול רק בנכסים שהיה לו בשעת כתיבה</w:t>
      </w:r>
      <w:r>
        <w:rPr>
          <w:rFonts w:cs="Arial" w:hint="cs"/>
          <w:rtl/>
        </w:rPr>
        <w:t>,</w:t>
      </w:r>
      <w:r>
        <w:rPr>
          <w:rFonts w:cs="Arial"/>
          <w:rtl/>
        </w:rPr>
        <w:t xml:space="preserve"> או נימא מאחר שנכתב שקיבל עליו בחיוב גמור הרי קיי"ל בח</w:t>
      </w:r>
      <w:r w:rsidR="00E37ACF">
        <w:rPr>
          <w:rFonts w:cs="Arial" w:hint="cs"/>
          <w:rtl/>
        </w:rPr>
        <w:t>ו</w:t>
      </w:r>
      <w:r>
        <w:rPr>
          <w:rFonts w:cs="Arial"/>
          <w:rtl/>
        </w:rPr>
        <w:t xml:space="preserve">"מ </w:t>
      </w:r>
      <w:r w:rsidR="00E37ACF">
        <w:rPr>
          <w:rFonts w:cs="Arial" w:hint="cs"/>
          <w:rtl/>
        </w:rPr>
        <w:t>(</w:t>
      </w:r>
      <w:r>
        <w:rPr>
          <w:rFonts w:cs="Arial"/>
          <w:rtl/>
        </w:rPr>
        <w:t>סי</w:t>
      </w:r>
      <w:r w:rsidR="00E37ACF">
        <w:rPr>
          <w:rFonts w:cs="Arial" w:hint="cs"/>
          <w:rtl/>
        </w:rPr>
        <w:t>'</w:t>
      </w:r>
      <w:r>
        <w:rPr>
          <w:rFonts w:cs="Arial"/>
          <w:rtl/>
        </w:rPr>
        <w:t xml:space="preserve"> ס</w:t>
      </w:r>
      <w:r w:rsidR="00E37ACF">
        <w:rPr>
          <w:rFonts w:cs="Arial" w:hint="cs"/>
          <w:rtl/>
        </w:rPr>
        <w:t>)</w:t>
      </w:r>
      <w:r>
        <w:rPr>
          <w:rFonts w:cs="Arial"/>
          <w:rtl/>
        </w:rPr>
        <w:t xml:space="preserve"> דאף דאין אדם מקנה דבר שלב"ל מ"מ יכול להתחייב עצמו בדשלב"ל. והאריך קצת בזה ודעתו נוטה דכאן לא מהני אף שנכתב שקיבל בחיוב גמור</w:t>
      </w:r>
      <w:r>
        <w:rPr>
          <w:rFonts w:cs="Arial" w:hint="cs"/>
          <w:rtl/>
        </w:rPr>
        <w:t>,</w:t>
      </w:r>
      <w:r>
        <w:rPr>
          <w:rFonts w:cs="Arial"/>
          <w:rtl/>
        </w:rPr>
        <w:t xml:space="preserve"> ואינו נוטל אלא מהנכסים שהיה לו בשעת כתיבה. וסיום התשובה לא נמצא שם. ועיין בתשובת נו"ב </w:t>
      </w:r>
      <w:r>
        <w:rPr>
          <w:rFonts w:cs="Arial" w:hint="cs"/>
          <w:rtl/>
        </w:rPr>
        <w:t>(</w:t>
      </w:r>
      <w:r>
        <w:rPr>
          <w:rFonts w:cs="Arial"/>
          <w:rtl/>
        </w:rPr>
        <w:t>ח</w:t>
      </w:r>
      <w:r>
        <w:rPr>
          <w:rFonts w:cs="Arial" w:hint="cs"/>
          <w:rtl/>
        </w:rPr>
        <w:t>ו</w:t>
      </w:r>
      <w:r>
        <w:rPr>
          <w:rFonts w:cs="Arial"/>
          <w:rtl/>
        </w:rPr>
        <w:t>"מ סי</w:t>
      </w:r>
      <w:r>
        <w:rPr>
          <w:rFonts w:cs="Arial" w:hint="cs"/>
          <w:rtl/>
        </w:rPr>
        <w:t>'</w:t>
      </w:r>
      <w:r>
        <w:rPr>
          <w:rFonts w:cs="Arial"/>
          <w:rtl/>
        </w:rPr>
        <w:t xml:space="preserve"> כה </w:t>
      </w:r>
      <w:r>
        <w:rPr>
          <w:rFonts w:cs="Arial" w:hint="cs"/>
          <w:rtl/>
        </w:rPr>
        <w:t xml:space="preserve">- </w:t>
      </w:r>
      <w:r>
        <w:rPr>
          <w:rFonts w:cs="Arial"/>
          <w:rtl/>
        </w:rPr>
        <w:t>כח</w:t>
      </w:r>
      <w:r>
        <w:rPr>
          <w:rFonts w:cs="Arial" w:hint="cs"/>
          <w:rtl/>
        </w:rPr>
        <w:t>)</w:t>
      </w:r>
      <w:r>
        <w:rPr>
          <w:rFonts w:cs="Arial"/>
          <w:rtl/>
        </w:rPr>
        <w:t xml:space="preserve"> מענין כזה שפלפל שם עם חתנו הגאון מהר"ר יוסף ז"ל</w:t>
      </w:r>
      <w:r>
        <w:rPr>
          <w:rFonts w:cs="Arial" w:hint="cs"/>
          <w:rtl/>
        </w:rPr>
        <w:t>,</w:t>
      </w:r>
      <w:r>
        <w:rPr>
          <w:rFonts w:cs="Arial"/>
          <w:rtl/>
        </w:rPr>
        <w:t xml:space="preserve"> ומבואר שם שזה פשוט בעיניהם לענין הרכוש אשר רכש אחר כתיבת השטר בודאי אין חלק וזכרון לחתנו</w:t>
      </w:r>
      <w:r>
        <w:rPr>
          <w:rFonts w:cs="Arial" w:hint="cs"/>
          <w:rtl/>
        </w:rPr>
        <w:t>,</w:t>
      </w:r>
      <w:r>
        <w:rPr>
          <w:rFonts w:cs="Arial"/>
          <w:rtl/>
        </w:rPr>
        <w:t xml:space="preserve"> וגם המעות שהיה בשעת הקנין לא זכה בו שהרי מטבע אינו נקנה בחליפין</w:t>
      </w:r>
      <w:r>
        <w:rPr>
          <w:rFonts w:cs="Arial" w:hint="cs"/>
          <w:rtl/>
        </w:rPr>
        <w:t>.</w:t>
      </w:r>
      <w:r>
        <w:rPr>
          <w:rFonts w:cs="Arial"/>
          <w:rtl/>
        </w:rPr>
        <w:t xml:space="preserve"> ואף לשון חיוב שכתוב בשטר שקיבל עליו בחוב גמור לאשר ולקיים כו' אינו מועיל לזה כלל כי לא נתחייב שיתן הוא עצמו דנימא שהחיוב חל על גופו רק כתב לאשר ולקיים כל הנ"ל</w:t>
      </w:r>
      <w:r>
        <w:rPr>
          <w:rFonts w:cs="Arial" w:hint="cs"/>
          <w:rtl/>
        </w:rPr>
        <w:t>,</w:t>
      </w:r>
      <w:r>
        <w:rPr>
          <w:rFonts w:cs="Arial"/>
          <w:rtl/>
        </w:rPr>
        <w:t xml:space="preserve"> וא"כ היינו שחייב את עצמו שיתנו לו בניו ואיך יכול לחייב א"ע על בניו</w:t>
      </w:r>
      <w:r>
        <w:rPr>
          <w:rFonts w:cs="Arial" w:hint="cs"/>
          <w:rtl/>
        </w:rPr>
        <w:t>.</w:t>
      </w:r>
      <w:r>
        <w:rPr>
          <w:rFonts w:cs="Arial"/>
          <w:rtl/>
        </w:rPr>
        <w:t xml:space="preserve"> וגם אם נכתב בשטר קבלתי עלי בח"ח ובשד"א ג"כ אינו מועיל כי אין היורשים מחוייבים לקיים שבועת אביהם.</w:t>
      </w:r>
      <w:r>
        <w:rPr>
          <w:rFonts w:cs="Arial" w:hint="cs"/>
          <w:rtl/>
        </w:rPr>
        <w:t>.., פת"ש (סק"ג).</w:t>
      </w:r>
    </w:p>
  </w:footnote>
  <w:footnote w:id="2351">
    <w:p w14:paraId="148F9663" w14:textId="054B5F2B" w:rsidR="005A1A88" w:rsidRDefault="005A1A88">
      <w:pPr>
        <w:pStyle w:val="a5"/>
        <w:rPr>
          <w:rFonts w:hint="cs"/>
          <w:rtl/>
        </w:rPr>
      </w:pPr>
      <w:r>
        <w:rPr>
          <w:rStyle w:val="a7"/>
        </w:rPr>
        <w:footnoteRef/>
      </w:r>
      <w:r>
        <w:rPr>
          <w:rtl/>
        </w:rPr>
        <w:t xml:space="preserve"> </w:t>
      </w:r>
      <w:r w:rsidRPr="005A1A88">
        <w:rPr>
          <w:rFonts w:cs="Arial"/>
          <w:rtl/>
        </w:rPr>
        <w:t>כיון שכפל דבריו לחינם, ודאי בא ליפות את כחה</w:t>
      </w:r>
      <w:r>
        <w:rPr>
          <w:rFonts w:cs="Arial" w:hint="cs"/>
          <w:rtl/>
        </w:rPr>
        <w:t xml:space="preserve"> </w:t>
      </w:r>
      <w:r w:rsidRPr="005A1A88">
        <w:rPr>
          <w:rFonts w:cs="Arial" w:hint="cs"/>
          <w:sz w:val="16"/>
          <w:szCs w:val="16"/>
          <w:rtl/>
        </w:rPr>
        <w:t>(חברותא)</w:t>
      </w:r>
      <w:r>
        <w:rPr>
          <w:rFonts w:cs="Arial" w:hint="cs"/>
          <w:rtl/>
        </w:rPr>
        <w:t>.</w:t>
      </w:r>
    </w:p>
  </w:footnote>
  <w:footnote w:id="2352">
    <w:p w14:paraId="56F35F19" w14:textId="77777777" w:rsidR="00C4645B" w:rsidRDefault="00C4645B" w:rsidP="00C4645B">
      <w:pPr>
        <w:pStyle w:val="a5"/>
        <w:rPr>
          <w:rtl/>
        </w:rPr>
      </w:pPr>
      <w:r>
        <w:rPr>
          <w:rStyle w:val="a7"/>
        </w:rPr>
        <w:footnoteRef/>
      </w:r>
      <w:r>
        <w:rPr>
          <w:rtl/>
        </w:rPr>
        <w:t xml:space="preserve"> </w:t>
      </w:r>
      <w:r w:rsidRPr="00674D37">
        <w:rPr>
          <w:rFonts w:cs="Arial"/>
          <w:rtl/>
        </w:rPr>
        <w:t>וקצת משמע דהכי ס"ל לבעל התרומות</w:t>
      </w:r>
      <w:r>
        <w:rPr>
          <w:rFonts w:cs="Arial" w:hint="cs"/>
          <w:rtl/>
        </w:rPr>
        <w:t xml:space="preserve"> </w:t>
      </w:r>
      <w:r w:rsidRPr="00E20F64">
        <w:rPr>
          <w:rFonts w:cs="Arial" w:hint="cs"/>
          <w:sz w:val="16"/>
          <w:szCs w:val="16"/>
          <w:rtl/>
        </w:rPr>
        <w:t>(</w:t>
      </w:r>
      <w:r w:rsidRPr="00E20F64">
        <w:rPr>
          <w:rFonts w:cs="Arial"/>
          <w:sz w:val="16"/>
          <w:szCs w:val="16"/>
          <w:rtl/>
        </w:rPr>
        <w:t>שער נט ח"ב אות ב)</w:t>
      </w:r>
      <w:r>
        <w:rPr>
          <w:rFonts w:cs="Arial" w:hint="cs"/>
          <w:rtl/>
        </w:rPr>
        <w:t>, ב"י</w:t>
      </w:r>
      <w:r w:rsidRPr="00674D37">
        <w:rPr>
          <w:rFonts w:cs="Arial"/>
          <w:rtl/>
        </w:rPr>
        <w:t>.</w:t>
      </w:r>
    </w:p>
  </w:footnote>
  <w:footnote w:id="2353">
    <w:p w14:paraId="0E98011C" w14:textId="7C1549F3" w:rsidR="00074486" w:rsidRDefault="00074486" w:rsidP="00074486">
      <w:pPr>
        <w:pStyle w:val="a5"/>
        <w:rPr>
          <w:rtl/>
        </w:rPr>
      </w:pPr>
      <w:r>
        <w:rPr>
          <w:rStyle w:val="a7"/>
        </w:rPr>
        <w:footnoteRef/>
      </w:r>
      <w:r>
        <w:rPr>
          <w:rtl/>
        </w:rPr>
        <w:t xml:space="preserve"> </w:t>
      </w:r>
      <w:r w:rsidRPr="00475D81">
        <w:rPr>
          <w:rFonts w:cs="Arial"/>
          <w:rtl/>
        </w:rPr>
        <w:t>וצ"ע בתשובה כלל פ"ג שהביא ב"י דמשמע דס"ל כדברי הרשב"ם</w:t>
      </w:r>
      <w:r w:rsidR="00764FAC">
        <w:rPr>
          <w:rFonts w:cs="Arial" w:hint="cs"/>
          <w:rtl/>
        </w:rPr>
        <w:t>,</w:t>
      </w:r>
      <w:r w:rsidRPr="00475D81">
        <w:rPr>
          <w:rFonts w:cs="Arial"/>
          <w:rtl/>
        </w:rPr>
        <w:t xml:space="preserve"> וע"ש</w:t>
      </w:r>
      <w:r w:rsidR="00764FAC">
        <w:rPr>
          <w:rFonts w:cs="Arial" w:hint="cs"/>
          <w:rtl/>
        </w:rPr>
        <w:t>.</w:t>
      </w:r>
      <w:r w:rsidRPr="00475D81">
        <w:rPr>
          <w:rFonts w:cs="Arial"/>
          <w:rtl/>
        </w:rPr>
        <w:t xml:space="preserve"> ובתשובת בר ששת </w:t>
      </w:r>
      <w:r w:rsidR="00764FAC">
        <w:rPr>
          <w:rFonts w:cs="Arial" w:hint="cs"/>
          <w:rtl/>
        </w:rPr>
        <w:t>(</w:t>
      </w:r>
      <w:r w:rsidRPr="00475D81">
        <w:rPr>
          <w:rFonts w:cs="Arial"/>
          <w:rtl/>
        </w:rPr>
        <w:t>סי</w:t>
      </w:r>
      <w:r w:rsidR="00764FAC">
        <w:rPr>
          <w:rFonts w:cs="Arial" w:hint="cs"/>
          <w:rtl/>
        </w:rPr>
        <w:t>'</w:t>
      </w:r>
      <w:r w:rsidRPr="00475D81">
        <w:rPr>
          <w:rFonts w:cs="Arial"/>
          <w:rtl/>
        </w:rPr>
        <w:t xml:space="preserve"> תפ</w:t>
      </w:r>
      <w:r w:rsidR="00764FAC">
        <w:rPr>
          <w:rFonts w:cs="Arial" w:hint="cs"/>
          <w:rtl/>
        </w:rPr>
        <w:t>)</w:t>
      </w:r>
      <w:r w:rsidRPr="00475D81">
        <w:rPr>
          <w:rFonts w:cs="Arial"/>
          <w:rtl/>
        </w:rPr>
        <w:t xml:space="preserve"> כתב בשם הרמב"ן (קלח. ד"ה ה"ג) והרשב"א (קלח: ד"ה ודילמא) כדברי רשב"ם דאם אמר סתם ידה על העליונה</w:t>
      </w:r>
      <w:r w:rsidR="00764FAC">
        <w:rPr>
          <w:rFonts w:cs="Arial" w:hint="cs"/>
          <w:rtl/>
        </w:rPr>
        <w:t>,</w:t>
      </w:r>
      <w:r w:rsidRPr="00475D81">
        <w:rPr>
          <w:rFonts w:cs="Arial"/>
          <w:rtl/>
        </w:rPr>
        <w:t xml:space="preserve"> מיהו אם אמר תנו לה ר' במתנה נוטלתן בלא כתובה</w:t>
      </w:r>
      <w:r w:rsidR="00AB5DB4" w:rsidRPr="00AB5DB4">
        <w:rPr>
          <w:rFonts w:cs="Arial" w:hint="cs"/>
          <w:color w:val="00B0F0"/>
          <w:rtl/>
        </w:rPr>
        <w:t xml:space="preserve"> </w:t>
      </w:r>
      <w:r w:rsidR="00AB5DB4" w:rsidRPr="00AB5DB4">
        <w:rPr>
          <w:rFonts w:cs="Arial" w:hint="cs"/>
          <w:color w:val="00B0F0"/>
          <w:sz w:val="16"/>
          <w:szCs w:val="16"/>
          <w:rtl/>
        </w:rPr>
        <w:t>(וכ"פ בהג"ה)</w:t>
      </w:r>
      <w:r w:rsidR="00764FAC">
        <w:rPr>
          <w:rFonts w:cs="Arial" w:hint="cs"/>
          <w:rtl/>
        </w:rPr>
        <w:t>.</w:t>
      </w:r>
      <w:r w:rsidRPr="00475D81">
        <w:rPr>
          <w:rFonts w:cs="Arial"/>
          <w:rtl/>
        </w:rPr>
        <w:t xml:space="preserve"> וכתב עוד שם דאם אמר שתיזון מנכסיו נזונת ומעשה ידיה שלה הואיל ואינה נזונת משום תקנת חכמים אלא משום מתנת בעלה</w:t>
      </w:r>
      <w:r w:rsidR="00AB5DB4">
        <w:rPr>
          <w:rFonts w:cs="Arial" w:hint="cs"/>
          <w:rtl/>
        </w:rPr>
        <w:t>, דרכ"מ (אות א).</w:t>
      </w:r>
    </w:p>
  </w:footnote>
  <w:footnote w:id="2354">
    <w:p w14:paraId="47D5B4F3" w14:textId="3B1CD94D" w:rsidR="00A91D0A" w:rsidRDefault="00A91D0A" w:rsidP="00A91D0A">
      <w:pPr>
        <w:pStyle w:val="a5"/>
      </w:pPr>
      <w:r>
        <w:rPr>
          <w:rStyle w:val="a7"/>
        </w:rPr>
        <w:footnoteRef/>
      </w:r>
      <w:r>
        <w:rPr>
          <w:rtl/>
        </w:rPr>
        <w:t xml:space="preserve"> </w:t>
      </w:r>
      <w:r w:rsidRPr="00475D81">
        <w:rPr>
          <w:rFonts w:cs="Arial"/>
          <w:rtl/>
        </w:rPr>
        <w:t xml:space="preserve">וכתב מהרי"ו בתשובה </w:t>
      </w:r>
      <w:r w:rsidR="001120D6">
        <w:rPr>
          <w:rFonts w:cs="Arial" w:hint="cs"/>
          <w:rtl/>
        </w:rPr>
        <w:t>(</w:t>
      </w:r>
      <w:r w:rsidRPr="00475D81">
        <w:rPr>
          <w:rFonts w:cs="Arial"/>
          <w:rtl/>
        </w:rPr>
        <w:t>סי</w:t>
      </w:r>
      <w:r w:rsidR="001120D6">
        <w:rPr>
          <w:rFonts w:cs="Arial" w:hint="cs"/>
          <w:rtl/>
        </w:rPr>
        <w:t>'</w:t>
      </w:r>
      <w:r w:rsidRPr="00475D81">
        <w:rPr>
          <w:rFonts w:cs="Arial"/>
          <w:rtl/>
        </w:rPr>
        <w:t xml:space="preserve"> קמד</w:t>
      </w:r>
      <w:r w:rsidR="001120D6">
        <w:rPr>
          <w:rFonts w:cs="Arial" w:hint="cs"/>
          <w:rtl/>
        </w:rPr>
        <w:t>)</w:t>
      </w:r>
      <w:r w:rsidRPr="00475D81">
        <w:rPr>
          <w:rFonts w:cs="Arial"/>
          <w:rtl/>
        </w:rPr>
        <w:t xml:space="preserve"> דאף צמידים המחוברים לבגדיה הוי בכלל בגדים הואיל ונתן לה במתנה</w:t>
      </w:r>
      <w:r w:rsidR="001120D6">
        <w:rPr>
          <w:rFonts w:cs="Arial" w:hint="cs"/>
          <w:rtl/>
        </w:rPr>
        <w:t>.</w:t>
      </w:r>
      <w:r w:rsidRPr="00475D81">
        <w:rPr>
          <w:rFonts w:cs="Arial"/>
          <w:rtl/>
        </w:rPr>
        <w:t xml:space="preserve"> אבל אם בשעת נישואין פסק להוסיף לה כך וכך מלבד מלבושים </w:t>
      </w:r>
      <w:r w:rsidR="001120D6">
        <w:rPr>
          <w:rFonts w:cs="Arial" w:hint="cs"/>
          <w:rtl/>
        </w:rPr>
        <w:t xml:space="preserve">- </w:t>
      </w:r>
      <w:r w:rsidRPr="00475D81">
        <w:rPr>
          <w:rFonts w:cs="Arial"/>
          <w:rtl/>
        </w:rPr>
        <w:t>אין הצמידים בכלל הואיל ולא רצתה להתחתן לו אלא בכה"ג הוי כמכר</w:t>
      </w:r>
      <w:r w:rsidR="001120D6">
        <w:rPr>
          <w:rFonts w:cs="Arial" w:hint="cs"/>
          <w:rtl/>
        </w:rPr>
        <w:t>,</w:t>
      </w:r>
      <w:r w:rsidRPr="00475D81">
        <w:rPr>
          <w:rFonts w:cs="Arial"/>
          <w:rtl/>
        </w:rPr>
        <w:t xml:space="preserve"> ובמכר אמרינן בעין רעה מוכר</w:t>
      </w:r>
      <w:r w:rsidR="001120D6">
        <w:rPr>
          <w:rFonts w:cs="Arial" w:hint="cs"/>
          <w:rtl/>
        </w:rPr>
        <w:t>, דרכ"מ (אות ב).</w:t>
      </w:r>
      <w:r w:rsidR="001120D6">
        <w:rPr>
          <w:rFonts w:hint="cs"/>
          <w:rtl/>
        </w:rPr>
        <w:t xml:space="preserve"> </w:t>
      </w:r>
      <w:r w:rsidR="001120D6" w:rsidRPr="001120D6">
        <w:rPr>
          <w:rFonts w:hint="cs"/>
          <w:color w:val="00B0F0"/>
          <w:rtl/>
        </w:rPr>
        <w:t>(וכ"פ בהג"ה)</w:t>
      </w:r>
    </w:p>
  </w:footnote>
  <w:footnote w:id="2355">
    <w:p w14:paraId="2A107CD2" w14:textId="0667B302" w:rsidR="001120D6" w:rsidRDefault="001120D6">
      <w:pPr>
        <w:pStyle w:val="a5"/>
      </w:pPr>
      <w:r>
        <w:rPr>
          <w:rStyle w:val="a7"/>
        </w:rPr>
        <w:footnoteRef/>
      </w:r>
      <w:r>
        <w:rPr>
          <w:rtl/>
        </w:rPr>
        <w:t xml:space="preserve"> </w:t>
      </w:r>
      <w:r w:rsidRPr="00A91D0A">
        <w:rPr>
          <w:rFonts w:cs="Arial"/>
          <w:rtl/>
        </w:rPr>
        <w:t>דכל מידי דמיקרי בגדים נתן לה</w:t>
      </w:r>
      <w:r>
        <w:rPr>
          <w:rFonts w:cs="Arial" w:hint="cs"/>
          <w:rtl/>
        </w:rPr>
        <w:t>,</w:t>
      </w:r>
      <w:r w:rsidRPr="00A91D0A">
        <w:rPr>
          <w:rFonts w:cs="Arial"/>
          <w:rtl/>
        </w:rPr>
        <w:t xml:space="preserve"> כדאמרינן (ב"ב קנ:) גבי שכיב מרע שאמר נכסי לפלוני. וכתב עוד שם (סי' ה) דאם אמר מלבושים גם הסרבל ואונקלי ומעפורת וסודר בכלל דכל דבר שאדם לובש ומתעטף הכל נקרא מלבוש והביא ראיה לדבר</w:t>
      </w:r>
      <w:r>
        <w:rPr>
          <w:rFonts w:cs="Arial" w:hint="cs"/>
          <w:rtl/>
        </w:rPr>
        <w:t>, ב"י.</w:t>
      </w:r>
      <w:r w:rsidRPr="001120D6">
        <w:rPr>
          <w:rFonts w:asciiTheme="minorBidi" w:hAnsiTheme="minorBidi"/>
          <w:color w:val="E36C0A" w:themeColor="accent6" w:themeShade="BF"/>
          <w:rtl/>
        </w:rPr>
        <w:t xml:space="preserve"> </w:t>
      </w:r>
      <w:r w:rsidRPr="00351B7D">
        <w:rPr>
          <w:rFonts w:asciiTheme="minorBidi" w:hAnsiTheme="minorBidi"/>
          <w:color w:val="E36C0A" w:themeColor="accent6" w:themeShade="BF"/>
          <w:rtl/>
        </w:rPr>
        <w:t>(וכ"</w:t>
      </w:r>
      <w:r>
        <w:rPr>
          <w:rFonts w:asciiTheme="minorBidi" w:hAnsiTheme="minorBidi" w:hint="cs"/>
          <w:color w:val="E36C0A" w:themeColor="accent6" w:themeShade="BF"/>
          <w:rtl/>
        </w:rPr>
        <w:t>פ</w:t>
      </w:r>
      <w:r w:rsidRPr="00351B7D">
        <w:rPr>
          <w:rFonts w:asciiTheme="minorBidi" w:hAnsiTheme="minorBidi"/>
          <w:color w:val="E36C0A" w:themeColor="accent6" w:themeShade="BF"/>
          <w:rtl/>
        </w:rPr>
        <w:t xml:space="preserve"> בשו"ע)</w:t>
      </w:r>
    </w:p>
  </w:footnote>
  <w:footnote w:id="2356">
    <w:p w14:paraId="4F897215" w14:textId="6165BA3A" w:rsidR="00D77D7C" w:rsidRDefault="00D77D7C">
      <w:pPr>
        <w:pStyle w:val="a5"/>
      </w:pPr>
      <w:r>
        <w:rPr>
          <w:rStyle w:val="a7"/>
        </w:rPr>
        <w:footnoteRef/>
      </w:r>
      <w:r>
        <w:rPr>
          <w:rtl/>
        </w:rPr>
        <w:t xml:space="preserve"> </w:t>
      </w:r>
      <w:r>
        <w:rPr>
          <w:rFonts w:cs="Arial"/>
          <w:rtl/>
        </w:rPr>
        <w:t>עב"ש שהקשה דהא לעיל סי' צ"ט מבואר דדבר שנותן להתנאות שמין לה בכתובה</w:t>
      </w:r>
      <w:r>
        <w:rPr>
          <w:rFonts w:cs="Arial" w:hint="cs"/>
          <w:rtl/>
        </w:rPr>
        <w:t>,</w:t>
      </w:r>
      <w:r>
        <w:rPr>
          <w:rFonts w:cs="Arial"/>
          <w:rtl/>
        </w:rPr>
        <w:t xml:space="preserve"> ותירץ דאיירי כאן שפירש חוץ מכתובה</w:t>
      </w:r>
      <w:r>
        <w:rPr>
          <w:rFonts w:cs="Arial" w:hint="cs"/>
          <w:rtl/>
        </w:rPr>
        <w:t>.</w:t>
      </w:r>
      <w:r>
        <w:rPr>
          <w:rFonts w:cs="Arial"/>
          <w:rtl/>
        </w:rPr>
        <w:t xml:space="preserve"> גם י"ל מ"ש כאן דאין הצמידים בכלל לא נ"מ אחר מותו אלא בחייו דאינו מחוייב להניח לה להתקשט בהם ע"ש</w:t>
      </w:r>
      <w:r>
        <w:rPr>
          <w:rFonts w:cs="Arial" w:hint="cs"/>
          <w:rtl/>
        </w:rPr>
        <w:t>.</w:t>
      </w:r>
      <w:r>
        <w:rPr>
          <w:rFonts w:cs="Arial"/>
          <w:rtl/>
        </w:rPr>
        <w:t xml:space="preserve"> ועיין בק"א לס' כתובה שכ' דמעיקרא לק"מ דהתם מיירי בבגדים שעושה מרצונו הטוב לאחר נישואין שפיר אמרינן שלא הקנה לה רק בהיותה תחתיו להתנאות בהם</w:t>
      </w:r>
      <w:r>
        <w:rPr>
          <w:rFonts w:cs="Arial" w:hint="cs"/>
          <w:rtl/>
        </w:rPr>
        <w:t>,</w:t>
      </w:r>
      <w:r>
        <w:rPr>
          <w:rFonts w:cs="Arial"/>
          <w:rtl/>
        </w:rPr>
        <w:t xml:space="preserve"> אבל מה שהוא מחייב בשעת נישואין דחשיב להרי"ו כמכירה ולא שייך זה כיון שהוא מדעתה ג"כ דעי"ז נשאת לו והוקנה לה לעולם</w:t>
      </w:r>
      <w:r>
        <w:rPr>
          <w:rFonts w:cs="Arial" w:hint="cs"/>
          <w:rtl/>
        </w:rPr>
        <w:t>.</w:t>
      </w:r>
      <w:r>
        <w:rPr>
          <w:rFonts w:cs="Arial"/>
          <w:rtl/>
        </w:rPr>
        <w:t xml:space="preserve"> וכה"ג מחלק הב"ש עצמו בסי' צ' סקנ"ב ע"ש. ומ"ש עוד הב"ש לתרץ קושיית הט"ז. עיין בס' כתובה שם</w:t>
      </w:r>
      <w:r>
        <w:rPr>
          <w:rFonts w:cs="Arial" w:hint="cs"/>
          <w:rtl/>
        </w:rPr>
        <w:t>, פת"ש (סק"א).</w:t>
      </w:r>
    </w:p>
  </w:footnote>
  <w:footnote w:id="2357">
    <w:p w14:paraId="5DFDF9D1" w14:textId="13642EF7" w:rsidR="00D77D7C" w:rsidRDefault="00D77D7C">
      <w:pPr>
        <w:pStyle w:val="a5"/>
      </w:pPr>
      <w:r>
        <w:rPr>
          <w:rStyle w:val="a7"/>
        </w:rPr>
        <w:footnoteRef/>
      </w:r>
      <w:r>
        <w:rPr>
          <w:rtl/>
        </w:rPr>
        <w:t xml:space="preserve"> </w:t>
      </w:r>
      <w:r>
        <w:rPr>
          <w:rFonts w:cs="Arial"/>
          <w:rtl/>
        </w:rPr>
        <w:t>כ' בספר כרם שלמה וז"ל</w:t>
      </w:r>
      <w:r>
        <w:rPr>
          <w:rFonts w:cs="Arial" w:hint="cs"/>
          <w:rtl/>
        </w:rPr>
        <w:t>:</w:t>
      </w:r>
      <w:r>
        <w:rPr>
          <w:rFonts w:cs="Arial"/>
          <w:rtl/>
        </w:rPr>
        <w:t xml:space="preserve"> בשו"ת שער אפרים </w:t>
      </w:r>
      <w:r>
        <w:rPr>
          <w:rFonts w:cs="Arial" w:hint="cs"/>
          <w:rtl/>
        </w:rPr>
        <w:t>(</w:t>
      </w:r>
      <w:r>
        <w:rPr>
          <w:rFonts w:cs="Arial"/>
          <w:rtl/>
        </w:rPr>
        <w:t>סי' קכד</w:t>
      </w:r>
      <w:r>
        <w:rPr>
          <w:rFonts w:cs="Arial" w:hint="cs"/>
          <w:rtl/>
        </w:rPr>
        <w:t>)</w:t>
      </w:r>
      <w:r>
        <w:rPr>
          <w:rFonts w:cs="Arial"/>
          <w:rtl/>
        </w:rPr>
        <w:t xml:space="preserve"> הביא ראיה ממשנה סנהדרין פ"ד שאין המנעלים בכלל מלבוש דחשוב שם מלבוש בפני עצמו ומנעול בפני עצמו ע"ש</w:t>
      </w:r>
      <w:r>
        <w:rPr>
          <w:rFonts w:cs="Arial" w:hint="cs"/>
          <w:rtl/>
        </w:rPr>
        <w:t>.</w:t>
      </w:r>
      <w:r>
        <w:rPr>
          <w:rFonts w:cs="Arial"/>
          <w:rtl/>
        </w:rPr>
        <w:t xml:space="preserve"> ול"נ להביא ראיה דמנעלים בכלל מלבוש מהא דאיתא במס' שבת ק"כ ולובש כל מה שיכול ללבוש כו' וחשיב שם בי"ח כלים ושני מנעלים עכ"ל (עיין ביאור הגר"א ז"ל</w:t>
      </w:r>
      <w:r w:rsidR="00071930">
        <w:rPr>
          <w:rFonts w:cs="Arial" w:hint="cs"/>
          <w:rtl/>
        </w:rPr>
        <w:t xml:space="preserve">, </w:t>
      </w:r>
      <w:r>
        <w:rPr>
          <w:rFonts w:cs="Arial"/>
          <w:rtl/>
        </w:rPr>
        <w:t xml:space="preserve">ועיין בתשובת שבו"י </w:t>
      </w:r>
      <w:r w:rsidR="00071930">
        <w:rPr>
          <w:rFonts w:cs="Arial" w:hint="cs"/>
          <w:rtl/>
        </w:rPr>
        <w:t>[</w:t>
      </w:r>
      <w:r>
        <w:rPr>
          <w:rFonts w:cs="Arial"/>
          <w:rtl/>
        </w:rPr>
        <w:t>ח"א סי</w:t>
      </w:r>
      <w:r w:rsidR="00071930">
        <w:rPr>
          <w:rFonts w:cs="Arial" w:hint="cs"/>
          <w:rtl/>
        </w:rPr>
        <w:t>'</w:t>
      </w:r>
      <w:r>
        <w:rPr>
          <w:rFonts w:cs="Arial"/>
          <w:rtl/>
        </w:rPr>
        <w:t xml:space="preserve"> כד</w:t>
      </w:r>
      <w:r w:rsidR="00071930">
        <w:rPr>
          <w:rFonts w:cs="Arial" w:hint="cs"/>
          <w:rtl/>
        </w:rPr>
        <w:t>]</w:t>
      </w:r>
      <w:r>
        <w:rPr>
          <w:rFonts w:cs="Arial"/>
          <w:rtl/>
        </w:rPr>
        <w:t xml:space="preserve"> הובא קצת בפ"ת </w:t>
      </w:r>
      <w:r w:rsidR="00071930">
        <w:rPr>
          <w:rFonts w:cs="Arial" w:hint="cs"/>
          <w:rtl/>
        </w:rPr>
        <w:t>[יו"ד</w:t>
      </w:r>
      <w:r>
        <w:rPr>
          <w:rFonts w:cs="Arial"/>
          <w:rtl/>
        </w:rPr>
        <w:t xml:space="preserve"> סי</w:t>
      </w:r>
      <w:r w:rsidR="00071930">
        <w:rPr>
          <w:rFonts w:cs="Arial" w:hint="cs"/>
          <w:rtl/>
        </w:rPr>
        <w:t>'</w:t>
      </w:r>
      <w:r>
        <w:rPr>
          <w:rFonts w:cs="Arial"/>
          <w:rtl/>
        </w:rPr>
        <w:t xml:space="preserve"> ריח סק</w:t>
      </w:r>
      <w:r w:rsidR="00071930">
        <w:rPr>
          <w:rFonts w:cs="Arial" w:hint="cs"/>
          <w:rtl/>
        </w:rPr>
        <w:t>"</w:t>
      </w:r>
      <w:r>
        <w:rPr>
          <w:rFonts w:cs="Arial"/>
          <w:rtl/>
        </w:rPr>
        <w:t>ב</w:t>
      </w:r>
      <w:r w:rsidR="00071930">
        <w:rPr>
          <w:rFonts w:cs="Arial" w:hint="cs"/>
          <w:rtl/>
        </w:rPr>
        <w:t>]</w:t>
      </w:r>
      <w:r>
        <w:rPr>
          <w:rFonts w:cs="Arial"/>
          <w:rtl/>
        </w:rPr>
        <w:t>)</w:t>
      </w:r>
      <w:r>
        <w:rPr>
          <w:rFonts w:cs="Arial" w:hint="cs"/>
          <w:rtl/>
        </w:rPr>
        <w:t>, פת"ש (סק"ב).</w:t>
      </w:r>
    </w:p>
  </w:footnote>
  <w:footnote w:id="2358">
    <w:p w14:paraId="3BF83BFB" w14:textId="407273FB" w:rsidR="00830C6B" w:rsidRDefault="00830C6B" w:rsidP="00830C6B">
      <w:pPr>
        <w:pStyle w:val="a5"/>
      </w:pPr>
      <w:r>
        <w:rPr>
          <w:rStyle w:val="a7"/>
        </w:rPr>
        <w:footnoteRef/>
      </w:r>
      <w:r>
        <w:rPr>
          <w:rtl/>
        </w:rPr>
        <w:t xml:space="preserve"> </w:t>
      </w:r>
      <w:r>
        <w:rPr>
          <w:rFonts w:hint="cs"/>
          <w:rtl/>
        </w:rPr>
        <w:t xml:space="preserve">סימן - קבלה סתם זיהוי. </w:t>
      </w:r>
    </w:p>
  </w:footnote>
  <w:footnote w:id="2359">
    <w:p w14:paraId="78902744" w14:textId="7C79D6B8" w:rsidR="00FA795F" w:rsidRDefault="00FA795F">
      <w:pPr>
        <w:pStyle w:val="a5"/>
      </w:pPr>
      <w:r>
        <w:rPr>
          <w:rStyle w:val="a7"/>
        </w:rPr>
        <w:footnoteRef/>
      </w:r>
      <w:r>
        <w:rPr>
          <w:rtl/>
        </w:rPr>
        <w:t xml:space="preserve"> </w:t>
      </w:r>
      <w:r>
        <w:rPr>
          <w:rFonts w:hint="cs"/>
          <w:rtl/>
        </w:rPr>
        <w:t>סימן - קדוש ס</w:t>
      </w:r>
      <w:r w:rsidR="00906E18">
        <w:rPr>
          <w:rFonts w:hint="cs"/>
          <w:rtl/>
        </w:rPr>
        <w:t>ותר</w:t>
      </w:r>
      <w:r w:rsidR="00B13D23">
        <w:rPr>
          <w:rFonts w:hint="cs"/>
          <w:rtl/>
        </w:rPr>
        <w:t>/סותם</w:t>
      </w:r>
      <w:r w:rsidR="003B2B8A">
        <w:rPr>
          <w:rFonts w:hint="cs"/>
          <w:rtl/>
        </w:rPr>
        <w:t xml:space="preserve"> ז</w:t>
      </w:r>
      <w:r w:rsidR="00906E18">
        <w:rPr>
          <w:rFonts w:hint="cs"/>
          <w:rtl/>
        </w:rPr>
        <w:t>י</w:t>
      </w:r>
      <w:r w:rsidR="003B2B8A">
        <w:rPr>
          <w:rFonts w:hint="cs"/>
          <w:rtl/>
        </w:rPr>
        <w:t>ה</w:t>
      </w:r>
      <w:r w:rsidR="00906E18">
        <w:rPr>
          <w:rFonts w:hint="cs"/>
          <w:rtl/>
        </w:rPr>
        <w:t>וי</w:t>
      </w:r>
      <w:r w:rsidR="003B2B8A">
        <w:rPr>
          <w:rFonts w:hint="cs"/>
          <w:rtl/>
        </w:rPr>
        <w:t>.</w:t>
      </w:r>
      <w:r w:rsidR="00906E18">
        <w:rPr>
          <w:rFonts w:hint="cs"/>
          <w:rtl/>
        </w:rPr>
        <w:t xml:space="preserve"> </w:t>
      </w:r>
    </w:p>
  </w:footnote>
  <w:footnote w:id="2360">
    <w:p w14:paraId="21960532" w14:textId="1DD1A3A2" w:rsidR="00B13D23" w:rsidRDefault="00B13D23" w:rsidP="00B13D23">
      <w:pPr>
        <w:pStyle w:val="a5"/>
      </w:pPr>
      <w:r>
        <w:rPr>
          <w:rStyle w:val="a7"/>
        </w:rPr>
        <w:footnoteRef/>
      </w:r>
      <w:r>
        <w:rPr>
          <w:rtl/>
        </w:rPr>
        <w:t xml:space="preserve"> </w:t>
      </w:r>
      <w:r>
        <w:rPr>
          <w:rFonts w:hint="cs"/>
          <w:rtl/>
        </w:rPr>
        <w:t xml:space="preserve">סימן - יחזיר טופס. </w:t>
      </w:r>
    </w:p>
  </w:footnote>
  <w:footnote w:id="2361">
    <w:p w14:paraId="20318D35" w14:textId="77777777" w:rsidR="00C43520" w:rsidRDefault="00C43520" w:rsidP="00C43520">
      <w:pPr>
        <w:pStyle w:val="a5"/>
      </w:pPr>
      <w:r>
        <w:rPr>
          <w:rStyle w:val="a7"/>
        </w:rPr>
        <w:footnoteRef/>
      </w:r>
      <w:r>
        <w:rPr>
          <w:rtl/>
        </w:rPr>
        <w:t xml:space="preserve"> </w:t>
      </w:r>
      <w:r>
        <w:rPr>
          <w:rFonts w:hint="cs"/>
          <w:rtl/>
        </w:rPr>
        <w:t xml:space="preserve">סימן </w:t>
      </w:r>
      <w:r>
        <w:rPr>
          <w:rtl/>
        </w:rPr>
        <w:t>-</w:t>
      </w:r>
      <w:r>
        <w:rPr>
          <w:rFonts w:hint="cs"/>
          <w:rtl/>
        </w:rPr>
        <w:t xml:space="preserve"> נותן לבתו. וכן </w:t>
      </w:r>
      <w:r>
        <w:rPr>
          <w:rtl/>
        </w:rPr>
        <w:t>-</w:t>
      </w:r>
      <w:r>
        <w:rPr>
          <w:rFonts w:hint="cs"/>
          <w:rtl/>
        </w:rPr>
        <w:t xml:space="preserve"> נותנת לבניה. וכן - נכסי/נחלת בנים.</w:t>
      </w:r>
    </w:p>
  </w:footnote>
  <w:footnote w:id="2362">
    <w:p w14:paraId="0829ACCC" w14:textId="77777777" w:rsidR="00392DBB" w:rsidRDefault="00392DBB" w:rsidP="00392DBB">
      <w:pPr>
        <w:pStyle w:val="a5"/>
      </w:pPr>
      <w:r>
        <w:rPr>
          <w:rStyle w:val="a7"/>
        </w:rPr>
        <w:footnoteRef/>
      </w:r>
      <w:r>
        <w:rPr>
          <w:rtl/>
        </w:rPr>
        <w:t xml:space="preserve"> </w:t>
      </w:r>
      <w:r w:rsidRPr="00AF1FC9">
        <w:rPr>
          <w:rFonts w:cs="Arial"/>
          <w:rtl/>
        </w:rPr>
        <w:t>בני אשה אחרת אם תמותי בחיי ואירשך יטלו בניך כתובתיך ונפקא מינה שמא מרובה היא או שמא יהו בני אשה האחרת מרובים ובניך מועטים וטוב להן שיטלו כתובת אמן והמרובים כתובת אמן ואפי' הכתובות שוות</w:t>
      </w:r>
      <w:r>
        <w:rPr>
          <w:rFonts w:cs="Arial" w:hint="cs"/>
          <w:rtl/>
        </w:rPr>
        <w:t>, רש"י.</w:t>
      </w:r>
    </w:p>
  </w:footnote>
  <w:footnote w:id="2363">
    <w:p w14:paraId="41D6BD17" w14:textId="77777777" w:rsidR="00392DBB" w:rsidRDefault="00392DBB" w:rsidP="00392DBB">
      <w:pPr>
        <w:pStyle w:val="a5"/>
      </w:pPr>
      <w:r>
        <w:rPr>
          <w:rStyle w:val="a7"/>
        </w:rPr>
        <w:footnoteRef/>
      </w:r>
      <w:r>
        <w:rPr>
          <w:rtl/>
        </w:rPr>
        <w:t xml:space="preserve"> </w:t>
      </w:r>
      <w:r w:rsidRPr="00AF1FC9">
        <w:rPr>
          <w:rFonts w:cs="Arial"/>
          <w:rtl/>
        </w:rPr>
        <w:t>מאחר שהבעל יורש את אשתו למה תקנו שיוריש לבניה מה שירש ממנה דהיינו נדוניא שלה</w:t>
      </w:r>
      <w:r>
        <w:rPr>
          <w:rFonts w:cs="Arial" w:hint="cs"/>
          <w:rtl/>
        </w:rPr>
        <w:t>, רש"י.</w:t>
      </w:r>
    </w:p>
  </w:footnote>
  <w:footnote w:id="2364">
    <w:p w14:paraId="6620F0EC" w14:textId="77777777" w:rsidR="00392DBB" w:rsidRDefault="00392DBB" w:rsidP="00392DBB">
      <w:pPr>
        <w:pStyle w:val="a5"/>
        <w:rPr>
          <w:rtl/>
        </w:rPr>
      </w:pPr>
      <w:r>
        <w:rPr>
          <w:rStyle w:val="a7"/>
        </w:rPr>
        <w:footnoteRef/>
      </w:r>
      <w:r>
        <w:rPr>
          <w:rtl/>
        </w:rPr>
        <w:t xml:space="preserve"> </w:t>
      </w:r>
      <w:r w:rsidRPr="00AF1FC9">
        <w:rPr>
          <w:rFonts w:cs="Arial"/>
          <w:rtl/>
        </w:rPr>
        <w:t>נדוניא יפה דאילו מתה יירשו בניה</w:t>
      </w:r>
      <w:r>
        <w:rPr>
          <w:rFonts w:hint="cs"/>
          <w:rtl/>
        </w:rPr>
        <w:t>, רש"י.</w:t>
      </w:r>
    </w:p>
  </w:footnote>
  <w:footnote w:id="2365">
    <w:p w14:paraId="18C77836" w14:textId="77777777" w:rsidR="00392DBB" w:rsidRDefault="00392DBB" w:rsidP="00392DBB">
      <w:pPr>
        <w:pStyle w:val="a5"/>
        <w:rPr>
          <w:rtl/>
        </w:rPr>
      </w:pPr>
      <w:r>
        <w:rPr>
          <w:rStyle w:val="a7"/>
        </w:rPr>
        <w:footnoteRef/>
      </w:r>
      <w:r>
        <w:rPr>
          <w:rtl/>
        </w:rPr>
        <w:t xml:space="preserve"> </w:t>
      </w:r>
      <w:r w:rsidRPr="00B85A75">
        <w:rPr>
          <w:rFonts w:cs="Arial"/>
          <w:rtl/>
        </w:rPr>
        <w:t>דכתיב (במדבר כז) איש כי ימות ובן אין לו וגו' הא יש לו בנו יורשו ולא בתו</w:t>
      </w:r>
      <w:r>
        <w:rPr>
          <w:rFonts w:hint="cs"/>
          <w:rtl/>
        </w:rPr>
        <w:t>, רש"י.</w:t>
      </w:r>
    </w:p>
  </w:footnote>
  <w:footnote w:id="2366">
    <w:p w14:paraId="375B675D" w14:textId="77777777" w:rsidR="00392DBB" w:rsidRDefault="00392DBB" w:rsidP="00392DBB">
      <w:pPr>
        <w:pStyle w:val="a5"/>
      </w:pPr>
      <w:r>
        <w:rPr>
          <w:rStyle w:val="a7"/>
        </w:rPr>
        <w:footnoteRef/>
      </w:r>
      <w:r>
        <w:rPr>
          <w:rtl/>
        </w:rPr>
        <w:t xml:space="preserve"> </w:t>
      </w:r>
      <w:r w:rsidRPr="00B85A75">
        <w:rPr>
          <w:rFonts w:cs="Arial"/>
          <w:rtl/>
        </w:rPr>
        <w:t>שיתן לה האב ממונו שהיו בניו ראויין לירש</w:t>
      </w:r>
      <w:r>
        <w:rPr>
          <w:rFonts w:cs="Arial" w:hint="cs"/>
          <w:rtl/>
        </w:rPr>
        <w:t>, רש"י.</w:t>
      </w:r>
    </w:p>
  </w:footnote>
  <w:footnote w:id="2367">
    <w:p w14:paraId="48993A05" w14:textId="77777777" w:rsidR="00392DBB" w:rsidRDefault="00392DBB" w:rsidP="00392DBB">
      <w:pPr>
        <w:pStyle w:val="a5"/>
      </w:pPr>
      <w:r>
        <w:rPr>
          <w:rStyle w:val="a7"/>
        </w:rPr>
        <w:footnoteRef/>
      </w:r>
      <w:r>
        <w:rPr>
          <w:rtl/>
        </w:rPr>
        <w:t xml:space="preserve"> </w:t>
      </w:r>
      <w:r w:rsidRPr="00A811EA">
        <w:rPr>
          <w:rFonts w:cs="Arial"/>
          <w:rtl/>
        </w:rPr>
        <w:t>לבקש לו אשה שדרכו של איש לחזר על אשה</w:t>
      </w:r>
      <w:r>
        <w:rPr>
          <w:rFonts w:cs="Arial" w:hint="cs"/>
          <w:rtl/>
        </w:rPr>
        <w:t>, רש"י.</w:t>
      </w:r>
    </w:p>
  </w:footnote>
  <w:footnote w:id="2368">
    <w:p w14:paraId="3953A67C" w14:textId="77777777" w:rsidR="00392DBB" w:rsidRDefault="00392DBB" w:rsidP="00392DBB">
      <w:pPr>
        <w:pStyle w:val="a5"/>
      </w:pPr>
      <w:r>
        <w:rPr>
          <w:rStyle w:val="a7"/>
        </w:rPr>
        <w:footnoteRef/>
      </w:r>
      <w:r>
        <w:rPr>
          <w:rtl/>
        </w:rPr>
        <w:t xml:space="preserve"> </w:t>
      </w:r>
      <w:r w:rsidRPr="00A811EA">
        <w:rPr>
          <w:rFonts w:cs="Arial"/>
          <w:rtl/>
        </w:rPr>
        <w:t>וכי דרך אשה לחזר על איש</w:t>
      </w:r>
      <w:r>
        <w:rPr>
          <w:rFonts w:cs="Arial" w:hint="cs"/>
          <w:rtl/>
        </w:rPr>
        <w:t>, רש"י.</w:t>
      </w:r>
    </w:p>
  </w:footnote>
  <w:footnote w:id="2369">
    <w:p w14:paraId="5926C6A0" w14:textId="77777777" w:rsidR="00392DBB" w:rsidRDefault="00392DBB" w:rsidP="00392DBB">
      <w:pPr>
        <w:pStyle w:val="a5"/>
        <w:rPr>
          <w:rtl/>
        </w:rPr>
      </w:pPr>
      <w:r>
        <w:rPr>
          <w:rStyle w:val="a7"/>
        </w:rPr>
        <w:footnoteRef/>
      </w:r>
      <w:r>
        <w:rPr>
          <w:rtl/>
        </w:rPr>
        <w:t xml:space="preserve"> </w:t>
      </w:r>
      <w:r w:rsidRPr="00A811EA">
        <w:rPr>
          <w:rFonts w:cs="Arial"/>
          <w:rtl/>
        </w:rPr>
        <w:t>כיון דטעמא כדי שיקפוץ ליתן לבתו הוא דתקון</w:t>
      </w:r>
      <w:r>
        <w:rPr>
          <w:rFonts w:cs="Arial" w:hint="cs"/>
          <w:rtl/>
        </w:rPr>
        <w:t>,</w:t>
      </w:r>
      <w:r w:rsidRPr="00A811EA">
        <w:rPr>
          <w:rFonts w:cs="Arial"/>
          <w:rtl/>
        </w:rPr>
        <w:t xml:space="preserve"> נדוניא דיהב אב לבתו</w:t>
      </w:r>
      <w:r>
        <w:rPr>
          <w:rFonts w:cs="Arial" w:hint="cs"/>
          <w:rtl/>
        </w:rPr>
        <w:t xml:space="preserve"> -</w:t>
      </w:r>
      <w:r w:rsidRPr="00A811EA">
        <w:rPr>
          <w:rFonts w:cs="Arial"/>
          <w:rtl/>
        </w:rPr>
        <w:t xml:space="preserve"> לירתון בנים דילה</w:t>
      </w:r>
      <w:r>
        <w:rPr>
          <w:rFonts w:cs="Arial" w:hint="cs"/>
          <w:rtl/>
        </w:rPr>
        <w:t>,</w:t>
      </w:r>
      <w:r w:rsidRPr="00A811EA">
        <w:rPr>
          <w:rFonts w:cs="Arial"/>
          <w:rtl/>
        </w:rPr>
        <w:t xml:space="preserve"> אבל שאר כתובות נכסי הבעל כגון מנה מאתים ותוספת דבעל </w:t>
      </w:r>
      <w:r>
        <w:rPr>
          <w:rFonts w:cs="Arial" w:hint="cs"/>
          <w:rtl/>
        </w:rPr>
        <w:t xml:space="preserve">- </w:t>
      </w:r>
      <w:r w:rsidRPr="00A811EA">
        <w:rPr>
          <w:rFonts w:cs="Arial"/>
          <w:rtl/>
        </w:rPr>
        <w:t>לא לירתון</w:t>
      </w:r>
      <w:r>
        <w:rPr>
          <w:rFonts w:hint="cs"/>
          <w:rtl/>
        </w:rPr>
        <w:t>, רש"י.</w:t>
      </w:r>
    </w:p>
  </w:footnote>
  <w:footnote w:id="2370">
    <w:p w14:paraId="3F9ED153" w14:textId="77777777" w:rsidR="00392DBB" w:rsidRDefault="00392DBB" w:rsidP="00392DBB">
      <w:pPr>
        <w:pStyle w:val="a5"/>
      </w:pPr>
      <w:r>
        <w:rPr>
          <w:rStyle w:val="a7"/>
        </w:rPr>
        <w:footnoteRef/>
      </w:r>
      <w:r>
        <w:rPr>
          <w:rtl/>
        </w:rPr>
        <w:t xml:space="preserve"> </w:t>
      </w:r>
      <w:r w:rsidRPr="00A811EA">
        <w:rPr>
          <w:rFonts w:cs="Arial"/>
          <w:rtl/>
        </w:rPr>
        <w:t>דלא ירתי לשאר הכתובה</w:t>
      </w:r>
      <w:r>
        <w:rPr>
          <w:rFonts w:cs="Arial" w:hint="cs"/>
          <w:rtl/>
        </w:rPr>
        <w:t>, רש"י.</w:t>
      </w:r>
    </w:p>
  </w:footnote>
  <w:footnote w:id="2371">
    <w:p w14:paraId="4AD137E4" w14:textId="77777777" w:rsidR="00392DBB" w:rsidRDefault="00392DBB" w:rsidP="00392DBB">
      <w:pPr>
        <w:pStyle w:val="a5"/>
        <w:rPr>
          <w:rtl/>
        </w:rPr>
      </w:pPr>
      <w:r>
        <w:rPr>
          <w:rStyle w:val="a7"/>
        </w:rPr>
        <w:footnoteRef/>
      </w:r>
      <w:r>
        <w:rPr>
          <w:rtl/>
        </w:rPr>
        <w:t xml:space="preserve"> </w:t>
      </w:r>
      <w:r w:rsidRPr="00A811EA">
        <w:rPr>
          <w:rFonts w:cs="Arial"/>
          <w:rtl/>
        </w:rPr>
        <w:t>לבתו אחרי שזה מקפיד על שלו מלהוריש לבני בתי אף אני אמשוך ידי מלהרבות לו נדוניא</w:t>
      </w:r>
      <w:r>
        <w:rPr>
          <w:rFonts w:hint="cs"/>
          <w:rtl/>
        </w:rPr>
        <w:t>, רש"י.</w:t>
      </w:r>
    </w:p>
  </w:footnote>
  <w:footnote w:id="2372">
    <w:p w14:paraId="5759FE64" w14:textId="77777777" w:rsidR="00392DBB" w:rsidRDefault="00392DBB" w:rsidP="00392DBB">
      <w:pPr>
        <w:pStyle w:val="a5"/>
      </w:pPr>
      <w:r>
        <w:rPr>
          <w:rStyle w:val="a7"/>
        </w:rPr>
        <w:footnoteRef/>
      </w:r>
      <w:r>
        <w:rPr>
          <w:rtl/>
        </w:rPr>
        <w:t xml:space="preserve"> </w:t>
      </w:r>
      <w:r w:rsidRPr="002F672F">
        <w:rPr>
          <w:rFonts w:cs="Arial"/>
          <w:rtl/>
        </w:rPr>
        <w:t>כיון דטעמא משום שיקפוץ אב לתת נדוניא לבתו היא היכא דכתב אב נדוניא לבתו נכתוב בעל תנאי כתובת בנין דכרין והיכא דלא כתב אב נדוניא לבתו לא נכתוב בעל תנאי כתובת בנין דכרין</w:t>
      </w:r>
      <w:r>
        <w:rPr>
          <w:rFonts w:cs="Arial" w:hint="cs"/>
          <w:rtl/>
        </w:rPr>
        <w:t>, רש"י.</w:t>
      </w:r>
    </w:p>
  </w:footnote>
  <w:footnote w:id="2373">
    <w:p w14:paraId="328136FE" w14:textId="77777777" w:rsidR="00392DBB" w:rsidRDefault="00392DBB" w:rsidP="00392DBB">
      <w:pPr>
        <w:pStyle w:val="a5"/>
      </w:pPr>
      <w:r>
        <w:rPr>
          <w:rStyle w:val="a7"/>
        </w:rPr>
        <w:footnoteRef/>
      </w:r>
      <w:r>
        <w:rPr>
          <w:rtl/>
        </w:rPr>
        <w:t xml:space="preserve"> </w:t>
      </w:r>
      <w:r w:rsidRPr="002F672F">
        <w:rPr>
          <w:rFonts w:cs="Arial"/>
          <w:rtl/>
        </w:rPr>
        <w:t>לא חלקו בין כתובה לכתובה אחרי שרוב כתובות יש בהן נדוניא לא חלקו</w:t>
      </w:r>
      <w:r>
        <w:rPr>
          <w:rFonts w:cs="Arial" w:hint="cs"/>
          <w:rtl/>
        </w:rPr>
        <w:t>, רש"י.</w:t>
      </w:r>
    </w:p>
  </w:footnote>
  <w:footnote w:id="2374">
    <w:p w14:paraId="222780FF" w14:textId="77777777" w:rsidR="00392DBB" w:rsidRDefault="00392DBB" w:rsidP="00392DBB">
      <w:pPr>
        <w:pStyle w:val="a5"/>
        <w:rPr>
          <w:rtl/>
        </w:rPr>
      </w:pPr>
      <w:r>
        <w:rPr>
          <w:rStyle w:val="a7"/>
        </w:rPr>
        <w:footnoteRef/>
      </w:r>
      <w:r>
        <w:rPr>
          <w:rtl/>
        </w:rPr>
        <w:t xml:space="preserve"> </w:t>
      </w:r>
      <w:r w:rsidRPr="00C26260">
        <w:rPr>
          <w:rFonts w:cs="Arial"/>
          <w:rtl/>
        </w:rPr>
        <w:t>יש לו בת מן אשה אחת ובנים מן האחרת</w:t>
      </w:r>
      <w:r>
        <w:rPr>
          <w:rFonts w:cs="Arial" w:hint="cs"/>
          <w:rtl/>
        </w:rPr>
        <w:t>,</w:t>
      </w:r>
      <w:r w:rsidRPr="00C26260">
        <w:rPr>
          <w:rFonts w:cs="Arial"/>
          <w:rtl/>
        </w:rPr>
        <w:t xml:space="preserve"> תטול בת היחידה כתובת אמה לירש נדוניא שנתן אבי אמה</w:t>
      </w:r>
      <w:r>
        <w:rPr>
          <w:rFonts w:cs="Arial" w:hint="cs"/>
          <w:rtl/>
        </w:rPr>
        <w:t>.</w:t>
      </w:r>
      <w:r w:rsidRPr="00C26260">
        <w:rPr>
          <w:rFonts w:cs="Arial"/>
          <w:rtl/>
        </w:rPr>
        <w:t xml:space="preserve"> מאי שנא דתקון בנין דכרין</w:t>
      </w:r>
      <w:r>
        <w:rPr>
          <w:rFonts w:hint="cs"/>
          <w:rtl/>
        </w:rPr>
        <w:t>, רש"י.</w:t>
      </w:r>
    </w:p>
  </w:footnote>
  <w:footnote w:id="2375">
    <w:p w14:paraId="608C7E7E" w14:textId="77777777" w:rsidR="00392DBB" w:rsidRDefault="00392DBB" w:rsidP="00392DBB">
      <w:pPr>
        <w:pStyle w:val="a5"/>
      </w:pPr>
      <w:r>
        <w:rPr>
          <w:rStyle w:val="a7"/>
        </w:rPr>
        <w:footnoteRef/>
      </w:r>
      <w:r>
        <w:rPr>
          <w:rtl/>
        </w:rPr>
        <w:t xml:space="preserve"> </w:t>
      </w:r>
      <w:r w:rsidRPr="00702323">
        <w:rPr>
          <w:rFonts w:cs="Arial"/>
          <w:rtl/>
        </w:rPr>
        <w:t>דירתון תנן ואין בת יורשת בין הבנים</w:t>
      </w:r>
      <w:r>
        <w:rPr>
          <w:rFonts w:cs="Arial" w:hint="cs"/>
          <w:rtl/>
        </w:rPr>
        <w:t>, רש"י.</w:t>
      </w:r>
    </w:p>
  </w:footnote>
  <w:footnote w:id="2376">
    <w:p w14:paraId="08DD8909" w14:textId="77777777" w:rsidR="00392DBB" w:rsidRDefault="00392DBB" w:rsidP="00392DBB">
      <w:pPr>
        <w:pStyle w:val="a5"/>
      </w:pPr>
      <w:r>
        <w:rPr>
          <w:rStyle w:val="a7"/>
        </w:rPr>
        <w:footnoteRef/>
      </w:r>
      <w:r>
        <w:rPr>
          <w:rtl/>
        </w:rPr>
        <w:t xml:space="preserve"> </w:t>
      </w:r>
      <w:r w:rsidRPr="00702323">
        <w:rPr>
          <w:rFonts w:cs="Arial"/>
          <w:rtl/>
        </w:rPr>
        <w:t>יש לו בת מן אשה אחת ובנות מן האחרת תטול בת היחידה כתובת אמה לירש נדוניית אבי אמה דהא א</w:t>
      </w:r>
      <w:r>
        <w:rPr>
          <w:rFonts w:cs="Arial" w:hint="cs"/>
          <w:rtl/>
        </w:rPr>
        <w:t xml:space="preserve">י </w:t>
      </w:r>
      <w:r w:rsidRPr="00702323">
        <w:rPr>
          <w:rFonts w:cs="Arial"/>
          <w:rtl/>
        </w:rPr>
        <w:t>נ</w:t>
      </w:r>
      <w:r>
        <w:rPr>
          <w:rFonts w:cs="Arial" w:hint="cs"/>
          <w:rtl/>
        </w:rPr>
        <w:t>מי</w:t>
      </w:r>
      <w:r w:rsidRPr="00702323">
        <w:rPr>
          <w:rFonts w:cs="Arial"/>
          <w:rtl/>
        </w:rPr>
        <w:t xml:space="preserve"> שויוה כנחלה יש משפט נחלה לבת בין הבנות</w:t>
      </w:r>
      <w:r>
        <w:rPr>
          <w:rFonts w:cs="Arial" w:hint="cs"/>
          <w:rtl/>
        </w:rPr>
        <w:t>, רש"י.</w:t>
      </w:r>
    </w:p>
  </w:footnote>
  <w:footnote w:id="2377">
    <w:p w14:paraId="35DEC8E8" w14:textId="77777777" w:rsidR="00392DBB" w:rsidRDefault="00392DBB" w:rsidP="00392DBB">
      <w:pPr>
        <w:pStyle w:val="a5"/>
        <w:rPr>
          <w:rtl/>
        </w:rPr>
      </w:pPr>
      <w:r>
        <w:rPr>
          <w:rStyle w:val="a7"/>
        </w:rPr>
        <w:footnoteRef/>
      </w:r>
      <w:r>
        <w:rPr>
          <w:rtl/>
        </w:rPr>
        <w:t xml:space="preserve"> </w:t>
      </w:r>
      <w:r w:rsidRPr="00702323">
        <w:rPr>
          <w:rFonts w:cs="Arial"/>
          <w:rtl/>
        </w:rPr>
        <w:t>במשפט כתובת בנין דכרין דבת בין הבנים לא תשקול ובת בין הבנות תשקול</w:t>
      </w:r>
      <w:r>
        <w:rPr>
          <w:rFonts w:hint="cs"/>
          <w:rtl/>
        </w:rPr>
        <w:t>, רש"י.</w:t>
      </w:r>
    </w:p>
  </w:footnote>
  <w:footnote w:id="2378">
    <w:p w14:paraId="3ECE2D52" w14:textId="77777777" w:rsidR="00392DBB" w:rsidRDefault="00392DBB" w:rsidP="00392DBB">
      <w:pPr>
        <w:pStyle w:val="a5"/>
        <w:rPr>
          <w:rtl/>
        </w:rPr>
      </w:pPr>
      <w:r>
        <w:rPr>
          <w:rStyle w:val="a7"/>
        </w:rPr>
        <w:footnoteRef/>
      </w:r>
      <w:r>
        <w:rPr>
          <w:rtl/>
        </w:rPr>
        <w:t xml:space="preserve"> </w:t>
      </w:r>
      <w:r w:rsidRPr="00702323">
        <w:rPr>
          <w:rFonts w:cs="Arial"/>
          <w:rtl/>
        </w:rPr>
        <w:t>כיון דטעמא משום נדוניית אבי האם הוא אלמה אמרינן לעיל (נ:) כשם שאין הבנים יורשין אלא מקרקע ואוקימנא בכתובת בנין דכרין</w:t>
      </w:r>
      <w:r>
        <w:rPr>
          <w:rFonts w:hint="cs"/>
          <w:rtl/>
        </w:rPr>
        <w:t>, רש"י.</w:t>
      </w:r>
    </w:p>
  </w:footnote>
  <w:footnote w:id="2379">
    <w:p w14:paraId="06AD6FBF" w14:textId="77777777" w:rsidR="00392DBB" w:rsidRDefault="00392DBB" w:rsidP="00392DBB">
      <w:pPr>
        <w:pStyle w:val="a5"/>
      </w:pPr>
      <w:r>
        <w:rPr>
          <w:rStyle w:val="a7"/>
        </w:rPr>
        <w:footnoteRef/>
      </w:r>
      <w:r>
        <w:rPr>
          <w:rtl/>
        </w:rPr>
        <w:t xml:space="preserve"> </w:t>
      </w:r>
      <w:r w:rsidRPr="00702323">
        <w:rPr>
          <w:rFonts w:cs="Arial"/>
          <w:rtl/>
        </w:rPr>
        <w:t>ומטלטלי דיתמי לא משתעבדי לשטרא</w:t>
      </w:r>
      <w:r>
        <w:rPr>
          <w:rFonts w:cs="Arial" w:hint="cs"/>
          <w:rtl/>
        </w:rPr>
        <w:t>, רש"י.</w:t>
      </w:r>
    </w:p>
  </w:footnote>
  <w:footnote w:id="2380">
    <w:p w14:paraId="46A49467" w14:textId="77777777" w:rsidR="00392DBB" w:rsidRDefault="00392DBB" w:rsidP="00392DBB">
      <w:pPr>
        <w:pStyle w:val="a5"/>
        <w:rPr>
          <w:rtl/>
        </w:rPr>
      </w:pPr>
      <w:r>
        <w:rPr>
          <w:rStyle w:val="a7"/>
        </w:rPr>
        <w:footnoteRef/>
      </w:r>
      <w:r>
        <w:rPr>
          <w:rtl/>
        </w:rPr>
        <w:t xml:space="preserve"> </w:t>
      </w:r>
      <w:r w:rsidRPr="00702323">
        <w:rPr>
          <w:rFonts w:cs="Arial"/>
          <w:rtl/>
        </w:rPr>
        <w:t>אי ככתובה שויוה ולקמן פליגי בה בריש פרק אף על פי</w:t>
      </w:r>
      <w:r>
        <w:rPr>
          <w:rFonts w:hint="cs"/>
          <w:rtl/>
        </w:rPr>
        <w:t>, רש"י.</w:t>
      </w:r>
    </w:p>
  </w:footnote>
  <w:footnote w:id="2381">
    <w:p w14:paraId="32DE1F17" w14:textId="77777777" w:rsidR="00392DBB" w:rsidRDefault="00392DBB" w:rsidP="00392DBB">
      <w:pPr>
        <w:pStyle w:val="a5"/>
      </w:pPr>
      <w:r>
        <w:rPr>
          <w:rStyle w:val="a7"/>
        </w:rPr>
        <w:footnoteRef/>
      </w:r>
      <w:r>
        <w:rPr>
          <w:rtl/>
        </w:rPr>
        <w:t xml:space="preserve"> </w:t>
      </w:r>
      <w:r w:rsidRPr="00702323">
        <w:rPr>
          <w:rFonts w:cs="Arial"/>
          <w:rtl/>
        </w:rPr>
        <w:t>ואין ירושה במשועבדין</w:t>
      </w:r>
      <w:r>
        <w:rPr>
          <w:rFonts w:cs="Arial" w:hint="cs"/>
          <w:rtl/>
        </w:rPr>
        <w:t>, רש"י.</w:t>
      </w:r>
    </w:p>
  </w:footnote>
  <w:footnote w:id="2382">
    <w:p w14:paraId="0E5B8FDF" w14:textId="77777777" w:rsidR="00392DBB" w:rsidRDefault="00392DBB" w:rsidP="00392DBB">
      <w:pPr>
        <w:pStyle w:val="a5"/>
        <w:rPr>
          <w:rtl/>
        </w:rPr>
      </w:pPr>
      <w:r>
        <w:rPr>
          <w:rStyle w:val="a7"/>
        </w:rPr>
        <w:footnoteRef/>
      </w:r>
      <w:r>
        <w:rPr>
          <w:rtl/>
        </w:rPr>
        <w:t xml:space="preserve"> </w:t>
      </w:r>
      <w:r w:rsidRPr="00702323">
        <w:rPr>
          <w:rFonts w:cs="Arial"/>
          <w:rtl/>
        </w:rPr>
        <w:t>יתר על שתי הכתובות יטלו כתובת אמם כדין כתובת בנין דכרין</w:t>
      </w:r>
      <w:r>
        <w:rPr>
          <w:rFonts w:cs="Arial" w:hint="cs"/>
          <w:rtl/>
        </w:rPr>
        <w:t>,</w:t>
      </w:r>
      <w:r w:rsidRPr="00702323">
        <w:rPr>
          <w:rFonts w:cs="Arial"/>
          <w:rtl/>
        </w:rPr>
        <w:t xml:space="preserve"> אלמה תנן בפרק מי שהיה נשוי (צא</w:t>
      </w:r>
      <w:r>
        <w:rPr>
          <w:rFonts w:cs="Arial" w:hint="cs"/>
          <w:rtl/>
        </w:rPr>
        <w:t>.</w:t>
      </w:r>
      <w:r w:rsidRPr="00702323">
        <w:rPr>
          <w:rFonts w:cs="Arial"/>
          <w:rtl/>
        </w:rPr>
        <w:t>) אין שם אלא שתי כתובות חולקין בשוה</w:t>
      </w:r>
      <w:r>
        <w:rPr>
          <w:rFonts w:hint="cs"/>
          <w:rtl/>
        </w:rPr>
        <w:t>, רש"י.</w:t>
      </w:r>
    </w:p>
  </w:footnote>
  <w:footnote w:id="2383">
    <w:p w14:paraId="69AB21AB" w14:textId="77777777" w:rsidR="00392DBB" w:rsidRDefault="00392DBB" w:rsidP="00392DBB">
      <w:pPr>
        <w:pStyle w:val="a5"/>
        <w:rPr>
          <w:rtl/>
        </w:rPr>
      </w:pPr>
      <w:r>
        <w:rPr>
          <w:rStyle w:val="a7"/>
        </w:rPr>
        <w:footnoteRef/>
      </w:r>
      <w:r>
        <w:rPr>
          <w:rtl/>
        </w:rPr>
        <w:t xml:space="preserve"> </w:t>
      </w:r>
      <w:r w:rsidRPr="00702323">
        <w:rPr>
          <w:rFonts w:cs="Arial"/>
          <w:rtl/>
        </w:rPr>
        <w:t>משום נחלה דרבנן</w:t>
      </w:r>
      <w:r>
        <w:rPr>
          <w:rFonts w:hint="cs"/>
          <w:rtl/>
        </w:rPr>
        <w:t>, רש"י.</w:t>
      </w:r>
    </w:p>
  </w:footnote>
  <w:footnote w:id="2384">
    <w:p w14:paraId="65379E25" w14:textId="77777777" w:rsidR="00392DBB" w:rsidRDefault="00392DBB" w:rsidP="00392DBB">
      <w:pPr>
        <w:pStyle w:val="a5"/>
      </w:pPr>
      <w:r>
        <w:rPr>
          <w:rStyle w:val="a7"/>
        </w:rPr>
        <w:footnoteRef/>
      </w:r>
      <w:r>
        <w:rPr>
          <w:rtl/>
        </w:rPr>
        <w:t xml:space="preserve"> </w:t>
      </w:r>
      <w:r w:rsidRPr="00702323">
        <w:rPr>
          <w:rFonts w:cs="Arial"/>
          <w:rtl/>
        </w:rPr>
        <w:t>נחלה דידהו לעקור נחלת חלוקה שוה לגמרי שהיא מן התורה הלכך כי איכא מותר דינר שיחלקוהו בשוה בנחלה דאורייתא יטלו אלו כתובת אמן ואלו כתובת אמן משום נחלה דרבנן ואי לא לא</w:t>
      </w:r>
      <w:r>
        <w:rPr>
          <w:rFonts w:cs="Arial" w:hint="cs"/>
          <w:rtl/>
        </w:rPr>
        <w:t>, רש"י.</w:t>
      </w:r>
    </w:p>
  </w:footnote>
  <w:footnote w:id="2385">
    <w:p w14:paraId="21BAE967" w14:textId="1B4F92FD" w:rsidR="00392DBB" w:rsidRDefault="00392DBB" w:rsidP="00392DBB">
      <w:pPr>
        <w:pStyle w:val="a5"/>
        <w:rPr>
          <w:rtl/>
        </w:rPr>
      </w:pPr>
      <w:r>
        <w:rPr>
          <w:rStyle w:val="a7"/>
        </w:rPr>
        <w:footnoteRef/>
      </w:r>
      <w:r>
        <w:rPr>
          <w:rtl/>
        </w:rPr>
        <w:t xml:space="preserve"> </w:t>
      </w:r>
      <w:r>
        <w:rPr>
          <w:rFonts w:hint="cs"/>
          <w:rtl/>
        </w:rPr>
        <w:t xml:space="preserve">סימן </w:t>
      </w:r>
      <w:r w:rsidR="00F97626">
        <w:rPr>
          <w:rtl/>
        </w:rPr>
        <w:t>-</w:t>
      </w:r>
      <w:r>
        <w:rPr>
          <w:rFonts w:hint="cs"/>
          <w:rtl/>
        </w:rPr>
        <w:t xml:space="preserve"> צוואת אמן.</w:t>
      </w:r>
    </w:p>
  </w:footnote>
  <w:footnote w:id="2386">
    <w:p w14:paraId="1A98E6D7" w14:textId="77777777" w:rsidR="00392DBB" w:rsidRDefault="00392DBB" w:rsidP="00392DBB">
      <w:pPr>
        <w:pStyle w:val="a5"/>
      </w:pPr>
      <w:r>
        <w:rPr>
          <w:rStyle w:val="a7"/>
        </w:rPr>
        <w:footnoteRef/>
      </w:r>
      <w:r>
        <w:rPr>
          <w:rtl/>
        </w:rPr>
        <w:t xml:space="preserve"> </w:t>
      </w:r>
      <w:r w:rsidRPr="00D878AF">
        <w:rPr>
          <w:rFonts w:cs="Arial"/>
          <w:rtl/>
        </w:rPr>
        <w:t>שכתובת אמם מרובה משל חברתה ואומרים בניה כתובת בנין דכרין נטול וכן אתם והשאר נחלוק</w:t>
      </w:r>
      <w:r>
        <w:rPr>
          <w:rFonts w:cs="Arial" w:hint="cs"/>
          <w:rtl/>
        </w:rPr>
        <w:t>, רש"י.</w:t>
      </w:r>
    </w:p>
  </w:footnote>
  <w:footnote w:id="2387">
    <w:p w14:paraId="76DC9873" w14:textId="77777777" w:rsidR="00392DBB" w:rsidRDefault="00392DBB" w:rsidP="00392DBB">
      <w:pPr>
        <w:pStyle w:val="a5"/>
      </w:pPr>
      <w:r>
        <w:rPr>
          <w:rStyle w:val="a7"/>
        </w:rPr>
        <w:footnoteRef/>
      </w:r>
      <w:r>
        <w:rPr>
          <w:rtl/>
        </w:rPr>
        <w:t xml:space="preserve"> </w:t>
      </w:r>
      <w:r w:rsidRPr="00D878AF">
        <w:rPr>
          <w:rFonts w:cs="Arial"/>
          <w:rtl/>
        </w:rPr>
        <w:t>כשאר כל ירושה לפי הגולגולת</w:t>
      </w:r>
      <w:r>
        <w:rPr>
          <w:rFonts w:cs="Arial" w:hint="cs"/>
          <w:rtl/>
        </w:rPr>
        <w:t>, רש"י.</w:t>
      </w:r>
    </w:p>
  </w:footnote>
  <w:footnote w:id="2388">
    <w:p w14:paraId="07D16586" w14:textId="77777777" w:rsidR="00392DBB" w:rsidRDefault="00392DBB" w:rsidP="00392DBB">
      <w:pPr>
        <w:pStyle w:val="a5"/>
      </w:pPr>
      <w:r>
        <w:rPr>
          <w:rStyle w:val="a7"/>
        </w:rPr>
        <w:footnoteRef/>
      </w:r>
      <w:r>
        <w:rPr>
          <w:rtl/>
        </w:rPr>
        <w:t xml:space="preserve"> </w:t>
      </w:r>
      <w:r w:rsidRPr="009876A0">
        <w:rPr>
          <w:rFonts w:cs="Arial"/>
          <w:rtl/>
        </w:rPr>
        <w:t>לא ידעתי למה כת' זה בשם י"א הא גמרא ערוכה היא ר"פ אף על פי חשיב כמה דברים שתו</w:t>
      </w:r>
      <w:r>
        <w:rPr>
          <w:rFonts w:cs="Arial" w:hint="cs"/>
          <w:rtl/>
        </w:rPr>
        <w:t>ספת</w:t>
      </w:r>
      <w:r w:rsidRPr="009876A0">
        <w:rPr>
          <w:rFonts w:cs="Arial"/>
          <w:rtl/>
        </w:rPr>
        <w:t xml:space="preserve"> כתובה ככתובה וחד מינייהו כתובו</w:t>
      </w:r>
      <w:r>
        <w:rPr>
          <w:rFonts w:cs="Arial" w:hint="cs"/>
          <w:rtl/>
        </w:rPr>
        <w:t>ת</w:t>
      </w:r>
      <w:r w:rsidRPr="009876A0">
        <w:rPr>
          <w:rFonts w:cs="Arial"/>
          <w:rtl/>
        </w:rPr>
        <w:t xml:space="preserve"> בנין דכרין</w:t>
      </w:r>
      <w:r>
        <w:rPr>
          <w:rFonts w:cs="Arial" w:hint="cs"/>
          <w:rtl/>
        </w:rPr>
        <w:t>, ח"מ (סק"א). וכן תמהו הב"ש (סק"א) והגר"א (סק"ג) על דברי השו"ע.</w:t>
      </w:r>
    </w:p>
  </w:footnote>
  <w:footnote w:id="2389">
    <w:p w14:paraId="07306EF8" w14:textId="77777777" w:rsidR="00392DBB" w:rsidRDefault="00392DBB" w:rsidP="00392DBB">
      <w:pPr>
        <w:pStyle w:val="a5"/>
      </w:pPr>
      <w:r>
        <w:rPr>
          <w:rStyle w:val="a7"/>
        </w:rPr>
        <w:footnoteRef/>
      </w:r>
      <w:r>
        <w:rPr>
          <w:rtl/>
        </w:rPr>
        <w:t xml:space="preserve"> </w:t>
      </w:r>
      <w:r w:rsidRPr="002F3B36">
        <w:rPr>
          <w:rFonts w:cs="Arial"/>
          <w:rtl/>
        </w:rPr>
        <w:t>לאו דוקא שנשא האשה האחרת אחר מיתה הראשונ' ה"ה נשא אותה בחיי הראשונ' או נשא אותה בבת אחת וכמ"ש בסמוך סעיף ד'</w:t>
      </w:r>
      <w:r>
        <w:rPr>
          <w:rFonts w:cs="Arial" w:hint="cs"/>
          <w:rtl/>
        </w:rPr>
        <w:t>, ח"מ (סק"ג).</w:t>
      </w:r>
    </w:p>
  </w:footnote>
  <w:footnote w:id="2390">
    <w:p w14:paraId="681DD6CA" w14:textId="77777777" w:rsidR="00392DBB" w:rsidRDefault="00392DBB" w:rsidP="00392DBB">
      <w:pPr>
        <w:pStyle w:val="a5"/>
        <w:rPr>
          <w:rtl/>
        </w:rPr>
      </w:pPr>
      <w:r>
        <w:rPr>
          <w:rStyle w:val="a7"/>
        </w:rPr>
        <w:footnoteRef/>
      </w:r>
      <w:r>
        <w:rPr>
          <w:rtl/>
        </w:rPr>
        <w:t xml:space="preserve"> </w:t>
      </w:r>
      <w:r w:rsidRPr="009876A0">
        <w:rPr>
          <w:rFonts w:cs="Arial"/>
          <w:rtl/>
        </w:rPr>
        <w:t>לאו דוקא ה"ה אם סך הכתוב</w:t>
      </w:r>
      <w:r>
        <w:rPr>
          <w:rFonts w:cs="Arial" w:hint="cs"/>
          <w:rtl/>
        </w:rPr>
        <w:t>ה</w:t>
      </w:r>
      <w:r w:rsidRPr="009876A0">
        <w:rPr>
          <w:rFonts w:cs="Arial"/>
          <w:rtl/>
        </w:rPr>
        <w:t xml:space="preserve"> שוה יש תועלת בכתוב</w:t>
      </w:r>
      <w:r>
        <w:rPr>
          <w:rFonts w:cs="Arial" w:hint="cs"/>
          <w:rtl/>
        </w:rPr>
        <w:t>ת</w:t>
      </w:r>
      <w:r w:rsidRPr="009876A0">
        <w:rPr>
          <w:rFonts w:cs="Arial"/>
          <w:rtl/>
        </w:rPr>
        <w:t xml:space="preserve"> בנין דכרין אם יש לאחת יותר בנים מלחברתה</w:t>
      </w:r>
      <w:r>
        <w:rPr>
          <w:rFonts w:hint="cs"/>
          <w:rtl/>
        </w:rPr>
        <w:t>, ח"מ (סק"ב).</w:t>
      </w:r>
    </w:p>
  </w:footnote>
  <w:footnote w:id="2391">
    <w:p w14:paraId="5BC5F426" w14:textId="1F5803E5" w:rsidR="00392DBB" w:rsidRDefault="00392DBB" w:rsidP="00392DBB">
      <w:pPr>
        <w:pStyle w:val="a5"/>
        <w:rPr>
          <w:rtl/>
        </w:rPr>
      </w:pPr>
      <w:r>
        <w:rPr>
          <w:rStyle w:val="a7"/>
        </w:rPr>
        <w:footnoteRef/>
      </w:r>
      <w:r>
        <w:rPr>
          <w:rtl/>
        </w:rPr>
        <w:t xml:space="preserve"> </w:t>
      </w:r>
      <w:r>
        <w:rPr>
          <w:rFonts w:hint="cs"/>
          <w:rtl/>
        </w:rPr>
        <w:t xml:space="preserve">סימן </w:t>
      </w:r>
      <w:r w:rsidR="00F97626">
        <w:rPr>
          <w:rtl/>
        </w:rPr>
        <w:t>-</w:t>
      </w:r>
      <w:r>
        <w:rPr>
          <w:rFonts w:hint="cs"/>
          <w:rtl/>
        </w:rPr>
        <w:t xml:space="preserve"> צוואת אמן.</w:t>
      </w:r>
    </w:p>
  </w:footnote>
  <w:footnote w:id="2392">
    <w:p w14:paraId="54343DCE" w14:textId="77777777" w:rsidR="00392DBB" w:rsidRDefault="00392DBB" w:rsidP="00392DBB">
      <w:pPr>
        <w:pStyle w:val="a5"/>
      </w:pPr>
      <w:r>
        <w:rPr>
          <w:rStyle w:val="a7"/>
        </w:rPr>
        <w:footnoteRef/>
      </w:r>
      <w:r>
        <w:rPr>
          <w:rtl/>
        </w:rPr>
        <w:t xml:space="preserve"> </w:t>
      </w:r>
      <w:r w:rsidRPr="00D878AF">
        <w:rPr>
          <w:rFonts w:cs="Arial"/>
          <w:rtl/>
        </w:rPr>
        <w:t>שכתובת אמם מרובה משל חברתה ואומרים בניה כתובת בנין דכרין נטול וכן אתם והשאר נחלוק</w:t>
      </w:r>
      <w:r>
        <w:rPr>
          <w:rFonts w:cs="Arial" w:hint="cs"/>
          <w:rtl/>
        </w:rPr>
        <w:t>, רש"י.</w:t>
      </w:r>
    </w:p>
  </w:footnote>
  <w:footnote w:id="2393">
    <w:p w14:paraId="7333E62B" w14:textId="77777777" w:rsidR="00392DBB" w:rsidRDefault="00392DBB" w:rsidP="00392DBB">
      <w:pPr>
        <w:pStyle w:val="a5"/>
      </w:pPr>
      <w:r>
        <w:rPr>
          <w:rStyle w:val="a7"/>
        </w:rPr>
        <w:footnoteRef/>
      </w:r>
      <w:r>
        <w:rPr>
          <w:rtl/>
        </w:rPr>
        <w:t xml:space="preserve"> </w:t>
      </w:r>
      <w:r w:rsidRPr="00D878AF">
        <w:rPr>
          <w:rFonts w:cs="Arial"/>
          <w:rtl/>
        </w:rPr>
        <w:t>כשאר כל ירושה לפי הגולגולת</w:t>
      </w:r>
      <w:r>
        <w:rPr>
          <w:rFonts w:cs="Arial" w:hint="cs"/>
          <w:rtl/>
        </w:rPr>
        <w:t>, רש"י.</w:t>
      </w:r>
    </w:p>
  </w:footnote>
  <w:footnote w:id="2394">
    <w:p w14:paraId="2911F3C3" w14:textId="77777777" w:rsidR="00392DBB" w:rsidRDefault="00392DBB" w:rsidP="00392DBB">
      <w:pPr>
        <w:pStyle w:val="a5"/>
      </w:pPr>
      <w:r>
        <w:rPr>
          <w:rStyle w:val="a7"/>
        </w:rPr>
        <w:footnoteRef/>
      </w:r>
      <w:r>
        <w:rPr>
          <w:rtl/>
        </w:rPr>
        <w:t xml:space="preserve"> </w:t>
      </w:r>
      <w:r>
        <w:rPr>
          <w:rFonts w:cs="Arial"/>
          <w:rtl/>
        </w:rPr>
        <w:t>ומשמע בגמרא דמותר דינר דוקא בעינן אבל פחות מדינר לא הוי מותר</w:t>
      </w:r>
      <w:r>
        <w:rPr>
          <w:rFonts w:cs="Arial" w:hint="cs"/>
          <w:rtl/>
        </w:rPr>
        <w:t>, ב"י.</w:t>
      </w:r>
    </w:p>
  </w:footnote>
  <w:footnote w:id="2395">
    <w:p w14:paraId="6346FD07" w14:textId="77777777" w:rsidR="00FF7137" w:rsidRDefault="00FF7137" w:rsidP="00FF7137">
      <w:pPr>
        <w:pStyle w:val="a5"/>
        <w:rPr>
          <w:rtl/>
        </w:rPr>
      </w:pPr>
      <w:r>
        <w:rPr>
          <w:rStyle w:val="a7"/>
        </w:rPr>
        <w:footnoteRef/>
      </w:r>
      <w:r>
        <w:rPr>
          <w:rtl/>
        </w:rPr>
        <w:t xml:space="preserve"> </w:t>
      </w:r>
      <w:r>
        <w:rPr>
          <w:rFonts w:hint="cs"/>
          <w:rtl/>
        </w:rPr>
        <w:t xml:space="preserve">סימן </w:t>
      </w:r>
      <w:r>
        <w:rPr>
          <w:rtl/>
        </w:rPr>
        <w:t>-</w:t>
      </w:r>
      <w:r>
        <w:rPr>
          <w:rFonts w:hint="cs"/>
          <w:rtl/>
        </w:rPr>
        <w:t xml:space="preserve"> צוואת אמן.</w:t>
      </w:r>
    </w:p>
  </w:footnote>
  <w:footnote w:id="2396">
    <w:p w14:paraId="01FF57E4" w14:textId="77777777" w:rsidR="00392DBB" w:rsidRDefault="00392DBB" w:rsidP="00392DBB">
      <w:pPr>
        <w:pStyle w:val="a5"/>
      </w:pPr>
      <w:r>
        <w:rPr>
          <w:rStyle w:val="a7"/>
        </w:rPr>
        <w:footnoteRef/>
      </w:r>
      <w:r>
        <w:rPr>
          <w:rtl/>
        </w:rPr>
        <w:t xml:space="preserve"> </w:t>
      </w:r>
      <w:r w:rsidRPr="00D878AF">
        <w:rPr>
          <w:rFonts w:cs="Arial"/>
          <w:rtl/>
        </w:rPr>
        <w:t>שכתובת אמם מרובה משל חברתה ואומרים בניה כתובת בנין דכרין נטול וכן אתם והשאר נחלוק</w:t>
      </w:r>
      <w:r>
        <w:rPr>
          <w:rFonts w:cs="Arial" w:hint="cs"/>
          <w:rtl/>
        </w:rPr>
        <w:t>, רש"י.</w:t>
      </w:r>
    </w:p>
  </w:footnote>
  <w:footnote w:id="2397">
    <w:p w14:paraId="3BDB75DC" w14:textId="77777777" w:rsidR="00392DBB" w:rsidRDefault="00392DBB" w:rsidP="00392DBB">
      <w:pPr>
        <w:pStyle w:val="a5"/>
      </w:pPr>
      <w:r>
        <w:rPr>
          <w:rStyle w:val="a7"/>
        </w:rPr>
        <w:footnoteRef/>
      </w:r>
      <w:r>
        <w:rPr>
          <w:rtl/>
        </w:rPr>
        <w:t xml:space="preserve"> </w:t>
      </w:r>
      <w:r w:rsidRPr="00D878AF">
        <w:rPr>
          <w:rFonts w:cs="Arial"/>
          <w:rtl/>
        </w:rPr>
        <w:t>כשאר כל ירושה לפי הגולגולת</w:t>
      </w:r>
      <w:r>
        <w:rPr>
          <w:rFonts w:cs="Arial" w:hint="cs"/>
          <w:rtl/>
        </w:rPr>
        <w:t>, רש"י.</w:t>
      </w:r>
    </w:p>
  </w:footnote>
  <w:footnote w:id="2398">
    <w:p w14:paraId="6D453CF5" w14:textId="77777777" w:rsidR="00392DBB" w:rsidRDefault="00392DBB" w:rsidP="00392DBB">
      <w:pPr>
        <w:pStyle w:val="a5"/>
      </w:pPr>
      <w:r>
        <w:rPr>
          <w:rStyle w:val="a7"/>
        </w:rPr>
        <w:footnoteRef/>
      </w:r>
      <w:r>
        <w:rPr>
          <w:rtl/>
        </w:rPr>
        <w:t xml:space="preserve"> </w:t>
      </w:r>
      <w:r>
        <w:rPr>
          <w:rFonts w:cs="Arial"/>
          <w:rtl/>
        </w:rPr>
        <w:t>ומשמע בגמרא דמותר דינר דוקא בעינן אבל פחות מדינר לא הוי מותר</w:t>
      </w:r>
      <w:r>
        <w:rPr>
          <w:rFonts w:cs="Arial" w:hint="cs"/>
          <w:rtl/>
        </w:rPr>
        <w:t>, ב"י.</w:t>
      </w:r>
    </w:p>
  </w:footnote>
  <w:footnote w:id="2399">
    <w:p w14:paraId="14407127" w14:textId="77777777" w:rsidR="00392DBB" w:rsidRDefault="00392DBB" w:rsidP="00392DBB">
      <w:pPr>
        <w:pStyle w:val="a5"/>
      </w:pPr>
      <w:r>
        <w:rPr>
          <w:rStyle w:val="a7"/>
        </w:rPr>
        <w:footnoteRef/>
      </w:r>
      <w:r>
        <w:rPr>
          <w:rtl/>
        </w:rPr>
        <w:t xml:space="preserve"> </w:t>
      </w:r>
      <w:r w:rsidRPr="00D878AF">
        <w:rPr>
          <w:rFonts w:cs="Arial"/>
          <w:rtl/>
        </w:rPr>
        <w:t>שראויה ליפול להם ירושה מאבי אביהם אחר מות אביהם ולכשתפול יהיה שם מותר דינר בשתי הירושות</w:t>
      </w:r>
      <w:r>
        <w:rPr>
          <w:rFonts w:cs="Arial" w:hint="cs"/>
          <w:rtl/>
        </w:rPr>
        <w:t>, רש"י.</w:t>
      </w:r>
    </w:p>
  </w:footnote>
  <w:footnote w:id="2400">
    <w:p w14:paraId="0741993F" w14:textId="77777777" w:rsidR="00392DBB" w:rsidRDefault="00392DBB" w:rsidP="00392DBB">
      <w:pPr>
        <w:pStyle w:val="a5"/>
      </w:pPr>
      <w:r>
        <w:rPr>
          <w:rStyle w:val="a7"/>
        </w:rPr>
        <w:footnoteRef/>
      </w:r>
      <w:r>
        <w:rPr>
          <w:rtl/>
        </w:rPr>
        <w:t xml:space="preserve"> </w:t>
      </w:r>
      <w:r w:rsidRPr="00D878AF">
        <w:rPr>
          <w:rFonts w:cs="Arial"/>
          <w:rtl/>
        </w:rPr>
        <w:t>אינן נחשבין עכשיו להיות כאילו הן מוחזקין בהן כבר ויש כאן מותר דינר</w:t>
      </w:r>
      <w:r>
        <w:rPr>
          <w:rFonts w:cs="Arial" w:hint="cs"/>
          <w:rtl/>
        </w:rPr>
        <w:t>, רש"י.</w:t>
      </w:r>
    </w:p>
  </w:footnote>
  <w:footnote w:id="2401">
    <w:p w14:paraId="7AA0C293" w14:textId="77777777" w:rsidR="00392DBB" w:rsidRDefault="00392DBB" w:rsidP="00392DBB">
      <w:pPr>
        <w:pStyle w:val="a5"/>
      </w:pPr>
      <w:r>
        <w:rPr>
          <w:rStyle w:val="a7"/>
        </w:rPr>
        <w:footnoteRef/>
      </w:r>
      <w:r>
        <w:rPr>
          <w:rtl/>
        </w:rPr>
        <w:t xml:space="preserve"> </w:t>
      </w:r>
      <w:r>
        <w:rPr>
          <w:rFonts w:cs="Arial"/>
          <w:rtl/>
        </w:rPr>
        <w:t>זה על עיקר הדין דכתובת בנין דכרין ליתא אלא במקרקעי</w:t>
      </w:r>
      <w:r>
        <w:rPr>
          <w:rFonts w:cs="Arial" w:hint="cs"/>
          <w:rtl/>
        </w:rPr>
        <w:t>,</w:t>
      </w:r>
      <w:r>
        <w:rPr>
          <w:rFonts w:cs="Arial"/>
          <w:rtl/>
        </w:rPr>
        <w:t xml:space="preserve"> כמו שנתבאר</w:t>
      </w:r>
      <w:r>
        <w:rPr>
          <w:rFonts w:cs="Arial" w:hint="cs"/>
          <w:rtl/>
        </w:rPr>
        <w:t xml:space="preserve"> (בסע' יד), ב"י.</w:t>
      </w:r>
    </w:p>
  </w:footnote>
  <w:footnote w:id="2402">
    <w:p w14:paraId="0455868E" w14:textId="77777777" w:rsidR="00392DBB" w:rsidRPr="00A16126" w:rsidRDefault="00392DBB" w:rsidP="00392DBB">
      <w:pPr>
        <w:pStyle w:val="a5"/>
      </w:pPr>
      <w:r w:rsidRPr="00A16126">
        <w:rPr>
          <w:rStyle w:val="a7"/>
        </w:rPr>
        <w:footnoteRef/>
      </w:r>
      <w:r w:rsidRPr="00A16126">
        <w:rPr>
          <w:rtl/>
        </w:rPr>
        <w:t xml:space="preserve"> </w:t>
      </w:r>
      <w:r w:rsidRPr="00A16126">
        <w:rPr>
          <w:rFonts w:cs="Arial" w:hint="cs"/>
          <w:rtl/>
        </w:rPr>
        <w:t>מבואר בסעיף ט.</w:t>
      </w:r>
    </w:p>
  </w:footnote>
  <w:footnote w:id="2403">
    <w:p w14:paraId="6017A085" w14:textId="3C056AFE" w:rsidR="00392DBB" w:rsidRDefault="00392DBB" w:rsidP="00392DBB">
      <w:pPr>
        <w:pStyle w:val="a5"/>
        <w:rPr>
          <w:rtl/>
        </w:rPr>
      </w:pPr>
      <w:r>
        <w:rPr>
          <w:rStyle w:val="a7"/>
        </w:rPr>
        <w:footnoteRef/>
      </w:r>
      <w:r>
        <w:rPr>
          <w:rtl/>
        </w:rPr>
        <w:t xml:space="preserve"> </w:t>
      </w:r>
      <w:r>
        <w:rPr>
          <w:rFonts w:hint="cs"/>
          <w:rtl/>
        </w:rPr>
        <w:t xml:space="preserve">סימן </w:t>
      </w:r>
      <w:r w:rsidR="00F97626">
        <w:rPr>
          <w:rtl/>
        </w:rPr>
        <w:t>-</w:t>
      </w:r>
      <w:r>
        <w:rPr>
          <w:rFonts w:hint="cs"/>
          <w:rtl/>
        </w:rPr>
        <w:t xml:space="preserve"> צוואת אמן.</w:t>
      </w:r>
    </w:p>
  </w:footnote>
  <w:footnote w:id="2404">
    <w:p w14:paraId="0575EB3B" w14:textId="77777777" w:rsidR="00392DBB" w:rsidRDefault="00392DBB" w:rsidP="00392DBB">
      <w:pPr>
        <w:pStyle w:val="a5"/>
      </w:pPr>
      <w:r>
        <w:rPr>
          <w:rStyle w:val="a7"/>
        </w:rPr>
        <w:footnoteRef/>
      </w:r>
      <w:r>
        <w:rPr>
          <w:rtl/>
        </w:rPr>
        <w:t xml:space="preserve"> </w:t>
      </w:r>
      <w:r w:rsidRPr="00D878AF">
        <w:rPr>
          <w:rFonts w:cs="Arial"/>
          <w:rtl/>
        </w:rPr>
        <w:t>שכתובת אמם מרובה משל חברתה ואומרים בניה כתובת בנין דכרין נטול</w:t>
      </w:r>
      <w:r>
        <w:rPr>
          <w:rFonts w:cs="Arial" w:hint="cs"/>
          <w:rtl/>
        </w:rPr>
        <w:t>,</w:t>
      </w:r>
      <w:r w:rsidRPr="00D878AF">
        <w:rPr>
          <w:rFonts w:cs="Arial"/>
          <w:rtl/>
        </w:rPr>
        <w:t xml:space="preserve"> וכן אתם</w:t>
      </w:r>
      <w:r>
        <w:rPr>
          <w:rFonts w:cs="Arial" w:hint="cs"/>
          <w:rtl/>
        </w:rPr>
        <w:t>,</w:t>
      </w:r>
      <w:r w:rsidRPr="00D878AF">
        <w:rPr>
          <w:rFonts w:cs="Arial"/>
          <w:rtl/>
        </w:rPr>
        <w:t xml:space="preserve"> והשאר נחלוק</w:t>
      </w:r>
      <w:r>
        <w:rPr>
          <w:rFonts w:cs="Arial" w:hint="cs"/>
          <w:rtl/>
        </w:rPr>
        <w:t>, רש"י.</w:t>
      </w:r>
    </w:p>
  </w:footnote>
  <w:footnote w:id="2405">
    <w:p w14:paraId="17CDF2E7" w14:textId="77777777" w:rsidR="00392DBB" w:rsidRDefault="00392DBB" w:rsidP="00392DBB">
      <w:pPr>
        <w:pStyle w:val="a5"/>
      </w:pPr>
      <w:r>
        <w:rPr>
          <w:rStyle w:val="a7"/>
        </w:rPr>
        <w:footnoteRef/>
      </w:r>
      <w:r>
        <w:rPr>
          <w:rtl/>
        </w:rPr>
        <w:t xml:space="preserve"> </w:t>
      </w:r>
      <w:r w:rsidRPr="00D878AF">
        <w:rPr>
          <w:rFonts w:cs="Arial"/>
          <w:rtl/>
        </w:rPr>
        <w:t>כשאר כל ירושה לפי הגולגולת</w:t>
      </w:r>
      <w:r>
        <w:rPr>
          <w:rFonts w:cs="Arial" w:hint="cs"/>
          <w:rtl/>
        </w:rPr>
        <w:t>, רש"י.</w:t>
      </w:r>
    </w:p>
  </w:footnote>
  <w:footnote w:id="2406">
    <w:p w14:paraId="52EC51CC" w14:textId="77777777" w:rsidR="00392DBB" w:rsidRDefault="00392DBB" w:rsidP="00392DBB">
      <w:pPr>
        <w:pStyle w:val="a5"/>
      </w:pPr>
      <w:r>
        <w:rPr>
          <w:rStyle w:val="a7"/>
        </w:rPr>
        <w:footnoteRef/>
      </w:r>
      <w:r>
        <w:rPr>
          <w:rtl/>
        </w:rPr>
        <w:t xml:space="preserve"> </w:t>
      </w:r>
      <w:r>
        <w:rPr>
          <w:rFonts w:cs="Arial"/>
          <w:rtl/>
        </w:rPr>
        <w:t>ומשמע בגמרא דמותר דינר דוקא בעינן</w:t>
      </w:r>
      <w:r>
        <w:rPr>
          <w:rFonts w:cs="Arial" w:hint="cs"/>
          <w:rtl/>
        </w:rPr>
        <w:t>,</w:t>
      </w:r>
      <w:r>
        <w:rPr>
          <w:rFonts w:cs="Arial"/>
          <w:rtl/>
        </w:rPr>
        <w:t xml:space="preserve"> אבל פחות מדינר לא הוי מותר</w:t>
      </w:r>
      <w:r>
        <w:rPr>
          <w:rFonts w:cs="Arial" w:hint="cs"/>
          <w:rtl/>
        </w:rPr>
        <w:t>, ב"י.</w:t>
      </w:r>
    </w:p>
  </w:footnote>
  <w:footnote w:id="2407">
    <w:p w14:paraId="4F0ADCB2" w14:textId="77777777" w:rsidR="00392DBB" w:rsidRDefault="00392DBB" w:rsidP="00392DBB">
      <w:pPr>
        <w:pStyle w:val="a5"/>
      </w:pPr>
      <w:r>
        <w:rPr>
          <w:rStyle w:val="a7"/>
        </w:rPr>
        <w:footnoteRef/>
      </w:r>
      <w:r>
        <w:rPr>
          <w:rtl/>
        </w:rPr>
        <w:t xml:space="preserve"> </w:t>
      </w:r>
      <w:r w:rsidRPr="00D878AF">
        <w:rPr>
          <w:rFonts w:cs="Arial"/>
          <w:rtl/>
        </w:rPr>
        <w:t>בני הכתובה הגדולה</w:t>
      </w:r>
      <w:r>
        <w:rPr>
          <w:rFonts w:cs="Arial" w:hint="cs"/>
          <w:rtl/>
        </w:rPr>
        <w:t>, רש"י.</w:t>
      </w:r>
    </w:p>
  </w:footnote>
  <w:footnote w:id="2408">
    <w:p w14:paraId="6EC16D7B" w14:textId="77777777" w:rsidR="00392DBB" w:rsidRDefault="00392DBB" w:rsidP="00392DBB">
      <w:pPr>
        <w:pStyle w:val="a5"/>
      </w:pPr>
      <w:r>
        <w:rPr>
          <w:rStyle w:val="a7"/>
        </w:rPr>
        <w:footnoteRef/>
      </w:r>
      <w:r>
        <w:rPr>
          <w:rtl/>
        </w:rPr>
        <w:t xml:space="preserve"> </w:t>
      </w:r>
      <w:r w:rsidRPr="00D878AF">
        <w:rPr>
          <w:rFonts w:cs="Arial"/>
          <w:rtl/>
        </w:rPr>
        <w:t>מעלין דמיהן לקבלם עלינו ביוקר כדי דינר יתר על שוויין כדי שיהיה שם מותר דינר ויטלו כתובת אמם</w:t>
      </w:r>
      <w:r>
        <w:rPr>
          <w:rFonts w:cs="Arial" w:hint="cs"/>
          <w:rtl/>
        </w:rPr>
        <w:t>, רש"י.</w:t>
      </w:r>
    </w:p>
  </w:footnote>
  <w:footnote w:id="2409">
    <w:p w14:paraId="41AF95DE" w14:textId="37ED27D2" w:rsidR="00246365" w:rsidRDefault="00246365">
      <w:pPr>
        <w:pStyle w:val="a5"/>
        <w:rPr>
          <w:rFonts w:hint="cs"/>
        </w:rPr>
      </w:pPr>
      <w:r>
        <w:rPr>
          <w:rStyle w:val="a7"/>
        </w:rPr>
        <w:footnoteRef/>
      </w:r>
      <w:r>
        <w:rPr>
          <w:rtl/>
        </w:rPr>
        <w:t xml:space="preserve"> </w:t>
      </w:r>
      <w:r w:rsidR="008D531A" w:rsidRPr="008D531A">
        <w:rPr>
          <w:rFonts w:cs="Arial"/>
          <w:rtl/>
        </w:rPr>
        <w:t>בשעת מיתה ואילו שמאום באותה שעה היה שם מותר דינר</w:t>
      </w:r>
      <w:r>
        <w:rPr>
          <w:rFonts w:hint="cs"/>
          <w:rtl/>
        </w:rPr>
        <w:t>, רש"י.</w:t>
      </w:r>
    </w:p>
  </w:footnote>
  <w:footnote w:id="2410">
    <w:p w14:paraId="4322E33D" w14:textId="27ED6C50" w:rsidR="00246365" w:rsidRDefault="00246365" w:rsidP="00246365">
      <w:pPr>
        <w:pStyle w:val="a5"/>
        <w:rPr>
          <w:rFonts w:hint="cs"/>
        </w:rPr>
      </w:pPr>
      <w:r>
        <w:rPr>
          <w:rStyle w:val="a7"/>
        </w:rPr>
        <w:footnoteRef/>
      </w:r>
      <w:r>
        <w:rPr>
          <w:rtl/>
        </w:rPr>
        <w:t xml:space="preserve"> </w:t>
      </w:r>
      <w:r w:rsidR="008D531A" w:rsidRPr="008D531A">
        <w:rPr>
          <w:rFonts w:cs="Arial"/>
          <w:rtl/>
        </w:rPr>
        <w:t>שהוזלו קודם ששמאו בב"ד</w:t>
      </w:r>
      <w:r>
        <w:rPr>
          <w:rFonts w:hint="cs"/>
          <w:rtl/>
        </w:rPr>
        <w:t>, רש"י.</w:t>
      </w:r>
    </w:p>
  </w:footnote>
  <w:footnote w:id="2411">
    <w:p w14:paraId="0BBC0709" w14:textId="0541EBD8" w:rsidR="00246365" w:rsidRDefault="00246365" w:rsidP="00246365">
      <w:pPr>
        <w:pStyle w:val="a5"/>
        <w:rPr>
          <w:rFonts w:hint="cs"/>
        </w:rPr>
      </w:pPr>
      <w:r>
        <w:rPr>
          <w:rStyle w:val="a7"/>
        </w:rPr>
        <w:footnoteRef/>
      </w:r>
      <w:r>
        <w:rPr>
          <w:rtl/>
        </w:rPr>
        <w:t xml:space="preserve"> </w:t>
      </w:r>
      <w:r w:rsidR="008D531A" w:rsidRPr="008D531A">
        <w:rPr>
          <w:rFonts w:cs="Arial"/>
          <w:rtl/>
        </w:rPr>
        <w:t>יורשי כתובה הגדולה לזכות בכתובת אמם משעת מיתה שהיה שם מותר דינר</w:t>
      </w:r>
      <w:r>
        <w:rPr>
          <w:rFonts w:hint="cs"/>
          <w:rtl/>
        </w:rPr>
        <w:t>, רש"י.</w:t>
      </w:r>
    </w:p>
  </w:footnote>
  <w:footnote w:id="2412">
    <w:p w14:paraId="6AB95876" w14:textId="7E1BD6E2" w:rsidR="008D531A" w:rsidRDefault="008D531A" w:rsidP="008D531A">
      <w:pPr>
        <w:pStyle w:val="a5"/>
        <w:rPr>
          <w:rFonts w:hint="cs"/>
        </w:rPr>
      </w:pPr>
      <w:r>
        <w:rPr>
          <w:rStyle w:val="a7"/>
        </w:rPr>
        <w:footnoteRef/>
      </w:r>
      <w:r>
        <w:rPr>
          <w:rtl/>
        </w:rPr>
        <w:t xml:space="preserve"> </w:t>
      </w:r>
      <w:r w:rsidRPr="008D531A">
        <w:rPr>
          <w:rFonts w:cs="Arial"/>
          <w:rtl/>
        </w:rPr>
        <w:t>ליורשי כתובה הגדולה</w:t>
      </w:r>
      <w:r>
        <w:rPr>
          <w:rFonts w:hint="cs"/>
          <w:rtl/>
        </w:rPr>
        <w:t>, רש"י.</w:t>
      </w:r>
    </w:p>
  </w:footnote>
  <w:footnote w:id="2413">
    <w:p w14:paraId="4993D2E8" w14:textId="2040B112" w:rsidR="008D531A" w:rsidRDefault="008D531A" w:rsidP="008D531A">
      <w:pPr>
        <w:pStyle w:val="a5"/>
        <w:rPr>
          <w:rFonts w:hint="cs"/>
        </w:rPr>
      </w:pPr>
      <w:r>
        <w:rPr>
          <w:rStyle w:val="a7"/>
        </w:rPr>
        <w:footnoteRef/>
      </w:r>
      <w:r>
        <w:rPr>
          <w:rtl/>
        </w:rPr>
        <w:t xml:space="preserve"> </w:t>
      </w:r>
      <w:r w:rsidRPr="008D531A">
        <w:rPr>
          <w:rFonts w:cs="Arial"/>
          <w:rtl/>
        </w:rPr>
        <w:t>קוץ שאינו מוציא דם בנוקבו בבשר כלומר שמתא ונדוי</w:t>
      </w:r>
      <w:r>
        <w:rPr>
          <w:rFonts w:hint="cs"/>
          <w:rtl/>
        </w:rPr>
        <w:t>, רש"י.</w:t>
      </w:r>
    </w:p>
  </w:footnote>
  <w:footnote w:id="2414">
    <w:p w14:paraId="728CF186" w14:textId="53D3E2BE" w:rsidR="008D531A" w:rsidRDefault="008D531A" w:rsidP="008D531A">
      <w:pPr>
        <w:pStyle w:val="a5"/>
        <w:rPr>
          <w:rFonts w:hint="cs"/>
        </w:rPr>
      </w:pPr>
      <w:r>
        <w:rPr>
          <w:rStyle w:val="a7"/>
        </w:rPr>
        <w:footnoteRef/>
      </w:r>
      <w:r>
        <w:rPr>
          <w:rtl/>
        </w:rPr>
        <w:t xml:space="preserve"> </w:t>
      </w:r>
      <w:r w:rsidRPr="008D531A">
        <w:rPr>
          <w:rFonts w:cs="Arial"/>
          <w:rtl/>
        </w:rPr>
        <w:t>יורשי כתובה הקטנה לחלוק הכל בשוה הואיל ובשעת מיתה לא הוה בהו מותר</w:t>
      </w:r>
      <w:r>
        <w:rPr>
          <w:rFonts w:hint="cs"/>
          <w:rtl/>
        </w:rPr>
        <w:t>, רש"י.</w:t>
      </w:r>
    </w:p>
  </w:footnote>
  <w:footnote w:id="2415">
    <w:p w14:paraId="0D91F934" w14:textId="2E56CFEA" w:rsidR="00392DBB" w:rsidRDefault="00392DBB" w:rsidP="00392DBB">
      <w:pPr>
        <w:pStyle w:val="a5"/>
      </w:pPr>
      <w:r>
        <w:rPr>
          <w:rStyle w:val="a7"/>
        </w:rPr>
        <w:footnoteRef/>
      </w:r>
      <w:r>
        <w:rPr>
          <w:rtl/>
        </w:rPr>
        <w:t xml:space="preserve"> </w:t>
      </w:r>
      <w:r>
        <w:rPr>
          <w:rFonts w:cs="Arial"/>
          <w:rtl/>
        </w:rPr>
        <w:t xml:space="preserve">וכתב הר"ן (שם) דהא דמרובין ונתמעטו כבר זכו בהם יורשים דוקא כגון דאתזול או אשתדוף נכסי אבל נמצאת שדה שאינה שלו </w:t>
      </w:r>
      <w:r w:rsidR="00370BE9">
        <w:rPr>
          <w:rFonts w:cs="Arial" w:hint="cs"/>
          <w:rtl/>
        </w:rPr>
        <w:t xml:space="preserve">- </w:t>
      </w:r>
      <w:r>
        <w:rPr>
          <w:rFonts w:cs="Arial"/>
          <w:rtl/>
        </w:rPr>
        <w:t>לא</w:t>
      </w:r>
      <w:r w:rsidR="00370BE9">
        <w:rPr>
          <w:rFonts w:cs="Arial" w:hint="cs"/>
          <w:rtl/>
        </w:rPr>
        <w:t>,</w:t>
      </w:r>
      <w:r>
        <w:rPr>
          <w:rFonts w:cs="Arial"/>
          <w:rtl/>
        </w:rPr>
        <w:t xml:space="preserve"> דהא איגלאי מילתא למפרע דבשעת מיתה לא הוה בהו מותר דינר</w:t>
      </w:r>
      <w:r>
        <w:rPr>
          <w:rFonts w:cs="Arial" w:hint="cs"/>
          <w:rtl/>
        </w:rPr>
        <w:t xml:space="preserve">, </w:t>
      </w:r>
      <w:r w:rsidRPr="00370BE9">
        <w:rPr>
          <w:rFonts w:cs="Arial" w:hint="cs"/>
          <w:b/>
          <w:bCs/>
          <w:rtl/>
        </w:rPr>
        <w:t>ב"י</w:t>
      </w:r>
      <w:r>
        <w:rPr>
          <w:rFonts w:cs="Arial" w:hint="cs"/>
          <w:rtl/>
        </w:rPr>
        <w:t>.</w:t>
      </w:r>
      <w:r w:rsidRPr="008A1F1E">
        <w:rPr>
          <w:rFonts w:cs="Arial"/>
          <w:rtl/>
        </w:rPr>
        <w:t xml:space="preserve"> </w:t>
      </w:r>
      <w:r w:rsidR="00370BE9">
        <w:rPr>
          <w:rFonts w:cs="Arial" w:hint="cs"/>
          <w:rtl/>
        </w:rPr>
        <w:t xml:space="preserve">       </w:t>
      </w:r>
      <w:r w:rsidRPr="008A1F1E">
        <w:rPr>
          <w:rFonts w:cs="Arial"/>
          <w:rtl/>
        </w:rPr>
        <w:t>וכן כתב המ</w:t>
      </w:r>
      <w:r>
        <w:rPr>
          <w:rFonts w:cs="Arial" w:hint="cs"/>
          <w:rtl/>
        </w:rPr>
        <w:t>"</w:t>
      </w:r>
      <w:r w:rsidRPr="008A1F1E">
        <w:rPr>
          <w:rFonts w:cs="Arial"/>
          <w:rtl/>
        </w:rPr>
        <w:t>מ פי"ט דאישות (ה"ה)</w:t>
      </w:r>
      <w:r>
        <w:rPr>
          <w:rFonts w:cs="Arial" w:hint="cs"/>
          <w:rtl/>
        </w:rPr>
        <w:t xml:space="preserve">, </w:t>
      </w:r>
      <w:r w:rsidRPr="00370BE9">
        <w:rPr>
          <w:rFonts w:cs="Arial" w:hint="cs"/>
          <w:b/>
          <w:bCs/>
          <w:rtl/>
        </w:rPr>
        <w:t>דרכ"מ</w:t>
      </w:r>
      <w:r>
        <w:rPr>
          <w:rFonts w:cs="Arial" w:hint="cs"/>
          <w:rtl/>
        </w:rPr>
        <w:t xml:space="preserve"> (אות ב).</w:t>
      </w:r>
      <w:r>
        <w:rPr>
          <w:rFonts w:hint="cs"/>
          <w:rtl/>
        </w:rPr>
        <w:t xml:space="preserve"> </w:t>
      </w:r>
      <w:r w:rsidRPr="003F358F">
        <w:rPr>
          <w:rFonts w:hint="cs"/>
          <w:color w:val="00B0F0"/>
          <w:rtl/>
        </w:rPr>
        <w:t>(וכ"פ בהג"ה)</w:t>
      </w:r>
    </w:p>
  </w:footnote>
  <w:footnote w:id="2416">
    <w:p w14:paraId="3411FA8F" w14:textId="2DC43AD6" w:rsidR="00392DBB" w:rsidRDefault="00392DBB" w:rsidP="00392DBB">
      <w:pPr>
        <w:pStyle w:val="a5"/>
        <w:rPr>
          <w:rtl/>
        </w:rPr>
      </w:pPr>
      <w:r>
        <w:rPr>
          <w:rStyle w:val="a7"/>
        </w:rPr>
        <w:footnoteRef/>
      </w:r>
      <w:r>
        <w:rPr>
          <w:rtl/>
        </w:rPr>
        <w:t xml:space="preserve"> </w:t>
      </w:r>
      <w:r>
        <w:rPr>
          <w:rFonts w:cs="Arial"/>
          <w:rtl/>
        </w:rPr>
        <w:t>פשוט הוא</w:t>
      </w:r>
      <w:r>
        <w:rPr>
          <w:rFonts w:hint="cs"/>
          <w:rtl/>
        </w:rPr>
        <w:t xml:space="preserve">, </w:t>
      </w:r>
      <w:r w:rsidRPr="00370BE9">
        <w:rPr>
          <w:rFonts w:hint="cs"/>
          <w:b/>
          <w:bCs/>
          <w:rtl/>
        </w:rPr>
        <w:t>ב"י</w:t>
      </w:r>
      <w:r>
        <w:rPr>
          <w:rFonts w:hint="cs"/>
          <w:rtl/>
        </w:rPr>
        <w:t>.</w:t>
      </w:r>
      <w:r w:rsidR="00370BE9">
        <w:rPr>
          <w:rFonts w:hint="cs"/>
          <w:rtl/>
        </w:rPr>
        <w:t xml:space="preserve">    </w:t>
      </w:r>
      <w:r>
        <w:rPr>
          <w:rFonts w:hint="cs"/>
          <w:rtl/>
        </w:rPr>
        <w:t xml:space="preserve"> והיינו </w:t>
      </w:r>
      <w:r w:rsidRPr="00FE297E">
        <w:rPr>
          <w:rFonts w:cs="Arial"/>
          <w:rtl/>
        </w:rPr>
        <w:t>לפי מה שנתבאר בסעי' א'</w:t>
      </w:r>
      <w:r w:rsidR="00246365">
        <w:rPr>
          <w:rFonts w:cs="Arial" w:hint="cs"/>
          <w:rtl/>
        </w:rPr>
        <w:t>,</w:t>
      </w:r>
      <w:r w:rsidRPr="00FE297E">
        <w:rPr>
          <w:rFonts w:cs="Arial"/>
          <w:rtl/>
        </w:rPr>
        <w:t xml:space="preserve"> </w:t>
      </w:r>
      <w:r>
        <w:rPr>
          <w:rFonts w:cs="Arial" w:hint="cs"/>
          <w:rtl/>
        </w:rPr>
        <w:t xml:space="preserve">כגון </w:t>
      </w:r>
      <w:r w:rsidRPr="00FE297E">
        <w:rPr>
          <w:rFonts w:cs="Arial"/>
          <w:rtl/>
        </w:rPr>
        <w:t>שלזה מגיע אלף ות' ולזה ת"ר</w:t>
      </w:r>
      <w:r>
        <w:rPr>
          <w:rFonts w:cs="Arial" w:hint="cs"/>
          <w:rtl/>
        </w:rPr>
        <w:t>,</w:t>
      </w:r>
      <w:r w:rsidRPr="00FE297E">
        <w:rPr>
          <w:rFonts w:cs="Arial"/>
          <w:rtl/>
        </w:rPr>
        <w:t xml:space="preserve"> נמצא אם רק עמדו הנכסים על אלף</w:t>
      </w:r>
      <w:r>
        <w:rPr>
          <w:rFonts w:cs="Arial" w:hint="cs"/>
          <w:rtl/>
        </w:rPr>
        <w:t>,</w:t>
      </w:r>
      <w:r w:rsidRPr="00FE297E">
        <w:rPr>
          <w:rFonts w:cs="Arial"/>
          <w:rtl/>
        </w:rPr>
        <w:t xml:space="preserve"> חולקין הנכסים על ך' חלקי</w:t>
      </w:r>
      <w:r>
        <w:rPr>
          <w:rFonts w:cs="Arial" w:hint="cs"/>
          <w:rtl/>
        </w:rPr>
        <w:t>ם,</w:t>
      </w:r>
      <w:r w:rsidRPr="00FE297E">
        <w:rPr>
          <w:rFonts w:cs="Arial"/>
          <w:rtl/>
        </w:rPr>
        <w:t xml:space="preserve"> ולוקח זה י"ד חלקים וזה ו' חלקים</w:t>
      </w:r>
      <w:r>
        <w:rPr>
          <w:rFonts w:cs="Arial" w:hint="cs"/>
          <w:rtl/>
        </w:rPr>
        <w:t>,</w:t>
      </w:r>
      <w:r w:rsidRPr="00FE297E">
        <w:rPr>
          <w:rFonts w:cs="Arial"/>
          <w:rtl/>
        </w:rPr>
        <w:t xml:space="preserve"> נמצא זה לוקח ת"ש</w:t>
      </w:r>
      <w:r>
        <w:rPr>
          <w:rFonts w:cs="Arial" w:hint="cs"/>
          <w:rtl/>
        </w:rPr>
        <w:t>,</w:t>
      </w:r>
      <w:r w:rsidRPr="00FE297E">
        <w:rPr>
          <w:rFonts w:cs="Arial"/>
          <w:rtl/>
        </w:rPr>
        <w:t xml:space="preserve"> וזה ש'</w:t>
      </w:r>
      <w:r>
        <w:rPr>
          <w:rFonts w:hint="cs"/>
          <w:rtl/>
        </w:rPr>
        <w:t xml:space="preserve"> </w:t>
      </w:r>
      <w:r w:rsidRPr="00FE297E">
        <w:rPr>
          <w:rFonts w:hint="cs"/>
          <w:sz w:val="16"/>
          <w:szCs w:val="16"/>
          <w:rtl/>
        </w:rPr>
        <w:t>(ע"פ הח"מ סק"ה)</w:t>
      </w:r>
      <w:r>
        <w:rPr>
          <w:rFonts w:hint="cs"/>
          <w:rtl/>
        </w:rPr>
        <w:t xml:space="preserve">. </w:t>
      </w:r>
    </w:p>
  </w:footnote>
  <w:footnote w:id="2417">
    <w:p w14:paraId="30C62268" w14:textId="73668C39" w:rsidR="00392DBB" w:rsidRDefault="00392DBB" w:rsidP="00392DBB">
      <w:pPr>
        <w:pStyle w:val="a5"/>
      </w:pPr>
      <w:r>
        <w:rPr>
          <w:rStyle w:val="a7"/>
        </w:rPr>
        <w:footnoteRef/>
      </w:r>
      <w:r>
        <w:rPr>
          <w:rtl/>
        </w:rPr>
        <w:t xml:space="preserve"> </w:t>
      </w:r>
      <w:r>
        <w:rPr>
          <w:rFonts w:cs="Arial" w:hint="cs"/>
          <w:rtl/>
        </w:rPr>
        <w:t>וז"ל (וכן העתיק הרא"ש)</w:t>
      </w:r>
      <w:r w:rsidR="00370BE9">
        <w:rPr>
          <w:rFonts w:cs="Arial" w:hint="cs"/>
          <w:rtl/>
        </w:rPr>
        <w:t>:</w:t>
      </w:r>
      <w:r>
        <w:rPr>
          <w:rFonts w:cs="Arial" w:hint="cs"/>
          <w:rtl/>
        </w:rPr>
        <w:t xml:space="preserve"> </w:t>
      </w:r>
      <w:r>
        <w:rPr>
          <w:rFonts w:cs="Arial"/>
          <w:rtl/>
        </w:rPr>
        <w:t>והיכא דאיכא בעל חוב ואיכא מותר על שתי כתובות מאי דשקל בעל חוב כולי עלמא לא פליגי דהוי מותר והני שקלי כתובת אמן והני שקלי כתובת אמן</w:t>
      </w:r>
      <w:r>
        <w:rPr>
          <w:rFonts w:cs="Arial" w:hint="cs"/>
          <w:rtl/>
        </w:rPr>
        <w:t>.</w:t>
      </w:r>
    </w:p>
  </w:footnote>
  <w:footnote w:id="2418">
    <w:p w14:paraId="3C22BD2F" w14:textId="3BA66925" w:rsidR="00392DBB" w:rsidRDefault="00392DBB" w:rsidP="00392DBB">
      <w:pPr>
        <w:pStyle w:val="a5"/>
      </w:pPr>
      <w:r>
        <w:rPr>
          <w:rStyle w:val="a7"/>
        </w:rPr>
        <w:footnoteRef/>
      </w:r>
      <w:r>
        <w:rPr>
          <w:rtl/>
        </w:rPr>
        <w:t xml:space="preserve"> </w:t>
      </w:r>
      <w:r>
        <w:rPr>
          <w:rFonts w:cs="Arial" w:hint="cs"/>
          <w:rtl/>
        </w:rPr>
        <w:t>ה</w:t>
      </w:r>
      <w:r>
        <w:rPr>
          <w:rFonts w:cs="Arial"/>
          <w:rtl/>
        </w:rPr>
        <w:t xml:space="preserve">רי"ף </w:t>
      </w:r>
      <w:r w:rsidRPr="00C95125">
        <w:rPr>
          <w:rFonts w:cs="Arial" w:hint="cs"/>
          <w:sz w:val="16"/>
          <w:szCs w:val="16"/>
          <w:rtl/>
        </w:rPr>
        <w:t xml:space="preserve">(מט:) </w:t>
      </w:r>
      <w:r>
        <w:rPr>
          <w:rFonts w:cs="Arial" w:hint="cs"/>
          <w:rtl/>
        </w:rPr>
        <w:t>וה</w:t>
      </w:r>
      <w:r>
        <w:rPr>
          <w:rFonts w:cs="Arial"/>
          <w:rtl/>
        </w:rPr>
        <w:t xml:space="preserve">רא"ש </w:t>
      </w:r>
      <w:r w:rsidRPr="00C95125">
        <w:rPr>
          <w:rFonts w:cs="Arial" w:hint="cs"/>
          <w:sz w:val="16"/>
          <w:szCs w:val="16"/>
          <w:rtl/>
        </w:rPr>
        <w:t xml:space="preserve">(סי' ב) </w:t>
      </w:r>
      <w:r>
        <w:rPr>
          <w:rFonts w:cs="Arial" w:hint="cs"/>
          <w:rtl/>
        </w:rPr>
        <w:t xml:space="preserve">כתבו שדין זה הוא לכולי עלמא, </w:t>
      </w:r>
      <w:r>
        <w:rPr>
          <w:rFonts w:cs="Arial"/>
          <w:rtl/>
        </w:rPr>
        <w:t>וכתב הר"ן (מט: ד"ה והיכא) על זה</w:t>
      </w:r>
      <w:r>
        <w:rPr>
          <w:rFonts w:cs="Arial" w:hint="cs"/>
          <w:rtl/>
        </w:rPr>
        <w:t xml:space="preserve">, </w:t>
      </w:r>
      <w:r w:rsidR="0061020A">
        <w:rPr>
          <w:rFonts w:cs="Arial" w:hint="cs"/>
          <w:rtl/>
        </w:rPr>
        <w:t>וז</w:t>
      </w:r>
      <w:r w:rsidR="0061020A">
        <w:rPr>
          <w:rFonts w:cs="Arial"/>
          <w:rtl/>
        </w:rPr>
        <w:t>"</w:t>
      </w:r>
      <w:r w:rsidR="0061020A">
        <w:rPr>
          <w:rFonts w:cs="Arial" w:hint="cs"/>
          <w:rtl/>
        </w:rPr>
        <w:t>ל:</w:t>
      </w:r>
      <w:r>
        <w:rPr>
          <w:rFonts w:cs="Arial"/>
          <w:rtl/>
        </w:rPr>
        <w:t xml:space="preserve"> בגמרא (צ:) איכא מ"ד דכתובה אינה כשאר חוב ולא הויא מותר לפי שיכולין בני השנייה לומר לא יצא שטר עלינו</w:t>
      </w:r>
      <w:r>
        <w:rPr>
          <w:rFonts w:cs="Arial" w:hint="cs"/>
          <w:rtl/>
        </w:rPr>
        <w:t>,</w:t>
      </w:r>
      <w:r>
        <w:rPr>
          <w:rFonts w:cs="Arial"/>
          <w:rtl/>
        </w:rPr>
        <w:t xml:space="preserve"> אנו הם המוציאים שטר חוב ומקבלין ולא פורעין</w:t>
      </w:r>
      <w:r>
        <w:rPr>
          <w:rFonts w:cs="Arial" w:hint="cs"/>
          <w:rtl/>
        </w:rPr>
        <w:t>,</w:t>
      </w:r>
      <w:r>
        <w:rPr>
          <w:rFonts w:cs="Arial"/>
          <w:rtl/>
        </w:rPr>
        <w:t xml:space="preserve"> ונמצא שאין כאן נחלה דאורייתא</w:t>
      </w:r>
      <w:r>
        <w:rPr>
          <w:rFonts w:cs="Arial" w:hint="cs"/>
          <w:rtl/>
        </w:rPr>
        <w:t>,</w:t>
      </w:r>
      <w:r>
        <w:rPr>
          <w:rFonts w:cs="Arial"/>
          <w:rtl/>
        </w:rPr>
        <w:t xml:space="preserve"> ולא אתקון ירושת בנין דכרין למיעקר נחלה דאורייתא</w:t>
      </w:r>
      <w:r>
        <w:rPr>
          <w:rFonts w:cs="Arial" w:hint="cs"/>
          <w:rtl/>
        </w:rPr>
        <w:t>.</w:t>
      </w:r>
      <w:r>
        <w:rPr>
          <w:rFonts w:cs="Arial"/>
          <w:rtl/>
        </w:rPr>
        <w:t xml:space="preserve"> אבל בבעל חוב כולי עלמא לא פליגי דהוי מותר הואיל והשטר יוצא על כולם נמצאו כולם פורעין והיא נחלה שלהם שעשו בה מצות פריעת חוב אביהן ע"כ</w:t>
      </w:r>
      <w:r>
        <w:rPr>
          <w:rFonts w:cs="Arial" w:hint="cs"/>
          <w:rtl/>
        </w:rPr>
        <w:t>.</w:t>
      </w:r>
    </w:p>
  </w:footnote>
  <w:footnote w:id="2419">
    <w:p w14:paraId="1BC07FE7" w14:textId="3395C1F8"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D74E59">
        <w:rPr>
          <w:rFonts w:cs="Arial"/>
          <w:rtl/>
        </w:rPr>
        <w:t>ראיתי מן הגדולים שכתבו דלא תקינו כתובת בנין דיכרין אלא היכא דמצי למשקל כל כתובת אמן ולא מיסתבר כלל כיון דבשעת מיתת אביהן היה בנכסים כדי לקיים נחלה דאורייתא לא הפסידו זכותן ומה שישאר אחר הפריעה יטלו הן רב הן מעט וכן בשתי כתובות וב"ח ויש יתר על שתי כתובות דינר אף על פי שהחוב גדול יחלוקו המותר ביניהם לפי הכתובות אף על פי שאינן גובין בו כתובת אמן וה"ה נמי בכתובה נעשית מותר לחברתה.</w:t>
      </w:r>
    </w:p>
  </w:footnote>
  <w:footnote w:id="2420">
    <w:p w14:paraId="42F793DD" w14:textId="77777777" w:rsidR="00392DBB" w:rsidRPr="00A16126" w:rsidRDefault="00392DBB" w:rsidP="00392DBB">
      <w:pPr>
        <w:pStyle w:val="a5"/>
      </w:pPr>
      <w:r w:rsidRPr="00A16126">
        <w:rPr>
          <w:rStyle w:val="a7"/>
        </w:rPr>
        <w:footnoteRef/>
      </w:r>
      <w:r w:rsidRPr="00A16126">
        <w:rPr>
          <w:rtl/>
        </w:rPr>
        <w:t xml:space="preserve"> </w:t>
      </w:r>
      <w:r w:rsidRPr="00A16126">
        <w:rPr>
          <w:rFonts w:cs="Arial" w:hint="cs"/>
          <w:rtl/>
        </w:rPr>
        <w:t>מבואר בסעיף ט.</w:t>
      </w:r>
    </w:p>
  </w:footnote>
  <w:footnote w:id="2421">
    <w:p w14:paraId="2EF0620C" w14:textId="49909FCF" w:rsidR="00392DBB" w:rsidRPr="008E75C2" w:rsidRDefault="00392DBB" w:rsidP="008E75C2">
      <w:pPr>
        <w:pStyle w:val="a5"/>
        <w:rPr>
          <w:rFonts w:cs="Arial"/>
        </w:rPr>
      </w:pPr>
      <w:r>
        <w:rPr>
          <w:rStyle w:val="a7"/>
        </w:rPr>
        <w:footnoteRef/>
      </w:r>
      <w:r>
        <w:rPr>
          <w:rtl/>
        </w:rPr>
        <w:t xml:space="preserve"> </w:t>
      </w:r>
      <w:r w:rsidRPr="00B9416F">
        <w:rPr>
          <w:rFonts w:cs="Arial"/>
          <w:rtl/>
        </w:rPr>
        <w:t xml:space="preserve">נראה </w:t>
      </w:r>
      <w:r w:rsidR="008E75C2">
        <w:rPr>
          <w:rFonts w:cs="Arial" w:hint="cs"/>
          <w:rtl/>
        </w:rPr>
        <w:t>ד</w:t>
      </w:r>
      <w:r w:rsidRPr="00B9416F">
        <w:rPr>
          <w:rFonts w:cs="Arial"/>
          <w:rtl/>
        </w:rPr>
        <w:t xml:space="preserve">הא דנקט </w:t>
      </w:r>
      <w:r w:rsidR="008E75C2">
        <w:rPr>
          <w:rFonts w:cs="Arial" w:hint="cs"/>
          <w:rtl/>
        </w:rPr>
        <w:t>"</w:t>
      </w:r>
      <w:r w:rsidRPr="00B9416F">
        <w:rPr>
          <w:rFonts w:cs="Arial"/>
          <w:rtl/>
        </w:rPr>
        <w:t>נגד היותר</w:t>
      </w:r>
      <w:r w:rsidR="008E75C2">
        <w:rPr>
          <w:rFonts w:cs="Arial" w:hint="cs"/>
          <w:rtl/>
        </w:rPr>
        <w:t>"</w:t>
      </w:r>
      <w:r w:rsidRPr="00B9416F">
        <w:rPr>
          <w:rFonts w:cs="Arial"/>
          <w:rtl/>
        </w:rPr>
        <w:t xml:space="preserve"> לאו דוקא</w:t>
      </w:r>
      <w:r>
        <w:rPr>
          <w:rFonts w:cs="Arial" w:hint="cs"/>
          <w:rtl/>
        </w:rPr>
        <w:t>,</w:t>
      </w:r>
      <w:r w:rsidR="008E75C2">
        <w:rPr>
          <w:rFonts w:cs="Arial" w:hint="cs"/>
          <w:rtl/>
        </w:rPr>
        <w:t xml:space="preserve"> ד</w:t>
      </w:r>
      <w:r w:rsidRPr="00B9416F">
        <w:rPr>
          <w:rFonts w:cs="Arial"/>
          <w:rtl/>
        </w:rPr>
        <w:t>ה"ה אם החוב יותר מהמותר</w:t>
      </w:r>
      <w:r>
        <w:rPr>
          <w:rFonts w:cs="Arial" w:hint="cs"/>
          <w:rtl/>
        </w:rPr>
        <w:t>,</w:t>
      </w:r>
      <w:r w:rsidRPr="00B9416F">
        <w:rPr>
          <w:rFonts w:cs="Arial"/>
          <w:rtl/>
        </w:rPr>
        <w:t xml:space="preserve"> דאין סברא לחלק ביניה</w:t>
      </w:r>
      <w:r>
        <w:rPr>
          <w:rFonts w:cs="Arial" w:hint="cs"/>
          <w:rtl/>
        </w:rPr>
        <w:t>ם</w:t>
      </w:r>
      <w:r w:rsidRPr="00B9416F">
        <w:rPr>
          <w:rFonts w:cs="Arial"/>
          <w:rtl/>
        </w:rPr>
        <w:t xml:space="preserve"> מאחר דק"ל ב"ח מכאן ולהבא הוא גובה</w:t>
      </w:r>
      <w:r>
        <w:rPr>
          <w:rFonts w:cs="Arial" w:hint="cs"/>
          <w:rtl/>
        </w:rPr>
        <w:t>,</w:t>
      </w:r>
      <w:r w:rsidRPr="00B9416F">
        <w:rPr>
          <w:rFonts w:cs="Arial"/>
          <w:rtl/>
        </w:rPr>
        <w:t xml:space="preserve"> ואינו מגרע כח המותר</w:t>
      </w:r>
      <w:r>
        <w:rPr>
          <w:rFonts w:cs="Arial" w:hint="cs"/>
          <w:rtl/>
        </w:rPr>
        <w:t>,</w:t>
      </w:r>
      <w:r w:rsidRPr="00B9416F">
        <w:rPr>
          <w:rFonts w:cs="Arial"/>
          <w:rtl/>
        </w:rPr>
        <w:t xml:space="preserve"> וזכו מיד בני הגדולים</w:t>
      </w:r>
      <w:r>
        <w:rPr>
          <w:rFonts w:cs="Arial" w:hint="cs"/>
          <w:rtl/>
        </w:rPr>
        <w:t>,</w:t>
      </w:r>
      <w:r w:rsidRPr="00B9416F">
        <w:rPr>
          <w:rFonts w:cs="Arial"/>
          <w:rtl/>
        </w:rPr>
        <w:t xml:space="preserve"> מה לי ב"ח קטן נגד המותר או ב"ח גדול הרבה</w:t>
      </w:r>
      <w:r>
        <w:rPr>
          <w:rFonts w:cs="Arial" w:hint="cs"/>
          <w:rtl/>
        </w:rPr>
        <w:t>,</w:t>
      </w:r>
      <w:r w:rsidRPr="00B9416F">
        <w:rPr>
          <w:rFonts w:cs="Arial"/>
          <w:rtl/>
        </w:rPr>
        <w:t xml:space="preserve"> וסוף סוף זכו מיד בני הגדולים ופורעין החוב</w:t>
      </w:r>
      <w:r>
        <w:rPr>
          <w:rFonts w:cs="Arial" w:hint="cs"/>
          <w:rtl/>
        </w:rPr>
        <w:t>,</w:t>
      </w:r>
      <w:r w:rsidRPr="00B9416F">
        <w:rPr>
          <w:rFonts w:cs="Arial"/>
          <w:rtl/>
        </w:rPr>
        <w:t xml:space="preserve"> והמותר יחלקו כפי ערך הכתובו</w:t>
      </w:r>
      <w:r>
        <w:rPr>
          <w:rFonts w:cs="Arial" w:hint="cs"/>
          <w:rtl/>
        </w:rPr>
        <w:t>ת.</w:t>
      </w:r>
      <w:r w:rsidR="008E75C2">
        <w:rPr>
          <w:rFonts w:cs="Arial" w:hint="cs"/>
          <w:rtl/>
        </w:rPr>
        <w:t>..</w:t>
      </w:r>
      <w:r>
        <w:rPr>
          <w:rFonts w:cs="Arial" w:hint="cs"/>
          <w:rtl/>
        </w:rPr>
        <w:t>, ח"מ (סק"ז).</w:t>
      </w:r>
      <w:r>
        <w:rPr>
          <w:rFonts w:hint="cs"/>
          <w:rtl/>
        </w:rPr>
        <w:t xml:space="preserve"> </w:t>
      </w:r>
    </w:p>
  </w:footnote>
  <w:footnote w:id="2422">
    <w:p w14:paraId="56EE3B41" w14:textId="77777777" w:rsidR="00392DBB" w:rsidRDefault="00392DBB" w:rsidP="00392DBB">
      <w:pPr>
        <w:pStyle w:val="a5"/>
      </w:pPr>
      <w:r>
        <w:rPr>
          <w:rStyle w:val="a7"/>
        </w:rPr>
        <w:footnoteRef/>
      </w:r>
      <w:r>
        <w:rPr>
          <w:rtl/>
        </w:rPr>
        <w:t xml:space="preserve"> </w:t>
      </w:r>
      <w:r w:rsidRPr="00B9416F">
        <w:rPr>
          <w:rFonts w:cs="Arial"/>
          <w:rtl/>
        </w:rPr>
        <w:t>הטעם דבפריעת החוב ג"כ מקיימי</w:t>
      </w:r>
      <w:r>
        <w:rPr>
          <w:rFonts w:cs="Arial" w:hint="cs"/>
          <w:rtl/>
        </w:rPr>
        <w:t>ם</w:t>
      </w:r>
      <w:r w:rsidRPr="00B9416F">
        <w:rPr>
          <w:rFonts w:cs="Arial"/>
          <w:rtl/>
        </w:rPr>
        <w:t xml:space="preserve"> נחל</w:t>
      </w:r>
      <w:r>
        <w:rPr>
          <w:rFonts w:cs="Arial" w:hint="cs"/>
          <w:rtl/>
        </w:rPr>
        <w:t>ה</w:t>
      </w:r>
      <w:r w:rsidRPr="00B9416F">
        <w:rPr>
          <w:rFonts w:cs="Arial"/>
          <w:rtl/>
        </w:rPr>
        <w:t xml:space="preserve"> דאוריית</w:t>
      </w:r>
      <w:r>
        <w:rPr>
          <w:rFonts w:cs="Arial" w:hint="cs"/>
          <w:rtl/>
        </w:rPr>
        <w:t>א</w:t>
      </w:r>
      <w:r w:rsidRPr="00B9416F">
        <w:rPr>
          <w:rFonts w:cs="Arial"/>
          <w:rtl/>
        </w:rPr>
        <w:t xml:space="preserve"> כאלו הוו חולקים הדינר ביניהם</w:t>
      </w:r>
      <w:r>
        <w:rPr>
          <w:rFonts w:cs="Arial" w:hint="cs"/>
          <w:rtl/>
        </w:rPr>
        <w:t>.</w:t>
      </w:r>
      <w:r w:rsidRPr="00B9416F">
        <w:rPr>
          <w:rFonts w:cs="Arial"/>
          <w:rtl/>
        </w:rPr>
        <w:t xml:space="preserve"> ומ"מ אם אין כאן מותר דינר</w:t>
      </w:r>
      <w:r>
        <w:rPr>
          <w:rFonts w:cs="Arial" w:hint="cs"/>
          <w:rtl/>
        </w:rPr>
        <w:t>,</w:t>
      </w:r>
      <w:r w:rsidRPr="00B9416F">
        <w:rPr>
          <w:rFonts w:cs="Arial"/>
          <w:rtl/>
        </w:rPr>
        <w:t xml:space="preserve"> ויש כאן ב"ח א</w:t>
      </w:r>
      <w:r>
        <w:rPr>
          <w:rFonts w:cs="Arial" w:hint="cs"/>
          <w:rtl/>
        </w:rPr>
        <w:t xml:space="preserve">ין </w:t>
      </w:r>
      <w:r w:rsidRPr="00B9416F">
        <w:rPr>
          <w:rFonts w:cs="Arial"/>
          <w:rtl/>
        </w:rPr>
        <w:t>א</w:t>
      </w:r>
      <w:r>
        <w:rPr>
          <w:rFonts w:cs="Arial" w:hint="cs"/>
          <w:rtl/>
        </w:rPr>
        <w:t>ומרים</w:t>
      </w:r>
      <w:r w:rsidRPr="00B9416F">
        <w:rPr>
          <w:rFonts w:cs="Arial"/>
          <w:rtl/>
        </w:rPr>
        <w:t xml:space="preserve"> דבפריעות החוב מקוים נחלה דאורייתא והשטר יחלקו ביניהם לפי ערך הכתובו</w:t>
      </w:r>
      <w:r>
        <w:rPr>
          <w:rFonts w:cs="Arial" w:hint="cs"/>
          <w:rtl/>
        </w:rPr>
        <w:t>ת,</w:t>
      </w:r>
      <w:r w:rsidRPr="00B9416F">
        <w:rPr>
          <w:rFonts w:cs="Arial"/>
          <w:rtl/>
        </w:rPr>
        <w:t xml:space="preserve"> דק"ל ב"ח מכאן ולהבא הוא גובה ומיד בשעת מית</w:t>
      </w:r>
      <w:r>
        <w:rPr>
          <w:rFonts w:cs="Arial" w:hint="cs"/>
          <w:rtl/>
        </w:rPr>
        <w:t>ה</w:t>
      </w:r>
      <w:r w:rsidRPr="00B9416F">
        <w:rPr>
          <w:rFonts w:cs="Arial"/>
          <w:rtl/>
        </w:rPr>
        <w:t xml:space="preserve"> כשאין שם מותר דינר זכו בני הקטנים לחלוק בשוה</w:t>
      </w:r>
      <w:r>
        <w:rPr>
          <w:rFonts w:cs="Arial" w:hint="cs"/>
          <w:rtl/>
        </w:rPr>
        <w:t>, ח"מ (סק"ז).</w:t>
      </w:r>
    </w:p>
  </w:footnote>
  <w:footnote w:id="2423">
    <w:p w14:paraId="2ADB9B49" w14:textId="65525396" w:rsidR="008E75C2" w:rsidRPr="008E75C2" w:rsidRDefault="008E75C2" w:rsidP="008E75C2">
      <w:pPr>
        <w:pStyle w:val="a5"/>
        <w:rPr>
          <w:rFonts w:cs="Arial"/>
        </w:rPr>
      </w:pPr>
      <w:r>
        <w:rPr>
          <w:rStyle w:val="a7"/>
        </w:rPr>
        <w:footnoteRef/>
      </w:r>
      <w:r>
        <w:rPr>
          <w:rtl/>
        </w:rPr>
        <w:t xml:space="preserve"> </w:t>
      </w:r>
      <w:r w:rsidRPr="00B9416F">
        <w:rPr>
          <w:rFonts w:cs="Arial"/>
          <w:rtl/>
        </w:rPr>
        <w:t>לא ידעתי למה כתב דין זה בשם י"א בסעי' שאח"ז</w:t>
      </w:r>
      <w:r>
        <w:rPr>
          <w:rFonts w:cs="Arial" w:hint="cs"/>
          <w:rtl/>
        </w:rPr>
        <w:t>,</w:t>
      </w:r>
      <w:r w:rsidRPr="00B9416F">
        <w:rPr>
          <w:rFonts w:cs="Arial"/>
          <w:rtl/>
        </w:rPr>
        <w:t xml:space="preserve"> דגם הרמב"ם הכי ס"ל</w:t>
      </w:r>
      <w:r>
        <w:rPr>
          <w:rFonts w:cs="Arial" w:hint="cs"/>
          <w:rtl/>
        </w:rPr>
        <w:t>,</w:t>
      </w:r>
      <w:r w:rsidRPr="00B9416F">
        <w:rPr>
          <w:rFonts w:cs="Arial"/>
          <w:rtl/>
        </w:rPr>
        <w:t xml:space="preserve"> אע</w:t>
      </w:r>
      <w:r>
        <w:rPr>
          <w:rFonts w:cs="Arial" w:hint="cs"/>
          <w:rtl/>
        </w:rPr>
        <w:t>"</w:t>
      </w:r>
      <w:r w:rsidRPr="00B9416F">
        <w:rPr>
          <w:rFonts w:cs="Arial"/>
          <w:rtl/>
        </w:rPr>
        <w:t>פ שכתב כנגדה מותר</w:t>
      </w:r>
      <w:r>
        <w:rPr>
          <w:rFonts w:cs="Arial" w:hint="cs"/>
          <w:rtl/>
        </w:rPr>
        <w:t>.</w:t>
      </w:r>
      <w:r w:rsidRPr="00B9416F">
        <w:rPr>
          <w:rFonts w:cs="Arial"/>
          <w:rtl/>
        </w:rPr>
        <w:t xml:space="preserve"> וכן מוכח מדברי המ"מ</w:t>
      </w:r>
      <w:r>
        <w:rPr>
          <w:rFonts w:cs="Arial" w:hint="cs"/>
          <w:rtl/>
        </w:rPr>
        <w:t>,</w:t>
      </w:r>
      <w:r w:rsidRPr="00B9416F">
        <w:rPr>
          <w:rFonts w:cs="Arial"/>
          <w:rtl/>
        </w:rPr>
        <w:t xml:space="preserve"> </w:t>
      </w:r>
      <w:r>
        <w:rPr>
          <w:rFonts w:cs="Arial" w:hint="cs"/>
          <w:rtl/>
        </w:rPr>
        <w:t>ד</w:t>
      </w:r>
      <w:r w:rsidRPr="00B9416F">
        <w:rPr>
          <w:rFonts w:cs="Arial"/>
          <w:rtl/>
        </w:rPr>
        <w:t>בהא דכתובה נעשית מותר לחברתה כתב יש מי שכתב שאם אינו מספיק לב' הכתובו' וכו' ע"ש</w:t>
      </w:r>
      <w:r>
        <w:rPr>
          <w:rFonts w:cs="Arial" w:hint="cs"/>
          <w:rtl/>
        </w:rPr>
        <w:t>.</w:t>
      </w:r>
      <w:r w:rsidRPr="00B9416F">
        <w:rPr>
          <w:rFonts w:cs="Arial"/>
          <w:rtl/>
        </w:rPr>
        <w:t xml:space="preserve"> וכן פסק וסתם בסעי' ט'</w:t>
      </w:r>
      <w:r>
        <w:rPr>
          <w:rFonts w:cs="Arial" w:hint="cs"/>
          <w:rtl/>
        </w:rPr>
        <w:t>.</w:t>
      </w:r>
      <w:r w:rsidRPr="00B9416F">
        <w:rPr>
          <w:rFonts w:cs="Arial"/>
          <w:rtl/>
        </w:rPr>
        <w:t xml:space="preserve"> ועיין מ"ש שם</w:t>
      </w:r>
      <w:r>
        <w:rPr>
          <w:rFonts w:cs="Arial" w:hint="cs"/>
          <w:rtl/>
        </w:rPr>
        <w:t>, ח"מ (סק"ז).</w:t>
      </w:r>
      <w:r>
        <w:rPr>
          <w:rFonts w:hint="cs"/>
          <w:rtl/>
        </w:rPr>
        <w:t xml:space="preserve"> וכן תמה הב"ש (סק"ה) על השו"ע מדוע כתב בלשון ויש אומרים.</w:t>
      </w:r>
    </w:p>
  </w:footnote>
  <w:footnote w:id="2424">
    <w:p w14:paraId="0C63FEBD" w14:textId="1D50B291" w:rsidR="00392DBB" w:rsidRDefault="00392DBB" w:rsidP="00392DBB">
      <w:pPr>
        <w:pStyle w:val="a5"/>
      </w:pPr>
      <w:r>
        <w:rPr>
          <w:rStyle w:val="a7"/>
        </w:rPr>
        <w:footnoteRef/>
      </w:r>
      <w:r>
        <w:rPr>
          <w:rtl/>
        </w:rPr>
        <w:t xml:space="preserve"> </w:t>
      </w:r>
      <w:r w:rsidRPr="003500E9">
        <w:rPr>
          <w:rFonts w:cs="Arial"/>
          <w:rtl/>
        </w:rPr>
        <w:t>בחייו</w:t>
      </w:r>
      <w:r w:rsidR="000F6FB5">
        <w:rPr>
          <w:rFonts w:cs="Arial" w:hint="cs"/>
          <w:rtl/>
        </w:rPr>
        <w:t>,</w:t>
      </w:r>
      <w:r w:rsidRPr="003500E9">
        <w:rPr>
          <w:rFonts w:cs="Arial"/>
          <w:rtl/>
        </w:rPr>
        <w:t xml:space="preserve"> נשא שניה ומת הוא</w:t>
      </w:r>
      <w:r w:rsidR="000F6FB5">
        <w:rPr>
          <w:rFonts w:cs="Arial" w:hint="cs"/>
          <w:rtl/>
        </w:rPr>
        <w:t>,</w:t>
      </w:r>
      <w:r w:rsidRPr="003500E9">
        <w:rPr>
          <w:rFonts w:cs="Arial"/>
          <w:rtl/>
        </w:rPr>
        <w:t xml:space="preserve"> ויורשי הראשונה באין ותובעין כתובת בנין דכרין</w:t>
      </w:r>
      <w:r w:rsidR="000F6FB5">
        <w:rPr>
          <w:rFonts w:cs="Arial" w:hint="cs"/>
          <w:rtl/>
        </w:rPr>
        <w:t>,</w:t>
      </w:r>
      <w:r w:rsidRPr="003500E9">
        <w:rPr>
          <w:rFonts w:cs="Arial"/>
          <w:rtl/>
        </w:rPr>
        <w:t xml:space="preserve"> כמו ששנינו (נב:) בנין דכרין דיהויין ליכי מינאי כו'</w:t>
      </w:r>
      <w:r w:rsidR="000F6FB5">
        <w:rPr>
          <w:rFonts w:cs="Arial" w:hint="cs"/>
          <w:rtl/>
        </w:rPr>
        <w:t>,</w:t>
      </w:r>
      <w:r w:rsidRPr="003500E9">
        <w:rPr>
          <w:rFonts w:cs="Arial"/>
          <w:rtl/>
        </w:rPr>
        <w:t xml:space="preserve"> או רוצים לחלוק ירושת אביהם</w:t>
      </w:r>
      <w:r>
        <w:rPr>
          <w:rFonts w:cs="Arial" w:hint="cs"/>
          <w:rtl/>
        </w:rPr>
        <w:t>, רש"י.</w:t>
      </w:r>
    </w:p>
  </w:footnote>
  <w:footnote w:id="2425">
    <w:p w14:paraId="73304F21" w14:textId="7FF932BE" w:rsidR="00392DBB" w:rsidRDefault="00392DBB" w:rsidP="00392DBB">
      <w:pPr>
        <w:pStyle w:val="a5"/>
        <w:rPr>
          <w:rtl/>
        </w:rPr>
      </w:pPr>
      <w:r>
        <w:rPr>
          <w:rStyle w:val="a7"/>
        </w:rPr>
        <w:footnoteRef/>
      </w:r>
      <w:r>
        <w:rPr>
          <w:rtl/>
        </w:rPr>
        <w:t xml:space="preserve"> </w:t>
      </w:r>
      <w:r w:rsidRPr="003500E9">
        <w:rPr>
          <w:rFonts w:cs="Arial"/>
          <w:rtl/>
        </w:rPr>
        <w:t>שהיא בעלת חוב</w:t>
      </w:r>
      <w:r w:rsidR="000F6FB5">
        <w:rPr>
          <w:rFonts w:cs="Arial" w:hint="cs"/>
          <w:rtl/>
        </w:rPr>
        <w:t>,</w:t>
      </w:r>
      <w:r w:rsidRPr="003500E9">
        <w:rPr>
          <w:rFonts w:cs="Arial"/>
          <w:rtl/>
        </w:rPr>
        <w:t xml:space="preserve"> אבל ראשונים באין לירש את אביהן</w:t>
      </w:r>
      <w:r w:rsidR="000F6FB5">
        <w:rPr>
          <w:rFonts w:cs="Arial" w:hint="cs"/>
          <w:rtl/>
        </w:rPr>
        <w:t>,</w:t>
      </w:r>
      <w:r w:rsidRPr="003500E9">
        <w:rPr>
          <w:rFonts w:cs="Arial"/>
          <w:rtl/>
        </w:rPr>
        <w:t xml:space="preserve"> דהא אינון ירתון תנן</w:t>
      </w:r>
      <w:r w:rsidR="000F6FB5">
        <w:rPr>
          <w:rFonts w:cs="Arial" w:hint="cs"/>
          <w:rtl/>
        </w:rPr>
        <w:t>,</w:t>
      </w:r>
      <w:r w:rsidRPr="003500E9">
        <w:rPr>
          <w:rFonts w:cs="Arial"/>
          <w:rtl/>
        </w:rPr>
        <w:t xml:space="preserve"> לפיכך פורעין את החוב תחילה והשאר ירושה</w:t>
      </w:r>
      <w:r>
        <w:rPr>
          <w:rFonts w:hint="cs"/>
          <w:rtl/>
        </w:rPr>
        <w:t>, רש"י.</w:t>
      </w:r>
    </w:p>
  </w:footnote>
  <w:footnote w:id="2426">
    <w:p w14:paraId="1F58A737" w14:textId="3C47D708" w:rsidR="00392DBB" w:rsidRDefault="00392DBB" w:rsidP="00392DBB">
      <w:pPr>
        <w:pStyle w:val="a5"/>
      </w:pPr>
      <w:r>
        <w:rPr>
          <w:rStyle w:val="a7"/>
        </w:rPr>
        <w:footnoteRef/>
      </w:r>
      <w:r>
        <w:rPr>
          <w:rtl/>
        </w:rPr>
        <w:t xml:space="preserve"> </w:t>
      </w:r>
      <w:r w:rsidRPr="003500E9">
        <w:rPr>
          <w:rFonts w:cs="Arial"/>
          <w:rtl/>
        </w:rPr>
        <w:t>לראשונים כתובת בנין דכרין</w:t>
      </w:r>
      <w:r w:rsidR="00022079">
        <w:rPr>
          <w:rFonts w:cs="Arial" w:hint="cs"/>
          <w:rtl/>
        </w:rPr>
        <w:t>,</w:t>
      </w:r>
      <w:r w:rsidRPr="003500E9">
        <w:rPr>
          <w:rFonts w:cs="Arial"/>
          <w:rtl/>
        </w:rPr>
        <w:t xml:space="preserve"> ולא אמרינן</w:t>
      </w:r>
      <w:r w:rsidR="00022079">
        <w:rPr>
          <w:rFonts w:cs="Arial" w:hint="cs"/>
          <w:rtl/>
        </w:rPr>
        <w:t>:</w:t>
      </w:r>
      <w:r w:rsidRPr="003500E9">
        <w:rPr>
          <w:rFonts w:cs="Arial"/>
          <w:rtl/>
        </w:rPr>
        <w:t xml:space="preserve"> כי תקון בנין דכרין היכא דמתו שתיהן בחייו וכתובת האחת מרובה משל חברתה אלו נוטלין כתובת אמן ואלו נוטלין כתובת אמן והשאר חולקין בשוה</w:t>
      </w:r>
      <w:r w:rsidR="00022079">
        <w:rPr>
          <w:rFonts w:cs="Arial" w:hint="cs"/>
          <w:rtl/>
        </w:rPr>
        <w:t>,</w:t>
      </w:r>
      <w:r w:rsidRPr="003500E9">
        <w:rPr>
          <w:rFonts w:cs="Arial"/>
          <w:rtl/>
        </w:rPr>
        <w:t xml:space="preserve"> דהשתא אתו תרוייהו בתורת בנין דכרין שהוא ירושת האב ולא אתי לאינצויי</w:t>
      </w:r>
      <w:r w:rsidR="00022079">
        <w:rPr>
          <w:rFonts w:cs="Arial" w:hint="cs"/>
          <w:rtl/>
        </w:rPr>
        <w:t>,</w:t>
      </w:r>
      <w:r w:rsidRPr="003500E9">
        <w:rPr>
          <w:rFonts w:cs="Arial"/>
          <w:rtl/>
        </w:rPr>
        <w:t xml:space="preserve"> אבל אחת בחייו ואחת במותו דיורשי שניה באין על כתובת אמן בתורת ירושת חוב אמן ולא מאביהם באה להם</w:t>
      </w:r>
      <w:r w:rsidR="00022079">
        <w:rPr>
          <w:rFonts w:cs="Arial" w:hint="cs"/>
          <w:rtl/>
        </w:rPr>
        <w:t>,</w:t>
      </w:r>
      <w:r w:rsidRPr="003500E9">
        <w:rPr>
          <w:rFonts w:cs="Arial"/>
          <w:rtl/>
        </w:rPr>
        <w:t xml:space="preserve"> ובני ראשונה באין ליטול חלק יתר מכח ירושת האב דהא ירתון תנן</w:t>
      </w:r>
      <w:r w:rsidR="00022079">
        <w:rPr>
          <w:rFonts w:cs="Arial" w:hint="cs"/>
          <w:rtl/>
        </w:rPr>
        <w:t>,</w:t>
      </w:r>
      <w:r w:rsidRPr="003500E9">
        <w:rPr>
          <w:rFonts w:cs="Arial"/>
          <w:rtl/>
        </w:rPr>
        <w:t xml:space="preserve"> לא שקלי דלמא אתו לאינצויי ולומר לא תטלו בירושת אבינו יותר ממנו </w:t>
      </w:r>
      <w:r w:rsidR="00022079">
        <w:rPr>
          <w:rFonts w:cs="Arial" w:hint="cs"/>
          <w:rtl/>
        </w:rPr>
        <w:t xml:space="preserve">- </w:t>
      </w:r>
      <w:r w:rsidRPr="003500E9">
        <w:rPr>
          <w:rFonts w:cs="Arial"/>
          <w:rtl/>
        </w:rPr>
        <w:t>הא לא אמרינן</w:t>
      </w:r>
      <w:r>
        <w:rPr>
          <w:rFonts w:cs="Arial" w:hint="cs"/>
          <w:rtl/>
        </w:rPr>
        <w:t>, רש"י.</w:t>
      </w:r>
    </w:p>
  </w:footnote>
  <w:footnote w:id="2427">
    <w:p w14:paraId="2713B722" w14:textId="04D69AF2" w:rsidR="00392DBB" w:rsidRDefault="00392DBB" w:rsidP="00392DBB">
      <w:pPr>
        <w:pStyle w:val="a5"/>
      </w:pPr>
      <w:r>
        <w:rPr>
          <w:rStyle w:val="a7"/>
        </w:rPr>
        <w:footnoteRef/>
      </w:r>
      <w:r>
        <w:rPr>
          <w:rtl/>
        </w:rPr>
        <w:t xml:space="preserve"> </w:t>
      </w:r>
      <w:r w:rsidRPr="003500E9">
        <w:rPr>
          <w:rFonts w:cs="Arial"/>
          <w:rtl/>
        </w:rPr>
        <w:t>דאע"ג דלא תקון כתובת בנין דכרין אא"כ יש מותר על שתי הכתובות דינר דלא מיעקרא נחלה דאורייתא כדתנן בפרקין ופרשינן טעמא בפרק נערה שנתפתתה (נב:)</w:t>
      </w:r>
      <w:r w:rsidR="00022079">
        <w:rPr>
          <w:rFonts w:cs="Arial" w:hint="cs"/>
          <w:rtl/>
        </w:rPr>
        <w:t>,</w:t>
      </w:r>
      <w:r w:rsidRPr="003500E9">
        <w:rPr>
          <w:rFonts w:cs="Arial"/>
          <w:rtl/>
        </w:rPr>
        <w:t xml:space="preserve"> הני מילי כי מתו שתיהן בחייו</w:t>
      </w:r>
      <w:r w:rsidR="00022079">
        <w:rPr>
          <w:rFonts w:cs="Arial" w:hint="cs"/>
          <w:rtl/>
        </w:rPr>
        <w:t>,</w:t>
      </w:r>
      <w:r w:rsidRPr="003500E9">
        <w:rPr>
          <w:rFonts w:cs="Arial"/>
          <w:rtl/>
        </w:rPr>
        <w:t xml:space="preserve"> דתרוייהו אתו בתורת בנין דכרין</w:t>
      </w:r>
      <w:r w:rsidR="003C7866">
        <w:rPr>
          <w:rFonts w:cs="Arial" w:hint="cs"/>
          <w:rtl/>
        </w:rPr>
        <w:t>.</w:t>
      </w:r>
      <w:r w:rsidRPr="003500E9">
        <w:rPr>
          <w:rFonts w:cs="Arial"/>
          <w:rtl/>
        </w:rPr>
        <w:t xml:space="preserve"> אבל אחת בחייו ואחת במותו</w:t>
      </w:r>
      <w:r w:rsidR="003C7866">
        <w:rPr>
          <w:rFonts w:cs="Arial" w:hint="cs"/>
          <w:rtl/>
        </w:rPr>
        <w:t>,</w:t>
      </w:r>
      <w:r w:rsidRPr="003500E9">
        <w:rPr>
          <w:rFonts w:cs="Arial"/>
          <w:rtl/>
        </w:rPr>
        <w:t xml:space="preserve"> שהשניה נגבית בתורת חוב</w:t>
      </w:r>
      <w:r w:rsidR="00022079">
        <w:rPr>
          <w:rFonts w:cs="Arial" w:hint="cs"/>
          <w:rtl/>
        </w:rPr>
        <w:t xml:space="preserve"> -</w:t>
      </w:r>
      <w:r w:rsidRPr="003500E9">
        <w:rPr>
          <w:rFonts w:cs="Arial"/>
          <w:rtl/>
        </w:rPr>
        <w:t xml:space="preserve"> אין לך ירושה גדולה מזו ולא מיעקרא נחלה דאורייתא</w:t>
      </w:r>
      <w:r w:rsidR="00022079">
        <w:rPr>
          <w:rFonts w:cs="Arial" w:hint="cs"/>
          <w:rtl/>
        </w:rPr>
        <w:t>.</w:t>
      </w:r>
      <w:r w:rsidRPr="003500E9">
        <w:rPr>
          <w:rFonts w:cs="Arial"/>
          <w:rtl/>
        </w:rPr>
        <w:t xml:space="preserve"> שכשמת נפלו נכסים לפני יורשין</w:t>
      </w:r>
      <w:r w:rsidR="00022079">
        <w:rPr>
          <w:rFonts w:cs="Arial" w:hint="cs"/>
          <w:rtl/>
        </w:rPr>
        <w:t>,</w:t>
      </w:r>
      <w:r w:rsidRPr="003500E9">
        <w:rPr>
          <w:rFonts w:cs="Arial"/>
          <w:rtl/>
        </w:rPr>
        <w:t xml:space="preserve"> וכשיצא שטר חוב על אביהן אלו ואלו עושין מצוה לפרוע חובת אביהן</w:t>
      </w:r>
      <w:r w:rsidR="00022079">
        <w:rPr>
          <w:rFonts w:cs="Arial" w:hint="cs"/>
          <w:rtl/>
        </w:rPr>
        <w:t>,</w:t>
      </w:r>
      <w:r w:rsidRPr="003500E9">
        <w:rPr>
          <w:rFonts w:cs="Arial"/>
          <w:rtl/>
        </w:rPr>
        <w:t xml:space="preserve"> והיא היא ירושתן</w:t>
      </w:r>
      <w:r w:rsidR="00022079">
        <w:rPr>
          <w:rFonts w:cs="Arial" w:hint="cs"/>
          <w:rtl/>
        </w:rPr>
        <w:t>,</w:t>
      </w:r>
      <w:r w:rsidRPr="003500E9">
        <w:rPr>
          <w:rFonts w:cs="Arial"/>
          <w:rtl/>
        </w:rPr>
        <w:t xml:space="preserve"> לפיכך כתובה זו נעשית כמותר לירושה וגובין בני הראשונה כתובת בנין דכרין</w:t>
      </w:r>
      <w:r>
        <w:rPr>
          <w:rFonts w:cs="Arial" w:hint="cs"/>
          <w:rtl/>
        </w:rPr>
        <w:t>, רש"י.</w:t>
      </w:r>
    </w:p>
  </w:footnote>
  <w:footnote w:id="2428">
    <w:p w14:paraId="3A655823" w14:textId="77777777" w:rsidR="00392DBB" w:rsidRDefault="00392DBB" w:rsidP="00392DBB">
      <w:pPr>
        <w:pStyle w:val="a5"/>
      </w:pPr>
      <w:r>
        <w:rPr>
          <w:rStyle w:val="a7"/>
        </w:rPr>
        <w:footnoteRef/>
      </w:r>
      <w:r>
        <w:rPr>
          <w:rtl/>
        </w:rPr>
        <w:t xml:space="preserve"> </w:t>
      </w:r>
      <w:r>
        <w:rPr>
          <w:rFonts w:cs="Arial"/>
          <w:rtl/>
        </w:rPr>
        <w:t>פשוט הוא</w:t>
      </w:r>
      <w:r>
        <w:rPr>
          <w:rFonts w:cs="Arial" w:hint="cs"/>
          <w:rtl/>
        </w:rPr>
        <w:t>, ב"י.</w:t>
      </w:r>
    </w:p>
  </w:footnote>
  <w:footnote w:id="2429">
    <w:p w14:paraId="5CF306D0" w14:textId="7497E842" w:rsidR="00392DBB" w:rsidRDefault="00392DBB" w:rsidP="00392DBB">
      <w:pPr>
        <w:pStyle w:val="a5"/>
        <w:rPr>
          <w:rtl/>
        </w:rPr>
      </w:pPr>
      <w:r>
        <w:rPr>
          <w:rStyle w:val="a7"/>
        </w:rPr>
        <w:footnoteRef/>
      </w:r>
      <w:r>
        <w:rPr>
          <w:rtl/>
        </w:rPr>
        <w:t xml:space="preserve"> </w:t>
      </w:r>
      <w:r>
        <w:rPr>
          <w:rFonts w:hint="cs"/>
          <w:rtl/>
        </w:rPr>
        <w:t>הטור כבר כתב כן לעיל (</w:t>
      </w:r>
      <w:r w:rsidR="0061020A">
        <w:rPr>
          <w:rFonts w:hint="cs"/>
          <w:rtl/>
        </w:rPr>
        <w:t>וז</w:t>
      </w:r>
      <w:r w:rsidR="0061020A">
        <w:rPr>
          <w:rtl/>
        </w:rPr>
        <w:t>"</w:t>
      </w:r>
      <w:r w:rsidR="0061020A">
        <w:rPr>
          <w:rFonts w:hint="cs"/>
          <w:rtl/>
        </w:rPr>
        <w:t>ל:</w:t>
      </w:r>
      <w:r>
        <w:rPr>
          <w:rFonts w:hint="cs"/>
          <w:rtl/>
        </w:rPr>
        <w:t xml:space="preserve"> </w:t>
      </w:r>
      <w:r w:rsidRPr="008A1F1E">
        <w:rPr>
          <w:rFonts w:cs="Arial"/>
          <w:rtl/>
        </w:rPr>
        <w:t>שאם לא כן אין בניה יורשים כתובתה</w:t>
      </w:r>
      <w:r>
        <w:rPr>
          <w:rFonts w:hint="cs"/>
          <w:rtl/>
        </w:rPr>
        <w:t>), אבל כאן מתבאר הדבר יותר.</w:t>
      </w:r>
    </w:p>
  </w:footnote>
  <w:footnote w:id="2430">
    <w:p w14:paraId="72593A11" w14:textId="77777777" w:rsidR="00392DBB" w:rsidRDefault="00392DBB" w:rsidP="00392DBB">
      <w:pPr>
        <w:pStyle w:val="a5"/>
      </w:pPr>
      <w:r>
        <w:rPr>
          <w:rStyle w:val="a7"/>
        </w:rPr>
        <w:footnoteRef/>
      </w:r>
      <w:r>
        <w:rPr>
          <w:rtl/>
        </w:rPr>
        <w:t xml:space="preserve"> </w:t>
      </w:r>
      <w:r>
        <w:rPr>
          <w:rFonts w:cs="Arial"/>
          <w:rtl/>
        </w:rPr>
        <w:t>וכתבו הגהות מיימוניות (שם אות ה) שכ"כ סה"ג בשם הגאונים</w:t>
      </w:r>
      <w:r>
        <w:rPr>
          <w:rFonts w:cs="Arial" w:hint="cs"/>
          <w:rtl/>
        </w:rPr>
        <w:t>, ב"י.</w:t>
      </w:r>
    </w:p>
  </w:footnote>
  <w:footnote w:id="2431">
    <w:p w14:paraId="64159C94" w14:textId="77777777" w:rsidR="00392DBB" w:rsidRDefault="00392DBB" w:rsidP="00392DBB">
      <w:pPr>
        <w:pStyle w:val="a5"/>
      </w:pPr>
      <w:r>
        <w:rPr>
          <w:rStyle w:val="a7"/>
        </w:rPr>
        <w:footnoteRef/>
      </w:r>
      <w:r>
        <w:rPr>
          <w:rtl/>
        </w:rPr>
        <w:t xml:space="preserve"> </w:t>
      </w:r>
      <w:r>
        <w:rPr>
          <w:rFonts w:cs="Arial"/>
          <w:rtl/>
        </w:rPr>
        <w:t>פשוט הוא</w:t>
      </w:r>
      <w:r>
        <w:rPr>
          <w:rFonts w:cs="Arial" w:hint="cs"/>
          <w:rtl/>
        </w:rPr>
        <w:t>, ב"י.</w:t>
      </w:r>
    </w:p>
  </w:footnote>
  <w:footnote w:id="2432">
    <w:p w14:paraId="2C24C417" w14:textId="77777777" w:rsidR="00392DBB" w:rsidRDefault="00392DBB" w:rsidP="00392DBB">
      <w:pPr>
        <w:pStyle w:val="a5"/>
        <w:rPr>
          <w:rtl/>
        </w:rPr>
      </w:pPr>
      <w:r>
        <w:rPr>
          <w:rStyle w:val="a7"/>
        </w:rPr>
        <w:footnoteRef/>
      </w:r>
      <w:r>
        <w:rPr>
          <w:rtl/>
        </w:rPr>
        <w:t xml:space="preserve"> </w:t>
      </w:r>
      <w:r>
        <w:rPr>
          <w:rFonts w:cs="Arial"/>
          <w:rtl/>
        </w:rPr>
        <w:t>ולא פרע לה כתובתה</w:t>
      </w:r>
      <w:r>
        <w:rPr>
          <w:rFonts w:hint="cs"/>
          <w:rtl/>
        </w:rPr>
        <w:t>, ב"י.</w:t>
      </w:r>
    </w:p>
  </w:footnote>
  <w:footnote w:id="2433">
    <w:p w14:paraId="19837688" w14:textId="77777777" w:rsidR="00392DBB" w:rsidRDefault="00392DBB" w:rsidP="00392DBB">
      <w:pPr>
        <w:pStyle w:val="a5"/>
      </w:pPr>
      <w:r>
        <w:rPr>
          <w:rStyle w:val="a7"/>
        </w:rPr>
        <w:footnoteRef/>
      </w:r>
      <w:r>
        <w:rPr>
          <w:rtl/>
        </w:rPr>
        <w:t xml:space="preserve"> </w:t>
      </w:r>
      <w:r>
        <w:rPr>
          <w:rFonts w:cs="Arial"/>
          <w:rtl/>
        </w:rPr>
        <w:t>ג"ז פשוט</w:t>
      </w:r>
      <w:r>
        <w:rPr>
          <w:rFonts w:cs="Arial" w:hint="cs"/>
          <w:rtl/>
        </w:rPr>
        <w:t>, ב"י.</w:t>
      </w:r>
    </w:p>
  </w:footnote>
  <w:footnote w:id="2434">
    <w:p w14:paraId="63670084" w14:textId="77777777" w:rsidR="00392DBB" w:rsidRDefault="00392DBB" w:rsidP="00392DBB">
      <w:pPr>
        <w:pStyle w:val="a5"/>
        <w:rPr>
          <w:rtl/>
        </w:rPr>
      </w:pPr>
      <w:r>
        <w:rPr>
          <w:rStyle w:val="a7"/>
        </w:rPr>
        <w:footnoteRef/>
      </w:r>
      <w:r>
        <w:rPr>
          <w:rtl/>
        </w:rPr>
        <w:t xml:space="preserve"> </w:t>
      </w:r>
      <w:r w:rsidRPr="00B33D95">
        <w:rPr>
          <w:rFonts w:cs="Arial"/>
          <w:rtl/>
        </w:rPr>
        <w:t>ה"ה אם לא הניח כדי שתי הכתובו' רק מותר דינר על כתובת בנין דכרין ואף על פי כשיקחו בני האחת כתובתה בתורת חוב לא ישאר כב"ד במלואו אפ"ה שייך כב"ד דגם לחצאין תקנו כב"ד וכ"כ המ"מ וכמו שהעתקתי מקצת לשונו לפני זה וכ"כ בסמוך סעיף ט'</w:t>
      </w:r>
      <w:r>
        <w:rPr>
          <w:rFonts w:hint="cs"/>
          <w:rtl/>
        </w:rPr>
        <w:t>, ח"מ (סק"ח).</w:t>
      </w:r>
    </w:p>
  </w:footnote>
  <w:footnote w:id="2435">
    <w:p w14:paraId="018BC23D" w14:textId="2919A2EA" w:rsidR="00392DBB" w:rsidRDefault="00392DBB" w:rsidP="00392DBB">
      <w:pPr>
        <w:pStyle w:val="a5"/>
      </w:pPr>
      <w:r>
        <w:rPr>
          <w:rStyle w:val="a7"/>
        </w:rPr>
        <w:footnoteRef/>
      </w:r>
      <w:r>
        <w:rPr>
          <w:rtl/>
        </w:rPr>
        <w:t xml:space="preserve"> </w:t>
      </w:r>
      <w:r w:rsidRPr="00D15679">
        <w:rPr>
          <w:rFonts w:cs="Arial"/>
          <w:rtl/>
        </w:rPr>
        <w:t>אפשר אפילו אם ליכא כאן אלא כדי כתובה של הראשונה מכל מקום כשלא נשבעה השניה אז אמרינן שנטלה כתובתה והניח כדי שני כתובות</w:t>
      </w:r>
      <w:r w:rsidR="00A71CB6">
        <w:rPr>
          <w:rFonts w:cs="Arial" w:hint="cs"/>
          <w:rtl/>
        </w:rPr>
        <w:t>.</w:t>
      </w:r>
      <w:r w:rsidRPr="00D15679">
        <w:rPr>
          <w:rFonts w:cs="Arial"/>
          <w:rtl/>
        </w:rPr>
        <w:t xml:space="preserve"> מיהו יש לומר כיון כב"ד אינו אלא מצד התקנה וכאן איכא ספק שמא לא לקחה ולא הניח אלא כדי כתובה של הראשונה חולקים</w:t>
      </w:r>
      <w:r>
        <w:rPr>
          <w:rFonts w:cs="Arial" w:hint="cs"/>
          <w:rtl/>
        </w:rPr>
        <w:t>, ח"מ (סק"ט).</w:t>
      </w:r>
    </w:p>
  </w:footnote>
  <w:footnote w:id="2436">
    <w:p w14:paraId="69A7626B" w14:textId="77777777" w:rsidR="00392DBB" w:rsidRDefault="00392DBB" w:rsidP="00392DBB">
      <w:pPr>
        <w:pStyle w:val="a5"/>
      </w:pPr>
      <w:r>
        <w:rPr>
          <w:rStyle w:val="a7"/>
        </w:rPr>
        <w:footnoteRef/>
      </w:r>
      <w:r>
        <w:rPr>
          <w:rtl/>
        </w:rPr>
        <w:t xml:space="preserve"> </w:t>
      </w:r>
      <w:r w:rsidRPr="00B33D95">
        <w:rPr>
          <w:rFonts w:cs="Arial"/>
          <w:rtl/>
        </w:rPr>
        <w:t>וכלו' ונשבעו קודם שמתו דאל"כ חולקין הבנים בשוה כמו שיתבאר בסמוך סעיף י"א</w:t>
      </w:r>
      <w:r>
        <w:rPr>
          <w:rFonts w:cs="Arial" w:hint="cs"/>
          <w:rtl/>
        </w:rPr>
        <w:t>, ח"מ (סקי"א).</w:t>
      </w:r>
    </w:p>
  </w:footnote>
  <w:footnote w:id="2437">
    <w:p w14:paraId="55778EEB" w14:textId="77777777" w:rsidR="00392DBB" w:rsidRDefault="00392DBB" w:rsidP="00392DBB">
      <w:pPr>
        <w:pStyle w:val="a5"/>
      </w:pPr>
      <w:r>
        <w:rPr>
          <w:rStyle w:val="a7"/>
        </w:rPr>
        <w:footnoteRef/>
      </w:r>
      <w:r>
        <w:rPr>
          <w:rtl/>
        </w:rPr>
        <w:t xml:space="preserve"> </w:t>
      </w:r>
      <w:r w:rsidRPr="00B33D95">
        <w:rPr>
          <w:rFonts w:cs="Arial"/>
          <w:rtl/>
        </w:rPr>
        <w:t>היינו אם נשבעה הגרושה קודם מותה או שמתה הגרושה קודם שמת הוא דה"ל מת מלוה בחיי לוה</w:t>
      </w:r>
      <w:r>
        <w:rPr>
          <w:rFonts w:cs="Arial" w:hint="cs"/>
          <w:rtl/>
        </w:rPr>
        <w:t>, ח"מ (סקי"ב).</w:t>
      </w:r>
    </w:p>
  </w:footnote>
  <w:footnote w:id="2438">
    <w:p w14:paraId="66B2AFD3" w14:textId="77777777" w:rsidR="00392DBB" w:rsidRDefault="00392DBB" w:rsidP="00392DBB">
      <w:pPr>
        <w:pStyle w:val="a5"/>
      </w:pPr>
      <w:r>
        <w:rPr>
          <w:rStyle w:val="a7"/>
        </w:rPr>
        <w:footnoteRef/>
      </w:r>
      <w:r>
        <w:rPr>
          <w:rtl/>
        </w:rPr>
        <w:t xml:space="preserve"> </w:t>
      </w:r>
      <w:r>
        <w:rPr>
          <w:rFonts w:cs="Arial" w:hint="cs"/>
          <w:rtl/>
        </w:rPr>
        <w:t>וז"ל</w:t>
      </w:r>
      <w:r w:rsidRPr="008A1F1E">
        <w:rPr>
          <w:rFonts w:cs="Arial"/>
          <w:rtl/>
        </w:rPr>
        <w:t xml:space="preserve"> </w:t>
      </w:r>
      <w:r w:rsidRPr="00A16126">
        <w:rPr>
          <w:rFonts w:cs="Arial" w:hint="cs"/>
          <w:sz w:val="16"/>
          <w:szCs w:val="16"/>
          <w:rtl/>
        </w:rPr>
        <w:t>(</w:t>
      </w:r>
      <w:r>
        <w:rPr>
          <w:rFonts w:cs="Arial" w:hint="cs"/>
          <w:sz w:val="16"/>
          <w:szCs w:val="16"/>
          <w:rtl/>
        </w:rPr>
        <w:t>א</w:t>
      </w:r>
      <w:r w:rsidRPr="00A16126">
        <w:rPr>
          <w:rFonts w:cs="Arial"/>
          <w:sz w:val="16"/>
          <w:szCs w:val="16"/>
          <w:rtl/>
        </w:rPr>
        <w:t>הא דקאמר שמע מינה כתובה נעשית מותר לחבירתה</w:t>
      </w:r>
      <w:r w:rsidRPr="00A16126">
        <w:rPr>
          <w:rFonts w:cs="Arial" w:hint="cs"/>
          <w:sz w:val="16"/>
          <w:szCs w:val="16"/>
          <w:rtl/>
        </w:rPr>
        <w:t>)</w:t>
      </w:r>
      <w:r>
        <w:rPr>
          <w:rFonts w:cs="Arial" w:hint="cs"/>
          <w:rtl/>
        </w:rPr>
        <w:t>-</w:t>
      </w:r>
      <w:r w:rsidRPr="008A1F1E">
        <w:rPr>
          <w:rFonts w:cs="Arial"/>
          <w:rtl/>
        </w:rPr>
        <w:t xml:space="preserve"> ואם לא היו שם נכסים אלא כשיעור כתובה הראשונה ופרעו מהם כתובת השנייה לא יטלו בני הראשונה המותר כיון דאי הוו שקלי כתובת אמן מעקרא נחלה דאורייתא כי לא היה שם מותר דינר</w:t>
      </w:r>
      <w:r>
        <w:rPr>
          <w:rFonts w:cs="Arial" w:hint="cs"/>
          <w:rtl/>
        </w:rPr>
        <w:t>,</w:t>
      </w:r>
      <w:r w:rsidRPr="008A1F1E">
        <w:rPr>
          <w:rFonts w:cs="Arial"/>
          <w:rtl/>
        </w:rPr>
        <w:t xml:space="preserve"> אף על פי שפרעו כתובת השנייה לית כאן כלל דין כתובת בנין דכרין כיון שלא היה שם מותר דינר יתר על כתובת אמן</w:t>
      </w:r>
      <w:r>
        <w:rPr>
          <w:rFonts w:cs="Arial" w:hint="cs"/>
          <w:rtl/>
        </w:rPr>
        <w:t>.</w:t>
      </w:r>
      <w:r w:rsidRPr="008A1F1E">
        <w:rPr>
          <w:rFonts w:cs="Arial"/>
          <w:rtl/>
        </w:rPr>
        <w:t xml:space="preserve"> וכן פירש רש"י בבעל חוב שיש שיעור ב' כתובות ומותר דינר</w:t>
      </w:r>
      <w:r>
        <w:rPr>
          <w:rFonts w:cs="Arial" w:hint="cs"/>
          <w:rtl/>
        </w:rPr>
        <w:t>,</w:t>
      </w:r>
      <w:r w:rsidRPr="008A1F1E">
        <w:rPr>
          <w:rFonts w:cs="Arial"/>
          <w:rtl/>
        </w:rPr>
        <w:t xml:space="preserve"> והוא משועבד לבעל חוב</w:t>
      </w:r>
      <w:r>
        <w:rPr>
          <w:rFonts w:cs="Arial" w:hint="cs"/>
          <w:rtl/>
        </w:rPr>
        <w:t>.</w:t>
      </w:r>
      <w:r w:rsidRPr="008A1F1E">
        <w:rPr>
          <w:rFonts w:cs="Arial"/>
          <w:rtl/>
        </w:rPr>
        <w:t xml:space="preserve"> אבל אם אין שם מותר דינר על ב' כתובות אף על פי שהם צריכים לפרוע חוב אביהם </w:t>
      </w:r>
      <w:r>
        <w:rPr>
          <w:rFonts w:cs="Arial" w:hint="cs"/>
          <w:rtl/>
        </w:rPr>
        <w:t xml:space="preserve">- </w:t>
      </w:r>
      <w:r w:rsidRPr="008A1F1E">
        <w:rPr>
          <w:rFonts w:cs="Arial"/>
          <w:rtl/>
        </w:rPr>
        <w:t>לא אמרינן הרי קיימו נחלה דאורייתא והמותר יחלקו ביניהם כל אחד כפי חלק המגיעו</w:t>
      </w:r>
      <w:r>
        <w:rPr>
          <w:rFonts w:cs="Arial" w:hint="cs"/>
          <w:rtl/>
        </w:rPr>
        <w:t>.</w:t>
      </w:r>
      <w:r w:rsidRPr="008A1F1E">
        <w:rPr>
          <w:rFonts w:cs="Arial"/>
          <w:rtl/>
        </w:rPr>
        <w:t xml:space="preserve"> והיינו טעמא כיון דבשעת מיתה לא היה שם מותר זכו מיד בני כתובה הקטנה לחלוק בשוה</w:t>
      </w:r>
      <w:r>
        <w:rPr>
          <w:rFonts w:cs="Arial" w:hint="cs"/>
          <w:rtl/>
        </w:rPr>
        <w:t>.</w:t>
      </w:r>
      <w:r w:rsidRPr="008A1F1E">
        <w:rPr>
          <w:rFonts w:cs="Arial"/>
          <w:rtl/>
        </w:rPr>
        <w:t xml:space="preserve"> וכשבא אח"כ בעל חוב לגבות חובו ה"ל כדבר שנתחדש אחר כך ביניהם</w:t>
      </w:r>
      <w:r>
        <w:rPr>
          <w:rFonts w:cs="Arial" w:hint="cs"/>
          <w:rtl/>
        </w:rPr>
        <w:t>,</w:t>
      </w:r>
      <w:r w:rsidRPr="008A1F1E">
        <w:rPr>
          <w:rFonts w:cs="Arial"/>
          <w:rtl/>
        </w:rPr>
        <w:t xml:space="preserve"> דהא קיי"ל בעל חוב מכאן ולהבא הוא גובה ואינו מבטל הזכות שזכו בני הקטנה מידי דהוה אמועטין ונתרבו</w:t>
      </w:r>
      <w:r>
        <w:rPr>
          <w:rFonts w:cs="Arial" w:hint="cs"/>
          <w:rtl/>
        </w:rPr>
        <w:t>.</w:t>
      </w:r>
    </w:p>
  </w:footnote>
  <w:footnote w:id="2439">
    <w:p w14:paraId="7010256A" w14:textId="25D77D69" w:rsidR="00392DBB" w:rsidRDefault="00392DBB" w:rsidP="00392DBB">
      <w:pPr>
        <w:pStyle w:val="a5"/>
      </w:pPr>
      <w:r>
        <w:rPr>
          <w:rStyle w:val="a7"/>
        </w:rPr>
        <w:footnoteRef/>
      </w:r>
      <w:r>
        <w:rPr>
          <w:rtl/>
        </w:rPr>
        <w:t xml:space="preserve"> </w:t>
      </w:r>
      <w:r>
        <w:rPr>
          <w:rFonts w:hint="cs"/>
          <w:rtl/>
        </w:rPr>
        <w:t xml:space="preserve">לא אמרינן הכי </w:t>
      </w:r>
      <w:r w:rsidRPr="008A1F1E">
        <w:rPr>
          <w:rFonts w:cs="Arial"/>
          <w:rtl/>
        </w:rPr>
        <w:t>כיון דאי הוו שקלי כתובת אמן מעקרא נחלה דאורייתא כי לא היה שם מותר דינר</w:t>
      </w:r>
      <w:r>
        <w:rPr>
          <w:rFonts w:cs="Arial" w:hint="cs"/>
          <w:rtl/>
        </w:rPr>
        <w:t>,</w:t>
      </w:r>
      <w:r w:rsidRPr="008A1F1E">
        <w:rPr>
          <w:rFonts w:cs="Arial"/>
          <w:rtl/>
        </w:rPr>
        <w:t xml:space="preserve"> אע</w:t>
      </w:r>
      <w:r w:rsidR="00A71CB6">
        <w:rPr>
          <w:rFonts w:cs="Arial" w:hint="cs"/>
          <w:rtl/>
        </w:rPr>
        <w:t>"</w:t>
      </w:r>
      <w:r w:rsidRPr="008A1F1E">
        <w:rPr>
          <w:rFonts w:cs="Arial"/>
          <w:rtl/>
        </w:rPr>
        <w:t>פ שפרעו כתובת השנייה לית כאן כלל דין כתובת בנין דכרין כיון שלא היה שם מותר דינר יתר על כתובת אמן</w:t>
      </w:r>
      <w:r>
        <w:rPr>
          <w:rFonts w:cs="Arial" w:hint="cs"/>
          <w:rtl/>
        </w:rPr>
        <w:t>, רא"ש (שם).</w:t>
      </w:r>
    </w:p>
  </w:footnote>
  <w:footnote w:id="2440">
    <w:p w14:paraId="367845B3" w14:textId="77777777" w:rsidR="00392DBB" w:rsidRDefault="00392DBB" w:rsidP="00392DBB">
      <w:pPr>
        <w:pStyle w:val="a5"/>
        <w:rPr>
          <w:rtl/>
        </w:rPr>
      </w:pPr>
      <w:r>
        <w:rPr>
          <w:rStyle w:val="a7"/>
        </w:rPr>
        <w:footnoteRef/>
      </w:r>
      <w:r>
        <w:rPr>
          <w:rtl/>
        </w:rPr>
        <w:t xml:space="preserve"> </w:t>
      </w:r>
      <w:r>
        <w:rPr>
          <w:rFonts w:hint="cs"/>
          <w:rtl/>
        </w:rPr>
        <w:t>כן הוא בדפוס ראשון, ובחלק מהמהדורות נשמטו חלק מהתיבות ('</w:t>
      </w:r>
      <w:r w:rsidRPr="002A3B3F">
        <w:rPr>
          <w:rFonts w:cs="Arial"/>
          <w:rtl/>
        </w:rPr>
        <w:t>כתובת בנין דכרין</w:t>
      </w:r>
      <w:r>
        <w:rPr>
          <w:rFonts w:cs="Arial" w:hint="cs"/>
          <w:rtl/>
        </w:rPr>
        <w:t>,</w:t>
      </w:r>
      <w:r w:rsidRPr="002A3B3F">
        <w:rPr>
          <w:rFonts w:cs="Arial"/>
          <w:rtl/>
        </w:rPr>
        <w:t xml:space="preserve"> אבל אם יש </w:t>
      </w:r>
      <w:r>
        <w:rPr>
          <w:rFonts w:cs="Arial" w:hint="cs"/>
          <w:rtl/>
        </w:rPr>
        <w:t xml:space="preserve">שם </w:t>
      </w:r>
      <w:r w:rsidRPr="002A3B3F">
        <w:rPr>
          <w:rFonts w:cs="Arial"/>
          <w:rtl/>
        </w:rPr>
        <w:t>מותר על</w:t>
      </w:r>
      <w:r>
        <w:rPr>
          <w:rFonts w:cs="Arial" w:hint="cs"/>
          <w:rtl/>
        </w:rPr>
        <w:t>')</w:t>
      </w:r>
      <w:r>
        <w:rPr>
          <w:rFonts w:hint="cs"/>
          <w:rtl/>
        </w:rPr>
        <w:t xml:space="preserve"> והשלימן הרמ"א (חוץ מתיבת 'שם').</w:t>
      </w:r>
    </w:p>
  </w:footnote>
  <w:footnote w:id="2441">
    <w:p w14:paraId="3F16B6F9" w14:textId="77777777" w:rsidR="00392DBB" w:rsidRDefault="00392DBB" w:rsidP="00392DBB">
      <w:pPr>
        <w:pStyle w:val="a5"/>
      </w:pPr>
      <w:r>
        <w:rPr>
          <w:rStyle w:val="a7"/>
        </w:rPr>
        <w:footnoteRef/>
      </w:r>
      <w:r>
        <w:rPr>
          <w:rtl/>
        </w:rPr>
        <w:t xml:space="preserve"> </w:t>
      </w:r>
      <w:r w:rsidRPr="00B03A65">
        <w:rPr>
          <w:rFonts w:cs="Arial"/>
          <w:rtl/>
        </w:rPr>
        <w:t>וזה כדעת הי"א בסעיף ז' וכבר כתבתי דבחנם כתב בלשון י"א דגם הרמב"ם הכי ס"ל וכמו שכתב המ"מ וכן משמע מדברי הרמב"ם שכתב בדין ז' בניה קודמין לירושת כתובתה מדקאמר קודמין משמע אף שלא ישאר לבני אחרת כתובת בנין דכרין במלואו</w:t>
      </w:r>
      <w:r>
        <w:rPr>
          <w:rFonts w:cs="Arial" w:hint="cs"/>
          <w:rtl/>
        </w:rPr>
        <w:t>, ח"מ (סקי"ד).</w:t>
      </w:r>
    </w:p>
  </w:footnote>
  <w:footnote w:id="2442">
    <w:p w14:paraId="65764B37" w14:textId="1E151D23" w:rsidR="00392DBB" w:rsidRDefault="00392DBB" w:rsidP="00392DBB">
      <w:pPr>
        <w:pStyle w:val="a5"/>
      </w:pPr>
      <w:r>
        <w:rPr>
          <w:rStyle w:val="a7"/>
        </w:rPr>
        <w:footnoteRef/>
      </w:r>
      <w:r>
        <w:rPr>
          <w:rtl/>
        </w:rPr>
        <w:t xml:space="preserve"> </w:t>
      </w:r>
      <w:r w:rsidR="0061020A">
        <w:rPr>
          <w:rFonts w:cs="Arial"/>
          <w:rtl/>
        </w:rPr>
        <w:t>וז"ל:</w:t>
      </w:r>
      <w:r w:rsidRPr="008A1F1E">
        <w:rPr>
          <w:rFonts w:cs="Arial"/>
          <w:rtl/>
        </w:rPr>
        <w:t xml:space="preserve"> כתב ר"ח ז"ל מסוגיא דהא שמעתא שמעינן דאם מתה גם זו שנשארה אחריו יש להם כתובת בנין דכרין לבני הראשונה אבל כד איתא בחיים לא אשכחן</w:t>
      </w:r>
      <w:r>
        <w:rPr>
          <w:rFonts w:cs="Arial" w:hint="cs"/>
          <w:rtl/>
        </w:rPr>
        <w:t>.</w:t>
      </w:r>
      <w:r w:rsidRPr="008A1F1E">
        <w:rPr>
          <w:rFonts w:cs="Arial"/>
          <w:rtl/>
        </w:rPr>
        <w:t xml:space="preserve"> ויש מן הגאונים שאמרו כן בתשובותיהם</w:t>
      </w:r>
      <w:r>
        <w:rPr>
          <w:rFonts w:cs="Arial" w:hint="cs"/>
          <w:rtl/>
        </w:rPr>
        <w:t>,</w:t>
      </w:r>
      <w:r w:rsidRPr="008A1F1E">
        <w:rPr>
          <w:rFonts w:cs="Arial"/>
          <w:rtl/>
        </w:rPr>
        <w:t xml:space="preserve"> וטעמא דמילתא משום דאינצוי כי האי ודאי חיישינן</w:t>
      </w:r>
      <w:r>
        <w:rPr>
          <w:rFonts w:cs="Arial" w:hint="cs"/>
          <w:rtl/>
        </w:rPr>
        <w:t>,</w:t>
      </w:r>
      <w:r w:rsidRPr="008A1F1E">
        <w:rPr>
          <w:rFonts w:cs="Arial"/>
          <w:rtl/>
        </w:rPr>
        <w:t xml:space="preserve"> לפי שאין בני השנייה נוטלין כלום אלא אמן</w:t>
      </w:r>
      <w:r>
        <w:rPr>
          <w:rFonts w:cs="Arial" w:hint="cs"/>
          <w:rtl/>
        </w:rPr>
        <w:t>,</w:t>
      </w:r>
      <w:r w:rsidRPr="008A1F1E">
        <w:rPr>
          <w:rFonts w:cs="Arial"/>
          <w:rtl/>
        </w:rPr>
        <w:t xml:space="preserve"> ובני הראשונה נוטלין כל הנכסים</w:t>
      </w:r>
      <w:r>
        <w:rPr>
          <w:rFonts w:cs="Arial" w:hint="cs"/>
          <w:rtl/>
        </w:rPr>
        <w:t>,</w:t>
      </w:r>
      <w:r w:rsidRPr="008A1F1E">
        <w:rPr>
          <w:rFonts w:cs="Arial"/>
          <w:rtl/>
        </w:rPr>
        <w:t xml:space="preserve"> והם יוצאים נקיים מהם לגמרי</w:t>
      </w:r>
      <w:r>
        <w:rPr>
          <w:rFonts w:cs="Arial" w:hint="cs"/>
          <w:rtl/>
        </w:rPr>
        <w:t>.</w:t>
      </w:r>
      <w:r w:rsidRPr="008A1F1E">
        <w:rPr>
          <w:rFonts w:cs="Arial"/>
          <w:rtl/>
        </w:rPr>
        <w:t xml:space="preserve"> ויש מהגאונים שאמרו שאף בחיי השנייה נוטלין</w:t>
      </w:r>
      <w:r>
        <w:rPr>
          <w:rFonts w:cs="Arial" w:hint="cs"/>
          <w:rtl/>
        </w:rPr>
        <w:t>,</w:t>
      </w:r>
      <w:r w:rsidRPr="008A1F1E">
        <w:rPr>
          <w:rFonts w:cs="Arial"/>
          <w:rtl/>
        </w:rPr>
        <w:t xml:space="preserve"> ודייקי מדקתני מתניתין (צ.) שנייה ויורשיה קודמין</w:t>
      </w:r>
      <w:r>
        <w:rPr>
          <w:rFonts w:cs="Arial" w:hint="cs"/>
          <w:rtl/>
        </w:rPr>
        <w:t>.</w:t>
      </w:r>
      <w:r w:rsidRPr="008A1F1E">
        <w:rPr>
          <w:rFonts w:cs="Arial"/>
          <w:rtl/>
        </w:rPr>
        <w:t xml:space="preserve"> וכי היכי דדייקינן (שם:) על יורשיה מקדם הוא דקדמי הא איכא שקלי הכי נמי דייקינן בשניה מקדם הוא דקדמה הא איכא שקלי</w:t>
      </w:r>
      <w:r>
        <w:rPr>
          <w:rFonts w:cs="Arial" w:hint="cs"/>
          <w:rtl/>
        </w:rPr>
        <w:t>.</w:t>
      </w:r>
      <w:r w:rsidRPr="008A1F1E">
        <w:rPr>
          <w:rFonts w:cs="Arial"/>
          <w:rtl/>
        </w:rPr>
        <w:t xml:space="preserve"> וכן מסתבר</w:t>
      </w:r>
      <w:r>
        <w:rPr>
          <w:rFonts w:cs="Arial" w:hint="cs"/>
          <w:rtl/>
        </w:rPr>
        <w:t>,</w:t>
      </w:r>
      <w:r w:rsidRPr="008A1F1E">
        <w:rPr>
          <w:rFonts w:cs="Arial"/>
          <w:rtl/>
        </w:rPr>
        <w:t xml:space="preserve"> דאם איתא דבחייה לית להו לבני הראשונה גם אחרי מותה נמי לית להו דכבר זכו בהם בני השנייה בנכסים כי היכי דאמרינן במועטים ונתרבו</w:t>
      </w:r>
      <w:r>
        <w:rPr>
          <w:rFonts w:cs="Arial" w:hint="cs"/>
          <w:rtl/>
        </w:rPr>
        <w:t>.</w:t>
      </w:r>
    </w:p>
  </w:footnote>
  <w:footnote w:id="2443">
    <w:p w14:paraId="0630783E" w14:textId="77777777" w:rsidR="00392DBB" w:rsidRDefault="00392DBB" w:rsidP="00392DBB">
      <w:pPr>
        <w:pStyle w:val="a5"/>
      </w:pPr>
      <w:r>
        <w:rPr>
          <w:rStyle w:val="a7"/>
        </w:rPr>
        <w:footnoteRef/>
      </w:r>
      <w:r>
        <w:rPr>
          <w:rtl/>
        </w:rPr>
        <w:t xml:space="preserve"> </w:t>
      </w:r>
      <w:r w:rsidRPr="008A1F1E">
        <w:rPr>
          <w:rFonts w:cs="Arial"/>
          <w:rtl/>
        </w:rPr>
        <w:t>וכדבריו כתב הר"ן ז"ל (מט: דיבור ראשון)</w:t>
      </w:r>
      <w:r>
        <w:rPr>
          <w:rFonts w:cs="Arial" w:hint="cs"/>
          <w:rtl/>
        </w:rPr>
        <w:t>.</w:t>
      </w:r>
      <w:r w:rsidRPr="008A1F1E">
        <w:rPr>
          <w:rFonts w:cs="Arial"/>
          <w:rtl/>
        </w:rPr>
        <w:t xml:space="preserve"> וכתב הרב המגיד בפי"ט מהלכות אישות (ה"ז) שכן עיקר</w:t>
      </w:r>
      <w:r>
        <w:rPr>
          <w:rFonts w:cs="Arial" w:hint="cs"/>
          <w:rtl/>
        </w:rPr>
        <w:t>,</w:t>
      </w:r>
      <w:r w:rsidRPr="008A1F1E">
        <w:rPr>
          <w:rFonts w:cs="Arial"/>
          <w:rtl/>
        </w:rPr>
        <w:t xml:space="preserve"> ושכן העלו הרמב"ן (צ: ד"ה והא) ורשב"א ז"ל</w:t>
      </w:r>
      <w:r>
        <w:rPr>
          <w:rFonts w:cs="Arial" w:hint="cs"/>
          <w:rtl/>
        </w:rPr>
        <w:t>.</w:t>
      </w:r>
      <w:r w:rsidRPr="008A1F1E">
        <w:rPr>
          <w:rFonts w:cs="Arial"/>
          <w:rtl/>
        </w:rPr>
        <w:t xml:space="preserve"> ושלא כדברי המרדכי שכתב בפרק מי שהיה נשוי (סי' רלה) בשם הר"ם דכיון דאיכא פלוגתא דרבוותא לא עבדינן בה עובדא. </w:t>
      </w:r>
      <w:r>
        <w:rPr>
          <w:rFonts w:cs="Arial" w:hint="cs"/>
          <w:rtl/>
        </w:rPr>
        <w:t xml:space="preserve">ועוד </w:t>
      </w:r>
      <w:r w:rsidRPr="008A1F1E">
        <w:rPr>
          <w:rFonts w:cs="Arial"/>
          <w:rtl/>
        </w:rPr>
        <w:t>כתבו הר"ן (שם ד"ה כתובה) והרב המגיד (שם) שיש מי שאומר דנהי דכתובה נעשית מותר לחבירתה אין בני הראשונה נוטלין כלום אלא כשהנכסים מספיקים לשתי הכתובות ושהכריע הרשב"א שאין זה כלום</w:t>
      </w:r>
      <w:r>
        <w:rPr>
          <w:rFonts w:cs="Arial" w:hint="cs"/>
          <w:rtl/>
        </w:rPr>
        <w:t>, ב"י.</w:t>
      </w:r>
    </w:p>
  </w:footnote>
  <w:footnote w:id="2444">
    <w:p w14:paraId="0C818E49" w14:textId="77777777" w:rsidR="00392DBB" w:rsidRDefault="00392DBB" w:rsidP="00392DBB">
      <w:pPr>
        <w:pStyle w:val="a5"/>
        <w:rPr>
          <w:rtl/>
        </w:rPr>
      </w:pPr>
      <w:r>
        <w:rPr>
          <w:rStyle w:val="a7"/>
        </w:rPr>
        <w:footnoteRef/>
      </w:r>
      <w:r>
        <w:rPr>
          <w:rtl/>
        </w:rPr>
        <w:t xml:space="preserve"> </w:t>
      </w:r>
      <w:r w:rsidRPr="009F2A14">
        <w:rPr>
          <w:rtl/>
        </w:rPr>
        <w:t>ודברים ברורים הם</w:t>
      </w:r>
      <w:r>
        <w:rPr>
          <w:rFonts w:hint="cs"/>
          <w:rtl/>
        </w:rPr>
        <w:t>, ב"י.</w:t>
      </w:r>
      <w:r w:rsidRPr="009F2A14">
        <w:rPr>
          <w:rtl/>
        </w:rPr>
        <w:t xml:space="preserve"> </w:t>
      </w:r>
    </w:p>
  </w:footnote>
  <w:footnote w:id="2445">
    <w:p w14:paraId="613C3CFE" w14:textId="77777777" w:rsidR="00392DBB" w:rsidRDefault="00392DBB" w:rsidP="00392DBB">
      <w:pPr>
        <w:pStyle w:val="a5"/>
        <w:rPr>
          <w:rtl/>
        </w:rPr>
      </w:pPr>
      <w:r>
        <w:rPr>
          <w:rStyle w:val="a7"/>
        </w:rPr>
        <w:footnoteRef/>
      </w:r>
      <w:r>
        <w:rPr>
          <w:rtl/>
        </w:rPr>
        <w:t xml:space="preserve"> </w:t>
      </w:r>
      <w:r w:rsidRPr="00A26819">
        <w:rPr>
          <w:rFonts w:cs="Arial"/>
          <w:rtl/>
        </w:rPr>
        <w:t>דלא תקנו כב"ד רק כשהבעל יורש אשתו ולא כשמת הוא בחייה אף שלא נשבעה על כתובתה וגם היא נחשדת שלקחה צררי</w:t>
      </w:r>
      <w:r>
        <w:rPr>
          <w:rFonts w:hint="cs"/>
          <w:rtl/>
        </w:rPr>
        <w:t>, ח"מ (סקט"ז).</w:t>
      </w:r>
    </w:p>
  </w:footnote>
  <w:footnote w:id="2446">
    <w:p w14:paraId="5EFCB822" w14:textId="77777777" w:rsidR="00392DBB" w:rsidRDefault="00392DBB" w:rsidP="00392DBB">
      <w:pPr>
        <w:pStyle w:val="a5"/>
      </w:pPr>
      <w:r>
        <w:rPr>
          <w:rStyle w:val="a7"/>
        </w:rPr>
        <w:footnoteRef/>
      </w:r>
      <w:r>
        <w:rPr>
          <w:rtl/>
        </w:rPr>
        <w:t xml:space="preserve"> </w:t>
      </w:r>
      <w:r w:rsidRPr="003500E9">
        <w:rPr>
          <w:rFonts w:cs="Arial"/>
          <w:rtl/>
        </w:rPr>
        <w:t>בחייו נשא שניה ומת הוא ויורשי הראשונה באין ותובעין כתובת בנין דכרין כמו ששנינו (נב:) בנין דכרין דיהויין ליכי מינאי כו' או רוצים לחלוק ירושת אביהם</w:t>
      </w:r>
      <w:r>
        <w:rPr>
          <w:rFonts w:cs="Arial" w:hint="cs"/>
          <w:rtl/>
        </w:rPr>
        <w:t>, רש"י.</w:t>
      </w:r>
    </w:p>
  </w:footnote>
  <w:footnote w:id="2447">
    <w:p w14:paraId="2030E4B8" w14:textId="77777777" w:rsidR="00392DBB" w:rsidRDefault="00392DBB" w:rsidP="00392DBB">
      <w:pPr>
        <w:pStyle w:val="a5"/>
        <w:rPr>
          <w:rtl/>
        </w:rPr>
      </w:pPr>
      <w:r>
        <w:rPr>
          <w:rStyle w:val="a7"/>
        </w:rPr>
        <w:footnoteRef/>
      </w:r>
      <w:r>
        <w:rPr>
          <w:rtl/>
        </w:rPr>
        <w:t xml:space="preserve"> </w:t>
      </w:r>
      <w:r w:rsidRPr="003500E9">
        <w:rPr>
          <w:rFonts w:cs="Arial"/>
          <w:rtl/>
        </w:rPr>
        <w:t>שהיא בעלת חוב אבל ראשונים באין לירש את אביהן דהא אינון ירתון תנן לפיכך פורעין את החוב תחילה והשאר ירושה</w:t>
      </w:r>
      <w:r>
        <w:rPr>
          <w:rFonts w:hint="cs"/>
          <w:rtl/>
        </w:rPr>
        <w:t>, רש"י.</w:t>
      </w:r>
    </w:p>
  </w:footnote>
  <w:footnote w:id="2448">
    <w:p w14:paraId="0EC31DB2" w14:textId="77777777" w:rsidR="00392DBB" w:rsidRDefault="00392DBB" w:rsidP="00392DBB">
      <w:pPr>
        <w:pStyle w:val="a5"/>
        <w:rPr>
          <w:rtl/>
        </w:rPr>
      </w:pPr>
      <w:r>
        <w:rPr>
          <w:rStyle w:val="a7"/>
        </w:rPr>
        <w:footnoteRef/>
      </w:r>
      <w:r>
        <w:rPr>
          <w:rtl/>
        </w:rPr>
        <w:t xml:space="preserve"> </w:t>
      </w:r>
      <w:r w:rsidRPr="00A030DB">
        <w:rPr>
          <w:rFonts w:cs="Arial"/>
          <w:rtl/>
        </w:rPr>
        <w:t xml:space="preserve">דלא תימא </w:t>
      </w:r>
      <w:r>
        <w:rPr>
          <w:rFonts w:cs="Arial" w:hint="cs"/>
          <w:rtl/>
        </w:rPr>
        <w:t>'</w:t>
      </w:r>
      <w:r w:rsidRPr="00A030DB">
        <w:rPr>
          <w:rFonts w:cs="Arial"/>
          <w:rtl/>
        </w:rPr>
        <w:t>יתבון</w:t>
      </w:r>
      <w:r>
        <w:rPr>
          <w:rFonts w:cs="Arial" w:hint="cs"/>
          <w:rtl/>
        </w:rPr>
        <w:t>'</w:t>
      </w:r>
      <w:r w:rsidRPr="00A030DB">
        <w:rPr>
          <w:rFonts w:cs="Arial"/>
          <w:rtl/>
        </w:rPr>
        <w:t xml:space="preserve"> תנן</w:t>
      </w:r>
      <w:r>
        <w:rPr>
          <w:rFonts w:cs="Arial" w:hint="cs"/>
          <w:rtl/>
        </w:rPr>
        <w:t>,</w:t>
      </w:r>
      <w:r w:rsidRPr="00A030DB">
        <w:rPr>
          <w:rFonts w:cs="Arial"/>
          <w:rtl/>
        </w:rPr>
        <w:t xml:space="preserve"> ובעל חוב הוו</w:t>
      </w:r>
      <w:r>
        <w:rPr>
          <w:rFonts w:cs="Arial" w:hint="cs"/>
          <w:rtl/>
        </w:rPr>
        <w:t>,</w:t>
      </w:r>
      <w:r w:rsidRPr="00A030DB">
        <w:rPr>
          <w:rFonts w:cs="Arial"/>
          <w:rtl/>
        </w:rPr>
        <w:t xml:space="preserve"> ושעבודם קודם</w:t>
      </w:r>
      <w:r>
        <w:rPr>
          <w:rFonts w:cs="Arial" w:hint="cs"/>
          <w:rtl/>
        </w:rPr>
        <w:t>,</w:t>
      </w:r>
      <w:r w:rsidRPr="00A030DB">
        <w:rPr>
          <w:rFonts w:cs="Arial"/>
          <w:rtl/>
        </w:rPr>
        <w:t xml:space="preserve"> ויטרפו מבני השניה שהן בעלי חובות מאוחרין</w:t>
      </w:r>
      <w:r>
        <w:rPr>
          <w:rFonts w:cs="Arial" w:hint="cs"/>
          <w:rtl/>
        </w:rPr>
        <w:t>.</w:t>
      </w:r>
      <w:r w:rsidRPr="00A030DB">
        <w:rPr>
          <w:rFonts w:cs="Arial"/>
          <w:rtl/>
        </w:rPr>
        <w:t xml:space="preserve"> אלא יורשין הן</w:t>
      </w:r>
      <w:r>
        <w:rPr>
          <w:rFonts w:cs="Arial" w:hint="cs"/>
          <w:rtl/>
        </w:rPr>
        <w:t>,</w:t>
      </w:r>
      <w:r w:rsidRPr="00A030DB">
        <w:rPr>
          <w:rFonts w:cs="Arial"/>
          <w:rtl/>
        </w:rPr>
        <w:t xml:space="preserve"> </w:t>
      </w:r>
      <w:r>
        <w:rPr>
          <w:rFonts w:cs="Arial" w:hint="cs"/>
          <w:rtl/>
        </w:rPr>
        <w:t>'</w:t>
      </w:r>
      <w:r w:rsidRPr="00A030DB">
        <w:rPr>
          <w:rFonts w:cs="Arial"/>
          <w:rtl/>
        </w:rPr>
        <w:t>וירתון</w:t>
      </w:r>
      <w:r>
        <w:rPr>
          <w:rFonts w:cs="Arial" w:hint="cs"/>
          <w:rtl/>
        </w:rPr>
        <w:t>'</w:t>
      </w:r>
      <w:r w:rsidRPr="00A030DB">
        <w:rPr>
          <w:rFonts w:cs="Arial"/>
          <w:rtl/>
        </w:rPr>
        <w:t xml:space="preserve"> תנן</w:t>
      </w:r>
      <w:r>
        <w:rPr>
          <w:rFonts w:cs="Arial" w:hint="cs"/>
          <w:rtl/>
        </w:rPr>
        <w:t>,</w:t>
      </w:r>
      <w:r w:rsidRPr="00A030DB">
        <w:rPr>
          <w:rFonts w:cs="Arial"/>
          <w:rtl/>
        </w:rPr>
        <w:t xml:space="preserve"> ולא גבו ממשעבדי</w:t>
      </w:r>
      <w:r>
        <w:rPr>
          <w:rFonts w:hint="cs"/>
          <w:rtl/>
        </w:rPr>
        <w:t>, רש"י.</w:t>
      </w:r>
    </w:p>
  </w:footnote>
  <w:footnote w:id="2449">
    <w:p w14:paraId="6E56E7A4" w14:textId="77777777" w:rsidR="00392DBB" w:rsidRDefault="00392DBB" w:rsidP="00392DBB">
      <w:pPr>
        <w:pStyle w:val="a5"/>
      </w:pPr>
      <w:r>
        <w:rPr>
          <w:rStyle w:val="a7"/>
        </w:rPr>
        <w:footnoteRef/>
      </w:r>
      <w:r>
        <w:rPr>
          <w:rtl/>
        </w:rPr>
        <w:t xml:space="preserve"> </w:t>
      </w:r>
      <w:r w:rsidRPr="008A1F1E">
        <w:rPr>
          <w:rFonts w:cs="Arial"/>
          <w:rtl/>
        </w:rPr>
        <w:t>ומשמע מדברי המרדכי דממתנת שכיב מרע נגבית כתובת בנין דכרין וכן הוא ברמב"ם פי"ט דאישות (הי"ג) וכ"כ ב"י (סוף הסי') בשם הרשב"ץ והריב"ש דכתובת בנין דכרין קודמת למתנת שכיב מרע וגביא מהן</w:t>
      </w:r>
      <w:r>
        <w:rPr>
          <w:rFonts w:hint="cs"/>
          <w:rtl/>
        </w:rPr>
        <w:t>, דרכ"מ (אות א).</w:t>
      </w:r>
    </w:p>
  </w:footnote>
  <w:footnote w:id="2450">
    <w:p w14:paraId="17015E57" w14:textId="63FDDD25" w:rsidR="00392DBB" w:rsidRDefault="00392DBB" w:rsidP="00392DBB">
      <w:pPr>
        <w:pStyle w:val="a5"/>
        <w:rPr>
          <w:rtl/>
        </w:rPr>
      </w:pPr>
      <w:r>
        <w:rPr>
          <w:rStyle w:val="a7"/>
        </w:rPr>
        <w:footnoteRef/>
      </w:r>
      <w:r>
        <w:rPr>
          <w:rtl/>
        </w:rPr>
        <w:t xml:space="preserve"> </w:t>
      </w:r>
      <w:r w:rsidRPr="008A1F1E">
        <w:rPr>
          <w:rFonts w:cs="Arial"/>
          <w:rtl/>
        </w:rPr>
        <w:t>וע"ל סימן ק' (אות יא) תשובת מוהר"ם שכתב להפך</w:t>
      </w:r>
      <w:r>
        <w:rPr>
          <w:rFonts w:cs="Arial" w:hint="cs"/>
          <w:rtl/>
        </w:rPr>
        <w:t>, דרכ"מ (אות א). וז"ל שם בשם מ</w:t>
      </w:r>
      <w:r w:rsidRPr="00F02E86">
        <w:rPr>
          <w:rFonts w:cs="Arial"/>
          <w:rtl/>
        </w:rPr>
        <w:t xml:space="preserve">הר"ם </w:t>
      </w:r>
      <w:r w:rsidRPr="00707E37">
        <w:rPr>
          <w:rFonts w:cs="Arial"/>
          <w:sz w:val="16"/>
          <w:szCs w:val="16"/>
          <w:rtl/>
        </w:rPr>
        <w:t>(עי' שו"ת ד"ק סי' קצב, ד"ב סי' מ</w:t>
      </w:r>
      <w:r w:rsidRPr="00707E37">
        <w:rPr>
          <w:rFonts w:cs="Arial" w:hint="cs"/>
          <w:sz w:val="16"/>
          <w:szCs w:val="16"/>
          <w:rtl/>
        </w:rPr>
        <w:t>, כ"כ בשמו המרדכי [</w:t>
      </w:r>
      <w:r>
        <w:rPr>
          <w:rFonts w:cs="Arial" w:hint="cs"/>
          <w:sz w:val="16"/>
          <w:szCs w:val="16"/>
          <w:rtl/>
        </w:rPr>
        <w:t xml:space="preserve">פ' נערה </w:t>
      </w:r>
      <w:r w:rsidRPr="00707E37">
        <w:rPr>
          <w:rFonts w:cs="Arial" w:hint="cs"/>
          <w:sz w:val="16"/>
          <w:szCs w:val="16"/>
          <w:rtl/>
        </w:rPr>
        <w:t>סי' קסא]</w:t>
      </w:r>
      <w:r w:rsidRPr="00707E37">
        <w:rPr>
          <w:rFonts w:cs="Arial"/>
          <w:sz w:val="16"/>
          <w:szCs w:val="16"/>
          <w:rtl/>
        </w:rPr>
        <w:t>)</w:t>
      </w:r>
      <w:r>
        <w:rPr>
          <w:rFonts w:cs="Arial" w:hint="cs"/>
          <w:rtl/>
        </w:rPr>
        <w:t>-</w:t>
      </w:r>
      <w:r w:rsidRPr="00F02E86">
        <w:rPr>
          <w:rFonts w:cs="Arial"/>
          <w:rtl/>
        </w:rPr>
        <w:t xml:space="preserve"> הנותן מתנה לבנו הראוי ליורשו במתנת בריא לא הוי מתנה להפקיע מידי כתובה דכל מתנה שאדם נותן ליורשיו הוי כמו ירושה בעלמא</w:t>
      </w:r>
      <w:r>
        <w:rPr>
          <w:rFonts w:cs="Arial" w:hint="cs"/>
          <w:rtl/>
        </w:rPr>
        <w:t>. עכ"ל.</w:t>
      </w:r>
      <w:r w:rsidRPr="00F02E86">
        <w:rPr>
          <w:rFonts w:cs="Arial"/>
          <w:rtl/>
        </w:rPr>
        <w:t xml:space="preserve"> </w:t>
      </w:r>
      <w:r w:rsidRPr="0020731C">
        <w:rPr>
          <w:rFonts w:hint="cs"/>
          <w:color w:val="00B0F0"/>
          <w:rtl/>
        </w:rPr>
        <w:t>(וכ"</w:t>
      </w:r>
      <w:r>
        <w:rPr>
          <w:rFonts w:hint="cs"/>
          <w:color w:val="00B0F0"/>
          <w:rtl/>
        </w:rPr>
        <w:t>כ</w:t>
      </w:r>
      <w:r w:rsidRPr="0020731C">
        <w:rPr>
          <w:rFonts w:hint="cs"/>
          <w:color w:val="00B0F0"/>
          <w:rtl/>
        </w:rPr>
        <w:t xml:space="preserve"> הרמ"א</w:t>
      </w:r>
      <w:r>
        <w:rPr>
          <w:rFonts w:hint="cs"/>
          <w:color w:val="00B0F0"/>
          <w:sz w:val="16"/>
          <w:szCs w:val="16"/>
          <w:rtl/>
        </w:rPr>
        <w:t xml:space="preserve"> </w:t>
      </w:r>
      <w:r w:rsidRPr="00D60E4D">
        <w:rPr>
          <w:rFonts w:hint="cs"/>
          <w:sz w:val="16"/>
          <w:szCs w:val="16"/>
          <w:rtl/>
        </w:rPr>
        <w:t>[סי' ק ס"א]</w:t>
      </w:r>
      <w:r w:rsidRPr="0020731C">
        <w:rPr>
          <w:rFonts w:hint="cs"/>
          <w:color w:val="00B0F0"/>
          <w:rtl/>
        </w:rPr>
        <w:t>)</w:t>
      </w:r>
      <w:r>
        <w:rPr>
          <w:rFonts w:cs="Arial" w:hint="cs"/>
          <w:color w:val="000000" w:themeColor="text1"/>
          <w:rtl/>
        </w:rPr>
        <w:t xml:space="preserve">. </w:t>
      </w:r>
      <w:r w:rsidR="00BC6CA5">
        <w:rPr>
          <w:rFonts w:cs="Arial" w:hint="cs"/>
          <w:color w:val="000000" w:themeColor="text1"/>
          <w:rtl/>
        </w:rPr>
        <w:t xml:space="preserve">     </w:t>
      </w:r>
      <w:r w:rsidRPr="00BC6CA5">
        <w:rPr>
          <w:rFonts w:cs="Arial" w:hint="cs"/>
          <w:color w:val="000000" w:themeColor="text1"/>
          <w:rtl/>
        </w:rPr>
        <w:t>וצל"ע מדוע כתב הדרכ"מ שתשובה זו בהפך למה שכתב המרדכי כאן, והרי אפשר לחלק ששם מדובר בנתן 'לבנו הראוי ליורשו', וכאן לחתנו (ואינו ראוי ליורשו), ולכן אין זה כירושה, וצל"ע. ועוד שהרי הדרכ"מ כתב שם כעין זה בפירוש, וז"ל (שם)</w:t>
      </w:r>
      <w:r w:rsidR="00BC6CA5" w:rsidRPr="00BC6CA5">
        <w:rPr>
          <w:rFonts w:cs="Arial" w:hint="cs"/>
          <w:color w:val="000000" w:themeColor="text1"/>
          <w:rtl/>
        </w:rPr>
        <w:t>:</w:t>
      </w:r>
      <w:r w:rsidRPr="00BC6CA5">
        <w:rPr>
          <w:rFonts w:cs="Arial"/>
          <w:color w:val="000000" w:themeColor="text1"/>
          <w:rtl/>
        </w:rPr>
        <w:t xml:space="preserve"> וכן הוא בהגה</w:t>
      </w:r>
      <w:r w:rsidRPr="00BC6CA5">
        <w:rPr>
          <w:rFonts w:cs="Arial" w:hint="cs"/>
          <w:color w:val="000000" w:themeColor="text1"/>
          <w:rtl/>
        </w:rPr>
        <w:t>"</w:t>
      </w:r>
      <w:r w:rsidRPr="00BC6CA5">
        <w:rPr>
          <w:rFonts w:cs="Arial"/>
          <w:color w:val="000000" w:themeColor="text1"/>
          <w:rtl/>
        </w:rPr>
        <w:t>מ פי"ו דאישות (אות ד) דאין מתנת בריא מפקיע מידי כתובה אלא בנתן לאחר אבל לא ליורשיו</w:t>
      </w:r>
      <w:r w:rsidRPr="00BC6CA5">
        <w:rPr>
          <w:rFonts w:cs="Arial" w:hint="cs"/>
          <w:color w:val="000000" w:themeColor="text1"/>
          <w:rtl/>
        </w:rPr>
        <w:t>.</w:t>
      </w:r>
      <w:r w:rsidRPr="00BC6CA5">
        <w:rPr>
          <w:rFonts w:cs="Arial"/>
          <w:color w:val="000000" w:themeColor="text1"/>
          <w:rtl/>
        </w:rPr>
        <w:t xml:space="preserve"> וכ"כ מהרא"י </w:t>
      </w:r>
      <w:r w:rsidRPr="00BC6CA5">
        <w:rPr>
          <w:rFonts w:cs="Arial" w:hint="cs"/>
          <w:color w:val="000000" w:themeColor="text1"/>
          <w:rtl/>
        </w:rPr>
        <w:t>(</w:t>
      </w:r>
      <w:r w:rsidRPr="00BC6CA5">
        <w:rPr>
          <w:rFonts w:cs="Arial"/>
          <w:color w:val="000000" w:themeColor="text1"/>
          <w:rtl/>
        </w:rPr>
        <w:t>סי' פו</w:t>
      </w:r>
      <w:r w:rsidRPr="00BC6CA5">
        <w:rPr>
          <w:rFonts w:cs="Arial" w:hint="cs"/>
          <w:color w:val="000000" w:themeColor="text1"/>
          <w:rtl/>
        </w:rPr>
        <w:t>).</w:t>
      </w:r>
      <w:r w:rsidRPr="00BC6CA5">
        <w:rPr>
          <w:rFonts w:cs="Arial"/>
          <w:color w:val="000000" w:themeColor="text1"/>
          <w:rtl/>
        </w:rPr>
        <w:t xml:space="preserve"> וכ"כ מהרי"ו </w:t>
      </w:r>
      <w:r w:rsidRPr="00BC6CA5">
        <w:rPr>
          <w:rFonts w:cs="Arial" w:hint="cs"/>
          <w:color w:val="000000" w:themeColor="text1"/>
          <w:rtl/>
        </w:rPr>
        <w:t>(</w:t>
      </w:r>
      <w:r w:rsidRPr="00BC6CA5">
        <w:rPr>
          <w:rFonts w:cs="Arial"/>
          <w:color w:val="000000" w:themeColor="text1"/>
          <w:rtl/>
        </w:rPr>
        <w:t>בתשובה סי</w:t>
      </w:r>
      <w:r w:rsidRPr="00BC6CA5">
        <w:rPr>
          <w:rFonts w:cs="Arial" w:hint="cs"/>
          <w:color w:val="000000" w:themeColor="text1"/>
          <w:rtl/>
        </w:rPr>
        <w:t xml:space="preserve">' </w:t>
      </w:r>
      <w:r w:rsidRPr="00BC6CA5">
        <w:rPr>
          <w:rFonts w:cs="Arial"/>
          <w:color w:val="000000" w:themeColor="text1"/>
          <w:rtl/>
        </w:rPr>
        <w:t>קנו</w:t>
      </w:r>
      <w:r w:rsidRPr="00BC6CA5">
        <w:rPr>
          <w:rFonts w:cs="Arial" w:hint="cs"/>
          <w:color w:val="000000" w:themeColor="text1"/>
          <w:rtl/>
        </w:rPr>
        <w:t>)</w:t>
      </w:r>
      <w:r w:rsidRPr="00BC6CA5">
        <w:rPr>
          <w:rFonts w:hint="cs"/>
          <w:color w:val="000000" w:themeColor="text1"/>
          <w:rtl/>
        </w:rPr>
        <w:t xml:space="preserve">. עכ"ל הדרכ"מ שם. ועיין בדברי הב"י (בבדה"ב) שמובאים </w:t>
      </w:r>
      <w:r>
        <w:rPr>
          <w:rFonts w:hint="cs"/>
          <w:rtl/>
        </w:rPr>
        <w:t>בסוף הסימן (סע' יז).</w:t>
      </w:r>
    </w:p>
  </w:footnote>
  <w:footnote w:id="2451">
    <w:p w14:paraId="2A8CE87A" w14:textId="3F5E76C3" w:rsidR="00392DBB" w:rsidRDefault="00392DBB" w:rsidP="00392DBB">
      <w:pPr>
        <w:pStyle w:val="a5"/>
        <w:rPr>
          <w:rtl/>
        </w:rPr>
      </w:pPr>
      <w:r>
        <w:rPr>
          <w:rStyle w:val="a7"/>
        </w:rPr>
        <w:footnoteRef/>
      </w:r>
      <w:r>
        <w:rPr>
          <w:rtl/>
        </w:rPr>
        <w:t xml:space="preserve"> </w:t>
      </w:r>
      <w:r>
        <w:rPr>
          <w:rFonts w:hint="cs"/>
          <w:rtl/>
        </w:rPr>
        <w:t xml:space="preserve">סימן </w:t>
      </w:r>
      <w:r w:rsidR="00F97626">
        <w:rPr>
          <w:rtl/>
        </w:rPr>
        <w:t>-</w:t>
      </w:r>
      <w:r>
        <w:rPr>
          <w:rFonts w:hint="cs"/>
          <w:rtl/>
        </w:rPr>
        <w:t xml:space="preserve"> צוואת אמן.</w:t>
      </w:r>
    </w:p>
  </w:footnote>
  <w:footnote w:id="2452">
    <w:p w14:paraId="7ABF64FC" w14:textId="77777777" w:rsidR="00392DBB" w:rsidRDefault="00392DBB" w:rsidP="00392DBB">
      <w:pPr>
        <w:pStyle w:val="a5"/>
      </w:pPr>
      <w:r>
        <w:rPr>
          <w:rStyle w:val="a7"/>
        </w:rPr>
        <w:footnoteRef/>
      </w:r>
      <w:r>
        <w:rPr>
          <w:rtl/>
        </w:rPr>
        <w:t xml:space="preserve"> </w:t>
      </w:r>
      <w:r w:rsidRPr="00D878AF">
        <w:rPr>
          <w:rFonts w:cs="Arial"/>
          <w:rtl/>
        </w:rPr>
        <w:t>שכתובת אמם מרובה משל חברתה ואומרים בניה כתובת בנין דכרין נטול וכן אתם והשאר נחלוק</w:t>
      </w:r>
      <w:r>
        <w:rPr>
          <w:rFonts w:cs="Arial" w:hint="cs"/>
          <w:rtl/>
        </w:rPr>
        <w:t>, רש"י.</w:t>
      </w:r>
    </w:p>
  </w:footnote>
  <w:footnote w:id="2453">
    <w:p w14:paraId="1B92217E" w14:textId="77777777" w:rsidR="00392DBB" w:rsidRDefault="00392DBB" w:rsidP="00392DBB">
      <w:pPr>
        <w:pStyle w:val="a5"/>
      </w:pPr>
      <w:r>
        <w:rPr>
          <w:rStyle w:val="a7"/>
        </w:rPr>
        <w:footnoteRef/>
      </w:r>
      <w:r>
        <w:rPr>
          <w:rtl/>
        </w:rPr>
        <w:t xml:space="preserve"> </w:t>
      </w:r>
      <w:r w:rsidRPr="00D878AF">
        <w:rPr>
          <w:rFonts w:cs="Arial"/>
          <w:rtl/>
        </w:rPr>
        <w:t>כשאר כל ירושה לפי הגולגולת</w:t>
      </w:r>
      <w:r>
        <w:rPr>
          <w:rFonts w:cs="Arial" w:hint="cs"/>
          <w:rtl/>
        </w:rPr>
        <w:t>, רש"י.</w:t>
      </w:r>
    </w:p>
  </w:footnote>
  <w:footnote w:id="2454">
    <w:p w14:paraId="501BA1AF" w14:textId="77777777" w:rsidR="00392DBB" w:rsidRDefault="00392DBB" w:rsidP="00392DBB">
      <w:pPr>
        <w:pStyle w:val="a5"/>
      </w:pPr>
      <w:r>
        <w:rPr>
          <w:rStyle w:val="a7"/>
        </w:rPr>
        <w:footnoteRef/>
      </w:r>
      <w:r>
        <w:rPr>
          <w:rtl/>
        </w:rPr>
        <w:t xml:space="preserve"> </w:t>
      </w:r>
      <w:r>
        <w:rPr>
          <w:rFonts w:cs="Arial"/>
          <w:rtl/>
        </w:rPr>
        <w:t>ומשמע בגמרא דמותר דינר דוקא בעינן אבל פחות מדינר לא הוי מותר</w:t>
      </w:r>
      <w:r>
        <w:rPr>
          <w:rFonts w:cs="Arial" w:hint="cs"/>
          <w:rtl/>
        </w:rPr>
        <w:t>, ב"י.</w:t>
      </w:r>
    </w:p>
  </w:footnote>
  <w:footnote w:id="2455">
    <w:p w14:paraId="4F169848" w14:textId="77777777" w:rsidR="00392DBB" w:rsidRDefault="00392DBB" w:rsidP="00392DBB">
      <w:pPr>
        <w:pStyle w:val="a5"/>
      </w:pPr>
      <w:r>
        <w:rPr>
          <w:rStyle w:val="a7"/>
        </w:rPr>
        <w:footnoteRef/>
      </w:r>
      <w:r>
        <w:rPr>
          <w:rtl/>
        </w:rPr>
        <w:t xml:space="preserve"> </w:t>
      </w:r>
      <w:r w:rsidRPr="00D878AF">
        <w:rPr>
          <w:rFonts w:cs="Arial"/>
          <w:rtl/>
        </w:rPr>
        <w:t>בני הכתובה הגדולה</w:t>
      </w:r>
      <w:r>
        <w:rPr>
          <w:rFonts w:cs="Arial" w:hint="cs"/>
          <w:rtl/>
        </w:rPr>
        <w:t>, רש"י.</w:t>
      </w:r>
    </w:p>
  </w:footnote>
  <w:footnote w:id="2456">
    <w:p w14:paraId="30DCD69A" w14:textId="77777777" w:rsidR="00392DBB" w:rsidRDefault="00392DBB" w:rsidP="00392DBB">
      <w:pPr>
        <w:pStyle w:val="a5"/>
      </w:pPr>
      <w:r>
        <w:rPr>
          <w:rStyle w:val="a7"/>
        </w:rPr>
        <w:footnoteRef/>
      </w:r>
      <w:r>
        <w:rPr>
          <w:rtl/>
        </w:rPr>
        <w:t xml:space="preserve"> </w:t>
      </w:r>
      <w:r w:rsidRPr="00D878AF">
        <w:rPr>
          <w:rFonts w:cs="Arial"/>
          <w:rtl/>
        </w:rPr>
        <w:t>מעלין דמיהן לקבלם עלינו ביוקר כדי דינר יתר על שוויין כדי שיהיה שם מותר דינר ויטלו כתובת אמם</w:t>
      </w:r>
      <w:r>
        <w:rPr>
          <w:rFonts w:cs="Arial" w:hint="cs"/>
          <w:rtl/>
        </w:rPr>
        <w:t>, רש"י.</w:t>
      </w:r>
    </w:p>
  </w:footnote>
  <w:footnote w:id="2457">
    <w:p w14:paraId="2321A09F" w14:textId="77777777" w:rsidR="00392DBB" w:rsidRDefault="00392DBB" w:rsidP="00392DBB">
      <w:pPr>
        <w:pStyle w:val="a5"/>
      </w:pPr>
      <w:r>
        <w:rPr>
          <w:rStyle w:val="a7"/>
        </w:rPr>
        <w:footnoteRef/>
      </w:r>
      <w:r>
        <w:rPr>
          <w:rtl/>
        </w:rPr>
        <w:t xml:space="preserve"> </w:t>
      </w:r>
      <w:r w:rsidRPr="00D878AF">
        <w:rPr>
          <w:rFonts w:cs="Arial"/>
          <w:rtl/>
        </w:rPr>
        <w:t>שראויה ליפול להם ירושה מאבי אביהם אחר מות אביהם ולכשתפול יהיה שם מותר דינר בשתי הירושות</w:t>
      </w:r>
      <w:r>
        <w:rPr>
          <w:rFonts w:cs="Arial" w:hint="cs"/>
          <w:rtl/>
        </w:rPr>
        <w:t>, רש"י.</w:t>
      </w:r>
    </w:p>
  </w:footnote>
  <w:footnote w:id="2458">
    <w:p w14:paraId="5C1BC2F6" w14:textId="77777777" w:rsidR="00392DBB" w:rsidRDefault="00392DBB" w:rsidP="00392DBB">
      <w:pPr>
        <w:pStyle w:val="a5"/>
      </w:pPr>
      <w:r>
        <w:rPr>
          <w:rStyle w:val="a7"/>
        </w:rPr>
        <w:footnoteRef/>
      </w:r>
      <w:r>
        <w:rPr>
          <w:rtl/>
        </w:rPr>
        <w:t xml:space="preserve"> </w:t>
      </w:r>
      <w:r w:rsidRPr="00D878AF">
        <w:rPr>
          <w:rFonts w:cs="Arial"/>
          <w:rtl/>
        </w:rPr>
        <w:t>אינן נחשבין עכשיו להיות כאילו הן מוחזקין בהן כבר ויש כאן מותר דינר</w:t>
      </w:r>
      <w:r>
        <w:rPr>
          <w:rFonts w:cs="Arial" w:hint="cs"/>
          <w:rtl/>
        </w:rPr>
        <w:t>, רש"י.</w:t>
      </w:r>
    </w:p>
  </w:footnote>
  <w:footnote w:id="2459">
    <w:p w14:paraId="301330FC" w14:textId="77777777" w:rsidR="00392DBB" w:rsidRDefault="00392DBB" w:rsidP="00392DBB">
      <w:pPr>
        <w:pStyle w:val="a5"/>
      </w:pPr>
      <w:r>
        <w:rPr>
          <w:rStyle w:val="a7"/>
        </w:rPr>
        <w:footnoteRef/>
      </w:r>
      <w:r>
        <w:rPr>
          <w:rtl/>
        </w:rPr>
        <w:t xml:space="preserve"> </w:t>
      </w:r>
      <w:r>
        <w:rPr>
          <w:rFonts w:cs="Arial"/>
          <w:rtl/>
        </w:rPr>
        <w:t>כתב הרא"ש (סי' ב) על הא דרבי שמעון</w:t>
      </w:r>
      <w:r>
        <w:rPr>
          <w:rFonts w:cs="Arial" w:hint="cs"/>
          <w:rtl/>
        </w:rPr>
        <w:t>-</w:t>
      </w:r>
      <w:r>
        <w:rPr>
          <w:rFonts w:cs="Arial"/>
          <w:rtl/>
        </w:rPr>
        <w:t xml:space="preserve"> ולרבנן אפילו מטלטלי הוי מותר דמיקיים בהו נחלה דאורייתא</w:t>
      </w:r>
      <w:r>
        <w:rPr>
          <w:rFonts w:cs="Arial" w:hint="cs"/>
          <w:rtl/>
        </w:rPr>
        <w:t>.</w:t>
      </w:r>
      <w:r>
        <w:rPr>
          <w:rFonts w:cs="Arial"/>
          <w:rtl/>
        </w:rPr>
        <w:t xml:space="preserve"> אבל בהא מודו רבנן לרבי שמעון דבעינן מקרקעי שיעור שתי כתובות דתנאי כתובה ככתובה ודוקא מדקתני ממקרקעי גביא כתובת בנין דכרין ואף על גב דתקינו רבנן</w:t>
      </w:r>
      <w:r>
        <w:rPr>
          <w:rFonts w:cs="Arial" w:hint="cs"/>
          <w:rtl/>
        </w:rPr>
        <w:t xml:space="preserve"> </w:t>
      </w:r>
      <w:r>
        <w:rPr>
          <w:rFonts w:cs="Arial"/>
          <w:rtl/>
        </w:rPr>
        <w:t>בתראי למיגבי כתובה ממטלטלי לכתובת בנין דכרין לא תקון</w:t>
      </w:r>
      <w:r>
        <w:rPr>
          <w:rFonts w:cs="Arial" w:hint="cs"/>
          <w:rtl/>
        </w:rPr>
        <w:t>.</w:t>
      </w:r>
      <w:r>
        <w:rPr>
          <w:rFonts w:cs="Arial"/>
          <w:rtl/>
        </w:rPr>
        <w:t xml:space="preserve"> עכ"ל.</w:t>
      </w:r>
    </w:p>
  </w:footnote>
  <w:footnote w:id="2460">
    <w:p w14:paraId="6B4AF050" w14:textId="087DC16B" w:rsidR="00392DBB" w:rsidRDefault="00392DBB" w:rsidP="00392DBB">
      <w:pPr>
        <w:pStyle w:val="a5"/>
      </w:pPr>
      <w:r>
        <w:rPr>
          <w:rStyle w:val="a7"/>
        </w:rPr>
        <w:footnoteRef/>
      </w:r>
      <w:r>
        <w:rPr>
          <w:rtl/>
        </w:rPr>
        <w:t xml:space="preserve"> </w:t>
      </w:r>
      <w:r>
        <w:rPr>
          <w:rFonts w:cs="Arial" w:hint="cs"/>
          <w:rtl/>
        </w:rPr>
        <w:t xml:space="preserve">כתב הב"י </w:t>
      </w:r>
      <w:r w:rsidR="0061020A">
        <w:rPr>
          <w:rFonts w:cs="Arial" w:hint="cs"/>
          <w:rtl/>
        </w:rPr>
        <w:t>וז</w:t>
      </w:r>
      <w:r w:rsidR="0061020A">
        <w:rPr>
          <w:rFonts w:cs="Arial"/>
          <w:rtl/>
        </w:rPr>
        <w:t>"</w:t>
      </w:r>
      <w:r w:rsidR="0061020A">
        <w:rPr>
          <w:rFonts w:cs="Arial" w:hint="cs"/>
          <w:rtl/>
        </w:rPr>
        <w:t>ל:</w:t>
      </w:r>
      <w:r>
        <w:rPr>
          <w:rFonts w:cs="Arial" w:hint="cs"/>
          <w:rtl/>
        </w:rPr>
        <w:t xml:space="preserve"> </w:t>
      </w:r>
      <w:r>
        <w:rPr>
          <w:rFonts w:cs="Arial"/>
          <w:rtl/>
        </w:rPr>
        <w:t xml:space="preserve">אבל הרי"ף לא כתב כן </w:t>
      </w:r>
      <w:r>
        <w:rPr>
          <w:rFonts w:cs="Arial" w:hint="cs"/>
          <w:sz w:val="16"/>
          <w:szCs w:val="16"/>
          <w:rtl/>
        </w:rPr>
        <w:t>{היינו לא כתב שרבנן חולקים על ר"ש בדבר אחד ומסכימים איתו לדבר אחד</w:t>
      </w:r>
      <w:r w:rsidR="00004443">
        <w:rPr>
          <w:rFonts w:cs="Arial" w:hint="cs"/>
          <w:sz w:val="16"/>
          <w:szCs w:val="16"/>
          <w:rtl/>
        </w:rPr>
        <w:t xml:space="preserve"> כדברי הרא"ש בהערה הקודמת</w:t>
      </w:r>
      <w:r>
        <w:rPr>
          <w:rFonts w:cs="Arial" w:hint="cs"/>
          <w:sz w:val="16"/>
          <w:szCs w:val="16"/>
          <w:rtl/>
        </w:rPr>
        <w:t xml:space="preserve">, אלא </w:t>
      </w:r>
      <w:r w:rsidR="00004443">
        <w:rPr>
          <w:rFonts w:cs="Arial" w:hint="cs"/>
          <w:sz w:val="16"/>
          <w:szCs w:val="16"/>
          <w:rtl/>
        </w:rPr>
        <w:t xml:space="preserve">הרי"ף </w:t>
      </w:r>
      <w:r>
        <w:rPr>
          <w:rFonts w:cs="Arial" w:hint="cs"/>
          <w:sz w:val="16"/>
          <w:szCs w:val="16"/>
          <w:rtl/>
        </w:rPr>
        <w:t>כתב שר"ש חולק, ו</w:t>
      </w:r>
      <w:r w:rsidR="00004443">
        <w:rPr>
          <w:rFonts w:cs="Arial" w:hint="cs"/>
          <w:sz w:val="16"/>
          <w:szCs w:val="16"/>
          <w:rtl/>
        </w:rPr>
        <w:t>לכן</w:t>
      </w:r>
      <w:r>
        <w:rPr>
          <w:rFonts w:cs="Arial" w:hint="cs"/>
          <w:sz w:val="16"/>
          <w:szCs w:val="16"/>
          <w:rtl/>
        </w:rPr>
        <w:t xml:space="preserve">} </w:t>
      </w:r>
      <w:r>
        <w:rPr>
          <w:rFonts w:cs="Arial"/>
          <w:rtl/>
        </w:rPr>
        <w:t>משמע דס"ל דרבנן פליגי אר"ש ואמרי ד</w:t>
      </w:r>
      <w:r>
        <w:rPr>
          <w:rFonts w:cs="Arial" w:hint="cs"/>
          <w:rtl/>
        </w:rPr>
        <w:t>-...</w:t>
      </w:r>
    </w:p>
  </w:footnote>
  <w:footnote w:id="2461">
    <w:p w14:paraId="34F212D1" w14:textId="4EF83858" w:rsidR="00392DBB" w:rsidRDefault="00392DBB" w:rsidP="00392DBB">
      <w:pPr>
        <w:pStyle w:val="a5"/>
      </w:pPr>
      <w:r>
        <w:rPr>
          <w:rStyle w:val="a7"/>
        </w:rPr>
        <w:footnoteRef/>
      </w:r>
      <w:r>
        <w:rPr>
          <w:rtl/>
        </w:rPr>
        <w:t xml:space="preserve"> </w:t>
      </w:r>
      <w:r>
        <w:rPr>
          <w:rFonts w:hint="cs"/>
          <w:rtl/>
        </w:rPr>
        <w:t xml:space="preserve">כתב הב"י שהרמב"ם </w:t>
      </w:r>
      <w:r w:rsidRPr="00631525">
        <w:rPr>
          <w:rFonts w:cs="Arial"/>
          <w:rtl/>
        </w:rPr>
        <w:t>ב</w:t>
      </w:r>
      <w:r>
        <w:rPr>
          <w:rFonts w:cs="Arial" w:hint="cs"/>
          <w:rtl/>
        </w:rPr>
        <w:t>פ</w:t>
      </w:r>
      <w:r w:rsidRPr="00631525">
        <w:rPr>
          <w:rFonts w:cs="Arial"/>
          <w:rtl/>
        </w:rPr>
        <w:t>י"ט (מאישות ה"ג) לא חילק בכתובת בנין דכרין בין קרקע למטלטלי</w:t>
      </w:r>
      <w:r>
        <w:rPr>
          <w:rFonts w:cs="Arial" w:hint="cs"/>
          <w:rtl/>
        </w:rPr>
        <w:t>,</w:t>
      </w:r>
      <w:r w:rsidRPr="00631525">
        <w:rPr>
          <w:rFonts w:cs="Arial"/>
          <w:rtl/>
        </w:rPr>
        <w:t xml:space="preserve"> אבל בפרק י"ו (ה"ז) כתב </w:t>
      </w:r>
      <w:r w:rsidR="0061020A">
        <w:rPr>
          <w:rFonts w:cs="Arial"/>
          <w:rtl/>
        </w:rPr>
        <w:t>וז"ל:</w:t>
      </w:r>
      <w:r>
        <w:rPr>
          <w:rFonts w:cs="Arial" w:hint="cs"/>
          <w:rtl/>
        </w:rPr>
        <w:t>...</w:t>
      </w:r>
    </w:p>
  </w:footnote>
  <w:footnote w:id="2462">
    <w:p w14:paraId="45C8A92D" w14:textId="77777777" w:rsidR="00392DBB" w:rsidRDefault="00392DBB" w:rsidP="00392DBB">
      <w:pPr>
        <w:pStyle w:val="a5"/>
      </w:pPr>
      <w:r>
        <w:rPr>
          <w:rStyle w:val="a7"/>
        </w:rPr>
        <w:footnoteRef/>
      </w:r>
      <w:r>
        <w:rPr>
          <w:rtl/>
        </w:rPr>
        <w:t xml:space="preserve"> </w:t>
      </w:r>
      <w:r>
        <w:rPr>
          <w:rFonts w:hint="cs"/>
          <w:rtl/>
        </w:rPr>
        <w:t>וכתב המרדכי (סי' קסב) דכן כתבו הסמ"ג ורבנו ברוך.</w:t>
      </w:r>
    </w:p>
  </w:footnote>
  <w:footnote w:id="2463">
    <w:p w14:paraId="3E0F079A" w14:textId="598C86E1" w:rsidR="00392DBB" w:rsidRDefault="00392DBB" w:rsidP="00392DBB">
      <w:pPr>
        <w:pStyle w:val="a5"/>
      </w:pPr>
      <w:r>
        <w:rPr>
          <w:rStyle w:val="a7"/>
        </w:rPr>
        <w:footnoteRef/>
      </w:r>
      <w:r>
        <w:rPr>
          <w:rtl/>
        </w:rPr>
        <w:t xml:space="preserve"> </w:t>
      </w:r>
      <w:r>
        <w:rPr>
          <w:rFonts w:cs="Arial" w:hint="cs"/>
          <w:rtl/>
        </w:rPr>
        <w:t xml:space="preserve">וכתב הב"י </w:t>
      </w:r>
      <w:r w:rsidR="0061020A">
        <w:rPr>
          <w:rFonts w:cs="Arial" w:hint="cs"/>
          <w:rtl/>
        </w:rPr>
        <w:t>וז</w:t>
      </w:r>
      <w:r w:rsidR="0061020A">
        <w:rPr>
          <w:rFonts w:cs="Arial"/>
          <w:rtl/>
        </w:rPr>
        <w:t>"</w:t>
      </w:r>
      <w:r w:rsidR="0061020A">
        <w:rPr>
          <w:rFonts w:cs="Arial" w:hint="cs"/>
          <w:rtl/>
        </w:rPr>
        <w:t>ל:</w:t>
      </w:r>
      <w:r>
        <w:rPr>
          <w:rFonts w:cs="Arial" w:hint="cs"/>
          <w:rtl/>
        </w:rPr>
        <w:t xml:space="preserve"> </w:t>
      </w:r>
      <w:r>
        <w:rPr>
          <w:rFonts w:cs="Arial"/>
          <w:rtl/>
        </w:rPr>
        <w:t>ואע</w:t>
      </w:r>
      <w:r>
        <w:rPr>
          <w:rFonts w:cs="Arial" w:hint="cs"/>
          <w:rtl/>
        </w:rPr>
        <w:t>"</w:t>
      </w:r>
      <w:r>
        <w:rPr>
          <w:rFonts w:cs="Arial"/>
          <w:rtl/>
        </w:rPr>
        <w:t>פ שאיפשר לומר דהשתא דנהיגי למיכתב בכתובה דמשעבד לה מטלטלי אגב מקרקעי כל תנאי כתובה בכלל ואפילו כתובת בנין דכרין נמי נגבית מן המטלטלין</w:t>
      </w:r>
      <w:r>
        <w:rPr>
          <w:rFonts w:cs="Arial" w:hint="cs"/>
          <w:rtl/>
        </w:rPr>
        <w:t>.</w:t>
      </w:r>
      <w:r>
        <w:rPr>
          <w:rFonts w:cs="Arial"/>
          <w:rtl/>
        </w:rPr>
        <w:t xml:space="preserve"> מכל מקום מדתלה הטעם בשאין מנהג ירושת כתובת בנין דכרין פשוט בכל הישיבות</w:t>
      </w:r>
      <w:r>
        <w:rPr>
          <w:rFonts w:cs="Arial" w:hint="cs"/>
          <w:rtl/>
        </w:rPr>
        <w:t>,</w:t>
      </w:r>
      <w:r>
        <w:rPr>
          <w:rFonts w:cs="Arial"/>
          <w:rtl/>
        </w:rPr>
        <w:t xml:space="preserve"> שרבים מהגאונים אומרים שאינו נוהג עתה כלל וכמו שכתב רבינו בסוף סימן זה</w:t>
      </w:r>
      <w:r>
        <w:rPr>
          <w:rFonts w:cs="Arial" w:hint="cs"/>
          <w:rtl/>
        </w:rPr>
        <w:t>,</w:t>
      </w:r>
      <w:r>
        <w:rPr>
          <w:rFonts w:cs="Arial"/>
          <w:rtl/>
        </w:rPr>
        <w:t xml:space="preserve"> ולפיכך העמידה על דין התלמוד</w:t>
      </w:r>
      <w:r>
        <w:rPr>
          <w:rFonts w:cs="Arial" w:hint="cs"/>
          <w:rtl/>
        </w:rPr>
        <w:t>,</w:t>
      </w:r>
      <w:r>
        <w:rPr>
          <w:rFonts w:cs="Arial"/>
          <w:rtl/>
        </w:rPr>
        <w:t xml:space="preserve"> משמע דאפילו שיעבד בכתובה מטלטלי אגב מקרקעי מעמידין אותה על דין התלמוד</w:t>
      </w:r>
      <w:r>
        <w:rPr>
          <w:rFonts w:cs="Arial" w:hint="cs"/>
          <w:rtl/>
        </w:rPr>
        <w:t>.</w:t>
      </w:r>
      <w:r>
        <w:rPr>
          <w:rFonts w:cs="Arial"/>
          <w:rtl/>
        </w:rPr>
        <w:t xml:space="preserve"> וכן נראה מדברי הרא"ש שבפסקים (שם)</w:t>
      </w:r>
      <w:r>
        <w:rPr>
          <w:rFonts w:cs="Arial" w:hint="cs"/>
          <w:rtl/>
        </w:rPr>
        <w:t>,</w:t>
      </w:r>
      <w:r>
        <w:rPr>
          <w:rFonts w:cs="Arial"/>
          <w:rtl/>
        </w:rPr>
        <w:t xml:space="preserve"> ובתשובות (כלל לו ס"ז) כתב שאינה נוהגת אלא במקרקעי ולא חילק בין שיעבד בכתובה מטלטלי אגב מקרקעי ללא שיעבד</w:t>
      </w:r>
      <w:r>
        <w:rPr>
          <w:rFonts w:cs="Arial" w:hint="cs"/>
          <w:rtl/>
        </w:rPr>
        <w:t>.</w:t>
      </w:r>
      <w:r>
        <w:rPr>
          <w:rFonts w:cs="Arial"/>
          <w:rtl/>
        </w:rPr>
        <w:t xml:space="preserve"> כך היה נ"ל</w:t>
      </w:r>
      <w:r>
        <w:rPr>
          <w:rFonts w:cs="Arial" w:hint="cs"/>
          <w:rtl/>
        </w:rPr>
        <w:t>.</w:t>
      </w:r>
      <w:r>
        <w:rPr>
          <w:rFonts w:cs="Arial"/>
          <w:rtl/>
        </w:rPr>
        <w:t xml:space="preserve"> אלא שהריב"ש בתשובה </w:t>
      </w:r>
      <w:r>
        <w:rPr>
          <w:rFonts w:cs="Arial" w:hint="cs"/>
          <w:rtl/>
        </w:rPr>
        <w:t>(</w:t>
      </w:r>
      <w:r>
        <w:rPr>
          <w:rFonts w:cs="Arial"/>
          <w:rtl/>
        </w:rPr>
        <w:t>סי</w:t>
      </w:r>
      <w:r>
        <w:rPr>
          <w:rFonts w:cs="Arial" w:hint="cs"/>
          <w:rtl/>
        </w:rPr>
        <w:t>'</w:t>
      </w:r>
      <w:r>
        <w:rPr>
          <w:rFonts w:cs="Arial"/>
          <w:rtl/>
        </w:rPr>
        <w:t xml:space="preserve"> קו</w:t>
      </w:r>
      <w:r>
        <w:rPr>
          <w:rFonts w:cs="Arial" w:hint="cs"/>
          <w:rtl/>
        </w:rPr>
        <w:t>)</w:t>
      </w:r>
      <w:r>
        <w:rPr>
          <w:rFonts w:cs="Arial"/>
          <w:rtl/>
        </w:rPr>
        <w:t xml:space="preserve"> אחר שהביא דברי הפוסקים כתב הסכמת הרא"ש ושכן דעת הרמב"ם ז"ל ואח"כ כתב אבל</w:t>
      </w:r>
      <w:r>
        <w:rPr>
          <w:rFonts w:cs="Arial" w:hint="cs"/>
          <w:rtl/>
        </w:rPr>
        <w:t>-...</w:t>
      </w:r>
    </w:p>
  </w:footnote>
  <w:footnote w:id="2464">
    <w:p w14:paraId="61A37A22" w14:textId="7151CED5" w:rsidR="00392DBB" w:rsidRPr="00707460" w:rsidRDefault="00392DBB" w:rsidP="00392DBB">
      <w:pPr>
        <w:pStyle w:val="a5"/>
      </w:pPr>
      <w:r w:rsidRPr="00707460">
        <w:rPr>
          <w:rStyle w:val="a7"/>
        </w:rPr>
        <w:footnoteRef/>
      </w:r>
      <w:r w:rsidRPr="00707460">
        <w:rPr>
          <w:rFonts w:hint="cs"/>
          <w:rtl/>
        </w:rPr>
        <w:t xml:space="preserve"> בסעיף ג' כתב הטור </w:t>
      </w:r>
      <w:r w:rsidRPr="00707460">
        <w:rPr>
          <w:rFonts w:cs="Arial" w:hint="cs"/>
          <w:rtl/>
        </w:rPr>
        <w:t>'</w:t>
      </w:r>
      <w:r w:rsidRPr="00707460">
        <w:rPr>
          <w:rFonts w:cs="Arial"/>
          <w:rtl/>
        </w:rPr>
        <w:t xml:space="preserve">לא היה שם </w:t>
      </w:r>
      <w:r w:rsidRPr="00707460">
        <w:rPr>
          <w:rFonts w:cs="Arial"/>
          <w:u w:val="single"/>
          <w:rtl/>
        </w:rPr>
        <w:t>קרקע</w:t>
      </w:r>
      <w:r w:rsidRPr="00707460">
        <w:rPr>
          <w:rFonts w:cs="Arial"/>
          <w:rtl/>
        </w:rPr>
        <w:t xml:space="preserve"> כדי שתי כתובות</w:t>
      </w:r>
      <w:r w:rsidRPr="00707460">
        <w:rPr>
          <w:rFonts w:cs="Arial" w:hint="cs"/>
          <w:rtl/>
        </w:rPr>
        <w:t xml:space="preserve"> וכו'...', וכתב הב"י</w:t>
      </w:r>
      <w:r w:rsidRPr="00707460">
        <w:rPr>
          <w:rFonts w:cs="Arial"/>
          <w:rtl/>
        </w:rPr>
        <w:t xml:space="preserve"> </w:t>
      </w:r>
      <w:r w:rsidR="0061020A">
        <w:rPr>
          <w:rFonts w:cs="Arial" w:hint="cs"/>
          <w:rtl/>
        </w:rPr>
        <w:t>וז</w:t>
      </w:r>
      <w:r w:rsidR="0061020A">
        <w:rPr>
          <w:rFonts w:cs="Arial"/>
          <w:rtl/>
        </w:rPr>
        <w:t>"</w:t>
      </w:r>
      <w:r w:rsidR="0061020A">
        <w:rPr>
          <w:rFonts w:cs="Arial" w:hint="cs"/>
          <w:rtl/>
        </w:rPr>
        <w:t>ל:</w:t>
      </w:r>
      <w:r w:rsidRPr="00707460">
        <w:rPr>
          <w:rFonts w:cs="Arial" w:hint="cs"/>
          <w:rtl/>
        </w:rPr>
        <w:t xml:space="preserve"> </w:t>
      </w:r>
      <w:r w:rsidRPr="00707460">
        <w:rPr>
          <w:rFonts w:cs="Arial"/>
          <w:rtl/>
        </w:rPr>
        <w:t>זה על עיקר הדין דכתובת בנין דכרין ליתא אלא במקרקעי כמו שנתבאר</w:t>
      </w:r>
      <w:r w:rsidRPr="00707460">
        <w:rPr>
          <w:rFonts w:cs="Arial" w:hint="cs"/>
          <w:rtl/>
        </w:rPr>
        <w:t>.</w:t>
      </w:r>
      <w:r>
        <w:rPr>
          <w:rFonts w:cs="Arial" w:hint="cs"/>
          <w:rtl/>
        </w:rPr>
        <w:t xml:space="preserve"> עכ"ל הב"י. וכוונתו שלאחר שנהגו לכתוב מטלטלי אגב מקרקעי לא צריך דוקא קרקע.</w:t>
      </w:r>
      <w:r w:rsidRPr="00707460">
        <w:rPr>
          <w:rFonts w:cs="Arial" w:hint="cs"/>
          <w:rtl/>
        </w:rPr>
        <w:t xml:space="preserve"> וכן פסק שם בשו"ע. </w:t>
      </w:r>
    </w:p>
  </w:footnote>
  <w:footnote w:id="2465">
    <w:p w14:paraId="5791465D" w14:textId="77777777" w:rsidR="00392DBB" w:rsidRDefault="00392DBB" w:rsidP="00392DBB">
      <w:pPr>
        <w:pStyle w:val="a5"/>
      </w:pPr>
      <w:r>
        <w:rPr>
          <w:rStyle w:val="a7"/>
        </w:rPr>
        <w:footnoteRef/>
      </w:r>
      <w:r>
        <w:rPr>
          <w:rtl/>
        </w:rPr>
        <w:t xml:space="preserve"> </w:t>
      </w:r>
      <w:r w:rsidRPr="00CB1EB0">
        <w:rPr>
          <w:rFonts w:cs="Arial"/>
          <w:rtl/>
        </w:rPr>
        <w:t>בטובת הנאה שאם נתארמלה או נתגרשה יטלוה לקוחות ואם מתה ירשנה בעלה ומתה וירשה בעלה</w:t>
      </w:r>
      <w:r>
        <w:rPr>
          <w:rFonts w:cs="Arial" w:hint="cs"/>
          <w:rtl/>
        </w:rPr>
        <w:t>, רש"י.</w:t>
      </w:r>
    </w:p>
  </w:footnote>
  <w:footnote w:id="2466">
    <w:p w14:paraId="7B4539B8" w14:textId="77777777" w:rsidR="00392DBB" w:rsidRDefault="00392DBB" w:rsidP="00392DBB">
      <w:pPr>
        <w:pStyle w:val="a5"/>
      </w:pPr>
      <w:r>
        <w:rPr>
          <w:rStyle w:val="a7"/>
        </w:rPr>
        <w:footnoteRef/>
      </w:r>
      <w:r>
        <w:rPr>
          <w:rtl/>
        </w:rPr>
        <w:t xml:space="preserve"> </w:t>
      </w:r>
      <w:r w:rsidRPr="004A0B46">
        <w:rPr>
          <w:rFonts w:cs="Arial"/>
          <w:rtl/>
        </w:rPr>
        <w:t>דהא כי לא זבינתה נמי ירית לה בעל ותקון לה רבנן השתא נמי לגבי בעל במוכרת לא פקעה זכותה ואי משום דהוקל בעיניה למוכרה ולהפסיד את בניה אם נתארמלה או נתגרשה זוזי אנסוה שהוצרכה להם</w:t>
      </w:r>
      <w:r>
        <w:rPr>
          <w:rFonts w:cs="Arial" w:hint="cs"/>
          <w:rtl/>
        </w:rPr>
        <w:t>, רש"י.</w:t>
      </w:r>
    </w:p>
  </w:footnote>
  <w:footnote w:id="2467">
    <w:p w14:paraId="29C4432D" w14:textId="77777777" w:rsidR="00392DBB" w:rsidRDefault="00392DBB" w:rsidP="00392DBB">
      <w:pPr>
        <w:pStyle w:val="a5"/>
        <w:rPr>
          <w:rtl/>
        </w:rPr>
      </w:pPr>
      <w:r>
        <w:rPr>
          <w:rStyle w:val="a7"/>
        </w:rPr>
        <w:footnoteRef/>
      </w:r>
      <w:r>
        <w:rPr>
          <w:rtl/>
        </w:rPr>
        <w:t xml:space="preserve"> </w:t>
      </w:r>
      <w:r w:rsidRPr="004A0B46">
        <w:rPr>
          <w:rFonts w:cs="Arial"/>
          <w:rtl/>
        </w:rPr>
        <w:t>ונקל בעיניה להפסיד בניה מכתובתה חנם</w:t>
      </w:r>
      <w:r>
        <w:rPr>
          <w:rFonts w:hint="cs"/>
          <w:rtl/>
        </w:rPr>
        <w:t>, רש"י.</w:t>
      </w:r>
    </w:p>
  </w:footnote>
  <w:footnote w:id="2468">
    <w:p w14:paraId="6951EE96" w14:textId="77777777" w:rsidR="00392DBB" w:rsidRDefault="00392DBB" w:rsidP="00392DBB">
      <w:pPr>
        <w:pStyle w:val="a5"/>
        <w:rPr>
          <w:rtl/>
        </w:rPr>
      </w:pPr>
      <w:r>
        <w:rPr>
          <w:rStyle w:val="a7"/>
        </w:rPr>
        <w:footnoteRef/>
      </w:r>
      <w:r>
        <w:rPr>
          <w:rtl/>
        </w:rPr>
        <w:t xml:space="preserve"> </w:t>
      </w:r>
      <w:r w:rsidRPr="00CB1EB0">
        <w:rPr>
          <w:rFonts w:cs="Arial"/>
          <w:rtl/>
        </w:rPr>
        <w:t>נמי טובת הנאה בעלמא דבר מועט שהרי אם מתה יורשה ואינו לוקח ממנה אלא שאם מת הוא לא תגבה והרי לא מת ובא לידי ירושה הלכך כמוכרת לאחרים דמי</w:t>
      </w:r>
      <w:r>
        <w:rPr>
          <w:rFonts w:hint="cs"/>
          <w:rtl/>
        </w:rPr>
        <w:t>, רש"י.</w:t>
      </w:r>
    </w:p>
  </w:footnote>
  <w:footnote w:id="2469">
    <w:p w14:paraId="073AD726" w14:textId="77777777" w:rsidR="00392DBB" w:rsidRDefault="00392DBB" w:rsidP="00392DBB">
      <w:pPr>
        <w:pStyle w:val="a5"/>
        <w:rPr>
          <w:rtl/>
        </w:rPr>
      </w:pPr>
      <w:r>
        <w:rPr>
          <w:rStyle w:val="a7"/>
        </w:rPr>
        <w:footnoteRef/>
      </w:r>
      <w:r>
        <w:rPr>
          <w:rtl/>
        </w:rPr>
        <w:t xml:space="preserve"> </w:t>
      </w:r>
      <w:r w:rsidRPr="00CB1EB0">
        <w:rPr>
          <w:rFonts w:cs="Arial"/>
          <w:rtl/>
        </w:rPr>
        <w:t>הואיל ובידו הכתובה והוקל בעיניה להחליטה</w:t>
      </w:r>
      <w:r>
        <w:rPr>
          <w:rFonts w:cs="Arial" w:hint="cs"/>
          <w:rtl/>
        </w:rPr>
        <w:t>, רש"י</w:t>
      </w:r>
      <w:r w:rsidRPr="00CB1EB0">
        <w:rPr>
          <w:rFonts w:cs="Arial"/>
          <w:rtl/>
        </w:rPr>
        <w:t>.</w:t>
      </w:r>
    </w:p>
  </w:footnote>
  <w:footnote w:id="2470">
    <w:p w14:paraId="775C7A6F" w14:textId="2FD5BF35" w:rsidR="00392DBB" w:rsidRDefault="00392DBB" w:rsidP="00392DBB">
      <w:pPr>
        <w:pStyle w:val="a5"/>
      </w:pPr>
      <w:r>
        <w:rPr>
          <w:rStyle w:val="a7"/>
        </w:rPr>
        <w:footnoteRef/>
      </w:r>
      <w:r>
        <w:rPr>
          <w:rtl/>
        </w:rPr>
        <w:t xml:space="preserve"> </w:t>
      </w:r>
      <w:r w:rsidRPr="00621C37">
        <w:rPr>
          <w:rFonts w:cs="Arial"/>
          <w:rtl/>
        </w:rPr>
        <w:t xml:space="preserve">כבר כתבתי בסי' ק"ה דנראה אף אם לא מחלה כתובתה רק מחלה לו תנאי כתובה כולו או מקצתו </w:t>
      </w:r>
      <w:r w:rsidR="008343ED">
        <w:rPr>
          <w:rFonts w:cs="Arial" w:hint="cs"/>
          <w:rtl/>
        </w:rPr>
        <w:t xml:space="preserve">- </w:t>
      </w:r>
      <w:r w:rsidRPr="00621C37">
        <w:rPr>
          <w:rFonts w:cs="Arial"/>
          <w:rtl/>
        </w:rPr>
        <w:t>הרשות בידה</w:t>
      </w:r>
      <w:r w:rsidR="00F93266">
        <w:rPr>
          <w:rFonts w:cs="Arial" w:hint="cs"/>
          <w:rtl/>
        </w:rPr>
        <w:t>.</w:t>
      </w:r>
      <w:r w:rsidRPr="00621C37">
        <w:rPr>
          <w:rFonts w:cs="Arial"/>
          <w:rtl/>
        </w:rPr>
        <w:t xml:space="preserve"> ולא דמי למחייב לזון בת אשתו דאין פטור האם מועיל</w:t>
      </w:r>
      <w:r w:rsidR="00F93266">
        <w:rPr>
          <w:rFonts w:cs="Arial" w:hint="cs"/>
          <w:rtl/>
        </w:rPr>
        <w:t>.</w:t>
      </w:r>
      <w:r w:rsidRPr="00621C37">
        <w:rPr>
          <w:rFonts w:cs="Arial"/>
          <w:rtl/>
        </w:rPr>
        <w:t xml:space="preserve"> ובסי' שאח"ז מביא הרב בהג"ה שהראב"ד חולק במזון הבנות</w:t>
      </w:r>
      <w:r w:rsidR="00F93266">
        <w:rPr>
          <w:rFonts w:cs="Arial" w:hint="cs"/>
          <w:rtl/>
        </w:rPr>
        <w:t>,</w:t>
      </w:r>
      <w:r w:rsidRPr="00621C37">
        <w:rPr>
          <w:rFonts w:cs="Arial"/>
          <w:rtl/>
        </w:rPr>
        <w:t xml:space="preserve"> וגם המ"מ הניח הדבר בצ"ע</w:t>
      </w:r>
      <w:r w:rsidR="00F93266">
        <w:rPr>
          <w:rFonts w:cs="Arial" w:hint="cs"/>
          <w:rtl/>
        </w:rPr>
        <w:t>,</w:t>
      </w:r>
      <w:r w:rsidRPr="00621C37">
        <w:rPr>
          <w:rFonts w:cs="Arial"/>
          <w:rtl/>
        </w:rPr>
        <w:t xml:space="preserve"> ועיין בר"ן</w:t>
      </w:r>
      <w:r>
        <w:rPr>
          <w:rFonts w:cs="Arial" w:hint="cs"/>
          <w:rtl/>
        </w:rPr>
        <w:t>, ח"מ (סקי"ז).</w:t>
      </w:r>
    </w:p>
  </w:footnote>
  <w:footnote w:id="2471">
    <w:p w14:paraId="31D1E5EB" w14:textId="66DFBA5C" w:rsidR="00392DBB" w:rsidRDefault="00392DBB" w:rsidP="00392DBB">
      <w:pPr>
        <w:pStyle w:val="a5"/>
      </w:pPr>
      <w:r>
        <w:rPr>
          <w:rStyle w:val="a7"/>
        </w:rPr>
        <w:footnoteRef/>
      </w:r>
      <w:r>
        <w:rPr>
          <w:rtl/>
        </w:rPr>
        <w:t xml:space="preserve"> </w:t>
      </w:r>
      <w:r w:rsidRPr="00CB1EB0">
        <w:rPr>
          <w:rFonts w:cs="Arial"/>
          <w:rtl/>
        </w:rPr>
        <w:t>כ"כ הרמב"ם פי"ט</w:t>
      </w:r>
      <w:r w:rsidR="008343ED">
        <w:rPr>
          <w:rFonts w:cs="Arial" w:hint="cs"/>
          <w:rtl/>
        </w:rPr>
        <w:t>,</w:t>
      </w:r>
      <w:r w:rsidRPr="00CB1EB0">
        <w:rPr>
          <w:rFonts w:cs="Arial"/>
          <w:rtl/>
        </w:rPr>
        <w:t xml:space="preserve"> וכן ס"ל באלמנה דאין לה מזונות כשאין הכתובה בידה שמא מחלה</w:t>
      </w:r>
      <w:r>
        <w:rPr>
          <w:rFonts w:cs="Arial" w:hint="cs"/>
          <w:rtl/>
        </w:rPr>
        <w:t>.</w:t>
      </w:r>
      <w:r w:rsidRPr="00CB1EB0">
        <w:rPr>
          <w:rFonts w:cs="Arial"/>
          <w:rtl/>
        </w:rPr>
        <w:t xml:space="preserve"> ובסי' צ"ג כתבתי </w:t>
      </w:r>
      <w:r>
        <w:rPr>
          <w:rFonts w:cs="Arial" w:hint="cs"/>
          <w:rtl/>
        </w:rPr>
        <w:t>ד</w:t>
      </w:r>
      <w:r w:rsidRPr="00CB1EB0">
        <w:rPr>
          <w:rFonts w:cs="Arial"/>
          <w:rtl/>
        </w:rPr>
        <w:t>רוב פוסקים חולקים עליו</w:t>
      </w:r>
      <w:r w:rsidR="008343ED">
        <w:rPr>
          <w:rFonts w:cs="Arial" w:hint="cs"/>
          <w:rtl/>
        </w:rPr>
        <w:t>,</w:t>
      </w:r>
      <w:r w:rsidRPr="00CB1EB0">
        <w:rPr>
          <w:rFonts w:cs="Arial"/>
          <w:rtl/>
        </w:rPr>
        <w:t xml:space="preserve"> ולכאורה נראה להני פוסקים גם כאן לא חיישי' שמא מחלה</w:t>
      </w:r>
      <w:r>
        <w:rPr>
          <w:rFonts w:cs="Arial" w:hint="cs"/>
          <w:rtl/>
        </w:rPr>
        <w:t>.</w:t>
      </w:r>
      <w:r w:rsidRPr="00CB1EB0">
        <w:rPr>
          <w:rFonts w:cs="Arial"/>
          <w:rtl/>
        </w:rPr>
        <w:t xml:space="preserve"> מיהו י"ל </w:t>
      </w:r>
      <w:r>
        <w:rPr>
          <w:rFonts w:cs="Arial" w:hint="cs"/>
          <w:rtl/>
        </w:rPr>
        <w:t>ד</w:t>
      </w:r>
      <w:r w:rsidRPr="00CB1EB0">
        <w:rPr>
          <w:rFonts w:cs="Arial"/>
          <w:rtl/>
        </w:rPr>
        <w:t>שם טוענת ברי אבל כאן היורשים אין להם טענ</w:t>
      </w:r>
      <w:r>
        <w:rPr>
          <w:rFonts w:cs="Arial" w:hint="cs"/>
          <w:rtl/>
        </w:rPr>
        <w:t>ת</w:t>
      </w:r>
      <w:r w:rsidRPr="00CB1EB0">
        <w:rPr>
          <w:rFonts w:cs="Arial"/>
          <w:rtl/>
        </w:rPr>
        <w:t xml:space="preserve"> ברי</w:t>
      </w:r>
      <w:r>
        <w:rPr>
          <w:rFonts w:cs="Arial" w:hint="cs"/>
          <w:rtl/>
        </w:rPr>
        <w:t>.</w:t>
      </w:r>
      <w:r w:rsidRPr="00CB1EB0">
        <w:rPr>
          <w:rFonts w:cs="Arial"/>
          <w:rtl/>
        </w:rPr>
        <w:t xml:space="preserve"> גם לענין מזונות נכסים בחזקת</w:t>
      </w:r>
      <w:r>
        <w:rPr>
          <w:rFonts w:cs="Arial" w:hint="cs"/>
          <w:rtl/>
        </w:rPr>
        <w:t>ה</w:t>
      </w:r>
      <w:r w:rsidR="008343ED">
        <w:rPr>
          <w:rFonts w:cs="Arial" w:hint="cs"/>
          <w:rtl/>
        </w:rPr>
        <w:t>.</w:t>
      </w:r>
      <w:r w:rsidRPr="00CB1EB0">
        <w:rPr>
          <w:rFonts w:cs="Arial"/>
          <w:rtl/>
        </w:rPr>
        <w:t xml:space="preserve"> דהא בל</w:t>
      </w:r>
      <w:r>
        <w:rPr>
          <w:rFonts w:cs="Arial" w:hint="cs"/>
          <w:rtl/>
        </w:rPr>
        <w:t xml:space="preserve">א </w:t>
      </w:r>
      <w:r w:rsidRPr="00CB1EB0">
        <w:rPr>
          <w:rFonts w:cs="Arial"/>
          <w:rtl/>
        </w:rPr>
        <w:t>ז</w:t>
      </w:r>
      <w:r>
        <w:rPr>
          <w:rFonts w:cs="Arial" w:hint="cs"/>
          <w:rtl/>
        </w:rPr>
        <w:t>ה</w:t>
      </w:r>
      <w:r w:rsidRPr="00CB1EB0">
        <w:rPr>
          <w:rFonts w:cs="Arial"/>
          <w:rtl/>
        </w:rPr>
        <w:t xml:space="preserve"> צ"ל כן לשיטות הני פוסקים</w:t>
      </w:r>
      <w:r>
        <w:rPr>
          <w:rFonts w:cs="Arial" w:hint="cs"/>
          <w:rtl/>
        </w:rPr>
        <w:t>,</w:t>
      </w:r>
      <w:r w:rsidRPr="00CB1EB0">
        <w:rPr>
          <w:rFonts w:cs="Arial"/>
          <w:rtl/>
        </w:rPr>
        <w:t xml:space="preserve"> דהא ס"ל </w:t>
      </w:r>
      <w:r>
        <w:rPr>
          <w:rFonts w:cs="Arial" w:hint="cs"/>
          <w:rtl/>
        </w:rPr>
        <w:t>ד</w:t>
      </w:r>
      <w:r w:rsidRPr="00CB1EB0">
        <w:rPr>
          <w:rFonts w:cs="Arial"/>
          <w:rtl/>
        </w:rPr>
        <w:t>אם אין השטר כתובה בידה אינם גובה הכתובה כמ"ש בסי' ק'</w:t>
      </w:r>
      <w:r>
        <w:rPr>
          <w:rFonts w:cs="Arial" w:hint="cs"/>
          <w:rtl/>
        </w:rPr>
        <w:t>.</w:t>
      </w:r>
      <w:r w:rsidRPr="00CB1EB0">
        <w:rPr>
          <w:rFonts w:cs="Arial"/>
          <w:rtl/>
        </w:rPr>
        <w:t xml:space="preserve"> ע"כ צ"ל משום </w:t>
      </w:r>
      <w:r>
        <w:rPr>
          <w:rFonts w:cs="Arial" w:hint="cs"/>
          <w:rtl/>
        </w:rPr>
        <w:t>ד</w:t>
      </w:r>
      <w:r w:rsidRPr="00CB1EB0">
        <w:rPr>
          <w:rFonts w:cs="Arial"/>
          <w:rtl/>
        </w:rPr>
        <w:t>לענין מזונות אמרינן הנכסים קיימא בחזקת</w:t>
      </w:r>
      <w:r>
        <w:rPr>
          <w:rFonts w:cs="Arial" w:hint="cs"/>
          <w:rtl/>
        </w:rPr>
        <w:t>ה</w:t>
      </w:r>
      <w:r w:rsidRPr="00CB1EB0">
        <w:rPr>
          <w:rFonts w:cs="Arial"/>
          <w:rtl/>
        </w:rPr>
        <w:t xml:space="preserve"> וכן בהרא"ש פ' שני דייני</w:t>
      </w:r>
      <w:r>
        <w:rPr>
          <w:rFonts w:cs="Arial" w:hint="cs"/>
          <w:rtl/>
        </w:rPr>
        <w:t>.</w:t>
      </w:r>
      <w:r w:rsidRPr="00CB1EB0">
        <w:rPr>
          <w:rFonts w:cs="Arial"/>
          <w:rtl/>
        </w:rPr>
        <w:t xml:space="preserve"> </w:t>
      </w:r>
      <w:r>
        <w:rPr>
          <w:rFonts w:cs="Arial" w:hint="cs"/>
          <w:rtl/>
        </w:rPr>
        <w:t>ו</w:t>
      </w:r>
      <w:r w:rsidRPr="00CB1EB0">
        <w:rPr>
          <w:rFonts w:cs="Arial"/>
          <w:rtl/>
        </w:rPr>
        <w:t>אפילו לשיטות הפוסקים דס"ל דגובה הכתובה אפילו אין שטר הכתובה ביד</w:t>
      </w:r>
      <w:r>
        <w:rPr>
          <w:rFonts w:cs="Arial" w:hint="cs"/>
          <w:rtl/>
        </w:rPr>
        <w:t>ה</w:t>
      </w:r>
      <w:r w:rsidRPr="00CB1EB0">
        <w:rPr>
          <w:rFonts w:cs="Arial"/>
          <w:rtl/>
        </w:rPr>
        <w:t xml:space="preserve"> הואיל מעשה ב"ד הוא י"ל יורשים שאני כמ"ש</w:t>
      </w:r>
      <w:r>
        <w:rPr>
          <w:rFonts w:cs="Arial" w:hint="cs"/>
          <w:rtl/>
        </w:rPr>
        <w:t>, ב"ש (סקי"ב).</w:t>
      </w:r>
    </w:p>
  </w:footnote>
  <w:footnote w:id="2472">
    <w:p w14:paraId="0C6F69BF" w14:textId="446D617E" w:rsidR="0027732C" w:rsidRDefault="0027732C" w:rsidP="0027732C">
      <w:pPr>
        <w:pStyle w:val="a5"/>
      </w:pPr>
      <w:r>
        <w:rPr>
          <w:rStyle w:val="a7"/>
        </w:rPr>
        <w:footnoteRef/>
      </w:r>
      <w:r>
        <w:rPr>
          <w:rtl/>
        </w:rPr>
        <w:t xml:space="preserve"> </w:t>
      </w:r>
      <w:r>
        <w:rPr>
          <w:rFonts w:cs="Arial" w:hint="cs"/>
          <w:rtl/>
        </w:rPr>
        <w:t>סימן - (מה אתה) סח.</w:t>
      </w:r>
    </w:p>
  </w:footnote>
  <w:footnote w:id="2473">
    <w:p w14:paraId="5C6E29EF" w14:textId="20F3D160" w:rsidR="00392DBB" w:rsidRDefault="00392DBB" w:rsidP="00392DBB">
      <w:pPr>
        <w:pStyle w:val="a5"/>
      </w:pPr>
      <w:r w:rsidRPr="00262536">
        <w:rPr>
          <w:rStyle w:val="a7"/>
        </w:rPr>
        <w:footnoteRef/>
      </w:r>
      <w:r w:rsidRPr="00262536">
        <w:rPr>
          <w:rtl/>
        </w:rPr>
        <w:t xml:space="preserve"> </w:t>
      </w:r>
      <w:r>
        <w:rPr>
          <w:rFonts w:cs="Arial" w:hint="cs"/>
          <w:rtl/>
        </w:rPr>
        <w:t>כתב כן ב</w:t>
      </w:r>
      <w:r w:rsidRPr="00262536">
        <w:rPr>
          <w:rFonts w:cs="Arial"/>
          <w:rtl/>
        </w:rPr>
        <w:t>אות כ</w:t>
      </w:r>
      <w:r>
        <w:rPr>
          <w:rFonts w:cs="Arial" w:hint="cs"/>
          <w:rtl/>
        </w:rPr>
        <w:t>'</w:t>
      </w:r>
      <w:r w:rsidRPr="00262536">
        <w:rPr>
          <w:rFonts w:cs="Arial"/>
          <w:rtl/>
        </w:rPr>
        <w:t xml:space="preserve"> </w:t>
      </w:r>
      <w:r>
        <w:rPr>
          <w:rFonts w:cs="Arial" w:hint="cs"/>
          <w:rtl/>
        </w:rPr>
        <w:t>(</w:t>
      </w:r>
      <w:r w:rsidRPr="00262536">
        <w:rPr>
          <w:rFonts w:cs="Arial"/>
          <w:rtl/>
        </w:rPr>
        <w:t>כתובות דף לב טור ד</w:t>
      </w:r>
      <w:r>
        <w:rPr>
          <w:rFonts w:cs="Arial" w:hint="cs"/>
          <w:rtl/>
        </w:rPr>
        <w:t>)</w:t>
      </w:r>
      <w:r w:rsidRPr="00262536">
        <w:rPr>
          <w:rFonts w:cs="Arial" w:hint="cs"/>
          <w:rtl/>
        </w:rPr>
        <w:t>, הביאו</w:t>
      </w:r>
      <w:r>
        <w:rPr>
          <w:rFonts w:cs="Arial" w:hint="cs"/>
          <w:rtl/>
        </w:rPr>
        <w:t>הו</w:t>
      </w:r>
      <w:r w:rsidRPr="00262536">
        <w:rPr>
          <w:rFonts w:cs="Arial" w:hint="cs"/>
          <w:rtl/>
        </w:rPr>
        <w:t xml:space="preserve"> המרדכי </w:t>
      </w:r>
      <w:r>
        <w:rPr>
          <w:rFonts w:cs="Arial" w:hint="cs"/>
          <w:rtl/>
        </w:rPr>
        <w:t>(</w:t>
      </w:r>
      <w:r w:rsidRPr="00262536">
        <w:rPr>
          <w:rFonts w:cs="Arial" w:hint="cs"/>
          <w:rtl/>
        </w:rPr>
        <w:t>סי' קסב</w:t>
      </w:r>
      <w:r>
        <w:rPr>
          <w:rFonts w:cs="Arial" w:hint="cs"/>
          <w:rtl/>
        </w:rPr>
        <w:t>) והרא"ש (כתובות פ"ד סי' כד)</w:t>
      </w:r>
      <w:r>
        <w:rPr>
          <w:rFonts w:hint="cs"/>
          <w:rtl/>
        </w:rPr>
        <w:t xml:space="preserve">. </w:t>
      </w:r>
      <w:r w:rsidRPr="00262536">
        <w:rPr>
          <w:rFonts w:hint="cs"/>
          <w:rtl/>
        </w:rPr>
        <w:t>וז"ל</w:t>
      </w:r>
      <w:r>
        <w:rPr>
          <w:rFonts w:hint="cs"/>
          <w:rtl/>
        </w:rPr>
        <w:t xml:space="preserve"> בהעי"ט</w:t>
      </w:r>
      <w:r w:rsidR="008343ED">
        <w:rPr>
          <w:rFonts w:hint="cs"/>
          <w:rtl/>
        </w:rPr>
        <w:t>:</w:t>
      </w:r>
      <w:r w:rsidRPr="00262536">
        <w:rPr>
          <w:rFonts w:hint="cs"/>
          <w:rtl/>
        </w:rPr>
        <w:t xml:space="preserve"> </w:t>
      </w:r>
      <w:r w:rsidRPr="00262536">
        <w:rPr>
          <w:rFonts w:cs="Arial"/>
          <w:rtl/>
        </w:rPr>
        <w:t>תשובה לחנניה בן יהודה נ"ע היום כמה שנים בטלה כתובת בנין דיכרין מי</w:t>
      </w:r>
      <w:r w:rsidRPr="002C27E2">
        <w:rPr>
          <w:rFonts w:cs="Arial"/>
          <w:rtl/>
        </w:rPr>
        <w:t xml:space="preserve"> שינתנו ולמה בטלה לפי שצריך דיקדוק בנשים שיש להן אחריות ובראוי ובמוחזק ובמותר דינר ואם אמרו יתומין הרי אנו מעלין על נכסי אבינו יתר דינר אין שומעין להן וצריך חקירת ב"ד ושומת זקנים שלא להוסיף על הדמים. ועוד עיקר התקנה שיקפוץ אדם ויתן לבתו כבנו והיום ולואי שיתן לבנו כבתו וכמה פעמים הוצרך הדבר לנדות כל מי שירבה למתנת בתו וכיון שהוא כך בטלו כתובת בנין דיכרין ומר רב דוסא אמר לא חזינא רבוותא דהוו מקמן דדייני להו כתובת דיכרין ומשני נפישתא לא דייני להו בתרתי מתיבתא וכיון דעבדי להו כמה שני לכתחילה אנן לא דיינינן לכון בה כן אלא דמר רב האיי אמר היכי כי מבטלי רבנן כתובת בנין דיכרין. ומר רב שמואל אמר הרבה חכמים הודו שכבר בטלה כתובת בנין דיכרין כזמן הזה ומסתברא טעמא דמר רב חנניא זצ"ל ואפילו למ"ד לא בטלה דוקא במקרקעי ולא במטלטלי שלא מצאנו בה תקנה ולא מנהג</w:t>
      </w:r>
      <w:r>
        <w:rPr>
          <w:rFonts w:cs="Arial" w:hint="cs"/>
          <w:rtl/>
        </w:rPr>
        <w:t>.</w:t>
      </w:r>
    </w:p>
  </w:footnote>
  <w:footnote w:id="2474">
    <w:p w14:paraId="7740418A" w14:textId="693F0931" w:rsidR="002F7BCC" w:rsidRDefault="002F7BCC">
      <w:pPr>
        <w:pStyle w:val="a5"/>
        <w:rPr>
          <w:rFonts w:hint="cs"/>
        </w:rPr>
      </w:pPr>
      <w:r>
        <w:rPr>
          <w:rStyle w:val="a7"/>
        </w:rPr>
        <w:footnoteRef/>
      </w:r>
      <w:r>
        <w:rPr>
          <w:rtl/>
        </w:rPr>
        <w:t xml:space="preserve"> </w:t>
      </w:r>
      <w:r w:rsidRPr="001174FA">
        <w:rPr>
          <w:rFonts w:cs="Arial"/>
          <w:rtl/>
        </w:rPr>
        <w:t>וכתב</w:t>
      </w:r>
      <w:r>
        <w:rPr>
          <w:rFonts w:cs="Arial" w:hint="cs"/>
          <w:rtl/>
        </w:rPr>
        <w:t xml:space="preserve"> הריב"ש</w:t>
      </w:r>
      <w:r w:rsidRPr="001174FA">
        <w:rPr>
          <w:rFonts w:cs="Arial"/>
          <w:rtl/>
        </w:rPr>
        <w:t xml:space="preserve"> </w:t>
      </w:r>
      <w:r>
        <w:rPr>
          <w:rFonts w:cs="Arial" w:hint="cs"/>
          <w:rtl/>
        </w:rPr>
        <w:t xml:space="preserve">(סי' קו): </w:t>
      </w:r>
      <w:r w:rsidRPr="001174FA">
        <w:rPr>
          <w:rFonts w:cs="Arial"/>
          <w:rtl/>
        </w:rPr>
        <w:t>אחר שרוב הגאונים כתבו והשיבו הלכה למעשה שהיא נגבית</w:t>
      </w:r>
      <w:r>
        <w:rPr>
          <w:rFonts w:cs="Arial" w:hint="cs"/>
          <w:rtl/>
        </w:rPr>
        <w:t>,</w:t>
      </w:r>
      <w:r w:rsidRPr="001174FA">
        <w:rPr>
          <w:rFonts w:cs="Arial"/>
          <w:rtl/>
        </w:rPr>
        <w:t xml:space="preserve"> והרי"ף והרמב"ם והרמב"ן ז"ל לא הזכירו תקנת שום גאון כנגדה</w:t>
      </w:r>
      <w:r>
        <w:rPr>
          <w:rFonts w:cs="Arial" w:hint="cs"/>
          <w:rtl/>
        </w:rPr>
        <w:t>,</w:t>
      </w:r>
      <w:r w:rsidRPr="001174FA">
        <w:rPr>
          <w:rFonts w:cs="Arial"/>
          <w:rtl/>
        </w:rPr>
        <w:t xml:space="preserve"> כבר נראה שלא חשו לדברי אותם הגאונים שאמרו שאין לגבותה</w:t>
      </w:r>
      <w:r>
        <w:rPr>
          <w:rFonts w:cs="Arial" w:hint="cs"/>
          <w:rtl/>
        </w:rPr>
        <w:t>.</w:t>
      </w:r>
      <w:r w:rsidRPr="001174FA">
        <w:rPr>
          <w:rFonts w:cs="Arial"/>
          <w:rtl/>
        </w:rPr>
        <w:t xml:space="preserve"> ואנן אם יבא אדם לגבותה </w:t>
      </w:r>
      <w:r>
        <w:rPr>
          <w:rFonts w:cs="Arial" w:hint="cs"/>
          <w:rtl/>
        </w:rPr>
        <w:t xml:space="preserve">- </w:t>
      </w:r>
      <w:r w:rsidRPr="001174FA">
        <w:rPr>
          <w:rFonts w:cs="Arial"/>
          <w:rtl/>
        </w:rPr>
        <w:t>מגבין ליה</w:t>
      </w:r>
      <w:r>
        <w:rPr>
          <w:rFonts w:cs="Arial" w:hint="cs"/>
          <w:rtl/>
        </w:rPr>
        <w:t xml:space="preserve"> </w:t>
      </w:r>
      <w:r w:rsidRPr="002F7BCC">
        <w:rPr>
          <w:rFonts w:cs="Arial" w:hint="cs"/>
          <w:sz w:val="16"/>
          <w:szCs w:val="16"/>
          <w:rtl/>
        </w:rPr>
        <w:t>{ע"כ}</w:t>
      </w:r>
      <w:r>
        <w:rPr>
          <w:rFonts w:cs="Arial" w:hint="cs"/>
          <w:rtl/>
        </w:rPr>
        <w:t>, ב"י.</w:t>
      </w:r>
    </w:p>
  </w:footnote>
  <w:footnote w:id="2475">
    <w:p w14:paraId="094B8D32" w14:textId="44B40FA4" w:rsidR="00392DBB" w:rsidRDefault="00392DBB" w:rsidP="00392DBB">
      <w:pPr>
        <w:pStyle w:val="a5"/>
      </w:pPr>
      <w:r>
        <w:rPr>
          <w:rStyle w:val="a7"/>
        </w:rPr>
        <w:footnoteRef/>
      </w:r>
      <w:r>
        <w:rPr>
          <w:rtl/>
        </w:rPr>
        <w:t xml:space="preserve"> </w:t>
      </w:r>
      <w:r>
        <w:rPr>
          <w:rFonts w:cs="Arial" w:hint="cs"/>
          <w:rtl/>
        </w:rPr>
        <w:t xml:space="preserve">שלגבי השאלה האם נוהגת במטלטלי מעיקר הדין - </w:t>
      </w:r>
      <w:r>
        <w:rPr>
          <w:rFonts w:cs="Arial"/>
          <w:rtl/>
        </w:rPr>
        <w:t xml:space="preserve">כבר נתבאר </w:t>
      </w:r>
      <w:r>
        <w:rPr>
          <w:rFonts w:cs="Arial" w:hint="cs"/>
          <w:rtl/>
        </w:rPr>
        <w:t>בסעיף י</w:t>
      </w:r>
      <w:r w:rsidR="008343ED">
        <w:rPr>
          <w:rFonts w:cs="Arial" w:hint="cs"/>
          <w:rtl/>
        </w:rPr>
        <w:t>"</w:t>
      </w:r>
      <w:r>
        <w:rPr>
          <w:rFonts w:cs="Arial" w:hint="cs"/>
          <w:rtl/>
        </w:rPr>
        <w:t>ד.</w:t>
      </w:r>
    </w:p>
  </w:footnote>
  <w:footnote w:id="2476">
    <w:p w14:paraId="327462B3" w14:textId="3664FA57" w:rsidR="00392DBB" w:rsidRDefault="00392DBB" w:rsidP="00392DBB">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Pr>
          <w:rFonts w:cs="Arial"/>
          <w:rtl/>
        </w:rPr>
        <w:t>ולענין כתובת בנין דכרין</w:t>
      </w:r>
      <w:r>
        <w:rPr>
          <w:rFonts w:cs="Arial" w:hint="cs"/>
          <w:rtl/>
        </w:rPr>
        <w:t>,</w:t>
      </w:r>
      <w:r>
        <w:rPr>
          <w:rFonts w:cs="Arial"/>
          <w:rtl/>
        </w:rPr>
        <w:t xml:space="preserve"> כבר ידעתם שנחלקו בה הגאונים</w:t>
      </w:r>
      <w:r>
        <w:rPr>
          <w:rFonts w:cs="Arial" w:hint="cs"/>
          <w:rtl/>
        </w:rPr>
        <w:t>.</w:t>
      </w:r>
      <w:r>
        <w:rPr>
          <w:rFonts w:cs="Arial"/>
          <w:rtl/>
        </w:rPr>
        <w:t xml:space="preserve"> דיש מהם מי שאומר שאינה נוהגת</w:t>
      </w:r>
      <w:r>
        <w:rPr>
          <w:rFonts w:cs="Arial" w:hint="cs"/>
          <w:rtl/>
        </w:rPr>
        <w:t>.</w:t>
      </w:r>
      <w:r>
        <w:rPr>
          <w:rFonts w:cs="Arial"/>
          <w:rtl/>
        </w:rPr>
        <w:t xml:space="preserve"> אלא שרבינו האיי אומר שהיא נוהגת</w:t>
      </w:r>
      <w:r>
        <w:rPr>
          <w:rFonts w:cs="Arial" w:hint="cs"/>
          <w:rtl/>
        </w:rPr>
        <w:t>.</w:t>
      </w:r>
      <w:r>
        <w:rPr>
          <w:rFonts w:cs="Arial"/>
          <w:rtl/>
        </w:rPr>
        <w:t xml:space="preserve"> וגם הרי"ף והרמב"ם כתבוה בהלכותיהם</w:t>
      </w:r>
      <w:r>
        <w:rPr>
          <w:rFonts w:cs="Arial" w:hint="cs"/>
          <w:rtl/>
        </w:rPr>
        <w:t>.</w:t>
      </w:r>
      <w:r>
        <w:rPr>
          <w:rFonts w:cs="Arial"/>
          <w:rtl/>
        </w:rPr>
        <w:t xml:space="preserve"> ור"ח כתב שאפילו עיקר התקנה לא היתה אלא כשמתו שתיהן אפילו אחת בחייו ואחת לאחר מותו</w:t>
      </w:r>
      <w:r>
        <w:rPr>
          <w:rFonts w:cs="Arial" w:hint="cs"/>
          <w:rtl/>
        </w:rPr>
        <w:t>,</w:t>
      </w:r>
      <w:r>
        <w:rPr>
          <w:rFonts w:cs="Arial"/>
          <w:rtl/>
        </w:rPr>
        <w:t xml:space="preserve"> אבל כשאחת עודה קיימת לא אשכחן ובהא איכא משום אינצויי כיון דהני שקלי והאי לא שקיל מידי</w:t>
      </w:r>
      <w:r>
        <w:rPr>
          <w:rFonts w:cs="Arial" w:hint="cs"/>
          <w:rtl/>
        </w:rPr>
        <w:t>.</w:t>
      </w:r>
      <w:r>
        <w:rPr>
          <w:rFonts w:cs="Arial"/>
          <w:rtl/>
        </w:rPr>
        <w:t xml:space="preserve"> וגאונים אחרים לא הסכימו על דעתו</w:t>
      </w:r>
      <w:r>
        <w:rPr>
          <w:rFonts w:cs="Arial" w:hint="cs"/>
          <w:rtl/>
        </w:rPr>
        <w:t>.</w:t>
      </w:r>
      <w:r>
        <w:rPr>
          <w:rFonts w:cs="Arial"/>
          <w:rtl/>
        </w:rPr>
        <w:t xml:space="preserve"> גם לע"ד אין נ"ל מסוגיית הגמרא כדבריו</w:t>
      </w:r>
      <w:r>
        <w:rPr>
          <w:rFonts w:cs="Arial" w:hint="cs"/>
          <w:rtl/>
        </w:rPr>
        <w:t>.</w:t>
      </w:r>
      <w:r>
        <w:rPr>
          <w:rFonts w:cs="Arial"/>
          <w:rtl/>
        </w:rPr>
        <w:t xml:space="preserve"> ומכל מקום מסתברא שאין דין כתובת בנין דכרין אפילו עכשיו אלא במקרקעי</w:t>
      </w:r>
      <w:r>
        <w:rPr>
          <w:rFonts w:cs="Arial" w:hint="cs"/>
          <w:rtl/>
        </w:rPr>
        <w:t>,</w:t>
      </w:r>
      <w:r>
        <w:rPr>
          <w:rFonts w:cs="Arial"/>
          <w:rtl/>
        </w:rPr>
        <w:t xml:space="preserve"> כדינא דגמרא</w:t>
      </w:r>
      <w:r>
        <w:rPr>
          <w:rFonts w:cs="Arial" w:hint="cs"/>
          <w:rtl/>
        </w:rPr>
        <w:t>,</w:t>
      </w:r>
      <w:r>
        <w:rPr>
          <w:rFonts w:cs="Arial"/>
          <w:rtl/>
        </w:rPr>
        <w:t xml:space="preserve"> דלא אשכחן לגאונים ז"ל שעשו מטלטלין כקרקע לכתובת בנין דכרין</w:t>
      </w:r>
      <w:r>
        <w:rPr>
          <w:rFonts w:cs="Arial" w:hint="cs"/>
          <w:rtl/>
        </w:rPr>
        <w:t>,</w:t>
      </w:r>
      <w:r>
        <w:rPr>
          <w:rFonts w:cs="Arial"/>
          <w:rtl/>
        </w:rPr>
        <w:t xml:space="preserve"> ודיה לתקנתה דתוקמא אדינא</w:t>
      </w:r>
      <w:r>
        <w:rPr>
          <w:rFonts w:cs="Arial" w:hint="cs"/>
          <w:rtl/>
        </w:rPr>
        <w:t>,</w:t>
      </w:r>
      <w:r>
        <w:rPr>
          <w:rFonts w:cs="Arial"/>
          <w:rtl/>
        </w:rPr>
        <w:t xml:space="preserve"> והבו דלא נוסיף עלה</w:t>
      </w:r>
      <w:r>
        <w:rPr>
          <w:rFonts w:cs="Arial" w:hint="cs"/>
          <w:rtl/>
        </w:rPr>
        <w:t>.</w:t>
      </w:r>
      <w:r>
        <w:rPr>
          <w:rFonts w:cs="Arial"/>
          <w:rtl/>
        </w:rPr>
        <w:t xml:space="preserve"> ועוד דאשכחן לגאוני קמאי דפרישו הכי בהדיא</w:t>
      </w:r>
      <w:r>
        <w:rPr>
          <w:rFonts w:cs="Arial" w:hint="cs"/>
          <w:rtl/>
        </w:rPr>
        <w:t>,</w:t>
      </w:r>
      <w:r>
        <w:rPr>
          <w:rFonts w:cs="Arial"/>
          <w:rtl/>
        </w:rPr>
        <w:t xml:space="preserve"> שכך השיב הגאון חנניה ב"ר יהודה וגם מגדולי פוסקי הלכות כתבו כן בפירוש דאפילו למ"ד דלא בטלה דוקא במקרקעי אבל במטלטלי לא מצינו תקנה לגאונים ז"ל</w:t>
      </w:r>
      <w:r>
        <w:rPr>
          <w:rFonts w:cs="Arial" w:hint="cs"/>
          <w:rtl/>
        </w:rPr>
        <w:t>.</w:t>
      </w:r>
      <w:r>
        <w:rPr>
          <w:rFonts w:cs="Arial"/>
          <w:rtl/>
        </w:rPr>
        <w:t xml:space="preserve"> וכ"כ הרמב"ם ז"ל (פט"ז ה"ז) ובעל העיטור (שם לג ע"א)</w:t>
      </w:r>
      <w:r>
        <w:rPr>
          <w:rFonts w:cs="Arial" w:hint="cs"/>
          <w:rtl/>
        </w:rPr>
        <w:t>.</w:t>
      </w:r>
      <w:r>
        <w:rPr>
          <w:rFonts w:cs="Arial"/>
          <w:rtl/>
        </w:rPr>
        <w:t xml:space="preserve"> ומכל מקום אני רואה שפשט המנהג ביניכם לפי מה שכתב רבינו הגדול הר"מ לגבות אותה גם עכשיו ואפילו מהמטלטלין</w:t>
      </w:r>
      <w:r>
        <w:rPr>
          <w:rFonts w:cs="Arial" w:hint="cs"/>
          <w:rtl/>
        </w:rPr>
        <w:t>.</w:t>
      </w:r>
      <w:r>
        <w:rPr>
          <w:rFonts w:cs="Arial"/>
          <w:rtl/>
        </w:rPr>
        <w:t xml:space="preserve"> וכל כיוצא בדברים אלו הכל הולך אחר המנהג שזה כדרישת לשון הדיוט שאמרו בפרק המקבל (ב"מ קד.)</w:t>
      </w:r>
      <w:r>
        <w:rPr>
          <w:rFonts w:cs="Arial" w:hint="cs"/>
          <w:rtl/>
        </w:rPr>
        <w:t>.</w:t>
      </w:r>
    </w:p>
  </w:footnote>
  <w:footnote w:id="2477">
    <w:p w14:paraId="35FB34F6" w14:textId="77777777" w:rsidR="00392DBB" w:rsidRDefault="00392DBB" w:rsidP="00392DBB">
      <w:pPr>
        <w:pStyle w:val="a5"/>
        <w:rPr>
          <w:rtl/>
        </w:rPr>
      </w:pPr>
      <w:r>
        <w:rPr>
          <w:rStyle w:val="a7"/>
        </w:rPr>
        <w:footnoteRef/>
      </w:r>
      <w:r>
        <w:rPr>
          <w:rtl/>
        </w:rPr>
        <w:t xml:space="preserve"> </w:t>
      </w:r>
      <w:r w:rsidRPr="008A1F1E">
        <w:rPr>
          <w:rFonts w:cs="Arial"/>
          <w:rtl/>
        </w:rPr>
        <w:t xml:space="preserve">ר"י </w:t>
      </w:r>
      <w:r>
        <w:rPr>
          <w:rFonts w:cs="Arial" w:hint="cs"/>
          <w:sz w:val="16"/>
          <w:szCs w:val="16"/>
          <w:rtl/>
        </w:rPr>
        <w:t xml:space="preserve">(כ"כ הטור בשמו) </w:t>
      </w:r>
      <w:r>
        <w:rPr>
          <w:rFonts w:cs="Arial" w:hint="cs"/>
          <w:rtl/>
        </w:rPr>
        <w:t>רמב"ם</w:t>
      </w:r>
      <w:r>
        <w:rPr>
          <w:rFonts w:cs="Arial" w:hint="cs"/>
          <w:sz w:val="16"/>
          <w:szCs w:val="16"/>
          <w:rtl/>
        </w:rPr>
        <w:t xml:space="preserve"> </w:t>
      </w:r>
      <w:r w:rsidRPr="00631525">
        <w:rPr>
          <w:rFonts w:cs="Arial" w:hint="cs"/>
          <w:sz w:val="16"/>
          <w:szCs w:val="16"/>
          <w:rtl/>
        </w:rPr>
        <w:t>(</w:t>
      </w:r>
      <w:r>
        <w:rPr>
          <w:rFonts w:cs="Arial" w:hint="cs"/>
          <w:sz w:val="16"/>
          <w:szCs w:val="16"/>
          <w:rtl/>
        </w:rPr>
        <w:t>שם</w:t>
      </w:r>
      <w:r w:rsidRPr="00631525">
        <w:rPr>
          <w:rFonts w:cs="Arial" w:hint="cs"/>
          <w:sz w:val="16"/>
          <w:szCs w:val="16"/>
          <w:rtl/>
        </w:rPr>
        <w:t>)</w:t>
      </w:r>
      <w:r>
        <w:rPr>
          <w:rFonts w:cs="Arial" w:hint="cs"/>
          <w:rtl/>
        </w:rPr>
        <w:t xml:space="preserve"> </w:t>
      </w:r>
      <w:r w:rsidRPr="008A1F1E">
        <w:rPr>
          <w:rFonts w:cs="Arial"/>
          <w:rtl/>
        </w:rPr>
        <w:t>רמ"ה</w:t>
      </w:r>
      <w:r>
        <w:rPr>
          <w:rFonts w:cs="Arial" w:hint="cs"/>
          <w:rtl/>
        </w:rPr>
        <w:t xml:space="preserve"> </w:t>
      </w:r>
      <w:r>
        <w:rPr>
          <w:rFonts w:cs="Arial" w:hint="cs"/>
          <w:sz w:val="16"/>
          <w:szCs w:val="16"/>
          <w:rtl/>
        </w:rPr>
        <w:t>(</w:t>
      </w:r>
      <w:r w:rsidRPr="00B01446">
        <w:rPr>
          <w:rFonts w:cs="Arial"/>
          <w:sz w:val="16"/>
          <w:szCs w:val="16"/>
          <w:rtl/>
        </w:rPr>
        <w:t xml:space="preserve">כ"כ </w:t>
      </w:r>
      <w:r w:rsidRPr="00B01446">
        <w:rPr>
          <w:rFonts w:cs="Arial" w:hint="cs"/>
          <w:sz w:val="16"/>
          <w:szCs w:val="16"/>
          <w:rtl/>
        </w:rPr>
        <w:t>בשמו טור ורי"ו [</w:t>
      </w:r>
      <w:r w:rsidRPr="00B01446">
        <w:rPr>
          <w:rFonts w:cs="Arial"/>
          <w:sz w:val="16"/>
          <w:szCs w:val="16"/>
          <w:rtl/>
        </w:rPr>
        <w:t>מישרים נכ"ג ח"י סד ע"ג</w:t>
      </w:r>
      <w:r w:rsidRPr="00B01446">
        <w:rPr>
          <w:rFonts w:cs="Arial" w:hint="cs"/>
          <w:sz w:val="16"/>
          <w:szCs w:val="16"/>
          <w:rtl/>
        </w:rPr>
        <w:t>]</w:t>
      </w:r>
      <w:r w:rsidRPr="00B01446">
        <w:rPr>
          <w:rFonts w:cs="Arial"/>
          <w:sz w:val="16"/>
          <w:szCs w:val="16"/>
          <w:rtl/>
        </w:rPr>
        <w:t>)</w:t>
      </w:r>
      <w:r>
        <w:rPr>
          <w:rFonts w:cs="Arial" w:hint="cs"/>
          <w:sz w:val="16"/>
          <w:szCs w:val="16"/>
          <w:rtl/>
        </w:rPr>
        <w:t xml:space="preserve"> </w:t>
      </w:r>
      <w:r>
        <w:rPr>
          <w:rFonts w:cs="Arial" w:hint="cs"/>
          <w:rtl/>
        </w:rPr>
        <w:t xml:space="preserve">רשב"א </w:t>
      </w:r>
      <w:r w:rsidRPr="00B01446">
        <w:rPr>
          <w:rFonts w:cs="Arial"/>
          <w:sz w:val="16"/>
          <w:szCs w:val="16"/>
          <w:rtl/>
        </w:rPr>
        <w:t>(ח"ד סי' קנב כג ע"ג ד"ה ולענין כתובת)</w:t>
      </w:r>
      <w:r>
        <w:rPr>
          <w:rFonts w:cs="Arial" w:hint="cs"/>
          <w:sz w:val="16"/>
          <w:szCs w:val="16"/>
          <w:rtl/>
        </w:rPr>
        <w:t xml:space="preserve"> </w:t>
      </w:r>
      <w:r>
        <w:rPr>
          <w:rFonts w:cs="Arial" w:hint="cs"/>
          <w:rtl/>
        </w:rPr>
        <w:t xml:space="preserve">ורא"ש </w:t>
      </w:r>
      <w:r>
        <w:rPr>
          <w:rFonts w:cs="Arial" w:hint="cs"/>
          <w:sz w:val="16"/>
          <w:szCs w:val="16"/>
          <w:rtl/>
        </w:rPr>
        <w:t>(כ"כ הטור בשמם)</w:t>
      </w:r>
      <w:r>
        <w:rPr>
          <w:rFonts w:hint="cs"/>
          <w:rtl/>
        </w:rPr>
        <w:t>.</w:t>
      </w:r>
    </w:p>
  </w:footnote>
  <w:footnote w:id="2478">
    <w:p w14:paraId="012B833C" w14:textId="77777777" w:rsidR="00392DBB" w:rsidRDefault="00392DBB" w:rsidP="00392DBB">
      <w:pPr>
        <w:pStyle w:val="a5"/>
      </w:pPr>
      <w:r>
        <w:rPr>
          <w:rStyle w:val="a7"/>
        </w:rPr>
        <w:footnoteRef/>
      </w:r>
      <w:r>
        <w:rPr>
          <w:rtl/>
        </w:rPr>
        <w:t xml:space="preserve"> </w:t>
      </w:r>
      <w:r>
        <w:rPr>
          <w:rFonts w:hint="cs"/>
          <w:rtl/>
        </w:rPr>
        <w:t>וכתב המרדכי (סי' קסב) דכן כתבו הסמ"ג ורבנו ברוך.</w:t>
      </w:r>
    </w:p>
  </w:footnote>
  <w:footnote w:id="2479">
    <w:p w14:paraId="7D563B4E" w14:textId="77777777" w:rsidR="00392DBB" w:rsidRDefault="00392DBB" w:rsidP="00392DBB">
      <w:pPr>
        <w:pStyle w:val="a5"/>
        <w:rPr>
          <w:rtl/>
        </w:rPr>
      </w:pPr>
      <w:r>
        <w:rPr>
          <w:rStyle w:val="a7"/>
        </w:rPr>
        <w:footnoteRef/>
      </w:r>
      <w:r>
        <w:rPr>
          <w:rtl/>
        </w:rPr>
        <w:t xml:space="preserve"> </w:t>
      </w:r>
      <w:r w:rsidRPr="008A1F1E">
        <w:rPr>
          <w:rFonts w:cs="Arial"/>
          <w:rtl/>
        </w:rPr>
        <w:t>וכן הוא בריב"ש סימן ק"ו ועיין שם</w:t>
      </w:r>
      <w:r>
        <w:rPr>
          <w:rFonts w:cs="Arial" w:hint="cs"/>
          <w:rtl/>
        </w:rPr>
        <w:t>.</w:t>
      </w:r>
      <w:r w:rsidRPr="008A1F1E">
        <w:rPr>
          <w:rFonts w:cs="Arial"/>
          <w:rtl/>
        </w:rPr>
        <w:t xml:space="preserve"> ומימי לא ראיתי ולא שמעתי בזמנים אלו להגבותה</w:t>
      </w:r>
      <w:r>
        <w:rPr>
          <w:rFonts w:hint="cs"/>
          <w:rtl/>
        </w:rPr>
        <w:t>, דרכ"מ (אות ה).</w:t>
      </w:r>
    </w:p>
  </w:footnote>
  <w:footnote w:id="2480">
    <w:p w14:paraId="53A70064" w14:textId="57BC3C13" w:rsidR="00C43520" w:rsidRDefault="00C43520" w:rsidP="00C43520">
      <w:pPr>
        <w:pStyle w:val="a5"/>
        <w:rPr>
          <w:rtl/>
        </w:rPr>
      </w:pPr>
      <w:r>
        <w:rPr>
          <w:rStyle w:val="a7"/>
        </w:rPr>
        <w:footnoteRef/>
      </w:r>
      <w:r>
        <w:rPr>
          <w:rtl/>
        </w:rPr>
        <w:t xml:space="preserve"> </w:t>
      </w:r>
      <w:r>
        <w:rPr>
          <w:rFonts w:hint="cs"/>
          <w:rtl/>
        </w:rPr>
        <w:t>סימן - נחשב בפנים.</w:t>
      </w:r>
    </w:p>
  </w:footnote>
  <w:footnote w:id="2481">
    <w:p w14:paraId="3693765D" w14:textId="77777777" w:rsidR="00392DBB" w:rsidRDefault="00392DBB" w:rsidP="00392DBB">
      <w:pPr>
        <w:pStyle w:val="a5"/>
        <w:rPr>
          <w:rtl/>
        </w:rPr>
      </w:pPr>
      <w:r>
        <w:rPr>
          <w:rStyle w:val="a7"/>
        </w:rPr>
        <w:footnoteRef/>
      </w:r>
      <w:r>
        <w:rPr>
          <w:rtl/>
        </w:rPr>
        <w:t xml:space="preserve"> </w:t>
      </w:r>
      <w:r w:rsidRPr="00D93E62">
        <w:rPr>
          <w:rFonts w:cs="Arial"/>
          <w:rtl/>
        </w:rPr>
        <w:t>בתמיה והלא בגרות מוציאה מרשות אב ולמה תיזון מביתו ובין לרבי בין לר' אלעזר בר' שמעון שנחלקו בדבר בפרק מציאת האשה (לקמן /כתובות/ סח:) בעישור נכסים מודים במזונות דבין נשאו בין בגרו אבדו מזונות</w:t>
      </w:r>
      <w:r>
        <w:rPr>
          <w:rFonts w:hint="cs"/>
          <w:rtl/>
        </w:rPr>
        <w:t>, רש"י.</w:t>
      </w:r>
    </w:p>
  </w:footnote>
  <w:footnote w:id="2482">
    <w:p w14:paraId="5230ADEB" w14:textId="77777777" w:rsidR="00392DBB" w:rsidRDefault="00392DBB" w:rsidP="00392DBB">
      <w:pPr>
        <w:pStyle w:val="a5"/>
        <w:rPr>
          <w:rtl/>
        </w:rPr>
      </w:pPr>
      <w:r>
        <w:rPr>
          <w:rStyle w:val="a7"/>
        </w:rPr>
        <w:footnoteRef/>
      </w:r>
      <w:r>
        <w:rPr>
          <w:rtl/>
        </w:rPr>
        <w:t xml:space="preserve"> </w:t>
      </w:r>
      <w:r w:rsidRPr="00D93E62">
        <w:rPr>
          <w:rFonts w:cs="Arial"/>
          <w:rtl/>
        </w:rPr>
        <w:t>רב אמר עד דתלקחן קיחה דאירוסין ואפילו לא בגר וללוי או תבגרן או ינשאו ויצאו מרשות אב לגמרי כי בגרות</w:t>
      </w:r>
      <w:r>
        <w:rPr>
          <w:rFonts w:hint="cs"/>
          <w:rtl/>
        </w:rPr>
        <w:t>, רש"י.</w:t>
      </w:r>
    </w:p>
  </w:footnote>
  <w:footnote w:id="2483">
    <w:p w14:paraId="308CEBEF" w14:textId="77777777" w:rsidR="00392DBB" w:rsidRDefault="00392DBB" w:rsidP="00392DBB">
      <w:pPr>
        <w:pStyle w:val="a5"/>
      </w:pPr>
      <w:r>
        <w:rPr>
          <w:rStyle w:val="a7"/>
        </w:rPr>
        <w:footnoteRef/>
      </w:r>
      <w:r>
        <w:rPr>
          <w:rtl/>
        </w:rPr>
        <w:t xml:space="preserve"> </w:t>
      </w:r>
      <w:r w:rsidRPr="00D93E62">
        <w:rPr>
          <w:rFonts w:cs="Arial"/>
          <w:rtl/>
        </w:rPr>
        <w:t>דלוי סידר ברייתא ששה סדרים כר' חייא וכרבי אושעיא</w:t>
      </w:r>
      <w:r>
        <w:rPr>
          <w:rFonts w:cs="Arial" w:hint="cs"/>
          <w:rtl/>
        </w:rPr>
        <w:t>, רש"י.</w:t>
      </w:r>
    </w:p>
  </w:footnote>
  <w:footnote w:id="2484">
    <w:p w14:paraId="5B6995A3" w14:textId="7C3FF12D" w:rsidR="009C3B56" w:rsidRDefault="009C3B56" w:rsidP="009C3B56">
      <w:pPr>
        <w:pStyle w:val="a5"/>
        <w:rPr>
          <w:rtl/>
        </w:rPr>
      </w:pPr>
      <w:r>
        <w:rPr>
          <w:rStyle w:val="a7"/>
        </w:rPr>
        <w:footnoteRef/>
      </w:r>
      <w:r>
        <w:rPr>
          <w:rtl/>
        </w:rPr>
        <w:t xml:space="preserve"> </w:t>
      </w:r>
      <w:r>
        <w:rPr>
          <w:rFonts w:hint="cs"/>
          <w:rtl/>
        </w:rPr>
        <w:t>סימן - מזון טף.</w:t>
      </w:r>
    </w:p>
  </w:footnote>
  <w:footnote w:id="2485">
    <w:p w14:paraId="29440851" w14:textId="77777777" w:rsidR="00392DBB" w:rsidRDefault="00392DBB" w:rsidP="00392DBB">
      <w:pPr>
        <w:pStyle w:val="a5"/>
        <w:rPr>
          <w:rtl/>
        </w:rPr>
      </w:pPr>
      <w:r>
        <w:rPr>
          <w:rStyle w:val="a7"/>
        </w:rPr>
        <w:footnoteRef/>
      </w:r>
      <w:r>
        <w:rPr>
          <w:rtl/>
        </w:rPr>
        <w:t xml:space="preserve"> </w:t>
      </w:r>
      <w:r>
        <w:rPr>
          <w:rFonts w:cs="Arial"/>
          <w:rtl/>
        </w:rPr>
        <w:t>כלומר אבל בחייו אינו חייב במזונותן מבואר שם במשנה (מט.) ומיהו דוקא כשהן יותר על שש אבל פחות משש חייב לזונן בתקנת אושא כדאיתא בגמרא (מט:) וכבר כתב כן רבינו לקמן בסימן זה</w:t>
      </w:r>
      <w:r>
        <w:rPr>
          <w:rFonts w:hint="cs"/>
          <w:rtl/>
        </w:rPr>
        <w:t>, ב"י.</w:t>
      </w:r>
    </w:p>
  </w:footnote>
  <w:footnote w:id="2486">
    <w:p w14:paraId="31FFD2C2" w14:textId="77777777" w:rsidR="00392DBB" w:rsidRDefault="00392DBB" w:rsidP="00392DBB">
      <w:pPr>
        <w:pStyle w:val="a5"/>
      </w:pPr>
      <w:r>
        <w:rPr>
          <w:rStyle w:val="a7"/>
        </w:rPr>
        <w:footnoteRef/>
      </w:r>
      <w:r>
        <w:rPr>
          <w:rtl/>
        </w:rPr>
        <w:t xml:space="preserve"> </w:t>
      </w:r>
      <w:r w:rsidRPr="00B345A5">
        <w:rPr>
          <w:rFonts w:cs="Arial"/>
          <w:rtl/>
        </w:rPr>
        <w:t>ותנאי כתובה בכלל ואע</w:t>
      </w:r>
      <w:r>
        <w:rPr>
          <w:rFonts w:cs="Arial" w:hint="cs"/>
          <w:rtl/>
        </w:rPr>
        <w:t>"</w:t>
      </w:r>
      <w:r w:rsidRPr="00B345A5">
        <w:rPr>
          <w:rFonts w:cs="Arial"/>
          <w:rtl/>
        </w:rPr>
        <w:t>ג דנתבאר לעיל סימן צ"ג (עמ' תט) וסי' ק"ה דמוחלת אית לה מזונות בחיי בעלה מכל מקום לאחר מותו אין לה מזונות אף לבנות וצ"ע בר"ן פרק נערה (יט: ד"ה מוחלת) דמשמע שם דאין חילוק</w:t>
      </w:r>
      <w:r>
        <w:rPr>
          <w:rFonts w:cs="Arial" w:hint="cs"/>
          <w:rtl/>
        </w:rPr>
        <w:t>...</w:t>
      </w:r>
      <w:r w:rsidRPr="00B345A5">
        <w:rPr>
          <w:rFonts w:cs="Arial"/>
          <w:rtl/>
        </w:rPr>
        <w:t xml:space="preserve"> וע"ל סימן פ"ב בת הנזונת אם היא אצל אמה או אצל האחין</w:t>
      </w:r>
      <w:r>
        <w:rPr>
          <w:rFonts w:cs="Arial" w:hint="cs"/>
          <w:rtl/>
        </w:rPr>
        <w:t>, דרכ"מ (אות א).</w:t>
      </w:r>
    </w:p>
  </w:footnote>
  <w:footnote w:id="2487">
    <w:p w14:paraId="3E453352" w14:textId="0C11A32B" w:rsidR="00392DBB" w:rsidRDefault="00392DBB" w:rsidP="00392DBB">
      <w:pPr>
        <w:pStyle w:val="a5"/>
      </w:pPr>
      <w:r>
        <w:rPr>
          <w:rStyle w:val="a7"/>
        </w:rPr>
        <w:footnoteRef/>
      </w:r>
      <w:r>
        <w:rPr>
          <w:rtl/>
        </w:rPr>
        <w:t xml:space="preserve"> </w:t>
      </w:r>
      <w:r w:rsidRPr="00F06DB8">
        <w:rPr>
          <w:rFonts w:cs="Arial"/>
          <w:rtl/>
        </w:rPr>
        <w:t>כלו</w:t>
      </w:r>
      <w:r w:rsidR="009C3B56">
        <w:rPr>
          <w:rFonts w:cs="Arial" w:hint="cs"/>
          <w:rtl/>
        </w:rPr>
        <w:t>מר</w:t>
      </w:r>
      <w:r w:rsidRPr="00F06DB8">
        <w:rPr>
          <w:rFonts w:cs="Arial"/>
          <w:rtl/>
        </w:rPr>
        <w:t xml:space="preserve"> שכתב שאר תנאי כתובה ולא כתב תנאי זה בנן נוקבן וכו' אמרי' דט"ס הוא אם לא שנכתב בפי' שהתנה עמה בפי' שאל יזונו בנותיו מנכסיו דמהני וכמו שיתבאר בסמוך סעי' י' דכל תנאי שבממון קיים</w:t>
      </w:r>
      <w:r>
        <w:rPr>
          <w:rFonts w:cs="Arial" w:hint="cs"/>
          <w:rtl/>
        </w:rPr>
        <w:t>, ח"מ (סק"א).</w:t>
      </w:r>
    </w:p>
  </w:footnote>
  <w:footnote w:id="2488">
    <w:p w14:paraId="7FCE9844" w14:textId="4BAC607B" w:rsidR="00392DBB" w:rsidRDefault="00392DBB" w:rsidP="00392DBB">
      <w:pPr>
        <w:pStyle w:val="a5"/>
      </w:pPr>
      <w:r>
        <w:rPr>
          <w:rStyle w:val="a7"/>
        </w:rPr>
        <w:footnoteRef/>
      </w:r>
      <w:r>
        <w:rPr>
          <w:rtl/>
        </w:rPr>
        <w:t xml:space="preserve"> </w:t>
      </w:r>
      <w:r w:rsidRPr="002B2468">
        <w:rPr>
          <w:rFonts w:cs="Arial"/>
          <w:rtl/>
        </w:rPr>
        <w:t>דכשם שנתחייב בגוף הכתובה בתנאי ב"ד כך נתחייב בכל תנאי כתובה</w:t>
      </w:r>
      <w:r w:rsidR="00674EE1">
        <w:rPr>
          <w:rFonts w:cs="Arial" w:hint="cs"/>
          <w:rtl/>
        </w:rPr>
        <w:t>.</w:t>
      </w:r>
      <w:r w:rsidRPr="002B2468">
        <w:rPr>
          <w:rFonts w:cs="Arial"/>
          <w:rtl/>
        </w:rPr>
        <w:t xml:space="preserve"> אבל במקום שכותבין כתובה ונאבדה ממנו הכתובה דעת הרמב"ם שטוענין ליתמי שמא מחלה הכתובה ואבדה כל תנאי כתובה וכמו שנתבאר בסימן צ"ג סעיף י"ח</w:t>
      </w:r>
      <w:r>
        <w:rPr>
          <w:rFonts w:cs="Arial" w:hint="cs"/>
          <w:rtl/>
        </w:rPr>
        <w:t xml:space="preserve">, </w:t>
      </w:r>
      <w:r w:rsidRPr="009C3B56">
        <w:rPr>
          <w:rFonts w:cs="Arial" w:hint="cs"/>
          <w:b/>
          <w:bCs/>
          <w:rtl/>
        </w:rPr>
        <w:t>ח"מ</w:t>
      </w:r>
      <w:r>
        <w:rPr>
          <w:rFonts w:cs="Arial" w:hint="cs"/>
          <w:rtl/>
        </w:rPr>
        <w:t xml:space="preserve"> (סק"ב).</w:t>
      </w:r>
      <w:r>
        <w:rPr>
          <w:rFonts w:hint="cs"/>
          <w:rtl/>
        </w:rPr>
        <w:t xml:space="preserve"> </w:t>
      </w:r>
      <w:r w:rsidR="009C3B56">
        <w:rPr>
          <w:rFonts w:hint="cs"/>
          <w:rtl/>
        </w:rPr>
        <w:t xml:space="preserve">        </w:t>
      </w:r>
      <w:r>
        <w:rPr>
          <w:rFonts w:hint="cs"/>
          <w:rtl/>
        </w:rPr>
        <w:t xml:space="preserve">וכתב </w:t>
      </w:r>
      <w:r w:rsidRPr="009C3B56">
        <w:rPr>
          <w:rFonts w:hint="cs"/>
          <w:b/>
          <w:bCs/>
          <w:rtl/>
        </w:rPr>
        <w:t>הב"ש</w:t>
      </w:r>
      <w:r>
        <w:rPr>
          <w:rFonts w:hint="cs"/>
          <w:rtl/>
        </w:rPr>
        <w:t xml:space="preserve"> (סק"ב)</w:t>
      </w:r>
      <w:r w:rsidRPr="00430571">
        <w:rPr>
          <w:rtl/>
        </w:rPr>
        <w:t xml:space="preserve"> </w:t>
      </w:r>
      <w:r>
        <w:rPr>
          <w:rFonts w:cs="Arial" w:hint="cs"/>
          <w:rtl/>
        </w:rPr>
        <w:t>ד</w:t>
      </w:r>
      <w:r w:rsidRPr="00430571">
        <w:rPr>
          <w:rFonts w:cs="Arial"/>
          <w:rtl/>
        </w:rPr>
        <w:t>הטור</w:t>
      </w:r>
      <w:r>
        <w:rPr>
          <w:rFonts w:cs="Arial" w:hint="cs"/>
          <w:rtl/>
        </w:rPr>
        <w:t xml:space="preserve"> כתב כהרמב"ם,</w:t>
      </w:r>
      <w:r w:rsidRPr="00430571">
        <w:rPr>
          <w:rFonts w:cs="Arial"/>
          <w:rtl/>
        </w:rPr>
        <w:t xml:space="preserve"> אלא הרמב"ם לטעמיה אזיל דכן ס"ל במזונות שלה כשאין הכתובה בידה אין לה ת"כ</w:t>
      </w:r>
      <w:r>
        <w:rPr>
          <w:rFonts w:cs="Arial" w:hint="cs"/>
          <w:rtl/>
        </w:rPr>
        <w:t>.</w:t>
      </w:r>
      <w:r w:rsidRPr="00430571">
        <w:rPr>
          <w:rFonts w:cs="Arial"/>
          <w:rtl/>
        </w:rPr>
        <w:t xml:space="preserve"> אבל לדעת הטור אית לה מזונות אע</w:t>
      </w:r>
      <w:r>
        <w:rPr>
          <w:rFonts w:cs="Arial" w:hint="cs"/>
          <w:rtl/>
        </w:rPr>
        <w:t>"</w:t>
      </w:r>
      <w:r w:rsidRPr="00430571">
        <w:rPr>
          <w:rFonts w:cs="Arial"/>
          <w:rtl/>
        </w:rPr>
        <w:t>פ שאין הכתובה בידה כמ"ש בסי' צ"ג</w:t>
      </w:r>
      <w:r>
        <w:rPr>
          <w:rFonts w:cs="Arial" w:hint="cs"/>
          <w:rtl/>
        </w:rPr>
        <w:t>.</w:t>
      </w:r>
      <w:r w:rsidRPr="00430571">
        <w:rPr>
          <w:rFonts w:cs="Arial"/>
          <w:rtl/>
        </w:rPr>
        <w:t xml:space="preserve"> </w:t>
      </w:r>
      <w:r>
        <w:rPr>
          <w:rFonts w:cs="Arial" w:hint="cs"/>
          <w:rtl/>
        </w:rPr>
        <w:t>ו</w:t>
      </w:r>
      <w:r w:rsidRPr="00430571">
        <w:rPr>
          <w:rFonts w:cs="Arial"/>
          <w:rtl/>
        </w:rPr>
        <w:t>צ"ל כמ"ש בסי' הקודם שאני מזונות שלה דנכסים בחזקתה</w:t>
      </w:r>
      <w:r>
        <w:rPr>
          <w:rFonts w:cs="Arial" w:hint="cs"/>
          <w:rtl/>
        </w:rPr>
        <w:t>.</w:t>
      </w:r>
      <w:r w:rsidRPr="00430571">
        <w:rPr>
          <w:rFonts w:cs="Arial"/>
          <w:rtl/>
        </w:rPr>
        <w:t xml:space="preserve"> אלא לכאורה קשה לדעת רמ"א שהביא בסי' ק' דעת הפוסקים דס"ל אפי' אין הכתובה בידה אית לה כתובה כיון שהוא תנאי ב"ד</w:t>
      </w:r>
      <w:r>
        <w:rPr>
          <w:rFonts w:cs="Arial" w:hint="cs"/>
          <w:rtl/>
        </w:rPr>
        <w:t>,</w:t>
      </w:r>
      <w:r w:rsidRPr="00430571">
        <w:rPr>
          <w:rFonts w:cs="Arial"/>
          <w:rtl/>
        </w:rPr>
        <w:t xml:space="preserve"> ושם פסק כן</w:t>
      </w:r>
      <w:r>
        <w:rPr>
          <w:rFonts w:cs="Arial" w:hint="cs"/>
          <w:rtl/>
        </w:rPr>
        <w:t>.</w:t>
      </w:r>
      <w:r w:rsidRPr="00430571">
        <w:rPr>
          <w:rFonts w:cs="Arial"/>
          <w:rtl/>
        </w:rPr>
        <w:t xml:space="preserve"> ומ"ש שם </w:t>
      </w:r>
      <w:r>
        <w:rPr>
          <w:rFonts w:cs="Arial" w:hint="cs"/>
          <w:rtl/>
        </w:rPr>
        <w:t>'</w:t>
      </w:r>
      <w:r w:rsidRPr="00430571">
        <w:rPr>
          <w:rFonts w:cs="Arial"/>
          <w:rtl/>
        </w:rPr>
        <w:t>ולא נהגו כן</w:t>
      </w:r>
      <w:r>
        <w:rPr>
          <w:rFonts w:cs="Arial" w:hint="cs"/>
          <w:rtl/>
        </w:rPr>
        <w:t>',</w:t>
      </w:r>
      <w:r w:rsidRPr="00430571">
        <w:rPr>
          <w:rFonts w:cs="Arial"/>
          <w:rtl/>
        </w:rPr>
        <w:t xml:space="preserve"> קאי על תוספות כתובה</w:t>
      </w:r>
      <w:r>
        <w:rPr>
          <w:rFonts w:cs="Arial" w:hint="cs"/>
          <w:rtl/>
        </w:rPr>
        <w:t>.</w:t>
      </w:r>
      <w:r w:rsidRPr="00430571">
        <w:rPr>
          <w:rFonts w:cs="Arial"/>
          <w:rtl/>
        </w:rPr>
        <w:t xml:space="preserve"> א"כ כאן לענין מזונות הבנות קשה למה לא הביא הפוסקים הללו דס"ל דאית לה כתוב</w:t>
      </w:r>
      <w:r>
        <w:rPr>
          <w:rFonts w:cs="Arial" w:hint="cs"/>
          <w:rtl/>
        </w:rPr>
        <w:t>ה</w:t>
      </w:r>
      <w:r w:rsidRPr="00430571">
        <w:rPr>
          <w:rFonts w:cs="Arial"/>
          <w:rtl/>
        </w:rPr>
        <w:t xml:space="preserve"> </w:t>
      </w:r>
      <w:r>
        <w:rPr>
          <w:rFonts w:cs="Arial" w:hint="cs"/>
          <w:rtl/>
        </w:rPr>
        <w:t>ד</w:t>
      </w:r>
      <w:r w:rsidRPr="00430571">
        <w:rPr>
          <w:rFonts w:cs="Arial"/>
          <w:rtl/>
        </w:rPr>
        <w:t>כן אית לה מזונות</w:t>
      </w:r>
      <w:r>
        <w:rPr>
          <w:rFonts w:cs="Arial" w:hint="cs"/>
          <w:rtl/>
        </w:rPr>
        <w:t>.</w:t>
      </w:r>
      <w:r w:rsidRPr="00430571">
        <w:rPr>
          <w:rFonts w:cs="Arial"/>
          <w:rtl/>
        </w:rPr>
        <w:t xml:space="preserve"> ובד"מ לא הביא שום פוסק דס"ל דאית להו מזונות אלא כ' בשם הראב"ד דאית להו מזונות</w:t>
      </w:r>
      <w:r>
        <w:rPr>
          <w:rFonts w:cs="Arial" w:hint="cs"/>
          <w:rtl/>
        </w:rPr>
        <w:t>.</w:t>
      </w:r>
      <w:r w:rsidRPr="00430571">
        <w:rPr>
          <w:rFonts w:cs="Arial"/>
          <w:rtl/>
        </w:rPr>
        <w:t xml:space="preserve"> ובאמת כל הני פוסקים דסבירא להו דאית לה כתובה כן יש להן מזונות</w:t>
      </w:r>
      <w:r>
        <w:rPr>
          <w:rFonts w:cs="Arial" w:hint="cs"/>
          <w:rtl/>
        </w:rPr>
        <w:t>.</w:t>
      </w:r>
      <w:r w:rsidRPr="00430571">
        <w:rPr>
          <w:rFonts w:cs="Arial"/>
          <w:rtl/>
        </w:rPr>
        <w:t xml:space="preserve"> וא"ל שאני מזונות בנות דמהני שיהא פטור ויש לחוש שמא היה תנאי שיהיה פטור</w:t>
      </w:r>
      <w:r>
        <w:rPr>
          <w:rFonts w:cs="Arial" w:hint="cs"/>
          <w:rtl/>
        </w:rPr>
        <w:t>,</w:t>
      </w:r>
      <w:r w:rsidRPr="00430571">
        <w:rPr>
          <w:rFonts w:cs="Arial"/>
          <w:rtl/>
        </w:rPr>
        <w:t xml:space="preserve"> דהא תנאי ב"ד הוא אין לחוש שמא הי' תנאי כשם דלא חיישינן לפרעון</w:t>
      </w:r>
      <w:r>
        <w:rPr>
          <w:rFonts w:cs="Arial" w:hint="cs"/>
          <w:rtl/>
        </w:rPr>
        <w:t>.</w:t>
      </w:r>
      <w:r w:rsidRPr="00430571">
        <w:rPr>
          <w:rFonts w:cs="Arial"/>
          <w:rtl/>
        </w:rPr>
        <w:t xml:space="preserve"> וע"כ הטעם הוא כיון שהוא תנאי ב"ד לא אמרינן שמא פרע אלא בעינן בירור גמור</w:t>
      </w:r>
      <w:r>
        <w:rPr>
          <w:rFonts w:cs="Arial" w:hint="cs"/>
          <w:rtl/>
        </w:rPr>
        <w:t>,</w:t>
      </w:r>
      <w:r w:rsidRPr="00430571">
        <w:rPr>
          <w:rFonts w:cs="Arial"/>
          <w:rtl/>
        </w:rPr>
        <w:t xml:space="preserve"> כן ה"נ לא חיישינן שמא היה תנאי ביניהם</w:t>
      </w:r>
      <w:r>
        <w:rPr>
          <w:rFonts w:cs="Arial" w:hint="cs"/>
          <w:rtl/>
        </w:rPr>
        <w:t>.</w:t>
      </w:r>
      <w:r w:rsidRPr="00430571">
        <w:rPr>
          <w:rFonts w:cs="Arial"/>
          <w:rtl/>
        </w:rPr>
        <w:t xml:space="preserve"> גם מבואר כאן כשהכתובה בידה ולא נכתב חיוב מזונות לא אמרינן שהיה תנאי כך ביניהם אלא תלינן בט"ס כיון שהוא תנאי ב"ד</w:t>
      </w:r>
      <w:r>
        <w:rPr>
          <w:rFonts w:cs="Arial" w:hint="cs"/>
          <w:rtl/>
        </w:rPr>
        <w:t>.</w:t>
      </w:r>
      <w:r w:rsidRPr="00430571">
        <w:rPr>
          <w:rFonts w:cs="Arial"/>
          <w:rtl/>
        </w:rPr>
        <w:t xml:space="preserve"> ואפשר לומר הסברא כמ"ש בסי' הקודם הבנות אין להן טענות בריא אפילו אם אמם טוענת ברי ל</w:t>
      </w:r>
      <w:r>
        <w:rPr>
          <w:rFonts w:cs="Arial" w:hint="cs"/>
          <w:rtl/>
        </w:rPr>
        <w:t xml:space="preserve">א </w:t>
      </w:r>
      <w:r w:rsidRPr="00430571">
        <w:rPr>
          <w:rFonts w:cs="Arial"/>
          <w:rtl/>
        </w:rPr>
        <w:t>מ</w:t>
      </w:r>
      <w:r>
        <w:rPr>
          <w:rFonts w:cs="Arial" w:hint="cs"/>
          <w:rtl/>
        </w:rPr>
        <w:t>ועיל</w:t>
      </w:r>
      <w:r w:rsidRPr="00430571">
        <w:rPr>
          <w:rFonts w:cs="Arial"/>
          <w:rtl/>
        </w:rPr>
        <w:t xml:space="preserve"> ברי דידה כיון המעות שייך להבנות כמ"ש בסי' קי"ז</w:t>
      </w:r>
      <w:r w:rsidR="00674EE1">
        <w:rPr>
          <w:rFonts w:cs="Arial" w:hint="cs"/>
          <w:rtl/>
        </w:rPr>
        <w:t>,</w:t>
      </w:r>
      <w:r w:rsidRPr="00430571">
        <w:rPr>
          <w:rFonts w:cs="Arial"/>
          <w:rtl/>
        </w:rPr>
        <w:t xml:space="preserve"> וכמ"ש בתוספות </w:t>
      </w:r>
      <w:r w:rsidR="00674EE1">
        <w:rPr>
          <w:rFonts w:cs="Arial" w:hint="cs"/>
          <w:rtl/>
        </w:rPr>
        <w:t>(</w:t>
      </w:r>
      <w:r w:rsidRPr="00430571">
        <w:rPr>
          <w:rFonts w:cs="Arial"/>
          <w:rtl/>
        </w:rPr>
        <w:t>פרק המדיר עז</w:t>
      </w:r>
      <w:r w:rsidR="00674EE1">
        <w:rPr>
          <w:rFonts w:cs="Arial" w:hint="cs"/>
          <w:rtl/>
        </w:rPr>
        <w:t>.</w:t>
      </w:r>
      <w:r w:rsidRPr="00430571">
        <w:rPr>
          <w:rFonts w:cs="Arial"/>
          <w:rtl/>
        </w:rPr>
        <w:t xml:space="preserve"> ד"ה רישא</w:t>
      </w:r>
      <w:r w:rsidR="00674EE1">
        <w:rPr>
          <w:rFonts w:hint="cs"/>
          <w:rtl/>
        </w:rPr>
        <w:t>)</w:t>
      </w:r>
      <w:r>
        <w:rPr>
          <w:rFonts w:hint="cs"/>
          <w:rtl/>
        </w:rPr>
        <w:t>.</w:t>
      </w:r>
    </w:p>
  </w:footnote>
  <w:footnote w:id="2489">
    <w:p w14:paraId="33B473D9" w14:textId="77777777" w:rsidR="00392DBB" w:rsidRDefault="00392DBB" w:rsidP="00392DBB">
      <w:pPr>
        <w:pStyle w:val="a5"/>
      </w:pPr>
      <w:r>
        <w:rPr>
          <w:rStyle w:val="a7"/>
        </w:rPr>
        <w:footnoteRef/>
      </w:r>
      <w:r>
        <w:rPr>
          <w:rtl/>
        </w:rPr>
        <w:t xml:space="preserve"> </w:t>
      </w:r>
      <w:r w:rsidRPr="002B2468">
        <w:rPr>
          <w:rFonts w:cs="Arial"/>
          <w:rtl/>
        </w:rPr>
        <w:t>לעיל סימן ק"ה סעיף ד' סתם כדעת הרמב"ם וכאן לענין מזונות הבנו' הביא דעת הראב"ד החולק על הרמב"ם באשר גם המ"מ הניח הדבר בצ"ע לענין מזון הבנות ועיין בסי' צ"ג סעיף ט' ועיין בר"ן</w:t>
      </w:r>
      <w:r>
        <w:rPr>
          <w:rFonts w:cs="Arial" w:hint="cs"/>
          <w:rtl/>
        </w:rPr>
        <w:t>, ח"מ (סק"ג).</w:t>
      </w:r>
    </w:p>
  </w:footnote>
  <w:footnote w:id="2490">
    <w:p w14:paraId="2CCD0B26" w14:textId="669397CA" w:rsidR="00392DBB" w:rsidRDefault="00392DBB" w:rsidP="00392DBB">
      <w:pPr>
        <w:pStyle w:val="a5"/>
      </w:pPr>
      <w:r>
        <w:rPr>
          <w:rStyle w:val="a7"/>
        </w:rPr>
        <w:footnoteRef/>
      </w:r>
      <w:r>
        <w:rPr>
          <w:rtl/>
        </w:rPr>
        <w:t xml:space="preserve"> </w:t>
      </w:r>
      <w:r w:rsidRPr="005D16A7">
        <w:rPr>
          <w:rFonts w:cs="Arial"/>
          <w:rtl/>
        </w:rPr>
        <w:t>אי</w:t>
      </w:r>
      <w:r>
        <w:rPr>
          <w:rFonts w:cs="Arial" w:hint="cs"/>
          <w:rtl/>
        </w:rPr>
        <w:t>ני יודע</w:t>
      </w:r>
      <w:r w:rsidRPr="005D16A7">
        <w:rPr>
          <w:rFonts w:cs="Arial"/>
          <w:rtl/>
        </w:rPr>
        <w:t xml:space="preserve"> מנ"ל זאת</w:t>
      </w:r>
      <w:r>
        <w:rPr>
          <w:rFonts w:cs="Arial" w:hint="cs"/>
          <w:rtl/>
        </w:rPr>
        <w:t>,</w:t>
      </w:r>
      <w:r w:rsidRPr="005D16A7">
        <w:rPr>
          <w:rFonts w:cs="Arial"/>
          <w:rtl/>
        </w:rPr>
        <w:t xml:space="preserve"> כי לא נשמע זאת מהשגות הראב"ד הנ"ל </w:t>
      </w:r>
      <w:r w:rsidRPr="005D16A7">
        <w:rPr>
          <w:rFonts w:cs="Arial" w:hint="cs"/>
          <w:sz w:val="16"/>
          <w:szCs w:val="16"/>
          <w:rtl/>
        </w:rPr>
        <w:t>(</w:t>
      </w:r>
      <w:r w:rsidRPr="005D16A7">
        <w:rPr>
          <w:rFonts w:cs="Arial"/>
          <w:sz w:val="16"/>
          <w:szCs w:val="16"/>
          <w:rtl/>
        </w:rPr>
        <w:t>ודוחק לומר מ"ש בשם הראב"ד לא כתב בשמו אלא אם מחלה הכתוב</w:t>
      </w:r>
      <w:r>
        <w:rPr>
          <w:rFonts w:cs="Arial" w:hint="cs"/>
          <w:sz w:val="16"/>
          <w:szCs w:val="16"/>
          <w:rtl/>
        </w:rPr>
        <w:t>ה</w:t>
      </w:r>
      <w:r w:rsidRPr="005D16A7">
        <w:rPr>
          <w:rFonts w:cs="Arial"/>
          <w:sz w:val="16"/>
          <w:szCs w:val="16"/>
          <w:rtl/>
        </w:rPr>
        <w:t xml:space="preserve"> לא נמחל המזונות</w:t>
      </w:r>
      <w:r>
        <w:rPr>
          <w:rFonts w:cs="Arial" w:hint="cs"/>
          <w:sz w:val="16"/>
          <w:szCs w:val="16"/>
          <w:rtl/>
        </w:rPr>
        <w:t>,</w:t>
      </w:r>
      <w:r w:rsidRPr="005D16A7">
        <w:rPr>
          <w:rFonts w:cs="Arial"/>
          <w:sz w:val="16"/>
          <w:szCs w:val="16"/>
          <w:rtl/>
        </w:rPr>
        <w:t xml:space="preserve"> ומ"ש אפי' אין שטר הכתובה בידה זאת לא כתב בשם הראב"ד אלא כן הוא דעת ר"י שהביא בסי' ק' </w:t>
      </w:r>
      <w:r>
        <w:rPr>
          <w:rFonts w:cs="Arial" w:hint="cs"/>
          <w:sz w:val="16"/>
          <w:szCs w:val="16"/>
          <w:rtl/>
        </w:rPr>
        <w:t xml:space="preserve">- </w:t>
      </w:r>
      <w:r w:rsidRPr="005D16A7">
        <w:rPr>
          <w:rFonts w:cs="Arial"/>
          <w:sz w:val="16"/>
          <w:szCs w:val="16"/>
          <w:rtl/>
        </w:rPr>
        <w:t>דהא בד"מ לא הביא דעת ר"י בסי' זה רק הביא דעת הראב"ד</w:t>
      </w:r>
      <w:r w:rsidRPr="005D16A7">
        <w:rPr>
          <w:rFonts w:cs="Arial" w:hint="cs"/>
          <w:sz w:val="16"/>
          <w:szCs w:val="16"/>
          <w:rtl/>
        </w:rPr>
        <w:t>)</w:t>
      </w:r>
      <w:r>
        <w:rPr>
          <w:rFonts w:cs="Arial" w:hint="cs"/>
          <w:rtl/>
        </w:rPr>
        <w:t>.</w:t>
      </w:r>
      <w:r w:rsidRPr="005D16A7">
        <w:rPr>
          <w:rFonts w:cs="Arial"/>
          <w:rtl/>
        </w:rPr>
        <w:t xml:space="preserve"> ואפשר דס"ל כיון דאין מזונות הבנות תלי' בכתובה</w:t>
      </w:r>
      <w:r w:rsidR="00674EE1">
        <w:rPr>
          <w:rFonts w:cs="Arial" w:hint="cs"/>
          <w:rtl/>
        </w:rPr>
        <w:t>,</w:t>
      </w:r>
      <w:r w:rsidRPr="005D16A7">
        <w:rPr>
          <w:rFonts w:cs="Arial"/>
          <w:rtl/>
        </w:rPr>
        <w:t xml:space="preserve"> א"כ לענין מזונות הוי כאלו אין ריעותא לפנינו אע</w:t>
      </w:r>
      <w:r>
        <w:rPr>
          <w:rFonts w:cs="Arial" w:hint="cs"/>
          <w:rtl/>
        </w:rPr>
        <w:t>"</w:t>
      </w:r>
      <w:r w:rsidRPr="005D16A7">
        <w:rPr>
          <w:rFonts w:cs="Arial"/>
          <w:rtl/>
        </w:rPr>
        <w:t>פ שאין הכתובה בידה מ"מ לענין מזונות ליכא ריעותא דלא תליא מזונות בכתובה</w:t>
      </w:r>
      <w:r>
        <w:rPr>
          <w:rFonts w:cs="Arial" w:hint="cs"/>
          <w:rtl/>
        </w:rPr>
        <w:t>.</w:t>
      </w:r>
      <w:r w:rsidRPr="005D16A7">
        <w:rPr>
          <w:rFonts w:cs="Arial"/>
          <w:rtl/>
        </w:rPr>
        <w:t xml:space="preserve"> גם יש לו</w:t>
      </w:r>
      <w:r>
        <w:rPr>
          <w:rFonts w:cs="Arial" w:hint="cs"/>
          <w:rtl/>
        </w:rPr>
        <w:t>מר</w:t>
      </w:r>
      <w:r w:rsidRPr="005D16A7">
        <w:rPr>
          <w:rFonts w:cs="Arial"/>
          <w:rtl/>
        </w:rPr>
        <w:t xml:space="preserve"> דס"ל לראב"ד כיון דאין מזונות תלי' בכתובה אי</w:t>
      </w:r>
      <w:r>
        <w:rPr>
          <w:rFonts w:cs="Arial" w:hint="cs"/>
          <w:rtl/>
        </w:rPr>
        <w:t>נה יכולה</w:t>
      </w:r>
      <w:r w:rsidRPr="005D16A7">
        <w:rPr>
          <w:rFonts w:cs="Arial"/>
          <w:rtl/>
        </w:rPr>
        <w:t xml:space="preserve"> למחול זכות הבנות</w:t>
      </w:r>
      <w:r>
        <w:rPr>
          <w:rFonts w:cs="Arial" w:hint="cs"/>
          <w:rtl/>
        </w:rPr>
        <w:t>.</w:t>
      </w:r>
      <w:r w:rsidRPr="005D16A7">
        <w:rPr>
          <w:rFonts w:cs="Arial"/>
          <w:rtl/>
        </w:rPr>
        <w:t xml:space="preserve"> כי בשלמא כשהכל נגרר אחר הכתובה אז כיון שהיא מחלה זכותה ממילא נמחל הכל</w:t>
      </w:r>
      <w:r w:rsidR="00674EE1">
        <w:rPr>
          <w:rFonts w:cs="Arial" w:hint="cs"/>
          <w:rtl/>
        </w:rPr>
        <w:t>,</w:t>
      </w:r>
      <w:r w:rsidRPr="005D16A7">
        <w:rPr>
          <w:rFonts w:cs="Arial"/>
          <w:rtl/>
        </w:rPr>
        <w:t xml:space="preserve"> אבל למאן דס"ל דמזונות לא נגרר אחר הכתובה א"י למחול</w:t>
      </w:r>
      <w:r>
        <w:rPr>
          <w:rFonts w:cs="Arial" w:hint="cs"/>
          <w:rtl/>
        </w:rPr>
        <w:t>.</w:t>
      </w:r>
      <w:r w:rsidRPr="005D16A7">
        <w:rPr>
          <w:rFonts w:cs="Arial"/>
          <w:rtl/>
        </w:rPr>
        <w:t xml:space="preserve"> והטור ס"ל כהרמב"ם כמ"ש בסי' ק"ה והא דפסק בסי' קי"ד דאי</w:t>
      </w:r>
      <w:r>
        <w:rPr>
          <w:rFonts w:cs="Arial" w:hint="cs"/>
          <w:rtl/>
        </w:rPr>
        <w:t>נה יכולה</w:t>
      </w:r>
      <w:r w:rsidRPr="005D16A7">
        <w:rPr>
          <w:rFonts w:cs="Arial"/>
          <w:rtl/>
        </w:rPr>
        <w:t xml:space="preserve"> למחול מזון בנותי</w:t>
      </w:r>
      <w:r>
        <w:rPr>
          <w:rFonts w:cs="Arial" w:hint="cs"/>
          <w:rtl/>
        </w:rPr>
        <w:t>ה</w:t>
      </w:r>
      <w:r w:rsidRPr="005D16A7">
        <w:rPr>
          <w:rFonts w:cs="Arial"/>
          <w:rtl/>
        </w:rPr>
        <w:t xml:space="preserve"> תירץ בח"מ מזון בנותי' כבר זכו הבנות שהיו בעולם לכן א"י למחול אבל בנותיו דעדיין לא היו בעולם ולא זכו יכולה למחול</w:t>
      </w:r>
      <w:r>
        <w:rPr>
          <w:rFonts w:cs="Arial" w:hint="cs"/>
          <w:rtl/>
        </w:rPr>
        <w:t>.</w:t>
      </w:r>
      <w:r w:rsidRPr="005D16A7">
        <w:rPr>
          <w:rFonts w:cs="Arial"/>
          <w:rtl/>
        </w:rPr>
        <w:t xml:space="preserve"> ולמ"ש א"צ לזה</w:t>
      </w:r>
      <w:r>
        <w:rPr>
          <w:rFonts w:cs="Arial" w:hint="cs"/>
          <w:rtl/>
        </w:rPr>
        <w:t>,</w:t>
      </w:r>
      <w:r w:rsidRPr="005D16A7">
        <w:rPr>
          <w:rFonts w:cs="Arial"/>
          <w:rtl/>
        </w:rPr>
        <w:t xml:space="preserve"> אלא מזון בנותיו שאני שהוא תנאי כתובה ונגרר אחר הכתובה לכן יכולה למחול כמו דיכולה למחול הכתובה</w:t>
      </w:r>
      <w:r>
        <w:rPr>
          <w:rFonts w:cs="Arial" w:hint="cs"/>
          <w:rtl/>
        </w:rPr>
        <w:t>,</w:t>
      </w:r>
      <w:r w:rsidRPr="005D16A7">
        <w:rPr>
          <w:rFonts w:cs="Arial"/>
          <w:rtl/>
        </w:rPr>
        <w:t xml:space="preserve"> אבל שאר זכות הבנות א"י למחול</w:t>
      </w:r>
      <w:r>
        <w:rPr>
          <w:rFonts w:cs="Arial" w:hint="cs"/>
          <w:rtl/>
        </w:rPr>
        <w:t>.</w:t>
      </w:r>
      <w:r w:rsidRPr="005D16A7">
        <w:rPr>
          <w:rFonts w:cs="Arial"/>
          <w:rtl/>
        </w:rPr>
        <w:t xml:space="preserve"> ובסי' ק"ה </w:t>
      </w:r>
      <w:r>
        <w:rPr>
          <w:rFonts w:cs="Arial" w:hint="cs"/>
          <w:rtl/>
        </w:rPr>
        <w:t>ד</w:t>
      </w:r>
      <w:r w:rsidRPr="005D16A7">
        <w:rPr>
          <w:rFonts w:cs="Arial"/>
          <w:rtl/>
        </w:rPr>
        <w:t>לא הביא הרב רמ"א דעת הראב"ד על מ"ש המחבר שם במוחל' אבדה כל ת"כ</w:t>
      </w:r>
      <w:r>
        <w:rPr>
          <w:rFonts w:cs="Arial" w:hint="cs"/>
          <w:rtl/>
        </w:rPr>
        <w:t>,</w:t>
      </w:r>
      <w:r w:rsidRPr="005D16A7">
        <w:rPr>
          <w:rFonts w:cs="Arial"/>
          <w:rtl/>
        </w:rPr>
        <w:t xml:space="preserve"> י"ל דשם איירי כל תנאי שלה וזכות שלה קאמר והר"ן פנ"ש והמגיד פ' י"ט ס"ל כדעת הראב"ד בזה</w:t>
      </w:r>
      <w:r>
        <w:rPr>
          <w:rFonts w:cs="Arial" w:hint="cs"/>
          <w:rtl/>
        </w:rPr>
        <w:t>, ב"ש (סק"ג).</w:t>
      </w:r>
    </w:p>
  </w:footnote>
  <w:footnote w:id="2491">
    <w:p w14:paraId="513176F0" w14:textId="77777777" w:rsidR="00392DBB" w:rsidRDefault="00392DBB" w:rsidP="00392DBB">
      <w:pPr>
        <w:pStyle w:val="a5"/>
        <w:rPr>
          <w:rtl/>
        </w:rPr>
      </w:pPr>
      <w:r>
        <w:rPr>
          <w:rStyle w:val="a7"/>
        </w:rPr>
        <w:footnoteRef/>
      </w:r>
      <w:r>
        <w:rPr>
          <w:rtl/>
        </w:rPr>
        <w:t xml:space="preserve"> </w:t>
      </w:r>
      <w:r w:rsidRPr="002B2468">
        <w:rPr>
          <w:rFonts w:cs="Arial"/>
          <w:rtl/>
        </w:rPr>
        <w:t>לא נתבאר אם מחלה אמם תנאי זה של מזונות הבנות בפי</w:t>
      </w:r>
      <w:r>
        <w:rPr>
          <w:rFonts w:cs="Arial" w:hint="cs"/>
          <w:rtl/>
        </w:rPr>
        <w:t>רוש</w:t>
      </w:r>
      <w:r w:rsidRPr="002B2468">
        <w:rPr>
          <w:rFonts w:cs="Arial"/>
          <w:rtl/>
        </w:rPr>
        <w:t xml:space="preserve"> אם מהני מחילה לדעת הראב"ד</w:t>
      </w:r>
      <w:r>
        <w:rPr>
          <w:rFonts w:hint="cs"/>
          <w:rtl/>
        </w:rPr>
        <w:t>, ח"מ (סק"ד).</w:t>
      </w:r>
    </w:p>
  </w:footnote>
  <w:footnote w:id="2492">
    <w:p w14:paraId="71ACAFA0" w14:textId="77777777" w:rsidR="00392DBB" w:rsidRDefault="00392DBB" w:rsidP="00392DBB">
      <w:pPr>
        <w:pStyle w:val="a5"/>
      </w:pPr>
      <w:r>
        <w:rPr>
          <w:rStyle w:val="a7"/>
        </w:rPr>
        <w:footnoteRef/>
      </w:r>
      <w:r>
        <w:rPr>
          <w:rtl/>
        </w:rPr>
        <w:t xml:space="preserve"> </w:t>
      </w:r>
      <w:r w:rsidRPr="002B2468">
        <w:rPr>
          <w:rFonts w:cs="Arial"/>
          <w:rtl/>
        </w:rPr>
        <w:t>כלומר אע</w:t>
      </w:r>
      <w:r>
        <w:rPr>
          <w:rFonts w:cs="Arial" w:hint="cs"/>
          <w:rtl/>
        </w:rPr>
        <w:t>"</w:t>
      </w:r>
      <w:r w:rsidRPr="002B2468">
        <w:rPr>
          <w:rFonts w:cs="Arial"/>
          <w:rtl/>
        </w:rPr>
        <w:t xml:space="preserve">פ שאין לה מזונות יש לבנות מזונות אחר מיתת אביהם </w:t>
      </w:r>
      <w:r w:rsidRPr="002C01F1">
        <w:rPr>
          <w:rFonts w:cs="Arial" w:hint="cs"/>
          <w:sz w:val="16"/>
          <w:szCs w:val="16"/>
          <w:rtl/>
        </w:rPr>
        <w:t>(</w:t>
      </w:r>
      <w:r w:rsidRPr="002C01F1">
        <w:rPr>
          <w:rFonts w:cs="Arial"/>
          <w:sz w:val="16"/>
          <w:szCs w:val="16"/>
          <w:rtl/>
        </w:rPr>
        <w:t>ולא תימא לא עדיפי הבנות ממנה דאתו מחמתה</w:t>
      </w:r>
      <w:r w:rsidRPr="002C01F1">
        <w:rPr>
          <w:rFonts w:cs="Arial" w:hint="cs"/>
          <w:sz w:val="16"/>
          <w:szCs w:val="16"/>
          <w:rtl/>
        </w:rPr>
        <w:t xml:space="preserve"> -</w:t>
      </w:r>
      <w:r w:rsidRPr="002C01F1">
        <w:rPr>
          <w:rFonts w:cs="Arial"/>
          <w:sz w:val="16"/>
          <w:szCs w:val="16"/>
          <w:rtl/>
        </w:rPr>
        <w:t xml:space="preserve"> דהא אפילו מתה בחיי בעלה לא הפסידו הבנות תנאי שלהם</w:t>
      </w:r>
      <w:r w:rsidRPr="002C01F1">
        <w:rPr>
          <w:rFonts w:cs="Arial" w:hint="cs"/>
          <w:sz w:val="16"/>
          <w:szCs w:val="16"/>
          <w:rtl/>
        </w:rPr>
        <w:t>,</w:t>
      </w:r>
      <w:r w:rsidRPr="002C01F1">
        <w:rPr>
          <w:rFonts w:cs="Arial"/>
          <w:sz w:val="16"/>
          <w:szCs w:val="16"/>
          <w:rtl/>
        </w:rPr>
        <w:t xml:space="preserve"> וכ"כ בטור</w:t>
      </w:r>
      <w:r w:rsidRPr="002C01F1">
        <w:rPr>
          <w:rFonts w:cs="Arial" w:hint="cs"/>
          <w:sz w:val="16"/>
          <w:szCs w:val="16"/>
          <w:rtl/>
        </w:rPr>
        <w:t>)</w:t>
      </w:r>
      <w:r w:rsidRPr="002B2468">
        <w:rPr>
          <w:rFonts w:cs="Arial"/>
          <w:rtl/>
        </w:rPr>
        <w:t xml:space="preserve"> אבל מבני חרי ניזונית אע</w:t>
      </w:r>
      <w:r>
        <w:rPr>
          <w:rFonts w:cs="Arial" w:hint="cs"/>
          <w:rtl/>
        </w:rPr>
        <w:t>"</w:t>
      </w:r>
      <w:r w:rsidRPr="002B2468">
        <w:rPr>
          <w:rFonts w:cs="Arial"/>
          <w:rtl/>
        </w:rPr>
        <w:t>פ שגירשה ולא אמרינן כבר נתבטל תנאי ב"ד</w:t>
      </w:r>
      <w:r>
        <w:rPr>
          <w:rFonts w:cs="Arial" w:hint="cs"/>
          <w:rtl/>
        </w:rPr>
        <w:t>, ח"מ (סק"ה).</w:t>
      </w:r>
    </w:p>
  </w:footnote>
  <w:footnote w:id="2493">
    <w:p w14:paraId="08DA702F" w14:textId="77777777" w:rsidR="00392DBB" w:rsidRDefault="00392DBB" w:rsidP="00392DBB">
      <w:pPr>
        <w:pStyle w:val="a5"/>
      </w:pPr>
      <w:r>
        <w:rPr>
          <w:rStyle w:val="a7"/>
        </w:rPr>
        <w:footnoteRef/>
      </w:r>
      <w:r>
        <w:rPr>
          <w:rtl/>
        </w:rPr>
        <w:t xml:space="preserve"> </w:t>
      </w:r>
      <w:r w:rsidRPr="002C01F1">
        <w:rPr>
          <w:rFonts w:cs="Arial"/>
          <w:rtl/>
        </w:rPr>
        <w:t>היינו לכ</w:t>
      </w:r>
      <w:r>
        <w:rPr>
          <w:rFonts w:cs="Arial" w:hint="cs"/>
          <w:rtl/>
        </w:rPr>
        <w:t>ו</w:t>
      </w:r>
      <w:r w:rsidRPr="002C01F1">
        <w:rPr>
          <w:rFonts w:cs="Arial"/>
          <w:rtl/>
        </w:rPr>
        <w:t>"ע הדין כן אפי' אם נתגרשה חייב במזונות הבנות שנולדו לה קודם הגט</w:t>
      </w:r>
      <w:r>
        <w:rPr>
          <w:rFonts w:cs="Arial" w:hint="cs"/>
          <w:rtl/>
        </w:rPr>
        <w:t>,</w:t>
      </w:r>
      <w:r w:rsidRPr="002C01F1">
        <w:rPr>
          <w:rFonts w:cs="Arial"/>
          <w:rtl/>
        </w:rPr>
        <w:t xml:space="preserve"> כ"כ הטור</w:t>
      </w:r>
      <w:r>
        <w:rPr>
          <w:rFonts w:cs="Arial" w:hint="cs"/>
          <w:rtl/>
        </w:rPr>
        <w:t>.</w:t>
      </w:r>
      <w:r w:rsidRPr="002C01F1">
        <w:rPr>
          <w:rFonts w:cs="Arial"/>
          <w:rtl/>
        </w:rPr>
        <w:t xml:space="preserve"> ונראה אפי' אם נתעברה וילדה אחר הגט נמי בכלל החיוב</w:t>
      </w:r>
      <w:r>
        <w:rPr>
          <w:rFonts w:cs="Arial" w:hint="cs"/>
          <w:rtl/>
        </w:rPr>
        <w:t>, ב"ש (סק"ד).</w:t>
      </w:r>
    </w:p>
  </w:footnote>
  <w:footnote w:id="2494">
    <w:p w14:paraId="6DA06F14" w14:textId="720A62E2" w:rsidR="004574D1" w:rsidRDefault="004574D1" w:rsidP="004574D1">
      <w:pPr>
        <w:pStyle w:val="a5"/>
        <w:rPr>
          <w:rtl/>
        </w:rPr>
      </w:pPr>
      <w:r>
        <w:rPr>
          <w:rStyle w:val="a7"/>
        </w:rPr>
        <w:footnoteRef/>
      </w:r>
      <w:r>
        <w:rPr>
          <w:rtl/>
        </w:rPr>
        <w:t xml:space="preserve"> </w:t>
      </w:r>
      <w:r>
        <w:rPr>
          <w:rFonts w:hint="cs"/>
          <w:rtl/>
        </w:rPr>
        <w:t>סימן - מציאתה/מעשיה לגרמיה.</w:t>
      </w:r>
    </w:p>
  </w:footnote>
  <w:footnote w:id="2495">
    <w:p w14:paraId="3F0E73A5" w14:textId="77777777" w:rsidR="00392DBB" w:rsidRDefault="00392DBB" w:rsidP="00392DBB">
      <w:pPr>
        <w:pStyle w:val="a5"/>
        <w:rPr>
          <w:rtl/>
        </w:rPr>
      </w:pPr>
      <w:r>
        <w:rPr>
          <w:rStyle w:val="a7"/>
        </w:rPr>
        <w:footnoteRef/>
      </w:r>
      <w:r>
        <w:rPr>
          <w:rtl/>
        </w:rPr>
        <w:t xml:space="preserve"> </w:t>
      </w:r>
      <w:r w:rsidRPr="00F05CBF">
        <w:rPr>
          <w:rFonts w:cs="Arial"/>
          <w:rtl/>
        </w:rPr>
        <w:t>הוא רבי זירא הוא רב זירא אלא בבבל מקמי דסליק לארעא דישראל לקמיה דרבי יוחנן ואין סמיכה בבבל הוו קרו ליה רב זירא ובהא שמעתא איכא למ"ד מקמי דסמכוהו אמרה ואיכא למ"ד בתר דסמכוהו אמרה</w:t>
      </w:r>
      <w:r>
        <w:rPr>
          <w:rFonts w:hint="cs"/>
          <w:rtl/>
        </w:rPr>
        <w:t>, רש"י.</w:t>
      </w:r>
    </w:p>
  </w:footnote>
  <w:footnote w:id="2496">
    <w:p w14:paraId="2877601A" w14:textId="77777777" w:rsidR="00392DBB" w:rsidRDefault="00392DBB" w:rsidP="00392DBB">
      <w:pPr>
        <w:pStyle w:val="a5"/>
        <w:rPr>
          <w:rtl/>
        </w:rPr>
      </w:pPr>
      <w:r>
        <w:rPr>
          <w:rStyle w:val="a7"/>
        </w:rPr>
        <w:footnoteRef/>
      </w:r>
      <w:r>
        <w:rPr>
          <w:rtl/>
        </w:rPr>
        <w:t xml:space="preserve"> </w:t>
      </w:r>
      <w:r>
        <w:rPr>
          <w:rFonts w:hint="cs"/>
          <w:rtl/>
        </w:rPr>
        <w:t>בעבדים כנעניים.</w:t>
      </w:r>
    </w:p>
  </w:footnote>
  <w:footnote w:id="2497">
    <w:p w14:paraId="06AE9326" w14:textId="77777777" w:rsidR="00392DBB" w:rsidRDefault="00392DBB" w:rsidP="00392DBB">
      <w:pPr>
        <w:pStyle w:val="a5"/>
      </w:pPr>
      <w:r>
        <w:rPr>
          <w:rStyle w:val="a7"/>
        </w:rPr>
        <w:footnoteRef/>
      </w:r>
      <w:r>
        <w:rPr>
          <w:rtl/>
        </w:rPr>
        <w:t xml:space="preserve"> </w:t>
      </w:r>
      <w:r w:rsidRPr="007D3C69">
        <w:rPr>
          <w:rFonts w:cs="Arial"/>
          <w:rtl/>
        </w:rPr>
        <w:t>משא"כ גבי אלמנה הניזונית מן היורשים נתבאר לעיל סימן צ"ה דמעשה ידיה של יורשים ומציאתה לעצמה אבל בתו ניחא ליה בהרוחה דידה וגם מעשה ידיה של עצמה</w:t>
      </w:r>
      <w:r>
        <w:rPr>
          <w:rFonts w:cs="Arial" w:hint="cs"/>
          <w:rtl/>
        </w:rPr>
        <w:t>, ח"מ (סק"ו).</w:t>
      </w:r>
    </w:p>
  </w:footnote>
  <w:footnote w:id="2498">
    <w:p w14:paraId="724FDA24" w14:textId="77777777" w:rsidR="00392DBB" w:rsidRDefault="00392DBB" w:rsidP="00392DBB">
      <w:pPr>
        <w:pStyle w:val="a5"/>
        <w:rPr>
          <w:rtl/>
        </w:rPr>
      </w:pPr>
      <w:r>
        <w:rPr>
          <w:rStyle w:val="a7"/>
        </w:rPr>
        <w:footnoteRef/>
      </w:r>
      <w:r>
        <w:rPr>
          <w:rtl/>
        </w:rPr>
        <w:t xml:space="preserve"> </w:t>
      </w:r>
      <w:r w:rsidRPr="001B0B78">
        <w:rPr>
          <w:rFonts w:cs="Arial"/>
          <w:rtl/>
        </w:rPr>
        <w:t xml:space="preserve">ר"ח </w:t>
      </w:r>
      <w:r>
        <w:rPr>
          <w:rFonts w:cs="Arial" w:hint="cs"/>
          <w:sz w:val="16"/>
          <w:szCs w:val="16"/>
          <w:rtl/>
        </w:rPr>
        <w:t>(כ"כ בשמו הה"מ [פי"ט ה"י] והר"ן [יט: ד"ה גרסי'])</w:t>
      </w:r>
      <w:r w:rsidRPr="00EC48C9">
        <w:rPr>
          <w:rFonts w:cs="Arial"/>
          <w:rtl/>
        </w:rPr>
        <w:t xml:space="preserve"> </w:t>
      </w:r>
      <w:r w:rsidRPr="001B0B78">
        <w:rPr>
          <w:rFonts w:cs="Arial"/>
          <w:rtl/>
        </w:rPr>
        <w:t>בהעי</w:t>
      </w:r>
      <w:r>
        <w:rPr>
          <w:rFonts w:cs="Arial" w:hint="cs"/>
          <w:rtl/>
        </w:rPr>
        <w:t>"</w:t>
      </w:r>
      <w:r w:rsidRPr="001B0B78">
        <w:rPr>
          <w:rFonts w:cs="Arial"/>
          <w:rtl/>
        </w:rPr>
        <w:t xml:space="preserve">ט </w:t>
      </w:r>
      <w:r w:rsidRPr="00EC48C9">
        <w:rPr>
          <w:rFonts w:cs="Arial"/>
          <w:sz w:val="16"/>
          <w:szCs w:val="16"/>
          <w:rtl/>
        </w:rPr>
        <w:t>(אות כ' כתובות לג ע"א</w:t>
      </w:r>
      <w:r>
        <w:rPr>
          <w:rFonts w:cs="Arial" w:hint="cs"/>
          <w:sz w:val="16"/>
          <w:szCs w:val="16"/>
          <w:rtl/>
        </w:rPr>
        <w:t>, כ"כ בשמו הה"מ [שם] והר"ן [שם]</w:t>
      </w:r>
      <w:r w:rsidRPr="00EC48C9">
        <w:rPr>
          <w:rFonts w:cs="Arial"/>
          <w:sz w:val="16"/>
          <w:szCs w:val="16"/>
          <w:rtl/>
        </w:rPr>
        <w:t>)</w:t>
      </w:r>
      <w:r w:rsidRPr="001B0B78">
        <w:rPr>
          <w:rFonts w:cs="Arial"/>
          <w:rtl/>
        </w:rPr>
        <w:t xml:space="preserve"> ורשב"א </w:t>
      </w:r>
      <w:r w:rsidRPr="00EC48C9">
        <w:rPr>
          <w:rFonts w:cs="Arial"/>
          <w:sz w:val="16"/>
          <w:szCs w:val="16"/>
          <w:rtl/>
        </w:rPr>
        <w:t>(נג: ד"ה כי)</w:t>
      </w:r>
      <w:r>
        <w:rPr>
          <w:rFonts w:hint="cs"/>
          <w:rtl/>
        </w:rPr>
        <w:t>.</w:t>
      </w:r>
    </w:p>
  </w:footnote>
  <w:footnote w:id="2499">
    <w:p w14:paraId="7C707FE6" w14:textId="77777777" w:rsidR="00392DBB" w:rsidRDefault="00392DBB" w:rsidP="00392DBB">
      <w:pPr>
        <w:pStyle w:val="a5"/>
      </w:pPr>
      <w:r>
        <w:rPr>
          <w:rStyle w:val="a7"/>
        </w:rPr>
        <w:footnoteRef/>
      </w:r>
      <w:r>
        <w:rPr>
          <w:rtl/>
        </w:rPr>
        <w:t xml:space="preserve"> </w:t>
      </w:r>
      <w:r w:rsidRPr="001B0B78">
        <w:rPr>
          <w:rFonts w:cs="Arial"/>
          <w:rtl/>
        </w:rPr>
        <w:t>דלאו כל כמינייהו לארסה כשהיא קטנה להפקיע מזונותיה</w:t>
      </w:r>
      <w:r>
        <w:rPr>
          <w:rFonts w:cs="Arial" w:hint="cs"/>
          <w:rtl/>
        </w:rPr>
        <w:t xml:space="preserve">, </w:t>
      </w:r>
      <w:r w:rsidRPr="001B0B78">
        <w:rPr>
          <w:rFonts w:cs="Arial"/>
          <w:rtl/>
        </w:rPr>
        <w:t>ר"ן (יט: ד"ה גרסי')</w:t>
      </w:r>
      <w:r>
        <w:rPr>
          <w:rFonts w:cs="Arial" w:hint="cs"/>
          <w:rtl/>
        </w:rPr>
        <w:t xml:space="preserve"> בשם ר"ח ובהעי"ט. וכתב עוד הר"ן</w:t>
      </w:r>
      <w:r w:rsidRPr="001B0B78">
        <w:rPr>
          <w:rFonts w:cs="Arial"/>
          <w:rtl/>
        </w:rPr>
        <w:t xml:space="preserve"> </w:t>
      </w:r>
      <w:r>
        <w:rPr>
          <w:rFonts w:cs="Arial" w:hint="cs"/>
          <w:rtl/>
        </w:rPr>
        <w:t>(שם) ד</w:t>
      </w:r>
      <w:r w:rsidRPr="001B0B78">
        <w:rPr>
          <w:rFonts w:cs="Arial"/>
          <w:rtl/>
        </w:rPr>
        <w:t>הרשב"א (שם) הוסיף דמסתברא דאפילו אירסוה לדעתה לא הפסידה מזונותיה משום דאין מעשה קטנה כלום וכדתנן בפרק מציאת האשה (כתובות סח.) יתומה שהשיאתה אמה או אחיה לדעתה וכתבו לה במאה או בחמשים זוז וכו' ולפי טעמו ז"ל אפילו מחילה בפירוש לא מהני וצ"ע בדין זה וכו' ומכל מקום בתר תקנתא דתקון בתראי ז"ל שיהו הבנות נזונות מן המטלטלין מחלה בפירוש פשיטא דמהני עכ"ל</w:t>
      </w:r>
      <w:r>
        <w:rPr>
          <w:rFonts w:cs="Arial" w:hint="cs"/>
          <w:rtl/>
        </w:rPr>
        <w:t>.</w:t>
      </w:r>
    </w:p>
  </w:footnote>
  <w:footnote w:id="2500">
    <w:p w14:paraId="02E79F42" w14:textId="4B2B8F4D" w:rsidR="00392DBB" w:rsidRDefault="00392DBB" w:rsidP="00392DBB">
      <w:pPr>
        <w:pStyle w:val="a5"/>
      </w:pPr>
      <w:r>
        <w:rPr>
          <w:rStyle w:val="a7"/>
        </w:rPr>
        <w:footnoteRef/>
      </w:r>
      <w:r>
        <w:rPr>
          <w:rtl/>
        </w:rPr>
        <w:t xml:space="preserve"> </w:t>
      </w:r>
      <w:r w:rsidRPr="00765A28">
        <w:rPr>
          <w:rFonts w:cs="Arial"/>
          <w:rtl/>
        </w:rPr>
        <w:t>ארוסה יתומה יש לה מזונות מן האחין או לא</w:t>
      </w:r>
      <w:r>
        <w:rPr>
          <w:rFonts w:cs="Arial" w:hint="cs"/>
          <w:rtl/>
        </w:rPr>
        <w:t>, רש"י.</w:t>
      </w:r>
      <w:r>
        <w:rPr>
          <w:rFonts w:hint="cs"/>
          <w:rtl/>
        </w:rPr>
        <w:t xml:space="preserve"> </w:t>
      </w:r>
      <w:r w:rsidR="00A853E2">
        <w:rPr>
          <w:rFonts w:hint="cs"/>
          <w:rtl/>
        </w:rPr>
        <w:t xml:space="preserve">    </w:t>
      </w:r>
      <w:r>
        <w:rPr>
          <w:rFonts w:hint="cs"/>
          <w:rtl/>
        </w:rPr>
        <w:t>ולפי זה יש לשאול מדוע הגמרא שואל כן, והרי הגמרא לפני כן בסמוך הביאה את המחלוקת של רב ולוי. וכתבו התוס' (שם ד"ה ארוסה יש לה)</w:t>
      </w:r>
      <w:r w:rsidRPr="003622F0">
        <w:rPr>
          <w:rtl/>
        </w:rPr>
        <w:t xml:space="preserve"> </w:t>
      </w:r>
      <w:r>
        <w:rPr>
          <w:rFonts w:hint="cs"/>
          <w:rtl/>
        </w:rPr>
        <w:t>ד</w:t>
      </w:r>
      <w:r w:rsidRPr="003622F0">
        <w:rPr>
          <w:rFonts w:cs="Arial"/>
          <w:rtl/>
        </w:rPr>
        <w:t>לא שמיע ליה פלוגתא דתנאי דלעיל אי נמי שמיע ליה ומבעיא ליה היכי הלכתא</w:t>
      </w:r>
      <w:r>
        <w:rPr>
          <w:rFonts w:hint="cs"/>
          <w:rtl/>
        </w:rPr>
        <w:t>.</w:t>
      </w:r>
    </w:p>
  </w:footnote>
  <w:footnote w:id="2501">
    <w:p w14:paraId="0AD54E78" w14:textId="6BF41213" w:rsidR="00392DBB" w:rsidRDefault="00392DBB" w:rsidP="00392DBB">
      <w:pPr>
        <w:pStyle w:val="a5"/>
      </w:pPr>
      <w:r>
        <w:rPr>
          <w:rStyle w:val="a7"/>
        </w:rPr>
        <w:footnoteRef/>
      </w:r>
      <w:r>
        <w:rPr>
          <w:rtl/>
        </w:rPr>
        <w:t xml:space="preserve"> </w:t>
      </w:r>
      <w:r w:rsidRPr="00765A28">
        <w:rPr>
          <w:rFonts w:cs="Arial"/>
          <w:rtl/>
        </w:rPr>
        <w:t>מסברא אני אומר שאין לה מזונות מן האחין</w:t>
      </w:r>
      <w:r w:rsidR="00DD22FF">
        <w:rPr>
          <w:rFonts w:cs="Arial" w:hint="cs"/>
          <w:rtl/>
        </w:rPr>
        <w:t>.</w:t>
      </w:r>
      <w:r w:rsidRPr="00765A28">
        <w:rPr>
          <w:rFonts w:cs="Arial"/>
          <w:rtl/>
        </w:rPr>
        <w:t xml:space="preserve"> דמאי טעמא תקון רבנן מזונות לבת מנכסי האב</w:t>
      </w:r>
      <w:r w:rsidR="00DD22FF">
        <w:rPr>
          <w:rFonts w:cs="Arial" w:hint="cs"/>
          <w:rtl/>
        </w:rPr>
        <w:t>,</w:t>
      </w:r>
      <w:r w:rsidRPr="00765A28">
        <w:rPr>
          <w:rFonts w:cs="Arial"/>
          <w:rtl/>
        </w:rPr>
        <w:t xml:space="preserve"> כי היכי דלא תיתזיל על הפתחים</w:t>
      </w:r>
      <w:r w:rsidR="00DD22FF">
        <w:rPr>
          <w:rFonts w:cs="Arial" w:hint="cs"/>
          <w:rtl/>
        </w:rPr>
        <w:t>,</w:t>
      </w:r>
      <w:r w:rsidRPr="00765A28">
        <w:rPr>
          <w:rFonts w:cs="Arial"/>
          <w:rtl/>
        </w:rPr>
        <w:t xml:space="preserve"> הכא ליכא למיחש להכי</w:t>
      </w:r>
      <w:r w:rsidR="00DD22FF">
        <w:rPr>
          <w:rFonts w:cs="Arial" w:hint="cs"/>
          <w:rtl/>
        </w:rPr>
        <w:t>,</w:t>
      </w:r>
      <w:r w:rsidRPr="00765A28">
        <w:rPr>
          <w:rFonts w:cs="Arial"/>
          <w:rtl/>
        </w:rPr>
        <w:t xml:space="preserve"> דכי חזי ארוס דמתזלא זיין לה איהו מדידיה ואע</w:t>
      </w:r>
      <w:r w:rsidR="00DD22FF">
        <w:rPr>
          <w:rFonts w:cs="Arial" w:hint="cs"/>
          <w:rtl/>
        </w:rPr>
        <w:t>"</w:t>
      </w:r>
      <w:r w:rsidRPr="00765A28">
        <w:rPr>
          <w:rFonts w:cs="Arial"/>
          <w:rtl/>
        </w:rPr>
        <w:t>פ שאינו מחויב לזונה</w:t>
      </w:r>
      <w:r w:rsidR="00DD22FF">
        <w:rPr>
          <w:rFonts w:cs="Arial" w:hint="cs"/>
          <w:rtl/>
        </w:rPr>
        <w:t>,</w:t>
      </w:r>
      <w:r w:rsidRPr="00765A28">
        <w:rPr>
          <w:rFonts w:cs="Arial"/>
          <w:rtl/>
        </w:rPr>
        <w:t xml:space="preserve"> דכיון דאירסה לא ניחא ליה דתיתזיל</w:t>
      </w:r>
      <w:r>
        <w:rPr>
          <w:rFonts w:cs="Arial" w:hint="cs"/>
          <w:rtl/>
        </w:rPr>
        <w:t>, רש"י.</w:t>
      </w:r>
    </w:p>
  </w:footnote>
  <w:footnote w:id="2502">
    <w:p w14:paraId="342FFA82" w14:textId="77777777" w:rsidR="00392DBB" w:rsidRDefault="00392DBB" w:rsidP="00392DBB">
      <w:pPr>
        <w:pStyle w:val="a5"/>
      </w:pPr>
      <w:r>
        <w:rPr>
          <w:rStyle w:val="a7"/>
        </w:rPr>
        <w:footnoteRef/>
      </w:r>
      <w:r>
        <w:rPr>
          <w:rFonts w:cs="Arial" w:hint="cs"/>
          <w:rtl/>
        </w:rPr>
        <w:t xml:space="preserve"> בהדיא, רש"י.</w:t>
      </w:r>
    </w:p>
  </w:footnote>
  <w:footnote w:id="2503">
    <w:p w14:paraId="2FAA1E71" w14:textId="77777777" w:rsidR="00392DBB" w:rsidRDefault="00392DBB" w:rsidP="00392DBB">
      <w:pPr>
        <w:pStyle w:val="a5"/>
      </w:pPr>
      <w:r>
        <w:rPr>
          <w:rStyle w:val="a7"/>
        </w:rPr>
        <w:footnoteRef/>
      </w:r>
      <w:r>
        <w:rPr>
          <w:rtl/>
        </w:rPr>
        <w:t xml:space="preserve"> </w:t>
      </w:r>
      <w:r w:rsidRPr="00F24714">
        <w:rPr>
          <w:rFonts w:cs="Arial"/>
          <w:rtl/>
        </w:rPr>
        <w:t>יש לך לומר שנזונת מן האחים דארוס לא זיין לה</w:t>
      </w:r>
      <w:r>
        <w:rPr>
          <w:rFonts w:cs="Arial" w:hint="cs"/>
          <w:rtl/>
        </w:rPr>
        <w:t>, רש"י.</w:t>
      </w:r>
    </w:p>
  </w:footnote>
  <w:footnote w:id="2504">
    <w:p w14:paraId="2C5E9BBF" w14:textId="77777777" w:rsidR="00392DBB" w:rsidRDefault="00392DBB" w:rsidP="00392DBB">
      <w:pPr>
        <w:pStyle w:val="a5"/>
      </w:pPr>
      <w:r>
        <w:rPr>
          <w:rStyle w:val="a7"/>
        </w:rPr>
        <w:footnoteRef/>
      </w:r>
      <w:r>
        <w:rPr>
          <w:rtl/>
        </w:rPr>
        <w:t xml:space="preserve"> </w:t>
      </w:r>
      <w:r w:rsidRPr="00F24714">
        <w:rPr>
          <w:rFonts w:cs="Arial"/>
          <w:rtl/>
        </w:rPr>
        <w:t>אם תינשא לו שמא ימצא בה מום לא שדי זוזי בכדי</w:t>
      </w:r>
      <w:r>
        <w:rPr>
          <w:rFonts w:cs="Arial" w:hint="cs"/>
          <w:rtl/>
        </w:rPr>
        <w:t>, רש"י.</w:t>
      </w:r>
    </w:p>
  </w:footnote>
  <w:footnote w:id="2505">
    <w:p w14:paraId="4489C38B" w14:textId="0D6657DE" w:rsidR="00392DBB" w:rsidRDefault="00392DBB" w:rsidP="00392DBB">
      <w:pPr>
        <w:pStyle w:val="a5"/>
        <w:rPr>
          <w:rtl/>
        </w:rPr>
      </w:pPr>
      <w:r>
        <w:rPr>
          <w:rStyle w:val="a7"/>
        </w:rPr>
        <w:footnoteRef/>
      </w:r>
      <w:r>
        <w:rPr>
          <w:rtl/>
        </w:rPr>
        <w:t xml:space="preserve"> </w:t>
      </w:r>
      <w:r>
        <w:rPr>
          <w:rFonts w:hint="cs"/>
          <w:rtl/>
        </w:rPr>
        <w:t xml:space="preserve">היינו שיש לשון אחרת </w:t>
      </w:r>
      <w:r w:rsidRPr="00E17A96">
        <w:rPr>
          <w:rFonts w:hint="cs"/>
          <w:sz w:val="16"/>
          <w:szCs w:val="16"/>
          <w:rtl/>
        </w:rPr>
        <w:t>(שהוחלפו השיטות, רב חסדא אומר את דברי רב יוסף</w:t>
      </w:r>
      <w:r>
        <w:rPr>
          <w:rFonts w:hint="cs"/>
          <w:sz w:val="16"/>
          <w:szCs w:val="16"/>
          <w:rtl/>
        </w:rPr>
        <w:t>,</w:t>
      </w:r>
      <w:r w:rsidRPr="00E17A96">
        <w:rPr>
          <w:rFonts w:hint="cs"/>
          <w:sz w:val="16"/>
          <w:szCs w:val="16"/>
          <w:rtl/>
        </w:rPr>
        <w:t xml:space="preserve"> ורב יוסף אומר את דברי רב חסדא</w:t>
      </w:r>
      <w:r>
        <w:rPr>
          <w:rFonts w:hint="cs"/>
          <w:sz w:val="16"/>
          <w:szCs w:val="16"/>
          <w:rtl/>
        </w:rPr>
        <w:t>)</w:t>
      </w:r>
      <w:r>
        <w:rPr>
          <w:rFonts w:hint="cs"/>
          <w:rtl/>
        </w:rPr>
        <w:t xml:space="preserve">. </w:t>
      </w:r>
    </w:p>
  </w:footnote>
  <w:footnote w:id="2506">
    <w:p w14:paraId="741F82D2" w14:textId="138782C9" w:rsidR="00392DBB" w:rsidRDefault="00392DBB" w:rsidP="00392DBB">
      <w:pPr>
        <w:pStyle w:val="a5"/>
        <w:rPr>
          <w:rtl/>
        </w:rPr>
      </w:pPr>
      <w:r>
        <w:rPr>
          <w:rStyle w:val="a7"/>
        </w:rPr>
        <w:footnoteRef/>
      </w:r>
      <w:r>
        <w:rPr>
          <w:rtl/>
        </w:rPr>
        <w:t xml:space="preserve"> </w:t>
      </w:r>
      <w:r>
        <w:rPr>
          <w:rFonts w:hint="cs"/>
          <w:rtl/>
        </w:rPr>
        <w:t xml:space="preserve">כן יוצא מדבריו שם, שהרי הביא את דעת הרי"ף (לפי גירסת הרא"ש בדברי הרי"ף) שאומר שיש לה מזונות מהארוס. וכתב שהעיקר כגירסת רש"י (שסובר שלא מדובר בכלל על הארוס אלא האם </w:t>
      </w:r>
      <w:r w:rsidRPr="00B94D84">
        <w:rPr>
          <w:rFonts w:cs="Arial"/>
          <w:rtl/>
        </w:rPr>
        <w:t>יתומה ארוסה ניזונת מן האחין</w:t>
      </w:r>
      <w:r>
        <w:rPr>
          <w:rFonts w:hint="cs"/>
          <w:rtl/>
        </w:rPr>
        <w:t>).</w:t>
      </w:r>
      <w:r w:rsidRPr="00B94D84">
        <w:rPr>
          <w:rFonts w:cs="Arial" w:hint="cs"/>
          <w:rtl/>
        </w:rPr>
        <w:t xml:space="preserve"> </w:t>
      </w:r>
      <w:r>
        <w:rPr>
          <w:rFonts w:cs="Arial" w:hint="cs"/>
          <w:rtl/>
        </w:rPr>
        <w:t xml:space="preserve">וצל"ע, שהרי הב"י כתב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B345A5">
        <w:rPr>
          <w:rFonts w:cs="Arial"/>
          <w:rtl/>
        </w:rPr>
        <w:t>ורש"י (נג: ד"ה ארוסה) מפרש לה ביתומה ארוסה שנזונת מן האחין וגורס בלישנא בתרא לית לה וכרב ואינו ענין לדינו של הרמב"ם ולא לדינו של הרי"ף. וכתב הרא"ש (סי' כו) שפירש"י עיקר ולפי' השמיט רבינו דינים הללו</w:t>
      </w:r>
      <w:r>
        <w:rPr>
          <w:rFonts w:cs="Arial" w:hint="cs"/>
          <w:rtl/>
        </w:rPr>
        <w:t>. עכ"ל. יוצא אם כן שלדעת הב"י אין להבין כן את דברי הרא"ש.</w:t>
      </w:r>
      <w:r>
        <w:rPr>
          <w:rFonts w:hint="cs"/>
          <w:rtl/>
        </w:rPr>
        <w:t xml:space="preserve"> וצל"ע, שהרי הרמ"א (בסי' נה סע' ד) הבין שהרא"ש כן חולק. וכ"כ הב"ש (סק"ו) ד</w:t>
      </w:r>
      <w:r w:rsidRPr="00F61901">
        <w:rPr>
          <w:rFonts w:cs="Arial"/>
          <w:rtl/>
        </w:rPr>
        <w:t>לשיטת רש"י ותוס' והרא"ש דמפרשי' בעיא זו בענין אחר אין לה מזונות מארוס</w:t>
      </w:r>
      <w:r>
        <w:rPr>
          <w:rFonts w:hint="cs"/>
          <w:rtl/>
        </w:rPr>
        <w:t>. וצל"ע.</w:t>
      </w:r>
    </w:p>
  </w:footnote>
  <w:footnote w:id="2507">
    <w:p w14:paraId="77EABA35" w14:textId="77777777" w:rsidR="00392DBB" w:rsidRDefault="00392DBB" w:rsidP="00392DBB">
      <w:pPr>
        <w:pStyle w:val="a5"/>
        <w:rPr>
          <w:rtl/>
        </w:rPr>
      </w:pPr>
      <w:r>
        <w:rPr>
          <w:rStyle w:val="a7"/>
        </w:rPr>
        <w:footnoteRef/>
      </w:r>
      <w:r>
        <w:rPr>
          <w:rtl/>
        </w:rPr>
        <w:t xml:space="preserve"> </w:t>
      </w:r>
      <w:r>
        <w:rPr>
          <w:rFonts w:hint="cs"/>
          <w:rtl/>
        </w:rPr>
        <w:t>כנראה ר' שמואל הנגיד.</w:t>
      </w:r>
    </w:p>
  </w:footnote>
  <w:footnote w:id="2508">
    <w:p w14:paraId="02F67047" w14:textId="77777777" w:rsidR="00392DBB" w:rsidRPr="00F61901" w:rsidRDefault="00392DBB" w:rsidP="00392DBB">
      <w:pPr>
        <w:pStyle w:val="a5"/>
      </w:pPr>
      <w:r w:rsidRPr="00F61901">
        <w:rPr>
          <w:rStyle w:val="a7"/>
        </w:rPr>
        <w:footnoteRef/>
      </w:r>
      <w:r w:rsidRPr="00F61901">
        <w:rPr>
          <w:rtl/>
        </w:rPr>
        <w:t xml:space="preserve"> </w:t>
      </w:r>
      <w:r w:rsidRPr="00F61901">
        <w:rPr>
          <w:rFonts w:cs="Arial"/>
          <w:rtl/>
        </w:rPr>
        <w:t>ולפי זה אפשר דלית לה מזונות אלא עד שעת בגרות דלא מפסדא טפי אמטולתיה</w:t>
      </w:r>
      <w:r w:rsidRPr="00F61901">
        <w:rPr>
          <w:rFonts w:cs="Arial" w:hint="cs"/>
          <w:rtl/>
        </w:rPr>
        <w:t>, ר"ן (כ.)</w:t>
      </w:r>
      <w:r>
        <w:rPr>
          <w:rFonts w:hint="cs"/>
          <w:rtl/>
        </w:rPr>
        <w:t>. וכ"כ ח"מ (סק"ח) וב"ש (סק"ו).</w:t>
      </w:r>
    </w:p>
  </w:footnote>
  <w:footnote w:id="2509">
    <w:p w14:paraId="433E125C" w14:textId="77777777" w:rsidR="00392DBB" w:rsidRDefault="00392DBB" w:rsidP="00392DBB">
      <w:pPr>
        <w:pStyle w:val="a5"/>
      </w:pPr>
      <w:r>
        <w:rPr>
          <w:rStyle w:val="a7"/>
        </w:rPr>
        <w:footnoteRef/>
      </w:r>
      <w:r>
        <w:rPr>
          <w:rtl/>
        </w:rPr>
        <w:t xml:space="preserve"> </w:t>
      </w:r>
      <w:r w:rsidRPr="003A219F">
        <w:rPr>
          <w:rFonts w:cs="Arial"/>
          <w:rtl/>
        </w:rPr>
        <w:t>אע</w:t>
      </w:r>
      <w:r>
        <w:rPr>
          <w:rFonts w:cs="Arial" w:hint="cs"/>
          <w:rtl/>
        </w:rPr>
        <w:t>"</w:t>
      </w:r>
      <w:r w:rsidRPr="003A219F">
        <w:rPr>
          <w:rFonts w:cs="Arial"/>
          <w:rtl/>
        </w:rPr>
        <w:t>פ שאין מעשה קטנה כלום אפשר דמיירי שעשתה מדעת אמה או שהגיעה לעונת הפעוטו' ועיין בסי' קנ"ה</w:t>
      </w:r>
      <w:r>
        <w:rPr>
          <w:rFonts w:cs="Arial" w:hint="cs"/>
          <w:rtl/>
        </w:rPr>
        <w:t>, ח"מ (סק"ט).</w:t>
      </w:r>
    </w:p>
  </w:footnote>
  <w:footnote w:id="2510">
    <w:p w14:paraId="3F53209A" w14:textId="77777777" w:rsidR="00392DBB" w:rsidRDefault="00392DBB" w:rsidP="00392DBB">
      <w:pPr>
        <w:pStyle w:val="a5"/>
      </w:pPr>
      <w:r>
        <w:rPr>
          <w:rStyle w:val="a7"/>
        </w:rPr>
        <w:footnoteRef/>
      </w:r>
      <w:r>
        <w:rPr>
          <w:rtl/>
        </w:rPr>
        <w:t xml:space="preserve"> </w:t>
      </w:r>
      <w:r w:rsidRPr="00405406">
        <w:rPr>
          <w:rFonts w:cs="Arial"/>
          <w:rtl/>
        </w:rPr>
        <w:t>קטנה יתומה שהשיאוה אחיה ומיאנה בבעלה וחזרה אצלם</w:t>
      </w:r>
      <w:r>
        <w:rPr>
          <w:rFonts w:cs="Arial" w:hint="cs"/>
          <w:rtl/>
        </w:rPr>
        <w:t>, רש"י.</w:t>
      </w:r>
    </w:p>
  </w:footnote>
  <w:footnote w:id="2511">
    <w:p w14:paraId="731681DE" w14:textId="77777777" w:rsidR="00392DBB" w:rsidRDefault="00392DBB" w:rsidP="00392DBB">
      <w:pPr>
        <w:pStyle w:val="a5"/>
      </w:pPr>
      <w:r>
        <w:rPr>
          <w:rStyle w:val="a7"/>
        </w:rPr>
        <w:footnoteRef/>
      </w:r>
      <w:r>
        <w:rPr>
          <w:rtl/>
        </w:rPr>
        <w:t xml:space="preserve"> </w:t>
      </w:r>
      <w:r w:rsidRPr="00405406">
        <w:rPr>
          <w:rFonts w:cs="Arial"/>
          <w:rtl/>
        </w:rPr>
        <w:t>עד שתבגר או לא מי אמרינן עקרתינהו לנישואי מעיקרן והויא לה כמי שלא ניסת או דלמא הא ניסת ויצאה מרשות אב</w:t>
      </w:r>
      <w:r>
        <w:rPr>
          <w:rFonts w:cs="Arial" w:hint="cs"/>
          <w:rtl/>
        </w:rPr>
        <w:t>, רש"י.</w:t>
      </w:r>
    </w:p>
  </w:footnote>
  <w:footnote w:id="2512">
    <w:p w14:paraId="41811E41" w14:textId="77777777" w:rsidR="00392DBB" w:rsidRDefault="00392DBB" w:rsidP="00392DBB">
      <w:pPr>
        <w:pStyle w:val="a5"/>
      </w:pPr>
      <w:r>
        <w:rPr>
          <w:rStyle w:val="a7"/>
        </w:rPr>
        <w:footnoteRef/>
      </w:r>
      <w:r>
        <w:rPr>
          <w:rtl/>
        </w:rPr>
        <w:t xml:space="preserve"> </w:t>
      </w:r>
      <w:r w:rsidRPr="00C01212">
        <w:rPr>
          <w:rFonts w:cs="Arial"/>
          <w:rtl/>
        </w:rPr>
        <w:t>כלומר מן האירוסין</w:t>
      </w:r>
      <w:r>
        <w:rPr>
          <w:rFonts w:cs="Arial" w:hint="cs"/>
          <w:rtl/>
        </w:rPr>
        <w:t>..., רש"י. וכ"כ תוס'</w:t>
      </w:r>
      <w:r>
        <w:rPr>
          <w:rFonts w:cs="Arial" w:hint="cs"/>
          <w:sz w:val="16"/>
          <w:szCs w:val="16"/>
          <w:rtl/>
        </w:rPr>
        <w:t xml:space="preserve"> </w:t>
      </w:r>
      <w:r w:rsidRPr="003A219F">
        <w:rPr>
          <w:rFonts w:cs="Arial" w:hint="cs"/>
          <w:sz w:val="16"/>
          <w:szCs w:val="16"/>
          <w:rtl/>
        </w:rPr>
        <w:t>(</w:t>
      </w:r>
      <w:r>
        <w:rPr>
          <w:rFonts w:cs="Arial" w:hint="cs"/>
          <w:sz w:val="16"/>
          <w:szCs w:val="16"/>
          <w:rtl/>
        </w:rPr>
        <w:t>עי'</w:t>
      </w:r>
      <w:r w:rsidRPr="003A219F">
        <w:rPr>
          <w:rFonts w:cs="Arial" w:hint="cs"/>
          <w:sz w:val="16"/>
          <w:szCs w:val="16"/>
          <w:rtl/>
        </w:rPr>
        <w:t xml:space="preserve"> ח"מ [סק"י])</w:t>
      </w:r>
      <w:r>
        <w:rPr>
          <w:rFonts w:cs="Arial" w:hint="cs"/>
          <w:rtl/>
        </w:rPr>
        <w:t xml:space="preserve"> טור ור"ן</w:t>
      </w:r>
      <w:r>
        <w:rPr>
          <w:rFonts w:cs="Arial" w:hint="cs"/>
          <w:sz w:val="16"/>
          <w:szCs w:val="16"/>
          <w:rtl/>
        </w:rPr>
        <w:t xml:space="preserve"> (שם ד"ה אלמנה)</w:t>
      </w:r>
      <w:r>
        <w:rPr>
          <w:rFonts w:cs="Arial" w:hint="cs"/>
          <w:rtl/>
        </w:rPr>
        <w:t xml:space="preserve">. אך הרמב"ם </w:t>
      </w:r>
      <w:r w:rsidRPr="003A219F">
        <w:rPr>
          <w:rFonts w:cs="Arial" w:hint="cs"/>
          <w:sz w:val="16"/>
          <w:szCs w:val="16"/>
          <w:rtl/>
        </w:rPr>
        <w:t xml:space="preserve">(פי"ט הט"ז) </w:t>
      </w:r>
      <w:r>
        <w:rPr>
          <w:rFonts w:cs="Arial" w:hint="cs"/>
          <w:rtl/>
        </w:rPr>
        <w:t>כתב דמיירי אפילו נישאה.</w:t>
      </w:r>
    </w:p>
  </w:footnote>
  <w:footnote w:id="2513">
    <w:p w14:paraId="11728027" w14:textId="77777777" w:rsidR="00392DBB" w:rsidRDefault="00392DBB" w:rsidP="00392DBB">
      <w:pPr>
        <w:pStyle w:val="a5"/>
      </w:pPr>
      <w:r>
        <w:rPr>
          <w:rStyle w:val="a7"/>
        </w:rPr>
        <w:footnoteRef/>
      </w:r>
      <w:r>
        <w:rPr>
          <w:rtl/>
        </w:rPr>
        <w:t xml:space="preserve"> </w:t>
      </w:r>
      <w:r w:rsidRPr="00C01212">
        <w:rPr>
          <w:rFonts w:cs="Arial"/>
          <w:rtl/>
        </w:rPr>
        <w:t>וה"ק אלמנה בבית אביה כו' וה"ה לממאנת דאין כאן נשואין דהא עקרתינהו ואתא רבי יהודה למימר עודה בבית אביה בתחלתה שלא יצתה משם בנשואין יש לה מזונות אבל משיצאה בנישואין אין לה</w:t>
      </w:r>
      <w:r>
        <w:rPr>
          <w:rFonts w:cs="Arial" w:hint="cs"/>
          <w:rtl/>
        </w:rPr>
        <w:t>, רש"י.</w:t>
      </w:r>
    </w:p>
  </w:footnote>
  <w:footnote w:id="2514">
    <w:p w14:paraId="70AB1827" w14:textId="272E9610" w:rsidR="00392DBB" w:rsidRDefault="00392DBB" w:rsidP="00392DBB">
      <w:pPr>
        <w:pStyle w:val="a5"/>
      </w:pPr>
      <w:r>
        <w:rPr>
          <w:rStyle w:val="a7"/>
        </w:rPr>
        <w:footnoteRef/>
      </w:r>
      <w:r>
        <w:rPr>
          <w:rtl/>
        </w:rPr>
        <w:t xml:space="preserve"> </w:t>
      </w:r>
      <w:r w:rsidRPr="00432D8C">
        <w:rPr>
          <w:rFonts w:cs="Arial"/>
          <w:rtl/>
        </w:rPr>
        <w:t>הרמב</w:t>
      </w:r>
      <w:r w:rsidRPr="00D076DE">
        <w:rPr>
          <w:rFonts w:cs="Arial"/>
          <w:color w:val="000000" w:themeColor="text1"/>
          <w:rtl/>
        </w:rPr>
        <w:t>"ם סתם דבריו כלשון הברייתא</w:t>
      </w:r>
      <w:r w:rsidRPr="00D076DE">
        <w:rPr>
          <w:rFonts w:cs="Arial" w:hint="cs"/>
          <w:color w:val="000000" w:themeColor="text1"/>
          <w:rtl/>
        </w:rPr>
        <w:t>...</w:t>
      </w:r>
      <w:r w:rsidRPr="00D076DE">
        <w:rPr>
          <w:rFonts w:cs="Arial"/>
          <w:color w:val="000000" w:themeColor="text1"/>
          <w:rtl/>
        </w:rPr>
        <w:t xml:space="preserve"> ומכל מקום בירר דבריו שאפילו בנשאת היא שנויה ברייתא זו</w:t>
      </w:r>
      <w:r w:rsidRPr="00D076DE">
        <w:rPr>
          <w:rFonts w:cs="Arial" w:hint="cs"/>
          <w:color w:val="000000" w:themeColor="text1"/>
          <w:rtl/>
        </w:rPr>
        <w:t>.</w:t>
      </w:r>
      <w:r w:rsidRPr="00D076DE">
        <w:rPr>
          <w:rFonts w:cs="Arial"/>
          <w:color w:val="000000" w:themeColor="text1"/>
          <w:rtl/>
        </w:rPr>
        <w:t xml:space="preserve"> ולהרא"ש </w:t>
      </w:r>
      <w:r w:rsidRPr="00D076DE">
        <w:rPr>
          <w:rFonts w:cs="Arial" w:hint="cs"/>
          <w:color w:val="000000" w:themeColor="text1"/>
          <w:rtl/>
        </w:rPr>
        <w:t>(</w:t>
      </w:r>
      <w:r w:rsidR="00D076DE" w:rsidRPr="00D076DE">
        <w:rPr>
          <w:rFonts w:cs="Arial" w:hint="cs"/>
          <w:color w:val="000000" w:themeColor="text1"/>
          <w:rtl/>
        </w:rPr>
        <w:t xml:space="preserve">צל"ע </w:t>
      </w:r>
      <w:r w:rsidRPr="00D076DE">
        <w:rPr>
          <w:rFonts w:cs="Arial" w:hint="cs"/>
          <w:color w:val="000000" w:themeColor="text1"/>
          <w:rtl/>
        </w:rPr>
        <w:t>היכן כתב כן</w:t>
      </w:r>
      <w:r w:rsidR="00D076DE" w:rsidRPr="00D076DE">
        <w:rPr>
          <w:rFonts w:cs="Arial" w:hint="cs"/>
          <w:color w:val="000000" w:themeColor="text1"/>
          <w:rtl/>
        </w:rPr>
        <w:t>)</w:t>
      </w:r>
      <w:r w:rsidRPr="00432D8C">
        <w:rPr>
          <w:rFonts w:cs="Arial" w:hint="cs"/>
          <w:color w:val="FF0000"/>
          <w:rtl/>
        </w:rPr>
        <w:t xml:space="preserve"> </w:t>
      </w:r>
      <w:r w:rsidRPr="00C44D14">
        <w:rPr>
          <w:rFonts w:cs="Arial"/>
          <w:rtl/>
        </w:rPr>
        <w:t>דוקא בנתארסה הוא אבל לא בנשאת</w:t>
      </w:r>
      <w:r>
        <w:rPr>
          <w:rFonts w:cs="Arial" w:hint="cs"/>
          <w:rtl/>
        </w:rPr>
        <w:t>,</w:t>
      </w:r>
      <w:r w:rsidRPr="00C44D14">
        <w:rPr>
          <w:rFonts w:cs="Arial"/>
          <w:rtl/>
        </w:rPr>
        <w:t xml:space="preserve"> שמשנשאת שוב אין לה עסק עם אביה</w:t>
      </w:r>
      <w:r>
        <w:rPr>
          <w:rFonts w:cs="Arial" w:hint="cs"/>
          <w:rtl/>
        </w:rPr>
        <w:t>,</w:t>
      </w:r>
      <w:r w:rsidRPr="00C44D14">
        <w:rPr>
          <w:rFonts w:cs="Arial"/>
          <w:rtl/>
        </w:rPr>
        <w:t xml:space="preserve"> ולישנא דברייתא הכי דייקא דקתני לה בבית אביה</w:t>
      </w:r>
      <w:r>
        <w:rPr>
          <w:rFonts w:cs="Arial" w:hint="cs"/>
          <w:rtl/>
        </w:rPr>
        <w:t>.</w:t>
      </w:r>
      <w:r w:rsidRPr="00C44D14">
        <w:rPr>
          <w:rFonts w:cs="Arial"/>
          <w:rtl/>
        </w:rPr>
        <w:t xml:space="preserve"> והרמב"ם מפרש דהיינו לומר שחזרה לבית אביה כלומר שעדיין לא בגרה</w:t>
      </w:r>
      <w:r>
        <w:rPr>
          <w:rFonts w:cs="Arial" w:hint="cs"/>
          <w:rtl/>
        </w:rPr>
        <w:t>, ב"י (בבדה"ב).</w:t>
      </w:r>
    </w:p>
  </w:footnote>
  <w:footnote w:id="2515">
    <w:p w14:paraId="6ECA9503" w14:textId="77777777" w:rsidR="00392DBB" w:rsidRDefault="00392DBB" w:rsidP="00392DBB">
      <w:pPr>
        <w:pStyle w:val="a5"/>
      </w:pPr>
      <w:r>
        <w:rPr>
          <w:rStyle w:val="a7"/>
        </w:rPr>
        <w:footnoteRef/>
      </w:r>
      <w:r>
        <w:rPr>
          <w:rtl/>
        </w:rPr>
        <w:t xml:space="preserve"> </w:t>
      </w:r>
      <w:r w:rsidRPr="00E03BA4">
        <w:rPr>
          <w:rFonts w:cs="Arial"/>
          <w:rtl/>
        </w:rPr>
        <w:t>ופי' המגיד פ"ב ה"א היינו שמאנה בעת שהיתה מעוברת וקודם שתלד יכולה למאן ואח"כ ילדה</w:t>
      </w:r>
      <w:r>
        <w:rPr>
          <w:rFonts w:cs="Arial" w:hint="cs"/>
          <w:rtl/>
        </w:rPr>
        <w:t>.</w:t>
      </w:r>
      <w:r w:rsidRPr="00E03BA4">
        <w:rPr>
          <w:rFonts w:cs="Arial"/>
          <w:rtl/>
        </w:rPr>
        <w:t xml:space="preserve"> וע' בסי' קנ"ה מ"ש בזה</w:t>
      </w:r>
      <w:r>
        <w:rPr>
          <w:rFonts w:cs="Arial" w:hint="cs"/>
          <w:rtl/>
        </w:rPr>
        <w:t>.</w:t>
      </w:r>
      <w:r w:rsidRPr="00E03BA4">
        <w:rPr>
          <w:rFonts w:cs="Arial"/>
          <w:rtl/>
        </w:rPr>
        <w:t xml:space="preserve"> ומהר"מ מטיקטי"ן וב"ח פירשו דאיירי בקדושי טעות</w:t>
      </w:r>
      <w:r>
        <w:rPr>
          <w:rFonts w:cs="Arial" w:hint="cs"/>
          <w:rtl/>
        </w:rPr>
        <w:t>.</w:t>
      </w:r>
      <w:r w:rsidRPr="00E03BA4">
        <w:rPr>
          <w:rFonts w:cs="Arial"/>
          <w:rtl/>
        </w:rPr>
        <w:t xml:space="preserve"> ולמ"ש בסמוך לית'</w:t>
      </w:r>
      <w:r>
        <w:rPr>
          <w:rFonts w:cs="Arial" w:hint="cs"/>
          <w:rtl/>
        </w:rPr>
        <w:t>.</w:t>
      </w:r>
      <w:r w:rsidRPr="00E03BA4">
        <w:rPr>
          <w:rFonts w:cs="Arial"/>
          <w:rtl/>
        </w:rPr>
        <w:t xml:space="preserve"> והנה הר"ן והמגיד הניחו בצ"ע מנ"ל לרמב"ם דין זה כיון דממאנת אין לה כתובה מנ"ל דבתה יש לה מזונות</w:t>
      </w:r>
      <w:r>
        <w:rPr>
          <w:rFonts w:cs="Arial" w:hint="cs"/>
          <w:rtl/>
        </w:rPr>
        <w:t>.</w:t>
      </w:r>
      <w:r w:rsidRPr="00E03BA4">
        <w:rPr>
          <w:rFonts w:cs="Arial"/>
          <w:rtl/>
        </w:rPr>
        <w:t xml:space="preserve"> ונראה דס"ל כל הסוגי' איירי דוק' שאין לה בעת הנשואין כתובה</w:t>
      </w:r>
      <w:r>
        <w:rPr>
          <w:rFonts w:cs="Arial" w:hint="cs"/>
          <w:rtl/>
        </w:rPr>
        <w:t>,</w:t>
      </w:r>
      <w:r w:rsidRPr="00E03BA4">
        <w:rPr>
          <w:rFonts w:cs="Arial"/>
          <w:rtl/>
        </w:rPr>
        <w:t xml:space="preserve"> בזה מבעי' אם יש לה ת"כ</w:t>
      </w:r>
      <w:r>
        <w:rPr>
          <w:rFonts w:cs="Arial" w:hint="cs"/>
          <w:rtl/>
        </w:rPr>
        <w:t>,</w:t>
      </w:r>
      <w:r w:rsidRPr="00E03BA4">
        <w:rPr>
          <w:rFonts w:cs="Arial"/>
          <w:rtl/>
        </w:rPr>
        <w:t xml:space="preserve"> אבל אם יש לה כתובה מצד הנישואין אלא אח"כ גרמה לעצמה הפסד אז לא הפסידה בתה זכות שלה אטו אם זנתה היא והפסידה הכתובה תפסיד בתה זכות שלה</w:t>
      </w:r>
      <w:r>
        <w:rPr>
          <w:rFonts w:cs="Arial" w:hint="cs"/>
          <w:rtl/>
        </w:rPr>
        <w:t>.</w:t>
      </w:r>
      <w:r w:rsidRPr="00E03BA4">
        <w:rPr>
          <w:rFonts w:cs="Arial"/>
          <w:rtl/>
        </w:rPr>
        <w:t xml:space="preserve"> ומזה מוכח דלא כמהר"ם הנ"ל וב"ח</w:t>
      </w:r>
      <w:r>
        <w:rPr>
          <w:rFonts w:cs="Arial" w:hint="cs"/>
          <w:rtl/>
        </w:rPr>
        <w:t>,</w:t>
      </w:r>
      <w:r w:rsidRPr="00E03BA4">
        <w:rPr>
          <w:rFonts w:cs="Arial"/>
          <w:rtl/>
        </w:rPr>
        <w:t xml:space="preserve"> דהא אם איירי בקדושי טעות אז למפרע לא הוי נישואין כלל ואין לה כתובה מיד בעת הנישואין</w:t>
      </w:r>
      <w:r>
        <w:rPr>
          <w:rFonts w:cs="Arial" w:hint="cs"/>
          <w:rtl/>
        </w:rPr>
        <w:t>, ב"ש (סקי"א).</w:t>
      </w:r>
    </w:p>
  </w:footnote>
  <w:footnote w:id="2516">
    <w:p w14:paraId="6CC3963D" w14:textId="77777777" w:rsidR="00392DBB" w:rsidRDefault="00392DBB" w:rsidP="00392DBB">
      <w:pPr>
        <w:pStyle w:val="a5"/>
        <w:rPr>
          <w:rtl/>
        </w:rPr>
      </w:pPr>
      <w:r>
        <w:rPr>
          <w:rStyle w:val="a7"/>
        </w:rPr>
        <w:footnoteRef/>
      </w:r>
      <w:r>
        <w:rPr>
          <w:rtl/>
        </w:rPr>
        <w:t xml:space="preserve"> </w:t>
      </w:r>
      <w:r>
        <w:rPr>
          <w:rFonts w:cs="Arial"/>
          <w:rtl/>
        </w:rPr>
        <w:t>דכל זמן שהיא יכולה למאן אי איפשר לה שתלד כדמוכח פ"ק דיבמות (יב:)</w:t>
      </w:r>
      <w:r>
        <w:rPr>
          <w:rFonts w:cs="Arial" w:hint="cs"/>
          <w:rtl/>
        </w:rPr>
        <w:t>, ר"ן (שם).</w:t>
      </w:r>
      <w:r>
        <w:rPr>
          <w:rFonts w:cs="Arial"/>
          <w:rtl/>
        </w:rPr>
        <w:t xml:space="preserve"> והרב המגיד כתב ליישב זה</w:t>
      </w:r>
      <w:r>
        <w:rPr>
          <w:rFonts w:cs="Arial" w:hint="cs"/>
          <w:rtl/>
        </w:rPr>
        <w:t>,</w:t>
      </w:r>
      <w:r>
        <w:rPr>
          <w:rFonts w:cs="Arial"/>
          <w:rtl/>
        </w:rPr>
        <w:t xml:space="preserve"> אבל תמה עליו שמאחר שהממאנת אין לה עיקר כתובה מנין לו לרב ז"ל שיהיו לבתה מזונות שהם מתנאי כתובה</w:t>
      </w:r>
      <w:r>
        <w:rPr>
          <w:rFonts w:cs="Arial" w:hint="cs"/>
          <w:rtl/>
        </w:rPr>
        <w:t>.</w:t>
      </w:r>
      <w:r>
        <w:rPr>
          <w:rFonts w:cs="Arial"/>
          <w:rtl/>
        </w:rPr>
        <w:t xml:space="preserve"> וגם הר"ן (שם) תמה עליו מנין לו דין זה. ועוד יש לתמוה עליו שכתב דאלמנה וגרושה מן הנשואין נמי נזונת מנכסי אביה ואם כן היכי שייך למימר ממאנת איכא בינייהו דהשתא נשואה גמורה שנתאלמנה או נתגרשה נזונת מנכסי אביה לדברי הכל ממאנת דעקרתינהו לנשואי מעיקרן מיבעיא וי"ל דאלמנות וגירושין דעל כרחה באין משום הכי לדברי הכל נזונת מנכסי אביה אבל ממאנת דמדעתה הוא סבר רבי יהודה דאינה נזונת מנכסי אביה ופליגי רבנן עליה</w:t>
      </w:r>
      <w:r>
        <w:rPr>
          <w:rFonts w:hint="cs"/>
          <w:rtl/>
        </w:rPr>
        <w:t>, ב"י.</w:t>
      </w:r>
    </w:p>
  </w:footnote>
  <w:footnote w:id="2517">
    <w:p w14:paraId="1AE608BD" w14:textId="79D69DEF" w:rsidR="00363F2C" w:rsidRDefault="00363F2C">
      <w:pPr>
        <w:pStyle w:val="a5"/>
        <w:rPr>
          <w:rFonts w:hint="cs"/>
        </w:rPr>
      </w:pPr>
      <w:r>
        <w:rPr>
          <w:rStyle w:val="a7"/>
        </w:rPr>
        <w:footnoteRef/>
      </w:r>
      <w:r>
        <w:rPr>
          <w:rtl/>
        </w:rPr>
        <w:t xml:space="preserve"> </w:t>
      </w:r>
      <w:r w:rsidRPr="00363F2C">
        <w:rPr>
          <w:rFonts w:cs="Arial"/>
          <w:rtl/>
        </w:rPr>
        <w:t>כפירש"י שם</w:t>
      </w:r>
      <w:r>
        <w:rPr>
          <w:rFonts w:cs="Arial" w:hint="cs"/>
          <w:rtl/>
        </w:rPr>
        <w:t>.</w:t>
      </w:r>
      <w:r w:rsidRPr="00363F2C">
        <w:rPr>
          <w:rFonts w:cs="Arial"/>
          <w:rtl/>
        </w:rPr>
        <w:t xml:space="preserve"> ומ</w:t>
      </w:r>
      <w:r>
        <w:rPr>
          <w:rFonts w:cs="Arial" w:hint="cs"/>
          <w:rtl/>
        </w:rPr>
        <w:t>כל מקום</w:t>
      </w:r>
      <w:r w:rsidRPr="00363F2C">
        <w:rPr>
          <w:rFonts w:cs="Arial"/>
          <w:rtl/>
        </w:rPr>
        <w:t xml:space="preserve"> בממאנת אפילו נשואה כמש"ש</w:t>
      </w:r>
      <w:r>
        <w:rPr>
          <w:rFonts w:cs="Arial" w:hint="cs"/>
          <w:rtl/>
        </w:rPr>
        <w:t>,</w:t>
      </w:r>
      <w:r w:rsidRPr="00363F2C">
        <w:rPr>
          <w:rFonts w:cs="Arial"/>
          <w:rtl/>
        </w:rPr>
        <w:t xml:space="preserve"> וכ"ה בטור</w:t>
      </w:r>
      <w:r>
        <w:rPr>
          <w:rFonts w:cs="Arial" w:hint="cs"/>
          <w:rtl/>
        </w:rPr>
        <w:t>, גר"א (סק"ט).</w:t>
      </w:r>
    </w:p>
  </w:footnote>
  <w:footnote w:id="2518">
    <w:p w14:paraId="26678FA2" w14:textId="4EED3D41" w:rsidR="00392DBB" w:rsidRDefault="00392DBB" w:rsidP="00392DBB">
      <w:pPr>
        <w:pStyle w:val="a5"/>
      </w:pPr>
      <w:r>
        <w:rPr>
          <w:rStyle w:val="a7"/>
        </w:rPr>
        <w:footnoteRef/>
      </w:r>
      <w:r>
        <w:rPr>
          <w:rtl/>
        </w:rPr>
        <w:t xml:space="preserve"> </w:t>
      </w:r>
      <w:r w:rsidRPr="0094552B">
        <w:rPr>
          <w:rFonts w:cs="Arial"/>
          <w:rtl/>
        </w:rPr>
        <w:t>ואפי' בחיי אביה דוקא נתאלמנה או נתגרשה מן האירוסין</w:t>
      </w:r>
      <w:r w:rsidR="001522C2">
        <w:rPr>
          <w:rFonts w:cs="Arial" w:hint="cs"/>
          <w:rtl/>
        </w:rPr>
        <w:t>,</w:t>
      </w:r>
      <w:r w:rsidRPr="0094552B">
        <w:rPr>
          <w:rFonts w:cs="Arial"/>
          <w:rtl/>
        </w:rPr>
        <w:t xml:space="preserve"> אבל מן הנשואין כבר נעשית יתומה בחיי האב</w:t>
      </w:r>
      <w:r>
        <w:rPr>
          <w:rFonts w:cs="Arial" w:hint="cs"/>
          <w:rtl/>
        </w:rPr>
        <w:t>.</w:t>
      </w:r>
      <w:r w:rsidRPr="0094552B">
        <w:rPr>
          <w:rFonts w:cs="Arial"/>
          <w:rtl/>
        </w:rPr>
        <w:t xml:space="preserve"> אבל התוספו</w:t>
      </w:r>
      <w:r w:rsidR="001522C2">
        <w:rPr>
          <w:rFonts w:cs="Arial" w:hint="cs"/>
          <w:rtl/>
        </w:rPr>
        <w:t>ת</w:t>
      </w:r>
      <w:r w:rsidRPr="0094552B">
        <w:rPr>
          <w:rFonts w:cs="Arial"/>
          <w:rtl/>
        </w:rPr>
        <w:t xml:space="preserve"> כתבו בשם ר"ת אף מן הנשואין חוזר</w:t>
      </w:r>
      <w:r>
        <w:rPr>
          <w:rFonts w:cs="Arial" w:hint="cs"/>
          <w:rtl/>
        </w:rPr>
        <w:t>ת</w:t>
      </w:r>
      <w:r w:rsidRPr="0094552B">
        <w:rPr>
          <w:rFonts w:cs="Arial"/>
          <w:rtl/>
        </w:rPr>
        <w:t xml:space="preserve"> לבית אביה כל שאביה חי</w:t>
      </w:r>
      <w:r w:rsidR="001522C2">
        <w:rPr>
          <w:rFonts w:cs="Arial" w:hint="cs"/>
          <w:rtl/>
        </w:rPr>
        <w:t>,</w:t>
      </w:r>
      <w:r w:rsidRPr="0094552B">
        <w:rPr>
          <w:rFonts w:cs="Arial"/>
          <w:rtl/>
        </w:rPr>
        <w:t xml:space="preserve"> ועיין בכתובו</w:t>
      </w:r>
      <w:r>
        <w:rPr>
          <w:rFonts w:cs="Arial" w:hint="cs"/>
          <w:rtl/>
        </w:rPr>
        <w:t>ת</w:t>
      </w:r>
      <w:r w:rsidRPr="0094552B">
        <w:rPr>
          <w:rFonts w:cs="Arial"/>
          <w:rtl/>
        </w:rPr>
        <w:t xml:space="preserve"> </w:t>
      </w:r>
      <w:r>
        <w:rPr>
          <w:rFonts w:cs="Arial" w:hint="cs"/>
          <w:rtl/>
        </w:rPr>
        <w:t>(</w:t>
      </w:r>
      <w:r w:rsidRPr="0094552B">
        <w:rPr>
          <w:rFonts w:cs="Arial"/>
          <w:rtl/>
        </w:rPr>
        <w:t>נג</w:t>
      </w:r>
      <w:r>
        <w:rPr>
          <w:rFonts w:cs="Arial" w:hint="cs"/>
          <w:rtl/>
        </w:rPr>
        <w:t>. תוס'</w:t>
      </w:r>
      <w:r w:rsidRPr="0094552B">
        <w:rPr>
          <w:rFonts w:cs="Arial"/>
          <w:rtl/>
        </w:rPr>
        <w:t xml:space="preserve"> ד"ה אלמנה בבית אביה וכו'</w:t>
      </w:r>
      <w:r>
        <w:rPr>
          <w:rFonts w:cs="Arial" w:hint="cs"/>
          <w:rtl/>
        </w:rPr>
        <w:t>), ח"מ (סקי"א).</w:t>
      </w:r>
    </w:p>
  </w:footnote>
  <w:footnote w:id="2519">
    <w:p w14:paraId="6DFDFBDC" w14:textId="77777777" w:rsidR="00392DBB" w:rsidRDefault="00392DBB" w:rsidP="00392DBB">
      <w:pPr>
        <w:pStyle w:val="a5"/>
      </w:pPr>
      <w:r>
        <w:rPr>
          <w:rStyle w:val="a7"/>
        </w:rPr>
        <w:footnoteRef/>
      </w:r>
      <w:r>
        <w:rPr>
          <w:rtl/>
        </w:rPr>
        <w:t xml:space="preserve"> </w:t>
      </w:r>
      <w:r w:rsidRPr="0094552B">
        <w:rPr>
          <w:rFonts w:cs="Arial"/>
          <w:rtl/>
        </w:rPr>
        <w:t>וא</w:t>
      </w:r>
      <w:r>
        <w:rPr>
          <w:rFonts w:cs="Arial" w:hint="cs"/>
          <w:rtl/>
        </w:rPr>
        <w:t>יני יודע</w:t>
      </w:r>
      <w:r w:rsidRPr="0094552B">
        <w:rPr>
          <w:rFonts w:cs="Arial"/>
          <w:rtl/>
        </w:rPr>
        <w:t xml:space="preserve"> מנ"ל זאת</w:t>
      </w:r>
      <w:r>
        <w:rPr>
          <w:rFonts w:cs="Arial" w:hint="cs"/>
          <w:rtl/>
        </w:rPr>
        <w:t>,</w:t>
      </w:r>
      <w:r w:rsidRPr="0094552B">
        <w:rPr>
          <w:rFonts w:cs="Arial"/>
          <w:rtl/>
        </w:rPr>
        <w:t xml:space="preserve"> דהא הטור והר"ן כתבו דוק' כשנתאלמנה בחיי אביה ולא מצינו שום פוסק דס"ל בארוס</w:t>
      </w:r>
      <w:r>
        <w:rPr>
          <w:rFonts w:cs="Arial" w:hint="cs"/>
          <w:rtl/>
        </w:rPr>
        <w:t>ה</w:t>
      </w:r>
      <w:r w:rsidRPr="0094552B">
        <w:rPr>
          <w:rFonts w:cs="Arial"/>
          <w:rtl/>
        </w:rPr>
        <w:t xml:space="preserve"> אפי' אחר מות אביה</w:t>
      </w:r>
      <w:r>
        <w:rPr>
          <w:rFonts w:cs="Arial" w:hint="cs"/>
          <w:rtl/>
        </w:rPr>
        <w:t>.</w:t>
      </w:r>
      <w:r w:rsidRPr="0094552B">
        <w:rPr>
          <w:rFonts w:cs="Arial"/>
          <w:rtl/>
        </w:rPr>
        <w:t xml:space="preserve"> ומה שמציין </w:t>
      </w:r>
      <w:r>
        <w:rPr>
          <w:rFonts w:cs="Arial" w:hint="cs"/>
          <w:rtl/>
        </w:rPr>
        <w:t>'</w:t>
      </w:r>
      <w:r w:rsidRPr="0094552B">
        <w:rPr>
          <w:rFonts w:cs="Arial"/>
          <w:rtl/>
        </w:rPr>
        <w:t>טור</w:t>
      </w:r>
      <w:r>
        <w:rPr>
          <w:rFonts w:cs="Arial" w:hint="cs"/>
          <w:rtl/>
        </w:rPr>
        <w:t>' -</w:t>
      </w:r>
      <w:r w:rsidRPr="0094552B">
        <w:rPr>
          <w:rFonts w:cs="Arial"/>
          <w:rtl/>
        </w:rPr>
        <w:t xml:space="preserve"> לא ראיתי בטור משמעות לזה</w:t>
      </w:r>
      <w:r>
        <w:rPr>
          <w:rFonts w:cs="Arial" w:hint="cs"/>
          <w:rtl/>
        </w:rPr>
        <w:t>,</w:t>
      </w:r>
      <w:r w:rsidRPr="0094552B">
        <w:rPr>
          <w:rFonts w:cs="Arial"/>
          <w:rtl/>
        </w:rPr>
        <w:t xml:space="preserve"> ואפשר דנתכוון לדעת רש"י שפי' הסוגי' מן הארוסין ולא פי' דאיירי דנתאלמנה בחיי אביה</w:t>
      </w:r>
      <w:r>
        <w:rPr>
          <w:rFonts w:cs="Arial" w:hint="cs"/>
          <w:rtl/>
        </w:rPr>
        <w:t>.</w:t>
      </w:r>
      <w:r w:rsidRPr="0094552B">
        <w:rPr>
          <w:rFonts w:cs="Arial"/>
          <w:rtl/>
        </w:rPr>
        <w:t xml:space="preserve"> אלא לכאורה נראה מפרש"י למה דקי"ל ארוסה אין לה מזונות אף בנתאלמנה אין לה מזונות ובריית' זו ס"ל ארוסה אית לה מזונות ולא קי"ל כן אלא כרב דאמר בארוסה אין לה מזונות</w:t>
      </w:r>
      <w:r>
        <w:rPr>
          <w:rFonts w:cs="Arial" w:hint="cs"/>
          <w:rtl/>
        </w:rPr>
        <w:t>.</w:t>
      </w:r>
      <w:r w:rsidRPr="0094552B">
        <w:rPr>
          <w:rFonts w:cs="Arial"/>
          <w:rtl/>
        </w:rPr>
        <w:t xml:space="preserve"> ואית</w:t>
      </w:r>
      <w:r>
        <w:rPr>
          <w:rFonts w:cs="Arial" w:hint="cs"/>
          <w:rtl/>
        </w:rPr>
        <w:t>א</w:t>
      </w:r>
      <w:r w:rsidRPr="0094552B">
        <w:rPr>
          <w:rFonts w:cs="Arial"/>
          <w:rtl/>
        </w:rPr>
        <w:t xml:space="preserve"> בזה ד' שיטות</w:t>
      </w:r>
      <w:r>
        <w:rPr>
          <w:rFonts w:cs="Arial" w:hint="cs"/>
          <w:rtl/>
        </w:rPr>
        <w:t>:</w:t>
      </w:r>
      <w:r w:rsidRPr="0094552B">
        <w:rPr>
          <w:rFonts w:cs="Arial"/>
          <w:rtl/>
        </w:rPr>
        <w:t xml:space="preserve"> לרש"י</w:t>
      </w:r>
      <w:r>
        <w:rPr>
          <w:rFonts w:cs="Arial" w:hint="cs"/>
          <w:rtl/>
        </w:rPr>
        <w:t>,</w:t>
      </w:r>
      <w:r w:rsidRPr="0094552B">
        <w:rPr>
          <w:rFonts w:cs="Arial"/>
          <w:rtl/>
        </w:rPr>
        <w:t xml:space="preserve"> אפילו בנתאלמנה מן ארוסין אין לה מזונות ומשמע אפילו בחיי אביה</w:t>
      </w:r>
      <w:r>
        <w:rPr>
          <w:rFonts w:cs="Arial" w:hint="cs"/>
          <w:rtl/>
        </w:rPr>
        <w:t>.</w:t>
      </w:r>
      <w:r w:rsidRPr="0094552B">
        <w:rPr>
          <w:rFonts w:cs="Arial"/>
          <w:rtl/>
        </w:rPr>
        <w:t xml:space="preserve"> ולרא"ש והר"ן</w:t>
      </w:r>
      <w:r>
        <w:rPr>
          <w:rFonts w:cs="Arial" w:hint="cs"/>
          <w:rtl/>
        </w:rPr>
        <w:t>,</w:t>
      </w:r>
      <w:r w:rsidRPr="0094552B">
        <w:rPr>
          <w:rFonts w:cs="Arial"/>
          <w:rtl/>
        </w:rPr>
        <w:t xml:space="preserve"> בארוס</w:t>
      </w:r>
      <w:r>
        <w:rPr>
          <w:rFonts w:cs="Arial" w:hint="cs"/>
          <w:rtl/>
        </w:rPr>
        <w:t>ה</w:t>
      </w:r>
      <w:r w:rsidRPr="0094552B">
        <w:rPr>
          <w:rFonts w:cs="Arial"/>
          <w:rtl/>
        </w:rPr>
        <w:t xml:space="preserve"> אית לה כשנתאלמנה בחיי אביה</w:t>
      </w:r>
      <w:r>
        <w:rPr>
          <w:rFonts w:cs="Arial" w:hint="cs"/>
          <w:rtl/>
        </w:rPr>
        <w:t>.</w:t>
      </w:r>
      <w:r w:rsidRPr="0094552B">
        <w:rPr>
          <w:rFonts w:cs="Arial"/>
          <w:rtl/>
        </w:rPr>
        <w:t xml:space="preserve"> ולר"ת</w:t>
      </w:r>
      <w:r>
        <w:rPr>
          <w:rFonts w:cs="Arial" w:hint="cs"/>
          <w:rtl/>
        </w:rPr>
        <w:t>,</w:t>
      </w:r>
      <w:r w:rsidRPr="0094552B">
        <w:rPr>
          <w:rFonts w:cs="Arial"/>
          <w:rtl/>
        </w:rPr>
        <w:t xml:space="preserve"> אפילו מן הנישואין אית לה מזונות כשנתאלמנה בחיי אביה</w:t>
      </w:r>
      <w:r>
        <w:rPr>
          <w:rFonts w:cs="Arial" w:hint="cs"/>
          <w:rtl/>
        </w:rPr>
        <w:t>.</w:t>
      </w:r>
      <w:r w:rsidRPr="0094552B">
        <w:rPr>
          <w:rFonts w:cs="Arial"/>
          <w:rtl/>
        </w:rPr>
        <w:t xml:space="preserve"> ולרמב"ם</w:t>
      </w:r>
      <w:r>
        <w:rPr>
          <w:rFonts w:cs="Arial" w:hint="cs"/>
          <w:rtl/>
        </w:rPr>
        <w:t>,</w:t>
      </w:r>
      <w:r w:rsidRPr="0094552B">
        <w:rPr>
          <w:rFonts w:cs="Arial"/>
          <w:rtl/>
        </w:rPr>
        <w:t xml:space="preserve"> אפי' אם נשאת ונתאלמנה אחר מות אביה אית לה מזונות</w:t>
      </w:r>
      <w:r>
        <w:rPr>
          <w:rFonts w:cs="Arial" w:hint="cs"/>
          <w:rtl/>
        </w:rPr>
        <w:t>.</w:t>
      </w:r>
      <w:r w:rsidRPr="0094552B">
        <w:rPr>
          <w:rFonts w:cs="Arial"/>
          <w:rtl/>
        </w:rPr>
        <w:t xml:space="preserve"> וא"ל א"כ מהיכי תיתי בממאנת דאין לה מזונות מן הנישואין וי"ל שאני ממאנת הואיל היא גרמה ה"א דאין לה מזונות ב"י וכ"מ</w:t>
      </w:r>
      <w:r>
        <w:rPr>
          <w:rFonts w:cs="Arial" w:hint="cs"/>
          <w:rtl/>
        </w:rPr>
        <w:t>, ב"ש (סק"ט).</w:t>
      </w:r>
    </w:p>
  </w:footnote>
  <w:footnote w:id="2520">
    <w:p w14:paraId="43B42819" w14:textId="77777777" w:rsidR="00392DBB" w:rsidRDefault="00392DBB" w:rsidP="00392DBB">
      <w:pPr>
        <w:pStyle w:val="a5"/>
      </w:pPr>
      <w:r>
        <w:rPr>
          <w:rStyle w:val="a7"/>
        </w:rPr>
        <w:footnoteRef/>
      </w:r>
      <w:r>
        <w:rPr>
          <w:rtl/>
        </w:rPr>
        <w:t xml:space="preserve"> </w:t>
      </w:r>
      <w:r w:rsidRPr="00757174">
        <w:rPr>
          <w:rFonts w:cs="Arial"/>
          <w:rtl/>
        </w:rPr>
        <w:t>הכונס את יבמתו וילדה לו בת</w:t>
      </w:r>
      <w:r>
        <w:rPr>
          <w:rFonts w:cs="Arial" w:hint="cs"/>
          <w:rtl/>
        </w:rPr>
        <w:t>,</w:t>
      </w:r>
      <w:r w:rsidRPr="00757174">
        <w:rPr>
          <w:rFonts w:cs="Arial"/>
          <w:rtl/>
        </w:rPr>
        <w:t xml:space="preserve"> יש לה מזונות לאחר מיתת האב מן האחין מנכסי אביה או לא</w:t>
      </w:r>
      <w:r>
        <w:rPr>
          <w:rFonts w:cs="Arial" w:hint="cs"/>
          <w:rtl/>
        </w:rPr>
        <w:t>, רש"י.</w:t>
      </w:r>
    </w:p>
  </w:footnote>
  <w:footnote w:id="2521">
    <w:p w14:paraId="7173269D" w14:textId="77777777" w:rsidR="00392DBB" w:rsidRDefault="00392DBB" w:rsidP="00392DBB">
      <w:pPr>
        <w:pStyle w:val="a5"/>
        <w:rPr>
          <w:rtl/>
        </w:rPr>
      </w:pPr>
      <w:r>
        <w:rPr>
          <w:rStyle w:val="a7"/>
        </w:rPr>
        <w:footnoteRef/>
      </w:r>
      <w:r>
        <w:rPr>
          <w:rtl/>
        </w:rPr>
        <w:t xml:space="preserve"> </w:t>
      </w:r>
      <w:r w:rsidRPr="00757174">
        <w:rPr>
          <w:rFonts w:cs="Arial"/>
          <w:rtl/>
        </w:rPr>
        <w:t>כתובתה אינה על נכסי יבם</w:t>
      </w:r>
      <w:r>
        <w:rPr>
          <w:rFonts w:cs="Arial" w:hint="cs"/>
          <w:rtl/>
        </w:rPr>
        <w:t>,</w:t>
      </w:r>
      <w:r w:rsidRPr="00757174">
        <w:rPr>
          <w:rFonts w:cs="Arial"/>
          <w:rtl/>
        </w:rPr>
        <w:t xml:space="preserve"> תנאי כתובה ד</w:t>
      </w:r>
      <w:r>
        <w:rPr>
          <w:rFonts w:cs="Arial" w:hint="cs"/>
          <w:rtl/>
        </w:rPr>
        <w:t>י</w:t>
      </w:r>
      <w:r w:rsidRPr="00757174">
        <w:rPr>
          <w:rFonts w:cs="Arial"/>
          <w:rtl/>
        </w:rPr>
        <w:t>לה נמי לאו על נכסיו הוא</w:t>
      </w:r>
      <w:r>
        <w:rPr>
          <w:rFonts w:hint="cs"/>
          <w:rtl/>
        </w:rPr>
        <w:t>, רש"י.</w:t>
      </w:r>
    </w:p>
  </w:footnote>
  <w:footnote w:id="2522">
    <w:p w14:paraId="699D4593" w14:textId="77777777" w:rsidR="00392DBB" w:rsidRDefault="00392DBB" w:rsidP="00392DBB">
      <w:pPr>
        <w:pStyle w:val="a5"/>
        <w:rPr>
          <w:rtl/>
        </w:rPr>
      </w:pPr>
      <w:r>
        <w:rPr>
          <w:rStyle w:val="a7"/>
        </w:rPr>
        <w:footnoteRef/>
      </w:r>
      <w:r>
        <w:rPr>
          <w:rtl/>
        </w:rPr>
        <w:t xml:space="preserve"> </w:t>
      </w:r>
      <w:r w:rsidRPr="00757174">
        <w:rPr>
          <w:rFonts w:cs="Arial"/>
          <w:rtl/>
        </w:rPr>
        <w:t>כיון דאמרינן התם אי לית ליה נכסים לראשון תקינו לה רבנן משני כדי שלא תהא קלה בעיניו להוציאה</w:t>
      </w:r>
      <w:r>
        <w:rPr>
          <w:rFonts w:hint="cs"/>
          <w:rtl/>
        </w:rPr>
        <w:t>, רש"י.</w:t>
      </w:r>
    </w:p>
  </w:footnote>
  <w:footnote w:id="2523">
    <w:p w14:paraId="51831203" w14:textId="77777777" w:rsidR="00392DBB" w:rsidRDefault="00392DBB" w:rsidP="00392DBB">
      <w:pPr>
        <w:pStyle w:val="a5"/>
        <w:rPr>
          <w:rtl/>
        </w:rPr>
      </w:pPr>
      <w:r>
        <w:rPr>
          <w:rStyle w:val="a7"/>
        </w:rPr>
        <w:footnoteRef/>
      </w:r>
      <w:r>
        <w:rPr>
          <w:rtl/>
        </w:rPr>
        <w:t xml:space="preserve"> </w:t>
      </w:r>
      <w:r w:rsidRPr="00757174">
        <w:rPr>
          <w:rFonts w:cs="Arial"/>
          <w:rtl/>
        </w:rPr>
        <w:t>נמי תנאי כתובה להיות בתו נזונת</w:t>
      </w:r>
      <w:r>
        <w:rPr>
          <w:rFonts w:hint="cs"/>
          <w:rtl/>
        </w:rPr>
        <w:t>, רש"י.</w:t>
      </w:r>
      <w:r w:rsidRPr="00B53A8E">
        <w:rPr>
          <w:rtl/>
        </w:rPr>
        <w:t xml:space="preserve"> </w:t>
      </w:r>
      <w:r w:rsidRPr="00B53A8E">
        <w:rPr>
          <w:rFonts w:cs="Arial"/>
          <w:rtl/>
        </w:rPr>
        <w:t>ולא איפשיטא הלכך לית לה</w:t>
      </w:r>
      <w:r>
        <w:rPr>
          <w:rFonts w:cs="Arial" w:hint="cs"/>
          <w:rtl/>
        </w:rPr>
        <w:t>.</w:t>
      </w:r>
      <w:r w:rsidRPr="00B53A8E">
        <w:rPr>
          <w:rFonts w:cs="Arial"/>
          <w:rtl/>
        </w:rPr>
        <w:t xml:space="preserve"> ודוקא בדאיכא נכסים מראשון הוא דקא מיבעיא לן</w:t>
      </w:r>
      <w:r>
        <w:rPr>
          <w:rFonts w:cs="Arial" w:hint="cs"/>
          <w:rtl/>
        </w:rPr>
        <w:t>,</w:t>
      </w:r>
      <w:r w:rsidRPr="00B53A8E">
        <w:rPr>
          <w:rFonts w:cs="Arial"/>
          <w:rtl/>
        </w:rPr>
        <w:t xml:space="preserve"> דאי ליכא הא תקינו לה רבנן כתובה משני ופשיטא דתנאי כתובה נמי אית לה</w:t>
      </w:r>
      <w:r>
        <w:rPr>
          <w:rFonts w:cs="Arial" w:hint="cs"/>
          <w:rtl/>
        </w:rPr>
        <w:t xml:space="preserve">..., ר"ן </w:t>
      </w:r>
      <w:r w:rsidRPr="00B53A8E">
        <w:rPr>
          <w:rFonts w:cs="Arial" w:hint="cs"/>
          <w:sz w:val="16"/>
          <w:szCs w:val="16"/>
          <w:rtl/>
        </w:rPr>
        <w:t>(כ.)</w:t>
      </w:r>
      <w:r>
        <w:rPr>
          <w:rFonts w:cs="Arial" w:hint="cs"/>
          <w:rtl/>
        </w:rPr>
        <w:t xml:space="preserve">. וכ"כ הרא"ש </w:t>
      </w:r>
      <w:r w:rsidRPr="00B53A8E">
        <w:rPr>
          <w:rFonts w:cs="Arial" w:hint="cs"/>
          <w:sz w:val="16"/>
          <w:szCs w:val="16"/>
          <w:rtl/>
        </w:rPr>
        <w:t>(סי' כח)</w:t>
      </w:r>
      <w:r>
        <w:rPr>
          <w:rFonts w:cs="Arial" w:hint="cs"/>
          <w:rtl/>
        </w:rPr>
        <w:t xml:space="preserve"> והטור.</w:t>
      </w:r>
      <w:r w:rsidRPr="009748FD">
        <w:rPr>
          <w:rtl/>
        </w:rPr>
        <w:t xml:space="preserve"> </w:t>
      </w:r>
      <w:r w:rsidRPr="009748FD">
        <w:rPr>
          <w:rFonts w:cs="Arial"/>
          <w:rtl/>
        </w:rPr>
        <w:t>מיהו לפי' תוס'</w:t>
      </w:r>
      <w:r>
        <w:rPr>
          <w:rFonts w:cs="Arial" w:hint="cs"/>
          <w:sz w:val="16"/>
          <w:szCs w:val="16"/>
          <w:rtl/>
        </w:rPr>
        <w:t xml:space="preserve"> (הביאו הב"ש [סק"י])</w:t>
      </w:r>
      <w:r w:rsidRPr="009748FD">
        <w:rPr>
          <w:rFonts w:cs="Arial"/>
          <w:rtl/>
        </w:rPr>
        <w:t xml:space="preserve"> אפי' אם לא הניח נכסים מ"מ מבעי' בש"ס אי אמרי' בבתה ת"כ ככתובה</w:t>
      </w:r>
      <w:r>
        <w:rPr>
          <w:rFonts w:hint="cs"/>
          <w:rtl/>
        </w:rPr>
        <w:t>.</w:t>
      </w:r>
    </w:p>
  </w:footnote>
  <w:footnote w:id="2524">
    <w:p w14:paraId="2C56CF5D" w14:textId="77777777" w:rsidR="00392DBB" w:rsidRDefault="00392DBB" w:rsidP="00392DBB">
      <w:pPr>
        <w:pStyle w:val="a5"/>
      </w:pPr>
      <w:r>
        <w:rPr>
          <w:rStyle w:val="a7"/>
        </w:rPr>
        <w:footnoteRef/>
      </w:r>
      <w:r>
        <w:rPr>
          <w:rtl/>
        </w:rPr>
        <w:t xml:space="preserve"> </w:t>
      </w:r>
      <w:r w:rsidRPr="00B53A8E">
        <w:rPr>
          <w:rFonts w:cs="Arial"/>
          <w:rtl/>
        </w:rPr>
        <w:t>דוקא בת הוא דקא מיבעיא ליה</w:t>
      </w:r>
      <w:r>
        <w:rPr>
          <w:rFonts w:cs="Arial" w:hint="cs"/>
          <w:rtl/>
        </w:rPr>
        <w:t>,</w:t>
      </w:r>
      <w:r w:rsidRPr="00B53A8E">
        <w:rPr>
          <w:rFonts w:cs="Arial"/>
          <w:rtl/>
        </w:rPr>
        <w:t xml:space="preserve"> אבל יבמה עצמה ודאי יש לה מזונות</w:t>
      </w:r>
      <w:r>
        <w:rPr>
          <w:rFonts w:cs="Arial" w:hint="cs"/>
          <w:rtl/>
        </w:rPr>
        <w:t>.</w:t>
      </w:r>
      <w:r w:rsidRPr="00B53A8E">
        <w:rPr>
          <w:rFonts w:cs="Arial"/>
          <w:rtl/>
        </w:rPr>
        <w:t xml:space="preserve"> דאפילו תימא דכתובתה על נכסי בעלה הראשון</w:t>
      </w:r>
      <w:r>
        <w:rPr>
          <w:rFonts w:cs="Arial" w:hint="cs"/>
          <w:rtl/>
        </w:rPr>
        <w:t>,</w:t>
      </w:r>
      <w:r w:rsidRPr="00B53A8E">
        <w:rPr>
          <w:rFonts w:cs="Arial"/>
          <w:rtl/>
        </w:rPr>
        <w:t xml:space="preserve"> שפיר קרינא ביה כל יומי מיגר אלמנותיך בביתי</w:t>
      </w:r>
      <w:r>
        <w:rPr>
          <w:rFonts w:cs="Arial" w:hint="cs"/>
          <w:rtl/>
        </w:rPr>
        <w:t>,</w:t>
      </w:r>
      <w:r w:rsidRPr="00B53A8E">
        <w:rPr>
          <w:rFonts w:cs="Arial"/>
          <w:rtl/>
        </w:rPr>
        <w:t xml:space="preserve"> שהרי מחמתו היא אלמנה עכשיו</w:t>
      </w:r>
      <w:r>
        <w:rPr>
          <w:rFonts w:cs="Arial" w:hint="cs"/>
          <w:rtl/>
        </w:rPr>
        <w:t>.</w:t>
      </w:r>
      <w:r w:rsidRPr="00B53A8E">
        <w:rPr>
          <w:rFonts w:cs="Arial"/>
          <w:rtl/>
        </w:rPr>
        <w:t xml:space="preserve"> ואי לית ליה נכסי לראשון כ"ש שיש לה מזונות דהא אית לה כתובה משני</w:t>
      </w:r>
      <w:r>
        <w:rPr>
          <w:rFonts w:cs="Arial" w:hint="cs"/>
          <w:rtl/>
        </w:rPr>
        <w:t xml:space="preserve">, ר"ן </w:t>
      </w:r>
      <w:r w:rsidRPr="00B53A8E">
        <w:rPr>
          <w:rFonts w:cs="Arial" w:hint="cs"/>
          <w:sz w:val="16"/>
          <w:szCs w:val="16"/>
          <w:rtl/>
        </w:rPr>
        <w:t>(כ.)</w:t>
      </w:r>
      <w:r>
        <w:rPr>
          <w:rFonts w:cs="Arial" w:hint="cs"/>
          <w:rtl/>
        </w:rPr>
        <w:t xml:space="preserve">. וכ"כ הרא"ש </w:t>
      </w:r>
      <w:r w:rsidRPr="00B53A8E">
        <w:rPr>
          <w:rFonts w:cs="Arial" w:hint="cs"/>
          <w:sz w:val="16"/>
          <w:szCs w:val="16"/>
          <w:rtl/>
        </w:rPr>
        <w:t>(סי' כח)</w:t>
      </w:r>
      <w:r w:rsidRPr="009748FD">
        <w:rPr>
          <w:rFonts w:cs="Arial" w:hint="cs"/>
          <w:rtl/>
        </w:rPr>
        <w:t>.</w:t>
      </w:r>
      <w:r>
        <w:rPr>
          <w:rFonts w:cs="Arial" w:hint="cs"/>
          <w:rtl/>
        </w:rPr>
        <w:t xml:space="preserve"> הביאם הב"י.</w:t>
      </w:r>
    </w:p>
  </w:footnote>
  <w:footnote w:id="2525">
    <w:p w14:paraId="195DE733" w14:textId="77777777" w:rsidR="00392DBB" w:rsidRDefault="00392DBB" w:rsidP="00392DBB">
      <w:pPr>
        <w:pStyle w:val="a5"/>
      </w:pPr>
      <w:r>
        <w:rPr>
          <w:rStyle w:val="a7"/>
        </w:rPr>
        <w:footnoteRef/>
      </w:r>
      <w:r>
        <w:rPr>
          <w:rtl/>
        </w:rPr>
        <w:t xml:space="preserve"> </w:t>
      </w:r>
      <w:r w:rsidRPr="00F501C4">
        <w:rPr>
          <w:rFonts w:cs="Arial"/>
          <w:rtl/>
        </w:rPr>
        <w:t xml:space="preserve">מי שנשא שניה מדברי סופרים דאמרי רבנן לקמן בפרק אלמנה </w:t>
      </w:r>
      <w:r>
        <w:rPr>
          <w:rFonts w:cs="Arial" w:hint="cs"/>
          <w:rtl/>
        </w:rPr>
        <w:t>(</w:t>
      </w:r>
      <w:r w:rsidRPr="00F501C4">
        <w:rPr>
          <w:rFonts w:cs="Arial"/>
          <w:rtl/>
        </w:rPr>
        <w:t>ק:) השניה אין לה כתובה ולא מזונות</w:t>
      </w:r>
      <w:r>
        <w:rPr>
          <w:rFonts w:cs="Arial" w:hint="cs"/>
          <w:rtl/>
        </w:rPr>
        <w:t>.</w:t>
      </w:r>
      <w:r w:rsidRPr="00F501C4">
        <w:rPr>
          <w:rFonts w:cs="Arial"/>
          <w:rtl/>
        </w:rPr>
        <w:t xml:space="preserve"> בתה שילדה לו</w:t>
      </w:r>
      <w:r>
        <w:rPr>
          <w:rFonts w:cs="Arial" w:hint="cs"/>
          <w:rtl/>
        </w:rPr>
        <w:t>,</w:t>
      </w:r>
      <w:r w:rsidRPr="00F501C4">
        <w:rPr>
          <w:rFonts w:cs="Arial"/>
          <w:rtl/>
        </w:rPr>
        <w:t xml:space="preserve"> ומת</w:t>
      </w:r>
      <w:r>
        <w:rPr>
          <w:rFonts w:cs="Arial" w:hint="cs"/>
          <w:rtl/>
        </w:rPr>
        <w:t>,</w:t>
      </w:r>
      <w:r w:rsidRPr="00F501C4">
        <w:rPr>
          <w:rtl/>
        </w:rPr>
        <w:t xml:space="preserve"> </w:t>
      </w:r>
      <w:r w:rsidRPr="00F501C4">
        <w:rPr>
          <w:rFonts w:cs="Arial"/>
          <w:rtl/>
        </w:rPr>
        <w:t>יש לה מזונות מנכסיו או לא</w:t>
      </w:r>
      <w:r>
        <w:rPr>
          <w:rFonts w:cs="Arial" w:hint="cs"/>
          <w:rtl/>
        </w:rPr>
        <w:t>, רש"י.</w:t>
      </w:r>
    </w:p>
  </w:footnote>
  <w:footnote w:id="2526">
    <w:p w14:paraId="427B3CC9" w14:textId="77777777" w:rsidR="00392DBB" w:rsidRDefault="00392DBB" w:rsidP="00392DBB">
      <w:pPr>
        <w:pStyle w:val="a5"/>
      </w:pPr>
      <w:r>
        <w:rPr>
          <w:rStyle w:val="a7"/>
        </w:rPr>
        <w:footnoteRef/>
      </w:r>
      <w:r>
        <w:rPr>
          <w:rtl/>
        </w:rPr>
        <w:t xml:space="preserve"> </w:t>
      </w:r>
      <w:r w:rsidRPr="009F5D5A">
        <w:rPr>
          <w:rFonts w:cs="Arial"/>
          <w:rtl/>
        </w:rPr>
        <w:t>לאם לית לה מזוני דבת דהא תנאי כתובה הוא</w:t>
      </w:r>
      <w:r>
        <w:rPr>
          <w:rFonts w:cs="Arial" w:hint="cs"/>
          <w:rtl/>
        </w:rPr>
        <w:t>, רש"י.</w:t>
      </w:r>
    </w:p>
  </w:footnote>
  <w:footnote w:id="2527">
    <w:p w14:paraId="0CD7B9C6" w14:textId="77777777" w:rsidR="00392DBB" w:rsidRDefault="00392DBB" w:rsidP="00392DBB">
      <w:pPr>
        <w:pStyle w:val="a5"/>
        <w:rPr>
          <w:rtl/>
        </w:rPr>
      </w:pPr>
      <w:r>
        <w:rPr>
          <w:rStyle w:val="a7"/>
        </w:rPr>
        <w:footnoteRef/>
      </w:r>
      <w:r>
        <w:rPr>
          <w:rtl/>
        </w:rPr>
        <w:t xml:space="preserve"> </w:t>
      </w:r>
      <w:r w:rsidRPr="009F5D5A">
        <w:rPr>
          <w:rFonts w:cs="Arial"/>
          <w:rtl/>
        </w:rPr>
        <w:t>הבא על ארוסתו וילדה לו ומת ולו בנים יש לה מזונות מנכסיו או לא</w:t>
      </w:r>
      <w:r>
        <w:rPr>
          <w:rFonts w:hint="cs"/>
          <w:rtl/>
        </w:rPr>
        <w:t>, רש"י.</w:t>
      </w:r>
    </w:p>
  </w:footnote>
  <w:footnote w:id="2528">
    <w:p w14:paraId="4AFE90BC" w14:textId="77777777" w:rsidR="00392DBB" w:rsidRDefault="00392DBB" w:rsidP="00392DBB">
      <w:pPr>
        <w:pStyle w:val="a5"/>
      </w:pPr>
      <w:r>
        <w:rPr>
          <w:rStyle w:val="a7"/>
        </w:rPr>
        <w:footnoteRef/>
      </w:r>
      <w:r>
        <w:rPr>
          <w:rtl/>
        </w:rPr>
        <w:t xml:space="preserve"> </w:t>
      </w:r>
      <w:r w:rsidRPr="009F5D5A">
        <w:rPr>
          <w:rFonts w:cs="Arial"/>
          <w:rtl/>
        </w:rPr>
        <w:t>כגון שכתב לה מן האירוסין אי נמי רבנן תקון נמי לארוסה</w:t>
      </w:r>
      <w:r>
        <w:rPr>
          <w:rFonts w:cs="Arial" w:hint="cs"/>
          <w:rtl/>
        </w:rPr>
        <w:t>, רש"י.</w:t>
      </w:r>
    </w:p>
  </w:footnote>
  <w:footnote w:id="2529">
    <w:p w14:paraId="230351CB" w14:textId="77777777" w:rsidR="00392DBB" w:rsidRDefault="00392DBB" w:rsidP="00392DBB">
      <w:pPr>
        <w:pStyle w:val="a5"/>
      </w:pPr>
      <w:r>
        <w:rPr>
          <w:rStyle w:val="a7"/>
        </w:rPr>
        <w:footnoteRef/>
      </w:r>
      <w:r>
        <w:rPr>
          <w:rtl/>
        </w:rPr>
        <w:t xml:space="preserve"> </w:t>
      </w:r>
      <w:r w:rsidRPr="009F5D5A">
        <w:rPr>
          <w:rFonts w:cs="Arial"/>
          <w:rtl/>
        </w:rPr>
        <w:t>למכתב עד שעת נשואין</w:t>
      </w:r>
      <w:r>
        <w:rPr>
          <w:rFonts w:cs="Arial" w:hint="cs"/>
          <w:rtl/>
        </w:rPr>
        <w:t>,</w:t>
      </w:r>
      <w:r w:rsidRPr="009F5D5A">
        <w:rPr>
          <w:rFonts w:cs="Arial"/>
          <w:rtl/>
        </w:rPr>
        <w:t xml:space="preserve"> תנאי כתובה נמי מקמי הכי לא חייל</w:t>
      </w:r>
      <w:r>
        <w:rPr>
          <w:rFonts w:cs="Arial" w:hint="cs"/>
          <w:rtl/>
        </w:rPr>
        <w:t>, רש"י.</w:t>
      </w:r>
    </w:p>
  </w:footnote>
  <w:footnote w:id="2530">
    <w:p w14:paraId="516595E3" w14:textId="77777777" w:rsidR="00392DBB" w:rsidRDefault="00392DBB" w:rsidP="00392DBB">
      <w:pPr>
        <w:pStyle w:val="a5"/>
      </w:pPr>
      <w:r>
        <w:rPr>
          <w:rStyle w:val="a7"/>
        </w:rPr>
        <w:footnoteRef/>
      </w:r>
      <w:r>
        <w:rPr>
          <w:rtl/>
        </w:rPr>
        <w:t xml:space="preserve"> </w:t>
      </w:r>
      <w:r w:rsidRPr="009F5D5A">
        <w:rPr>
          <w:rFonts w:cs="Arial"/>
          <w:rtl/>
        </w:rPr>
        <w:t>אנס את הנערה ונשאה אחרי כן כדכתיב ולו תהיה לאשה וילדה לו בת ומת יש לה מזונות מן האחין או לא</w:t>
      </w:r>
      <w:r>
        <w:rPr>
          <w:rFonts w:cs="Arial" w:hint="cs"/>
          <w:rtl/>
        </w:rPr>
        <w:t>, רש"י.</w:t>
      </w:r>
    </w:p>
  </w:footnote>
  <w:footnote w:id="2531">
    <w:p w14:paraId="413407B2" w14:textId="77777777" w:rsidR="00392DBB" w:rsidRDefault="00392DBB" w:rsidP="00392DBB">
      <w:pPr>
        <w:pStyle w:val="a5"/>
      </w:pPr>
      <w:r>
        <w:rPr>
          <w:rStyle w:val="a7"/>
        </w:rPr>
        <w:footnoteRef/>
      </w:r>
      <w:r>
        <w:rPr>
          <w:rtl/>
        </w:rPr>
        <w:t xml:space="preserve"> </w:t>
      </w:r>
      <w:r w:rsidRPr="009F5D5A">
        <w:rPr>
          <w:rFonts w:cs="Arial"/>
          <w:rtl/>
        </w:rPr>
        <w:t>מנכסיו</w:t>
      </w:r>
      <w:r>
        <w:rPr>
          <w:rFonts w:cs="Arial" w:hint="cs"/>
          <w:rtl/>
        </w:rPr>
        <w:t>, רש"י.</w:t>
      </w:r>
    </w:p>
  </w:footnote>
  <w:footnote w:id="2532">
    <w:p w14:paraId="04181687" w14:textId="77777777" w:rsidR="00392DBB" w:rsidRDefault="00392DBB" w:rsidP="00392DBB">
      <w:pPr>
        <w:pStyle w:val="a5"/>
      </w:pPr>
      <w:r>
        <w:rPr>
          <w:rStyle w:val="a7"/>
        </w:rPr>
        <w:footnoteRef/>
      </w:r>
      <w:r>
        <w:rPr>
          <w:rtl/>
        </w:rPr>
        <w:t xml:space="preserve"> </w:t>
      </w:r>
      <w:r w:rsidRPr="009F5D5A">
        <w:rPr>
          <w:rFonts w:cs="Arial"/>
          <w:rtl/>
        </w:rPr>
        <w:t>אם מת ואף על גב שכבר נתן כסף קנסה לאביה</w:t>
      </w:r>
      <w:r>
        <w:rPr>
          <w:rFonts w:cs="Arial" w:hint="cs"/>
          <w:rtl/>
        </w:rPr>
        <w:t>, רש"י.</w:t>
      </w:r>
    </w:p>
  </w:footnote>
  <w:footnote w:id="2533">
    <w:p w14:paraId="2B24EADF" w14:textId="77777777" w:rsidR="00392DBB" w:rsidRDefault="00392DBB" w:rsidP="00392DBB">
      <w:pPr>
        <w:pStyle w:val="a5"/>
      </w:pPr>
      <w:r>
        <w:rPr>
          <w:rStyle w:val="a7"/>
        </w:rPr>
        <w:footnoteRef/>
      </w:r>
      <w:r>
        <w:rPr>
          <w:rtl/>
        </w:rPr>
        <w:t xml:space="preserve"> </w:t>
      </w:r>
      <w:r w:rsidRPr="009F5D5A">
        <w:rPr>
          <w:rFonts w:cs="Arial"/>
          <w:rtl/>
        </w:rPr>
        <w:t>ואין לה כתובה</w:t>
      </w:r>
      <w:r>
        <w:rPr>
          <w:rFonts w:cs="Arial" w:hint="cs"/>
          <w:rtl/>
        </w:rPr>
        <w:t>, רש"י.</w:t>
      </w:r>
    </w:p>
  </w:footnote>
  <w:footnote w:id="2534">
    <w:p w14:paraId="42533ED5" w14:textId="77777777" w:rsidR="00392DBB" w:rsidRDefault="00392DBB" w:rsidP="00392DBB">
      <w:pPr>
        <w:pStyle w:val="a5"/>
        <w:rPr>
          <w:rtl/>
        </w:rPr>
      </w:pPr>
      <w:r>
        <w:rPr>
          <w:rStyle w:val="a7"/>
        </w:rPr>
        <w:footnoteRef/>
      </w:r>
      <w:r>
        <w:rPr>
          <w:rtl/>
        </w:rPr>
        <w:t xml:space="preserve"> </w:t>
      </w:r>
      <w:r w:rsidRPr="009F5D5A">
        <w:rPr>
          <w:rFonts w:cs="Arial"/>
          <w:rtl/>
        </w:rPr>
        <w:t>מזונות הבת שהן תנאי כתובה פקעי בהכי או לא מי אמרינן כיון דלית לה כו'</w:t>
      </w:r>
      <w:r>
        <w:rPr>
          <w:rFonts w:hint="cs"/>
          <w:rtl/>
        </w:rPr>
        <w:t>, רש"י.</w:t>
      </w:r>
    </w:p>
  </w:footnote>
  <w:footnote w:id="2535">
    <w:p w14:paraId="0E9E58B5" w14:textId="77777777" w:rsidR="00392DBB" w:rsidRDefault="00392DBB" w:rsidP="00392DBB">
      <w:pPr>
        <w:pStyle w:val="a5"/>
      </w:pPr>
      <w:r>
        <w:rPr>
          <w:rStyle w:val="a7"/>
        </w:rPr>
        <w:footnoteRef/>
      </w:r>
      <w:r>
        <w:rPr>
          <w:rtl/>
        </w:rPr>
        <w:t xml:space="preserve"> </w:t>
      </w:r>
      <w:r w:rsidRPr="00821488">
        <w:rPr>
          <w:rFonts w:cs="Arial"/>
          <w:rtl/>
        </w:rPr>
        <w:t>כדכתיב לא יוכל לשלחה כתובה דמשום אפוקי הוא דלא תקון דליכא למיחש לית לה אבל שאר תנאי כתובה דלאו משום שלא תהא קלה איתקון אית לה</w:t>
      </w:r>
      <w:r>
        <w:rPr>
          <w:rFonts w:cs="Arial" w:hint="cs"/>
          <w:rtl/>
        </w:rPr>
        <w:t>, רש"י.</w:t>
      </w:r>
      <w:r w:rsidRPr="00E003C9">
        <w:rPr>
          <w:rFonts w:cs="Arial"/>
          <w:rtl/>
        </w:rPr>
        <w:t xml:space="preserve"> </w:t>
      </w:r>
      <w:r>
        <w:rPr>
          <w:rFonts w:cs="Arial"/>
          <w:rtl/>
        </w:rPr>
        <w:t>ואם כן אפילו בבת שנולדה לו מאנוסתו לאחר שנשאה איבעיא</w:t>
      </w:r>
      <w:r>
        <w:rPr>
          <w:rFonts w:cs="Arial" w:hint="cs"/>
          <w:rtl/>
        </w:rPr>
        <w:t>,</w:t>
      </w:r>
      <w:r>
        <w:rPr>
          <w:rFonts w:cs="Arial"/>
          <w:rtl/>
        </w:rPr>
        <w:t xml:space="preserve"> לן וכך הם דברי רבינו והרב המגיד (שם הי"ד) וכן פירש רש"י (ד"ה בת אנוסה)</w:t>
      </w:r>
      <w:r>
        <w:rPr>
          <w:rFonts w:cs="Arial" w:hint="cs"/>
          <w:rtl/>
        </w:rPr>
        <w:t>.</w:t>
      </w:r>
      <w:r>
        <w:rPr>
          <w:rFonts w:cs="Arial"/>
          <w:rtl/>
        </w:rPr>
        <w:t xml:space="preserve"> אבל בבת ארוסה הא ודאי לא איבעיא לן אלא כשנולדה לו בעודה ארוסה</w:t>
      </w:r>
      <w:r>
        <w:rPr>
          <w:rFonts w:cs="Arial" w:hint="cs"/>
          <w:rtl/>
        </w:rPr>
        <w:t>,</w:t>
      </w:r>
      <w:r>
        <w:rPr>
          <w:rFonts w:cs="Arial"/>
          <w:rtl/>
        </w:rPr>
        <w:t xml:space="preserve"> דאילו בנולדה לו אחר שנשאת פשיטא דאית לה</w:t>
      </w:r>
      <w:r>
        <w:rPr>
          <w:rFonts w:hint="cs"/>
          <w:rtl/>
        </w:rPr>
        <w:t>, ב"י.</w:t>
      </w:r>
      <w:r w:rsidRPr="00A50850">
        <w:rPr>
          <w:rFonts w:hint="cs"/>
          <w:color w:val="E36C0A" w:themeColor="accent6" w:themeShade="BF"/>
          <w:rtl/>
        </w:rPr>
        <w:t xml:space="preserve"> (וכ"פ בשו"ע)</w:t>
      </w:r>
    </w:p>
  </w:footnote>
  <w:footnote w:id="2536">
    <w:p w14:paraId="446AF97E" w14:textId="739805B9" w:rsidR="008B4B15" w:rsidRDefault="008B4B15">
      <w:pPr>
        <w:pStyle w:val="a5"/>
        <w:rPr>
          <w:rFonts w:hint="cs"/>
          <w:rtl/>
        </w:rPr>
      </w:pPr>
      <w:r>
        <w:rPr>
          <w:rStyle w:val="a7"/>
        </w:rPr>
        <w:footnoteRef/>
      </w:r>
      <w:r>
        <w:rPr>
          <w:rtl/>
        </w:rPr>
        <w:t xml:space="preserve"> </w:t>
      </w:r>
      <w:r>
        <w:rPr>
          <w:rFonts w:cs="Arial" w:hint="cs"/>
          <w:rtl/>
        </w:rPr>
        <w:t>ו</w:t>
      </w:r>
      <w:r w:rsidRPr="00F501C4">
        <w:rPr>
          <w:rFonts w:cs="Arial"/>
          <w:rtl/>
        </w:rPr>
        <w:t>אם תפסה לא מפקינן מינה</w:t>
      </w:r>
      <w:r>
        <w:rPr>
          <w:rFonts w:cs="Arial" w:hint="cs"/>
          <w:rtl/>
        </w:rPr>
        <w:t>,</w:t>
      </w:r>
      <w:r w:rsidRPr="008B4B15">
        <w:rPr>
          <w:rFonts w:cs="Arial" w:hint="cs"/>
          <w:rtl/>
        </w:rPr>
        <w:t xml:space="preserve"> </w:t>
      </w:r>
      <w:r w:rsidRPr="00F501C4">
        <w:rPr>
          <w:rFonts w:cs="Arial" w:hint="cs"/>
          <w:rtl/>
        </w:rPr>
        <w:t xml:space="preserve">רי"ו </w:t>
      </w:r>
      <w:r w:rsidRPr="00F501C4">
        <w:rPr>
          <w:rFonts w:cs="Arial" w:hint="cs"/>
          <w:sz w:val="16"/>
          <w:szCs w:val="16"/>
          <w:rtl/>
        </w:rPr>
        <w:t>(</w:t>
      </w:r>
      <w:r w:rsidRPr="00F501C4">
        <w:rPr>
          <w:rFonts w:cs="Arial"/>
          <w:sz w:val="16"/>
          <w:szCs w:val="16"/>
          <w:rtl/>
        </w:rPr>
        <w:t>מישרים נכ"ג חי"ב סז ע"ד)</w:t>
      </w:r>
      <w:r w:rsidRPr="00F501C4">
        <w:rPr>
          <w:rFonts w:cs="Arial" w:hint="cs"/>
          <w:rtl/>
        </w:rPr>
        <w:t>.</w:t>
      </w:r>
    </w:p>
  </w:footnote>
  <w:footnote w:id="2537">
    <w:p w14:paraId="6BBDDDBC" w14:textId="77777777" w:rsidR="00392DBB" w:rsidRDefault="00392DBB" w:rsidP="00392DBB">
      <w:pPr>
        <w:pStyle w:val="a5"/>
      </w:pPr>
      <w:r>
        <w:rPr>
          <w:rStyle w:val="a7"/>
        </w:rPr>
        <w:footnoteRef/>
      </w:r>
      <w:r>
        <w:rPr>
          <w:rtl/>
        </w:rPr>
        <w:t xml:space="preserve"> </w:t>
      </w:r>
      <w:r>
        <w:rPr>
          <w:rFonts w:cs="Arial"/>
          <w:rtl/>
        </w:rPr>
        <w:t>כ"כ הפוסקים ופשוט הוא ותקנה זו איתא בסוף פרק הנזכר</w:t>
      </w:r>
      <w:r>
        <w:rPr>
          <w:rFonts w:cs="Arial" w:hint="cs"/>
          <w:rtl/>
        </w:rPr>
        <w:t xml:space="preserve"> (פ' נערה, כתובות מט:), ב"י.</w:t>
      </w:r>
    </w:p>
  </w:footnote>
  <w:footnote w:id="2538">
    <w:p w14:paraId="6DF06829" w14:textId="77777777" w:rsidR="00392DBB" w:rsidRDefault="00392DBB" w:rsidP="00392DBB">
      <w:pPr>
        <w:pStyle w:val="a5"/>
      </w:pPr>
      <w:r>
        <w:rPr>
          <w:rStyle w:val="a7"/>
        </w:rPr>
        <w:footnoteRef/>
      </w:r>
      <w:r>
        <w:rPr>
          <w:rtl/>
        </w:rPr>
        <w:t xml:space="preserve"> </w:t>
      </w:r>
      <w:r w:rsidRPr="00B53A8E">
        <w:rPr>
          <w:rFonts w:cs="Arial"/>
          <w:rtl/>
        </w:rPr>
        <w:t>דאז כתובתה על נכסי בעלה הראשון</w:t>
      </w:r>
      <w:r>
        <w:rPr>
          <w:rFonts w:cs="Arial" w:hint="cs"/>
          <w:rtl/>
        </w:rPr>
        <w:t>,</w:t>
      </w:r>
      <w:r w:rsidRPr="00B53A8E">
        <w:rPr>
          <w:rFonts w:cs="Arial"/>
          <w:rtl/>
        </w:rPr>
        <w:t xml:space="preserve"> ות</w:t>
      </w:r>
      <w:r>
        <w:rPr>
          <w:rFonts w:cs="Arial" w:hint="cs"/>
          <w:rtl/>
        </w:rPr>
        <w:t xml:space="preserve">וספת </w:t>
      </w:r>
      <w:r w:rsidRPr="00B53A8E">
        <w:rPr>
          <w:rFonts w:cs="Arial"/>
          <w:rtl/>
        </w:rPr>
        <w:t>כ</w:t>
      </w:r>
      <w:r>
        <w:rPr>
          <w:rFonts w:cs="Arial" w:hint="cs"/>
          <w:rtl/>
        </w:rPr>
        <w:t>תובה</w:t>
      </w:r>
      <w:r w:rsidRPr="00B53A8E">
        <w:rPr>
          <w:rFonts w:cs="Arial"/>
          <w:rtl/>
        </w:rPr>
        <w:t xml:space="preserve"> פשיט</w:t>
      </w:r>
      <w:r>
        <w:rPr>
          <w:rFonts w:cs="Arial" w:hint="cs"/>
          <w:rtl/>
        </w:rPr>
        <w:t>א</w:t>
      </w:r>
      <w:r w:rsidRPr="00B53A8E">
        <w:rPr>
          <w:rFonts w:cs="Arial"/>
          <w:rtl/>
        </w:rPr>
        <w:t xml:space="preserve"> דלית לה מראשון</w:t>
      </w:r>
      <w:r>
        <w:rPr>
          <w:rFonts w:cs="Arial" w:hint="cs"/>
          <w:rtl/>
        </w:rPr>
        <w:t>,</w:t>
      </w:r>
      <w:r w:rsidRPr="00B53A8E">
        <w:rPr>
          <w:rFonts w:cs="Arial"/>
          <w:rtl/>
        </w:rPr>
        <w:t xml:space="preserve"> דהא הראשון לא כתב לה רק בנן נוקבן דיהוי ליכי מינאי</w:t>
      </w:r>
      <w:r>
        <w:rPr>
          <w:rFonts w:cs="Arial" w:hint="cs"/>
          <w:rtl/>
        </w:rPr>
        <w:t>,</w:t>
      </w:r>
      <w:r w:rsidRPr="00B53A8E">
        <w:rPr>
          <w:rFonts w:cs="Arial"/>
          <w:rtl/>
        </w:rPr>
        <w:t xml:space="preserve"> והיא לא ילדה לו</w:t>
      </w:r>
      <w:r>
        <w:rPr>
          <w:rFonts w:cs="Arial" w:hint="cs"/>
          <w:rtl/>
        </w:rPr>
        <w:t>.</w:t>
      </w:r>
      <w:r w:rsidRPr="00B53A8E">
        <w:rPr>
          <w:rFonts w:cs="Arial"/>
          <w:rtl/>
        </w:rPr>
        <w:t xml:space="preserve"> אבל מן השני מבעיא אף דאין לה כתובה עליו כל שיש נכסים מן הראשון</w:t>
      </w:r>
      <w:r>
        <w:rPr>
          <w:rFonts w:cs="Arial" w:hint="cs"/>
          <w:rtl/>
        </w:rPr>
        <w:t>.</w:t>
      </w:r>
      <w:r w:rsidRPr="00B53A8E">
        <w:rPr>
          <w:rFonts w:cs="Arial"/>
          <w:rtl/>
        </w:rPr>
        <w:t xml:space="preserve"> אבל תנאי כתובה יש לה על השני דכיון דאינה ניזונ</w:t>
      </w:r>
      <w:r>
        <w:rPr>
          <w:rFonts w:cs="Arial" w:hint="cs"/>
          <w:rtl/>
        </w:rPr>
        <w:t>ת</w:t>
      </w:r>
      <w:r w:rsidRPr="00B53A8E">
        <w:rPr>
          <w:rFonts w:cs="Arial"/>
          <w:rtl/>
        </w:rPr>
        <w:t xml:space="preserve"> מנכסי ראשון כמאן דלית ליה לראשון דמי</w:t>
      </w:r>
      <w:r>
        <w:rPr>
          <w:rFonts w:cs="Arial" w:hint="cs"/>
          <w:rtl/>
        </w:rPr>
        <w:t>, ח"מ (סקי"ב).</w:t>
      </w:r>
    </w:p>
  </w:footnote>
  <w:footnote w:id="2539">
    <w:p w14:paraId="3AD8D844" w14:textId="77777777" w:rsidR="00392DBB" w:rsidRDefault="00392DBB" w:rsidP="00392DBB">
      <w:pPr>
        <w:pStyle w:val="a5"/>
      </w:pPr>
      <w:r>
        <w:rPr>
          <w:rStyle w:val="a7"/>
        </w:rPr>
        <w:footnoteRef/>
      </w:r>
      <w:r>
        <w:rPr>
          <w:rtl/>
        </w:rPr>
        <w:t xml:space="preserve"> </w:t>
      </w:r>
      <w:r w:rsidRPr="004C2CD4">
        <w:rPr>
          <w:rFonts w:cs="Arial"/>
          <w:rtl/>
        </w:rPr>
        <w:t>וכתב הרא"ש דה"ה באנוסה גופה מצי למבעי אם יש מזונו' לאחר מיתת בעלה (וסיים הרא"ש וכיון דעלו בתיקו לית לה דכל תיקו דממונא חומר' לתובע וקולא לנתבע)</w:t>
      </w:r>
      <w:r>
        <w:rPr>
          <w:rFonts w:cs="Arial" w:hint="cs"/>
          <w:rtl/>
        </w:rPr>
        <w:t>, ח"מ (סקי"ג).</w:t>
      </w:r>
    </w:p>
  </w:footnote>
  <w:footnote w:id="2540">
    <w:p w14:paraId="2BED8DC8" w14:textId="77777777" w:rsidR="00392DBB" w:rsidRDefault="00392DBB" w:rsidP="00392DBB">
      <w:pPr>
        <w:pStyle w:val="a5"/>
      </w:pPr>
      <w:r>
        <w:rPr>
          <w:rStyle w:val="a7"/>
        </w:rPr>
        <w:footnoteRef/>
      </w:r>
      <w:r>
        <w:rPr>
          <w:rtl/>
        </w:rPr>
        <w:t xml:space="preserve"> </w:t>
      </w:r>
      <w:r w:rsidRPr="004C2CD4">
        <w:rPr>
          <w:rFonts w:cs="Arial"/>
          <w:rtl/>
        </w:rPr>
        <w:t>אבל נתעברה קודם שנשאה וילדה אחר שנשאה קרינן בנן נוקבן דיהוי ליכי וכו'</w:t>
      </w:r>
      <w:r>
        <w:rPr>
          <w:rFonts w:cs="Arial" w:hint="cs"/>
          <w:rtl/>
        </w:rPr>
        <w:t>, ח"מ (סקי"ד).</w:t>
      </w:r>
    </w:p>
  </w:footnote>
  <w:footnote w:id="2541">
    <w:p w14:paraId="53650CC5" w14:textId="77777777" w:rsidR="00392DBB" w:rsidRDefault="00392DBB" w:rsidP="00392DBB">
      <w:pPr>
        <w:pStyle w:val="a5"/>
      </w:pPr>
      <w:r>
        <w:rPr>
          <w:rStyle w:val="a7"/>
        </w:rPr>
        <w:footnoteRef/>
      </w:r>
      <w:r>
        <w:rPr>
          <w:rtl/>
        </w:rPr>
        <w:t xml:space="preserve"> </w:t>
      </w:r>
      <w:r w:rsidRPr="004C2CD4">
        <w:rPr>
          <w:rFonts w:cs="Arial"/>
          <w:rtl/>
        </w:rPr>
        <w:t>אבל מת קודם שנשאה כיון דהיא עצמה לית לה אף בתה לית לה</w:t>
      </w:r>
      <w:r>
        <w:rPr>
          <w:rFonts w:cs="Arial" w:hint="cs"/>
          <w:rtl/>
        </w:rPr>
        <w:t>,</w:t>
      </w:r>
      <w:r w:rsidRPr="004C2CD4">
        <w:rPr>
          <w:rFonts w:cs="Arial"/>
          <w:rtl/>
        </w:rPr>
        <w:t xml:space="preserve"> כ"כ הרא"ש בשם הראב"ד</w:t>
      </w:r>
      <w:r>
        <w:rPr>
          <w:rFonts w:cs="Arial" w:hint="cs"/>
          <w:rtl/>
        </w:rPr>
        <w:t>.</w:t>
      </w:r>
      <w:r w:rsidRPr="004C2CD4">
        <w:rPr>
          <w:rFonts w:cs="Arial"/>
          <w:rtl/>
        </w:rPr>
        <w:t xml:space="preserve"> והר"ן</w:t>
      </w:r>
      <w:r>
        <w:rPr>
          <w:rFonts w:cs="Arial" w:hint="cs"/>
          <w:sz w:val="16"/>
          <w:szCs w:val="16"/>
          <w:rtl/>
        </w:rPr>
        <w:t xml:space="preserve"> {וכן פירש רש"י לחד פירושא}</w:t>
      </w:r>
      <w:r>
        <w:rPr>
          <w:rFonts w:cs="Arial" w:hint="cs"/>
          <w:rtl/>
        </w:rPr>
        <w:t xml:space="preserve"> </w:t>
      </w:r>
      <w:r w:rsidRPr="004C2CD4">
        <w:rPr>
          <w:rFonts w:cs="Arial"/>
          <w:rtl/>
        </w:rPr>
        <w:t>פי' דמיירי שמת קודם שנשאה וכתב לה כתובה מן הארוסין</w:t>
      </w:r>
      <w:r>
        <w:rPr>
          <w:rFonts w:cs="Arial" w:hint="cs"/>
          <w:rtl/>
        </w:rPr>
        <w:t>,</w:t>
      </w:r>
      <w:r w:rsidRPr="004C2CD4">
        <w:rPr>
          <w:rFonts w:cs="Arial"/>
          <w:rtl/>
        </w:rPr>
        <w:t xml:space="preserve"> ומבעי' ליה בתנאי כתובה</w:t>
      </w:r>
      <w:r>
        <w:rPr>
          <w:rFonts w:cs="Arial" w:hint="cs"/>
          <w:rtl/>
        </w:rPr>
        <w:t>, ח"מ (סקט"ו).</w:t>
      </w:r>
    </w:p>
  </w:footnote>
  <w:footnote w:id="2542">
    <w:p w14:paraId="66A7B69C" w14:textId="77777777" w:rsidR="00392DBB" w:rsidRDefault="00392DBB" w:rsidP="00392DBB">
      <w:pPr>
        <w:pStyle w:val="a5"/>
      </w:pPr>
      <w:r>
        <w:rPr>
          <w:rStyle w:val="a7"/>
        </w:rPr>
        <w:footnoteRef/>
      </w:r>
      <w:r>
        <w:rPr>
          <w:rtl/>
        </w:rPr>
        <w:t xml:space="preserve"> </w:t>
      </w:r>
      <w:r w:rsidRPr="0060577A">
        <w:rPr>
          <w:rFonts w:cs="Arial"/>
          <w:rtl/>
        </w:rPr>
        <w:t>וכתב רי"ו אם תפסה אין מוציאים ממנה</w:t>
      </w:r>
      <w:r>
        <w:rPr>
          <w:rFonts w:cs="Arial" w:hint="cs"/>
          <w:rtl/>
        </w:rPr>
        <w:t>.</w:t>
      </w:r>
      <w:r w:rsidRPr="0060577A">
        <w:rPr>
          <w:rFonts w:cs="Arial"/>
          <w:rtl/>
        </w:rPr>
        <w:t xml:space="preserve"> ובש"ג כתב בנכסים מועטים אין מוציאין ממנה אבל בנכסים מרובים אין להן זכות אלא מזונות דבר יום ביומו לכן מוציאין ממנה</w:t>
      </w:r>
      <w:r>
        <w:rPr>
          <w:rFonts w:cs="Arial" w:hint="cs"/>
          <w:rtl/>
        </w:rPr>
        <w:t>,</w:t>
      </w:r>
      <w:r w:rsidRPr="0060577A">
        <w:rPr>
          <w:rFonts w:cs="Arial"/>
          <w:rtl/>
        </w:rPr>
        <w:t xml:space="preserve"> ואחר שמוציאין אפשר דאין להן כלל</w:t>
      </w:r>
      <w:r>
        <w:rPr>
          <w:rFonts w:cs="Arial" w:hint="cs"/>
          <w:rtl/>
        </w:rPr>
        <w:t>.</w:t>
      </w:r>
      <w:r w:rsidRPr="0060577A">
        <w:rPr>
          <w:rFonts w:cs="Arial"/>
          <w:rtl/>
        </w:rPr>
        <w:t xml:space="preserve"> ובב"י ובד"מ הביאו דברי רי"ו בסתם</w:t>
      </w:r>
      <w:r>
        <w:rPr>
          <w:rFonts w:cs="Arial" w:hint="cs"/>
          <w:rtl/>
        </w:rPr>
        <w:t>.</w:t>
      </w:r>
      <w:r w:rsidRPr="0060577A">
        <w:rPr>
          <w:rFonts w:cs="Arial"/>
          <w:rtl/>
        </w:rPr>
        <w:t xml:space="preserve"> מיהו בתיקו אית' פלוגת' אם מהני תפיסה כמ"ש בח"ה בכמה מקומות</w:t>
      </w:r>
      <w:r>
        <w:rPr>
          <w:rFonts w:cs="Arial" w:hint="cs"/>
          <w:rtl/>
        </w:rPr>
        <w:t>..., ב"ש (סקי"א).</w:t>
      </w:r>
    </w:p>
  </w:footnote>
  <w:footnote w:id="2543">
    <w:p w14:paraId="4B155EBB" w14:textId="77777777" w:rsidR="00392DBB" w:rsidRDefault="00392DBB" w:rsidP="00392DBB">
      <w:pPr>
        <w:pStyle w:val="a5"/>
        <w:rPr>
          <w:rtl/>
        </w:rPr>
      </w:pPr>
      <w:r>
        <w:rPr>
          <w:rStyle w:val="a7"/>
        </w:rPr>
        <w:footnoteRef/>
      </w:r>
      <w:r>
        <w:rPr>
          <w:rtl/>
        </w:rPr>
        <w:t xml:space="preserve"> </w:t>
      </w:r>
      <w:r w:rsidRPr="00A80CC5">
        <w:rPr>
          <w:rFonts w:cs="Arial"/>
          <w:rtl/>
        </w:rPr>
        <w:t>הנה בחייו חייב לזון את בנו עד ששה שנים כמ"ש בסי' ע"א ואחר מותו אין מפרישין מזון בניו כמ"ש שם ולבנות בחייו אינו חייב אלא עד שש ולאחר מותו יש להן מזונות עד שיבגרו או עד ארוסין ולאלו אין להן אחר מותו</w:t>
      </w:r>
      <w:r>
        <w:rPr>
          <w:rFonts w:hint="cs"/>
          <w:rtl/>
        </w:rPr>
        <w:t>, ב"ש (סקי"ג).</w:t>
      </w:r>
    </w:p>
  </w:footnote>
  <w:footnote w:id="2544">
    <w:p w14:paraId="0DE00088" w14:textId="77777777" w:rsidR="00392DBB" w:rsidRDefault="00392DBB" w:rsidP="00392DBB">
      <w:pPr>
        <w:pStyle w:val="a5"/>
      </w:pPr>
      <w:r>
        <w:rPr>
          <w:rStyle w:val="a7"/>
        </w:rPr>
        <w:footnoteRef/>
      </w:r>
      <w:r>
        <w:rPr>
          <w:rtl/>
        </w:rPr>
        <w:t xml:space="preserve"> </w:t>
      </w:r>
      <w:r w:rsidRPr="004C0F3E">
        <w:rPr>
          <w:rFonts w:cs="Arial"/>
          <w:rtl/>
        </w:rPr>
        <w:t>שלא אתבזה על הבריות מכבודי הראשון לא בפניך ולא בפני חביריך</w:t>
      </w:r>
      <w:r>
        <w:rPr>
          <w:rFonts w:cs="Arial" w:hint="cs"/>
          <w:rtl/>
        </w:rPr>
        <w:t>, רש"י.</w:t>
      </w:r>
    </w:p>
  </w:footnote>
  <w:footnote w:id="2545">
    <w:p w14:paraId="658117A7" w14:textId="77777777" w:rsidR="00392DBB" w:rsidRDefault="00392DBB" w:rsidP="00392DBB">
      <w:pPr>
        <w:pStyle w:val="a5"/>
      </w:pPr>
      <w:r>
        <w:rPr>
          <w:rStyle w:val="a7"/>
        </w:rPr>
        <w:footnoteRef/>
      </w:r>
      <w:r>
        <w:rPr>
          <w:rtl/>
        </w:rPr>
        <w:t xml:space="preserve"> </w:t>
      </w:r>
      <w:r>
        <w:rPr>
          <w:rFonts w:hint="cs"/>
          <w:rtl/>
        </w:rPr>
        <w:t>וכן איתא בדף פז ע"א.</w:t>
      </w:r>
    </w:p>
  </w:footnote>
  <w:footnote w:id="2546">
    <w:p w14:paraId="4D573E6D" w14:textId="41712CAB" w:rsidR="006A04B7" w:rsidRDefault="006A04B7">
      <w:pPr>
        <w:pStyle w:val="a5"/>
        <w:rPr>
          <w:rFonts w:hint="cs"/>
        </w:rPr>
      </w:pPr>
      <w:r>
        <w:rPr>
          <w:rStyle w:val="a7"/>
        </w:rPr>
        <w:footnoteRef/>
      </w:r>
      <w:r>
        <w:rPr>
          <w:rtl/>
        </w:rPr>
        <w:t xml:space="preserve"> </w:t>
      </w:r>
      <w:r w:rsidRPr="006A04B7">
        <w:rPr>
          <w:rFonts w:cs="Arial"/>
          <w:rtl/>
        </w:rPr>
        <w:t>ומצי לסלוקה בזוזי או בחדא ארעא</w:t>
      </w:r>
      <w:r>
        <w:rPr>
          <w:rFonts w:hint="cs"/>
          <w:rtl/>
        </w:rPr>
        <w:t>, רש"י.</w:t>
      </w:r>
    </w:p>
  </w:footnote>
  <w:footnote w:id="2547">
    <w:p w14:paraId="4BB9024F" w14:textId="322AF678" w:rsidR="006A04B7" w:rsidRDefault="006A04B7" w:rsidP="006A04B7">
      <w:pPr>
        <w:pStyle w:val="a5"/>
        <w:rPr>
          <w:rFonts w:hint="cs"/>
        </w:rPr>
      </w:pPr>
      <w:r>
        <w:rPr>
          <w:rStyle w:val="a7"/>
        </w:rPr>
        <w:footnoteRef/>
      </w:r>
      <w:r>
        <w:rPr>
          <w:rtl/>
        </w:rPr>
        <w:t xml:space="preserve"> </w:t>
      </w:r>
      <w:r w:rsidRPr="006A04B7">
        <w:rPr>
          <w:rFonts w:cs="Arial"/>
          <w:rtl/>
        </w:rPr>
        <w:t>אי בעלת חוב דאבא הויא אינה גובה אלא מן הזיבורית ואינה נפרעת אלא בשבועה שלא נטלה מנכסים הללו כלום דקיי"ל (גיטין מח:) אין נפרעין מנכסי יתומים אלא מן הזבורית ואין נפרעים מהן אלא בשבועה ואי בעלת חוב שלהן אין כאן בא ליפרע מנכסי יתומין</w:t>
      </w:r>
      <w:r>
        <w:rPr>
          <w:rFonts w:hint="cs"/>
          <w:rtl/>
        </w:rPr>
        <w:t>, רש"י.</w:t>
      </w:r>
    </w:p>
  </w:footnote>
  <w:footnote w:id="2548">
    <w:p w14:paraId="450BB57E" w14:textId="6706D94D" w:rsidR="006A04B7" w:rsidRDefault="006A04B7" w:rsidP="006A04B7">
      <w:pPr>
        <w:pStyle w:val="a5"/>
        <w:rPr>
          <w:rFonts w:hint="cs"/>
        </w:rPr>
      </w:pPr>
      <w:r>
        <w:rPr>
          <w:rStyle w:val="a7"/>
        </w:rPr>
        <w:footnoteRef/>
      </w:r>
      <w:r>
        <w:rPr>
          <w:rtl/>
        </w:rPr>
        <w:t xml:space="preserve"> </w:t>
      </w:r>
      <w:r>
        <w:rPr>
          <w:rFonts w:cs="Arial" w:hint="cs"/>
          <w:rtl/>
        </w:rPr>
        <w:t xml:space="preserve">רב אשי </w:t>
      </w:r>
      <w:r w:rsidRPr="006A04B7">
        <w:rPr>
          <w:rFonts w:cs="Arial"/>
          <w:rtl/>
        </w:rPr>
        <w:t>מת</w:t>
      </w:r>
      <w:r>
        <w:rPr>
          <w:rFonts w:cs="Arial" w:hint="cs"/>
          <w:rtl/>
        </w:rPr>
        <w:t>,</w:t>
      </w:r>
      <w:r w:rsidRPr="006A04B7">
        <w:rPr>
          <w:rFonts w:cs="Arial"/>
          <w:rtl/>
        </w:rPr>
        <w:t xml:space="preserve"> ומת רב סמא בנו בחייו</w:t>
      </w:r>
      <w:r>
        <w:rPr>
          <w:rFonts w:cs="Arial" w:hint="cs"/>
          <w:rtl/>
        </w:rPr>
        <w:t>,</w:t>
      </w:r>
      <w:r w:rsidRPr="006A04B7">
        <w:rPr>
          <w:rFonts w:cs="Arial"/>
          <w:rtl/>
        </w:rPr>
        <w:t xml:space="preserve"> וכשבאת בתו ליפרע נטלה מחלקו של מר בר רב אשי שהיה קיים בינונית שלא בשבועה</w:t>
      </w:r>
      <w:r>
        <w:rPr>
          <w:rFonts w:cs="Arial" w:hint="cs"/>
          <w:rtl/>
        </w:rPr>
        <w:t>,</w:t>
      </w:r>
      <w:r w:rsidRPr="006A04B7">
        <w:rPr>
          <w:rFonts w:cs="Arial"/>
          <w:rtl/>
        </w:rPr>
        <w:t xml:space="preserve"> אלמא בעלת חוב דאחי הויא</w:t>
      </w:r>
      <w:r>
        <w:rPr>
          <w:rFonts w:hint="cs"/>
          <w:rtl/>
        </w:rPr>
        <w:t>, רש"י.</w:t>
      </w:r>
    </w:p>
  </w:footnote>
  <w:footnote w:id="2549">
    <w:p w14:paraId="73E4627A" w14:textId="77777777" w:rsidR="006A04B7" w:rsidRDefault="006A04B7" w:rsidP="006A04B7">
      <w:pPr>
        <w:pStyle w:val="a5"/>
        <w:rPr>
          <w:rFonts w:hint="cs"/>
        </w:rPr>
      </w:pPr>
      <w:r>
        <w:rPr>
          <w:rStyle w:val="a7"/>
        </w:rPr>
        <w:footnoteRef/>
      </w:r>
      <w:r>
        <w:rPr>
          <w:rtl/>
        </w:rPr>
        <w:t xml:space="preserve"> </w:t>
      </w:r>
      <w:r w:rsidRPr="006A04B7">
        <w:rPr>
          <w:rFonts w:cs="Arial"/>
          <w:rtl/>
        </w:rPr>
        <w:t>לפי שבעלת חוב של אביו היתה שהיה אחיה</w:t>
      </w:r>
      <w:r>
        <w:rPr>
          <w:rFonts w:hint="cs"/>
          <w:rtl/>
        </w:rPr>
        <w:t>, רש"י.</w:t>
      </w:r>
    </w:p>
  </w:footnote>
  <w:footnote w:id="2550">
    <w:p w14:paraId="24754EFE" w14:textId="77777777" w:rsidR="00392DBB" w:rsidRDefault="00392DBB" w:rsidP="00392DBB">
      <w:pPr>
        <w:pStyle w:val="a5"/>
      </w:pPr>
      <w:r>
        <w:rPr>
          <w:rStyle w:val="a7"/>
        </w:rPr>
        <w:footnoteRef/>
      </w:r>
      <w:r>
        <w:rPr>
          <w:rtl/>
        </w:rPr>
        <w:t xml:space="preserve"> </w:t>
      </w:r>
      <w:r w:rsidRPr="008805E4">
        <w:rPr>
          <w:rFonts w:cs="Arial"/>
          <w:rtl/>
        </w:rPr>
        <w:t>כ"כ הרמב"ם פי"ט</w:t>
      </w:r>
      <w:r>
        <w:rPr>
          <w:rFonts w:cs="Arial" w:hint="cs"/>
          <w:rtl/>
        </w:rPr>
        <w:t>.</w:t>
      </w:r>
      <w:r w:rsidRPr="008805E4">
        <w:rPr>
          <w:rFonts w:cs="Arial"/>
          <w:rtl/>
        </w:rPr>
        <w:t xml:space="preserve"> ובש</w:t>
      </w:r>
      <w:r>
        <w:rPr>
          <w:rFonts w:cs="Arial" w:hint="cs"/>
          <w:rtl/>
        </w:rPr>
        <w:t>לט</w:t>
      </w:r>
      <w:r w:rsidRPr="008805E4">
        <w:rPr>
          <w:rFonts w:cs="Arial"/>
          <w:rtl/>
        </w:rPr>
        <w:t xml:space="preserve">"ג פסק </w:t>
      </w:r>
      <w:r>
        <w:rPr>
          <w:rFonts w:cs="Arial" w:hint="cs"/>
          <w:rtl/>
        </w:rPr>
        <w:t>ד</w:t>
      </w:r>
      <w:r w:rsidRPr="008805E4">
        <w:rPr>
          <w:rFonts w:cs="Arial"/>
          <w:rtl/>
        </w:rPr>
        <w:t>גם לבנותיו פוסקים לפי כבוד אביהן</w:t>
      </w:r>
      <w:r>
        <w:rPr>
          <w:rFonts w:cs="Arial" w:hint="cs"/>
          <w:rtl/>
        </w:rPr>
        <w:t>,</w:t>
      </w:r>
      <w:r w:rsidRPr="008805E4">
        <w:rPr>
          <w:rFonts w:cs="Arial"/>
          <w:rtl/>
        </w:rPr>
        <w:t xml:space="preserve"> ע"ש פ' נ</w:t>
      </w:r>
      <w:r>
        <w:rPr>
          <w:rFonts w:cs="Arial" w:hint="cs"/>
          <w:rtl/>
        </w:rPr>
        <w:t>ערה שנתפתתה.</w:t>
      </w:r>
      <w:r w:rsidRPr="008805E4">
        <w:rPr>
          <w:rFonts w:cs="Arial"/>
          <w:rtl/>
        </w:rPr>
        <w:t xml:space="preserve"> וע' בש"ס דשמין הנכסים ונותנים לה מזונות וכסות</w:t>
      </w:r>
      <w:r>
        <w:rPr>
          <w:rFonts w:cs="Arial" w:hint="cs"/>
          <w:rtl/>
        </w:rPr>
        <w:t>, ב"ש (סקי"ד).</w:t>
      </w:r>
    </w:p>
  </w:footnote>
  <w:footnote w:id="2551">
    <w:p w14:paraId="43641A46" w14:textId="77777777" w:rsidR="00392DBB" w:rsidRDefault="00392DBB" w:rsidP="00392DBB">
      <w:pPr>
        <w:pStyle w:val="a5"/>
      </w:pPr>
      <w:r>
        <w:rPr>
          <w:rStyle w:val="a7"/>
        </w:rPr>
        <w:footnoteRef/>
      </w:r>
      <w:r>
        <w:rPr>
          <w:rtl/>
        </w:rPr>
        <w:t xml:space="preserve"> </w:t>
      </w:r>
      <w:r w:rsidRPr="00910145">
        <w:rPr>
          <w:rFonts w:cs="Arial"/>
          <w:rtl/>
        </w:rPr>
        <w:t>אע</w:t>
      </w:r>
      <w:r>
        <w:rPr>
          <w:rFonts w:cs="Arial" w:hint="cs"/>
          <w:rtl/>
        </w:rPr>
        <w:t>"</w:t>
      </w:r>
      <w:r w:rsidRPr="00910145">
        <w:rPr>
          <w:rFonts w:cs="Arial"/>
          <w:rtl/>
        </w:rPr>
        <w:t xml:space="preserve">ג </w:t>
      </w:r>
      <w:r>
        <w:rPr>
          <w:rFonts w:cs="Arial" w:hint="cs"/>
          <w:rtl/>
        </w:rPr>
        <w:t>ד</w:t>
      </w:r>
      <w:r w:rsidRPr="00910145">
        <w:rPr>
          <w:rFonts w:cs="Arial"/>
          <w:rtl/>
        </w:rPr>
        <w:t>לפי פסק הלכה בסי' צ"ג גם האלמנה אינה נשבעת על מזונות</w:t>
      </w:r>
      <w:r>
        <w:rPr>
          <w:rFonts w:cs="Arial" w:hint="cs"/>
          <w:rtl/>
        </w:rPr>
        <w:t>,</w:t>
      </w:r>
      <w:r w:rsidRPr="00910145">
        <w:rPr>
          <w:rFonts w:cs="Arial"/>
          <w:rtl/>
        </w:rPr>
        <w:t xml:space="preserve"> מ"מ ה</w:t>
      </w:r>
      <w:r>
        <w:rPr>
          <w:rFonts w:cs="Arial" w:hint="cs"/>
          <w:rtl/>
        </w:rPr>
        <w:t xml:space="preserve">וה </w:t>
      </w:r>
      <w:r w:rsidRPr="00910145">
        <w:rPr>
          <w:rFonts w:cs="Arial"/>
          <w:rtl/>
        </w:rPr>
        <w:t>א</w:t>
      </w:r>
      <w:r>
        <w:rPr>
          <w:rFonts w:cs="Arial" w:hint="cs"/>
          <w:rtl/>
        </w:rPr>
        <w:t>מינא</w:t>
      </w:r>
      <w:r w:rsidRPr="00910145">
        <w:rPr>
          <w:rFonts w:cs="Arial"/>
          <w:rtl/>
        </w:rPr>
        <w:t xml:space="preserve"> </w:t>
      </w:r>
      <w:r>
        <w:rPr>
          <w:rFonts w:cs="Arial" w:hint="cs"/>
          <w:rtl/>
        </w:rPr>
        <w:t>ש</w:t>
      </w:r>
      <w:r w:rsidRPr="00910145">
        <w:rPr>
          <w:rFonts w:cs="Arial"/>
          <w:rtl/>
        </w:rPr>
        <w:t>הבנ</w:t>
      </w:r>
      <w:r>
        <w:rPr>
          <w:rFonts w:cs="Arial" w:hint="cs"/>
          <w:rtl/>
        </w:rPr>
        <w:t>ות</w:t>
      </w:r>
      <w:r w:rsidRPr="00910145">
        <w:rPr>
          <w:rFonts w:cs="Arial"/>
          <w:rtl/>
        </w:rPr>
        <w:t xml:space="preserve"> צריכ</w:t>
      </w:r>
      <w:r>
        <w:rPr>
          <w:rFonts w:cs="Arial" w:hint="cs"/>
          <w:rtl/>
        </w:rPr>
        <w:t>ות</w:t>
      </w:r>
      <w:r w:rsidRPr="00910145">
        <w:rPr>
          <w:rFonts w:cs="Arial"/>
          <w:rtl/>
        </w:rPr>
        <w:t xml:space="preserve"> לישבע</w:t>
      </w:r>
      <w:r>
        <w:rPr>
          <w:rFonts w:cs="Arial" w:hint="cs"/>
          <w:rtl/>
        </w:rPr>
        <w:t>,</w:t>
      </w:r>
      <w:r w:rsidRPr="00910145">
        <w:rPr>
          <w:rFonts w:cs="Arial"/>
          <w:rtl/>
        </w:rPr>
        <w:t xml:space="preserve"> כי אלמנה נשבעת לסוף על הכתובה</w:t>
      </w:r>
      <w:r>
        <w:rPr>
          <w:rFonts w:cs="Arial" w:hint="cs"/>
          <w:rtl/>
        </w:rPr>
        <w:t>.</w:t>
      </w:r>
      <w:r w:rsidRPr="00910145">
        <w:rPr>
          <w:rFonts w:cs="Arial"/>
          <w:rtl/>
        </w:rPr>
        <w:t xml:space="preserve"> קמ"ל דא"צ לישבע</w:t>
      </w:r>
      <w:r>
        <w:rPr>
          <w:rFonts w:cs="Arial" w:hint="cs"/>
          <w:rtl/>
        </w:rPr>
        <w:t>,</w:t>
      </w:r>
      <w:r w:rsidRPr="00910145">
        <w:rPr>
          <w:rFonts w:cs="Arial"/>
          <w:rtl/>
        </w:rPr>
        <w:t xml:space="preserve"> כי לא חיישי' לצררי</w:t>
      </w:r>
      <w:r>
        <w:rPr>
          <w:rFonts w:cs="Arial" w:hint="cs"/>
          <w:rtl/>
        </w:rPr>
        <w:t>,</w:t>
      </w:r>
      <w:r w:rsidRPr="00910145">
        <w:rPr>
          <w:rFonts w:cs="Arial"/>
          <w:rtl/>
        </w:rPr>
        <w:t xml:space="preserve"> דלקטנות לא מתפיס צררי</w:t>
      </w:r>
      <w:r>
        <w:rPr>
          <w:rFonts w:cs="Arial" w:hint="cs"/>
          <w:rtl/>
        </w:rPr>
        <w:t>,</w:t>
      </w:r>
      <w:r w:rsidRPr="00910145">
        <w:rPr>
          <w:rFonts w:cs="Arial"/>
          <w:rtl/>
        </w:rPr>
        <w:t xml:space="preserve"> כמ"ש ר"פ שניי דייני</w:t>
      </w:r>
      <w:r>
        <w:rPr>
          <w:rFonts w:cs="Arial" w:hint="cs"/>
          <w:rtl/>
        </w:rPr>
        <w:t>,</w:t>
      </w:r>
      <w:r w:rsidRPr="00910145">
        <w:rPr>
          <w:rFonts w:cs="Arial"/>
          <w:rtl/>
        </w:rPr>
        <w:t xml:space="preserve"> כ"כ תוס' פ' השולח </w:t>
      </w:r>
      <w:r>
        <w:rPr>
          <w:rFonts w:cs="Arial" w:hint="cs"/>
          <w:rtl/>
        </w:rPr>
        <w:t>(</w:t>
      </w:r>
      <w:r w:rsidRPr="00910145">
        <w:rPr>
          <w:rFonts w:cs="Arial"/>
          <w:rtl/>
        </w:rPr>
        <w:t>נא</w:t>
      </w:r>
      <w:r>
        <w:rPr>
          <w:rFonts w:cs="Arial" w:hint="cs"/>
          <w:rtl/>
        </w:rPr>
        <w:t>.).</w:t>
      </w:r>
      <w:r w:rsidRPr="00910145">
        <w:rPr>
          <w:rFonts w:cs="Arial"/>
          <w:rtl/>
        </w:rPr>
        <w:t xml:space="preserve"> לפ"ז משמע </w:t>
      </w:r>
      <w:r>
        <w:rPr>
          <w:rFonts w:cs="Arial" w:hint="cs"/>
          <w:rtl/>
        </w:rPr>
        <w:t>ד</w:t>
      </w:r>
      <w:r w:rsidRPr="00910145">
        <w:rPr>
          <w:rFonts w:cs="Arial"/>
          <w:rtl/>
        </w:rPr>
        <w:t>נערה צריכה לישבע</w:t>
      </w:r>
      <w:r>
        <w:rPr>
          <w:rFonts w:cs="Arial" w:hint="cs"/>
          <w:rtl/>
        </w:rPr>
        <w:t>,</w:t>
      </w:r>
      <w:r w:rsidRPr="00910145">
        <w:rPr>
          <w:rFonts w:cs="Arial"/>
          <w:rtl/>
        </w:rPr>
        <w:t xml:space="preserve"> כי דוק</w:t>
      </w:r>
      <w:r>
        <w:rPr>
          <w:rFonts w:cs="Arial" w:hint="cs"/>
          <w:rtl/>
        </w:rPr>
        <w:t>א</w:t>
      </w:r>
      <w:r w:rsidRPr="00910145">
        <w:rPr>
          <w:rFonts w:cs="Arial"/>
          <w:rtl/>
        </w:rPr>
        <w:t xml:space="preserve"> לקטנה לא מתפיס צררי</w:t>
      </w:r>
      <w:r>
        <w:rPr>
          <w:rFonts w:cs="Arial" w:hint="cs"/>
          <w:rtl/>
        </w:rPr>
        <w:t>.</w:t>
      </w:r>
      <w:r w:rsidRPr="00910145">
        <w:rPr>
          <w:rFonts w:cs="Arial"/>
          <w:rtl/>
        </w:rPr>
        <w:t xml:space="preserve"> וכן משמע בתוס' שם</w:t>
      </w:r>
      <w:r>
        <w:rPr>
          <w:rFonts w:cs="Arial" w:hint="cs"/>
          <w:rtl/>
        </w:rPr>
        <w:t>.</w:t>
      </w:r>
      <w:r w:rsidRPr="00910145">
        <w:rPr>
          <w:rFonts w:cs="Arial"/>
          <w:rtl/>
        </w:rPr>
        <w:t xml:space="preserve"> מיהו לרמב"ם אפי' נערה א"צ שבועה</w:t>
      </w:r>
      <w:r>
        <w:rPr>
          <w:rFonts w:cs="Arial" w:hint="cs"/>
          <w:rtl/>
        </w:rPr>
        <w:t>.</w:t>
      </w:r>
      <w:r w:rsidRPr="00910145">
        <w:rPr>
          <w:rFonts w:cs="Arial"/>
          <w:rtl/>
        </w:rPr>
        <w:t xml:space="preserve"> ובתוס' פ' הנושא אית</w:t>
      </w:r>
      <w:r>
        <w:rPr>
          <w:rFonts w:cs="Arial" w:hint="cs"/>
          <w:rtl/>
        </w:rPr>
        <w:t>א</w:t>
      </w:r>
      <w:r w:rsidRPr="00910145">
        <w:rPr>
          <w:rFonts w:cs="Arial"/>
          <w:rtl/>
        </w:rPr>
        <w:t xml:space="preserve"> </w:t>
      </w:r>
      <w:r>
        <w:rPr>
          <w:rFonts w:cs="Arial" w:hint="cs"/>
          <w:rtl/>
        </w:rPr>
        <w:t>ד</w:t>
      </w:r>
      <w:r w:rsidRPr="00910145">
        <w:rPr>
          <w:rFonts w:cs="Arial"/>
          <w:rtl/>
        </w:rPr>
        <w:t>אפילו בקטנות חיישי</w:t>
      </w:r>
      <w:r>
        <w:rPr>
          <w:rFonts w:cs="Arial" w:hint="cs"/>
          <w:rtl/>
        </w:rPr>
        <w:t>נן</w:t>
      </w:r>
      <w:r w:rsidRPr="00910145">
        <w:rPr>
          <w:rFonts w:cs="Arial"/>
          <w:rtl/>
        </w:rPr>
        <w:t xml:space="preserve"> לצררי</w:t>
      </w:r>
      <w:r>
        <w:rPr>
          <w:rFonts w:cs="Arial" w:hint="cs"/>
          <w:rtl/>
        </w:rPr>
        <w:t>,</w:t>
      </w:r>
      <w:r w:rsidRPr="00910145">
        <w:rPr>
          <w:rFonts w:cs="Arial"/>
          <w:rtl/>
        </w:rPr>
        <w:t xml:space="preserve"> דמתפיס בעת המיתה גם לבנותיו </w:t>
      </w:r>
      <w:r>
        <w:rPr>
          <w:rFonts w:cs="Arial" w:hint="cs"/>
          <w:rtl/>
        </w:rPr>
        <w:t>ד</w:t>
      </w:r>
      <w:r w:rsidRPr="00910145">
        <w:rPr>
          <w:rFonts w:cs="Arial"/>
          <w:rtl/>
        </w:rPr>
        <w:t>ניח</w:t>
      </w:r>
      <w:r>
        <w:rPr>
          <w:rFonts w:cs="Arial" w:hint="cs"/>
          <w:rtl/>
        </w:rPr>
        <w:t>'</w:t>
      </w:r>
      <w:r w:rsidRPr="00910145">
        <w:rPr>
          <w:rFonts w:cs="Arial"/>
          <w:rtl/>
        </w:rPr>
        <w:t xml:space="preserve"> ליה בהרווחה</w:t>
      </w:r>
      <w:r>
        <w:rPr>
          <w:rFonts w:cs="Arial" w:hint="cs"/>
          <w:rtl/>
        </w:rPr>
        <w:t>.</w:t>
      </w:r>
      <w:r w:rsidRPr="00910145">
        <w:rPr>
          <w:rFonts w:cs="Arial"/>
          <w:rtl/>
        </w:rPr>
        <w:t xml:space="preserve"> וכן הוא בר"ן שם</w:t>
      </w:r>
      <w:r>
        <w:rPr>
          <w:rFonts w:cs="Arial" w:hint="cs"/>
          <w:rtl/>
        </w:rPr>
        <w:t>.</w:t>
      </w:r>
      <w:r w:rsidRPr="00910145">
        <w:rPr>
          <w:rFonts w:cs="Arial"/>
          <w:rtl/>
        </w:rPr>
        <w:t xml:space="preserve"> לפ"ז אפילו מת כשהן קטנות צריכין לישבע אחר שיגדלו</w:t>
      </w:r>
      <w:r>
        <w:rPr>
          <w:rFonts w:cs="Arial" w:hint="cs"/>
          <w:rtl/>
        </w:rPr>
        <w:t>.</w:t>
      </w:r>
      <w:r w:rsidRPr="00910145">
        <w:rPr>
          <w:rFonts w:cs="Arial"/>
          <w:rtl/>
        </w:rPr>
        <w:t xml:space="preserve"> אע</w:t>
      </w:r>
      <w:r>
        <w:rPr>
          <w:rFonts w:cs="Arial" w:hint="cs"/>
          <w:rtl/>
        </w:rPr>
        <w:t>"</w:t>
      </w:r>
      <w:r w:rsidRPr="00910145">
        <w:rPr>
          <w:rFonts w:cs="Arial"/>
          <w:rtl/>
        </w:rPr>
        <w:t>ג שכתבתי בסמוך בודאי מתפיס צררי היינו לענין אם באתה לגבות מן משועבדים</w:t>
      </w:r>
      <w:r>
        <w:rPr>
          <w:rFonts w:cs="Arial" w:hint="cs"/>
          <w:rtl/>
        </w:rPr>
        <w:t>,</w:t>
      </w:r>
      <w:r w:rsidRPr="00910145">
        <w:rPr>
          <w:rFonts w:cs="Arial"/>
          <w:rtl/>
        </w:rPr>
        <w:t xml:space="preserve"> אבל מב</w:t>
      </w:r>
      <w:r>
        <w:rPr>
          <w:rFonts w:cs="Arial" w:hint="cs"/>
          <w:rtl/>
        </w:rPr>
        <w:t>ני חורין</w:t>
      </w:r>
      <w:r w:rsidRPr="00910145">
        <w:rPr>
          <w:rFonts w:cs="Arial"/>
          <w:rtl/>
        </w:rPr>
        <w:t xml:space="preserve"> ניזונית</w:t>
      </w:r>
      <w:r>
        <w:rPr>
          <w:rFonts w:cs="Arial" w:hint="cs"/>
          <w:rtl/>
        </w:rPr>
        <w:t>.</w:t>
      </w:r>
      <w:r w:rsidRPr="00910145">
        <w:rPr>
          <w:rFonts w:cs="Arial"/>
          <w:rtl/>
        </w:rPr>
        <w:t xml:space="preserve"> מ"מ לענין שבועה לפי תירוצים אלו </w:t>
      </w:r>
      <w:r>
        <w:rPr>
          <w:rFonts w:cs="Arial" w:hint="cs"/>
          <w:rtl/>
        </w:rPr>
        <w:t>ד</w:t>
      </w:r>
      <w:r w:rsidRPr="00910145">
        <w:rPr>
          <w:rFonts w:cs="Arial"/>
          <w:rtl/>
        </w:rPr>
        <w:t>חיישי' לצררי אפי' לענין בני חורין צריכה שבועה</w:t>
      </w:r>
      <w:r>
        <w:rPr>
          <w:rFonts w:cs="Arial" w:hint="cs"/>
          <w:rtl/>
        </w:rPr>
        <w:t>.</w:t>
      </w:r>
      <w:r w:rsidRPr="00910145">
        <w:rPr>
          <w:rFonts w:cs="Arial"/>
          <w:rtl/>
        </w:rPr>
        <w:t xml:space="preserve"> מיהו בתו' אלו י"ל לענין ב"ח לא חיישינן לצררי</w:t>
      </w:r>
      <w:r>
        <w:rPr>
          <w:rFonts w:cs="Arial" w:hint="cs"/>
          <w:rtl/>
        </w:rPr>
        <w:t>,</w:t>
      </w:r>
      <w:r w:rsidRPr="00910145">
        <w:rPr>
          <w:rFonts w:cs="Arial"/>
          <w:rtl/>
        </w:rPr>
        <w:t xml:space="preserve"> וכל דבריהם שם איירי לענין משועבדי'</w:t>
      </w:r>
      <w:r>
        <w:rPr>
          <w:rFonts w:cs="Arial" w:hint="cs"/>
          <w:rtl/>
        </w:rPr>
        <w:t>.</w:t>
      </w:r>
      <w:r w:rsidRPr="00910145">
        <w:rPr>
          <w:rFonts w:cs="Arial"/>
          <w:rtl/>
        </w:rPr>
        <w:t xml:space="preserve"> אבל בתוס' פ' הניזקין משמע כמ"ש </w:t>
      </w:r>
      <w:r>
        <w:rPr>
          <w:rFonts w:cs="Arial" w:hint="cs"/>
          <w:rtl/>
        </w:rPr>
        <w:t>ד</w:t>
      </w:r>
      <w:r w:rsidRPr="00910145">
        <w:rPr>
          <w:rFonts w:cs="Arial"/>
          <w:rtl/>
        </w:rPr>
        <w:t>אפי' לענין ב"ח חיישינן לצררי וצריכה שבועה</w:t>
      </w:r>
      <w:r>
        <w:rPr>
          <w:rFonts w:cs="Arial" w:hint="cs"/>
          <w:rtl/>
        </w:rPr>
        <w:t>, ב"ש (סקט"ו).</w:t>
      </w:r>
    </w:p>
  </w:footnote>
  <w:footnote w:id="2552">
    <w:p w14:paraId="7250CB84" w14:textId="77777777" w:rsidR="00392DBB" w:rsidRDefault="00392DBB" w:rsidP="00392DBB">
      <w:pPr>
        <w:pStyle w:val="a5"/>
      </w:pPr>
      <w:r>
        <w:rPr>
          <w:rStyle w:val="a7"/>
        </w:rPr>
        <w:footnoteRef/>
      </w:r>
      <w:r>
        <w:rPr>
          <w:rtl/>
        </w:rPr>
        <w:t xml:space="preserve"> </w:t>
      </w:r>
      <w:r w:rsidRPr="00B5620B">
        <w:rPr>
          <w:rFonts w:cs="Arial"/>
          <w:rtl/>
        </w:rPr>
        <w:t>והוא לא פי' דבנים יורשין דקאמר כתובת בנין דיכרין היא וסבורים שסתם ירושה קאמר שאין הבנים יורשין מטלטלין</w:t>
      </w:r>
      <w:r>
        <w:rPr>
          <w:rFonts w:cs="Arial" w:hint="cs"/>
          <w:rtl/>
        </w:rPr>
        <w:t>, רש"י.</w:t>
      </w:r>
    </w:p>
  </w:footnote>
  <w:footnote w:id="2553">
    <w:p w14:paraId="209C69DC" w14:textId="77777777" w:rsidR="00392DBB" w:rsidRDefault="00392DBB" w:rsidP="00392DBB">
      <w:pPr>
        <w:pStyle w:val="a5"/>
      </w:pPr>
      <w:r>
        <w:rPr>
          <w:rStyle w:val="a7"/>
        </w:rPr>
        <w:footnoteRef/>
      </w:r>
      <w:r>
        <w:rPr>
          <w:rtl/>
        </w:rPr>
        <w:t xml:space="preserve"> </w:t>
      </w:r>
      <w:r w:rsidRPr="00B5620B">
        <w:rPr>
          <w:rFonts w:cs="Arial"/>
          <w:rtl/>
        </w:rPr>
        <w:t>לפי ששתי תקנות הללו שתקנו חכמים בתנאי כתובה לומדות זו מזו ובכתובת בנין דכרין תנן בפרק מי שהיה נשוי (לקמן צא</w:t>
      </w:r>
      <w:r>
        <w:rPr>
          <w:rFonts w:cs="Arial" w:hint="cs"/>
          <w:rtl/>
        </w:rPr>
        <w:t>.</w:t>
      </w:r>
      <w:r w:rsidRPr="00B5620B">
        <w:rPr>
          <w:rFonts w:cs="Arial"/>
          <w:rtl/>
        </w:rPr>
        <w:t>) דאין נגבית מן המטלטלין</w:t>
      </w:r>
      <w:r>
        <w:rPr>
          <w:rFonts w:cs="Arial" w:hint="cs"/>
          <w:rtl/>
        </w:rPr>
        <w:t>..., רש"י.</w:t>
      </w:r>
    </w:p>
  </w:footnote>
  <w:footnote w:id="2554">
    <w:p w14:paraId="2B95EDC5" w14:textId="77777777" w:rsidR="00392DBB" w:rsidRDefault="00392DBB" w:rsidP="00392DBB">
      <w:pPr>
        <w:pStyle w:val="a5"/>
      </w:pPr>
      <w:r>
        <w:rPr>
          <w:rStyle w:val="a7"/>
        </w:rPr>
        <w:footnoteRef/>
      </w:r>
      <w:r>
        <w:rPr>
          <w:rtl/>
        </w:rPr>
        <w:t xml:space="preserve"> </w:t>
      </w:r>
      <w:r w:rsidRPr="00B5620B">
        <w:rPr>
          <w:rFonts w:cs="Arial"/>
          <w:rtl/>
        </w:rPr>
        <w:t>שאין ללמוד מזון בנות מירושת בנים אלא מירושת כתובת בנין דכרין שבאה מכח תנאי כתובה כמותה</w:t>
      </w:r>
      <w:r>
        <w:rPr>
          <w:rFonts w:cs="Arial" w:hint="cs"/>
          <w:rtl/>
        </w:rPr>
        <w:t>, רש"י.</w:t>
      </w:r>
    </w:p>
  </w:footnote>
  <w:footnote w:id="2555">
    <w:p w14:paraId="31CF7808" w14:textId="77777777" w:rsidR="00392DBB" w:rsidRDefault="00392DBB" w:rsidP="00392DBB">
      <w:pPr>
        <w:pStyle w:val="a5"/>
        <w:rPr>
          <w:rtl/>
        </w:rPr>
      </w:pPr>
      <w:r>
        <w:rPr>
          <w:rStyle w:val="a7"/>
        </w:rPr>
        <w:footnoteRef/>
      </w:r>
      <w:r>
        <w:rPr>
          <w:rtl/>
        </w:rPr>
        <w:t xml:space="preserve"> </w:t>
      </w:r>
      <w:r w:rsidRPr="00B5620B">
        <w:rPr>
          <w:rFonts w:cs="Arial"/>
          <w:rtl/>
        </w:rPr>
        <w:t>לזון מן המטלטלין</w:t>
      </w:r>
      <w:r>
        <w:rPr>
          <w:rFonts w:hint="cs"/>
          <w:rtl/>
        </w:rPr>
        <w:t>, רש"י.</w:t>
      </w:r>
    </w:p>
  </w:footnote>
  <w:footnote w:id="2556">
    <w:p w14:paraId="7F3CA019" w14:textId="77777777" w:rsidR="00392DBB" w:rsidRDefault="00392DBB" w:rsidP="00392DBB">
      <w:pPr>
        <w:pStyle w:val="a5"/>
        <w:rPr>
          <w:rtl/>
        </w:rPr>
      </w:pPr>
      <w:r>
        <w:rPr>
          <w:rStyle w:val="a7"/>
        </w:rPr>
        <w:footnoteRef/>
      </w:r>
      <w:r>
        <w:rPr>
          <w:rtl/>
        </w:rPr>
        <w:t xml:space="preserve"> </w:t>
      </w:r>
      <w:r>
        <w:rPr>
          <w:rFonts w:cs="Arial"/>
          <w:rtl/>
        </w:rPr>
        <w:t>ו</w:t>
      </w:r>
      <w:r>
        <w:rPr>
          <w:rFonts w:cs="Arial" w:hint="cs"/>
          <w:rtl/>
        </w:rPr>
        <w:t>כתב הב"י דכן איתא ב</w:t>
      </w:r>
      <w:r>
        <w:rPr>
          <w:rFonts w:cs="Arial"/>
          <w:rtl/>
        </w:rPr>
        <w:t>פרק הניזקין (גיטין מח:)</w:t>
      </w:r>
      <w:r>
        <w:rPr>
          <w:rFonts w:hint="cs"/>
          <w:rtl/>
        </w:rPr>
        <w:t>. לא מצאתי היכן.</w:t>
      </w:r>
    </w:p>
  </w:footnote>
  <w:footnote w:id="2557">
    <w:p w14:paraId="53D6CD13" w14:textId="77777777" w:rsidR="00392DBB" w:rsidRDefault="00392DBB" w:rsidP="00392DBB">
      <w:pPr>
        <w:pStyle w:val="a5"/>
        <w:rPr>
          <w:rtl/>
        </w:rPr>
      </w:pPr>
      <w:r>
        <w:rPr>
          <w:rStyle w:val="a7"/>
        </w:rPr>
        <w:footnoteRef/>
      </w:r>
      <w:r>
        <w:rPr>
          <w:rtl/>
        </w:rPr>
        <w:t xml:space="preserve"> </w:t>
      </w:r>
      <w:r w:rsidRPr="004206BB">
        <w:rPr>
          <w:rFonts w:cs="Arial"/>
          <w:rtl/>
        </w:rPr>
        <w:t>שלח לו אגרת שלומים ותלה שאלה זו בין השיטים</w:t>
      </w:r>
      <w:r>
        <w:rPr>
          <w:rFonts w:hint="cs"/>
          <w:rtl/>
        </w:rPr>
        <w:t>, רש"י.</w:t>
      </w:r>
    </w:p>
  </w:footnote>
  <w:footnote w:id="2558">
    <w:p w14:paraId="7286449D" w14:textId="77777777" w:rsidR="00392DBB" w:rsidRDefault="00392DBB" w:rsidP="00392DBB">
      <w:pPr>
        <w:pStyle w:val="a5"/>
      </w:pPr>
      <w:r>
        <w:rPr>
          <w:rStyle w:val="a7"/>
        </w:rPr>
        <w:footnoteRef/>
      </w:r>
      <w:r>
        <w:rPr>
          <w:rtl/>
        </w:rPr>
        <w:t xml:space="preserve"> </w:t>
      </w:r>
      <w:r w:rsidRPr="004206BB">
        <w:rPr>
          <w:rFonts w:cs="Arial"/>
          <w:rtl/>
        </w:rPr>
        <w:t>דרבי כשבאת שאלה זו לפניו</w:t>
      </w:r>
      <w:r>
        <w:rPr>
          <w:rFonts w:cs="Arial" w:hint="cs"/>
          <w:rtl/>
        </w:rPr>
        <w:t>, רש"י.</w:t>
      </w:r>
    </w:p>
  </w:footnote>
  <w:footnote w:id="2559">
    <w:p w14:paraId="0055BAD8" w14:textId="1D9F7D9B" w:rsidR="005007BD" w:rsidRDefault="005007BD" w:rsidP="005007BD">
      <w:pPr>
        <w:pStyle w:val="a5"/>
        <w:rPr>
          <w:rtl/>
        </w:rPr>
      </w:pPr>
      <w:r>
        <w:rPr>
          <w:rStyle w:val="a7"/>
        </w:rPr>
        <w:footnoteRef/>
      </w:r>
      <w:r>
        <w:rPr>
          <w:rtl/>
        </w:rPr>
        <w:t xml:space="preserve"> </w:t>
      </w:r>
      <w:r>
        <w:rPr>
          <w:rFonts w:cs="Arial" w:hint="cs"/>
          <w:rtl/>
        </w:rPr>
        <w:t>נדוניא</w:t>
      </w:r>
      <w:r>
        <w:rPr>
          <w:rFonts w:hint="cs"/>
          <w:rtl/>
        </w:rPr>
        <w:t>.</w:t>
      </w:r>
    </w:p>
  </w:footnote>
  <w:footnote w:id="2560">
    <w:p w14:paraId="24033EC3" w14:textId="3694AF24"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BF12BC">
        <w:rPr>
          <w:rFonts w:cs="Arial"/>
          <w:rtl/>
        </w:rPr>
        <w:t>מי שצוה בשעת מיתתו</w:t>
      </w:r>
      <w:r>
        <w:rPr>
          <w:rFonts w:cs="Arial" w:hint="cs"/>
          <w:rtl/>
        </w:rPr>
        <w:t>...</w:t>
      </w:r>
      <w:r w:rsidRPr="00BF12BC">
        <w:rPr>
          <w:rFonts w:cs="Arial"/>
          <w:rtl/>
        </w:rPr>
        <w:t xml:space="preserve"> נתן כל נכסיו במתנה לאחרים</w:t>
      </w:r>
      <w:r>
        <w:rPr>
          <w:rFonts w:cs="Arial" w:hint="cs"/>
          <w:rtl/>
        </w:rPr>
        <w:t>,</w:t>
      </w:r>
      <w:r w:rsidRPr="00BF12BC">
        <w:rPr>
          <w:rFonts w:cs="Arial"/>
          <w:rtl/>
        </w:rPr>
        <w:t xml:space="preserve"> הואיל ומתנת שכיב מרע אינה קונה אלא לאחר מיתה כמו שיתבאר </w:t>
      </w:r>
      <w:r>
        <w:rPr>
          <w:rFonts w:cs="Arial" w:hint="cs"/>
          <w:rtl/>
        </w:rPr>
        <w:t xml:space="preserve">- </w:t>
      </w:r>
      <w:r w:rsidRPr="00BF12BC">
        <w:rPr>
          <w:rFonts w:cs="Arial"/>
          <w:rtl/>
        </w:rPr>
        <w:t>הרי המתנה וחיוב הנכסים בתנאין אלו באין כאחד</w:t>
      </w:r>
      <w:r>
        <w:rPr>
          <w:rFonts w:cs="Arial" w:hint="cs"/>
          <w:rtl/>
        </w:rPr>
        <w:t>,</w:t>
      </w:r>
      <w:r w:rsidRPr="00BF12BC">
        <w:rPr>
          <w:rFonts w:cs="Arial"/>
          <w:rtl/>
        </w:rPr>
        <w:t xml:space="preserve"> ולפיכך אלמנתו ובנותיו ניזונות מנכסיו ובניו יורשים כתובת אמן שמתה בחיי בעלה. </w:t>
      </w:r>
    </w:p>
  </w:footnote>
  <w:footnote w:id="2561">
    <w:p w14:paraId="2B8B7EE8" w14:textId="5A99EEF8" w:rsidR="00392DBB" w:rsidRDefault="00392DBB" w:rsidP="00392DBB">
      <w:pPr>
        <w:pStyle w:val="a5"/>
      </w:pPr>
      <w:r>
        <w:rPr>
          <w:rStyle w:val="a7"/>
        </w:rPr>
        <w:footnoteRef/>
      </w:r>
      <w:r>
        <w:rPr>
          <w:rtl/>
        </w:rPr>
        <w:t xml:space="preserve"> </w:t>
      </w:r>
      <w:r>
        <w:rPr>
          <w:rFonts w:cs="Arial"/>
          <w:rtl/>
        </w:rPr>
        <w:t>וכתב הרב המגיד</w:t>
      </w:r>
      <w:r>
        <w:rPr>
          <w:rFonts w:cs="Arial" w:hint="cs"/>
          <w:rtl/>
        </w:rPr>
        <w:t xml:space="preserve"> (שם)</w:t>
      </w:r>
      <w:r w:rsidR="00507D0F">
        <w:rPr>
          <w:rFonts w:cs="Arial" w:hint="cs"/>
          <w:rtl/>
        </w:rPr>
        <w:t>:</w:t>
      </w:r>
      <w:r>
        <w:rPr>
          <w:rFonts w:cs="Arial"/>
          <w:rtl/>
        </w:rPr>
        <w:t xml:space="preserve"> </w:t>
      </w:r>
      <w:r>
        <w:rPr>
          <w:rFonts w:cs="Arial" w:hint="cs"/>
          <w:rtl/>
        </w:rPr>
        <w:t xml:space="preserve">זה מבואר </w:t>
      </w:r>
      <w:r>
        <w:rPr>
          <w:rFonts w:cs="Arial"/>
          <w:rtl/>
        </w:rPr>
        <w:t>בהלכות בפרק יש נוחלין (רי"ף ב"ב ס:) בארוכה גבי מה שאמרו השתא מיגרע גרעא בירושה דאורייתא אלמנתו נזונת מנכסיו</w:t>
      </w:r>
      <w:r>
        <w:rPr>
          <w:rFonts w:cs="Arial" w:hint="cs"/>
          <w:rtl/>
        </w:rPr>
        <w:t>,</w:t>
      </w:r>
      <w:r>
        <w:rPr>
          <w:rFonts w:cs="Arial"/>
          <w:rtl/>
        </w:rPr>
        <w:t xml:space="preserve"> במתנה דרבנן לא כל שכן</w:t>
      </w:r>
      <w:r>
        <w:rPr>
          <w:rFonts w:cs="Arial" w:hint="cs"/>
          <w:rtl/>
        </w:rPr>
        <w:t>.</w:t>
      </w:r>
      <w:r>
        <w:rPr>
          <w:rFonts w:cs="Arial"/>
          <w:rtl/>
        </w:rPr>
        <w:t xml:space="preserve"> וכבר הסכימו </w:t>
      </w:r>
      <w:r>
        <w:rPr>
          <w:rFonts w:cs="Arial" w:hint="cs"/>
          <w:rtl/>
        </w:rPr>
        <w:t xml:space="preserve">רוב </w:t>
      </w:r>
      <w:r>
        <w:rPr>
          <w:rFonts w:cs="Arial"/>
          <w:rtl/>
        </w:rPr>
        <w:t>האחרונים ז"ל לדברי ההלכות</w:t>
      </w:r>
      <w:r>
        <w:rPr>
          <w:rFonts w:cs="Arial" w:hint="cs"/>
          <w:rtl/>
        </w:rPr>
        <w:t>,</w:t>
      </w:r>
      <w:r>
        <w:rPr>
          <w:rFonts w:cs="Arial"/>
          <w:rtl/>
        </w:rPr>
        <w:t xml:space="preserve"> והם כדברי רבינו</w:t>
      </w:r>
      <w:r>
        <w:rPr>
          <w:rFonts w:cs="Arial" w:hint="cs"/>
          <w:rtl/>
        </w:rPr>
        <w:t>.</w:t>
      </w:r>
      <w:r>
        <w:rPr>
          <w:rFonts w:cs="Arial"/>
          <w:rtl/>
        </w:rPr>
        <w:t xml:space="preserve"> וכן הסכימו הרמב"ן (ב"ב קלג. ד"ה השתא) והרשב"א (שם ד"ה אמר ליה) ז"ל</w:t>
      </w:r>
      <w:r>
        <w:rPr>
          <w:rFonts w:cs="Arial" w:hint="cs"/>
          <w:rtl/>
        </w:rPr>
        <w:t>.</w:t>
      </w:r>
      <w:r>
        <w:rPr>
          <w:rFonts w:cs="Arial"/>
          <w:rtl/>
        </w:rPr>
        <w:t xml:space="preserve"> ושלא כדברי הראב"ד (בהשגות שם)</w:t>
      </w:r>
      <w:r>
        <w:rPr>
          <w:rFonts w:cs="Arial" w:hint="cs"/>
          <w:rtl/>
        </w:rPr>
        <w:t>, ב"י.</w:t>
      </w:r>
    </w:p>
  </w:footnote>
  <w:footnote w:id="2562">
    <w:p w14:paraId="21904960" w14:textId="56345EB5"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BF12BC">
        <w:rPr>
          <w:rFonts w:cs="Arial"/>
          <w:rtl/>
        </w:rPr>
        <w:t>א"א רואה אני דעת המחבר הזה דמתנת שכיב מרע אינה כמשועבדין כלל</w:t>
      </w:r>
      <w:r>
        <w:rPr>
          <w:rFonts w:cs="Arial" w:hint="cs"/>
          <w:rtl/>
        </w:rPr>
        <w:t>.</w:t>
      </w:r>
      <w:r w:rsidRPr="00BF12BC">
        <w:rPr>
          <w:rFonts w:cs="Arial"/>
          <w:rtl/>
        </w:rPr>
        <w:t xml:space="preserve"> ואינו כן מכמה ראיות המפורשות בגמרא שאין פנאי לכתבן</w:t>
      </w:r>
      <w:r>
        <w:rPr>
          <w:rFonts w:cs="Arial" w:hint="cs"/>
          <w:rtl/>
        </w:rPr>
        <w:t>.</w:t>
      </w:r>
      <w:r w:rsidRPr="00BF12BC">
        <w:rPr>
          <w:rFonts w:cs="Arial"/>
          <w:rtl/>
        </w:rPr>
        <w:t xml:space="preserve"> אבל למזונות אלמנתו כיון דמחיים תפיסא לה לא פקע שיעבודה</w:t>
      </w:r>
      <w:r>
        <w:rPr>
          <w:rFonts w:cs="Arial" w:hint="cs"/>
          <w:rtl/>
        </w:rPr>
        <w:t>.</w:t>
      </w:r>
      <w:r w:rsidRPr="00BF12BC">
        <w:rPr>
          <w:rFonts w:cs="Arial"/>
          <w:rtl/>
        </w:rPr>
        <w:t xml:space="preserve"> אבל לגבי מזון הבנות וכל שכן לכתובת בנין דכרין כמשועבדין נינהו ופקע שיעבודייהו</w:t>
      </w:r>
      <w:r>
        <w:rPr>
          <w:rFonts w:cs="Arial" w:hint="cs"/>
          <w:rtl/>
        </w:rPr>
        <w:t>.</w:t>
      </w:r>
    </w:p>
  </w:footnote>
  <w:footnote w:id="2563">
    <w:p w14:paraId="375B991B" w14:textId="77777777" w:rsidR="00392DBB" w:rsidRDefault="00392DBB" w:rsidP="00392DBB">
      <w:pPr>
        <w:pStyle w:val="a5"/>
      </w:pPr>
      <w:r>
        <w:rPr>
          <w:rStyle w:val="a7"/>
        </w:rPr>
        <w:footnoteRef/>
      </w:r>
      <w:r>
        <w:rPr>
          <w:rtl/>
        </w:rPr>
        <w:t xml:space="preserve"> </w:t>
      </w:r>
      <w:r w:rsidRPr="004206BB">
        <w:rPr>
          <w:rFonts w:cs="Arial"/>
          <w:rtl/>
        </w:rPr>
        <w:t>עיין דינים אלו בסי' צ"ג</w:t>
      </w:r>
      <w:r>
        <w:rPr>
          <w:rFonts w:cs="Arial" w:hint="cs"/>
          <w:rtl/>
        </w:rPr>
        <w:t>.</w:t>
      </w:r>
      <w:r w:rsidRPr="004206BB">
        <w:rPr>
          <w:rFonts w:cs="Arial"/>
          <w:rtl/>
        </w:rPr>
        <w:t xml:space="preserve"> וכתובת האשה קודמת למזון בנות</w:t>
      </w:r>
      <w:r>
        <w:rPr>
          <w:rFonts w:cs="Arial" w:hint="cs"/>
          <w:rtl/>
        </w:rPr>
        <w:t>,</w:t>
      </w:r>
      <w:r w:rsidRPr="004206BB">
        <w:rPr>
          <w:rFonts w:cs="Arial"/>
          <w:rtl/>
        </w:rPr>
        <w:t xml:space="preserve"> תשו' רמב"ן</w:t>
      </w:r>
      <w:r>
        <w:rPr>
          <w:rFonts w:cs="Arial" w:hint="cs"/>
          <w:rtl/>
        </w:rPr>
        <w:t>,</w:t>
      </w:r>
      <w:r w:rsidRPr="004206BB">
        <w:rPr>
          <w:rFonts w:cs="Arial"/>
          <w:rtl/>
        </w:rPr>
        <w:t xml:space="preserve"> ואפי' אם ליכא אלא מטלטלין דל"ש קדימ</w:t>
      </w:r>
      <w:r>
        <w:rPr>
          <w:rFonts w:cs="Arial" w:hint="cs"/>
          <w:rtl/>
        </w:rPr>
        <w:t>ה,</w:t>
      </w:r>
      <w:r w:rsidRPr="004206BB">
        <w:rPr>
          <w:rFonts w:cs="Arial"/>
          <w:rtl/>
        </w:rPr>
        <w:t xml:space="preserve"> מ"מ כתובה קודמת דתקנות הגאונים כעין דאוריי' תקנו</w:t>
      </w:r>
      <w:r>
        <w:rPr>
          <w:rFonts w:cs="Arial" w:hint="cs"/>
          <w:rtl/>
        </w:rPr>
        <w:t>,</w:t>
      </w:r>
      <w:r w:rsidRPr="004206BB">
        <w:rPr>
          <w:rFonts w:cs="Arial"/>
          <w:rtl/>
        </w:rPr>
        <w:t xml:space="preserve"> ר"ן ס"פ מציא' האשה</w:t>
      </w:r>
      <w:r>
        <w:rPr>
          <w:rFonts w:cs="Arial" w:hint="cs"/>
          <w:rtl/>
        </w:rPr>
        <w:t>, ב"ש (סקט"ז).</w:t>
      </w:r>
    </w:p>
  </w:footnote>
  <w:footnote w:id="2564">
    <w:p w14:paraId="500D613F" w14:textId="77777777" w:rsidR="00392DBB" w:rsidRDefault="00392DBB" w:rsidP="00392DBB">
      <w:pPr>
        <w:pStyle w:val="a5"/>
        <w:rPr>
          <w:rtl/>
        </w:rPr>
      </w:pPr>
      <w:r>
        <w:rPr>
          <w:rStyle w:val="a7"/>
        </w:rPr>
        <w:footnoteRef/>
      </w:r>
      <w:r>
        <w:rPr>
          <w:rtl/>
        </w:rPr>
        <w:t xml:space="preserve"> </w:t>
      </w:r>
      <w:r w:rsidRPr="004206BB">
        <w:rPr>
          <w:rFonts w:cs="Arial"/>
          <w:rtl/>
        </w:rPr>
        <w:t>אבל אם נתן במתנ</w:t>
      </w:r>
      <w:r>
        <w:rPr>
          <w:rFonts w:cs="Arial" w:hint="cs"/>
          <w:rtl/>
        </w:rPr>
        <w:t>ת</w:t>
      </w:r>
      <w:r w:rsidRPr="004206BB">
        <w:rPr>
          <w:rFonts w:cs="Arial"/>
          <w:rtl/>
        </w:rPr>
        <w:t xml:space="preserve"> ש</w:t>
      </w:r>
      <w:r>
        <w:rPr>
          <w:rFonts w:cs="Arial" w:hint="cs"/>
          <w:rtl/>
        </w:rPr>
        <w:t>כ</w:t>
      </w:r>
      <w:r w:rsidRPr="004206BB">
        <w:rPr>
          <w:rFonts w:cs="Arial"/>
          <w:rtl/>
        </w:rPr>
        <w:t>"מ כבר נתבאר לעיל סי</w:t>
      </w:r>
      <w:r>
        <w:rPr>
          <w:rFonts w:cs="Arial" w:hint="cs"/>
          <w:rtl/>
        </w:rPr>
        <w:t>'</w:t>
      </w:r>
      <w:r w:rsidRPr="004206BB">
        <w:rPr>
          <w:rFonts w:cs="Arial"/>
          <w:rtl/>
        </w:rPr>
        <w:t xml:space="preserve"> צג </w:t>
      </w:r>
      <w:r>
        <w:rPr>
          <w:rFonts w:cs="Arial" w:hint="cs"/>
          <w:rtl/>
        </w:rPr>
        <w:t>(</w:t>
      </w:r>
      <w:r w:rsidRPr="004206BB">
        <w:rPr>
          <w:rFonts w:cs="Arial"/>
          <w:rtl/>
        </w:rPr>
        <w:t>ס</w:t>
      </w:r>
      <w:r>
        <w:rPr>
          <w:rFonts w:cs="Arial" w:hint="cs"/>
          <w:rtl/>
        </w:rPr>
        <w:t>"</w:t>
      </w:r>
      <w:r w:rsidRPr="004206BB">
        <w:rPr>
          <w:rFonts w:cs="Arial"/>
          <w:rtl/>
        </w:rPr>
        <w:t>כ</w:t>
      </w:r>
      <w:r>
        <w:rPr>
          <w:rFonts w:cs="Arial" w:hint="cs"/>
          <w:rtl/>
        </w:rPr>
        <w:t>)</w:t>
      </w:r>
      <w:r w:rsidRPr="004206BB">
        <w:rPr>
          <w:rFonts w:cs="Arial"/>
          <w:rtl/>
        </w:rPr>
        <w:t xml:space="preserve"> ובטור בסי' זה שהאשה והבנו</w:t>
      </w:r>
      <w:r>
        <w:rPr>
          <w:rFonts w:cs="Arial" w:hint="cs"/>
          <w:rtl/>
        </w:rPr>
        <w:t>ת</w:t>
      </w:r>
      <w:r w:rsidRPr="004206BB">
        <w:rPr>
          <w:rFonts w:cs="Arial"/>
          <w:rtl/>
        </w:rPr>
        <w:t xml:space="preserve"> ניזונ</w:t>
      </w:r>
      <w:r>
        <w:rPr>
          <w:rFonts w:cs="Arial" w:hint="cs"/>
          <w:rtl/>
        </w:rPr>
        <w:t>ות</w:t>
      </w:r>
      <w:r w:rsidRPr="004206BB">
        <w:rPr>
          <w:rFonts w:cs="Arial"/>
          <w:rtl/>
        </w:rPr>
        <w:t xml:space="preserve"> מהם אם אין כאן בני חורין</w:t>
      </w:r>
      <w:r>
        <w:rPr>
          <w:rFonts w:cs="Arial" w:hint="cs"/>
          <w:rtl/>
        </w:rPr>
        <w:t>.</w:t>
      </w:r>
      <w:r w:rsidRPr="004206BB">
        <w:rPr>
          <w:rFonts w:cs="Arial"/>
          <w:rtl/>
        </w:rPr>
        <w:t xml:space="preserve"> וי"א דאם נתן מטלטלין במתנת ש</w:t>
      </w:r>
      <w:r>
        <w:rPr>
          <w:rFonts w:cs="Arial" w:hint="cs"/>
          <w:rtl/>
        </w:rPr>
        <w:t>כ</w:t>
      </w:r>
      <w:r w:rsidRPr="004206BB">
        <w:rPr>
          <w:rFonts w:cs="Arial"/>
          <w:rtl/>
        </w:rPr>
        <w:t>"מ לאחרים אין האשה ניזונ</w:t>
      </w:r>
      <w:r>
        <w:rPr>
          <w:rFonts w:cs="Arial" w:hint="cs"/>
          <w:rtl/>
        </w:rPr>
        <w:t>ת</w:t>
      </w:r>
      <w:r w:rsidRPr="004206BB">
        <w:rPr>
          <w:rFonts w:cs="Arial"/>
          <w:rtl/>
        </w:rPr>
        <w:t xml:space="preserve"> מהן</w:t>
      </w:r>
      <w:r>
        <w:rPr>
          <w:rFonts w:cs="Arial" w:hint="cs"/>
          <w:rtl/>
        </w:rPr>
        <w:t>.</w:t>
      </w:r>
      <w:r w:rsidRPr="004206BB">
        <w:rPr>
          <w:rFonts w:cs="Arial"/>
          <w:rtl/>
        </w:rPr>
        <w:t xml:space="preserve"> ולבניו י"א אפילו במתנ</w:t>
      </w:r>
      <w:r>
        <w:rPr>
          <w:rFonts w:cs="Arial" w:hint="cs"/>
          <w:rtl/>
        </w:rPr>
        <w:t>ת</w:t>
      </w:r>
      <w:r w:rsidRPr="004206BB">
        <w:rPr>
          <w:rFonts w:cs="Arial"/>
          <w:rtl/>
        </w:rPr>
        <w:t xml:space="preserve"> בריא הוי כירושה</w:t>
      </w:r>
      <w:r>
        <w:rPr>
          <w:rFonts w:cs="Arial" w:hint="cs"/>
          <w:rtl/>
        </w:rPr>
        <w:t>,</w:t>
      </w:r>
      <w:r w:rsidRPr="004206BB">
        <w:rPr>
          <w:rFonts w:cs="Arial"/>
          <w:rtl/>
        </w:rPr>
        <w:t xml:space="preserve"> עיין מ"ש שם</w:t>
      </w:r>
      <w:r>
        <w:rPr>
          <w:rFonts w:cs="Arial" w:hint="cs"/>
          <w:rtl/>
        </w:rPr>
        <w:t>,</w:t>
      </w:r>
      <w:r w:rsidRPr="004206BB">
        <w:rPr>
          <w:rFonts w:cs="Arial"/>
          <w:rtl/>
        </w:rPr>
        <w:t xml:space="preserve"> ועיין בסי' קי"א סעיף י"ד</w:t>
      </w:r>
      <w:r>
        <w:rPr>
          <w:rFonts w:hint="cs"/>
          <w:rtl/>
        </w:rPr>
        <w:t>, ח"מ (סקי"ז).</w:t>
      </w:r>
    </w:p>
  </w:footnote>
  <w:footnote w:id="2565">
    <w:p w14:paraId="2C588FD2" w14:textId="77777777" w:rsidR="00392DBB" w:rsidRDefault="00392DBB" w:rsidP="00392DBB">
      <w:pPr>
        <w:pStyle w:val="a5"/>
        <w:rPr>
          <w:rtl/>
        </w:rPr>
      </w:pPr>
      <w:r>
        <w:rPr>
          <w:rStyle w:val="a7"/>
        </w:rPr>
        <w:footnoteRef/>
      </w:r>
      <w:r>
        <w:rPr>
          <w:rtl/>
        </w:rPr>
        <w:t xml:space="preserve"> </w:t>
      </w:r>
      <w:r w:rsidRPr="004206BB">
        <w:rPr>
          <w:rFonts w:cs="Arial"/>
          <w:rtl/>
        </w:rPr>
        <w:t>ואם יש לה מזונו' מן הדמים שקבלו בעד הקרקע נתבאר לעיל סי' צ"ג סעיף כ"א לקמן סעיף י"ד</w:t>
      </w:r>
      <w:r>
        <w:rPr>
          <w:rFonts w:hint="cs"/>
          <w:rtl/>
        </w:rPr>
        <w:t>, ח"מ (סקי"ח).</w:t>
      </w:r>
    </w:p>
  </w:footnote>
  <w:footnote w:id="2566">
    <w:p w14:paraId="5C922E46" w14:textId="77777777" w:rsidR="00392DBB" w:rsidRDefault="00392DBB" w:rsidP="00392DBB">
      <w:pPr>
        <w:pStyle w:val="a5"/>
      </w:pPr>
      <w:r>
        <w:rPr>
          <w:rStyle w:val="a7"/>
        </w:rPr>
        <w:footnoteRef/>
      </w:r>
      <w:r>
        <w:rPr>
          <w:rtl/>
        </w:rPr>
        <w:t xml:space="preserve"> </w:t>
      </w:r>
      <w:r w:rsidRPr="004206BB">
        <w:rPr>
          <w:rFonts w:cs="Arial"/>
          <w:rtl/>
        </w:rPr>
        <w:t>עיין בס' ישועות יעקב סק"ה שכ' בשם הרב בעל פ"י דדוקא משכנו להדיא ולא בסתם הלואה ע"ש</w:t>
      </w:r>
      <w:r>
        <w:rPr>
          <w:rFonts w:cs="Arial" w:hint="cs"/>
          <w:rtl/>
        </w:rPr>
        <w:t>, פת"ש (סק"ג).</w:t>
      </w:r>
    </w:p>
  </w:footnote>
  <w:footnote w:id="2567">
    <w:p w14:paraId="6F061C1A" w14:textId="77777777" w:rsidR="00392DBB" w:rsidRDefault="00392DBB" w:rsidP="00392DBB">
      <w:pPr>
        <w:pStyle w:val="a5"/>
        <w:rPr>
          <w:rtl/>
        </w:rPr>
      </w:pPr>
      <w:r>
        <w:rPr>
          <w:rStyle w:val="a7"/>
        </w:rPr>
        <w:footnoteRef/>
      </w:r>
      <w:r>
        <w:rPr>
          <w:rtl/>
        </w:rPr>
        <w:t xml:space="preserve"> </w:t>
      </w:r>
      <w:r w:rsidRPr="00A9731F">
        <w:rPr>
          <w:rFonts w:cs="Arial"/>
          <w:rtl/>
        </w:rPr>
        <w:t>האם לאחר שגירשה הראשון</w:t>
      </w:r>
      <w:r>
        <w:rPr>
          <w:rFonts w:hint="cs"/>
          <w:rtl/>
        </w:rPr>
        <w:t>, רש"י.</w:t>
      </w:r>
    </w:p>
  </w:footnote>
  <w:footnote w:id="2568">
    <w:p w14:paraId="58710821" w14:textId="77777777" w:rsidR="00392DBB" w:rsidRDefault="00392DBB" w:rsidP="00392DBB">
      <w:pPr>
        <w:pStyle w:val="a5"/>
        <w:rPr>
          <w:rtl/>
        </w:rPr>
      </w:pPr>
      <w:r>
        <w:rPr>
          <w:rStyle w:val="a7"/>
        </w:rPr>
        <w:footnoteRef/>
      </w:r>
      <w:r>
        <w:rPr>
          <w:rtl/>
        </w:rPr>
        <w:t xml:space="preserve"> </w:t>
      </w:r>
      <w:r w:rsidRPr="006740EA">
        <w:rPr>
          <w:rFonts w:cs="Arial"/>
          <w:rtl/>
        </w:rPr>
        <w:t>ולא ממשועבדים דתנן (גיטין מח:) אין מוציאין לאכילת פירות ולשבח קרקעות ולמזון האשה והבנות מנכסים משועבדים</w:t>
      </w:r>
      <w:r>
        <w:rPr>
          <w:rFonts w:hint="cs"/>
          <w:rtl/>
        </w:rPr>
        <w:t>, רש"י.</w:t>
      </w:r>
    </w:p>
  </w:footnote>
  <w:footnote w:id="2569">
    <w:p w14:paraId="0351CF68" w14:textId="77777777" w:rsidR="00392DBB" w:rsidRDefault="00392DBB" w:rsidP="00392DBB">
      <w:pPr>
        <w:pStyle w:val="a5"/>
      </w:pPr>
      <w:r>
        <w:rPr>
          <w:rStyle w:val="a7"/>
        </w:rPr>
        <w:footnoteRef/>
      </w:r>
      <w:r>
        <w:rPr>
          <w:rtl/>
        </w:rPr>
        <w:t xml:space="preserve"> </w:t>
      </w:r>
      <w:r w:rsidRPr="00A9731F">
        <w:rPr>
          <w:rFonts w:cs="Arial"/>
          <w:rtl/>
        </w:rPr>
        <w:t>אותה הבת</w:t>
      </w:r>
      <w:r>
        <w:rPr>
          <w:rFonts w:cs="Arial" w:hint="cs"/>
          <w:sz w:val="16"/>
          <w:szCs w:val="16"/>
          <w:rtl/>
        </w:rPr>
        <w:t xml:space="preserve"> {שפסקו לה מזונות חמש שנים}</w:t>
      </w:r>
      <w:r>
        <w:rPr>
          <w:rFonts w:cs="Arial" w:hint="cs"/>
          <w:rtl/>
        </w:rPr>
        <w:t xml:space="preserve">, רש"י. </w:t>
      </w:r>
    </w:p>
  </w:footnote>
  <w:footnote w:id="2570">
    <w:p w14:paraId="748E6E18" w14:textId="77777777" w:rsidR="00392DBB" w:rsidRDefault="00392DBB" w:rsidP="00392DBB">
      <w:pPr>
        <w:pStyle w:val="a5"/>
        <w:rPr>
          <w:rtl/>
        </w:rPr>
      </w:pPr>
      <w:r>
        <w:rPr>
          <w:rStyle w:val="a7"/>
        </w:rPr>
        <w:footnoteRef/>
      </w:r>
      <w:r>
        <w:rPr>
          <w:rtl/>
        </w:rPr>
        <w:t xml:space="preserve"> </w:t>
      </w:r>
      <w:r w:rsidRPr="006339E4">
        <w:rPr>
          <w:rFonts w:cs="Arial"/>
          <w:rtl/>
        </w:rPr>
        <w:t>נתנו חכמים כתיבה לדבר אם באו להחתים עדים בדברים הללו שהן בלא קנין</w:t>
      </w:r>
      <w:r>
        <w:rPr>
          <w:rFonts w:hint="cs"/>
          <w:rtl/>
        </w:rPr>
        <w:t>, רש"י.</w:t>
      </w:r>
    </w:p>
  </w:footnote>
  <w:footnote w:id="2571">
    <w:p w14:paraId="17227A19" w14:textId="77777777" w:rsidR="00392DBB" w:rsidRDefault="00392DBB" w:rsidP="00392DBB">
      <w:pPr>
        <w:pStyle w:val="a5"/>
      </w:pPr>
      <w:r>
        <w:rPr>
          <w:rStyle w:val="a7"/>
        </w:rPr>
        <w:footnoteRef/>
      </w:r>
      <w:r>
        <w:rPr>
          <w:rtl/>
        </w:rPr>
        <w:t xml:space="preserve"> </w:t>
      </w:r>
      <w:r w:rsidRPr="006339E4">
        <w:rPr>
          <w:rFonts w:cs="Arial"/>
          <w:rtl/>
        </w:rPr>
        <w:t>דלא ליטרוף ממשעבדי וכיון דליכא קנין לא משתעבדי נכסי</w:t>
      </w:r>
      <w:r>
        <w:rPr>
          <w:rFonts w:cs="Arial" w:hint="cs"/>
          <w:rtl/>
        </w:rPr>
        <w:t>, רש"י.</w:t>
      </w:r>
    </w:p>
  </w:footnote>
  <w:footnote w:id="2572">
    <w:p w14:paraId="20B2C05D" w14:textId="77777777" w:rsidR="00392DBB" w:rsidRDefault="00392DBB" w:rsidP="00392DBB">
      <w:pPr>
        <w:pStyle w:val="a5"/>
      </w:pPr>
      <w:r>
        <w:rPr>
          <w:rStyle w:val="a7"/>
        </w:rPr>
        <w:footnoteRef/>
      </w:r>
      <w:r>
        <w:rPr>
          <w:rtl/>
        </w:rPr>
        <w:t xml:space="preserve"> </w:t>
      </w:r>
      <w:r w:rsidRPr="006339E4">
        <w:rPr>
          <w:rFonts w:cs="Arial"/>
          <w:rtl/>
        </w:rPr>
        <w:t>ואי לא דנקיטא שטר מי טרפא ממשעבדי</w:t>
      </w:r>
      <w:r>
        <w:rPr>
          <w:rFonts w:cs="Arial" w:hint="cs"/>
          <w:rtl/>
        </w:rPr>
        <w:t>, רש"י.</w:t>
      </w:r>
      <w:r w:rsidRPr="006339E4">
        <w:rPr>
          <w:rtl/>
        </w:rPr>
        <w:t xml:space="preserve"> </w:t>
      </w:r>
      <w:r w:rsidRPr="006339E4">
        <w:rPr>
          <w:rFonts w:cs="Arial"/>
          <w:rtl/>
        </w:rPr>
        <w:t>משמע שפסיקת הבעל לאשה ניתנת להכתב בשטר</w:t>
      </w:r>
      <w:r>
        <w:rPr>
          <w:rFonts w:cs="Arial" w:hint="cs"/>
          <w:rtl/>
        </w:rPr>
        <w:t>.</w:t>
      </w:r>
    </w:p>
  </w:footnote>
  <w:footnote w:id="2573">
    <w:p w14:paraId="048A7ADE" w14:textId="77777777" w:rsidR="00392DBB" w:rsidRDefault="00392DBB" w:rsidP="00392DBB">
      <w:pPr>
        <w:pStyle w:val="a5"/>
      </w:pPr>
      <w:r>
        <w:rPr>
          <w:rStyle w:val="a7"/>
        </w:rPr>
        <w:footnoteRef/>
      </w:r>
      <w:r>
        <w:rPr>
          <w:rtl/>
        </w:rPr>
        <w:t xml:space="preserve"> </w:t>
      </w:r>
      <w:r w:rsidRPr="006339E4">
        <w:rPr>
          <w:rFonts w:cs="Arial"/>
          <w:rtl/>
        </w:rPr>
        <w:t>של כל בעל ובעל, נמי תהיינה זכאיות לגבות את מזונותיהם מנכסים משועבדים</w:t>
      </w:r>
      <w:r>
        <w:rPr>
          <w:rFonts w:cs="Arial" w:hint="cs"/>
          <w:rtl/>
        </w:rPr>
        <w:t xml:space="preserve"> </w:t>
      </w:r>
      <w:r w:rsidRPr="006339E4">
        <w:rPr>
          <w:rFonts w:cs="Arial" w:hint="cs"/>
          <w:sz w:val="16"/>
          <w:szCs w:val="16"/>
          <w:rtl/>
        </w:rPr>
        <w:t>(חברותא)</w:t>
      </w:r>
      <w:r>
        <w:rPr>
          <w:rFonts w:cs="Arial" w:hint="cs"/>
          <w:rtl/>
        </w:rPr>
        <w:t>.</w:t>
      </w:r>
    </w:p>
  </w:footnote>
  <w:footnote w:id="2574">
    <w:p w14:paraId="4F984A46" w14:textId="77777777" w:rsidR="00392DBB" w:rsidRDefault="00392DBB" w:rsidP="00392DBB">
      <w:pPr>
        <w:pStyle w:val="a5"/>
        <w:rPr>
          <w:rtl/>
        </w:rPr>
      </w:pPr>
      <w:r>
        <w:rPr>
          <w:rStyle w:val="a7"/>
        </w:rPr>
        <w:footnoteRef/>
      </w:r>
      <w:r>
        <w:rPr>
          <w:rtl/>
        </w:rPr>
        <w:t xml:space="preserve"> </w:t>
      </w:r>
      <w:r w:rsidRPr="006339E4">
        <w:rPr>
          <w:rFonts w:cs="Arial"/>
          <w:rtl/>
        </w:rPr>
        <w:t>בתמיה וכי דבר פסוק הוא לחכמים שקונין לבת האשה ולא לבנות ששנו סתם במשנה בנותיהן ניזונות מבני חורין והיא ניזונת ממשועבדים</w:t>
      </w:r>
      <w:r>
        <w:rPr>
          <w:rFonts w:hint="cs"/>
          <w:rtl/>
        </w:rPr>
        <w:t>, רש"י.</w:t>
      </w:r>
    </w:p>
  </w:footnote>
  <w:footnote w:id="2575">
    <w:p w14:paraId="20663F0A" w14:textId="77777777" w:rsidR="00392DBB" w:rsidRDefault="00392DBB" w:rsidP="00392DBB">
      <w:pPr>
        <w:pStyle w:val="a5"/>
      </w:pPr>
      <w:r>
        <w:rPr>
          <w:rStyle w:val="a7"/>
        </w:rPr>
        <w:footnoteRef/>
      </w:r>
      <w:r>
        <w:rPr>
          <w:rtl/>
        </w:rPr>
        <w:t xml:space="preserve"> </w:t>
      </w:r>
      <w:r w:rsidRPr="004A6EAF">
        <w:rPr>
          <w:rFonts w:cs="Arial"/>
          <w:rtl/>
        </w:rPr>
        <w:t>וכי אי אפשר שיהו אף הבנות בשעת קנין כגון דגרשה ואהדרה וכתב לה התנאים הללו ואפילו הכי תנן סתמא בנותיהן ניזונות מבני חורין ולא ממשועבדים</w:t>
      </w:r>
      <w:r>
        <w:rPr>
          <w:rFonts w:cs="Arial" w:hint="cs"/>
          <w:rtl/>
        </w:rPr>
        <w:t>, רש"י.</w:t>
      </w:r>
    </w:p>
  </w:footnote>
  <w:footnote w:id="2576">
    <w:p w14:paraId="0D8D33C9" w14:textId="77777777" w:rsidR="00392DBB" w:rsidRDefault="00392DBB" w:rsidP="00392DBB">
      <w:pPr>
        <w:pStyle w:val="a5"/>
        <w:rPr>
          <w:rtl/>
        </w:rPr>
      </w:pPr>
      <w:r>
        <w:rPr>
          <w:rStyle w:val="a7"/>
        </w:rPr>
        <w:footnoteRef/>
      </w:r>
      <w:r>
        <w:rPr>
          <w:rtl/>
        </w:rPr>
        <w:t xml:space="preserve"> </w:t>
      </w:r>
      <w:r>
        <w:rPr>
          <w:rFonts w:hint="cs"/>
          <w:rtl/>
        </w:rPr>
        <w:t>בת אשתו.</w:t>
      </w:r>
    </w:p>
  </w:footnote>
  <w:footnote w:id="2577">
    <w:p w14:paraId="7D084EA1" w14:textId="77777777" w:rsidR="00392DBB" w:rsidRDefault="00392DBB" w:rsidP="00392DBB">
      <w:pPr>
        <w:pStyle w:val="a5"/>
      </w:pPr>
      <w:r>
        <w:rPr>
          <w:rStyle w:val="a7"/>
        </w:rPr>
        <w:footnoteRef/>
      </w:r>
      <w:r>
        <w:rPr>
          <w:rtl/>
        </w:rPr>
        <w:t xml:space="preserve"> </w:t>
      </w:r>
      <w:r w:rsidRPr="004A6EAF">
        <w:rPr>
          <w:rFonts w:cs="Arial"/>
          <w:rtl/>
        </w:rPr>
        <w:t>בנן נוקבן דיהויין ליכי מינאי כו'</w:t>
      </w:r>
      <w:r>
        <w:rPr>
          <w:rFonts w:cs="Arial" w:hint="cs"/>
          <w:rtl/>
        </w:rPr>
        <w:t>, רש"י.</w:t>
      </w:r>
    </w:p>
  </w:footnote>
  <w:footnote w:id="2578">
    <w:p w14:paraId="42BD6190" w14:textId="77777777" w:rsidR="00392DBB" w:rsidRDefault="00392DBB" w:rsidP="00392DBB">
      <w:pPr>
        <w:pStyle w:val="a5"/>
      </w:pPr>
      <w:r>
        <w:rPr>
          <w:rStyle w:val="a7"/>
        </w:rPr>
        <w:footnoteRef/>
      </w:r>
      <w:r>
        <w:rPr>
          <w:rtl/>
        </w:rPr>
        <w:t xml:space="preserve"> </w:t>
      </w:r>
      <w:r>
        <w:rPr>
          <w:rFonts w:hint="cs"/>
          <w:rtl/>
        </w:rPr>
        <w:t>שלו מאשה זו.</w:t>
      </w:r>
    </w:p>
  </w:footnote>
  <w:footnote w:id="2579">
    <w:p w14:paraId="76549A84" w14:textId="77777777" w:rsidR="00392DBB" w:rsidRDefault="00392DBB" w:rsidP="00392DBB">
      <w:pPr>
        <w:pStyle w:val="a5"/>
      </w:pPr>
      <w:r>
        <w:rPr>
          <w:rStyle w:val="a7"/>
        </w:rPr>
        <w:footnoteRef/>
      </w:r>
      <w:r>
        <w:rPr>
          <w:rtl/>
        </w:rPr>
        <w:t xml:space="preserve"> </w:t>
      </w:r>
      <w:r w:rsidRPr="004A6EAF">
        <w:rPr>
          <w:rFonts w:cs="Arial"/>
          <w:rtl/>
        </w:rPr>
        <w:t>לפני מותו מסר להם צרורות כספים למזונותיהן</w:t>
      </w:r>
      <w:r>
        <w:rPr>
          <w:rFonts w:cs="Arial" w:hint="cs"/>
          <w:rtl/>
        </w:rPr>
        <w:t>, רש"י</w:t>
      </w:r>
      <w:r>
        <w:rPr>
          <w:rFonts w:hint="cs"/>
          <w:rtl/>
        </w:rPr>
        <w:t>.</w:t>
      </w:r>
    </w:p>
  </w:footnote>
  <w:footnote w:id="2580">
    <w:p w14:paraId="26B8A58D" w14:textId="77777777" w:rsidR="00392DBB" w:rsidRDefault="00392DBB" w:rsidP="00392DBB">
      <w:pPr>
        <w:pStyle w:val="a5"/>
      </w:pPr>
      <w:r>
        <w:rPr>
          <w:rStyle w:val="a7"/>
        </w:rPr>
        <w:footnoteRef/>
      </w:r>
      <w:r>
        <w:rPr>
          <w:rtl/>
        </w:rPr>
        <w:t xml:space="preserve"> </w:t>
      </w:r>
      <w:r>
        <w:rPr>
          <w:rFonts w:hint="cs"/>
          <w:rtl/>
        </w:rPr>
        <w:t xml:space="preserve">עד כאן העתיק הרא"ש בתוספותיו (קב: ד"ה בנות כיון), ואת התירוץ האחרון השמיט. וגם הטור תפס עיקר כתירוץ האחרון שהביא הרא"ש, משמע שלא סבר כתירוץ האחרון של התוס'. </w:t>
      </w:r>
      <w:r w:rsidRPr="00DD27A0">
        <w:rPr>
          <w:rFonts w:hint="cs"/>
          <w:color w:val="FF0000"/>
          <w:rtl/>
        </w:rPr>
        <w:t xml:space="preserve">וצל"ע מדוע, והרי כתבו התוס' שתירוץ זה מיישב כל הקושיות. </w:t>
      </w:r>
    </w:p>
  </w:footnote>
  <w:footnote w:id="2581">
    <w:p w14:paraId="680A6E7E" w14:textId="4DADE66E" w:rsidR="00880AE0" w:rsidRDefault="00880AE0">
      <w:pPr>
        <w:pStyle w:val="a5"/>
        <w:rPr>
          <w:rFonts w:hint="cs"/>
        </w:rPr>
      </w:pPr>
      <w:r>
        <w:rPr>
          <w:rStyle w:val="a7"/>
        </w:rPr>
        <w:footnoteRef/>
      </w:r>
      <w:r>
        <w:rPr>
          <w:rtl/>
        </w:rPr>
        <w:t xml:space="preserve"> </w:t>
      </w:r>
      <w:r>
        <w:rPr>
          <w:rFonts w:hint="cs"/>
          <w:rtl/>
        </w:rPr>
        <w:t>סימן - מנכסים חופשיים.</w:t>
      </w:r>
    </w:p>
  </w:footnote>
  <w:footnote w:id="2582">
    <w:p w14:paraId="14B3E5C5" w14:textId="77777777" w:rsidR="00392DBB" w:rsidRDefault="00392DBB" w:rsidP="00392DBB">
      <w:pPr>
        <w:pStyle w:val="a5"/>
        <w:rPr>
          <w:rtl/>
        </w:rPr>
      </w:pPr>
      <w:r>
        <w:rPr>
          <w:rStyle w:val="a7"/>
        </w:rPr>
        <w:footnoteRef/>
      </w:r>
      <w:r>
        <w:rPr>
          <w:rtl/>
        </w:rPr>
        <w:t xml:space="preserve"> </w:t>
      </w:r>
      <w:r w:rsidRPr="008172A3">
        <w:rPr>
          <w:rFonts w:cs="Arial"/>
          <w:rtl/>
        </w:rPr>
        <w:t>דתנאי בית דין הוא ומשניסת לו קול יוצא שהוא משועבד לה דתנן לא כתב לה בנן נוקבין דיהוו ליכי מינאי כו' ואת תהא יתבא בביתי כו' חייב שהוא תנאי ב"ד בכתובות בפרק נערה (נב:)</w:t>
      </w:r>
      <w:r>
        <w:rPr>
          <w:rFonts w:hint="cs"/>
          <w:rtl/>
        </w:rPr>
        <w:t>, רש"י.</w:t>
      </w:r>
    </w:p>
  </w:footnote>
  <w:footnote w:id="2583">
    <w:p w14:paraId="54827E59" w14:textId="77777777" w:rsidR="00392DBB" w:rsidRDefault="00392DBB" w:rsidP="00392DBB">
      <w:pPr>
        <w:pStyle w:val="a5"/>
      </w:pPr>
      <w:r>
        <w:rPr>
          <w:rStyle w:val="a7"/>
        </w:rPr>
        <w:footnoteRef/>
      </w:r>
      <w:r>
        <w:rPr>
          <w:rtl/>
        </w:rPr>
        <w:t xml:space="preserve"> </w:t>
      </w:r>
      <w:r w:rsidRPr="008172A3">
        <w:rPr>
          <w:rFonts w:cs="Arial"/>
          <w:rtl/>
        </w:rPr>
        <w:t>תנאי ב"ד כך היה שיהו כתובים אצל בני חורין ולא יהו חשובים ככתובים אצל משועבדים לפי שאין לך אדם רוצה ליקח שדה מחבירו אם מזון אשתו ובניו חוזרים עליו עולמית</w:t>
      </w:r>
      <w:r>
        <w:rPr>
          <w:rFonts w:cs="Arial" w:hint="cs"/>
          <w:rtl/>
        </w:rPr>
        <w:t>, רש"י.</w:t>
      </w:r>
    </w:p>
  </w:footnote>
  <w:footnote w:id="2584">
    <w:p w14:paraId="2D35F69F" w14:textId="21FFC479" w:rsidR="00392DBB" w:rsidRDefault="00392DBB" w:rsidP="00392DBB">
      <w:pPr>
        <w:pStyle w:val="a5"/>
        <w:rPr>
          <w:rtl/>
        </w:rPr>
      </w:pPr>
      <w:r>
        <w:rPr>
          <w:rStyle w:val="a7"/>
        </w:rPr>
        <w:footnoteRef/>
      </w:r>
      <w:r>
        <w:rPr>
          <w:rtl/>
        </w:rPr>
        <w:t xml:space="preserve"> </w:t>
      </w:r>
      <w:r w:rsidRPr="006A0A35">
        <w:rPr>
          <w:rFonts w:cs="Arial"/>
          <w:rtl/>
        </w:rPr>
        <w:t>אלמא כיון דקייצי חמש שנים אע</w:t>
      </w:r>
      <w:r w:rsidR="00E0347E">
        <w:rPr>
          <w:rFonts w:cs="Arial" w:hint="cs"/>
          <w:rtl/>
        </w:rPr>
        <w:t>"</w:t>
      </w:r>
      <w:r w:rsidRPr="006A0A35">
        <w:rPr>
          <w:rFonts w:cs="Arial"/>
          <w:rtl/>
        </w:rPr>
        <w:t>ג דלא כתיבא גביא ממשעבדי כר' חנינא</w:t>
      </w:r>
      <w:r>
        <w:rPr>
          <w:rFonts w:cs="Arial" w:hint="cs"/>
          <w:rtl/>
        </w:rPr>
        <w:t>,</w:t>
      </w:r>
      <w:r w:rsidRPr="006A0A35">
        <w:rPr>
          <w:rFonts w:cs="Arial"/>
          <w:rtl/>
        </w:rPr>
        <w:t xml:space="preserve"> וקשיא לעולא</w:t>
      </w:r>
      <w:r>
        <w:rPr>
          <w:rFonts w:hint="cs"/>
          <w:rtl/>
        </w:rPr>
        <w:t>, רש"י.</w:t>
      </w:r>
    </w:p>
  </w:footnote>
  <w:footnote w:id="2585">
    <w:p w14:paraId="0A4306E2" w14:textId="77777777" w:rsidR="00392DBB" w:rsidRPr="00DE298F" w:rsidRDefault="00392DBB" w:rsidP="00392DBB">
      <w:pPr>
        <w:pStyle w:val="a5"/>
        <w:rPr>
          <w:color w:val="FF0000"/>
        </w:rPr>
      </w:pPr>
      <w:r>
        <w:rPr>
          <w:rStyle w:val="a7"/>
        </w:rPr>
        <w:footnoteRef/>
      </w:r>
      <w:r>
        <w:rPr>
          <w:rtl/>
        </w:rPr>
        <w:t xml:space="preserve"> </w:t>
      </w:r>
      <w:r w:rsidRPr="00B345A5">
        <w:rPr>
          <w:rFonts w:cs="Arial"/>
          <w:rtl/>
        </w:rPr>
        <w:t xml:space="preserve">וכתב הר"ן </w:t>
      </w:r>
      <w:r w:rsidRPr="009941F9">
        <w:rPr>
          <w:rFonts w:cs="Arial" w:hint="cs"/>
          <w:sz w:val="16"/>
          <w:szCs w:val="16"/>
          <w:rtl/>
        </w:rPr>
        <w:t>(</w:t>
      </w:r>
      <w:r w:rsidRPr="009941F9">
        <w:rPr>
          <w:rFonts w:cs="Arial"/>
          <w:sz w:val="16"/>
          <w:szCs w:val="16"/>
          <w:rtl/>
        </w:rPr>
        <w:t>פ</w:t>
      </w:r>
      <w:r w:rsidRPr="009941F9">
        <w:rPr>
          <w:rFonts w:cs="Arial" w:hint="cs"/>
          <w:sz w:val="16"/>
          <w:szCs w:val="16"/>
          <w:rtl/>
        </w:rPr>
        <w:t>'</w:t>
      </w:r>
      <w:r w:rsidRPr="009941F9">
        <w:rPr>
          <w:rFonts w:cs="Arial"/>
          <w:sz w:val="16"/>
          <w:szCs w:val="16"/>
          <w:rtl/>
        </w:rPr>
        <w:t xml:space="preserve"> הנושא</w:t>
      </w:r>
      <w:r w:rsidRPr="009941F9">
        <w:rPr>
          <w:rFonts w:cs="Arial" w:hint="cs"/>
          <w:sz w:val="16"/>
          <w:szCs w:val="16"/>
          <w:rtl/>
        </w:rPr>
        <w:t xml:space="preserve"> </w:t>
      </w:r>
      <w:r w:rsidRPr="009941F9">
        <w:rPr>
          <w:rFonts w:cs="Arial"/>
          <w:sz w:val="16"/>
          <w:szCs w:val="16"/>
          <w:rtl/>
        </w:rPr>
        <w:t xml:space="preserve">סא. ד"ה דברים) </w:t>
      </w:r>
      <w:r w:rsidRPr="00B345A5">
        <w:rPr>
          <w:rFonts w:cs="Arial"/>
          <w:rtl/>
        </w:rPr>
        <w:t>דאין חילוק בין גדולות לקטנות בכולן חיישינן לצררי וכן משמע מדברי הפוסקים דלא חילק</w:t>
      </w:r>
      <w:r>
        <w:rPr>
          <w:rFonts w:cs="Arial" w:hint="cs"/>
          <w:rtl/>
        </w:rPr>
        <w:t>ו, דרכ"מ (אות ב).</w:t>
      </w:r>
      <w:r w:rsidRPr="00DE298F">
        <w:rPr>
          <w:rtl/>
        </w:rPr>
        <w:t xml:space="preserve"> </w:t>
      </w:r>
    </w:p>
  </w:footnote>
  <w:footnote w:id="2586">
    <w:p w14:paraId="46FDA7DB" w14:textId="77777777" w:rsidR="00507D0F" w:rsidRDefault="00507D0F" w:rsidP="00507D0F">
      <w:pPr>
        <w:pStyle w:val="a5"/>
        <w:rPr>
          <w:rtl/>
        </w:rPr>
      </w:pPr>
      <w:r>
        <w:rPr>
          <w:rStyle w:val="a7"/>
        </w:rPr>
        <w:footnoteRef/>
      </w:r>
      <w:r>
        <w:rPr>
          <w:rtl/>
        </w:rPr>
        <w:t xml:space="preserve"> </w:t>
      </w:r>
      <w:r>
        <w:rPr>
          <w:rFonts w:cs="Arial"/>
          <w:rtl/>
        </w:rPr>
        <w:t>מ"ש דהאידנ</w:t>
      </w:r>
      <w:r>
        <w:rPr>
          <w:rFonts w:cs="Arial" w:hint="cs"/>
          <w:rtl/>
        </w:rPr>
        <w:t>א</w:t>
      </w:r>
      <w:r>
        <w:rPr>
          <w:rFonts w:cs="Arial"/>
          <w:rtl/>
        </w:rPr>
        <w:t xml:space="preserve"> דקנו מיניה גמר ומשעבד נפשיה ואם איתא דאתפסה צררי איבעי ליה למינקט שטר מיניה או למיכתב תברא עליה</w:t>
      </w:r>
      <w:r>
        <w:rPr>
          <w:rFonts w:cs="Arial" w:hint="cs"/>
          <w:rtl/>
        </w:rPr>
        <w:t xml:space="preserve"> -</w:t>
      </w:r>
      <w:r>
        <w:rPr>
          <w:rFonts w:cs="Arial"/>
          <w:rtl/>
        </w:rPr>
        <w:t xml:space="preserve"> יש לתמוה עליו דאם כן אמאי חיישינן באלמנה דילמא אתפסה צררי</w:t>
      </w:r>
      <w:r>
        <w:rPr>
          <w:rFonts w:cs="Arial" w:hint="cs"/>
          <w:rtl/>
        </w:rPr>
        <w:t>,</w:t>
      </w:r>
      <w:r>
        <w:rPr>
          <w:rFonts w:cs="Arial"/>
          <w:rtl/>
        </w:rPr>
        <w:t xml:space="preserve"> הוה ליה למימר אם איתא דאתפסה צררי הוה ליה למיכתב עלה תברא</w:t>
      </w:r>
      <w:r>
        <w:rPr>
          <w:rFonts w:hint="cs"/>
          <w:rtl/>
        </w:rPr>
        <w:t>, ב"י (בבדה"ב).</w:t>
      </w:r>
    </w:p>
  </w:footnote>
  <w:footnote w:id="2587">
    <w:p w14:paraId="6A9B4BAD" w14:textId="77777777" w:rsidR="00392DBB" w:rsidRDefault="00392DBB" w:rsidP="00392DBB">
      <w:pPr>
        <w:pStyle w:val="a5"/>
        <w:rPr>
          <w:rtl/>
        </w:rPr>
      </w:pPr>
      <w:r>
        <w:rPr>
          <w:rStyle w:val="a7"/>
        </w:rPr>
        <w:footnoteRef/>
      </w:r>
      <w:r>
        <w:rPr>
          <w:rtl/>
        </w:rPr>
        <w:t xml:space="preserve"> </w:t>
      </w:r>
      <w:r w:rsidRPr="00AD63E0">
        <w:rPr>
          <w:rFonts w:cs="Arial"/>
          <w:rtl/>
        </w:rPr>
        <w:t>כ"כ הטור בשם הרמ"ה אי כתב לה שטר באפי נפשה</w:t>
      </w:r>
      <w:r>
        <w:rPr>
          <w:rFonts w:cs="Arial" w:hint="cs"/>
          <w:rtl/>
        </w:rPr>
        <w:t>,</w:t>
      </w:r>
      <w:r w:rsidRPr="00AD63E0">
        <w:rPr>
          <w:rFonts w:cs="Arial"/>
          <w:rtl/>
        </w:rPr>
        <w:t xml:space="preserve"> א"נ קנו ממנו אחר הנישואין סתם קנין לכתיבה עומד</w:t>
      </w:r>
      <w:r>
        <w:rPr>
          <w:rFonts w:cs="Arial" w:hint="cs"/>
          <w:rtl/>
        </w:rPr>
        <w:t>.</w:t>
      </w:r>
      <w:r w:rsidRPr="00AD63E0">
        <w:rPr>
          <w:rFonts w:cs="Arial"/>
          <w:rtl/>
        </w:rPr>
        <w:t xml:space="preserve"> דאם התפיס צררי אי בעי ליה למנקט שטרא א"נ למיכתב תבראי</w:t>
      </w:r>
      <w:r>
        <w:rPr>
          <w:rFonts w:cs="Arial" w:hint="cs"/>
          <w:rtl/>
        </w:rPr>
        <w:t>.</w:t>
      </w:r>
      <w:r w:rsidRPr="00AD63E0">
        <w:rPr>
          <w:rFonts w:cs="Arial"/>
          <w:rtl/>
        </w:rPr>
        <w:t xml:space="preserve"> ולכאורה נראה דס"ל כתירוץ א' של תוס' היכא דהודה האב לא חיישי' לצררי</w:t>
      </w:r>
      <w:r>
        <w:rPr>
          <w:rFonts w:cs="Arial" w:hint="cs"/>
          <w:rtl/>
        </w:rPr>
        <w:t>.</w:t>
      </w:r>
      <w:r w:rsidRPr="00AD63E0">
        <w:rPr>
          <w:rFonts w:cs="Arial"/>
          <w:rtl/>
        </w:rPr>
        <w:t xml:space="preserve"> דהא כאן ליכא הוכחה אלא מאב מ</w:t>
      </w:r>
      <w:r>
        <w:rPr>
          <w:rFonts w:cs="Arial" w:hint="cs"/>
          <w:rtl/>
        </w:rPr>
        <w:t xml:space="preserve">שום </w:t>
      </w:r>
      <w:r w:rsidRPr="00AD63E0">
        <w:rPr>
          <w:rFonts w:cs="Arial"/>
          <w:rtl/>
        </w:rPr>
        <w:t>ה</w:t>
      </w:r>
      <w:r>
        <w:rPr>
          <w:rFonts w:cs="Arial" w:hint="cs"/>
          <w:rtl/>
        </w:rPr>
        <w:t>כי</w:t>
      </w:r>
      <w:r w:rsidRPr="00AD63E0">
        <w:rPr>
          <w:rFonts w:cs="Arial"/>
          <w:rtl/>
        </w:rPr>
        <w:t xml:space="preserve"> ס"ל דמהני ג</w:t>
      </w:r>
      <w:r>
        <w:rPr>
          <w:rFonts w:cs="Arial" w:hint="cs"/>
          <w:rtl/>
        </w:rPr>
        <w:t xml:space="preserve">ם </w:t>
      </w:r>
      <w:r w:rsidRPr="00AD63E0">
        <w:rPr>
          <w:rFonts w:cs="Arial"/>
          <w:rtl/>
        </w:rPr>
        <w:t>כ</w:t>
      </w:r>
      <w:r>
        <w:rPr>
          <w:rFonts w:cs="Arial" w:hint="cs"/>
          <w:rtl/>
        </w:rPr>
        <w:t>אן</w:t>
      </w:r>
      <w:r w:rsidRPr="00AD63E0">
        <w:rPr>
          <w:rFonts w:cs="Arial"/>
          <w:rtl/>
        </w:rPr>
        <w:t xml:space="preserve"> הסברא אם איתא וכו'</w:t>
      </w:r>
      <w:r>
        <w:rPr>
          <w:rFonts w:cs="Arial" w:hint="cs"/>
          <w:rtl/>
        </w:rPr>
        <w:t>,</w:t>
      </w:r>
      <w:r w:rsidRPr="00AD63E0">
        <w:rPr>
          <w:rFonts w:cs="Arial"/>
          <w:rtl/>
        </w:rPr>
        <w:t xml:space="preserve"> ואז הוי כאלו הודה האב</w:t>
      </w:r>
      <w:r>
        <w:rPr>
          <w:rFonts w:cs="Arial" w:hint="cs"/>
          <w:rtl/>
        </w:rPr>
        <w:t>.</w:t>
      </w:r>
      <w:r w:rsidRPr="00AD63E0">
        <w:rPr>
          <w:rFonts w:cs="Arial"/>
          <w:rtl/>
        </w:rPr>
        <w:t xml:space="preserve"> ולכאורה קשה </w:t>
      </w:r>
      <w:r>
        <w:rPr>
          <w:rFonts w:cs="Arial" w:hint="cs"/>
          <w:rtl/>
        </w:rPr>
        <w:t>ד</w:t>
      </w:r>
      <w:r w:rsidRPr="00AD63E0">
        <w:rPr>
          <w:rFonts w:cs="Arial"/>
          <w:rtl/>
        </w:rPr>
        <w:t>אע</w:t>
      </w:r>
      <w:r>
        <w:rPr>
          <w:rFonts w:cs="Arial" w:hint="cs"/>
          <w:rtl/>
        </w:rPr>
        <w:t>"</w:t>
      </w:r>
      <w:r w:rsidRPr="00AD63E0">
        <w:rPr>
          <w:rFonts w:cs="Arial"/>
          <w:rtl/>
        </w:rPr>
        <w:t>ג דליכא חשש משום צררי מ"מ למה מהני שטר</w:t>
      </w:r>
      <w:r>
        <w:rPr>
          <w:rFonts w:cs="Arial" w:hint="cs"/>
          <w:rtl/>
        </w:rPr>
        <w:t>,</w:t>
      </w:r>
      <w:r w:rsidRPr="00AD63E0">
        <w:rPr>
          <w:rFonts w:cs="Arial"/>
          <w:rtl/>
        </w:rPr>
        <w:t xml:space="preserve"> הא תקנו חז"ל אפי' כתב דלהוי כאלו לא כתב</w:t>
      </w:r>
      <w:r>
        <w:rPr>
          <w:rFonts w:cs="Arial" w:hint="cs"/>
          <w:rtl/>
        </w:rPr>
        <w:t>,</w:t>
      </w:r>
      <w:r w:rsidRPr="00AD63E0">
        <w:rPr>
          <w:rFonts w:cs="Arial"/>
          <w:rtl/>
        </w:rPr>
        <w:t xml:space="preserve"> כמ"ש בסמוך</w:t>
      </w:r>
      <w:r>
        <w:rPr>
          <w:rFonts w:cs="Arial" w:hint="cs"/>
          <w:rtl/>
        </w:rPr>
        <w:t>.</w:t>
      </w:r>
      <w:r w:rsidRPr="00AD63E0">
        <w:rPr>
          <w:rFonts w:cs="Arial"/>
          <w:rtl/>
        </w:rPr>
        <w:t xml:space="preserve"> וצ"ל דס"ל כל הסוגיא איירי כשלא כ' שטר באפי נפשי</w:t>
      </w:r>
      <w:r>
        <w:rPr>
          <w:rFonts w:cs="Arial" w:hint="cs"/>
          <w:rtl/>
        </w:rPr>
        <w:t>ה,</w:t>
      </w:r>
      <w:r w:rsidRPr="00AD63E0">
        <w:rPr>
          <w:rFonts w:cs="Arial"/>
          <w:rtl/>
        </w:rPr>
        <w:t xml:space="preserve"> אבל שטר באפי נפשי</w:t>
      </w:r>
      <w:r>
        <w:rPr>
          <w:rFonts w:cs="Arial" w:hint="cs"/>
          <w:rtl/>
        </w:rPr>
        <w:t>ה</w:t>
      </w:r>
      <w:r w:rsidRPr="00AD63E0">
        <w:rPr>
          <w:rFonts w:cs="Arial"/>
          <w:rtl/>
        </w:rPr>
        <w:t xml:space="preserve"> מהני</w:t>
      </w:r>
      <w:r>
        <w:rPr>
          <w:rFonts w:cs="Arial" w:hint="cs"/>
          <w:rtl/>
        </w:rPr>
        <w:t>,</w:t>
      </w:r>
      <w:r w:rsidRPr="00AD63E0">
        <w:rPr>
          <w:rFonts w:cs="Arial"/>
          <w:rtl/>
        </w:rPr>
        <w:t xml:space="preserve"> והיינו בשבועה כמו בכתובה</w:t>
      </w:r>
      <w:r>
        <w:rPr>
          <w:rFonts w:cs="Arial" w:hint="cs"/>
          <w:rtl/>
        </w:rPr>
        <w:t>.</w:t>
      </w:r>
      <w:r w:rsidRPr="00AD63E0">
        <w:rPr>
          <w:rFonts w:cs="Arial"/>
          <w:rtl/>
        </w:rPr>
        <w:t xml:space="preserve"> ובבדק הבית הקשה למה חיישי</w:t>
      </w:r>
      <w:r>
        <w:rPr>
          <w:rFonts w:cs="Arial" w:hint="cs"/>
          <w:rtl/>
        </w:rPr>
        <w:t>נן</w:t>
      </w:r>
      <w:r w:rsidRPr="00AD63E0">
        <w:rPr>
          <w:rFonts w:cs="Arial"/>
          <w:rtl/>
        </w:rPr>
        <w:t xml:space="preserve"> בכתובה להתפסת צררי הא אי התפיס צררי ה"ל למכתב תברא כמ"ש הרמ"ה</w:t>
      </w:r>
      <w:r>
        <w:rPr>
          <w:rFonts w:cs="Arial" w:hint="cs"/>
          <w:rtl/>
        </w:rPr>
        <w:t>.</w:t>
      </w:r>
      <w:r w:rsidRPr="00AD63E0">
        <w:rPr>
          <w:rFonts w:cs="Arial"/>
          <w:rtl/>
        </w:rPr>
        <w:t xml:space="preserve"> ולמ</w:t>
      </w:r>
      <w:r>
        <w:rPr>
          <w:rFonts w:cs="Arial" w:hint="cs"/>
          <w:rtl/>
        </w:rPr>
        <w:t xml:space="preserve">ה </w:t>
      </w:r>
      <w:r w:rsidRPr="00AD63E0">
        <w:rPr>
          <w:rFonts w:cs="Arial"/>
          <w:rtl/>
        </w:rPr>
        <w:t>ש</w:t>
      </w:r>
      <w:r>
        <w:rPr>
          <w:rFonts w:cs="Arial" w:hint="cs"/>
          <w:rtl/>
        </w:rPr>
        <w:t>כתבתי</w:t>
      </w:r>
      <w:r w:rsidRPr="00AD63E0">
        <w:rPr>
          <w:rFonts w:cs="Arial"/>
          <w:rtl/>
        </w:rPr>
        <w:t xml:space="preserve"> ניחא דאף כאן לדעת הרמ"ה צריכים לישבע כמו אשה בכתובתה</w:t>
      </w:r>
      <w:r>
        <w:rPr>
          <w:rFonts w:cs="Arial" w:hint="cs"/>
          <w:rtl/>
        </w:rPr>
        <w:t>.</w:t>
      </w:r>
      <w:r w:rsidRPr="00AD63E0">
        <w:rPr>
          <w:rFonts w:cs="Arial"/>
          <w:rtl/>
        </w:rPr>
        <w:t xml:space="preserve"> אבל לדעה קמייתא ל"מ שבועה מיהו לתירוץ בתרא ולמ"ש הר"ן ל"מ הודאת אביהן כי בודאי מתפיס צררי</w:t>
      </w:r>
      <w:r>
        <w:rPr>
          <w:rFonts w:hint="cs"/>
          <w:rtl/>
        </w:rPr>
        <w:t>, ב"ש (סקי"ח).</w:t>
      </w:r>
    </w:p>
  </w:footnote>
  <w:footnote w:id="2588">
    <w:p w14:paraId="62B308D5" w14:textId="6333FB11" w:rsidR="00392DBB" w:rsidRPr="00DE298F" w:rsidRDefault="00392DBB" w:rsidP="00392DBB">
      <w:pPr>
        <w:pStyle w:val="a5"/>
        <w:rPr>
          <w:color w:val="FF0000"/>
        </w:rPr>
      </w:pPr>
      <w:r>
        <w:rPr>
          <w:rStyle w:val="a7"/>
        </w:rPr>
        <w:footnoteRef/>
      </w:r>
      <w:r>
        <w:rPr>
          <w:rtl/>
        </w:rPr>
        <w:t xml:space="preserve"> </w:t>
      </w:r>
      <w:r w:rsidR="0061020A">
        <w:rPr>
          <w:rFonts w:hint="cs"/>
          <w:rtl/>
        </w:rPr>
        <w:t>וז</w:t>
      </w:r>
      <w:r w:rsidR="0061020A">
        <w:rPr>
          <w:rtl/>
        </w:rPr>
        <w:t>"</w:t>
      </w:r>
      <w:r w:rsidR="0061020A">
        <w:rPr>
          <w:rFonts w:hint="cs"/>
          <w:rtl/>
        </w:rPr>
        <w:t>ל:</w:t>
      </w:r>
      <w:r>
        <w:t xml:space="preserve"> </w:t>
      </w:r>
      <w:r>
        <w:rPr>
          <w:rFonts w:cs="Arial"/>
          <w:rtl/>
        </w:rPr>
        <w:t>ויש לדקדק</w:t>
      </w:r>
      <w:r>
        <w:rPr>
          <w:rFonts w:cs="Arial" w:hint="cs"/>
          <w:rtl/>
        </w:rPr>
        <w:t>,</w:t>
      </w:r>
      <w:r>
        <w:rPr>
          <w:rFonts w:cs="Arial"/>
          <w:rtl/>
        </w:rPr>
        <w:t xml:space="preserve"> דכיון דטעמא משום התפסת צררי הוה ליה לרבינו לכתוב שישבעו הבנות ויזונו ממשעבדי. ויש לומר דאין הכי נמי</w:t>
      </w:r>
      <w:r>
        <w:rPr>
          <w:rFonts w:cs="Arial" w:hint="cs"/>
          <w:rtl/>
        </w:rPr>
        <w:t>,</w:t>
      </w:r>
      <w:r>
        <w:rPr>
          <w:rFonts w:cs="Arial"/>
          <w:rtl/>
        </w:rPr>
        <w:t xml:space="preserve"> וממילא משמע שאם הן נערות שישבעו</w:t>
      </w:r>
      <w:r>
        <w:rPr>
          <w:rFonts w:cs="Arial" w:hint="cs"/>
          <w:rtl/>
        </w:rPr>
        <w:t>.</w:t>
      </w:r>
      <w:r>
        <w:rPr>
          <w:rFonts w:cs="Arial"/>
          <w:rtl/>
        </w:rPr>
        <w:t xml:space="preserve"> ומשום דקטנות לאו בנות שבועה הן</w:t>
      </w:r>
      <w:r>
        <w:rPr>
          <w:rFonts w:cs="Arial" w:hint="cs"/>
          <w:rtl/>
        </w:rPr>
        <w:t>,</w:t>
      </w:r>
      <w:r>
        <w:rPr>
          <w:rFonts w:cs="Arial"/>
          <w:rtl/>
        </w:rPr>
        <w:t xml:space="preserve"> לא חש רבינו להזכיר כן</w:t>
      </w:r>
      <w:r>
        <w:rPr>
          <w:rFonts w:cs="Arial" w:hint="cs"/>
          <w:rtl/>
        </w:rPr>
        <w:t>.</w:t>
      </w:r>
      <w:r w:rsidRPr="00B345A5">
        <w:rPr>
          <w:rFonts w:cs="Arial"/>
          <w:rtl/>
        </w:rPr>
        <w:t xml:space="preserve"> </w:t>
      </w:r>
    </w:p>
  </w:footnote>
  <w:footnote w:id="2589">
    <w:p w14:paraId="0966BD2E" w14:textId="77777777" w:rsidR="00392DBB" w:rsidRDefault="00392DBB" w:rsidP="00392DBB">
      <w:pPr>
        <w:pStyle w:val="a5"/>
        <w:rPr>
          <w:rtl/>
        </w:rPr>
      </w:pPr>
      <w:r>
        <w:rPr>
          <w:rStyle w:val="a7"/>
        </w:rPr>
        <w:footnoteRef/>
      </w:r>
      <w:r>
        <w:rPr>
          <w:rtl/>
        </w:rPr>
        <w:t xml:space="preserve"> </w:t>
      </w:r>
      <w:r w:rsidRPr="00913A11">
        <w:rPr>
          <w:rFonts w:cs="Arial"/>
          <w:rtl/>
        </w:rPr>
        <w:t xml:space="preserve">וליתא כמ"ש בשם תוס' </w:t>
      </w:r>
      <w:r>
        <w:rPr>
          <w:rFonts w:cs="Arial" w:hint="cs"/>
          <w:rtl/>
        </w:rPr>
        <w:t xml:space="preserve">(נא. ד"ה אימר) </w:t>
      </w:r>
      <w:r w:rsidRPr="00913A11">
        <w:rPr>
          <w:rFonts w:cs="Arial"/>
          <w:rtl/>
        </w:rPr>
        <w:t>דאשה טורפ</w:t>
      </w:r>
      <w:r>
        <w:rPr>
          <w:rFonts w:cs="Arial" w:hint="cs"/>
          <w:rtl/>
        </w:rPr>
        <w:t>ת</w:t>
      </w:r>
      <w:r w:rsidRPr="00913A11">
        <w:rPr>
          <w:rFonts w:cs="Arial"/>
          <w:rtl/>
        </w:rPr>
        <w:t xml:space="preserve"> בשבועה</w:t>
      </w:r>
      <w:r>
        <w:rPr>
          <w:rFonts w:cs="Arial" w:hint="cs"/>
          <w:rtl/>
        </w:rPr>
        <w:t>,</w:t>
      </w:r>
      <w:r w:rsidRPr="00913A11">
        <w:rPr>
          <w:rFonts w:cs="Arial"/>
          <w:rtl/>
        </w:rPr>
        <w:t xml:space="preserve"> נשמע הבנות אין טורפין אפי</w:t>
      </w:r>
      <w:r>
        <w:rPr>
          <w:rFonts w:cs="Arial" w:hint="cs"/>
          <w:rtl/>
        </w:rPr>
        <w:t>לו</w:t>
      </w:r>
      <w:r w:rsidRPr="00913A11">
        <w:rPr>
          <w:rFonts w:cs="Arial"/>
          <w:rtl/>
        </w:rPr>
        <w:t xml:space="preserve"> בשבועה</w:t>
      </w:r>
      <w:r>
        <w:rPr>
          <w:rFonts w:cs="Arial" w:hint="cs"/>
          <w:rtl/>
        </w:rPr>
        <w:t>.</w:t>
      </w:r>
      <w:r w:rsidRPr="00913A11">
        <w:rPr>
          <w:rFonts w:cs="Arial"/>
          <w:rtl/>
        </w:rPr>
        <w:t xml:space="preserve"> גם כתב הר"ן </w:t>
      </w:r>
      <w:r>
        <w:rPr>
          <w:rFonts w:cs="Arial" w:hint="cs"/>
          <w:rtl/>
        </w:rPr>
        <w:t xml:space="preserve">(כתובות סא. מדפה"ר) </w:t>
      </w:r>
      <w:r w:rsidRPr="00913A11">
        <w:rPr>
          <w:rFonts w:cs="Arial"/>
          <w:rtl/>
        </w:rPr>
        <w:t xml:space="preserve">דאין </w:t>
      </w:r>
      <w:r>
        <w:rPr>
          <w:rFonts w:cs="Arial" w:hint="cs"/>
          <w:rtl/>
        </w:rPr>
        <w:t>ה</w:t>
      </w:r>
      <w:r w:rsidRPr="00913A11">
        <w:rPr>
          <w:rFonts w:cs="Arial"/>
          <w:rtl/>
        </w:rPr>
        <w:t>חשש הוא שמא התפיס צררי</w:t>
      </w:r>
      <w:r>
        <w:rPr>
          <w:rFonts w:cs="Arial" w:hint="cs"/>
          <w:rtl/>
        </w:rPr>
        <w:t>,</w:t>
      </w:r>
      <w:r w:rsidRPr="00913A11">
        <w:rPr>
          <w:rFonts w:cs="Arial"/>
          <w:rtl/>
        </w:rPr>
        <w:t xml:space="preserve"> אלא ב</w:t>
      </w:r>
      <w:r>
        <w:rPr>
          <w:rFonts w:cs="Arial" w:hint="cs"/>
          <w:rtl/>
        </w:rPr>
        <w:t>ו</w:t>
      </w:r>
      <w:r w:rsidRPr="00913A11">
        <w:rPr>
          <w:rFonts w:cs="Arial"/>
          <w:rtl/>
        </w:rPr>
        <w:t>ודאי התפיס צררי ול</w:t>
      </w:r>
      <w:r>
        <w:rPr>
          <w:rFonts w:cs="Arial" w:hint="cs"/>
          <w:rtl/>
        </w:rPr>
        <w:t>א מהני</w:t>
      </w:r>
      <w:r w:rsidRPr="00913A11">
        <w:rPr>
          <w:rFonts w:cs="Arial"/>
          <w:rtl/>
        </w:rPr>
        <w:t xml:space="preserve"> שבועה</w:t>
      </w:r>
      <w:r>
        <w:rPr>
          <w:rFonts w:hint="cs"/>
          <w:rtl/>
        </w:rPr>
        <w:t>, ב"ש (סקי"ז).</w:t>
      </w:r>
    </w:p>
  </w:footnote>
  <w:footnote w:id="2590">
    <w:p w14:paraId="45745378" w14:textId="496CAB19" w:rsidR="00392DBB" w:rsidRDefault="00392DBB" w:rsidP="00392DBB">
      <w:pPr>
        <w:pStyle w:val="a5"/>
        <w:rPr>
          <w:rtl/>
        </w:rPr>
      </w:pPr>
      <w:r>
        <w:rPr>
          <w:rStyle w:val="a7"/>
        </w:rPr>
        <w:footnoteRef/>
      </w:r>
      <w:r>
        <w:rPr>
          <w:rtl/>
        </w:rPr>
        <w:t xml:space="preserve"> </w:t>
      </w:r>
      <w:r>
        <w:rPr>
          <w:rFonts w:cs="Arial" w:hint="cs"/>
          <w:rtl/>
        </w:rPr>
        <w:t>הב"ש (סקי"ז) כתב דבאמת משמע מתירוץ הראשון של התוס' דגובות בשבועה אם האב הודה שלא התפיס וגם היו בשעת קנין. אך כתב</w:t>
      </w:r>
      <w:r w:rsidR="003D277E">
        <w:rPr>
          <w:rFonts w:cs="Arial" w:hint="cs"/>
          <w:rtl/>
        </w:rPr>
        <w:t>:</w:t>
      </w:r>
      <w:r w:rsidRPr="00913A11">
        <w:rPr>
          <w:rFonts w:cs="Arial"/>
          <w:rtl/>
        </w:rPr>
        <w:t xml:space="preserve"> מיהו לתירוץ בתרא שם ל</w:t>
      </w:r>
      <w:r>
        <w:rPr>
          <w:rFonts w:cs="Arial" w:hint="cs"/>
          <w:rtl/>
        </w:rPr>
        <w:t xml:space="preserve">א </w:t>
      </w:r>
      <w:r w:rsidRPr="00913A11">
        <w:rPr>
          <w:rFonts w:cs="Arial"/>
          <w:rtl/>
        </w:rPr>
        <w:t>מ</w:t>
      </w:r>
      <w:r>
        <w:rPr>
          <w:rFonts w:cs="Arial" w:hint="cs"/>
          <w:rtl/>
        </w:rPr>
        <w:t>הני</w:t>
      </w:r>
      <w:r w:rsidRPr="00913A11">
        <w:rPr>
          <w:rFonts w:cs="Arial"/>
          <w:rtl/>
        </w:rPr>
        <w:t xml:space="preserve"> הודה </w:t>
      </w:r>
      <w:r>
        <w:rPr>
          <w:rFonts w:cs="Arial" w:hint="cs"/>
          <w:rtl/>
        </w:rPr>
        <w:t>ד</w:t>
      </w:r>
      <w:r w:rsidRPr="00913A11">
        <w:rPr>
          <w:rFonts w:cs="Arial"/>
          <w:rtl/>
        </w:rPr>
        <w:t xml:space="preserve">תרצו </w:t>
      </w:r>
      <w:r>
        <w:rPr>
          <w:rFonts w:cs="Arial" w:hint="cs"/>
          <w:rtl/>
        </w:rPr>
        <w:t>ד</w:t>
      </w:r>
      <w:r w:rsidRPr="00913A11">
        <w:rPr>
          <w:rFonts w:cs="Arial"/>
          <w:rtl/>
        </w:rPr>
        <w:t>אם לא קנו קנין אז לא חיישי</w:t>
      </w:r>
      <w:r>
        <w:rPr>
          <w:rFonts w:cs="Arial" w:hint="cs"/>
          <w:rtl/>
        </w:rPr>
        <w:t>נן</w:t>
      </w:r>
      <w:r w:rsidRPr="00913A11">
        <w:rPr>
          <w:rFonts w:cs="Arial"/>
          <w:rtl/>
        </w:rPr>
        <w:t xml:space="preserve"> לצררי</w:t>
      </w:r>
      <w:r>
        <w:rPr>
          <w:rFonts w:cs="Arial" w:hint="cs"/>
          <w:rtl/>
        </w:rPr>
        <w:t>,</w:t>
      </w:r>
      <w:r w:rsidRPr="00913A11">
        <w:rPr>
          <w:rFonts w:cs="Arial"/>
          <w:rtl/>
        </w:rPr>
        <w:t xml:space="preserve"> ואין טורפין מפני שאין כתובים</w:t>
      </w:r>
      <w:r>
        <w:rPr>
          <w:rFonts w:cs="Arial" w:hint="cs"/>
          <w:rtl/>
        </w:rPr>
        <w:t>.</w:t>
      </w:r>
      <w:r w:rsidRPr="00913A11">
        <w:rPr>
          <w:rFonts w:cs="Arial"/>
          <w:rtl/>
        </w:rPr>
        <w:t xml:space="preserve"> ואם קנו קנין אז חיישי</w:t>
      </w:r>
      <w:r>
        <w:rPr>
          <w:rFonts w:cs="Arial" w:hint="cs"/>
          <w:rtl/>
        </w:rPr>
        <w:t>נן</w:t>
      </w:r>
      <w:r w:rsidRPr="00913A11">
        <w:rPr>
          <w:rFonts w:cs="Arial"/>
          <w:rtl/>
        </w:rPr>
        <w:t xml:space="preserve"> לצררי מדיפה כחה ועשה ק</w:t>
      </w:r>
      <w:r>
        <w:rPr>
          <w:rFonts w:cs="Arial" w:hint="cs"/>
          <w:rtl/>
        </w:rPr>
        <w:t xml:space="preserve">נין </w:t>
      </w:r>
      <w:r w:rsidRPr="00913A11">
        <w:rPr>
          <w:rFonts w:cs="Arial"/>
          <w:rtl/>
        </w:rPr>
        <w:t>ס</w:t>
      </w:r>
      <w:r>
        <w:rPr>
          <w:rFonts w:cs="Arial" w:hint="cs"/>
          <w:rtl/>
        </w:rPr>
        <w:t>ודר.</w:t>
      </w:r>
      <w:r w:rsidRPr="00913A11">
        <w:rPr>
          <w:rFonts w:cs="Arial"/>
          <w:rtl/>
        </w:rPr>
        <w:t xml:space="preserve"> לפ"ז תו א</w:t>
      </w:r>
      <w:r>
        <w:rPr>
          <w:rFonts w:cs="Arial" w:hint="cs"/>
          <w:rtl/>
        </w:rPr>
        <w:t xml:space="preserve">ין </w:t>
      </w:r>
      <w:r w:rsidRPr="00913A11">
        <w:rPr>
          <w:rFonts w:cs="Arial"/>
          <w:rtl/>
        </w:rPr>
        <w:t>צ</w:t>
      </w:r>
      <w:r>
        <w:rPr>
          <w:rFonts w:cs="Arial" w:hint="cs"/>
          <w:rtl/>
        </w:rPr>
        <w:t>ריך</w:t>
      </w:r>
      <w:r w:rsidRPr="00913A11">
        <w:rPr>
          <w:rFonts w:cs="Arial"/>
          <w:rtl/>
        </w:rPr>
        <w:t xml:space="preserve"> לומר דהודאה של אביהן מהני</w:t>
      </w:r>
      <w:r>
        <w:rPr>
          <w:rFonts w:cs="Arial" w:hint="cs"/>
          <w:rtl/>
        </w:rPr>
        <w:t>,</w:t>
      </w:r>
      <w:r w:rsidRPr="00913A11">
        <w:rPr>
          <w:rFonts w:cs="Arial"/>
          <w:rtl/>
        </w:rPr>
        <w:t xml:space="preserve"> דהא סברא זו ילפי</w:t>
      </w:r>
      <w:r>
        <w:rPr>
          <w:rFonts w:cs="Arial" w:hint="cs"/>
          <w:rtl/>
        </w:rPr>
        <w:t>נן</w:t>
      </w:r>
      <w:r w:rsidRPr="00913A11">
        <w:rPr>
          <w:rFonts w:cs="Arial"/>
          <w:rtl/>
        </w:rPr>
        <w:t xml:space="preserve"> מחמת הקושי</w:t>
      </w:r>
      <w:r>
        <w:rPr>
          <w:rFonts w:cs="Arial" w:hint="cs"/>
          <w:rtl/>
        </w:rPr>
        <w:t>ה</w:t>
      </w:r>
      <w:r w:rsidRPr="00913A11">
        <w:rPr>
          <w:rFonts w:cs="Arial"/>
          <w:rtl/>
        </w:rPr>
        <w:t xml:space="preserve"> ל</w:t>
      </w:r>
      <w:r>
        <w:rPr>
          <w:rFonts w:cs="Arial" w:hint="cs"/>
          <w:rtl/>
        </w:rPr>
        <w:t>מה לי</w:t>
      </w:r>
      <w:r w:rsidRPr="00913A11">
        <w:rPr>
          <w:rFonts w:cs="Arial"/>
          <w:rtl/>
        </w:rPr>
        <w:t xml:space="preserve"> הטעם מפני שאין כתובי</w:t>
      </w:r>
      <w:r>
        <w:rPr>
          <w:rFonts w:cs="Arial" w:hint="cs"/>
          <w:rtl/>
        </w:rPr>
        <w:t>ם.</w:t>
      </w:r>
      <w:r w:rsidRPr="00913A11">
        <w:rPr>
          <w:rFonts w:cs="Arial"/>
          <w:rtl/>
        </w:rPr>
        <w:t xml:space="preserve"> והשתא יש לתרץ קושי</w:t>
      </w:r>
      <w:r>
        <w:rPr>
          <w:rFonts w:cs="Arial" w:hint="cs"/>
          <w:rtl/>
        </w:rPr>
        <w:t>ה</w:t>
      </w:r>
      <w:r w:rsidRPr="00913A11">
        <w:rPr>
          <w:rFonts w:cs="Arial"/>
          <w:rtl/>
        </w:rPr>
        <w:t xml:space="preserve"> זו דנצרך תרי טעמים הללו</w:t>
      </w:r>
      <w:r>
        <w:rPr>
          <w:rFonts w:cs="Arial" w:hint="cs"/>
          <w:rtl/>
        </w:rPr>
        <w:t>.</w:t>
      </w:r>
      <w:r w:rsidRPr="00913A11">
        <w:rPr>
          <w:rFonts w:cs="Arial"/>
          <w:rtl/>
        </w:rPr>
        <w:t xml:space="preserve"> דהיינו</w:t>
      </w:r>
      <w:r>
        <w:rPr>
          <w:rFonts w:cs="Arial" w:hint="cs"/>
          <w:rtl/>
        </w:rPr>
        <w:t>,</w:t>
      </w:r>
      <w:r w:rsidRPr="00913A11">
        <w:rPr>
          <w:rFonts w:cs="Arial"/>
          <w:rtl/>
        </w:rPr>
        <w:t xml:space="preserve"> אם לא עשה קנין אז ליכא חשש משום צררי </w:t>
      </w:r>
      <w:r>
        <w:rPr>
          <w:rFonts w:cs="Arial" w:hint="cs"/>
          <w:rtl/>
        </w:rPr>
        <w:t xml:space="preserve">- </w:t>
      </w:r>
      <w:r w:rsidRPr="00913A11">
        <w:rPr>
          <w:rFonts w:cs="Arial"/>
          <w:rtl/>
        </w:rPr>
        <w:t>בעינן הטעם מפני שאין כתובים</w:t>
      </w:r>
      <w:r>
        <w:rPr>
          <w:rFonts w:cs="Arial" w:hint="cs"/>
          <w:rtl/>
        </w:rPr>
        <w:t>.</w:t>
      </w:r>
      <w:r w:rsidRPr="00913A11">
        <w:rPr>
          <w:rFonts w:cs="Arial"/>
          <w:rtl/>
        </w:rPr>
        <w:t xml:space="preserve"> ואם עשה ק</w:t>
      </w:r>
      <w:r>
        <w:rPr>
          <w:rFonts w:cs="Arial" w:hint="cs"/>
          <w:rtl/>
        </w:rPr>
        <w:t xml:space="preserve">נין </w:t>
      </w:r>
      <w:r w:rsidRPr="00913A11">
        <w:rPr>
          <w:rFonts w:cs="Arial"/>
          <w:rtl/>
        </w:rPr>
        <w:t>ס</w:t>
      </w:r>
      <w:r>
        <w:rPr>
          <w:rFonts w:cs="Arial" w:hint="cs"/>
          <w:rtl/>
        </w:rPr>
        <w:t>ודר</w:t>
      </w:r>
      <w:r w:rsidRPr="00913A11">
        <w:rPr>
          <w:rFonts w:cs="Arial"/>
          <w:rtl/>
        </w:rPr>
        <w:t xml:space="preserve"> דעדיף מכת</w:t>
      </w:r>
      <w:r>
        <w:rPr>
          <w:rFonts w:cs="Arial" w:hint="cs"/>
          <w:rtl/>
        </w:rPr>
        <w:t>י</w:t>
      </w:r>
      <w:r w:rsidRPr="00913A11">
        <w:rPr>
          <w:rFonts w:cs="Arial"/>
          <w:rtl/>
        </w:rPr>
        <w:t xml:space="preserve">בה </w:t>
      </w:r>
      <w:r>
        <w:rPr>
          <w:rFonts w:cs="Arial" w:hint="cs"/>
          <w:rtl/>
        </w:rPr>
        <w:t xml:space="preserve">- </w:t>
      </w:r>
      <w:r w:rsidRPr="00913A11">
        <w:rPr>
          <w:rFonts w:cs="Arial"/>
          <w:rtl/>
        </w:rPr>
        <w:t>נצרך הטעם דחיישי</w:t>
      </w:r>
      <w:r>
        <w:rPr>
          <w:rFonts w:cs="Arial" w:hint="cs"/>
          <w:rtl/>
        </w:rPr>
        <w:t>נן</w:t>
      </w:r>
      <w:r w:rsidRPr="00913A11">
        <w:rPr>
          <w:rFonts w:cs="Arial"/>
          <w:rtl/>
        </w:rPr>
        <w:t xml:space="preserve"> לצררי כיון דיפה כחה ועשה ק</w:t>
      </w:r>
      <w:r>
        <w:rPr>
          <w:rFonts w:cs="Arial" w:hint="cs"/>
          <w:rtl/>
        </w:rPr>
        <w:t xml:space="preserve">נין </w:t>
      </w:r>
      <w:r w:rsidRPr="00913A11">
        <w:rPr>
          <w:rFonts w:cs="Arial"/>
          <w:rtl/>
        </w:rPr>
        <w:t>ס</w:t>
      </w:r>
      <w:r>
        <w:rPr>
          <w:rFonts w:cs="Arial" w:hint="cs"/>
          <w:rtl/>
        </w:rPr>
        <w:t>ודר.</w:t>
      </w:r>
      <w:r w:rsidRPr="00913A11">
        <w:rPr>
          <w:rFonts w:cs="Arial"/>
          <w:rtl/>
        </w:rPr>
        <w:t xml:space="preserve"> ובפ' הנזקין </w:t>
      </w:r>
      <w:r>
        <w:rPr>
          <w:rFonts w:cs="Arial" w:hint="cs"/>
          <w:rtl/>
        </w:rPr>
        <w:t xml:space="preserve">(נ: ד"ה כתובין) </w:t>
      </w:r>
      <w:r w:rsidRPr="00913A11">
        <w:rPr>
          <w:rFonts w:cs="Arial"/>
          <w:rtl/>
        </w:rPr>
        <w:t>כתבו תירוץ זה</w:t>
      </w:r>
      <w:r>
        <w:rPr>
          <w:rFonts w:cs="Arial" w:hint="cs"/>
          <w:rtl/>
        </w:rPr>
        <w:t>.</w:t>
      </w:r>
      <w:r w:rsidRPr="00913A11">
        <w:rPr>
          <w:rFonts w:cs="Arial"/>
          <w:rtl/>
        </w:rPr>
        <w:t xml:space="preserve"> וכ"כ באגודה</w:t>
      </w:r>
      <w:r>
        <w:rPr>
          <w:rFonts w:cs="Arial" w:hint="cs"/>
          <w:rtl/>
        </w:rPr>
        <w:t>.</w:t>
      </w:r>
      <w:r w:rsidRPr="00913A11">
        <w:rPr>
          <w:rFonts w:cs="Arial"/>
          <w:rtl/>
        </w:rPr>
        <w:t xml:space="preserve"> גם נ</w:t>
      </w:r>
      <w:r>
        <w:rPr>
          <w:rFonts w:cs="Arial" w:hint="cs"/>
          <w:rtl/>
        </w:rPr>
        <w:t>פקא מינה</w:t>
      </w:r>
      <w:r w:rsidRPr="00913A11">
        <w:rPr>
          <w:rFonts w:cs="Arial"/>
          <w:rtl/>
        </w:rPr>
        <w:t xml:space="preserve"> מתירוץ זה </w:t>
      </w:r>
      <w:r>
        <w:rPr>
          <w:rFonts w:cs="Arial" w:hint="cs"/>
          <w:rtl/>
        </w:rPr>
        <w:t>ד</w:t>
      </w:r>
      <w:r w:rsidRPr="00913A11">
        <w:rPr>
          <w:rFonts w:cs="Arial"/>
          <w:rtl/>
        </w:rPr>
        <w:t>אפי</w:t>
      </w:r>
      <w:r>
        <w:rPr>
          <w:rFonts w:cs="Arial" w:hint="cs"/>
          <w:rtl/>
        </w:rPr>
        <w:t>לו</w:t>
      </w:r>
      <w:r w:rsidRPr="00913A11">
        <w:rPr>
          <w:rFonts w:cs="Arial"/>
          <w:rtl/>
        </w:rPr>
        <w:t xml:space="preserve"> מי דלא ניחא ליה הרווחה דידיה מ"מ אם יש לו מזונות מתנאי ב"ד ועשה ק</w:t>
      </w:r>
      <w:r>
        <w:rPr>
          <w:rFonts w:cs="Arial" w:hint="cs"/>
          <w:rtl/>
        </w:rPr>
        <w:t>נין סודר</w:t>
      </w:r>
      <w:r w:rsidRPr="00913A11">
        <w:rPr>
          <w:rFonts w:cs="Arial"/>
          <w:rtl/>
        </w:rPr>
        <w:t xml:space="preserve"> </w:t>
      </w:r>
      <w:r>
        <w:rPr>
          <w:rFonts w:cs="Arial" w:hint="cs"/>
          <w:rtl/>
        </w:rPr>
        <w:t xml:space="preserve">- </w:t>
      </w:r>
      <w:r w:rsidRPr="00913A11">
        <w:rPr>
          <w:rFonts w:cs="Arial"/>
          <w:rtl/>
        </w:rPr>
        <w:t>חיישי</w:t>
      </w:r>
      <w:r>
        <w:rPr>
          <w:rFonts w:cs="Arial" w:hint="cs"/>
          <w:rtl/>
        </w:rPr>
        <w:t>נן</w:t>
      </w:r>
      <w:r w:rsidRPr="00913A11">
        <w:rPr>
          <w:rFonts w:cs="Arial"/>
          <w:rtl/>
        </w:rPr>
        <w:t xml:space="preserve"> לצררי מדיפה כחו</w:t>
      </w:r>
      <w:r>
        <w:rPr>
          <w:rFonts w:cs="Arial" w:hint="cs"/>
          <w:rtl/>
        </w:rPr>
        <w:t>.</w:t>
      </w:r>
      <w:r w:rsidRPr="00913A11">
        <w:rPr>
          <w:rFonts w:cs="Arial"/>
          <w:rtl/>
        </w:rPr>
        <w:t xml:space="preserve"> לפ</w:t>
      </w:r>
      <w:r>
        <w:rPr>
          <w:rFonts w:cs="Arial" w:hint="cs"/>
          <w:rtl/>
        </w:rPr>
        <w:t xml:space="preserve">י </w:t>
      </w:r>
      <w:r w:rsidRPr="00913A11">
        <w:rPr>
          <w:rFonts w:cs="Arial"/>
          <w:rtl/>
        </w:rPr>
        <w:t>ז</w:t>
      </w:r>
      <w:r>
        <w:rPr>
          <w:rFonts w:cs="Arial" w:hint="cs"/>
          <w:rtl/>
        </w:rPr>
        <w:t>ה</w:t>
      </w:r>
      <w:r w:rsidRPr="00913A11">
        <w:rPr>
          <w:rFonts w:cs="Arial"/>
          <w:rtl/>
        </w:rPr>
        <w:t xml:space="preserve"> אם עשה ק</w:t>
      </w:r>
      <w:r>
        <w:rPr>
          <w:rFonts w:cs="Arial" w:hint="cs"/>
          <w:rtl/>
        </w:rPr>
        <w:t xml:space="preserve">נין </w:t>
      </w:r>
      <w:r w:rsidRPr="00913A11">
        <w:rPr>
          <w:rFonts w:cs="Arial"/>
          <w:rtl/>
        </w:rPr>
        <w:t>ס</w:t>
      </w:r>
      <w:r>
        <w:rPr>
          <w:rFonts w:cs="Arial" w:hint="cs"/>
          <w:rtl/>
        </w:rPr>
        <w:t>ודר</w:t>
      </w:r>
      <w:r w:rsidRPr="00913A11">
        <w:rPr>
          <w:rFonts w:cs="Arial"/>
          <w:rtl/>
        </w:rPr>
        <w:t xml:space="preserve"> לזון את אשתו חיישי</w:t>
      </w:r>
      <w:r>
        <w:rPr>
          <w:rFonts w:cs="Arial" w:hint="cs"/>
          <w:rtl/>
        </w:rPr>
        <w:t>נן</w:t>
      </w:r>
      <w:r w:rsidRPr="00913A11">
        <w:rPr>
          <w:rFonts w:cs="Arial"/>
          <w:rtl/>
        </w:rPr>
        <w:t xml:space="preserve"> לצררי</w:t>
      </w:r>
      <w:r>
        <w:rPr>
          <w:rFonts w:cs="Arial" w:hint="cs"/>
          <w:rtl/>
        </w:rPr>
        <w:t>.</w:t>
      </w:r>
      <w:r w:rsidRPr="00913A11">
        <w:rPr>
          <w:rFonts w:cs="Arial"/>
          <w:rtl/>
        </w:rPr>
        <w:t xml:space="preserve"> והרשב"א </w:t>
      </w:r>
      <w:r>
        <w:rPr>
          <w:rFonts w:cs="Arial" w:hint="cs"/>
          <w:rtl/>
        </w:rPr>
        <w:t xml:space="preserve">(גיטין נא. ד"ה וקי"ל, ובשו"ת מכ"י סי' שעא, הובא בב"י בסי' צג) </w:t>
      </w:r>
      <w:r w:rsidRPr="00913A11">
        <w:rPr>
          <w:rFonts w:cs="Arial"/>
          <w:rtl/>
        </w:rPr>
        <w:t>והמגיד דכתבו אם עשה ק</w:t>
      </w:r>
      <w:r>
        <w:rPr>
          <w:rFonts w:cs="Arial" w:hint="cs"/>
          <w:rtl/>
        </w:rPr>
        <w:t xml:space="preserve">נין </w:t>
      </w:r>
      <w:r w:rsidRPr="00913A11">
        <w:rPr>
          <w:rFonts w:cs="Arial"/>
          <w:rtl/>
        </w:rPr>
        <w:t>ס</w:t>
      </w:r>
      <w:r>
        <w:rPr>
          <w:rFonts w:cs="Arial" w:hint="cs"/>
          <w:rtl/>
        </w:rPr>
        <w:t>ודר</w:t>
      </w:r>
      <w:r w:rsidRPr="00913A11">
        <w:rPr>
          <w:rFonts w:cs="Arial"/>
          <w:rtl/>
        </w:rPr>
        <w:t xml:space="preserve"> לזון את אשתו טורפי</w:t>
      </w:r>
      <w:r>
        <w:rPr>
          <w:rFonts w:cs="Arial" w:hint="cs"/>
          <w:rtl/>
        </w:rPr>
        <w:t>ם</w:t>
      </w:r>
      <w:r w:rsidRPr="00913A11">
        <w:rPr>
          <w:rFonts w:cs="Arial"/>
          <w:rtl/>
        </w:rPr>
        <w:t xml:space="preserve"> מן משועבדים ע</w:t>
      </w:r>
      <w:r>
        <w:rPr>
          <w:rFonts w:cs="Arial" w:hint="cs"/>
          <w:rtl/>
        </w:rPr>
        <w:t xml:space="preserve">ל </w:t>
      </w:r>
      <w:r w:rsidRPr="00913A11">
        <w:rPr>
          <w:rFonts w:cs="Arial"/>
          <w:rtl/>
        </w:rPr>
        <w:t>כ</w:t>
      </w:r>
      <w:r>
        <w:rPr>
          <w:rFonts w:cs="Arial" w:hint="cs"/>
          <w:rtl/>
        </w:rPr>
        <w:t>רחך</w:t>
      </w:r>
      <w:r w:rsidRPr="00913A11">
        <w:rPr>
          <w:rFonts w:cs="Arial"/>
          <w:rtl/>
        </w:rPr>
        <w:t xml:space="preserve"> ס</w:t>
      </w:r>
      <w:r>
        <w:rPr>
          <w:rFonts w:cs="Arial" w:hint="cs"/>
          <w:rtl/>
        </w:rPr>
        <w:t xml:space="preserve">בירא </w:t>
      </w:r>
      <w:r w:rsidRPr="00913A11">
        <w:rPr>
          <w:rFonts w:cs="Arial"/>
          <w:rtl/>
        </w:rPr>
        <w:t>ל</w:t>
      </w:r>
      <w:r>
        <w:rPr>
          <w:rFonts w:cs="Arial" w:hint="cs"/>
          <w:rtl/>
        </w:rPr>
        <w:t>יה</w:t>
      </w:r>
      <w:r w:rsidRPr="00913A11">
        <w:rPr>
          <w:rFonts w:cs="Arial"/>
          <w:rtl/>
        </w:rPr>
        <w:t xml:space="preserve"> כתירוץ קמא של תוס' דלא חיישי' לצררי אלא היכא דניחא ליה בהרווחה ואית לה מתקנת חז"ל</w:t>
      </w:r>
      <w:r>
        <w:rPr>
          <w:rFonts w:cs="Arial" w:hint="cs"/>
          <w:rtl/>
        </w:rPr>
        <w:t>.</w:t>
      </w:r>
    </w:p>
  </w:footnote>
  <w:footnote w:id="2591">
    <w:p w14:paraId="1AB3008E" w14:textId="7C9D40D4" w:rsidR="00392DBB" w:rsidRDefault="00392DBB" w:rsidP="00392DBB">
      <w:pPr>
        <w:pStyle w:val="a5"/>
      </w:pPr>
      <w:r>
        <w:rPr>
          <w:rStyle w:val="a7"/>
        </w:rPr>
        <w:footnoteRef/>
      </w:r>
      <w:r>
        <w:rPr>
          <w:rtl/>
        </w:rPr>
        <w:t xml:space="preserve"> </w:t>
      </w:r>
      <w:r w:rsidRPr="00336465">
        <w:rPr>
          <w:rFonts w:cs="Arial"/>
          <w:rtl/>
        </w:rPr>
        <w:t>כלומר</w:t>
      </w:r>
      <w:r>
        <w:rPr>
          <w:rFonts w:cs="Arial" w:hint="cs"/>
          <w:rtl/>
        </w:rPr>
        <w:t>,</w:t>
      </w:r>
      <w:r w:rsidRPr="00336465">
        <w:rPr>
          <w:rFonts w:cs="Arial"/>
          <w:rtl/>
        </w:rPr>
        <w:t xml:space="preserve"> אם קנו ממנו אחר שנולדו הבנות</w:t>
      </w:r>
      <w:r>
        <w:rPr>
          <w:rFonts w:cs="Arial" w:hint="cs"/>
          <w:rtl/>
        </w:rPr>
        <w:t>,</w:t>
      </w:r>
      <w:r w:rsidRPr="00336465">
        <w:rPr>
          <w:rFonts w:cs="Arial"/>
          <w:rtl/>
        </w:rPr>
        <w:t xml:space="preserve"> או שחייב עצמו בשטר באופן המועיל שלא מתנאי כתובה</w:t>
      </w:r>
      <w:r>
        <w:rPr>
          <w:rFonts w:cs="Arial" w:hint="cs"/>
          <w:rtl/>
        </w:rPr>
        <w:t>,</w:t>
      </w:r>
      <w:r w:rsidRPr="00336465">
        <w:rPr>
          <w:rFonts w:cs="Arial"/>
          <w:rtl/>
        </w:rPr>
        <w:t xml:space="preserve"> רק חייב עצמו </w:t>
      </w:r>
      <w:r>
        <w:rPr>
          <w:rFonts w:cs="Arial" w:hint="cs"/>
          <w:rtl/>
        </w:rPr>
        <w:t>ל</w:t>
      </w:r>
      <w:r w:rsidRPr="00336465">
        <w:rPr>
          <w:rFonts w:cs="Arial"/>
          <w:rtl/>
        </w:rPr>
        <w:t>זון בנותיו מחיים קודם מותו</w:t>
      </w:r>
      <w:r>
        <w:rPr>
          <w:rFonts w:cs="Arial" w:hint="cs"/>
          <w:rtl/>
        </w:rPr>
        <w:t>,</w:t>
      </w:r>
      <w:r w:rsidRPr="00336465">
        <w:rPr>
          <w:rFonts w:cs="Arial"/>
          <w:rtl/>
        </w:rPr>
        <w:t xml:space="preserve"> או לאחר מותו אחר שנתארסו</w:t>
      </w:r>
      <w:r>
        <w:rPr>
          <w:rFonts w:cs="Arial" w:hint="cs"/>
          <w:rtl/>
        </w:rPr>
        <w:t>,</w:t>
      </w:r>
      <w:r w:rsidRPr="00336465">
        <w:rPr>
          <w:rFonts w:cs="Arial"/>
          <w:rtl/>
        </w:rPr>
        <w:t xml:space="preserve"> או יבגרו</w:t>
      </w:r>
      <w:r>
        <w:rPr>
          <w:rFonts w:cs="Arial" w:hint="cs"/>
          <w:rtl/>
        </w:rPr>
        <w:t>.</w:t>
      </w:r>
      <w:r w:rsidRPr="00336465">
        <w:rPr>
          <w:rFonts w:cs="Arial"/>
          <w:rtl/>
        </w:rPr>
        <w:t xml:space="preserve"> דכל חיוב שאינו מתנאי כתובה דמי למחייב לזון בת אשתו</w:t>
      </w:r>
      <w:r>
        <w:rPr>
          <w:rFonts w:cs="Arial" w:hint="cs"/>
          <w:rtl/>
        </w:rPr>
        <w:t>,</w:t>
      </w:r>
      <w:r w:rsidRPr="00336465">
        <w:rPr>
          <w:rFonts w:cs="Arial"/>
          <w:rtl/>
        </w:rPr>
        <w:t xml:space="preserve"> והוי כב</w:t>
      </w:r>
      <w:r>
        <w:rPr>
          <w:rFonts w:cs="Arial" w:hint="cs"/>
          <w:rtl/>
        </w:rPr>
        <w:t>ע"</w:t>
      </w:r>
      <w:r w:rsidRPr="00336465">
        <w:rPr>
          <w:rFonts w:cs="Arial"/>
          <w:rtl/>
        </w:rPr>
        <w:t>ח</w:t>
      </w:r>
      <w:r>
        <w:rPr>
          <w:rFonts w:cs="Arial" w:hint="cs"/>
          <w:rtl/>
        </w:rPr>
        <w:t>,</w:t>
      </w:r>
      <w:r w:rsidRPr="00336465">
        <w:rPr>
          <w:rFonts w:cs="Arial"/>
          <w:rtl/>
        </w:rPr>
        <w:t xml:space="preserve"> וטרפי ממשעבדי</w:t>
      </w:r>
      <w:r>
        <w:rPr>
          <w:rFonts w:cs="Arial" w:hint="cs"/>
          <w:rtl/>
        </w:rPr>
        <w:t>.</w:t>
      </w:r>
      <w:r w:rsidRPr="00336465">
        <w:rPr>
          <w:rFonts w:cs="Arial"/>
          <w:rtl/>
        </w:rPr>
        <w:t xml:space="preserve"> וכן הוא בתוס' </w:t>
      </w:r>
      <w:r w:rsidR="00245AAC">
        <w:rPr>
          <w:rFonts w:cs="Arial" w:hint="cs"/>
          <w:rtl/>
        </w:rPr>
        <w:t>(</w:t>
      </w:r>
      <w:r w:rsidR="009F4221">
        <w:rPr>
          <w:rFonts w:cs="Arial" w:hint="cs"/>
          <w:rtl/>
        </w:rPr>
        <w:t xml:space="preserve">קב: ד"ה אימר) </w:t>
      </w:r>
      <w:r w:rsidRPr="00336465">
        <w:rPr>
          <w:rFonts w:cs="Arial"/>
          <w:rtl/>
        </w:rPr>
        <w:t>כמ"ש לעיל בסקי"ט דלא אמרינן צררי אתפסה אלא בדאיכ</w:t>
      </w:r>
      <w:r>
        <w:rPr>
          <w:rFonts w:cs="Arial" w:hint="cs"/>
          <w:rtl/>
        </w:rPr>
        <w:t>א</w:t>
      </w:r>
      <w:r w:rsidRPr="00336465">
        <w:rPr>
          <w:rFonts w:cs="Arial"/>
          <w:rtl/>
        </w:rPr>
        <w:t xml:space="preserve"> תרתי לטיבותא דאכלה בתנאי ב"ד וגם בתו דניחא ליה בהרוחה</w:t>
      </w:r>
      <w:r>
        <w:rPr>
          <w:rFonts w:cs="Arial" w:hint="cs"/>
          <w:rtl/>
        </w:rPr>
        <w:t>.</w:t>
      </w:r>
      <w:r w:rsidRPr="00336465">
        <w:rPr>
          <w:rFonts w:cs="Arial"/>
          <w:rtl/>
        </w:rPr>
        <w:t xml:space="preserve"> אבל בת אשתו ואשתו דלא ניחא ליה בהרוחה דידהו</w:t>
      </w:r>
      <w:r>
        <w:rPr>
          <w:rFonts w:cs="Arial" w:hint="cs"/>
          <w:rtl/>
        </w:rPr>
        <w:t>,</w:t>
      </w:r>
      <w:r w:rsidRPr="00336465">
        <w:rPr>
          <w:rFonts w:cs="Arial"/>
          <w:rtl/>
        </w:rPr>
        <w:t xml:space="preserve"> או בתו דקנו ממנו דבר שאינו בתנאי ב"ד </w:t>
      </w:r>
      <w:r>
        <w:rPr>
          <w:rFonts w:cs="Arial" w:hint="cs"/>
          <w:rtl/>
        </w:rPr>
        <w:t xml:space="preserve">- </w:t>
      </w:r>
      <w:r w:rsidRPr="00336465">
        <w:rPr>
          <w:rFonts w:cs="Arial"/>
          <w:rtl/>
        </w:rPr>
        <w:t>לא חיישינן לצררי וגובה ממשעבדי בשבועה כשאר ב</w:t>
      </w:r>
      <w:r>
        <w:rPr>
          <w:rFonts w:cs="Arial" w:hint="cs"/>
          <w:rtl/>
        </w:rPr>
        <w:t>ע</w:t>
      </w:r>
      <w:r w:rsidRPr="00336465">
        <w:rPr>
          <w:rFonts w:cs="Arial"/>
          <w:rtl/>
        </w:rPr>
        <w:t>"ח</w:t>
      </w:r>
      <w:r>
        <w:rPr>
          <w:rFonts w:cs="Arial" w:hint="cs"/>
          <w:rtl/>
        </w:rPr>
        <w:t>.</w:t>
      </w:r>
      <w:r w:rsidRPr="00336465">
        <w:rPr>
          <w:rFonts w:cs="Arial"/>
          <w:rtl/>
        </w:rPr>
        <w:t xml:space="preserve"> והא דנקט כאן אף אחר שיבגרו</w:t>
      </w:r>
      <w:r>
        <w:rPr>
          <w:rFonts w:cs="Arial" w:hint="cs"/>
          <w:rtl/>
        </w:rPr>
        <w:t xml:space="preserve">, </w:t>
      </w:r>
      <w:r w:rsidRPr="00336465">
        <w:rPr>
          <w:rFonts w:cs="Arial"/>
          <w:rtl/>
        </w:rPr>
        <w:t>לאו דוקא</w:t>
      </w:r>
      <w:r>
        <w:rPr>
          <w:rFonts w:cs="Arial" w:hint="cs"/>
          <w:rtl/>
        </w:rPr>
        <w:t>,</w:t>
      </w:r>
      <w:r w:rsidRPr="00336465">
        <w:rPr>
          <w:rFonts w:cs="Arial"/>
          <w:rtl/>
        </w:rPr>
        <w:t xml:space="preserve"> וחדא מינייהו נקט וה"ה כל דבר שאינו תנאי כתובה</w:t>
      </w:r>
      <w:r>
        <w:rPr>
          <w:rFonts w:cs="Arial" w:hint="cs"/>
          <w:rtl/>
        </w:rPr>
        <w:t>,</w:t>
      </w:r>
      <w:r w:rsidRPr="00336465">
        <w:rPr>
          <w:rFonts w:cs="Arial"/>
          <w:rtl/>
        </w:rPr>
        <w:t xml:space="preserve"> כגון אחר שיתארסו או לזון אותם בחייו אחר שש</w:t>
      </w:r>
      <w:r>
        <w:rPr>
          <w:rFonts w:cs="Arial" w:hint="cs"/>
          <w:rtl/>
        </w:rPr>
        <w:t>, ח"מ (סקכ"א).</w:t>
      </w:r>
    </w:p>
  </w:footnote>
  <w:footnote w:id="2592">
    <w:p w14:paraId="751C143D" w14:textId="77777777" w:rsidR="00284737" w:rsidRDefault="00284737" w:rsidP="00284737">
      <w:pPr>
        <w:pStyle w:val="a5"/>
      </w:pPr>
      <w:r>
        <w:rPr>
          <w:rStyle w:val="a7"/>
        </w:rPr>
        <w:footnoteRef/>
      </w:r>
      <w:r>
        <w:rPr>
          <w:rtl/>
        </w:rPr>
        <w:t xml:space="preserve"> </w:t>
      </w:r>
      <w:r>
        <w:rPr>
          <w:rFonts w:cs="Arial" w:hint="cs"/>
          <w:rtl/>
        </w:rPr>
        <w:t>סימן - (מה אתה) סח.</w:t>
      </w:r>
    </w:p>
  </w:footnote>
  <w:footnote w:id="2593">
    <w:p w14:paraId="4459F040" w14:textId="4D83D46A" w:rsidR="0065460B" w:rsidRDefault="0065460B" w:rsidP="0065460B">
      <w:pPr>
        <w:pStyle w:val="a5"/>
      </w:pPr>
      <w:r>
        <w:rPr>
          <w:rStyle w:val="a7"/>
        </w:rPr>
        <w:footnoteRef/>
      </w:r>
      <w:r>
        <w:rPr>
          <w:rtl/>
        </w:rPr>
        <w:t xml:space="preserve"> </w:t>
      </w:r>
      <w:r>
        <w:rPr>
          <w:rFonts w:hint="cs"/>
          <w:rtl/>
        </w:rPr>
        <w:t>סימן - ק</w:t>
      </w:r>
      <w:r>
        <w:rPr>
          <w:rFonts w:hint="cs"/>
          <w:rtl/>
        </w:rPr>
        <w:t>דוש</w:t>
      </w:r>
      <w:r>
        <w:rPr>
          <w:rFonts w:hint="cs"/>
          <w:rtl/>
        </w:rPr>
        <w:t xml:space="preserve">ה לוקחת טרף. </w:t>
      </w:r>
      <w:r>
        <w:rPr>
          <w:rFonts w:hint="cs"/>
          <w:rtl/>
        </w:rPr>
        <w:t xml:space="preserve">וכן - קודם לטהורה. </w:t>
      </w:r>
      <w:r>
        <w:rPr>
          <w:rFonts w:hint="cs"/>
          <w:rtl/>
        </w:rPr>
        <w:t>וכן - קצת טרף למי.</w:t>
      </w:r>
    </w:p>
  </w:footnote>
  <w:footnote w:id="2594">
    <w:p w14:paraId="602918E2" w14:textId="5CCA26D5" w:rsidR="00392DBB" w:rsidRDefault="00392DBB" w:rsidP="00392DBB">
      <w:pPr>
        <w:pStyle w:val="a5"/>
      </w:pPr>
      <w:r>
        <w:rPr>
          <w:rStyle w:val="a7"/>
        </w:rPr>
        <w:footnoteRef/>
      </w:r>
      <w:r>
        <w:rPr>
          <w:rtl/>
        </w:rPr>
        <w:t xml:space="preserve"> </w:t>
      </w:r>
      <w:r w:rsidRPr="000471FE">
        <w:rPr>
          <w:rFonts w:cs="Arial"/>
          <w:rtl/>
        </w:rPr>
        <w:t>מפני שמכוער הדבר שיהיו הבנות מחזרות על הפתחים, משום כל כבודה בת מלך פנימה</w:t>
      </w:r>
      <w:r w:rsidRPr="00580257">
        <w:rPr>
          <w:rFonts w:hint="cs"/>
          <w:rtl/>
        </w:rPr>
        <w:t xml:space="preserve">, ר' יצחק קרקושא. </w:t>
      </w:r>
      <w:r w:rsidR="00740748">
        <w:rPr>
          <w:rFonts w:hint="cs"/>
          <w:rtl/>
        </w:rPr>
        <w:t xml:space="preserve">    </w:t>
      </w:r>
      <w:r w:rsidRPr="00580257">
        <w:rPr>
          <w:rFonts w:hint="cs"/>
          <w:rtl/>
        </w:rPr>
        <w:t>וכתוב ב</w:t>
      </w:r>
      <w:r w:rsidRPr="00580257">
        <w:rPr>
          <w:rtl/>
        </w:rPr>
        <w:t xml:space="preserve">תנא דבי אליהו רבה </w:t>
      </w:r>
      <w:r w:rsidR="000531B5">
        <w:rPr>
          <w:rFonts w:hint="cs"/>
          <w:rtl/>
        </w:rPr>
        <w:t>(</w:t>
      </w:r>
      <w:r w:rsidRPr="00580257">
        <w:rPr>
          <w:rtl/>
        </w:rPr>
        <w:t>פרשה כא</w:t>
      </w:r>
      <w:r>
        <w:rPr>
          <w:rFonts w:hint="cs"/>
          <w:rtl/>
        </w:rPr>
        <w:t>)</w:t>
      </w:r>
      <w:r w:rsidR="006E2BF9">
        <w:rPr>
          <w:rFonts w:hint="cs"/>
          <w:rtl/>
        </w:rPr>
        <w:t>:</w:t>
      </w:r>
      <w:r w:rsidRPr="00580257">
        <w:rPr>
          <w:rtl/>
        </w:rPr>
        <w:t xml:space="preserve"> פעם אחת הייתי בבית המדרש בירושלים לפני חכמים והיינו עוסקים בעיסקי נשים, אמרתי להן, רבותיי, אילו היתה לי שפחה כנענית</w:t>
      </w:r>
      <w:r w:rsidRPr="00580257">
        <w:rPr>
          <w:rFonts w:hint="cs"/>
          <w:rtl/>
        </w:rPr>
        <w:t xml:space="preserve"> -</w:t>
      </w:r>
      <w:r w:rsidRPr="00580257">
        <w:rPr>
          <w:rtl/>
        </w:rPr>
        <w:t xml:space="preserve"> לא אמרתי לה </w:t>
      </w:r>
      <w:r w:rsidRPr="00580257">
        <w:rPr>
          <w:rFonts w:hint="cs"/>
          <w:rtl/>
        </w:rPr>
        <w:t>'</w:t>
      </w:r>
      <w:r w:rsidRPr="00580257">
        <w:rPr>
          <w:rtl/>
        </w:rPr>
        <w:t>הא ליכי דמים והביא לי ירק מן השוק</w:t>
      </w:r>
      <w:r w:rsidRPr="00580257">
        <w:rPr>
          <w:rFonts w:hint="cs"/>
          <w:rtl/>
        </w:rPr>
        <w:t>'!</w:t>
      </w:r>
      <w:r w:rsidRPr="00580257">
        <w:rPr>
          <w:rtl/>
        </w:rPr>
        <w:t xml:space="preserve"> אמרו לי, מפני מה</w:t>
      </w:r>
      <w:r w:rsidRPr="00580257">
        <w:rPr>
          <w:rFonts w:hint="cs"/>
          <w:rtl/>
        </w:rPr>
        <w:t>?</w:t>
      </w:r>
      <w:r w:rsidRPr="00580257">
        <w:rPr>
          <w:rtl/>
        </w:rPr>
        <w:t xml:space="preserve"> אמרתי להן</w:t>
      </w:r>
      <w:r w:rsidRPr="00580257">
        <w:rPr>
          <w:rFonts w:hint="cs"/>
          <w:rtl/>
        </w:rPr>
        <w:t>:</w:t>
      </w:r>
      <w:r w:rsidRPr="00580257">
        <w:rPr>
          <w:rtl/>
        </w:rPr>
        <w:t xml:space="preserve"> רבותיי, מפני שהאשה משלמת נפשה על סעודת שעה, ועוברת עבירה ואומרת, אין בכך כלום, שנאמר עורנו כתנור נכמרו, ואומר נשים בציון עינו (איכה ה י</w:t>
      </w:r>
      <w:r w:rsidR="00740748">
        <w:rPr>
          <w:rFonts w:hint="cs"/>
          <w:rtl/>
        </w:rPr>
        <w:t>-</w:t>
      </w:r>
      <w:r w:rsidRPr="00580257">
        <w:rPr>
          <w:rtl/>
        </w:rPr>
        <w:t>יא), וכי מה עינין זה לזה, אלא ללמדך, שכל זמן שהרעב בעולם, אשה משלמת עצמה ועוברת עבירה ואומרת, אין בכך כלום, לכך נאמר עורנו כתנור נכמרו [וגו'] נשים בציון [וגו']</w:t>
      </w:r>
      <w:r w:rsidRPr="00580257">
        <w:rPr>
          <w:rFonts w:hint="cs"/>
          <w:rtl/>
        </w:rPr>
        <w:t xml:space="preserve">. </w:t>
      </w:r>
      <w:r w:rsidRPr="00580257">
        <w:rPr>
          <w:b/>
          <w:bCs/>
          <w:rtl/>
        </w:rPr>
        <w:t>מאותה שעה תקנו חכמים אותה הלכה, מי שמת והניח בנים ובנות, בזמן שהנכסים מרובים הבנים יירשו והבנות יזונו, נכסים מועטין הבנות יזונו הבנים ישאלו על הפתחים</w:t>
      </w:r>
      <w:r w:rsidRPr="00580257">
        <w:rPr>
          <w:rFonts w:hint="cs"/>
          <w:b/>
          <w:bCs/>
          <w:rtl/>
        </w:rPr>
        <w:t>.</w:t>
      </w:r>
    </w:p>
  </w:footnote>
  <w:footnote w:id="2595">
    <w:p w14:paraId="23AC7304" w14:textId="77777777" w:rsidR="00392DBB" w:rsidRDefault="00392DBB" w:rsidP="00392DBB">
      <w:pPr>
        <w:pStyle w:val="a5"/>
        <w:rPr>
          <w:rtl/>
        </w:rPr>
      </w:pPr>
      <w:r>
        <w:rPr>
          <w:rStyle w:val="a7"/>
        </w:rPr>
        <w:footnoteRef/>
      </w:r>
      <w:r>
        <w:rPr>
          <w:rtl/>
        </w:rPr>
        <w:t xml:space="preserve"> </w:t>
      </w:r>
      <w:r w:rsidRPr="009731D8">
        <w:rPr>
          <w:rFonts w:cs="Arial"/>
          <w:rtl/>
        </w:rPr>
        <w:t>שכך התנה להן אביהן עד דתבגרן או תנסבן כדאמר בכתובות ואינך מועטין ויזונו הבנות עד שיבגרו והמותר לבנים כדמפרש ואזיל</w:t>
      </w:r>
      <w:r>
        <w:rPr>
          <w:rFonts w:cs="Arial" w:hint="cs"/>
          <w:rtl/>
        </w:rPr>
        <w:t>, רשב"ם</w:t>
      </w:r>
      <w:r w:rsidRPr="009731D8">
        <w:rPr>
          <w:rFonts w:cs="Arial"/>
          <w:rtl/>
        </w:rPr>
        <w:t>.</w:t>
      </w:r>
    </w:p>
  </w:footnote>
  <w:footnote w:id="2596">
    <w:p w14:paraId="29C51CEC" w14:textId="3EE2E636" w:rsidR="00392DBB" w:rsidRPr="002A1CCC" w:rsidRDefault="00392DBB" w:rsidP="00392DBB">
      <w:pPr>
        <w:pStyle w:val="a5"/>
        <w:rPr>
          <w:rtl/>
        </w:rPr>
      </w:pPr>
      <w:r>
        <w:rPr>
          <w:rStyle w:val="a7"/>
        </w:rPr>
        <w:footnoteRef/>
      </w:r>
      <w:r>
        <w:rPr>
          <w:rtl/>
        </w:rPr>
        <w:t xml:space="preserve"> </w:t>
      </w:r>
      <w:r>
        <w:rPr>
          <w:rFonts w:hint="cs"/>
          <w:rtl/>
        </w:rPr>
        <w:t xml:space="preserve">הב"י הביא את מה שכתב הנמוק"י בשם הריטב"א עד כאן, אבל מה שכתבו הנמוק"י והריטב"א לגבי פרנסת נישואין </w:t>
      </w:r>
      <w:r w:rsidR="00F97626">
        <w:rPr>
          <w:rtl/>
        </w:rPr>
        <w:t>-</w:t>
      </w:r>
      <w:r>
        <w:rPr>
          <w:rFonts w:hint="cs"/>
          <w:rtl/>
        </w:rPr>
        <w:t xml:space="preserve"> הב"י לא </w:t>
      </w:r>
      <w:r w:rsidRPr="002A1CCC">
        <w:rPr>
          <w:rFonts w:hint="cs"/>
          <w:rtl/>
        </w:rPr>
        <w:t>הביא. וצל"ע מדוע. ומ"מ הדרכ"מ (אות ג) הביא פרט זה</w:t>
      </w:r>
      <w:r w:rsidRPr="002A1CCC">
        <w:rPr>
          <w:rFonts w:cs="Arial" w:hint="cs"/>
          <w:rtl/>
        </w:rPr>
        <w:t>.</w:t>
      </w:r>
    </w:p>
  </w:footnote>
  <w:footnote w:id="2597">
    <w:p w14:paraId="09F3539E" w14:textId="77777777" w:rsidR="00392DBB" w:rsidRDefault="00392DBB" w:rsidP="00392DBB">
      <w:pPr>
        <w:pStyle w:val="a5"/>
      </w:pPr>
      <w:r>
        <w:rPr>
          <w:rStyle w:val="a7"/>
        </w:rPr>
        <w:footnoteRef/>
      </w:r>
      <w:r>
        <w:rPr>
          <w:rtl/>
        </w:rPr>
        <w:t xml:space="preserve"> </w:t>
      </w:r>
      <w:r w:rsidRPr="00F16681">
        <w:rPr>
          <w:rFonts w:cs="Arial"/>
          <w:rtl/>
        </w:rPr>
        <w:t>וכן הוא לקמן בסמוך דעישור נכסי פרנסת הבת אינו ממעט בנכסי</w:t>
      </w:r>
      <w:r>
        <w:rPr>
          <w:rFonts w:cs="Arial" w:hint="cs"/>
          <w:rtl/>
        </w:rPr>
        <w:t>ם, דרכ"מ (אות ג).</w:t>
      </w:r>
      <w:r>
        <w:rPr>
          <w:rFonts w:hint="cs"/>
          <w:rtl/>
        </w:rPr>
        <w:t xml:space="preserve"> </w:t>
      </w:r>
      <w:r w:rsidRPr="00DE45D1">
        <w:rPr>
          <w:rFonts w:cs="Arial"/>
          <w:rtl/>
        </w:rPr>
        <w:t xml:space="preserve">וכן לדעת תוספות </w:t>
      </w:r>
      <w:r>
        <w:rPr>
          <w:rFonts w:cs="Arial" w:hint="cs"/>
          <w:rtl/>
        </w:rPr>
        <w:t xml:space="preserve">(קלט: ד"ה מי שמת) </w:t>
      </w:r>
      <w:r w:rsidRPr="00DE45D1">
        <w:rPr>
          <w:rFonts w:cs="Arial"/>
          <w:rtl/>
        </w:rPr>
        <w:t>הנדוניא אינו בכלל</w:t>
      </w:r>
      <w:r>
        <w:rPr>
          <w:rFonts w:cs="Arial" w:hint="cs"/>
          <w:rtl/>
        </w:rPr>
        <w:t>.</w:t>
      </w:r>
      <w:r w:rsidRPr="00DE45D1">
        <w:rPr>
          <w:rFonts w:cs="Arial"/>
          <w:rtl/>
        </w:rPr>
        <w:t xml:space="preserve"> מיהו בתו</w:t>
      </w:r>
      <w:r>
        <w:rPr>
          <w:rFonts w:cs="Arial" w:hint="cs"/>
          <w:rtl/>
        </w:rPr>
        <w:t>ס</w:t>
      </w:r>
      <w:r w:rsidRPr="00DE45D1">
        <w:rPr>
          <w:rFonts w:cs="Arial"/>
          <w:rtl/>
        </w:rPr>
        <w:t>' יש לדייק גם מלבושים אינן בכלל</w:t>
      </w:r>
      <w:r>
        <w:rPr>
          <w:rFonts w:cs="Arial" w:hint="cs"/>
          <w:rtl/>
        </w:rPr>
        <w:t>, ב"ש (סק"כ). וסיים הב"ש (שם) שכדברי הריטב"א עיקר.</w:t>
      </w:r>
    </w:p>
  </w:footnote>
  <w:footnote w:id="2598">
    <w:p w14:paraId="56DB8B9F" w14:textId="4535A61A" w:rsidR="00392DBB" w:rsidRDefault="00392DBB" w:rsidP="00392DBB">
      <w:pPr>
        <w:pStyle w:val="a5"/>
        <w:rPr>
          <w:rtl/>
        </w:rPr>
      </w:pPr>
      <w:r>
        <w:rPr>
          <w:rStyle w:val="a7"/>
        </w:rPr>
        <w:footnoteRef/>
      </w:r>
      <w:r>
        <w:rPr>
          <w:rtl/>
        </w:rPr>
        <w:t xml:space="preserve"> </w:t>
      </w:r>
      <w:r>
        <w:rPr>
          <w:rFonts w:hint="cs"/>
          <w:rtl/>
        </w:rPr>
        <w:t xml:space="preserve">רשב"ם, </w:t>
      </w:r>
      <w:r w:rsidR="0061020A">
        <w:rPr>
          <w:rFonts w:hint="cs"/>
          <w:rtl/>
        </w:rPr>
        <w:t>וז</w:t>
      </w:r>
      <w:r w:rsidR="0061020A">
        <w:rPr>
          <w:rtl/>
        </w:rPr>
        <w:t>"</w:t>
      </w:r>
      <w:r w:rsidR="0061020A">
        <w:rPr>
          <w:rFonts w:hint="cs"/>
          <w:rtl/>
        </w:rPr>
        <w:t>ל:</w:t>
      </w:r>
      <w:r>
        <w:rPr>
          <w:rFonts w:hint="cs"/>
          <w:rtl/>
        </w:rPr>
        <w:t xml:space="preserve"> </w:t>
      </w:r>
      <w:r w:rsidRPr="000259A9">
        <w:rPr>
          <w:rFonts w:cs="Arial"/>
          <w:rtl/>
        </w:rPr>
        <w:t xml:space="preserve">מזונות ופרנסת נשואין עד דתבגרן או עד דתנסבן לגוברין כדתנן בכתובות </w:t>
      </w:r>
      <w:r w:rsidRPr="008B4495">
        <w:rPr>
          <w:rFonts w:cs="Arial"/>
          <w:sz w:val="16"/>
          <w:szCs w:val="16"/>
          <w:rtl/>
        </w:rPr>
        <w:t>(נב:</w:t>
      </w:r>
      <w:r w:rsidRPr="008B4495">
        <w:rPr>
          <w:rFonts w:cs="Arial" w:hint="cs"/>
          <w:sz w:val="16"/>
          <w:szCs w:val="16"/>
          <w:rtl/>
        </w:rPr>
        <w:t>-</w:t>
      </w:r>
      <w:r w:rsidRPr="008B4495">
        <w:rPr>
          <w:rFonts w:cs="Arial"/>
          <w:sz w:val="16"/>
          <w:szCs w:val="16"/>
          <w:rtl/>
        </w:rPr>
        <w:t>נג</w:t>
      </w:r>
      <w:r w:rsidRPr="008B4495">
        <w:rPr>
          <w:rFonts w:cs="Arial" w:hint="cs"/>
          <w:sz w:val="16"/>
          <w:szCs w:val="16"/>
          <w:rtl/>
        </w:rPr>
        <w:t>.</w:t>
      </w:r>
      <w:r w:rsidRPr="008B4495">
        <w:rPr>
          <w:rFonts w:cs="Arial"/>
          <w:sz w:val="16"/>
          <w:szCs w:val="16"/>
          <w:rtl/>
        </w:rPr>
        <w:t>)</w:t>
      </w:r>
      <w:r w:rsidRPr="000259A9">
        <w:rPr>
          <w:rFonts w:cs="Arial"/>
          <w:rtl/>
        </w:rPr>
        <w:t>.</w:t>
      </w:r>
    </w:p>
  </w:footnote>
  <w:footnote w:id="2599">
    <w:p w14:paraId="3F882795" w14:textId="77777777" w:rsidR="00392DBB" w:rsidRDefault="00392DBB" w:rsidP="00392DBB">
      <w:pPr>
        <w:pStyle w:val="a5"/>
      </w:pPr>
      <w:r>
        <w:rPr>
          <w:rStyle w:val="a7"/>
        </w:rPr>
        <w:footnoteRef/>
      </w:r>
      <w:r>
        <w:rPr>
          <w:rtl/>
        </w:rPr>
        <w:t xml:space="preserve"> </w:t>
      </w:r>
      <w:r w:rsidRPr="00647216">
        <w:rPr>
          <w:rFonts w:cs="Arial"/>
          <w:rtl/>
        </w:rPr>
        <w:t>ולכאורה נראה אף להנ</w:t>
      </w:r>
      <w:r>
        <w:rPr>
          <w:rFonts w:cs="Arial" w:hint="cs"/>
          <w:rtl/>
        </w:rPr>
        <w:t>מוק</w:t>
      </w:r>
      <w:r w:rsidRPr="00647216">
        <w:rPr>
          <w:rFonts w:cs="Arial"/>
          <w:rtl/>
        </w:rPr>
        <w:t>"י אסור להם למכור</w:t>
      </w:r>
      <w:r>
        <w:rPr>
          <w:rFonts w:cs="Arial" w:hint="cs"/>
          <w:rtl/>
        </w:rPr>
        <w:t>,</w:t>
      </w:r>
      <w:r w:rsidRPr="00647216">
        <w:rPr>
          <w:rFonts w:cs="Arial"/>
          <w:rtl/>
        </w:rPr>
        <w:t xml:space="preserve"> אלא ס"ל דאי</w:t>
      </w:r>
      <w:r>
        <w:rPr>
          <w:rFonts w:cs="Arial" w:hint="cs"/>
          <w:rtl/>
        </w:rPr>
        <w:t>ן יכולות</w:t>
      </w:r>
      <w:r w:rsidRPr="00647216">
        <w:rPr>
          <w:rFonts w:cs="Arial"/>
          <w:rtl/>
        </w:rPr>
        <w:t xml:space="preserve"> הבנות להכריח את היורשים שישלשו כדי שאל ימכרו</w:t>
      </w:r>
      <w:r>
        <w:rPr>
          <w:rFonts w:cs="Arial" w:hint="cs"/>
          <w:rtl/>
        </w:rPr>
        <w:t>,</w:t>
      </w:r>
      <w:r w:rsidRPr="00647216">
        <w:rPr>
          <w:rFonts w:cs="Arial"/>
          <w:rtl/>
        </w:rPr>
        <w:t xml:space="preserve"> אלא אם מכרו המכר קיים ואין מחויבים להשליש על זה</w:t>
      </w:r>
      <w:r>
        <w:rPr>
          <w:rFonts w:cs="Arial" w:hint="cs"/>
          <w:rtl/>
        </w:rPr>
        <w:t>, ב"ש (סקכ"ג).</w:t>
      </w:r>
    </w:p>
  </w:footnote>
  <w:footnote w:id="2600">
    <w:p w14:paraId="65634A48" w14:textId="3B8A604B"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647216">
        <w:rPr>
          <w:rFonts w:cs="Arial"/>
          <w:rtl/>
        </w:rPr>
        <w:t>וי"ל דיש חילוק דבנכסים מרובין יכולין למכור לצורך גדול אבל בנכסים מועטין אין יכולין למכור כלל לכתחלה</w:t>
      </w:r>
      <w:r>
        <w:rPr>
          <w:rFonts w:cs="Arial" w:hint="cs"/>
          <w:rtl/>
        </w:rPr>
        <w:t>.</w:t>
      </w:r>
    </w:p>
  </w:footnote>
  <w:footnote w:id="2601">
    <w:p w14:paraId="2D258D1D" w14:textId="0CB4B034"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E2429C">
        <w:rPr>
          <w:rFonts w:cs="Arial"/>
          <w:rtl/>
        </w:rPr>
        <w:t>משמע כיון דלא תפשו מחיים ואפילו תפשו לאחר מיתה לא היה מועיל כלום אלא מה שמכרו מכרו וא"ת א"כ מה חילוק יש בין נכסים מרובים לנכסים מועטים כיון שיכולין למכור אפילו תפשו או הגבו ב"ד דהא גם הנכסים מרובים סברא הוא שלא יוכלו למכור הכל [*פי' לכתחלה] וי"ל דבנכסים מרובים יכולים למכור לכתחלה לצורך דבר מצוה כגון לפדיון שבוים וכיוצא בהם אבל בנכסים מועטין כלל אין מותר למכור לו לכתחלה.</w:t>
      </w:r>
    </w:p>
  </w:footnote>
  <w:footnote w:id="2602">
    <w:p w14:paraId="14A36D07" w14:textId="77777777" w:rsidR="00392DBB" w:rsidRDefault="00392DBB" w:rsidP="00392DBB">
      <w:pPr>
        <w:pStyle w:val="a5"/>
      </w:pPr>
      <w:r>
        <w:rPr>
          <w:rStyle w:val="a7"/>
        </w:rPr>
        <w:footnoteRef/>
      </w:r>
      <w:r>
        <w:rPr>
          <w:rtl/>
        </w:rPr>
        <w:t xml:space="preserve"> </w:t>
      </w:r>
      <w:r w:rsidRPr="00164290">
        <w:rPr>
          <w:rFonts w:cs="Arial"/>
          <w:rtl/>
        </w:rPr>
        <w:t>עיין בס' בית מאיר שנסתפק כי לפ"ד נראה דשיעור זה לא שייך אלא היכא דהבנים נמי קטנים וצריכים ליזון משל אביהם אבל אם הם כבר גדולים וסמוכים על שולחן עצמם אין לשער בצורכי הבנים מידי וכן מסתבר דבשלמא אם נמי צריכים יש טעם לשיעור זה כו' והניח בצ"ע. ומ"ש הבה"ט בשם הרשד"ם שיעור זה משערין בנכסים עצמם מונחים בקופסא ולא עם מה שאפשר להרויח עמהם כו'</w:t>
      </w:r>
      <w:r>
        <w:rPr>
          <w:rFonts w:cs="Arial" w:hint="cs"/>
          <w:rtl/>
        </w:rPr>
        <w:t>.</w:t>
      </w:r>
      <w:r w:rsidRPr="00164290">
        <w:rPr>
          <w:rFonts w:cs="Arial"/>
          <w:rtl/>
        </w:rPr>
        <w:t xml:space="preserve"> ע' בס' ב"מ מ"ש בזה. ומ"ש עוד היה הבן במקום א' כו' עיין בזה במל"מ פי"ט מה"א דין י"ז שכתב בשם הרש"ך ח"א סי' קע"ז דאף אם הבנים הם במקום אחר מחייבים אותם להפריש חלק הבנות יעו"ש. וכפי הנראה חסר תיבת אין וצ"ל אין מחייבים</w:t>
      </w:r>
      <w:r>
        <w:rPr>
          <w:rFonts w:cs="Arial" w:hint="cs"/>
          <w:rtl/>
        </w:rPr>
        <w:t>, פת"ש (סק"ד).</w:t>
      </w:r>
    </w:p>
  </w:footnote>
  <w:footnote w:id="2603">
    <w:p w14:paraId="5C9A50B3" w14:textId="77777777" w:rsidR="00392DBB" w:rsidRDefault="00392DBB" w:rsidP="00392DBB">
      <w:pPr>
        <w:pStyle w:val="a5"/>
      </w:pPr>
      <w:r>
        <w:rPr>
          <w:rStyle w:val="a7"/>
        </w:rPr>
        <w:footnoteRef/>
      </w:r>
      <w:r>
        <w:rPr>
          <w:rtl/>
        </w:rPr>
        <w:t xml:space="preserve"> </w:t>
      </w:r>
      <w:r w:rsidRPr="00315A42">
        <w:rPr>
          <w:rFonts w:cs="Arial"/>
          <w:rtl/>
        </w:rPr>
        <w:t>ונותני</w:t>
      </w:r>
      <w:r>
        <w:rPr>
          <w:rFonts w:cs="Arial" w:hint="cs"/>
          <w:rtl/>
        </w:rPr>
        <w:t xml:space="preserve">ם </w:t>
      </w:r>
      <w:r w:rsidRPr="00315A42">
        <w:rPr>
          <w:rFonts w:cs="Arial"/>
          <w:rtl/>
        </w:rPr>
        <w:t>ביד הב"ד או ליד אפטרופוס שלה</w:t>
      </w:r>
      <w:r>
        <w:rPr>
          <w:rFonts w:cs="Arial" w:hint="cs"/>
          <w:rtl/>
        </w:rPr>
        <w:t>ם,</w:t>
      </w:r>
      <w:r w:rsidRPr="00315A42">
        <w:rPr>
          <w:rFonts w:cs="Arial"/>
          <w:rtl/>
        </w:rPr>
        <w:t xml:space="preserve"> וכן כתב המגיד</w:t>
      </w:r>
      <w:r>
        <w:rPr>
          <w:rFonts w:cs="Arial" w:hint="cs"/>
          <w:rtl/>
        </w:rPr>
        <w:t xml:space="preserve"> (פי"ט הי"ז)</w:t>
      </w:r>
      <w:r w:rsidRPr="00315A42">
        <w:rPr>
          <w:rFonts w:cs="Arial"/>
          <w:rtl/>
        </w:rPr>
        <w:t xml:space="preserve"> ונ</w:t>
      </w:r>
      <w:r>
        <w:rPr>
          <w:rFonts w:cs="Arial" w:hint="cs"/>
          <w:rtl/>
        </w:rPr>
        <w:t>מוק</w:t>
      </w:r>
      <w:r w:rsidRPr="00315A42">
        <w:rPr>
          <w:rFonts w:cs="Arial"/>
          <w:rtl/>
        </w:rPr>
        <w:t>"י</w:t>
      </w:r>
      <w:r>
        <w:rPr>
          <w:rFonts w:cs="Arial" w:hint="cs"/>
          <w:rtl/>
        </w:rPr>
        <w:t xml:space="preserve"> (שם), ב"ש (סקכ"א).</w:t>
      </w:r>
    </w:p>
  </w:footnote>
  <w:footnote w:id="2604">
    <w:p w14:paraId="2716D4D8" w14:textId="77777777" w:rsidR="00392DBB" w:rsidRDefault="00392DBB" w:rsidP="00392DBB">
      <w:pPr>
        <w:pStyle w:val="a5"/>
      </w:pPr>
      <w:r>
        <w:rPr>
          <w:rStyle w:val="a7"/>
        </w:rPr>
        <w:footnoteRef/>
      </w:r>
      <w:r>
        <w:rPr>
          <w:rtl/>
        </w:rPr>
        <w:t xml:space="preserve"> </w:t>
      </w:r>
      <w:r w:rsidRPr="00164290">
        <w:rPr>
          <w:rFonts w:cs="Arial"/>
          <w:rtl/>
        </w:rPr>
        <w:t>ואפילו בבנים קטנים הניזונים משל אב בחיי האב הר"ם מטראני ח"א סי' רע"ז</w:t>
      </w:r>
      <w:r>
        <w:rPr>
          <w:rFonts w:cs="Arial" w:hint="cs"/>
          <w:rtl/>
        </w:rPr>
        <w:t>, באה"ט (סקט"ו).</w:t>
      </w:r>
    </w:p>
  </w:footnote>
  <w:footnote w:id="2605">
    <w:p w14:paraId="31F038F0" w14:textId="77777777" w:rsidR="00392DBB" w:rsidRDefault="00392DBB" w:rsidP="00392DBB">
      <w:pPr>
        <w:pStyle w:val="a5"/>
      </w:pPr>
      <w:r>
        <w:rPr>
          <w:rStyle w:val="a7"/>
        </w:rPr>
        <w:footnoteRef/>
      </w:r>
      <w:r>
        <w:rPr>
          <w:rtl/>
        </w:rPr>
        <w:t xml:space="preserve"> </w:t>
      </w:r>
      <w:r w:rsidRPr="00E2429C">
        <w:rPr>
          <w:rFonts w:cs="Arial"/>
          <w:rtl/>
        </w:rPr>
        <w:t xml:space="preserve">כ"כ תוס' </w:t>
      </w:r>
      <w:r>
        <w:rPr>
          <w:rFonts w:cs="Arial" w:hint="cs"/>
          <w:rtl/>
        </w:rPr>
        <w:t xml:space="preserve">(ב"ב קמ. ד"ה יתומים) </w:t>
      </w:r>
      <w:r w:rsidRPr="00E2429C">
        <w:rPr>
          <w:rFonts w:cs="Arial"/>
          <w:rtl/>
        </w:rPr>
        <w:t>והמ</w:t>
      </w:r>
      <w:r>
        <w:rPr>
          <w:rFonts w:cs="Arial" w:hint="cs"/>
          <w:rtl/>
        </w:rPr>
        <w:t>רדכי (ב"ב סי' תרא),</w:t>
      </w:r>
      <w:r w:rsidRPr="00E2429C">
        <w:rPr>
          <w:rFonts w:cs="Arial"/>
          <w:rtl/>
        </w:rPr>
        <w:t xml:space="preserve"> </w:t>
      </w:r>
      <w:r>
        <w:rPr>
          <w:rFonts w:cs="Arial" w:hint="cs"/>
          <w:rtl/>
        </w:rPr>
        <w:t>ו</w:t>
      </w:r>
      <w:r w:rsidRPr="00E2429C">
        <w:rPr>
          <w:rFonts w:cs="Arial"/>
          <w:rtl/>
        </w:rPr>
        <w:t>היינו לדעת הפוסקים דס"ל אם קדמו ומכרו בנכסים מועטים אפי' אחר שעמדו בדין מכרן קיים</w:t>
      </w:r>
      <w:r>
        <w:rPr>
          <w:rFonts w:cs="Arial" w:hint="cs"/>
          <w:rtl/>
        </w:rPr>
        <w:t>,</w:t>
      </w:r>
      <w:r w:rsidRPr="00E2429C">
        <w:rPr>
          <w:rFonts w:cs="Arial"/>
          <w:rtl/>
        </w:rPr>
        <w:t xml:space="preserve"> </w:t>
      </w:r>
      <w:r>
        <w:rPr>
          <w:rFonts w:cs="Arial" w:hint="cs"/>
          <w:rtl/>
        </w:rPr>
        <w:t>ה</w:t>
      </w:r>
      <w:r w:rsidRPr="00E2429C">
        <w:rPr>
          <w:rFonts w:cs="Arial"/>
          <w:rtl/>
        </w:rPr>
        <w:t>קשו א"כ מה איכ</w:t>
      </w:r>
      <w:r>
        <w:rPr>
          <w:rFonts w:cs="Arial" w:hint="cs"/>
          <w:rtl/>
        </w:rPr>
        <w:t>א</w:t>
      </w:r>
      <w:r w:rsidRPr="00E2429C">
        <w:rPr>
          <w:rFonts w:cs="Arial"/>
          <w:rtl/>
        </w:rPr>
        <w:t xml:space="preserve"> בין נכסים מרובים לנכסים מועטים</w:t>
      </w:r>
      <w:r>
        <w:rPr>
          <w:rFonts w:cs="Arial" w:hint="cs"/>
          <w:rtl/>
        </w:rPr>
        <w:t>,</w:t>
      </w:r>
      <w:r w:rsidRPr="00E2429C">
        <w:rPr>
          <w:rFonts w:cs="Arial"/>
          <w:rtl/>
        </w:rPr>
        <w:t xml:space="preserve"> כי בודאי אפילו בנכסים מרובים אין להן למכור להפקיע מזונות</w:t>
      </w:r>
      <w:r>
        <w:rPr>
          <w:rFonts w:cs="Arial" w:hint="cs"/>
          <w:rtl/>
        </w:rPr>
        <w:t>.</w:t>
      </w:r>
      <w:r w:rsidRPr="00E2429C">
        <w:rPr>
          <w:rFonts w:cs="Arial"/>
          <w:rtl/>
        </w:rPr>
        <w:t xml:space="preserve"> ותרצו דנ"מ בנכסים מרובים יכולים למכור לצורך גדול כגון פדיון שבוים</w:t>
      </w:r>
      <w:r>
        <w:rPr>
          <w:rFonts w:cs="Arial" w:hint="cs"/>
          <w:rtl/>
        </w:rPr>
        <w:t>,</w:t>
      </w:r>
      <w:r w:rsidRPr="00E2429C">
        <w:rPr>
          <w:rFonts w:cs="Arial"/>
          <w:rtl/>
        </w:rPr>
        <w:t xml:space="preserve"> ובנכסים מועטים אין מוכרים לכתחלה</w:t>
      </w:r>
      <w:r>
        <w:rPr>
          <w:rFonts w:cs="Arial" w:hint="cs"/>
          <w:rtl/>
        </w:rPr>
        <w:t>.</w:t>
      </w:r>
      <w:r w:rsidRPr="00E2429C">
        <w:rPr>
          <w:rFonts w:cs="Arial"/>
          <w:rtl/>
        </w:rPr>
        <w:t xml:space="preserve"> נשמע בנכסים מרובים יכולים למכור לצורך פ</w:t>
      </w:r>
      <w:r>
        <w:rPr>
          <w:rFonts w:cs="Arial" w:hint="cs"/>
          <w:rtl/>
        </w:rPr>
        <w:t xml:space="preserve">דיון </w:t>
      </w:r>
      <w:r w:rsidRPr="00E2429C">
        <w:rPr>
          <w:rFonts w:cs="Arial"/>
          <w:rtl/>
        </w:rPr>
        <w:t>ש</w:t>
      </w:r>
      <w:r>
        <w:rPr>
          <w:rFonts w:cs="Arial" w:hint="cs"/>
          <w:rtl/>
        </w:rPr>
        <w:t>בוים</w:t>
      </w:r>
      <w:r w:rsidRPr="00E2429C">
        <w:rPr>
          <w:rFonts w:cs="Arial"/>
          <w:rtl/>
        </w:rPr>
        <w:t xml:space="preserve"> אפילו שמפקיעים מזונות</w:t>
      </w:r>
      <w:r>
        <w:rPr>
          <w:rFonts w:cs="Arial" w:hint="cs"/>
          <w:rtl/>
        </w:rPr>
        <w:t>.</w:t>
      </w:r>
      <w:r w:rsidRPr="00E2429C">
        <w:rPr>
          <w:rFonts w:cs="Arial"/>
          <w:rtl/>
        </w:rPr>
        <w:t xml:space="preserve"> מיהו י"ל דוק</w:t>
      </w:r>
      <w:r>
        <w:rPr>
          <w:rFonts w:cs="Arial" w:hint="cs"/>
          <w:rtl/>
        </w:rPr>
        <w:t>א</w:t>
      </w:r>
      <w:r w:rsidRPr="00E2429C">
        <w:rPr>
          <w:rFonts w:cs="Arial"/>
          <w:rtl/>
        </w:rPr>
        <w:t xml:space="preserve"> להני פוסקים צ"ל כן</w:t>
      </w:r>
      <w:r>
        <w:rPr>
          <w:rFonts w:cs="Arial" w:hint="cs"/>
          <w:rtl/>
        </w:rPr>
        <w:t>,</w:t>
      </w:r>
      <w:r w:rsidRPr="00E2429C">
        <w:rPr>
          <w:rFonts w:cs="Arial"/>
          <w:rtl/>
        </w:rPr>
        <w:t xml:space="preserve"> אבל לדעת הפוסקים דס"ל דמכר בטל אם מכרו אחר שעמדו בדין יש חילוק אחר בין נכסים מרובים לנכסים מועטים</w:t>
      </w:r>
      <w:r>
        <w:rPr>
          <w:rFonts w:cs="Arial" w:hint="cs"/>
          <w:rtl/>
        </w:rPr>
        <w:t>,</w:t>
      </w:r>
      <w:r w:rsidRPr="00E2429C">
        <w:rPr>
          <w:rFonts w:cs="Arial"/>
          <w:rtl/>
        </w:rPr>
        <w:t xml:space="preserve"> וי</w:t>
      </w:r>
      <w:r>
        <w:rPr>
          <w:rFonts w:cs="Arial" w:hint="cs"/>
          <w:rtl/>
        </w:rPr>
        <w:t>ש לומר</w:t>
      </w:r>
      <w:r w:rsidRPr="00E2429C">
        <w:rPr>
          <w:rFonts w:cs="Arial"/>
          <w:rtl/>
        </w:rPr>
        <w:t xml:space="preserve"> אפי' לצורך פ</w:t>
      </w:r>
      <w:r>
        <w:rPr>
          <w:rFonts w:cs="Arial" w:hint="cs"/>
          <w:rtl/>
        </w:rPr>
        <w:t xml:space="preserve">דיון </w:t>
      </w:r>
      <w:r w:rsidRPr="00E2429C">
        <w:rPr>
          <w:rFonts w:cs="Arial"/>
          <w:rtl/>
        </w:rPr>
        <w:t>ש</w:t>
      </w:r>
      <w:r>
        <w:rPr>
          <w:rFonts w:cs="Arial" w:hint="cs"/>
          <w:rtl/>
        </w:rPr>
        <w:t>בוים</w:t>
      </w:r>
      <w:r w:rsidRPr="00E2429C">
        <w:rPr>
          <w:rFonts w:cs="Arial"/>
          <w:rtl/>
        </w:rPr>
        <w:t xml:space="preserve"> אי</w:t>
      </w:r>
      <w:r>
        <w:rPr>
          <w:rFonts w:cs="Arial" w:hint="cs"/>
          <w:rtl/>
        </w:rPr>
        <w:t>נם יכולים</w:t>
      </w:r>
      <w:r w:rsidRPr="00E2429C">
        <w:rPr>
          <w:rFonts w:cs="Arial"/>
          <w:rtl/>
        </w:rPr>
        <w:t xml:space="preserve"> למכור לכתחלה להפקיע מזונות</w:t>
      </w:r>
      <w:r>
        <w:rPr>
          <w:rFonts w:cs="Arial" w:hint="cs"/>
          <w:rtl/>
        </w:rPr>
        <w:t>, ב"ש (סקכ"ב).</w:t>
      </w:r>
    </w:p>
  </w:footnote>
  <w:footnote w:id="2606">
    <w:p w14:paraId="67C51A30" w14:textId="77777777" w:rsidR="00392DBB" w:rsidRDefault="00392DBB" w:rsidP="00392DBB">
      <w:pPr>
        <w:pStyle w:val="a5"/>
      </w:pPr>
      <w:r>
        <w:rPr>
          <w:rStyle w:val="a7"/>
        </w:rPr>
        <w:footnoteRef/>
      </w:r>
      <w:r>
        <w:rPr>
          <w:rtl/>
        </w:rPr>
        <w:t xml:space="preserve"> </w:t>
      </w:r>
      <w:r w:rsidRPr="00214C92">
        <w:rPr>
          <w:rFonts w:cs="Arial"/>
          <w:rtl/>
        </w:rPr>
        <w:t>נראה היינו כל הנכסי' או רובן שלא ישאר לבנו' מזונו' עד שיבגרו אבל אם ישאר לבנו</w:t>
      </w:r>
      <w:r>
        <w:rPr>
          <w:rFonts w:cs="Arial" w:hint="cs"/>
          <w:rtl/>
        </w:rPr>
        <w:t>ת</w:t>
      </w:r>
      <w:r w:rsidRPr="00214C92">
        <w:rPr>
          <w:rFonts w:cs="Arial"/>
          <w:rtl/>
        </w:rPr>
        <w:t xml:space="preserve"> כדי שעבודן למה לא ימכרו לכתחלה הא כבר פסק דאין מחוייבים הבנים לצמצם במזונו' ולדבר מצוה אפילו כל הנכסים מותר למכור מאחר דהנכסים ברשותן אעפ"י שלא יהיה לבנות ממה ליזון לא עדיפי מהבנים בנכסים מרובים</w:t>
      </w:r>
      <w:r>
        <w:rPr>
          <w:rFonts w:cs="Arial" w:hint="cs"/>
          <w:rtl/>
        </w:rPr>
        <w:t>, ח"מ (סקכ"ג).</w:t>
      </w:r>
    </w:p>
  </w:footnote>
  <w:footnote w:id="2607">
    <w:p w14:paraId="0F8A9CD3" w14:textId="77777777" w:rsidR="00392DBB" w:rsidRDefault="00392DBB" w:rsidP="00392DBB">
      <w:pPr>
        <w:pStyle w:val="a5"/>
        <w:rPr>
          <w:rtl/>
        </w:rPr>
      </w:pPr>
      <w:r>
        <w:rPr>
          <w:rStyle w:val="a7"/>
        </w:rPr>
        <w:footnoteRef/>
      </w:r>
      <w:r>
        <w:rPr>
          <w:rtl/>
        </w:rPr>
        <w:t xml:space="preserve"> </w:t>
      </w:r>
      <w:r w:rsidRPr="009B5382">
        <w:rPr>
          <w:rFonts w:cs="Arial"/>
          <w:rtl/>
        </w:rPr>
        <w:t>וכיוצא בזה כתבתי בסימן שקודם זה (קסא. ד"ה ומ"ש ודוקא) לענין כתובת בנין דכרין בשם הריב"ש (סי' קו)</w:t>
      </w:r>
      <w:r>
        <w:rPr>
          <w:rFonts w:cs="Arial" w:hint="cs"/>
          <w:rtl/>
        </w:rPr>
        <w:t xml:space="preserve">, ב"י (בבדה"ב). </w:t>
      </w:r>
      <w:r w:rsidRPr="00F16681">
        <w:rPr>
          <w:rFonts w:cs="Arial"/>
          <w:rtl/>
        </w:rPr>
        <w:t>ועיין לעיל סי' קי"א לענין כתובת בנין דכרין אי מהני אגב</w:t>
      </w:r>
      <w:r>
        <w:rPr>
          <w:rFonts w:cs="Arial" w:hint="cs"/>
          <w:rtl/>
        </w:rPr>
        <w:t>, דרכ"מ (אות ג*).</w:t>
      </w:r>
    </w:p>
  </w:footnote>
  <w:footnote w:id="2608">
    <w:p w14:paraId="53AF0805" w14:textId="77777777" w:rsidR="00392DBB" w:rsidRDefault="00392DBB" w:rsidP="00392DBB">
      <w:pPr>
        <w:pStyle w:val="a5"/>
      </w:pPr>
      <w:r>
        <w:rPr>
          <w:rStyle w:val="a7"/>
        </w:rPr>
        <w:footnoteRef/>
      </w:r>
      <w:r>
        <w:rPr>
          <w:rtl/>
        </w:rPr>
        <w:t xml:space="preserve"> </w:t>
      </w:r>
      <w:r w:rsidRPr="00F338F4">
        <w:rPr>
          <w:rFonts w:cs="Arial"/>
          <w:rtl/>
        </w:rPr>
        <w:t>כלומר והנכסים בחזקת שניהם ולא כמרובין ולא כמועטין</w:t>
      </w:r>
      <w:r>
        <w:rPr>
          <w:rFonts w:cs="Arial" w:hint="cs"/>
          <w:rtl/>
        </w:rPr>
        <w:t>, ח"מ (סקכ"ד).</w:t>
      </w:r>
    </w:p>
  </w:footnote>
  <w:footnote w:id="2609">
    <w:p w14:paraId="49942AC0" w14:textId="29704715" w:rsidR="007A56DC" w:rsidRDefault="007A56DC" w:rsidP="007A56DC">
      <w:pPr>
        <w:pStyle w:val="a5"/>
      </w:pPr>
      <w:r>
        <w:rPr>
          <w:rStyle w:val="a7"/>
        </w:rPr>
        <w:footnoteRef/>
      </w:r>
      <w:r>
        <w:rPr>
          <w:rtl/>
        </w:rPr>
        <w:t xml:space="preserve"> </w:t>
      </w:r>
      <w:r>
        <w:rPr>
          <w:rFonts w:hint="cs"/>
          <w:rtl/>
        </w:rPr>
        <w:t>סימן - ק</w:t>
      </w:r>
      <w:r>
        <w:rPr>
          <w:rFonts w:hint="cs"/>
          <w:rtl/>
        </w:rPr>
        <w:t>ניינים מתמעטים</w:t>
      </w:r>
      <w:r>
        <w:rPr>
          <w:rFonts w:hint="cs"/>
          <w:rtl/>
        </w:rPr>
        <w:t>.</w:t>
      </w:r>
    </w:p>
  </w:footnote>
  <w:footnote w:id="2610">
    <w:p w14:paraId="7CD37896" w14:textId="77777777" w:rsidR="00392DBB" w:rsidRDefault="00392DBB" w:rsidP="00392DBB">
      <w:pPr>
        <w:pStyle w:val="a5"/>
      </w:pPr>
      <w:r>
        <w:rPr>
          <w:rStyle w:val="a7"/>
        </w:rPr>
        <w:footnoteRef/>
      </w:r>
      <w:r>
        <w:rPr>
          <w:rtl/>
        </w:rPr>
        <w:t xml:space="preserve"> </w:t>
      </w:r>
      <w:r w:rsidRPr="0001487A">
        <w:rPr>
          <w:rFonts w:cs="Arial"/>
          <w:rtl/>
        </w:rPr>
        <w:t>בשעת מיתה היו מרובין</w:t>
      </w:r>
      <w:r>
        <w:rPr>
          <w:rFonts w:cs="Arial" w:hint="cs"/>
          <w:rtl/>
        </w:rPr>
        <w:t>,</w:t>
      </w:r>
      <w:r w:rsidRPr="0001487A">
        <w:rPr>
          <w:rFonts w:cs="Arial"/>
          <w:rtl/>
        </w:rPr>
        <w:t xml:space="preserve"> ועכשיו הוקירו מזונות או נתקלקלו הנכסים ואין בהם כדי מזונות אלו ואלו עד שיבגורו</w:t>
      </w:r>
      <w:r>
        <w:rPr>
          <w:rFonts w:cs="Arial" w:hint="cs"/>
          <w:rtl/>
        </w:rPr>
        <w:t>, רשב"ם.</w:t>
      </w:r>
    </w:p>
  </w:footnote>
  <w:footnote w:id="2611">
    <w:p w14:paraId="57C60B5A" w14:textId="08DC22EE" w:rsidR="00392DBB" w:rsidRDefault="00392DBB" w:rsidP="00392DBB">
      <w:pPr>
        <w:pStyle w:val="a5"/>
        <w:rPr>
          <w:rtl/>
        </w:rPr>
      </w:pPr>
      <w:r>
        <w:rPr>
          <w:rStyle w:val="a7"/>
        </w:rPr>
        <w:footnoteRef/>
      </w:r>
      <w:r>
        <w:rPr>
          <w:rtl/>
        </w:rPr>
        <w:t xml:space="preserve"> </w:t>
      </w:r>
      <w:r w:rsidR="002378CC" w:rsidRPr="002378CC">
        <w:rPr>
          <w:rFonts w:cs="Arial"/>
          <w:rtl/>
        </w:rPr>
        <w:t>בשעת מיתת אביהן וקרינא בהו נכסים מרובים ויקחו הבנות חלקן המגיעם כפי שומא של שעת מיתת אביהן והבנים יירשו חלקם שהיה מגיעם באותה שעה וכל מה שחסרו הנכסים חסרו לבנות ולבנים לכל אחד כפי חלקו הראוי לו</w:t>
      </w:r>
      <w:r w:rsidR="00567D3D">
        <w:rPr>
          <w:rFonts w:cs="Arial" w:hint="cs"/>
          <w:rtl/>
        </w:rPr>
        <w:t xml:space="preserve">, </w:t>
      </w:r>
      <w:r w:rsidR="00567D3D" w:rsidRPr="002378CC">
        <w:rPr>
          <w:rFonts w:cs="Arial" w:hint="cs"/>
          <w:b/>
          <w:bCs/>
          <w:rtl/>
        </w:rPr>
        <w:t>רשב"ם</w:t>
      </w:r>
      <w:r w:rsidRPr="0001487A">
        <w:rPr>
          <w:rFonts w:cs="Arial"/>
          <w:rtl/>
        </w:rPr>
        <w:t xml:space="preserve">. </w:t>
      </w:r>
      <w:r w:rsidR="002378CC">
        <w:rPr>
          <w:rFonts w:cs="Arial" w:hint="cs"/>
          <w:rtl/>
        </w:rPr>
        <w:t xml:space="preserve">     </w:t>
      </w:r>
      <w:r w:rsidRPr="0001487A">
        <w:rPr>
          <w:rFonts w:cs="Arial"/>
          <w:rtl/>
        </w:rPr>
        <w:t xml:space="preserve">אבל הרא"ש </w:t>
      </w:r>
      <w:r w:rsidRPr="007038B3">
        <w:rPr>
          <w:rFonts w:cs="Arial"/>
          <w:sz w:val="16"/>
          <w:szCs w:val="16"/>
          <w:rtl/>
        </w:rPr>
        <w:t>(סי' ב)</w:t>
      </w:r>
      <w:r w:rsidRPr="0001487A">
        <w:rPr>
          <w:rFonts w:cs="Arial"/>
          <w:rtl/>
        </w:rPr>
        <w:t xml:space="preserve"> כתב פשיטא מרובים ונתמעטו זכו בהם יורשים ויזונו יחדיו עד שיכלו הנכסים</w:t>
      </w:r>
      <w:r>
        <w:rPr>
          <w:rFonts w:hint="cs"/>
          <w:rtl/>
        </w:rPr>
        <w:t xml:space="preserve">, </w:t>
      </w:r>
      <w:r w:rsidRPr="002378CC">
        <w:rPr>
          <w:rFonts w:hint="cs"/>
          <w:b/>
          <w:bCs/>
          <w:rtl/>
        </w:rPr>
        <w:t>ב"י</w:t>
      </w:r>
      <w:r>
        <w:rPr>
          <w:rFonts w:hint="cs"/>
          <w:rtl/>
        </w:rPr>
        <w:t>.</w:t>
      </w:r>
    </w:p>
  </w:footnote>
  <w:footnote w:id="2612">
    <w:p w14:paraId="63AE5515" w14:textId="77777777" w:rsidR="00392DBB" w:rsidRDefault="00392DBB" w:rsidP="00392DBB">
      <w:pPr>
        <w:pStyle w:val="a5"/>
      </w:pPr>
      <w:r>
        <w:rPr>
          <w:rStyle w:val="a7"/>
        </w:rPr>
        <w:footnoteRef/>
      </w:r>
      <w:r>
        <w:rPr>
          <w:rtl/>
        </w:rPr>
        <w:t xml:space="preserve"> </w:t>
      </w:r>
      <w:r>
        <w:rPr>
          <w:rFonts w:hint="cs"/>
          <w:rtl/>
        </w:rPr>
        <w:t>היינו שהנכסים ביד הבנים והם נותנים לבנות קצת קצת על מזונותיהן.</w:t>
      </w:r>
    </w:p>
  </w:footnote>
  <w:footnote w:id="2613">
    <w:p w14:paraId="3202FB38" w14:textId="0DA7E3D5" w:rsidR="00392DBB" w:rsidRDefault="00392DBB" w:rsidP="00392DBB">
      <w:pPr>
        <w:pStyle w:val="a5"/>
      </w:pPr>
      <w:r>
        <w:rPr>
          <w:rStyle w:val="a7"/>
        </w:rPr>
        <w:footnoteRef/>
      </w:r>
      <w:r>
        <w:rPr>
          <w:rFonts w:hint="cs"/>
          <w:rtl/>
        </w:rPr>
        <w:t xml:space="preserve"> כי הנכסים מועטים (מועטים </w:t>
      </w:r>
      <w:r w:rsidR="00F97626">
        <w:rPr>
          <w:rtl/>
        </w:rPr>
        <w:t>-</w:t>
      </w:r>
      <w:r>
        <w:rPr>
          <w:rtl/>
        </w:rPr>
        <w:t xml:space="preserve"> </w:t>
      </w:r>
      <w:r>
        <w:rPr>
          <w:rFonts w:hint="cs"/>
          <w:rtl/>
        </w:rPr>
        <w:t>לא מספיקים עד שיבגרו/יתארסו הבנות), וגם הבנים וגם הבנות אוכלים מהם, וממילא הנכסים יכלו קודם שיבגרו/יתארסו הבנות. ונקטו הרא"ש והטור תוספת לשון זו '</w:t>
      </w:r>
      <w:r w:rsidRPr="00B345A5">
        <w:rPr>
          <w:rFonts w:cs="Arial"/>
          <w:rtl/>
        </w:rPr>
        <w:t>ויזונו יחד עד שיכלו הנכסים</w:t>
      </w:r>
      <w:r>
        <w:rPr>
          <w:rFonts w:hint="cs"/>
          <w:rtl/>
        </w:rPr>
        <w:t>' רק לגלות את המציאות.</w:t>
      </w:r>
    </w:p>
  </w:footnote>
  <w:footnote w:id="2614">
    <w:p w14:paraId="33BBFA70" w14:textId="7F3BB68A" w:rsidR="007A56DC" w:rsidRDefault="007A56DC" w:rsidP="007A56DC">
      <w:pPr>
        <w:pStyle w:val="a5"/>
      </w:pPr>
      <w:r>
        <w:rPr>
          <w:rStyle w:val="a7"/>
        </w:rPr>
        <w:footnoteRef/>
      </w:r>
      <w:r>
        <w:rPr>
          <w:rtl/>
        </w:rPr>
        <w:t xml:space="preserve"> </w:t>
      </w:r>
      <w:r>
        <w:rPr>
          <w:rFonts w:hint="cs"/>
          <w:rtl/>
        </w:rPr>
        <w:t xml:space="preserve">סימן - קניינים </w:t>
      </w:r>
      <w:r>
        <w:rPr>
          <w:rFonts w:hint="cs"/>
          <w:rtl/>
        </w:rPr>
        <w:t>מתרבים/</w:t>
      </w:r>
      <w:r>
        <w:rPr>
          <w:rFonts w:hint="cs"/>
          <w:rtl/>
        </w:rPr>
        <w:t>מתמעטים.</w:t>
      </w:r>
    </w:p>
  </w:footnote>
  <w:footnote w:id="2615">
    <w:p w14:paraId="376C5F19" w14:textId="77777777" w:rsidR="00392DBB" w:rsidRDefault="00392DBB" w:rsidP="00392DBB">
      <w:pPr>
        <w:pStyle w:val="a5"/>
      </w:pPr>
      <w:r>
        <w:rPr>
          <w:rStyle w:val="a7"/>
        </w:rPr>
        <w:footnoteRef/>
      </w:r>
      <w:r>
        <w:rPr>
          <w:rtl/>
        </w:rPr>
        <w:t xml:space="preserve"> </w:t>
      </w:r>
      <w:r w:rsidRPr="00D535F4">
        <w:rPr>
          <w:rFonts w:cs="Arial"/>
          <w:rtl/>
        </w:rPr>
        <w:t>שהוזלו מזונות</w:t>
      </w:r>
      <w:r>
        <w:rPr>
          <w:rFonts w:cs="Arial" w:hint="cs"/>
          <w:rtl/>
        </w:rPr>
        <w:t>, רשב"ם.</w:t>
      </w:r>
    </w:p>
  </w:footnote>
  <w:footnote w:id="2616">
    <w:p w14:paraId="53890E0F" w14:textId="77777777" w:rsidR="00392DBB" w:rsidRDefault="00392DBB" w:rsidP="00392DBB">
      <w:pPr>
        <w:pStyle w:val="a5"/>
        <w:rPr>
          <w:rtl/>
        </w:rPr>
      </w:pPr>
      <w:r>
        <w:rPr>
          <w:rStyle w:val="a7"/>
        </w:rPr>
        <w:footnoteRef/>
      </w:r>
      <w:r>
        <w:rPr>
          <w:rtl/>
        </w:rPr>
        <w:t xml:space="preserve"> </w:t>
      </w:r>
      <w:r>
        <w:rPr>
          <w:rFonts w:cs="Arial" w:hint="cs"/>
          <w:rtl/>
        </w:rPr>
        <w:t>לקמן</w:t>
      </w:r>
      <w:r w:rsidRPr="00FF003E">
        <w:rPr>
          <w:rFonts w:cs="Arial"/>
          <w:rtl/>
        </w:rPr>
        <w:t xml:space="preserve"> כתב רבינו מחלוקת זה גבי יתומים שקדמו ומכרו בנכסים מועטים ויש לתמוה עליו דכיון דהרא"ש הסכים לדעת רש"י וכמו שכתב הוא ז"ל שם למה סתם דבריו כאן הפך דעת הרא"ש</w:t>
      </w:r>
      <w:r>
        <w:rPr>
          <w:rFonts w:hint="cs"/>
          <w:rtl/>
        </w:rPr>
        <w:t>, ב"י. והח"מ (סקל"א) כתב שבאמת דעת הרא"ש כאן מסכימה לדעת ר"י, אבל לגבי אחים שמכרו במועטים דעתו כרש"י. וכתב הב"ש (סקכ"ט) הטעם</w:t>
      </w:r>
      <w:r w:rsidRPr="005E4949">
        <w:rPr>
          <w:rFonts w:cs="Arial"/>
          <w:rtl/>
        </w:rPr>
        <w:t xml:space="preserve"> </w:t>
      </w:r>
      <w:r>
        <w:rPr>
          <w:rFonts w:cs="Arial" w:hint="cs"/>
          <w:rtl/>
        </w:rPr>
        <w:t>ד</w:t>
      </w:r>
      <w:r w:rsidRPr="005E4949">
        <w:rPr>
          <w:rFonts w:cs="Arial"/>
          <w:rtl/>
        </w:rPr>
        <w:t>לענין מכירה לא אמרי כן</w:t>
      </w:r>
      <w:r>
        <w:rPr>
          <w:rFonts w:cs="Arial" w:hint="cs"/>
          <w:rtl/>
        </w:rPr>
        <w:t>,</w:t>
      </w:r>
      <w:r w:rsidRPr="005E4949">
        <w:rPr>
          <w:rFonts w:cs="Arial"/>
          <w:rtl/>
        </w:rPr>
        <w:t xml:space="preserve"> </w:t>
      </w:r>
      <w:r>
        <w:rPr>
          <w:rFonts w:cs="Arial" w:hint="cs"/>
          <w:rtl/>
        </w:rPr>
        <w:t>ד</w:t>
      </w:r>
      <w:r w:rsidRPr="005E4949">
        <w:rPr>
          <w:rFonts w:cs="Arial"/>
          <w:rtl/>
        </w:rPr>
        <w:t>שאני מכירה שמפסיד אותם לגמרי</w:t>
      </w:r>
      <w:r>
        <w:rPr>
          <w:rFonts w:cs="Arial" w:hint="cs"/>
          <w:rtl/>
        </w:rPr>
        <w:t>.</w:t>
      </w:r>
      <w:r w:rsidRPr="005E4949">
        <w:rPr>
          <w:rFonts w:cs="Arial"/>
          <w:rtl/>
        </w:rPr>
        <w:t xml:space="preserve"> וכן הוא מפורש בהרא"ש</w:t>
      </w:r>
      <w:r>
        <w:rPr>
          <w:rFonts w:cs="Arial" w:hint="cs"/>
          <w:rtl/>
        </w:rPr>
        <w:t xml:space="preserve"> (ב"ב פ"ט סי' ב),</w:t>
      </w:r>
      <w:r w:rsidRPr="005E4949">
        <w:rPr>
          <w:rFonts w:cs="Arial"/>
          <w:rtl/>
        </w:rPr>
        <w:t xml:space="preserve"> והב"י לא ע' בהרא"ש</w:t>
      </w:r>
      <w:r>
        <w:rPr>
          <w:rFonts w:cs="Arial" w:hint="cs"/>
          <w:rtl/>
        </w:rPr>
        <w:t>.</w:t>
      </w:r>
      <w:r>
        <w:rPr>
          <w:rFonts w:hint="cs"/>
          <w:rtl/>
        </w:rPr>
        <w:t xml:space="preserve"> עכ"ל הב"ש. וצל"ע שלא הבנתי מאיפה הכריח שדעת הרא"ש כן (כך משמע קצת ממה שהוסיף שם הקו"נ, אבל עדיין לא הבנתי למה זה מוכרח. צל"ע).</w:t>
      </w:r>
    </w:p>
  </w:footnote>
  <w:footnote w:id="2617">
    <w:p w14:paraId="4BED3655" w14:textId="2F283A21" w:rsidR="00392DBB" w:rsidRDefault="00392DBB" w:rsidP="00392DBB">
      <w:pPr>
        <w:pStyle w:val="a5"/>
        <w:rPr>
          <w:rtl/>
        </w:rPr>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A56D15">
        <w:rPr>
          <w:rFonts w:cs="Arial"/>
          <w:rtl/>
        </w:rPr>
        <w:t xml:space="preserve">יורש שמכר כל נכסי אביו, ואין בעל חוב יכול לטרוף מהלקוחות, כגון שמכרם </w:t>
      </w:r>
      <w:r>
        <w:rPr>
          <w:rFonts w:cs="Arial" w:hint="cs"/>
          <w:rtl/>
        </w:rPr>
        <w:t>לגוים</w:t>
      </w:r>
      <w:r w:rsidRPr="00A56D15">
        <w:rPr>
          <w:rFonts w:cs="Arial"/>
          <w:rtl/>
        </w:rPr>
        <w:t xml:space="preserve"> וכיוצא בזה, יש מי שאומר שגובה מהדמים שביד היתומים, וי"א שאינו גובה.</w:t>
      </w:r>
      <w:r>
        <w:rPr>
          <w:rFonts w:hint="cs"/>
          <w:rtl/>
        </w:rPr>
        <w:t xml:space="preserve"> עכ"ל. וקיי"ל די"א וי"א - הלכה כי"א בתרא.</w:t>
      </w:r>
    </w:p>
  </w:footnote>
  <w:footnote w:id="2618">
    <w:p w14:paraId="664A2F65" w14:textId="77777777" w:rsidR="00392DBB" w:rsidRDefault="00392DBB" w:rsidP="00392DBB">
      <w:pPr>
        <w:pStyle w:val="a5"/>
      </w:pPr>
      <w:r>
        <w:rPr>
          <w:rStyle w:val="a7"/>
        </w:rPr>
        <w:footnoteRef/>
      </w:r>
      <w:r>
        <w:rPr>
          <w:rtl/>
        </w:rPr>
        <w:t xml:space="preserve"> </w:t>
      </w:r>
      <w:r w:rsidRPr="00777FF1">
        <w:rPr>
          <w:rFonts w:cs="Arial"/>
          <w:rtl/>
        </w:rPr>
        <w:t xml:space="preserve">אע"ג דלעיל בסימן קי"א גבי כתובת בנין דכרין סעיף ה' לא פסק כן עיין בתוספות שהקשו קושיא זו </w:t>
      </w:r>
      <w:r>
        <w:rPr>
          <w:rFonts w:cs="Arial" w:hint="cs"/>
          <w:sz w:val="16"/>
          <w:szCs w:val="16"/>
          <w:rtl/>
        </w:rPr>
        <w:t>{ותירצו ד</w:t>
      </w:r>
      <w:r w:rsidRPr="00777FF1">
        <w:rPr>
          <w:rFonts w:cs="Arial"/>
          <w:sz w:val="16"/>
          <w:szCs w:val="16"/>
          <w:rtl/>
        </w:rPr>
        <w:t>כאן למעקר ירושה דאוריית</w:t>
      </w:r>
      <w:r w:rsidRPr="00777FF1">
        <w:rPr>
          <w:rFonts w:cs="Arial" w:hint="cs"/>
          <w:sz w:val="16"/>
          <w:szCs w:val="16"/>
          <w:rtl/>
        </w:rPr>
        <w:t>א</w:t>
      </w:r>
      <w:r w:rsidRPr="00777FF1">
        <w:rPr>
          <w:rFonts w:cs="Arial"/>
          <w:sz w:val="16"/>
          <w:szCs w:val="16"/>
          <w:rtl/>
        </w:rPr>
        <w:t xml:space="preserve"> שאני</w:t>
      </w:r>
      <w:r>
        <w:rPr>
          <w:rFonts w:cs="Arial" w:hint="cs"/>
          <w:sz w:val="16"/>
          <w:szCs w:val="16"/>
          <w:rtl/>
        </w:rPr>
        <w:t xml:space="preserve">} </w:t>
      </w:r>
      <w:r w:rsidRPr="00777FF1">
        <w:rPr>
          <w:rFonts w:cs="Arial"/>
          <w:rtl/>
        </w:rPr>
        <w:t>ועיין בב"ח</w:t>
      </w:r>
      <w:r>
        <w:rPr>
          <w:rFonts w:cs="Arial" w:hint="cs"/>
          <w:rtl/>
        </w:rPr>
        <w:t>, ח"מ (סקכ"ז).</w:t>
      </w:r>
      <w:r w:rsidRPr="00777FF1">
        <w:rPr>
          <w:rFonts w:cs="Arial"/>
          <w:rtl/>
        </w:rPr>
        <w:t xml:space="preserve"> </w:t>
      </w:r>
    </w:p>
  </w:footnote>
  <w:footnote w:id="2619">
    <w:p w14:paraId="470931B3" w14:textId="77777777" w:rsidR="00392DBB" w:rsidRDefault="00392DBB" w:rsidP="00392DBB">
      <w:pPr>
        <w:pStyle w:val="a5"/>
      </w:pPr>
      <w:r>
        <w:rPr>
          <w:rStyle w:val="a7"/>
        </w:rPr>
        <w:footnoteRef/>
      </w:r>
      <w:r>
        <w:rPr>
          <w:rtl/>
        </w:rPr>
        <w:t xml:space="preserve"> </w:t>
      </w:r>
      <w:r w:rsidRPr="005E4949">
        <w:rPr>
          <w:rFonts w:cs="Arial"/>
          <w:rtl/>
        </w:rPr>
        <w:t>אפי' באו הנכסים ליד ב"ד והעמידו אפוטרופוס</w:t>
      </w:r>
      <w:r>
        <w:rPr>
          <w:rFonts w:cs="Arial" w:hint="cs"/>
          <w:rtl/>
        </w:rPr>
        <w:t>,</w:t>
      </w:r>
      <w:r w:rsidRPr="005E4949">
        <w:rPr>
          <w:rFonts w:cs="Arial"/>
          <w:rtl/>
        </w:rPr>
        <w:t xml:space="preserve"> מ"מ אם נתרבו חזרו לדין מרובים</w:t>
      </w:r>
      <w:r>
        <w:rPr>
          <w:rFonts w:cs="Arial" w:hint="cs"/>
          <w:rtl/>
        </w:rPr>
        <w:t>.</w:t>
      </w:r>
      <w:r w:rsidRPr="005E4949">
        <w:rPr>
          <w:rFonts w:cs="Arial"/>
          <w:rtl/>
        </w:rPr>
        <w:t xml:space="preserve"> א</w:t>
      </w:r>
      <w:r>
        <w:rPr>
          <w:rFonts w:cs="Arial" w:hint="cs"/>
          <w:rtl/>
        </w:rPr>
        <w:t>ע"ג</w:t>
      </w:r>
      <w:r w:rsidRPr="005E4949">
        <w:rPr>
          <w:rFonts w:cs="Arial"/>
          <w:rtl/>
        </w:rPr>
        <w:t xml:space="preserve"> </w:t>
      </w:r>
      <w:r>
        <w:rPr>
          <w:rFonts w:cs="Arial" w:hint="cs"/>
          <w:rtl/>
        </w:rPr>
        <w:t>ד</w:t>
      </w:r>
      <w:r w:rsidRPr="005E4949">
        <w:rPr>
          <w:rFonts w:cs="Arial"/>
          <w:rtl/>
        </w:rPr>
        <w:t>לענין מכירה לא אמרי כן</w:t>
      </w:r>
      <w:r>
        <w:rPr>
          <w:rFonts w:cs="Arial" w:hint="cs"/>
          <w:rtl/>
        </w:rPr>
        <w:t>,</w:t>
      </w:r>
      <w:r w:rsidRPr="005E4949">
        <w:rPr>
          <w:rFonts w:cs="Arial"/>
          <w:rtl/>
        </w:rPr>
        <w:t xml:space="preserve"> כמ"ש </w:t>
      </w:r>
      <w:r>
        <w:rPr>
          <w:rFonts w:cs="Arial" w:hint="cs"/>
          <w:sz w:val="16"/>
          <w:szCs w:val="16"/>
          <w:rtl/>
        </w:rPr>
        <w:t xml:space="preserve">{הרמ"א} </w:t>
      </w:r>
      <w:r w:rsidRPr="005E4949">
        <w:rPr>
          <w:rFonts w:cs="Arial"/>
          <w:rtl/>
        </w:rPr>
        <w:t>בסמוך</w:t>
      </w:r>
      <w:r>
        <w:rPr>
          <w:rFonts w:cs="Arial" w:hint="cs"/>
          <w:rtl/>
        </w:rPr>
        <w:t>,</w:t>
      </w:r>
      <w:r w:rsidRPr="005E4949">
        <w:rPr>
          <w:rFonts w:cs="Arial"/>
          <w:rtl/>
        </w:rPr>
        <w:t xml:space="preserve"> שאני מכירה שמפסיד אותם לגמרי</w:t>
      </w:r>
      <w:r>
        <w:rPr>
          <w:rFonts w:cs="Arial" w:hint="cs"/>
          <w:rtl/>
        </w:rPr>
        <w:t>.</w:t>
      </w:r>
      <w:r w:rsidRPr="005E4949">
        <w:rPr>
          <w:rFonts w:cs="Arial"/>
          <w:rtl/>
        </w:rPr>
        <w:t xml:space="preserve"> וכן הוא מפורש בהרא"ש</w:t>
      </w:r>
      <w:r>
        <w:rPr>
          <w:rFonts w:cs="Arial" w:hint="cs"/>
          <w:rtl/>
        </w:rPr>
        <w:t xml:space="preserve"> (ב"ב פ"ט סי' ב),</w:t>
      </w:r>
      <w:r w:rsidRPr="005E4949">
        <w:rPr>
          <w:rFonts w:cs="Arial"/>
          <w:rtl/>
        </w:rPr>
        <w:t xml:space="preserve"> והב"י לא ע' בהרא"ש</w:t>
      </w:r>
      <w:r>
        <w:rPr>
          <w:rFonts w:cs="Arial" w:hint="cs"/>
          <w:rtl/>
        </w:rPr>
        <w:t>.</w:t>
      </w:r>
      <w:r w:rsidRPr="005E4949">
        <w:rPr>
          <w:rFonts w:cs="Arial"/>
          <w:rtl/>
        </w:rPr>
        <w:t xml:space="preserve"> והתוס' ור</w:t>
      </w:r>
      <w:r>
        <w:rPr>
          <w:rFonts w:cs="Arial" w:hint="cs"/>
          <w:rtl/>
        </w:rPr>
        <w:t>שב"א</w:t>
      </w:r>
      <w:r w:rsidRPr="005E4949">
        <w:rPr>
          <w:rFonts w:cs="Arial"/>
          <w:rtl/>
        </w:rPr>
        <w:t xml:space="preserve"> והמגיד ס"ל אלו שני דינים שוים</w:t>
      </w:r>
      <w:r>
        <w:rPr>
          <w:rFonts w:cs="Arial" w:hint="cs"/>
          <w:rtl/>
        </w:rPr>
        <w:t>.</w:t>
      </w:r>
      <w:r w:rsidRPr="005E4949">
        <w:rPr>
          <w:rFonts w:cs="Arial"/>
          <w:rtl/>
        </w:rPr>
        <w:t xml:space="preserve"> אבל לכל הפוסקים אין חילוק בין עמדו לדין לבין אם תפסו הנכסים</w:t>
      </w:r>
      <w:r>
        <w:rPr>
          <w:rFonts w:cs="Arial" w:hint="cs"/>
          <w:rtl/>
        </w:rPr>
        <w:t>, ב"ש (סקכ"ט).</w:t>
      </w:r>
      <w:r>
        <w:rPr>
          <w:rFonts w:hint="cs"/>
          <w:rtl/>
        </w:rPr>
        <w:t xml:space="preserve"> </w:t>
      </w:r>
    </w:p>
  </w:footnote>
  <w:footnote w:id="2620">
    <w:p w14:paraId="46C46B1B" w14:textId="77777777" w:rsidR="00392DBB" w:rsidRDefault="00392DBB" w:rsidP="00392DBB">
      <w:pPr>
        <w:pStyle w:val="a5"/>
      </w:pPr>
      <w:r>
        <w:rPr>
          <w:rStyle w:val="a7"/>
        </w:rPr>
        <w:footnoteRef/>
      </w:r>
      <w:r>
        <w:rPr>
          <w:rtl/>
        </w:rPr>
        <w:t xml:space="preserve"> </w:t>
      </w:r>
      <w:r w:rsidRPr="00384F6D">
        <w:rPr>
          <w:rFonts w:cs="Arial"/>
          <w:rtl/>
        </w:rPr>
        <w:t>כן הוא ל' הטור ולא ידעתי למה לא סתם וכתב יש להם דין מרובים לענין מכירה לצורך מצוה ושהבנו</w:t>
      </w:r>
      <w:r>
        <w:rPr>
          <w:rFonts w:cs="Arial" w:hint="cs"/>
          <w:rtl/>
        </w:rPr>
        <w:t>ת</w:t>
      </w:r>
      <w:r w:rsidRPr="00384F6D">
        <w:rPr>
          <w:rFonts w:cs="Arial"/>
          <w:rtl/>
        </w:rPr>
        <w:t xml:space="preserve"> ניזונות מתחת ידם</w:t>
      </w:r>
      <w:r>
        <w:rPr>
          <w:rFonts w:cs="Arial" w:hint="cs"/>
          <w:rtl/>
        </w:rPr>
        <w:t>, ח"מ (סקכ"ט).</w:t>
      </w:r>
    </w:p>
  </w:footnote>
  <w:footnote w:id="2621">
    <w:p w14:paraId="784DC4CB" w14:textId="77777777" w:rsidR="00392DBB" w:rsidRDefault="00392DBB" w:rsidP="00392DBB">
      <w:pPr>
        <w:pStyle w:val="a5"/>
      </w:pPr>
      <w:r>
        <w:rPr>
          <w:rStyle w:val="a7"/>
        </w:rPr>
        <w:footnoteRef/>
      </w:r>
      <w:r>
        <w:rPr>
          <w:rtl/>
        </w:rPr>
        <w:t xml:space="preserve"> </w:t>
      </w:r>
      <w:r w:rsidRPr="00504C32">
        <w:rPr>
          <w:rFonts w:cs="Arial"/>
          <w:rtl/>
        </w:rPr>
        <w:t>אפי' ממעות דלאו הני זוזי שבק אביהם</w:t>
      </w:r>
      <w:r>
        <w:rPr>
          <w:rFonts w:cs="Arial" w:hint="cs"/>
          <w:rtl/>
        </w:rPr>
        <w:t>.</w:t>
      </w:r>
      <w:r w:rsidRPr="00504C32">
        <w:rPr>
          <w:rFonts w:cs="Arial"/>
          <w:rtl/>
        </w:rPr>
        <w:t xml:space="preserve"> והרא"ש ור</w:t>
      </w:r>
      <w:r>
        <w:rPr>
          <w:rFonts w:cs="Arial" w:hint="cs"/>
          <w:rtl/>
        </w:rPr>
        <w:t>ב האי</w:t>
      </w:r>
      <w:r w:rsidRPr="00504C32">
        <w:rPr>
          <w:rFonts w:cs="Arial"/>
          <w:rtl/>
        </w:rPr>
        <w:t xml:space="preserve"> חולקים בזה</w:t>
      </w:r>
      <w:r>
        <w:rPr>
          <w:rFonts w:cs="Arial" w:hint="cs"/>
          <w:rtl/>
        </w:rPr>
        <w:t>.</w:t>
      </w:r>
      <w:r w:rsidRPr="00504C32">
        <w:rPr>
          <w:rFonts w:cs="Arial"/>
          <w:rtl/>
        </w:rPr>
        <w:t xml:space="preserve"> ובח</w:t>
      </w:r>
      <w:r>
        <w:rPr>
          <w:rFonts w:cs="Arial" w:hint="cs"/>
          <w:rtl/>
        </w:rPr>
        <w:t>ו"מ</w:t>
      </w:r>
      <w:r w:rsidRPr="00504C32">
        <w:rPr>
          <w:rFonts w:cs="Arial"/>
          <w:rtl/>
        </w:rPr>
        <w:t xml:space="preserve"> סי' ק"ז הביא</w:t>
      </w:r>
      <w:r>
        <w:rPr>
          <w:rFonts w:cs="Arial" w:hint="cs"/>
          <w:sz w:val="16"/>
          <w:szCs w:val="16"/>
          <w:rtl/>
        </w:rPr>
        <w:t xml:space="preserve"> {השו"ע}</w:t>
      </w:r>
      <w:r w:rsidRPr="00504C32">
        <w:rPr>
          <w:rFonts w:cs="Arial"/>
          <w:rtl/>
        </w:rPr>
        <w:t xml:space="preserve"> שני דעות אלו ולא הכריע</w:t>
      </w:r>
      <w:r>
        <w:rPr>
          <w:rFonts w:cs="Arial" w:hint="cs"/>
          <w:rtl/>
        </w:rPr>
        <w:t>.</w:t>
      </w:r>
      <w:r w:rsidRPr="00504C32">
        <w:rPr>
          <w:rFonts w:cs="Arial"/>
          <w:rtl/>
        </w:rPr>
        <w:t xml:space="preserve"> וכאן הואיל היורשים מוחזקים מ</w:t>
      </w:r>
      <w:r>
        <w:rPr>
          <w:rFonts w:cs="Arial" w:hint="cs"/>
          <w:rtl/>
        </w:rPr>
        <w:t>שום הכי</w:t>
      </w:r>
      <w:r w:rsidRPr="00504C32">
        <w:rPr>
          <w:rFonts w:cs="Arial"/>
          <w:rtl/>
        </w:rPr>
        <w:t xml:space="preserve"> כתב </w:t>
      </w:r>
      <w:r>
        <w:rPr>
          <w:rFonts w:cs="Arial" w:hint="cs"/>
          <w:sz w:val="16"/>
          <w:szCs w:val="16"/>
          <w:rtl/>
        </w:rPr>
        <w:t>{הרמ"א}</w:t>
      </w:r>
      <w:r>
        <w:rPr>
          <w:rFonts w:cs="Arial" w:hint="cs"/>
          <w:rtl/>
        </w:rPr>
        <w:t xml:space="preserve"> </w:t>
      </w:r>
      <w:r w:rsidRPr="00504C32">
        <w:rPr>
          <w:rFonts w:cs="Arial"/>
          <w:rtl/>
        </w:rPr>
        <w:t>דנדחו הבנות</w:t>
      </w:r>
      <w:r>
        <w:rPr>
          <w:rFonts w:cs="Arial" w:hint="cs"/>
          <w:rtl/>
        </w:rPr>
        <w:t>.</w:t>
      </w:r>
      <w:r w:rsidRPr="00504C32">
        <w:rPr>
          <w:rFonts w:cs="Arial"/>
          <w:rtl/>
        </w:rPr>
        <w:t xml:space="preserve"> אבל שם בח</w:t>
      </w:r>
      <w:r>
        <w:rPr>
          <w:rFonts w:cs="Arial" w:hint="cs"/>
          <w:rtl/>
        </w:rPr>
        <w:t>ו"מ</w:t>
      </w:r>
      <w:r w:rsidRPr="00504C32">
        <w:rPr>
          <w:rFonts w:cs="Arial"/>
          <w:rtl/>
        </w:rPr>
        <w:t xml:space="preserve"> שניהם שוים</w:t>
      </w:r>
      <w:r>
        <w:rPr>
          <w:rFonts w:cs="Arial" w:hint="cs"/>
          <w:rtl/>
        </w:rPr>
        <w:t>,</w:t>
      </w:r>
      <w:r w:rsidRPr="00504C32">
        <w:rPr>
          <w:rFonts w:cs="Arial"/>
          <w:rtl/>
        </w:rPr>
        <w:t xml:space="preserve"> היורשים וב"ח דשיעבודו דאוריית</w:t>
      </w:r>
      <w:r>
        <w:rPr>
          <w:rFonts w:cs="Arial" w:hint="cs"/>
          <w:rtl/>
        </w:rPr>
        <w:t>א</w:t>
      </w:r>
      <w:r w:rsidRPr="00504C32">
        <w:rPr>
          <w:rFonts w:cs="Arial"/>
          <w:rtl/>
        </w:rPr>
        <w:t xml:space="preserve"> הוא</w:t>
      </w:r>
      <w:r>
        <w:rPr>
          <w:rFonts w:cs="Arial" w:hint="cs"/>
          <w:rtl/>
        </w:rPr>
        <w:t>.</w:t>
      </w:r>
      <w:r w:rsidRPr="00504C32">
        <w:rPr>
          <w:rFonts w:cs="Arial"/>
          <w:rtl/>
        </w:rPr>
        <w:t xml:space="preserve"> וע' סי' צ"ג</w:t>
      </w:r>
      <w:r>
        <w:rPr>
          <w:rFonts w:cs="Arial" w:hint="cs"/>
          <w:rtl/>
        </w:rPr>
        <w:t>.</w:t>
      </w:r>
      <w:r w:rsidRPr="00504C32">
        <w:rPr>
          <w:rFonts w:cs="Arial"/>
          <w:rtl/>
        </w:rPr>
        <w:t xml:space="preserve"> מיהו צריך ישוב למה לא הגיה הרב רמ"א כלום בסי' צ"ג</w:t>
      </w:r>
      <w:r>
        <w:rPr>
          <w:rFonts w:cs="Arial" w:hint="cs"/>
          <w:rtl/>
        </w:rPr>
        <w:t>, ב"ש (סק"ל).</w:t>
      </w:r>
    </w:p>
  </w:footnote>
  <w:footnote w:id="2622">
    <w:p w14:paraId="5A83A5B7" w14:textId="77777777" w:rsidR="00392DBB" w:rsidRDefault="00392DBB" w:rsidP="00392DBB">
      <w:pPr>
        <w:pStyle w:val="a5"/>
      </w:pPr>
      <w:r>
        <w:rPr>
          <w:rStyle w:val="a7"/>
        </w:rPr>
        <w:footnoteRef/>
      </w:r>
      <w:r>
        <w:rPr>
          <w:rtl/>
        </w:rPr>
        <w:t xml:space="preserve"> </w:t>
      </w:r>
      <w:r w:rsidRPr="00504C32">
        <w:rPr>
          <w:rFonts w:cs="Arial"/>
          <w:rtl/>
        </w:rPr>
        <w:t>אף על פי דלגבי מועטים ונתרבו ס"ל להרא"ש כדעת המפרשים אפילו לאחר שהחזיקו ב"ד הנכסים ביד הבנו' אבל כאן גבי מכירה דעת הרא"ש כאותן מפרשים דס"ל דוקא קודם שהחזיקו הב"ד ועיין בב"ח</w:t>
      </w:r>
      <w:r>
        <w:rPr>
          <w:rFonts w:cs="Arial" w:hint="cs"/>
          <w:rtl/>
        </w:rPr>
        <w:t>, ח"מ (סקל"א).</w:t>
      </w:r>
    </w:p>
  </w:footnote>
  <w:footnote w:id="2623">
    <w:p w14:paraId="077954FF" w14:textId="77777777" w:rsidR="00392DBB" w:rsidRDefault="00392DBB" w:rsidP="00392DBB">
      <w:pPr>
        <w:pStyle w:val="a5"/>
      </w:pPr>
      <w:r>
        <w:rPr>
          <w:rStyle w:val="a7"/>
        </w:rPr>
        <w:footnoteRef/>
      </w:r>
      <w:r>
        <w:rPr>
          <w:rtl/>
        </w:rPr>
        <w:t xml:space="preserve"> </w:t>
      </w:r>
      <w:r w:rsidRPr="00C208C3">
        <w:rPr>
          <w:rFonts w:cs="Arial"/>
          <w:rtl/>
        </w:rPr>
        <w:t>והנה מה דפסק דהני זוזי חליפי הבית לא משתעבדי לענין מזונות הבת הוא פשוט וברור אך מה דפסק כן בפשיטות גם לענין פרנסה צ"ע טובא כי שני גדולי הדור בס' ישועות יעקב ובס' בית מאיר סי' קי"ג ס"ה לא כתבו כן אלא דלענין פרנסה כ"ע מודים דאם מכרו למקום שא"א לטרוף מחוייבים היורשים לסלק מהמעות כו'. (ויובא דבריהם בסי' קי"ג שם סקי"א)</w:t>
      </w:r>
      <w:r>
        <w:rPr>
          <w:rFonts w:cs="Arial" w:hint="cs"/>
          <w:rtl/>
        </w:rPr>
        <w:t>, פת"ש (סק"ה).</w:t>
      </w:r>
    </w:p>
  </w:footnote>
  <w:footnote w:id="2624">
    <w:p w14:paraId="3D35BC4C" w14:textId="3C079BF3" w:rsidR="007A56DC" w:rsidRDefault="007A56DC" w:rsidP="007A56DC">
      <w:pPr>
        <w:pStyle w:val="a5"/>
      </w:pPr>
      <w:r>
        <w:rPr>
          <w:rStyle w:val="a7"/>
        </w:rPr>
        <w:footnoteRef/>
      </w:r>
      <w:r>
        <w:rPr>
          <w:rtl/>
        </w:rPr>
        <w:t xml:space="preserve"> </w:t>
      </w:r>
      <w:r>
        <w:rPr>
          <w:rFonts w:hint="cs"/>
          <w:rtl/>
        </w:rPr>
        <w:t xml:space="preserve">סימן - </w:t>
      </w:r>
      <w:r>
        <w:rPr>
          <w:rFonts w:hint="cs"/>
          <w:rtl/>
        </w:rPr>
        <w:t>מיעוט ב</w:t>
      </w:r>
      <w:r>
        <w:rPr>
          <w:rFonts w:hint="cs"/>
          <w:rtl/>
        </w:rPr>
        <w:t>קניינים.</w:t>
      </w:r>
    </w:p>
  </w:footnote>
  <w:footnote w:id="2625">
    <w:p w14:paraId="54BE633F" w14:textId="77777777" w:rsidR="00392DBB" w:rsidRDefault="00392DBB" w:rsidP="00392DBB">
      <w:pPr>
        <w:pStyle w:val="a5"/>
      </w:pPr>
      <w:r>
        <w:rPr>
          <w:rStyle w:val="a7"/>
        </w:rPr>
        <w:footnoteRef/>
      </w:r>
      <w:r>
        <w:rPr>
          <w:rtl/>
        </w:rPr>
        <w:t xml:space="preserve"> </w:t>
      </w:r>
      <w:r>
        <w:rPr>
          <w:rFonts w:hint="cs"/>
          <w:rtl/>
        </w:rPr>
        <w:t>וכן הוא בירושלמי מסכות כתובות פי"ג ה"ג.</w:t>
      </w:r>
    </w:p>
  </w:footnote>
  <w:footnote w:id="2626">
    <w:p w14:paraId="26F252F6" w14:textId="10614B67"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6D4511">
        <w:rPr>
          <w:rFonts w:cs="Arial"/>
          <w:rtl/>
        </w:rPr>
        <w:t>היו הנכסים מרובין ויש עליו חוב</w:t>
      </w:r>
      <w:r>
        <w:rPr>
          <w:rFonts w:cs="Arial" w:hint="cs"/>
          <w:rtl/>
        </w:rPr>
        <w:t>,</w:t>
      </w:r>
      <w:r w:rsidRPr="006D4511">
        <w:rPr>
          <w:rFonts w:cs="Arial"/>
          <w:rtl/>
        </w:rPr>
        <w:t xml:space="preserve"> או שהתנה עם אשתו שיזון את בתה</w:t>
      </w:r>
      <w:r>
        <w:rPr>
          <w:rFonts w:cs="Arial" w:hint="cs"/>
          <w:rtl/>
        </w:rPr>
        <w:t xml:space="preserve"> -</w:t>
      </w:r>
      <w:r w:rsidRPr="006D4511">
        <w:rPr>
          <w:rFonts w:cs="Arial"/>
          <w:rtl/>
        </w:rPr>
        <w:t xml:space="preserve"> אין החוב ולא מזונות בת אשתו ממעטין בנכסים</w:t>
      </w:r>
      <w:r>
        <w:rPr>
          <w:rFonts w:cs="Arial" w:hint="cs"/>
          <w:rtl/>
        </w:rPr>
        <w:t>,</w:t>
      </w:r>
      <w:r w:rsidRPr="006D4511">
        <w:rPr>
          <w:rFonts w:cs="Arial"/>
          <w:rtl/>
        </w:rPr>
        <w:t xml:space="preserve"> אלא יירשו הבנים הכל ויתנו לבעל חוב חובו</w:t>
      </w:r>
      <w:r>
        <w:rPr>
          <w:rFonts w:cs="Arial" w:hint="cs"/>
          <w:rtl/>
        </w:rPr>
        <w:t>,</w:t>
      </w:r>
      <w:r w:rsidRPr="006D4511">
        <w:rPr>
          <w:rFonts w:cs="Arial"/>
          <w:rtl/>
        </w:rPr>
        <w:t xml:space="preserve"> ויזונו בת אשת אביהן עד זמן שפסק</w:t>
      </w:r>
      <w:r>
        <w:rPr>
          <w:rFonts w:cs="Arial" w:hint="cs"/>
          <w:rtl/>
        </w:rPr>
        <w:t>.</w:t>
      </w:r>
    </w:p>
  </w:footnote>
  <w:footnote w:id="2627">
    <w:p w14:paraId="3965707F" w14:textId="77777777" w:rsidR="00392DBB" w:rsidRDefault="00392DBB" w:rsidP="00392DBB">
      <w:pPr>
        <w:pStyle w:val="a5"/>
        <w:rPr>
          <w:rtl/>
        </w:rPr>
      </w:pPr>
      <w:r>
        <w:rPr>
          <w:rStyle w:val="a7"/>
        </w:rPr>
        <w:footnoteRef/>
      </w:r>
      <w:r>
        <w:rPr>
          <w:rtl/>
        </w:rPr>
        <w:t xml:space="preserve"> </w:t>
      </w:r>
      <w:r w:rsidRPr="00B345A5">
        <w:rPr>
          <w:rFonts w:cs="Arial"/>
          <w:rtl/>
        </w:rPr>
        <w:t>בנמוק</w:t>
      </w:r>
      <w:r>
        <w:rPr>
          <w:rFonts w:cs="Arial" w:hint="cs"/>
          <w:rtl/>
        </w:rPr>
        <w:t>"</w:t>
      </w:r>
      <w:r w:rsidRPr="00B345A5">
        <w:rPr>
          <w:rFonts w:cs="Arial"/>
          <w:rtl/>
        </w:rPr>
        <w:t xml:space="preserve">י </w:t>
      </w:r>
      <w:r w:rsidRPr="00AC7EAB">
        <w:rPr>
          <w:rFonts w:cs="Arial" w:hint="cs"/>
          <w:sz w:val="16"/>
          <w:szCs w:val="16"/>
          <w:rtl/>
        </w:rPr>
        <w:t>(</w:t>
      </w:r>
      <w:r w:rsidRPr="00AC7EAB">
        <w:rPr>
          <w:rFonts w:cs="Arial"/>
          <w:sz w:val="16"/>
          <w:szCs w:val="16"/>
          <w:rtl/>
        </w:rPr>
        <w:t>פ</w:t>
      </w:r>
      <w:r w:rsidRPr="00AC7EAB">
        <w:rPr>
          <w:rFonts w:cs="Arial" w:hint="cs"/>
          <w:sz w:val="16"/>
          <w:szCs w:val="16"/>
          <w:rtl/>
        </w:rPr>
        <w:t>'</w:t>
      </w:r>
      <w:r w:rsidRPr="00AC7EAB">
        <w:rPr>
          <w:rFonts w:cs="Arial"/>
          <w:sz w:val="16"/>
          <w:szCs w:val="16"/>
          <w:rtl/>
        </w:rPr>
        <w:t xml:space="preserve"> מי שמת סה: ד"ה אמר המחבר) </w:t>
      </w:r>
      <w:r w:rsidRPr="00B345A5">
        <w:rPr>
          <w:rFonts w:cs="Arial"/>
          <w:rtl/>
        </w:rPr>
        <w:t>משמע דוקא חוב על פה אינו ממעט אבל חוב שיש עליו שטר ממעט</w:t>
      </w:r>
      <w:r>
        <w:rPr>
          <w:rFonts w:cs="Arial" w:hint="cs"/>
          <w:rtl/>
        </w:rPr>
        <w:t>, דרכ"מ (אות ד).</w:t>
      </w:r>
      <w:r>
        <w:rPr>
          <w:rFonts w:hint="cs"/>
          <w:rtl/>
        </w:rPr>
        <w:t xml:space="preserve"> וחלקו הח"מ (סקל"ב) והב"ש (סקל"א) על הנמוק"י.</w:t>
      </w:r>
    </w:p>
  </w:footnote>
  <w:footnote w:id="2628">
    <w:p w14:paraId="03999CC5" w14:textId="77777777" w:rsidR="00392DBB" w:rsidRDefault="00392DBB" w:rsidP="00392DBB">
      <w:pPr>
        <w:pStyle w:val="a5"/>
      </w:pPr>
      <w:r>
        <w:rPr>
          <w:rStyle w:val="a7"/>
        </w:rPr>
        <w:footnoteRef/>
      </w:r>
      <w:r>
        <w:rPr>
          <w:rtl/>
        </w:rPr>
        <w:t xml:space="preserve"> </w:t>
      </w:r>
      <w:r>
        <w:rPr>
          <w:rFonts w:hint="cs"/>
          <w:rtl/>
        </w:rPr>
        <w:t>ועיין בהערה שמובאת בסוף דברי השו"ע בסעיף זה.</w:t>
      </w:r>
    </w:p>
  </w:footnote>
  <w:footnote w:id="2629">
    <w:p w14:paraId="371FE2DF" w14:textId="437B2921" w:rsidR="00392DBB" w:rsidRDefault="00392DBB" w:rsidP="00392DBB">
      <w:pPr>
        <w:pStyle w:val="a5"/>
      </w:pPr>
      <w:r>
        <w:rPr>
          <w:rStyle w:val="a7"/>
        </w:rPr>
        <w:footnoteRef/>
      </w:r>
      <w:r>
        <w:rPr>
          <w:rtl/>
        </w:rPr>
        <w:t xml:space="preserve"> </w:t>
      </w:r>
      <w:r w:rsidRPr="00337BD6">
        <w:rPr>
          <w:rFonts w:cs="Arial"/>
          <w:rtl/>
        </w:rPr>
        <w:t>אין חילוק בין חוב בשטר לחוב בע"פ</w:t>
      </w:r>
      <w:r w:rsidR="00B36682">
        <w:rPr>
          <w:rFonts w:cs="Arial" w:hint="cs"/>
          <w:rtl/>
        </w:rPr>
        <w:t>,</w:t>
      </w:r>
      <w:r w:rsidRPr="00337BD6">
        <w:rPr>
          <w:rFonts w:cs="Arial"/>
          <w:rtl/>
        </w:rPr>
        <w:t xml:space="preserve"> לא כנ"י</w:t>
      </w:r>
      <w:r w:rsidR="003A0955">
        <w:rPr>
          <w:rFonts w:cs="Arial" w:hint="cs"/>
          <w:rtl/>
        </w:rPr>
        <w:t>,</w:t>
      </w:r>
      <w:r w:rsidRPr="00337BD6">
        <w:rPr>
          <w:rFonts w:cs="Arial"/>
          <w:rtl/>
        </w:rPr>
        <w:t xml:space="preserve"> דדוקא כתובה ממעט מטעם שכתב הרא"ש (הביאו הב"י סי' זה סקי"ט) אבל לא </w:t>
      </w:r>
      <w:r>
        <w:rPr>
          <w:rFonts w:cs="Arial" w:hint="cs"/>
          <w:rtl/>
        </w:rPr>
        <w:t>שטר חוב, ח"מ (סקל"ב).</w:t>
      </w:r>
    </w:p>
  </w:footnote>
  <w:footnote w:id="2630">
    <w:p w14:paraId="5D4F4C6B" w14:textId="0225E06F" w:rsidR="00392DBB" w:rsidRDefault="00392DBB" w:rsidP="00392DBB">
      <w:pPr>
        <w:pStyle w:val="a5"/>
      </w:pPr>
      <w:r>
        <w:rPr>
          <w:rStyle w:val="a7"/>
        </w:rPr>
        <w:footnoteRef/>
      </w:r>
      <w:r>
        <w:rPr>
          <w:rtl/>
        </w:rPr>
        <w:t xml:space="preserve"> </w:t>
      </w:r>
      <w:r w:rsidRPr="00351DDE">
        <w:rPr>
          <w:rFonts w:cs="Arial"/>
          <w:rtl/>
        </w:rPr>
        <w:t>בש"ס מבעי' חוב או מזונות בת אשתו אם ממעט ועלתה בתיקו</w:t>
      </w:r>
      <w:r w:rsidR="00A93ABA">
        <w:rPr>
          <w:rFonts w:cs="Arial" w:hint="cs"/>
          <w:rtl/>
        </w:rPr>
        <w:t>,</w:t>
      </w:r>
      <w:r w:rsidRPr="00351DDE">
        <w:rPr>
          <w:rFonts w:cs="Arial"/>
          <w:rtl/>
        </w:rPr>
        <w:t xml:space="preserve"> וקי"ל הנכסים קיימ' בחזקת הבנים לכן זכו הבנים</w:t>
      </w:r>
      <w:r w:rsidR="00A93ABA">
        <w:rPr>
          <w:rFonts w:cs="Arial" w:hint="cs"/>
          <w:rtl/>
        </w:rPr>
        <w:t>ץ</w:t>
      </w:r>
      <w:r w:rsidRPr="00351DDE">
        <w:rPr>
          <w:rFonts w:cs="Arial"/>
          <w:rtl/>
        </w:rPr>
        <w:t xml:space="preserve"> אבל עישור נכסים לית' בש"ס</w:t>
      </w:r>
      <w:r w:rsidR="00A93ABA">
        <w:rPr>
          <w:rFonts w:cs="Arial" w:hint="cs"/>
          <w:rtl/>
        </w:rPr>
        <w:t>,</w:t>
      </w:r>
      <w:r w:rsidRPr="00351DDE">
        <w:rPr>
          <w:rFonts w:cs="Arial"/>
          <w:rtl/>
        </w:rPr>
        <w:t xml:space="preserve"> אלא הרא"ש כתב כיון דלא מטי הזמן אינו ממעט</w:t>
      </w:r>
      <w:r w:rsidR="00A93ABA">
        <w:rPr>
          <w:rFonts w:cs="Arial" w:hint="cs"/>
          <w:rtl/>
        </w:rPr>
        <w:t>.</w:t>
      </w:r>
      <w:r w:rsidRPr="00351DDE">
        <w:rPr>
          <w:rFonts w:cs="Arial"/>
          <w:rtl/>
        </w:rPr>
        <w:t xml:space="preserve"> לפ"ז ל</w:t>
      </w:r>
      <w:r w:rsidR="00A93ABA">
        <w:rPr>
          <w:rFonts w:cs="Arial" w:hint="cs"/>
          <w:rtl/>
        </w:rPr>
        <w:t>א דמי</w:t>
      </w:r>
      <w:r w:rsidRPr="00351DDE">
        <w:rPr>
          <w:rFonts w:cs="Arial"/>
          <w:rtl/>
        </w:rPr>
        <w:t xml:space="preserve"> להני תרי מזון בת אשתו וחוב דשם עלתה בתיקו</w:t>
      </w:r>
      <w:r w:rsidR="00A93ABA">
        <w:rPr>
          <w:rFonts w:cs="Arial" w:hint="cs"/>
          <w:rtl/>
        </w:rPr>
        <w:t>,</w:t>
      </w:r>
      <w:r w:rsidRPr="00351DDE">
        <w:rPr>
          <w:rFonts w:cs="Arial"/>
          <w:rtl/>
        </w:rPr>
        <w:t xml:space="preserve"> ונ"מ לענין תפיסה כמ"ש לעיל</w:t>
      </w:r>
      <w:r w:rsidR="00A93ABA">
        <w:rPr>
          <w:rFonts w:cs="Arial" w:hint="cs"/>
          <w:rtl/>
        </w:rPr>
        <w:t>.</w:t>
      </w:r>
      <w:r w:rsidRPr="00351DDE">
        <w:rPr>
          <w:rFonts w:cs="Arial"/>
          <w:rtl/>
        </w:rPr>
        <w:t xml:space="preserve"> ואפשר עישור נכסים דכתב איירי דמטי הזמן ומדמה הטור לחוב</w:t>
      </w:r>
      <w:r w:rsidR="00A93ABA">
        <w:rPr>
          <w:rFonts w:cs="Arial" w:hint="cs"/>
          <w:rtl/>
        </w:rPr>
        <w:t>,</w:t>
      </w:r>
      <w:r w:rsidRPr="00351DDE">
        <w:rPr>
          <w:rFonts w:cs="Arial"/>
          <w:rtl/>
        </w:rPr>
        <w:t xml:space="preserve"> מ"ה כתב הני ג' דינים בחד בבא ובשלשתן מהני תפיסה כי עלו בתיקו</w:t>
      </w:r>
      <w:r>
        <w:rPr>
          <w:rFonts w:cs="Arial" w:hint="cs"/>
          <w:rtl/>
        </w:rPr>
        <w:t>, ב</w:t>
      </w:r>
      <w:r w:rsidR="00A93ABA">
        <w:rPr>
          <w:rFonts w:cs="Arial" w:hint="cs"/>
          <w:rtl/>
        </w:rPr>
        <w:t>"</w:t>
      </w:r>
      <w:r>
        <w:rPr>
          <w:rFonts w:cs="Arial" w:hint="cs"/>
          <w:rtl/>
        </w:rPr>
        <w:t>ש (סקל"ב).</w:t>
      </w:r>
    </w:p>
  </w:footnote>
  <w:footnote w:id="2631">
    <w:p w14:paraId="463382AE" w14:textId="2ABBB8B0" w:rsidR="00392DBB" w:rsidRDefault="00392DBB" w:rsidP="00392DBB">
      <w:pPr>
        <w:pStyle w:val="a5"/>
        <w:rPr>
          <w:rtl/>
        </w:rPr>
      </w:pPr>
      <w:r>
        <w:rPr>
          <w:rStyle w:val="a7"/>
        </w:rPr>
        <w:footnoteRef/>
      </w:r>
      <w:r>
        <w:rPr>
          <w:rtl/>
        </w:rPr>
        <w:t xml:space="preserve"> </w:t>
      </w:r>
      <w:r>
        <w:rPr>
          <w:rFonts w:hint="cs"/>
          <w:rtl/>
        </w:rPr>
        <w:t>זוהי דעת ה</w:t>
      </w:r>
      <w:r w:rsidRPr="008D2C72">
        <w:rPr>
          <w:rFonts w:cs="Arial"/>
          <w:rtl/>
        </w:rPr>
        <w:t>תוס</w:t>
      </w:r>
      <w:r>
        <w:rPr>
          <w:rFonts w:cs="Arial" w:hint="cs"/>
          <w:rtl/>
        </w:rPr>
        <w:t>'</w:t>
      </w:r>
      <w:r w:rsidRPr="008D2C72">
        <w:rPr>
          <w:rFonts w:cs="Arial"/>
          <w:rtl/>
        </w:rPr>
        <w:t xml:space="preserve"> </w:t>
      </w:r>
      <w:r w:rsidRPr="006872FF">
        <w:rPr>
          <w:rFonts w:cs="Arial"/>
          <w:sz w:val="16"/>
          <w:szCs w:val="16"/>
          <w:rtl/>
        </w:rPr>
        <w:t>(קמ. ד"ה מי)</w:t>
      </w:r>
      <w:r w:rsidRPr="001D62E5">
        <w:rPr>
          <w:rFonts w:cs="Arial" w:hint="cs"/>
          <w:color w:val="FF0000"/>
          <w:rtl/>
        </w:rPr>
        <w:t xml:space="preserve"> </w:t>
      </w:r>
      <w:r>
        <w:rPr>
          <w:rFonts w:cs="Arial" w:hint="cs"/>
          <w:rtl/>
        </w:rPr>
        <w:t>ה</w:t>
      </w:r>
      <w:r w:rsidRPr="006872FF">
        <w:rPr>
          <w:rFonts w:cs="Arial"/>
          <w:rtl/>
        </w:rPr>
        <w:t xml:space="preserve">רא"ש </w:t>
      </w:r>
      <w:r w:rsidRPr="006872FF">
        <w:rPr>
          <w:rFonts w:cs="Arial" w:hint="cs"/>
          <w:sz w:val="16"/>
          <w:szCs w:val="16"/>
          <w:rtl/>
        </w:rPr>
        <w:t>(פ"ט</w:t>
      </w:r>
      <w:r w:rsidRPr="006872FF">
        <w:rPr>
          <w:rFonts w:cs="Arial"/>
          <w:sz w:val="16"/>
          <w:szCs w:val="16"/>
          <w:rtl/>
        </w:rPr>
        <w:t xml:space="preserve"> סי' ג)</w:t>
      </w:r>
      <w:r>
        <w:rPr>
          <w:rFonts w:cs="Arial" w:hint="cs"/>
          <w:rtl/>
        </w:rPr>
        <w:t xml:space="preserve"> והטור</w:t>
      </w:r>
      <w:r>
        <w:rPr>
          <w:rFonts w:hint="cs"/>
          <w:rtl/>
        </w:rPr>
        <w:t xml:space="preserve">. וביש אומרים הראשון כתב את דעת הרי"ף </w:t>
      </w:r>
      <w:r w:rsidRPr="00F0077E">
        <w:rPr>
          <w:rFonts w:cs="Arial"/>
          <w:sz w:val="16"/>
          <w:szCs w:val="16"/>
          <w:rtl/>
        </w:rPr>
        <w:t>(סה:</w:t>
      </w:r>
      <w:r>
        <w:rPr>
          <w:rFonts w:cs="Arial" w:hint="cs"/>
          <w:sz w:val="16"/>
          <w:szCs w:val="16"/>
          <w:rtl/>
        </w:rPr>
        <w:t>, שכך משמע מדלא גרס בגמ' מזונות אלמנה</w:t>
      </w:r>
      <w:r w:rsidRPr="00F0077E">
        <w:rPr>
          <w:rFonts w:cs="Arial"/>
          <w:sz w:val="16"/>
          <w:szCs w:val="16"/>
          <w:rtl/>
        </w:rPr>
        <w:t xml:space="preserve">) </w:t>
      </w:r>
      <w:r>
        <w:rPr>
          <w:rFonts w:hint="cs"/>
          <w:rtl/>
        </w:rPr>
        <w:t xml:space="preserve">והרמב"ם </w:t>
      </w:r>
      <w:r>
        <w:rPr>
          <w:rFonts w:cs="Arial" w:hint="cs"/>
          <w:sz w:val="16"/>
          <w:szCs w:val="16"/>
          <w:rtl/>
        </w:rPr>
        <w:t xml:space="preserve">(פי"ט הכ"א). </w:t>
      </w:r>
      <w:r>
        <w:rPr>
          <w:rFonts w:hint="cs"/>
          <w:rtl/>
        </w:rPr>
        <w:t xml:space="preserve">ולכאורה נראה מכאן שהשו"ע פסק כדעת התוס' והרא"ש, שהרי י"א וי"א הלכה כי"א בתרא. אבל קשה לומר כן, שהרי בסי' צג ס"ד ששם היא סוגיא בדוכתא סתם השו"ע כדעת הרמב"ם, וביש אומרים </w:t>
      </w:r>
      <w:r w:rsidR="000E2F48">
        <w:rPr>
          <w:rFonts w:hint="cs"/>
          <w:rtl/>
        </w:rPr>
        <w:t>ה</w:t>
      </w:r>
      <w:r>
        <w:rPr>
          <w:rFonts w:hint="cs"/>
          <w:rtl/>
        </w:rPr>
        <w:t>ביא את דעת התוס'. וגם בסעיף הבא (סט"ז) סתם כדעת הרמב"ם, ואת דעת התוס' כתב ביש חולקים (וכתב לעיין בסי' צג). ועוד שהרי הב"י פוסק כשני עמודי הוראה, ויש כאן את הרי"ף והרמב"ם מול הרא"ש. ועוד שנראה שהגר"א (סקכ"ה וסקכ"ו) גרס הפוך בדברי השו"ע, שכתב שהי"א הראשון הוא דעת התוס', והי"א השני הוא דעת הרמב"ם, וא"כ ודאי הוא שגרס "</w:t>
      </w:r>
      <w:r w:rsidRPr="00523CDE">
        <w:rPr>
          <w:rFonts w:cs="Arial"/>
          <w:rtl/>
        </w:rPr>
        <w:t>י</w:t>
      </w:r>
      <w:r>
        <w:rPr>
          <w:rFonts w:cs="Arial" w:hint="cs"/>
          <w:rtl/>
        </w:rPr>
        <w:t>ש אומרים</w:t>
      </w:r>
      <w:r w:rsidRPr="00523CDE">
        <w:rPr>
          <w:rFonts w:cs="Arial"/>
          <w:rtl/>
        </w:rPr>
        <w:t xml:space="preserve"> ש</w:t>
      </w:r>
      <w:r>
        <w:rPr>
          <w:rFonts w:cs="Arial" w:hint="cs"/>
          <w:rtl/>
        </w:rPr>
        <w:t xml:space="preserve">אין </w:t>
      </w:r>
      <w:r w:rsidRPr="00523CDE">
        <w:rPr>
          <w:rFonts w:cs="Arial"/>
          <w:rtl/>
        </w:rPr>
        <w:t>ממעטים</w:t>
      </w:r>
      <w:r>
        <w:rPr>
          <w:rFonts w:cs="Arial" w:hint="cs"/>
          <w:rtl/>
        </w:rPr>
        <w:t>,</w:t>
      </w:r>
      <w:r w:rsidRPr="00523CDE">
        <w:rPr>
          <w:rFonts w:cs="Arial"/>
          <w:rtl/>
        </w:rPr>
        <w:t xml:space="preserve"> וי</w:t>
      </w:r>
      <w:r>
        <w:rPr>
          <w:rFonts w:cs="Arial" w:hint="cs"/>
          <w:rtl/>
        </w:rPr>
        <w:t xml:space="preserve">ש </w:t>
      </w:r>
      <w:r w:rsidRPr="00523CDE">
        <w:rPr>
          <w:rFonts w:cs="Arial"/>
          <w:rtl/>
        </w:rPr>
        <w:t>א</w:t>
      </w:r>
      <w:r>
        <w:rPr>
          <w:rFonts w:cs="Arial" w:hint="cs"/>
          <w:rtl/>
        </w:rPr>
        <w:t>ומרים</w:t>
      </w:r>
      <w:r w:rsidRPr="00523CDE">
        <w:rPr>
          <w:rFonts w:cs="Arial"/>
          <w:rtl/>
        </w:rPr>
        <w:t xml:space="preserve"> </w:t>
      </w:r>
      <w:r>
        <w:rPr>
          <w:rFonts w:cs="Arial" w:hint="cs"/>
          <w:rtl/>
        </w:rPr>
        <w:t>ש</w:t>
      </w:r>
      <w:r w:rsidRPr="00523CDE">
        <w:rPr>
          <w:rFonts w:cs="Arial"/>
          <w:rtl/>
        </w:rPr>
        <w:t>ממעטים</w:t>
      </w:r>
      <w:r>
        <w:rPr>
          <w:rFonts w:hint="cs"/>
          <w:rtl/>
        </w:rPr>
        <w:t>" (ואע"פ שהברכת אליהו הפך גרסתו, נ"ל דהגר"א גרס כן בכוונה תחילה, והברכת אליהו הפך את הגר"א לפני מה שהיה לפניו בשו"ע, ולא היה לו להפוך לחינם).</w:t>
      </w:r>
    </w:p>
  </w:footnote>
  <w:footnote w:id="2632">
    <w:p w14:paraId="412936EF" w14:textId="4B9D6AA1" w:rsidR="00392DBB" w:rsidRDefault="00392DBB" w:rsidP="00392DBB">
      <w:pPr>
        <w:pStyle w:val="a5"/>
      </w:pPr>
      <w:r>
        <w:rPr>
          <w:rStyle w:val="a7"/>
        </w:rPr>
        <w:footnoteRef/>
      </w:r>
      <w:r>
        <w:rPr>
          <w:rtl/>
        </w:rPr>
        <w:t xml:space="preserve"> </w:t>
      </w:r>
      <w:r>
        <w:rPr>
          <w:rFonts w:hint="cs"/>
          <w:rtl/>
        </w:rPr>
        <w:t>סימן - ק</w:t>
      </w:r>
      <w:r w:rsidR="00A37772">
        <w:rPr>
          <w:rFonts w:hint="cs"/>
          <w:rtl/>
        </w:rPr>
        <w:t>ניינים</w:t>
      </w:r>
      <w:r>
        <w:rPr>
          <w:rFonts w:hint="cs"/>
          <w:sz w:val="16"/>
          <w:szCs w:val="16"/>
          <w:rtl/>
        </w:rPr>
        <w:t xml:space="preserve"> </w:t>
      </w:r>
      <w:r>
        <w:rPr>
          <w:rFonts w:hint="cs"/>
          <w:rtl/>
        </w:rPr>
        <w:t>מועט</w:t>
      </w:r>
      <w:r w:rsidR="00A37772">
        <w:rPr>
          <w:rFonts w:hint="cs"/>
          <w:rtl/>
        </w:rPr>
        <w:t>/מתמעטים</w:t>
      </w:r>
      <w:r>
        <w:rPr>
          <w:rFonts w:hint="cs"/>
          <w:rtl/>
        </w:rPr>
        <w:t>. (הסימן לדף קמ. ששם עיקר הסוגיא).</w:t>
      </w:r>
    </w:p>
  </w:footnote>
  <w:footnote w:id="2633">
    <w:p w14:paraId="652D53FA" w14:textId="77777777" w:rsidR="00392DBB" w:rsidRDefault="00392DBB" w:rsidP="00392DBB">
      <w:pPr>
        <w:pStyle w:val="a5"/>
      </w:pPr>
      <w:r>
        <w:rPr>
          <w:rStyle w:val="a7"/>
        </w:rPr>
        <w:footnoteRef/>
      </w:r>
      <w:r>
        <w:rPr>
          <w:rtl/>
        </w:rPr>
        <w:t xml:space="preserve"> </w:t>
      </w:r>
      <w:r>
        <w:rPr>
          <w:rFonts w:hint="cs"/>
          <w:rtl/>
        </w:rPr>
        <w:t>עיין לקמן שבפירוש איבעיא זו נחלקו המפרשים.</w:t>
      </w:r>
    </w:p>
  </w:footnote>
  <w:footnote w:id="2634">
    <w:p w14:paraId="16FB7FE7" w14:textId="77777777" w:rsidR="00392DBB" w:rsidRDefault="00392DBB" w:rsidP="00392DBB">
      <w:pPr>
        <w:pStyle w:val="a5"/>
      </w:pPr>
      <w:r>
        <w:rPr>
          <w:rStyle w:val="a7"/>
        </w:rPr>
        <w:footnoteRef/>
      </w:r>
      <w:r>
        <w:rPr>
          <w:rtl/>
        </w:rPr>
        <w:t xml:space="preserve"> </w:t>
      </w:r>
      <w:r>
        <w:rPr>
          <w:rFonts w:hint="cs"/>
          <w:rtl/>
        </w:rPr>
        <w:t>וכן הוא בירושלמי מסכות כתובות פי"ג ה"ג.</w:t>
      </w:r>
    </w:p>
  </w:footnote>
  <w:footnote w:id="2635">
    <w:p w14:paraId="496691D7" w14:textId="48EB4C35" w:rsidR="00392DBB" w:rsidRDefault="00392DBB" w:rsidP="00392DBB">
      <w:pPr>
        <w:pStyle w:val="a5"/>
        <w:rPr>
          <w:rtl/>
        </w:rPr>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847732">
        <w:rPr>
          <w:rFonts w:cs="Arial"/>
          <w:rtl/>
        </w:rPr>
        <w:t>נראה לפרש דודאי אם אין כאן אלא אלמנה אצל הבנים שניהם שוין בנכסים</w:t>
      </w:r>
      <w:r>
        <w:rPr>
          <w:rFonts w:cs="Arial" w:hint="cs"/>
          <w:rtl/>
        </w:rPr>
        <w:t>.</w:t>
      </w:r>
      <w:r w:rsidRPr="00847732">
        <w:rPr>
          <w:rFonts w:cs="Arial"/>
          <w:rtl/>
        </w:rPr>
        <w:t xml:space="preserve"> וכן אם אין כאן אלא אלמנה ובנות </w:t>
      </w:r>
      <w:r w:rsidRPr="00847732">
        <w:rPr>
          <w:rFonts w:cs="Arial" w:hint="cs"/>
          <w:sz w:val="16"/>
          <w:szCs w:val="16"/>
          <w:rtl/>
        </w:rPr>
        <w:t>(</w:t>
      </w:r>
      <w:r w:rsidRPr="00847732">
        <w:rPr>
          <w:rFonts w:cs="Arial"/>
          <w:sz w:val="16"/>
          <w:szCs w:val="16"/>
          <w:rtl/>
        </w:rPr>
        <w:t>דלא תקנו נכסים מועטים אלא לבנות שהן יוצאי יריכו והם בנות ירושה במקום שאין בנים ואע</w:t>
      </w:r>
      <w:r w:rsidRPr="00847732">
        <w:rPr>
          <w:rFonts w:cs="Arial" w:hint="cs"/>
          <w:sz w:val="16"/>
          <w:szCs w:val="16"/>
          <w:rtl/>
        </w:rPr>
        <w:t>"</w:t>
      </w:r>
      <w:r w:rsidRPr="00847732">
        <w:rPr>
          <w:rFonts w:cs="Arial"/>
          <w:sz w:val="16"/>
          <w:szCs w:val="16"/>
          <w:rtl/>
        </w:rPr>
        <w:t>ג</w:t>
      </w:r>
      <w:r w:rsidRPr="00847732">
        <w:rPr>
          <w:rFonts w:cs="Arial" w:hint="cs"/>
          <w:sz w:val="16"/>
          <w:szCs w:val="16"/>
          <w:rtl/>
        </w:rPr>
        <w:t xml:space="preserve"> </w:t>
      </w:r>
      <w:r w:rsidRPr="00847732">
        <w:rPr>
          <w:rFonts w:cs="Arial"/>
          <w:sz w:val="16"/>
          <w:szCs w:val="16"/>
          <w:rtl/>
        </w:rPr>
        <w:t>דמיחסרא גוביינא ואי מינסבא לית לה אבל לאלמנה אצל הבנים או אצל בנות לא רצו חכמים לתקן דין נכסים מועטים אצל האלמנה שלא רצו לעקר דין ירושה מן הבנים אצל האלמנה</w:t>
      </w:r>
      <w:r>
        <w:rPr>
          <w:rFonts w:cs="Arial" w:hint="cs"/>
          <w:sz w:val="16"/>
          <w:szCs w:val="16"/>
          <w:rtl/>
        </w:rPr>
        <w:t>)</w:t>
      </w:r>
      <w:r w:rsidRPr="00847732">
        <w:rPr>
          <w:rFonts w:cs="Arial"/>
          <w:rtl/>
        </w:rPr>
        <w:t xml:space="preserve"> והשתא מיבעי ליה כשיש בנים ובנות שיש כבר דין נכסים מועטין בשביל בנות</w:t>
      </w:r>
      <w:r>
        <w:rPr>
          <w:rFonts w:cs="Arial" w:hint="cs"/>
          <w:rtl/>
        </w:rPr>
        <w:t>,</w:t>
      </w:r>
      <w:r w:rsidRPr="00847732">
        <w:rPr>
          <w:rFonts w:cs="Arial"/>
          <w:rtl/>
        </w:rPr>
        <w:t xml:space="preserve"> אם ממעטא נמי אלמנה</w:t>
      </w:r>
      <w:r>
        <w:rPr>
          <w:rFonts w:cs="Arial" w:hint="cs"/>
          <w:rtl/>
        </w:rPr>
        <w:t>.</w:t>
      </w:r>
      <w:r w:rsidRPr="008C687A">
        <w:rPr>
          <w:rtl/>
        </w:rPr>
        <w:t xml:space="preserve"> </w:t>
      </w:r>
      <w:r w:rsidRPr="008C687A">
        <w:rPr>
          <w:rFonts w:cs="Arial"/>
          <w:rtl/>
        </w:rPr>
        <w:t>(הג"ה, וכן כתוב בתוס'</w:t>
      </w:r>
      <w:r>
        <w:rPr>
          <w:rFonts w:cs="Arial" w:hint="cs"/>
          <w:rtl/>
        </w:rPr>
        <w:t xml:space="preserve"> -</w:t>
      </w:r>
      <w:r w:rsidRPr="008C687A">
        <w:rPr>
          <w:rFonts w:cs="Arial"/>
          <w:rtl/>
        </w:rPr>
        <w:t xml:space="preserve"> ותיזון האלמנה עם הבנות</w:t>
      </w:r>
      <w:r>
        <w:rPr>
          <w:rFonts w:cs="Arial" w:hint="cs"/>
          <w:rtl/>
        </w:rPr>
        <w:t>,</w:t>
      </w:r>
      <w:r w:rsidRPr="008C687A">
        <w:rPr>
          <w:rFonts w:cs="Arial"/>
          <w:rtl/>
        </w:rPr>
        <w:t xml:space="preserve"> או דלמא כיון דאי מינסבא לית לה מזוני השתא נמי לית לה אלא הכל יהיה לבנות</w:t>
      </w:r>
      <w:r>
        <w:rPr>
          <w:rFonts w:cs="Arial" w:hint="cs"/>
          <w:rtl/>
        </w:rPr>
        <w:t>.</w:t>
      </w:r>
      <w:r w:rsidRPr="008C687A">
        <w:rPr>
          <w:rFonts w:cs="Arial"/>
          <w:rtl/>
        </w:rPr>
        <w:t xml:space="preserve"> ואי ממעטא מ"מ לא תיזון האלמנה עמהן אלא עד שיבגרו הבנות, ע"כ הג"ה)</w:t>
      </w:r>
      <w:r>
        <w:rPr>
          <w:rFonts w:cs="Arial" w:hint="cs"/>
          <w:rtl/>
        </w:rPr>
        <w:t>.</w:t>
      </w:r>
      <w:r w:rsidRPr="00847732">
        <w:rPr>
          <w:rFonts w:cs="Arial"/>
          <w:rtl/>
        </w:rPr>
        <w:t xml:space="preserve"> והא דקאמר בסמוך דאלמנה אצל הבת אלמנה ניזונת והבת תשאל על הפתחים היינו שיש שם בנים עם הבנות שיש כאן דין נכסים מועטים אצל בנות אבל אי ליתנהו לבנים לא תטול האלמנה כלום יותר מהבת</w:t>
      </w:r>
      <w:r>
        <w:rPr>
          <w:rFonts w:cs="Arial" w:hint="cs"/>
          <w:rtl/>
        </w:rPr>
        <w:t>...</w:t>
      </w:r>
      <w:r w:rsidRPr="00847732">
        <w:rPr>
          <w:rFonts w:cs="Arial"/>
          <w:rtl/>
        </w:rPr>
        <w:t xml:space="preserve"> ואור"י שכן משמע בירושל</w:t>
      </w:r>
      <w:r>
        <w:rPr>
          <w:rFonts w:cs="Arial" w:hint="cs"/>
          <w:rtl/>
        </w:rPr>
        <w:t>מי (ב"ב פ"ט ה"א, כתובות פי"ג ה"ג)...</w:t>
      </w:r>
    </w:p>
  </w:footnote>
  <w:footnote w:id="2636">
    <w:p w14:paraId="7EF5C589" w14:textId="31AC6BA3" w:rsidR="00392DBB" w:rsidRDefault="00392DBB" w:rsidP="00392DBB">
      <w:pPr>
        <w:pStyle w:val="a5"/>
        <w:rPr>
          <w:rtl/>
        </w:rPr>
      </w:pPr>
      <w:r>
        <w:rPr>
          <w:rStyle w:val="a7"/>
        </w:rPr>
        <w:footnoteRef/>
      </w:r>
      <w:r>
        <w:rPr>
          <w:rtl/>
        </w:rPr>
        <w:t xml:space="preserve"> </w:t>
      </w:r>
      <w:r w:rsidR="0061020A">
        <w:rPr>
          <w:rFonts w:cs="Arial"/>
          <w:rtl/>
        </w:rPr>
        <w:t>וז"ל:</w:t>
      </w:r>
      <w:r w:rsidRPr="006872FF">
        <w:rPr>
          <w:rFonts w:cs="Arial"/>
          <w:rtl/>
        </w:rPr>
        <w:t xml:space="preserve"> פירש הר</w:t>
      </w:r>
      <w:r>
        <w:rPr>
          <w:rFonts w:cs="Arial" w:hint="cs"/>
          <w:rtl/>
        </w:rPr>
        <w:t>יב"ם</w:t>
      </w:r>
      <w:r w:rsidRPr="006872FF">
        <w:rPr>
          <w:rFonts w:cs="Arial"/>
          <w:rtl/>
        </w:rPr>
        <w:t xml:space="preserve"> </w:t>
      </w:r>
      <w:r>
        <w:rPr>
          <w:rFonts w:cs="Arial" w:hint="cs"/>
          <w:sz w:val="16"/>
          <w:szCs w:val="16"/>
          <w:rtl/>
        </w:rPr>
        <w:t>{</w:t>
      </w:r>
      <w:r w:rsidRPr="00D4069D">
        <w:rPr>
          <w:rFonts w:cs="Arial" w:hint="cs"/>
          <w:sz w:val="16"/>
          <w:szCs w:val="16"/>
          <w:rtl/>
        </w:rPr>
        <w:t>שהוא מבעלי התוס'</w:t>
      </w:r>
      <w:r>
        <w:rPr>
          <w:rFonts w:cs="Arial" w:hint="cs"/>
          <w:sz w:val="16"/>
          <w:szCs w:val="16"/>
          <w:rtl/>
        </w:rPr>
        <w:t>,</w:t>
      </w:r>
      <w:r w:rsidRPr="005A37BD">
        <w:rPr>
          <w:rFonts w:cs="Arial" w:hint="cs"/>
          <w:sz w:val="16"/>
          <w:szCs w:val="16"/>
          <w:rtl/>
        </w:rPr>
        <w:t xml:space="preserve"> </w:t>
      </w:r>
      <w:r>
        <w:rPr>
          <w:rFonts w:cs="Arial" w:hint="cs"/>
          <w:sz w:val="16"/>
          <w:szCs w:val="16"/>
          <w:rtl/>
        </w:rPr>
        <w:t>וכן גרס הפלפולא חריפתא [שם אות כ], אך הב"י גרס הרמב"ן. ונראה שזו ט"ס בב"י,</w:t>
      </w:r>
      <w:r w:rsidRPr="00D4069D">
        <w:rPr>
          <w:rFonts w:cs="Arial" w:hint="cs"/>
          <w:sz w:val="16"/>
          <w:szCs w:val="16"/>
          <w:rtl/>
        </w:rPr>
        <w:t xml:space="preserve"> שהרי הרמב"ן בסוף דבריו כתב שדעתו נוטה לדברי הרמב"ם, </w:t>
      </w:r>
      <w:r>
        <w:rPr>
          <w:rFonts w:cs="Arial" w:hint="cs"/>
          <w:sz w:val="16"/>
          <w:szCs w:val="16"/>
          <w:rtl/>
        </w:rPr>
        <w:t xml:space="preserve">והב"י עצמו הביאו, </w:t>
      </w:r>
      <w:r w:rsidRPr="00D4069D">
        <w:rPr>
          <w:rFonts w:cs="Arial" w:hint="cs"/>
          <w:sz w:val="16"/>
          <w:szCs w:val="16"/>
          <w:rtl/>
        </w:rPr>
        <w:t>וא"כ איך יביא הרא"ש את הדברים בשמו בצורה חלקית</w:t>
      </w:r>
      <w:r>
        <w:rPr>
          <w:rFonts w:cs="Arial" w:hint="cs"/>
          <w:sz w:val="16"/>
          <w:szCs w:val="16"/>
          <w:rtl/>
        </w:rPr>
        <w:t>. ועוד שאין הלשון דומה ללשון הרמב"ן אלא ללשון התוס'}</w:t>
      </w:r>
      <w:r w:rsidRPr="006872FF">
        <w:rPr>
          <w:rFonts w:cs="Arial"/>
          <w:rtl/>
        </w:rPr>
        <w:t xml:space="preserve"> דפשיטא ליה שאם הניח אלמנה ובנים בלא בנות</w:t>
      </w:r>
      <w:r>
        <w:rPr>
          <w:rFonts w:cs="Arial" w:hint="cs"/>
          <w:rtl/>
        </w:rPr>
        <w:t xml:space="preserve"> -</w:t>
      </w:r>
      <w:r w:rsidRPr="006872FF">
        <w:rPr>
          <w:rFonts w:cs="Arial"/>
          <w:rtl/>
        </w:rPr>
        <w:t xml:space="preserve"> דאין שייך לומר באלמנה נכסים מועטים לומר האלמנה תיזון והבנים ישאלו על הפתחים</w:t>
      </w:r>
      <w:r>
        <w:rPr>
          <w:rFonts w:cs="Arial" w:hint="cs"/>
          <w:rtl/>
        </w:rPr>
        <w:t>.</w:t>
      </w:r>
      <w:r w:rsidRPr="006872FF">
        <w:rPr>
          <w:rFonts w:cs="Arial"/>
          <w:rtl/>
        </w:rPr>
        <w:t xml:space="preserve"> וכן נמי אם לא הניח אלא אלמנה ובת </w:t>
      </w:r>
      <w:r>
        <w:rPr>
          <w:rFonts w:cs="Arial" w:hint="cs"/>
          <w:rtl/>
        </w:rPr>
        <w:t xml:space="preserve">- </w:t>
      </w:r>
      <w:r w:rsidRPr="006872FF">
        <w:rPr>
          <w:rFonts w:cs="Arial"/>
          <w:rtl/>
        </w:rPr>
        <w:t>לא אמרינן האלמנה תיזון והבת תשאל על הפתחים</w:t>
      </w:r>
      <w:r>
        <w:rPr>
          <w:rFonts w:cs="Arial" w:hint="cs"/>
          <w:rtl/>
        </w:rPr>
        <w:t>.</w:t>
      </w:r>
      <w:r w:rsidRPr="006872FF">
        <w:rPr>
          <w:rFonts w:cs="Arial"/>
          <w:rtl/>
        </w:rPr>
        <w:t xml:space="preserve"> והיינו טעמא לפי שאין שיעור קצוב לאלמנה לפי שפעמים נישאת ברחוק זמן ופעמים בקרוב ואין לדבר קצבה עד אימת הוו מרובים ואימת הוו מועטין</w:t>
      </w:r>
      <w:r>
        <w:rPr>
          <w:rFonts w:cs="Arial" w:hint="cs"/>
          <w:rtl/>
        </w:rPr>
        <w:t>,</w:t>
      </w:r>
      <w:r w:rsidRPr="006872FF">
        <w:rPr>
          <w:rFonts w:cs="Arial"/>
          <w:rtl/>
        </w:rPr>
        <w:t xml:space="preserve"> הילכך לא תיקנו לעקור מן התורה דבר בשביל מזונות האלמנה</w:t>
      </w:r>
      <w:r>
        <w:rPr>
          <w:rFonts w:cs="Arial" w:hint="cs"/>
          <w:rtl/>
        </w:rPr>
        <w:t>.</w:t>
      </w:r>
      <w:r w:rsidRPr="006872FF">
        <w:rPr>
          <w:rFonts w:cs="Arial"/>
          <w:rtl/>
        </w:rPr>
        <w:t xml:space="preserve"> אבל בנות יש להן קצבה עד שיבגרו</w:t>
      </w:r>
      <w:r>
        <w:rPr>
          <w:rFonts w:cs="Arial" w:hint="cs"/>
          <w:rtl/>
        </w:rPr>
        <w:t>.</w:t>
      </w:r>
      <w:r w:rsidRPr="006872FF">
        <w:rPr>
          <w:rFonts w:cs="Arial"/>
          <w:rtl/>
        </w:rPr>
        <w:t xml:space="preserve"> והך בעיא מיירי בשיש בנים ובנות ואלמנה</w:t>
      </w:r>
      <w:r>
        <w:rPr>
          <w:rFonts w:cs="Arial" w:hint="cs"/>
          <w:rtl/>
        </w:rPr>
        <w:t>,</w:t>
      </w:r>
      <w:r w:rsidRPr="006872FF">
        <w:rPr>
          <w:rFonts w:cs="Arial"/>
          <w:rtl/>
        </w:rPr>
        <w:t xml:space="preserve"> ואין מזון לבנים ובנות עד שיבגרו</w:t>
      </w:r>
      <w:r>
        <w:rPr>
          <w:rFonts w:cs="Arial" w:hint="cs"/>
          <w:rtl/>
        </w:rPr>
        <w:t>.</w:t>
      </w:r>
      <w:r w:rsidRPr="006872FF">
        <w:rPr>
          <w:rFonts w:cs="Arial"/>
          <w:rtl/>
        </w:rPr>
        <w:t xml:space="preserve"> הילכך בלא האלמנה נעשו הנכסים מועטים ונסתלקו הבנים</w:t>
      </w:r>
      <w:r>
        <w:rPr>
          <w:rFonts w:cs="Arial" w:hint="cs"/>
          <w:rtl/>
        </w:rPr>
        <w:t>,</w:t>
      </w:r>
      <w:r w:rsidRPr="006872FF">
        <w:rPr>
          <w:rFonts w:cs="Arial"/>
          <w:rtl/>
        </w:rPr>
        <w:t xml:space="preserve"> ומיבעיא ליה כיון דאלמנה ובנות באות מכח תנאי כתובה איזו מהן קודמת</w:t>
      </w:r>
      <w:r>
        <w:rPr>
          <w:rFonts w:hint="cs"/>
          <w:rtl/>
        </w:rPr>
        <w:t>.</w:t>
      </w:r>
    </w:p>
  </w:footnote>
  <w:footnote w:id="2637">
    <w:p w14:paraId="35A81035" w14:textId="77777777" w:rsidR="00392DBB" w:rsidRDefault="00392DBB" w:rsidP="00392DBB">
      <w:pPr>
        <w:pStyle w:val="a5"/>
        <w:rPr>
          <w:rtl/>
        </w:rPr>
      </w:pPr>
      <w:r>
        <w:rPr>
          <w:rStyle w:val="a7"/>
        </w:rPr>
        <w:footnoteRef/>
      </w:r>
      <w:r>
        <w:rPr>
          <w:rtl/>
        </w:rPr>
        <w:t xml:space="preserve"> </w:t>
      </w:r>
      <w:r w:rsidRPr="003632FA">
        <w:rPr>
          <w:rFonts w:cs="Arial"/>
          <w:rtl/>
        </w:rPr>
        <w:t>דהא אלמנה לא ממעטא להו וקרינן בהו הבנים יירשו והבנות יזונו ומחלק הבנות לא תזון האלמנה עמהם והיינו דאיכא בין ממעטא ללא ממעטא דאי ממעטא הבנים ישאלו והאלמנה תזון ואי לא ממעטא יזונו יחד האלמנה והבנים אבל הבנות אין להן להפסיד במזונותיהם כלל בין ממעטא בין לא ממעטא דהא בין בנכסים מרובין בין בנכסים מועטין תנן הבנות יזונו אי נמי היכא דלא ממעטא מיקרו נכסים מרובין ואף על פי שנתעכבה היום או למחר מלינשא הרי הוא כמרובין ונתמעטו דאמרינן כבר זכו בהן יורשין ויזונו שלשתן יחד בנים ובנות ואלמנה</w:t>
      </w:r>
      <w:r>
        <w:rPr>
          <w:rFonts w:hint="cs"/>
          <w:rtl/>
        </w:rPr>
        <w:t>, רשב"ם (שם).</w:t>
      </w:r>
    </w:p>
  </w:footnote>
  <w:footnote w:id="2638">
    <w:p w14:paraId="0B82896A" w14:textId="77777777" w:rsidR="00392DBB" w:rsidRDefault="00392DBB" w:rsidP="00392DBB">
      <w:pPr>
        <w:pStyle w:val="a5"/>
      </w:pPr>
      <w:r>
        <w:rPr>
          <w:rStyle w:val="a7"/>
        </w:rPr>
        <w:footnoteRef/>
      </w:r>
      <w:r>
        <w:rPr>
          <w:rtl/>
        </w:rPr>
        <w:t xml:space="preserve"> </w:t>
      </w:r>
      <w:r w:rsidRPr="00217F3F">
        <w:rPr>
          <w:rFonts w:cs="Arial"/>
          <w:rtl/>
        </w:rPr>
        <w:t>ומיהו ה"ה תמיהא מילתא שאם כן לא שבקת חיי ליורש במקום אלמנה</w:t>
      </w:r>
      <w:r w:rsidRPr="00217F3F">
        <w:rPr>
          <w:rFonts w:cs="Arial" w:hint="cs"/>
          <w:rtl/>
        </w:rPr>
        <w:t>,</w:t>
      </w:r>
      <w:r w:rsidRPr="00217F3F">
        <w:rPr>
          <w:rFonts w:cs="Arial"/>
          <w:rtl/>
        </w:rPr>
        <w:t xml:space="preserve"> דהא כתיבנא לעיל דכל היכא דקודמת מוציאין לה מעכשיו דמי פרנסתה כל ימי חייה</w:t>
      </w:r>
      <w:r w:rsidRPr="00217F3F">
        <w:rPr>
          <w:rFonts w:cs="Arial" w:hint="cs"/>
          <w:rtl/>
        </w:rPr>
        <w:t>,</w:t>
      </w:r>
      <w:r w:rsidRPr="00217F3F">
        <w:rPr>
          <w:rFonts w:cs="Arial"/>
          <w:rtl/>
        </w:rPr>
        <w:t xml:space="preserve"> ונמצאו רובן של יורשים הולכים בפחי נפש</w:t>
      </w:r>
      <w:r w:rsidRPr="00217F3F">
        <w:rPr>
          <w:rFonts w:cs="Arial" w:hint="cs"/>
          <w:rtl/>
        </w:rPr>
        <w:t>.</w:t>
      </w:r>
      <w:r w:rsidRPr="00217F3F">
        <w:rPr>
          <w:rFonts w:cs="Arial"/>
          <w:rtl/>
        </w:rPr>
        <w:t xml:space="preserve"> אבל בירושלמי משמע שאין אלמנה קודמת אלא עם בת במקום בן</w:t>
      </w:r>
      <w:r w:rsidRPr="00217F3F">
        <w:rPr>
          <w:rFonts w:cs="Arial" w:hint="cs"/>
          <w:rtl/>
        </w:rPr>
        <w:t>.</w:t>
      </w:r>
      <w:r w:rsidRPr="00217F3F">
        <w:rPr>
          <w:rFonts w:cs="Arial"/>
          <w:rtl/>
        </w:rPr>
        <w:t xml:space="preserve"> אבל אלמנה עם הבן בלבד או עם הבת בלבד אינה קודמת אלא שניהם נזונים ביחד</w:t>
      </w:r>
      <w:r w:rsidRPr="00217F3F">
        <w:rPr>
          <w:rFonts w:cs="Arial" w:hint="cs"/>
          <w:rtl/>
        </w:rPr>
        <w:t>.</w:t>
      </w:r>
      <w:r w:rsidRPr="00217F3F">
        <w:rPr>
          <w:rFonts w:cs="Arial"/>
          <w:rtl/>
        </w:rPr>
        <w:t xml:space="preserve"> וסמכו עליו רוב המפרשים ז"ל</w:t>
      </w:r>
      <w:r w:rsidRPr="00217F3F">
        <w:rPr>
          <w:rFonts w:cs="Arial" w:hint="cs"/>
          <w:rtl/>
        </w:rPr>
        <w:t>.</w:t>
      </w:r>
      <w:r w:rsidRPr="00217F3F">
        <w:rPr>
          <w:rFonts w:cs="Arial"/>
          <w:rtl/>
        </w:rPr>
        <w:t xml:space="preserve"> אבל הרמב"ם ז"ל נראה שלא סמך עליו ואף דעת הרמב"ן נוטה לו עכ"ל</w:t>
      </w:r>
      <w:r>
        <w:rPr>
          <w:rFonts w:cs="Arial" w:hint="cs"/>
          <w:sz w:val="16"/>
          <w:szCs w:val="16"/>
          <w:rtl/>
        </w:rPr>
        <w:t xml:space="preserve"> [הר"ן]</w:t>
      </w:r>
      <w:r>
        <w:rPr>
          <w:rFonts w:cs="Arial" w:hint="cs"/>
          <w:rtl/>
        </w:rPr>
        <w:t>, ב"י (בסי' צג).</w:t>
      </w:r>
    </w:p>
  </w:footnote>
  <w:footnote w:id="2639">
    <w:p w14:paraId="20AE48D6" w14:textId="213057CE" w:rsidR="0063488B" w:rsidRDefault="0063488B" w:rsidP="0063488B">
      <w:pPr>
        <w:pStyle w:val="a5"/>
      </w:pPr>
      <w:r>
        <w:rPr>
          <w:rStyle w:val="a7"/>
        </w:rPr>
        <w:footnoteRef/>
      </w:r>
      <w:r>
        <w:rPr>
          <w:rtl/>
        </w:rPr>
        <w:t xml:space="preserve"> </w:t>
      </w:r>
      <w:r>
        <w:rPr>
          <w:rFonts w:hint="cs"/>
          <w:rtl/>
        </w:rPr>
        <w:t>סימן - קשישה לוקחת טרף. וכן - קבעו</w:t>
      </w:r>
      <w:r>
        <w:rPr>
          <w:rFonts w:hint="cs"/>
          <w:rtl/>
        </w:rPr>
        <w:t>/קניינים</w:t>
      </w:r>
      <w:r>
        <w:rPr>
          <w:rFonts w:hint="cs"/>
          <w:rtl/>
        </w:rPr>
        <w:t xml:space="preserve"> לפי טובתו</w:t>
      </w:r>
      <w:r>
        <w:rPr>
          <w:rFonts w:hint="cs"/>
          <w:sz w:val="16"/>
          <w:szCs w:val="16"/>
          <w:rtl/>
        </w:rPr>
        <w:t xml:space="preserve"> (פעם כלוקח ופעם כיורש)</w:t>
      </w:r>
      <w:r>
        <w:rPr>
          <w:rFonts w:hint="cs"/>
          <w:rtl/>
        </w:rPr>
        <w:t>.</w:t>
      </w:r>
    </w:p>
  </w:footnote>
  <w:footnote w:id="2640">
    <w:p w14:paraId="29DE57EA" w14:textId="77777777" w:rsidR="00392DBB" w:rsidRDefault="00392DBB" w:rsidP="00392DBB">
      <w:pPr>
        <w:pStyle w:val="a5"/>
      </w:pPr>
      <w:r>
        <w:rPr>
          <w:rStyle w:val="a7"/>
        </w:rPr>
        <w:footnoteRef/>
      </w:r>
      <w:r>
        <w:rPr>
          <w:rtl/>
        </w:rPr>
        <w:t xml:space="preserve"> </w:t>
      </w:r>
      <w:r w:rsidRPr="00556503">
        <w:rPr>
          <w:rFonts w:cs="Arial"/>
          <w:rtl/>
        </w:rPr>
        <w:t>והכניסה הנכסים לבעלה אלמנתו נזונת מנכסיו</w:t>
      </w:r>
      <w:r>
        <w:rPr>
          <w:rFonts w:cs="Arial" w:hint="cs"/>
          <w:rtl/>
        </w:rPr>
        <w:t>, רשב"ם.</w:t>
      </w:r>
    </w:p>
  </w:footnote>
  <w:footnote w:id="2641">
    <w:p w14:paraId="51DF6C85" w14:textId="77777777" w:rsidR="00392DBB" w:rsidRDefault="00392DBB" w:rsidP="00392DBB">
      <w:pPr>
        <w:pStyle w:val="a5"/>
      </w:pPr>
      <w:r>
        <w:rPr>
          <w:rStyle w:val="a7"/>
        </w:rPr>
        <w:footnoteRef/>
      </w:r>
      <w:r>
        <w:rPr>
          <w:rtl/>
        </w:rPr>
        <w:t xml:space="preserve"> </w:t>
      </w:r>
      <w:r w:rsidRPr="00556503">
        <w:rPr>
          <w:rFonts w:cs="Arial"/>
          <w:rtl/>
        </w:rPr>
        <w:t>בעל בנכסי אשתו אפילו בחייה יורש הוי משום הכי קתני נישאת הבת אלמנתו נזונת מנכסיו דאע"ג דמזון האשה והבנות לא טרפא ממשעבדי דהיינו לקוחות מיורשין מיהא גביא</w:t>
      </w:r>
      <w:r>
        <w:rPr>
          <w:rFonts w:cs="Arial" w:hint="cs"/>
          <w:rtl/>
        </w:rPr>
        <w:t>, רשב"ם.</w:t>
      </w:r>
    </w:p>
  </w:footnote>
  <w:footnote w:id="2642">
    <w:p w14:paraId="38129731" w14:textId="25A45AC7" w:rsidR="004842A6" w:rsidRDefault="004842A6" w:rsidP="004842A6">
      <w:pPr>
        <w:pStyle w:val="a5"/>
      </w:pPr>
      <w:r>
        <w:rPr>
          <w:rStyle w:val="a7"/>
        </w:rPr>
        <w:footnoteRef/>
      </w:r>
      <w:r>
        <w:rPr>
          <w:rtl/>
        </w:rPr>
        <w:t xml:space="preserve"> </w:t>
      </w:r>
      <w:r>
        <w:rPr>
          <w:rFonts w:hint="cs"/>
          <w:rtl/>
        </w:rPr>
        <w:t>סימן -</w:t>
      </w:r>
      <w:r>
        <w:rPr>
          <w:rFonts w:hint="cs"/>
          <w:rtl/>
        </w:rPr>
        <w:t xml:space="preserve"> ס</w:t>
      </w:r>
      <w:r w:rsidR="009F5E62">
        <w:rPr>
          <w:rFonts w:hint="cs"/>
          <w:rtl/>
        </w:rPr>
        <w:t>כום</w:t>
      </w:r>
      <w:r>
        <w:rPr>
          <w:rFonts w:hint="cs"/>
          <w:rtl/>
        </w:rPr>
        <w:t xml:space="preserve"> </w:t>
      </w:r>
      <w:r w:rsidR="009F5E62">
        <w:rPr>
          <w:rFonts w:hint="cs"/>
          <w:rtl/>
        </w:rPr>
        <w:t>חתונה</w:t>
      </w:r>
      <w:r>
        <w:rPr>
          <w:rFonts w:hint="cs"/>
          <w:rtl/>
        </w:rPr>
        <w:t>.</w:t>
      </w:r>
    </w:p>
  </w:footnote>
  <w:footnote w:id="2643">
    <w:p w14:paraId="03531338" w14:textId="77777777" w:rsidR="00392DBB" w:rsidRDefault="00392DBB" w:rsidP="00392DBB">
      <w:pPr>
        <w:pStyle w:val="a5"/>
        <w:rPr>
          <w:rtl/>
        </w:rPr>
      </w:pPr>
      <w:r>
        <w:rPr>
          <w:rStyle w:val="a7"/>
        </w:rPr>
        <w:footnoteRef/>
      </w:r>
      <w:r>
        <w:rPr>
          <w:rtl/>
        </w:rPr>
        <w:t xml:space="preserve"> </w:t>
      </w:r>
      <w:r w:rsidRPr="00F44795">
        <w:rPr>
          <w:rFonts w:cs="Arial"/>
          <w:rtl/>
        </w:rPr>
        <w:t>הבת יתומה שבאת לינשא נותנים לה נדוניא כפי אומד שאנו בקיאין באביה וותרן או קמצן</w:t>
      </w:r>
      <w:r>
        <w:rPr>
          <w:rFonts w:hint="cs"/>
          <w:rtl/>
        </w:rPr>
        <w:t>, רש"י.</w:t>
      </w:r>
    </w:p>
  </w:footnote>
  <w:footnote w:id="2644">
    <w:p w14:paraId="25150A36" w14:textId="77777777" w:rsidR="00392DBB" w:rsidRDefault="00392DBB" w:rsidP="00392DBB">
      <w:pPr>
        <w:pStyle w:val="a5"/>
      </w:pPr>
      <w:r>
        <w:rPr>
          <w:rStyle w:val="a7"/>
        </w:rPr>
        <w:footnoteRef/>
      </w:r>
      <w:r>
        <w:rPr>
          <w:rtl/>
        </w:rPr>
        <w:t xml:space="preserve"> </w:t>
      </w:r>
      <w:r w:rsidRPr="00F44795">
        <w:rPr>
          <w:rFonts w:cs="Arial"/>
          <w:rtl/>
        </w:rPr>
        <w:t>אין בדעתו ליתן לה נדוניית עשיר אלא נדוניית עני</w:t>
      </w:r>
      <w:r>
        <w:rPr>
          <w:rFonts w:cs="Arial" w:hint="cs"/>
          <w:rtl/>
        </w:rPr>
        <w:t>, רש"י.</w:t>
      </w:r>
    </w:p>
  </w:footnote>
  <w:footnote w:id="2645">
    <w:p w14:paraId="33357C4F" w14:textId="77777777" w:rsidR="00392DBB" w:rsidRDefault="00392DBB" w:rsidP="00392DBB">
      <w:pPr>
        <w:pStyle w:val="a5"/>
      </w:pPr>
      <w:r>
        <w:rPr>
          <w:rStyle w:val="a7"/>
        </w:rPr>
        <w:footnoteRef/>
      </w:r>
      <w:r>
        <w:rPr>
          <w:rtl/>
        </w:rPr>
        <w:t xml:space="preserve"> </w:t>
      </w:r>
      <w:r w:rsidRPr="00F44795">
        <w:rPr>
          <w:rFonts w:cs="Arial"/>
          <w:rtl/>
        </w:rPr>
        <w:t>ולא שמין באב</w:t>
      </w:r>
      <w:r>
        <w:rPr>
          <w:rFonts w:cs="Arial" w:hint="cs"/>
          <w:rtl/>
        </w:rPr>
        <w:t>, רש"י.</w:t>
      </w:r>
    </w:p>
  </w:footnote>
  <w:footnote w:id="2646">
    <w:p w14:paraId="25EEA024" w14:textId="77777777" w:rsidR="00392DBB" w:rsidRDefault="00392DBB" w:rsidP="00392DBB">
      <w:pPr>
        <w:pStyle w:val="a5"/>
      </w:pPr>
      <w:r>
        <w:rPr>
          <w:rStyle w:val="a7"/>
        </w:rPr>
        <w:footnoteRef/>
      </w:r>
      <w:r>
        <w:rPr>
          <w:rtl/>
        </w:rPr>
        <w:t xml:space="preserve"> </w:t>
      </w:r>
      <w:r w:rsidRPr="00F44795">
        <w:rPr>
          <w:rFonts w:cs="Arial"/>
          <w:rtl/>
        </w:rPr>
        <w:t>הא דאמר רבי עישור נכסים בדלא אמידניה לאב שלא גר בינינו ולא עמדנו על סוף דעתו אם וותרן אם קמצן</w:t>
      </w:r>
      <w:r>
        <w:rPr>
          <w:rFonts w:cs="Arial" w:hint="cs"/>
          <w:rtl/>
        </w:rPr>
        <w:t>, רש"י.</w:t>
      </w:r>
    </w:p>
  </w:footnote>
  <w:footnote w:id="2647">
    <w:p w14:paraId="4E825CD2" w14:textId="77777777" w:rsidR="00392DBB" w:rsidRDefault="00392DBB" w:rsidP="00392DBB">
      <w:pPr>
        <w:pStyle w:val="a5"/>
      </w:pPr>
      <w:r>
        <w:rPr>
          <w:rStyle w:val="a7"/>
        </w:rPr>
        <w:footnoteRef/>
      </w:r>
      <w:r>
        <w:rPr>
          <w:rtl/>
        </w:rPr>
        <w:t xml:space="preserve"> </w:t>
      </w:r>
      <w:r w:rsidRPr="00F44795">
        <w:rPr>
          <w:rFonts w:cs="Arial"/>
          <w:rtl/>
        </w:rPr>
        <w:t>דהיכא דאמידניה מודה רבי דשמין באב</w:t>
      </w:r>
      <w:r>
        <w:rPr>
          <w:rFonts w:cs="Arial" w:hint="cs"/>
          <w:rtl/>
        </w:rPr>
        <w:t>, רש"י.</w:t>
      </w:r>
    </w:p>
  </w:footnote>
  <w:footnote w:id="2648">
    <w:p w14:paraId="7A2FB2A9" w14:textId="77777777" w:rsidR="00392DBB" w:rsidRPr="005129D3" w:rsidRDefault="00392DBB" w:rsidP="00392DBB">
      <w:pPr>
        <w:pStyle w:val="a5"/>
        <w:rPr>
          <w:rFonts w:cs="Arial"/>
        </w:rPr>
      </w:pPr>
      <w:r>
        <w:rPr>
          <w:rStyle w:val="a7"/>
        </w:rPr>
        <w:footnoteRef/>
      </w:r>
      <w:r>
        <w:rPr>
          <w:rtl/>
        </w:rPr>
        <w:t xml:space="preserve"> </w:t>
      </w:r>
      <w:r w:rsidRPr="00C30717">
        <w:rPr>
          <w:rFonts w:cs="Arial"/>
          <w:rtl/>
        </w:rPr>
        <w:t>דברי הראב"ד ז"ל תמוהים כפי סוגיית הגמ'. גם הרב מהרי"ק ז"ל בשרש ע"ח כתב הפך זה בשמו</w:t>
      </w:r>
      <w:r>
        <w:rPr>
          <w:rFonts w:cs="Arial" w:hint="cs"/>
          <w:rtl/>
        </w:rPr>
        <w:t>.</w:t>
      </w:r>
      <w:r w:rsidRPr="00C30717">
        <w:rPr>
          <w:rFonts w:cs="Arial"/>
          <w:rtl/>
        </w:rPr>
        <w:t xml:space="preserve"> </w:t>
      </w:r>
      <w:r>
        <w:rPr>
          <w:rFonts w:cs="Arial" w:hint="cs"/>
          <w:rtl/>
        </w:rPr>
        <w:t>ו</w:t>
      </w:r>
      <w:r w:rsidRPr="00C30717">
        <w:rPr>
          <w:rFonts w:cs="Arial"/>
          <w:rtl/>
        </w:rPr>
        <w:t>כבר עמד ע</w:t>
      </w:r>
      <w:r>
        <w:rPr>
          <w:rFonts w:cs="Arial" w:hint="cs"/>
          <w:rtl/>
        </w:rPr>
        <w:t xml:space="preserve">ל </w:t>
      </w:r>
      <w:r w:rsidRPr="00C30717">
        <w:rPr>
          <w:rFonts w:cs="Arial"/>
          <w:rtl/>
        </w:rPr>
        <w:t>ז</w:t>
      </w:r>
      <w:r>
        <w:rPr>
          <w:rFonts w:cs="Arial" w:hint="cs"/>
          <w:rtl/>
        </w:rPr>
        <w:t>ה</w:t>
      </w:r>
      <w:r w:rsidRPr="00C30717">
        <w:rPr>
          <w:rFonts w:cs="Arial"/>
          <w:rtl/>
        </w:rPr>
        <w:t xml:space="preserve"> מהר"א ד</w:t>
      </w:r>
      <w:r>
        <w:rPr>
          <w:rFonts w:cs="Arial" w:hint="cs"/>
          <w:rtl/>
        </w:rPr>
        <w:t xml:space="preserve">י </w:t>
      </w:r>
      <w:r w:rsidRPr="00C30717">
        <w:rPr>
          <w:rFonts w:cs="Arial"/>
          <w:rtl/>
        </w:rPr>
        <w:t>ב</w:t>
      </w:r>
      <w:r>
        <w:rPr>
          <w:rFonts w:cs="Arial" w:hint="cs"/>
          <w:rtl/>
        </w:rPr>
        <w:t>וטון</w:t>
      </w:r>
      <w:r w:rsidRPr="00C30717">
        <w:rPr>
          <w:rFonts w:cs="Arial"/>
          <w:rtl/>
        </w:rPr>
        <w:t xml:space="preserve"> ז"ל בתשובה </w:t>
      </w:r>
      <w:r>
        <w:rPr>
          <w:rFonts w:cs="Arial" w:hint="cs"/>
          <w:rtl/>
        </w:rPr>
        <w:t xml:space="preserve">(לחם רב </w:t>
      </w:r>
      <w:r w:rsidRPr="00C30717">
        <w:rPr>
          <w:rFonts w:cs="Arial"/>
          <w:rtl/>
        </w:rPr>
        <w:t>סי</w:t>
      </w:r>
      <w:r>
        <w:rPr>
          <w:rFonts w:cs="Arial" w:hint="cs"/>
          <w:rtl/>
        </w:rPr>
        <w:t>'</w:t>
      </w:r>
      <w:r w:rsidRPr="00C30717">
        <w:rPr>
          <w:rFonts w:cs="Arial"/>
          <w:rtl/>
        </w:rPr>
        <w:t xml:space="preserve"> מ</w:t>
      </w:r>
      <w:r>
        <w:rPr>
          <w:rFonts w:cs="Arial" w:hint="cs"/>
          <w:rtl/>
        </w:rPr>
        <w:t>ה), כנה"ג (הגה"ט אות ט)</w:t>
      </w:r>
    </w:p>
  </w:footnote>
  <w:footnote w:id="2649">
    <w:p w14:paraId="12E5FD73" w14:textId="21DD88A1" w:rsidR="00392DBB" w:rsidRPr="00DB6A77" w:rsidRDefault="00392DBB" w:rsidP="00392DBB">
      <w:pPr>
        <w:pStyle w:val="a5"/>
        <w:rPr>
          <w:rtl/>
        </w:rPr>
      </w:pPr>
      <w:r w:rsidRPr="00DB6A77">
        <w:rPr>
          <w:rStyle w:val="a7"/>
        </w:rPr>
        <w:footnoteRef/>
      </w:r>
      <w:r w:rsidRPr="00DB6A77">
        <w:rPr>
          <w:rtl/>
        </w:rPr>
        <w:t xml:space="preserve"> </w:t>
      </w:r>
      <w:r w:rsidRPr="00DB6A77">
        <w:rPr>
          <w:rFonts w:cs="Arial" w:hint="cs"/>
          <w:rtl/>
        </w:rPr>
        <w:t>ו</w:t>
      </w:r>
      <w:r>
        <w:rPr>
          <w:rFonts w:cs="Arial" w:hint="cs"/>
          <w:rtl/>
        </w:rPr>
        <w:t xml:space="preserve">כ"כ </w:t>
      </w:r>
      <w:r w:rsidRPr="00DB6A77">
        <w:rPr>
          <w:rFonts w:cs="Arial"/>
          <w:rtl/>
        </w:rPr>
        <w:t xml:space="preserve">מהרי"ל </w:t>
      </w:r>
      <w:r w:rsidRPr="00DB6A77">
        <w:rPr>
          <w:rFonts w:cs="Arial" w:hint="cs"/>
          <w:rtl/>
        </w:rPr>
        <w:t>(</w:t>
      </w:r>
      <w:r w:rsidRPr="00DB6A77">
        <w:rPr>
          <w:rFonts w:cs="Arial"/>
          <w:rtl/>
        </w:rPr>
        <w:t>סי</w:t>
      </w:r>
      <w:r w:rsidRPr="00DB6A77">
        <w:rPr>
          <w:rFonts w:cs="Arial" w:hint="cs"/>
          <w:rtl/>
        </w:rPr>
        <w:t>'</w:t>
      </w:r>
      <w:r w:rsidRPr="00DB6A77">
        <w:rPr>
          <w:rFonts w:cs="Arial"/>
          <w:rtl/>
        </w:rPr>
        <w:t xml:space="preserve"> עה</w:t>
      </w:r>
      <w:r>
        <w:rPr>
          <w:rFonts w:cs="Arial" w:hint="cs"/>
          <w:rtl/>
        </w:rPr>
        <w:t>, הביאו הדרכ"מ אות א</w:t>
      </w:r>
      <w:r w:rsidRPr="00DB6A77">
        <w:rPr>
          <w:rFonts w:cs="Arial" w:hint="cs"/>
          <w:rtl/>
        </w:rPr>
        <w:t>)</w:t>
      </w:r>
      <w:r>
        <w:rPr>
          <w:rFonts w:cs="Arial" w:hint="cs"/>
          <w:rtl/>
        </w:rPr>
        <w:t>.</w:t>
      </w:r>
      <w:r>
        <w:rPr>
          <w:rFonts w:hint="cs"/>
          <w:rtl/>
        </w:rPr>
        <w:t xml:space="preserve"> (ולגבי מה שכתבתי שזו דעת הרא"ה, הריטב"א לא כתב כן בפירוש אלא כתב 'אומר מורי נר"ו'. וכשהריטב"א כותב 'מורי' או 'מורי הרב' בסתם כוונתו לרבו המובהק </w:t>
      </w:r>
      <w:r w:rsidR="00F97626">
        <w:rPr>
          <w:rtl/>
        </w:rPr>
        <w:t>-</w:t>
      </w:r>
      <w:r>
        <w:rPr>
          <w:rFonts w:hint="cs"/>
          <w:rtl/>
        </w:rPr>
        <w:t xml:space="preserve"> הרא"ה. וכשרצה לומר בשם רבו הרשב"א הוא כתב את שמו בפירוש. וכשכתב 'רבינו הגדול' כוונתו לרמב"ן).</w:t>
      </w:r>
    </w:p>
  </w:footnote>
  <w:footnote w:id="2650">
    <w:p w14:paraId="1C38E897" w14:textId="77777777" w:rsidR="00392DBB" w:rsidRPr="002B5716" w:rsidRDefault="00392DBB" w:rsidP="00392DBB">
      <w:pPr>
        <w:pStyle w:val="a5"/>
      </w:pPr>
      <w:r>
        <w:rPr>
          <w:rStyle w:val="a7"/>
        </w:rPr>
        <w:footnoteRef/>
      </w:r>
      <w:r>
        <w:rPr>
          <w:rtl/>
        </w:rPr>
        <w:t xml:space="preserve"> </w:t>
      </w:r>
      <w:r>
        <w:rPr>
          <w:rFonts w:hint="cs"/>
          <w:rtl/>
        </w:rPr>
        <w:t>והביא ה</w:t>
      </w:r>
      <w:r w:rsidRPr="00F4222F">
        <w:rPr>
          <w:rFonts w:cs="Arial"/>
          <w:rtl/>
        </w:rPr>
        <w:t>נמוק</w:t>
      </w:r>
      <w:r>
        <w:rPr>
          <w:rFonts w:cs="Arial" w:hint="cs"/>
          <w:rtl/>
        </w:rPr>
        <w:t>"</w:t>
      </w:r>
      <w:r w:rsidRPr="00F4222F">
        <w:rPr>
          <w:rFonts w:cs="Arial"/>
          <w:rtl/>
        </w:rPr>
        <w:t xml:space="preserve">י </w:t>
      </w:r>
      <w:r w:rsidRPr="00F4222F">
        <w:rPr>
          <w:rFonts w:cs="Arial" w:hint="cs"/>
          <w:sz w:val="16"/>
          <w:szCs w:val="16"/>
          <w:rtl/>
        </w:rPr>
        <w:t>(</w:t>
      </w:r>
      <w:r w:rsidRPr="00F4222F">
        <w:rPr>
          <w:rFonts w:cs="Arial"/>
          <w:sz w:val="16"/>
          <w:szCs w:val="16"/>
          <w:rtl/>
        </w:rPr>
        <w:t>פ</w:t>
      </w:r>
      <w:r w:rsidRPr="00F4222F">
        <w:rPr>
          <w:rFonts w:cs="Arial" w:hint="cs"/>
          <w:sz w:val="16"/>
          <w:szCs w:val="16"/>
          <w:rtl/>
        </w:rPr>
        <w:t xml:space="preserve">' </w:t>
      </w:r>
      <w:r w:rsidRPr="00F4222F">
        <w:rPr>
          <w:rFonts w:cs="Arial"/>
          <w:sz w:val="16"/>
          <w:szCs w:val="16"/>
          <w:rtl/>
        </w:rPr>
        <w:t>יש נוחלין נג: ד"ה מתני' בנכסי)</w:t>
      </w:r>
      <w:r>
        <w:rPr>
          <w:rFonts w:cs="Arial" w:hint="cs"/>
          <w:rtl/>
        </w:rPr>
        <w:t xml:space="preserve"> את דברי הריטב"א בשם הרמ"ה ואח"כ כתב "</w:t>
      </w:r>
      <w:r w:rsidRPr="002B5716">
        <w:rPr>
          <w:rFonts w:cs="Arial"/>
          <w:rtl/>
        </w:rPr>
        <w:t>ולא כתבתי זה בפנים</w:t>
      </w:r>
      <w:r>
        <w:rPr>
          <w:rFonts w:cs="Arial" w:hint="cs"/>
          <w:rtl/>
        </w:rPr>
        <w:t>", וצל"ע מה כוונתו.</w:t>
      </w:r>
    </w:p>
  </w:footnote>
  <w:footnote w:id="2651">
    <w:p w14:paraId="15EBCA20" w14:textId="13C302A2" w:rsidR="00973168" w:rsidRDefault="00973168" w:rsidP="00973168">
      <w:pPr>
        <w:pStyle w:val="a5"/>
      </w:pPr>
      <w:r>
        <w:rPr>
          <w:rStyle w:val="a7"/>
        </w:rPr>
        <w:footnoteRef/>
      </w:r>
      <w:r>
        <w:rPr>
          <w:rtl/>
        </w:rPr>
        <w:t xml:space="preserve"> </w:t>
      </w:r>
      <w:r>
        <w:rPr>
          <w:rFonts w:hint="cs"/>
          <w:rtl/>
        </w:rPr>
        <w:t xml:space="preserve">סימן - </w:t>
      </w:r>
      <w:r>
        <w:rPr>
          <w:rFonts w:hint="cs"/>
          <w:rtl/>
        </w:rPr>
        <w:t>נזף בו נדונית בתו</w:t>
      </w:r>
      <w:r>
        <w:rPr>
          <w:rFonts w:hint="cs"/>
          <w:rtl/>
        </w:rPr>
        <w:t>.</w:t>
      </w:r>
    </w:p>
  </w:footnote>
  <w:footnote w:id="2652">
    <w:p w14:paraId="4E3FAB17" w14:textId="77777777" w:rsidR="00392DBB" w:rsidRDefault="00392DBB" w:rsidP="00392DBB">
      <w:pPr>
        <w:pStyle w:val="a5"/>
      </w:pPr>
      <w:r>
        <w:rPr>
          <w:rStyle w:val="a7"/>
        </w:rPr>
        <w:footnoteRef/>
      </w:r>
      <w:r>
        <w:rPr>
          <w:rtl/>
        </w:rPr>
        <w:t xml:space="preserve"> </w:t>
      </w:r>
      <w:r w:rsidRPr="004A7964">
        <w:rPr>
          <w:rFonts w:cs="Arial"/>
          <w:rtl/>
        </w:rPr>
        <w:t>והכא איעבורי אחסנתא הוא שזה כותב לבתו מה שהיה ראוי להוריש לבניו</w:t>
      </w:r>
      <w:r>
        <w:rPr>
          <w:rFonts w:cs="Arial" w:hint="cs"/>
          <w:rtl/>
        </w:rPr>
        <w:t>, רש"י.</w:t>
      </w:r>
    </w:p>
  </w:footnote>
  <w:footnote w:id="2653">
    <w:p w14:paraId="7B938112" w14:textId="77777777" w:rsidR="00392DBB" w:rsidRDefault="00392DBB" w:rsidP="00392DBB">
      <w:pPr>
        <w:pStyle w:val="a5"/>
      </w:pPr>
      <w:r>
        <w:rPr>
          <w:rStyle w:val="a7"/>
        </w:rPr>
        <w:footnoteRef/>
      </w:r>
      <w:r>
        <w:rPr>
          <w:rtl/>
        </w:rPr>
        <w:t xml:space="preserve"> </w:t>
      </w:r>
      <w:r w:rsidRPr="004A7964">
        <w:rPr>
          <w:rFonts w:cs="Arial"/>
          <w:rtl/>
        </w:rPr>
        <w:t>לעיל שיקפוץ אדם ויתן לבתו ויליף לה מקרא</w:t>
      </w:r>
      <w:r>
        <w:rPr>
          <w:rFonts w:cs="Arial" w:hint="cs"/>
          <w:rtl/>
        </w:rPr>
        <w:t>, רש"י.</w:t>
      </w:r>
    </w:p>
  </w:footnote>
  <w:footnote w:id="2654">
    <w:p w14:paraId="64CB8912" w14:textId="77777777" w:rsidR="00392DBB" w:rsidRDefault="00392DBB" w:rsidP="00392DBB">
      <w:pPr>
        <w:pStyle w:val="a5"/>
      </w:pPr>
      <w:r>
        <w:rPr>
          <w:rStyle w:val="a7"/>
        </w:rPr>
        <w:footnoteRef/>
      </w:r>
      <w:r>
        <w:rPr>
          <w:rtl/>
        </w:rPr>
        <w:t xml:space="preserve"> </w:t>
      </w:r>
      <w:r w:rsidRPr="004A7964">
        <w:rPr>
          <w:rFonts w:cs="Arial"/>
          <w:rtl/>
        </w:rPr>
        <w:t>אם נטלת ממני עצה</w:t>
      </w:r>
      <w:r>
        <w:rPr>
          <w:rFonts w:cs="Arial" w:hint="cs"/>
          <w:rtl/>
        </w:rPr>
        <w:t>, רש"י.</w:t>
      </w:r>
    </w:p>
  </w:footnote>
  <w:footnote w:id="2655">
    <w:p w14:paraId="6F56695A" w14:textId="1D6F1C32" w:rsidR="00392DBB" w:rsidRDefault="00392DBB" w:rsidP="00392DBB">
      <w:pPr>
        <w:pStyle w:val="a5"/>
        <w:rPr>
          <w:rtl/>
        </w:rPr>
      </w:pPr>
      <w:r>
        <w:rPr>
          <w:rStyle w:val="a7"/>
        </w:rPr>
        <w:footnoteRef/>
      </w:r>
      <w:r>
        <w:rPr>
          <w:rtl/>
        </w:rPr>
        <w:t xml:space="preserve"> </w:t>
      </w:r>
      <w:r>
        <w:rPr>
          <w:rFonts w:hint="cs"/>
          <w:rtl/>
        </w:rPr>
        <w:t>הביאו דבריו</w:t>
      </w:r>
      <w:r>
        <w:rPr>
          <w:rFonts w:cs="Arial" w:hint="cs"/>
          <w:rtl/>
        </w:rPr>
        <w:t xml:space="preserve"> </w:t>
      </w:r>
      <w:r w:rsidRPr="008D5BDF">
        <w:rPr>
          <w:rFonts w:cs="Arial" w:hint="cs"/>
          <w:rtl/>
        </w:rPr>
        <w:t xml:space="preserve">המרדכי </w:t>
      </w:r>
      <w:r>
        <w:rPr>
          <w:rFonts w:cs="Arial" w:hint="cs"/>
          <w:rtl/>
        </w:rPr>
        <w:t>(</w:t>
      </w:r>
      <w:r w:rsidRPr="008D5BDF">
        <w:rPr>
          <w:rFonts w:cs="Arial" w:hint="cs"/>
          <w:rtl/>
        </w:rPr>
        <w:t>כתובות סי' קסב</w:t>
      </w:r>
      <w:r>
        <w:rPr>
          <w:rFonts w:cs="Arial" w:hint="cs"/>
          <w:rtl/>
        </w:rPr>
        <w:t>) והרא"ש (כתובות פ"ד סי' כד) לגבי הדיון בכתוב</w:t>
      </w:r>
      <w:r>
        <w:rPr>
          <w:rFonts w:hint="cs"/>
          <w:rtl/>
        </w:rPr>
        <w:t xml:space="preserve">ת בנין דכרין. והדרכ"מ (אות ג) הביא את הדברים הללו בשם המרדכי בסתם, וז"ל הדרכ"מ- </w:t>
      </w:r>
      <w:r w:rsidRPr="00A9227A">
        <w:rPr>
          <w:rFonts w:cs="Arial"/>
          <w:rtl/>
        </w:rPr>
        <w:t xml:space="preserve">כתב המרדכי פרק נערה (סי' קסב) </w:t>
      </w:r>
      <w:r>
        <w:rPr>
          <w:rFonts w:cs="Arial" w:hint="cs"/>
          <w:rtl/>
        </w:rPr>
        <w:t>ד</w:t>
      </w:r>
      <w:r w:rsidRPr="00E04543">
        <w:rPr>
          <w:rFonts w:cs="Arial"/>
          <w:rtl/>
        </w:rPr>
        <w:t>היו נוהגים לנדות על כל מי שמוסיף הרבה יותר מדאי לנדן בתו כי אין ראוי לעשות כן</w:t>
      </w:r>
      <w:r>
        <w:rPr>
          <w:rFonts w:cs="Arial" w:hint="cs"/>
          <w:rtl/>
        </w:rPr>
        <w:t>.</w:t>
      </w:r>
      <w:r>
        <w:rPr>
          <w:rFonts w:hint="cs"/>
          <w:rtl/>
        </w:rPr>
        <w:t xml:space="preserve"> עכ"ל. וקצת קשה לי מאיפה למד הדרכ"מ שנוהגים כן, הרי בבעל העיטור לא נכתב כן. אמנם לשון הרא"ש היא </w:t>
      </w:r>
      <w:r>
        <w:rPr>
          <w:rFonts w:cs="Arial" w:hint="cs"/>
          <w:rtl/>
        </w:rPr>
        <w:t>"</w:t>
      </w:r>
      <w:r w:rsidRPr="008D5BDF">
        <w:rPr>
          <w:rFonts w:cs="Arial"/>
          <w:rtl/>
        </w:rPr>
        <w:t>וכמה הוצרך הדבר לנדות כל מי שירבה במתנת בתו</w:t>
      </w:r>
      <w:r>
        <w:rPr>
          <w:rFonts w:cs="Arial" w:hint="cs"/>
          <w:rtl/>
        </w:rPr>
        <w:t>" (וכעין זה לשון המרדכי), ופירש הקו"נ (אות ש)</w:t>
      </w:r>
      <w:r w:rsidRPr="008D5BDF">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8D5BDF">
        <w:rPr>
          <w:rFonts w:cs="Arial"/>
          <w:rtl/>
        </w:rPr>
        <w:t>כלומר וראוי היה אז לחכמי הדור לעשות תקנה על זה בחרם ונידוי שלא להרבות לבתו מוהר הרבה להעביר נחלה וכי בשביל שהוא זכר יפסיד</w:t>
      </w:r>
      <w:r>
        <w:rPr>
          <w:rFonts w:cs="Arial" w:hint="cs"/>
          <w:rtl/>
        </w:rPr>
        <w:t>.</w:t>
      </w:r>
      <w:r>
        <w:rPr>
          <w:rFonts w:hint="cs"/>
          <w:rtl/>
        </w:rPr>
        <w:t xml:space="preserve"> עכ"ל. אם כן נראה שכך גרס הדרכ"מ במרדכי. אך במרדכי ישן איתא כבהעי"ט.</w:t>
      </w:r>
    </w:p>
  </w:footnote>
  <w:footnote w:id="2656">
    <w:p w14:paraId="61149E86" w14:textId="77777777" w:rsidR="00392DBB" w:rsidRDefault="00392DBB" w:rsidP="00392DBB">
      <w:pPr>
        <w:pStyle w:val="a5"/>
      </w:pPr>
      <w:r>
        <w:rPr>
          <w:rStyle w:val="a7"/>
        </w:rPr>
        <w:footnoteRef/>
      </w:r>
      <w:r>
        <w:rPr>
          <w:rtl/>
        </w:rPr>
        <w:t xml:space="preserve"> </w:t>
      </w:r>
      <w:r w:rsidRPr="00C55B53">
        <w:rPr>
          <w:rFonts w:cs="Arial"/>
          <w:rtl/>
        </w:rPr>
        <w:t>אין הפי' שנותנין לה מיד</w:t>
      </w:r>
      <w:r>
        <w:rPr>
          <w:rFonts w:cs="Arial" w:hint="cs"/>
          <w:rtl/>
        </w:rPr>
        <w:t>,</w:t>
      </w:r>
      <w:r w:rsidRPr="00C55B53">
        <w:rPr>
          <w:rFonts w:cs="Arial"/>
          <w:rtl/>
        </w:rPr>
        <w:t xml:space="preserve"> וכמו שיתבאר לקמן סעי' ד'</w:t>
      </w:r>
      <w:r>
        <w:rPr>
          <w:rFonts w:cs="Arial" w:hint="cs"/>
          <w:rtl/>
        </w:rPr>
        <w:t>,</w:t>
      </w:r>
      <w:r w:rsidRPr="00C55B53">
        <w:rPr>
          <w:rFonts w:cs="Arial"/>
          <w:rtl/>
        </w:rPr>
        <w:t xml:space="preserve"> רק שב"ד אומדין דעתו לפי הנכסים שנשארו ממנו ופוסקין לה ב"ד מה שראויה ליטול</w:t>
      </w:r>
      <w:r>
        <w:rPr>
          <w:rFonts w:cs="Arial" w:hint="cs"/>
          <w:rtl/>
        </w:rPr>
        <w:t>,</w:t>
      </w:r>
      <w:r w:rsidRPr="00C55B53">
        <w:rPr>
          <w:rFonts w:cs="Arial"/>
          <w:rtl/>
        </w:rPr>
        <w:t xml:space="preserve"> ונוטלתו בשעת נשואין</w:t>
      </w:r>
      <w:r>
        <w:rPr>
          <w:rFonts w:cs="Arial" w:hint="cs"/>
          <w:rtl/>
        </w:rPr>
        <w:t>,</w:t>
      </w:r>
      <w:r w:rsidRPr="00C55B53">
        <w:rPr>
          <w:rFonts w:cs="Arial"/>
          <w:rtl/>
        </w:rPr>
        <w:t xml:space="preserve"> והנכסים משועבדין לה מיד בשעת מיתה וכל מי שקנה קרקע מהאחין טורפת מן הלוקח כמו שיתבאר בסעי' ה'</w:t>
      </w:r>
      <w:r>
        <w:rPr>
          <w:rFonts w:cs="Arial" w:hint="cs"/>
          <w:rtl/>
        </w:rPr>
        <w:t>, ח"מ (סק"א).</w:t>
      </w:r>
    </w:p>
  </w:footnote>
  <w:footnote w:id="2657">
    <w:p w14:paraId="6F126C32" w14:textId="47F36F0E" w:rsidR="00392DBB" w:rsidRDefault="00392DBB" w:rsidP="00392DBB">
      <w:pPr>
        <w:pStyle w:val="a5"/>
      </w:pPr>
      <w:r>
        <w:rPr>
          <w:rStyle w:val="a7"/>
        </w:rPr>
        <w:footnoteRef/>
      </w:r>
      <w:r>
        <w:rPr>
          <w:rtl/>
        </w:rPr>
        <w:t xml:space="preserve"> </w:t>
      </w:r>
      <w:r w:rsidRPr="00C55B53">
        <w:rPr>
          <w:rFonts w:cs="Arial"/>
          <w:rtl/>
        </w:rPr>
        <w:t>משמע אפי' להוסיף על עישור נכסים וזה הוא דעת הרמב"ם כמ"ש המ"מ</w:t>
      </w:r>
      <w:r>
        <w:rPr>
          <w:rFonts w:cs="Arial" w:hint="cs"/>
          <w:rtl/>
        </w:rPr>
        <w:t>,</w:t>
      </w:r>
      <w:r w:rsidRPr="00C55B53">
        <w:rPr>
          <w:rFonts w:cs="Arial"/>
          <w:rtl/>
        </w:rPr>
        <w:t xml:space="preserve"> ובסמוך סעיף ב' בהג"ה כתב פלוגתא בזה</w:t>
      </w:r>
      <w:r>
        <w:rPr>
          <w:rFonts w:cs="Arial" w:hint="cs"/>
          <w:rtl/>
        </w:rPr>
        <w:t xml:space="preserve">, </w:t>
      </w:r>
      <w:r w:rsidRPr="003A3C22">
        <w:rPr>
          <w:rFonts w:cs="Arial" w:hint="cs"/>
          <w:b/>
          <w:bCs/>
          <w:rtl/>
        </w:rPr>
        <w:t>ח"מ</w:t>
      </w:r>
      <w:r>
        <w:rPr>
          <w:rFonts w:cs="Arial" w:hint="cs"/>
          <w:rtl/>
        </w:rPr>
        <w:t xml:space="preserve"> (סק"ב).</w:t>
      </w:r>
      <w:r w:rsidRPr="00AE427E">
        <w:rPr>
          <w:rtl/>
        </w:rPr>
        <w:t xml:space="preserve"> </w:t>
      </w:r>
      <w:r w:rsidR="003A3C22">
        <w:rPr>
          <w:rFonts w:hint="cs"/>
          <w:rtl/>
        </w:rPr>
        <w:t xml:space="preserve">     </w:t>
      </w:r>
      <w:r>
        <w:rPr>
          <w:rFonts w:cs="Arial" w:hint="cs"/>
          <w:rtl/>
        </w:rPr>
        <w:t>ו</w:t>
      </w:r>
      <w:r w:rsidRPr="00AE427E">
        <w:rPr>
          <w:rFonts w:cs="Arial"/>
          <w:rtl/>
        </w:rPr>
        <w:t xml:space="preserve">לכאורה משמע מטור </w:t>
      </w:r>
      <w:r>
        <w:rPr>
          <w:rFonts w:cs="Arial" w:hint="cs"/>
          <w:rtl/>
        </w:rPr>
        <w:t>ד</w:t>
      </w:r>
      <w:r w:rsidRPr="00AE427E">
        <w:rPr>
          <w:rFonts w:cs="Arial"/>
          <w:rtl/>
        </w:rPr>
        <w:t>אם השיא בת אז אפי' לדעת הפוסקים דאין אומדים ליתן לה יותר מעישור מ"מ אם כבר נתן יותר מעישור נותנים גם לזו יותר מעישור</w:t>
      </w:r>
      <w:r>
        <w:rPr>
          <w:rFonts w:cs="Arial" w:hint="cs"/>
          <w:rtl/>
        </w:rPr>
        <w:t>,</w:t>
      </w:r>
      <w:r w:rsidRPr="00AE427E">
        <w:rPr>
          <w:rFonts w:cs="Arial"/>
          <w:rtl/>
        </w:rPr>
        <w:t xml:space="preserve"> וכ"כ מהרש"ל</w:t>
      </w:r>
      <w:r>
        <w:rPr>
          <w:rFonts w:cs="Arial" w:hint="cs"/>
          <w:rtl/>
        </w:rPr>
        <w:t>.</w:t>
      </w:r>
      <w:r w:rsidRPr="00AE427E">
        <w:rPr>
          <w:rFonts w:cs="Arial"/>
          <w:rtl/>
        </w:rPr>
        <w:t xml:space="preserve"> מיהו בהרא"ש מבואר דאין חילוק בדבר אפי' השיא בת א' אין נותנים לו יותר מעישור</w:t>
      </w:r>
      <w:r>
        <w:rPr>
          <w:rFonts w:cs="Arial" w:hint="cs"/>
          <w:rtl/>
        </w:rPr>
        <w:t>,</w:t>
      </w:r>
      <w:r w:rsidRPr="00AE427E">
        <w:rPr>
          <w:rFonts w:cs="Arial"/>
          <w:rtl/>
        </w:rPr>
        <w:t xml:space="preserve"> וכן משמע בהג"ה סס"ב ועיין בדרישה ובית חדש</w:t>
      </w:r>
      <w:r>
        <w:rPr>
          <w:rFonts w:cs="Arial" w:hint="cs"/>
          <w:rtl/>
        </w:rPr>
        <w:t xml:space="preserve">, </w:t>
      </w:r>
      <w:r w:rsidRPr="003A3C22">
        <w:rPr>
          <w:rFonts w:cs="Arial" w:hint="cs"/>
          <w:b/>
          <w:bCs/>
          <w:rtl/>
        </w:rPr>
        <w:t>ב"ש</w:t>
      </w:r>
      <w:r>
        <w:rPr>
          <w:rFonts w:cs="Arial" w:hint="cs"/>
          <w:rtl/>
        </w:rPr>
        <w:t xml:space="preserve"> (סק"ב).</w:t>
      </w:r>
    </w:p>
  </w:footnote>
  <w:footnote w:id="2658">
    <w:p w14:paraId="30CD9B1F" w14:textId="77777777" w:rsidR="00392DBB" w:rsidRDefault="00392DBB" w:rsidP="00392DBB">
      <w:pPr>
        <w:pStyle w:val="a5"/>
      </w:pPr>
      <w:r>
        <w:rPr>
          <w:rStyle w:val="a7"/>
        </w:rPr>
        <w:footnoteRef/>
      </w:r>
      <w:r>
        <w:rPr>
          <w:rtl/>
        </w:rPr>
        <w:t xml:space="preserve"> </w:t>
      </w:r>
      <w:r w:rsidRPr="004A76EA">
        <w:rPr>
          <w:rFonts w:cs="Arial"/>
          <w:rtl/>
        </w:rPr>
        <w:t>היינו בידוע שנשתנה דעתו אבל אם אין ידוע אמרי' דלא נשתנה דעתו והיינו פלוגתא רבנן ור"י והלכה כר"י</w:t>
      </w:r>
      <w:r>
        <w:rPr>
          <w:rFonts w:cs="Arial" w:hint="cs"/>
          <w:rtl/>
        </w:rPr>
        <w:t>, ב"ש (סק"ג).</w:t>
      </w:r>
    </w:p>
  </w:footnote>
  <w:footnote w:id="2659">
    <w:p w14:paraId="5AC4CFE6" w14:textId="53761607" w:rsidR="00392DBB" w:rsidRDefault="00392DBB" w:rsidP="00392DBB">
      <w:pPr>
        <w:pStyle w:val="a5"/>
      </w:pPr>
      <w:r>
        <w:rPr>
          <w:rStyle w:val="a7"/>
        </w:rPr>
        <w:footnoteRef/>
      </w:r>
      <w:r>
        <w:rPr>
          <w:rtl/>
        </w:rPr>
        <w:t xml:space="preserve"> </w:t>
      </w:r>
      <w:r w:rsidRPr="00A45093">
        <w:rPr>
          <w:rFonts w:cs="Arial"/>
          <w:rtl/>
        </w:rPr>
        <w:t>וכן דעת מהריב"ל ורשד"ם דאינה נוהגת בנכסי האם</w:t>
      </w:r>
      <w:r>
        <w:rPr>
          <w:rFonts w:cs="Arial" w:hint="cs"/>
          <w:rtl/>
        </w:rPr>
        <w:t xml:space="preserve">, </w:t>
      </w:r>
      <w:r w:rsidRPr="006F0870">
        <w:rPr>
          <w:rFonts w:cs="Arial" w:hint="cs"/>
          <w:b/>
          <w:bCs/>
          <w:rtl/>
        </w:rPr>
        <w:t>באה"ט</w:t>
      </w:r>
      <w:r>
        <w:rPr>
          <w:rFonts w:cs="Arial" w:hint="cs"/>
          <w:rtl/>
        </w:rPr>
        <w:t xml:space="preserve"> (סק"ה).</w:t>
      </w:r>
      <w:r w:rsidRPr="00A45093">
        <w:rPr>
          <w:rFonts w:cs="Arial"/>
          <w:rtl/>
        </w:rPr>
        <w:t xml:space="preserve"> </w:t>
      </w:r>
      <w:r w:rsidR="006F0870">
        <w:rPr>
          <w:rFonts w:cs="Arial" w:hint="cs"/>
          <w:rtl/>
        </w:rPr>
        <w:t xml:space="preserve">    </w:t>
      </w:r>
      <w:r w:rsidRPr="00A45093">
        <w:rPr>
          <w:rFonts w:cs="Arial"/>
          <w:rtl/>
        </w:rPr>
        <w:t xml:space="preserve">וכן דעת שאילת יעב"ץ </w:t>
      </w:r>
      <w:r>
        <w:rPr>
          <w:rFonts w:cs="Arial" w:hint="cs"/>
          <w:rtl/>
        </w:rPr>
        <w:t>(</w:t>
      </w:r>
      <w:r w:rsidRPr="00A45093">
        <w:rPr>
          <w:rFonts w:cs="Arial"/>
          <w:rtl/>
        </w:rPr>
        <w:t>ח"א סי' פד</w:t>
      </w:r>
      <w:r>
        <w:rPr>
          <w:rFonts w:cs="Arial" w:hint="cs"/>
          <w:rtl/>
        </w:rPr>
        <w:t>)</w:t>
      </w:r>
      <w:r w:rsidRPr="00A45093">
        <w:rPr>
          <w:rFonts w:cs="Arial"/>
          <w:rtl/>
        </w:rPr>
        <w:t>. וכן דעת ס' בית מאיר וכ' דאפי' תפיס' לא מהני מטעם ספק תקנה</w:t>
      </w:r>
      <w:r w:rsidR="00993C94">
        <w:rPr>
          <w:rFonts w:cs="Arial" w:hint="cs"/>
          <w:rtl/>
        </w:rPr>
        <w:t>,</w:t>
      </w:r>
      <w:r w:rsidRPr="00A45093">
        <w:rPr>
          <w:rFonts w:cs="Arial"/>
          <w:rtl/>
        </w:rPr>
        <w:t xml:space="preserve"> ומסיים אלא דזה צ"ע בלשון מהרי"ל </w:t>
      </w:r>
      <w:r w:rsidR="00993C94">
        <w:rPr>
          <w:rFonts w:cs="Arial" w:hint="cs"/>
          <w:rtl/>
        </w:rPr>
        <w:t>(</w:t>
      </w:r>
      <w:r w:rsidRPr="00A45093">
        <w:rPr>
          <w:rFonts w:cs="Arial"/>
          <w:rtl/>
        </w:rPr>
        <w:t>סי' עט</w:t>
      </w:r>
      <w:r w:rsidR="00993C94">
        <w:rPr>
          <w:rFonts w:cs="Arial" w:hint="cs"/>
          <w:rtl/>
        </w:rPr>
        <w:t>)</w:t>
      </w:r>
      <w:r w:rsidRPr="00A45093">
        <w:rPr>
          <w:rFonts w:cs="Arial"/>
          <w:rtl/>
        </w:rPr>
        <w:t xml:space="preserve"> דמשמע מדבריו דוקא אם נשבעת הא אם לא נשבעת הנכסים בחזקת האב וחייבים בעישור וקשה למה לא יוכלו היורשים לומר אנו מוחלים השבוע' עב"ש </w:t>
      </w:r>
      <w:r w:rsidR="00993C94">
        <w:rPr>
          <w:rFonts w:cs="Arial" w:hint="cs"/>
          <w:rtl/>
        </w:rPr>
        <w:t>(</w:t>
      </w:r>
      <w:r w:rsidRPr="00A45093">
        <w:rPr>
          <w:rFonts w:cs="Arial"/>
          <w:rtl/>
        </w:rPr>
        <w:t>סי' צו סק"ד</w:t>
      </w:r>
      <w:r w:rsidR="00993C94">
        <w:rPr>
          <w:rFonts w:cs="Arial" w:hint="cs"/>
          <w:rtl/>
        </w:rPr>
        <w:t>,</w:t>
      </w:r>
      <w:r w:rsidRPr="00A45093">
        <w:rPr>
          <w:rFonts w:cs="Arial"/>
          <w:rtl/>
        </w:rPr>
        <w:t xml:space="preserve"> ובסי' קה ססק</w:t>
      </w:r>
      <w:r w:rsidR="00993C94">
        <w:rPr>
          <w:rFonts w:cs="Arial" w:hint="cs"/>
          <w:rtl/>
        </w:rPr>
        <w:t>"</w:t>
      </w:r>
      <w:r w:rsidRPr="00A45093">
        <w:rPr>
          <w:rFonts w:cs="Arial"/>
          <w:rtl/>
        </w:rPr>
        <w:t>ח</w:t>
      </w:r>
      <w:r w:rsidR="00993C94">
        <w:rPr>
          <w:rFonts w:cs="Arial" w:hint="cs"/>
          <w:rtl/>
        </w:rPr>
        <w:t>)</w:t>
      </w:r>
      <w:r>
        <w:rPr>
          <w:rFonts w:cs="Arial" w:hint="cs"/>
          <w:rtl/>
        </w:rPr>
        <w:t xml:space="preserve">, </w:t>
      </w:r>
      <w:r w:rsidRPr="006F0870">
        <w:rPr>
          <w:rFonts w:cs="Arial" w:hint="cs"/>
          <w:b/>
          <w:bCs/>
          <w:rtl/>
        </w:rPr>
        <w:t>פת"ש</w:t>
      </w:r>
      <w:r>
        <w:rPr>
          <w:rFonts w:cs="Arial" w:hint="cs"/>
          <w:rtl/>
        </w:rPr>
        <w:t xml:space="preserve"> (סק"ב).</w:t>
      </w:r>
      <w:r w:rsidRPr="00A45093">
        <w:rPr>
          <w:rFonts w:cs="Arial"/>
          <w:rtl/>
        </w:rPr>
        <w:t xml:space="preserve"> </w:t>
      </w:r>
      <w:r w:rsidR="006F0870">
        <w:rPr>
          <w:rFonts w:cs="Arial" w:hint="cs"/>
          <w:rtl/>
        </w:rPr>
        <w:t xml:space="preserve">     </w:t>
      </w:r>
      <w:r w:rsidRPr="004A76EA">
        <w:rPr>
          <w:rFonts w:cs="Arial"/>
          <w:rtl/>
        </w:rPr>
        <w:t xml:space="preserve">מיהו </w:t>
      </w:r>
      <w:r>
        <w:rPr>
          <w:rFonts w:cs="Arial" w:hint="cs"/>
          <w:rtl/>
        </w:rPr>
        <w:t xml:space="preserve">כתב </w:t>
      </w:r>
      <w:r w:rsidRPr="006F0870">
        <w:rPr>
          <w:rFonts w:cs="Arial" w:hint="cs"/>
          <w:b/>
          <w:bCs/>
          <w:rtl/>
        </w:rPr>
        <w:t>הב"ש</w:t>
      </w:r>
      <w:r>
        <w:rPr>
          <w:rFonts w:cs="Arial" w:hint="cs"/>
          <w:rtl/>
        </w:rPr>
        <w:t xml:space="preserve"> (סק"ד)</w:t>
      </w:r>
      <w:r w:rsidR="006F0870">
        <w:rPr>
          <w:rFonts w:cs="Arial" w:hint="cs"/>
          <w:rtl/>
        </w:rPr>
        <w:t>:</w:t>
      </w:r>
      <w:r>
        <w:rPr>
          <w:rFonts w:cs="Arial" w:hint="cs"/>
          <w:rtl/>
        </w:rPr>
        <w:t xml:space="preserve"> </w:t>
      </w:r>
      <w:r w:rsidRPr="004A76EA">
        <w:rPr>
          <w:rFonts w:cs="Arial"/>
          <w:rtl/>
        </w:rPr>
        <w:t>מדלא הבי</w:t>
      </w:r>
      <w:r>
        <w:rPr>
          <w:rFonts w:cs="Arial" w:hint="cs"/>
          <w:rtl/>
        </w:rPr>
        <w:t>א מהרי"ל</w:t>
      </w:r>
      <w:r w:rsidRPr="004A76EA">
        <w:rPr>
          <w:rFonts w:cs="Arial"/>
          <w:rtl/>
        </w:rPr>
        <w:t xml:space="preserve"> דברי הנ</w:t>
      </w:r>
      <w:r>
        <w:rPr>
          <w:rFonts w:cs="Arial" w:hint="cs"/>
          <w:rtl/>
        </w:rPr>
        <w:t>מוק</w:t>
      </w:r>
      <w:r w:rsidRPr="004A76EA">
        <w:rPr>
          <w:rFonts w:cs="Arial"/>
          <w:rtl/>
        </w:rPr>
        <w:t>"י בשם הריטב"א י</w:t>
      </w:r>
      <w:r>
        <w:rPr>
          <w:rFonts w:cs="Arial" w:hint="cs"/>
          <w:rtl/>
        </w:rPr>
        <w:t xml:space="preserve">ש </w:t>
      </w:r>
      <w:r w:rsidRPr="004A76EA">
        <w:rPr>
          <w:rFonts w:cs="Arial"/>
          <w:rtl/>
        </w:rPr>
        <w:t>ל</w:t>
      </w:r>
      <w:r>
        <w:rPr>
          <w:rFonts w:cs="Arial" w:hint="cs"/>
          <w:rtl/>
        </w:rPr>
        <w:t>ומר</w:t>
      </w:r>
      <w:r w:rsidRPr="004A76EA">
        <w:rPr>
          <w:rFonts w:cs="Arial"/>
          <w:rtl/>
        </w:rPr>
        <w:t xml:space="preserve"> דלא ראה דבריהם</w:t>
      </w:r>
      <w:r>
        <w:rPr>
          <w:rFonts w:cs="Arial" w:hint="cs"/>
          <w:rtl/>
        </w:rPr>
        <w:t>.</w:t>
      </w:r>
      <w:r w:rsidRPr="004A76EA">
        <w:rPr>
          <w:rFonts w:cs="Arial"/>
          <w:rtl/>
        </w:rPr>
        <w:t xml:space="preserve"> וראיה שלו</w:t>
      </w:r>
      <w:r>
        <w:rPr>
          <w:rFonts w:cs="Arial" w:hint="cs"/>
          <w:rtl/>
        </w:rPr>
        <w:t>,</w:t>
      </w:r>
      <w:r w:rsidRPr="004A76EA">
        <w:rPr>
          <w:rFonts w:cs="Arial"/>
          <w:rtl/>
        </w:rPr>
        <w:t xml:space="preserve"> דבפ' מציאת האשה דחוק לפ</w:t>
      </w:r>
      <w:r>
        <w:rPr>
          <w:rFonts w:cs="Arial" w:hint="cs"/>
          <w:rtl/>
        </w:rPr>
        <w:t>רש</w:t>
      </w:r>
      <w:r w:rsidRPr="004A76EA">
        <w:rPr>
          <w:rFonts w:cs="Arial"/>
          <w:rtl/>
        </w:rPr>
        <w:t xml:space="preserve"> על מה שאמר שם ר' הונא פרנסה היינו נדוניא אינה כתנאי כתובה</w:t>
      </w:r>
      <w:r>
        <w:rPr>
          <w:rFonts w:cs="Arial" w:hint="cs"/>
          <w:rtl/>
        </w:rPr>
        <w:t>,</w:t>
      </w:r>
      <w:r w:rsidRPr="004A76EA">
        <w:rPr>
          <w:rFonts w:cs="Arial"/>
          <w:rtl/>
        </w:rPr>
        <w:t xml:space="preserve"> ואם אית</w:t>
      </w:r>
      <w:r>
        <w:rPr>
          <w:rFonts w:cs="Arial" w:hint="cs"/>
          <w:rtl/>
        </w:rPr>
        <w:t>א</w:t>
      </w:r>
      <w:r w:rsidRPr="004A76EA">
        <w:rPr>
          <w:rFonts w:cs="Arial"/>
          <w:rtl/>
        </w:rPr>
        <w:t xml:space="preserve"> לישני להך מילתא דנגבי</w:t>
      </w:r>
      <w:r>
        <w:rPr>
          <w:rFonts w:cs="Arial" w:hint="cs"/>
          <w:rtl/>
        </w:rPr>
        <w:t>'</w:t>
      </w:r>
      <w:r w:rsidRPr="004A76EA">
        <w:rPr>
          <w:rFonts w:cs="Arial"/>
          <w:rtl/>
        </w:rPr>
        <w:t xml:space="preserve"> מנכסי האם משא"כ במזונות</w:t>
      </w:r>
      <w:r>
        <w:rPr>
          <w:rFonts w:cs="Arial" w:hint="cs"/>
          <w:rtl/>
        </w:rPr>
        <w:t xml:space="preserve"> -</w:t>
      </w:r>
      <w:r w:rsidRPr="004A76EA">
        <w:rPr>
          <w:rFonts w:cs="Arial"/>
          <w:rtl/>
        </w:rPr>
        <w:t xml:space="preserve"> באמת יש לדחות</w:t>
      </w:r>
      <w:r>
        <w:rPr>
          <w:rFonts w:cs="Arial" w:hint="cs"/>
          <w:rtl/>
        </w:rPr>
        <w:t>,</w:t>
      </w:r>
      <w:r w:rsidRPr="004A76EA">
        <w:rPr>
          <w:rFonts w:cs="Arial"/>
          <w:rtl/>
        </w:rPr>
        <w:t xml:space="preserve"> דנשמע ממתני' מדלא תני אלא מזונות</w:t>
      </w:r>
      <w:r>
        <w:rPr>
          <w:rFonts w:cs="Arial" w:hint="cs"/>
          <w:rtl/>
        </w:rPr>
        <w:t>. עכ"ל הב"ש.</w:t>
      </w:r>
      <w:r w:rsidRPr="00A45093">
        <w:rPr>
          <w:rtl/>
        </w:rPr>
        <w:t xml:space="preserve"> </w:t>
      </w:r>
      <w:r w:rsidR="000607E1">
        <w:rPr>
          <w:rFonts w:hint="cs"/>
          <w:rtl/>
        </w:rPr>
        <w:t xml:space="preserve">     </w:t>
      </w:r>
      <w:r>
        <w:rPr>
          <w:rFonts w:cs="Arial" w:hint="cs"/>
          <w:rtl/>
        </w:rPr>
        <w:t>אך</w:t>
      </w:r>
      <w:r w:rsidRPr="00A45093">
        <w:rPr>
          <w:rFonts w:cs="Arial"/>
          <w:rtl/>
        </w:rPr>
        <w:t xml:space="preserve"> בתשו' </w:t>
      </w:r>
      <w:r w:rsidRPr="000607E1">
        <w:rPr>
          <w:rFonts w:cs="Arial"/>
          <w:b/>
          <w:bCs/>
          <w:rtl/>
        </w:rPr>
        <w:t>ח</w:t>
      </w:r>
      <w:r w:rsidRPr="000607E1">
        <w:rPr>
          <w:rFonts w:cs="Arial" w:hint="cs"/>
          <w:b/>
          <w:bCs/>
          <w:rtl/>
        </w:rPr>
        <w:t>ת</w:t>
      </w:r>
      <w:r w:rsidRPr="000607E1">
        <w:rPr>
          <w:rFonts w:cs="Arial"/>
          <w:b/>
          <w:bCs/>
          <w:rtl/>
        </w:rPr>
        <w:t>"ס</w:t>
      </w:r>
      <w:r w:rsidRPr="00A45093">
        <w:rPr>
          <w:rFonts w:cs="Arial"/>
          <w:rtl/>
        </w:rPr>
        <w:t xml:space="preserve"> </w:t>
      </w:r>
      <w:r>
        <w:rPr>
          <w:rFonts w:cs="Arial" w:hint="cs"/>
          <w:rtl/>
        </w:rPr>
        <w:t>(</w:t>
      </w:r>
      <w:r w:rsidRPr="00A45093">
        <w:rPr>
          <w:rFonts w:cs="Arial"/>
          <w:rtl/>
        </w:rPr>
        <w:t>סי' קמ</w:t>
      </w:r>
      <w:r>
        <w:rPr>
          <w:rFonts w:cs="Arial" w:hint="cs"/>
          <w:rtl/>
        </w:rPr>
        <w:t>ה)</w:t>
      </w:r>
      <w:r w:rsidRPr="00A45093">
        <w:rPr>
          <w:rFonts w:cs="Arial"/>
          <w:rtl/>
        </w:rPr>
        <w:t xml:space="preserve"> כתב ליישב דברי מהרי"ל מקושיית הב"ש</w:t>
      </w:r>
      <w:r>
        <w:rPr>
          <w:rFonts w:cs="Arial" w:hint="cs"/>
          <w:rtl/>
        </w:rPr>
        <w:t>,</w:t>
      </w:r>
      <w:r w:rsidRPr="00A45093">
        <w:rPr>
          <w:rFonts w:cs="Arial"/>
          <w:rtl/>
        </w:rPr>
        <w:t xml:space="preserve"> ומסיים</w:t>
      </w:r>
      <w:r w:rsidR="000607E1">
        <w:rPr>
          <w:rFonts w:cs="Arial" w:hint="cs"/>
          <w:rtl/>
        </w:rPr>
        <w:t>:</w:t>
      </w:r>
      <w:r w:rsidRPr="00A45093">
        <w:rPr>
          <w:rFonts w:cs="Arial"/>
          <w:rtl/>
        </w:rPr>
        <w:t xml:space="preserve"> לכן אין להוציא ממון מנכסי האם לפרנסת הבנות.</w:t>
      </w:r>
    </w:p>
  </w:footnote>
  <w:footnote w:id="2660">
    <w:p w14:paraId="4B688A03" w14:textId="77777777" w:rsidR="00392DBB" w:rsidRDefault="00392DBB" w:rsidP="00392DBB">
      <w:pPr>
        <w:pStyle w:val="a5"/>
      </w:pPr>
      <w:r>
        <w:rPr>
          <w:rStyle w:val="a7"/>
        </w:rPr>
        <w:footnoteRef/>
      </w:r>
      <w:r>
        <w:rPr>
          <w:rtl/>
        </w:rPr>
        <w:t xml:space="preserve"> </w:t>
      </w:r>
      <w:r w:rsidRPr="00157687">
        <w:rPr>
          <w:rFonts w:cs="Arial"/>
          <w:rtl/>
        </w:rPr>
        <w:t>עישור נכסים שתקנו לה בתורת ירושה תקינו לה</w:t>
      </w:r>
      <w:r>
        <w:rPr>
          <w:rFonts w:cs="Arial" w:hint="cs"/>
          <w:rtl/>
        </w:rPr>
        <w:t>, רש"י.</w:t>
      </w:r>
    </w:p>
  </w:footnote>
  <w:footnote w:id="2661">
    <w:p w14:paraId="04837EAB" w14:textId="77777777" w:rsidR="00392DBB" w:rsidRDefault="00392DBB" w:rsidP="00392DBB">
      <w:pPr>
        <w:pStyle w:val="a5"/>
        <w:rPr>
          <w:rtl/>
        </w:rPr>
      </w:pPr>
      <w:r>
        <w:rPr>
          <w:rStyle w:val="a7"/>
        </w:rPr>
        <w:footnoteRef/>
      </w:r>
      <w:r>
        <w:rPr>
          <w:rtl/>
        </w:rPr>
        <w:t xml:space="preserve"> </w:t>
      </w:r>
      <w:r w:rsidRPr="00157687">
        <w:rPr>
          <w:rFonts w:cs="Arial"/>
          <w:rtl/>
        </w:rPr>
        <w:t>באמת לא מצו לסלוקה בזוזי ולא בחדא ארעא שאם רוצה נוטלת חלקה מכל קרקע וקרקע ואין יכולין להקנות לה חלקה במקום אחד</w:t>
      </w:r>
      <w:r>
        <w:rPr>
          <w:rFonts w:hint="cs"/>
          <w:rtl/>
        </w:rPr>
        <w:t>, רש"י.</w:t>
      </w:r>
    </w:p>
  </w:footnote>
  <w:footnote w:id="2662">
    <w:p w14:paraId="439F16F9" w14:textId="77777777" w:rsidR="00392DBB" w:rsidRDefault="00392DBB" w:rsidP="00392DBB">
      <w:pPr>
        <w:pStyle w:val="a5"/>
      </w:pPr>
      <w:r>
        <w:rPr>
          <w:rStyle w:val="a7"/>
        </w:rPr>
        <w:footnoteRef/>
      </w:r>
      <w:r>
        <w:rPr>
          <w:rtl/>
        </w:rPr>
        <w:t xml:space="preserve"> </w:t>
      </w:r>
      <w:r w:rsidRPr="004D4855">
        <w:rPr>
          <w:rFonts w:cs="Arial"/>
          <w:rtl/>
        </w:rPr>
        <w:t>אשה אחת באת לפני ר' נחמיה</w:t>
      </w:r>
      <w:r>
        <w:rPr>
          <w:rFonts w:cs="Arial" w:hint="cs"/>
          <w:rtl/>
        </w:rPr>
        <w:t>,</w:t>
      </w:r>
      <w:r w:rsidRPr="004D4855">
        <w:rPr>
          <w:rFonts w:cs="Arial"/>
          <w:rtl/>
        </w:rPr>
        <w:t xml:space="preserve"> שהיה לה ליטול עישור נכסים במקומו של רבה בר רב הונא</w:t>
      </w:r>
      <w:r>
        <w:rPr>
          <w:rFonts w:cs="Arial" w:hint="cs"/>
          <w:rtl/>
        </w:rPr>
        <w:t>,</w:t>
      </w:r>
      <w:r w:rsidRPr="004D4855">
        <w:rPr>
          <w:rFonts w:cs="Arial"/>
          <w:rtl/>
        </w:rPr>
        <w:t xml:space="preserve"> ובקשה ממנו לשלוח לו דבר מאתו שישתדל בדינה</w:t>
      </w:r>
      <w:r>
        <w:rPr>
          <w:rFonts w:cs="Arial" w:hint="cs"/>
          <w:rtl/>
        </w:rPr>
        <w:t>, רש"י.</w:t>
      </w:r>
    </w:p>
  </w:footnote>
  <w:footnote w:id="2663">
    <w:p w14:paraId="494138C8" w14:textId="0EEB19FD" w:rsidR="00392DBB" w:rsidRDefault="00392DBB" w:rsidP="00392DBB">
      <w:pPr>
        <w:pStyle w:val="a5"/>
      </w:pPr>
      <w:r>
        <w:rPr>
          <w:rStyle w:val="a7"/>
        </w:rPr>
        <w:footnoteRef/>
      </w:r>
      <w:r>
        <w:rPr>
          <w:rtl/>
        </w:rPr>
        <w:t xml:space="preserve"> </w:t>
      </w:r>
      <w:r w:rsidRPr="004D4855">
        <w:rPr>
          <w:rFonts w:cs="Arial"/>
          <w:rtl/>
        </w:rPr>
        <w:t>מושב אמת הרחים כמות שהן ומקרקעי חשיב להו</w:t>
      </w:r>
      <w:r>
        <w:rPr>
          <w:rFonts w:cs="Arial" w:hint="cs"/>
          <w:rtl/>
        </w:rPr>
        <w:t xml:space="preserve">, רש"י. דאע"פ שאינו קרקע </w:t>
      </w:r>
      <w:r w:rsidR="00F97626">
        <w:rPr>
          <w:rFonts w:cs="Arial"/>
          <w:rtl/>
        </w:rPr>
        <w:t>-</w:t>
      </w:r>
      <w:r>
        <w:rPr>
          <w:rFonts w:cs="Arial" w:hint="cs"/>
          <w:rtl/>
        </w:rPr>
        <w:t xml:space="preserve"> הרי הוא מחובר לקרקע.</w:t>
      </w:r>
    </w:p>
  </w:footnote>
  <w:footnote w:id="2664">
    <w:p w14:paraId="662C20D4" w14:textId="77777777" w:rsidR="00392DBB" w:rsidRDefault="00392DBB" w:rsidP="00392DBB">
      <w:pPr>
        <w:pStyle w:val="a5"/>
        <w:rPr>
          <w:rtl/>
        </w:rPr>
      </w:pPr>
      <w:r>
        <w:rPr>
          <w:rStyle w:val="a7"/>
        </w:rPr>
        <w:footnoteRef/>
      </w:r>
      <w:r>
        <w:rPr>
          <w:rtl/>
        </w:rPr>
        <w:t xml:space="preserve"> </w:t>
      </w:r>
      <w:r w:rsidRPr="004D4855">
        <w:rPr>
          <w:rFonts w:cs="Arial"/>
          <w:rtl/>
        </w:rPr>
        <w:t>שכירות הבתים ממקרקעי קא אתי</w:t>
      </w:r>
      <w:r>
        <w:rPr>
          <w:rFonts w:hint="cs"/>
          <w:rtl/>
        </w:rPr>
        <w:t>, רש"י.</w:t>
      </w:r>
    </w:p>
  </w:footnote>
  <w:footnote w:id="2665">
    <w:p w14:paraId="45F44C7E" w14:textId="7B171250"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060907">
        <w:rPr>
          <w:rFonts w:cs="Arial"/>
          <w:rtl/>
        </w:rPr>
        <w:t>ודע שדעת הרמב"ן והרשב"א זכרונם לברכה הוא שבזמן שנותנין פרנסה לבנות לפי אומדנותו של אב אין אומדין לפי הקרקעות שיש לו בלבד אלא לפי מה שיש לו בין קרקע בין מטלטלין והכל שוה וזהו שאמרו בגמרא פרק נערה (דף נ:) רב זן מחטי דעליה ופירשו בגמרא דפרנסה הואי ומאי עליה מעילויא דאב וכדשמואל דאמר לפרנסה שמין באב. ואף דעת רבינו נראה כן ממה שלא הביא רבינו חילוק הקרקעות אלא בדין העישור בלבד ולמטה גם כן כתב או באומדן דעת האב או בעישור הקרקעות</w:t>
      </w:r>
      <w:r>
        <w:rPr>
          <w:rFonts w:cs="Arial" w:hint="cs"/>
          <w:rtl/>
        </w:rPr>
        <w:t>. עכ"ל. ועי' בדברי הרשב"א (סח.) שהדברים מפורשים יותר.</w:t>
      </w:r>
    </w:p>
  </w:footnote>
  <w:footnote w:id="2666">
    <w:p w14:paraId="482751B1" w14:textId="42E3DBAD"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7B229D">
        <w:rPr>
          <w:rFonts w:cs="Arial"/>
          <w:rtl/>
        </w:rPr>
        <w:t>והאידנא תקינו רבנן דמתיבתא למיגבי כתובה ממטלטלי הלכך מזוני נמי אפילו ממטלטלי דקי"ל (כתובות נד:) דתנאי כתובה ככתובה דמיא אבל פרנסה דליתא מתנאי כתובתה</w:t>
      </w:r>
      <w:r>
        <w:rPr>
          <w:rFonts w:cs="Arial" w:hint="cs"/>
          <w:rtl/>
        </w:rPr>
        <w:t xml:space="preserve"> (סח:)</w:t>
      </w:r>
      <w:r w:rsidRPr="007B229D">
        <w:rPr>
          <w:rFonts w:cs="Arial"/>
          <w:rtl/>
        </w:rPr>
        <w:t xml:space="preserve"> כדקיימא קיימא</w:t>
      </w:r>
      <w:r>
        <w:rPr>
          <w:rFonts w:cs="Arial" w:hint="cs"/>
          <w:rtl/>
        </w:rPr>
        <w:t>.</w:t>
      </w:r>
      <w:r w:rsidRPr="007B229D">
        <w:rPr>
          <w:rFonts w:cs="Arial"/>
          <w:rtl/>
        </w:rPr>
        <w:t xml:space="preserve"> אע"ג דלעיל בשמעתין אמרי' דלרבי כיון דמזוני גביא ממטלטלי כל שכן פרנסה</w:t>
      </w:r>
      <w:r>
        <w:rPr>
          <w:rFonts w:cs="Arial" w:hint="cs"/>
          <w:rtl/>
        </w:rPr>
        <w:t xml:space="preserve"> -</w:t>
      </w:r>
      <w:r w:rsidRPr="007B229D">
        <w:rPr>
          <w:rFonts w:cs="Arial"/>
          <w:rtl/>
        </w:rPr>
        <w:t xml:space="preserve"> התם לענין דינא קאמר</w:t>
      </w:r>
      <w:r>
        <w:rPr>
          <w:rFonts w:cs="Arial" w:hint="cs"/>
          <w:rtl/>
        </w:rPr>
        <w:t>,</w:t>
      </w:r>
      <w:r w:rsidRPr="007B229D">
        <w:rPr>
          <w:rFonts w:cs="Arial"/>
          <w:rtl/>
        </w:rPr>
        <w:t xml:space="preserve"> אבל האידנא דלא גביא ממטלטלי אלא בתקנת הגאונים</w:t>
      </w:r>
      <w:r>
        <w:rPr>
          <w:rFonts w:cs="Arial" w:hint="cs"/>
          <w:rtl/>
        </w:rPr>
        <w:t>,</w:t>
      </w:r>
      <w:r w:rsidRPr="007B229D">
        <w:rPr>
          <w:rFonts w:cs="Arial"/>
          <w:rtl/>
        </w:rPr>
        <w:t xml:space="preserve"> במאי דתקון תקון ובמאי דלא תקון לא תקון</w:t>
      </w:r>
      <w:r>
        <w:rPr>
          <w:rFonts w:cs="Arial" w:hint="cs"/>
          <w:rtl/>
        </w:rPr>
        <w:t>.</w:t>
      </w:r>
    </w:p>
  </w:footnote>
  <w:footnote w:id="2667">
    <w:p w14:paraId="045FC009" w14:textId="10F955D9" w:rsidR="00477A54" w:rsidRDefault="00477A54" w:rsidP="00477A54">
      <w:pPr>
        <w:pStyle w:val="a5"/>
        <w:rPr>
          <w:rtl/>
        </w:rPr>
      </w:pPr>
      <w:r>
        <w:rPr>
          <w:rStyle w:val="a7"/>
        </w:rPr>
        <w:footnoteRef/>
      </w:r>
      <w:r>
        <w:rPr>
          <w:rtl/>
        </w:rPr>
        <w:t xml:space="preserve"> </w:t>
      </w:r>
      <w:r>
        <w:rPr>
          <w:rFonts w:cs="Arial" w:hint="cs"/>
          <w:rtl/>
        </w:rPr>
        <w:t xml:space="preserve">וז"ל: </w:t>
      </w:r>
      <w:r w:rsidRPr="00A46CD8">
        <w:rPr>
          <w:rFonts w:cs="Arial"/>
          <w:rtl/>
        </w:rPr>
        <w:t>וכן עישור נכסים ממטלטלין בזמן הזה</w:t>
      </w:r>
      <w:r>
        <w:rPr>
          <w:rFonts w:cs="Arial" w:hint="cs"/>
          <w:rtl/>
        </w:rPr>
        <w:t>,</w:t>
      </w:r>
      <w:r w:rsidRPr="00A46CD8">
        <w:rPr>
          <w:rFonts w:cs="Arial"/>
          <w:rtl/>
        </w:rPr>
        <w:t xml:space="preserve"> שמואל בפרק נערה (</w:t>
      </w:r>
      <w:r>
        <w:rPr>
          <w:rFonts w:cs="Arial" w:hint="cs"/>
          <w:rtl/>
        </w:rPr>
        <w:t xml:space="preserve">שם </w:t>
      </w:r>
      <w:r w:rsidRPr="00A46CD8">
        <w:rPr>
          <w:rFonts w:cs="Arial"/>
          <w:rtl/>
        </w:rPr>
        <w:t>נ</w:t>
      </w:r>
      <w:r>
        <w:rPr>
          <w:rFonts w:cs="Arial" w:hint="cs"/>
          <w:rtl/>
        </w:rPr>
        <w:t>:</w:t>
      </w:r>
      <w:r w:rsidRPr="00A46CD8">
        <w:rPr>
          <w:rFonts w:cs="Arial"/>
          <w:rtl/>
        </w:rPr>
        <w:t>)</w:t>
      </w:r>
      <w:r>
        <w:rPr>
          <w:rFonts w:cs="Arial" w:hint="cs"/>
          <w:rtl/>
        </w:rPr>
        <w:t>.</w:t>
      </w:r>
      <w:r w:rsidRPr="00A46CD8">
        <w:rPr>
          <w:rFonts w:cs="Arial"/>
          <w:rtl/>
        </w:rPr>
        <w:t xml:space="preserve"> וגם בזמן הזה רגיל כל אדם להשיא בתו ממטלטלין</w:t>
      </w:r>
      <w:r>
        <w:rPr>
          <w:rFonts w:cs="Arial" w:hint="cs"/>
          <w:rtl/>
        </w:rPr>
        <w:t>,</w:t>
      </w:r>
      <w:r w:rsidRPr="00A46CD8">
        <w:rPr>
          <w:rFonts w:cs="Arial"/>
          <w:rtl/>
        </w:rPr>
        <w:t xml:space="preserve"> וזהו כמו אומדנא שסובר רבא כרבי יהודה וכשמואל באמידניה בפרק מציאת האשה (סח</w:t>
      </w:r>
      <w:r>
        <w:rPr>
          <w:rFonts w:cs="Arial" w:hint="cs"/>
          <w:rtl/>
        </w:rPr>
        <w:t>.).</w:t>
      </w:r>
    </w:p>
  </w:footnote>
  <w:footnote w:id="2668">
    <w:p w14:paraId="7649E276" w14:textId="77777777" w:rsidR="00477A54" w:rsidRDefault="00477A54" w:rsidP="00477A54">
      <w:pPr>
        <w:pStyle w:val="a5"/>
        <w:rPr>
          <w:rtl/>
        </w:rPr>
      </w:pPr>
      <w:r>
        <w:rPr>
          <w:rStyle w:val="a7"/>
        </w:rPr>
        <w:footnoteRef/>
      </w:r>
      <w:r>
        <w:rPr>
          <w:rtl/>
        </w:rPr>
        <w:t xml:space="preserve"> </w:t>
      </w:r>
      <w:r>
        <w:rPr>
          <w:rFonts w:cs="Arial"/>
          <w:rtl/>
        </w:rPr>
        <w:t xml:space="preserve">ונ"ל שאיפשר שגם </w:t>
      </w:r>
      <w:r>
        <w:rPr>
          <w:rFonts w:cs="Arial" w:hint="cs"/>
          <w:rtl/>
        </w:rPr>
        <w:t xml:space="preserve">הם </w:t>
      </w:r>
      <w:r w:rsidRPr="00F764F9">
        <w:rPr>
          <w:rFonts w:cs="Arial" w:hint="cs"/>
          <w:sz w:val="16"/>
          <w:szCs w:val="16"/>
          <w:rtl/>
        </w:rPr>
        <w:t>{הרי"ף הרמב"ם והרא"ש</w:t>
      </w:r>
      <w:r>
        <w:rPr>
          <w:rFonts w:cs="Arial" w:hint="cs"/>
          <w:sz w:val="16"/>
          <w:szCs w:val="16"/>
          <w:rtl/>
        </w:rPr>
        <w:t>}</w:t>
      </w:r>
      <w:r>
        <w:rPr>
          <w:rFonts w:cs="Arial"/>
          <w:rtl/>
        </w:rPr>
        <w:t xml:space="preserve"> לא יחלקו על דברי התוספות שכתבתי בסמוך</w:t>
      </w:r>
      <w:r>
        <w:rPr>
          <w:rFonts w:cs="Arial" w:hint="cs"/>
          <w:rtl/>
        </w:rPr>
        <w:t>,</w:t>
      </w:r>
      <w:r>
        <w:rPr>
          <w:rFonts w:cs="Arial"/>
          <w:rtl/>
        </w:rPr>
        <w:t xml:space="preserve"> אלא שהם ז"ל כתבו דין התלמוד סתם</w:t>
      </w:r>
      <w:r>
        <w:rPr>
          <w:rFonts w:cs="Arial" w:hint="cs"/>
          <w:rtl/>
        </w:rPr>
        <w:t>, ב"י.</w:t>
      </w:r>
      <w:r w:rsidRPr="00863D97">
        <w:rPr>
          <w:rFonts w:cs="Arial"/>
          <w:rtl/>
        </w:rPr>
        <w:t xml:space="preserve"> </w:t>
      </w:r>
      <w:r>
        <w:rPr>
          <w:rFonts w:cs="Arial" w:hint="cs"/>
          <w:rtl/>
        </w:rPr>
        <w:t xml:space="preserve">     ונחלקו המפרשים בכוונת הב"י. הדרכ"מ </w:t>
      </w:r>
      <w:r w:rsidRPr="00A51A92">
        <w:rPr>
          <w:rFonts w:cs="Arial"/>
          <w:sz w:val="16"/>
          <w:szCs w:val="16"/>
          <w:rtl/>
        </w:rPr>
        <w:t>(</w:t>
      </w:r>
      <w:r w:rsidRPr="00A51A92">
        <w:rPr>
          <w:rFonts w:cs="Arial" w:hint="cs"/>
          <w:sz w:val="16"/>
          <w:szCs w:val="16"/>
          <w:rtl/>
        </w:rPr>
        <w:t xml:space="preserve">אות </w:t>
      </w:r>
      <w:r w:rsidRPr="00A51A92">
        <w:rPr>
          <w:rFonts w:cs="Arial"/>
          <w:sz w:val="16"/>
          <w:szCs w:val="16"/>
          <w:rtl/>
        </w:rPr>
        <w:t>ו</w:t>
      </w:r>
      <w:r w:rsidRPr="00A51A92">
        <w:rPr>
          <w:rFonts w:cs="Arial" w:hint="cs"/>
          <w:sz w:val="16"/>
          <w:szCs w:val="16"/>
          <w:rtl/>
        </w:rPr>
        <w:t>, ועיין בדרכ"מ ארוך ובהערה עליו שם</w:t>
      </w:r>
      <w:r w:rsidRPr="00A51A92">
        <w:rPr>
          <w:rFonts w:cs="Arial"/>
          <w:sz w:val="16"/>
          <w:szCs w:val="16"/>
          <w:rtl/>
        </w:rPr>
        <w:t xml:space="preserve">) </w:t>
      </w:r>
      <w:r>
        <w:rPr>
          <w:rFonts w:cs="Arial" w:hint="cs"/>
          <w:rtl/>
        </w:rPr>
        <w:t>פירש שכוונתו לומר ד</w:t>
      </w:r>
      <w:r w:rsidRPr="00863D97">
        <w:rPr>
          <w:rFonts w:cs="Arial"/>
          <w:rtl/>
        </w:rPr>
        <w:t xml:space="preserve">לאחר תקנת הגאונים מודים </w:t>
      </w:r>
      <w:r>
        <w:rPr>
          <w:rFonts w:cs="Arial" w:hint="cs"/>
          <w:rtl/>
        </w:rPr>
        <w:t xml:space="preserve">הרי"ף וסיעתו </w:t>
      </w:r>
      <w:r w:rsidRPr="00863D97">
        <w:rPr>
          <w:rFonts w:cs="Arial"/>
          <w:rtl/>
        </w:rPr>
        <w:t xml:space="preserve">לדברי התוס' </w:t>
      </w:r>
      <w:r w:rsidRPr="00A51A92">
        <w:rPr>
          <w:rFonts w:cs="Arial" w:hint="cs"/>
          <w:sz w:val="16"/>
          <w:szCs w:val="16"/>
          <w:rtl/>
        </w:rPr>
        <w:t>(</w:t>
      </w:r>
      <w:r w:rsidRPr="00A51A92">
        <w:rPr>
          <w:rFonts w:cs="Arial"/>
          <w:sz w:val="16"/>
          <w:szCs w:val="16"/>
          <w:rtl/>
        </w:rPr>
        <w:t>ו</w:t>
      </w:r>
      <w:r w:rsidRPr="00A51A92">
        <w:rPr>
          <w:rFonts w:cs="Arial" w:hint="cs"/>
          <w:sz w:val="16"/>
          <w:szCs w:val="16"/>
          <w:rtl/>
        </w:rPr>
        <w:t>לכן כתב</w:t>
      </w:r>
      <w:r>
        <w:rPr>
          <w:rFonts w:cs="Arial" w:hint="cs"/>
          <w:sz w:val="16"/>
          <w:szCs w:val="16"/>
          <w:rtl/>
        </w:rPr>
        <w:t xml:space="preserve"> הדרכ"מ:</w:t>
      </w:r>
      <w:r w:rsidRPr="00A51A92">
        <w:rPr>
          <w:rFonts w:cs="Arial" w:hint="cs"/>
          <w:sz w:val="16"/>
          <w:szCs w:val="16"/>
          <w:rtl/>
        </w:rPr>
        <w:t xml:space="preserve"> </w:t>
      </w:r>
      <w:r>
        <w:rPr>
          <w:rFonts w:cs="Arial" w:hint="cs"/>
          <w:sz w:val="16"/>
          <w:szCs w:val="16"/>
          <w:rtl/>
        </w:rPr>
        <w:t>ו</w:t>
      </w:r>
      <w:r w:rsidRPr="00A51A92">
        <w:rPr>
          <w:rFonts w:cs="Arial"/>
          <w:sz w:val="16"/>
          <w:szCs w:val="16"/>
          <w:rtl/>
        </w:rPr>
        <w:t>אין דבריו נראין בזה אלא מדלא חילקו בזה כמו שחילקו לענין שאר דיני תנאי כתובה שמעינן דסבירא ליה דלא גביא ממטלטלין אפילו בזמן הזה וכמו שכתב הטור בשם הרא"ש</w:t>
      </w:r>
      <w:r w:rsidRPr="00A51A92">
        <w:rPr>
          <w:rFonts w:cs="Arial" w:hint="cs"/>
          <w:sz w:val="16"/>
          <w:szCs w:val="16"/>
          <w:rtl/>
        </w:rPr>
        <w:t xml:space="preserve"> [עכ"ל הדרכ"מ])</w:t>
      </w:r>
      <w:r>
        <w:rPr>
          <w:rFonts w:cs="Arial" w:hint="cs"/>
          <w:rtl/>
        </w:rPr>
        <w:t xml:space="preserve">. אך יש שפירשו </w:t>
      </w:r>
      <w:r w:rsidRPr="00A51A92">
        <w:rPr>
          <w:rFonts w:cs="Arial" w:hint="cs"/>
          <w:sz w:val="16"/>
          <w:szCs w:val="16"/>
          <w:rtl/>
        </w:rPr>
        <w:t xml:space="preserve">(בית מאיר [ריש סע' ב ד"ה אלא הקרק']) </w:t>
      </w:r>
      <w:r>
        <w:rPr>
          <w:rFonts w:cs="Arial" w:hint="cs"/>
          <w:rtl/>
        </w:rPr>
        <w:t>שכוונתו שהאידנא בגלל המנהג שכל בני האדם רגילים להשיא בנותיהם ממטלטלי חשיב כמו באמידניה.</w:t>
      </w:r>
      <w:r>
        <w:rPr>
          <w:rFonts w:hint="cs"/>
          <w:rtl/>
        </w:rPr>
        <w:t xml:space="preserve"> וכן נראה לי.</w:t>
      </w:r>
    </w:p>
  </w:footnote>
  <w:footnote w:id="2669">
    <w:p w14:paraId="6FCF92C7" w14:textId="77777777" w:rsidR="00392DBB" w:rsidRDefault="00392DBB" w:rsidP="00392DBB">
      <w:pPr>
        <w:pStyle w:val="a5"/>
        <w:rPr>
          <w:rtl/>
        </w:rPr>
      </w:pPr>
      <w:r>
        <w:rPr>
          <w:rStyle w:val="a7"/>
        </w:rPr>
        <w:footnoteRef/>
      </w:r>
      <w:r>
        <w:rPr>
          <w:rtl/>
        </w:rPr>
        <w:t xml:space="preserve"> </w:t>
      </w:r>
      <w:r w:rsidRPr="00E04543">
        <w:rPr>
          <w:rFonts w:cs="Arial"/>
          <w:rtl/>
        </w:rPr>
        <w:t>יש</w:t>
      </w:r>
      <w:r>
        <w:rPr>
          <w:rFonts w:cs="Arial" w:hint="cs"/>
          <w:rtl/>
        </w:rPr>
        <w:t xml:space="preserve"> מה</w:t>
      </w:r>
      <w:r w:rsidRPr="00E04543">
        <w:rPr>
          <w:rFonts w:cs="Arial"/>
          <w:rtl/>
        </w:rPr>
        <w:t>גאונים</w:t>
      </w:r>
      <w:r>
        <w:rPr>
          <w:rFonts w:cs="Arial" w:hint="cs"/>
          <w:sz w:val="16"/>
          <w:szCs w:val="16"/>
          <w:rtl/>
        </w:rPr>
        <w:t xml:space="preserve"> (כ"כ בשמם הטור)</w:t>
      </w:r>
      <w:r w:rsidRPr="00676BC0">
        <w:rPr>
          <w:rFonts w:cs="Arial"/>
          <w:rtl/>
        </w:rPr>
        <w:t xml:space="preserve"> </w:t>
      </w:r>
      <w:r w:rsidRPr="00A37DE1">
        <w:rPr>
          <w:rFonts w:cs="Arial"/>
          <w:rtl/>
        </w:rPr>
        <w:t xml:space="preserve">רש"י </w:t>
      </w:r>
      <w:r w:rsidRPr="00676BC0">
        <w:rPr>
          <w:rFonts w:cs="Arial"/>
          <w:sz w:val="16"/>
          <w:szCs w:val="16"/>
          <w:rtl/>
        </w:rPr>
        <w:t xml:space="preserve">(סח. ד"ה ינתן) </w:t>
      </w:r>
      <w:r w:rsidRPr="00A37DE1">
        <w:rPr>
          <w:rFonts w:cs="Arial"/>
          <w:rtl/>
        </w:rPr>
        <w:t xml:space="preserve">ראב"ד </w:t>
      </w:r>
      <w:r>
        <w:rPr>
          <w:rFonts w:cs="Arial" w:hint="cs"/>
          <w:sz w:val="16"/>
          <w:szCs w:val="16"/>
          <w:rtl/>
        </w:rPr>
        <w:t>(כ"כ הר"ן [ל:] בשמו)</w:t>
      </w:r>
      <w:r>
        <w:rPr>
          <w:rFonts w:cs="Arial" w:hint="cs"/>
          <w:rtl/>
        </w:rPr>
        <w:t xml:space="preserve"> </w:t>
      </w:r>
      <w:r w:rsidRPr="00A37DE1">
        <w:rPr>
          <w:rFonts w:cs="Arial"/>
          <w:rtl/>
        </w:rPr>
        <w:t>רמב"ם</w:t>
      </w:r>
      <w:r>
        <w:rPr>
          <w:rFonts w:cs="Arial" w:hint="cs"/>
          <w:sz w:val="16"/>
          <w:szCs w:val="16"/>
          <w:rtl/>
        </w:rPr>
        <w:t xml:space="preserve"> (כ"כ בשמו הה"מ)</w:t>
      </w:r>
      <w:r>
        <w:rPr>
          <w:rFonts w:cs="Arial" w:hint="cs"/>
          <w:rtl/>
        </w:rPr>
        <w:t xml:space="preserve"> והה"מ </w:t>
      </w:r>
      <w:r>
        <w:rPr>
          <w:rFonts w:cs="Arial" w:hint="cs"/>
          <w:sz w:val="16"/>
          <w:szCs w:val="16"/>
          <w:rtl/>
        </w:rPr>
        <w:t>(פ"כ ה"ג)</w:t>
      </w:r>
      <w:r>
        <w:rPr>
          <w:rFonts w:hint="cs"/>
          <w:rtl/>
        </w:rPr>
        <w:t>.</w:t>
      </w:r>
    </w:p>
  </w:footnote>
  <w:footnote w:id="2670">
    <w:p w14:paraId="093ED9A7" w14:textId="77777777" w:rsidR="00392DBB" w:rsidRDefault="00392DBB" w:rsidP="00392DBB">
      <w:pPr>
        <w:pStyle w:val="a5"/>
        <w:rPr>
          <w:rtl/>
        </w:rPr>
      </w:pPr>
      <w:r>
        <w:rPr>
          <w:rStyle w:val="a7"/>
        </w:rPr>
        <w:footnoteRef/>
      </w:r>
      <w:r>
        <w:rPr>
          <w:rtl/>
        </w:rPr>
        <w:t xml:space="preserve"> </w:t>
      </w:r>
      <w:r w:rsidRPr="00863D97">
        <w:rPr>
          <w:rFonts w:cs="Arial"/>
          <w:rtl/>
        </w:rPr>
        <w:t xml:space="preserve">מיהו כתב </w:t>
      </w:r>
      <w:r>
        <w:rPr>
          <w:rFonts w:cs="Arial" w:hint="cs"/>
          <w:rtl/>
        </w:rPr>
        <w:t xml:space="preserve">מהרי"ק </w:t>
      </w:r>
      <w:r w:rsidRPr="00863D97">
        <w:rPr>
          <w:rFonts w:cs="Arial"/>
          <w:rtl/>
        </w:rPr>
        <w:t>דמשום ועשית הישר והטוב לכן ראוי לילך אחר אומדנא אפילו להוסיף, אך לא יוסיף על עישור נכסים כי אם מחלק המגיע לו אחרי אשר יפרע שטרי הבנות הנוהגות בגלילות אלו מאחר שרוב הפוסקים פסקו שלא להוסיף על עישור נכסים, וכתב עוד וראוי לאמדו לפי הממון שהניח בעת מותו אף אם השיא בנות בחייו</w:t>
      </w:r>
      <w:r>
        <w:rPr>
          <w:rFonts w:cs="Arial" w:hint="cs"/>
          <w:sz w:val="16"/>
          <w:szCs w:val="16"/>
          <w:rtl/>
        </w:rPr>
        <w:t xml:space="preserve"> </w:t>
      </w:r>
      <w:r w:rsidRPr="005B4EBA">
        <w:rPr>
          <w:rFonts w:cs="Arial" w:hint="cs"/>
          <w:color w:val="00B0F0"/>
          <w:sz w:val="16"/>
          <w:szCs w:val="16"/>
          <w:rtl/>
        </w:rPr>
        <w:t>(וכ"פ הרמ"א)</w:t>
      </w:r>
      <w:r w:rsidRPr="00863D97">
        <w:rPr>
          <w:rFonts w:cs="Arial"/>
          <w:rtl/>
        </w:rPr>
        <w:t>, ואם השיא ג' בנות בחייו הולכין אחר דעתו הממוצע</w:t>
      </w:r>
      <w:r>
        <w:rPr>
          <w:rFonts w:cs="Arial" w:hint="cs"/>
          <w:rtl/>
        </w:rPr>
        <w:t>, דרכ"מ (אות ח).</w:t>
      </w:r>
    </w:p>
  </w:footnote>
  <w:footnote w:id="2671">
    <w:p w14:paraId="4B308ACC" w14:textId="77777777" w:rsidR="00392DBB" w:rsidRDefault="00392DBB" w:rsidP="00392DBB">
      <w:pPr>
        <w:pStyle w:val="a5"/>
      </w:pPr>
      <w:r>
        <w:rPr>
          <w:rStyle w:val="a7"/>
        </w:rPr>
        <w:footnoteRef/>
      </w:r>
      <w:r>
        <w:rPr>
          <w:rtl/>
        </w:rPr>
        <w:t xml:space="preserve"> </w:t>
      </w:r>
      <w:r w:rsidRPr="00A37DE1">
        <w:rPr>
          <w:rFonts w:cs="Arial"/>
          <w:rtl/>
        </w:rPr>
        <w:t>שתי סברות אלו כתב הרי"ף בפרק מציאת האשה (כט סוע"ב) ולא הכריע</w:t>
      </w:r>
      <w:r>
        <w:rPr>
          <w:rFonts w:cs="Arial" w:hint="cs"/>
          <w:rtl/>
        </w:rPr>
        <w:t>.</w:t>
      </w:r>
      <w:r w:rsidRPr="00A37DE1">
        <w:rPr>
          <w:rFonts w:cs="Arial"/>
          <w:rtl/>
        </w:rPr>
        <w:t xml:space="preserve"> והרא"ש (סי' יב) כתב טענות שתי הסברות</w:t>
      </w:r>
      <w:r>
        <w:rPr>
          <w:rFonts w:cs="Arial" w:hint="cs"/>
          <w:rtl/>
        </w:rPr>
        <w:t>,</w:t>
      </w:r>
      <w:r w:rsidRPr="00A37DE1">
        <w:rPr>
          <w:rFonts w:cs="Arial"/>
          <w:rtl/>
        </w:rPr>
        <w:t xml:space="preserve"> וכתב שדעת התוספות (נ: ד"ה ומאי) נוטה לסברת האומרים שאין הולכין אחר אומד אלא לגרוע וכו'</w:t>
      </w:r>
      <w:r>
        <w:rPr>
          <w:rFonts w:cs="Arial" w:hint="cs"/>
          <w:rtl/>
        </w:rPr>
        <w:t>,</w:t>
      </w:r>
      <w:r w:rsidRPr="00A37DE1">
        <w:rPr>
          <w:rFonts w:cs="Arial"/>
          <w:rtl/>
        </w:rPr>
        <w:t xml:space="preserve"> ובסוף דבריו כתב וכיון דאיכא פלוגתא דרבוותא לא מפקינן מיתמי טפי מעישור נכסי</w:t>
      </w:r>
      <w:r>
        <w:rPr>
          <w:rFonts w:cs="Arial" w:hint="cs"/>
          <w:rtl/>
        </w:rPr>
        <w:t>, ב"י.</w:t>
      </w:r>
      <w:r>
        <w:rPr>
          <w:rFonts w:hint="cs"/>
          <w:rtl/>
        </w:rPr>
        <w:t xml:space="preserve"> </w:t>
      </w:r>
    </w:p>
  </w:footnote>
  <w:footnote w:id="2672">
    <w:p w14:paraId="2049979E" w14:textId="77777777" w:rsidR="00392DBB" w:rsidRDefault="00392DBB" w:rsidP="00392DBB">
      <w:pPr>
        <w:pStyle w:val="a5"/>
        <w:rPr>
          <w:rtl/>
        </w:rPr>
      </w:pPr>
      <w:r>
        <w:rPr>
          <w:rStyle w:val="a7"/>
        </w:rPr>
        <w:footnoteRef/>
      </w:r>
      <w:r>
        <w:rPr>
          <w:rtl/>
        </w:rPr>
        <w:t xml:space="preserve"> </w:t>
      </w:r>
      <w:r>
        <w:rPr>
          <w:rFonts w:hint="cs"/>
          <w:rtl/>
        </w:rPr>
        <w:t>אולי צ"ל 'השוכר', וכן הוא בלבוש.</w:t>
      </w:r>
    </w:p>
  </w:footnote>
  <w:footnote w:id="2673">
    <w:p w14:paraId="424A4444" w14:textId="77777777" w:rsidR="00392DBB" w:rsidRDefault="00392DBB" w:rsidP="00392DBB">
      <w:pPr>
        <w:pStyle w:val="a5"/>
      </w:pPr>
      <w:r>
        <w:rPr>
          <w:rStyle w:val="a7"/>
        </w:rPr>
        <w:footnoteRef/>
      </w:r>
      <w:r>
        <w:rPr>
          <w:rtl/>
        </w:rPr>
        <w:t xml:space="preserve"> </w:t>
      </w:r>
      <w:r w:rsidRPr="00E04543">
        <w:rPr>
          <w:rFonts w:cs="Arial"/>
          <w:rtl/>
        </w:rPr>
        <w:t>וכתב נמוק</w:t>
      </w:r>
      <w:r>
        <w:rPr>
          <w:rFonts w:cs="Arial" w:hint="cs"/>
          <w:rtl/>
        </w:rPr>
        <w:t>"</w:t>
      </w:r>
      <w:r w:rsidRPr="00E04543">
        <w:rPr>
          <w:rFonts w:cs="Arial"/>
          <w:rtl/>
        </w:rPr>
        <w:t>י פרק המוכר בית (ב"ב לה: ד"ה גמ' צנור) דאם הגיע זמנו לגבות דמי כאילו גבו היתומים ודוקא שהשכירו האב אבל השכירו היתומים אין לגבות בו כלום דלית להו בראוי ובשבח עכ"ל</w:t>
      </w:r>
      <w:r>
        <w:rPr>
          <w:rFonts w:cs="Arial" w:hint="cs"/>
          <w:rtl/>
        </w:rPr>
        <w:t>.</w:t>
      </w:r>
      <w:r w:rsidRPr="00E04543">
        <w:rPr>
          <w:rFonts w:cs="Arial"/>
          <w:rtl/>
        </w:rPr>
        <w:t xml:space="preserve"> מיהו הטור פסק לקמן (עמ' סט) דאית להו בראוי וכן הוא במרדכי פרק מציאת האשה (סי' קצא)</w:t>
      </w:r>
      <w:r>
        <w:rPr>
          <w:rFonts w:cs="Arial" w:hint="cs"/>
          <w:rtl/>
        </w:rPr>
        <w:t>, דרכ"מ (אות ד).</w:t>
      </w:r>
    </w:p>
  </w:footnote>
  <w:footnote w:id="2674">
    <w:p w14:paraId="3629C390" w14:textId="77777777" w:rsidR="00392DBB" w:rsidRDefault="00392DBB" w:rsidP="00392DBB">
      <w:pPr>
        <w:pStyle w:val="a5"/>
      </w:pPr>
      <w:r>
        <w:rPr>
          <w:rStyle w:val="a7"/>
        </w:rPr>
        <w:footnoteRef/>
      </w:r>
      <w:r>
        <w:rPr>
          <w:rtl/>
        </w:rPr>
        <w:t xml:space="preserve"> </w:t>
      </w:r>
      <w:r>
        <w:rPr>
          <w:rFonts w:hint="cs"/>
          <w:rtl/>
        </w:rPr>
        <w:t xml:space="preserve">ואין זה סותר את דברי רבא שכתב 'הלכתא ממקרקעי ולא ממטלטלי', שלפרנסת הבת יש דין מיוחד דשוויוה כבעל חוב </w:t>
      </w:r>
      <w:r w:rsidRPr="00214F69">
        <w:rPr>
          <w:rFonts w:hint="cs"/>
          <w:b/>
          <w:bCs/>
          <w:rtl/>
        </w:rPr>
        <w:t>לעניין זה</w:t>
      </w:r>
      <w:r>
        <w:rPr>
          <w:rFonts w:hint="cs"/>
          <w:rtl/>
        </w:rPr>
        <w:t xml:space="preserve"> שיכול לסלק אותה במעות אם הוא רוצה (אבל אם הוא לא רוצה - אינה יכולה לדרוש ממנו מעות, ובזה שונה דינה מבעל חוב, ודין פריעת בע"ח נתבאר בחו"מ סי' קא). </w:t>
      </w:r>
    </w:p>
  </w:footnote>
  <w:footnote w:id="2675">
    <w:p w14:paraId="7B404380" w14:textId="77777777" w:rsidR="00392DBB" w:rsidRDefault="00392DBB" w:rsidP="00392DBB">
      <w:pPr>
        <w:pStyle w:val="a5"/>
        <w:rPr>
          <w:rtl/>
        </w:rPr>
      </w:pPr>
      <w:r>
        <w:rPr>
          <w:rStyle w:val="a7"/>
        </w:rPr>
        <w:footnoteRef/>
      </w:r>
      <w:r w:rsidRPr="00863D97">
        <w:rPr>
          <w:rFonts w:cs="Arial"/>
          <w:rtl/>
        </w:rPr>
        <w:t xml:space="preserve"> ונראה דיש ללמוד מכאן לענין שטר חצי זכר שנוהגין בו האידנא ליתן לבנות לבד ממקרקעי וספרים</w:t>
      </w:r>
      <w:r>
        <w:rPr>
          <w:rFonts w:cs="Arial" w:hint="cs"/>
          <w:rtl/>
        </w:rPr>
        <w:t>,</w:t>
      </w:r>
      <w:r w:rsidRPr="00863D97">
        <w:rPr>
          <w:rFonts w:cs="Arial"/>
          <w:rtl/>
        </w:rPr>
        <w:t xml:space="preserve"> דיש רשות לבנים לסלק כל חובות או כתובת אשה עם מטלטלין כדי להשאיר הקרקעות לפניהם ולהפקיע מהן זכות הבנות</w:t>
      </w:r>
      <w:r>
        <w:rPr>
          <w:rFonts w:cs="Arial" w:hint="cs"/>
          <w:rtl/>
        </w:rPr>
        <w:t>.</w:t>
      </w:r>
      <w:r w:rsidRPr="00863D97">
        <w:rPr>
          <w:rFonts w:cs="Arial"/>
          <w:rtl/>
        </w:rPr>
        <w:t xml:space="preserve"> ואין לחלק דסתם שעבוד כתובה ובעל חוב על הקרקעות ולכן מצי לסלקו בקרקעות לענין עישור נכסים</w:t>
      </w:r>
      <w:r>
        <w:rPr>
          <w:rFonts w:cs="Arial" w:hint="cs"/>
          <w:rtl/>
        </w:rPr>
        <w:t>,</w:t>
      </w:r>
      <w:r w:rsidRPr="00863D97">
        <w:rPr>
          <w:rFonts w:cs="Arial"/>
          <w:rtl/>
        </w:rPr>
        <w:t xml:space="preserve"> וכדמשמע קצת לשון מוהר"ם דאסמכתייהו על הקרקעות, אבל במטלטלי לא מצי לסלקינהו, זה אינו</w:t>
      </w:r>
      <w:r>
        <w:rPr>
          <w:rFonts w:cs="Arial" w:hint="cs"/>
          <w:rtl/>
        </w:rPr>
        <w:t>,</w:t>
      </w:r>
      <w:r w:rsidRPr="00863D97">
        <w:rPr>
          <w:rFonts w:cs="Arial"/>
          <w:rtl/>
        </w:rPr>
        <w:t xml:space="preserve"> דאסמכתייהו על הקרקע דקאמר מוהר"ם </w:t>
      </w:r>
      <w:r>
        <w:rPr>
          <w:rFonts w:cs="Arial" w:hint="cs"/>
          <w:rtl/>
        </w:rPr>
        <w:t xml:space="preserve">- </w:t>
      </w:r>
      <w:r w:rsidRPr="00863D97">
        <w:rPr>
          <w:rFonts w:cs="Arial"/>
          <w:rtl/>
        </w:rPr>
        <w:t>אף על הקרקע קאמר</w:t>
      </w:r>
      <w:r>
        <w:rPr>
          <w:rFonts w:cs="Arial" w:hint="cs"/>
          <w:rtl/>
        </w:rPr>
        <w:t>,</w:t>
      </w:r>
      <w:r w:rsidRPr="00863D97">
        <w:rPr>
          <w:rFonts w:cs="Arial"/>
          <w:rtl/>
        </w:rPr>
        <w:t xml:space="preserve"> אבל הרשות ביד היתומים לסלק אותן במטלטלין כמו שאביהן היה מצי לסלק אותן בזוזי (עי' טור חו"מ סי' קא ס"ד), ולכן נראה דהנכסים בחזקת הבנים קיימי ויד בעל השטר על התחתונה</w:t>
      </w:r>
      <w:r>
        <w:rPr>
          <w:rFonts w:cs="Arial" w:hint="cs"/>
          <w:rtl/>
        </w:rPr>
        <w:t>,</w:t>
      </w:r>
      <w:r w:rsidRPr="00863D97">
        <w:rPr>
          <w:rFonts w:cs="Arial"/>
          <w:rtl/>
        </w:rPr>
        <w:t xml:space="preserve"> כן נראה לי</w:t>
      </w:r>
      <w:r>
        <w:rPr>
          <w:rFonts w:cs="Arial" w:hint="cs"/>
          <w:rtl/>
        </w:rPr>
        <w:t>, דרכ"מ (אות ה).</w:t>
      </w:r>
      <w:r>
        <w:rPr>
          <w:rFonts w:hint="cs"/>
          <w:rtl/>
        </w:rPr>
        <w:t xml:space="preserve"> </w:t>
      </w:r>
      <w:r w:rsidRPr="005B4EBA">
        <w:rPr>
          <w:rFonts w:hint="cs"/>
          <w:color w:val="00B0F0"/>
          <w:rtl/>
        </w:rPr>
        <w:t>(וכ"פ בהג"ה)</w:t>
      </w:r>
    </w:p>
  </w:footnote>
  <w:footnote w:id="2676">
    <w:p w14:paraId="6B6A7DAF" w14:textId="77777777" w:rsidR="00392DBB" w:rsidRDefault="00392DBB" w:rsidP="00392DBB">
      <w:pPr>
        <w:pStyle w:val="a5"/>
      </w:pPr>
      <w:r>
        <w:rPr>
          <w:rStyle w:val="a7"/>
        </w:rPr>
        <w:footnoteRef/>
      </w:r>
      <w:r>
        <w:rPr>
          <w:rtl/>
        </w:rPr>
        <w:t xml:space="preserve"> </w:t>
      </w:r>
      <w:r w:rsidRPr="00A3098F">
        <w:rPr>
          <w:rFonts w:cs="Arial"/>
          <w:rtl/>
        </w:rPr>
        <w:t>ע"כ אשה המוחלת כתובתה לבעלה</w:t>
      </w:r>
      <w:r>
        <w:rPr>
          <w:rFonts w:cs="Arial" w:hint="cs"/>
          <w:rtl/>
        </w:rPr>
        <w:t>,</w:t>
      </w:r>
      <w:r w:rsidRPr="00A3098F">
        <w:rPr>
          <w:rFonts w:cs="Arial"/>
          <w:rtl/>
        </w:rPr>
        <w:t xml:space="preserve"> אפילו לדעת הרמב"ם דס"ל דאין לבנות מזונות </w:t>
      </w:r>
      <w:r>
        <w:rPr>
          <w:rFonts w:cs="Arial" w:hint="cs"/>
          <w:rtl/>
        </w:rPr>
        <w:t xml:space="preserve">- </w:t>
      </w:r>
      <w:r w:rsidRPr="00A3098F">
        <w:rPr>
          <w:rFonts w:cs="Arial"/>
          <w:rtl/>
        </w:rPr>
        <w:t>אבל פרנסה לא אבדו הבנות</w:t>
      </w:r>
      <w:r>
        <w:rPr>
          <w:rFonts w:cs="Arial" w:hint="cs"/>
          <w:rtl/>
        </w:rPr>
        <w:t>.</w:t>
      </w:r>
      <w:r w:rsidRPr="00A3098F">
        <w:rPr>
          <w:rFonts w:cs="Arial"/>
          <w:rtl/>
        </w:rPr>
        <w:t xml:space="preserve"> גם הרשות בידו לצוות שלא ליתן פרנסה להם</w:t>
      </w:r>
      <w:r>
        <w:rPr>
          <w:rFonts w:cs="Arial" w:hint="cs"/>
          <w:rtl/>
        </w:rPr>
        <w:t xml:space="preserve"> </w:t>
      </w:r>
      <w:r>
        <w:rPr>
          <w:rFonts w:cs="Arial" w:hint="cs"/>
          <w:sz w:val="16"/>
          <w:szCs w:val="16"/>
          <w:rtl/>
        </w:rPr>
        <w:t>{</w:t>
      </w:r>
      <w:r w:rsidRPr="00C304C7">
        <w:rPr>
          <w:rFonts w:cs="Arial" w:hint="cs"/>
          <w:sz w:val="16"/>
          <w:szCs w:val="16"/>
          <w:rtl/>
        </w:rPr>
        <w:t>כמבואר לקמן בסוף הסימן}</w:t>
      </w:r>
      <w:r>
        <w:rPr>
          <w:rFonts w:cs="Arial" w:hint="cs"/>
          <w:rtl/>
        </w:rPr>
        <w:t>,</w:t>
      </w:r>
      <w:r w:rsidRPr="00A3098F">
        <w:rPr>
          <w:rFonts w:cs="Arial"/>
          <w:rtl/>
        </w:rPr>
        <w:t xml:space="preserve"> כי אין זה חיוב על האב רק חיוב על הבנים כל זמן ששתק האב</w:t>
      </w:r>
      <w:r>
        <w:rPr>
          <w:rFonts w:cs="Arial" w:hint="cs"/>
          <w:rtl/>
        </w:rPr>
        <w:t>, ח"מ (סק"ו).</w:t>
      </w:r>
    </w:p>
  </w:footnote>
  <w:footnote w:id="2677">
    <w:p w14:paraId="6F6489E6" w14:textId="77777777" w:rsidR="00392DBB" w:rsidRDefault="00392DBB" w:rsidP="00392DBB">
      <w:pPr>
        <w:pStyle w:val="a5"/>
        <w:rPr>
          <w:rtl/>
        </w:rPr>
      </w:pPr>
      <w:r>
        <w:rPr>
          <w:rStyle w:val="a7"/>
        </w:rPr>
        <w:footnoteRef/>
      </w:r>
      <w:r>
        <w:rPr>
          <w:rtl/>
        </w:rPr>
        <w:t xml:space="preserve"> </w:t>
      </w:r>
      <w:r w:rsidRPr="00A3098F">
        <w:rPr>
          <w:rFonts w:cs="Arial"/>
          <w:rtl/>
        </w:rPr>
        <w:t>כלו</w:t>
      </w:r>
      <w:r>
        <w:rPr>
          <w:rFonts w:cs="Arial" w:hint="cs"/>
          <w:rtl/>
        </w:rPr>
        <w:t>מר</w:t>
      </w:r>
      <w:r w:rsidRPr="00A3098F">
        <w:rPr>
          <w:rFonts w:cs="Arial"/>
          <w:rtl/>
        </w:rPr>
        <w:t xml:space="preserve"> שתקנו שכתובה ותנאים נגבין אף מן המטלטלין אבל על פרנסה לא תקנו ומטלטלי דיתמי לא משתעבדו להו ודיין לבנות שיקחו פרנסה מן הקרקע אף על גב שהיא ב"ח דאחין</w:t>
      </w:r>
      <w:r>
        <w:rPr>
          <w:rFonts w:hint="cs"/>
          <w:rtl/>
        </w:rPr>
        <w:t>, ח"מ (סק"ז).</w:t>
      </w:r>
    </w:p>
  </w:footnote>
  <w:footnote w:id="2678">
    <w:p w14:paraId="7F0B28F9" w14:textId="77777777" w:rsidR="00392DBB" w:rsidRDefault="00392DBB" w:rsidP="00392DBB">
      <w:pPr>
        <w:pStyle w:val="a5"/>
      </w:pPr>
      <w:r>
        <w:rPr>
          <w:rStyle w:val="a7"/>
        </w:rPr>
        <w:footnoteRef/>
      </w:r>
      <w:r>
        <w:rPr>
          <w:rtl/>
        </w:rPr>
        <w:t xml:space="preserve"> </w:t>
      </w:r>
      <w:r w:rsidRPr="00C92F8D">
        <w:rPr>
          <w:rFonts w:cs="Arial"/>
          <w:rtl/>
        </w:rPr>
        <w:t>פשיטא השכירות שיוצא מן הקרקע אחר מיתת האב ודאי גובה מהן</w:t>
      </w:r>
      <w:r>
        <w:rPr>
          <w:rFonts w:cs="Arial" w:hint="cs"/>
          <w:rtl/>
        </w:rPr>
        <w:t>,</w:t>
      </w:r>
      <w:r w:rsidRPr="00C92F8D">
        <w:rPr>
          <w:rFonts w:cs="Arial"/>
          <w:rtl/>
        </w:rPr>
        <w:t xml:space="preserve"> דהא מיד במיתת האב נשתעבדו כל הקרקעות להן</w:t>
      </w:r>
      <w:r>
        <w:rPr>
          <w:rFonts w:cs="Arial" w:hint="cs"/>
          <w:rtl/>
        </w:rPr>
        <w:t>.</w:t>
      </w:r>
      <w:r w:rsidRPr="00C92F8D">
        <w:rPr>
          <w:rFonts w:cs="Arial"/>
          <w:rtl/>
        </w:rPr>
        <w:t xml:space="preserve"> אלא אפילו מה שעלה בחיי האב כל זמן שלא הגיע זמן השכירות בחיי האב </w:t>
      </w:r>
      <w:r>
        <w:rPr>
          <w:rFonts w:cs="Arial" w:hint="cs"/>
          <w:rtl/>
        </w:rPr>
        <w:t xml:space="preserve">- </w:t>
      </w:r>
      <w:r w:rsidRPr="00C92F8D">
        <w:rPr>
          <w:rFonts w:cs="Arial"/>
          <w:rtl/>
        </w:rPr>
        <w:t>הוי השכירו</w:t>
      </w:r>
      <w:r>
        <w:rPr>
          <w:rFonts w:cs="Arial" w:hint="cs"/>
          <w:rtl/>
        </w:rPr>
        <w:t>ת</w:t>
      </w:r>
      <w:r w:rsidRPr="00C92F8D">
        <w:rPr>
          <w:rFonts w:cs="Arial"/>
          <w:rtl/>
        </w:rPr>
        <w:t xml:space="preserve"> כפירות המחוברין לקרקע וצריכין לקרקע שדינן כקרקע</w:t>
      </w:r>
      <w:r>
        <w:rPr>
          <w:rFonts w:cs="Arial" w:hint="cs"/>
          <w:rtl/>
        </w:rPr>
        <w:t>.</w:t>
      </w:r>
      <w:r w:rsidRPr="00C92F8D">
        <w:rPr>
          <w:rFonts w:cs="Arial"/>
          <w:rtl/>
        </w:rPr>
        <w:t xml:space="preserve"> אבל ודאי אם עבר הזמן בחיי האב </w:t>
      </w:r>
      <w:r>
        <w:rPr>
          <w:rFonts w:cs="Arial" w:hint="cs"/>
          <w:rtl/>
        </w:rPr>
        <w:t xml:space="preserve">- </w:t>
      </w:r>
      <w:r w:rsidRPr="00C92F8D">
        <w:rPr>
          <w:rFonts w:cs="Arial"/>
          <w:rtl/>
        </w:rPr>
        <w:t>אין השכירות כקרקע</w:t>
      </w:r>
      <w:r>
        <w:rPr>
          <w:rFonts w:cs="Arial" w:hint="cs"/>
          <w:rtl/>
        </w:rPr>
        <w:t>.</w:t>
      </w:r>
      <w:r w:rsidRPr="00C92F8D">
        <w:rPr>
          <w:rFonts w:cs="Arial"/>
          <w:rtl/>
        </w:rPr>
        <w:t xml:space="preserve"> והא דכתב </w:t>
      </w:r>
      <w:r>
        <w:rPr>
          <w:rFonts w:cs="Arial" w:hint="cs"/>
          <w:rtl/>
        </w:rPr>
        <w:t>'</w:t>
      </w:r>
      <w:r w:rsidRPr="00C92F8D">
        <w:rPr>
          <w:rFonts w:cs="Arial"/>
          <w:rtl/>
        </w:rPr>
        <w:t>אם לא גבו היתומים</w:t>
      </w:r>
      <w:r>
        <w:rPr>
          <w:rFonts w:cs="Arial" w:hint="cs"/>
          <w:rtl/>
        </w:rPr>
        <w:t>'</w:t>
      </w:r>
      <w:r w:rsidRPr="00C92F8D">
        <w:rPr>
          <w:rFonts w:cs="Arial"/>
          <w:rtl/>
        </w:rPr>
        <w:t xml:space="preserve"> לאו דוקא גבו</w:t>
      </w:r>
      <w:r>
        <w:rPr>
          <w:rFonts w:cs="Arial" w:hint="cs"/>
          <w:rtl/>
        </w:rPr>
        <w:t>,</w:t>
      </w:r>
      <w:r w:rsidRPr="00C92F8D">
        <w:rPr>
          <w:rFonts w:cs="Arial"/>
          <w:rtl/>
        </w:rPr>
        <w:t xml:space="preserve"> אלא אפילו לגבות</w:t>
      </w:r>
      <w:r>
        <w:rPr>
          <w:rFonts w:cs="Arial" w:hint="cs"/>
          <w:rtl/>
        </w:rPr>
        <w:t>,</w:t>
      </w:r>
      <w:r w:rsidRPr="00C92F8D">
        <w:rPr>
          <w:rFonts w:cs="Arial"/>
          <w:rtl/>
        </w:rPr>
        <w:t xml:space="preserve"> ונקט גבו </w:t>
      </w:r>
      <w:r>
        <w:rPr>
          <w:rFonts w:cs="Arial" w:hint="cs"/>
          <w:rtl/>
        </w:rPr>
        <w:t>ד</w:t>
      </w:r>
      <w:r w:rsidRPr="00C92F8D">
        <w:rPr>
          <w:rFonts w:cs="Arial"/>
          <w:rtl/>
        </w:rPr>
        <w:t>אפי</w:t>
      </w:r>
      <w:r>
        <w:rPr>
          <w:rFonts w:cs="Arial" w:hint="cs"/>
          <w:rtl/>
        </w:rPr>
        <w:t>לו</w:t>
      </w:r>
      <w:r w:rsidRPr="00C92F8D">
        <w:rPr>
          <w:rFonts w:cs="Arial"/>
          <w:rtl/>
        </w:rPr>
        <w:t xml:space="preserve"> אינו ראוי לגבות</w:t>
      </w:r>
      <w:r>
        <w:rPr>
          <w:rFonts w:cs="Arial" w:hint="cs"/>
          <w:rtl/>
        </w:rPr>
        <w:t>,</w:t>
      </w:r>
      <w:r w:rsidRPr="00C92F8D">
        <w:rPr>
          <w:rFonts w:cs="Arial"/>
          <w:rtl/>
        </w:rPr>
        <w:t xml:space="preserve"> כגון שעדיין לא הגיע הזמן</w:t>
      </w:r>
      <w:r>
        <w:rPr>
          <w:rFonts w:cs="Arial" w:hint="cs"/>
          <w:rtl/>
        </w:rPr>
        <w:t>,</w:t>
      </w:r>
      <w:r w:rsidRPr="00C92F8D">
        <w:rPr>
          <w:rFonts w:cs="Arial"/>
          <w:rtl/>
        </w:rPr>
        <w:t xml:space="preserve"> ועיין במ"מ ובר"ן ובתוספות ובנ"י</w:t>
      </w:r>
      <w:r>
        <w:rPr>
          <w:rFonts w:cs="Arial" w:hint="cs"/>
          <w:rtl/>
        </w:rPr>
        <w:t>, ח"מ (סק"ח).</w:t>
      </w:r>
    </w:p>
  </w:footnote>
  <w:footnote w:id="2679">
    <w:p w14:paraId="6A2FD25D" w14:textId="77777777" w:rsidR="00392DBB" w:rsidRDefault="00392DBB" w:rsidP="00392DBB">
      <w:pPr>
        <w:pStyle w:val="a5"/>
        <w:rPr>
          <w:rtl/>
        </w:rPr>
      </w:pPr>
      <w:r>
        <w:rPr>
          <w:rStyle w:val="a7"/>
        </w:rPr>
        <w:footnoteRef/>
      </w:r>
      <w:r>
        <w:rPr>
          <w:rtl/>
        </w:rPr>
        <w:t xml:space="preserve"> </w:t>
      </w:r>
      <w:r>
        <w:rPr>
          <w:rFonts w:cs="Arial" w:hint="cs"/>
          <w:rtl/>
        </w:rPr>
        <w:t xml:space="preserve">עיין במקורות בסעיף הבא (סע' ג) דשם נתבאר. וכתב הח"מ (סק"ט)- </w:t>
      </w:r>
      <w:r w:rsidRPr="00C92F8D">
        <w:rPr>
          <w:rFonts w:cs="Arial"/>
          <w:rtl/>
        </w:rPr>
        <w:t>הטעם שאין לה חוב על אביה שנ</w:t>
      </w:r>
      <w:r>
        <w:rPr>
          <w:rFonts w:cs="Arial" w:hint="cs"/>
          <w:rtl/>
        </w:rPr>
        <w:t>אמר</w:t>
      </w:r>
      <w:r w:rsidRPr="00C92F8D">
        <w:rPr>
          <w:rFonts w:cs="Arial"/>
          <w:rtl/>
        </w:rPr>
        <w:t xml:space="preserve"> שמאחר שמת אביה בחיי זקינה ואח"כ מת זקינה הוי נכסי הזקן לגבי אביה ראוי</w:t>
      </w:r>
      <w:r>
        <w:rPr>
          <w:rFonts w:cs="Arial" w:hint="cs"/>
          <w:rtl/>
        </w:rPr>
        <w:t>,</w:t>
      </w:r>
      <w:r w:rsidRPr="00C92F8D">
        <w:rPr>
          <w:rFonts w:cs="Arial"/>
          <w:rtl/>
        </w:rPr>
        <w:t xml:space="preserve"> שהרי היא ב"ח של האחין</w:t>
      </w:r>
      <w:r>
        <w:rPr>
          <w:rFonts w:cs="Arial" w:hint="cs"/>
          <w:rtl/>
        </w:rPr>
        <w:t>,</w:t>
      </w:r>
      <w:r w:rsidRPr="00C92F8D">
        <w:rPr>
          <w:rFonts w:cs="Arial"/>
          <w:rtl/>
        </w:rPr>
        <w:t xml:space="preserve"> ע"כ כשיורשו האחין את הזקן גובה מהן</w:t>
      </w:r>
      <w:r>
        <w:rPr>
          <w:rFonts w:cs="Arial" w:hint="cs"/>
          <w:rtl/>
        </w:rPr>
        <w:t>.</w:t>
      </w:r>
      <w:r w:rsidRPr="00C92F8D">
        <w:rPr>
          <w:rFonts w:cs="Arial"/>
          <w:rtl/>
        </w:rPr>
        <w:t xml:space="preserve"> ומ"מ אינו גובה רק עישור נכסי האב</w:t>
      </w:r>
      <w:r>
        <w:rPr>
          <w:rFonts w:hint="cs"/>
          <w:rtl/>
        </w:rPr>
        <w:t>.</w:t>
      </w:r>
    </w:p>
  </w:footnote>
  <w:footnote w:id="2680">
    <w:p w14:paraId="47A62801" w14:textId="77777777" w:rsidR="00392DBB" w:rsidRDefault="00392DBB" w:rsidP="00392DBB">
      <w:pPr>
        <w:pStyle w:val="a5"/>
      </w:pPr>
      <w:r>
        <w:rPr>
          <w:rStyle w:val="a7"/>
        </w:rPr>
        <w:footnoteRef/>
      </w:r>
      <w:r>
        <w:rPr>
          <w:rtl/>
        </w:rPr>
        <w:t xml:space="preserve"> </w:t>
      </w:r>
      <w:r w:rsidRPr="00C276E6">
        <w:rPr>
          <w:rFonts w:cs="Arial"/>
          <w:rtl/>
        </w:rPr>
        <w:t>היינו ב"ח של אביהן שהן מוקדמים לפרנסה של הבנות שהן ב"ח של האחים</w:t>
      </w:r>
      <w:r>
        <w:rPr>
          <w:rFonts w:hint="cs"/>
          <w:rtl/>
        </w:rPr>
        <w:t>,</w:t>
      </w:r>
      <w:r w:rsidRPr="00C276E6">
        <w:rPr>
          <w:rtl/>
        </w:rPr>
        <w:t xml:space="preserve"> </w:t>
      </w:r>
      <w:r w:rsidRPr="00C276E6">
        <w:rPr>
          <w:rFonts w:cs="Arial"/>
          <w:rtl/>
        </w:rPr>
        <w:t>ועישור נכסים קודם שח"ז וע' בח"ה סי' רפ"א משמע שם אפי' בזה"ז שכותבי' בלשון חיוב שהוא חייב להזוג סך כך וכך מ"מ עישור נכסים קודם</w:t>
      </w:r>
      <w:r>
        <w:rPr>
          <w:rFonts w:cs="Arial" w:hint="cs"/>
          <w:rtl/>
        </w:rPr>
        <w:t>.</w:t>
      </w:r>
      <w:r w:rsidRPr="00C276E6">
        <w:rPr>
          <w:rFonts w:cs="Arial"/>
          <w:rtl/>
        </w:rPr>
        <w:t xml:space="preserve"> אך מה שמוסיף על העישור נכסים </w:t>
      </w:r>
      <w:r>
        <w:rPr>
          <w:rFonts w:cs="Arial" w:hint="cs"/>
          <w:rtl/>
        </w:rPr>
        <w:t xml:space="preserve">- </w:t>
      </w:r>
      <w:r w:rsidRPr="00C276E6">
        <w:rPr>
          <w:rFonts w:cs="Arial"/>
          <w:rtl/>
        </w:rPr>
        <w:t>אז פרעון</w:t>
      </w:r>
      <w:r>
        <w:rPr>
          <w:rFonts w:cs="Arial" w:hint="cs"/>
          <w:rtl/>
        </w:rPr>
        <w:t xml:space="preserve"> </w:t>
      </w:r>
      <w:r w:rsidRPr="00C276E6">
        <w:rPr>
          <w:rFonts w:cs="Arial"/>
          <w:rtl/>
        </w:rPr>
        <w:t>שח"ז קודם</w:t>
      </w:r>
      <w:r>
        <w:rPr>
          <w:rFonts w:cs="Arial" w:hint="cs"/>
          <w:sz w:val="16"/>
          <w:szCs w:val="16"/>
          <w:rtl/>
        </w:rPr>
        <w:t xml:space="preserve"> {</w:t>
      </w:r>
      <w:r w:rsidRPr="00200F0A">
        <w:rPr>
          <w:rFonts w:cs="Arial"/>
          <w:sz w:val="16"/>
          <w:szCs w:val="16"/>
          <w:rtl/>
        </w:rPr>
        <w:t>וע' בספר דג</w:t>
      </w:r>
      <w:r>
        <w:rPr>
          <w:rFonts w:cs="Arial" w:hint="cs"/>
          <w:sz w:val="16"/>
          <w:szCs w:val="16"/>
          <w:rtl/>
        </w:rPr>
        <w:t>מ"ר</w:t>
      </w:r>
      <w:r w:rsidRPr="00200F0A">
        <w:rPr>
          <w:rFonts w:cs="Arial"/>
          <w:sz w:val="16"/>
          <w:szCs w:val="16"/>
          <w:rtl/>
        </w:rPr>
        <w:t xml:space="preserve"> שכתב היינו שהבן רוצה להוסיף אינו יכול לגרוע כח השטח"ז</w:t>
      </w:r>
      <w:r>
        <w:rPr>
          <w:rFonts w:cs="Arial" w:hint="cs"/>
          <w:sz w:val="16"/>
          <w:szCs w:val="16"/>
          <w:rtl/>
        </w:rPr>
        <w:t>, פת"ש [סק"ד]}</w:t>
      </w:r>
      <w:r>
        <w:rPr>
          <w:rFonts w:cs="Arial" w:hint="cs"/>
          <w:rtl/>
        </w:rPr>
        <w:t>.</w:t>
      </w:r>
      <w:r w:rsidRPr="00C276E6">
        <w:rPr>
          <w:rFonts w:cs="Arial"/>
          <w:rtl/>
        </w:rPr>
        <w:t xml:space="preserve"> וע' במהרי"ק שורש ע"ח, ועישור קודם כב"ד וכן מזונות אלמנה ע' מהר"ן וע' בסמוך</w:t>
      </w:r>
      <w:r>
        <w:rPr>
          <w:rFonts w:cs="Arial" w:hint="cs"/>
          <w:rtl/>
        </w:rPr>
        <w:t>, ב"ש (סק"י).</w:t>
      </w:r>
    </w:p>
  </w:footnote>
  <w:footnote w:id="2681">
    <w:p w14:paraId="4C598F9F" w14:textId="77777777" w:rsidR="00392DBB" w:rsidRDefault="00392DBB" w:rsidP="00392DBB">
      <w:pPr>
        <w:pStyle w:val="a5"/>
      </w:pPr>
      <w:r>
        <w:rPr>
          <w:rStyle w:val="a7"/>
        </w:rPr>
        <w:footnoteRef/>
      </w:r>
      <w:r>
        <w:rPr>
          <w:rtl/>
        </w:rPr>
        <w:t xml:space="preserve"> </w:t>
      </w:r>
      <w:r w:rsidRPr="006449AC">
        <w:rPr>
          <w:rFonts w:cs="Arial"/>
          <w:rtl/>
        </w:rPr>
        <w:t>אע</w:t>
      </w:r>
      <w:r>
        <w:rPr>
          <w:rFonts w:cs="Arial" w:hint="cs"/>
          <w:rtl/>
        </w:rPr>
        <w:t>"</w:t>
      </w:r>
      <w:r w:rsidRPr="006449AC">
        <w:rPr>
          <w:rFonts w:cs="Arial"/>
          <w:rtl/>
        </w:rPr>
        <w:t>ג דמטלטלין קודמין לקרקעות</w:t>
      </w:r>
      <w:r>
        <w:rPr>
          <w:rFonts w:cs="Arial" w:hint="cs"/>
          <w:rtl/>
        </w:rPr>
        <w:t>,</w:t>
      </w:r>
      <w:r w:rsidRPr="006449AC">
        <w:rPr>
          <w:rFonts w:cs="Arial"/>
          <w:rtl/>
        </w:rPr>
        <w:t xml:space="preserve"> היינו מן הלוה</w:t>
      </w:r>
      <w:r>
        <w:rPr>
          <w:rFonts w:cs="Arial" w:hint="cs"/>
          <w:rtl/>
        </w:rPr>
        <w:t>,</w:t>
      </w:r>
      <w:r w:rsidRPr="006449AC">
        <w:rPr>
          <w:rFonts w:cs="Arial"/>
          <w:rtl/>
        </w:rPr>
        <w:t xml:space="preserve"> אבל מן היורשים קרקע קודמת כל זמן שלא כתב בשטר שיגבה מטלטלי בין בחייו בין במותו</w:t>
      </w:r>
      <w:r>
        <w:rPr>
          <w:rFonts w:cs="Arial" w:hint="cs"/>
          <w:rtl/>
        </w:rPr>
        <w:t>,</w:t>
      </w:r>
      <w:r w:rsidRPr="006449AC">
        <w:rPr>
          <w:rFonts w:cs="Arial"/>
          <w:rtl/>
        </w:rPr>
        <w:t xml:space="preserve"> כמו שנתבאר בח"מ סי' ק"ז</w:t>
      </w:r>
      <w:r>
        <w:rPr>
          <w:rFonts w:cs="Arial" w:hint="cs"/>
          <w:rtl/>
        </w:rPr>
        <w:t>.</w:t>
      </w:r>
      <w:r w:rsidRPr="006449AC">
        <w:rPr>
          <w:rFonts w:cs="Arial"/>
          <w:rtl/>
        </w:rPr>
        <w:t xml:space="preserve"> א"נ מיירי שהב"ח אינו מקפיד</w:t>
      </w:r>
      <w:r>
        <w:rPr>
          <w:rFonts w:cs="Arial" w:hint="cs"/>
          <w:rtl/>
        </w:rPr>
        <w:t>, ח"מ (סקי"ב).</w:t>
      </w:r>
    </w:p>
  </w:footnote>
  <w:footnote w:id="2682">
    <w:p w14:paraId="22E797C3" w14:textId="7DAD7C3C" w:rsidR="00392DBB" w:rsidRDefault="00392DBB" w:rsidP="00392DBB">
      <w:pPr>
        <w:pStyle w:val="a5"/>
      </w:pPr>
      <w:r>
        <w:rPr>
          <w:rStyle w:val="a7"/>
        </w:rPr>
        <w:footnoteRef/>
      </w:r>
      <w:r>
        <w:rPr>
          <w:rtl/>
        </w:rPr>
        <w:t xml:space="preserve"> </w:t>
      </w:r>
      <w:r w:rsidRPr="006005B7">
        <w:rPr>
          <w:rFonts w:cs="Arial"/>
          <w:rtl/>
        </w:rPr>
        <w:t>ועיין בתשו' רעק</w:t>
      </w:r>
      <w:r w:rsidR="00255666">
        <w:rPr>
          <w:rFonts w:cs="Arial" w:hint="cs"/>
          <w:rtl/>
        </w:rPr>
        <w:t>"</w:t>
      </w:r>
      <w:r w:rsidRPr="006005B7">
        <w:rPr>
          <w:rFonts w:cs="Arial"/>
          <w:rtl/>
        </w:rPr>
        <w:t xml:space="preserve">א ז"ל </w:t>
      </w:r>
      <w:r>
        <w:rPr>
          <w:rFonts w:cs="Arial" w:hint="cs"/>
          <w:rtl/>
        </w:rPr>
        <w:t>(</w:t>
      </w:r>
      <w:r w:rsidRPr="006005B7">
        <w:rPr>
          <w:rFonts w:cs="Arial"/>
          <w:rtl/>
        </w:rPr>
        <w:t>ס"ס קל</w:t>
      </w:r>
      <w:r>
        <w:rPr>
          <w:rFonts w:cs="Arial" w:hint="cs"/>
          <w:rtl/>
        </w:rPr>
        <w:t>)</w:t>
      </w:r>
      <w:r w:rsidRPr="006005B7">
        <w:rPr>
          <w:rFonts w:cs="Arial"/>
          <w:rtl/>
        </w:rPr>
        <w:t xml:space="preserve"> דבתים הוא בכלל קרקעות ולית בזה ספיקא כלל</w:t>
      </w:r>
      <w:r>
        <w:rPr>
          <w:rFonts w:cs="Arial" w:hint="cs"/>
          <w:rtl/>
        </w:rPr>
        <w:t>,</w:t>
      </w:r>
      <w:r w:rsidRPr="006005B7">
        <w:rPr>
          <w:rFonts w:cs="Arial"/>
          <w:rtl/>
        </w:rPr>
        <w:t xml:space="preserve"> ודלא כרב אחד</w:t>
      </w:r>
      <w:r>
        <w:rPr>
          <w:rFonts w:cs="Arial" w:hint="cs"/>
          <w:rtl/>
        </w:rPr>
        <w:t>.</w:t>
      </w:r>
      <w:r w:rsidRPr="006005B7">
        <w:rPr>
          <w:rFonts w:cs="Arial"/>
          <w:rtl/>
        </w:rPr>
        <w:t xml:space="preserve"> וגם מ"ש הרב ההוא דדוקא מקרקע שהיה לו בעת כתיבת שטח"ז אבל לא מה שקנה אח</w:t>
      </w:r>
      <w:r w:rsidR="00255666">
        <w:rPr>
          <w:rFonts w:cs="Arial" w:hint="cs"/>
          <w:rtl/>
        </w:rPr>
        <w:t>"</w:t>
      </w:r>
      <w:r w:rsidRPr="006005B7">
        <w:rPr>
          <w:rFonts w:cs="Arial"/>
          <w:rtl/>
        </w:rPr>
        <w:t>כ</w:t>
      </w:r>
      <w:r>
        <w:rPr>
          <w:rFonts w:cs="Arial" w:hint="cs"/>
          <w:rtl/>
        </w:rPr>
        <w:t>,</w:t>
      </w:r>
      <w:r w:rsidRPr="006005B7">
        <w:rPr>
          <w:rFonts w:cs="Arial"/>
          <w:rtl/>
        </w:rPr>
        <w:t xml:space="preserve"> זה אינו</w:t>
      </w:r>
      <w:r>
        <w:rPr>
          <w:rFonts w:cs="Arial" w:hint="cs"/>
          <w:rtl/>
        </w:rPr>
        <w:t>,</w:t>
      </w:r>
      <w:r w:rsidRPr="006005B7">
        <w:rPr>
          <w:rFonts w:cs="Arial"/>
          <w:rtl/>
        </w:rPr>
        <w:t xml:space="preserve"> וגם קרקעות שקנה אח</w:t>
      </w:r>
      <w:r w:rsidR="00255666">
        <w:rPr>
          <w:rFonts w:cs="Arial" w:hint="cs"/>
          <w:rtl/>
        </w:rPr>
        <w:t>"</w:t>
      </w:r>
      <w:r w:rsidRPr="006005B7">
        <w:rPr>
          <w:rFonts w:cs="Arial"/>
          <w:rtl/>
        </w:rPr>
        <w:t xml:space="preserve">כ בכלל. זולת בבתים שמחזיק להרויח להשכירם ולא לדירה בזה כתבו הגאונים בתשו' חינוך ב"י דזוכים הבנות. אף דלבי מגמגם בזה מאד דסברתו מספיק לסוחר בבתים לקנות ולמכור אבל במחזיק להושיב בהם דיורים אין לנו ראיה אך כבר הורו הזקנים ובודאי ראוי לפשר כדהעלה השבו"י ע"ש. וע' מדין זה בתשו' כנ"י </w:t>
      </w:r>
      <w:r w:rsidR="00255666">
        <w:rPr>
          <w:rFonts w:cs="Arial" w:hint="cs"/>
          <w:rtl/>
        </w:rPr>
        <w:t>(</w:t>
      </w:r>
      <w:r w:rsidRPr="006005B7">
        <w:rPr>
          <w:rFonts w:cs="Arial"/>
          <w:rtl/>
        </w:rPr>
        <w:t>סי</w:t>
      </w:r>
      <w:r w:rsidR="00255666">
        <w:rPr>
          <w:rFonts w:cs="Arial" w:hint="cs"/>
          <w:rtl/>
        </w:rPr>
        <w:t>'</w:t>
      </w:r>
      <w:r w:rsidRPr="006005B7">
        <w:rPr>
          <w:rFonts w:cs="Arial"/>
          <w:rtl/>
        </w:rPr>
        <w:t xml:space="preserve"> צג</w:t>
      </w:r>
      <w:r w:rsidR="00255666">
        <w:rPr>
          <w:rFonts w:cs="Arial" w:hint="cs"/>
          <w:rtl/>
        </w:rPr>
        <w:t>)</w:t>
      </w:r>
      <w:r>
        <w:rPr>
          <w:rFonts w:cs="Arial" w:hint="cs"/>
          <w:rtl/>
        </w:rPr>
        <w:t>.</w:t>
      </w:r>
      <w:r w:rsidRPr="006005B7">
        <w:rPr>
          <w:rFonts w:cs="Arial"/>
          <w:rtl/>
        </w:rPr>
        <w:t xml:space="preserve"> ושם מבואר טעם נכון למה כותבין בשטר חח"ז חוץ מספרים וקרקעות (גם בתשובת ח</w:t>
      </w:r>
      <w:r w:rsidR="00255666">
        <w:rPr>
          <w:rFonts w:cs="Arial" w:hint="cs"/>
          <w:rtl/>
        </w:rPr>
        <w:t>ת</w:t>
      </w:r>
      <w:r w:rsidRPr="006005B7">
        <w:rPr>
          <w:rFonts w:cs="Arial"/>
          <w:rtl/>
        </w:rPr>
        <w:t>"ס סי' קמ"ז כתב טעם הגון בזה ע"ש). וע"ש עוד בענין מקום שניתן הפקודה שיהודי הקונה בתים אינו רשאי לכתוב בפנקס ערכאות על שמו רק על שם עירון א"י אם יש לבתים אלו דין קרקעות של הקונה לענין עישור נכסים או שטח"ז ע"ש באורך. (וע' בתשו' חת</w:t>
      </w:r>
      <w:r w:rsidR="00255666">
        <w:rPr>
          <w:rFonts w:cs="Arial" w:hint="cs"/>
          <w:rtl/>
        </w:rPr>
        <w:t>"</w:t>
      </w:r>
      <w:r w:rsidRPr="006005B7">
        <w:rPr>
          <w:rFonts w:cs="Arial"/>
          <w:rtl/>
        </w:rPr>
        <w:t>ס אה"ע ח"ב סי' קסח). ועמש"ל ס"ס ק"ח</w:t>
      </w:r>
      <w:r>
        <w:rPr>
          <w:rFonts w:cs="Arial" w:hint="cs"/>
          <w:rtl/>
        </w:rPr>
        <w:t>, פת"ש (סק"ו).</w:t>
      </w:r>
    </w:p>
  </w:footnote>
  <w:footnote w:id="2683">
    <w:p w14:paraId="29B5D4E1" w14:textId="27EB893E" w:rsidR="00392DBB" w:rsidRDefault="00392DBB" w:rsidP="00392DBB">
      <w:pPr>
        <w:pStyle w:val="a5"/>
      </w:pPr>
      <w:r>
        <w:rPr>
          <w:rStyle w:val="a7"/>
        </w:rPr>
        <w:footnoteRef/>
      </w:r>
      <w:r>
        <w:rPr>
          <w:rtl/>
        </w:rPr>
        <w:t xml:space="preserve"> </w:t>
      </w:r>
      <w:r w:rsidRPr="00C276E6">
        <w:rPr>
          <w:rFonts w:cs="Arial"/>
          <w:rtl/>
        </w:rPr>
        <w:t>ובש"ג פסק ג"כ דנותנים הכל לשניה</w:t>
      </w:r>
      <w:r>
        <w:rPr>
          <w:rFonts w:cs="Arial" w:hint="cs"/>
          <w:rtl/>
        </w:rPr>
        <w:t>.</w:t>
      </w:r>
      <w:r w:rsidRPr="00C276E6">
        <w:rPr>
          <w:rFonts w:cs="Arial"/>
          <w:rtl/>
        </w:rPr>
        <w:t xml:space="preserve"> ובתשו' ש"י </w:t>
      </w:r>
      <w:r w:rsidR="00252469">
        <w:rPr>
          <w:rFonts w:cs="Arial" w:hint="cs"/>
          <w:rtl/>
        </w:rPr>
        <w:t>(</w:t>
      </w:r>
      <w:r w:rsidRPr="00C276E6">
        <w:rPr>
          <w:rFonts w:cs="Arial"/>
          <w:rtl/>
        </w:rPr>
        <w:t>סי' ו</w:t>
      </w:r>
      <w:r w:rsidR="00252469">
        <w:rPr>
          <w:rFonts w:cs="Arial" w:hint="cs"/>
          <w:rtl/>
        </w:rPr>
        <w:t>)</w:t>
      </w:r>
      <w:r w:rsidRPr="00C276E6">
        <w:rPr>
          <w:rFonts w:cs="Arial"/>
          <w:rtl/>
        </w:rPr>
        <w:t xml:space="preserve"> כתב טוב לעשות פשרה</w:t>
      </w:r>
      <w:r w:rsidR="00252469">
        <w:rPr>
          <w:rFonts w:cs="Arial" w:hint="cs"/>
          <w:rtl/>
        </w:rPr>
        <w:t xml:space="preserve">. </w:t>
      </w:r>
      <w:r w:rsidRPr="00C276E6">
        <w:rPr>
          <w:rFonts w:cs="Arial"/>
          <w:rtl/>
        </w:rPr>
        <w:t>ובט"ז פסק אם השיא בת א' יש לסמוך על דיעה בתרייתא אפילו להוסיף על עישור</w:t>
      </w:r>
      <w:r w:rsidR="00252469">
        <w:rPr>
          <w:rFonts w:cs="Arial" w:hint="cs"/>
          <w:rtl/>
        </w:rPr>
        <w:t>.</w:t>
      </w:r>
      <w:r w:rsidRPr="00C276E6">
        <w:rPr>
          <w:rFonts w:cs="Arial"/>
          <w:rtl/>
        </w:rPr>
        <w:t xml:space="preserve"> אבל אם לא השיא בת רק שאומדים דעתו יש לפסוק כדיעה קמייתא</w:t>
      </w:r>
      <w:r>
        <w:rPr>
          <w:rFonts w:cs="Arial" w:hint="cs"/>
          <w:rtl/>
        </w:rPr>
        <w:t>, ב"ש (סקי"ב).</w:t>
      </w:r>
    </w:p>
  </w:footnote>
  <w:footnote w:id="2684">
    <w:p w14:paraId="3FB488B1" w14:textId="359CC0FC" w:rsidR="00392DBB" w:rsidRDefault="00392DBB" w:rsidP="00392DBB">
      <w:pPr>
        <w:pStyle w:val="a5"/>
      </w:pPr>
      <w:r>
        <w:rPr>
          <w:rStyle w:val="a7"/>
        </w:rPr>
        <w:footnoteRef/>
      </w:r>
      <w:r>
        <w:rPr>
          <w:rtl/>
        </w:rPr>
        <w:t xml:space="preserve"> </w:t>
      </w:r>
      <w:r w:rsidRPr="00352BC7">
        <w:rPr>
          <w:rFonts w:cs="Arial"/>
          <w:rtl/>
        </w:rPr>
        <w:t>זה לשון הרב מהרי"ק</w:t>
      </w:r>
      <w:r w:rsidR="00252469">
        <w:rPr>
          <w:rFonts w:cs="Arial" w:hint="cs"/>
          <w:rtl/>
        </w:rPr>
        <w:t>:</w:t>
      </w:r>
      <w:r w:rsidRPr="00352BC7">
        <w:rPr>
          <w:rFonts w:cs="Arial"/>
          <w:rtl/>
        </w:rPr>
        <w:t xml:space="preserve"> היה ראוי לאמוד כפי הממון אשר היה לו בעת שהשיא האחרת</w:t>
      </w:r>
      <w:r w:rsidR="00252469">
        <w:rPr>
          <w:rFonts w:cs="Arial" w:hint="cs"/>
          <w:rtl/>
        </w:rPr>
        <w:t>,</w:t>
      </w:r>
      <w:r w:rsidRPr="00352BC7">
        <w:rPr>
          <w:rFonts w:cs="Arial"/>
          <w:rtl/>
        </w:rPr>
        <w:t xml:space="preserve"> ולפי הממון אשר הניח אחריו</w:t>
      </w:r>
      <w:r w:rsidR="00252469">
        <w:rPr>
          <w:rFonts w:cs="Arial" w:hint="cs"/>
          <w:rtl/>
        </w:rPr>
        <w:t>,</w:t>
      </w:r>
      <w:r w:rsidRPr="00352BC7">
        <w:rPr>
          <w:rFonts w:cs="Arial"/>
          <w:rtl/>
        </w:rPr>
        <w:t xml:space="preserve"> ולאמוד בערך הממוצע</w:t>
      </w:r>
      <w:r w:rsidR="00252469">
        <w:rPr>
          <w:rFonts w:cs="Arial" w:hint="cs"/>
          <w:rtl/>
        </w:rPr>
        <w:t>.</w:t>
      </w:r>
      <w:r w:rsidRPr="00352BC7">
        <w:rPr>
          <w:rFonts w:cs="Arial"/>
          <w:rtl/>
        </w:rPr>
        <w:t xml:space="preserve"> כגון אם השיא אחת בה' ואחת בד' ואחת בג'</w:t>
      </w:r>
      <w:r w:rsidR="00A8208C">
        <w:rPr>
          <w:rFonts w:cs="Arial" w:hint="cs"/>
          <w:rtl/>
        </w:rPr>
        <w:t>,</w:t>
      </w:r>
      <w:r w:rsidRPr="00352BC7">
        <w:rPr>
          <w:rFonts w:cs="Arial"/>
          <w:rtl/>
        </w:rPr>
        <w:t xml:space="preserve"> והיה לו בחייו אלפים זוז</w:t>
      </w:r>
      <w:r w:rsidR="00A8208C">
        <w:rPr>
          <w:rFonts w:cs="Arial" w:hint="cs"/>
          <w:rtl/>
        </w:rPr>
        <w:t>,</w:t>
      </w:r>
      <w:r w:rsidRPr="00352BC7">
        <w:rPr>
          <w:rFonts w:cs="Arial"/>
          <w:rtl/>
        </w:rPr>
        <w:t xml:space="preserve"> ובעת מותו לא היה לו כי אם אלף זוז </w:t>
      </w:r>
      <w:r w:rsidR="00A8208C">
        <w:rPr>
          <w:rFonts w:cs="Arial" w:hint="cs"/>
          <w:rtl/>
        </w:rPr>
        <w:t xml:space="preserve">- </w:t>
      </w:r>
      <w:r w:rsidRPr="00352BC7">
        <w:rPr>
          <w:rFonts w:cs="Arial"/>
          <w:rtl/>
        </w:rPr>
        <w:t>ראוי להנתן לה שתי'</w:t>
      </w:r>
      <w:r w:rsidR="00A8208C">
        <w:rPr>
          <w:rFonts w:cs="Arial" w:hint="cs"/>
          <w:rtl/>
        </w:rPr>
        <w:t>,</w:t>
      </w:r>
      <w:r w:rsidRPr="00352BC7">
        <w:rPr>
          <w:rFonts w:cs="Arial"/>
          <w:rtl/>
        </w:rPr>
        <w:t xml:space="preserve"> דהיינו החצי מערך האמצע</w:t>
      </w:r>
      <w:r w:rsidR="00A8208C">
        <w:rPr>
          <w:rFonts w:cs="Arial" w:hint="cs"/>
          <w:rtl/>
        </w:rPr>
        <w:t>.</w:t>
      </w:r>
      <w:r w:rsidRPr="00352BC7">
        <w:rPr>
          <w:rFonts w:cs="Arial"/>
          <w:rtl/>
        </w:rPr>
        <w:t xml:space="preserve"> עיין עוד שכתב שם שאין בידינו לכופו על יתר מעישור רק לבן ראוי להתנהג כנ"ל</w:t>
      </w:r>
      <w:r w:rsidR="009E30C2">
        <w:rPr>
          <w:rFonts w:cs="Arial" w:hint="cs"/>
          <w:rtl/>
        </w:rPr>
        <w:t>,</w:t>
      </w:r>
      <w:r w:rsidRPr="00352BC7">
        <w:rPr>
          <w:rFonts w:cs="Arial"/>
          <w:rtl/>
        </w:rPr>
        <w:t xml:space="preserve"> וגם בתחלה יפרע שח"ז ושלא לגרוע חלקם ע"ש</w:t>
      </w:r>
      <w:r>
        <w:rPr>
          <w:rFonts w:cs="Arial" w:hint="cs"/>
          <w:rtl/>
        </w:rPr>
        <w:t>, ח"מ (סקט"ו).</w:t>
      </w:r>
    </w:p>
  </w:footnote>
  <w:footnote w:id="2685">
    <w:p w14:paraId="0BECB6AF" w14:textId="77777777" w:rsidR="00392DBB" w:rsidRDefault="00392DBB" w:rsidP="00392DBB">
      <w:pPr>
        <w:pStyle w:val="a5"/>
      </w:pPr>
      <w:r>
        <w:rPr>
          <w:rStyle w:val="a7"/>
        </w:rPr>
        <w:footnoteRef/>
      </w:r>
      <w:r>
        <w:rPr>
          <w:rtl/>
        </w:rPr>
        <w:t xml:space="preserve"> </w:t>
      </w:r>
      <w:r w:rsidRPr="00157687">
        <w:rPr>
          <w:rFonts w:cs="Arial"/>
          <w:rtl/>
        </w:rPr>
        <w:t>עישור נכסים שתקנו לה בתורת ירושה תקינו לה</w:t>
      </w:r>
      <w:r>
        <w:rPr>
          <w:rFonts w:cs="Arial" w:hint="cs"/>
          <w:rtl/>
        </w:rPr>
        <w:t>, רש"י.</w:t>
      </w:r>
    </w:p>
  </w:footnote>
  <w:footnote w:id="2686">
    <w:p w14:paraId="13291CE3" w14:textId="77777777" w:rsidR="00392DBB" w:rsidRDefault="00392DBB" w:rsidP="00392DBB">
      <w:pPr>
        <w:pStyle w:val="a5"/>
        <w:rPr>
          <w:rtl/>
        </w:rPr>
      </w:pPr>
      <w:r>
        <w:rPr>
          <w:rStyle w:val="a7"/>
        </w:rPr>
        <w:footnoteRef/>
      </w:r>
      <w:r>
        <w:rPr>
          <w:rtl/>
        </w:rPr>
        <w:t xml:space="preserve"> </w:t>
      </w:r>
      <w:r w:rsidRPr="00157687">
        <w:rPr>
          <w:rFonts w:cs="Arial"/>
          <w:rtl/>
        </w:rPr>
        <w:t>באמת לא מצו לסלוקה בזוזי ולא בחדא ארעא שאם רוצה נוטלת חלקה מכל קרקע וקרקע ואין יכולין להקנות לה חלקה במקום אחד</w:t>
      </w:r>
      <w:r>
        <w:rPr>
          <w:rFonts w:hint="cs"/>
          <w:rtl/>
        </w:rPr>
        <w:t>, רש"י.</w:t>
      </w:r>
    </w:p>
  </w:footnote>
  <w:footnote w:id="2687">
    <w:p w14:paraId="2B45E49E" w14:textId="77777777" w:rsidR="00392DBB" w:rsidRDefault="00392DBB" w:rsidP="00392DBB">
      <w:pPr>
        <w:pStyle w:val="a5"/>
      </w:pPr>
      <w:r>
        <w:rPr>
          <w:rStyle w:val="a7"/>
        </w:rPr>
        <w:footnoteRef/>
      </w:r>
      <w:r>
        <w:rPr>
          <w:rtl/>
        </w:rPr>
        <w:t xml:space="preserve"> </w:t>
      </w:r>
      <w:r w:rsidRPr="00157687">
        <w:rPr>
          <w:rFonts w:cs="Arial"/>
          <w:rtl/>
        </w:rPr>
        <w:t>ומצי לסלוקה בזוזי או בחדא ארעא</w:t>
      </w:r>
      <w:r>
        <w:rPr>
          <w:rFonts w:cs="Arial" w:hint="cs"/>
          <w:rtl/>
        </w:rPr>
        <w:t>, רש"י.</w:t>
      </w:r>
    </w:p>
  </w:footnote>
  <w:footnote w:id="2688">
    <w:p w14:paraId="3360450F" w14:textId="77777777" w:rsidR="00392DBB" w:rsidRDefault="00392DBB" w:rsidP="00392DBB">
      <w:pPr>
        <w:pStyle w:val="a5"/>
        <w:rPr>
          <w:rtl/>
        </w:rPr>
      </w:pPr>
      <w:r>
        <w:rPr>
          <w:rStyle w:val="a7"/>
        </w:rPr>
        <w:footnoteRef/>
      </w:r>
      <w:r>
        <w:rPr>
          <w:rtl/>
        </w:rPr>
        <w:t xml:space="preserve"> </w:t>
      </w:r>
      <w:r w:rsidRPr="00C83327">
        <w:rPr>
          <w:rFonts w:cs="Arial"/>
          <w:rtl/>
        </w:rPr>
        <w:t>אי בעלת חוב דאבא הויא אינה גובה אלא מן הזיבורית ואינה נפרעת אלא בשבועה שלא נטלה מנכסים הללו כלום דקיי"ל (גיטין מח:) אין נפרעין מנכסי יתומים אלא מן הזבורית ואין נפרעים מהן אלא בשבועה ואי בעלת חוב שלהן אין כאן בא ליפרע מנכסי יתומין</w:t>
      </w:r>
      <w:r>
        <w:rPr>
          <w:rFonts w:hint="cs"/>
          <w:rtl/>
        </w:rPr>
        <w:t>, רש"י.</w:t>
      </w:r>
      <w:r w:rsidRPr="00C83327">
        <w:rPr>
          <w:rFonts w:cs="Arial"/>
          <w:rtl/>
        </w:rPr>
        <w:t xml:space="preserve"> </w:t>
      </w:r>
      <w:r w:rsidRPr="00863D97">
        <w:rPr>
          <w:rFonts w:cs="Arial"/>
          <w:rtl/>
        </w:rPr>
        <w:t>וכתב הרא"ש (סי' יח)</w:t>
      </w:r>
      <w:r>
        <w:rPr>
          <w:rFonts w:cs="Arial" w:hint="cs"/>
          <w:rtl/>
        </w:rPr>
        <w:t>-</w:t>
      </w:r>
      <w:r w:rsidRPr="00863D97">
        <w:rPr>
          <w:rFonts w:cs="Arial"/>
          <w:rtl/>
        </w:rPr>
        <w:t xml:space="preserve"> והוא הדין דנ"מ לגבות מן הראוי</w:t>
      </w:r>
      <w:r>
        <w:rPr>
          <w:rFonts w:cs="Arial" w:hint="cs"/>
          <w:rtl/>
        </w:rPr>
        <w:t>.</w:t>
      </w:r>
      <w:r>
        <w:rPr>
          <w:rFonts w:hint="cs"/>
          <w:rtl/>
        </w:rPr>
        <w:t>..</w:t>
      </w:r>
      <w:r w:rsidRPr="00C83327">
        <w:rPr>
          <w:rFonts w:cs="Arial"/>
          <w:rtl/>
        </w:rPr>
        <w:t xml:space="preserve"> </w:t>
      </w:r>
      <w:r w:rsidRPr="00863D97">
        <w:rPr>
          <w:rFonts w:cs="Arial"/>
          <w:rtl/>
        </w:rPr>
        <w:t>וכ"כ המרדכי שגובה מן הראוי</w:t>
      </w:r>
      <w:r>
        <w:rPr>
          <w:rFonts w:cs="Arial" w:hint="cs"/>
          <w:rtl/>
        </w:rPr>
        <w:t>, ב"י.</w:t>
      </w:r>
    </w:p>
  </w:footnote>
  <w:footnote w:id="2689">
    <w:p w14:paraId="0F462B1E" w14:textId="77777777" w:rsidR="00392DBB" w:rsidRDefault="00392DBB" w:rsidP="00392DBB">
      <w:pPr>
        <w:pStyle w:val="a5"/>
        <w:rPr>
          <w:rtl/>
        </w:rPr>
      </w:pPr>
      <w:r>
        <w:rPr>
          <w:rStyle w:val="a7"/>
        </w:rPr>
        <w:footnoteRef/>
      </w:r>
      <w:r>
        <w:rPr>
          <w:rtl/>
        </w:rPr>
        <w:t xml:space="preserve"> </w:t>
      </w:r>
      <w:r w:rsidRPr="00C83327">
        <w:rPr>
          <w:rFonts w:cs="Arial"/>
          <w:rtl/>
        </w:rPr>
        <w:t>מת</w:t>
      </w:r>
      <w:r>
        <w:rPr>
          <w:rFonts w:cs="Arial" w:hint="cs"/>
          <w:rtl/>
        </w:rPr>
        <w:t>,</w:t>
      </w:r>
      <w:r w:rsidRPr="00C83327">
        <w:rPr>
          <w:rFonts w:cs="Arial"/>
          <w:rtl/>
        </w:rPr>
        <w:t xml:space="preserve"> ומת רב סמא בנו בחייו</w:t>
      </w:r>
      <w:r>
        <w:rPr>
          <w:rFonts w:cs="Arial" w:hint="cs"/>
          <w:rtl/>
        </w:rPr>
        <w:t>,</w:t>
      </w:r>
      <w:r w:rsidRPr="00C83327">
        <w:rPr>
          <w:rFonts w:cs="Arial"/>
          <w:rtl/>
        </w:rPr>
        <w:t xml:space="preserve"> וכשבאת בתו ליפרע נטלה מחלקו של מר בר רב אשי שהיה קיים בינונית שלא בשבועה</w:t>
      </w:r>
      <w:r>
        <w:rPr>
          <w:rFonts w:cs="Arial" w:hint="cs"/>
          <w:rtl/>
        </w:rPr>
        <w:t>.</w:t>
      </w:r>
      <w:r w:rsidRPr="00C83327">
        <w:rPr>
          <w:rFonts w:cs="Arial"/>
          <w:rtl/>
        </w:rPr>
        <w:t xml:space="preserve"> אלמא בעלת חוב דאחי הויא</w:t>
      </w:r>
      <w:r>
        <w:rPr>
          <w:rFonts w:hint="cs"/>
          <w:rtl/>
        </w:rPr>
        <w:t>, רש"י.</w:t>
      </w:r>
    </w:p>
  </w:footnote>
  <w:footnote w:id="2690">
    <w:p w14:paraId="11F0C923" w14:textId="77777777" w:rsidR="00392DBB" w:rsidRDefault="00392DBB" w:rsidP="00392DBB">
      <w:pPr>
        <w:pStyle w:val="a5"/>
      </w:pPr>
      <w:r>
        <w:rPr>
          <w:rStyle w:val="a7"/>
        </w:rPr>
        <w:footnoteRef/>
      </w:r>
      <w:r>
        <w:rPr>
          <w:rtl/>
        </w:rPr>
        <w:t xml:space="preserve"> </w:t>
      </w:r>
      <w:r w:rsidRPr="00C83327">
        <w:rPr>
          <w:rFonts w:cs="Arial"/>
          <w:rtl/>
        </w:rPr>
        <w:t>לפי שבעלת חוב של אביו היתה שהיה אחיה</w:t>
      </w:r>
      <w:r>
        <w:rPr>
          <w:rFonts w:cs="Arial" w:hint="cs"/>
          <w:rtl/>
        </w:rPr>
        <w:t>, רש"י.</w:t>
      </w:r>
    </w:p>
  </w:footnote>
  <w:footnote w:id="2691">
    <w:p w14:paraId="5D60EFC5" w14:textId="77777777" w:rsidR="00392DBB" w:rsidRDefault="00392DBB" w:rsidP="00392DBB">
      <w:pPr>
        <w:pStyle w:val="a5"/>
      </w:pPr>
      <w:r>
        <w:rPr>
          <w:rStyle w:val="a7"/>
        </w:rPr>
        <w:footnoteRef/>
      </w:r>
      <w:r>
        <w:rPr>
          <w:rtl/>
        </w:rPr>
        <w:t xml:space="preserve"> </w:t>
      </w:r>
      <w:r w:rsidRPr="00E04543">
        <w:rPr>
          <w:rFonts w:cs="Arial"/>
          <w:rtl/>
        </w:rPr>
        <w:t xml:space="preserve">מיהו אם יטענו היורשים אותה בפירוש לומר השבעי לנו שלא התפיסך אבינו צררי </w:t>
      </w:r>
      <w:r>
        <w:rPr>
          <w:rFonts w:cs="Arial" w:hint="cs"/>
          <w:rtl/>
        </w:rPr>
        <w:t xml:space="preserve">- </w:t>
      </w:r>
      <w:r w:rsidRPr="00E04543">
        <w:rPr>
          <w:rFonts w:cs="Arial"/>
          <w:rtl/>
        </w:rPr>
        <w:t>אז נשבעת</w:t>
      </w:r>
      <w:r>
        <w:rPr>
          <w:rFonts w:cs="Arial" w:hint="cs"/>
          <w:rtl/>
        </w:rPr>
        <w:t>,</w:t>
      </w:r>
      <w:r w:rsidRPr="00DD61F7">
        <w:rPr>
          <w:rFonts w:cs="Arial"/>
          <w:rtl/>
        </w:rPr>
        <w:t xml:space="preserve"> </w:t>
      </w:r>
      <w:r w:rsidRPr="00E04543">
        <w:rPr>
          <w:rFonts w:cs="Arial"/>
          <w:rtl/>
        </w:rPr>
        <w:t>ראבי"ה (סי' תתקז עיין שם בהערות</w:t>
      </w:r>
      <w:r>
        <w:rPr>
          <w:rFonts w:cs="Arial" w:hint="cs"/>
          <w:rtl/>
        </w:rPr>
        <w:t>, כ"כ בשמו הגה"מ [פ"כ מאישות אות ד], הביאם הדרכ"מ [אות י]</w:t>
      </w:r>
      <w:r w:rsidRPr="00E04543">
        <w:rPr>
          <w:rFonts w:cs="Arial"/>
          <w:rtl/>
        </w:rPr>
        <w:t>)</w:t>
      </w:r>
      <w:r>
        <w:rPr>
          <w:rFonts w:hint="cs"/>
          <w:rtl/>
        </w:rPr>
        <w:t>.</w:t>
      </w:r>
    </w:p>
  </w:footnote>
  <w:footnote w:id="2692">
    <w:p w14:paraId="6ADB5146" w14:textId="66FC104E" w:rsidR="00392DBB" w:rsidRDefault="00392DBB" w:rsidP="00392DBB">
      <w:pPr>
        <w:pStyle w:val="a5"/>
      </w:pPr>
      <w:r>
        <w:rPr>
          <w:rStyle w:val="a7"/>
        </w:rPr>
        <w:footnoteRef/>
      </w:r>
      <w:r>
        <w:rPr>
          <w:rtl/>
        </w:rPr>
        <w:t xml:space="preserve"> </w:t>
      </w:r>
      <w:r w:rsidRPr="00222535">
        <w:rPr>
          <w:rFonts w:cs="Arial"/>
          <w:rtl/>
        </w:rPr>
        <w:t>אא"כ טוענין השבע שלא התפיסך אבינו צררי כ"כ הגמיי'</w:t>
      </w:r>
      <w:r>
        <w:rPr>
          <w:rFonts w:cs="Arial" w:hint="cs"/>
          <w:rtl/>
        </w:rPr>
        <w:t xml:space="preserve">, </w:t>
      </w:r>
      <w:r w:rsidRPr="005B2B14">
        <w:rPr>
          <w:rFonts w:cs="Arial" w:hint="cs"/>
          <w:b/>
          <w:bCs/>
          <w:rtl/>
        </w:rPr>
        <w:t>ב"ש</w:t>
      </w:r>
      <w:r>
        <w:rPr>
          <w:rFonts w:cs="Arial" w:hint="cs"/>
          <w:rtl/>
        </w:rPr>
        <w:t xml:space="preserve"> (סקי"ד).</w:t>
      </w:r>
      <w:r w:rsidRPr="00222535">
        <w:rPr>
          <w:rtl/>
        </w:rPr>
        <w:t xml:space="preserve"> </w:t>
      </w:r>
      <w:r w:rsidR="005B2B14">
        <w:rPr>
          <w:rFonts w:hint="cs"/>
          <w:rtl/>
        </w:rPr>
        <w:t xml:space="preserve">    </w:t>
      </w:r>
      <w:r>
        <w:rPr>
          <w:rFonts w:cs="Arial" w:hint="cs"/>
          <w:rtl/>
        </w:rPr>
        <w:t xml:space="preserve">אך </w:t>
      </w:r>
      <w:r w:rsidRPr="005B2B14">
        <w:rPr>
          <w:rFonts w:cs="Arial" w:hint="cs"/>
          <w:b/>
          <w:bCs/>
          <w:rtl/>
        </w:rPr>
        <w:t>הפת"ש</w:t>
      </w:r>
      <w:r>
        <w:rPr>
          <w:rFonts w:cs="Arial" w:hint="cs"/>
          <w:rtl/>
        </w:rPr>
        <w:t xml:space="preserve"> (סק"ח) כתב ש</w:t>
      </w:r>
      <w:r w:rsidRPr="00222535">
        <w:rPr>
          <w:rFonts w:cs="Arial"/>
          <w:rtl/>
        </w:rPr>
        <w:t xml:space="preserve">בס' ישועות יעקב </w:t>
      </w:r>
      <w:r>
        <w:rPr>
          <w:rFonts w:cs="Arial" w:hint="cs"/>
          <w:rtl/>
        </w:rPr>
        <w:t>(</w:t>
      </w:r>
      <w:r w:rsidRPr="00222535">
        <w:rPr>
          <w:rFonts w:cs="Arial"/>
          <w:rtl/>
        </w:rPr>
        <w:t>סק"ד</w:t>
      </w:r>
      <w:r>
        <w:rPr>
          <w:rFonts w:cs="Arial" w:hint="cs"/>
          <w:rtl/>
        </w:rPr>
        <w:t>)</w:t>
      </w:r>
      <w:r w:rsidRPr="00222535">
        <w:rPr>
          <w:rFonts w:cs="Arial"/>
          <w:rtl/>
        </w:rPr>
        <w:t xml:space="preserve"> כתב שדבר זה אינו מוסכם ע"ש. גם בס' ב"מ פקפק ע"ד הב"ש בזה</w:t>
      </w:r>
      <w:r>
        <w:rPr>
          <w:rFonts w:cs="Arial" w:hint="cs"/>
          <w:rtl/>
        </w:rPr>
        <w:t>.</w:t>
      </w:r>
      <w:r w:rsidRPr="00222535">
        <w:rPr>
          <w:rFonts w:cs="Arial"/>
          <w:rtl/>
        </w:rPr>
        <w:t xml:space="preserve"> וכתב דהגמ"י שם מהראיה שהביא אינו מוכח אלא בטענת ברי אם טוענין ברי ידענו שאבינו התפיס ולא בשמא ע"ש</w:t>
      </w:r>
      <w:r>
        <w:rPr>
          <w:rFonts w:hint="cs"/>
          <w:rtl/>
        </w:rPr>
        <w:t>.</w:t>
      </w:r>
    </w:p>
  </w:footnote>
  <w:footnote w:id="2693">
    <w:p w14:paraId="7AC9DC2B" w14:textId="2425F9DD" w:rsidR="00392DBB" w:rsidRPr="00F40D50" w:rsidRDefault="00392DBB" w:rsidP="00392DBB">
      <w:pPr>
        <w:pStyle w:val="a5"/>
        <w:rPr>
          <w:rFonts w:cs="Arial"/>
        </w:rPr>
      </w:pPr>
      <w:r>
        <w:rPr>
          <w:rStyle w:val="a7"/>
        </w:rPr>
        <w:footnoteRef/>
      </w:r>
      <w:r>
        <w:rPr>
          <w:rtl/>
        </w:rPr>
        <w:t xml:space="preserve"> </w:t>
      </w:r>
      <w:r w:rsidRPr="00222535">
        <w:rPr>
          <w:rFonts w:cs="Arial"/>
          <w:rtl/>
        </w:rPr>
        <w:t>כתב בספר ישועות יעקב</w:t>
      </w:r>
      <w:r w:rsidR="005B2B14">
        <w:rPr>
          <w:rFonts w:cs="Arial" w:hint="cs"/>
          <w:rtl/>
        </w:rPr>
        <w:t>:</w:t>
      </w:r>
      <w:r w:rsidRPr="00222535">
        <w:rPr>
          <w:rFonts w:cs="Arial"/>
          <w:rtl/>
        </w:rPr>
        <w:t xml:space="preserve"> לכאורה צ"ע כיון דאינם מחוייבים ליתן עישור נכסים רק בשעת נישואין כמבואר בהגה לקמן</w:t>
      </w:r>
      <w:r w:rsidR="005B2B14">
        <w:rPr>
          <w:rFonts w:cs="Arial" w:hint="cs"/>
          <w:rtl/>
        </w:rPr>
        <w:t>,</w:t>
      </w:r>
      <w:r w:rsidRPr="00222535">
        <w:rPr>
          <w:rFonts w:cs="Arial"/>
          <w:rtl/>
        </w:rPr>
        <w:t xml:space="preserve"> א"כ נימא בזה חזקה אין אדם פורע תוך זמנו ואפי' מיתמי א"צ שבועה (כמבואר בח"מ סי</w:t>
      </w:r>
      <w:r>
        <w:rPr>
          <w:rFonts w:cs="Arial" w:hint="cs"/>
          <w:rtl/>
        </w:rPr>
        <w:t>'</w:t>
      </w:r>
      <w:r w:rsidRPr="00222535">
        <w:rPr>
          <w:rFonts w:cs="Arial"/>
          <w:rtl/>
        </w:rPr>
        <w:t xml:space="preserve"> קח ס"א)</w:t>
      </w:r>
      <w:r w:rsidR="005B2B14">
        <w:rPr>
          <w:rFonts w:cs="Arial" w:hint="cs"/>
          <w:rtl/>
        </w:rPr>
        <w:t>,</w:t>
      </w:r>
      <w:r w:rsidRPr="00222535">
        <w:rPr>
          <w:rFonts w:cs="Arial"/>
          <w:rtl/>
        </w:rPr>
        <w:t xml:space="preserve"> ולמה תשבע כאן בבאה ליפרע מנכסי יתמי האחין</w:t>
      </w:r>
      <w:r>
        <w:rPr>
          <w:rFonts w:cs="Arial" w:hint="cs"/>
          <w:rtl/>
        </w:rPr>
        <w:t>.</w:t>
      </w:r>
      <w:r w:rsidRPr="00222535">
        <w:rPr>
          <w:rFonts w:cs="Arial"/>
          <w:rtl/>
        </w:rPr>
        <w:t xml:space="preserve"> וצ"ל דטעם הענין בזה דשמא היה דעתה להנשא לאיש בעת ההיא קודם מיתת האחים</w:t>
      </w:r>
      <w:r>
        <w:rPr>
          <w:rFonts w:cs="Arial" w:hint="cs"/>
          <w:rtl/>
        </w:rPr>
        <w:t>,</w:t>
      </w:r>
      <w:r w:rsidRPr="00222535">
        <w:rPr>
          <w:rFonts w:cs="Arial"/>
          <w:rtl/>
        </w:rPr>
        <w:t xml:space="preserve"> ולכך אתפיסו לה צררי באותו עת לפי שכבר הגיע הזמן</w:t>
      </w:r>
      <w:r>
        <w:rPr>
          <w:rFonts w:cs="Arial" w:hint="cs"/>
          <w:rtl/>
        </w:rPr>
        <w:t>.</w:t>
      </w:r>
      <w:r w:rsidRPr="00222535">
        <w:rPr>
          <w:rFonts w:cs="Arial"/>
          <w:rtl/>
        </w:rPr>
        <w:t xml:space="preserve"> ומעתה נראה באם א"א לומר בשום אופן שהגיע הזמן קודם מיתת האחים כגון שהיתה קטנה שאינה ראויה להנשא לאיש </w:t>
      </w:r>
      <w:r>
        <w:rPr>
          <w:rFonts w:cs="Arial" w:hint="cs"/>
          <w:rtl/>
        </w:rPr>
        <w:t xml:space="preserve">- </w:t>
      </w:r>
      <w:r w:rsidRPr="00222535">
        <w:rPr>
          <w:rFonts w:cs="Arial"/>
          <w:rtl/>
        </w:rPr>
        <w:t>אפשר דא"צ שבועה</w:t>
      </w:r>
      <w:r>
        <w:rPr>
          <w:rFonts w:cs="Arial" w:hint="cs"/>
          <w:rtl/>
        </w:rPr>
        <w:t>.</w:t>
      </w:r>
      <w:r w:rsidRPr="00222535">
        <w:rPr>
          <w:rFonts w:cs="Arial"/>
          <w:rtl/>
        </w:rPr>
        <w:t xml:space="preserve"> וגם אפשר לצרף לזה הא דקיי"ל דצררי לקטנה לא מתפיס</w:t>
      </w:r>
      <w:r>
        <w:rPr>
          <w:rFonts w:cs="Arial" w:hint="cs"/>
          <w:rtl/>
        </w:rPr>
        <w:t>.</w:t>
      </w:r>
      <w:r w:rsidRPr="00222535">
        <w:rPr>
          <w:rFonts w:cs="Arial"/>
          <w:rtl/>
        </w:rPr>
        <w:t xml:space="preserve"> והארכתי בזה בתשובה עכ"ד. ועיין בנ"צ כתבתי קצת סמך ראיה לזה</w:t>
      </w:r>
      <w:r>
        <w:rPr>
          <w:rFonts w:cs="Arial" w:hint="cs"/>
          <w:rtl/>
        </w:rPr>
        <w:t>...</w:t>
      </w:r>
      <w:r w:rsidRPr="00222535">
        <w:rPr>
          <w:rFonts w:cs="Arial"/>
          <w:rtl/>
        </w:rPr>
        <w:t xml:space="preserve"> שוב ראיתי בס' בית מאיר שהעיר ג"כ בספק הנ"ל ודעתו נוטה דאף בהיתה קטנה צריכה שבועה כיון דדעתו של אדם קרובה אצל בתו יש לחוש לצררי אף בקטנה דלאו בת התפסה היא ואף דלא הגיע זמנה ואף לגבי האב דלאו בעל חובה הוא כלל</w:t>
      </w:r>
      <w:r w:rsidR="00470421">
        <w:rPr>
          <w:rFonts w:cs="Arial" w:hint="cs"/>
          <w:rtl/>
        </w:rPr>
        <w:t>.</w:t>
      </w:r>
      <w:r w:rsidRPr="00222535">
        <w:rPr>
          <w:rFonts w:cs="Arial"/>
          <w:rtl/>
        </w:rPr>
        <w:t xml:space="preserve"> וכ' דלפ"ז במת האח בעודה קטנה אינה צריכה רק שבועה זו שלא התפיס לה אביה צררי</w:t>
      </w:r>
      <w:r w:rsidR="00470421">
        <w:rPr>
          <w:rFonts w:cs="Arial" w:hint="cs"/>
          <w:rtl/>
        </w:rPr>
        <w:t>,</w:t>
      </w:r>
      <w:r w:rsidRPr="00222535">
        <w:rPr>
          <w:rFonts w:cs="Arial"/>
          <w:rtl/>
        </w:rPr>
        <w:t xml:space="preserve"> אבל א"צ שבועה שלא פרע לה האח דהא זה ודאי תוך זמן הוא רק אפשר ע"י גלגול כו'</w:t>
      </w:r>
      <w:r w:rsidR="00C9186D">
        <w:rPr>
          <w:rFonts w:cs="Arial" w:hint="cs"/>
          <w:rtl/>
        </w:rPr>
        <w:t xml:space="preserve">. </w:t>
      </w:r>
      <w:r w:rsidRPr="00222535">
        <w:rPr>
          <w:rFonts w:cs="Arial"/>
          <w:rtl/>
        </w:rPr>
        <w:t>ונ"מ עוד באם מת האב בעוד שהיתה קטנה מוטל בעריסה דודאי לא שייך חשש שהתפיס לה (ואפשר ה"ה אם לא היתה הבת אצלו במותו וכמ"ש לעיל סי' צ"ו סק"א בשם תשו' נו"ב ע"ש) א"צ שבועה וצ"ע. וע"ש עוד שהביא דברי הפ"י בכתובות שם שהגי' בפירש"י הנ"ל דצ"ל ומת רב סמא בנו אחריו. וכ' עליו דהגהה זו היא ברורה לע"ד עד שנסתפקתי מה דפסקינן דאם מתו האחים נוטלת מבניהם מזיבורית ובשבועה אם לא דוקא באופן זה אבל אם מתו האחים בחיי האב נוטלת מבניהם בינונית בלא שבועה וכן מסתבר ע"ש</w:t>
      </w:r>
      <w:r>
        <w:rPr>
          <w:rFonts w:cs="Arial" w:hint="cs"/>
          <w:rtl/>
        </w:rPr>
        <w:t>, פת"ש (סק"ט).</w:t>
      </w:r>
    </w:p>
  </w:footnote>
  <w:footnote w:id="2694">
    <w:p w14:paraId="2D1053A2" w14:textId="0CC48253" w:rsidR="00392DBB" w:rsidRDefault="00392DBB" w:rsidP="00392DBB">
      <w:pPr>
        <w:pStyle w:val="a5"/>
      </w:pPr>
      <w:r>
        <w:rPr>
          <w:rStyle w:val="a7"/>
        </w:rPr>
        <w:footnoteRef/>
      </w:r>
      <w:r>
        <w:rPr>
          <w:rtl/>
        </w:rPr>
        <w:t xml:space="preserve"> </w:t>
      </w:r>
      <w:r w:rsidRPr="00352BC7">
        <w:rPr>
          <w:rFonts w:cs="Arial"/>
          <w:rtl/>
        </w:rPr>
        <w:t>לא ידעתי שייכות לדין זה כאן ובסעי' ב' היה לו לכתוב דין זה ועיין בב"ח שכתב שמדברי הרא"ש משמע שאף בזמן הזה פרנסה מקרקעי</w:t>
      </w:r>
      <w:r>
        <w:rPr>
          <w:rFonts w:cs="Arial" w:hint="cs"/>
          <w:rtl/>
        </w:rPr>
        <w:t>, ח"מ (סקט"ז).</w:t>
      </w:r>
    </w:p>
  </w:footnote>
  <w:footnote w:id="2695">
    <w:p w14:paraId="21DB892F" w14:textId="77777777" w:rsidR="00D5146E" w:rsidRDefault="00D5146E" w:rsidP="00D5146E">
      <w:pPr>
        <w:pStyle w:val="a5"/>
      </w:pPr>
      <w:r>
        <w:rPr>
          <w:rStyle w:val="a7"/>
        </w:rPr>
        <w:footnoteRef/>
      </w:r>
      <w:r>
        <w:rPr>
          <w:rtl/>
        </w:rPr>
        <w:t xml:space="preserve"> </w:t>
      </w:r>
      <w:r>
        <w:rPr>
          <w:rFonts w:hint="cs"/>
          <w:rtl/>
        </w:rPr>
        <w:t>סימן - סכום חתונה.</w:t>
      </w:r>
    </w:p>
  </w:footnote>
  <w:footnote w:id="2696">
    <w:p w14:paraId="66654AFC" w14:textId="77777777" w:rsidR="00392DBB" w:rsidRDefault="00392DBB" w:rsidP="00392DBB">
      <w:pPr>
        <w:pStyle w:val="a5"/>
        <w:rPr>
          <w:rtl/>
        </w:rPr>
      </w:pPr>
      <w:r>
        <w:rPr>
          <w:rStyle w:val="a7"/>
        </w:rPr>
        <w:footnoteRef/>
      </w:r>
      <w:r>
        <w:rPr>
          <w:rtl/>
        </w:rPr>
        <w:t xml:space="preserve"> </w:t>
      </w:r>
      <w:r w:rsidRPr="00863D97">
        <w:rPr>
          <w:rFonts w:cs="Arial"/>
          <w:rtl/>
        </w:rPr>
        <w:t>וחכמים תיקנו להם נדוניית נישואיה עישור נכסים והנישאת ראשון ראשון זכתה בעישור שבפניה ולמה יחזרו ויחלקו עישורים בשוה</w:t>
      </w:r>
      <w:r>
        <w:rPr>
          <w:rFonts w:hint="cs"/>
          <w:rtl/>
        </w:rPr>
        <w:t>, רש"י.</w:t>
      </w:r>
    </w:p>
  </w:footnote>
  <w:footnote w:id="2697">
    <w:p w14:paraId="56FA9D48" w14:textId="77777777" w:rsidR="00392DBB" w:rsidRDefault="00392DBB" w:rsidP="00392DBB">
      <w:pPr>
        <w:pStyle w:val="a5"/>
      </w:pPr>
      <w:r>
        <w:rPr>
          <w:rStyle w:val="a7"/>
        </w:rPr>
        <w:footnoteRef/>
      </w:r>
      <w:r>
        <w:rPr>
          <w:rtl/>
        </w:rPr>
        <w:t xml:space="preserve"> </w:t>
      </w:r>
      <w:r w:rsidRPr="006155CA">
        <w:rPr>
          <w:rFonts w:cs="Arial"/>
          <w:rtl/>
        </w:rPr>
        <w:t>חוזרות וחולקות עישוריהן בשוה - שאין כאן קודמת לזכות</w:t>
      </w:r>
      <w:r>
        <w:rPr>
          <w:rFonts w:cs="Arial" w:hint="cs"/>
          <w:rtl/>
        </w:rPr>
        <w:t>,</w:t>
      </w:r>
      <w:r w:rsidRPr="006155CA">
        <w:rPr>
          <w:rFonts w:cs="Arial"/>
          <w:rtl/>
        </w:rPr>
        <w:t xml:space="preserve"> הלכך בשביל הראוי לישאר לפני הבן נוטלת האחת עישור והשניה עישור במה ששיירה</w:t>
      </w:r>
      <w:r>
        <w:rPr>
          <w:rFonts w:cs="Arial" w:hint="cs"/>
          <w:rtl/>
        </w:rPr>
        <w:t>,</w:t>
      </w:r>
      <w:r w:rsidRPr="006155CA">
        <w:rPr>
          <w:rFonts w:cs="Arial"/>
          <w:rtl/>
        </w:rPr>
        <w:t xml:space="preserve"> וכן כולם</w:t>
      </w:r>
      <w:r>
        <w:rPr>
          <w:rFonts w:cs="Arial" w:hint="cs"/>
          <w:rtl/>
        </w:rPr>
        <w:t>,</w:t>
      </w:r>
      <w:r w:rsidRPr="006155CA">
        <w:rPr>
          <w:rFonts w:cs="Arial"/>
          <w:rtl/>
        </w:rPr>
        <w:t xml:space="preserve"> והמותר לבן</w:t>
      </w:r>
      <w:r>
        <w:rPr>
          <w:rFonts w:cs="Arial" w:hint="cs"/>
          <w:rtl/>
        </w:rPr>
        <w:t>.</w:t>
      </w:r>
      <w:r w:rsidRPr="006155CA">
        <w:rPr>
          <w:rFonts w:cs="Arial"/>
          <w:rtl/>
        </w:rPr>
        <w:t xml:space="preserve"> אם היו מאה מנה האחת נוטלת עשר מנים</w:t>
      </w:r>
      <w:r>
        <w:rPr>
          <w:rFonts w:cs="Arial" w:hint="cs"/>
          <w:rtl/>
        </w:rPr>
        <w:t>,</w:t>
      </w:r>
      <w:r w:rsidRPr="006155CA">
        <w:rPr>
          <w:rFonts w:cs="Arial"/>
          <w:rtl/>
        </w:rPr>
        <w:t xml:space="preserve"> והשניה תשע</w:t>
      </w:r>
      <w:r>
        <w:rPr>
          <w:rFonts w:cs="Arial" w:hint="cs"/>
          <w:rtl/>
        </w:rPr>
        <w:t>,</w:t>
      </w:r>
      <w:r w:rsidRPr="006155CA">
        <w:rPr>
          <w:rFonts w:cs="Arial"/>
          <w:rtl/>
        </w:rPr>
        <w:t xml:space="preserve"> והשלישית שמונה מנה ועישור של מנה</w:t>
      </w:r>
      <w:r>
        <w:rPr>
          <w:rFonts w:cs="Arial" w:hint="cs"/>
          <w:rtl/>
        </w:rPr>
        <w:t>,</w:t>
      </w:r>
      <w:r w:rsidRPr="006155CA">
        <w:rPr>
          <w:rFonts w:cs="Arial"/>
          <w:rtl/>
        </w:rPr>
        <w:t xml:space="preserve"> וכן כולם כדי לברר ירושת הבן</w:t>
      </w:r>
      <w:r>
        <w:rPr>
          <w:rFonts w:cs="Arial" w:hint="cs"/>
          <w:rtl/>
        </w:rPr>
        <w:t>,</w:t>
      </w:r>
      <w:r w:rsidRPr="006155CA">
        <w:rPr>
          <w:rFonts w:cs="Arial"/>
          <w:rtl/>
        </w:rPr>
        <w:t xml:space="preserve"> והן חוזרות וחולקות עישוריהן בשוה</w:t>
      </w:r>
      <w:r>
        <w:rPr>
          <w:rFonts w:cs="Arial" w:hint="cs"/>
          <w:rtl/>
        </w:rPr>
        <w:t>, רש"י.</w:t>
      </w:r>
    </w:p>
  </w:footnote>
  <w:footnote w:id="2698">
    <w:p w14:paraId="6770B709" w14:textId="32BD1BF7" w:rsidR="00392DBB" w:rsidRDefault="00392DBB" w:rsidP="00392DBB">
      <w:pPr>
        <w:pStyle w:val="a5"/>
        <w:rPr>
          <w:rtl/>
        </w:rPr>
      </w:pPr>
      <w:r>
        <w:rPr>
          <w:rStyle w:val="a7"/>
        </w:rPr>
        <w:footnoteRef/>
      </w:r>
      <w:r>
        <w:rPr>
          <w:rtl/>
        </w:rPr>
        <w:t xml:space="preserve"> </w:t>
      </w:r>
      <w:r>
        <w:rPr>
          <w:rFonts w:hint="cs"/>
          <w:rtl/>
        </w:rPr>
        <w:t xml:space="preserve">הב"י לא הביא את סוף דברי הר"ן הללו. וכנראה משום דלא ס"ל כוותיה בעניין </w:t>
      </w:r>
      <w:r w:rsidR="0032516B">
        <w:rPr>
          <w:rFonts w:hint="cs"/>
          <w:rtl/>
        </w:rPr>
        <w:t>אומד ה</w:t>
      </w:r>
      <w:r>
        <w:rPr>
          <w:rFonts w:hint="cs"/>
          <w:rtl/>
        </w:rPr>
        <w:t>עישור.</w:t>
      </w:r>
    </w:p>
  </w:footnote>
  <w:footnote w:id="2699">
    <w:p w14:paraId="6A2AB2FA" w14:textId="77777777" w:rsidR="00392DBB" w:rsidRDefault="00392DBB" w:rsidP="00392DBB">
      <w:pPr>
        <w:pStyle w:val="a5"/>
        <w:rPr>
          <w:rtl/>
        </w:rPr>
      </w:pPr>
      <w:r>
        <w:rPr>
          <w:rStyle w:val="a7"/>
        </w:rPr>
        <w:footnoteRef/>
      </w:r>
      <w:r>
        <w:rPr>
          <w:rtl/>
        </w:rPr>
        <w:t xml:space="preserve"> </w:t>
      </w:r>
      <w:r>
        <w:rPr>
          <w:rFonts w:cs="Arial" w:hint="cs"/>
          <w:rtl/>
        </w:rPr>
        <w:t>אך ה</w:t>
      </w:r>
      <w:r w:rsidRPr="0012512E">
        <w:rPr>
          <w:rFonts w:cs="Arial"/>
          <w:rtl/>
        </w:rPr>
        <w:t xml:space="preserve">ישועות יעקב </w:t>
      </w:r>
      <w:r>
        <w:rPr>
          <w:rFonts w:cs="Arial" w:hint="cs"/>
          <w:rtl/>
        </w:rPr>
        <w:t>(</w:t>
      </w:r>
      <w:r w:rsidRPr="0012512E">
        <w:rPr>
          <w:rFonts w:cs="Arial"/>
          <w:rtl/>
        </w:rPr>
        <w:t>סק"ה</w:t>
      </w:r>
      <w:r>
        <w:rPr>
          <w:rFonts w:cs="Arial" w:hint="cs"/>
          <w:rtl/>
        </w:rPr>
        <w:t>) כתב ש</w:t>
      </w:r>
      <w:r w:rsidRPr="0012512E">
        <w:rPr>
          <w:rFonts w:cs="Arial"/>
          <w:rtl/>
        </w:rPr>
        <w:t>סוף דבריו (מ</w:t>
      </w:r>
      <w:r>
        <w:rPr>
          <w:rFonts w:cs="Arial" w:hint="cs"/>
          <w:rtl/>
        </w:rPr>
        <w:t xml:space="preserve">ה </w:t>
      </w:r>
      <w:r w:rsidRPr="0012512E">
        <w:rPr>
          <w:rFonts w:cs="Arial"/>
          <w:rtl/>
        </w:rPr>
        <w:t>ש</w:t>
      </w:r>
      <w:r>
        <w:rPr>
          <w:rFonts w:cs="Arial" w:hint="cs"/>
          <w:rtl/>
        </w:rPr>
        <w:t>כתב</w:t>
      </w:r>
      <w:r w:rsidRPr="0012512E">
        <w:rPr>
          <w:rFonts w:cs="Arial"/>
          <w:rtl/>
        </w:rPr>
        <w:t xml:space="preserve"> אמנם טוב הוה שיחלקו הריוח כו') אינם נראים</w:t>
      </w:r>
      <w:r>
        <w:rPr>
          <w:rFonts w:cs="Arial" w:hint="cs"/>
          <w:rtl/>
        </w:rPr>
        <w:t>,</w:t>
      </w:r>
      <w:r w:rsidRPr="0012512E">
        <w:rPr>
          <w:rFonts w:cs="Arial"/>
          <w:rtl/>
        </w:rPr>
        <w:t xml:space="preserve"> דמועטים ונתרבו בודאי לא זכו הבנות</w:t>
      </w:r>
      <w:r>
        <w:rPr>
          <w:rFonts w:cs="Arial" w:hint="cs"/>
          <w:rtl/>
        </w:rPr>
        <w:t>,</w:t>
      </w:r>
      <w:r w:rsidRPr="0012512E">
        <w:rPr>
          <w:rFonts w:cs="Arial"/>
          <w:rtl/>
        </w:rPr>
        <w:t xml:space="preserve"> כמו בשאר דברים כתובת בנין דכרין ות</w:t>
      </w:r>
      <w:r>
        <w:rPr>
          <w:rFonts w:cs="Arial" w:hint="cs"/>
          <w:rtl/>
        </w:rPr>
        <w:t xml:space="preserve">וספת </w:t>
      </w:r>
      <w:r w:rsidRPr="0012512E">
        <w:rPr>
          <w:rFonts w:cs="Arial"/>
          <w:rtl/>
        </w:rPr>
        <w:t>כ</w:t>
      </w:r>
      <w:r>
        <w:rPr>
          <w:rFonts w:cs="Arial" w:hint="cs"/>
          <w:rtl/>
        </w:rPr>
        <w:t>תובה</w:t>
      </w:r>
      <w:r w:rsidRPr="0012512E">
        <w:rPr>
          <w:rFonts w:cs="Arial"/>
          <w:rtl/>
        </w:rPr>
        <w:t xml:space="preserve"> דלא זכו במה שנתרבה אח"כ.</w:t>
      </w:r>
    </w:p>
  </w:footnote>
  <w:footnote w:id="2700">
    <w:p w14:paraId="03211171" w14:textId="77777777" w:rsidR="00392DBB" w:rsidRDefault="00392DBB" w:rsidP="00392DBB">
      <w:pPr>
        <w:pStyle w:val="a5"/>
        <w:rPr>
          <w:rtl/>
        </w:rPr>
      </w:pPr>
      <w:r>
        <w:rPr>
          <w:rStyle w:val="a7"/>
        </w:rPr>
        <w:footnoteRef/>
      </w:r>
      <w:r>
        <w:rPr>
          <w:rtl/>
        </w:rPr>
        <w:t xml:space="preserve"> </w:t>
      </w:r>
      <w:r w:rsidRPr="00CD6DC5">
        <w:rPr>
          <w:rFonts w:cs="Arial"/>
          <w:rtl/>
        </w:rPr>
        <w:t>וצ"ע דין זה</w:t>
      </w:r>
      <w:r>
        <w:rPr>
          <w:rFonts w:cs="Arial" w:hint="cs"/>
          <w:rtl/>
        </w:rPr>
        <w:t>,</w:t>
      </w:r>
      <w:r w:rsidRPr="00CD6DC5">
        <w:rPr>
          <w:rFonts w:cs="Arial"/>
          <w:rtl/>
        </w:rPr>
        <w:t xml:space="preserve"> וע"ל סי' קי"ב סעיף י"א בהגה</w:t>
      </w:r>
      <w:r>
        <w:rPr>
          <w:rFonts w:hint="cs"/>
          <w:rtl/>
        </w:rPr>
        <w:t>, באה"ט (סקט"ו).</w:t>
      </w:r>
    </w:p>
  </w:footnote>
  <w:footnote w:id="2701">
    <w:p w14:paraId="26A6CFC1" w14:textId="77777777" w:rsidR="00392DBB" w:rsidRDefault="00392DBB" w:rsidP="00392DBB">
      <w:pPr>
        <w:pStyle w:val="a5"/>
        <w:rPr>
          <w:rtl/>
        </w:rPr>
      </w:pPr>
      <w:r>
        <w:rPr>
          <w:rStyle w:val="a7"/>
        </w:rPr>
        <w:footnoteRef/>
      </w:r>
      <w:r>
        <w:rPr>
          <w:rtl/>
        </w:rPr>
        <w:t xml:space="preserve"> </w:t>
      </w:r>
      <w:r w:rsidRPr="00CD6DC5">
        <w:rPr>
          <w:rFonts w:cs="Arial"/>
          <w:rtl/>
        </w:rPr>
        <w:t>וע' בהרש"ך ח"ג סי' צ"ו. וע' כנה"ג דף קנ"א ע"א</w:t>
      </w:r>
      <w:r>
        <w:rPr>
          <w:rFonts w:hint="cs"/>
          <w:rtl/>
        </w:rPr>
        <w:t>, באה"ט (סקט"ו).</w:t>
      </w:r>
    </w:p>
  </w:footnote>
  <w:footnote w:id="2702">
    <w:p w14:paraId="687CDF54" w14:textId="77777777" w:rsidR="00392DBB" w:rsidRDefault="00392DBB" w:rsidP="00392DBB">
      <w:pPr>
        <w:pStyle w:val="a5"/>
        <w:rPr>
          <w:rtl/>
        </w:rPr>
      </w:pPr>
      <w:r>
        <w:rPr>
          <w:rStyle w:val="a7"/>
        </w:rPr>
        <w:footnoteRef/>
      </w:r>
      <w:r>
        <w:rPr>
          <w:rtl/>
        </w:rPr>
        <w:t xml:space="preserve"> </w:t>
      </w:r>
      <w:r w:rsidRPr="004206BB">
        <w:rPr>
          <w:rFonts w:cs="Arial"/>
          <w:rtl/>
        </w:rPr>
        <w:t>שלח לו אגרת שלומים ותלה שאלה זו בין השיטים</w:t>
      </w:r>
      <w:r>
        <w:rPr>
          <w:rFonts w:hint="cs"/>
          <w:rtl/>
        </w:rPr>
        <w:t>, רש"י.</w:t>
      </w:r>
    </w:p>
  </w:footnote>
  <w:footnote w:id="2703">
    <w:p w14:paraId="19907D8C" w14:textId="77777777" w:rsidR="00392DBB" w:rsidRDefault="00392DBB" w:rsidP="00392DBB">
      <w:pPr>
        <w:pStyle w:val="a5"/>
      </w:pPr>
      <w:r>
        <w:rPr>
          <w:rStyle w:val="a7"/>
        </w:rPr>
        <w:footnoteRef/>
      </w:r>
      <w:r>
        <w:rPr>
          <w:rtl/>
        </w:rPr>
        <w:t xml:space="preserve"> </w:t>
      </w:r>
      <w:r w:rsidRPr="004206BB">
        <w:rPr>
          <w:rFonts w:cs="Arial"/>
          <w:rtl/>
        </w:rPr>
        <w:t>דרבי כשבאת שאלה זו לפניו</w:t>
      </w:r>
      <w:r>
        <w:rPr>
          <w:rFonts w:cs="Arial" w:hint="cs"/>
          <w:rtl/>
        </w:rPr>
        <w:t>, רש"י.</w:t>
      </w:r>
    </w:p>
  </w:footnote>
  <w:footnote w:id="2704">
    <w:p w14:paraId="572D2A24" w14:textId="77777777" w:rsidR="00392DBB" w:rsidRDefault="00392DBB" w:rsidP="00392DBB">
      <w:pPr>
        <w:pStyle w:val="a5"/>
        <w:rPr>
          <w:rtl/>
        </w:rPr>
      </w:pPr>
      <w:r>
        <w:rPr>
          <w:rStyle w:val="a7"/>
        </w:rPr>
        <w:footnoteRef/>
      </w:r>
      <w:r>
        <w:rPr>
          <w:rtl/>
        </w:rPr>
        <w:t xml:space="preserve"> </w:t>
      </w:r>
      <w:r w:rsidRPr="00B710BB">
        <w:rPr>
          <w:rFonts w:cs="Arial"/>
          <w:rtl/>
        </w:rPr>
        <w:t>אבל אם מכר האב או השכין</w:t>
      </w:r>
      <w:r>
        <w:rPr>
          <w:rFonts w:cs="Arial" w:hint="cs"/>
          <w:rtl/>
        </w:rPr>
        <w:t xml:space="preserve"> -</w:t>
      </w:r>
      <w:r w:rsidRPr="00B710BB">
        <w:rPr>
          <w:rFonts w:cs="Arial"/>
          <w:rtl/>
        </w:rPr>
        <w:t xml:space="preserve"> אין טורפים</w:t>
      </w:r>
      <w:r>
        <w:rPr>
          <w:rFonts w:cs="Arial" w:hint="cs"/>
          <w:rtl/>
        </w:rPr>
        <w:t>,</w:t>
      </w:r>
      <w:r w:rsidRPr="00B710BB">
        <w:rPr>
          <w:rFonts w:cs="Arial"/>
          <w:rtl/>
        </w:rPr>
        <w:t xml:space="preserve"> דהא רשות בידו לומר שאל תפרנסו אותן כמ"ש בס</w:t>
      </w:r>
      <w:r>
        <w:rPr>
          <w:rFonts w:cs="Arial" w:hint="cs"/>
          <w:rtl/>
        </w:rPr>
        <w:t>וף ה</w:t>
      </w:r>
      <w:r w:rsidRPr="00B710BB">
        <w:rPr>
          <w:rFonts w:cs="Arial"/>
          <w:rtl/>
        </w:rPr>
        <w:t>ס</w:t>
      </w:r>
      <w:r>
        <w:rPr>
          <w:rFonts w:cs="Arial" w:hint="cs"/>
          <w:rtl/>
        </w:rPr>
        <w:t>ימן.</w:t>
      </w:r>
      <w:r w:rsidRPr="00B710BB">
        <w:rPr>
          <w:rFonts w:cs="Arial"/>
          <w:rtl/>
        </w:rPr>
        <w:t xml:space="preserve"> ומטלטלין שמכרו אחיהן </w:t>
      </w:r>
      <w:r>
        <w:rPr>
          <w:rFonts w:cs="Arial" w:hint="cs"/>
          <w:rtl/>
        </w:rPr>
        <w:t xml:space="preserve">- </w:t>
      </w:r>
      <w:r w:rsidRPr="00B710BB">
        <w:rPr>
          <w:rFonts w:cs="Arial"/>
          <w:rtl/>
        </w:rPr>
        <w:t>אין טורפין</w:t>
      </w:r>
      <w:r>
        <w:rPr>
          <w:rFonts w:cs="Arial" w:hint="cs"/>
          <w:rtl/>
        </w:rPr>
        <w:t>,</w:t>
      </w:r>
      <w:r w:rsidRPr="00B710BB">
        <w:rPr>
          <w:rFonts w:cs="Arial"/>
          <w:rtl/>
        </w:rPr>
        <w:t xml:space="preserve"> כ"כ הג"א</w:t>
      </w:r>
      <w:r>
        <w:rPr>
          <w:rFonts w:cs="Arial" w:hint="cs"/>
          <w:rtl/>
        </w:rPr>
        <w:t>,</w:t>
      </w:r>
      <w:r w:rsidRPr="00B710BB">
        <w:rPr>
          <w:rFonts w:cs="Arial"/>
          <w:rtl/>
        </w:rPr>
        <w:t xml:space="preserve"> ודינם במטלטלין כמ"ש בסי' ק' לענין כתובה</w:t>
      </w:r>
      <w:r>
        <w:rPr>
          <w:rFonts w:cs="Arial" w:hint="cs"/>
          <w:rtl/>
        </w:rPr>
        <w:t>.</w:t>
      </w:r>
      <w:r w:rsidRPr="00B710BB">
        <w:rPr>
          <w:rFonts w:cs="Arial"/>
          <w:rtl/>
        </w:rPr>
        <w:t xml:space="preserve"> והג"א שכתב בפשיטו' דאין טורפים מטלטלין י"ל גם שם אין טורפים מטלטלין</w:t>
      </w:r>
      <w:r>
        <w:rPr>
          <w:rFonts w:cs="Arial" w:hint="cs"/>
          <w:rtl/>
        </w:rPr>
        <w:t xml:space="preserve">, </w:t>
      </w:r>
      <w:r w:rsidRPr="00B710BB">
        <w:rPr>
          <w:rFonts w:cs="Arial"/>
          <w:rtl/>
        </w:rPr>
        <w:t>וע"ש וכן לענין מ</w:t>
      </w:r>
      <w:r>
        <w:rPr>
          <w:rFonts w:cs="Arial" w:hint="cs"/>
          <w:rtl/>
        </w:rPr>
        <w:t xml:space="preserve">תנת </w:t>
      </w:r>
      <w:r w:rsidRPr="00B710BB">
        <w:rPr>
          <w:rFonts w:cs="Arial"/>
          <w:rtl/>
        </w:rPr>
        <w:t>שכ"מ</w:t>
      </w:r>
      <w:r>
        <w:rPr>
          <w:rFonts w:hint="cs"/>
          <w:rtl/>
        </w:rPr>
        <w:t>, ב"ש (סקט"ו).</w:t>
      </w:r>
    </w:p>
  </w:footnote>
  <w:footnote w:id="2705">
    <w:p w14:paraId="7AB68F73" w14:textId="77777777" w:rsidR="00392DBB" w:rsidRDefault="00392DBB" w:rsidP="00392DBB">
      <w:pPr>
        <w:pStyle w:val="a5"/>
      </w:pPr>
      <w:r>
        <w:rPr>
          <w:rStyle w:val="a7"/>
        </w:rPr>
        <w:footnoteRef/>
      </w:r>
      <w:r>
        <w:rPr>
          <w:rtl/>
        </w:rPr>
        <w:t xml:space="preserve"> </w:t>
      </w:r>
      <w:r w:rsidRPr="00282295">
        <w:rPr>
          <w:rFonts w:cs="Arial"/>
          <w:rtl/>
        </w:rPr>
        <w:t>ועיין בס' בית מאיר שנסתפק בזה</w:t>
      </w:r>
      <w:r>
        <w:rPr>
          <w:rFonts w:cs="Arial" w:hint="cs"/>
          <w:rtl/>
        </w:rPr>
        <w:t>,</w:t>
      </w:r>
      <w:r w:rsidRPr="00282295">
        <w:rPr>
          <w:rFonts w:cs="Arial"/>
          <w:rtl/>
        </w:rPr>
        <w:t xml:space="preserve"> ואח"כ כ' דמסתבר דכאן כ</w:t>
      </w:r>
      <w:r>
        <w:rPr>
          <w:rFonts w:cs="Arial" w:hint="cs"/>
          <w:rtl/>
        </w:rPr>
        <w:t>ו</w:t>
      </w:r>
      <w:r w:rsidRPr="00282295">
        <w:rPr>
          <w:rFonts w:cs="Arial"/>
          <w:rtl/>
        </w:rPr>
        <w:t>"ע מודו דכל זמן שהם יורשי אבוהון בקרקע לדין גמרא</w:t>
      </w:r>
      <w:r>
        <w:rPr>
          <w:rFonts w:cs="Arial" w:hint="cs"/>
          <w:rtl/>
        </w:rPr>
        <w:t>,</w:t>
      </w:r>
      <w:r w:rsidRPr="00282295">
        <w:rPr>
          <w:rFonts w:cs="Arial"/>
          <w:rtl/>
        </w:rPr>
        <w:t xml:space="preserve"> ולדידן ע"פ המנהג אף במטלטלי</w:t>
      </w:r>
      <w:r>
        <w:rPr>
          <w:rFonts w:cs="Arial" w:hint="cs"/>
          <w:rtl/>
        </w:rPr>
        <w:t>,</w:t>
      </w:r>
      <w:r w:rsidRPr="00282295">
        <w:rPr>
          <w:rFonts w:cs="Arial"/>
          <w:rtl/>
        </w:rPr>
        <w:t xml:space="preserve"> ונעשו הב"ח</w:t>
      </w:r>
      <w:r>
        <w:rPr>
          <w:rFonts w:cs="Arial" w:hint="cs"/>
          <w:rtl/>
        </w:rPr>
        <w:t>,</w:t>
      </w:r>
      <w:r w:rsidRPr="00282295">
        <w:rPr>
          <w:rFonts w:cs="Arial"/>
          <w:rtl/>
        </w:rPr>
        <w:t xml:space="preserve"> אף אם מכרו מה שירשו למקום שא"א לטרוף וקבלו הדמים או אפי' נתנו במתנה</w:t>
      </w:r>
      <w:r>
        <w:rPr>
          <w:rFonts w:cs="Arial" w:hint="cs"/>
          <w:rtl/>
        </w:rPr>
        <w:t>,</w:t>
      </w:r>
      <w:r w:rsidRPr="00282295">
        <w:rPr>
          <w:rFonts w:cs="Arial"/>
          <w:rtl/>
        </w:rPr>
        <w:t xml:space="preserve"> מ"מ מאחר שירשו </w:t>
      </w:r>
      <w:r>
        <w:rPr>
          <w:rFonts w:cs="Arial" w:hint="cs"/>
          <w:rtl/>
        </w:rPr>
        <w:t xml:space="preserve">- </w:t>
      </w:r>
      <w:r w:rsidRPr="00282295">
        <w:rPr>
          <w:rFonts w:cs="Arial"/>
          <w:rtl/>
        </w:rPr>
        <w:t>נכסיהם משועבד</w:t>
      </w:r>
      <w:r>
        <w:rPr>
          <w:rFonts w:cs="Arial" w:hint="cs"/>
          <w:rtl/>
        </w:rPr>
        <w:t>ין</w:t>
      </w:r>
      <w:r w:rsidRPr="00282295">
        <w:rPr>
          <w:rFonts w:cs="Arial"/>
          <w:rtl/>
        </w:rPr>
        <w:t xml:space="preserve"> כדין ב"ח עצמו וטורפת משעה זו שמכרו או נתנו אפי' מלקוחות שקנו קרקע דידהו כו' ע"ש. (ע</w:t>
      </w:r>
      <w:r>
        <w:rPr>
          <w:rFonts w:cs="Arial" w:hint="cs"/>
          <w:rtl/>
        </w:rPr>
        <w:t xml:space="preserve">י' </w:t>
      </w:r>
      <w:r w:rsidRPr="00282295">
        <w:rPr>
          <w:rFonts w:cs="Arial"/>
          <w:rtl/>
        </w:rPr>
        <w:t>מ</w:t>
      </w:r>
      <w:r>
        <w:rPr>
          <w:rFonts w:cs="Arial" w:hint="cs"/>
          <w:rtl/>
        </w:rPr>
        <w:t xml:space="preserve">ה </w:t>
      </w:r>
      <w:r w:rsidRPr="00282295">
        <w:rPr>
          <w:rFonts w:cs="Arial"/>
          <w:rtl/>
        </w:rPr>
        <w:t>ש</w:t>
      </w:r>
      <w:r>
        <w:rPr>
          <w:rFonts w:cs="Arial" w:hint="cs"/>
          <w:rtl/>
        </w:rPr>
        <w:t>כתבתי</w:t>
      </w:r>
      <w:r w:rsidRPr="00282295">
        <w:rPr>
          <w:rFonts w:cs="Arial"/>
          <w:rtl/>
        </w:rPr>
        <w:t xml:space="preserve"> לעיל סי' קיב סק"ה בשם תשו' ח</w:t>
      </w:r>
      <w:r>
        <w:rPr>
          <w:rFonts w:cs="Arial" w:hint="cs"/>
          <w:rtl/>
        </w:rPr>
        <w:t>ת</w:t>
      </w:r>
      <w:r w:rsidRPr="00282295">
        <w:rPr>
          <w:rFonts w:cs="Arial"/>
          <w:rtl/>
        </w:rPr>
        <w:t>"ס סי' קכ"ז שלא פסק כן ע"ש.) וכתב עוד דאם נשתדפו נכסים שירשו</w:t>
      </w:r>
      <w:r>
        <w:rPr>
          <w:rFonts w:cs="Arial" w:hint="cs"/>
          <w:rtl/>
        </w:rPr>
        <w:t>,</w:t>
      </w:r>
      <w:r w:rsidRPr="00282295">
        <w:rPr>
          <w:rFonts w:cs="Arial"/>
          <w:rtl/>
        </w:rPr>
        <w:t xml:space="preserve"> פשיטא דפטורים</w:t>
      </w:r>
      <w:r>
        <w:rPr>
          <w:rFonts w:cs="Arial" w:hint="cs"/>
          <w:rtl/>
        </w:rPr>
        <w:t>,</w:t>
      </w:r>
      <w:r w:rsidRPr="00282295">
        <w:rPr>
          <w:rFonts w:cs="Arial"/>
          <w:rtl/>
        </w:rPr>
        <w:t xml:space="preserve"> אף דמסקינן ב"ח דאחי</w:t>
      </w:r>
      <w:r>
        <w:rPr>
          <w:rFonts w:cs="Arial" w:hint="cs"/>
          <w:rtl/>
        </w:rPr>
        <w:t>,</w:t>
      </w:r>
      <w:r w:rsidRPr="00282295">
        <w:rPr>
          <w:rFonts w:cs="Arial"/>
          <w:rtl/>
        </w:rPr>
        <w:t xml:space="preserve"> היינו במה שירשו שמשועבדים הם עצמן או שיתנו דמיהן</w:t>
      </w:r>
      <w:r>
        <w:rPr>
          <w:rFonts w:cs="Arial" w:hint="cs"/>
          <w:rtl/>
        </w:rPr>
        <w:t>,</w:t>
      </w:r>
      <w:r w:rsidRPr="00282295">
        <w:rPr>
          <w:rFonts w:cs="Arial"/>
          <w:rtl/>
        </w:rPr>
        <w:t xml:space="preserve"> אבל נשתדפו הוי כמו שלא ירשו ולהכי דייק בסעיף ג' הבת בעישור זה כב"ח</w:t>
      </w:r>
      <w:r>
        <w:rPr>
          <w:rFonts w:cs="Arial" w:hint="cs"/>
          <w:rtl/>
        </w:rPr>
        <w:t>,</w:t>
      </w:r>
      <w:r w:rsidRPr="00282295">
        <w:rPr>
          <w:rFonts w:cs="Arial"/>
          <w:rtl/>
        </w:rPr>
        <w:t xml:space="preserve"> בכף הדמיון ולא ב"ח ממש ע"ש</w:t>
      </w:r>
      <w:r>
        <w:rPr>
          <w:rFonts w:cs="Arial" w:hint="cs"/>
          <w:rtl/>
        </w:rPr>
        <w:t>, פת"ש (סקי"א).</w:t>
      </w:r>
    </w:p>
  </w:footnote>
  <w:footnote w:id="2706">
    <w:p w14:paraId="48AA2FF4" w14:textId="008D66F9" w:rsidR="00392DBB" w:rsidRDefault="00392DBB" w:rsidP="00392DBB">
      <w:pPr>
        <w:pStyle w:val="a5"/>
      </w:pPr>
      <w:r>
        <w:rPr>
          <w:rStyle w:val="a7"/>
        </w:rPr>
        <w:footnoteRef/>
      </w:r>
      <w:r>
        <w:rPr>
          <w:rtl/>
        </w:rPr>
        <w:t xml:space="preserve"> </w:t>
      </w:r>
      <w:r w:rsidRPr="00BC0CB7">
        <w:rPr>
          <w:rFonts w:cs="Arial"/>
          <w:rtl/>
        </w:rPr>
        <w:t xml:space="preserve">רבי יצחק ב"ר אברהם מנרבונה שבפרובנס </w:t>
      </w:r>
      <w:r w:rsidRPr="00BC0CB7">
        <w:rPr>
          <w:rFonts w:cs="Arial"/>
          <w:sz w:val="16"/>
          <w:szCs w:val="16"/>
          <w:rtl/>
        </w:rPr>
        <w:t xml:space="preserve">(לעיתים נקרא ר"י קרקושא או קרקשונא, ע"ש העיר קרקסון שבפרובנס) </w:t>
      </w:r>
      <w:r w:rsidRPr="00BC0CB7">
        <w:rPr>
          <w:rFonts w:cs="Arial"/>
          <w:rtl/>
        </w:rPr>
        <w:t>עבר בשלב מסויים לברצלונה שבספרד, ושם היה לתלמיד חבר של הרמב"ן, ומרבותיו של הרשב"א. חיבר פירושים על הרי"ף</w:t>
      </w:r>
      <w:r>
        <w:rPr>
          <w:rFonts w:cs="Arial" w:hint="cs"/>
          <w:sz w:val="16"/>
          <w:szCs w:val="16"/>
          <w:rtl/>
        </w:rPr>
        <w:t xml:space="preserve"> (</w:t>
      </w:r>
      <w:r w:rsidR="000B2B28">
        <w:rPr>
          <w:rFonts w:cs="Arial" w:hint="cs"/>
          <w:sz w:val="16"/>
          <w:szCs w:val="16"/>
          <w:rtl/>
        </w:rPr>
        <w:t xml:space="preserve">ע"פ </w:t>
      </w:r>
      <w:r>
        <w:rPr>
          <w:rFonts w:cs="Arial" w:hint="cs"/>
          <w:sz w:val="16"/>
          <w:szCs w:val="16"/>
          <w:rtl/>
        </w:rPr>
        <w:t>ביוגרפיה פרוה"ש)</w:t>
      </w:r>
      <w:r w:rsidRPr="00BC0CB7">
        <w:rPr>
          <w:rFonts w:cs="Arial"/>
          <w:rtl/>
        </w:rPr>
        <w:t>.</w:t>
      </w:r>
    </w:p>
  </w:footnote>
  <w:footnote w:id="2707">
    <w:p w14:paraId="43FE832D" w14:textId="77777777" w:rsidR="00392DBB" w:rsidRDefault="00392DBB" w:rsidP="00392DBB">
      <w:pPr>
        <w:pStyle w:val="a5"/>
        <w:rPr>
          <w:rtl/>
        </w:rPr>
      </w:pPr>
      <w:r>
        <w:rPr>
          <w:rStyle w:val="a7"/>
        </w:rPr>
        <w:footnoteRef/>
      </w:r>
      <w:r>
        <w:rPr>
          <w:rtl/>
        </w:rPr>
        <w:t xml:space="preserve"> </w:t>
      </w:r>
      <w:r w:rsidRPr="00863D97">
        <w:rPr>
          <w:rFonts w:cs="Arial"/>
          <w:rtl/>
        </w:rPr>
        <w:t>והא דגרסינן בירושלמי פרק מי שהיה נשוי (ה"א) פרנסה וכתובה פרנסה קודמת ההיא בכתובת בנין דכרין מיירי משום דשויוה רבנן כירושה וכשם שנוטלת במקום בנים כך נוטלת במקום כתובת בנין דכרין</w:t>
      </w:r>
      <w:r>
        <w:rPr>
          <w:rFonts w:cs="Arial" w:hint="cs"/>
          <w:rtl/>
        </w:rPr>
        <w:t>,</w:t>
      </w:r>
      <w:r w:rsidRPr="00FF41BE">
        <w:rPr>
          <w:rFonts w:cs="Arial"/>
          <w:rtl/>
        </w:rPr>
        <w:t xml:space="preserve"> </w:t>
      </w:r>
      <w:r w:rsidRPr="00863D97">
        <w:rPr>
          <w:rFonts w:cs="Arial"/>
          <w:rtl/>
        </w:rPr>
        <w:t>ר"ן</w:t>
      </w:r>
      <w:r>
        <w:rPr>
          <w:rFonts w:cs="Arial" w:hint="cs"/>
          <w:rtl/>
        </w:rPr>
        <w:t xml:space="preserve"> </w:t>
      </w:r>
      <w:r w:rsidRPr="00FF41BE">
        <w:rPr>
          <w:rFonts w:cs="Arial"/>
          <w:sz w:val="16"/>
          <w:szCs w:val="16"/>
          <w:rtl/>
        </w:rPr>
        <w:t>(לא. דיבור ראשון)</w:t>
      </w:r>
      <w:r w:rsidRPr="00863D97">
        <w:rPr>
          <w:rFonts w:cs="Arial"/>
          <w:rtl/>
        </w:rPr>
        <w:t>.</w:t>
      </w:r>
      <w:r w:rsidRPr="005B7A50">
        <w:rPr>
          <w:rFonts w:hint="cs"/>
          <w:color w:val="00B0F0"/>
          <w:rtl/>
        </w:rPr>
        <w:t xml:space="preserve"> </w:t>
      </w:r>
      <w:r w:rsidRPr="00AF6AA8">
        <w:rPr>
          <w:rFonts w:hint="cs"/>
          <w:color w:val="00B0F0"/>
          <w:rtl/>
        </w:rPr>
        <w:t>(וכ"פ הרמ"א)</w:t>
      </w:r>
    </w:p>
  </w:footnote>
  <w:footnote w:id="2708">
    <w:p w14:paraId="15FB1F88" w14:textId="00D00631" w:rsidR="00392DBB" w:rsidRDefault="00392DBB" w:rsidP="00392DBB">
      <w:pPr>
        <w:pStyle w:val="a5"/>
      </w:pPr>
      <w:r>
        <w:rPr>
          <w:rStyle w:val="a7"/>
        </w:rPr>
        <w:footnoteRef/>
      </w:r>
      <w:r>
        <w:rPr>
          <w:rtl/>
        </w:rPr>
        <w:t xml:space="preserve"> </w:t>
      </w:r>
      <w:r w:rsidRPr="00863D97">
        <w:rPr>
          <w:rFonts w:cs="Arial"/>
          <w:rtl/>
        </w:rPr>
        <w:t>וכתב הה</w:t>
      </w:r>
      <w:r w:rsidR="00773A41">
        <w:rPr>
          <w:rFonts w:cs="Arial" w:hint="cs"/>
          <w:rtl/>
        </w:rPr>
        <w:t>"</w:t>
      </w:r>
      <w:r w:rsidRPr="00863D97">
        <w:rPr>
          <w:rFonts w:cs="Arial"/>
          <w:rtl/>
        </w:rPr>
        <w:t>מ</w:t>
      </w:r>
      <w:r w:rsidR="00773A41">
        <w:rPr>
          <w:rFonts w:cs="Arial" w:hint="cs"/>
          <w:rtl/>
        </w:rPr>
        <w:t>:</w:t>
      </w:r>
      <w:r w:rsidRPr="00863D97">
        <w:rPr>
          <w:rFonts w:cs="Arial"/>
          <w:rtl/>
        </w:rPr>
        <w:t xml:space="preserve"> מי שמת והניח וכו' פ</w:t>
      </w:r>
      <w:r w:rsidR="00773A41">
        <w:rPr>
          <w:rFonts w:cs="Arial" w:hint="cs"/>
          <w:rtl/>
        </w:rPr>
        <w:t>רק</w:t>
      </w:r>
      <w:r w:rsidRPr="00863D97">
        <w:rPr>
          <w:rFonts w:cs="Arial"/>
          <w:rtl/>
        </w:rPr>
        <w:t xml:space="preserve"> יש נוחלין (ב"ב קלט.) מי שמת והניח אלמנה ובת וכו' ואמרו שם (</w:t>
      </w:r>
      <w:r w:rsidR="00773A41">
        <w:rPr>
          <w:rFonts w:cs="Arial" w:hint="cs"/>
          <w:rtl/>
        </w:rPr>
        <w:t>קלט:</w:t>
      </w:r>
      <w:r w:rsidRPr="00863D97">
        <w:rPr>
          <w:rFonts w:cs="Arial"/>
          <w:rtl/>
        </w:rPr>
        <w:t>) דשויוה רבנן כאן לבעל בנכסי אשתו כיורש ולא כלוקח</w:t>
      </w:r>
      <w:r>
        <w:rPr>
          <w:rFonts w:cs="Arial" w:hint="cs"/>
          <w:rtl/>
        </w:rPr>
        <w:t>,</w:t>
      </w:r>
      <w:r w:rsidRPr="00863D97">
        <w:rPr>
          <w:rFonts w:cs="Arial"/>
          <w:rtl/>
        </w:rPr>
        <w:t xml:space="preserve"> מפני שלא תפסיד האלמנה</w:t>
      </w:r>
      <w:r>
        <w:rPr>
          <w:rFonts w:cs="Arial" w:hint="cs"/>
          <w:rtl/>
        </w:rPr>
        <w:t>.</w:t>
      </w:r>
      <w:r w:rsidRPr="00863D97">
        <w:rPr>
          <w:rFonts w:cs="Arial"/>
          <w:rtl/>
        </w:rPr>
        <w:t xml:space="preserve"> שאם היה כלוקח</w:t>
      </w:r>
      <w:r>
        <w:rPr>
          <w:rFonts w:cs="Arial" w:hint="cs"/>
          <w:rtl/>
        </w:rPr>
        <w:t>,</w:t>
      </w:r>
      <w:r w:rsidRPr="00863D97">
        <w:rPr>
          <w:rFonts w:cs="Arial"/>
          <w:rtl/>
        </w:rPr>
        <w:t xml:space="preserve"> הא קיי</w:t>
      </w:r>
      <w:r w:rsidR="00773A41">
        <w:rPr>
          <w:rFonts w:cs="Arial" w:hint="cs"/>
          <w:rtl/>
        </w:rPr>
        <w:t>"</w:t>
      </w:r>
      <w:r w:rsidRPr="00863D97">
        <w:rPr>
          <w:rFonts w:cs="Arial"/>
          <w:rtl/>
        </w:rPr>
        <w:t>ל (גיטין מח:) אין מוציאין למזון האשה מנכסים משועבדים</w:t>
      </w:r>
      <w:r>
        <w:rPr>
          <w:rFonts w:cs="Arial" w:hint="cs"/>
          <w:rtl/>
        </w:rPr>
        <w:t>.</w:t>
      </w:r>
      <w:r w:rsidRPr="00863D97">
        <w:rPr>
          <w:rFonts w:cs="Arial"/>
          <w:rtl/>
        </w:rPr>
        <w:t xml:space="preserve"> ודע שכל שכן אם האלמנה תובעת כתובתה שהיא דוחה מזון הבת ופרנסתה</w:t>
      </w:r>
      <w:r>
        <w:rPr>
          <w:rFonts w:cs="Arial" w:hint="cs"/>
          <w:rtl/>
        </w:rPr>
        <w:t>,</w:t>
      </w:r>
      <w:r w:rsidRPr="00863D97">
        <w:rPr>
          <w:rFonts w:cs="Arial"/>
          <w:rtl/>
        </w:rPr>
        <w:t xml:space="preserve"> בין מקרקע כדין התלמוד</w:t>
      </w:r>
      <w:r>
        <w:rPr>
          <w:rFonts w:cs="Arial" w:hint="cs"/>
          <w:rtl/>
        </w:rPr>
        <w:t>,</w:t>
      </w:r>
      <w:r w:rsidRPr="00863D97">
        <w:rPr>
          <w:rFonts w:cs="Arial"/>
          <w:rtl/>
        </w:rPr>
        <w:t xml:space="preserve"> בין ממטלטלין מתקנת הגאונים ז"ל</w:t>
      </w:r>
      <w:r>
        <w:rPr>
          <w:rFonts w:cs="Arial" w:hint="cs"/>
          <w:rtl/>
        </w:rPr>
        <w:t>,</w:t>
      </w:r>
      <w:r w:rsidRPr="00863D97">
        <w:rPr>
          <w:rFonts w:cs="Arial"/>
          <w:rtl/>
        </w:rPr>
        <w:t xml:space="preserve"> שהרי כתובה טורפת מן המשועבדים ואפילו שעבדם האב</w:t>
      </w:r>
      <w:r>
        <w:rPr>
          <w:rFonts w:cs="Arial" w:hint="cs"/>
          <w:rtl/>
        </w:rPr>
        <w:t>,</w:t>
      </w:r>
      <w:r w:rsidRPr="00863D97">
        <w:rPr>
          <w:rFonts w:cs="Arial"/>
          <w:rtl/>
        </w:rPr>
        <w:t xml:space="preserve"> וכ</w:t>
      </w:r>
      <w:r w:rsidR="00773A41">
        <w:rPr>
          <w:rFonts w:cs="Arial" w:hint="cs"/>
          <w:rtl/>
        </w:rPr>
        <w:t>"</w:t>
      </w:r>
      <w:r w:rsidRPr="00863D97">
        <w:rPr>
          <w:rFonts w:cs="Arial"/>
          <w:rtl/>
        </w:rPr>
        <w:t>כ ז"ל ופשוט הוא עכ"ל</w:t>
      </w:r>
      <w:r>
        <w:rPr>
          <w:rFonts w:cs="Arial" w:hint="cs"/>
          <w:rtl/>
        </w:rPr>
        <w:t>, ב"י.</w:t>
      </w:r>
    </w:p>
  </w:footnote>
  <w:footnote w:id="2709">
    <w:p w14:paraId="5DF55123" w14:textId="39D43E66" w:rsidR="00392DBB" w:rsidRDefault="00392DBB" w:rsidP="00392DBB">
      <w:pPr>
        <w:pStyle w:val="a5"/>
      </w:pPr>
      <w:r>
        <w:rPr>
          <w:rStyle w:val="a7"/>
        </w:rPr>
        <w:footnoteRef/>
      </w:r>
      <w:r>
        <w:rPr>
          <w:rtl/>
        </w:rPr>
        <w:t xml:space="preserve"> </w:t>
      </w:r>
      <w:r w:rsidRPr="005B7A50">
        <w:rPr>
          <w:rFonts w:cs="Arial"/>
          <w:rtl/>
        </w:rPr>
        <w:t>כלומר אין נוטל</w:t>
      </w:r>
      <w:r>
        <w:rPr>
          <w:rFonts w:cs="Arial" w:hint="cs"/>
          <w:rtl/>
        </w:rPr>
        <w:t>ת</w:t>
      </w:r>
      <w:r w:rsidRPr="005B7A50">
        <w:rPr>
          <w:rFonts w:cs="Arial"/>
          <w:rtl/>
        </w:rPr>
        <w:t xml:space="preserve"> לעצמה שלא תזון האלמנה מאותן נכסים</w:t>
      </w:r>
      <w:r>
        <w:rPr>
          <w:rFonts w:cs="Arial" w:hint="cs"/>
          <w:rtl/>
        </w:rPr>
        <w:t>,</w:t>
      </w:r>
      <w:r w:rsidRPr="005B7A50">
        <w:rPr>
          <w:rFonts w:cs="Arial"/>
          <w:rtl/>
        </w:rPr>
        <w:t xml:space="preserve"> אלא אפילו הכניסה הרבה נכסים לבעלה</w:t>
      </w:r>
      <w:r>
        <w:rPr>
          <w:rFonts w:cs="Arial" w:hint="cs"/>
          <w:rtl/>
        </w:rPr>
        <w:t>,</w:t>
      </w:r>
      <w:r w:rsidRPr="005B7A50">
        <w:rPr>
          <w:rFonts w:cs="Arial"/>
          <w:rtl/>
        </w:rPr>
        <w:t xml:space="preserve"> אין הבעל כלוקח שנאמר אין מוציאין למזון האשה מנכסים משועבדים</w:t>
      </w:r>
      <w:r>
        <w:rPr>
          <w:rFonts w:cs="Arial" w:hint="cs"/>
          <w:rtl/>
        </w:rPr>
        <w:t>,</w:t>
      </w:r>
      <w:r w:rsidRPr="005B7A50">
        <w:rPr>
          <w:rFonts w:cs="Arial"/>
          <w:rtl/>
        </w:rPr>
        <w:t xml:space="preserve"> אלא כיורש שוויהו משום פסידא דאלמנה</w:t>
      </w:r>
      <w:r>
        <w:rPr>
          <w:rFonts w:cs="Arial" w:hint="cs"/>
          <w:rtl/>
        </w:rPr>
        <w:t>.</w:t>
      </w:r>
      <w:r w:rsidRPr="005B7A50">
        <w:rPr>
          <w:rFonts w:cs="Arial"/>
          <w:rtl/>
        </w:rPr>
        <w:t xml:space="preserve"> אבל לאחר שסילקו האלמנה ואין לה עוד מזונות</w:t>
      </w:r>
      <w:r>
        <w:rPr>
          <w:rFonts w:cs="Arial" w:hint="cs"/>
          <w:rtl/>
        </w:rPr>
        <w:t>,</w:t>
      </w:r>
      <w:r w:rsidRPr="005B7A50">
        <w:rPr>
          <w:rFonts w:cs="Arial"/>
          <w:rtl/>
        </w:rPr>
        <w:t xml:space="preserve"> אזי יורש הבעל את אשתו כל הנכסים שהכניס</w:t>
      </w:r>
      <w:r>
        <w:rPr>
          <w:rFonts w:cs="Arial" w:hint="cs"/>
          <w:rtl/>
        </w:rPr>
        <w:t>ה</w:t>
      </w:r>
      <w:r w:rsidRPr="005B7A50">
        <w:rPr>
          <w:rFonts w:cs="Arial"/>
          <w:rtl/>
        </w:rPr>
        <w:t xml:space="preserve"> לו</w:t>
      </w:r>
      <w:r>
        <w:rPr>
          <w:rFonts w:cs="Arial" w:hint="cs"/>
          <w:rtl/>
        </w:rPr>
        <w:t>.</w:t>
      </w:r>
      <w:r w:rsidRPr="005B7A50">
        <w:rPr>
          <w:rFonts w:cs="Arial"/>
          <w:rtl/>
        </w:rPr>
        <w:t xml:space="preserve"> ולאו דוקא שאין הבת נוטלת עישור נכסים והיינו במקום שיש בן</w:t>
      </w:r>
      <w:r>
        <w:rPr>
          <w:rFonts w:cs="Arial" w:hint="cs"/>
          <w:rtl/>
        </w:rPr>
        <w:t>,</w:t>
      </w:r>
      <w:r w:rsidRPr="005B7A50">
        <w:rPr>
          <w:rFonts w:cs="Arial"/>
          <w:rtl/>
        </w:rPr>
        <w:t xml:space="preserve"> אלא אפילו לא הניח בן שהבת יורש</w:t>
      </w:r>
      <w:r>
        <w:rPr>
          <w:rFonts w:cs="Arial" w:hint="cs"/>
          <w:rtl/>
        </w:rPr>
        <w:t>ת</w:t>
      </w:r>
      <w:r w:rsidRPr="005B7A50">
        <w:rPr>
          <w:rFonts w:cs="Arial"/>
          <w:rtl/>
        </w:rPr>
        <w:t xml:space="preserve"> הכל</w:t>
      </w:r>
      <w:r>
        <w:rPr>
          <w:rFonts w:cs="Arial" w:hint="cs"/>
          <w:rtl/>
        </w:rPr>
        <w:t>,</w:t>
      </w:r>
      <w:r w:rsidRPr="005B7A50">
        <w:rPr>
          <w:rFonts w:cs="Arial"/>
          <w:rtl/>
        </w:rPr>
        <w:t xml:space="preserve"> אפ"ה האלמנה קודמ</w:t>
      </w:r>
      <w:r>
        <w:rPr>
          <w:rFonts w:cs="Arial" w:hint="cs"/>
          <w:rtl/>
        </w:rPr>
        <w:t>ת</w:t>
      </w:r>
      <w:r w:rsidRPr="005B7A50">
        <w:rPr>
          <w:rFonts w:cs="Arial"/>
          <w:rtl/>
        </w:rPr>
        <w:t xml:space="preserve"> במזונותיה</w:t>
      </w:r>
      <w:r>
        <w:rPr>
          <w:rFonts w:cs="Arial" w:hint="cs"/>
          <w:rtl/>
        </w:rPr>
        <w:t>.</w:t>
      </w:r>
      <w:r w:rsidRPr="005B7A50">
        <w:rPr>
          <w:rFonts w:cs="Arial"/>
          <w:rtl/>
        </w:rPr>
        <w:t xml:space="preserve"> ואפילו לדעת הרא"ש שנתבאר </w:t>
      </w:r>
      <w:r w:rsidR="00722D8F">
        <w:rPr>
          <w:rFonts w:cs="Arial" w:hint="cs"/>
          <w:rtl/>
        </w:rPr>
        <w:t>(</w:t>
      </w:r>
      <w:r w:rsidRPr="005B7A50">
        <w:rPr>
          <w:rFonts w:cs="Arial"/>
          <w:rtl/>
        </w:rPr>
        <w:t>סי</w:t>
      </w:r>
      <w:r w:rsidR="00722D8F">
        <w:rPr>
          <w:rFonts w:cs="Arial" w:hint="cs"/>
          <w:rtl/>
        </w:rPr>
        <w:t>'</w:t>
      </w:r>
      <w:r w:rsidRPr="005B7A50">
        <w:rPr>
          <w:rFonts w:cs="Arial"/>
          <w:rtl/>
        </w:rPr>
        <w:t xml:space="preserve"> צג סע</w:t>
      </w:r>
      <w:r w:rsidR="00722D8F">
        <w:rPr>
          <w:rFonts w:cs="Arial" w:hint="cs"/>
          <w:rtl/>
        </w:rPr>
        <w:t>'</w:t>
      </w:r>
      <w:r w:rsidRPr="005B7A50">
        <w:rPr>
          <w:rFonts w:cs="Arial"/>
          <w:rtl/>
        </w:rPr>
        <w:t xml:space="preserve"> ד</w:t>
      </w:r>
      <w:r w:rsidR="00722D8F">
        <w:rPr>
          <w:rFonts w:cs="Arial" w:hint="cs"/>
          <w:rtl/>
        </w:rPr>
        <w:t>)</w:t>
      </w:r>
      <w:r w:rsidRPr="005B7A50">
        <w:rPr>
          <w:rFonts w:cs="Arial"/>
          <w:rtl/>
        </w:rPr>
        <w:t xml:space="preserve"> שכל שלא הניח בן אזי האלמנ' ובת שוים למזונו</w:t>
      </w:r>
      <w:r>
        <w:rPr>
          <w:rFonts w:cs="Arial" w:hint="cs"/>
          <w:rtl/>
        </w:rPr>
        <w:t>ת,</w:t>
      </w:r>
      <w:r w:rsidRPr="005B7A50">
        <w:rPr>
          <w:rFonts w:cs="Arial"/>
          <w:rtl/>
        </w:rPr>
        <w:t xml:space="preserve"> אבל מ"מ משנשאה הבת</w:t>
      </w:r>
      <w:r>
        <w:rPr>
          <w:rFonts w:cs="Arial" w:hint="cs"/>
          <w:rtl/>
        </w:rPr>
        <w:t>,</w:t>
      </w:r>
      <w:r w:rsidRPr="005B7A50">
        <w:rPr>
          <w:rFonts w:cs="Arial"/>
          <w:rtl/>
        </w:rPr>
        <w:t xml:space="preserve"> שאבדה מזונותיה</w:t>
      </w:r>
      <w:r>
        <w:rPr>
          <w:rFonts w:cs="Arial" w:hint="cs"/>
          <w:rtl/>
        </w:rPr>
        <w:t>,</w:t>
      </w:r>
      <w:r w:rsidRPr="005B7A50">
        <w:rPr>
          <w:rFonts w:cs="Arial"/>
          <w:rtl/>
        </w:rPr>
        <w:t xml:space="preserve"> האלמנה מתפרנסת מן הנדן שהכניסה לבעלה</w:t>
      </w:r>
      <w:r>
        <w:rPr>
          <w:rFonts w:cs="Arial" w:hint="cs"/>
          <w:rtl/>
        </w:rPr>
        <w:t>,</w:t>
      </w:r>
      <w:r w:rsidRPr="005B7A50">
        <w:rPr>
          <w:rFonts w:cs="Arial"/>
          <w:rtl/>
        </w:rPr>
        <w:t xml:space="preserve"> שאע"פ שהיא כב"ח אפ"ה מזונו</w:t>
      </w:r>
      <w:r>
        <w:rPr>
          <w:rFonts w:cs="Arial" w:hint="cs"/>
          <w:rtl/>
        </w:rPr>
        <w:t>ת</w:t>
      </w:r>
      <w:r w:rsidRPr="005B7A50">
        <w:rPr>
          <w:rFonts w:cs="Arial"/>
          <w:rtl/>
        </w:rPr>
        <w:t xml:space="preserve"> האלמנה שהיא תנאי כתובה ומוטל תנאי זה על האב ואין בידו לבטלו היא עדיף מפרנס</w:t>
      </w:r>
      <w:r>
        <w:rPr>
          <w:rFonts w:cs="Arial" w:hint="cs"/>
          <w:rtl/>
        </w:rPr>
        <w:t>ת</w:t>
      </w:r>
      <w:r w:rsidRPr="005B7A50">
        <w:rPr>
          <w:rFonts w:cs="Arial"/>
          <w:rtl/>
        </w:rPr>
        <w:t xml:space="preserve"> הבנו</w:t>
      </w:r>
      <w:r>
        <w:rPr>
          <w:rFonts w:cs="Arial" w:hint="cs"/>
          <w:rtl/>
        </w:rPr>
        <w:t>ת</w:t>
      </w:r>
      <w:r w:rsidRPr="005B7A50">
        <w:rPr>
          <w:rFonts w:cs="Arial"/>
          <w:rtl/>
        </w:rPr>
        <w:t xml:space="preserve"> שהוא רק חוב על האחים</w:t>
      </w:r>
      <w:r>
        <w:rPr>
          <w:rFonts w:cs="Arial" w:hint="cs"/>
          <w:rtl/>
        </w:rPr>
        <w:t>.</w:t>
      </w:r>
      <w:r w:rsidRPr="005B7A50">
        <w:rPr>
          <w:rFonts w:cs="Arial"/>
          <w:rtl/>
        </w:rPr>
        <w:t xml:space="preserve"> ומטעם זה נראה שאם הניח בן ובנות</w:t>
      </w:r>
      <w:r>
        <w:rPr>
          <w:rFonts w:cs="Arial" w:hint="cs"/>
          <w:rtl/>
        </w:rPr>
        <w:t>,</w:t>
      </w:r>
      <w:r w:rsidRPr="005B7A50">
        <w:rPr>
          <w:rFonts w:cs="Arial"/>
          <w:rtl/>
        </w:rPr>
        <w:t xml:space="preserve"> והגדול</w:t>
      </w:r>
      <w:r>
        <w:rPr>
          <w:rFonts w:cs="Arial" w:hint="cs"/>
          <w:rtl/>
        </w:rPr>
        <w:t>ה</w:t>
      </w:r>
      <w:r w:rsidRPr="005B7A50">
        <w:rPr>
          <w:rFonts w:cs="Arial"/>
          <w:rtl/>
        </w:rPr>
        <w:t xml:space="preserve"> רוצה להנשא וליקח עישור</w:t>
      </w:r>
      <w:r>
        <w:rPr>
          <w:rFonts w:cs="Arial" w:hint="cs"/>
          <w:rtl/>
        </w:rPr>
        <w:t>,</w:t>
      </w:r>
      <w:r w:rsidRPr="005B7A50">
        <w:rPr>
          <w:rFonts w:cs="Arial"/>
          <w:rtl/>
        </w:rPr>
        <w:t xml:space="preserve"> הקטנ</w:t>
      </w:r>
      <w:r>
        <w:rPr>
          <w:rFonts w:cs="Arial" w:hint="cs"/>
          <w:rtl/>
        </w:rPr>
        <w:t>ה</w:t>
      </w:r>
      <w:r w:rsidRPr="005B7A50">
        <w:rPr>
          <w:rFonts w:cs="Arial"/>
          <w:rtl/>
        </w:rPr>
        <w:t xml:space="preserve"> מעכבת שלא תקח פרנסה עד שיהיה לה מזונו</w:t>
      </w:r>
      <w:r>
        <w:rPr>
          <w:rFonts w:cs="Arial" w:hint="cs"/>
          <w:rtl/>
        </w:rPr>
        <w:t>ת</w:t>
      </w:r>
      <w:r w:rsidRPr="005B7A50">
        <w:rPr>
          <w:rFonts w:cs="Arial"/>
          <w:rtl/>
        </w:rPr>
        <w:t xml:space="preserve"> עד שתבגר או עד שתתאר</w:t>
      </w:r>
      <w:r>
        <w:rPr>
          <w:rFonts w:cs="Arial" w:hint="cs"/>
          <w:rtl/>
        </w:rPr>
        <w:t>ס.</w:t>
      </w:r>
      <w:r w:rsidRPr="005B7A50">
        <w:rPr>
          <w:rFonts w:cs="Arial"/>
          <w:rtl/>
        </w:rPr>
        <w:t xml:space="preserve"> כי מזונו</w:t>
      </w:r>
      <w:r>
        <w:rPr>
          <w:rFonts w:cs="Arial" w:hint="cs"/>
          <w:rtl/>
        </w:rPr>
        <w:t>ת</w:t>
      </w:r>
      <w:r w:rsidRPr="005B7A50">
        <w:rPr>
          <w:rFonts w:cs="Arial"/>
          <w:rtl/>
        </w:rPr>
        <w:t xml:space="preserve"> הבת קודם לפרנס</w:t>
      </w:r>
      <w:r>
        <w:rPr>
          <w:rFonts w:cs="Arial" w:hint="cs"/>
          <w:rtl/>
        </w:rPr>
        <w:t>ת</w:t>
      </w:r>
      <w:r w:rsidRPr="005B7A50">
        <w:rPr>
          <w:rFonts w:cs="Arial"/>
          <w:rtl/>
        </w:rPr>
        <w:t xml:space="preserve"> הבת מטעם שכתבתי</w:t>
      </w:r>
      <w:r>
        <w:rPr>
          <w:rFonts w:cs="Arial" w:hint="cs"/>
          <w:rtl/>
        </w:rPr>
        <w:t xml:space="preserve">. </w:t>
      </w:r>
      <w:r w:rsidRPr="005B7A50">
        <w:rPr>
          <w:rFonts w:cs="Arial"/>
          <w:rtl/>
        </w:rPr>
        <w:t>ויש להסתפק אם מכר הבן הנכסים</w:t>
      </w:r>
      <w:r>
        <w:rPr>
          <w:rFonts w:cs="Arial" w:hint="cs"/>
          <w:rtl/>
        </w:rPr>
        <w:t>,</w:t>
      </w:r>
      <w:r w:rsidRPr="005B7A50">
        <w:rPr>
          <w:rFonts w:cs="Arial"/>
          <w:rtl/>
        </w:rPr>
        <w:t xml:space="preserve"> שאז האלמנה אינה מוציאה למזון שלה מן המשועבדים</w:t>
      </w:r>
      <w:r>
        <w:rPr>
          <w:rFonts w:cs="Arial" w:hint="cs"/>
          <w:rtl/>
        </w:rPr>
        <w:t>,</w:t>
      </w:r>
      <w:r w:rsidRPr="005B7A50">
        <w:rPr>
          <w:rFonts w:cs="Arial"/>
          <w:rtl/>
        </w:rPr>
        <w:t xml:space="preserve"> אם נאמר שהבת מוציאה לפרנסה מן הלוקח והאלמנה מן הבת והלוקח מן האלמנה וחוזרים חלילה</w:t>
      </w:r>
      <w:r>
        <w:rPr>
          <w:rFonts w:cs="Arial" w:hint="cs"/>
          <w:rtl/>
        </w:rPr>
        <w:t>, ח"מ (סקי"ז).</w:t>
      </w:r>
      <w:r>
        <w:rPr>
          <w:rFonts w:hint="cs"/>
          <w:rtl/>
        </w:rPr>
        <w:t xml:space="preserve"> </w:t>
      </w:r>
      <w:r w:rsidR="004A3963">
        <w:rPr>
          <w:rFonts w:hint="cs"/>
          <w:rtl/>
        </w:rPr>
        <w:t xml:space="preserve">    </w:t>
      </w:r>
      <w:r w:rsidRPr="004A3963">
        <w:rPr>
          <w:rFonts w:hint="cs"/>
          <w:rtl/>
        </w:rPr>
        <w:t>צל"ע שוב בב"ש (סקט"ז) ובפת"ש (סקי"ב).</w:t>
      </w:r>
    </w:p>
  </w:footnote>
  <w:footnote w:id="2710">
    <w:p w14:paraId="2736966A" w14:textId="34D517F3" w:rsidR="00392DBB" w:rsidRDefault="00392DBB" w:rsidP="00392DBB">
      <w:pPr>
        <w:pStyle w:val="a5"/>
      </w:pPr>
      <w:r>
        <w:rPr>
          <w:rStyle w:val="a7"/>
        </w:rPr>
        <w:footnoteRef/>
      </w:r>
      <w:r>
        <w:rPr>
          <w:rtl/>
        </w:rPr>
        <w:t xml:space="preserve"> </w:t>
      </w:r>
      <w:r w:rsidRPr="005B7A50">
        <w:rPr>
          <w:rFonts w:cs="Arial"/>
          <w:rtl/>
        </w:rPr>
        <w:t>אע</w:t>
      </w:r>
      <w:r>
        <w:rPr>
          <w:rFonts w:cs="Arial" w:hint="cs"/>
          <w:rtl/>
        </w:rPr>
        <w:t>"</w:t>
      </w:r>
      <w:r w:rsidRPr="005B7A50">
        <w:rPr>
          <w:rFonts w:cs="Arial"/>
          <w:rtl/>
        </w:rPr>
        <w:t>ג דכב"ד הוא תנאי כתובה וחוב על האב אפ"ה פרנסת בנות קודמת שאם הבנים מחוייבים ליתן פרנסה מירושה דאו' שלהן מכ"ש מכב"ד שהוא מדרבנן</w:t>
      </w:r>
      <w:r>
        <w:rPr>
          <w:rFonts w:cs="Arial" w:hint="cs"/>
          <w:rtl/>
        </w:rPr>
        <w:t>, ח"מ (סקי"ח).</w:t>
      </w:r>
    </w:p>
  </w:footnote>
  <w:footnote w:id="2711">
    <w:p w14:paraId="76E2261B" w14:textId="77777777" w:rsidR="00827192" w:rsidRDefault="00827192" w:rsidP="00827192">
      <w:pPr>
        <w:pStyle w:val="a5"/>
      </w:pPr>
      <w:r>
        <w:rPr>
          <w:rStyle w:val="a7"/>
        </w:rPr>
        <w:footnoteRef/>
      </w:r>
      <w:r>
        <w:rPr>
          <w:rtl/>
        </w:rPr>
        <w:t xml:space="preserve"> </w:t>
      </w:r>
      <w:r>
        <w:rPr>
          <w:rFonts w:hint="cs"/>
          <w:rtl/>
        </w:rPr>
        <w:t>סימן - סכום חתונה.</w:t>
      </w:r>
    </w:p>
  </w:footnote>
  <w:footnote w:id="2712">
    <w:p w14:paraId="74352D28" w14:textId="77777777" w:rsidR="00392DBB" w:rsidRDefault="00392DBB" w:rsidP="00392DBB">
      <w:pPr>
        <w:pStyle w:val="a5"/>
      </w:pPr>
      <w:r>
        <w:rPr>
          <w:rStyle w:val="a7"/>
        </w:rPr>
        <w:footnoteRef/>
      </w:r>
      <w:r>
        <w:rPr>
          <w:rtl/>
        </w:rPr>
        <w:t xml:space="preserve"> </w:t>
      </w:r>
      <w:r w:rsidRPr="00AB7135">
        <w:rPr>
          <w:rFonts w:cs="Arial"/>
          <w:rtl/>
        </w:rPr>
        <w:t>רבותא קמ"ל דאע"פ שנתרצית אין מחילתה מחילה</w:t>
      </w:r>
      <w:r>
        <w:rPr>
          <w:rFonts w:cs="Arial" w:hint="cs"/>
          <w:rtl/>
        </w:rPr>
        <w:t>, רש"י.</w:t>
      </w:r>
    </w:p>
  </w:footnote>
  <w:footnote w:id="2713">
    <w:p w14:paraId="371250C4" w14:textId="3C7D6412" w:rsidR="00392DBB" w:rsidRDefault="00392DBB" w:rsidP="00392DBB">
      <w:pPr>
        <w:pStyle w:val="a5"/>
      </w:pPr>
      <w:r>
        <w:rPr>
          <w:rStyle w:val="a7"/>
        </w:rPr>
        <w:footnoteRef/>
      </w:r>
      <w:r>
        <w:rPr>
          <w:rtl/>
        </w:rPr>
        <w:t xml:space="preserve"> </w:t>
      </w:r>
      <w:r w:rsidRPr="00AB7135">
        <w:rPr>
          <w:rFonts w:cs="Arial"/>
          <w:rtl/>
        </w:rPr>
        <w:t>עישור נכסים</w:t>
      </w:r>
      <w:r>
        <w:rPr>
          <w:rFonts w:cs="Arial" w:hint="cs"/>
          <w:rtl/>
        </w:rPr>
        <w:t xml:space="preserve">, </w:t>
      </w:r>
      <w:r w:rsidRPr="00722D8F">
        <w:rPr>
          <w:rFonts w:cs="Arial" w:hint="cs"/>
          <w:b/>
          <w:bCs/>
          <w:rtl/>
        </w:rPr>
        <w:t>רש"י</w:t>
      </w:r>
      <w:r>
        <w:rPr>
          <w:rFonts w:cs="Arial" w:hint="cs"/>
          <w:rtl/>
        </w:rPr>
        <w:t>.</w:t>
      </w:r>
      <w:r w:rsidRPr="00B5245E">
        <w:rPr>
          <w:rFonts w:cs="Arial"/>
          <w:rtl/>
        </w:rPr>
        <w:t xml:space="preserve"> </w:t>
      </w:r>
      <w:r>
        <w:rPr>
          <w:rFonts w:cs="Arial" w:hint="cs"/>
          <w:rtl/>
        </w:rPr>
        <w:t>ו</w:t>
      </w:r>
      <w:r>
        <w:rPr>
          <w:rFonts w:cs="Arial"/>
          <w:rtl/>
        </w:rPr>
        <w:t>בכל גוונא היא</w:t>
      </w:r>
      <w:r>
        <w:rPr>
          <w:rFonts w:cs="Arial" w:hint="cs"/>
          <w:sz w:val="16"/>
          <w:szCs w:val="16"/>
          <w:rtl/>
        </w:rPr>
        <w:t xml:space="preserve"> {יכולה להוציא}</w:t>
      </w:r>
      <w:r>
        <w:rPr>
          <w:rFonts w:cs="Arial" w:hint="cs"/>
          <w:rtl/>
        </w:rPr>
        <w:t>,</w:t>
      </w:r>
      <w:r>
        <w:rPr>
          <w:rFonts w:cs="Arial"/>
          <w:rtl/>
        </w:rPr>
        <w:t xml:space="preserve"> ואפילו לא מחאי</w:t>
      </w:r>
      <w:r>
        <w:rPr>
          <w:rFonts w:cs="Arial" w:hint="cs"/>
          <w:rtl/>
        </w:rPr>
        <w:t>,</w:t>
      </w:r>
      <w:r>
        <w:rPr>
          <w:rFonts w:cs="Arial"/>
          <w:rtl/>
        </w:rPr>
        <w:t xml:space="preserve"> משום דקטנה לאו בת מחאה היא</w:t>
      </w:r>
      <w:r>
        <w:rPr>
          <w:rFonts w:cs="Arial" w:hint="cs"/>
          <w:rtl/>
        </w:rPr>
        <w:t>,</w:t>
      </w:r>
      <w:r w:rsidRPr="00B5245E">
        <w:rPr>
          <w:rFonts w:cs="Arial"/>
          <w:rtl/>
        </w:rPr>
        <w:t xml:space="preserve"> </w:t>
      </w:r>
      <w:r>
        <w:rPr>
          <w:rFonts w:cs="Arial"/>
          <w:rtl/>
        </w:rPr>
        <w:t>וכמ"ש הרמב"ם בפ"</w:t>
      </w:r>
      <w:r>
        <w:rPr>
          <w:rFonts w:cs="Arial" w:hint="cs"/>
          <w:rtl/>
        </w:rPr>
        <w:t xml:space="preserve">כ, </w:t>
      </w:r>
      <w:r w:rsidRPr="00722D8F">
        <w:rPr>
          <w:rFonts w:cs="Arial" w:hint="cs"/>
          <w:b/>
          <w:bCs/>
          <w:rtl/>
        </w:rPr>
        <w:t>ב"י</w:t>
      </w:r>
      <w:r>
        <w:rPr>
          <w:rFonts w:cs="Arial" w:hint="cs"/>
          <w:rtl/>
        </w:rPr>
        <w:t>.</w:t>
      </w:r>
    </w:p>
  </w:footnote>
  <w:footnote w:id="2714">
    <w:p w14:paraId="54B14525" w14:textId="77777777" w:rsidR="00392DBB" w:rsidRDefault="00392DBB" w:rsidP="00392DBB">
      <w:pPr>
        <w:pStyle w:val="a5"/>
      </w:pPr>
      <w:r>
        <w:rPr>
          <w:rStyle w:val="a7"/>
        </w:rPr>
        <w:footnoteRef/>
      </w:r>
      <w:r>
        <w:rPr>
          <w:rtl/>
        </w:rPr>
        <w:t xml:space="preserve"> </w:t>
      </w:r>
      <w:r w:rsidRPr="00AB7135">
        <w:rPr>
          <w:rFonts w:cs="Arial"/>
          <w:rtl/>
        </w:rPr>
        <w:t>שכך כתב להן או עד דתבגרן או עד דתלקחון לגוברין</w:t>
      </w:r>
      <w:r>
        <w:rPr>
          <w:rFonts w:cs="Arial" w:hint="cs"/>
          <w:rtl/>
        </w:rPr>
        <w:t>, רש"י.</w:t>
      </w:r>
    </w:p>
  </w:footnote>
  <w:footnote w:id="2715">
    <w:p w14:paraId="2FB68365" w14:textId="77777777" w:rsidR="00392DBB" w:rsidRDefault="00392DBB" w:rsidP="00392DBB">
      <w:pPr>
        <w:pStyle w:val="a5"/>
      </w:pPr>
      <w:r>
        <w:rPr>
          <w:rStyle w:val="a7"/>
        </w:rPr>
        <w:footnoteRef/>
      </w:r>
      <w:r>
        <w:rPr>
          <w:rtl/>
        </w:rPr>
        <w:t xml:space="preserve"> </w:t>
      </w:r>
      <w:r w:rsidRPr="00AB7135">
        <w:rPr>
          <w:rFonts w:cs="Arial"/>
          <w:rtl/>
        </w:rPr>
        <w:t>עישור נכסים דקסבר לא תקון לה נדוניא אלא היכא דמינסבא בקטנות או בנערות אבל בגרה איסתלקא לה מההיא ביתא לגמרי וכן נשאת בנערות הואיל וגדולה היא ונתרצית איבדה פרנסתה אלא מה שפסקו אבל בניסת בקטנות לא פליג</w:t>
      </w:r>
      <w:r>
        <w:rPr>
          <w:rFonts w:cs="Arial" w:hint="cs"/>
          <w:rtl/>
        </w:rPr>
        <w:t>, רש"י.</w:t>
      </w:r>
    </w:p>
  </w:footnote>
  <w:footnote w:id="2716">
    <w:p w14:paraId="07DB8333" w14:textId="77777777" w:rsidR="00392DBB" w:rsidRDefault="00392DBB" w:rsidP="00392DBB">
      <w:pPr>
        <w:pStyle w:val="a5"/>
      </w:pPr>
      <w:r>
        <w:rPr>
          <w:rStyle w:val="a7"/>
        </w:rPr>
        <w:footnoteRef/>
      </w:r>
      <w:r>
        <w:rPr>
          <w:rtl/>
        </w:rPr>
        <w:t xml:space="preserve"> </w:t>
      </w:r>
      <w:r w:rsidRPr="00AB7135">
        <w:rPr>
          <w:rFonts w:cs="Arial"/>
          <w:rtl/>
        </w:rPr>
        <w:t>שישאו אותן עד שלא יבגרו ומוציאים להם פרנסתם</w:t>
      </w:r>
      <w:r>
        <w:rPr>
          <w:rFonts w:cs="Arial" w:hint="cs"/>
          <w:rtl/>
        </w:rPr>
        <w:t>, רש"י.</w:t>
      </w:r>
    </w:p>
  </w:footnote>
  <w:footnote w:id="2717">
    <w:p w14:paraId="0B44F646" w14:textId="77777777" w:rsidR="00392DBB" w:rsidRDefault="00392DBB" w:rsidP="00392DBB">
      <w:pPr>
        <w:pStyle w:val="a5"/>
      </w:pPr>
      <w:r>
        <w:rPr>
          <w:rStyle w:val="a7"/>
        </w:rPr>
        <w:footnoteRef/>
      </w:r>
      <w:r>
        <w:rPr>
          <w:rtl/>
        </w:rPr>
        <w:t xml:space="preserve"> </w:t>
      </w:r>
      <w:r w:rsidRPr="004326CA">
        <w:rPr>
          <w:rFonts w:cs="Arial"/>
          <w:rtl/>
        </w:rPr>
        <w:t>כגון נערה</w:t>
      </w:r>
      <w:r>
        <w:rPr>
          <w:rFonts w:cs="Arial" w:hint="cs"/>
          <w:rtl/>
        </w:rPr>
        <w:t>, רש"י.</w:t>
      </w:r>
    </w:p>
  </w:footnote>
  <w:footnote w:id="2718">
    <w:p w14:paraId="6FA89E7D" w14:textId="77777777" w:rsidR="00392DBB" w:rsidRDefault="00392DBB" w:rsidP="00392DBB">
      <w:pPr>
        <w:pStyle w:val="a5"/>
        <w:rPr>
          <w:rtl/>
        </w:rPr>
      </w:pPr>
      <w:r>
        <w:rPr>
          <w:rStyle w:val="a7"/>
        </w:rPr>
        <w:footnoteRef/>
      </w:r>
      <w:r>
        <w:rPr>
          <w:rtl/>
        </w:rPr>
        <w:t xml:space="preserve"> </w:t>
      </w:r>
      <w:r w:rsidRPr="004326CA">
        <w:rPr>
          <w:rFonts w:cs="Arial"/>
          <w:rtl/>
        </w:rPr>
        <w:t>הא דאמר רבי לא איבדו וא"ר הונא הלכתא כוותיה בשמיחתה על מותר עישור נכסיה והא דקתני מתניתין גדולה ויתרה בשלא מיחתה</w:t>
      </w:r>
      <w:r>
        <w:rPr>
          <w:rFonts w:hint="cs"/>
          <w:rtl/>
        </w:rPr>
        <w:t>, רש"י.</w:t>
      </w:r>
    </w:p>
  </w:footnote>
  <w:footnote w:id="2719">
    <w:p w14:paraId="32D5110E" w14:textId="77777777" w:rsidR="00392DBB" w:rsidRDefault="00392DBB" w:rsidP="00392DBB">
      <w:pPr>
        <w:pStyle w:val="a5"/>
      </w:pPr>
      <w:r>
        <w:rPr>
          <w:rStyle w:val="a7"/>
        </w:rPr>
        <w:footnoteRef/>
      </w:r>
      <w:r>
        <w:rPr>
          <w:rtl/>
        </w:rPr>
        <w:t xml:space="preserve"> </w:t>
      </w:r>
      <w:r w:rsidRPr="004326CA">
        <w:rPr>
          <w:rFonts w:cs="Arial"/>
          <w:rtl/>
        </w:rPr>
        <w:t>אם באה לינשא בעודה ניזונית דהיינו בקטנות או בנערות</w:t>
      </w:r>
      <w:r>
        <w:rPr>
          <w:rFonts w:cs="Arial" w:hint="cs"/>
          <w:rtl/>
        </w:rPr>
        <w:t>, רש"י.</w:t>
      </w:r>
    </w:p>
  </w:footnote>
  <w:footnote w:id="2720">
    <w:p w14:paraId="32FC1270" w14:textId="77777777" w:rsidR="00392DBB" w:rsidRDefault="00392DBB" w:rsidP="00392DBB">
      <w:pPr>
        <w:pStyle w:val="a5"/>
      </w:pPr>
      <w:r>
        <w:rPr>
          <w:rStyle w:val="a7"/>
        </w:rPr>
        <w:footnoteRef/>
      </w:r>
      <w:r>
        <w:rPr>
          <w:rtl/>
        </w:rPr>
        <w:t xml:space="preserve"> </w:t>
      </w:r>
      <w:r w:rsidRPr="004326CA">
        <w:rPr>
          <w:rFonts w:cs="Arial"/>
          <w:rtl/>
        </w:rPr>
        <w:t>שאפילו לא מיחתה לא איבדה עישור נכסיה</w:t>
      </w:r>
      <w:r>
        <w:rPr>
          <w:rFonts w:cs="Arial" w:hint="cs"/>
          <w:rtl/>
        </w:rPr>
        <w:t>, רש"י.</w:t>
      </w:r>
    </w:p>
  </w:footnote>
  <w:footnote w:id="2721">
    <w:p w14:paraId="0B5C300D" w14:textId="77777777" w:rsidR="00392DBB" w:rsidRDefault="00392DBB" w:rsidP="00392DBB">
      <w:pPr>
        <w:pStyle w:val="a5"/>
      </w:pPr>
      <w:r>
        <w:rPr>
          <w:rStyle w:val="a7"/>
        </w:rPr>
        <w:footnoteRef/>
      </w:r>
      <w:r>
        <w:rPr>
          <w:rtl/>
        </w:rPr>
        <w:t xml:space="preserve"> </w:t>
      </w:r>
      <w:r w:rsidRPr="00AF24B4">
        <w:rPr>
          <w:rFonts w:cs="Arial"/>
          <w:rtl/>
        </w:rPr>
        <w:t>דהא דתני גדולה ויתרה בדלא מחאי אלמא ניסת בנערות ולא מיחתה אף על פי שאינה בוגרת ויתרה ואת אמרת ניסת אינה צריכה למחות ואפי' נערה</w:t>
      </w:r>
      <w:r>
        <w:rPr>
          <w:rFonts w:cs="Arial" w:hint="cs"/>
          <w:rtl/>
        </w:rPr>
        <w:t>, רש"י.</w:t>
      </w:r>
    </w:p>
  </w:footnote>
  <w:footnote w:id="2722">
    <w:p w14:paraId="6AAC22A2" w14:textId="77777777" w:rsidR="00392DBB" w:rsidRDefault="00392DBB" w:rsidP="00392DBB">
      <w:pPr>
        <w:pStyle w:val="a5"/>
      </w:pPr>
      <w:r>
        <w:rPr>
          <w:rStyle w:val="a7"/>
        </w:rPr>
        <w:footnoteRef/>
      </w:r>
      <w:r>
        <w:rPr>
          <w:rtl/>
        </w:rPr>
        <w:t xml:space="preserve"> </w:t>
      </w:r>
      <w:r w:rsidRPr="004326CA">
        <w:rPr>
          <w:rFonts w:cs="Arial"/>
          <w:rtl/>
        </w:rPr>
        <w:t>דאמר רבא ניסת בנערות אינה צריכה למחות כגון דקא מיתזנא מינייהו לאחר שניסת דמשום דקא מיתזנא מינייהו הוא דקא שתקה ולא מחלה על פרנסתה והא דקתני הא גדולה ויתרה דלא קא מתזנא</w:t>
      </w:r>
      <w:r>
        <w:rPr>
          <w:rFonts w:cs="Arial" w:hint="cs"/>
          <w:rtl/>
        </w:rPr>
        <w:t>, רש"י.</w:t>
      </w:r>
    </w:p>
  </w:footnote>
  <w:footnote w:id="2723">
    <w:p w14:paraId="68B99EBB" w14:textId="6D6E21EE" w:rsidR="00392DBB" w:rsidRDefault="00392DBB" w:rsidP="00392DBB">
      <w:pPr>
        <w:pStyle w:val="a5"/>
      </w:pPr>
      <w:r>
        <w:rPr>
          <w:rStyle w:val="a7"/>
        </w:rPr>
        <w:footnoteRef/>
      </w:r>
      <w:r>
        <w:rPr>
          <w:rtl/>
        </w:rPr>
        <w:t xml:space="preserve"> </w:t>
      </w:r>
      <w:r w:rsidRPr="0037651E">
        <w:rPr>
          <w:rFonts w:cs="Arial" w:hint="cs"/>
          <w:rtl/>
        </w:rPr>
        <w:t xml:space="preserve">זו לשון </w:t>
      </w:r>
      <w:r w:rsidRPr="0037651E">
        <w:rPr>
          <w:rFonts w:cs="Arial"/>
          <w:rtl/>
        </w:rPr>
        <w:t>הרי"ף (ל:) והרא"ש (סי' יג)</w:t>
      </w:r>
      <w:r w:rsidRPr="0037651E">
        <w:rPr>
          <w:rFonts w:cs="Arial" w:hint="cs"/>
          <w:rtl/>
        </w:rPr>
        <w:t>-</w:t>
      </w:r>
      <w:r w:rsidRPr="0037651E">
        <w:rPr>
          <w:rFonts w:cs="Arial"/>
          <w:rtl/>
        </w:rPr>
        <w:t xml:space="preserve"> שמעינן השתא מכל הני שמעתתא דהיכא דבגרו או אינסיבן</w:t>
      </w:r>
      <w:r w:rsidRPr="0037651E">
        <w:rPr>
          <w:rFonts w:cs="Arial" w:hint="cs"/>
          <w:rtl/>
        </w:rPr>
        <w:t>,</w:t>
      </w:r>
      <w:r w:rsidRPr="0037651E">
        <w:rPr>
          <w:rFonts w:cs="Arial"/>
          <w:rtl/>
        </w:rPr>
        <w:t xml:space="preserve"> אי מיתזנן מינייהו </w:t>
      </w:r>
      <w:r w:rsidRPr="0037651E">
        <w:rPr>
          <w:rFonts w:cs="Arial" w:hint="cs"/>
          <w:rtl/>
        </w:rPr>
        <w:t xml:space="preserve">- </w:t>
      </w:r>
      <w:r w:rsidRPr="0037651E">
        <w:rPr>
          <w:rFonts w:cs="Arial"/>
          <w:rtl/>
        </w:rPr>
        <w:t>אית להו פרנסה אע</w:t>
      </w:r>
      <w:r w:rsidRPr="0037651E">
        <w:rPr>
          <w:rFonts w:cs="Arial" w:hint="cs"/>
          <w:rtl/>
        </w:rPr>
        <w:t>"</w:t>
      </w:r>
      <w:r w:rsidRPr="0037651E">
        <w:rPr>
          <w:rFonts w:cs="Arial"/>
          <w:rtl/>
        </w:rPr>
        <w:t>ג דלא מחאי</w:t>
      </w:r>
      <w:r w:rsidRPr="0037651E">
        <w:rPr>
          <w:rFonts w:cs="Arial" w:hint="cs"/>
          <w:rtl/>
        </w:rPr>
        <w:t>.</w:t>
      </w:r>
      <w:r w:rsidRPr="0037651E">
        <w:rPr>
          <w:rFonts w:cs="Arial"/>
          <w:rtl/>
        </w:rPr>
        <w:t xml:space="preserve"> ואי לא מיתזנן מינייהו </w:t>
      </w:r>
      <w:r w:rsidRPr="0037651E">
        <w:rPr>
          <w:rFonts w:cs="Arial" w:hint="cs"/>
          <w:rtl/>
        </w:rPr>
        <w:t xml:space="preserve">- </w:t>
      </w:r>
      <w:r w:rsidRPr="0037651E">
        <w:rPr>
          <w:rFonts w:cs="Arial"/>
          <w:rtl/>
        </w:rPr>
        <w:t>צריכי למחויי</w:t>
      </w:r>
      <w:r w:rsidRPr="0037651E">
        <w:rPr>
          <w:rFonts w:cs="Arial" w:hint="cs"/>
          <w:rtl/>
        </w:rPr>
        <w:t>,</w:t>
      </w:r>
      <w:r w:rsidRPr="0037651E">
        <w:rPr>
          <w:rFonts w:cs="Arial"/>
          <w:rtl/>
        </w:rPr>
        <w:t xml:space="preserve"> ואי לא מחו לית להו פרנסה</w:t>
      </w:r>
      <w:r w:rsidRPr="0037651E">
        <w:rPr>
          <w:rFonts w:cs="Arial" w:hint="cs"/>
          <w:rtl/>
        </w:rPr>
        <w:t>.</w:t>
      </w:r>
      <w:r w:rsidRPr="0037651E">
        <w:rPr>
          <w:rFonts w:cs="Arial"/>
          <w:rtl/>
        </w:rPr>
        <w:t xml:space="preserve"> ואי לא בגרן ולא אינסיבן </w:t>
      </w:r>
      <w:r w:rsidRPr="0037651E">
        <w:rPr>
          <w:rFonts w:cs="Arial" w:hint="cs"/>
          <w:rtl/>
        </w:rPr>
        <w:t xml:space="preserve">- </w:t>
      </w:r>
      <w:r w:rsidRPr="0037651E">
        <w:rPr>
          <w:rFonts w:cs="Arial"/>
          <w:rtl/>
        </w:rPr>
        <w:t>א</w:t>
      </w:r>
      <w:r w:rsidRPr="0037651E">
        <w:rPr>
          <w:rFonts w:cs="Arial" w:hint="cs"/>
          <w:rtl/>
        </w:rPr>
        <w:t>ע"</w:t>
      </w:r>
      <w:r w:rsidRPr="0037651E">
        <w:rPr>
          <w:rFonts w:cs="Arial"/>
          <w:rtl/>
        </w:rPr>
        <w:t>ג דלא מיתזנן מינייהו אית להו פרנסה ולא צריכי למחויי</w:t>
      </w:r>
      <w:r w:rsidRPr="0037651E">
        <w:rPr>
          <w:rFonts w:cs="Arial" w:hint="cs"/>
          <w:rtl/>
        </w:rPr>
        <w:t>.</w:t>
      </w:r>
      <w:r w:rsidRPr="0037651E">
        <w:rPr>
          <w:rFonts w:cs="Arial"/>
          <w:rtl/>
        </w:rPr>
        <w:t xml:space="preserve"> ואי בגרן ואינסיבן אע</w:t>
      </w:r>
      <w:r w:rsidRPr="0037651E">
        <w:rPr>
          <w:rFonts w:cs="Arial" w:hint="cs"/>
          <w:rtl/>
        </w:rPr>
        <w:t>"</w:t>
      </w:r>
      <w:r w:rsidRPr="0037651E">
        <w:rPr>
          <w:rFonts w:cs="Arial"/>
          <w:rtl/>
        </w:rPr>
        <w:t xml:space="preserve">ג דמיתזנן מינייהו </w:t>
      </w:r>
      <w:r w:rsidRPr="0037651E">
        <w:rPr>
          <w:rFonts w:cs="Arial" w:hint="cs"/>
          <w:rtl/>
        </w:rPr>
        <w:t xml:space="preserve">- </w:t>
      </w:r>
      <w:r w:rsidRPr="0037651E">
        <w:rPr>
          <w:rFonts w:cs="Arial"/>
          <w:rtl/>
        </w:rPr>
        <w:t>צריכי למחויי</w:t>
      </w:r>
      <w:r w:rsidRPr="0037651E">
        <w:rPr>
          <w:rFonts w:cs="Arial" w:hint="cs"/>
          <w:rtl/>
        </w:rPr>
        <w:t>,</w:t>
      </w:r>
      <w:r w:rsidRPr="0037651E">
        <w:rPr>
          <w:rFonts w:cs="Arial"/>
          <w:rtl/>
        </w:rPr>
        <w:t xml:space="preserve"> ואי לא מחאן לית להו פרנסה</w:t>
      </w:r>
      <w:r>
        <w:rPr>
          <w:rFonts w:cs="Arial" w:hint="cs"/>
          <w:rtl/>
        </w:rPr>
        <w:t>.</w:t>
      </w:r>
      <w:r>
        <w:rPr>
          <w:rFonts w:hint="cs"/>
          <w:rtl/>
        </w:rPr>
        <w:t xml:space="preserve"> עכ"ל. כשכתבו הרי"ף והרא"ש 'לא בגרה' </w:t>
      </w:r>
      <w:r w:rsidR="00F97626">
        <w:rPr>
          <w:rtl/>
        </w:rPr>
        <w:t>-</w:t>
      </w:r>
      <w:r>
        <w:rPr>
          <w:rFonts w:hint="cs"/>
          <w:rtl/>
        </w:rPr>
        <w:t xml:space="preserve"> כוונתם לנערה. ודין קטנה שהשיאוה (שמוציאה מהאחים בכל גוונא) - לא הזכירו, משום שהיא משנה מפורשת.</w:t>
      </w:r>
    </w:p>
  </w:footnote>
  <w:footnote w:id="2724">
    <w:p w14:paraId="30668442" w14:textId="5CEE968B" w:rsidR="00392DBB" w:rsidRDefault="00392DBB" w:rsidP="00392DBB">
      <w:pPr>
        <w:pStyle w:val="a5"/>
        <w:rPr>
          <w:rtl/>
        </w:rPr>
      </w:pPr>
      <w:r>
        <w:rPr>
          <w:rStyle w:val="a7"/>
        </w:rPr>
        <w:footnoteRef/>
      </w:r>
      <w:r>
        <w:rPr>
          <w:rtl/>
        </w:rPr>
        <w:t xml:space="preserve"> </w:t>
      </w:r>
      <w:r>
        <w:rPr>
          <w:rFonts w:cs="Arial" w:hint="cs"/>
          <w:rtl/>
        </w:rPr>
        <w:t>ו</w:t>
      </w:r>
      <w:r>
        <w:rPr>
          <w:rFonts w:cs="Arial"/>
          <w:rtl/>
        </w:rPr>
        <w:t>אע"פ שגדלה משנישאת ולא תבעה אחר גדלות מיד</w:t>
      </w:r>
      <w:r>
        <w:rPr>
          <w:rFonts w:cs="Arial" w:hint="cs"/>
          <w:rtl/>
        </w:rPr>
        <w:t xml:space="preserve"> -</w:t>
      </w:r>
      <w:r>
        <w:rPr>
          <w:rFonts w:cs="Arial"/>
          <w:rtl/>
        </w:rPr>
        <w:t xml:space="preserve"> לא איבד</w:t>
      </w:r>
      <w:r>
        <w:rPr>
          <w:rFonts w:cs="Arial" w:hint="cs"/>
          <w:rtl/>
        </w:rPr>
        <w:t>ה</w:t>
      </w:r>
      <w:r>
        <w:rPr>
          <w:rFonts w:cs="Arial"/>
          <w:rtl/>
        </w:rPr>
        <w:t xml:space="preserve"> לעולם</w:t>
      </w:r>
      <w:r>
        <w:rPr>
          <w:rFonts w:cs="Arial" w:hint="cs"/>
          <w:rtl/>
        </w:rPr>
        <w:t>,</w:t>
      </w:r>
      <w:r>
        <w:rPr>
          <w:rFonts w:cs="Arial"/>
          <w:rtl/>
        </w:rPr>
        <w:t xml:space="preserve"> לפי שלא איבדה אות</w:t>
      </w:r>
      <w:r>
        <w:rPr>
          <w:rFonts w:cs="Arial" w:hint="cs"/>
          <w:rtl/>
        </w:rPr>
        <w:t>ה</w:t>
      </w:r>
      <w:r>
        <w:rPr>
          <w:rFonts w:cs="Arial"/>
          <w:rtl/>
        </w:rPr>
        <w:t xml:space="preserve"> בשע</w:t>
      </w:r>
      <w:r>
        <w:rPr>
          <w:rFonts w:cs="Arial" w:hint="cs"/>
          <w:rtl/>
        </w:rPr>
        <w:t>ת</w:t>
      </w:r>
      <w:r>
        <w:rPr>
          <w:rFonts w:cs="Arial"/>
          <w:rtl/>
        </w:rPr>
        <w:t xml:space="preserve"> נישואין ושוב אינה צריכה למחות</w:t>
      </w:r>
      <w:r>
        <w:rPr>
          <w:rFonts w:cs="Arial" w:hint="cs"/>
          <w:rtl/>
        </w:rPr>
        <w:t>.</w:t>
      </w:r>
      <w:r>
        <w:rPr>
          <w:rFonts w:cs="Arial"/>
          <w:rtl/>
        </w:rPr>
        <w:t xml:space="preserve"> וברור הוא וכן נראה מדעת רבינו</w:t>
      </w:r>
      <w:r>
        <w:rPr>
          <w:rFonts w:cs="Arial" w:hint="cs"/>
          <w:rtl/>
        </w:rPr>
        <w:t>,</w:t>
      </w:r>
      <w:r w:rsidRPr="00FD36C2">
        <w:rPr>
          <w:rFonts w:cs="Arial"/>
          <w:rtl/>
        </w:rPr>
        <w:t xml:space="preserve"> </w:t>
      </w:r>
      <w:r>
        <w:rPr>
          <w:rFonts w:cs="Arial"/>
          <w:rtl/>
        </w:rPr>
        <w:t>הה</w:t>
      </w:r>
      <w:r>
        <w:rPr>
          <w:rFonts w:cs="Arial" w:hint="cs"/>
          <w:rtl/>
        </w:rPr>
        <w:t>"</w:t>
      </w:r>
      <w:r>
        <w:rPr>
          <w:rFonts w:cs="Arial"/>
          <w:rtl/>
        </w:rPr>
        <w:t>מ</w:t>
      </w:r>
      <w:r>
        <w:rPr>
          <w:rFonts w:cs="Arial" w:hint="cs"/>
          <w:rtl/>
        </w:rPr>
        <w:t xml:space="preserve"> (פ"כ, הביאו הב"י)</w:t>
      </w:r>
      <w:r>
        <w:rPr>
          <w:rFonts w:cs="Arial"/>
          <w:rtl/>
        </w:rPr>
        <w:t xml:space="preserve"> בשם הרשב"א (סח: ד"ה בגרה)</w:t>
      </w:r>
      <w:r>
        <w:rPr>
          <w:rFonts w:hint="cs"/>
          <w:rtl/>
        </w:rPr>
        <w:t>.</w:t>
      </w:r>
      <w:r>
        <w:rPr>
          <w:rFonts w:cs="Arial" w:hint="cs"/>
          <w:rtl/>
        </w:rPr>
        <w:t>..</w:t>
      </w:r>
      <w:r w:rsidRPr="0017283A">
        <w:rPr>
          <w:rFonts w:cs="Arial"/>
          <w:rtl/>
        </w:rPr>
        <w:t xml:space="preserve"> </w:t>
      </w:r>
      <w:r>
        <w:rPr>
          <w:rFonts w:cs="Arial"/>
          <w:rtl/>
        </w:rPr>
        <w:t>ו</w:t>
      </w:r>
      <w:r>
        <w:rPr>
          <w:rFonts w:cs="Arial" w:hint="cs"/>
          <w:rtl/>
        </w:rPr>
        <w:t xml:space="preserve">כ"כ </w:t>
      </w:r>
      <w:r>
        <w:rPr>
          <w:rFonts w:cs="Arial"/>
          <w:rtl/>
        </w:rPr>
        <w:t>הר"ן (</w:t>
      </w:r>
      <w:r>
        <w:rPr>
          <w:rFonts w:cs="Arial" w:hint="cs"/>
          <w:rtl/>
        </w:rPr>
        <w:t>ל:)</w:t>
      </w:r>
      <w:r w:rsidRPr="00C26953">
        <w:rPr>
          <w:rtl/>
        </w:rPr>
        <w:t xml:space="preserve"> </w:t>
      </w:r>
      <w:r w:rsidRPr="00C26953">
        <w:rPr>
          <w:rFonts w:cs="Arial"/>
          <w:rtl/>
        </w:rPr>
        <w:t>דכי אמרינן דבגרה ונישאת צריכה למחות אפילו במיתזנא מינייהו דוקא בגרה ונישאת</w:t>
      </w:r>
      <w:r w:rsidR="006819A9">
        <w:rPr>
          <w:rFonts w:cs="Arial" w:hint="cs"/>
          <w:rtl/>
        </w:rPr>
        <w:t>,</w:t>
      </w:r>
      <w:r w:rsidRPr="00C26953">
        <w:rPr>
          <w:rFonts w:cs="Arial"/>
          <w:rtl/>
        </w:rPr>
        <w:t xml:space="preserve"> אבל נישאת ואח"כ בגרה לא</w:t>
      </w:r>
      <w:r>
        <w:rPr>
          <w:rFonts w:cs="Arial" w:hint="cs"/>
          <w:rtl/>
        </w:rPr>
        <w:t>,</w:t>
      </w:r>
      <w:r w:rsidRPr="00C26953">
        <w:rPr>
          <w:rFonts w:cs="Arial"/>
          <w:rtl/>
        </w:rPr>
        <w:t xml:space="preserve"> דבגר דבתר נישואין לאו כלום הוא עכ"ל</w:t>
      </w:r>
      <w:r>
        <w:rPr>
          <w:rFonts w:cs="Arial" w:hint="cs"/>
          <w:rtl/>
        </w:rPr>
        <w:t>.</w:t>
      </w:r>
      <w:r w:rsidRPr="00C26953">
        <w:rPr>
          <w:rFonts w:cs="Arial"/>
          <w:rtl/>
        </w:rPr>
        <w:t xml:space="preserve"> והכי דייק לשון רבינו שכתב ואם בגרה ואח"כ נישאת</w:t>
      </w:r>
      <w:r>
        <w:rPr>
          <w:rFonts w:cs="Arial" w:hint="cs"/>
          <w:rtl/>
        </w:rPr>
        <w:t>, ב"י.</w:t>
      </w:r>
      <w:r>
        <w:rPr>
          <w:rFonts w:hint="cs"/>
          <w:rtl/>
        </w:rPr>
        <w:t xml:space="preserve"> </w:t>
      </w:r>
      <w:r w:rsidRPr="008C5D9B">
        <w:rPr>
          <w:rFonts w:hint="cs"/>
          <w:color w:val="00B0F0"/>
          <w:rtl/>
        </w:rPr>
        <w:t>(וכ"</w:t>
      </w:r>
      <w:r>
        <w:rPr>
          <w:rFonts w:hint="cs"/>
          <w:color w:val="00B0F0"/>
          <w:rtl/>
        </w:rPr>
        <w:t>פ</w:t>
      </w:r>
      <w:r w:rsidRPr="008C5D9B">
        <w:rPr>
          <w:rFonts w:hint="cs"/>
          <w:color w:val="00B0F0"/>
          <w:rtl/>
        </w:rPr>
        <w:t xml:space="preserve"> הרמ"א)</w:t>
      </w:r>
    </w:p>
  </w:footnote>
  <w:footnote w:id="2725">
    <w:p w14:paraId="67EC9A96" w14:textId="7C72E4DD" w:rsidR="00392DBB" w:rsidRDefault="00392DBB" w:rsidP="00DB0401">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Pr>
          <w:rFonts w:cs="Arial"/>
          <w:rtl/>
        </w:rPr>
        <w:t>נישאת הבת אחר שגדלה</w:t>
      </w:r>
      <w:r>
        <w:rPr>
          <w:rFonts w:cs="Arial" w:hint="cs"/>
          <w:rtl/>
        </w:rPr>
        <w:t>,</w:t>
      </w:r>
      <w:r>
        <w:rPr>
          <w:rFonts w:cs="Arial"/>
          <w:rtl/>
        </w:rPr>
        <w:t xml:space="preserve"> בין נערה בין בוגרת</w:t>
      </w:r>
      <w:r>
        <w:rPr>
          <w:rFonts w:cs="Arial" w:hint="cs"/>
          <w:rtl/>
        </w:rPr>
        <w:t>,</w:t>
      </w:r>
      <w:r>
        <w:rPr>
          <w:rFonts w:cs="Arial"/>
          <w:rtl/>
        </w:rPr>
        <w:t xml:space="preserve"> ולא תבעה פרנסתה</w:t>
      </w:r>
      <w:r>
        <w:rPr>
          <w:rFonts w:cs="Arial" w:hint="cs"/>
          <w:rtl/>
        </w:rPr>
        <w:t xml:space="preserve"> -</w:t>
      </w:r>
      <w:r>
        <w:rPr>
          <w:rFonts w:cs="Arial"/>
          <w:rtl/>
        </w:rPr>
        <w:t xml:space="preserve"> איבדה פרנסתה</w:t>
      </w:r>
      <w:r>
        <w:rPr>
          <w:rFonts w:cs="Arial" w:hint="cs"/>
          <w:rtl/>
        </w:rPr>
        <w:t>.</w:t>
      </w:r>
      <w:r>
        <w:rPr>
          <w:rFonts w:cs="Arial"/>
          <w:rtl/>
        </w:rPr>
        <w:t xml:space="preserve"> ואם מיחת בעת נישואיה </w:t>
      </w:r>
      <w:r>
        <w:rPr>
          <w:rFonts w:cs="Arial" w:hint="cs"/>
          <w:rtl/>
        </w:rPr>
        <w:t xml:space="preserve">- </w:t>
      </w:r>
      <w:r>
        <w:rPr>
          <w:rFonts w:cs="Arial"/>
          <w:rtl/>
        </w:rPr>
        <w:t>הרי זו מוציאה את הראוי לה כל זמן שתרצה</w:t>
      </w:r>
      <w:r>
        <w:rPr>
          <w:rFonts w:cs="Arial" w:hint="cs"/>
          <w:rtl/>
        </w:rPr>
        <w:t>.</w:t>
      </w:r>
      <w:r>
        <w:rPr>
          <w:rFonts w:cs="Arial"/>
          <w:rtl/>
        </w:rPr>
        <w:t xml:space="preserve"> בגרה ועודה בבית אביה בין שבגרה אחרי מותו בין שהניחה בוגרת</w:t>
      </w:r>
      <w:r>
        <w:rPr>
          <w:rFonts w:cs="Arial" w:hint="cs"/>
          <w:rtl/>
        </w:rPr>
        <w:t>,</w:t>
      </w:r>
      <w:r>
        <w:rPr>
          <w:rFonts w:cs="Arial"/>
          <w:rtl/>
        </w:rPr>
        <w:t xml:space="preserve"> אם פסקו האחין מלתת מזונותיה</w:t>
      </w:r>
      <w:r>
        <w:rPr>
          <w:rFonts w:cs="Arial" w:hint="cs"/>
          <w:rtl/>
        </w:rPr>
        <w:t>,</w:t>
      </w:r>
      <w:r>
        <w:rPr>
          <w:rFonts w:cs="Arial"/>
          <w:rtl/>
        </w:rPr>
        <w:t xml:space="preserve"> שהרי אין לה מזונות כמו שביארנו</w:t>
      </w:r>
      <w:r>
        <w:rPr>
          <w:rFonts w:cs="Arial" w:hint="cs"/>
          <w:rtl/>
        </w:rPr>
        <w:t>,</w:t>
      </w:r>
      <w:r>
        <w:rPr>
          <w:rFonts w:cs="Arial"/>
          <w:rtl/>
        </w:rPr>
        <w:t xml:space="preserve"> ושתקה ולא תבעה </w:t>
      </w:r>
      <w:r>
        <w:rPr>
          <w:rFonts w:cs="Arial" w:hint="cs"/>
          <w:rtl/>
        </w:rPr>
        <w:t xml:space="preserve">- </w:t>
      </w:r>
      <w:r>
        <w:rPr>
          <w:rFonts w:cs="Arial"/>
          <w:rtl/>
        </w:rPr>
        <w:t>איבדה פרנסתה</w:t>
      </w:r>
      <w:r>
        <w:rPr>
          <w:rFonts w:cs="Arial" w:hint="cs"/>
          <w:rtl/>
        </w:rPr>
        <w:t>.</w:t>
      </w:r>
      <w:r>
        <w:rPr>
          <w:rFonts w:cs="Arial"/>
          <w:rtl/>
        </w:rPr>
        <w:t xml:space="preserve"> לא פסקו האחים מזונותיה וזנו אותה בבגר </w:t>
      </w:r>
      <w:r>
        <w:rPr>
          <w:rFonts w:cs="Arial" w:hint="cs"/>
          <w:rtl/>
        </w:rPr>
        <w:t xml:space="preserve">- </w:t>
      </w:r>
      <w:r>
        <w:rPr>
          <w:rFonts w:cs="Arial"/>
          <w:rtl/>
        </w:rPr>
        <w:t>אע</w:t>
      </w:r>
      <w:r>
        <w:rPr>
          <w:rFonts w:cs="Arial" w:hint="cs"/>
          <w:rtl/>
        </w:rPr>
        <w:t>"</w:t>
      </w:r>
      <w:r>
        <w:rPr>
          <w:rFonts w:cs="Arial"/>
          <w:rtl/>
        </w:rPr>
        <w:t>פ שלא מחתה לא איבדה פרנסתה כל זמן שהם זנין אותה</w:t>
      </w:r>
      <w:r>
        <w:rPr>
          <w:rFonts w:cs="Arial" w:hint="cs"/>
          <w:rtl/>
        </w:rPr>
        <w:t>,</w:t>
      </w:r>
      <w:r>
        <w:rPr>
          <w:rFonts w:cs="Arial"/>
          <w:rtl/>
        </w:rPr>
        <w:t xml:space="preserve"> שיש לה לטעון מפני שהם זנין אותה אע</w:t>
      </w:r>
      <w:r>
        <w:rPr>
          <w:rFonts w:cs="Arial" w:hint="cs"/>
          <w:rtl/>
        </w:rPr>
        <w:t>"</w:t>
      </w:r>
      <w:r>
        <w:rPr>
          <w:rFonts w:cs="Arial"/>
          <w:rtl/>
        </w:rPr>
        <w:t>פ שאינם חייבים והיא עדיין לא נישאת מפני זה לא תבעה פרנסתה</w:t>
      </w:r>
      <w:r>
        <w:rPr>
          <w:rFonts w:cs="Arial" w:hint="cs"/>
          <w:rtl/>
        </w:rPr>
        <w:t>.</w:t>
      </w:r>
      <w:r w:rsidR="00DB0401">
        <w:rPr>
          <w:rFonts w:cs="Arial" w:hint="cs"/>
          <w:rtl/>
        </w:rPr>
        <w:t xml:space="preserve"> עכ"ל.       </w:t>
      </w:r>
      <w:r w:rsidR="00DB0401">
        <w:rPr>
          <w:rFonts w:hint="cs"/>
          <w:rtl/>
        </w:rPr>
        <w:t xml:space="preserve">וכתב </w:t>
      </w:r>
      <w:r w:rsidR="00DB0401">
        <w:rPr>
          <w:rFonts w:hint="cs"/>
          <w:rtl/>
        </w:rPr>
        <w:t>הה"מ</w:t>
      </w:r>
      <w:r w:rsidR="00DB0401" w:rsidRPr="00890FC4">
        <w:rPr>
          <w:rFonts w:hint="cs"/>
          <w:sz w:val="16"/>
          <w:szCs w:val="16"/>
          <w:rtl/>
        </w:rPr>
        <w:t xml:space="preserve"> (שם)</w:t>
      </w:r>
      <w:r w:rsidR="00DB0401">
        <w:rPr>
          <w:rFonts w:hint="cs"/>
          <w:sz w:val="16"/>
          <w:szCs w:val="16"/>
          <w:rtl/>
        </w:rPr>
        <w:t xml:space="preserve"> </w:t>
      </w:r>
      <w:r w:rsidR="00DB0401">
        <w:rPr>
          <w:rFonts w:hint="cs"/>
          <w:rtl/>
        </w:rPr>
        <w:t xml:space="preserve">שבדין נערה שהשיאוה לא נתבאר בדברי הרמב"ם האם פסיקת מזונות מועיל כמו שמיחתה </w:t>
      </w:r>
      <w:r w:rsidR="00DB0401" w:rsidRPr="00890FC4">
        <w:rPr>
          <w:rFonts w:hint="cs"/>
          <w:sz w:val="16"/>
          <w:szCs w:val="16"/>
          <w:rtl/>
        </w:rPr>
        <w:t>(</w:t>
      </w:r>
      <w:r w:rsidR="00DB0401">
        <w:rPr>
          <w:rFonts w:hint="cs"/>
          <w:sz w:val="16"/>
          <w:szCs w:val="16"/>
          <w:rtl/>
        </w:rPr>
        <w:t>וז</w:t>
      </w:r>
      <w:r w:rsidR="00DB0401">
        <w:rPr>
          <w:sz w:val="16"/>
          <w:szCs w:val="16"/>
          <w:rtl/>
        </w:rPr>
        <w:t>"</w:t>
      </w:r>
      <w:r w:rsidR="00DB0401">
        <w:rPr>
          <w:rFonts w:hint="cs"/>
          <w:sz w:val="16"/>
          <w:szCs w:val="16"/>
          <w:rtl/>
        </w:rPr>
        <w:t>ל:</w:t>
      </w:r>
      <w:r w:rsidR="00DB0401" w:rsidRPr="00890FC4">
        <w:rPr>
          <w:rFonts w:hint="cs"/>
          <w:sz w:val="16"/>
          <w:szCs w:val="16"/>
          <w:rtl/>
        </w:rPr>
        <w:t xml:space="preserve"> </w:t>
      </w:r>
      <w:r w:rsidR="00DB0401" w:rsidRPr="00890FC4">
        <w:rPr>
          <w:rFonts w:cs="Arial"/>
          <w:sz w:val="16"/>
          <w:szCs w:val="16"/>
          <w:rtl/>
        </w:rPr>
        <w:t>נישאת בנערות ולא בגרה אינה צריכה למחות כיון שנזונת מהם ופירש רש"י שנזונת אחר נישואיה מן האחים וחילוק זה לא נתבאר בדברי רבינו ואולי יש לו בזה דעת אחרת</w:t>
      </w:r>
      <w:r w:rsidR="00DB0401" w:rsidRPr="00890FC4">
        <w:rPr>
          <w:rFonts w:cs="Arial" w:hint="cs"/>
          <w:sz w:val="16"/>
          <w:szCs w:val="16"/>
          <w:rtl/>
        </w:rPr>
        <w:t>)</w:t>
      </w:r>
      <w:r w:rsidR="00DB0401" w:rsidRPr="002B699E">
        <w:rPr>
          <w:rFonts w:cs="Arial"/>
          <w:rtl/>
        </w:rPr>
        <w:t>.</w:t>
      </w:r>
      <w:r w:rsidR="00DB0401" w:rsidRPr="00AC0BA4">
        <w:rPr>
          <w:rtl/>
        </w:rPr>
        <w:t xml:space="preserve"> </w:t>
      </w:r>
      <w:r w:rsidR="00DB0401" w:rsidRPr="00AC0BA4">
        <w:rPr>
          <w:rFonts w:cs="Arial"/>
          <w:rtl/>
        </w:rPr>
        <w:t xml:space="preserve">והר"ן (שם) </w:t>
      </w:r>
      <w:r w:rsidR="00DB0401">
        <w:rPr>
          <w:rFonts w:cs="Arial" w:hint="cs"/>
          <w:rtl/>
        </w:rPr>
        <w:t>אכן תמה על זה ו</w:t>
      </w:r>
      <w:r w:rsidR="00DB0401" w:rsidRPr="00AC0BA4">
        <w:rPr>
          <w:rFonts w:cs="Arial"/>
          <w:rtl/>
        </w:rPr>
        <w:t>כתב</w:t>
      </w:r>
      <w:r w:rsidR="00DB0401">
        <w:rPr>
          <w:rFonts w:cs="Arial" w:hint="cs"/>
          <w:rtl/>
        </w:rPr>
        <w:t>:</w:t>
      </w:r>
      <w:r w:rsidR="00DB0401" w:rsidRPr="00AC0BA4">
        <w:rPr>
          <w:rFonts w:cs="Arial"/>
          <w:rtl/>
        </w:rPr>
        <w:t xml:space="preserve"> יש לתמוה על הרמב"ם שכתב בפ"כ נישאת הבת ולא מיחתה איבדה פרנסתה ולא חילק בין מיתזנא ללא מיתזנא עכ"ל</w:t>
      </w:r>
      <w:r w:rsidR="00DB0401">
        <w:rPr>
          <w:rFonts w:cs="Arial" w:hint="cs"/>
          <w:rtl/>
        </w:rPr>
        <w:t>. אך הב"י כתב:</w:t>
      </w:r>
      <w:r w:rsidR="00DB0401" w:rsidRPr="00AC0BA4">
        <w:rPr>
          <w:rFonts w:cs="Arial"/>
          <w:rtl/>
        </w:rPr>
        <w:t xml:space="preserve"> ול"נ שהרמב"ם סמך על מה שכתב גבי בגרה שאם האחים זנין אותה בבגר אע</w:t>
      </w:r>
      <w:r w:rsidR="00317070">
        <w:rPr>
          <w:rFonts w:cs="Arial" w:hint="cs"/>
          <w:rtl/>
        </w:rPr>
        <w:t>"</w:t>
      </w:r>
      <w:r w:rsidR="00DB0401" w:rsidRPr="00AC0BA4">
        <w:rPr>
          <w:rFonts w:cs="Arial"/>
          <w:rtl/>
        </w:rPr>
        <w:t>פ שלא מחתה לא איבדה פרנסתה כל זמן שזנין אותה</w:t>
      </w:r>
      <w:r w:rsidR="00317070">
        <w:rPr>
          <w:rFonts w:cs="Arial" w:hint="cs"/>
          <w:rtl/>
        </w:rPr>
        <w:t>,</w:t>
      </w:r>
      <w:r w:rsidR="00DB0401" w:rsidRPr="00AC0BA4">
        <w:rPr>
          <w:rFonts w:cs="Arial"/>
          <w:rtl/>
        </w:rPr>
        <w:t xml:space="preserve"> וממילא משמע דהוא הדין לנישאת קודם שבגרה שאם זנין אותה אחר נישואיה לא איבדה</w:t>
      </w:r>
      <w:r w:rsidR="00DB0401">
        <w:rPr>
          <w:rFonts w:cs="Arial" w:hint="cs"/>
          <w:rtl/>
        </w:rPr>
        <w:t>.</w:t>
      </w:r>
    </w:p>
  </w:footnote>
  <w:footnote w:id="2726">
    <w:p w14:paraId="649E3CDD" w14:textId="77777777" w:rsidR="00392DBB" w:rsidRDefault="00392DBB" w:rsidP="00392DBB">
      <w:pPr>
        <w:pStyle w:val="a5"/>
      </w:pPr>
      <w:r>
        <w:rPr>
          <w:rStyle w:val="a7"/>
        </w:rPr>
        <w:footnoteRef/>
      </w:r>
      <w:r>
        <w:rPr>
          <w:rtl/>
        </w:rPr>
        <w:t xml:space="preserve"> </w:t>
      </w:r>
      <w:r>
        <w:rPr>
          <w:rFonts w:cs="Arial" w:hint="cs"/>
          <w:rtl/>
        </w:rPr>
        <w:t>ואע"ג ש</w:t>
      </w:r>
      <w:r>
        <w:rPr>
          <w:rFonts w:cs="Arial"/>
          <w:rtl/>
        </w:rPr>
        <w:t>מיחתה בבגרות צריכה למחות בנישואין</w:t>
      </w:r>
      <w:r>
        <w:rPr>
          <w:rFonts w:cs="Arial" w:hint="cs"/>
          <w:rtl/>
        </w:rPr>
        <w:t>,</w:t>
      </w:r>
      <w:r>
        <w:rPr>
          <w:rFonts w:cs="Arial"/>
          <w:rtl/>
        </w:rPr>
        <w:t xml:space="preserve"> ואם לא מיחת הפסידה</w:t>
      </w:r>
      <w:r>
        <w:rPr>
          <w:rFonts w:cs="Arial" w:hint="cs"/>
          <w:rtl/>
        </w:rPr>
        <w:t>,</w:t>
      </w:r>
      <w:r w:rsidRPr="0017283A">
        <w:rPr>
          <w:rFonts w:cs="Arial"/>
          <w:rtl/>
        </w:rPr>
        <w:t xml:space="preserve"> </w:t>
      </w:r>
      <w:r w:rsidRPr="0028166F">
        <w:rPr>
          <w:rFonts w:cs="Arial"/>
          <w:b/>
          <w:bCs/>
          <w:rtl/>
        </w:rPr>
        <w:t>ר"ן</w:t>
      </w:r>
      <w:r>
        <w:rPr>
          <w:rFonts w:cs="Arial"/>
          <w:rtl/>
        </w:rPr>
        <w:t xml:space="preserve"> (ל ריש ע"ב) </w:t>
      </w:r>
      <w:r w:rsidRPr="0028166F">
        <w:rPr>
          <w:rFonts w:cs="Arial"/>
          <w:b/>
          <w:bCs/>
          <w:rtl/>
        </w:rPr>
        <w:t>בשם הרא"ה</w:t>
      </w:r>
      <w:r>
        <w:rPr>
          <w:rFonts w:cs="Arial"/>
          <w:rtl/>
        </w:rPr>
        <w:t xml:space="preserve"> (סח: ד"ה טעמא)</w:t>
      </w:r>
      <w:r>
        <w:rPr>
          <w:rFonts w:cs="Arial" w:hint="cs"/>
          <w:rtl/>
        </w:rPr>
        <w:t>.</w:t>
      </w:r>
      <w:r w:rsidRPr="00843F20">
        <w:rPr>
          <w:rFonts w:cs="Arial" w:hint="cs"/>
          <w:rtl/>
        </w:rPr>
        <w:t xml:space="preserve"> </w:t>
      </w:r>
      <w:r w:rsidRPr="00843F20">
        <w:rPr>
          <w:rFonts w:cs="Arial"/>
          <w:rtl/>
        </w:rPr>
        <w:t>וכן נראה מדברי המ"מ פ"כ (הי"ג) שזה דעת הרמב"ם</w:t>
      </w:r>
      <w:r w:rsidRPr="00843F20">
        <w:rPr>
          <w:rFonts w:cs="Arial" w:hint="cs"/>
          <w:rtl/>
        </w:rPr>
        <w:t xml:space="preserve">, </w:t>
      </w:r>
      <w:r w:rsidRPr="0028166F">
        <w:rPr>
          <w:rFonts w:cs="Arial" w:hint="cs"/>
          <w:b/>
          <w:bCs/>
          <w:rtl/>
        </w:rPr>
        <w:t>דרכ"מ</w:t>
      </w:r>
      <w:r w:rsidRPr="00843F20">
        <w:rPr>
          <w:rFonts w:cs="Arial" w:hint="cs"/>
          <w:rtl/>
        </w:rPr>
        <w:t xml:space="preserve"> (אות יא).</w:t>
      </w:r>
    </w:p>
  </w:footnote>
  <w:footnote w:id="2727">
    <w:p w14:paraId="2591DDE7" w14:textId="77777777" w:rsidR="00392DBB" w:rsidRDefault="00392DBB" w:rsidP="00392DBB">
      <w:pPr>
        <w:pStyle w:val="a5"/>
      </w:pPr>
      <w:r>
        <w:rPr>
          <w:rStyle w:val="a7"/>
        </w:rPr>
        <w:footnoteRef/>
      </w:r>
      <w:r>
        <w:rPr>
          <w:rtl/>
        </w:rPr>
        <w:t xml:space="preserve"> </w:t>
      </w:r>
      <w:r w:rsidRPr="005E4268">
        <w:rPr>
          <w:rFonts w:cs="Arial"/>
          <w:rtl/>
        </w:rPr>
        <w:t>נראה דטעמו משום דלשם תניא רבי אומר בת הניזונית מן האחין נוטלת עישור נכסים ואמרינן התם ניזונית אין שאינה ניזונית לא</w:t>
      </w:r>
      <w:r>
        <w:rPr>
          <w:rFonts w:cs="Arial" w:hint="cs"/>
          <w:rtl/>
        </w:rPr>
        <w:t>.</w:t>
      </w:r>
      <w:r w:rsidRPr="005E4268">
        <w:rPr>
          <w:rFonts w:cs="Arial"/>
          <w:rtl/>
        </w:rPr>
        <w:t xml:space="preserve"> וכיון דקיי"ל כרב בפרק נערה (נג</w:t>
      </w:r>
      <w:r>
        <w:rPr>
          <w:rFonts w:cs="Arial" w:hint="cs"/>
          <w:rtl/>
        </w:rPr>
        <w:t>:</w:t>
      </w:r>
      <w:r w:rsidRPr="005E4268">
        <w:rPr>
          <w:rFonts w:cs="Arial"/>
          <w:rtl/>
        </w:rPr>
        <w:t>) דיתומה נערה ארוסה אין לה מזונות מן האחין</w:t>
      </w:r>
      <w:r>
        <w:rPr>
          <w:rFonts w:cs="Arial" w:hint="cs"/>
          <w:rtl/>
        </w:rPr>
        <w:t>,</w:t>
      </w:r>
      <w:r w:rsidRPr="005E4268">
        <w:rPr>
          <w:rFonts w:cs="Arial"/>
          <w:rtl/>
        </w:rPr>
        <w:t xml:space="preserve"> וכדלעיל סימן קי"ב</w:t>
      </w:r>
      <w:r>
        <w:rPr>
          <w:rFonts w:cs="Arial" w:hint="cs"/>
          <w:rtl/>
        </w:rPr>
        <w:t>,</w:t>
      </w:r>
      <w:r w:rsidRPr="005E4268">
        <w:rPr>
          <w:rFonts w:cs="Arial"/>
          <w:rtl/>
        </w:rPr>
        <w:t xml:space="preserve"> אם כן אין לארוסה נערה פרנסה מן האחין דהיינו עישור נכסים</w:t>
      </w:r>
      <w:r>
        <w:rPr>
          <w:rFonts w:cs="Arial" w:hint="cs"/>
          <w:rtl/>
        </w:rPr>
        <w:t>,</w:t>
      </w:r>
      <w:r w:rsidRPr="005E4268">
        <w:rPr>
          <w:rFonts w:cs="Arial"/>
          <w:rtl/>
        </w:rPr>
        <w:t xml:space="preserve"> כדדייקינן ניזונית אין שאינה ניזונית לא</w:t>
      </w:r>
      <w:r>
        <w:rPr>
          <w:rFonts w:cs="Arial" w:hint="cs"/>
          <w:rtl/>
        </w:rPr>
        <w:t>,</w:t>
      </w:r>
      <w:r w:rsidRPr="005E4268">
        <w:rPr>
          <w:rFonts w:cs="Arial"/>
          <w:rtl/>
        </w:rPr>
        <w:t xml:space="preserve"> ובפרק מציאת האשה מוקי נמי להך ברייתא דרבי בדלא מחאי</w:t>
      </w:r>
      <w:r>
        <w:rPr>
          <w:rFonts w:cs="Arial" w:hint="cs"/>
          <w:rtl/>
        </w:rPr>
        <w:t>,</w:t>
      </w:r>
      <w:r w:rsidRPr="005E4268">
        <w:rPr>
          <w:rFonts w:cs="Arial"/>
          <w:rtl/>
        </w:rPr>
        <w:t xml:space="preserve"> וכיון דלית לה נמי מזוני איבדה פרנסתה השתא לפ"ז דינו של הרמ"ה נמצא לו שורש בסוגיא דתלמודא</w:t>
      </w:r>
      <w:r>
        <w:rPr>
          <w:rFonts w:cs="Arial" w:hint="cs"/>
          <w:rtl/>
        </w:rPr>
        <w:t>, ב"ח.</w:t>
      </w:r>
    </w:p>
  </w:footnote>
  <w:footnote w:id="2728">
    <w:p w14:paraId="67FAA4CE" w14:textId="1C95348A" w:rsidR="00392DBB" w:rsidRDefault="00392DBB" w:rsidP="00392DBB">
      <w:pPr>
        <w:pStyle w:val="a5"/>
      </w:pPr>
      <w:r>
        <w:rPr>
          <w:rStyle w:val="a7"/>
        </w:rPr>
        <w:footnoteRef/>
      </w:r>
      <w:r>
        <w:rPr>
          <w:rtl/>
        </w:rPr>
        <w:t xml:space="preserve"> </w:t>
      </w:r>
      <w:r w:rsidRPr="005973FB">
        <w:rPr>
          <w:rFonts w:cs="Arial"/>
          <w:rtl/>
        </w:rPr>
        <w:t>והשתא לפי דעת התוספות ולמאי דאיפסקא בגמרא דהלכה כרבי נערה ארוסה כיון דמדינא יש לה מזונות מן האחים ואע</w:t>
      </w:r>
      <w:r w:rsidR="00FB2BCD">
        <w:rPr>
          <w:rFonts w:cs="Arial" w:hint="cs"/>
          <w:rtl/>
        </w:rPr>
        <w:t>"</w:t>
      </w:r>
      <w:r w:rsidRPr="005973FB">
        <w:rPr>
          <w:rFonts w:cs="Arial"/>
          <w:rtl/>
        </w:rPr>
        <w:t>פ דאין נותנים לה מזונות ואף לא מיחתה לא איבדה פרנסתה דלא כהרמ"ה</w:t>
      </w:r>
      <w:r>
        <w:rPr>
          <w:rFonts w:cs="Arial" w:hint="cs"/>
          <w:rtl/>
        </w:rPr>
        <w:t xml:space="preserve">, </w:t>
      </w:r>
      <w:r w:rsidRPr="002F0DB9">
        <w:rPr>
          <w:rFonts w:cs="Arial" w:hint="cs"/>
          <w:b/>
          <w:bCs/>
          <w:rtl/>
        </w:rPr>
        <w:t>ב"ח</w:t>
      </w:r>
      <w:r>
        <w:rPr>
          <w:rFonts w:cs="Arial" w:hint="cs"/>
          <w:rtl/>
        </w:rPr>
        <w:t>.</w:t>
      </w:r>
      <w:r>
        <w:rPr>
          <w:rFonts w:hint="cs"/>
          <w:rtl/>
        </w:rPr>
        <w:t xml:space="preserve"> ועיין בב"ש (סקי"ח) במש"כ ואם אירסה בעת הנערות וכו'.</w:t>
      </w:r>
    </w:p>
  </w:footnote>
  <w:footnote w:id="2729">
    <w:p w14:paraId="15917464" w14:textId="77777777" w:rsidR="00392DBB" w:rsidRDefault="00392DBB" w:rsidP="00392DBB">
      <w:pPr>
        <w:pStyle w:val="a5"/>
      </w:pPr>
      <w:r>
        <w:rPr>
          <w:rStyle w:val="a7"/>
        </w:rPr>
        <w:footnoteRef/>
      </w:r>
      <w:r>
        <w:rPr>
          <w:rtl/>
        </w:rPr>
        <w:t xml:space="preserve"> </w:t>
      </w:r>
      <w:r w:rsidRPr="008016E2">
        <w:rPr>
          <w:rFonts w:cs="Arial"/>
          <w:rtl/>
        </w:rPr>
        <w:t xml:space="preserve">אפילו מתה הבת </w:t>
      </w:r>
      <w:r>
        <w:rPr>
          <w:rFonts w:cs="Arial" w:hint="cs"/>
          <w:rtl/>
        </w:rPr>
        <w:t xml:space="preserve">- </w:t>
      </w:r>
      <w:r w:rsidRPr="008016E2">
        <w:rPr>
          <w:rFonts w:cs="Arial"/>
          <w:rtl/>
        </w:rPr>
        <w:t>יורשים נוטלין עישור נכסים מן האחים</w:t>
      </w:r>
      <w:r>
        <w:rPr>
          <w:rFonts w:cs="Arial" w:hint="cs"/>
          <w:rtl/>
        </w:rPr>
        <w:t>.</w:t>
      </w:r>
      <w:r w:rsidRPr="008016E2">
        <w:rPr>
          <w:rFonts w:cs="Arial"/>
          <w:rtl/>
        </w:rPr>
        <w:t xml:space="preserve"> הר"ם מטראני ח"ב סי' קפ"ח</w:t>
      </w:r>
      <w:r>
        <w:rPr>
          <w:rFonts w:cs="Arial" w:hint="cs"/>
          <w:rtl/>
        </w:rPr>
        <w:t>, באה"ט (סקי"ז).</w:t>
      </w:r>
    </w:p>
  </w:footnote>
  <w:footnote w:id="2730">
    <w:p w14:paraId="082AD5FB" w14:textId="3982C460" w:rsidR="00392DBB" w:rsidRDefault="00392DBB" w:rsidP="00392DBB">
      <w:pPr>
        <w:pStyle w:val="a5"/>
        <w:rPr>
          <w:rtl/>
        </w:rPr>
      </w:pPr>
      <w:r>
        <w:rPr>
          <w:rStyle w:val="a7"/>
        </w:rPr>
        <w:footnoteRef/>
      </w:r>
      <w:r>
        <w:rPr>
          <w:rtl/>
        </w:rPr>
        <w:t xml:space="preserve"> </w:t>
      </w:r>
      <w:r w:rsidRPr="00AD6567">
        <w:rPr>
          <w:rFonts w:cs="Arial"/>
          <w:rtl/>
        </w:rPr>
        <w:t>והיינו דוקא שלא מחלה בהדיא</w:t>
      </w:r>
      <w:r w:rsidR="00DD2F56">
        <w:rPr>
          <w:rFonts w:cs="Arial" w:hint="cs"/>
          <w:rtl/>
        </w:rPr>
        <w:t>,</w:t>
      </w:r>
      <w:r w:rsidRPr="00AD6567">
        <w:rPr>
          <w:rFonts w:cs="Arial"/>
          <w:rtl/>
        </w:rPr>
        <w:t xml:space="preserve"> אלא נתרצית ולקחה מה שנתנו לה ושתקה</w:t>
      </w:r>
      <w:r w:rsidR="00DD2F56">
        <w:rPr>
          <w:rFonts w:cs="Arial" w:hint="cs"/>
          <w:rtl/>
        </w:rPr>
        <w:t>.</w:t>
      </w:r>
      <w:r w:rsidRPr="00AD6567">
        <w:rPr>
          <w:rFonts w:cs="Arial"/>
          <w:rtl/>
        </w:rPr>
        <w:t xml:space="preserve"> אבל הגיעו לעונת פעוטו' ומחלה בהדיא </w:t>
      </w:r>
      <w:r w:rsidR="00DD2F56">
        <w:rPr>
          <w:rFonts w:cs="Arial" w:hint="cs"/>
          <w:rtl/>
        </w:rPr>
        <w:t xml:space="preserve">- </w:t>
      </w:r>
      <w:r w:rsidRPr="00AD6567">
        <w:rPr>
          <w:rFonts w:cs="Arial"/>
          <w:rtl/>
        </w:rPr>
        <w:t>מחילתה מחילה במטלטלי עיין במרדכי</w:t>
      </w:r>
      <w:r>
        <w:rPr>
          <w:rFonts w:cs="Arial" w:hint="cs"/>
          <w:rtl/>
        </w:rPr>
        <w:t xml:space="preserve"> (סי' קצ)</w:t>
      </w:r>
      <w:r>
        <w:rPr>
          <w:rFonts w:hint="cs"/>
          <w:rtl/>
        </w:rPr>
        <w:t xml:space="preserve">, </w:t>
      </w:r>
      <w:r w:rsidRPr="00DD2F56">
        <w:rPr>
          <w:rFonts w:hint="cs"/>
          <w:b/>
          <w:bCs/>
          <w:rtl/>
        </w:rPr>
        <w:t>ח"מ</w:t>
      </w:r>
      <w:r>
        <w:rPr>
          <w:rFonts w:hint="cs"/>
          <w:rtl/>
        </w:rPr>
        <w:t xml:space="preserve"> (סקי"ט).</w:t>
      </w:r>
      <w:r w:rsidRPr="002309D5">
        <w:rPr>
          <w:rtl/>
        </w:rPr>
        <w:t xml:space="preserve"> </w:t>
      </w:r>
      <w:r w:rsidRPr="002309D5">
        <w:rPr>
          <w:rFonts w:cs="Arial"/>
          <w:rtl/>
        </w:rPr>
        <w:t xml:space="preserve">מיהו לדעת הרשב"א </w:t>
      </w:r>
      <w:r>
        <w:rPr>
          <w:rFonts w:cs="Arial" w:hint="cs"/>
          <w:rtl/>
        </w:rPr>
        <w:t xml:space="preserve">(כתובות נג: ד"ה כי פליגי) </w:t>
      </w:r>
      <w:r w:rsidRPr="002309D5">
        <w:rPr>
          <w:rFonts w:cs="Arial"/>
          <w:rtl/>
        </w:rPr>
        <w:t xml:space="preserve">אפילו מחילה בפי' לא מהני כמ"ש בהר"ן </w:t>
      </w:r>
      <w:r>
        <w:rPr>
          <w:rFonts w:cs="Arial" w:hint="cs"/>
          <w:rtl/>
        </w:rPr>
        <w:t>(יט: - כ. מדפה"ר)</w:t>
      </w:r>
      <w:r>
        <w:rPr>
          <w:rFonts w:hint="cs"/>
          <w:rtl/>
        </w:rPr>
        <w:t xml:space="preserve">, </w:t>
      </w:r>
      <w:r w:rsidRPr="00DD2F56">
        <w:rPr>
          <w:rFonts w:hint="cs"/>
          <w:b/>
          <w:bCs/>
          <w:rtl/>
        </w:rPr>
        <w:t>ב"ש</w:t>
      </w:r>
      <w:r>
        <w:rPr>
          <w:rFonts w:hint="cs"/>
          <w:rtl/>
        </w:rPr>
        <w:t xml:space="preserve"> (סקי"ז).</w:t>
      </w:r>
    </w:p>
  </w:footnote>
  <w:footnote w:id="2731">
    <w:p w14:paraId="6E5FB3C1" w14:textId="461FE400" w:rsidR="00392DBB" w:rsidRDefault="00392DBB" w:rsidP="00392DBB">
      <w:pPr>
        <w:pStyle w:val="a5"/>
        <w:rPr>
          <w:rtl/>
        </w:rPr>
      </w:pPr>
      <w:r>
        <w:rPr>
          <w:rStyle w:val="a7"/>
        </w:rPr>
        <w:footnoteRef/>
      </w:r>
      <w:r>
        <w:rPr>
          <w:rtl/>
        </w:rPr>
        <w:t xml:space="preserve"> </w:t>
      </w:r>
      <w:r>
        <w:rPr>
          <w:rFonts w:hint="cs"/>
          <w:rtl/>
        </w:rPr>
        <w:t xml:space="preserve">זה חוזר רק על מי שהייתה נערה ונשאת. אבל אם הייתה בוגרת ונשאת </w:t>
      </w:r>
      <w:r w:rsidR="00F97626">
        <w:rPr>
          <w:rtl/>
        </w:rPr>
        <w:t>-</w:t>
      </w:r>
      <w:r>
        <w:rPr>
          <w:rFonts w:hint="cs"/>
          <w:rtl/>
        </w:rPr>
        <w:t xml:space="preserve"> לא מועיל מה שאחיה זנים אותה. </w:t>
      </w:r>
      <w:r w:rsidR="00C64D98">
        <w:rPr>
          <w:rFonts w:hint="cs"/>
          <w:rtl/>
        </w:rPr>
        <w:t>ו</w:t>
      </w:r>
      <w:r w:rsidR="00C45475">
        <w:rPr>
          <w:rFonts w:hint="cs"/>
          <w:rtl/>
        </w:rPr>
        <w:t xml:space="preserve">כמו שכתב הטור, וכ"כ הראשונים בביאור דברי הרמב"ם (וכן </w:t>
      </w:r>
      <w:r w:rsidR="00220D8F">
        <w:rPr>
          <w:rFonts w:hint="cs"/>
          <w:rtl/>
        </w:rPr>
        <w:t xml:space="preserve">מתבאר מדברי הב"י בהב' הרמב"ם). </w:t>
      </w:r>
      <w:r>
        <w:rPr>
          <w:rFonts w:hint="cs"/>
          <w:rtl/>
        </w:rPr>
        <w:t>וכ"כ ח"מ (סק"כ) וב"ש (סקי"ח).</w:t>
      </w:r>
    </w:p>
  </w:footnote>
  <w:footnote w:id="2732">
    <w:p w14:paraId="687FEE71" w14:textId="75E30D70" w:rsidR="00392DBB" w:rsidRDefault="00392DBB" w:rsidP="00392DBB">
      <w:pPr>
        <w:pStyle w:val="a5"/>
      </w:pPr>
      <w:r>
        <w:rPr>
          <w:rStyle w:val="a7"/>
        </w:rPr>
        <w:footnoteRef/>
      </w:r>
      <w:r>
        <w:rPr>
          <w:rtl/>
        </w:rPr>
        <w:t xml:space="preserve"> </w:t>
      </w:r>
      <w:r w:rsidRPr="002309D5">
        <w:rPr>
          <w:rFonts w:cs="Arial"/>
          <w:rtl/>
        </w:rPr>
        <w:t xml:space="preserve">כתב בט"ז </w:t>
      </w:r>
      <w:r>
        <w:rPr>
          <w:rFonts w:cs="Arial" w:hint="cs"/>
          <w:rtl/>
        </w:rPr>
        <w:t xml:space="preserve">(סק"ח) </w:t>
      </w:r>
      <w:r w:rsidRPr="002309D5">
        <w:rPr>
          <w:rFonts w:cs="Arial"/>
          <w:rtl/>
        </w:rPr>
        <w:t xml:space="preserve">בזה"ז </w:t>
      </w:r>
      <w:r>
        <w:rPr>
          <w:rFonts w:cs="Arial" w:hint="cs"/>
          <w:rtl/>
        </w:rPr>
        <w:t>ש</w:t>
      </w:r>
      <w:r w:rsidRPr="002309D5">
        <w:rPr>
          <w:rFonts w:cs="Arial"/>
          <w:rtl/>
        </w:rPr>
        <w:t>אנחנו במתי מעט הכל מודים דלא אבדה פרנסתה</w:t>
      </w:r>
      <w:r>
        <w:rPr>
          <w:rFonts w:cs="Arial" w:hint="cs"/>
          <w:rtl/>
        </w:rPr>
        <w:t>,</w:t>
      </w:r>
      <w:r w:rsidRPr="002309D5">
        <w:rPr>
          <w:rFonts w:cs="Arial"/>
          <w:rtl/>
        </w:rPr>
        <w:t xml:space="preserve"> דאין ראיה במה שלא השיאה די"ל דלא אזדמן ליה זיווג הגון</w:t>
      </w:r>
      <w:r>
        <w:rPr>
          <w:rFonts w:cs="Arial" w:hint="cs"/>
          <w:rtl/>
        </w:rPr>
        <w:t xml:space="preserve">, </w:t>
      </w:r>
      <w:r w:rsidRPr="00A67716">
        <w:rPr>
          <w:rFonts w:cs="Arial" w:hint="cs"/>
          <w:b/>
          <w:bCs/>
          <w:rtl/>
        </w:rPr>
        <w:t xml:space="preserve">ב"ש </w:t>
      </w:r>
      <w:r>
        <w:rPr>
          <w:rFonts w:cs="Arial" w:hint="cs"/>
          <w:rtl/>
        </w:rPr>
        <w:t>(סקי"ט).</w:t>
      </w:r>
      <w:r w:rsidRPr="008016E2">
        <w:rPr>
          <w:rtl/>
        </w:rPr>
        <w:t xml:space="preserve"> </w:t>
      </w:r>
      <w:r w:rsidRPr="008016E2">
        <w:rPr>
          <w:rFonts w:cs="Arial"/>
          <w:rtl/>
        </w:rPr>
        <w:t>וכ"כ בה"י בסי' נ"ז ע"ש. ואין האחים יכולין לומר קים לנו כהר"י והרא"ש מאחר שבזמן הזה לא משיאין הבנות קודם שיבגרו אפילו שהאבות הם עשירים עבודת הגרשוני סי' ט' ע"ש</w:t>
      </w:r>
      <w:r>
        <w:rPr>
          <w:rFonts w:hint="cs"/>
          <w:rtl/>
        </w:rPr>
        <w:t xml:space="preserve">, </w:t>
      </w:r>
      <w:r w:rsidRPr="00A67716">
        <w:rPr>
          <w:rFonts w:hint="cs"/>
          <w:b/>
          <w:bCs/>
          <w:rtl/>
        </w:rPr>
        <w:t>באה"ט</w:t>
      </w:r>
      <w:r>
        <w:rPr>
          <w:rFonts w:hint="cs"/>
          <w:rtl/>
        </w:rPr>
        <w:t xml:space="preserve"> (סק"כ).</w:t>
      </w:r>
      <w:r w:rsidRPr="008016E2">
        <w:rPr>
          <w:rFonts w:cs="Arial"/>
          <w:rtl/>
        </w:rPr>
        <w:t xml:space="preserve"> </w:t>
      </w:r>
      <w:r w:rsidRPr="00CC3CA9">
        <w:rPr>
          <w:rFonts w:cs="Arial"/>
          <w:rtl/>
        </w:rPr>
        <w:t xml:space="preserve">ועיין מזה בתשו' חות יאיר </w:t>
      </w:r>
      <w:r>
        <w:rPr>
          <w:rFonts w:cs="Arial" w:hint="cs"/>
          <w:rtl/>
        </w:rPr>
        <w:t>(</w:t>
      </w:r>
      <w:r w:rsidRPr="00CC3CA9">
        <w:rPr>
          <w:rFonts w:cs="Arial"/>
          <w:rtl/>
        </w:rPr>
        <w:t>סי' פ"ה ופ"ו)</w:t>
      </w:r>
      <w:r w:rsidR="00996835">
        <w:rPr>
          <w:rFonts w:cs="Arial" w:hint="cs"/>
          <w:rtl/>
        </w:rPr>
        <w:t>.</w:t>
      </w:r>
      <w:r w:rsidRPr="00CC3CA9">
        <w:rPr>
          <w:rFonts w:cs="Arial"/>
          <w:rtl/>
        </w:rPr>
        <w:t xml:space="preserve"> ועיין בתשו' נו"ב </w:t>
      </w:r>
      <w:r>
        <w:rPr>
          <w:rFonts w:cs="Arial" w:hint="cs"/>
          <w:rtl/>
        </w:rPr>
        <w:t>(</w:t>
      </w:r>
      <w:r w:rsidRPr="00CC3CA9">
        <w:rPr>
          <w:rFonts w:cs="Arial"/>
          <w:rtl/>
        </w:rPr>
        <w:t>ח</w:t>
      </w:r>
      <w:r>
        <w:rPr>
          <w:rFonts w:cs="Arial" w:hint="cs"/>
          <w:rtl/>
        </w:rPr>
        <w:t>ו</w:t>
      </w:r>
      <w:r w:rsidRPr="00CC3CA9">
        <w:rPr>
          <w:rFonts w:cs="Arial"/>
          <w:rtl/>
        </w:rPr>
        <w:t>"מ סי' לג</w:t>
      </w:r>
      <w:r>
        <w:rPr>
          <w:rFonts w:cs="Arial" w:hint="cs"/>
          <w:rtl/>
        </w:rPr>
        <w:t>)</w:t>
      </w:r>
      <w:r w:rsidRPr="00CC3CA9">
        <w:rPr>
          <w:rFonts w:cs="Arial"/>
          <w:rtl/>
        </w:rPr>
        <w:t xml:space="preserve"> שכ</w:t>
      </w:r>
      <w:r w:rsidR="00996835">
        <w:rPr>
          <w:rFonts w:cs="Arial" w:hint="cs"/>
          <w:rtl/>
        </w:rPr>
        <w:t>תב</w:t>
      </w:r>
      <w:r w:rsidRPr="00CC3CA9">
        <w:rPr>
          <w:rFonts w:cs="Arial"/>
          <w:rtl/>
        </w:rPr>
        <w:t xml:space="preserve"> דבעיניו דברים הללו אינם נכונים</w:t>
      </w:r>
      <w:r w:rsidR="00E308AE">
        <w:rPr>
          <w:rFonts w:cs="Arial" w:hint="cs"/>
          <w:rtl/>
        </w:rPr>
        <w:t>,</w:t>
      </w:r>
      <w:r w:rsidRPr="00CC3CA9">
        <w:rPr>
          <w:rFonts w:cs="Arial"/>
          <w:rtl/>
        </w:rPr>
        <w:t xml:space="preserve"> דאטו אמר הר"ר יונה שבוגרת איבדה פרנסתה</w:t>
      </w:r>
      <w:r w:rsidR="00E308AE">
        <w:rPr>
          <w:rFonts w:cs="Arial" w:hint="cs"/>
          <w:rtl/>
        </w:rPr>
        <w:t>?</w:t>
      </w:r>
      <w:r w:rsidRPr="00CC3CA9">
        <w:rPr>
          <w:rFonts w:cs="Arial"/>
          <w:rtl/>
        </w:rPr>
        <w:t xml:space="preserve"> דא"כ שפיר הי</w:t>
      </w:r>
      <w:r w:rsidR="00E308AE">
        <w:rPr>
          <w:rFonts w:cs="Arial" w:hint="cs"/>
          <w:rtl/>
        </w:rPr>
        <w:t>ה</w:t>
      </w:r>
      <w:r w:rsidRPr="00CC3CA9">
        <w:rPr>
          <w:rFonts w:cs="Arial"/>
          <w:rtl/>
        </w:rPr>
        <w:t xml:space="preserve"> הט"ז ממציא שבזמנינו לא איבדה</w:t>
      </w:r>
      <w:r w:rsidR="00E308AE">
        <w:rPr>
          <w:rFonts w:cs="Arial" w:hint="cs"/>
          <w:rtl/>
        </w:rPr>
        <w:t>,</w:t>
      </w:r>
      <w:r w:rsidRPr="00CC3CA9">
        <w:rPr>
          <w:rFonts w:cs="Arial"/>
          <w:rtl/>
        </w:rPr>
        <w:t xml:space="preserve"> אבל הר"ר יונה אמר שלא תיקנו לבוגרת</w:t>
      </w:r>
      <w:r w:rsidR="00E308AE">
        <w:rPr>
          <w:rFonts w:cs="Arial" w:hint="cs"/>
          <w:rtl/>
        </w:rPr>
        <w:t>,</w:t>
      </w:r>
      <w:r w:rsidRPr="00CC3CA9">
        <w:rPr>
          <w:rFonts w:cs="Arial"/>
          <w:rtl/>
        </w:rPr>
        <w:t xml:space="preserve"> וא"כ אף בזמנינו במה תזכה ומי תיקן מה שלא תיקנו חכמי המשנה</w:t>
      </w:r>
      <w:r w:rsidR="00E308AE">
        <w:rPr>
          <w:rFonts w:cs="Arial" w:hint="cs"/>
          <w:rtl/>
        </w:rPr>
        <w:t>.</w:t>
      </w:r>
      <w:r w:rsidRPr="00CC3CA9">
        <w:rPr>
          <w:rFonts w:cs="Arial"/>
          <w:rtl/>
        </w:rPr>
        <w:t xml:space="preserve"> וגם ראיית העה"ג </w:t>
      </w:r>
      <w:r w:rsidR="004C511F">
        <w:rPr>
          <w:rFonts w:cs="Arial" w:hint="cs"/>
          <w:rtl/>
        </w:rPr>
        <w:t>(</w:t>
      </w:r>
      <w:r w:rsidRPr="00CC3CA9">
        <w:rPr>
          <w:rFonts w:cs="Arial"/>
          <w:rtl/>
        </w:rPr>
        <w:t>סי' ט</w:t>
      </w:r>
      <w:r w:rsidR="004C511F">
        <w:rPr>
          <w:rFonts w:cs="Arial" w:hint="cs"/>
          <w:rtl/>
        </w:rPr>
        <w:t>)</w:t>
      </w:r>
      <w:r w:rsidRPr="00CC3CA9">
        <w:rPr>
          <w:rFonts w:cs="Arial"/>
          <w:rtl/>
        </w:rPr>
        <w:t xml:space="preserve"> מדברי התוס' בכתובות </w:t>
      </w:r>
      <w:r>
        <w:rPr>
          <w:rFonts w:cs="Arial" w:hint="cs"/>
          <w:rtl/>
        </w:rPr>
        <w:t>(</w:t>
      </w:r>
      <w:r w:rsidRPr="00CC3CA9">
        <w:rPr>
          <w:rFonts w:cs="Arial"/>
          <w:rtl/>
        </w:rPr>
        <w:t>נא</w:t>
      </w:r>
      <w:r>
        <w:rPr>
          <w:rFonts w:cs="Arial" w:hint="cs"/>
          <w:rtl/>
        </w:rPr>
        <w:t>.</w:t>
      </w:r>
      <w:r w:rsidRPr="00CC3CA9">
        <w:rPr>
          <w:rFonts w:cs="Arial"/>
          <w:rtl/>
        </w:rPr>
        <w:t xml:space="preserve"> בד"ה קרקעי הובא בש"ע לעיל סעי' ג') אינה ראיה</w:t>
      </w:r>
      <w:r w:rsidR="004C511F">
        <w:rPr>
          <w:rFonts w:cs="Arial" w:hint="cs"/>
          <w:rtl/>
        </w:rPr>
        <w:t>.</w:t>
      </w:r>
      <w:r w:rsidRPr="00CC3CA9">
        <w:rPr>
          <w:rFonts w:cs="Arial"/>
          <w:rtl/>
        </w:rPr>
        <w:t xml:space="preserve"> ולכן עלה על דעתי שלדעת הרר"י והרא"ש קשה מאד להוציא מהיורשים פרנסה לבוגרת בסברות חלושות</w:t>
      </w:r>
      <w:r>
        <w:rPr>
          <w:rFonts w:cs="Arial" w:hint="cs"/>
          <w:rtl/>
        </w:rPr>
        <w:t>.</w:t>
      </w:r>
      <w:r w:rsidRPr="00CC3CA9">
        <w:rPr>
          <w:rFonts w:cs="Arial"/>
          <w:rtl/>
        </w:rPr>
        <w:t xml:space="preserve"> אבל מה אעשה והרמב"ם פסק להדיא שבגרה בחיי האב יש לה פרנסה</w:t>
      </w:r>
      <w:r w:rsidR="004C511F">
        <w:rPr>
          <w:rFonts w:cs="Arial" w:hint="cs"/>
          <w:rtl/>
        </w:rPr>
        <w:t>,</w:t>
      </w:r>
      <w:r w:rsidRPr="00CC3CA9">
        <w:rPr>
          <w:rFonts w:cs="Arial"/>
          <w:rtl/>
        </w:rPr>
        <w:t xml:space="preserve"> ומרן המחבר ג"כ סתם כמותו</w:t>
      </w:r>
      <w:r w:rsidR="004C511F">
        <w:rPr>
          <w:rFonts w:cs="Arial" w:hint="cs"/>
          <w:rtl/>
        </w:rPr>
        <w:t>,</w:t>
      </w:r>
      <w:r w:rsidRPr="00CC3CA9">
        <w:rPr>
          <w:rFonts w:cs="Arial"/>
          <w:rtl/>
        </w:rPr>
        <w:t xml:space="preserve"> רק רמ"א הביא דעת החולקים</w:t>
      </w:r>
      <w:r w:rsidR="00996835">
        <w:rPr>
          <w:rFonts w:cs="Arial" w:hint="cs"/>
          <w:rtl/>
        </w:rPr>
        <w:t>,</w:t>
      </w:r>
      <w:r w:rsidRPr="00CC3CA9">
        <w:rPr>
          <w:rFonts w:cs="Arial"/>
          <w:rtl/>
        </w:rPr>
        <w:t xml:space="preserve"> ועל דברי רמ"א הביא הב"ש דברי הט"ז הנ"ל וכבר פשט המנהג כדברי הט"ז וקשה לפסוק נגד המנהג עכ"ד ע"ש. ועמ"ש לעיל סי' נ סקט"ו</w:t>
      </w:r>
      <w:r>
        <w:rPr>
          <w:rFonts w:cs="Arial" w:hint="cs"/>
          <w:rtl/>
        </w:rPr>
        <w:t xml:space="preserve">, </w:t>
      </w:r>
      <w:r w:rsidRPr="00996835">
        <w:rPr>
          <w:rFonts w:cs="Arial" w:hint="cs"/>
          <w:b/>
          <w:bCs/>
          <w:rtl/>
        </w:rPr>
        <w:t>פת"ש</w:t>
      </w:r>
      <w:r>
        <w:rPr>
          <w:rFonts w:cs="Arial" w:hint="cs"/>
          <w:rtl/>
        </w:rPr>
        <w:t xml:space="preserve"> (סקי"ג).</w:t>
      </w:r>
    </w:p>
  </w:footnote>
  <w:footnote w:id="2733">
    <w:p w14:paraId="0EEB64A8" w14:textId="5D5D6690" w:rsidR="00392DBB" w:rsidRDefault="00392DBB" w:rsidP="00392DBB">
      <w:pPr>
        <w:pStyle w:val="a5"/>
      </w:pPr>
      <w:r>
        <w:rPr>
          <w:rStyle w:val="a7"/>
        </w:rPr>
        <w:footnoteRef/>
      </w:r>
      <w:r>
        <w:rPr>
          <w:rtl/>
        </w:rPr>
        <w:t xml:space="preserve"> </w:t>
      </w:r>
      <w:r w:rsidRPr="008016E2">
        <w:rPr>
          <w:rFonts w:cs="Arial"/>
          <w:rtl/>
        </w:rPr>
        <w:t>וכל אלו היכ</w:t>
      </w:r>
      <w:r w:rsidR="00647B5A">
        <w:rPr>
          <w:rFonts w:cs="Arial" w:hint="cs"/>
          <w:rtl/>
        </w:rPr>
        <w:t>א</w:t>
      </w:r>
      <w:r w:rsidRPr="008016E2">
        <w:rPr>
          <w:rFonts w:cs="Arial"/>
          <w:rtl/>
        </w:rPr>
        <w:t xml:space="preserve"> שהפסידה אין חילוק בין אם ידעה הדין לבין אם לא ידעה</w:t>
      </w:r>
      <w:r w:rsidR="00647B5A">
        <w:rPr>
          <w:rFonts w:cs="Arial" w:hint="cs"/>
          <w:rtl/>
        </w:rPr>
        <w:t>.</w:t>
      </w:r>
      <w:r w:rsidRPr="008016E2">
        <w:rPr>
          <w:rFonts w:cs="Arial"/>
          <w:rtl/>
        </w:rPr>
        <w:t xml:space="preserve"> ע</w:t>
      </w:r>
      <w:r w:rsidR="00647B5A">
        <w:rPr>
          <w:rFonts w:cs="Arial" w:hint="cs"/>
          <w:rtl/>
        </w:rPr>
        <w:t>י</w:t>
      </w:r>
      <w:r w:rsidRPr="008016E2">
        <w:rPr>
          <w:rFonts w:cs="Arial"/>
          <w:rtl/>
        </w:rPr>
        <w:t xml:space="preserve">' מהריב"ל </w:t>
      </w:r>
      <w:r w:rsidR="00647B5A">
        <w:rPr>
          <w:rFonts w:cs="Arial" w:hint="cs"/>
          <w:rtl/>
        </w:rPr>
        <w:t>(</w:t>
      </w:r>
      <w:r w:rsidRPr="008016E2">
        <w:rPr>
          <w:rFonts w:cs="Arial"/>
          <w:rtl/>
        </w:rPr>
        <w:t>סי' נ</w:t>
      </w:r>
      <w:r w:rsidR="00647B5A">
        <w:rPr>
          <w:rFonts w:cs="Arial" w:hint="cs"/>
          <w:rtl/>
        </w:rPr>
        <w:t>)</w:t>
      </w:r>
      <w:r>
        <w:rPr>
          <w:rFonts w:cs="Arial" w:hint="cs"/>
          <w:rtl/>
        </w:rPr>
        <w:t>, באה"ט (סקי"ט).</w:t>
      </w:r>
    </w:p>
  </w:footnote>
  <w:footnote w:id="2734">
    <w:p w14:paraId="77814151" w14:textId="78268C5C" w:rsidR="00392DBB" w:rsidRDefault="00392DBB" w:rsidP="00392DBB">
      <w:pPr>
        <w:pStyle w:val="a5"/>
        <w:rPr>
          <w:rtl/>
        </w:rPr>
      </w:pPr>
      <w:r>
        <w:rPr>
          <w:rStyle w:val="a7"/>
        </w:rPr>
        <w:footnoteRef/>
      </w:r>
      <w:r>
        <w:rPr>
          <w:rtl/>
        </w:rPr>
        <w:t xml:space="preserve"> </w:t>
      </w:r>
      <w:r w:rsidRPr="00C9116C">
        <w:rPr>
          <w:rFonts w:cs="Arial"/>
          <w:rtl/>
        </w:rPr>
        <w:t>היינו מטעם דלא אמרו חז"ל שויתר</w:t>
      </w:r>
      <w:r>
        <w:rPr>
          <w:rFonts w:cs="Arial" w:hint="cs"/>
          <w:rtl/>
        </w:rPr>
        <w:t>ה</w:t>
      </w:r>
      <w:r w:rsidRPr="00C9116C">
        <w:rPr>
          <w:rFonts w:cs="Arial"/>
          <w:rtl/>
        </w:rPr>
        <w:t xml:space="preserve"> אלא בכה"ג שהוא תקנות חז"ל</w:t>
      </w:r>
      <w:r w:rsidR="00996835">
        <w:rPr>
          <w:rFonts w:cs="Arial" w:hint="cs"/>
          <w:rtl/>
        </w:rPr>
        <w:t>,</w:t>
      </w:r>
      <w:r w:rsidRPr="00C9116C">
        <w:rPr>
          <w:rFonts w:cs="Arial"/>
          <w:rtl/>
        </w:rPr>
        <w:t xml:space="preserve"> אבל שאר זכות לא הפסידה אפילו אם שתקה</w:t>
      </w:r>
      <w:r>
        <w:rPr>
          <w:rFonts w:cs="Arial" w:hint="cs"/>
          <w:rtl/>
        </w:rPr>
        <w:t>.</w:t>
      </w:r>
      <w:r>
        <w:rPr>
          <w:rFonts w:hint="cs"/>
          <w:rtl/>
        </w:rPr>
        <w:t xml:space="preserve"> </w:t>
      </w:r>
      <w:r w:rsidRPr="00C9116C">
        <w:rPr>
          <w:rFonts w:cs="Arial"/>
          <w:rtl/>
        </w:rPr>
        <w:t xml:space="preserve">ועיין בגוף התשובה </w:t>
      </w:r>
      <w:r>
        <w:rPr>
          <w:rFonts w:cs="Arial" w:hint="cs"/>
          <w:rtl/>
        </w:rPr>
        <w:t>ד</w:t>
      </w:r>
      <w:r w:rsidRPr="00C9116C">
        <w:rPr>
          <w:rFonts w:cs="Arial"/>
          <w:rtl/>
        </w:rPr>
        <w:t>יש שם ט"</w:t>
      </w:r>
      <w:r>
        <w:rPr>
          <w:rFonts w:cs="Arial" w:hint="cs"/>
          <w:rtl/>
        </w:rPr>
        <w:t>ס</w:t>
      </w:r>
      <w:r w:rsidRPr="00C9116C">
        <w:rPr>
          <w:rFonts w:cs="Arial"/>
          <w:rtl/>
        </w:rPr>
        <w:t xml:space="preserve"> בסוף התשובה מ"ש </w:t>
      </w:r>
      <w:r>
        <w:rPr>
          <w:rFonts w:cs="Arial" w:hint="cs"/>
          <w:rtl/>
        </w:rPr>
        <w:t>'</w:t>
      </w:r>
      <w:r w:rsidRPr="00C9116C">
        <w:rPr>
          <w:rFonts w:cs="Arial"/>
          <w:rtl/>
        </w:rPr>
        <w:t>יותר משליש</w:t>
      </w:r>
      <w:r>
        <w:rPr>
          <w:rFonts w:cs="Arial" w:hint="cs"/>
          <w:rtl/>
        </w:rPr>
        <w:t>'</w:t>
      </w:r>
      <w:r w:rsidRPr="00C9116C">
        <w:rPr>
          <w:rFonts w:cs="Arial"/>
          <w:rtl/>
        </w:rPr>
        <w:t xml:space="preserve"> וצ"ל </w:t>
      </w:r>
      <w:r>
        <w:rPr>
          <w:rFonts w:cs="Arial" w:hint="cs"/>
          <w:rtl/>
        </w:rPr>
        <w:t>'</w:t>
      </w:r>
      <w:r w:rsidRPr="00C9116C">
        <w:rPr>
          <w:rFonts w:cs="Arial"/>
          <w:rtl/>
        </w:rPr>
        <w:t>פחות משליש</w:t>
      </w:r>
      <w:r>
        <w:rPr>
          <w:rFonts w:cs="Arial" w:hint="cs"/>
          <w:rtl/>
        </w:rPr>
        <w:t xml:space="preserve">', </w:t>
      </w:r>
      <w:r w:rsidRPr="00996835">
        <w:rPr>
          <w:rFonts w:cs="Arial" w:hint="cs"/>
          <w:b/>
          <w:bCs/>
          <w:rtl/>
        </w:rPr>
        <w:t>ב"ש</w:t>
      </w:r>
      <w:r>
        <w:rPr>
          <w:rFonts w:cs="Arial" w:hint="cs"/>
          <w:rtl/>
        </w:rPr>
        <w:t xml:space="preserve"> (סק"כ).</w:t>
      </w:r>
      <w:r>
        <w:rPr>
          <w:rFonts w:hint="cs"/>
          <w:rtl/>
        </w:rPr>
        <w:t xml:space="preserve"> </w:t>
      </w:r>
      <w:r w:rsidR="00996835">
        <w:rPr>
          <w:rFonts w:hint="cs"/>
          <w:rtl/>
        </w:rPr>
        <w:t xml:space="preserve">      </w:t>
      </w:r>
      <w:r>
        <w:rPr>
          <w:rFonts w:hint="cs"/>
          <w:rtl/>
        </w:rPr>
        <w:t xml:space="preserve">אך </w:t>
      </w:r>
      <w:r w:rsidRPr="00996835">
        <w:rPr>
          <w:rFonts w:hint="cs"/>
          <w:b/>
          <w:bCs/>
          <w:rtl/>
        </w:rPr>
        <w:t>הח"מ</w:t>
      </w:r>
      <w:r>
        <w:rPr>
          <w:rFonts w:hint="cs"/>
          <w:rtl/>
        </w:rPr>
        <w:t xml:space="preserve"> (סקכ"א) </w:t>
      </w:r>
      <w:r w:rsidRPr="00996835">
        <w:rPr>
          <w:rFonts w:hint="cs"/>
          <w:b/>
          <w:bCs/>
          <w:rtl/>
        </w:rPr>
        <w:t>והט"ז</w:t>
      </w:r>
      <w:r>
        <w:rPr>
          <w:rFonts w:hint="cs"/>
          <w:rtl/>
        </w:rPr>
        <w:t xml:space="preserve"> (סק"ט) חולקים על הבנת הרמ"א, ע"ש כל אחד לטעמו. וכתב הפת"ח (ח"ט פי"ב אות קלה) </w:t>
      </w:r>
      <w:r>
        <w:rPr>
          <w:rFonts w:cs="Arial"/>
          <w:rtl/>
        </w:rPr>
        <w:t xml:space="preserve">והנלע"ד בכונת הרשב"א במה שהוסיף תנאי שבזמן שישיאו אותה וכו' תטול נדוניא ותסתלק, שבא לומר שאם היא פסקה להכניס לבעלה פחות משליש הנכסים בנדוניא, מסתלקת מהשאר, אבל אם רוצה האח לפסוק לה שתכניס פחות משליש לאו כל כמיניה, ויכולה לתבוע עד שליש הנכסים, אא"כ היא עצמה לא הכניסה יותר, ועי' ברמ"א חו"מ </w:t>
      </w:r>
      <w:r w:rsidRPr="00EC664B">
        <w:rPr>
          <w:rFonts w:cs="Arial"/>
          <w:sz w:val="16"/>
          <w:szCs w:val="16"/>
          <w:rtl/>
        </w:rPr>
        <w:t>(סי</w:t>
      </w:r>
      <w:r w:rsidRPr="00EC664B">
        <w:rPr>
          <w:rFonts w:cs="Arial" w:hint="cs"/>
          <w:sz w:val="16"/>
          <w:szCs w:val="16"/>
          <w:rtl/>
        </w:rPr>
        <w:t>'</w:t>
      </w:r>
      <w:r w:rsidRPr="00EC664B">
        <w:rPr>
          <w:rFonts w:cs="Arial"/>
          <w:sz w:val="16"/>
          <w:szCs w:val="16"/>
          <w:rtl/>
        </w:rPr>
        <w:t xml:space="preserve"> רנג סע</w:t>
      </w:r>
      <w:r w:rsidRPr="00EC664B">
        <w:rPr>
          <w:rFonts w:cs="Arial" w:hint="cs"/>
          <w:sz w:val="16"/>
          <w:szCs w:val="16"/>
          <w:rtl/>
        </w:rPr>
        <w:t>'</w:t>
      </w:r>
      <w:r w:rsidRPr="00EC664B">
        <w:rPr>
          <w:rFonts w:cs="Arial"/>
          <w:sz w:val="16"/>
          <w:szCs w:val="16"/>
          <w:rtl/>
        </w:rPr>
        <w:t xml:space="preserve"> כד) </w:t>
      </w:r>
      <w:r>
        <w:rPr>
          <w:rFonts w:cs="Arial"/>
          <w:rtl/>
        </w:rPr>
        <w:t>שהעתיק דברי הרשב"א כלשונם</w:t>
      </w:r>
      <w:r>
        <w:rPr>
          <w:rFonts w:hint="cs"/>
          <w:rtl/>
        </w:rPr>
        <w:t xml:space="preserve"> </w:t>
      </w:r>
      <w:r w:rsidRPr="00162883">
        <w:rPr>
          <w:rFonts w:hint="cs"/>
          <w:sz w:val="16"/>
          <w:szCs w:val="16"/>
          <w:rtl/>
        </w:rPr>
        <w:t>(</w:t>
      </w:r>
      <w:r w:rsidRPr="00162883">
        <w:rPr>
          <w:rFonts w:cs="Arial"/>
          <w:sz w:val="16"/>
          <w:szCs w:val="16"/>
          <w:rtl/>
        </w:rPr>
        <w:t>ובהפלא"ה (בקו"א) הקשה למה לא תיטול השליש בנוסף על העישור נכסי, כמ"ש הרמ"א בחו"מ (סימן רנג סעיף ח), מי שאמר תטול בתי בנכסי כך וכך ולא הזכיר לנישואיה, נוטלת המתנה מלבד עישור נכסי שלה, ותירץ בערך ש"י באהע"ז דשאני בנדון הרשב"א שהזכיר בפירוש שאם תנשא בעצמה או ע"י אחיה תסתלק מהמתנה, הרי שגילה דעתו שאין בכונתו שתזכה גם במתנה וגם בהוצאות נישואיה</w:t>
      </w:r>
      <w:r>
        <w:rPr>
          <w:rFonts w:cs="Arial" w:hint="cs"/>
          <w:sz w:val="16"/>
          <w:szCs w:val="16"/>
          <w:rtl/>
        </w:rPr>
        <w:t>)</w:t>
      </w:r>
      <w:r>
        <w:rPr>
          <w:rFonts w:cs="Arial"/>
          <w:rtl/>
        </w:rPr>
        <w:t>.</w:t>
      </w:r>
      <w:r>
        <w:rPr>
          <w:rFonts w:hint="cs"/>
          <w:rtl/>
        </w:rPr>
        <w:t xml:space="preserve"> </w:t>
      </w:r>
      <w:r>
        <w:rPr>
          <w:rFonts w:cs="Arial"/>
          <w:rtl/>
        </w:rPr>
        <w:t>ומ"מ כיון שהרמ"א כתב לשון זה, אע</w:t>
      </w:r>
      <w:r>
        <w:rPr>
          <w:rFonts w:cs="Arial" w:hint="cs"/>
          <w:rtl/>
        </w:rPr>
        <w:t>"</w:t>
      </w:r>
      <w:r>
        <w:rPr>
          <w:rFonts w:cs="Arial"/>
          <w:rtl/>
        </w:rPr>
        <w:t xml:space="preserve">פ שאינו מפורש ברשב"א, הלכה היא, שלא אמרו שאם נשאת ושתקה מחלה אלא בנדוניא מחמת תקנה, אבל מה שמגיע לה עפ"י צוואת האב, חוב גמור הוא, ואין שתיקתה כמחילה. </w:t>
      </w:r>
    </w:p>
  </w:footnote>
  <w:footnote w:id="2735">
    <w:p w14:paraId="34B3BAC9" w14:textId="77777777" w:rsidR="00392DBB" w:rsidRDefault="00392DBB" w:rsidP="00392DBB">
      <w:pPr>
        <w:pStyle w:val="a5"/>
      </w:pPr>
      <w:r>
        <w:rPr>
          <w:rStyle w:val="a7"/>
        </w:rPr>
        <w:footnoteRef/>
      </w:r>
      <w:r>
        <w:rPr>
          <w:rtl/>
        </w:rPr>
        <w:t xml:space="preserve"> </w:t>
      </w:r>
      <w:r w:rsidRPr="00F939CB">
        <w:rPr>
          <w:rFonts w:cs="Arial"/>
          <w:rtl/>
        </w:rPr>
        <w:t>ונפלה הירושה לפני הבנות</w:t>
      </w:r>
      <w:r>
        <w:rPr>
          <w:rFonts w:cs="Arial" w:hint="cs"/>
          <w:rtl/>
        </w:rPr>
        <w:t>, רש"י.</w:t>
      </w:r>
    </w:p>
  </w:footnote>
  <w:footnote w:id="2736">
    <w:p w14:paraId="6E117C52" w14:textId="77777777" w:rsidR="00392DBB" w:rsidRDefault="00392DBB" w:rsidP="00392DBB">
      <w:pPr>
        <w:pStyle w:val="a5"/>
      </w:pPr>
      <w:r>
        <w:rPr>
          <w:rStyle w:val="a7"/>
        </w:rPr>
        <w:footnoteRef/>
      </w:r>
      <w:r>
        <w:rPr>
          <w:rtl/>
        </w:rPr>
        <w:t xml:space="preserve"> </w:t>
      </w:r>
      <w:r w:rsidRPr="00F939CB">
        <w:rPr>
          <w:rFonts w:cs="Arial"/>
          <w:rtl/>
        </w:rPr>
        <w:t>עישור נכסים ולא אמרי' תיטול עישור נכסים תחלה כמו שנטלה זו ואח"כ יחלוקו אלא זו שקדמה ונשאת זכתה ובת על הבת אין לה עישור נכסים שהרי שתיהן שוות בירושה</w:t>
      </w:r>
      <w:r>
        <w:rPr>
          <w:rFonts w:cs="Arial" w:hint="cs"/>
          <w:rtl/>
        </w:rPr>
        <w:t>, רש"י.</w:t>
      </w:r>
    </w:p>
  </w:footnote>
  <w:footnote w:id="2737">
    <w:p w14:paraId="2FDB44AF" w14:textId="77777777" w:rsidR="00392DBB" w:rsidRDefault="00392DBB" w:rsidP="00392DBB">
      <w:pPr>
        <w:pStyle w:val="a5"/>
        <w:rPr>
          <w:rtl/>
        </w:rPr>
      </w:pPr>
      <w:r>
        <w:rPr>
          <w:rStyle w:val="a7"/>
        </w:rPr>
        <w:footnoteRef/>
      </w:r>
      <w:r>
        <w:rPr>
          <w:rtl/>
        </w:rPr>
        <w:t xml:space="preserve"> </w:t>
      </w:r>
      <w:r w:rsidRPr="00F939CB">
        <w:rPr>
          <w:rFonts w:cs="Arial"/>
          <w:rtl/>
        </w:rPr>
        <w:t>שאפילו שיעבדו אחין את הנכסים יפה כח פרנסה לטרוף לקוחות וזו שהנכסים בעין אמרת ויתרה</w:t>
      </w:r>
      <w:r>
        <w:rPr>
          <w:rFonts w:hint="cs"/>
          <w:rtl/>
        </w:rPr>
        <w:t xml:space="preserve">, רש"י. </w:t>
      </w:r>
      <w:r>
        <w:rPr>
          <w:rFonts w:cs="Arial" w:hint="cs"/>
          <w:rtl/>
        </w:rPr>
        <w:t xml:space="preserve">אלא </w:t>
      </w:r>
      <w:r w:rsidRPr="00F939CB">
        <w:rPr>
          <w:rFonts w:cs="Arial"/>
          <w:rtl/>
        </w:rPr>
        <w:t>גם היא נוטלת עישור שלה ואחר כך יחלוקו</w:t>
      </w:r>
      <w:r>
        <w:rPr>
          <w:rFonts w:cs="Arial" w:hint="cs"/>
          <w:rtl/>
        </w:rPr>
        <w:t>, ב"י</w:t>
      </w:r>
      <w:r w:rsidRPr="00F939CB">
        <w:rPr>
          <w:rFonts w:cs="Arial"/>
          <w:rtl/>
        </w:rPr>
        <w:t>.</w:t>
      </w:r>
    </w:p>
  </w:footnote>
  <w:footnote w:id="2738">
    <w:p w14:paraId="09E6C0D3" w14:textId="77777777" w:rsidR="00392DBB" w:rsidRDefault="00392DBB" w:rsidP="00392DBB">
      <w:pPr>
        <w:pStyle w:val="a5"/>
        <w:rPr>
          <w:rtl/>
        </w:rPr>
      </w:pPr>
      <w:r>
        <w:rPr>
          <w:rStyle w:val="a7"/>
        </w:rPr>
        <w:footnoteRef/>
      </w:r>
      <w:r>
        <w:rPr>
          <w:rtl/>
        </w:rPr>
        <w:t xml:space="preserve"> </w:t>
      </w:r>
      <w:r w:rsidRPr="00516AC0">
        <w:rPr>
          <w:rFonts w:cs="Arial"/>
          <w:rtl/>
        </w:rPr>
        <w:t>אלא לאו שמיע ליה ולא קבלה ומשום הכי לא הדר נמי מהא דשתי בנות וכו'</w:t>
      </w:r>
      <w:r>
        <w:rPr>
          <w:rFonts w:hint="cs"/>
          <w:rtl/>
        </w:rPr>
        <w:t>, רש"י.</w:t>
      </w:r>
    </w:p>
  </w:footnote>
  <w:footnote w:id="2739">
    <w:p w14:paraId="74800A8F" w14:textId="77777777" w:rsidR="00392DBB" w:rsidRDefault="00392DBB" w:rsidP="00392DBB">
      <w:pPr>
        <w:pStyle w:val="a5"/>
      </w:pPr>
      <w:r>
        <w:rPr>
          <w:rStyle w:val="a7"/>
        </w:rPr>
        <w:footnoteRef/>
      </w:r>
      <w:r>
        <w:rPr>
          <w:rtl/>
        </w:rPr>
        <w:t xml:space="preserve"> </w:t>
      </w:r>
      <w:r w:rsidRPr="00516AC0">
        <w:rPr>
          <w:rFonts w:cs="Arial"/>
          <w:rtl/>
        </w:rPr>
        <w:t>מעיקרא</w:t>
      </w:r>
      <w:r>
        <w:rPr>
          <w:rFonts w:cs="Arial" w:hint="cs"/>
          <w:rtl/>
        </w:rPr>
        <w:t>,</w:t>
      </w:r>
      <w:r w:rsidRPr="00516AC0">
        <w:rPr>
          <w:rFonts w:cs="Arial"/>
          <w:rtl/>
        </w:rPr>
        <w:t xml:space="preserve"> וכי שמעה קיבלה</w:t>
      </w:r>
      <w:r>
        <w:rPr>
          <w:rFonts w:cs="Arial" w:hint="cs"/>
          <w:rtl/>
        </w:rPr>
        <w:t>.</w:t>
      </w:r>
      <w:r w:rsidRPr="00516AC0">
        <w:rPr>
          <w:rFonts w:cs="Arial"/>
          <w:rtl/>
        </w:rPr>
        <w:t xml:space="preserve"> וכי אותביה ר' חנינא כבר הוה שמיע ליה</w:t>
      </w:r>
      <w:r>
        <w:rPr>
          <w:rFonts w:cs="Arial" w:hint="cs"/>
          <w:rtl/>
        </w:rPr>
        <w:t>,</w:t>
      </w:r>
      <w:r w:rsidRPr="00516AC0">
        <w:rPr>
          <w:rFonts w:cs="Arial"/>
          <w:rtl/>
        </w:rPr>
        <w:t xml:space="preserve"> וקיבלה</w:t>
      </w:r>
      <w:r>
        <w:rPr>
          <w:rFonts w:cs="Arial" w:hint="cs"/>
          <w:rtl/>
        </w:rPr>
        <w:t xml:space="preserve">, </w:t>
      </w:r>
      <w:r w:rsidRPr="00516AC0">
        <w:rPr>
          <w:rFonts w:cs="Arial"/>
          <w:rtl/>
        </w:rPr>
        <w:t>ומש"ה לא א"ל מאן אמרה</w:t>
      </w:r>
      <w:r>
        <w:rPr>
          <w:rFonts w:cs="Arial" w:hint="cs"/>
          <w:rtl/>
        </w:rPr>
        <w:t>, רש"י.</w:t>
      </w:r>
    </w:p>
  </w:footnote>
  <w:footnote w:id="2740">
    <w:p w14:paraId="6F21FAB8" w14:textId="77777777" w:rsidR="00392DBB" w:rsidRDefault="00392DBB" w:rsidP="00392DBB">
      <w:pPr>
        <w:pStyle w:val="a5"/>
      </w:pPr>
      <w:r>
        <w:rPr>
          <w:rStyle w:val="a7"/>
        </w:rPr>
        <w:footnoteRef/>
      </w:r>
      <w:r>
        <w:rPr>
          <w:rtl/>
        </w:rPr>
        <w:t xml:space="preserve"> </w:t>
      </w:r>
      <w:r w:rsidRPr="00516AC0">
        <w:rPr>
          <w:rFonts w:cs="Arial"/>
          <w:rtl/>
        </w:rPr>
        <w:t>הא דלא הדר ביה ממאי דאמר שניה ויתרה</w:t>
      </w:r>
      <w:r>
        <w:rPr>
          <w:rFonts w:cs="Arial" w:hint="cs"/>
          <w:rtl/>
        </w:rPr>
        <w:t>, רש"י.</w:t>
      </w:r>
    </w:p>
  </w:footnote>
  <w:footnote w:id="2741">
    <w:p w14:paraId="059C5EE8" w14:textId="77777777" w:rsidR="00392DBB" w:rsidRDefault="00392DBB" w:rsidP="00392DBB">
      <w:pPr>
        <w:pStyle w:val="a5"/>
      </w:pPr>
      <w:r>
        <w:rPr>
          <w:rStyle w:val="a7"/>
        </w:rPr>
        <w:footnoteRef/>
      </w:r>
      <w:r>
        <w:rPr>
          <w:rtl/>
        </w:rPr>
        <w:t xml:space="preserve"> </w:t>
      </w:r>
      <w:r w:rsidRPr="004B5D9E">
        <w:rPr>
          <w:rFonts w:cs="Arial"/>
          <w:rtl/>
        </w:rPr>
        <w:t>שהרי נשתכרה הרבה שנוטלת חצי הירושה</w:t>
      </w:r>
      <w:r>
        <w:rPr>
          <w:rFonts w:cs="Arial" w:hint="cs"/>
          <w:rtl/>
        </w:rPr>
        <w:t>, רש"י.</w:t>
      </w:r>
    </w:p>
  </w:footnote>
  <w:footnote w:id="2742">
    <w:p w14:paraId="5AF199B6" w14:textId="77777777" w:rsidR="00392DBB" w:rsidRDefault="00392DBB" w:rsidP="00392DBB">
      <w:pPr>
        <w:pStyle w:val="a5"/>
        <w:rPr>
          <w:rtl/>
        </w:rPr>
      </w:pPr>
      <w:r>
        <w:rPr>
          <w:rStyle w:val="a7"/>
        </w:rPr>
        <w:footnoteRef/>
      </w:r>
      <w:r>
        <w:rPr>
          <w:rtl/>
        </w:rPr>
        <w:t xml:space="preserve"> </w:t>
      </w:r>
      <w:r>
        <w:rPr>
          <w:rFonts w:hint="cs"/>
          <w:rtl/>
        </w:rPr>
        <w:t>המושעבדים כאילו הם חריבים ואין מוציאים מהם לפרנסה.</w:t>
      </w:r>
    </w:p>
  </w:footnote>
  <w:footnote w:id="2743">
    <w:p w14:paraId="01A2B423" w14:textId="77777777" w:rsidR="00392DBB" w:rsidRDefault="00392DBB" w:rsidP="00392DBB">
      <w:pPr>
        <w:pStyle w:val="a5"/>
        <w:rPr>
          <w:rtl/>
        </w:rPr>
      </w:pPr>
      <w:r>
        <w:rPr>
          <w:rStyle w:val="a7"/>
        </w:rPr>
        <w:footnoteRef/>
      </w:r>
      <w:r>
        <w:rPr>
          <w:rtl/>
        </w:rPr>
        <w:t xml:space="preserve"> </w:t>
      </w:r>
      <w:r w:rsidRPr="00A3392E">
        <w:rPr>
          <w:rFonts w:cs="Arial"/>
          <w:rtl/>
        </w:rPr>
        <w:t>דהכא ליכא ריוח ביתא שאפילו בתורת ירושה לא תטול אחת יותר מעישור</w:t>
      </w:r>
      <w:r>
        <w:rPr>
          <w:rFonts w:cs="Arial" w:hint="cs"/>
          <w:rtl/>
        </w:rPr>
        <w:t>.</w:t>
      </w:r>
      <w:r w:rsidRPr="00A3392E">
        <w:rPr>
          <w:rFonts w:cs="Arial"/>
          <w:rtl/>
        </w:rPr>
        <w:t xml:space="preserve"> מכל מקום משמע דהיכא דשעבד</w:t>
      </w:r>
      <w:r>
        <w:rPr>
          <w:rFonts w:cs="Arial" w:hint="cs"/>
          <w:sz w:val="16"/>
          <w:szCs w:val="16"/>
          <w:rtl/>
        </w:rPr>
        <w:t xml:space="preserve"> </w:t>
      </w:r>
      <w:r w:rsidRPr="00A3392E">
        <w:rPr>
          <w:rFonts w:cs="Arial"/>
          <w:rtl/>
        </w:rPr>
        <w:t xml:space="preserve">הבן </w:t>
      </w:r>
      <w:r>
        <w:rPr>
          <w:rFonts w:cs="Arial" w:hint="cs"/>
          <w:sz w:val="16"/>
          <w:szCs w:val="16"/>
          <w:rtl/>
        </w:rPr>
        <w:t>{את הנכסים לבע"ח וכדו'}</w:t>
      </w:r>
      <w:r w:rsidRPr="00A3392E">
        <w:rPr>
          <w:rFonts w:cs="Arial"/>
          <w:rtl/>
        </w:rPr>
        <w:t xml:space="preserve"> </w:t>
      </w:r>
      <w:r>
        <w:rPr>
          <w:rFonts w:cs="Arial" w:hint="cs"/>
          <w:rtl/>
        </w:rPr>
        <w:t xml:space="preserve">- </w:t>
      </w:r>
      <w:r w:rsidRPr="00A3392E">
        <w:rPr>
          <w:rFonts w:cs="Arial"/>
          <w:rtl/>
        </w:rPr>
        <w:t>נוטלת עישור</w:t>
      </w:r>
      <w:r>
        <w:rPr>
          <w:rFonts w:cs="Arial" w:hint="cs"/>
          <w:rtl/>
        </w:rPr>
        <w:t>.</w:t>
      </w:r>
      <w:r w:rsidRPr="00A3392E">
        <w:rPr>
          <w:rFonts w:cs="Arial"/>
          <w:rtl/>
        </w:rPr>
        <w:t xml:space="preserve"> שאילו נדון אותה יורשת</w:t>
      </w:r>
      <w:r>
        <w:rPr>
          <w:rFonts w:cs="Arial" w:hint="cs"/>
          <w:rtl/>
        </w:rPr>
        <w:t>,</w:t>
      </w:r>
      <w:r w:rsidRPr="00A3392E">
        <w:rPr>
          <w:rFonts w:cs="Arial"/>
          <w:rtl/>
        </w:rPr>
        <w:t xml:space="preserve"> לא תטול כלום</w:t>
      </w:r>
      <w:r>
        <w:rPr>
          <w:rFonts w:cs="Arial" w:hint="cs"/>
          <w:rtl/>
        </w:rPr>
        <w:t>.</w:t>
      </w:r>
      <w:r w:rsidRPr="00A3392E">
        <w:rPr>
          <w:rFonts w:cs="Arial"/>
          <w:rtl/>
        </w:rPr>
        <w:t xml:space="preserve"> ומדין עישור מוציאין לפרנסה</w:t>
      </w:r>
      <w:r>
        <w:rPr>
          <w:rFonts w:cs="Arial" w:hint="cs"/>
          <w:rtl/>
        </w:rPr>
        <w:t>.</w:t>
      </w:r>
      <w:r w:rsidRPr="00A3392E">
        <w:rPr>
          <w:rFonts w:cs="Arial"/>
          <w:rtl/>
        </w:rPr>
        <w:t xml:space="preserve"> ונמצא שאין בירושה ריוח אלא הפסד</w:t>
      </w:r>
      <w:r>
        <w:rPr>
          <w:rFonts w:cs="Arial" w:hint="cs"/>
          <w:rtl/>
        </w:rPr>
        <w:t>, ר"ן (ל: ד"ה תלא)</w:t>
      </w:r>
      <w:r w:rsidRPr="00A3392E">
        <w:rPr>
          <w:rFonts w:cs="Arial" w:hint="cs"/>
          <w:rtl/>
        </w:rPr>
        <w:t>.</w:t>
      </w:r>
      <w:r>
        <w:rPr>
          <w:rFonts w:hint="cs"/>
          <w:rtl/>
        </w:rPr>
        <w:t xml:space="preserve"> וכ"פ ח"מ (סקכ"ג) וב"ש (סקכ"א).</w:t>
      </w:r>
    </w:p>
  </w:footnote>
  <w:footnote w:id="2744">
    <w:p w14:paraId="51A473B1" w14:textId="190999B5" w:rsidR="00284737" w:rsidRDefault="00284737" w:rsidP="00284737">
      <w:pPr>
        <w:pStyle w:val="a5"/>
      </w:pPr>
      <w:r>
        <w:rPr>
          <w:rStyle w:val="a7"/>
        </w:rPr>
        <w:footnoteRef/>
      </w:r>
      <w:r>
        <w:rPr>
          <w:rtl/>
        </w:rPr>
        <w:t xml:space="preserve"> </w:t>
      </w:r>
      <w:r>
        <w:rPr>
          <w:rFonts w:cs="Arial" w:hint="cs"/>
          <w:rtl/>
        </w:rPr>
        <w:t>סימן - (מה אתה) סח.</w:t>
      </w:r>
      <w:r w:rsidR="00D001F0">
        <w:rPr>
          <w:rFonts w:hint="cs"/>
          <w:rtl/>
        </w:rPr>
        <w:t xml:space="preserve"> וכן - סכום חתונה</w:t>
      </w:r>
      <w:r w:rsidR="005C6E6F">
        <w:rPr>
          <w:rFonts w:hint="cs"/>
          <w:rtl/>
        </w:rPr>
        <w:t>, סתם חיוב</w:t>
      </w:r>
      <w:r w:rsidR="00D001F0">
        <w:rPr>
          <w:rFonts w:hint="cs"/>
          <w:rtl/>
        </w:rPr>
        <w:t>.</w:t>
      </w:r>
    </w:p>
  </w:footnote>
  <w:footnote w:id="2745">
    <w:p w14:paraId="59E54E19" w14:textId="77777777" w:rsidR="00392DBB" w:rsidRDefault="00392DBB" w:rsidP="00392DBB">
      <w:pPr>
        <w:pStyle w:val="a5"/>
        <w:rPr>
          <w:rtl/>
        </w:rPr>
      </w:pPr>
      <w:r>
        <w:rPr>
          <w:rStyle w:val="a7"/>
        </w:rPr>
        <w:footnoteRef/>
      </w:r>
      <w:r>
        <w:rPr>
          <w:rtl/>
        </w:rPr>
        <w:t xml:space="preserve"> </w:t>
      </w:r>
      <w:r w:rsidRPr="0054586D">
        <w:rPr>
          <w:rFonts w:cs="Arial"/>
          <w:rtl/>
        </w:rPr>
        <w:t>ובב"ח כתב דאין זה רק לגי' רב האי אבל לגי' רש"י שומעין לו</w:t>
      </w:r>
      <w:r>
        <w:rPr>
          <w:rFonts w:cs="Arial" w:hint="cs"/>
          <w:rtl/>
        </w:rPr>
        <w:t>,</w:t>
      </w:r>
      <w:r w:rsidRPr="0054586D">
        <w:rPr>
          <w:rFonts w:cs="Arial"/>
          <w:rtl/>
        </w:rPr>
        <w:t xml:space="preserve"> ובב"י לא כ"כ עיין בתחלת הסי'</w:t>
      </w:r>
      <w:r>
        <w:rPr>
          <w:rFonts w:hint="cs"/>
          <w:rtl/>
        </w:rPr>
        <w:t>, ח"מ (סקכ"ד).</w:t>
      </w:r>
    </w:p>
  </w:footnote>
  <w:footnote w:id="2746">
    <w:p w14:paraId="4CF1F571" w14:textId="45051796" w:rsidR="00392DBB" w:rsidRDefault="00392DBB" w:rsidP="00392DBB">
      <w:pPr>
        <w:pStyle w:val="a5"/>
      </w:pPr>
      <w:r>
        <w:rPr>
          <w:rStyle w:val="a7"/>
        </w:rPr>
        <w:footnoteRef/>
      </w:r>
      <w:r>
        <w:rPr>
          <w:rtl/>
        </w:rPr>
        <w:t xml:space="preserve"> </w:t>
      </w:r>
      <w:r>
        <w:rPr>
          <w:rFonts w:hint="cs"/>
          <w:rtl/>
        </w:rPr>
        <w:t xml:space="preserve">סימן </w:t>
      </w:r>
      <w:r w:rsidR="00F97626">
        <w:rPr>
          <w:rtl/>
        </w:rPr>
        <w:t>-</w:t>
      </w:r>
      <w:r>
        <w:rPr>
          <w:rFonts w:hint="cs"/>
          <w:rtl/>
        </w:rPr>
        <w:t xml:space="preserve"> קנין באמירה. וכן </w:t>
      </w:r>
      <w:r w:rsidR="00F97626">
        <w:rPr>
          <w:rtl/>
        </w:rPr>
        <w:t>-</w:t>
      </w:r>
      <w:r>
        <w:rPr>
          <w:rFonts w:hint="cs"/>
          <w:rtl/>
        </w:rPr>
        <w:t xml:space="preserve"> קנין קיחה בת.</w:t>
      </w:r>
    </w:p>
  </w:footnote>
  <w:footnote w:id="2747">
    <w:p w14:paraId="7961C59E" w14:textId="77777777" w:rsidR="00392DBB" w:rsidRDefault="00392DBB" w:rsidP="00392DBB">
      <w:pPr>
        <w:pStyle w:val="a5"/>
      </w:pPr>
      <w:r>
        <w:rPr>
          <w:rStyle w:val="a7"/>
        </w:rPr>
        <w:footnoteRef/>
      </w:r>
      <w:r>
        <w:rPr>
          <w:rtl/>
        </w:rPr>
        <w:t xml:space="preserve"> </w:t>
      </w:r>
      <w:r>
        <w:rPr>
          <w:rFonts w:cs="Arial"/>
          <w:rtl/>
        </w:rPr>
        <w:t>ולא ידעתי למה הוצרך רבינו להאריך בזה דמהיכא תיסק אדעתין שיתחייב לבת אשתו שום דבר</w:t>
      </w:r>
      <w:r>
        <w:rPr>
          <w:rFonts w:cs="Arial" w:hint="cs"/>
          <w:rtl/>
        </w:rPr>
        <w:t>, ב"י.</w:t>
      </w:r>
    </w:p>
  </w:footnote>
  <w:footnote w:id="2748">
    <w:p w14:paraId="36E728DF" w14:textId="7B15D8C4" w:rsidR="00392DBB" w:rsidRDefault="00392DBB" w:rsidP="00392DBB">
      <w:pPr>
        <w:pStyle w:val="a5"/>
        <w:rPr>
          <w:rFonts w:cs="Arial"/>
          <w:rtl/>
        </w:rPr>
      </w:pPr>
      <w:r>
        <w:rPr>
          <w:rStyle w:val="a7"/>
        </w:rPr>
        <w:footnoteRef/>
      </w:r>
      <w:r>
        <w:rPr>
          <w:rtl/>
        </w:rPr>
        <w:t xml:space="preserve"> </w:t>
      </w:r>
      <w:r>
        <w:rPr>
          <w:rFonts w:cs="Arial"/>
          <w:rtl/>
        </w:rPr>
        <w:t>משמע בהדיא דכל שקנו מידו אפילו שלא בשעת קידושין חייב</w:t>
      </w:r>
      <w:r>
        <w:rPr>
          <w:rFonts w:cs="Arial" w:hint="cs"/>
          <w:rtl/>
        </w:rPr>
        <w:t>.</w:t>
      </w:r>
      <w:r>
        <w:rPr>
          <w:rFonts w:cs="Arial"/>
          <w:rtl/>
        </w:rPr>
        <w:t xml:space="preserve"> ו</w:t>
      </w:r>
      <w:r>
        <w:rPr>
          <w:rFonts w:cs="Arial" w:hint="cs"/>
          <w:rtl/>
        </w:rPr>
        <w:t>קשה, ד</w:t>
      </w:r>
      <w:r>
        <w:rPr>
          <w:rFonts w:cs="Arial"/>
          <w:rtl/>
        </w:rPr>
        <w:t>בפי"א מהל</w:t>
      </w:r>
      <w:r>
        <w:rPr>
          <w:rFonts w:cs="Arial" w:hint="cs"/>
          <w:rtl/>
        </w:rPr>
        <w:t xml:space="preserve">' </w:t>
      </w:r>
      <w:r>
        <w:rPr>
          <w:rFonts w:cs="Arial"/>
          <w:rtl/>
        </w:rPr>
        <w:t xml:space="preserve">מכירה </w:t>
      </w:r>
      <w:r w:rsidRPr="006E7145">
        <w:rPr>
          <w:rFonts w:cs="Arial" w:hint="cs"/>
          <w:sz w:val="16"/>
          <w:szCs w:val="16"/>
          <w:rtl/>
        </w:rPr>
        <w:t xml:space="preserve">(הט"ז-יז, </w:t>
      </w:r>
      <w:r w:rsidR="0061020A">
        <w:rPr>
          <w:rFonts w:cs="Arial" w:hint="cs"/>
          <w:sz w:val="16"/>
          <w:szCs w:val="16"/>
          <w:rtl/>
        </w:rPr>
        <w:t>וז</w:t>
      </w:r>
      <w:r w:rsidR="0061020A">
        <w:rPr>
          <w:rFonts w:cs="Arial"/>
          <w:sz w:val="16"/>
          <w:szCs w:val="16"/>
          <w:rtl/>
        </w:rPr>
        <w:t>"</w:t>
      </w:r>
      <w:r w:rsidR="0061020A">
        <w:rPr>
          <w:rFonts w:cs="Arial" w:hint="cs"/>
          <w:sz w:val="16"/>
          <w:szCs w:val="16"/>
          <w:rtl/>
        </w:rPr>
        <w:t>ל:</w:t>
      </w:r>
      <w:r w:rsidRPr="006E7145">
        <w:rPr>
          <w:rFonts w:cs="Arial" w:hint="cs"/>
          <w:sz w:val="16"/>
          <w:szCs w:val="16"/>
          <w:rtl/>
        </w:rPr>
        <w:t xml:space="preserve"> </w:t>
      </w:r>
      <w:r w:rsidRPr="006E7145">
        <w:rPr>
          <w:rFonts w:cs="Arial"/>
          <w:sz w:val="16"/>
          <w:szCs w:val="16"/>
          <w:rtl/>
        </w:rPr>
        <w:t>חייב עצמו בדבר שאינו קצוב, כגון שאמר הריני חייב לזון אותך או לכסות חמש שנים, אע</w:t>
      </w:r>
      <w:r>
        <w:rPr>
          <w:rFonts w:cs="Arial" w:hint="cs"/>
          <w:sz w:val="16"/>
          <w:szCs w:val="16"/>
          <w:rtl/>
        </w:rPr>
        <w:t>"</w:t>
      </w:r>
      <w:r w:rsidRPr="006E7145">
        <w:rPr>
          <w:rFonts w:cs="Arial"/>
          <w:sz w:val="16"/>
          <w:szCs w:val="16"/>
          <w:rtl/>
        </w:rPr>
        <w:t>פ שקנו מידו לא נשתעבד, שזו כמו מתנה היא ואין כאן דבר ידוע ומצוי שנתנו במתנה, וכן הורו רבותי. ומפני מה הפוסק עם אשתו שיהיה זן את בתה חייב לזונה, מפני שפסק בשעת נשואין והדבר דומה לדברים הנקנין באמירה</w:t>
      </w:r>
      <w:r>
        <w:rPr>
          <w:rFonts w:cs="Arial" w:hint="cs"/>
          <w:sz w:val="16"/>
          <w:szCs w:val="16"/>
          <w:rtl/>
        </w:rPr>
        <w:t>. עכ"ל. ועיין שם ובחו"מ [סי' ס] מה שהקשו על דבריו</w:t>
      </w:r>
      <w:r w:rsidRPr="006E7145">
        <w:rPr>
          <w:rFonts w:cs="Arial" w:hint="cs"/>
          <w:sz w:val="16"/>
          <w:szCs w:val="16"/>
          <w:rtl/>
        </w:rPr>
        <w:t xml:space="preserve">) </w:t>
      </w:r>
      <w:r>
        <w:rPr>
          <w:rFonts w:cs="Arial" w:hint="cs"/>
          <w:rtl/>
        </w:rPr>
        <w:t xml:space="preserve">משמע </w:t>
      </w:r>
      <w:r>
        <w:rPr>
          <w:rFonts w:cs="Arial"/>
          <w:rtl/>
        </w:rPr>
        <w:t>שהמחייב את עצמו לזון כך וכך שנים אע</w:t>
      </w:r>
      <w:r>
        <w:rPr>
          <w:rFonts w:cs="Arial" w:hint="cs"/>
          <w:rtl/>
        </w:rPr>
        <w:t>"</w:t>
      </w:r>
      <w:r>
        <w:rPr>
          <w:rFonts w:cs="Arial"/>
          <w:rtl/>
        </w:rPr>
        <w:t xml:space="preserve">פ שקנו מידו אינו משועבד אם לא שפסק בשעת נישואין. </w:t>
      </w:r>
      <w:r w:rsidRPr="0053062D">
        <w:rPr>
          <w:rFonts w:cs="Arial" w:hint="cs"/>
          <w:u w:val="single"/>
          <w:rtl/>
        </w:rPr>
        <w:t>וכתב הב"י בזה מספר תירוצים</w:t>
      </w:r>
      <w:r>
        <w:rPr>
          <w:rFonts w:cs="Arial" w:hint="cs"/>
          <w:rtl/>
        </w:rPr>
        <w:t>:</w:t>
      </w:r>
    </w:p>
    <w:p w14:paraId="5D17D132" w14:textId="77777777" w:rsidR="00392DBB" w:rsidRDefault="00392DBB" w:rsidP="009000E3">
      <w:pPr>
        <w:pStyle w:val="a5"/>
        <w:numPr>
          <w:ilvl w:val="0"/>
          <w:numId w:val="73"/>
        </w:numPr>
        <w:rPr>
          <w:rFonts w:cs="Arial"/>
        </w:rPr>
      </w:pPr>
      <w:r>
        <w:rPr>
          <w:rFonts w:cs="Arial"/>
          <w:rtl/>
        </w:rPr>
        <w:t>י"ל דכשהוא בשעת קידושין באמירה בעלמא סגי</w:t>
      </w:r>
      <w:r>
        <w:rPr>
          <w:rFonts w:cs="Arial" w:hint="cs"/>
          <w:rtl/>
        </w:rPr>
        <w:t>,</w:t>
      </w:r>
      <w:r>
        <w:rPr>
          <w:rFonts w:cs="Arial"/>
          <w:rtl/>
        </w:rPr>
        <w:t xml:space="preserve"> וכדרב גדל (קב.)</w:t>
      </w:r>
      <w:r>
        <w:rPr>
          <w:rFonts w:cs="Arial" w:hint="cs"/>
          <w:rtl/>
        </w:rPr>
        <w:t>.</w:t>
      </w:r>
      <w:r>
        <w:rPr>
          <w:rFonts w:cs="Arial"/>
          <w:rtl/>
        </w:rPr>
        <w:t xml:space="preserve"> וכשהוא שלא בשעת קידושין</w:t>
      </w:r>
      <w:r>
        <w:rPr>
          <w:rFonts w:cs="Arial" w:hint="cs"/>
          <w:rtl/>
        </w:rPr>
        <w:t>,</w:t>
      </w:r>
      <w:r>
        <w:rPr>
          <w:rFonts w:cs="Arial"/>
          <w:rtl/>
        </w:rPr>
        <w:t xml:space="preserve"> כלו</w:t>
      </w:r>
      <w:r>
        <w:rPr>
          <w:rFonts w:cs="Arial" w:hint="cs"/>
          <w:rtl/>
        </w:rPr>
        <w:t>מר</w:t>
      </w:r>
      <w:r>
        <w:rPr>
          <w:rFonts w:cs="Arial"/>
          <w:rtl/>
        </w:rPr>
        <w:t xml:space="preserve"> שכבר עברו הקידושין אבל לא נשאו עדיין</w:t>
      </w:r>
      <w:r>
        <w:rPr>
          <w:rFonts w:cs="Arial" w:hint="cs"/>
          <w:rtl/>
        </w:rPr>
        <w:t>,</w:t>
      </w:r>
      <w:r>
        <w:rPr>
          <w:rFonts w:cs="Arial"/>
          <w:rtl/>
        </w:rPr>
        <w:t xml:space="preserve"> מתוך שהוא על עסקי הנישואין מהני התנאי דכיון שעדיין לא נשא שייך קצת לומר מגו דמחתני אהדדי גמרי ומקני</w:t>
      </w:r>
      <w:r>
        <w:rPr>
          <w:rFonts w:cs="Arial" w:hint="cs"/>
          <w:rtl/>
        </w:rPr>
        <w:t>.</w:t>
      </w:r>
      <w:r>
        <w:rPr>
          <w:rFonts w:cs="Arial"/>
          <w:rtl/>
        </w:rPr>
        <w:t xml:space="preserve"> ומתוך שכבר קידש לא דמי לענין נישואין ולכך צריך קנין או כתיבה</w:t>
      </w:r>
      <w:r>
        <w:rPr>
          <w:rFonts w:cs="Arial" w:hint="cs"/>
          <w:rtl/>
        </w:rPr>
        <w:t>.</w:t>
      </w:r>
      <w:r>
        <w:rPr>
          <w:rFonts w:cs="Arial"/>
          <w:rtl/>
        </w:rPr>
        <w:t xml:space="preserve"> וזהו שכתב בהלכות מכירה ומפני מה הפוסק דבר עם אשתו וכו'</w:t>
      </w:r>
      <w:r>
        <w:rPr>
          <w:rFonts w:cs="Arial" w:hint="cs"/>
          <w:rtl/>
        </w:rPr>
        <w:t>,</w:t>
      </w:r>
      <w:r>
        <w:rPr>
          <w:rFonts w:cs="Arial"/>
          <w:rtl/>
        </w:rPr>
        <w:t xml:space="preserve"> כלומר פוסק לזון את בת אשתו אפילו בקנין</w:t>
      </w:r>
      <w:r>
        <w:rPr>
          <w:rFonts w:cs="Arial" w:hint="cs"/>
          <w:rtl/>
        </w:rPr>
        <w:t>,</w:t>
      </w:r>
      <w:r>
        <w:rPr>
          <w:rFonts w:cs="Arial"/>
          <w:rtl/>
        </w:rPr>
        <w:t xml:space="preserve"> מפני מה הוא חייב לזונה </w:t>
      </w:r>
      <w:r>
        <w:rPr>
          <w:rFonts w:cs="Arial" w:hint="cs"/>
          <w:rtl/>
        </w:rPr>
        <w:t>- '</w:t>
      </w:r>
      <w:r>
        <w:rPr>
          <w:rFonts w:cs="Arial"/>
          <w:rtl/>
        </w:rPr>
        <w:t>מפני שפסק בשעת נישואין והדבר דומה לדברים הנקנים באמירה</w:t>
      </w:r>
      <w:r>
        <w:rPr>
          <w:rFonts w:cs="Arial" w:hint="cs"/>
          <w:rtl/>
        </w:rPr>
        <w:t>'.</w:t>
      </w:r>
      <w:r>
        <w:rPr>
          <w:rFonts w:cs="Arial"/>
          <w:rtl/>
        </w:rPr>
        <w:t xml:space="preserve"> כלומר אע</w:t>
      </w:r>
      <w:r>
        <w:rPr>
          <w:rFonts w:cs="Arial" w:hint="cs"/>
          <w:rtl/>
        </w:rPr>
        <w:t>"</w:t>
      </w:r>
      <w:r>
        <w:rPr>
          <w:rFonts w:cs="Arial"/>
          <w:rtl/>
        </w:rPr>
        <w:t xml:space="preserve">פ שאינם נקנין באמירה אבל הם דומים להם מתוך שעדיין לא נשאה. </w:t>
      </w:r>
    </w:p>
    <w:p w14:paraId="75C1515D" w14:textId="77777777" w:rsidR="00392DBB" w:rsidRDefault="00392DBB" w:rsidP="009000E3">
      <w:pPr>
        <w:pStyle w:val="a5"/>
        <w:numPr>
          <w:ilvl w:val="0"/>
          <w:numId w:val="73"/>
        </w:numPr>
        <w:rPr>
          <w:rFonts w:cs="Arial"/>
        </w:rPr>
      </w:pPr>
      <w:r w:rsidRPr="0053062D">
        <w:rPr>
          <w:rFonts w:cs="Arial"/>
          <w:rtl/>
        </w:rPr>
        <w:t>ע</w:t>
      </w:r>
      <w:r w:rsidRPr="0053062D">
        <w:rPr>
          <w:rFonts w:cs="Arial" w:hint="cs"/>
          <w:rtl/>
        </w:rPr>
        <w:t xml:space="preserve">וד </w:t>
      </w:r>
      <w:r w:rsidRPr="0053062D">
        <w:rPr>
          <w:rFonts w:cs="Arial"/>
          <w:rtl/>
        </w:rPr>
        <w:t>י"ל דג' חילוקים בדבר</w:t>
      </w:r>
      <w:r w:rsidRPr="0053062D">
        <w:rPr>
          <w:rFonts w:cs="Arial" w:hint="cs"/>
          <w:rtl/>
        </w:rPr>
        <w:t>:</w:t>
      </w:r>
      <w:r w:rsidRPr="0053062D">
        <w:rPr>
          <w:rFonts w:cs="Arial"/>
          <w:rtl/>
        </w:rPr>
        <w:t xml:space="preserve"> לחבירו</w:t>
      </w:r>
      <w:r w:rsidRPr="0053062D">
        <w:rPr>
          <w:rFonts w:cs="Arial" w:hint="cs"/>
          <w:rtl/>
        </w:rPr>
        <w:t xml:space="preserve"> -</w:t>
      </w:r>
      <w:r w:rsidRPr="0053062D">
        <w:rPr>
          <w:rFonts w:cs="Arial"/>
          <w:rtl/>
        </w:rPr>
        <w:t xml:space="preserve"> אפילו בקנין לא מהני</w:t>
      </w:r>
      <w:r w:rsidRPr="0053062D">
        <w:rPr>
          <w:rFonts w:cs="Arial" w:hint="cs"/>
          <w:rtl/>
        </w:rPr>
        <w:t>.</w:t>
      </w:r>
      <w:r w:rsidRPr="0053062D">
        <w:rPr>
          <w:rFonts w:cs="Arial"/>
          <w:rtl/>
        </w:rPr>
        <w:t xml:space="preserve"> אבל לבת אשתו</w:t>
      </w:r>
      <w:r w:rsidRPr="0053062D">
        <w:rPr>
          <w:rFonts w:cs="Arial" w:hint="cs"/>
          <w:rtl/>
        </w:rPr>
        <w:t>,</w:t>
      </w:r>
      <w:r w:rsidRPr="0053062D">
        <w:rPr>
          <w:rFonts w:cs="Arial"/>
          <w:rtl/>
        </w:rPr>
        <w:t xml:space="preserve"> אם קיבל עליו לזונה בשעת קידושין או נישואין </w:t>
      </w:r>
      <w:r w:rsidRPr="0053062D">
        <w:rPr>
          <w:rFonts w:cs="Arial" w:hint="cs"/>
          <w:rtl/>
        </w:rPr>
        <w:t xml:space="preserve">- </w:t>
      </w:r>
      <w:r w:rsidRPr="0053062D">
        <w:rPr>
          <w:rFonts w:cs="Arial"/>
          <w:rtl/>
        </w:rPr>
        <w:t>סגי באמירה בעלמא</w:t>
      </w:r>
      <w:r w:rsidRPr="0053062D">
        <w:rPr>
          <w:rFonts w:cs="Arial" w:hint="cs"/>
          <w:rtl/>
        </w:rPr>
        <w:t>.</w:t>
      </w:r>
      <w:r w:rsidRPr="0053062D">
        <w:rPr>
          <w:rFonts w:cs="Arial"/>
          <w:rtl/>
        </w:rPr>
        <w:t xml:space="preserve"> ושלא בשעת קידושין ונישואין </w:t>
      </w:r>
      <w:r w:rsidRPr="0053062D">
        <w:rPr>
          <w:rFonts w:cs="Arial" w:hint="cs"/>
          <w:rtl/>
        </w:rPr>
        <w:t xml:space="preserve">- </w:t>
      </w:r>
      <w:r w:rsidRPr="0053062D">
        <w:rPr>
          <w:rFonts w:cs="Arial"/>
          <w:rtl/>
        </w:rPr>
        <w:t xml:space="preserve">בקנין מהני. </w:t>
      </w:r>
    </w:p>
    <w:p w14:paraId="145B53B3" w14:textId="77777777" w:rsidR="00392DBB" w:rsidRPr="0053062D" w:rsidRDefault="00392DBB" w:rsidP="009000E3">
      <w:pPr>
        <w:pStyle w:val="a5"/>
        <w:numPr>
          <w:ilvl w:val="0"/>
          <w:numId w:val="73"/>
        </w:numPr>
        <w:rPr>
          <w:rFonts w:cs="Arial"/>
        </w:rPr>
      </w:pPr>
      <w:r w:rsidRPr="0053062D">
        <w:rPr>
          <w:rFonts w:cs="Arial"/>
          <w:rtl/>
        </w:rPr>
        <w:t>ע</w:t>
      </w:r>
      <w:r w:rsidRPr="0053062D">
        <w:rPr>
          <w:rFonts w:cs="Arial" w:hint="cs"/>
          <w:rtl/>
        </w:rPr>
        <w:t xml:space="preserve">וד </w:t>
      </w:r>
      <w:r w:rsidRPr="0053062D">
        <w:rPr>
          <w:rFonts w:cs="Arial"/>
          <w:rtl/>
        </w:rPr>
        <w:t xml:space="preserve">י"ל דכי אמרינן שהדברים הללו נקנין באמירה </w:t>
      </w:r>
      <w:r w:rsidRPr="0053062D">
        <w:rPr>
          <w:rFonts w:cs="Arial" w:hint="cs"/>
          <w:rtl/>
        </w:rPr>
        <w:t xml:space="preserve">- </w:t>
      </w:r>
      <w:r w:rsidRPr="0053062D">
        <w:rPr>
          <w:rFonts w:cs="Arial"/>
          <w:rtl/>
        </w:rPr>
        <w:t>היינו דוקא בשעמדו וקידשו מתוך הדברים</w:t>
      </w:r>
      <w:r w:rsidRPr="0053062D">
        <w:rPr>
          <w:rFonts w:cs="Arial" w:hint="cs"/>
          <w:rtl/>
        </w:rPr>
        <w:t>.</w:t>
      </w:r>
      <w:r w:rsidRPr="0053062D">
        <w:rPr>
          <w:rFonts w:cs="Arial"/>
          <w:rtl/>
        </w:rPr>
        <w:t xml:space="preserve"> אבל כשלא עמדו וקידשו מתוך הדברים</w:t>
      </w:r>
      <w:r w:rsidRPr="0053062D">
        <w:rPr>
          <w:rFonts w:cs="Arial" w:hint="cs"/>
          <w:rtl/>
        </w:rPr>
        <w:t>,</w:t>
      </w:r>
      <w:r w:rsidRPr="0053062D">
        <w:rPr>
          <w:rFonts w:cs="Arial"/>
          <w:rtl/>
        </w:rPr>
        <w:t xml:space="preserve"> מתוך שעסוקין בענין נישואין ועדיין לא נשאה </w:t>
      </w:r>
      <w:r w:rsidRPr="0053062D">
        <w:rPr>
          <w:rFonts w:cs="Arial" w:hint="cs"/>
          <w:rtl/>
        </w:rPr>
        <w:t xml:space="preserve">- </w:t>
      </w:r>
      <w:r w:rsidRPr="0053062D">
        <w:rPr>
          <w:rFonts w:cs="Arial"/>
          <w:rtl/>
        </w:rPr>
        <w:t>מהני קנין</w:t>
      </w:r>
      <w:r w:rsidRPr="0053062D">
        <w:rPr>
          <w:rFonts w:cs="Arial" w:hint="cs"/>
          <w:rtl/>
        </w:rPr>
        <w:t>.</w:t>
      </w:r>
    </w:p>
  </w:footnote>
  <w:footnote w:id="2749">
    <w:p w14:paraId="0EA6B7B2" w14:textId="77777777" w:rsidR="00392DBB" w:rsidRDefault="00392DBB" w:rsidP="00392DBB">
      <w:pPr>
        <w:pStyle w:val="a5"/>
        <w:rPr>
          <w:rtl/>
        </w:rPr>
      </w:pPr>
      <w:r>
        <w:rPr>
          <w:rStyle w:val="a7"/>
        </w:rPr>
        <w:footnoteRef/>
      </w:r>
      <w:r>
        <w:rPr>
          <w:rtl/>
        </w:rPr>
        <w:t xml:space="preserve"> </w:t>
      </w:r>
      <w:r>
        <w:rPr>
          <w:rFonts w:cs="Arial"/>
          <w:rtl/>
        </w:rPr>
        <w:t>וטעמו משום דס"ל ז"ל שאין אדם מחייב עצמו בדבר שאינו קצוב</w:t>
      </w:r>
      <w:r>
        <w:rPr>
          <w:rFonts w:hint="cs"/>
          <w:rtl/>
        </w:rPr>
        <w:t xml:space="preserve">, ב"י. ועיין בחו"מ סי' ס סע' ב במחלוקת מתי אדם יכול להתחייב בדבר שאינו קצוב. </w:t>
      </w:r>
    </w:p>
  </w:footnote>
  <w:footnote w:id="2750">
    <w:p w14:paraId="2CE1EDF3" w14:textId="77777777" w:rsidR="00392DBB" w:rsidRDefault="00392DBB" w:rsidP="00392DBB">
      <w:pPr>
        <w:pStyle w:val="a5"/>
      </w:pPr>
      <w:r>
        <w:rPr>
          <w:rStyle w:val="a7"/>
        </w:rPr>
        <w:footnoteRef/>
      </w:r>
      <w:r>
        <w:rPr>
          <w:rtl/>
        </w:rPr>
        <w:t xml:space="preserve"> </w:t>
      </w:r>
      <w:r w:rsidRPr="004D225A">
        <w:rPr>
          <w:rFonts w:cs="Arial"/>
          <w:rtl/>
        </w:rPr>
        <w:t>אבל לא בכסות וכמו שיתבאר בסמוך סעי' י"ב וגם אינו חייב ברפואתה וכמ"ש בסמוך סעי' ו'</w:t>
      </w:r>
      <w:r>
        <w:rPr>
          <w:rFonts w:cs="Arial" w:hint="cs"/>
          <w:rtl/>
        </w:rPr>
        <w:t>.</w:t>
      </w:r>
      <w:r w:rsidRPr="004D225A">
        <w:rPr>
          <w:rFonts w:cs="Arial"/>
          <w:rtl/>
        </w:rPr>
        <w:t xml:space="preserve"> ועי' בח</w:t>
      </w:r>
      <w:r>
        <w:rPr>
          <w:rFonts w:cs="Arial" w:hint="cs"/>
          <w:rtl/>
        </w:rPr>
        <w:t>ו</w:t>
      </w:r>
      <w:r w:rsidRPr="004D225A">
        <w:rPr>
          <w:rFonts w:cs="Arial"/>
          <w:rtl/>
        </w:rPr>
        <w:t>"מ סי' ס' פסק שם שהמחייב לזון חבירו צריך ליתן לו דמים אם לא שהתנה בפי' לזונו על שלחנו ונרא' דכאן סתמא כאלו התנה דלא עדיפ' מאמה</w:t>
      </w:r>
      <w:r>
        <w:rPr>
          <w:rFonts w:cs="Arial" w:hint="cs"/>
          <w:rtl/>
        </w:rPr>
        <w:t xml:space="preserve">, </w:t>
      </w:r>
      <w:r w:rsidRPr="00993432">
        <w:rPr>
          <w:rFonts w:cs="Arial" w:hint="cs"/>
          <w:b/>
          <w:bCs/>
          <w:rtl/>
        </w:rPr>
        <w:t>ח"מ</w:t>
      </w:r>
      <w:r>
        <w:rPr>
          <w:rFonts w:cs="Arial" w:hint="cs"/>
          <w:rtl/>
        </w:rPr>
        <w:t xml:space="preserve"> (סק"א).</w:t>
      </w:r>
      <w:r w:rsidRPr="00E931A9">
        <w:rPr>
          <w:rtl/>
        </w:rPr>
        <w:t xml:space="preserve"> </w:t>
      </w:r>
      <w:r>
        <w:rPr>
          <w:rFonts w:cs="Arial" w:hint="cs"/>
          <w:rtl/>
        </w:rPr>
        <w:t>ולאו דוקא משום דלא עדיפא מאמה אלא</w:t>
      </w:r>
      <w:r w:rsidRPr="00E931A9">
        <w:rPr>
          <w:rFonts w:cs="Arial"/>
          <w:rtl/>
        </w:rPr>
        <w:t xml:space="preserve"> אפי' בעלמא א"צ לשלם הדמים כשאין לו מזונו' ממקום אחר</w:t>
      </w:r>
      <w:r>
        <w:rPr>
          <w:rFonts w:cs="Arial" w:hint="cs"/>
          <w:rtl/>
        </w:rPr>
        <w:t xml:space="preserve">, </w:t>
      </w:r>
      <w:r w:rsidRPr="00993432">
        <w:rPr>
          <w:rFonts w:cs="Arial" w:hint="cs"/>
          <w:b/>
          <w:bCs/>
          <w:rtl/>
        </w:rPr>
        <w:t>ב"ש</w:t>
      </w:r>
      <w:r>
        <w:rPr>
          <w:rFonts w:cs="Arial" w:hint="cs"/>
          <w:rtl/>
        </w:rPr>
        <w:t xml:space="preserve"> (סק"ב).</w:t>
      </w:r>
    </w:p>
  </w:footnote>
  <w:footnote w:id="2751">
    <w:p w14:paraId="72724549" w14:textId="77777777" w:rsidR="00392DBB" w:rsidRDefault="00392DBB" w:rsidP="00392DBB">
      <w:pPr>
        <w:pStyle w:val="a5"/>
      </w:pPr>
      <w:r>
        <w:rPr>
          <w:rStyle w:val="a7"/>
        </w:rPr>
        <w:footnoteRef/>
      </w:r>
      <w:r>
        <w:rPr>
          <w:rtl/>
        </w:rPr>
        <w:t xml:space="preserve"> </w:t>
      </w:r>
      <w:r w:rsidRPr="004D225A">
        <w:rPr>
          <w:rFonts w:cs="Arial"/>
          <w:rtl/>
        </w:rPr>
        <w:t>דכיון דלא פירשו חזקה דדעתה על הראשונו'</w:t>
      </w:r>
      <w:r>
        <w:rPr>
          <w:rFonts w:cs="Arial" w:hint="cs"/>
          <w:rtl/>
        </w:rPr>
        <w:t>.</w:t>
      </w:r>
      <w:r w:rsidRPr="004D225A">
        <w:rPr>
          <w:rFonts w:cs="Arial"/>
          <w:rtl/>
        </w:rPr>
        <w:t xml:space="preserve"> ובב"ח כתב שאם לא פסקה מנין השנים די בשנה אחת</w:t>
      </w:r>
      <w:r>
        <w:rPr>
          <w:rFonts w:cs="Arial" w:hint="cs"/>
          <w:rtl/>
        </w:rPr>
        <w:t>.</w:t>
      </w:r>
      <w:r w:rsidRPr="004D225A">
        <w:rPr>
          <w:rFonts w:cs="Arial"/>
          <w:rtl/>
        </w:rPr>
        <w:t xml:space="preserve"> ואין דבריו ברורים</w:t>
      </w:r>
      <w:r>
        <w:rPr>
          <w:rFonts w:cs="Arial" w:hint="cs"/>
          <w:rtl/>
        </w:rPr>
        <w:t>,</w:t>
      </w:r>
      <w:r w:rsidRPr="004D225A">
        <w:rPr>
          <w:rFonts w:cs="Arial"/>
          <w:rtl/>
        </w:rPr>
        <w:t xml:space="preserve"> עיין בסמ"ע בסי' ס' </w:t>
      </w:r>
      <w:r>
        <w:rPr>
          <w:rFonts w:cs="Arial" w:hint="cs"/>
          <w:rtl/>
        </w:rPr>
        <w:t xml:space="preserve">(סקט"ז) </w:t>
      </w:r>
      <w:r w:rsidRPr="004D225A">
        <w:rPr>
          <w:rFonts w:cs="Arial"/>
          <w:rtl/>
        </w:rPr>
        <w:t>כי דבריו ברורים שם</w:t>
      </w:r>
      <w:r>
        <w:rPr>
          <w:rFonts w:cs="Arial" w:hint="cs"/>
          <w:rtl/>
        </w:rPr>
        <w:t>, ח"מ (סק"ב).</w:t>
      </w:r>
    </w:p>
  </w:footnote>
  <w:footnote w:id="2752">
    <w:p w14:paraId="24D902B3" w14:textId="77777777" w:rsidR="00392DBB" w:rsidRDefault="00392DBB" w:rsidP="00392DBB">
      <w:pPr>
        <w:pStyle w:val="a5"/>
      </w:pPr>
      <w:r>
        <w:rPr>
          <w:rStyle w:val="a7"/>
        </w:rPr>
        <w:footnoteRef/>
      </w:r>
      <w:r>
        <w:rPr>
          <w:rtl/>
        </w:rPr>
        <w:t xml:space="preserve"> </w:t>
      </w:r>
      <w:r w:rsidRPr="003754EB">
        <w:rPr>
          <w:rFonts w:cs="Arial"/>
          <w:rtl/>
        </w:rPr>
        <w:t>הרא"ש מדמה דינים אלו לגזלן דצריך לשלם כשעת הגזילה לכן אפילו אם רוצה לזון אותה עכשיו חייב לשלם לה, וכתב בט"ז דוקא דשכיח אבל יוקר דאינו שכיח הוי כאונס דלא שכיח ולא קיבל עליו</w:t>
      </w:r>
      <w:r>
        <w:rPr>
          <w:rFonts w:cs="Arial" w:hint="cs"/>
          <w:rtl/>
        </w:rPr>
        <w:t>, ב"ש (סק"ג).</w:t>
      </w:r>
    </w:p>
  </w:footnote>
  <w:footnote w:id="2753">
    <w:p w14:paraId="34494633" w14:textId="77777777" w:rsidR="00392DBB" w:rsidRDefault="00392DBB" w:rsidP="00392DBB">
      <w:pPr>
        <w:pStyle w:val="a5"/>
      </w:pPr>
      <w:r>
        <w:rPr>
          <w:rStyle w:val="a7"/>
        </w:rPr>
        <w:footnoteRef/>
      </w:r>
      <w:r>
        <w:rPr>
          <w:rtl/>
        </w:rPr>
        <w:t xml:space="preserve"> </w:t>
      </w:r>
      <w:r w:rsidRPr="003754EB">
        <w:rPr>
          <w:rFonts w:cs="Arial"/>
          <w:rtl/>
        </w:rPr>
        <w:t>נראה היינו אם אין רוצה לזונה על שלחנו משלם לה דמים כשער של עכשיו אבל אם רוצה יכול לומר לה אני מוכן עדיין ליתן לך מזונו' על שלחני שכבר כתבתי לפני זה בס"ק א' דלא עדיפא מאמה וא"צ ליתן לה דמים</w:t>
      </w:r>
      <w:r>
        <w:rPr>
          <w:rFonts w:cs="Arial" w:hint="cs"/>
          <w:rtl/>
        </w:rPr>
        <w:t>, ח"מ (סק"ג).</w:t>
      </w:r>
    </w:p>
  </w:footnote>
  <w:footnote w:id="2754">
    <w:p w14:paraId="7A16DCB4" w14:textId="77777777" w:rsidR="00392DBB" w:rsidRDefault="00392DBB" w:rsidP="00392DBB">
      <w:pPr>
        <w:pStyle w:val="a5"/>
      </w:pPr>
      <w:r>
        <w:rPr>
          <w:rStyle w:val="a7"/>
        </w:rPr>
        <w:footnoteRef/>
      </w:r>
      <w:r>
        <w:rPr>
          <w:rtl/>
        </w:rPr>
        <w:t xml:space="preserve"> </w:t>
      </w:r>
      <w:r w:rsidRPr="00C81756">
        <w:rPr>
          <w:rFonts w:cs="Arial"/>
          <w:rtl/>
        </w:rPr>
        <w:t>בת אשתו שקיבל על עצמו לזונה</w:t>
      </w:r>
      <w:r>
        <w:rPr>
          <w:rFonts w:cs="Arial" w:hint="cs"/>
          <w:rtl/>
        </w:rPr>
        <w:t xml:space="preserve">, קרבן העדה. </w:t>
      </w:r>
    </w:p>
  </w:footnote>
  <w:footnote w:id="2755">
    <w:p w14:paraId="5A1DDED9" w14:textId="77777777" w:rsidR="00392DBB" w:rsidRDefault="00392DBB" w:rsidP="00392DBB">
      <w:pPr>
        <w:pStyle w:val="a5"/>
        <w:rPr>
          <w:rtl/>
        </w:rPr>
      </w:pPr>
      <w:r>
        <w:rPr>
          <w:rStyle w:val="a7"/>
        </w:rPr>
        <w:footnoteRef/>
      </w:r>
      <w:r>
        <w:rPr>
          <w:rtl/>
        </w:rPr>
        <w:t xml:space="preserve"> </w:t>
      </w:r>
      <w:r w:rsidRPr="00472F3D">
        <w:rPr>
          <w:rFonts w:cs="Arial"/>
          <w:rtl/>
        </w:rPr>
        <w:t>זאת אומרת שהוא חייב במזונותיה ומעשה ידיה של בעלה דהא כיון שהבעל חייב במזונותיה וודאי מעשה ידיה שלו דהא תקנו מזונות תחת מעשה ידיה ה"נ כשהיא פנויה מעשה ידיה שלה</w:t>
      </w:r>
      <w:r>
        <w:rPr>
          <w:rFonts w:hint="cs"/>
          <w:rtl/>
        </w:rPr>
        <w:t xml:space="preserve">, קרבן העדה. </w:t>
      </w:r>
    </w:p>
  </w:footnote>
  <w:footnote w:id="2756">
    <w:p w14:paraId="46FB159B" w14:textId="77777777" w:rsidR="00392DBB" w:rsidRDefault="00392DBB" w:rsidP="00392DBB">
      <w:pPr>
        <w:pStyle w:val="a5"/>
      </w:pPr>
      <w:r>
        <w:rPr>
          <w:rStyle w:val="a7"/>
        </w:rPr>
        <w:footnoteRef/>
      </w:r>
      <w:r>
        <w:rPr>
          <w:rtl/>
        </w:rPr>
        <w:t xml:space="preserve"> </w:t>
      </w:r>
      <w:r w:rsidRPr="00472F3D">
        <w:rPr>
          <w:rFonts w:cs="Arial"/>
          <w:rtl/>
        </w:rPr>
        <w:t>דוקא באשתו ובניו תקנו חז"ל מ"י שלו הוא אבל המתחייב את עצמו לזון לאחר לא זכה במ"י</w:t>
      </w:r>
      <w:r>
        <w:rPr>
          <w:rFonts w:cs="Arial" w:hint="cs"/>
          <w:rtl/>
        </w:rPr>
        <w:t>, ב"ש (סק"ה).</w:t>
      </w:r>
    </w:p>
  </w:footnote>
  <w:footnote w:id="2757">
    <w:p w14:paraId="2978AEEE" w14:textId="43ECF677" w:rsidR="00392DBB" w:rsidRDefault="00392DBB" w:rsidP="00392DBB">
      <w:pPr>
        <w:pStyle w:val="a5"/>
        <w:rPr>
          <w:rtl/>
        </w:rPr>
      </w:pPr>
      <w:r>
        <w:rPr>
          <w:rStyle w:val="a7"/>
        </w:rPr>
        <w:footnoteRef/>
      </w:r>
      <w:r>
        <w:rPr>
          <w:rtl/>
        </w:rPr>
        <w:t xml:space="preserve"> </w:t>
      </w:r>
      <w:r w:rsidRPr="00CF5559">
        <w:rPr>
          <w:rFonts w:cs="Arial"/>
          <w:rtl/>
        </w:rPr>
        <w:t>דאי</w:t>
      </w:r>
      <w:r>
        <w:rPr>
          <w:rFonts w:cs="Arial" w:hint="cs"/>
          <w:rtl/>
        </w:rPr>
        <w:t>נה יכולה</w:t>
      </w:r>
      <w:r w:rsidRPr="00CF5559">
        <w:rPr>
          <w:rFonts w:cs="Arial"/>
          <w:rtl/>
        </w:rPr>
        <w:t xml:space="preserve"> לחוב אותה. מכאן יש ללמוד אם האב עשה חיתון עם בתו ואח"כ נתרצו האב והחתן לבטל החיתון דאין להאב רשות לבטל החיתון בלי רצון בתו. ואם בתו ברשותו כגון שהיא קטנה או נערה יוכל לבטל החיתון בלא רצונה</w:t>
      </w:r>
      <w:r w:rsidR="007D740F">
        <w:rPr>
          <w:rFonts w:cs="Arial" w:hint="cs"/>
          <w:rtl/>
        </w:rPr>
        <w:t>.</w:t>
      </w:r>
      <w:r w:rsidRPr="00CF5559">
        <w:rPr>
          <w:rFonts w:cs="Arial"/>
          <w:rtl/>
        </w:rPr>
        <w:t xml:space="preserve"> ט"ז ב"ש</w:t>
      </w:r>
      <w:r>
        <w:rPr>
          <w:rFonts w:cs="Arial" w:hint="cs"/>
          <w:rtl/>
        </w:rPr>
        <w:t xml:space="preserve"> (סק"ו)</w:t>
      </w:r>
      <w:r w:rsidRPr="00CF5559">
        <w:rPr>
          <w:rFonts w:cs="Arial"/>
          <w:rtl/>
        </w:rPr>
        <w:t>. ועיין בתשובת הרשב"א סי' תתע"ג והבי' בהג"ה בח"מ ס"ס של"ג לענין מלמד אצל בה"ב ע"ש</w:t>
      </w:r>
      <w:r>
        <w:rPr>
          <w:rFonts w:hint="cs"/>
          <w:rtl/>
        </w:rPr>
        <w:t>, באה"ט (סק"ה).</w:t>
      </w:r>
    </w:p>
  </w:footnote>
  <w:footnote w:id="2758">
    <w:p w14:paraId="15DBAF37" w14:textId="77640459" w:rsidR="00392DBB" w:rsidRDefault="00392DBB" w:rsidP="00392DBB">
      <w:pPr>
        <w:pStyle w:val="a5"/>
      </w:pPr>
      <w:r>
        <w:rPr>
          <w:rStyle w:val="a7"/>
        </w:rPr>
        <w:footnoteRef/>
      </w:r>
      <w:r>
        <w:rPr>
          <w:rtl/>
        </w:rPr>
        <w:t xml:space="preserve"> </w:t>
      </w:r>
      <w:r>
        <w:rPr>
          <w:rFonts w:hint="cs"/>
          <w:rtl/>
        </w:rPr>
        <w:t xml:space="preserve">סימן </w:t>
      </w:r>
      <w:r w:rsidR="00F97626">
        <w:rPr>
          <w:rtl/>
        </w:rPr>
        <w:t>-</w:t>
      </w:r>
      <w:r>
        <w:rPr>
          <w:rFonts w:hint="cs"/>
          <w:rtl/>
        </w:rPr>
        <w:t xml:space="preserve"> קנין באמירה. וכן </w:t>
      </w:r>
      <w:r w:rsidR="00F97626">
        <w:rPr>
          <w:rtl/>
        </w:rPr>
        <w:t>-</w:t>
      </w:r>
      <w:r>
        <w:rPr>
          <w:rFonts w:hint="cs"/>
          <w:rtl/>
        </w:rPr>
        <w:t xml:space="preserve"> קנין קיחה בת.</w:t>
      </w:r>
    </w:p>
  </w:footnote>
  <w:footnote w:id="2759">
    <w:p w14:paraId="27DD80C9" w14:textId="77777777" w:rsidR="00392DBB" w:rsidRDefault="00392DBB" w:rsidP="00392DBB">
      <w:pPr>
        <w:pStyle w:val="a5"/>
      </w:pPr>
      <w:r>
        <w:rPr>
          <w:rStyle w:val="a7"/>
        </w:rPr>
        <w:footnoteRef/>
      </w:r>
      <w:r>
        <w:rPr>
          <w:rtl/>
        </w:rPr>
        <w:t xml:space="preserve"> </w:t>
      </w:r>
      <w:r w:rsidRPr="00581D8B">
        <w:rPr>
          <w:rFonts w:cs="Arial"/>
          <w:rtl/>
        </w:rPr>
        <w:t>נתנו חכמים כתיבה לדבר אם באו להחתים עדים בדברים הללו שהן בלא קנין</w:t>
      </w:r>
      <w:r>
        <w:rPr>
          <w:rFonts w:cs="Arial" w:hint="cs"/>
          <w:rtl/>
        </w:rPr>
        <w:t>, רש"י.</w:t>
      </w:r>
    </w:p>
  </w:footnote>
  <w:footnote w:id="2760">
    <w:p w14:paraId="77A27482" w14:textId="77777777" w:rsidR="00392DBB" w:rsidRDefault="00392DBB" w:rsidP="00392DBB">
      <w:pPr>
        <w:pStyle w:val="a5"/>
      </w:pPr>
      <w:r>
        <w:rPr>
          <w:rStyle w:val="a7"/>
        </w:rPr>
        <w:footnoteRef/>
      </w:r>
      <w:r>
        <w:rPr>
          <w:rtl/>
        </w:rPr>
        <w:t xml:space="preserve"> </w:t>
      </w:r>
      <w:r w:rsidRPr="00581D8B">
        <w:rPr>
          <w:rFonts w:cs="Arial"/>
          <w:rtl/>
        </w:rPr>
        <w:t>דלא ליטרוף ממשעבדי וכיון דליכא קנין לא משתעבדי נכסי</w:t>
      </w:r>
      <w:r>
        <w:rPr>
          <w:rFonts w:cs="Arial" w:hint="cs"/>
          <w:rtl/>
        </w:rPr>
        <w:t>, רש"י.</w:t>
      </w:r>
    </w:p>
  </w:footnote>
  <w:footnote w:id="2761">
    <w:p w14:paraId="2E5CA919" w14:textId="77777777" w:rsidR="00392DBB" w:rsidRDefault="00392DBB" w:rsidP="00392DBB">
      <w:pPr>
        <w:pStyle w:val="a5"/>
      </w:pPr>
      <w:r>
        <w:rPr>
          <w:rStyle w:val="a7"/>
        </w:rPr>
        <w:footnoteRef/>
      </w:r>
      <w:r>
        <w:rPr>
          <w:rtl/>
        </w:rPr>
        <w:t xml:space="preserve"> </w:t>
      </w:r>
      <w:r>
        <w:rPr>
          <w:rFonts w:cs="Arial"/>
          <w:rtl/>
        </w:rPr>
        <w:t xml:space="preserve">כ"כ הרמב"ם </w:t>
      </w:r>
      <w:r>
        <w:rPr>
          <w:rFonts w:cs="Arial" w:hint="cs"/>
          <w:rtl/>
        </w:rPr>
        <w:t>(</w:t>
      </w:r>
      <w:r>
        <w:rPr>
          <w:rFonts w:cs="Arial"/>
          <w:rtl/>
        </w:rPr>
        <w:t>פכ"ג מאישות הי"ח) וטעמו מדגרסינן בפרק הנושא (קב:) א"ל רבינא לרב אשי דברים הללו ניתנו ליכתב או לא ניתנו ליכתב א"ל לא ניתנו ליכתב ואותביה עליה מדתנן שאם מת היא נזונת מנכסים משועבדים מפני שהיא כב"ח ושני הכא במאי עסקינן בשקנו מידו והוא ז"ל מפרש כדכתב הר"ן (סא. ד"ה דברים) דמשמע מדברי הרי"ף (קידושין ה:) דהכי בעא מיניה דברים הללו ניתנו ליכתב שאם נכתבו תורת שטר עליהם לגבו' ממשעבדי או לא א"ל לא ניתנו ליכתב שאפילו נכתבו אין כתיבתו עושה שטר לגבות ממשעבדי שלא עלה על דעתם להשתעבד משום הנאת איחתוני אלא אצל בני חרי ולא אצל משעבדי</w:t>
      </w:r>
      <w:r>
        <w:rPr>
          <w:rFonts w:cs="Arial" w:hint="cs"/>
          <w:rtl/>
        </w:rPr>
        <w:t>, ב"י.</w:t>
      </w:r>
    </w:p>
  </w:footnote>
  <w:footnote w:id="2762">
    <w:p w14:paraId="33CFDFF3" w14:textId="77777777" w:rsidR="00392DBB" w:rsidRDefault="00392DBB" w:rsidP="00392DBB">
      <w:pPr>
        <w:pStyle w:val="a5"/>
        <w:rPr>
          <w:rtl/>
        </w:rPr>
      </w:pPr>
      <w:r>
        <w:rPr>
          <w:rStyle w:val="a7"/>
        </w:rPr>
        <w:footnoteRef/>
      </w:r>
      <w:r>
        <w:rPr>
          <w:rtl/>
        </w:rPr>
        <w:t xml:space="preserve"> </w:t>
      </w:r>
      <w:r w:rsidRPr="00A55D7A">
        <w:rPr>
          <w:rFonts w:cs="Arial"/>
          <w:rtl/>
        </w:rPr>
        <w:t>לאו דוקא מת אפילו בחייו הרי היא כב"ח ולא נקט מת משום דבמשנה מחלק בין בנותיו שניזונו' מנכסים ב"ח והיא ניזונית מנכסים משועבדים וע"כ נקט מת משום בנותיו דאין להם מזונו' בתנאי ב"ד אלא לאחר מותו</w:t>
      </w:r>
      <w:r>
        <w:rPr>
          <w:rFonts w:hint="cs"/>
          <w:rtl/>
        </w:rPr>
        <w:t>, ח"מ (סק"ה).</w:t>
      </w:r>
    </w:p>
  </w:footnote>
  <w:footnote w:id="2763">
    <w:p w14:paraId="48CF4C23" w14:textId="77777777" w:rsidR="00392DBB" w:rsidRDefault="00392DBB" w:rsidP="00392DBB">
      <w:pPr>
        <w:pStyle w:val="a5"/>
      </w:pPr>
      <w:r>
        <w:rPr>
          <w:rStyle w:val="a7"/>
        </w:rPr>
        <w:footnoteRef/>
      </w:r>
      <w:r>
        <w:rPr>
          <w:rtl/>
        </w:rPr>
        <w:t xml:space="preserve"> </w:t>
      </w:r>
      <w:r>
        <w:rPr>
          <w:rFonts w:cs="Arial" w:hint="cs"/>
          <w:rtl/>
        </w:rPr>
        <w:t xml:space="preserve">אבל </w:t>
      </w:r>
      <w:r w:rsidRPr="00A55D7A">
        <w:rPr>
          <w:rFonts w:cs="Arial"/>
          <w:rtl/>
        </w:rPr>
        <w:t xml:space="preserve">אם יש כאן בני חורין </w:t>
      </w:r>
      <w:r>
        <w:rPr>
          <w:rFonts w:cs="Arial" w:hint="cs"/>
          <w:rtl/>
        </w:rPr>
        <w:t xml:space="preserve">- </w:t>
      </w:r>
      <w:r w:rsidRPr="00A55D7A">
        <w:rPr>
          <w:rFonts w:cs="Arial"/>
          <w:rtl/>
        </w:rPr>
        <w:t>גובין מן היורשים אפי' בלא קנין</w:t>
      </w:r>
      <w:r>
        <w:rPr>
          <w:rFonts w:cs="Arial" w:hint="cs"/>
          <w:rtl/>
        </w:rPr>
        <w:t>,</w:t>
      </w:r>
      <w:r w:rsidRPr="00A55D7A">
        <w:rPr>
          <w:rFonts w:cs="Arial"/>
          <w:rtl/>
        </w:rPr>
        <w:t xml:space="preserve"> דהא מלוה ע"פ כשהוא תוך זמן גובין מן היורשים וכאן תוך זמן הוא דהא מת תוך ה' שנים</w:t>
      </w:r>
      <w:r>
        <w:rPr>
          <w:rFonts w:cs="Arial" w:hint="cs"/>
          <w:rtl/>
        </w:rPr>
        <w:t>.</w:t>
      </w:r>
      <w:r w:rsidRPr="00A55D7A">
        <w:rPr>
          <w:rFonts w:cs="Arial"/>
          <w:rtl/>
        </w:rPr>
        <w:t xml:space="preserve"> הה</w:t>
      </w:r>
      <w:r>
        <w:rPr>
          <w:rFonts w:cs="Arial" w:hint="cs"/>
          <w:rtl/>
        </w:rPr>
        <w:t>"מ</w:t>
      </w:r>
      <w:r w:rsidRPr="00A55D7A">
        <w:rPr>
          <w:rFonts w:cs="Arial"/>
          <w:rtl/>
        </w:rPr>
        <w:t xml:space="preserve"> </w:t>
      </w:r>
      <w:r>
        <w:rPr>
          <w:rFonts w:cs="Arial" w:hint="cs"/>
          <w:rtl/>
        </w:rPr>
        <w:t>(</w:t>
      </w:r>
      <w:r w:rsidRPr="00A55D7A">
        <w:rPr>
          <w:rFonts w:cs="Arial"/>
          <w:rtl/>
        </w:rPr>
        <w:t>פכ"ג מה"א</w:t>
      </w:r>
      <w:r>
        <w:rPr>
          <w:rFonts w:cs="Arial" w:hint="cs"/>
          <w:rtl/>
        </w:rPr>
        <w:t>, הביאו הב"ש סק"ז), באה"ט (סק"ז).</w:t>
      </w:r>
    </w:p>
  </w:footnote>
  <w:footnote w:id="2764">
    <w:p w14:paraId="53A8B2E8" w14:textId="77777777" w:rsidR="00392DBB" w:rsidRDefault="00392DBB" w:rsidP="00392DBB">
      <w:pPr>
        <w:pStyle w:val="a5"/>
      </w:pPr>
      <w:r>
        <w:rPr>
          <w:rStyle w:val="a7"/>
        </w:rPr>
        <w:footnoteRef/>
      </w:r>
      <w:r>
        <w:rPr>
          <w:rtl/>
        </w:rPr>
        <w:t xml:space="preserve"> </w:t>
      </w:r>
      <w:r w:rsidRPr="008D4CEB">
        <w:rPr>
          <w:rFonts w:cs="Arial"/>
          <w:rtl/>
        </w:rPr>
        <w:t>וצריך ליתן לה מזונותיה כבימי בריאותה</w:t>
      </w:r>
      <w:r>
        <w:rPr>
          <w:rFonts w:cs="Arial" w:hint="cs"/>
          <w:rtl/>
        </w:rPr>
        <w:t>.</w:t>
      </w:r>
      <w:r w:rsidRPr="008D4CEB">
        <w:rPr>
          <w:rFonts w:cs="Arial"/>
          <w:rtl/>
        </w:rPr>
        <w:t xml:space="preserve"> ל"א</w:t>
      </w:r>
      <w:r>
        <w:rPr>
          <w:rFonts w:cs="Arial" w:hint="cs"/>
          <w:rtl/>
        </w:rPr>
        <w:t>-</w:t>
      </w:r>
      <w:r w:rsidRPr="008D4CEB">
        <w:rPr>
          <w:rFonts w:cs="Arial"/>
          <w:rtl/>
        </w:rPr>
        <w:t xml:space="preserve"> צריך ליתן לה מזונותיה במקום שהיא שם</w:t>
      </w:r>
      <w:r>
        <w:rPr>
          <w:rFonts w:cs="Arial" w:hint="cs"/>
          <w:rtl/>
        </w:rPr>
        <w:t xml:space="preserve">, קרבן העדה. </w:t>
      </w:r>
    </w:p>
  </w:footnote>
  <w:footnote w:id="2765">
    <w:p w14:paraId="09E4401B" w14:textId="77777777" w:rsidR="00392DBB" w:rsidRDefault="00392DBB" w:rsidP="00392DBB">
      <w:pPr>
        <w:pStyle w:val="a5"/>
      </w:pPr>
      <w:r>
        <w:rPr>
          <w:rStyle w:val="a7"/>
        </w:rPr>
        <w:footnoteRef/>
      </w:r>
      <w:r>
        <w:rPr>
          <w:rtl/>
        </w:rPr>
        <w:t xml:space="preserve"> </w:t>
      </w:r>
      <w:r w:rsidRPr="008D4CEB">
        <w:rPr>
          <w:rFonts w:cs="Arial"/>
          <w:rtl/>
        </w:rPr>
        <w:t>וצריך ליתן דמי מזונותיה ליורשיה</w:t>
      </w:r>
      <w:r>
        <w:rPr>
          <w:rFonts w:cs="Arial" w:hint="cs"/>
          <w:rtl/>
        </w:rPr>
        <w:t xml:space="preserve">, קרבן העדה. </w:t>
      </w:r>
    </w:p>
  </w:footnote>
  <w:footnote w:id="2766">
    <w:p w14:paraId="147C0CC6" w14:textId="77777777" w:rsidR="00392DBB" w:rsidRDefault="00392DBB" w:rsidP="00392DBB">
      <w:pPr>
        <w:pStyle w:val="a5"/>
      </w:pPr>
      <w:r>
        <w:rPr>
          <w:rStyle w:val="a7"/>
        </w:rPr>
        <w:footnoteRef/>
      </w:r>
      <w:r>
        <w:rPr>
          <w:rtl/>
        </w:rPr>
        <w:t xml:space="preserve"> </w:t>
      </w:r>
      <w:r w:rsidRPr="008D4CEB">
        <w:rPr>
          <w:rFonts w:cs="Arial"/>
          <w:rtl/>
        </w:rPr>
        <w:t>ולמה ישלם דמי מזונות שמתחלה מסתמא לא קיבל אלא שלא תצטרך להוציאה דמי מזונות וכבר אינה צריכה להן עכשיו</w:t>
      </w:r>
      <w:r>
        <w:rPr>
          <w:rFonts w:cs="Arial" w:hint="cs"/>
          <w:rtl/>
        </w:rPr>
        <w:t xml:space="preserve">, קרבן העדה. </w:t>
      </w:r>
    </w:p>
  </w:footnote>
  <w:footnote w:id="2767">
    <w:p w14:paraId="7602CDE9" w14:textId="28DA8EB4" w:rsidR="00392DBB" w:rsidRDefault="00392DBB" w:rsidP="00392DBB">
      <w:pPr>
        <w:pStyle w:val="a5"/>
      </w:pPr>
      <w:r>
        <w:rPr>
          <w:rStyle w:val="a7"/>
        </w:rPr>
        <w:footnoteRef/>
      </w:r>
      <w:r>
        <w:rPr>
          <w:rtl/>
        </w:rPr>
        <w:t xml:space="preserve"> </w:t>
      </w:r>
      <w:r w:rsidRPr="00EF4840">
        <w:rPr>
          <w:rFonts w:cs="Arial"/>
          <w:rtl/>
        </w:rPr>
        <w:t>דסתמא דמילתא לא היתה הכוונה רק שיהיו לה מזונו</w:t>
      </w:r>
      <w:r>
        <w:rPr>
          <w:rFonts w:cs="Arial" w:hint="cs"/>
          <w:rtl/>
        </w:rPr>
        <w:t>ת</w:t>
      </w:r>
      <w:r w:rsidRPr="00EF4840">
        <w:rPr>
          <w:rFonts w:cs="Arial"/>
          <w:rtl/>
        </w:rPr>
        <w:t xml:space="preserve"> ולא להוריש ליורשיה</w:t>
      </w:r>
      <w:r>
        <w:rPr>
          <w:rFonts w:cs="Arial" w:hint="cs"/>
          <w:rtl/>
        </w:rPr>
        <w:t xml:space="preserve">, </w:t>
      </w:r>
      <w:r w:rsidRPr="003866B8">
        <w:rPr>
          <w:rFonts w:cs="Arial" w:hint="cs"/>
          <w:b/>
          <w:bCs/>
          <w:rtl/>
        </w:rPr>
        <w:t>ח"מ</w:t>
      </w:r>
      <w:r>
        <w:rPr>
          <w:rFonts w:cs="Arial" w:hint="cs"/>
          <w:rtl/>
        </w:rPr>
        <w:t xml:space="preserve"> (סק"ו).</w:t>
      </w:r>
      <w:r w:rsidR="003866B8">
        <w:rPr>
          <w:rFonts w:hint="cs"/>
          <w:rtl/>
        </w:rPr>
        <w:t xml:space="preserve">    </w:t>
      </w:r>
      <w:r w:rsidRPr="0047740F">
        <w:rPr>
          <w:rtl/>
        </w:rPr>
        <w:t xml:space="preserve"> </w:t>
      </w:r>
      <w:r w:rsidRPr="0047740F">
        <w:rPr>
          <w:rFonts w:cs="Arial"/>
          <w:rtl/>
        </w:rPr>
        <w:t xml:space="preserve">כתב בט"ז </w:t>
      </w:r>
      <w:r>
        <w:rPr>
          <w:rFonts w:cs="Arial" w:hint="cs"/>
          <w:rtl/>
        </w:rPr>
        <w:t xml:space="preserve">(סק"ז) </w:t>
      </w:r>
      <w:r w:rsidRPr="0047740F">
        <w:rPr>
          <w:rFonts w:cs="Arial"/>
          <w:rtl/>
        </w:rPr>
        <w:t xml:space="preserve">יש ללמוד מכאן </w:t>
      </w:r>
      <w:r>
        <w:rPr>
          <w:rFonts w:cs="Arial" w:hint="cs"/>
          <w:rtl/>
        </w:rPr>
        <w:t>ל</w:t>
      </w:r>
      <w:r w:rsidRPr="0047740F">
        <w:rPr>
          <w:rFonts w:cs="Arial"/>
          <w:rtl/>
        </w:rPr>
        <w:t>מי שהבטיח לחבירו ליתן לו מתנה ונתן לו ת</w:t>
      </w:r>
      <w:r>
        <w:rPr>
          <w:rFonts w:cs="Arial" w:hint="cs"/>
          <w:rtl/>
        </w:rPr>
        <w:t xml:space="preserve">קיעת </w:t>
      </w:r>
      <w:r w:rsidRPr="0047740F">
        <w:rPr>
          <w:rFonts w:cs="Arial"/>
          <w:rtl/>
        </w:rPr>
        <w:t>כ</w:t>
      </w:r>
      <w:r>
        <w:rPr>
          <w:rFonts w:cs="Arial" w:hint="cs"/>
          <w:rtl/>
        </w:rPr>
        <w:t>ף,</w:t>
      </w:r>
      <w:r w:rsidRPr="0047740F">
        <w:rPr>
          <w:rFonts w:cs="Arial"/>
          <w:rtl/>
        </w:rPr>
        <w:t xml:space="preserve"> ומת</w:t>
      </w:r>
      <w:r>
        <w:rPr>
          <w:rFonts w:cs="Arial" w:hint="cs"/>
          <w:rtl/>
        </w:rPr>
        <w:t xml:space="preserve"> </w:t>
      </w:r>
      <w:r>
        <w:rPr>
          <w:rFonts w:cs="Arial" w:hint="cs"/>
          <w:sz w:val="16"/>
          <w:szCs w:val="16"/>
          <w:rtl/>
        </w:rPr>
        <w:t xml:space="preserve">{המקבל} </w:t>
      </w:r>
      <w:r>
        <w:rPr>
          <w:rFonts w:cs="Arial" w:hint="cs"/>
          <w:rtl/>
        </w:rPr>
        <w:t>-</w:t>
      </w:r>
      <w:r w:rsidRPr="0047740F">
        <w:rPr>
          <w:rFonts w:cs="Arial"/>
          <w:rtl/>
        </w:rPr>
        <w:t xml:space="preserve"> א"צ ליתן ליורשיו</w:t>
      </w:r>
      <w:r>
        <w:rPr>
          <w:rFonts w:cs="Arial" w:hint="cs"/>
          <w:rtl/>
        </w:rPr>
        <w:t>.</w:t>
      </w:r>
      <w:r w:rsidRPr="0047740F">
        <w:rPr>
          <w:rFonts w:cs="Arial"/>
          <w:rtl/>
        </w:rPr>
        <w:t xml:space="preserve"> ולכאורה נראה דל</w:t>
      </w:r>
      <w:r>
        <w:rPr>
          <w:rFonts w:cs="Arial" w:hint="cs"/>
          <w:rtl/>
        </w:rPr>
        <w:t xml:space="preserve">א </w:t>
      </w:r>
      <w:r w:rsidRPr="0047740F">
        <w:rPr>
          <w:rFonts w:cs="Arial"/>
          <w:rtl/>
        </w:rPr>
        <w:t>ד</w:t>
      </w:r>
      <w:r>
        <w:rPr>
          <w:rFonts w:cs="Arial" w:hint="cs"/>
          <w:rtl/>
        </w:rPr>
        <w:t>מי</w:t>
      </w:r>
      <w:r w:rsidRPr="0047740F">
        <w:rPr>
          <w:rFonts w:cs="Arial"/>
          <w:rtl/>
        </w:rPr>
        <w:t xml:space="preserve"> לכאן</w:t>
      </w:r>
      <w:r>
        <w:rPr>
          <w:rFonts w:cs="Arial" w:hint="cs"/>
          <w:rtl/>
        </w:rPr>
        <w:t>,</w:t>
      </w:r>
      <w:r w:rsidRPr="0047740F">
        <w:rPr>
          <w:rFonts w:cs="Arial"/>
          <w:rtl/>
        </w:rPr>
        <w:t xml:space="preserve"> דכאן איירי </w:t>
      </w:r>
      <w:r>
        <w:rPr>
          <w:rFonts w:cs="Arial" w:hint="cs"/>
          <w:rtl/>
        </w:rPr>
        <w:t>ב</w:t>
      </w:r>
      <w:r w:rsidRPr="0047740F">
        <w:rPr>
          <w:rFonts w:cs="Arial"/>
          <w:rtl/>
        </w:rPr>
        <w:t xml:space="preserve">מזונות להבא </w:t>
      </w:r>
      <w:r>
        <w:rPr>
          <w:rFonts w:cs="Arial" w:hint="cs"/>
          <w:rtl/>
        </w:rPr>
        <w:t>ד</w:t>
      </w:r>
      <w:r w:rsidRPr="0047740F">
        <w:rPr>
          <w:rFonts w:cs="Arial"/>
          <w:rtl/>
        </w:rPr>
        <w:t>אינו מחויב ליתן ליורשיו</w:t>
      </w:r>
      <w:r>
        <w:rPr>
          <w:rFonts w:cs="Arial" w:hint="cs"/>
          <w:rtl/>
        </w:rPr>
        <w:t>,</w:t>
      </w:r>
      <w:r w:rsidRPr="0047740F">
        <w:rPr>
          <w:rFonts w:cs="Arial"/>
          <w:rtl/>
        </w:rPr>
        <w:t xml:space="preserve"> אבל מה שעבר כבר </w:t>
      </w:r>
      <w:r>
        <w:rPr>
          <w:rFonts w:cs="Arial" w:hint="cs"/>
          <w:rtl/>
        </w:rPr>
        <w:t xml:space="preserve">- </w:t>
      </w:r>
      <w:r w:rsidRPr="0047740F">
        <w:rPr>
          <w:rFonts w:cs="Arial"/>
          <w:rtl/>
        </w:rPr>
        <w:t>חייב ליתן</w:t>
      </w:r>
      <w:r>
        <w:rPr>
          <w:rFonts w:cs="Arial" w:hint="cs"/>
          <w:rtl/>
        </w:rPr>
        <w:t>,</w:t>
      </w:r>
      <w:r w:rsidRPr="0047740F">
        <w:rPr>
          <w:rFonts w:cs="Arial"/>
          <w:rtl/>
        </w:rPr>
        <w:t xml:space="preserve"> כמ"ש ס</w:t>
      </w:r>
      <w:r>
        <w:rPr>
          <w:rFonts w:cs="Arial" w:hint="cs"/>
          <w:rtl/>
        </w:rPr>
        <w:t xml:space="preserve">וף </w:t>
      </w:r>
      <w:r w:rsidRPr="0047740F">
        <w:rPr>
          <w:rFonts w:cs="Arial"/>
          <w:rtl/>
        </w:rPr>
        <w:t>ס</w:t>
      </w:r>
      <w:r>
        <w:rPr>
          <w:rFonts w:cs="Arial" w:hint="cs"/>
          <w:rtl/>
        </w:rPr>
        <w:t xml:space="preserve">ימן </w:t>
      </w:r>
      <w:r w:rsidRPr="0047740F">
        <w:rPr>
          <w:rFonts w:cs="Arial"/>
          <w:rtl/>
        </w:rPr>
        <w:t>ז</w:t>
      </w:r>
      <w:r>
        <w:rPr>
          <w:rFonts w:cs="Arial" w:hint="cs"/>
          <w:rtl/>
        </w:rPr>
        <w:t>ה (סע' יב)</w:t>
      </w:r>
      <w:r w:rsidRPr="0047740F">
        <w:rPr>
          <w:rFonts w:cs="Arial"/>
          <w:rtl/>
        </w:rPr>
        <w:t xml:space="preserve"> דאי לאו דבעל אינו יורש מה שראוי הוא היה חייב ליתן לו חלק אשתו</w:t>
      </w:r>
      <w:r>
        <w:rPr>
          <w:rFonts w:cs="Arial" w:hint="cs"/>
          <w:rtl/>
        </w:rPr>
        <w:t>.</w:t>
      </w:r>
      <w:r w:rsidRPr="0047740F">
        <w:rPr>
          <w:rFonts w:cs="Arial"/>
          <w:rtl/>
        </w:rPr>
        <w:t xml:space="preserve"> ואפשר </w:t>
      </w:r>
      <w:r>
        <w:rPr>
          <w:rFonts w:cs="Arial" w:hint="cs"/>
          <w:rtl/>
        </w:rPr>
        <w:t>ד</w:t>
      </w:r>
      <w:r w:rsidRPr="0047740F">
        <w:rPr>
          <w:rFonts w:cs="Arial"/>
          <w:rtl/>
        </w:rPr>
        <w:t>הט"ז נמי איירי שמת קודם שהגיע הזמן ליתן המתנה</w:t>
      </w:r>
      <w:r>
        <w:rPr>
          <w:rFonts w:hint="cs"/>
          <w:rtl/>
        </w:rPr>
        <w:t xml:space="preserve">, </w:t>
      </w:r>
      <w:r w:rsidRPr="003866B8">
        <w:rPr>
          <w:rFonts w:hint="cs"/>
          <w:b/>
          <w:bCs/>
          <w:rtl/>
        </w:rPr>
        <w:t>ב"ש</w:t>
      </w:r>
      <w:r>
        <w:rPr>
          <w:rFonts w:hint="cs"/>
          <w:rtl/>
        </w:rPr>
        <w:t xml:space="preserve"> (סק"ט). </w:t>
      </w:r>
      <w:r w:rsidRPr="003866B8">
        <w:rPr>
          <w:rFonts w:hint="cs"/>
          <w:b/>
          <w:bCs/>
          <w:rtl/>
        </w:rPr>
        <w:t>והבאה"ט</w:t>
      </w:r>
      <w:r>
        <w:rPr>
          <w:rFonts w:hint="cs"/>
          <w:rtl/>
        </w:rPr>
        <w:t xml:space="preserve"> (סק"ז) השאיר את דברי הט"ז בצ"ע. וכתב (שם) עוד </w:t>
      </w:r>
      <w:r>
        <w:rPr>
          <w:rFonts w:cs="Arial" w:hint="cs"/>
          <w:rtl/>
        </w:rPr>
        <w:t xml:space="preserve">דהא דכאן אין יורשיה יורשים מזונותיה </w:t>
      </w:r>
      <w:r w:rsidR="00F97626">
        <w:rPr>
          <w:rFonts w:cs="Arial"/>
          <w:rtl/>
        </w:rPr>
        <w:t>-</w:t>
      </w:r>
      <w:r>
        <w:rPr>
          <w:rFonts w:cs="Arial" w:hint="cs"/>
          <w:rtl/>
        </w:rPr>
        <w:t xml:space="preserve"> </w:t>
      </w:r>
      <w:r w:rsidRPr="00E13231">
        <w:rPr>
          <w:rFonts w:cs="Arial"/>
          <w:rtl/>
        </w:rPr>
        <w:t>ה</w:t>
      </w:r>
      <w:r>
        <w:rPr>
          <w:rFonts w:cs="Arial" w:hint="cs"/>
          <w:rtl/>
        </w:rPr>
        <w:t>ני מילי</w:t>
      </w:r>
      <w:r w:rsidRPr="00E13231">
        <w:rPr>
          <w:rFonts w:cs="Arial"/>
          <w:rtl/>
        </w:rPr>
        <w:t xml:space="preserve"> במתחייב לזונה ה' שנים</w:t>
      </w:r>
      <w:r>
        <w:rPr>
          <w:rFonts w:cs="Arial" w:hint="cs"/>
          <w:rtl/>
        </w:rPr>
        <w:t>,</w:t>
      </w:r>
      <w:r w:rsidRPr="00E13231">
        <w:rPr>
          <w:rFonts w:cs="Arial"/>
          <w:rtl/>
        </w:rPr>
        <w:t xml:space="preserve"> אבל אם קבל על עצמו סך מעות לצורך מזונותיה </w:t>
      </w:r>
      <w:r>
        <w:rPr>
          <w:rFonts w:cs="Arial" w:hint="cs"/>
          <w:rtl/>
        </w:rPr>
        <w:t xml:space="preserve">- </w:t>
      </w:r>
      <w:r w:rsidRPr="00E13231">
        <w:rPr>
          <w:rFonts w:cs="Arial"/>
          <w:rtl/>
        </w:rPr>
        <w:t>יורשיה יורשין אותה</w:t>
      </w:r>
      <w:r>
        <w:rPr>
          <w:rFonts w:cs="Arial" w:hint="cs"/>
          <w:rtl/>
        </w:rPr>
        <w:t>,</w:t>
      </w:r>
      <w:r w:rsidRPr="00E13231">
        <w:rPr>
          <w:rFonts w:cs="Arial"/>
          <w:rtl/>
        </w:rPr>
        <w:t xml:space="preserve"> הרשב"א </w:t>
      </w:r>
      <w:r w:rsidR="00051667">
        <w:rPr>
          <w:rFonts w:cs="Arial" w:hint="cs"/>
          <w:rtl/>
        </w:rPr>
        <w:t>(</w:t>
      </w:r>
      <w:r w:rsidRPr="00E13231">
        <w:rPr>
          <w:rFonts w:cs="Arial"/>
          <w:rtl/>
        </w:rPr>
        <w:t>סי</w:t>
      </w:r>
      <w:r w:rsidR="00051667">
        <w:rPr>
          <w:rFonts w:cs="Arial" w:hint="cs"/>
          <w:rtl/>
        </w:rPr>
        <w:t>'</w:t>
      </w:r>
      <w:r w:rsidRPr="00E13231">
        <w:rPr>
          <w:rFonts w:cs="Arial"/>
          <w:rtl/>
        </w:rPr>
        <w:t xml:space="preserve"> תתקע</w:t>
      </w:r>
      <w:r w:rsidR="00051667">
        <w:rPr>
          <w:rFonts w:cs="Arial" w:hint="cs"/>
          <w:rtl/>
        </w:rPr>
        <w:t>)</w:t>
      </w:r>
      <w:r>
        <w:rPr>
          <w:rFonts w:cs="Arial" w:hint="cs"/>
          <w:rtl/>
        </w:rPr>
        <w:t>,</w:t>
      </w:r>
      <w:r w:rsidRPr="00E13231">
        <w:rPr>
          <w:rFonts w:cs="Arial"/>
          <w:rtl/>
        </w:rPr>
        <w:t xml:space="preserve"> והובא בח</w:t>
      </w:r>
      <w:r w:rsidR="00051667">
        <w:rPr>
          <w:rFonts w:cs="Arial" w:hint="cs"/>
          <w:rtl/>
        </w:rPr>
        <w:t>ו</w:t>
      </w:r>
      <w:r w:rsidRPr="00E13231">
        <w:rPr>
          <w:rFonts w:cs="Arial"/>
          <w:rtl/>
        </w:rPr>
        <w:t xml:space="preserve">"מ </w:t>
      </w:r>
      <w:r w:rsidR="00051667">
        <w:rPr>
          <w:rFonts w:cs="Arial" w:hint="cs"/>
          <w:rtl/>
        </w:rPr>
        <w:t>(</w:t>
      </w:r>
      <w:r w:rsidRPr="00E13231">
        <w:rPr>
          <w:rFonts w:cs="Arial"/>
          <w:rtl/>
        </w:rPr>
        <w:t>סי' ס סע</w:t>
      </w:r>
      <w:r w:rsidR="00051667">
        <w:rPr>
          <w:rFonts w:cs="Arial" w:hint="cs"/>
          <w:rtl/>
        </w:rPr>
        <w:t>'</w:t>
      </w:r>
      <w:r w:rsidRPr="00E13231">
        <w:rPr>
          <w:rFonts w:cs="Arial"/>
          <w:rtl/>
        </w:rPr>
        <w:t xml:space="preserve"> ד' בהג"ה</w:t>
      </w:r>
      <w:r w:rsidR="00051667">
        <w:rPr>
          <w:rFonts w:cs="Arial" w:hint="cs"/>
          <w:rtl/>
        </w:rPr>
        <w:t>)</w:t>
      </w:r>
      <w:r>
        <w:rPr>
          <w:rFonts w:cs="Arial" w:hint="cs"/>
          <w:rtl/>
        </w:rPr>
        <w:t>,</w:t>
      </w:r>
      <w:r w:rsidRPr="00E13231">
        <w:rPr>
          <w:rFonts w:cs="Arial"/>
          <w:rtl/>
        </w:rPr>
        <w:t xml:space="preserve"> ועיין שם בש"ך </w:t>
      </w:r>
      <w:r w:rsidR="00051667">
        <w:rPr>
          <w:rFonts w:cs="Arial" w:hint="cs"/>
          <w:rtl/>
        </w:rPr>
        <w:t>(</w:t>
      </w:r>
      <w:r w:rsidRPr="00E13231">
        <w:rPr>
          <w:rFonts w:cs="Arial"/>
          <w:rtl/>
        </w:rPr>
        <w:t>סקי"ז</w:t>
      </w:r>
      <w:r w:rsidR="00051667">
        <w:rPr>
          <w:rFonts w:cs="Arial" w:hint="cs"/>
          <w:rtl/>
        </w:rPr>
        <w:t>)</w:t>
      </w:r>
      <w:r w:rsidRPr="00E13231">
        <w:rPr>
          <w:rFonts w:cs="Arial"/>
          <w:rtl/>
        </w:rPr>
        <w:t xml:space="preserve"> שהעלה ג"כ בקצב לה סך חייב לשלם ליורשיה אלא שפטור מבעלה ע"ש.</w:t>
      </w:r>
    </w:p>
  </w:footnote>
  <w:footnote w:id="2768">
    <w:p w14:paraId="64A25682" w14:textId="63A15E10" w:rsidR="00392DBB" w:rsidRDefault="00392DBB" w:rsidP="00392DBB">
      <w:pPr>
        <w:pStyle w:val="a5"/>
      </w:pPr>
      <w:r>
        <w:rPr>
          <w:rStyle w:val="a7"/>
        </w:rPr>
        <w:footnoteRef/>
      </w:r>
      <w:r>
        <w:rPr>
          <w:rtl/>
        </w:rPr>
        <w:t xml:space="preserve"> </w:t>
      </w:r>
      <w:r w:rsidRPr="00E13231">
        <w:rPr>
          <w:rFonts w:cs="Arial"/>
          <w:rtl/>
        </w:rPr>
        <w:t>כלו</w:t>
      </w:r>
      <w:r>
        <w:rPr>
          <w:rFonts w:cs="Arial" w:hint="cs"/>
          <w:rtl/>
        </w:rPr>
        <w:t>מר</w:t>
      </w:r>
      <w:r w:rsidRPr="00E13231">
        <w:rPr>
          <w:rFonts w:cs="Arial"/>
          <w:rtl/>
        </w:rPr>
        <w:t xml:space="preserve"> דלא תימ</w:t>
      </w:r>
      <w:r>
        <w:rPr>
          <w:rFonts w:cs="Arial" w:hint="cs"/>
          <w:rtl/>
        </w:rPr>
        <w:t>ה</w:t>
      </w:r>
      <w:r w:rsidRPr="00E13231">
        <w:rPr>
          <w:rFonts w:cs="Arial"/>
          <w:rtl/>
        </w:rPr>
        <w:t xml:space="preserve"> כיון דאי</w:t>
      </w:r>
      <w:r>
        <w:rPr>
          <w:rFonts w:cs="Arial" w:hint="cs"/>
          <w:rtl/>
        </w:rPr>
        <w:t>נה יכולה</w:t>
      </w:r>
      <w:r w:rsidRPr="00E13231">
        <w:rPr>
          <w:rFonts w:cs="Arial"/>
          <w:rtl/>
        </w:rPr>
        <w:t xml:space="preserve"> לאכול הוא פטור</w:t>
      </w:r>
      <w:r>
        <w:rPr>
          <w:rFonts w:cs="Arial" w:hint="cs"/>
          <w:rtl/>
        </w:rPr>
        <w:t>,</w:t>
      </w:r>
      <w:r w:rsidRPr="00E13231">
        <w:rPr>
          <w:rFonts w:cs="Arial"/>
          <w:rtl/>
        </w:rPr>
        <w:t xml:space="preserve"> קמ"ל </w:t>
      </w:r>
      <w:r>
        <w:rPr>
          <w:rFonts w:cs="Arial" w:hint="cs"/>
          <w:rtl/>
        </w:rPr>
        <w:t>ד</w:t>
      </w:r>
      <w:r w:rsidRPr="00E13231">
        <w:rPr>
          <w:rFonts w:cs="Arial"/>
          <w:rtl/>
        </w:rPr>
        <w:t>ה</w:t>
      </w:r>
      <w:r>
        <w:rPr>
          <w:rFonts w:cs="Arial" w:hint="cs"/>
          <w:rtl/>
        </w:rPr>
        <w:t xml:space="preserve">רי </w:t>
      </w:r>
      <w:r w:rsidRPr="00E13231">
        <w:rPr>
          <w:rFonts w:cs="Arial"/>
          <w:rtl/>
        </w:rPr>
        <w:t>ה</w:t>
      </w:r>
      <w:r>
        <w:rPr>
          <w:rFonts w:cs="Arial" w:hint="cs"/>
          <w:rtl/>
        </w:rPr>
        <w:t>יא</w:t>
      </w:r>
      <w:r w:rsidRPr="00E13231">
        <w:rPr>
          <w:rFonts w:cs="Arial"/>
          <w:rtl/>
        </w:rPr>
        <w:t xml:space="preserve"> כנשאת דיש לה מזונות ממקום אחר דחייב לשלם</w:t>
      </w:r>
      <w:r>
        <w:rPr>
          <w:rFonts w:cs="Arial" w:hint="cs"/>
          <w:rtl/>
        </w:rPr>
        <w:t>,</w:t>
      </w:r>
      <w:r w:rsidRPr="00E13231">
        <w:rPr>
          <w:rFonts w:cs="Arial"/>
          <w:rtl/>
        </w:rPr>
        <w:t xml:space="preserve"> כן ה</w:t>
      </w:r>
      <w:r>
        <w:rPr>
          <w:rFonts w:cs="Arial" w:hint="cs"/>
          <w:rtl/>
        </w:rPr>
        <w:t xml:space="preserve">כא </w:t>
      </w:r>
      <w:r w:rsidRPr="00E13231">
        <w:rPr>
          <w:rFonts w:cs="Arial"/>
          <w:rtl/>
        </w:rPr>
        <w:t>נ</w:t>
      </w:r>
      <w:r>
        <w:rPr>
          <w:rFonts w:cs="Arial" w:hint="cs"/>
          <w:rtl/>
        </w:rPr>
        <w:t>מי</w:t>
      </w:r>
      <w:r w:rsidRPr="00E13231">
        <w:rPr>
          <w:rFonts w:cs="Arial"/>
          <w:rtl/>
        </w:rPr>
        <w:t xml:space="preserve"> ח</w:t>
      </w:r>
      <w:r>
        <w:rPr>
          <w:rFonts w:cs="Arial" w:hint="cs"/>
          <w:rtl/>
        </w:rPr>
        <w:t xml:space="preserve">ייב </w:t>
      </w:r>
      <w:r w:rsidRPr="00E13231">
        <w:rPr>
          <w:rFonts w:cs="Arial"/>
          <w:rtl/>
        </w:rPr>
        <w:t>ל</w:t>
      </w:r>
      <w:r>
        <w:rPr>
          <w:rFonts w:cs="Arial" w:hint="cs"/>
          <w:rtl/>
        </w:rPr>
        <w:t>שלם..., ב"ש (סק"ח).</w:t>
      </w:r>
      <w:r w:rsidR="00051667">
        <w:rPr>
          <w:rFonts w:hint="cs"/>
          <w:rtl/>
        </w:rPr>
        <w:t xml:space="preserve"> </w:t>
      </w:r>
    </w:p>
  </w:footnote>
  <w:footnote w:id="2769">
    <w:p w14:paraId="42DDA499" w14:textId="2D6CE851" w:rsidR="00392DBB" w:rsidRDefault="00392DBB" w:rsidP="00392DBB">
      <w:pPr>
        <w:pStyle w:val="a5"/>
        <w:rPr>
          <w:rtl/>
        </w:rPr>
      </w:pPr>
      <w:r>
        <w:rPr>
          <w:rStyle w:val="a7"/>
        </w:rPr>
        <w:footnoteRef/>
      </w:r>
      <w:r>
        <w:rPr>
          <w:rtl/>
        </w:rPr>
        <w:t xml:space="preserve"> </w:t>
      </w:r>
      <w:r w:rsidRPr="00E931A9">
        <w:rPr>
          <w:rFonts w:cs="Arial"/>
          <w:rtl/>
        </w:rPr>
        <w:t>גם בס</w:t>
      </w:r>
      <w:r>
        <w:rPr>
          <w:rFonts w:cs="Arial" w:hint="cs"/>
          <w:rtl/>
        </w:rPr>
        <w:t>פר</w:t>
      </w:r>
      <w:r w:rsidRPr="00E931A9">
        <w:rPr>
          <w:rFonts w:cs="Arial"/>
          <w:rtl/>
        </w:rPr>
        <w:t xml:space="preserve"> ב"מ חולק על הט"ז בזה ע"ש. ועיין בתומים סי' ס' דמאריך בזה ומסיק לעשות פשר וכ</w:t>
      </w:r>
      <w:r>
        <w:rPr>
          <w:rFonts w:cs="Arial" w:hint="cs"/>
          <w:rtl/>
        </w:rPr>
        <w:t>תב</w:t>
      </w:r>
      <w:r w:rsidR="008C6CAD">
        <w:rPr>
          <w:rFonts w:cs="Arial" w:hint="cs"/>
          <w:rtl/>
        </w:rPr>
        <w:t>:</w:t>
      </w:r>
      <w:r w:rsidRPr="00E931A9">
        <w:rPr>
          <w:rFonts w:cs="Arial"/>
          <w:rtl/>
        </w:rPr>
        <w:t xml:space="preserve"> </w:t>
      </w:r>
      <w:r>
        <w:rPr>
          <w:rFonts w:cs="Arial" w:hint="cs"/>
          <w:rtl/>
        </w:rPr>
        <w:t>אך</w:t>
      </w:r>
      <w:r w:rsidRPr="00E931A9">
        <w:rPr>
          <w:rFonts w:cs="Arial"/>
          <w:rtl/>
        </w:rPr>
        <w:t xml:space="preserve"> כל זה לאחר שני חזרה</w:t>
      </w:r>
      <w:r>
        <w:rPr>
          <w:rFonts w:cs="Arial" w:hint="cs"/>
          <w:rtl/>
        </w:rPr>
        <w:t>,</w:t>
      </w:r>
      <w:r w:rsidRPr="00E931A9">
        <w:rPr>
          <w:rFonts w:cs="Arial"/>
          <w:rtl/>
        </w:rPr>
        <w:t xml:space="preserve"> אבל תוך שני חזרה</w:t>
      </w:r>
      <w:r>
        <w:rPr>
          <w:rFonts w:cs="Arial" w:hint="cs"/>
          <w:rtl/>
        </w:rPr>
        <w:t>,</w:t>
      </w:r>
      <w:r w:rsidRPr="00E931A9">
        <w:rPr>
          <w:rFonts w:cs="Arial"/>
          <w:rtl/>
        </w:rPr>
        <w:t xml:space="preserve"> </w:t>
      </w:r>
      <w:r>
        <w:rPr>
          <w:rFonts w:cs="Arial" w:hint="cs"/>
          <w:rtl/>
        </w:rPr>
        <w:t>ד</w:t>
      </w:r>
      <w:r w:rsidRPr="00E931A9">
        <w:rPr>
          <w:rFonts w:cs="Arial"/>
          <w:rtl/>
        </w:rPr>
        <w:t>תקנת שו"ם לכ</w:t>
      </w:r>
      <w:r>
        <w:rPr>
          <w:rFonts w:cs="Arial" w:hint="cs"/>
          <w:rtl/>
        </w:rPr>
        <w:t>ו</w:t>
      </w:r>
      <w:r w:rsidRPr="00E931A9">
        <w:rPr>
          <w:rFonts w:cs="Arial"/>
          <w:rtl/>
        </w:rPr>
        <w:t>"ע אין לחייבו במזונות</w:t>
      </w:r>
      <w:r>
        <w:rPr>
          <w:rFonts w:cs="Arial" w:hint="cs"/>
          <w:rtl/>
        </w:rPr>
        <w:t>,</w:t>
      </w:r>
      <w:r w:rsidRPr="00E931A9">
        <w:rPr>
          <w:rFonts w:cs="Arial"/>
          <w:rtl/>
        </w:rPr>
        <w:t xml:space="preserve"> דהי</w:t>
      </w:r>
      <w:r>
        <w:rPr>
          <w:rFonts w:cs="Arial" w:hint="cs"/>
          <w:rtl/>
        </w:rPr>
        <w:t>תה</w:t>
      </w:r>
      <w:r w:rsidRPr="00E931A9">
        <w:rPr>
          <w:rFonts w:cs="Arial"/>
          <w:rtl/>
        </w:rPr>
        <w:t xml:space="preserve"> התקנה מפני עגמת נפש</w:t>
      </w:r>
      <w:r>
        <w:rPr>
          <w:rFonts w:cs="Arial" w:hint="cs"/>
          <w:rtl/>
        </w:rPr>
        <w:t>,</w:t>
      </w:r>
      <w:r w:rsidRPr="00E931A9">
        <w:rPr>
          <w:rFonts w:cs="Arial"/>
          <w:rtl/>
        </w:rPr>
        <w:t xml:space="preserve"> והיש ע</w:t>
      </w:r>
      <w:r>
        <w:rPr>
          <w:rFonts w:cs="Arial" w:hint="cs"/>
          <w:rtl/>
        </w:rPr>
        <w:t>ו</w:t>
      </w:r>
      <w:r w:rsidRPr="00E931A9">
        <w:rPr>
          <w:rFonts w:cs="Arial"/>
          <w:rtl/>
        </w:rPr>
        <w:t>ג"נ גדול מזה ובלי ספק דהוא בכלל התקנה עכ"ד ע"ש. גם בס' ישועות יעקב סק"ה האריך בזה ומסיים</w:t>
      </w:r>
      <w:r w:rsidR="00561D55">
        <w:rPr>
          <w:rFonts w:cs="Arial" w:hint="cs"/>
          <w:rtl/>
        </w:rPr>
        <w:t>:</w:t>
      </w:r>
      <w:r w:rsidRPr="00E931A9">
        <w:rPr>
          <w:rFonts w:cs="Arial"/>
          <w:rtl/>
        </w:rPr>
        <w:t xml:space="preserve"> גלל כן דברי הט"ז לא נראה בעיני</w:t>
      </w:r>
      <w:r>
        <w:rPr>
          <w:rFonts w:cs="Arial" w:hint="cs"/>
          <w:rtl/>
        </w:rPr>
        <w:t>,</w:t>
      </w:r>
      <w:r w:rsidRPr="00E931A9">
        <w:rPr>
          <w:rFonts w:cs="Arial"/>
          <w:rtl/>
        </w:rPr>
        <w:t xml:space="preserve"> ובפרט להוציא</w:t>
      </w:r>
      <w:r>
        <w:rPr>
          <w:rFonts w:cs="Arial" w:hint="cs"/>
          <w:rtl/>
        </w:rPr>
        <w:t>,</w:t>
      </w:r>
      <w:r w:rsidRPr="00E931A9">
        <w:rPr>
          <w:rFonts w:cs="Arial"/>
          <w:rtl/>
        </w:rPr>
        <w:t xml:space="preserve"> ומ"מ כבר בא מעשה לידי ועשיתי פשר דבר אף שלא מרצון הצדדים כיון שכבר הורה זקן עכ"ל. ועיין בתשו' אא"ז פנים מאירות </w:t>
      </w:r>
      <w:r w:rsidR="00561D55">
        <w:rPr>
          <w:rFonts w:cs="Arial" w:hint="cs"/>
          <w:rtl/>
        </w:rPr>
        <w:t>(</w:t>
      </w:r>
      <w:r w:rsidRPr="00E931A9">
        <w:rPr>
          <w:rFonts w:cs="Arial"/>
          <w:rtl/>
        </w:rPr>
        <w:t>ח"ב ס"ס קמד</w:t>
      </w:r>
      <w:r w:rsidR="00561D55">
        <w:rPr>
          <w:rFonts w:cs="Arial" w:hint="cs"/>
          <w:rtl/>
        </w:rPr>
        <w:t>)</w:t>
      </w:r>
      <w:r w:rsidRPr="00E931A9">
        <w:rPr>
          <w:rFonts w:cs="Arial"/>
          <w:rtl/>
        </w:rPr>
        <w:t xml:space="preserve"> שכ' דהדבר ברור שאף לדעת הט"ז דוקא במתחייב לבנו לזונו עם כלתו ומת הבן</w:t>
      </w:r>
      <w:r>
        <w:rPr>
          <w:rFonts w:cs="Arial" w:hint="cs"/>
          <w:rtl/>
        </w:rPr>
        <w:t>,</w:t>
      </w:r>
      <w:r w:rsidRPr="00E931A9">
        <w:rPr>
          <w:rFonts w:cs="Arial"/>
          <w:rtl/>
        </w:rPr>
        <w:t xml:space="preserve"> אבל איפכא היכא שהאב מתחיי' ליתן מזונות לבתו ולחתנו ומתה הבת </w:t>
      </w:r>
      <w:r>
        <w:rPr>
          <w:rFonts w:cs="Arial" w:hint="cs"/>
          <w:rtl/>
        </w:rPr>
        <w:t xml:space="preserve">- </w:t>
      </w:r>
      <w:r w:rsidRPr="00E931A9">
        <w:rPr>
          <w:rFonts w:cs="Arial"/>
          <w:rtl/>
        </w:rPr>
        <w:t>בודאי גם הט"ז מודה שפטור מליתן מזונות לחתנו ע"ש</w:t>
      </w:r>
      <w:r>
        <w:rPr>
          <w:rFonts w:hint="cs"/>
          <w:rtl/>
        </w:rPr>
        <w:t>, פת"ש (סק"ב).</w:t>
      </w:r>
    </w:p>
  </w:footnote>
  <w:footnote w:id="2770">
    <w:p w14:paraId="4C006696" w14:textId="7E6333FE" w:rsidR="00392DBB" w:rsidRDefault="00392DBB" w:rsidP="00392DBB">
      <w:pPr>
        <w:pStyle w:val="a5"/>
      </w:pPr>
      <w:r>
        <w:rPr>
          <w:rStyle w:val="a7"/>
        </w:rPr>
        <w:footnoteRef/>
      </w:r>
      <w:r>
        <w:rPr>
          <w:rtl/>
        </w:rPr>
        <w:t xml:space="preserve"> </w:t>
      </w:r>
      <w:r>
        <w:rPr>
          <w:rFonts w:hint="cs"/>
          <w:rtl/>
        </w:rPr>
        <w:t xml:space="preserve">סימן </w:t>
      </w:r>
      <w:r w:rsidR="00F97626">
        <w:rPr>
          <w:rtl/>
        </w:rPr>
        <w:t>-</w:t>
      </w:r>
      <w:r>
        <w:rPr>
          <w:rFonts w:hint="cs"/>
          <w:rtl/>
        </w:rPr>
        <w:t xml:space="preserve"> קנין באמירה. וכן </w:t>
      </w:r>
      <w:r w:rsidR="00F97626">
        <w:rPr>
          <w:rtl/>
        </w:rPr>
        <w:t>-</w:t>
      </w:r>
      <w:r>
        <w:rPr>
          <w:rFonts w:hint="cs"/>
          <w:rtl/>
        </w:rPr>
        <w:t xml:space="preserve"> קנין קיחה בת.</w:t>
      </w:r>
    </w:p>
  </w:footnote>
  <w:footnote w:id="2771">
    <w:p w14:paraId="466C5CA3" w14:textId="53F7D013" w:rsidR="00392DBB" w:rsidRPr="007702CA" w:rsidRDefault="00392DBB" w:rsidP="00392DBB">
      <w:pPr>
        <w:pStyle w:val="a5"/>
        <w:rPr>
          <w:rFonts w:cs="Arial"/>
        </w:rPr>
      </w:pPr>
      <w:r>
        <w:rPr>
          <w:rStyle w:val="a7"/>
        </w:rPr>
        <w:footnoteRef/>
      </w:r>
      <w:r w:rsidRPr="00716457">
        <w:rPr>
          <w:rFonts w:cs="Arial"/>
          <w:rtl/>
        </w:rPr>
        <w:t xml:space="preserve"> </w:t>
      </w:r>
      <w:r>
        <w:rPr>
          <w:rFonts w:cs="Arial"/>
          <w:rtl/>
        </w:rPr>
        <w:t>ומ"ש נותן לה מזונות משלם ולא לפי ברכת הבית. כ"כ שם הרא"ש וכ"כ הר"ן (ס: ד"ה נשאת) בשם הרשב"א. וכ"כ המרדכי (סי' רסה) בשם רבינו ברוך ונתן טעם לדבר ודחה דברי האומר דאינו נותן אלא לפי ברכת הבית</w:t>
      </w:r>
      <w:r>
        <w:rPr>
          <w:rFonts w:cs="Arial" w:hint="cs"/>
          <w:rtl/>
        </w:rPr>
        <w:t xml:space="preserve">, </w:t>
      </w:r>
      <w:r w:rsidRPr="004A4C00">
        <w:rPr>
          <w:rFonts w:cs="Arial" w:hint="cs"/>
          <w:b/>
          <w:bCs/>
          <w:rtl/>
        </w:rPr>
        <w:t>ב"י</w:t>
      </w:r>
      <w:r>
        <w:rPr>
          <w:rFonts w:cs="Arial" w:hint="cs"/>
          <w:rtl/>
        </w:rPr>
        <w:t xml:space="preserve">. </w:t>
      </w:r>
      <w:r w:rsidR="004A4C00">
        <w:rPr>
          <w:rFonts w:cs="Arial" w:hint="cs"/>
          <w:rtl/>
        </w:rPr>
        <w:t xml:space="preserve">    </w:t>
      </w:r>
      <w:r w:rsidRPr="00716457">
        <w:rPr>
          <w:rFonts w:cs="Arial"/>
          <w:rtl/>
        </w:rPr>
        <w:t>וכתב הר"ן (שם) וטעמא דדוקא באלמנה נותן לה לפי ברכת הבית</w:t>
      </w:r>
      <w:r>
        <w:rPr>
          <w:rFonts w:cs="Arial" w:hint="cs"/>
          <w:rtl/>
        </w:rPr>
        <w:t>,</w:t>
      </w:r>
      <w:r w:rsidRPr="00716457">
        <w:rPr>
          <w:rFonts w:cs="Arial"/>
          <w:rtl/>
        </w:rPr>
        <w:t xml:space="preserve"> לפי שכתב לה את תהא יתבא בביתי ומיתזנא מנכסי</w:t>
      </w:r>
      <w:r>
        <w:rPr>
          <w:rFonts w:cs="Arial" w:hint="cs"/>
          <w:rtl/>
        </w:rPr>
        <w:t>,</w:t>
      </w:r>
      <w:r w:rsidRPr="00716457">
        <w:rPr>
          <w:rFonts w:cs="Arial"/>
          <w:rtl/>
        </w:rPr>
        <w:t xml:space="preserve"> אבל הכא לא עכ"ל</w:t>
      </w:r>
      <w:r>
        <w:rPr>
          <w:rFonts w:cs="Arial" w:hint="cs"/>
          <w:rtl/>
        </w:rPr>
        <w:t>.</w:t>
      </w:r>
      <w:r w:rsidRPr="00716457">
        <w:rPr>
          <w:rFonts w:cs="Arial"/>
          <w:rtl/>
        </w:rPr>
        <w:t xml:space="preserve"> ואם כן אם כתב לבת ג"כ בלשון שכותבין לאלמנה נראה גם כן דאינו נותן לה רק לפי ברכת הבית</w:t>
      </w:r>
      <w:r>
        <w:rPr>
          <w:rFonts w:cs="Arial" w:hint="cs"/>
          <w:rtl/>
        </w:rPr>
        <w:t>.</w:t>
      </w:r>
      <w:r w:rsidRPr="00716457">
        <w:rPr>
          <w:rFonts w:cs="Arial"/>
          <w:rtl/>
        </w:rPr>
        <w:t xml:space="preserve"> וע"ל סימן צ"ד ברכת הבית כיצד</w:t>
      </w:r>
      <w:r>
        <w:rPr>
          <w:rFonts w:cs="Arial" w:hint="cs"/>
          <w:rtl/>
        </w:rPr>
        <w:t xml:space="preserve">, </w:t>
      </w:r>
      <w:r w:rsidRPr="004A4C00">
        <w:rPr>
          <w:rFonts w:cs="Arial" w:hint="cs"/>
          <w:b/>
          <w:bCs/>
          <w:rtl/>
        </w:rPr>
        <w:t>דרכ"מ</w:t>
      </w:r>
      <w:r>
        <w:rPr>
          <w:rFonts w:cs="Arial" w:hint="cs"/>
          <w:rtl/>
        </w:rPr>
        <w:t xml:space="preserve"> (אות ד). וכ"פ הב"ש (סקי"ב).</w:t>
      </w:r>
    </w:p>
  </w:footnote>
  <w:footnote w:id="2772">
    <w:p w14:paraId="462AB261" w14:textId="39516FAC" w:rsidR="00392DBB" w:rsidRDefault="00392DBB" w:rsidP="00392DBB">
      <w:pPr>
        <w:pStyle w:val="a5"/>
        <w:rPr>
          <w:rtl/>
        </w:rPr>
      </w:pPr>
      <w:r>
        <w:rPr>
          <w:rStyle w:val="a7"/>
        </w:rPr>
        <w:footnoteRef/>
      </w:r>
      <w:r>
        <w:rPr>
          <w:rtl/>
        </w:rPr>
        <w:t xml:space="preserve"> </w:t>
      </w:r>
      <w:r>
        <w:rPr>
          <w:rFonts w:cs="Arial" w:hint="cs"/>
          <w:rtl/>
        </w:rPr>
        <w:t>הרא"ש הביא את דברי הרמ"ה דלעיל וכתב</w:t>
      </w:r>
      <w:r w:rsidR="00F5066F">
        <w:rPr>
          <w:rFonts w:cs="Arial" w:hint="cs"/>
          <w:rtl/>
        </w:rPr>
        <w:t>:</w:t>
      </w:r>
      <w:r>
        <w:rPr>
          <w:rFonts w:cs="Arial" w:hint="cs"/>
          <w:rtl/>
        </w:rPr>
        <w:t xml:space="preserve"> </w:t>
      </w:r>
      <w:r w:rsidRPr="00716457">
        <w:rPr>
          <w:rFonts w:cs="Arial"/>
          <w:rtl/>
        </w:rPr>
        <w:t>ולא נהירא לי</w:t>
      </w:r>
      <w:r>
        <w:rPr>
          <w:rFonts w:cs="Arial" w:hint="cs"/>
          <w:rtl/>
        </w:rPr>
        <w:t>,</w:t>
      </w:r>
      <w:r w:rsidRPr="00716457">
        <w:rPr>
          <w:rFonts w:cs="Arial"/>
          <w:rtl/>
        </w:rPr>
        <w:t xml:space="preserve"> דמי שנותן מעות לבעל הבית כדי לפרנסו או עשה לו טובה כדי לפרנסו בסתמא דעתו שיתפרנס כאחד מבני ביתו</w:t>
      </w:r>
      <w:r>
        <w:rPr>
          <w:rFonts w:cs="Arial" w:hint="cs"/>
          <w:rtl/>
        </w:rPr>
        <w:t>,</w:t>
      </w:r>
      <w:r w:rsidRPr="00716457">
        <w:rPr>
          <w:rFonts w:cs="Arial"/>
          <w:rtl/>
        </w:rPr>
        <w:t xml:space="preserve"> ולא שישנהו לרע מכל בני הבית שיאכלו הם בשר וישתו יין והוא יאכל זרעונין וישתה מים</w:t>
      </w:r>
      <w:r>
        <w:rPr>
          <w:rFonts w:cs="Arial" w:hint="cs"/>
          <w:rtl/>
        </w:rPr>
        <w:t>.</w:t>
      </w:r>
      <w:r w:rsidRPr="00716457">
        <w:rPr>
          <w:rFonts w:cs="Arial"/>
          <w:rtl/>
        </w:rPr>
        <w:t xml:space="preserve"> ולא נתנו חכמי</w:t>
      </w:r>
      <w:r>
        <w:rPr>
          <w:rFonts w:cs="Arial" w:hint="cs"/>
          <w:rtl/>
        </w:rPr>
        <w:t>ם</w:t>
      </w:r>
      <w:r w:rsidRPr="00716457">
        <w:rPr>
          <w:rFonts w:cs="Arial"/>
          <w:rtl/>
        </w:rPr>
        <w:t xml:space="preserve"> קצבה במזונות אלא במשרה אשתו ע"י שליש</w:t>
      </w:r>
      <w:r>
        <w:rPr>
          <w:rFonts w:cs="Arial" w:hint="cs"/>
          <w:rtl/>
        </w:rPr>
        <w:t>,</w:t>
      </w:r>
      <w:r w:rsidRPr="00716457">
        <w:rPr>
          <w:rFonts w:cs="Arial"/>
          <w:rtl/>
        </w:rPr>
        <w:t xml:space="preserve"> אבל כשהיא אצלו מתגלגלת עמו במה שהוא סועד הן רב הן מעט</w:t>
      </w:r>
      <w:r>
        <w:rPr>
          <w:rFonts w:cs="Arial" w:hint="cs"/>
          <w:rtl/>
        </w:rPr>
        <w:t>.</w:t>
      </w:r>
      <w:r w:rsidRPr="00716457">
        <w:rPr>
          <w:rFonts w:cs="Arial"/>
          <w:rtl/>
        </w:rPr>
        <w:t xml:space="preserve"> לפיכך</w:t>
      </w:r>
      <w:r>
        <w:rPr>
          <w:rFonts w:hint="cs"/>
          <w:rtl/>
        </w:rPr>
        <w:t>-...</w:t>
      </w:r>
    </w:p>
  </w:footnote>
  <w:footnote w:id="2773">
    <w:p w14:paraId="6F0A12EB" w14:textId="6E666D66" w:rsidR="00392DBB" w:rsidRDefault="00392DBB" w:rsidP="00392DBB">
      <w:pPr>
        <w:pStyle w:val="a5"/>
        <w:rPr>
          <w:rtl/>
        </w:rPr>
      </w:pPr>
      <w:r>
        <w:rPr>
          <w:rStyle w:val="a7"/>
        </w:rPr>
        <w:footnoteRef/>
      </w:r>
      <w:r>
        <w:rPr>
          <w:rtl/>
        </w:rPr>
        <w:t xml:space="preserve"> </w:t>
      </w:r>
      <w:r w:rsidRPr="00716457">
        <w:rPr>
          <w:rFonts w:cs="Arial"/>
          <w:rtl/>
        </w:rPr>
        <w:t xml:space="preserve">ואיני יודע למה כתב הרא"ש על דברי הרמ"ה </w:t>
      </w:r>
      <w:r>
        <w:rPr>
          <w:rFonts w:cs="Arial" w:hint="cs"/>
          <w:rtl/>
        </w:rPr>
        <w:t>'</w:t>
      </w:r>
      <w:r w:rsidRPr="00716457">
        <w:rPr>
          <w:rFonts w:cs="Arial"/>
          <w:rtl/>
        </w:rPr>
        <w:t>ולא נהירא</w:t>
      </w:r>
      <w:r>
        <w:rPr>
          <w:rFonts w:cs="Arial" w:hint="cs"/>
          <w:rtl/>
        </w:rPr>
        <w:t>',</w:t>
      </w:r>
      <w:r w:rsidRPr="00716457">
        <w:rPr>
          <w:rFonts w:cs="Arial"/>
          <w:rtl/>
        </w:rPr>
        <w:t xml:space="preserve"> דהרמ"ה לא איירי במאכילה על שלחנו אלא במספיק לה מזונות</w:t>
      </w:r>
      <w:r>
        <w:rPr>
          <w:rFonts w:cs="Arial" w:hint="cs"/>
          <w:rtl/>
        </w:rPr>
        <w:t>,</w:t>
      </w:r>
      <w:r w:rsidRPr="00716457">
        <w:rPr>
          <w:rFonts w:cs="Arial"/>
          <w:rtl/>
        </w:rPr>
        <w:t xml:space="preserve"> ודברים נכונים הם</w:t>
      </w:r>
      <w:r>
        <w:rPr>
          <w:rFonts w:cs="Arial" w:hint="cs"/>
          <w:rtl/>
        </w:rPr>
        <w:t>.</w:t>
      </w:r>
      <w:r w:rsidRPr="00716457">
        <w:rPr>
          <w:rFonts w:cs="Arial"/>
          <w:rtl/>
        </w:rPr>
        <w:t xml:space="preserve"> וכבר נתבאר בסימן קי"ב (קסג.) לגבי מזונות בתו שאין פוסקין לה אלא דבר המספיק לה בלבד</w:t>
      </w:r>
      <w:r>
        <w:rPr>
          <w:rFonts w:cs="Arial" w:hint="cs"/>
          <w:rtl/>
        </w:rPr>
        <w:t>,</w:t>
      </w:r>
      <w:r w:rsidRPr="00716457">
        <w:rPr>
          <w:rFonts w:cs="Arial"/>
          <w:rtl/>
        </w:rPr>
        <w:t xml:space="preserve"> ולא לפי כבודה</w:t>
      </w:r>
      <w:r>
        <w:rPr>
          <w:rFonts w:cs="Arial" w:hint="cs"/>
          <w:rtl/>
        </w:rPr>
        <w:t>,</w:t>
      </w:r>
      <w:r w:rsidRPr="00716457">
        <w:rPr>
          <w:rFonts w:cs="Arial"/>
          <w:rtl/>
        </w:rPr>
        <w:t xml:space="preserve"> שלא אמרו כן אלא באשתו בלבד ולא בבתו</w:t>
      </w:r>
      <w:r>
        <w:rPr>
          <w:rFonts w:cs="Arial" w:hint="cs"/>
          <w:rtl/>
        </w:rPr>
        <w:t>.</w:t>
      </w:r>
      <w:r w:rsidRPr="00716457">
        <w:rPr>
          <w:rFonts w:cs="Arial"/>
          <w:rtl/>
        </w:rPr>
        <w:t xml:space="preserve"> ומי</w:t>
      </w:r>
      <w:r>
        <w:rPr>
          <w:rFonts w:cs="Arial" w:hint="cs"/>
          <w:rtl/>
        </w:rPr>
        <w:t>הו</w:t>
      </w:r>
      <w:r w:rsidRPr="00716457">
        <w:rPr>
          <w:rFonts w:cs="Arial"/>
          <w:rtl/>
        </w:rPr>
        <w:t xml:space="preserve"> באוכלת על שלחנו דברי הרא"ש דברי טעם הם</w:t>
      </w:r>
      <w:r>
        <w:rPr>
          <w:rFonts w:cs="Arial" w:hint="cs"/>
          <w:rtl/>
        </w:rPr>
        <w:t xml:space="preserve">, </w:t>
      </w:r>
      <w:r w:rsidRPr="00611743">
        <w:rPr>
          <w:rFonts w:cs="Arial" w:hint="cs"/>
          <w:b/>
          <w:bCs/>
          <w:rtl/>
        </w:rPr>
        <w:t>ב"י</w:t>
      </w:r>
      <w:r>
        <w:rPr>
          <w:rFonts w:cs="Arial" w:hint="cs"/>
          <w:rtl/>
        </w:rPr>
        <w:t>.</w:t>
      </w:r>
      <w:r w:rsidRPr="0028661A">
        <w:rPr>
          <w:rFonts w:hint="cs"/>
          <w:color w:val="E36C0A" w:themeColor="accent6" w:themeShade="BF"/>
          <w:rtl/>
        </w:rPr>
        <w:t xml:space="preserve"> </w:t>
      </w:r>
      <w:r w:rsidRPr="004663D7">
        <w:rPr>
          <w:rFonts w:hint="cs"/>
          <w:color w:val="E36C0A" w:themeColor="accent6" w:themeShade="BF"/>
          <w:rtl/>
        </w:rPr>
        <w:t>(וכ"פ בשו"ע)</w:t>
      </w:r>
      <w:r>
        <w:rPr>
          <w:rFonts w:cs="Arial" w:hint="cs"/>
          <w:rtl/>
        </w:rPr>
        <w:t>.</w:t>
      </w:r>
      <w:r w:rsidR="00611743">
        <w:rPr>
          <w:rFonts w:cs="Arial" w:hint="cs"/>
          <w:rtl/>
        </w:rPr>
        <w:t xml:space="preserve">   </w:t>
      </w:r>
      <w:r w:rsidRPr="00716457">
        <w:rPr>
          <w:rFonts w:cs="Arial"/>
          <w:rtl/>
        </w:rPr>
        <w:t xml:space="preserve"> ולי נראה דאין הנדון דומה לראיה שהביא</w:t>
      </w:r>
      <w:r>
        <w:rPr>
          <w:rFonts w:cs="Arial" w:hint="cs"/>
          <w:rtl/>
        </w:rPr>
        <w:t>,</w:t>
      </w:r>
      <w:r w:rsidRPr="00716457">
        <w:rPr>
          <w:rFonts w:cs="Arial"/>
          <w:rtl/>
        </w:rPr>
        <w:t xml:space="preserve"> דשאני בתו דאוכלת בתנאי בית דין ולא תקנו לה בית דין אלא דבר המספיק לה</w:t>
      </w:r>
      <w:r>
        <w:rPr>
          <w:rFonts w:cs="Arial" w:hint="cs"/>
          <w:rtl/>
        </w:rPr>
        <w:t>,</w:t>
      </w:r>
      <w:r w:rsidRPr="00716457">
        <w:rPr>
          <w:rFonts w:cs="Arial"/>
          <w:rtl/>
        </w:rPr>
        <w:t xml:space="preserve"> אבל הפוסק לזון בת אשתו דאי לאו דעבדה ליה נייח נפשיה לא כתב לה הכי</w:t>
      </w:r>
      <w:r>
        <w:rPr>
          <w:rFonts w:cs="Arial" w:hint="cs"/>
          <w:rtl/>
        </w:rPr>
        <w:t>,</w:t>
      </w:r>
      <w:r w:rsidRPr="00716457">
        <w:rPr>
          <w:rFonts w:cs="Arial"/>
          <w:rtl/>
        </w:rPr>
        <w:t xml:space="preserve"> והויא כמי שנתנה לו דמי מזונות וסתמא דעתו שיפרנסה כאחד מבני ביתו</w:t>
      </w:r>
      <w:r>
        <w:rPr>
          <w:rFonts w:cs="Arial" w:hint="cs"/>
          <w:rtl/>
        </w:rPr>
        <w:t>,</w:t>
      </w:r>
      <w:r w:rsidRPr="00716457">
        <w:rPr>
          <w:rFonts w:cs="Arial"/>
          <w:rtl/>
        </w:rPr>
        <w:t xml:space="preserve"> וכמו שכתב הרא"ש</w:t>
      </w:r>
      <w:r>
        <w:rPr>
          <w:rFonts w:cs="Arial" w:hint="cs"/>
          <w:rtl/>
        </w:rPr>
        <w:t>,</w:t>
      </w:r>
      <w:r w:rsidRPr="00716457">
        <w:rPr>
          <w:rFonts w:cs="Arial"/>
          <w:rtl/>
        </w:rPr>
        <w:t xml:space="preserve"> ודברי טעם הם וכן נראה לי</w:t>
      </w:r>
      <w:r w:rsidR="00611743">
        <w:rPr>
          <w:rFonts w:cs="Arial" w:hint="cs"/>
          <w:rtl/>
        </w:rPr>
        <w:t>,</w:t>
      </w:r>
      <w:r w:rsidR="00611743" w:rsidRPr="00611743">
        <w:rPr>
          <w:rFonts w:cs="Arial" w:hint="cs"/>
          <w:b/>
          <w:bCs/>
          <w:rtl/>
        </w:rPr>
        <w:t xml:space="preserve"> </w:t>
      </w:r>
      <w:r w:rsidR="00611743" w:rsidRPr="00611743">
        <w:rPr>
          <w:rFonts w:cs="Arial" w:hint="cs"/>
          <w:b/>
          <w:bCs/>
          <w:rtl/>
        </w:rPr>
        <w:t>דרכ"מ</w:t>
      </w:r>
      <w:r w:rsidR="00611743">
        <w:rPr>
          <w:rFonts w:cs="Arial" w:hint="cs"/>
          <w:rtl/>
        </w:rPr>
        <w:t xml:space="preserve"> </w:t>
      </w:r>
      <w:r w:rsidR="00611743" w:rsidRPr="00716457">
        <w:rPr>
          <w:rFonts w:cs="Arial"/>
          <w:rtl/>
        </w:rPr>
        <w:t>(</w:t>
      </w:r>
      <w:r w:rsidR="00611743">
        <w:rPr>
          <w:rFonts w:cs="Arial" w:hint="cs"/>
          <w:rtl/>
        </w:rPr>
        <w:t xml:space="preserve">אות </w:t>
      </w:r>
      <w:r w:rsidR="00611743" w:rsidRPr="00716457">
        <w:rPr>
          <w:rFonts w:cs="Arial"/>
          <w:rtl/>
        </w:rPr>
        <w:t>ה)</w:t>
      </w:r>
      <w:r>
        <w:rPr>
          <w:rFonts w:cs="Arial" w:hint="cs"/>
          <w:rtl/>
        </w:rPr>
        <w:t>.</w:t>
      </w:r>
      <w:r>
        <w:rPr>
          <w:rFonts w:hint="cs"/>
          <w:rtl/>
        </w:rPr>
        <w:t xml:space="preserve"> </w:t>
      </w:r>
      <w:r w:rsidRPr="0028661A">
        <w:rPr>
          <w:rFonts w:hint="cs"/>
          <w:color w:val="00B0F0"/>
          <w:rtl/>
        </w:rPr>
        <w:t>(וכ"פ בהג"ה)</w:t>
      </w:r>
      <w:r>
        <w:rPr>
          <w:rFonts w:hint="cs"/>
          <w:rtl/>
        </w:rPr>
        <w:t xml:space="preserve">. </w:t>
      </w:r>
    </w:p>
  </w:footnote>
  <w:footnote w:id="2774">
    <w:p w14:paraId="7084BFD9" w14:textId="25E749D3" w:rsidR="00392DBB" w:rsidRDefault="00392DBB" w:rsidP="00392DBB">
      <w:pPr>
        <w:pStyle w:val="a5"/>
        <w:rPr>
          <w:rtl/>
        </w:rPr>
      </w:pPr>
      <w:r>
        <w:rPr>
          <w:rStyle w:val="a7"/>
        </w:rPr>
        <w:footnoteRef/>
      </w:r>
      <w:r>
        <w:rPr>
          <w:rtl/>
        </w:rPr>
        <w:t xml:space="preserve"> </w:t>
      </w:r>
      <w:r w:rsidRPr="00716457">
        <w:rPr>
          <w:rFonts w:cs="Arial"/>
          <w:rtl/>
        </w:rPr>
        <w:t xml:space="preserve">וכ"כ הר"ן פרק מי שאחזו (גיטין לז: דיבור ראשון) דהמקבל עליו לזון אחד </w:t>
      </w:r>
      <w:r w:rsidR="00ED6CA9">
        <w:rPr>
          <w:rFonts w:cs="Arial" w:hint="cs"/>
          <w:rtl/>
        </w:rPr>
        <w:t xml:space="preserve">- </w:t>
      </w:r>
      <w:r w:rsidRPr="00716457">
        <w:rPr>
          <w:rFonts w:cs="Arial"/>
          <w:rtl/>
        </w:rPr>
        <w:t>כל ימי חייו משמע</w:t>
      </w:r>
      <w:r w:rsidR="00ED6CA9">
        <w:rPr>
          <w:rFonts w:cs="Arial" w:hint="cs"/>
          <w:rtl/>
        </w:rPr>
        <w:t>,</w:t>
      </w:r>
      <w:r w:rsidRPr="00716457">
        <w:rPr>
          <w:rFonts w:cs="Arial"/>
          <w:rtl/>
        </w:rPr>
        <w:t xml:space="preserve"> והדבר צריך תלמוד עכ"ל וע"ש. כתב הר"ן ריש הנושא (שם) הפוסק לזון את חבירו</w:t>
      </w:r>
      <w:r w:rsidR="00ED6CA9">
        <w:rPr>
          <w:rFonts w:cs="Arial" w:hint="cs"/>
          <w:rtl/>
        </w:rPr>
        <w:t>,</w:t>
      </w:r>
      <w:r w:rsidRPr="00716457">
        <w:rPr>
          <w:rFonts w:cs="Arial"/>
          <w:rtl/>
        </w:rPr>
        <w:t xml:space="preserve"> הרשות בידו לומר תן לי מעות דמי מזונות</w:t>
      </w:r>
      <w:r w:rsidR="00ED6CA9">
        <w:rPr>
          <w:rFonts w:cs="Arial" w:hint="cs"/>
          <w:rtl/>
        </w:rPr>
        <w:t>.</w:t>
      </w:r>
      <w:r w:rsidRPr="00716457">
        <w:rPr>
          <w:rFonts w:cs="Arial"/>
          <w:rtl/>
        </w:rPr>
        <w:t xml:space="preserve"> ועיין חילוקים רבים בזה בחושן המשפט סימן ס' (ס"ט) וסוף סימן ר"ז (סכ"ט)</w:t>
      </w:r>
      <w:r w:rsidR="00ED6CA9">
        <w:rPr>
          <w:rFonts w:cs="Arial" w:hint="cs"/>
          <w:rtl/>
        </w:rPr>
        <w:t>, דרכ"מ (אות ב).</w:t>
      </w:r>
    </w:p>
  </w:footnote>
  <w:footnote w:id="2775">
    <w:p w14:paraId="2FC0D90D" w14:textId="77777777" w:rsidR="00392DBB" w:rsidRDefault="00392DBB" w:rsidP="00392DBB">
      <w:pPr>
        <w:pStyle w:val="a5"/>
      </w:pPr>
      <w:r>
        <w:rPr>
          <w:rStyle w:val="a7"/>
        </w:rPr>
        <w:footnoteRef/>
      </w:r>
      <w:r>
        <w:rPr>
          <w:rtl/>
        </w:rPr>
        <w:t xml:space="preserve"> </w:t>
      </w:r>
      <w:r w:rsidRPr="002367E5">
        <w:rPr>
          <w:rFonts w:cs="Arial"/>
          <w:rtl/>
        </w:rPr>
        <w:t>על כל הדינים המבוארים בסי' זה קאי</w:t>
      </w:r>
      <w:r>
        <w:rPr>
          <w:rFonts w:cs="Arial" w:hint="cs"/>
          <w:rtl/>
        </w:rPr>
        <w:t>, ח"מ (סק"ט).</w:t>
      </w:r>
    </w:p>
  </w:footnote>
  <w:footnote w:id="2776">
    <w:p w14:paraId="14538CE2" w14:textId="7BE55420" w:rsidR="00392DBB" w:rsidRDefault="00392DBB" w:rsidP="00392DBB">
      <w:pPr>
        <w:pStyle w:val="a5"/>
      </w:pPr>
      <w:r>
        <w:rPr>
          <w:rStyle w:val="a7"/>
        </w:rPr>
        <w:footnoteRef/>
      </w:r>
      <w:r>
        <w:rPr>
          <w:rtl/>
        </w:rPr>
        <w:t xml:space="preserve"> </w:t>
      </w:r>
      <w:r>
        <w:rPr>
          <w:rFonts w:hint="cs"/>
          <w:rtl/>
        </w:rPr>
        <w:t xml:space="preserve">סימן </w:t>
      </w:r>
      <w:r w:rsidR="00F97626">
        <w:rPr>
          <w:rtl/>
        </w:rPr>
        <w:t>-</w:t>
      </w:r>
      <w:r>
        <w:rPr>
          <w:rFonts w:hint="cs"/>
          <w:rtl/>
        </w:rPr>
        <w:t xml:space="preserve"> קנין באמירה. וכן </w:t>
      </w:r>
      <w:r w:rsidR="00F97626">
        <w:rPr>
          <w:rtl/>
        </w:rPr>
        <w:t>-</w:t>
      </w:r>
      <w:r>
        <w:rPr>
          <w:rFonts w:hint="cs"/>
          <w:rtl/>
        </w:rPr>
        <w:t xml:space="preserve"> קנין קיחה בת.</w:t>
      </w:r>
    </w:p>
  </w:footnote>
  <w:footnote w:id="2777">
    <w:p w14:paraId="645086AD" w14:textId="47C31AB3" w:rsidR="00392DBB" w:rsidRDefault="00392DBB" w:rsidP="00392DBB">
      <w:pPr>
        <w:pStyle w:val="a5"/>
      </w:pPr>
      <w:r>
        <w:rPr>
          <w:rStyle w:val="a7"/>
        </w:rPr>
        <w:footnoteRef/>
      </w:r>
      <w:r>
        <w:rPr>
          <w:rtl/>
        </w:rPr>
        <w:t xml:space="preserve"> </w:t>
      </w:r>
      <w:r w:rsidRPr="00E8419F">
        <w:rPr>
          <w:rFonts w:cs="Arial"/>
          <w:rtl/>
        </w:rPr>
        <w:t>לכאור</w:t>
      </w:r>
      <w:r w:rsidR="00BC14A4">
        <w:rPr>
          <w:rFonts w:cs="Arial" w:hint="cs"/>
          <w:rtl/>
        </w:rPr>
        <w:t>ה</w:t>
      </w:r>
      <w:r w:rsidRPr="00E8419F">
        <w:rPr>
          <w:rFonts w:cs="Arial"/>
          <w:rtl/>
        </w:rPr>
        <w:t xml:space="preserve"> הי</w:t>
      </w:r>
      <w:r w:rsidR="00BC14A4">
        <w:rPr>
          <w:rFonts w:cs="Arial" w:hint="cs"/>
          <w:rtl/>
        </w:rPr>
        <w:t>ה</w:t>
      </w:r>
      <w:r w:rsidRPr="00E8419F">
        <w:rPr>
          <w:rFonts w:cs="Arial"/>
          <w:rtl/>
        </w:rPr>
        <w:t xml:space="preserve"> נראה דהבעל השני זנה כי לא נתחייב בדמים כל זמן שאמה אצלו וכמ"ש בסק</w:t>
      </w:r>
      <w:r w:rsidR="00BC14A4">
        <w:rPr>
          <w:rFonts w:cs="Arial" w:hint="cs"/>
          <w:rtl/>
        </w:rPr>
        <w:t>"</w:t>
      </w:r>
      <w:r w:rsidRPr="00E8419F">
        <w:rPr>
          <w:rFonts w:cs="Arial"/>
          <w:rtl/>
        </w:rPr>
        <w:t>א</w:t>
      </w:r>
      <w:r w:rsidR="00BC14A4">
        <w:rPr>
          <w:rFonts w:cs="Arial" w:hint="cs"/>
          <w:rtl/>
        </w:rPr>
        <w:t>,</w:t>
      </w:r>
      <w:r w:rsidRPr="00E8419F">
        <w:rPr>
          <w:rFonts w:cs="Arial"/>
          <w:rtl/>
        </w:rPr>
        <w:t xml:space="preserve"> ואע</w:t>
      </w:r>
      <w:r w:rsidR="00BC14A4">
        <w:rPr>
          <w:rFonts w:cs="Arial" w:hint="cs"/>
          <w:rtl/>
        </w:rPr>
        <w:t>"</w:t>
      </w:r>
      <w:r w:rsidRPr="00E8419F">
        <w:rPr>
          <w:rFonts w:cs="Arial"/>
          <w:rtl/>
        </w:rPr>
        <w:t>ג שגם הראשון לא נתחייב בדמים וכמו שאכתוב בסמוך מ"מ הדבר תלוי בה ומסתמא תבחר שתזון אצל אמה</w:t>
      </w:r>
      <w:r w:rsidR="00BC14A4">
        <w:rPr>
          <w:rFonts w:cs="Arial" w:hint="cs"/>
          <w:rtl/>
        </w:rPr>
        <w:t>.</w:t>
      </w:r>
      <w:r w:rsidRPr="00E8419F">
        <w:rPr>
          <w:rFonts w:cs="Arial"/>
          <w:rtl/>
        </w:rPr>
        <w:t xml:space="preserve"> ומ"מ נראה שאם תאמר להשני אתה ידעת כי יש לי מזונות מן הראשן ותן לי דמים הרשות בידה</w:t>
      </w:r>
      <w:r>
        <w:rPr>
          <w:rFonts w:cs="Arial" w:hint="cs"/>
          <w:rtl/>
        </w:rPr>
        <w:t xml:space="preserve">, </w:t>
      </w:r>
      <w:r w:rsidRPr="00BC14A4">
        <w:rPr>
          <w:rFonts w:cs="Arial" w:hint="cs"/>
          <w:b/>
          <w:bCs/>
          <w:rtl/>
        </w:rPr>
        <w:t>ח"מ</w:t>
      </w:r>
      <w:r>
        <w:rPr>
          <w:rFonts w:cs="Arial" w:hint="cs"/>
          <w:rtl/>
        </w:rPr>
        <w:t xml:space="preserve"> (סק"י).</w:t>
      </w:r>
      <w:r w:rsidRPr="00E8419F">
        <w:rPr>
          <w:rtl/>
        </w:rPr>
        <w:t xml:space="preserve"> </w:t>
      </w:r>
      <w:r w:rsidRPr="00E8419F">
        <w:rPr>
          <w:rFonts w:cs="Arial"/>
          <w:rtl/>
        </w:rPr>
        <w:t>ואם תאמר ששניהם יתנו לה דמים אין הרשות בידה</w:t>
      </w:r>
      <w:r>
        <w:rPr>
          <w:rFonts w:cs="Arial" w:hint="cs"/>
          <w:rtl/>
        </w:rPr>
        <w:t xml:space="preserve">, </w:t>
      </w:r>
      <w:r w:rsidRPr="0027107E">
        <w:rPr>
          <w:rFonts w:cs="Arial" w:hint="cs"/>
          <w:b/>
          <w:bCs/>
          <w:rtl/>
        </w:rPr>
        <w:t>ב"ש</w:t>
      </w:r>
      <w:r>
        <w:rPr>
          <w:rFonts w:cs="Arial" w:hint="cs"/>
          <w:rtl/>
        </w:rPr>
        <w:t xml:space="preserve"> (סקי"ד).</w:t>
      </w:r>
    </w:p>
  </w:footnote>
  <w:footnote w:id="2778">
    <w:p w14:paraId="004B8D1E" w14:textId="77777777" w:rsidR="00392DBB" w:rsidRDefault="00392DBB" w:rsidP="00392DBB">
      <w:pPr>
        <w:pStyle w:val="a5"/>
      </w:pPr>
      <w:r>
        <w:rPr>
          <w:rStyle w:val="a7"/>
        </w:rPr>
        <w:footnoteRef/>
      </w:r>
      <w:r>
        <w:rPr>
          <w:rtl/>
        </w:rPr>
        <w:t xml:space="preserve"> </w:t>
      </w:r>
      <w:r w:rsidRPr="00BA62EC">
        <w:rPr>
          <w:rFonts w:cs="Arial"/>
          <w:rtl/>
        </w:rPr>
        <w:t xml:space="preserve">בפסקים </w:t>
      </w:r>
      <w:r>
        <w:rPr>
          <w:rFonts w:cs="Arial" w:hint="cs"/>
          <w:rtl/>
        </w:rPr>
        <w:t xml:space="preserve">(פסקי הרא"ש כתובות פי"א סי' א) </w:t>
      </w:r>
      <w:r w:rsidRPr="00BA62EC">
        <w:rPr>
          <w:rFonts w:cs="Arial"/>
          <w:rtl/>
        </w:rPr>
        <w:t>שבידינו חסר הא דאם היא חרשת וכו'</w:t>
      </w:r>
      <w:r>
        <w:rPr>
          <w:rFonts w:cs="Arial" w:hint="cs"/>
          <w:rtl/>
        </w:rPr>
        <w:t>, ב"י.</w:t>
      </w:r>
    </w:p>
  </w:footnote>
  <w:footnote w:id="2779">
    <w:p w14:paraId="6D716B72" w14:textId="55C4A46F" w:rsidR="00392DBB" w:rsidRDefault="00392DBB" w:rsidP="00392DBB">
      <w:pPr>
        <w:pStyle w:val="a5"/>
      </w:pPr>
      <w:r>
        <w:rPr>
          <w:rStyle w:val="a7"/>
        </w:rPr>
        <w:footnoteRef/>
      </w:r>
      <w:r>
        <w:rPr>
          <w:rtl/>
        </w:rPr>
        <w:t xml:space="preserve"> </w:t>
      </w:r>
      <w:r w:rsidRPr="00E8419F">
        <w:rPr>
          <w:rFonts w:cs="Arial"/>
          <w:rtl/>
        </w:rPr>
        <w:t>משמע אם רוצה ששניהם יתנו לה דמים אין הרשות בידה</w:t>
      </w:r>
      <w:r w:rsidR="008D31D8">
        <w:rPr>
          <w:rFonts w:cs="Arial" w:hint="cs"/>
          <w:rtl/>
        </w:rPr>
        <w:t>,</w:t>
      </w:r>
      <w:r w:rsidRPr="00E8419F">
        <w:rPr>
          <w:rFonts w:cs="Arial"/>
          <w:rtl/>
        </w:rPr>
        <w:t xml:space="preserve"> וכן משמע בסע</w:t>
      </w:r>
      <w:r>
        <w:rPr>
          <w:rFonts w:cs="Arial" w:hint="cs"/>
          <w:rtl/>
        </w:rPr>
        <w:t>'</w:t>
      </w:r>
      <w:r w:rsidRPr="00E8419F">
        <w:rPr>
          <w:rFonts w:cs="Arial"/>
          <w:rtl/>
        </w:rPr>
        <w:t xml:space="preserve"> ו' שנותן לה מזונות משלם אע</w:t>
      </w:r>
      <w:r>
        <w:rPr>
          <w:rFonts w:cs="Arial" w:hint="cs"/>
          <w:rtl/>
        </w:rPr>
        <w:t>"</w:t>
      </w:r>
      <w:r w:rsidRPr="00E8419F">
        <w:rPr>
          <w:rFonts w:cs="Arial"/>
          <w:rtl/>
        </w:rPr>
        <w:t>פ שנתגרשה האם משום דהחיוב בתחלה לא היה רק על מזונות ולא על דמים ע"כ לא יתחייבו ליתן דמים כל זמן שהיא צריכה למזונות</w:t>
      </w:r>
      <w:r>
        <w:rPr>
          <w:rFonts w:cs="Arial" w:hint="cs"/>
          <w:rtl/>
        </w:rPr>
        <w:t>, ח"מ (סקי"א).</w:t>
      </w:r>
    </w:p>
  </w:footnote>
  <w:footnote w:id="2780">
    <w:p w14:paraId="3333F36C" w14:textId="35BA731D" w:rsidR="00392DBB" w:rsidRDefault="00392DBB" w:rsidP="00392DBB">
      <w:pPr>
        <w:pStyle w:val="a5"/>
      </w:pPr>
      <w:r>
        <w:rPr>
          <w:rStyle w:val="a7"/>
        </w:rPr>
        <w:footnoteRef/>
      </w:r>
      <w:r>
        <w:rPr>
          <w:rtl/>
        </w:rPr>
        <w:t xml:space="preserve"> </w:t>
      </w:r>
      <w:r>
        <w:rPr>
          <w:rFonts w:hint="cs"/>
          <w:rtl/>
        </w:rPr>
        <w:t xml:space="preserve">סימן </w:t>
      </w:r>
      <w:r w:rsidR="00F97626">
        <w:rPr>
          <w:rtl/>
        </w:rPr>
        <w:t>-</w:t>
      </w:r>
      <w:r>
        <w:rPr>
          <w:rFonts w:hint="cs"/>
          <w:rtl/>
        </w:rPr>
        <w:t xml:space="preserve"> קנין באמירה. וכן </w:t>
      </w:r>
      <w:r w:rsidR="00F97626">
        <w:rPr>
          <w:rtl/>
        </w:rPr>
        <w:t>-</w:t>
      </w:r>
      <w:r>
        <w:rPr>
          <w:rFonts w:hint="cs"/>
          <w:rtl/>
        </w:rPr>
        <w:t xml:space="preserve"> קנין קיחה בת.</w:t>
      </w:r>
    </w:p>
  </w:footnote>
  <w:footnote w:id="2781">
    <w:p w14:paraId="6B0E3399" w14:textId="199EBBA4" w:rsidR="00392DBB" w:rsidRDefault="00392DBB" w:rsidP="00392DBB">
      <w:pPr>
        <w:pStyle w:val="a5"/>
      </w:pPr>
      <w:r>
        <w:rPr>
          <w:rStyle w:val="a7"/>
        </w:rPr>
        <w:footnoteRef/>
      </w:r>
      <w:r>
        <w:rPr>
          <w:rtl/>
        </w:rPr>
        <w:t xml:space="preserve"> </w:t>
      </w:r>
      <w:r>
        <w:rPr>
          <w:rFonts w:hint="cs"/>
          <w:rtl/>
        </w:rPr>
        <w:t xml:space="preserve">סימן </w:t>
      </w:r>
      <w:r w:rsidR="00F97626">
        <w:rPr>
          <w:rtl/>
        </w:rPr>
        <w:t>-</w:t>
      </w:r>
      <w:r>
        <w:rPr>
          <w:rFonts w:hint="cs"/>
          <w:rtl/>
        </w:rPr>
        <w:t xml:space="preserve"> קנין באמירה. וכן </w:t>
      </w:r>
      <w:r w:rsidR="00F97626">
        <w:rPr>
          <w:rtl/>
        </w:rPr>
        <w:t>-</w:t>
      </w:r>
      <w:r>
        <w:rPr>
          <w:rFonts w:hint="cs"/>
          <w:rtl/>
        </w:rPr>
        <w:t xml:space="preserve"> קנין קיחה בת.</w:t>
      </w:r>
    </w:p>
  </w:footnote>
  <w:footnote w:id="2782">
    <w:p w14:paraId="1ADE6BB8" w14:textId="77777777" w:rsidR="00392DBB" w:rsidRDefault="00392DBB" w:rsidP="00392DBB">
      <w:pPr>
        <w:pStyle w:val="a5"/>
      </w:pPr>
      <w:r>
        <w:rPr>
          <w:rStyle w:val="a7"/>
        </w:rPr>
        <w:footnoteRef/>
      </w:r>
      <w:r>
        <w:rPr>
          <w:rtl/>
        </w:rPr>
        <w:t xml:space="preserve"> </w:t>
      </w:r>
      <w:r w:rsidRPr="00864336">
        <w:rPr>
          <w:rFonts w:cs="Arial"/>
          <w:rtl/>
        </w:rPr>
        <w:t xml:space="preserve">והביא הרשב"א </w:t>
      </w:r>
      <w:r>
        <w:rPr>
          <w:rFonts w:cs="Arial" w:hint="cs"/>
          <w:rtl/>
        </w:rPr>
        <w:t xml:space="preserve">(כ"כ בשמו הר"ן כתובות ס:) </w:t>
      </w:r>
      <w:r w:rsidRPr="00864336">
        <w:rPr>
          <w:rFonts w:cs="Arial"/>
          <w:rtl/>
        </w:rPr>
        <w:t>ראיה לדין זה מבן לוי שמכר שדה לישראל והתנה עמו שמעשר ראשון שלו כל זמן ששדה זו בידך מכרה לאחר וחזר ולקחה ממנו אין לו עליו כלום</w:t>
      </w:r>
      <w:r>
        <w:rPr>
          <w:rFonts w:cs="Arial" w:hint="cs"/>
          <w:rtl/>
        </w:rPr>
        <w:t xml:space="preserve"> (ב"ב סג.)</w:t>
      </w:r>
      <w:r w:rsidRPr="00864336">
        <w:rPr>
          <w:rFonts w:cs="Arial"/>
          <w:rtl/>
        </w:rPr>
        <w:t xml:space="preserve"> דכל זמן שבידך מקנין ראשון קאמר</w:t>
      </w:r>
      <w:r>
        <w:rPr>
          <w:rFonts w:cs="Arial" w:hint="cs"/>
          <w:rtl/>
        </w:rPr>
        <w:t>, ח"מ (סקי"ב).</w:t>
      </w:r>
      <w:r w:rsidRPr="00CA2C5E">
        <w:rPr>
          <w:rtl/>
        </w:rPr>
        <w:t xml:space="preserve"> </w:t>
      </w:r>
      <w:r w:rsidRPr="00CA2C5E">
        <w:rPr>
          <w:rFonts w:cs="Arial"/>
          <w:rtl/>
        </w:rPr>
        <w:t>ואפי' עשו קנוניא האם עם הבעל להתגרש כדי להפקיע זכות הבת נפטר ממזונות הרדב"ז ח"א סי' רנ"ד ע"ש שכתב ע"ש דאין חילוק בין שאמר כל זמן שאת עמי לכשאומר כל זמן שאני נשוי עמה ע"ש ועיין ב"ש</w:t>
      </w:r>
      <w:r>
        <w:rPr>
          <w:rFonts w:hint="cs"/>
          <w:rtl/>
        </w:rPr>
        <w:t xml:space="preserve"> (סקט"ו), באה"ט (סקי"א).</w:t>
      </w:r>
    </w:p>
  </w:footnote>
  <w:footnote w:id="2783">
    <w:p w14:paraId="61D7447D" w14:textId="77777777" w:rsidR="00392DBB" w:rsidRDefault="00392DBB" w:rsidP="00392DBB">
      <w:pPr>
        <w:pStyle w:val="a5"/>
      </w:pPr>
      <w:r>
        <w:rPr>
          <w:rStyle w:val="a7"/>
        </w:rPr>
        <w:footnoteRef/>
      </w:r>
      <w:r>
        <w:rPr>
          <w:rtl/>
        </w:rPr>
        <w:t xml:space="preserve"> </w:t>
      </w:r>
      <w:r w:rsidRPr="00BA3153">
        <w:rPr>
          <w:rFonts w:cs="Arial"/>
          <w:rtl/>
        </w:rPr>
        <w:t>פי' היינו להוציאם בהוצאה</w:t>
      </w:r>
      <w:r>
        <w:rPr>
          <w:rFonts w:cs="Arial" w:hint="cs"/>
          <w:rtl/>
        </w:rPr>
        <w:t>,</w:t>
      </w:r>
      <w:r w:rsidRPr="00BA3153">
        <w:rPr>
          <w:rFonts w:cs="Arial"/>
          <w:rtl/>
        </w:rPr>
        <w:t xml:space="preserve"> לא להוציא מן המתחייב</w:t>
      </w:r>
      <w:r>
        <w:rPr>
          <w:rFonts w:cs="Arial" w:hint="cs"/>
          <w:rtl/>
        </w:rPr>
        <w:t>,</w:t>
      </w:r>
      <w:r w:rsidRPr="00BA3153">
        <w:rPr>
          <w:rFonts w:cs="Arial"/>
          <w:rtl/>
        </w:rPr>
        <w:t xml:space="preserve"> שהרי לא הגיע הזמן</w:t>
      </w:r>
      <w:r>
        <w:rPr>
          <w:rFonts w:cs="Arial" w:hint="cs"/>
          <w:rtl/>
        </w:rPr>
        <w:t>, ח"מ (סקי"ג).</w:t>
      </w:r>
    </w:p>
  </w:footnote>
  <w:footnote w:id="2784">
    <w:p w14:paraId="1A6B56AA" w14:textId="77777777" w:rsidR="00392DBB" w:rsidRDefault="00392DBB" w:rsidP="00392DBB">
      <w:pPr>
        <w:pStyle w:val="a5"/>
        <w:rPr>
          <w:rtl/>
        </w:rPr>
      </w:pPr>
      <w:r>
        <w:rPr>
          <w:rStyle w:val="a7"/>
        </w:rPr>
        <w:footnoteRef/>
      </w:r>
      <w:r>
        <w:rPr>
          <w:rtl/>
        </w:rPr>
        <w:t xml:space="preserve"> </w:t>
      </w:r>
      <w:r w:rsidRPr="00716457">
        <w:rPr>
          <w:rFonts w:cs="Arial"/>
          <w:rtl/>
        </w:rPr>
        <w:t>ועיין בחושן המשפט סימן ר"ז (סכ"ט עמ' שב) מדין הפוסק לחבירו לזון מהו בכלל</w:t>
      </w:r>
      <w:r>
        <w:rPr>
          <w:rFonts w:cs="Arial" w:hint="cs"/>
          <w:rtl/>
        </w:rPr>
        <w:t>, דרכ"מ (אות ו).</w:t>
      </w:r>
    </w:p>
  </w:footnote>
  <w:footnote w:id="2785">
    <w:p w14:paraId="22E876C6" w14:textId="7415DC3B" w:rsidR="00392DBB" w:rsidRDefault="00392DBB" w:rsidP="00392DBB">
      <w:pPr>
        <w:pStyle w:val="a5"/>
      </w:pPr>
      <w:r>
        <w:rPr>
          <w:rStyle w:val="a7"/>
        </w:rPr>
        <w:footnoteRef/>
      </w:r>
      <w:r>
        <w:rPr>
          <w:rtl/>
        </w:rPr>
        <w:t xml:space="preserve"> </w:t>
      </w:r>
      <w:r w:rsidRPr="00E137B9">
        <w:rPr>
          <w:rFonts w:cs="Arial"/>
          <w:rtl/>
        </w:rPr>
        <w:t>מלשון זה משמע שנתן לו סך קצוב בעד המזונות ועבר הז"פ ואח"כ מתה אשתו אבל המעיין בגוף התשוב' יראה דהשאלה היתה שקבע לו זמנים לפרעון ומתה האשה תוך אותן זמנים ואפ"ה פסק הרשב"א דצריך לשלם משום דלא קצב לו זמן למזונות</w:t>
      </w:r>
      <w:r>
        <w:rPr>
          <w:rFonts w:cs="Arial" w:hint="cs"/>
          <w:rtl/>
        </w:rPr>
        <w:t>...</w:t>
      </w:r>
      <w:r w:rsidRPr="00E137B9">
        <w:rPr>
          <w:rFonts w:cs="Arial"/>
          <w:rtl/>
        </w:rPr>
        <w:t xml:space="preserve"> ומ"ש הרשב"א בלשונו ואלו היו רוצים להוציא אותו סך וכו' פי' היינו להוציאם בהוצאה לא להוציא מן המתחייב שהרי לא הגיע הזמן</w:t>
      </w:r>
      <w:r>
        <w:rPr>
          <w:rFonts w:cs="Arial" w:hint="cs"/>
          <w:rtl/>
        </w:rPr>
        <w:t xml:space="preserve">, </w:t>
      </w:r>
      <w:r w:rsidRPr="00EC4403">
        <w:rPr>
          <w:rFonts w:cs="Arial" w:hint="cs"/>
          <w:b/>
          <w:bCs/>
          <w:rtl/>
        </w:rPr>
        <w:t>ח"מ</w:t>
      </w:r>
      <w:r>
        <w:rPr>
          <w:rFonts w:cs="Arial" w:hint="cs"/>
          <w:rtl/>
        </w:rPr>
        <w:t xml:space="preserve"> (סקי"ג).</w:t>
      </w:r>
      <w:r w:rsidRPr="00E137B9">
        <w:rPr>
          <w:rFonts w:cs="Arial"/>
          <w:rtl/>
        </w:rPr>
        <w:t xml:space="preserve"> </w:t>
      </w:r>
      <w:r>
        <w:rPr>
          <w:rFonts w:cs="Arial" w:hint="cs"/>
          <w:rtl/>
        </w:rPr>
        <w:t xml:space="preserve">וכן תמה </w:t>
      </w:r>
      <w:r w:rsidRPr="00EC4403">
        <w:rPr>
          <w:rFonts w:cs="Arial" w:hint="cs"/>
          <w:b/>
          <w:bCs/>
          <w:rtl/>
        </w:rPr>
        <w:t>הב"ש</w:t>
      </w:r>
      <w:r>
        <w:rPr>
          <w:rFonts w:cs="Arial" w:hint="cs"/>
          <w:rtl/>
        </w:rPr>
        <w:t xml:space="preserve"> (סקי"ח) על לשון הרמ"א </w:t>
      </w:r>
      <w:r w:rsidRPr="00E137B9">
        <w:rPr>
          <w:rFonts w:cs="Arial"/>
          <w:rtl/>
        </w:rPr>
        <w:t>ו</w:t>
      </w:r>
      <w:r>
        <w:rPr>
          <w:rFonts w:cs="Arial" w:hint="cs"/>
          <w:rtl/>
        </w:rPr>
        <w:t>כתב ד</w:t>
      </w:r>
      <w:r w:rsidRPr="00E137B9">
        <w:rPr>
          <w:rFonts w:cs="Arial"/>
          <w:rtl/>
        </w:rPr>
        <w:t>אפשר לומר דכוונתו אלו לא היה קבע זמנים לשלם היה הדין שצריך ליתן לו אותו הסך מיד לכן אפילו אם קבע זמנים מ"מ כבר חל החיוב</w:t>
      </w:r>
      <w:r>
        <w:rPr>
          <w:rFonts w:cs="Arial" w:hint="cs"/>
          <w:rtl/>
        </w:rPr>
        <w:t>.</w:t>
      </w:r>
      <w:r>
        <w:rPr>
          <w:rFonts w:hint="cs"/>
          <w:rtl/>
        </w:rPr>
        <w:t xml:space="preserve"> עכ"ל. </w:t>
      </w:r>
      <w:r w:rsidRPr="00090238">
        <w:rPr>
          <w:rFonts w:cs="Arial"/>
          <w:rtl/>
        </w:rPr>
        <w:t>ו</w:t>
      </w:r>
      <w:r>
        <w:rPr>
          <w:rFonts w:cs="Arial" w:hint="cs"/>
          <w:rtl/>
        </w:rPr>
        <w:t xml:space="preserve">עי' </w:t>
      </w:r>
      <w:r w:rsidRPr="00090238">
        <w:rPr>
          <w:rFonts w:cs="Arial"/>
          <w:rtl/>
        </w:rPr>
        <w:t>בש"ך ח</w:t>
      </w:r>
      <w:r>
        <w:rPr>
          <w:rFonts w:cs="Arial" w:hint="cs"/>
          <w:rtl/>
        </w:rPr>
        <w:t>ו</w:t>
      </w:r>
      <w:r w:rsidRPr="00090238">
        <w:rPr>
          <w:rFonts w:cs="Arial"/>
          <w:rtl/>
        </w:rPr>
        <w:t>"מ סימן ס' ס</w:t>
      </w:r>
      <w:r>
        <w:rPr>
          <w:rFonts w:cs="Arial" w:hint="cs"/>
          <w:rtl/>
        </w:rPr>
        <w:t>ק</w:t>
      </w:r>
      <w:r w:rsidRPr="00090238">
        <w:rPr>
          <w:rFonts w:cs="Arial"/>
          <w:rtl/>
        </w:rPr>
        <w:t>י"ז</w:t>
      </w:r>
      <w:r>
        <w:rPr>
          <w:rFonts w:cs="Arial" w:hint="cs"/>
          <w:rtl/>
        </w:rPr>
        <w:t>.</w:t>
      </w:r>
    </w:p>
  </w:footnote>
  <w:footnote w:id="2786">
    <w:p w14:paraId="25FC74B2" w14:textId="63BA030C" w:rsidR="0077331D" w:rsidRDefault="0077331D" w:rsidP="0077331D">
      <w:pPr>
        <w:pStyle w:val="a5"/>
      </w:pPr>
      <w:r>
        <w:rPr>
          <w:rStyle w:val="a7"/>
        </w:rPr>
        <w:footnoteRef/>
      </w:r>
      <w:r>
        <w:rPr>
          <w:rtl/>
        </w:rPr>
        <w:t xml:space="preserve"> </w:t>
      </w:r>
      <w:r>
        <w:rPr>
          <w:rFonts w:cs="Arial" w:hint="cs"/>
          <w:rtl/>
        </w:rPr>
        <w:t>סימן - עברה</w:t>
      </w:r>
      <w:r w:rsidR="00266371">
        <w:rPr>
          <w:rFonts w:cs="Arial" w:hint="cs"/>
          <w:rtl/>
        </w:rPr>
        <w:t xml:space="preserve"> על ב'</w:t>
      </w:r>
      <w:r w:rsidR="007A536E">
        <w:rPr>
          <w:rFonts w:cs="Arial" w:hint="cs"/>
          <w:rtl/>
        </w:rPr>
        <w:t xml:space="preserve"> (משה ויהודית)</w:t>
      </w:r>
      <w:r>
        <w:rPr>
          <w:rFonts w:cs="Arial" w:hint="cs"/>
          <w:rtl/>
        </w:rPr>
        <w:t>.</w:t>
      </w:r>
    </w:p>
  </w:footnote>
  <w:footnote w:id="2787">
    <w:p w14:paraId="599BBE25" w14:textId="554F84B7" w:rsidR="00392DBB" w:rsidRDefault="00392DBB" w:rsidP="00392DBB">
      <w:pPr>
        <w:pStyle w:val="a5"/>
      </w:pPr>
      <w:r>
        <w:rPr>
          <w:rStyle w:val="a7"/>
        </w:rPr>
        <w:footnoteRef/>
      </w:r>
      <w:r>
        <w:rPr>
          <w:rtl/>
        </w:rPr>
        <w:t xml:space="preserve"> </w:t>
      </w:r>
      <w:r w:rsidRPr="000070F1">
        <w:rPr>
          <w:rFonts w:cs="Arial"/>
          <w:rtl/>
        </w:rPr>
        <w:t>דת יהודית - שנהגו בנות ישראל ואע</w:t>
      </w:r>
      <w:r w:rsidR="00A97402">
        <w:rPr>
          <w:rFonts w:cs="Arial" w:hint="cs"/>
          <w:rtl/>
        </w:rPr>
        <w:t>"</w:t>
      </w:r>
      <w:r w:rsidRPr="000070F1">
        <w:rPr>
          <w:rFonts w:cs="Arial"/>
          <w:rtl/>
        </w:rPr>
        <w:t>ג דלא כתיבא</w:t>
      </w:r>
      <w:r>
        <w:rPr>
          <w:rFonts w:cs="Arial" w:hint="cs"/>
          <w:rtl/>
        </w:rPr>
        <w:t>, רש"י.</w:t>
      </w:r>
    </w:p>
  </w:footnote>
  <w:footnote w:id="2788">
    <w:p w14:paraId="46DA72FF" w14:textId="2DB87F4B"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E61D43">
        <w:rPr>
          <w:rFonts w:cs="Arial"/>
          <w:rtl/>
        </w:rPr>
        <w:t>והיאך יודע דבר זה כגון שאמרה לו פירות אלו פלוני כהן תקנם לי ועיסה זו פלוני הפריש לי חלתה ופלוני החכם טיהר לי את הכתם</w:t>
      </w:r>
      <w:r>
        <w:rPr>
          <w:rFonts w:cs="Arial" w:hint="cs"/>
          <w:rtl/>
        </w:rPr>
        <w:t>,</w:t>
      </w:r>
      <w:r w:rsidRPr="00E61D43">
        <w:rPr>
          <w:rFonts w:cs="Arial"/>
          <w:rtl/>
        </w:rPr>
        <w:t xml:space="preserve"> ואחר שאכל או בא עליה שאל אותו פלוני</w:t>
      </w:r>
      <w:r>
        <w:rPr>
          <w:rFonts w:cs="Arial" w:hint="cs"/>
          <w:rtl/>
        </w:rPr>
        <w:t>,</w:t>
      </w:r>
      <w:r w:rsidRPr="00E61D43">
        <w:rPr>
          <w:rFonts w:cs="Arial"/>
          <w:rtl/>
        </w:rPr>
        <w:t xml:space="preserve"> ואמר לא היו דברים מעולם</w:t>
      </w:r>
      <w:r>
        <w:rPr>
          <w:rFonts w:cs="Arial" w:hint="cs"/>
          <w:rtl/>
        </w:rPr>
        <w:t>.</w:t>
      </w:r>
      <w:r>
        <w:rPr>
          <w:rFonts w:hint="cs"/>
          <w:rtl/>
        </w:rPr>
        <w:t xml:space="preserve"> עכ"ל. וכך היא לשון הסמ"ג.</w:t>
      </w:r>
    </w:p>
  </w:footnote>
  <w:footnote w:id="2789">
    <w:p w14:paraId="457A8D82" w14:textId="501C5A4C" w:rsidR="00392DBB" w:rsidRDefault="00392DBB" w:rsidP="00392DBB">
      <w:pPr>
        <w:pStyle w:val="a5"/>
      </w:pPr>
      <w:r>
        <w:rPr>
          <w:rStyle w:val="a7"/>
        </w:rPr>
        <w:footnoteRef/>
      </w:r>
      <w:r>
        <w:rPr>
          <w:rtl/>
        </w:rPr>
        <w:t xml:space="preserve"> </w:t>
      </w:r>
      <w:r w:rsidRPr="00E21A0A">
        <w:rPr>
          <w:rFonts w:cs="Arial"/>
          <w:rtl/>
        </w:rPr>
        <w:t>כן פירש הרא"ש ז"ל שם אהא דאמרינן אי דידע נפרוש</w:t>
      </w:r>
      <w:r w:rsidR="00675597">
        <w:rPr>
          <w:rFonts w:cs="Arial" w:hint="cs"/>
          <w:rtl/>
        </w:rPr>
        <w:t>.</w:t>
      </w:r>
      <w:r w:rsidRPr="00E21A0A">
        <w:rPr>
          <w:rFonts w:cs="Arial"/>
          <w:rtl/>
        </w:rPr>
        <w:t xml:space="preserve"> וא"ת אין ידע ודאי ופירש</w:t>
      </w:r>
      <w:r w:rsidR="00675597">
        <w:rPr>
          <w:rFonts w:cs="Arial" w:hint="cs"/>
          <w:rtl/>
        </w:rPr>
        <w:t>,</w:t>
      </w:r>
      <w:r w:rsidRPr="00E21A0A">
        <w:rPr>
          <w:rFonts w:cs="Arial"/>
          <w:rtl/>
        </w:rPr>
        <w:t xml:space="preserve"> אבל היא היתה רוצה להאכילו שלא היתה סבורה שהוא יודע הילכך יוצאה שלא בכתובה כי תאכילנו פעם אחרת כשלא ידע</w:t>
      </w:r>
      <w:r w:rsidR="00675597">
        <w:rPr>
          <w:rFonts w:cs="Arial" w:hint="cs"/>
          <w:rtl/>
        </w:rPr>
        <w:t>.</w:t>
      </w:r>
      <w:r w:rsidRPr="00E21A0A">
        <w:rPr>
          <w:rFonts w:cs="Arial"/>
          <w:rtl/>
        </w:rPr>
        <w:t xml:space="preserve"> וי"ל דרצתה להאכילו ולא האכילתו אינה יוצאה שלא בכתובה דמציא אמרה משחקת הייתי בך וכשהייתה בא לאכול הייתי מונעך עכ"ל</w:t>
      </w:r>
      <w:r>
        <w:rPr>
          <w:rFonts w:cs="Arial" w:hint="cs"/>
          <w:rtl/>
        </w:rPr>
        <w:t>, ב"י.</w:t>
      </w:r>
    </w:p>
  </w:footnote>
  <w:footnote w:id="2790">
    <w:p w14:paraId="09938B26" w14:textId="6285D36A" w:rsidR="00392DBB" w:rsidRDefault="00392DBB" w:rsidP="00392DBB">
      <w:pPr>
        <w:pStyle w:val="a5"/>
        <w:rPr>
          <w:rtl/>
        </w:rPr>
      </w:pPr>
      <w:r>
        <w:rPr>
          <w:rStyle w:val="a7"/>
        </w:rPr>
        <w:footnoteRef/>
      </w:r>
      <w:r>
        <w:rPr>
          <w:rtl/>
        </w:rPr>
        <w:t xml:space="preserve"> </w:t>
      </w:r>
      <w:r w:rsidR="0061020A">
        <w:rPr>
          <w:rFonts w:cs="Arial"/>
          <w:rtl/>
        </w:rPr>
        <w:t>וז"ל:</w:t>
      </w:r>
      <w:r>
        <w:rPr>
          <w:rFonts w:cs="Arial"/>
          <w:rtl/>
        </w:rPr>
        <w:t xml:space="preserve"> האי דעוברת על דת משה ויהודית אין לה כתובה היינו בדבר שהיא מכשילתו כגון כי הנך דמתניתין וכיוצא בהם</w:t>
      </w:r>
      <w:r>
        <w:rPr>
          <w:rFonts w:cs="Arial" w:hint="cs"/>
          <w:rtl/>
        </w:rPr>
        <w:t>.</w:t>
      </w:r>
      <w:r>
        <w:rPr>
          <w:rFonts w:cs="Arial"/>
          <w:rtl/>
        </w:rPr>
        <w:t xml:space="preserve"> כגון שהאכילתו חלב או דם וכן נודרת ואינה מקיימת בשביל אונס בניו</w:t>
      </w:r>
      <w:r>
        <w:rPr>
          <w:rFonts w:cs="Arial" w:hint="cs"/>
          <w:rtl/>
        </w:rPr>
        <w:t>.</w:t>
      </w:r>
      <w:r>
        <w:rPr>
          <w:rFonts w:cs="Arial"/>
          <w:rtl/>
        </w:rPr>
        <w:t xml:space="preserve"> אבל אם היתה עוברת בשאר עבירות</w:t>
      </w:r>
      <w:r>
        <w:rPr>
          <w:rFonts w:cs="Arial" w:hint="cs"/>
          <w:rtl/>
        </w:rPr>
        <w:t>,</w:t>
      </w:r>
      <w:r>
        <w:rPr>
          <w:rFonts w:cs="Arial"/>
          <w:rtl/>
        </w:rPr>
        <w:t xml:space="preserve"> כגון שהיא עצמה אכלה דבר איסור לא הפסידה כתובה</w:t>
      </w:r>
      <w:r>
        <w:rPr>
          <w:rFonts w:cs="Arial" w:hint="cs"/>
          <w:rtl/>
        </w:rPr>
        <w:t>.</w:t>
      </w:r>
      <w:r>
        <w:rPr>
          <w:rFonts w:cs="Arial"/>
          <w:rtl/>
        </w:rPr>
        <w:t xml:space="preserve"> ודת יהודית </w:t>
      </w:r>
      <w:r>
        <w:rPr>
          <w:rFonts w:cs="Arial" w:hint="cs"/>
          <w:rtl/>
        </w:rPr>
        <w:t xml:space="preserve">- </w:t>
      </w:r>
      <w:r>
        <w:rPr>
          <w:rFonts w:cs="Arial"/>
          <w:rtl/>
        </w:rPr>
        <w:t>משום חציפותא ומשום חשד זנות הוא דמפסדא</w:t>
      </w:r>
      <w:r>
        <w:rPr>
          <w:rFonts w:hint="cs"/>
          <w:rtl/>
        </w:rPr>
        <w:t>.</w:t>
      </w:r>
    </w:p>
  </w:footnote>
  <w:footnote w:id="2791">
    <w:p w14:paraId="7C4DD8E3" w14:textId="4C674735" w:rsidR="00392DBB" w:rsidRDefault="00392DBB" w:rsidP="00392DBB">
      <w:pPr>
        <w:pStyle w:val="a5"/>
      </w:pPr>
      <w:r>
        <w:rPr>
          <w:rStyle w:val="a7"/>
        </w:rPr>
        <w:footnoteRef/>
      </w:r>
      <w:r>
        <w:rPr>
          <w:rtl/>
        </w:rPr>
        <w:t xml:space="preserve"> </w:t>
      </w:r>
      <w:r w:rsidRPr="000753C6">
        <w:rPr>
          <w:rFonts w:cs="Arial"/>
          <w:rtl/>
        </w:rPr>
        <w:t xml:space="preserve">כתב </w:t>
      </w:r>
      <w:r w:rsidRPr="00725978">
        <w:rPr>
          <w:rFonts w:cs="Arial"/>
          <w:b/>
          <w:bCs/>
          <w:rtl/>
        </w:rPr>
        <w:t>ה</w:t>
      </w:r>
      <w:r w:rsidR="00725978">
        <w:rPr>
          <w:rFonts w:cs="Arial" w:hint="cs"/>
          <w:b/>
          <w:bCs/>
          <w:rtl/>
        </w:rPr>
        <w:t>ה</w:t>
      </w:r>
      <w:r w:rsidRPr="00725978">
        <w:rPr>
          <w:rFonts w:cs="Arial"/>
          <w:b/>
          <w:bCs/>
          <w:rtl/>
        </w:rPr>
        <w:t>"מ</w:t>
      </w:r>
      <w:r w:rsidRPr="000753C6">
        <w:rPr>
          <w:rFonts w:cs="Arial"/>
          <w:rtl/>
        </w:rPr>
        <w:t xml:space="preserve"> </w:t>
      </w:r>
      <w:r>
        <w:rPr>
          <w:rFonts w:cs="Arial" w:hint="cs"/>
          <w:rtl/>
        </w:rPr>
        <w:t>(פכ"ד הי"א)</w:t>
      </w:r>
      <w:r w:rsidR="00725978">
        <w:rPr>
          <w:rFonts w:cs="Arial" w:hint="cs"/>
          <w:rtl/>
        </w:rPr>
        <w:t>:</w:t>
      </w:r>
      <w:r>
        <w:rPr>
          <w:rFonts w:cs="Arial" w:hint="cs"/>
          <w:rtl/>
        </w:rPr>
        <w:t xml:space="preserve"> </w:t>
      </w:r>
      <w:r w:rsidRPr="007C6879">
        <w:rPr>
          <w:rFonts w:cs="Arial"/>
          <w:rtl/>
        </w:rPr>
        <w:t>וביאר רבינו שכשאמרו מאכילתו שאינו מעושר כל שכן שאר דברים האסורין</w:t>
      </w:r>
      <w:r w:rsidR="00725978">
        <w:rPr>
          <w:rFonts w:cs="Arial" w:hint="cs"/>
          <w:rtl/>
        </w:rPr>
        <w:t>,</w:t>
      </w:r>
      <w:r w:rsidRPr="007C6879">
        <w:rPr>
          <w:rFonts w:cs="Arial"/>
          <w:rtl/>
        </w:rPr>
        <w:t xml:space="preserve"> שהרי המעשר בזמן הזה אינו אלא מדבריהם כנזכר פרק ראשון מהלכות תרומות</w:t>
      </w:r>
      <w:r>
        <w:rPr>
          <w:rFonts w:cs="Arial" w:hint="cs"/>
          <w:rtl/>
        </w:rPr>
        <w:t>.</w:t>
      </w:r>
      <w:r w:rsidRPr="007C6879">
        <w:rPr>
          <w:rFonts w:cs="Arial"/>
          <w:rtl/>
        </w:rPr>
        <w:t xml:space="preserve"> ומ"מ אפילו יהיה מן התורה ק"ו הוא לשאר דברים האסורים</w:t>
      </w:r>
      <w:r w:rsidR="00725978">
        <w:rPr>
          <w:rFonts w:cs="Arial" w:hint="cs"/>
          <w:rtl/>
        </w:rPr>
        <w:t>,</w:t>
      </w:r>
      <w:r w:rsidRPr="007C6879">
        <w:rPr>
          <w:rFonts w:cs="Arial"/>
          <w:rtl/>
        </w:rPr>
        <w:t xml:space="preserve"> שהרי המעשר אפשר לו לבעל להפריש ולא יסמוך עליה</w:t>
      </w:r>
      <w:r>
        <w:rPr>
          <w:rFonts w:cs="Arial" w:hint="cs"/>
          <w:rtl/>
        </w:rPr>
        <w:t>,</w:t>
      </w:r>
      <w:r w:rsidRPr="007C6879">
        <w:rPr>
          <w:rFonts w:cs="Arial"/>
          <w:rtl/>
        </w:rPr>
        <w:t xml:space="preserve"> ואעפ"כ יוצאה בלא כתובה מחמת כן</w:t>
      </w:r>
      <w:r>
        <w:rPr>
          <w:rFonts w:cs="Arial" w:hint="cs"/>
          <w:rtl/>
        </w:rPr>
        <w:t>.</w:t>
      </w:r>
      <w:r w:rsidRPr="007C6879">
        <w:rPr>
          <w:rFonts w:cs="Arial"/>
          <w:rtl/>
        </w:rPr>
        <w:t xml:space="preserve"> כ"ש אם מאכילתו דברים האסורים והוא לא ידע ואשם</w:t>
      </w:r>
      <w:r>
        <w:rPr>
          <w:rFonts w:cs="Arial" w:hint="cs"/>
          <w:rtl/>
        </w:rPr>
        <w:t>. עכ"ל.</w:t>
      </w:r>
      <w:r w:rsidR="00725978">
        <w:rPr>
          <w:rFonts w:cs="Arial" w:hint="cs"/>
          <w:rtl/>
        </w:rPr>
        <w:t xml:space="preserve">  </w:t>
      </w:r>
      <w:r w:rsidR="0001447E">
        <w:rPr>
          <w:rFonts w:cs="Arial" w:hint="cs"/>
          <w:rtl/>
        </w:rPr>
        <w:t xml:space="preserve"> </w:t>
      </w:r>
      <w:r w:rsidR="00725978">
        <w:rPr>
          <w:rFonts w:cs="Arial" w:hint="cs"/>
          <w:rtl/>
        </w:rPr>
        <w:t xml:space="preserve">  </w:t>
      </w:r>
      <w:r>
        <w:rPr>
          <w:rFonts w:cs="Arial" w:hint="cs"/>
          <w:rtl/>
        </w:rPr>
        <w:t xml:space="preserve"> וכתב </w:t>
      </w:r>
      <w:r w:rsidRPr="0001447E">
        <w:rPr>
          <w:rFonts w:cs="Arial" w:hint="cs"/>
          <w:b/>
          <w:bCs/>
          <w:rtl/>
        </w:rPr>
        <w:t>הח"מ</w:t>
      </w:r>
      <w:r>
        <w:rPr>
          <w:rFonts w:cs="Arial" w:hint="cs"/>
          <w:rtl/>
        </w:rPr>
        <w:t xml:space="preserve"> (סק"ב) ד</w:t>
      </w:r>
      <w:r w:rsidRPr="000753C6">
        <w:rPr>
          <w:rFonts w:cs="Arial"/>
          <w:rtl/>
        </w:rPr>
        <w:t>לא נתבאר אם מכשלת אותו בשאר איסורים כגון שצוה עליה להניח עירוב והוא סומך עליה ומטלטל בשבת ואח"כ נודע שלא הניחה עירוב</w:t>
      </w:r>
      <w:r w:rsidR="0001447E">
        <w:rPr>
          <w:rFonts w:cs="Arial" w:hint="cs"/>
          <w:rtl/>
        </w:rPr>
        <w:t>,</w:t>
      </w:r>
      <w:r w:rsidRPr="000753C6">
        <w:rPr>
          <w:rFonts w:cs="Arial"/>
          <w:rtl/>
        </w:rPr>
        <w:t xml:space="preserve"> או צוה עליה לשרוף החמץ והיא לא עשתה ונשאר החמץ בביתו</w:t>
      </w:r>
      <w:r w:rsidR="0001447E">
        <w:rPr>
          <w:rFonts w:cs="Arial" w:hint="cs"/>
          <w:rtl/>
        </w:rPr>
        <w:t>,</w:t>
      </w:r>
      <w:r w:rsidRPr="000753C6">
        <w:rPr>
          <w:rFonts w:cs="Arial"/>
          <w:rtl/>
        </w:rPr>
        <w:t xml:space="preserve"> וכיוצא בזה</w:t>
      </w:r>
      <w:r w:rsidR="0001447E">
        <w:rPr>
          <w:rFonts w:cs="Arial" w:hint="cs"/>
          <w:rtl/>
        </w:rPr>
        <w:t>,</w:t>
      </w:r>
      <w:r w:rsidRPr="000753C6">
        <w:rPr>
          <w:rFonts w:cs="Arial"/>
          <w:rtl/>
        </w:rPr>
        <w:t xml:space="preserve"> אם ג"כ יוצאת בלא כתובה</w:t>
      </w:r>
      <w:r>
        <w:rPr>
          <w:rFonts w:cs="Arial" w:hint="cs"/>
          <w:rtl/>
        </w:rPr>
        <w:t>. עכ"ל.</w:t>
      </w:r>
      <w:r w:rsidR="0001447E">
        <w:rPr>
          <w:rFonts w:cs="Arial" w:hint="cs"/>
          <w:rtl/>
        </w:rPr>
        <w:t xml:space="preserve">     </w:t>
      </w:r>
      <w:r>
        <w:rPr>
          <w:rFonts w:cs="Arial" w:hint="cs"/>
          <w:rtl/>
        </w:rPr>
        <w:t xml:space="preserve"> </w:t>
      </w:r>
      <w:r>
        <w:rPr>
          <w:rFonts w:hint="cs"/>
          <w:rtl/>
        </w:rPr>
        <w:t xml:space="preserve">אך </w:t>
      </w:r>
      <w:r w:rsidRPr="0001447E">
        <w:rPr>
          <w:rFonts w:hint="cs"/>
          <w:b/>
          <w:bCs/>
          <w:rtl/>
        </w:rPr>
        <w:t>הב"ש</w:t>
      </w:r>
      <w:r>
        <w:rPr>
          <w:rFonts w:hint="cs"/>
          <w:rtl/>
        </w:rPr>
        <w:t xml:space="preserve"> (סק"ב) כתב על דברי הה"מ הנ"ל </w:t>
      </w:r>
      <w:r>
        <w:rPr>
          <w:rFonts w:cs="Arial" w:hint="cs"/>
          <w:rtl/>
        </w:rPr>
        <w:t>ד</w:t>
      </w:r>
      <w:r w:rsidRPr="0046402A">
        <w:rPr>
          <w:rFonts w:cs="Arial"/>
          <w:rtl/>
        </w:rPr>
        <w:t xml:space="preserve">יש לומר </w:t>
      </w:r>
      <w:r>
        <w:rPr>
          <w:rFonts w:cs="Arial" w:hint="cs"/>
          <w:rtl/>
        </w:rPr>
        <w:t>ד</w:t>
      </w:r>
      <w:r w:rsidRPr="0046402A">
        <w:rPr>
          <w:rFonts w:cs="Arial"/>
          <w:rtl/>
        </w:rPr>
        <w:t>דוקא כשמאכילתו דבר איסור</w:t>
      </w:r>
      <w:r>
        <w:rPr>
          <w:rFonts w:cs="Arial" w:hint="cs"/>
          <w:rtl/>
        </w:rPr>
        <w:t>,</w:t>
      </w:r>
      <w:r w:rsidRPr="0046402A">
        <w:rPr>
          <w:rFonts w:cs="Arial"/>
          <w:rtl/>
        </w:rPr>
        <w:t xml:space="preserve"> אבל שאר איסור שאינו דבר אכילה כגון נגיעה בעת נדתה לא</w:t>
      </w:r>
      <w:r>
        <w:rPr>
          <w:rFonts w:cs="Arial" w:hint="cs"/>
          <w:rtl/>
        </w:rPr>
        <w:t>,</w:t>
      </w:r>
      <w:r w:rsidRPr="0046402A">
        <w:rPr>
          <w:rFonts w:cs="Arial"/>
          <w:rtl/>
        </w:rPr>
        <w:t xml:space="preserve"> כמ"ש חילוק כעין זה בתוס' ריש חולין</w:t>
      </w:r>
      <w:r>
        <w:rPr>
          <w:rFonts w:cs="Arial" w:hint="cs"/>
          <w:rtl/>
        </w:rPr>
        <w:t xml:space="preserve"> (ה: ד"ה צדיקים) עכ"ל</w:t>
      </w:r>
      <w:r w:rsidR="0001447E">
        <w:rPr>
          <w:rFonts w:cs="Arial" w:hint="cs"/>
          <w:rtl/>
        </w:rPr>
        <w:t>.</w:t>
      </w:r>
      <w:r>
        <w:rPr>
          <w:rFonts w:cs="Arial" w:hint="cs"/>
          <w:rtl/>
        </w:rPr>
        <w:t xml:space="preserve"> </w:t>
      </w:r>
      <w:r w:rsidRPr="00343082">
        <w:rPr>
          <w:rFonts w:cs="Arial" w:hint="cs"/>
          <w:sz w:val="16"/>
          <w:szCs w:val="16"/>
          <w:rtl/>
        </w:rPr>
        <w:t>(ונראה להסביר את דבריו - דבכל דבר אחר היא יכולה לטעון 'יכלת ליפול בזה בלי לדעת גם בלעדי', אבל באוכל שאין הקב"ה מביא תקלה למדקדקים בזה - היא לא יכולה לטעון 'יכלת ליפול בזה בלי לדעת גם בלעדי'. וה"ה בנדה שלא יכולה לטעון כן, שאין זו עבירה שתלויה בו לבד אלא תלויה בה ולא היה עובר עליה בלי לדעת אילולי היא</w:t>
      </w:r>
      <w:r>
        <w:rPr>
          <w:rFonts w:cs="Arial" w:hint="cs"/>
          <w:sz w:val="16"/>
          <w:szCs w:val="16"/>
          <w:rtl/>
        </w:rPr>
        <w:t>)</w:t>
      </w:r>
      <w:r>
        <w:rPr>
          <w:rFonts w:cs="Arial" w:hint="cs"/>
          <w:rtl/>
        </w:rPr>
        <w:t>.</w:t>
      </w:r>
      <w:r>
        <w:rPr>
          <w:rFonts w:hint="cs"/>
          <w:rtl/>
        </w:rPr>
        <w:t xml:space="preserve"> </w:t>
      </w:r>
      <w:r w:rsidR="0001447E">
        <w:rPr>
          <w:rFonts w:hint="cs"/>
          <w:rtl/>
        </w:rPr>
        <w:t xml:space="preserve">וצל"ע מדוע </w:t>
      </w:r>
      <w:r w:rsidR="00EC29C7">
        <w:rPr>
          <w:rFonts w:hint="cs"/>
          <w:rtl/>
        </w:rPr>
        <w:t xml:space="preserve">כתב כן על לשון הה"מ, שהרי מדברי הה"מ אין להסיק שהוא הדין לכל האיסורים, שהרי לא כיון אלא לשאר איסורי אכילה, וכמו שמוכיחים סוף דבריו </w:t>
      </w:r>
      <w:r w:rsidR="005F62FF">
        <w:rPr>
          <w:rFonts w:hint="cs"/>
          <w:rtl/>
        </w:rPr>
        <w:t>"</w:t>
      </w:r>
      <w:r>
        <w:rPr>
          <w:rFonts w:hint="cs"/>
          <w:rtl/>
        </w:rPr>
        <w:t>כ"ש אם מאכילתו דברים האסורים</w:t>
      </w:r>
      <w:r w:rsidR="005F62FF">
        <w:rPr>
          <w:rFonts w:hint="cs"/>
          <w:rtl/>
        </w:rPr>
        <w:t>"</w:t>
      </w:r>
      <w:r>
        <w:rPr>
          <w:rFonts w:hint="cs"/>
          <w:rtl/>
        </w:rPr>
        <w:t>.</w:t>
      </w:r>
    </w:p>
  </w:footnote>
  <w:footnote w:id="2792">
    <w:p w14:paraId="306F122D" w14:textId="77777777" w:rsidR="00392DBB" w:rsidRDefault="00392DBB" w:rsidP="00392DBB">
      <w:pPr>
        <w:pStyle w:val="a5"/>
      </w:pPr>
      <w:r>
        <w:rPr>
          <w:rStyle w:val="a7"/>
        </w:rPr>
        <w:footnoteRef/>
      </w:r>
      <w:r>
        <w:rPr>
          <w:rtl/>
        </w:rPr>
        <w:t xml:space="preserve"> </w:t>
      </w:r>
      <w:r>
        <w:rPr>
          <w:rFonts w:cs="Arial"/>
          <w:rtl/>
        </w:rPr>
        <w:t xml:space="preserve">עיין בתשובת ברית אברהם </w:t>
      </w:r>
      <w:r>
        <w:rPr>
          <w:rFonts w:cs="Arial" w:hint="cs"/>
          <w:rtl/>
        </w:rPr>
        <w:t>(</w:t>
      </w:r>
      <w:r>
        <w:rPr>
          <w:rFonts w:cs="Arial"/>
          <w:rtl/>
        </w:rPr>
        <w:t>סי' יג אות ו</w:t>
      </w:r>
      <w:r>
        <w:rPr>
          <w:rFonts w:cs="Arial" w:hint="cs"/>
          <w:rtl/>
        </w:rPr>
        <w:t>)</w:t>
      </w:r>
      <w:r>
        <w:rPr>
          <w:rFonts w:cs="Arial"/>
          <w:rtl/>
        </w:rPr>
        <w:t xml:space="preserve"> שהעיר על דברי הטור והש"ע ששינו מלשון הרמב"ם דנקט טיהר לי הכתם והם נקטו טיהר לי הדם דאולי י"ל דס"ל דבדרבנן לא תצא שלא בכתובה ובתרומות ומעשרות ס"ל להטור דהוי דאורייתא גם בזה"ז כדאיתא ביו"ד סימן של"א ס"ב בהגה כו' ע"ש ועמ"ש לקמן ס"ק י"ד בשם רבינו עקיבא ז"ל</w:t>
      </w:r>
      <w:r>
        <w:rPr>
          <w:rFonts w:cs="Arial" w:hint="cs"/>
          <w:rtl/>
        </w:rPr>
        <w:t>, פת"ש (סק"ה).</w:t>
      </w:r>
    </w:p>
  </w:footnote>
  <w:footnote w:id="2793">
    <w:p w14:paraId="1BAE47AB" w14:textId="1ECC7295" w:rsidR="00212230" w:rsidRDefault="00212230" w:rsidP="00212230">
      <w:pPr>
        <w:pStyle w:val="a5"/>
      </w:pPr>
      <w:r>
        <w:rPr>
          <w:rStyle w:val="a7"/>
        </w:rPr>
        <w:footnoteRef/>
      </w:r>
      <w:r w:rsidRPr="00E12584">
        <w:rPr>
          <w:rFonts w:cs="Arial"/>
          <w:rtl/>
        </w:rPr>
        <w:t xml:space="preserve"> </w:t>
      </w:r>
      <w:r>
        <w:rPr>
          <w:rFonts w:cs="Arial" w:hint="cs"/>
          <w:rtl/>
        </w:rPr>
        <w:t xml:space="preserve">לאו דוקא אלא הוא הדין </w:t>
      </w:r>
      <w:r w:rsidRPr="00E12584">
        <w:rPr>
          <w:rFonts w:cs="Arial"/>
          <w:rtl/>
        </w:rPr>
        <w:t>אם היא מודה שהכשיל</w:t>
      </w:r>
      <w:r>
        <w:rPr>
          <w:rFonts w:cs="Arial" w:hint="cs"/>
          <w:rtl/>
        </w:rPr>
        <w:t>ת</w:t>
      </w:r>
      <w:r w:rsidRPr="00E12584">
        <w:rPr>
          <w:rFonts w:cs="Arial"/>
          <w:rtl/>
        </w:rPr>
        <w:t>ו</w:t>
      </w:r>
      <w:r>
        <w:rPr>
          <w:rFonts w:cs="Arial" w:hint="cs"/>
          <w:rtl/>
        </w:rPr>
        <w:t>,</w:t>
      </w:r>
      <w:r w:rsidRPr="00E12584">
        <w:rPr>
          <w:rFonts w:cs="Arial"/>
          <w:rtl/>
        </w:rPr>
        <w:t xml:space="preserve"> אע</w:t>
      </w:r>
      <w:r>
        <w:rPr>
          <w:rFonts w:cs="Arial" w:hint="cs"/>
          <w:rtl/>
        </w:rPr>
        <w:t>"</w:t>
      </w:r>
      <w:r w:rsidRPr="00E12584">
        <w:rPr>
          <w:rFonts w:cs="Arial"/>
          <w:rtl/>
        </w:rPr>
        <w:t>ג דאין אדם משים עצמו רשע מ"מ להפסיד ממון אדם נאמן רשב"א ור"ן והמגיד ב"ש</w:t>
      </w:r>
      <w:r>
        <w:rPr>
          <w:rFonts w:cs="Arial" w:hint="cs"/>
          <w:rtl/>
        </w:rPr>
        <w:t xml:space="preserve">, </w:t>
      </w:r>
      <w:r w:rsidRPr="005F62FF">
        <w:rPr>
          <w:rFonts w:cs="Arial" w:hint="cs"/>
          <w:b/>
          <w:bCs/>
          <w:rtl/>
        </w:rPr>
        <w:t>באה"ט</w:t>
      </w:r>
      <w:r>
        <w:rPr>
          <w:rFonts w:cs="Arial" w:hint="cs"/>
          <w:rtl/>
        </w:rPr>
        <w:t xml:space="preserve"> (סק"ה)</w:t>
      </w:r>
      <w:r>
        <w:rPr>
          <w:rFonts w:hint="cs"/>
          <w:rtl/>
        </w:rPr>
        <w:t xml:space="preserve">. </w:t>
      </w:r>
      <w:r>
        <w:rPr>
          <w:rFonts w:cs="Arial" w:hint="cs"/>
          <w:rtl/>
        </w:rPr>
        <w:t>ולאחר</w:t>
      </w:r>
      <w:r>
        <w:rPr>
          <w:rFonts w:cs="Arial"/>
          <w:rtl/>
        </w:rPr>
        <w:t xml:space="preserve"> שהודית שעבר</w:t>
      </w:r>
      <w:r>
        <w:rPr>
          <w:rFonts w:cs="Arial" w:hint="cs"/>
          <w:rtl/>
        </w:rPr>
        <w:t>ה</w:t>
      </w:r>
      <w:r>
        <w:rPr>
          <w:rFonts w:cs="Arial"/>
          <w:rtl/>
        </w:rPr>
        <w:t xml:space="preserve"> על דת לא מצית אח"כ לומר משטה אני בך בהודאתי</w:t>
      </w:r>
      <w:r>
        <w:rPr>
          <w:rFonts w:cs="Arial" w:hint="cs"/>
          <w:rtl/>
        </w:rPr>
        <w:t>,</w:t>
      </w:r>
      <w:r>
        <w:rPr>
          <w:rFonts w:cs="Arial"/>
          <w:rtl/>
        </w:rPr>
        <w:t xml:space="preserve"> משום דלענין פטור לא בעי אתם עדי ולא מצי לטעון חששה</w:t>
      </w:r>
      <w:r>
        <w:rPr>
          <w:rFonts w:cs="Arial" w:hint="cs"/>
          <w:rtl/>
        </w:rPr>
        <w:t>,</w:t>
      </w:r>
      <w:r>
        <w:rPr>
          <w:rFonts w:cs="Arial"/>
          <w:rtl/>
        </w:rPr>
        <w:t xml:space="preserve"> ברית אברהם </w:t>
      </w:r>
      <w:r>
        <w:rPr>
          <w:rFonts w:cs="Arial" w:hint="cs"/>
          <w:rtl/>
        </w:rPr>
        <w:t>(</w:t>
      </w:r>
      <w:r>
        <w:rPr>
          <w:rFonts w:cs="Arial"/>
          <w:rtl/>
        </w:rPr>
        <w:t>סי</w:t>
      </w:r>
      <w:r>
        <w:rPr>
          <w:rFonts w:cs="Arial" w:hint="cs"/>
          <w:rtl/>
        </w:rPr>
        <w:t>'</w:t>
      </w:r>
      <w:r>
        <w:rPr>
          <w:rFonts w:cs="Arial"/>
          <w:rtl/>
        </w:rPr>
        <w:t xml:space="preserve"> צב אות יד</w:t>
      </w:r>
      <w:r>
        <w:rPr>
          <w:rFonts w:cs="Arial" w:hint="cs"/>
          <w:rtl/>
        </w:rPr>
        <w:t>)</w:t>
      </w:r>
      <w:r>
        <w:rPr>
          <w:rFonts w:cs="Arial"/>
          <w:rtl/>
        </w:rPr>
        <w:t xml:space="preserve"> בשם מהר"י הלוי</w:t>
      </w:r>
      <w:r>
        <w:rPr>
          <w:rFonts w:cs="Arial" w:hint="cs"/>
          <w:rtl/>
        </w:rPr>
        <w:t xml:space="preserve"> (</w:t>
      </w:r>
      <w:r>
        <w:rPr>
          <w:rFonts w:cs="Arial"/>
          <w:rtl/>
        </w:rPr>
        <w:t>סי</w:t>
      </w:r>
      <w:r>
        <w:rPr>
          <w:rFonts w:cs="Arial" w:hint="cs"/>
          <w:rtl/>
        </w:rPr>
        <w:t>'</w:t>
      </w:r>
      <w:r>
        <w:rPr>
          <w:rFonts w:cs="Arial"/>
          <w:rtl/>
        </w:rPr>
        <w:t xml:space="preserve"> לט ובת</w:t>
      </w:r>
      <w:r>
        <w:rPr>
          <w:rFonts w:cs="Arial" w:hint="cs"/>
          <w:rtl/>
        </w:rPr>
        <w:t>שו</w:t>
      </w:r>
      <w:r>
        <w:rPr>
          <w:rFonts w:cs="Arial"/>
          <w:rtl/>
        </w:rPr>
        <w:t>' ג"ב סי</w:t>
      </w:r>
      <w:r>
        <w:rPr>
          <w:rFonts w:cs="Arial" w:hint="cs"/>
          <w:rtl/>
        </w:rPr>
        <w:t>'</w:t>
      </w:r>
      <w:r>
        <w:rPr>
          <w:rFonts w:cs="Arial"/>
          <w:rtl/>
        </w:rPr>
        <w:t xml:space="preserve"> כו</w:t>
      </w:r>
      <w:r>
        <w:rPr>
          <w:rFonts w:cs="Arial" w:hint="cs"/>
          <w:rtl/>
        </w:rPr>
        <w:t>, הביאם הפת"ש</w:t>
      </w:r>
      <w:r>
        <w:rPr>
          <w:rFonts w:cs="Arial"/>
          <w:rtl/>
        </w:rPr>
        <w:t xml:space="preserve"> </w:t>
      </w:r>
      <w:r>
        <w:rPr>
          <w:rFonts w:cs="Arial" w:hint="cs"/>
          <w:rtl/>
        </w:rPr>
        <w:t>[סק"</w:t>
      </w:r>
      <w:r>
        <w:rPr>
          <w:rFonts w:cs="Arial"/>
          <w:rtl/>
        </w:rPr>
        <w:t>ד</w:t>
      </w:r>
      <w:r>
        <w:rPr>
          <w:rFonts w:cs="Arial" w:hint="cs"/>
          <w:rtl/>
        </w:rPr>
        <w:t>]</w:t>
      </w:r>
      <w:r>
        <w:rPr>
          <w:rFonts w:cs="Arial"/>
          <w:rtl/>
        </w:rPr>
        <w:t>)</w:t>
      </w:r>
      <w:r>
        <w:rPr>
          <w:rFonts w:cs="Arial" w:hint="cs"/>
          <w:rtl/>
        </w:rPr>
        <w:t>.</w:t>
      </w:r>
      <w:r>
        <w:rPr>
          <w:rFonts w:cs="Arial"/>
          <w:rtl/>
        </w:rPr>
        <w:t xml:space="preserve"> </w:t>
      </w:r>
    </w:p>
  </w:footnote>
  <w:footnote w:id="2794">
    <w:p w14:paraId="301911EE" w14:textId="24548038" w:rsidR="00392DBB" w:rsidRPr="00E5312A" w:rsidRDefault="00392DBB" w:rsidP="00392DBB">
      <w:pPr>
        <w:pStyle w:val="a5"/>
        <w:rPr>
          <w:rFonts w:cs="Arial"/>
        </w:rPr>
      </w:pPr>
      <w:r>
        <w:rPr>
          <w:rStyle w:val="a7"/>
        </w:rPr>
        <w:footnoteRef/>
      </w:r>
      <w:r>
        <w:rPr>
          <w:rtl/>
        </w:rPr>
        <w:t xml:space="preserve"> </w:t>
      </w:r>
      <w:r w:rsidRPr="00E5312A">
        <w:rPr>
          <w:rFonts w:cs="Arial"/>
          <w:rtl/>
        </w:rPr>
        <w:t xml:space="preserve">כ"כ הרא"ש </w:t>
      </w:r>
      <w:r>
        <w:rPr>
          <w:rFonts w:cs="Arial" w:hint="cs"/>
          <w:rtl/>
        </w:rPr>
        <w:t xml:space="preserve">(כתובות פ"ז סי' ט) </w:t>
      </w:r>
      <w:r w:rsidRPr="00E5312A">
        <w:rPr>
          <w:rFonts w:cs="Arial"/>
          <w:rtl/>
        </w:rPr>
        <w:t>בסוגי' זו בשם הירושלמי</w:t>
      </w:r>
      <w:r>
        <w:rPr>
          <w:rFonts w:cs="Arial" w:hint="cs"/>
          <w:rtl/>
        </w:rPr>
        <w:t>,</w:t>
      </w:r>
      <w:r w:rsidRPr="00E5312A">
        <w:rPr>
          <w:rFonts w:cs="Arial"/>
          <w:rtl/>
        </w:rPr>
        <w:t xml:space="preserve"> וכ"כ הרשב"א</w:t>
      </w:r>
      <w:r>
        <w:rPr>
          <w:rFonts w:cs="Arial" w:hint="cs"/>
          <w:rtl/>
        </w:rPr>
        <w:t>.</w:t>
      </w:r>
      <w:r w:rsidRPr="00E5312A">
        <w:rPr>
          <w:rFonts w:cs="Arial"/>
          <w:rtl/>
        </w:rPr>
        <w:t xml:space="preserve"> אלא הרמב"ן ס"ל כיון שהיא אמרה בשם פלוני אותו פלוני נאמן</w:t>
      </w:r>
      <w:r w:rsidR="00212230">
        <w:rPr>
          <w:rFonts w:cs="Arial" w:hint="cs"/>
          <w:rtl/>
        </w:rPr>
        <w:t>,</w:t>
      </w:r>
      <w:r w:rsidRPr="00E5312A">
        <w:rPr>
          <w:rFonts w:cs="Arial"/>
          <w:rtl/>
        </w:rPr>
        <w:t xml:space="preserve"> וכן הוא בכל עד מפי עד העד הראשון נאמן טפי</w:t>
      </w:r>
      <w:r>
        <w:rPr>
          <w:rFonts w:cs="Arial" w:hint="cs"/>
          <w:rtl/>
        </w:rPr>
        <w:t>,</w:t>
      </w:r>
      <w:r w:rsidRPr="00E5312A">
        <w:rPr>
          <w:rFonts w:cs="Arial"/>
          <w:rtl/>
        </w:rPr>
        <w:t xml:space="preserve"> כמ"ש בסי' י"ז</w:t>
      </w:r>
      <w:r>
        <w:rPr>
          <w:rFonts w:cs="Arial" w:hint="cs"/>
          <w:rtl/>
        </w:rPr>
        <w:t xml:space="preserve"> (סע' ח).</w:t>
      </w:r>
      <w:r w:rsidRPr="00E5312A">
        <w:rPr>
          <w:rFonts w:cs="Arial"/>
          <w:rtl/>
        </w:rPr>
        <w:t xml:space="preserve"> והרא"ש </w:t>
      </w:r>
      <w:r>
        <w:rPr>
          <w:rFonts w:cs="Arial" w:hint="cs"/>
          <w:rtl/>
        </w:rPr>
        <w:t>ב</w:t>
      </w:r>
      <w:r w:rsidRPr="00E5312A">
        <w:rPr>
          <w:rFonts w:cs="Arial"/>
          <w:rtl/>
        </w:rPr>
        <w:t>פ</w:t>
      </w:r>
      <w:r>
        <w:rPr>
          <w:rFonts w:cs="Arial" w:hint="cs"/>
          <w:rtl/>
        </w:rPr>
        <w:t>רק</w:t>
      </w:r>
      <w:r w:rsidRPr="00E5312A">
        <w:rPr>
          <w:rFonts w:cs="Arial"/>
          <w:rtl/>
        </w:rPr>
        <w:t xml:space="preserve"> שבוע</w:t>
      </w:r>
      <w:r>
        <w:rPr>
          <w:rFonts w:cs="Arial" w:hint="cs"/>
          <w:rtl/>
        </w:rPr>
        <w:t>ת</w:t>
      </w:r>
      <w:r w:rsidRPr="00E5312A">
        <w:rPr>
          <w:rFonts w:cs="Arial"/>
          <w:rtl/>
        </w:rPr>
        <w:t xml:space="preserve"> העדו</w:t>
      </w:r>
      <w:r>
        <w:rPr>
          <w:rFonts w:cs="Arial" w:hint="cs"/>
          <w:rtl/>
        </w:rPr>
        <w:t>ת (סי' יז)</w:t>
      </w:r>
      <w:r w:rsidRPr="00E5312A">
        <w:rPr>
          <w:rFonts w:cs="Arial"/>
          <w:rtl/>
        </w:rPr>
        <w:t xml:space="preserve"> הביא דברי הרמב"ן שקבל כן מרבותיו</w:t>
      </w:r>
      <w:r>
        <w:rPr>
          <w:rFonts w:cs="Arial" w:hint="cs"/>
          <w:rtl/>
        </w:rPr>
        <w:t>,</w:t>
      </w:r>
      <w:r w:rsidRPr="00E5312A">
        <w:rPr>
          <w:rFonts w:cs="Arial"/>
          <w:rtl/>
        </w:rPr>
        <w:t xml:space="preserve"> וכתב וכן מסתבר</w:t>
      </w:r>
      <w:r>
        <w:rPr>
          <w:rFonts w:cs="Arial" w:hint="cs"/>
          <w:rtl/>
        </w:rPr>
        <w:t>.</w:t>
      </w:r>
      <w:r w:rsidRPr="00E5312A">
        <w:rPr>
          <w:rFonts w:cs="Arial"/>
          <w:rtl/>
        </w:rPr>
        <w:t xml:space="preserve"> ובפ' המדיר </w:t>
      </w:r>
      <w:r>
        <w:rPr>
          <w:rFonts w:cs="Arial" w:hint="cs"/>
          <w:rtl/>
        </w:rPr>
        <w:t xml:space="preserve">(כתובות פ"ז סי' ט) </w:t>
      </w:r>
      <w:r w:rsidRPr="00E5312A">
        <w:rPr>
          <w:rFonts w:cs="Arial"/>
          <w:rtl/>
        </w:rPr>
        <w:t>כתב בשם הירושלמי דאיירי הסוגי' דהוכחשה בעדים</w:t>
      </w:r>
      <w:r>
        <w:rPr>
          <w:rFonts w:cs="Arial" w:hint="cs"/>
          <w:rtl/>
        </w:rPr>
        <w:t>,</w:t>
      </w:r>
      <w:r w:rsidRPr="00E5312A">
        <w:rPr>
          <w:rFonts w:cs="Arial"/>
          <w:rtl/>
        </w:rPr>
        <w:t xml:space="preserve"> דאל"כ איך יפקיע ממונ</w:t>
      </w:r>
      <w:r>
        <w:rPr>
          <w:rFonts w:cs="Arial" w:hint="cs"/>
          <w:rtl/>
        </w:rPr>
        <w:t>א</w:t>
      </w:r>
      <w:r w:rsidRPr="00E5312A">
        <w:rPr>
          <w:rFonts w:cs="Arial"/>
          <w:rtl/>
        </w:rPr>
        <w:t xml:space="preserve"> ע"פ עד א'</w:t>
      </w:r>
      <w:r>
        <w:rPr>
          <w:rFonts w:cs="Arial" w:hint="cs"/>
          <w:rtl/>
        </w:rPr>
        <w:t>.</w:t>
      </w:r>
      <w:r w:rsidRPr="00E5312A">
        <w:rPr>
          <w:rFonts w:cs="Arial"/>
          <w:rtl/>
        </w:rPr>
        <w:t xml:space="preserve"> ובח"מ </w:t>
      </w:r>
      <w:r>
        <w:rPr>
          <w:rFonts w:cs="Arial" w:hint="cs"/>
          <w:rtl/>
        </w:rPr>
        <w:t xml:space="preserve">(סק"ד) </w:t>
      </w:r>
      <w:r w:rsidRPr="00E5312A">
        <w:rPr>
          <w:rFonts w:cs="Arial"/>
          <w:rtl/>
        </w:rPr>
        <w:t xml:space="preserve">הקשה </w:t>
      </w:r>
      <w:r>
        <w:rPr>
          <w:rFonts w:cs="Arial" w:hint="cs"/>
          <w:rtl/>
        </w:rPr>
        <w:t>ש</w:t>
      </w:r>
      <w:r w:rsidRPr="00E5312A">
        <w:rPr>
          <w:rFonts w:cs="Arial"/>
          <w:rtl/>
        </w:rPr>
        <w:t>דברי הרא"ש סותרים זא"ז</w:t>
      </w:r>
      <w:r>
        <w:rPr>
          <w:rFonts w:cs="Arial" w:hint="cs"/>
          <w:rtl/>
        </w:rPr>
        <w:t>.</w:t>
      </w:r>
      <w:r w:rsidRPr="00E5312A">
        <w:rPr>
          <w:rFonts w:cs="Arial"/>
          <w:rtl/>
        </w:rPr>
        <w:t xml:space="preserve"> ואישתמט</w:t>
      </w:r>
      <w:r>
        <w:rPr>
          <w:rFonts w:cs="Arial" w:hint="cs"/>
          <w:rtl/>
        </w:rPr>
        <w:t>ו</w:t>
      </w:r>
      <w:r w:rsidRPr="00E5312A">
        <w:rPr>
          <w:rFonts w:cs="Arial"/>
          <w:rtl/>
        </w:rPr>
        <w:t xml:space="preserve"> מיניה דברי </w:t>
      </w:r>
      <w:r>
        <w:rPr>
          <w:rFonts w:cs="Arial" w:hint="cs"/>
          <w:rtl/>
        </w:rPr>
        <w:t>הב"י</w:t>
      </w:r>
      <w:r w:rsidRPr="00E5312A">
        <w:rPr>
          <w:rFonts w:cs="Arial"/>
          <w:rtl/>
        </w:rPr>
        <w:t xml:space="preserve"> ביו"ד סי' קפ"ה</w:t>
      </w:r>
      <w:r>
        <w:rPr>
          <w:rFonts w:cs="Arial" w:hint="cs"/>
          <w:rtl/>
        </w:rPr>
        <w:t>,</w:t>
      </w:r>
      <w:r w:rsidRPr="00E5312A">
        <w:rPr>
          <w:rFonts w:cs="Arial"/>
          <w:rtl/>
        </w:rPr>
        <w:t xml:space="preserve"> ושם מתרץ הב"י דברי הרא"ש ומחלק </w:t>
      </w:r>
      <w:r>
        <w:rPr>
          <w:rFonts w:cs="Arial" w:hint="cs"/>
          <w:rtl/>
        </w:rPr>
        <w:t>ד</w:t>
      </w:r>
      <w:r w:rsidRPr="00E5312A">
        <w:rPr>
          <w:rFonts w:cs="Arial"/>
          <w:rtl/>
        </w:rPr>
        <w:t>לענין הפסד ממון כתב הרא"ש דאין העד הראשון נאמן להפקיע הממון</w:t>
      </w:r>
      <w:r>
        <w:rPr>
          <w:rFonts w:cs="Arial" w:hint="cs"/>
          <w:rtl/>
        </w:rPr>
        <w:t>,</w:t>
      </w:r>
      <w:r w:rsidRPr="00E5312A">
        <w:rPr>
          <w:rFonts w:cs="Arial"/>
          <w:rtl/>
        </w:rPr>
        <w:t xml:space="preserve"> אבל לענין איסור נאמן הראשון</w:t>
      </w:r>
      <w:r w:rsidRPr="00EF2015">
        <w:rPr>
          <w:rFonts w:cs="Arial"/>
          <w:sz w:val="16"/>
          <w:szCs w:val="16"/>
          <w:rtl/>
        </w:rPr>
        <w:t xml:space="preserve"> </w:t>
      </w:r>
      <w:r w:rsidRPr="00EF2015">
        <w:rPr>
          <w:rFonts w:cs="Arial" w:hint="cs"/>
          <w:sz w:val="16"/>
          <w:szCs w:val="16"/>
          <w:rtl/>
        </w:rPr>
        <w:t>(</w:t>
      </w:r>
      <w:r w:rsidRPr="00EF2015">
        <w:rPr>
          <w:rFonts w:cs="Arial"/>
          <w:sz w:val="16"/>
          <w:szCs w:val="16"/>
          <w:rtl/>
        </w:rPr>
        <w:t>אע</w:t>
      </w:r>
      <w:r w:rsidRPr="00EF2015">
        <w:rPr>
          <w:rFonts w:cs="Arial" w:hint="cs"/>
          <w:sz w:val="16"/>
          <w:szCs w:val="16"/>
          <w:rtl/>
        </w:rPr>
        <w:t>"</w:t>
      </w:r>
      <w:r w:rsidRPr="00EF2015">
        <w:rPr>
          <w:rFonts w:cs="Arial"/>
          <w:sz w:val="16"/>
          <w:szCs w:val="16"/>
          <w:rtl/>
        </w:rPr>
        <w:t xml:space="preserve">ג </w:t>
      </w:r>
      <w:r w:rsidRPr="00EF2015">
        <w:rPr>
          <w:rFonts w:cs="Arial" w:hint="cs"/>
          <w:sz w:val="16"/>
          <w:szCs w:val="16"/>
          <w:rtl/>
        </w:rPr>
        <w:t>ד</w:t>
      </w:r>
      <w:r w:rsidRPr="00EF2015">
        <w:rPr>
          <w:rFonts w:cs="Arial"/>
          <w:sz w:val="16"/>
          <w:szCs w:val="16"/>
          <w:rtl/>
        </w:rPr>
        <w:t>למ"ש הרא"ש בפ' המדיר</w:t>
      </w:r>
      <w:r w:rsidRPr="00EF2015">
        <w:rPr>
          <w:rFonts w:cs="Arial" w:hint="cs"/>
          <w:sz w:val="16"/>
          <w:szCs w:val="16"/>
          <w:rtl/>
        </w:rPr>
        <w:t>,</w:t>
      </w:r>
      <w:r w:rsidRPr="00EF2015">
        <w:rPr>
          <w:rFonts w:cs="Arial"/>
          <w:sz w:val="16"/>
          <w:szCs w:val="16"/>
          <w:rtl/>
        </w:rPr>
        <w:t xml:space="preserve"> דאיירי בהוכחשה ע"פ עדים</w:t>
      </w:r>
      <w:r w:rsidRPr="00EF2015">
        <w:rPr>
          <w:rFonts w:cs="Arial" w:hint="cs"/>
          <w:sz w:val="16"/>
          <w:szCs w:val="16"/>
          <w:rtl/>
        </w:rPr>
        <w:t>,</w:t>
      </w:r>
      <w:r w:rsidRPr="00EF2015">
        <w:rPr>
          <w:rFonts w:cs="Arial"/>
          <w:sz w:val="16"/>
          <w:szCs w:val="16"/>
          <w:rtl/>
        </w:rPr>
        <w:t xml:space="preserve"> נסתר</w:t>
      </w:r>
      <w:r w:rsidRPr="00EF2015">
        <w:rPr>
          <w:rFonts w:cs="Arial" w:hint="cs"/>
          <w:sz w:val="16"/>
          <w:szCs w:val="16"/>
          <w:rtl/>
        </w:rPr>
        <w:t>ה</w:t>
      </w:r>
      <w:r w:rsidRPr="00EF2015">
        <w:rPr>
          <w:rFonts w:cs="Arial"/>
          <w:sz w:val="16"/>
          <w:szCs w:val="16"/>
          <w:rtl/>
        </w:rPr>
        <w:t xml:space="preserve"> </w:t>
      </w:r>
      <w:r w:rsidRPr="00EF2015">
        <w:rPr>
          <w:rFonts w:cs="Arial" w:hint="cs"/>
          <w:sz w:val="16"/>
          <w:szCs w:val="16"/>
          <w:rtl/>
        </w:rPr>
        <w:t>ה</w:t>
      </w:r>
      <w:r w:rsidRPr="00EF2015">
        <w:rPr>
          <w:rFonts w:cs="Arial"/>
          <w:sz w:val="16"/>
          <w:szCs w:val="16"/>
          <w:rtl/>
        </w:rPr>
        <w:t>ראיה של הרמב"ן שכתב הרא"ש בשמו בשבוע'</w:t>
      </w:r>
      <w:r w:rsidRPr="00EF2015">
        <w:rPr>
          <w:rFonts w:cs="Arial" w:hint="cs"/>
          <w:sz w:val="16"/>
          <w:szCs w:val="16"/>
          <w:rtl/>
        </w:rPr>
        <w:t>,</w:t>
      </w:r>
      <w:r w:rsidRPr="00EF2015">
        <w:rPr>
          <w:rFonts w:cs="Arial"/>
          <w:sz w:val="16"/>
          <w:szCs w:val="16"/>
          <w:rtl/>
        </w:rPr>
        <w:t xml:space="preserve"> א"כ י"ל לענין איסור ג"כ אינו נאמן העד הראשון</w:t>
      </w:r>
      <w:r w:rsidRPr="00EF2015">
        <w:rPr>
          <w:rFonts w:cs="Arial" w:hint="cs"/>
          <w:sz w:val="16"/>
          <w:szCs w:val="16"/>
          <w:rtl/>
        </w:rPr>
        <w:t>,</w:t>
      </w:r>
      <w:r w:rsidRPr="00EF2015">
        <w:rPr>
          <w:rFonts w:cs="Arial"/>
          <w:sz w:val="16"/>
          <w:szCs w:val="16"/>
          <w:rtl/>
        </w:rPr>
        <w:t xml:space="preserve"> מ"מ כיון שקיבל כן מרבותיו הסכים עמו לענין איסור</w:t>
      </w:r>
      <w:r w:rsidRPr="00EF2015">
        <w:rPr>
          <w:rFonts w:cs="Arial" w:hint="cs"/>
          <w:sz w:val="16"/>
          <w:szCs w:val="16"/>
          <w:rtl/>
        </w:rPr>
        <w:t>)</w:t>
      </w:r>
      <w:r>
        <w:rPr>
          <w:rFonts w:cs="Arial" w:hint="cs"/>
          <w:rtl/>
        </w:rPr>
        <w:t xml:space="preserve">. </w:t>
      </w:r>
      <w:r w:rsidRPr="00E5312A">
        <w:rPr>
          <w:rFonts w:cs="Arial"/>
          <w:rtl/>
        </w:rPr>
        <w:t>גם בט"ז שם כתב חילוק זה</w:t>
      </w:r>
      <w:r>
        <w:rPr>
          <w:rFonts w:cs="Arial" w:hint="cs"/>
          <w:rtl/>
        </w:rPr>
        <w:t>.</w:t>
      </w:r>
      <w:r w:rsidRPr="00E5312A">
        <w:rPr>
          <w:rFonts w:cs="Arial"/>
          <w:rtl/>
        </w:rPr>
        <w:t xml:space="preserve"> מיהו מהרמב"ם והסמ"ג משמע דס"ל כרמב"ן אפילו לענין ממון נאמן אותו פלוני</w:t>
      </w:r>
      <w:r>
        <w:rPr>
          <w:rFonts w:cs="Arial" w:hint="cs"/>
          <w:rtl/>
        </w:rPr>
        <w:t xml:space="preserve">..., </w:t>
      </w:r>
      <w:r w:rsidRPr="00212230">
        <w:rPr>
          <w:rFonts w:cs="Arial" w:hint="cs"/>
          <w:b/>
          <w:bCs/>
          <w:rtl/>
        </w:rPr>
        <w:t>ב"ש</w:t>
      </w:r>
      <w:r>
        <w:rPr>
          <w:rFonts w:cs="Arial" w:hint="cs"/>
          <w:rtl/>
        </w:rPr>
        <w:t xml:space="preserve"> (סק"ד). </w:t>
      </w:r>
      <w:r>
        <w:rPr>
          <w:rFonts w:cs="Arial"/>
          <w:rtl/>
        </w:rPr>
        <w:t>ועיין בספר דרישת ארי בקונטרס להלכות נדה סי' קפ"ה סק"ב טעם נכון לחילוק זה</w:t>
      </w:r>
      <w:r>
        <w:rPr>
          <w:rFonts w:cs="Arial" w:hint="cs"/>
          <w:rtl/>
        </w:rPr>
        <w:t xml:space="preserve"> של הב"ש, </w:t>
      </w:r>
      <w:r w:rsidRPr="00212230">
        <w:rPr>
          <w:rFonts w:cs="Arial" w:hint="cs"/>
          <w:b/>
          <w:bCs/>
          <w:rtl/>
        </w:rPr>
        <w:t>פת"ש</w:t>
      </w:r>
      <w:r>
        <w:rPr>
          <w:rFonts w:cs="Arial" w:hint="cs"/>
          <w:rtl/>
        </w:rPr>
        <w:t xml:space="preserve"> (סק"ו).</w:t>
      </w:r>
    </w:p>
  </w:footnote>
  <w:footnote w:id="2795">
    <w:p w14:paraId="4CD1992C" w14:textId="77777777" w:rsidR="00392DBB" w:rsidRDefault="00392DBB" w:rsidP="00392DBB">
      <w:pPr>
        <w:pStyle w:val="a5"/>
      </w:pPr>
      <w:r>
        <w:rPr>
          <w:rStyle w:val="a7"/>
        </w:rPr>
        <w:footnoteRef/>
      </w:r>
      <w:r>
        <w:rPr>
          <w:rtl/>
        </w:rPr>
        <w:t xml:space="preserve"> </w:t>
      </w:r>
      <w:r w:rsidRPr="000753C6">
        <w:rPr>
          <w:rFonts w:cs="Arial"/>
          <w:rtl/>
        </w:rPr>
        <w:t>משמע אף שהוחזקה כפרנית במה שאמרה שפלוני תיקן לה ונודע בעדים שפלוני לא היה בעיר מ"מ יכולה לומר לא האכלתי אותו כי מיד שרצה לאכול הגדתי לו שאינו מתוקן אע</w:t>
      </w:r>
      <w:r>
        <w:rPr>
          <w:rFonts w:cs="Arial" w:hint="cs"/>
          <w:rtl/>
        </w:rPr>
        <w:t>"</w:t>
      </w:r>
      <w:r w:rsidRPr="000753C6">
        <w:rPr>
          <w:rFonts w:cs="Arial"/>
          <w:rtl/>
        </w:rPr>
        <w:t>פ שהוא מכחיש אותה והיא הוחזקה כפרנית בדבר אחד לא הוחזקה בשביל זה כפרנית בכל דבריה</w:t>
      </w:r>
      <w:r>
        <w:rPr>
          <w:rFonts w:cs="Arial" w:hint="cs"/>
          <w:rtl/>
        </w:rPr>
        <w:t>, ח"מ (סק"ג).</w:t>
      </w:r>
    </w:p>
  </w:footnote>
  <w:footnote w:id="2796">
    <w:p w14:paraId="1FEE124A" w14:textId="2FDD3DE3" w:rsidR="00392DBB" w:rsidRPr="00DD5AAD" w:rsidRDefault="00392DBB" w:rsidP="00392DBB">
      <w:pPr>
        <w:pStyle w:val="a5"/>
        <w:rPr>
          <w:color w:val="000000" w:themeColor="text1"/>
        </w:rPr>
      </w:pPr>
      <w:r>
        <w:rPr>
          <w:rStyle w:val="a7"/>
        </w:rPr>
        <w:footnoteRef/>
      </w:r>
      <w:r>
        <w:rPr>
          <w:rtl/>
        </w:rPr>
        <w:t xml:space="preserve"> </w:t>
      </w:r>
      <w:r w:rsidRPr="004274B7">
        <w:rPr>
          <w:rFonts w:cs="Arial"/>
          <w:rtl/>
        </w:rPr>
        <w:t>ולפ"ז במשמשתו נדה צ"ל שהיא מודה ונאמנת על עצמה להפסיד ממון כמ"ש הרשב"א</w:t>
      </w:r>
      <w:r w:rsidR="00DD5AAD">
        <w:rPr>
          <w:rFonts w:cs="Arial" w:hint="cs"/>
          <w:rtl/>
        </w:rPr>
        <w:t>,</w:t>
      </w:r>
      <w:r w:rsidRPr="004274B7">
        <w:rPr>
          <w:rFonts w:cs="Arial"/>
          <w:rtl/>
        </w:rPr>
        <w:t xml:space="preserve"> דא"ל שיש כאן עידי יחוד והן עידי ביאה</w:t>
      </w:r>
      <w:r w:rsidR="00DD5AAD">
        <w:rPr>
          <w:rFonts w:cs="Arial" w:hint="cs"/>
          <w:rtl/>
        </w:rPr>
        <w:t>,</w:t>
      </w:r>
      <w:r w:rsidRPr="004274B7">
        <w:rPr>
          <w:rFonts w:cs="Arial"/>
          <w:rtl/>
        </w:rPr>
        <w:t xml:space="preserve"> דרחוק להפסיד ממון ע"פ עידי יחוד</w:t>
      </w:r>
      <w:r w:rsidR="00DD5AAD">
        <w:rPr>
          <w:rFonts w:cs="Arial" w:hint="cs"/>
          <w:rtl/>
        </w:rPr>
        <w:t>,</w:t>
      </w:r>
      <w:r w:rsidRPr="004274B7">
        <w:rPr>
          <w:rFonts w:cs="Arial"/>
          <w:rtl/>
        </w:rPr>
        <w:t xml:space="preserve"> דלמה לא תהי' נאמנת לטעון אף שנתיחדית עמו כשבא לשמש עמי הגדתי לו שטמאה אני</w:t>
      </w:r>
      <w:r w:rsidR="00DD5AAD">
        <w:rPr>
          <w:rFonts w:cs="Arial" w:hint="cs"/>
          <w:rtl/>
        </w:rPr>
        <w:t>,</w:t>
      </w:r>
      <w:r w:rsidRPr="004274B7">
        <w:rPr>
          <w:rFonts w:cs="Arial"/>
          <w:rtl/>
        </w:rPr>
        <w:t xml:space="preserve"> אלא צריך לומר במודה או שמצאוה עדים משמשת עמו</w:t>
      </w:r>
      <w:r>
        <w:rPr>
          <w:rFonts w:cs="Arial" w:hint="cs"/>
          <w:rtl/>
        </w:rPr>
        <w:t>..., ח"מ (</w:t>
      </w:r>
      <w:r w:rsidRPr="00DD5AAD">
        <w:rPr>
          <w:rFonts w:cs="Arial" w:hint="cs"/>
          <w:color w:val="000000" w:themeColor="text1"/>
          <w:rtl/>
        </w:rPr>
        <w:t>סק"ד).</w:t>
      </w:r>
      <w:r w:rsidRPr="00DD5AAD">
        <w:rPr>
          <w:rFonts w:hint="cs"/>
          <w:color w:val="000000" w:themeColor="text1"/>
          <w:rtl/>
        </w:rPr>
        <w:t xml:space="preserve"> </w:t>
      </w:r>
      <w:r w:rsidR="00DD5AAD">
        <w:rPr>
          <w:rFonts w:hint="cs"/>
          <w:color w:val="000000" w:themeColor="text1"/>
          <w:rtl/>
        </w:rPr>
        <w:t>ו</w:t>
      </w:r>
      <w:r w:rsidRPr="00DD5AAD">
        <w:rPr>
          <w:rFonts w:hint="cs"/>
          <w:color w:val="000000" w:themeColor="text1"/>
          <w:rtl/>
        </w:rPr>
        <w:t>צל"ע שוב בפת"ש (סק"ז).</w:t>
      </w:r>
    </w:p>
  </w:footnote>
  <w:footnote w:id="2797">
    <w:p w14:paraId="0B406A8A" w14:textId="77777777" w:rsidR="00392DBB" w:rsidRDefault="00392DBB" w:rsidP="00392DBB">
      <w:pPr>
        <w:pStyle w:val="a5"/>
        <w:rPr>
          <w:rtl/>
        </w:rPr>
      </w:pPr>
      <w:r>
        <w:rPr>
          <w:rStyle w:val="a7"/>
        </w:rPr>
        <w:footnoteRef/>
      </w:r>
      <w:r>
        <w:rPr>
          <w:rtl/>
        </w:rPr>
        <w:t xml:space="preserve"> </w:t>
      </w:r>
      <w:r>
        <w:rPr>
          <w:rFonts w:cs="Arial"/>
          <w:rtl/>
        </w:rPr>
        <w:t>מיהו י"ל דלא פליגי אהדדי</w:t>
      </w:r>
      <w:r>
        <w:rPr>
          <w:rFonts w:cs="Arial" w:hint="cs"/>
          <w:rtl/>
        </w:rPr>
        <w:t xml:space="preserve"> </w:t>
      </w:r>
      <w:r>
        <w:rPr>
          <w:rFonts w:cs="Arial" w:hint="cs"/>
          <w:sz w:val="16"/>
          <w:szCs w:val="16"/>
          <w:rtl/>
        </w:rPr>
        <w:t>{הפנמ"א ומהר"י הלוי}</w:t>
      </w:r>
      <w:r>
        <w:rPr>
          <w:rFonts w:cs="Arial" w:hint="cs"/>
          <w:rtl/>
        </w:rPr>
        <w:t>,</w:t>
      </w:r>
      <w:r>
        <w:rPr>
          <w:rFonts w:cs="Arial"/>
          <w:rtl/>
        </w:rPr>
        <w:t xml:space="preserve"> דמהר"י הלוי מיירי היכא שיש עדים שעברה כמבואר מדבריו שם להדיא</w:t>
      </w:r>
      <w:r>
        <w:rPr>
          <w:rFonts w:cs="Arial" w:hint="cs"/>
          <w:rtl/>
        </w:rPr>
        <w:t>,</w:t>
      </w:r>
      <w:r>
        <w:rPr>
          <w:rFonts w:cs="Arial"/>
          <w:rtl/>
        </w:rPr>
        <w:t xml:space="preserve"> בזו ס"ל דא"י לטעון שגם הוא עובר אא"כ מביאה גם כן עדים</w:t>
      </w:r>
      <w:r>
        <w:rPr>
          <w:rFonts w:cs="Arial" w:hint="cs"/>
          <w:rtl/>
        </w:rPr>
        <w:t>.</w:t>
      </w:r>
      <w:r>
        <w:rPr>
          <w:rFonts w:cs="Arial"/>
          <w:rtl/>
        </w:rPr>
        <w:t xml:space="preserve"> אבל בת' פמ"א שם דמיירי שלא היו עדים ע"ז ששימשתו נדה רק שהיא הודית בזה אפשר גם מהר"י הלוי מודה שיכולה לטעון תיכף שגם הבעל ידע במגו דלא שמשתי נדה ותוכל להשביעו ע"ז</w:t>
      </w:r>
      <w:r>
        <w:rPr>
          <w:rFonts w:cs="Arial" w:hint="cs"/>
          <w:rtl/>
        </w:rPr>
        <w:t>...</w:t>
      </w:r>
      <w:r>
        <w:rPr>
          <w:rFonts w:cs="Arial"/>
          <w:rtl/>
        </w:rPr>
        <w:t xml:space="preserve"> וצ"ע</w:t>
      </w:r>
      <w:r>
        <w:rPr>
          <w:rFonts w:cs="Arial" w:hint="cs"/>
          <w:rtl/>
        </w:rPr>
        <w:t>.</w:t>
      </w:r>
      <w:r w:rsidRPr="00653ED5">
        <w:rPr>
          <w:rFonts w:cs="Arial"/>
          <w:rtl/>
        </w:rPr>
        <w:t xml:space="preserve"> </w:t>
      </w:r>
      <w:r>
        <w:rPr>
          <w:rFonts w:cs="Arial"/>
          <w:rtl/>
        </w:rPr>
        <w:t xml:space="preserve">שוב ראיתי בתשו' נו"ב </w:t>
      </w:r>
      <w:r>
        <w:rPr>
          <w:rFonts w:cs="Arial" w:hint="cs"/>
          <w:rtl/>
        </w:rPr>
        <w:t>(</w:t>
      </w:r>
      <w:r>
        <w:rPr>
          <w:rFonts w:cs="Arial"/>
          <w:rtl/>
        </w:rPr>
        <w:t>תניינא סי' כו</w:t>
      </w:r>
      <w:r>
        <w:rPr>
          <w:rFonts w:cs="Arial" w:hint="cs"/>
          <w:rtl/>
        </w:rPr>
        <w:t>, מובאת לקמן בסמוך)</w:t>
      </w:r>
      <w:r>
        <w:rPr>
          <w:rFonts w:cs="Arial"/>
          <w:rtl/>
        </w:rPr>
        <w:t xml:space="preserve"> במעשה כעין זה מבואר שם ג"כ חילוק זה</w:t>
      </w:r>
      <w:r>
        <w:rPr>
          <w:rFonts w:hint="cs"/>
          <w:rtl/>
        </w:rPr>
        <w:t>, פת"ש (סק"ג).</w:t>
      </w:r>
    </w:p>
  </w:footnote>
  <w:footnote w:id="2798">
    <w:p w14:paraId="4143F8D0" w14:textId="4DE47826" w:rsidR="00392DBB" w:rsidRDefault="00392DBB" w:rsidP="00392DBB">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8522EA">
        <w:rPr>
          <w:rFonts w:cs="Arial"/>
          <w:rtl/>
        </w:rPr>
        <w:t>ע"ד האשה אשר שימשה נדה יותר מחצי שנה ולפי דברי הבעל אמרה לפניו שהיא מעוברת ולפי דברי השכינות שהמה הרגישו כי טומאתה בשוליה אמרה להם שהיא שומרת ימי נדתה וטובלת וכאשר חקרה האשה הממונה על המקוה אם האשה הזאת מעוברת כי זה ששה חדשים שלא ירדה לטהרה נתפרסם הדבר ועמדה האשה בפני הב"ד והודית כי היא החייבת בדבר ובעלה מנוקה מעון כי כיחשה בפניו לומר שהיא מעוברת ויצא משפטה שהבעל יגרשה בלי כתובה ואחר איזה ימים באתה עוד לפני הב"ד וחזרה בה ואמרה כי גם בעלה בזדון עשה וידע כי לא טהור' היא ומה שאמרה בראשונה שהבעל נקי הוא מחמת שהבטיחה שאם תאמר בפני ב"ד להצדיקו לא יגרשנה. אם היא נאמנת בזה. והשיב כי טענת האשה שבעלה ידע מזה היא טענה חלושה וגרוע מאד שאף אי נימא שיצרו תקפו לעבור על איסור כרת אבל לא נחשד גם היותר רשע כל שאינו להכעיס להיות שביק היתירא</w:t>
      </w:r>
      <w:r w:rsidRPr="008522EA">
        <w:rPr>
          <w:rFonts w:cs="Arial" w:hint="cs"/>
          <w:rtl/>
        </w:rPr>
        <w:t>,</w:t>
      </w:r>
      <w:r w:rsidRPr="008522EA">
        <w:rPr>
          <w:rFonts w:cs="Arial"/>
          <w:rtl/>
        </w:rPr>
        <w:t xml:space="preserve"> כי תינח בימי נדתה אבל זו שעשתה כן ששה חדשים למה לא טבלה בימי טהרתה ואטו בשביל מעט פריטי דשכר טבילה עשה איסור חמור כזה. ולומר כי אחרי ששימשו תמיד לא הי' אפשר לה לספור ז"נ דממ"נ אם המה הדיוטו' כו'</w:t>
      </w:r>
      <w:r>
        <w:rPr>
          <w:rFonts w:cs="Arial" w:hint="cs"/>
          <w:rtl/>
        </w:rPr>
        <w:t>.</w:t>
      </w:r>
      <w:r w:rsidRPr="008522EA">
        <w:rPr>
          <w:rFonts w:cs="Arial"/>
          <w:rtl/>
        </w:rPr>
        <w:t xml:space="preserve"> ועוד אמינא (אפי' אם לא הי' נמשך הדבר זמן רב) הא זה פשוט שאם יש עדים על אשה ששימשה בנדתה והיא טוענת תיכף שגם הבעל ידע ודאי דאינה נאמנת דמהיכי תיתי להאמינה</w:t>
      </w:r>
      <w:r>
        <w:rPr>
          <w:rFonts w:cs="Arial" w:hint="cs"/>
          <w:rtl/>
        </w:rPr>
        <w:t>,</w:t>
      </w:r>
      <w:r w:rsidRPr="008522EA">
        <w:rPr>
          <w:rFonts w:cs="Arial"/>
          <w:rtl/>
        </w:rPr>
        <w:t xml:space="preserve"> רק אם אין עדים אלא שהיא מודית ואמרה שהי' בידיעת ורצון בעלה היא נאמנת במגו דלא שמשתי נדה. וזו כיון שכבר הודית ששימשה נדה</w:t>
      </w:r>
      <w:r>
        <w:rPr>
          <w:rFonts w:cs="Arial" w:hint="cs"/>
          <w:rtl/>
        </w:rPr>
        <w:t>,</w:t>
      </w:r>
      <w:r w:rsidRPr="008522EA">
        <w:rPr>
          <w:rFonts w:cs="Arial"/>
          <w:rtl/>
        </w:rPr>
        <w:t xml:space="preserve"> אפי' לא היתה מודה שהבעל לא ידע</w:t>
      </w:r>
      <w:r>
        <w:rPr>
          <w:rFonts w:cs="Arial" w:hint="cs"/>
          <w:rtl/>
        </w:rPr>
        <w:t>,</w:t>
      </w:r>
      <w:r w:rsidRPr="008522EA">
        <w:rPr>
          <w:rFonts w:cs="Arial"/>
          <w:rtl/>
        </w:rPr>
        <w:t xml:space="preserve"> רק שלא היתה אומרת שהבעל ידע</w:t>
      </w:r>
      <w:r>
        <w:rPr>
          <w:rFonts w:cs="Arial" w:hint="cs"/>
          <w:rtl/>
        </w:rPr>
        <w:t>,</w:t>
      </w:r>
      <w:r w:rsidRPr="008522EA">
        <w:rPr>
          <w:rFonts w:cs="Arial"/>
          <w:rtl/>
        </w:rPr>
        <w:t xml:space="preserve"> ודאי ששוב אח"כ לא היתה נאמנת לו</w:t>
      </w:r>
      <w:r>
        <w:rPr>
          <w:rFonts w:cs="Arial" w:hint="cs"/>
          <w:rtl/>
        </w:rPr>
        <w:t>מר</w:t>
      </w:r>
      <w:r w:rsidRPr="008522EA">
        <w:rPr>
          <w:rFonts w:cs="Arial"/>
          <w:rtl/>
        </w:rPr>
        <w:t xml:space="preserve"> שהבעל ידע כיון שכבר פסק המגו שלה</w:t>
      </w:r>
      <w:r>
        <w:rPr>
          <w:rFonts w:cs="Arial" w:hint="cs"/>
          <w:rtl/>
        </w:rPr>
        <w:t>,</w:t>
      </w:r>
      <w:r w:rsidRPr="008522EA">
        <w:rPr>
          <w:rFonts w:cs="Arial"/>
          <w:rtl/>
        </w:rPr>
        <w:t xml:space="preserve"> שכבר הודית</w:t>
      </w:r>
      <w:r>
        <w:rPr>
          <w:rFonts w:cs="Arial" w:hint="cs"/>
          <w:rtl/>
        </w:rPr>
        <w:t>,</w:t>
      </w:r>
      <w:r w:rsidRPr="008522EA">
        <w:rPr>
          <w:rFonts w:cs="Arial"/>
          <w:rtl/>
        </w:rPr>
        <w:t xml:space="preserve"> ומיגו למפרע לא אמרינן (כמ"ש בש"ך ס"ס נ"ו)</w:t>
      </w:r>
      <w:r>
        <w:rPr>
          <w:rFonts w:cs="Arial" w:hint="cs"/>
          <w:rtl/>
        </w:rPr>
        <w:t>,</w:t>
      </w:r>
      <w:r w:rsidRPr="008522EA">
        <w:rPr>
          <w:rFonts w:cs="Arial"/>
          <w:rtl/>
        </w:rPr>
        <w:t xml:space="preserve"> וא"כ מה מועיל אמתלא והלא אין כח באמתל</w:t>
      </w:r>
      <w:r>
        <w:rPr>
          <w:rFonts w:cs="Arial" w:hint="cs"/>
          <w:rtl/>
        </w:rPr>
        <w:t>א</w:t>
      </w:r>
      <w:r w:rsidRPr="008522EA">
        <w:rPr>
          <w:rFonts w:cs="Arial"/>
          <w:rtl/>
        </w:rPr>
        <w:t xml:space="preserve"> אלא לעקור דבריה הראשונים שאמרה שהבעל נקי</w:t>
      </w:r>
      <w:r>
        <w:rPr>
          <w:rFonts w:cs="Arial" w:hint="cs"/>
          <w:rtl/>
        </w:rPr>
        <w:t>.</w:t>
      </w:r>
      <w:r w:rsidRPr="008522EA">
        <w:rPr>
          <w:rFonts w:cs="Arial"/>
          <w:rtl/>
        </w:rPr>
        <w:t xml:space="preserve"> והרי אף אם לא אמרה כלל שהבעל לא ידע ג"כ היתה מפסדת הכתובה</w:t>
      </w:r>
      <w:r>
        <w:rPr>
          <w:rFonts w:cs="Arial" w:hint="cs"/>
          <w:rtl/>
        </w:rPr>
        <w:t>,</w:t>
      </w:r>
      <w:r w:rsidRPr="008522EA">
        <w:rPr>
          <w:rFonts w:cs="Arial"/>
          <w:rtl/>
        </w:rPr>
        <w:t xml:space="preserve"> שהרי לא עקרה באמתלא גוף ההודאה ששימשה נדה</w:t>
      </w:r>
      <w:r>
        <w:rPr>
          <w:rFonts w:cs="Arial" w:hint="cs"/>
          <w:rtl/>
        </w:rPr>
        <w:t>,</w:t>
      </w:r>
      <w:r w:rsidRPr="008522EA">
        <w:rPr>
          <w:rFonts w:cs="Arial"/>
          <w:rtl/>
        </w:rPr>
        <w:t xml:space="preserve"> שגם עתה היא מודית ששימש' נדה. ועוד שהאמתלא גרוע מאד שהרי אם היתה טוענת תיכף שהי' בידיעתו ג"כ לא הי</w:t>
      </w:r>
      <w:r>
        <w:rPr>
          <w:rFonts w:cs="Arial" w:hint="cs"/>
          <w:rtl/>
        </w:rPr>
        <w:t>ה</w:t>
      </w:r>
      <w:r w:rsidRPr="008522EA">
        <w:rPr>
          <w:rFonts w:cs="Arial"/>
          <w:rtl/>
        </w:rPr>
        <w:t xml:space="preserve"> יכול לגרשה בע"כ. ועוד דהלא כ' הח"מ סקכ"ב דאחר שיצאה מב"ד לא מהני אמתלא לכן נראה שאין בדברי הרשע' הזאת ממש</w:t>
      </w:r>
      <w:r>
        <w:rPr>
          <w:rFonts w:cs="Arial" w:hint="cs"/>
          <w:rtl/>
        </w:rPr>
        <w:t>.</w:t>
      </w:r>
    </w:p>
  </w:footnote>
  <w:footnote w:id="2799">
    <w:p w14:paraId="56823F39" w14:textId="77777777" w:rsidR="006B2DC1" w:rsidRDefault="006B2DC1" w:rsidP="006B2DC1">
      <w:pPr>
        <w:pStyle w:val="a5"/>
      </w:pPr>
      <w:r>
        <w:rPr>
          <w:rStyle w:val="a7"/>
        </w:rPr>
        <w:footnoteRef/>
      </w:r>
      <w:r>
        <w:rPr>
          <w:rtl/>
        </w:rPr>
        <w:t xml:space="preserve"> </w:t>
      </w:r>
      <w:r>
        <w:rPr>
          <w:rFonts w:cs="Arial" w:hint="cs"/>
          <w:rtl/>
        </w:rPr>
        <w:t>סימן - עברה על ב' (משה ויהודית).</w:t>
      </w:r>
    </w:p>
  </w:footnote>
  <w:footnote w:id="2800">
    <w:p w14:paraId="67AD24BE" w14:textId="77777777" w:rsidR="00392DBB" w:rsidRDefault="00392DBB" w:rsidP="00392DBB">
      <w:pPr>
        <w:pStyle w:val="a5"/>
      </w:pPr>
      <w:r>
        <w:rPr>
          <w:rStyle w:val="a7"/>
        </w:rPr>
        <w:footnoteRef/>
      </w:r>
      <w:r>
        <w:rPr>
          <w:rtl/>
        </w:rPr>
        <w:t xml:space="preserve"> </w:t>
      </w:r>
      <w:r w:rsidRPr="000070F1">
        <w:rPr>
          <w:rFonts w:cs="Arial"/>
          <w:rtl/>
        </w:rPr>
        <w:t>שראוה לובשת בגדי נדות ולבעלה אמרה טהורה אני ושמשה</w:t>
      </w:r>
      <w:r>
        <w:rPr>
          <w:rFonts w:cs="Arial" w:hint="cs"/>
          <w:rtl/>
        </w:rPr>
        <w:t>, רש"י.</w:t>
      </w:r>
    </w:p>
  </w:footnote>
  <w:footnote w:id="2801">
    <w:p w14:paraId="78677D6A" w14:textId="77777777" w:rsidR="00392DBB" w:rsidRDefault="00392DBB" w:rsidP="00392DBB">
      <w:pPr>
        <w:pStyle w:val="a5"/>
      </w:pPr>
      <w:r>
        <w:rPr>
          <w:rStyle w:val="a7"/>
        </w:rPr>
        <w:footnoteRef/>
      </w:r>
      <w:r>
        <w:rPr>
          <w:rtl/>
        </w:rPr>
        <w:t xml:space="preserve"> </w:t>
      </w:r>
      <w:r w:rsidRPr="000070F1">
        <w:rPr>
          <w:rFonts w:cs="Arial"/>
          <w:rtl/>
        </w:rPr>
        <w:t>אם התרו בו וכי האי גוונא משכחת לה למתני' דלאחר תשמיש הודיעוהו שכינותיו שהוחזקה נדה</w:t>
      </w:r>
      <w:r>
        <w:rPr>
          <w:rFonts w:cs="Arial" w:hint="cs"/>
          <w:rtl/>
        </w:rPr>
        <w:t>, רש"י.</w:t>
      </w:r>
    </w:p>
  </w:footnote>
  <w:footnote w:id="2802">
    <w:p w14:paraId="35433708" w14:textId="727D14B7" w:rsidR="00392DBB" w:rsidRDefault="00392DBB" w:rsidP="00392DBB">
      <w:pPr>
        <w:pStyle w:val="a5"/>
      </w:pPr>
      <w:r>
        <w:rPr>
          <w:rStyle w:val="a7"/>
        </w:rPr>
        <w:footnoteRef/>
      </w:r>
      <w:r>
        <w:rPr>
          <w:rtl/>
        </w:rPr>
        <w:t xml:space="preserve"> </w:t>
      </w:r>
      <w:r w:rsidRPr="00960CA5">
        <w:rPr>
          <w:rFonts w:cs="Arial"/>
          <w:rtl/>
        </w:rPr>
        <w:t>כבר כתבתי דמיירי מסתמא שהיא מודה שבא עליה</w:t>
      </w:r>
      <w:r w:rsidR="00AF2F31">
        <w:rPr>
          <w:rFonts w:cs="Arial" w:hint="cs"/>
          <w:rtl/>
        </w:rPr>
        <w:t>,</w:t>
      </w:r>
      <w:r w:rsidRPr="00960CA5">
        <w:rPr>
          <w:rFonts w:cs="Arial"/>
          <w:rtl/>
        </w:rPr>
        <w:t xml:space="preserve"> </w:t>
      </w:r>
      <w:r w:rsidR="006B2DC1">
        <w:rPr>
          <w:rFonts w:cs="Arial" w:hint="cs"/>
          <w:rtl/>
        </w:rPr>
        <w:t>ו</w:t>
      </w:r>
      <w:r w:rsidRPr="00960CA5">
        <w:rPr>
          <w:rFonts w:cs="Arial"/>
          <w:rtl/>
        </w:rPr>
        <w:t>אע</w:t>
      </w:r>
      <w:r w:rsidR="009C1509">
        <w:rPr>
          <w:rFonts w:cs="Arial" w:hint="cs"/>
          <w:rtl/>
        </w:rPr>
        <w:t>"</w:t>
      </w:r>
      <w:r w:rsidRPr="00960CA5">
        <w:rPr>
          <w:rFonts w:cs="Arial"/>
          <w:rtl/>
        </w:rPr>
        <w:t>פ שטוענת עדיין טהורה אני אינה נאמנת במיגו דאי בעי אמרה לא בא עלי נאמינה ג"כ במה שאומרת טהורה אני</w:t>
      </w:r>
      <w:r w:rsidR="00AF2F31">
        <w:rPr>
          <w:rFonts w:cs="Arial" w:hint="cs"/>
          <w:rtl/>
        </w:rPr>
        <w:t>,</w:t>
      </w:r>
      <w:r w:rsidRPr="00960CA5">
        <w:rPr>
          <w:rFonts w:cs="Arial"/>
          <w:rtl/>
        </w:rPr>
        <w:t xml:space="preserve"> דהוי כמגו במקום עדים מאחר שהשכינו' מעידות שלבשה בגדי נדותה</w:t>
      </w:r>
      <w:r>
        <w:rPr>
          <w:rFonts w:cs="Arial" w:hint="cs"/>
          <w:rtl/>
        </w:rPr>
        <w:t>, ח"מ (סק"ה).</w:t>
      </w:r>
    </w:p>
  </w:footnote>
  <w:footnote w:id="2803">
    <w:p w14:paraId="35600DB4" w14:textId="77777777" w:rsidR="006B2DC1" w:rsidRDefault="006B2DC1" w:rsidP="006B2DC1">
      <w:pPr>
        <w:pStyle w:val="a5"/>
      </w:pPr>
      <w:r>
        <w:rPr>
          <w:rStyle w:val="a7"/>
        </w:rPr>
        <w:footnoteRef/>
      </w:r>
      <w:r>
        <w:rPr>
          <w:rtl/>
        </w:rPr>
        <w:t xml:space="preserve"> </w:t>
      </w:r>
      <w:r>
        <w:rPr>
          <w:rFonts w:cs="Arial" w:hint="cs"/>
          <w:rtl/>
        </w:rPr>
        <w:t>סימן - עברה על ב' (משה ויהודית).</w:t>
      </w:r>
    </w:p>
  </w:footnote>
  <w:footnote w:id="2804">
    <w:p w14:paraId="6EA2FA8E" w14:textId="77777777" w:rsidR="00392DBB" w:rsidRDefault="00392DBB" w:rsidP="00392DBB">
      <w:pPr>
        <w:pStyle w:val="a5"/>
        <w:rPr>
          <w:rtl/>
        </w:rPr>
      </w:pPr>
      <w:r>
        <w:rPr>
          <w:rStyle w:val="a7"/>
        </w:rPr>
        <w:footnoteRef/>
      </w:r>
      <w:r>
        <w:rPr>
          <w:rtl/>
        </w:rPr>
        <w:t xml:space="preserve"> </w:t>
      </w:r>
      <w:r w:rsidRPr="00330812">
        <w:rPr>
          <w:rFonts w:hint="cs"/>
          <w:b/>
          <w:bCs/>
          <w:rtl/>
        </w:rPr>
        <w:t xml:space="preserve">קהלת פרק פסוק </w:t>
      </w:r>
      <w:r w:rsidRPr="00330812">
        <w:rPr>
          <w:rFonts w:cs="Arial"/>
          <w:b/>
          <w:bCs/>
          <w:rtl/>
        </w:rPr>
        <w:t>ה</w:t>
      </w:r>
      <w:r w:rsidRPr="00330812">
        <w:rPr>
          <w:rFonts w:cs="Arial" w:hint="cs"/>
          <w:b/>
          <w:bCs/>
          <w:rtl/>
        </w:rPr>
        <w:t>:</w:t>
      </w:r>
      <w:r w:rsidRPr="00330812">
        <w:rPr>
          <w:rFonts w:cs="Arial"/>
          <w:rtl/>
        </w:rPr>
        <w:t xml:space="preserve"> אַל־תִּתֵּ֤ן אֶת־פִּ֙יךָ֙ לַחֲטִ֣יא אֶת־בְּשָׂרֶ֔ךָ וְאַל־תֹּאמַר֙ לִפְנֵ֣י הַמַּלְאָ֔ךְ כִּ֥י שְׁגָגָ֖ה הִ֑יא לָ֣מָּה יִקְצֹ֤ף הָֽאֱלֹהִים֙ עַל־קוֹלֶ֔ךָ וְחִבֵּ֖ל אֶת־מַעֲשֵׂ֥ה יָדֶֽיךָ:</w:t>
      </w:r>
    </w:p>
  </w:footnote>
  <w:footnote w:id="2805">
    <w:p w14:paraId="7D7312D1" w14:textId="77777777" w:rsidR="00392DBB" w:rsidRPr="00150DB4" w:rsidRDefault="00392DBB" w:rsidP="00392DBB">
      <w:pPr>
        <w:pStyle w:val="a5"/>
      </w:pPr>
      <w:r w:rsidRPr="00150DB4">
        <w:rPr>
          <w:rStyle w:val="a7"/>
        </w:rPr>
        <w:footnoteRef/>
      </w:r>
      <w:r w:rsidRPr="00150DB4">
        <w:rPr>
          <w:rtl/>
        </w:rPr>
        <w:t xml:space="preserve"> </w:t>
      </w:r>
      <w:r w:rsidRPr="00150DB4">
        <w:rPr>
          <w:rFonts w:cs="Arial" w:hint="cs"/>
          <w:rtl/>
        </w:rPr>
        <w:t>המרדכי כתב כן מיד לאחר דברי מהר"ם הנ"ל</w:t>
      </w:r>
      <w:r>
        <w:rPr>
          <w:rFonts w:cs="Arial" w:hint="cs"/>
          <w:rtl/>
        </w:rPr>
        <w:t>.</w:t>
      </w:r>
      <w:r w:rsidRPr="00150DB4">
        <w:rPr>
          <w:rFonts w:cs="Arial" w:hint="cs"/>
          <w:rtl/>
        </w:rPr>
        <w:t xml:space="preserve"> והב"י שלח לעיין בדברי המרדכי, ואולי התכוון ל</w:t>
      </w:r>
      <w:r>
        <w:rPr>
          <w:rFonts w:cs="Arial" w:hint="cs"/>
          <w:rtl/>
        </w:rPr>
        <w:t>דבריו אלו</w:t>
      </w:r>
      <w:r w:rsidRPr="00150DB4">
        <w:rPr>
          <w:rFonts w:cs="Arial" w:hint="cs"/>
          <w:rtl/>
        </w:rPr>
        <w:t>.</w:t>
      </w:r>
    </w:p>
  </w:footnote>
  <w:footnote w:id="2806">
    <w:p w14:paraId="42A5D83B" w14:textId="77777777" w:rsidR="00392DBB" w:rsidRDefault="00392DBB" w:rsidP="00392DBB">
      <w:pPr>
        <w:pStyle w:val="a5"/>
      </w:pPr>
      <w:r>
        <w:rPr>
          <w:rStyle w:val="a7"/>
        </w:rPr>
        <w:footnoteRef/>
      </w:r>
      <w:r>
        <w:rPr>
          <w:rtl/>
        </w:rPr>
        <w:t xml:space="preserve"> </w:t>
      </w:r>
      <w:r>
        <w:rPr>
          <w:rFonts w:cs="Arial"/>
          <w:rtl/>
        </w:rPr>
        <w:t xml:space="preserve">וצ"ל דהב"ש העתיק זה </w:t>
      </w:r>
      <w:r>
        <w:rPr>
          <w:rFonts w:cs="Arial" w:hint="cs"/>
          <w:sz w:val="16"/>
          <w:szCs w:val="16"/>
          <w:rtl/>
        </w:rPr>
        <w:t xml:space="preserve">{הא דאמר תרוה"ד דבזה"ז צריך דקדוק כיון שפרוצים בזה} </w:t>
      </w:r>
      <w:r>
        <w:rPr>
          <w:rFonts w:cs="Arial"/>
          <w:rtl/>
        </w:rPr>
        <w:t>דנ"מ היכא דידוע דאכשור דרי (ועיין בתשו' חתם סופר אה"ע ח"ב סי' קע"א)</w:t>
      </w:r>
      <w:r>
        <w:rPr>
          <w:rFonts w:cs="Arial" w:hint="cs"/>
          <w:rtl/>
        </w:rPr>
        <w:t>, פת"ש (סק"ב).</w:t>
      </w:r>
    </w:p>
  </w:footnote>
  <w:footnote w:id="2807">
    <w:p w14:paraId="6F653675" w14:textId="77777777" w:rsidR="00392DBB" w:rsidRDefault="00392DBB" w:rsidP="00392DBB">
      <w:pPr>
        <w:pStyle w:val="a5"/>
      </w:pPr>
      <w:r>
        <w:rPr>
          <w:rStyle w:val="a7"/>
        </w:rPr>
        <w:footnoteRef/>
      </w:r>
      <w:r>
        <w:rPr>
          <w:rtl/>
        </w:rPr>
        <w:t xml:space="preserve"> </w:t>
      </w:r>
      <w:r w:rsidRPr="00CB6CFD">
        <w:rPr>
          <w:rFonts w:cs="Arial"/>
          <w:rtl/>
        </w:rPr>
        <w:t>ותשובה זו כתבוה הגהות מיימון (ד' קושטא) בפי"ח מהלכות איסורי ביאה (ה"ב)</w:t>
      </w:r>
      <w:r>
        <w:rPr>
          <w:rFonts w:cs="Arial" w:hint="cs"/>
          <w:rtl/>
        </w:rPr>
        <w:t xml:space="preserve">, </w:t>
      </w:r>
      <w:r w:rsidRPr="00D2563E">
        <w:rPr>
          <w:rFonts w:cs="Arial" w:hint="cs"/>
          <w:color w:val="000000" w:themeColor="text1"/>
          <w:rtl/>
        </w:rPr>
        <w:t>ב"י. צל"ע דלא מצאתיה שם.</w:t>
      </w:r>
    </w:p>
  </w:footnote>
  <w:footnote w:id="2808">
    <w:p w14:paraId="18E71D58" w14:textId="77777777" w:rsidR="00392DBB" w:rsidRDefault="00392DBB" w:rsidP="00392DBB">
      <w:pPr>
        <w:pStyle w:val="a5"/>
      </w:pPr>
      <w:r>
        <w:rPr>
          <w:rStyle w:val="a7"/>
        </w:rPr>
        <w:footnoteRef/>
      </w:r>
      <w:r>
        <w:rPr>
          <w:rtl/>
        </w:rPr>
        <w:t xml:space="preserve"> </w:t>
      </w:r>
      <w:r w:rsidRPr="00DF736F">
        <w:rPr>
          <w:rFonts w:cs="Arial"/>
          <w:rtl/>
        </w:rPr>
        <w:t>דהא ההוא גברא לא בעי בנים</w:t>
      </w:r>
      <w:r>
        <w:rPr>
          <w:rFonts w:cs="Arial" w:hint="cs"/>
          <w:rtl/>
        </w:rPr>
        <w:t>.</w:t>
      </w:r>
      <w:r w:rsidRPr="00DF736F">
        <w:rPr>
          <w:rFonts w:cs="Arial"/>
          <w:rtl/>
        </w:rPr>
        <w:t xml:space="preserve"> ואפשר דה"ה אם הוא עובר שאר עבירות שהעונש עליהם שבנים מתים כדאיתא בגמרא גם כן אין יכול להוציאה מטעם הנ"ל דהא הוא אינו מקפיד בעונש מיתת הבנים</w:t>
      </w:r>
      <w:r>
        <w:rPr>
          <w:rFonts w:cs="Arial" w:hint="cs"/>
          <w:rtl/>
        </w:rPr>
        <w:t>, ח"מ (סק"ז). והעתיק הב"ש (סק"ז) דבריו.</w:t>
      </w:r>
    </w:p>
  </w:footnote>
  <w:footnote w:id="2809">
    <w:p w14:paraId="755D6FBD" w14:textId="77777777" w:rsidR="00392DBB" w:rsidRPr="00CA7843" w:rsidRDefault="00392DBB" w:rsidP="00392DBB">
      <w:pPr>
        <w:pStyle w:val="a5"/>
        <w:rPr>
          <w:rFonts w:cs="Arial"/>
        </w:rPr>
      </w:pPr>
      <w:r>
        <w:rPr>
          <w:rStyle w:val="a7"/>
        </w:rPr>
        <w:footnoteRef/>
      </w:r>
      <w:r>
        <w:rPr>
          <w:rtl/>
        </w:rPr>
        <w:t xml:space="preserve"> </w:t>
      </w:r>
      <w:r w:rsidRPr="00861032">
        <w:rPr>
          <w:rFonts w:cs="Arial"/>
          <w:rtl/>
        </w:rPr>
        <w:t>בתשובת הרא"ש מבואר שהמירה באונס</w:t>
      </w:r>
      <w:r>
        <w:rPr>
          <w:rFonts w:cs="Arial" w:hint="cs"/>
          <w:rtl/>
        </w:rPr>
        <w:t>...</w:t>
      </w:r>
      <w:r w:rsidRPr="00861032">
        <w:rPr>
          <w:rFonts w:cs="Arial"/>
          <w:rtl/>
        </w:rPr>
        <w:t xml:space="preserve"> </w:t>
      </w:r>
      <w:r w:rsidRPr="00CA7843">
        <w:rPr>
          <w:rFonts w:cs="Arial"/>
          <w:rtl/>
        </w:rPr>
        <w:t>אבל אם המירה ברצון תליא בפלוגת</w:t>
      </w:r>
      <w:r>
        <w:rPr>
          <w:rFonts w:cs="Arial" w:hint="cs"/>
          <w:rtl/>
        </w:rPr>
        <w:t>א</w:t>
      </w:r>
      <w:r w:rsidRPr="00CA7843">
        <w:rPr>
          <w:rFonts w:cs="Arial"/>
          <w:rtl/>
        </w:rPr>
        <w:t xml:space="preserve"> שהבי</w:t>
      </w:r>
      <w:r>
        <w:rPr>
          <w:rFonts w:cs="Arial" w:hint="cs"/>
          <w:rtl/>
        </w:rPr>
        <w:t>א</w:t>
      </w:r>
      <w:r w:rsidRPr="00CA7843">
        <w:rPr>
          <w:rFonts w:cs="Arial"/>
          <w:rtl/>
        </w:rPr>
        <w:t xml:space="preserve"> בסי' ז</w:t>
      </w:r>
      <w:r>
        <w:rPr>
          <w:rFonts w:cs="Arial" w:hint="cs"/>
          <w:rtl/>
        </w:rPr>
        <w:t>.</w:t>
      </w:r>
      <w:r w:rsidRPr="00CA7843">
        <w:rPr>
          <w:rFonts w:cs="Arial"/>
          <w:rtl/>
        </w:rPr>
        <w:t xml:space="preserve"> ולהני פוסקים דס"ל דאסורה על בעלה משום </w:t>
      </w:r>
      <w:r>
        <w:rPr>
          <w:rFonts w:cs="Arial" w:hint="cs"/>
          <w:rtl/>
        </w:rPr>
        <w:t>ש</w:t>
      </w:r>
      <w:r w:rsidRPr="00CA7843">
        <w:rPr>
          <w:rFonts w:cs="Arial"/>
          <w:rtl/>
        </w:rPr>
        <w:t xml:space="preserve">דינה כזינתה </w:t>
      </w:r>
      <w:r>
        <w:rPr>
          <w:rFonts w:cs="Arial" w:hint="cs"/>
          <w:rtl/>
        </w:rPr>
        <w:t xml:space="preserve">- </w:t>
      </w:r>
      <w:r w:rsidRPr="00CA7843">
        <w:rPr>
          <w:rFonts w:cs="Arial"/>
          <w:rtl/>
        </w:rPr>
        <w:t>אז א"צ התראה</w:t>
      </w:r>
      <w:r>
        <w:rPr>
          <w:rFonts w:cs="Arial" w:hint="cs"/>
          <w:rtl/>
        </w:rPr>
        <w:t>,</w:t>
      </w:r>
      <w:r w:rsidRPr="00CA7843">
        <w:rPr>
          <w:rFonts w:cs="Arial"/>
          <w:rtl/>
        </w:rPr>
        <w:t xml:space="preserve"> כמ"ש ברמב"ם </w:t>
      </w:r>
      <w:r>
        <w:rPr>
          <w:rFonts w:cs="Arial" w:hint="cs"/>
          <w:rtl/>
        </w:rPr>
        <w:t>ד</w:t>
      </w:r>
      <w:r w:rsidRPr="00CA7843">
        <w:rPr>
          <w:rFonts w:cs="Arial"/>
          <w:rtl/>
        </w:rPr>
        <w:t>אפילו בעידי כיעור א"צ התראה</w:t>
      </w:r>
      <w:r>
        <w:rPr>
          <w:rFonts w:cs="Arial" w:hint="cs"/>
          <w:rtl/>
        </w:rPr>
        <w:t>.</w:t>
      </w:r>
      <w:r w:rsidRPr="00CA7843">
        <w:rPr>
          <w:rFonts w:cs="Arial"/>
          <w:rtl/>
        </w:rPr>
        <w:t xml:space="preserve"> והרב רמ"א לטעמיה אזיל שהבי' שם סי' ז' דעת המקילין </w:t>
      </w:r>
      <w:r>
        <w:rPr>
          <w:rFonts w:cs="Arial" w:hint="cs"/>
          <w:rtl/>
        </w:rPr>
        <w:t>ד</w:t>
      </w:r>
      <w:r w:rsidRPr="00CA7843">
        <w:rPr>
          <w:rFonts w:cs="Arial"/>
          <w:rtl/>
        </w:rPr>
        <w:t>אפי</w:t>
      </w:r>
      <w:r>
        <w:rPr>
          <w:rFonts w:cs="Arial" w:hint="cs"/>
          <w:rtl/>
        </w:rPr>
        <w:t>לו</w:t>
      </w:r>
      <w:r w:rsidRPr="00CA7843">
        <w:rPr>
          <w:rFonts w:cs="Arial"/>
          <w:rtl/>
        </w:rPr>
        <w:t xml:space="preserve"> אם המיר</w:t>
      </w:r>
      <w:r>
        <w:rPr>
          <w:rFonts w:cs="Arial" w:hint="cs"/>
          <w:rtl/>
        </w:rPr>
        <w:t>ה</w:t>
      </w:r>
      <w:r w:rsidRPr="00CA7843">
        <w:rPr>
          <w:rFonts w:cs="Arial"/>
          <w:rtl/>
        </w:rPr>
        <w:t xml:space="preserve"> מרצון לא אמרי</w:t>
      </w:r>
      <w:r>
        <w:rPr>
          <w:rFonts w:cs="Arial" w:hint="cs"/>
          <w:rtl/>
        </w:rPr>
        <w:t>נן</w:t>
      </w:r>
      <w:r w:rsidRPr="00CA7843">
        <w:rPr>
          <w:rFonts w:cs="Arial"/>
          <w:rtl/>
        </w:rPr>
        <w:t xml:space="preserve"> שזנתה</w:t>
      </w:r>
      <w:r>
        <w:rPr>
          <w:rFonts w:cs="Arial" w:hint="cs"/>
          <w:rtl/>
        </w:rPr>
        <w:t>,</w:t>
      </w:r>
      <w:r w:rsidRPr="00CA7843">
        <w:rPr>
          <w:rFonts w:cs="Arial"/>
          <w:rtl/>
        </w:rPr>
        <w:t xml:space="preserve"> א"כ אפי' לענין עוברת ע</w:t>
      </w:r>
      <w:r>
        <w:rPr>
          <w:rFonts w:cs="Arial" w:hint="cs"/>
          <w:rtl/>
        </w:rPr>
        <w:t>ל דת משה</w:t>
      </w:r>
      <w:r w:rsidRPr="00CA7843">
        <w:rPr>
          <w:rFonts w:cs="Arial"/>
          <w:rtl/>
        </w:rPr>
        <w:t xml:space="preserve"> שוה המירה ברצון להמיר</w:t>
      </w:r>
      <w:r>
        <w:rPr>
          <w:rFonts w:cs="Arial" w:hint="cs"/>
          <w:rtl/>
        </w:rPr>
        <w:t>ה</w:t>
      </w:r>
      <w:r w:rsidRPr="00CA7843">
        <w:rPr>
          <w:rFonts w:cs="Arial"/>
          <w:rtl/>
        </w:rPr>
        <w:t xml:space="preserve"> באונס כל שאינ' חשש זנות</w:t>
      </w:r>
      <w:r>
        <w:rPr>
          <w:rFonts w:cs="Arial" w:hint="cs"/>
          <w:rtl/>
        </w:rPr>
        <w:t>.</w:t>
      </w:r>
      <w:r w:rsidRPr="00CA7843">
        <w:rPr>
          <w:rFonts w:cs="Arial"/>
          <w:rtl/>
        </w:rPr>
        <w:t xml:space="preserve"> מיהו נראה עיקר אם המירה ברצון אסור</w:t>
      </w:r>
      <w:r>
        <w:rPr>
          <w:rFonts w:cs="Arial" w:hint="cs"/>
          <w:rtl/>
        </w:rPr>
        <w:t>ה</w:t>
      </w:r>
      <w:r w:rsidRPr="00CA7843">
        <w:rPr>
          <w:rFonts w:cs="Arial"/>
          <w:rtl/>
        </w:rPr>
        <w:t xml:space="preserve"> לבעל</w:t>
      </w:r>
      <w:r>
        <w:rPr>
          <w:rFonts w:cs="Arial" w:hint="cs"/>
          <w:rtl/>
        </w:rPr>
        <w:t>ה</w:t>
      </w:r>
      <w:r w:rsidRPr="00CA7843">
        <w:rPr>
          <w:rFonts w:cs="Arial"/>
          <w:rtl/>
        </w:rPr>
        <w:t xml:space="preserve"> </w:t>
      </w:r>
      <w:r w:rsidRPr="00CA7843">
        <w:rPr>
          <w:rFonts w:cs="Arial" w:hint="cs"/>
          <w:sz w:val="16"/>
          <w:szCs w:val="16"/>
          <w:rtl/>
        </w:rPr>
        <w:t>(</w:t>
      </w:r>
      <w:r w:rsidRPr="00CA7843">
        <w:rPr>
          <w:rFonts w:cs="Arial"/>
          <w:sz w:val="16"/>
          <w:szCs w:val="16"/>
          <w:rtl/>
        </w:rPr>
        <w:t>דהא הרא"ש משאנ"ץ ס"ל כן כמ"ש בתשו' מהרי"ק סוף שורש ק"ס והג"מ ות"ה סי' רמ"א וכן משמע בתשו' הרא"ש</w:t>
      </w:r>
      <w:r>
        <w:rPr>
          <w:rFonts w:cs="Arial" w:hint="cs"/>
          <w:sz w:val="16"/>
          <w:szCs w:val="16"/>
          <w:rtl/>
        </w:rPr>
        <w:t>...)</w:t>
      </w:r>
      <w:r>
        <w:rPr>
          <w:rFonts w:cs="Arial" w:hint="cs"/>
          <w:rtl/>
        </w:rPr>
        <w:t xml:space="preserve">, </w:t>
      </w:r>
      <w:r w:rsidRPr="00D2563E">
        <w:rPr>
          <w:rFonts w:cs="Arial" w:hint="cs"/>
          <w:b/>
          <w:bCs/>
          <w:rtl/>
        </w:rPr>
        <w:t>ב"ש</w:t>
      </w:r>
      <w:r>
        <w:rPr>
          <w:rFonts w:cs="Arial" w:hint="cs"/>
          <w:rtl/>
        </w:rPr>
        <w:t xml:space="preserve"> (סק"ח). וכן הסכים </w:t>
      </w:r>
      <w:r w:rsidRPr="00D2563E">
        <w:rPr>
          <w:rFonts w:cs="Arial" w:hint="cs"/>
          <w:b/>
          <w:bCs/>
          <w:rtl/>
        </w:rPr>
        <w:t>הח"מ</w:t>
      </w:r>
      <w:r>
        <w:rPr>
          <w:rFonts w:cs="Arial" w:hint="cs"/>
          <w:rtl/>
        </w:rPr>
        <w:t xml:space="preserve"> (סק"ח) דכל</w:t>
      </w:r>
      <w:r w:rsidRPr="00861032">
        <w:rPr>
          <w:rFonts w:cs="Arial"/>
          <w:rtl/>
        </w:rPr>
        <w:t xml:space="preserve"> שהמירה ברצון נאסרה על בעלה והוי כזינתה ודאי ומפסדת כתובתה ואין צריכה התראה</w:t>
      </w:r>
      <w:r>
        <w:rPr>
          <w:rFonts w:cs="Arial" w:hint="cs"/>
          <w:rtl/>
        </w:rPr>
        <w:t>,</w:t>
      </w:r>
      <w:r w:rsidRPr="00861032">
        <w:rPr>
          <w:rFonts w:cs="Arial"/>
          <w:rtl/>
        </w:rPr>
        <w:t xml:space="preserve"> ועיין בת"ה סי' רמ"ב ועיין מ"ש לעיל סי' ז'</w:t>
      </w:r>
      <w:r>
        <w:rPr>
          <w:rFonts w:cs="Arial" w:hint="cs"/>
          <w:rtl/>
        </w:rPr>
        <w:t>.</w:t>
      </w:r>
      <w:r w:rsidRPr="00861032">
        <w:rPr>
          <w:rFonts w:cs="Arial"/>
          <w:rtl/>
        </w:rPr>
        <w:t xml:space="preserve"> </w:t>
      </w:r>
    </w:p>
  </w:footnote>
  <w:footnote w:id="2810">
    <w:p w14:paraId="33D32020" w14:textId="77777777" w:rsidR="00C54F21" w:rsidRDefault="00C54F21" w:rsidP="00C54F21">
      <w:pPr>
        <w:pStyle w:val="a5"/>
      </w:pPr>
      <w:r>
        <w:rPr>
          <w:rStyle w:val="a7"/>
        </w:rPr>
        <w:footnoteRef/>
      </w:r>
      <w:r>
        <w:rPr>
          <w:rtl/>
        </w:rPr>
        <w:t xml:space="preserve"> </w:t>
      </w:r>
      <w:r>
        <w:rPr>
          <w:rFonts w:cs="Arial" w:hint="cs"/>
          <w:rtl/>
        </w:rPr>
        <w:t>סימן - עברה על ב' (משה ויהודית).</w:t>
      </w:r>
    </w:p>
  </w:footnote>
  <w:footnote w:id="2811">
    <w:p w14:paraId="1C949D66" w14:textId="77777777" w:rsidR="00392DBB" w:rsidRDefault="00392DBB" w:rsidP="00392DBB">
      <w:pPr>
        <w:pStyle w:val="a5"/>
      </w:pPr>
      <w:r>
        <w:rPr>
          <w:rStyle w:val="a7"/>
        </w:rPr>
        <w:footnoteRef/>
      </w:r>
      <w:r>
        <w:rPr>
          <w:rtl/>
        </w:rPr>
        <w:t xml:space="preserve"> </w:t>
      </w:r>
      <w:r w:rsidRPr="000070F1">
        <w:rPr>
          <w:rFonts w:cs="Arial"/>
          <w:rtl/>
        </w:rPr>
        <w:t>דת יהודית - שנהגו בנות ישראל ואף על גב דלא כתיבא</w:t>
      </w:r>
      <w:r>
        <w:rPr>
          <w:rFonts w:cs="Arial" w:hint="cs"/>
          <w:rtl/>
        </w:rPr>
        <w:t>, רש"י.</w:t>
      </w:r>
    </w:p>
  </w:footnote>
  <w:footnote w:id="2812">
    <w:p w14:paraId="0C670FB9" w14:textId="4C0D18EA" w:rsidR="00392DBB" w:rsidRDefault="00392DBB" w:rsidP="00392DBB">
      <w:pPr>
        <w:pStyle w:val="a5"/>
        <w:rPr>
          <w:rtl/>
        </w:rPr>
      </w:pPr>
      <w:r>
        <w:rPr>
          <w:rStyle w:val="a7"/>
        </w:rPr>
        <w:footnoteRef/>
      </w:r>
      <w:r>
        <w:rPr>
          <w:rtl/>
        </w:rPr>
        <w:t xml:space="preserve"> </w:t>
      </w:r>
      <w:r w:rsidRPr="00E55557">
        <w:rPr>
          <w:rFonts w:cs="Arial"/>
          <w:rtl/>
        </w:rPr>
        <w:t>סל שיש לו מלמטה בית קבול להולמו בראשו ובית קיבול מלמעלה לתת בו פלך ופשתן</w:t>
      </w:r>
      <w:r>
        <w:rPr>
          <w:rFonts w:hint="cs"/>
          <w:rtl/>
        </w:rPr>
        <w:t>, רש"י. היינו שחלק מראשה מכוסה וחלק פרוע. וכ"כ הטור</w:t>
      </w:r>
      <w:r w:rsidRPr="00C2283D">
        <w:rPr>
          <w:rFonts w:cs="Arial"/>
          <w:rtl/>
        </w:rPr>
        <w:t xml:space="preserve"> </w:t>
      </w:r>
      <w:r w:rsidRPr="00C2283D">
        <w:rPr>
          <w:rFonts w:cs="Arial" w:hint="cs"/>
          <w:sz w:val="16"/>
          <w:szCs w:val="16"/>
          <w:rtl/>
        </w:rPr>
        <w:t>(</w:t>
      </w:r>
      <w:r w:rsidR="0061020A">
        <w:rPr>
          <w:rFonts w:cs="Arial" w:hint="cs"/>
          <w:sz w:val="16"/>
          <w:szCs w:val="16"/>
          <w:rtl/>
        </w:rPr>
        <w:t>וז</w:t>
      </w:r>
      <w:r w:rsidR="0061020A">
        <w:rPr>
          <w:rFonts w:cs="Arial"/>
          <w:sz w:val="16"/>
          <w:szCs w:val="16"/>
          <w:rtl/>
        </w:rPr>
        <w:t>"</w:t>
      </w:r>
      <w:r w:rsidR="0061020A">
        <w:rPr>
          <w:rFonts w:cs="Arial" w:hint="cs"/>
          <w:sz w:val="16"/>
          <w:szCs w:val="16"/>
          <w:rtl/>
        </w:rPr>
        <w:t>ל:</w:t>
      </w:r>
      <w:r w:rsidRPr="00C2283D">
        <w:rPr>
          <w:rFonts w:cs="Arial" w:hint="cs"/>
          <w:sz w:val="16"/>
          <w:szCs w:val="16"/>
          <w:rtl/>
        </w:rPr>
        <w:t xml:space="preserve"> </w:t>
      </w:r>
      <w:r w:rsidRPr="00C2283D">
        <w:rPr>
          <w:rFonts w:cs="Arial"/>
          <w:sz w:val="16"/>
          <w:szCs w:val="16"/>
          <w:rtl/>
        </w:rPr>
        <w:t>אפי</w:t>
      </w:r>
      <w:r w:rsidRPr="00C2283D">
        <w:rPr>
          <w:rFonts w:cs="Arial" w:hint="cs"/>
          <w:sz w:val="16"/>
          <w:szCs w:val="16"/>
          <w:rtl/>
        </w:rPr>
        <w:t>לו</w:t>
      </w:r>
      <w:r w:rsidRPr="00C2283D">
        <w:rPr>
          <w:rFonts w:cs="Arial"/>
          <w:sz w:val="16"/>
          <w:szCs w:val="16"/>
          <w:rtl/>
        </w:rPr>
        <w:t xml:space="preserve"> אין פרוע לגמרי אלא קלתה בראשה</w:t>
      </w:r>
      <w:r w:rsidRPr="00C2283D">
        <w:rPr>
          <w:rFonts w:cs="Arial" w:hint="cs"/>
          <w:sz w:val="16"/>
          <w:szCs w:val="16"/>
          <w:rtl/>
        </w:rPr>
        <w:t>,</w:t>
      </w:r>
      <w:r w:rsidRPr="00C2283D">
        <w:rPr>
          <w:rFonts w:cs="Arial"/>
          <w:sz w:val="16"/>
          <w:szCs w:val="16"/>
          <w:rtl/>
        </w:rPr>
        <w:t xml:space="preserve"> כיון שאינה מכוסה בצעיף</w:t>
      </w:r>
      <w:r w:rsidRPr="00C2283D">
        <w:rPr>
          <w:rFonts w:cs="Arial" w:hint="cs"/>
          <w:sz w:val="16"/>
          <w:szCs w:val="16"/>
          <w:rtl/>
        </w:rPr>
        <w:t xml:space="preserve"> </w:t>
      </w:r>
      <w:r w:rsidR="00F97626">
        <w:rPr>
          <w:rFonts w:cs="Arial"/>
          <w:sz w:val="16"/>
          <w:szCs w:val="16"/>
          <w:rtl/>
        </w:rPr>
        <w:t>-</w:t>
      </w:r>
      <w:r w:rsidRPr="00C2283D">
        <w:rPr>
          <w:rFonts w:cs="Arial"/>
          <w:sz w:val="16"/>
          <w:szCs w:val="16"/>
          <w:rtl/>
        </w:rPr>
        <w:t xml:space="preserve"> תצא</w:t>
      </w:r>
      <w:r w:rsidRPr="00C2283D">
        <w:rPr>
          <w:rFonts w:cs="Arial" w:hint="cs"/>
          <w:sz w:val="16"/>
          <w:szCs w:val="16"/>
          <w:rtl/>
        </w:rPr>
        <w:t>)</w:t>
      </w:r>
      <w:r>
        <w:rPr>
          <w:rFonts w:hint="cs"/>
          <w:rtl/>
        </w:rPr>
        <w:t xml:space="preserve">. אך הרמב"ם </w:t>
      </w:r>
      <w:r w:rsidRPr="00C2283D">
        <w:rPr>
          <w:rFonts w:hint="cs"/>
          <w:sz w:val="16"/>
          <w:szCs w:val="16"/>
          <w:rtl/>
        </w:rPr>
        <w:t>(פכ"ד מאישות הי"ב, הביאו הטור)</w:t>
      </w:r>
      <w:r>
        <w:rPr>
          <w:rFonts w:hint="cs"/>
          <w:rtl/>
        </w:rPr>
        <w:t xml:space="preserve"> פירש דהיינו </w:t>
      </w:r>
      <w:r w:rsidRPr="00465DF1">
        <w:rPr>
          <w:rFonts w:cs="Arial"/>
          <w:rtl/>
        </w:rPr>
        <w:t>ששערה מכוסה במטפחת</w:t>
      </w:r>
      <w:r>
        <w:rPr>
          <w:rFonts w:cs="Arial" w:hint="cs"/>
          <w:rtl/>
        </w:rPr>
        <w:t xml:space="preserve"> אבל לא הוסיפה על המטפחת רדיד.</w:t>
      </w:r>
      <w:r w:rsidRPr="00C847DB">
        <w:rPr>
          <w:rFonts w:cs="Arial" w:hint="cs"/>
          <w:color w:val="E36C0A" w:themeColor="accent6" w:themeShade="BF"/>
          <w:rtl/>
        </w:rPr>
        <w:t xml:space="preserve"> וכ"פ בשו"ע</w:t>
      </w:r>
      <w:r>
        <w:rPr>
          <w:rFonts w:cs="Arial" w:hint="cs"/>
          <w:rtl/>
        </w:rPr>
        <w:t>.</w:t>
      </w:r>
      <w:r>
        <w:rPr>
          <w:rFonts w:hint="cs"/>
          <w:rtl/>
        </w:rPr>
        <w:t xml:space="preserve"> ולפירוש הרמב"ם, יש לומר דמטפחת - היינו כיסוי בסיסי שהיו מכסות בו את ראשון גם בבית </w:t>
      </w:r>
      <w:r w:rsidRPr="00C2283D">
        <w:rPr>
          <w:rFonts w:hint="cs"/>
          <w:sz w:val="16"/>
          <w:szCs w:val="16"/>
          <w:rtl/>
        </w:rPr>
        <w:t>(נקרא גם קופח)</w:t>
      </w:r>
      <w:r>
        <w:rPr>
          <w:rFonts w:hint="cs"/>
          <w:rtl/>
        </w:rPr>
        <w:t xml:space="preserve">. ורדיד </w:t>
      </w:r>
      <w:r w:rsidR="00F97626">
        <w:rPr>
          <w:rtl/>
        </w:rPr>
        <w:t>-</w:t>
      </w:r>
      <w:r>
        <w:rPr>
          <w:rFonts w:hint="cs"/>
          <w:rtl/>
        </w:rPr>
        <w:t xml:space="preserve"> היינו כיסוי ראש נוסף שהיו נוהגות לצאת איתו לחוץ. ויש מקומות שהרדיד כיסה גם את חמוקי גופה של האשה שלא יבלטו</w:t>
      </w:r>
      <w:r>
        <w:rPr>
          <w:rFonts w:hint="cs"/>
          <w:sz w:val="16"/>
          <w:szCs w:val="16"/>
          <w:rtl/>
        </w:rPr>
        <w:t xml:space="preserve"> (ע"פ פירוש מקבילי לרמב"ם שם)</w:t>
      </w:r>
      <w:r>
        <w:rPr>
          <w:rFonts w:hint="cs"/>
          <w:rtl/>
        </w:rPr>
        <w:t>.</w:t>
      </w:r>
    </w:p>
  </w:footnote>
  <w:footnote w:id="2813">
    <w:p w14:paraId="68D2F27D" w14:textId="77777777" w:rsidR="00392DBB" w:rsidRDefault="00392DBB" w:rsidP="00392DBB">
      <w:pPr>
        <w:pStyle w:val="a5"/>
        <w:rPr>
          <w:rtl/>
        </w:rPr>
      </w:pPr>
      <w:r>
        <w:rPr>
          <w:rStyle w:val="a7"/>
        </w:rPr>
        <w:footnoteRef/>
      </w:r>
      <w:r>
        <w:rPr>
          <w:rtl/>
        </w:rPr>
        <w:t xml:space="preserve"> </w:t>
      </w:r>
      <w:r w:rsidRPr="00C847DB">
        <w:rPr>
          <w:rFonts w:cs="Arial"/>
          <w:rtl/>
        </w:rPr>
        <w:t>דבחצר יש בה משום פריעה</w:t>
      </w:r>
      <w:r>
        <w:rPr>
          <w:rFonts w:hint="cs"/>
          <w:rtl/>
        </w:rPr>
        <w:t>, רש"י.</w:t>
      </w:r>
    </w:p>
  </w:footnote>
  <w:footnote w:id="2814">
    <w:p w14:paraId="7FAD8DC8" w14:textId="77777777" w:rsidR="00392DBB" w:rsidRDefault="00392DBB" w:rsidP="00392DBB">
      <w:pPr>
        <w:pStyle w:val="a5"/>
      </w:pPr>
      <w:r>
        <w:rPr>
          <w:rStyle w:val="a7"/>
        </w:rPr>
        <w:footnoteRef/>
      </w:r>
      <w:r>
        <w:rPr>
          <w:rtl/>
        </w:rPr>
        <w:t xml:space="preserve"> </w:t>
      </w:r>
      <w:r w:rsidRPr="00C847DB">
        <w:rPr>
          <w:rFonts w:cs="Arial"/>
          <w:rtl/>
        </w:rPr>
        <w:t>דלא שכיחי רבים</w:t>
      </w:r>
      <w:r>
        <w:rPr>
          <w:rFonts w:cs="Arial" w:hint="cs"/>
          <w:rtl/>
        </w:rPr>
        <w:t>, רש"י.</w:t>
      </w:r>
    </w:p>
  </w:footnote>
  <w:footnote w:id="2815">
    <w:p w14:paraId="402532D5" w14:textId="6225E6EF" w:rsidR="00392DBB" w:rsidRDefault="00392DBB" w:rsidP="00392DBB">
      <w:pPr>
        <w:pStyle w:val="a5"/>
      </w:pPr>
      <w:r>
        <w:rPr>
          <w:rStyle w:val="a7"/>
        </w:rPr>
        <w:footnoteRef/>
      </w:r>
      <w:r>
        <w:rPr>
          <w:rtl/>
        </w:rPr>
        <w:t xml:space="preserve"> </w:t>
      </w:r>
      <w:r w:rsidRPr="003F7E14">
        <w:rPr>
          <w:rFonts w:cs="Arial"/>
          <w:rtl/>
        </w:rPr>
        <w:t>טווה בכפה על ירכה וחוט מתרדד כנגד פניה של מטה</w:t>
      </w:r>
      <w:r>
        <w:rPr>
          <w:rFonts w:cs="Arial" w:hint="cs"/>
          <w:rtl/>
        </w:rPr>
        <w:t>,</w:t>
      </w:r>
      <w:r w:rsidRPr="003F7E14">
        <w:rPr>
          <w:rFonts w:cs="Arial"/>
          <w:rtl/>
        </w:rPr>
        <w:t xml:space="preserve"> </w:t>
      </w:r>
      <w:r w:rsidRPr="009F080D">
        <w:rPr>
          <w:rFonts w:cs="Arial"/>
          <w:rtl/>
        </w:rPr>
        <w:t>רש"י</w:t>
      </w:r>
      <w:r>
        <w:rPr>
          <w:rFonts w:cs="Arial" w:hint="cs"/>
          <w:rtl/>
        </w:rPr>
        <w:t xml:space="preserve"> </w:t>
      </w:r>
      <w:r w:rsidRPr="000066EF">
        <w:rPr>
          <w:rFonts w:cs="Arial" w:hint="cs"/>
          <w:sz w:val="16"/>
          <w:szCs w:val="16"/>
          <w:rtl/>
        </w:rPr>
        <w:t xml:space="preserve">(רד </w:t>
      </w:r>
      <w:r w:rsidR="00F97626">
        <w:rPr>
          <w:rFonts w:cs="Arial"/>
          <w:sz w:val="16"/>
          <w:szCs w:val="16"/>
          <w:rtl/>
        </w:rPr>
        <w:t>-</w:t>
      </w:r>
      <w:r w:rsidRPr="000066EF">
        <w:rPr>
          <w:rFonts w:cs="Arial" w:hint="cs"/>
          <w:sz w:val="16"/>
          <w:szCs w:val="16"/>
          <w:rtl/>
        </w:rPr>
        <w:t xml:space="preserve"> פירושו יורד. ויש שגרסו בגמ' 'ויורד', ומתאים לפרש"י)</w:t>
      </w:r>
      <w:r>
        <w:rPr>
          <w:rFonts w:cs="Arial" w:hint="cs"/>
          <w:rtl/>
        </w:rPr>
        <w:t xml:space="preserve">. אך </w:t>
      </w:r>
      <w:r w:rsidRPr="009F080D">
        <w:rPr>
          <w:rFonts w:cs="Arial"/>
          <w:rtl/>
        </w:rPr>
        <w:t>הרמב"ם</w:t>
      </w:r>
      <w:r>
        <w:rPr>
          <w:rFonts w:cs="Arial" w:hint="cs"/>
          <w:rtl/>
        </w:rPr>
        <w:t xml:space="preserve"> (שם) פירש </w:t>
      </w:r>
      <w:r w:rsidRPr="003F7E14">
        <w:rPr>
          <w:rFonts w:cs="Arial"/>
          <w:rtl/>
        </w:rPr>
        <w:t>שהיתה טווה בשוק וורד וכיוצא בו כנגד פניה על פדחתה או על לחיה כדרך שעושות הגויות הפרוצות</w:t>
      </w:r>
      <w:r>
        <w:rPr>
          <w:rFonts w:cs="Arial" w:hint="cs"/>
          <w:rtl/>
        </w:rPr>
        <w:t>.</w:t>
      </w:r>
      <w:r w:rsidRPr="003F7E14">
        <w:rPr>
          <w:rFonts w:cs="Arial"/>
          <w:rtl/>
        </w:rPr>
        <w:t xml:space="preserve"> </w:t>
      </w:r>
      <w:r w:rsidRPr="000066EF">
        <w:rPr>
          <w:rFonts w:cs="Arial" w:hint="cs"/>
          <w:sz w:val="16"/>
          <w:szCs w:val="16"/>
          <w:rtl/>
        </w:rPr>
        <w:t>(וכנראה גרס בגמרא 'וורד')</w:t>
      </w:r>
      <w:r>
        <w:rPr>
          <w:rFonts w:cs="Arial" w:hint="cs"/>
          <w:rtl/>
        </w:rPr>
        <w:t>.</w:t>
      </w:r>
      <w:r>
        <w:rPr>
          <w:rFonts w:hint="cs"/>
          <w:rtl/>
        </w:rPr>
        <w:t xml:space="preserve"> ו</w:t>
      </w:r>
      <w:r w:rsidRPr="009D739A">
        <w:rPr>
          <w:rFonts w:cs="Arial"/>
          <w:rtl/>
        </w:rPr>
        <w:t>ר"ח פי</w:t>
      </w:r>
      <w:r>
        <w:rPr>
          <w:rFonts w:cs="Arial" w:hint="cs"/>
          <w:rtl/>
        </w:rPr>
        <w:t>רש</w:t>
      </w:r>
      <w:r w:rsidRPr="009D739A">
        <w:rPr>
          <w:rFonts w:cs="Arial"/>
          <w:rtl/>
        </w:rPr>
        <w:t xml:space="preserve"> </w:t>
      </w:r>
      <w:r w:rsidRPr="009D739A">
        <w:rPr>
          <w:rFonts w:cs="Arial" w:hint="cs"/>
          <w:sz w:val="16"/>
          <w:szCs w:val="16"/>
          <w:rtl/>
        </w:rPr>
        <w:t xml:space="preserve">(בתוס' שם ד"ה בטווה) </w:t>
      </w:r>
      <w:r>
        <w:rPr>
          <w:rFonts w:cs="Arial" w:hint="cs"/>
          <w:rtl/>
        </w:rPr>
        <w:t>'</w:t>
      </w:r>
      <w:r w:rsidRPr="009D739A">
        <w:rPr>
          <w:rFonts w:cs="Arial"/>
          <w:rtl/>
        </w:rPr>
        <w:t>טווה ורד</w:t>
      </w:r>
      <w:r>
        <w:rPr>
          <w:rFonts w:cs="Arial" w:hint="cs"/>
          <w:rtl/>
        </w:rPr>
        <w:t>'</w:t>
      </w:r>
      <w:r w:rsidRPr="009D739A">
        <w:rPr>
          <w:rFonts w:cs="Arial"/>
          <w:rtl/>
        </w:rPr>
        <w:t xml:space="preserve"> </w:t>
      </w:r>
      <w:r>
        <w:rPr>
          <w:rFonts w:cs="Arial" w:hint="cs"/>
          <w:rtl/>
        </w:rPr>
        <w:t xml:space="preserve">- </w:t>
      </w:r>
      <w:r w:rsidRPr="009D739A">
        <w:rPr>
          <w:rFonts w:cs="Arial"/>
          <w:rtl/>
        </w:rPr>
        <w:t>צמר אדום היא טווה</w:t>
      </w:r>
      <w:r>
        <w:rPr>
          <w:rFonts w:cs="Arial" w:hint="cs"/>
          <w:rtl/>
        </w:rPr>
        <w:t>,</w:t>
      </w:r>
      <w:r w:rsidRPr="009D739A">
        <w:rPr>
          <w:rFonts w:cs="Arial"/>
          <w:rtl/>
        </w:rPr>
        <w:t xml:space="preserve"> שיפול על פניה מזהרוריתו וזהו עזות מצח ופריצות.</w:t>
      </w:r>
      <w:r>
        <w:rPr>
          <w:rFonts w:hint="cs"/>
          <w:rtl/>
        </w:rPr>
        <w:t xml:space="preserve"> עכ"ל. וכתב הח"מ (סק"י) </w:t>
      </w:r>
      <w:r>
        <w:rPr>
          <w:rFonts w:cs="Arial" w:hint="cs"/>
          <w:rtl/>
        </w:rPr>
        <w:t>ש</w:t>
      </w:r>
      <w:r w:rsidRPr="005853A7">
        <w:rPr>
          <w:rFonts w:cs="Arial"/>
          <w:rtl/>
        </w:rPr>
        <w:t>כולן עולין להלכה שכל שהוא עזות היא עובר' על דת יהודית</w:t>
      </w:r>
      <w:r>
        <w:rPr>
          <w:rFonts w:cs="Arial" w:hint="cs"/>
          <w:rtl/>
        </w:rPr>
        <w:t>.</w:t>
      </w:r>
    </w:p>
  </w:footnote>
  <w:footnote w:id="2816">
    <w:p w14:paraId="6E1BF4E9" w14:textId="77777777" w:rsidR="00392DBB" w:rsidRDefault="00392DBB" w:rsidP="00392DBB">
      <w:pPr>
        <w:pStyle w:val="a5"/>
      </w:pPr>
      <w:r>
        <w:rPr>
          <w:rStyle w:val="a7"/>
        </w:rPr>
        <w:footnoteRef/>
      </w:r>
      <w:r>
        <w:rPr>
          <w:rtl/>
        </w:rPr>
        <w:t xml:space="preserve"> </w:t>
      </w:r>
      <w:r>
        <w:rPr>
          <w:rFonts w:cs="Arial"/>
          <w:rtl/>
        </w:rPr>
        <w:t xml:space="preserve">ופירש רש"י </w:t>
      </w:r>
      <w:r w:rsidRPr="00FD5C15">
        <w:rPr>
          <w:rFonts w:cs="Arial" w:hint="cs"/>
          <w:sz w:val="16"/>
          <w:szCs w:val="16"/>
          <w:rtl/>
        </w:rPr>
        <w:t xml:space="preserve">(ד"ה וסימניך, וד"ה אפרים) </w:t>
      </w:r>
      <w:r>
        <w:rPr>
          <w:rFonts w:cs="Arial"/>
          <w:rtl/>
        </w:rPr>
        <w:t xml:space="preserve">כלומר </w:t>
      </w:r>
      <w:r>
        <w:rPr>
          <w:rFonts w:cs="Arial" w:hint="cs"/>
          <w:rtl/>
        </w:rPr>
        <w:t>'</w:t>
      </w:r>
      <w:r>
        <w:rPr>
          <w:rFonts w:cs="Arial"/>
          <w:rtl/>
        </w:rPr>
        <w:t>בפניו</w:t>
      </w:r>
      <w:r>
        <w:rPr>
          <w:rFonts w:cs="Arial" w:hint="cs"/>
          <w:rtl/>
        </w:rPr>
        <w:t>'</w:t>
      </w:r>
      <w:r>
        <w:rPr>
          <w:rFonts w:cs="Arial"/>
          <w:rtl/>
        </w:rPr>
        <w:t xml:space="preserve"> דמתניתין</w:t>
      </w:r>
      <w:r>
        <w:rPr>
          <w:rFonts w:cs="Arial" w:hint="cs"/>
          <w:rtl/>
        </w:rPr>
        <w:t>,</w:t>
      </w:r>
      <w:r>
        <w:rPr>
          <w:rFonts w:cs="Arial"/>
          <w:rtl/>
        </w:rPr>
        <w:t xml:space="preserve"> לא תימא לפניו ממש</w:t>
      </w:r>
      <w:r>
        <w:rPr>
          <w:rFonts w:cs="Arial" w:hint="cs"/>
          <w:rtl/>
        </w:rPr>
        <w:t>,</w:t>
      </w:r>
      <w:r>
        <w:rPr>
          <w:rFonts w:cs="Arial"/>
          <w:rtl/>
        </w:rPr>
        <w:t xml:space="preserve"> אלא אפילו מקללת אביו בפני בנו של בעל</w:t>
      </w:r>
      <w:r>
        <w:rPr>
          <w:rFonts w:cs="Arial" w:hint="cs"/>
          <w:sz w:val="16"/>
          <w:szCs w:val="16"/>
          <w:rtl/>
        </w:rPr>
        <w:t xml:space="preserve"> {וכ"כ התוס' [שם ד"ה יולידיו] והטור. ולפי פירוש זה הוא הדין במקללת חמיה בפני חמיה עצמו, כ"כ הב"ש [סקט"ו] והגר"א [סקי"ד]}</w:t>
      </w:r>
      <w:r>
        <w:rPr>
          <w:rFonts w:cs="Arial" w:hint="cs"/>
          <w:rtl/>
        </w:rPr>
        <w:t xml:space="preserve">. </w:t>
      </w:r>
      <w:r w:rsidRPr="00E43F63">
        <w:rPr>
          <w:rFonts w:hint="cs"/>
          <w:color w:val="00B0F0"/>
          <w:rtl/>
        </w:rPr>
        <w:t>(וכ"פ הרמ"א)</w:t>
      </w:r>
      <w:r w:rsidRPr="0020236E">
        <w:rPr>
          <w:rFonts w:cs="Arial" w:hint="cs"/>
          <w:sz w:val="16"/>
          <w:szCs w:val="16"/>
          <w:rtl/>
        </w:rPr>
        <w:t xml:space="preserve"> </w:t>
      </w:r>
      <w:r>
        <w:rPr>
          <w:rFonts w:cs="Arial" w:hint="cs"/>
          <w:sz w:val="16"/>
          <w:szCs w:val="16"/>
          <w:rtl/>
        </w:rPr>
        <w:t>{אך הח"מ [סקט"ו] חולק על הבנתם בדברי רש"י והתוס'}</w:t>
      </w:r>
      <w:r>
        <w:rPr>
          <w:rFonts w:cs="Arial" w:hint="cs"/>
          <w:rtl/>
        </w:rPr>
        <w:t>.</w:t>
      </w:r>
      <w:r>
        <w:rPr>
          <w:rFonts w:cs="Arial"/>
          <w:rtl/>
        </w:rPr>
        <w:t xml:space="preserve"> והרמב"ם </w:t>
      </w:r>
      <w:r>
        <w:rPr>
          <w:rFonts w:cs="Arial" w:hint="cs"/>
          <w:rtl/>
        </w:rPr>
        <w:t>ב</w:t>
      </w:r>
      <w:r>
        <w:rPr>
          <w:rFonts w:cs="Arial"/>
          <w:rtl/>
        </w:rPr>
        <w:t xml:space="preserve">פכ"ד </w:t>
      </w:r>
      <w:r>
        <w:rPr>
          <w:rFonts w:cs="Arial" w:hint="cs"/>
          <w:rtl/>
        </w:rPr>
        <w:t>(</w:t>
      </w:r>
      <w:r>
        <w:rPr>
          <w:rFonts w:cs="Arial"/>
          <w:rtl/>
        </w:rPr>
        <w:t>שם) לא כתב אלא מקללת אבי בעלה בפני בעלה</w:t>
      </w:r>
      <w:r>
        <w:rPr>
          <w:rFonts w:cs="Arial" w:hint="cs"/>
          <w:rtl/>
        </w:rPr>
        <w:t>.</w:t>
      </w:r>
      <w:r>
        <w:rPr>
          <w:rFonts w:cs="Arial"/>
          <w:rtl/>
        </w:rPr>
        <w:t xml:space="preserve"> ולפי דבריו אתא שמואל לאשמועינן דלא תימא דבפניו דמתניתין היינו בפני יולדיו עצמן</w:t>
      </w:r>
      <w:r>
        <w:rPr>
          <w:rFonts w:cs="Arial" w:hint="cs"/>
          <w:rtl/>
        </w:rPr>
        <w:t>,</w:t>
      </w:r>
      <w:r>
        <w:rPr>
          <w:rFonts w:cs="Arial"/>
          <w:rtl/>
        </w:rPr>
        <w:t xml:space="preserve"> כלומר שמקללת חמיה בפניו ממש</w:t>
      </w:r>
      <w:r>
        <w:rPr>
          <w:rFonts w:cs="Arial" w:hint="cs"/>
          <w:rtl/>
        </w:rPr>
        <w:t>,</w:t>
      </w:r>
      <w:r>
        <w:rPr>
          <w:rFonts w:cs="Arial"/>
          <w:rtl/>
        </w:rPr>
        <w:t xml:space="preserve"> אלא בפניו דבעל קאמר</w:t>
      </w:r>
      <w:r>
        <w:rPr>
          <w:rFonts w:cs="Arial" w:hint="cs"/>
          <w:rtl/>
        </w:rPr>
        <w:t>,</w:t>
      </w:r>
      <w:r>
        <w:rPr>
          <w:rFonts w:cs="Arial"/>
          <w:rtl/>
        </w:rPr>
        <w:t xml:space="preserve"> ומשום הכי תצא</w:t>
      </w:r>
      <w:r>
        <w:rPr>
          <w:rFonts w:cs="Arial" w:hint="cs"/>
          <w:rtl/>
        </w:rPr>
        <w:t>.</w:t>
      </w:r>
      <w:r>
        <w:rPr>
          <w:rFonts w:cs="Arial"/>
          <w:rtl/>
        </w:rPr>
        <w:t xml:space="preserve"> אבל שלא בפני הבעל</w:t>
      </w:r>
      <w:r>
        <w:rPr>
          <w:rFonts w:cs="Arial" w:hint="cs"/>
          <w:rtl/>
        </w:rPr>
        <w:t>,</w:t>
      </w:r>
      <w:r>
        <w:rPr>
          <w:rFonts w:cs="Arial"/>
          <w:rtl/>
        </w:rPr>
        <w:t xml:space="preserve"> אע</w:t>
      </w:r>
      <w:r>
        <w:rPr>
          <w:rFonts w:cs="Arial" w:hint="cs"/>
          <w:rtl/>
        </w:rPr>
        <w:t>"</w:t>
      </w:r>
      <w:r>
        <w:rPr>
          <w:rFonts w:cs="Arial"/>
          <w:rtl/>
        </w:rPr>
        <w:t>פ שהוא בפני חמיה עצמו לא</w:t>
      </w:r>
      <w:r>
        <w:rPr>
          <w:rFonts w:cs="Arial" w:hint="cs"/>
          <w:rtl/>
        </w:rPr>
        <w:t>, ב"י.</w:t>
      </w:r>
      <w:r>
        <w:rPr>
          <w:rFonts w:hint="cs"/>
          <w:rtl/>
        </w:rPr>
        <w:t xml:space="preserve"> </w:t>
      </w:r>
      <w:r>
        <w:rPr>
          <w:rFonts w:cs="Arial" w:hint="cs"/>
          <w:color w:val="E36C0A" w:themeColor="accent6" w:themeShade="BF"/>
          <w:rtl/>
        </w:rPr>
        <w:t>(</w:t>
      </w:r>
      <w:r w:rsidRPr="00C847DB">
        <w:rPr>
          <w:rFonts w:cs="Arial" w:hint="cs"/>
          <w:color w:val="E36C0A" w:themeColor="accent6" w:themeShade="BF"/>
          <w:rtl/>
        </w:rPr>
        <w:t>וכ"פ בשו"ע</w:t>
      </w:r>
      <w:r>
        <w:rPr>
          <w:rFonts w:cs="Arial" w:hint="cs"/>
          <w:color w:val="E36C0A" w:themeColor="accent6" w:themeShade="BF"/>
          <w:rtl/>
        </w:rPr>
        <w:t>)</w:t>
      </w:r>
    </w:p>
  </w:footnote>
  <w:footnote w:id="2817">
    <w:p w14:paraId="418F7F30" w14:textId="77777777" w:rsidR="00392DBB" w:rsidRDefault="00392DBB" w:rsidP="00392DBB">
      <w:pPr>
        <w:pStyle w:val="a5"/>
      </w:pPr>
      <w:r>
        <w:rPr>
          <w:rStyle w:val="a7"/>
        </w:rPr>
        <w:footnoteRef/>
      </w:r>
      <w:r>
        <w:rPr>
          <w:rtl/>
        </w:rPr>
        <w:t xml:space="preserve"> </w:t>
      </w:r>
      <w:r>
        <w:rPr>
          <w:rFonts w:cs="Arial"/>
          <w:rtl/>
        </w:rPr>
        <w:t>ופירשו הרי"ף (לג.) והרא"ש (סי' ט) כגון דתבעה ליה בפה בקול רם</w:t>
      </w:r>
      <w:r>
        <w:rPr>
          <w:rFonts w:cs="Arial" w:hint="cs"/>
          <w:rtl/>
        </w:rPr>
        <w:t>.</w:t>
      </w:r>
      <w:r>
        <w:rPr>
          <w:rFonts w:cs="Arial"/>
          <w:rtl/>
        </w:rPr>
        <w:t xml:space="preserve"> וכ"כ הרמב"ם בפכ"ד (הי"ב)</w:t>
      </w:r>
      <w:r>
        <w:rPr>
          <w:rFonts w:cs="Arial" w:hint="cs"/>
          <w:rtl/>
        </w:rPr>
        <w:t>.</w:t>
      </w:r>
      <w:r w:rsidRPr="002C71B8">
        <w:rPr>
          <w:rFonts w:cs="Arial" w:hint="cs"/>
          <w:color w:val="E36C0A" w:themeColor="accent6" w:themeShade="BF"/>
          <w:rtl/>
        </w:rPr>
        <w:t xml:space="preserve"> </w:t>
      </w:r>
      <w:r>
        <w:rPr>
          <w:rFonts w:cs="Arial" w:hint="cs"/>
          <w:color w:val="E36C0A" w:themeColor="accent6" w:themeShade="BF"/>
          <w:rtl/>
        </w:rPr>
        <w:t>(</w:t>
      </w:r>
      <w:r w:rsidRPr="00C847DB">
        <w:rPr>
          <w:rFonts w:cs="Arial" w:hint="cs"/>
          <w:color w:val="E36C0A" w:themeColor="accent6" w:themeShade="BF"/>
          <w:rtl/>
        </w:rPr>
        <w:t>וכ"פ בשו"ע</w:t>
      </w:r>
      <w:r>
        <w:rPr>
          <w:rFonts w:cs="Arial" w:hint="cs"/>
          <w:color w:val="E36C0A" w:themeColor="accent6" w:themeShade="BF"/>
          <w:rtl/>
        </w:rPr>
        <w:t>)</w:t>
      </w:r>
      <w:r>
        <w:rPr>
          <w:rFonts w:cs="Arial" w:hint="cs"/>
          <w:rtl/>
        </w:rPr>
        <w:t>.</w:t>
      </w:r>
      <w:r>
        <w:rPr>
          <w:rFonts w:cs="Arial"/>
          <w:rtl/>
        </w:rPr>
        <w:t xml:space="preserve"> ורש"י (ד"ה על) פירש כשמדבר עמה על עסקי עונה מריבה עמו ומשמעת לשכניו והוא בוש בדבר. ורבינו כתב כדברי שניהם סתם</w:t>
      </w:r>
      <w:r>
        <w:rPr>
          <w:rFonts w:cs="Arial" w:hint="cs"/>
          <w:rtl/>
        </w:rPr>
        <w:t>,</w:t>
      </w:r>
      <w:r>
        <w:rPr>
          <w:rFonts w:cs="Arial"/>
          <w:rtl/>
        </w:rPr>
        <w:t xml:space="preserve"> משום דמשמע ליה דלענין דינא בכל חד מהני גווני</w:t>
      </w:r>
      <w:r>
        <w:rPr>
          <w:rFonts w:cs="Arial" w:hint="cs"/>
          <w:rtl/>
        </w:rPr>
        <w:t>,</w:t>
      </w:r>
      <w:r>
        <w:rPr>
          <w:rFonts w:cs="Arial"/>
          <w:rtl/>
        </w:rPr>
        <w:t xml:space="preserve"> הויא עוברת על דת יהודית לדברי הכל</w:t>
      </w:r>
      <w:r>
        <w:rPr>
          <w:rFonts w:cs="Arial" w:hint="cs"/>
          <w:rtl/>
        </w:rPr>
        <w:t>.</w:t>
      </w:r>
      <w:r>
        <w:rPr>
          <w:rFonts w:cs="Arial"/>
          <w:rtl/>
        </w:rPr>
        <w:t xml:space="preserve"> ומר אמר חדא ומר אמר חדא ולא פליגי</w:t>
      </w:r>
      <w:r>
        <w:rPr>
          <w:rFonts w:cs="Arial" w:hint="cs"/>
          <w:rtl/>
        </w:rPr>
        <w:t>, ב"י.</w:t>
      </w:r>
      <w:r>
        <w:rPr>
          <w:rFonts w:hint="cs"/>
          <w:rtl/>
        </w:rPr>
        <w:t xml:space="preserve"> ופסק הח"מ (סקי"ג) </w:t>
      </w:r>
      <w:r>
        <w:rPr>
          <w:rFonts w:cs="Arial" w:hint="cs"/>
          <w:rtl/>
        </w:rPr>
        <w:t>ש</w:t>
      </w:r>
      <w:r w:rsidRPr="0020236E">
        <w:rPr>
          <w:rFonts w:cs="Arial"/>
          <w:rtl/>
        </w:rPr>
        <w:t>שני הפירושים עולים להלכה דהכל בכלל קולני</w:t>
      </w:r>
      <w:r>
        <w:rPr>
          <w:rFonts w:cs="Arial" w:hint="cs"/>
          <w:rtl/>
        </w:rPr>
        <w:t>ת</w:t>
      </w:r>
      <w:r w:rsidRPr="0020236E">
        <w:rPr>
          <w:rFonts w:cs="Arial"/>
          <w:rtl/>
        </w:rPr>
        <w:t xml:space="preserve"> שאמרו שם בגמר</w:t>
      </w:r>
      <w:r>
        <w:rPr>
          <w:rFonts w:cs="Arial" w:hint="cs"/>
          <w:rtl/>
        </w:rPr>
        <w:t>א</w:t>
      </w:r>
      <w:r w:rsidRPr="0020236E">
        <w:rPr>
          <w:rFonts w:cs="Arial"/>
          <w:rtl/>
        </w:rPr>
        <w:t xml:space="preserve"> ואין זה דת יהודי</w:t>
      </w:r>
      <w:r>
        <w:rPr>
          <w:rFonts w:cs="Arial" w:hint="cs"/>
          <w:rtl/>
        </w:rPr>
        <w:t>ת.</w:t>
      </w:r>
    </w:p>
  </w:footnote>
  <w:footnote w:id="2818">
    <w:p w14:paraId="390F27AF" w14:textId="59D920D8" w:rsidR="00392DBB" w:rsidRPr="00BC622F" w:rsidRDefault="00392DBB" w:rsidP="00392DBB">
      <w:pPr>
        <w:pStyle w:val="a5"/>
        <w:rPr>
          <w:color w:val="000000" w:themeColor="text1"/>
        </w:rPr>
      </w:pPr>
      <w:r>
        <w:rPr>
          <w:rStyle w:val="a7"/>
        </w:rPr>
        <w:footnoteRef/>
      </w:r>
      <w:r>
        <w:rPr>
          <w:rtl/>
        </w:rPr>
        <w:t xml:space="preserve"> </w:t>
      </w:r>
      <w:r>
        <w:rPr>
          <w:rFonts w:cs="Arial"/>
          <w:rtl/>
        </w:rPr>
        <w:t>ופי' הר"ן (לב: ד"ה דאורייתא) אהא דאמרינן אם כן לא הנחת בת לאברהם אבינו כלומר אם כן דאמר רבי יוחנן דקלתה אין בו משום פריעת הראש</w:t>
      </w:r>
      <w:r>
        <w:rPr>
          <w:rFonts w:cs="Arial" w:hint="cs"/>
          <w:rtl/>
        </w:rPr>
        <w:t>,</w:t>
      </w:r>
      <w:r>
        <w:rPr>
          <w:rFonts w:cs="Arial"/>
          <w:rtl/>
        </w:rPr>
        <w:t xml:space="preserve"> משמע דבלא קלתה מיהא יש בה משום פריעת הראש</w:t>
      </w:r>
      <w:r>
        <w:rPr>
          <w:rFonts w:cs="Arial" w:hint="cs"/>
          <w:rtl/>
        </w:rPr>
        <w:t>,</w:t>
      </w:r>
      <w:r>
        <w:rPr>
          <w:rFonts w:cs="Arial"/>
          <w:rtl/>
        </w:rPr>
        <w:t xml:space="preserve"> ואם כן </w:t>
      </w:r>
      <w:r>
        <w:rPr>
          <w:rFonts w:cs="Arial" w:hint="cs"/>
          <w:rtl/>
        </w:rPr>
        <w:t xml:space="preserve">- </w:t>
      </w:r>
      <w:r>
        <w:rPr>
          <w:rFonts w:cs="Arial"/>
          <w:rtl/>
        </w:rPr>
        <w:t>כולהי נפקן</w:t>
      </w:r>
      <w:r>
        <w:rPr>
          <w:rFonts w:cs="Arial" w:hint="cs"/>
          <w:rtl/>
        </w:rPr>
        <w:t>,</w:t>
      </w:r>
      <w:r>
        <w:rPr>
          <w:rFonts w:cs="Arial"/>
          <w:rtl/>
        </w:rPr>
        <w:t xml:space="preserve"> שאין אשה נזהרת בחצרה</w:t>
      </w:r>
      <w:r>
        <w:rPr>
          <w:rFonts w:cs="Arial" w:hint="cs"/>
          <w:rtl/>
        </w:rPr>
        <w:t>.</w:t>
      </w:r>
      <w:r>
        <w:rPr>
          <w:rFonts w:cs="Arial"/>
          <w:rtl/>
        </w:rPr>
        <w:t xml:space="preserve"> ומשנינן מחצר לחצר ודרך מבוי דלא שכיחי בה רבים עכ"ל</w:t>
      </w:r>
      <w:r>
        <w:rPr>
          <w:rFonts w:cs="Arial" w:hint="cs"/>
          <w:rtl/>
        </w:rPr>
        <w:t>.</w:t>
      </w:r>
      <w:r>
        <w:rPr>
          <w:rFonts w:cs="Arial"/>
          <w:rtl/>
        </w:rPr>
        <w:t xml:space="preserve"> נראה מדבריו בהדיא שיוצאה לחצר פרועת הראש ממש לית לן בה</w:t>
      </w:r>
      <w:r>
        <w:rPr>
          <w:rFonts w:cs="Arial" w:hint="cs"/>
          <w:rtl/>
        </w:rPr>
        <w:t>.</w:t>
      </w:r>
      <w:r>
        <w:rPr>
          <w:rFonts w:cs="Arial"/>
          <w:rtl/>
        </w:rPr>
        <w:t xml:space="preserve"> וכן נראה מדברי רש"י </w:t>
      </w:r>
      <w:r w:rsidRPr="00F84984">
        <w:rPr>
          <w:rFonts w:cs="Arial"/>
          <w:sz w:val="16"/>
          <w:szCs w:val="16"/>
          <w:rtl/>
        </w:rPr>
        <w:t>(עב: ד"ה א"כ</w:t>
      </w:r>
      <w:r>
        <w:rPr>
          <w:rFonts w:cs="Arial" w:hint="cs"/>
          <w:sz w:val="16"/>
          <w:szCs w:val="16"/>
          <w:rtl/>
        </w:rPr>
        <w:t>, וכן פירש הריטב"א [עב:] את דברי רש"י</w:t>
      </w:r>
      <w:r w:rsidRPr="00F84984">
        <w:rPr>
          <w:rFonts w:cs="Arial"/>
          <w:sz w:val="16"/>
          <w:szCs w:val="16"/>
          <w:rtl/>
        </w:rPr>
        <w:t>)</w:t>
      </w:r>
      <w:r>
        <w:rPr>
          <w:rFonts w:cs="Arial" w:hint="cs"/>
          <w:rtl/>
        </w:rPr>
        <w:t>.</w:t>
      </w:r>
      <w:r>
        <w:rPr>
          <w:rFonts w:cs="Arial"/>
          <w:rtl/>
        </w:rPr>
        <w:t xml:space="preserve"> ויש לתמוה על רבינו שכתב </w:t>
      </w:r>
      <w:r>
        <w:rPr>
          <w:rFonts w:cs="Arial" w:hint="cs"/>
          <w:rtl/>
        </w:rPr>
        <w:t>'</w:t>
      </w:r>
      <w:r>
        <w:rPr>
          <w:rFonts w:cs="Arial"/>
          <w:rtl/>
        </w:rPr>
        <w:t>אבל במבוי שאינו מפולש וחצר שאין הרבים בוקעין בו לא תצא</w:t>
      </w:r>
      <w:r>
        <w:rPr>
          <w:rFonts w:cs="Arial" w:hint="cs"/>
          <w:rtl/>
        </w:rPr>
        <w:t>'</w:t>
      </w:r>
      <w:r>
        <w:rPr>
          <w:rFonts w:cs="Arial"/>
          <w:rtl/>
        </w:rPr>
        <w:t xml:space="preserve"> דמשמע לא תצא מבעלה ע"י כך אע"פ שהוא דבר שאינו הגון</w:t>
      </w:r>
      <w:r>
        <w:rPr>
          <w:rFonts w:cs="Arial" w:hint="cs"/>
          <w:rtl/>
        </w:rPr>
        <w:t xml:space="preserve"> -</w:t>
      </w:r>
      <w:r>
        <w:rPr>
          <w:rFonts w:cs="Arial"/>
          <w:rtl/>
        </w:rPr>
        <w:t xml:space="preserve"> והא בחצר אפילו פרועת הראש ממש לית לן בה</w:t>
      </w:r>
      <w:r>
        <w:rPr>
          <w:rFonts w:cs="Arial" w:hint="cs"/>
          <w:rtl/>
        </w:rPr>
        <w:t>!</w:t>
      </w:r>
      <w:r>
        <w:rPr>
          <w:rFonts w:cs="Arial"/>
          <w:rtl/>
        </w:rPr>
        <w:t xml:space="preserve"> ובמבוי שאינו מפולש נמי בקלתה מיהא לית לן בה</w:t>
      </w:r>
      <w:r>
        <w:rPr>
          <w:rFonts w:cs="Arial" w:hint="cs"/>
          <w:rtl/>
        </w:rPr>
        <w:t>, ב"י.</w:t>
      </w:r>
      <w:r w:rsidRPr="00026E9E">
        <w:rPr>
          <w:rFonts w:cs="Arial"/>
          <w:rtl/>
        </w:rPr>
        <w:t xml:space="preserve"> </w:t>
      </w:r>
      <w:r>
        <w:rPr>
          <w:rFonts w:cs="Arial" w:hint="cs"/>
          <w:color w:val="E36C0A" w:themeColor="accent6" w:themeShade="BF"/>
          <w:rtl/>
        </w:rPr>
        <w:t>(</w:t>
      </w:r>
      <w:r w:rsidRPr="00C847DB">
        <w:rPr>
          <w:rFonts w:cs="Arial" w:hint="cs"/>
          <w:color w:val="E36C0A" w:themeColor="accent6" w:themeShade="BF"/>
          <w:rtl/>
        </w:rPr>
        <w:t>וכ"פ בשו"ע</w:t>
      </w:r>
      <w:r>
        <w:rPr>
          <w:rFonts w:cs="Arial" w:hint="cs"/>
          <w:color w:val="E36C0A" w:themeColor="accent6" w:themeShade="BF"/>
          <w:sz w:val="16"/>
          <w:szCs w:val="16"/>
          <w:rtl/>
        </w:rPr>
        <w:t xml:space="preserve"> </w:t>
      </w:r>
      <w:r w:rsidRPr="000E0B7F">
        <w:rPr>
          <w:rFonts w:cs="Arial" w:hint="cs"/>
          <w:color w:val="000000" w:themeColor="text1"/>
          <w:sz w:val="16"/>
          <w:szCs w:val="16"/>
          <w:rtl/>
        </w:rPr>
        <w:t>[כאן ובסי' כא ס"ב]</w:t>
      </w:r>
      <w:r>
        <w:rPr>
          <w:rFonts w:cs="Arial" w:hint="cs"/>
          <w:color w:val="E36C0A" w:themeColor="accent6" w:themeShade="BF"/>
          <w:rtl/>
        </w:rPr>
        <w:t>)</w:t>
      </w:r>
      <w:r>
        <w:rPr>
          <w:rFonts w:cs="Arial" w:hint="cs"/>
          <w:rtl/>
        </w:rPr>
        <w:t xml:space="preserve"> וכ"כ התוס' </w:t>
      </w:r>
      <w:r w:rsidRPr="000A7218">
        <w:rPr>
          <w:rFonts w:cs="Arial" w:hint="cs"/>
          <w:sz w:val="16"/>
          <w:szCs w:val="16"/>
          <w:rtl/>
        </w:rPr>
        <w:t>(עב: ד"ה ואלא בחצר, וצל"ע מדוע הב"י לא הביאו)</w:t>
      </w:r>
      <w:r>
        <w:rPr>
          <w:rFonts w:cs="Arial" w:hint="cs"/>
          <w:rtl/>
        </w:rPr>
        <w:t xml:space="preserve"> דבחצר אפילו בלא קלתה נמי אין בה משום פריעת ראש. וכתב הדרכ"מ </w:t>
      </w:r>
      <w:r w:rsidRPr="00F84984">
        <w:rPr>
          <w:rFonts w:cs="Arial"/>
          <w:sz w:val="16"/>
          <w:szCs w:val="16"/>
          <w:rtl/>
        </w:rPr>
        <w:t>(</w:t>
      </w:r>
      <w:r w:rsidRPr="00F84984">
        <w:rPr>
          <w:rFonts w:cs="Arial" w:hint="cs"/>
          <w:sz w:val="16"/>
          <w:szCs w:val="16"/>
          <w:rtl/>
        </w:rPr>
        <w:t xml:space="preserve">אות </w:t>
      </w:r>
      <w:r w:rsidRPr="00F84984">
        <w:rPr>
          <w:rFonts w:cs="Arial"/>
          <w:sz w:val="16"/>
          <w:szCs w:val="16"/>
          <w:rtl/>
        </w:rPr>
        <w:t>ד)</w:t>
      </w:r>
      <w:r>
        <w:rPr>
          <w:rFonts w:cs="Arial" w:hint="cs"/>
          <w:rtl/>
        </w:rPr>
        <w:t xml:space="preserve">- </w:t>
      </w:r>
      <w:r w:rsidRPr="00026E9E">
        <w:rPr>
          <w:rFonts w:cs="Arial"/>
          <w:rtl/>
        </w:rPr>
        <w:t>ולי נראה דודאי אף רבינו בעל הטור מודה לדבר זה, וכ"כ לעיל סימן כ"א דאין איסור ללכת בפריעת ראש אלא דוקא בשוק</w:t>
      </w:r>
      <w:r>
        <w:rPr>
          <w:rFonts w:cs="Arial" w:hint="cs"/>
          <w:rtl/>
        </w:rPr>
        <w:t>.</w:t>
      </w:r>
      <w:r w:rsidRPr="00026E9E">
        <w:rPr>
          <w:rFonts w:cs="Arial"/>
          <w:rtl/>
        </w:rPr>
        <w:t xml:space="preserve"> ולא נקט כאן </w:t>
      </w:r>
      <w:r>
        <w:rPr>
          <w:rFonts w:cs="Arial" w:hint="cs"/>
          <w:rtl/>
        </w:rPr>
        <w:t>'</w:t>
      </w:r>
      <w:r w:rsidRPr="00026E9E">
        <w:rPr>
          <w:rFonts w:cs="Arial"/>
          <w:rtl/>
        </w:rPr>
        <w:t>לא תצא</w:t>
      </w:r>
      <w:r>
        <w:rPr>
          <w:rFonts w:cs="Arial" w:hint="cs"/>
          <w:rtl/>
        </w:rPr>
        <w:t>'</w:t>
      </w:r>
      <w:r w:rsidRPr="00026E9E">
        <w:rPr>
          <w:rFonts w:cs="Arial"/>
          <w:rtl/>
        </w:rPr>
        <w:t xml:space="preserve"> אלא למידק מינה דצניעות מיהא הוי ששום אשה לא תראה שערה כלל אפילו בבית</w:t>
      </w:r>
      <w:r>
        <w:rPr>
          <w:rFonts w:cs="Arial" w:hint="cs"/>
          <w:rtl/>
        </w:rPr>
        <w:t>.</w:t>
      </w:r>
      <w:r w:rsidRPr="00026E9E">
        <w:rPr>
          <w:rFonts w:cs="Arial"/>
          <w:rtl/>
        </w:rPr>
        <w:t xml:space="preserve"> וכמו שמצינו במעשה דקמחית </w:t>
      </w:r>
      <w:r w:rsidRPr="00F84984">
        <w:rPr>
          <w:rFonts w:cs="Arial"/>
          <w:sz w:val="16"/>
          <w:szCs w:val="16"/>
          <w:rtl/>
        </w:rPr>
        <w:t>(יומא מז</w:t>
      </w:r>
      <w:r w:rsidRPr="00F84984">
        <w:rPr>
          <w:rFonts w:cs="Arial" w:hint="cs"/>
          <w:sz w:val="16"/>
          <w:szCs w:val="16"/>
          <w:rtl/>
        </w:rPr>
        <w:t>.</w:t>
      </w:r>
      <w:r w:rsidRPr="00F84984">
        <w:rPr>
          <w:rFonts w:cs="Arial"/>
          <w:sz w:val="16"/>
          <w:szCs w:val="16"/>
          <w:rtl/>
        </w:rPr>
        <w:t xml:space="preserve">) </w:t>
      </w:r>
      <w:r w:rsidRPr="00026E9E">
        <w:rPr>
          <w:rFonts w:cs="Arial"/>
          <w:rtl/>
        </w:rPr>
        <w:t>שזכתה משום זה שיצאו ממנה כהנים גדולים</w:t>
      </w:r>
      <w:r>
        <w:rPr>
          <w:rFonts w:cs="Arial" w:hint="cs"/>
          <w:rtl/>
        </w:rPr>
        <w:t>.</w:t>
      </w:r>
      <w:r>
        <w:rPr>
          <w:rFonts w:hint="cs"/>
          <w:rtl/>
        </w:rPr>
        <w:t xml:space="preserve"> עכ"ל הדרכ"מ. ואפ"ל שהטור כתב כן כי מדובר כאן על לצאת בלא כתובה. אבל לעניין איסור או היתר יעיין אדם בסי' כא. </w:t>
      </w:r>
      <w:r w:rsidRPr="004F2529">
        <w:rPr>
          <w:rFonts w:hint="cs"/>
          <w:color w:val="000000" w:themeColor="text1"/>
          <w:rtl/>
        </w:rPr>
        <w:t>אמנם הסמ</w:t>
      </w:r>
      <w:r>
        <w:rPr>
          <w:rFonts w:hint="cs"/>
          <w:color w:val="000000" w:themeColor="text1"/>
          <w:rtl/>
        </w:rPr>
        <w:t>"</w:t>
      </w:r>
      <w:r w:rsidRPr="004F2529">
        <w:rPr>
          <w:rFonts w:hint="cs"/>
          <w:color w:val="000000" w:themeColor="text1"/>
          <w:rtl/>
        </w:rPr>
        <w:t xml:space="preserve">ג </w:t>
      </w:r>
      <w:r>
        <w:rPr>
          <w:rFonts w:hint="cs"/>
          <w:color w:val="000000" w:themeColor="text1"/>
          <w:sz w:val="16"/>
          <w:szCs w:val="16"/>
          <w:rtl/>
        </w:rPr>
        <w:t xml:space="preserve">(עשין מח קכח ע"א) </w:t>
      </w:r>
      <w:r w:rsidRPr="004F2529">
        <w:rPr>
          <w:rFonts w:hint="cs"/>
          <w:color w:val="000000" w:themeColor="text1"/>
          <w:rtl/>
        </w:rPr>
        <w:t xml:space="preserve">והשלט"ג </w:t>
      </w:r>
      <w:r>
        <w:rPr>
          <w:rFonts w:hint="cs"/>
          <w:color w:val="000000" w:themeColor="text1"/>
          <w:sz w:val="16"/>
          <w:szCs w:val="16"/>
          <w:rtl/>
        </w:rPr>
        <w:t xml:space="preserve">(לב: מדפה"ר אות ב) </w:t>
      </w:r>
      <w:r w:rsidRPr="004F2529">
        <w:rPr>
          <w:rFonts w:hint="cs"/>
          <w:color w:val="000000" w:themeColor="text1"/>
          <w:rtl/>
        </w:rPr>
        <w:t xml:space="preserve">פסקו כדמשמע מהירושלמי שלחצרה אסור בלי קלתה. ועיין בב"ש (סק"ט) המובא בסמוך על דברי </w:t>
      </w:r>
      <w:r w:rsidRPr="00BC622F">
        <w:rPr>
          <w:rFonts w:hint="cs"/>
          <w:color w:val="000000" w:themeColor="text1"/>
          <w:rtl/>
        </w:rPr>
        <w:t>השו"ע.</w:t>
      </w:r>
      <w:r w:rsidRPr="00BC622F">
        <w:rPr>
          <w:rFonts w:hint="cs"/>
          <w:color w:val="000000" w:themeColor="text1"/>
          <w:sz w:val="16"/>
          <w:szCs w:val="16"/>
          <w:rtl/>
        </w:rPr>
        <w:t xml:space="preserve"> (ונראה שכל הדיון הזה הוא כשאין רואים את האשה כשהיא בחצרה/בביתה בלי כיסוי, אבל אם אנשים רואים את האשה ללא קלתה </w:t>
      </w:r>
      <w:r w:rsidR="00F97626">
        <w:rPr>
          <w:color w:val="000000" w:themeColor="text1"/>
          <w:sz w:val="16"/>
          <w:szCs w:val="16"/>
          <w:rtl/>
        </w:rPr>
        <w:t>-</w:t>
      </w:r>
      <w:r w:rsidRPr="00BC622F">
        <w:rPr>
          <w:rFonts w:hint="cs"/>
          <w:color w:val="000000" w:themeColor="text1"/>
          <w:sz w:val="16"/>
          <w:szCs w:val="16"/>
          <w:rtl/>
        </w:rPr>
        <w:t xml:space="preserve"> אסור. וכ"כ הריטב"א (עב:) </w:t>
      </w:r>
      <w:r w:rsidR="0061020A">
        <w:rPr>
          <w:rFonts w:hint="cs"/>
          <w:color w:val="000000" w:themeColor="text1"/>
          <w:sz w:val="16"/>
          <w:szCs w:val="16"/>
          <w:rtl/>
        </w:rPr>
        <w:t>וז</w:t>
      </w:r>
      <w:r w:rsidR="0061020A">
        <w:rPr>
          <w:color w:val="000000" w:themeColor="text1"/>
          <w:sz w:val="16"/>
          <w:szCs w:val="16"/>
          <w:rtl/>
        </w:rPr>
        <w:t>"</w:t>
      </w:r>
      <w:r w:rsidR="0061020A">
        <w:rPr>
          <w:rFonts w:hint="cs"/>
          <w:color w:val="000000" w:themeColor="text1"/>
          <w:sz w:val="16"/>
          <w:szCs w:val="16"/>
          <w:rtl/>
        </w:rPr>
        <w:t>ל:</w:t>
      </w:r>
      <w:r w:rsidRPr="00BC622F">
        <w:rPr>
          <w:rFonts w:hint="cs"/>
          <w:color w:val="000000" w:themeColor="text1"/>
          <w:sz w:val="16"/>
          <w:szCs w:val="16"/>
          <w:rtl/>
        </w:rPr>
        <w:t xml:space="preserve"> </w:t>
      </w:r>
      <w:r w:rsidRPr="00BC622F">
        <w:rPr>
          <w:rFonts w:cs="Arial"/>
          <w:color w:val="000000" w:themeColor="text1"/>
          <w:sz w:val="16"/>
          <w:szCs w:val="16"/>
          <w:rtl/>
        </w:rPr>
        <w:t>הולכות בחצרן בפרוע ראש כיון שאין שם רואין</w:t>
      </w:r>
      <w:r w:rsidRPr="00BC622F">
        <w:rPr>
          <w:rFonts w:cs="Arial" w:hint="cs"/>
          <w:color w:val="000000" w:themeColor="text1"/>
          <w:sz w:val="16"/>
          <w:szCs w:val="16"/>
          <w:rtl/>
        </w:rPr>
        <w:t>. וכ"כ הבא"ט (סק"ט) בשם כנה"ג בשם מ"ץ)</w:t>
      </w:r>
    </w:p>
  </w:footnote>
  <w:footnote w:id="2819">
    <w:p w14:paraId="157236D9" w14:textId="77777777" w:rsidR="00392DBB" w:rsidRDefault="00392DBB" w:rsidP="00392DBB">
      <w:pPr>
        <w:pStyle w:val="a5"/>
        <w:rPr>
          <w:rtl/>
        </w:rPr>
      </w:pPr>
      <w:r>
        <w:rPr>
          <w:rStyle w:val="a7"/>
        </w:rPr>
        <w:footnoteRef/>
      </w:r>
      <w:r>
        <w:rPr>
          <w:rtl/>
        </w:rPr>
        <w:t xml:space="preserve"> </w:t>
      </w:r>
      <w:r>
        <w:rPr>
          <w:rFonts w:cs="Arial"/>
          <w:rtl/>
        </w:rPr>
        <w:t xml:space="preserve">וכן המדברת והמשחקת עם הבחורים. שם (עב.) במשנה גבי דת יהודית קתני </w:t>
      </w:r>
      <w:r>
        <w:rPr>
          <w:rFonts w:cs="Arial" w:hint="cs"/>
          <w:rtl/>
        </w:rPr>
        <w:t>'</w:t>
      </w:r>
      <w:r>
        <w:rPr>
          <w:rFonts w:cs="Arial"/>
          <w:rtl/>
        </w:rPr>
        <w:t>מדברת עם כל אדם</w:t>
      </w:r>
      <w:r>
        <w:rPr>
          <w:rFonts w:cs="Arial" w:hint="cs"/>
          <w:rtl/>
        </w:rPr>
        <w:t>'.</w:t>
      </w:r>
      <w:r>
        <w:rPr>
          <w:rFonts w:cs="Arial"/>
          <w:rtl/>
        </w:rPr>
        <w:t xml:space="preserve"> ובגמרא (עב:) </w:t>
      </w:r>
      <w:r>
        <w:rPr>
          <w:rFonts w:cs="Arial" w:hint="cs"/>
          <w:rtl/>
        </w:rPr>
        <w:t>'</w:t>
      </w:r>
      <w:r>
        <w:rPr>
          <w:rFonts w:cs="Arial"/>
          <w:rtl/>
        </w:rPr>
        <w:t>אמר רב יהודה אמר שמואל במשחקת עם הבחורים</w:t>
      </w:r>
      <w:r>
        <w:rPr>
          <w:rFonts w:cs="Arial" w:hint="cs"/>
          <w:rtl/>
        </w:rPr>
        <w:t>'.</w:t>
      </w:r>
      <w:r>
        <w:rPr>
          <w:rFonts w:cs="Arial"/>
          <w:rtl/>
        </w:rPr>
        <w:t xml:space="preserve"> וכיון שכן לא ה"ל לרבינו לכתוב </w:t>
      </w:r>
      <w:r>
        <w:rPr>
          <w:rFonts w:cs="Arial" w:hint="cs"/>
          <w:rtl/>
        </w:rPr>
        <w:t>'</w:t>
      </w:r>
      <w:r>
        <w:rPr>
          <w:rFonts w:cs="Arial"/>
          <w:rtl/>
        </w:rPr>
        <w:t>מדברת</w:t>
      </w:r>
      <w:r>
        <w:rPr>
          <w:rFonts w:cs="Arial" w:hint="cs"/>
          <w:rtl/>
        </w:rPr>
        <w:t>'.</w:t>
      </w:r>
      <w:r>
        <w:rPr>
          <w:rFonts w:cs="Arial"/>
          <w:rtl/>
        </w:rPr>
        <w:t xml:space="preserve"> וכן הרמב"ם בפכ"ד (שם) לא הזכירו</w:t>
      </w:r>
      <w:r>
        <w:rPr>
          <w:rFonts w:cs="Arial" w:hint="cs"/>
          <w:rtl/>
        </w:rPr>
        <w:t>.</w:t>
      </w:r>
      <w:r>
        <w:rPr>
          <w:rFonts w:cs="Arial"/>
          <w:rtl/>
        </w:rPr>
        <w:t xml:space="preserve"> ואיפשר שרצה רבינו לתפוס לשון המשנה</w:t>
      </w:r>
      <w:r>
        <w:rPr>
          <w:rFonts w:cs="Arial" w:hint="cs"/>
          <w:rtl/>
        </w:rPr>
        <w:t>.</w:t>
      </w:r>
      <w:r>
        <w:rPr>
          <w:rFonts w:cs="Arial"/>
          <w:rtl/>
        </w:rPr>
        <w:t xml:space="preserve"> ומכל מקום מה שכתב </w:t>
      </w:r>
      <w:r>
        <w:rPr>
          <w:rFonts w:cs="Arial" w:hint="cs"/>
          <w:rtl/>
        </w:rPr>
        <w:t>'</w:t>
      </w:r>
      <w:r>
        <w:rPr>
          <w:rFonts w:cs="Arial"/>
          <w:rtl/>
        </w:rPr>
        <w:t>והמשחקת</w:t>
      </w:r>
      <w:r>
        <w:rPr>
          <w:rFonts w:cs="Arial" w:hint="cs"/>
          <w:rtl/>
        </w:rPr>
        <w:t>'</w:t>
      </w:r>
      <w:r>
        <w:rPr>
          <w:rFonts w:cs="Arial"/>
          <w:rtl/>
        </w:rPr>
        <w:t xml:space="preserve"> טעות סופר הוא</w:t>
      </w:r>
      <w:r>
        <w:rPr>
          <w:rFonts w:cs="Arial" w:hint="cs"/>
          <w:rtl/>
        </w:rPr>
        <w:t>,</w:t>
      </w:r>
      <w:r>
        <w:rPr>
          <w:rFonts w:cs="Arial"/>
          <w:rtl/>
        </w:rPr>
        <w:t xml:space="preserve"> דמשמע דתרתי מילי נינהו</w:t>
      </w:r>
      <w:r>
        <w:rPr>
          <w:rFonts w:cs="Arial" w:hint="cs"/>
          <w:rtl/>
        </w:rPr>
        <w:t>,</w:t>
      </w:r>
      <w:r>
        <w:rPr>
          <w:rFonts w:cs="Arial"/>
          <w:rtl/>
        </w:rPr>
        <w:t xml:space="preserve"> וליתא</w:t>
      </w:r>
      <w:r>
        <w:rPr>
          <w:rFonts w:cs="Arial" w:hint="cs"/>
          <w:rtl/>
        </w:rPr>
        <w:t>.</w:t>
      </w:r>
      <w:r>
        <w:rPr>
          <w:rFonts w:cs="Arial"/>
          <w:rtl/>
        </w:rPr>
        <w:t xml:space="preserve"> הילכך יש להגיה </w:t>
      </w:r>
      <w:r>
        <w:rPr>
          <w:rFonts w:cs="Arial" w:hint="cs"/>
          <w:rtl/>
        </w:rPr>
        <w:t>'</w:t>
      </w:r>
      <w:r>
        <w:rPr>
          <w:rFonts w:cs="Arial"/>
          <w:rtl/>
        </w:rPr>
        <w:t>ומשחקת</w:t>
      </w:r>
      <w:r>
        <w:rPr>
          <w:rFonts w:cs="Arial" w:hint="cs"/>
          <w:rtl/>
        </w:rPr>
        <w:t>'</w:t>
      </w:r>
      <w:r>
        <w:rPr>
          <w:rFonts w:hint="cs"/>
          <w:rtl/>
        </w:rPr>
        <w:t>, ב"י.</w:t>
      </w:r>
    </w:p>
  </w:footnote>
  <w:footnote w:id="2820">
    <w:p w14:paraId="638FED26" w14:textId="4BA62276" w:rsidR="00210907" w:rsidRDefault="00210907" w:rsidP="00210907">
      <w:pPr>
        <w:pStyle w:val="a5"/>
        <w:rPr>
          <w:rtl/>
        </w:rPr>
      </w:pPr>
      <w:r>
        <w:rPr>
          <w:rStyle w:val="a7"/>
        </w:rPr>
        <w:footnoteRef/>
      </w:r>
      <w:r>
        <w:rPr>
          <w:rtl/>
        </w:rPr>
        <w:t xml:space="preserve"> </w:t>
      </w:r>
      <w:r>
        <w:rPr>
          <w:rFonts w:hint="cs"/>
          <w:rtl/>
        </w:rPr>
        <w:t xml:space="preserve">סימן - </w:t>
      </w:r>
      <w:r w:rsidR="003C78F1">
        <w:rPr>
          <w:rFonts w:hint="cs"/>
          <w:rtl/>
        </w:rPr>
        <w:t>התראת כתובה.</w:t>
      </w:r>
    </w:p>
  </w:footnote>
  <w:footnote w:id="2821">
    <w:p w14:paraId="59AEE73E" w14:textId="77777777" w:rsidR="00392DBB" w:rsidRDefault="00392DBB" w:rsidP="00392DBB">
      <w:pPr>
        <w:pStyle w:val="a5"/>
        <w:rPr>
          <w:rtl/>
        </w:rPr>
      </w:pPr>
      <w:r>
        <w:rPr>
          <w:rStyle w:val="a7"/>
        </w:rPr>
        <w:footnoteRef/>
      </w:r>
      <w:r>
        <w:rPr>
          <w:rtl/>
        </w:rPr>
        <w:t xml:space="preserve"> </w:t>
      </w:r>
      <w:r w:rsidRPr="00853310">
        <w:rPr>
          <w:rFonts w:cs="Arial"/>
          <w:rtl/>
        </w:rPr>
        <w:t>מכלל דאי לא אתרו בה לא מפסדא</w:t>
      </w:r>
      <w:r>
        <w:rPr>
          <w:rFonts w:hint="cs"/>
          <w:rtl/>
        </w:rPr>
        <w:t>, רש"י.</w:t>
      </w:r>
    </w:p>
  </w:footnote>
  <w:footnote w:id="2822">
    <w:p w14:paraId="25EA0925" w14:textId="77777777" w:rsidR="00392DBB" w:rsidRDefault="00392DBB" w:rsidP="00392DBB">
      <w:pPr>
        <w:pStyle w:val="a5"/>
      </w:pPr>
      <w:r>
        <w:rPr>
          <w:rStyle w:val="a7"/>
        </w:rPr>
        <w:footnoteRef/>
      </w:r>
      <w:r>
        <w:rPr>
          <w:rtl/>
        </w:rPr>
        <w:t xml:space="preserve"> </w:t>
      </w:r>
      <w:r w:rsidRPr="00133020">
        <w:rPr>
          <w:rFonts w:cs="Arial"/>
          <w:rtl/>
        </w:rPr>
        <w:t xml:space="preserve">משמע מכל הפוסקים </w:t>
      </w:r>
      <w:r>
        <w:rPr>
          <w:rFonts w:cs="Arial" w:hint="cs"/>
          <w:rtl/>
        </w:rPr>
        <w:t>ד</w:t>
      </w:r>
      <w:r w:rsidRPr="00133020">
        <w:rPr>
          <w:rFonts w:cs="Arial"/>
          <w:rtl/>
        </w:rPr>
        <w:t>עוברת על דת</w:t>
      </w:r>
      <w:r>
        <w:rPr>
          <w:rFonts w:cs="Arial" w:hint="cs"/>
          <w:rtl/>
        </w:rPr>
        <w:t>,</w:t>
      </w:r>
      <w:r w:rsidRPr="00133020">
        <w:rPr>
          <w:rFonts w:cs="Arial"/>
          <w:rtl/>
        </w:rPr>
        <w:t xml:space="preserve"> הן ד</w:t>
      </w:r>
      <w:r>
        <w:rPr>
          <w:rFonts w:cs="Arial" w:hint="cs"/>
          <w:rtl/>
        </w:rPr>
        <w:t xml:space="preserve">ת </w:t>
      </w:r>
      <w:r w:rsidRPr="00133020">
        <w:rPr>
          <w:rFonts w:cs="Arial"/>
          <w:rtl/>
        </w:rPr>
        <w:t>מ</w:t>
      </w:r>
      <w:r>
        <w:rPr>
          <w:rFonts w:cs="Arial" w:hint="cs"/>
          <w:rtl/>
        </w:rPr>
        <w:t>שה,</w:t>
      </w:r>
      <w:r w:rsidRPr="00133020">
        <w:rPr>
          <w:rFonts w:cs="Arial"/>
          <w:rtl/>
        </w:rPr>
        <w:t xml:space="preserve"> הן ד</w:t>
      </w:r>
      <w:r>
        <w:rPr>
          <w:rFonts w:cs="Arial" w:hint="cs"/>
          <w:rtl/>
        </w:rPr>
        <w:t>ת יהודית -</w:t>
      </w:r>
      <w:r w:rsidRPr="00133020">
        <w:rPr>
          <w:rFonts w:cs="Arial"/>
          <w:rtl/>
        </w:rPr>
        <w:t xml:space="preserve"> צריכה התראה</w:t>
      </w:r>
      <w:r>
        <w:rPr>
          <w:rFonts w:cs="Arial" w:hint="cs"/>
          <w:rtl/>
        </w:rPr>
        <w:t>.</w:t>
      </w:r>
      <w:r w:rsidRPr="00133020">
        <w:rPr>
          <w:rFonts w:cs="Arial"/>
          <w:rtl/>
        </w:rPr>
        <w:t xml:space="preserve"> אלא רש"י בסוטה </w:t>
      </w:r>
      <w:r>
        <w:rPr>
          <w:rFonts w:cs="Arial" w:hint="cs"/>
          <w:rtl/>
        </w:rPr>
        <w:t>(</w:t>
      </w:r>
      <w:r w:rsidRPr="00133020">
        <w:rPr>
          <w:rFonts w:cs="Arial"/>
          <w:rtl/>
        </w:rPr>
        <w:t>כה</w:t>
      </w:r>
      <w:r>
        <w:rPr>
          <w:rFonts w:cs="Arial" w:hint="cs"/>
          <w:rtl/>
        </w:rPr>
        <w:t>.)</w:t>
      </w:r>
      <w:r w:rsidRPr="00133020">
        <w:rPr>
          <w:rFonts w:cs="Arial"/>
          <w:rtl/>
        </w:rPr>
        <w:t xml:space="preserve"> פי' בבעי</w:t>
      </w:r>
      <w:r>
        <w:rPr>
          <w:rFonts w:cs="Arial" w:hint="cs"/>
          <w:rtl/>
        </w:rPr>
        <w:t>ה</w:t>
      </w:r>
      <w:r w:rsidRPr="00133020">
        <w:rPr>
          <w:rFonts w:cs="Arial"/>
          <w:rtl/>
        </w:rPr>
        <w:t xml:space="preserve"> זו אם צריכה התראה להפסיד הכתובה דאיירי דעוברת על ד</w:t>
      </w:r>
      <w:r>
        <w:rPr>
          <w:rFonts w:cs="Arial" w:hint="cs"/>
          <w:rtl/>
        </w:rPr>
        <w:t>ת יהודית.</w:t>
      </w:r>
      <w:r w:rsidRPr="00133020">
        <w:rPr>
          <w:rFonts w:cs="Arial"/>
          <w:rtl/>
        </w:rPr>
        <w:t xml:space="preserve"> משמע דס"ל אם היא עוברת על ד</w:t>
      </w:r>
      <w:r>
        <w:rPr>
          <w:rFonts w:cs="Arial" w:hint="cs"/>
          <w:rtl/>
        </w:rPr>
        <w:t>ת משה</w:t>
      </w:r>
      <w:r w:rsidRPr="00133020">
        <w:rPr>
          <w:rFonts w:cs="Arial"/>
          <w:rtl/>
        </w:rPr>
        <w:t xml:space="preserve"> </w:t>
      </w:r>
      <w:r>
        <w:rPr>
          <w:rFonts w:cs="Arial" w:hint="cs"/>
          <w:rtl/>
        </w:rPr>
        <w:t xml:space="preserve">- </w:t>
      </w:r>
      <w:r w:rsidRPr="00133020">
        <w:rPr>
          <w:rFonts w:cs="Arial"/>
          <w:rtl/>
        </w:rPr>
        <w:t>א"צ התראה כיון דכבר הכשילו וא"צ התראה בשעת מעשה</w:t>
      </w:r>
      <w:r>
        <w:rPr>
          <w:rFonts w:cs="Arial" w:hint="cs"/>
          <w:rtl/>
        </w:rPr>
        <w:t>.</w:t>
      </w:r>
      <w:r w:rsidRPr="00133020">
        <w:rPr>
          <w:rFonts w:cs="Arial"/>
          <w:rtl/>
        </w:rPr>
        <w:t xml:space="preserve"> וע' במ' ובהג"א</w:t>
      </w:r>
      <w:r>
        <w:rPr>
          <w:rFonts w:hint="cs"/>
          <w:rtl/>
        </w:rPr>
        <w:t>, ב"ש (סקי"ז).</w:t>
      </w:r>
      <w:r w:rsidRPr="00D63AD7">
        <w:rPr>
          <w:rFonts w:cs="Arial"/>
          <w:rtl/>
        </w:rPr>
        <w:t xml:space="preserve"> </w:t>
      </w:r>
      <w:r>
        <w:rPr>
          <w:rFonts w:cs="Arial"/>
          <w:rtl/>
        </w:rPr>
        <w:t xml:space="preserve">ועיין בתשו' נו"ב תניינא </w:t>
      </w:r>
      <w:r>
        <w:rPr>
          <w:rFonts w:cs="Arial" w:hint="cs"/>
          <w:rtl/>
        </w:rPr>
        <w:t>(</w:t>
      </w:r>
      <w:r>
        <w:rPr>
          <w:rFonts w:cs="Arial"/>
          <w:rtl/>
        </w:rPr>
        <w:t>סי' כו</w:t>
      </w:r>
      <w:r>
        <w:rPr>
          <w:rFonts w:cs="Arial" w:hint="cs"/>
          <w:rtl/>
        </w:rPr>
        <w:t>)</w:t>
      </w:r>
      <w:r>
        <w:rPr>
          <w:rFonts w:cs="Arial"/>
          <w:rtl/>
        </w:rPr>
        <w:t xml:space="preserve"> שכ' ובנדון עוברת על דת שצריכה התראה קשה לסמוך על דעת רש"י לחוד כו' (כמו שהובא לעיל </w:t>
      </w:r>
      <w:r>
        <w:rPr>
          <w:rFonts w:cs="Arial" w:hint="cs"/>
          <w:rtl/>
        </w:rPr>
        <w:t xml:space="preserve">בפת"ש </w:t>
      </w:r>
      <w:r>
        <w:rPr>
          <w:rFonts w:cs="Arial"/>
          <w:rtl/>
        </w:rPr>
        <w:t xml:space="preserve">סק"ג ועמ"ש שם). ועיין בתשו' שבו"י </w:t>
      </w:r>
      <w:r>
        <w:rPr>
          <w:rFonts w:cs="Arial" w:hint="cs"/>
          <w:rtl/>
        </w:rPr>
        <w:t>(</w:t>
      </w:r>
      <w:r>
        <w:rPr>
          <w:rFonts w:cs="Arial"/>
          <w:rtl/>
        </w:rPr>
        <w:t>ח"ג ס"ס קכז</w:t>
      </w:r>
      <w:r>
        <w:rPr>
          <w:rFonts w:cs="Arial" w:hint="cs"/>
          <w:rtl/>
        </w:rPr>
        <w:t>)</w:t>
      </w:r>
      <w:r>
        <w:rPr>
          <w:rFonts w:cs="Arial"/>
          <w:rtl/>
        </w:rPr>
        <w:t xml:space="preserve"> שכתב נלע"ד דאפילו נימא דכל עוברת על ד"מ צריכה התראה מ"מ משמשתו נדה שהוא דבר הידוע לכל הנשים אפילו שהיא עם הארץ גמורה מ"מ בשעת נישואין לומדים עמה קרובים ושכנים כיצד תזהר בנדת' </w:t>
      </w:r>
      <w:r>
        <w:rPr>
          <w:rFonts w:cs="Arial" w:hint="cs"/>
          <w:rtl/>
        </w:rPr>
        <w:t xml:space="preserve">- </w:t>
      </w:r>
      <w:r>
        <w:rPr>
          <w:rFonts w:cs="Arial"/>
          <w:rtl/>
        </w:rPr>
        <w:t>שוב א"צ התראה אחרת בשעת מעשה כו'</w:t>
      </w:r>
      <w:r>
        <w:rPr>
          <w:rFonts w:cs="Arial" w:hint="cs"/>
          <w:rtl/>
        </w:rPr>
        <w:t>.</w:t>
      </w:r>
      <w:r>
        <w:rPr>
          <w:rFonts w:cs="Arial"/>
          <w:rtl/>
        </w:rPr>
        <w:t xml:space="preserve"> אף על גב דבתשו' הרשב"א סי' תק"ס משמע דגם במשמשת נדה בעי התרא' היינו לפי שאזיל לשיטתו שם שפסק דבעי התרא' לומר לה שתפסיד כתובת' וכל שלא אמר לה כן הוי כלא התרה בה אבל לפי הסכמת אחרונים כדעת הריא"ז בש"ג וכן משמע בב"ש וכ"כ בתשו' מהרח"ש סימן נ"ז דא"צ לומר לה כן הרי דהתרא' בזו רק הודעה שתזהר בנדת' וזו הכל יודעים וא"צ התראה עוד יותר עכ"ד ע"ש. וזה שלא כדברי הנו"ב דלעיל: ובתשו' מעיל צדקה </w:t>
      </w:r>
      <w:r>
        <w:rPr>
          <w:rFonts w:cs="Arial" w:hint="cs"/>
          <w:rtl/>
        </w:rPr>
        <w:t>(</w:t>
      </w:r>
      <w:r>
        <w:rPr>
          <w:rFonts w:cs="Arial"/>
          <w:rtl/>
        </w:rPr>
        <w:t>סי</w:t>
      </w:r>
      <w:r>
        <w:rPr>
          <w:rFonts w:cs="Arial" w:hint="cs"/>
          <w:rtl/>
        </w:rPr>
        <w:t>'</w:t>
      </w:r>
      <w:r>
        <w:rPr>
          <w:rFonts w:cs="Arial"/>
          <w:rtl/>
        </w:rPr>
        <w:t xml:space="preserve"> סא</w:t>
      </w:r>
      <w:r>
        <w:rPr>
          <w:rFonts w:cs="Arial" w:hint="cs"/>
          <w:rtl/>
        </w:rPr>
        <w:t>)</w:t>
      </w:r>
      <w:r>
        <w:rPr>
          <w:rFonts w:cs="Arial"/>
          <w:rtl/>
        </w:rPr>
        <w:t xml:space="preserve"> אודות אשה ששמשה נדה בימי עיבורה ומתרצת עצמה שלא ידעה שיש טומא' בימי עיבור ובעלה רוצה לגרש' בע"כ והעל' שאין בידו לגרש' בע"כ דאומר מותר הוא ואפי' שוגג לא מקרי לדעת רש"י ר"פ כלל ואף כי גוף איסור דנדה אינה יכולה לתרץ בכך דאין לך אחת שנתגדלה בישראל שא"י מאיסור נדה מ"מ זו שהיא מעוברת אפשר להאמינה בכך כי כמה נשים טועות בכך כו' ומכ"ש במקום מגו שהיתה יכולה להכחישו ולכן לית דין צריך בושש שאין בידו להוציא' בע"כ ואחרי שהיא מקבלת תשוב' על נפשה כדין שוגג הרי היא כאחת מבנות ישראל הכשירות ותעלה בעלייתו של בעל עכ"ל ע"ש עוד</w:t>
      </w:r>
      <w:r>
        <w:rPr>
          <w:rFonts w:cs="Arial" w:hint="cs"/>
          <w:rtl/>
        </w:rPr>
        <w:t>, פת"ש (סקי"א).</w:t>
      </w:r>
    </w:p>
  </w:footnote>
  <w:footnote w:id="2823">
    <w:p w14:paraId="1E6D9F32" w14:textId="77777777" w:rsidR="00392DBB" w:rsidRDefault="00392DBB" w:rsidP="00392DBB">
      <w:pPr>
        <w:pStyle w:val="a5"/>
        <w:rPr>
          <w:rtl/>
        </w:rPr>
      </w:pPr>
      <w:r>
        <w:rPr>
          <w:rStyle w:val="a7"/>
        </w:rPr>
        <w:footnoteRef/>
      </w:r>
      <w:r>
        <w:rPr>
          <w:rtl/>
        </w:rPr>
        <w:t xml:space="preserve"> </w:t>
      </w:r>
      <w:r>
        <w:rPr>
          <w:rFonts w:cs="Arial"/>
          <w:rtl/>
        </w:rPr>
        <w:t>זה פשוט שהוא כדין מוציא שטר חוב על חבירו והלה טוען פרוע הוא</w:t>
      </w:r>
      <w:r>
        <w:rPr>
          <w:rFonts w:cs="Arial" w:hint="cs"/>
          <w:rtl/>
        </w:rPr>
        <w:t>,</w:t>
      </w:r>
      <w:r>
        <w:rPr>
          <w:rFonts w:cs="Arial"/>
          <w:rtl/>
        </w:rPr>
        <w:t xml:space="preserve"> שבעל השטר צריך לישבע קודם שיגבה</w:t>
      </w:r>
      <w:r>
        <w:rPr>
          <w:rFonts w:cs="Arial" w:hint="cs"/>
          <w:rtl/>
        </w:rPr>
        <w:t>, ב"י.</w:t>
      </w:r>
      <w:r w:rsidRPr="00BC450C">
        <w:rPr>
          <w:rFonts w:cs="Arial"/>
          <w:rtl/>
        </w:rPr>
        <w:t xml:space="preserve"> ובמגיד משנה פכ"ד דאישות (הי"ד) דוקא בכה"ג שהיא מודה שעברה על דת אלא שלא התרו בה צריכה שבועה, אבל אם אמרה שלא עברה כלל </w:t>
      </w:r>
      <w:r>
        <w:rPr>
          <w:rFonts w:cs="Arial" w:hint="cs"/>
          <w:rtl/>
        </w:rPr>
        <w:t xml:space="preserve">- </w:t>
      </w:r>
      <w:r w:rsidRPr="00BC450C">
        <w:rPr>
          <w:rFonts w:cs="Arial"/>
          <w:rtl/>
        </w:rPr>
        <w:t>אין יכול להשביעה כיון ששטר כתובתה בידה ולא מחזיקינן אינשי ברשיעי וכו'</w:t>
      </w:r>
      <w:r>
        <w:rPr>
          <w:rFonts w:cs="Arial" w:hint="cs"/>
          <w:rtl/>
        </w:rPr>
        <w:t>.</w:t>
      </w:r>
      <w:r w:rsidRPr="00BC450C">
        <w:rPr>
          <w:rFonts w:cs="Arial"/>
          <w:rtl/>
        </w:rPr>
        <w:t xml:space="preserve"> ולא משמע כן בדברי הרמב"ם שבסמוך</w:t>
      </w:r>
      <w:r>
        <w:rPr>
          <w:rFonts w:cs="Arial" w:hint="cs"/>
          <w:rtl/>
        </w:rPr>
        <w:t>, דרכ"מ (אות ט).</w:t>
      </w:r>
      <w:r w:rsidRPr="00FD70DA">
        <w:rPr>
          <w:rtl/>
        </w:rPr>
        <w:t xml:space="preserve"> </w:t>
      </w:r>
      <w:r w:rsidRPr="00FD70DA">
        <w:rPr>
          <w:rFonts w:hint="cs"/>
          <w:sz w:val="16"/>
          <w:szCs w:val="16"/>
          <w:rtl/>
        </w:rPr>
        <w:t>(</w:t>
      </w:r>
      <w:r w:rsidRPr="00FD70DA">
        <w:rPr>
          <w:rFonts w:cs="Arial"/>
          <w:sz w:val="16"/>
          <w:szCs w:val="16"/>
          <w:rtl/>
        </w:rPr>
        <w:t>וב"ח הקשה לפי דברי המגיד דאיירי כשידוע שהיא עוברת א"כ איך מוסרים לה שבועה ובח"מ תירץ דוק' אם ידוע ששמשה בנדותה ונעשית רשעה אז אין מוסרים לה שבועה אבל אם עוברת על שאר דברים כשירה לשבועה דקי"ל מומר לד"א אינו מומר לכל התורה</w:t>
      </w:r>
      <w:r>
        <w:rPr>
          <w:rFonts w:cs="Arial" w:hint="cs"/>
          <w:sz w:val="16"/>
          <w:szCs w:val="16"/>
          <w:rtl/>
        </w:rPr>
        <w:t>, ב"ש [סקי"ח]).</w:t>
      </w:r>
    </w:p>
  </w:footnote>
  <w:footnote w:id="2824">
    <w:p w14:paraId="6E80F0F7" w14:textId="77777777" w:rsidR="00392DBB" w:rsidRPr="00FD70DA" w:rsidRDefault="00392DBB" w:rsidP="00392DBB">
      <w:pPr>
        <w:pStyle w:val="a5"/>
        <w:rPr>
          <w:rFonts w:cs="Arial"/>
        </w:rPr>
      </w:pPr>
      <w:r>
        <w:rPr>
          <w:rStyle w:val="a7"/>
        </w:rPr>
        <w:footnoteRef/>
      </w:r>
      <w:r>
        <w:rPr>
          <w:rtl/>
        </w:rPr>
        <w:t xml:space="preserve"> </w:t>
      </w:r>
      <w:r>
        <w:rPr>
          <w:rFonts w:cs="Arial" w:hint="cs"/>
          <w:rtl/>
        </w:rPr>
        <w:t xml:space="preserve">וכתב הדרכ"מ </w:t>
      </w:r>
      <w:r w:rsidRPr="00BC450C">
        <w:rPr>
          <w:rFonts w:cs="Arial"/>
          <w:rtl/>
        </w:rPr>
        <w:t>(</w:t>
      </w:r>
      <w:r>
        <w:rPr>
          <w:rFonts w:cs="Arial" w:hint="cs"/>
          <w:rtl/>
        </w:rPr>
        <w:t xml:space="preserve">אות </w:t>
      </w:r>
      <w:r w:rsidRPr="00BC450C">
        <w:rPr>
          <w:rFonts w:cs="Arial"/>
          <w:rtl/>
        </w:rPr>
        <w:t xml:space="preserve">י) </w:t>
      </w:r>
      <w:r>
        <w:rPr>
          <w:rFonts w:cs="Arial" w:hint="cs"/>
          <w:rtl/>
        </w:rPr>
        <w:t xml:space="preserve">דכן </w:t>
      </w:r>
      <w:r w:rsidRPr="00BC450C">
        <w:rPr>
          <w:rFonts w:cs="Arial"/>
          <w:rtl/>
        </w:rPr>
        <w:t>נראה מתשובת מוהר"ם (שם)</w:t>
      </w:r>
      <w:r>
        <w:rPr>
          <w:rFonts w:cs="Arial" w:hint="cs"/>
          <w:rtl/>
        </w:rPr>
        <w:t>...</w:t>
      </w:r>
      <w:r w:rsidRPr="00BC450C">
        <w:rPr>
          <w:rFonts w:cs="Arial"/>
          <w:rtl/>
        </w:rPr>
        <w:t xml:space="preserve"> וכן משמע מתשובת הרא"ש כלל ל"ב סימן ח' ודלא כהגהות אלפסי </w:t>
      </w:r>
      <w:r w:rsidRPr="00133020">
        <w:rPr>
          <w:rFonts w:cs="Arial"/>
          <w:sz w:val="16"/>
          <w:szCs w:val="16"/>
          <w:rtl/>
        </w:rPr>
        <w:t xml:space="preserve">(לג. אות א) </w:t>
      </w:r>
      <w:r w:rsidRPr="00BC450C">
        <w:rPr>
          <w:rFonts w:cs="Arial"/>
          <w:rtl/>
        </w:rPr>
        <w:t>שכתב דאין צריך להתרות רק שלא תעשה עוד</w:t>
      </w:r>
      <w:r>
        <w:rPr>
          <w:rFonts w:cs="Arial" w:hint="cs"/>
          <w:rtl/>
        </w:rPr>
        <w:t>.</w:t>
      </w:r>
      <w:r w:rsidRPr="00133020">
        <w:rPr>
          <w:rtl/>
        </w:rPr>
        <w:t xml:space="preserve"> </w:t>
      </w:r>
    </w:p>
  </w:footnote>
  <w:footnote w:id="2825">
    <w:p w14:paraId="63A92F96" w14:textId="77777777" w:rsidR="00392DBB" w:rsidRDefault="00392DBB" w:rsidP="00392DBB">
      <w:pPr>
        <w:pStyle w:val="a5"/>
      </w:pPr>
      <w:r>
        <w:rPr>
          <w:rStyle w:val="a7"/>
        </w:rPr>
        <w:footnoteRef/>
      </w:r>
      <w:r>
        <w:rPr>
          <w:rtl/>
        </w:rPr>
        <w:t xml:space="preserve"> </w:t>
      </w:r>
      <w:r w:rsidRPr="00133020">
        <w:rPr>
          <w:rFonts w:cs="Arial"/>
          <w:rtl/>
        </w:rPr>
        <w:t>וכ</w:t>
      </w:r>
      <w:r>
        <w:rPr>
          <w:rFonts w:cs="Arial" w:hint="cs"/>
          <w:rtl/>
        </w:rPr>
        <w:t xml:space="preserve">ן </w:t>
      </w:r>
      <w:r w:rsidRPr="00133020">
        <w:rPr>
          <w:rFonts w:cs="Arial"/>
          <w:rtl/>
        </w:rPr>
        <w:t>נ</w:t>
      </w:r>
      <w:r>
        <w:rPr>
          <w:rFonts w:cs="Arial" w:hint="cs"/>
          <w:rtl/>
        </w:rPr>
        <w:t>ראה</w:t>
      </w:r>
      <w:r w:rsidRPr="00133020">
        <w:rPr>
          <w:rFonts w:cs="Arial"/>
          <w:rtl/>
        </w:rPr>
        <w:t xml:space="preserve"> לכאורה דהא התראה זו נלמד מקינוי ושם תנן במתני' שמתר</w:t>
      </w:r>
      <w:r>
        <w:rPr>
          <w:rFonts w:cs="Arial" w:hint="cs"/>
          <w:rtl/>
        </w:rPr>
        <w:t>ה</w:t>
      </w:r>
      <w:r w:rsidRPr="00133020">
        <w:rPr>
          <w:rFonts w:cs="Arial"/>
          <w:rtl/>
        </w:rPr>
        <w:t xml:space="preserve"> בה אל תסתרי עם פלו</w:t>
      </w:r>
      <w:r>
        <w:rPr>
          <w:rFonts w:cs="Arial" w:hint="cs"/>
          <w:rtl/>
        </w:rPr>
        <w:t>ני,</w:t>
      </w:r>
      <w:r w:rsidRPr="00133020">
        <w:rPr>
          <w:rFonts w:cs="Arial"/>
          <w:rtl/>
        </w:rPr>
        <w:t xml:space="preserve"> ולא תנא בשום מקום שמתרה בה שמפסיד הכתובה</w:t>
      </w:r>
      <w:r>
        <w:rPr>
          <w:rFonts w:cs="Arial" w:hint="cs"/>
          <w:rtl/>
        </w:rPr>
        <w:t>.</w:t>
      </w:r>
      <w:r w:rsidRPr="00133020">
        <w:rPr>
          <w:rFonts w:cs="Arial"/>
          <w:rtl/>
        </w:rPr>
        <w:t xml:space="preserve"> אלא בד"מ כתב דנ"ל מתשובת מהר"מ שהבי' בתשובת רשב"א סי' תת"ס ובתשובת הרא"ש כלל ל"ב דצריך להתרות אותה שתפסדה הכתובה</w:t>
      </w:r>
      <w:r>
        <w:rPr>
          <w:rFonts w:cs="Arial" w:hint="cs"/>
          <w:rtl/>
        </w:rPr>
        <w:t>.</w:t>
      </w:r>
      <w:r w:rsidRPr="00133020">
        <w:rPr>
          <w:rFonts w:cs="Arial"/>
          <w:rtl/>
        </w:rPr>
        <w:t xml:space="preserve"> וע"ש דיש לדחות</w:t>
      </w:r>
      <w:r>
        <w:rPr>
          <w:rFonts w:cs="Arial" w:hint="cs"/>
          <w:rtl/>
        </w:rPr>
        <w:t>, ב"ש (סקי"ז).</w:t>
      </w:r>
      <w:r>
        <w:rPr>
          <w:rFonts w:hint="cs"/>
          <w:rtl/>
        </w:rPr>
        <w:t xml:space="preserve"> </w:t>
      </w:r>
    </w:p>
  </w:footnote>
  <w:footnote w:id="2826">
    <w:p w14:paraId="16136D7E" w14:textId="3D37008F" w:rsidR="003C78F1" w:rsidRDefault="003C78F1" w:rsidP="003C78F1">
      <w:pPr>
        <w:pStyle w:val="a5"/>
        <w:rPr>
          <w:rtl/>
        </w:rPr>
      </w:pPr>
      <w:r>
        <w:rPr>
          <w:rStyle w:val="a7"/>
        </w:rPr>
        <w:footnoteRef/>
      </w:r>
      <w:r>
        <w:rPr>
          <w:rtl/>
        </w:rPr>
        <w:t xml:space="preserve"> </w:t>
      </w:r>
      <w:r>
        <w:rPr>
          <w:rFonts w:hint="cs"/>
          <w:rtl/>
        </w:rPr>
        <w:t xml:space="preserve">סימן - </w:t>
      </w:r>
      <w:r>
        <w:rPr>
          <w:rFonts w:hint="cs"/>
          <w:rtl/>
        </w:rPr>
        <w:t>כפיית הוצאה</w:t>
      </w:r>
      <w:r>
        <w:rPr>
          <w:rFonts w:hint="cs"/>
          <w:rtl/>
        </w:rPr>
        <w:t>.</w:t>
      </w:r>
    </w:p>
  </w:footnote>
  <w:footnote w:id="2827">
    <w:p w14:paraId="6C937112" w14:textId="77777777" w:rsidR="00392DBB" w:rsidRDefault="00392DBB" w:rsidP="00392DBB">
      <w:pPr>
        <w:pStyle w:val="a5"/>
        <w:rPr>
          <w:rtl/>
        </w:rPr>
      </w:pPr>
      <w:r>
        <w:rPr>
          <w:rStyle w:val="a7"/>
        </w:rPr>
        <w:footnoteRef/>
      </w:r>
      <w:r>
        <w:rPr>
          <w:rtl/>
        </w:rPr>
        <w:t xml:space="preserve"> </w:t>
      </w:r>
      <w:r w:rsidRPr="004B6EBE">
        <w:rPr>
          <w:rFonts w:cs="Arial"/>
          <w:rtl/>
        </w:rPr>
        <w:t>ולא איפשיטא</w:t>
      </w:r>
      <w:r w:rsidRPr="004B6EBE">
        <w:rPr>
          <w:rFonts w:cs="Arial" w:hint="cs"/>
          <w:rtl/>
        </w:rPr>
        <w:t>, ב"י</w:t>
      </w:r>
    </w:p>
  </w:footnote>
  <w:footnote w:id="2828">
    <w:p w14:paraId="6F65A8BC" w14:textId="245B97A2" w:rsidR="00392DBB" w:rsidRDefault="00392DBB" w:rsidP="00392DBB">
      <w:pPr>
        <w:pStyle w:val="a5"/>
        <w:rPr>
          <w:rtl/>
        </w:rPr>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E003E0">
        <w:rPr>
          <w:rFonts w:cs="Arial"/>
          <w:rtl/>
        </w:rPr>
        <w:t>שמע מינה בעל שמחל על קינויו קינויו מחול - ותפשוט נמי עוברת על דת אם רצה בעלה לקיימה מקיימה אפילו התרה בה.</w:t>
      </w:r>
    </w:p>
  </w:footnote>
  <w:footnote w:id="2829">
    <w:p w14:paraId="2A073566" w14:textId="4B3C0454" w:rsidR="00392DBB" w:rsidRDefault="00392DBB" w:rsidP="00392DBB">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4B6EBE">
        <w:rPr>
          <w:rFonts w:cs="Arial"/>
          <w:rtl/>
        </w:rPr>
        <w:t>מסתברא דאיפשטא דאם רצה לקיימה מקיימה, דהא בעל שמחל על קנויו קנויו מחול כדאסיקנא התם מדאמר ר' יאשיה ג' דברים סח לי זעירא מאנשי ירושלים בעל שמחל על קנויו קנויו מחול, והשתא בתר קינוי מחיל ומקיים, קודם קינוי לא</w:t>
      </w:r>
      <w:r>
        <w:rPr>
          <w:rFonts w:cs="Arial" w:hint="cs"/>
          <w:rtl/>
        </w:rPr>
        <w:t xml:space="preserve"> כל שכן.</w:t>
      </w:r>
    </w:p>
  </w:footnote>
  <w:footnote w:id="2830">
    <w:p w14:paraId="719862B1" w14:textId="77777777" w:rsidR="00392DBB" w:rsidRDefault="00392DBB" w:rsidP="00392DBB">
      <w:pPr>
        <w:pStyle w:val="a5"/>
      </w:pPr>
      <w:r>
        <w:rPr>
          <w:rStyle w:val="a7"/>
        </w:rPr>
        <w:footnoteRef/>
      </w:r>
      <w:r>
        <w:rPr>
          <w:rtl/>
        </w:rPr>
        <w:t xml:space="preserve"> </w:t>
      </w:r>
      <w:r w:rsidRPr="00076609">
        <w:rPr>
          <w:rFonts w:cs="Arial"/>
          <w:rtl/>
        </w:rPr>
        <w:t>משמע שהרשב"א ס"ל דאין זה מצוה רק רשות כמו שאין מצוה שלא למחול על קינויו</w:t>
      </w:r>
      <w:r>
        <w:rPr>
          <w:rFonts w:cs="Arial" w:hint="cs"/>
          <w:rtl/>
        </w:rPr>
        <w:t>,</w:t>
      </w:r>
      <w:r w:rsidRPr="00076609">
        <w:rPr>
          <w:rFonts w:cs="Arial"/>
          <w:rtl/>
        </w:rPr>
        <w:t xml:space="preserve"> וכן משמע מלשון הרמב"ם </w:t>
      </w:r>
      <w:r>
        <w:rPr>
          <w:rFonts w:cs="Arial" w:hint="cs"/>
          <w:rtl/>
        </w:rPr>
        <w:t>(שם)...</w:t>
      </w:r>
      <w:r w:rsidRPr="00076609">
        <w:rPr>
          <w:rFonts w:cs="Arial"/>
          <w:rtl/>
        </w:rPr>
        <w:t xml:space="preserve"> והא דאמרינן בסוף המגרש דמצוה לגרשה אפשר דמיירי התם דפרוצ' ביותר דפרומ' משני צדדיה ורוחצת וכו' כדאיתא התם מיהו בפ"י מה"ג כתב הרמב"ם ושאינה צנועה כבנות ישראל הכשרו</w:t>
      </w:r>
      <w:r>
        <w:rPr>
          <w:rFonts w:cs="Arial" w:hint="cs"/>
          <w:rtl/>
        </w:rPr>
        <w:t>ת</w:t>
      </w:r>
      <w:r w:rsidRPr="00076609">
        <w:rPr>
          <w:rFonts w:cs="Arial"/>
          <w:rtl/>
        </w:rPr>
        <w:t xml:space="preserve"> מצוה לגרשה</w:t>
      </w:r>
      <w:r>
        <w:rPr>
          <w:rFonts w:cs="Arial" w:hint="cs"/>
          <w:rtl/>
        </w:rPr>
        <w:t>..., ח"מ (סקי"ח).</w:t>
      </w:r>
      <w:r>
        <w:rPr>
          <w:rFonts w:hint="cs"/>
          <w:rtl/>
        </w:rPr>
        <w:t xml:space="preserve"> אך הב"ש (סקי"ט) כתב </w:t>
      </w:r>
      <w:r>
        <w:rPr>
          <w:rFonts w:cs="Arial" w:hint="cs"/>
          <w:rtl/>
        </w:rPr>
        <w:t xml:space="preserve">דגם </w:t>
      </w:r>
      <w:r w:rsidRPr="00E003E0">
        <w:rPr>
          <w:rFonts w:cs="Arial"/>
          <w:rtl/>
        </w:rPr>
        <w:t xml:space="preserve">לשיטות תוס' והרשב"א </w:t>
      </w:r>
      <w:r>
        <w:rPr>
          <w:rFonts w:cs="Arial" w:hint="cs"/>
          <w:rtl/>
        </w:rPr>
        <w:t>ד</w:t>
      </w:r>
      <w:r w:rsidRPr="00E003E0">
        <w:rPr>
          <w:rFonts w:cs="Arial"/>
          <w:rtl/>
        </w:rPr>
        <w:t>נפשט הבעי</w:t>
      </w:r>
      <w:r>
        <w:rPr>
          <w:rFonts w:cs="Arial" w:hint="cs"/>
          <w:rtl/>
        </w:rPr>
        <w:t>א</w:t>
      </w:r>
      <w:r w:rsidRPr="00E003E0">
        <w:rPr>
          <w:rFonts w:cs="Arial"/>
          <w:rtl/>
        </w:rPr>
        <w:t xml:space="preserve"> דיכול לקיימה </w:t>
      </w:r>
      <w:r>
        <w:rPr>
          <w:rFonts w:cs="Arial" w:hint="cs"/>
          <w:rtl/>
        </w:rPr>
        <w:t xml:space="preserve">- </w:t>
      </w:r>
      <w:r w:rsidRPr="00E003E0">
        <w:rPr>
          <w:rFonts w:cs="Arial"/>
          <w:rtl/>
        </w:rPr>
        <w:t>מ"מ ס"ל מצוה לגרש אותה</w:t>
      </w:r>
      <w:r>
        <w:rPr>
          <w:rFonts w:cs="Arial" w:hint="cs"/>
          <w:rtl/>
        </w:rPr>
        <w:t>,</w:t>
      </w:r>
      <w:r w:rsidRPr="00E003E0">
        <w:rPr>
          <w:rFonts w:cs="Arial"/>
          <w:rtl/>
        </w:rPr>
        <w:t xml:space="preserve"> כמ"ש במ</w:t>
      </w:r>
      <w:r>
        <w:rPr>
          <w:rFonts w:cs="Arial" w:hint="cs"/>
          <w:rtl/>
        </w:rPr>
        <w:t>רדכי</w:t>
      </w:r>
      <w:r w:rsidRPr="00E003E0">
        <w:rPr>
          <w:rFonts w:cs="Arial"/>
          <w:rtl/>
        </w:rPr>
        <w:t xml:space="preserve"> </w:t>
      </w:r>
      <w:r>
        <w:rPr>
          <w:rFonts w:cs="Arial" w:hint="cs"/>
          <w:rtl/>
        </w:rPr>
        <w:t>ד</w:t>
      </w:r>
      <w:r w:rsidRPr="00E003E0">
        <w:rPr>
          <w:rFonts w:cs="Arial"/>
          <w:rtl/>
        </w:rPr>
        <w:t>אפילו לפי הבעי</w:t>
      </w:r>
      <w:r>
        <w:rPr>
          <w:rFonts w:cs="Arial" w:hint="cs"/>
          <w:rtl/>
        </w:rPr>
        <w:t>א</w:t>
      </w:r>
      <w:r w:rsidRPr="00E003E0">
        <w:rPr>
          <w:rFonts w:cs="Arial"/>
          <w:rtl/>
        </w:rPr>
        <w:t xml:space="preserve"> דיכול לקיימה מ"מ מצוה לגרשה</w:t>
      </w:r>
      <w:r>
        <w:rPr>
          <w:rFonts w:cs="Arial" w:hint="cs"/>
          <w:rtl/>
        </w:rPr>
        <w:t>.</w:t>
      </w:r>
      <w:r w:rsidRPr="00E003E0">
        <w:rPr>
          <w:rFonts w:cs="Arial"/>
          <w:rtl/>
        </w:rPr>
        <w:t xml:space="preserve"> מ"ה שפיר מה שפסקו דחר"ג לא שייך בזה</w:t>
      </w:r>
      <w:r>
        <w:rPr>
          <w:rFonts w:hint="cs"/>
          <w:rtl/>
        </w:rPr>
        <w:t>.</w:t>
      </w:r>
    </w:p>
  </w:footnote>
  <w:footnote w:id="2831">
    <w:p w14:paraId="7E0F1BEE" w14:textId="77777777" w:rsidR="00392DBB" w:rsidRDefault="00392DBB" w:rsidP="00392DBB">
      <w:pPr>
        <w:pStyle w:val="a5"/>
      </w:pPr>
      <w:r>
        <w:rPr>
          <w:rStyle w:val="a7"/>
        </w:rPr>
        <w:footnoteRef/>
      </w:r>
      <w:r>
        <w:rPr>
          <w:rtl/>
        </w:rPr>
        <w:t xml:space="preserve"> </w:t>
      </w:r>
      <w:r w:rsidRPr="00076609">
        <w:rPr>
          <w:rFonts w:cs="Arial"/>
          <w:rtl/>
        </w:rPr>
        <w:t>ונראה אם אין מוציא אותה והיא מתנהג</w:t>
      </w:r>
      <w:r>
        <w:rPr>
          <w:rFonts w:cs="Arial" w:hint="cs"/>
          <w:rtl/>
        </w:rPr>
        <w:t>ת</w:t>
      </w:r>
      <w:r w:rsidRPr="00076609">
        <w:rPr>
          <w:rFonts w:cs="Arial"/>
          <w:rtl/>
        </w:rPr>
        <w:t xml:space="preserve"> מכאן ואילך בדרכי הצנועו</w:t>
      </w:r>
      <w:r>
        <w:rPr>
          <w:rFonts w:cs="Arial" w:hint="cs"/>
          <w:rtl/>
        </w:rPr>
        <w:t>ת</w:t>
      </w:r>
      <w:r w:rsidRPr="00076609">
        <w:rPr>
          <w:rFonts w:cs="Arial"/>
          <w:rtl/>
        </w:rPr>
        <w:t xml:space="preserve"> וחזרה ממעשיה הראשונים </w:t>
      </w:r>
      <w:r>
        <w:rPr>
          <w:rFonts w:cs="Arial" w:hint="cs"/>
          <w:rtl/>
        </w:rPr>
        <w:t xml:space="preserve">- </w:t>
      </w:r>
      <w:r w:rsidRPr="00076609">
        <w:rPr>
          <w:rFonts w:cs="Arial"/>
          <w:rtl/>
        </w:rPr>
        <w:t>אסור לדור עמה בלא כתוב</w:t>
      </w:r>
      <w:r>
        <w:rPr>
          <w:rFonts w:cs="Arial" w:hint="cs"/>
          <w:rtl/>
        </w:rPr>
        <w:t>ה</w:t>
      </w:r>
      <w:r w:rsidRPr="00076609">
        <w:rPr>
          <w:rFonts w:cs="Arial"/>
          <w:rtl/>
        </w:rPr>
        <w:t xml:space="preserve"> וצריך לכתוב לה כתובה אחרת דכתוב</w:t>
      </w:r>
      <w:r>
        <w:rPr>
          <w:rFonts w:cs="Arial" w:hint="cs"/>
          <w:rtl/>
        </w:rPr>
        <w:t>ה</w:t>
      </w:r>
      <w:r w:rsidRPr="00076609">
        <w:rPr>
          <w:rFonts w:cs="Arial"/>
          <w:rtl/>
        </w:rPr>
        <w:t xml:space="preserve"> הראשונ</w:t>
      </w:r>
      <w:r>
        <w:rPr>
          <w:rFonts w:cs="Arial" w:hint="cs"/>
          <w:rtl/>
        </w:rPr>
        <w:t>ה</w:t>
      </w:r>
      <w:r w:rsidRPr="00076609">
        <w:rPr>
          <w:rFonts w:cs="Arial"/>
          <w:rtl/>
        </w:rPr>
        <w:t xml:space="preserve"> נמחל שעבודה בשעה שעברה על התראתו</w:t>
      </w:r>
      <w:r>
        <w:rPr>
          <w:rFonts w:cs="Arial" w:hint="cs"/>
          <w:rtl/>
        </w:rPr>
        <w:t>, ח"מ (סקי"ח).</w:t>
      </w:r>
      <w:r>
        <w:rPr>
          <w:rFonts w:hint="cs"/>
          <w:rtl/>
        </w:rPr>
        <w:t xml:space="preserve"> והביאו הב"ש (סקי"ט).</w:t>
      </w:r>
    </w:p>
  </w:footnote>
  <w:footnote w:id="2832">
    <w:p w14:paraId="24AF6E93" w14:textId="19305008"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E863A5">
        <w:rPr>
          <w:rFonts w:cs="Arial"/>
          <w:rtl/>
        </w:rPr>
        <w:t>על ראובן שראה באשתו דברים מראים שזינתה אם תיקן בזה רבינו גרשון שלא יגרשנה והשיב כל כה"ג חס ושלום שלא יתקן הרב שלא יגרשנה אדרבא הרב מצריך לגרשה כדי שלא תהא רשעה בתוך ביתו דלא גרע מרוכל יוצא ואשה חוגרת בסינר וכו' (יבמות כד:) ואפילו אם תמצא לומר שהוא מדת חסידות מכל מקום היאך יתקן הרב שלא יתנהג במדת חסידות</w:t>
      </w:r>
      <w:r>
        <w:rPr>
          <w:rFonts w:cs="Arial" w:hint="cs"/>
          <w:rtl/>
        </w:rPr>
        <w:t>.</w:t>
      </w:r>
    </w:p>
  </w:footnote>
  <w:footnote w:id="2833">
    <w:p w14:paraId="7931D3A4" w14:textId="77777777" w:rsidR="00392DBB" w:rsidRDefault="00392DBB" w:rsidP="00392DBB">
      <w:pPr>
        <w:pStyle w:val="a5"/>
      </w:pPr>
      <w:r>
        <w:rPr>
          <w:rStyle w:val="a7"/>
        </w:rPr>
        <w:footnoteRef/>
      </w:r>
      <w:r>
        <w:rPr>
          <w:rtl/>
        </w:rPr>
        <w:t xml:space="preserve"> </w:t>
      </w:r>
      <w:r w:rsidRPr="0039471B">
        <w:rPr>
          <w:rFonts w:cs="Arial"/>
          <w:rtl/>
        </w:rPr>
        <w:t xml:space="preserve">וכן הוא בתשובת מהרי"ק </w:t>
      </w:r>
      <w:r>
        <w:rPr>
          <w:rFonts w:cs="Arial" w:hint="cs"/>
          <w:rtl/>
        </w:rPr>
        <w:t>(</w:t>
      </w:r>
      <w:r w:rsidRPr="0039471B">
        <w:rPr>
          <w:rFonts w:cs="Arial"/>
          <w:rtl/>
        </w:rPr>
        <w:t>שורש קו</w:t>
      </w:r>
      <w:r>
        <w:rPr>
          <w:rFonts w:cs="Arial" w:hint="cs"/>
          <w:rtl/>
        </w:rPr>
        <w:t>)</w:t>
      </w:r>
      <w:r w:rsidRPr="0039471B">
        <w:rPr>
          <w:rFonts w:cs="Arial"/>
          <w:rtl/>
        </w:rPr>
        <w:t xml:space="preserve"> דעוברת על דת מותר לגרשה בעל כרחה וכן הוא בתשובת מוהר"ם פאדו"ה </w:t>
      </w:r>
      <w:r>
        <w:rPr>
          <w:rFonts w:cs="Arial" w:hint="cs"/>
          <w:rtl/>
        </w:rPr>
        <w:t>(</w:t>
      </w:r>
      <w:r w:rsidRPr="0039471B">
        <w:rPr>
          <w:rFonts w:cs="Arial"/>
          <w:rtl/>
        </w:rPr>
        <w:t>סימן י"ג וי"ט</w:t>
      </w:r>
      <w:r>
        <w:rPr>
          <w:rFonts w:cs="Arial" w:hint="cs"/>
          <w:rtl/>
        </w:rPr>
        <w:t>).</w:t>
      </w:r>
      <w:r w:rsidRPr="0039471B">
        <w:rPr>
          <w:rFonts w:cs="Arial"/>
          <w:rtl/>
        </w:rPr>
        <w:t xml:space="preserve"> ובסימן ח' שם כתב דאף חרשת מותר לגרש דלא גרע ממגרש בעל כרחה</w:t>
      </w:r>
      <w:r>
        <w:rPr>
          <w:rFonts w:cs="Arial" w:hint="cs"/>
          <w:rtl/>
        </w:rPr>
        <w:t>, דרכ"מ (</w:t>
      </w:r>
      <w:r>
        <w:rPr>
          <w:rFonts w:hint="cs"/>
          <w:rtl/>
        </w:rPr>
        <w:t>סימן קיט אות ב).</w:t>
      </w:r>
    </w:p>
  </w:footnote>
  <w:footnote w:id="2834">
    <w:p w14:paraId="07913D68" w14:textId="77777777" w:rsidR="00392DBB" w:rsidRDefault="00392DBB" w:rsidP="00392DBB">
      <w:pPr>
        <w:pStyle w:val="a5"/>
      </w:pPr>
      <w:r>
        <w:rPr>
          <w:rStyle w:val="a7"/>
        </w:rPr>
        <w:footnoteRef/>
      </w:r>
      <w:r>
        <w:rPr>
          <w:rtl/>
        </w:rPr>
        <w:t xml:space="preserve"> </w:t>
      </w:r>
      <w:r w:rsidRPr="00054A1B">
        <w:rPr>
          <w:rFonts w:cs="Arial"/>
          <w:rtl/>
        </w:rPr>
        <w:t xml:space="preserve">ובסמ"ק </w:t>
      </w:r>
      <w:r>
        <w:rPr>
          <w:rFonts w:cs="Arial" w:hint="cs"/>
          <w:rtl/>
        </w:rPr>
        <w:t>(</w:t>
      </w:r>
      <w:r w:rsidRPr="00054A1B">
        <w:rPr>
          <w:rFonts w:cs="Arial"/>
          <w:rtl/>
        </w:rPr>
        <w:t>ריש סימן קפד</w:t>
      </w:r>
      <w:r>
        <w:rPr>
          <w:rFonts w:cs="Arial" w:hint="cs"/>
          <w:rtl/>
        </w:rPr>
        <w:t>)</w:t>
      </w:r>
      <w:r w:rsidRPr="00054A1B">
        <w:rPr>
          <w:rFonts w:cs="Arial"/>
          <w:rtl/>
        </w:rPr>
        <w:t xml:space="preserve"> משמע דאפילו אם רוצה ליתן לה כתובתה איכא תקנת רבינו גרשום שלא לגרשה אא</w:t>
      </w:r>
      <w:r>
        <w:rPr>
          <w:rFonts w:cs="Arial" w:hint="cs"/>
          <w:rtl/>
        </w:rPr>
        <w:t>"</w:t>
      </w:r>
      <w:r w:rsidRPr="00054A1B">
        <w:rPr>
          <w:rFonts w:cs="Arial"/>
          <w:rtl/>
        </w:rPr>
        <w:t>כ יש עדים שעברה על דת</w:t>
      </w:r>
      <w:r>
        <w:rPr>
          <w:rFonts w:cs="Arial" w:hint="cs"/>
          <w:rtl/>
        </w:rPr>
        <w:t>.</w:t>
      </w:r>
      <w:r w:rsidRPr="00054A1B">
        <w:rPr>
          <w:rFonts w:cs="Arial"/>
          <w:rtl/>
        </w:rPr>
        <w:t xml:space="preserve"> וכן נראה משם סוף סימן קפ"ט</w:t>
      </w:r>
      <w:r>
        <w:rPr>
          <w:rFonts w:cs="Arial" w:hint="cs"/>
          <w:rtl/>
        </w:rPr>
        <w:t>.</w:t>
      </w:r>
      <w:r w:rsidRPr="00054A1B">
        <w:rPr>
          <w:rFonts w:cs="Arial"/>
          <w:rtl/>
        </w:rPr>
        <w:t xml:space="preserve"> וכן משמע בהדיא בתשובת הרא"ש </w:t>
      </w:r>
      <w:r>
        <w:rPr>
          <w:rFonts w:cs="Arial" w:hint="cs"/>
          <w:rtl/>
        </w:rPr>
        <w:t>(</w:t>
      </w:r>
      <w:r w:rsidRPr="00054A1B">
        <w:rPr>
          <w:rFonts w:cs="Arial"/>
          <w:rtl/>
        </w:rPr>
        <w:t>כלל מב סימן א</w:t>
      </w:r>
      <w:r>
        <w:rPr>
          <w:rFonts w:cs="Arial" w:hint="cs"/>
          <w:rtl/>
        </w:rPr>
        <w:t>),</w:t>
      </w:r>
      <w:r w:rsidRPr="00054A1B">
        <w:rPr>
          <w:rFonts w:cs="Arial"/>
          <w:rtl/>
        </w:rPr>
        <w:t xml:space="preserve"> ועיי"ש כי האריך בזה. אמנם מלשון המרדכי סוף פרק הבא על יבמתו (סי' נה) לא משמע כן</w:t>
      </w:r>
      <w:r>
        <w:rPr>
          <w:rFonts w:cs="Arial" w:hint="cs"/>
          <w:rtl/>
        </w:rPr>
        <w:t>.</w:t>
      </w:r>
      <w:r w:rsidRPr="00054A1B">
        <w:rPr>
          <w:rFonts w:cs="Arial"/>
          <w:rtl/>
        </w:rPr>
        <w:t xml:space="preserve"> ועיין לעיל סימן א' (אות יב) כתבתי דברי המרדכי ההוא. ועיין בתשובת מהר"ם פאדו"ה סימן י"ג מדינים אלו</w:t>
      </w:r>
      <w:r>
        <w:rPr>
          <w:rFonts w:cs="Arial" w:hint="cs"/>
          <w:rtl/>
        </w:rPr>
        <w:t>, דרכ"מ (סימן קיט אות א).</w:t>
      </w:r>
    </w:p>
  </w:footnote>
  <w:footnote w:id="2835">
    <w:p w14:paraId="69ED77F3" w14:textId="23FFA01C"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AD2796">
        <w:rPr>
          <w:rFonts w:cs="Arial"/>
          <w:rtl/>
        </w:rPr>
        <w:t xml:space="preserve">שאלה: אשה אחת אשת ישראל רגילה להתייחד בבתי נכרים לפעמים בלילה כמו ביום ע"י סרסרות ומשא ומתן שיש לה עם נכרים, ודרכה ללכת לכפרים ולשהות הרבה פעמים יחידה בין הנכרים כמו ח' ימים ויותר, ורגילה להקיף מן הנכרים מה שאין לה לפרוע ועי"כ באתה הרבה פעמים לידי תפיסה שנחבשה יחידית בין הנכרים ימים ושבועים, שריא לבעלה או אסורה או נקראת לכל הפחות עוברת על דת או לאו? </w:t>
      </w:r>
      <w:r>
        <w:rPr>
          <w:rFonts w:cs="Arial" w:hint="cs"/>
          <w:rtl/>
        </w:rPr>
        <w:t xml:space="preserve">     </w:t>
      </w:r>
      <w:r w:rsidRPr="00AD2796">
        <w:rPr>
          <w:rFonts w:cs="Arial"/>
          <w:rtl/>
        </w:rPr>
        <w:t>תשובה:</w:t>
      </w:r>
      <w:r>
        <w:rPr>
          <w:rFonts w:cs="Arial" w:hint="cs"/>
          <w:rtl/>
        </w:rPr>
        <w:t>...</w:t>
      </w:r>
      <w:r w:rsidRPr="00AD2796">
        <w:rPr>
          <w:rFonts w:cs="Arial"/>
          <w:rtl/>
        </w:rPr>
        <w:t xml:space="preserve"> אפס נראה דהך איתתא דנ"ד נהי נמי דאינה נאסרת על בעל כדברירנא לעיל, מ"מ עוברת על דת מיקרי הואיל ונתיחדה מרצונה כמה פעמים בין הנכרים </w:t>
      </w:r>
      <w:r>
        <w:rPr>
          <w:rFonts w:cs="Arial" w:hint="cs"/>
          <w:sz w:val="16"/>
          <w:szCs w:val="16"/>
          <w:rtl/>
        </w:rPr>
        <w:t>(</w:t>
      </w:r>
      <w:r w:rsidRPr="00AD2796">
        <w:rPr>
          <w:rFonts w:cs="Arial"/>
          <w:sz w:val="16"/>
          <w:szCs w:val="16"/>
          <w:rtl/>
        </w:rPr>
        <w:t xml:space="preserve">דהא פריך תלמודא פ' המדיר </w:t>
      </w:r>
      <w:r w:rsidRPr="00AD2796">
        <w:rPr>
          <w:rFonts w:cs="Arial" w:hint="cs"/>
          <w:sz w:val="16"/>
          <w:szCs w:val="16"/>
          <w:rtl/>
        </w:rPr>
        <w:t>(</w:t>
      </w:r>
      <w:r w:rsidRPr="00AD2796">
        <w:rPr>
          <w:rFonts w:cs="Arial"/>
          <w:sz w:val="16"/>
          <w:szCs w:val="16"/>
          <w:rtl/>
        </w:rPr>
        <w:t>כתובות</w:t>
      </w:r>
      <w:r w:rsidRPr="00AD2796">
        <w:rPr>
          <w:rFonts w:cs="Arial" w:hint="cs"/>
          <w:sz w:val="16"/>
          <w:szCs w:val="16"/>
          <w:rtl/>
        </w:rPr>
        <w:t xml:space="preserve"> עב.)</w:t>
      </w:r>
      <w:r w:rsidRPr="00AD2796">
        <w:rPr>
          <w:rFonts w:cs="Arial"/>
          <w:sz w:val="16"/>
          <w:szCs w:val="16"/>
          <w:rtl/>
        </w:rPr>
        <w:t xml:space="preserve"> הלכה בשוק וראשה פרוע דאורייתא היא דכתיב ופרע את ראש האשה כו', פרש"י אמאי קרית ליה דת יהודית דת משה היא</w:t>
      </w:r>
      <w:r w:rsidRPr="00AD2796">
        <w:rPr>
          <w:rFonts w:cs="Arial" w:hint="cs"/>
          <w:sz w:val="16"/>
          <w:szCs w:val="16"/>
          <w:rtl/>
        </w:rPr>
        <w:t>.</w:t>
      </w:r>
      <w:r w:rsidRPr="00AD2796">
        <w:rPr>
          <w:rFonts w:cs="Arial"/>
          <w:sz w:val="16"/>
          <w:szCs w:val="16"/>
          <w:rtl/>
        </w:rPr>
        <w:t xml:space="preserve"> ויחוד אשת איש נמי דאורייתא כדאיתא פ' אין מעמידין. ואף על גב דרמב"ם כתב דאינו אלא מדברי קבלה הא איהו נמי כתב דפריעת ראש באשה אינו אלא זהירות מדרבנן כדמוכח מלשונו,</w:t>
      </w:r>
      <w:r w:rsidRPr="00AD2796">
        <w:rPr>
          <w:rFonts w:cs="Arial" w:hint="cs"/>
          <w:sz w:val="16"/>
          <w:szCs w:val="16"/>
          <w:rtl/>
        </w:rPr>
        <w:t xml:space="preserve"> </w:t>
      </w:r>
      <w:r w:rsidRPr="00AD2796">
        <w:rPr>
          <w:rFonts w:cs="Arial"/>
          <w:sz w:val="16"/>
          <w:szCs w:val="16"/>
          <w:rtl/>
        </w:rPr>
        <w:t>ומסתמא ס"ל הא דפריך תלמודא דאורייתא ר"ל רמז דאורייתא יש לה, וא"כ ה"ה יחוד נמי. וכן משמע פרש"י נמי פ' ארוסה במס' סוטה דפריך תלמודא מישתא הוא דלא שתיא הא קנוייה מקניא לה מאי לאו להפסיד כתובתה, אמר אביי לא לאוסרה עליו, ופרש"י מאי לאו להפסיד כתובתה דזו היא העוברת על דת שנסתרה עם אנשים כלומר אף על פי שאינו אלא להפסיד כתובתה בעי קנוי והתראה, ודחה אביי לא לאסרה כלומר דווקא לאוסרה בעי קנוי והתראה אבל להפסיד כתובתה לא</w:t>
      </w:r>
      <w:r w:rsidRPr="00AD2796">
        <w:rPr>
          <w:rFonts w:cs="Arial" w:hint="cs"/>
          <w:sz w:val="16"/>
          <w:szCs w:val="16"/>
          <w:rtl/>
        </w:rPr>
        <w:t>)</w:t>
      </w:r>
      <w:r w:rsidRPr="00AD2796">
        <w:rPr>
          <w:rFonts w:cs="Arial"/>
          <w:rtl/>
        </w:rPr>
        <w:t xml:space="preserve"> הא קמן דמתייחדה מרצונה מקרי עוברת על דת כ"ש הנסתרת עם הנכרים דשטופי זמה הם, ואין זה צריך פנים דא"צ כ"כ ראייה אפי' אי לא הוי נסתרה ומתייחדת מרצונה, אלא שגרמה כמה פעמים ע"י הקפותה ובלבוליה שנחבשת בין הנכרים בלתי שומר, ומעיד להחשיבה כמזיד להתייחד </w:t>
      </w:r>
      <w:r w:rsidRPr="00AD2796">
        <w:rPr>
          <w:rFonts w:cs="Arial" w:hint="cs"/>
          <w:sz w:val="16"/>
          <w:szCs w:val="16"/>
          <w:rtl/>
        </w:rPr>
        <w:t>(</w:t>
      </w:r>
      <w:r w:rsidRPr="00AD2796">
        <w:rPr>
          <w:rFonts w:cs="Arial"/>
          <w:sz w:val="16"/>
          <w:szCs w:val="16"/>
          <w:rtl/>
        </w:rPr>
        <w:t xml:space="preserve">כדאמרינן פ' השולח </w:t>
      </w:r>
      <w:r w:rsidRPr="00AD2796">
        <w:rPr>
          <w:rFonts w:cs="Arial" w:hint="cs"/>
          <w:sz w:val="16"/>
          <w:szCs w:val="16"/>
          <w:rtl/>
        </w:rPr>
        <w:t>(</w:t>
      </w:r>
      <w:r w:rsidRPr="00AD2796">
        <w:rPr>
          <w:rFonts w:cs="Arial"/>
          <w:sz w:val="16"/>
          <w:szCs w:val="16"/>
          <w:rtl/>
        </w:rPr>
        <w:t>גיטין מו</w:t>
      </w:r>
      <w:r w:rsidRPr="00AD2796">
        <w:rPr>
          <w:rFonts w:cs="Arial" w:hint="cs"/>
          <w:sz w:val="16"/>
          <w:szCs w:val="16"/>
          <w:rtl/>
        </w:rPr>
        <w:t>:)</w:t>
      </w:r>
      <w:r w:rsidRPr="00AD2796">
        <w:rPr>
          <w:rFonts w:cs="Arial"/>
          <w:sz w:val="16"/>
          <w:szCs w:val="16"/>
          <w:rtl/>
        </w:rPr>
        <w:t xml:space="preserve"> גבי הנהו דבני מכסי דהוי יזפי מנכרים ואתי וגרבי להו, ומסיק כיון דרגילי בהכי כמו שמסרו את עצמם מרצונם ושנו ושלשו</w:t>
      </w:r>
      <w:r>
        <w:rPr>
          <w:rFonts w:cs="Arial" w:hint="cs"/>
          <w:sz w:val="16"/>
          <w:szCs w:val="16"/>
          <w:rtl/>
        </w:rPr>
        <w:t>)</w:t>
      </w:r>
      <w:r w:rsidRPr="00AD2796">
        <w:rPr>
          <w:rFonts w:cs="Arial"/>
          <w:rtl/>
        </w:rPr>
        <w:t>. וא"כ הואיל וחשיב עוברת על דת מצוה לגרשה, ואם אינו מוציאה נקרא רשע</w:t>
      </w:r>
      <w:r>
        <w:rPr>
          <w:rFonts w:cs="Arial" w:hint="cs"/>
          <w:rtl/>
        </w:rPr>
        <w:t>..</w:t>
      </w:r>
      <w:r w:rsidRPr="00AD2796">
        <w:rPr>
          <w:rFonts w:cs="Arial"/>
          <w:rtl/>
        </w:rPr>
        <w:t xml:space="preserve">. אלא דלענין להפסיד כתובתה בעינן התראה כדמסיק במס' סוטה </w:t>
      </w:r>
      <w:r>
        <w:rPr>
          <w:rFonts w:cs="Arial" w:hint="cs"/>
          <w:rtl/>
        </w:rPr>
        <w:t>(</w:t>
      </w:r>
      <w:r w:rsidRPr="00AD2796">
        <w:rPr>
          <w:rFonts w:cs="Arial"/>
          <w:rtl/>
        </w:rPr>
        <w:t>פ' ארוסה כה</w:t>
      </w:r>
      <w:r>
        <w:rPr>
          <w:rFonts w:cs="Arial" w:hint="cs"/>
          <w:rtl/>
        </w:rPr>
        <w:t>.)</w:t>
      </w:r>
      <w:r w:rsidRPr="00AD2796">
        <w:rPr>
          <w:rFonts w:cs="Arial"/>
          <w:rtl/>
        </w:rPr>
        <w:t xml:space="preserve"> דעוברת על דת צריכה התראה להפסיד כתובתה. אמנם היה נראה קצת דאיתתא דכה"ג דרגילה להתייחד בין הנכרים שטופי זמה בכמה גווני קעבדית כמה מיני חוצפות יתירא לא בעי התראה להפסיד כתובתה. ונראה ראייה לזה מפ' ארוסה דלעיל דקפשיט התם במסקנא מאשת מי שנתחרש או חבוש בבית האסורים דב"ד מקנין אותו לאשתו ולא להשקותה אלא לפוסלה מכתובתה, אלמא בעי התראה ש"מ. וקאמר תלמודא וכולהו מ"ט לא פשטא מהא דשאני התם דלית לה אימתא דבעל כלל, ופרש"י דמש"ה לא חשיב פריצותא אא"כ התרה בה, אבל איתתא דאית לה אימתא דבעל איכא למימר דבלא התראה איכא פריצותא מדלא אשגחה אבעלה. הא קמן דטעם דהתראה משום פריצותא וחציפותא הוא, נהי נמי דמסיק תלמודא ופשט מאשת מי שנתחרש ולא מפליג בין היכא דאיכא אימתא דבעלה ובין היכא דליכא אימתא, נוכל לומר דהיינו משום דסבר דלא חשיב פריצותא כ"כ הא דלא אשגחה אבעלה, אבל מ"מ סברו אמוראי קמאי דלא מדחינן לגמרי דבפריצותא חוצפה תליא מילתא, ואימא כל היכא דאיכא פריצותא יתירתא נשארת הסברא דלא בעי התראה בכה"ג, ומפני שאנו מדמין לא נעשה מעשה</w:t>
      </w:r>
      <w:r>
        <w:rPr>
          <w:rFonts w:cs="Arial" w:hint="cs"/>
          <w:rtl/>
        </w:rPr>
        <w:t>.</w:t>
      </w:r>
    </w:p>
  </w:footnote>
  <w:footnote w:id="2836">
    <w:p w14:paraId="561F95D2" w14:textId="09AB6817" w:rsidR="00392DBB" w:rsidRDefault="00392DBB" w:rsidP="00392DBB">
      <w:pPr>
        <w:pStyle w:val="a5"/>
      </w:pPr>
      <w:r>
        <w:rPr>
          <w:rStyle w:val="a7"/>
        </w:rPr>
        <w:footnoteRef/>
      </w:r>
      <w:r>
        <w:rPr>
          <w:rtl/>
        </w:rPr>
        <w:t xml:space="preserve"> </w:t>
      </w:r>
      <w:r>
        <w:rPr>
          <w:rFonts w:cs="Arial"/>
          <w:rtl/>
        </w:rPr>
        <w:t>ואיני יודע זו מנין לו</w:t>
      </w:r>
      <w:r>
        <w:rPr>
          <w:rFonts w:cs="Arial" w:hint="cs"/>
          <w:rtl/>
        </w:rPr>
        <w:t>.</w:t>
      </w:r>
      <w:r>
        <w:rPr>
          <w:rFonts w:cs="Arial"/>
          <w:rtl/>
        </w:rPr>
        <w:t xml:space="preserve"> ואיפשר שהוא לומד כן בקל וחומר ממקללת יולדיו בפניו</w:t>
      </w:r>
      <w:r>
        <w:rPr>
          <w:rFonts w:cs="Arial" w:hint="cs"/>
          <w:rtl/>
        </w:rPr>
        <w:t xml:space="preserve"> -</w:t>
      </w:r>
      <w:r>
        <w:rPr>
          <w:rFonts w:cs="Arial"/>
          <w:rtl/>
        </w:rPr>
        <w:t xml:space="preserve"> וקל וחומר פריכא הוא</w:t>
      </w:r>
      <w:r>
        <w:rPr>
          <w:rFonts w:cs="Arial" w:hint="cs"/>
          <w:rtl/>
        </w:rPr>
        <w:t>.</w:t>
      </w:r>
      <w:r>
        <w:rPr>
          <w:rFonts w:cs="Arial"/>
          <w:rtl/>
        </w:rPr>
        <w:t xml:space="preserve"> דאיכא למימר שאני מקללת יולדיו בפניו דחמור כיבוד האב</w:t>
      </w:r>
      <w:r>
        <w:rPr>
          <w:rFonts w:cs="Arial" w:hint="cs"/>
          <w:rtl/>
        </w:rPr>
        <w:t>.</w:t>
      </w:r>
      <w:r>
        <w:rPr>
          <w:rFonts w:cs="Arial"/>
          <w:rtl/>
        </w:rPr>
        <w:t xml:space="preserve"> ועוד ד</w:t>
      </w:r>
      <w:r>
        <w:rPr>
          <w:rFonts w:cs="Arial" w:hint="cs"/>
          <w:rtl/>
        </w:rPr>
        <w:t>א"</w:t>
      </w:r>
      <w:r>
        <w:rPr>
          <w:rFonts w:cs="Arial"/>
          <w:rtl/>
        </w:rPr>
        <w:t>כ לא הוה משתמיט חד מהפוסקים לומר כן</w:t>
      </w:r>
      <w:r>
        <w:rPr>
          <w:rFonts w:cs="Arial" w:hint="cs"/>
          <w:rtl/>
        </w:rPr>
        <w:t xml:space="preserve">, ב"י. </w:t>
      </w:r>
      <w:r w:rsidRPr="00133020">
        <w:rPr>
          <w:rFonts w:cs="Arial"/>
          <w:rtl/>
        </w:rPr>
        <w:t>ול</w:t>
      </w:r>
      <w:r>
        <w:rPr>
          <w:rFonts w:cs="Arial" w:hint="cs"/>
          <w:rtl/>
        </w:rPr>
        <w:t xml:space="preserve">י </w:t>
      </w:r>
      <w:r w:rsidRPr="00133020">
        <w:rPr>
          <w:rFonts w:cs="Arial"/>
          <w:rtl/>
        </w:rPr>
        <w:t>נ</w:t>
      </w:r>
      <w:r>
        <w:rPr>
          <w:rFonts w:cs="Arial" w:hint="cs"/>
          <w:rtl/>
        </w:rPr>
        <w:t>ראה</w:t>
      </w:r>
      <w:r w:rsidRPr="00133020">
        <w:rPr>
          <w:rFonts w:cs="Arial"/>
          <w:rtl/>
        </w:rPr>
        <w:t xml:space="preserve"> דס"ל כהג"מ דמקללות זקנו של בעל בפני הבעל ואין הבעל חייב בכבודו מ"מ דינה כמקללות מכ"ש המקלל' בעלה בפניו</w:t>
      </w:r>
      <w:r>
        <w:rPr>
          <w:rFonts w:cs="Arial" w:hint="cs"/>
          <w:rtl/>
        </w:rPr>
        <w:t xml:space="preserve">, </w:t>
      </w:r>
      <w:r w:rsidRPr="00A17994">
        <w:rPr>
          <w:rFonts w:cs="Arial" w:hint="cs"/>
          <w:b/>
          <w:bCs/>
          <w:rtl/>
        </w:rPr>
        <w:t>ב"ש</w:t>
      </w:r>
      <w:r>
        <w:rPr>
          <w:rFonts w:cs="Arial" w:hint="cs"/>
          <w:rtl/>
        </w:rPr>
        <w:t xml:space="preserve"> (סקט"ז).</w:t>
      </w:r>
      <w:r w:rsidRPr="00133020">
        <w:rPr>
          <w:rFonts w:cs="Arial"/>
          <w:rtl/>
        </w:rPr>
        <w:t xml:space="preserve"> </w:t>
      </w:r>
      <w:r w:rsidR="00A17994">
        <w:rPr>
          <w:rFonts w:cs="Arial" w:hint="cs"/>
          <w:rtl/>
        </w:rPr>
        <w:t xml:space="preserve">    </w:t>
      </w:r>
      <w:r w:rsidRPr="00026E9E">
        <w:rPr>
          <w:rFonts w:cs="Arial"/>
          <w:rtl/>
        </w:rPr>
        <w:t xml:space="preserve">ועיין לקמן סי' קנד </w:t>
      </w:r>
      <w:r>
        <w:rPr>
          <w:rFonts w:cs="Arial" w:hint="cs"/>
          <w:rtl/>
        </w:rPr>
        <w:t xml:space="preserve">סע' ג בדברי הרמ"א, ובדרכ"מ שם (אות כא), ששם מביא כמה דינים לגבי מי שאשתו מקללתו או מזלזלת בהוריו/בהוריה. </w:t>
      </w:r>
    </w:p>
  </w:footnote>
  <w:footnote w:id="2837">
    <w:p w14:paraId="14C36C63" w14:textId="0B361FCF" w:rsidR="00392DBB" w:rsidRDefault="00392DBB" w:rsidP="00392DBB">
      <w:pPr>
        <w:pStyle w:val="a5"/>
      </w:pPr>
      <w:r>
        <w:rPr>
          <w:rStyle w:val="a7"/>
        </w:rPr>
        <w:footnoteRef/>
      </w:r>
      <w:r>
        <w:rPr>
          <w:rtl/>
        </w:rPr>
        <w:t xml:space="preserve"> </w:t>
      </w:r>
      <w:r w:rsidRPr="00A3390B">
        <w:rPr>
          <w:rFonts w:cs="Arial"/>
          <w:rtl/>
        </w:rPr>
        <w:t>ואיני יודע למה לא טען עליהם מטעם דעוברת על דת צריכה התראה כדלקמן</w:t>
      </w:r>
      <w:r>
        <w:rPr>
          <w:rFonts w:cs="Arial" w:hint="cs"/>
          <w:rtl/>
        </w:rPr>
        <w:t xml:space="preserve">, </w:t>
      </w:r>
      <w:r w:rsidRPr="00A17994">
        <w:rPr>
          <w:rFonts w:cs="Arial" w:hint="cs"/>
          <w:b/>
          <w:bCs/>
          <w:rtl/>
        </w:rPr>
        <w:t>ב"י</w:t>
      </w:r>
      <w:r>
        <w:rPr>
          <w:rFonts w:cs="Arial" w:hint="cs"/>
          <w:rtl/>
        </w:rPr>
        <w:t>.</w:t>
      </w:r>
      <w:r w:rsidRPr="00026E9E">
        <w:rPr>
          <w:rFonts w:cs="Arial"/>
          <w:rtl/>
        </w:rPr>
        <w:t xml:space="preserve"> </w:t>
      </w:r>
      <w:r w:rsidR="00A17994">
        <w:rPr>
          <w:rFonts w:cs="Arial" w:hint="cs"/>
          <w:rtl/>
        </w:rPr>
        <w:t xml:space="preserve">    </w:t>
      </w:r>
      <w:r w:rsidRPr="00026E9E">
        <w:rPr>
          <w:rFonts w:cs="Arial"/>
          <w:rtl/>
        </w:rPr>
        <w:t>ונראה דמיירי בהתרו בה דאי לאו הכי אפילו הוי עוברת לא הפסידה כתובתה כדלקמן</w:t>
      </w:r>
      <w:r>
        <w:rPr>
          <w:rFonts w:cs="Arial" w:hint="cs"/>
          <w:rtl/>
        </w:rPr>
        <w:t xml:space="preserve">, </w:t>
      </w:r>
      <w:r w:rsidRPr="00A17994">
        <w:rPr>
          <w:rFonts w:cs="Arial" w:hint="cs"/>
          <w:b/>
          <w:bCs/>
          <w:rtl/>
        </w:rPr>
        <w:t>דרכ"מ</w:t>
      </w:r>
      <w:r>
        <w:rPr>
          <w:rFonts w:cs="Arial" w:hint="cs"/>
          <w:rtl/>
        </w:rPr>
        <w:t xml:space="preserve"> (אות ה).</w:t>
      </w:r>
      <w:r>
        <w:rPr>
          <w:rFonts w:hint="cs"/>
          <w:rtl/>
        </w:rPr>
        <w:t xml:space="preserve"> </w:t>
      </w:r>
      <w:r w:rsidR="00A17994">
        <w:rPr>
          <w:rFonts w:hint="cs"/>
          <w:rtl/>
        </w:rPr>
        <w:t xml:space="preserve">    </w:t>
      </w:r>
      <w:r>
        <w:rPr>
          <w:rFonts w:hint="cs"/>
          <w:rtl/>
        </w:rPr>
        <w:t>ועיין בב"ש (סקי"א) המובא בסמוך על דברי השו"ע, שיישב שהרשב"א כתב כך משום שעשתה כך מתוך כעס ולא מכוונת פריצות, אבל גם הוא מודה שאם עשתה כן מכוונת פריצות אפי' פעם אחת סגי.</w:t>
      </w:r>
    </w:p>
  </w:footnote>
  <w:footnote w:id="2838">
    <w:p w14:paraId="2821D64D" w14:textId="77777777" w:rsidR="00392DBB" w:rsidRDefault="00392DBB" w:rsidP="00392DBB">
      <w:pPr>
        <w:pStyle w:val="a5"/>
      </w:pPr>
      <w:r>
        <w:rPr>
          <w:rStyle w:val="a7"/>
        </w:rPr>
        <w:footnoteRef/>
      </w:r>
      <w:r>
        <w:rPr>
          <w:rtl/>
        </w:rPr>
        <w:t xml:space="preserve"> </w:t>
      </w:r>
      <w:r w:rsidRPr="00026E9E">
        <w:rPr>
          <w:rFonts w:cs="Arial"/>
          <w:rtl/>
        </w:rPr>
        <w:t>וצ"ע דהא אין הבעל חייב בכבוד זקנו כבכבוד אביו ואין ראיה מזה לזה</w:t>
      </w:r>
      <w:r>
        <w:rPr>
          <w:rFonts w:cs="Arial" w:hint="cs"/>
          <w:rtl/>
        </w:rPr>
        <w:t>, דרכ"מ (אות ו).</w:t>
      </w:r>
      <w:r>
        <w:rPr>
          <w:rFonts w:hint="cs"/>
          <w:rtl/>
        </w:rPr>
        <w:t xml:space="preserve"> ועוד שהתוס' (עב: ד"ה יולידיו) הביאו פירוש זה ודחו אותו.</w:t>
      </w:r>
    </w:p>
  </w:footnote>
  <w:footnote w:id="2839">
    <w:p w14:paraId="352714A0" w14:textId="77777777" w:rsidR="00392DBB" w:rsidRDefault="00392DBB" w:rsidP="00392DBB">
      <w:pPr>
        <w:pStyle w:val="a5"/>
      </w:pPr>
      <w:r>
        <w:rPr>
          <w:rStyle w:val="a7"/>
        </w:rPr>
        <w:footnoteRef/>
      </w:r>
      <w:r>
        <w:rPr>
          <w:rtl/>
        </w:rPr>
        <w:t xml:space="preserve"> </w:t>
      </w:r>
      <w:r w:rsidRPr="00D37E8C">
        <w:rPr>
          <w:rFonts w:cs="Arial"/>
          <w:rtl/>
        </w:rPr>
        <w:t xml:space="preserve">מיהו כיון דלא התרה בה בעדים אינה יוצאה בלא כתובה, דהא מסקינן בפרק ארוסה </w:t>
      </w:r>
      <w:r>
        <w:rPr>
          <w:rFonts w:cs="Arial" w:hint="cs"/>
          <w:rtl/>
        </w:rPr>
        <w:t>(</w:t>
      </w:r>
      <w:r w:rsidRPr="00D37E8C">
        <w:rPr>
          <w:rFonts w:cs="Arial"/>
          <w:rtl/>
        </w:rPr>
        <w:t>סוטה כה</w:t>
      </w:r>
      <w:r>
        <w:rPr>
          <w:rFonts w:cs="Arial" w:hint="cs"/>
          <w:rtl/>
        </w:rPr>
        <w:t>.)</w:t>
      </w:r>
      <w:r w:rsidRPr="00D37E8C">
        <w:rPr>
          <w:rFonts w:cs="Arial"/>
          <w:rtl/>
        </w:rPr>
        <w:t xml:space="preserve"> דעוברת על דת צריכה התראה לעניין להפסידה כתובתה. ואם יש עדים שעברה על דת, ואין עדים שהתרה בה וגם היא אומרת שלא התרה בה, יכול לגרשה בעל כרחה, מיהו לאחר שיגרשנה יצטרך ליתן לה כתובה כיון דאמרה דלא התרה בה ועידי התראה נמי ליכא</w:t>
      </w:r>
      <w:r>
        <w:rPr>
          <w:rFonts w:cs="Arial" w:hint="cs"/>
          <w:rtl/>
        </w:rPr>
        <w:t>, מהר"ם (שם).</w:t>
      </w:r>
    </w:p>
  </w:footnote>
  <w:footnote w:id="2840">
    <w:p w14:paraId="374F10FF" w14:textId="77777777" w:rsidR="00392DBB" w:rsidRDefault="00392DBB" w:rsidP="00392DBB">
      <w:pPr>
        <w:pStyle w:val="a5"/>
        <w:rPr>
          <w:rtl/>
        </w:rPr>
      </w:pPr>
      <w:r>
        <w:rPr>
          <w:rStyle w:val="a7"/>
        </w:rPr>
        <w:footnoteRef/>
      </w:r>
      <w:r>
        <w:rPr>
          <w:rtl/>
        </w:rPr>
        <w:t xml:space="preserve"> </w:t>
      </w:r>
      <w:r w:rsidRPr="00BC622F">
        <w:rPr>
          <w:rFonts w:cs="Arial"/>
          <w:rtl/>
        </w:rPr>
        <w:t>ול</w:t>
      </w:r>
      <w:r>
        <w:rPr>
          <w:rFonts w:cs="Arial" w:hint="cs"/>
          <w:rtl/>
        </w:rPr>
        <w:t xml:space="preserve">או </w:t>
      </w:r>
      <w:r w:rsidRPr="00BC622F">
        <w:rPr>
          <w:rFonts w:cs="Arial"/>
          <w:rtl/>
        </w:rPr>
        <w:t>ד</w:t>
      </w:r>
      <w:r>
        <w:rPr>
          <w:rFonts w:cs="Arial" w:hint="cs"/>
          <w:rtl/>
        </w:rPr>
        <w:t>וקא</w:t>
      </w:r>
      <w:r w:rsidRPr="00BC622F">
        <w:rPr>
          <w:rFonts w:cs="Arial"/>
          <w:rtl/>
        </w:rPr>
        <w:t xml:space="preserve"> בשוק או בחצר אלא כל שרואין אותה עוברי דרך. עוברת על דת מיקרי כנה"ג בשם מ"ץ</w:t>
      </w:r>
      <w:r>
        <w:rPr>
          <w:rFonts w:hint="cs"/>
          <w:rtl/>
        </w:rPr>
        <w:t>, באה"ט (סק"ט).</w:t>
      </w:r>
    </w:p>
  </w:footnote>
  <w:footnote w:id="2841">
    <w:p w14:paraId="6F4BDC6D" w14:textId="77777777" w:rsidR="00392DBB" w:rsidRDefault="00392DBB" w:rsidP="00392DBB">
      <w:pPr>
        <w:pStyle w:val="a5"/>
      </w:pPr>
      <w:r>
        <w:rPr>
          <w:rStyle w:val="a7"/>
        </w:rPr>
        <w:footnoteRef/>
      </w:r>
      <w:r>
        <w:rPr>
          <w:rtl/>
        </w:rPr>
        <w:t xml:space="preserve"> </w:t>
      </w:r>
      <w:r w:rsidRPr="004F2529">
        <w:rPr>
          <w:rFonts w:cs="Arial"/>
          <w:rtl/>
        </w:rPr>
        <w:t>הכלל הוא</w:t>
      </w:r>
      <w:r>
        <w:rPr>
          <w:rFonts w:cs="Arial" w:hint="cs"/>
          <w:rtl/>
        </w:rPr>
        <w:t>,</w:t>
      </w:r>
      <w:r w:rsidRPr="004F2529">
        <w:rPr>
          <w:rFonts w:cs="Arial"/>
          <w:rtl/>
        </w:rPr>
        <w:t xml:space="preserve"> בר</w:t>
      </w:r>
      <w:r>
        <w:rPr>
          <w:rFonts w:cs="Arial" w:hint="cs"/>
          <w:rtl/>
        </w:rPr>
        <w:t xml:space="preserve">שות </w:t>
      </w:r>
      <w:r w:rsidRPr="004F2529">
        <w:rPr>
          <w:rFonts w:cs="Arial"/>
          <w:rtl/>
        </w:rPr>
        <w:t>ה</w:t>
      </w:r>
      <w:r>
        <w:rPr>
          <w:rFonts w:cs="Arial" w:hint="cs"/>
          <w:rtl/>
        </w:rPr>
        <w:t>רבים</w:t>
      </w:r>
      <w:r w:rsidRPr="004F2529">
        <w:rPr>
          <w:rFonts w:cs="Arial"/>
          <w:rtl/>
        </w:rPr>
        <w:t xml:space="preserve"> וראשה פרוע לגמרי </w:t>
      </w:r>
      <w:r>
        <w:rPr>
          <w:rFonts w:cs="Arial" w:hint="cs"/>
          <w:rtl/>
        </w:rPr>
        <w:t xml:space="preserve">- </w:t>
      </w:r>
      <w:r w:rsidRPr="004F2529">
        <w:rPr>
          <w:rFonts w:cs="Arial"/>
          <w:rtl/>
        </w:rPr>
        <w:t>הוי ד</w:t>
      </w:r>
      <w:r>
        <w:rPr>
          <w:rFonts w:cs="Arial" w:hint="cs"/>
          <w:rtl/>
        </w:rPr>
        <w:t>ת משה.</w:t>
      </w:r>
      <w:r w:rsidRPr="004F2529">
        <w:rPr>
          <w:rFonts w:cs="Arial"/>
          <w:rtl/>
        </w:rPr>
        <w:t xml:space="preserve"> ואם ראשה מכוסה בקלתה או בשאר דבר אלא דאינה מכוסה כדרך הנשים </w:t>
      </w:r>
      <w:r>
        <w:rPr>
          <w:rFonts w:cs="Arial" w:hint="cs"/>
          <w:rtl/>
        </w:rPr>
        <w:t xml:space="preserve">- </w:t>
      </w:r>
      <w:r w:rsidRPr="004F2529">
        <w:rPr>
          <w:rFonts w:cs="Arial"/>
          <w:rtl/>
        </w:rPr>
        <w:t>אז הוי ד</w:t>
      </w:r>
      <w:r>
        <w:rPr>
          <w:rFonts w:cs="Arial" w:hint="cs"/>
          <w:rtl/>
        </w:rPr>
        <w:t>ת יהודית.</w:t>
      </w:r>
      <w:r w:rsidRPr="004F2529">
        <w:rPr>
          <w:rFonts w:cs="Arial"/>
          <w:rtl/>
        </w:rPr>
        <w:t xml:space="preserve"> ובחצר שאין רבים בוקעים </w:t>
      </w:r>
      <w:r>
        <w:rPr>
          <w:rFonts w:cs="Arial" w:hint="cs"/>
          <w:rtl/>
        </w:rPr>
        <w:t xml:space="preserve">- </w:t>
      </w:r>
      <w:r w:rsidRPr="004F2529">
        <w:rPr>
          <w:rFonts w:cs="Arial"/>
          <w:rtl/>
        </w:rPr>
        <w:t>לפרש"י ותו' ליכ</w:t>
      </w:r>
      <w:r>
        <w:rPr>
          <w:rFonts w:cs="Arial" w:hint="cs"/>
          <w:rtl/>
        </w:rPr>
        <w:t>א</w:t>
      </w:r>
      <w:r w:rsidRPr="004F2529">
        <w:rPr>
          <w:rFonts w:cs="Arial"/>
          <w:rtl/>
        </w:rPr>
        <w:t xml:space="preserve"> איסור אפילו פרוע לגמרי</w:t>
      </w:r>
      <w:r>
        <w:rPr>
          <w:rFonts w:cs="Arial" w:hint="cs"/>
          <w:rtl/>
        </w:rPr>
        <w:t>.</w:t>
      </w:r>
      <w:r w:rsidRPr="004F2529">
        <w:rPr>
          <w:rFonts w:cs="Arial"/>
          <w:rtl/>
        </w:rPr>
        <w:t xml:space="preserve"> ומחצר לחצר דרך מבוי ופרוע לגמרי </w:t>
      </w:r>
      <w:r>
        <w:rPr>
          <w:rFonts w:cs="Arial" w:hint="cs"/>
          <w:rtl/>
        </w:rPr>
        <w:t xml:space="preserve">- </w:t>
      </w:r>
      <w:r w:rsidRPr="004F2529">
        <w:rPr>
          <w:rFonts w:cs="Arial"/>
          <w:rtl/>
        </w:rPr>
        <w:t>הוי ד</w:t>
      </w:r>
      <w:r>
        <w:rPr>
          <w:rFonts w:cs="Arial" w:hint="cs"/>
          <w:rtl/>
        </w:rPr>
        <w:t>ת יהודית,</w:t>
      </w:r>
      <w:r w:rsidRPr="004F2529">
        <w:rPr>
          <w:rFonts w:cs="Arial"/>
          <w:rtl/>
        </w:rPr>
        <w:t xml:space="preserve"> וקלתה מותר</w:t>
      </w:r>
      <w:r>
        <w:rPr>
          <w:rFonts w:cs="Arial" w:hint="cs"/>
          <w:rtl/>
        </w:rPr>
        <w:t>.</w:t>
      </w:r>
      <w:r w:rsidRPr="004F2529">
        <w:rPr>
          <w:rFonts w:cs="Arial"/>
          <w:rtl/>
        </w:rPr>
        <w:t xml:space="preserve"> אבל בסמ"ג הביא </w:t>
      </w:r>
      <w:r>
        <w:rPr>
          <w:rFonts w:cs="Arial" w:hint="cs"/>
          <w:rtl/>
        </w:rPr>
        <w:t>את ה</w:t>
      </w:r>
      <w:r w:rsidRPr="004F2529">
        <w:rPr>
          <w:rFonts w:cs="Arial"/>
          <w:rtl/>
        </w:rPr>
        <w:t xml:space="preserve">ירושלמי </w:t>
      </w:r>
      <w:r>
        <w:rPr>
          <w:rFonts w:cs="Arial" w:hint="cs"/>
          <w:rtl/>
        </w:rPr>
        <w:t>ד</w:t>
      </w:r>
      <w:r w:rsidRPr="004F2529">
        <w:rPr>
          <w:rFonts w:cs="Arial"/>
          <w:rtl/>
        </w:rPr>
        <w:t>אפי' בחצר יש איסור אם ראשה פרוע לגמרי</w:t>
      </w:r>
      <w:r>
        <w:rPr>
          <w:rFonts w:cs="Arial" w:hint="cs"/>
          <w:rtl/>
        </w:rPr>
        <w:t>,</w:t>
      </w:r>
      <w:r w:rsidRPr="004F2529">
        <w:rPr>
          <w:rFonts w:cs="Arial"/>
          <w:rtl/>
        </w:rPr>
        <w:t xml:space="preserve"> וכ"כ בש"ג</w:t>
      </w:r>
      <w:r>
        <w:rPr>
          <w:rFonts w:cs="Arial" w:hint="cs"/>
          <w:rtl/>
        </w:rPr>
        <w:t>.</w:t>
      </w:r>
      <w:r w:rsidRPr="004F2529">
        <w:rPr>
          <w:rFonts w:cs="Arial"/>
          <w:rtl/>
        </w:rPr>
        <w:t xml:space="preserve"> ולכאורה משמע דיש ד</w:t>
      </w:r>
      <w:r>
        <w:rPr>
          <w:rFonts w:cs="Arial" w:hint="cs"/>
          <w:rtl/>
        </w:rPr>
        <w:t>ת יהודית</w:t>
      </w:r>
      <w:r w:rsidRPr="004F2529">
        <w:rPr>
          <w:rFonts w:cs="Arial"/>
          <w:rtl/>
        </w:rPr>
        <w:t xml:space="preserve"> ויוצאה בלא כתובה</w:t>
      </w:r>
      <w:r>
        <w:rPr>
          <w:rFonts w:cs="Arial" w:hint="cs"/>
          <w:rtl/>
        </w:rPr>
        <w:t>.</w:t>
      </w:r>
      <w:r w:rsidRPr="004F2529">
        <w:rPr>
          <w:rFonts w:cs="Arial"/>
          <w:rtl/>
        </w:rPr>
        <w:t xml:space="preserve"> דהא תני' </w:t>
      </w:r>
      <w:r>
        <w:rPr>
          <w:rFonts w:cs="Arial" w:hint="cs"/>
          <w:rtl/>
        </w:rPr>
        <w:t>(בירושלמי שם)</w:t>
      </w:r>
      <w:r>
        <w:rPr>
          <w:rFonts w:cs="Arial" w:hint="cs"/>
        </w:rPr>
        <w:t xml:space="preserve"> </w:t>
      </w:r>
      <w:r w:rsidRPr="004F2529">
        <w:rPr>
          <w:rFonts w:cs="Arial"/>
          <w:rtl/>
        </w:rPr>
        <w:t>היוצאת בקפלוטות</w:t>
      </w:r>
      <w:r>
        <w:rPr>
          <w:rFonts w:cs="Arial" w:hint="cs"/>
          <w:rtl/>
        </w:rPr>
        <w:t>,</w:t>
      </w:r>
      <w:r w:rsidRPr="004F2529">
        <w:rPr>
          <w:rFonts w:cs="Arial"/>
          <w:rtl/>
        </w:rPr>
        <w:t xml:space="preserve"> היינו רדיד</w:t>
      </w:r>
      <w:r>
        <w:rPr>
          <w:rFonts w:cs="Arial" w:hint="cs"/>
          <w:rtl/>
        </w:rPr>
        <w:t>,</w:t>
      </w:r>
      <w:r w:rsidRPr="004F2529">
        <w:rPr>
          <w:rFonts w:cs="Arial"/>
          <w:rtl/>
        </w:rPr>
        <w:t xml:space="preserve"> אין בו משום פריעת הראש בחצר</w:t>
      </w:r>
      <w:r>
        <w:rPr>
          <w:rFonts w:cs="Arial" w:hint="cs"/>
          <w:rtl/>
        </w:rPr>
        <w:t>.</w:t>
      </w:r>
      <w:r w:rsidRPr="004F2529">
        <w:rPr>
          <w:rFonts w:cs="Arial"/>
          <w:rtl/>
        </w:rPr>
        <w:t xml:space="preserve"> אבל במבוי יש בו משום פ</w:t>
      </w:r>
      <w:r>
        <w:rPr>
          <w:rFonts w:cs="Arial" w:hint="cs"/>
          <w:rtl/>
        </w:rPr>
        <w:t>ריעת הראש</w:t>
      </w:r>
      <w:r w:rsidRPr="004F2529">
        <w:rPr>
          <w:rFonts w:cs="Arial"/>
          <w:rtl/>
        </w:rPr>
        <w:t xml:space="preserve"> היינו ד</w:t>
      </w:r>
      <w:r>
        <w:rPr>
          <w:rFonts w:cs="Arial" w:hint="cs"/>
          <w:rtl/>
        </w:rPr>
        <w:t>ת יהודית.</w:t>
      </w:r>
      <w:r w:rsidRPr="004F2529">
        <w:rPr>
          <w:rFonts w:cs="Arial"/>
          <w:rtl/>
        </w:rPr>
        <w:t xml:space="preserve"> א"כ בחצר אי לאו משום כסוי יש בו ג"כ משום פ</w:t>
      </w:r>
      <w:r>
        <w:rPr>
          <w:rFonts w:cs="Arial" w:hint="cs"/>
          <w:rtl/>
        </w:rPr>
        <w:t>ריעת הראש</w:t>
      </w:r>
      <w:r w:rsidRPr="004F2529">
        <w:rPr>
          <w:rFonts w:cs="Arial"/>
          <w:rtl/>
        </w:rPr>
        <w:t xml:space="preserve"> והוי ד</w:t>
      </w:r>
      <w:r>
        <w:rPr>
          <w:rFonts w:cs="Arial" w:hint="cs"/>
          <w:rtl/>
        </w:rPr>
        <w:t>ת יהודית.</w:t>
      </w:r>
      <w:r w:rsidRPr="004F2529">
        <w:rPr>
          <w:rFonts w:cs="Arial"/>
          <w:rtl/>
        </w:rPr>
        <w:t xml:space="preserve"> ואפשר </w:t>
      </w:r>
      <w:r>
        <w:rPr>
          <w:rFonts w:cs="Arial" w:hint="cs"/>
          <w:rtl/>
        </w:rPr>
        <w:t>ד</w:t>
      </w:r>
      <w:r w:rsidRPr="004F2529">
        <w:rPr>
          <w:rFonts w:cs="Arial"/>
          <w:rtl/>
        </w:rPr>
        <w:t>לענין כתובה קי"ל כסוגי' שלנו</w:t>
      </w:r>
      <w:r>
        <w:rPr>
          <w:rFonts w:cs="Arial" w:hint="cs"/>
          <w:rtl/>
        </w:rPr>
        <w:t>.</w:t>
      </w:r>
      <w:r w:rsidRPr="004F2529">
        <w:rPr>
          <w:rFonts w:cs="Arial"/>
          <w:rtl/>
        </w:rPr>
        <w:t xml:space="preserve"> מיהו לענין איסור י"ל </w:t>
      </w:r>
      <w:r>
        <w:rPr>
          <w:rFonts w:cs="Arial" w:hint="cs"/>
          <w:rtl/>
        </w:rPr>
        <w:t>ד</w:t>
      </w:r>
      <w:r w:rsidRPr="004F2529">
        <w:rPr>
          <w:rFonts w:cs="Arial"/>
          <w:rtl/>
        </w:rPr>
        <w:t>אף סוגי' שלנו ס"ל דאסור</w:t>
      </w:r>
      <w:r>
        <w:rPr>
          <w:rFonts w:cs="Arial" w:hint="cs"/>
          <w:rtl/>
        </w:rPr>
        <w:t>,</w:t>
      </w:r>
      <w:r w:rsidRPr="004F2529">
        <w:rPr>
          <w:rFonts w:cs="Arial"/>
          <w:rtl/>
        </w:rPr>
        <w:t xml:space="preserve"> וקושית המקשן לא הנחת בת לאברהם אבינו וכו' י"ל כמ"ש בב"ח</w:t>
      </w:r>
      <w:r>
        <w:rPr>
          <w:rFonts w:cs="Arial" w:hint="cs"/>
          <w:rtl/>
        </w:rPr>
        <w:t>.</w:t>
      </w:r>
      <w:r w:rsidRPr="004F2529">
        <w:rPr>
          <w:rFonts w:cs="Arial"/>
          <w:rtl/>
        </w:rPr>
        <w:t xml:space="preserve"> וכן הוא דעת הטור</w:t>
      </w:r>
      <w:r>
        <w:rPr>
          <w:rFonts w:cs="Arial" w:hint="cs"/>
          <w:rtl/>
        </w:rPr>
        <w:t>,</w:t>
      </w:r>
      <w:r w:rsidRPr="004F2529">
        <w:rPr>
          <w:rFonts w:cs="Arial"/>
          <w:rtl/>
        </w:rPr>
        <w:t xml:space="preserve"> ועיין בד"מ</w:t>
      </w:r>
      <w:r>
        <w:rPr>
          <w:rFonts w:cs="Arial" w:hint="cs"/>
          <w:rtl/>
        </w:rPr>
        <w:t>,</w:t>
      </w:r>
      <w:r w:rsidRPr="004F2529">
        <w:rPr>
          <w:rFonts w:cs="Arial"/>
          <w:rtl/>
        </w:rPr>
        <w:t xml:space="preserve"> ועיין לקמן</w:t>
      </w:r>
      <w:r>
        <w:rPr>
          <w:rFonts w:cs="Arial" w:hint="cs"/>
          <w:rtl/>
        </w:rPr>
        <w:t>, ב"ש (סק"ט).</w:t>
      </w:r>
    </w:p>
  </w:footnote>
  <w:footnote w:id="2842">
    <w:p w14:paraId="4C5440FA" w14:textId="77777777" w:rsidR="00392DBB" w:rsidRDefault="00392DBB" w:rsidP="00392DBB">
      <w:pPr>
        <w:pStyle w:val="a5"/>
        <w:rPr>
          <w:rtl/>
        </w:rPr>
      </w:pPr>
      <w:r>
        <w:rPr>
          <w:rStyle w:val="a7"/>
        </w:rPr>
        <w:footnoteRef/>
      </w:r>
      <w:r>
        <w:rPr>
          <w:rtl/>
        </w:rPr>
        <w:t xml:space="preserve"> </w:t>
      </w:r>
      <w:r w:rsidRPr="00E0344F">
        <w:rPr>
          <w:rFonts w:cs="Arial"/>
          <w:rtl/>
        </w:rPr>
        <w:t>הנשים היוצאות בכיסוי שערות שלהם ובמקום קליעת שער נושאות שערות חוברות שקורין קרינאל"ו בלע"ז אין בזה משום יוצאת וראשה פרוע ל"ש שערות דידה ול"ש שערות דחברתה אעפ"י שקשור הוא לה כדי שתראה בעלת שער אין בכך כלום ש"ג פרק במה אשה</w:t>
      </w:r>
      <w:r>
        <w:rPr>
          <w:rFonts w:hint="cs"/>
          <w:rtl/>
        </w:rPr>
        <w:t>, באה"ט (סק"י).</w:t>
      </w:r>
    </w:p>
  </w:footnote>
  <w:footnote w:id="2843">
    <w:p w14:paraId="574D8891" w14:textId="77777777" w:rsidR="00392DBB" w:rsidRDefault="00392DBB" w:rsidP="00392DBB">
      <w:pPr>
        <w:pStyle w:val="a5"/>
      </w:pPr>
      <w:r>
        <w:rPr>
          <w:rStyle w:val="a7"/>
        </w:rPr>
        <w:footnoteRef/>
      </w:r>
      <w:r>
        <w:rPr>
          <w:rtl/>
        </w:rPr>
        <w:t xml:space="preserve"> </w:t>
      </w:r>
      <w:r w:rsidRPr="009D739A">
        <w:rPr>
          <w:rFonts w:cs="Arial"/>
          <w:rtl/>
        </w:rPr>
        <w:t>ואם אין שערה מכוסה כלל מחצר לחצר דרך מבוי שאינו מפולש יש בו משום פריעת ראש ובתוך חצירה אין בו משום פריעת ראש שתקרא מחמת זה עוברת על דת יהודית ואם הוא אסור לכתחלה עיין בב"ח ובד"מ ולעיל סימן כ"א סתם שאין איסור בפריעת ראש רק בשוק ולא בחצר</w:t>
      </w:r>
      <w:r>
        <w:rPr>
          <w:rFonts w:cs="Arial" w:hint="cs"/>
          <w:rtl/>
        </w:rPr>
        <w:t>, ח"מ (סק"ט).</w:t>
      </w:r>
    </w:p>
  </w:footnote>
  <w:footnote w:id="2844">
    <w:p w14:paraId="547D0308" w14:textId="7867B437" w:rsidR="00392DBB" w:rsidRDefault="00392DBB" w:rsidP="00392DBB">
      <w:pPr>
        <w:pStyle w:val="a5"/>
      </w:pPr>
      <w:r>
        <w:rPr>
          <w:rStyle w:val="a7"/>
        </w:rPr>
        <w:footnoteRef/>
      </w:r>
      <w:r>
        <w:rPr>
          <w:rtl/>
        </w:rPr>
        <w:t xml:space="preserve"> </w:t>
      </w:r>
      <w:r w:rsidRPr="0040797A">
        <w:rPr>
          <w:rFonts w:cs="Arial"/>
          <w:rtl/>
        </w:rPr>
        <w:t>לא ידעתי למה העתיק זה דאי בלא התרו בה אפילו ברגילה אינה מפסד' כתובתה</w:t>
      </w:r>
      <w:r w:rsidR="009E1EFA">
        <w:rPr>
          <w:rFonts w:cs="Arial" w:hint="cs"/>
          <w:rtl/>
        </w:rPr>
        <w:t>,</w:t>
      </w:r>
      <w:r w:rsidRPr="0040797A">
        <w:rPr>
          <w:rFonts w:cs="Arial"/>
          <w:rtl/>
        </w:rPr>
        <w:t xml:space="preserve"> ואם התרו בה ועבר' על ההתרא' אפי' בפעם אחת מפסדת כתובתה</w:t>
      </w:r>
      <w:r w:rsidR="009E1EFA">
        <w:rPr>
          <w:rFonts w:cs="Arial" w:hint="cs"/>
          <w:rtl/>
        </w:rPr>
        <w:t>,</w:t>
      </w:r>
      <w:r w:rsidRPr="0040797A">
        <w:rPr>
          <w:rFonts w:cs="Arial"/>
          <w:rtl/>
        </w:rPr>
        <w:t xml:space="preserve"> דלא נתנו חכמים שיעור לדבר</w:t>
      </w:r>
      <w:r w:rsidR="009E1EFA">
        <w:rPr>
          <w:rFonts w:cs="Arial" w:hint="cs"/>
          <w:rtl/>
        </w:rPr>
        <w:t>,</w:t>
      </w:r>
      <w:r w:rsidRPr="0040797A">
        <w:rPr>
          <w:rFonts w:cs="Arial"/>
          <w:rtl/>
        </w:rPr>
        <w:t xml:space="preserve"> והרשב"א בתשובה לרוחא דמילתא נקט דאפילו לקראה בשם עובר' על דת אין ראוי בשביל פעם א' ויש שם ט"ס בתשובה ע"ש</w:t>
      </w:r>
      <w:r>
        <w:rPr>
          <w:rFonts w:cs="Arial" w:hint="cs"/>
          <w:rtl/>
        </w:rPr>
        <w:t xml:space="preserve">, </w:t>
      </w:r>
      <w:r w:rsidRPr="009D2A6D">
        <w:rPr>
          <w:rFonts w:cs="Arial" w:hint="cs"/>
          <w:b/>
          <w:bCs/>
          <w:rtl/>
        </w:rPr>
        <w:t>ח"מ</w:t>
      </w:r>
      <w:r>
        <w:rPr>
          <w:rFonts w:cs="Arial" w:hint="cs"/>
          <w:rtl/>
        </w:rPr>
        <w:t xml:space="preserve"> (סקי"א).</w:t>
      </w:r>
      <w:r w:rsidR="009D2A6D">
        <w:rPr>
          <w:rFonts w:cs="Arial" w:hint="cs"/>
          <w:rtl/>
        </w:rPr>
        <w:t xml:space="preserve">    </w:t>
      </w:r>
      <w:r w:rsidRPr="004F2529">
        <w:rPr>
          <w:rtl/>
        </w:rPr>
        <w:t xml:space="preserve"> </w:t>
      </w:r>
      <w:r w:rsidRPr="004F2529">
        <w:rPr>
          <w:rFonts w:cs="Arial"/>
          <w:rtl/>
        </w:rPr>
        <w:t xml:space="preserve">עיין בתשוב' רשב"א </w:t>
      </w:r>
      <w:r>
        <w:rPr>
          <w:rFonts w:cs="Arial" w:hint="cs"/>
          <w:rtl/>
        </w:rPr>
        <w:t>ד</w:t>
      </w:r>
      <w:r w:rsidRPr="004F2529">
        <w:rPr>
          <w:rFonts w:cs="Arial"/>
          <w:rtl/>
        </w:rPr>
        <w:t>עובד</w:t>
      </w:r>
      <w:r>
        <w:rPr>
          <w:rFonts w:cs="Arial" w:hint="cs"/>
          <w:rtl/>
        </w:rPr>
        <w:t>א</w:t>
      </w:r>
      <w:r w:rsidRPr="004F2529">
        <w:rPr>
          <w:rFonts w:cs="Arial"/>
          <w:rtl/>
        </w:rPr>
        <w:t xml:space="preserve"> היה שהיתה מתקוטט</w:t>
      </w:r>
      <w:r>
        <w:rPr>
          <w:rFonts w:cs="Arial" w:hint="cs"/>
          <w:rtl/>
        </w:rPr>
        <w:t>ת</w:t>
      </w:r>
      <w:r w:rsidRPr="004F2529">
        <w:rPr>
          <w:rFonts w:cs="Arial"/>
          <w:rtl/>
        </w:rPr>
        <w:t xml:space="preserve"> ומחמת כעס גלתה זרועותיה</w:t>
      </w:r>
      <w:r>
        <w:rPr>
          <w:rFonts w:cs="Arial" w:hint="cs"/>
          <w:rtl/>
        </w:rPr>
        <w:t>,</w:t>
      </w:r>
      <w:r w:rsidRPr="004F2529">
        <w:rPr>
          <w:rFonts w:cs="Arial"/>
          <w:rtl/>
        </w:rPr>
        <w:t xml:space="preserve"> וכתב דלא הוי עובר</w:t>
      </w:r>
      <w:r>
        <w:rPr>
          <w:rFonts w:cs="Arial" w:hint="cs"/>
          <w:rtl/>
        </w:rPr>
        <w:t>ת</w:t>
      </w:r>
      <w:r w:rsidRPr="004F2529">
        <w:rPr>
          <w:rFonts w:cs="Arial"/>
          <w:rtl/>
        </w:rPr>
        <w:t xml:space="preserve"> עד"מ דאינה רגילה בכך</w:t>
      </w:r>
      <w:r>
        <w:rPr>
          <w:rFonts w:cs="Arial" w:hint="cs"/>
          <w:rtl/>
        </w:rPr>
        <w:t>.</w:t>
      </w:r>
      <w:r w:rsidRPr="004F2529">
        <w:rPr>
          <w:rFonts w:cs="Arial"/>
          <w:rtl/>
        </w:rPr>
        <w:t xml:space="preserve"> ופי' בד"מ דאיירי בהתרה בה דאל"כ מהיכ' תיתי לומר דהיא עוברת על ד"מ</w:t>
      </w:r>
      <w:r>
        <w:rPr>
          <w:rFonts w:cs="Arial" w:hint="cs"/>
          <w:rtl/>
        </w:rPr>
        <w:t>.</w:t>
      </w:r>
      <w:r w:rsidRPr="004F2529">
        <w:rPr>
          <w:rFonts w:cs="Arial"/>
          <w:rtl/>
        </w:rPr>
        <w:t xml:space="preserve"> ונראה דוקא בכה"ג דגלתה מחמת כעס או בכיוצא בזה </w:t>
      </w:r>
      <w:r>
        <w:rPr>
          <w:rFonts w:cs="Arial" w:hint="cs"/>
          <w:rtl/>
        </w:rPr>
        <w:t xml:space="preserve">- </w:t>
      </w:r>
      <w:r w:rsidRPr="004F2529">
        <w:rPr>
          <w:rFonts w:cs="Arial"/>
          <w:rtl/>
        </w:rPr>
        <w:t>אז אמרינן דלא עשתה מחמת פריצו</w:t>
      </w:r>
      <w:r>
        <w:rPr>
          <w:rFonts w:cs="Arial" w:hint="cs"/>
          <w:rtl/>
        </w:rPr>
        <w:t>ת,</w:t>
      </w:r>
      <w:r w:rsidRPr="004F2529">
        <w:rPr>
          <w:rFonts w:cs="Arial"/>
          <w:rtl/>
        </w:rPr>
        <w:t xml:space="preserve"> אלא דוקא כשרגילה לעשו</w:t>
      </w:r>
      <w:r>
        <w:rPr>
          <w:rFonts w:cs="Arial" w:hint="cs"/>
          <w:rtl/>
        </w:rPr>
        <w:t xml:space="preserve">ת </w:t>
      </w:r>
      <w:r w:rsidRPr="004F2529">
        <w:rPr>
          <w:rFonts w:cs="Arial"/>
          <w:rtl/>
        </w:rPr>
        <w:t xml:space="preserve">כן </w:t>
      </w:r>
      <w:r>
        <w:rPr>
          <w:rFonts w:cs="Arial" w:hint="cs"/>
          <w:rtl/>
        </w:rPr>
        <w:t xml:space="preserve">- </w:t>
      </w:r>
      <w:r w:rsidRPr="004F2529">
        <w:rPr>
          <w:rFonts w:cs="Arial"/>
          <w:rtl/>
        </w:rPr>
        <w:t>אז לא תלינן בשום סיבה כמ"ש בסעיף ד' בשם הת"ה סי' רמ"ב</w:t>
      </w:r>
      <w:r>
        <w:rPr>
          <w:rFonts w:cs="Arial" w:hint="cs"/>
          <w:rtl/>
        </w:rPr>
        <w:t>.</w:t>
      </w:r>
      <w:r w:rsidRPr="004F2529">
        <w:rPr>
          <w:rFonts w:cs="Arial"/>
          <w:rtl/>
        </w:rPr>
        <w:t xml:space="preserve"> אבל אם מגלה את זרועותיה בלא סיבה</w:t>
      </w:r>
      <w:r>
        <w:rPr>
          <w:rFonts w:cs="Arial" w:hint="cs"/>
          <w:rtl/>
        </w:rPr>
        <w:t xml:space="preserve"> - </w:t>
      </w:r>
      <w:r w:rsidRPr="004F2529">
        <w:rPr>
          <w:rFonts w:cs="Arial"/>
          <w:rtl/>
        </w:rPr>
        <w:t>אז אפי' לא רגילה לעשות כן הרי היא עוברת על ד"י</w:t>
      </w:r>
      <w:r>
        <w:rPr>
          <w:rFonts w:cs="Arial" w:hint="cs"/>
          <w:rtl/>
        </w:rPr>
        <w:t>.</w:t>
      </w:r>
      <w:r w:rsidRPr="004F2529">
        <w:rPr>
          <w:rFonts w:cs="Arial"/>
          <w:rtl/>
        </w:rPr>
        <w:t xml:space="preserve"> והרב רמ"א שכתב ורגילה בכך</w:t>
      </w:r>
      <w:r>
        <w:rPr>
          <w:rFonts w:cs="Arial" w:hint="cs"/>
          <w:rtl/>
        </w:rPr>
        <w:t>,</w:t>
      </w:r>
      <w:r w:rsidRPr="004F2529">
        <w:rPr>
          <w:rFonts w:cs="Arial"/>
          <w:rtl/>
        </w:rPr>
        <w:t xml:space="preserve"> משמע אפילו אם מגלה את עצמה בלא סיבה </w:t>
      </w:r>
      <w:r w:rsidR="00F97626">
        <w:rPr>
          <w:rFonts w:cs="Arial"/>
          <w:rtl/>
        </w:rPr>
        <w:t>-</w:t>
      </w:r>
      <w:r>
        <w:rPr>
          <w:rFonts w:cs="Arial" w:hint="cs"/>
          <w:rtl/>
        </w:rPr>
        <w:t xml:space="preserve"> </w:t>
      </w:r>
      <w:r w:rsidRPr="004F2529">
        <w:rPr>
          <w:rFonts w:cs="Arial"/>
          <w:rtl/>
        </w:rPr>
        <w:t>א</w:t>
      </w:r>
      <w:r>
        <w:rPr>
          <w:rFonts w:cs="Arial" w:hint="cs"/>
          <w:rtl/>
        </w:rPr>
        <w:t xml:space="preserve">יני יודע </w:t>
      </w:r>
      <w:r w:rsidRPr="004F2529">
        <w:rPr>
          <w:rFonts w:cs="Arial"/>
          <w:rtl/>
        </w:rPr>
        <w:t>מנ"ל</w:t>
      </w:r>
      <w:r>
        <w:rPr>
          <w:rFonts w:cs="Arial" w:hint="cs"/>
          <w:rtl/>
        </w:rPr>
        <w:t>.</w:t>
      </w:r>
      <w:r w:rsidRPr="004F2529">
        <w:rPr>
          <w:rFonts w:cs="Arial"/>
          <w:rtl/>
        </w:rPr>
        <w:t xml:space="preserve"> וכן תמה עליו בח"מ</w:t>
      </w:r>
      <w:r>
        <w:rPr>
          <w:rFonts w:cs="Arial" w:hint="cs"/>
          <w:rtl/>
        </w:rPr>
        <w:t xml:space="preserve">, </w:t>
      </w:r>
      <w:r w:rsidRPr="00A17994">
        <w:rPr>
          <w:rFonts w:cs="Arial" w:hint="cs"/>
          <w:b/>
          <w:bCs/>
          <w:rtl/>
        </w:rPr>
        <w:t>ב"ש</w:t>
      </w:r>
      <w:r>
        <w:rPr>
          <w:rFonts w:cs="Arial" w:hint="cs"/>
          <w:rtl/>
        </w:rPr>
        <w:t xml:space="preserve"> (סקי"א).</w:t>
      </w:r>
      <w:r w:rsidR="00A17994">
        <w:rPr>
          <w:rFonts w:cs="Arial" w:hint="cs"/>
          <w:rtl/>
        </w:rPr>
        <w:t xml:space="preserve">      </w:t>
      </w:r>
      <w:r w:rsidRPr="007B6C02">
        <w:rPr>
          <w:rFonts w:cs="Arial"/>
          <w:rtl/>
        </w:rPr>
        <w:t xml:space="preserve"> </w:t>
      </w:r>
      <w:r>
        <w:rPr>
          <w:rFonts w:cs="Arial"/>
          <w:rtl/>
        </w:rPr>
        <w:t>וע' בס' בית מאיר שכ' שדברי הרשב"א אפשר ליישב בפשוט ע"פ דברי התה"ד סי' רמ"ב (הובא בב"י) שמסופק דאפשר רגילה לא בעי התראה כו' (ע' ביאור הגר"א ז"ל סקי"ב וגם בתשו' ג"ב סי' כ"ו) וליישב דברי הרמ"א י"ל דגם הרמ"א מודה לדינ' דלענין כתובה אין נ"מ ברגילה</w:t>
      </w:r>
      <w:r>
        <w:rPr>
          <w:rFonts w:cs="Arial" w:hint="cs"/>
          <w:rtl/>
        </w:rPr>
        <w:t>,</w:t>
      </w:r>
      <w:r>
        <w:rPr>
          <w:rFonts w:cs="Arial"/>
          <w:rtl/>
        </w:rPr>
        <w:t xml:space="preserve"> אלא בהתראה תליא</w:t>
      </w:r>
      <w:r>
        <w:rPr>
          <w:rFonts w:cs="Arial" w:hint="cs"/>
          <w:rtl/>
        </w:rPr>
        <w:t>.</w:t>
      </w:r>
      <w:r>
        <w:rPr>
          <w:rFonts w:cs="Arial"/>
          <w:rtl/>
        </w:rPr>
        <w:t xml:space="preserve"> אך מפני שהגיה לקמן דעוברת ע"ד יוכל לגרש בע"כ וזה אפי' בלא התראה כמבואר בתה"ד שם (וכמ"ש לקמן ס"ק י"ד) לזה הוציא מהרשב"א דלא מקריא עוברת בלא התראה אלא ברגילה</w:t>
      </w:r>
      <w:r>
        <w:rPr>
          <w:rFonts w:cs="Arial" w:hint="cs"/>
          <w:rtl/>
        </w:rPr>
        <w:t>.</w:t>
      </w:r>
      <w:r>
        <w:rPr>
          <w:rFonts w:cs="Arial"/>
          <w:rtl/>
        </w:rPr>
        <w:t xml:space="preserve"> ולזה נוטה נמי משמעו' התה"ד שם כו'</w:t>
      </w:r>
      <w:r>
        <w:rPr>
          <w:rFonts w:cs="Arial" w:hint="cs"/>
          <w:rtl/>
        </w:rPr>
        <w:t>.</w:t>
      </w:r>
      <w:r>
        <w:rPr>
          <w:rFonts w:cs="Arial"/>
          <w:rtl/>
        </w:rPr>
        <w:t xml:space="preserve"> אבל ודאי כ"ע מודים שבתר התראה אין לחלק ברגילה</w:t>
      </w:r>
      <w:r>
        <w:rPr>
          <w:rFonts w:cs="Arial" w:hint="cs"/>
          <w:rtl/>
        </w:rPr>
        <w:t>.</w:t>
      </w:r>
      <w:r>
        <w:rPr>
          <w:rFonts w:cs="Arial"/>
          <w:rtl/>
        </w:rPr>
        <w:t xml:space="preserve"> ולהכי נמי כ' הרמ"א ז"ל לקמן בהגה ב' אשה הרגילה להתייחד אך דוקא לענין הגירושין בע"כ</w:t>
      </w:r>
      <w:r>
        <w:rPr>
          <w:rFonts w:cs="Arial" w:hint="cs"/>
          <w:rtl/>
        </w:rPr>
        <w:t>.</w:t>
      </w:r>
      <w:r>
        <w:rPr>
          <w:rFonts w:cs="Arial"/>
          <w:rtl/>
        </w:rPr>
        <w:t xml:space="preserve"> כי כל בלא התראה לא נקראת עוברת עד דרגילה</w:t>
      </w:r>
      <w:r>
        <w:rPr>
          <w:rFonts w:cs="Arial" w:hint="cs"/>
          <w:rtl/>
        </w:rPr>
        <w:t>.</w:t>
      </w:r>
      <w:r>
        <w:rPr>
          <w:rFonts w:cs="Arial"/>
          <w:rtl/>
        </w:rPr>
        <w:t xml:space="preserve"> וזה לע"ד נכון מאוד לדינא עכ"ל ע"ש. וע' בתשו' רבינו עקיבא איגר סי' ק"א שכ' דמדברי רוב הראשונים לכאורה סייעתא גדולה להרמ"א דבאינה רגילה ליכא מצוה ואינו יכול לגרשה בע"כ כו' ע"ש</w:t>
      </w:r>
      <w:r>
        <w:rPr>
          <w:rFonts w:cs="Arial" w:hint="cs"/>
          <w:rtl/>
        </w:rPr>
        <w:t>.</w:t>
      </w:r>
      <w:r>
        <w:rPr>
          <w:rFonts w:cs="Arial"/>
          <w:rtl/>
        </w:rPr>
        <w:t xml:space="preserve"> ובסי' ק' שם בתשו' הגאון ב"מ כ' דבב' פעמים מקרי רגילה לענין זה ע"ש</w:t>
      </w:r>
      <w:r>
        <w:rPr>
          <w:rFonts w:cs="Arial" w:hint="cs"/>
          <w:rtl/>
        </w:rPr>
        <w:t>.</w:t>
      </w:r>
      <w:r w:rsidRPr="00BC7558">
        <w:rPr>
          <w:rFonts w:cs="Arial"/>
          <w:rtl/>
        </w:rPr>
        <w:t xml:space="preserve"> </w:t>
      </w:r>
      <w:r>
        <w:rPr>
          <w:rFonts w:cs="Arial"/>
          <w:rtl/>
        </w:rPr>
        <w:t>ועי' עוד בס' ב"מ שהשיג על מהר"י הלוי אחי הט"ז סי' ל"ט שהעלה דאם רגילה להיות עובר' על דת ע"פ עדים הב"ד כופין להוציא</w:t>
      </w:r>
      <w:r>
        <w:rPr>
          <w:rFonts w:cs="Arial" w:hint="cs"/>
          <w:rtl/>
        </w:rPr>
        <w:t xml:space="preserve">..., </w:t>
      </w:r>
      <w:r w:rsidRPr="00A17994">
        <w:rPr>
          <w:rFonts w:cs="Arial" w:hint="cs"/>
          <w:b/>
          <w:bCs/>
          <w:rtl/>
        </w:rPr>
        <w:t>פת"ש</w:t>
      </w:r>
      <w:r>
        <w:rPr>
          <w:rFonts w:cs="Arial" w:hint="cs"/>
          <w:rtl/>
        </w:rPr>
        <w:t xml:space="preserve"> (סק"י).</w:t>
      </w:r>
    </w:p>
  </w:footnote>
  <w:footnote w:id="2845">
    <w:p w14:paraId="5AEA3A5F" w14:textId="1DACC482" w:rsidR="00392DBB" w:rsidRDefault="00392DBB" w:rsidP="00392DBB">
      <w:pPr>
        <w:pStyle w:val="a5"/>
      </w:pPr>
      <w:r>
        <w:rPr>
          <w:rStyle w:val="a7"/>
        </w:rPr>
        <w:footnoteRef/>
      </w:r>
      <w:r>
        <w:rPr>
          <w:rtl/>
        </w:rPr>
        <w:t xml:space="preserve"> </w:t>
      </w:r>
      <w:r w:rsidRPr="0040797A">
        <w:rPr>
          <w:rFonts w:cs="Arial"/>
          <w:rtl/>
        </w:rPr>
        <w:t>לאו דוקא משחקת</w:t>
      </w:r>
      <w:r w:rsidR="00E6371E">
        <w:rPr>
          <w:rFonts w:cs="Arial" w:hint="cs"/>
          <w:rtl/>
        </w:rPr>
        <w:t>,</w:t>
      </w:r>
      <w:r w:rsidRPr="0040797A">
        <w:rPr>
          <w:rFonts w:cs="Arial"/>
          <w:rtl/>
        </w:rPr>
        <w:t xml:space="preserve"> ובכתובות אמרו </w:t>
      </w:r>
      <w:r>
        <w:rPr>
          <w:rFonts w:cs="Arial" w:hint="cs"/>
          <w:rtl/>
        </w:rPr>
        <w:t>(</w:t>
      </w:r>
      <w:r w:rsidRPr="0040797A">
        <w:rPr>
          <w:rFonts w:cs="Arial"/>
          <w:rtl/>
        </w:rPr>
        <w:t>עב</w:t>
      </w:r>
      <w:r>
        <w:rPr>
          <w:rFonts w:cs="Arial" w:hint="cs"/>
          <w:rtl/>
        </w:rPr>
        <w:t>:)</w:t>
      </w:r>
      <w:r w:rsidRPr="0040797A">
        <w:rPr>
          <w:rFonts w:cs="Arial"/>
          <w:rtl/>
        </w:rPr>
        <w:t xml:space="preserve"> פסקה לפלכה ושדית' ואמר' עלם הב לי פלך היינו מדברת עם כל אדם ששנו במשנה</w:t>
      </w:r>
      <w:r w:rsidR="00E6371E">
        <w:rPr>
          <w:rFonts w:cs="Arial" w:hint="cs"/>
          <w:rtl/>
        </w:rPr>
        <w:t>,</w:t>
      </w:r>
      <w:r w:rsidRPr="0040797A">
        <w:rPr>
          <w:rFonts w:cs="Arial"/>
          <w:rtl/>
        </w:rPr>
        <w:t xml:space="preserve"> ששיחה יתירה באשה מדברי בטלה ומתכוונת לכך מביאה לידי שחוק</w:t>
      </w:r>
      <w:r>
        <w:rPr>
          <w:rFonts w:cs="Arial" w:hint="cs"/>
          <w:rtl/>
        </w:rPr>
        <w:t>,</w:t>
      </w:r>
      <w:r w:rsidR="00E6371E">
        <w:rPr>
          <w:rFonts w:cs="Arial" w:hint="cs"/>
          <w:rtl/>
        </w:rPr>
        <w:t xml:space="preserve"> </w:t>
      </w:r>
      <w:r w:rsidRPr="0040797A">
        <w:rPr>
          <w:rFonts w:cs="Arial"/>
          <w:rtl/>
        </w:rPr>
        <w:t>ובפרט עם רווק שאין לו אשה</w:t>
      </w:r>
      <w:r>
        <w:rPr>
          <w:rFonts w:cs="Arial" w:hint="cs"/>
          <w:rtl/>
        </w:rPr>
        <w:t>,</w:t>
      </w:r>
      <w:r w:rsidRPr="0040797A">
        <w:rPr>
          <w:rFonts w:cs="Arial"/>
          <w:rtl/>
        </w:rPr>
        <w:t xml:space="preserve"> ואורחא דמלתא נקט עם הבחורי'</w:t>
      </w:r>
      <w:r>
        <w:rPr>
          <w:rFonts w:cs="Arial" w:hint="cs"/>
          <w:rtl/>
        </w:rPr>
        <w:t xml:space="preserve">, </w:t>
      </w:r>
      <w:r w:rsidRPr="009D2A6D">
        <w:rPr>
          <w:rFonts w:cs="Arial" w:hint="cs"/>
          <w:b/>
          <w:bCs/>
          <w:rtl/>
        </w:rPr>
        <w:t>ח"מ</w:t>
      </w:r>
      <w:r>
        <w:rPr>
          <w:rFonts w:cs="Arial" w:hint="cs"/>
          <w:rtl/>
        </w:rPr>
        <w:t xml:space="preserve"> (סקי"ב).</w:t>
      </w:r>
      <w:r w:rsidRPr="006A50E1">
        <w:rPr>
          <w:rtl/>
        </w:rPr>
        <w:t xml:space="preserve"> </w:t>
      </w:r>
      <w:r>
        <w:rPr>
          <w:rFonts w:hint="cs"/>
          <w:rtl/>
        </w:rPr>
        <w:t>ו</w:t>
      </w:r>
      <w:r w:rsidR="00F67DDB">
        <w:rPr>
          <w:rFonts w:hint="cs"/>
          <w:rtl/>
        </w:rPr>
        <w:t>כעין זה כתב</w:t>
      </w:r>
      <w:r>
        <w:rPr>
          <w:rFonts w:hint="cs"/>
          <w:rtl/>
        </w:rPr>
        <w:t xml:space="preserve"> </w:t>
      </w:r>
      <w:r w:rsidRPr="009D2A6D">
        <w:rPr>
          <w:rFonts w:hint="cs"/>
          <w:b/>
          <w:bCs/>
          <w:rtl/>
        </w:rPr>
        <w:t>הב"ש</w:t>
      </w:r>
      <w:r>
        <w:rPr>
          <w:rFonts w:hint="cs"/>
          <w:rtl/>
        </w:rPr>
        <w:t xml:space="preserve"> (סקי"ב) </w:t>
      </w:r>
      <w:r w:rsidR="00F67DDB">
        <w:rPr>
          <w:rFonts w:hint="cs"/>
          <w:rtl/>
        </w:rPr>
        <w:t>בשם הב"ח.</w:t>
      </w:r>
    </w:p>
  </w:footnote>
  <w:footnote w:id="2846">
    <w:p w14:paraId="66CE4100" w14:textId="692C854C" w:rsidR="00392DBB" w:rsidRDefault="00392DBB" w:rsidP="00392DBB">
      <w:pPr>
        <w:pStyle w:val="a5"/>
      </w:pPr>
      <w:r>
        <w:rPr>
          <w:rStyle w:val="a7"/>
        </w:rPr>
        <w:footnoteRef/>
      </w:r>
      <w:r>
        <w:rPr>
          <w:rtl/>
        </w:rPr>
        <w:t xml:space="preserve"> </w:t>
      </w:r>
      <w:r>
        <w:rPr>
          <w:rFonts w:cs="Arial"/>
          <w:rtl/>
        </w:rPr>
        <w:t xml:space="preserve">שמעתי בשם הגאון החסיד מהרח"ל זצ"ל מבריסק שאמר דדוקא מקללת בשם או בכינוי כמו במקלל עצמו וחבירו במס' שבועות </w:t>
      </w:r>
      <w:r w:rsidR="00F67DDB">
        <w:rPr>
          <w:rFonts w:cs="Arial" w:hint="cs"/>
          <w:rtl/>
        </w:rPr>
        <w:t>(</w:t>
      </w:r>
      <w:r>
        <w:rPr>
          <w:rFonts w:cs="Arial"/>
          <w:rtl/>
        </w:rPr>
        <w:t>לה</w:t>
      </w:r>
      <w:r w:rsidR="00F67DDB">
        <w:rPr>
          <w:rFonts w:cs="Arial" w:hint="cs"/>
          <w:rtl/>
        </w:rPr>
        <w:t>.)</w:t>
      </w:r>
      <w:r>
        <w:rPr>
          <w:rFonts w:cs="Arial"/>
          <w:rtl/>
        </w:rPr>
        <w:t xml:space="preserve"> ובח"מ סי' כ"ז ומקלל אביו ואמו ביו"ד סי' רמ"א ס"א ע"ש. ואני שאלתי על זה ממה דאיתא בש"ס במקומו בכתובו' </w:t>
      </w:r>
      <w:r w:rsidR="00F67DDB">
        <w:rPr>
          <w:rFonts w:cs="Arial" w:hint="cs"/>
          <w:rtl/>
        </w:rPr>
        <w:t>(</w:t>
      </w:r>
      <w:r>
        <w:rPr>
          <w:rFonts w:cs="Arial"/>
          <w:rtl/>
        </w:rPr>
        <w:t>עב</w:t>
      </w:r>
      <w:r w:rsidR="00F67DDB">
        <w:rPr>
          <w:rFonts w:cs="Arial" w:hint="cs"/>
          <w:rtl/>
        </w:rPr>
        <w:t>:)</w:t>
      </w:r>
      <w:r>
        <w:rPr>
          <w:rFonts w:cs="Arial"/>
          <w:rtl/>
        </w:rPr>
        <w:t xml:space="preserve"> דאמרה ליה ניכלי' אריה לסבא באפי' בריה</w:t>
      </w:r>
      <w:r w:rsidR="00175CDF">
        <w:rPr>
          <w:rFonts w:cs="Arial" w:hint="cs"/>
          <w:rtl/>
        </w:rPr>
        <w:t>.</w:t>
      </w:r>
      <w:r>
        <w:rPr>
          <w:rFonts w:cs="Arial"/>
          <w:rtl/>
        </w:rPr>
        <w:t xml:space="preserve"> והשיב לי חכם אחד דאריה הנאמר כאן הוא משל להקב"ה כדאי' בחולין </w:t>
      </w:r>
      <w:r w:rsidR="00175CDF">
        <w:rPr>
          <w:rFonts w:cs="Arial" w:hint="cs"/>
          <w:rtl/>
        </w:rPr>
        <w:t>(</w:t>
      </w:r>
      <w:r>
        <w:rPr>
          <w:rFonts w:cs="Arial"/>
          <w:rtl/>
        </w:rPr>
        <w:t>נט</w:t>
      </w:r>
      <w:r w:rsidR="00175CDF">
        <w:rPr>
          <w:rFonts w:cs="Arial" w:hint="cs"/>
          <w:rtl/>
        </w:rPr>
        <w:t>:),</w:t>
      </w:r>
      <w:r>
        <w:rPr>
          <w:rFonts w:cs="Arial"/>
          <w:rtl/>
        </w:rPr>
        <w:t xml:space="preserve"> וגם בספרי המקובלים אריה הוא שם</w:t>
      </w:r>
      <w:r w:rsidR="00175CDF">
        <w:rPr>
          <w:rFonts w:cs="Arial" w:hint="cs"/>
          <w:rtl/>
        </w:rPr>
        <w:t>,</w:t>
      </w:r>
      <w:r>
        <w:rPr>
          <w:rFonts w:cs="Arial"/>
          <w:rtl/>
        </w:rPr>
        <w:t xml:space="preserve"> וכוונת הגמרא לכנות ע"ד דאיתא בסנהדרין </w:t>
      </w:r>
      <w:r w:rsidR="00175CDF">
        <w:rPr>
          <w:rFonts w:cs="Arial" w:hint="cs"/>
          <w:rtl/>
        </w:rPr>
        <w:t>(</w:t>
      </w:r>
      <w:r>
        <w:rPr>
          <w:rFonts w:cs="Arial"/>
          <w:rtl/>
        </w:rPr>
        <w:t>נו</w:t>
      </w:r>
      <w:r w:rsidR="00175CDF">
        <w:rPr>
          <w:rFonts w:cs="Arial" w:hint="cs"/>
          <w:rtl/>
        </w:rPr>
        <w:t>.)</w:t>
      </w:r>
      <w:r>
        <w:rPr>
          <w:rFonts w:cs="Arial"/>
          <w:rtl/>
        </w:rPr>
        <w:t xml:space="preserve"> ע"ש וצ"ע</w:t>
      </w:r>
      <w:r>
        <w:rPr>
          <w:rFonts w:cs="Arial" w:hint="cs"/>
          <w:rtl/>
        </w:rPr>
        <w:t xml:space="preserve">, </w:t>
      </w:r>
      <w:r w:rsidRPr="009D2A6D">
        <w:rPr>
          <w:rFonts w:cs="Arial" w:hint="cs"/>
          <w:b/>
          <w:bCs/>
          <w:rtl/>
        </w:rPr>
        <w:t>פת"ש</w:t>
      </w:r>
      <w:r>
        <w:rPr>
          <w:rFonts w:cs="Arial" w:hint="cs"/>
          <w:rtl/>
        </w:rPr>
        <w:t xml:space="preserve"> </w:t>
      </w:r>
      <w:r>
        <w:rPr>
          <w:rFonts w:cs="Arial"/>
          <w:rtl/>
        </w:rPr>
        <w:t>(</w:t>
      </w:r>
      <w:r>
        <w:rPr>
          <w:rFonts w:cs="Arial" w:hint="cs"/>
          <w:rtl/>
        </w:rPr>
        <w:t xml:space="preserve">אות </w:t>
      </w:r>
      <w:r>
        <w:rPr>
          <w:rFonts w:cs="Arial"/>
          <w:rtl/>
        </w:rPr>
        <w:t>י*)</w:t>
      </w:r>
      <w:r>
        <w:rPr>
          <w:rFonts w:cs="Arial" w:hint="cs"/>
          <w:rtl/>
        </w:rPr>
        <w:t>.</w:t>
      </w:r>
      <w:r>
        <w:rPr>
          <w:rFonts w:hint="cs"/>
          <w:rtl/>
        </w:rPr>
        <w:t xml:space="preserve"> </w:t>
      </w:r>
      <w:r w:rsidRPr="00FA3C21">
        <w:rPr>
          <w:rFonts w:hint="cs"/>
          <w:color w:val="000000" w:themeColor="text1"/>
          <w:rtl/>
        </w:rPr>
        <w:t xml:space="preserve">ובסימן קנד סע' ג </w:t>
      </w:r>
      <w:r>
        <w:rPr>
          <w:rFonts w:hint="cs"/>
          <w:color w:val="000000" w:themeColor="text1"/>
          <w:rtl/>
        </w:rPr>
        <w:t xml:space="preserve">בהגה </w:t>
      </w:r>
      <w:r w:rsidRPr="00FA3C21">
        <w:rPr>
          <w:rFonts w:hint="cs"/>
          <w:color w:val="000000" w:themeColor="text1"/>
          <w:rtl/>
        </w:rPr>
        <w:t>משמע דקללה לאו דוקא בשם אלא כל זלזול שהוא, ואפילו אם קללה כך את בעלה</w:t>
      </w:r>
      <w:r>
        <w:rPr>
          <w:rFonts w:hint="cs"/>
          <w:color w:val="000000" w:themeColor="text1"/>
          <w:rtl/>
        </w:rPr>
        <w:t>.</w:t>
      </w:r>
    </w:p>
  </w:footnote>
  <w:footnote w:id="2847">
    <w:p w14:paraId="11A08BD2" w14:textId="77777777" w:rsidR="00392DBB" w:rsidRDefault="00392DBB" w:rsidP="00392DBB">
      <w:pPr>
        <w:pStyle w:val="a5"/>
        <w:rPr>
          <w:rtl/>
        </w:rPr>
      </w:pPr>
      <w:r>
        <w:rPr>
          <w:rStyle w:val="a7"/>
        </w:rPr>
        <w:footnoteRef/>
      </w:r>
      <w:r>
        <w:rPr>
          <w:rtl/>
        </w:rPr>
        <w:t xml:space="preserve"> </w:t>
      </w:r>
      <w:r w:rsidRPr="00E0344F">
        <w:rPr>
          <w:rFonts w:cs="Arial"/>
          <w:rtl/>
        </w:rPr>
        <w:t>אפי' אין עדים בדבר אלא כיון שהוא יודע שהיא עוברת על דת מצוה להוציאה הר"ם מטראני ח"ג סי' קכ"ו</w:t>
      </w:r>
      <w:r>
        <w:rPr>
          <w:rFonts w:cs="Arial" w:hint="cs"/>
          <w:rtl/>
        </w:rPr>
        <w:t xml:space="preserve">, </w:t>
      </w:r>
      <w:r w:rsidRPr="00B41F7C">
        <w:rPr>
          <w:rFonts w:cs="Arial" w:hint="cs"/>
          <w:b/>
          <w:bCs/>
          <w:rtl/>
        </w:rPr>
        <w:t>באה"ט</w:t>
      </w:r>
      <w:r>
        <w:rPr>
          <w:rFonts w:cs="Arial" w:hint="cs"/>
          <w:rtl/>
        </w:rPr>
        <w:t xml:space="preserve"> (סקי"ז).</w:t>
      </w:r>
      <w:r w:rsidRPr="00A36836">
        <w:rPr>
          <w:rFonts w:cs="Arial" w:hint="cs"/>
          <w:rtl/>
        </w:rPr>
        <w:t xml:space="preserve"> </w:t>
      </w:r>
      <w:r>
        <w:rPr>
          <w:rFonts w:cs="Arial" w:hint="cs"/>
          <w:rtl/>
        </w:rPr>
        <w:t>וכתב ה</w:t>
      </w:r>
      <w:r w:rsidRPr="008522EA">
        <w:rPr>
          <w:rFonts w:cs="Arial"/>
          <w:rtl/>
        </w:rPr>
        <w:t>נו"ב</w:t>
      </w:r>
      <w:r w:rsidRPr="00653ED5">
        <w:rPr>
          <w:rFonts w:cs="Arial"/>
          <w:sz w:val="16"/>
          <w:szCs w:val="16"/>
          <w:rtl/>
        </w:rPr>
        <w:t xml:space="preserve"> </w:t>
      </w:r>
      <w:r w:rsidRPr="00653ED5">
        <w:rPr>
          <w:rFonts w:cs="Arial" w:hint="cs"/>
          <w:sz w:val="16"/>
          <w:szCs w:val="16"/>
          <w:rtl/>
        </w:rPr>
        <w:t>(</w:t>
      </w:r>
      <w:r w:rsidRPr="00653ED5">
        <w:rPr>
          <w:rFonts w:cs="Arial"/>
          <w:sz w:val="16"/>
          <w:szCs w:val="16"/>
          <w:rtl/>
        </w:rPr>
        <w:t>תניינא סי' כו</w:t>
      </w:r>
      <w:r w:rsidRPr="00653ED5">
        <w:rPr>
          <w:rFonts w:cs="Arial" w:hint="cs"/>
          <w:sz w:val="16"/>
          <w:szCs w:val="16"/>
          <w:rtl/>
        </w:rPr>
        <w:t>)</w:t>
      </w:r>
      <w:r w:rsidRPr="008522EA">
        <w:rPr>
          <w:rFonts w:cs="Arial"/>
          <w:rtl/>
        </w:rPr>
        <w:t xml:space="preserve"> </w:t>
      </w:r>
      <w:r>
        <w:rPr>
          <w:rFonts w:cs="Arial" w:hint="cs"/>
          <w:rtl/>
        </w:rPr>
        <w:t>ד</w:t>
      </w:r>
      <w:r>
        <w:rPr>
          <w:rFonts w:cs="Arial"/>
          <w:rtl/>
        </w:rPr>
        <w:t>לענין שיהא מצוה לגרשה כבר כתבתי בתשו' אחרת שא"צ התראה היכא שכבר הכשילתו מצוה לגרשה אף שלא התרה בה כלל במה דליכא למיתלי בשגגה (עמ"ש לקמן סקי"ד מזה) ולכן יכול הבעל לגרשה בע"כ (עמ"ש לקמן ס</w:t>
      </w:r>
      <w:r>
        <w:rPr>
          <w:rFonts w:cs="Arial" w:hint="cs"/>
          <w:rtl/>
        </w:rPr>
        <w:t>ק"</w:t>
      </w:r>
      <w:r>
        <w:rPr>
          <w:rFonts w:cs="Arial"/>
          <w:rtl/>
        </w:rPr>
        <w:t>י)</w:t>
      </w:r>
      <w:r>
        <w:rPr>
          <w:rFonts w:hint="cs"/>
          <w:rtl/>
        </w:rPr>
        <w:t xml:space="preserve">..., </w:t>
      </w:r>
      <w:r w:rsidRPr="00B41F7C">
        <w:rPr>
          <w:rFonts w:hint="cs"/>
          <w:b/>
          <w:bCs/>
          <w:rtl/>
        </w:rPr>
        <w:t>פת"ש</w:t>
      </w:r>
      <w:r>
        <w:rPr>
          <w:rFonts w:hint="cs"/>
          <w:rtl/>
        </w:rPr>
        <w:t xml:space="preserve"> (סק"ג). ועיין שם בפת"ש מה שכתב על דברי הנו"ב.</w:t>
      </w:r>
    </w:p>
  </w:footnote>
  <w:footnote w:id="2848">
    <w:p w14:paraId="5720C391" w14:textId="5D35D478" w:rsidR="00392DBB" w:rsidRDefault="00392DBB" w:rsidP="00392DBB">
      <w:pPr>
        <w:pStyle w:val="a5"/>
      </w:pPr>
      <w:r>
        <w:rPr>
          <w:rStyle w:val="a7"/>
        </w:rPr>
        <w:footnoteRef/>
      </w:r>
      <w:r>
        <w:rPr>
          <w:rtl/>
        </w:rPr>
        <w:t xml:space="preserve"> </w:t>
      </w:r>
      <w:r w:rsidRPr="008930CA">
        <w:rPr>
          <w:rFonts w:cs="Arial"/>
          <w:rtl/>
        </w:rPr>
        <w:t>והוספת שליש מה שמוסיפים על הנדוני</w:t>
      </w:r>
      <w:r>
        <w:rPr>
          <w:rFonts w:cs="Arial" w:hint="cs"/>
          <w:rtl/>
        </w:rPr>
        <w:t>א,</w:t>
      </w:r>
      <w:r w:rsidRPr="008930CA">
        <w:rPr>
          <w:rFonts w:cs="Arial"/>
          <w:rtl/>
        </w:rPr>
        <w:t xml:space="preserve"> מחמת שיכול להשתכר במעות הנדוני' </w:t>
      </w:r>
      <w:r>
        <w:rPr>
          <w:rFonts w:cs="Arial" w:hint="cs"/>
          <w:rtl/>
        </w:rPr>
        <w:t xml:space="preserve">- </w:t>
      </w:r>
      <w:r w:rsidRPr="008930CA">
        <w:rPr>
          <w:rFonts w:cs="Arial"/>
          <w:rtl/>
        </w:rPr>
        <w:t>הוי כנדוני</w:t>
      </w:r>
      <w:r>
        <w:rPr>
          <w:rFonts w:cs="Arial" w:hint="cs"/>
          <w:rtl/>
        </w:rPr>
        <w:t>א,</w:t>
      </w:r>
      <w:r w:rsidRPr="008930CA">
        <w:rPr>
          <w:rFonts w:cs="Arial"/>
          <w:rtl/>
        </w:rPr>
        <w:t xml:space="preserve"> </w:t>
      </w:r>
      <w:r w:rsidRPr="00A17994">
        <w:rPr>
          <w:rFonts w:cs="Arial"/>
          <w:b/>
          <w:bCs/>
          <w:rtl/>
        </w:rPr>
        <w:t>מהרי"ק</w:t>
      </w:r>
      <w:r w:rsidRPr="008930CA">
        <w:rPr>
          <w:rFonts w:cs="Arial"/>
          <w:rtl/>
        </w:rPr>
        <w:t xml:space="preserve"> </w:t>
      </w:r>
      <w:r>
        <w:rPr>
          <w:rFonts w:cs="Arial" w:hint="cs"/>
          <w:rtl/>
        </w:rPr>
        <w:t>(</w:t>
      </w:r>
      <w:r w:rsidRPr="008930CA">
        <w:rPr>
          <w:rFonts w:cs="Arial"/>
          <w:rtl/>
        </w:rPr>
        <w:t>שורש פא</w:t>
      </w:r>
      <w:r>
        <w:rPr>
          <w:rFonts w:cs="Arial" w:hint="cs"/>
          <w:rtl/>
        </w:rPr>
        <w:t>).</w:t>
      </w:r>
      <w:r w:rsidRPr="008930CA">
        <w:rPr>
          <w:rFonts w:cs="Arial"/>
          <w:rtl/>
        </w:rPr>
        <w:t xml:space="preserve"> </w:t>
      </w:r>
      <w:r w:rsidR="00A17994">
        <w:rPr>
          <w:rFonts w:cs="Arial" w:hint="cs"/>
          <w:rtl/>
        </w:rPr>
        <w:t xml:space="preserve">   </w:t>
      </w:r>
      <w:r w:rsidRPr="008930CA">
        <w:rPr>
          <w:rFonts w:cs="Arial"/>
          <w:rtl/>
        </w:rPr>
        <w:t>ובד"מ בסי' זה הביא דברי מהרי"ק משמע אף כאן הדין כן</w:t>
      </w:r>
      <w:r>
        <w:rPr>
          <w:rFonts w:cs="Arial" w:hint="cs"/>
          <w:rtl/>
        </w:rPr>
        <w:t>,</w:t>
      </w:r>
      <w:r w:rsidRPr="008930CA">
        <w:rPr>
          <w:rFonts w:cs="Arial"/>
          <w:rtl/>
        </w:rPr>
        <w:t xml:space="preserve"> אע</w:t>
      </w:r>
      <w:r>
        <w:rPr>
          <w:rFonts w:cs="Arial" w:hint="cs"/>
          <w:rtl/>
        </w:rPr>
        <w:t>"</w:t>
      </w:r>
      <w:r w:rsidRPr="008930CA">
        <w:rPr>
          <w:rFonts w:cs="Arial"/>
          <w:rtl/>
        </w:rPr>
        <w:t>ג דאין לה כאן אלא מה שהוא בעין</w:t>
      </w:r>
      <w:r>
        <w:rPr>
          <w:rFonts w:cs="Arial" w:hint="cs"/>
          <w:rtl/>
        </w:rPr>
        <w:t>,</w:t>
      </w:r>
      <w:r w:rsidRPr="008930CA">
        <w:rPr>
          <w:rFonts w:cs="Arial"/>
          <w:rtl/>
        </w:rPr>
        <w:t xml:space="preserve"> צ"ל דבר הבא מהנדוני</w:t>
      </w:r>
      <w:r>
        <w:rPr>
          <w:rFonts w:cs="Arial" w:hint="cs"/>
          <w:rtl/>
        </w:rPr>
        <w:t>א</w:t>
      </w:r>
      <w:r w:rsidRPr="008930CA">
        <w:rPr>
          <w:rFonts w:cs="Arial"/>
          <w:rtl/>
        </w:rPr>
        <w:t xml:space="preserve"> הוי כאלו בעין מנדוני'</w:t>
      </w:r>
      <w:r>
        <w:rPr>
          <w:rFonts w:cs="Arial" w:hint="cs"/>
          <w:rtl/>
        </w:rPr>
        <w:t>,</w:t>
      </w:r>
      <w:r w:rsidRPr="008930CA">
        <w:rPr>
          <w:rFonts w:cs="Arial"/>
          <w:rtl/>
        </w:rPr>
        <w:t xml:space="preserve"> וע' מ"ש בסי' צ"ו ובסי' ק'</w:t>
      </w:r>
      <w:r>
        <w:rPr>
          <w:rFonts w:cs="Arial" w:hint="cs"/>
          <w:rtl/>
        </w:rPr>
        <w:t>.</w:t>
      </w:r>
      <w:r w:rsidRPr="008930CA">
        <w:rPr>
          <w:rFonts w:cs="Arial"/>
          <w:rtl/>
        </w:rPr>
        <w:t xml:space="preserve"> ומזה נשמע אפילו כשהיא גרמה הגט חייב ליתן לה הוספה שמוסיפים השליש</w:t>
      </w:r>
      <w:r>
        <w:rPr>
          <w:rFonts w:cs="Arial" w:hint="cs"/>
          <w:rtl/>
        </w:rPr>
        <w:t>,</w:t>
      </w:r>
      <w:r w:rsidRPr="008930CA">
        <w:rPr>
          <w:rFonts w:cs="Arial"/>
          <w:rtl/>
        </w:rPr>
        <w:t xml:space="preserve"> ולא כדרישה בסי' קי"ח סקכ"ב</w:t>
      </w:r>
      <w:r>
        <w:rPr>
          <w:rFonts w:cs="Arial" w:hint="cs"/>
          <w:rtl/>
        </w:rPr>
        <w:t xml:space="preserve">..., </w:t>
      </w:r>
      <w:r w:rsidRPr="009D2A6D">
        <w:rPr>
          <w:rFonts w:cs="Arial" w:hint="cs"/>
          <w:b/>
          <w:bCs/>
          <w:rtl/>
        </w:rPr>
        <w:t>ב"ש</w:t>
      </w:r>
      <w:r>
        <w:rPr>
          <w:rFonts w:cs="Arial" w:hint="cs"/>
          <w:rtl/>
        </w:rPr>
        <w:t xml:space="preserve"> (סקכ"א).</w:t>
      </w:r>
      <w:r w:rsidR="00A17994">
        <w:rPr>
          <w:rFonts w:cs="Arial" w:hint="cs"/>
          <w:rtl/>
        </w:rPr>
        <w:t xml:space="preserve">    </w:t>
      </w:r>
      <w:r>
        <w:rPr>
          <w:rFonts w:hint="cs"/>
          <w:rtl/>
        </w:rPr>
        <w:t xml:space="preserve"> </w:t>
      </w:r>
      <w:r w:rsidRPr="00A25A4B">
        <w:rPr>
          <w:rFonts w:cs="Arial"/>
          <w:rtl/>
        </w:rPr>
        <w:t>ועי' בתשו' ברית אברהם סי' ע"ה שתמה מאד על הב"ש</w:t>
      </w:r>
      <w:r>
        <w:rPr>
          <w:rFonts w:cs="Arial" w:hint="cs"/>
          <w:rtl/>
        </w:rPr>
        <w:t xml:space="preserve"> (סקכ"א)...</w:t>
      </w:r>
      <w:r w:rsidRPr="00A25A4B">
        <w:rPr>
          <w:rFonts w:cs="Arial"/>
          <w:rtl/>
        </w:rPr>
        <w:t xml:space="preserve"> ובאמת המעיין בתשו' מהרי"ק שורש פ"א יראה דכל הפלפול שלו הוא בקטנה דלא קנסו כו' (שפוסק שם דאינה מפסדת מה שהכניס' אפי' אינם בעין ולכן שפיר דן דאף השליש אינה מפסדת כו') ולכן מסיק לדינא דלא כהב"ש אלא דאינה נוטלת התוספת שליש גם באיתי' בעין ממה שהרויח (גם בתשו' שבו"י ח"ג סימן קכ"ז חולק על הב"ש בזה והביא שם ג"כ מדברי מהרי"ט ח"ב סימן ב' ובתשו' מהר"ש הלוי סי' ט' ותשו' פרח מטה אהרן ח"א סי' צ' שפסקו ג"כ דאין להוציא מיד בעל התוספת כלל ע"ש באורך) וגם בגוף הנדוניא דהסכמת האחרונים דאם הוא בעין לא הפסיד' כ' שם לפלפל בזה והרא' פנים דראוי לו' דבמעות כיון דלהוצא' ניתנה גם אם הם בעין הוי כאילו הוציאם ואינה נוטלת וכ"מ להדיא בתשו' לחם רב סי' נ"ב ושוב כ' ליישב הסכמת האחרונים בזה ומסיק כן לדינא דמה שהוא בעין ממעות נדוניא לא הפסיד' וכדברי תשו' גאוני בתראי סי' כ"ו וכהסכמת הב"ש וכדברי תשו' מהר"י הלוי ס"ס ל"ט יעו"ש (וע' בת' ח"צ סי' קמ"ה וקמ"ו ובתשו' שבו"י שם. וגם בס' בית מאיר מזה). עוד כ' שם לפלפל בענין אם גוף מעות הנדוניא אינו בעין אך מה דאתי מחמתי' ומסיק דגם מה דאתי מחמתי' הוי כגוף הנדוניא ונוטלת אותם אך באופן שיבורר ע"פ עדים שאותן מעות נדוני' הוציא על סחור' זו דאיתא בעיניה כי אולי הוציא המעות נדוני' לצרכי אכילה וממעות אחרים לקח הסחורה ע"ש היטב. וע' בת' כנ"י ס"ס ע"ח</w:t>
      </w:r>
      <w:r>
        <w:rPr>
          <w:rFonts w:cs="Arial" w:hint="cs"/>
          <w:rtl/>
        </w:rPr>
        <w:t>,</w:t>
      </w:r>
      <w:r w:rsidRPr="00A25A4B">
        <w:rPr>
          <w:rFonts w:cs="Arial" w:hint="cs"/>
          <w:rtl/>
        </w:rPr>
        <w:t xml:space="preserve"> </w:t>
      </w:r>
      <w:r w:rsidRPr="00A17994">
        <w:rPr>
          <w:rFonts w:cs="Arial" w:hint="cs"/>
          <w:b/>
          <w:bCs/>
          <w:rtl/>
        </w:rPr>
        <w:t>פת"ש</w:t>
      </w:r>
      <w:r>
        <w:rPr>
          <w:rFonts w:cs="Arial" w:hint="cs"/>
          <w:rtl/>
        </w:rPr>
        <w:t xml:space="preserve"> </w:t>
      </w:r>
      <w:r w:rsidRPr="00A25A4B">
        <w:rPr>
          <w:rFonts w:cs="Arial"/>
          <w:rtl/>
        </w:rPr>
        <w:t>(</w:t>
      </w:r>
      <w:r>
        <w:rPr>
          <w:rFonts w:cs="Arial" w:hint="cs"/>
          <w:rtl/>
        </w:rPr>
        <w:t>סק</w:t>
      </w:r>
      <w:r w:rsidRPr="00A25A4B">
        <w:rPr>
          <w:rFonts w:cs="Arial"/>
          <w:rtl/>
        </w:rPr>
        <w:t>י</w:t>
      </w:r>
      <w:r>
        <w:rPr>
          <w:rFonts w:cs="Arial" w:hint="cs"/>
          <w:rtl/>
        </w:rPr>
        <w:t>"</w:t>
      </w:r>
      <w:r w:rsidRPr="00A25A4B">
        <w:rPr>
          <w:rFonts w:cs="Arial"/>
          <w:rtl/>
        </w:rPr>
        <w:t>ט)</w:t>
      </w:r>
      <w:r>
        <w:rPr>
          <w:rFonts w:hint="cs"/>
          <w:rtl/>
        </w:rPr>
        <w:t>.</w:t>
      </w:r>
    </w:p>
  </w:footnote>
  <w:footnote w:id="2849">
    <w:p w14:paraId="2DD43E93" w14:textId="24E00DB6" w:rsidR="00392DBB" w:rsidRDefault="00392DBB" w:rsidP="001C77B8">
      <w:pPr>
        <w:pStyle w:val="a5"/>
      </w:pPr>
      <w:r>
        <w:rPr>
          <w:rStyle w:val="a7"/>
        </w:rPr>
        <w:footnoteRef/>
      </w:r>
      <w:r>
        <w:rPr>
          <w:rtl/>
        </w:rPr>
        <w:t xml:space="preserve"> </w:t>
      </w:r>
      <w:r>
        <w:rPr>
          <w:rFonts w:cs="Arial" w:hint="cs"/>
          <w:rtl/>
        </w:rPr>
        <w:t>ואפילו</w:t>
      </w:r>
      <w:r w:rsidRPr="00A25A4B">
        <w:rPr>
          <w:rFonts w:cs="Arial"/>
          <w:rtl/>
        </w:rPr>
        <w:t xml:space="preserve"> הנדוני</w:t>
      </w:r>
      <w:r>
        <w:rPr>
          <w:rFonts w:cs="Arial" w:hint="cs"/>
          <w:rtl/>
        </w:rPr>
        <w:t>א,</w:t>
      </w:r>
      <w:r w:rsidRPr="00A25A4B">
        <w:rPr>
          <w:rFonts w:cs="Arial"/>
          <w:rtl/>
        </w:rPr>
        <w:t xml:space="preserve"> </w:t>
      </w:r>
      <w:r>
        <w:rPr>
          <w:rFonts w:cs="Arial" w:hint="cs"/>
          <w:rtl/>
        </w:rPr>
        <w:t xml:space="preserve">אם </w:t>
      </w:r>
      <w:r w:rsidRPr="00A25A4B">
        <w:rPr>
          <w:rFonts w:cs="Arial"/>
          <w:rtl/>
        </w:rPr>
        <w:t xml:space="preserve">אינה בעין </w:t>
      </w:r>
      <w:r>
        <w:rPr>
          <w:rFonts w:cs="Arial" w:hint="cs"/>
          <w:rtl/>
        </w:rPr>
        <w:t xml:space="preserve">- </w:t>
      </w:r>
      <w:r w:rsidRPr="00A25A4B">
        <w:rPr>
          <w:rFonts w:cs="Arial"/>
          <w:rtl/>
        </w:rPr>
        <w:t>אבדה</w:t>
      </w:r>
      <w:r>
        <w:rPr>
          <w:rFonts w:cs="Arial" w:hint="cs"/>
          <w:rtl/>
        </w:rPr>
        <w:t>,</w:t>
      </w:r>
      <w:r w:rsidRPr="00A25A4B">
        <w:rPr>
          <w:rFonts w:cs="Arial"/>
          <w:rtl/>
        </w:rPr>
        <w:t xml:space="preserve"> מהרח"ש סי</w:t>
      </w:r>
      <w:r>
        <w:rPr>
          <w:rFonts w:cs="Arial" w:hint="cs"/>
          <w:rtl/>
        </w:rPr>
        <w:t>'</w:t>
      </w:r>
      <w:r w:rsidRPr="00A25A4B">
        <w:rPr>
          <w:rFonts w:cs="Arial"/>
          <w:rtl/>
        </w:rPr>
        <w:t xml:space="preserve"> לז. וכ"כ כנה"ג בשם רוב פוסקים עיין דף קכ"ט ע"א סי"ד</w:t>
      </w:r>
      <w:r>
        <w:rPr>
          <w:rFonts w:hint="cs"/>
          <w:rtl/>
        </w:rPr>
        <w:t>, באה"ט (סקי"ט).</w:t>
      </w:r>
    </w:p>
  </w:footnote>
  <w:footnote w:id="2850">
    <w:p w14:paraId="4271648B" w14:textId="77777777" w:rsidR="00392DBB" w:rsidRDefault="00392DBB" w:rsidP="00392DBB">
      <w:pPr>
        <w:pStyle w:val="a5"/>
      </w:pPr>
      <w:r>
        <w:rPr>
          <w:rStyle w:val="a7"/>
        </w:rPr>
        <w:footnoteRef/>
      </w:r>
      <w:r>
        <w:rPr>
          <w:rtl/>
        </w:rPr>
        <w:t xml:space="preserve"> </w:t>
      </w:r>
      <w:r w:rsidRPr="00C544BF">
        <w:rPr>
          <w:rFonts w:cs="Arial"/>
          <w:rtl/>
        </w:rPr>
        <w:t>אפילו נאבד בפשיעת הבעל</w:t>
      </w:r>
      <w:r>
        <w:rPr>
          <w:rFonts w:cs="Arial" w:hint="cs"/>
          <w:rtl/>
        </w:rPr>
        <w:t>,</w:t>
      </w:r>
      <w:r w:rsidRPr="00C544BF">
        <w:rPr>
          <w:rFonts w:cs="Arial"/>
          <w:rtl/>
        </w:rPr>
        <w:t xml:space="preserve"> דפשיעה בבעלים הוא דהיא עמו במלאכתו</w:t>
      </w:r>
      <w:r>
        <w:rPr>
          <w:rFonts w:cs="Arial" w:hint="cs"/>
          <w:rtl/>
        </w:rPr>
        <w:t>,</w:t>
      </w:r>
      <w:r w:rsidRPr="00C544BF">
        <w:rPr>
          <w:rFonts w:cs="Arial"/>
          <w:rtl/>
        </w:rPr>
        <w:t xml:space="preserve"> וכמו שנתבא' לעיל סי' פ"ה ס"ב</w:t>
      </w:r>
      <w:r>
        <w:rPr>
          <w:rFonts w:cs="Arial" w:hint="cs"/>
          <w:rtl/>
        </w:rPr>
        <w:t>.</w:t>
      </w:r>
      <w:r w:rsidRPr="00C544BF">
        <w:rPr>
          <w:rFonts w:cs="Arial"/>
          <w:rtl/>
        </w:rPr>
        <w:t xml:space="preserve"> ובב"ח כתב דחייב בפשיע</w:t>
      </w:r>
      <w:r>
        <w:rPr>
          <w:rFonts w:cs="Arial" w:hint="cs"/>
          <w:rtl/>
        </w:rPr>
        <w:t>ה,</w:t>
      </w:r>
      <w:r w:rsidRPr="00C544BF">
        <w:rPr>
          <w:rFonts w:cs="Arial"/>
          <w:rtl/>
        </w:rPr>
        <w:t xml:space="preserve"> ולא ידעתי כוונתו</w:t>
      </w:r>
      <w:r>
        <w:rPr>
          <w:rFonts w:cs="Arial" w:hint="cs"/>
          <w:sz w:val="16"/>
          <w:szCs w:val="16"/>
          <w:rtl/>
        </w:rPr>
        <w:t xml:space="preserve"> {וגם ה</w:t>
      </w:r>
      <w:r w:rsidRPr="003B4793">
        <w:rPr>
          <w:rFonts w:cs="Arial"/>
          <w:sz w:val="16"/>
          <w:szCs w:val="16"/>
          <w:rtl/>
        </w:rPr>
        <w:t xml:space="preserve">ב"ש </w:t>
      </w:r>
      <w:r>
        <w:rPr>
          <w:rFonts w:cs="Arial" w:hint="cs"/>
          <w:sz w:val="16"/>
          <w:szCs w:val="16"/>
          <w:rtl/>
        </w:rPr>
        <w:t>(סקכ"ב) חלק על הב"ח.</w:t>
      </w:r>
      <w:r w:rsidRPr="003B4793">
        <w:rPr>
          <w:rFonts w:cs="Arial"/>
          <w:sz w:val="16"/>
          <w:szCs w:val="16"/>
          <w:rtl/>
        </w:rPr>
        <w:t xml:space="preserve"> </w:t>
      </w:r>
      <w:r>
        <w:rPr>
          <w:rFonts w:cs="Arial" w:hint="cs"/>
          <w:sz w:val="16"/>
          <w:szCs w:val="16"/>
          <w:rtl/>
        </w:rPr>
        <w:t xml:space="preserve">אך </w:t>
      </w:r>
      <w:r w:rsidRPr="003B4793">
        <w:rPr>
          <w:rFonts w:cs="Arial"/>
          <w:sz w:val="16"/>
          <w:szCs w:val="16"/>
          <w:rtl/>
        </w:rPr>
        <w:t xml:space="preserve">בתשו' שבו"י </w:t>
      </w:r>
      <w:r>
        <w:rPr>
          <w:rFonts w:cs="Arial" w:hint="cs"/>
          <w:sz w:val="16"/>
          <w:szCs w:val="16"/>
          <w:rtl/>
        </w:rPr>
        <w:t>(</w:t>
      </w:r>
      <w:r w:rsidRPr="003B4793">
        <w:rPr>
          <w:rFonts w:cs="Arial"/>
          <w:sz w:val="16"/>
          <w:szCs w:val="16"/>
          <w:rtl/>
        </w:rPr>
        <w:t>ח"ג סי' קכז</w:t>
      </w:r>
      <w:r>
        <w:rPr>
          <w:rFonts w:cs="Arial" w:hint="cs"/>
          <w:sz w:val="16"/>
          <w:szCs w:val="16"/>
          <w:rtl/>
        </w:rPr>
        <w:t>)</w:t>
      </w:r>
      <w:r w:rsidRPr="003B4793">
        <w:rPr>
          <w:rFonts w:cs="Arial"/>
          <w:sz w:val="16"/>
          <w:szCs w:val="16"/>
          <w:rtl/>
        </w:rPr>
        <w:t xml:space="preserve"> </w:t>
      </w:r>
      <w:r>
        <w:rPr>
          <w:rFonts w:cs="Arial" w:hint="cs"/>
          <w:sz w:val="16"/>
          <w:szCs w:val="16"/>
          <w:rtl/>
        </w:rPr>
        <w:t>כ</w:t>
      </w:r>
      <w:r w:rsidRPr="003B4793">
        <w:rPr>
          <w:rFonts w:cs="Arial"/>
          <w:sz w:val="16"/>
          <w:szCs w:val="16"/>
          <w:rtl/>
        </w:rPr>
        <w:t>' דהעיקר כדעת הב"ח ולא כח"מ וב"ש ע"ש</w:t>
      </w:r>
      <w:r>
        <w:rPr>
          <w:rFonts w:cs="Arial" w:hint="cs"/>
          <w:sz w:val="16"/>
          <w:szCs w:val="16"/>
          <w:rtl/>
        </w:rPr>
        <w:t>, פת"ש (סק"כ)}</w:t>
      </w:r>
      <w:r>
        <w:rPr>
          <w:rFonts w:cs="Arial" w:hint="cs"/>
          <w:rtl/>
        </w:rPr>
        <w:t>.</w:t>
      </w:r>
      <w:r w:rsidRPr="00C544BF">
        <w:rPr>
          <w:rFonts w:cs="Arial"/>
          <w:rtl/>
        </w:rPr>
        <w:t xml:space="preserve"> אבל אם מכר נ"מ שלה ואכל הדמים </w:t>
      </w:r>
      <w:r>
        <w:rPr>
          <w:rFonts w:cs="Arial" w:hint="cs"/>
          <w:rtl/>
        </w:rPr>
        <w:t xml:space="preserve">- </w:t>
      </w:r>
      <w:r w:rsidRPr="00C544BF">
        <w:rPr>
          <w:rFonts w:cs="Arial"/>
          <w:rtl/>
        </w:rPr>
        <w:t>חייב לשלם</w:t>
      </w:r>
      <w:r>
        <w:rPr>
          <w:rFonts w:cs="Arial" w:hint="cs"/>
          <w:rtl/>
        </w:rPr>
        <w:t xml:space="preserve">, </w:t>
      </w:r>
      <w:r w:rsidRPr="00C544BF">
        <w:rPr>
          <w:rFonts w:cs="Arial"/>
          <w:rtl/>
        </w:rPr>
        <w:t>דאין לו שייכו</w:t>
      </w:r>
      <w:r>
        <w:rPr>
          <w:rFonts w:cs="Arial" w:hint="cs"/>
          <w:rtl/>
        </w:rPr>
        <w:t>ת</w:t>
      </w:r>
      <w:r w:rsidRPr="00C544BF">
        <w:rPr>
          <w:rFonts w:cs="Arial"/>
          <w:rtl/>
        </w:rPr>
        <w:t xml:space="preserve"> בקרן של נ"מ והוי כגזלן ואינש דעלמ</w:t>
      </w:r>
      <w:r>
        <w:rPr>
          <w:rFonts w:cs="Arial" w:hint="cs"/>
          <w:rtl/>
        </w:rPr>
        <w:t>א.</w:t>
      </w:r>
      <w:r w:rsidRPr="00C544BF">
        <w:rPr>
          <w:rFonts w:cs="Arial"/>
          <w:rtl/>
        </w:rPr>
        <w:t xml:space="preserve"> ועיין לקמן סוף סי' קט"ז כתבתי דעת רש"י והרא"ש דאפי' קרן של נ"מ א"צ לשלם גבי ממאנת</w:t>
      </w:r>
      <w:r>
        <w:rPr>
          <w:rFonts w:cs="Arial" w:hint="cs"/>
          <w:rtl/>
        </w:rPr>
        <w:t>,</w:t>
      </w:r>
      <w:r w:rsidRPr="00C544BF">
        <w:rPr>
          <w:rFonts w:cs="Arial"/>
          <w:rtl/>
        </w:rPr>
        <w:t xml:space="preserve"> ואפשר דה"ה הכא ויש לחלק</w:t>
      </w:r>
      <w:r>
        <w:rPr>
          <w:rFonts w:cs="Arial" w:hint="cs"/>
          <w:rtl/>
        </w:rPr>
        <w:t>, ח"מ (סק"כ).</w:t>
      </w:r>
    </w:p>
  </w:footnote>
  <w:footnote w:id="2851">
    <w:p w14:paraId="132B0BDB" w14:textId="14797E8B" w:rsidR="00392DBB" w:rsidRDefault="00392DBB" w:rsidP="00392DBB">
      <w:pPr>
        <w:pStyle w:val="a5"/>
        <w:rPr>
          <w:rtl/>
        </w:rPr>
      </w:pPr>
      <w:r>
        <w:rPr>
          <w:rStyle w:val="a7"/>
        </w:rPr>
        <w:footnoteRef/>
      </w:r>
      <w:r>
        <w:rPr>
          <w:rtl/>
        </w:rPr>
        <w:t xml:space="preserve"> </w:t>
      </w:r>
      <w:r w:rsidRPr="00A25A4B">
        <w:rPr>
          <w:rFonts w:cs="Arial"/>
          <w:rtl/>
        </w:rPr>
        <w:t>אפי' זינתה בעודה פנויה ונודע לבעל אח"כ. מהרי"ט חא"ה סימן ט"ו</w:t>
      </w:r>
      <w:r>
        <w:rPr>
          <w:rFonts w:cs="Arial" w:hint="cs"/>
          <w:rtl/>
        </w:rPr>
        <w:t xml:space="preserve">, </w:t>
      </w:r>
      <w:r w:rsidRPr="00A17994">
        <w:rPr>
          <w:rFonts w:cs="Arial" w:hint="cs"/>
          <w:b/>
          <w:bCs/>
          <w:rtl/>
        </w:rPr>
        <w:t>באה"ט</w:t>
      </w:r>
      <w:r>
        <w:rPr>
          <w:rFonts w:cs="Arial" w:hint="cs"/>
          <w:rtl/>
        </w:rPr>
        <w:t xml:space="preserve"> (סק"כ).</w:t>
      </w:r>
      <w:r w:rsidRPr="00A25A4B">
        <w:rPr>
          <w:rFonts w:cs="Arial"/>
          <w:rtl/>
        </w:rPr>
        <w:t xml:space="preserve"> </w:t>
      </w:r>
      <w:r w:rsidR="00A17994">
        <w:rPr>
          <w:rFonts w:cs="Arial" w:hint="cs"/>
          <w:rtl/>
        </w:rPr>
        <w:t xml:space="preserve">    </w:t>
      </w:r>
      <w:r w:rsidRPr="008930CA">
        <w:rPr>
          <w:rFonts w:cs="Arial"/>
          <w:rtl/>
        </w:rPr>
        <w:t>וקטנה שזנתה ס"ל לרוב הפוסקים אפילו אם זנתה ברצון הוי כאונס</w:t>
      </w:r>
      <w:r w:rsidR="00EF760B">
        <w:rPr>
          <w:rFonts w:cs="Arial" w:hint="cs"/>
          <w:rtl/>
        </w:rPr>
        <w:t>,</w:t>
      </w:r>
      <w:r w:rsidRPr="008930CA">
        <w:rPr>
          <w:rFonts w:cs="Arial"/>
          <w:rtl/>
        </w:rPr>
        <w:t xml:space="preserve"> כי פיתוי דקטנה אונס הוא</w:t>
      </w:r>
      <w:r w:rsidR="00EF760B">
        <w:rPr>
          <w:rFonts w:cs="Arial" w:hint="cs"/>
          <w:rtl/>
        </w:rPr>
        <w:t>,</w:t>
      </w:r>
      <w:r w:rsidRPr="008930CA">
        <w:rPr>
          <w:rFonts w:cs="Arial"/>
          <w:rtl/>
        </w:rPr>
        <w:t xml:space="preserve"> ומותרת לבעלה ולא הפסידה הכתובה</w:t>
      </w:r>
      <w:r w:rsidR="00EF760B">
        <w:rPr>
          <w:rFonts w:cs="Arial" w:hint="cs"/>
          <w:rtl/>
        </w:rPr>
        <w:t>.</w:t>
      </w:r>
      <w:r w:rsidRPr="008930CA">
        <w:rPr>
          <w:rFonts w:cs="Arial"/>
          <w:rtl/>
        </w:rPr>
        <w:t xml:space="preserve"> ורמב"ם ס"ל דאסורה לבעלה ומפסדת הכתובה, מיהו נ"מ ונצ"ב אפי' לית' בעין לא הפסידה</w:t>
      </w:r>
      <w:r w:rsidR="00F434F5">
        <w:rPr>
          <w:rFonts w:cs="Arial" w:hint="cs"/>
          <w:rtl/>
        </w:rPr>
        <w:t>,</w:t>
      </w:r>
      <w:r w:rsidRPr="008930CA">
        <w:rPr>
          <w:rFonts w:cs="Arial"/>
          <w:rtl/>
        </w:rPr>
        <w:t xml:space="preserve"> כי גדולה מפסדת משום קנס שקנסו אותה חז"ל</w:t>
      </w:r>
      <w:r w:rsidR="00F434F5">
        <w:rPr>
          <w:rFonts w:cs="Arial" w:hint="cs"/>
          <w:rtl/>
        </w:rPr>
        <w:t>,</w:t>
      </w:r>
      <w:r w:rsidRPr="008930CA">
        <w:rPr>
          <w:rFonts w:cs="Arial"/>
          <w:rtl/>
        </w:rPr>
        <w:t xml:space="preserve"> ובקטנה לא שייך קנס</w:t>
      </w:r>
      <w:r w:rsidR="00F434F5">
        <w:rPr>
          <w:rFonts w:cs="Arial" w:hint="cs"/>
          <w:rtl/>
        </w:rPr>
        <w:t>,</w:t>
      </w:r>
      <w:r w:rsidRPr="008930CA">
        <w:rPr>
          <w:rFonts w:cs="Arial"/>
          <w:rtl/>
        </w:rPr>
        <w:t xml:space="preserve"> לכן לא הפסידה אפילו לשיטות הרמב"ם וע' במהרי"ק שם</w:t>
      </w:r>
      <w:r>
        <w:rPr>
          <w:rFonts w:cs="Arial" w:hint="cs"/>
          <w:rtl/>
        </w:rPr>
        <w:t>.</w:t>
      </w:r>
      <w:r w:rsidRPr="008930CA">
        <w:rPr>
          <w:rFonts w:cs="Arial"/>
          <w:rtl/>
        </w:rPr>
        <w:t xml:space="preserve"> ואם זנתה בטעות שהיתה סבירא דאין איסור בדבר עסי' קע"ח</w:t>
      </w:r>
      <w:r>
        <w:rPr>
          <w:rFonts w:cs="Arial" w:hint="cs"/>
          <w:rtl/>
        </w:rPr>
        <w:t xml:space="preserve">, </w:t>
      </w:r>
      <w:r w:rsidRPr="00A17994">
        <w:rPr>
          <w:rFonts w:cs="Arial" w:hint="cs"/>
          <w:b/>
          <w:bCs/>
          <w:rtl/>
        </w:rPr>
        <w:t>ב"ש</w:t>
      </w:r>
      <w:r>
        <w:rPr>
          <w:rFonts w:cs="Arial" w:hint="cs"/>
          <w:rtl/>
        </w:rPr>
        <w:t xml:space="preserve"> (סקכ"א).</w:t>
      </w:r>
      <w:r w:rsidRPr="00547575">
        <w:rPr>
          <w:rtl/>
        </w:rPr>
        <w:t xml:space="preserve"> </w:t>
      </w:r>
      <w:r w:rsidR="00A17994">
        <w:rPr>
          <w:rFonts w:hint="cs"/>
          <w:rtl/>
        </w:rPr>
        <w:t xml:space="preserve">    </w:t>
      </w:r>
      <w:r w:rsidRPr="00547575">
        <w:rPr>
          <w:rFonts w:cs="Arial"/>
          <w:rtl/>
        </w:rPr>
        <w:t>ועיין בתשו' חת</w:t>
      </w:r>
      <w:r>
        <w:rPr>
          <w:rFonts w:cs="Arial" w:hint="cs"/>
          <w:rtl/>
        </w:rPr>
        <w:t>"</w:t>
      </w:r>
      <w:r w:rsidRPr="00547575">
        <w:rPr>
          <w:rFonts w:cs="Arial"/>
          <w:rtl/>
        </w:rPr>
        <w:t xml:space="preserve">ס </w:t>
      </w:r>
      <w:r>
        <w:rPr>
          <w:rFonts w:cs="Arial" w:hint="cs"/>
          <w:rtl/>
        </w:rPr>
        <w:t>(</w:t>
      </w:r>
      <w:r w:rsidRPr="00547575">
        <w:rPr>
          <w:rFonts w:cs="Arial"/>
          <w:rtl/>
        </w:rPr>
        <w:t>סי' קמח</w:t>
      </w:r>
      <w:r>
        <w:rPr>
          <w:rFonts w:cs="Arial" w:hint="cs"/>
          <w:rtl/>
        </w:rPr>
        <w:t>)</w:t>
      </w:r>
      <w:r w:rsidRPr="00547575">
        <w:rPr>
          <w:rFonts w:cs="Arial"/>
          <w:rtl/>
        </w:rPr>
        <w:t xml:space="preserve"> שהשיב ע"ד מי שנשא אלמנה וכמו חדש ימים אחר הנישואין נ</w:t>
      </w:r>
      <w:r>
        <w:rPr>
          <w:rFonts w:cs="Arial" w:hint="cs"/>
          <w:rtl/>
        </w:rPr>
        <w:t xml:space="preserve">שאו ונתנו </w:t>
      </w:r>
      <w:r w:rsidRPr="00547575">
        <w:rPr>
          <w:rFonts w:cs="Arial"/>
          <w:rtl/>
        </w:rPr>
        <w:t>בה מוזרות בלבנה שהרתה לזנונים</w:t>
      </w:r>
      <w:r>
        <w:rPr>
          <w:rFonts w:cs="Arial" w:hint="cs"/>
          <w:rtl/>
        </w:rPr>
        <w:t>.</w:t>
      </w:r>
      <w:r w:rsidRPr="00547575">
        <w:rPr>
          <w:rFonts w:cs="Arial"/>
          <w:rtl/>
        </w:rPr>
        <w:t xml:space="preserve"> ונקרא</w:t>
      </w:r>
      <w:r>
        <w:rPr>
          <w:rFonts w:cs="Arial" w:hint="cs"/>
          <w:rtl/>
        </w:rPr>
        <w:t>ה</w:t>
      </w:r>
      <w:r w:rsidRPr="00547575">
        <w:rPr>
          <w:rFonts w:cs="Arial"/>
          <w:rtl/>
        </w:rPr>
        <w:t xml:space="preserve"> לפני הרב והכחישה הדבר</w:t>
      </w:r>
      <w:r>
        <w:rPr>
          <w:rFonts w:cs="Arial" w:hint="cs"/>
          <w:rtl/>
        </w:rPr>
        <w:t>.</w:t>
      </w:r>
      <w:r w:rsidRPr="00547575">
        <w:rPr>
          <w:rFonts w:cs="Arial"/>
          <w:rtl/>
        </w:rPr>
        <w:t xml:space="preserve"> וכמו ד' חדשים ילדה</w:t>
      </w:r>
      <w:r>
        <w:rPr>
          <w:rFonts w:cs="Arial" w:hint="cs"/>
          <w:rtl/>
        </w:rPr>
        <w:t>...</w:t>
      </w:r>
      <w:r w:rsidRPr="00547575">
        <w:rPr>
          <w:rFonts w:cs="Arial"/>
          <w:rtl/>
        </w:rPr>
        <w:t xml:space="preserve"> לא מקרי עו</w:t>
      </w:r>
      <w:r>
        <w:rPr>
          <w:rFonts w:cs="Arial" w:hint="cs"/>
          <w:rtl/>
        </w:rPr>
        <w:t xml:space="preserve">ברת </w:t>
      </w:r>
      <w:r w:rsidRPr="00547575">
        <w:rPr>
          <w:rFonts w:cs="Arial"/>
          <w:rtl/>
        </w:rPr>
        <w:t>ע</w:t>
      </w:r>
      <w:r>
        <w:rPr>
          <w:rFonts w:cs="Arial" w:hint="cs"/>
          <w:rtl/>
        </w:rPr>
        <w:t>ל דת</w:t>
      </w:r>
      <w:r w:rsidRPr="00547575">
        <w:rPr>
          <w:rFonts w:cs="Arial"/>
          <w:rtl/>
        </w:rPr>
        <w:t xml:space="preserve"> אלא מה דאיכא חשש מכשול לעתיד אבל לא מה שעברה כבר כו' וא"כ הכא ליכא למיחש שתכשילהו עוד באיסור מעוברת חבירו לעולם כו' ומכ"ש דהכא לא כיונה להכשיל כ"א מחמת כיסופא לא הודית וגם מאימת גירושין מבעלה רצתה להסתיר כל זמן שאפשר ולא נחשדה כלל להכשילו ע"כ נ"ל פשוט שאינה בכלל עוע"ד. ולכן בנ"ד נהי דגם אם יורה המורה דמותר לקיימ' מ"מ אם הבעל אינו רוצה יכול לגרשה בע"כ ואין בזה משום חרגמ"ה מ"מ לא הפסידה תוספת ומכ"ש מה שהכניס' לו</w:t>
      </w:r>
      <w:r>
        <w:rPr>
          <w:rFonts w:cs="Arial" w:hint="cs"/>
          <w:rtl/>
        </w:rPr>
        <w:t xml:space="preserve">, </w:t>
      </w:r>
      <w:r w:rsidRPr="00A17994">
        <w:rPr>
          <w:rFonts w:cs="Arial" w:hint="cs"/>
          <w:b/>
          <w:bCs/>
          <w:rtl/>
        </w:rPr>
        <w:t>פת"ש</w:t>
      </w:r>
      <w:r>
        <w:rPr>
          <w:rFonts w:cs="Arial" w:hint="cs"/>
          <w:rtl/>
        </w:rPr>
        <w:t xml:space="preserve"> (סק"כ*)</w:t>
      </w:r>
      <w:r>
        <w:rPr>
          <w:rFonts w:hint="cs"/>
          <w:rtl/>
        </w:rPr>
        <w:t>.</w:t>
      </w:r>
    </w:p>
  </w:footnote>
  <w:footnote w:id="2852">
    <w:p w14:paraId="75727E7D" w14:textId="77777777" w:rsidR="00392DBB" w:rsidRDefault="00392DBB" w:rsidP="00392DBB">
      <w:pPr>
        <w:pStyle w:val="a5"/>
      </w:pPr>
      <w:r>
        <w:rPr>
          <w:rStyle w:val="a7"/>
        </w:rPr>
        <w:footnoteRef/>
      </w:r>
      <w:r>
        <w:rPr>
          <w:rtl/>
        </w:rPr>
        <w:t xml:space="preserve"> </w:t>
      </w:r>
      <w:r w:rsidRPr="00E069A0">
        <w:rPr>
          <w:rFonts w:cs="Arial"/>
          <w:rtl/>
        </w:rPr>
        <w:t xml:space="preserve">כתב מהרי"ק </w:t>
      </w:r>
      <w:r>
        <w:rPr>
          <w:rFonts w:cs="Arial" w:hint="cs"/>
          <w:rtl/>
        </w:rPr>
        <w:t>(</w:t>
      </w:r>
      <w:r w:rsidRPr="00E069A0">
        <w:rPr>
          <w:rFonts w:cs="Arial"/>
          <w:rtl/>
        </w:rPr>
        <w:t>שורש פא ענף א) במקום שיש מנהג שכל אחד מוסיף שליש על הנדוניא מפני שיכול להשתכר בנדוניא</w:t>
      </w:r>
      <w:r>
        <w:rPr>
          <w:rFonts w:cs="Arial" w:hint="cs"/>
          <w:rtl/>
        </w:rPr>
        <w:t>,</w:t>
      </w:r>
      <w:r w:rsidRPr="00E069A0">
        <w:rPr>
          <w:rFonts w:cs="Arial"/>
          <w:rtl/>
        </w:rPr>
        <w:t xml:space="preserve"> אותה הוספה מיקרי נדוניא</w:t>
      </w:r>
      <w:r>
        <w:rPr>
          <w:rFonts w:cs="Arial" w:hint="cs"/>
          <w:rtl/>
        </w:rPr>
        <w:t>,</w:t>
      </w:r>
      <w:r w:rsidRPr="00E069A0">
        <w:rPr>
          <w:rFonts w:cs="Arial"/>
          <w:rtl/>
        </w:rPr>
        <w:t xml:space="preserve"> אבל במקום שכל אחד מוסיף מה שירצה </w:t>
      </w:r>
      <w:r>
        <w:rPr>
          <w:rFonts w:cs="Arial" w:hint="cs"/>
          <w:rtl/>
        </w:rPr>
        <w:t xml:space="preserve">- </w:t>
      </w:r>
      <w:r w:rsidRPr="00E069A0">
        <w:rPr>
          <w:rFonts w:cs="Arial"/>
          <w:rtl/>
        </w:rPr>
        <w:t>מקרי תוספת ולא נדוניא וע"ש</w:t>
      </w:r>
      <w:r>
        <w:rPr>
          <w:rFonts w:cs="Arial" w:hint="cs"/>
          <w:rtl/>
        </w:rPr>
        <w:t>, דרכ"מ (אות יב).</w:t>
      </w:r>
    </w:p>
  </w:footnote>
  <w:footnote w:id="2853">
    <w:p w14:paraId="446B6883" w14:textId="77777777" w:rsidR="00392DBB" w:rsidRDefault="00392DBB" w:rsidP="00392DBB">
      <w:pPr>
        <w:pStyle w:val="a5"/>
        <w:rPr>
          <w:rtl/>
        </w:rPr>
      </w:pPr>
      <w:r>
        <w:rPr>
          <w:rStyle w:val="a7"/>
        </w:rPr>
        <w:footnoteRef/>
      </w:r>
      <w:r>
        <w:rPr>
          <w:rtl/>
        </w:rPr>
        <w:t xml:space="preserve"> </w:t>
      </w:r>
      <w:r>
        <w:rPr>
          <w:rFonts w:cs="Arial"/>
          <w:rtl/>
        </w:rPr>
        <w:t>כ"כ הרמב"ם ז"ל בפכ"ד (הי"ח) ופשוט הוא דהודאת בעל דין כמאה עדים דמי</w:t>
      </w:r>
      <w:r>
        <w:rPr>
          <w:rFonts w:cs="Arial" w:hint="cs"/>
          <w:rtl/>
        </w:rPr>
        <w:t>, ב"י.</w:t>
      </w:r>
    </w:p>
  </w:footnote>
  <w:footnote w:id="2854">
    <w:p w14:paraId="67954107" w14:textId="094F5264" w:rsidR="00392DBB" w:rsidRDefault="00392DBB" w:rsidP="00392DBB">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026E9E">
        <w:rPr>
          <w:rFonts w:cs="Arial"/>
          <w:rtl/>
        </w:rPr>
        <w:t xml:space="preserve">ירושלמי </w:t>
      </w:r>
      <w:r w:rsidRPr="00BD6E5D">
        <w:rPr>
          <w:rFonts w:cs="Arial"/>
          <w:rtl/>
        </w:rPr>
        <w:t>האומרת טמאה אני לך אם נתנה אמתלא נאמנת ואם לא נתנה אמתלא אינה נאמנת</w:t>
      </w:r>
      <w:r>
        <w:rPr>
          <w:rFonts w:cs="Arial" w:hint="cs"/>
          <w:rtl/>
        </w:rPr>
        <w:t>.</w:t>
      </w:r>
      <w:r w:rsidRPr="00BD6E5D">
        <w:rPr>
          <w:rFonts w:cs="Arial"/>
          <w:rtl/>
        </w:rPr>
        <w:t xml:space="preserve"> א"ר אילא אם היה חבר יוציא</w:t>
      </w:r>
      <w:r>
        <w:rPr>
          <w:rFonts w:cs="Arial" w:hint="cs"/>
          <w:rtl/>
        </w:rPr>
        <w:t>.</w:t>
      </w:r>
      <w:r w:rsidRPr="00BD6E5D">
        <w:rPr>
          <w:rFonts w:cs="Arial"/>
          <w:rtl/>
        </w:rPr>
        <w:t xml:space="preserve"> ואם הוא מאמינה חייב להוציא</w:t>
      </w:r>
      <w:r>
        <w:rPr>
          <w:rFonts w:hint="cs"/>
          <w:rtl/>
        </w:rPr>
        <w:t>.</w:t>
      </w:r>
    </w:p>
  </w:footnote>
  <w:footnote w:id="2855">
    <w:p w14:paraId="1DF85C65" w14:textId="49179D52" w:rsidR="002A5062" w:rsidRDefault="002A5062" w:rsidP="002A5062">
      <w:pPr>
        <w:pStyle w:val="a5"/>
        <w:rPr>
          <w:rtl/>
        </w:rPr>
      </w:pPr>
      <w:r>
        <w:rPr>
          <w:rStyle w:val="a7"/>
        </w:rPr>
        <w:footnoteRef/>
      </w:r>
      <w:r>
        <w:rPr>
          <w:rtl/>
        </w:rPr>
        <w:t xml:space="preserve"> </w:t>
      </w:r>
      <w:r>
        <w:rPr>
          <w:rFonts w:hint="cs"/>
          <w:rtl/>
        </w:rPr>
        <w:t xml:space="preserve">סימן - </w:t>
      </w:r>
      <w:r w:rsidR="00362FD7">
        <w:rPr>
          <w:rFonts w:hint="cs"/>
          <w:rtl/>
        </w:rPr>
        <w:t>סוררת בסו</w:t>
      </w:r>
      <w:r w:rsidR="001A2478">
        <w:rPr>
          <w:rFonts w:hint="cs"/>
          <w:rtl/>
        </w:rPr>
        <w:t>ד</w:t>
      </w:r>
      <w:r>
        <w:rPr>
          <w:rFonts w:hint="cs"/>
          <w:rtl/>
        </w:rPr>
        <w:t>.</w:t>
      </w:r>
    </w:p>
  </w:footnote>
  <w:footnote w:id="2856">
    <w:p w14:paraId="63ECA8C5" w14:textId="1C36AED2"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sidRPr="008E63E3">
        <w:rPr>
          <w:rFonts w:cs="Arial"/>
          <w:rtl/>
        </w:rPr>
        <w:t>מי שראה אשתו שזינת או שאמר לו אחד מקרוביו או מקרובותיה שהוא מאמינם וסומכת דעתו עליהם שזינת אשתו בין שהיה האומר איש בין שהיתה אשה הואיל וסמכה דעתו לדבר זה שהוא אמת הרי זה חייב להוציא ואסור לו לבוא עליה ויתן כתובתה, ואם הודת לו שזינת תצא בלא כתובה</w:t>
      </w:r>
      <w:r>
        <w:rPr>
          <w:rFonts w:cs="Arial" w:hint="cs"/>
          <w:rtl/>
        </w:rPr>
        <w:t>..</w:t>
      </w:r>
      <w:r w:rsidRPr="008E63E3">
        <w:rPr>
          <w:rFonts w:cs="Arial"/>
          <w:rtl/>
        </w:rPr>
        <w:t>.</w:t>
      </w:r>
    </w:p>
  </w:footnote>
  <w:footnote w:id="2857">
    <w:p w14:paraId="091377BE" w14:textId="77777777" w:rsidR="00392DBB" w:rsidRPr="008C4524" w:rsidRDefault="00392DBB" w:rsidP="00392DBB">
      <w:pPr>
        <w:pStyle w:val="a5"/>
        <w:rPr>
          <w:rFonts w:cs="Arial"/>
        </w:rPr>
      </w:pPr>
      <w:r>
        <w:rPr>
          <w:rStyle w:val="a7"/>
        </w:rPr>
        <w:footnoteRef/>
      </w:r>
      <w:r>
        <w:rPr>
          <w:rtl/>
        </w:rPr>
        <w:t xml:space="preserve"> </w:t>
      </w:r>
      <w:r>
        <w:rPr>
          <w:rFonts w:cs="Arial" w:hint="cs"/>
          <w:rtl/>
        </w:rPr>
        <w:t>ו</w:t>
      </w:r>
      <w:r w:rsidRPr="00671DE4">
        <w:rPr>
          <w:rFonts w:cs="Arial"/>
          <w:rtl/>
        </w:rPr>
        <w:t>הרבה קרובים אינן נחשבים אלא לעד אחד</w:t>
      </w:r>
      <w:r>
        <w:rPr>
          <w:rFonts w:cs="Arial" w:hint="cs"/>
          <w:rtl/>
        </w:rPr>
        <w:t xml:space="preserve">, </w:t>
      </w:r>
      <w:r w:rsidRPr="00671DE4">
        <w:rPr>
          <w:rFonts w:cs="Arial"/>
          <w:rtl/>
        </w:rPr>
        <w:t xml:space="preserve">מהר"ם </w:t>
      </w:r>
      <w:r w:rsidRPr="0087631A">
        <w:rPr>
          <w:rFonts w:cs="Arial" w:hint="cs"/>
          <w:sz w:val="16"/>
          <w:szCs w:val="16"/>
          <w:rtl/>
        </w:rPr>
        <w:t>(</w:t>
      </w:r>
      <w:r w:rsidRPr="0087631A">
        <w:rPr>
          <w:rFonts w:cs="Arial"/>
          <w:sz w:val="16"/>
          <w:szCs w:val="16"/>
          <w:rtl/>
        </w:rPr>
        <w:t>ספר סיני וליקוטים סי</w:t>
      </w:r>
      <w:r w:rsidRPr="0087631A">
        <w:rPr>
          <w:rFonts w:cs="Arial" w:hint="cs"/>
          <w:sz w:val="16"/>
          <w:szCs w:val="16"/>
          <w:rtl/>
        </w:rPr>
        <w:t>'</w:t>
      </w:r>
      <w:r w:rsidRPr="0087631A">
        <w:rPr>
          <w:rFonts w:cs="Arial"/>
          <w:sz w:val="16"/>
          <w:szCs w:val="16"/>
          <w:rtl/>
        </w:rPr>
        <w:t xml:space="preserve"> שסה</w:t>
      </w:r>
      <w:r w:rsidRPr="0087631A">
        <w:rPr>
          <w:rFonts w:cs="Arial" w:hint="cs"/>
          <w:sz w:val="16"/>
          <w:szCs w:val="16"/>
          <w:rtl/>
        </w:rPr>
        <w:t xml:space="preserve">, והביאוהו תשו' </w:t>
      </w:r>
      <w:r w:rsidRPr="0087631A">
        <w:rPr>
          <w:rFonts w:cs="Arial"/>
          <w:sz w:val="16"/>
          <w:szCs w:val="16"/>
          <w:rtl/>
        </w:rPr>
        <w:t>מיימוני</w:t>
      </w:r>
      <w:r w:rsidRPr="0087631A">
        <w:rPr>
          <w:rFonts w:cs="Arial" w:hint="cs"/>
          <w:sz w:val="16"/>
          <w:szCs w:val="16"/>
          <w:rtl/>
        </w:rPr>
        <w:t>ות</w:t>
      </w:r>
      <w:r w:rsidRPr="0087631A">
        <w:rPr>
          <w:rFonts w:cs="Arial"/>
          <w:sz w:val="16"/>
          <w:szCs w:val="16"/>
          <w:rtl/>
        </w:rPr>
        <w:t xml:space="preserve"> </w:t>
      </w:r>
      <w:r w:rsidRPr="0087631A">
        <w:rPr>
          <w:rFonts w:cs="Arial" w:hint="cs"/>
          <w:sz w:val="16"/>
          <w:szCs w:val="16"/>
          <w:rtl/>
        </w:rPr>
        <w:t>[</w:t>
      </w:r>
      <w:r w:rsidRPr="0087631A">
        <w:rPr>
          <w:rFonts w:cs="Arial"/>
          <w:sz w:val="16"/>
          <w:szCs w:val="16"/>
          <w:rtl/>
        </w:rPr>
        <w:t>סוף הלכות נשים סי' כה</w:t>
      </w:r>
      <w:r w:rsidRPr="0087631A">
        <w:rPr>
          <w:rFonts w:cs="Arial" w:hint="cs"/>
          <w:sz w:val="16"/>
          <w:szCs w:val="16"/>
          <w:rtl/>
        </w:rPr>
        <w:t>]</w:t>
      </w:r>
      <w:r w:rsidRPr="0087631A">
        <w:rPr>
          <w:rFonts w:cs="Arial"/>
          <w:sz w:val="16"/>
          <w:szCs w:val="16"/>
          <w:rtl/>
        </w:rPr>
        <w:t xml:space="preserve"> והג</w:t>
      </w:r>
      <w:r w:rsidRPr="0087631A">
        <w:rPr>
          <w:rFonts w:cs="Arial" w:hint="cs"/>
          <w:sz w:val="16"/>
          <w:szCs w:val="16"/>
          <w:rtl/>
        </w:rPr>
        <w:t>מ"ר [</w:t>
      </w:r>
      <w:r w:rsidRPr="0087631A">
        <w:rPr>
          <w:rFonts w:cs="Arial"/>
          <w:sz w:val="16"/>
          <w:szCs w:val="16"/>
          <w:rtl/>
        </w:rPr>
        <w:t>יבמות סי' קכא - קכב</w:t>
      </w:r>
      <w:r w:rsidRPr="0087631A">
        <w:rPr>
          <w:rFonts w:cs="Arial" w:hint="cs"/>
          <w:sz w:val="16"/>
          <w:szCs w:val="16"/>
          <w:rtl/>
        </w:rPr>
        <w:t>]</w:t>
      </w:r>
      <w:r w:rsidRPr="0087631A">
        <w:rPr>
          <w:rFonts w:cs="Arial"/>
          <w:sz w:val="16"/>
          <w:szCs w:val="16"/>
          <w:rtl/>
        </w:rPr>
        <w:t>)</w:t>
      </w:r>
      <w:r>
        <w:rPr>
          <w:rFonts w:cs="Arial" w:hint="cs"/>
          <w:rtl/>
        </w:rPr>
        <w:t>.</w:t>
      </w:r>
      <w:r w:rsidRPr="00671DE4">
        <w:rPr>
          <w:rFonts w:cs="Arial"/>
          <w:rtl/>
        </w:rPr>
        <w:t xml:space="preserve"> </w:t>
      </w:r>
      <w:r w:rsidRPr="00AE454B">
        <w:rPr>
          <w:rFonts w:hint="cs"/>
          <w:color w:val="00B0F0"/>
          <w:rtl/>
        </w:rPr>
        <w:t>(וכ"פ הרמ"א</w:t>
      </w:r>
      <w:r>
        <w:rPr>
          <w:rFonts w:hint="cs"/>
          <w:color w:val="00B0F0"/>
          <w:sz w:val="16"/>
          <w:szCs w:val="16"/>
          <w:rtl/>
        </w:rPr>
        <w:t xml:space="preserve"> </w:t>
      </w:r>
      <w:r w:rsidRPr="00B33253">
        <w:rPr>
          <w:rFonts w:hint="cs"/>
          <w:color w:val="000000" w:themeColor="text1"/>
          <w:sz w:val="16"/>
          <w:szCs w:val="16"/>
          <w:rtl/>
        </w:rPr>
        <w:t>[</w:t>
      </w:r>
      <w:r>
        <w:rPr>
          <w:rFonts w:hint="cs"/>
          <w:color w:val="000000" w:themeColor="text1"/>
          <w:sz w:val="16"/>
          <w:szCs w:val="16"/>
          <w:rtl/>
        </w:rPr>
        <w:t>בסע' ז]</w:t>
      </w:r>
      <w:r w:rsidRPr="00AE454B">
        <w:rPr>
          <w:rFonts w:hint="cs"/>
          <w:color w:val="00B0F0"/>
          <w:rtl/>
        </w:rPr>
        <w:t>)</w:t>
      </w:r>
    </w:p>
  </w:footnote>
  <w:footnote w:id="2858">
    <w:p w14:paraId="3C8F9AFE" w14:textId="77777777" w:rsidR="006717F9" w:rsidRDefault="006717F9" w:rsidP="006717F9">
      <w:pPr>
        <w:pStyle w:val="a5"/>
      </w:pPr>
      <w:r>
        <w:rPr>
          <w:rStyle w:val="a7"/>
        </w:rPr>
        <w:footnoteRef/>
      </w:r>
      <w:r>
        <w:rPr>
          <w:rtl/>
        </w:rPr>
        <w:t xml:space="preserve"> </w:t>
      </w:r>
      <w:r>
        <w:rPr>
          <w:rFonts w:cs="Arial" w:hint="cs"/>
          <w:rtl/>
        </w:rPr>
        <w:t>ו</w:t>
      </w:r>
      <w:r w:rsidRPr="00671DE4">
        <w:rPr>
          <w:rFonts w:cs="Arial"/>
          <w:rtl/>
        </w:rPr>
        <w:t>לא מיקרי מהימן ליה כבי תרי אלא דוקא שנאמן עליו בכל דבריו</w:t>
      </w:r>
      <w:r>
        <w:rPr>
          <w:rFonts w:cs="Arial" w:hint="cs"/>
          <w:rtl/>
        </w:rPr>
        <w:t>,</w:t>
      </w:r>
      <w:r w:rsidRPr="00671DE4">
        <w:rPr>
          <w:rFonts w:cs="Arial"/>
          <w:rtl/>
        </w:rPr>
        <w:t xml:space="preserve"> אבל בלאו הכי אלא שמאמין לו בדבר זה משום דבלאו הכי נחשדת קצת </w:t>
      </w:r>
      <w:r>
        <w:rPr>
          <w:rFonts w:cs="Arial" w:hint="cs"/>
          <w:rtl/>
        </w:rPr>
        <w:t xml:space="preserve">- </w:t>
      </w:r>
      <w:r w:rsidRPr="00671DE4">
        <w:rPr>
          <w:rFonts w:cs="Arial"/>
          <w:rtl/>
        </w:rPr>
        <w:t>לא נאסרה עליו משום עדות זה</w:t>
      </w:r>
      <w:r>
        <w:rPr>
          <w:rFonts w:cs="Arial" w:hint="cs"/>
          <w:rtl/>
        </w:rPr>
        <w:t>, דרכ"מ (אות יז) בשם מהרי"ק (שורש פב).</w:t>
      </w:r>
      <w:r w:rsidRPr="00B33253">
        <w:rPr>
          <w:rFonts w:hint="cs"/>
          <w:color w:val="00B0F0"/>
          <w:rtl/>
        </w:rPr>
        <w:t xml:space="preserve"> </w:t>
      </w:r>
      <w:r w:rsidRPr="00AE454B">
        <w:rPr>
          <w:rFonts w:hint="cs"/>
          <w:color w:val="00B0F0"/>
          <w:rtl/>
        </w:rPr>
        <w:t>(וכ"</w:t>
      </w:r>
      <w:r>
        <w:rPr>
          <w:rFonts w:hint="cs"/>
          <w:color w:val="00B0F0"/>
          <w:rtl/>
        </w:rPr>
        <w:t>כ</w:t>
      </w:r>
      <w:r w:rsidRPr="00AE454B">
        <w:rPr>
          <w:rFonts w:hint="cs"/>
          <w:color w:val="00B0F0"/>
          <w:rtl/>
        </w:rPr>
        <w:t xml:space="preserve"> הרמ"א</w:t>
      </w:r>
      <w:r>
        <w:rPr>
          <w:rFonts w:hint="cs"/>
          <w:color w:val="00B0F0"/>
          <w:sz w:val="16"/>
          <w:szCs w:val="16"/>
          <w:rtl/>
        </w:rPr>
        <w:t xml:space="preserve"> </w:t>
      </w:r>
      <w:r w:rsidRPr="00B33253">
        <w:rPr>
          <w:rFonts w:hint="cs"/>
          <w:color w:val="000000" w:themeColor="text1"/>
          <w:sz w:val="16"/>
          <w:szCs w:val="16"/>
          <w:rtl/>
        </w:rPr>
        <w:t>[</w:t>
      </w:r>
      <w:r>
        <w:rPr>
          <w:rFonts w:hint="cs"/>
          <w:color w:val="000000" w:themeColor="text1"/>
          <w:sz w:val="16"/>
          <w:szCs w:val="16"/>
          <w:rtl/>
        </w:rPr>
        <w:t>בסע' ז]</w:t>
      </w:r>
      <w:r w:rsidRPr="00AE454B">
        <w:rPr>
          <w:rFonts w:hint="cs"/>
          <w:color w:val="00B0F0"/>
          <w:rtl/>
        </w:rPr>
        <w:t>)</w:t>
      </w:r>
      <w:r>
        <w:rPr>
          <w:rFonts w:hint="cs"/>
          <w:rtl/>
        </w:rPr>
        <w:t xml:space="preserve"> וז</w:t>
      </w:r>
      <w:r>
        <w:rPr>
          <w:rtl/>
        </w:rPr>
        <w:t>"</w:t>
      </w:r>
      <w:r>
        <w:rPr>
          <w:rFonts w:hint="cs"/>
          <w:rtl/>
        </w:rPr>
        <w:t xml:space="preserve">ל מהרי"ק שם: </w:t>
      </w:r>
      <w:r w:rsidRPr="00A52ECE">
        <w:rPr>
          <w:rFonts w:cs="Arial"/>
          <w:rtl/>
        </w:rPr>
        <w:t>ועוד נלע"ד דאפילו להיאסר על בעלה לא מהימן אא</w:t>
      </w:r>
      <w:r>
        <w:rPr>
          <w:rFonts w:cs="Arial" w:hint="cs"/>
          <w:rtl/>
        </w:rPr>
        <w:t>"</w:t>
      </w:r>
      <w:r w:rsidRPr="00A52ECE">
        <w:rPr>
          <w:rFonts w:cs="Arial"/>
          <w:rtl/>
        </w:rPr>
        <w:t>כ קים ליה בגויה דלא משקר כגון אדם שהוא מצוי אצלו תדיר וגס ביה טובא</w:t>
      </w:r>
      <w:r>
        <w:rPr>
          <w:rFonts w:cs="Arial" w:hint="cs"/>
          <w:rtl/>
        </w:rPr>
        <w:t>.</w:t>
      </w:r>
      <w:r w:rsidRPr="00A52ECE">
        <w:rPr>
          <w:rFonts w:cs="Arial"/>
          <w:rtl/>
        </w:rPr>
        <w:t xml:space="preserve"> כההיא דרבא דהימנ' לבת רב חסדא שהיתה אשתו והוי קים ליה בגוה טובא</w:t>
      </w:r>
      <w:r>
        <w:rPr>
          <w:rFonts w:cs="Arial" w:hint="cs"/>
          <w:rtl/>
        </w:rPr>
        <w:t>.</w:t>
      </w:r>
      <w:r w:rsidRPr="00A52ECE">
        <w:rPr>
          <w:rFonts w:cs="Arial"/>
          <w:rtl/>
        </w:rPr>
        <w:t xml:space="preserve"> אבל אדם אחר דלא קים ליה בגויה</w:t>
      </w:r>
      <w:r>
        <w:rPr>
          <w:rFonts w:cs="Arial" w:hint="cs"/>
          <w:rtl/>
        </w:rPr>
        <w:t>,</w:t>
      </w:r>
      <w:r w:rsidRPr="00A52ECE">
        <w:rPr>
          <w:rFonts w:cs="Arial"/>
          <w:rtl/>
        </w:rPr>
        <w:t xml:space="preserve"> לא</w:t>
      </w:r>
      <w:r>
        <w:rPr>
          <w:rFonts w:cs="Arial" w:hint="cs"/>
          <w:rtl/>
        </w:rPr>
        <w:t>.</w:t>
      </w:r>
      <w:r w:rsidRPr="00A52ECE">
        <w:rPr>
          <w:rFonts w:cs="Arial"/>
          <w:rtl/>
        </w:rPr>
        <w:t xml:space="preserve"> ואע</w:t>
      </w:r>
      <w:r>
        <w:rPr>
          <w:rFonts w:cs="Arial" w:hint="cs"/>
          <w:rtl/>
        </w:rPr>
        <w:t>"</w:t>
      </w:r>
      <w:r w:rsidRPr="00A52ECE">
        <w:rPr>
          <w:rFonts w:cs="Arial"/>
          <w:rtl/>
        </w:rPr>
        <w:t>ג שהוא מוחזק הרבה לאדם כשר והגון. וראיה מפרק הכותב (פה</w:t>
      </w:r>
      <w:r>
        <w:rPr>
          <w:rFonts w:cs="Arial" w:hint="cs"/>
          <w:rtl/>
        </w:rPr>
        <w:t>.</w:t>
      </w:r>
      <w:r w:rsidRPr="00A52ECE">
        <w:rPr>
          <w:rFonts w:cs="Arial"/>
          <w:rtl/>
        </w:rPr>
        <w:t>) מדלא הימנא רבא לרב פפא לאורעיה לההוא שטרא ואף על גב דהימנא לבת רב חסדא ועל הברור שרב פפא היה כשר והגון מאד בעיני רבא וגם היה תדיר אצלו הרבה כדמוכח בכולא תלמודא ואפילו הכי לא הימניה ליה ולא סמך עליה כאבי תרי ואמר ליה מר לא קים ליה בגויה כדאיתא התם</w:t>
      </w:r>
      <w:r>
        <w:rPr>
          <w:rFonts w:cs="Arial" w:hint="cs"/>
          <w:rtl/>
        </w:rPr>
        <w:t>..</w:t>
      </w:r>
      <w:r w:rsidRPr="00A52ECE">
        <w:rPr>
          <w:rFonts w:cs="Arial"/>
          <w:rtl/>
        </w:rPr>
        <w:t>.</w:t>
      </w:r>
    </w:p>
  </w:footnote>
  <w:footnote w:id="2859">
    <w:p w14:paraId="3D1134A1" w14:textId="51303FBA" w:rsidR="00BD522C" w:rsidRDefault="00BD522C" w:rsidP="00BD522C">
      <w:pPr>
        <w:pStyle w:val="a5"/>
        <w:rPr>
          <w:rtl/>
        </w:rPr>
      </w:pPr>
      <w:r>
        <w:rPr>
          <w:rStyle w:val="a7"/>
        </w:rPr>
        <w:footnoteRef/>
      </w:r>
      <w:r>
        <w:rPr>
          <w:rtl/>
        </w:rPr>
        <w:t xml:space="preserve"> </w:t>
      </w:r>
      <w:r w:rsidRPr="002A30B2">
        <w:rPr>
          <w:rFonts w:cs="Arial"/>
          <w:rtl/>
        </w:rPr>
        <w:t>ומשמע שבדין הוא חייב להוציאה בבא לצאת ידי שמים</w:t>
      </w:r>
      <w:r>
        <w:rPr>
          <w:rFonts w:cs="Arial" w:hint="cs"/>
          <w:rtl/>
        </w:rPr>
        <w:t>...</w:t>
      </w:r>
      <w:r w:rsidRPr="002A30B2">
        <w:rPr>
          <w:rFonts w:cs="Arial"/>
          <w:rtl/>
        </w:rPr>
        <w:t xml:space="preserve"> </w:t>
      </w:r>
      <w:r w:rsidRPr="008E63E3">
        <w:rPr>
          <w:rFonts w:cs="Arial"/>
          <w:rtl/>
        </w:rPr>
        <w:t>ולפיכך יש לתמוה על רבינו שכתב דמשום לזות שפתים הוא</w:t>
      </w:r>
      <w:r>
        <w:rPr>
          <w:rFonts w:cs="Arial" w:hint="cs"/>
          <w:rtl/>
        </w:rPr>
        <w:t xml:space="preserve"> </w:t>
      </w:r>
      <w:r>
        <w:rPr>
          <w:rFonts w:cs="Arial" w:hint="cs"/>
          <w:sz w:val="16"/>
          <w:szCs w:val="16"/>
          <w:rtl/>
        </w:rPr>
        <w:t>{וז"ל הטור:</w:t>
      </w:r>
      <w:r w:rsidRPr="00BD522C">
        <w:rPr>
          <w:rFonts w:cs="Arial" w:hint="cs"/>
          <w:sz w:val="16"/>
          <w:szCs w:val="16"/>
          <w:rtl/>
        </w:rPr>
        <w:t xml:space="preserve"> </w:t>
      </w:r>
      <w:r w:rsidRPr="00BD522C">
        <w:rPr>
          <w:rFonts w:cs="Arial"/>
          <w:sz w:val="16"/>
          <w:szCs w:val="16"/>
          <w:rtl/>
        </w:rPr>
        <w:t xml:space="preserve">ואם יש עד אחד שזינתה </w:t>
      </w:r>
      <w:r w:rsidRPr="00BD522C">
        <w:rPr>
          <w:rFonts w:cs="Arial" w:hint="cs"/>
          <w:sz w:val="16"/>
          <w:szCs w:val="16"/>
          <w:rtl/>
        </w:rPr>
        <w:t xml:space="preserve">- </w:t>
      </w:r>
      <w:r w:rsidRPr="00BD522C">
        <w:rPr>
          <w:rFonts w:cs="Arial"/>
          <w:sz w:val="16"/>
          <w:szCs w:val="16"/>
          <w:rtl/>
        </w:rPr>
        <w:t>אינו חייב להוציאה בדיני אדם</w:t>
      </w:r>
      <w:r w:rsidRPr="00BD522C">
        <w:rPr>
          <w:rFonts w:cs="Arial" w:hint="cs"/>
          <w:sz w:val="16"/>
          <w:szCs w:val="16"/>
          <w:rtl/>
        </w:rPr>
        <w:t>,</w:t>
      </w:r>
      <w:r w:rsidRPr="00BD522C">
        <w:rPr>
          <w:rFonts w:cs="Arial"/>
          <w:sz w:val="16"/>
          <w:szCs w:val="16"/>
          <w:rtl/>
        </w:rPr>
        <w:t xml:space="preserve"> אבל משום לזות שפתים אסור לו לעמוד עמה אם הוא סומך עליו</w:t>
      </w:r>
      <w:r w:rsidRPr="00BD522C">
        <w:rPr>
          <w:rFonts w:cs="Arial" w:hint="cs"/>
          <w:sz w:val="16"/>
          <w:szCs w:val="16"/>
          <w:rtl/>
        </w:rPr>
        <w:t xml:space="preserve"> ו</w:t>
      </w:r>
      <w:r w:rsidRPr="00BD522C">
        <w:rPr>
          <w:rFonts w:cs="Arial"/>
          <w:sz w:val="16"/>
          <w:szCs w:val="16"/>
          <w:rtl/>
        </w:rPr>
        <w:t>מהימן ליה כבי תרי וצריך ליתן לה כתובה</w:t>
      </w:r>
      <w:r>
        <w:rPr>
          <w:rFonts w:cs="Arial" w:hint="cs"/>
          <w:sz w:val="16"/>
          <w:szCs w:val="16"/>
          <w:rtl/>
        </w:rPr>
        <w:t>. עכ"ל}</w:t>
      </w:r>
      <w:r w:rsidRPr="008E63E3">
        <w:rPr>
          <w:rFonts w:cs="Arial" w:hint="cs"/>
          <w:rtl/>
        </w:rPr>
        <w:t>.</w:t>
      </w:r>
      <w:r w:rsidRPr="008E63E3">
        <w:rPr>
          <w:rFonts w:cs="Arial"/>
          <w:rtl/>
        </w:rPr>
        <w:t xml:space="preserve"> ובסימן קע"ח (קיז.) סתם וכתב שאם דעתו סומכת עליו כשנים יוציא ויתן כתובה</w:t>
      </w:r>
      <w:r>
        <w:rPr>
          <w:rFonts w:cs="Arial" w:hint="cs"/>
          <w:rtl/>
        </w:rPr>
        <w:t>.</w:t>
      </w:r>
      <w:r w:rsidRPr="008E63E3">
        <w:rPr>
          <w:rFonts w:cs="Arial"/>
          <w:rtl/>
        </w:rPr>
        <w:t xml:space="preserve"> ולא כתב דמשום לזות שפתים בלחוד הוא</w:t>
      </w:r>
      <w:r>
        <w:rPr>
          <w:rFonts w:cs="Arial" w:hint="cs"/>
          <w:rtl/>
        </w:rPr>
        <w:t>,</w:t>
      </w:r>
      <w:r w:rsidRPr="008E63E3">
        <w:rPr>
          <w:rFonts w:cs="Arial"/>
          <w:rtl/>
        </w:rPr>
        <w:t xml:space="preserve"> כמו שכתב כאן</w:t>
      </w:r>
      <w:r>
        <w:rPr>
          <w:rFonts w:cs="Arial" w:hint="cs"/>
          <w:rtl/>
        </w:rPr>
        <w:t>.</w:t>
      </w:r>
      <w:r w:rsidRPr="008E63E3">
        <w:rPr>
          <w:rFonts w:cs="Arial"/>
          <w:rtl/>
        </w:rPr>
        <w:t xml:space="preserve"> ומיהו שם כתב שהיא שותקת</w:t>
      </w:r>
      <w:r>
        <w:rPr>
          <w:rFonts w:cs="Arial" w:hint="cs"/>
          <w:rtl/>
        </w:rPr>
        <w:t>,</w:t>
      </w:r>
      <w:r w:rsidRPr="008E63E3">
        <w:rPr>
          <w:rFonts w:cs="Arial"/>
          <w:rtl/>
        </w:rPr>
        <w:t xml:space="preserve"> וכאן לא כתב כן</w:t>
      </w:r>
      <w:r>
        <w:rPr>
          <w:rFonts w:cs="Arial" w:hint="cs"/>
          <w:rtl/>
        </w:rPr>
        <w:t>,</w:t>
      </w:r>
      <w:r w:rsidRPr="008E63E3">
        <w:rPr>
          <w:rFonts w:cs="Arial"/>
          <w:rtl/>
        </w:rPr>
        <w:t xml:space="preserve"> ואיפשר שמפני כך כתב כאן דאינו אלא משום לזות שפתים</w:t>
      </w:r>
      <w:r>
        <w:rPr>
          <w:rFonts w:cs="Arial" w:hint="cs"/>
          <w:rtl/>
        </w:rPr>
        <w:t>,</w:t>
      </w:r>
      <w:r w:rsidRPr="008E63E3">
        <w:rPr>
          <w:rFonts w:cs="Arial"/>
          <w:rtl/>
        </w:rPr>
        <w:t xml:space="preserve"> ושם כתב יוציא ויתן כתובה וצ"ע. ומהרי"ק האריך בדינים אלו בשורש פ"א ופ"ב.</w:t>
      </w:r>
      <w:r>
        <w:rPr>
          <w:rFonts w:hint="cs"/>
          <w:rtl/>
        </w:rPr>
        <w:t>..</w:t>
      </w:r>
      <w:r w:rsidRPr="008E63E3">
        <w:rPr>
          <w:rFonts w:cs="Arial"/>
          <w:rtl/>
        </w:rPr>
        <w:t xml:space="preserve"> ועיין בדברי רבינו בסימן י"א ובסימן קע"ח. ובכתבי מה"ר איסרלן סימן רכ"ב. אם א"ל עד אחד אשתך זינתה בפניך ושתק אם היא אסורה עליו עיין בר</w:t>
      </w:r>
      <w:r>
        <w:rPr>
          <w:rFonts w:cs="Arial" w:hint="cs"/>
          <w:rtl/>
        </w:rPr>
        <w:t>י"</w:t>
      </w:r>
      <w:r w:rsidRPr="008E63E3">
        <w:rPr>
          <w:rFonts w:cs="Arial"/>
          <w:rtl/>
        </w:rPr>
        <w:t>ו (תא"ו) נכ"ג ח"ב (קצד ע"א)</w:t>
      </w:r>
      <w:r>
        <w:rPr>
          <w:rFonts w:cs="Arial" w:hint="cs"/>
          <w:rtl/>
        </w:rPr>
        <w:t>, ב"י.</w:t>
      </w:r>
    </w:p>
  </w:footnote>
  <w:footnote w:id="2860">
    <w:p w14:paraId="1C2DDBF7" w14:textId="49D059A6" w:rsidR="00D214E6" w:rsidRDefault="00D214E6">
      <w:pPr>
        <w:pStyle w:val="a5"/>
        <w:rPr>
          <w:rFonts w:hint="cs"/>
        </w:rPr>
      </w:pPr>
      <w:r>
        <w:rPr>
          <w:rStyle w:val="a7"/>
        </w:rPr>
        <w:footnoteRef/>
      </w:r>
      <w:r>
        <w:rPr>
          <w:rtl/>
        </w:rPr>
        <w:t xml:space="preserve"> </w:t>
      </w:r>
      <w:r>
        <w:rPr>
          <w:rFonts w:cs="Arial" w:hint="cs"/>
          <w:rtl/>
        </w:rPr>
        <w:t>ו</w:t>
      </w:r>
      <w:r>
        <w:rPr>
          <w:rFonts w:cs="Arial" w:hint="cs"/>
          <w:rtl/>
        </w:rPr>
        <w:t>היינו כשהיא מכחישה את דברי העד, אבל אם אינה מכחישה אלא מודה שזינתה</w:t>
      </w:r>
      <w:r w:rsidR="005E10A1">
        <w:rPr>
          <w:rFonts w:cs="Arial" w:hint="cs"/>
          <w:rtl/>
        </w:rPr>
        <w:t xml:space="preserve"> </w:t>
      </w:r>
      <w:r>
        <w:rPr>
          <w:rFonts w:cs="Arial" w:hint="cs"/>
          <w:rtl/>
        </w:rPr>
        <w:t>כתב ה</w:t>
      </w:r>
      <w:r w:rsidRPr="00E069A0">
        <w:rPr>
          <w:rFonts w:cs="Arial"/>
          <w:rtl/>
        </w:rPr>
        <w:t xml:space="preserve">מרדכי </w:t>
      </w:r>
      <w:r w:rsidRPr="00B31716">
        <w:rPr>
          <w:rFonts w:cs="Arial" w:hint="cs"/>
          <w:sz w:val="16"/>
          <w:szCs w:val="16"/>
          <w:rtl/>
        </w:rPr>
        <w:t>(</w:t>
      </w:r>
      <w:r w:rsidRPr="00B31716">
        <w:rPr>
          <w:rFonts w:cs="Arial"/>
          <w:sz w:val="16"/>
          <w:szCs w:val="16"/>
          <w:rtl/>
        </w:rPr>
        <w:t>ס"פ ב' דיבמות סו"ס טו</w:t>
      </w:r>
      <w:r>
        <w:rPr>
          <w:rFonts w:cs="Arial" w:hint="cs"/>
          <w:sz w:val="16"/>
          <w:szCs w:val="16"/>
          <w:rtl/>
        </w:rPr>
        <w:t>, הביאו הדרכ"מ [אות יג]</w:t>
      </w:r>
      <w:r w:rsidRPr="00B31716">
        <w:rPr>
          <w:rFonts w:cs="Arial"/>
          <w:sz w:val="16"/>
          <w:szCs w:val="16"/>
          <w:rtl/>
        </w:rPr>
        <w:t>)</w:t>
      </w:r>
      <w:r>
        <w:rPr>
          <w:rFonts w:cs="Arial" w:hint="cs"/>
          <w:sz w:val="16"/>
          <w:szCs w:val="16"/>
          <w:rtl/>
        </w:rPr>
        <w:t xml:space="preserve"> </w:t>
      </w:r>
      <w:r w:rsidR="005E10A1">
        <w:rPr>
          <w:rFonts w:cs="Arial" w:hint="cs"/>
          <w:rtl/>
        </w:rPr>
        <w:t>ש</w:t>
      </w:r>
      <w:r w:rsidRPr="00E069A0">
        <w:rPr>
          <w:rFonts w:cs="Arial"/>
          <w:rtl/>
        </w:rPr>
        <w:t>הפסידה כתובתה אבל לא נכסיה שהן בעין</w:t>
      </w:r>
      <w:r>
        <w:rPr>
          <w:rFonts w:cs="Arial" w:hint="cs"/>
          <w:rtl/>
        </w:rPr>
        <w:t>.</w:t>
      </w:r>
    </w:p>
  </w:footnote>
  <w:footnote w:id="2861">
    <w:p w14:paraId="5FF6B1B1" w14:textId="77777777" w:rsidR="00392DBB" w:rsidRDefault="00392DBB" w:rsidP="00392DBB">
      <w:pPr>
        <w:pStyle w:val="a5"/>
        <w:rPr>
          <w:rtl/>
        </w:rPr>
      </w:pPr>
      <w:r>
        <w:rPr>
          <w:rStyle w:val="a7"/>
        </w:rPr>
        <w:footnoteRef/>
      </w:r>
      <w:r>
        <w:rPr>
          <w:rtl/>
        </w:rPr>
        <w:t xml:space="preserve"> </w:t>
      </w:r>
      <w:r>
        <w:rPr>
          <w:rFonts w:hint="cs"/>
          <w:rtl/>
        </w:rPr>
        <w:t>מכאן והלאה הם דברי ה</w:t>
      </w:r>
      <w:r w:rsidRPr="00E34FAE">
        <w:rPr>
          <w:rFonts w:cs="Arial"/>
          <w:rtl/>
        </w:rPr>
        <w:t>רשב"א</w:t>
      </w:r>
      <w:r>
        <w:rPr>
          <w:rFonts w:cs="Arial" w:hint="cs"/>
          <w:rtl/>
        </w:rPr>
        <w:t xml:space="preserve"> בתשובה אחרת</w:t>
      </w:r>
      <w:r w:rsidRPr="00E34FAE">
        <w:rPr>
          <w:rFonts w:cs="Arial" w:hint="cs"/>
          <w:rtl/>
        </w:rPr>
        <w:t xml:space="preserve"> </w:t>
      </w:r>
      <w:r w:rsidRPr="00E34FAE">
        <w:rPr>
          <w:rFonts w:cs="Arial"/>
          <w:sz w:val="16"/>
          <w:szCs w:val="16"/>
          <w:rtl/>
        </w:rPr>
        <w:t>(ח"א סי</w:t>
      </w:r>
      <w:r w:rsidRPr="00E34FAE">
        <w:rPr>
          <w:rFonts w:cs="Arial" w:hint="cs"/>
          <w:sz w:val="16"/>
          <w:szCs w:val="16"/>
          <w:rtl/>
        </w:rPr>
        <w:t>'</w:t>
      </w:r>
      <w:r w:rsidRPr="00E34FAE">
        <w:rPr>
          <w:rFonts w:cs="Arial"/>
          <w:sz w:val="16"/>
          <w:szCs w:val="16"/>
          <w:rtl/>
        </w:rPr>
        <w:t xml:space="preserve"> אלף רלז</w:t>
      </w:r>
      <w:r w:rsidRPr="00E34FAE">
        <w:rPr>
          <w:rFonts w:cs="Arial" w:hint="cs"/>
          <w:sz w:val="16"/>
          <w:szCs w:val="16"/>
          <w:rtl/>
        </w:rPr>
        <w:t>, ובמיוחסות</w:t>
      </w:r>
      <w:r w:rsidRPr="00E34FAE">
        <w:rPr>
          <w:rFonts w:cs="Arial"/>
          <w:sz w:val="16"/>
          <w:szCs w:val="16"/>
          <w:rtl/>
        </w:rPr>
        <w:t xml:space="preserve"> סי</w:t>
      </w:r>
      <w:r w:rsidRPr="00E34FAE">
        <w:rPr>
          <w:rFonts w:cs="Arial" w:hint="cs"/>
          <w:sz w:val="16"/>
          <w:szCs w:val="16"/>
          <w:rtl/>
        </w:rPr>
        <w:t>'</w:t>
      </w:r>
      <w:r w:rsidRPr="00E34FAE">
        <w:rPr>
          <w:rFonts w:cs="Arial"/>
          <w:sz w:val="16"/>
          <w:szCs w:val="16"/>
          <w:rtl/>
        </w:rPr>
        <w:t xml:space="preserve"> קלג</w:t>
      </w:r>
      <w:r w:rsidRPr="00E34FAE">
        <w:rPr>
          <w:rFonts w:cs="Arial" w:hint="cs"/>
          <w:sz w:val="16"/>
          <w:szCs w:val="16"/>
          <w:rtl/>
        </w:rPr>
        <w:t>)</w:t>
      </w:r>
      <w:r>
        <w:rPr>
          <w:rFonts w:hint="cs"/>
          <w:rtl/>
        </w:rPr>
        <w:t>.</w:t>
      </w:r>
    </w:p>
  </w:footnote>
  <w:footnote w:id="2862">
    <w:p w14:paraId="160BCCD6" w14:textId="77777777" w:rsidR="00392DBB" w:rsidRDefault="00392DBB" w:rsidP="00392DBB">
      <w:pPr>
        <w:pStyle w:val="a5"/>
        <w:rPr>
          <w:rtl/>
        </w:rPr>
      </w:pPr>
      <w:r>
        <w:rPr>
          <w:rStyle w:val="a7"/>
        </w:rPr>
        <w:footnoteRef/>
      </w:r>
      <w:r>
        <w:rPr>
          <w:rtl/>
        </w:rPr>
        <w:t xml:space="preserve"> </w:t>
      </w:r>
      <w:r>
        <w:rPr>
          <w:rFonts w:hint="cs"/>
          <w:rtl/>
        </w:rPr>
        <w:t xml:space="preserve">כן הוא ברמב"ם (במהדורת הר"י קאפח ומקבילי) וכ"כ בכס"מ ובשו"ע. אך הטור כתב 'מדברי אחר'. וכ"כ אחריו הב"י. וכנראה מבין הב"י שאין הפרש בין הגירסאות. אבל בחלק מגירסאות הרמב"ם איתא 'בדבר אחר'. וכן נראה שגרס המ"מ. וכתב הח"מ (סק"ל) שבגלל השנוי בגירסא תמה הה"מ על הרמב"ם. </w:t>
      </w:r>
    </w:p>
  </w:footnote>
  <w:footnote w:id="2863">
    <w:p w14:paraId="5DBDF90B" w14:textId="6423FE06" w:rsidR="00392DBB" w:rsidRPr="009F38AA" w:rsidRDefault="00392DBB" w:rsidP="00392DBB">
      <w:pPr>
        <w:pStyle w:val="a5"/>
        <w:rPr>
          <w:rFonts w:cs="Arial"/>
        </w:rPr>
      </w:pPr>
      <w:r>
        <w:rPr>
          <w:rStyle w:val="a7"/>
        </w:rPr>
        <w:footnoteRef/>
      </w:r>
      <w:r>
        <w:rPr>
          <w:rtl/>
        </w:rPr>
        <w:t xml:space="preserve"> </w:t>
      </w:r>
      <w:r>
        <w:rPr>
          <w:rFonts w:cs="Arial" w:hint="cs"/>
          <w:rtl/>
        </w:rPr>
        <w:t xml:space="preserve">הביא הטור חלק מדברי הרמב"ם הנ"ל. וכתב </w:t>
      </w:r>
      <w:r w:rsidRPr="00BD522C">
        <w:rPr>
          <w:rFonts w:cs="Arial" w:hint="cs"/>
          <w:b/>
          <w:bCs/>
          <w:rtl/>
        </w:rPr>
        <w:t>הב"י</w:t>
      </w:r>
      <w:r>
        <w:rPr>
          <w:rFonts w:cs="Arial" w:hint="cs"/>
          <w:rtl/>
        </w:rPr>
        <w:t xml:space="preserve"> ש</w:t>
      </w:r>
      <w:r>
        <w:rPr>
          <w:rFonts w:cs="Arial"/>
          <w:rtl/>
        </w:rPr>
        <w:t>תחלת דברי הרמב"ם כבר נתבארו בדברי רבינו בסמוך</w:t>
      </w:r>
      <w:r>
        <w:rPr>
          <w:rFonts w:cs="Arial" w:hint="cs"/>
          <w:rtl/>
        </w:rPr>
        <w:t>,</w:t>
      </w:r>
      <w:r>
        <w:rPr>
          <w:rFonts w:cs="Arial"/>
          <w:rtl/>
        </w:rPr>
        <w:t xml:space="preserve"> ולא כתבם </w:t>
      </w:r>
      <w:r>
        <w:rPr>
          <w:rFonts w:cs="Arial" w:hint="cs"/>
          <w:sz w:val="16"/>
          <w:szCs w:val="16"/>
          <w:rtl/>
        </w:rPr>
        <w:t xml:space="preserve">{הטור} </w:t>
      </w:r>
      <w:r>
        <w:rPr>
          <w:rFonts w:cs="Arial"/>
          <w:rtl/>
        </w:rPr>
        <w:t>אלא מפני דין השבועה שנתחדש בענין זה בדברי הרמב"ם והסופרים השמיטוהו. וטעם הרמב"ם בשבועה זו משום דבראה אותה בעצמו ה"ל כטוען פרעתיך</w:t>
      </w:r>
      <w:r>
        <w:rPr>
          <w:rFonts w:cs="Arial" w:hint="cs"/>
          <w:rtl/>
        </w:rPr>
        <w:t>,</w:t>
      </w:r>
      <w:r>
        <w:rPr>
          <w:rFonts w:cs="Arial"/>
          <w:rtl/>
        </w:rPr>
        <w:t xml:space="preserve"> והמוציא שטר חוב על חבירו והלה טוען פרעתיך </w:t>
      </w:r>
      <w:r>
        <w:rPr>
          <w:rFonts w:cs="Arial" w:hint="cs"/>
          <w:rtl/>
        </w:rPr>
        <w:t xml:space="preserve">- </w:t>
      </w:r>
      <w:r>
        <w:rPr>
          <w:rFonts w:cs="Arial"/>
          <w:rtl/>
        </w:rPr>
        <w:t>בעל השטר צריך לישבע</w:t>
      </w:r>
      <w:r>
        <w:rPr>
          <w:rFonts w:cs="Arial" w:hint="cs"/>
          <w:rtl/>
        </w:rPr>
        <w:t>.</w:t>
      </w:r>
      <w:r>
        <w:rPr>
          <w:rFonts w:cs="Arial"/>
          <w:rtl/>
        </w:rPr>
        <w:t xml:space="preserve"> אבל כשהוא לא ראה שזינתה אלא אחר אמר לו ה"ל כטוען שמא פרעתיך דלאו כלום הוא</w:t>
      </w:r>
      <w:r>
        <w:rPr>
          <w:rFonts w:cs="Arial" w:hint="cs"/>
          <w:rtl/>
        </w:rPr>
        <w:t>. עכ"ל הב"י.</w:t>
      </w:r>
      <w:r w:rsidRPr="00E069A0">
        <w:rPr>
          <w:rFonts w:cs="Arial"/>
          <w:rtl/>
        </w:rPr>
        <w:t xml:space="preserve"> וכן הוא בהג</w:t>
      </w:r>
      <w:r>
        <w:rPr>
          <w:rFonts w:cs="Arial" w:hint="cs"/>
          <w:rtl/>
        </w:rPr>
        <w:t>מ"ר</w:t>
      </w:r>
      <w:r w:rsidRPr="00E069A0">
        <w:rPr>
          <w:rFonts w:cs="Arial"/>
          <w:rtl/>
        </w:rPr>
        <w:t xml:space="preserve"> דיבמות (סי' קא</w:t>
      </w:r>
      <w:r>
        <w:rPr>
          <w:rFonts w:cs="Arial" w:hint="cs"/>
          <w:rtl/>
        </w:rPr>
        <w:t>, כ"כ הדרכ"מ [אות יח] בשמו</w:t>
      </w:r>
      <w:r w:rsidRPr="00E069A0">
        <w:rPr>
          <w:rFonts w:cs="Arial"/>
          <w:rtl/>
        </w:rPr>
        <w:t>) כדברי הרמב"ם</w:t>
      </w:r>
      <w:r>
        <w:rPr>
          <w:rFonts w:cs="Arial" w:hint="cs"/>
          <w:rtl/>
        </w:rPr>
        <w:t>.</w:t>
      </w:r>
      <w:r w:rsidRPr="00E069A0">
        <w:rPr>
          <w:rFonts w:cs="Arial"/>
          <w:rtl/>
        </w:rPr>
        <w:t xml:space="preserve"> </w:t>
      </w:r>
      <w:r>
        <w:rPr>
          <w:rFonts w:cs="Arial" w:hint="cs"/>
          <w:rtl/>
        </w:rPr>
        <w:t xml:space="preserve">אך </w:t>
      </w:r>
      <w:r w:rsidRPr="00BD522C">
        <w:rPr>
          <w:rFonts w:cs="Arial" w:hint="cs"/>
          <w:b/>
          <w:bCs/>
          <w:rtl/>
        </w:rPr>
        <w:t>הה"מ</w:t>
      </w:r>
      <w:r>
        <w:rPr>
          <w:rFonts w:cs="Arial" w:hint="cs"/>
          <w:rtl/>
        </w:rPr>
        <w:t xml:space="preserve"> (שם, צל"ע מדוע הב"י לא הביאו) כתב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F124FE">
        <w:rPr>
          <w:rFonts w:cs="Arial"/>
          <w:rtl/>
        </w:rPr>
        <w:t>מ"ש לפיכך משביעה בנקיטת חפץ וכו' לא נתברר לי טעמו ומצאתי בעיטור כתוב כן בשם הרב אבן מיגא"ש ז"ל ובודאי אם יש שם עד אחד מן הדין הוא שתשבע להכחיש העד אבל אם אין שם עד כשר אף על פי שהבעל אומר שראה הדבר למה תשבע כיון שאין רגלים לדבר והם ז"ל דנין אותן כדין הנשבעין ונוטלין ולא ידעתי מאין זה וג"כ לא נתברר לי מאין הוכיח רבינו לחלק בין טענה זו לטענות אחרות ואולי מפני שמצינו שבזמן הבית היה יכול להשקותה ולהשביעה על חשש זנות וע"י קנוי וסתירה וכבר השיג עליו בכל זה הרמ"ך ז"ל ודברי רבינו צריכים תלמוד</w:t>
      </w:r>
      <w:r>
        <w:rPr>
          <w:rFonts w:cs="Arial" w:hint="cs"/>
          <w:rtl/>
        </w:rPr>
        <w:t>. עכ"ל. ועיין בכס"מ (שם) שהשיב על דבריו.</w:t>
      </w:r>
    </w:p>
  </w:footnote>
  <w:footnote w:id="2864">
    <w:p w14:paraId="3B704313" w14:textId="77777777" w:rsidR="00392DBB" w:rsidRDefault="00392DBB" w:rsidP="00392DBB">
      <w:pPr>
        <w:pStyle w:val="a5"/>
      </w:pPr>
      <w:r>
        <w:rPr>
          <w:rStyle w:val="a7"/>
        </w:rPr>
        <w:footnoteRef/>
      </w:r>
      <w:r>
        <w:rPr>
          <w:rFonts w:cs="Arial" w:hint="cs"/>
          <w:rtl/>
        </w:rPr>
        <w:t xml:space="preserve"> </w:t>
      </w:r>
      <w:r>
        <w:rPr>
          <w:rFonts w:cs="Arial"/>
          <w:rtl/>
        </w:rPr>
        <w:t>ונראה דאינו נותן לה כתובה</w:t>
      </w:r>
      <w:r>
        <w:rPr>
          <w:rFonts w:cs="Arial" w:hint="cs"/>
          <w:rtl/>
        </w:rPr>
        <w:t>,</w:t>
      </w:r>
      <w:r>
        <w:rPr>
          <w:rFonts w:cs="Arial"/>
          <w:rtl/>
        </w:rPr>
        <w:t xml:space="preserve"> דהודאתה כמאה עדים דמי</w:t>
      </w:r>
      <w:r>
        <w:rPr>
          <w:rFonts w:cs="Arial" w:hint="cs"/>
          <w:rtl/>
        </w:rPr>
        <w:t>.</w:t>
      </w:r>
      <w:r>
        <w:rPr>
          <w:rFonts w:cs="Arial"/>
          <w:rtl/>
        </w:rPr>
        <w:t xml:space="preserve"> וכך מבואר בדברי הרמב"ם שכתב רבינו בסמוך ומשנה שלימה היא בפרק קמא דסוטה (ז.) אם אמרה טמאה אני שוברת כתובתה ויוצאה</w:t>
      </w:r>
      <w:r>
        <w:rPr>
          <w:rFonts w:hint="cs"/>
          <w:rtl/>
        </w:rPr>
        <w:t>, ב"י.</w:t>
      </w:r>
    </w:p>
  </w:footnote>
  <w:footnote w:id="2865">
    <w:p w14:paraId="5CCA022C" w14:textId="77777777" w:rsidR="00392DBB" w:rsidRPr="0011385D" w:rsidRDefault="00392DBB" w:rsidP="00392DBB">
      <w:pPr>
        <w:pStyle w:val="a5"/>
      </w:pPr>
      <w:r w:rsidRPr="0011385D">
        <w:rPr>
          <w:rStyle w:val="a7"/>
        </w:rPr>
        <w:footnoteRef/>
      </w:r>
      <w:r w:rsidRPr="0011385D">
        <w:rPr>
          <w:rtl/>
        </w:rPr>
        <w:t xml:space="preserve"> </w:t>
      </w:r>
      <w:r w:rsidRPr="0011385D">
        <w:rPr>
          <w:rFonts w:cs="Arial" w:hint="cs"/>
          <w:rtl/>
        </w:rPr>
        <w:t xml:space="preserve">וכ"כ מהרי"ק </w:t>
      </w:r>
      <w:r>
        <w:rPr>
          <w:rFonts w:cs="Arial" w:hint="cs"/>
          <w:rtl/>
        </w:rPr>
        <w:t xml:space="preserve">(שורש קי ענף ב) </w:t>
      </w:r>
      <w:r w:rsidRPr="0011385D">
        <w:rPr>
          <w:rFonts w:cs="Arial"/>
          <w:rtl/>
        </w:rPr>
        <w:t>שאם אמר שהוא מאמינה דאסורה לו שיש אומרים שמנדין אותו על שגרם לבטל תקנת ר"ג שלא לגרש אשה בעל כרחה</w:t>
      </w:r>
      <w:r>
        <w:rPr>
          <w:rFonts w:hint="cs"/>
          <w:rtl/>
        </w:rPr>
        <w:t>.</w:t>
      </w:r>
    </w:p>
  </w:footnote>
  <w:footnote w:id="2866">
    <w:p w14:paraId="4CC23CC2" w14:textId="77777777" w:rsidR="00392DBB" w:rsidRDefault="00392DBB" w:rsidP="00392DBB">
      <w:pPr>
        <w:pStyle w:val="a5"/>
        <w:rPr>
          <w:rtl/>
        </w:rPr>
      </w:pPr>
      <w:r>
        <w:rPr>
          <w:rStyle w:val="a7"/>
        </w:rPr>
        <w:footnoteRef/>
      </w:r>
      <w:r>
        <w:rPr>
          <w:rFonts w:hint="cs"/>
          <w:rtl/>
        </w:rPr>
        <w:t xml:space="preserve"> הביאם הדרכ"מ</w:t>
      </w:r>
      <w:r>
        <w:rPr>
          <w:rtl/>
        </w:rPr>
        <w:t xml:space="preserve"> </w:t>
      </w:r>
      <w:r w:rsidRPr="00E069A0">
        <w:rPr>
          <w:rFonts w:cs="Arial"/>
          <w:rtl/>
        </w:rPr>
        <w:t>(</w:t>
      </w:r>
      <w:r>
        <w:rPr>
          <w:rFonts w:cs="Arial" w:hint="cs"/>
          <w:rtl/>
        </w:rPr>
        <w:t xml:space="preserve">אות </w:t>
      </w:r>
      <w:r w:rsidRPr="00E069A0">
        <w:rPr>
          <w:rFonts w:cs="Arial"/>
          <w:rtl/>
        </w:rPr>
        <w:t>יד)</w:t>
      </w:r>
      <w:r>
        <w:rPr>
          <w:rFonts w:cs="Arial" w:hint="cs"/>
          <w:rtl/>
        </w:rPr>
        <w:t>, וכתב (שם ובאות יז) ד</w:t>
      </w:r>
      <w:r w:rsidRPr="00E069A0">
        <w:rPr>
          <w:rFonts w:cs="Arial"/>
          <w:rtl/>
        </w:rPr>
        <w:t xml:space="preserve">בתשובת מהר"ם </w:t>
      </w:r>
      <w:r w:rsidRPr="0087631A">
        <w:rPr>
          <w:rFonts w:cs="Arial" w:hint="cs"/>
          <w:sz w:val="16"/>
          <w:szCs w:val="16"/>
          <w:rtl/>
        </w:rPr>
        <w:t>(</w:t>
      </w:r>
      <w:r w:rsidRPr="0087631A">
        <w:rPr>
          <w:rFonts w:cs="Arial"/>
          <w:sz w:val="16"/>
          <w:szCs w:val="16"/>
          <w:rtl/>
        </w:rPr>
        <w:t>ספר סיני וליקוטים סי</w:t>
      </w:r>
      <w:r w:rsidRPr="0087631A">
        <w:rPr>
          <w:rFonts w:cs="Arial" w:hint="cs"/>
          <w:sz w:val="16"/>
          <w:szCs w:val="16"/>
          <w:rtl/>
        </w:rPr>
        <w:t>'</w:t>
      </w:r>
      <w:r w:rsidRPr="0087631A">
        <w:rPr>
          <w:rFonts w:cs="Arial"/>
          <w:sz w:val="16"/>
          <w:szCs w:val="16"/>
          <w:rtl/>
        </w:rPr>
        <w:t xml:space="preserve"> שסה</w:t>
      </w:r>
      <w:r w:rsidRPr="0087631A">
        <w:rPr>
          <w:rFonts w:cs="Arial" w:hint="cs"/>
          <w:sz w:val="16"/>
          <w:szCs w:val="16"/>
          <w:rtl/>
        </w:rPr>
        <w:t xml:space="preserve">, והביאוהו תשו' </w:t>
      </w:r>
      <w:r w:rsidRPr="0087631A">
        <w:rPr>
          <w:rFonts w:cs="Arial"/>
          <w:sz w:val="16"/>
          <w:szCs w:val="16"/>
          <w:rtl/>
        </w:rPr>
        <w:t>מיימוני</w:t>
      </w:r>
      <w:r w:rsidRPr="0087631A">
        <w:rPr>
          <w:rFonts w:cs="Arial" w:hint="cs"/>
          <w:sz w:val="16"/>
          <w:szCs w:val="16"/>
          <w:rtl/>
        </w:rPr>
        <w:t>ות</w:t>
      </w:r>
      <w:r w:rsidRPr="0087631A">
        <w:rPr>
          <w:rFonts w:cs="Arial"/>
          <w:sz w:val="16"/>
          <w:szCs w:val="16"/>
          <w:rtl/>
        </w:rPr>
        <w:t xml:space="preserve"> </w:t>
      </w:r>
      <w:r w:rsidRPr="0087631A">
        <w:rPr>
          <w:rFonts w:cs="Arial" w:hint="cs"/>
          <w:sz w:val="16"/>
          <w:szCs w:val="16"/>
          <w:rtl/>
        </w:rPr>
        <w:t>[</w:t>
      </w:r>
      <w:r w:rsidRPr="0087631A">
        <w:rPr>
          <w:rFonts w:cs="Arial"/>
          <w:sz w:val="16"/>
          <w:szCs w:val="16"/>
          <w:rtl/>
        </w:rPr>
        <w:t>סוף הלכות נשים סי' כה</w:t>
      </w:r>
      <w:r w:rsidRPr="0087631A">
        <w:rPr>
          <w:rFonts w:cs="Arial" w:hint="cs"/>
          <w:sz w:val="16"/>
          <w:szCs w:val="16"/>
          <w:rtl/>
        </w:rPr>
        <w:t>]</w:t>
      </w:r>
      <w:r w:rsidRPr="0087631A">
        <w:rPr>
          <w:rFonts w:cs="Arial"/>
          <w:sz w:val="16"/>
          <w:szCs w:val="16"/>
          <w:rtl/>
        </w:rPr>
        <w:t xml:space="preserve"> והג</w:t>
      </w:r>
      <w:r w:rsidRPr="0087631A">
        <w:rPr>
          <w:rFonts w:cs="Arial" w:hint="cs"/>
          <w:sz w:val="16"/>
          <w:szCs w:val="16"/>
          <w:rtl/>
        </w:rPr>
        <w:t>מ"ר [</w:t>
      </w:r>
      <w:r w:rsidRPr="0087631A">
        <w:rPr>
          <w:rFonts w:cs="Arial"/>
          <w:sz w:val="16"/>
          <w:szCs w:val="16"/>
          <w:rtl/>
        </w:rPr>
        <w:t>יבמות סי' קכא - קכב</w:t>
      </w:r>
      <w:r w:rsidRPr="0087631A">
        <w:rPr>
          <w:rFonts w:cs="Arial" w:hint="cs"/>
          <w:sz w:val="16"/>
          <w:szCs w:val="16"/>
          <w:rtl/>
        </w:rPr>
        <w:t>]</w:t>
      </w:r>
      <w:r>
        <w:rPr>
          <w:rFonts w:cs="Arial" w:hint="cs"/>
          <w:sz w:val="16"/>
          <w:szCs w:val="16"/>
          <w:rtl/>
        </w:rPr>
        <w:t>, הביאו הדרכ"מ [אות יז]</w:t>
      </w:r>
      <w:r w:rsidRPr="0087631A">
        <w:rPr>
          <w:rFonts w:cs="Arial"/>
          <w:sz w:val="16"/>
          <w:szCs w:val="16"/>
          <w:rtl/>
        </w:rPr>
        <w:t>)</w:t>
      </w:r>
      <w:r w:rsidRPr="00671DE4">
        <w:rPr>
          <w:rFonts w:cs="Arial"/>
          <w:rtl/>
        </w:rPr>
        <w:t xml:space="preserve"> </w:t>
      </w:r>
      <w:r w:rsidRPr="00E069A0">
        <w:rPr>
          <w:rFonts w:cs="Arial"/>
          <w:rtl/>
        </w:rPr>
        <w:t>לא משמע כן</w:t>
      </w:r>
      <w:r>
        <w:rPr>
          <w:rFonts w:cs="Arial" w:hint="cs"/>
          <w:rtl/>
        </w:rPr>
        <w:t>. שכתב מהר"ם ד</w:t>
      </w:r>
      <w:r w:rsidRPr="00671DE4">
        <w:rPr>
          <w:rFonts w:cs="Arial"/>
          <w:rtl/>
        </w:rPr>
        <w:t>אי מהימן ליה כבי תרי ולא העיד רק אדבר מכוער</w:t>
      </w:r>
      <w:r>
        <w:rPr>
          <w:rFonts w:cs="Arial" w:hint="cs"/>
          <w:rtl/>
        </w:rPr>
        <w:t>,</w:t>
      </w:r>
      <w:r w:rsidRPr="00671DE4">
        <w:rPr>
          <w:rFonts w:cs="Arial"/>
          <w:rtl/>
        </w:rPr>
        <w:t xml:space="preserve"> אז לא יוכל לגרשה בעל כרחה וצריך למיתב לה כתובה</w:t>
      </w:r>
      <w:r>
        <w:rPr>
          <w:rFonts w:cs="Arial" w:hint="cs"/>
          <w:rtl/>
        </w:rPr>
        <w:t>.</w:t>
      </w:r>
      <w:r w:rsidRPr="00671DE4">
        <w:rPr>
          <w:rFonts w:cs="Arial"/>
          <w:rtl/>
        </w:rPr>
        <w:t xml:space="preserve"> אבל אי העיד על טומאה</w:t>
      </w:r>
      <w:r>
        <w:rPr>
          <w:rFonts w:cs="Arial" w:hint="cs"/>
          <w:rtl/>
        </w:rPr>
        <w:t>,</w:t>
      </w:r>
      <w:r w:rsidRPr="00671DE4">
        <w:rPr>
          <w:rFonts w:cs="Arial"/>
          <w:rtl/>
        </w:rPr>
        <w:t xml:space="preserve"> יוכל לגרשה בעל כרחה, והוא הדין אי איכא עדי דבר מכוער</w:t>
      </w:r>
      <w:r>
        <w:rPr>
          <w:rFonts w:cs="Arial" w:hint="cs"/>
          <w:rtl/>
        </w:rPr>
        <w:t>.</w:t>
      </w:r>
      <w:r w:rsidRPr="00671DE4">
        <w:rPr>
          <w:rFonts w:cs="Arial"/>
          <w:rtl/>
        </w:rPr>
        <w:t xml:space="preserve"> כללא דמילתא אי מהימן ליה כבי תרי יזרוק לה גט בעל כרחה</w:t>
      </w:r>
      <w:r>
        <w:rPr>
          <w:rFonts w:cs="Arial" w:hint="cs"/>
          <w:rtl/>
        </w:rPr>
        <w:t>.</w:t>
      </w:r>
      <w:r w:rsidRPr="00671DE4">
        <w:rPr>
          <w:rFonts w:cs="Arial"/>
          <w:rtl/>
        </w:rPr>
        <w:t xml:space="preserve"> ואם אינו יכול לזרוק לה גט ישא אחרת</w:t>
      </w:r>
      <w:r>
        <w:rPr>
          <w:rFonts w:cs="Arial" w:hint="cs"/>
          <w:rtl/>
        </w:rPr>
        <w:t>.</w:t>
      </w:r>
      <w:r w:rsidRPr="00671DE4">
        <w:rPr>
          <w:rFonts w:cs="Arial"/>
          <w:rtl/>
        </w:rPr>
        <w:t xml:space="preserve"> ויש לשאול פיה אם לא תשיב תשובה נכונה ומיושרת על כל דבר תפסיד אף הכתובה עכ"ל</w:t>
      </w:r>
      <w:r>
        <w:rPr>
          <w:rFonts w:cs="Arial" w:hint="cs"/>
          <w:rtl/>
        </w:rPr>
        <w:t>.</w:t>
      </w:r>
      <w:r w:rsidRPr="00671DE4">
        <w:rPr>
          <w:rFonts w:cs="Arial"/>
          <w:rtl/>
        </w:rPr>
        <w:t xml:space="preserve"> ונראה לי שתשובה זו חולקת על מה שכתבתי </w:t>
      </w:r>
      <w:r>
        <w:rPr>
          <w:rFonts w:cs="Arial" w:hint="cs"/>
          <w:rtl/>
        </w:rPr>
        <w:t>(</w:t>
      </w:r>
      <w:r w:rsidRPr="00671DE4">
        <w:rPr>
          <w:rFonts w:cs="Arial"/>
          <w:rtl/>
        </w:rPr>
        <w:t>אות יד) דהשתא בזמן הזה אינו נאמן לומר דמאמין לעד</w:t>
      </w:r>
      <w:r>
        <w:rPr>
          <w:rFonts w:cs="Arial" w:hint="cs"/>
          <w:sz w:val="16"/>
          <w:szCs w:val="16"/>
          <w:rtl/>
        </w:rPr>
        <w:t xml:space="preserve"> [עכ"ל הדרכ"מ באות יז]</w:t>
      </w:r>
      <w:r>
        <w:rPr>
          <w:rFonts w:cs="Arial" w:hint="cs"/>
          <w:rtl/>
        </w:rPr>
        <w:t>.</w:t>
      </w:r>
    </w:p>
  </w:footnote>
  <w:footnote w:id="2867">
    <w:p w14:paraId="52A1B219" w14:textId="77777777" w:rsidR="00392DBB" w:rsidRDefault="00392DBB" w:rsidP="00392DBB">
      <w:pPr>
        <w:pStyle w:val="a5"/>
      </w:pPr>
      <w:r>
        <w:rPr>
          <w:rStyle w:val="a7"/>
        </w:rPr>
        <w:footnoteRef/>
      </w:r>
      <w:r>
        <w:rPr>
          <w:rtl/>
        </w:rPr>
        <w:t xml:space="preserve"> </w:t>
      </w:r>
      <w:r w:rsidRPr="00E069A0">
        <w:rPr>
          <w:rFonts w:cs="Arial"/>
          <w:rtl/>
        </w:rPr>
        <w:t>וכן משמע בתשובת הרשב"א (ח"א) סימן אלף קפ"ט</w:t>
      </w:r>
      <w:r>
        <w:rPr>
          <w:rFonts w:cs="Arial" w:hint="cs"/>
          <w:rtl/>
        </w:rPr>
        <w:t>, דרכ"מ (אות טו).</w:t>
      </w:r>
    </w:p>
  </w:footnote>
  <w:footnote w:id="2868">
    <w:p w14:paraId="203A37D5" w14:textId="77777777" w:rsidR="00392DBB" w:rsidRDefault="00392DBB" w:rsidP="00392DBB">
      <w:pPr>
        <w:pStyle w:val="a5"/>
      </w:pPr>
      <w:r>
        <w:rPr>
          <w:rStyle w:val="a7"/>
        </w:rPr>
        <w:footnoteRef/>
      </w:r>
      <w:r>
        <w:rPr>
          <w:rtl/>
        </w:rPr>
        <w:t xml:space="preserve"> </w:t>
      </w:r>
      <w:r w:rsidRPr="00FF1FB8">
        <w:rPr>
          <w:rFonts w:cs="Arial"/>
          <w:rtl/>
        </w:rPr>
        <w:t>ו</w:t>
      </w:r>
      <w:r>
        <w:rPr>
          <w:rFonts w:cs="Arial" w:hint="cs"/>
          <w:rtl/>
        </w:rPr>
        <w:t xml:space="preserve">גם </w:t>
      </w:r>
      <w:r w:rsidRPr="00FF1FB8">
        <w:rPr>
          <w:rFonts w:cs="Arial"/>
          <w:rtl/>
        </w:rPr>
        <w:t>הרשב"א כתב (ח"א סי</w:t>
      </w:r>
      <w:r>
        <w:rPr>
          <w:rFonts w:cs="Arial" w:hint="cs"/>
          <w:rtl/>
        </w:rPr>
        <w:t>'</w:t>
      </w:r>
      <w:r w:rsidRPr="00FF1FB8">
        <w:rPr>
          <w:rFonts w:cs="Arial"/>
          <w:rtl/>
        </w:rPr>
        <w:t xml:space="preserve"> תקנב</w:t>
      </w:r>
      <w:r>
        <w:rPr>
          <w:rFonts w:cs="Arial" w:hint="cs"/>
          <w:rtl/>
        </w:rPr>
        <w:t>)</w:t>
      </w:r>
      <w:r w:rsidRPr="00FF1FB8">
        <w:rPr>
          <w:rFonts w:cs="Arial"/>
          <w:rtl/>
        </w:rPr>
        <w:t xml:space="preserve"> דהנחשד נאמן עליה כשאר עד אחד דפלגינן דיבוריה ע"ש,</w:t>
      </w:r>
      <w:r>
        <w:rPr>
          <w:rFonts w:cs="Arial" w:hint="cs"/>
          <w:rtl/>
        </w:rPr>
        <w:t xml:space="preserve"> דרכ"מ (אות יח).</w:t>
      </w:r>
      <w:r w:rsidRPr="00AE454B">
        <w:rPr>
          <w:rFonts w:hint="cs"/>
          <w:color w:val="00B0F0"/>
          <w:rtl/>
        </w:rPr>
        <w:t xml:space="preserve"> (וכ"פ הרמ"א)</w:t>
      </w:r>
    </w:p>
  </w:footnote>
  <w:footnote w:id="2869">
    <w:p w14:paraId="747CBC8B" w14:textId="77777777" w:rsidR="00392DBB" w:rsidRDefault="00392DBB" w:rsidP="00392DBB">
      <w:pPr>
        <w:pStyle w:val="a5"/>
        <w:rPr>
          <w:rtl/>
        </w:rPr>
      </w:pPr>
      <w:r>
        <w:rPr>
          <w:rStyle w:val="a7"/>
        </w:rPr>
        <w:footnoteRef/>
      </w:r>
      <w:r>
        <w:rPr>
          <w:rtl/>
        </w:rPr>
        <w:t xml:space="preserve"> </w:t>
      </w:r>
      <w:r w:rsidRPr="00FF1FB8">
        <w:rPr>
          <w:rFonts w:cs="Arial"/>
          <w:rtl/>
        </w:rPr>
        <w:t>וע"ש שהאריך בזה</w:t>
      </w:r>
      <w:r>
        <w:rPr>
          <w:rFonts w:cs="Arial" w:hint="cs"/>
          <w:rtl/>
        </w:rPr>
        <w:t>.</w:t>
      </w:r>
      <w:r w:rsidRPr="00FF1FB8">
        <w:rPr>
          <w:rFonts w:cs="Arial"/>
          <w:rtl/>
        </w:rPr>
        <w:t xml:space="preserve"> וכן הוא במהרי"ק שורש פ"ב</w:t>
      </w:r>
      <w:r>
        <w:rPr>
          <w:rFonts w:hint="cs"/>
          <w:rtl/>
        </w:rPr>
        <w:t>, דרכ"מ (אות יח)</w:t>
      </w:r>
    </w:p>
  </w:footnote>
  <w:footnote w:id="2870">
    <w:p w14:paraId="705A1C5A" w14:textId="5F0A22E9" w:rsidR="00392DBB" w:rsidRDefault="00392DBB" w:rsidP="00392DBB">
      <w:pPr>
        <w:pStyle w:val="a5"/>
      </w:pPr>
      <w:r>
        <w:rPr>
          <w:rStyle w:val="a7"/>
        </w:rPr>
        <w:footnoteRef/>
      </w:r>
      <w:r>
        <w:rPr>
          <w:rtl/>
        </w:rPr>
        <w:t xml:space="preserve"> </w:t>
      </w:r>
      <w:r w:rsidRPr="006E7025">
        <w:rPr>
          <w:rFonts w:cs="Arial"/>
          <w:rtl/>
        </w:rPr>
        <w:t>יש לדקדק אם מועיל אמתלא אף לאחר זמן</w:t>
      </w:r>
      <w:r w:rsidR="00D32F00">
        <w:rPr>
          <w:rFonts w:cs="Arial" w:hint="cs"/>
          <w:rtl/>
        </w:rPr>
        <w:t>,</w:t>
      </w:r>
      <w:r w:rsidRPr="006E7025">
        <w:rPr>
          <w:rFonts w:cs="Arial"/>
          <w:rtl/>
        </w:rPr>
        <w:t xml:space="preserve"> ולא נחוש שמא ל</w:t>
      </w:r>
      <w:r w:rsidR="000F2C4C">
        <w:rPr>
          <w:rFonts w:cs="Arial" w:hint="cs"/>
          <w:rtl/>
        </w:rPr>
        <w:t>י</w:t>
      </w:r>
      <w:r w:rsidRPr="006E7025">
        <w:rPr>
          <w:rFonts w:cs="Arial"/>
          <w:rtl/>
        </w:rPr>
        <w:t>מדוה לטעון אמתלא זו וכו'</w:t>
      </w:r>
      <w:r w:rsidR="00D32F00">
        <w:rPr>
          <w:rFonts w:cs="Arial" w:hint="cs"/>
          <w:rtl/>
        </w:rPr>
        <w:t>,</w:t>
      </w:r>
      <w:r w:rsidRPr="006E7025">
        <w:rPr>
          <w:rFonts w:cs="Arial"/>
          <w:rtl/>
        </w:rPr>
        <w:t xml:space="preserve"> שאין יכול לחזור ולטעון לענין ממון מחיוב לפטור כשיצא חוץ לב"ד אע</w:t>
      </w:r>
      <w:r w:rsidR="000F2C4C">
        <w:rPr>
          <w:rFonts w:cs="Arial" w:hint="cs"/>
          <w:rtl/>
        </w:rPr>
        <w:t>"</w:t>
      </w:r>
      <w:r w:rsidRPr="006E7025">
        <w:rPr>
          <w:rFonts w:cs="Arial"/>
          <w:rtl/>
        </w:rPr>
        <w:t>פ שנתן אמתלא לדבריו וכמו שמבואר בח"מ סי' פ'</w:t>
      </w:r>
      <w:r w:rsidR="009908AC">
        <w:rPr>
          <w:rFonts w:cs="Arial" w:hint="cs"/>
          <w:rtl/>
        </w:rPr>
        <w:t>.</w:t>
      </w:r>
      <w:r w:rsidRPr="006E7025">
        <w:rPr>
          <w:rFonts w:cs="Arial"/>
          <w:rtl/>
        </w:rPr>
        <w:t xml:space="preserve"> ואע</w:t>
      </w:r>
      <w:r w:rsidR="000F2C4C">
        <w:rPr>
          <w:rFonts w:cs="Arial" w:hint="cs"/>
          <w:rtl/>
        </w:rPr>
        <w:t>"</w:t>
      </w:r>
      <w:r w:rsidRPr="006E7025">
        <w:rPr>
          <w:rFonts w:cs="Arial"/>
          <w:rtl/>
        </w:rPr>
        <w:t>פ שאשה שאמר' א"א אני ואח"כ אמרה פנויה לאחר זמן נאמנת בנותנ' אמתלא</w:t>
      </w:r>
      <w:r w:rsidR="009908AC">
        <w:rPr>
          <w:rFonts w:cs="Arial" w:hint="cs"/>
          <w:rtl/>
        </w:rPr>
        <w:t>,</w:t>
      </w:r>
      <w:r w:rsidRPr="006E7025">
        <w:rPr>
          <w:rFonts w:cs="Arial"/>
          <w:rtl/>
        </w:rPr>
        <w:t xml:space="preserve"> שאני איסורא מממון</w:t>
      </w:r>
      <w:r w:rsidR="009908AC">
        <w:rPr>
          <w:rFonts w:cs="Arial" w:hint="cs"/>
          <w:rtl/>
        </w:rPr>
        <w:t>,</w:t>
      </w:r>
      <w:r w:rsidRPr="006E7025">
        <w:rPr>
          <w:rFonts w:cs="Arial"/>
          <w:rtl/>
        </w:rPr>
        <w:t xml:space="preserve"> והודאת ב"ד לענין ממון כעדים דמי</w:t>
      </w:r>
      <w:r w:rsidR="009908AC">
        <w:rPr>
          <w:rFonts w:cs="Arial" w:hint="cs"/>
          <w:rtl/>
        </w:rPr>
        <w:t>,</w:t>
      </w:r>
      <w:r w:rsidRPr="006E7025">
        <w:rPr>
          <w:rFonts w:cs="Arial"/>
          <w:rtl/>
        </w:rPr>
        <w:t xml:space="preserve"> ומה תועיל האמתלא להוציא ממון מבעלה ואין לך אמתלא גדולה מזה שאמרו במשנה אחרונ' בנדרים </w:t>
      </w:r>
      <w:r w:rsidR="009908AC">
        <w:rPr>
          <w:rFonts w:cs="Arial" w:hint="cs"/>
          <w:rtl/>
        </w:rPr>
        <w:t>(</w:t>
      </w:r>
      <w:r w:rsidRPr="006E7025">
        <w:rPr>
          <w:rFonts w:cs="Arial"/>
          <w:rtl/>
        </w:rPr>
        <w:t>צ</w:t>
      </w:r>
      <w:r w:rsidR="009908AC">
        <w:rPr>
          <w:rFonts w:cs="Arial" w:hint="cs"/>
          <w:rtl/>
        </w:rPr>
        <w:t>:)</w:t>
      </w:r>
      <w:r w:rsidRPr="006E7025">
        <w:rPr>
          <w:rFonts w:cs="Arial"/>
          <w:rtl/>
        </w:rPr>
        <w:t xml:space="preserve"> שמא עיניה נתנה באחר</w:t>
      </w:r>
      <w:r w:rsidR="00D32F00">
        <w:rPr>
          <w:rFonts w:cs="Arial" w:hint="cs"/>
          <w:rtl/>
        </w:rPr>
        <w:t>.</w:t>
      </w:r>
      <w:r w:rsidRPr="006E7025">
        <w:rPr>
          <w:rFonts w:cs="Arial"/>
          <w:rtl/>
        </w:rPr>
        <w:t xml:space="preserve"> ואעפ"כ לענין ממון ק"ל כמשנה ראשונה שם</w:t>
      </w:r>
      <w:r w:rsidR="009908AC">
        <w:rPr>
          <w:rFonts w:cs="Arial" w:hint="cs"/>
          <w:rtl/>
        </w:rPr>
        <w:t>,</w:t>
      </w:r>
      <w:r w:rsidRPr="006E7025">
        <w:rPr>
          <w:rFonts w:cs="Arial"/>
          <w:rtl/>
        </w:rPr>
        <w:t xml:space="preserve"> וכן משמע מדברי המ"מ </w:t>
      </w:r>
      <w:r w:rsidR="009908AC">
        <w:rPr>
          <w:rFonts w:cs="Arial" w:hint="cs"/>
          <w:rtl/>
        </w:rPr>
        <w:t>(</w:t>
      </w:r>
      <w:r w:rsidRPr="006E7025">
        <w:rPr>
          <w:rFonts w:cs="Arial"/>
          <w:rtl/>
        </w:rPr>
        <w:t>פכ"ד מה"א</w:t>
      </w:r>
      <w:r w:rsidR="009908AC">
        <w:rPr>
          <w:rFonts w:cs="Arial" w:hint="cs"/>
          <w:rtl/>
        </w:rPr>
        <w:t>)</w:t>
      </w:r>
      <w:r w:rsidRPr="006E7025">
        <w:rPr>
          <w:rFonts w:cs="Arial"/>
          <w:rtl/>
        </w:rPr>
        <w:t xml:space="preserve"> ע"ש</w:t>
      </w:r>
      <w:r>
        <w:rPr>
          <w:rFonts w:cs="Arial" w:hint="cs"/>
          <w:rtl/>
        </w:rPr>
        <w:t>, ח"מ (סקכ"ב).</w:t>
      </w:r>
    </w:p>
  </w:footnote>
  <w:footnote w:id="2871">
    <w:p w14:paraId="4BFE8C46" w14:textId="77777777" w:rsidR="00392DBB" w:rsidRDefault="00392DBB" w:rsidP="00392DBB">
      <w:pPr>
        <w:pStyle w:val="a5"/>
      </w:pPr>
      <w:r>
        <w:rPr>
          <w:rStyle w:val="a7"/>
        </w:rPr>
        <w:footnoteRef/>
      </w:r>
      <w:r>
        <w:rPr>
          <w:rtl/>
        </w:rPr>
        <w:t xml:space="preserve"> </w:t>
      </w:r>
      <w:r w:rsidRPr="002C4D7C">
        <w:rPr>
          <w:rFonts w:cs="Arial"/>
          <w:rtl/>
        </w:rPr>
        <w:t>דפלגינן דיבורי</w:t>
      </w:r>
      <w:r>
        <w:rPr>
          <w:rFonts w:cs="Arial" w:hint="cs"/>
          <w:rtl/>
        </w:rPr>
        <w:t>ה.</w:t>
      </w:r>
      <w:r w:rsidRPr="002C4D7C">
        <w:rPr>
          <w:rFonts w:cs="Arial"/>
          <w:rtl/>
        </w:rPr>
        <w:t xml:space="preserve"> לענין שנחשוב אותו כע"א לא הי</w:t>
      </w:r>
      <w:r>
        <w:rPr>
          <w:rFonts w:cs="Arial" w:hint="cs"/>
          <w:rtl/>
        </w:rPr>
        <w:t>ה</w:t>
      </w:r>
      <w:r w:rsidRPr="002C4D7C">
        <w:rPr>
          <w:rFonts w:cs="Arial"/>
          <w:rtl/>
        </w:rPr>
        <w:t xml:space="preserve"> צריך לפלגינן דבורי</w:t>
      </w:r>
      <w:r>
        <w:rPr>
          <w:rFonts w:cs="Arial" w:hint="cs"/>
          <w:rtl/>
        </w:rPr>
        <w:t>ה</w:t>
      </w:r>
      <w:r w:rsidRPr="002C4D7C">
        <w:rPr>
          <w:rFonts w:cs="Arial"/>
          <w:rtl/>
        </w:rPr>
        <w:t xml:space="preserve"> </w:t>
      </w:r>
      <w:r w:rsidRPr="002C4D7C">
        <w:rPr>
          <w:rFonts w:cs="Arial" w:hint="cs"/>
          <w:sz w:val="16"/>
          <w:szCs w:val="16"/>
          <w:rtl/>
        </w:rPr>
        <w:t>(</w:t>
      </w:r>
      <w:r w:rsidRPr="002C4D7C">
        <w:rPr>
          <w:rFonts w:cs="Arial"/>
          <w:sz w:val="16"/>
          <w:szCs w:val="16"/>
          <w:rtl/>
        </w:rPr>
        <w:t>שעדו</w:t>
      </w:r>
      <w:r w:rsidRPr="002C4D7C">
        <w:rPr>
          <w:rFonts w:cs="Arial" w:hint="cs"/>
          <w:sz w:val="16"/>
          <w:szCs w:val="16"/>
          <w:rtl/>
        </w:rPr>
        <w:t>ת</w:t>
      </w:r>
      <w:r w:rsidRPr="002C4D7C">
        <w:rPr>
          <w:rFonts w:cs="Arial"/>
          <w:sz w:val="16"/>
          <w:szCs w:val="16"/>
          <w:rtl/>
        </w:rPr>
        <w:t xml:space="preserve"> ע</w:t>
      </w:r>
      <w:r w:rsidRPr="002C4D7C">
        <w:rPr>
          <w:rFonts w:cs="Arial" w:hint="cs"/>
          <w:sz w:val="16"/>
          <w:szCs w:val="16"/>
          <w:rtl/>
        </w:rPr>
        <w:t xml:space="preserve">ד </w:t>
      </w:r>
      <w:r w:rsidRPr="002C4D7C">
        <w:rPr>
          <w:rFonts w:cs="Arial"/>
          <w:sz w:val="16"/>
          <w:szCs w:val="16"/>
          <w:rtl/>
        </w:rPr>
        <w:t>א</w:t>
      </w:r>
      <w:r w:rsidRPr="002C4D7C">
        <w:rPr>
          <w:rFonts w:cs="Arial" w:hint="cs"/>
          <w:sz w:val="16"/>
          <w:szCs w:val="16"/>
          <w:rtl/>
        </w:rPr>
        <w:t>חד</w:t>
      </w:r>
      <w:r w:rsidRPr="002C4D7C">
        <w:rPr>
          <w:rFonts w:cs="Arial"/>
          <w:sz w:val="16"/>
          <w:szCs w:val="16"/>
          <w:rtl/>
        </w:rPr>
        <w:t xml:space="preserve"> אינו כלום בערוה אלא אם דעתו סומכ' עליו חייב להוציא' וא"כ אפילו לא פלגינן דבורי' אם דעתו סומכ' עליו שאומר אמת אף שרשע הוא לא גרע מקרוב או אשה אף שפסול לעדות מ"מ דעתו סומכ' עליו</w:t>
      </w:r>
      <w:r>
        <w:rPr>
          <w:rFonts w:cs="Arial" w:hint="cs"/>
          <w:sz w:val="16"/>
          <w:szCs w:val="16"/>
          <w:rtl/>
        </w:rPr>
        <w:t>)</w:t>
      </w:r>
      <w:r w:rsidRPr="002C4D7C">
        <w:rPr>
          <w:rFonts w:cs="Arial"/>
          <w:rtl/>
        </w:rPr>
        <w:t xml:space="preserve"> אלא להצטרף עם אחר ולאוסר</w:t>
      </w:r>
      <w:r>
        <w:rPr>
          <w:rFonts w:cs="Arial" w:hint="cs"/>
          <w:rtl/>
        </w:rPr>
        <w:t>ה</w:t>
      </w:r>
      <w:r w:rsidRPr="002C4D7C">
        <w:rPr>
          <w:rFonts w:cs="Arial"/>
          <w:rtl/>
        </w:rPr>
        <w:t xml:space="preserve"> על בעלה קאמר דפלגינן דבוריה</w:t>
      </w:r>
      <w:r>
        <w:rPr>
          <w:rFonts w:cs="Arial" w:hint="cs"/>
          <w:rtl/>
        </w:rPr>
        <w:t>.</w:t>
      </w:r>
      <w:r w:rsidRPr="002C4D7C">
        <w:rPr>
          <w:rFonts w:cs="Arial"/>
          <w:rtl/>
        </w:rPr>
        <w:t xml:space="preserve"> ונרא</w:t>
      </w:r>
      <w:r>
        <w:rPr>
          <w:rFonts w:cs="Arial" w:hint="cs"/>
          <w:rtl/>
        </w:rPr>
        <w:t>ה</w:t>
      </w:r>
      <w:r w:rsidRPr="002C4D7C">
        <w:rPr>
          <w:rFonts w:cs="Arial"/>
          <w:rtl/>
        </w:rPr>
        <w:t xml:space="preserve"> אם בא עוד עד כשר ואמר ג"כ שזינתה עם זה העד</w:t>
      </w:r>
      <w:r>
        <w:rPr>
          <w:rFonts w:cs="Arial" w:hint="cs"/>
          <w:rtl/>
        </w:rPr>
        <w:t>,</w:t>
      </w:r>
      <w:r w:rsidRPr="002C4D7C">
        <w:rPr>
          <w:rFonts w:cs="Arial"/>
          <w:rtl/>
        </w:rPr>
        <w:t xml:space="preserve"> וא"כ לפי דברי העד השני העד הראשון פסול</w:t>
      </w:r>
      <w:r>
        <w:rPr>
          <w:rFonts w:cs="Arial" w:hint="cs"/>
          <w:rtl/>
        </w:rPr>
        <w:t xml:space="preserve"> -</w:t>
      </w:r>
      <w:r w:rsidRPr="002C4D7C">
        <w:rPr>
          <w:rFonts w:cs="Arial"/>
          <w:rtl/>
        </w:rPr>
        <w:t xml:space="preserve"> אפ"ה נאמן על האשה</w:t>
      </w:r>
      <w:r>
        <w:rPr>
          <w:rFonts w:cs="Arial" w:hint="cs"/>
          <w:rtl/>
        </w:rPr>
        <w:t>,</w:t>
      </w:r>
      <w:r w:rsidRPr="002C4D7C">
        <w:rPr>
          <w:rFonts w:cs="Arial"/>
          <w:rtl/>
        </w:rPr>
        <w:t xml:space="preserve"> דאיכא שני עדים ואינו נאמן על העד הראשון דלא יקום ע"א באיש לפוסלו</w:t>
      </w:r>
      <w:r>
        <w:rPr>
          <w:rFonts w:cs="Arial" w:hint="cs"/>
          <w:rtl/>
        </w:rPr>
        <w:t>, ח"מ (סקכ"ה).</w:t>
      </w:r>
    </w:p>
  </w:footnote>
  <w:footnote w:id="2872">
    <w:p w14:paraId="7F5842B3" w14:textId="7C7ECC5D" w:rsidR="00392DBB" w:rsidRDefault="00392DBB" w:rsidP="00392DBB">
      <w:pPr>
        <w:pStyle w:val="a5"/>
      </w:pPr>
      <w:r>
        <w:rPr>
          <w:rStyle w:val="a7"/>
        </w:rPr>
        <w:footnoteRef/>
      </w:r>
      <w:r>
        <w:rPr>
          <w:rtl/>
        </w:rPr>
        <w:t xml:space="preserve"> </w:t>
      </w:r>
      <w:r w:rsidRPr="002C4D7C">
        <w:rPr>
          <w:rFonts w:cs="Arial"/>
          <w:rtl/>
        </w:rPr>
        <w:t>היינו בדאיכא רגלים לדבר</w:t>
      </w:r>
      <w:r w:rsidR="008932A4">
        <w:rPr>
          <w:rFonts w:cs="Arial" w:hint="cs"/>
          <w:rtl/>
        </w:rPr>
        <w:t>,</w:t>
      </w:r>
      <w:r w:rsidRPr="002C4D7C">
        <w:rPr>
          <w:rFonts w:cs="Arial"/>
          <w:rtl/>
        </w:rPr>
        <w:t xml:space="preserve"> שאז לא חיישינן שמא עיניה נתנה באחר רק שהיא מכחשת העד וע"כ מצטרף גם הנחשד</w:t>
      </w:r>
      <w:r>
        <w:rPr>
          <w:rFonts w:cs="Arial" w:hint="cs"/>
          <w:rtl/>
        </w:rPr>
        <w:t>,</w:t>
      </w:r>
      <w:r w:rsidRPr="002C4D7C">
        <w:rPr>
          <w:rFonts w:cs="Arial"/>
          <w:rtl/>
        </w:rPr>
        <w:t xml:space="preserve"> ופלגינן דבוריה והוי כשני עדים כשרים שמעידין</w:t>
      </w:r>
      <w:r>
        <w:rPr>
          <w:rFonts w:cs="Arial" w:hint="cs"/>
          <w:rtl/>
        </w:rPr>
        <w:t>,</w:t>
      </w:r>
      <w:r w:rsidRPr="002C4D7C">
        <w:rPr>
          <w:rFonts w:cs="Arial"/>
          <w:rtl/>
        </w:rPr>
        <w:t xml:space="preserve"> א' ראה שזינת' וא' שמע שהודי'</w:t>
      </w:r>
      <w:r>
        <w:rPr>
          <w:rFonts w:cs="Arial" w:hint="cs"/>
          <w:rtl/>
        </w:rPr>
        <w:t>.</w:t>
      </w:r>
      <w:r w:rsidRPr="002C4D7C">
        <w:rPr>
          <w:rFonts w:cs="Arial"/>
          <w:rtl/>
        </w:rPr>
        <w:t xml:space="preserve"> ובמקום דאיכא רגלים לדבר </w:t>
      </w:r>
      <w:r>
        <w:rPr>
          <w:rFonts w:cs="Arial" w:hint="cs"/>
          <w:rtl/>
        </w:rPr>
        <w:t xml:space="preserve">- </w:t>
      </w:r>
      <w:r w:rsidRPr="002C4D7C">
        <w:rPr>
          <w:rFonts w:cs="Arial"/>
          <w:rtl/>
        </w:rPr>
        <w:t>הודאת' בפני ע"א כאלו ראה שזינתה</w:t>
      </w:r>
      <w:r>
        <w:rPr>
          <w:rFonts w:cs="Arial" w:hint="cs"/>
          <w:rtl/>
        </w:rPr>
        <w:t>.</w:t>
      </w:r>
      <w:r w:rsidRPr="002C4D7C">
        <w:rPr>
          <w:rFonts w:cs="Arial"/>
          <w:rtl/>
        </w:rPr>
        <w:t xml:space="preserve"> והודאה אחר הלואה מצטרפין</w:t>
      </w:r>
      <w:r>
        <w:rPr>
          <w:rFonts w:cs="Arial" w:hint="cs"/>
          <w:rtl/>
        </w:rPr>
        <w:t>.</w:t>
      </w:r>
      <w:r w:rsidRPr="002C4D7C">
        <w:rPr>
          <w:rFonts w:cs="Arial"/>
          <w:rtl/>
        </w:rPr>
        <w:t xml:space="preserve"> ואע</w:t>
      </w:r>
      <w:r w:rsidR="008932A4">
        <w:rPr>
          <w:rFonts w:cs="Arial" w:hint="cs"/>
          <w:rtl/>
        </w:rPr>
        <w:t>"</w:t>
      </w:r>
      <w:r w:rsidRPr="002C4D7C">
        <w:rPr>
          <w:rFonts w:cs="Arial"/>
          <w:rtl/>
        </w:rPr>
        <w:t xml:space="preserve">פ שלדברי האשה הנחשד פסול </w:t>
      </w:r>
      <w:r>
        <w:rPr>
          <w:rFonts w:cs="Arial" w:hint="cs"/>
          <w:rtl/>
        </w:rPr>
        <w:t xml:space="preserve">- </w:t>
      </w:r>
      <w:r w:rsidRPr="002C4D7C">
        <w:rPr>
          <w:rFonts w:cs="Arial"/>
          <w:rtl/>
        </w:rPr>
        <w:t>מאמינין אותה לגבי עצמה ולא לגבי הנחשד לפוסלו</w:t>
      </w:r>
      <w:r>
        <w:rPr>
          <w:rFonts w:cs="Arial" w:hint="cs"/>
          <w:rtl/>
        </w:rPr>
        <w:t>.</w:t>
      </w:r>
      <w:r w:rsidRPr="002C4D7C">
        <w:rPr>
          <w:rFonts w:cs="Arial"/>
          <w:rtl/>
        </w:rPr>
        <w:t xml:space="preserve"> ומיהו אם הי' חשוד בלאו הכי </w:t>
      </w:r>
      <w:r>
        <w:rPr>
          <w:rFonts w:cs="Arial" w:hint="cs"/>
          <w:rtl/>
        </w:rPr>
        <w:t xml:space="preserve">- </w:t>
      </w:r>
      <w:r w:rsidRPr="002C4D7C">
        <w:rPr>
          <w:rFonts w:cs="Arial"/>
          <w:rtl/>
        </w:rPr>
        <w:t>פסול לעדו</w:t>
      </w:r>
      <w:r>
        <w:rPr>
          <w:rFonts w:cs="Arial" w:hint="cs"/>
          <w:rtl/>
        </w:rPr>
        <w:t>ת</w:t>
      </w:r>
      <w:r w:rsidRPr="002C4D7C">
        <w:rPr>
          <w:rFonts w:cs="Arial"/>
          <w:rtl/>
        </w:rPr>
        <w:t xml:space="preserve"> אשה בין לאפוקי בין לעיולא ועיין בתשובת הרשב"א אלף רל"ז</w:t>
      </w:r>
      <w:r>
        <w:rPr>
          <w:rFonts w:cs="Arial" w:hint="cs"/>
          <w:rtl/>
        </w:rPr>
        <w:t xml:space="preserve">, </w:t>
      </w:r>
      <w:r w:rsidRPr="00890488">
        <w:rPr>
          <w:rFonts w:cs="Arial" w:hint="cs"/>
          <w:b/>
          <w:bCs/>
          <w:rtl/>
        </w:rPr>
        <w:t xml:space="preserve">ח"מ </w:t>
      </w:r>
      <w:r>
        <w:rPr>
          <w:rFonts w:cs="Arial" w:hint="cs"/>
          <w:rtl/>
        </w:rPr>
        <w:t>(סקכ"ו).</w:t>
      </w:r>
      <w:r>
        <w:rPr>
          <w:rFonts w:hint="cs"/>
          <w:rtl/>
        </w:rPr>
        <w:t xml:space="preserve"> וכ"כ </w:t>
      </w:r>
      <w:r w:rsidRPr="00890488">
        <w:rPr>
          <w:rFonts w:hint="cs"/>
          <w:b/>
          <w:bCs/>
          <w:rtl/>
        </w:rPr>
        <w:t>הב"ש</w:t>
      </w:r>
      <w:r>
        <w:rPr>
          <w:rFonts w:hint="cs"/>
          <w:rtl/>
        </w:rPr>
        <w:t xml:space="preserve"> (סקכ"ט).</w:t>
      </w:r>
      <w:r>
        <w:rPr>
          <w:rFonts w:cs="Arial"/>
          <w:rtl/>
        </w:rPr>
        <w:t xml:space="preserve"> </w:t>
      </w:r>
      <w:r w:rsidR="00890488">
        <w:rPr>
          <w:rFonts w:cs="Arial" w:hint="cs"/>
          <w:rtl/>
        </w:rPr>
        <w:t xml:space="preserve">     </w:t>
      </w:r>
      <w:r>
        <w:rPr>
          <w:rFonts w:cs="Arial"/>
          <w:rtl/>
        </w:rPr>
        <w:t>וע' בתשו' ר</w:t>
      </w:r>
      <w:r>
        <w:rPr>
          <w:rFonts w:cs="Arial" w:hint="cs"/>
          <w:rtl/>
        </w:rPr>
        <w:t xml:space="preserve">עק"א </w:t>
      </w:r>
      <w:r w:rsidRPr="005822B1">
        <w:rPr>
          <w:rFonts w:cs="Arial" w:hint="cs"/>
          <w:sz w:val="16"/>
          <w:szCs w:val="16"/>
          <w:rtl/>
        </w:rPr>
        <w:t>(</w:t>
      </w:r>
      <w:r w:rsidRPr="005822B1">
        <w:rPr>
          <w:rFonts w:cs="Arial"/>
          <w:sz w:val="16"/>
          <w:szCs w:val="16"/>
          <w:rtl/>
        </w:rPr>
        <w:t>סי' פח בד"ה וזהו נראה</w:t>
      </w:r>
      <w:r w:rsidRPr="005822B1">
        <w:rPr>
          <w:rFonts w:cs="Arial" w:hint="cs"/>
          <w:sz w:val="16"/>
          <w:szCs w:val="16"/>
          <w:rtl/>
        </w:rPr>
        <w:t>,</w:t>
      </w:r>
      <w:r w:rsidRPr="005822B1">
        <w:rPr>
          <w:rFonts w:cs="Arial"/>
          <w:sz w:val="16"/>
          <w:szCs w:val="16"/>
          <w:rtl/>
        </w:rPr>
        <w:t xml:space="preserve"> ובסי' צט בד"ה ואף בשו"ת רשב"א</w:t>
      </w:r>
      <w:r w:rsidRPr="005822B1">
        <w:rPr>
          <w:rFonts w:cs="Arial" w:hint="cs"/>
          <w:sz w:val="16"/>
          <w:szCs w:val="16"/>
          <w:rtl/>
        </w:rPr>
        <w:t>)</w:t>
      </w:r>
      <w:r w:rsidRPr="005822B1">
        <w:rPr>
          <w:rFonts w:cs="Arial"/>
          <w:sz w:val="16"/>
          <w:szCs w:val="16"/>
          <w:rtl/>
        </w:rPr>
        <w:t xml:space="preserve"> </w:t>
      </w:r>
      <w:r>
        <w:rPr>
          <w:rFonts w:cs="Arial"/>
          <w:rtl/>
        </w:rPr>
        <w:t>שכ' דא"א לפרש כן</w:t>
      </w:r>
      <w:r>
        <w:rPr>
          <w:rFonts w:cs="Arial" w:hint="cs"/>
          <w:rtl/>
        </w:rPr>
        <w:t>...</w:t>
      </w:r>
      <w:r>
        <w:rPr>
          <w:rFonts w:cs="Arial"/>
          <w:rtl/>
        </w:rPr>
        <w:t xml:space="preserve"> א</w:t>
      </w:r>
      <w:r>
        <w:rPr>
          <w:rFonts w:cs="Arial" w:hint="cs"/>
          <w:rtl/>
        </w:rPr>
        <w:t xml:space="preserve">לא </w:t>
      </w:r>
      <w:r>
        <w:rPr>
          <w:rFonts w:cs="Arial"/>
          <w:rtl/>
        </w:rPr>
        <w:t>ו</w:t>
      </w:r>
      <w:r>
        <w:rPr>
          <w:rFonts w:cs="Arial" w:hint="cs"/>
          <w:rtl/>
        </w:rPr>
        <w:t>דאי</w:t>
      </w:r>
      <w:r>
        <w:rPr>
          <w:rFonts w:cs="Arial"/>
          <w:rtl/>
        </w:rPr>
        <w:t xml:space="preserve"> דבא לחדש דאף בלא סברא דרגלים לדבר י"ל דבכה"ג במקום עד א' לא תלינן בעיני</w:t>
      </w:r>
      <w:r>
        <w:rPr>
          <w:rFonts w:cs="Arial" w:hint="cs"/>
          <w:rtl/>
        </w:rPr>
        <w:t>ה</w:t>
      </w:r>
      <w:r>
        <w:rPr>
          <w:rFonts w:cs="Arial"/>
          <w:rtl/>
        </w:rPr>
        <w:t xml:space="preserve"> נ"ב דבכה"ג לא תיקנו</w:t>
      </w:r>
      <w:r>
        <w:rPr>
          <w:rFonts w:cs="Arial" w:hint="cs"/>
          <w:rtl/>
        </w:rPr>
        <w:t>,</w:t>
      </w:r>
      <w:r>
        <w:rPr>
          <w:rFonts w:cs="Arial"/>
          <w:rtl/>
        </w:rPr>
        <w:t xml:space="preserve"> דלאו בכל פעם יזדמן כן שיהי' עד א' ע"ש</w:t>
      </w:r>
      <w:r>
        <w:rPr>
          <w:rFonts w:cs="Arial" w:hint="cs"/>
          <w:rtl/>
        </w:rPr>
        <w:t>...</w:t>
      </w:r>
      <w:r>
        <w:rPr>
          <w:rFonts w:cs="Arial"/>
          <w:rtl/>
        </w:rPr>
        <w:t xml:space="preserve"> ובסי' ק"א שם בתשו' הגאון בית מאיר הסכים עמו וכ' דיפה פי' כוונת התה"ד וסברא גדולה היא זו דאפשר במקום ע"א לא תיקנו חז"ל</w:t>
      </w:r>
      <w:r>
        <w:rPr>
          <w:rFonts w:cs="Arial" w:hint="cs"/>
          <w:rtl/>
        </w:rPr>
        <w:t>,</w:t>
      </w:r>
      <w:r>
        <w:rPr>
          <w:rFonts w:cs="Arial"/>
          <w:rtl/>
        </w:rPr>
        <w:t xml:space="preserve"> משום דעד א' זה חשיב כרגלים לדבר</w:t>
      </w:r>
      <w:r>
        <w:rPr>
          <w:rFonts w:cs="Arial" w:hint="cs"/>
          <w:rtl/>
        </w:rPr>
        <w:t>.</w:t>
      </w:r>
      <w:r>
        <w:rPr>
          <w:rFonts w:cs="Arial"/>
          <w:rtl/>
        </w:rPr>
        <w:t xml:space="preserve"> אולם יש להליץ בעד הח"מ וב"ש שהוקשה להם דמשמע מהרמ"א שזה חשוב כב' עדים ממש דאפי' ב"ד מפקיעין וע"ז יש לפקפק הרי עד ההודאה לחוד לאו מידי הוא משום די"ל ענ"ב רק ע"י העד דזינת' נתחזק אף עדותו</w:t>
      </w:r>
      <w:r>
        <w:rPr>
          <w:rFonts w:cs="Arial" w:hint="cs"/>
          <w:rtl/>
        </w:rPr>
        <w:t>.</w:t>
      </w:r>
      <w:r>
        <w:rPr>
          <w:rFonts w:cs="Arial"/>
          <w:rtl/>
        </w:rPr>
        <w:t xml:space="preserve"> וי"ל דלא חשיב עדים של תורה דהוי דומיא דנפיק ג' ריבעי דממונא אפומא דחד לכן פירשו דאיכא רגלים לדבר וא"כ שפיר חשיב עד הודאה בלא עד זה עכ"ד ע"ש. וע' בשו"ת הגאון החסיד מהר"ש זלמן זצ"ל מלאדי שגם הוא ז"ל חולק על הח"מ וב"ש בזה (אך בסגנון אחר) וכ' דודאי מסתימת לשון רמ"א לא משמע כלל כפי' הח"מ וב"ש דכל כה"ג ודאי ה"ל לרמ"א לפרש ולא להיות עיקר חסר מן הספר</w:t>
      </w:r>
      <w:r>
        <w:rPr>
          <w:rFonts w:cs="Arial" w:hint="cs"/>
          <w:rtl/>
        </w:rPr>
        <w:t>.</w:t>
      </w:r>
      <w:r>
        <w:rPr>
          <w:rFonts w:cs="Arial"/>
          <w:rtl/>
        </w:rPr>
        <w:t xml:space="preserve"> ומכ"ש מאחר דבסיפא הודית לפני א' מיירי רמ"א בדליכא רגל"ד כמבואר מח"מ וב"ש שם</w:t>
      </w:r>
      <w:r>
        <w:rPr>
          <w:rFonts w:cs="Arial" w:hint="cs"/>
          <w:rtl/>
        </w:rPr>
        <w:t xml:space="preserve">..., </w:t>
      </w:r>
      <w:r w:rsidRPr="00890488">
        <w:rPr>
          <w:rFonts w:cs="Arial" w:hint="cs"/>
          <w:b/>
          <w:bCs/>
          <w:rtl/>
        </w:rPr>
        <w:t>פת"ש</w:t>
      </w:r>
      <w:r>
        <w:rPr>
          <w:rFonts w:cs="Arial" w:hint="cs"/>
          <w:rtl/>
        </w:rPr>
        <w:t xml:space="preserve"> (סקל"ד).</w:t>
      </w:r>
    </w:p>
  </w:footnote>
  <w:footnote w:id="2873">
    <w:p w14:paraId="7803D518" w14:textId="49E882E6" w:rsidR="00392DBB" w:rsidRDefault="00392DBB" w:rsidP="00392DBB">
      <w:pPr>
        <w:pStyle w:val="a5"/>
      </w:pPr>
      <w:r>
        <w:rPr>
          <w:rStyle w:val="a7"/>
        </w:rPr>
        <w:footnoteRef/>
      </w:r>
      <w:r>
        <w:rPr>
          <w:rtl/>
        </w:rPr>
        <w:t xml:space="preserve"> </w:t>
      </w:r>
      <w:r w:rsidRPr="00B54F8E">
        <w:rPr>
          <w:rFonts w:cs="Arial"/>
          <w:rtl/>
        </w:rPr>
        <w:t>לאו דוקא לפני א'</w:t>
      </w:r>
      <w:r w:rsidR="008932A4">
        <w:rPr>
          <w:rFonts w:cs="Arial" w:hint="cs"/>
          <w:rtl/>
        </w:rPr>
        <w:t>,</w:t>
      </w:r>
      <w:r w:rsidRPr="00B54F8E">
        <w:rPr>
          <w:rFonts w:cs="Arial"/>
          <w:rtl/>
        </w:rPr>
        <w:t xml:space="preserve"> אפילו לפני שנים</w:t>
      </w:r>
      <w:r w:rsidR="008932A4">
        <w:rPr>
          <w:rFonts w:cs="Arial" w:hint="cs"/>
          <w:rtl/>
        </w:rPr>
        <w:t>,</w:t>
      </w:r>
      <w:r w:rsidRPr="00B54F8E">
        <w:rPr>
          <w:rFonts w:cs="Arial"/>
          <w:rtl/>
        </w:rPr>
        <w:t xml:space="preserve"> דהא הטעם שמא עיניה נתנה באחר שייך אף בשנים וכמשנה אחרונה דנדרים</w:t>
      </w:r>
      <w:r>
        <w:rPr>
          <w:rFonts w:cs="Arial" w:hint="cs"/>
          <w:rtl/>
        </w:rPr>
        <w:t xml:space="preserve"> (</w:t>
      </w:r>
      <w:r w:rsidRPr="00B54F8E">
        <w:rPr>
          <w:rFonts w:cs="Arial"/>
          <w:rtl/>
        </w:rPr>
        <w:t>צ</w:t>
      </w:r>
      <w:r>
        <w:rPr>
          <w:rFonts w:cs="Arial" w:hint="cs"/>
          <w:rtl/>
        </w:rPr>
        <w:t>:)</w:t>
      </w:r>
      <w:r w:rsidR="00F94E4C">
        <w:rPr>
          <w:rFonts w:cs="Arial" w:hint="cs"/>
          <w:rtl/>
        </w:rPr>
        <w:t>,</w:t>
      </w:r>
      <w:r w:rsidRPr="00B54F8E">
        <w:rPr>
          <w:rFonts w:cs="Arial"/>
          <w:rtl/>
        </w:rPr>
        <w:t xml:space="preserve"> רק לענין הפסד כתובה יש חילוק בין ע"א לשנים</w:t>
      </w:r>
      <w:r w:rsidR="00F94E4C">
        <w:rPr>
          <w:rFonts w:cs="Arial" w:hint="cs"/>
          <w:rtl/>
        </w:rPr>
        <w:t>,</w:t>
      </w:r>
      <w:r w:rsidRPr="00B54F8E">
        <w:rPr>
          <w:rFonts w:cs="Arial"/>
          <w:rtl/>
        </w:rPr>
        <w:t xml:space="preserve"> דבע"א לא הפסידה כתובתה כל שמכחשת אותו</w:t>
      </w:r>
      <w:r w:rsidR="00F94E4C">
        <w:rPr>
          <w:rFonts w:cs="Arial" w:hint="cs"/>
          <w:rtl/>
        </w:rPr>
        <w:t>,</w:t>
      </w:r>
      <w:r w:rsidRPr="00B54F8E">
        <w:rPr>
          <w:rFonts w:cs="Arial"/>
          <w:rtl/>
        </w:rPr>
        <w:t xml:space="preserve"> אבל בשני עדים אף שאין אסורה לו למשנה אחרונה מ"מ כתובתה הפסידה</w:t>
      </w:r>
      <w:r>
        <w:rPr>
          <w:rFonts w:cs="Arial" w:hint="cs"/>
          <w:rtl/>
        </w:rPr>
        <w:t>, ח"מ (סקכ"ז).</w:t>
      </w:r>
    </w:p>
  </w:footnote>
  <w:footnote w:id="2874">
    <w:p w14:paraId="4612F487" w14:textId="60305F9C" w:rsidR="00392DBB" w:rsidRDefault="00392DBB" w:rsidP="00392DBB">
      <w:pPr>
        <w:pStyle w:val="a5"/>
      </w:pPr>
      <w:r>
        <w:rPr>
          <w:rStyle w:val="a7"/>
        </w:rPr>
        <w:footnoteRef/>
      </w:r>
      <w:r>
        <w:rPr>
          <w:rtl/>
        </w:rPr>
        <w:t xml:space="preserve"> </w:t>
      </w:r>
      <w:r w:rsidRPr="00B54F8E">
        <w:rPr>
          <w:rFonts w:cs="Arial"/>
          <w:rtl/>
        </w:rPr>
        <w:t>היינו בעומדת בדבריה לאחר שגירשה שאז לא שייך לומר עיניה נתנה באחר דהא גירשה ומותר</w:t>
      </w:r>
      <w:r w:rsidR="00595F7A">
        <w:rPr>
          <w:rFonts w:cs="Arial" w:hint="cs"/>
          <w:rtl/>
        </w:rPr>
        <w:t>ת</w:t>
      </w:r>
      <w:r w:rsidRPr="00B54F8E">
        <w:rPr>
          <w:rFonts w:cs="Arial"/>
          <w:rtl/>
        </w:rPr>
        <w:t xml:space="preserve"> לכל אדם</w:t>
      </w:r>
      <w:r w:rsidR="00595F7A">
        <w:rPr>
          <w:rFonts w:cs="Arial" w:hint="cs"/>
          <w:rtl/>
        </w:rPr>
        <w:t>,</w:t>
      </w:r>
      <w:r w:rsidRPr="00B54F8E">
        <w:rPr>
          <w:rFonts w:cs="Arial"/>
          <w:rtl/>
        </w:rPr>
        <w:t xml:space="preserve"> אלא ודאי קושטא אמרה ושויתה נפשה חתיכה דאסורה לו</w:t>
      </w:r>
      <w:r w:rsidR="00595F7A">
        <w:rPr>
          <w:rFonts w:cs="Arial" w:hint="cs"/>
          <w:rtl/>
        </w:rPr>
        <w:t>.</w:t>
      </w:r>
      <w:r w:rsidRPr="00B54F8E">
        <w:rPr>
          <w:rFonts w:cs="Arial"/>
          <w:rtl/>
        </w:rPr>
        <w:t xml:space="preserve"> אבל אם חזרה מדבריה הראשונים ואומר</w:t>
      </w:r>
      <w:r w:rsidR="00595F7A">
        <w:rPr>
          <w:rFonts w:cs="Arial" w:hint="cs"/>
          <w:rtl/>
        </w:rPr>
        <w:t>ת</w:t>
      </w:r>
      <w:r w:rsidRPr="00B54F8E">
        <w:rPr>
          <w:rFonts w:cs="Arial"/>
          <w:rtl/>
        </w:rPr>
        <w:t xml:space="preserve"> טהורה הייתי ונתנה אמתלא לדבריה הראשונים למה אמרה טמאה אני אז מותר להחזירה</w:t>
      </w:r>
      <w:r>
        <w:rPr>
          <w:rFonts w:cs="Arial" w:hint="cs"/>
          <w:rtl/>
        </w:rPr>
        <w:t xml:space="preserve">, </w:t>
      </w:r>
      <w:r w:rsidRPr="00F94E4C">
        <w:rPr>
          <w:rFonts w:cs="Arial" w:hint="cs"/>
          <w:b/>
          <w:bCs/>
          <w:rtl/>
        </w:rPr>
        <w:t>ח"מ</w:t>
      </w:r>
      <w:r>
        <w:rPr>
          <w:rFonts w:cs="Arial" w:hint="cs"/>
          <w:rtl/>
        </w:rPr>
        <w:t xml:space="preserve"> (סקכ"ח).</w:t>
      </w:r>
      <w:r>
        <w:rPr>
          <w:rFonts w:hint="cs"/>
          <w:rtl/>
        </w:rPr>
        <w:t xml:space="preserve"> וכ"כ </w:t>
      </w:r>
      <w:r w:rsidRPr="00F94E4C">
        <w:rPr>
          <w:rFonts w:hint="cs"/>
          <w:b/>
          <w:bCs/>
          <w:rtl/>
        </w:rPr>
        <w:t>הב"ש</w:t>
      </w:r>
      <w:r>
        <w:rPr>
          <w:rFonts w:hint="cs"/>
          <w:rtl/>
        </w:rPr>
        <w:t xml:space="preserve"> (סקל"א).</w:t>
      </w:r>
      <w:r w:rsidR="00F94E4C">
        <w:rPr>
          <w:rFonts w:cs="Arial" w:hint="cs"/>
          <w:rtl/>
        </w:rPr>
        <w:t xml:space="preserve">     </w:t>
      </w:r>
      <w:r w:rsidRPr="00795543">
        <w:rPr>
          <w:rFonts w:cs="Arial"/>
          <w:rtl/>
        </w:rPr>
        <w:t xml:space="preserve"> </w:t>
      </w:r>
      <w:r>
        <w:rPr>
          <w:rFonts w:cs="Arial" w:hint="cs"/>
          <w:rtl/>
        </w:rPr>
        <w:t>אך</w:t>
      </w:r>
      <w:r>
        <w:rPr>
          <w:rFonts w:cs="Arial"/>
          <w:rtl/>
        </w:rPr>
        <w:t xml:space="preserve"> בתשו' שיבת ציון </w:t>
      </w:r>
      <w:r>
        <w:rPr>
          <w:rFonts w:cs="Arial" w:hint="cs"/>
          <w:rtl/>
        </w:rPr>
        <w:t>(</w:t>
      </w:r>
      <w:r>
        <w:rPr>
          <w:rFonts w:cs="Arial"/>
          <w:rtl/>
        </w:rPr>
        <w:t>סי' עד</w:t>
      </w:r>
      <w:r>
        <w:rPr>
          <w:rFonts w:cs="Arial" w:hint="cs"/>
          <w:rtl/>
        </w:rPr>
        <w:t>)</w:t>
      </w:r>
      <w:r>
        <w:rPr>
          <w:rFonts w:cs="Arial"/>
          <w:rtl/>
        </w:rPr>
        <w:t xml:space="preserve"> </w:t>
      </w:r>
      <w:r>
        <w:rPr>
          <w:rFonts w:cs="Arial" w:hint="cs"/>
          <w:rtl/>
        </w:rPr>
        <w:t xml:space="preserve">כתב </w:t>
      </w:r>
      <w:r>
        <w:rPr>
          <w:rFonts w:cs="Arial"/>
          <w:rtl/>
        </w:rPr>
        <w:t>דאשה שאמרה לבעלה שזינתה אע</w:t>
      </w:r>
      <w:r>
        <w:rPr>
          <w:rFonts w:cs="Arial" w:hint="cs"/>
          <w:rtl/>
        </w:rPr>
        <w:t>"</w:t>
      </w:r>
      <w:r>
        <w:rPr>
          <w:rFonts w:cs="Arial"/>
          <w:rtl/>
        </w:rPr>
        <w:t xml:space="preserve">פ שאינה נאמנת אם עמד הבעל מעצמו וגירשה </w:t>
      </w:r>
      <w:r w:rsidR="00F62792">
        <w:rPr>
          <w:rFonts w:cs="Arial" w:hint="cs"/>
          <w:rtl/>
        </w:rPr>
        <w:t xml:space="preserve">- </w:t>
      </w:r>
      <w:r>
        <w:rPr>
          <w:rFonts w:cs="Arial"/>
          <w:rtl/>
        </w:rPr>
        <w:t>אסור להחזירה</w:t>
      </w:r>
      <w:r w:rsidR="00F62792">
        <w:rPr>
          <w:rFonts w:cs="Arial" w:hint="cs"/>
          <w:rtl/>
        </w:rPr>
        <w:t>,</w:t>
      </w:r>
      <w:r>
        <w:rPr>
          <w:rFonts w:cs="Arial"/>
          <w:rtl/>
        </w:rPr>
        <w:t xml:space="preserve"> ולא מהני שום אמתלא לגבי הבעל לבטל המעשה שעשה שגירשה ע"פ דבריה והאמין לה שזינתה</w:t>
      </w:r>
      <w:r>
        <w:rPr>
          <w:rFonts w:cs="Arial" w:hint="cs"/>
          <w:rtl/>
        </w:rPr>
        <w:t>.</w:t>
      </w:r>
      <w:r>
        <w:rPr>
          <w:rFonts w:cs="Arial"/>
          <w:rtl/>
        </w:rPr>
        <w:t xml:space="preserve"> ואם עבר והחזירה יש ספק אם מותר לקיימה ודבר זה תליא בשני תירוצי התוס' ור"ן בשלהי נדרים</w:t>
      </w:r>
      <w:r>
        <w:rPr>
          <w:rFonts w:cs="Arial" w:hint="cs"/>
          <w:rtl/>
        </w:rPr>
        <w:t>...</w:t>
      </w:r>
      <w:r>
        <w:rPr>
          <w:rFonts w:cs="Arial"/>
          <w:rtl/>
        </w:rPr>
        <w:t xml:space="preserve"> ע"ש</w:t>
      </w:r>
      <w:r>
        <w:rPr>
          <w:rFonts w:cs="Arial" w:hint="cs"/>
          <w:rtl/>
        </w:rPr>
        <w:t xml:space="preserve">, </w:t>
      </w:r>
      <w:r w:rsidRPr="00F94E4C">
        <w:rPr>
          <w:rFonts w:cs="Arial" w:hint="cs"/>
          <w:b/>
          <w:bCs/>
          <w:rtl/>
        </w:rPr>
        <w:t>פת"ש</w:t>
      </w:r>
      <w:r>
        <w:rPr>
          <w:rFonts w:cs="Arial" w:hint="cs"/>
          <w:rtl/>
        </w:rPr>
        <w:t xml:space="preserve"> (סקל"ו)</w:t>
      </w:r>
      <w:r>
        <w:rPr>
          <w:rFonts w:cs="Arial"/>
          <w:rtl/>
        </w:rPr>
        <w:t>.</w:t>
      </w:r>
      <w:r>
        <w:rPr>
          <w:rFonts w:hint="cs"/>
          <w:rtl/>
        </w:rPr>
        <w:t xml:space="preserve"> ועיין </w:t>
      </w:r>
      <w:r>
        <w:rPr>
          <w:rFonts w:cs="Arial" w:hint="cs"/>
          <w:rtl/>
        </w:rPr>
        <w:t>ב</w:t>
      </w:r>
      <w:r>
        <w:rPr>
          <w:rFonts w:cs="Arial"/>
          <w:rtl/>
        </w:rPr>
        <w:t xml:space="preserve">נו"ב </w:t>
      </w:r>
      <w:r>
        <w:rPr>
          <w:rFonts w:cs="Arial" w:hint="cs"/>
          <w:rtl/>
        </w:rPr>
        <w:t>(</w:t>
      </w:r>
      <w:r>
        <w:rPr>
          <w:rFonts w:cs="Arial"/>
          <w:rtl/>
        </w:rPr>
        <w:t>סי' יא</w:t>
      </w:r>
      <w:r>
        <w:rPr>
          <w:rFonts w:cs="Arial" w:hint="cs"/>
          <w:rtl/>
        </w:rPr>
        <w:t>) ובחמדת שלמה (סי' נז) שהאריכו בזה.</w:t>
      </w:r>
    </w:p>
  </w:footnote>
  <w:footnote w:id="2875">
    <w:p w14:paraId="603BADCA" w14:textId="77777777" w:rsidR="00392DBB" w:rsidRDefault="00392DBB" w:rsidP="00392DBB">
      <w:pPr>
        <w:pStyle w:val="a5"/>
        <w:rPr>
          <w:rtl/>
        </w:rPr>
      </w:pPr>
      <w:r w:rsidRPr="003429C8">
        <w:rPr>
          <w:rStyle w:val="a7"/>
        </w:rPr>
        <w:footnoteRef/>
      </w:r>
      <w:r w:rsidRPr="003429C8">
        <w:rPr>
          <w:rtl/>
        </w:rPr>
        <w:t xml:space="preserve"> </w:t>
      </w:r>
      <w:r w:rsidRPr="003429C8">
        <w:rPr>
          <w:rFonts w:cs="Arial" w:hint="cs"/>
          <w:rtl/>
        </w:rPr>
        <w:t>כ"כ בשמו הברית אברהם (סי' עד),</w:t>
      </w:r>
      <w:r w:rsidRPr="003429C8">
        <w:rPr>
          <w:rFonts w:cs="Arial"/>
          <w:rtl/>
        </w:rPr>
        <w:t xml:space="preserve"> </w:t>
      </w:r>
      <w:r w:rsidRPr="003429C8">
        <w:rPr>
          <w:rFonts w:cs="Arial" w:hint="cs"/>
          <w:rtl/>
        </w:rPr>
        <w:t>ו</w:t>
      </w:r>
      <w:r w:rsidRPr="003429C8">
        <w:rPr>
          <w:rFonts w:cs="Arial"/>
          <w:rtl/>
        </w:rPr>
        <w:t xml:space="preserve">פלפל </w:t>
      </w:r>
      <w:r w:rsidRPr="003429C8">
        <w:rPr>
          <w:rFonts w:cs="Arial" w:hint="cs"/>
          <w:rtl/>
        </w:rPr>
        <w:t xml:space="preserve">הברית אברהם </w:t>
      </w:r>
      <w:r w:rsidRPr="003429C8">
        <w:rPr>
          <w:rFonts w:cs="Arial"/>
          <w:rtl/>
        </w:rPr>
        <w:t>הרבה בזה ומסיק לדינא דאף בהודאה דרך תשובה לא מהימנא</w:t>
      </w:r>
      <w:r w:rsidRPr="00BB1C78">
        <w:rPr>
          <w:rFonts w:cs="Arial"/>
          <w:rtl/>
        </w:rPr>
        <w:t xml:space="preserve"> דאמרינן דהיא מערמא בכל זה ודלא כתשו' ב"ח הנ"ל</w:t>
      </w:r>
      <w:r>
        <w:rPr>
          <w:rFonts w:hint="cs"/>
          <w:rtl/>
        </w:rPr>
        <w:t>, פת"ש (סקכ"ה).</w:t>
      </w:r>
    </w:p>
  </w:footnote>
  <w:footnote w:id="2876">
    <w:p w14:paraId="6C871AE9" w14:textId="2C3D480C" w:rsidR="00392DBB" w:rsidRPr="00807CDB" w:rsidRDefault="00392DBB" w:rsidP="00392DBB">
      <w:pPr>
        <w:pStyle w:val="a5"/>
        <w:rPr>
          <w:rFonts w:cs="Arial"/>
        </w:rPr>
      </w:pPr>
      <w:r>
        <w:rPr>
          <w:rStyle w:val="a7"/>
        </w:rPr>
        <w:footnoteRef/>
      </w:r>
      <w:r>
        <w:rPr>
          <w:rtl/>
        </w:rPr>
        <w:t xml:space="preserve"> </w:t>
      </w:r>
      <w:r>
        <w:rPr>
          <w:rFonts w:cs="Arial"/>
          <w:rtl/>
        </w:rPr>
        <w:t xml:space="preserve">הנה ברמב"ם </w:t>
      </w:r>
      <w:r w:rsidR="00D745FF">
        <w:rPr>
          <w:rFonts w:cs="Arial" w:hint="cs"/>
          <w:rtl/>
        </w:rPr>
        <w:t>(</w:t>
      </w:r>
      <w:r>
        <w:rPr>
          <w:rFonts w:cs="Arial"/>
          <w:rtl/>
        </w:rPr>
        <w:t>פכ"ד מה' אישות</w:t>
      </w:r>
      <w:r w:rsidR="00D745FF">
        <w:rPr>
          <w:rFonts w:cs="Arial" w:hint="cs"/>
          <w:rtl/>
        </w:rPr>
        <w:t>)</w:t>
      </w:r>
      <w:r>
        <w:rPr>
          <w:rFonts w:cs="Arial"/>
          <w:rtl/>
        </w:rPr>
        <w:t xml:space="preserve"> מבואר כמעט להדיא דגם בדין זה גם באומר שראה אשתו שזינתה אין ב"ד כופין אותו להוציאה אלא דחייב לצאת י"ש וכמו בסעי' הקודם. דשם כתב דין זה בהי"ז</w:t>
      </w:r>
      <w:r w:rsidR="00D745FF">
        <w:rPr>
          <w:rFonts w:cs="Arial" w:hint="cs"/>
          <w:rtl/>
        </w:rPr>
        <w:t>,</w:t>
      </w:r>
      <w:r>
        <w:rPr>
          <w:rFonts w:cs="Arial"/>
          <w:rtl/>
        </w:rPr>
        <w:t xml:space="preserve"> ואח"כ בהי"ח סידר הדין שבש"ע סעי' הקודם</w:t>
      </w:r>
      <w:r w:rsidR="00D745FF">
        <w:rPr>
          <w:rFonts w:cs="Arial" w:hint="cs"/>
          <w:rtl/>
        </w:rPr>
        <w:t>,</w:t>
      </w:r>
      <w:r>
        <w:rPr>
          <w:rFonts w:cs="Arial"/>
          <w:rtl/>
        </w:rPr>
        <w:t xml:space="preserve"> ומסיים</w:t>
      </w:r>
      <w:r w:rsidR="00D745FF">
        <w:rPr>
          <w:rFonts w:cs="Arial" w:hint="cs"/>
          <w:rtl/>
        </w:rPr>
        <w:t>:</w:t>
      </w:r>
      <w:r>
        <w:rPr>
          <w:rFonts w:cs="Arial"/>
          <w:rtl/>
        </w:rPr>
        <w:t xml:space="preserve"> ואין ב"ד כופין את האיש לגרש אשתו בדבר מדברים אלו עד שיבואו ב' עדים. ומשמעותו הפשוט שסובב נמי על הי"ז וכך הבינו מדבריו הרבה תשובות האחרונים. ועיין בתשו' מהר"י הלוי אחי הט"ז </w:t>
      </w:r>
      <w:r>
        <w:rPr>
          <w:rFonts w:cs="Arial" w:hint="cs"/>
          <w:rtl/>
        </w:rPr>
        <w:t>(</w:t>
      </w:r>
      <w:r>
        <w:rPr>
          <w:rFonts w:cs="Arial"/>
          <w:rtl/>
        </w:rPr>
        <w:t>והיא נדפסת בת' ג"ב סי' כו</w:t>
      </w:r>
      <w:r>
        <w:rPr>
          <w:rFonts w:cs="Arial" w:hint="cs"/>
          <w:rtl/>
        </w:rPr>
        <w:t>)</w:t>
      </w:r>
      <w:r>
        <w:rPr>
          <w:rFonts w:cs="Arial"/>
          <w:rtl/>
        </w:rPr>
        <w:t xml:space="preserve"> כתב ג"כ בפשיטות דאין כופין אותו בב"ד להוציא.</w:t>
      </w:r>
      <w:r>
        <w:rPr>
          <w:rFonts w:cs="Arial" w:hint="cs"/>
          <w:rtl/>
        </w:rPr>
        <w:t>..., פת"ש (סקל"ז). ועיין בפת"ש דהביא</w:t>
      </w:r>
      <w:r w:rsidR="00D745FF">
        <w:rPr>
          <w:rFonts w:cs="Arial" w:hint="cs"/>
          <w:rtl/>
        </w:rPr>
        <w:t xml:space="preserve"> עוד</w:t>
      </w:r>
      <w:r>
        <w:rPr>
          <w:rFonts w:cs="Arial" w:hint="cs"/>
          <w:rtl/>
        </w:rPr>
        <w:t xml:space="preserve"> שקלא וטריא בזה.</w:t>
      </w:r>
    </w:p>
  </w:footnote>
  <w:footnote w:id="2877">
    <w:p w14:paraId="16205881" w14:textId="1C7F53EB" w:rsidR="00392DBB" w:rsidRDefault="00392DBB" w:rsidP="00392DBB">
      <w:pPr>
        <w:pStyle w:val="a5"/>
      </w:pPr>
      <w:r>
        <w:rPr>
          <w:rStyle w:val="a7"/>
        </w:rPr>
        <w:footnoteRef/>
      </w:r>
      <w:r>
        <w:rPr>
          <w:rtl/>
        </w:rPr>
        <w:t xml:space="preserve"> </w:t>
      </w:r>
      <w:r>
        <w:rPr>
          <w:rFonts w:cs="Arial"/>
          <w:rtl/>
        </w:rPr>
        <w:t>עיין בס' בית מאיר שכ'</w:t>
      </w:r>
      <w:r w:rsidR="00D745FF">
        <w:rPr>
          <w:rFonts w:cs="Arial" w:hint="cs"/>
          <w:rtl/>
        </w:rPr>
        <w:t>:</w:t>
      </w:r>
      <w:r>
        <w:rPr>
          <w:rFonts w:cs="Arial"/>
          <w:rtl/>
        </w:rPr>
        <w:t xml:space="preserve"> צ"ע אם לא במחלוקת שנוי</w:t>
      </w:r>
      <w:r w:rsidR="00D745FF">
        <w:rPr>
          <w:rFonts w:cs="Arial" w:hint="cs"/>
          <w:rtl/>
        </w:rPr>
        <w:t>,</w:t>
      </w:r>
      <w:r>
        <w:rPr>
          <w:rFonts w:cs="Arial"/>
          <w:rtl/>
        </w:rPr>
        <w:t xml:space="preserve"> כי בטור </w:t>
      </w:r>
      <w:r w:rsidR="00D745FF">
        <w:rPr>
          <w:rFonts w:cs="Arial" w:hint="cs"/>
          <w:rtl/>
        </w:rPr>
        <w:t>(</w:t>
      </w:r>
      <w:r>
        <w:rPr>
          <w:rFonts w:cs="Arial"/>
          <w:rtl/>
        </w:rPr>
        <w:t>ח</w:t>
      </w:r>
      <w:r w:rsidR="00D745FF">
        <w:rPr>
          <w:rFonts w:cs="Arial" w:hint="cs"/>
          <w:rtl/>
        </w:rPr>
        <w:t>ו</w:t>
      </w:r>
      <w:r>
        <w:rPr>
          <w:rFonts w:cs="Arial"/>
          <w:rtl/>
        </w:rPr>
        <w:t>"מ סי' לד</w:t>
      </w:r>
      <w:r w:rsidR="00D745FF">
        <w:rPr>
          <w:rFonts w:cs="Arial" w:hint="cs"/>
          <w:rtl/>
        </w:rPr>
        <w:t>)</w:t>
      </w:r>
      <w:r>
        <w:rPr>
          <w:rFonts w:cs="Arial"/>
          <w:rtl/>
        </w:rPr>
        <w:t xml:space="preserve"> איתא הבא על הערוה פסול לעדות ובסימן צ"ב איתא כו' והאריך בזה ע"ש</w:t>
      </w:r>
      <w:r>
        <w:rPr>
          <w:rFonts w:cs="Arial" w:hint="cs"/>
          <w:rtl/>
        </w:rPr>
        <w:t>, פת"ש (סק"מ).</w:t>
      </w:r>
    </w:p>
  </w:footnote>
  <w:footnote w:id="2878">
    <w:p w14:paraId="71F00A14" w14:textId="1B9AE6D0" w:rsidR="00392DBB" w:rsidRDefault="00392DBB" w:rsidP="00392DBB">
      <w:pPr>
        <w:pStyle w:val="a5"/>
        <w:rPr>
          <w:rtl/>
        </w:rPr>
      </w:pPr>
      <w:r>
        <w:rPr>
          <w:rStyle w:val="a7"/>
        </w:rPr>
        <w:footnoteRef/>
      </w:r>
      <w:r>
        <w:rPr>
          <w:rtl/>
        </w:rPr>
        <w:t xml:space="preserve"> </w:t>
      </w:r>
      <w:r>
        <w:rPr>
          <w:rFonts w:cs="Arial"/>
          <w:rtl/>
        </w:rPr>
        <w:t>עיין בתשו' ר</w:t>
      </w:r>
      <w:r>
        <w:rPr>
          <w:rFonts w:cs="Arial" w:hint="cs"/>
          <w:rtl/>
        </w:rPr>
        <w:t>עק"א</w:t>
      </w:r>
      <w:r>
        <w:rPr>
          <w:rFonts w:cs="Arial"/>
          <w:rtl/>
        </w:rPr>
        <w:t xml:space="preserve"> </w:t>
      </w:r>
      <w:r>
        <w:rPr>
          <w:rFonts w:cs="Arial" w:hint="cs"/>
          <w:rtl/>
        </w:rPr>
        <w:t>(</w:t>
      </w:r>
      <w:r>
        <w:rPr>
          <w:rFonts w:cs="Arial"/>
          <w:rtl/>
        </w:rPr>
        <w:t>סי</w:t>
      </w:r>
      <w:r>
        <w:rPr>
          <w:rFonts w:cs="Arial" w:hint="cs"/>
          <w:rtl/>
        </w:rPr>
        <w:t>'</w:t>
      </w:r>
      <w:r>
        <w:rPr>
          <w:rFonts w:cs="Arial"/>
          <w:rtl/>
        </w:rPr>
        <w:t xml:space="preserve"> ק</w:t>
      </w:r>
      <w:r>
        <w:rPr>
          <w:rFonts w:cs="Arial" w:hint="cs"/>
          <w:rtl/>
        </w:rPr>
        <w:t>)</w:t>
      </w:r>
      <w:r>
        <w:rPr>
          <w:rFonts w:cs="Arial"/>
          <w:rtl/>
        </w:rPr>
        <w:t xml:space="preserve"> בתשובת הגאון בית מאיר שכ' </w:t>
      </w:r>
      <w:r w:rsidR="0061020A">
        <w:rPr>
          <w:rFonts w:cs="Arial"/>
          <w:rtl/>
        </w:rPr>
        <w:t>וז"ל:</w:t>
      </w:r>
      <w:r>
        <w:rPr>
          <w:rFonts w:cs="Arial"/>
          <w:rtl/>
        </w:rPr>
        <w:t xml:space="preserve"> ומה שתפס מר פסק הגהת ש"ע סימן קט"ו בשם מהרי"ק להלכה ברורה דהאמנת עד א' ל"ש רק בנאמן בעיניו כבי תרי</w:t>
      </w:r>
      <w:r>
        <w:rPr>
          <w:rFonts w:cs="Arial" w:hint="cs"/>
          <w:rtl/>
        </w:rPr>
        <w:t>,</w:t>
      </w:r>
      <w:r>
        <w:rPr>
          <w:rFonts w:cs="Arial"/>
          <w:rtl/>
        </w:rPr>
        <w:t xml:space="preserve"> לענ"ד בהרשב"א </w:t>
      </w:r>
      <w:r w:rsidR="00703124">
        <w:rPr>
          <w:rFonts w:cs="Arial" w:hint="cs"/>
          <w:rtl/>
        </w:rPr>
        <w:t>(</w:t>
      </w:r>
      <w:r>
        <w:rPr>
          <w:rFonts w:cs="Arial"/>
          <w:rtl/>
        </w:rPr>
        <w:t>סי</w:t>
      </w:r>
      <w:r w:rsidR="00703124">
        <w:rPr>
          <w:rFonts w:cs="Arial" w:hint="cs"/>
          <w:rtl/>
        </w:rPr>
        <w:t>'</w:t>
      </w:r>
      <w:r>
        <w:rPr>
          <w:rFonts w:cs="Arial"/>
          <w:rtl/>
        </w:rPr>
        <w:t xml:space="preserve"> אלף רלז</w:t>
      </w:r>
      <w:r w:rsidR="00703124">
        <w:rPr>
          <w:rFonts w:cs="Arial" w:hint="cs"/>
          <w:rtl/>
        </w:rPr>
        <w:t>)</w:t>
      </w:r>
      <w:r>
        <w:rPr>
          <w:rFonts w:cs="Arial"/>
          <w:rtl/>
        </w:rPr>
        <w:t xml:space="preserve"> לא משמע כן כו'</w:t>
      </w:r>
      <w:r>
        <w:rPr>
          <w:rFonts w:cs="Arial" w:hint="cs"/>
          <w:rtl/>
        </w:rPr>
        <w:t>,</w:t>
      </w:r>
      <w:r>
        <w:rPr>
          <w:rFonts w:cs="Arial"/>
          <w:rtl/>
        </w:rPr>
        <w:t xml:space="preserve"> וכן האמת לענ"ד אילו באנו לדון ענין האמנה זו מענין קים לי בגווה דבת ר"ח לא הי</w:t>
      </w:r>
      <w:r w:rsidR="00220318">
        <w:rPr>
          <w:rFonts w:cs="Arial" w:hint="cs"/>
          <w:rtl/>
        </w:rPr>
        <w:t>ה</w:t>
      </w:r>
      <w:r>
        <w:rPr>
          <w:rFonts w:cs="Arial"/>
          <w:rtl/>
        </w:rPr>
        <w:t xml:space="preserve"> שייך כלל בזה"ז לדון בו כו'</w:t>
      </w:r>
      <w:r>
        <w:rPr>
          <w:rFonts w:cs="Arial" w:hint="cs"/>
          <w:rtl/>
        </w:rPr>
        <w:t>...</w:t>
      </w:r>
      <w:r>
        <w:rPr>
          <w:rFonts w:cs="Arial"/>
          <w:rtl/>
        </w:rPr>
        <w:t xml:space="preserve"> ובסימן ק"א שם השיב לו הגאון רעק</w:t>
      </w:r>
      <w:r>
        <w:rPr>
          <w:rFonts w:cs="Arial" w:hint="cs"/>
          <w:rtl/>
        </w:rPr>
        <w:t>"א</w:t>
      </w:r>
      <w:r>
        <w:rPr>
          <w:rFonts w:cs="Arial"/>
          <w:rtl/>
        </w:rPr>
        <w:t xml:space="preserve"> ז"ל דמדברי הרשב"א הנ"ל אין ראיה</w:t>
      </w:r>
      <w:r w:rsidR="00220318">
        <w:rPr>
          <w:rFonts w:cs="Arial" w:hint="cs"/>
          <w:rtl/>
        </w:rPr>
        <w:t>,</w:t>
      </w:r>
      <w:r>
        <w:rPr>
          <w:rFonts w:cs="Arial"/>
          <w:rtl/>
        </w:rPr>
        <w:t xml:space="preserve"> ואדרבה במיוחסות </w:t>
      </w:r>
      <w:r w:rsidR="00220318">
        <w:rPr>
          <w:rFonts w:cs="Arial" w:hint="cs"/>
          <w:rtl/>
        </w:rPr>
        <w:t>(</w:t>
      </w:r>
      <w:r>
        <w:rPr>
          <w:rFonts w:cs="Arial"/>
          <w:rtl/>
        </w:rPr>
        <w:t>סי</w:t>
      </w:r>
      <w:r w:rsidR="00220318">
        <w:rPr>
          <w:rFonts w:cs="Arial" w:hint="cs"/>
          <w:rtl/>
        </w:rPr>
        <w:t>'</w:t>
      </w:r>
      <w:r>
        <w:rPr>
          <w:rFonts w:cs="Arial"/>
          <w:rtl/>
        </w:rPr>
        <w:t xml:space="preserve"> קלג</w:t>
      </w:r>
      <w:r w:rsidR="00220318">
        <w:rPr>
          <w:rFonts w:cs="Arial" w:hint="cs"/>
          <w:rtl/>
        </w:rPr>
        <w:t>)</w:t>
      </w:r>
      <w:r>
        <w:rPr>
          <w:rFonts w:cs="Arial"/>
          <w:rtl/>
        </w:rPr>
        <w:t xml:space="preserve"> כ' כן דבעי מהימן לכל מילי</w:t>
      </w:r>
      <w:r w:rsidR="00220318">
        <w:rPr>
          <w:rFonts w:cs="Arial" w:hint="cs"/>
          <w:rtl/>
        </w:rPr>
        <w:t>,</w:t>
      </w:r>
      <w:r>
        <w:rPr>
          <w:rFonts w:cs="Arial"/>
          <w:rtl/>
        </w:rPr>
        <w:t xml:space="preserve"> אולם לדינא גם לדעתי ראוי להחמיר אף במאמינו רק בדבר הזה כי המעיין ברשב"א שם יראה דלא סמך כ"כ על ההיתר זה ולא כ' כן רק לסניף ע"ש. וכבר כתב כן גם בסימן פ"ח ע"ש היטב וע"ל סקל"ח</w:t>
      </w:r>
      <w:r>
        <w:rPr>
          <w:rFonts w:hint="cs"/>
          <w:rtl/>
        </w:rPr>
        <w:t>, פת"ש (סקמ"ב).</w:t>
      </w:r>
    </w:p>
  </w:footnote>
  <w:footnote w:id="2879">
    <w:p w14:paraId="20BF8A78" w14:textId="77777777" w:rsidR="00392DBB" w:rsidRDefault="00392DBB" w:rsidP="00392DBB">
      <w:pPr>
        <w:pStyle w:val="a5"/>
      </w:pPr>
      <w:r>
        <w:rPr>
          <w:rStyle w:val="a7"/>
        </w:rPr>
        <w:footnoteRef/>
      </w:r>
      <w:r>
        <w:rPr>
          <w:rtl/>
        </w:rPr>
        <w:t xml:space="preserve"> </w:t>
      </w:r>
      <w:r>
        <w:rPr>
          <w:rFonts w:cs="Arial"/>
          <w:rtl/>
        </w:rPr>
        <w:t>כלומר אבל נדוניא לא הפסידה דהוי כמו חוב בעלמא</w:t>
      </w:r>
      <w:r>
        <w:rPr>
          <w:rFonts w:cs="Arial" w:hint="cs"/>
          <w:rtl/>
        </w:rPr>
        <w:t>,</w:t>
      </w:r>
      <w:r>
        <w:rPr>
          <w:rFonts w:cs="Arial"/>
          <w:rtl/>
        </w:rPr>
        <w:t xml:space="preserve"> וכ"כ הרא"ש כלל ל"ב סימן י"א</w:t>
      </w:r>
      <w:r>
        <w:rPr>
          <w:rFonts w:cs="Arial" w:hint="cs"/>
          <w:rtl/>
        </w:rPr>
        <w:t>, ב"י.</w:t>
      </w:r>
    </w:p>
  </w:footnote>
  <w:footnote w:id="2880">
    <w:p w14:paraId="6F2FD1F7" w14:textId="77777777" w:rsidR="00392DBB" w:rsidRDefault="00392DBB" w:rsidP="00392DBB">
      <w:pPr>
        <w:pStyle w:val="a5"/>
        <w:rPr>
          <w:rtl/>
        </w:rPr>
      </w:pPr>
      <w:r>
        <w:rPr>
          <w:rStyle w:val="a7"/>
        </w:rPr>
        <w:footnoteRef/>
      </w:r>
      <w:r w:rsidRPr="00F32213">
        <w:rPr>
          <w:rFonts w:cs="Arial"/>
          <w:rtl/>
        </w:rPr>
        <w:t xml:space="preserve"> </w:t>
      </w:r>
      <w:r w:rsidRPr="0040788E">
        <w:rPr>
          <w:rFonts w:cs="Arial"/>
          <w:rtl/>
        </w:rPr>
        <w:t>ודווקא שאמר לה בלשון זה: אל תסתרי עם פלוני הגוי, אז הוי קינוי לאוסרה בסתירה, אבל אי לא אמר לה בלשון הזה, אלא אמר לה: אל תדברי עם פלוני, או: לא יהא לך עסק עם פלוני, לא הוי קינוי, כדאיתא במתני' פ"ק דסוטה, דאל תדברי עם פלוני לא הוי קינוי</w:t>
      </w:r>
      <w:r>
        <w:rPr>
          <w:rFonts w:cs="Arial" w:hint="cs"/>
          <w:rtl/>
        </w:rPr>
        <w:t>,</w:t>
      </w:r>
      <w:r w:rsidRPr="0040788E">
        <w:rPr>
          <w:rFonts w:cs="Arial"/>
          <w:rtl/>
        </w:rPr>
        <w:t xml:space="preserve"> </w:t>
      </w:r>
      <w:r w:rsidRPr="0055178C">
        <w:rPr>
          <w:rFonts w:cs="Arial"/>
          <w:b/>
          <w:bCs/>
          <w:rtl/>
        </w:rPr>
        <w:t>מהרי"ו</w:t>
      </w:r>
      <w:r w:rsidRPr="00F32213">
        <w:rPr>
          <w:rFonts w:cs="Arial"/>
          <w:rtl/>
        </w:rPr>
        <w:t xml:space="preserve"> </w:t>
      </w:r>
      <w:r>
        <w:rPr>
          <w:rFonts w:cs="Arial" w:hint="cs"/>
          <w:rtl/>
        </w:rPr>
        <w:t>(</w:t>
      </w:r>
      <w:r w:rsidRPr="00F32213">
        <w:rPr>
          <w:rFonts w:cs="Arial"/>
          <w:rtl/>
        </w:rPr>
        <w:t>סי</w:t>
      </w:r>
      <w:r>
        <w:rPr>
          <w:rFonts w:cs="Arial" w:hint="cs"/>
          <w:rtl/>
        </w:rPr>
        <w:t>'</w:t>
      </w:r>
      <w:r w:rsidRPr="00F32213">
        <w:rPr>
          <w:rFonts w:cs="Arial"/>
          <w:rtl/>
        </w:rPr>
        <w:t xml:space="preserve"> ח</w:t>
      </w:r>
      <w:r>
        <w:rPr>
          <w:rFonts w:cs="Arial" w:hint="cs"/>
          <w:rtl/>
        </w:rPr>
        <w:t>).</w:t>
      </w:r>
      <w:r w:rsidRPr="00F32213">
        <w:rPr>
          <w:rFonts w:cs="Arial"/>
          <w:rtl/>
        </w:rPr>
        <w:t xml:space="preserve"> וע"ל סימן קע"ח (עמ' תלט) איזה לשון הוי קינוי</w:t>
      </w:r>
      <w:r>
        <w:rPr>
          <w:rFonts w:cs="Arial" w:hint="cs"/>
          <w:rtl/>
        </w:rPr>
        <w:t xml:space="preserve">, </w:t>
      </w:r>
      <w:r w:rsidRPr="0055178C">
        <w:rPr>
          <w:rFonts w:cs="Arial" w:hint="cs"/>
          <w:b/>
          <w:bCs/>
          <w:rtl/>
        </w:rPr>
        <w:t>דרכ"מ</w:t>
      </w:r>
      <w:r>
        <w:rPr>
          <w:rFonts w:cs="Arial" w:hint="cs"/>
          <w:rtl/>
        </w:rPr>
        <w:t xml:space="preserve"> (אות יט). </w:t>
      </w:r>
      <w:r w:rsidRPr="007D286B">
        <w:rPr>
          <w:rFonts w:cs="Arial" w:hint="cs"/>
          <w:color w:val="00B0F0"/>
          <w:rtl/>
        </w:rPr>
        <w:t>(וכ"פ בהג"ה)</w:t>
      </w:r>
    </w:p>
  </w:footnote>
  <w:footnote w:id="2881">
    <w:p w14:paraId="1896EFA9" w14:textId="77777777" w:rsidR="00392DBB" w:rsidRPr="00550EF5" w:rsidRDefault="00392DBB" w:rsidP="00392DBB">
      <w:pPr>
        <w:pStyle w:val="a5"/>
        <w:rPr>
          <w:rtl/>
        </w:rPr>
      </w:pPr>
      <w:r>
        <w:rPr>
          <w:rStyle w:val="a7"/>
        </w:rPr>
        <w:footnoteRef/>
      </w:r>
      <w:r>
        <w:rPr>
          <w:rtl/>
        </w:rPr>
        <w:t xml:space="preserve"> </w:t>
      </w:r>
      <w:r>
        <w:rPr>
          <w:rFonts w:cs="Arial"/>
          <w:rtl/>
        </w:rPr>
        <w:t>חולצת ולא מתייבמת</w:t>
      </w:r>
      <w:r>
        <w:rPr>
          <w:rFonts w:hint="cs"/>
          <w:rtl/>
        </w:rPr>
        <w:t xml:space="preserve">, ב"י </w:t>
      </w:r>
      <w:r w:rsidRPr="00550EF5">
        <w:rPr>
          <w:rFonts w:hint="cs"/>
          <w:sz w:val="16"/>
          <w:szCs w:val="16"/>
          <w:rtl/>
        </w:rPr>
        <w:t>(</w:t>
      </w:r>
      <w:r>
        <w:rPr>
          <w:rFonts w:hint="cs"/>
          <w:sz w:val="16"/>
          <w:szCs w:val="16"/>
          <w:rtl/>
        </w:rPr>
        <w:t>ב</w:t>
      </w:r>
      <w:r w:rsidRPr="00550EF5">
        <w:rPr>
          <w:rFonts w:hint="cs"/>
          <w:sz w:val="16"/>
          <w:szCs w:val="16"/>
          <w:rtl/>
        </w:rPr>
        <w:t>ב"י כת</w:t>
      </w:r>
      <w:r>
        <w:rPr>
          <w:rFonts w:hint="cs"/>
          <w:sz w:val="16"/>
          <w:szCs w:val="16"/>
          <w:rtl/>
        </w:rPr>
        <w:t>ו</w:t>
      </w:r>
      <w:r w:rsidRPr="00550EF5">
        <w:rPr>
          <w:rFonts w:hint="cs"/>
          <w:sz w:val="16"/>
          <w:szCs w:val="16"/>
          <w:rtl/>
        </w:rPr>
        <w:t>ב כן כ</w:t>
      </w:r>
      <w:r>
        <w:rPr>
          <w:rFonts w:hint="cs"/>
          <w:sz w:val="16"/>
          <w:szCs w:val="16"/>
          <w:rtl/>
        </w:rPr>
        <w:t xml:space="preserve">חלק מד"ה מלשון </w:t>
      </w:r>
      <w:r w:rsidRPr="00550EF5">
        <w:rPr>
          <w:rFonts w:hint="cs"/>
          <w:sz w:val="16"/>
          <w:szCs w:val="16"/>
          <w:rtl/>
        </w:rPr>
        <w:t>הטור</w:t>
      </w:r>
      <w:r>
        <w:rPr>
          <w:rFonts w:hint="cs"/>
          <w:sz w:val="16"/>
          <w:szCs w:val="16"/>
          <w:rtl/>
        </w:rPr>
        <w:t>.</w:t>
      </w:r>
      <w:r w:rsidRPr="00550EF5">
        <w:rPr>
          <w:rFonts w:hint="cs"/>
          <w:sz w:val="16"/>
          <w:szCs w:val="16"/>
          <w:rtl/>
        </w:rPr>
        <w:t xml:space="preserve"> ולא נ"ל שהיתה כן הגירסא בטור שלפני</w:t>
      </w:r>
      <w:r>
        <w:rPr>
          <w:rFonts w:hint="cs"/>
          <w:sz w:val="16"/>
          <w:szCs w:val="16"/>
          <w:rtl/>
        </w:rPr>
        <w:t xml:space="preserve"> הב"י</w:t>
      </w:r>
      <w:r w:rsidRPr="00550EF5">
        <w:rPr>
          <w:rFonts w:hint="cs"/>
          <w:sz w:val="16"/>
          <w:szCs w:val="16"/>
          <w:rtl/>
        </w:rPr>
        <w:t>, ש</w:t>
      </w:r>
      <w:r>
        <w:rPr>
          <w:rFonts w:hint="cs"/>
          <w:sz w:val="16"/>
          <w:szCs w:val="16"/>
          <w:rtl/>
        </w:rPr>
        <w:t xml:space="preserve">א"כ יוצא שיש כפילות לא מוסברת בלשון הטור, שכתוב כך- </w:t>
      </w:r>
      <w:r w:rsidRPr="00550EF5">
        <w:rPr>
          <w:rFonts w:hint="cs"/>
          <w:sz w:val="16"/>
          <w:szCs w:val="16"/>
          <w:rtl/>
        </w:rPr>
        <w:t xml:space="preserve">'ואם מת </w:t>
      </w:r>
      <w:r w:rsidRPr="00550EF5">
        <w:rPr>
          <w:rFonts w:cs="Arial"/>
          <w:sz w:val="16"/>
          <w:szCs w:val="16"/>
          <w:rtl/>
        </w:rPr>
        <w:t>חולצת ולא מתייבמת</w:t>
      </w:r>
      <w:r w:rsidRPr="00550EF5">
        <w:rPr>
          <w:rFonts w:cs="Arial" w:hint="cs"/>
          <w:sz w:val="16"/>
          <w:szCs w:val="16"/>
          <w:rtl/>
        </w:rPr>
        <w:t>', ופעם שניה 'ואם מת קודם שישקנה'</w:t>
      </w:r>
      <w:r>
        <w:rPr>
          <w:rFonts w:cs="Arial" w:hint="cs"/>
          <w:sz w:val="16"/>
          <w:szCs w:val="16"/>
          <w:rtl/>
        </w:rPr>
        <w:t>. אלא צריך לומר שזו תוספת של הב"י על דברי הטור ע"פ המשנה, ובטעות נכנסה ההוספה באותיות המודגשות של ד"ה של טור</w:t>
      </w:r>
      <w:r w:rsidRPr="00550EF5">
        <w:rPr>
          <w:rFonts w:cs="Arial" w:hint="cs"/>
          <w:sz w:val="16"/>
          <w:szCs w:val="16"/>
          <w:rtl/>
        </w:rPr>
        <w:t>)</w:t>
      </w:r>
      <w:r>
        <w:rPr>
          <w:rFonts w:hint="cs"/>
          <w:rtl/>
        </w:rPr>
        <w:t>.</w:t>
      </w:r>
    </w:p>
  </w:footnote>
  <w:footnote w:id="2882">
    <w:p w14:paraId="7174F4D7" w14:textId="77777777" w:rsidR="00392DBB" w:rsidRDefault="00392DBB" w:rsidP="00392DBB">
      <w:pPr>
        <w:pStyle w:val="a5"/>
        <w:rPr>
          <w:rtl/>
        </w:rPr>
      </w:pPr>
      <w:r>
        <w:rPr>
          <w:rStyle w:val="a7"/>
        </w:rPr>
        <w:footnoteRef/>
      </w:r>
      <w:r>
        <w:rPr>
          <w:rtl/>
        </w:rPr>
        <w:t xml:space="preserve"> </w:t>
      </w:r>
      <w:r>
        <w:rPr>
          <w:rFonts w:cs="Arial"/>
          <w:rtl/>
        </w:rPr>
        <w:t>היינו משום דלא תימא כיון שהוא גרם לה שקינא לה לא היה להפסיד כתובה</w:t>
      </w:r>
      <w:r>
        <w:rPr>
          <w:rFonts w:cs="Arial" w:hint="cs"/>
          <w:rtl/>
        </w:rPr>
        <w:t>,</w:t>
      </w:r>
      <w:r>
        <w:rPr>
          <w:rFonts w:cs="Arial"/>
          <w:rtl/>
        </w:rPr>
        <w:t xml:space="preserve"> לכך אמר לא כי אלא מעשיה הרעים גרמו לה שנסתרה</w:t>
      </w:r>
      <w:r>
        <w:rPr>
          <w:rFonts w:hint="cs"/>
          <w:rtl/>
        </w:rPr>
        <w:t>, ב"י.</w:t>
      </w:r>
    </w:p>
  </w:footnote>
  <w:footnote w:id="2883">
    <w:p w14:paraId="2EE1E321" w14:textId="77777777" w:rsidR="00392DBB" w:rsidRDefault="00392DBB" w:rsidP="00392DBB">
      <w:pPr>
        <w:pStyle w:val="a5"/>
      </w:pPr>
      <w:r>
        <w:rPr>
          <w:rStyle w:val="a7"/>
        </w:rPr>
        <w:footnoteRef/>
      </w:r>
      <w:r>
        <w:rPr>
          <w:rtl/>
        </w:rPr>
        <w:t xml:space="preserve"> </w:t>
      </w:r>
      <w:r w:rsidRPr="00E71CDE">
        <w:rPr>
          <w:rFonts w:cs="Arial"/>
          <w:rtl/>
        </w:rPr>
        <w:t>כיון דהיא גרמה לאסור עליו ומשמע אפילו הנדוניא ונ"מ הפסידה כל דבר שאינו בעין כמ"ש בסעיף ה'. גם כתבתי לעיל דהיא עוברת ע"ד כשנתיחדה עם א' דיחוד מן התורה אסור א"כ אפילו אם לא זנתה מ"מ היא עוברת ע"ד</w:t>
      </w:r>
      <w:r>
        <w:rPr>
          <w:rFonts w:cs="Arial" w:hint="cs"/>
          <w:rtl/>
        </w:rPr>
        <w:t>.</w:t>
      </w:r>
      <w:r w:rsidRPr="00E71CDE">
        <w:rPr>
          <w:rFonts w:cs="Arial"/>
          <w:rtl/>
        </w:rPr>
        <w:t xml:space="preserve"> ועיין ב"י שכתב אבל נדוניא לא הפסידה דהוי כמו חוב בעלמא</w:t>
      </w:r>
      <w:r>
        <w:rPr>
          <w:rFonts w:cs="Arial" w:hint="cs"/>
          <w:rtl/>
        </w:rPr>
        <w:t>.</w:t>
      </w:r>
      <w:r w:rsidRPr="00E71CDE">
        <w:rPr>
          <w:rFonts w:cs="Arial"/>
          <w:rtl/>
        </w:rPr>
        <w:t xml:space="preserve"> משמע אפי' אינו בעין קאמר דלא הפסיד'</w:t>
      </w:r>
      <w:r>
        <w:rPr>
          <w:rFonts w:cs="Arial" w:hint="cs"/>
          <w:rtl/>
        </w:rPr>
        <w:t>,</w:t>
      </w:r>
      <w:r w:rsidRPr="00E71CDE">
        <w:rPr>
          <w:rFonts w:cs="Arial"/>
          <w:rtl/>
        </w:rPr>
        <w:t xml:space="preserve"> וליתא כי כל דבר שאינו בעין הפסידה</w:t>
      </w:r>
      <w:r>
        <w:rPr>
          <w:rFonts w:cs="Arial" w:hint="cs"/>
          <w:rtl/>
        </w:rPr>
        <w:t xml:space="preserve">, ב"ש </w:t>
      </w:r>
      <w:r w:rsidRPr="00E71CDE">
        <w:rPr>
          <w:rFonts w:cs="Arial" w:hint="cs"/>
          <w:sz w:val="16"/>
          <w:szCs w:val="16"/>
          <w:rtl/>
        </w:rPr>
        <w:t>(סקל"ד)</w:t>
      </w:r>
      <w:r>
        <w:rPr>
          <w:rFonts w:cs="Arial" w:hint="cs"/>
          <w:rtl/>
        </w:rPr>
        <w:t>.</w:t>
      </w:r>
    </w:p>
  </w:footnote>
  <w:footnote w:id="2884">
    <w:p w14:paraId="6CE9A751" w14:textId="065A982E" w:rsidR="00F94742" w:rsidRDefault="00F94742" w:rsidP="00F94742">
      <w:pPr>
        <w:pStyle w:val="a5"/>
        <w:rPr>
          <w:rtl/>
        </w:rPr>
      </w:pPr>
      <w:r>
        <w:rPr>
          <w:rStyle w:val="a7"/>
        </w:rPr>
        <w:footnoteRef/>
      </w:r>
      <w:r>
        <w:rPr>
          <w:rtl/>
        </w:rPr>
        <w:t xml:space="preserve"> </w:t>
      </w:r>
      <w:r>
        <w:rPr>
          <w:rFonts w:cs="Arial" w:hint="cs"/>
          <w:rtl/>
        </w:rPr>
        <w:t>דווקא שראה אותה הוא בעצמו, אבל אם עד אחד ראה אותה - אינו חייב להוציאה וכמו שיתבאר בסעיף הבא מדברי הרא"ש והטור.</w:t>
      </w:r>
    </w:p>
  </w:footnote>
  <w:footnote w:id="2885">
    <w:p w14:paraId="2AD328C1" w14:textId="77777777" w:rsidR="00392DBB" w:rsidRDefault="00392DBB" w:rsidP="00392DBB">
      <w:pPr>
        <w:pStyle w:val="a5"/>
        <w:rPr>
          <w:rtl/>
        </w:rPr>
      </w:pPr>
      <w:r>
        <w:rPr>
          <w:rStyle w:val="a7"/>
        </w:rPr>
        <w:footnoteRef/>
      </w:r>
      <w:r>
        <w:rPr>
          <w:rtl/>
        </w:rPr>
        <w:t xml:space="preserve"> </w:t>
      </w:r>
      <w:r w:rsidRPr="00E069A0">
        <w:rPr>
          <w:rFonts w:cs="Arial"/>
          <w:rtl/>
        </w:rPr>
        <w:t>הכל פשוט על פי מה שנתבאר דכל שראה אותה שזנתה יוציא</w:t>
      </w:r>
      <w:r>
        <w:rPr>
          <w:rFonts w:cs="Arial" w:hint="cs"/>
          <w:rtl/>
        </w:rPr>
        <w:t>,</w:t>
      </w:r>
      <w:r w:rsidRPr="00E069A0">
        <w:rPr>
          <w:rFonts w:cs="Arial"/>
          <w:rtl/>
        </w:rPr>
        <w:t xml:space="preserve"> ויתן כתובה אחר שישביעוה</w:t>
      </w:r>
      <w:r>
        <w:rPr>
          <w:rFonts w:cs="Arial" w:hint="cs"/>
          <w:rtl/>
        </w:rPr>
        <w:t>.</w:t>
      </w:r>
      <w:r w:rsidRPr="00E069A0">
        <w:rPr>
          <w:rFonts w:cs="Arial"/>
          <w:rtl/>
        </w:rPr>
        <w:t xml:space="preserve"> ואם הודית תצא בלא כתובה</w:t>
      </w:r>
      <w:r>
        <w:rPr>
          <w:rFonts w:cs="Arial" w:hint="cs"/>
          <w:rtl/>
        </w:rPr>
        <w:t>.</w:t>
      </w:r>
      <w:r w:rsidRPr="00E069A0">
        <w:rPr>
          <w:rFonts w:cs="Arial"/>
          <w:rtl/>
        </w:rPr>
        <w:t xml:space="preserve"> וכל שנסתרה אחר קינוי ושהתה כדי טומאה </w:t>
      </w:r>
      <w:r>
        <w:rPr>
          <w:rFonts w:cs="Arial" w:hint="cs"/>
          <w:rtl/>
        </w:rPr>
        <w:t xml:space="preserve">- </w:t>
      </w:r>
      <w:r w:rsidRPr="00E069A0">
        <w:rPr>
          <w:rFonts w:cs="Arial"/>
          <w:rtl/>
        </w:rPr>
        <w:t>חשיב כזינתה</w:t>
      </w:r>
      <w:r>
        <w:rPr>
          <w:rFonts w:cs="Arial" w:hint="cs"/>
          <w:rtl/>
        </w:rPr>
        <w:t xml:space="preserve">, </w:t>
      </w:r>
      <w:r w:rsidRPr="00F94742">
        <w:rPr>
          <w:rFonts w:cs="Arial" w:hint="cs"/>
          <w:b/>
          <w:bCs/>
          <w:rtl/>
        </w:rPr>
        <w:t>ב"י</w:t>
      </w:r>
      <w:r>
        <w:rPr>
          <w:rFonts w:cs="Arial" w:hint="cs"/>
          <w:rtl/>
        </w:rPr>
        <w:t xml:space="preserve">. </w:t>
      </w:r>
      <w:r w:rsidRPr="00E069A0">
        <w:rPr>
          <w:rFonts w:cs="Arial"/>
          <w:rtl/>
        </w:rPr>
        <w:t xml:space="preserve">וכ"כ מהרי"ו </w:t>
      </w:r>
      <w:r>
        <w:rPr>
          <w:rFonts w:cs="Arial" w:hint="cs"/>
          <w:rtl/>
        </w:rPr>
        <w:t>(</w:t>
      </w:r>
      <w:r w:rsidRPr="00E069A0">
        <w:rPr>
          <w:rFonts w:cs="Arial"/>
          <w:rtl/>
        </w:rPr>
        <w:t>סי</w:t>
      </w:r>
      <w:r>
        <w:rPr>
          <w:rFonts w:cs="Arial" w:hint="cs"/>
          <w:rtl/>
        </w:rPr>
        <w:t>'</w:t>
      </w:r>
      <w:r w:rsidRPr="00E069A0">
        <w:rPr>
          <w:rFonts w:cs="Arial"/>
          <w:rtl/>
        </w:rPr>
        <w:t xml:space="preserve"> ח</w:t>
      </w:r>
      <w:r>
        <w:rPr>
          <w:rFonts w:cs="Arial" w:hint="cs"/>
          <w:rtl/>
        </w:rPr>
        <w:t>).</w:t>
      </w:r>
      <w:r w:rsidRPr="00E069A0">
        <w:rPr>
          <w:rFonts w:cs="Arial"/>
          <w:rtl/>
        </w:rPr>
        <w:t xml:space="preserve"> וכתב </w:t>
      </w:r>
      <w:r>
        <w:rPr>
          <w:rFonts w:cs="Arial" w:hint="cs"/>
          <w:rtl/>
        </w:rPr>
        <w:t xml:space="preserve">עוד </w:t>
      </w:r>
      <w:r w:rsidRPr="00E069A0">
        <w:rPr>
          <w:rFonts w:cs="Arial"/>
          <w:rtl/>
        </w:rPr>
        <w:t>דאם אחד מעיד על הסתירה הוי דינו כאילו מעיד על הזנות וכן משמע מדברי הרמב"ם פ"א מהלכות סוטה (ה"ט) ויתבאר לקמן סימן קע"ח,</w:t>
      </w:r>
      <w:r>
        <w:rPr>
          <w:rFonts w:cs="Arial" w:hint="cs"/>
          <w:rtl/>
        </w:rPr>
        <w:t xml:space="preserve"> </w:t>
      </w:r>
      <w:r w:rsidRPr="00F94742">
        <w:rPr>
          <w:rFonts w:cs="Arial" w:hint="cs"/>
          <w:b/>
          <w:bCs/>
          <w:rtl/>
        </w:rPr>
        <w:t>דרכ"מ</w:t>
      </w:r>
      <w:r>
        <w:rPr>
          <w:rFonts w:cs="Arial" w:hint="cs"/>
          <w:rtl/>
        </w:rPr>
        <w:t xml:space="preserve"> (אות כ).</w:t>
      </w:r>
    </w:p>
  </w:footnote>
  <w:footnote w:id="2886">
    <w:p w14:paraId="01CF3DB2" w14:textId="77777777" w:rsidR="00392DBB" w:rsidRDefault="00392DBB" w:rsidP="00392DBB">
      <w:pPr>
        <w:pStyle w:val="a5"/>
      </w:pPr>
      <w:r>
        <w:rPr>
          <w:rStyle w:val="a7"/>
        </w:rPr>
        <w:footnoteRef/>
      </w:r>
      <w:r>
        <w:rPr>
          <w:rtl/>
        </w:rPr>
        <w:t xml:space="preserve"> </w:t>
      </w:r>
      <w:r w:rsidRPr="0040788E">
        <w:rPr>
          <w:rFonts w:cs="Arial"/>
          <w:rtl/>
        </w:rPr>
        <w:t>הרמב"ם כ' אסורה עליו בזמן הזה שאין שם מי סוטה כלו' דאלו בזמן הבית אף שאין משקין אא"כ קינא בפני שנים ונסתרה בפני שנים מ"מ בזמן הבית הי' אפשר לה לעשות תקנה שיקנה לה שנית בפני שנים והיא תסתיר עצמה בפני עדי' ויגלגל עליה גם סתירה ראשונה ותשתרי מי המרים ותהי' טהורה לבעלה אבל בזמן הזה אין לה תקנה אף שאין עדים בסתירה ראיה שלו כמא' עדים דמי לענין לאוסרה עליו וכן אם היא תודה בסתירה הודאתה כמאה עדים לענין הפסד כתובתה</w:t>
      </w:r>
      <w:r>
        <w:rPr>
          <w:rFonts w:cs="Arial" w:hint="cs"/>
          <w:rtl/>
        </w:rPr>
        <w:t>, ח"מ (סקל"ד).</w:t>
      </w:r>
    </w:p>
  </w:footnote>
  <w:footnote w:id="2887">
    <w:p w14:paraId="067E9761" w14:textId="77777777" w:rsidR="00392DBB" w:rsidRDefault="00392DBB" w:rsidP="00392DBB">
      <w:pPr>
        <w:pStyle w:val="a5"/>
      </w:pPr>
      <w:r>
        <w:rPr>
          <w:rStyle w:val="a7"/>
        </w:rPr>
        <w:footnoteRef/>
      </w:r>
      <w:r>
        <w:rPr>
          <w:rtl/>
        </w:rPr>
        <w:t xml:space="preserve"> </w:t>
      </w:r>
      <w:r w:rsidRPr="00CD59F2">
        <w:rPr>
          <w:rFonts w:cs="Arial"/>
          <w:rtl/>
        </w:rPr>
        <w:t xml:space="preserve">מ"מ אין ב"ד כופין על זה </w:t>
      </w:r>
      <w:r w:rsidRPr="00CD59F2">
        <w:rPr>
          <w:rFonts w:cs="Arial" w:hint="cs"/>
          <w:sz w:val="16"/>
          <w:szCs w:val="16"/>
          <w:rtl/>
        </w:rPr>
        <w:t>(</w:t>
      </w:r>
      <w:r w:rsidRPr="00CD59F2">
        <w:rPr>
          <w:rFonts w:cs="Arial"/>
          <w:sz w:val="16"/>
          <w:szCs w:val="16"/>
          <w:rtl/>
        </w:rPr>
        <w:t>אפי' לדברי הב"ש ר"ס י"א שחולק על רי"ו וסובר דבקנוי וסתירה כופין לגרשה מ"מ היינו בקינוי עפ"י שנים אבל ע"פ עצמו אין כופין</w:t>
      </w:r>
      <w:r>
        <w:rPr>
          <w:rFonts w:cs="Arial" w:hint="cs"/>
          <w:sz w:val="16"/>
          <w:szCs w:val="16"/>
          <w:rtl/>
        </w:rPr>
        <w:t>)</w:t>
      </w:r>
      <w:r>
        <w:rPr>
          <w:rFonts w:cs="Arial" w:hint="cs"/>
          <w:rtl/>
        </w:rPr>
        <w:t>..., פת"ש (סי' קעח סקט"ו).</w:t>
      </w:r>
    </w:p>
  </w:footnote>
  <w:footnote w:id="2888">
    <w:p w14:paraId="4182232E" w14:textId="77777777" w:rsidR="00392DBB" w:rsidRDefault="00392DBB" w:rsidP="00392DBB">
      <w:pPr>
        <w:pStyle w:val="a5"/>
        <w:rPr>
          <w:rtl/>
        </w:rPr>
      </w:pPr>
      <w:r>
        <w:rPr>
          <w:rStyle w:val="a7"/>
        </w:rPr>
        <w:footnoteRef/>
      </w:r>
      <w:r>
        <w:rPr>
          <w:rtl/>
        </w:rPr>
        <w:t xml:space="preserve"> </w:t>
      </w:r>
      <w:r w:rsidRPr="00566854">
        <w:rPr>
          <w:rFonts w:cs="Arial"/>
          <w:rtl/>
        </w:rPr>
        <w:t>כבר כתבתי בס"ק ל' שהמ"מ מגמג' בשבועות אלו ואין זה דומה לטענת פרעון שיכול להשביע' קודם שתטול</w:t>
      </w:r>
      <w:r>
        <w:rPr>
          <w:rFonts w:hint="cs"/>
          <w:rtl/>
        </w:rPr>
        <w:t>, ח"מ (סקל"ה).</w:t>
      </w:r>
    </w:p>
  </w:footnote>
  <w:footnote w:id="2889">
    <w:p w14:paraId="388C7C5C" w14:textId="77777777" w:rsidR="00392DBB" w:rsidRDefault="00392DBB" w:rsidP="00392DBB">
      <w:pPr>
        <w:pStyle w:val="a5"/>
      </w:pPr>
      <w:r>
        <w:rPr>
          <w:rStyle w:val="a7"/>
        </w:rPr>
        <w:footnoteRef/>
      </w:r>
      <w:r>
        <w:rPr>
          <w:rtl/>
        </w:rPr>
        <w:t xml:space="preserve"> </w:t>
      </w:r>
      <w:r>
        <w:rPr>
          <w:rFonts w:cs="Arial"/>
          <w:rtl/>
        </w:rPr>
        <w:t>וטעמא משום דפלוגתא דרבי אליעזר ורבי יהושע היא בפ"ק דסוטה (ב.) והלכה כרבי יהושע דאמר מקנא לה ע"פ שנים ומשקה לה ע"פ שנים</w:t>
      </w:r>
      <w:r>
        <w:rPr>
          <w:rFonts w:cs="Arial" w:hint="cs"/>
          <w:rtl/>
        </w:rPr>
        <w:t>, ב"י.</w:t>
      </w:r>
    </w:p>
  </w:footnote>
  <w:footnote w:id="2890">
    <w:p w14:paraId="008BAC1E" w14:textId="77777777" w:rsidR="00392DBB" w:rsidRDefault="00392DBB" w:rsidP="00392DBB">
      <w:pPr>
        <w:pStyle w:val="a5"/>
        <w:rPr>
          <w:rtl/>
        </w:rPr>
      </w:pPr>
      <w:r>
        <w:rPr>
          <w:rStyle w:val="a7"/>
        </w:rPr>
        <w:footnoteRef/>
      </w:r>
      <w:r>
        <w:rPr>
          <w:rtl/>
        </w:rPr>
        <w:t xml:space="preserve"> </w:t>
      </w:r>
      <w:r>
        <w:rPr>
          <w:rFonts w:cs="Arial"/>
          <w:rtl/>
        </w:rPr>
        <w:t>הוא ממה שנתבאר לעיל בסימן זה דעוברת על דת צריכה התראה להפסיד כתובתה</w:t>
      </w:r>
      <w:r>
        <w:rPr>
          <w:rFonts w:hint="cs"/>
          <w:rtl/>
        </w:rPr>
        <w:t>, ב"י.</w:t>
      </w:r>
    </w:p>
  </w:footnote>
  <w:footnote w:id="2891">
    <w:p w14:paraId="0956B472" w14:textId="2049273B" w:rsidR="00392DBB" w:rsidRDefault="00392DBB" w:rsidP="00392DBB">
      <w:pPr>
        <w:pStyle w:val="a5"/>
      </w:pPr>
      <w:r>
        <w:rPr>
          <w:rStyle w:val="a7"/>
        </w:rPr>
        <w:footnoteRef/>
      </w:r>
      <w:r>
        <w:rPr>
          <w:rtl/>
        </w:rPr>
        <w:t xml:space="preserve"> </w:t>
      </w:r>
      <w:r w:rsidRPr="00F9568D">
        <w:rPr>
          <w:rFonts w:cs="Arial"/>
          <w:rtl/>
        </w:rPr>
        <w:t>כלומר אע</w:t>
      </w:r>
      <w:r>
        <w:rPr>
          <w:rFonts w:cs="Arial" w:hint="cs"/>
          <w:rtl/>
        </w:rPr>
        <w:t>"</w:t>
      </w:r>
      <w:r w:rsidRPr="00F9568D">
        <w:rPr>
          <w:rFonts w:cs="Arial"/>
          <w:rtl/>
        </w:rPr>
        <w:t>ג דאין קינוי רק על סתירה אבל אם קינא לה שלא תדברי עם פלוני ודברה או אפי' נסתרה אין זה קינוי מ"מ הכא שהשביעה על הדבור עברה על שבועתה דלא גרעה מנודרת ואינה מקיימת כ"כ הרא"ש בתשו</w:t>
      </w:r>
      <w:r>
        <w:rPr>
          <w:rFonts w:cs="Arial" w:hint="cs"/>
          <w:rtl/>
        </w:rPr>
        <w:t xml:space="preserve">', </w:t>
      </w:r>
      <w:r w:rsidRPr="00F94742">
        <w:rPr>
          <w:rFonts w:cs="Arial" w:hint="cs"/>
          <w:b/>
          <w:bCs/>
          <w:rtl/>
        </w:rPr>
        <w:t>ח"מ</w:t>
      </w:r>
      <w:r>
        <w:rPr>
          <w:rFonts w:cs="Arial" w:hint="cs"/>
          <w:rtl/>
        </w:rPr>
        <w:t xml:space="preserve"> (סקל"ו).</w:t>
      </w:r>
      <w:r w:rsidRPr="00F9568D">
        <w:rPr>
          <w:rFonts w:cs="Arial"/>
          <w:rtl/>
        </w:rPr>
        <w:t xml:space="preserve"> </w:t>
      </w:r>
      <w:r>
        <w:rPr>
          <w:rFonts w:cs="Arial" w:hint="cs"/>
          <w:rtl/>
        </w:rPr>
        <w:t>ועוד כתב שם הח"מ ד</w:t>
      </w:r>
      <w:r w:rsidRPr="00F9568D">
        <w:rPr>
          <w:rFonts w:cs="Arial"/>
          <w:rtl/>
        </w:rPr>
        <w:t>נראה אף אם גם הוא נודר ואינו מקיים</w:t>
      </w:r>
      <w:r>
        <w:rPr>
          <w:rFonts w:cs="Arial" w:hint="cs"/>
          <w:rtl/>
        </w:rPr>
        <w:t>,</w:t>
      </w:r>
      <w:r w:rsidRPr="00F9568D">
        <w:rPr>
          <w:rFonts w:cs="Arial"/>
          <w:rtl/>
        </w:rPr>
        <w:t xml:space="preserve"> דמטעם נדר ושבועה לא הפסידה כתובתה</w:t>
      </w:r>
      <w:r>
        <w:rPr>
          <w:rFonts w:cs="Arial" w:hint="cs"/>
          <w:rtl/>
        </w:rPr>
        <w:t xml:space="preserve"> -</w:t>
      </w:r>
      <w:r w:rsidRPr="00F9568D">
        <w:rPr>
          <w:rFonts w:cs="Arial"/>
          <w:rtl/>
        </w:rPr>
        <w:t xml:space="preserve"> אבל מ"מ היא בכלל מדברת עם כל אדם</w:t>
      </w:r>
      <w:r>
        <w:rPr>
          <w:rFonts w:cs="Arial" w:hint="cs"/>
          <w:rtl/>
        </w:rPr>
        <w:t>,</w:t>
      </w:r>
      <w:r w:rsidRPr="00F9568D">
        <w:rPr>
          <w:rFonts w:cs="Arial"/>
          <w:rtl/>
        </w:rPr>
        <w:t xml:space="preserve"> מאחר שבעלה מקפיד על כך והשביעה</w:t>
      </w:r>
      <w:r>
        <w:rPr>
          <w:rFonts w:cs="Arial" w:hint="cs"/>
          <w:rtl/>
        </w:rPr>
        <w:t>,</w:t>
      </w:r>
      <w:r w:rsidRPr="00F9568D">
        <w:rPr>
          <w:rFonts w:cs="Arial"/>
          <w:rtl/>
        </w:rPr>
        <w:t xml:space="preserve"> דלא עדיפא מההיא דאמרה עלם הב לי פלך (הובא לעיל סקי"ב)</w:t>
      </w:r>
      <w:r>
        <w:rPr>
          <w:rFonts w:cs="Arial" w:hint="cs"/>
          <w:rtl/>
        </w:rPr>
        <w:t xml:space="preserve">. עכ"ל. </w:t>
      </w:r>
      <w:r w:rsidR="00F94742">
        <w:rPr>
          <w:rFonts w:cs="Arial" w:hint="cs"/>
          <w:rtl/>
        </w:rPr>
        <w:t xml:space="preserve">    </w:t>
      </w:r>
      <w:r>
        <w:rPr>
          <w:rFonts w:cs="Arial" w:hint="cs"/>
          <w:rtl/>
        </w:rPr>
        <w:t xml:space="preserve">וכתב </w:t>
      </w:r>
      <w:r w:rsidRPr="00F94742">
        <w:rPr>
          <w:rFonts w:cs="Arial" w:hint="cs"/>
          <w:b/>
          <w:bCs/>
          <w:rtl/>
        </w:rPr>
        <w:t>הב"ש</w:t>
      </w:r>
      <w:r>
        <w:rPr>
          <w:rFonts w:cs="Arial" w:hint="cs"/>
          <w:rtl/>
        </w:rPr>
        <w:t xml:space="preserve"> (סקל"ז) ש</w:t>
      </w:r>
      <w:r w:rsidRPr="00F9568D">
        <w:rPr>
          <w:rFonts w:cs="Arial"/>
          <w:rtl/>
        </w:rPr>
        <w:t>אין דבריו מוכרחים</w:t>
      </w:r>
      <w:r>
        <w:rPr>
          <w:rFonts w:cs="Arial" w:hint="cs"/>
          <w:rtl/>
        </w:rPr>
        <w:t>.</w:t>
      </w:r>
    </w:p>
  </w:footnote>
  <w:footnote w:id="2892">
    <w:p w14:paraId="5E554012" w14:textId="77777777" w:rsidR="00392DBB" w:rsidRDefault="00392DBB" w:rsidP="00392DBB">
      <w:pPr>
        <w:pStyle w:val="a5"/>
      </w:pPr>
      <w:r>
        <w:rPr>
          <w:rStyle w:val="a7"/>
        </w:rPr>
        <w:footnoteRef/>
      </w:r>
      <w:r>
        <w:rPr>
          <w:rtl/>
        </w:rPr>
        <w:t xml:space="preserve"> </w:t>
      </w:r>
      <w:r w:rsidRPr="005F6F5A">
        <w:rPr>
          <w:rFonts w:cs="Arial"/>
          <w:rtl/>
        </w:rPr>
        <w:t xml:space="preserve">ממאנת </w:t>
      </w:r>
      <w:r>
        <w:rPr>
          <w:rFonts w:cs="Arial" w:hint="cs"/>
          <w:rtl/>
        </w:rPr>
        <w:t xml:space="preserve">- </w:t>
      </w:r>
      <w:r w:rsidRPr="005F6F5A">
        <w:rPr>
          <w:rFonts w:cs="Arial"/>
          <w:rtl/>
        </w:rPr>
        <w:t>משום דמעצמה יוצאה</w:t>
      </w:r>
      <w:r>
        <w:rPr>
          <w:rFonts w:cs="Arial" w:hint="cs"/>
          <w:rtl/>
        </w:rPr>
        <w:t>.</w:t>
      </w:r>
      <w:r w:rsidRPr="005F6F5A">
        <w:rPr>
          <w:rFonts w:cs="Arial"/>
          <w:rtl/>
        </w:rPr>
        <w:t xml:space="preserve"> שניה </w:t>
      </w:r>
      <w:r>
        <w:rPr>
          <w:rFonts w:cs="Arial" w:hint="cs"/>
          <w:rtl/>
        </w:rPr>
        <w:t xml:space="preserve">- </w:t>
      </w:r>
      <w:r w:rsidRPr="005F6F5A">
        <w:rPr>
          <w:rFonts w:cs="Arial"/>
          <w:rtl/>
        </w:rPr>
        <w:t>קנסא דרבנן הוא כדאמרינן ביבמות בפרק יש מותרות (פה:) מפני שהיא מרגילתו לנושאה שאינה מפסדת כלום בנשואין שאינה נפסלת בהן וולדה כשר</w:t>
      </w:r>
      <w:r>
        <w:rPr>
          <w:rFonts w:cs="Arial" w:hint="cs"/>
          <w:rtl/>
        </w:rPr>
        <w:t>.</w:t>
      </w:r>
      <w:r w:rsidRPr="005F6F5A">
        <w:rPr>
          <w:rFonts w:cs="Arial"/>
          <w:rtl/>
        </w:rPr>
        <w:t xml:space="preserve"> איילונית </w:t>
      </w:r>
      <w:r>
        <w:rPr>
          <w:rFonts w:cs="Arial" w:hint="cs"/>
          <w:rtl/>
        </w:rPr>
        <w:t xml:space="preserve">- </w:t>
      </w:r>
      <w:r w:rsidRPr="005F6F5A">
        <w:rPr>
          <w:rFonts w:cs="Arial"/>
          <w:rtl/>
        </w:rPr>
        <w:t>משום דמקח טעות הוא</w:t>
      </w:r>
      <w:r>
        <w:rPr>
          <w:rFonts w:cs="Arial" w:hint="cs"/>
          <w:rtl/>
        </w:rPr>
        <w:t>, רש"י.</w:t>
      </w:r>
    </w:p>
  </w:footnote>
  <w:footnote w:id="2893">
    <w:p w14:paraId="0787E2E6" w14:textId="77777777" w:rsidR="00392DBB" w:rsidRDefault="00392DBB" w:rsidP="00392DBB">
      <w:pPr>
        <w:pStyle w:val="a5"/>
      </w:pPr>
      <w:r>
        <w:rPr>
          <w:rStyle w:val="a7"/>
        </w:rPr>
        <w:footnoteRef/>
      </w:r>
      <w:r>
        <w:rPr>
          <w:rtl/>
        </w:rPr>
        <w:t xml:space="preserve"> </w:t>
      </w:r>
      <w:r w:rsidRPr="00FF6EBB">
        <w:rPr>
          <w:rFonts w:cs="Arial"/>
          <w:rtl/>
        </w:rPr>
        <w:t>דין פירות והוא פירקונה שתקנו חכמים תחת פירות נכסי מלוג שהוא אוכל אין לה ואם נשבית אינו חייב לפדותה דתנאי כתובה ככתובה וכיון דאין לה כתובה אין לה תנאי כתובה</w:t>
      </w:r>
      <w:r>
        <w:rPr>
          <w:rFonts w:cs="Arial" w:hint="cs"/>
          <w:rtl/>
        </w:rPr>
        <w:t>..., רש"י.</w:t>
      </w:r>
    </w:p>
  </w:footnote>
  <w:footnote w:id="2894">
    <w:p w14:paraId="03184004" w14:textId="77777777" w:rsidR="00392DBB" w:rsidRDefault="00392DBB" w:rsidP="00392DBB">
      <w:pPr>
        <w:pStyle w:val="a5"/>
        <w:rPr>
          <w:rtl/>
        </w:rPr>
      </w:pPr>
      <w:r>
        <w:rPr>
          <w:rStyle w:val="a7"/>
        </w:rPr>
        <w:footnoteRef/>
      </w:r>
      <w:r>
        <w:rPr>
          <w:rtl/>
        </w:rPr>
        <w:t xml:space="preserve"> </w:t>
      </w:r>
      <w:r w:rsidRPr="005F6F5A">
        <w:rPr>
          <w:rFonts w:cs="Arial"/>
          <w:rtl/>
        </w:rPr>
        <w:t>יש לה כתובה מפני שהיא פסולה וולדה פסול על ידי נשואין לפיכך אינה מרגילתו אלא הוא מרגילה ומשדלה לינשא לו לפיכך קנסו אותו ליתן כתובה</w:t>
      </w:r>
      <w:r>
        <w:rPr>
          <w:rFonts w:hint="cs"/>
          <w:rtl/>
        </w:rPr>
        <w:t>, רש"י.</w:t>
      </w:r>
    </w:p>
  </w:footnote>
  <w:footnote w:id="2895">
    <w:p w14:paraId="545C7E3E" w14:textId="77777777" w:rsidR="00392DBB" w:rsidRDefault="00392DBB" w:rsidP="00392DBB">
      <w:pPr>
        <w:pStyle w:val="a5"/>
      </w:pPr>
      <w:r>
        <w:rPr>
          <w:rStyle w:val="a7"/>
        </w:rPr>
        <w:footnoteRef/>
      </w:r>
      <w:r>
        <w:rPr>
          <w:rtl/>
        </w:rPr>
        <w:t xml:space="preserve"> </w:t>
      </w:r>
      <w:r>
        <w:rPr>
          <w:rFonts w:cs="Arial"/>
          <w:rtl/>
        </w:rPr>
        <w:t>פירש רש"י (קא. ד"ה אבל) משום דתוספת מתנה בעלמא הוא דיהיב לה בחיבת ביאה. וז"ל הרמב"ם בפכ"ד (ה"ג) ולמה אין להן עיקר ויש להם תוספת העיקר שהיא תקנת חכמים כדי שלא תהיה קלה בעיניו להוציאה הואיל ולא הכיר בה אין לה עיקר אבל תוספת שהוא חייב עצמו בה כל זמן שתרצה ותעמוד לפניו הרי עמדה בתנאי שלה והרי הקנת לו הנאתה והרי היא עומדת אבל התורה אסרה עליו ומה היא יכולה לעשות לפיכך יש לה תוספת שאין מעשיה הן הגורמין לה להאסר אלא אסורה היתה מקודם עכ"ל</w:t>
      </w:r>
      <w:r>
        <w:rPr>
          <w:rFonts w:cs="Arial" w:hint="cs"/>
          <w:rtl/>
        </w:rPr>
        <w:t>, ב"י.</w:t>
      </w:r>
    </w:p>
  </w:footnote>
  <w:footnote w:id="2896">
    <w:p w14:paraId="7B63F17B" w14:textId="77777777" w:rsidR="00392DBB" w:rsidRDefault="00392DBB" w:rsidP="00392DBB">
      <w:pPr>
        <w:pStyle w:val="a5"/>
      </w:pPr>
      <w:r>
        <w:rPr>
          <w:rStyle w:val="a7"/>
        </w:rPr>
        <w:footnoteRef/>
      </w:r>
      <w:r>
        <w:rPr>
          <w:rtl/>
        </w:rPr>
        <w:t xml:space="preserve"> </w:t>
      </w:r>
      <w:r w:rsidRPr="00CC0F51">
        <w:rPr>
          <w:rFonts w:cs="Arial"/>
          <w:rtl/>
        </w:rPr>
        <w:t>פעמים היא כאשתו פעמים אינה כאשתו</w:t>
      </w:r>
      <w:r>
        <w:rPr>
          <w:rFonts w:cs="Arial" w:hint="cs"/>
          <w:rtl/>
        </w:rPr>
        <w:t>, רש"י.</w:t>
      </w:r>
    </w:p>
  </w:footnote>
  <w:footnote w:id="2897">
    <w:p w14:paraId="4433EE2D" w14:textId="77777777" w:rsidR="00392DBB" w:rsidRDefault="00392DBB" w:rsidP="00392DBB">
      <w:pPr>
        <w:pStyle w:val="a5"/>
      </w:pPr>
      <w:r>
        <w:rPr>
          <w:rStyle w:val="a7"/>
        </w:rPr>
        <w:footnoteRef/>
      </w:r>
      <w:r>
        <w:rPr>
          <w:rtl/>
        </w:rPr>
        <w:t xml:space="preserve"> </w:t>
      </w:r>
      <w:r w:rsidRPr="00FD4332">
        <w:rPr>
          <w:rFonts w:cs="Arial"/>
          <w:rtl/>
        </w:rPr>
        <w:t>לכ"ג</w:t>
      </w:r>
      <w:r>
        <w:rPr>
          <w:rFonts w:cs="Arial" w:hint="cs"/>
          <w:rtl/>
        </w:rPr>
        <w:t>, רש"י.</w:t>
      </w:r>
    </w:p>
  </w:footnote>
  <w:footnote w:id="2898">
    <w:p w14:paraId="1744FCCE" w14:textId="77777777" w:rsidR="00392DBB" w:rsidRDefault="00392DBB" w:rsidP="00392DBB">
      <w:pPr>
        <w:pStyle w:val="a5"/>
      </w:pPr>
      <w:r>
        <w:rPr>
          <w:rStyle w:val="a7"/>
        </w:rPr>
        <w:footnoteRef/>
      </w:r>
      <w:r>
        <w:rPr>
          <w:rtl/>
        </w:rPr>
        <w:t xml:space="preserve"> </w:t>
      </w:r>
      <w:r w:rsidRPr="00CC0F51">
        <w:rPr>
          <w:rFonts w:cs="Arial"/>
          <w:rtl/>
        </w:rPr>
        <w:t>שהודיעתו שהיא אלמנה</w:t>
      </w:r>
      <w:r>
        <w:rPr>
          <w:rFonts w:cs="Arial" w:hint="cs"/>
          <w:rtl/>
        </w:rPr>
        <w:t>, רש"י.</w:t>
      </w:r>
    </w:p>
  </w:footnote>
  <w:footnote w:id="2899">
    <w:p w14:paraId="4CA3371D" w14:textId="77777777" w:rsidR="00392DBB" w:rsidRDefault="00392DBB" w:rsidP="00392DBB">
      <w:pPr>
        <w:pStyle w:val="a5"/>
      </w:pPr>
      <w:r>
        <w:rPr>
          <w:rStyle w:val="a7"/>
        </w:rPr>
        <w:footnoteRef/>
      </w:r>
      <w:r>
        <w:rPr>
          <w:rtl/>
        </w:rPr>
        <w:t xml:space="preserve"> </w:t>
      </w:r>
      <w:r w:rsidRPr="00CC0F51">
        <w:rPr>
          <w:rFonts w:cs="Arial"/>
          <w:rtl/>
        </w:rPr>
        <w:t>הוה ליה לא הכיר בה</w:t>
      </w:r>
      <w:r>
        <w:rPr>
          <w:rFonts w:cs="Arial" w:hint="cs"/>
          <w:rtl/>
        </w:rPr>
        <w:t>, רש"י.</w:t>
      </w:r>
    </w:p>
  </w:footnote>
  <w:footnote w:id="2900">
    <w:p w14:paraId="2C8629EE" w14:textId="77777777" w:rsidR="00392DBB" w:rsidRDefault="00392DBB" w:rsidP="00392DBB">
      <w:pPr>
        <w:pStyle w:val="a5"/>
      </w:pPr>
      <w:r>
        <w:rPr>
          <w:rStyle w:val="a7"/>
        </w:rPr>
        <w:footnoteRef/>
      </w:r>
      <w:r>
        <w:rPr>
          <w:rtl/>
        </w:rPr>
        <w:t xml:space="preserve"> </w:t>
      </w:r>
      <w:r w:rsidRPr="00CC0F51">
        <w:rPr>
          <w:rFonts w:cs="Arial"/>
          <w:rtl/>
        </w:rPr>
        <w:t>תיובתא דרב הונא</w:t>
      </w:r>
      <w:r>
        <w:rPr>
          <w:rFonts w:cs="Arial" w:hint="cs"/>
          <w:rtl/>
        </w:rPr>
        <w:t>, רש"י.</w:t>
      </w:r>
    </w:p>
  </w:footnote>
  <w:footnote w:id="2901">
    <w:p w14:paraId="3203537F" w14:textId="77777777" w:rsidR="00392DBB" w:rsidRDefault="00392DBB" w:rsidP="00392DBB">
      <w:pPr>
        <w:pStyle w:val="a5"/>
      </w:pPr>
      <w:r>
        <w:rPr>
          <w:rStyle w:val="a7"/>
        </w:rPr>
        <w:footnoteRef/>
      </w:r>
      <w:r>
        <w:rPr>
          <w:rtl/>
        </w:rPr>
        <w:t xml:space="preserve"> </w:t>
      </w:r>
      <w:r w:rsidRPr="00CC0F51">
        <w:rPr>
          <w:rFonts w:cs="Arial"/>
          <w:rtl/>
        </w:rPr>
        <w:t>שהטעתו ואמרה לו לא נתקדשתי לאדם מעולם</w:t>
      </w:r>
      <w:r>
        <w:rPr>
          <w:rFonts w:cs="Arial" w:hint="cs"/>
          <w:rtl/>
        </w:rPr>
        <w:t>, רש"י.</w:t>
      </w:r>
    </w:p>
  </w:footnote>
  <w:footnote w:id="2902">
    <w:p w14:paraId="44A70647" w14:textId="77777777" w:rsidR="00392DBB" w:rsidRDefault="00392DBB" w:rsidP="00392DBB">
      <w:pPr>
        <w:pStyle w:val="a5"/>
      </w:pPr>
      <w:r>
        <w:rPr>
          <w:rStyle w:val="a7"/>
        </w:rPr>
        <w:footnoteRef/>
      </w:r>
      <w:r>
        <w:rPr>
          <w:rtl/>
        </w:rPr>
        <w:t xml:space="preserve"> </w:t>
      </w:r>
      <w:r w:rsidRPr="00CC0F51">
        <w:rPr>
          <w:rFonts w:cs="Arial"/>
          <w:rtl/>
        </w:rPr>
        <w:t>שלא התנה עמה ומיהו לא הכיר בה יש לה</w:t>
      </w:r>
      <w:r>
        <w:rPr>
          <w:rFonts w:cs="Arial" w:hint="cs"/>
          <w:rtl/>
        </w:rPr>
        <w:t>, רש"י.</w:t>
      </w:r>
    </w:p>
  </w:footnote>
  <w:footnote w:id="2903">
    <w:p w14:paraId="56A8B526" w14:textId="77777777" w:rsidR="00392DBB" w:rsidRDefault="00392DBB" w:rsidP="00392DBB">
      <w:pPr>
        <w:pStyle w:val="a5"/>
      </w:pPr>
      <w:r>
        <w:rPr>
          <w:rStyle w:val="a7"/>
        </w:rPr>
        <w:footnoteRef/>
      </w:r>
      <w:r>
        <w:rPr>
          <w:rtl/>
        </w:rPr>
        <w:t xml:space="preserve"> </w:t>
      </w:r>
      <w:r w:rsidRPr="00CC0F51">
        <w:rPr>
          <w:rFonts w:cs="Arial"/>
          <w:rtl/>
        </w:rPr>
        <w:t>שהיא אלמנה</w:t>
      </w:r>
      <w:r>
        <w:rPr>
          <w:rFonts w:cs="Arial" w:hint="cs"/>
          <w:rtl/>
        </w:rPr>
        <w:t>, רש"י.</w:t>
      </w:r>
    </w:p>
  </w:footnote>
  <w:footnote w:id="2904">
    <w:p w14:paraId="213A471A" w14:textId="77777777" w:rsidR="00392DBB" w:rsidRDefault="00392DBB" w:rsidP="00392DBB">
      <w:pPr>
        <w:pStyle w:val="a5"/>
      </w:pPr>
      <w:r>
        <w:rPr>
          <w:rStyle w:val="a7"/>
        </w:rPr>
        <w:footnoteRef/>
      </w:r>
      <w:r>
        <w:rPr>
          <w:rtl/>
        </w:rPr>
        <w:t xml:space="preserve"> </w:t>
      </w:r>
      <w:r w:rsidRPr="00CC0F51">
        <w:rPr>
          <w:rFonts w:cs="Arial"/>
          <w:rtl/>
        </w:rPr>
        <w:t>דאם מתחלה נשאה לשם איילונית יש לה</w:t>
      </w:r>
      <w:r>
        <w:rPr>
          <w:rFonts w:cs="Arial" w:hint="cs"/>
          <w:rtl/>
        </w:rPr>
        <w:t>, רש"י.</w:t>
      </w:r>
    </w:p>
  </w:footnote>
  <w:footnote w:id="2905">
    <w:p w14:paraId="53C6712F" w14:textId="77777777" w:rsidR="00392DBB" w:rsidRDefault="00392DBB" w:rsidP="00392DBB">
      <w:pPr>
        <w:pStyle w:val="a5"/>
      </w:pPr>
      <w:r>
        <w:rPr>
          <w:rStyle w:val="a7"/>
        </w:rPr>
        <w:footnoteRef/>
      </w:r>
      <w:r>
        <w:rPr>
          <w:rtl/>
        </w:rPr>
        <w:t xml:space="preserve"> </w:t>
      </w:r>
      <w:r w:rsidRPr="00CC0F51">
        <w:rPr>
          <w:rFonts w:cs="Arial"/>
          <w:rtl/>
        </w:rPr>
        <w:t>וקאמר יש לה כתובה</w:t>
      </w:r>
      <w:r>
        <w:rPr>
          <w:rFonts w:cs="Arial" w:hint="cs"/>
          <w:rtl/>
        </w:rPr>
        <w:t>, רש"י.</w:t>
      </w:r>
    </w:p>
  </w:footnote>
  <w:footnote w:id="2906">
    <w:p w14:paraId="7EF0EF83" w14:textId="77777777" w:rsidR="00392DBB" w:rsidRDefault="00392DBB" w:rsidP="00392DBB">
      <w:pPr>
        <w:pStyle w:val="a5"/>
      </w:pPr>
      <w:r>
        <w:rPr>
          <w:rStyle w:val="a7"/>
        </w:rPr>
        <w:footnoteRef/>
      </w:r>
      <w:r>
        <w:rPr>
          <w:rtl/>
        </w:rPr>
        <w:t xml:space="preserve"> </w:t>
      </w:r>
      <w:r w:rsidRPr="00CC0F51">
        <w:rPr>
          <w:rFonts w:cs="Arial"/>
          <w:rtl/>
        </w:rPr>
        <w:t>לאחר שחילק באיילונית ופירש הכיר בה יש לה כתובה שנאה לאלמנה אצלה וקאמר אף אלמנה נמי שהכיר בה ונשאה לשם אלמנה יש לה כתובה</w:t>
      </w:r>
      <w:r>
        <w:rPr>
          <w:rFonts w:cs="Arial" w:hint="cs"/>
          <w:rtl/>
        </w:rPr>
        <w:t>, רש"י.</w:t>
      </w:r>
    </w:p>
  </w:footnote>
  <w:footnote w:id="2907">
    <w:p w14:paraId="7C2173D1" w14:textId="77777777" w:rsidR="00392DBB" w:rsidRDefault="00392DBB" w:rsidP="00392DBB">
      <w:pPr>
        <w:pStyle w:val="a5"/>
      </w:pPr>
      <w:r>
        <w:rPr>
          <w:rStyle w:val="a7"/>
        </w:rPr>
        <w:footnoteRef/>
      </w:r>
      <w:r>
        <w:rPr>
          <w:rtl/>
        </w:rPr>
        <w:t xml:space="preserve"> </w:t>
      </w:r>
      <w:r>
        <w:rPr>
          <w:rFonts w:cs="Arial" w:hint="cs"/>
          <w:rtl/>
        </w:rPr>
        <w:t xml:space="preserve">וז"ל </w:t>
      </w:r>
      <w:r w:rsidRPr="007F7FDE">
        <w:rPr>
          <w:rFonts w:cs="Arial" w:hint="cs"/>
          <w:sz w:val="16"/>
          <w:szCs w:val="16"/>
          <w:rtl/>
        </w:rPr>
        <w:t xml:space="preserve">(הרי"ף </w:t>
      </w:r>
      <w:r>
        <w:rPr>
          <w:rFonts w:cs="Arial" w:hint="cs"/>
          <w:sz w:val="16"/>
          <w:szCs w:val="16"/>
          <w:rtl/>
        </w:rPr>
        <w:t xml:space="preserve">[כתובות ס.] </w:t>
      </w:r>
      <w:r w:rsidRPr="007F7FDE">
        <w:rPr>
          <w:rFonts w:cs="Arial" w:hint="cs"/>
          <w:sz w:val="16"/>
          <w:szCs w:val="16"/>
          <w:rtl/>
        </w:rPr>
        <w:t>והרא"ש</w:t>
      </w:r>
      <w:r>
        <w:rPr>
          <w:rFonts w:cs="Arial" w:hint="cs"/>
          <w:sz w:val="16"/>
          <w:szCs w:val="16"/>
          <w:rtl/>
        </w:rPr>
        <w:t xml:space="preserve"> [כתובות פי"א סי' כה-כח]</w:t>
      </w:r>
      <w:r w:rsidRPr="007F7FDE">
        <w:rPr>
          <w:rFonts w:cs="Arial" w:hint="cs"/>
          <w:sz w:val="16"/>
          <w:szCs w:val="16"/>
          <w:rtl/>
        </w:rPr>
        <w:t>)</w:t>
      </w:r>
      <w:r>
        <w:rPr>
          <w:rFonts w:cs="Arial" w:hint="cs"/>
          <w:rtl/>
        </w:rPr>
        <w:t xml:space="preserve">- </w:t>
      </w:r>
      <w:r>
        <w:rPr>
          <w:rFonts w:cs="Arial"/>
          <w:rtl/>
        </w:rPr>
        <w:t>הילכך</w:t>
      </w:r>
      <w:r>
        <w:rPr>
          <w:rFonts w:cs="Arial" w:hint="cs"/>
          <w:rtl/>
        </w:rPr>
        <w:t>,</w:t>
      </w:r>
      <w:r>
        <w:rPr>
          <w:rFonts w:cs="Arial"/>
          <w:rtl/>
        </w:rPr>
        <w:t xml:space="preserve"> הכיר בהן </w:t>
      </w:r>
      <w:r>
        <w:rPr>
          <w:rFonts w:cs="Arial" w:hint="cs"/>
          <w:rtl/>
        </w:rPr>
        <w:t xml:space="preserve">- </w:t>
      </w:r>
      <w:r>
        <w:rPr>
          <w:rFonts w:cs="Arial"/>
          <w:rtl/>
        </w:rPr>
        <w:t>יש להם כתובה בין מנה בין מאתים בין תוספת</w:t>
      </w:r>
      <w:r>
        <w:rPr>
          <w:rFonts w:cs="Arial" w:hint="cs"/>
          <w:rtl/>
        </w:rPr>
        <w:t>.</w:t>
      </w:r>
      <w:r>
        <w:rPr>
          <w:rFonts w:cs="Arial"/>
          <w:rtl/>
        </w:rPr>
        <w:t xml:space="preserve"> ויש להם פירות ומזונות ובלאות</w:t>
      </w:r>
      <w:r>
        <w:rPr>
          <w:rFonts w:cs="Arial" w:hint="cs"/>
          <w:rtl/>
        </w:rPr>
        <w:t>.</w:t>
      </w:r>
      <w:r>
        <w:rPr>
          <w:rFonts w:cs="Arial"/>
          <w:rtl/>
        </w:rPr>
        <w:t xml:space="preserve"> דכיון דאית להו כתובה אית להו נמי תנאי כתובה</w:t>
      </w:r>
      <w:r>
        <w:rPr>
          <w:rFonts w:cs="Arial" w:hint="cs"/>
          <w:rtl/>
        </w:rPr>
        <w:t>.</w:t>
      </w:r>
      <w:r>
        <w:rPr>
          <w:rFonts w:cs="Arial"/>
          <w:rtl/>
        </w:rPr>
        <w:t xml:space="preserve"> ומזונות דאית להו</w:t>
      </w:r>
      <w:r>
        <w:rPr>
          <w:rFonts w:cs="Arial" w:hint="cs"/>
          <w:rtl/>
        </w:rPr>
        <w:t>,</w:t>
      </w:r>
      <w:r>
        <w:rPr>
          <w:rFonts w:cs="Arial"/>
          <w:rtl/>
        </w:rPr>
        <w:t xml:space="preserve"> הני מילי לאחר מיתה דלא הספיק להוציאה עד שמת</w:t>
      </w:r>
      <w:r>
        <w:rPr>
          <w:rFonts w:cs="Arial" w:hint="cs"/>
          <w:rtl/>
        </w:rPr>
        <w:t>,</w:t>
      </w:r>
      <w:r>
        <w:rPr>
          <w:rFonts w:cs="Arial"/>
          <w:rtl/>
        </w:rPr>
        <w:t xml:space="preserve"> אבל בחיי הבעל כיון דבעמוד והוצא קאי לית להו מזונות</w:t>
      </w:r>
      <w:r>
        <w:rPr>
          <w:rFonts w:cs="Arial" w:hint="cs"/>
          <w:rtl/>
        </w:rPr>
        <w:t>,</w:t>
      </w:r>
      <w:r>
        <w:rPr>
          <w:rFonts w:cs="Arial"/>
          <w:rtl/>
        </w:rPr>
        <w:t xml:space="preserve"> דכי אמרת אית להו אתיין לאיעכובי גבייהו</w:t>
      </w:r>
      <w:r>
        <w:rPr>
          <w:rFonts w:cs="Arial" w:hint="cs"/>
          <w:rtl/>
        </w:rPr>
        <w:t>,</w:t>
      </w:r>
      <w:r>
        <w:rPr>
          <w:rFonts w:cs="Arial"/>
          <w:rtl/>
        </w:rPr>
        <w:t xml:space="preserve"> דהכי אסיקנא בפרק יש מותרות (יבמות פה.)</w:t>
      </w:r>
      <w:r>
        <w:rPr>
          <w:rFonts w:cs="Arial" w:hint="cs"/>
          <w:rtl/>
        </w:rPr>
        <w:t>.</w:t>
      </w:r>
      <w:r>
        <w:rPr>
          <w:rFonts w:cs="Arial"/>
          <w:rtl/>
        </w:rPr>
        <w:t xml:space="preserve"> לא הכיר בהן אין להן כתובה מנה מאתים ולא פירות ולא מזונות ולא בלאות</w:t>
      </w:r>
      <w:r>
        <w:rPr>
          <w:rFonts w:cs="Arial" w:hint="cs"/>
          <w:rtl/>
        </w:rPr>
        <w:t>,</w:t>
      </w:r>
      <w:r>
        <w:rPr>
          <w:rFonts w:cs="Arial"/>
          <w:rtl/>
        </w:rPr>
        <w:t xml:space="preserve"> אבל תוספת יש להן כשמואל (קא.)</w:t>
      </w:r>
      <w:r>
        <w:rPr>
          <w:rFonts w:cs="Arial" w:hint="cs"/>
          <w:rtl/>
        </w:rPr>
        <w:t>.</w:t>
      </w:r>
      <w:r>
        <w:rPr>
          <w:rFonts w:cs="Arial"/>
          <w:rtl/>
        </w:rPr>
        <w:t xml:space="preserve"> ובלאות דאמרן דלית להו</w:t>
      </w:r>
      <w:r>
        <w:rPr>
          <w:rFonts w:cs="Arial" w:hint="cs"/>
          <w:rtl/>
        </w:rPr>
        <w:t>,</w:t>
      </w:r>
      <w:r>
        <w:rPr>
          <w:rFonts w:cs="Arial"/>
          <w:rtl/>
        </w:rPr>
        <w:t xml:space="preserve"> מסתברא לן דכיון דדינא דידהו כדין האילונית</w:t>
      </w:r>
      <w:r>
        <w:rPr>
          <w:rFonts w:cs="Arial" w:hint="cs"/>
          <w:rtl/>
        </w:rPr>
        <w:t>,</w:t>
      </w:r>
      <w:r>
        <w:rPr>
          <w:rFonts w:cs="Arial"/>
          <w:rtl/>
        </w:rPr>
        <w:t xml:space="preserve"> ודינא דאילונית דלא הכיר בה</w:t>
      </w:r>
      <w:r>
        <w:rPr>
          <w:rFonts w:cs="Arial" w:hint="cs"/>
          <w:rtl/>
        </w:rPr>
        <w:t>,</w:t>
      </w:r>
      <w:r>
        <w:rPr>
          <w:rFonts w:cs="Arial"/>
          <w:rtl/>
        </w:rPr>
        <w:t xml:space="preserve"> אי איתנהו לבלאות </w:t>
      </w:r>
      <w:r>
        <w:rPr>
          <w:rFonts w:cs="Arial" w:hint="cs"/>
          <w:rtl/>
        </w:rPr>
        <w:t xml:space="preserve">- </w:t>
      </w:r>
      <w:r>
        <w:rPr>
          <w:rFonts w:cs="Arial"/>
          <w:rtl/>
        </w:rPr>
        <w:t>אידי ואידי אית להו</w:t>
      </w:r>
      <w:r>
        <w:rPr>
          <w:rFonts w:cs="Arial" w:hint="cs"/>
          <w:rtl/>
        </w:rPr>
        <w:t>,</w:t>
      </w:r>
      <w:r>
        <w:rPr>
          <w:rFonts w:cs="Arial"/>
          <w:rtl/>
        </w:rPr>
        <w:t xml:space="preserve"> בין נכסי מלוג בין נכסי צאן ברזל</w:t>
      </w:r>
      <w:r>
        <w:rPr>
          <w:rFonts w:cs="Arial" w:hint="cs"/>
          <w:rtl/>
        </w:rPr>
        <w:t>.</w:t>
      </w:r>
      <w:r>
        <w:rPr>
          <w:rFonts w:cs="Arial"/>
          <w:rtl/>
        </w:rPr>
        <w:t xml:space="preserve"> ואי ליתנהו</w:t>
      </w:r>
      <w:r>
        <w:rPr>
          <w:rFonts w:cs="Arial" w:hint="cs"/>
          <w:rtl/>
        </w:rPr>
        <w:t xml:space="preserve">, </w:t>
      </w:r>
      <w:r>
        <w:rPr>
          <w:rFonts w:cs="Arial"/>
          <w:rtl/>
        </w:rPr>
        <w:t>נכסי מלוג דברשותה קיימי</w:t>
      </w:r>
      <w:r>
        <w:rPr>
          <w:rFonts w:cs="Arial" w:hint="cs"/>
          <w:rtl/>
        </w:rPr>
        <w:t xml:space="preserve"> -</w:t>
      </w:r>
      <w:r>
        <w:rPr>
          <w:rFonts w:cs="Arial"/>
          <w:rtl/>
        </w:rPr>
        <w:t xml:space="preserve"> אית לה</w:t>
      </w:r>
      <w:r>
        <w:rPr>
          <w:rFonts w:cs="Arial" w:hint="cs"/>
          <w:rtl/>
        </w:rPr>
        <w:t>.</w:t>
      </w:r>
      <w:r>
        <w:rPr>
          <w:rFonts w:cs="Arial"/>
          <w:rtl/>
        </w:rPr>
        <w:t xml:space="preserve"> נכסי צאן ברזל דלאו ברשותה קיימי</w:t>
      </w:r>
      <w:r>
        <w:rPr>
          <w:rFonts w:cs="Arial" w:hint="cs"/>
          <w:rtl/>
        </w:rPr>
        <w:t xml:space="preserve"> - </w:t>
      </w:r>
      <w:r>
        <w:rPr>
          <w:rFonts w:cs="Arial"/>
          <w:rtl/>
        </w:rPr>
        <w:t>לית לה</w:t>
      </w:r>
      <w:r>
        <w:rPr>
          <w:rFonts w:cs="Arial" w:hint="cs"/>
          <w:rtl/>
        </w:rPr>
        <w:t>.</w:t>
      </w:r>
      <w:r>
        <w:rPr>
          <w:rFonts w:cs="Arial"/>
          <w:rtl/>
        </w:rPr>
        <w:t xml:space="preserve"> הני נמי כיוצא בה</w:t>
      </w:r>
      <w:r>
        <w:rPr>
          <w:rFonts w:cs="Arial" w:hint="cs"/>
          <w:rtl/>
        </w:rPr>
        <w:t>.</w:t>
      </w:r>
    </w:p>
  </w:footnote>
  <w:footnote w:id="2908">
    <w:p w14:paraId="2A650340" w14:textId="77777777" w:rsidR="00392DBB" w:rsidRDefault="00392DBB" w:rsidP="00392DBB">
      <w:pPr>
        <w:pStyle w:val="a5"/>
      </w:pPr>
      <w:r>
        <w:rPr>
          <w:rStyle w:val="a7"/>
        </w:rPr>
        <w:footnoteRef/>
      </w:r>
      <w:r>
        <w:rPr>
          <w:rtl/>
        </w:rPr>
        <w:t xml:space="preserve"> </w:t>
      </w:r>
      <w:r w:rsidRPr="00BD0A12">
        <w:rPr>
          <w:rFonts w:cs="Arial"/>
          <w:rtl/>
        </w:rPr>
        <w:t>ואפשר לומר שאם זן אותה בשתיקה זוכה במעשה ידיה שעשתה כל אותו זמן ולא אמרינן מחל לה לגמרי אלא הרי הוא גובה ממנה ממעשה ידיה או תתן לו מזונותיה. הריטב"א ז"ל וכן הלכתא</w:t>
      </w:r>
      <w:r>
        <w:rPr>
          <w:rFonts w:cs="Arial" w:hint="cs"/>
          <w:rtl/>
        </w:rPr>
        <w:t>,</w:t>
      </w:r>
      <w:r w:rsidRPr="00BD0A12">
        <w:rPr>
          <w:rFonts w:cs="Arial"/>
          <w:rtl/>
        </w:rPr>
        <w:t xml:space="preserve"> </w:t>
      </w:r>
      <w:r w:rsidRPr="003C7FB6">
        <w:rPr>
          <w:rFonts w:cs="Arial"/>
          <w:rtl/>
        </w:rPr>
        <w:t>נ</w:t>
      </w:r>
      <w:r>
        <w:rPr>
          <w:rFonts w:cs="Arial" w:hint="cs"/>
          <w:rtl/>
        </w:rPr>
        <w:t>מוק</w:t>
      </w:r>
      <w:r w:rsidRPr="003C7FB6">
        <w:rPr>
          <w:rFonts w:cs="Arial"/>
          <w:rtl/>
        </w:rPr>
        <w:t xml:space="preserve">"י </w:t>
      </w:r>
      <w:r w:rsidRPr="00235F25">
        <w:rPr>
          <w:rFonts w:cs="Arial" w:hint="cs"/>
          <w:sz w:val="16"/>
          <w:szCs w:val="16"/>
          <w:rtl/>
        </w:rPr>
        <w:t>(</w:t>
      </w:r>
      <w:r w:rsidRPr="00235F25">
        <w:rPr>
          <w:rFonts w:cs="Arial"/>
          <w:sz w:val="16"/>
          <w:szCs w:val="16"/>
          <w:rtl/>
        </w:rPr>
        <w:t>פ</w:t>
      </w:r>
      <w:r w:rsidRPr="00235F25">
        <w:rPr>
          <w:rFonts w:cs="Arial" w:hint="cs"/>
          <w:sz w:val="16"/>
          <w:szCs w:val="16"/>
          <w:rtl/>
        </w:rPr>
        <w:t>'</w:t>
      </w:r>
      <w:r w:rsidRPr="00235F25">
        <w:rPr>
          <w:rFonts w:cs="Arial"/>
          <w:sz w:val="16"/>
          <w:szCs w:val="16"/>
          <w:rtl/>
        </w:rPr>
        <w:t xml:space="preserve"> יש מותרות כז. ד"ה בעא</w:t>
      </w:r>
      <w:r>
        <w:rPr>
          <w:rFonts w:cs="Arial" w:hint="cs"/>
          <w:sz w:val="16"/>
          <w:szCs w:val="16"/>
          <w:rtl/>
        </w:rPr>
        <w:t>, הביאו הדרכ"מ [אות א]</w:t>
      </w:r>
      <w:r w:rsidRPr="00235F25">
        <w:rPr>
          <w:rFonts w:cs="Arial"/>
          <w:sz w:val="16"/>
          <w:szCs w:val="16"/>
          <w:rtl/>
        </w:rPr>
        <w:t>)</w:t>
      </w:r>
      <w:r>
        <w:rPr>
          <w:rFonts w:cs="Arial" w:hint="cs"/>
          <w:rtl/>
        </w:rPr>
        <w:t>.</w:t>
      </w:r>
      <w:r>
        <w:rPr>
          <w:rFonts w:hint="cs"/>
          <w:rtl/>
        </w:rPr>
        <w:t xml:space="preserve"> </w:t>
      </w:r>
      <w:r w:rsidRPr="00F554B8">
        <w:rPr>
          <w:rFonts w:hint="cs"/>
          <w:color w:val="00B0F0"/>
          <w:rtl/>
        </w:rPr>
        <w:t>(וכ"פ בהג"ה)</w:t>
      </w:r>
      <w:r>
        <w:rPr>
          <w:rFonts w:hint="cs"/>
          <w:rtl/>
        </w:rPr>
        <w:t>.</w:t>
      </w:r>
    </w:p>
  </w:footnote>
  <w:footnote w:id="2909">
    <w:p w14:paraId="003A7E81" w14:textId="77777777" w:rsidR="00392DBB" w:rsidRDefault="00392DBB" w:rsidP="00392DBB">
      <w:pPr>
        <w:pStyle w:val="a5"/>
        <w:rPr>
          <w:rtl/>
        </w:rPr>
      </w:pPr>
      <w:r>
        <w:rPr>
          <w:rStyle w:val="a7"/>
        </w:rPr>
        <w:footnoteRef/>
      </w:r>
      <w:r>
        <w:rPr>
          <w:rtl/>
        </w:rPr>
        <w:t xml:space="preserve"> </w:t>
      </w:r>
      <w:r w:rsidRPr="003C7FB6">
        <w:rPr>
          <w:rFonts w:cs="Arial"/>
          <w:rtl/>
        </w:rPr>
        <w:t xml:space="preserve">והרמב"ם </w:t>
      </w:r>
      <w:r>
        <w:rPr>
          <w:rFonts w:cs="Arial" w:hint="cs"/>
          <w:sz w:val="16"/>
          <w:szCs w:val="16"/>
          <w:rtl/>
        </w:rPr>
        <w:t xml:space="preserve">(פכ"ד מאישות ה"ד) </w:t>
      </w:r>
      <w:r w:rsidRPr="003C7FB6">
        <w:rPr>
          <w:rFonts w:cs="Arial"/>
          <w:rtl/>
        </w:rPr>
        <w:t>כתב שאם לותה ואכלה חייב לשלם</w:t>
      </w:r>
      <w:r>
        <w:rPr>
          <w:rFonts w:cs="Arial" w:hint="cs"/>
          <w:rtl/>
        </w:rPr>
        <w:t>.</w:t>
      </w:r>
      <w:r w:rsidRPr="003C7FB6">
        <w:rPr>
          <w:rFonts w:cs="Arial"/>
          <w:rtl/>
        </w:rPr>
        <w:t xml:space="preserve"> </w:t>
      </w:r>
      <w:r w:rsidRPr="00C017BF">
        <w:rPr>
          <w:rFonts w:cs="Arial"/>
          <w:rtl/>
        </w:rPr>
        <w:t>ואני תמיה על דבריו דבהדיא מסיק בגמרא שהוא פטור בלותה ואכלה</w:t>
      </w:r>
      <w:r>
        <w:rPr>
          <w:rFonts w:cs="Arial" w:hint="cs"/>
          <w:rtl/>
        </w:rPr>
        <w:t xml:space="preserve">, </w:t>
      </w:r>
      <w:r w:rsidRPr="007E0824">
        <w:rPr>
          <w:rFonts w:cs="Arial" w:hint="cs"/>
          <w:b/>
          <w:bCs/>
          <w:rtl/>
        </w:rPr>
        <w:t>טור</w:t>
      </w:r>
      <w:r w:rsidRPr="00C017BF">
        <w:rPr>
          <w:rFonts w:cs="Arial" w:hint="cs"/>
          <w:rtl/>
        </w:rPr>
        <w:t>.</w:t>
      </w:r>
      <w:r w:rsidRPr="00C017BF">
        <w:rPr>
          <w:rFonts w:cs="Arial"/>
          <w:rtl/>
        </w:rPr>
        <w:t xml:space="preserve"> </w:t>
      </w:r>
      <w:r>
        <w:rPr>
          <w:rFonts w:cs="Arial" w:hint="cs"/>
          <w:rtl/>
        </w:rPr>
        <w:t xml:space="preserve">וכתב </w:t>
      </w:r>
      <w:r w:rsidRPr="007E0824">
        <w:rPr>
          <w:rFonts w:cs="Arial" w:hint="cs"/>
          <w:b/>
          <w:bCs/>
          <w:rtl/>
        </w:rPr>
        <w:t>הב"י</w:t>
      </w:r>
      <w:r>
        <w:rPr>
          <w:rFonts w:cs="Arial" w:hint="cs"/>
          <w:rtl/>
        </w:rPr>
        <w:t xml:space="preserve"> ד</w:t>
      </w:r>
      <w:r>
        <w:rPr>
          <w:rFonts w:cs="Arial"/>
          <w:rtl/>
        </w:rPr>
        <w:t>מה שתמה על דבריו דבר פשוט הוא שיש לתמוה עליו</w:t>
      </w:r>
      <w:r>
        <w:rPr>
          <w:rFonts w:cs="Arial" w:hint="cs"/>
          <w:rtl/>
        </w:rPr>
        <w:t>,</w:t>
      </w:r>
      <w:r>
        <w:rPr>
          <w:rFonts w:cs="Arial"/>
          <w:rtl/>
        </w:rPr>
        <w:t xml:space="preserve"> וגם הר"ן כתב בפרק אלמנה נזונת (ס. ד"ה ומזונות) שלא נראו בעיניו דברי הרמב"ם בזה. ויש לתמוה על הראב"ד שלא השיגו בזה. והרב המגיד כתב ליישב דעת הרמב"ם ומכל מקום כתב לענין הדין שכדברי הרי"ף נראה עיק</w:t>
      </w:r>
      <w:r>
        <w:rPr>
          <w:rFonts w:hint="cs"/>
          <w:rtl/>
        </w:rPr>
        <w:t>ר.</w:t>
      </w:r>
    </w:p>
  </w:footnote>
  <w:footnote w:id="2910">
    <w:p w14:paraId="5F13BC94" w14:textId="77777777" w:rsidR="00392DBB" w:rsidRDefault="00392DBB" w:rsidP="00392DBB">
      <w:pPr>
        <w:pStyle w:val="a5"/>
        <w:rPr>
          <w:rtl/>
        </w:rPr>
      </w:pPr>
      <w:r>
        <w:rPr>
          <w:rStyle w:val="a7"/>
        </w:rPr>
        <w:footnoteRef/>
      </w:r>
      <w:r>
        <w:rPr>
          <w:rtl/>
        </w:rPr>
        <w:t xml:space="preserve"> </w:t>
      </w:r>
      <w:r w:rsidRPr="001E347F">
        <w:rPr>
          <w:rFonts w:cs="Arial"/>
          <w:rtl/>
        </w:rPr>
        <w:t>כן כתב הרא"ש בסוף פרק אלמנה נזונת (שם) אהא דתנן (ק:) גבי ממאנת ואילונית אין לה פירות</w:t>
      </w:r>
      <w:r>
        <w:rPr>
          <w:rFonts w:cs="Arial" w:hint="cs"/>
          <w:rtl/>
        </w:rPr>
        <w:t>,</w:t>
      </w:r>
      <w:r w:rsidRPr="001E347F">
        <w:rPr>
          <w:rFonts w:cs="Arial"/>
          <w:rtl/>
        </w:rPr>
        <w:t xml:space="preserve"> ונתבאר בגמרא שדין אלמנה לכהן גדול ודין אילונית שוים</w:t>
      </w:r>
      <w:r>
        <w:rPr>
          <w:rFonts w:cs="Arial" w:hint="cs"/>
          <w:rtl/>
        </w:rPr>
        <w:t>.</w:t>
      </w:r>
      <w:r w:rsidRPr="001E347F">
        <w:rPr>
          <w:rFonts w:cs="Arial"/>
          <w:rtl/>
        </w:rPr>
        <w:t xml:space="preserve"> זה נ"ל שהיה דעת רבינו שכתב כן</w:t>
      </w:r>
      <w:r>
        <w:rPr>
          <w:rFonts w:cs="Arial" w:hint="cs"/>
          <w:rtl/>
        </w:rPr>
        <w:t>.</w:t>
      </w:r>
      <w:r w:rsidRPr="001E347F">
        <w:rPr>
          <w:rFonts w:cs="Arial"/>
          <w:rtl/>
        </w:rPr>
        <w:t xml:space="preserve"> אבל יש לתמוה עליו</w:t>
      </w:r>
      <w:r>
        <w:rPr>
          <w:rFonts w:cs="Arial" w:hint="cs"/>
          <w:rtl/>
        </w:rPr>
        <w:t>,</w:t>
      </w:r>
      <w:r w:rsidRPr="001E347F">
        <w:rPr>
          <w:rFonts w:cs="Arial"/>
          <w:rtl/>
        </w:rPr>
        <w:t xml:space="preserve"> שלא כתב כן הרא"ש אלא בממאנת מפני מה שהוקשה לו בה</w:t>
      </w:r>
      <w:r>
        <w:rPr>
          <w:rFonts w:cs="Arial" w:hint="cs"/>
          <w:rtl/>
        </w:rPr>
        <w:t>,</w:t>
      </w:r>
      <w:r w:rsidRPr="001E347F">
        <w:rPr>
          <w:rFonts w:cs="Arial"/>
          <w:rtl/>
        </w:rPr>
        <w:t xml:space="preserve"> אבל באילונית ובאלמנה לכ"ג מנין לנו שיהיה הדין כן. והרמב"ם כתב בפרק כ"ד (ה"ב) כשכופין אותו ומפרישים ביניהם אין מוציאין מן הבעל פירות שאכל. וגם הרי"ף (נט:) כתב אמתניתין דקתני ולא פירות</w:t>
      </w:r>
      <w:r>
        <w:rPr>
          <w:rFonts w:cs="Arial" w:hint="cs"/>
          <w:rtl/>
        </w:rPr>
        <w:t>,</w:t>
      </w:r>
      <w:r w:rsidRPr="001E347F">
        <w:rPr>
          <w:rFonts w:cs="Arial"/>
          <w:rtl/>
        </w:rPr>
        <w:t xml:space="preserve"> ירושלמי (פי"א ה"ז) ולא פירות</w:t>
      </w:r>
      <w:r>
        <w:rPr>
          <w:rFonts w:cs="Arial" w:hint="cs"/>
          <w:rtl/>
        </w:rPr>
        <w:t xml:space="preserve"> -</w:t>
      </w:r>
      <w:r w:rsidRPr="001E347F">
        <w:rPr>
          <w:rFonts w:cs="Arial"/>
          <w:rtl/>
        </w:rPr>
        <w:t xml:space="preserve"> שאינה יכולה להוציא ממנו פירות שאכל</w:t>
      </w:r>
      <w:r>
        <w:rPr>
          <w:rFonts w:cs="Arial" w:hint="cs"/>
          <w:rtl/>
        </w:rPr>
        <w:t>, ב"י.</w:t>
      </w:r>
      <w:r w:rsidRPr="00B07582">
        <w:rPr>
          <w:rtl/>
        </w:rPr>
        <w:t xml:space="preserve"> </w:t>
      </w:r>
      <w:r w:rsidRPr="00B07582">
        <w:rPr>
          <w:rFonts w:cs="Arial"/>
          <w:rtl/>
        </w:rPr>
        <w:t xml:space="preserve">ומשמע אבל אם מונחים עדיין </w:t>
      </w:r>
      <w:r>
        <w:rPr>
          <w:rFonts w:cs="Arial" w:hint="cs"/>
          <w:rtl/>
        </w:rPr>
        <w:t xml:space="preserve">- </w:t>
      </w:r>
      <w:r w:rsidRPr="00B07582">
        <w:rPr>
          <w:rFonts w:cs="Arial"/>
          <w:rtl/>
        </w:rPr>
        <w:t>היא נוטלתן</w:t>
      </w:r>
      <w:r>
        <w:rPr>
          <w:rFonts w:cs="Arial" w:hint="cs"/>
          <w:rtl/>
        </w:rPr>
        <w:t xml:space="preserve">, דרכ"מ </w:t>
      </w:r>
      <w:r w:rsidRPr="00B07582">
        <w:rPr>
          <w:rFonts w:cs="Arial"/>
          <w:rtl/>
        </w:rPr>
        <w:t>(</w:t>
      </w:r>
      <w:r>
        <w:rPr>
          <w:rFonts w:cs="Arial" w:hint="cs"/>
          <w:rtl/>
        </w:rPr>
        <w:t xml:space="preserve">אות </w:t>
      </w:r>
      <w:r w:rsidRPr="00B07582">
        <w:rPr>
          <w:rFonts w:cs="Arial"/>
          <w:rtl/>
        </w:rPr>
        <w:t>א*)</w:t>
      </w:r>
      <w:r>
        <w:rPr>
          <w:rFonts w:cs="Arial" w:hint="cs"/>
          <w:rtl/>
        </w:rPr>
        <w:t>.</w:t>
      </w:r>
    </w:p>
  </w:footnote>
  <w:footnote w:id="2911">
    <w:p w14:paraId="13366FEF" w14:textId="77777777" w:rsidR="00392DBB" w:rsidRDefault="00392DBB" w:rsidP="00392DBB">
      <w:pPr>
        <w:pStyle w:val="a5"/>
        <w:rPr>
          <w:rtl/>
        </w:rPr>
      </w:pPr>
      <w:r>
        <w:rPr>
          <w:rStyle w:val="a7"/>
        </w:rPr>
        <w:footnoteRef/>
      </w:r>
      <w:r>
        <w:rPr>
          <w:rtl/>
        </w:rPr>
        <w:t xml:space="preserve"> </w:t>
      </w:r>
      <w:r>
        <w:rPr>
          <w:rFonts w:cs="Arial" w:hint="cs"/>
          <w:rtl/>
        </w:rPr>
        <w:t xml:space="preserve">וכתב הדרכ"מ </w:t>
      </w:r>
      <w:r w:rsidRPr="00B07582">
        <w:rPr>
          <w:rFonts w:cs="Arial"/>
          <w:rtl/>
        </w:rPr>
        <w:t>(</w:t>
      </w:r>
      <w:r>
        <w:rPr>
          <w:rFonts w:cs="Arial" w:hint="cs"/>
          <w:rtl/>
        </w:rPr>
        <w:t xml:space="preserve">אות </w:t>
      </w:r>
      <w:r w:rsidRPr="00B07582">
        <w:rPr>
          <w:rFonts w:cs="Arial"/>
          <w:rtl/>
        </w:rPr>
        <w:t>א*)</w:t>
      </w:r>
      <w:r>
        <w:rPr>
          <w:rFonts w:cs="Arial" w:hint="cs"/>
          <w:rtl/>
        </w:rPr>
        <w:t xml:space="preserve"> על דברי הרי"ף והרמב"ם ד</w:t>
      </w:r>
      <w:r w:rsidRPr="00B07582">
        <w:rPr>
          <w:rFonts w:cs="Arial"/>
          <w:rtl/>
        </w:rPr>
        <w:t xml:space="preserve">משמע אבל אם מונחים עדיין </w:t>
      </w:r>
      <w:r>
        <w:rPr>
          <w:rFonts w:cs="Arial" w:hint="cs"/>
          <w:rtl/>
        </w:rPr>
        <w:t xml:space="preserve">- </w:t>
      </w:r>
      <w:r w:rsidRPr="00B07582">
        <w:rPr>
          <w:rFonts w:cs="Arial"/>
          <w:rtl/>
        </w:rPr>
        <w:t>היא נוטלתן</w:t>
      </w:r>
      <w:r>
        <w:rPr>
          <w:rFonts w:cs="Arial" w:hint="cs"/>
          <w:rtl/>
        </w:rPr>
        <w:t>. עכ"ל.</w:t>
      </w:r>
      <w:r>
        <w:rPr>
          <w:rFonts w:hint="cs"/>
          <w:rtl/>
        </w:rPr>
        <w:t xml:space="preserve"> כך שלדעתו יש מחלוקת בין הטור לרמב"ם. וכן משמע בב"ש (סק"ד). אך אפשר לומר שהב"י רק תמה על הטור שפסק שלא כהרא"ש אבל לדעתו אין מחלוקת בין הטור לרמב"ם, וגם הרמב"ם מודה </w:t>
      </w:r>
      <w:r w:rsidRPr="00466E83">
        <w:rPr>
          <w:rFonts w:cs="Arial"/>
          <w:rtl/>
        </w:rPr>
        <w:t>דמיד שלקטן זכה בהן וכאלו אכלן דמי</w:t>
      </w:r>
      <w:r>
        <w:rPr>
          <w:rFonts w:hint="cs"/>
          <w:rtl/>
        </w:rPr>
        <w:t>. וכן משמע בח"מ (סק"ו).</w:t>
      </w:r>
    </w:p>
  </w:footnote>
  <w:footnote w:id="2912">
    <w:p w14:paraId="2A70D07C" w14:textId="77777777" w:rsidR="00392DBB" w:rsidRDefault="00392DBB" w:rsidP="00392DBB">
      <w:pPr>
        <w:pStyle w:val="a5"/>
      </w:pPr>
      <w:r>
        <w:rPr>
          <w:rStyle w:val="a7"/>
        </w:rPr>
        <w:footnoteRef/>
      </w:r>
      <w:r>
        <w:rPr>
          <w:rtl/>
        </w:rPr>
        <w:t xml:space="preserve"> </w:t>
      </w:r>
      <w:r>
        <w:rPr>
          <w:rFonts w:cs="Arial"/>
          <w:rtl/>
        </w:rPr>
        <w:t>היינו לומר דבכה"ג הוא דחייב לשלם בנכסי מלוג</w:t>
      </w:r>
      <w:r>
        <w:rPr>
          <w:rFonts w:cs="Arial" w:hint="cs"/>
          <w:rtl/>
        </w:rPr>
        <w:t>,</w:t>
      </w:r>
      <w:r>
        <w:rPr>
          <w:rFonts w:cs="Arial"/>
          <w:rtl/>
        </w:rPr>
        <w:t xml:space="preserve"> אבל אם נגנבו או אבדו אינו משלם כלל בנכסי מלוג</w:t>
      </w:r>
      <w:r>
        <w:rPr>
          <w:rFonts w:cs="Arial" w:hint="cs"/>
          <w:rtl/>
        </w:rPr>
        <w:t>.</w:t>
      </w:r>
      <w:r>
        <w:rPr>
          <w:rFonts w:cs="Arial"/>
          <w:rtl/>
        </w:rPr>
        <w:t xml:space="preserve"> ולגבי נכסי צאן ברזל הוי רבותא דאפילו בכה"ג אינו חייב לשלם וכל שכן כשנגנבו או אבדו</w:t>
      </w:r>
      <w:r>
        <w:rPr>
          <w:rFonts w:cs="Arial" w:hint="cs"/>
          <w:rtl/>
        </w:rPr>
        <w:t>.</w:t>
      </w:r>
      <w:r>
        <w:rPr>
          <w:rFonts w:cs="Arial"/>
          <w:rtl/>
        </w:rPr>
        <w:t xml:space="preserve"> אבל אין כן דעת הרמב"ם </w:t>
      </w:r>
      <w:r>
        <w:rPr>
          <w:rFonts w:cs="Arial" w:hint="cs"/>
          <w:rtl/>
        </w:rPr>
        <w:t>(</w:t>
      </w:r>
      <w:r>
        <w:rPr>
          <w:rFonts w:cs="Arial"/>
          <w:rtl/>
        </w:rPr>
        <w:t>פכ"ד ה"ח)</w:t>
      </w:r>
      <w:r>
        <w:rPr>
          <w:rFonts w:cs="Arial" w:hint="cs"/>
          <w:rtl/>
        </w:rPr>
        <w:t>..., ב"י.</w:t>
      </w:r>
    </w:p>
  </w:footnote>
  <w:footnote w:id="2913">
    <w:p w14:paraId="44FAE26A" w14:textId="5A12083B" w:rsidR="00392DBB" w:rsidRDefault="00392DBB" w:rsidP="00392DBB">
      <w:pPr>
        <w:pStyle w:val="a5"/>
        <w:rPr>
          <w:rtl/>
        </w:rPr>
      </w:pPr>
      <w:r>
        <w:rPr>
          <w:rStyle w:val="a7"/>
        </w:rPr>
        <w:footnoteRef/>
      </w:r>
      <w:r>
        <w:rPr>
          <w:rtl/>
        </w:rPr>
        <w:t xml:space="preserve"> </w:t>
      </w:r>
      <w:r>
        <w:rPr>
          <w:rFonts w:hint="cs"/>
          <w:rtl/>
        </w:rPr>
        <w:t xml:space="preserve">הר"ן (כתובות ס.) הסביר את הטעם בצורה יותר מפורטת, </w:t>
      </w:r>
      <w:r w:rsidR="0061020A">
        <w:rPr>
          <w:rFonts w:hint="cs"/>
          <w:rtl/>
        </w:rPr>
        <w:t>וז</w:t>
      </w:r>
      <w:r w:rsidR="0061020A">
        <w:rPr>
          <w:rtl/>
        </w:rPr>
        <w:t>"</w:t>
      </w:r>
      <w:r w:rsidR="0061020A">
        <w:rPr>
          <w:rFonts w:hint="cs"/>
          <w:rtl/>
        </w:rPr>
        <w:t>ל:</w:t>
      </w:r>
      <w:r>
        <w:rPr>
          <w:rFonts w:hint="cs"/>
          <w:rtl/>
        </w:rPr>
        <w:t xml:space="preserve"> </w:t>
      </w:r>
      <w:r w:rsidRPr="006C3414">
        <w:rPr>
          <w:rFonts w:cs="Arial"/>
          <w:rtl/>
        </w:rPr>
        <w:t>ונמצא דין אילונית הפך משאר הנשים היוצאות בגט שגובות נכסי צאן ברזל ואינן גובות בלאות מלוג שאינן קיימין כיון דס"ל פירא הוי</w:t>
      </w:r>
      <w:r w:rsidR="00826A91">
        <w:rPr>
          <w:rFonts w:cs="Arial" w:hint="cs"/>
          <w:rtl/>
        </w:rPr>
        <w:t>.</w:t>
      </w:r>
      <w:r w:rsidRPr="006C3414">
        <w:rPr>
          <w:rFonts w:cs="Arial"/>
          <w:rtl/>
        </w:rPr>
        <w:t xml:space="preserve"> וטעמא דמילתא שכיון שנשואי אילונית טעות</w:t>
      </w:r>
      <w:r w:rsidR="00826A91">
        <w:rPr>
          <w:rFonts w:cs="Arial" w:hint="cs"/>
          <w:rtl/>
        </w:rPr>
        <w:t>,</w:t>
      </w:r>
      <w:r w:rsidRPr="006C3414">
        <w:rPr>
          <w:rFonts w:cs="Arial"/>
          <w:rtl/>
        </w:rPr>
        <w:t xml:space="preserve"> נכסי מלוג שלא הקנתה אותן לבעל כלל </w:t>
      </w:r>
      <w:r w:rsidR="00061864">
        <w:rPr>
          <w:rFonts w:cs="Arial" w:hint="cs"/>
          <w:rtl/>
        </w:rPr>
        <w:t xml:space="preserve">- </w:t>
      </w:r>
      <w:r w:rsidRPr="006C3414">
        <w:rPr>
          <w:rFonts w:cs="Arial"/>
          <w:rtl/>
        </w:rPr>
        <w:t>משלם לה</w:t>
      </w:r>
      <w:r w:rsidR="00061864">
        <w:rPr>
          <w:rFonts w:cs="Arial" w:hint="cs"/>
          <w:rtl/>
        </w:rPr>
        <w:t>.</w:t>
      </w:r>
      <w:r w:rsidRPr="006C3414">
        <w:rPr>
          <w:rFonts w:cs="Arial"/>
          <w:rtl/>
        </w:rPr>
        <w:t xml:space="preserve"> אבל נכסי צאן ברזל כיון שהקנתה אותן לבעל והוא אינו חייב להחזירם אלא אם יגרשנה בגט </w:t>
      </w:r>
      <w:r w:rsidR="00061864">
        <w:rPr>
          <w:rFonts w:cs="Arial" w:hint="cs"/>
          <w:rtl/>
        </w:rPr>
        <w:t xml:space="preserve">- </w:t>
      </w:r>
      <w:r w:rsidRPr="006C3414">
        <w:rPr>
          <w:rFonts w:cs="Arial"/>
          <w:rtl/>
        </w:rPr>
        <w:t>לית לה</w:t>
      </w:r>
      <w:r>
        <w:rPr>
          <w:rFonts w:cs="Arial" w:hint="cs"/>
          <w:rtl/>
        </w:rPr>
        <w:t>.</w:t>
      </w:r>
    </w:p>
  </w:footnote>
  <w:footnote w:id="2914">
    <w:p w14:paraId="67CCCD47" w14:textId="76DB7C83" w:rsidR="00392DBB" w:rsidRPr="00826A91" w:rsidRDefault="00392DBB" w:rsidP="00392DBB">
      <w:pPr>
        <w:pStyle w:val="a5"/>
        <w:rPr>
          <w:color w:val="000000" w:themeColor="text1"/>
        </w:rPr>
      </w:pPr>
      <w:r>
        <w:rPr>
          <w:rStyle w:val="a7"/>
        </w:rPr>
        <w:footnoteRef/>
      </w:r>
      <w:r>
        <w:rPr>
          <w:rtl/>
        </w:rPr>
        <w:t xml:space="preserve"> </w:t>
      </w:r>
      <w:r>
        <w:rPr>
          <w:rFonts w:cs="Arial" w:hint="cs"/>
          <w:rtl/>
        </w:rPr>
        <w:t xml:space="preserve">וכן נראה לי מדברי הרי"ף </w:t>
      </w:r>
      <w:r>
        <w:rPr>
          <w:rFonts w:cs="Arial" w:hint="cs"/>
          <w:sz w:val="16"/>
          <w:szCs w:val="16"/>
          <w:rtl/>
        </w:rPr>
        <w:t>(כתובות שם)</w:t>
      </w:r>
      <w:r>
        <w:rPr>
          <w:rFonts w:cs="Arial" w:hint="cs"/>
          <w:rtl/>
        </w:rPr>
        <w:t xml:space="preserve"> והרא"ש </w:t>
      </w:r>
      <w:r>
        <w:rPr>
          <w:rFonts w:cs="Arial" w:hint="cs"/>
          <w:sz w:val="16"/>
          <w:szCs w:val="16"/>
          <w:rtl/>
        </w:rPr>
        <w:t>(כתובות שם)</w:t>
      </w:r>
      <w:r>
        <w:rPr>
          <w:rFonts w:cs="Arial" w:hint="cs"/>
          <w:rtl/>
        </w:rPr>
        <w:t xml:space="preserve">, שכתב הרי"ף (והעתיקו הרא"ש)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6C3414">
        <w:rPr>
          <w:rFonts w:cs="Arial"/>
          <w:rtl/>
        </w:rPr>
        <w:t>אי דאיתנהו</w:t>
      </w:r>
      <w:r>
        <w:rPr>
          <w:rFonts w:cs="Arial" w:hint="cs"/>
          <w:rtl/>
        </w:rPr>
        <w:t>,</w:t>
      </w:r>
      <w:r w:rsidRPr="006C3414">
        <w:rPr>
          <w:rFonts w:cs="Arial"/>
          <w:rtl/>
        </w:rPr>
        <w:t xml:space="preserve"> אידי ואידי אית לה</w:t>
      </w:r>
      <w:r>
        <w:rPr>
          <w:rFonts w:cs="Arial" w:hint="cs"/>
          <w:rtl/>
        </w:rPr>
        <w:t>.</w:t>
      </w:r>
      <w:r w:rsidRPr="006C3414">
        <w:rPr>
          <w:rFonts w:cs="Arial"/>
          <w:rtl/>
        </w:rPr>
        <w:t xml:space="preserve"> ואי דליתנהו</w:t>
      </w:r>
      <w:r>
        <w:rPr>
          <w:rFonts w:cs="Arial" w:hint="cs"/>
          <w:rtl/>
        </w:rPr>
        <w:t>,</w:t>
      </w:r>
      <w:r w:rsidRPr="006C3414">
        <w:rPr>
          <w:rFonts w:cs="Arial"/>
          <w:rtl/>
        </w:rPr>
        <w:t xml:space="preserve"> נכסי מלוג דברשותה קיימי </w:t>
      </w:r>
      <w:r>
        <w:rPr>
          <w:rFonts w:cs="Arial" w:hint="cs"/>
          <w:rtl/>
        </w:rPr>
        <w:t xml:space="preserve">- </w:t>
      </w:r>
      <w:r w:rsidRPr="006C3414">
        <w:rPr>
          <w:rFonts w:cs="Arial"/>
          <w:rtl/>
        </w:rPr>
        <w:t>אית לה</w:t>
      </w:r>
      <w:r>
        <w:rPr>
          <w:rFonts w:cs="Arial" w:hint="cs"/>
          <w:rtl/>
        </w:rPr>
        <w:t>.</w:t>
      </w:r>
      <w:r w:rsidRPr="006C3414">
        <w:rPr>
          <w:rFonts w:cs="Arial"/>
          <w:rtl/>
        </w:rPr>
        <w:t xml:space="preserve"> נכסי צאן ברזל דלאו ברשותה קיימי</w:t>
      </w:r>
      <w:r>
        <w:rPr>
          <w:rFonts w:cs="Arial" w:hint="cs"/>
          <w:rtl/>
        </w:rPr>
        <w:t xml:space="preserve"> -</w:t>
      </w:r>
      <w:r w:rsidRPr="006C3414">
        <w:rPr>
          <w:rFonts w:cs="Arial"/>
          <w:rtl/>
        </w:rPr>
        <w:t xml:space="preserve"> לית לה</w:t>
      </w:r>
      <w:r>
        <w:rPr>
          <w:rFonts w:cs="Arial" w:hint="cs"/>
          <w:rtl/>
        </w:rPr>
        <w:t xml:space="preserve">. עכ"ל. משמע בכל גוונא </w:t>
      </w:r>
      <w:r w:rsidRPr="00826A91">
        <w:rPr>
          <w:rFonts w:cs="Arial" w:hint="cs"/>
          <w:color w:val="000000" w:themeColor="text1"/>
          <w:rtl/>
        </w:rPr>
        <w:t xml:space="preserve">נכסי מלוג דליתנהו - חייב לשלם, בין אכל ובין נגנב. וצא"ב בכל גוונא </w:t>
      </w:r>
      <w:r w:rsidR="00F97626" w:rsidRPr="00826A91">
        <w:rPr>
          <w:rFonts w:cs="Arial"/>
          <w:color w:val="000000" w:themeColor="text1"/>
          <w:rtl/>
        </w:rPr>
        <w:t>-</w:t>
      </w:r>
      <w:r w:rsidRPr="00826A91">
        <w:rPr>
          <w:rFonts w:cs="Arial" w:hint="cs"/>
          <w:color w:val="000000" w:themeColor="text1"/>
          <w:rtl/>
        </w:rPr>
        <w:t xml:space="preserve"> אינו חייב לשלם. וצל"ע מדוע הב"י לא כתב כן בשמם. </w:t>
      </w:r>
    </w:p>
  </w:footnote>
  <w:footnote w:id="2915">
    <w:p w14:paraId="36EC15A7" w14:textId="77777777" w:rsidR="00392DBB" w:rsidRDefault="00392DBB" w:rsidP="00392DBB">
      <w:pPr>
        <w:pStyle w:val="a5"/>
      </w:pPr>
      <w:r>
        <w:rPr>
          <w:rStyle w:val="a7"/>
        </w:rPr>
        <w:footnoteRef/>
      </w:r>
      <w:r>
        <w:rPr>
          <w:rtl/>
        </w:rPr>
        <w:t xml:space="preserve"> </w:t>
      </w:r>
      <w:r w:rsidRPr="00BD0A12">
        <w:rPr>
          <w:rFonts w:cs="Arial"/>
          <w:rtl/>
        </w:rPr>
        <w:t>כוונתו שאין זוכה בכל מעשה ידיה אף אם נותן לה מעה כסף רק כפי מה שזן אות' צריכ' לשלם לו ולא אמרי' דמחלה לו</w:t>
      </w:r>
      <w:r>
        <w:rPr>
          <w:rFonts w:cs="Arial" w:hint="cs"/>
          <w:rtl/>
        </w:rPr>
        <w:t>.</w:t>
      </w:r>
      <w:r w:rsidRPr="00BD0A12">
        <w:rPr>
          <w:rFonts w:cs="Arial"/>
          <w:rtl/>
        </w:rPr>
        <w:t xml:space="preserve"> ואי לאו הריטב"א הייתי מפרש דאף שאין לה מזונות מעשה ידיה שלו כדי שלא תתעכב אצלו</w:t>
      </w:r>
      <w:r>
        <w:rPr>
          <w:rFonts w:cs="Arial" w:hint="cs"/>
          <w:rtl/>
        </w:rPr>
        <w:t>,</w:t>
      </w:r>
      <w:r w:rsidRPr="0070722E">
        <w:rPr>
          <w:rFonts w:hint="cs"/>
          <w:rtl/>
        </w:rPr>
        <w:t xml:space="preserve"> </w:t>
      </w:r>
      <w:r>
        <w:rPr>
          <w:rFonts w:hint="cs"/>
          <w:rtl/>
        </w:rPr>
        <w:t>ח"מ (סק"ג)</w:t>
      </w:r>
      <w:r>
        <w:rPr>
          <w:rFonts w:cs="Arial" w:hint="cs"/>
          <w:rtl/>
        </w:rPr>
        <w:t>.</w:t>
      </w:r>
    </w:p>
  </w:footnote>
  <w:footnote w:id="2916">
    <w:p w14:paraId="1A0780FC" w14:textId="24A3F036" w:rsidR="00392DBB" w:rsidRDefault="00392DBB" w:rsidP="00392DBB">
      <w:pPr>
        <w:pStyle w:val="a5"/>
      </w:pPr>
      <w:r>
        <w:rPr>
          <w:rStyle w:val="a7"/>
        </w:rPr>
        <w:footnoteRef/>
      </w:r>
      <w:r>
        <w:rPr>
          <w:rtl/>
        </w:rPr>
        <w:t xml:space="preserve"> </w:t>
      </w:r>
      <w:r w:rsidRPr="00A32360">
        <w:rPr>
          <w:rFonts w:cs="Arial"/>
          <w:rtl/>
        </w:rPr>
        <w:t>משמע דברישא בהכיר בה שיש לה כל תנאי כתובה חייב בפרקונה אע</w:t>
      </w:r>
      <w:r w:rsidR="0023111B">
        <w:rPr>
          <w:rFonts w:cs="Arial" w:hint="cs"/>
          <w:rtl/>
        </w:rPr>
        <w:t>"</w:t>
      </w:r>
      <w:r w:rsidRPr="00A32360">
        <w:rPr>
          <w:rFonts w:cs="Arial"/>
          <w:rtl/>
        </w:rPr>
        <w:t xml:space="preserve">ג דנתבאר לעיל </w:t>
      </w:r>
      <w:r w:rsidR="0023111B">
        <w:rPr>
          <w:rFonts w:cs="Arial" w:hint="cs"/>
          <w:rtl/>
        </w:rPr>
        <w:t>(</w:t>
      </w:r>
      <w:r w:rsidRPr="00A32360">
        <w:rPr>
          <w:rFonts w:cs="Arial"/>
          <w:rtl/>
        </w:rPr>
        <w:t>סי' עח סע</w:t>
      </w:r>
      <w:r w:rsidR="0023111B">
        <w:rPr>
          <w:rFonts w:cs="Arial" w:hint="cs"/>
          <w:rtl/>
        </w:rPr>
        <w:t>'</w:t>
      </w:r>
      <w:r w:rsidRPr="00A32360">
        <w:rPr>
          <w:rFonts w:cs="Arial"/>
          <w:rtl/>
        </w:rPr>
        <w:t xml:space="preserve"> ז</w:t>
      </w:r>
      <w:r w:rsidR="0023111B">
        <w:rPr>
          <w:rFonts w:cs="Arial" w:hint="cs"/>
          <w:rtl/>
        </w:rPr>
        <w:t>)</w:t>
      </w:r>
      <w:r w:rsidRPr="00A32360">
        <w:rPr>
          <w:rFonts w:cs="Arial"/>
          <w:rtl/>
        </w:rPr>
        <w:t xml:space="preserve"> דהאשה האסור</w:t>
      </w:r>
      <w:r w:rsidR="0023111B">
        <w:rPr>
          <w:rFonts w:cs="Arial" w:hint="cs"/>
          <w:rtl/>
        </w:rPr>
        <w:t>ה</w:t>
      </w:r>
      <w:r w:rsidRPr="00A32360">
        <w:rPr>
          <w:rFonts w:cs="Arial"/>
          <w:rtl/>
        </w:rPr>
        <w:t xml:space="preserve"> על בעלה מחייבי לאוין אינו חייב לפדותה</w:t>
      </w:r>
      <w:r w:rsidR="0023111B">
        <w:rPr>
          <w:rFonts w:cs="Arial" w:hint="cs"/>
          <w:rtl/>
        </w:rPr>
        <w:t>,</w:t>
      </w:r>
      <w:r w:rsidRPr="00A32360">
        <w:rPr>
          <w:rFonts w:cs="Arial"/>
          <w:rtl/>
        </w:rPr>
        <w:t xml:space="preserve"> היינו שאינו חייב לפדותה משלו אבל הפירות שאכל חייב להחזיר כשנשבית</w:t>
      </w:r>
      <w:r w:rsidR="00D57C74">
        <w:rPr>
          <w:rFonts w:cs="Arial" w:hint="cs"/>
          <w:rtl/>
        </w:rPr>
        <w:t>,</w:t>
      </w:r>
      <w:r w:rsidRPr="00A32360">
        <w:rPr>
          <w:rFonts w:cs="Arial"/>
          <w:rtl/>
        </w:rPr>
        <w:t xml:space="preserve"> אבל אם לא נשבית א"צ להחזיר הפירות</w:t>
      </w:r>
      <w:r w:rsidR="00D57C74">
        <w:rPr>
          <w:rFonts w:cs="Arial" w:hint="cs"/>
          <w:rtl/>
        </w:rPr>
        <w:t>.</w:t>
      </w:r>
      <w:r w:rsidRPr="00A32360">
        <w:rPr>
          <w:rFonts w:cs="Arial"/>
          <w:rtl/>
        </w:rPr>
        <w:t xml:space="preserve"> אבל רש"י כתב אף בלא נשבית יש לה פירות וצריך הבעל להחזיר כל הפירות</w:t>
      </w:r>
      <w:r w:rsidR="00D57C74">
        <w:rPr>
          <w:rFonts w:cs="Arial" w:hint="cs"/>
          <w:rtl/>
        </w:rPr>
        <w:t>,</w:t>
      </w:r>
      <w:r w:rsidRPr="00A32360">
        <w:rPr>
          <w:rFonts w:cs="Arial"/>
          <w:rtl/>
        </w:rPr>
        <w:t xml:space="preserve"> וכ"כ הרמב"ם והמ"מ</w:t>
      </w:r>
      <w:r w:rsidR="00D57C74">
        <w:rPr>
          <w:rFonts w:cs="Arial" w:hint="cs"/>
          <w:rtl/>
        </w:rPr>
        <w:t xml:space="preserve">. </w:t>
      </w:r>
      <w:r w:rsidRPr="00A32360">
        <w:rPr>
          <w:rFonts w:cs="Arial"/>
          <w:rtl/>
        </w:rPr>
        <w:t>ובלא הכיר בה כתב הרמב"ם שאין מוציאין מן הבעל פירות שאכל</w:t>
      </w:r>
      <w:r w:rsidR="00D57C74">
        <w:rPr>
          <w:rFonts w:cs="Arial" w:hint="cs"/>
          <w:rtl/>
        </w:rPr>
        <w:t>.</w:t>
      </w:r>
      <w:r w:rsidRPr="00A32360">
        <w:rPr>
          <w:rFonts w:cs="Arial"/>
          <w:rtl/>
        </w:rPr>
        <w:t xml:space="preserve"> ולפ"ז לדעת הרמב"ם אף שיש לחייבי לאוין כתובה בהכיר בה אין לה תנאי כתובה דפרקונה הואיל ולא זכה הבעל בפירות דהא מכיסו פשיטא דא"צ לפדות ומה שאכל אף בלא נשבית צריך להחזיר</w:t>
      </w:r>
      <w:r>
        <w:rPr>
          <w:rFonts w:cs="Arial" w:hint="cs"/>
          <w:rtl/>
        </w:rPr>
        <w:t>, ח"מ (סק"ד).</w:t>
      </w:r>
    </w:p>
  </w:footnote>
  <w:footnote w:id="2917">
    <w:p w14:paraId="2CEC0ACE" w14:textId="61F4A0AC" w:rsidR="00392DBB" w:rsidRDefault="00392DBB" w:rsidP="00392DBB">
      <w:pPr>
        <w:pStyle w:val="a5"/>
      </w:pPr>
      <w:r>
        <w:rPr>
          <w:rStyle w:val="a7"/>
        </w:rPr>
        <w:footnoteRef/>
      </w:r>
      <w:r>
        <w:rPr>
          <w:rtl/>
        </w:rPr>
        <w:t xml:space="preserve"> </w:t>
      </w:r>
      <w:r w:rsidRPr="00466E83">
        <w:rPr>
          <w:rFonts w:cs="Arial"/>
          <w:rtl/>
        </w:rPr>
        <w:t>דין זה מוסכם בשלא הכיר בה שזכה בפירות ואין חייב בפרקונה</w:t>
      </w:r>
      <w:r w:rsidR="00D57C74">
        <w:rPr>
          <w:rFonts w:cs="Arial" w:hint="cs"/>
          <w:rtl/>
        </w:rPr>
        <w:t>.</w:t>
      </w:r>
      <w:r w:rsidRPr="00466E83">
        <w:rPr>
          <w:rFonts w:cs="Arial"/>
          <w:rtl/>
        </w:rPr>
        <w:t xml:space="preserve"> אבל בהכיר בה לדעת רש"י והרמב"ם מוציאין הפירות אף בלא נשבית</w:t>
      </w:r>
      <w:r w:rsidR="00D57C74">
        <w:rPr>
          <w:rFonts w:cs="Arial" w:hint="cs"/>
          <w:rtl/>
        </w:rPr>
        <w:t>,</w:t>
      </w:r>
      <w:r w:rsidRPr="00466E83">
        <w:rPr>
          <w:rFonts w:cs="Arial"/>
          <w:rtl/>
        </w:rPr>
        <w:t xml:space="preserve"> ולדעת התוספות דוקא בנשבית</w:t>
      </w:r>
      <w:r>
        <w:rPr>
          <w:rFonts w:cs="Arial" w:hint="cs"/>
          <w:rtl/>
        </w:rPr>
        <w:t>, ח"מ (סק"ה).</w:t>
      </w:r>
    </w:p>
  </w:footnote>
  <w:footnote w:id="2918">
    <w:p w14:paraId="766750B5" w14:textId="447D195B" w:rsidR="00392DBB" w:rsidRDefault="00392DBB" w:rsidP="00392DBB">
      <w:pPr>
        <w:pStyle w:val="a5"/>
      </w:pPr>
      <w:r>
        <w:rPr>
          <w:rStyle w:val="a7"/>
        </w:rPr>
        <w:footnoteRef/>
      </w:r>
      <w:r>
        <w:rPr>
          <w:rtl/>
        </w:rPr>
        <w:t xml:space="preserve"> </w:t>
      </w:r>
      <w:r w:rsidRPr="00C148D2">
        <w:rPr>
          <w:rFonts w:cs="Arial"/>
          <w:rtl/>
        </w:rPr>
        <w:t>לשון הגמרא נצ"ב דלאו ברשות' קיימ'</w:t>
      </w:r>
      <w:r w:rsidR="002A6F67">
        <w:rPr>
          <w:rFonts w:cs="Arial" w:hint="cs"/>
          <w:rtl/>
        </w:rPr>
        <w:t>,</w:t>
      </w:r>
      <w:r w:rsidRPr="00C148D2">
        <w:rPr>
          <w:rFonts w:cs="Arial"/>
          <w:rtl/>
        </w:rPr>
        <w:t xml:space="preserve"> כלומר שהוא קיבל עליו אחריות וברשות הוציאן</w:t>
      </w:r>
      <w:r w:rsidR="002A6F67">
        <w:rPr>
          <w:rFonts w:cs="Arial" w:hint="cs"/>
          <w:rtl/>
        </w:rPr>
        <w:t>,</w:t>
      </w:r>
      <w:r w:rsidRPr="00C148D2">
        <w:rPr>
          <w:rFonts w:cs="Arial"/>
          <w:rtl/>
        </w:rPr>
        <w:t xml:space="preserve"> לית לה</w:t>
      </w:r>
      <w:r w:rsidR="002A6F67">
        <w:rPr>
          <w:rFonts w:cs="Arial" w:hint="cs"/>
          <w:rtl/>
        </w:rPr>
        <w:t>.</w:t>
      </w:r>
      <w:r w:rsidRPr="00C148D2">
        <w:rPr>
          <w:rFonts w:cs="Arial"/>
          <w:rtl/>
        </w:rPr>
        <w:t xml:space="preserve"> אבל נ"מ אין לו רשות לכלות הקרן</w:t>
      </w:r>
      <w:r w:rsidR="002A6F67">
        <w:rPr>
          <w:rFonts w:cs="Arial" w:hint="cs"/>
          <w:rtl/>
        </w:rPr>
        <w:t>.</w:t>
      </w:r>
      <w:r w:rsidRPr="00C148D2">
        <w:rPr>
          <w:rFonts w:cs="Arial"/>
          <w:rtl/>
        </w:rPr>
        <w:t xml:space="preserve"> הילכך סברא דקרן של צ"ב א"צ לשלם</w:t>
      </w:r>
      <w:r w:rsidR="002A6F67">
        <w:rPr>
          <w:rFonts w:cs="Arial" w:hint="cs"/>
          <w:rtl/>
        </w:rPr>
        <w:t>,</w:t>
      </w:r>
      <w:r w:rsidRPr="00C148D2">
        <w:rPr>
          <w:rFonts w:cs="Arial"/>
          <w:rtl/>
        </w:rPr>
        <w:t xml:space="preserve"> וקרן של נ"מ צריך לשלם ואית לה</w:t>
      </w:r>
      <w:r w:rsidR="006C1B1F">
        <w:rPr>
          <w:rFonts w:cs="Arial" w:hint="cs"/>
          <w:rtl/>
        </w:rPr>
        <w:t>.</w:t>
      </w:r>
      <w:r w:rsidRPr="00C148D2">
        <w:rPr>
          <w:rFonts w:cs="Arial"/>
          <w:rtl/>
        </w:rPr>
        <w:t xml:space="preserve"> ואי עיילא ליה גלימא ונשתמש בה ובלה היינו פירי</w:t>
      </w:r>
      <w:r w:rsidR="006C1B1F">
        <w:rPr>
          <w:rFonts w:cs="Arial" w:hint="cs"/>
          <w:rtl/>
        </w:rPr>
        <w:t>.</w:t>
      </w:r>
      <w:r w:rsidRPr="00C148D2">
        <w:rPr>
          <w:rFonts w:cs="Arial"/>
          <w:rtl/>
        </w:rPr>
        <w:t xml:space="preserve"> וכבר נתבאר דפירי שאכל הם שלו</w:t>
      </w:r>
      <w:r w:rsidR="006C1B1F">
        <w:rPr>
          <w:rFonts w:cs="Arial" w:hint="cs"/>
          <w:rtl/>
        </w:rPr>
        <w:t>.</w:t>
      </w:r>
      <w:r w:rsidRPr="00C148D2">
        <w:rPr>
          <w:rFonts w:cs="Arial"/>
          <w:rtl/>
        </w:rPr>
        <w:t xml:space="preserve"> אבל בגניבה ואבידה דנ"מ חייב אע</w:t>
      </w:r>
      <w:r w:rsidR="006C1B1F">
        <w:rPr>
          <w:rFonts w:cs="Arial" w:hint="cs"/>
          <w:rtl/>
        </w:rPr>
        <w:t>"</w:t>
      </w:r>
      <w:r w:rsidRPr="00C148D2">
        <w:rPr>
          <w:rFonts w:cs="Arial"/>
          <w:rtl/>
        </w:rPr>
        <w:t>ג דבשאר נשים אם אבדו בפשיעתו הוי פשיעה בבעלים ופטור כמו שנתבאר לעיל סי' פ"ה</w:t>
      </w:r>
      <w:r w:rsidR="006C1B1F">
        <w:rPr>
          <w:rFonts w:cs="Arial" w:hint="cs"/>
          <w:rtl/>
        </w:rPr>
        <w:t>,</w:t>
      </w:r>
      <w:r w:rsidRPr="00C148D2">
        <w:rPr>
          <w:rFonts w:cs="Arial"/>
          <w:rtl/>
        </w:rPr>
        <w:t xml:space="preserve"> הכא כיון דלאו אשתו גמורה היא חייב אפילו בגניבה ואבידה כל שנשתמש בהן ונכנסו לרשותו דלאו עמו במלאכתו היא</w:t>
      </w:r>
      <w:r w:rsidR="006C1B1F">
        <w:rPr>
          <w:rFonts w:cs="Arial" w:hint="cs"/>
          <w:rtl/>
        </w:rPr>
        <w:t>.</w:t>
      </w:r>
      <w:r w:rsidRPr="00C148D2">
        <w:rPr>
          <w:rFonts w:cs="Arial"/>
          <w:rtl/>
        </w:rPr>
        <w:t xml:space="preserve"> ומשמע דאפי' עדיין לא נשתמש בהם מאחר שהפירו</w:t>
      </w:r>
      <w:r w:rsidR="006C1B1F">
        <w:rPr>
          <w:rFonts w:cs="Arial" w:hint="cs"/>
          <w:rtl/>
        </w:rPr>
        <w:t>ת</w:t>
      </w:r>
      <w:r w:rsidRPr="00C148D2">
        <w:rPr>
          <w:rFonts w:cs="Arial"/>
          <w:rtl/>
        </w:rPr>
        <w:t xml:space="preserve"> הם שלו נעשה עליהם ש"ש</w:t>
      </w:r>
      <w:r w:rsidR="000E40E5">
        <w:rPr>
          <w:rFonts w:cs="Arial" w:hint="cs"/>
          <w:rtl/>
        </w:rPr>
        <w:t>.</w:t>
      </w:r>
      <w:r w:rsidRPr="00C148D2">
        <w:rPr>
          <w:rFonts w:cs="Arial"/>
          <w:rtl/>
        </w:rPr>
        <w:t xml:space="preserve"> ועיין בב"ח מ"ש בזה</w:t>
      </w:r>
      <w:r w:rsidR="000E40E5">
        <w:rPr>
          <w:rFonts w:cs="Arial" w:hint="cs"/>
          <w:rtl/>
        </w:rPr>
        <w:t>,</w:t>
      </w:r>
      <w:r w:rsidRPr="00C148D2">
        <w:rPr>
          <w:rFonts w:cs="Arial"/>
          <w:rtl/>
        </w:rPr>
        <w:t xml:space="preserve"> ואין דבריו מוכרחים</w:t>
      </w:r>
      <w:r w:rsidR="000E40E5">
        <w:rPr>
          <w:rFonts w:cs="Arial" w:hint="cs"/>
          <w:rtl/>
        </w:rPr>
        <w:t>,</w:t>
      </w:r>
      <w:r w:rsidRPr="00C148D2">
        <w:rPr>
          <w:rFonts w:cs="Arial"/>
          <w:rtl/>
        </w:rPr>
        <w:t xml:space="preserve"> וסתם אבד או נגנב ממילא משמע</w:t>
      </w:r>
      <w:r>
        <w:rPr>
          <w:rFonts w:cs="Arial" w:hint="cs"/>
          <w:rtl/>
        </w:rPr>
        <w:t>, ח"מ (סק"ז).</w:t>
      </w:r>
    </w:p>
  </w:footnote>
  <w:footnote w:id="2919">
    <w:p w14:paraId="749021B8" w14:textId="77777777" w:rsidR="00392DBB" w:rsidRDefault="00392DBB" w:rsidP="00392DBB">
      <w:pPr>
        <w:pStyle w:val="a5"/>
      </w:pPr>
      <w:r>
        <w:rPr>
          <w:rStyle w:val="a7"/>
        </w:rPr>
        <w:footnoteRef/>
      </w:r>
      <w:r>
        <w:rPr>
          <w:rtl/>
        </w:rPr>
        <w:t xml:space="preserve"> </w:t>
      </w:r>
      <w:r w:rsidRPr="005F6F5A">
        <w:rPr>
          <w:rFonts w:cs="Arial"/>
          <w:rtl/>
        </w:rPr>
        <w:t xml:space="preserve">ממאנת </w:t>
      </w:r>
      <w:r>
        <w:rPr>
          <w:rFonts w:cs="Arial" w:hint="cs"/>
          <w:rtl/>
        </w:rPr>
        <w:t xml:space="preserve">- </w:t>
      </w:r>
      <w:r w:rsidRPr="005F6F5A">
        <w:rPr>
          <w:rFonts w:cs="Arial"/>
          <w:rtl/>
        </w:rPr>
        <w:t>משום דמעצמה יוצאה</w:t>
      </w:r>
      <w:r>
        <w:rPr>
          <w:rFonts w:cs="Arial" w:hint="cs"/>
          <w:rtl/>
        </w:rPr>
        <w:t>.</w:t>
      </w:r>
      <w:r w:rsidRPr="005F6F5A">
        <w:rPr>
          <w:rFonts w:cs="Arial"/>
          <w:rtl/>
        </w:rPr>
        <w:t xml:space="preserve"> שניה </w:t>
      </w:r>
      <w:r>
        <w:rPr>
          <w:rFonts w:cs="Arial" w:hint="cs"/>
          <w:rtl/>
        </w:rPr>
        <w:t xml:space="preserve">- </w:t>
      </w:r>
      <w:r w:rsidRPr="005F6F5A">
        <w:rPr>
          <w:rFonts w:cs="Arial"/>
          <w:rtl/>
        </w:rPr>
        <w:t>קנסא דרבנן הוא כדאמרינן ביבמות בפרק יש מותרות (פה:) מפני שהיא מרגילתו לנושאה שאינה מפסדת כלום בנשואין שאינה נפסלת בהן וולדה כשר</w:t>
      </w:r>
      <w:r>
        <w:rPr>
          <w:rFonts w:cs="Arial" w:hint="cs"/>
          <w:rtl/>
        </w:rPr>
        <w:t>.</w:t>
      </w:r>
      <w:r w:rsidRPr="005F6F5A">
        <w:rPr>
          <w:rFonts w:cs="Arial"/>
          <w:rtl/>
        </w:rPr>
        <w:t xml:space="preserve"> איילונית </w:t>
      </w:r>
      <w:r>
        <w:rPr>
          <w:rFonts w:cs="Arial" w:hint="cs"/>
          <w:rtl/>
        </w:rPr>
        <w:t xml:space="preserve">- </w:t>
      </w:r>
      <w:r w:rsidRPr="005F6F5A">
        <w:rPr>
          <w:rFonts w:cs="Arial"/>
          <w:rtl/>
        </w:rPr>
        <w:t>משום דמקח טעות הוא</w:t>
      </w:r>
      <w:r>
        <w:rPr>
          <w:rFonts w:cs="Arial" w:hint="cs"/>
          <w:rtl/>
        </w:rPr>
        <w:t>, רש"י.</w:t>
      </w:r>
    </w:p>
  </w:footnote>
  <w:footnote w:id="2920">
    <w:p w14:paraId="586A7452" w14:textId="77777777" w:rsidR="00392DBB" w:rsidRDefault="00392DBB" w:rsidP="00392DBB">
      <w:pPr>
        <w:pStyle w:val="a5"/>
      </w:pPr>
      <w:r>
        <w:rPr>
          <w:rStyle w:val="a7"/>
        </w:rPr>
        <w:footnoteRef/>
      </w:r>
      <w:r>
        <w:rPr>
          <w:rtl/>
        </w:rPr>
        <w:t xml:space="preserve"> </w:t>
      </w:r>
      <w:r w:rsidRPr="00FF6EBB">
        <w:rPr>
          <w:rFonts w:cs="Arial"/>
          <w:rtl/>
        </w:rPr>
        <w:t>דין פירות והוא פירקונה שתקנו חכמים תחת פירות נכסי מלוג שהוא אוכל אין לה ואם נשבית אינו חייב לפדותה דתנאי כתובה ככתובה וכיון דאין לה כתובה אין לה תנאי כתובה</w:t>
      </w:r>
      <w:r>
        <w:rPr>
          <w:rFonts w:cs="Arial" w:hint="cs"/>
          <w:rtl/>
        </w:rPr>
        <w:t>..., רש"י.</w:t>
      </w:r>
    </w:p>
  </w:footnote>
  <w:footnote w:id="2921">
    <w:p w14:paraId="06FD5DF6" w14:textId="239C1FC7" w:rsidR="00392DBB" w:rsidRDefault="00392DBB" w:rsidP="00392DBB">
      <w:pPr>
        <w:pStyle w:val="a5"/>
      </w:pPr>
      <w:r>
        <w:rPr>
          <w:rStyle w:val="a7"/>
        </w:rPr>
        <w:footnoteRef/>
      </w:r>
      <w:r>
        <w:rPr>
          <w:rtl/>
        </w:rPr>
        <w:t xml:space="preserve"> </w:t>
      </w:r>
      <w:r>
        <w:rPr>
          <w:rFonts w:cs="Arial"/>
          <w:rtl/>
        </w:rPr>
        <w:t>פירש רש"י (קא. ד"ה אבל) משום דתוספת מתנה בעלמא הוא דיהיב לה בחיבת ביאה. וז"ל הרמב"ם בפכ"ד (ה"ג) ולמה אין להן עיקר ויש להם תוספת</w:t>
      </w:r>
      <w:r w:rsidR="0027692F">
        <w:rPr>
          <w:rFonts w:cs="Arial" w:hint="cs"/>
          <w:rtl/>
        </w:rPr>
        <w:t>,</w:t>
      </w:r>
      <w:r>
        <w:rPr>
          <w:rFonts w:cs="Arial"/>
          <w:rtl/>
        </w:rPr>
        <w:t xml:space="preserve"> העיקר שהיא תקנת חכמים כדי שלא תהיה קלה בעיניו להוציאה הואיל ולא הכיר בה </w:t>
      </w:r>
      <w:r w:rsidR="0027692F">
        <w:rPr>
          <w:rFonts w:cs="Arial" w:hint="cs"/>
          <w:rtl/>
        </w:rPr>
        <w:t xml:space="preserve">- </w:t>
      </w:r>
      <w:r>
        <w:rPr>
          <w:rFonts w:cs="Arial"/>
          <w:rtl/>
        </w:rPr>
        <w:t>אין לה עיקר</w:t>
      </w:r>
      <w:r w:rsidR="0027692F">
        <w:rPr>
          <w:rFonts w:cs="Arial" w:hint="cs"/>
          <w:rtl/>
        </w:rPr>
        <w:t>.</w:t>
      </w:r>
      <w:r>
        <w:rPr>
          <w:rFonts w:cs="Arial"/>
          <w:rtl/>
        </w:rPr>
        <w:t xml:space="preserve"> אבל תוספת שהוא חייב עצמו בה כל זמן שתרצה ותעמוד לפניו</w:t>
      </w:r>
      <w:r w:rsidR="0027692F">
        <w:rPr>
          <w:rFonts w:cs="Arial" w:hint="cs"/>
          <w:rtl/>
        </w:rPr>
        <w:t>,</w:t>
      </w:r>
      <w:r>
        <w:rPr>
          <w:rFonts w:cs="Arial"/>
          <w:rtl/>
        </w:rPr>
        <w:t xml:space="preserve"> הרי עמדה בתנאי שלה והרי הקנת לו הנאתה והרי היא עומדת</w:t>
      </w:r>
      <w:r w:rsidR="007E268E">
        <w:rPr>
          <w:rFonts w:cs="Arial" w:hint="cs"/>
          <w:rtl/>
        </w:rPr>
        <w:t>,</w:t>
      </w:r>
      <w:r>
        <w:rPr>
          <w:rFonts w:cs="Arial"/>
          <w:rtl/>
        </w:rPr>
        <w:t xml:space="preserve"> אבל התורה אסרה עליו ומה היא יכולה לעשות</w:t>
      </w:r>
      <w:r w:rsidR="0027692F">
        <w:rPr>
          <w:rFonts w:cs="Arial" w:hint="cs"/>
          <w:rtl/>
        </w:rPr>
        <w:t>,</w:t>
      </w:r>
      <w:r>
        <w:rPr>
          <w:rFonts w:cs="Arial"/>
          <w:rtl/>
        </w:rPr>
        <w:t xml:space="preserve"> לפיכך יש לה תוספת</w:t>
      </w:r>
      <w:r w:rsidR="007E268E">
        <w:rPr>
          <w:rFonts w:cs="Arial" w:hint="cs"/>
          <w:rtl/>
        </w:rPr>
        <w:t>,</w:t>
      </w:r>
      <w:r>
        <w:rPr>
          <w:rFonts w:cs="Arial"/>
          <w:rtl/>
        </w:rPr>
        <w:t xml:space="preserve"> שאין מעשיה הן הגורמין לה להאסר אלא אסורה היתה מקודם עכ"ל</w:t>
      </w:r>
      <w:r>
        <w:rPr>
          <w:rFonts w:cs="Arial" w:hint="cs"/>
          <w:rtl/>
        </w:rPr>
        <w:t xml:space="preserve">, </w:t>
      </w:r>
      <w:r w:rsidRPr="007E268E">
        <w:rPr>
          <w:rFonts w:cs="Arial" w:hint="cs"/>
          <w:b/>
          <w:bCs/>
          <w:rtl/>
        </w:rPr>
        <w:t>ב"י</w:t>
      </w:r>
      <w:r>
        <w:rPr>
          <w:rFonts w:cs="Arial" w:hint="cs"/>
          <w:rtl/>
        </w:rPr>
        <w:t>.</w:t>
      </w:r>
      <w:r w:rsidRPr="00C90FBA">
        <w:rPr>
          <w:rFonts w:cs="Arial" w:hint="cs"/>
          <w:rtl/>
        </w:rPr>
        <w:t xml:space="preserve"> </w:t>
      </w:r>
      <w:r w:rsidRPr="007E268E">
        <w:rPr>
          <w:rFonts w:cs="Arial" w:hint="cs"/>
          <w:b/>
          <w:bCs/>
          <w:rtl/>
        </w:rPr>
        <w:t>והר"ן</w:t>
      </w:r>
      <w:r>
        <w:rPr>
          <w:rFonts w:cs="Arial" w:hint="cs"/>
          <w:rtl/>
        </w:rPr>
        <w:t xml:space="preserve"> (נט: מדפה"ר) כתב </w:t>
      </w:r>
      <w:r w:rsidR="0061020A">
        <w:rPr>
          <w:rFonts w:cs="Arial" w:hint="cs"/>
          <w:rtl/>
        </w:rPr>
        <w:t>וז</w:t>
      </w:r>
      <w:r w:rsidR="0061020A">
        <w:rPr>
          <w:rFonts w:cs="Arial"/>
          <w:rtl/>
        </w:rPr>
        <w:t>"</w:t>
      </w:r>
      <w:r w:rsidR="0061020A">
        <w:rPr>
          <w:rFonts w:cs="Arial" w:hint="cs"/>
          <w:rtl/>
        </w:rPr>
        <w:t>ל:</w:t>
      </w:r>
      <w:r>
        <w:rPr>
          <w:rFonts w:cs="Arial" w:hint="cs"/>
          <w:rtl/>
        </w:rPr>
        <w:t xml:space="preserve"> </w:t>
      </w:r>
      <w:r w:rsidRPr="00C90FBA">
        <w:rPr>
          <w:rFonts w:cs="Arial"/>
          <w:rtl/>
        </w:rPr>
        <w:t>אית לה תוספת שכיון שהוסיף לה מדעתו ולא חשש לשמא תמצא אילונית רצה ליזוק בנכסיו</w:t>
      </w:r>
      <w:r>
        <w:rPr>
          <w:rFonts w:cs="Arial" w:hint="cs"/>
          <w:rtl/>
        </w:rPr>
        <w:t>.</w:t>
      </w:r>
    </w:p>
  </w:footnote>
  <w:footnote w:id="2922">
    <w:p w14:paraId="7065EAB8" w14:textId="25C3A09B" w:rsidR="000551D8" w:rsidRPr="000551D8" w:rsidRDefault="000551D8" w:rsidP="000551D8">
      <w:pPr>
        <w:pStyle w:val="a5"/>
        <w:rPr>
          <w:rFonts w:cs="Arial"/>
          <w:rtl/>
        </w:rPr>
      </w:pPr>
      <w:r>
        <w:rPr>
          <w:rStyle w:val="a7"/>
        </w:rPr>
        <w:footnoteRef/>
      </w:r>
      <w:r>
        <w:rPr>
          <w:rtl/>
        </w:rPr>
        <w:t xml:space="preserve"> </w:t>
      </w:r>
      <w:r w:rsidRPr="003C7FB6">
        <w:rPr>
          <w:rFonts w:cs="Arial"/>
          <w:rtl/>
        </w:rPr>
        <w:t>כתב הר"ן פרק אלמנה נזונת (נט. ד"ה גמ') הא דאילונית יש לה תוספת היינו שהוא מוציאה אבל אם היא רוצה לצאת אין לה תוספת דכי אקני לה אדעתא למיקם קמיה עכ"ל</w:t>
      </w:r>
      <w:r>
        <w:rPr>
          <w:rFonts w:cs="Arial" w:hint="cs"/>
          <w:rtl/>
        </w:rPr>
        <w:t>, דרכ"מ (אות ג).</w:t>
      </w:r>
    </w:p>
  </w:footnote>
  <w:footnote w:id="2923">
    <w:p w14:paraId="664F3C7D" w14:textId="23F19753" w:rsidR="00C6452B" w:rsidRDefault="00C6452B" w:rsidP="00C6452B">
      <w:pPr>
        <w:pStyle w:val="a5"/>
        <w:rPr>
          <w:rtl/>
        </w:rPr>
      </w:pPr>
      <w:r>
        <w:rPr>
          <w:rStyle w:val="a7"/>
        </w:rPr>
        <w:footnoteRef/>
      </w:r>
      <w:r>
        <w:rPr>
          <w:rtl/>
        </w:rPr>
        <w:t xml:space="preserve"> </w:t>
      </w:r>
      <w:r w:rsidRPr="003C7FB6">
        <w:rPr>
          <w:rFonts w:cs="Arial"/>
          <w:rtl/>
        </w:rPr>
        <w:t>כתב הר"ן פרק אלמנה נזונת (נט. ד"ה מתני') דאם לותה ואכלה ואח"כ נמצאת אילונית חייב לשלם וע"ש</w:t>
      </w:r>
      <w:r>
        <w:rPr>
          <w:rFonts w:cs="Arial" w:hint="cs"/>
          <w:rtl/>
        </w:rPr>
        <w:t>, דרכ"מ (אות ג).</w:t>
      </w:r>
    </w:p>
  </w:footnote>
  <w:footnote w:id="2924">
    <w:p w14:paraId="459DC62B" w14:textId="77777777" w:rsidR="00392DBB" w:rsidRDefault="00392DBB" w:rsidP="00392DBB">
      <w:pPr>
        <w:pStyle w:val="a5"/>
      </w:pPr>
      <w:r>
        <w:rPr>
          <w:rStyle w:val="a7"/>
        </w:rPr>
        <w:footnoteRef/>
      </w:r>
      <w:r>
        <w:rPr>
          <w:rtl/>
        </w:rPr>
        <w:t xml:space="preserve"> </w:t>
      </w:r>
      <w:r>
        <w:rPr>
          <w:rFonts w:hint="cs"/>
          <w:rtl/>
        </w:rPr>
        <w:t>וכ"כ הנמוק"י (יבמות כ:) גבי הא דת"ר (סה.) נישאת לראשון ולא היו לו בנים..., חידושי הגהות (על הטור, אות ב).</w:t>
      </w:r>
    </w:p>
  </w:footnote>
  <w:footnote w:id="2925">
    <w:p w14:paraId="50C84419" w14:textId="77777777" w:rsidR="00392DBB" w:rsidRDefault="00392DBB" w:rsidP="00392DBB">
      <w:pPr>
        <w:pStyle w:val="a5"/>
      </w:pPr>
      <w:r>
        <w:rPr>
          <w:rStyle w:val="a7"/>
        </w:rPr>
        <w:footnoteRef/>
      </w:r>
      <w:r>
        <w:rPr>
          <w:rtl/>
        </w:rPr>
        <w:t xml:space="preserve"> </w:t>
      </w:r>
      <w:r w:rsidRPr="00F23B62">
        <w:rPr>
          <w:rFonts w:cs="Arial"/>
          <w:rtl/>
        </w:rPr>
        <w:t>כלומר ועדיפא מחייבי לאוין וחייבי עשה וחייב בפרקונ' וחייב במזונותיה וממילא זוכה במציאתה</w:t>
      </w:r>
      <w:r>
        <w:rPr>
          <w:rFonts w:cs="Arial" w:hint="cs"/>
          <w:rtl/>
        </w:rPr>
        <w:t>, ח"מ (סק"ח).</w:t>
      </w:r>
    </w:p>
  </w:footnote>
  <w:footnote w:id="2926">
    <w:p w14:paraId="2DE9632D" w14:textId="77777777" w:rsidR="00392DBB" w:rsidRDefault="00392DBB" w:rsidP="00392DBB">
      <w:pPr>
        <w:pStyle w:val="a5"/>
      </w:pPr>
      <w:r>
        <w:rPr>
          <w:rStyle w:val="a7"/>
        </w:rPr>
        <w:footnoteRef/>
      </w:r>
      <w:r>
        <w:rPr>
          <w:rtl/>
        </w:rPr>
        <w:t xml:space="preserve"> </w:t>
      </w:r>
      <w:r w:rsidRPr="00F23B62">
        <w:rPr>
          <w:rFonts w:cs="Arial"/>
          <w:rtl/>
        </w:rPr>
        <w:t>לפ"ז משמע בענין מזונות ע</w:t>
      </w:r>
      <w:r>
        <w:rPr>
          <w:rFonts w:cs="Arial" w:hint="cs"/>
          <w:rtl/>
        </w:rPr>
        <w:t>ל כרחך</w:t>
      </w:r>
      <w:r w:rsidRPr="00F23B62">
        <w:rPr>
          <w:rFonts w:cs="Arial"/>
          <w:rtl/>
        </w:rPr>
        <w:t xml:space="preserve"> כל זמן שא</w:t>
      </w:r>
      <w:r>
        <w:rPr>
          <w:rFonts w:cs="Arial" w:hint="cs"/>
          <w:rtl/>
        </w:rPr>
        <w:t>ינו יודע</w:t>
      </w:r>
      <w:r w:rsidRPr="00F23B62">
        <w:rPr>
          <w:rFonts w:cs="Arial"/>
          <w:rtl/>
        </w:rPr>
        <w:t xml:space="preserve"> בודאי זן אותה</w:t>
      </w:r>
      <w:r>
        <w:rPr>
          <w:rFonts w:cs="Arial" w:hint="cs"/>
          <w:rtl/>
        </w:rPr>
        <w:t>,</w:t>
      </w:r>
      <w:r w:rsidRPr="00F23B62">
        <w:rPr>
          <w:rFonts w:cs="Arial"/>
          <w:rtl/>
        </w:rPr>
        <w:t xml:space="preserve"> אלא אם הכיר בה אח"כ אין לה מזונות כמו ח</w:t>
      </w:r>
      <w:r>
        <w:rPr>
          <w:rFonts w:cs="Arial" w:hint="cs"/>
          <w:rtl/>
        </w:rPr>
        <w:t xml:space="preserve">ייבי </w:t>
      </w:r>
      <w:r w:rsidRPr="00F23B62">
        <w:rPr>
          <w:rFonts w:cs="Arial"/>
          <w:rtl/>
        </w:rPr>
        <w:t>ל</w:t>
      </w:r>
      <w:r>
        <w:rPr>
          <w:rFonts w:cs="Arial" w:hint="cs"/>
          <w:rtl/>
        </w:rPr>
        <w:t>אוין,</w:t>
      </w:r>
      <w:r w:rsidRPr="00F23B62">
        <w:rPr>
          <w:rFonts w:cs="Arial"/>
          <w:rtl/>
        </w:rPr>
        <w:t xml:space="preserve"> והר"ן </w:t>
      </w:r>
      <w:r>
        <w:rPr>
          <w:rFonts w:cs="Arial" w:hint="cs"/>
          <w:rtl/>
        </w:rPr>
        <w:t xml:space="preserve">(נט.) </w:t>
      </w:r>
      <w:r w:rsidRPr="00F23B62">
        <w:rPr>
          <w:rFonts w:cs="Arial"/>
          <w:rtl/>
        </w:rPr>
        <w:t>כתב אם הכיר אח"כ ודר עמה הוי כאלו שנשאת מתחלה לשם איילנות וע"ש</w:t>
      </w:r>
      <w:r>
        <w:rPr>
          <w:rFonts w:cs="Arial" w:hint="cs"/>
          <w:rtl/>
        </w:rPr>
        <w:t>, ב"ש (סק"ז).</w:t>
      </w:r>
    </w:p>
  </w:footnote>
  <w:footnote w:id="2927">
    <w:p w14:paraId="6FE579DA" w14:textId="0E5B7365" w:rsidR="00AC39A4" w:rsidRPr="00AC39A4" w:rsidRDefault="00AC39A4" w:rsidP="00AC39A4">
      <w:pPr>
        <w:pStyle w:val="a5"/>
        <w:rPr>
          <w:rFonts w:cs="Arial"/>
        </w:rPr>
      </w:pPr>
      <w:r>
        <w:rPr>
          <w:rStyle w:val="a7"/>
        </w:rPr>
        <w:footnoteRef/>
      </w:r>
      <w:r>
        <w:rPr>
          <w:rtl/>
        </w:rPr>
        <w:t xml:space="preserve"> </w:t>
      </w:r>
      <w:r>
        <w:rPr>
          <w:rFonts w:cs="Arial" w:hint="cs"/>
          <w:rtl/>
        </w:rPr>
        <w:t>סימן - פגומה התחתנה</w:t>
      </w:r>
      <w:r>
        <w:rPr>
          <w:rFonts w:cs="Arial" w:hint="cs"/>
          <w:rtl/>
        </w:rPr>
        <w:t>.</w:t>
      </w:r>
    </w:p>
  </w:footnote>
  <w:footnote w:id="2928">
    <w:p w14:paraId="6D8E84FE" w14:textId="4523246A" w:rsidR="00392DBB" w:rsidRDefault="00392DBB" w:rsidP="00392DBB">
      <w:pPr>
        <w:pStyle w:val="a5"/>
      </w:pPr>
      <w:r>
        <w:rPr>
          <w:rStyle w:val="a7"/>
        </w:rPr>
        <w:footnoteRef/>
      </w:r>
      <w:r>
        <w:rPr>
          <w:rtl/>
        </w:rPr>
        <w:t xml:space="preserve"> </w:t>
      </w:r>
      <w:r w:rsidR="0061020A">
        <w:rPr>
          <w:rFonts w:cs="Arial" w:hint="cs"/>
          <w:rtl/>
        </w:rPr>
        <w:t>וז</w:t>
      </w:r>
      <w:r w:rsidR="0061020A">
        <w:rPr>
          <w:rFonts w:cs="Arial"/>
          <w:rtl/>
        </w:rPr>
        <w:t>"</w:t>
      </w:r>
      <w:r w:rsidR="0061020A">
        <w:rPr>
          <w:rFonts w:cs="Arial" w:hint="cs"/>
          <w:rtl/>
        </w:rPr>
        <w:t>ל:</w:t>
      </w:r>
      <w:r>
        <w:rPr>
          <w:rFonts w:cs="Arial" w:hint="cs"/>
          <w:rtl/>
        </w:rPr>
        <w:t xml:space="preserve"> </w:t>
      </w:r>
      <w:r>
        <w:rPr>
          <w:rFonts w:cs="Arial"/>
          <w:rtl/>
        </w:rPr>
        <w:t xml:space="preserve">שניה לא שנא הכיר בה ולא שנא לא הכיר בה </w:t>
      </w:r>
      <w:r>
        <w:rPr>
          <w:rFonts w:cs="Arial" w:hint="cs"/>
          <w:rtl/>
        </w:rPr>
        <w:t xml:space="preserve">- </w:t>
      </w:r>
      <w:r>
        <w:rPr>
          <w:rFonts w:cs="Arial"/>
          <w:rtl/>
        </w:rPr>
        <w:t>אין לה כתובה מנה מאתים</w:t>
      </w:r>
      <w:r>
        <w:rPr>
          <w:rFonts w:cs="Arial" w:hint="cs"/>
          <w:rtl/>
        </w:rPr>
        <w:t>,</w:t>
      </w:r>
      <w:r>
        <w:rPr>
          <w:rFonts w:cs="Arial"/>
          <w:rtl/>
        </w:rPr>
        <w:t xml:space="preserve"> אבל תוספת יש לה</w:t>
      </w:r>
      <w:r>
        <w:rPr>
          <w:rFonts w:cs="Arial" w:hint="cs"/>
          <w:rtl/>
        </w:rPr>
        <w:t>.</w:t>
      </w:r>
      <w:r>
        <w:rPr>
          <w:rFonts w:cs="Arial"/>
          <w:rtl/>
        </w:rPr>
        <w:t xml:space="preserve"> ולא בלאות של נכסי מלוג בדליתנהו</w:t>
      </w:r>
      <w:r>
        <w:rPr>
          <w:rFonts w:cs="Arial" w:hint="cs"/>
          <w:rtl/>
        </w:rPr>
        <w:t>,</w:t>
      </w:r>
      <w:r>
        <w:rPr>
          <w:rFonts w:cs="Arial"/>
          <w:rtl/>
        </w:rPr>
        <w:t xml:space="preserve"> אבל איתנהו אית לה</w:t>
      </w:r>
      <w:r>
        <w:rPr>
          <w:rFonts w:cs="Arial" w:hint="cs"/>
          <w:rtl/>
        </w:rPr>
        <w:t>.</w:t>
      </w:r>
      <w:r>
        <w:rPr>
          <w:rFonts w:cs="Arial"/>
          <w:rtl/>
        </w:rPr>
        <w:t xml:space="preserve"> ונכסי צאן ברזל</w:t>
      </w:r>
      <w:r>
        <w:rPr>
          <w:rFonts w:cs="Arial" w:hint="cs"/>
          <w:rtl/>
        </w:rPr>
        <w:t>,</w:t>
      </w:r>
      <w:r>
        <w:rPr>
          <w:rFonts w:cs="Arial"/>
          <w:rtl/>
        </w:rPr>
        <w:t xml:space="preserve"> בין איתנהו בין ליתנהו אית לה</w:t>
      </w:r>
      <w:r>
        <w:rPr>
          <w:rFonts w:cs="Arial" w:hint="cs"/>
          <w:rtl/>
        </w:rPr>
        <w:t>,</w:t>
      </w:r>
      <w:r>
        <w:rPr>
          <w:rFonts w:cs="Arial"/>
          <w:rtl/>
        </w:rPr>
        <w:t xml:space="preserve"> כדרב כהנא דאמר קנסו רבנן לדידה בדידה ולדידיה בדידיה</w:t>
      </w:r>
      <w:r>
        <w:rPr>
          <w:rFonts w:cs="Arial" w:hint="cs"/>
          <w:rtl/>
        </w:rPr>
        <w:t>.</w:t>
      </w:r>
      <w:r>
        <w:rPr>
          <w:rFonts w:cs="Arial"/>
          <w:rtl/>
        </w:rPr>
        <w:t xml:space="preserve"> ומנ"ל דשניה בין הכיר בה בין לא הכיר בה חד דינא הוא דאית לה</w:t>
      </w:r>
      <w:r>
        <w:rPr>
          <w:rFonts w:cs="Arial" w:hint="cs"/>
          <w:rtl/>
        </w:rPr>
        <w:t>?</w:t>
      </w:r>
      <w:r>
        <w:rPr>
          <w:rFonts w:cs="Arial"/>
          <w:rtl/>
        </w:rPr>
        <w:t xml:space="preserve"> חדא מדפליג תנא באילונית ולא מפליג בשניה מכלל דשניה לא שנא הכי ולא שנא הכי אין לה כתובה</w:t>
      </w:r>
      <w:r>
        <w:rPr>
          <w:rFonts w:cs="Arial" w:hint="cs"/>
          <w:rtl/>
        </w:rPr>
        <w:t>.</w:t>
      </w:r>
      <w:r>
        <w:rPr>
          <w:rFonts w:cs="Arial"/>
          <w:rtl/>
        </w:rPr>
        <w:t xml:space="preserve"> ועוד דגרסינן פרק יש מותרות (פה.) ת"ר אלמנה לכ"ג גרושה וחלוצה לכהן הדיוט יש להן כתובה פירות מזונות בלאות</w:t>
      </w:r>
      <w:r>
        <w:rPr>
          <w:rFonts w:cs="Arial" w:hint="cs"/>
          <w:rtl/>
        </w:rPr>
        <w:t>,</w:t>
      </w:r>
      <w:r>
        <w:rPr>
          <w:rFonts w:cs="Arial"/>
          <w:rtl/>
        </w:rPr>
        <w:t xml:space="preserve"> שניות מדברי סופרים אין להן כתובה ולא פירות ולא מזונות ולא בלאות</w:t>
      </w:r>
      <w:r>
        <w:rPr>
          <w:rFonts w:cs="Arial" w:hint="cs"/>
          <w:rtl/>
        </w:rPr>
        <w:t>.</w:t>
      </w:r>
      <w:r>
        <w:rPr>
          <w:rFonts w:cs="Arial"/>
          <w:rtl/>
        </w:rPr>
        <w:t xml:space="preserve"> וכבר קיי"ל דהא דקתני אלמנה לכ"ג יש לה כתובה</w:t>
      </w:r>
      <w:r>
        <w:rPr>
          <w:rFonts w:cs="Arial" w:hint="cs"/>
          <w:rtl/>
        </w:rPr>
        <w:t xml:space="preserve">, </w:t>
      </w:r>
      <w:r>
        <w:rPr>
          <w:rFonts w:cs="Arial"/>
          <w:rtl/>
        </w:rPr>
        <w:t>בשהכיר בה</w:t>
      </w:r>
      <w:r>
        <w:rPr>
          <w:rFonts w:cs="Arial" w:hint="cs"/>
          <w:rtl/>
        </w:rPr>
        <w:t xml:space="preserve">, </w:t>
      </w:r>
      <w:r>
        <w:rPr>
          <w:rFonts w:cs="Arial"/>
          <w:rtl/>
        </w:rPr>
        <w:t>אבל לא הכיר בה אין לה כתובה אבל תוספת יש לה</w:t>
      </w:r>
      <w:r>
        <w:rPr>
          <w:rFonts w:cs="Arial" w:hint="cs"/>
          <w:rtl/>
        </w:rPr>
        <w:t>.</w:t>
      </w:r>
      <w:r>
        <w:rPr>
          <w:rFonts w:cs="Arial"/>
          <w:rtl/>
        </w:rPr>
        <w:t xml:space="preserve"> ומדאלמנה הוא דיש לה כתובה בשהכיר בה</w:t>
      </w:r>
      <w:r>
        <w:rPr>
          <w:rFonts w:cs="Arial" w:hint="cs"/>
          <w:rtl/>
        </w:rPr>
        <w:t>,</w:t>
      </w:r>
      <w:r>
        <w:rPr>
          <w:rFonts w:cs="Arial"/>
          <w:rtl/>
        </w:rPr>
        <w:t xml:space="preserve"> שניה נמי דפליג בדידה בשהכיר בה וקתני אין לה כתובה ואי הכיר בה אין לה כתובה</w:t>
      </w:r>
      <w:r>
        <w:rPr>
          <w:rFonts w:cs="Arial" w:hint="cs"/>
          <w:rtl/>
        </w:rPr>
        <w:t xml:space="preserve"> -</w:t>
      </w:r>
      <w:r>
        <w:rPr>
          <w:rFonts w:cs="Arial"/>
          <w:rtl/>
        </w:rPr>
        <w:t xml:space="preserve"> כל שכן לא הכיר בה</w:t>
      </w:r>
      <w:r>
        <w:rPr>
          <w:rFonts w:cs="Arial" w:hint="cs"/>
          <w:rtl/>
        </w:rPr>
        <w:t>.</w:t>
      </w:r>
    </w:p>
  </w:footnote>
  <w:footnote w:id="2929">
    <w:p w14:paraId="0F9107B3" w14:textId="77777777" w:rsidR="00392DBB" w:rsidRDefault="00392DBB" w:rsidP="00392DBB">
      <w:pPr>
        <w:pStyle w:val="a5"/>
      </w:pPr>
      <w:r>
        <w:rPr>
          <w:rStyle w:val="a7"/>
        </w:rPr>
        <w:footnoteRef/>
      </w:r>
      <w:r>
        <w:rPr>
          <w:rtl/>
        </w:rPr>
        <w:t xml:space="preserve"> </w:t>
      </w:r>
      <w:r>
        <w:rPr>
          <w:rFonts w:cs="Arial"/>
          <w:rtl/>
        </w:rPr>
        <w:t>וכתב הרמב"ם בפכ"ד (ה"ד) ולמה לא חלקו בשניה בין הכיר בה ללא הכיר אלא אמרו אין לה עיקר כתובה בכל מקום מפני שהיא מדברי סופרים עשו בה חיזוק</w:t>
      </w:r>
      <w:r>
        <w:rPr>
          <w:rFonts w:cs="Arial" w:hint="cs"/>
          <w:rtl/>
        </w:rPr>
        <w:t>.</w:t>
      </w:r>
      <w:r>
        <w:rPr>
          <w:rFonts w:cs="Arial"/>
          <w:rtl/>
        </w:rPr>
        <w:t xml:space="preserve"> אבל אם נשא אחת מחייבי לאוין והכיר בה או אחת מחייבי עשה בין הכיר בה ובין לא הכיר יש לה כתובה שחייבי לאוין שהכיר בה רצה ליזוק בנכסיו וחייבי עשה איסורן קל עכ"ל. ומה שנתן טעם לשניה מפני שהם מדברי סופרים ודברי סופרים צריכים חיזוק היינו כרבי דאמר הכי בפרק יש מותרות (פה:) ואף על גב דרבי שמעון בן אלעזר פליג עליה התם ואמר טעמא אחרינא הא קיי"ל (כתובות כא.) הלכה כרבי מחבירו. ודע דהתם בברייתא מסיים</w:t>
      </w:r>
      <w:r>
        <w:rPr>
          <w:rFonts w:cs="Arial" w:hint="cs"/>
          <w:rtl/>
        </w:rPr>
        <w:t>:</w:t>
      </w:r>
      <w:r>
        <w:rPr>
          <w:rFonts w:cs="Arial"/>
          <w:rtl/>
        </w:rPr>
        <w:t xml:space="preserve"> דבר אחר זו הוא מרגילה וזו היא מרגילתו</w:t>
      </w:r>
      <w:r>
        <w:rPr>
          <w:rFonts w:cs="Arial" w:hint="cs"/>
          <w:rtl/>
        </w:rPr>
        <w:t>.</w:t>
      </w:r>
      <w:r>
        <w:rPr>
          <w:rFonts w:cs="Arial"/>
          <w:rtl/>
        </w:rPr>
        <w:t xml:space="preserve"> ופירש רש"י זה הוא מרגילה אלמנה לכהן גדול וכו' הוא מרגילה ומסיתה להנשא לו</w:t>
      </w:r>
      <w:r>
        <w:rPr>
          <w:rFonts w:cs="Arial" w:hint="cs"/>
          <w:rtl/>
        </w:rPr>
        <w:t>.</w:t>
      </w:r>
      <w:r>
        <w:rPr>
          <w:rFonts w:cs="Arial"/>
          <w:rtl/>
        </w:rPr>
        <w:t xml:space="preserve"> וזו שניה כיון דלאו איהי מיפסלא ולא זרעה מיפסיל ולא מפסדא מידי בביאתו היא מרגילתו</w:t>
      </w:r>
      <w:r>
        <w:rPr>
          <w:rFonts w:cs="Arial" w:hint="cs"/>
          <w:rtl/>
        </w:rPr>
        <w:t>,</w:t>
      </w:r>
      <w:r>
        <w:rPr>
          <w:rFonts w:cs="Arial"/>
          <w:rtl/>
        </w:rPr>
        <w:t xml:space="preserve"> דאשה רוצה להנשא יותר מן האיש</w:t>
      </w:r>
      <w:r>
        <w:rPr>
          <w:rFonts w:cs="Arial" w:hint="cs"/>
          <w:rtl/>
        </w:rPr>
        <w:t>.</w:t>
      </w:r>
      <w:r>
        <w:rPr>
          <w:rFonts w:cs="Arial"/>
          <w:rtl/>
        </w:rPr>
        <w:t xml:space="preserve"> ואיכא בגמרא תרי לישני איכא דאמרי רבי שמעון בן אלעזר קאמר לה ואיכא דאמרי רבי קאמר לה</w:t>
      </w:r>
      <w:r>
        <w:rPr>
          <w:rFonts w:cs="Arial" w:hint="cs"/>
          <w:rtl/>
        </w:rPr>
        <w:t>.</w:t>
      </w:r>
      <w:r>
        <w:rPr>
          <w:rFonts w:cs="Arial"/>
          <w:rtl/>
        </w:rPr>
        <w:t xml:space="preserve"> וחלוצה קשיא ליה</w:t>
      </w:r>
      <w:r>
        <w:rPr>
          <w:rFonts w:cs="Arial" w:hint="cs"/>
          <w:rtl/>
        </w:rPr>
        <w:t>.</w:t>
      </w:r>
      <w:r>
        <w:rPr>
          <w:rFonts w:cs="Arial"/>
          <w:rtl/>
        </w:rPr>
        <w:t xml:space="preserve"> והא חלוצה דרבנן ואית לה כתובה</w:t>
      </w:r>
      <w:r>
        <w:rPr>
          <w:rFonts w:cs="Arial" w:hint="cs"/>
          <w:rtl/>
        </w:rPr>
        <w:t>,</w:t>
      </w:r>
      <w:r>
        <w:rPr>
          <w:rFonts w:cs="Arial"/>
          <w:rtl/>
        </w:rPr>
        <w:t xml:space="preserve"> הדר אמר כיון דפסיל לה מדרבנן זה הוא מרגילה וזו היא מרגילתו</w:t>
      </w:r>
      <w:r>
        <w:rPr>
          <w:rFonts w:cs="Arial" w:hint="cs"/>
          <w:rtl/>
        </w:rPr>
        <w:t>.</w:t>
      </w:r>
      <w:r>
        <w:rPr>
          <w:rFonts w:cs="Arial"/>
          <w:rtl/>
        </w:rPr>
        <w:t xml:space="preserve"> ורבינו שכתב בתחלת הסימן חלוצה בהדי גרושה וקאמר דיש להם כתובה כלישנא דמתניתין נראה שסובר דקיי"ל כלישנא בתרא</w:t>
      </w:r>
      <w:r>
        <w:rPr>
          <w:rFonts w:cs="Arial" w:hint="cs"/>
          <w:rtl/>
        </w:rPr>
        <w:t>.</w:t>
      </w:r>
      <w:r>
        <w:rPr>
          <w:rFonts w:cs="Arial"/>
          <w:rtl/>
        </w:rPr>
        <w:t xml:space="preserve"> אבל הרמב"ם בפרק כ"ד לא כתב טעם דזה הוא מרגילה וכו' וכתב סתם דין חייבי לאוין ולא הזכיר דין חלוצה כלל</w:t>
      </w:r>
      <w:r>
        <w:rPr>
          <w:rFonts w:cs="Arial" w:hint="cs"/>
          <w:rtl/>
        </w:rPr>
        <w:t>.</w:t>
      </w:r>
      <w:r>
        <w:rPr>
          <w:rFonts w:cs="Arial"/>
          <w:rtl/>
        </w:rPr>
        <w:t xml:space="preserve"> נראה שהוא ז"ל סבור דחלוצה הואיל והיא מדברי סופרים דינה כדין השניה והא דקתני לה במתניתין בהדי גרושה וקתני דיש להן כתובה י"ל דאשגרת לישן הוא שכן דרך בכל מקום לשנות חלוצה בהדי גרושה ולא משום דדינם שוה לענין זה</w:t>
      </w:r>
      <w:r>
        <w:rPr>
          <w:rFonts w:cs="Arial" w:hint="cs"/>
          <w:rtl/>
        </w:rPr>
        <w:t>.</w:t>
      </w:r>
      <w:r>
        <w:rPr>
          <w:rFonts w:cs="Arial"/>
          <w:rtl/>
        </w:rPr>
        <w:t xml:space="preserve"> [בדק הבית] אי נמי מתניתין דיהבא טעמא דזו היא מרגילתו לא קיימא לן כוותה [עד כאן]</w:t>
      </w:r>
      <w:r>
        <w:rPr>
          <w:rFonts w:cs="Arial" w:hint="cs"/>
          <w:rtl/>
        </w:rPr>
        <w:t>.</w:t>
      </w:r>
      <w:r>
        <w:rPr>
          <w:rFonts w:cs="Arial"/>
          <w:rtl/>
        </w:rPr>
        <w:t xml:space="preserve"> וטעמו משום דללישנא דרשב"א קאמ' לה</w:t>
      </w:r>
      <w:r>
        <w:rPr>
          <w:rFonts w:cs="Arial" w:hint="cs"/>
          <w:rtl/>
        </w:rPr>
        <w:t>,</w:t>
      </w:r>
      <w:r>
        <w:rPr>
          <w:rFonts w:cs="Arial"/>
          <w:rtl/>
        </w:rPr>
        <w:t xml:space="preserve"> ורבי לא קאמר אלא טעמא דדברי סופרים צריכין חיזוק בלבד</w:t>
      </w:r>
      <w:r>
        <w:rPr>
          <w:rFonts w:cs="Arial" w:hint="cs"/>
          <w:rtl/>
        </w:rPr>
        <w:t>,</w:t>
      </w:r>
      <w:r>
        <w:rPr>
          <w:rFonts w:cs="Arial"/>
          <w:rtl/>
        </w:rPr>
        <w:t xml:space="preserve"> ואם כן חלוצה שהיא מדברי סופרים ע"כ דינה כדין השניה</w:t>
      </w:r>
      <w:r>
        <w:rPr>
          <w:rFonts w:cs="Arial" w:hint="cs"/>
          <w:rtl/>
        </w:rPr>
        <w:t>.</w:t>
      </w:r>
      <w:r>
        <w:rPr>
          <w:rFonts w:cs="Arial"/>
          <w:rtl/>
        </w:rPr>
        <w:t xml:space="preserve"> וכיון דספיקא דלישני היא מספיקא לא מפקינן ממונא</w:t>
      </w:r>
      <w:r>
        <w:rPr>
          <w:rFonts w:cs="Arial" w:hint="cs"/>
          <w:rtl/>
        </w:rPr>
        <w:t>, ב"י.</w:t>
      </w:r>
    </w:p>
  </w:footnote>
  <w:footnote w:id="2930">
    <w:p w14:paraId="49E12895" w14:textId="77777777" w:rsidR="00392DBB" w:rsidRDefault="00392DBB" w:rsidP="00392DBB">
      <w:pPr>
        <w:pStyle w:val="a5"/>
        <w:rPr>
          <w:rtl/>
        </w:rPr>
      </w:pPr>
      <w:r>
        <w:rPr>
          <w:rStyle w:val="a7"/>
        </w:rPr>
        <w:footnoteRef/>
      </w:r>
      <w:r>
        <w:rPr>
          <w:rtl/>
        </w:rPr>
        <w:t xml:space="preserve"> </w:t>
      </w:r>
      <w:r>
        <w:rPr>
          <w:rFonts w:cs="Arial"/>
          <w:rtl/>
        </w:rPr>
        <w:t>נלמד מברייתא דבסמוך דגבי מאי דקתני אלמנה לכהן גדול יש לה מזונות קתני דשניה אין לה מזונות</w:t>
      </w:r>
      <w:r>
        <w:rPr>
          <w:rFonts w:cs="Arial" w:hint="cs"/>
          <w:rtl/>
        </w:rPr>
        <w:t>,</w:t>
      </w:r>
      <w:r>
        <w:rPr>
          <w:rFonts w:cs="Arial"/>
          <w:rtl/>
        </w:rPr>
        <w:t xml:space="preserve"> וכבר נתבאר דאלמנה לכהן גדול לית לה מזונות אלא לאחר מותו</w:t>
      </w:r>
      <w:r>
        <w:rPr>
          <w:rFonts w:cs="Arial" w:hint="cs"/>
          <w:rtl/>
        </w:rPr>
        <w:t>,</w:t>
      </w:r>
      <w:r>
        <w:rPr>
          <w:rFonts w:cs="Arial"/>
          <w:rtl/>
        </w:rPr>
        <w:t xml:space="preserve"> אבל לא בחייו</w:t>
      </w:r>
      <w:r>
        <w:rPr>
          <w:rFonts w:cs="Arial" w:hint="cs"/>
          <w:rtl/>
        </w:rPr>
        <w:t>.</w:t>
      </w:r>
      <w:r>
        <w:rPr>
          <w:rFonts w:cs="Arial"/>
          <w:rtl/>
        </w:rPr>
        <w:t xml:space="preserve"> ואם כן בההוא גוונא דקתני גבי אלמנה לכ"ג דיש לה מזונות</w:t>
      </w:r>
      <w:r>
        <w:rPr>
          <w:rFonts w:cs="Arial" w:hint="cs"/>
          <w:rtl/>
        </w:rPr>
        <w:t>,</w:t>
      </w:r>
      <w:r>
        <w:rPr>
          <w:rFonts w:cs="Arial"/>
          <w:rtl/>
        </w:rPr>
        <w:t xml:space="preserve"> דהיינו לאחר מותו</w:t>
      </w:r>
      <w:r>
        <w:rPr>
          <w:rFonts w:cs="Arial" w:hint="cs"/>
          <w:rtl/>
        </w:rPr>
        <w:t>,</w:t>
      </w:r>
      <w:r>
        <w:rPr>
          <w:rFonts w:cs="Arial"/>
          <w:rtl/>
        </w:rPr>
        <w:t xml:space="preserve"> קתני בשניה דאין לה מזונות</w:t>
      </w:r>
      <w:r>
        <w:rPr>
          <w:rFonts w:cs="Arial" w:hint="cs"/>
          <w:rtl/>
        </w:rPr>
        <w:t>.</w:t>
      </w:r>
      <w:r>
        <w:rPr>
          <w:rFonts w:cs="Arial"/>
          <w:rtl/>
        </w:rPr>
        <w:t xml:space="preserve"> וכיון דלאחר מותו אין לה מזונות</w:t>
      </w:r>
      <w:r>
        <w:rPr>
          <w:rFonts w:cs="Arial" w:hint="cs"/>
          <w:rtl/>
        </w:rPr>
        <w:t>,</w:t>
      </w:r>
      <w:r>
        <w:rPr>
          <w:rFonts w:cs="Arial"/>
          <w:rtl/>
        </w:rPr>
        <w:t xml:space="preserve"> כל שכן בחייו דהא בעמוד והוציא קאי</w:t>
      </w:r>
      <w:r>
        <w:rPr>
          <w:rFonts w:cs="Arial" w:hint="cs"/>
          <w:rtl/>
        </w:rPr>
        <w:t>.</w:t>
      </w:r>
      <w:r>
        <w:rPr>
          <w:rFonts w:cs="Arial"/>
          <w:rtl/>
        </w:rPr>
        <w:t xml:space="preserve"> וכ"כ הרא"ש בס"פ אלמנה נזונת (שם)</w:t>
      </w:r>
      <w:r>
        <w:rPr>
          <w:rFonts w:hint="cs"/>
          <w:rtl/>
        </w:rPr>
        <w:t>, ב"י.</w:t>
      </w:r>
    </w:p>
  </w:footnote>
  <w:footnote w:id="2931">
    <w:p w14:paraId="5DDEABB4" w14:textId="471A9671" w:rsidR="00392DBB" w:rsidRPr="0029099F" w:rsidRDefault="00392DBB" w:rsidP="00392DBB">
      <w:pPr>
        <w:pStyle w:val="a5"/>
        <w:rPr>
          <w:rFonts w:hint="cs"/>
          <w:color w:val="000000" w:themeColor="text1"/>
          <w:rtl/>
        </w:rPr>
      </w:pPr>
      <w:r>
        <w:rPr>
          <w:rStyle w:val="a7"/>
        </w:rPr>
        <w:footnoteRef/>
      </w:r>
      <w:r>
        <w:rPr>
          <w:rtl/>
        </w:rPr>
        <w:t xml:space="preserve"> </w:t>
      </w:r>
      <w:r w:rsidRPr="000F521D">
        <w:rPr>
          <w:rFonts w:cs="Arial"/>
          <w:rtl/>
        </w:rPr>
        <w:t xml:space="preserve">אבל הרא"ש כתב כגון שבילן הבעל בבת אחת </w:t>
      </w:r>
      <w:r>
        <w:rPr>
          <w:rFonts w:cs="Arial" w:hint="cs"/>
          <w:rtl/>
        </w:rPr>
        <w:t xml:space="preserve">או </w:t>
      </w:r>
      <w:r w:rsidRPr="000F521D">
        <w:rPr>
          <w:rFonts w:cs="Arial"/>
          <w:rtl/>
        </w:rPr>
        <w:t>שמכרן</w:t>
      </w:r>
      <w:r>
        <w:rPr>
          <w:rFonts w:cs="Arial" w:hint="cs"/>
          <w:rtl/>
        </w:rPr>
        <w:t>,</w:t>
      </w:r>
      <w:r w:rsidRPr="000F521D">
        <w:rPr>
          <w:rFonts w:cs="Arial"/>
          <w:rtl/>
        </w:rPr>
        <w:t xml:space="preserve"> והיינו דאיכא בין שניה לאשה כשירה</w:t>
      </w:r>
      <w:r>
        <w:rPr>
          <w:rFonts w:cs="Arial" w:hint="cs"/>
          <w:rtl/>
        </w:rPr>
        <w:t>,</w:t>
      </w:r>
      <w:r w:rsidRPr="000F521D">
        <w:rPr>
          <w:rFonts w:cs="Arial"/>
          <w:rtl/>
        </w:rPr>
        <w:t xml:space="preserve"> בשניה לית לה אפי' אם מכר </w:t>
      </w:r>
      <w:r w:rsidRPr="0029099F">
        <w:rPr>
          <w:rFonts w:cs="Arial"/>
          <w:color w:val="000000" w:themeColor="text1"/>
          <w:rtl/>
        </w:rPr>
        <w:t>נ</w:t>
      </w:r>
      <w:r w:rsidRPr="0029099F">
        <w:rPr>
          <w:rFonts w:cs="Arial" w:hint="cs"/>
          <w:color w:val="000000" w:themeColor="text1"/>
          <w:rtl/>
        </w:rPr>
        <w:t xml:space="preserve">כסי </w:t>
      </w:r>
      <w:r w:rsidRPr="0029099F">
        <w:rPr>
          <w:rFonts w:cs="Arial"/>
          <w:color w:val="000000" w:themeColor="text1"/>
          <w:rtl/>
        </w:rPr>
        <w:t>מ</w:t>
      </w:r>
      <w:r w:rsidRPr="0029099F">
        <w:rPr>
          <w:rFonts w:cs="Arial" w:hint="cs"/>
          <w:color w:val="000000" w:themeColor="text1"/>
          <w:rtl/>
        </w:rPr>
        <w:t>לוג</w:t>
      </w:r>
      <w:r w:rsidRPr="0029099F">
        <w:rPr>
          <w:rFonts w:cs="Arial"/>
          <w:color w:val="000000" w:themeColor="text1"/>
          <w:rtl/>
        </w:rPr>
        <w:t xml:space="preserve"> שלה</w:t>
      </w:r>
      <w:r w:rsidRPr="0029099F">
        <w:rPr>
          <w:rFonts w:cs="Arial" w:hint="cs"/>
          <w:color w:val="000000" w:themeColor="text1"/>
          <w:rtl/>
        </w:rPr>
        <w:t>,</w:t>
      </w:r>
      <w:r w:rsidRPr="0029099F">
        <w:rPr>
          <w:rFonts w:cs="Arial"/>
          <w:color w:val="000000" w:themeColor="text1"/>
          <w:rtl/>
        </w:rPr>
        <w:t xml:space="preserve"> ואשה כשירה אם אכל הקרן של נ"מ צריך לשלם</w:t>
      </w:r>
      <w:r w:rsidRPr="0029099F">
        <w:rPr>
          <w:rFonts w:cs="Arial" w:hint="cs"/>
          <w:color w:val="000000" w:themeColor="text1"/>
          <w:rtl/>
        </w:rPr>
        <w:t>, ח"מ (סק"ט).</w:t>
      </w:r>
      <w:r w:rsidRPr="0029099F">
        <w:rPr>
          <w:rFonts w:hint="cs"/>
          <w:color w:val="000000" w:themeColor="text1"/>
          <w:rtl/>
        </w:rPr>
        <w:t xml:space="preserve"> </w:t>
      </w:r>
      <w:r w:rsidR="0029099F" w:rsidRPr="0029099F">
        <w:rPr>
          <w:rFonts w:hint="cs"/>
          <w:color w:val="000000" w:themeColor="text1"/>
          <w:rtl/>
        </w:rPr>
        <w:t>ועי'</w:t>
      </w:r>
      <w:r w:rsidRPr="0029099F">
        <w:rPr>
          <w:rFonts w:hint="cs"/>
          <w:color w:val="000000" w:themeColor="text1"/>
          <w:rtl/>
        </w:rPr>
        <w:t xml:space="preserve"> בב"ש </w:t>
      </w:r>
      <w:r w:rsidR="0029099F" w:rsidRPr="0029099F">
        <w:rPr>
          <w:rFonts w:hint="cs"/>
          <w:color w:val="000000" w:themeColor="text1"/>
          <w:rtl/>
        </w:rPr>
        <w:t>(</w:t>
      </w:r>
      <w:r w:rsidRPr="0029099F">
        <w:rPr>
          <w:rFonts w:hint="cs"/>
          <w:color w:val="000000" w:themeColor="text1"/>
          <w:rtl/>
        </w:rPr>
        <w:t>סק"ה וסק"ח</w:t>
      </w:r>
      <w:r w:rsidR="0029099F" w:rsidRPr="0029099F">
        <w:rPr>
          <w:rFonts w:hint="cs"/>
          <w:color w:val="000000" w:themeColor="text1"/>
          <w:rtl/>
        </w:rPr>
        <w:t>).</w:t>
      </w:r>
    </w:p>
  </w:footnote>
  <w:footnote w:id="2932">
    <w:p w14:paraId="426DEE7C" w14:textId="77777777" w:rsidR="00392DBB" w:rsidRDefault="00392DBB" w:rsidP="00392DBB">
      <w:pPr>
        <w:pStyle w:val="a5"/>
      </w:pPr>
      <w:r>
        <w:rPr>
          <w:rStyle w:val="a7"/>
        </w:rPr>
        <w:footnoteRef/>
      </w:r>
      <w:r>
        <w:rPr>
          <w:rtl/>
        </w:rPr>
        <w:t xml:space="preserve"> </w:t>
      </w:r>
      <w:r w:rsidRPr="005F6F5A">
        <w:rPr>
          <w:rFonts w:cs="Arial"/>
          <w:rtl/>
        </w:rPr>
        <w:t xml:space="preserve">ממאנת </w:t>
      </w:r>
      <w:r>
        <w:rPr>
          <w:rFonts w:cs="Arial" w:hint="cs"/>
          <w:rtl/>
        </w:rPr>
        <w:t xml:space="preserve">- </w:t>
      </w:r>
      <w:r w:rsidRPr="005F6F5A">
        <w:rPr>
          <w:rFonts w:cs="Arial"/>
          <w:rtl/>
        </w:rPr>
        <w:t>משום דמעצמה יוצאה</w:t>
      </w:r>
      <w:r>
        <w:rPr>
          <w:rFonts w:cs="Arial" w:hint="cs"/>
          <w:rtl/>
        </w:rPr>
        <w:t>.</w:t>
      </w:r>
      <w:r w:rsidRPr="005F6F5A">
        <w:rPr>
          <w:rFonts w:cs="Arial"/>
          <w:rtl/>
        </w:rPr>
        <w:t xml:space="preserve"> שניה </w:t>
      </w:r>
      <w:r>
        <w:rPr>
          <w:rFonts w:cs="Arial" w:hint="cs"/>
          <w:rtl/>
        </w:rPr>
        <w:t xml:space="preserve">- </w:t>
      </w:r>
      <w:r w:rsidRPr="005F6F5A">
        <w:rPr>
          <w:rFonts w:cs="Arial"/>
          <w:rtl/>
        </w:rPr>
        <w:t>קנסא דרבנן הוא כדאמרינן ביבמות בפרק יש מותרות (פה:) מפני שהיא מרגילתו לנושאה שאינה מפסדת כלום בנשואין שאינה נפסלת בהן וולדה כשר</w:t>
      </w:r>
      <w:r>
        <w:rPr>
          <w:rFonts w:cs="Arial" w:hint="cs"/>
          <w:rtl/>
        </w:rPr>
        <w:t>.</w:t>
      </w:r>
      <w:r w:rsidRPr="005F6F5A">
        <w:rPr>
          <w:rFonts w:cs="Arial"/>
          <w:rtl/>
        </w:rPr>
        <w:t xml:space="preserve"> איילונית </w:t>
      </w:r>
      <w:r>
        <w:rPr>
          <w:rFonts w:cs="Arial" w:hint="cs"/>
          <w:rtl/>
        </w:rPr>
        <w:t xml:space="preserve">- </w:t>
      </w:r>
      <w:r w:rsidRPr="005F6F5A">
        <w:rPr>
          <w:rFonts w:cs="Arial"/>
          <w:rtl/>
        </w:rPr>
        <w:t>משום דמקח טעות הוא</w:t>
      </w:r>
      <w:r>
        <w:rPr>
          <w:rFonts w:cs="Arial" w:hint="cs"/>
          <w:rtl/>
        </w:rPr>
        <w:t>, רש"י.</w:t>
      </w:r>
    </w:p>
  </w:footnote>
  <w:footnote w:id="2933">
    <w:p w14:paraId="0E62D993" w14:textId="77777777" w:rsidR="00392DBB" w:rsidRDefault="00392DBB" w:rsidP="00392DBB">
      <w:pPr>
        <w:pStyle w:val="a5"/>
      </w:pPr>
      <w:r>
        <w:rPr>
          <w:rStyle w:val="a7"/>
        </w:rPr>
        <w:footnoteRef/>
      </w:r>
      <w:r>
        <w:rPr>
          <w:rtl/>
        </w:rPr>
        <w:t xml:space="preserve"> </w:t>
      </w:r>
      <w:r w:rsidRPr="00FF6EBB">
        <w:rPr>
          <w:rFonts w:cs="Arial"/>
          <w:rtl/>
        </w:rPr>
        <w:t>דין פירות והוא פירקונה שתקנו חכמים תחת פירות נכסי מלוג שהוא אוכל אין לה ואם נשבית אינו חייב לפדותה דתנאי כתובה ככתובה וכיון דאין לה כתובה אין לה תנאי כתובה</w:t>
      </w:r>
      <w:r>
        <w:rPr>
          <w:rFonts w:cs="Arial" w:hint="cs"/>
          <w:rtl/>
        </w:rPr>
        <w:t>..., רש"י.</w:t>
      </w:r>
    </w:p>
  </w:footnote>
  <w:footnote w:id="2934">
    <w:p w14:paraId="01419DAB" w14:textId="77777777" w:rsidR="00392DBB" w:rsidRDefault="00392DBB" w:rsidP="00392DBB">
      <w:pPr>
        <w:pStyle w:val="a5"/>
      </w:pPr>
      <w:r>
        <w:rPr>
          <w:rStyle w:val="a7"/>
        </w:rPr>
        <w:footnoteRef/>
      </w:r>
      <w:r>
        <w:rPr>
          <w:rtl/>
        </w:rPr>
        <w:t xml:space="preserve"> </w:t>
      </w:r>
      <w:r>
        <w:rPr>
          <w:rFonts w:cs="Arial"/>
          <w:rtl/>
        </w:rPr>
        <w:t>פירש רש"י (קא. ד"ה אבל) משום דתוספת מתנה בעלמא הוא דיהיב לה בחיבת ביאה. וז"ל הרמב"ם בפכ"ד (ה"ג) ולמה אין להן עיקר ויש להם תוספת העיקר שהיא תקנת חכמים כדי שלא תהיה קלה בעיניו להוציאה הואיל ולא הכיר בה אין לה עיקר אבל תוספת שהוא חייב עצמו בה כל זמן שתרצה ותעמוד לפניו הרי עמדה בתנאי שלה והרי הקנת לו הנאתה והרי היא עומדת אבל התורה אסרה עליו ומה היא יכולה לעשות לפיכך יש לה תוספת שאין מעשיה הן הגורמין לה להאסר אלא אסורה היתה מקודם עכ"ל</w:t>
      </w:r>
      <w:r>
        <w:rPr>
          <w:rFonts w:cs="Arial" w:hint="cs"/>
          <w:rtl/>
        </w:rPr>
        <w:t>, ב"י.</w:t>
      </w:r>
    </w:p>
  </w:footnote>
  <w:footnote w:id="2935">
    <w:p w14:paraId="4D4A649D" w14:textId="77777777" w:rsidR="00392DBB" w:rsidRDefault="00392DBB" w:rsidP="00392DBB">
      <w:pPr>
        <w:pStyle w:val="a5"/>
      </w:pPr>
      <w:r>
        <w:rPr>
          <w:rStyle w:val="a7"/>
        </w:rPr>
        <w:footnoteRef/>
      </w:r>
      <w:r>
        <w:rPr>
          <w:rtl/>
        </w:rPr>
        <w:t xml:space="preserve"> </w:t>
      </w:r>
      <w:r w:rsidRPr="00BE01BB">
        <w:rPr>
          <w:rFonts w:cs="Arial"/>
          <w:rtl/>
        </w:rPr>
        <w:t>כתב רבינו בסימן קנ"ה (עז:) בממאנת</w:t>
      </w:r>
      <w:r>
        <w:rPr>
          <w:rFonts w:cs="Arial" w:hint="cs"/>
          <w:rtl/>
        </w:rPr>
        <w:t>,</w:t>
      </w:r>
      <w:r w:rsidRPr="00BE01BB">
        <w:rPr>
          <w:rFonts w:cs="Arial"/>
          <w:rtl/>
        </w:rPr>
        <w:t xml:space="preserve"> נכסיה שהכניסה לו</w:t>
      </w:r>
      <w:r>
        <w:rPr>
          <w:rFonts w:cs="Arial" w:hint="cs"/>
          <w:rtl/>
        </w:rPr>
        <w:t>,</w:t>
      </w:r>
      <w:r w:rsidRPr="00BE01BB">
        <w:rPr>
          <w:rFonts w:cs="Arial"/>
          <w:rtl/>
        </w:rPr>
        <w:t xml:space="preserve"> אם הם בעין</w:t>
      </w:r>
      <w:r>
        <w:rPr>
          <w:rFonts w:cs="Arial" w:hint="cs"/>
          <w:rtl/>
        </w:rPr>
        <w:t>,</w:t>
      </w:r>
      <w:r w:rsidRPr="00BE01BB">
        <w:rPr>
          <w:rFonts w:cs="Arial"/>
          <w:rtl/>
        </w:rPr>
        <w:t xml:space="preserve"> בין של מלוג בין של צאן ברזל</w:t>
      </w:r>
      <w:r>
        <w:rPr>
          <w:rFonts w:cs="Arial" w:hint="cs"/>
          <w:rtl/>
        </w:rPr>
        <w:t xml:space="preserve"> -</w:t>
      </w:r>
      <w:r w:rsidRPr="00BE01BB">
        <w:rPr>
          <w:rFonts w:cs="Arial"/>
          <w:rtl/>
        </w:rPr>
        <w:t xml:space="preserve"> נוטלתן</w:t>
      </w:r>
      <w:r>
        <w:rPr>
          <w:rFonts w:cs="Arial" w:hint="cs"/>
          <w:rtl/>
        </w:rPr>
        <w:t>.</w:t>
      </w:r>
      <w:r w:rsidRPr="00BE01BB">
        <w:rPr>
          <w:rFonts w:cs="Arial"/>
          <w:rtl/>
        </w:rPr>
        <w:t xml:space="preserve"> ואם אינם בעין </w:t>
      </w:r>
      <w:r>
        <w:rPr>
          <w:rFonts w:cs="Arial" w:hint="cs"/>
          <w:rtl/>
        </w:rPr>
        <w:t xml:space="preserve">- </w:t>
      </w:r>
      <w:r w:rsidRPr="00BE01BB">
        <w:rPr>
          <w:rFonts w:cs="Arial"/>
          <w:rtl/>
        </w:rPr>
        <w:t>צריך לשלם</w:t>
      </w:r>
      <w:r>
        <w:rPr>
          <w:rFonts w:cs="Arial" w:hint="cs"/>
          <w:rtl/>
        </w:rPr>
        <w:t>, ב"י.</w:t>
      </w:r>
    </w:p>
  </w:footnote>
  <w:footnote w:id="2936">
    <w:p w14:paraId="3A02BD6B" w14:textId="27B3F7D1" w:rsidR="00392DBB" w:rsidRDefault="00392DBB" w:rsidP="00392DBB">
      <w:pPr>
        <w:pStyle w:val="a5"/>
      </w:pPr>
      <w:r>
        <w:rPr>
          <w:rStyle w:val="a7"/>
        </w:rPr>
        <w:footnoteRef/>
      </w:r>
      <w:r>
        <w:rPr>
          <w:rtl/>
        </w:rPr>
        <w:t xml:space="preserve"> </w:t>
      </w:r>
      <w:r w:rsidRPr="00EE4C94">
        <w:rPr>
          <w:rFonts w:cs="Arial"/>
          <w:rtl/>
        </w:rPr>
        <w:t>אע</w:t>
      </w:r>
      <w:r w:rsidR="005B5AFC">
        <w:rPr>
          <w:rFonts w:cs="Arial" w:hint="cs"/>
          <w:rtl/>
        </w:rPr>
        <w:t>"</w:t>
      </w:r>
      <w:r w:rsidRPr="00EE4C94">
        <w:rPr>
          <w:rFonts w:cs="Arial"/>
          <w:rtl/>
        </w:rPr>
        <w:t>פ שהיא ממאנת ויוצאה לרצונה וראוי היה לומר דכי אקני לה תוספות אדעתא למיקם קמיה וכמ"ש הרמב"ם כל זמן שתרצה ותעמוד לפניו</w:t>
      </w:r>
      <w:r w:rsidR="00CF6EEF">
        <w:rPr>
          <w:rFonts w:cs="Arial" w:hint="cs"/>
          <w:rtl/>
        </w:rPr>
        <w:t>,</w:t>
      </w:r>
      <w:r w:rsidRPr="00EE4C94">
        <w:rPr>
          <w:rFonts w:cs="Arial"/>
          <w:rtl/>
        </w:rPr>
        <w:t xml:space="preserve"> וכמו שיתבאר לקמן </w:t>
      </w:r>
      <w:r w:rsidR="00CF6EEF">
        <w:rPr>
          <w:rFonts w:cs="Arial" w:hint="cs"/>
          <w:rtl/>
        </w:rPr>
        <w:t>(</w:t>
      </w:r>
      <w:r w:rsidRPr="00EE4C94">
        <w:rPr>
          <w:rFonts w:cs="Arial"/>
          <w:rtl/>
        </w:rPr>
        <w:t>סי' קנד סע</w:t>
      </w:r>
      <w:r w:rsidR="00CF6EEF">
        <w:rPr>
          <w:rFonts w:cs="Arial" w:hint="cs"/>
          <w:rtl/>
        </w:rPr>
        <w:t>'</w:t>
      </w:r>
      <w:r w:rsidRPr="00EE4C94">
        <w:rPr>
          <w:rFonts w:cs="Arial"/>
          <w:rtl/>
        </w:rPr>
        <w:t xml:space="preserve"> ו</w:t>
      </w:r>
      <w:r w:rsidR="00CF6EEF">
        <w:rPr>
          <w:rFonts w:cs="Arial" w:hint="cs"/>
          <w:rtl/>
        </w:rPr>
        <w:t>)</w:t>
      </w:r>
      <w:r w:rsidRPr="00EE4C94">
        <w:rPr>
          <w:rFonts w:cs="Arial"/>
          <w:rtl/>
        </w:rPr>
        <w:t xml:space="preserve"> בטוענת על בעלה שאינו יורה כחץ שאין לה תוספות</w:t>
      </w:r>
      <w:r w:rsidR="00CF6EEF">
        <w:rPr>
          <w:rFonts w:cs="Arial" w:hint="cs"/>
          <w:rtl/>
        </w:rPr>
        <w:t>,</w:t>
      </w:r>
      <w:r w:rsidRPr="00EE4C94">
        <w:rPr>
          <w:rFonts w:cs="Arial"/>
          <w:rtl/>
        </w:rPr>
        <w:t xml:space="preserve"> מ"מ קטנה וממאנת שאני דסביר וקיבל דסתם קטנה תמאן ועל חיבת ביאת לילה הראשונה כתב לה</w:t>
      </w:r>
      <w:r w:rsidR="00CF6EEF">
        <w:rPr>
          <w:rFonts w:cs="Arial" w:hint="cs"/>
          <w:rtl/>
        </w:rPr>
        <w:t>,</w:t>
      </w:r>
      <w:r w:rsidRPr="00EE4C94">
        <w:rPr>
          <w:rFonts w:cs="Arial"/>
          <w:rtl/>
        </w:rPr>
        <w:t xml:space="preserve"> ומיאון בקטנה כיוצאת שלא לרצונה</w:t>
      </w:r>
      <w:r>
        <w:rPr>
          <w:rFonts w:cs="Arial" w:hint="cs"/>
          <w:rtl/>
        </w:rPr>
        <w:t>, ח"מ (סק"י).</w:t>
      </w:r>
    </w:p>
  </w:footnote>
  <w:footnote w:id="2937">
    <w:p w14:paraId="03B0BCFD" w14:textId="16A66965" w:rsidR="004031A7" w:rsidRDefault="004031A7" w:rsidP="004031A7">
      <w:pPr>
        <w:pStyle w:val="a5"/>
      </w:pPr>
      <w:r>
        <w:rPr>
          <w:rStyle w:val="a7"/>
        </w:rPr>
        <w:footnoteRef/>
      </w:r>
      <w:r>
        <w:rPr>
          <w:rFonts w:cs="Arial" w:hint="cs"/>
          <w:rtl/>
        </w:rPr>
        <w:t xml:space="preserve"> סימן - קטנה </w:t>
      </w:r>
      <w:r w:rsidR="002072B7">
        <w:rPr>
          <w:rFonts w:cs="Arial" w:hint="cs"/>
          <w:rtl/>
        </w:rPr>
        <w:t>קיבלה קושן</w:t>
      </w:r>
      <w:r>
        <w:rPr>
          <w:rFonts w:cs="Arial" w:hint="cs"/>
          <w:rtl/>
        </w:rPr>
        <w:t>.</w:t>
      </w:r>
    </w:p>
  </w:footnote>
  <w:footnote w:id="2938">
    <w:p w14:paraId="162983C5" w14:textId="7407C51E" w:rsidR="00392DBB" w:rsidRDefault="00392DBB" w:rsidP="00392DBB">
      <w:pPr>
        <w:pStyle w:val="a5"/>
        <w:rPr>
          <w:rtl/>
        </w:rPr>
      </w:pPr>
      <w:r>
        <w:rPr>
          <w:rStyle w:val="a7"/>
        </w:rPr>
        <w:footnoteRef/>
      </w:r>
      <w:r>
        <w:rPr>
          <w:rtl/>
        </w:rPr>
        <w:t xml:space="preserve"> </w:t>
      </w:r>
      <w:r w:rsidRPr="00BD425E">
        <w:rPr>
          <w:rFonts w:cs="Arial"/>
          <w:rtl/>
        </w:rPr>
        <w:t>הילכך אומרים לו הוי יודע שהמגרש את אשתו משום וסת לא יחזיר ואפילו היא חוזרת וקובעת</w:t>
      </w:r>
      <w:r w:rsidR="00D51AE6">
        <w:rPr>
          <w:rFonts w:cs="Arial" w:hint="cs"/>
          <w:rtl/>
        </w:rPr>
        <w:t>,</w:t>
      </w:r>
      <w:r w:rsidRPr="00BD425E">
        <w:rPr>
          <w:rFonts w:cs="Arial"/>
          <w:rtl/>
        </w:rPr>
        <w:t xml:space="preserve"> ותו לא מצי למימר אילו הייתי יודע שכך כו'</w:t>
      </w:r>
      <w:r w:rsidR="00D51AE6">
        <w:rPr>
          <w:rFonts w:cs="Arial" w:hint="cs"/>
          <w:rtl/>
        </w:rPr>
        <w:t>,</w:t>
      </w:r>
      <w:r w:rsidRPr="00BD425E">
        <w:rPr>
          <w:rFonts w:cs="Arial"/>
          <w:rtl/>
        </w:rPr>
        <w:t xml:space="preserve"> שהרי התרו בו וגמר בדעתו וגרשה</w:t>
      </w:r>
      <w:r>
        <w:rPr>
          <w:rFonts w:hint="cs"/>
          <w:rtl/>
        </w:rPr>
        <w:t>..., רש"י.</w:t>
      </w:r>
    </w:p>
  </w:footnote>
  <w:footnote w:id="2939">
    <w:p w14:paraId="51B0E47F" w14:textId="77777777" w:rsidR="00392DBB" w:rsidRDefault="00392DBB" w:rsidP="00392DBB">
      <w:pPr>
        <w:pStyle w:val="a5"/>
        <w:rPr>
          <w:rtl/>
        </w:rPr>
      </w:pPr>
      <w:r>
        <w:rPr>
          <w:rStyle w:val="a7"/>
        </w:rPr>
        <w:footnoteRef/>
      </w:r>
      <w:r>
        <w:rPr>
          <w:rtl/>
        </w:rPr>
        <w:t xml:space="preserve"> </w:t>
      </w:r>
      <w:r w:rsidRPr="004A26E4">
        <w:rPr>
          <w:rFonts w:cs="Arial" w:hint="cs"/>
          <w:rtl/>
        </w:rPr>
        <w:t>ועיין ביו"ד סי' קפו</w:t>
      </w:r>
      <w:r>
        <w:rPr>
          <w:rFonts w:cs="Arial" w:hint="cs"/>
          <w:rtl/>
        </w:rPr>
        <w:t xml:space="preserve"> סעיף ב'</w:t>
      </w:r>
      <w:r w:rsidRPr="004A26E4">
        <w:rPr>
          <w:rFonts w:cs="Arial" w:hint="cs"/>
          <w:rtl/>
        </w:rPr>
        <w:t xml:space="preserve"> במחלוקת הראשונים האם חיוב בדיקה לפני/ואחרי תשמיש לאשה שאין לה וסת קבוע הוא גם לבעלה או רק לטהרות</w:t>
      </w:r>
      <w:r>
        <w:rPr>
          <w:rFonts w:hint="cs"/>
          <w:rtl/>
        </w:rPr>
        <w:t>.</w:t>
      </w:r>
    </w:p>
  </w:footnote>
  <w:footnote w:id="2940">
    <w:p w14:paraId="0A3AC45E" w14:textId="5226C000" w:rsidR="00392DBB" w:rsidRDefault="00392DBB" w:rsidP="00392DBB">
      <w:pPr>
        <w:pStyle w:val="a5"/>
      </w:pPr>
      <w:r>
        <w:rPr>
          <w:rStyle w:val="a7"/>
        </w:rPr>
        <w:footnoteRef/>
      </w:r>
      <w:r>
        <w:rPr>
          <w:rtl/>
        </w:rPr>
        <w:t xml:space="preserve"> </w:t>
      </w:r>
      <w:r>
        <w:rPr>
          <w:rFonts w:cs="Arial" w:hint="cs"/>
          <w:rtl/>
        </w:rPr>
        <w:t xml:space="preserve">לא עיקר ולא תוספת, </w:t>
      </w:r>
      <w:r w:rsidRPr="00D71A30">
        <w:rPr>
          <w:rFonts w:cs="Arial" w:hint="cs"/>
          <w:b/>
          <w:bCs/>
          <w:rtl/>
        </w:rPr>
        <w:t>רמב"ם</w:t>
      </w:r>
      <w:r>
        <w:rPr>
          <w:rFonts w:cs="Arial" w:hint="cs"/>
          <w:rtl/>
        </w:rPr>
        <w:t xml:space="preserve"> (שם). </w:t>
      </w:r>
      <w:r w:rsidRPr="00A801C8">
        <w:rPr>
          <w:rFonts w:cs="Arial"/>
          <w:rtl/>
        </w:rPr>
        <w:t>והטעם</w:t>
      </w:r>
      <w:r>
        <w:rPr>
          <w:rFonts w:cs="Arial" w:hint="cs"/>
          <w:rtl/>
        </w:rPr>
        <w:t>,</w:t>
      </w:r>
      <w:r w:rsidRPr="00A801C8">
        <w:rPr>
          <w:rFonts w:cs="Arial"/>
          <w:rtl/>
        </w:rPr>
        <w:t xml:space="preserve"> שאין לך מום גדול מזה שהרי אינה ראויה לעמוד תחתיו וחייב הוא לגרשה ועל דעת כן לא כתב לה</w:t>
      </w:r>
      <w:r w:rsidR="00D71A30">
        <w:rPr>
          <w:rFonts w:cs="Arial" w:hint="cs"/>
          <w:rtl/>
        </w:rPr>
        <w:t>,</w:t>
      </w:r>
      <w:r w:rsidRPr="00A801C8">
        <w:rPr>
          <w:rFonts w:cs="Arial"/>
          <w:rtl/>
        </w:rPr>
        <w:t xml:space="preserve"> ולא יהא מום זה פחות מאחד מן המומין הנזכרים פ"ז</w:t>
      </w:r>
      <w:r w:rsidR="00D71A30">
        <w:rPr>
          <w:rFonts w:cs="Arial" w:hint="cs"/>
          <w:rtl/>
        </w:rPr>
        <w:t>,</w:t>
      </w:r>
      <w:r w:rsidRPr="00A801C8">
        <w:rPr>
          <w:rFonts w:cs="Arial"/>
          <w:rtl/>
        </w:rPr>
        <w:t xml:space="preserve"> זהו דעתו ז"ל</w:t>
      </w:r>
      <w:r>
        <w:rPr>
          <w:rFonts w:cs="Arial" w:hint="cs"/>
          <w:rtl/>
        </w:rPr>
        <w:t>.</w:t>
      </w:r>
      <w:r w:rsidRPr="00A801C8">
        <w:rPr>
          <w:rFonts w:cs="Arial"/>
          <w:rtl/>
        </w:rPr>
        <w:t xml:space="preserve"> אבל הרמב"ן ובעל העיטור ז"ל כתבו שיש לה תוספת</w:t>
      </w:r>
      <w:r>
        <w:rPr>
          <w:rFonts w:cs="Arial" w:hint="cs"/>
          <w:rtl/>
        </w:rPr>
        <w:t>.</w:t>
      </w:r>
      <w:r w:rsidRPr="00A801C8">
        <w:rPr>
          <w:rFonts w:cs="Arial"/>
          <w:rtl/>
        </w:rPr>
        <w:t xml:space="preserve"> והטעם לפי ששאר מומין היא היתה יודעת אותם והיה לה לגלות ולהודיע</w:t>
      </w:r>
      <w:r>
        <w:rPr>
          <w:rFonts w:cs="Arial" w:hint="cs"/>
          <w:rtl/>
        </w:rPr>
        <w:t>,</w:t>
      </w:r>
      <w:r w:rsidRPr="00A801C8">
        <w:rPr>
          <w:rFonts w:cs="Arial"/>
          <w:rtl/>
        </w:rPr>
        <w:t xml:space="preserve"> אבל זו לא היתה יודעת במום זה</w:t>
      </w:r>
      <w:r w:rsidR="00D71A30">
        <w:rPr>
          <w:rFonts w:cs="Arial" w:hint="cs"/>
          <w:rtl/>
        </w:rPr>
        <w:t>.</w:t>
      </w:r>
      <w:r w:rsidRPr="00A801C8">
        <w:rPr>
          <w:rFonts w:cs="Arial"/>
          <w:rtl/>
        </w:rPr>
        <w:t xml:space="preserve"> הא למה זו דומה לאילונית שלא הכיר בה שנתבאר פכ"ד שיש לה תוספת. ולדברי רבינו נ"ל לחלק בין זו לאילונית</w:t>
      </w:r>
      <w:r w:rsidR="00D71A30">
        <w:rPr>
          <w:rFonts w:cs="Arial" w:hint="cs"/>
          <w:rtl/>
        </w:rPr>
        <w:t>,</w:t>
      </w:r>
      <w:r w:rsidRPr="00A801C8">
        <w:rPr>
          <w:rFonts w:cs="Arial"/>
          <w:rtl/>
        </w:rPr>
        <w:t xml:space="preserve"> לפי שהאילונית יכול היה לבדקה קודם לכן בסימנין וג"כ יכולה היא לישב תחתיו ותשמשנו וישא אחרת אם לא קיים פ"ו כנזכר פט"ו</w:t>
      </w:r>
      <w:r w:rsidR="00D71A30">
        <w:rPr>
          <w:rFonts w:cs="Arial" w:hint="cs"/>
          <w:rtl/>
        </w:rPr>
        <w:t>,</w:t>
      </w:r>
      <w:r w:rsidRPr="00A801C8">
        <w:rPr>
          <w:rFonts w:cs="Arial"/>
          <w:rtl/>
        </w:rPr>
        <w:t xml:space="preserve"> אבל זו שאסורה לשמשו ולא היה יכול לבודקה קודם לכן אבדה כתובה ותוספת והרי היא בכלל הנשים שאמרו חכמים יוצאות שלא בכתובה שאין לה תוספת וכ"ש מנה מאתים כנזכר פרק אלמנה ניזונת (קא</w:t>
      </w:r>
      <w:r>
        <w:rPr>
          <w:rFonts w:cs="Arial" w:hint="cs"/>
          <w:rtl/>
        </w:rPr>
        <w:t>.</w:t>
      </w:r>
      <w:r w:rsidRPr="00A801C8">
        <w:rPr>
          <w:rFonts w:cs="Arial"/>
          <w:rtl/>
        </w:rPr>
        <w:t>) כך נראה לדעת רבינו ועיקר</w:t>
      </w:r>
      <w:r>
        <w:rPr>
          <w:rFonts w:cs="Arial" w:hint="cs"/>
          <w:rtl/>
        </w:rPr>
        <w:t xml:space="preserve">, </w:t>
      </w:r>
      <w:r w:rsidRPr="00D71A30">
        <w:rPr>
          <w:rFonts w:cs="Arial" w:hint="cs"/>
          <w:b/>
          <w:bCs/>
          <w:rtl/>
        </w:rPr>
        <w:t>הה"מ</w:t>
      </w:r>
      <w:r>
        <w:rPr>
          <w:rFonts w:cs="Arial" w:hint="cs"/>
          <w:rtl/>
        </w:rPr>
        <w:t xml:space="preserve"> (שם).</w:t>
      </w:r>
      <w:r w:rsidRPr="00A801C8">
        <w:rPr>
          <w:rFonts w:hint="cs"/>
          <w:color w:val="E36C0A" w:themeColor="accent6" w:themeShade="BF"/>
          <w:rtl/>
        </w:rPr>
        <w:t xml:space="preserve"> </w:t>
      </w:r>
      <w:r w:rsidRPr="00544E63">
        <w:rPr>
          <w:rFonts w:hint="cs"/>
          <w:color w:val="E36C0A" w:themeColor="accent6" w:themeShade="BF"/>
          <w:rtl/>
        </w:rPr>
        <w:t>(וכ"פ בשו"ע)</w:t>
      </w:r>
    </w:p>
  </w:footnote>
  <w:footnote w:id="2941">
    <w:p w14:paraId="0B8BF0AA" w14:textId="77777777" w:rsidR="00392DBB" w:rsidRDefault="00392DBB" w:rsidP="00392DBB">
      <w:pPr>
        <w:pStyle w:val="a5"/>
        <w:rPr>
          <w:rtl/>
        </w:rPr>
      </w:pPr>
      <w:r>
        <w:rPr>
          <w:rStyle w:val="a7"/>
        </w:rPr>
        <w:footnoteRef/>
      </w:r>
      <w:r>
        <w:rPr>
          <w:rtl/>
        </w:rPr>
        <w:t xml:space="preserve"> </w:t>
      </w:r>
      <w:r w:rsidRPr="00352B5A">
        <w:rPr>
          <w:rFonts w:cs="Arial"/>
          <w:rtl/>
        </w:rPr>
        <w:t>בסימן קפ"ז (</w:t>
      </w:r>
      <w:r>
        <w:rPr>
          <w:rFonts w:cs="Arial" w:hint="cs"/>
          <w:rtl/>
        </w:rPr>
        <w:t>סע' א</w:t>
      </w:r>
      <w:r w:rsidRPr="00352B5A">
        <w:rPr>
          <w:rFonts w:cs="Arial"/>
          <w:rtl/>
        </w:rPr>
        <w:t>) כתב כן גבי רואה דם מחמת תשמיש ומשם יש ללמוד לאשה שהוציאה בעלה משום דאין לה וסת שהיא מותרת לינשא לאחר</w:t>
      </w:r>
      <w:r>
        <w:rPr>
          <w:rFonts w:hint="cs"/>
          <w:rtl/>
        </w:rPr>
        <w:t>, ב"י.</w:t>
      </w:r>
    </w:p>
  </w:footnote>
  <w:footnote w:id="2942">
    <w:p w14:paraId="129C6B2C" w14:textId="77777777" w:rsidR="00392DBB" w:rsidRDefault="00392DBB" w:rsidP="00392DBB">
      <w:pPr>
        <w:pStyle w:val="a5"/>
      </w:pPr>
      <w:r>
        <w:rPr>
          <w:rStyle w:val="a7"/>
        </w:rPr>
        <w:footnoteRef/>
      </w:r>
      <w:r w:rsidRPr="009E695B">
        <w:rPr>
          <w:rFonts w:cs="Arial"/>
          <w:rtl/>
        </w:rPr>
        <w:t xml:space="preserve"> וע"ל סימן י'</w:t>
      </w:r>
      <w:r>
        <w:rPr>
          <w:rFonts w:cs="Arial" w:hint="cs"/>
          <w:rtl/>
        </w:rPr>
        <w:t>, דרכ"מ (אות ב).</w:t>
      </w:r>
    </w:p>
  </w:footnote>
  <w:footnote w:id="2943">
    <w:p w14:paraId="15C8406B" w14:textId="0761F159" w:rsidR="00392DBB" w:rsidRDefault="00392DBB" w:rsidP="00392DBB">
      <w:pPr>
        <w:pStyle w:val="a5"/>
      </w:pPr>
      <w:r>
        <w:rPr>
          <w:rStyle w:val="a7"/>
        </w:rPr>
        <w:footnoteRef/>
      </w:r>
      <w:r>
        <w:rPr>
          <w:rtl/>
        </w:rPr>
        <w:t xml:space="preserve"> </w:t>
      </w:r>
      <w:r w:rsidRPr="003E7607">
        <w:rPr>
          <w:rFonts w:cs="Arial"/>
          <w:rtl/>
        </w:rPr>
        <w:t>משמע אפילו בביתו יכולה לשמשו הואיל וזינתה תחתיו שונא אותה ומאוסה בעיניו</w:t>
      </w:r>
      <w:r>
        <w:rPr>
          <w:rFonts w:cs="Arial" w:hint="cs"/>
          <w:rtl/>
        </w:rPr>
        <w:t xml:space="preserve">, </w:t>
      </w:r>
      <w:r w:rsidRPr="005B7E4B">
        <w:rPr>
          <w:rFonts w:cs="Arial" w:hint="cs"/>
          <w:b/>
          <w:bCs/>
          <w:rtl/>
        </w:rPr>
        <w:t>ח"מ</w:t>
      </w:r>
      <w:r>
        <w:rPr>
          <w:rFonts w:cs="Arial" w:hint="cs"/>
          <w:rtl/>
        </w:rPr>
        <w:t xml:space="preserve"> (סק"ח).</w:t>
      </w:r>
      <w:r w:rsidR="005B7E4B">
        <w:rPr>
          <w:rFonts w:hint="cs"/>
          <w:rtl/>
        </w:rPr>
        <w:t xml:space="preserve">     </w:t>
      </w:r>
      <w:r w:rsidRPr="003E7607">
        <w:rPr>
          <w:rtl/>
        </w:rPr>
        <w:t xml:space="preserve"> </w:t>
      </w:r>
      <w:r w:rsidRPr="005B7E4B">
        <w:rPr>
          <w:rFonts w:cs="Arial"/>
          <w:b/>
          <w:bCs/>
          <w:rtl/>
        </w:rPr>
        <w:t>ובב"ש</w:t>
      </w:r>
      <w:r w:rsidRPr="003E7607">
        <w:rPr>
          <w:rFonts w:cs="Arial"/>
          <w:rtl/>
        </w:rPr>
        <w:t xml:space="preserve"> </w:t>
      </w:r>
      <w:r>
        <w:rPr>
          <w:rFonts w:cs="Arial" w:hint="cs"/>
          <w:rtl/>
        </w:rPr>
        <w:t xml:space="preserve">(סק"ח) </w:t>
      </w:r>
      <w:r w:rsidRPr="003E7607">
        <w:rPr>
          <w:rFonts w:cs="Arial"/>
          <w:rtl/>
        </w:rPr>
        <w:t>כתב בזה דלא קשה ממה דמבואר בש"ס אחר קינוי וסתירה מוסרים לו שני ת"ח שמא יבא עלי' בדרך</w:t>
      </w:r>
      <w:r w:rsidR="005B7E4B">
        <w:rPr>
          <w:rFonts w:cs="Arial" w:hint="cs"/>
          <w:rtl/>
        </w:rPr>
        <w:t>,</w:t>
      </w:r>
      <w:r w:rsidRPr="003E7607">
        <w:rPr>
          <w:rFonts w:cs="Arial"/>
          <w:rtl/>
        </w:rPr>
        <w:t xml:space="preserve"> דאפשר שם אכתי ספק הוא אם זנתה ואינה מאוסה לו כל כך. ועיין בס' ב"מ שכ' עליו האמת שכן ההכרח לדחוק לשיטת ר"י שבתשו' הרשב"א והוא בתוס' זבחים </w:t>
      </w:r>
      <w:r w:rsidR="005B7E4B">
        <w:rPr>
          <w:rFonts w:cs="Arial" w:hint="cs"/>
          <w:rtl/>
        </w:rPr>
        <w:t>(</w:t>
      </w:r>
      <w:r w:rsidRPr="003E7607">
        <w:rPr>
          <w:rFonts w:cs="Arial"/>
          <w:rtl/>
        </w:rPr>
        <w:t>ב</w:t>
      </w:r>
      <w:r w:rsidR="005B7E4B">
        <w:rPr>
          <w:rFonts w:cs="Arial" w:hint="cs"/>
          <w:rtl/>
        </w:rPr>
        <w:t>.</w:t>
      </w:r>
      <w:r w:rsidRPr="003E7607">
        <w:rPr>
          <w:rFonts w:cs="Arial"/>
          <w:rtl/>
        </w:rPr>
        <w:t xml:space="preserve"> ד"ה סתמא</w:t>
      </w:r>
      <w:r w:rsidR="005B7E4B">
        <w:rPr>
          <w:rFonts w:cs="Arial" w:hint="cs"/>
          <w:rtl/>
        </w:rPr>
        <w:t>),</w:t>
      </w:r>
      <w:r w:rsidRPr="003E7607">
        <w:rPr>
          <w:rFonts w:cs="Arial"/>
          <w:rtl/>
        </w:rPr>
        <w:t xml:space="preserve"> אמנם לע"ד ל"מ הכי דעת הרמב"ם </w:t>
      </w:r>
      <w:r w:rsidR="005B7E4B">
        <w:rPr>
          <w:rFonts w:cs="Arial" w:hint="cs"/>
          <w:rtl/>
        </w:rPr>
        <w:t>(</w:t>
      </w:r>
      <w:r w:rsidRPr="003E7607">
        <w:rPr>
          <w:rFonts w:cs="Arial"/>
          <w:rtl/>
        </w:rPr>
        <w:t>פכ"ד מה"א הי"ח</w:t>
      </w:r>
      <w:r w:rsidR="005B7E4B">
        <w:rPr>
          <w:rFonts w:cs="Arial" w:hint="cs"/>
          <w:rtl/>
        </w:rPr>
        <w:t>)</w:t>
      </w:r>
      <w:r w:rsidRPr="003E7607">
        <w:rPr>
          <w:rFonts w:cs="Arial"/>
          <w:rtl/>
        </w:rPr>
        <w:t xml:space="preserve"> כו' וכן מורה פשטות סוגיא דיבמות </w:t>
      </w:r>
      <w:r w:rsidR="005B7E4B">
        <w:rPr>
          <w:rFonts w:cs="Arial" w:hint="cs"/>
          <w:rtl/>
        </w:rPr>
        <w:t>(</w:t>
      </w:r>
      <w:r w:rsidRPr="003E7607">
        <w:rPr>
          <w:rFonts w:cs="Arial"/>
          <w:rtl/>
        </w:rPr>
        <w:t>כד</w:t>
      </w:r>
      <w:r w:rsidR="005B7E4B">
        <w:rPr>
          <w:rFonts w:cs="Arial" w:hint="cs"/>
          <w:rtl/>
        </w:rPr>
        <w:t>:)</w:t>
      </w:r>
      <w:r w:rsidRPr="003E7607">
        <w:rPr>
          <w:rFonts w:cs="Arial"/>
          <w:rtl/>
        </w:rPr>
        <w:t xml:space="preserve"> כו' ע"ש. ועיין בתשו' הרדב"ז </w:t>
      </w:r>
      <w:r w:rsidR="005B7E4B">
        <w:rPr>
          <w:rFonts w:cs="Arial" w:hint="cs"/>
          <w:rtl/>
        </w:rPr>
        <w:t>(</w:t>
      </w:r>
      <w:r w:rsidRPr="003E7607">
        <w:rPr>
          <w:rFonts w:cs="Arial"/>
          <w:rtl/>
        </w:rPr>
        <w:t>ח"ב ס</w:t>
      </w:r>
      <w:r w:rsidR="005B7E4B">
        <w:rPr>
          <w:rFonts w:cs="Arial" w:hint="cs"/>
          <w:rtl/>
        </w:rPr>
        <w:t>י'</w:t>
      </w:r>
      <w:r w:rsidRPr="003E7607">
        <w:rPr>
          <w:rFonts w:cs="Arial"/>
          <w:rtl/>
        </w:rPr>
        <w:t xml:space="preserve"> תשמו</w:t>
      </w:r>
      <w:r w:rsidR="005B7E4B">
        <w:rPr>
          <w:rFonts w:cs="Arial" w:hint="cs"/>
          <w:rtl/>
        </w:rPr>
        <w:t>)</w:t>
      </w:r>
      <w:r w:rsidRPr="003E7607">
        <w:rPr>
          <w:rFonts w:cs="Arial"/>
          <w:rtl/>
        </w:rPr>
        <w:t xml:space="preserve"> שאוסר ג"כ</w:t>
      </w:r>
      <w:r w:rsidR="005B7E4B">
        <w:rPr>
          <w:rFonts w:cs="Arial" w:hint="cs"/>
          <w:rtl/>
        </w:rPr>
        <w:t>,</w:t>
      </w:r>
      <w:r w:rsidRPr="003E7607">
        <w:rPr>
          <w:rFonts w:cs="Arial"/>
          <w:rtl/>
        </w:rPr>
        <w:t xml:space="preserve"> וכתב שם על דברי התוס' דריש זבחים דאין לסמוך על הוראה זו</w:t>
      </w:r>
      <w:r w:rsidR="005B7E4B">
        <w:rPr>
          <w:rFonts w:cs="Arial" w:hint="cs"/>
          <w:rtl/>
        </w:rPr>
        <w:t>,</w:t>
      </w:r>
      <w:r w:rsidRPr="003E7607">
        <w:rPr>
          <w:rFonts w:cs="Arial"/>
          <w:rtl/>
        </w:rPr>
        <w:t xml:space="preserve"> ואפילו ע"י עדים הוא חוכך להחמיר רק דיוציא בגט ע"ש. ומ"ש בשם שבו"י א' שגירש אשתו מצורעת כו' עיין בהגהת מל"מ </w:t>
      </w:r>
      <w:r w:rsidR="005B7E4B">
        <w:rPr>
          <w:rFonts w:cs="Arial" w:hint="cs"/>
          <w:rtl/>
        </w:rPr>
        <w:t>(</w:t>
      </w:r>
      <w:r w:rsidRPr="003E7607">
        <w:rPr>
          <w:rFonts w:cs="Arial"/>
          <w:rtl/>
        </w:rPr>
        <w:t xml:space="preserve">פכ"א מהא"ב </w:t>
      </w:r>
      <w:r w:rsidR="005B7E4B">
        <w:rPr>
          <w:rFonts w:cs="Arial" w:hint="cs"/>
          <w:rtl/>
        </w:rPr>
        <w:t>ה</w:t>
      </w:r>
      <w:r w:rsidRPr="003E7607">
        <w:rPr>
          <w:rFonts w:cs="Arial"/>
          <w:rtl/>
        </w:rPr>
        <w:t>כ</w:t>
      </w:r>
      <w:r w:rsidR="005B7E4B">
        <w:rPr>
          <w:rFonts w:cs="Arial" w:hint="cs"/>
          <w:rtl/>
        </w:rPr>
        <w:t>"</w:t>
      </w:r>
      <w:r w:rsidRPr="003E7607">
        <w:rPr>
          <w:rFonts w:cs="Arial"/>
          <w:rtl/>
        </w:rPr>
        <w:t>ז</w:t>
      </w:r>
      <w:r w:rsidR="005B7E4B">
        <w:rPr>
          <w:rFonts w:cs="Arial" w:hint="cs"/>
          <w:rtl/>
        </w:rPr>
        <w:t>)</w:t>
      </w:r>
      <w:r w:rsidRPr="003E7607">
        <w:rPr>
          <w:rFonts w:cs="Arial"/>
          <w:rtl/>
        </w:rPr>
        <w:t xml:space="preserve"> שהביא דברי הרב שבו"י אלו דהעלה להחמיר דכל שנתגרשה לא פלוג רבנן</w:t>
      </w:r>
      <w:r w:rsidR="005B7E4B">
        <w:rPr>
          <w:rFonts w:cs="Arial" w:hint="cs"/>
          <w:rtl/>
        </w:rPr>
        <w:t>,</w:t>
      </w:r>
      <w:r w:rsidRPr="003E7607">
        <w:rPr>
          <w:rFonts w:cs="Arial"/>
          <w:rtl/>
        </w:rPr>
        <w:t xml:space="preserve"> והביא ראי' מדתניא באבל רבתי בש"א המגרש אשתו לא תדור במבוי כו'</w:t>
      </w:r>
      <w:r w:rsidR="005B7E4B">
        <w:rPr>
          <w:rFonts w:cs="Arial" w:hint="cs"/>
          <w:rtl/>
        </w:rPr>
        <w:t>,</w:t>
      </w:r>
      <w:r w:rsidRPr="003E7607">
        <w:rPr>
          <w:rFonts w:cs="Arial"/>
          <w:rtl/>
        </w:rPr>
        <w:t xml:space="preserve"> והוא ז"ל כתב עליו וראי' זו איני מכיר כו' ע"ש</w:t>
      </w:r>
      <w:r>
        <w:rPr>
          <w:rFonts w:hint="cs"/>
          <w:rtl/>
        </w:rPr>
        <w:t xml:space="preserve">, </w:t>
      </w:r>
      <w:r w:rsidRPr="005B7E4B">
        <w:rPr>
          <w:rFonts w:hint="cs"/>
          <w:b/>
          <w:bCs/>
          <w:rtl/>
        </w:rPr>
        <w:t>פת"ש</w:t>
      </w:r>
      <w:r>
        <w:rPr>
          <w:rFonts w:hint="cs"/>
          <w:rtl/>
        </w:rPr>
        <w:t xml:space="preserve"> (סק"ב).</w:t>
      </w:r>
    </w:p>
  </w:footnote>
  <w:footnote w:id="2944">
    <w:p w14:paraId="5492F63E" w14:textId="71CD1961" w:rsidR="00F51AE6" w:rsidRPr="008B4384" w:rsidRDefault="00F51AE6" w:rsidP="008B4384">
      <w:pPr>
        <w:pStyle w:val="a5"/>
        <w:rPr>
          <w:rFonts w:cs="Arial" w:hint="cs"/>
          <w:rtl/>
        </w:rPr>
      </w:pPr>
      <w:r>
        <w:rPr>
          <w:rStyle w:val="a7"/>
        </w:rPr>
        <w:footnoteRef/>
      </w:r>
      <w:r w:rsidR="00B871A4">
        <w:rPr>
          <w:rFonts w:hint="cs"/>
          <w:rtl/>
        </w:rPr>
        <w:t xml:space="preserve"> </w:t>
      </w:r>
      <w:r w:rsidR="00B871A4">
        <w:rPr>
          <w:rFonts w:hint="cs"/>
          <w:rtl/>
        </w:rPr>
        <w:t>כן הגירסא בתש</w:t>
      </w:r>
      <w:r w:rsidR="00B871A4">
        <w:rPr>
          <w:rFonts w:hint="cs"/>
          <w:rtl/>
        </w:rPr>
        <w:t xml:space="preserve">ו' מהר"ם שם, אך בתשו' הרשב"א שהעתיק דבריו בשמו גרס "בשנה אחת", </w:t>
      </w:r>
      <w:r w:rsidR="0029565B">
        <w:rPr>
          <w:rFonts w:hint="cs"/>
          <w:rtl/>
        </w:rPr>
        <w:t xml:space="preserve">וכן גרס הב"י כאן. </w:t>
      </w:r>
      <w:r w:rsidR="00B871A4">
        <w:rPr>
          <w:rFonts w:hint="cs"/>
          <w:rtl/>
        </w:rPr>
        <w:t>ואחרי</w:t>
      </w:r>
      <w:r w:rsidR="0029565B">
        <w:rPr>
          <w:rFonts w:hint="cs"/>
          <w:rtl/>
        </w:rPr>
        <w:t>הם</w:t>
      </w:r>
      <w:r w:rsidR="00B871A4">
        <w:rPr>
          <w:rFonts w:hint="cs"/>
          <w:rtl/>
        </w:rPr>
        <w:t xml:space="preserve"> נמשך הרמ"א </w:t>
      </w:r>
      <w:r w:rsidR="0029565B">
        <w:rPr>
          <w:rFonts w:hint="cs"/>
          <w:rtl/>
        </w:rPr>
        <w:t xml:space="preserve">בהג"ה </w:t>
      </w:r>
      <w:r w:rsidR="00B871A4">
        <w:rPr>
          <w:rFonts w:hint="cs"/>
          <w:rtl/>
        </w:rPr>
        <w:t xml:space="preserve">כאן. </w:t>
      </w:r>
      <w:r w:rsidR="0029565B">
        <w:rPr>
          <w:rFonts w:hint="cs"/>
          <w:rtl/>
        </w:rPr>
        <w:t xml:space="preserve">ובב"י </w:t>
      </w:r>
      <w:r w:rsidR="008B4384">
        <w:rPr>
          <w:rFonts w:hint="cs"/>
          <w:rtl/>
        </w:rPr>
        <w:t>ב</w:t>
      </w:r>
      <w:r w:rsidR="0029565B">
        <w:rPr>
          <w:rFonts w:hint="cs"/>
          <w:rtl/>
        </w:rPr>
        <w:t xml:space="preserve">יו"ד </w:t>
      </w:r>
      <w:r w:rsidR="008B4384">
        <w:rPr>
          <w:rFonts w:hint="cs"/>
          <w:rtl/>
        </w:rPr>
        <w:t>(</w:t>
      </w:r>
      <w:r w:rsidR="0029565B">
        <w:rPr>
          <w:rFonts w:hint="cs"/>
          <w:rtl/>
        </w:rPr>
        <w:t>סי' קפז סע' יב) גרס "בשכונה אחת". ו</w:t>
      </w:r>
      <w:r w:rsidR="00B550C3">
        <w:rPr>
          <w:rFonts w:hint="cs"/>
          <w:rtl/>
        </w:rPr>
        <w:t xml:space="preserve">כתב הח"מ (סק"ו) שכן נראה לו נכון לגרוס, </w:t>
      </w:r>
      <w:r w:rsidR="00B550C3" w:rsidRPr="00500A03">
        <w:rPr>
          <w:rFonts w:cs="Arial"/>
          <w:rtl/>
        </w:rPr>
        <w:t>כלו</w:t>
      </w:r>
      <w:r w:rsidR="00B550C3">
        <w:rPr>
          <w:rFonts w:cs="Arial" w:hint="cs"/>
          <w:rtl/>
        </w:rPr>
        <w:t>מר</w:t>
      </w:r>
      <w:r w:rsidR="00B550C3" w:rsidRPr="00500A03">
        <w:rPr>
          <w:rFonts w:cs="Arial"/>
          <w:rtl/>
        </w:rPr>
        <w:t xml:space="preserve"> ד</w:t>
      </w:r>
      <w:r w:rsidR="00853DE4">
        <w:rPr>
          <w:rFonts w:cs="Arial" w:hint="cs"/>
          <w:rtl/>
        </w:rPr>
        <w:t xml:space="preserve">בגרושה </w:t>
      </w:r>
      <w:r w:rsidR="00B550C3" w:rsidRPr="00500A03">
        <w:rPr>
          <w:rFonts w:cs="Arial"/>
          <w:rtl/>
        </w:rPr>
        <w:t>אמרי' המגרש אשה לא תנשא בשכונתו</w:t>
      </w:r>
      <w:r w:rsidR="00B550C3">
        <w:rPr>
          <w:rFonts w:cs="Arial" w:hint="cs"/>
          <w:rtl/>
        </w:rPr>
        <w:t>,</w:t>
      </w:r>
      <w:r w:rsidR="00B550C3" w:rsidRPr="00500A03">
        <w:rPr>
          <w:rFonts w:cs="Arial"/>
          <w:rtl/>
        </w:rPr>
        <w:t xml:space="preserve"> אבל זאת מותר להשרותה ע"י שליש בשכונה אחת </w:t>
      </w:r>
      <w:r w:rsidR="00853DE4">
        <w:rPr>
          <w:rFonts w:cs="Arial" w:hint="cs"/>
          <w:rtl/>
        </w:rPr>
        <w:t>(</w:t>
      </w:r>
      <w:r w:rsidR="00B550C3" w:rsidRPr="00500A03">
        <w:rPr>
          <w:rFonts w:cs="Arial"/>
          <w:rtl/>
        </w:rPr>
        <w:t>אבל לא בחצר אחת</w:t>
      </w:r>
      <w:r w:rsidR="00B550C3">
        <w:rPr>
          <w:rFonts w:cs="Arial" w:hint="cs"/>
          <w:rtl/>
        </w:rPr>
        <w:t>,</w:t>
      </w:r>
      <w:r w:rsidR="00B550C3" w:rsidRPr="00500A03">
        <w:rPr>
          <w:rFonts w:cs="Arial"/>
          <w:rtl/>
        </w:rPr>
        <w:t xml:space="preserve"> דדוק</w:t>
      </w:r>
      <w:r w:rsidR="00853DE4">
        <w:rPr>
          <w:rFonts w:cs="Arial" w:hint="cs"/>
          <w:rtl/>
        </w:rPr>
        <w:t>א</w:t>
      </w:r>
      <w:r w:rsidR="00B550C3" w:rsidRPr="00500A03">
        <w:rPr>
          <w:rFonts w:cs="Arial"/>
          <w:rtl/>
        </w:rPr>
        <w:t xml:space="preserve"> בשבוי</w:t>
      </w:r>
      <w:r w:rsidR="00853DE4">
        <w:rPr>
          <w:rFonts w:cs="Arial" w:hint="cs"/>
          <w:rtl/>
        </w:rPr>
        <w:t>ה</w:t>
      </w:r>
      <w:r w:rsidR="00B550C3" w:rsidRPr="00500A03">
        <w:rPr>
          <w:rFonts w:cs="Arial"/>
          <w:rtl/>
        </w:rPr>
        <w:t xml:space="preserve"> הקילו בחצר אחת כמעשה דר' זכריה </w:t>
      </w:r>
      <w:r w:rsidR="00853DE4">
        <w:rPr>
          <w:rFonts w:cs="Arial" w:hint="cs"/>
          <w:rtl/>
        </w:rPr>
        <w:t>[</w:t>
      </w:r>
      <w:r w:rsidR="00B550C3" w:rsidRPr="00500A03">
        <w:rPr>
          <w:rFonts w:cs="Arial"/>
          <w:rtl/>
        </w:rPr>
        <w:t>כתובו</w:t>
      </w:r>
      <w:r w:rsidR="00853DE4">
        <w:rPr>
          <w:rFonts w:cs="Arial" w:hint="cs"/>
          <w:rtl/>
        </w:rPr>
        <w:t>ת</w:t>
      </w:r>
      <w:r w:rsidR="00B550C3" w:rsidRPr="00500A03">
        <w:rPr>
          <w:rFonts w:cs="Arial"/>
          <w:rtl/>
        </w:rPr>
        <w:t xml:space="preserve"> כד</w:t>
      </w:r>
      <w:r w:rsidR="00B550C3">
        <w:rPr>
          <w:rFonts w:cs="Arial" w:hint="cs"/>
          <w:rtl/>
        </w:rPr>
        <w:t>:</w:t>
      </w:r>
      <w:r w:rsidR="00853DE4">
        <w:rPr>
          <w:rFonts w:cs="Arial" w:hint="cs"/>
          <w:rtl/>
        </w:rPr>
        <w:t>]</w:t>
      </w:r>
      <w:r w:rsidR="00B550C3">
        <w:rPr>
          <w:rFonts w:cs="Arial" w:hint="cs"/>
          <w:rtl/>
        </w:rPr>
        <w:t>)</w:t>
      </w:r>
      <w:r w:rsidR="00853DE4">
        <w:rPr>
          <w:rFonts w:cs="Arial" w:hint="cs"/>
          <w:rtl/>
        </w:rPr>
        <w:t>. וכ"כ הב"ש (סק"ו). אך</w:t>
      </w:r>
      <w:r w:rsidR="008B4384">
        <w:rPr>
          <w:rFonts w:cs="Arial" w:hint="cs"/>
          <w:rtl/>
        </w:rPr>
        <w:t xml:space="preserve"> נ"ל</w:t>
      </w:r>
      <w:r w:rsidR="00853DE4">
        <w:rPr>
          <w:rFonts w:cs="Arial" w:hint="cs"/>
          <w:rtl/>
        </w:rPr>
        <w:t xml:space="preserve"> </w:t>
      </w:r>
      <w:r w:rsidR="008B4384">
        <w:rPr>
          <w:rFonts w:cs="Arial" w:hint="cs"/>
          <w:rtl/>
        </w:rPr>
        <w:t>דכיון</w:t>
      </w:r>
      <w:r w:rsidR="00853DE4">
        <w:rPr>
          <w:rFonts w:cs="Arial" w:hint="cs"/>
          <w:rtl/>
        </w:rPr>
        <w:t xml:space="preserve"> דדין זה חידוש הוא, </w:t>
      </w:r>
      <w:r w:rsidR="008B4384">
        <w:rPr>
          <w:rFonts w:cs="Arial" w:hint="cs"/>
          <w:rtl/>
        </w:rPr>
        <w:t xml:space="preserve">יש להעדיף את הגירסא המובאת </w:t>
      </w:r>
      <w:r w:rsidR="00853DE4">
        <w:rPr>
          <w:rFonts w:cs="Arial" w:hint="cs"/>
          <w:rtl/>
        </w:rPr>
        <w:t>בתשו' מהר"ם</w:t>
      </w:r>
      <w:r w:rsidR="008B4384">
        <w:rPr>
          <w:rFonts w:cs="Arial" w:hint="cs"/>
          <w:rtl/>
        </w:rPr>
        <w:t xml:space="preserve"> שלפנינו</w:t>
      </w:r>
      <w:r w:rsidR="00853DE4">
        <w:rPr>
          <w:rFonts w:cs="Arial" w:hint="cs"/>
          <w:rtl/>
        </w:rPr>
        <w:t xml:space="preserve"> (שלא הייתה לפני כל הפוסקים הנ"ל)</w:t>
      </w:r>
      <w:r w:rsidR="008B4384">
        <w:rPr>
          <w:rFonts w:cs="Arial" w:hint="cs"/>
          <w:rtl/>
        </w:rPr>
        <w:t>. וצל"ע.</w:t>
      </w:r>
    </w:p>
  </w:footnote>
  <w:footnote w:id="2945">
    <w:p w14:paraId="3E5BFCA6" w14:textId="2767E5F5" w:rsidR="00392DBB" w:rsidRDefault="00392DBB" w:rsidP="00392DBB">
      <w:pPr>
        <w:pStyle w:val="a5"/>
      </w:pPr>
      <w:r>
        <w:rPr>
          <w:rStyle w:val="a7"/>
        </w:rPr>
        <w:footnoteRef/>
      </w:r>
      <w:r>
        <w:rPr>
          <w:rtl/>
        </w:rPr>
        <w:t xml:space="preserve"> </w:t>
      </w:r>
      <w:r w:rsidRPr="00A801C8">
        <w:rPr>
          <w:rFonts w:cs="Arial"/>
          <w:rtl/>
        </w:rPr>
        <w:t>לא נתבאר דין מה שבלה ונשחת מן הקרן של נצ"ב ונ"מ</w:t>
      </w:r>
      <w:r w:rsidR="00401F00">
        <w:rPr>
          <w:rFonts w:cs="Arial" w:hint="cs"/>
          <w:rtl/>
        </w:rPr>
        <w:t>.</w:t>
      </w:r>
      <w:r w:rsidRPr="00A801C8">
        <w:rPr>
          <w:rFonts w:cs="Arial"/>
          <w:rtl/>
        </w:rPr>
        <w:t xml:space="preserve"> דביוצאה מכח מעשיה שגרמו כגון עוברת על דת ומכ"ש היוצאת משום שם רע דין הוא דאין לה אלא בלאותיה קיימין</w:t>
      </w:r>
      <w:r w:rsidR="006E060E">
        <w:rPr>
          <w:rFonts w:cs="Arial" w:hint="cs"/>
          <w:rtl/>
        </w:rPr>
        <w:t>.</w:t>
      </w:r>
      <w:r w:rsidRPr="00A801C8">
        <w:rPr>
          <w:rFonts w:cs="Arial"/>
          <w:rtl/>
        </w:rPr>
        <w:t xml:space="preserve"> אבל אשה זאת שאין עליה אשם במום זה</w:t>
      </w:r>
      <w:r w:rsidR="006E060E">
        <w:rPr>
          <w:rFonts w:cs="Arial" w:hint="cs"/>
          <w:rtl/>
        </w:rPr>
        <w:t>,</w:t>
      </w:r>
      <w:r w:rsidRPr="00A801C8">
        <w:rPr>
          <w:rFonts w:cs="Arial"/>
          <w:rtl/>
        </w:rPr>
        <w:t xml:space="preserve"> ואפילו תוספות יש לה לדעת הרמב"ן</w:t>
      </w:r>
      <w:r w:rsidR="006E060E">
        <w:rPr>
          <w:rFonts w:cs="Arial" w:hint="cs"/>
          <w:rtl/>
        </w:rPr>
        <w:t>,</w:t>
      </w:r>
      <w:r w:rsidRPr="00A801C8">
        <w:rPr>
          <w:rFonts w:cs="Arial"/>
          <w:rtl/>
        </w:rPr>
        <w:t xml:space="preserve"> למה לא ישלם הבעל הקרן ממה שאבד ונגנב מנצ"ב</w:t>
      </w:r>
      <w:r w:rsidR="006E060E">
        <w:rPr>
          <w:rFonts w:cs="Arial" w:hint="cs"/>
          <w:rtl/>
        </w:rPr>
        <w:t>.</w:t>
      </w:r>
      <w:r w:rsidRPr="00A801C8">
        <w:rPr>
          <w:rFonts w:cs="Arial"/>
          <w:rtl/>
        </w:rPr>
        <w:t xml:space="preserve"> ואין זה דומה ללא הכיר בה בחייבי לאוין</w:t>
      </w:r>
      <w:r w:rsidR="000936CD">
        <w:rPr>
          <w:rFonts w:cs="Arial" w:hint="cs"/>
          <w:rtl/>
        </w:rPr>
        <w:t>,</w:t>
      </w:r>
      <w:r w:rsidRPr="00A801C8">
        <w:rPr>
          <w:rFonts w:cs="Arial"/>
          <w:rtl/>
        </w:rPr>
        <w:t xml:space="preserve"> דהתם היא הטעה אותו ואין כאן אישות כלל ולא זכה בנ"מ וא"צ לשלם נצ"ב שהרי היא נתנה לו רשות להיות אצלו והוא לא קבל עליו לשלם רק כשתצא ברצונו והיא ידעה שתוכרח ליצא</w:t>
      </w:r>
      <w:r w:rsidR="000936CD">
        <w:rPr>
          <w:rFonts w:cs="Arial" w:hint="cs"/>
          <w:rtl/>
        </w:rPr>
        <w:t>.</w:t>
      </w:r>
      <w:r w:rsidRPr="00A801C8">
        <w:rPr>
          <w:rFonts w:cs="Arial"/>
          <w:rtl/>
        </w:rPr>
        <w:t xml:space="preserve"> אבל כאן הסברא נותנת שישלם לה כל נצ"ב כאלו לוה ממנה</w:t>
      </w:r>
      <w:r w:rsidR="007B0937">
        <w:rPr>
          <w:rFonts w:cs="Arial" w:hint="cs"/>
          <w:rtl/>
        </w:rPr>
        <w:t>,</w:t>
      </w:r>
      <w:r w:rsidRPr="00A801C8">
        <w:rPr>
          <w:rFonts w:cs="Arial"/>
          <w:rtl/>
        </w:rPr>
        <w:t xml:space="preserve"> ומכ"ש נ"מ מה שבילה הקרן שלא ברשות</w:t>
      </w:r>
      <w:r w:rsidR="007B0937">
        <w:rPr>
          <w:rFonts w:cs="Arial" w:hint="cs"/>
          <w:rtl/>
        </w:rPr>
        <w:t>.</w:t>
      </w:r>
      <w:r w:rsidRPr="00A801C8">
        <w:rPr>
          <w:rFonts w:cs="Arial"/>
          <w:rtl/>
        </w:rPr>
        <w:t xml:space="preserve"> וכן מצאתי בתשובת מהר"ם שנדפסו בתשובת הרשב"א </w:t>
      </w:r>
      <w:r w:rsidR="007B0937">
        <w:rPr>
          <w:rFonts w:cs="Arial" w:hint="cs"/>
          <w:rtl/>
        </w:rPr>
        <w:t>(</w:t>
      </w:r>
      <w:r w:rsidRPr="00A801C8">
        <w:rPr>
          <w:rFonts w:cs="Arial"/>
          <w:rtl/>
        </w:rPr>
        <w:t>סי' תתמ</w:t>
      </w:r>
      <w:r w:rsidR="007B0937">
        <w:rPr>
          <w:rFonts w:cs="Arial" w:hint="cs"/>
          <w:rtl/>
        </w:rPr>
        <w:t>)</w:t>
      </w:r>
      <w:r w:rsidRPr="00A801C8">
        <w:rPr>
          <w:rFonts w:cs="Arial"/>
          <w:rtl/>
        </w:rPr>
        <w:t xml:space="preserve"> בנתקלקלה תחתיו דיש לה כתובה וכ"ש נדוניא דהנעלת ליה דכיון דאנוסה היא לא מקנסה מזה</w:t>
      </w:r>
      <w:r w:rsidR="003B14EB">
        <w:rPr>
          <w:rFonts w:cs="Arial" w:hint="cs"/>
          <w:rtl/>
        </w:rPr>
        <w:t>.</w:t>
      </w:r>
      <w:r w:rsidRPr="00A801C8">
        <w:rPr>
          <w:rFonts w:cs="Arial"/>
          <w:rtl/>
        </w:rPr>
        <w:t xml:space="preserve"> ונראה דאף אם היתה כן בתחלת נשואיה דאין לה כתובה מ"מ נדוניא דהנעלת ליה ולא הפסידה דהא ג"כ אנוסה היא</w:t>
      </w:r>
      <w:r>
        <w:rPr>
          <w:rFonts w:cs="Arial" w:hint="cs"/>
          <w:rtl/>
        </w:rPr>
        <w:t>, ח"מ (סק"ב).</w:t>
      </w:r>
    </w:p>
  </w:footnote>
  <w:footnote w:id="2946">
    <w:p w14:paraId="69F8337C" w14:textId="4580F03A" w:rsidR="00392DBB" w:rsidRDefault="00392DBB" w:rsidP="00392DBB">
      <w:pPr>
        <w:pStyle w:val="a5"/>
      </w:pPr>
      <w:r>
        <w:rPr>
          <w:rStyle w:val="a7"/>
        </w:rPr>
        <w:footnoteRef/>
      </w:r>
      <w:r>
        <w:rPr>
          <w:rtl/>
        </w:rPr>
        <w:t xml:space="preserve"> </w:t>
      </w:r>
      <w:r w:rsidRPr="007A40B0">
        <w:rPr>
          <w:rFonts w:cs="Arial"/>
          <w:rtl/>
        </w:rPr>
        <w:t>היינו באלמנה</w:t>
      </w:r>
      <w:r w:rsidR="00C92805">
        <w:rPr>
          <w:rFonts w:cs="Arial" w:hint="cs"/>
          <w:rtl/>
        </w:rPr>
        <w:t>,</w:t>
      </w:r>
      <w:r w:rsidRPr="007A40B0">
        <w:rPr>
          <w:rFonts w:cs="Arial"/>
          <w:rtl/>
        </w:rPr>
        <w:t xml:space="preserve"> אבל בבתולה דתלינן הדם שרואה בדם בתולים</w:t>
      </w:r>
      <w:r w:rsidR="004C0EEA">
        <w:rPr>
          <w:rFonts w:cs="Arial" w:hint="cs"/>
          <w:rtl/>
        </w:rPr>
        <w:t>,</w:t>
      </w:r>
      <w:r w:rsidRPr="007A40B0">
        <w:rPr>
          <w:rFonts w:cs="Arial"/>
          <w:rtl/>
        </w:rPr>
        <w:t xml:space="preserve"> ואם אח</w:t>
      </w:r>
      <w:r w:rsidR="004C0EEA">
        <w:rPr>
          <w:rFonts w:cs="Arial" w:hint="cs"/>
          <w:rtl/>
        </w:rPr>
        <w:t>"</w:t>
      </w:r>
      <w:r w:rsidRPr="007A40B0">
        <w:rPr>
          <w:rFonts w:cs="Arial"/>
          <w:rtl/>
        </w:rPr>
        <w:t>כ ראתה ג' פעמים רצופין בלא צער שאין ראוי לתלות בדם בתולים</w:t>
      </w:r>
      <w:r w:rsidR="0079155B">
        <w:rPr>
          <w:rFonts w:cs="Arial" w:hint="cs"/>
          <w:rtl/>
        </w:rPr>
        <w:t>,</w:t>
      </w:r>
      <w:r w:rsidRPr="007A40B0">
        <w:rPr>
          <w:rFonts w:cs="Arial"/>
          <w:rtl/>
        </w:rPr>
        <w:t xml:space="preserve"> וספק אם נסתחפה שדיהו אחר דם בתולין או שמא גם בביאה ראשונה בתוך דם בתולים היה דם נידה וא"כ לא נסתחפה שדיהו</w:t>
      </w:r>
      <w:r w:rsidR="00B5141D">
        <w:rPr>
          <w:rFonts w:cs="Arial" w:hint="cs"/>
          <w:rtl/>
        </w:rPr>
        <w:t>.</w:t>
      </w:r>
      <w:r w:rsidR="00B4188E">
        <w:rPr>
          <w:rFonts w:cs="Arial" w:hint="cs"/>
          <w:rtl/>
        </w:rPr>
        <w:t xml:space="preserve"> </w:t>
      </w:r>
      <w:r w:rsidRPr="007A40B0">
        <w:rPr>
          <w:rFonts w:cs="Arial"/>
          <w:rtl/>
        </w:rPr>
        <w:t xml:space="preserve"> ובתשובת מהר"ם פדווא</w:t>
      </w:r>
      <w:r w:rsidR="00C92805">
        <w:rPr>
          <w:rFonts w:cs="Arial" w:hint="cs"/>
          <w:rtl/>
        </w:rPr>
        <w:t>ה</w:t>
      </w:r>
      <w:r w:rsidRPr="007A40B0">
        <w:rPr>
          <w:rFonts w:cs="Arial"/>
          <w:rtl/>
        </w:rPr>
        <w:t xml:space="preserve"> </w:t>
      </w:r>
      <w:r w:rsidR="00C92805">
        <w:rPr>
          <w:rFonts w:cs="Arial" w:hint="cs"/>
          <w:rtl/>
        </w:rPr>
        <w:t>(</w:t>
      </w:r>
      <w:r w:rsidRPr="007A40B0">
        <w:rPr>
          <w:rFonts w:cs="Arial"/>
          <w:rtl/>
        </w:rPr>
        <w:t>סי' ט</w:t>
      </w:r>
      <w:r w:rsidR="00C92805">
        <w:rPr>
          <w:rFonts w:cs="Arial" w:hint="cs"/>
          <w:rtl/>
        </w:rPr>
        <w:t>-</w:t>
      </w:r>
      <w:r w:rsidRPr="007A40B0">
        <w:rPr>
          <w:rFonts w:cs="Arial"/>
          <w:rtl/>
        </w:rPr>
        <w:t>י</w:t>
      </w:r>
      <w:r w:rsidR="00C92805">
        <w:rPr>
          <w:rFonts w:cs="Arial" w:hint="cs"/>
          <w:rtl/>
        </w:rPr>
        <w:t>)</w:t>
      </w:r>
      <w:r w:rsidRPr="007A40B0">
        <w:rPr>
          <w:rFonts w:cs="Arial"/>
          <w:rtl/>
        </w:rPr>
        <w:t xml:space="preserve"> כתבו דגם בבתולה מיירי הרמב"ם ולעולם לא אמרי' נסתחפה שדיהו אלא בבעל פעם א' ולא מצא דם</w:t>
      </w:r>
      <w:r>
        <w:rPr>
          <w:rFonts w:cs="Arial" w:hint="cs"/>
          <w:rtl/>
        </w:rPr>
        <w:t>, ח"מ (סק"ד).</w:t>
      </w:r>
    </w:p>
  </w:footnote>
  <w:footnote w:id="2947">
    <w:p w14:paraId="315BDBE8" w14:textId="6CA667C6" w:rsidR="00F36A68" w:rsidRDefault="00F36A68" w:rsidP="00F36A68">
      <w:pPr>
        <w:pStyle w:val="a5"/>
      </w:pPr>
      <w:r>
        <w:rPr>
          <w:rStyle w:val="a7"/>
        </w:rPr>
        <w:footnoteRef/>
      </w:r>
      <w:r>
        <w:rPr>
          <w:rtl/>
        </w:rPr>
        <w:t xml:space="preserve"> </w:t>
      </w:r>
      <w:r>
        <w:rPr>
          <w:rFonts w:cs="Arial" w:hint="cs"/>
          <w:rtl/>
        </w:rPr>
        <w:t xml:space="preserve">עיין בהערה לעיל </w:t>
      </w:r>
      <w:r w:rsidR="00F609A1">
        <w:rPr>
          <w:rFonts w:cs="Arial" w:hint="cs"/>
          <w:rtl/>
        </w:rPr>
        <w:t>על דברי מהר"ם</w:t>
      </w:r>
      <w:r>
        <w:rPr>
          <w:rFonts w:hint="cs"/>
          <w:rtl/>
        </w:rPr>
        <w:t>.</w:t>
      </w:r>
    </w:p>
  </w:footnote>
  <w:footnote w:id="2948">
    <w:p w14:paraId="21AAF227" w14:textId="06481E7D" w:rsidR="00392DBB" w:rsidRDefault="00392DBB" w:rsidP="00392DBB">
      <w:pPr>
        <w:pStyle w:val="a5"/>
      </w:pPr>
      <w:r>
        <w:rPr>
          <w:rStyle w:val="a7"/>
        </w:rPr>
        <w:footnoteRef/>
      </w:r>
      <w:r>
        <w:rPr>
          <w:rtl/>
        </w:rPr>
        <w:t xml:space="preserve"> </w:t>
      </w:r>
      <w:r w:rsidRPr="00500A03">
        <w:rPr>
          <w:rFonts w:cs="Arial"/>
          <w:rtl/>
        </w:rPr>
        <w:t>לכאורה היינו בקי</w:t>
      </w:r>
      <w:r w:rsidR="001D7929">
        <w:rPr>
          <w:rFonts w:cs="Arial" w:hint="cs"/>
          <w:rtl/>
        </w:rPr>
        <w:t>י</w:t>
      </w:r>
      <w:r w:rsidRPr="00500A03">
        <w:rPr>
          <w:rFonts w:cs="Arial"/>
          <w:rtl/>
        </w:rPr>
        <w:t>ם פ"ו</w:t>
      </w:r>
      <w:r w:rsidR="001D7929">
        <w:rPr>
          <w:rFonts w:cs="Arial" w:hint="cs"/>
          <w:rtl/>
        </w:rPr>
        <w:t>.</w:t>
      </w:r>
      <w:r w:rsidRPr="00500A03">
        <w:rPr>
          <w:rFonts w:cs="Arial"/>
          <w:rtl/>
        </w:rPr>
        <w:t xml:space="preserve"> ומ"מ קשה דאסור לו לעמוד בלא אשה (כדלעיל סי' א ס</w:t>
      </w:r>
      <w:r w:rsidR="001D7929">
        <w:rPr>
          <w:rFonts w:cs="Arial" w:hint="cs"/>
          <w:rtl/>
        </w:rPr>
        <w:t>ע'</w:t>
      </w:r>
      <w:r w:rsidRPr="00500A03">
        <w:rPr>
          <w:rFonts w:cs="Arial"/>
          <w:rtl/>
        </w:rPr>
        <w:t xml:space="preserve"> ח)</w:t>
      </w:r>
      <w:r w:rsidR="001D7929">
        <w:rPr>
          <w:rFonts w:cs="Arial" w:hint="cs"/>
          <w:rtl/>
        </w:rPr>
        <w:t>,</w:t>
      </w:r>
      <w:r w:rsidRPr="00500A03">
        <w:rPr>
          <w:rFonts w:cs="Arial"/>
          <w:rtl/>
        </w:rPr>
        <w:t xml:space="preserve"> ועוד דלקמן </w:t>
      </w:r>
      <w:r w:rsidR="001D7929">
        <w:rPr>
          <w:rFonts w:cs="Arial" w:hint="cs"/>
          <w:rtl/>
        </w:rPr>
        <w:t>(</w:t>
      </w:r>
      <w:r w:rsidRPr="00500A03">
        <w:rPr>
          <w:rFonts w:cs="Arial"/>
          <w:rtl/>
        </w:rPr>
        <w:t>סי</w:t>
      </w:r>
      <w:r w:rsidR="001D7929">
        <w:rPr>
          <w:rFonts w:cs="Arial" w:hint="cs"/>
          <w:rtl/>
        </w:rPr>
        <w:t>'</w:t>
      </w:r>
      <w:r w:rsidRPr="00500A03">
        <w:rPr>
          <w:rFonts w:cs="Arial"/>
          <w:rtl/>
        </w:rPr>
        <w:t xml:space="preserve"> קנד </w:t>
      </w:r>
      <w:r w:rsidR="006D3A6D">
        <w:rPr>
          <w:rFonts w:cs="Arial" w:hint="cs"/>
          <w:rtl/>
        </w:rPr>
        <w:t xml:space="preserve">סע' י) </w:t>
      </w:r>
      <w:r w:rsidRPr="00500A03">
        <w:rPr>
          <w:rFonts w:cs="Arial"/>
          <w:rtl/>
        </w:rPr>
        <w:t xml:space="preserve">פסק </w:t>
      </w:r>
      <w:r w:rsidR="006D3A6D">
        <w:rPr>
          <w:rFonts w:cs="Arial" w:hint="cs"/>
          <w:rtl/>
        </w:rPr>
        <w:t>ד</w:t>
      </w:r>
      <w:r w:rsidRPr="00500A03">
        <w:rPr>
          <w:rFonts w:cs="Arial"/>
          <w:rtl/>
        </w:rPr>
        <w:t>אם אמר הריני שוכן בעדים אין שומעין לו</w:t>
      </w:r>
      <w:r w:rsidR="006D3A6D">
        <w:rPr>
          <w:rFonts w:cs="Arial" w:hint="cs"/>
          <w:rtl/>
        </w:rPr>
        <w:t>,</w:t>
      </w:r>
      <w:r w:rsidRPr="00500A03">
        <w:rPr>
          <w:rFonts w:cs="Arial"/>
          <w:rtl/>
        </w:rPr>
        <w:t xml:space="preserve"> ומכ"ש הכא דלאו בת תשמיש היא כלל</w:t>
      </w:r>
      <w:r w:rsidR="006D3A6D">
        <w:rPr>
          <w:rFonts w:cs="Arial" w:hint="cs"/>
          <w:rtl/>
        </w:rPr>
        <w:t>.</w:t>
      </w:r>
      <w:r w:rsidRPr="00500A03">
        <w:rPr>
          <w:rFonts w:cs="Arial"/>
          <w:rtl/>
        </w:rPr>
        <w:t xml:space="preserve"> וי"ל דהיא הנותנת</w:t>
      </w:r>
      <w:r w:rsidR="006D3A6D">
        <w:rPr>
          <w:rFonts w:cs="Arial" w:hint="cs"/>
          <w:rtl/>
        </w:rPr>
        <w:t>,</w:t>
      </w:r>
      <w:r w:rsidRPr="00500A03">
        <w:rPr>
          <w:rFonts w:cs="Arial"/>
          <w:rtl/>
        </w:rPr>
        <w:t xml:space="preserve"> דלקמן הואיל והיא בת תשמיש יש לחוש שמא לא ישא אחרת</w:t>
      </w:r>
      <w:r w:rsidR="006D3A6D">
        <w:rPr>
          <w:rFonts w:cs="Arial" w:hint="cs"/>
          <w:rtl/>
        </w:rPr>
        <w:t>,</w:t>
      </w:r>
      <w:r w:rsidRPr="00500A03">
        <w:rPr>
          <w:rFonts w:cs="Arial"/>
          <w:rtl/>
        </w:rPr>
        <w:t xml:space="preserve"> ע"כ צריך לגרשה או ישא מיד אחרת</w:t>
      </w:r>
      <w:r w:rsidR="006D3A6D">
        <w:rPr>
          <w:rFonts w:cs="Arial" w:hint="cs"/>
          <w:rtl/>
        </w:rPr>
        <w:t>,</w:t>
      </w:r>
      <w:r w:rsidRPr="00500A03">
        <w:rPr>
          <w:rFonts w:cs="Arial"/>
          <w:rtl/>
        </w:rPr>
        <w:t xml:space="preserve"> דחיישינן כל זמן דאגידא ביה לא ישא אחרת</w:t>
      </w:r>
      <w:r w:rsidR="006D3A6D">
        <w:rPr>
          <w:rFonts w:cs="Arial" w:hint="cs"/>
          <w:rtl/>
        </w:rPr>
        <w:t>.</w:t>
      </w:r>
      <w:r w:rsidRPr="00500A03">
        <w:rPr>
          <w:rFonts w:cs="Arial"/>
          <w:rtl/>
        </w:rPr>
        <w:t xml:space="preserve"> אבל זאת שאינה בת תשמיש ודאי לא ישב בלא אשה</w:t>
      </w:r>
      <w:r w:rsidR="003B6F22">
        <w:rPr>
          <w:rFonts w:cs="Arial" w:hint="cs"/>
          <w:rtl/>
        </w:rPr>
        <w:t>,</w:t>
      </w:r>
      <w:r w:rsidRPr="00500A03">
        <w:rPr>
          <w:rFonts w:cs="Arial"/>
          <w:rtl/>
        </w:rPr>
        <w:t xml:space="preserve"> ועד שתזדמן לו אשה כרצונו א"צ לגרשה ושרי להשרותה ע"י שליש</w:t>
      </w:r>
      <w:r w:rsidR="003B6F22">
        <w:rPr>
          <w:rFonts w:cs="Arial" w:hint="cs"/>
          <w:rtl/>
        </w:rPr>
        <w:t>.</w:t>
      </w:r>
      <w:r w:rsidRPr="00500A03">
        <w:rPr>
          <w:rFonts w:cs="Arial"/>
          <w:rtl/>
        </w:rPr>
        <w:t xml:space="preserve"> ומשמע אם נשא אחרת פשיטא דא"צ לגרש זאת</w:t>
      </w:r>
      <w:r w:rsidR="003B6F22">
        <w:rPr>
          <w:rFonts w:cs="Arial" w:hint="cs"/>
          <w:rtl/>
        </w:rPr>
        <w:t>,</w:t>
      </w:r>
      <w:r w:rsidRPr="00500A03">
        <w:rPr>
          <w:rFonts w:cs="Arial"/>
          <w:rtl/>
        </w:rPr>
        <w:t xml:space="preserve"> וכמו שפסק לקמן </w:t>
      </w:r>
      <w:r w:rsidR="003B6F22">
        <w:rPr>
          <w:rFonts w:cs="Arial" w:hint="cs"/>
          <w:rtl/>
        </w:rPr>
        <w:t>(</w:t>
      </w:r>
      <w:r w:rsidRPr="00500A03">
        <w:rPr>
          <w:rFonts w:cs="Arial"/>
          <w:rtl/>
        </w:rPr>
        <w:t>סי' קלד</w:t>
      </w:r>
      <w:r w:rsidR="003B6F22">
        <w:rPr>
          <w:rFonts w:cs="Arial" w:hint="cs"/>
          <w:rtl/>
        </w:rPr>
        <w:t>)</w:t>
      </w:r>
      <w:r w:rsidRPr="00500A03">
        <w:rPr>
          <w:rFonts w:cs="Arial"/>
          <w:rtl/>
        </w:rPr>
        <w:t xml:space="preserve"> או ישא אשה הראוי' לילד</w:t>
      </w:r>
      <w:r w:rsidR="003B6F22">
        <w:rPr>
          <w:rFonts w:cs="Arial" w:hint="cs"/>
          <w:rtl/>
        </w:rPr>
        <w:t>.</w:t>
      </w:r>
      <w:r w:rsidRPr="00500A03">
        <w:rPr>
          <w:rFonts w:cs="Arial"/>
          <w:rtl/>
        </w:rPr>
        <w:t xml:space="preserve"> אבל בתשובת מהר"מ פסק אם רוצה לישא אחרת צריך לגרש זאת כדי שלא יאמרו זו אשתו וזו זונתו</w:t>
      </w:r>
      <w:r w:rsidR="003B6F22">
        <w:rPr>
          <w:rFonts w:cs="Arial" w:hint="cs"/>
          <w:rtl/>
        </w:rPr>
        <w:t>.</w:t>
      </w:r>
      <w:r w:rsidRPr="00500A03">
        <w:rPr>
          <w:rFonts w:cs="Arial"/>
          <w:rtl/>
        </w:rPr>
        <w:t xml:space="preserve"> ולא ידעתי מניין לו</w:t>
      </w:r>
      <w:r w:rsidR="003B6F22">
        <w:rPr>
          <w:rFonts w:cs="Arial" w:hint="cs"/>
          <w:rtl/>
        </w:rPr>
        <w:t>,</w:t>
      </w:r>
      <w:r w:rsidRPr="00500A03">
        <w:rPr>
          <w:rFonts w:cs="Arial"/>
          <w:rtl/>
        </w:rPr>
        <w:t xml:space="preserve"> דהא בנשא אשה ושהה עשר שנים מתירין לו אשה אחרת ולא חיישינן שמא יאמרו זו זונתו אע</w:t>
      </w:r>
      <w:r w:rsidR="003B6F22">
        <w:rPr>
          <w:rFonts w:cs="Arial" w:hint="cs"/>
          <w:rtl/>
        </w:rPr>
        <w:t>"</w:t>
      </w:r>
      <w:r w:rsidRPr="00500A03">
        <w:rPr>
          <w:rFonts w:cs="Arial"/>
          <w:rtl/>
        </w:rPr>
        <w:t>פ דהיא בת תשמיש</w:t>
      </w:r>
      <w:r w:rsidR="003B6F22">
        <w:rPr>
          <w:rFonts w:cs="Arial" w:hint="cs"/>
          <w:rtl/>
        </w:rPr>
        <w:t>,</w:t>
      </w:r>
      <w:r w:rsidRPr="00500A03">
        <w:rPr>
          <w:rFonts w:cs="Arial"/>
          <w:rtl/>
        </w:rPr>
        <w:t xml:space="preserve"> מכ"ש הכא איך יאמרו זו זונתו הא לאו בת תשמיש היא</w:t>
      </w:r>
      <w:r w:rsidR="00C15BD3">
        <w:rPr>
          <w:rFonts w:cs="Arial" w:hint="cs"/>
          <w:rtl/>
        </w:rPr>
        <w:t>.</w:t>
      </w:r>
      <w:r w:rsidRPr="00500A03">
        <w:rPr>
          <w:rFonts w:cs="Arial"/>
          <w:rtl/>
        </w:rPr>
        <w:t xml:space="preserve"> ובגמרא פ' אע</w:t>
      </w:r>
      <w:r w:rsidR="003B6F22">
        <w:rPr>
          <w:rFonts w:cs="Arial" w:hint="cs"/>
          <w:rtl/>
        </w:rPr>
        <w:t>"</w:t>
      </w:r>
      <w:r w:rsidRPr="00500A03">
        <w:rPr>
          <w:rFonts w:cs="Arial"/>
          <w:rtl/>
        </w:rPr>
        <w:t>פ באגדה אמרו לשון זה זו זונתו בכלתו של רבי שנעשית עקרה שהיא בת תשמיש ולאו לדינא נאמר התם</w:t>
      </w:r>
      <w:r>
        <w:rPr>
          <w:rFonts w:cs="Arial" w:hint="cs"/>
          <w:rtl/>
        </w:rPr>
        <w:t>, ח"מ (סק"ז).</w:t>
      </w:r>
    </w:p>
  </w:footnote>
  <w:footnote w:id="2949">
    <w:p w14:paraId="36187FD6" w14:textId="00F635E0" w:rsidR="00392DBB" w:rsidRDefault="00392DBB" w:rsidP="00392DBB">
      <w:pPr>
        <w:pStyle w:val="a5"/>
      </w:pPr>
      <w:r>
        <w:rPr>
          <w:rStyle w:val="a7"/>
        </w:rPr>
        <w:footnoteRef/>
      </w:r>
      <w:r>
        <w:rPr>
          <w:rtl/>
        </w:rPr>
        <w:t xml:space="preserve"> </w:t>
      </w:r>
      <w:r w:rsidRPr="007F65E3">
        <w:rPr>
          <w:rFonts w:cs="Arial"/>
          <w:rtl/>
        </w:rPr>
        <w:t>כלו' שהיא אטומה וסגורה ואינה ראויה להבעל</w:t>
      </w:r>
      <w:r>
        <w:rPr>
          <w:rFonts w:cs="Arial" w:hint="cs"/>
          <w:rtl/>
        </w:rPr>
        <w:t xml:space="preserve">, </w:t>
      </w:r>
      <w:r w:rsidRPr="003861C3">
        <w:rPr>
          <w:rFonts w:cs="Arial" w:hint="cs"/>
          <w:b/>
          <w:bCs/>
          <w:rtl/>
        </w:rPr>
        <w:t>ח"מ</w:t>
      </w:r>
      <w:r>
        <w:rPr>
          <w:rFonts w:cs="Arial" w:hint="cs"/>
          <w:rtl/>
        </w:rPr>
        <w:t xml:space="preserve"> (סק"ט).</w:t>
      </w:r>
      <w:r w:rsidRPr="007F65E3">
        <w:rPr>
          <w:rtl/>
        </w:rPr>
        <w:t xml:space="preserve"> </w:t>
      </w:r>
      <w:r>
        <w:rPr>
          <w:rFonts w:cs="Arial" w:hint="cs"/>
          <w:rtl/>
        </w:rPr>
        <w:t>ו</w:t>
      </w:r>
      <w:r w:rsidRPr="007F65E3">
        <w:rPr>
          <w:rFonts w:cs="Arial"/>
          <w:rtl/>
        </w:rPr>
        <w:t xml:space="preserve">ע' תשו' רש"ך </w:t>
      </w:r>
      <w:r>
        <w:rPr>
          <w:rFonts w:cs="Arial" w:hint="cs"/>
          <w:rtl/>
        </w:rPr>
        <w:t>(</w:t>
      </w:r>
      <w:r w:rsidRPr="007F65E3">
        <w:rPr>
          <w:rFonts w:cs="Arial"/>
          <w:rtl/>
        </w:rPr>
        <w:t>שם ובס' ב סי' צו</w:t>
      </w:r>
      <w:r>
        <w:rPr>
          <w:rFonts w:cs="Arial" w:hint="cs"/>
          <w:rtl/>
        </w:rPr>
        <w:t>)</w:t>
      </w:r>
      <w:r w:rsidRPr="007F65E3">
        <w:rPr>
          <w:rFonts w:cs="Arial"/>
          <w:rtl/>
        </w:rPr>
        <w:t xml:space="preserve"> דאי</w:t>
      </w:r>
      <w:r>
        <w:rPr>
          <w:rFonts w:cs="Arial" w:hint="cs"/>
          <w:rtl/>
        </w:rPr>
        <w:t>כא</w:t>
      </w:r>
      <w:r w:rsidRPr="007F65E3">
        <w:rPr>
          <w:rFonts w:cs="Arial"/>
          <w:rtl/>
        </w:rPr>
        <w:t xml:space="preserve"> תרי גווני אינה ראוי</w:t>
      </w:r>
      <w:r>
        <w:rPr>
          <w:rFonts w:cs="Arial" w:hint="cs"/>
          <w:rtl/>
        </w:rPr>
        <w:t>ה,</w:t>
      </w:r>
      <w:r w:rsidRPr="007F65E3">
        <w:rPr>
          <w:rFonts w:cs="Arial"/>
          <w:rtl/>
        </w:rPr>
        <w:t xml:space="preserve"> אם מחמת כאב </w:t>
      </w:r>
      <w:r>
        <w:rPr>
          <w:rFonts w:cs="Arial" w:hint="cs"/>
          <w:rtl/>
        </w:rPr>
        <w:t xml:space="preserve">- </w:t>
      </w:r>
      <w:r w:rsidRPr="007F65E3">
        <w:rPr>
          <w:rFonts w:cs="Arial"/>
          <w:rtl/>
        </w:rPr>
        <w:t>הוי כאיילנות</w:t>
      </w:r>
      <w:r>
        <w:rPr>
          <w:rFonts w:cs="Arial" w:hint="cs"/>
          <w:rtl/>
        </w:rPr>
        <w:t>,</w:t>
      </w:r>
      <w:r w:rsidRPr="007F65E3">
        <w:rPr>
          <w:rFonts w:cs="Arial"/>
          <w:rtl/>
        </w:rPr>
        <w:t xml:space="preserve"> דמתקשות בעת התשמיש</w:t>
      </w:r>
      <w:r>
        <w:rPr>
          <w:rFonts w:cs="Arial" w:hint="cs"/>
          <w:rtl/>
        </w:rPr>
        <w:t>,</w:t>
      </w:r>
      <w:r w:rsidRPr="007F65E3">
        <w:rPr>
          <w:rFonts w:cs="Arial"/>
          <w:rtl/>
        </w:rPr>
        <w:t xml:space="preserve"> ויש לה תוס'</w:t>
      </w:r>
      <w:r>
        <w:rPr>
          <w:rFonts w:cs="Arial" w:hint="cs"/>
          <w:rtl/>
        </w:rPr>
        <w:t>.</w:t>
      </w:r>
      <w:r w:rsidRPr="007F65E3">
        <w:rPr>
          <w:rFonts w:cs="Arial"/>
          <w:rtl/>
        </w:rPr>
        <w:t xml:space="preserve"> ואם רחמה צר דאינה ראוי</w:t>
      </w:r>
      <w:r>
        <w:rPr>
          <w:rFonts w:cs="Arial" w:hint="cs"/>
          <w:rtl/>
        </w:rPr>
        <w:t>ה</w:t>
      </w:r>
      <w:r w:rsidRPr="007F65E3">
        <w:rPr>
          <w:rFonts w:cs="Arial"/>
          <w:rtl/>
        </w:rPr>
        <w:t xml:space="preserve"> לתשמיש </w:t>
      </w:r>
      <w:r>
        <w:rPr>
          <w:rFonts w:cs="Arial" w:hint="cs"/>
          <w:rtl/>
        </w:rPr>
        <w:t xml:space="preserve">- </w:t>
      </w:r>
      <w:r w:rsidRPr="007F65E3">
        <w:rPr>
          <w:rFonts w:cs="Arial"/>
          <w:rtl/>
        </w:rPr>
        <w:t>אין לה תוס</w:t>
      </w:r>
      <w:r>
        <w:rPr>
          <w:rFonts w:cs="Arial" w:hint="cs"/>
          <w:rtl/>
        </w:rPr>
        <w:t>פת.</w:t>
      </w:r>
      <w:r w:rsidRPr="007F65E3">
        <w:rPr>
          <w:rFonts w:cs="Arial"/>
          <w:rtl/>
        </w:rPr>
        <w:t xml:space="preserve"> ובזו ליכא פלוגתא כיון דאינה ראויה לביאה אינו נותן לה מתנה</w:t>
      </w:r>
      <w:r>
        <w:rPr>
          <w:rFonts w:hint="cs"/>
          <w:rtl/>
        </w:rPr>
        <w:t xml:space="preserve">, </w:t>
      </w:r>
      <w:r w:rsidRPr="003861C3">
        <w:rPr>
          <w:rFonts w:hint="cs"/>
          <w:b/>
          <w:bCs/>
          <w:rtl/>
        </w:rPr>
        <w:t>ב"ש</w:t>
      </w:r>
      <w:r>
        <w:rPr>
          <w:rFonts w:hint="cs"/>
          <w:rtl/>
        </w:rPr>
        <w:t xml:space="preserve"> (סק"ט).</w:t>
      </w:r>
    </w:p>
  </w:footnote>
  <w:footnote w:id="2950">
    <w:p w14:paraId="64ECFB06" w14:textId="77777777" w:rsidR="00392DBB" w:rsidRPr="00077144" w:rsidRDefault="00392DBB" w:rsidP="00392DBB">
      <w:pPr>
        <w:pStyle w:val="a5"/>
      </w:pPr>
      <w:r w:rsidRPr="00077144">
        <w:rPr>
          <w:rStyle w:val="a7"/>
        </w:rPr>
        <w:footnoteRef/>
      </w:r>
      <w:r w:rsidRPr="00077144">
        <w:rPr>
          <w:rtl/>
        </w:rPr>
        <w:t xml:space="preserve"> </w:t>
      </w:r>
      <w:r w:rsidRPr="00077144">
        <w:rPr>
          <w:rFonts w:cs="Arial"/>
          <w:rtl/>
        </w:rPr>
        <w:t>ומ"ש אפילו נשאת סתם. כן מבואר שם בגמרא</w:t>
      </w:r>
      <w:r w:rsidRPr="00077144">
        <w:rPr>
          <w:rFonts w:cs="Arial" w:hint="cs"/>
          <w:rtl/>
        </w:rPr>
        <w:t>, ב"י. וצל"ע מה כוונתו, דלכאורה זה כבר מבואר במשנה. ובגמרא לא מצאתי.</w:t>
      </w:r>
    </w:p>
  </w:footnote>
  <w:footnote w:id="2951">
    <w:p w14:paraId="741A0B65" w14:textId="77777777" w:rsidR="00392DBB" w:rsidRDefault="00392DBB" w:rsidP="00392DBB">
      <w:pPr>
        <w:pStyle w:val="a5"/>
      </w:pPr>
      <w:r>
        <w:rPr>
          <w:rStyle w:val="a7"/>
        </w:rPr>
        <w:footnoteRef/>
      </w:r>
      <w:r>
        <w:rPr>
          <w:rtl/>
        </w:rPr>
        <w:t xml:space="preserve"> </w:t>
      </w:r>
      <w:r w:rsidRPr="008E3200">
        <w:rPr>
          <w:rFonts w:cs="Arial"/>
          <w:rtl/>
        </w:rPr>
        <w:t>ודין הכתובה בנשא אשה ושהתה עמה י' שנים ולא ילדה</w:t>
      </w:r>
      <w:r>
        <w:rPr>
          <w:rFonts w:cs="Arial" w:hint="cs"/>
          <w:rtl/>
        </w:rPr>
        <w:t>,</w:t>
      </w:r>
      <w:r w:rsidRPr="008E3200">
        <w:rPr>
          <w:rFonts w:cs="Arial"/>
          <w:rtl/>
        </w:rPr>
        <w:t xml:space="preserve"> וכן דינה בענין הכתובה אם אח"כ ניסת לשני לשלישי ולרביעי</w:t>
      </w:r>
      <w:r>
        <w:rPr>
          <w:rFonts w:cs="Arial" w:hint="cs"/>
          <w:rtl/>
        </w:rPr>
        <w:t>,</w:t>
      </w:r>
      <w:r w:rsidRPr="008E3200">
        <w:rPr>
          <w:rFonts w:cs="Arial"/>
          <w:rtl/>
        </w:rPr>
        <w:t xml:space="preserve"> יתבאר לקמן בע"ה בסוף הלכות גירושין בסי' קנ"ד</w:t>
      </w:r>
      <w:r>
        <w:rPr>
          <w:rFonts w:cs="Arial" w:hint="cs"/>
          <w:rtl/>
        </w:rPr>
        <w:t>, טור.</w:t>
      </w:r>
    </w:p>
  </w:footnote>
  <w:footnote w:id="2952">
    <w:p w14:paraId="26342797" w14:textId="00E315E1" w:rsidR="00392DBB" w:rsidRDefault="00392DBB" w:rsidP="00392DBB">
      <w:pPr>
        <w:pStyle w:val="a5"/>
      </w:pPr>
      <w:r>
        <w:rPr>
          <w:rStyle w:val="a7"/>
        </w:rPr>
        <w:footnoteRef/>
      </w:r>
      <w:r>
        <w:rPr>
          <w:rtl/>
        </w:rPr>
        <w:t xml:space="preserve"> </w:t>
      </w:r>
      <w:r w:rsidR="0061020A">
        <w:rPr>
          <w:rFonts w:hint="cs"/>
          <w:rtl/>
        </w:rPr>
        <w:t>וז</w:t>
      </w:r>
      <w:r w:rsidR="0061020A">
        <w:rPr>
          <w:rtl/>
        </w:rPr>
        <w:t>"</w:t>
      </w:r>
      <w:r w:rsidR="0061020A">
        <w:rPr>
          <w:rFonts w:hint="cs"/>
          <w:rtl/>
        </w:rPr>
        <w:t>ל:</w:t>
      </w:r>
      <w:r>
        <w:rPr>
          <w:rFonts w:hint="cs"/>
          <w:rtl/>
        </w:rPr>
        <w:t xml:space="preserve"> </w:t>
      </w:r>
      <w:r>
        <w:rPr>
          <w:rFonts w:cs="Arial"/>
          <w:rtl/>
        </w:rPr>
        <w:t>שאלה</w:t>
      </w:r>
      <w:r w:rsidR="00EA1D92">
        <w:rPr>
          <w:rFonts w:cs="Arial" w:hint="cs"/>
          <w:rtl/>
        </w:rPr>
        <w:t>:</w:t>
      </w:r>
      <w:r>
        <w:rPr>
          <w:rFonts w:cs="Arial"/>
          <w:rtl/>
        </w:rPr>
        <w:t xml:space="preserve"> ראובן ושמעון נתחתנו בהדי הדדי ראובן קידש אחותו של שמעון ושמעון קידש אחותו של ראובן והיו הקדושין בשעה אחת אלא שקדם ראובן שהיה גדול בשנים ולאלתר קידש שמעון ולאחר זמן ביקש שמעון לגרש אחותו של ראובן וליתן לה קנס הידוע הנוהג באותו מקום אמר ראובן אף על פי שאתה נותן הקנס אני מגרש אחותך שלא בקנס שעל מנת כן קדשתי אותה והקדושין בשעה אחת נגמרו על דעת זו ושמעון טוען ואומר לא היה בינינו תנאי מעולם אלא שנזדמן שהיו הקדושין בשעה אחת הנה כל מי שהיה שם לא שמע בינינו בשעת הקדושין שום תנאי בעולם היש לראובן זה מן הדין שיגרש אחות שמעון בלא קנס ואם אמר אין אצלי מה שאתן בקנס היש מן הדין לכוף אותו שישאנה או לא</w:t>
      </w:r>
      <w:r>
        <w:rPr>
          <w:rFonts w:cs="Arial" w:hint="cs"/>
          <w:rtl/>
        </w:rPr>
        <w:t xml:space="preserve">.   </w:t>
      </w:r>
      <w:r>
        <w:rPr>
          <w:rFonts w:cs="Arial"/>
          <w:rtl/>
        </w:rPr>
        <w:t xml:space="preserve"> </w:t>
      </w:r>
      <w:r w:rsidR="00FE210D">
        <w:rPr>
          <w:rFonts w:cs="Arial"/>
          <w:rtl/>
        </w:rPr>
        <w:t xml:space="preserve">  תשובה:</w:t>
      </w:r>
      <w:r>
        <w:rPr>
          <w:rFonts w:cs="Arial"/>
          <w:rtl/>
        </w:rPr>
        <w:t xml:space="preserve"> אם אין לראובן עדים שיעידו בתנאי זה שהוא טוען </w:t>
      </w:r>
      <w:r w:rsidR="00DB52F1">
        <w:rPr>
          <w:rFonts w:cs="Arial" w:hint="cs"/>
          <w:rtl/>
        </w:rPr>
        <w:t xml:space="preserve">- </w:t>
      </w:r>
      <w:r>
        <w:rPr>
          <w:rFonts w:cs="Arial"/>
          <w:rtl/>
        </w:rPr>
        <w:t>אין לו לגרש אחות שמעון עד שיתן קנס עד פרוטה אחרונה לפי מנהג המקום אע</w:t>
      </w:r>
      <w:r w:rsidR="00DB52F1">
        <w:rPr>
          <w:rFonts w:cs="Arial" w:hint="cs"/>
          <w:rtl/>
        </w:rPr>
        <w:t>"</w:t>
      </w:r>
      <w:r>
        <w:rPr>
          <w:rFonts w:cs="Arial"/>
          <w:rtl/>
        </w:rPr>
        <w:t>פ ששני הקדושין היו בשעה אחת</w:t>
      </w:r>
      <w:r w:rsidR="00DB52F1">
        <w:rPr>
          <w:rFonts w:cs="Arial" w:hint="cs"/>
          <w:rtl/>
        </w:rPr>
        <w:t>,</w:t>
      </w:r>
      <w:r>
        <w:rPr>
          <w:rFonts w:cs="Arial"/>
          <w:rtl/>
        </w:rPr>
        <w:t xml:space="preserve"> אלא אם טוען ראובן שהתנה עמו על זה שמעון בתנאי זה קודם ביאת העדים יש להשביע ואח</w:t>
      </w:r>
      <w:r w:rsidR="00DB52F1">
        <w:rPr>
          <w:rFonts w:cs="Arial" w:hint="cs"/>
          <w:rtl/>
        </w:rPr>
        <w:t>"</w:t>
      </w:r>
      <w:r>
        <w:rPr>
          <w:rFonts w:cs="Arial"/>
          <w:rtl/>
        </w:rPr>
        <w:t>כ יתן לו הקנס</w:t>
      </w:r>
      <w:r>
        <w:rPr>
          <w:rFonts w:cs="Arial" w:hint="cs"/>
          <w:rtl/>
        </w:rPr>
        <w:t>.</w:t>
      </w:r>
      <w:r>
        <w:rPr>
          <w:rFonts w:cs="Arial"/>
          <w:rtl/>
        </w:rPr>
        <w:t xml:space="preserve"> ואם אין אצל ראובן כופין אותו לישא אותה ואין לו רשות לגרשה אחר הנשואין בלא כתובה משום שאמר המשנה לקתה חייב לרפאתה אמר הרי גיטה וכתובתה תרפא את עצמה רשאי נמצא שאינו רשאי לגרשה אלא אם אמר הרי גיטה וכתובתה</w:t>
      </w:r>
      <w:r w:rsidR="00DB52F1">
        <w:rPr>
          <w:rFonts w:cs="Arial" w:hint="cs"/>
          <w:rtl/>
        </w:rPr>
        <w:t>,</w:t>
      </w:r>
      <w:r>
        <w:rPr>
          <w:rFonts w:cs="Arial"/>
          <w:rtl/>
        </w:rPr>
        <w:t xml:space="preserve"> אבל שלא בכתובה לא</w:t>
      </w:r>
      <w:r w:rsidR="00DB52F1">
        <w:rPr>
          <w:rFonts w:cs="Arial" w:hint="cs"/>
          <w:rtl/>
        </w:rPr>
        <w:t>.</w:t>
      </w:r>
      <w:r>
        <w:rPr>
          <w:rFonts w:cs="Arial"/>
          <w:rtl/>
        </w:rPr>
        <w:t xml:space="preserve"> ואם לא קבל עליו את הדין מנדין אותו וכן הדין. יצחק ב"י אלפאס.</w:t>
      </w:r>
    </w:p>
  </w:footnote>
  <w:footnote w:id="2953">
    <w:p w14:paraId="39DF961C" w14:textId="1C5B9E72" w:rsidR="00392DBB" w:rsidRDefault="00392DBB" w:rsidP="00392DBB">
      <w:pPr>
        <w:pStyle w:val="a5"/>
      </w:pPr>
      <w:r>
        <w:rPr>
          <w:rStyle w:val="a7"/>
        </w:rPr>
        <w:footnoteRef/>
      </w:r>
      <w:r>
        <w:rPr>
          <w:rtl/>
        </w:rPr>
        <w:t xml:space="preserve"> </w:t>
      </w:r>
      <w:r>
        <w:rPr>
          <w:rFonts w:hint="cs"/>
          <w:rtl/>
        </w:rPr>
        <w:t>הביאם הב"י</w:t>
      </w:r>
      <w:r>
        <w:rPr>
          <w:rFonts w:cs="Arial" w:hint="cs"/>
          <w:rtl/>
        </w:rPr>
        <w:t xml:space="preserve"> </w:t>
      </w:r>
      <w:r w:rsidR="00EA1D92">
        <w:rPr>
          <w:rFonts w:cs="Arial" w:hint="cs"/>
          <w:rtl/>
        </w:rPr>
        <w:t>(</w:t>
      </w:r>
      <w:r>
        <w:rPr>
          <w:rFonts w:cs="Arial" w:hint="cs"/>
          <w:rtl/>
        </w:rPr>
        <w:t>בבדה"ב בסי</w:t>
      </w:r>
      <w:r w:rsidR="00EA1D92">
        <w:rPr>
          <w:rFonts w:cs="Arial" w:hint="cs"/>
          <w:rtl/>
        </w:rPr>
        <w:t>'</w:t>
      </w:r>
      <w:r>
        <w:rPr>
          <w:rFonts w:cs="Arial" w:hint="cs"/>
          <w:rtl/>
        </w:rPr>
        <w:t xml:space="preserve"> קיט</w:t>
      </w:r>
      <w:r w:rsidR="00EA1D92">
        <w:rPr>
          <w:rFonts w:cs="Arial" w:hint="cs"/>
          <w:rtl/>
        </w:rPr>
        <w:t>)</w:t>
      </w:r>
      <w:r>
        <w:rPr>
          <w:rFonts w:cs="Arial" w:hint="cs"/>
          <w:rtl/>
        </w:rPr>
        <w:t>, וכתב</w:t>
      </w:r>
      <w:r w:rsidR="00B11911">
        <w:rPr>
          <w:rFonts w:cs="Arial" w:hint="cs"/>
          <w:rtl/>
        </w:rPr>
        <w:t>:</w:t>
      </w:r>
      <w:r>
        <w:rPr>
          <w:rFonts w:cs="Arial" w:hint="cs"/>
          <w:rtl/>
        </w:rPr>
        <w:t xml:space="preserve"> </w:t>
      </w:r>
      <w:r w:rsidRPr="0022210A">
        <w:rPr>
          <w:rFonts w:cs="Arial"/>
          <w:rtl/>
        </w:rPr>
        <w:t>ואינם נראים דברי סמכא</w:t>
      </w:r>
      <w:r w:rsidR="00EA1D92">
        <w:rPr>
          <w:rFonts w:cs="Arial" w:hint="cs"/>
          <w:rtl/>
        </w:rPr>
        <w:t>,</w:t>
      </w:r>
      <w:r w:rsidRPr="0022210A">
        <w:rPr>
          <w:rFonts w:cs="Arial"/>
          <w:rtl/>
        </w:rPr>
        <w:t xml:space="preserve"> דלא לישתמיט חד מהפוסקים המפורסמים לכתוב כן אפילו ברמז</w:t>
      </w:r>
      <w:r w:rsidR="00EA1D92">
        <w:rPr>
          <w:rFonts w:cs="Arial" w:hint="cs"/>
          <w:rtl/>
        </w:rPr>
        <w:t>.</w:t>
      </w:r>
      <w:r w:rsidRPr="0022210A">
        <w:rPr>
          <w:rFonts w:cs="Arial"/>
          <w:rtl/>
        </w:rPr>
        <w:t xml:space="preserve"> והראיה שהביא מידחיא בגילא דחיטתאה כמבואר למבין</w:t>
      </w:r>
      <w:r w:rsidR="00EA1D92">
        <w:rPr>
          <w:rFonts w:cs="Arial" w:hint="cs"/>
          <w:rtl/>
        </w:rPr>
        <w:t>,</w:t>
      </w:r>
      <w:r w:rsidRPr="0022210A">
        <w:rPr>
          <w:rFonts w:cs="Arial"/>
          <w:rtl/>
        </w:rPr>
        <w:t xml:space="preserve"> וכמה תשובות כתובות בשם הגדולים ואינה שלהם וכדאמרינן בפ</w:t>
      </w:r>
      <w:r w:rsidR="00EA1D92">
        <w:rPr>
          <w:rFonts w:cs="Arial" w:hint="cs"/>
          <w:rtl/>
        </w:rPr>
        <w:t>"</w:t>
      </w:r>
      <w:r w:rsidRPr="0022210A">
        <w:rPr>
          <w:rFonts w:cs="Arial"/>
          <w:rtl/>
        </w:rPr>
        <w:t xml:space="preserve">ב ביבמות (כב.) לאו מר בריה דרבינא חתים עלייהו וכיוצא בזה כתב הרשב"א ז"ל בתשובה אחרת </w:t>
      </w:r>
      <w:r w:rsidRPr="009B7B65">
        <w:rPr>
          <w:rFonts w:cs="Arial"/>
          <w:sz w:val="16"/>
          <w:szCs w:val="16"/>
          <w:rtl/>
        </w:rPr>
        <w:t>(ח"א סי' אלף קסו</w:t>
      </w:r>
      <w:r w:rsidRPr="009B7B65">
        <w:rPr>
          <w:rFonts w:cs="Arial" w:hint="cs"/>
          <w:sz w:val="16"/>
          <w:szCs w:val="16"/>
          <w:rtl/>
        </w:rPr>
        <w:t xml:space="preserve">, </w:t>
      </w:r>
      <w:r w:rsidR="0061020A">
        <w:rPr>
          <w:rFonts w:cs="Arial" w:hint="cs"/>
          <w:sz w:val="16"/>
          <w:szCs w:val="16"/>
          <w:rtl/>
        </w:rPr>
        <w:t>וז</w:t>
      </w:r>
      <w:r w:rsidR="0061020A">
        <w:rPr>
          <w:rFonts w:cs="Arial"/>
          <w:sz w:val="16"/>
          <w:szCs w:val="16"/>
          <w:rtl/>
        </w:rPr>
        <w:t>"</w:t>
      </w:r>
      <w:r w:rsidR="0061020A">
        <w:rPr>
          <w:rFonts w:cs="Arial" w:hint="cs"/>
          <w:sz w:val="16"/>
          <w:szCs w:val="16"/>
          <w:rtl/>
        </w:rPr>
        <w:t>ל:</w:t>
      </w:r>
      <w:r w:rsidRPr="009B7B65">
        <w:rPr>
          <w:rFonts w:cs="Arial" w:hint="cs"/>
          <w:sz w:val="16"/>
          <w:szCs w:val="16"/>
          <w:rtl/>
        </w:rPr>
        <w:t xml:space="preserve"> </w:t>
      </w:r>
      <w:r w:rsidRPr="009B7B65">
        <w:rPr>
          <w:rFonts w:cs="Arial"/>
          <w:sz w:val="16"/>
          <w:szCs w:val="16"/>
          <w:rtl/>
        </w:rPr>
        <w:t xml:space="preserve">ומה שאמרת שיש בידכם תשובה מהגאון רב חננאל ז"ל שאין חוששין לעדות פסולי רבנן בגירושין כלל. אותה תשובה לא ראינוה ולא שמענוה ולא הגיע' לידינו מעולם ואין אנו יודעין אם הרב ז"ל חתום עליה ובדברים כאלו אין סומכין עליהם בלא ראיה ברורה. והרבה תשובות נכתבו ויצא עליה' שם אחד מן הגדולים אשר בארץ ואולי לא אמרום מעולם. ואל תתמה שאפילו בתלמוד יארע ככה כמו שאמרו ביבמות פ' כיצד (דף כ"ב) ואי כתיבא להיתר' מי הוה סמכא עלייהו אטו מר בריה דרבינא חתי' עלייהו) </w:t>
      </w:r>
      <w:r w:rsidRPr="0022210A">
        <w:rPr>
          <w:rFonts w:cs="Arial"/>
          <w:rtl/>
        </w:rPr>
        <w:t>ועיין בתשובת הריב"ש (סי' צא) שכתבתי בסוף סימן א' (ג:)</w:t>
      </w:r>
      <w:r>
        <w:rPr>
          <w:rFonts w:cs="Arial" w:hint="cs"/>
          <w:rtl/>
        </w:rPr>
        <w:t>. עכ"ל הב"י.</w:t>
      </w:r>
    </w:p>
  </w:footnote>
  <w:footnote w:id="2954">
    <w:p w14:paraId="518E8A3C" w14:textId="77777777" w:rsidR="00392DBB" w:rsidRDefault="00392DBB" w:rsidP="00392DBB">
      <w:pPr>
        <w:pStyle w:val="a5"/>
        <w:rPr>
          <w:rtl/>
        </w:rPr>
      </w:pPr>
      <w:r>
        <w:rPr>
          <w:rStyle w:val="a7"/>
        </w:rPr>
        <w:footnoteRef/>
      </w:r>
      <w:r>
        <w:rPr>
          <w:rtl/>
        </w:rPr>
        <w:t xml:space="preserve"> </w:t>
      </w:r>
      <w:r w:rsidRPr="0039471B">
        <w:rPr>
          <w:rFonts w:cs="Arial"/>
          <w:rtl/>
        </w:rPr>
        <w:t>ועיי"ש בחילוקים, וכן בתשובת מוהר"ם פאדו"ה סימן י"ג האריך בזה</w:t>
      </w:r>
      <w:r>
        <w:rPr>
          <w:rFonts w:cs="Arial" w:hint="cs"/>
          <w:rtl/>
        </w:rPr>
        <w:t>, דרכ"מ (סימן קיט אות ב)</w:t>
      </w:r>
      <w:r w:rsidRPr="0039471B">
        <w:rPr>
          <w:rFonts w:cs="Arial"/>
          <w:rtl/>
        </w:rPr>
        <w:t>.</w:t>
      </w:r>
    </w:p>
  </w:footnote>
  <w:footnote w:id="2955">
    <w:p w14:paraId="645A065F" w14:textId="40660AA3" w:rsidR="00392DBB" w:rsidRDefault="00392DBB" w:rsidP="00392DBB">
      <w:pPr>
        <w:pStyle w:val="a5"/>
      </w:pPr>
      <w:r>
        <w:rPr>
          <w:rStyle w:val="a7"/>
        </w:rPr>
        <w:footnoteRef/>
      </w:r>
      <w:r>
        <w:rPr>
          <w:rtl/>
        </w:rPr>
        <w:t xml:space="preserve"> </w:t>
      </w:r>
      <w:r w:rsidRPr="00046742">
        <w:rPr>
          <w:rFonts w:cs="Arial"/>
          <w:rtl/>
        </w:rPr>
        <w:t>כלו</w:t>
      </w:r>
      <w:r w:rsidR="00EA1D92">
        <w:rPr>
          <w:rFonts w:cs="Arial" w:hint="cs"/>
          <w:rtl/>
        </w:rPr>
        <w:t>מר</w:t>
      </w:r>
      <w:r w:rsidRPr="00046742">
        <w:rPr>
          <w:rFonts w:cs="Arial"/>
          <w:rtl/>
        </w:rPr>
        <w:t xml:space="preserve"> ואינו יכול לברר שקודם שנתארסה היתה נכפית וא"כ אין יכול להוציאה בלא כתובה כי נסתחפה שדהו וגם היא אינה יכולה לברר שידע ומחיל דאל"כ אין יכולת בידו להוציאה בע"כ מאחר דסבר וקבל וכמו שיתבאר לקמן </w:t>
      </w:r>
      <w:r w:rsidR="00EA1D92">
        <w:rPr>
          <w:rFonts w:cs="Arial" w:hint="cs"/>
          <w:rtl/>
        </w:rPr>
        <w:t>(</w:t>
      </w:r>
      <w:r w:rsidRPr="00046742">
        <w:rPr>
          <w:rFonts w:cs="Arial"/>
          <w:rtl/>
        </w:rPr>
        <w:t>סי' קנד</w:t>
      </w:r>
      <w:r w:rsidR="00EA1D92">
        <w:rPr>
          <w:rFonts w:cs="Arial" w:hint="cs"/>
          <w:rtl/>
        </w:rPr>
        <w:t>),</w:t>
      </w:r>
      <w:r w:rsidRPr="00046742">
        <w:rPr>
          <w:rFonts w:cs="Arial"/>
          <w:rtl/>
        </w:rPr>
        <w:t xml:space="preserve"> ובתשובת הרא"ש </w:t>
      </w:r>
      <w:r w:rsidR="00EA1D92">
        <w:rPr>
          <w:rFonts w:cs="Arial" w:hint="cs"/>
          <w:rtl/>
        </w:rPr>
        <w:t>(</w:t>
      </w:r>
      <w:r w:rsidRPr="00046742">
        <w:rPr>
          <w:rFonts w:cs="Arial"/>
          <w:rtl/>
        </w:rPr>
        <w:t>כלל מב</w:t>
      </w:r>
      <w:r w:rsidR="00EA1D92">
        <w:rPr>
          <w:rFonts w:cs="Arial" w:hint="cs"/>
          <w:rtl/>
        </w:rPr>
        <w:t>)</w:t>
      </w:r>
      <w:r w:rsidRPr="00046742">
        <w:rPr>
          <w:rFonts w:cs="Arial"/>
          <w:rtl/>
        </w:rPr>
        <w:t xml:space="preserve"> משמע דנכפית סכנה הוא וגרע ממוכה שחין דלא מהני תנאה</w:t>
      </w:r>
      <w:r>
        <w:rPr>
          <w:rFonts w:cs="Arial" w:hint="cs"/>
          <w:rtl/>
        </w:rPr>
        <w:t>, ח"מ (סקי"ט).</w:t>
      </w:r>
    </w:p>
  </w:footnote>
  <w:footnote w:id="2956">
    <w:p w14:paraId="6CB35DE6" w14:textId="5BD654CB" w:rsidR="00392DBB" w:rsidRDefault="00392DBB" w:rsidP="00392DBB">
      <w:pPr>
        <w:pStyle w:val="a5"/>
        <w:rPr>
          <w:rtl/>
        </w:rPr>
      </w:pPr>
      <w:r>
        <w:rPr>
          <w:rStyle w:val="a7"/>
        </w:rPr>
        <w:footnoteRef/>
      </w:r>
      <w:r>
        <w:rPr>
          <w:rtl/>
        </w:rPr>
        <w:t xml:space="preserve"> </w:t>
      </w:r>
      <w:r>
        <w:rPr>
          <w:rFonts w:cs="Arial" w:hint="cs"/>
          <w:rtl/>
        </w:rPr>
        <w:t>ו</w:t>
      </w:r>
      <w:r w:rsidRPr="00046742">
        <w:rPr>
          <w:rFonts w:cs="Arial"/>
          <w:rtl/>
        </w:rPr>
        <w:t xml:space="preserve">עיין בתשו' נו"ב </w:t>
      </w:r>
      <w:r>
        <w:rPr>
          <w:rFonts w:cs="Arial" w:hint="cs"/>
          <w:rtl/>
        </w:rPr>
        <w:t>(</w:t>
      </w:r>
      <w:r w:rsidRPr="00046742">
        <w:rPr>
          <w:rFonts w:cs="Arial"/>
          <w:rtl/>
        </w:rPr>
        <w:t>תניינא</w:t>
      </w:r>
      <w:r>
        <w:rPr>
          <w:rFonts w:cs="Arial" w:hint="cs"/>
          <w:rtl/>
        </w:rPr>
        <w:t xml:space="preserve"> סי' קד)</w:t>
      </w:r>
      <w:r w:rsidRPr="00046742">
        <w:rPr>
          <w:rFonts w:cs="Arial"/>
          <w:rtl/>
        </w:rPr>
        <w:t xml:space="preserve"> שכ' דמתשו' הרא"ש </w:t>
      </w:r>
      <w:r>
        <w:rPr>
          <w:rFonts w:cs="Arial" w:hint="cs"/>
          <w:rtl/>
        </w:rPr>
        <w:t>(</w:t>
      </w:r>
      <w:r w:rsidRPr="00046742">
        <w:rPr>
          <w:rFonts w:cs="Arial"/>
          <w:rtl/>
        </w:rPr>
        <w:t>כלל מב</w:t>
      </w:r>
      <w:r>
        <w:rPr>
          <w:rFonts w:cs="Arial" w:hint="cs"/>
          <w:rtl/>
        </w:rPr>
        <w:t>)</w:t>
      </w:r>
      <w:r w:rsidRPr="00046742">
        <w:rPr>
          <w:rFonts w:cs="Arial"/>
          <w:rtl/>
        </w:rPr>
        <w:t xml:space="preserve"> בסוף הפסק בשם גאון א</w:t>
      </w:r>
      <w:r>
        <w:rPr>
          <w:rFonts w:cs="Arial" w:hint="cs"/>
          <w:rtl/>
        </w:rPr>
        <w:t>חד</w:t>
      </w:r>
      <w:r w:rsidRPr="00046742">
        <w:rPr>
          <w:rFonts w:cs="Arial"/>
          <w:rtl/>
        </w:rPr>
        <w:t xml:space="preserve"> למדנו מדבריו שאם אין בידו די כתובתה והוא נשאר חייב לה המותר </w:t>
      </w:r>
      <w:r>
        <w:rPr>
          <w:rFonts w:cs="Arial" w:hint="cs"/>
          <w:rtl/>
        </w:rPr>
        <w:t xml:space="preserve">- </w:t>
      </w:r>
      <w:r w:rsidRPr="00046742">
        <w:rPr>
          <w:rFonts w:cs="Arial"/>
          <w:rtl/>
        </w:rPr>
        <w:t>מחוייב לישבע שתיכף אשר תשיג ידו שיתן לה ומחוייב לכלול בשבועתו שכל מה שתשיג ידו וכל מה שירויח שלא יאכיל ממנו לאשתו אשר יקח ולא לבניו ולא ילבש אותם ולא יטפל בהם רק יפרע הכל לאשתו הגרושה חוץ מזון שלשים יום לעצמו וכסות י"ב חודש לעצמו ככל חומר שבועה המבואר בח</w:t>
      </w:r>
      <w:r w:rsidR="00187AD4">
        <w:rPr>
          <w:rFonts w:cs="Arial" w:hint="cs"/>
          <w:rtl/>
        </w:rPr>
        <w:t>ו</w:t>
      </w:r>
      <w:r w:rsidRPr="00046742">
        <w:rPr>
          <w:rFonts w:cs="Arial"/>
          <w:rtl/>
        </w:rPr>
        <w:t xml:space="preserve">"מ </w:t>
      </w:r>
      <w:r w:rsidR="00187AD4">
        <w:rPr>
          <w:rFonts w:cs="Arial" w:hint="cs"/>
          <w:rtl/>
        </w:rPr>
        <w:t>(</w:t>
      </w:r>
      <w:r w:rsidRPr="00046742">
        <w:rPr>
          <w:rFonts w:cs="Arial"/>
          <w:rtl/>
        </w:rPr>
        <w:t>סי</w:t>
      </w:r>
      <w:r w:rsidR="00187AD4">
        <w:rPr>
          <w:rFonts w:cs="Arial" w:hint="cs"/>
          <w:rtl/>
        </w:rPr>
        <w:t>'</w:t>
      </w:r>
      <w:r w:rsidRPr="00046742">
        <w:rPr>
          <w:rFonts w:cs="Arial"/>
          <w:rtl/>
        </w:rPr>
        <w:t xml:space="preserve"> נט ס"א</w:t>
      </w:r>
      <w:r w:rsidR="00187AD4">
        <w:rPr>
          <w:rFonts w:cs="Arial" w:hint="cs"/>
          <w:rtl/>
        </w:rPr>
        <w:t>)</w:t>
      </w:r>
      <w:r w:rsidRPr="00046742">
        <w:rPr>
          <w:rFonts w:cs="Arial"/>
          <w:rtl/>
        </w:rPr>
        <w:t xml:space="preserve"> ואח"כ יכול לגרשה ע"י כפיה שתקבל הגט</w:t>
      </w:r>
      <w:r>
        <w:rPr>
          <w:rFonts w:cs="Arial" w:hint="cs"/>
          <w:rtl/>
        </w:rPr>
        <w:t>, פת"ש (סק"ד).</w:t>
      </w:r>
    </w:p>
  </w:footnote>
  <w:footnote w:id="2957">
    <w:p w14:paraId="38263645" w14:textId="734561EA" w:rsidR="00392DBB" w:rsidRDefault="00392DBB" w:rsidP="00392DBB">
      <w:pPr>
        <w:pStyle w:val="a5"/>
      </w:pPr>
      <w:r>
        <w:rPr>
          <w:rStyle w:val="a7"/>
        </w:rPr>
        <w:footnoteRef/>
      </w:r>
      <w:r>
        <w:rPr>
          <w:rtl/>
        </w:rPr>
        <w:t xml:space="preserve"> </w:t>
      </w:r>
      <w:r w:rsidRPr="00046742">
        <w:rPr>
          <w:rFonts w:cs="Arial"/>
          <w:rtl/>
        </w:rPr>
        <w:t xml:space="preserve">עח"מ </w:t>
      </w:r>
      <w:r>
        <w:rPr>
          <w:rFonts w:cs="Arial" w:hint="cs"/>
          <w:rtl/>
        </w:rPr>
        <w:t>(</w:t>
      </w:r>
      <w:r w:rsidRPr="00046742">
        <w:rPr>
          <w:rFonts w:cs="Arial"/>
          <w:rtl/>
        </w:rPr>
        <w:t>סק"כ ו</w:t>
      </w:r>
      <w:r>
        <w:rPr>
          <w:rFonts w:cs="Arial" w:hint="cs"/>
          <w:rtl/>
        </w:rPr>
        <w:t>סק</w:t>
      </w:r>
      <w:r w:rsidRPr="00046742">
        <w:rPr>
          <w:rFonts w:cs="Arial"/>
          <w:rtl/>
        </w:rPr>
        <w:t>כ"א</w:t>
      </w:r>
      <w:r>
        <w:rPr>
          <w:rFonts w:cs="Arial" w:hint="cs"/>
          <w:rtl/>
        </w:rPr>
        <w:t>)</w:t>
      </w:r>
      <w:r w:rsidRPr="00046742">
        <w:rPr>
          <w:rFonts w:cs="Arial"/>
          <w:rtl/>
        </w:rPr>
        <w:t xml:space="preserve"> וב"ש </w:t>
      </w:r>
      <w:r>
        <w:rPr>
          <w:rFonts w:cs="Arial" w:hint="cs"/>
          <w:rtl/>
        </w:rPr>
        <w:t>(</w:t>
      </w:r>
      <w:r w:rsidRPr="00046742">
        <w:rPr>
          <w:rFonts w:cs="Arial"/>
          <w:rtl/>
        </w:rPr>
        <w:t>סקכ"ב</w:t>
      </w:r>
      <w:r>
        <w:rPr>
          <w:rFonts w:cs="Arial" w:hint="cs"/>
          <w:rtl/>
        </w:rPr>
        <w:t>)</w:t>
      </w:r>
      <w:r w:rsidRPr="00046742">
        <w:rPr>
          <w:rFonts w:cs="Arial"/>
          <w:rtl/>
        </w:rPr>
        <w:t xml:space="preserve"> והעולה מדבריהם שהמה מחולקים מהיפך אל ההיפך</w:t>
      </w:r>
      <w:r>
        <w:rPr>
          <w:rFonts w:cs="Arial" w:hint="cs"/>
          <w:rtl/>
        </w:rPr>
        <w:t>.</w:t>
      </w:r>
      <w:r w:rsidRPr="00046742">
        <w:rPr>
          <w:rFonts w:cs="Arial"/>
          <w:rtl/>
        </w:rPr>
        <w:t xml:space="preserve"> דלדעת הח"מ לא ברירא לי' להרא"ש בסוף דבריו שיכופו אותה בשום כפי</w:t>
      </w:r>
      <w:r>
        <w:rPr>
          <w:rFonts w:cs="Arial" w:hint="cs"/>
          <w:rtl/>
        </w:rPr>
        <w:t>ה</w:t>
      </w:r>
      <w:r w:rsidRPr="00046742">
        <w:rPr>
          <w:rFonts w:cs="Arial"/>
          <w:rtl/>
        </w:rPr>
        <w:t xml:space="preserve"> רק למנוע ממנה שכ"ו. ודעת הב"ש הוא שכופין אותה בכל מיני כפיה אפילו בשוטין וגם החליט שיכול לזרוק לה גט בעל כרחה</w:t>
      </w:r>
      <w:r>
        <w:rPr>
          <w:rFonts w:cs="Arial" w:hint="cs"/>
          <w:rtl/>
        </w:rPr>
        <w:t>..</w:t>
      </w:r>
      <w:r w:rsidRPr="00046742">
        <w:rPr>
          <w:rFonts w:cs="Arial"/>
          <w:rtl/>
        </w:rPr>
        <w:t>. ועיין ב</w:t>
      </w:r>
      <w:r>
        <w:rPr>
          <w:rFonts w:cs="Arial" w:hint="cs"/>
          <w:rtl/>
        </w:rPr>
        <w:t>נ</w:t>
      </w:r>
      <w:r w:rsidRPr="00046742">
        <w:rPr>
          <w:rFonts w:cs="Arial"/>
          <w:rtl/>
        </w:rPr>
        <w:t xml:space="preserve">ו"ב </w:t>
      </w:r>
      <w:r w:rsidRPr="002577B3">
        <w:rPr>
          <w:rFonts w:cs="Arial" w:hint="cs"/>
          <w:sz w:val="16"/>
          <w:szCs w:val="16"/>
          <w:rtl/>
        </w:rPr>
        <w:t>(</w:t>
      </w:r>
      <w:r w:rsidRPr="002577B3">
        <w:rPr>
          <w:rFonts w:cs="Arial"/>
          <w:sz w:val="16"/>
          <w:szCs w:val="16"/>
          <w:rtl/>
        </w:rPr>
        <w:t>תניינ</w:t>
      </w:r>
      <w:r w:rsidRPr="002577B3">
        <w:rPr>
          <w:rFonts w:cs="Arial" w:hint="cs"/>
          <w:sz w:val="16"/>
          <w:szCs w:val="16"/>
          <w:rtl/>
        </w:rPr>
        <w:t>א סי' קד)</w:t>
      </w:r>
      <w:r w:rsidRPr="002577B3">
        <w:rPr>
          <w:rFonts w:cs="Arial"/>
          <w:sz w:val="16"/>
          <w:szCs w:val="16"/>
          <w:rtl/>
        </w:rPr>
        <w:t xml:space="preserve"> </w:t>
      </w:r>
      <w:r w:rsidRPr="00046742">
        <w:rPr>
          <w:rFonts w:cs="Arial"/>
          <w:rtl/>
        </w:rPr>
        <w:t xml:space="preserve">שכ' דהח"מ והב"ש וגם בתשו' מהר"ם לובלין </w:t>
      </w:r>
      <w:r w:rsidRPr="002577B3">
        <w:rPr>
          <w:rFonts w:cs="Arial" w:hint="cs"/>
          <w:sz w:val="16"/>
          <w:szCs w:val="16"/>
          <w:rtl/>
        </w:rPr>
        <w:t>(</w:t>
      </w:r>
      <w:r w:rsidRPr="002577B3">
        <w:rPr>
          <w:rFonts w:cs="Arial"/>
          <w:sz w:val="16"/>
          <w:szCs w:val="16"/>
          <w:rtl/>
        </w:rPr>
        <w:t>סי' א</w:t>
      </w:r>
      <w:r w:rsidRPr="002577B3">
        <w:rPr>
          <w:rFonts w:cs="Arial" w:hint="cs"/>
          <w:sz w:val="16"/>
          <w:szCs w:val="16"/>
          <w:rtl/>
        </w:rPr>
        <w:t>)</w:t>
      </w:r>
      <w:r w:rsidRPr="002577B3">
        <w:rPr>
          <w:rFonts w:cs="Arial"/>
          <w:sz w:val="16"/>
          <w:szCs w:val="16"/>
          <w:rtl/>
        </w:rPr>
        <w:t xml:space="preserve"> </w:t>
      </w:r>
      <w:r w:rsidRPr="00046742">
        <w:rPr>
          <w:rFonts w:cs="Arial"/>
          <w:rtl/>
        </w:rPr>
        <w:t>במח"כ שגו בפירוש דברי הרא"ש</w:t>
      </w:r>
      <w:r>
        <w:rPr>
          <w:rFonts w:cs="Arial" w:hint="cs"/>
          <w:rtl/>
        </w:rPr>
        <w:t>...</w:t>
      </w:r>
      <w:r w:rsidRPr="00046742">
        <w:rPr>
          <w:rFonts w:cs="Arial"/>
          <w:rtl/>
        </w:rPr>
        <w:t xml:space="preserve"> </w:t>
      </w:r>
      <w:r>
        <w:rPr>
          <w:rFonts w:cs="Arial" w:hint="cs"/>
          <w:rtl/>
        </w:rPr>
        <w:t>ו</w:t>
      </w:r>
      <w:r w:rsidRPr="00046742">
        <w:rPr>
          <w:rFonts w:cs="Arial"/>
          <w:rtl/>
        </w:rPr>
        <w:t xml:space="preserve">באמת אין כאן סתירה </w:t>
      </w:r>
      <w:r>
        <w:rPr>
          <w:rFonts w:cs="Arial" w:hint="cs"/>
          <w:sz w:val="16"/>
          <w:szCs w:val="16"/>
          <w:rtl/>
        </w:rPr>
        <w:t>{בדברי הרא"ש}</w:t>
      </w:r>
      <w:r>
        <w:rPr>
          <w:rFonts w:cs="Arial" w:hint="cs"/>
          <w:rtl/>
        </w:rPr>
        <w:t xml:space="preserve"> </w:t>
      </w:r>
      <w:r w:rsidRPr="00046742">
        <w:rPr>
          <w:rFonts w:cs="Arial"/>
          <w:rtl/>
        </w:rPr>
        <w:t>והמה אמורים על הסדר</w:t>
      </w:r>
      <w:r w:rsidR="00194680">
        <w:rPr>
          <w:rFonts w:cs="Arial" w:hint="cs"/>
          <w:rtl/>
        </w:rPr>
        <w:t>.</w:t>
      </w:r>
      <w:r w:rsidRPr="00046742">
        <w:rPr>
          <w:rFonts w:cs="Arial"/>
          <w:rtl/>
        </w:rPr>
        <w:t xml:space="preserve"> דהנה ענין בעל כרחה של האשה נכלל בו ב' ענינים</w:t>
      </w:r>
      <w:r w:rsidR="00194680">
        <w:rPr>
          <w:rFonts w:cs="Arial" w:hint="cs"/>
          <w:rtl/>
        </w:rPr>
        <w:t>,</w:t>
      </w:r>
      <w:r w:rsidRPr="00046742">
        <w:rPr>
          <w:rFonts w:cs="Arial"/>
          <w:rtl/>
        </w:rPr>
        <w:t xml:space="preserve"> הא'</w:t>
      </w:r>
      <w:r>
        <w:rPr>
          <w:rFonts w:cs="Arial" w:hint="cs"/>
          <w:rtl/>
        </w:rPr>
        <w:t>-</w:t>
      </w:r>
      <w:r w:rsidRPr="00046742">
        <w:rPr>
          <w:rFonts w:cs="Arial"/>
          <w:rtl/>
        </w:rPr>
        <w:t xml:space="preserve"> כמו על כרחו של האיש במקום שכופין אותו דהוא עד שיאמר רוצה אני</w:t>
      </w:r>
      <w:r>
        <w:rPr>
          <w:rFonts w:cs="Arial" w:hint="cs"/>
          <w:rtl/>
        </w:rPr>
        <w:t>.</w:t>
      </w:r>
      <w:r w:rsidRPr="00046742">
        <w:rPr>
          <w:rFonts w:cs="Arial"/>
          <w:rtl/>
        </w:rPr>
        <w:t xml:space="preserve"> והב'</w:t>
      </w:r>
      <w:r>
        <w:rPr>
          <w:rFonts w:cs="Arial" w:hint="cs"/>
          <w:rtl/>
        </w:rPr>
        <w:t>-</w:t>
      </w:r>
      <w:r w:rsidRPr="00046742">
        <w:rPr>
          <w:rFonts w:cs="Arial"/>
          <w:rtl/>
        </w:rPr>
        <w:t xml:space="preserve"> ע"כ ממש בלי רצונה כלל כמו שהי' בזמן התלמוד. ופלפל הרא"ש מתחילה דבכה"ג לא תיקן ר</w:t>
      </w:r>
      <w:r w:rsidR="00F33244">
        <w:rPr>
          <w:rFonts w:cs="Arial" w:hint="cs"/>
          <w:rtl/>
        </w:rPr>
        <w:t xml:space="preserve">בנו גרשום </w:t>
      </w:r>
      <w:r w:rsidRPr="00046742">
        <w:rPr>
          <w:rFonts w:cs="Arial"/>
          <w:rtl/>
        </w:rPr>
        <w:t>כלום</w:t>
      </w:r>
      <w:r w:rsidR="00F33244">
        <w:rPr>
          <w:rFonts w:cs="Arial" w:hint="cs"/>
          <w:rtl/>
        </w:rPr>
        <w:t>,</w:t>
      </w:r>
      <w:r w:rsidRPr="00046742">
        <w:rPr>
          <w:rFonts w:cs="Arial"/>
          <w:rtl/>
        </w:rPr>
        <w:t xml:space="preserve"> וממילא נשאר בה דין הש"ס וזורק לה גט בע"כ ממש בלי רצונה כלל. ואח"כ אמר ואף את"ל שהשוה מדותיו ששום אדם לא יגרש בע"כ דהיינו בע"כ לגמרי</w:t>
      </w:r>
      <w:r w:rsidR="00F33244">
        <w:rPr>
          <w:rFonts w:cs="Arial" w:hint="cs"/>
          <w:rtl/>
        </w:rPr>
        <w:t>,</w:t>
      </w:r>
      <w:r w:rsidRPr="00046742">
        <w:rPr>
          <w:rFonts w:cs="Arial"/>
          <w:rtl/>
        </w:rPr>
        <w:t xml:space="preserve"> אבל עכ"פ במקום שכופין אותו להוציא כופין אותה לקבל גט דהיינו שכופין אותה שתאמר רוצה אני לקבל הגט. ולפי שיש הפרש בין הגירושין בעל כרחה ובין הכפי' לקבל הגט שלגרש בעל כרחה לא משכחת צד מונע שהרי יכול לזרוק וכיו</w:t>
      </w:r>
      <w:r>
        <w:rPr>
          <w:rFonts w:cs="Arial" w:hint="cs"/>
          <w:rtl/>
        </w:rPr>
        <w:t>"</w:t>
      </w:r>
      <w:r w:rsidRPr="00046742">
        <w:rPr>
          <w:rFonts w:cs="Arial"/>
          <w:rtl/>
        </w:rPr>
        <w:t>ב ולא שייך בזה אם תמאן אבל בצד השני שכ' הרא"ש. שאת"ל שהגאון השוה מדותיו ואף שכופין אותה אם במילי ואם בשוטין מ"מ משכחת לפעמים באשה סרבנית ועקשנית ותסבול כל הכפיות ולא תאמר רוצה אני ומשכחת בזה שתמאן ועל זה סיים הרא"ש ואם תמאן לקבל שלא יועיל כל הכפיות ימנע ממנה שכ"ו. זהו הפי' הנכון בדברי הרא"ש. ומעתה הדין היוצא מדבריו לזרוק לה גט לא החליט הרא"ש אבל לכופה כשם שכופין את האיש במה שמבואר במשנה שכופין האיש כופין גם האשה אם בשוטין אם בשאר כפי' לכל מר כדאית לי' דהיינו שכופין אותה שתקבל הגט מרצונה.</w:t>
      </w:r>
      <w:r>
        <w:rPr>
          <w:rFonts w:cs="Arial" w:hint="cs"/>
          <w:rtl/>
        </w:rPr>
        <w:t>..</w:t>
      </w:r>
      <w:r w:rsidRPr="00046742">
        <w:rPr>
          <w:rFonts w:cs="Arial"/>
          <w:rtl/>
        </w:rPr>
        <w:t xml:space="preserve"> ובזה פי' גם דברי הב"י בהעתקתו דברי הרא"ש ע"ש עכת"ד והמה נכונים מאד.</w:t>
      </w:r>
      <w:r>
        <w:rPr>
          <w:rFonts w:cs="Arial" w:hint="cs"/>
          <w:rtl/>
        </w:rPr>
        <w:t>.., פת"ש (סק"ה).</w:t>
      </w:r>
    </w:p>
  </w:footnote>
  <w:footnote w:id="2958">
    <w:p w14:paraId="2CFCB655" w14:textId="77777777" w:rsidR="00392DBB" w:rsidRDefault="00392DBB" w:rsidP="00392DBB">
      <w:pPr>
        <w:pStyle w:val="a5"/>
      </w:pPr>
      <w:r>
        <w:rPr>
          <w:rStyle w:val="a7"/>
        </w:rPr>
        <w:footnoteRef/>
      </w:r>
      <w:r>
        <w:rPr>
          <w:rtl/>
        </w:rPr>
        <w:t xml:space="preserve"> </w:t>
      </w:r>
      <w:r w:rsidRPr="00F17859">
        <w:rPr>
          <w:rFonts w:cs="Arial"/>
          <w:rtl/>
        </w:rPr>
        <w:t>עיין ר"ס ע"ז מ"ש בשם תשובת מהר"מ מזרחי וב"ח כל אשה שרוצה בעלה לגרשה וליתן לה הכתובה ואינה רוצה לקבל הגט יכול למנוע ממנה שכ"ו לפ"ז צ"ל מ"ש כאן ימנע ממנה שכ"ו היינו אפי' אין ידו משגת ליתן לה הכתובה</w:t>
      </w:r>
      <w:r>
        <w:rPr>
          <w:rFonts w:cs="Arial" w:hint="cs"/>
          <w:rtl/>
        </w:rPr>
        <w:t>, ב"ש (סקכ"ג).</w:t>
      </w:r>
    </w:p>
  </w:footnote>
  <w:footnote w:id="2959">
    <w:p w14:paraId="75EB965E" w14:textId="3FE975F7" w:rsidR="00392DBB" w:rsidRDefault="00392DBB" w:rsidP="00392DBB">
      <w:pPr>
        <w:pStyle w:val="a5"/>
      </w:pPr>
      <w:r>
        <w:rPr>
          <w:rStyle w:val="a7"/>
        </w:rPr>
        <w:footnoteRef/>
      </w:r>
      <w:r>
        <w:rPr>
          <w:rtl/>
        </w:rPr>
        <w:t xml:space="preserve"> </w:t>
      </w:r>
      <w:r w:rsidRPr="00F17859">
        <w:rPr>
          <w:rFonts w:cs="Arial"/>
          <w:rtl/>
        </w:rPr>
        <w:t>וצריך לקיים לה שאר כסות כשאר נשים</w:t>
      </w:r>
      <w:r w:rsidR="00A40C39">
        <w:rPr>
          <w:rFonts w:cs="Arial" w:hint="cs"/>
          <w:rtl/>
        </w:rPr>
        <w:t>,</w:t>
      </w:r>
      <w:r w:rsidRPr="00F17859">
        <w:rPr>
          <w:rFonts w:cs="Arial"/>
          <w:rtl/>
        </w:rPr>
        <w:t xml:space="preserve"> רק עונה פטור שהוא צערה דגופה ואין כופין אותו להוליד בני שנואה</w:t>
      </w:r>
      <w:r w:rsidR="00A40C39">
        <w:rPr>
          <w:rFonts w:cs="Arial" w:hint="cs"/>
          <w:rtl/>
        </w:rPr>
        <w:t>,</w:t>
      </w:r>
      <w:r w:rsidRPr="00F17859">
        <w:rPr>
          <w:rFonts w:cs="Arial"/>
          <w:rtl/>
        </w:rPr>
        <w:t xml:space="preserve"> ובפרט כשנותן אמתלא לדבריו</w:t>
      </w:r>
      <w:r w:rsidR="00A40C39">
        <w:rPr>
          <w:rFonts w:cs="Arial" w:hint="cs"/>
          <w:rtl/>
        </w:rPr>
        <w:t>.</w:t>
      </w:r>
      <w:r w:rsidRPr="00F17859">
        <w:rPr>
          <w:rFonts w:cs="Arial"/>
          <w:rtl/>
        </w:rPr>
        <w:t xml:space="preserve"> ומ"מ אין יכולת בידה להוציא ממנו הנדוניא כל זמן שהיא מעכבת הגט</w:t>
      </w:r>
      <w:r w:rsidR="00A40C39">
        <w:rPr>
          <w:rFonts w:cs="Arial" w:hint="cs"/>
          <w:rtl/>
        </w:rPr>
        <w:t>,</w:t>
      </w:r>
      <w:r w:rsidRPr="00F17859">
        <w:rPr>
          <w:rFonts w:cs="Arial"/>
          <w:rtl/>
        </w:rPr>
        <w:t xml:space="preserve"> דאין לה לתפוס החבל בתרי ראשין או תתקבל גט או לא תתבע הכתובה והנדוניא</w:t>
      </w:r>
      <w:r w:rsidR="002765D4">
        <w:rPr>
          <w:rFonts w:cs="Arial" w:hint="cs"/>
          <w:rtl/>
        </w:rPr>
        <w:t>,</w:t>
      </w:r>
      <w:r w:rsidRPr="00F17859">
        <w:rPr>
          <w:rFonts w:cs="Arial"/>
          <w:rtl/>
        </w:rPr>
        <w:t xml:space="preserve"> והוא מחוייב לעשות לה כמשפט הבנות לבד עונה א"צ לקיים</w:t>
      </w:r>
      <w:r>
        <w:rPr>
          <w:rFonts w:cs="Arial" w:hint="cs"/>
          <w:rtl/>
        </w:rPr>
        <w:t>, ח"מ (סקכ"ב).</w:t>
      </w:r>
    </w:p>
  </w:footnote>
  <w:footnote w:id="2960">
    <w:p w14:paraId="69F49CE4" w14:textId="72B618E0" w:rsidR="00392DBB" w:rsidRDefault="00392DBB" w:rsidP="00392DBB">
      <w:pPr>
        <w:pStyle w:val="a5"/>
      </w:pPr>
      <w:r>
        <w:rPr>
          <w:rStyle w:val="a7"/>
        </w:rPr>
        <w:footnoteRef/>
      </w:r>
      <w:r>
        <w:rPr>
          <w:rtl/>
        </w:rPr>
        <w:t xml:space="preserve"> </w:t>
      </w:r>
      <w:r w:rsidRPr="00F17859">
        <w:rPr>
          <w:rFonts w:cs="Arial"/>
          <w:rtl/>
        </w:rPr>
        <w:t>אבל אם אין ידו משגת ליתן כתובת' אפשר דנקרא מורד ומוסיפין על כתובתה</w:t>
      </w:r>
      <w:r w:rsidR="002977CE">
        <w:rPr>
          <w:rFonts w:cs="Arial" w:hint="cs"/>
          <w:rtl/>
        </w:rPr>
        <w:t>.</w:t>
      </w:r>
      <w:r w:rsidRPr="00F17859">
        <w:rPr>
          <w:rFonts w:cs="Arial"/>
          <w:rtl/>
        </w:rPr>
        <w:t xml:space="preserve"> וכן משמע מלשון תשובת הרא"ש שכתב כיון שמן הדין היא חייבת לקבל גט כאשר הוכחתי נמצ' פריעת כתובה הוי כשאר חוב</w:t>
      </w:r>
      <w:r w:rsidR="00E95931">
        <w:rPr>
          <w:rFonts w:cs="Arial" w:hint="cs"/>
          <w:rtl/>
        </w:rPr>
        <w:t>.</w:t>
      </w:r>
      <w:r w:rsidRPr="00F17859">
        <w:rPr>
          <w:rFonts w:cs="Arial"/>
          <w:rtl/>
        </w:rPr>
        <w:t xml:space="preserve"> משמע הא כל שאין הדין נותן לגרשה אין יכול לגרשה כשאין לו הכתובה</w:t>
      </w:r>
      <w:r w:rsidR="00E95931">
        <w:rPr>
          <w:rFonts w:cs="Arial" w:hint="cs"/>
          <w:rtl/>
        </w:rPr>
        <w:t>.</w:t>
      </w:r>
      <w:r w:rsidRPr="00F17859">
        <w:rPr>
          <w:rFonts w:cs="Arial"/>
          <w:rtl/>
        </w:rPr>
        <w:t xml:space="preserve"> וכ"כ הרשב"א בתשובה </w:t>
      </w:r>
      <w:r w:rsidR="00E95931">
        <w:rPr>
          <w:rFonts w:cs="Arial" w:hint="cs"/>
          <w:rtl/>
        </w:rPr>
        <w:t>(</w:t>
      </w:r>
      <w:r w:rsidRPr="00F17859">
        <w:rPr>
          <w:rFonts w:cs="Arial"/>
          <w:rtl/>
        </w:rPr>
        <w:t>סי' אלף רנד</w:t>
      </w:r>
      <w:r w:rsidR="00E95931">
        <w:rPr>
          <w:rFonts w:cs="Arial" w:hint="cs"/>
          <w:rtl/>
        </w:rPr>
        <w:t>)</w:t>
      </w:r>
      <w:r w:rsidRPr="00F17859">
        <w:rPr>
          <w:rFonts w:cs="Arial"/>
          <w:rtl/>
        </w:rPr>
        <w:t xml:space="preserve"> וכבר כתבתי מזה </w:t>
      </w:r>
      <w:r w:rsidR="00E95931">
        <w:rPr>
          <w:rFonts w:cs="Arial" w:hint="cs"/>
          <w:rtl/>
        </w:rPr>
        <w:t>(</w:t>
      </w:r>
      <w:r w:rsidRPr="00F17859">
        <w:rPr>
          <w:rFonts w:cs="Arial"/>
          <w:rtl/>
        </w:rPr>
        <w:t>סי' ק סקכ"ז</w:t>
      </w:r>
      <w:r w:rsidR="00E95931">
        <w:rPr>
          <w:rFonts w:cs="Arial" w:hint="cs"/>
          <w:rtl/>
        </w:rPr>
        <w:t>).</w:t>
      </w:r>
      <w:r w:rsidRPr="00F17859">
        <w:rPr>
          <w:rFonts w:cs="Arial"/>
          <w:rtl/>
        </w:rPr>
        <w:t xml:space="preserve"> ועיין בתשובת הריב"ש </w:t>
      </w:r>
      <w:r w:rsidR="00194680">
        <w:rPr>
          <w:rFonts w:cs="Arial" w:hint="cs"/>
          <w:rtl/>
        </w:rPr>
        <w:t>(</w:t>
      </w:r>
      <w:r w:rsidRPr="00F17859">
        <w:rPr>
          <w:rFonts w:cs="Arial"/>
          <w:rtl/>
        </w:rPr>
        <w:t>סי' צא</w:t>
      </w:r>
      <w:r w:rsidR="00194680">
        <w:rPr>
          <w:rFonts w:cs="Arial" w:hint="cs"/>
          <w:rtl/>
        </w:rPr>
        <w:t>)</w:t>
      </w:r>
      <w:r w:rsidRPr="00F17859">
        <w:rPr>
          <w:rFonts w:cs="Arial"/>
          <w:rtl/>
        </w:rPr>
        <w:t xml:space="preserve"> </w:t>
      </w:r>
      <w:r w:rsidR="00194680">
        <w:rPr>
          <w:rFonts w:cs="Arial" w:hint="cs"/>
          <w:rtl/>
        </w:rPr>
        <w:t>ד</w:t>
      </w:r>
      <w:r w:rsidRPr="00F17859">
        <w:rPr>
          <w:rFonts w:cs="Arial"/>
          <w:rtl/>
        </w:rPr>
        <w:t>משמע קצת דמי שרוצה לגרש אשתו יכול לגרש</w:t>
      </w:r>
      <w:r w:rsidR="006F1000">
        <w:rPr>
          <w:rFonts w:cs="Arial" w:hint="cs"/>
          <w:rtl/>
        </w:rPr>
        <w:t>,</w:t>
      </w:r>
      <w:r w:rsidRPr="00F17859">
        <w:rPr>
          <w:rFonts w:cs="Arial"/>
          <w:rtl/>
        </w:rPr>
        <w:t xml:space="preserve"> ואחר הגירושין תתבע כתובה</w:t>
      </w:r>
      <w:r>
        <w:rPr>
          <w:rFonts w:cs="Arial" w:hint="cs"/>
          <w:rtl/>
        </w:rPr>
        <w:t>, ח"מ (סקכ"ג).</w:t>
      </w:r>
    </w:p>
  </w:footnote>
  <w:footnote w:id="2961">
    <w:p w14:paraId="6833C3B2" w14:textId="77777777" w:rsidR="00392DBB" w:rsidRDefault="00392DBB" w:rsidP="00392DBB">
      <w:pPr>
        <w:pStyle w:val="a5"/>
        <w:rPr>
          <w:rtl/>
        </w:rPr>
      </w:pPr>
      <w:r>
        <w:rPr>
          <w:rStyle w:val="a7"/>
        </w:rPr>
        <w:footnoteRef/>
      </w:r>
      <w:r>
        <w:rPr>
          <w:rtl/>
        </w:rPr>
        <w:t xml:space="preserve"> </w:t>
      </w:r>
      <w:r w:rsidRPr="00236A20">
        <w:rPr>
          <w:rFonts w:cs="Arial"/>
          <w:rtl/>
        </w:rPr>
        <w:t>כלומר ואין רוצים ליתן לה אלא חצי הנכסים כמו שהיא התקנה שיחלקו הנכסים בין האלמנה ויורשי המת</w:t>
      </w:r>
      <w:r>
        <w:rPr>
          <w:rFonts w:hint="cs"/>
          <w:rtl/>
        </w:rPr>
        <w:t>, ב"י.</w:t>
      </w:r>
    </w:p>
  </w:footnote>
  <w:footnote w:id="2962">
    <w:p w14:paraId="24E780F2" w14:textId="77777777" w:rsidR="00392DBB" w:rsidRDefault="00392DBB" w:rsidP="00392DBB">
      <w:pPr>
        <w:pStyle w:val="a5"/>
      </w:pPr>
      <w:r>
        <w:rPr>
          <w:rStyle w:val="a7"/>
        </w:rPr>
        <w:footnoteRef/>
      </w:r>
      <w:r>
        <w:rPr>
          <w:rtl/>
        </w:rPr>
        <w:t xml:space="preserve"> </w:t>
      </w:r>
      <w:r w:rsidRPr="005D0708">
        <w:rPr>
          <w:rFonts w:cs="Arial"/>
          <w:rtl/>
        </w:rPr>
        <w:t>ושם כתוב מחלוקת הרא"ש על ה"ר ישר' בענין פי' תקנת טוליטולה לענין זה. ומבואר שם בתחלת הכלל הנזכר שלא כתב כן אלא לפי לשון תקנת טוליטולה וכמו שדקדק שם מדברי התקנה הנזכר. ואם כן אין ללמוד מזה לתקנה אחרת שאינה כתובה באותו סגנון. וכ"כ ה"ר שלמה בן הר"ש בר צמח (שו"ת רשב"ש סי' עח) מקומות שיש להן תקנה שאם תמות האשה בחיי בעלה יחזיר מקצת הכתובה ליורשיה אם אותו מקצת רצתה האשה למוחלו לבעלה והוציא הבעל שטר מחילה מזה היא קיימת דכל טצדקי שאנו יכולין לעשות להעמיד הנחלה במקומה אנו עושים עכ"ל מיהו היכא שכתוב בתנאי שעל מנת כן נתן לה הנותן הנדוניא אין בידה לשנות התנאי.</w:t>
      </w:r>
      <w:r>
        <w:rPr>
          <w:rFonts w:cs="Arial" w:hint="cs"/>
          <w:rtl/>
        </w:rPr>
        <w:t>.., ב"י.</w:t>
      </w:r>
    </w:p>
  </w:footnote>
  <w:footnote w:id="2963">
    <w:p w14:paraId="604A925D" w14:textId="77777777" w:rsidR="00392DBB" w:rsidRDefault="00392DBB" w:rsidP="00392DBB">
      <w:pPr>
        <w:pStyle w:val="a5"/>
      </w:pPr>
      <w:r>
        <w:rPr>
          <w:rStyle w:val="a7"/>
        </w:rPr>
        <w:footnoteRef/>
      </w:r>
      <w:r>
        <w:rPr>
          <w:rtl/>
        </w:rPr>
        <w:t xml:space="preserve"> </w:t>
      </w:r>
      <w:r w:rsidRPr="005D0708">
        <w:rPr>
          <w:rFonts w:cs="Arial"/>
          <w:rtl/>
        </w:rPr>
        <w:t>ג"ז בכלל הנזכר בסופו (סי' י ד"ה תשובה דקדקתי) ובסימן ג' ג"כ כתב איני זכור שכתבתי בענין התקנה אלא בענין זה שאם היתה האשה יכולה להפקיע התקנה וליתן לבעלה כל הנכסים לאחר מותה איפשר שזה היה כנגד התקנה אבל מה שמוחלת מעכשיו ולבעלה אין דבר זה נוגע בתקנה כלום ומחילתה מחילה ע"כ: [בדק הבית] וכתב הרמ"ה בתשובה שאם התנה בכתובה שאפילו תמות היא בלא זרע יחלוק הוא עם יורשיה ואח"כ כתבה לו כל נכסיה מהיום ולאחר מיתה ומתה תנאי האחרון מבטל את הראשון. וכתב עוד שהוא הדין אם נתנה במתנה לאיש אחר מה שהתנה הבעל להפסיד מהחילוק הראוי ליירש בדין שמתנת קיימת [עד כאן]: וכתב בכלל מ' סימן ב' שנשאל על לאה שנתנה בצוואת שכיב מרע חצרה לרחל בתה ולא ערער ראובן בעלה בדבר ובעל חוב של ראובן בא לגבות חובו מאותו חצר לפי שראובן יורש את אשתו ואין כח במתנתה לבטל ירושתו והבת טוענת שכיון ששמע ראובן צוואתה ושתק המתנה קיימת והשיב שהדין עם הבעל חוב</w:t>
      </w:r>
      <w:r>
        <w:rPr>
          <w:rFonts w:cs="Arial" w:hint="cs"/>
          <w:rtl/>
        </w:rPr>
        <w:t>, ב"י.</w:t>
      </w:r>
    </w:p>
  </w:footnote>
  <w:footnote w:id="2964">
    <w:p w14:paraId="27DDDA72" w14:textId="77777777" w:rsidR="00392DBB" w:rsidRDefault="00392DBB" w:rsidP="00392DBB">
      <w:pPr>
        <w:pStyle w:val="a5"/>
        <w:rPr>
          <w:rtl/>
        </w:rPr>
      </w:pPr>
      <w:r>
        <w:rPr>
          <w:rStyle w:val="a7"/>
        </w:rPr>
        <w:footnoteRef/>
      </w:r>
      <w:r>
        <w:rPr>
          <w:rtl/>
        </w:rPr>
        <w:t xml:space="preserve"> </w:t>
      </w:r>
      <w:r>
        <w:rPr>
          <w:rFonts w:cs="Arial"/>
          <w:rtl/>
        </w:rPr>
        <w:t>כ"כ בכלל ל"ו סימן ז' ונתן טעם משום דכי היכי דמשועבד לה הכי נמי משועבד לב"ח מדרבי נתן</w:t>
      </w:r>
      <w:r>
        <w:rPr>
          <w:rFonts w:hint="cs"/>
          <w:rtl/>
        </w:rPr>
        <w:t>, ב"י.</w:t>
      </w:r>
    </w:p>
  </w:footnote>
  <w:footnote w:id="2965">
    <w:p w14:paraId="05120708" w14:textId="77777777" w:rsidR="00392DBB" w:rsidRDefault="00392DBB" w:rsidP="00392DBB">
      <w:pPr>
        <w:pStyle w:val="a5"/>
        <w:rPr>
          <w:rtl/>
        </w:rPr>
      </w:pPr>
      <w:r>
        <w:rPr>
          <w:rStyle w:val="a7"/>
        </w:rPr>
        <w:footnoteRef/>
      </w:r>
      <w:r>
        <w:rPr>
          <w:rtl/>
        </w:rPr>
        <w:t xml:space="preserve"> </w:t>
      </w:r>
      <w:r>
        <w:rPr>
          <w:rFonts w:cs="Arial"/>
          <w:rtl/>
        </w:rPr>
        <w:t>בכלל ל"ט סימן ג' כתב כן ונתן טעם משום דכיון דאחר שתגבה אותם יש להם דין נכסי מלוג דיש לבעל בהם זכות ואי אפשר למכרם אלא בטובת הנאה אם תתאלמן או תתגרש וכל לגבי בעלה ודאי מחלה ואטרוחי בי דינא בכדי לא מטרחינן</w:t>
      </w:r>
      <w:r>
        <w:rPr>
          <w:rFonts w:hint="cs"/>
          <w:rtl/>
        </w:rPr>
        <w:t>, ב"י.</w:t>
      </w:r>
    </w:p>
  </w:footnote>
  <w:footnote w:id="2966">
    <w:p w14:paraId="1FA4798D" w14:textId="77777777" w:rsidR="00392DBB" w:rsidRDefault="00392DBB" w:rsidP="00392DBB">
      <w:pPr>
        <w:pStyle w:val="a5"/>
        <w:rPr>
          <w:rtl/>
        </w:rPr>
      </w:pPr>
      <w:r>
        <w:rPr>
          <w:rStyle w:val="a7"/>
        </w:rPr>
        <w:footnoteRef/>
      </w:r>
      <w:r>
        <w:rPr>
          <w:rtl/>
        </w:rPr>
        <w:t xml:space="preserve"> </w:t>
      </w:r>
      <w:r w:rsidRPr="009132B5">
        <w:rPr>
          <w:rFonts w:cs="Arial"/>
          <w:rtl/>
        </w:rPr>
        <w:t>הטעם מבואר דכיון דאין לבעל זכות באותם נכסים אפילו לפירות הרי היא חייבת לפרוע חובה מהם אפילו לותה אחר שנשאת וכן מתבאר מדברי רבינו שכתב בסמוך בשם הרא"ש</w:t>
      </w:r>
      <w:r>
        <w:rPr>
          <w:rFonts w:hint="cs"/>
          <w:rtl/>
        </w:rPr>
        <w:t>, ב"י.</w:t>
      </w:r>
    </w:p>
  </w:footnote>
  <w:footnote w:id="2967">
    <w:p w14:paraId="03D7E02E" w14:textId="77777777" w:rsidR="00392DBB" w:rsidRDefault="00392DBB" w:rsidP="00392DBB">
      <w:pPr>
        <w:pStyle w:val="a5"/>
        <w:rPr>
          <w:rtl/>
        </w:rPr>
      </w:pPr>
      <w:r>
        <w:rPr>
          <w:rStyle w:val="a7"/>
        </w:rPr>
        <w:footnoteRef/>
      </w:r>
      <w:r>
        <w:rPr>
          <w:rtl/>
        </w:rPr>
        <w:t xml:space="preserve"> </w:t>
      </w:r>
      <w:r w:rsidRPr="009132B5">
        <w:rPr>
          <w:rFonts w:cs="Arial"/>
          <w:rtl/>
        </w:rPr>
        <w:t>וכבר נתבאר זה בדברי רבינו סימן צ"ה</w:t>
      </w:r>
      <w:r>
        <w:rPr>
          <w:rFonts w:cs="Arial" w:hint="cs"/>
          <w:rtl/>
        </w:rPr>
        <w:t xml:space="preserve"> </w:t>
      </w:r>
      <w:r w:rsidRPr="009132B5">
        <w:rPr>
          <w:rFonts w:cs="Arial"/>
          <w:rtl/>
        </w:rPr>
        <w:t>(קלה.). ובתשובה אחרת בסימן הנזכר (סי' ד) כתב כל מה שימצאו מנכסיה קרקע מטלטל ושטרות יתנו לבעל חוב בשטר חובו</w:t>
      </w:r>
      <w:r>
        <w:rPr>
          <w:rFonts w:cs="Arial" w:hint="cs"/>
          <w:rtl/>
        </w:rPr>
        <w:t>, ב"י.</w:t>
      </w:r>
    </w:p>
  </w:footnote>
  <w:footnote w:id="2968">
    <w:p w14:paraId="0BC002E8" w14:textId="77777777" w:rsidR="00392DBB" w:rsidRDefault="00392DBB" w:rsidP="00392DBB">
      <w:pPr>
        <w:pStyle w:val="a5"/>
        <w:rPr>
          <w:rtl/>
        </w:rPr>
      </w:pPr>
      <w:r>
        <w:rPr>
          <w:rStyle w:val="a7"/>
        </w:rPr>
        <w:footnoteRef/>
      </w:r>
      <w:r>
        <w:rPr>
          <w:rtl/>
        </w:rPr>
        <w:t xml:space="preserve"> </w:t>
      </w:r>
      <w:r>
        <w:rPr>
          <w:rFonts w:cs="Arial"/>
          <w:rtl/>
        </w:rPr>
        <w:t>ונר</w:t>
      </w:r>
      <w:r>
        <w:rPr>
          <w:rFonts w:cs="Arial" w:hint="cs"/>
          <w:rtl/>
        </w:rPr>
        <w:t>אה</w:t>
      </w:r>
      <w:r>
        <w:rPr>
          <w:rFonts w:cs="Arial"/>
          <w:rtl/>
        </w:rPr>
        <w:t xml:space="preserve"> ששטר נדוניא זה היה כתוב תנאי שתוכל לגבותו בכל עת שתרצה ואפילו בחיי הבעל וכמו שכתב לעיל שהיה מנהגם לכתוב כן</w:t>
      </w:r>
      <w:r>
        <w:rPr>
          <w:rFonts w:hint="cs"/>
          <w:rtl/>
        </w:rPr>
        <w:t>, ב"י.</w:t>
      </w:r>
    </w:p>
  </w:footnote>
  <w:footnote w:id="2969">
    <w:p w14:paraId="603C289D" w14:textId="77777777" w:rsidR="00392DBB" w:rsidRDefault="00392DBB" w:rsidP="00392DBB">
      <w:pPr>
        <w:pStyle w:val="a5"/>
        <w:rPr>
          <w:rtl/>
        </w:rPr>
      </w:pPr>
      <w:r>
        <w:rPr>
          <w:rStyle w:val="a7"/>
        </w:rPr>
        <w:footnoteRef/>
      </w:r>
      <w:r>
        <w:rPr>
          <w:rtl/>
        </w:rPr>
        <w:t xml:space="preserve"> </w:t>
      </w:r>
      <w:r>
        <w:rPr>
          <w:rFonts w:cs="Arial"/>
          <w:rtl/>
        </w:rPr>
        <w:t>ויש לתמוה כיון שהניח ראובן הרבה נכסים מעות וקרקעות על מה חולקים בניו עם שמעון שהרי מחוייבים הם לפרוע חוב אביהם כיון שירשו יותר מחוב שמעון ונדוניית אמם ואין לומר שהיו רוצים לפרעו במטלטלין והוא לא היה רוצה לגבות אלא קרקע דהא ודאי הדין עם היורשים דהא אי בעו לסלוקי בזוזי מצו מסלק ליה. ולכן צ"ל שכשבא ב"ח לגבות חובו כבר הוציאו היורשים המטלטלין וכן מבואר בדברי השאלה הנזכרת בתשובות הרא"ש שכתוב בה כלשון הזה מת ראובן והניח הרבה שטרות והרבה מעות וקרקעות ונשאו ונתנו באותו ממון בני ראובן וגבו שטרות ופרעו הרבה מסים והשיאו לאחיותיהם הכל מממון אביהם ע"כ</w:t>
      </w:r>
      <w:r>
        <w:rPr>
          <w:rFonts w:hint="cs"/>
          <w:rtl/>
        </w:rPr>
        <w:t>, ב"י.</w:t>
      </w:r>
    </w:p>
  </w:footnote>
  <w:footnote w:id="2970">
    <w:p w14:paraId="42CCD26E" w14:textId="77777777" w:rsidR="00132C34" w:rsidRDefault="00132C34" w:rsidP="00132C34">
      <w:pPr>
        <w:pStyle w:val="a5"/>
        <w:rPr>
          <w:rFonts w:hint="cs"/>
        </w:rPr>
      </w:pPr>
      <w:r>
        <w:rPr>
          <w:rStyle w:val="a7"/>
        </w:rPr>
        <w:footnoteRef/>
      </w:r>
      <w:r>
        <w:rPr>
          <w:rtl/>
        </w:rPr>
        <w:t xml:space="preserve"> </w:t>
      </w:r>
      <w:r>
        <w:rPr>
          <w:rFonts w:cs="Arial" w:hint="cs"/>
          <w:rtl/>
        </w:rPr>
        <w:t xml:space="preserve">וז"ל: </w:t>
      </w:r>
      <w:r w:rsidRPr="00ED5A2B">
        <w:rPr>
          <w:rFonts w:cs="Arial"/>
          <w:rtl/>
        </w:rPr>
        <w:t>ראובן כתב לאשתו שלא ישא אשה אחרת עליה שלא מרצונה</w:t>
      </w:r>
      <w:r>
        <w:rPr>
          <w:rFonts w:cs="Arial" w:hint="cs"/>
          <w:rtl/>
        </w:rPr>
        <w:t>,</w:t>
      </w:r>
      <w:r w:rsidRPr="00ED5A2B">
        <w:rPr>
          <w:rFonts w:cs="Arial"/>
          <w:rtl/>
        </w:rPr>
        <w:t xml:space="preserve"> ואם יעבור וישא יתן לה כתובה תוספת ונדוניא</w:t>
      </w:r>
      <w:r>
        <w:rPr>
          <w:rFonts w:cs="Arial" w:hint="cs"/>
          <w:rtl/>
        </w:rPr>
        <w:t>.</w:t>
      </w:r>
      <w:r w:rsidRPr="00ED5A2B">
        <w:rPr>
          <w:rFonts w:cs="Arial"/>
          <w:rtl/>
        </w:rPr>
        <w:t xml:space="preserve"> מסתמא בכל ענין היה התנאי ואפילו שהתה עמו עשר שנים ולא ילדה</w:t>
      </w:r>
      <w:r>
        <w:rPr>
          <w:rFonts w:cs="Arial" w:hint="cs"/>
          <w:rtl/>
        </w:rPr>
        <w:t>.</w:t>
      </w:r>
      <w:r w:rsidRPr="00ED5A2B">
        <w:rPr>
          <w:rFonts w:cs="Arial"/>
          <w:rtl/>
        </w:rPr>
        <w:t xml:space="preserve"> ואין זה מתנה על מה שכתוב בתורה שהוא לא התנה שלא ישא אשה אחרת לעולם אלא שלא ישאנה שלא מרצונה</w:t>
      </w:r>
      <w:r>
        <w:rPr>
          <w:rFonts w:cs="Arial" w:hint="cs"/>
          <w:rtl/>
        </w:rPr>
        <w:t>,</w:t>
      </w:r>
      <w:r w:rsidRPr="00ED5A2B">
        <w:rPr>
          <w:rFonts w:cs="Arial"/>
          <w:rtl/>
        </w:rPr>
        <w:t xml:space="preserve"> הא אם תתרצה יכול לישא ויכול לפייסה במעות שתרצה או לפרוע לה כתובתה</w:t>
      </w:r>
      <w:r w:rsidRPr="00ED5A2B">
        <w:rPr>
          <w:rFonts w:cs="Arial" w:hint="cs"/>
          <w:rtl/>
        </w:rPr>
        <w:t>.</w:t>
      </w:r>
    </w:p>
  </w:footnote>
  <w:footnote w:id="2971">
    <w:p w14:paraId="7EEF00EC" w14:textId="77777777" w:rsidR="00392DBB" w:rsidRDefault="00392DBB" w:rsidP="00392DBB">
      <w:pPr>
        <w:pStyle w:val="a5"/>
        <w:rPr>
          <w:rtl/>
        </w:rPr>
      </w:pPr>
      <w:r>
        <w:rPr>
          <w:rStyle w:val="a7"/>
        </w:rPr>
        <w:footnoteRef/>
      </w:r>
      <w:r>
        <w:rPr>
          <w:rtl/>
        </w:rPr>
        <w:t xml:space="preserve"> </w:t>
      </w:r>
      <w:r>
        <w:rPr>
          <w:rFonts w:cs="Arial"/>
          <w:rtl/>
        </w:rPr>
        <w:t>ושתי תשובות אלו אין מקומם כאן אלא בסימן י"ז ושם נתבארו ולא כתבם רבינו כאן אלא אגב תשובות אחרות שהביא כאן</w:t>
      </w:r>
      <w:r>
        <w:rPr>
          <w:rFonts w:hint="cs"/>
          <w:rtl/>
        </w:rPr>
        <w:t>, ב"י.</w:t>
      </w:r>
    </w:p>
  </w:footnote>
  <w:footnote w:id="2972">
    <w:p w14:paraId="32036189" w14:textId="77777777" w:rsidR="00392DBB" w:rsidRDefault="00392DBB" w:rsidP="00392DBB">
      <w:pPr>
        <w:pStyle w:val="a5"/>
      </w:pPr>
      <w:r>
        <w:rPr>
          <w:rStyle w:val="a7"/>
        </w:rPr>
        <w:footnoteRef/>
      </w:r>
      <w:r>
        <w:rPr>
          <w:rtl/>
        </w:rPr>
        <w:t xml:space="preserve"> </w:t>
      </w:r>
      <w:r>
        <w:rPr>
          <w:rFonts w:cs="Arial"/>
          <w:rtl/>
        </w:rPr>
        <w:t>כלומר יבמתו שהיתה זקוקה לו</w:t>
      </w:r>
      <w:r>
        <w:rPr>
          <w:rFonts w:cs="Arial" w:hint="cs"/>
          <w:rtl/>
        </w:rPr>
        <w:t>, ב"י.</w:t>
      </w:r>
    </w:p>
  </w:footnote>
  <w:footnote w:id="2973">
    <w:p w14:paraId="46C18BBA" w14:textId="0E5B8EFC" w:rsidR="00392DBB" w:rsidRDefault="00392DBB" w:rsidP="00392DBB">
      <w:pPr>
        <w:pStyle w:val="a5"/>
      </w:pPr>
      <w:r>
        <w:rPr>
          <w:rStyle w:val="a7"/>
        </w:rPr>
        <w:footnoteRef/>
      </w:r>
      <w:r>
        <w:rPr>
          <w:rtl/>
        </w:rPr>
        <w:t xml:space="preserve"> </w:t>
      </w:r>
      <w:r w:rsidRPr="009132B5">
        <w:rPr>
          <w:rFonts w:cs="Arial"/>
          <w:rtl/>
        </w:rPr>
        <w:t>וכן כתב עוד בכלל נ' (סי' א)</w:t>
      </w:r>
      <w:r>
        <w:rPr>
          <w:rFonts w:cs="Arial" w:hint="cs"/>
          <w:rtl/>
        </w:rPr>
        <w:t>,</w:t>
      </w:r>
      <w:r w:rsidRPr="009132B5">
        <w:rPr>
          <w:rFonts w:cs="Arial"/>
          <w:rtl/>
        </w:rPr>
        <w:t xml:space="preserve"> וכתבה רבינו בטור ח</w:t>
      </w:r>
      <w:r>
        <w:rPr>
          <w:rFonts w:cs="Arial" w:hint="cs"/>
          <w:rtl/>
        </w:rPr>
        <w:t>ו"מ</w:t>
      </w:r>
      <w:r w:rsidRPr="009132B5">
        <w:rPr>
          <w:rFonts w:cs="Arial"/>
          <w:rtl/>
        </w:rPr>
        <w:t xml:space="preserve"> (</w:t>
      </w:r>
      <w:r>
        <w:rPr>
          <w:rFonts w:cs="Arial" w:hint="cs"/>
          <w:rtl/>
        </w:rPr>
        <w:t xml:space="preserve">סי' ערה </w:t>
      </w:r>
      <w:r w:rsidRPr="009132B5">
        <w:rPr>
          <w:rFonts w:cs="Arial"/>
          <w:rtl/>
        </w:rPr>
        <w:t>סע' ד - ה)</w:t>
      </w:r>
      <w:r>
        <w:rPr>
          <w:rFonts w:cs="Arial" w:hint="cs"/>
          <w:rtl/>
        </w:rPr>
        <w:t>.</w:t>
      </w:r>
      <w:r w:rsidRPr="009132B5">
        <w:rPr>
          <w:rFonts w:cs="Arial"/>
          <w:rtl/>
        </w:rPr>
        <w:t xml:space="preserve"> וכ"כ הגה</w:t>
      </w:r>
      <w:r>
        <w:rPr>
          <w:rFonts w:cs="Arial" w:hint="cs"/>
          <w:rtl/>
        </w:rPr>
        <w:t>"</w:t>
      </w:r>
      <w:r w:rsidRPr="009132B5">
        <w:rPr>
          <w:rFonts w:cs="Arial"/>
          <w:rtl/>
        </w:rPr>
        <w:t>מ פי"ז מ</w:t>
      </w:r>
      <w:r>
        <w:rPr>
          <w:rFonts w:cs="Arial" w:hint="cs"/>
          <w:rtl/>
        </w:rPr>
        <w:t xml:space="preserve">הל' </w:t>
      </w:r>
      <w:r w:rsidRPr="009132B5">
        <w:rPr>
          <w:rFonts w:cs="Arial"/>
          <w:rtl/>
        </w:rPr>
        <w:t>אישות (אות ד)</w:t>
      </w:r>
      <w:r>
        <w:rPr>
          <w:rFonts w:cs="Arial" w:hint="cs"/>
          <w:rtl/>
        </w:rPr>
        <w:t>,</w:t>
      </w:r>
      <w:r w:rsidRPr="009132B5">
        <w:rPr>
          <w:rFonts w:cs="Arial"/>
          <w:rtl/>
        </w:rPr>
        <w:t xml:space="preserve"> ובמרדכי פרק נערה (כתובות סי' קנז - קנח)</w:t>
      </w:r>
      <w:r>
        <w:rPr>
          <w:rFonts w:cs="Arial" w:hint="cs"/>
          <w:rtl/>
        </w:rPr>
        <w:t>,</w:t>
      </w:r>
      <w:r w:rsidRPr="009132B5">
        <w:rPr>
          <w:rFonts w:cs="Arial"/>
          <w:rtl/>
        </w:rPr>
        <w:t xml:space="preserve"> ובתשובות להרמב"ן (במיוחסות) סימן ס"ד</w:t>
      </w:r>
      <w:r>
        <w:rPr>
          <w:rFonts w:cs="Arial" w:hint="cs"/>
          <w:rtl/>
        </w:rPr>
        <w:t>, ב"י.</w:t>
      </w:r>
    </w:p>
  </w:footnote>
  <w:footnote w:id="2974">
    <w:p w14:paraId="72342968" w14:textId="77777777" w:rsidR="00DB7E99" w:rsidRDefault="00DB7E99" w:rsidP="00DB7E99">
      <w:pPr>
        <w:pStyle w:val="a5"/>
      </w:pPr>
      <w:r>
        <w:rPr>
          <w:rStyle w:val="a7"/>
        </w:rPr>
        <w:footnoteRef/>
      </w:r>
      <w:r>
        <w:rPr>
          <w:rtl/>
        </w:rPr>
        <w:t xml:space="preserve"> </w:t>
      </w:r>
      <w:r w:rsidRPr="006A6FF0">
        <w:rPr>
          <w:rFonts w:cs="Arial"/>
          <w:rtl/>
        </w:rPr>
        <w:t>וכן הוא בהג</w:t>
      </w:r>
      <w:r>
        <w:rPr>
          <w:rFonts w:cs="Arial" w:hint="cs"/>
          <w:rtl/>
        </w:rPr>
        <w:t>"א</w:t>
      </w:r>
      <w:r w:rsidRPr="006A6FF0">
        <w:rPr>
          <w:rFonts w:cs="Arial"/>
          <w:rtl/>
        </w:rPr>
        <w:t xml:space="preserve"> (כתובות פ"ט סי' כז) ובהג</w:t>
      </w:r>
      <w:r>
        <w:rPr>
          <w:rFonts w:cs="Arial" w:hint="cs"/>
          <w:rtl/>
        </w:rPr>
        <w:t>ה"מ</w:t>
      </w:r>
      <w:r w:rsidRPr="006A6FF0">
        <w:rPr>
          <w:rFonts w:cs="Arial"/>
          <w:rtl/>
        </w:rPr>
        <w:t xml:space="preserve"> פי"ז דאישות (אות ד) וכן כתב ב"י סימן צ"ג (עמ' תז ד"ה כתב הרשב"א) בשם תשובת הרשב"א (ח"א סי' אלף קג, מיוחסות סי' סד) וכן הוא בתשובת הרא"ש כלל נ' סימן א' ובכלל ט"ו סימן ג', וכן כתב הטור בחושן המשפט סימן ער"ה (ס"ד)</w:t>
      </w:r>
      <w:r>
        <w:rPr>
          <w:rFonts w:cs="Arial" w:hint="cs"/>
          <w:rtl/>
        </w:rPr>
        <w:t>, דרכ"מ (אות ב).</w:t>
      </w:r>
    </w:p>
  </w:footnote>
  <w:footnote w:id="2975">
    <w:p w14:paraId="0A1A38F0" w14:textId="77777777" w:rsidR="00392DBB" w:rsidRDefault="00392DBB" w:rsidP="00392DBB">
      <w:pPr>
        <w:pStyle w:val="a5"/>
      </w:pPr>
      <w:r>
        <w:rPr>
          <w:rStyle w:val="a7"/>
        </w:rPr>
        <w:footnoteRef/>
      </w:r>
      <w:r>
        <w:rPr>
          <w:rtl/>
        </w:rPr>
        <w:t xml:space="preserve"> </w:t>
      </w:r>
      <w:r w:rsidRPr="004638AD">
        <w:rPr>
          <w:rFonts w:cs="Arial"/>
          <w:rtl/>
        </w:rPr>
        <w:t>ובסוף כלל ק"ו (סי' ד) כתב על ראובן שטען על כלתו שלקחה ספריו והיא טוענת שלקחתם בשביל נדונייתה שנתן חמיה ליד בעלה והוא חסר דעת ואינו בר משא ומתן</w:t>
      </w:r>
      <w:r>
        <w:rPr>
          <w:rFonts w:cs="Arial" w:hint="cs"/>
          <w:rtl/>
        </w:rPr>
        <w:t>, ב"י.</w:t>
      </w:r>
    </w:p>
  </w:footnote>
  <w:footnote w:id="2976">
    <w:p w14:paraId="2B0704EA" w14:textId="2FB7CBE4" w:rsidR="00392DBB" w:rsidRDefault="00392DBB" w:rsidP="00392DBB">
      <w:pPr>
        <w:pStyle w:val="a5"/>
      </w:pPr>
      <w:r>
        <w:rPr>
          <w:rStyle w:val="a7"/>
        </w:rPr>
        <w:footnoteRef/>
      </w:r>
      <w:r>
        <w:rPr>
          <w:rtl/>
        </w:rPr>
        <w:t xml:space="preserve"> </w:t>
      </w:r>
      <w:r>
        <w:rPr>
          <w:rFonts w:hint="cs"/>
          <w:rtl/>
        </w:rPr>
        <w:t xml:space="preserve">שאלה זו שאל ה"ר יוסף בן נחמיש (תלמיד הרא"ש בטוליטולא) אל ה"ר יוסף ב"ר אברהם הכהן (מגדולי תלמידי הרא"ש). ונתפרסמה </w:t>
      </w:r>
      <w:r>
        <w:rPr>
          <w:rFonts w:cs="Arial" w:hint="cs"/>
          <w:rtl/>
        </w:rPr>
        <w:t>ב</w:t>
      </w:r>
      <w:r>
        <w:rPr>
          <w:rFonts w:cs="Arial"/>
          <w:rtl/>
        </w:rPr>
        <w:t xml:space="preserve">כתב עת מוריה </w:t>
      </w:r>
      <w:r>
        <w:rPr>
          <w:rFonts w:cs="Arial" w:hint="cs"/>
          <w:rtl/>
        </w:rPr>
        <w:t>(</w:t>
      </w:r>
      <w:r>
        <w:rPr>
          <w:rFonts w:cs="Arial"/>
          <w:rtl/>
        </w:rPr>
        <w:t xml:space="preserve">רפג - רפה, תשס"ב, ט </w:t>
      </w:r>
      <w:r w:rsidR="00F97626">
        <w:rPr>
          <w:rFonts w:cs="Arial"/>
          <w:rtl/>
        </w:rPr>
        <w:t>-</w:t>
      </w:r>
      <w:r>
        <w:rPr>
          <w:rFonts w:cs="Arial"/>
          <w:rtl/>
        </w:rPr>
        <w:t xml:space="preserve"> יב</w:t>
      </w:r>
      <w:r>
        <w:rPr>
          <w:rFonts w:cs="Arial" w:hint="cs"/>
          <w:rtl/>
        </w:rPr>
        <w:t>)</w:t>
      </w:r>
      <w:r>
        <w:rPr>
          <w:rFonts w:cs="Arial"/>
          <w:rtl/>
        </w:rPr>
        <w:t xml:space="preserve"> </w:t>
      </w:r>
      <w:r>
        <w:rPr>
          <w:rFonts w:cs="Arial" w:hint="cs"/>
          <w:rtl/>
        </w:rPr>
        <w:t xml:space="preserve">ע"י </w:t>
      </w:r>
      <w:r>
        <w:rPr>
          <w:rFonts w:cs="Arial"/>
          <w:rtl/>
        </w:rPr>
        <w:t>הרב אברהם יוסף חבצלת</w:t>
      </w:r>
      <w:r>
        <w:rPr>
          <w:rFonts w:cs="Arial" w:hint="cs"/>
          <w:rtl/>
        </w:rPr>
        <w:t xml:space="preserve">, תחת השם - </w:t>
      </w:r>
      <w:r>
        <w:rPr>
          <w:rFonts w:cs="Arial"/>
          <w:rtl/>
        </w:rPr>
        <w:t>שו"ת מתלמידי הרא"ש על שבועת אלמנה</w:t>
      </w:r>
      <w:r>
        <w:rPr>
          <w:rFonts w:hint="cs"/>
          <w:rtl/>
        </w:rPr>
        <w:t>.</w:t>
      </w:r>
    </w:p>
  </w:footnote>
  <w:footnote w:id="2977">
    <w:p w14:paraId="3AB6AF43" w14:textId="77777777" w:rsidR="00F7421F" w:rsidRDefault="00F7421F" w:rsidP="00F7421F">
      <w:pPr>
        <w:pStyle w:val="a5"/>
      </w:pPr>
      <w:r>
        <w:rPr>
          <w:rStyle w:val="a7"/>
        </w:rPr>
        <w:footnoteRef/>
      </w:r>
      <w:r>
        <w:rPr>
          <w:rtl/>
        </w:rPr>
        <w:t xml:space="preserve"> </w:t>
      </w:r>
      <w:r>
        <w:rPr>
          <w:rFonts w:hint="cs"/>
          <w:rtl/>
        </w:rPr>
        <w:t>סימן - נכסים דומים.</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401E1" w14:textId="77777777" w:rsidR="00DE2F5F" w:rsidRDefault="00DE2F5F" w:rsidP="00A347B3">
    <w:pPr>
      <w:pStyle w:val="af"/>
      <w:rPr>
        <w:color w:val="7F7F7F" w:themeColor="text1" w:themeTint="80"/>
        <w:rtl/>
      </w:rPr>
    </w:pPr>
  </w:p>
  <w:p w14:paraId="15790103" w14:textId="54315557"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סו</w:t>
    </w:r>
    <w:r w:rsidRPr="00692E38">
      <w:rPr>
        <w:rFonts w:hint="cs"/>
        <w:color w:val="7F7F7F" w:themeColor="text1" w:themeTint="80"/>
        <w:rtl/>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8F6A8" w14:textId="77777777" w:rsidR="00DE2F5F" w:rsidRDefault="00DE2F5F" w:rsidP="00A347B3">
    <w:pPr>
      <w:pStyle w:val="af"/>
      <w:rPr>
        <w:color w:val="7F7F7F" w:themeColor="text1" w:themeTint="80"/>
        <w:rtl/>
      </w:rPr>
    </w:pPr>
  </w:p>
  <w:p w14:paraId="701B6C49" w14:textId="576B5637"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עה</w:t>
    </w:r>
    <w:r w:rsidRPr="00692E38">
      <w:rPr>
        <w:rFonts w:hint="cs"/>
        <w:color w:val="7F7F7F" w:themeColor="text1" w:themeTint="80"/>
        <w:rtl/>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6921" w14:textId="77777777" w:rsidR="00DE2F5F" w:rsidRDefault="00DE2F5F" w:rsidP="00A347B3">
    <w:pPr>
      <w:pStyle w:val="af"/>
      <w:rPr>
        <w:color w:val="7F7F7F" w:themeColor="text1" w:themeTint="80"/>
        <w:rtl/>
      </w:rPr>
    </w:pPr>
  </w:p>
  <w:p w14:paraId="62EFD70D" w14:textId="4C92DCF0"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עו</w:t>
    </w:r>
    <w:r w:rsidRPr="00692E38">
      <w:rPr>
        <w:rFonts w:hint="cs"/>
        <w:color w:val="7F7F7F" w:themeColor="text1" w:themeTint="80"/>
        <w:rtl/>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5202D" w14:textId="77777777" w:rsidR="00DE2F5F" w:rsidRDefault="00DE2F5F" w:rsidP="00A347B3">
    <w:pPr>
      <w:pStyle w:val="af"/>
      <w:rPr>
        <w:color w:val="7F7F7F" w:themeColor="text1" w:themeTint="80"/>
        <w:rtl/>
      </w:rPr>
    </w:pPr>
  </w:p>
  <w:p w14:paraId="65F03842" w14:textId="03A9E53B"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עז</w:t>
    </w:r>
    <w:r w:rsidRPr="00692E38">
      <w:rPr>
        <w:rFonts w:hint="cs"/>
        <w:color w:val="7F7F7F" w:themeColor="text1" w:themeTint="80"/>
        <w:rtl/>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6BD63" w14:textId="77777777" w:rsidR="00DE2F5F" w:rsidRDefault="00DE2F5F" w:rsidP="00A347B3">
    <w:pPr>
      <w:pStyle w:val="af"/>
      <w:rPr>
        <w:color w:val="7F7F7F" w:themeColor="text1" w:themeTint="80"/>
        <w:rtl/>
      </w:rPr>
    </w:pPr>
  </w:p>
  <w:p w14:paraId="297C42B4" w14:textId="02027E82"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עח</w:t>
    </w:r>
    <w:r w:rsidRPr="00692E38">
      <w:rPr>
        <w:rFonts w:hint="cs"/>
        <w:color w:val="7F7F7F" w:themeColor="text1" w:themeTint="80"/>
        <w:rtl/>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AC3FE" w14:textId="77777777" w:rsidR="00DE2F5F" w:rsidRDefault="00DE2F5F" w:rsidP="00A347B3">
    <w:pPr>
      <w:pStyle w:val="af"/>
      <w:rPr>
        <w:color w:val="7F7F7F" w:themeColor="text1" w:themeTint="80"/>
        <w:rtl/>
      </w:rPr>
    </w:pPr>
  </w:p>
  <w:p w14:paraId="2EBD9F9F" w14:textId="52BE0117"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עט</w:t>
    </w:r>
    <w:r w:rsidRPr="00692E38">
      <w:rPr>
        <w:rFonts w:hint="cs"/>
        <w:color w:val="7F7F7F" w:themeColor="text1" w:themeTint="80"/>
        <w:rtl/>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696EC" w14:textId="77777777" w:rsidR="00DE2F5F" w:rsidRDefault="00DE2F5F" w:rsidP="00A347B3">
    <w:pPr>
      <w:pStyle w:val="af"/>
      <w:rPr>
        <w:color w:val="7F7F7F" w:themeColor="text1" w:themeTint="80"/>
        <w:rtl/>
      </w:rPr>
    </w:pPr>
  </w:p>
  <w:p w14:paraId="5268C4B5" w14:textId="49010F20"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פ</w:t>
    </w:r>
    <w:r w:rsidRPr="00692E38">
      <w:rPr>
        <w:rFonts w:hint="cs"/>
        <w:color w:val="7F7F7F" w:themeColor="text1" w:themeTint="80"/>
        <w:rtl/>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2D2CD" w14:textId="77777777" w:rsidR="00DE2F5F" w:rsidRDefault="00DE2F5F" w:rsidP="00A347B3">
    <w:pPr>
      <w:pStyle w:val="af"/>
      <w:rPr>
        <w:color w:val="7F7F7F" w:themeColor="text1" w:themeTint="80"/>
        <w:rtl/>
      </w:rPr>
    </w:pPr>
  </w:p>
  <w:p w14:paraId="7B6DE201" w14:textId="50FFA31B"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פא</w:t>
    </w:r>
    <w:r w:rsidRPr="00692E38">
      <w:rPr>
        <w:rFonts w:hint="cs"/>
        <w:color w:val="7F7F7F" w:themeColor="text1" w:themeTint="80"/>
        <w:rtl/>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4689" w14:textId="77777777" w:rsidR="00DE2F5F" w:rsidRDefault="00DE2F5F" w:rsidP="00A347B3">
    <w:pPr>
      <w:pStyle w:val="af"/>
      <w:rPr>
        <w:color w:val="7F7F7F" w:themeColor="text1" w:themeTint="80"/>
        <w:rtl/>
      </w:rPr>
    </w:pPr>
  </w:p>
  <w:p w14:paraId="3263CBF0" w14:textId="0E57994F"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פב</w:t>
    </w:r>
    <w:r w:rsidRPr="00692E38">
      <w:rPr>
        <w:rFonts w:hint="cs"/>
        <w:color w:val="7F7F7F" w:themeColor="text1" w:themeTint="80"/>
        <w:rtl/>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AB0CE" w14:textId="77777777" w:rsidR="00DE2F5F" w:rsidRDefault="00DE2F5F" w:rsidP="00A347B3">
    <w:pPr>
      <w:pStyle w:val="af"/>
      <w:rPr>
        <w:color w:val="7F7F7F" w:themeColor="text1" w:themeTint="80"/>
        <w:rtl/>
      </w:rPr>
    </w:pPr>
  </w:p>
  <w:p w14:paraId="387D902D" w14:textId="1C5B8282"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פג</w:t>
    </w:r>
    <w:r w:rsidRPr="00692E38">
      <w:rPr>
        <w:rFonts w:hint="cs"/>
        <w:color w:val="7F7F7F" w:themeColor="text1" w:themeTint="80"/>
        <w:rtl/>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49EB6" w14:textId="77777777" w:rsidR="00DE2F5F" w:rsidRDefault="00DE2F5F" w:rsidP="00A347B3">
    <w:pPr>
      <w:pStyle w:val="af"/>
      <w:rPr>
        <w:color w:val="7F7F7F" w:themeColor="text1" w:themeTint="80"/>
        <w:rtl/>
      </w:rPr>
    </w:pPr>
  </w:p>
  <w:p w14:paraId="6DC9649C" w14:textId="22BED4CE"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פד</w:t>
    </w:r>
    <w:r w:rsidRPr="00692E38">
      <w:rPr>
        <w:rFonts w:hint="cs"/>
        <w:color w:val="7F7F7F" w:themeColor="text1" w:themeTint="80"/>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A50DD" w14:textId="77777777" w:rsidR="00DE2F5F" w:rsidRDefault="00DE2F5F" w:rsidP="00A347B3">
    <w:pPr>
      <w:pStyle w:val="af"/>
      <w:rPr>
        <w:color w:val="7F7F7F" w:themeColor="text1" w:themeTint="80"/>
        <w:rtl/>
      </w:rPr>
    </w:pPr>
  </w:p>
  <w:p w14:paraId="5BAD33E2" w14:textId="5033FE04"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סז</w:t>
    </w:r>
    <w:r w:rsidRPr="00692E38">
      <w:rPr>
        <w:rFonts w:hint="cs"/>
        <w:color w:val="7F7F7F" w:themeColor="text1" w:themeTint="80"/>
        <w:rtl/>
      </w:rPr>
      <w:t xml:space="preserve"> -</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FFFF6" w14:textId="77777777" w:rsidR="00DE2F5F" w:rsidRDefault="00DE2F5F" w:rsidP="00A347B3">
    <w:pPr>
      <w:pStyle w:val="af"/>
      <w:rPr>
        <w:color w:val="7F7F7F" w:themeColor="text1" w:themeTint="80"/>
        <w:rtl/>
      </w:rPr>
    </w:pPr>
  </w:p>
  <w:p w14:paraId="117B3160" w14:textId="35BF0480"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פה</w:t>
    </w:r>
    <w:r w:rsidRPr="00692E38">
      <w:rPr>
        <w:rFonts w:hint="cs"/>
        <w:color w:val="7F7F7F" w:themeColor="text1" w:themeTint="80"/>
        <w:rtl/>
      </w:rPr>
      <w:t xml:space="preserve"> -</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16B13" w14:textId="77777777" w:rsidR="00DE2F5F" w:rsidRDefault="00DE2F5F" w:rsidP="00A347B3">
    <w:pPr>
      <w:pStyle w:val="af"/>
      <w:rPr>
        <w:color w:val="7F7F7F" w:themeColor="text1" w:themeTint="80"/>
        <w:rtl/>
      </w:rPr>
    </w:pPr>
  </w:p>
  <w:p w14:paraId="3705799E" w14:textId="63FE2743"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פו</w:t>
    </w:r>
    <w:r w:rsidRPr="00692E38">
      <w:rPr>
        <w:rFonts w:hint="cs"/>
        <w:color w:val="7F7F7F" w:themeColor="text1" w:themeTint="80"/>
        <w:rtl/>
      </w:rPr>
      <w:t xml:space="preserve"> -</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73859" w14:textId="77777777" w:rsidR="00DE2F5F" w:rsidRDefault="00DE2F5F" w:rsidP="00A347B3">
    <w:pPr>
      <w:pStyle w:val="af"/>
      <w:rPr>
        <w:color w:val="7F7F7F" w:themeColor="text1" w:themeTint="80"/>
        <w:rtl/>
      </w:rPr>
    </w:pPr>
  </w:p>
  <w:p w14:paraId="4B497F08" w14:textId="235E7CC3"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פז</w:t>
    </w:r>
    <w:r w:rsidRPr="00692E38">
      <w:rPr>
        <w:rFonts w:hint="cs"/>
        <w:color w:val="7F7F7F" w:themeColor="text1" w:themeTint="80"/>
        <w:rtl/>
      </w:rPr>
      <w:t xml:space="preserve"> -</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6191" w14:textId="77777777" w:rsidR="00DE2F5F" w:rsidRDefault="00DE2F5F" w:rsidP="00A347B3">
    <w:pPr>
      <w:pStyle w:val="af"/>
      <w:rPr>
        <w:color w:val="7F7F7F" w:themeColor="text1" w:themeTint="80"/>
        <w:rtl/>
      </w:rPr>
    </w:pPr>
  </w:p>
  <w:p w14:paraId="02CBEE4B" w14:textId="50A83767"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פח</w:t>
    </w:r>
    <w:r w:rsidRPr="00692E38">
      <w:rPr>
        <w:rFonts w:hint="cs"/>
        <w:color w:val="7F7F7F" w:themeColor="text1" w:themeTint="80"/>
        <w:rtl/>
      </w:rPr>
      <w:t xml:space="preserve"> -</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46A9A" w14:textId="77777777" w:rsidR="00DE2F5F" w:rsidRDefault="00DE2F5F" w:rsidP="00A347B3">
    <w:pPr>
      <w:pStyle w:val="af"/>
      <w:rPr>
        <w:color w:val="7F7F7F" w:themeColor="text1" w:themeTint="80"/>
        <w:rtl/>
      </w:rPr>
    </w:pPr>
  </w:p>
  <w:p w14:paraId="65CA8237" w14:textId="01F157AB"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פט</w:t>
    </w:r>
    <w:r w:rsidRPr="00692E38">
      <w:rPr>
        <w:rFonts w:hint="cs"/>
        <w:color w:val="7F7F7F" w:themeColor="text1" w:themeTint="80"/>
        <w:rtl/>
      </w:rPr>
      <w:t xml:space="preserve"> -</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1A412" w14:textId="77777777" w:rsidR="00DE2F5F" w:rsidRDefault="00DE2F5F" w:rsidP="00A347B3">
    <w:pPr>
      <w:pStyle w:val="af"/>
      <w:rPr>
        <w:color w:val="7F7F7F" w:themeColor="text1" w:themeTint="80"/>
        <w:rtl/>
      </w:rPr>
    </w:pPr>
  </w:p>
  <w:p w14:paraId="1C204791" w14:textId="74F47F8A"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צ</w:t>
    </w:r>
    <w:r w:rsidRPr="00692E38">
      <w:rPr>
        <w:rFonts w:hint="cs"/>
        <w:color w:val="7F7F7F" w:themeColor="text1" w:themeTint="80"/>
        <w:rtl/>
      </w:rPr>
      <w:t xml:space="preserve"> -</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9C53E" w14:textId="77777777" w:rsidR="00DE2F5F" w:rsidRDefault="00DE2F5F" w:rsidP="00A347B3">
    <w:pPr>
      <w:pStyle w:val="af"/>
      <w:rPr>
        <w:color w:val="7F7F7F" w:themeColor="text1" w:themeTint="80"/>
        <w:rtl/>
      </w:rPr>
    </w:pPr>
  </w:p>
  <w:p w14:paraId="0A009945" w14:textId="540492F4"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צא</w:t>
    </w:r>
    <w:r w:rsidRPr="00692E38">
      <w:rPr>
        <w:rFonts w:hint="cs"/>
        <w:color w:val="7F7F7F" w:themeColor="text1" w:themeTint="80"/>
        <w:rtl/>
      </w:rPr>
      <w:t xml:space="preserve"> -</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B2CA6" w14:textId="77777777" w:rsidR="00DE2F5F" w:rsidRDefault="00DE2F5F" w:rsidP="00A347B3">
    <w:pPr>
      <w:pStyle w:val="af"/>
      <w:rPr>
        <w:color w:val="7F7F7F" w:themeColor="text1" w:themeTint="80"/>
        <w:rtl/>
      </w:rPr>
    </w:pPr>
  </w:p>
  <w:p w14:paraId="643CAD4D" w14:textId="3F1A61F6"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צב</w:t>
    </w:r>
    <w:r w:rsidRPr="00692E38">
      <w:rPr>
        <w:rFonts w:hint="cs"/>
        <w:color w:val="7F7F7F" w:themeColor="text1" w:themeTint="80"/>
        <w:rtl/>
      </w:rPr>
      <w:t xml:space="preserve"> -</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4418D" w14:textId="77777777" w:rsidR="00392DBB" w:rsidRDefault="00392DBB" w:rsidP="00A347B3">
    <w:pPr>
      <w:pStyle w:val="af"/>
      <w:rPr>
        <w:color w:val="7F7F7F" w:themeColor="text1" w:themeTint="80"/>
        <w:rtl/>
      </w:rPr>
    </w:pPr>
  </w:p>
  <w:p w14:paraId="06638F13"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צג</w:t>
    </w:r>
    <w:r w:rsidRPr="00692E38">
      <w:rPr>
        <w:rFonts w:hint="cs"/>
        <w:color w:val="7F7F7F" w:themeColor="text1" w:themeTint="80"/>
        <w:rtl/>
      </w:rPr>
      <w:t xml:space="preserve"> -</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C1F0B" w14:textId="77777777" w:rsidR="00392DBB" w:rsidRDefault="00392DBB" w:rsidP="00A347B3">
    <w:pPr>
      <w:pStyle w:val="af"/>
      <w:rPr>
        <w:color w:val="7F7F7F" w:themeColor="text1" w:themeTint="80"/>
        <w:rtl/>
      </w:rPr>
    </w:pPr>
  </w:p>
  <w:p w14:paraId="45AFCF46"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צד</w:t>
    </w:r>
    <w:r w:rsidRPr="00692E38">
      <w:rPr>
        <w:rFonts w:hint="cs"/>
        <w:color w:val="7F7F7F" w:themeColor="text1" w:themeTint="80"/>
        <w:rt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F707A" w14:textId="77777777" w:rsidR="00DE2F5F" w:rsidRDefault="00DE2F5F" w:rsidP="00A347B3">
    <w:pPr>
      <w:pStyle w:val="af"/>
      <w:rPr>
        <w:color w:val="7F7F7F" w:themeColor="text1" w:themeTint="80"/>
        <w:rtl/>
      </w:rPr>
    </w:pPr>
  </w:p>
  <w:p w14:paraId="2B7AF347" w14:textId="2598879C"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סח</w:t>
    </w:r>
    <w:r w:rsidRPr="00692E38">
      <w:rPr>
        <w:rFonts w:hint="cs"/>
        <w:color w:val="7F7F7F" w:themeColor="text1" w:themeTint="80"/>
        <w:rtl/>
      </w:rPr>
      <w:t xml:space="preserve"> -</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F2EBF" w14:textId="77777777" w:rsidR="00392DBB" w:rsidRDefault="00392DBB" w:rsidP="00A347B3">
    <w:pPr>
      <w:pStyle w:val="af"/>
      <w:rPr>
        <w:color w:val="7F7F7F" w:themeColor="text1" w:themeTint="80"/>
        <w:rtl/>
      </w:rPr>
    </w:pPr>
  </w:p>
  <w:p w14:paraId="44B13B70"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צה</w:t>
    </w:r>
    <w:r w:rsidRPr="00692E38">
      <w:rPr>
        <w:rFonts w:hint="cs"/>
        <w:color w:val="7F7F7F" w:themeColor="text1" w:themeTint="80"/>
        <w:rtl/>
      </w:rPr>
      <w:t xml:space="preserve"> -</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BDF98" w14:textId="77777777" w:rsidR="00392DBB" w:rsidRDefault="00392DBB" w:rsidP="00A347B3">
    <w:pPr>
      <w:pStyle w:val="af"/>
      <w:rPr>
        <w:color w:val="7F7F7F" w:themeColor="text1" w:themeTint="80"/>
        <w:rtl/>
      </w:rPr>
    </w:pPr>
  </w:p>
  <w:p w14:paraId="58ED88C8"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צו</w:t>
    </w:r>
    <w:r w:rsidRPr="00692E38">
      <w:rPr>
        <w:rFonts w:hint="cs"/>
        <w:color w:val="7F7F7F" w:themeColor="text1" w:themeTint="80"/>
        <w:rtl/>
      </w:rPr>
      <w:t xml:space="preserve"> -</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BDF74" w14:textId="77777777" w:rsidR="00392DBB" w:rsidRDefault="00392DBB" w:rsidP="00A347B3">
    <w:pPr>
      <w:pStyle w:val="af"/>
      <w:rPr>
        <w:color w:val="7F7F7F" w:themeColor="text1" w:themeTint="80"/>
        <w:rtl/>
      </w:rPr>
    </w:pPr>
  </w:p>
  <w:p w14:paraId="76D81E15"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צז</w:t>
    </w:r>
    <w:r w:rsidRPr="00692E38">
      <w:rPr>
        <w:rFonts w:hint="cs"/>
        <w:color w:val="7F7F7F" w:themeColor="text1" w:themeTint="80"/>
        <w:rtl/>
      </w:rPr>
      <w:t xml:space="preserve"> -</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2C490" w14:textId="77777777" w:rsidR="00392DBB" w:rsidRDefault="00392DBB" w:rsidP="00A347B3">
    <w:pPr>
      <w:pStyle w:val="af"/>
      <w:rPr>
        <w:color w:val="7F7F7F" w:themeColor="text1" w:themeTint="80"/>
        <w:rtl/>
      </w:rPr>
    </w:pPr>
  </w:p>
  <w:p w14:paraId="205B9172"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צח</w:t>
    </w:r>
    <w:r w:rsidRPr="00692E38">
      <w:rPr>
        <w:rFonts w:hint="cs"/>
        <w:color w:val="7F7F7F" w:themeColor="text1" w:themeTint="80"/>
        <w:rtl/>
      </w:rPr>
      <w:t xml:space="preserve"> -</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06AE1" w14:textId="77777777" w:rsidR="00392DBB" w:rsidRDefault="00392DBB" w:rsidP="00A347B3">
    <w:pPr>
      <w:pStyle w:val="af"/>
      <w:rPr>
        <w:color w:val="7F7F7F" w:themeColor="text1" w:themeTint="80"/>
        <w:rtl/>
      </w:rPr>
    </w:pPr>
  </w:p>
  <w:p w14:paraId="2951014C"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צט</w:t>
    </w:r>
    <w:r w:rsidRPr="00692E38">
      <w:rPr>
        <w:rFonts w:hint="cs"/>
        <w:color w:val="7F7F7F" w:themeColor="text1" w:themeTint="80"/>
        <w:rtl/>
      </w:rPr>
      <w:t xml:space="preserve"> -</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042C2" w14:textId="77777777" w:rsidR="00392DBB" w:rsidRDefault="00392DBB" w:rsidP="00A347B3">
    <w:pPr>
      <w:pStyle w:val="af"/>
      <w:rPr>
        <w:color w:val="7F7F7F" w:themeColor="text1" w:themeTint="80"/>
        <w:rtl/>
      </w:rPr>
    </w:pPr>
  </w:p>
  <w:p w14:paraId="6A4DCC03"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ק</w:t>
    </w:r>
    <w:r w:rsidRPr="00692E38">
      <w:rPr>
        <w:rFonts w:hint="cs"/>
        <w:color w:val="7F7F7F" w:themeColor="text1" w:themeTint="80"/>
        <w:rtl/>
      </w:rPr>
      <w:t xml:space="preserve"> -</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BFFDA" w14:textId="77777777" w:rsidR="00392DBB" w:rsidRDefault="00392DBB" w:rsidP="00A347B3">
    <w:pPr>
      <w:pStyle w:val="af"/>
      <w:rPr>
        <w:color w:val="7F7F7F" w:themeColor="text1" w:themeTint="80"/>
        <w:rtl/>
      </w:rPr>
    </w:pPr>
  </w:p>
  <w:p w14:paraId="60C30C02"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קא</w:t>
    </w:r>
    <w:r w:rsidRPr="00692E38">
      <w:rPr>
        <w:rFonts w:hint="cs"/>
        <w:color w:val="7F7F7F" w:themeColor="text1" w:themeTint="80"/>
        <w:rtl/>
      </w:rPr>
      <w:t xml:space="preserve"> -</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5EDD5" w14:textId="77777777" w:rsidR="00392DBB" w:rsidRDefault="00392DBB" w:rsidP="00A347B3">
    <w:pPr>
      <w:pStyle w:val="af"/>
      <w:rPr>
        <w:color w:val="7F7F7F" w:themeColor="text1" w:themeTint="80"/>
        <w:rtl/>
      </w:rPr>
    </w:pPr>
  </w:p>
  <w:p w14:paraId="4B31DFF1"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קב</w:t>
    </w:r>
    <w:r w:rsidRPr="00692E38">
      <w:rPr>
        <w:rFonts w:hint="cs"/>
        <w:color w:val="7F7F7F" w:themeColor="text1" w:themeTint="80"/>
        <w:rtl/>
      </w:rPr>
      <w:t xml:space="preserve"> -</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6E253" w14:textId="77777777" w:rsidR="00392DBB" w:rsidRDefault="00392DBB" w:rsidP="00A347B3">
    <w:pPr>
      <w:pStyle w:val="af"/>
      <w:rPr>
        <w:color w:val="7F7F7F" w:themeColor="text1" w:themeTint="80"/>
        <w:rtl/>
      </w:rPr>
    </w:pPr>
  </w:p>
  <w:p w14:paraId="57C5875B"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קג</w:t>
    </w:r>
    <w:r w:rsidRPr="00692E38">
      <w:rPr>
        <w:rFonts w:hint="cs"/>
        <w:color w:val="7F7F7F" w:themeColor="text1" w:themeTint="80"/>
        <w:rtl/>
      </w:rPr>
      <w:t xml:space="preserve"> -</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AB191" w14:textId="77777777" w:rsidR="00392DBB" w:rsidRDefault="00392DBB" w:rsidP="00A347B3">
    <w:pPr>
      <w:pStyle w:val="af"/>
      <w:rPr>
        <w:color w:val="7F7F7F" w:themeColor="text1" w:themeTint="80"/>
        <w:rtl/>
      </w:rPr>
    </w:pPr>
  </w:p>
  <w:p w14:paraId="187AE929"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קד</w:t>
    </w:r>
    <w:r w:rsidRPr="00692E38">
      <w:rPr>
        <w:rFonts w:hint="cs"/>
        <w:color w:val="7F7F7F" w:themeColor="text1" w:themeTint="80"/>
        <w:rtl/>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9E56D" w14:textId="77777777" w:rsidR="00DE2F5F" w:rsidRDefault="00DE2F5F" w:rsidP="00A347B3">
    <w:pPr>
      <w:pStyle w:val="af"/>
      <w:rPr>
        <w:color w:val="7F7F7F" w:themeColor="text1" w:themeTint="80"/>
        <w:rtl/>
      </w:rPr>
    </w:pPr>
  </w:p>
  <w:p w14:paraId="0B8361F0" w14:textId="1F3E3AA0"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סט</w:t>
    </w:r>
    <w:r w:rsidRPr="00692E38">
      <w:rPr>
        <w:rFonts w:hint="cs"/>
        <w:color w:val="7F7F7F" w:themeColor="text1" w:themeTint="80"/>
        <w:rtl/>
      </w:rPr>
      <w:t xml:space="preserve"> -</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8425E" w14:textId="77777777" w:rsidR="00392DBB" w:rsidRDefault="00392DBB" w:rsidP="00A347B3">
    <w:pPr>
      <w:pStyle w:val="af"/>
      <w:rPr>
        <w:color w:val="7F7F7F" w:themeColor="text1" w:themeTint="80"/>
        <w:rtl/>
      </w:rPr>
    </w:pPr>
  </w:p>
  <w:p w14:paraId="30F6B7DD"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קה</w:t>
    </w:r>
    <w:r w:rsidRPr="00692E38">
      <w:rPr>
        <w:rFonts w:hint="cs"/>
        <w:color w:val="7F7F7F" w:themeColor="text1" w:themeTint="80"/>
        <w:rtl/>
      </w:rPr>
      <w:t xml:space="preserve"> -</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254AA" w14:textId="77777777" w:rsidR="00392DBB" w:rsidRDefault="00392DBB" w:rsidP="00A347B3">
    <w:pPr>
      <w:pStyle w:val="af"/>
      <w:rPr>
        <w:color w:val="7F7F7F" w:themeColor="text1" w:themeTint="80"/>
        <w:rtl/>
      </w:rPr>
    </w:pPr>
  </w:p>
  <w:p w14:paraId="4AE6DDE4"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קו</w:t>
    </w:r>
    <w:r w:rsidRPr="00692E38">
      <w:rPr>
        <w:rFonts w:hint="cs"/>
        <w:color w:val="7F7F7F" w:themeColor="text1" w:themeTint="80"/>
        <w:rtl/>
      </w:rPr>
      <w:t xml:space="preserve"> -</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187D2" w14:textId="77777777" w:rsidR="00392DBB" w:rsidRDefault="00392DBB" w:rsidP="00A347B3">
    <w:pPr>
      <w:pStyle w:val="af"/>
      <w:rPr>
        <w:color w:val="7F7F7F" w:themeColor="text1" w:themeTint="80"/>
        <w:rtl/>
      </w:rPr>
    </w:pPr>
  </w:p>
  <w:p w14:paraId="19444AA0"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קז</w:t>
    </w:r>
    <w:r w:rsidRPr="00692E38">
      <w:rPr>
        <w:rFonts w:hint="cs"/>
        <w:color w:val="7F7F7F" w:themeColor="text1" w:themeTint="80"/>
        <w:rtl/>
      </w:rPr>
      <w:t xml:space="preserve"> -</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1DDCA" w14:textId="77777777" w:rsidR="00392DBB" w:rsidRDefault="00392DBB" w:rsidP="00A347B3">
    <w:pPr>
      <w:pStyle w:val="af"/>
      <w:rPr>
        <w:color w:val="7F7F7F" w:themeColor="text1" w:themeTint="80"/>
        <w:rtl/>
      </w:rPr>
    </w:pPr>
  </w:p>
  <w:p w14:paraId="5CD6734F"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קח</w:t>
    </w:r>
    <w:r w:rsidRPr="00692E38">
      <w:rPr>
        <w:rFonts w:hint="cs"/>
        <w:color w:val="7F7F7F" w:themeColor="text1" w:themeTint="80"/>
        <w:rtl/>
      </w:rPr>
      <w:t xml:space="preserve"> -</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AE73" w14:textId="77777777" w:rsidR="00392DBB" w:rsidRDefault="00392DBB" w:rsidP="00A347B3">
    <w:pPr>
      <w:pStyle w:val="af"/>
      <w:rPr>
        <w:color w:val="7F7F7F" w:themeColor="text1" w:themeTint="80"/>
        <w:rtl/>
      </w:rPr>
    </w:pPr>
  </w:p>
  <w:p w14:paraId="22E32ABA"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קט</w:t>
    </w:r>
    <w:r w:rsidRPr="00692E38">
      <w:rPr>
        <w:rFonts w:hint="cs"/>
        <w:color w:val="7F7F7F" w:themeColor="text1" w:themeTint="80"/>
        <w:rtl/>
      </w:rPr>
      <w:t xml:space="preserve"> -</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0FBED" w14:textId="77777777" w:rsidR="00392DBB" w:rsidRDefault="00392DBB" w:rsidP="00A347B3">
    <w:pPr>
      <w:pStyle w:val="af"/>
      <w:rPr>
        <w:color w:val="7F7F7F" w:themeColor="text1" w:themeTint="80"/>
        <w:rtl/>
      </w:rPr>
    </w:pPr>
  </w:p>
  <w:p w14:paraId="2B0D9CD3"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קי</w:t>
    </w:r>
    <w:r w:rsidRPr="00692E38">
      <w:rPr>
        <w:rFonts w:hint="cs"/>
        <w:color w:val="7F7F7F" w:themeColor="text1" w:themeTint="80"/>
        <w:rtl/>
      </w:rPr>
      <w:t xml:space="preserve"> -</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7F601" w14:textId="77777777" w:rsidR="00392DBB" w:rsidRDefault="00392DBB" w:rsidP="00A347B3">
    <w:pPr>
      <w:pStyle w:val="af"/>
      <w:rPr>
        <w:color w:val="7F7F7F" w:themeColor="text1" w:themeTint="80"/>
        <w:rtl/>
      </w:rPr>
    </w:pPr>
  </w:p>
  <w:p w14:paraId="56D5512A"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קיא</w:t>
    </w:r>
    <w:r w:rsidRPr="00692E38">
      <w:rPr>
        <w:rFonts w:hint="cs"/>
        <w:color w:val="7F7F7F" w:themeColor="text1" w:themeTint="80"/>
        <w:rtl/>
      </w:rPr>
      <w:t xml:space="preserve"> -</w: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7EEBA" w14:textId="77777777" w:rsidR="00392DBB" w:rsidRDefault="00392DBB" w:rsidP="00A347B3">
    <w:pPr>
      <w:pStyle w:val="af"/>
      <w:rPr>
        <w:color w:val="7F7F7F" w:themeColor="text1" w:themeTint="80"/>
        <w:rtl/>
      </w:rPr>
    </w:pPr>
  </w:p>
  <w:p w14:paraId="10EE2F56"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קיב</w:t>
    </w:r>
    <w:r w:rsidRPr="00692E38">
      <w:rPr>
        <w:rFonts w:hint="cs"/>
        <w:color w:val="7F7F7F" w:themeColor="text1" w:themeTint="80"/>
        <w:rtl/>
      </w:rPr>
      <w:t xml:space="preserve"> -</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8E16C" w14:textId="77777777" w:rsidR="00392DBB" w:rsidRDefault="00392DBB" w:rsidP="00A347B3">
    <w:pPr>
      <w:pStyle w:val="af"/>
      <w:rPr>
        <w:color w:val="7F7F7F" w:themeColor="text1" w:themeTint="80"/>
        <w:rtl/>
      </w:rPr>
    </w:pPr>
  </w:p>
  <w:p w14:paraId="3C1CE073"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קיג</w:t>
    </w:r>
    <w:r w:rsidRPr="00692E38">
      <w:rPr>
        <w:rFonts w:hint="cs"/>
        <w:color w:val="7F7F7F" w:themeColor="text1" w:themeTint="80"/>
        <w:rtl/>
      </w:rPr>
      <w:t xml:space="preserve"> -</w: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9922E" w14:textId="77777777" w:rsidR="00392DBB" w:rsidRDefault="00392DBB" w:rsidP="00A347B3">
    <w:pPr>
      <w:pStyle w:val="af"/>
      <w:rPr>
        <w:color w:val="7F7F7F" w:themeColor="text1" w:themeTint="80"/>
        <w:rtl/>
      </w:rPr>
    </w:pPr>
  </w:p>
  <w:p w14:paraId="1A59A33D"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קיד</w:t>
    </w:r>
    <w:r w:rsidRPr="00692E38">
      <w:rPr>
        <w:rFonts w:hint="cs"/>
        <w:color w:val="7F7F7F" w:themeColor="text1" w:themeTint="80"/>
        <w:rtl/>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17647" w14:textId="77777777" w:rsidR="00DE2F5F" w:rsidRDefault="00DE2F5F" w:rsidP="00A347B3">
    <w:pPr>
      <w:pStyle w:val="af"/>
      <w:rPr>
        <w:color w:val="7F7F7F" w:themeColor="text1" w:themeTint="80"/>
        <w:rtl/>
      </w:rPr>
    </w:pPr>
  </w:p>
  <w:p w14:paraId="5BB3290E" w14:textId="30059533"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ע</w:t>
    </w:r>
    <w:r w:rsidRPr="00692E38">
      <w:rPr>
        <w:rFonts w:hint="cs"/>
        <w:color w:val="7F7F7F" w:themeColor="text1" w:themeTint="80"/>
        <w:rtl/>
      </w:rPr>
      <w:t xml:space="preserve"> -</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C1F08" w14:textId="77777777" w:rsidR="00392DBB" w:rsidRDefault="00392DBB" w:rsidP="00A347B3">
    <w:pPr>
      <w:pStyle w:val="af"/>
      <w:rPr>
        <w:color w:val="7F7F7F" w:themeColor="text1" w:themeTint="80"/>
        <w:rtl/>
      </w:rPr>
    </w:pPr>
  </w:p>
  <w:p w14:paraId="7C5F4973"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קטו</w:t>
    </w:r>
    <w:r w:rsidRPr="00692E38">
      <w:rPr>
        <w:rFonts w:hint="cs"/>
        <w:color w:val="7F7F7F" w:themeColor="text1" w:themeTint="80"/>
        <w:rtl/>
      </w:rPr>
      <w:t xml:space="preserve"> -</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06E2C" w14:textId="77777777" w:rsidR="00392DBB" w:rsidRDefault="00392DBB" w:rsidP="00A347B3">
    <w:pPr>
      <w:pStyle w:val="af"/>
      <w:rPr>
        <w:color w:val="7F7F7F" w:themeColor="text1" w:themeTint="80"/>
        <w:rtl/>
      </w:rPr>
    </w:pPr>
  </w:p>
  <w:p w14:paraId="53BF711D"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קטז</w:t>
    </w:r>
    <w:r w:rsidRPr="00692E38">
      <w:rPr>
        <w:rFonts w:hint="cs"/>
        <w:color w:val="7F7F7F" w:themeColor="text1" w:themeTint="80"/>
        <w:rtl/>
      </w:rPr>
      <w:t xml:space="preserve"> -</w: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C22FB" w14:textId="77777777" w:rsidR="00392DBB" w:rsidRDefault="00392DBB" w:rsidP="00A347B3">
    <w:pPr>
      <w:pStyle w:val="af"/>
      <w:rPr>
        <w:color w:val="7F7F7F" w:themeColor="text1" w:themeTint="80"/>
        <w:rtl/>
      </w:rPr>
    </w:pPr>
  </w:p>
  <w:p w14:paraId="11E6F3F1" w14:textId="77777777"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קיז</w:t>
    </w:r>
    <w:r w:rsidRPr="00692E38">
      <w:rPr>
        <w:rFonts w:hint="cs"/>
        <w:color w:val="7F7F7F" w:themeColor="text1" w:themeTint="80"/>
        <w:rtl/>
      </w:rPr>
      <w:t xml:space="preserve"> -</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13337" w14:textId="77777777" w:rsidR="00392DBB" w:rsidRDefault="00392DBB" w:rsidP="00A347B3">
    <w:pPr>
      <w:pStyle w:val="af"/>
      <w:rPr>
        <w:color w:val="7F7F7F" w:themeColor="text1" w:themeTint="80"/>
        <w:rtl/>
      </w:rPr>
    </w:pPr>
  </w:p>
  <w:p w14:paraId="7246A988" w14:textId="648B7032" w:rsidR="00392DBB" w:rsidRDefault="00392DBB" w:rsidP="00EA3E10">
    <w:pPr>
      <w:pStyle w:val="af"/>
      <w:jc w:val="center"/>
    </w:pPr>
    <w:r w:rsidRPr="00692E38">
      <w:rPr>
        <w:rFonts w:hint="cs"/>
        <w:color w:val="7F7F7F" w:themeColor="text1" w:themeTint="80"/>
        <w:rtl/>
      </w:rPr>
      <w:t xml:space="preserve">- סימן </w:t>
    </w:r>
    <w:r>
      <w:rPr>
        <w:rFonts w:hint="cs"/>
        <w:color w:val="7F7F7F" w:themeColor="text1" w:themeTint="80"/>
        <w:rtl/>
      </w:rPr>
      <w:t>קיח</w:t>
    </w:r>
    <w:r w:rsidRPr="00692E38">
      <w:rPr>
        <w:rFonts w:hint="cs"/>
        <w:color w:val="7F7F7F" w:themeColor="text1" w:themeTint="80"/>
        <w:rtl/>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89230" w14:textId="77777777" w:rsidR="00DE2F5F" w:rsidRDefault="00DE2F5F" w:rsidP="00A347B3">
    <w:pPr>
      <w:pStyle w:val="af"/>
      <w:rPr>
        <w:color w:val="7F7F7F" w:themeColor="text1" w:themeTint="80"/>
        <w:rtl/>
      </w:rPr>
    </w:pPr>
  </w:p>
  <w:p w14:paraId="2D3CF43C" w14:textId="16726F80"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עא</w:t>
    </w:r>
    <w:r w:rsidRPr="00692E38">
      <w:rPr>
        <w:rFonts w:hint="cs"/>
        <w:color w:val="7F7F7F" w:themeColor="text1" w:themeTint="80"/>
        <w:rtl/>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189FE" w14:textId="77777777" w:rsidR="00DE2F5F" w:rsidRDefault="00DE2F5F" w:rsidP="00A347B3">
    <w:pPr>
      <w:pStyle w:val="af"/>
      <w:rPr>
        <w:color w:val="7F7F7F" w:themeColor="text1" w:themeTint="80"/>
        <w:rtl/>
      </w:rPr>
    </w:pPr>
  </w:p>
  <w:p w14:paraId="5337C810" w14:textId="41971653"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עב</w:t>
    </w:r>
    <w:r w:rsidRPr="00692E38">
      <w:rPr>
        <w:rFonts w:hint="cs"/>
        <w:color w:val="7F7F7F" w:themeColor="text1" w:themeTint="80"/>
        <w:rt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96FE9" w14:textId="77777777" w:rsidR="00DE2F5F" w:rsidRDefault="00DE2F5F" w:rsidP="00A347B3">
    <w:pPr>
      <w:pStyle w:val="af"/>
      <w:rPr>
        <w:color w:val="7F7F7F" w:themeColor="text1" w:themeTint="80"/>
        <w:rtl/>
      </w:rPr>
    </w:pPr>
  </w:p>
  <w:p w14:paraId="2537226D" w14:textId="1018ED46"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עג</w:t>
    </w:r>
    <w:r w:rsidRPr="00692E38">
      <w:rPr>
        <w:rFonts w:hint="cs"/>
        <w:color w:val="7F7F7F" w:themeColor="text1" w:themeTint="80"/>
        <w:rtl/>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AA9E8" w14:textId="77777777" w:rsidR="00DE2F5F" w:rsidRDefault="00DE2F5F" w:rsidP="00A347B3">
    <w:pPr>
      <w:pStyle w:val="af"/>
      <w:rPr>
        <w:color w:val="7F7F7F" w:themeColor="text1" w:themeTint="80"/>
        <w:rtl/>
      </w:rPr>
    </w:pPr>
  </w:p>
  <w:p w14:paraId="50A4FD5A" w14:textId="421781EE" w:rsidR="00DE2F5F" w:rsidRDefault="00DE2F5F" w:rsidP="00EA3E10">
    <w:pPr>
      <w:pStyle w:val="af"/>
      <w:jc w:val="center"/>
    </w:pPr>
    <w:r w:rsidRPr="00692E38">
      <w:rPr>
        <w:rFonts w:hint="cs"/>
        <w:color w:val="7F7F7F" w:themeColor="text1" w:themeTint="80"/>
        <w:rtl/>
      </w:rPr>
      <w:t xml:space="preserve">- סימן </w:t>
    </w:r>
    <w:r>
      <w:rPr>
        <w:rFonts w:hint="cs"/>
        <w:color w:val="7F7F7F" w:themeColor="text1" w:themeTint="80"/>
        <w:rtl/>
      </w:rPr>
      <w:t>עד</w:t>
    </w:r>
    <w:r w:rsidRPr="00692E38">
      <w:rPr>
        <w:rFonts w:hint="cs"/>
        <w:color w:val="7F7F7F" w:themeColor="text1" w:themeTint="80"/>
        <w:rt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907"/>
    <w:multiLevelType w:val="hybridMultilevel"/>
    <w:tmpl w:val="CAE09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1F5EB9"/>
    <w:multiLevelType w:val="hybridMultilevel"/>
    <w:tmpl w:val="99F48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5A3180"/>
    <w:multiLevelType w:val="hybridMultilevel"/>
    <w:tmpl w:val="6F324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FC655C"/>
    <w:multiLevelType w:val="hybridMultilevel"/>
    <w:tmpl w:val="A0427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1D1BE4"/>
    <w:multiLevelType w:val="hybridMultilevel"/>
    <w:tmpl w:val="5E925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CE5DAC"/>
    <w:multiLevelType w:val="hybridMultilevel"/>
    <w:tmpl w:val="A95A5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AC0DF9"/>
    <w:multiLevelType w:val="hybridMultilevel"/>
    <w:tmpl w:val="8312D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BB2745"/>
    <w:multiLevelType w:val="hybridMultilevel"/>
    <w:tmpl w:val="58E81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EB3CE4"/>
    <w:multiLevelType w:val="hybridMultilevel"/>
    <w:tmpl w:val="757EE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8D071D"/>
    <w:multiLevelType w:val="hybridMultilevel"/>
    <w:tmpl w:val="47B2F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F63834"/>
    <w:multiLevelType w:val="hybridMultilevel"/>
    <w:tmpl w:val="BCD604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562526"/>
    <w:multiLevelType w:val="hybridMultilevel"/>
    <w:tmpl w:val="F3082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04F599A"/>
    <w:multiLevelType w:val="hybridMultilevel"/>
    <w:tmpl w:val="65CA5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0E6696B"/>
    <w:multiLevelType w:val="hybridMultilevel"/>
    <w:tmpl w:val="EEF4B3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7F103A"/>
    <w:multiLevelType w:val="hybridMultilevel"/>
    <w:tmpl w:val="DACC6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D77CB9"/>
    <w:multiLevelType w:val="hybridMultilevel"/>
    <w:tmpl w:val="1C706F16"/>
    <w:lvl w:ilvl="0" w:tplc="758E36E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DE0ADD"/>
    <w:multiLevelType w:val="hybridMultilevel"/>
    <w:tmpl w:val="08ACE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665718"/>
    <w:multiLevelType w:val="hybridMultilevel"/>
    <w:tmpl w:val="F9CED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98B3286"/>
    <w:multiLevelType w:val="hybridMultilevel"/>
    <w:tmpl w:val="96C0D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9ED5A4E"/>
    <w:multiLevelType w:val="hybridMultilevel"/>
    <w:tmpl w:val="73422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C510FAE"/>
    <w:multiLevelType w:val="hybridMultilevel"/>
    <w:tmpl w:val="75BE5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E0444EC"/>
    <w:multiLevelType w:val="hybridMultilevel"/>
    <w:tmpl w:val="98741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F1B03A9"/>
    <w:multiLevelType w:val="hybridMultilevel"/>
    <w:tmpl w:val="F17E0AE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FD908FF"/>
    <w:multiLevelType w:val="hybridMultilevel"/>
    <w:tmpl w:val="E998F3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2CC2440"/>
    <w:multiLevelType w:val="hybridMultilevel"/>
    <w:tmpl w:val="C45A3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2F8322F"/>
    <w:multiLevelType w:val="hybridMultilevel"/>
    <w:tmpl w:val="FA2CF39C"/>
    <w:lvl w:ilvl="0" w:tplc="51A6C49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6E309DE"/>
    <w:multiLevelType w:val="hybridMultilevel"/>
    <w:tmpl w:val="0B5E8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7C84FFB"/>
    <w:multiLevelType w:val="hybridMultilevel"/>
    <w:tmpl w:val="38A47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8BF6F4D"/>
    <w:multiLevelType w:val="hybridMultilevel"/>
    <w:tmpl w:val="C2F84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94B60AD"/>
    <w:multiLevelType w:val="hybridMultilevel"/>
    <w:tmpl w:val="3F2C0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472D9C"/>
    <w:multiLevelType w:val="hybridMultilevel"/>
    <w:tmpl w:val="0BFAC7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A8C00E5"/>
    <w:multiLevelType w:val="hybridMultilevel"/>
    <w:tmpl w:val="5560C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AE71FB2"/>
    <w:multiLevelType w:val="hybridMultilevel"/>
    <w:tmpl w:val="5C5217CE"/>
    <w:lvl w:ilvl="0" w:tplc="51A6C494">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B4C2F3F"/>
    <w:multiLevelType w:val="hybridMultilevel"/>
    <w:tmpl w:val="72AA4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BBB5692"/>
    <w:multiLevelType w:val="hybridMultilevel"/>
    <w:tmpl w:val="1F4AA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D084FB1"/>
    <w:multiLevelType w:val="hybridMultilevel"/>
    <w:tmpl w:val="1A5CA6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D693EC3"/>
    <w:multiLevelType w:val="hybridMultilevel"/>
    <w:tmpl w:val="64B87B60"/>
    <w:lvl w:ilvl="0" w:tplc="A72CB1EC">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FD40CEF"/>
    <w:multiLevelType w:val="hybridMultilevel"/>
    <w:tmpl w:val="E35A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FF3385F"/>
    <w:multiLevelType w:val="hybridMultilevel"/>
    <w:tmpl w:val="3DB84156"/>
    <w:lvl w:ilvl="0" w:tplc="E8BAB70A">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1D73135"/>
    <w:multiLevelType w:val="hybridMultilevel"/>
    <w:tmpl w:val="8D789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27F6F42"/>
    <w:multiLevelType w:val="hybridMultilevel"/>
    <w:tmpl w:val="1D70C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31E3061"/>
    <w:multiLevelType w:val="hybridMultilevel"/>
    <w:tmpl w:val="833C2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6E06A6E"/>
    <w:multiLevelType w:val="hybridMultilevel"/>
    <w:tmpl w:val="5B322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70038FC"/>
    <w:multiLevelType w:val="hybridMultilevel"/>
    <w:tmpl w:val="B81821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809000A"/>
    <w:multiLevelType w:val="hybridMultilevel"/>
    <w:tmpl w:val="D1FC2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87A702E"/>
    <w:multiLevelType w:val="hybridMultilevel"/>
    <w:tmpl w:val="ADBEF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3AE816FB"/>
    <w:multiLevelType w:val="hybridMultilevel"/>
    <w:tmpl w:val="9A040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BA73C11"/>
    <w:multiLevelType w:val="hybridMultilevel"/>
    <w:tmpl w:val="37E48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D4965B6"/>
    <w:multiLevelType w:val="hybridMultilevel"/>
    <w:tmpl w:val="9D10F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DCA2D9F"/>
    <w:multiLevelType w:val="hybridMultilevel"/>
    <w:tmpl w:val="E01AF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F3F1521"/>
    <w:multiLevelType w:val="hybridMultilevel"/>
    <w:tmpl w:val="85C688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02D3B6E"/>
    <w:multiLevelType w:val="hybridMultilevel"/>
    <w:tmpl w:val="8D4C04FC"/>
    <w:lvl w:ilvl="0" w:tplc="8BF266B0">
      <w:start w:val="1"/>
      <w:numFmt w:val="bullet"/>
      <w:lvlText w:val=""/>
      <w:lvlJc w:val="left"/>
      <w:pPr>
        <w:ind w:left="720" w:hanging="360"/>
      </w:pPr>
      <w:rPr>
        <w:rFonts w:ascii="Symbol" w:hAnsi="Symbol" w:hint="default"/>
        <w:lang w:bidi="he-I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0E67476"/>
    <w:multiLevelType w:val="hybridMultilevel"/>
    <w:tmpl w:val="FAAAD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1523BA6"/>
    <w:multiLevelType w:val="hybridMultilevel"/>
    <w:tmpl w:val="25E4D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3DE520E"/>
    <w:multiLevelType w:val="hybridMultilevel"/>
    <w:tmpl w:val="80F82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4070A4D"/>
    <w:multiLevelType w:val="hybridMultilevel"/>
    <w:tmpl w:val="9F18C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54C4344"/>
    <w:multiLevelType w:val="hybridMultilevel"/>
    <w:tmpl w:val="7C32F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69B7E51"/>
    <w:multiLevelType w:val="hybridMultilevel"/>
    <w:tmpl w:val="5C1E7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89D76A8"/>
    <w:multiLevelType w:val="hybridMultilevel"/>
    <w:tmpl w:val="0BA64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99355A0"/>
    <w:multiLevelType w:val="hybridMultilevel"/>
    <w:tmpl w:val="42C26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9B612AA"/>
    <w:multiLevelType w:val="hybridMultilevel"/>
    <w:tmpl w:val="4DA64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9F74B4D"/>
    <w:multiLevelType w:val="hybridMultilevel"/>
    <w:tmpl w:val="35A6B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B583B8E"/>
    <w:multiLevelType w:val="hybridMultilevel"/>
    <w:tmpl w:val="F4980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B6E6E01"/>
    <w:multiLevelType w:val="hybridMultilevel"/>
    <w:tmpl w:val="D23E2F5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4" w15:restartNumberingAfterBreak="0">
    <w:nsid w:val="4C360102"/>
    <w:multiLevelType w:val="hybridMultilevel"/>
    <w:tmpl w:val="A8E6E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DB72CB7"/>
    <w:multiLevelType w:val="hybridMultilevel"/>
    <w:tmpl w:val="66740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0BF0239"/>
    <w:multiLevelType w:val="hybridMultilevel"/>
    <w:tmpl w:val="CF90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15E5057"/>
    <w:multiLevelType w:val="hybridMultilevel"/>
    <w:tmpl w:val="B4247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4AD3363"/>
    <w:multiLevelType w:val="hybridMultilevel"/>
    <w:tmpl w:val="1102F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4DB244A"/>
    <w:multiLevelType w:val="hybridMultilevel"/>
    <w:tmpl w:val="1F1029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6931D7B"/>
    <w:multiLevelType w:val="hybridMultilevel"/>
    <w:tmpl w:val="3A007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597476F1"/>
    <w:multiLevelType w:val="hybridMultilevel"/>
    <w:tmpl w:val="45F09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B8B3E9F"/>
    <w:multiLevelType w:val="hybridMultilevel"/>
    <w:tmpl w:val="58E6D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D281187"/>
    <w:multiLevelType w:val="hybridMultilevel"/>
    <w:tmpl w:val="4736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05F5F05"/>
    <w:multiLevelType w:val="hybridMultilevel"/>
    <w:tmpl w:val="78EC9A40"/>
    <w:lvl w:ilvl="0" w:tplc="2FF2BA22">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2DB44F1"/>
    <w:multiLevelType w:val="hybridMultilevel"/>
    <w:tmpl w:val="A25E7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3835A8A"/>
    <w:multiLevelType w:val="hybridMultilevel"/>
    <w:tmpl w:val="6B82B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6040331"/>
    <w:multiLevelType w:val="hybridMultilevel"/>
    <w:tmpl w:val="C3DA3B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6636753E"/>
    <w:multiLevelType w:val="hybridMultilevel"/>
    <w:tmpl w:val="5AAE3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7284660"/>
    <w:multiLevelType w:val="hybridMultilevel"/>
    <w:tmpl w:val="3168C1DA"/>
    <w:lvl w:ilvl="0" w:tplc="758E36E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72C4D93"/>
    <w:multiLevelType w:val="hybridMultilevel"/>
    <w:tmpl w:val="A6B2A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6A9F274D"/>
    <w:multiLevelType w:val="hybridMultilevel"/>
    <w:tmpl w:val="DBF60A8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B364B3A"/>
    <w:multiLevelType w:val="hybridMultilevel"/>
    <w:tmpl w:val="460A4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B5C7CD8"/>
    <w:multiLevelType w:val="hybridMultilevel"/>
    <w:tmpl w:val="77EAA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CC50A02"/>
    <w:multiLevelType w:val="hybridMultilevel"/>
    <w:tmpl w:val="34E46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D7D2261"/>
    <w:multiLevelType w:val="hybridMultilevel"/>
    <w:tmpl w:val="A09CF1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F7362CF"/>
    <w:multiLevelType w:val="hybridMultilevel"/>
    <w:tmpl w:val="BC0CB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10809D1"/>
    <w:multiLevelType w:val="hybridMultilevel"/>
    <w:tmpl w:val="3FFC2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8785693"/>
    <w:multiLevelType w:val="hybridMultilevel"/>
    <w:tmpl w:val="0B9814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87F61D8"/>
    <w:multiLevelType w:val="hybridMultilevel"/>
    <w:tmpl w:val="EDB6F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9452F04"/>
    <w:multiLevelType w:val="hybridMultilevel"/>
    <w:tmpl w:val="F4CA7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7B92695D"/>
    <w:multiLevelType w:val="hybridMultilevel"/>
    <w:tmpl w:val="DF7C3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7DFD24A7"/>
    <w:multiLevelType w:val="hybridMultilevel"/>
    <w:tmpl w:val="A0C42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3089830">
    <w:abstractNumId w:val="7"/>
  </w:num>
  <w:num w:numId="2" w16cid:durableId="90130192">
    <w:abstractNumId w:val="52"/>
  </w:num>
  <w:num w:numId="3" w16cid:durableId="571501549">
    <w:abstractNumId w:val="10"/>
  </w:num>
  <w:num w:numId="4" w16cid:durableId="564880907">
    <w:abstractNumId w:val="48"/>
  </w:num>
  <w:num w:numId="5" w16cid:durableId="411703751">
    <w:abstractNumId w:val="62"/>
  </w:num>
  <w:num w:numId="6" w16cid:durableId="1733231629">
    <w:abstractNumId w:val="14"/>
  </w:num>
  <w:num w:numId="7" w16cid:durableId="1070880848">
    <w:abstractNumId w:val="51"/>
  </w:num>
  <w:num w:numId="8" w16cid:durableId="1688754002">
    <w:abstractNumId w:val="39"/>
  </w:num>
  <w:num w:numId="9" w16cid:durableId="1813520523">
    <w:abstractNumId w:val="12"/>
  </w:num>
  <w:num w:numId="10" w16cid:durableId="1644239558">
    <w:abstractNumId w:val="75"/>
  </w:num>
  <w:num w:numId="11" w16cid:durableId="2119640930">
    <w:abstractNumId w:val="34"/>
  </w:num>
  <w:num w:numId="12" w16cid:durableId="717239888">
    <w:abstractNumId w:val="57"/>
  </w:num>
  <w:num w:numId="13" w16cid:durableId="1037505588">
    <w:abstractNumId w:val="80"/>
  </w:num>
  <w:num w:numId="14" w16cid:durableId="1369183809">
    <w:abstractNumId w:val="2"/>
  </w:num>
  <w:num w:numId="15" w16cid:durableId="766510970">
    <w:abstractNumId w:val="49"/>
  </w:num>
  <w:num w:numId="16" w16cid:durableId="1779376161">
    <w:abstractNumId w:val="46"/>
  </w:num>
  <w:num w:numId="17" w16cid:durableId="922760310">
    <w:abstractNumId w:val="77"/>
  </w:num>
  <w:num w:numId="18" w16cid:durableId="1097944952">
    <w:abstractNumId w:val="31"/>
  </w:num>
  <w:num w:numId="19" w16cid:durableId="539322666">
    <w:abstractNumId w:val="33"/>
  </w:num>
  <w:num w:numId="20" w16cid:durableId="1190802469">
    <w:abstractNumId w:val="82"/>
  </w:num>
  <w:num w:numId="21" w16cid:durableId="596598224">
    <w:abstractNumId w:val="5"/>
  </w:num>
  <w:num w:numId="22" w16cid:durableId="2042632323">
    <w:abstractNumId w:val="22"/>
  </w:num>
  <w:num w:numId="23" w16cid:durableId="1762724659">
    <w:abstractNumId w:val="65"/>
  </w:num>
  <w:num w:numId="24" w16cid:durableId="37584425">
    <w:abstractNumId w:val="79"/>
  </w:num>
  <w:num w:numId="25" w16cid:durableId="532310261">
    <w:abstractNumId w:val="15"/>
  </w:num>
  <w:num w:numId="26" w16cid:durableId="813909169">
    <w:abstractNumId w:val="74"/>
  </w:num>
  <w:num w:numId="27" w16cid:durableId="1762682168">
    <w:abstractNumId w:val="69"/>
  </w:num>
  <w:num w:numId="28" w16cid:durableId="1714693640">
    <w:abstractNumId w:val="45"/>
  </w:num>
  <w:num w:numId="29" w16cid:durableId="2006779648">
    <w:abstractNumId w:val="90"/>
  </w:num>
  <w:num w:numId="30" w16cid:durableId="974718326">
    <w:abstractNumId w:val="24"/>
  </w:num>
  <w:num w:numId="31" w16cid:durableId="1967738205">
    <w:abstractNumId w:val="92"/>
  </w:num>
  <w:num w:numId="32" w16cid:durableId="870149229">
    <w:abstractNumId w:val="4"/>
  </w:num>
  <w:num w:numId="33" w16cid:durableId="1033309746">
    <w:abstractNumId w:val="17"/>
  </w:num>
  <w:num w:numId="34" w16cid:durableId="820929462">
    <w:abstractNumId w:val="19"/>
  </w:num>
  <w:num w:numId="35" w16cid:durableId="1239973322">
    <w:abstractNumId w:val="54"/>
  </w:num>
  <w:num w:numId="36" w16cid:durableId="1059940155">
    <w:abstractNumId w:val="29"/>
  </w:num>
  <w:num w:numId="37" w16cid:durableId="364252146">
    <w:abstractNumId w:val="91"/>
  </w:num>
  <w:num w:numId="38" w16cid:durableId="23868803">
    <w:abstractNumId w:val="8"/>
  </w:num>
  <w:num w:numId="39" w16cid:durableId="90245274">
    <w:abstractNumId w:val="28"/>
  </w:num>
  <w:num w:numId="40" w16cid:durableId="1353724838">
    <w:abstractNumId w:val="0"/>
  </w:num>
  <w:num w:numId="41" w16cid:durableId="1809978774">
    <w:abstractNumId w:val="20"/>
  </w:num>
  <w:num w:numId="42" w16cid:durableId="1882084505">
    <w:abstractNumId w:val="66"/>
  </w:num>
  <w:num w:numId="43" w16cid:durableId="998457779">
    <w:abstractNumId w:val="50"/>
  </w:num>
  <w:num w:numId="44" w16cid:durableId="1351837776">
    <w:abstractNumId w:val="6"/>
  </w:num>
  <w:num w:numId="45" w16cid:durableId="745689465">
    <w:abstractNumId w:val="78"/>
  </w:num>
  <w:num w:numId="46" w16cid:durableId="855189659">
    <w:abstractNumId w:val="36"/>
  </w:num>
  <w:num w:numId="47" w16cid:durableId="677125289">
    <w:abstractNumId w:val="85"/>
  </w:num>
  <w:num w:numId="48" w16cid:durableId="1254242124">
    <w:abstractNumId w:val="68"/>
  </w:num>
  <w:num w:numId="49" w16cid:durableId="1201627428">
    <w:abstractNumId w:val="59"/>
  </w:num>
  <w:num w:numId="50" w16cid:durableId="1498494199">
    <w:abstractNumId w:val="71"/>
  </w:num>
  <w:num w:numId="51" w16cid:durableId="596211615">
    <w:abstractNumId w:val="87"/>
  </w:num>
  <w:num w:numId="52" w16cid:durableId="1034963192">
    <w:abstractNumId w:val="53"/>
  </w:num>
  <w:num w:numId="53" w16cid:durableId="1386294494">
    <w:abstractNumId w:val="84"/>
  </w:num>
  <w:num w:numId="54" w16cid:durableId="2012223183">
    <w:abstractNumId w:val="11"/>
  </w:num>
  <w:num w:numId="55" w16cid:durableId="233663992">
    <w:abstractNumId w:val="23"/>
  </w:num>
  <w:num w:numId="56" w16cid:durableId="1104567950">
    <w:abstractNumId w:val="76"/>
  </w:num>
  <w:num w:numId="57" w16cid:durableId="632254979">
    <w:abstractNumId w:val="9"/>
  </w:num>
  <w:num w:numId="58" w16cid:durableId="700740717">
    <w:abstractNumId w:val="43"/>
  </w:num>
  <w:num w:numId="59" w16cid:durableId="116799531">
    <w:abstractNumId w:val="16"/>
  </w:num>
  <w:num w:numId="60" w16cid:durableId="2105950666">
    <w:abstractNumId w:val="72"/>
  </w:num>
  <w:num w:numId="61" w16cid:durableId="951479660">
    <w:abstractNumId w:val="13"/>
  </w:num>
  <w:num w:numId="62" w16cid:durableId="180358341">
    <w:abstractNumId w:val="44"/>
  </w:num>
  <w:num w:numId="63" w16cid:durableId="120004785">
    <w:abstractNumId w:val="32"/>
  </w:num>
  <w:num w:numId="64" w16cid:durableId="1854176351">
    <w:abstractNumId w:val="27"/>
  </w:num>
  <w:num w:numId="65" w16cid:durableId="770515601">
    <w:abstractNumId w:val="40"/>
  </w:num>
  <w:num w:numId="66" w16cid:durableId="1078600500">
    <w:abstractNumId w:val="41"/>
  </w:num>
  <w:num w:numId="67" w16cid:durableId="1001007674">
    <w:abstractNumId w:val="38"/>
  </w:num>
  <w:num w:numId="68" w16cid:durableId="1077477480">
    <w:abstractNumId w:val="47"/>
  </w:num>
  <w:num w:numId="69" w16cid:durableId="1413165357">
    <w:abstractNumId w:val="60"/>
  </w:num>
  <w:num w:numId="70" w16cid:durableId="1209029143">
    <w:abstractNumId w:val="3"/>
  </w:num>
  <w:num w:numId="71" w16cid:durableId="1952475901">
    <w:abstractNumId w:val="86"/>
  </w:num>
  <w:num w:numId="72" w16cid:durableId="1223252229">
    <w:abstractNumId w:val="26"/>
  </w:num>
  <w:num w:numId="73" w16cid:durableId="1887371488">
    <w:abstractNumId w:val="81"/>
  </w:num>
  <w:num w:numId="74" w16cid:durableId="910967053">
    <w:abstractNumId w:val="25"/>
  </w:num>
  <w:num w:numId="75" w16cid:durableId="1553270964">
    <w:abstractNumId w:val="30"/>
  </w:num>
  <w:num w:numId="76" w16cid:durableId="924075267">
    <w:abstractNumId w:val="70"/>
  </w:num>
  <w:num w:numId="77" w16cid:durableId="1388727697">
    <w:abstractNumId w:val="1"/>
  </w:num>
  <w:num w:numId="78" w16cid:durableId="1118639660">
    <w:abstractNumId w:val="55"/>
  </w:num>
  <w:num w:numId="79" w16cid:durableId="2001690722">
    <w:abstractNumId w:val="83"/>
  </w:num>
  <w:num w:numId="80" w16cid:durableId="1311179082">
    <w:abstractNumId w:val="18"/>
  </w:num>
  <w:num w:numId="81" w16cid:durableId="1100754322">
    <w:abstractNumId w:val="89"/>
  </w:num>
  <w:num w:numId="82" w16cid:durableId="1101144934">
    <w:abstractNumId w:val="61"/>
  </w:num>
  <w:num w:numId="83" w16cid:durableId="638799732">
    <w:abstractNumId w:val="64"/>
  </w:num>
  <w:num w:numId="84" w16cid:durableId="614218042">
    <w:abstractNumId w:val="35"/>
  </w:num>
  <w:num w:numId="85" w16cid:durableId="1679653841">
    <w:abstractNumId w:val="56"/>
  </w:num>
  <w:num w:numId="86" w16cid:durableId="542407142">
    <w:abstractNumId w:val="42"/>
  </w:num>
  <w:num w:numId="87" w16cid:durableId="1435663025">
    <w:abstractNumId w:val="37"/>
  </w:num>
  <w:num w:numId="88" w16cid:durableId="646545084">
    <w:abstractNumId w:val="67"/>
  </w:num>
  <w:num w:numId="89" w16cid:durableId="2000190585">
    <w:abstractNumId w:val="88"/>
  </w:num>
  <w:num w:numId="90" w16cid:durableId="1560239499">
    <w:abstractNumId w:val="73"/>
  </w:num>
  <w:num w:numId="91" w16cid:durableId="557783032">
    <w:abstractNumId w:val="58"/>
  </w:num>
  <w:num w:numId="92" w16cid:durableId="544177926">
    <w:abstractNumId w:val="63"/>
  </w:num>
  <w:num w:numId="93" w16cid:durableId="338968737">
    <w:abstractNumId w:val="21"/>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135D5"/>
    <w:rsid w:val="00000383"/>
    <w:rsid w:val="000004B6"/>
    <w:rsid w:val="00000744"/>
    <w:rsid w:val="00000F75"/>
    <w:rsid w:val="0000138F"/>
    <w:rsid w:val="000014A8"/>
    <w:rsid w:val="000016F4"/>
    <w:rsid w:val="00001D38"/>
    <w:rsid w:val="0000251A"/>
    <w:rsid w:val="0000292E"/>
    <w:rsid w:val="00002B35"/>
    <w:rsid w:val="000035F3"/>
    <w:rsid w:val="0000388C"/>
    <w:rsid w:val="00003B6A"/>
    <w:rsid w:val="00003C37"/>
    <w:rsid w:val="000042CA"/>
    <w:rsid w:val="00004443"/>
    <w:rsid w:val="00004585"/>
    <w:rsid w:val="00004682"/>
    <w:rsid w:val="00004953"/>
    <w:rsid w:val="00004B09"/>
    <w:rsid w:val="00004E12"/>
    <w:rsid w:val="000053D3"/>
    <w:rsid w:val="00005DA9"/>
    <w:rsid w:val="0000630C"/>
    <w:rsid w:val="00006FA8"/>
    <w:rsid w:val="00007218"/>
    <w:rsid w:val="00010060"/>
    <w:rsid w:val="0001007B"/>
    <w:rsid w:val="000100D5"/>
    <w:rsid w:val="000101F9"/>
    <w:rsid w:val="00010BCB"/>
    <w:rsid w:val="00010D53"/>
    <w:rsid w:val="00010E0A"/>
    <w:rsid w:val="00010FB9"/>
    <w:rsid w:val="000111BC"/>
    <w:rsid w:val="000112E2"/>
    <w:rsid w:val="00011643"/>
    <w:rsid w:val="0001174D"/>
    <w:rsid w:val="000118A1"/>
    <w:rsid w:val="000118CF"/>
    <w:rsid w:val="00012505"/>
    <w:rsid w:val="0001299F"/>
    <w:rsid w:val="00012EC3"/>
    <w:rsid w:val="0001322A"/>
    <w:rsid w:val="000132D6"/>
    <w:rsid w:val="000137A6"/>
    <w:rsid w:val="00013B0A"/>
    <w:rsid w:val="00013CB7"/>
    <w:rsid w:val="00013E3E"/>
    <w:rsid w:val="00013FF6"/>
    <w:rsid w:val="00014042"/>
    <w:rsid w:val="00014165"/>
    <w:rsid w:val="0001447E"/>
    <w:rsid w:val="00014B09"/>
    <w:rsid w:val="00014C95"/>
    <w:rsid w:val="00014D26"/>
    <w:rsid w:val="00014D7C"/>
    <w:rsid w:val="00015B40"/>
    <w:rsid w:val="00015C7E"/>
    <w:rsid w:val="00015F9C"/>
    <w:rsid w:val="000171D3"/>
    <w:rsid w:val="00017A8F"/>
    <w:rsid w:val="00017B2C"/>
    <w:rsid w:val="00017D47"/>
    <w:rsid w:val="00020771"/>
    <w:rsid w:val="00020B3F"/>
    <w:rsid w:val="00020F5F"/>
    <w:rsid w:val="0002149D"/>
    <w:rsid w:val="000214D5"/>
    <w:rsid w:val="000215E2"/>
    <w:rsid w:val="000215E7"/>
    <w:rsid w:val="00021BB4"/>
    <w:rsid w:val="00021C93"/>
    <w:rsid w:val="00022043"/>
    <w:rsid w:val="00022079"/>
    <w:rsid w:val="000227AE"/>
    <w:rsid w:val="00022954"/>
    <w:rsid w:val="000229B4"/>
    <w:rsid w:val="00022CE4"/>
    <w:rsid w:val="00022D68"/>
    <w:rsid w:val="00022F6D"/>
    <w:rsid w:val="0002329E"/>
    <w:rsid w:val="00023500"/>
    <w:rsid w:val="000235EB"/>
    <w:rsid w:val="000236CE"/>
    <w:rsid w:val="000237E8"/>
    <w:rsid w:val="00024676"/>
    <w:rsid w:val="000249A4"/>
    <w:rsid w:val="000249E1"/>
    <w:rsid w:val="00024CFE"/>
    <w:rsid w:val="00024E1C"/>
    <w:rsid w:val="00024F2D"/>
    <w:rsid w:val="000254EC"/>
    <w:rsid w:val="00025599"/>
    <w:rsid w:val="000255C3"/>
    <w:rsid w:val="000255F5"/>
    <w:rsid w:val="00025C5F"/>
    <w:rsid w:val="00025CB6"/>
    <w:rsid w:val="00026360"/>
    <w:rsid w:val="0002672B"/>
    <w:rsid w:val="00026843"/>
    <w:rsid w:val="000268C6"/>
    <w:rsid w:val="00026AC9"/>
    <w:rsid w:val="00027095"/>
    <w:rsid w:val="00027305"/>
    <w:rsid w:val="000276FD"/>
    <w:rsid w:val="000304DD"/>
    <w:rsid w:val="000307D9"/>
    <w:rsid w:val="00030FD8"/>
    <w:rsid w:val="000310D5"/>
    <w:rsid w:val="00031158"/>
    <w:rsid w:val="00031277"/>
    <w:rsid w:val="000317F0"/>
    <w:rsid w:val="000320A6"/>
    <w:rsid w:val="00032744"/>
    <w:rsid w:val="00032AC2"/>
    <w:rsid w:val="00032D11"/>
    <w:rsid w:val="00032D16"/>
    <w:rsid w:val="00032F1E"/>
    <w:rsid w:val="000330BE"/>
    <w:rsid w:val="0003322E"/>
    <w:rsid w:val="000335AD"/>
    <w:rsid w:val="00033ABC"/>
    <w:rsid w:val="00033DDB"/>
    <w:rsid w:val="000340FD"/>
    <w:rsid w:val="000343CE"/>
    <w:rsid w:val="00034490"/>
    <w:rsid w:val="0003454A"/>
    <w:rsid w:val="00034C30"/>
    <w:rsid w:val="00034D0F"/>
    <w:rsid w:val="0003578F"/>
    <w:rsid w:val="00035A9C"/>
    <w:rsid w:val="00035F98"/>
    <w:rsid w:val="000367DB"/>
    <w:rsid w:val="00036B20"/>
    <w:rsid w:val="00036EB9"/>
    <w:rsid w:val="000373D2"/>
    <w:rsid w:val="0003754A"/>
    <w:rsid w:val="00037A65"/>
    <w:rsid w:val="00037B5C"/>
    <w:rsid w:val="00037D03"/>
    <w:rsid w:val="000402B2"/>
    <w:rsid w:val="0004048F"/>
    <w:rsid w:val="000405E8"/>
    <w:rsid w:val="000406FE"/>
    <w:rsid w:val="00040772"/>
    <w:rsid w:val="0004082E"/>
    <w:rsid w:val="0004094F"/>
    <w:rsid w:val="0004152B"/>
    <w:rsid w:val="00041531"/>
    <w:rsid w:val="0004182F"/>
    <w:rsid w:val="00041BBF"/>
    <w:rsid w:val="00042294"/>
    <w:rsid w:val="000425A6"/>
    <w:rsid w:val="0004310D"/>
    <w:rsid w:val="0004381A"/>
    <w:rsid w:val="0004384E"/>
    <w:rsid w:val="00043C97"/>
    <w:rsid w:val="00043CE0"/>
    <w:rsid w:val="00043F10"/>
    <w:rsid w:val="00044129"/>
    <w:rsid w:val="000444EA"/>
    <w:rsid w:val="0004451E"/>
    <w:rsid w:val="00044652"/>
    <w:rsid w:val="00044AAB"/>
    <w:rsid w:val="000454B0"/>
    <w:rsid w:val="0004578B"/>
    <w:rsid w:val="000457CB"/>
    <w:rsid w:val="00045E2C"/>
    <w:rsid w:val="00046075"/>
    <w:rsid w:val="0004674C"/>
    <w:rsid w:val="0004676C"/>
    <w:rsid w:val="000469D8"/>
    <w:rsid w:val="00047294"/>
    <w:rsid w:val="000500E1"/>
    <w:rsid w:val="000500E4"/>
    <w:rsid w:val="00050965"/>
    <w:rsid w:val="00050974"/>
    <w:rsid w:val="00050C17"/>
    <w:rsid w:val="000514B6"/>
    <w:rsid w:val="00051667"/>
    <w:rsid w:val="00051A54"/>
    <w:rsid w:val="00051E1C"/>
    <w:rsid w:val="00051ECB"/>
    <w:rsid w:val="00052D7C"/>
    <w:rsid w:val="00052E92"/>
    <w:rsid w:val="000531B5"/>
    <w:rsid w:val="000532DE"/>
    <w:rsid w:val="000535CC"/>
    <w:rsid w:val="000539BD"/>
    <w:rsid w:val="00053BC8"/>
    <w:rsid w:val="00053CAA"/>
    <w:rsid w:val="00053F50"/>
    <w:rsid w:val="000545D2"/>
    <w:rsid w:val="0005473B"/>
    <w:rsid w:val="00054743"/>
    <w:rsid w:val="000547D9"/>
    <w:rsid w:val="00054BAB"/>
    <w:rsid w:val="0005514B"/>
    <w:rsid w:val="000551D8"/>
    <w:rsid w:val="00055593"/>
    <w:rsid w:val="0005568C"/>
    <w:rsid w:val="000559E4"/>
    <w:rsid w:val="00055AD9"/>
    <w:rsid w:val="00055E7C"/>
    <w:rsid w:val="00056416"/>
    <w:rsid w:val="00056692"/>
    <w:rsid w:val="00056885"/>
    <w:rsid w:val="000569FF"/>
    <w:rsid w:val="00056A2A"/>
    <w:rsid w:val="00056A62"/>
    <w:rsid w:val="00056BE1"/>
    <w:rsid w:val="00057190"/>
    <w:rsid w:val="00057710"/>
    <w:rsid w:val="00057E6A"/>
    <w:rsid w:val="00057FE0"/>
    <w:rsid w:val="000603E4"/>
    <w:rsid w:val="00060474"/>
    <w:rsid w:val="00060575"/>
    <w:rsid w:val="000607E1"/>
    <w:rsid w:val="000608BE"/>
    <w:rsid w:val="00060A73"/>
    <w:rsid w:val="0006145B"/>
    <w:rsid w:val="00061631"/>
    <w:rsid w:val="00061864"/>
    <w:rsid w:val="00062818"/>
    <w:rsid w:val="000628D2"/>
    <w:rsid w:val="000628DF"/>
    <w:rsid w:val="0006297C"/>
    <w:rsid w:val="000629A3"/>
    <w:rsid w:val="00063110"/>
    <w:rsid w:val="0006361A"/>
    <w:rsid w:val="000638BA"/>
    <w:rsid w:val="00064163"/>
    <w:rsid w:val="000647A3"/>
    <w:rsid w:val="000647C0"/>
    <w:rsid w:val="0006506E"/>
    <w:rsid w:val="000650A9"/>
    <w:rsid w:val="0006519A"/>
    <w:rsid w:val="00065E2A"/>
    <w:rsid w:val="0006630D"/>
    <w:rsid w:val="0006636A"/>
    <w:rsid w:val="00066436"/>
    <w:rsid w:val="00066AA5"/>
    <w:rsid w:val="00066C80"/>
    <w:rsid w:val="00066EDF"/>
    <w:rsid w:val="000670E4"/>
    <w:rsid w:val="0006721F"/>
    <w:rsid w:val="000674DB"/>
    <w:rsid w:val="00067668"/>
    <w:rsid w:val="000679EA"/>
    <w:rsid w:val="00067B0B"/>
    <w:rsid w:val="00070940"/>
    <w:rsid w:val="00070D6E"/>
    <w:rsid w:val="00070D95"/>
    <w:rsid w:val="0007153A"/>
    <w:rsid w:val="00071930"/>
    <w:rsid w:val="000727D9"/>
    <w:rsid w:val="00072A5F"/>
    <w:rsid w:val="00072F15"/>
    <w:rsid w:val="00072F37"/>
    <w:rsid w:val="0007308B"/>
    <w:rsid w:val="0007337F"/>
    <w:rsid w:val="00073B6D"/>
    <w:rsid w:val="00073BBD"/>
    <w:rsid w:val="00073EC4"/>
    <w:rsid w:val="00074486"/>
    <w:rsid w:val="000744C0"/>
    <w:rsid w:val="00074620"/>
    <w:rsid w:val="00074BDB"/>
    <w:rsid w:val="00074E17"/>
    <w:rsid w:val="000755BA"/>
    <w:rsid w:val="000755D8"/>
    <w:rsid w:val="0007699D"/>
    <w:rsid w:val="00077144"/>
    <w:rsid w:val="00077545"/>
    <w:rsid w:val="00077BAD"/>
    <w:rsid w:val="00077D3F"/>
    <w:rsid w:val="00077DF1"/>
    <w:rsid w:val="00080682"/>
    <w:rsid w:val="00080980"/>
    <w:rsid w:val="00080BE9"/>
    <w:rsid w:val="000810D5"/>
    <w:rsid w:val="000811C8"/>
    <w:rsid w:val="00081836"/>
    <w:rsid w:val="00081A65"/>
    <w:rsid w:val="000821DB"/>
    <w:rsid w:val="000823F6"/>
    <w:rsid w:val="00082549"/>
    <w:rsid w:val="0008255B"/>
    <w:rsid w:val="00082B39"/>
    <w:rsid w:val="00082C44"/>
    <w:rsid w:val="000833B9"/>
    <w:rsid w:val="000838AF"/>
    <w:rsid w:val="0008392A"/>
    <w:rsid w:val="00083B27"/>
    <w:rsid w:val="0008440F"/>
    <w:rsid w:val="000848BC"/>
    <w:rsid w:val="00084B0B"/>
    <w:rsid w:val="00085151"/>
    <w:rsid w:val="000854CE"/>
    <w:rsid w:val="000855BF"/>
    <w:rsid w:val="0008563F"/>
    <w:rsid w:val="00085910"/>
    <w:rsid w:val="00085CBE"/>
    <w:rsid w:val="000860C6"/>
    <w:rsid w:val="00086E19"/>
    <w:rsid w:val="00086EB7"/>
    <w:rsid w:val="00087682"/>
    <w:rsid w:val="000878EF"/>
    <w:rsid w:val="00087AB3"/>
    <w:rsid w:val="00087D26"/>
    <w:rsid w:val="000904BE"/>
    <w:rsid w:val="0009073A"/>
    <w:rsid w:val="00090CC7"/>
    <w:rsid w:val="00090DC1"/>
    <w:rsid w:val="00090FDC"/>
    <w:rsid w:val="000910E1"/>
    <w:rsid w:val="00091554"/>
    <w:rsid w:val="00091662"/>
    <w:rsid w:val="0009185C"/>
    <w:rsid w:val="00091A67"/>
    <w:rsid w:val="000920A7"/>
    <w:rsid w:val="000920F4"/>
    <w:rsid w:val="00092422"/>
    <w:rsid w:val="00092727"/>
    <w:rsid w:val="00092A73"/>
    <w:rsid w:val="00092CB2"/>
    <w:rsid w:val="00092E4E"/>
    <w:rsid w:val="00093362"/>
    <w:rsid w:val="000936CD"/>
    <w:rsid w:val="00093D2D"/>
    <w:rsid w:val="0009450A"/>
    <w:rsid w:val="00094C5D"/>
    <w:rsid w:val="00094D0B"/>
    <w:rsid w:val="0009510B"/>
    <w:rsid w:val="00095159"/>
    <w:rsid w:val="000951DA"/>
    <w:rsid w:val="00095A07"/>
    <w:rsid w:val="00095C14"/>
    <w:rsid w:val="00095E98"/>
    <w:rsid w:val="0009606F"/>
    <w:rsid w:val="00096263"/>
    <w:rsid w:val="0009636D"/>
    <w:rsid w:val="000963EC"/>
    <w:rsid w:val="000968E8"/>
    <w:rsid w:val="00096FBC"/>
    <w:rsid w:val="0009701B"/>
    <w:rsid w:val="00097930"/>
    <w:rsid w:val="00097AD6"/>
    <w:rsid w:val="00097C04"/>
    <w:rsid w:val="000A03AB"/>
    <w:rsid w:val="000A05B4"/>
    <w:rsid w:val="000A162A"/>
    <w:rsid w:val="000A166B"/>
    <w:rsid w:val="000A1792"/>
    <w:rsid w:val="000A1B66"/>
    <w:rsid w:val="000A1B8A"/>
    <w:rsid w:val="000A1C4D"/>
    <w:rsid w:val="000A1DC0"/>
    <w:rsid w:val="000A2469"/>
    <w:rsid w:val="000A2630"/>
    <w:rsid w:val="000A2FCC"/>
    <w:rsid w:val="000A354D"/>
    <w:rsid w:val="000A369A"/>
    <w:rsid w:val="000A37CF"/>
    <w:rsid w:val="000A3BE3"/>
    <w:rsid w:val="000A47A6"/>
    <w:rsid w:val="000A51F0"/>
    <w:rsid w:val="000A53F2"/>
    <w:rsid w:val="000A5437"/>
    <w:rsid w:val="000A5552"/>
    <w:rsid w:val="000A59E3"/>
    <w:rsid w:val="000A62B0"/>
    <w:rsid w:val="000A6302"/>
    <w:rsid w:val="000A64E2"/>
    <w:rsid w:val="000A67F3"/>
    <w:rsid w:val="000A6C7C"/>
    <w:rsid w:val="000A75A9"/>
    <w:rsid w:val="000A764D"/>
    <w:rsid w:val="000A77B3"/>
    <w:rsid w:val="000A77F1"/>
    <w:rsid w:val="000A7A9C"/>
    <w:rsid w:val="000A7B1B"/>
    <w:rsid w:val="000A7C87"/>
    <w:rsid w:val="000A7E9C"/>
    <w:rsid w:val="000B0112"/>
    <w:rsid w:val="000B04CB"/>
    <w:rsid w:val="000B04CF"/>
    <w:rsid w:val="000B0A59"/>
    <w:rsid w:val="000B0E90"/>
    <w:rsid w:val="000B173F"/>
    <w:rsid w:val="000B1B8A"/>
    <w:rsid w:val="000B2017"/>
    <w:rsid w:val="000B2043"/>
    <w:rsid w:val="000B20B3"/>
    <w:rsid w:val="000B24E8"/>
    <w:rsid w:val="000B26EA"/>
    <w:rsid w:val="000B2A45"/>
    <w:rsid w:val="000B2A4D"/>
    <w:rsid w:val="000B2B28"/>
    <w:rsid w:val="000B2E99"/>
    <w:rsid w:val="000B329E"/>
    <w:rsid w:val="000B4300"/>
    <w:rsid w:val="000B4809"/>
    <w:rsid w:val="000B493B"/>
    <w:rsid w:val="000B4F8A"/>
    <w:rsid w:val="000B581D"/>
    <w:rsid w:val="000B5B00"/>
    <w:rsid w:val="000B5CC3"/>
    <w:rsid w:val="000B5E6F"/>
    <w:rsid w:val="000B6127"/>
    <w:rsid w:val="000B67A3"/>
    <w:rsid w:val="000B68F6"/>
    <w:rsid w:val="000B69EF"/>
    <w:rsid w:val="000B6DDB"/>
    <w:rsid w:val="000B7179"/>
    <w:rsid w:val="000B759F"/>
    <w:rsid w:val="000B7B6C"/>
    <w:rsid w:val="000B7D1E"/>
    <w:rsid w:val="000B7DF5"/>
    <w:rsid w:val="000B7F47"/>
    <w:rsid w:val="000C02F2"/>
    <w:rsid w:val="000C0D3A"/>
    <w:rsid w:val="000C0D8E"/>
    <w:rsid w:val="000C10EE"/>
    <w:rsid w:val="000C113E"/>
    <w:rsid w:val="000C226F"/>
    <w:rsid w:val="000C244F"/>
    <w:rsid w:val="000C2582"/>
    <w:rsid w:val="000C3394"/>
    <w:rsid w:val="000C33A3"/>
    <w:rsid w:val="000C3DD4"/>
    <w:rsid w:val="000C40D2"/>
    <w:rsid w:val="000C4173"/>
    <w:rsid w:val="000C435A"/>
    <w:rsid w:val="000C4774"/>
    <w:rsid w:val="000C4D6B"/>
    <w:rsid w:val="000C545D"/>
    <w:rsid w:val="000C58D0"/>
    <w:rsid w:val="000C59D9"/>
    <w:rsid w:val="000C5C09"/>
    <w:rsid w:val="000C5D2F"/>
    <w:rsid w:val="000C607F"/>
    <w:rsid w:val="000C62DC"/>
    <w:rsid w:val="000C687E"/>
    <w:rsid w:val="000C6A72"/>
    <w:rsid w:val="000C6D57"/>
    <w:rsid w:val="000C6D9C"/>
    <w:rsid w:val="000C6ED8"/>
    <w:rsid w:val="000C74F6"/>
    <w:rsid w:val="000C7661"/>
    <w:rsid w:val="000C7D67"/>
    <w:rsid w:val="000D00A0"/>
    <w:rsid w:val="000D01C7"/>
    <w:rsid w:val="000D05F6"/>
    <w:rsid w:val="000D0777"/>
    <w:rsid w:val="000D0CDF"/>
    <w:rsid w:val="000D0D81"/>
    <w:rsid w:val="000D170A"/>
    <w:rsid w:val="000D19AB"/>
    <w:rsid w:val="000D1B6F"/>
    <w:rsid w:val="000D1C6C"/>
    <w:rsid w:val="000D1DCE"/>
    <w:rsid w:val="000D1E98"/>
    <w:rsid w:val="000D2069"/>
    <w:rsid w:val="000D2575"/>
    <w:rsid w:val="000D2627"/>
    <w:rsid w:val="000D27C8"/>
    <w:rsid w:val="000D281E"/>
    <w:rsid w:val="000D2839"/>
    <w:rsid w:val="000D2D78"/>
    <w:rsid w:val="000D42C8"/>
    <w:rsid w:val="000D43E8"/>
    <w:rsid w:val="000D52FA"/>
    <w:rsid w:val="000D583A"/>
    <w:rsid w:val="000D5ED4"/>
    <w:rsid w:val="000D625D"/>
    <w:rsid w:val="000D6B36"/>
    <w:rsid w:val="000D6E69"/>
    <w:rsid w:val="000D6F6A"/>
    <w:rsid w:val="000D7604"/>
    <w:rsid w:val="000D783C"/>
    <w:rsid w:val="000D79D3"/>
    <w:rsid w:val="000D7E64"/>
    <w:rsid w:val="000D7F1B"/>
    <w:rsid w:val="000E01A8"/>
    <w:rsid w:val="000E0360"/>
    <w:rsid w:val="000E04F6"/>
    <w:rsid w:val="000E076B"/>
    <w:rsid w:val="000E0921"/>
    <w:rsid w:val="000E0B96"/>
    <w:rsid w:val="000E1371"/>
    <w:rsid w:val="000E170A"/>
    <w:rsid w:val="000E1817"/>
    <w:rsid w:val="000E2015"/>
    <w:rsid w:val="000E2114"/>
    <w:rsid w:val="000E2215"/>
    <w:rsid w:val="000E2307"/>
    <w:rsid w:val="000E2604"/>
    <w:rsid w:val="000E2611"/>
    <w:rsid w:val="000E2748"/>
    <w:rsid w:val="000E28DD"/>
    <w:rsid w:val="000E2AF6"/>
    <w:rsid w:val="000E2E1A"/>
    <w:rsid w:val="000E2F48"/>
    <w:rsid w:val="000E314F"/>
    <w:rsid w:val="000E3732"/>
    <w:rsid w:val="000E374A"/>
    <w:rsid w:val="000E40E5"/>
    <w:rsid w:val="000E429C"/>
    <w:rsid w:val="000E4700"/>
    <w:rsid w:val="000E4AA5"/>
    <w:rsid w:val="000E4C54"/>
    <w:rsid w:val="000E4FBD"/>
    <w:rsid w:val="000E5353"/>
    <w:rsid w:val="000E55D0"/>
    <w:rsid w:val="000E56A6"/>
    <w:rsid w:val="000E571B"/>
    <w:rsid w:val="000E5C4F"/>
    <w:rsid w:val="000E6244"/>
    <w:rsid w:val="000E6693"/>
    <w:rsid w:val="000E6BCC"/>
    <w:rsid w:val="000E6CCF"/>
    <w:rsid w:val="000E70F8"/>
    <w:rsid w:val="000E736B"/>
    <w:rsid w:val="000E74A1"/>
    <w:rsid w:val="000E7E98"/>
    <w:rsid w:val="000F0425"/>
    <w:rsid w:val="000F0AA2"/>
    <w:rsid w:val="000F0E44"/>
    <w:rsid w:val="000F124A"/>
    <w:rsid w:val="000F1495"/>
    <w:rsid w:val="000F16EB"/>
    <w:rsid w:val="000F1AA4"/>
    <w:rsid w:val="000F29DE"/>
    <w:rsid w:val="000F2C4C"/>
    <w:rsid w:val="000F2C8D"/>
    <w:rsid w:val="000F30C0"/>
    <w:rsid w:val="000F3134"/>
    <w:rsid w:val="000F31AE"/>
    <w:rsid w:val="000F332C"/>
    <w:rsid w:val="000F39F6"/>
    <w:rsid w:val="000F3A1B"/>
    <w:rsid w:val="000F3A24"/>
    <w:rsid w:val="000F3B0C"/>
    <w:rsid w:val="000F469A"/>
    <w:rsid w:val="000F49A7"/>
    <w:rsid w:val="000F4A74"/>
    <w:rsid w:val="000F4F98"/>
    <w:rsid w:val="000F5529"/>
    <w:rsid w:val="000F5945"/>
    <w:rsid w:val="000F6194"/>
    <w:rsid w:val="000F64D0"/>
    <w:rsid w:val="000F6715"/>
    <w:rsid w:val="000F6886"/>
    <w:rsid w:val="000F694F"/>
    <w:rsid w:val="000F6FB5"/>
    <w:rsid w:val="000F70FF"/>
    <w:rsid w:val="000F7A38"/>
    <w:rsid w:val="000F7B73"/>
    <w:rsid w:val="000F7C25"/>
    <w:rsid w:val="000F7DDB"/>
    <w:rsid w:val="0010049B"/>
    <w:rsid w:val="00100EA0"/>
    <w:rsid w:val="0010105F"/>
    <w:rsid w:val="001012D8"/>
    <w:rsid w:val="00101714"/>
    <w:rsid w:val="0010186B"/>
    <w:rsid w:val="00101F41"/>
    <w:rsid w:val="001025ED"/>
    <w:rsid w:val="001028C9"/>
    <w:rsid w:val="00102A56"/>
    <w:rsid w:val="00102AF8"/>
    <w:rsid w:val="00102B21"/>
    <w:rsid w:val="00102D80"/>
    <w:rsid w:val="00102E0C"/>
    <w:rsid w:val="00103464"/>
    <w:rsid w:val="00103AB8"/>
    <w:rsid w:val="00103CC2"/>
    <w:rsid w:val="00103EE3"/>
    <w:rsid w:val="00103FF7"/>
    <w:rsid w:val="00104273"/>
    <w:rsid w:val="00104786"/>
    <w:rsid w:val="00104E5F"/>
    <w:rsid w:val="00105091"/>
    <w:rsid w:val="001051CE"/>
    <w:rsid w:val="00105C77"/>
    <w:rsid w:val="00105E48"/>
    <w:rsid w:val="001061F9"/>
    <w:rsid w:val="00106503"/>
    <w:rsid w:val="00106848"/>
    <w:rsid w:val="001070E9"/>
    <w:rsid w:val="00107223"/>
    <w:rsid w:val="0010757A"/>
    <w:rsid w:val="00107AF4"/>
    <w:rsid w:val="001100B0"/>
    <w:rsid w:val="00110123"/>
    <w:rsid w:val="001101BD"/>
    <w:rsid w:val="001102A5"/>
    <w:rsid w:val="001102E4"/>
    <w:rsid w:val="001105F0"/>
    <w:rsid w:val="00110684"/>
    <w:rsid w:val="001106DD"/>
    <w:rsid w:val="001107E9"/>
    <w:rsid w:val="00110953"/>
    <w:rsid w:val="00110A63"/>
    <w:rsid w:val="00110E63"/>
    <w:rsid w:val="00111FA7"/>
    <w:rsid w:val="00112042"/>
    <w:rsid w:val="001120D6"/>
    <w:rsid w:val="00112C35"/>
    <w:rsid w:val="00112EBC"/>
    <w:rsid w:val="0011307A"/>
    <w:rsid w:val="00113245"/>
    <w:rsid w:val="00113260"/>
    <w:rsid w:val="001136F3"/>
    <w:rsid w:val="00113C79"/>
    <w:rsid w:val="001141A3"/>
    <w:rsid w:val="001145F9"/>
    <w:rsid w:val="00114B8B"/>
    <w:rsid w:val="00114E2F"/>
    <w:rsid w:val="00114E31"/>
    <w:rsid w:val="00114F4F"/>
    <w:rsid w:val="00115D2A"/>
    <w:rsid w:val="00115F49"/>
    <w:rsid w:val="00116267"/>
    <w:rsid w:val="001165F7"/>
    <w:rsid w:val="0011674D"/>
    <w:rsid w:val="00116D92"/>
    <w:rsid w:val="00116DD6"/>
    <w:rsid w:val="001170E6"/>
    <w:rsid w:val="0011779D"/>
    <w:rsid w:val="0012006C"/>
    <w:rsid w:val="001202B6"/>
    <w:rsid w:val="00120A70"/>
    <w:rsid w:val="00120D5B"/>
    <w:rsid w:val="00120D5D"/>
    <w:rsid w:val="00121104"/>
    <w:rsid w:val="00121234"/>
    <w:rsid w:val="00121489"/>
    <w:rsid w:val="001219B1"/>
    <w:rsid w:val="00121A37"/>
    <w:rsid w:val="001221BA"/>
    <w:rsid w:val="001227DF"/>
    <w:rsid w:val="0012299F"/>
    <w:rsid w:val="001229C4"/>
    <w:rsid w:val="00122C13"/>
    <w:rsid w:val="00123653"/>
    <w:rsid w:val="00123A38"/>
    <w:rsid w:val="00123DC0"/>
    <w:rsid w:val="00123FF4"/>
    <w:rsid w:val="001244D8"/>
    <w:rsid w:val="00124663"/>
    <w:rsid w:val="00124DE0"/>
    <w:rsid w:val="001253D1"/>
    <w:rsid w:val="00125A98"/>
    <w:rsid w:val="00125CB8"/>
    <w:rsid w:val="00125CEF"/>
    <w:rsid w:val="00126527"/>
    <w:rsid w:val="00126532"/>
    <w:rsid w:val="001267E5"/>
    <w:rsid w:val="001270F4"/>
    <w:rsid w:val="0012711E"/>
    <w:rsid w:val="001272CF"/>
    <w:rsid w:val="00127759"/>
    <w:rsid w:val="001277A9"/>
    <w:rsid w:val="00127A9E"/>
    <w:rsid w:val="00127E11"/>
    <w:rsid w:val="0013028C"/>
    <w:rsid w:val="001302BF"/>
    <w:rsid w:val="00130425"/>
    <w:rsid w:val="0013049F"/>
    <w:rsid w:val="001304D9"/>
    <w:rsid w:val="00130AAC"/>
    <w:rsid w:val="00130BA7"/>
    <w:rsid w:val="00130DB9"/>
    <w:rsid w:val="00130EF9"/>
    <w:rsid w:val="001310B8"/>
    <w:rsid w:val="0013145F"/>
    <w:rsid w:val="001315E7"/>
    <w:rsid w:val="00131B50"/>
    <w:rsid w:val="00131E34"/>
    <w:rsid w:val="0013213C"/>
    <w:rsid w:val="00132500"/>
    <w:rsid w:val="00132C34"/>
    <w:rsid w:val="00132E61"/>
    <w:rsid w:val="0013302F"/>
    <w:rsid w:val="00133042"/>
    <w:rsid w:val="001330AA"/>
    <w:rsid w:val="001332FC"/>
    <w:rsid w:val="001334F8"/>
    <w:rsid w:val="0013364A"/>
    <w:rsid w:val="00133B53"/>
    <w:rsid w:val="00133DDD"/>
    <w:rsid w:val="0013407E"/>
    <w:rsid w:val="00134090"/>
    <w:rsid w:val="001342B9"/>
    <w:rsid w:val="00134738"/>
    <w:rsid w:val="001348B7"/>
    <w:rsid w:val="00134EAE"/>
    <w:rsid w:val="00136014"/>
    <w:rsid w:val="001362AA"/>
    <w:rsid w:val="001370F3"/>
    <w:rsid w:val="001374E9"/>
    <w:rsid w:val="00137671"/>
    <w:rsid w:val="001376C3"/>
    <w:rsid w:val="001377AB"/>
    <w:rsid w:val="00137E29"/>
    <w:rsid w:val="00140505"/>
    <w:rsid w:val="00140E5C"/>
    <w:rsid w:val="001418E1"/>
    <w:rsid w:val="001419D3"/>
    <w:rsid w:val="00142609"/>
    <w:rsid w:val="001427B1"/>
    <w:rsid w:val="0014280F"/>
    <w:rsid w:val="00142F36"/>
    <w:rsid w:val="00143D84"/>
    <w:rsid w:val="00143DD8"/>
    <w:rsid w:val="00143E93"/>
    <w:rsid w:val="0014456D"/>
    <w:rsid w:val="00144681"/>
    <w:rsid w:val="0014495A"/>
    <w:rsid w:val="00144D93"/>
    <w:rsid w:val="00144DBD"/>
    <w:rsid w:val="00144EF3"/>
    <w:rsid w:val="00145194"/>
    <w:rsid w:val="00145518"/>
    <w:rsid w:val="0014557A"/>
    <w:rsid w:val="0014569B"/>
    <w:rsid w:val="00145700"/>
    <w:rsid w:val="00145772"/>
    <w:rsid w:val="00145832"/>
    <w:rsid w:val="0014590C"/>
    <w:rsid w:val="00145A96"/>
    <w:rsid w:val="001460EF"/>
    <w:rsid w:val="00146183"/>
    <w:rsid w:val="0014662D"/>
    <w:rsid w:val="00146680"/>
    <w:rsid w:val="00146A18"/>
    <w:rsid w:val="00146CBE"/>
    <w:rsid w:val="00146FB6"/>
    <w:rsid w:val="001474C4"/>
    <w:rsid w:val="001475D2"/>
    <w:rsid w:val="00147C31"/>
    <w:rsid w:val="00150084"/>
    <w:rsid w:val="001500B2"/>
    <w:rsid w:val="00150190"/>
    <w:rsid w:val="00151264"/>
    <w:rsid w:val="00151792"/>
    <w:rsid w:val="0015191E"/>
    <w:rsid w:val="00151CBF"/>
    <w:rsid w:val="00151DCD"/>
    <w:rsid w:val="001520E4"/>
    <w:rsid w:val="001522C2"/>
    <w:rsid w:val="001522ED"/>
    <w:rsid w:val="0015252F"/>
    <w:rsid w:val="0015281F"/>
    <w:rsid w:val="00152F92"/>
    <w:rsid w:val="00154AF3"/>
    <w:rsid w:val="00155053"/>
    <w:rsid w:val="001550BB"/>
    <w:rsid w:val="00155528"/>
    <w:rsid w:val="00155907"/>
    <w:rsid w:val="001563D1"/>
    <w:rsid w:val="00156805"/>
    <w:rsid w:val="00157781"/>
    <w:rsid w:val="00157A96"/>
    <w:rsid w:val="00157DBB"/>
    <w:rsid w:val="00157DCD"/>
    <w:rsid w:val="00157DDC"/>
    <w:rsid w:val="00157F70"/>
    <w:rsid w:val="001600AB"/>
    <w:rsid w:val="0016094E"/>
    <w:rsid w:val="00160CD3"/>
    <w:rsid w:val="00160DFA"/>
    <w:rsid w:val="00160E1F"/>
    <w:rsid w:val="00161E37"/>
    <w:rsid w:val="00161E94"/>
    <w:rsid w:val="001621C5"/>
    <w:rsid w:val="0016235F"/>
    <w:rsid w:val="001624E9"/>
    <w:rsid w:val="00162600"/>
    <w:rsid w:val="00162734"/>
    <w:rsid w:val="00162951"/>
    <w:rsid w:val="00162BA3"/>
    <w:rsid w:val="00162E6F"/>
    <w:rsid w:val="00162F8B"/>
    <w:rsid w:val="001638AE"/>
    <w:rsid w:val="001647A9"/>
    <w:rsid w:val="0016483C"/>
    <w:rsid w:val="00164904"/>
    <w:rsid w:val="00164B97"/>
    <w:rsid w:val="00164C05"/>
    <w:rsid w:val="00164F6C"/>
    <w:rsid w:val="00165394"/>
    <w:rsid w:val="00165AA2"/>
    <w:rsid w:val="00165F2F"/>
    <w:rsid w:val="00166450"/>
    <w:rsid w:val="00166B2C"/>
    <w:rsid w:val="00166C02"/>
    <w:rsid w:val="00166D88"/>
    <w:rsid w:val="00166F5D"/>
    <w:rsid w:val="00166FE7"/>
    <w:rsid w:val="001676FE"/>
    <w:rsid w:val="00167ADF"/>
    <w:rsid w:val="00167F7A"/>
    <w:rsid w:val="001701E0"/>
    <w:rsid w:val="001702D1"/>
    <w:rsid w:val="001709FA"/>
    <w:rsid w:val="00170B1E"/>
    <w:rsid w:val="00170D6C"/>
    <w:rsid w:val="00171142"/>
    <w:rsid w:val="00171226"/>
    <w:rsid w:val="0017152A"/>
    <w:rsid w:val="0017185B"/>
    <w:rsid w:val="00171AC8"/>
    <w:rsid w:val="00172628"/>
    <w:rsid w:val="001726E1"/>
    <w:rsid w:val="00172B41"/>
    <w:rsid w:val="0017350E"/>
    <w:rsid w:val="00173B80"/>
    <w:rsid w:val="001742A8"/>
    <w:rsid w:val="0017512A"/>
    <w:rsid w:val="00175410"/>
    <w:rsid w:val="00175735"/>
    <w:rsid w:val="00175AE7"/>
    <w:rsid w:val="00175AF5"/>
    <w:rsid w:val="00175CDF"/>
    <w:rsid w:val="00175ED5"/>
    <w:rsid w:val="00176630"/>
    <w:rsid w:val="001768FE"/>
    <w:rsid w:val="00177DA5"/>
    <w:rsid w:val="001803B6"/>
    <w:rsid w:val="001806E2"/>
    <w:rsid w:val="001806F1"/>
    <w:rsid w:val="00180D77"/>
    <w:rsid w:val="001811CE"/>
    <w:rsid w:val="001814D5"/>
    <w:rsid w:val="00181C3B"/>
    <w:rsid w:val="00181F6C"/>
    <w:rsid w:val="0018262C"/>
    <w:rsid w:val="001826B4"/>
    <w:rsid w:val="00182741"/>
    <w:rsid w:val="001827F4"/>
    <w:rsid w:val="00182EFB"/>
    <w:rsid w:val="00182F34"/>
    <w:rsid w:val="001830D9"/>
    <w:rsid w:val="00183211"/>
    <w:rsid w:val="00183279"/>
    <w:rsid w:val="00183399"/>
    <w:rsid w:val="00183421"/>
    <w:rsid w:val="00183B2D"/>
    <w:rsid w:val="00184464"/>
    <w:rsid w:val="001848D1"/>
    <w:rsid w:val="00184FB4"/>
    <w:rsid w:val="001850B5"/>
    <w:rsid w:val="0018560D"/>
    <w:rsid w:val="00185E92"/>
    <w:rsid w:val="00186208"/>
    <w:rsid w:val="001862D0"/>
    <w:rsid w:val="00186BDE"/>
    <w:rsid w:val="00187115"/>
    <w:rsid w:val="00187118"/>
    <w:rsid w:val="00187615"/>
    <w:rsid w:val="0018791B"/>
    <w:rsid w:val="001879A3"/>
    <w:rsid w:val="00187A60"/>
    <w:rsid w:val="00187A95"/>
    <w:rsid w:val="00187AD4"/>
    <w:rsid w:val="00187BBC"/>
    <w:rsid w:val="00187CF8"/>
    <w:rsid w:val="00187D17"/>
    <w:rsid w:val="00187D51"/>
    <w:rsid w:val="00187E9F"/>
    <w:rsid w:val="001901C7"/>
    <w:rsid w:val="00190545"/>
    <w:rsid w:val="001905BA"/>
    <w:rsid w:val="00190F4A"/>
    <w:rsid w:val="001910BD"/>
    <w:rsid w:val="0019164E"/>
    <w:rsid w:val="001918FE"/>
    <w:rsid w:val="00191A85"/>
    <w:rsid w:val="00191F03"/>
    <w:rsid w:val="001921E7"/>
    <w:rsid w:val="00192200"/>
    <w:rsid w:val="0019231F"/>
    <w:rsid w:val="001923E3"/>
    <w:rsid w:val="0019286A"/>
    <w:rsid w:val="00192E85"/>
    <w:rsid w:val="00193F08"/>
    <w:rsid w:val="001941C2"/>
    <w:rsid w:val="001941C7"/>
    <w:rsid w:val="001942F7"/>
    <w:rsid w:val="00194680"/>
    <w:rsid w:val="00195209"/>
    <w:rsid w:val="00195312"/>
    <w:rsid w:val="001958E3"/>
    <w:rsid w:val="00195912"/>
    <w:rsid w:val="00196669"/>
    <w:rsid w:val="001967C9"/>
    <w:rsid w:val="00196BE0"/>
    <w:rsid w:val="001970D7"/>
    <w:rsid w:val="00197118"/>
    <w:rsid w:val="00197414"/>
    <w:rsid w:val="001974DD"/>
    <w:rsid w:val="001976DD"/>
    <w:rsid w:val="001978C5"/>
    <w:rsid w:val="00197A95"/>
    <w:rsid w:val="00197B54"/>
    <w:rsid w:val="00197DA4"/>
    <w:rsid w:val="00197EDD"/>
    <w:rsid w:val="001A0000"/>
    <w:rsid w:val="001A0AFF"/>
    <w:rsid w:val="001A0B50"/>
    <w:rsid w:val="001A1045"/>
    <w:rsid w:val="001A134B"/>
    <w:rsid w:val="001A15E5"/>
    <w:rsid w:val="001A164F"/>
    <w:rsid w:val="001A1F5F"/>
    <w:rsid w:val="001A2478"/>
    <w:rsid w:val="001A265E"/>
    <w:rsid w:val="001A2DA7"/>
    <w:rsid w:val="001A2DD1"/>
    <w:rsid w:val="001A2F2A"/>
    <w:rsid w:val="001A31C3"/>
    <w:rsid w:val="001A32AF"/>
    <w:rsid w:val="001A36CF"/>
    <w:rsid w:val="001A3BB8"/>
    <w:rsid w:val="001A4218"/>
    <w:rsid w:val="001A43B7"/>
    <w:rsid w:val="001A4BE4"/>
    <w:rsid w:val="001A5025"/>
    <w:rsid w:val="001A5028"/>
    <w:rsid w:val="001A50BB"/>
    <w:rsid w:val="001A50BC"/>
    <w:rsid w:val="001A5437"/>
    <w:rsid w:val="001A5542"/>
    <w:rsid w:val="001A57BD"/>
    <w:rsid w:val="001A5B51"/>
    <w:rsid w:val="001A615B"/>
    <w:rsid w:val="001A6493"/>
    <w:rsid w:val="001A64DA"/>
    <w:rsid w:val="001A6938"/>
    <w:rsid w:val="001A6C5F"/>
    <w:rsid w:val="001A6C70"/>
    <w:rsid w:val="001A6D29"/>
    <w:rsid w:val="001A6DB3"/>
    <w:rsid w:val="001A728C"/>
    <w:rsid w:val="001A7305"/>
    <w:rsid w:val="001A75A3"/>
    <w:rsid w:val="001B0632"/>
    <w:rsid w:val="001B07E0"/>
    <w:rsid w:val="001B0980"/>
    <w:rsid w:val="001B0DE0"/>
    <w:rsid w:val="001B1333"/>
    <w:rsid w:val="001B1490"/>
    <w:rsid w:val="001B18B7"/>
    <w:rsid w:val="001B1A90"/>
    <w:rsid w:val="001B1A91"/>
    <w:rsid w:val="001B1C22"/>
    <w:rsid w:val="001B2198"/>
    <w:rsid w:val="001B252A"/>
    <w:rsid w:val="001B273A"/>
    <w:rsid w:val="001B2F54"/>
    <w:rsid w:val="001B3101"/>
    <w:rsid w:val="001B34BB"/>
    <w:rsid w:val="001B39EB"/>
    <w:rsid w:val="001B3A0D"/>
    <w:rsid w:val="001B3E25"/>
    <w:rsid w:val="001B3EAD"/>
    <w:rsid w:val="001B3F40"/>
    <w:rsid w:val="001B41FF"/>
    <w:rsid w:val="001B43CC"/>
    <w:rsid w:val="001B449A"/>
    <w:rsid w:val="001B44B8"/>
    <w:rsid w:val="001B4C39"/>
    <w:rsid w:val="001B4C81"/>
    <w:rsid w:val="001B4D3C"/>
    <w:rsid w:val="001B4F2E"/>
    <w:rsid w:val="001B4F87"/>
    <w:rsid w:val="001B52C9"/>
    <w:rsid w:val="001B5455"/>
    <w:rsid w:val="001B5653"/>
    <w:rsid w:val="001B59BD"/>
    <w:rsid w:val="001B5E5A"/>
    <w:rsid w:val="001B5F1A"/>
    <w:rsid w:val="001B61A7"/>
    <w:rsid w:val="001B664E"/>
    <w:rsid w:val="001B6B60"/>
    <w:rsid w:val="001B6C0C"/>
    <w:rsid w:val="001B6D72"/>
    <w:rsid w:val="001B79D7"/>
    <w:rsid w:val="001B7C46"/>
    <w:rsid w:val="001B7CBD"/>
    <w:rsid w:val="001B7CDF"/>
    <w:rsid w:val="001B7FF0"/>
    <w:rsid w:val="001C039D"/>
    <w:rsid w:val="001C0413"/>
    <w:rsid w:val="001C04AC"/>
    <w:rsid w:val="001C0503"/>
    <w:rsid w:val="001C0572"/>
    <w:rsid w:val="001C0969"/>
    <w:rsid w:val="001C0E47"/>
    <w:rsid w:val="001C0ECF"/>
    <w:rsid w:val="001C10CC"/>
    <w:rsid w:val="001C120D"/>
    <w:rsid w:val="001C161E"/>
    <w:rsid w:val="001C17FA"/>
    <w:rsid w:val="001C17FF"/>
    <w:rsid w:val="001C1FFA"/>
    <w:rsid w:val="001C2014"/>
    <w:rsid w:val="001C2814"/>
    <w:rsid w:val="001C2ACE"/>
    <w:rsid w:val="001C2E95"/>
    <w:rsid w:val="001C326D"/>
    <w:rsid w:val="001C331F"/>
    <w:rsid w:val="001C4253"/>
    <w:rsid w:val="001C497D"/>
    <w:rsid w:val="001C51B8"/>
    <w:rsid w:val="001C5F93"/>
    <w:rsid w:val="001C6186"/>
    <w:rsid w:val="001C664D"/>
    <w:rsid w:val="001C681C"/>
    <w:rsid w:val="001C70C6"/>
    <w:rsid w:val="001C7549"/>
    <w:rsid w:val="001C7630"/>
    <w:rsid w:val="001C77B8"/>
    <w:rsid w:val="001C78C5"/>
    <w:rsid w:val="001C7EAA"/>
    <w:rsid w:val="001D042E"/>
    <w:rsid w:val="001D064A"/>
    <w:rsid w:val="001D12E7"/>
    <w:rsid w:val="001D13AD"/>
    <w:rsid w:val="001D1949"/>
    <w:rsid w:val="001D25B2"/>
    <w:rsid w:val="001D274C"/>
    <w:rsid w:val="001D307D"/>
    <w:rsid w:val="001D31A4"/>
    <w:rsid w:val="001D3787"/>
    <w:rsid w:val="001D3882"/>
    <w:rsid w:val="001D4400"/>
    <w:rsid w:val="001D44AA"/>
    <w:rsid w:val="001D4585"/>
    <w:rsid w:val="001D5049"/>
    <w:rsid w:val="001D53BF"/>
    <w:rsid w:val="001D576F"/>
    <w:rsid w:val="001D599E"/>
    <w:rsid w:val="001D5AD0"/>
    <w:rsid w:val="001D5B94"/>
    <w:rsid w:val="001D5E09"/>
    <w:rsid w:val="001D642C"/>
    <w:rsid w:val="001D6658"/>
    <w:rsid w:val="001D67C0"/>
    <w:rsid w:val="001D68AD"/>
    <w:rsid w:val="001D6908"/>
    <w:rsid w:val="001D73CB"/>
    <w:rsid w:val="001D7706"/>
    <w:rsid w:val="001D7876"/>
    <w:rsid w:val="001D7929"/>
    <w:rsid w:val="001E000F"/>
    <w:rsid w:val="001E0409"/>
    <w:rsid w:val="001E0418"/>
    <w:rsid w:val="001E098A"/>
    <w:rsid w:val="001E0C14"/>
    <w:rsid w:val="001E1004"/>
    <w:rsid w:val="001E11D5"/>
    <w:rsid w:val="001E13F0"/>
    <w:rsid w:val="001E1479"/>
    <w:rsid w:val="001E18DC"/>
    <w:rsid w:val="001E1973"/>
    <w:rsid w:val="001E1F2D"/>
    <w:rsid w:val="001E2249"/>
    <w:rsid w:val="001E27AC"/>
    <w:rsid w:val="001E2801"/>
    <w:rsid w:val="001E2B37"/>
    <w:rsid w:val="001E2BF9"/>
    <w:rsid w:val="001E2CE4"/>
    <w:rsid w:val="001E2E22"/>
    <w:rsid w:val="001E3B68"/>
    <w:rsid w:val="001E421F"/>
    <w:rsid w:val="001E44F9"/>
    <w:rsid w:val="001E4EE9"/>
    <w:rsid w:val="001E4FC2"/>
    <w:rsid w:val="001E5971"/>
    <w:rsid w:val="001E64C4"/>
    <w:rsid w:val="001E6874"/>
    <w:rsid w:val="001E6A24"/>
    <w:rsid w:val="001E6D17"/>
    <w:rsid w:val="001E711F"/>
    <w:rsid w:val="001E7131"/>
    <w:rsid w:val="001E7315"/>
    <w:rsid w:val="001E7485"/>
    <w:rsid w:val="001E7611"/>
    <w:rsid w:val="001E766E"/>
    <w:rsid w:val="001E7C1A"/>
    <w:rsid w:val="001E7D50"/>
    <w:rsid w:val="001E7E9A"/>
    <w:rsid w:val="001F0373"/>
    <w:rsid w:val="001F041C"/>
    <w:rsid w:val="001F0443"/>
    <w:rsid w:val="001F04AA"/>
    <w:rsid w:val="001F07FD"/>
    <w:rsid w:val="001F09E0"/>
    <w:rsid w:val="001F0F04"/>
    <w:rsid w:val="001F0FCA"/>
    <w:rsid w:val="001F1076"/>
    <w:rsid w:val="001F117D"/>
    <w:rsid w:val="001F1270"/>
    <w:rsid w:val="001F180F"/>
    <w:rsid w:val="001F1D12"/>
    <w:rsid w:val="001F24C4"/>
    <w:rsid w:val="001F286F"/>
    <w:rsid w:val="001F293E"/>
    <w:rsid w:val="001F2C89"/>
    <w:rsid w:val="001F2DBC"/>
    <w:rsid w:val="001F3528"/>
    <w:rsid w:val="001F3F6F"/>
    <w:rsid w:val="001F4092"/>
    <w:rsid w:val="001F42A8"/>
    <w:rsid w:val="001F4429"/>
    <w:rsid w:val="001F4529"/>
    <w:rsid w:val="001F4A3A"/>
    <w:rsid w:val="001F4D9D"/>
    <w:rsid w:val="001F501A"/>
    <w:rsid w:val="001F5696"/>
    <w:rsid w:val="001F5B82"/>
    <w:rsid w:val="001F604D"/>
    <w:rsid w:val="001F6116"/>
    <w:rsid w:val="001F63D8"/>
    <w:rsid w:val="001F6529"/>
    <w:rsid w:val="001F65C3"/>
    <w:rsid w:val="001F6EA1"/>
    <w:rsid w:val="001F77CC"/>
    <w:rsid w:val="00200403"/>
    <w:rsid w:val="0020075C"/>
    <w:rsid w:val="00200ED0"/>
    <w:rsid w:val="002010D5"/>
    <w:rsid w:val="00201581"/>
    <w:rsid w:val="0020173F"/>
    <w:rsid w:val="00201A40"/>
    <w:rsid w:val="00201ADC"/>
    <w:rsid w:val="00201FE3"/>
    <w:rsid w:val="002024D9"/>
    <w:rsid w:val="00202D2D"/>
    <w:rsid w:val="0020358E"/>
    <w:rsid w:val="00203784"/>
    <w:rsid w:val="002037FB"/>
    <w:rsid w:val="00204ABA"/>
    <w:rsid w:val="00205328"/>
    <w:rsid w:val="002056DB"/>
    <w:rsid w:val="0020590F"/>
    <w:rsid w:val="00205EDE"/>
    <w:rsid w:val="0020717C"/>
    <w:rsid w:val="00207259"/>
    <w:rsid w:val="002072B7"/>
    <w:rsid w:val="002077E4"/>
    <w:rsid w:val="002079CE"/>
    <w:rsid w:val="00210265"/>
    <w:rsid w:val="0021036B"/>
    <w:rsid w:val="00210586"/>
    <w:rsid w:val="00210907"/>
    <w:rsid w:val="00211422"/>
    <w:rsid w:val="00211973"/>
    <w:rsid w:val="00211CF4"/>
    <w:rsid w:val="00211D2F"/>
    <w:rsid w:val="00212230"/>
    <w:rsid w:val="002127A9"/>
    <w:rsid w:val="00213415"/>
    <w:rsid w:val="00213418"/>
    <w:rsid w:val="00213D3D"/>
    <w:rsid w:val="00213E4F"/>
    <w:rsid w:val="002145B8"/>
    <w:rsid w:val="00215925"/>
    <w:rsid w:val="00216082"/>
    <w:rsid w:val="00216388"/>
    <w:rsid w:val="002167EE"/>
    <w:rsid w:val="0021681D"/>
    <w:rsid w:val="00216C4D"/>
    <w:rsid w:val="00216FCB"/>
    <w:rsid w:val="002172B8"/>
    <w:rsid w:val="0021779F"/>
    <w:rsid w:val="002179C4"/>
    <w:rsid w:val="00217D09"/>
    <w:rsid w:val="00217D2B"/>
    <w:rsid w:val="002200E5"/>
    <w:rsid w:val="002200ED"/>
    <w:rsid w:val="00220318"/>
    <w:rsid w:val="00220A7D"/>
    <w:rsid w:val="00220D8F"/>
    <w:rsid w:val="00220F9C"/>
    <w:rsid w:val="00221078"/>
    <w:rsid w:val="00221953"/>
    <w:rsid w:val="00221E34"/>
    <w:rsid w:val="002225B2"/>
    <w:rsid w:val="00223339"/>
    <w:rsid w:val="00223B3E"/>
    <w:rsid w:val="00223BFE"/>
    <w:rsid w:val="00223D6D"/>
    <w:rsid w:val="00223D87"/>
    <w:rsid w:val="00223E37"/>
    <w:rsid w:val="002240C1"/>
    <w:rsid w:val="002241DE"/>
    <w:rsid w:val="00224C9C"/>
    <w:rsid w:val="00225041"/>
    <w:rsid w:val="00225137"/>
    <w:rsid w:val="00225335"/>
    <w:rsid w:val="002253AF"/>
    <w:rsid w:val="00225601"/>
    <w:rsid w:val="002256BC"/>
    <w:rsid w:val="00225C28"/>
    <w:rsid w:val="00225FB6"/>
    <w:rsid w:val="00226292"/>
    <w:rsid w:val="00226A3D"/>
    <w:rsid w:val="00226ACC"/>
    <w:rsid w:val="00227F4B"/>
    <w:rsid w:val="00227F6B"/>
    <w:rsid w:val="002302AD"/>
    <w:rsid w:val="0023111B"/>
    <w:rsid w:val="00231159"/>
    <w:rsid w:val="002315CC"/>
    <w:rsid w:val="002316C6"/>
    <w:rsid w:val="002319CB"/>
    <w:rsid w:val="00231A63"/>
    <w:rsid w:val="00232284"/>
    <w:rsid w:val="002327BE"/>
    <w:rsid w:val="00232BCA"/>
    <w:rsid w:val="00233107"/>
    <w:rsid w:val="00233322"/>
    <w:rsid w:val="0023365C"/>
    <w:rsid w:val="00233CC5"/>
    <w:rsid w:val="00233EB8"/>
    <w:rsid w:val="00234381"/>
    <w:rsid w:val="00234480"/>
    <w:rsid w:val="002349AD"/>
    <w:rsid w:val="00234A13"/>
    <w:rsid w:val="00234BC3"/>
    <w:rsid w:val="00234E33"/>
    <w:rsid w:val="00234F1B"/>
    <w:rsid w:val="00235310"/>
    <w:rsid w:val="002353D6"/>
    <w:rsid w:val="00235677"/>
    <w:rsid w:val="00235B84"/>
    <w:rsid w:val="00235C1E"/>
    <w:rsid w:val="00235FB8"/>
    <w:rsid w:val="0023686F"/>
    <w:rsid w:val="00236986"/>
    <w:rsid w:val="00236BCF"/>
    <w:rsid w:val="00236CDD"/>
    <w:rsid w:val="00236E45"/>
    <w:rsid w:val="00237455"/>
    <w:rsid w:val="002378CC"/>
    <w:rsid w:val="002402E9"/>
    <w:rsid w:val="00240B1E"/>
    <w:rsid w:val="00240FCF"/>
    <w:rsid w:val="00241729"/>
    <w:rsid w:val="002418B7"/>
    <w:rsid w:val="00241944"/>
    <w:rsid w:val="00241C35"/>
    <w:rsid w:val="0024202E"/>
    <w:rsid w:val="002420CE"/>
    <w:rsid w:val="00242295"/>
    <w:rsid w:val="00242605"/>
    <w:rsid w:val="002427E9"/>
    <w:rsid w:val="0024296F"/>
    <w:rsid w:val="0024340F"/>
    <w:rsid w:val="00243727"/>
    <w:rsid w:val="00243D3A"/>
    <w:rsid w:val="00243F7C"/>
    <w:rsid w:val="0024428C"/>
    <w:rsid w:val="00244829"/>
    <w:rsid w:val="00244C29"/>
    <w:rsid w:val="002450F0"/>
    <w:rsid w:val="00245718"/>
    <w:rsid w:val="002457A1"/>
    <w:rsid w:val="00245AAC"/>
    <w:rsid w:val="0024626F"/>
    <w:rsid w:val="00246365"/>
    <w:rsid w:val="002463AF"/>
    <w:rsid w:val="002464AB"/>
    <w:rsid w:val="00246698"/>
    <w:rsid w:val="00246A7B"/>
    <w:rsid w:val="00246C56"/>
    <w:rsid w:val="00246ED4"/>
    <w:rsid w:val="002471E8"/>
    <w:rsid w:val="002472AF"/>
    <w:rsid w:val="002472FA"/>
    <w:rsid w:val="0024756B"/>
    <w:rsid w:val="00247586"/>
    <w:rsid w:val="002479DC"/>
    <w:rsid w:val="00247F0D"/>
    <w:rsid w:val="0025007A"/>
    <w:rsid w:val="00250127"/>
    <w:rsid w:val="0025051A"/>
    <w:rsid w:val="00250795"/>
    <w:rsid w:val="00250965"/>
    <w:rsid w:val="00250BC5"/>
    <w:rsid w:val="00251302"/>
    <w:rsid w:val="002513B8"/>
    <w:rsid w:val="00251681"/>
    <w:rsid w:val="00251F69"/>
    <w:rsid w:val="00252000"/>
    <w:rsid w:val="00252469"/>
    <w:rsid w:val="00252992"/>
    <w:rsid w:val="00252D1A"/>
    <w:rsid w:val="00252F30"/>
    <w:rsid w:val="0025308F"/>
    <w:rsid w:val="002531A0"/>
    <w:rsid w:val="00253625"/>
    <w:rsid w:val="00253C68"/>
    <w:rsid w:val="00253F29"/>
    <w:rsid w:val="002540EF"/>
    <w:rsid w:val="002541F6"/>
    <w:rsid w:val="00254BAF"/>
    <w:rsid w:val="002550AB"/>
    <w:rsid w:val="0025535C"/>
    <w:rsid w:val="002553BB"/>
    <w:rsid w:val="002554B6"/>
    <w:rsid w:val="0025557F"/>
    <w:rsid w:val="00255666"/>
    <w:rsid w:val="00255764"/>
    <w:rsid w:val="0025586C"/>
    <w:rsid w:val="00257307"/>
    <w:rsid w:val="00257455"/>
    <w:rsid w:val="00257B6C"/>
    <w:rsid w:val="00257D50"/>
    <w:rsid w:val="00257E70"/>
    <w:rsid w:val="00257EB6"/>
    <w:rsid w:val="00260391"/>
    <w:rsid w:val="00260979"/>
    <w:rsid w:val="002616BC"/>
    <w:rsid w:val="0026173A"/>
    <w:rsid w:val="00261CC0"/>
    <w:rsid w:val="00261D58"/>
    <w:rsid w:val="00262224"/>
    <w:rsid w:val="0026246A"/>
    <w:rsid w:val="0026291F"/>
    <w:rsid w:val="00262AF6"/>
    <w:rsid w:val="00262E7E"/>
    <w:rsid w:val="00262F2B"/>
    <w:rsid w:val="002631AF"/>
    <w:rsid w:val="002638B9"/>
    <w:rsid w:val="00263D0B"/>
    <w:rsid w:val="00264127"/>
    <w:rsid w:val="0026469F"/>
    <w:rsid w:val="00264A23"/>
    <w:rsid w:val="0026573C"/>
    <w:rsid w:val="00265908"/>
    <w:rsid w:val="00265DA9"/>
    <w:rsid w:val="00265E04"/>
    <w:rsid w:val="00265ECC"/>
    <w:rsid w:val="00265FDA"/>
    <w:rsid w:val="002662AC"/>
    <w:rsid w:val="00266371"/>
    <w:rsid w:val="0026645E"/>
    <w:rsid w:val="00266A60"/>
    <w:rsid w:val="002676EE"/>
    <w:rsid w:val="00267815"/>
    <w:rsid w:val="002703F1"/>
    <w:rsid w:val="0027045B"/>
    <w:rsid w:val="00270CBD"/>
    <w:rsid w:val="00270F2B"/>
    <w:rsid w:val="00271009"/>
    <w:rsid w:val="0027107E"/>
    <w:rsid w:val="0027187E"/>
    <w:rsid w:val="00271B8E"/>
    <w:rsid w:val="00272122"/>
    <w:rsid w:val="002721C2"/>
    <w:rsid w:val="0027266C"/>
    <w:rsid w:val="002727D4"/>
    <w:rsid w:val="00272EAE"/>
    <w:rsid w:val="00273A55"/>
    <w:rsid w:val="00273CCA"/>
    <w:rsid w:val="0027407F"/>
    <w:rsid w:val="0027408B"/>
    <w:rsid w:val="00274492"/>
    <w:rsid w:val="0027466F"/>
    <w:rsid w:val="0027480D"/>
    <w:rsid w:val="00274C11"/>
    <w:rsid w:val="00274C59"/>
    <w:rsid w:val="00274CD1"/>
    <w:rsid w:val="00274F7B"/>
    <w:rsid w:val="002754F9"/>
    <w:rsid w:val="0027567C"/>
    <w:rsid w:val="00275B60"/>
    <w:rsid w:val="00275D4D"/>
    <w:rsid w:val="002760AF"/>
    <w:rsid w:val="0027652C"/>
    <w:rsid w:val="002765D4"/>
    <w:rsid w:val="002766C5"/>
    <w:rsid w:val="0027688F"/>
    <w:rsid w:val="0027692F"/>
    <w:rsid w:val="002769A1"/>
    <w:rsid w:val="0027706B"/>
    <w:rsid w:val="0027732C"/>
    <w:rsid w:val="002777EA"/>
    <w:rsid w:val="00280028"/>
    <w:rsid w:val="002800E3"/>
    <w:rsid w:val="00280527"/>
    <w:rsid w:val="002805FF"/>
    <w:rsid w:val="00280931"/>
    <w:rsid w:val="0028146B"/>
    <w:rsid w:val="0028166F"/>
    <w:rsid w:val="00281B44"/>
    <w:rsid w:val="00281EDC"/>
    <w:rsid w:val="00282945"/>
    <w:rsid w:val="00283432"/>
    <w:rsid w:val="00283AB7"/>
    <w:rsid w:val="00283DA7"/>
    <w:rsid w:val="00283DE3"/>
    <w:rsid w:val="002841B8"/>
    <w:rsid w:val="0028427F"/>
    <w:rsid w:val="0028436B"/>
    <w:rsid w:val="00284457"/>
    <w:rsid w:val="0028470E"/>
    <w:rsid w:val="00284737"/>
    <w:rsid w:val="00284A4D"/>
    <w:rsid w:val="00284CDB"/>
    <w:rsid w:val="00284EA3"/>
    <w:rsid w:val="00285145"/>
    <w:rsid w:val="002855CF"/>
    <w:rsid w:val="00285BE0"/>
    <w:rsid w:val="00285E37"/>
    <w:rsid w:val="00285F32"/>
    <w:rsid w:val="0028632B"/>
    <w:rsid w:val="002863A0"/>
    <w:rsid w:val="00287172"/>
    <w:rsid w:val="00287587"/>
    <w:rsid w:val="0029045E"/>
    <w:rsid w:val="00290778"/>
    <w:rsid w:val="0029099F"/>
    <w:rsid w:val="00290A4E"/>
    <w:rsid w:val="00290E1D"/>
    <w:rsid w:val="00290FE2"/>
    <w:rsid w:val="00291025"/>
    <w:rsid w:val="0029108C"/>
    <w:rsid w:val="002910D4"/>
    <w:rsid w:val="00291137"/>
    <w:rsid w:val="00291248"/>
    <w:rsid w:val="00291938"/>
    <w:rsid w:val="00292024"/>
    <w:rsid w:val="0029205F"/>
    <w:rsid w:val="002924AA"/>
    <w:rsid w:val="002926CA"/>
    <w:rsid w:val="00292D25"/>
    <w:rsid w:val="00292DA3"/>
    <w:rsid w:val="002930CE"/>
    <w:rsid w:val="0029390A"/>
    <w:rsid w:val="00293ABE"/>
    <w:rsid w:val="00293DC3"/>
    <w:rsid w:val="0029411D"/>
    <w:rsid w:val="002941A0"/>
    <w:rsid w:val="0029436A"/>
    <w:rsid w:val="0029486E"/>
    <w:rsid w:val="00294BA0"/>
    <w:rsid w:val="00294ED1"/>
    <w:rsid w:val="0029515B"/>
    <w:rsid w:val="0029565B"/>
    <w:rsid w:val="00295F4E"/>
    <w:rsid w:val="0029634B"/>
    <w:rsid w:val="0029642F"/>
    <w:rsid w:val="002964E8"/>
    <w:rsid w:val="00296704"/>
    <w:rsid w:val="0029670D"/>
    <w:rsid w:val="00296F3C"/>
    <w:rsid w:val="0029753E"/>
    <w:rsid w:val="00297600"/>
    <w:rsid w:val="00297667"/>
    <w:rsid w:val="002977CE"/>
    <w:rsid w:val="0029799A"/>
    <w:rsid w:val="00297A31"/>
    <w:rsid w:val="002A0D59"/>
    <w:rsid w:val="002A138F"/>
    <w:rsid w:val="002A1BC2"/>
    <w:rsid w:val="002A1CCC"/>
    <w:rsid w:val="002A1F66"/>
    <w:rsid w:val="002A1FD5"/>
    <w:rsid w:val="002A224B"/>
    <w:rsid w:val="002A22B5"/>
    <w:rsid w:val="002A2665"/>
    <w:rsid w:val="002A2E6A"/>
    <w:rsid w:val="002A3419"/>
    <w:rsid w:val="002A3E55"/>
    <w:rsid w:val="002A3EEE"/>
    <w:rsid w:val="002A4315"/>
    <w:rsid w:val="002A43D2"/>
    <w:rsid w:val="002A4A6D"/>
    <w:rsid w:val="002A4AAC"/>
    <w:rsid w:val="002A4D4C"/>
    <w:rsid w:val="002A4E88"/>
    <w:rsid w:val="002A5062"/>
    <w:rsid w:val="002A540A"/>
    <w:rsid w:val="002A558E"/>
    <w:rsid w:val="002A620A"/>
    <w:rsid w:val="002A6B54"/>
    <w:rsid w:val="002A6B94"/>
    <w:rsid w:val="002A6BA8"/>
    <w:rsid w:val="002A6C3A"/>
    <w:rsid w:val="002A6F67"/>
    <w:rsid w:val="002A73BD"/>
    <w:rsid w:val="002A74BF"/>
    <w:rsid w:val="002A7728"/>
    <w:rsid w:val="002A7DC2"/>
    <w:rsid w:val="002A7EB9"/>
    <w:rsid w:val="002B0831"/>
    <w:rsid w:val="002B09CF"/>
    <w:rsid w:val="002B17E2"/>
    <w:rsid w:val="002B1BC0"/>
    <w:rsid w:val="002B25E6"/>
    <w:rsid w:val="002B26F8"/>
    <w:rsid w:val="002B2819"/>
    <w:rsid w:val="002B2D0E"/>
    <w:rsid w:val="002B2D70"/>
    <w:rsid w:val="002B30C8"/>
    <w:rsid w:val="002B31E5"/>
    <w:rsid w:val="002B322E"/>
    <w:rsid w:val="002B33CC"/>
    <w:rsid w:val="002B36F0"/>
    <w:rsid w:val="002B4460"/>
    <w:rsid w:val="002B4683"/>
    <w:rsid w:val="002B46D3"/>
    <w:rsid w:val="002B4B44"/>
    <w:rsid w:val="002B4C7B"/>
    <w:rsid w:val="002B4D79"/>
    <w:rsid w:val="002B5524"/>
    <w:rsid w:val="002B5810"/>
    <w:rsid w:val="002B582E"/>
    <w:rsid w:val="002B598F"/>
    <w:rsid w:val="002B5C48"/>
    <w:rsid w:val="002B5D2F"/>
    <w:rsid w:val="002B5D93"/>
    <w:rsid w:val="002B5F00"/>
    <w:rsid w:val="002B62B5"/>
    <w:rsid w:val="002B67E3"/>
    <w:rsid w:val="002B68E3"/>
    <w:rsid w:val="002B6C2D"/>
    <w:rsid w:val="002B6EFD"/>
    <w:rsid w:val="002B6F3F"/>
    <w:rsid w:val="002B6F92"/>
    <w:rsid w:val="002B7015"/>
    <w:rsid w:val="002B70E1"/>
    <w:rsid w:val="002B771C"/>
    <w:rsid w:val="002B783C"/>
    <w:rsid w:val="002B7B47"/>
    <w:rsid w:val="002C039F"/>
    <w:rsid w:val="002C1203"/>
    <w:rsid w:val="002C1465"/>
    <w:rsid w:val="002C1AF8"/>
    <w:rsid w:val="002C1D2E"/>
    <w:rsid w:val="002C1EDC"/>
    <w:rsid w:val="002C20A8"/>
    <w:rsid w:val="002C20FB"/>
    <w:rsid w:val="002C340C"/>
    <w:rsid w:val="002C368A"/>
    <w:rsid w:val="002C438C"/>
    <w:rsid w:val="002C45A9"/>
    <w:rsid w:val="002C461B"/>
    <w:rsid w:val="002C478C"/>
    <w:rsid w:val="002C5850"/>
    <w:rsid w:val="002C5D6A"/>
    <w:rsid w:val="002C68AB"/>
    <w:rsid w:val="002C6F7B"/>
    <w:rsid w:val="002C743F"/>
    <w:rsid w:val="002C7B32"/>
    <w:rsid w:val="002C7EB5"/>
    <w:rsid w:val="002D0050"/>
    <w:rsid w:val="002D025F"/>
    <w:rsid w:val="002D0C3F"/>
    <w:rsid w:val="002D1809"/>
    <w:rsid w:val="002D224A"/>
    <w:rsid w:val="002D2330"/>
    <w:rsid w:val="002D28E6"/>
    <w:rsid w:val="002D3245"/>
    <w:rsid w:val="002D3718"/>
    <w:rsid w:val="002D43E7"/>
    <w:rsid w:val="002D4FB2"/>
    <w:rsid w:val="002D52E2"/>
    <w:rsid w:val="002D54AA"/>
    <w:rsid w:val="002D59AF"/>
    <w:rsid w:val="002D5AD0"/>
    <w:rsid w:val="002D5EB4"/>
    <w:rsid w:val="002D6183"/>
    <w:rsid w:val="002D6617"/>
    <w:rsid w:val="002D671F"/>
    <w:rsid w:val="002D6993"/>
    <w:rsid w:val="002D6BA1"/>
    <w:rsid w:val="002D6BB1"/>
    <w:rsid w:val="002D72E7"/>
    <w:rsid w:val="002D767B"/>
    <w:rsid w:val="002D78DD"/>
    <w:rsid w:val="002D7919"/>
    <w:rsid w:val="002D799A"/>
    <w:rsid w:val="002E0395"/>
    <w:rsid w:val="002E03DF"/>
    <w:rsid w:val="002E0A6E"/>
    <w:rsid w:val="002E0BE8"/>
    <w:rsid w:val="002E0F69"/>
    <w:rsid w:val="002E0F6D"/>
    <w:rsid w:val="002E1473"/>
    <w:rsid w:val="002E15C4"/>
    <w:rsid w:val="002E1AE0"/>
    <w:rsid w:val="002E1E9C"/>
    <w:rsid w:val="002E1F78"/>
    <w:rsid w:val="002E20E6"/>
    <w:rsid w:val="002E2475"/>
    <w:rsid w:val="002E271D"/>
    <w:rsid w:val="002E2906"/>
    <w:rsid w:val="002E3326"/>
    <w:rsid w:val="002E342F"/>
    <w:rsid w:val="002E354C"/>
    <w:rsid w:val="002E3609"/>
    <w:rsid w:val="002E38B7"/>
    <w:rsid w:val="002E3D79"/>
    <w:rsid w:val="002E3E79"/>
    <w:rsid w:val="002E3F2E"/>
    <w:rsid w:val="002E43E1"/>
    <w:rsid w:val="002E4939"/>
    <w:rsid w:val="002E4B65"/>
    <w:rsid w:val="002E4CB1"/>
    <w:rsid w:val="002E5176"/>
    <w:rsid w:val="002E5C30"/>
    <w:rsid w:val="002E5E24"/>
    <w:rsid w:val="002E5E6A"/>
    <w:rsid w:val="002E657F"/>
    <w:rsid w:val="002E67F3"/>
    <w:rsid w:val="002E6A90"/>
    <w:rsid w:val="002E6E13"/>
    <w:rsid w:val="002E7C1A"/>
    <w:rsid w:val="002E7D61"/>
    <w:rsid w:val="002F00EE"/>
    <w:rsid w:val="002F054C"/>
    <w:rsid w:val="002F0648"/>
    <w:rsid w:val="002F0714"/>
    <w:rsid w:val="002F0840"/>
    <w:rsid w:val="002F0C62"/>
    <w:rsid w:val="002F0DB9"/>
    <w:rsid w:val="002F0E7A"/>
    <w:rsid w:val="002F14AC"/>
    <w:rsid w:val="002F1792"/>
    <w:rsid w:val="002F19D4"/>
    <w:rsid w:val="002F1D5E"/>
    <w:rsid w:val="002F1FC8"/>
    <w:rsid w:val="002F2052"/>
    <w:rsid w:val="002F2199"/>
    <w:rsid w:val="002F2301"/>
    <w:rsid w:val="002F2941"/>
    <w:rsid w:val="002F2D74"/>
    <w:rsid w:val="002F2D99"/>
    <w:rsid w:val="002F3516"/>
    <w:rsid w:val="002F3538"/>
    <w:rsid w:val="002F3773"/>
    <w:rsid w:val="002F39A6"/>
    <w:rsid w:val="002F42A7"/>
    <w:rsid w:val="002F4458"/>
    <w:rsid w:val="002F4958"/>
    <w:rsid w:val="002F4961"/>
    <w:rsid w:val="002F4D39"/>
    <w:rsid w:val="002F4DA0"/>
    <w:rsid w:val="002F5305"/>
    <w:rsid w:val="002F546A"/>
    <w:rsid w:val="002F5520"/>
    <w:rsid w:val="002F575C"/>
    <w:rsid w:val="002F5859"/>
    <w:rsid w:val="002F5DAF"/>
    <w:rsid w:val="002F5E3F"/>
    <w:rsid w:val="002F60D9"/>
    <w:rsid w:val="002F62F4"/>
    <w:rsid w:val="002F698C"/>
    <w:rsid w:val="002F6D42"/>
    <w:rsid w:val="002F6F6E"/>
    <w:rsid w:val="002F72A5"/>
    <w:rsid w:val="002F72EE"/>
    <w:rsid w:val="002F7673"/>
    <w:rsid w:val="002F7701"/>
    <w:rsid w:val="002F794C"/>
    <w:rsid w:val="002F7957"/>
    <w:rsid w:val="002F7BCC"/>
    <w:rsid w:val="002F7F5F"/>
    <w:rsid w:val="0030086E"/>
    <w:rsid w:val="003009B8"/>
    <w:rsid w:val="00301048"/>
    <w:rsid w:val="003013B0"/>
    <w:rsid w:val="003013E3"/>
    <w:rsid w:val="00301506"/>
    <w:rsid w:val="003018D3"/>
    <w:rsid w:val="00301B9E"/>
    <w:rsid w:val="00301F35"/>
    <w:rsid w:val="003020AB"/>
    <w:rsid w:val="003020D1"/>
    <w:rsid w:val="00302983"/>
    <w:rsid w:val="00302D33"/>
    <w:rsid w:val="00302DD6"/>
    <w:rsid w:val="00302E0F"/>
    <w:rsid w:val="0030339E"/>
    <w:rsid w:val="0030387E"/>
    <w:rsid w:val="00303C67"/>
    <w:rsid w:val="00303E35"/>
    <w:rsid w:val="003040E6"/>
    <w:rsid w:val="00304226"/>
    <w:rsid w:val="00304518"/>
    <w:rsid w:val="00304916"/>
    <w:rsid w:val="00304AC3"/>
    <w:rsid w:val="00304E21"/>
    <w:rsid w:val="00305385"/>
    <w:rsid w:val="00305CC3"/>
    <w:rsid w:val="00305D15"/>
    <w:rsid w:val="00306455"/>
    <w:rsid w:val="003069D8"/>
    <w:rsid w:val="00306A7E"/>
    <w:rsid w:val="00306D13"/>
    <w:rsid w:val="003075F4"/>
    <w:rsid w:val="0030761F"/>
    <w:rsid w:val="00307651"/>
    <w:rsid w:val="00307A6B"/>
    <w:rsid w:val="00307B94"/>
    <w:rsid w:val="00307EA1"/>
    <w:rsid w:val="003109BC"/>
    <w:rsid w:val="00310BCC"/>
    <w:rsid w:val="003110CA"/>
    <w:rsid w:val="00311215"/>
    <w:rsid w:val="00311220"/>
    <w:rsid w:val="0031167B"/>
    <w:rsid w:val="003118F4"/>
    <w:rsid w:val="00312076"/>
    <w:rsid w:val="003120B2"/>
    <w:rsid w:val="003120FE"/>
    <w:rsid w:val="0031233A"/>
    <w:rsid w:val="00312EEA"/>
    <w:rsid w:val="00313567"/>
    <w:rsid w:val="00313862"/>
    <w:rsid w:val="00313AB2"/>
    <w:rsid w:val="00313AC8"/>
    <w:rsid w:val="00313EFE"/>
    <w:rsid w:val="00313F8B"/>
    <w:rsid w:val="0031429E"/>
    <w:rsid w:val="003142AF"/>
    <w:rsid w:val="003145F5"/>
    <w:rsid w:val="00314ADD"/>
    <w:rsid w:val="00314E51"/>
    <w:rsid w:val="00314F60"/>
    <w:rsid w:val="00315209"/>
    <w:rsid w:val="003152AF"/>
    <w:rsid w:val="003154BF"/>
    <w:rsid w:val="00315CA6"/>
    <w:rsid w:val="00315DDC"/>
    <w:rsid w:val="0031602F"/>
    <w:rsid w:val="0031604C"/>
    <w:rsid w:val="00316065"/>
    <w:rsid w:val="00316185"/>
    <w:rsid w:val="003162DD"/>
    <w:rsid w:val="003164BC"/>
    <w:rsid w:val="00317070"/>
    <w:rsid w:val="00317189"/>
    <w:rsid w:val="003171A6"/>
    <w:rsid w:val="00317606"/>
    <w:rsid w:val="00317FCD"/>
    <w:rsid w:val="0032002E"/>
    <w:rsid w:val="0032022F"/>
    <w:rsid w:val="00320BC0"/>
    <w:rsid w:val="00320ECD"/>
    <w:rsid w:val="00320FB7"/>
    <w:rsid w:val="003212DE"/>
    <w:rsid w:val="003215D7"/>
    <w:rsid w:val="003218FF"/>
    <w:rsid w:val="00321D18"/>
    <w:rsid w:val="00321DC7"/>
    <w:rsid w:val="00322B2F"/>
    <w:rsid w:val="003230E1"/>
    <w:rsid w:val="00323526"/>
    <w:rsid w:val="00323BAE"/>
    <w:rsid w:val="00323D08"/>
    <w:rsid w:val="003242FD"/>
    <w:rsid w:val="00324A6C"/>
    <w:rsid w:val="00324B06"/>
    <w:rsid w:val="00324E5B"/>
    <w:rsid w:val="0032516B"/>
    <w:rsid w:val="003257F2"/>
    <w:rsid w:val="00325D28"/>
    <w:rsid w:val="00326C22"/>
    <w:rsid w:val="00326D42"/>
    <w:rsid w:val="003278C0"/>
    <w:rsid w:val="00327A3C"/>
    <w:rsid w:val="00327E35"/>
    <w:rsid w:val="00327FED"/>
    <w:rsid w:val="00330043"/>
    <w:rsid w:val="003302F6"/>
    <w:rsid w:val="00330791"/>
    <w:rsid w:val="00330E19"/>
    <w:rsid w:val="00331055"/>
    <w:rsid w:val="003314BF"/>
    <w:rsid w:val="00331644"/>
    <w:rsid w:val="00331834"/>
    <w:rsid w:val="003319C5"/>
    <w:rsid w:val="00331A84"/>
    <w:rsid w:val="003323DA"/>
    <w:rsid w:val="00332F59"/>
    <w:rsid w:val="00333151"/>
    <w:rsid w:val="00333465"/>
    <w:rsid w:val="00333760"/>
    <w:rsid w:val="003341B1"/>
    <w:rsid w:val="0033443C"/>
    <w:rsid w:val="00334531"/>
    <w:rsid w:val="003345BA"/>
    <w:rsid w:val="003346B6"/>
    <w:rsid w:val="00334B43"/>
    <w:rsid w:val="00334C89"/>
    <w:rsid w:val="00334D89"/>
    <w:rsid w:val="00334E99"/>
    <w:rsid w:val="00334EDA"/>
    <w:rsid w:val="0033521B"/>
    <w:rsid w:val="0033523C"/>
    <w:rsid w:val="00335242"/>
    <w:rsid w:val="0033571F"/>
    <w:rsid w:val="00335768"/>
    <w:rsid w:val="003357FD"/>
    <w:rsid w:val="00335B30"/>
    <w:rsid w:val="003367FD"/>
    <w:rsid w:val="00337362"/>
    <w:rsid w:val="0033778C"/>
    <w:rsid w:val="00337ABF"/>
    <w:rsid w:val="00337B67"/>
    <w:rsid w:val="00337CA2"/>
    <w:rsid w:val="00337E84"/>
    <w:rsid w:val="00340316"/>
    <w:rsid w:val="00340DC3"/>
    <w:rsid w:val="0034133F"/>
    <w:rsid w:val="003418AA"/>
    <w:rsid w:val="00341A0A"/>
    <w:rsid w:val="003423D1"/>
    <w:rsid w:val="00342632"/>
    <w:rsid w:val="00342AF8"/>
    <w:rsid w:val="00343291"/>
    <w:rsid w:val="003432A1"/>
    <w:rsid w:val="003436CC"/>
    <w:rsid w:val="00343C7E"/>
    <w:rsid w:val="00344295"/>
    <w:rsid w:val="00344814"/>
    <w:rsid w:val="00344BC0"/>
    <w:rsid w:val="00344E8B"/>
    <w:rsid w:val="00344EE5"/>
    <w:rsid w:val="00345233"/>
    <w:rsid w:val="00345822"/>
    <w:rsid w:val="003459A6"/>
    <w:rsid w:val="00345E4A"/>
    <w:rsid w:val="0034610E"/>
    <w:rsid w:val="00346249"/>
    <w:rsid w:val="003464CD"/>
    <w:rsid w:val="0034662B"/>
    <w:rsid w:val="003468B2"/>
    <w:rsid w:val="0034710C"/>
    <w:rsid w:val="0034720E"/>
    <w:rsid w:val="0034781E"/>
    <w:rsid w:val="00347C35"/>
    <w:rsid w:val="00347CED"/>
    <w:rsid w:val="003500BE"/>
    <w:rsid w:val="003500D9"/>
    <w:rsid w:val="003504AE"/>
    <w:rsid w:val="00350583"/>
    <w:rsid w:val="0035086B"/>
    <w:rsid w:val="003508B4"/>
    <w:rsid w:val="003508DD"/>
    <w:rsid w:val="003509BC"/>
    <w:rsid w:val="00350AD0"/>
    <w:rsid w:val="00351012"/>
    <w:rsid w:val="0035110E"/>
    <w:rsid w:val="00351C15"/>
    <w:rsid w:val="00351CD8"/>
    <w:rsid w:val="00351D8B"/>
    <w:rsid w:val="00351E81"/>
    <w:rsid w:val="003522BE"/>
    <w:rsid w:val="003522F6"/>
    <w:rsid w:val="00352368"/>
    <w:rsid w:val="003526F6"/>
    <w:rsid w:val="00352B7C"/>
    <w:rsid w:val="00352BA0"/>
    <w:rsid w:val="0035330E"/>
    <w:rsid w:val="00353649"/>
    <w:rsid w:val="003536F3"/>
    <w:rsid w:val="00353CA3"/>
    <w:rsid w:val="003541F8"/>
    <w:rsid w:val="00354273"/>
    <w:rsid w:val="00354476"/>
    <w:rsid w:val="0035558D"/>
    <w:rsid w:val="003556EC"/>
    <w:rsid w:val="00355A7C"/>
    <w:rsid w:val="00356098"/>
    <w:rsid w:val="00356108"/>
    <w:rsid w:val="003563AF"/>
    <w:rsid w:val="00356471"/>
    <w:rsid w:val="003564ED"/>
    <w:rsid w:val="003567C3"/>
    <w:rsid w:val="00356A1F"/>
    <w:rsid w:val="00356B9A"/>
    <w:rsid w:val="00356F88"/>
    <w:rsid w:val="003571EC"/>
    <w:rsid w:val="0035755A"/>
    <w:rsid w:val="003577DD"/>
    <w:rsid w:val="00357837"/>
    <w:rsid w:val="00357A89"/>
    <w:rsid w:val="0036016A"/>
    <w:rsid w:val="00360174"/>
    <w:rsid w:val="003601A4"/>
    <w:rsid w:val="003603B1"/>
    <w:rsid w:val="003604B7"/>
    <w:rsid w:val="00360619"/>
    <w:rsid w:val="00360641"/>
    <w:rsid w:val="00360990"/>
    <w:rsid w:val="00360A8B"/>
    <w:rsid w:val="00360E16"/>
    <w:rsid w:val="003611A9"/>
    <w:rsid w:val="003614C8"/>
    <w:rsid w:val="00361991"/>
    <w:rsid w:val="00362502"/>
    <w:rsid w:val="00362D02"/>
    <w:rsid w:val="00362FD7"/>
    <w:rsid w:val="0036300B"/>
    <w:rsid w:val="00363168"/>
    <w:rsid w:val="00363223"/>
    <w:rsid w:val="00363731"/>
    <w:rsid w:val="00363D4E"/>
    <w:rsid w:val="00363F2C"/>
    <w:rsid w:val="0036441D"/>
    <w:rsid w:val="00364FAE"/>
    <w:rsid w:val="00365AC9"/>
    <w:rsid w:val="00365BA7"/>
    <w:rsid w:val="00365D88"/>
    <w:rsid w:val="00365D98"/>
    <w:rsid w:val="0036609E"/>
    <w:rsid w:val="003662BD"/>
    <w:rsid w:val="003663E0"/>
    <w:rsid w:val="00366471"/>
    <w:rsid w:val="003666C0"/>
    <w:rsid w:val="00366BB0"/>
    <w:rsid w:val="00366EC7"/>
    <w:rsid w:val="003676FC"/>
    <w:rsid w:val="003679C9"/>
    <w:rsid w:val="00367B11"/>
    <w:rsid w:val="00367B52"/>
    <w:rsid w:val="00367B87"/>
    <w:rsid w:val="00370311"/>
    <w:rsid w:val="00370379"/>
    <w:rsid w:val="00370564"/>
    <w:rsid w:val="00370BE9"/>
    <w:rsid w:val="00370D91"/>
    <w:rsid w:val="003717A5"/>
    <w:rsid w:val="00371891"/>
    <w:rsid w:val="00371CDD"/>
    <w:rsid w:val="00371E8D"/>
    <w:rsid w:val="0037205E"/>
    <w:rsid w:val="003722B5"/>
    <w:rsid w:val="00372E39"/>
    <w:rsid w:val="00372EAE"/>
    <w:rsid w:val="00372FA7"/>
    <w:rsid w:val="00373186"/>
    <w:rsid w:val="00374566"/>
    <w:rsid w:val="0037457B"/>
    <w:rsid w:val="00374648"/>
    <w:rsid w:val="00374E19"/>
    <w:rsid w:val="0037503E"/>
    <w:rsid w:val="0037512D"/>
    <w:rsid w:val="00375427"/>
    <w:rsid w:val="003760A7"/>
    <w:rsid w:val="0037617C"/>
    <w:rsid w:val="00376386"/>
    <w:rsid w:val="00376893"/>
    <w:rsid w:val="00376FC2"/>
    <w:rsid w:val="003774F6"/>
    <w:rsid w:val="003777D6"/>
    <w:rsid w:val="003777FA"/>
    <w:rsid w:val="00377A28"/>
    <w:rsid w:val="00377B15"/>
    <w:rsid w:val="00380135"/>
    <w:rsid w:val="00380340"/>
    <w:rsid w:val="0038037E"/>
    <w:rsid w:val="003806C1"/>
    <w:rsid w:val="003807EA"/>
    <w:rsid w:val="003809A9"/>
    <w:rsid w:val="003809E2"/>
    <w:rsid w:val="00380E51"/>
    <w:rsid w:val="00380E76"/>
    <w:rsid w:val="00380F70"/>
    <w:rsid w:val="003810EC"/>
    <w:rsid w:val="003818E5"/>
    <w:rsid w:val="003819F3"/>
    <w:rsid w:val="00382095"/>
    <w:rsid w:val="003820EC"/>
    <w:rsid w:val="003825A0"/>
    <w:rsid w:val="00382C33"/>
    <w:rsid w:val="003830CD"/>
    <w:rsid w:val="003833D4"/>
    <w:rsid w:val="00383714"/>
    <w:rsid w:val="003837A1"/>
    <w:rsid w:val="00383A79"/>
    <w:rsid w:val="00383C07"/>
    <w:rsid w:val="00383EA6"/>
    <w:rsid w:val="00384208"/>
    <w:rsid w:val="00385208"/>
    <w:rsid w:val="00385B81"/>
    <w:rsid w:val="003861C3"/>
    <w:rsid w:val="003866B8"/>
    <w:rsid w:val="003866CA"/>
    <w:rsid w:val="003866FC"/>
    <w:rsid w:val="00386863"/>
    <w:rsid w:val="00386993"/>
    <w:rsid w:val="00386A38"/>
    <w:rsid w:val="00386CF1"/>
    <w:rsid w:val="003870F6"/>
    <w:rsid w:val="003871C2"/>
    <w:rsid w:val="0038747A"/>
    <w:rsid w:val="00387F6B"/>
    <w:rsid w:val="0039064A"/>
    <w:rsid w:val="00390A65"/>
    <w:rsid w:val="00390DBD"/>
    <w:rsid w:val="0039176F"/>
    <w:rsid w:val="00391E25"/>
    <w:rsid w:val="0039211D"/>
    <w:rsid w:val="00392B23"/>
    <w:rsid w:val="00392CE2"/>
    <w:rsid w:val="00392DBB"/>
    <w:rsid w:val="00392EFD"/>
    <w:rsid w:val="00393099"/>
    <w:rsid w:val="00393142"/>
    <w:rsid w:val="00393326"/>
    <w:rsid w:val="0039337D"/>
    <w:rsid w:val="00393867"/>
    <w:rsid w:val="00393A4A"/>
    <w:rsid w:val="00393F52"/>
    <w:rsid w:val="00394062"/>
    <w:rsid w:val="003943E8"/>
    <w:rsid w:val="0039470E"/>
    <w:rsid w:val="00394751"/>
    <w:rsid w:val="00394F99"/>
    <w:rsid w:val="003950D0"/>
    <w:rsid w:val="00395E1B"/>
    <w:rsid w:val="0039650C"/>
    <w:rsid w:val="00397029"/>
    <w:rsid w:val="0039750A"/>
    <w:rsid w:val="0039766E"/>
    <w:rsid w:val="00397B9E"/>
    <w:rsid w:val="00397D58"/>
    <w:rsid w:val="003A0135"/>
    <w:rsid w:val="003A0955"/>
    <w:rsid w:val="003A0E8F"/>
    <w:rsid w:val="003A1308"/>
    <w:rsid w:val="003A1361"/>
    <w:rsid w:val="003A1726"/>
    <w:rsid w:val="003A1745"/>
    <w:rsid w:val="003A198D"/>
    <w:rsid w:val="003A1A52"/>
    <w:rsid w:val="003A1CCD"/>
    <w:rsid w:val="003A1CD2"/>
    <w:rsid w:val="003A2777"/>
    <w:rsid w:val="003A2B68"/>
    <w:rsid w:val="003A3232"/>
    <w:rsid w:val="003A36A1"/>
    <w:rsid w:val="003A37AE"/>
    <w:rsid w:val="003A37E4"/>
    <w:rsid w:val="003A3810"/>
    <w:rsid w:val="003A3C22"/>
    <w:rsid w:val="003A3D3F"/>
    <w:rsid w:val="003A43FF"/>
    <w:rsid w:val="003A4466"/>
    <w:rsid w:val="003A45C9"/>
    <w:rsid w:val="003A481C"/>
    <w:rsid w:val="003A4927"/>
    <w:rsid w:val="003A4B9A"/>
    <w:rsid w:val="003A4BBA"/>
    <w:rsid w:val="003A4F7D"/>
    <w:rsid w:val="003A52D2"/>
    <w:rsid w:val="003A52FA"/>
    <w:rsid w:val="003A5519"/>
    <w:rsid w:val="003A5BB5"/>
    <w:rsid w:val="003A5F9D"/>
    <w:rsid w:val="003A68F5"/>
    <w:rsid w:val="003A6A82"/>
    <w:rsid w:val="003A6A88"/>
    <w:rsid w:val="003A6BB7"/>
    <w:rsid w:val="003A6BBE"/>
    <w:rsid w:val="003A71D2"/>
    <w:rsid w:val="003A757B"/>
    <w:rsid w:val="003B049F"/>
    <w:rsid w:val="003B09CA"/>
    <w:rsid w:val="003B0B98"/>
    <w:rsid w:val="003B11A2"/>
    <w:rsid w:val="003B14EB"/>
    <w:rsid w:val="003B1934"/>
    <w:rsid w:val="003B209F"/>
    <w:rsid w:val="003B261C"/>
    <w:rsid w:val="003B2B8A"/>
    <w:rsid w:val="003B2B94"/>
    <w:rsid w:val="003B2E45"/>
    <w:rsid w:val="003B333A"/>
    <w:rsid w:val="003B3349"/>
    <w:rsid w:val="003B3466"/>
    <w:rsid w:val="003B34D6"/>
    <w:rsid w:val="003B3598"/>
    <w:rsid w:val="003B37DC"/>
    <w:rsid w:val="003B386A"/>
    <w:rsid w:val="003B3E57"/>
    <w:rsid w:val="003B3EBC"/>
    <w:rsid w:val="003B4184"/>
    <w:rsid w:val="003B44CE"/>
    <w:rsid w:val="003B48D1"/>
    <w:rsid w:val="003B4C7A"/>
    <w:rsid w:val="003B4D0A"/>
    <w:rsid w:val="003B52ED"/>
    <w:rsid w:val="003B5B37"/>
    <w:rsid w:val="003B5CA3"/>
    <w:rsid w:val="003B5CAE"/>
    <w:rsid w:val="003B5D62"/>
    <w:rsid w:val="003B6AC2"/>
    <w:rsid w:val="003B6C37"/>
    <w:rsid w:val="003B6D5F"/>
    <w:rsid w:val="003B6F22"/>
    <w:rsid w:val="003B712B"/>
    <w:rsid w:val="003B770D"/>
    <w:rsid w:val="003B797F"/>
    <w:rsid w:val="003B7BC8"/>
    <w:rsid w:val="003B7E44"/>
    <w:rsid w:val="003C0244"/>
    <w:rsid w:val="003C047B"/>
    <w:rsid w:val="003C0530"/>
    <w:rsid w:val="003C0668"/>
    <w:rsid w:val="003C07B6"/>
    <w:rsid w:val="003C09DE"/>
    <w:rsid w:val="003C122E"/>
    <w:rsid w:val="003C1957"/>
    <w:rsid w:val="003C1DCA"/>
    <w:rsid w:val="003C240D"/>
    <w:rsid w:val="003C2853"/>
    <w:rsid w:val="003C29C7"/>
    <w:rsid w:val="003C2CC4"/>
    <w:rsid w:val="003C2D05"/>
    <w:rsid w:val="003C2F9D"/>
    <w:rsid w:val="003C33E6"/>
    <w:rsid w:val="003C37F3"/>
    <w:rsid w:val="003C3FC9"/>
    <w:rsid w:val="003C43D2"/>
    <w:rsid w:val="003C4542"/>
    <w:rsid w:val="003C4CCC"/>
    <w:rsid w:val="003C5324"/>
    <w:rsid w:val="003C53E4"/>
    <w:rsid w:val="003C59B9"/>
    <w:rsid w:val="003C5AF1"/>
    <w:rsid w:val="003C5D4C"/>
    <w:rsid w:val="003C5F25"/>
    <w:rsid w:val="003C5FB2"/>
    <w:rsid w:val="003C613C"/>
    <w:rsid w:val="003C6FEA"/>
    <w:rsid w:val="003C70AB"/>
    <w:rsid w:val="003C72EF"/>
    <w:rsid w:val="003C7760"/>
    <w:rsid w:val="003C781E"/>
    <w:rsid w:val="003C7866"/>
    <w:rsid w:val="003C78F1"/>
    <w:rsid w:val="003C7938"/>
    <w:rsid w:val="003C7960"/>
    <w:rsid w:val="003C7CFB"/>
    <w:rsid w:val="003D02C0"/>
    <w:rsid w:val="003D032F"/>
    <w:rsid w:val="003D067B"/>
    <w:rsid w:val="003D08C1"/>
    <w:rsid w:val="003D0F8B"/>
    <w:rsid w:val="003D1035"/>
    <w:rsid w:val="003D120B"/>
    <w:rsid w:val="003D122B"/>
    <w:rsid w:val="003D184F"/>
    <w:rsid w:val="003D1A6E"/>
    <w:rsid w:val="003D1BEF"/>
    <w:rsid w:val="003D20FA"/>
    <w:rsid w:val="003D22A4"/>
    <w:rsid w:val="003D277E"/>
    <w:rsid w:val="003D2852"/>
    <w:rsid w:val="003D2C1E"/>
    <w:rsid w:val="003D2EDE"/>
    <w:rsid w:val="003D3209"/>
    <w:rsid w:val="003D32A5"/>
    <w:rsid w:val="003D3412"/>
    <w:rsid w:val="003D4497"/>
    <w:rsid w:val="003D4ADF"/>
    <w:rsid w:val="003D4C75"/>
    <w:rsid w:val="003D5991"/>
    <w:rsid w:val="003D5BBD"/>
    <w:rsid w:val="003D5C4F"/>
    <w:rsid w:val="003D6403"/>
    <w:rsid w:val="003D6498"/>
    <w:rsid w:val="003D66DE"/>
    <w:rsid w:val="003D6952"/>
    <w:rsid w:val="003D6BF4"/>
    <w:rsid w:val="003D6C28"/>
    <w:rsid w:val="003D6C87"/>
    <w:rsid w:val="003D704E"/>
    <w:rsid w:val="003D7B2E"/>
    <w:rsid w:val="003D7DA8"/>
    <w:rsid w:val="003E00A2"/>
    <w:rsid w:val="003E030D"/>
    <w:rsid w:val="003E034B"/>
    <w:rsid w:val="003E092F"/>
    <w:rsid w:val="003E0959"/>
    <w:rsid w:val="003E0968"/>
    <w:rsid w:val="003E0EE6"/>
    <w:rsid w:val="003E14CF"/>
    <w:rsid w:val="003E1DBB"/>
    <w:rsid w:val="003E1F7C"/>
    <w:rsid w:val="003E21DC"/>
    <w:rsid w:val="003E25F3"/>
    <w:rsid w:val="003E2841"/>
    <w:rsid w:val="003E28C7"/>
    <w:rsid w:val="003E29A6"/>
    <w:rsid w:val="003E334D"/>
    <w:rsid w:val="003E3371"/>
    <w:rsid w:val="003E3650"/>
    <w:rsid w:val="003E37E8"/>
    <w:rsid w:val="003E3811"/>
    <w:rsid w:val="003E3B01"/>
    <w:rsid w:val="003E3BC6"/>
    <w:rsid w:val="003E3FB4"/>
    <w:rsid w:val="003E41C2"/>
    <w:rsid w:val="003E4380"/>
    <w:rsid w:val="003E4AB0"/>
    <w:rsid w:val="003E5042"/>
    <w:rsid w:val="003E5611"/>
    <w:rsid w:val="003E563F"/>
    <w:rsid w:val="003E5771"/>
    <w:rsid w:val="003E5999"/>
    <w:rsid w:val="003E5B4A"/>
    <w:rsid w:val="003E6908"/>
    <w:rsid w:val="003E6B12"/>
    <w:rsid w:val="003E6BFC"/>
    <w:rsid w:val="003E6D6E"/>
    <w:rsid w:val="003E6DC3"/>
    <w:rsid w:val="003E7259"/>
    <w:rsid w:val="003E753A"/>
    <w:rsid w:val="003E78CD"/>
    <w:rsid w:val="003E7A8C"/>
    <w:rsid w:val="003E7BD4"/>
    <w:rsid w:val="003F04A1"/>
    <w:rsid w:val="003F070A"/>
    <w:rsid w:val="003F079F"/>
    <w:rsid w:val="003F1039"/>
    <w:rsid w:val="003F1136"/>
    <w:rsid w:val="003F152A"/>
    <w:rsid w:val="003F199C"/>
    <w:rsid w:val="003F19DB"/>
    <w:rsid w:val="003F2FF0"/>
    <w:rsid w:val="003F327B"/>
    <w:rsid w:val="003F345D"/>
    <w:rsid w:val="003F3599"/>
    <w:rsid w:val="003F35D2"/>
    <w:rsid w:val="003F3891"/>
    <w:rsid w:val="003F3BAA"/>
    <w:rsid w:val="003F410D"/>
    <w:rsid w:val="003F44E6"/>
    <w:rsid w:val="003F4D25"/>
    <w:rsid w:val="003F4DCB"/>
    <w:rsid w:val="003F4FC9"/>
    <w:rsid w:val="003F4FF3"/>
    <w:rsid w:val="003F5381"/>
    <w:rsid w:val="003F5C71"/>
    <w:rsid w:val="003F6438"/>
    <w:rsid w:val="003F65FD"/>
    <w:rsid w:val="003F667C"/>
    <w:rsid w:val="003F674D"/>
    <w:rsid w:val="003F6FE4"/>
    <w:rsid w:val="003F75AE"/>
    <w:rsid w:val="003F7BE2"/>
    <w:rsid w:val="003F7C7C"/>
    <w:rsid w:val="00400677"/>
    <w:rsid w:val="004008ED"/>
    <w:rsid w:val="0040121B"/>
    <w:rsid w:val="00401876"/>
    <w:rsid w:val="00401CCD"/>
    <w:rsid w:val="00401F00"/>
    <w:rsid w:val="004020FA"/>
    <w:rsid w:val="00402252"/>
    <w:rsid w:val="004022B7"/>
    <w:rsid w:val="0040257E"/>
    <w:rsid w:val="004025A9"/>
    <w:rsid w:val="00402F5F"/>
    <w:rsid w:val="004031A7"/>
    <w:rsid w:val="00403279"/>
    <w:rsid w:val="004032AE"/>
    <w:rsid w:val="00403374"/>
    <w:rsid w:val="0040394C"/>
    <w:rsid w:val="00403BC9"/>
    <w:rsid w:val="00403F76"/>
    <w:rsid w:val="004040A5"/>
    <w:rsid w:val="00404626"/>
    <w:rsid w:val="00404BCC"/>
    <w:rsid w:val="004052A4"/>
    <w:rsid w:val="004060B4"/>
    <w:rsid w:val="004060CC"/>
    <w:rsid w:val="00406EE3"/>
    <w:rsid w:val="004074BB"/>
    <w:rsid w:val="00407912"/>
    <w:rsid w:val="00407B2A"/>
    <w:rsid w:val="00410069"/>
    <w:rsid w:val="004100F5"/>
    <w:rsid w:val="0041046F"/>
    <w:rsid w:val="004104E2"/>
    <w:rsid w:val="004105AA"/>
    <w:rsid w:val="00410994"/>
    <w:rsid w:val="00410A12"/>
    <w:rsid w:val="00410ECD"/>
    <w:rsid w:val="0041134E"/>
    <w:rsid w:val="004113EC"/>
    <w:rsid w:val="0041141E"/>
    <w:rsid w:val="00411551"/>
    <w:rsid w:val="004115FE"/>
    <w:rsid w:val="00411AF4"/>
    <w:rsid w:val="00412155"/>
    <w:rsid w:val="0041226A"/>
    <w:rsid w:val="004124C0"/>
    <w:rsid w:val="00412D11"/>
    <w:rsid w:val="004135D5"/>
    <w:rsid w:val="0041366C"/>
    <w:rsid w:val="00413778"/>
    <w:rsid w:val="00413E86"/>
    <w:rsid w:val="0041426F"/>
    <w:rsid w:val="004142BD"/>
    <w:rsid w:val="0041441D"/>
    <w:rsid w:val="004146FA"/>
    <w:rsid w:val="00414ACF"/>
    <w:rsid w:val="004151AD"/>
    <w:rsid w:val="0041583A"/>
    <w:rsid w:val="00415AE5"/>
    <w:rsid w:val="00415CA6"/>
    <w:rsid w:val="00415D3C"/>
    <w:rsid w:val="0041606A"/>
    <w:rsid w:val="004164A6"/>
    <w:rsid w:val="004165A6"/>
    <w:rsid w:val="0041665F"/>
    <w:rsid w:val="004166FA"/>
    <w:rsid w:val="00416DF4"/>
    <w:rsid w:val="00416F56"/>
    <w:rsid w:val="00416FDF"/>
    <w:rsid w:val="00416FFE"/>
    <w:rsid w:val="00417072"/>
    <w:rsid w:val="00417CAE"/>
    <w:rsid w:val="004202AD"/>
    <w:rsid w:val="00420937"/>
    <w:rsid w:val="004209E3"/>
    <w:rsid w:val="00420C6A"/>
    <w:rsid w:val="00420D13"/>
    <w:rsid w:val="00421800"/>
    <w:rsid w:val="00421BC4"/>
    <w:rsid w:val="0042200F"/>
    <w:rsid w:val="004222A9"/>
    <w:rsid w:val="0042252A"/>
    <w:rsid w:val="00422834"/>
    <w:rsid w:val="00422A16"/>
    <w:rsid w:val="00422CA3"/>
    <w:rsid w:val="00422E9D"/>
    <w:rsid w:val="0042310B"/>
    <w:rsid w:val="0042316B"/>
    <w:rsid w:val="0042338E"/>
    <w:rsid w:val="00423C55"/>
    <w:rsid w:val="00423D9F"/>
    <w:rsid w:val="00423E24"/>
    <w:rsid w:val="00424248"/>
    <w:rsid w:val="0042435E"/>
    <w:rsid w:val="00424403"/>
    <w:rsid w:val="00424673"/>
    <w:rsid w:val="00425354"/>
    <w:rsid w:val="004254E2"/>
    <w:rsid w:val="00425534"/>
    <w:rsid w:val="0042558F"/>
    <w:rsid w:val="00425F96"/>
    <w:rsid w:val="004263FA"/>
    <w:rsid w:val="00426736"/>
    <w:rsid w:val="00426CEF"/>
    <w:rsid w:val="00426F08"/>
    <w:rsid w:val="00426F99"/>
    <w:rsid w:val="00427144"/>
    <w:rsid w:val="0042714F"/>
    <w:rsid w:val="004271E9"/>
    <w:rsid w:val="00427360"/>
    <w:rsid w:val="004273AC"/>
    <w:rsid w:val="0042741B"/>
    <w:rsid w:val="004274BE"/>
    <w:rsid w:val="004277CB"/>
    <w:rsid w:val="00427D19"/>
    <w:rsid w:val="00427D3E"/>
    <w:rsid w:val="00427EA2"/>
    <w:rsid w:val="00430364"/>
    <w:rsid w:val="00430D6F"/>
    <w:rsid w:val="00431217"/>
    <w:rsid w:val="004315B8"/>
    <w:rsid w:val="00431616"/>
    <w:rsid w:val="00431AAE"/>
    <w:rsid w:val="00431BF9"/>
    <w:rsid w:val="00432438"/>
    <w:rsid w:val="004324CC"/>
    <w:rsid w:val="00432ED2"/>
    <w:rsid w:val="0043302F"/>
    <w:rsid w:val="0043331C"/>
    <w:rsid w:val="00433C12"/>
    <w:rsid w:val="00433CDA"/>
    <w:rsid w:val="00433FB2"/>
    <w:rsid w:val="00434387"/>
    <w:rsid w:val="00435881"/>
    <w:rsid w:val="00435927"/>
    <w:rsid w:val="00435BD2"/>
    <w:rsid w:val="00435E31"/>
    <w:rsid w:val="00435E59"/>
    <w:rsid w:val="004360E0"/>
    <w:rsid w:val="004368B8"/>
    <w:rsid w:val="00436AF1"/>
    <w:rsid w:val="00436B33"/>
    <w:rsid w:val="00436C5B"/>
    <w:rsid w:val="004372DB"/>
    <w:rsid w:val="00437D68"/>
    <w:rsid w:val="00440735"/>
    <w:rsid w:val="004410FB"/>
    <w:rsid w:val="0044154E"/>
    <w:rsid w:val="00441E29"/>
    <w:rsid w:val="00441FCC"/>
    <w:rsid w:val="00442018"/>
    <w:rsid w:val="0044209D"/>
    <w:rsid w:val="004422E0"/>
    <w:rsid w:val="00442739"/>
    <w:rsid w:val="004427C1"/>
    <w:rsid w:val="00442918"/>
    <w:rsid w:val="00442ACE"/>
    <w:rsid w:val="00443645"/>
    <w:rsid w:val="00443E38"/>
    <w:rsid w:val="00444569"/>
    <w:rsid w:val="00444578"/>
    <w:rsid w:val="00444896"/>
    <w:rsid w:val="004448B7"/>
    <w:rsid w:val="00444D9B"/>
    <w:rsid w:val="00444EA2"/>
    <w:rsid w:val="00444F62"/>
    <w:rsid w:val="00445B69"/>
    <w:rsid w:val="00445EFE"/>
    <w:rsid w:val="00445F69"/>
    <w:rsid w:val="00445FD1"/>
    <w:rsid w:val="00446093"/>
    <w:rsid w:val="004461AD"/>
    <w:rsid w:val="004464EF"/>
    <w:rsid w:val="004469A6"/>
    <w:rsid w:val="00446B3E"/>
    <w:rsid w:val="0044714F"/>
    <w:rsid w:val="00447DFF"/>
    <w:rsid w:val="00450219"/>
    <w:rsid w:val="00450F4B"/>
    <w:rsid w:val="00451367"/>
    <w:rsid w:val="0045151D"/>
    <w:rsid w:val="00451648"/>
    <w:rsid w:val="00451730"/>
    <w:rsid w:val="00451BE0"/>
    <w:rsid w:val="0045213E"/>
    <w:rsid w:val="004521BC"/>
    <w:rsid w:val="004523B0"/>
    <w:rsid w:val="004523F2"/>
    <w:rsid w:val="00452657"/>
    <w:rsid w:val="00452C1F"/>
    <w:rsid w:val="0045340D"/>
    <w:rsid w:val="0045345B"/>
    <w:rsid w:val="004539CF"/>
    <w:rsid w:val="00453FA0"/>
    <w:rsid w:val="00453FFF"/>
    <w:rsid w:val="004540B7"/>
    <w:rsid w:val="0045444C"/>
    <w:rsid w:val="00454789"/>
    <w:rsid w:val="004549AE"/>
    <w:rsid w:val="00454ADF"/>
    <w:rsid w:val="00454BDC"/>
    <w:rsid w:val="00454C92"/>
    <w:rsid w:val="00454CA6"/>
    <w:rsid w:val="00454CBB"/>
    <w:rsid w:val="0045512B"/>
    <w:rsid w:val="004553CC"/>
    <w:rsid w:val="004559D6"/>
    <w:rsid w:val="00455E83"/>
    <w:rsid w:val="00455F55"/>
    <w:rsid w:val="00456FE1"/>
    <w:rsid w:val="0045731D"/>
    <w:rsid w:val="004574D1"/>
    <w:rsid w:val="00457616"/>
    <w:rsid w:val="00457983"/>
    <w:rsid w:val="00457F1E"/>
    <w:rsid w:val="004602D6"/>
    <w:rsid w:val="00460A3F"/>
    <w:rsid w:val="00460CAE"/>
    <w:rsid w:val="00460E5F"/>
    <w:rsid w:val="0046124B"/>
    <w:rsid w:val="004613BF"/>
    <w:rsid w:val="00461439"/>
    <w:rsid w:val="00461662"/>
    <w:rsid w:val="00461B0D"/>
    <w:rsid w:val="00461C9E"/>
    <w:rsid w:val="00461CB5"/>
    <w:rsid w:val="00461DA9"/>
    <w:rsid w:val="00461DCD"/>
    <w:rsid w:val="00462A7E"/>
    <w:rsid w:val="0046327A"/>
    <w:rsid w:val="004637B4"/>
    <w:rsid w:val="00463AF2"/>
    <w:rsid w:val="00463B02"/>
    <w:rsid w:val="00463C6F"/>
    <w:rsid w:val="0046473E"/>
    <w:rsid w:val="00464A0F"/>
    <w:rsid w:val="00464A10"/>
    <w:rsid w:val="00464C99"/>
    <w:rsid w:val="00464EE0"/>
    <w:rsid w:val="004654AB"/>
    <w:rsid w:val="004655C4"/>
    <w:rsid w:val="00465630"/>
    <w:rsid w:val="00465875"/>
    <w:rsid w:val="00465A3A"/>
    <w:rsid w:val="00466266"/>
    <w:rsid w:val="004663C4"/>
    <w:rsid w:val="00466467"/>
    <w:rsid w:val="0046652D"/>
    <w:rsid w:val="004665FC"/>
    <w:rsid w:val="00466634"/>
    <w:rsid w:val="0046680D"/>
    <w:rsid w:val="00466DC1"/>
    <w:rsid w:val="00467440"/>
    <w:rsid w:val="00467587"/>
    <w:rsid w:val="0046759B"/>
    <w:rsid w:val="004676EF"/>
    <w:rsid w:val="004700E8"/>
    <w:rsid w:val="004703E6"/>
    <w:rsid w:val="00470421"/>
    <w:rsid w:val="0047053D"/>
    <w:rsid w:val="00470613"/>
    <w:rsid w:val="0047064C"/>
    <w:rsid w:val="004708DB"/>
    <w:rsid w:val="00470E2C"/>
    <w:rsid w:val="0047162F"/>
    <w:rsid w:val="00471C1A"/>
    <w:rsid w:val="00471D63"/>
    <w:rsid w:val="00471EC1"/>
    <w:rsid w:val="00471F0D"/>
    <w:rsid w:val="004720D1"/>
    <w:rsid w:val="00472169"/>
    <w:rsid w:val="00472662"/>
    <w:rsid w:val="0047292E"/>
    <w:rsid w:val="00472B60"/>
    <w:rsid w:val="00472E86"/>
    <w:rsid w:val="00472EC1"/>
    <w:rsid w:val="00473203"/>
    <w:rsid w:val="0047320E"/>
    <w:rsid w:val="0047323D"/>
    <w:rsid w:val="004732DA"/>
    <w:rsid w:val="00473650"/>
    <w:rsid w:val="004737A9"/>
    <w:rsid w:val="004745C8"/>
    <w:rsid w:val="00474607"/>
    <w:rsid w:val="004747D4"/>
    <w:rsid w:val="00474A79"/>
    <w:rsid w:val="00474B1B"/>
    <w:rsid w:val="0047518F"/>
    <w:rsid w:val="00475D81"/>
    <w:rsid w:val="00476145"/>
    <w:rsid w:val="00476325"/>
    <w:rsid w:val="004768EA"/>
    <w:rsid w:val="00477155"/>
    <w:rsid w:val="00477621"/>
    <w:rsid w:val="00477664"/>
    <w:rsid w:val="004777E0"/>
    <w:rsid w:val="00477A54"/>
    <w:rsid w:val="00477CE3"/>
    <w:rsid w:val="00477D15"/>
    <w:rsid w:val="00477DC7"/>
    <w:rsid w:val="004807FF"/>
    <w:rsid w:val="0048190F"/>
    <w:rsid w:val="00481B24"/>
    <w:rsid w:val="0048260F"/>
    <w:rsid w:val="00483EA1"/>
    <w:rsid w:val="00483FAD"/>
    <w:rsid w:val="004840B6"/>
    <w:rsid w:val="00484132"/>
    <w:rsid w:val="004842A6"/>
    <w:rsid w:val="00484449"/>
    <w:rsid w:val="00484665"/>
    <w:rsid w:val="00485102"/>
    <w:rsid w:val="00485132"/>
    <w:rsid w:val="004857F3"/>
    <w:rsid w:val="00485E7A"/>
    <w:rsid w:val="00485F87"/>
    <w:rsid w:val="00486216"/>
    <w:rsid w:val="0048635C"/>
    <w:rsid w:val="00486572"/>
    <w:rsid w:val="004867F1"/>
    <w:rsid w:val="00486919"/>
    <w:rsid w:val="00486B32"/>
    <w:rsid w:val="00486C07"/>
    <w:rsid w:val="00486F06"/>
    <w:rsid w:val="00486F46"/>
    <w:rsid w:val="004900BE"/>
    <w:rsid w:val="0049059E"/>
    <w:rsid w:val="00490AA7"/>
    <w:rsid w:val="00490B7A"/>
    <w:rsid w:val="00490C67"/>
    <w:rsid w:val="00490DB1"/>
    <w:rsid w:val="00490F86"/>
    <w:rsid w:val="0049110B"/>
    <w:rsid w:val="004912F9"/>
    <w:rsid w:val="00491650"/>
    <w:rsid w:val="00491AA8"/>
    <w:rsid w:val="00491B28"/>
    <w:rsid w:val="00491BC8"/>
    <w:rsid w:val="00491F13"/>
    <w:rsid w:val="00492443"/>
    <w:rsid w:val="004934CD"/>
    <w:rsid w:val="00493909"/>
    <w:rsid w:val="004939AF"/>
    <w:rsid w:val="00493B67"/>
    <w:rsid w:val="00493B71"/>
    <w:rsid w:val="00493BD6"/>
    <w:rsid w:val="00493CBE"/>
    <w:rsid w:val="00494106"/>
    <w:rsid w:val="00494289"/>
    <w:rsid w:val="004944BF"/>
    <w:rsid w:val="00494913"/>
    <w:rsid w:val="00494C26"/>
    <w:rsid w:val="00494D2C"/>
    <w:rsid w:val="00494DED"/>
    <w:rsid w:val="00494E27"/>
    <w:rsid w:val="00494EB1"/>
    <w:rsid w:val="00494EF6"/>
    <w:rsid w:val="004951E6"/>
    <w:rsid w:val="004952D1"/>
    <w:rsid w:val="004952DA"/>
    <w:rsid w:val="004954B7"/>
    <w:rsid w:val="00495872"/>
    <w:rsid w:val="00495A39"/>
    <w:rsid w:val="00495C75"/>
    <w:rsid w:val="00496040"/>
    <w:rsid w:val="0049658B"/>
    <w:rsid w:val="004969AF"/>
    <w:rsid w:val="004969C0"/>
    <w:rsid w:val="00496BC7"/>
    <w:rsid w:val="00496E22"/>
    <w:rsid w:val="004973F7"/>
    <w:rsid w:val="004975DC"/>
    <w:rsid w:val="0049799E"/>
    <w:rsid w:val="00497C61"/>
    <w:rsid w:val="00497FE6"/>
    <w:rsid w:val="004A0048"/>
    <w:rsid w:val="004A076B"/>
    <w:rsid w:val="004A0C7E"/>
    <w:rsid w:val="004A1C38"/>
    <w:rsid w:val="004A1CD6"/>
    <w:rsid w:val="004A2493"/>
    <w:rsid w:val="004A305F"/>
    <w:rsid w:val="004A3963"/>
    <w:rsid w:val="004A3ACB"/>
    <w:rsid w:val="004A3DBE"/>
    <w:rsid w:val="004A3FB6"/>
    <w:rsid w:val="004A42F7"/>
    <w:rsid w:val="004A43A0"/>
    <w:rsid w:val="004A456C"/>
    <w:rsid w:val="004A47DC"/>
    <w:rsid w:val="004A4B34"/>
    <w:rsid w:val="004A4C00"/>
    <w:rsid w:val="004A4F0B"/>
    <w:rsid w:val="004A4F13"/>
    <w:rsid w:val="004A598C"/>
    <w:rsid w:val="004A5C2D"/>
    <w:rsid w:val="004A5CA6"/>
    <w:rsid w:val="004A6085"/>
    <w:rsid w:val="004A6148"/>
    <w:rsid w:val="004A6165"/>
    <w:rsid w:val="004A61CA"/>
    <w:rsid w:val="004A6311"/>
    <w:rsid w:val="004A637D"/>
    <w:rsid w:val="004A6DB1"/>
    <w:rsid w:val="004A6FA7"/>
    <w:rsid w:val="004A703D"/>
    <w:rsid w:val="004A7797"/>
    <w:rsid w:val="004A7B98"/>
    <w:rsid w:val="004B0300"/>
    <w:rsid w:val="004B097C"/>
    <w:rsid w:val="004B0980"/>
    <w:rsid w:val="004B0A46"/>
    <w:rsid w:val="004B10CE"/>
    <w:rsid w:val="004B12B8"/>
    <w:rsid w:val="004B1359"/>
    <w:rsid w:val="004B1B56"/>
    <w:rsid w:val="004B1BD3"/>
    <w:rsid w:val="004B1CB7"/>
    <w:rsid w:val="004B1F54"/>
    <w:rsid w:val="004B2054"/>
    <w:rsid w:val="004B245C"/>
    <w:rsid w:val="004B3214"/>
    <w:rsid w:val="004B32E9"/>
    <w:rsid w:val="004B35EC"/>
    <w:rsid w:val="004B36AC"/>
    <w:rsid w:val="004B370E"/>
    <w:rsid w:val="004B38E4"/>
    <w:rsid w:val="004B3951"/>
    <w:rsid w:val="004B39DC"/>
    <w:rsid w:val="004B3BCF"/>
    <w:rsid w:val="004B407A"/>
    <w:rsid w:val="004B4571"/>
    <w:rsid w:val="004B45CC"/>
    <w:rsid w:val="004B4EDC"/>
    <w:rsid w:val="004B4FD2"/>
    <w:rsid w:val="004B51A6"/>
    <w:rsid w:val="004B58E8"/>
    <w:rsid w:val="004B5A8E"/>
    <w:rsid w:val="004B6298"/>
    <w:rsid w:val="004B635C"/>
    <w:rsid w:val="004B6715"/>
    <w:rsid w:val="004B6949"/>
    <w:rsid w:val="004B69E1"/>
    <w:rsid w:val="004B6CE3"/>
    <w:rsid w:val="004B6D68"/>
    <w:rsid w:val="004B712C"/>
    <w:rsid w:val="004B754B"/>
    <w:rsid w:val="004B7A84"/>
    <w:rsid w:val="004B7A9C"/>
    <w:rsid w:val="004C03B0"/>
    <w:rsid w:val="004C03CA"/>
    <w:rsid w:val="004C074E"/>
    <w:rsid w:val="004C07D1"/>
    <w:rsid w:val="004C0CB6"/>
    <w:rsid w:val="004C0EEA"/>
    <w:rsid w:val="004C1003"/>
    <w:rsid w:val="004C1046"/>
    <w:rsid w:val="004C128B"/>
    <w:rsid w:val="004C14DD"/>
    <w:rsid w:val="004C155F"/>
    <w:rsid w:val="004C16B3"/>
    <w:rsid w:val="004C175D"/>
    <w:rsid w:val="004C1829"/>
    <w:rsid w:val="004C1864"/>
    <w:rsid w:val="004C1C79"/>
    <w:rsid w:val="004C1D11"/>
    <w:rsid w:val="004C1E9F"/>
    <w:rsid w:val="004C1EA4"/>
    <w:rsid w:val="004C2439"/>
    <w:rsid w:val="004C286B"/>
    <w:rsid w:val="004C2E13"/>
    <w:rsid w:val="004C33D1"/>
    <w:rsid w:val="004C3716"/>
    <w:rsid w:val="004C388F"/>
    <w:rsid w:val="004C3A87"/>
    <w:rsid w:val="004C3D5D"/>
    <w:rsid w:val="004C3E8E"/>
    <w:rsid w:val="004C403E"/>
    <w:rsid w:val="004C44EF"/>
    <w:rsid w:val="004C4C3F"/>
    <w:rsid w:val="004C511F"/>
    <w:rsid w:val="004C5497"/>
    <w:rsid w:val="004C54BF"/>
    <w:rsid w:val="004C57C6"/>
    <w:rsid w:val="004C599D"/>
    <w:rsid w:val="004C5CD6"/>
    <w:rsid w:val="004C5DE2"/>
    <w:rsid w:val="004C5E9C"/>
    <w:rsid w:val="004C67F9"/>
    <w:rsid w:val="004C69FE"/>
    <w:rsid w:val="004C738F"/>
    <w:rsid w:val="004C75E6"/>
    <w:rsid w:val="004C7C15"/>
    <w:rsid w:val="004D00F5"/>
    <w:rsid w:val="004D0526"/>
    <w:rsid w:val="004D091B"/>
    <w:rsid w:val="004D0A17"/>
    <w:rsid w:val="004D0D0D"/>
    <w:rsid w:val="004D0D14"/>
    <w:rsid w:val="004D1278"/>
    <w:rsid w:val="004D1324"/>
    <w:rsid w:val="004D2BAD"/>
    <w:rsid w:val="004D3025"/>
    <w:rsid w:val="004D310B"/>
    <w:rsid w:val="004D35C6"/>
    <w:rsid w:val="004D3669"/>
    <w:rsid w:val="004D38D0"/>
    <w:rsid w:val="004D3B08"/>
    <w:rsid w:val="004D3BAF"/>
    <w:rsid w:val="004D3DE9"/>
    <w:rsid w:val="004D3F41"/>
    <w:rsid w:val="004D43B8"/>
    <w:rsid w:val="004D43EB"/>
    <w:rsid w:val="004D4BB6"/>
    <w:rsid w:val="004D4D09"/>
    <w:rsid w:val="004D4D0D"/>
    <w:rsid w:val="004D4D43"/>
    <w:rsid w:val="004D4E72"/>
    <w:rsid w:val="004D5697"/>
    <w:rsid w:val="004D585B"/>
    <w:rsid w:val="004D58A0"/>
    <w:rsid w:val="004D5B86"/>
    <w:rsid w:val="004D637A"/>
    <w:rsid w:val="004D6389"/>
    <w:rsid w:val="004D6B95"/>
    <w:rsid w:val="004D71BD"/>
    <w:rsid w:val="004D7410"/>
    <w:rsid w:val="004D7446"/>
    <w:rsid w:val="004D76B2"/>
    <w:rsid w:val="004D7A5B"/>
    <w:rsid w:val="004D7BA5"/>
    <w:rsid w:val="004E0439"/>
    <w:rsid w:val="004E0797"/>
    <w:rsid w:val="004E08A5"/>
    <w:rsid w:val="004E1368"/>
    <w:rsid w:val="004E15F3"/>
    <w:rsid w:val="004E1DCB"/>
    <w:rsid w:val="004E1E88"/>
    <w:rsid w:val="004E2A06"/>
    <w:rsid w:val="004E3051"/>
    <w:rsid w:val="004E3357"/>
    <w:rsid w:val="004E3486"/>
    <w:rsid w:val="004E35F2"/>
    <w:rsid w:val="004E3C07"/>
    <w:rsid w:val="004E3D79"/>
    <w:rsid w:val="004E3E07"/>
    <w:rsid w:val="004E3E1A"/>
    <w:rsid w:val="004E40DD"/>
    <w:rsid w:val="004E478D"/>
    <w:rsid w:val="004E49F3"/>
    <w:rsid w:val="004E4B50"/>
    <w:rsid w:val="004E4DB8"/>
    <w:rsid w:val="004E510F"/>
    <w:rsid w:val="004E53B0"/>
    <w:rsid w:val="004E5614"/>
    <w:rsid w:val="004E5B9F"/>
    <w:rsid w:val="004E5D7F"/>
    <w:rsid w:val="004E5F47"/>
    <w:rsid w:val="004E61B7"/>
    <w:rsid w:val="004E6B7F"/>
    <w:rsid w:val="004E70A1"/>
    <w:rsid w:val="004E7780"/>
    <w:rsid w:val="004E7E14"/>
    <w:rsid w:val="004F07AB"/>
    <w:rsid w:val="004F0F96"/>
    <w:rsid w:val="004F118D"/>
    <w:rsid w:val="004F175F"/>
    <w:rsid w:val="004F1A8B"/>
    <w:rsid w:val="004F1E41"/>
    <w:rsid w:val="004F1FF3"/>
    <w:rsid w:val="004F21A8"/>
    <w:rsid w:val="004F294F"/>
    <w:rsid w:val="004F2A52"/>
    <w:rsid w:val="004F3029"/>
    <w:rsid w:val="004F3A03"/>
    <w:rsid w:val="004F3C1A"/>
    <w:rsid w:val="004F3D5E"/>
    <w:rsid w:val="004F3EEF"/>
    <w:rsid w:val="004F4108"/>
    <w:rsid w:val="004F4727"/>
    <w:rsid w:val="004F4850"/>
    <w:rsid w:val="004F4B0D"/>
    <w:rsid w:val="004F4CFE"/>
    <w:rsid w:val="004F5913"/>
    <w:rsid w:val="004F5E0D"/>
    <w:rsid w:val="004F6510"/>
    <w:rsid w:val="004F652C"/>
    <w:rsid w:val="004F6657"/>
    <w:rsid w:val="004F6968"/>
    <w:rsid w:val="004F6CEE"/>
    <w:rsid w:val="004F6DD3"/>
    <w:rsid w:val="004F7064"/>
    <w:rsid w:val="004F70E5"/>
    <w:rsid w:val="004F74B7"/>
    <w:rsid w:val="004F7541"/>
    <w:rsid w:val="004F7898"/>
    <w:rsid w:val="004F7C89"/>
    <w:rsid w:val="005000C3"/>
    <w:rsid w:val="005002CA"/>
    <w:rsid w:val="005004D4"/>
    <w:rsid w:val="005007BD"/>
    <w:rsid w:val="00500842"/>
    <w:rsid w:val="00500A1A"/>
    <w:rsid w:val="00500D0A"/>
    <w:rsid w:val="005011E3"/>
    <w:rsid w:val="00501214"/>
    <w:rsid w:val="00501B6C"/>
    <w:rsid w:val="00501B74"/>
    <w:rsid w:val="00501E1E"/>
    <w:rsid w:val="005025D0"/>
    <w:rsid w:val="00502895"/>
    <w:rsid w:val="00502B86"/>
    <w:rsid w:val="00502CE3"/>
    <w:rsid w:val="00502DDC"/>
    <w:rsid w:val="00502E75"/>
    <w:rsid w:val="005031FD"/>
    <w:rsid w:val="0050327F"/>
    <w:rsid w:val="00503BE5"/>
    <w:rsid w:val="00504C02"/>
    <w:rsid w:val="00504C7A"/>
    <w:rsid w:val="00504E3C"/>
    <w:rsid w:val="00505011"/>
    <w:rsid w:val="00505153"/>
    <w:rsid w:val="00505417"/>
    <w:rsid w:val="00505A35"/>
    <w:rsid w:val="00505B32"/>
    <w:rsid w:val="005064F6"/>
    <w:rsid w:val="005065A6"/>
    <w:rsid w:val="00507463"/>
    <w:rsid w:val="00507476"/>
    <w:rsid w:val="00507529"/>
    <w:rsid w:val="005076E4"/>
    <w:rsid w:val="005076ED"/>
    <w:rsid w:val="00507AD2"/>
    <w:rsid w:val="00507D0F"/>
    <w:rsid w:val="005104CE"/>
    <w:rsid w:val="005106FD"/>
    <w:rsid w:val="00510AFF"/>
    <w:rsid w:val="00510B1F"/>
    <w:rsid w:val="00510D64"/>
    <w:rsid w:val="00511429"/>
    <w:rsid w:val="00511578"/>
    <w:rsid w:val="00512096"/>
    <w:rsid w:val="0051228E"/>
    <w:rsid w:val="0051307C"/>
    <w:rsid w:val="0051329A"/>
    <w:rsid w:val="005134A8"/>
    <w:rsid w:val="00513594"/>
    <w:rsid w:val="00513959"/>
    <w:rsid w:val="0051403A"/>
    <w:rsid w:val="00514AE5"/>
    <w:rsid w:val="00514F5E"/>
    <w:rsid w:val="00515A1C"/>
    <w:rsid w:val="00515D8A"/>
    <w:rsid w:val="00515DCE"/>
    <w:rsid w:val="00515E1B"/>
    <w:rsid w:val="00516217"/>
    <w:rsid w:val="00517054"/>
    <w:rsid w:val="0051724C"/>
    <w:rsid w:val="00517828"/>
    <w:rsid w:val="00517A03"/>
    <w:rsid w:val="00517B13"/>
    <w:rsid w:val="00517F2D"/>
    <w:rsid w:val="005200D7"/>
    <w:rsid w:val="0052069D"/>
    <w:rsid w:val="00520779"/>
    <w:rsid w:val="00520DDF"/>
    <w:rsid w:val="005211CF"/>
    <w:rsid w:val="005213C8"/>
    <w:rsid w:val="005214AC"/>
    <w:rsid w:val="005218D6"/>
    <w:rsid w:val="00521910"/>
    <w:rsid w:val="00521D51"/>
    <w:rsid w:val="00522C4A"/>
    <w:rsid w:val="00522D78"/>
    <w:rsid w:val="00522F20"/>
    <w:rsid w:val="00522F25"/>
    <w:rsid w:val="00522FBA"/>
    <w:rsid w:val="0052318C"/>
    <w:rsid w:val="00523A63"/>
    <w:rsid w:val="00523CDE"/>
    <w:rsid w:val="00523EC2"/>
    <w:rsid w:val="00523FC1"/>
    <w:rsid w:val="00524084"/>
    <w:rsid w:val="00524180"/>
    <w:rsid w:val="00524552"/>
    <w:rsid w:val="00524559"/>
    <w:rsid w:val="0052467B"/>
    <w:rsid w:val="00524842"/>
    <w:rsid w:val="00524888"/>
    <w:rsid w:val="00524B83"/>
    <w:rsid w:val="00524CF4"/>
    <w:rsid w:val="00524EDD"/>
    <w:rsid w:val="0052529B"/>
    <w:rsid w:val="00525480"/>
    <w:rsid w:val="005254EF"/>
    <w:rsid w:val="00525F14"/>
    <w:rsid w:val="00525F70"/>
    <w:rsid w:val="0052610C"/>
    <w:rsid w:val="005261CC"/>
    <w:rsid w:val="00526353"/>
    <w:rsid w:val="0052661D"/>
    <w:rsid w:val="0052729E"/>
    <w:rsid w:val="00527583"/>
    <w:rsid w:val="00527718"/>
    <w:rsid w:val="0052784A"/>
    <w:rsid w:val="00527F05"/>
    <w:rsid w:val="00530417"/>
    <w:rsid w:val="005305AD"/>
    <w:rsid w:val="00530E90"/>
    <w:rsid w:val="00530F9D"/>
    <w:rsid w:val="005314D6"/>
    <w:rsid w:val="00531570"/>
    <w:rsid w:val="005316BC"/>
    <w:rsid w:val="005320ED"/>
    <w:rsid w:val="0053290C"/>
    <w:rsid w:val="00532DA0"/>
    <w:rsid w:val="00532DDE"/>
    <w:rsid w:val="00533204"/>
    <w:rsid w:val="005334F5"/>
    <w:rsid w:val="0053365D"/>
    <w:rsid w:val="00533ACC"/>
    <w:rsid w:val="005340A6"/>
    <w:rsid w:val="00534196"/>
    <w:rsid w:val="00534510"/>
    <w:rsid w:val="00534969"/>
    <w:rsid w:val="00534A56"/>
    <w:rsid w:val="00534B17"/>
    <w:rsid w:val="00534FB8"/>
    <w:rsid w:val="005350BC"/>
    <w:rsid w:val="00535524"/>
    <w:rsid w:val="005355B5"/>
    <w:rsid w:val="005358BD"/>
    <w:rsid w:val="0053592A"/>
    <w:rsid w:val="00535F77"/>
    <w:rsid w:val="00536062"/>
    <w:rsid w:val="00536130"/>
    <w:rsid w:val="005368BB"/>
    <w:rsid w:val="00536916"/>
    <w:rsid w:val="00536B1A"/>
    <w:rsid w:val="00537038"/>
    <w:rsid w:val="0053774C"/>
    <w:rsid w:val="00540B50"/>
    <w:rsid w:val="00541210"/>
    <w:rsid w:val="0054147C"/>
    <w:rsid w:val="0054244A"/>
    <w:rsid w:val="00542842"/>
    <w:rsid w:val="00542A6B"/>
    <w:rsid w:val="00542F53"/>
    <w:rsid w:val="00543119"/>
    <w:rsid w:val="005432F7"/>
    <w:rsid w:val="0054365D"/>
    <w:rsid w:val="005437AF"/>
    <w:rsid w:val="00543C43"/>
    <w:rsid w:val="00544096"/>
    <w:rsid w:val="0054417F"/>
    <w:rsid w:val="0054457B"/>
    <w:rsid w:val="005455FD"/>
    <w:rsid w:val="005457CA"/>
    <w:rsid w:val="005457DD"/>
    <w:rsid w:val="00545BDB"/>
    <w:rsid w:val="00545C66"/>
    <w:rsid w:val="0054724A"/>
    <w:rsid w:val="00547972"/>
    <w:rsid w:val="005479FD"/>
    <w:rsid w:val="00547CAC"/>
    <w:rsid w:val="00547E9B"/>
    <w:rsid w:val="0055018A"/>
    <w:rsid w:val="00550520"/>
    <w:rsid w:val="00550847"/>
    <w:rsid w:val="00550905"/>
    <w:rsid w:val="00551669"/>
    <w:rsid w:val="0055178C"/>
    <w:rsid w:val="00551E06"/>
    <w:rsid w:val="00552003"/>
    <w:rsid w:val="005520DA"/>
    <w:rsid w:val="005521C1"/>
    <w:rsid w:val="005522EF"/>
    <w:rsid w:val="005526C1"/>
    <w:rsid w:val="005528AC"/>
    <w:rsid w:val="00552B62"/>
    <w:rsid w:val="005538BE"/>
    <w:rsid w:val="00553A29"/>
    <w:rsid w:val="00553C90"/>
    <w:rsid w:val="005541E1"/>
    <w:rsid w:val="005542FD"/>
    <w:rsid w:val="00554453"/>
    <w:rsid w:val="005549EA"/>
    <w:rsid w:val="0055510E"/>
    <w:rsid w:val="005551D8"/>
    <w:rsid w:val="0055555B"/>
    <w:rsid w:val="00555575"/>
    <w:rsid w:val="00555A32"/>
    <w:rsid w:val="0055616C"/>
    <w:rsid w:val="005566CB"/>
    <w:rsid w:val="0055693F"/>
    <w:rsid w:val="005569E3"/>
    <w:rsid w:val="00556B57"/>
    <w:rsid w:val="00556F6A"/>
    <w:rsid w:val="00557079"/>
    <w:rsid w:val="005570D7"/>
    <w:rsid w:val="00557145"/>
    <w:rsid w:val="00557191"/>
    <w:rsid w:val="0055726C"/>
    <w:rsid w:val="00557372"/>
    <w:rsid w:val="00557645"/>
    <w:rsid w:val="00557E2E"/>
    <w:rsid w:val="0056001C"/>
    <w:rsid w:val="005603D0"/>
    <w:rsid w:val="00560CDA"/>
    <w:rsid w:val="00560CFB"/>
    <w:rsid w:val="00560D36"/>
    <w:rsid w:val="005610C4"/>
    <w:rsid w:val="00561297"/>
    <w:rsid w:val="005613FC"/>
    <w:rsid w:val="00561C12"/>
    <w:rsid w:val="00561CB2"/>
    <w:rsid w:val="00561D55"/>
    <w:rsid w:val="00561E32"/>
    <w:rsid w:val="005623F7"/>
    <w:rsid w:val="0056253D"/>
    <w:rsid w:val="00562795"/>
    <w:rsid w:val="0056291D"/>
    <w:rsid w:val="00562944"/>
    <w:rsid w:val="00562A74"/>
    <w:rsid w:val="00562E03"/>
    <w:rsid w:val="00562FC3"/>
    <w:rsid w:val="00563B5A"/>
    <w:rsid w:val="00563C1A"/>
    <w:rsid w:val="00563F42"/>
    <w:rsid w:val="005641EA"/>
    <w:rsid w:val="00564655"/>
    <w:rsid w:val="00564B5B"/>
    <w:rsid w:val="00564BF7"/>
    <w:rsid w:val="00565070"/>
    <w:rsid w:val="0056541D"/>
    <w:rsid w:val="00565719"/>
    <w:rsid w:val="00565934"/>
    <w:rsid w:val="00565B23"/>
    <w:rsid w:val="00565C47"/>
    <w:rsid w:val="00565DB1"/>
    <w:rsid w:val="00565DEE"/>
    <w:rsid w:val="00565E2D"/>
    <w:rsid w:val="005661E6"/>
    <w:rsid w:val="005661E8"/>
    <w:rsid w:val="00566B61"/>
    <w:rsid w:val="00566CE4"/>
    <w:rsid w:val="00567396"/>
    <w:rsid w:val="0056747E"/>
    <w:rsid w:val="00567704"/>
    <w:rsid w:val="00567731"/>
    <w:rsid w:val="0056774C"/>
    <w:rsid w:val="00567850"/>
    <w:rsid w:val="00567D3D"/>
    <w:rsid w:val="00567E4F"/>
    <w:rsid w:val="00567F4A"/>
    <w:rsid w:val="005703DC"/>
    <w:rsid w:val="00570589"/>
    <w:rsid w:val="00570693"/>
    <w:rsid w:val="005708FD"/>
    <w:rsid w:val="00570AC1"/>
    <w:rsid w:val="00570B9F"/>
    <w:rsid w:val="0057109E"/>
    <w:rsid w:val="005712AA"/>
    <w:rsid w:val="005712F5"/>
    <w:rsid w:val="005714BA"/>
    <w:rsid w:val="0057157A"/>
    <w:rsid w:val="00571687"/>
    <w:rsid w:val="005718D1"/>
    <w:rsid w:val="00571B26"/>
    <w:rsid w:val="00571C6A"/>
    <w:rsid w:val="00571D34"/>
    <w:rsid w:val="00571D74"/>
    <w:rsid w:val="0057219F"/>
    <w:rsid w:val="005722A9"/>
    <w:rsid w:val="00572751"/>
    <w:rsid w:val="00572795"/>
    <w:rsid w:val="00573085"/>
    <w:rsid w:val="005732E0"/>
    <w:rsid w:val="00573386"/>
    <w:rsid w:val="005738E3"/>
    <w:rsid w:val="0057397C"/>
    <w:rsid w:val="005739B9"/>
    <w:rsid w:val="00573DF1"/>
    <w:rsid w:val="00573E5D"/>
    <w:rsid w:val="005741DC"/>
    <w:rsid w:val="0057429D"/>
    <w:rsid w:val="0057439E"/>
    <w:rsid w:val="0057448A"/>
    <w:rsid w:val="0057459A"/>
    <w:rsid w:val="005747CD"/>
    <w:rsid w:val="00574D6D"/>
    <w:rsid w:val="00574E2D"/>
    <w:rsid w:val="00575315"/>
    <w:rsid w:val="005754F3"/>
    <w:rsid w:val="0057598F"/>
    <w:rsid w:val="005759F3"/>
    <w:rsid w:val="0057602B"/>
    <w:rsid w:val="00576224"/>
    <w:rsid w:val="005762A7"/>
    <w:rsid w:val="005762CE"/>
    <w:rsid w:val="005763E2"/>
    <w:rsid w:val="00576485"/>
    <w:rsid w:val="0057679A"/>
    <w:rsid w:val="00576970"/>
    <w:rsid w:val="005772A0"/>
    <w:rsid w:val="00577334"/>
    <w:rsid w:val="00577A45"/>
    <w:rsid w:val="00577FF6"/>
    <w:rsid w:val="00580297"/>
    <w:rsid w:val="00580417"/>
    <w:rsid w:val="00580449"/>
    <w:rsid w:val="00580484"/>
    <w:rsid w:val="00580830"/>
    <w:rsid w:val="0058116F"/>
    <w:rsid w:val="00581B1A"/>
    <w:rsid w:val="00581BE1"/>
    <w:rsid w:val="00581D3D"/>
    <w:rsid w:val="0058205E"/>
    <w:rsid w:val="00582A12"/>
    <w:rsid w:val="00582AD0"/>
    <w:rsid w:val="00583D1D"/>
    <w:rsid w:val="0058401E"/>
    <w:rsid w:val="00584095"/>
    <w:rsid w:val="005847E7"/>
    <w:rsid w:val="00584C76"/>
    <w:rsid w:val="005853AE"/>
    <w:rsid w:val="005858AE"/>
    <w:rsid w:val="00585DB6"/>
    <w:rsid w:val="00585E60"/>
    <w:rsid w:val="00585E9A"/>
    <w:rsid w:val="0058636E"/>
    <w:rsid w:val="00586771"/>
    <w:rsid w:val="005869CC"/>
    <w:rsid w:val="005871E8"/>
    <w:rsid w:val="005875C7"/>
    <w:rsid w:val="00587628"/>
    <w:rsid w:val="00587E31"/>
    <w:rsid w:val="005901AC"/>
    <w:rsid w:val="00590288"/>
    <w:rsid w:val="00590754"/>
    <w:rsid w:val="00590859"/>
    <w:rsid w:val="0059097E"/>
    <w:rsid w:val="00591134"/>
    <w:rsid w:val="0059122B"/>
    <w:rsid w:val="005912DA"/>
    <w:rsid w:val="00591345"/>
    <w:rsid w:val="0059168C"/>
    <w:rsid w:val="005917A4"/>
    <w:rsid w:val="00591AC7"/>
    <w:rsid w:val="005921AF"/>
    <w:rsid w:val="0059254A"/>
    <w:rsid w:val="0059273F"/>
    <w:rsid w:val="00593286"/>
    <w:rsid w:val="00593557"/>
    <w:rsid w:val="00593A0B"/>
    <w:rsid w:val="00593A0D"/>
    <w:rsid w:val="00593F24"/>
    <w:rsid w:val="00594709"/>
    <w:rsid w:val="00594C06"/>
    <w:rsid w:val="00594FA6"/>
    <w:rsid w:val="0059535C"/>
    <w:rsid w:val="00595644"/>
    <w:rsid w:val="0059573B"/>
    <w:rsid w:val="00595AE4"/>
    <w:rsid w:val="00595F7A"/>
    <w:rsid w:val="005962D3"/>
    <w:rsid w:val="00596E51"/>
    <w:rsid w:val="00597BEF"/>
    <w:rsid w:val="00597CF2"/>
    <w:rsid w:val="00597DE0"/>
    <w:rsid w:val="005A004E"/>
    <w:rsid w:val="005A0803"/>
    <w:rsid w:val="005A0A59"/>
    <w:rsid w:val="005A0BF2"/>
    <w:rsid w:val="005A0C38"/>
    <w:rsid w:val="005A12AD"/>
    <w:rsid w:val="005A148C"/>
    <w:rsid w:val="005A15E0"/>
    <w:rsid w:val="005A16A7"/>
    <w:rsid w:val="005A1A88"/>
    <w:rsid w:val="005A1D9C"/>
    <w:rsid w:val="005A2088"/>
    <w:rsid w:val="005A20FD"/>
    <w:rsid w:val="005A2554"/>
    <w:rsid w:val="005A2954"/>
    <w:rsid w:val="005A2A88"/>
    <w:rsid w:val="005A2B02"/>
    <w:rsid w:val="005A2BFD"/>
    <w:rsid w:val="005A2C0C"/>
    <w:rsid w:val="005A2F23"/>
    <w:rsid w:val="005A3477"/>
    <w:rsid w:val="005A39A9"/>
    <w:rsid w:val="005A4A3F"/>
    <w:rsid w:val="005A54B7"/>
    <w:rsid w:val="005A59DE"/>
    <w:rsid w:val="005A59E8"/>
    <w:rsid w:val="005A5C67"/>
    <w:rsid w:val="005A5C8C"/>
    <w:rsid w:val="005A5F3E"/>
    <w:rsid w:val="005A5F73"/>
    <w:rsid w:val="005A5F78"/>
    <w:rsid w:val="005A66B8"/>
    <w:rsid w:val="005A6755"/>
    <w:rsid w:val="005A679E"/>
    <w:rsid w:val="005A6BAC"/>
    <w:rsid w:val="005A6C37"/>
    <w:rsid w:val="005A6D34"/>
    <w:rsid w:val="005A6DB5"/>
    <w:rsid w:val="005B01A7"/>
    <w:rsid w:val="005B0959"/>
    <w:rsid w:val="005B097B"/>
    <w:rsid w:val="005B1029"/>
    <w:rsid w:val="005B1598"/>
    <w:rsid w:val="005B171D"/>
    <w:rsid w:val="005B17D8"/>
    <w:rsid w:val="005B18B2"/>
    <w:rsid w:val="005B2059"/>
    <w:rsid w:val="005B20CF"/>
    <w:rsid w:val="005B2519"/>
    <w:rsid w:val="005B2B14"/>
    <w:rsid w:val="005B2BDE"/>
    <w:rsid w:val="005B2C45"/>
    <w:rsid w:val="005B2EA0"/>
    <w:rsid w:val="005B2FE8"/>
    <w:rsid w:val="005B353B"/>
    <w:rsid w:val="005B3842"/>
    <w:rsid w:val="005B3DBA"/>
    <w:rsid w:val="005B3E32"/>
    <w:rsid w:val="005B4061"/>
    <w:rsid w:val="005B4840"/>
    <w:rsid w:val="005B4A76"/>
    <w:rsid w:val="005B4B44"/>
    <w:rsid w:val="005B5130"/>
    <w:rsid w:val="005B5677"/>
    <w:rsid w:val="005B5AFC"/>
    <w:rsid w:val="005B60EC"/>
    <w:rsid w:val="005B66BF"/>
    <w:rsid w:val="005B6722"/>
    <w:rsid w:val="005B7021"/>
    <w:rsid w:val="005B7097"/>
    <w:rsid w:val="005B73C2"/>
    <w:rsid w:val="005B74E5"/>
    <w:rsid w:val="005B7E4B"/>
    <w:rsid w:val="005B7F07"/>
    <w:rsid w:val="005C01FC"/>
    <w:rsid w:val="005C029F"/>
    <w:rsid w:val="005C02E0"/>
    <w:rsid w:val="005C10ED"/>
    <w:rsid w:val="005C11AB"/>
    <w:rsid w:val="005C14C9"/>
    <w:rsid w:val="005C1714"/>
    <w:rsid w:val="005C1AC8"/>
    <w:rsid w:val="005C1D5C"/>
    <w:rsid w:val="005C1FB9"/>
    <w:rsid w:val="005C266E"/>
    <w:rsid w:val="005C298D"/>
    <w:rsid w:val="005C2B05"/>
    <w:rsid w:val="005C2DAA"/>
    <w:rsid w:val="005C2DC9"/>
    <w:rsid w:val="005C36B3"/>
    <w:rsid w:val="005C3DA6"/>
    <w:rsid w:val="005C4076"/>
    <w:rsid w:val="005C4672"/>
    <w:rsid w:val="005C4C37"/>
    <w:rsid w:val="005C4F1C"/>
    <w:rsid w:val="005C5418"/>
    <w:rsid w:val="005C5513"/>
    <w:rsid w:val="005C5A4B"/>
    <w:rsid w:val="005C5D4E"/>
    <w:rsid w:val="005C5E25"/>
    <w:rsid w:val="005C6118"/>
    <w:rsid w:val="005C65D9"/>
    <w:rsid w:val="005C6C7C"/>
    <w:rsid w:val="005C6D52"/>
    <w:rsid w:val="005C6D67"/>
    <w:rsid w:val="005C6E6F"/>
    <w:rsid w:val="005C7651"/>
    <w:rsid w:val="005C7937"/>
    <w:rsid w:val="005C79CD"/>
    <w:rsid w:val="005C7F9F"/>
    <w:rsid w:val="005D0289"/>
    <w:rsid w:val="005D047B"/>
    <w:rsid w:val="005D0564"/>
    <w:rsid w:val="005D07FE"/>
    <w:rsid w:val="005D0BD9"/>
    <w:rsid w:val="005D12EF"/>
    <w:rsid w:val="005D1457"/>
    <w:rsid w:val="005D182E"/>
    <w:rsid w:val="005D1C7D"/>
    <w:rsid w:val="005D2022"/>
    <w:rsid w:val="005D2800"/>
    <w:rsid w:val="005D3413"/>
    <w:rsid w:val="005D35CB"/>
    <w:rsid w:val="005D37A3"/>
    <w:rsid w:val="005D3F59"/>
    <w:rsid w:val="005D40EA"/>
    <w:rsid w:val="005D4C04"/>
    <w:rsid w:val="005D50EC"/>
    <w:rsid w:val="005D50EF"/>
    <w:rsid w:val="005D5266"/>
    <w:rsid w:val="005D5AA7"/>
    <w:rsid w:val="005D5B36"/>
    <w:rsid w:val="005D608E"/>
    <w:rsid w:val="005D646B"/>
    <w:rsid w:val="005D650F"/>
    <w:rsid w:val="005D676B"/>
    <w:rsid w:val="005D6DEE"/>
    <w:rsid w:val="005D6E30"/>
    <w:rsid w:val="005D7137"/>
    <w:rsid w:val="005D7973"/>
    <w:rsid w:val="005D7B71"/>
    <w:rsid w:val="005D7DFE"/>
    <w:rsid w:val="005D7E59"/>
    <w:rsid w:val="005E05D4"/>
    <w:rsid w:val="005E10A1"/>
    <w:rsid w:val="005E151C"/>
    <w:rsid w:val="005E168D"/>
    <w:rsid w:val="005E1860"/>
    <w:rsid w:val="005E1882"/>
    <w:rsid w:val="005E1DF9"/>
    <w:rsid w:val="005E21D5"/>
    <w:rsid w:val="005E29BB"/>
    <w:rsid w:val="005E2C4A"/>
    <w:rsid w:val="005E3297"/>
    <w:rsid w:val="005E32AA"/>
    <w:rsid w:val="005E3463"/>
    <w:rsid w:val="005E377A"/>
    <w:rsid w:val="005E3925"/>
    <w:rsid w:val="005E4134"/>
    <w:rsid w:val="005E4265"/>
    <w:rsid w:val="005E42DB"/>
    <w:rsid w:val="005E4698"/>
    <w:rsid w:val="005E4720"/>
    <w:rsid w:val="005E5046"/>
    <w:rsid w:val="005E5198"/>
    <w:rsid w:val="005E5753"/>
    <w:rsid w:val="005E579D"/>
    <w:rsid w:val="005E5840"/>
    <w:rsid w:val="005E62CB"/>
    <w:rsid w:val="005E6376"/>
    <w:rsid w:val="005E64C1"/>
    <w:rsid w:val="005E6706"/>
    <w:rsid w:val="005E6E27"/>
    <w:rsid w:val="005E7AB9"/>
    <w:rsid w:val="005F00A5"/>
    <w:rsid w:val="005F05C9"/>
    <w:rsid w:val="005F0BD5"/>
    <w:rsid w:val="005F0F72"/>
    <w:rsid w:val="005F15D8"/>
    <w:rsid w:val="005F17C9"/>
    <w:rsid w:val="005F1A5E"/>
    <w:rsid w:val="005F2257"/>
    <w:rsid w:val="005F226B"/>
    <w:rsid w:val="005F2344"/>
    <w:rsid w:val="005F2FF8"/>
    <w:rsid w:val="005F3487"/>
    <w:rsid w:val="005F3672"/>
    <w:rsid w:val="005F3732"/>
    <w:rsid w:val="005F3F37"/>
    <w:rsid w:val="005F3F60"/>
    <w:rsid w:val="005F464B"/>
    <w:rsid w:val="005F4FCE"/>
    <w:rsid w:val="005F511C"/>
    <w:rsid w:val="005F5329"/>
    <w:rsid w:val="005F5A34"/>
    <w:rsid w:val="005F5B8F"/>
    <w:rsid w:val="005F5BCC"/>
    <w:rsid w:val="005F627F"/>
    <w:rsid w:val="005F62FF"/>
    <w:rsid w:val="005F6356"/>
    <w:rsid w:val="005F63D8"/>
    <w:rsid w:val="005F64F0"/>
    <w:rsid w:val="005F65D0"/>
    <w:rsid w:val="005F6884"/>
    <w:rsid w:val="005F69E9"/>
    <w:rsid w:val="005F6ABE"/>
    <w:rsid w:val="005F6F55"/>
    <w:rsid w:val="005F6FF2"/>
    <w:rsid w:val="005F73FB"/>
    <w:rsid w:val="005F77E3"/>
    <w:rsid w:val="005F7941"/>
    <w:rsid w:val="00600178"/>
    <w:rsid w:val="006001B0"/>
    <w:rsid w:val="006006F6"/>
    <w:rsid w:val="006007F8"/>
    <w:rsid w:val="00600C9D"/>
    <w:rsid w:val="00601350"/>
    <w:rsid w:val="00601824"/>
    <w:rsid w:val="0060187B"/>
    <w:rsid w:val="006018D8"/>
    <w:rsid w:val="006018EB"/>
    <w:rsid w:val="006019A6"/>
    <w:rsid w:val="00601B46"/>
    <w:rsid w:val="00601CB8"/>
    <w:rsid w:val="006022F5"/>
    <w:rsid w:val="00602400"/>
    <w:rsid w:val="006028B3"/>
    <w:rsid w:val="00602FE0"/>
    <w:rsid w:val="00603384"/>
    <w:rsid w:val="0060374F"/>
    <w:rsid w:val="00603793"/>
    <w:rsid w:val="00603B45"/>
    <w:rsid w:val="00603EF3"/>
    <w:rsid w:val="00603FE2"/>
    <w:rsid w:val="0060411F"/>
    <w:rsid w:val="00604306"/>
    <w:rsid w:val="0060467A"/>
    <w:rsid w:val="00604812"/>
    <w:rsid w:val="0060487F"/>
    <w:rsid w:val="00604EBF"/>
    <w:rsid w:val="00604FDD"/>
    <w:rsid w:val="00605FD6"/>
    <w:rsid w:val="00606315"/>
    <w:rsid w:val="006063EF"/>
    <w:rsid w:val="00606810"/>
    <w:rsid w:val="00606E18"/>
    <w:rsid w:val="006071E5"/>
    <w:rsid w:val="00607311"/>
    <w:rsid w:val="00607348"/>
    <w:rsid w:val="0060749B"/>
    <w:rsid w:val="00607BC0"/>
    <w:rsid w:val="00607BF2"/>
    <w:rsid w:val="006101A1"/>
    <w:rsid w:val="0061020A"/>
    <w:rsid w:val="0061027E"/>
    <w:rsid w:val="0061030C"/>
    <w:rsid w:val="00610532"/>
    <w:rsid w:val="00610B39"/>
    <w:rsid w:val="0061127B"/>
    <w:rsid w:val="00611743"/>
    <w:rsid w:val="00611D2D"/>
    <w:rsid w:val="00611D93"/>
    <w:rsid w:val="006126F6"/>
    <w:rsid w:val="006128A7"/>
    <w:rsid w:val="00612A72"/>
    <w:rsid w:val="00612B3E"/>
    <w:rsid w:val="00612BCA"/>
    <w:rsid w:val="00612DE8"/>
    <w:rsid w:val="00613E0E"/>
    <w:rsid w:val="00614430"/>
    <w:rsid w:val="00614510"/>
    <w:rsid w:val="0061495F"/>
    <w:rsid w:val="00614B84"/>
    <w:rsid w:val="00615062"/>
    <w:rsid w:val="00615135"/>
    <w:rsid w:val="0061528E"/>
    <w:rsid w:val="00616188"/>
    <w:rsid w:val="00616A6E"/>
    <w:rsid w:val="00616DAE"/>
    <w:rsid w:val="0061721D"/>
    <w:rsid w:val="0061732C"/>
    <w:rsid w:val="006178AE"/>
    <w:rsid w:val="0062029C"/>
    <w:rsid w:val="006209BD"/>
    <w:rsid w:val="00620C2F"/>
    <w:rsid w:val="00621ABA"/>
    <w:rsid w:val="00621AC8"/>
    <w:rsid w:val="00621D05"/>
    <w:rsid w:val="0062260B"/>
    <w:rsid w:val="006228E4"/>
    <w:rsid w:val="00622FE1"/>
    <w:rsid w:val="00623058"/>
    <w:rsid w:val="006231AA"/>
    <w:rsid w:val="006234AF"/>
    <w:rsid w:val="00624664"/>
    <w:rsid w:val="00624741"/>
    <w:rsid w:val="00624840"/>
    <w:rsid w:val="00625B73"/>
    <w:rsid w:val="00625C19"/>
    <w:rsid w:val="00625C65"/>
    <w:rsid w:val="00625F88"/>
    <w:rsid w:val="006262B5"/>
    <w:rsid w:val="006265B1"/>
    <w:rsid w:val="00626990"/>
    <w:rsid w:val="006269D4"/>
    <w:rsid w:val="00626BCC"/>
    <w:rsid w:val="00626CB9"/>
    <w:rsid w:val="00626DC0"/>
    <w:rsid w:val="0062733F"/>
    <w:rsid w:val="00627343"/>
    <w:rsid w:val="006275C8"/>
    <w:rsid w:val="00627A42"/>
    <w:rsid w:val="00627CE6"/>
    <w:rsid w:val="00627D02"/>
    <w:rsid w:val="00627D16"/>
    <w:rsid w:val="00627E55"/>
    <w:rsid w:val="00630111"/>
    <w:rsid w:val="0063056B"/>
    <w:rsid w:val="00630E3A"/>
    <w:rsid w:val="00630FA4"/>
    <w:rsid w:val="006310E5"/>
    <w:rsid w:val="006314D2"/>
    <w:rsid w:val="00631FDA"/>
    <w:rsid w:val="0063203F"/>
    <w:rsid w:val="00633519"/>
    <w:rsid w:val="00633D92"/>
    <w:rsid w:val="00633F20"/>
    <w:rsid w:val="00633FB5"/>
    <w:rsid w:val="006345EA"/>
    <w:rsid w:val="00634644"/>
    <w:rsid w:val="0063488B"/>
    <w:rsid w:val="006348E4"/>
    <w:rsid w:val="00634AE3"/>
    <w:rsid w:val="0063508D"/>
    <w:rsid w:val="00635215"/>
    <w:rsid w:val="006356B3"/>
    <w:rsid w:val="00635D6D"/>
    <w:rsid w:val="006360B9"/>
    <w:rsid w:val="006363B2"/>
    <w:rsid w:val="00636860"/>
    <w:rsid w:val="00636A6F"/>
    <w:rsid w:val="00636F48"/>
    <w:rsid w:val="00637231"/>
    <w:rsid w:val="006373ED"/>
    <w:rsid w:val="00637801"/>
    <w:rsid w:val="006378B4"/>
    <w:rsid w:val="00637DFB"/>
    <w:rsid w:val="00640321"/>
    <w:rsid w:val="006403CA"/>
    <w:rsid w:val="00640616"/>
    <w:rsid w:val="00640B70"/>
    <w:rsid w:val="0064130B"/>
    <w:rsid w:val="006416D8"/>
    <w:rsid w:val="00641D7E"/>
    <w:rsid w:val="00641E1A"/>
    <w:rsid w:val="00641E89"/>
    <w:rsid w:val="00641FAA"/>
    <w:rsid w:val="006425D9"/>
    <w:rsid w:val="00642619"/>
    <w:rsid w:val="00642634"/>
    <w:rsid w:val="00642A08"/>
    <w:rsid w:val="00642B81"/>
    <w:rsid w:val="00643585"/>
    <w:rsid w:val="00643912"/>
    <w:rsid w:val="00643A08"/>
    <w:rsid w:val="00643D73"/>
    <w:rsid w:val="00643EFE"/>
    <w:rsid w:val="0064421F"/>
    <w:rsid w:val="006443B2"/>
    <w:rsid w:val="00644460"/>
    <w:rsid w:val="00644913"/>
    <w:rsid w:val="00644F88"/>
    <w:rsid w:val="00645255"/>
    <w:rsid w:val="00645CD0"/>
    <w:rsid w:val="0064689F"/>
    <w:rsid w:val="00646A69"/>
    <w:rsid w:val="00646B86"/>
    <w:rsid w:val="00647311"/>
    <w:rsid w:val="00647B5A"/>
    <w:rsid w:val="00647C49"/>
    <w:rsid w:val="00650052"/>
    <w:rsid w:val="0065043D"/>
    <w:rsid w:val="00650457"/>
    <w:rsid w:val="00650681"/>
    <w:rsid w:val="00650CEF"/>
    <w:rsid w:val="00650DF6"/>
    <w:rsid w:val="00650E04"/>
    <w:rsid w:val="00650EAC"/>
    <w:rsid w:val="00650FC7"/>
    <w:rsid w:val="00651929"/>
    <w:rsid w:val="00651D3B"/>
    <w:rsid w:val="00651EF0"/>
    <w:rsid w:val="00652047"/>
    <w:rsid w:val="0065225F"/>
    <w:rsid w:val="006522E5"/>
    <w:rsid w:val="0065281E"/>
    <w:rsid w:val="006528D0"/>
    <w:rsid w:val="00652A40"/>
    <w:rsid w:val="00652B8E"/>
    <w:rsid w:val="00652DD4"/>
    <w:rsid w:val="00652E6A"/>
    <w:rsid w:val="00652F18"/>
    <w:rsid w:val="00653D88"/>
    <w:rsid w:val="00653F83"/>
    <w:rsid w:val="00653FA9"/>
    <w:rsid w:val="0065402A"/>
    <w:rsid w:val="00654203"/>
    <w:rsid w:val="006545FD"/>
    <w:rsid w:val="0065460B"/>
    <w:rsid w:val="00654747"/>
    <w:rsid w:val="006547DB"/>
    <w:rsid w:val="00654DA9"/>
    <w:rsid w:val="00654F12"/>
    <w:rsid w:val="006550D7"/>
    <w:rsid w:val="00655722"/>
    <w:rsid w:val="00655BCB"/>
    <w:rsid w:val="0065663D"/>
    <w:rsid w:val="00656670"/>
    <w:rsid w:val="006566B7"/>
    <w:rsid w:val="006577D2"/>
    <w:rsid w:val="00657A0D"/>
    <w:rsid w:val="00657E5A"/>
    <w:rsid w:val="00657EDE"/>
    <w:rsid w:val="0066002F"/>
    <w:rsid w:val="006601D0"/>
    <w:rsid w:val="0066022D"/>
    <w:rsid w:val="0066048C"/>
    <w:rsid w:val="0066094F"/>
    <w:rsid w:val="0066098C"/>
    <w:rsid w:val="00660DE9"/>
    <w:rsid w:val="0066132D"/>
    <w:rsid w:val="00661977"/>
    <w:rsid w:val="006619E4"/>
    <w:rsid w:val="00661D6F"/>
    <w:rsid w:val="00662898"/>
    <w:rsid w:val="00662C2B"/>
    <w:rsid w:val="00662D75"/>
    <w:rsid w:val="00662FD8"/>
    <w:rsid w:val="00663079"/>
    <w:rsid w:val="00663267"/>
    <w:rsid w:val="00663318"/>
    <w:rsid w:val="0066333B"/>
    <w:rsid w:val="00663894"/>
    <w:rsid w:val="00663CD4"/>
    <w:rsid w:val="00664109"/>
    <w:rsid w:val="00664573"/>
    <w:rsid w:val="00664CF1"/>
    <w:rsid w:val="0066590B"/>
    <w:rsid w:val="00665C19"/>
    <w:rsid w:val="00665EE6"/>
    <w:rsid w:val="00667933"/>
    <w:rsid w:val="00667F61"/>
    <w:rsid w:val="006701A6"/>
    <w:rsid w:val="006702B3"/>
    <w:rsid w:val="00670CE3"/>
    <w:rsid w:val="006710A7"/>
    <w:rsid w:val="006717F9"/>
    <w:rsid w:val="00671848"/>
    <w:rsid w:val="00671E47"/>
    <w:rsid w:val="00671E9F"/>
    <w:rsid w:val="00672190"/>
    <w:rsid w:val="00672473"/>
    <w:rsid w:val="00672512"/>
    <w:rsid w:val="0067285B"/>
    <w:rsid w:val="00672916"/>
    <w:rsid w:val="00672E5D"/>
    <w:rsid w:val="00672F1E"/>
    <w:rsid w:val="00673193"/>
    <w:rsid w:val="0067324A"/>
    <w:rsid w:val="00673A6B"/>
    <w:rsid w:val="00673C09"/>
    <w:rsid w:val="00673C73"/>
    <w:rsid w:val="00673FC0"/>
    <w:rsid w:val="00674125"/>
    <w:rsid w:val="0067455C"/>
    <w:rsid w:val="00674B92"/>
    <w:rsid w:val="00674D37"/>
    <w:rsid w:val="00674EE1"/>
    <w:rsid w:val="00674FAE"/>
    <w:rsid w:val="00675597"/>
    <w:rsid w:val="0067570D"/>
    <w:rsid w:val="00675C5E"/>
    <w:rsid w:val="006769B4"/>
    <w:rsid w:val="00676A3E"/>
    <w:rsid w:val="00676C07"/>
    <w:rsid w:val="00677349"/>
    <w:rsid w:val="006773CB"/>
    <w:rsid w:val="006775EF"/>
    <w:rsid w:val="00677DD4"/>
    <w:rsid w:val="00680703"/>
    <w:rsid w:val="006809A2"/>
    <w:rsid w:val="00680B86"/>
    <w:rsid w:val="00680BE7"/>
    <w:rsid w:val="006816CE"/>
    <w:rsid w:val="006817F8"/>
    <w:rsid w:val="00681973"/>
    <w:rsid w:val="006819A9"/>
    <w:rsid w:val="006821C4"/>
    <w:rsid w:val="00682318"/>
    <w:rsid w:val="006825A0"/>
    <w:rsid w:val="00682978"/>
    <w:rsid w:val="00682B29"/>
    <w:rsid w:val="00682BC7"/>
    <w:rsid w:val="00683023"/>
    <w:rsid w:val="00683371"/>
    <w:rsid w:val="00684551"/>
    <w:rsid w:val="00685328"/>
    <w:rsid w:val="00685451"/>
    <w:rsid w:val="0068598A"/>
    <w:rsid w:val="00685AED"/>
    <w:rsid w:val="00685FE1"/>
    <w:rsid w:val="00686615"/>
    <w:rsid w:val="00686874"/>
    <w:rsid w:val="006870F5"/>
    <w:rsid w:val="00687643"/>
    <w:rsid w:val="00687C13"/>
    <w:rsid w:val="00687D10"/>
    <w:rsid w:val="00690438"/>
    <w:rsid w:val="0069052E"/>
    <w:rsid w:val="00690536"/>
    <w:rsid w:val="0069056B"/>
    <w:rsid w:val="00690779"/>
    <w:rsid w:val="00690A19"/>
    <w:rsid w:val="00690B77"/>
    <w:rsid w:val="006912DB"/>
    <w:rsid w:val="0069189B"/>
    <w:rsid w:val="00692B29"/>
    <w:rsid w:val="00692F59"/>
    <w:rsid w:val="0069302E"/>
    <w:rsid w:val="00693219"/>
    <w:rsid w:val="006934C7"/>
    <w:rsid w:val="00693733"/>
    <w:rsid w:val="00693EDD"/>
    <w:rsid w:val="0069449C"/>
    <w:rsid w:val="006944BF"/>
    <w:rsid w:val="0069467B"/>
    <w:rsid w:val="006948E0"/>
    <w:rsid w:val="00694AEF"/>
    <w:rsid w:val="00694C21"/>
    <w:rsid w:val="00694CEB"/>
    <w:rsid w:val="00694E58"/>
    <w:rsid w:val="00694F96"/>
    <w:rsid w:val="00695385"/>
    <w:rsid w:val="00695580"/>
    <w:rsid w:val="00695839"/>
    <w:rsid w:val="006958E9"/>
    <w:rsid w:val="00695F23"/>
    <w:rsid w:val="00695F54"/>
    <w:rsid w:val="00696128"/>
    <w:rsid w:val="0069669D"/>
    <w:rsid w:val="00696783"/>
    <w:rsid w:val="006967C6"/>
    <w:rsid w:val="00696E16"/>
    <w:rsid w:val="00696E1D"/>
    <w:rsid w:val="0069700C"/>
    <w:rsid w:val="006979CF"/>
    <w:rsid w:val="00697C4E"/>
    <w:rsid w:val="006A0050"/>
    <w:rsid w:val="006A0097"/>
    <w:rsid w:val="006A04B7"/>
    <w:rsid w:val="006A0F10"/>
    <w:rsid w:val="006A14DF"/>
    <w:rsid w:val="006A16A5"/>
    <w:rsid w:val="006A1CE7"/>
    <w:rsid w:val="006A1D62"/>
    <w:rsid w:val="006A2A32"/>
    <w:rsid w:val="006A308B"/>
    <w:rsid w:val="006A3207"/>
    <w:rsid w:val="006A3BB4"/>
    <w:rsid w:val="006A3BC0"/>
    <w:rsid w:val="006A3F27"/>
    <w:rsid w:val="006A451E"/>
    <w:rsid w:val="006A470C"/>
    <w:rsid w:val="006A4799"/>
    <w:rsid w:val="006A4ACF"/>
    <w:rsid w:val="006A4B54"/>
    <w:rsid w:val="006A4C5A"/>
    <w:rsid w:val="006A4D60"/>
    <w:rsid w:val="006A50C2"/>
    <w:rsid w:val="006A5500"/>
    <w:rsid w:val="006A5634"/>
    <w:rsid w:val="006A5AAA"/>
    <w:rsid w:val="006A60FB"/>
    <w:rsid w:val="006A60FC"/>
    <w:rsid w:val="006A61C8"/>
    <w:rsid w:val="006A6510"/>
    <w:rsid w:val="006A66DE"/>
    <w:rsid w:val="006A6867"/>
    <w:rsid w:val="006A72F9"/>
    <w:rsid w:val="006A740E"/>
    <w:rsid w:val="006A79C4"/>
    <w:rsid w:val="006A7A0B"/>
    <w:rsid w:val="006B027C"/>
    <w:rsid w:val="006B04B6"/>
    <w:rsid w:val="006B10A0"/>
    <w:rsid w:val="006B1722"/>
    <w:rsid w:val="006B195C"/>
    <w:rsid w:val="006B2403"/>
    <w:rsid w:val="006B25C4"/>
    <w:rsid w:val="006B2D4F"/>
    <w:rsid w:val="006B2DC1"/>
    <w:rsid w:val="006B2E18"/>
    <w:rsid w:val="006B2EA1"/>
    <w:rsid w:val="006B3430"/>
    <w:rsid w:val="006B3A22"/>
    <w:rsid w:val="006B3B99"/>
    <w:rsid w:val="006B3BF5"/>
    <w:rsid w:val="006B428E"/>
    <w:rsid w:val="006B42C2"/>
    <w:rsid w:val="006B44B1"/>
    <w:rsid w:val="006B455F"/>
    <w:rsid w:val="006B472B"/>
    <w:rsid w:val="006B476F"/>
    <w:rsid w:val="006B49AA"/>
    <w:rsid w:val="006B4DCF"/>
    <w:rsid w:val="006B501E"/>
    <w:rsid w:val="006B5131"/>
    <w:rsid w:val="006B51D7"/>
    <w:rsid w:val="006B5613"/>
    <w:rsid w:val="006B589A"/>
    <w:rsid w:val="006B656E"/>
    <w:rsid w:val="006B67BD"/>
    <w:rsid w:val="006B691B"/>
    <w:rsid w:val="006B7329"/>
    <w:rsid w:val="006B7482"/>
    <w:rsid w:val="006B75B4"/>
    <w:rsid w:val="006B76AF"/>
    <w:rsid w:val="006B7900"/>
    <w:rsid w:val="006C048D"/>
    <w:rsid w:val="006C08F9"/>
    <w:rsid w:val="006C0AD2"/>
    <w:rsid w:val="006C1B1F"/>
    <w:rsid w:val="006C1C56"/>
    <w:rsid w:val="006C1EDE"/>
    <w:rsid w:val="006C1F84"/>
    <w:rsid w:val="006C235D"/>
    <w:rsid w:val="006C2AC8"/>
    <w:rsid w:val="006C30EA"/>
    <w:rsid w:val="006C3328"/>
    <w:rsid w:val="006C343E"/>
    <w:rsid w:val="006C3616"/>
    <w:rsid w:val="006C36D2"/>
    <w:rsid w:val="006C3CF4"/>
    <w:rsid w:val="006C3DD7"/>
    <w:rsid w:val="006C4118"/>
    <w:rsid w:val="006C4266"/>
    <w:rsid w:val="006C4414"/>
    <w:rsid w:val="006C4840"/>
    <w:rsid w:val="006C4FFE"/>
    <w:rsid w:val="006C5126"/>
    <w:rsid w:val="006C53FA"/>
    <w:rsid w:val="006C5C96"/>
    <w:rsid w:val="006C5F1D"/>
    <w:rsid w:val="006C6094"/>
    <w:rsid w:val="006C632E"/>
    <w:rsid w:val="006C649E"/>
    <w:rsid w:val="006C64C9"/>
    <w:rsid w:val="006C67F2"/>
    <w:rsid w:val="006C6DFC"/>
    <w:rsid w:val="006C75BB"/>
    <w:rsid w:val="006C7665"/>
    <w:rsid w:val="006C7B31"/>
    <w:rsid w:val="006D02A7"/>
    <w:rsid w:val="006D04B1"/>
    <w:rsid w:val="006D0B7B"/>
    <w:rsid w:val="006D11A1"/>
    <w:rsid w:val="006D13F3"/>
    <w:rsid w:val="006D1A43"/>
    <w:rsid w:val="006D1FC4"/>
    <w:rsid w:val="006D2078"/>
    <w:rsid w:val="006D2145"/>
    <w:rsid w:val="006D22F9"/>
    <w:rsid w:val="006D2829"/>
    <w:rsid w:val="006D295A"/>
    <w:rsid w:val="006D2C91"/>
    <w:rsid w:val="006D2D9C"/>
    <w:rsid w:val="006D377F"/>
    <w:rsid w:val="006D3A6D"/>
    <w:rsid w:val="006D41C9"/>
    <w:rsid w:val="006D44DB"/>
    <w:rsid w:val="006D451A"/>
    <w:rsid w:val="006D49CD"/>
    <w:rsid w:val="006D4BF3"/>
    <w:rsid w:val="006D4F0D"/>
    <w:rsid w:val="006D4F27"/>
    <w:rsid w:val="006D509D"/>
    <w:rsid w:val="006D55A4"/>
    <w:rsid w:val="006D571C"/>
    <w:rsid w:val="006D58B0"/>
    <w:rsid w:val="006D661B"/>
    <w:rsid w:val="006D68C5"/>
    <w:rsid w:val="006D6A92"/>
    <w:rsid w:val="006D6AED"/>
    <w:rsid w:val="006D75F6"/>
    <w:rsid w:val="006D776D"/>
    <w:rsid w:val="006D7A6A"/>
    <w:rsid w:val="006D7AD8"/>
    <w:rsid w:val="006E042B"/>
    <w:rsid w:val="006E060E"/>
    <w:rsid w:val="006E0923"/>
    <w:rsid w:val="006E0A0A"/>
    <w:rsid w:val="006E0C1C"/>
    <w:rsid w:val="006E0C49"/>
    <w:rsid w:val="006E106F"/>
    <w:rsid w:val="006E13EB"/>
    <w:rsid w:val="006E1502"/>
    <w:rsid w:val="006E1B37"/>
    <w:rsid w:val="006E1CBF"/>
    <w:rsid w:val="006E1F11"/>
    <w:rsid w:val="006E1F9F"/>
    <w:rsid w:val="006E200B"/>
    <w:rsid w:val="006E211C"/>
    <w:rsid w:val="006E2242"/>
    <w:rsid w:val="006E2325"/>
    <w:rsid w:val="006E2349"/>
    <w:rsid w:val="006E2446"/>
    <w:rsid w:val="006E290E"/>
    <w:rsid w:val="006E2BF9"/>
    <w:rsid w:val="006E3405"/>
    <w:rsid w:val="006E37FE"/>
    <w:rsid w:val="006E3AEC"/>
    <w:rsid w:val="006E3BCF"/>
    <w:rsid w:val="006E3DE5"/>
    <w:rsid w:val="006E41C3"/>
    <w:rsid w:val="006E41FE"/>
    <w:rsid w:val="006E44C8"/>
    <w:rsid w:val="006E48F0"/>
    <w:rsid w:val="006E4974"/>
    <w:rsid w:val="006E49C8"/>
    <w:rsid w:val="006E4A97"/>
    <w:rsid w:val="006E4C33"/>
    <w:rsid w:val="006E505A"/>
    <w:rsid w:val="006E5930"/>
    <w:rsid w:val="006E5A9B"/>
    <w:rsid w:val="006E6202"/>
    <w:rsid w:val="006E6941"/>
    <w:rsid w:val="006E6983"/>
    <w:rsid w:val="006E6A4C"/>
    <w:rsid w:val="006E6B27"/>
    <w:rsid w:val="006E6DA2"/>
    <w:rsid w:val="006E6DEC"/>
    <w:rsid w:val="006E7041"/>
    <w:rsid w:val="006E7CC9"/>
    <w:rsid w:val="006E7EE9"/>
    <w:rsid w:val="006E7F9C"/>
    <w:rsid w:val="006F02E7"/>
    <w:rsid w:val="006F059D"/>
    <w:rsid w:val="006F080E"/>
    <w:rsid w:val="006F0870"/>
    <w:rsid w:val="006F0909"/>
    <w:rsid w:val="006F0A35"/>
    <w:rsid w:val="006F1000"/>
    <w:rsid w:val="006F1D55"/>
    <w:rsid w:val="006F1E49"/>
    <w:rsid w:val="006F2494"/>
    <w:rsid w:val="006F2538"/>
    <w:rsid w:val="006F29D8"/>
    <w:rsid w:val="006F2A17"/>
    <w:rsid w:val="006F2C99"/>
    <w:rsid w:val="006F2D9E"/>
    <w:rsid w:val="006F3843"/>
    <w:rsid w:val="006F3C2E"/>
    <w:rsid w:val="006F451B"/>
    <w:rsid w:val="006F45C0"/>
    <w:rsid w:val="006F4A8E"/>
    <w:rsid w:val="006F4FF5"/>
    <w:rsid w:val="006F5317"/>
    <w:rsid w:val="006F5354"/>
    <w:rsid w:val="006F599B"/>
    <w:rsid w:val="006F5D70"/>
    <w:rsid w:val="006F5F88"/>
    <w:rsid w:val="006F6308"/>
    <w:rsid w:val="006F6760"/>
    <w:rsid w:val="006F688E"/>
    <w:rsid w:val="006F69CF"/>
    <w:rsid w:val="006F6BB1"/>
    <w:rsid w:val="006F6C63"/>
    <w:rsid w:val="006F6ED7"/>
    <w:rsid w:val="006F6F84"/>
    <w:rsid w:val="006F7141"/>
    <w:rsid w:val="006F72C7"/>
    <w:rsid w:val="006F73F5"/>
    <w:rsid w:val="006F7499"/>
    <w:rsid w:val="0070016B"/>
    <w:rsid w:val="007002AF"/>
    <w:rsid w:val="00700349"/>
    <w:rsid w:val="007005E9"/>
    <w:rsid w:val="00700A1F"/>
    <w:rsid w:val="00700AC9"/>
    <w:rsid w:val="007012B1"/>
    <w:rsid w:val="007019F8"/>
    <w:rsid w:val="00701A15"/>
    <w:rsid w:val="00702023"/>
    <w:rsid w:val="007022B5"/>
    <w:rsid w:val="00702554"/>
    <w:rsid w:val="00702679"/>
    <w:rsid w:val="00702703"/>
    <w:rsid w:val="00702A84"/>
    <w:rsid w:val="00702DD1"/>
    <w:rsid w:val="0070305D"/>
    <w:rsid w:val="00703124"/>
    <w:rsid w:val="0070353C"/>
    <w:rsid w:val="00703723"/>
    <w:rsid w:val="00703886"/>
    <w:rsid w:val="00703AD5"/>
    <w:rsid w:val="00703D9B"/>
    <w:rsid w:val="00703E5C"/>
    <w:rsid w:val="00703EC2"/>
    <w:rsid w:val="007040DE"/>
    <w:rsid w:val="0070444E"/>
    <w:rsid w:val="007044F5"/>
    <w:rsid w:val="00704B08"/>
    <w:rsid w:val="0070558E"/>
    <w:rsid w:val="00705926"/>
    <w:rsid w:val="00705A1F"/>
    <w:rsid w:val="00705CD0"/>
    <w:rsid w:val="0070672E"/>
    <w:rsid w:val="00706B5A"/>
    <w:rsid w:val="00706BA2"/>
    <w:rsid w:val="0070717D"/>
    <w:rsid w:val="0070753A"/>
    <w:rsid w:val="00707A22"/>
    <w:rsid w:val="0071024E"/>
    <w:rsid w:val="0071079D"/>
    <w:rsid w:val="00710939"/>
    <w:rsid w:val="00710A89"/>
    <w:rsid w:val="00710E18"/>
    <w:rsid w:val="00711412"/>
    <w:rsid w:val="007115BF"/>
    <w:rsid w:val="00711AA2"/>
    <w:rsid w:val="007121A4"/>
    <w:rsid w:val="00712DF1"/>
    <w:rsid w:val="00712FB6"/>
    <w:rsid w:val="00712FD4"/>
    <w:rsid w:val="00713004"/>
    <w:rsid w:val="00713045"/>
    <w:rsid w:val="007131DC"/>
    <w:rsid w:val="00713560"/>
    <w:rsid w:val="00713E0B"/>
    <w:rsid w:val="00713F1B"/>
    <w:rsid w:val="00714013"/>
    <w:rsid w:val="00714512"/>
    <w:rsid w:val="007148DE"/>
    <w:rsid w:val="0071491D"/>
    <w:rsid w:val="007149E3"/>
    <w:rsid w:val="00714D37"/>
    <w:rsid w:val="0071518A"/>
    <w:rsid w:val="00715869"/>
    <w:rsid w:val="007160B6"/>
    <w:rsid w:val="0071636D"/>
    <w:rsid w:val="00716830"/>
    <w:rsid w:val="00716BDD"/>
    <w:rsid w:val="00716D27"/>
    <w:rsid w:val="00717155"/>
    <w:rsid w:val="00717228"/>
    <w:rsid w:val="007172F8"/>
    <w:rsid w:val="0071732E"/>
    <w:rsid w:val="00717619"/>
    <w:rsid w:val="0071798D"/>
    <w:rsid w:val="00717AD5"/>
    <w:rsid w:val="00717CA8"/>
    <w:rsid w:val="00717E8C"/>
    <w:rsid w:val="00720A83"/>
    <w:rsid w:val="00720C52"/>
    <w:rsid w:val="00720CAC"/>
    <w:rsid w:val="007218B0"/>
    <w:rsid w:val="00721974"/>
    <w:rsid w:val="00721B1A"/>
    <w:rsid w:val="00721BC1"/>
    <w:rsid w:val="00721DF1"/>
    <w:rsid w:val="007226BE"/>
    <w:rsid w:val="007226C0"/>
    <w:rsid w:val="00722802"/>
    <w:rsid w:val="00722AED"/>
    <w:rsid w:val="00722B82"/>
    <w:rsid w:val="00722D8F"/>
    <w:rsid w:val="0072315A"/>
    <w:rsid w:val="007231D7"/>
    <w:rsid w:val="00723480"/>
    <w:rsid w:val="007239EB"/>
    <w:rsid w:val="00723C6E"/>
    <w:rsid w:val="0072420F"/>
    <w:rsid w:val="007245A0"/>
    <w:rsid w:val="007246DD"/>
    <w:rsid w:val="00724F0E"/>
    <w:rsid w:val="0072527E"/>
    <w:rsid w:val="007252DA"/>
    <w:rsid w:val="00725978"/>
    <w:rsid w:val="00725EDE"/>
    <w:rsid w:val="00726338"/>
    <w:rsid w:val="00726398"/>
    <w:rsid w:val="00727462"/>
    <w:rsid w:val="00727A9B"/>
    <w:rsid w:val="00727F9F"/>
    <w:rsid w:val="00727FFA"/>
    <w:rsid w:val="00730490"/>
    <w:rsid w:val="00730629"/>
    <w:rsid w:val="007308BC"/>
    <w:rsid w:val="00730AB6"/>
    <w:rsid w:val="00730BB9"/>
    <w:rsid w:val="00731053"/>
    <w:rsid w:val="0073105C"/>
    <w:rsid w:val="00732359"/>
    <w:rsid w:val="00732662"/>
    <w:rsid w:val="00732B09"/>
    <w:rsid w:val="00732CF1"/>
    <w:rsid w:val="00733179"/>
    <w:rsid w:val="00733360"/>
    <w:rsid w:val="00734106"/>
    <w:rsid w:val="0073410B"/>
    <w:rsid w:val="007343A7"/>
    <w:rsid w:val="007345DC"/>
    <w:rsid w:val="00734D5F"/>
    <w:rsid w:val="00734EAE"/>
    <w:rsid w:val="0073508C"/>
    <w:rsid w:val="00735235"/>
    <w:rsid w:val="00735236"/>
    <w:rsid w:val="007357CB"/>
    <w:rsid w:val="00735976"/>
    <w:rsid w:val="00735A3D"/>
    <w:rsid w:val="00735C13"/>
    <w:rsid w:val="00736109"/>
    <w:rsid w:val="0073628B"/>
    <w:rsid w:val="007370BD"/>
    <w:rsid w:val="0073710E"/>
    <w:rsid w:val="00737621"/>
    <w:rsid w:val="007376B0"/>
    <w:rsid w:val="00737A01"/>
    <w:rsid w:val="00737BA8"/>
    <w:rsid w:val="00737E53"/>
    <w:rsid w:val="00740436"/>
    <w:rsid w:val="00740748"/>
    <w:rsid w:val="00740ED5"/>
    <w:rsid w:val="00741212"/>
    <w:rsid w:val="00741686"/>
    <w:rsid w:val="00741BB4"/>
    <w:rsid w:val="00741C58"/>
    <w:rsid w:val="00741D85"/>
    <w:rsid w:val="007420A3"/>
    <w:rsid w:val="0074226A"/>
    <w:rsid w:val="00742339"/>
    <w:rsid w:val="00742BB4"/>
    <w:rsid w:val="00743582"/>
    <w:rsid w:val="007435BA"/>
    <w:rsid w:val="00743BFD"/>
    <w:rsid w:val="0074403E"/>
    <w:rsid w:val="00744EED"/>
    <w:rsid w:val="00744EF4"/>
    <w:rsid w:val="00745066"/>
    <w:rsid w:val="007455D7"/>
    <w:rsid w:val="0074654E"/>
    <w:rsid w:val="0074671A"/>
    <w:rsid w:val="00746A81"/>
    <w:rsid w:val="00747199"/>
    <w:rsid w:val="007471CA"/>
    <w:rsid w:val="007476E1"/>
    <w:rsid w:val="00747AEA"/>
    <w:rsid w:val="00747D61"/>
    <w:rsid w:val="00747F53"/>
    <w:rsid w:val="007506EB"/>
    <w:rsid w:val="00750751"/>
    <w:rsid w:val="00750786"/>
    <w:rsid w:val="0075102A"/>
    <w:rsid w:val="007513B3"/>
    <w:rsid w:val="00751494"/>
    <w:rsid w:val="007515E0"/>
    <w:rsid w:val="007516B6"/>
    <w:rsid w:val="007518FC"/>
    <w:rsid w:val="00752303"/>
    <w:rsid w:val="00752494"/>
    <w:rsid w:val="00752706"/>
    <w:rsid w:val="00752EB2"/>
    <w:rsid w:val="00753084"/>
    <w:rsid w:val="0075311D"/>
    <w:rsid w:val="00753497"/>
    <w:rsid w:val="00753B35"/>
    <w:rsid w:val="00753C58"/>
    <w:rsid w:val="00753C79"/>
    <w:rsid w:val="0075435C"/>
    <w:rsid w:val="00754B24"/>
    <w:rsid w:val="00754B64"/>
    <w:rsid w:val="007550F9"/>
    <w:rsid w:val="007551A4"/>
    <w:rsid w:val="0075545A"/>
    <w:rsid w:val="00755AE8"/>
    <w:rsid w:val="007564E4"/>
    <w:rsid w:val="007568B9"/>
    <w:rsid w:val="00756BFC"/>
    <w:rsid w:val="00757134"/>
    <w:rsid w:val="00757453"/>
    <w:rsid w:val="00757824"/>
    <w:rsid w:val="00757A81"/>
    <w:rsid w:val="00757C8F"/>
    <w:rsid w:val="00757CA1"/>
    <w:rsid w:val="00757F80"/>
    <w:rsid w:val="00760449"/>
    <w:rsid w:val="007605F1"/>
    <w:rsid w:val="00760E45"/>
    <w:rsid w:val="00760F11"/>
    <w:rsid w:val="0076173E"/>
    <w:rsid w:val="007619FD"/>
    <w:rsid w:val="00761ACD"/>
    <w:rsid w:val="007622DD"/>
    <w:rsid w:val="007624F4"/>
    <w:rsid w:val="007625BC"/>
    <w:rsid w:val="0076287C"/>
    <w:rsid w:val="00763570"/>
    <w:rsid w:val="00763B86"/>
    <w:rsid w:val="00763CA4"/>
    <w:rsid w:val="00763DDE"/>
    <w:rsid w:val="0076410E"/>
    <w:rsid w:val="00764391"/>
    <w:rsid w:val="00764603"/>
    <w:rsid w:val="00764655"/>
    <w:rsid w:val="007647EA"/>
    <w:rsid w:val="0076496A"/>
    <w:rsid w:val="0076496B"/>
    <w:rsid w:val="00764A70"/>
    <w:rsid w:val="00764B02"/>
    <w:rsid w:val="00764BE2"/>
    <w:rsid w:val="00764FAC"/>
    <w:rsid w:val="00765055"/>
    <w:rsid w:val="00765443"/>
    <w:rsid w:val="0076549E"/>
    <w:rsid w:val="007655E0"/>
    <w:rsid w:val="00765775"/>
    <w:rsid w:val="00765980"/>
    <w:rsid w:val="00765B27"/>
    <w:rsid w:val="00765C77"/>
    <w:rsid w:val="00766867"/>
    <w:rsid w:val="00766C8C"/>
    <w:rsid w:val="00766CCE"/>
    <w:rsid w:val="00766DC6"/>
    <w:rsid w:val="007676B0"/>
    <w:rsid w:val="0076784A"/>
    <w:rsid w:val="007701FA"/>
    <w:rsid w:val="007707B3"/>
    <w:rsid w:val="00770821"/>
    <w:rsid w:val="00770BC5"/>
    <w:rsid w:val="00770C67"/>
    <w:rsid w:val="0077121C"/>
    <w:rsid w:val="00771687"/>
    <w:rsid w:val="007716C0"/>
    <w:rsid w:val="00771C31"/>
    <w:rsid w:val="0077215F"/>
    <w:rsid w:val="007722DF"/>
    <w:rsid w:val="007724A6"/>
    <w:rsid w:val="00773230"/>
    <w:rsid w:val="0077331D"/>
    <w:rsid w:val="0077337F"/>
    <w:rsid w:val="007733A2"/>
    <w:rsid w:val="0077356E"/>
    <w:rsid w:val="00773A41"/>
    <w:rsid w:val="007744D0"/>
    <w:rsid w:val="0077514E"/>
    <w:rsid w:val="007752BB"/>
    <w:rsid w:val="007752F2"/>
    <w:rsid w:val="0077551F"/>
    <w:rsid w:val="00775539"/>
    <w:rsid w:val="00775774"/>
    <w:rsid w:val="00775DDF"/>
    <w:rsid w:val="00775F2D"/>
    <w:rsid w:val="00776881"/>
    <w:rsid w:val="00776AF6"/>
    <w:rsid w:val="00777353"/>
    <w:rsid w:val="00777F99"/>
    <w:rsid w:val="0078003E"/>
    <w:rsid w:val="00780041"/>
    <w:rsid w:val="00780114"/>
    <w:rsid w:val="007802D3"/>
    <w:rsid w:val="0078059F"/>
    <w:rsid w:val="00780B29"/>
    <w:rsid w:val="007811EE"/>
    <w:rsid w:val="00781366"/>
    <w:rsid w:val="007814FD"/>
    <w:rsid w:val="007816E7"/>
    <w:rsid w:val="00781969"/>
    <w:rsid w:val="00781C14"/>
    <w:rsid w:val="00781C2E"/>
    <w:rsid w:val="00781CEF"/>
    <w:rsid w:val="00782259"/>
    <w:rsid w:val="007825E5"/>
    <w:rsid w:val="00782C6B"/>
    <w:rsid w:val="0078357D"/>
    <w:rsid w:val="00783841"/>
    <w:rsid w:val="00783F60"/>
    <w:rsid w:val="007841BF"/>
    <w:rsid w:val="00784314"/>
    <w:rsid w:val="00784C1E"/>
    <w:rsid w:val="00784C53"/>
    <w:rsid w:val="00784D1A"/>
    <w:rsid w:val="00784FD9"/>
    <w:rsid w:val="0078529C"/>
    <w:rsid w:val="007852BE"/>
    <w:rsid w:val="0078573D"/>
    <w:rsid w:val="00785743"/>
    <w:rsid w:val="00785934"/>
    <w:rsid w:val="00785AB1"/>
    <w:rsid w:val="00785CA0"/>
    <w:rsid w:val="00786288"/>
    <w:rsid w:val="007867F2"/>
    <w:rsid w:val="007871AE"/>
    <w:rsid w:val="00787711"/>
    <w:rsid w:val="00787A54"/>
    <w:rsid w:val="00787A74"/>
    <w:rsid w:val="007900D2"/>
    <w:rsid w:val="00790544"/>
    <w:rsid w:val="00790CAA"/>
    <w:rsid w:val="0079155B"/>
    <w:rsid w:val="007915F3"/>
    <w:rsid w:val="007918A9"/>
    <w:rsid w:val="00791B55"/>
    <w:rsid w:val="007924E3"/>
    <w:rsid w:val="00792E4A"/>
    <w:rsid w:val="00792F43"/>
    <w:rsid w:val="00793350"/>
    <w:rsid w:val="007936D9"/>
    <w:rsid w:val="007936EC"/>
    <w:rsid w:val="00793B87"/>
    <w:rsid w:val="00793DB8"/>
    <w:rsid w:val="007943E3"/>
    <w:rsid w:val="0079440E"/>
    <w:rsid w:val="0079449D"/>
    <w:rsid w:val="007944E1"/>
    <w:rsid w:val="0079458B"/>
    <w:rsid w:val="00794F86"/>
    <w:rsid w:val="00795134"/>
    <w:rsid w:val="00795E13"/>
    <w:rsid w:val="007967E3"/>
    <w:rsid w:val="00796E3B"/>
    <w:rsid w:val="00796EBB"/>
    <w:rsid w:val="00796F4E"/>
    <w:rsid w:val="0079772F"/>
    <w:rsid w:val="00797EDF"/>
    <w:rsid w:val="007A03CD"/>
    <w:rsid w:val="007A08D8"/>
    <w:rsid w:val="007A10AF"/>
    <w:rsid w:val="007A1AD5"/>
    <w:rsid w:val="007A2270"/>
    <w:rsid w:val="007A228B"/>
    <w:rsid w:val="007A3375"/>
    <w:rsid w:val="007A338F"/>
    <w:rsid w:val="007A3469"/>
    <w:rsid w:val="007A38D0"/>
    <w:rsid w:val="007A3B5D"/>
    <w:rsid w:val="007A3C55"/>
    <w:rsid w:val="007A45DD"/>
    <w:rsid w:val="007A4791"/>
    <w:rsid w:val="007A50CE"/>
    <w:rsid w:val="007A536E"/>
    <w:rsid w:val="007A56DC"/>
    <w:rsid w:val="007A5A15"/>
    <w:rsid w:val="007A5C2F"/>
    <w:rsid w:val="007A617E"/>
    <w:rsid w:val="007A6980"/>
    <w:rsid w:val="007A6B9D"/>
    <w:rsid w:val="007A6FF2"/>
    <w:rsid w:val="007A761E"/>
    <w:rsid w:val="007A7670"/>
    <w:rsid w:val="007A788E"/>
    <w:rsid w:val="007A7A5E"/>
    <w:rsid w:val="007A7E6D"/>
    <w:rsid w:val="007B0937"/>
    <w:rsid w:val="007B0B81"/>
    <w:rsid w:val="007B0EF1"/>
    <w:rsid w:val="007B1571"/>
    <w:rsid w:val="007B1885"/>
    <w:rsid w:val="007B1A3E"/>
    <w:rsid w:val="007B2831"/>
    <w:rsid w:val="007B36E2"/>
    <w:rsid w:val="007B36E9"/>
    <w:rsid w:val="007B41A0"/>
    <w:rsid w:val="007B4231"/>
    <w:rsid w:val="007B430E"/>
    <w:rsid w:val="007B4753"/>
    <w:rsid w:val="007B48D0"/>
    <w:rsid w:val="007B4C1D"/>
    <w:rsid w:val="007B4E6C"/>
    <w:rsid w:val="007B55F2"/>
    <w:rsid w:val="007B5A1E"/>
    <w:rsid w:val="007B5D4F"/>
    <w:rsid w:val="007B622B"/>
    <w:rsid w:val="007B63C6"/>
    <w:rsid w:val="007B69C7"/>
    <w:rsid w:val="007B6E86"/>
    <w:rsid w:val="007B72BA"/>
    <w:rsid w:val="007B7332"/>
    <w:rsid w:val="007B74FB"/>
    <w:rsid w:val="007B78F9"/>
    <w:rsid w:val="007B7B34"/>
    <w:rsid w:val="007B7C0D"/>
    <w:rsid w:val="007C05FC"/>
    <w:rsid w:val="007C06CE"/>
    <w:rsid w:val="007C0C70"/>
    <w:rsid w:val="007C1187"/>
    <w:rsid w:val="007C1584"/>
    <w:rsid w:val="007C16E1"/>
    <w:rsid w:val="007C1D96"/>
    <w:rsid w:val="007C1DBE"/>
    <w:rsid w:val="007C231C"/>
    <w:rsid w:val="007C347F"/>
    <w:rsid w:val="007C367E"/>
    <w:rsid w:val="007C378C"/>
    <w:rsid w:val="007C37D3"/>
    <w:rsid w:val="007C3D1B"/>
    <w:rsid w:val="007C3F76"/>
    <w:rsid w:val="007C425C"/>
    <w:rsid w:val="007C4274"/>
    <w:rsid w:val="007C4328"/>
    <w:rsid w:val="007C446D"/>
    <w:rsid w:val="007C450F"/>
    <w:rsid w:val="007C4582"/>
    <w:rsid w:val="007C4586"/>
    <w:rsid w:val="007C4C46"/>
    <w:rsid w:val="007C5223"/>
    <w:rsid w:val="007C5417"/>
    <w:rsid w:val="007C58EC"/>
    <w:rsid w:val="007C5AA0"/>
    <w:rsid w:val="007C5B2A"/>
    <w:rsid w:val="007C603A"/>
    <w:rsid w:val="007C62DE"/>
    <w:rsid w:val="007C63A1"/>
    <w:rsid w:val="007C64D3"/>
    <w:rsid w:val="007C6819"/>
    <w:rsid w:val="007C681E"/>
    <w:rsid w:val="007C6BA1"/>
    <w:rsid w:val="007C72E9"/>
    <w:rsid w:val="007C7A00"/>
    <w:rsid w:val="007D0076"/>
    <w:rsid w:val="007D15B6"/>
    <w:rsid w:val="007D1A60"/>
    <w:rsid w:val="007D1E88"/>
    <w:rsid w:val="007D2995"/>
    <w:rsid w:val="007D3110"/>
    <w:rsid w:val="007D32B7"/>
    <w:rsid w:val="007D3451"/>
    <w:rsid w:val="007D38CA"/>
    <w:rsid w:val="007D3B6B"/>
    <w:rsid w:val="007D3F76"/>
    <w:rsid w:val="007D4256"/>
    <w:rsid w:val="007D45AE"/>
    <w:rsid w:val="007D4910"/>
    <w:rsid w:val="007D4A23"/>
    <w:rsid w:val="007D4BE6"/>
    <w:rsid w:val="007D4FEB"/>
    <w:rsid w:val="007D5138"/>
    <w:rsid w:val="007D5147"/>
    <w:rsid w:val="007D5950"/>
    <w:rsid w:val="007D5E49"/>
    <w:rsid w:val="007D5E63"/>
    <w:rsid w:val="007D5EA3"/>
    <w:rsid w:val="007D63D0"/>
    <w:rsid w:val="007D67CD"/>
    <w:rsid w:val="007D6DBF"/>
    <w:rsid w:val="007D6DC5"/>
    <w:rsid w:val="007D6F89"/>
    <w:rsid w:val="007D70AD"/>
    <w:rsid w:val="007D740F"/>
    <w:rsid w:val="007D7590"/>
    <w:rsid w:val="007D764D"/>
    <w:rsid w:val="007D77FB"/>
    <w:rsid w:val="007D7A63"/>
    <w:rsid w:val="007D7C99"/>
    <w:rsid w:val="007D7CEB"/>
    <w:rsid w:val="007D7F58"/>
    <w:rsid w:val="007E0005"/>
    <w:rsid w:val="007E0216"/>
    <w:rsid w:val="007E0824"/>
    <w:rsid w:val="007E0965"/>
    <w:rsid w:val="007E1117"/>
    <w:rsid w:val="007E112D"/>
    <w:rsid w:val="007E1645"/>
    <w:rsid w:val="007E16F2"/>
    <w:rsid w:val="007E1ACD"/>
    <w:rsid w:val="007E1AF6"/>
    <w:rsid w:val="007E244E"/>
    <w:rsid w:val="007E268E"/>
    <w:rsid w:val="007E28D5"/>
    <w:rsid w:val="007E2D72"/>
    <w:rsid w:val="007E37AD"/>
    <w:rsid w:val="007E37F3"/>
    <w:rsid w:val="007E3965"/>
    <w:rsid w:val="007E3A58"/>
    <w:rsid w:val="007E3C6C"/>
    <w:rsid w:val="007E3EDE"/>
    <w:rsid w:val="007E3F04"/>
    <w:rsid w:val="007E4243"/>
    <w:rsid w:val="007E4268"/>
    <w:rsid w:val="007E4658"/>
    <w:rsid w:val="007E466C"/>
    <w:rsid w:val="007E474D"/>
    <w:rsid w:val="007E4A76"/>
    <w:rsid w:val="007E4B76"/>
    <w:rsid w:val="007E4BCD"/>
    <w:rsid w:val="007E4D37"/>
    <w:rsid w:val="007E4F91"/>
    <w:rsid w:val="007E5246"/>
    <w:rsid w:val="007E5995"/>
    <w:rsid w:val="007E60D1"/>
    <w:rsid w:val="007E62EB"/>
    <w:rsid w:val="007E63C7"/>
    <w:rsid w:val="007E69E3"/>
    <w:rsid w:val="007E6AF7"/>
    <w:rsid w:val="007E6D8B"/>
    <w:rsid w:val="007E72E1"/>
    <w:rsid w:val="007E7489"/>
    <w:rsid w:val="007E7598"/>
    <w:rsid w:val="007E7B41"/>
    <w:rsid w:val="007F03C5"/>
    <w:rsid w:val="007F04E9"/>
    <w:rsid w:val="007F0766"/>
    <w:rsid w:val="007F0A28"/>
    <w:rsid w:val="007F0A31"/>
    <w:rsid w:val="007F0E11"/>
    <w:rsid w:val="007F0F5F"/>
    <w:rsid w:val="007F1192"/>
    <w:rsid w:val="007F1376"/>
    <w:rsid w:val="007F14E0"/>
    <w:rsid w:val="007F1644"/>
    <w:rsid w:val="007F1947"/>
    <w:rsid w:val="007F1954"/>
    <w:rsid w:val="007F1F00"/>
    <w:rsid w:val="007F201D"/>
    <w:rsid w:val="007F26C9"/>
    <w:rsid w:val="007F27A1"/>
    <w:rsid w:val="007F27E6"/>
    <w:rsid w:val="007F2C53"/>
    <w:rsid w:val="007F2FB4"/>
    <w:rsid w:val="007F3074"/>
    <w:rsid w:val="007F3E47"/>
    <w:rsid w:val="007F4046"/>
    <w:rsid w:val="007F446C"/>
    <w:rsid w:val="007F4CBF"/>
    <w:rsid w:val="007F5688"/>
    <w:rsid w:val="007F65C8"/>
    <w:rsid w:val="007F676E"/>
    <w:rsid w:val="007F679A"/>
    <w:rsid w:val="007F67A4"/>
    <w:rsid w:val="007F698A"/>
    <w:rsid w:val="007F6CC0"/>
    <w:rsid w:val="007F6D84"/>
    <w:rsid w:val="007F6DB4"/>
    <w:rsid w:val="007F7735"/>
    <w:rsid w:val="007F7789"/>
    <w:rsid w:val="007F7819"/>
    <w:rsid w:val="007F79FB"/>
    <w:rsid w:val="008000C2"/>
    <w:rsid w:val="008005D1"/>
    <w:rsid w:val="00800667"/>
    <w:rsid w:val="008009AB"/>
    <w:rsid w:val="008009E5"/>
    <w:rsid w:val="00800BF5"/>
    <w:rsid w:val="00800DBF"/>
    <w:rsid w:val="00800E79"/>
    <w:rsid w:val="008015A2"/>
    <w:rsid w:val="00801635"/>
    <w:rsid w:val="00801B25"/>
    <w:rsid w:val="0080276F"/>
    <w:rsid w:val="00802849"/>
    <w:rsid w:val="00802B62"/>
    <w:rsid w:val="00802E2E"/>
    <w:rsid w:val="00803062"/>
    <w:rsid w:val="008030A3"/>
    <w:rsid w:val="00803720"/>
    <w:rsid w:val="008037DD"/>
    <w:rsid w:val="00803BCF"/>
    <w:rsid w:val="00803C22"/>
    <w:rsid w:val="00803EE9"/>
    <w:rsid w:val="00804118"/>
    <w:rsid w:val="00804320"/>
    <w:rsid w:val="008044BF"/>
    <w:rsid w:val="00804695"/>
    <w:rsid w:val="00804A04"/>
    <w:rsid w:val="00805B74"/>
    <w:rsid w:val="00806434"/>
    <w:rsid w:val="00806638"/>
    <w:rsid w:val="008066A9"/>
    <w:rsid w:val="00806789"/>
    <w:rsid w:val="0080679A"/>
    <w:rsid w:val="008069F7"/>
    <w:rsid w:val="00806B9D"/>
    <w:rsid w:val="00806C5D"/>
    <w:rsid w:val="00807159"/>
    <w:rsid w:val="00807F45"/>
    <w:rsid w:val="00807F53"/>
    <w:rsid w:val="00810407"/>
    <w:rsid w:val="00810753"/>
    <w:rsid w:val="008107DC"/>
    <w:rsid w:val="00810AC2"/>
    <w:rsid w:val="00810E49"/>
    <w:rsid w:val="00810E55"/>
    <w:rsid w:val="00810ECF"/>
    <w:rsid w:val="00810FF8"/>
    <w:rsid w:val="00811E8B"/>
    <w:rsid w:val="00811FEC"/>
    <w:rsid w:val="0081219A"/>
    <w:rsid w:val="008121F7"/>
    <w:rsid w:val="0081243F"/>
    <w:rsid w:val="00812579"/>
    <w:rsid w:val="008129BE"/>
    <w:rsid w:val="00812FE3"/>
    <w:rsid w:val="00813202"/>
    <w:rsid w:val="008137C2"/>
    <w:rsid w:val="00813DF5"/>
    <w:rsid w:val="00813FCC"/>
    <w:rsid w:val="0081407D"/>
    <w:rsid w:val="00814194"/>
    <w:rsid w:val="00814879"/>
    <w:rsid w:val="008148D4"/>
    <w:rsid w:val="00814AF7"/>
    <w:rsid w:val="00814BDB"/>
    <w:rsid w:val="00814D7D"/>
    <w:rsid w:val="00815327"/>
    <w:rsid w:val="00815433"/>
    <w:rsid w:val="00815A8A"/>
    <w:rsid w:val="00815B80"/>
    <w:rsid w:val="00815BDE"/>
    <w:rsid w:val="00816056"/>
    <w:rsid w:val="008164D1"/>
    <w:rsid w:val="008164E1"/>
    <w:rsid w:val="008165E7"/>
    <w:rsid w:val="0081663B"/>
    <w:rsid w:val="00816975"/>
    <w:rsid w:val="00816BB5"/>
    <w:rsid w:val="0081743D"/>
    <w:rsid w:val="00817AB5"/>
    <w:rsid w:val="00817B9C"/>
    <w:rsid w:val="00817E86"/>
    <w:rsid w:val="00820A27"/>
    <w:rsid w:val="00820DA4"/>
    <w:rsid w:val="00820DF4"/>
    <w:rsid w:val="008213BD"/>
    <w:rsid w:val="00821590"/>
    <w:rsid w:val="00821979"/>
    <w:rsid w:val="00821BD0"/>
    <w:rsid w:val="00822106"/>
    <w:rsid w:val="008225B5"/>
    <w:rsid w:val="00822CE6"/>
    <w:rsid w:val="008230BF"/>
    <w:rsid w:val="00823305"/>
    <w:rsid w:val="0082377E"/>
    <w:rsid w:val="00823E62"/>
    <w:rsid w:val="00824892"/>
    <w:rsid w:val="00824AA7"/>
    <w:rsid w:val="00824B96"/>
    <w:rsid w:val="00825474"/>
    <w:rsid w:val="00825609"/>
    <w:rsid w:val="00825994"/>
    <w:rsid w:val="00825B68"/>
    <w:rsid w:val="00825FED"/>
    <w:rsid w:val="00826024"/>
    <w:rsid w:val="008260F7"/>
    <w:rsid w:val="00826216"/>
    <w:rsid w:val="00826A91"/>
    <w:rsid w:val="00826AC9"/>
    <w:rsid w:val="00827192"/>
    <w:rsid w:val="00827A54"/>
    <w:rsid w:val="00827F1B"/>
    <w:rsid w:val="00830053"/>
    <w:rsid w:val="00830672"/>
    <w:rsid w:val="00830C05"/>
    <w:rsid w:val="00830C5A"/>
    <w:rsid w:val="00830C6B"/>
    <w:rsid w:val="00830CF3"/>
    <w:rsid w:val="00830D11"/>
    <w:rsid w:val="00830F29"/>
    <w:rsid w:val="00831332"/>
    <w:rsid w:val="00831494"/>
    <w:rsid w:val="00831CB2"/>
    <w:rsid w:val="00832432"/>
    <w:rsid w:val="008325FE"/>
    <w:rsid w:val="00832651"/>
    <w:rsid w:val="00832A9C"/>
    <w:rsid w:val="00832F21"/>
    <w:rsid w:val="0083356E"/>
    <w:rsid w:val="008335D0"/>
    <w:rsid w:val="00833E6A"/>
    <w:rsid w:val="00833FCB"/>
    <w:rsid w:val="00834204"/>
    <w:rsid w:val="008343ED"/>
    <w:rsid w:val="00834802"/>
    <w:rsid w:val="00834A05"/>
    <w:rsid w:val="00835158"/>
    <w:rsid w:val="00835288"/>
    <w:rsid w:val="008354E3"/>
    <w:rsid w:val="0083554E"/>
    <w:rsid w:val="00835694"/>
    <w:rsid w:val="008363C4"/>
    <w:rsid w:val="00836538"/>
    <w:rsid w:val="00836B59"/>
    <w:rsid w:val="00836DFD"/>
    <w:rsid w:val="00836EBB"/>
    <w:rsid w:val="00836EEA"/>
    <w:rsid w:val="008373A2"/>
    <w:rsid w:val="0083760C"/>
    <w:rsid w:val="00837BB9"/>
    <w:rsid w:val="008404C2"/>
    <w:rsid w:val="0084098F"/>
    <w:rsid w:val="008409C3"/>
    <w:rsid w:val="00840B00"/>
    <w:rsid w:val="00840DEF"/>
    <w:rsid w:val="00840E5A"/>
    <w:rsid w:val="008410FC"/>
    <w:rsid w:val="00841586"/>
    <w:rsid w:val="00841657"/>
    <w:rsid w:val="0084180A"/>
    <w:rsid w:val="008418E3"/>
    <w:rsid w:val="0084263B"/>
    <w:rsid w:val="00842734"/>
    <w:rsid w:val="008427E1"/>
    <w:rsid w:val="008428A1"/>
    <w:rsid w:val="00842C22"/>
    <w:rsid w:val="00842E75"/>
    <w:rsid w:val="008437AE"/>
    <w:rsid w:val="00843F99"/>
    <w:rsid w:val="00843FDE"/>
    <w:rsid w:val="008444AE"/>
    <w:rsid w:val="00844733"/>
    <w:rsid w:val="00844C4C"/>
    <w:rsid w:val="00844CBF"/>
    <w:rsid w:val="00844E7D"/>
    <w:rsid w:val="008451D9"/>
    <w:rsid w:val="008454AB"/>
    <w:rsid w:val="00845533"/>
    <w:rsid w:val="00845B3C"/>
    <w:rsid w:val="008466D6"/>
    <w:rsid w:val="008469EC"/>
    <w:rsid w:val="00847267"/>
    <w:rsid w:val="008472CD"/>
    <w:rsid w:val="00847B81"/>
    <w:rsid w:val="00847F7F"/>
    <w:rsid w:val="008500D2"/>
    <w:rsid w:val="008500F1"/>
    <w:rsid w:val="00850466"/>
    <w:rsid w:val="00850953"/>
    <w:rsid w:val="00850F45"/>
    <w:rsid w:val="0085140C"/>
    <w:rsid w:val="0085189D"/>
    <w:rsid w:val="00851B98"/>
    <w:rsid w:val="00851C82"/>
    <w:rsid w:val="00851F68"/>
    <w:rsid w:val="0085211E"/>
    <w:rsid w:val="00852261"/>
    <w:rsid w:val="0085241A"/>
    <w:rsid w:val="0085257D"/>
    <w:rsid w:val="008528CE"/>
    <w:rsid w:val="00852B28"/>
    <w:rsid w:val="00852D71"/>
    <w:rsid w:val="00852F47"/>
    <w:rsid w:val="00853009"/>
    <w:rsid w:val="008531B5"/>
    <w:rsid w:val="0085351B"/>
    <w:rsid w:val="00853A82"/>
    <w:rsid w:val="00853C9E"/>
    <w:rsid w:val="00853DE4"/>
    <w:rsid w:val="0085416B"/>
    <w:rsid w:val="00854903"/>
    <w:rsid w:val="00854925"/>
    <w:rsid w:val="00854D1A"/>
    <w:rsid w:val="0085543D"/>
    <w:rsid w:val="00855504"/>
    <w:rsid w:val="00855B84"/>
    <w:rsid w:val="00856465"/>
    <w:rsid w:val="00856B9B"/>
    <w:rsid w:val="00856D60"/>
    <w:rsid w:val="00856EAE"/>
    <w:rsid w:val="00857671"/>
    <w:rsid w:val="00857A0D"/>
    <w:rsid w:val="00857B9E"/>
    <w:rsid w:val="008606BD"/>
    <w:rsid w:val="0086079E"/>
    <w:rsid w:val="00860AD2"/>
    <w:rsid w:val="00860AF7"/>
    <w:rsid w:val="00860DA1"/>
    <w:rsid w:val="008614C6"/>
    <w:rsid w:val="00861862"/>
    <w:rsid w:val="00861BAD"/>
    <w:rsid w:val="00862200"/>
    <w:rsid w:val="00862248"/>
    <w:rsid w:val="00862570"/>
    <w:rsid w:val="00862C2A"/>
    <w:rsid w:val="008631A7"/>
    <w:rsid w:val="008638BE"/>
    <w:rsid w:val="00863928"/>
    <w:rsid w:val="00863F18"/>
    <w:rsid w:val="00864038"/>
    <w:rsid w:val="0086471B"/>
    <w:rsid w:val="00864ACB"/>
    <w:rsid w:val="00864DB5"/>
    <w:rsid w:val="00865257"/>
    <w:rsid w:val="00865791"/>
    <w:rsid w:val="00865AD6"/>
    <w:rsid w:val="00865D60"/>
    <w:rsid w:val="00866406"/>
    <w:rsid w:val="00866602"/>
    <w:rsid w:val="00866757"/>
    <w:rsid w:val="0086682B"/>
    <w:rsid w:val="008668BE"/>
    <w:rsid w:val="008672D4"/>
    <w:rsid w:val="00867395"/>
    <w:rsid w:val="00867536"/>
    <w:rsid w:val="00867616"/>
    <w:rsid w:val="00867D94"/>
    <w:rsid w:val="00870552"/>
    <w:rsid w:val="00870831"/>
    <w:rsid w:val="00871459"/>
    <w:rsid w:val="008714E2"/>
    <w:rsid w:val="0087192A"/>
    <w:rsid w:val="00871EE9"/>
    <w:rsid w:val="008721CD"/>
    <w:rsid w:val="008727CD"/>
    <w:rsid w:val="00872842"/>
    <w:rsid w:val="00872B02"/>
    <w:rsid w:val="00872C45"/>
    <w:rsid w:val="00872EC7"/>
    <w:rsid w:val="008738AC"/>
    <w:rsid w:val="00873DE4"/>
    <w:rsid w:val="0087405A"/>
    <w:rsid w:val="008741BE"/>
    <w:rsid w:val="0087423E"/>
    <w:rsid w:val="00874667"/>
    <w:rsid w:val="00874772"/>
    <w:rsid w:val="008748ED"/>
    <w:rsid w:val="00874F54"/>
    <w:rsid w:val="00874FE8"/>
    <w:rsid w:val="00875137"/>
    <w:rsid w:val="008751A8"/>
    <w:rsid w:val="00875E99"/>
    <w:rsid w:val="0087643B"/>
    <w:rsid w:val="00876B1F"/>
    <w:rsid w:val="0087704A"/>
    <w:rsid w:val="008777DB"/>
    <w:rsid w:val="00880277"/>
    <w:rsid w:val="008806A1"/>
    <w:rsid w:val="00880798"/>
    <w:rsid w:val="00880886"/>
    <w:rsid w:val="00880956"/>
    <w:rsid w:val="00880AE0"/>
    <w:rsid w:val="00880B72"/>
    <w:rsid w:val="008814BF"/>
    <w:rsid w:val="008818A3"/>
    <w:rsid w:val="008818F2"/>
    <w:rsid w:val="00881E59"/>
    <w:rsid w:val="0088201A"/>
    <w:rsid w:val="008821E9"/>
    <w:rsid w:val="0088220B"/>
    <w:rsid w:val="00882479"/>
    <w:rsid w:val="00882D6F"/>
    <w:rsid w:val="008831E8"/>
    <w:rsid w:val="00883575"/>
    <w:rsid w:val="0088378A"/>
    <w:rsid w:val="0088441C"/>
    <w:rsid w:val="00884558"/>
    <w:rsid w:val="00884695"/>
    <w:rsid w:val="00884756"/>
    <w:rsid w:val="00884F7D"/>
    <w:rsid w:val="008850B2"/>
    <w:rsid w:val="008858D3"/>
    <w:rsid w:val="00885AE4"/>
    <w:rsid w:val="00885CF0"/>
    <w:rsid w:val="0088657A"/>
    <w:rsid w:val="00886706"/>
    <w:rsid w:val="00886A2D"/>
    <w:rsid w:val="00886E51"/>
    <w:rsid w:val="008871F6"/>
    <w:rsid w:val="0088724C"/>
    <w:rsid w:val="00887D97"/>
    <w:rsid w:val="00887DB9"/>
    <w:rsid w:val="00887DC2"/>
    <w:rsid w:val="00887E2E"/>
    <w:rsid w:val="008900FF"/>
    <w:rsid w:val="00890191"/>
    <w:rsid w:val="008902A0"/>
    <w:rsid w:val="008902C4"/>
    <w:rsid w:val="008903E8"/>
    <w:rsid w:val="00890488"/>
    <w:rsid w:val="00890538"/>
    <w:rsid w:val="00890F86"/>
    <w:rsid w:val="00891804"/>
    <w:rsid w:val="00891BA6"/>
    <w:rsid w:val="00891BDB"/>
    <w:rsid w:val="00891C85"/>
    <w:rsid w:val="00891EB1"/>
    <w:rsid w:val="00892088"/>
    <w:rsid w:val="0089231C"/>
    <w:rsid w:val="00892405"/>
    <w:rsid w:val="00892471"/>
    <w:rsid w:val="00892949"/>
    <w:rsid w:val="00892AA5"/>
    <w:rsid w:val="00892BF4"/>
    <w:rsid w:val="008932A4"/>
    <w:rsid w:val="00893577"/>
    <w:rsid w:val="00893925"/>
    <w:rsid w:val="008939D0"/>
    <w:rsid w:val="00893E04"/>
    <w:rsid w:val="008940A0"/>
    <w:rsid w:val="00894807"/>
    <w:rsid w:val="00894E84"/>
    <w:rsid w:val="008953CE"/>
    <w:rsid w:val="0089574F"/>
    <w:rsid w:val="008957C2"/>
    <w:rsid w:val="00895A3C"/>
    <w:rsid w:val="00895F1B"/>
    <w:rsid w:val="00895F56"/>
    <w:rsid w:val="0089688B"/>
    <w:rsid w:val="00896B8D"/>
    <w:rsid w:val="00896E1A"/>
    <w:rsid w:val="00897019"/>
    <w:rsid w:val="0089771B"/>
    <w:rsid w:val="00897A64"/>
    <w:rsid w:val="00897B07"/>
    <w:rsid w:val="00897B39"/>
    <w:rsid w:val="00897C88"/>
    <w:rsid w:val="008A00AC"/>
    <w:rsid w:val="008A01C4"/>
    <w:rsid w:val="008A085F"/>
    <w:rsid w:val="008A0B1E"/>
    <w:rsid w:val="008A0D72"/>
    <w:rsid w:val="008A0FC9"/>
    <w:rsid w:val="008A103C"/>
    <w:rsid w:val="008A11FD"/>
    <w:rsid w:val="008A132F"/>
    <w:rsid w:val="008A18FF"/>
    <w:rsid w:val="008A1E77"/>
    <w:rsid w:val="008A1E90"/>
    <w:rsid w:val="008A2B2C"/>
    <w:rsid w:val="008A2C96"/>
    <w:rsid w:val="008A3AFA"/>
    <w:rsid w:val="008A428B"/>
    <w:rsid w:val="008A429D"/>
    <w:rsid w:val="008A45CE"/>
    <w:rsid w:val="008A4B93"/>
    <w:rsid w:val="008A4BF8"/>
    <w:rsid w:val="008A4F1E"/>
    <w:rsid w:val="008A5284"/>
    <w:rsid w:val="008A5862"/>
    <w:rsid w:val="008A5B22"/>
    <w:rsid w:val="008A5C05"/>
    <w:rsid w:val="008A6B20"/>
    <w:rsid w:val="008A708B"/>
    <w:rsid w:val="008A726D"/>
    <w:rsid w:val="008A73F8"/>
    <w:rsid w:val="008A768C"/>
    <w:rsid w:val="008A77C8"/>
    <w:rsid w:val="008A7803"/>
    <w:rsid w:val="008A79D3"/>
    <w:rsid w:val="008A7A33"/>
    <w:rsid w:val="008B03CA"/>
    <w:rsid w:val="008B045F"/>
    <w:rsid w:val="008B08C5"/>
    <w:rsid w:val="008B0A92"/>
    <w:rsid w:val="008B0EB5"/>
    <w:rsid w:val="008B124B"/>
    <w:rsid w:val="008B1433"/>
    <w:rsid w:val="008B16D4"/>
    <w:rsid w:val="008B1799"/>
    <w:rsid w:val="008B1DC9"/>
    <w:rsid w:val="008B1E9D"/>
    <w:rsid w:val="008B24CE"/>
    <w:rsid w:val="008B24EC"/>
    <w:rsid w:val="008B25DF"/>
    <w:rsid w:val="008B2A5B"/>
    <w:rsid w:val="008B2A73"/>
    <w:rsid w:val="008B2D84"/>
    <w:rsid w:val="008B2F01"/>
    <w:rsid w:val="008B3041"/>
    <w:rsid w:val="008B3094"/>
    <w:rsid w:val="008B3280"/>
    <w:rsid w:val="008B33CE"/>
    <w:rsid w:val="008B3771"/>
    <w:rsid w:val="008B3D8B"/>
    <w:rsid w:val="008B3E25"/>
    <w:rsid w:val="008B4384"/>
    <w:rsid w:val="008B4722"/>
    <w:rsid w:val="008B4881"/>
    <w:rsid w:val="008B4ABA"/>
    <w:rsid w:val="008B4B15"/>
    <w:rsid w:val="008B53D3"/>
    <w:rsid w:val="008B586B"/>
    <w:rsid w:val="008B5FC4"/>
    <w:rsid w:val="008B66B9"/>
    <w:rsid w:val="008B6A82"/>
    <w:rsid w:val="008B7297"/>
    <w:rsid w:val="008B78CF"/>
    <w:rsid w:val="008B7F07"/>
    <w:rsid w:val="008B7F9D"/>
    <w:rsid w:val="008C039C"/>
    <w:rsid w:val="008C084C"/>
    <w:rsid w:val="008C0894"/>
    <w:rsid w:val="008C08D9"/>
    <w:rsid w:val="008C0C37"/>
    <w:rsid w:val="008C0C3F"/>
    <w:rsid w:val="008C0C65"/>
    <w:rsid w:val="008C11DE"/>
    <w:rsid w:val="008C162E"/>
    <w:rsid w:val="008C1F6E"/>
    <w:rsid w:val="008C20D4"/>
    <w:rsid w:val="008C23BB"/>
    <w:rsid w:val="008C268E"/>
    <w:rsid w:val="008C2B2C"/>
    <w:rsid w:val="008C348F"/>
    <w:rsid w:val="008C35B9"/>
    <w:rsid w:val="008C35BD"/>
    <w:rsid w:val="008C36F9"/>
    <w:rsid w:val="008C3712"/>
    <w:rsid w:val="008C3846"/>
    <w:rsid w:val="008C38EE"/>
    <w:rsid w:val="008C3AED"/>
    <w:rsid w:val="008C3BFC"/>
    <w:rsid w:val="008C44DC"/>
    <w:rsid w:val="008C46E3"/>
    <w:rsid w:val="008C4711"/>
    <w:rsid w:val="008C4FFC"/>
    <w:rsid w:val="008C513A"/>
    <w:rsid w:val="008C5151"/>
    <w:rsid w:val="008C57E2"/>
    <w:rsid w:val="008C64A6"/>
    <w:rsid w:val="008C6772"/>
    <w:rsid w:val="008C67EC"/>
    <w:rsid w:val="008C6CAD"/>
    <w:rsid w:val="008C6D9D"/>
    <w:rsid w:val="008C707B"/>
    <w:rsid w:val="008C769F"/>
    <w:rsid w:val="008C78FF"/>
    <w:rsid w:val="008C791B"/>
    <w:rsid w:val="008C7E89"/>
    <w:rsid w:val="008C7FBD"/>
    <w:rsid w:val="008D03BD"/>
    <w:rsid w:val="008D0539"/>
    <w:rsid w:val="008D09EE"/>
    <w:rsid w:val="008D0B69"/>
    <w:rsid w:val="008D0ED3"/>
    <w:rsid w:val="008D2AC2"/>
    <w:rsid w:val="008D31D8"/>
    <w:rsid w:val="008D34AA"/>
    <w:rsid w:val="008D3520"/>
    <w:rsid w:val="008D374F"/>
    <w:rsid w:val="008D37ED"/>
    <w:rsid w:val="008D3B49"/>
    <w:rsid w:val="008D3B5E"/>
    <w:rsid w:val="008D3C30"/>
    <w:rsid w:val="008D3FC2"/>
    <w:rsid w:val="008D403B"/>
    <w:rsid w:val="008D4939"/>
    <w:rsid w:val="008D4C70"/>
    <w:rsid w:val="008D4FDF"/>
    <w:rsid w:val="008D5024"/>
    <w:rsid w:val="008D531A"/>
    <w:rsid w:val="008D551F"/>
    <w:rsid w:val="008D5676"/>
    <w:rsid w:val="008D56B0"/>
    <w:rsid w:val="008D597D"/>
    <w:rsid w:val="008D59B1"/>
    <w:rsid w:val="008D61D6"/>
    <w:rsid w:val="008D6295"/>
    <w:rsid w:val="008D63EC"/>
    <w:rsid w:val="008D655B"/>
    <w:rsid w:val="008D6963"/>
    <w:rsid w:val="008D739C"/>
    <w:rsid w:val="008D77DD"/>
    <w:rsid w:val="008D7A76"/>
    <w:rsid w:val="008D7D9D"/>
    <w:rsid w:val="008D7E9D"/>
    <w:rsid w:val="008E00A3"/>
    <w:rsid w:val="008E037F"/>
    <w:rsid w:val="008E06E7"/>
    <w:rsid w:val="008E0760"/>
    <w:rsid w:val="008E0784"/>
    <w:rsid w:val="008E0DBD"/>
    <w:rsid w:val="008E10F8"/>
    <w:rsid w:val="008E12C6"/>
    <w:rsid w:val="008E161F"/>
    <w:rsid w:val="008E183F"/>
    <w:rsid w:val="008E1882"/>
    <w:rsid w:val="008E1C3E"/>
    <w:rsid w:val="008E1FAE"/>
    <w:rsid w:val="008E2836"/>
    <w:rsid w:val="008E2C77"/>
    <w:rsid w:val="008E3143"/>
    <w:rsid w:val="008E36BA"/>
    <w:rsid w:val="008E3A87"/>
    <w:rsid w:val="008E4222"/>
    <w:rsid w:val="008E44AB"/>
    <w:rsid w:val="008E4535"/>
    <w:rsid w:val="008E46F3"/>
    <w:rsid w:val="008E4D41"/>
    <w:rsid w:val="008E4D7C"/>
    <w:rsid w:val="008E4E31"/>
    <w:rsid w:val="008E5064"/>
    <w:rsid w:val="008E51C6"/>
    <w:rsid w:val="008E5D32"/>
    <w:rsid w:val="008E6434"/>
    <w:rsid w:val="008E6716"/>
    <w:rsid w:val="008E67F9"/>
    <w:rsid w:val="008E6834"/>
    <w:rsid w:val="008E68BA"/>
    <w:rsid w:val="008E6A79"/>
    <w:rsid w:val="008E6E5D"/>
    <w:rsid w:val="008E7283"/>
    <w:rsid w:val="008E7374"/>
    <w:rsid w:val="008E75C2"/>
    <w:rsid w:val="008E7A9F"/>
    <w:rsid w:val="008E7D3B"/>
    <w:rsid w:val="008E7E66"/>
    <w:rsid w:val="008E7E93"/>
    <w:rsid w:val="008F001E"/>
    <w:rsid w:val="008F05CD"/>
    <w:rsid w:val="008F07C7"/>
    <w:rsid w:val="008F09F7"/>
    <w:rsid w:val="008F0CCC"/>
    <w:rsid w:val="008F124D"/>
    <w:rsid w:val="008F12C5"/>
    <w:rsid w:val="008F161B"/>
    <w:rsid w:val="008F16AF"/>
    <w:rsid w:val="008F1797"/>
    <w:rsid w:val="008F1D59"/>
    <w:rsid w:val="008F21BE"/>
    <w:rsid w:val="008F2594"/>
    <w:rsid w:val="008F26BF"/>
    <w:rsid w:val="008F33F1"/>
    <w:rsid w:val="008F34DB"/>
    <w:rsid w:val="008F3710"/>
    <w:rsid w:val="008F3C87"/>
    <w:rsid w:val="008F427F"/>
    <w:rsid w:val="008F5182"/>
    <w:rsid w:val="008F5312"/>
    <w:rsid w:val="008F5508"/>
    <w:rsid w:val="008F55F8"/>
    <w:rsid w:val="008F5748"/>
    <w:rsid w:val="008F592A"/>
    <w:rsid w:val="008F5C08"/>
    <w:rsid w:val="008F6841"/>
    <w:rsid w:val="008F68D4"/>
    <w:rsid w:val="008F6971"/>
    <w:rsid w:val="008F6AED"/>
    <w:rsid w:val="008F6C5E"/>
    <w:rsid w:val="008F6CB5"/>
    <w:rsid w:val="008F6E32"/>
    <w:rsid w:val="008F6E86"/>
    <w:rsid w:val="008F7091"/>
    <w:rsid w:val="008F736F"/>
    <w:rsid w:val="008F7769"/>
    <w:rsid w:val="008F7860"/>
    <w:rsid w:val="008F7DA6"/>
    <w:rsid w:val="008F7F11"/>
    <w:rsid w:val="008F7F12"/>
    <w:rsid w:val="009000E3"/>
    <w:rsid w:val="00900456"/>
    <w:rsid w:val="0090059F"/>
    <w:rsid w:val="00900B9A"/>
    <w:rsid w:val="00900C9B"/>
    <w:rsid w:val="00900ECB"/>
    <w:rsid w:val="00900EEB"/>
    <w:rsid w:val="00901370"/>
    <w:rsid w:val="009013AF"/>
    <w:rsid w:val="0090144F"/>
    <w:rsid w:val="00901B3B"/>
    <w:rsid w:val="00901ED7"/>
    <w:rsid w:val="00901F1B"/>
    <w:rsid w:val="009020A7"/>
    <w:rsid w:val="00902604"/>
    <w:rsid w:val="009027AC"/>
    <w:rsid w:val="00902F7B"/>
    <w:rsid w:val="00903516"/>
    <w:rsid w:val="009035A3"/>
    <w:rsid w:val="00903CC4"/>
    <w:rsid w:val="0090417A"/>
    <w:rsid w:val="009044F6"/>
    <w:rsid w:val="009045D6"/>
    <w:rsid w:val="009046A7"/>
    <w:rsid w:val="009049BF"/>
    <w:rsid w:val="00904A96"/>
    <w:rsid w:val="00904D02"/>
    <w:rsid w:val="00904FA2"/>
    <w:rsid w:val="00905EA4"/>
    <w:rsid w:val="0090613D"/>
    <w:rsid w:val="00906E18"/>
    <w:rsid w:val="009072AB"/>
    <w:rsid w:val="00907414"/>
    <w:rsid w:val="00907599"/>
    <w:rsid w:val="00907AFD"/>
    <w:rsid w:val="00907B49"/>
    <w:rsid w:val="00907BED"/>
    <w:rsid w:val="00910208"/>
    <w:rsid w:val="009103DA"/>
    <w:rsid w:val="00910591"/>
    <w:rsid w:val="00910797"/>
    <w:rsid w:val="00910875"/>
    <w:rsid w:val="009108E5"/>
    <w:rsid w:val="00910AA2"/>
    <w:rsid w:val="00910C86"/>
    <w:rsid w:val="00910E2C"/>
    <w:rsid w:val="00910EB2"/>
    <w:rsid w:val="009110AE"/>
    <w:rsid w:val="00911886"/>
    <w:rsid w:val="00911A5F"/>
    <w:rsid w:val="00911C29"/>
    <w:rsid w:val="00911D12"/>
    <w:rsid w:val="009124DF"/>
    <w:rsid w:val="009125B3"/>
    <w:rsid w:val="009125FB"/>
    <w:rsid w:val="00912909"/>
    <w:rsid w:val="00913371"/>
    <w:rsid w:val="009138A3"/>
    <w:rsid w:val="009138F1"/>
    <w:rsid w:val="009142F0"/>
    <w:rsid w:val="009146AD"/>
    <w:rsid w:val="00914856"/>
    <w:rsid w:val="009149AB"/>
    <w:rsid w:val="00914C71"/>
    <w:rsid w:val="00914DF3"/>
    <w:rsid w:val="00914F24"/>
    <w:rsid w:val="00914F30"/>
    <w:rsid w:val="0091503C"/>
    <w:rsid w:val="00915746"/>
    <w:rsid w:val="009158E5"/>
    <w:rsid w:val="00916556"/>
    <w:rsid w:val="009165C8"/>
    <w:rsid w:val="009168AF"/>
    <w:rsid w:val="0091709F"/>
    <w:rsid w:val="00917B18"/>
    <w:rsid w:val="00917BEB"/>
    <w:rsid w:val="00917C41"/>
    <w:rsid w:val="00917D08"/>
    <w:rsid w:val="0092019E"/>
    <w:rsid w:val="0092024D"/>
    <w:rsid w:val="00920968"/>
    <w:rsid w:val="00920F3A"/>
    <w:rsid w:val="00921002"/>
    <w:rsid w:val="00921239"/>
    <w:rsid w:val="00921333"/>
    <w:rsid w:val="009219CB"/>
    <w:rsid w:val="00922346"/>
    <w:rsid w:val="00922B5D"/>
    <w:rsid w:val="00922CBD"/>
    <w:rsid w:val="009230F3"/>
    <w:rsid w:val="009232D8"/>
    <w:rsid w:val="00923394"/>
    <w:rsid w:val="0092363C"/>
    <w:rsid w:val="00923708"/>
    <w:rsid w:val="00923849"/>
    <w:rsid w:val="00923C41"/>
    <w:rsid w:val="00923CED"/>
    <w:rsid w:val="00923CFA"/>
    <w:rsid w:val="00924083"/>
    <w:rsid w:val="00924277"/>
    <w:rsid w:val="00924894"/>
    <w:rsid w:val="00924AC5"/>
    <w:rsid w:val="00924C21"/>
    <w:rsid w:val="00924C26"/>
    <w:rsid w:val="00924E59"/>
    <w:rsid w:val="00924F13"/>
    <w:rsid w:val="00924F79"/>
    <w:rsid w:val="009253ED"/>
    <w:rsid w:val="009256BE"/>
    <w:rsid w:val="009256E7"/>
    <w:rsid w:val="00925F11"/>
    <w:rsid w:val="00926007"/>
    <w:rsid w:val="0092607E"/>
    <w:rsid w:val="00926762"/>
    <w:rsid w:val="00927319"/>
    <w:rsid w:val="00927771"/>
    <w:rsid w:val="00927FC6"/>
    <w:rsid w:val="0093013C"/>
    <w:rsid w:val="00930F11"/>
    <w:rsid w:val="00930F83"/>
    <w:rsid w:val="009316BD"/>
    <w:rsid w:val="00931A19"/>
    <w:rsid w:val="00931D4C"/>
    <w:rsid w:val="00931F3A"/>
    <w:rsid w:val="00931F78"/>
    <w:rsid w:val="00932476"/>
    <w:rsid w:val="00932559"/>
    <w:rsid w:val="0093255D"/>
    <w:rsid w:val="009333C6"/>
    <w:rsid w:val="009334A9"/>
    <w:rsid w:val="0093376F"/>
    <w:rsid w:val="00934026"/>
    <w:rsid w:val="009341E8"/>
    <w:rsid w:val="00934489"/>
    <w:rsid w:val="00934A5A"/>
    <w:rsid w:val="00934DA0"/>
    <w:rsid w:val="00935741"/>
    <w:rsid w:val="00935F93"/>
    <w:rsid w:val="009360F3"/>
    <w:rsid w:val="00936DDD"/>
    <w:rsid w:val="009370C0"/>
    <w:rsid w:val="009372C5"/>
    <w:rsid w:val="00937314"/>
    <w:rsid w:val="00937ED7"/>
    <w:rsid w:val="009403DA"/>
    <w:rsid w:val="009406B0"/>
    <w:rsid w:val="00940CE3"/>
    <w:rsid w:val="00940D0C"/>
    <w:rsid w:val="00941111"/>
    <w:rsid w:val="009416C6"/>
    <w:rsid w:val="0094194F"/>
    <w:rsid w:val="00941BC1"/>
    <w:rsid w:val="00941E89"/>
    <w:rsid w:val="00941FE1"/>
    <w:rsid w:val="0094203F"/>
    <w:rsid w:val="0094206C"/>
    <w:rsid w:val="00942159"/>
    <w:rsid w:val="00942206"/>
    <w:rsid w:val="009422B4"/>
    <w:rsid w:val="00942395"/>
    <w:rsid w:val="00942544"/>
    <w:rsid w:val="00942696"/>
    <w:rsid w:val="0094276F"/>
    <w:rsid w:val="00942887"/>
    <w:rsid w:val="00942B49"/>
    <w:rsid w:val="00943054"/>
    <w:rsid w:val="0094322A"/>
    <w:rsid w:val="00943245"/>
    <w:rsid w:val="00943CFB"/>
    <w:rsid w:val="009441B5"/>
    <w:rsid w:val="00944568"/>
    <w:rsid w:val="00944C31"/>
    <w:rsid w:val="009451AF"/>
    <w:rsid w:val="0094580F"/>
    <w:rsid w:val="009459D3"/>
    <w:rsid w:val="00945D04"/>
    <w:rsid w:val="00946029"/>
    <w:rsid w:val="0094641A"/>
    <w:rsid w:val="00946565"/>
    <w:rsid w:val="0094672D"/>
    <w:rsid w:val="00946CAC"/>
    <w:rsid w:val="00947CCF"/>
    <w:rsid w:val="00950063"/>
    <w:rsid w:val="0095072E"/>
    <w:rsid w:val="009509AC"/>
    <w:rsid w:val="00950B7C"/>
    <w:rsid w:val="00950C56"/>
    <w:rsid w:val="00950E25"/>
    <w:rsid w:val="00950E2F"/>
    <w:rsid w:val="009511C7"/>
    <w:rsid w:val="0095124E"/>
    <w:rsid w:val="00951421"/>
    <w:rsid w:val="009514D9"/>
    <w:rsid w:val="00951557"/>
    <w:rsid w:val="009517D0"/>
    <w:rsid w:val="00951C0F"/>
    <w:rsid w:val="00951D2F"/>
    <w:rsid w:val="00951FFE"/>
    <w:rsid w:val="009521D0"/>
    <w:rsid w:val="00952342"/>
    <w:rsid w:val="00952C6A"/>
    <w:rsid w:val="00952D7A"/>
    <w:rsid w:val="0095334B"/>
    <w:rsid w:val="00953B38"/>
    <w:rsid w:val="00953EEE"/>
    <w:rsid w:val="00954357"/>
    <w:rsid w:val="009545A8"/>
    <w:rsid w:val="0095477C"/>
    <w:rsid w:val="00954891"/>
    <w:rsid w:val="00954A83"/>
    <w:rsid w:val="00954C02"/>
    <w:rsid w:val="00954E3B"/>
    <w:rsid w:val="00954EE4"/>
    <w:rsid w:val="00955968"/>
    <w:rsid w:val="009559AA"/>
    <w:rsid w:val="00955E4A"/>
    <w:rsid w:val="00955EAD"/>
    <w:rsid w:val="009560EE"/>
    <w:rsid w:val="0095647C"/>
    <w:rsid w:val="009564C3"/>
    <w:rsid w:val="00956AC2"/>
    <w:rsid w:val="00957B9E"/>
    <w:rsid w:val="00957BF3"/>
    <w:rsid w:val="00957D19"/>
    <w:rsid w:val="00957D4D"/>
    <w:rsid w:val="00957E8D"/>
    <w:rsid w:val="00960243"/>
    <w:rsid w:val="0096027D"/>
    <w:rsid w:val="009603C0"/>
    <w:rsid w:val="009605D0"/>
    <w:rsid w:val="00960E6C"/>
    <w:rsid w:val="009611AE"/>
    <w:rsid w:val="009614DD"/>
    <w:rsid w:val="009615B2"/>
    <w:rsid w:val="00961C26"/>
    <w:rsid w:val="00962121"/>
    <w:rsid w:val="009621CE"/>
    <w:rsid w:val="009622A5"/>
    <w:rsid w:val="00962537"/>
    <w:rsid w:val="009625EC"/>
    <w:rsid w:val="0096262C"/>
    <w:rsid w:val="00962735"/>
    <w:rsid w:val="00962737"/>
    <w:rsid w:val="009629DA"/>
    <w:rsid w:val="00962C9C"/>
    <w:rsid w:val="0096328F"/>
    <w:rsid w:val="009636BC"/>
    <w:rsid w:val="00964B24"/>
    <w:rsid w:val="00965114"/>
    <w:rsid w:val="0096537E"/>
    <w:rsid w:val="009657C9"/>
    <w:rsid w:val="009659B8"/>
    <w:rsid w:val="00966133"/>
    <w:rsid w:val="00966159"/>
    <w:rsid w:val="009661ED"/>
    <w:rsid w:val="009663D3"/>
    <w:rsid w:val="009664FC"/>
    <w:rsid w:val="00966A05"/>
    <w:rsid w:val="00966C62"/>
    <w:rsid w:val="00966CA7"/>
    <w:rsid w:val="00966D1C"/>
    <w:rsid w:val="0096757B"/>
    <w:rsid w:val="009677C2"/>
    <w:rsid w:val="009679F3"/>
    <w:rsid w:val="00967A7A"/>
    <w:rsid w:val="00967A86"/>
    <w:rsid w:val="009700BD"/>
    <w:rsid w:val="0097011F"/>
    <w:rsid w:val="009705DC"/>
    <w:rsid w:val="00970960"/>
    <w:rsid w:val="00970BE4"/>
    <w:rsid w:val="00970C70"/>
    <w:rsid w:val="00971CA9"/>
    <w:rsid w:val="00972316"/>
    <w:rsid w:val="00972492"/>
    <w:rsid w:val="00972886"/>
    <w:rsid w:val="00972A5B"/>
    <w:rsid w:val="00972EEC"/>
    <w:rsid w:val="00973041"/>
    <w:rsid w:val="00973168"/>
    <w:rsid w:val="009733B3"/>
    <w:rsid w:val="00973C57"/>
    <w:rsid w:val="00974256"/>
    <w:rsid w:val="00974AEC"/>
    <w:rsid w:val="00974AEE"/>
    <w:rsid w:val="00974BC5"/>
    <w:rsid w:val="00974C81"/>
    <w:rsid w:val="00975145"/>
    <w:rsid w:val="009753FD"/>
    <w:rsid w:val="00975540"/>
    <w:rsid w:val="0097582A"/>
    <w:rsid w:val="00976197"/>
    <w:rsid w:val="0097644C"/>
    <w:rsid w:val="009765CF"/>
    <w:rsid w:val="00976B6B"/>
    <w:rsid w:val="00976C9E"/>
    <w:rsid w:val="00976F49"/>
    <w:rsid w:val="0097718F"/>
    <w:rsid w:val="009771DB"/>
    <w:rsid w:val="00977430"/>
    <w:rsid w:val="00977B18"/>
    <w:rsid w:val="009804BD"/>
    <w:rsid w:val="0098089D"/>
    <w:rsid w:val="0098097B"/>
    <w:rsid w:val="009809E0"/>
    <w:rsid w:val="00980B61"/>
    <w:rsid w:val="00980E22"/>
    <w:rsid w:val="009814F2"/>
    <w:rsid w:val="0098167A"/>
    <w:rsid w:val="009819E6"/>
    <w:rsid w:val="00981CC1"/>
    <w:rsid w:val="00982575"/>
    <w:rsid w:val="0098259E"/>
    <w:rsid w:val="009825C5"/>
    <w:rsid w:val="009825F4"/>
    <w:rsid w:val="009826B1"/>
    <w:rsid w:val="0098281A"/>
    <w:rsid w:val="009828C1"/>
    <w:rsid w:val="00982D7E"/>
    <w:rsid w:val="00982FB4"/>
    <w:rsid w:val="009833E5"/>
    <w:rsid w:val="009836F3"/>
    <w:rsid w:val="009837C3"/>
    <w:rsid w:val="00983888"/>
    <w:rsid w:val="00983E1A"/>
    <w:rsid w:val="00984CC9"/>
    <w:rsid w:val="00984DA1"/>
    <w:rsid w:val="00984DBD"/>
    <w:rsid w:val="00984F6F"/>
    <w:rsid w:val="009853E1"/>
    <w:rsid w:val="0098542A"/>
    <w:rsid w:val="00986BC0"/>
    <w:rsid w:val="00986CA6"/>
    <w:rsid w:val="00987466"/>
    <w:rsid w:val="009875D4"/>
    <w:rsid w:val="00987ABC"/>
    <w:rsid w:val="00990084"/>
    <w:rsid w:val="009905B5"/>
    <w:rsid w:val="009908AC"/>
    <w:rsid w:val="00990BC2"/>
    <w:rsid w:val="00991392"/>
    <w:rsid w:val="00991894"/>
    <w:rsid w:val="009919C0"/>
    <w:rsid w:val="00991BEC"/>
    <w:rsid w:val="00991E6B"/>
    <w:rsid w:val="009921A9"/>
    <w:rsid w:val="00992598"/>
    <w:rsid w:val="009927B5"/>
    <w:rsid w:val="009928C1"/>
    <w:rsid w:val="00992DEB"/>
    <w:rsid w:val="00993432"/>
    <w:rsid w:val="009939FC"/>
    <w:rsid w:val="00993C94"/>
    <w:rsid w:val="00993E58"/>
    <w:rsid w:val="009941D4"/>
    <w:rsid w:val="00994233"/>
    <w:rsid w:val="00994358"/>
    <w:rsid w:val="009946A8"/>
    <w:rsid w:val="009947D1"/>
    <w:rsid w:val="00994836"/>
    <w:rsid w:val="00994D41"/>
    <w:rsid w:val="00994F39"/>
    <w:rsid w:val="009955CA"/>
    <w:rsid w:val="009957AF"/>
    <w:rsid w:val="00995CFD"/>
    <w:rsid w:val="00996835"/>
    <w:rsid w:val="009969B2"/>
    <w:rsid w:val="00996AE7"/>
    <w:rsid w:val="00997313"/>
    <w:rsid w:val="00997EF9"/>
    <w:rsid w:val="009A001F"/>
    <w:rsid w:val="009A0161"/>
    <w:rsid w:val="009A0808"/>
    <w:rsid w:val="009A0D68"/>
    <w:rsid w:val="009A0FA3"/>
    <w:rsid w:val="009A166A"/>
    <w:rsid w:val="009A1A8E"/>
    <w:rsid w:val="009A1D2A"/>
    <w:rsid w:val="009A1DFB"/>
    <w:rsid w:val="009A220A"/>
    <w:rsid w:val="009A227D"/>
    <w:rsid w:val="009A250A"/>
    <w:rsid w:val="009A283A"/>
    <w:rsid w:val="009A37A6"/>
    <w:rsid w:val="009A384B"/>
    <w:rsid w:val="009A3AB2"/>
    <w:rsid w:val="009A3E19"/>
    <w:rsid w:val="009A40C2"/>
    <w:rsid w:val="009A4965"/>
    <w:rsid w:val="009A51F3"/>
    <w:rsid w:val="009A5483"/>
    <w:rsid w:val="009A57B7"/>
    <w:rsid w:val="009A5DFD"/>
    <w:rsid w:val="009A5E82"/>
    <w:rsid w:val="009A637D"/>
    <w:rsid w:val="009A681C"/>
    <w:rsid w:val="009A6CA7"/>
    <w:rsid w:val="009A6E39"/>
    <w:rsid w:val="009A7475"/>
    <w:rsid w:val="009A7DA9"/>
    <w:rsid w:val="009A7F2D"/>
    <w:rsid w:val="009B00FC"/>
    <w:rsid w:val="009B03DA"/>
    <w:rsid w:val="009B0FCD"/>
    <w:rsid w:val="009B1034"/>
    <w:rsid w:val="009B183A"/>
    <w:rsid w:val="009B1963"/>
    <w:rsid w:val="009B1BED"/>
    <w:rsid w:val="009B1BF1"/>
    <w:rsid w:val="009B20A7"/>
    <w:rsid w:val="009B2514"/>
    <w:rsid w:val="009B2A3C"/>
    <w:rsid w:val="009B2D2D"/>
    <w:rsid w:val="009B2E0A"/>
    <w:rsid w:val="009B3198"/>
    <w:rsid w:val="009B3215"/>
    <w:rsid w:val="009B34C7"/>
    <w:rsid w:val="009B3FDF"/>
    <w:rsid w:val="009B4272"/>
    <w:rsid w:val="009B4B1E"/>
    <w:rsid w:val="009B508F"/>
    <w:rsid w:val="009B5285"/>
    <w:rsid w:val="009B5359"/>
    <w:rsid w:val="009B5740"/>
    <w:rsid w:val="009B5759"/>
    <w:rsid w:val="009B5AC2"/>
    <w:rsid w:val="009B617A"/>
    <w:rsid w:val="009B63EA"/>
    <w:rsid w:val="009B6670"/>
    <w:rsid w:val="009B688E"/>
    <w:rsid w:val="009B6D52"/>
    <w:rsid w:val="009B6F67"/>
    <w:rsid w:val="009B7673"/>
    <w:rsid w:val="009B793F"/>
    <w:rsid w:val="009B7B3C"/>
    <w:rsid w:val="009C039A"/>
    <w:rsid w:val="009C03AD"/>
    <w:rsid w:val="009C04FF"/>
    <w:rsid w:val="009C09BB"/>
    <w:rsid w:val="009C0B8C"/>
    <w:rsid w:val="009C0D9B"/>
    <w:rsid w:val="009C1443"/>
    <w:rsid w:val="009C1509"/>
    <w:rsid w:val="009C1658"/>
    <w:rsid w:val="009C1A8E"/>
    <w:rsid w:val="009C1B31"/>
    <w:rsid w:val="009C1E95"/>
    <w:rsid w:val="009C2550"/>
    <w:rsid w:val="009C2A6D"/>
    <w:rsid w:val="009C2D0A"/>
    <w:rsid w:val="009C2E72"/>
    <w:rsid w:val="009C3B56"/>
    <w:rsid w:val="009C3B5A"/>
    <w:rsid w:val="009C3CF6"/>
    <w:rsid w:val="009C4A6E"/>
    <w:rsid w:val="009C4D72"/>
    <w:rsid w:val="009C4D90"/>
    <w:rsid w:val="009C4EDB"/>
    <w:rsid w:val="009C57E2"/>
    <w:rsid w:val="009C59D8"/>
    <w:rsid w:val="009C5BA2"/>
    <w:rsid w:val="009C5D3F"/>
    <w:rsid w:val="009C5DA2"/>
    <w:rsid w:val="009C62BC"/>
    <w:rsid w:val="009C6308"/>
    <w:rsid w:val="009C63E1"/>
    <w:rsid w:val="009C7535"/>
    <w:rsid w:val="009C7606"/>
    <w:rsid w:val="009C7BAE"/>
    <w:rsid w:val="009C7F6A"/>
    <w:rsid w:val="009D0234"/>
    <w:rsid w:val="009D06FB"/>
    <w:rsid w:val="009D08C2"/>
    <w:rsid w:val="009D0E3B"/>
    <w:rsid w:val="009D1389"/>
    <w:rsid w:val="009D13BC"/>
    <w:rsid w:val="009D1543"/>
    <w:rsid w:val="009D15B5"/>
    <w:rsid w:val="009D167B"/>
    <w:rsid w:val="009D1D5B"/>
    <w:rsid w:val="009D1F92"/>
    <w:rsid w:val="009D20D7"/>
    <w:rsid w:val="009D210E"/>
    <w:rsid w:val="009D2132"/>
    <w:rsid w:val="009D22C3"/>
    <w:rsid w:val="009D2459"/>
    <w:rsid w:val="009D24D3"/>
    <w:rsid w:val="009D2A6D"/>
    <w:rsid w:val="009D3C5A"/>
    <w:rsid w:val="009D4C34"/>
    <w:rsid w:val="009D4F09"/>
    <w:rsid w:val="009D6095"/>
    <w:rsid w:val="009D64F8"/>
    <w:rsid w:val="009D6758"/>
    <w:rsid w:val="009D75B9"/>
    <w:rsid w:val="009D7723"/>
    <w:rsid w:val="009D7965"/>
    <w:rsid w:val="009D7B53"/>
    <w:rsid w:val="009D7B62"/>
    <w:rsid w:val="009D7CD2"/>
    <w:rsid w:val="009D7D86"/>
    <w:rsid w:val="009D7DF6"/>
    <w:rsid w:val="009E076E"/>
    <w:rsid w:val="009E07FF"/>
    <w:rsid w:val="009E0829"/>
    <w:rsid w:val="009E08D6"/>
    <w:rsid w:val="009E08F5"/>
    <w:rsid w:val="009E0B70"/>
    <w:rsid w:val="009E0C72"/>
    <w:rsid w:val="009E10BF"/>
    <w:rsid w:val="009E11CE"/>
    <w:rsid w:val="009E169C"/>
    <w:rsid w:val="009E18C9"/>
    <w:rsid w:val="009E192F"/>
    <w:rsid w:val="009E193E"/>
    <w:rsid w:val="009E1EFA"/>
    <w:rsid w:val="009E24BB"/>
    <w:rsid w:val="009E284F"/>
    <w:rsid w:val="009E30C2"/>
    <w:rsid w:val="009E32A3"/>
    <w:rsid w:val="009E35EA"/>
    <w:rsid w:val="009E39B8"/>
    <w:rsid w:val="009E3C46"/>
    <w:rsid w:val="009E3D29"/>
    <w:rsid w:val="009E417D"/>
    <w:rsid w:val="009E4403"/>
    <w:rsid w:val="009E49FF"/>
    <w:rsid w:val="009E51CE"/>
    <w:rsid w:val="009E5328"/>
    <w:rsid w:val="009E5390"/>
    <w:rsid w:val="009E5447"/>
    <w:rsid w:val="009E5791"/>
    <w:rsid w:val="009E58C4"/>
    <w:rsid w:val="009E5A93"/>
    <w:rsid w:val="009E5B5A"/>
    <w:rsid w:val="009E6174"/>
    <w:rsid w:val="009E6178"/>
    <w:rsid w:val="009E6193"/>
    <w:rsid w:val="009E662A"/>
    <w:rsid w:val="009E67D0"/>
    <w:rsid w:val="009E70A6"/>
    <w:rsid w:val="009E763A"/>
    <w:rsid w:val="009F0314"/>
    <w:rsid w:val="009F0968"/>
    <w:rsid w:val="009F0C86"/>
    <w:rsid w:val="009F0E26"/>
    <w:rsid w:val="009F1427"/>
    <w:rsid w:val="009F1456"/>
    <w:rsid w:val="009F1A3C"/>
    <w:rsid w:val="009F1DB4"/>
    <w:rsid w:val="009F22EA"/>
    <w:rsid w:val="009F30F1"/>
    <w:rsid w:val="009F3397"/>
    <w:rsid w:val="009F349A"/>
    <w:rsid w:val="009F3556"/>
    <w:rsid w:val="009F3B6E"/>
    <w:rsid w:val="009F41C5"/>
    <w:rsid w:val="009F4221"/>
    <w:rsid w:val="009F468E"/>
    <w:rsid w:val="009F4BE0"/>
    <w:rsid w:val="009F4D56"/>
    <w:rsid w:val="009F528E"/>
    <w:rsid w:val="009F5290"/>
    <w:rsid w:val="009F529E"/>
    <w:rsid w:val="009F532E"/>
    <w:rsid w:val="009F54DF"/>
    <w:rsid w:val="009F5592"/>
    <w:rsid w:val="009F5787"/>
    <w:rsid w:val="009F595E"/>
    <w:rsid w:val="009F5B33"/>
    <w:rsid w:val="009F5E62"/>
    <w:rsid w:val="009F5FD5"/>
    <w:rsid w:val="009F63F5"/>
    <w:rsid w:val="009F6546"/>
    <w:rsid w:val="009F6BAE"/>
    <w:rsid w:val="009F6D66"/>
    <w:rsid w:val="009F6F92"/>
    <w:rsid w:val="009F7256"/>
    <w:rsid w:val="009F7286"/>
    <w:rsid w:val="009F79D7"/>
    <w:rsid w:val="00A008A0"/>
    <w:rsid w:val="00A0098C"/>
    <w:rsid w:val="00A00BE8"/>
    <w:rsid w:val="00A00F0D"/>
    <w:rsid w:val="00A00F37"/>
    <w:rsid w:val="00A01355"/>
    <w:rsid w:val="00A014AB"/>
    <w:rsid w:val="00A018DD"/>
    <w:rsid w:val="00A01DCB"/>
    <w:rsid w:val="00A0244C"/>
    <w:rsid w:val="00A024E4"/>
    <w:rsid w:val="00A03108"/>
    <w:rsid w:val="00A03722"/>
    <w:rsid w:val="00A03898"/>
    <w:rsid w:val="00A03EC6"/>
    <w:rsid w:val="00A03FB7"/>
    <w:rsid w:val="00A0411C"/>
    <w:rsid w:val="00A04194"/>
    <w:rsid w:val="00A04E6A"/>
    <w:rsid w:val="00A05505"/>
    <w:rsid w:val="00A055F6"/>
    <w:rsid w:val="00A059F5"/>
    <w:rsid w:val="00A05F12"/>
    <w:rsid w:val="00A05F63"/>
    <w:rsid w:val="00A0641E"/>
    <w:rsid w:val="00A06896"/>
    <w:rsid w:val="00A06979"/>
    <w:rsid w:val="00A06B6D"/>
    <w:rsid w:val="00A06D9B"/>
    <w:rsid w:val="00A06E0D"/>
    <w:rsid w:val="00A06F30"/>
    <w:rsid w:val="00A07021"/>
    <w:rsid w:val="00A07521"/>
    <w:rsid w:val="00A077AD"/>
    <w:rsid w:val="00A0798A"/>
    <w:rsid w:val="00A07BB7"/>
    <w:rsid w:val="00A07C3E"/>
    <w:rsid w:val="00A103D0"/>
    <w:rsid w:val="00A105C7"/>
    <w:rsid w:val="00A105D0"/>
    <w:rsid w:val="00A10A08"/>
    <w:rsid w:val="00A11062"/>
    <w:rsid w:val="00A110B2"/>
    <w:rsid w:val="00A116D6"/>
    <w:rsid w:val="00A11A36"/>
    <w:rsid w:val="00A12268"/>
    <w:rsid w:val="00A124CD"/>
    <w:rsid w:val="00A1267B"/>
    <w:rsid w:val="00A12D68"/>
    <w:rsid w:val="00A12E53"/>
    <w:rsid w:val="00A130C8"/>
    <w:rsid w:val="00A13347"/>
    <w:rsid w:val="00A13E9B"/>
    <w:rsid w:val="00A13F3F"/>
    <w:rsid w:val="00A144C2"/>
    <w:rsid w:val="00A147A9"/>
    <w:rsid w:val="00A14E50"/>
    <w:rsid w:val="00A15124"/>
    <w:rsid w:val="00A1535E"/>
    <w:rsid w:val="00A155A4"/>
    <w:rsid w:val="00A156C7"/>
    <w:rsid w:val="00A15B4D"/>
    <w:rsid w:val="00A15D6A"/>
    <w:rsid w:val="00A15E92"/>
    <w:rsid w:val="00A16699"/>
    <w:rsid w:val="00A17338"/>
    <w:rsid w:val="00A17626"/>
    <w:rsid w:val="00A1767B"/>
    <w:rsid w:val="00A17994"/>
    <w:rsid w:val="00A17BB3"/>
    <w:rsid w:val="00A17CC2"/>
    <w:rsid w:val="00A17F3A"/>
    <w:rsid w:val="00A21059"/>
    <w:rsid w:val="00A21375"/>
    <w:rsid w:val="00A21404"/>
    <w:rsid w:val="00A2162F"/>
    <w:rsid w:val="00A2168B"/>
    <w:rsid w:val="00A21AE6"/>
    <w:rsid w:val="00A2262F"/>
    <w:rsid w:val="00A2268C"/>
    <w:rsid w:val="00A22714"/>
    <w:rsid w:val="00A22F0A"/>
    <w:rsid w:val="00A233F7"/>
    <w:rsid w:val="00A23C86"/>
    <w:rsid w:val="00A23C95"/>
    <w:rsid w:val="00A23EEC"/>
    <w:rsid w:val="00A24731"/>
    <w:rsid w:val="00A248CD"/>
    <w:rsid w:val="00A24CBE"/>
    <w:rsid w:val="00A2527D"/>
    <w:rsid w:val="00A258BE"/>
    <w:rsid w:val="00A25BFB"/>
    <w:rsid w:val="00A265D1"/>
    <w:rsid w:val="00A26F4F"/>
    <w:rsid w:val="00A2710D"/>
    <w:rsid w:val="00A271CC"/>
    <w:rsid w:val="00A27214"/>
    <w:rsid w:val="00A276E7"/>
    <w:rsid w:val="00A27BD2"/>
    <w:rsid w:val="00A27CE9"/>
    <w:rsid w:val="00A30162"/>
    <w:rsid w:val="00A303DC"/>
    <w:rsid w:val="00A30C15"/>
    <w:rsid w:val="00A3158F"/>
    <w:rsid w:val="00A31753"/>
    <w:rsid w:val="00A31827"/>
    <w:rsid w:val="00A31859"/>
    <w:rsid w:val="00A31978"/>
    <w:rsid w:val="00A31A43"/>
    <w:rsid w:val="00A31F60"/>
    <w:rsid w:val="00A31F68"/>
    <w:rsid w:val="00A32098"/>
    <w:rsid w:val="00A325E1"/>
    <w:rsid w:val="00A32E06"/>
    <w:rsid w:val="00A32FCA"/>
    <w:rsid w:val="00A33201"/>
    <w:rsid w:val="00A33324"/>
    <w:rsid w:val="00A338DD"/>
    <w:rsid w:val="00A33D7A"/>
    <w:rsid w:val="00A33D81"/>
    <w:rsid w:val="00A344AC"/>
    <w:rsid w:val="00A345A5"/>
    <w:rsid w:val="00A347B3"/>
    <w:rsid w:val="00A34864"/>
    <w:rsid w:val="00A34CA3"/>
    <w:rsid w:val="00A35574"/>
    <w:rsid w:val="00A3575F"/>
    <w:rsid w:val="00A35DBC"/>
    <w:rsid w:val="00A35E80"/>
    <w:rsid w:val="00A35E8B"/>
    <w:rsid w:val="00A361F0"/>
    <w:rsid w:val="00A36792"/>
    <w:rsid w:val="00A369E6"/>
    <w:rsid w:val="00A36C47"/>
    <w:rsid w:val="00A36CB7"/>
    <w:rsid w:val="00A36E95"/>
    <w:rsid w:val="00A36F38"/>
    <w:rsid w:val="00A372C1"/>
    <w:rsid w:val="00A376A0"/>
    <w:rsid w:val="00A37772"/>
    <w:rsid w:val="00A37B48"/>
    <w:rsid w:val="00A37D3A"/>
    <w:rsid w:val="00A40099"/>
    <w:rsid w:val="00A40193"/>
    <w:rsid w:val="00A407B1"/>
    <w:rsid w:val="00A408A1"/>
    <w:rsid w:val="00A40C39"/>
    <w:rsid w:val="00A41522"/>
    <w:rsid w:val="00A41C51"/>
    <w:rsid w:val="00A4289B"/>
    <w:rsid w:val="00A42D7E"/>
    <w:rsid w:val="00A43079"/>
    <w:rsid w:val="00A435CA"/>
    <w:rsid w:val="00A43A67"/>
    <w:rsid w:val="00A43AA5"/>
    <w:rsid w:val="00A4405E"/>
    <w:rsid w:val="00A440E9"/>
    <w:rsid w:val="00A44EC8"/>
    <w:rsid w:val="00A44EC9"/>
    <w:rsid w:val="00A450D7"/>
    <w:rsid w:val="00A451D1"/>
    <w:rsid w:val="00A4526B"/>
    <w:rsid w:val="00A452AA"/>
    <w:rsid w:val="00A4557C"/>
    <w:rsid w:val="00A45776"/>
    <w:rsid w:val="00A45962"/>
    <w:rsid w:val="00A45B81"/>
    <w:rsid w:val="00A45E0C"/>
    <w:rsid w:val="00A45E10"/>
    <w:rsid w:val="00A46BAD"/>
    <w:rsid w:val="00A46BB2"/>
    <w:rsid w:val="00A46C49"/>
    <w:rsid w:val="00A46EF0"/>
    <w:rsid w:val="00A4715E"/>
    <w:rsid w:val="00A476DE"/>
    <w:rsid w:val="00A47995"/>
    <w:rsid w:val="00A47E3B"/>
    <w:rsid w:val="00A51661"/>
    <w:rsid w:val="00A51831"/>
    <w:rsid w:val="00A526FA"/>
    <w:rsid w:val="00A53584"/>
    <w:rsid w:val="00A53636"/>
    <w:rsid w:val="00A54310"/>
    <w:rsid w:val="00A54338"/>
    <w:rsid w:val="00A5464E"/>
    <w:rsid w:val="00A546DB"/>
    <w:rsid w:val="00A54CEC"/>
    <w:rsid w:val="00A54D39"/>
    <w:rsid w:val="00A54EE8"/>
    <w:rsid w:val="00A55483"/>
    <w:rsid w:val="00A55E91"/>
    <w:rsid w:val="00A56094"/>
    <w:rsid w:val="00A561C1"/>
    <w:rsid w:val="00A5679C"/>
    <w:rsid w:val="00A567F1"/>
    <w:rsid w:val="00A56D03"/>
    <w:rsid w:val="00A5733B"/>
    <w:rsid w:val="00A57803"/>
    <w:rsid w:val="00A5789D"/>
    <w:rsid w:val="00A6071E"/>
    <w:rsid w:val="00A60730"/>
    <w:rsid w:val="00A60939"/>
    <w:rsid w:val="00A61217"/>
    <w:rsid w:val="00A61343"/>
    <w:rsid w:val="00A6194A"/>
    <w:rsid w:val="00A6197B"/>
    <w:rsid w:val="00A624A5"/>
    <w:rsid w:val="00A6307A"/>
    <w:rsid w:val="00A6324C"/>
    <w:rsid w:val="00A6347B"/>
    <w:rsid w:val="00A63EC6"/>
    <w:rsid w:val="00A64BFF"/>
    <w:rsid w:val="00A650C3"/>
    <w:rsid w:val="00A65607"/>
    <w:rsid w:val="00A6578B"/>
    <w:rsid w:val="00A658B6"/>
    <w:rsid w:val="00A65A73"/>
    <w:rsid w:val="00A65E7E"/>
    <w:rsid w:val="00A66D65"/>
    <w:rsid w:val="00A67041"/>
    <w:rsid w:val="00A673EB"/>
    <w:rsid w:val="00A674D0"/>
    <w:rsid w:val="00A675B3"/>
    <w:rsid w:val="00A67716"/>
    <w:rsid w:val="00A679FB"/>
    <w:rsid w:val="00A67AB5"/>
    <w:rsid w:val="00A70424"/>
    <w:rsid w:val="00A70741"/>
    <w:rsid w:val="00A70744"/>
    <w:rsid w:val="00A7075E"/>
    <w:rsid w:val="00A70FB2"/>
    <w:rsid w:val="00A71174"/>
    <w:rsid w:val="00A711B8"/>
    <w:rsid w:val="00A713D5"/>
    <w:rsid w:val="00A71437"/>
    <w:rsid w:val="00A715B2"/>
    <w:rsid w:val="00A718AF"/>
    <w:rsid w:val="00A71C05"/>
    <w:rsid w:val="00A71C99"/>
    <w:rsid w:val="00A71CB6"/>
    <w:rsid w:val="00A71CC1"/>
    <w:rsid w:val="00A7242A"/>
    <w:rsid w:val="00A725A6"/>
    <w:rsid w:val="00A72830"/>
    <w:rsid w:val="00A72A70"/>
    <w:rsid w:val="00A72D03"/>
    <w:rsid w:val="00A733D0"/>
    <w:rsid w:val="00A736FA"/>
    <w:rsid w:val="00A73B2D"/>
    <w:rsid w:val="00A73B6E"/>
    <w:rsid w:val="00A73D3B"/>
    <w:rsid w:val="00A74239"/>
    <w:rsid w:val="00A74279"/>
    <w:rsid w:val="00A746D4"/>
    <w:rsid w:val="00A7481C"/>
    <w:rsid w:val="00A74A47"/>
    <w:rsid w:val="00A74C2B"/>
    <w:rsid w:val="00A74D31"/>
    <w:rsid w:val="00A74DF4"/>
    <w:rsid w:val="00A75428"/>
    <w:rsid w:val="00A754AD"/>
    <w:rsid w:val="00A754F3"/>
    <w:rsid w:val="00A75A2A"/>
    <w:rsid w:val="00A75CD8"/>
    <w:rsid w:val="00A768A7"/>
    <w:rsid w:val="00A76AFA"/>
    <w:rsid w:val="00A76B76"/>
    <w:rsid w:val="00A770F0"/>
    <w:rsid w:val="00A771B1"/>
    <w:rsid w:val="00A77238"/>
    <w:rsid w:val="00A7784A"/>
    <w:rsid w:val="00A77866"/>
    <w:rsid w:val="00A77DD3"/>
    <w:rsid w:val="00A80222"/>
    <w:rsid w:val="00A803B7"/>
    <w:rsid w:val="00A8046B"/>
    <w:rsid w:val="00A806B1"/>
    <w:rsid w:val="00A806EF"/>
    <w:rsid w:val="00A813FA"/>
    <w:rsid w:val="00A8200C"/>
    <w:rsid w:val="00A8208C"/>
    <w:rsid w:val="00A83A7B"/>
    <w:rsid w:val="00A83A98"/>
    <w:rsid w:val="00A83CF3"/>
    <w:rsid w:val="00A840A4"/>
    <w:rsid w:val="00A843B6"/>
    <w:rsid w:val="00A848BD"/>
    <w:rsid w:val="00A84D2A"/>
    <w:rsid w:val="00A853E2"/>
    <w:rsid w:val="00A857C8"/>
    <w:rsid w:val="00A85B3C"/>
    <w:rsid w:val="00A85F9C"/>
    <w:rsid w:val="00A863BC"/>
    <w:rsid w:val="00A86702"/>
    <w:rsid w:val="00A86787"/>
    <w:rsid w:val="00A86A3D"/>
    <w:rsid w:val="00A86C26"/>
    <w:rsid w:val="00A87ADA"/>
    <w:rsid w:val="00A87BA2"/>
    <w:rsid w:val="00A87E20"/>
    <w:rsid w:val="00A9006E"/>
    <w:rsid w:val="00A90437"/>
    <w:rsid w:val="00A90DC3"/>
    <w:rsid w:val="00A9115A"/>
    <w:rsid w:val="00A9123C"/>
    <w:rsid w:val="00A913B2"/>
    <w:rsid w:val="00A914CB"/>
    <w:rsid w:val="00A91621"/>
    <w:rsid w:val="00A91736"/>
    <w:rsid w:val="00A917D6"/>
    <w:rsid w:val="00A91D0A"/>
    <w:rsid w:val="00A91D9C"/>
    <w:rsid w:val="00A91EF3"/>
    <w:rsid w:val="00A924F3"/>
    <w:rsid w:val="00A92847"/>
    <w:rsid w:val="00A92CF5"/>
    <w:rsid w:val="00A9300B"/>
    <w:rsid w:val="00A931CA"/>
    <w:rsid w:val="00A93ABA"/>
    <w:rsid w:val="00A93AE2"/>
    <w:rsid w:val="00A93E28"/>
    <w:rsid w:val="00A93EB7"/>
    <w:rsid w:val="00A949A1"/>
    <w:rsid w:val="00A94A04"/>
    <w:rsid w:val="00A94D98"/>
    <w:rsid w:val="00A95D19"/>
    <w:rsid w:val="00A95E30"/>
    <w:rsid w:val="00A95F72"/>
    <w:rsid w:val="00A95FD3"/>
    <w:rsid w:val="00A96332"/>
    <w:rsid w:val="00A964CA"/>
    <w:rsid w:val="00A96711"/>
    <w:rsid w:val="00A96B82"/>
    <w:rsid w:val="00A96F27"/>
    <w:rsid w:val="00A97378"/>
    <w:rsid w:val="00A97402"/>
    <w:rsid w:val="00A97451"/>
    <w:rsid w:val="00A9796C"/>
    <w:rsid w:val="00A97D63"/>
    <w:rsid w:val="00A97FD4"/>
    <w:rsid w:val="00AA00AC"/>
    <w:rsid w:val="00AA00D2"/>
    <w:rsid w:val="00AA07A9"/>
    <w:rsid w:val="00AA0DCE"/>
    <w:rsid w:val="00AA15FB"/>
    <w:rsid w:val="00AA1C72"/>
    <w:rsid w:val="00AA21A5"/>
    <w:rsid w:val="00AA220F"/>
    <w:rsid w:val="00AA269E"/>
    <w:rsid w:val="00AA272D"/>
    <w:rsid w:val="00AA2F3F"/>
    <w:rsid w:val="00AA3388"/>
    <w:rsid w:val="00AA33B9"/>
    <w:rsid w:val="00AA35C2"/>
    <w:rsid w:val="00AA363F"/>
    <w:rsid w:val="00AA382E"/>
    <w:rsid w:val="00AA3A5D"/>
    <w:rsid w:val="00AA3ACA"/>
    <w:rsid w:val="00AA45BB"/>
    <w:rsid w:val="00AA4718"/>
    <w:rsid w:val="00AA4903"/>
    <w:rsid w:val="00AA4AA3"/>
    <w:rsid w:val="00AA5152"/>
    <w:rsid w:val="00AA5212"/>
    <w:rsid w:val="00AA568F"/>
    <w:rsid w:val="00AA5A7B"/>
    <w:rsid w:val="00AA5AB5"/>
    <w:rsid w:val="00AA5BF9"/>
    <w:rsid w:val="00AA5D7E"/>
    <w:rsid w:val="00AA5DA0"/>
    <w:rsid w:val="00AA5E16"/>
    <w:rsid w:val="00AA6011"/>
    <w:rsid w:val="00AA63AA"/>
    <w:rsid w:val="00AA75D8"/>
    <w:rsid w:val="00AA7676"/>
    <w:rsid w:val="00AA7730"/>
    <w:rsid w:val="00AA78C0"/>
    <w:rsid w:val="00AB0538"/>
    <w:rsid w:val="00AB08A2"/>
    <w:rsid w:val="00AB0A57"/>
    <w:rsid w:val="00AB0AB9"/>
    <w:rsid w:val="00AB0AEC"/>
    <w:rsid w:val="00AB0DC3"/>
    <w:rsid w:val="00AB11EA"/>
    <w:rsid w:val="00AB1A39"/>
    <w:rsid w:val="00AB1A9A"/>
    <w:rsid w:val="00AB1CAB"/>
    <w:rsid w:val="00AB1E0F"/>
    <w:rsid w:val="00AB2010"/>
    <w:rsid w:val="00AB2EAD"/>
    <w:rsid w:val="00AB3006"/>
    <w:rsid w:val="00AB33B7"/>
    <w:rsid w:val="00AB34B6"/>
    <w:rsid w:val="00AB350F"/>
    <w:rsid w:val="00AB376E"/>
    <w:rsid w:val="00AB427A"/>
    <w:rsid w:val="00AB50D4"/>
    <w:rsid w:val="00AB5109"/>
    <w:rsid w:val="00AB592A"/>
    <w:rsid w:val="00AB5B2C"/>
    <w:rsid w:val="00AB5DB4"/>
    <w:rsid w:val="00AB614E"/>
    <w:rsid w:val="00AB751F"/>
    <w:rsid w:val="00AB7C3A"/>
    <w:rsid w:val="00AC046B"/>
    <w:rsid w:val="00AC0E33"/>
    <w:rsid w:val="00AC104B"/>
    <w:rsid w:val="00AC10C8"/>
    <w:rsid w:val="00AC111C"/>
    <w:rsid w:val="00AC13F7"/>
    <w:rsid w:val="00AC1506"/>
    <w:rsid w:val="00AC1643"/>
    <w:rsid w:val="00AC2072"/>
    <w:rsid w:val="00AC2446"/>
    <w:rsid w:val="00AC2541"/>
    <w:rsid w:val="00AC26F7"/>
    <w:rsid w:val="00AC3793"/>
    <w:rsid w:val="00AC39A4"/>
    <w:rsid w:val="00AC42B9"/>
    <w:rsid w:val="00AC459A"/>
    <w:rsid w:val="00AC5034"/>
    <w:rsid w:val="00AC53BF"/>
    <w:rsid w:val="00AC53D0"/>
    <w:rsid w:val="00AC5558"/>
    <w:rsid w:val="00AC55EA"/>
    <w:rsid w:val="00AC57C0"/>
    <w:rsid w:val="00AC59E3"/>
    <w:rsid w:val="00AC5B36"/>
    <w:rsid w:val="00AC5FD0"/>
    <w:rsid w:val="00AC602B"/>
    <w:rsid w:val="00AC652E"/>
    <w:rsid w:val="00AC7622"/>
    <w:rsid w:val="00AC773B"/>
    <w:rsid w:val="00AC7A94"/>
    <w:rsid w:val="00AC7B2D"/>
    <w:rsid w:val="00AC7D2D"/>
    <w:rsid w:val="00AD01DA"/>
    <w:rsid w:val="00AD0322"/>
    <w:rsid w:val="00AD0436"/>
    <w:rsid w:val="00AD0D2C"/>
    <w:rsid w:val="00AD0ED0"/>
    <w:rsid w:val="00AD1019"/>
    <w:rsid w:val="00AD1590"/>
    <w:rsid w:val="00AD1B78"/>
    <w:rsid w:val="00AD2278"/>
    <w:rsid w:val="00AD2556"/>
    <w:rsid w:val="00AD2683"/>
    <w:rsid w:val="00AD26E6"/>
    <w:rsid w:val="00AD2D0F"/>
    <w:rsid w:val="00AD2E18"/>
    <w:rsid w:val="00AD30D1"/>
    <w:rsid w:val="00AD3119"/>
    <w:rsid w:val="00AD3522"/>
    <w:rsid w:val="00AD3857"/>
    <w:rsid w:val="00AD3BE4"/>
    <w:rsid w:val="00AD3E62"/>
    <w:rsid w:val="00AD3F4C"/>
    <w:rsid w:val="00AD437B"/>
    <w:rsid w:val="00AD43AE"/>
    <w:rsid w:val="00AD4701"/>
    <w:rsid w:val="00AD49F9"/>
    <w:rsid w:val="00AD4A80"/>
    <w:rsid w:val="00AD4B61"/>
    <w:rsid w:val="00AD4CD0"/>
    <w:rsid w:val="00AD5B5D"/>
    <w:rsid w:val="00AD5FA4"/>
    <w:rsid w:val="00AD5FCA"/>
    <w:rsid w:val="00AD6332"/>
    <w:rsid w:val="00AD6398"/>
    <w:rsid w:val="00AD6618"/>
    <w:rsid w:val="00AD6C2D"/>
    <w:rsid w:val="00AD7184"/>
    <w:rsid w:val="00AD7353"/>
    <w:rsid w:val="00AD7448"/>
    <w:rsid w:val="00AD7734"/>
    <w:rsid w:val="00AD7912"/>
    <w:rsid w:val="00AD7A9B"/>
    <w:rsid w:val="00AD7EF2"/>
    <w:rsid w:val="00AD7F45"/>
    <w:rsid w:val="00AE0227"/>
    <w:rsid w:val="00AE0257"/>
    <w:rsid w:val="00AE0367"/>
    <w:rsid w:val="00AE0467"/>
    <w:rsid w:val="00AE0AEA"/>
    <w:rsid w:val="00AE16D0"/>
    <w:rsid w:val="00AE1E0A"/>
    <w:rsid w:val="00AE1FC5"/>
    <w:rsid w:val="00AE2042"/>
    <w:rsid w:val="00AE241B"/>
    <w:rsid w:val="00AE27ED"/>
    <w:rsid w:val="00AE29F2"/>
    <w:rsid w:val="00AE2D68"/>
    <w:rsid w:val="00AE2FDD"/>
    <w:rsid w:val="00AE32B4"/>
    <w:rsid w:val="00AE353E"/>
    <w:rsid w:val="00AE3979"/>
    <w:rsid w:val="00AE3B0E"/>
    <w:rsid w:val="00AE3B76"/>
    <w:rsid w:val="00AE3F2D"/>
    <w:rsid w:val="00AE4604"/>
    <w:rsid w:val="00AE4978"/>
    <w:rsid w:val="00AE4AFD"/>
    <w:rsid w:val="00AE4CAC"/>
    <w:rsid w:val="00AE4D35"/>
    <w:rsid w:val="00AE4DC9"/>
    <w:rsid w:val="00AE5109"/>
    <w:rsid w:val="00AE51A2"/>
    <w:rsid w:val="00AE5402"/>
    <w:rsid w:val="00AE5707"/>
    <w:rsid w:val="00AE58AC"/>
    <w:rsid w:val="00AE5A25"/>
    <w:rsid w:val="00AE5B5A"/>
    <w:rsid w:val="00AE612C"/>
    <w:rsid w:val="00AE6A7E"/>
    <w:rsid w:val="00AE6AB5"/>
    <w:rsid w:val="00AE7342"/>
    <w:rsid w:val="00AE7BE3"/>
    <w:rsid w:val="00AE7F51"/>
    <w:rsid w:val="00AF0176"/>
    <w:rsid w:val="00AF0544"/>
    <w:rsid w:val="00AF0768"/>
    <w:rsid w:val="00AF16AE"/>
    <w:rsid w:val="00AF1901"/>
    <w:rsid w:val="00AF1F11"/>
    <w:rsid w:val="00AF2081"/>
    <w:rsid w:val="00AF25B1"/>
    <w:rsid w:val="00AF270F"/>
    <w:rsid w:val="00AF2F31"/>
    <w:rsid w:val="00AF2FC4"/>
    <w:rsid w:val="00AF300D"/>
    <w:rsid w:val="00AF3047"/>
    <w:rsid w:val="00AF34CE"/>
    <w:rsid w:val="00AF35FF"/>
    <w:rsid w:val="00AF37E8"/>
    <w:rsid w:val="00AF3A54"/>
    <w:rsid w:val="00AF42C3"/>
    <w:rsid w:val="00AF43B0"/>
    <w:rsid w:val="00AF4F10"/>
    <w:rsid w:val="00AF5035"/>
    <w:rsid w:val="00AF5117"/>
    <w:rsid w:val="00AF555F"/>
    <w:rsid w:val="00AF60C2"/>
    <w:rsid w:val="00AF66DF"/>
    <w:rsid w:val="00AF68DB"/>
    <w:rsid w:val="00AF6EB7"/>
    <w:rsid w:val="00AF7724"/>
    <w:rsid w:val="00AF7D12"/>
    <w:rsid w:val="00B00232"/>
    <w:rsid w:val="00B00326"/>
    <w:rsid w:val="00B0061C"/>
    <w:rsid w:val="00B00683"/>
    <w:rsid w:val="00B00BB9"/>
    <w:rsid w:val="00B010A3"/>
    <w:rsid w:val="00B01E8A"/>
    <w:rsid w:val="00B02FD8"/>
    <w:rsid w:val="00B03095"/>
    <w:rsid w:val="00B032E4"/>
    <w:rsid w:val="00B0333B"/>
    <w:rsid w:val="00B03340"/>
    <w:rsid w:val="00B0382E"/>
    <w:rsid w:val="00B03C98"/>
    <w:rsid w:val="00B0443A"/>
    <w:rsid w:val="00B0447A"/>
    <w:rsid w:val="00B0463E"/>
    <w:rsid w:val="00B04AF2"/>
    <w:rsid w:val="00B051D7"/>
    <w:rsid w:val="00B054B4"/>
    <w:rsid w:val="00B05992"/>
    <w:rsid w:val="00B05B26"/>
    <w:rsid w:val="00B05C9C"/>
    <w:rsid w:val="00B0616E"/>
    <w:rsid w:val="00B06304"/>
    <w:rsid w:val="00B066A0"/>
    <w:rsid w:val="00B06F2D"/>
    <w:rsid w:val="00B0720D"/>
    <w:rsid w:val="00B0768B"/>
    <w:rsid w:val="00B07868"/>
    <w:rsid w:val="00B07A04"/>
    <w:rsid w:val="00B07A97"/>
    <w:rsid w:val="00B07AFF"/>
    <w:rsid w:val="00B10002"/>
    <w:rsid w:val="00B10D65"/>
    <w:rsid w:val="00B1100F"/>
    <w:rsid w:val="00B1108F"/>
    <w:rsid w:val="00B113CD"/>
    <w:rsid w:val="00B114FF"/>
    <w:rsid w:val="00B1151A"/>
    <w:rsid w:val="00B11643"/>
    <w:rsid w:val="00B11674"/>
    <w:rsid w:val="00B11911"/>
    <w:rsid w:val="00B12041"/>
    <w:rsid w:val="00B12054"/>
    <w:rsid w:val="00B122B0"/>
    <w:rsid w:val="00B12581"/>
    <w:rsid w:val="00B1267F"/>
    <w:rsid w:val="00B12A45"/>
    <w:rsid w:val="00B12B82"/>
    <w:rsid w:val="00B13367"/>
    <w:rsid w:val="00B13869"/>
    <w:rsid w:val="00B13AD1"/>
    <w:rsid w:val="00B13D23"/>
    <w:rsid w:val="00B13E97"/>
    <w:rsid w:val="00B13EA8"/>
    <w:rsid w:val="00B14795"/>
    <w:rsid w:val="00B149EA"/>
    <w:rsid w:val="00B14C83"/>
    <w:rsid w:val="00B14DB7"/>
    <w:rsid w:val="00B1520B"/>
    <w:rsid w:val="00B15469"/>
    <w:rsid w:val="00B156FF"/>
    <w:rsid w:val="00B15E2E"/>
    <w:rsid w:val="00B15FD6"/>
    <w:rsid w:val="00B164BC"/>
    <w:rsid w:val="00B166F0"/>
    <w:rsid w:val="00B1698B"/>
    <w:rsid w:val="00B16B03"/>
    <w:rsid w:val="00B16B46"/>
    <w:rsid w:val="00B171DF"/>
    <w:rsid w:val="00B176BE"/>
    <w:rsid w:val="00B17BE9"/>
    <w:rsid w:val="00B17E16"/>
    <w:rsid w:val="00B2032B"/>
    <w:rsid w:val="00B21054"/>
    <w:rsid w:val="00B21221"/>
    <w:rsid w:val="00B21A67"/>
    <w:rsid w:val="00B21C72"/>
    <w:rsid w:val="00B21DBF"/>
    <w:rsid w:val="00B2260B"/>
    <w:rsid w:val="00B226F6"/>
    <w:rsid w:val="00B227FE"/>
    <w:rsid w:val="00B2280A"/>
    <w:rsid w:val="00B22C10"/>
    <w:rsid w:val="00B22D30"/>
    <w:rsid w:val="00B22F68"/>
    <w:rsid w:val="00B2371F"/>
    <w:rsid w:val="00B23C0D"/>
    <w:rsid w:val="00B23DF0"/>
    <w:rsid w:val="00B23EF3"/>
    <w:rsid w:val="00B241FC"/>
    <w:rsid w:val="00B24364"/>
    <w:rsid w:val="00B244A6"/>
    <w:rsid w:val="00B2476B"/>
    <w:rsid w:val="00B247F5"/>
    <w:rsid w:val="00B24AA6"/>
    <w:rsid w:val="00B24AF4"/>
    <w:rsid w:val="00B24D1F"/>
    <w:rsid w:val="00B25730"/>
    <w:rsid w:val="00B25BBA"/>
    <w:rsid w:val="00B25CC1"/>
    <w:rsid w:val="00B25D45"/>
    <w:rsid w:val="00B25E42"/>
    <w:rsid w:val="00B25F6F"/>
    <w:rsid w:val="00B2631C"/>
    <w:rsid w:val="00B26A8D"/>
    <w:rsid w:val="00B272A1"/>
    <w:rsid w:val="00B2734D"/>
    <w:rsid w:val="00B2751A"/>
    <w:rsid w:val="00B2785B"/>
    <w:rsid w:val="00B2786D"/>
    <w:rsid w:val="00B27B68"/>
    <w:rsid w:val="00B27D8D"/>
    <w:rsid w:val="00B30901"/>
    <w:rsid w:val="00B3096F"/>
    <w:rsid w:val="00B309CF"/>
    <w:rsid w:val="00B30A16"/>
    <w:rsid w:val="00B30FF4"/>
    <w:rsid w:val="00B31293"/>
    <w:rsid w:val="00B3159D"/>
    <w:rsid w:val="00B3180C"/>
    <w:rsid w:val="00B31AB3"/>
    <w:rsid w:val="00B31DD2"/>
    <w:rsid w:val="00B320EB"/>
    <w:rsid w:val="00B32B58"/>
    <w:rsid w:val="00B32D18"/>
    <w:rsid w:val="00B33310"/>
    <w:rsid w:val="00B3335D"/>
    <w:rsid w:val="00B33389"/>
    <w:rsid w:val="00B33492"/>
    <w:rsid w:val="00B3354E"/>
    <w:rsid w:val="00B33CDB"/>
    <w:rsid w:val="00B33F31"/>
    <w:rsid w:val="00B3421F"/>
    <w:rsid w:val="00B343FB"/>
    <w:rsid w:val="00B344F3"/>
    <w:rsid w:val="00B34736"/>
    <w:rsid w:val="00B34A1E"/>
    <w:rsid w:val="00B3506D"/>
    <w:rsid w:val="00B35182"/>
    <w:rsid w:val="00B35972"/>
    <w:rsid w:val="00B359A0"/>
    <w:rsid w:val="00B35BDB"/>
    <w:rsid w:val="00B36033"/>
    <w:rsid w:val="00B36091"/>
    <w:rsid w:val="00B363A8"/>
    <w:rsid w:val="00B36682"/>
    <w:rsid w:val="00B36E7A"/>
    <w:rsid w:val="00B37293"/>
    <w:rsid w:val="00B37A06"/>
    <w:rsid w:val="00B37AA9"/>
    <w:rsid w:val="00B37B66"/>
    <w:rsid w:val="00B37CB8"/>
    <w:rsid w:val="00B4029C"/>
    <w:rsid w:val="00B40414"/>
    <w:rsid w:val="00B40894"/>
    <w:rsid w:val="00B40AC0"/>
    <w:rsid w:val="00B41346"/>
    <w:rsid w:val="00B4188E"/>
    <w:rsid w:val="00B41A23"/>
    <w:rsid w:val="00B41AC8"/>
    <w:rsid w:val="00B41F23"/>
    <w:rsid w:val="00B41F7C"/>
    <w:rsid w:val="00B41FF4"/>
    <w:rsid w:val="00B42497"/>
    <w:rsid w:val="00B42545"/>
    <w:rsid w:val="00B427D5"/>
    <w:rsid w:val="00B4297C"/>
    <w:rsid w:val="00B42B44"/>
    <w:rsid w:val="00B42B97"/>
    <w:rsid w:val="00B430BE"/>
    <w:rsid w:val="00B43404"/>
    <w:rsid w:val="00B43444"/>
    <w:rsid w:val="00B4385E"/>
    <w:rsid w:val="00B4396B"/>
    <w:rsid w:val="00B43E38"/>
    <w:rsid w:val="00B443F9"/>
    <w:rsid w:val="00B44898"/>
    <w:rsid w:val="00B450D0"/>
    <w:rsid w:val="00B452AA"/>
    <w:rsid w:val="00B459B9"/>
    <w:rsid w:val="00B45B9B"/>
    <w:rsid w:val="00B46535"/>
    <w:rsid w:val="00B46B93"/>
    <w:rsid w:val="00B46DB7"/>
    <w:rsid w:val="00B46F43"/>
    <w:rsid w:val="00B471A0"/>
    <w:rsid w:val="00B47529"/>
    <w:rsid w:val="00B475D6"/>
    <w:rsid w:val="00B475F7"/>
    <w:rsid w:val="00B476EF"/>
    <w:rsid w:val="00B47ACE"/>
    <w:rsid w:val="00B501E6"/>
    <w:rsid w:val="00B50233"/>
    <w:rsid w:val="00B504B9"/>
    <w:rsid w:val="00B5087E"/>
    <w:rsid w:val="00B50B6F"/>
    <w:rsid w:val="00B5141D"/>
    <w:rsid w:val="00B5155B"/>
    <w:rsid w:val="00B51781"/>
    <w:rsid w:val="00B517FF"/>
    <w:rsid w:val="00B51A6D"/>
    <w:rsid w:val="00B51B13"/>
    <w:rsid w:val="00B523E7"/>
    <w:rsid w:val="00B523E9"/>
    <w:rsid w:val="00B5256E"/>
    <w:rsid w:val="00B525E6"/>
    <w:rsid w:val="00B52903"/>
    <w:rsid w:val="00B529AC"/>
    <w:rsid w:val="00B52B0A"/>
    <w:rsid w:val="00B52B57"/>
    <w:rsid w:val="00B533D8"/>
    <w:rsid w:val="00B53778"/>
    <w:rsid w:val="00B537DC"/>
    <w:rsid w:val="00B53B7A"/>
    <w:rsid w:val="00B53C17"/>
    <w:rsid w:val="00B53E6E"/>
    <w:rsid w:val="00B53EAE"/>
    <w:rsid w:val="00B54055"/>
    <w:rsid w:val="00B5477D"/>
    <w:rsid w:val="00B54824"/>
    <w:rsid w:val="00B550C3"/>
    <w:rsid w:val="00B5528D"/>
    <w:rsid w:val="00B552CF"/>
    <w:rsid w:val="00B558F2"/>
    <w:rsid w:val="00B55BAD"/>
    <w:rsid w:val="00B55D9F"/>
    <w:rsid w:val="00B55E22"/>
    <w:rsid w:val="00B55FC3"/>
    <w:rsid w:val="00B560A0"/>
    <w:rsid w:val="00B56205"/>
    <w:rsid w:val="00B5664F"/>
    <w:rsid w:val="00B5731A"/>
    <w:rsid w:val="00B57349"/>
    <w:rsid w:val="00B57535"/>
    <w:rsid w:val="00B57B87"/>
    <w:rsid w:val="00B57C25"/>
    <w:rsid w:val="00B604A4"/>
    <w:rsid w:val="00B608C8"/>
    <w:rsid w:val="00B60ADC"/>
    <w:rsid w:val="00B60C17"/>
    <w:rsid w:val="00B611B8"/>
    <w:rsid w:val="00B612E2"/>
    <w:rsid w:val="00B61484"/>
    <w:rsid w:val="00B61501"/>
    <w:rsid w:val="00B61596"/>
    <w:rsid w:val="00B61DD1"/>
    <w:rsid w:val="00B61E65"/>
    <w:rsid w:val="00B6218F"/>
    <w:rsid w:val="00B621CB"/>
    <w:rsid w:val="00B625B0"/>
    <w:rsid w:val="00B6262D"/>
    <w:rsid w:val="00B6265B"/>
    <w:rsid w:val="00B62B81"/>
    <w:rsid w:val="00B62CB4"/>
    <w:rsid w:val="00B62E83"/>
    <w:rsid w:val="00B62EED"/>
    <w:rsid w:val="00B63191"/>
    <w:rsid w:val="00B63502"/>
    <w:rsid w:val="00B63652"/>
    <w:rsid w:val="00B63936"/>
    <w:rsid w:val="00B63DC2"/>
    <w:rsid w:val="00B644C5"/>
    <w:rsid w:val="00B64685"/>
    <w:rsid w:val="00B64840"/>
    <w:rsid w:val="00B64BE5"/>
    <w:rsid w:val="00B64FBC"/>
    <w:rsid w:val="00B64FE5"/>
    <w:rsid w:val="00B656BA"/>
    <w:rsid w:val="00B6583F"/>
    <w:rsid w:val="00B65C55"/>
    <w:rsid w:val="00B661EC"/>
    <w:rsid w:val="00B66F9C"/>
    <w:rsid w:val="00B67303"/>
    <w:rsid w:val="00B673E8"/>
    <w:rsid w:val="00B67509"/>
    <w:rsid w:val="00B67A1A"/>
    <w:rsid w:val="00B67B05"/>
    <w:rsid w:val="00B7001F"/>
    <w:rsid w:val="00B700F3"/>
    <w:rsid w:val="00B70964"/>
    <w:rsid w:val="00B71110"/>
    <w:rsid w:val="00B7143F"/>
    <w:rsid w:val="00B7195E"/>
    <w:rsid w:val="00B71A2D"/>
    <w:rsid w:val="00B71EC3"/>
    <w:rsid w:val="00B71F11"/>
    <w:rsid w:val="00B71FEE"/>
    <w:rsid w:val="00B72020"/>
    <w:rsid w:val="00B7275E"/>
    <w:rsid w:val="00B72CE5"/>
    <w:rsid w:val="00B731B9"/>
    <w:rsid w:val="00B732D8"/>
    <w:rsid w:val="00B73BF9"/>
    <w:rsid w:val="00B73ECB"/>
    <w:rsid w:val="00B741E3"/>
    <w:rsid w:val="00B744D7"/>
    <w:rsid w:val="00B744FD"/>
    <w:rsid w:val="00B74956"/>
    <w:rsid w:val="00B7495F"/>
    <w:rsid w:val="00B75402"/>
    <w:rsid w:val="00B7584F"/>
    <w:rsid w:val="00B75889"/>
    <w:rsid w:val="00B75A17"/>
    <w:rsid w:val="00B75D0B"/>
    <w:rsid w:val="00B75DD0"/>
    <w:rsid w:val="00B75E2D"/>
    <w:rsid w:val="00B75EB7"/>
    <w:rsid w:val="00B7619E"/>
    <w:rsid w:val="00B762F2"/>
    <w:rsid w:val="00B7633E"/>
    <w:rsid w:val="00B76497"/>
    <w:rsid w:val="00B76A28"/>
    <w:rsid w:val="00B7739A"/>
    <w:rsid w:val="00B77650"/>
    <w:rsid w:val="00B778E4"/>
    <w:rsid w:val="00B7794F"/>
    <w:rsid w:val="00B77B1F"/>
    <w:rsid w:val="00B77B8D"/>
    <w:rsid w:val="00B80891"/>
    <w:rsid w:val="00B80AA7"/>
    <w:rsid w:val="00B80AC6"/>
    <w:rsid w:val="00B80EBF"/>
    <w:rsid w:val="00B813F5"/>
    <w:rsid w:val="00B81588"/>
    <w:rsid w:val="00B815E1"/>
    <w:rsid w:val="00B816B4"/>
    <w:rsid w:val="00B817DD"/>
    <w:rsid w:val="00B81A11"/>
    <w:rsid w:val="00B81A26"/>
    <w:rsid w:val="00B82284"/>
    <w:rsid w:val="00B825DD"/>
    <w:rsid w:val="00B82A64"/>
    <w:rsid w:val="00B835A7"/>
    <w:rsid w:val="00B8382C"/>
    <w:rsid w:val="00B83963"/>
    <w:rsid w:val="00B83A11"/>
    <w:rsid w:val="00B83A45"/>
    <w:rsid w:val="00B84199"/>
    <w:rsid w:val="00B844FD"/>
    <w:rsid w:val="00B84615"/>
    <w:rsid w:val="00B848B4"/>
    <w:rsid w:val="00B84AF7"/>
    <w:rsid w:val="00B85167"/>
    <w:rsid w:val="00B85561"/>
    <w:rsid w:val="00B866C4"/>
    <w:rsid w:val="00B86E8E"/>
    <w:rsid w:val="00B871A4"/>
    <w:rsid w:val="00B87292"/>
    <w:rsid w:val="00B8773B"/>
    <w:rsid w:val="00B8779C"/>
    <w:rsid w:val="00B9007D"/>
    <w:rsid w:val="00B906FD"/>
    <w:rsid w:val="00B907BA"/>
    <w:rsid w:val="00B9093B"/>
    <w:rsid w:val="00B90A53"/>
    <w:rsid w:val="00B91600"/>
    <w:rsid w:val="00B916C6"/>
    <w:rsid w:val="00B9178F"/>
    <w:rsid w:val="00B919DF"/>
    <w:rsid w:val="00B91C11"/>
    <w:rsid w:val="00B91FB6"/>
    <w:rsid w:val="00B9232D"/>
    <w:rsid w:val="00B92757"/>
    <w:rsid w:val="00B92AC9"/>
    <w:rsid w:val="00B92E57"/>
    <w:rsid w:val="00B92EA8"/>
    <w:rsid w:val="00B933B0"/>
    <w:rsid w:val="00B9397D"/>
    <w:rsid w:val="00B93AF1"/>
    <w:rsid w:val="00B93B31"/>
    <w:rsid w:val="00B94040"/>
    <w:rsid w:val="00B940D2"/>
    <w:rsid w:val="00B94223"/>
    <w:rsid w:val="00B9437F"/>
    <w:rsid w:val="00B946AD"/>
    <w:rsid w:val="00B94806"/>
    <w:rsid w:val="00B9535E"/>
    <w:rsid w:val="00B9555E"/>
    <w:rsid w:val="00B97452"/>
    <w:rsid w:val="00B97B42"/>
    <w:rsid w:val="00BA0136"/>
    <w:rsid w:val="00BA08E8"/>
    <w:rsid w:val="00BA0A8E"/>
    <w:rsid w:val="00BA0B26"/>
    <w:rsid w:val="00BA0C04"/>
    <w:rsid w:val="00BA0D75"/>
    <w:rsid w:val="00BA0D8D"/>
    <w:rsid w:val="00BA107F"/>
    <w:rsid w:val="00BA15CA"/>
    <w:rsid w:val="00BA16CC"/>
    <w:rsid w:val="00BA198C"/>
    <w:rsid w:val="00BA2973"/>
    <w:rsid w:val="00BA2ED2"/>
    <w:rsid w:val="00BA354F"/>
    <w:rsid w:val="00BA3C39"/>
    <w:rsid w:val="00BA3E43"/>
    <w:rsid w:val="00BA4095"/>
    <w:rsid w:val="00BA4D73"/>
    <w:rsid w:val="00BA4DA2"/>
    <w:rsid w:val="00BA4E80"/>
    <w:rsid w:val="00BA5291"/>
    <w:rsid w:val="00BA53EB"/>
    <w:rsid w:val="00BA5727"/>
    <w:rsid w:val="00BA5CCA"/>
    <w:rsid w:val="00BA5ED4"/>
    <w:rsid w:val="00BA6810"/>
    <w:rsid w:val="00BA6A20"/>
    <w:rsid w:val="00BA6D49"/>
    <w:rsid w:val="00BA73D9"/>
    <w:rsid w:val="00BA79E3"/>
    <w:rsid w:val="00BB0411"/>
    <w:rsid w:val="00BB05F0"/>
    <w:rsid w:val="00BB0672"/>
    <w:rsid w:val="00BB0A86"/>
    <w:rsid w:val="00BB0C6B"/>
    <w:rsid w:val="00BB1A7F"/>
    <w:rsid w:val="00BB207A"/>
    <w:rsid w:val="00BB23C2"/>
    <w:rsid w:val="00BB278B"/>
    <w:rsid w:val="00BB2A3E"/>
    <w:rsid w:val="00BB2E8F"/>
    <w:rsid w:val="00BB2F1F"/>
    <w:rsid w:val="00BB3E5C"/>
    <w:rsid w:val="00BB44DE"/>
    <w:rsid w:val="00BB44E0"/>
    <w:rsid w:val="00BB44EC"/>
    <w:rsid w:val="00BB4D1A"/>
    <w:rsid w:val="00BB4E8B"/>
    <w:rsid w:val="00BB50D9"/>
    <w:rsid w:val="00BB5613"/>
    <w:rsid w:val="00BB57C6"/>
    <w:rsid w:val="00BB5AD9"/>
    <w:rsid w:val="00BB5E20"/>
    <w:rsid w:val="00BB6026"/>
    <w:rsid w:val="00BB6028"/>
    <w:rsid w:val="00BB60AD"/>
    <w:rsid w:val="00BB61CB"/>
    <w:rsid w:val="00BB621E"/>
    <w:rsid w:val="00BB64C9"/>
    <w:rsid w:val="00BB6C50"/>
    <w:rsid w:val="00BB6FDC"/>
    <w:rsid w:val="00BB70B5"/>
    <w:rsid w:val="00BB7341"/>
    <w:rsid w:val="00BB7896"/>
    <w:rsid w:val="00BB7FB4"/>
    <w:rsid w:val="00BC010C"/>
    <w:rsid w:val="00BC0D30"/>
    <w:rsid w:val="00BC0F58"/>
    <w:rsid w:val="00BC109A"/>
    <w:rsid w:val="00BC109C"/>
    <w:rsid w:val="00BC10F8"/>
    <w:rsid w:val="00BC14A4"/>
    <w:rsid w:val="00BC1C1E"/>
    <w:rsid w:val="00BC1C7D"/>
    <w:rsid w:val="00BC1EEE"/>
    <w:rsid w:val="00BC27F0"/>
    <w:rsid w:val="00BC2A0A"/>
    <w:rsid w:val="00BC2D56"/>
    <w:rsid w:val="00BC316A"/>
    <w:rsid w:val="00BC323A"/>
    <w:rsid w:val="00BC32E2"/>
    <w:rsid w:val="00BC36A2"/>
    <w:rsid w:val="00BC3B5E"/>
    <w:rsid w:val="00BC3E19"/>
    <w:rsid w:val="00BC3E68"/>
    <w:rsid w:val="00BC4060"/>
    <w:rsid w:val="00BC4921"/>
    <w:rsid w:val="00BC4988"/>
    <w:rsid w:val="00BC5680"/>
    <w:rsid w:val="00BC58D9"/>
    <w:rsid w:val="00BC59DC"/>
    <w:rsid w:val="00BC5A27"/>
    <w:rsid w:val="00BC5A33"/>
    <w:rsid w:val="00BC5A5F"/>
    <w:rsid w:val="00BC658D"/>
    <w:rsid w:val="00BC669F"/>
    <w:rsid w:val="00BC69B3"/>
    <w:rsid w:val="00BC6CA5"/>
    <w:rsid w:val="00BC703B"/>
    <w:rsid w:val="00BC70AC"/>
    <w:rsid w:val="00BC729D"/>
    <w:rsid w:val="00BC763B"/>
    <w:rsid w:val="00BC77B4"/>
    <w:rsid w:val="00BC7C07"/>
    <w:rsid w:val="00BD0337"/>
    <w:rsid w:val="00BD1128"/>
    <w:rsid w:val="00BD1F1C"/>
    <w:rsid w:val="00BD20A9"/>
    <w:rsid w:val="00BD23C6"/>
    <w:rsid w:val="00BD25FC"/>
    <w:rsid w:val="00BD283D"/>
    <w:rsid w:val="00BD29D0"/>
    <w:rsid w:val="00BD2A12"/>
    <w:rsid w:val="00BD2ABB"/>
    <w:rsid w:val="00BD3912"/>
    <w:rsid w:val="00BD3CA7"/>
    <w:rsid w:val="00BD446F"/>
    <w:rsid w:val="00BD49B6"/>
    <w:rsid w:val="00BD4C8D"/>
    <w:rsid w:val="00BD522C"/>
    <w:rsid w:val="00BD52B2"/>
    <w:rsid w:val="00BD5BBA"/>
    <w:rsid w:val="00BD5C29"/>
    <w:rsid w:val="00BD6383"/>
    <w:rsid w:val="00BD6440"/>
    <w:rsid w:val="00BD65AE"/>
    <w:rsid w:val="00BD690A"/>
    <w:rsid w:val="00BD6D14"/>
    <w:rsid w:val="00BD70B7"/>
    <w:rsid w:val="00BD71E5"/>
    <w:rsid w:val="00BD74BB"/>
    <w:rsid w:val="00BD74F1"/>
    <w:rsid w:val="00BD7CE6"/>
    <w:rsid w:val="00BE00F5"/>
    <w:rsid w:val="00BE044A"/>
    <w:rsid w:val="00BE149A"/>
    <w:rsid w:val="00BE162F"/>
    <w:rsid w:val="00BE1688"/>
    <w:rsid w:val="00BE1D95"/>
    <w:rsid w:val="00BE267F"/>
    <w:rsid w:val="00BE2960"/>
    <w:rsid w:val="00BE2B5A"/>
    <w:rsid w:val="00BE2C85"/>
    <w:rsid w:val="00BE2CF0"/>
    <w:rsid w:val="00BE3175"/>
    <w:rsid w:val="00BE346C"/>
    <w:rsid w:val="00BE3657"/>
    <w:rsid w:val="00BE380F"/>
    <w:rsid w:val="00BE3B71"/>
    <w:rsid w:val="00BE3E06"/>
    <w:rsid w:val="00BE3EF8"/>
    <w:rsid w:val="00BE40F5"/>
    <w:rsid w:val="00BE425B"/>
    <w:rsid w:val="00BE47EA"/>
    <w:rsid w:val="00BE4D05"/>
    <w:rsid w:val="00BE4EAA"/>
    <w:rsid w:val="00BE5104"/>
    <w:rsid w:val="00BE535B"/>
    <w:rsid w:val="00BE6037"/>
    <w:rsid w:val="00BE6351"/>
    <w:rsid w:val="00BE63C0"/>
    <w:rsid w:val="00BE6405"/>
    <w:rsid w:val="00BE675E"/>
    <w:rsid w:val="00BE6CC2"/>
    <w:rsid w:val="00BE7271"/>
    <w:rsid w:val="00BE72AA"/>
    <w:rsid w:val="00BE793D"/>
    <w:rsid w:val="00BE7D6B"/>
    <w:rsid w:val="00BE7E78"/>
    <w:rsid w:val="00BE7FC7"/>
    <w:rsid w:val="00BF00D6"/>
    <w:rsid w:val="00BF00EF"/>
    <w:rsid w:val="00BF026A"/>
    <w:rsid w:val="00BF0401"/>
    <w:rsid w:val="00BF0C23"/>
    <w:rsid w:val="00BF0CD6"/>
    <w:rsid w:val="00BF1082"/>
    <w:rsid w:val="00BF168B"/>
    <w:rsid w:val="00BF1722"/>
    <w:rsid w:val="00BF1B19"/>
    <w:rsid w:val="00BF1ED8"/>
    <w:rsid w:val="00BF2080"/>
    <w:rsid w:val="00BF2308"/>
    <w:rsid w:val="00BF273E"/>
    <w:rsid w:val="00BF2B26"/>
    <w:rsid w:val="00BF344F"/>
    <w:rsid w:val="00BF4BED"/>
    <w:rsid w:val="00BF4DD5"/>
    <w:rsid w:val="00BF5225"/>
    <w:rsid w:val="00BF524F"/>
    <w:rsid w:val="00BF55D2"/>
    <w:rsid w:val="00BF55D8"/>
    <w:rsid w:val="00BF58E1"/>
    <w:rsid w:val="00BF599D"/>
    <w:rsid w:val="00BF5ADA"/>
    <w:rsid w:val="00BF5B5A"/>
    <w:rsid w:val="00BF616A"/>
    <w:rsid w:val="00BF6876"/>
    <w:rsid w:val="00BF69BA"/>
    <w:rsid w:val="00BF6B72"/>
    <w:rsid w:val="00BF6EA9"/>
    <w:rsid w:val="00BF6F79"/>
    <w:rsid w:val="00BF736A"/>
    <w:rsid w:val="00BF77AA"/>
    <w:rsid w:val="00BF7805"/>
    <w:rsid w:val="00BF7DB3"/>
    <w:rsid w:val="00C00239"/>
    <w:rsid w:val="00C0043E"/>
    <w:rsid w:val="00C005CA"/>
    <w:rsid w:val="00C007FC"/>
    <w:rsid w:val="00C00DFC"/>
    <w:rsid w:val="00C00FB4"/>
    <w:rsid w:val="00C013A9"/>
    <w:rsid w:val="00C01616"/>
    <w:rsid w:val="00C02920"/>
    <w:rsid w:val="00C0309E"/>
    <w:rsid w:val="00C03137"/>
    <w:rsid w:val="00C03160"/>
    <w:rsid w:val="00C03377"/>
    <w:rsid w:val="00C03523"/>
    <w:rsid w:val="00C037AD"/>
    <w:rsid w:val="00C044D4"/>
    <w:rsid w:val="00C048D3"/>
    <w:rsid w:val="00C04A10"/>
    <w:rsid w:val="00C04BF2"/>
    <w:rsid w:val="00C04DE4"/>
    <w:rsid w:val="00C04F76"/>
    <w:rsid w:val="00C04FDA"/>
    <w:rsid w:val="00C051AE"/>
    <w:rsid w:val="00C0558B"/>
    <w:rsid w:val="00C059CB"/>
    <w:rsid w:val="00C06269"/>
    <w:rsid w:val="00C064B0"/>
    <w:rsid w:val="00C06A69"/>
    <w:rsid w:val="00C07349"/>
    <w:rsid w:val="00C073E1"/>
    <w:rsid w:val="00C074A4"/>
    <w:rsid w:val="00C07B35"/>
    <w:rsid w:val="00C10D4B"/>
    <w:rsid w:val="00C1165B"/>
    <w:rsid w:val="00C11907"/>
    <w:rsid w:val="00C11B89"/>
    <w:rsid w:val="00C11BB8"/>
    <w:rsid w:val="00C11BD8"/>
    <w:rsid w:val="00C12A84"/>
    <w:rsid w:val="00C12B0F"/>
    <w:rsid w:val="00C12B74"/>
    <w:rsid w:val="00C13610"/>
    <w:rsid w:val="00C139A5"/>
    <w:rsid w:val="00C14040"/>
    <w:rsid w:val="00C143D1"/>
    <w:rsid w:val="00C144A4"/>
    <w:rsid w:val="00C1468F"/>
    <w:rsid w:val="00C146F0"/>
    <w:rsid w:val="00C14835"/>
    <w:rsid w:val="00C14D0E"/>
    <w:rsid w:val="00C14F86"/>
    <w:rsid w:val="00C15110"/>
    <w:rsid w:val="00C15119"/>
    <w:rsid w:val="00C151CA"/>
    <w:rsid w:val="00C15245"/>
    <w:rsid w:val="00C154F9"/>
    <w:rsid w:val="00C15722"/>
    <w:rsid w:val="00C15771"/>
    <w:rsid w:val="00C15909"/>
    <w:rsid w:val="00C15B4E"/>
    <w:rsid w:val="00C15BD3"/>
    <w:rsid w:val="00C1620F"/>
    <w:rsid w:val="00C167B9"/>
    <w:rsid w:val="00C16802"/>
    <w:rsid w:val="00C16F61"/>
    <w:rsid w:val="00C17137"/>
    <w:rsid w:val="00C172E0"/>
    <w:rsid w:val="00C175C9"/>
    <w:rsid w:val="00C17D86"/>
    <w:rsid w:val="00C205D7"/>
    <w:rsid w:val="00C20E03"/>
    <w:rsid w:val="00C20FB3"/>
    <w:rsid w:val="00C219A3"/>
    <w:rsid w:val="00C21B40"/>
    <w:rsid w:val="00C224B5"/>
    <w:rsid w:val="00C224DC"/>
    <w:rsid w:val="00C2251E"/>
    <w:rsid w:val="00C225A9"/>
    <w:rsid w:val="00C2278C"/>
    <w:rsid w:val="00C227CD"/>
    <w:rsid w:val="00C22F63"/>
    <w:rsid w:val="00C2348B"/>
    <w:rsid w:val="00C235DD"/>
    <w:rsid w:val="00C2378F"/>
    <w:rsid w:val="00C2388A"/>
    <w:rsid w:val="00C24AFC"/>
    <w:rsid w:val="00C24BC5"/>
    <w:rsid w:val="00C24C82"/>
    <w:rsid w:val="00C24D84"/>
    <w:rsid w:val="00C24F6F"/>
    <w:rsid w:val="00C25038"/>
    <w:rsid w:val="00C25085"/>
    <w:rsid w:val="00C25088"/>
    <w:rsid w:val="00C25125"/>
    <w:rsid w:val="00C25238"/>
    <w:rsid w:val="00C2585B"/>
    <w:rsid w:val="00C25B6A"/>
    <w:rsid w:val="00C2610F"/>
    <w:rsid w:val="00C2618D"/>
    <w:rsid w:val="00C267A4"/>
    <w:rsid w:val="00C2682D"/>
    <w:rsid w:val="00C26A57"/>
    <w:rsid w:val="00C26B70"/>
    <w:rsid w:val="00C26C16"/>
    <w:rsid w:val="00C26C27"/>
    <w:rsid w:val="00C26D5A"/>
    <w:rsid w:val="00C26EDF"/>
    <w:rsid w:val="00C27165"/>
    <w:rsid w:val="00C27854"/>
    <w:rsid w:val="00C27977"/>
    <w:rsid w:val="00C27CFC"/>
    <w:rsid w:val="00C27EC1"/>
    <w:rsid w:val="00C30C99"/>
    <w:rsid w:val="00C30FD9"/>
    <w:rsid w:val="00C31728"/>
    <w:rsid w:val="00C319EF"/>
    <w:rsid w:val="00C31B91"/>
    <w:rsid w:val="00C3206D"/>
    <w:rsid w:val="00C32118"/>
    <w:rsid w:val="00C325EA"/>
    <w:rsid w:val="00C32636"/>
    <w:rsid w:val="00C32755"/>
    <w:rsid w:val="00C32E25"/>
    <w:rsid w:val="00C33055"/>
    <w:rsid w:val="00C33769"/>
    <w:rsid w:val="00C337BA"/>
    <w:rsid w:val="00C33948"/>
    <w:rsid w:val="00C33AAF"/>
    <w:rsid w:val="00C342C8"/>
    <w:rsid w:val="00C34D23"/>
    <w:rsid w:val="00C35DBB"/>
    <w:rsid w:val="00C3603B"/>
    <w:rsid w:val="00C372C6"/>
    <w:rsid w:val="00C37B9B"/>
    <w:rsid w:val="00C37E3F"/>
    <w:rsid w:val="00C37F01"/>
    <w:rsid w:val="00C37F4A"/>
    <w:rsid w:val="00C401D5"/>
    <w:rsid w:val="00C401E1"/>
    <w:rsid w:val="00C40341"/>
    <w:rsid w:val="00C40697"/>
    <w:rsid w:val="00C40702"/>
    <w:rsid w:val="00C407CA"/>
    <w:rsid w:val="00C40996"/>
    <w:rsid w:val="00C40F4E"/>
    <w:rsid w:val="00C40FC0"/>
    <w:rsid w:val="00C412BD"/>
    <w:rsid w:val="00C414B1"/>
    <w:rsid w:val="00C41524"/>
    <w:rsid w:val="00C416D7"/>
    <w:rsid w:val="00C41972"/>
    <w:rsid w:val="00C41C83"/>
    <w:rsid w:val="00C41CEC"/>
    <w:rsid w:val="00C421B0"/>
    <w:rsid w:val="00C423B1"/>
    <w:rsid w:val="00C423C2"/>
    <w:rsid w:val="00C424A2"/>
    <w:rsid w:val="00C4273D"/>
    <w:rsid w:val="00C42FEE"/>
    <w:rsid w:val="00C42FF8"/>
    <w:rsid w:val="00C42FFB"/>
    <w:rsid w:val="00C43214"/>
    <w:rsid w:val="00C43520"/>
    <w:rsid w:val="00C43853"/>
    <w:rsid w:val="00C43969"/>
    <w:rsid w:val="00C43AC4"/>
    <w:rsid w:val="00C43EBA"/>
    <w:rsid w:val="00C44095"/>
    <w:rsid w:val="00C44582"/>
    <w:rsid w:val="00C4462B"/>
    <w:rsid w:val="00C44740"/>
    <w:rsid w:val="00C45046"/>
    <w:rsid w:val="00C45228"/>
    <w:rsid w:val="00C45248"/>
    <w:rsid w:val="00C45475"/>
    <w:rsid w:val="00C45782"/>
    <w:rsid w:val="00C457BC"/>
    <w:rsid w:val="00C45AEC"/>
    <w:rsid w:val="00C45B9C"/>
    <w:rsid w:val="00C45F5F"/>
    <w:rsid w:val="00C46172"/>
    <w:rsid w:val="00C4645B"/>
    <w:rsid w:val="00C464F0"/>
    <w:rsid w:val="00C46A17"/>
    <w:rsid w:val="00C46C18"/>
    <w:rsid w:val="00C46C55"/>
    <w:rsid w:val="00C479CF"/>
    <w:rsid w:val="00C47CFD"/>
    <w:rsid w:val="00C47E0F"/>
    <w:rsid w:val="00C501D0"/>
    <w:rsid w:val="00C5046B"/>
    <w:rsid w:val="00C50668"/>
    <w:rsid w:val="00C50EB6"/>
    <w:rsid w:val="00C5145E"/>
    <w:rsid w:val="00C517BF"/>
    <w:rsid w:val="00C51970"/>
    <w:rsid w:val="00C51E98"/>
    <w:rsid w:val="00C52351"/>
    <w:rsid w:val="00C52637"/>
    <w:rsid w:val="00C52C6F"/>
    <w:rsid w:val="00C52E9F"/>
    <w:rsid w:val="00C53332"/>
    <w:rsid w:val="00C534F0"/>
    <w:rsid w:val="00C53B0E"/>
    <w:rsid w:val="00C53E2E"/>
    <w:rsid w:val="00C5410D"/>
    <w:rsid w:val="00C5475C"/>
    <w:rsid w:val="00C54B89"/>
    <w:rsid w:val="00C54CF4"/>
    <w:rsid w:val="00C54F21"/>
    <w:rsid w:val="00C553DF"/>
    <w:rsid w:val="00C55D2E"/>
    <w:rsid w:val="00C567DC"/>
    <w:rsid w:val="00C56849"/>
    <w:rsid w:val="00C56D1D"/>
    <w:rsid w:val="00C5718F"/>
    <w:rsid w:val="00C572C6"/>
    <w:rsid w:val="00C5779D"/>
    <w:rsid w:val="00C57800"/>
    <w:rsid w:val="00C57802"/>
    <w:rsid w:val="00C57942"/>
    <w:rsid w:val="00C57A3D"/>
    <w:rsid w:val="00C57E72"/>
    <w:rsid w:val="00C6007E"/>
    <w:rsid w:val="00C600FD"/>
    <w:rsid w:val="00C60CC4"/>
    <w:rsid w:val="00C60E3E"/>
    <w:rsid w:val="00C610EE"/>
    <w:rsid w:val="00C6165E"/>
    <w:rsid w:val="00C61C2B"/>
    <w:rsid w:val="00C61DC9"/>
    <w:rsid w:val="00C6269B"/>
    <w:rsid w:val="00C627AE"/>
    <w:rsid w:val="00C62F10"/>
    <w:rsid w:val="00C632CD"/>
    <w:rsid w:val="00C633A0"/>
    <w:rsid w:val="00C63415"/>
    <w:rsid w:val="00C6352C"/>
    <w:rsid w:val="00C6364F"/>
    <w:rsid w:val="00C63948"/>
    <w:rsid w:val="00C63AA7"/>
    <w:rsid w:val="00C63D87"/>
    <w:rsid w:val="00C63DDF"/>
    <w:rsid w:val="00C63DEB"/>
    <w:rsid w:val="00C63E1E"/>
    <w:rsid w:val="00C64123"/>
    <w:rsid w:val="00C6452B"/>
    <w:rsid w:val="00C64643"/>
    <w:rsid w:val="00C64B72"/>
    <w:rsid w:val="00C64CE2"/>
    <w:rsid w:val="00C64D98"/>
    <w:rsid w:val="00C64FAC"/>
    <w:rsid w:val="00C65089"/>
    <w:rsid w:val="00C65451"/>
    <w:rsid w:val="00C65959"/>
    <w:rsid w:val="00C659E3"/>
    <w:rsid w:val="00C65A3A"/>
    <w:rsid w:val="00C65F99"/>
    <w:rsid w:val="00C660E8"/>
    <w:rsid w:val="00C6635C"/>
    <w:rsid w:val="00C66548"/>
    <w:rsid w:val="00C666B1"/>
    <w:rsid w:val="00C66945"/>
    <w:rsid w:val="00C66AF9"/>
    <w:rsid w:val="00C66E92"/>
    <w:rsid w:val="00C66EA9"/>
    <w:rsid w:val="00C66F7C"/>
    <w:rsid w:val="00C67A78"/>
    <w:rsid w:val="00C70284"/>
    <w:rsid w:val="00C7066E"/>
    <w:rsid w:val="00C709A6"/>
    <w:rsid w:val="00C70B24"/>
    <w:rsid w:val="00C70E21"/>
    <w:rsid w:val="00C7116C"/>
    <w:rsid w:val="00C716E3"/>
    <w:rsid w:val="00C717D7"/>
    <w:rsid w:val="00C71A82"/>
    <w:rsid w:val="00C71BC5"/>
    <w:rsid w:val="00C71DE1"/>
    <w:rsid w:val="00C72192"/>
    <w:rsid w:val="00C7253B"/>
    <w:rsid w:val="00C726C5"/>
    <w:rsid w:val="00C734DC"/>
    <w:rsid w:val="00C737FA"/>
    <w:rsid w:val="00C74307"/>
    <w:rsid w:val="00C7472A"/>
    <w:rsid w:val="00C74894"/>
    <w:rsid w:val="00C74A68"/>
    <w:rsid w:val="00C74BFC"/>
    <w:rsid w:val="00C74C4E"/>
    <w:rsid w:val="00C75B37"/>
    <w:rsid w:val="00C75BEC"/>
    <w:rsid w:val="00C75D72"/>
    <w:rsid w:val="00C76041"/>
    <w:rsid w:val="00C763F2"/>
    <w:rsid w:val="00C76534"/>
    <w:rsid w:val="00C76794"/>
    <w:rsid w:val="00C774D3"/>
    <w:rsid w:val="00C7751E"/>
    <w:rsid w:val="00C80240"/>
    <w:rsid w:val="00C80709"/>
    <w:rsid w:val="00C8094F"/>
    <w:rsid w:val="00C80E49"/>
    <w:rsid w:val="00C8166B"/>
    <w:rsid w:val="00C816CD"/>
    <w:rsid w:val="00C81A64"/>
    <w:rsid w:val="00C822D4"/>
    <w:rsid w:val="00C8291C"/>
    <w:rsid w:val="00C82C71"/>
    <w:rsid w:val="00C82CB6"/>
    <w:rsid w:val="00C82F92"/>
    <w:rsid w:val="00C831CF"/>
    <w:rsid w:val="00C83ED4"/>
    <w:rsid w:val="00C84313"/>
    <w:rsid w:val="00C845AE"/>
    <w:rsid w:val="00C84841"/>
    <w:rsid w:val="00C84EDD"/>
    <w:rsid w:val="00C85607"/>
    <w:rsid w:val="00C8566E"/>
    <w:rsid w:val="00C8584E"/>
    <w:rsid w:val="00C8631F"/>
    <w:rsid w:val="00C863D0"/>
    <w:rsid w:val="00C86556"/>
    <w:rsid w:val="00C865C4"/>
    <w:rsid w:val="00C867A2"/>
    <w:rsid w:val="00C86C54"/>
    <w:rsid w:val="00C86F50"/>
    <w:rsid w:val="00C86FA0"/>
    <w:rsid w:val="00C8732E"/>
    <w:rsid w:val="00C87519"/>
    <w:rsid w:val="00C87C7E"/>
    <w:rsid w:val="00C87D62"/>
    <w:rsid w:val="00C90652"/>
    <w:rsid w:val="00C90683"/>
    <w:rsid w:val="00C9081D"/>
    <w:rsid w:val="00C90C48"/>
    <w:rsid w:val="00C90C78"/>
    <w:rsid w:val="00C911BD"/>
    <w:rsid w:val="00C914FB"/>
    <w:rsid w:val="00C9186D"/>
    <w:rsid w:val="00C91C6F"/>
    <w:rsid w:val="00C9255F"/>
    <w:rsid w:val="00C92805"/>
    <w:rsid w:val="00C92A1B"/>
    <w:rsid w:val="00C92A51"/>
    <w:rsid w:val="00C92BD6"/>
    <w:rsid w:val="00C93090"/>
    <w:rsid w:val="00C934E4"/>
    <w:rsid w:val="00C93684"/>
    <w:rsid w:val="00C93E6E"/>
    <w:rsid w:val="00C93EEC"/>
    <w:rsid w:val="00C94562"/>
    <w:rsid w:val="00C945D8"/>
    <w:rsid w:val="00C94812"/>
    <w:rsid w:val="00C94815"/>
    <w:rsid w:val="00C94B7E"/>
    <w:rsid w:val="00C94EFE"/>
    <w:rsid w:val="00C953E6"/>
    <w:rsid w:val="00C963D9"/>
    <w:rsid w:val="00C964CC"/>
    <w:rsid w:val="00C966D3"/>
    <w:rsid w:val="00C96CA2"/>
    <w:rsid w:val="00C975E1"/>
    <w:rsid w:val="00C9767B"/>
    <w:rsid w:val="00C97EA4"/>
    <w:rsid w:val="00CA01BA"/>
    <w:rsid w:val="00CA023C"/>
    <w:rsid w:val="00CA03CB"/>
    <w:rsid w:val="00CA058C"/>
    <w:rsid w:val="00CA05A8"/>
    <w:rsid w:val="00CA0623"/>
    <w:rsid w:val="00CA0AF9"/>
    <w:rsid w:val="00CA0F7E"/>
    <w:rsid w:val="00CA173A"/>
    <w:rsid w:val="00CA21BD"/>
    <w:rsid w:val="00CA2448"/>
    <w:rsid w:val="00CA24E7"/>
    <w:rsid w:val="00CA29EB"/>
    <w:rsid w:val="00CA2E26"/>
    <w:rsid w:val="00CA2E81"/>
    <w:rsid w:val="00CA3072"/>
    <w:rsid w:val="00CA3701"/>
    <w:rsid w:val="00CA3D95"/>
    <w:rsid w:val="00CA3F97"/>
    <w:rsid w:val="00CA49CF"/>
    <w:rsid w:val="00CA4AFD"/>
    <w:rsid w:val="00CA4E7F"/>
    <w:rsid w:val="00CA531E"/>
    <w:rsid w:val="00CA555A"/>
    <w:rsid w:val="00CA556A"/>
    <w:rsid w:val="00CA59BF"/>
    <w:rsid w:val="00CA5E3E"/>
    <w:rsid w:val="00CA604D"/>
    <w:rsid w:val="00CA66E1"/>
    <w:rsid w:val="00CA66EF"/>
    <w:rsid w:val="00CA6F01"/>
    <w:rsid w:val="00CA7162"/>
    <w:rsid w:val="00CA738E"/>
    <w:rsid w:val="00CA740E"/>
    <w:rsid w:val="00CA741A"/>
    <w:rsid w:val="00CA7719"/>
    <w:rsid w:val="00CA7835"/>
    <w:rsid w:val="00CA7BAD"/>
    <w:rsid w:val="00CA7D7A"/>
    <w:rsid w:val="00CA7FE1"/>
    <w:rsid w:val="00CA7FF2"/>
    <w:rsid w:val="00CB06BB"/>
    <w:rsid w:val="00CB084B"/>
    <w:rsid w:val="00CB0CE4"/>
    <w:rsid w:val="00CB0D27"/>
    <w:rsid w:val="00CB10B0"/>
    <w:rsid w:val="00CB14E9"/>
    <w:rsid w:val="00CB1695"/>
    <w:rsid w:val="00CB21A0"/>
    <w:rsid w:val="00CB2552"/>
    <w:rsid w:val="00CB284F"/>
    <w:rsid w:val="00CB2D07"/>
    <w:rsid w:val="00CB36F9"/>
    <w:rsid w:val="00CB42E3"/>
    <w:rsid w:val="00CB446D"/>
    <w:rsid w:val="00CB4E30"/>
    <w:rsid w:val="00CB4FF9"/>
    <w:rsid w:val="00CB5B07"/>
    <w:rsid w:val="00CB5EA2"/>
    <w:rsid w:val="00CB607D"/>
    <w:rsid w:val="00CB62C1"/>
    <w:rsid w:val="00CB6599"/>
    <w:rsid w:val="00CB6AA8"/>
    <w:rsid w:val="00CB7058"/>
    <w:rsid w:val="00CB706B"/>
    <w:rsid w:val="00CB7248"/>
    <w:rsid w:val="00CB751C"/>
    <w:rsid w:val="00CB7692"/>
    <w:rsid w:val="00CB7822"/>
    <w:rsid w:val="00CB78BA"/>
    <w:rsid w:val="00CB795D"/>
    <w:rsid w:val="00CB7BBD"/>
    <w:rsid w:val="00CB7D98"/>
    <w:rsid w:val="00CB7E01"/>
    <w:rsid w:val="00CC0072"/>
    <w:rsid w:val="00CC0091"/>
    <w:rsid w:val="00CC040D"/>
    <w:rsid w:val="00CC040E"/>
    <w:rsid w:val="00CC0637"/>
    <w:rsid w:val="00CC0655"/>
    <w:rsid w:val="00CC11B8"/>
    <w:rsid w:val="00CC1422"/>
    <w:rsid w:val="00CC16A8"/>
    <w:rsid w:val="00CC16F2"/>
    <w:rsid w:val="00CC1979"/>
    <w:rsid w:val="00CC2369"/>
    <w:rsid w:val="00CC2793"/>
    <w:rsid w:val="00CC2C89"/>
    <w:rsid w:val="00CC315C"/>
    <w:rsid w:val="00CC3621"/>
    <w:rsid w:val="00CC3B97"/>
    <w:rsid w:val="00CC3DD0"/>
    <w:rsid w:val="00CC40E8"/>
    <w:rsid w:val="00CC415A"/>
    <w:rsid w:val="00CC4664"/>
    <w:rsid w:val="00CC4790"/>
    <w:rsid w:val="00CC4984"/>
    <w:rsid w:val="00CC4F20"/>
    <w:rsid w:val="00CC57A4"/>
    <w:rsid w:val="00CC57A8"/>
    <w:rsid w:val="00CC5B53"/>
    <w:rsid w:val="00CC5E7A"/>
    <w:rsid w:val="00CC6730"/>
    <w:rsid w:val="00CC67AB"/>
    <w:rsid w:val="00CC683E"/>
    <w:rsid w:val="00CC6977"/>
    <w:rsid w:val="00CC6AB8"/>
    <w:rsid w:val="00CC6B41"/>
    <w:rsid w:val="00CC6C48"/>
    <w:rsid w:val="00CC6EC9"/>
    <w:rsid w:val="00CC6FE8"/>
    <w:rsid w:val="00CC7071"/>
    <w:rsid w:val="00CD007C"/>
    <w:rsid w:val="00CD0152"/>
    <w:rsid w:val="00CD0174"/>
    <w:rsid w:val="00CD0298"/>
    <w:rsid w:val="00CD0FFC"/>
    <w:rsid w:val="00CD1069"/>
    <w:rsid w:val="00CD1329"/>
    <w:rsid w:val="00CD1516"/>
    <w:rsid w:val="00CD15CB"/>
    <w:rsid w:val="00CD2228"/>
    <w:rsid w:val="00CD250C"/>
    <w:rsid w:val="00CD2C4F"/>
    <w:rsid w:val="00CD2EA5"/>
    <w:rsid w:val="00CD363B"/>
    <w:rsid w:val="00CD381F"/>
    <w:rsid w:val="00CD384E"/>
    <w:rsid w:val="00CD3CD9"/>
    <w:rsid w:val="00CD3E12"/>
    <w:rsid w:val="00CD3EEB"/>
    <w:rsid w:val="00CD4113"/>
    <w:rsid w:val="00CD41E3"/>
    <w:rsid w:val="00CD42D0"/>
    <w:rsid w:val="00CD497E"/>
    <w:rsid w:val="00CD4C29"/>
    <w:rsid w:val="00CD4F59"/>
    <w:rsid w:val="00CD4FF8"/>
    <w:rsid w:val="00CD55CA"/>
    <w:rsid w:val="00CD5A34"/>
    <w:rsid w:val="00CD5A76"/>
    <w:rsid w:val="00CD5C00"/>
    <w:rsid w:val="00CD5CFC"/>
    <w:rsid w:val="00CD6DD8"/>
    <w:rsid w:val="00CD6EC1"/>
    <w:rsid w:val="00CD700A"/>
    <w:rsid w:val="00CD736C"/>
    <w:rsid w:val="00CD759E"/>
    <w:rsid w:val="00CD7DB6"/>
    <w:rsid w:val="00CE005F"/>
    <w:rsid w:val="00CE0398"/>
    <w:rsid w:val="00CE049E"/>
    <w:rsid w:val="00CE07F7"/>
    <w:rsid w:val="00CE0903"/>
    <w:rsid w:val="00CE0F1A"/>
    <w:rsid w:val="00CE1519"/>
    <w:rsid w:val="00CE1750"/>
    <w:rsid w:val="00CE179A"/>
    <w:rsid w:val="00CE1C30"/>
    <w:rsid w:val="00CE1F52"/>
    <w:rsid w:val="00CE1F7B"/>
    <w:rsid w:val="00CE2C8D"/>
    <w:rsid w:val="00CE2C92"/>
    <w:rsid w:val="00CE2E6B"/>
    <w:rsid w:val="00CE3212"/>
    <w:rsid w:val="00CE3528"/>
    <w:rsid w:val="00CE371B"/>
    <w:rsid w:val="00CE3F8A"/>
    <w:rsid w:val="00CE411E"/>
    <w:rsid w:val="00CE456D"/>
    <w:rsid w:val="00CE46B2"/>
    <w:rsid w:val="00CE483E"/>
    <w:rsid w:val="00CE4B7B"/>
    <w:rsid w:val="00CE5169"/>
    <w:rsid w:val="00CE5A05"/>
    <w:rsid w:val="00CE5D76"/>
    <w:rsid w:val="00CE6028"/>
    <w:rsid w:val="00CE6651"/>
    <w:rsid w:val="00CE6A2B"/>
    <w:rsid w:val="00CE709E"/>
    <w:rsid w:val="00CE71BF"/>
    <w:rsid w:val="00CE7238"/>
    <w:rsid w:val="00CE775E"/>
    <w:rsid w:val="00CE7A04"/>
    <w:rsid w:val="00CE7B38"/>
    <w:rsid w:val="00CE7C12"/>
    <w:rsid w:val="00CF069C"/>
    <w:rsid w:val="00CF0ADE"/>
    <w:rsid w:val="00CF10FC"/>
    <w:rsid w:val="00CF1CBC"/>
    <w:rsid w:val="00CF1DED"/>
    <w:rsid w:val="00CF20C8"/>
    <w:rsid w:val="00CF21F7"/>
    <w:rsid w:val="00CF2260"/>
    <w:rsid w:val="00CF2421"/>
    <w:rsid w:val="00CF2842"/>
    <w:rsid w:val="00CF357A"/>
    <w:rsid w:val="00CF359C"/>
    <w:rsid w:val="00CF369B"/>
    <w:rsid w:val="00CF38C8"/>
    <w:rsid w:val="00CF3974"/>
    <w:rsid w:val="00CF3F8F"/>
    <w:rsid w:val="00CF49F6"/>
    <w:rsid w:val="00CF4C6E"/>
    <w:rsid w:val="00CF4FE3"/>
    <w:rsid w:val="00CF50EE"/>
    <w:rsid w:val="00CF54B9"/>
    <w:rsid w:val="00CF56EF"/>
    <w:rsid w:val="00CF594F"/>
    <w:rsid w:val="00CF5ECA"/>
    <w:rsid w:val="00CF641B"/>
    <w:rsid w:val="00CF6582"/>
    <w:rsid w:val="00CF6596"/>
    <w:rsid w:val="00CF6685"/>
    <w:rsid w:val="00CF6850"/>
    <w:rsid w:val="00CF6A5C"/>
    <w:rsid w:val="00CF6EEF"/>
    <w:rsid w:val="00CF73E2"/>
    <w:rsid w:val="00CF76ED"/>
    <w:rsid w:val="00CF775A"/>
    <w:rsid w:val="00CF79A0"/>
    <w:rsid w:val="00D001F0"/>
    <w:rsid w:val="00D0029A"/>
    <w:rsid w:val="00D01043"/>
    <w:rsid w:val="00D012E8"/>
    <w:rsid w:val="00D0136D"/>
    <w:rsid w:val="00D013B6"/>
    <w:rsid w:val="00D01491"/>
    <w:rsid w:val="00D018C0"/>
    <w:rsid w:val="00D01D70"/>
    <w:rsid w:val="00D022E4"/>
    <w:rsid w:val="00D0281C"/>
    <w:rsid w:val="00D028F6"/>
    <w:rsid w:val="00D02DDD"/>
    <w:rsid w:val="00D0307B"/>
    <w:rsid w:val="00D0315E"/>
    <w:rsid w:val="00D0366F"/>
    <w:rsid w:val="00D03B6C"/>
    <w:rsid w:val="00D03C62"/>
    <w:rsid w:val="00D03DE5"/>
    <w:rsid w:val="00D04153"/>
    <w:rsid w:val="00D04389"/>
    <w:rsid w:val="00D04625"/>
    <w:rsid w:val="00D04A54"/>
    <w:rsid w:val="00D04DD7"/>
    <w:rsid w:val="00D053B5"/>
    <w:rsid w:val="00D05764"/>
    <w:rsid w:val="00D05A8B"/>
    <w:rsid w:val="00D06284"/>
    <w:rsid w:val="00D06CE2"/>
    <w:rsid w:val="00D06DAF"/>
    <w:rsid w:val="00D06DCA"/>
    <w:rsid w:val="00D06F80"/>
    <w:rsid w:val="00D0705A"/>
    <w:rsid w:val="00D07696"/>
    <w:rsid w:val="00D076DE"/>
    <w:rsid w:val="00D077E3"/>
    <w:rsid w:val="00D079DF"/>
    <w:rsid w:val="00D1088A"/>
    <w:rsid w:val="00D10F5B"/>
    <w:rsid w:val="00D115C6"/>
    <w:rsid w:val="00D1162E"/>
    <w:rsid w:val="00D117AD"/>
    <w:rsid w:val="00D11B11"/>
    <w:rsid w:val="00D11D44"/>
    <w:rsid w:val="00D11FB9"/>
    <w:rsid w:val="00D12F23"/>
    <w:rsid w:val="00D13318"/>
    <w:rsid w:val="00D1334C"/>
    <w:rsid w:val="00D1336B"/>
    <w:rsid w:val="00D13567"/>
    <w:rsid w:val="00D13A47"/>
    <w:rsid w:val="00D13ED8"/>
    <w:rsid w:val="00D14ADC"/>
    <w:rsid w:val="00D15475"/>
    <w:rsid w:val="00D154D1"/>
    <w:rsid w:val="00D157B8"/>
    <w:rsid w:val="00D15895"/>
    <w:rsid w:val="00D158F8"/>
    <w:rsid w:val="00D15BB3"/>
    <w:rsid w:val="00D15C50"/>
    <w:rsid w:val="00D162D5"/>
    <w:rsid w:val="00D167E1"/>
    <w:rsid w:val="00D16A53"/>
    <w:rsid w:val="00D173D6"/>
    <w:rsid w:val="00D175D6"/>
    <w:rsid w:val="00D17836"/>
    <w:rsid w:val="00D17A28"/>
    <w:rsid w:val="00D17B94"/>
    <w:rsid w:val="00D17D20"/>
    <w:rsid w:val="00D17EEA"/>
    <w:rsid w:val="00D200B4"/>
    <w:rsid w:val="00D2017C"/>
    <w:rsid w:val="00D20A5D"/>
    <w:rsid w:val="00D20F4F"/>
    <w:rsid w:val="00D20FE9"/>
    <w:rsid w:val="00D213E4"/>
    <w:rsid w:val="00D214E6"/>
    <w:rsid w:val="00D2158C"/>
    <w:rsid w:val="00D217D5"/>
    <w:rsid w:val="00D21A3F"/>
    <w:rsid w:val="00D220B3"/>
    <w:rsid w:val="00D222E9"/>
    <w:rsid w:val="00D22414"/>
    <w:rsid w:val="00D22DED"/>
    <w:rsid w:val="00D22EAF"/>
    <w:rsid w:val="00D2335F"/>
    <w:rsid w:val="00D2446E"/>
    <w:rsid w:val="00D245F0"/>
    <w:rsid w:val="00D24631"/>
    <w:rsid w:val="00D24A7D"/>
    <w:rsid w:val="00D24C28"/>
    <w:rsid w:val="00D24C83"/>
    <w:rsid w:val="00D25056"/>
    <w:rsid w:val="00D2563E"/>
    <w:rsid w:val="00D256DB"/>
    <w:rsid w:val="00D259E1"/>
    <w:rsid w:val="00D25D1B"/>
    <w:rsid w:val="00D25D37"/>
    <w:rsid w:val="00D260EF"/>
    <w:rsid w:val="00D260F5"/>
    <w:rsid w:val="00D267F3"/>
    <w:rsid w:val="00D26B90"/>
    <w:rsid w:val="00D2716B"/>
    <w:rsid w:val="00D27352"/>
    <w:rsid w:val="00D274AF"/>
    <w:rsid w:val="00D274FD"/>
    <w:rsid w:val="00D2753E"/>
    <w:rsid w:val="00D27616"/>
    <w:rsid w:val="00D27833"/>
    <w:rsid w:val="00D27B16"/>
    <w:rsid w:val="00D27E54"/>
    <w:rsid w:val="00D302B4"/>
    <w:rsid w:val="00D304D0"/>
    <w:rsid w:val="00D30564"/>
    <w:rsid w:val="00D30C8B"/>
    <w:rsid w:val="00D30FE4"/>
    <w:rsid w:val="00D31200"/>
    <w:rsid w:val="00D31416"/>
    <w:rsid w:val="00D314A1"/>
    <w:rsid w:val="00D31869"/>
    <w:rsid w:val="00D319E0"/>
    <w:rsid w:val="00D31BCB"/>
    <w:rsid w:val="00D31DFC"/>
    <w:rsid w:val="00D31E73"/>
    <w:rsid w:val="00D31FDF"/>
    <w:rsid w:val="00D323ED"/>
    <w:rsid w:val="00D32493"/>
    <w:rsid w:val="00D32CDD"/>
    <w:rsid w:val="00D32D1D"/>
    <w:rsid w:val="00D32F00"/>
    <w:rsid w:val="00D33625"/>
    <w:rsid w:val="00D33AE8"/>
    <w:rsid w:val="00D33EFE"/>
    <w:rsid w:val="00D34007"/>
    <w:rsid w:val="00D345F3"/>
    <w:rsid w:val="00D348C0"/>
    <w:rsid w:val="00D3490F"/>
    <w:rsid w:val="00D3507C"/>
    <w:rsid w:val="00D359E2"/>
    <w:rsid w:val="00D362E9"/>
    <w:rsid w:val="00D36753"/>
    <w:rsid w:val="00D368B4"/>
    <w:rsid w:val="00D36962"/>
    <w:rsid w:val="00D36988"/>
    <w:rsid w:val="00D36C11"/>
    <w:rsid w:val="00D36C74"/>
    <w:rsid w:val="00D3706E"/>
    <w:rsid w:val="00D37159"/>
    <w:rsid w:val="00D37988"/>
    <w:rsid w:val="00D379AC"/>
    <w:rsid w:val="00D37E74"/>
    <w:rsid w:val="00D400DF"/>
    <w:rsid w:val="00D40188"/>
    <w:rsid w:val="00D4035D"/>
    <w:rsid w:val="00D406F6"/>
    <w:rsid w:val="00D408B2"/>
    <w:rsid w:val="00D40FAB"/>
    <w:rsid w:val="00D413B1"/>
    <w:rsid w:val="00D413BA"/>
    <w:rsid w:val="00D4194A"/>
    <w:rsid w:val="00D419E9"/>
    <w:rsid w:val="00D41D59"/>
    <w:rsid w:val="00D42006"/>
    <w:rsid w:val="00D430E4"/>
    <w:rsid w:val="00D43295"/>
    <w:rsid w:val="00D43654"/>
    <w:rsid w:val="00D43D3C"/>
    <w:rsid w:val="00D44133"/>
    <w:rsid w:val="00D4423D"/>
    <w:rsid w:val="00D443BB"/>
    <w:rsid w:val="00D443EC"/>
    <w:rsid w:val="00D44F08"/>
    <w:rsid w:val="00D45D41"/>
    <w:rsid w:val="00D45F6F"/>
    <w:rsid w:val="00D4637A"/>
    <w:rsid w:val="00D465BF"/>
    <w:rsid w:val="00D46D97"/>
    <w:rsid w:val="00D46FEE"/>
    <w:rsid w:val="00D47023"/>
    <w:rsid w:val="00D474B9"/>
    <w:rsid w:val="00D47568"/>
    <w:rsid w:val="00D47B10"/>
    <w:rsid w:val="00D47D5F"/>
    <w:rsid w:val="00D47DED"/>
    <w:rsid w:val="00D47F9E"/>
    <w:rsid w:val="00D50155"/>
    <w:rsid w:val="00D50785"/>
    <w:rsid w:val="00D508EE"/>
    <w:rsid w:val="00D50BCD"/>
    <w:rsid w:val="00D50F48"/>
    <w:rsid w:val="00D51374"/>
    <w:rsid w:val="00D5146E"/>
    <w:rsid w:val="00D514ED"/>
    <w:rsid w:val="00D51558"/>
    <w:rsid w:val="00D51AE6"/>
    <w:rsid w:val="00D51B3D"/>
    <w:rsid w:val="00D51BAF"/>
    <w:rsid w:val="00D527B4"/>
    <w:rsid w:val="00D5283A"/>
    <w:rsid w:val="00D52B9F"/>
    <w:rsid w:val="00D52E3B"/>
    <w:rsid w:val="00D5328B"/>
    <w:rsid w:val="00D53D41"/>
    <w:rsid w:val="00D53FCC"/>
    <w:rsid w:val="00D54028"/>
    <w:rsid w:val="00D54221"/>
    <w:rsid w:val="00D544C0"/>
    <w:rsid w:val="00D54545"/>
    <w:rsid w:val="00D54A82"/>
    <w:rsid w:val="00D54E0D"/>
    <w:rsid w:val="00D5515C"/>
    <w:rsid w:val="00D552B6"/>
    <w:rsid w:val="00D55335"/>
    <w:rsid w:val="00D5536F"/>
    <w:rsid w:val="00D55809"/>
    <w:rsid w:val="00D56151"/>
    <w:rsid w:val="00D56355"/>
    <w:rsid w:val="00D5687B"/>
    <w:rsid w:val="00D56A44"/>
    <w:rsid w:val="00D56AC6"/>
    <w:rsid w:val="00D56F36"/>
    <w:rsid w:val="00D5725C"/>
    <w:rsid w:val="00D57693"/>
    <w:rsid w:val="00D576F9"/>
    <w:rsid w:val="00D57C5B"/>
    <w:rsid w:val="00D57C74"/>
    <w:rsid w:val="00D57ECA"/>
    <w:rsid w:val="00D60203"/>
    <w:rsid w:val="00D6029A"/>
    <w:rsid w:val="00D60ECF"/>
    <w:rsid w:val="00D611D4"/>
    <w:rsid w:val="00D616C7"/>
    <w:rsid w:val="00D61BDF"/>
    <w:rsid w:val="00D62322"/>
    <w:rsid w:val="00D62B0F"/>
    <w:rsid w:val="00D62BF4"/>
    <w:rsid w:val="00D62CAD"/>
    <w:rsid w:val="00D6322E"/>
    <w:rsid w:val="00D63512"/>
    <w:rsid w:val="00D63AEF"/>
    <w:rsid w:val="00D63C4C"/>
    <w:rsid w:val="00D64302"/>
    <w:rsid w:val="00D64344"/>
    <w:rsid w:val="00D6446A"/>
    <w:rsid w:val="00D64A14"/>
    <w:rsid w:val="00D64CDC"/>
    <w:rsid w:val="00D64F15"/>
    <w:rsid w:val="00D659FB"/>
    <w:rsid w:val="00D65D96"/>
    <w:rsid w:val="00D662BF"/>
    <w:rsid w:val="00D663FC"/>
    <w:rsid w:val="00D6662E"/>
    <w:rsid w:val="00D66A72"/>
    <w:rsid w:val="00D66C60"/>
    <w:rsid w:val="00D67932"/>
    <w:rsid w:val="00D6797B"/>
    <w:rsid w:val="00D67AB0"/>
    <w:rsid w:val="00D67B87"/>
    <w:rsid w:val="00D67D4B"/>
    <w:rsid w:val="00D67F32"/>
    <w:rsid w:val="00D70827"/>
    <w:rsid w:val="00D70AC8"/>
    <w:rsid w:val="00D70BC2"/>
    <w:rsid w:val="00D71625"/>
    <w:rsid w:val="00D71715"/>
    <w:rsid w:val="00D71901"/>
    <w:rsid w:val="00D71A30"/>
    <w:rsid w:val="00D71C6B"/>
    <w:rsid w:val="00D71F72"/>
    <w:rsid w:val="00D7237F"/>
    <w:rsid w:val="00D723AF"/>
    <w:rsid w:val="00D72567"/>
    <w:rsid w:val="00D72708"/>
    <w:rsid w:val="00D72DF9"/>
    <w:rsid w:val="00D72E67"/>
    <w:rsid w:val="00D72F29"/>
    <w:rsid w:val="00D73805"/>
    <w:rsid w:val="00D738D0"/>
    <w:rsid w:val="00D73903"/>
    <w:rsid w:val="00D73933"/>
    <w:rsid w:val="00D739AB"/>
    <w:rsid w:val="00D74190"/>
    <w:rsid w:val="00D74500"/>
    <w:rsid w:val="00D745FF"/>
    <w:rsid w:val="00D74CE8"/>
    <w:rsid w:val="00D74E18"/>
    <w:rsid w:val="00D7517F"/>
    <w:rsid w:val="00D751C5"/>
    <w:rsid w:val="00D75232"/>
    <w:rsid w:val="00D752BD"/>
    <w:rsid w:val="00D7573A"/>
    <w:rsid w:val="00D75AB0"/>
    <w:rsid w:val="00D76036"/>
    <w:rsid w:val="00D7667C"/>
    <w:rsid w:val="00D766A7"/>
    <w:rsid w:val="00D766BD"/>
    <w:rsid w:val="00D766D0"/>
    <w:rsid w:val="00D76983"/>
    <w:rsid w:val="00D76CB1"/>
    <w:rsid w:val="00D77447"/>
    <w:rsid w:val="00D777DC"/>
    <w:rsid w:val="00D77D7C"/>
    <w:rsid w:val="00D80783"/>
    <w:rsid w:val="00D809C6"/>
    <w:rsid w:val="00D8197F"/>
    <w:rsid w:val="00D819A1"/>
    <w:rsid w:val="00D81B16"/>
    <w:rsid w:val="00D81FAD"/>
    <w:rsid w:val="00D824C5"/>
    <w:rsid w:val="00D82514"/>
    <w:rsid w:val="00D82822"/>
    <w:rsid w:val="00D8282B"/>
    <w:rsid w:val="00D82D3B"/>
    <w:rsid w:val="00D8337F"/>
    <w:rsid w:val="00D83433"/>
    <w:rsid w:val="00D834B3"/>
    <w:rsid w:val="00D853A4"/>
    <w:rsid w:val="00D856F7"/>
    <w:rsid w:val="00D85C1F"/>
    <w:rsid w:val="00D85EAD"/>
    <w:rsid w:val="00D8650B"/>
    <w:rsid w:val="00D86EA5"/>
    <w:rsid w:val="00D86FBA"/>
    <w:rsid w:val="00D8747D"/>
    <w:rsid w:val="00D8769A"/>
    <w:rsid w:val="00D87B37"/>
    <w:rsid w:val="00D87D24"/>
    <w:rsid w:val="00D90147"/>
    <w:rsid w:val="00D9080F"/>
    <w:rsid w:val="00D90CD5"/>
    <w:rsid w:val="00D915FB"/>
    <w:rsid w:val="00D917B6"/>
    <w:rsid w:val="00D91D8E"/>
    <w:rsid w:val="00D92416"/>
    <w:rsid w:val="00D92536"/>
    <w:rsid w:val="00D92CE8"/>
    <w:rsid w:val="00D92E94"/>
    <w:rsid w:val="00D930E5"/>
    <w:rsid w:val="00D936CE"/>
    <w:rsid w:val="00D93EC1"/>
    <w:rsid w:val="00D9433C"/>
    <w:rsid w:val="00D9440F"/>
    <w:rsid w:val="00D94AD8"/>
    <w:rsid w:val="00D94ED7"/>
    <w:rsid w:val="00D951FE"/>
    <w:rsid w:val="00D95441"/>
    <w:rsid w:val="00D95442"/>
    <w:rsid w:val="00D95516"/>
    <w:rsid w:val="00D95557"/>
    <w:rsid w:val="00D95B86"/>
    <w:rsid w:val="00D95BDC"/>
    <w:rsid w:val="00D96B47"/>
    <w:rsid w:val="00D96CFD"/>
    <w:rsid w:val="00D9713E"/>
    <w:rsid w:val="00D97463"/>
    <w:rsid w:val="00D9753C"/>
    <w:rsid w:val="00DA0340"/>
    <w:rsid w:val="00DA0422"/>
    <w:rsid w:val="00DA0822"/>
    <w:rsid w:val="00DA0FBD"/>
    <w:rsid w:val="00DA1296"/>
    <w:rsid w:val="00DA14E3"/>
    <w:rsid w:val="00DA1E36"/>
    <w:rsid w:val="00DA1E3A"/>
    <w:rsid w:val="00DA203E"/>
    <w:rsid w:val="00DA26A8"/>
    <w:rsid w:val="00DA2B71"/>
    <w:rsid w:val="00DA2C7B"/>
    <w:rsid w:val="00DA2FD3"/>
    <w:rsid w:val="00DA32C0"/>
    <w:rsid w:val="00DA3E6C"/>
    <w:rsid w:val="00DA3F59"/>
    <w:rsid w:val="00DA4087"/>
    <w:rsid w:val="00DA42E7"/>
    <w:rsid w:val="00DA4423"/>
    <w:rsid w:val="00DA44C7"/>
    <w:rsid w:val="00DA45F9"/>
    <w:rsid w:val="00DA4823"/>
    <w:rsid w:val="00DA48E0"/>
    <w:rsid w:val="00DA528B"/>
    <w:rsid w:val="00DA583D"/>
    <w:rsid w:val="00DA58D6"/>
    <w:rsid w:val="00DA5F58"/>
    <w:rsid w:val="00DA6054"/>
    <w:rsid w:val="00DA66C2"/>
    <w:rsid w:val="00DA71B9"/>
    <w:rsid w:val="00DA7271"/>
    <w:rsid w:val="00DA74D6"/>
    <w:rsid w:val="00DA794F"/>
    <w:rsid w:val="00DA7AE5"/>
    <w:rsid w:val="00DA7DB6"/>
    <w:rsid w:val="00DB0401"/>
    <w:rsid w:val="00DB0476"/>
    <w:rsid w:val="00DB0913"/>
    <w:rsid w:val="00DB0C5A"/>
    <w:rsid w:val="00DB1447"/>
    <w:rsid w:val="00DB1462"/>
    <w:rsid w:val="00DB1490"/>
    <w:rsid w:val="00DB1F11"/>
    <w:rsid w:val="00DB2758"/>
    <w:rsid w:val="00DB2B0A"/>
    <w:rsid w:val="00DB2DC5"/>
    <w:rsid w:val="00DB4349"/>
    <w:rsid w:val="00DB4404"/>
    <w:rsid w:val="00DB4558"/>
    <w:rsid w:val="00DB4A4E"/>
    <w:rsid w:val="00DB52F1"/>
    <w:rsid w:val="00DB550E"/>
    <w:rsid w:val="00DB5F59"/>
    <w:rsid w:val="00DB6167"/>
    <w:rsid w:val="00DB6413"/>
    <w:rsid w:val="00DB65F9"/>
    <w:rsid w:val="00DB6664"/>
    <w:rsid w:val="00DB6747"/>
    <w:rsid w:val="00DB676F"/>
    <w:rsid w:val="00DB6CB2"/>
    <w:rsid w:val="00DB6D14"/>
    <w:rsid w:val="00DB717C"/>
    <w:rsid w:val="00DB730B"/>
    <w:rsid w:val="00DB7826"/>
    <w:rsid w:val="00DB78F6"/>
    <w:rsid w:val="00DB7A35"/>
    <w:rsid w:val="00DB7B15"/>
    <w:rsid w:val="00DB7B91"/>
    <w:rsid w:val="00DB7E99"/>
    <w:rsid w:val="00DC0289"/>
    <w:rsid w:val="00DC0389"/>
    <w:rsid w:val="00DC040C"/>
    <w:rsid w:val="00DC0ABF"/>
    <w:rsid w:val="00DC100A"/>
    <w:rsid w:val="00DC1285"/>
    <w:rsid w:val="00DC1744"/>
    <w:rsid w:val="00DC1965"/>
    <w:rsid w:val="00DC1F7C"/>
    <w:rsid w:val="00DC27C2"/>
    <w:rsid w:val="00DC28B9"/>
    <w:rsid w:val="00DC2E21"/>
    <w:rsid w:val="00DC360F"/>
    <w:rsid w:val="00DC368E"/>
    <w:rsid w:val="00DC39B0"/>
    <w:rsid w:val="00DC3C5A"/>
    <w:rsid w:val="00DC4320"/>
    <w:rsid w:val="00DC45F0"/>
    <w:rsid w:val="00DC4762"/>
    <w:rsid w:val="00DC4F2E"/>
    <w:rsid w:val="00DC5527"/>
    <w:rsid w:val="00DC5FF5"/>
    <w:rsid w:val="00DC611C"/>
    <w:rsid w:val="00DC614B"/>
    <w:rsid w:val="00DC614E"/>
    <w:rsid w:val="00DC63DF"/>
    <w:rsid w:val="00DC64E1"/>
    <w:rsid w:val="00DC665E"/>
    <w:rsid w:val="00DC681F"/>
    <w:rsid w:val="00DC68FF"/>
    <w:rsid w:val="00DC6EE6"/>
    <w:rsid w:val="00DC7251"/>
    <w:rsid w:val="00DC741C"/>
    <w:rsid w:val="00DC7451"/>
    <w:rsid w:val="00DC79AA"/>
    <w:rsid w:val="00DC7AB1"/>
    <w:rsid w:val="00DC7D38"/>
    <w:rsid w:val="00DC7D7B"/>
    <w:rsid w:val="00DD0041"/>
    <w:rsid w:val="00DD037B"/>
    <w:rsid w:val="00DD0AF0"/>
    <w:rsid w:val="00DD0BB0"/>
    <w:rsid w:val="00DD0BBB"/>
    <w:rsid w:val="00DD0C00"/>
    <w:rsid w:val="00DD0C82"/>
    <w:rsid w:val="00DD0D9E"/>
    <w:rsid w:val="00DD1356"/>
    <w:rsid w:val="00DD178E"/>
    <w:rsid w:val="00DD17D3"/>
    <w:rsid w:val="00DD21F6"/>
    <w:rsid w:val="00DD22FF"/>
    <w:rsid w:val="00DD28D0"/>
    <w:rsid w:val="00DD2C33"/>
    <w:rsid w:val="00DD2F56"/>
    <w:rsid w:val="00DD31B3"/>
    <w:rsid w:val="00DD32FB"/>
    <w:rsid w:val="00DD3492"/>
    <w:rsid w:val="00DD3789"/>
    <w:rsid w:val="00DD3E21"/>
    <w:rsid w:val="00DD441A"/>
    <w:rsid w:val="00DD4651"/>
    <w:rsid w:val="00DD4748"/>
    <w:rsid w:val="00DD478C"/>
    <w:rsid w:val="00DD479A"/>
    <w:rsid w:val="00DD4860"/>
    <w:rsid w:val="00DD4C51"/>
    <w:rsid w:val="00DD4E90"/>
    <w:rsid w:val="00DD4FE5"/>
    <w:rsid w:val="00DD5210"/>
    <w:rsid w:val="00DD5AAD"/>
    <w:rsid w:val="00DD6075"/>
    <w:rsid w:val="00DD6298"/>
    <w:rsid w:val="00DD6900"/>
    <w:rsid w:val="00DD6B6E"/>
    <w:rsid w:val="00DD6CEB"/>
    <w:rsid w:val="00DD6FE6"/>
    <w:rsid w:val="00DD766C"/>
    <w:rsid w:val="00DD78EA"/>
    <w:rsid w:val="00DD7C5F"/>
    <w:rsid w:val="00DE0034"/>
    <w:rsid w:val="00DE048A"/>
    <w:rsid w:val="00DE0C41"/>
    <w:rsid w:val="00DE18F4"/>
    <w:rsid w:val="00DE21BB"/>
    <w:rsid w:val="00DE22C5"/>
    <w:rsid w:val="00DE23D1"/>
    <w:rsid w:val="00DE240B"/>
    <w:rsid w:val="00DE2BAB"/>
    <w:rsid w:val="00DE2F5F"/>
    <w:rsid w:val="00DE330F"/>
    <w:rsid w:val="00DE3527"/>
    <w:rsid w:val="00DE380C"/>
    <w:rsid w:val="00DE413D"/>
    <w:rsid w:val="00DE4AED"/>
    <w:rsid w:val="00DE4ED0"/>
    <w:rsid w:val="00DE5118"/>
    <w:rsid w:val="00DE55C3"/>
    <w:rsid w:val="00DE563B"/>
    <w:rsid w:val="00DE57FC"/>
    <w:rsid w:val="00DE6480"/>
    <w:rsid w:val="00DE679C"/>
    <w:rsid w:val="00DE69CB"/>
    <w:rsid w:val="00DE6B68"/>
    <w:rsid w:val="00DE6CD0"/>
    <w:rsid w:val="00DE7003"/>
    <w:rsid w:val="00DE77A4"/>
    <w:rsid w:val="00DE7B65"/>
    <w:rsid w:val="00DE7CA0"/>
    <w:rsid w:val="00DE7D08"/>
    <w:rsid w:val="00DE7D9D"/>
    <w:rsid w:val="00DE7F21"/>
    <w:rsid w:val="00DE7F62"/>
    <w:rsid w:val="00DF0082"/>
    <w:rsid w:val="00DF0E65"/>
    <w:rsid w:val="00DF126E"/>
    <w:rsid w:val="00DF1523"/>
    <w:rsid w:val="00DF1905"/>
    <w:rsid w:val="00DF1D88"/>
    <w:rsid w:val="00DF2846"/>
    <w:rsid w:val="00DF2992"/>
    <w:rsid w:val="00DF2CA4"/>
    <w:rsid w:val="00DF2F2A"/>
    <w:rsid w:val="00DF334A"/>
    <w:rsid w:val="00DF351A"/>
    <w:rsid w:val="00DF3730"/>
    <w:rsid w:val="00DF3F5C"/>
    <w:rsid w:val="00DF46A1"/>
    <w:rsid w:val="00DF5012"/>
    <w:rsid w:val="00DF56B9"/>
    <w:rsid w:val="00DF5703"/>
    <w:rsid w:val="00DF58A2"/>
    <w:rsid w:val="00DF5AAA"/>
    <w:rsid w:val="00DF5AE4"/>
    <w:rsid w:val="00DF5CC0"/>
    <w:rsid w:val="00DF6A97"/>
    <w:rsid w:val="00DF6BF4"/>
    <w:rsid w:val="00DF6DE3"/>
    <w:rsid w:val="00DF7289"/>
    <w:rsid w:val="00DF729E"/>
    <w:rsid w:val="00DF72B5"/>
    <w:rsid w:val="00DF7694"/>
    <w:rsid w:val="00DF7D38"/>
    <w:rsid w:val="00DF7E02"/>
    <w:rsid w:val="00DF7E18"/>
    <w:rsid w:val="00DF7E66"/>
    <w:rsid w:val="00E00564"/>
    <w:rsid w:val="00E0059A"/>
    <w:rsid w:val="00E00F11"/>
    <w:rsid w:val="00E01167"/>
    <w:rsid w:val="00E01180"/>
    <w:rsid w:val="00E014C6"/>
    <w:rsid w:val="00E018B6"/>
    <w:rsid w:val="00E01A42"/>
    <w:rsid w:val="00E01E7B"/>
    <w:rsid w:val="00E02B36"/>
    <w:rsid w:val="00E02BE3"/>
    <w:rsid w:val="00E02C7F"/>
    <w:rsid w:val="00E02DDB"/>
    <w:rsid w:val="00E0302B"/>
    <w:rsid w:val="00E033A3"/>
    <w:rsid w:val="00E0347E"/>
    <w:rsid w:val="00E03580"/>
    <w:rsid w:val="00E035FE"/>
    <w:rsid w:val="00E041CB"/>
    <w:rsid w:val="00E04375"/>
    <w:rsid w:val="00E0492D"/>
    <w:rsid w:val="00E04F92"/>
    <w:rsid w:val="00E05559"/>
    <w:rsid w:val="00E05A8D"/>
    <w:rsid w:val="00E06789"/>
    <w:rsid w:val="00E06C19"/>
    <w:rsid w:val="00E07581"/>
    <w:rsid w:val="00E0777D"/>
    <w:rsid w:val="00E07A50"/>
    <w:rsid w:val="00E07AA3"/>
    <w:rsid w:val="00E07CE4"/>
    <w:rsid w:val="00E10309"/>
    <w:rsid w:val="00E103BA"/>
    <w:rsid w:val="00E10681"/>
    <w:rsid w:val="00E10AAA"/>
    <w:rsid w:val="00E10B4C"/>
    <w:rsid w:val="00E10E82"/>
    <w:rsid w:val="00E115AC"/>
    <w:rsid w:val="00E11903"/>
    <w:rsid w:val="00E125B9"/>
    <w:rsid w:val="00E126A9"/>
    <w:rsid w:val="00E12E16"/>
    <w:rsid w:val="00E13090"/>
    <w:rsid w:val="00E1315E"/>
    <w:rsid w:val="00E13884"/>
    <w:rsid w:val="00E13962"/>
    <w:rsid w:val="00E13FB5"/>
    <w:rsid w:val="00E142C1"/>
    <w:rsid w:val="00E143DD"/>
    <w:rsid w:val="00E146D7"/>
    <w:rsid w:val="00E14AD0"/>
    <w:rsid w:val="00E15230"/>
    <w:rsid w:val="00E1594D"/>
    <w:rsid w:val="00E15C85"/>
    <w:rsid w:val="00E15D27"/>
    <w:rsid w:val="00E15E2B"/>
    <w:rsid w:val="00E15ED7"/>
    <w:rsid w:val="00E16242"/>
    <w:rsid w:val="00E163EB"/>
    <w:rsid w:val="00E16DA7"/>
    <w:rsid w:val="00E17690"/>
    <w:rsid w:val="00E17930"/>
    <w:rsid w:val="00E17CFB"/>
    <w:rsid w:val="00E2030D"/>
    <w:rsid w:val="00E20F64"/>
    <w:rsid w:val="00E212AC"/>
    <w:rsid w:val="00E2177D"/>
    <w:rsid w:val="00E21A58"/>
    <w:rsid w:val="00E21D0B"/>
    <w:rsid w:val="00E223D9"/>
    <w:rsid w:val="00E22456"/>
    <w:rsid w:val="00E22A65"/>
    <w:rsid w:val="00E23320"/>
    <w:rsid w:val="00E239FF"/>
    <w:rsid w:val="00E23C9E"/>
    <w:rsid w:val="00E23EC0"/>
    <w:rsid w:val="00E242D0"/>
    <w:rsid w:val="00E2436B"/>
    <w:rsid w:val="00E24894"/>
    <w:rsid w:val="00E24994"/>
    <w:rsid w:val="00E24A66"/>
    <w:rsid w:val="00E24BC9"/>
    <w:rsid w:val="00E24E73"/>
    <w:rsid w:val="00E25166"/>
    <w:rsid w:val="00E2576E"/>
    <w:rsid w:val="00E25A76"/>
    <w:rsid w:val="00E25CC6"/>
    <w:rsid w:val="00E26025"/>
    <w:rsid w:val="00E265F6"/>
    <w:rsid w:val="00E266D3"/>
    <w:rsid w:val="00E27156"/>
    <w:rsid w:val="00E2767A"/>
    <w:rsid w:val="00E27743"/>
    <w:rsid w:val="00E27A43"/>
    <w:rsid w:val="00E27DAC"/>
    <w:rsid w:val="00E27DEA"/>
    <w:rsid w:val="00E305A0"/>
    <w:rsid w:val="00E308AE"/>
    <w:rsid w:val="00E31127"/>
    <w:rsid w:val="00E316A3"/>
    <w:rsid w:val="00E31C99"/>
    <w:rsid w:val="00E31EDC"/>
    <w:rsid w:val="00E31FD6"/>
    <w:rsid w:val="00E3218E"/>
    <w:rsid w:val="00E32534"/>
    <w:rsid w:val="00E33262"/>
    <w:rsid w:val="00E33410"/>
    <w:rsid w:val="00E33621"/>
    <w:rsid w:val="00E337C9"/>
    <w:rsid w:val="00E3382A"/>
    <w:rsid w:val="00E33D5F"/>
    <w:rsid w:val="00E3417A"/>
    <w:rsid w:val="00E34E7C"/>
    <w:rsid w:val="00E3544C"/>
    <w:rsid w:val="00E354DE"/>
    <w:rsid w:val="00E36165"/>
    <w:rsid w:val="00E36877"/>
    <w:rsid w:val="00E36B8D"/>
    <w:rsid w:val="00E3700C"/>
    <w:rsid w:val="00E371B0"/>
    <w:rsid w:val="00E372D4"/>
    <w:rsid w:val="00E37ACF"/>
    <w:rsid w:val="00E37C4A"/>
    <w:rsid w:val="00E40744"/>
    <w:rsid w:val="00E4079B"/>
    <w:rsid w:val="00E4090C"/>
    <w:rsid w:val="00E40AD0"/>
    <w:rsid w:val="00E40F0D"/>
    <w:rsid w:val="00E41D2C"/>
    <w:rsid w:val="00E42175"/>
    <w:rsid w:val="00E42BA2"/>
    <w:rsid w:val="00E42E2E"/>
    <w:rsid w:val="00E4310B"/>
    <w:rsid w:val="00E436AB"/>
    <w:rsid w:val="00E44124"/>
    <w:rsid w:val="00E4482A"/>
    <w:rsid w:val="00E44E5B"/>
    <w:rsid w:val="00E4502A"/>
    <w:rsid w:val="00E450A0"/>
    <w:rsid w:val="00E45228"/>
    <w:rsid w:val="00E45515"/>
    <w:rsid w:val="00E459DE"/>
    <w:rsid w:val="00E45CC9"/>
    <w:rsid w:val="00E45E97"/>
    <w:rsid w:val="00E461BC"/>
    <w:rsid w:val="00E4626A"/>
    <w:rsid w:val="00E4643A"/>
    <w:rsid w:val="00E46988"/>
    <w:rsid w:val="00E46A78"/>
    <w:rsid w:val="00E47041"/>
    <w:rsid w:val="00E47343"/>
    <w:rsid w:val="00E47AF6"/>
    <w:rsid w:val="00E47C0B"/>
    <w:rsid w:val="00E503D4"/>
    <w:rsid w:val="00E506CC"/>
    <w:rsid w:val="00E5095A"/>
    <w:rsid w:val="00E5138F"/>
    <w:rsid w:val="00E516EC"/>
    <w:rsid w:val="00E51C41"/>
    <w:rsid w:val="00E51D02"/>
    <w:rsid w:val="00E52455"/>
    <w:rsid w:val="00E52731"/>
    <w:rsid w:val="00E52B1D"/>
    <w:rsid w:val="00E52E9A"/>
    <w:rsid w:val="00E531BA"/>
    <w:rsid w:val="00E53382"/>
    <w:rsid w:val="00E5373C"/>
    <w:rsid w:val="00E5389B"/>
    <w:rsid w:val="00E5413C"/>
    <w:rsid w:val="00E541C0"/>
    <w:rsid w:val="00E54517"/>
    <w:rsid w:val="00E54668"/>
    <w:rsid w:val="00E55052"/>
    <w:rsid w:val="00E556CB"/>
    <w:rsid w:val="00E55A95"/>
    <w:rsid w:val="00E55B2F"/>
    <w:rsid w:val="00E56144"/>
    <w:rsid w:val="00E56754"/>
    <w:rsid w:val="00E567EF"/>
    <w:rsid w:val="00E56B93"/>
    <w:rsid w:val="00E57201"/>
    <w:rsid w:val="00E57302"/>
    <w:rsid w:val="00E57401"/>
    <w:rsid w:val="00E57B05"/>
    <w:rsid w:val="00E57B71"/>
    <w:rsid w:val="00E57E15"/>
    <w:rsid w:val="00E57F46"/>
    <w:rsid w:val="00E60638"/>
    <w:rsid w:val="00E60691"/>
    <w:rsid w:val="00E6096D"/>
    <w:rsid w:val="00E6113D"/>
    <w:rsid w:val="00E6118C"/>
    <w:rsid w:val="00E617BF"/>
    <w:rsid w:val="00E61902"/>
    <w:rsid w:val="00E61D6E"/>
    <w:rsid w:val="00E629C5"/>
    <w:rsid w:val="00E62ABC"/>
    <w:rsid w:val="00E63124"/>
    <w:rsid w:val="00E633C9"/>
    <w:rsid w:val="00E63650"/>
    <w:rsid w:val="00E6371E"/>
    <w:rsid w:val="00E63AE8"/>
    <w:rsid w:val="00E63CE2"/>
    <w:rsid w:val="00E651D0"/>
    <w:rsid w:val="00E65AD5"/>
    <w:rsid w:val="00E65D1B"/>
    <w:rsid w:val="00E65D20"/>
    <w:rsid w:val="00E6640F"/>
    <w:rsid w:val="00E6647C"/>
    <w:rsid w:val="00E665DD"/>
    <w:rsid w:val="00E67778"/>
    <w:rsid w:val="00E679B6"/>
    <w:rsid w:val="00E67B4D"/>
    <w:rsid w:val="00E67B80"/>
    <w:rsid w:val="00E70335"/>
    <w:rsid w:val="00E70339"/>
    <w:rsid w:val="00E705E4"/>
    <w:rsid w:val="00E7070B"/>
    <w:rsid w:val="00E71937"/>
    <w:rsid w:val="00E71967"/>
    <w:rsid w:val="00E71A28"/>
    <w:rsid w:val="00E71B86"/>
    <w:rsid w:val="00E71C24"/>
    <w:rsid w:val="00E71D3A"/>
    <w:rsid w:val="00E72183"/>
    <w:rsid w:val="00E7260B"/>
    <w:rsid w:val="00E73332"/>
    <w:rsid w:val="00E73769"/>
    <w:rsid w:val="00E73AE7"/>
    <w:rsid w:val="00E73CFD"/>
    <w:rsid w:val="00E73D09"/>
    <w:rsid w:val="00E742E3"/>
    <w:rsid w:val="00E74B0F"/>
    <w:rsid w:val="00E74B68"/>
    <w:rsid w:val="00E74D86"/>
    <w:rsid w:val="00E75032"/>
    <w:rsid w:val="00E75133"/>
    <w:rsid w:val="00E75328"/>
    <w:rsid w:val="00E75874"/>
    <w:rsid w:val="00E75AAE"/>
    <w:rsid w:val="00E75EC8"/>
    <w:rsid w:val="00E75FD6"/>
    <w:rsid w:val="00E7629F"/>
    <w:rsid w:val="00E768A8"/>
    <w:rsid w:val="00E76A46"/>
    <w:rsid w:val="00E76B07"/>
    <w:rsid w:val="00E76BD5"/>
    <w:rsid w:val="00E76DB6"/>
    <w:rsid w:val="00E76F47"/>
    <w:rsid w:val="00E772A4"/>
    <w:rsid w:val="00E7745F"/>
    <w:rsid w:val="00E7760C"/>
    <w:rsid w:val="00E7768F"/>
    <w:rsid w:val="00E777AD"/>
    <w:rsid w:val="00E77915"/>
    <w:rsid w:val="00E80258"/>
    <w:rsid w:val="00E813F5"/>
    <w:rsid w:val="00E81508"/>
    <w:rsid w:val="00E81756"/>
    <w:rsid w:val="00E8183F"/>
    <w:rsid w:val="00E81AEE"/>
    <w:rsid w:val="00E81C89"/>
    <w:rsid w:val="00E82586"/>
    <w:rsid w:val="00E82701"/>
    <w:rsid w:val="00E82D49"/>
    <w:rsid w:val="00E82F98"/>
    <w:rsid w:val="00E83377"/>
    <w:rsid w:val="00E83569"/>
    <w:rsid w:val="00E839DC"/>
    <w:rsid w:val="00E83AE6"/>
    <w:rsid w:val="00E83D81"/>
    <w:rsid w:val="00E843C6"/>
    <w:rsid w:val="00E8456E"/>
    <w:rsid w:val="00E84812"/>
    <w:rsid w:val="00E8499E"/>
    <w:rsid w:val="00E84BC5"/>
    <w:rsid w:val="00E8501D"/>
    <w:rsid w:val="00E8515A"/>
    <w:rsid w:val="00E855B8"/>
    <w:rsid w:val="00E85B8C"/>
    <w:rsid w:val="00E8607B"/>
    <w:rsid w:val="00E867A3"/>
    <w:rsid w:val="00E86AA7"/>
    <w:rsid w:val="00E86E41"/>
    <w:rsid w:val="00E877C8"/>
    <w:rsid w:val="00E87C5E"/>
    <w:rsid w:val="00E87EDD"/>
    <w:rsid w:val="00E87FA1"/>
    <w:rsid w:val="00E90598"/>
    <w:rsid w:val="00E9081E"/>
    <w:rsid w:val="00E90994"/>
    <w:rsid w:val="00E90A10"/>
    <w:rsid w:val="00E90B4B"/>
    <w:rsid w:val="00E90B83"/>
    <w:rsid w:val="00E90CF4"/>
    <w:rsid w:val="00E90E24"/>
    <w:rsid w:val="00E91159"/>
    <w:rsid w:val="00E91555"/>
    <w:rsid w:val="00E9175B"/>
    <w:rsid w:val="00E92080"/>
    <w:rsid w:val="00E92601"/>
    <w:rsid w:val="00E92E72"/>
    <w:rsid w:val="00E9317D"/>
    <w:rsid w:val="00E931D1"/>
    <w:rsid w:val="00E931EF"/>
    <w:rsid w:val="00E932F2"/>
    <w:rsid w:val="00E93C1D"/>
    <w:rsid w:val="00E93D97"/>
    <w:rsid w:val="00E93E17"/>
    <w:rsid w:val="00E93E51"/>
    <w:rsid w:val="00E943BA"/>
    <w:rsid w:val="00E945E8"/>
    <w:rsid w:val="00E949A3"/>
    <w:rsid w:val="00E94D38"/>
    <w:rsid w:val="00E94F32"/>
    <w:rsid w:val="00E95267"/>
    <w:rsid w:val="00E95931"/>
    <w:rsid w:val="00E95A2D"/>
    <w:rsid w:val="00E95A7A"/>
    <w:rsid w:val="00E95AAD"/>
    <w:rsid w:val="00E9645A"/>
    <w:rsid w:val="00E96CA0"/>
    <w:rsid w:val="00E96E69"/>
    <w:rsid w:val="00E96FC6"/>
    <w:rsid w:val="00E97062"/>
    <w:rsid w:val="00E97073"/>
    <w:rsid w:val="00E97635"/>
    <w:rsid w:val="00E97E7C"/>
    <w:rsid w:val="00EA0B55"/>
    <w:rsid w:val="00EA159C"/>
    <w:rsid w:val="00EA1D92"/>
    <w:rsid w:val="00EA1E02"/>
    <w:rsid w:val="00EA23EC"/>
    <w:rsid w:val="00EA2656"/>
    <w:rsid w:val="00EA31AF"/>
    <w:rsid w:val="00EA3206"/>
    <w:rsid w:val="00EA3960"/>
    <w:rsid w:val="00EA3D54"/>
    <w:rsid w:val="00EA3E10"/>
    <w:rsid w:val="00EA45A3"/>
    <w:rsid w:val="00EA4F01"/>
    <w:rsid w:val="00EA57DA"/>
    <w:rsid w:val="00EA5AFA"/>
    <w:rsid w:val="00EA615D"/>
    <w:rsid w:val="00EA63FF"/>
    <w:rsid w:val="00EA64B2"/>
    <w:rsid w:val="00EA679F"/>
    <w:rsid w:val="00EA680A"/>
    <w:rsid w:val="00EA6A63"/>
    <w:rsid w:val="00EA7366"/>
    <w:rsid w:val="00EA7A52"/>
    <w:rsid w:val="00EA7E68"/>
    <w:rsid w:val="00EB0380"/>
    <w:rsid w:val="00EB064A"/>
    <w:rsid w:val="00EB09F4"/>
    <w:rsid w:val="00EB0BFB"/>
    <w:rsid w:val="00EB0E60"/>
    <w:rsid w:val="00EB1196"/>
    <w:rsid w:val="00EB1ADF"/>
    <w:rsid w:val="00EB1EE9"/>
    <w:rsid w:val="00EB218B"/>
    <w:rsid w:val="00EB239E"/>
    <w:rsid w:val="00EB2A9B"/>
    <w:rsid w:val="00EB2E47"/>
    <w:rsid w:val="00EB31A7"/>
    <w:rsid w:val="00EB33DF"/>
    <w:rsid w:val="00EB368B"/>
    <w:rsid w:val="00EB39EB"/>
    <w:rsid w:val="00EB3C2B"/>
    <w:rsid w:val="00EB410F"/>
    <w:rsid w:val="00EB45C3"/>
    <w:rsid w:val="00EB493C"/>
    <w:rsid w:val="00EB4DFC"/>
    <w:rsid w:val="00EB51F8"/>
    <w:rsid w:val="00EB530D"/>
    <w:rsid w:val="00EB5667"/>
    <w:rsid w:val="00EB5928"/>
    <w:rsid w:val="00EB5A75"/>
    <w:rsid w:val="00EB5EE1"/>
    <w:rsid w:val="00EB63AD"/>
    <w:rsid w:val="00EB63E5"/>
    <w:rsid w:val="00EB677B"/>
    <w:rsid w:val="00EB6B38"/>
    <w:rsid w:val="00EB6C41"/>
    <w:rsid w:val="00EB7813"/>
    <w:rsid w:val="00EB79BF"/>
    <w:rsid w:val="00EB7BE9"/>
    <w:rsid w:val="00EC0354"/>
    <w:rsid w:val="00EC064C"/>
    <w:rsid w:val="00EC0B28"/>
    <w:rsid w:val="00EC102A"/>
    <w:rsid w:val="00EC1805"/>
    <w:rsid w:val="00EC1DC7"/>
    <w:rsid w:val="00EC1E55"/>
    <w:rsid w:val="00EC29C7"/>
    <w:rsid w:val="00EC2C0D"/>
    <w:rsid w:val="00EC2D06"/>
    <w:rsid w:val="00EC2F9B"/>
    <w:rsid w:val="00EC3558"/>
    <w:rsid w:val="00EC3F1D"/>
    <w:rsid w:val="00EC4403"/>
    <w:rsid w:val="00EC473A"/>
    <w:rsid w:val="00EC4E9B"/>
    <w:rsid w:val="00EC5148"/>
    <w:rsid w:val="00EC524B"/>
    <w:rsid w:val="00EC5ABC"/>
    <w:rsid w:val="00EC5D85"/>
    <w:rsid w:val="00EC63C8"/>
    <w:rsid w:val="00EC6775"/>
    <w:rsid w:val="00EC687D"/>
    <w:rsid w:val="00EC697B"/>
    <w:rsid w:val="00EC71B5"/>
    <w:rsid w:val="00EC71C8"/>
    <w:rsid w:val="00ED1B2A"/>
    <w:rsid w:val="00ED1E58"/>
    <w:rsid w:val="00ED2227"/>
    <w:rsid w:val="00ED226E"/>
    <w:rsid w:val="00ED248B"/>
    <w:rsid w:val="00ED2C84"/>
    <w:rsid w:val="00ED3320"/>
    <w:rsid w:val="00ED3532"/>
    <w:rsid w:val="00ED3954"/>
    <w:rsid w:val="00ED3978"/>
    <w:rsid w:val="00ED41D4"/>
    <w:rsid w:val="00ED4383"/>
    <w:rsid w:val="00ED49DE"/>
    <w:rsid w:val="00ED4DF2"/>
    <w:rsid w:val="00ED4FB4"/>
    <w:rsid w:val="00ED51F5"/>
    <w:rsid w:val="00ED52BB"/>
    <w:rsid w:val="00ED5328"/>
    <w:rsid w:val="00ED5354"/>
    <w:rsid w:val="00ED5782"/>
    <w:rsid w:val="00ED6178"/>
    <w:rsid w:val="00ED63F8"/>
    <w:rsid w:val="00ED64A8"/>
    <w:rsid w:val="00ED6597"/>
    <w:rsid w:val="00ED69AD"/>
    <w:rsid w:val="00ED6CA9"/>
    <w:rsid w:val="00ED710C"/>
    <w:rsid w:val="00ED7351"/>
    <w:rsid w:val="00ED7536"/>
    <w:rsid w:val="00EE0F3A"/>
    <w:rsid w:val="00EE10D6"/>
    <w:rsid w:val="00EE18D0"/>
    <w:rsid w:val="00EE1BFB"/>
    <w:rsid w:val="00EE1E02"/>
    <w:rsid w:val="00EE23F3"/>
    <w:rsid w:val="00EE24E4"/>
    <w:rsid w:val="00EE2DC6"/>
    <w:rsid w:val="00EE337D"/>
    <w:rsid w:val="00EE3C99"/>
    <w:rsid w:val="00EE4479"/>
    <w:rsid w:val="00EE4559"/>
    <w:rsid w:val="00EE4E13"/>
    <w:rsid w:val="00EE5294"/>
    <w:rsid w:val="00EE52FF"/>
    <w:rsid w:val="00EE5573"/>
    <w:rsid w:val="00EE59EA"/>
    <w:rsid w:val="00EE642C"/>
    <w:rsid w:val="00EE64DF"/>
    <w:rsid w:val="00EE6B5B"/>
    <w:rsid w:val="00EE7187"/>
    <w:rsid w:val="00EE7B52"/>
    <w:rsid w:val="00EE7BCF"/>
    <w:rsid w:val="00EE7C21"/>
    <w:rsid w:val="00EE7EDC"/>
    <w:rsid w:val="00EF0181"/>
    <w:rsid w:val="00EF02A2"/>
    <w:rsid w:val="00EF0780"/>
    <w:rsid w:val="00EF0933"/>
    <w:rsid w:val="00EF0CDE"/>
    <w:rsid w:val="00EF1D77"/>
    <w:rsid w:val="00EF1DE9"/>
    <w:rsid w:val="00EF1F97"/>
    <w:rsid w:val="00EF252D"/>
    <w:rsid w:val="00EF2A52"/>
    <w:rsid w:val="00EF2FA3"/>
    <w:rsid w:val="00EF339D"/>
    <w:rsid w:val="00EF341D"/>
    <w:rsid w:val="00EF34DC"/>
    <w:rsid w:val="00EF3810"/>
    <w:rsid w:val="00EF3A02"/>
    <w:rsid w:val="00EF4199"/>
    <w:rsid w:val="00EF436C"/>
    <w:rsid w:val="00EF4D84"/>
    <w:rsid w:val="00EF4FCE"/>
    <w:rsid w:val="00EF50EC"/>
    <w:rsid w:val="00EF52BA"/>
    <w:rsid w:val="00EF5BBA"/>
    <w:rsid w:val="00EF5DBB"/>
    <w:rsid w:val="00EF5DF8"/>
    <w:rsid w:val="00EF5F3E"/>
    <w:rsid w:val="00EF62A5"/>
    <w:rsid w:val="00EF64D2"/>
    <w:rsid w:val="00EF64D5"/>
    <w:rsid w:val="00EF65A2"/>
    <w:rsid w:val="00EF663E"/>
    <w:rsid w:val="00EF760B"/>
    <w:rsid w:val="00EF7D95"/>
    <w:rsid w:val="00F000DB"/>
    <w:rsid w:val="00F003E8"/>
    <w:rsid w:val="00F004CA"/>
    <w:rsid w:val="00F00688"/>
    <w:rsid w:val="00F00788"/>
    <w:rsid w:val="00F00F8B"/>
    <w:rsid w:val="00F015CC"/>
    <w:rsid w:val="00F016F2"/>
    <w:rsid w:val="00F01BC0"/>
    <w:rsid w:val="00F01C25"/>
    <w:rsid w:val="00F01D5C"/>
    <w:rsid w:val="00F01E1C"/>
    <w:rsid w:val="00F01E46"/>
    <w:rsid w:val="00F02016"/>
    <w:rsid w:val="00F03809"/>
    <w:rsid w:val="00F03F10"/>
    <w:rsid w:val="00F04683"/>
    <w:rsid w:val="00F0481E"/>
    <w:rsid w:val="00F04834"/>
    <w:rsid w:val="00F04916"/>
    <w:rsid w:val="00F04A75"/>
    <w:rsid w:val="00F04B63"/>
    <w:rsid w:val="00F04E0D"/>
    <w:rsid w:val="00F050DB"/>
    <w:rsid w:val="00F0596B"/>
    <w:rsid w:val="00F06771"/>
    <w:rsid w:val="00F06BE7"/>
    <w:rsid w:val="00F072C3"/>
    <w:rsid w:val="00F07973"/>
    <w:rsid w:val="00F07AF1"/>
    <w:rsid w:val="00F07CB3"/>
    <w:rsid w:val="00F10ADD"/>
    <w:rsid w:val="00F10F69"/>
    <w:rsid w:val="00F113F8"/>
    <w:rsid w:val="00F11B27"/>
    <w:rsid w:val="00F11CDD"/>
    <w:rsid w:val="00F11FDC"/>
    <w:rsid w:val="00F12046"/>
    <w:rsid w:val="00F12274"/>
    <w:rsid w:val="00F12332"/>
    <w:rsid w:val="00F12350"/>
    <w:rsid w:val="00F124A0"/>
    <w:rsid w:val="00F12543"/>
    <w:rsid w:val="00F1261D"/>
    <w:rsid w:val="00F1275D"/>
    <w:rsid w:val="00F12B29"/>
    <w:rsid w:val="00F12FCB"/>
    <w:rsid w:val="00F13251"/>
    <w:rsid w:val="00F134DB"/>
    <w:rsid w:val="00F1399E"/>
    <w:rsid w:val="00F13CEA"/>
    <w:rsid w:val="00F14535"/>
    <w:rsid w:val="00F147B9"/>
    <w:rsid w:val="00F14AC9"/>
    <w:rsid w:val="00F14BE4"/>
    <w:rsid w:val="00F14F27"/>
    <w:rsid w:val="00F15677"/>
    <w:rsid w:val="00F15702"/>
    <w:rsid w:val="00F15A26"/>
    <w:rsid w:val="00F15BAA"/>
    <w:rsid w:val="00F1646D"/>
    <w:rsid w:val="00F16591"/>
    <w:rsid w:val="00F166DA"/>
    <w:rsid w:val="00F16797"/>
    <w:rsid w:val="00F16F24"/>
    <w:rsid w:val="00F17CE8"/>
    <w:rsid w:val="00F17DB1"/>
    <w:rsid w:val="00F17F5E"/>
    <w:rsid w:val="00F20195"/>
    <w:rsid w:val="00F2071A"/>
    <w:rsid w:val="00F2088F"/>
    <w:rsid w:val="00F2115F"/>
    <w:rsid w:val="00F214BD"/>
    <w:rsid w:val="00F22876"/>
    <w:rsid w:val="00F22898"/>
    <w:rsid w:val="00F2340F"/>
    <w:rsid w:val="00F239CE"/>
    <w:rsid w:val="00F23ED9"/>
    <w:rsid w:val="00F24971"/>
    <w:rsid w:val="00F24C51"/>
    <w:rsid w:val="00F24FAE"/>
    <w:rsid w:val="00F254A4"/>
    <w:rsid w:val="00F25727"/>
    <w:rsid w:val="00F25B21"/>
    <w:rsid w:val="00F25BAF"/>
    <w:rsid w:val="00F26549"/>
    <w:rsid w:val="00F2678E"/>
    <w:rsid w:val="00F2680F"/>
    <w:rsid w:val="00F26BD9"/>
    <w:rsid w:val="00F26FCF"/>
    <w:rsid w:val="00F27572"/>
    <w:rsid w:val="00F27B78"/>
    <w:rsid w:val="00F27CA4"/>
    <w:rsid w:val="00F27CCD"/>
    <w:rsid w:val="00F27D97"/>
    <w:rsid w:val="00F302E9"/>
    <w:rsid w:val="00F30659"/>
    <w:rsid w:val="00F30C50"/>
    <w:rsid w:val="00F30E4C"/>
    <w:rsid w:val="00F31365"/>
    <w:rsid w:val="00F314CD"/>
    <w:rsid w:val="00F3182B"/>
    <w:rsid w:val="00F31ACB"/>
    <w:rsid w:val="00F31DEA"/>
    <w:rsid w:val="00F31E40"/>
    <w:rsid w:val="00F31F49"/>
    <w:rsid w:val="00F32736"/>
    <w:rsid w:val="00F329D2"/>
    <w:rsid w:val="00F33244"/>
    <w:rsid w:val="00F33EF9"/>
    <w:rsid w:val="00F34153"/>
    <w:rsid w:val="00F344FD"/>
    <w:rsid w:val="00F34677"/>
    <w:rsid w:val="00F34CB3"/>
    <w:rsid w:val="00F34E25"/>
    <w:rsid w:val="00F34EF7"/>
    <w:rsid w:val="00F34EFA"/>
    <w:rsid w:val="00F34FA8"/>
    <w:rsid w:val="00F350E1"/>
    <w:rsid w:val="00F350E6"/>
    <w:rsid w:val="00F35657"/>
    <w:rsid w:val="00F35806"/>
    <w:rsid w:val="00F35B81"/>
    <w:rsid w:val="00F36449"/>
    <w:rsid w:val="00F3649A"/>
    <w:rsid w:val="00F36A68"/>
    <w:rsid w:val="00F36F6A"/>
    <w:rsid w:val="00F3720B"/>
    <w:rsid w:val="00F37475"/>
    <w:rsid w:val="00F374F0"/>
    <w:rsid w:val="00F37BD0"/>
    <w:rsid w:val="00F4021D"/>
    <w:rsid w:val="00F403E5"/>
    <w:rsid w:val="00F40D6A"/>
    <w:rsid w:val="00F40F90"/>
    <w:rsid w:val="00F412D9"/>
    <w:rsid w:val="00F41AD2"/>
    <w:rsid w:val="00F41C14"/>
    <w:rsid w:val="00F41CEC"/>
    <w:rsid w:val="00F41DB3"/>
    <w:rsid w:val="00F42196"/>
    <w:rsid w:val="00F42414"/>
    <w:rsid w:val="00F42A20"/>
    <w:rsid w:val="00F42F53"/>
    <w:rsid w:val="00F4316E"/>
    <w:rsid w:val="00F434F5"/>
    <w:rsid w:val="00F44220"/>
    <w:rsid w:val="00F4442D"/>
    <w:rsid w:val="00F44A8B"/>
    <w:rsid w:val="00F44CF9"/>
    <w:rsid w:val="00F44F6E"/>
    <w:rsid w:val="00F45D37"/>
    <w:rsid w:val="00F464F2"/>
    <w:rsid w:val="00F46615"/>
    <w:rsid w:val="00F4685A"/>
    <w:rsid w:val="00F471A5"/>
    <w:rsid w:val="00F47748"/>
    <w:rsid w:val="00F47859"/>
    <w:rsid w:val="00F47A87"/>
    <w:rsid w:val="00F47BAE"/>
    <w:rsid w:val="00F47D55"/>
    <w:rsid w:val="00F5024F"/>
    <w:rsid w:val="00F504A9"/>
    <w:rsid w:val="00F5066F"/>
    <w:rsid w:val="00F5071B"/>
    <w:rsid w:val="00F508CD"/>
    <w:rsid w:val="00F50D8A"/>
    <w:rsid w:val="00F515EF"/>
    <w:rsid w:val="00F51600"/>
    <w:rsid w:val="00F51AE6"/>
    <w:rsid w:val="00F51D13"/>
    <w:rsid w:val="00F5210D"/>
    <w:rsid w:val="00F52117"/>
    <w:rsid w:val="00F521CF"/>
    <w:rsid w:val="00F52204"/>
    <w:rsid w:val="00F52486"/>
    <w:rsid w:val="00F524C1"/>
    <w:rsid w:val="00F529C7"/>
    <w:rsid w:val="00F52B95"/>
    <w:rsid w:val="00F52FB4"/>
    <w:rsid w:val="00F53024"/>
    <w:rsid w:val="00F53245"/>
    <w:rsid w:val="00F53530"/>
    <w:rsid w:val="00F535EB"/>
    <w:rsid w:val="00F53881"/>
    <w:rsid w:val="00F53E85"/>
    <w:rsid w:val="00F53EC0"/>
    <w:rsid w:val="00F53F2A"/>
    <w:rsid w:val="00F53F9A"/>
    <w:rsid w:val="00F54439"/>
    <w:rsid w:val="00F54442"/>
    <w:rsid w:val="00F547E1"/>
    <w:rsid w:val="00F548F5"/>
    <w:rsid w:val="00F54EA8"/>
    <w:rsid w:val="00F54F1F"/>
    <w:rsid w:val="00F5507E"/>
    <w:rsid w:val="00F554ED"/>
    <w:rsid w:val="00F55724"/>
    <w:rsid w:val="00F558C0"/>
    <w:rsid w:val="00F55ACA"/>
    <w:rsid w:val="00F55E2C"/>
    <w:rsid w:val="00F55F45"/>
    <w:rsid w:val="00F564A1"/>
    <w:rsid w:val="00F5668F"/>
    <w:rsid w:val="00F5775E"/>
    <w:rsid w:val="00F5785F"/>
    <w:rsid w:val="00F57918"/>
    <w:rsid w:val="00F57B68"/>
    <w:rsid w:val="00F57C9F"/>
    <w:rsid w:val="00F6012F"/>
    <w:rsid w:val="00F609A1"/>
    <w:rsid w:val="00F60B0E"/>
    <w:rsid w:val="00F60D6E"/>
    <w:rsid w:val="00F60F0D"/>
    <w:rsid w:val="00F60FEE"/>
    <w:rsid w:val="00F613E0"/>
    <w:rsid w:val="00F61DD6"/>
    <w:rsid w:val="00F61EDF"/>
    <w:rsid w:val="00F62792"/>
    <w:rsid w:val="00F62849"/>
    <w:rsid w:val="00F62A30"/>
    <w:rsid w:val="00F62F59"/>
    <w:rsid w:val="00F62FB8"/>
    <w:rsid w:val="00F6360A"/>
    <w:rsid w:val="00F63823"/>
    <w:rsid w:val="00F639B7"/>
    <w:rsid w:val="00F63CB6"/>
    <w:rsid w:val="00F63EAF"/>
    <w:rsid w:val="00F64A29"/>
    <w:rsid w:val="00F64B58"/>
    <w:rsid w:val="00F64BD7"/>
    <w:rsid w:val="00F64E71"/>
    <w:rsid w:val="00F64EBE"/>
    <w:rsid w:val="00F65766"/>
    <w:rsid w:val="00F65A00"/>
    <w:rsid w:val="00F66083"/>
    <w:rsid w:val="00F6703F"/>
    <w:rsid w:val="00F67157"/>
    <w:rsid w:val="00F67180"/>
    <w:rsid w:val="00F6735C"/>
    <w:rsid w:val="00F67415"/>
    <w:rsid w:val="00F675F4"/>
    <w:rsid w:val="00F67714"/>
    <w:rsid w:val="00F67DDB"/>
    <w:rsid w:val="00F71203"/>
    <w:rsid w:val="00F713B2"/>
    <w:rsid w:val="00F715FA"/>
    <w:rsid w:val="00F71643"/>
    <w:rsid w:val="00F716D9"/>
    <w:rsid w:val="00F71CF3"/>
    <w:rsid w:val="00F71D8A"/>
    <w:rsid w:val="00F721D0"/>
    <w:rsid w:val="00F72237"/>
    <w:rsid w:val="00F72547"/>
    <w:rsid w:val="00F72629"/>
    <w:rsid w:val="00F726A3"/>
    <w:rsid w:val="00F729B7"/>
    <w:rsid w:val="00F72A17"/>
    <w:rsid w:val="00F72B33"/>
    <w:rsid w:val="00F72E1F"/>
    <w:rsid w:val="00F72E3A"/>
    <w:rsid w:val="00F73265"/>
    <w:rsid w:val="00F7340E"/>
    <w:rsid w:val="00F735CD"/>
    <w:rsid w:val="00F7391E"/>
    <w:rsid w:val="00F73B46"/>
    <w:rsid w:val="00F73BB0"/>
    <w:rsid w:val="00F73BE6"/>
    <w:rsid w:val="00F7421F"/>
    <w:rsid w:val="00F744C5"/>
    <w:rsid w:val="00F75026"/>
    <w:rsid w:val="00F7504E"/>
    <w:rsid w:val="00F7559E"/>
    <w:rsid w:val="00F761B6"/>
    <w:rsid w:val="00F762B6"/>
    <w:rsid w:val="00F7634F"/>
    <w:rsid w:val="00F76D6E"/>
    <w:rsid w:val="00F76DB8"/>
    <w:rsid w:val="00F771FD"/>
    <w:rsid w:val="00F773C1"/>
    <w:rsid w:val="00F779FA"/>
    <w:rsid w:val="00F80025"/>
    <w:rsid w:val="00F801E9"/>
    <w:rsid w:val="00F80300"/>
    <w:rsid w:val="00F803AC"/>
    <w:rsid w:val="00F803AF"/>
    <w:rsid w:val="00F809C9"/>
    <w:rsid w:val="00F80E5F"/>
    <w:rsid w:val="00F81064"/>
    <w:rsid w:val="00F81712"/>
    <w:rsid w:val="00F819D1"/>
    <w:rsid w:val="00F81BB2"/>
    <w:rsid w:val="00F8209C"/>
    <w:rsid w:val="00F825D3"/>
    <w:rsid w:val="00F83004"/>
    <w:rsid w:val="00F83461"/>
    <w:rsid w:val="00F83A6C"/>
    <w:rsid w:val="00F83BD5"/>
    <w:rsid w:val="00F83D97"/>
    <w:rsid w:val="00F84494"/>
    <w:rsid w:val="00F846FF"/>
    <w:rsid w:val="00F8478C"/>
    <w:rsid w:val="00F84B16"/>
    <w:rsid w:val="00F84B7F"/>
    <w:rsid w:val="00F84CD2"/>
    <w:rsid w:val="00F84D02"/>
    <w:rsid w:val="00F84E60"/>
    <w:rsid w:val="00F851B0"/>
    <w:rsid w:val="00F852BD"/>
    <w:rsid w:val="00F856DF"/>
    <w:rsid w:val="00F85A82"/>
    <w:rsid w:val="00F86040"/>
    <w:rsid w:val="00F86544"/>
    <w:rsid w:val="00F86A82"/>
    <w:rsid w:val="00F86C7E"/>
    <w:rsid w:val="00F879E3"/>
    <w:rsid w:val="00F879EF"/>
    <w:rsid w:val="00F87A18"/>
    <w:rsid w:val="00F90600"/>
    <w:rsid w:val="00F90968"/>
    <w:rsid w:val="00F91069"/>
    <w:rsid w:val="00F91124"/>
    <w:rsid w:val="00F913DF"/>
    <w:rsid w:val="00F91613"/>
    <w:rsid w:val="00F91A1D"/>
    <w:rsid w:val="00F91B90"/>
    <w:rsid w:val="00F91D4F"/>
    <w:rsid w:val="00F91E68"/>
    <w:rsid w:val="00F929DB"/>
    <w:rsid w:val="00F92E28"/>
    <w:rsid w:val="00F92E51"/>
    <w:rsid w:val="00F92E68"/>
    <w:rsid w:val="00F93266"/>
    <w:rsid w:val="00F9331D"/>
    <w:rsid w:val="00F93A12"/>
    <w:rsid w:val="00F93ED8"/>
    <w:rsid w:val="00F9436A"/>
    <w:rsid w:val="00F94742"/>
    <w:rsid w:val="00F94CC8"/>
    <w:rsid w:val="00F94E4C"/>
    <w:rsid w:val="00F9535C"/>
    <w:rsid w:val="00F95698"/>
    <w:rsid w:val="00F963B8"/>
    <w:rsid w:val="00F963EC"/>
    <w:rsid w:val="00F96422"/>
    <w:rsid w:val="00F9644C"/>
    <w:rsid w:val="00F96609"/>
    <w:rsid w:val="00F96E4B"/>
    <w:rsid w:val="00F97056"/>
    <w:rsid w:val="00F97626"/>
    <w:rsid w:val="00F97650"/>
    <w:rsid w:val="00F97681"/>
    <w:rsid w:val="00F97B5A"/>
    <w:rsid w:val="00FA0EC2"/>
    <w:rsid w:val="00FA12DC"/>
    <w:rsid w:val="00FA1643"/>
    <w:rsid w:val="00FA177F"/>
    <w:rsid w:val="00FA1808"/>
    <w:rsid w:val="00FA185F"/>
    <w:rsid w:val="00FA18C0"/>
    <w:rsid w:val="00FA18FF"/>
    <w:rsid w:val="00FA1C50"/>
    <w:rsid w:val="00FA294D"/>
    <w:rsid w:val="00FA2EA4"/>
    <w:rsid w:val="00FA31B0"/>
    <w:rsid w:val="00FA33AD"/>
    <w:rsid w:val="00FA3C79"/>
    <w:rsid w:val="00FA4063"/>
    <w:rsid w:val="00FA43C3"/>
    <w:rsid w:val="00FA464C"/>
    <w:rsid w:val="00FA465D"/>
    <w:rsid w:val="00FA4D36"/>
    <w:rsid w:val="00FA4DE1"/>
    <w:rsid w:val="00FA51D5"/>
    <w:rsid w:val="00FA54A7"/>
    <w:rsid w:val="00FA56BB"/>
    <w:rsid w:val="00FA5D29"/>
    <w:rsid w:val="00FA6019"/>
    <w:rsid w:val="00FA6598"/>
    <w:rsid w:val="00FA6785"/>
    <w:rsid w:val="00FA67EA"/>
    <w:rsid w:val="00FA6831"/>
    <w:rsid w:val="00FA69A9"/>
    <w:rsid w:val="00FA6EFE"/>
    <w:rsid w:val="00FA71CF"/>
    <w:rsid w:val="00FA7636"/>
    <w:rsid w:val="00FA795F"/>
    <w:rsid w:val="00FA7EBF"/>
    <w:rsid w:val="00FA7FB6"/>
    <w:rsid w:val="00FB009B"/>
    <w:rsid w:val="00FB0267"/>
    <w:rsid w:val="00FB05F5"/>
    <w:rsid w:val="00FB0697"/>
    <w:rsid w:val="00FB0C9E"/>
    <w:rsid w:val="00FB0EDC"/>
    <w:rsid w:val="00FB1025"/>
    <w:rsid w:val="00FB1055"/>
    <w:rsid w:val="00FB1060"/>
    <w:rsid w:val="00FB12CF"/>
    <w:rsid w:val="00FB1779"/>
    <w:rsid w:val="00FB1C5A"/>
    <w:rsid w:val="00FB26B2"/>
    <w:rsid w:val="00FB2944"/>
    <w:rsid w:val="00FB2BCD"/>
    <w:rsid w:val="00FB2DB8"/>
    <w:rsid w:val="00FB3294"/>
    <w:rsid w:val="00FB331E"/>
    <w:rsid w:val="00FB3A67"/>
    <w:rsid w:val="00FB3AF6"/>
    <w:rsid w:val="00FB3C3A"/>
    <w:rsid w:val="00FB3F97"/>
    <w:rsid w:val="00FB4157"/>
    <w:rsid w:val="00FB4FD2"/>
    <w:rsid w:val="00FB53DB"/>
    <w:rsid w:val="00FB552F"/>
    <w:rsid w:val="00FB56DC"/>
    <w:rsid w:val="00FB5846"/>
    <w:rsid w:val="00FB5C17"/>
    <w:rsid w:val="00FB637F"/>
    <w:rsid w:val="00FB639E"/>
    <w:rsid w:val="00FB63D6"/>
    <w:rsid w:val="00FB669E"/>
    <w:rsid w:val="00FB67FE"/>
    <w:rsid w:val="00FB6E6E"/>
    <w:rsid w:val="00FB701D"/>
    <w:rsid w:val="00FB7130"/>
    <w:rsid w:val="00FB7278"/>
    <w:rsid w:val="00FB78D0"/>
    <w:rsid w:val="00FB7C5C"/>
    <w:rsid w:val="00FB7FEE"/>
    <w:rsid w:val="00FC047B"/>
    <w:rsid w:val="00FC05BD"/>
    <w:rsid w:val="00FC083B"/>
    <w:rsid w:val="00FC09AA"/>
    <w:rsid w:val="00FC0D91"/>
    <w:rsid w:val="00FC0F10"/>
    <w:rsid w:val="00FC113E"/>
    <w:rsid w:val="00FC1C11"/>
    <w:rsid w:val="00FC1CF5"/>
    <w:rsid w:val="00FC1F7D"/>
    <w:rsid w:val="00FC233F"/>
    <w:rsid w:val="00FC2448"/>
    <w:rsid w:val="00FC2D3E"/>
    <w:rsid w:val="00FC2F2E"/>
    <w:rsid w:val="00FC30B6"/>
    <w:rsid w:val="00FC3492"/>
    <w:rsid w:val="00FC37A5"/>
    <w:rsid w:val="00FC3F50"/>
    <w:rsid w:val="00FC47B7"/>
    <w:rsid w:val="00FC4EBE"/>
    <w:rsid w:val="00FC4F1C"/>
    <w:rsid w:val="00FC57F8"/>
    <w:rsid w:val="00FC6042"/>
    <w:rsid w:val="00FC6415"/>
    <w:rsid w:val="00FC6659"/>
    <w:rsid w:val="00FC70DE"/>
    <w:rsid w:val="00FC721B"/>
    <w:rsid w:val="00FC7B5C"/>
    <w:rsid w:val="00FC7EC2"/>
    <w:rsid w:val="00FD01DB"/>
    <w:rsid w:val="00FD0328"/>
    <w:rsid w:val="00FD0C1A"/>
    <w:rsid w:val="00FD0D18"/>
    <w:rsid w:val="00FD10C6"/>
    <w:rsid w:val="00FD11ED"/>
    <w:rsid w:val="00FD1266"/>
    <w:rsid w:val="00FD12D7"/>
    <w:rsid w:val="00FD1324"/>
    <w:rsid w:val="00FD167C"/>
    <w:rsid w:val="00FD1AB5"/>
    <w:rsid w:val="00FD1E1D"/>
    <w:rsid w:val="00FD20D3"/>
    <w:rsid w:val="00FD20DF"/>
    <w:rsid w:val="00FD2205"/>
    <w:rsid w:val="00FD2360"/>
    <w:rsid w:val="00FD2492"/>
    <w:rsid w:val="00FD29A3"/>
    <w:rsid w:val="00FD2BD5"/>
    <w:rsid w:val="00FD3D51"/>
    <w:rsid w:val="00FD3D93"/>
    <w:rsid w:val="00FD40E0"/>
    <w:rsid w:val="00FD47A8"/>
    <w:rsid w:val="00FD4875"/>
    <w:rsid w:val="00FD4A9A"/>
    <w:rsid w:val="00FD4BE9"/>
    <w:rsid w:val="00FD4C38"/>
    <w:rsid w:val="00FD4F66"/>
    <w:rsid w:val="00FD65BE"/>
    <w:rsid w:val="00FD67C7"/>
    <w:rsid w:val="00FD6ED3"/>
    <w:rsid w:val="00FD7AC6"/>
    <w:rsid w:val="00FD7BF3"/>
    <w:rsid w:val="00FE0031"/>
    <w:rsid w:val="00FE00D3"/>
    <w:rsid w:val="00FE07DB"/>
    <w:rsid w:val="00FE0CA6"/>
    <w:rsid w:val="00FE0CED"/>
    <w:rsid w:val="00FE0D23"/>
    <w:rsid w:val="00FE0D64"/>
    <w:rsid w:val="00FE12F2"/>
    <w:rsid w:val="00FE1684"/>
    <w:rsid w:val="00FE210D"/>
    <w:rsid w:val="00FE2592"/>
    <w:rsid w:val="00FE2BB8"/>
    <w:rsid w:val="00FE2D44"/>
    <w:rsid w:val="00FE3040"/>
    <w:rsid w:val="00FE3060"/>
    <w:rsid w:val="00FE3D55"/>
    <w:rsid w:val="00FE41CF"/>
    <w:rsid w:val="00FE4410"/>
    <w:rsid w:val="00FE4684"/>
    <w:rsid w:val="00FE51B0"/>
    <w:rsid w:val="00FE530F"/>
    <w:rsid w:val="00FE53C2"/>
    <w:rsid w:val="00FE579E"/>
    <w:rsid w:val="00FE5C6C"/>
    <w:rsid w:val="00FE635C"/>
    <w:rsid w:val="00FE63E4"/>
    <w:rsid w:val="00FE6673"/>
    <w:rsid w:val="00FE66B0"/>
    <w:rsid w:val="00FE6855"/>
    <w:rsid w:val="00FE7204"/>
    <w:rsid w:val="00FE753A"/>
    <w:rsid w:val="00FE78C1"/>
    <w:rsid w:val="00FE7AAC"/>
    <w:rsid w:val="00FE7EDF"/>
    <w:rsid w:val="00FF005A"/>
    <w:rsid w:val="00FF017E"/>
    <w:rsid w:val="00FF01A5"/>
    <w:rsid w:val="00FF028D"/>
    <w:rsid w:val="00FF029A"/>
    <w:rsid w:val="00FF0DBD"/>
    <w:rsid w:val="00FF0F70"/>
    <w:rsid w:val="00FF1267"/>
    <w:rsid w:val="00FF156A"/>
    <w:rsid w:val="00FF1649"/>
    <w:rsid w:val="00FF165F"/>
    <w:rsid w:val="00FF170E"/>
    <w:rsid w:val="00FF1810"/>
    <w:rsid w:val="00FF1BA9"/>
    <w:rsid w:val="00FF1BEB"/>
    <w:rsid w:val="00FF1FD1"/>
    <w:rsid w:val="00FF2138"/>
    <w:rsid w:val="00FF280B"/>
    <w:rsid w:val="00FF2E71"/>
    <w:rsid w:val="00FF37E6"/>
    <w:rsid w:val="00FF3B55"/>
    <w:rsid w:val="00FF3C43"/>
    <w:rsid w:val="00FF3D58"/>
    <w:rsid w:val="00FF3E4F"/>
    <w:rsid w:val="00FF434D"/>
    <w:rsid w:val="00FF4BA1"/>
    <w:rsid w:val="00FF4FC3"/>
    <w:rsid w:val="00FF555A"/>
    <w:rsid w:val="00FF5709"/>
    <w:rsid w:val="00FF595A"/>
    <w:rsid w:val="00FF59F9"/>
    <w:rsid w:val="00FF5E86"/>
    <w:rsid w:val="00FF5FC1"/>
    <w:rsid w:val="00FF650C"/>
    <w:rsid w:val="00FF65B3"/>
    <w:rsid w:val="00FF6978"/>
    <w:rsid w:val="00FF6F73"/>
    <w:rsid w:val="00FF6FB8"/>
    <w:rsid w:val="00FF7137"/>
    <w:rsid w:val="00FF71EC"/>
    <w:rsid w:val="00FF74A3"/>
    <w:rsid w:val="00FF7594"/>
    <w:rsid w:val="00FF76B5"/>
    <w:rsid w:val="00FF77BB"/>
    <w:rsid w:val="00FF78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7258D"/>
  <w15:docId w15:val="{AC87ABFB-2AB5-4685-9713-8EAFC2F33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rPr>
      <w:noProof/>
    </w:rPr>
  </w:style>
  <w:style w:type="paragraph" w:styleId="1">
    <w:name w:val="heading 1"/>
    <w:basedOn w:val="a"/>
    <w:next w:val="a"/>
    <w:link w:val="10"/>
    <w:uiPriority w:val="9"/>
    <w:qFormat/>
    <w:rsid w:val="0006361A"/>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2">
    <w:name w:val="heading 2"/>
    <w:basedOn w:val="a"/>
    <w:next w:val="a"/>
    <w:link w:val="20"/>
    <w:autoRedefine/>
    <w:uiPriority w:val="9"/>
    <w:unhideWhenUsed/>
    <w:qFormat/>
    <w:rsid w:val="000F64D0"/>
    <w:pPr>
      <w:keepNext/>
      <w:keepLines/>
      <w:spacing w:before="160" w:after="240"/>
      <w:outlineLvl w:val="1"/>
    </w:pPr>
    <w:rPr>
      <w:rFonts w:asciiTheme="majorHAnsi" w:eastAsiaTheme="majorEastAsia" w:hAnsiTheme="majorHAnsi"/>
      <w:bCs/>
      <w:color w:val="548DD4" w:themeColor="text2" w:themeTint="99"/>
      <w:sz w:val="26"/>
      <w:szCs w:val="26"/>
    </w:rPr>
  </w:style>
  <w:style w:type="paragraph" w:styleId="3">
    <w:name w:val="heading 3"/>
    <w:basedOn w:val="a"/>
    <w:next w:val="a"/>
    <w:link w:val="30"/>
    <w:uiPriority w:val="9"/>
    <w:unhideWhenUsed/>
    <w:qFormat/>
    <w:rsid w:val="002D54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aliases w:val="הערות"/>
    <w:basedOn w:val="a"/>
    <w:next w:val="a"/>
    <w:link w:val="a4"/>
    <w:uiPriority w:val="11"/>
    <w:qFormat/>
    <w:rsid w:val="00450F4B"/>
    <w:pPr>
      <w:numPr>
        <w:ilvl w:val="1"/>
      </w:numPr>
      <w:spacing w:after="160"/>
    </w:pPr>
    <w:rPr>
      <w:rFonts w:eastAsiaTheme="minorEastAsia" w:cs="David"/>
      <w:color w:val="5A5A5A" w:themeColor="text1" w:themeTint="A5"/>
      <w:spacing w:val="15"/>
      <w:szCs w:val="20"/>
    </w:rPr>
  </w:style>
  <w:style w:type="character" w:customStyle="1" w:styleId="a4">
    <w:name w:val="כותרת משנה תו"/>
    <w:aliases w:val="הערות תו"/>
    <w:basedOn w:val="a0"/>
    <w:link w:val="a3"/>
    <w:uiPriority w:val="11"/>
    <w:rsid w:val="00450F4B"/>
    <w:rPr>
      <w:rFonts w:eastAsiaTheme="minorEastAsia" w:cs="David"/>
      <w:color w:val="5A5A5A" w:themeColor="text1" w:themeTint="A5"/>
      <w:spacing w:val="15"/>
      <w:szCs w:val="20"/>
    </w:rPr>
  </w:style>
  <w:style w:type="character" w:customStyle="1" w:styleId="10">
    <w:name w:val="כותרת 1 תו"/>
    <w:basedOn w:val="a0"/>
    <w:link w:val="1"/>
    <w:uiPriority w:val="9"/>
    <w:rsid w:val="0006361A"/>
    <w:rPr>
      <w:rFonts w:asciiTheme="majorHAnsi" w:eastAsiaTheme="majorEastAsia" w:hAnsiTheme="majorHAnsi"/>
      <w:b/>
      <w:bCs/>
      <w:color w:val="365F91" w:themeColor="accent1" w:themeShade="BF"/>
      <w:sz w:val="28"/>
      <w:szCs w:val="28"/>
    </w:rPr>
  </w:style>
  <w:style w:type="character" w:customStyle="1" w:styleId="20">
    <w:name w:val="כותרת 2 תו"/>
    <w:basedOn w:val="a0"/>
    <w:link w:val="2"/>
    <w:uiPriority w:val="9"/>
    <w:rsid w:val="000F64D0"/>
    <w:rPr>
      <w:rFonts w:asciiTheme="majorHAnsi" w:eastAsiaTheme="majorEastAsia" w:hAnsiTheme="majorHAnsi"/>
      <w:bCs/>
      <w:noProof/>
      <w:color w:val="548DD4" w:themeColor="text2" w:themeTint="99"/>
      <w:sz w:val="26"/>
      <w:szCs w:val="26"/>
    </w:rPr>
  </w:style>
  <w:style w:type="paragraph" w:styleId="a5">
    <w:name w:val="footnote text"/>
    <w:basedOn w:val="a"/>
    <w:link w:val="a6"/>
    <w:uiPriority w:val="99"/>
    <w:unhideWhenUsed/>
    <w:rsid w:val="008A01C4"/>
    <w:pPr>
      <w:spacing w:after="0" w:line="240" w:lineRule="auto"/>
    </w:pPr>
    <w:rPr>
      <w:sz w:val="20"/>
      <w:szCs w:val="20"/>
    </w:rPr>
  </w:style>
  <w:style w:type="character" w:customStyle="1" w:styleId="a6">
    <w:name w:val="טקסט הערת שוליים תו"/>
    <w:basedOn w:val="a0"/>
    <w:link w:val="a5"/>
    <w:uiPriority w:val="99"/>
    <w:rsid w:val="008A01C4"/>
    <w:rPr>
      <w:sz w:val="20"/>
      <w:szCs w:val="20"/>
    </w:rPr>
  </w:style>
  <w:style w:type="character" w:styleId="a7">
    <w:name w:val="footnote reference"/>
    <w:basedOn w:val="a0"/>
    <w:uiPriority w:val="99"/>
    <w:unhideWhenUsed/>
    <w:rsid w:val="008A01C4"/>
    <w:rPr>
      <w:vertAlign w:val="superscript"/>
    </w:rPr>
  </w:style>
  <w:style w:type="paragraph" w:styleId="a8">
    <w:name w:val="endnote text"/>
    <w:basedOn w:val="a"/>
    <w:link w:val="a9"/>
    <w:uiPriority w:val="99"/>
    <w:semiHidden/>
    <w:unhideWhenUsed/>
    <w:rsid w:val="009957AF"/>
    <w:pPr>
      <w:spacing w:after="0" w:line="240" w:lineRule="auto"/>
    </w:pPr>
    <w:rPr>
      <w:sz w:val="20"/>
      <w:szCs w:val="20"/>
    </w:rPr>
  </w:style>
  <w:style w:type="character" w:customStyle="1" w:styleId="a9">
    <w:name w:val="טקסט הערת סיום תו"/>
    <w:basedOn w:val="a0"/>
    <w:link w:val="a8"/>
    <w:uiPriority w:val="99"/>
    <w:semiHidden/>
    <w:rsid w:val="009957AF"/>
    <w:rPr>
      <w:sz w:val="20"/>
      <w:szCs w:val="20"/>
    </w:rPr>
  </w:style>
  <w:style w:type="character" w:styleId="aa">
    <w:name w:val="endnote reference"/>
    <w:basedOn w:val="a0"/>
    <w:uiPriority w:val="99"/>
    <w:semiHidden/>
    <w:unhideWhenUsed/>
    <w:rsid w:val="009957AF"/>
    <w:rPr>
      <w:vertAlign w:val="superscript"/>
    </w:rPr>
  </w:style>
  <w:style w:type="paragraph" w:styleId="ab">
    <w:name w:val="List Paragraph"/>
    <w:basedOn w:val="a"/>
    <w:link w:val="ac"/>
    <w:uiPriority w:val="34"/>
    <w:qFormat/>
    <w:rsid w:val="00A3575F"/>
    <w:pPr>
      <w:ind w:left="720"/>
      <w:contextualSpacing/>
    </w:pPr>
  </w:style>
  <w:style w:type="character" w:customStyle="1" w:styleId="ac">
    <w:name w:val="פיסקת רשימה תו"/>
    <w:basedOn w:val="a0"/>
    <w:link w:val="ab"/>
    <w:uiPriority w:val="34"/>
    <w:rsid w:val="0093013C"/>
  </w:style>
  <w:style w:type="paragraph" w:styleId="ad">
    <w:name w:val="Balloon Text"/>
    <w:basedOn w:val="a"/>
    <w:link w:val="ae"/>
    <w:uiPriority w:val="99"/>
    <w:semiHidden/>
    <w:unhideWhenUsed/>
    <w:rsid w:val="004B69E1"/>
    <w:pPr>
      <w:spacing w:after="0" w:line="240" w:lineRule="auto"/>
    </w:pPr>
    <w:rPr>
      <w:rFonts w:ascii="Tahoma" w:hAnsi="Tahoma" w:cs="Tahoma"/>
      <w:sz w:val="18"/>
      <w:szCs w:val="18"/>
    </w:rPr>
  </w:style>
  <w:style w:type="character" w:customStyle="1" w:styleId="ae">
    <w:name w:val="טקסט בלונים תו"/>
    <w:basedOn w:val="a0"/>
    <w:link w:val="ad"/>
    <w:uiPriority w:val="99"/>
    <w:semiHidden/>
    <w:rsid w:val="004B69E1"/>
    <w:rPr>
      <w:rFonts w:ascii="Tahoma" w:hAnsi="Tahoma" w:cs="Tahoma"/>
      <w:sz w:val="18"/>
      <w:szCs w:val="18"/>
    </w:rPr>
  </w:style>
  <w:style w:type="character" w:customStyle="1" w:styleId="30">
    <w:name w:val="כותרת 3 תו"/>
    <w:basedOn w:val="a0"/>
    <w:link w:val="3"/>
    <w:uiPriority w:val="9"/>
    <w:rsid w:val="002D54AA"/>
    <w:rPr>
      <w:rFonts w:asciiTheme="majorHAnsi" w:eastAsiaTheme="majorEastAsia" w:hAnsiTheme="majorHAnsi" w:cstheme="majorBidi"/>
      <w:b/>
      <w:bCs/>
      <w:color w:val="4F81BD" w:themeColor="accent1"/>
    </w:rPr>
  </w:style>
  <w:style w:type="paragraph" w:styleId="af">
    <w:name w:val="header"/>
    <w:basedOn w:val="a"/>
    <w:link w:val="af0"/>
    <w:uiPriority w:val="99"/>
    <w:unhideWhenUsed/>
    <w:rsid w:val="002D54AA"/>
    <w:pPr>
      <w:tabs>
        <w:tab w:val="center" w:pos="4153"/>
        <w:tab w:val="right" w:pos="8306"/>
      </w:tabs>
      <w:spacing w:after="0" w:line="240" w:lineRule="auto"/>
    </w:pPr>
  </w:style>
  <w:style w:type="character" w:customStyle="1" w:styleId="af0">
    <w:name w:val="כותרת עליונה תו"/>
    <w:basedOn w:val="a0"/>
    <w:link w:val="af"/>
    <w:uiPriority w:val="99"/>
    <w:rsid w:val="002D54AA"/>
  </w:style>
  <w:style w:type="paragraph" w:styleId="af1">
    <w:name w:val="footer"/>
    <w:basedOn w:val="a"/>
    <w:link w:val="af2"/>
    <w:uiPriority w:val="99"/>
    <w:unhideWhenUsed/>
    <w:rsid w:val="002D54AA"/>
    <w:pPr>
      <w:tabs>
        <w:tab w:val="center" w:pos="4153"/>
        <w:tab w:val="right" w:pos="8306"/>
      </w:tabs>
      <w:spacing w:after="0" w:line="240" w:lineRule="auto"/>
    </w:pPr>
  </w:style>
  <w:style w:type="character" w:customStyle="1" w:styleId="af2">
    <w:name w:val="כותרת תחתונה תו"/>
    <w:basedOn w:val="a0"/>
    <w:link w:val="af1"/>
    <w:uiPriority w:val="99"/>
    <w:rsid w:val="002D54AA"/>
  </w:style>
  <w:style w:type="table" w:styleId="af3">
    <w:name w:val="Table Grid"/>
    <w:basedOn w:val="a1"/>
    <w:uiPriority w:val="59"/>
    <w:rsid w:val="002D5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2D54AA"/>
    <w:pPr>
      <w:bidi/>
      <w:spacing w:after="0" w:line="240" w:lineRule="auto"/>
    </w:pPr>
  </w:style>
  <w:style w:type="character" w:styleId="af5">
    <w:name w:val="annotation reference"/>
    <w:basedOn w:val="a0"/>
    <w:uiPriority w:val="99"/>
    <w:semiHidden/>
    <w:unhideWhenUsed/>
    <w:rsid w:val="00392DBB"/>
    <w:rPr>
      <w:sz w:val="16"/>
      <w:szCs w:val="16"/>
    </w:rPr>
  </w:style>
  <w:style w:type="paragraph" w:styleId="af6">
    <w:name w:val="annotation text"/>
    <w:basedOn w:val="a"/>
    <w:link w:val="af7"/>
    <w:uiPriority w:val="99"/>
    <w:semiHidden/>
    <w:unhideWhenUsed/>
    <w:rsid w:val="00392DBB"/>
    <w:pPr>
      <w:spacing w:line="240" w:lineRule="auto"/>
    </w:pPr>
    <w:rPr>
      <w:sz w:val="20"/>
      <w:szCs w:val="20"/>
    </w:rPr>
  </w:style>
  <w:style w:type="character" w:customStyle="1" w:styleId="af7">
    <w:name w:val="טקסט הערה תו"/>
    <w:basedOn w:val="a0"/>
    <w:link w:val="af6"/>
    <w:uiPriority w:val="99"/>
    <w:semiHidden/>
    <w:rsid w:val="00392DBB"/>
    <w:rPr>
      <w:noProof/>
      <w:sz w:val="20"/>
      <w:szCs w:val="20"/>
    </w:rPr>
  </w:style>
  <w:style w:type="paragraph" w:styleId="af8">
    <w:name w:val="annotation subject"/>
    <w:basedOn w:val="af6"/>
    <w:next w:val="af6"/>
    <w:link w:val="af9"/>
    <w:uiPriority w:val="99"/>
    <w:semiHidden/>
    <w:unhideWhenUsed/>
    <w:rsid w:val="00392DBB"/>
    <w:rPr>
      <w:b/>
      <w:bCs/>
    </w:rPr>
  </w:style>
  <w:style w:type="character" w:customStyle="1" w:styleId="af9">
    <w:name w:val="נושא הערה תו"/>
    <w:basedOn w:val="af7"/>
    <w:link w:val="af8"/>
    <w:uiPriority w:val="99"/>
    <w:semiHidden/>
    <w:rsid w:val="00392DBB"/>
    <w:rPr>
      <w:b/>
      <w:bCs/>
      <w:noProo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0.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3.xml"/><Relationship Id="rId47" Type="http://schemas.openxmlformats.org/officeDocument/2006/relationships/header" Target="header38.xml"/><Relationship Id="rId50" Type="http://schemas.openxmlformats.org/officeDocument/2006/relationships/header" Target="header41.xml"/><Relationship Id="rId55" Type="http://schemas.openxmlformats.org/officeDocument/2006/relationships/header" Target="header46.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8.xml"/><Relationship Id="rId29" Type="http://schemas.openxmlformats.org/officeDocument/2006/relationships/header" Target="header21.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footer" Target="footer2.xml"/><Relationship Id="rId40" Type="http://schemas.openxmlformats.org/officeDocument/2006/relationships/header" Target="header31.xml"/><Relationship Id="rId45" Type="http://schemas.openxmlformats.org/officeDocument/2006/relationships/header" Target="header36.xml"/><Relationship Id="rId53" Type="http://schemas.openxmlformats.org/officeDocument/2006/relationships/header" Target="header44.xml"/><Relationship Id="rId58" Type="http://schemas.openxmlformats.org/officeDocument/2006/relationships/header" Target="header49.xml"/><Relationship Id="rId5" Type="http://schemas.openxmlformats.org/officeDocument/2006/relationships/webSettings" Target="webSettings.xml"/><Relationship Id="rId61" Type="http://schemas.openxmlformats.org/officeDocument/2006/relationships/header" Target="header52.xml"/><Relationship Id="rId19" Type="http://schemas.openxmlformats.org/officeDocument/2006/relationships/header" Target="header1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header" Target="header34.xml"/><Relationship Id="rId48" Type="http://schemas.openxmlformats.org/officeDocument/2006/relationships/header" Target="header39.xml"/><Relationship Id="rId56" Type="http://schemas.openxmlformats.org/officeDocument/2006/relationships/header" Target="header47.xml"/><Relationship Id="rId64"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42.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29.xml"/><Relationship Id="rId46" Type="http://schemas.openxmlformats.org/officeDocument/2006/relationships/header" Target="header37.xml"/><Relationship Id="rId59" Type="http://schemas.openxmlformats.org/officeDocument/2006/relationships/header" Target="header50.xml"/><Relationship Id="rId20" Type="http://schemas.openxmlformats.org/officeDocument/2006/relationships/header" Target="header12.xml"/><Relationship Id="rId41" Type="http://schemas.openxmlformats.org/officeDocument/2006/relationships/header" Target="header32.xml"/><Relationship Id="rId54" Type="http://schemas.openxmlformats.org/officeDocument/2006/relationships/header" Target="header45.xml"/><Relationship Id="rId62" Type="http://schemas.openxmlformats.org/officeDocument/2006/relationships/header" Target="header5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49" Type="http://schemas.openxmlformats.org/officeDocument/2006/relationships/header" Target="header40.xml"/><Relationship Id="rId57" Type="http://schemas.openxmlformats.org/officeDocument/2006/relationships/header" Target="header48.xml"/><Relationship Id="rId10" Type="http://schemas.openxmlformats.org/officeDocument/2006/relationships/header" Target="header2.xml"/><Relationship Id="rId31" Type="http://schemas.openxmlformats.org/officeDocument/2006/relationships/header" Target="header23.xml"/><Relationship Id="rId44" Type="http://schemas.openxmlformats.org/officeDocument/2006/relationships/header" Target="header35.xml"/><Relationship Id="rId52" Type="http://schemas.openxmlformats.org/officeDocument/2006/relationships/header" Target="header43.xml"/><Relationship Id="rId60" Type="http://schemas.openxmlformats.org/officeDocument/2006/relationships/header" Target="header5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E0A8D-1BB7-4888-BE83-F6E73863D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277812</TotalTime>
  <Pages>481</Pages>
  <Words>176298</Words>
  <Characters>881493</Characters>
  <Application>Microsoft Office Word</Application>
  <DocSecurity>0</DocSecurity>
  <Lines>7345</Lines>
  <Paragraphs>2111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1055680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יצחק ממן</dc:creator>
  <cp:keywords/>
  <dc:description/>
  <cp:lastModifiedBy>יצחק ממן</cp:lastModifiedBy>
  <cp:revision>397</cp:revision>
  <cp:lastPrinted>2023-06-02T16:13:00Z</cp:lastPrinted>
  <dcterms:created xsi:type="dcterms:W3CDTF">2018-11-08T16:12:00Z</dcterms:created>
  <dcterms:modified xsi:type="dcterms:W3CDTF">2023-06-04T20:54:00Z</dcterms:modified>
</cp:coreProperties>
</file>